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CA3C2" w14:textId="77777777" w:rsidR="004D01F9" w:rsidRPr="004D01F9" w:rsidRDefault="004D01F9" w:rsidP="00BC7B66">
      <w:pPr>
        <w:spacing w:before="180"/>
        <w:ind w:left="709" w:right="117"/>
        <w:jc w:val="right"/>
        <w:rPr>
          <w:rFonts w:ascii="Arial MT" w:eastAsia="Arial MT" w:hAnsi="Arial MT" w:cs="Arial MT"/>
          <w:sz w:val="28"/>
        </w:rPr>
      </w:pPr>
      <w:bookmarkStart w:id="0" w:name="New_Microsoft_Word_Document_(2)"/>
      <w:bookmarkEnd w:id="0"/>
      <w:r w:rsidRPr="004D01F9">
        <w:rPr>
          <w:rFonts w:ascii="Arial MT" w:eastAsia="Arial MT" w:hAnsi="Arial MT" w:cs="Arial MT"/>
          <w:noProof/>
          <w:sz w:val="28"/>
        </w:rPr>
        <mc:AlternateContent>
          <mc:Choice Requires="wps">
            <w:drawing>
              <wp:anchor distT="0" distB="0" distL="114300" distR="114300" simplePos="0" relativeHeight="251685888" behindDoc="0" locked="0" layoutInCell="1" allowOverlap="1" wp14:anchorId="5540294D" wp14:editId="2BC1450F">
                <wp:simplePos x="0" y="0"/>
                <wp:positionH relativeFrom="margin">
                  <wp:align>left</wp:align>
                </wp:positionH>
                <wp:positionV relativeFrom="paragraph">
                  <wp:posOffset>-69392</wp:posOffset>
                </wp:positionV>
                <wp:extent cx="3324225" cy="2247900"/>
                <wp:effectExtent l="0" t="0" r="9525" b="0"/>
                <wp:wrapNone/>
                <wp:docPr id="16" name="Text Box 16"/>
                <wp:cNvGraphicFramePr/>
                <a:graphic xmlns:a="http://schemas.openxmlformats.org/drawingml/2006/main">
                  <a:graphicData uri="http://schemas.microsoft.com/office/word/2010/wordprocessingShape">
                    <wps:wsp>
                      <wps:cNvSpPr txBox="1"/>
                      <wps:spPr>
                        <a:xfrm>
                          <a:off x="0" y="0"/>
                          <a:ext cx="3324225" cy="2247900"/>
                        </a:xfrm>
                        <a:prstGeom prst="rect">
                          <a:avLst/>
                        </a:prstGeom>
                        <a:solidFill>
                          <a:sysClr val="window" lastClr="FFFFFF"/>
                        </a:solidFill>
                        <a:ln w="6350">
                          <a:noFill/>
                        </a:ln>
                      </wps:spPr>
                      <wps:txbx>
                        <w:txbxContent>
                          <w:p w14:paraId="1C46F637" w14:textId="77777777" w:rsidR="00A92450" w:rsidRPr="005304F1" w:rsidRDefault="00A92450" w:rsidP="004D01F9">
                            <w:pPr>
                              <w:spacing w:before="180" w:line="276" w:lineRule="auto"/>
                              <w:ind w:right="117"/>
                              <w:jc w:val="right"/>
                              <w:rPr>
                                <w:rFonts w:ascii="Arial" w:hAnsi="Arial" w:cs="Arial"/>
                                <w:sz w:val="28"/>
                                <w:lang w:val="hy-AM"/>
                              </w:rPr>
                            </w:pPr>
                            <w:r w:rsidRPr="005304F1">
                              <w:rPr>
                                <w:rFonts w:ascii="Arial" w:hAnsi="Arial" w:cs="Arial"/>
                                <w:sz w:val="28"/>
                                <w:lang w:val="hy-AM"/>
                              </w:rPr>
                              <w:t xml:space="preserve">Հավելված </w:t>
                            </w:r>
                          </w:p>
                          <w:p w14:paraId="69606855" w14:textId="77777777" w:rsidR="00A92450" w:rsidRPr="005304F1" w:rsidRDefault="00A92450" w:rsidP="004D01F9">
                            <w:pPr>
                              <w:spacing w:before="180" w:line="276" w:lineRule="auto"/>
                              <w:ind w:right="117"/>
                              <w:jc w:val="right"/>
                              <w:rPr>
                                <w:rFonts w:ascii="Arial" w:hAnsi="Arial" w:cs="Arial"/>
                                <w:sz w:val="28"/>
                                <w:lang w:val="hy-AM"/>
                              </w:rPr>
                            </w:pPr>
                            <w:r w:rsidRPr="005304F1">
                              <w:rPr>
                                <w:rFonts w:ascii="Arial" w:hAnsi="Arial" w:cs="Arial"/>
                                <w:sz w:val="28"/>
                                <w:lang w:val="hy-AM"/>
                              </w:rPr>
                              <w:t>Հայաստանի Հանրապետության</w:t>
                            </w:r>
                          </w:p>
                          <w:p w14:paraId="328F623E" w14:textId="77777777" w:rsidR="00A92450" w:rsidRPr="005304F1" w:rsidRDefault="00A92450" w:rsidP="004D01F9">
                            <w:pPr>
                              <w:spacing w:before="180" w:line="276" w:lineRule="auto"/>
                              <w:ind w:right="117"/>
                              <w:jc w:val="right"/>
                              <w:rPr>
                                <w:rFonts w:ascii="Arial" w:hAnsi="Arial" w:cs="Arial"/>
                                <w:sz w:val="28"/>
                                <w:lang w:val="hy-AM"/>
                              </w:rPr>
                            </w:pPr>
                            <w:r w:rsidRPr="005304F1">
                              <w:rPr>
                                <w:rFonts w:ascii="Arial" w:hAnsi="Arial" w:cs="Arial"/>
                                <w:sz w:val="28"/>
                                <w:lang w:val="hy-AM"/>
                              </w:rPr>
                              <w:t>տարածքային կառավարման և</w:t>
                            </w:r>
                          </w:p>
                          <w:p w14:paraId="41B8A470" w14:textId="77777777" w:rsidR="00A92450" w:rsidRPr="005304F1" w:rsidRDefault="00A92450" w:rsidP="004D01F9">
                            <w:pPr>
                              <w:spacing w:before="180" w:line="276" w:lineRule="auto"/>
                              <w:ind w:right="117"/>
                              <w:jc w:val="right"/>
                              <w:rPr>
                                <w:rFonts w:ascii="Arial" w:hAnsi="Arial" w:cs="Arial"/>
                                <w:sz w:val="28"/>
                                <w:lang w:val="hy-AM"/>
                              </w:rPr>
                            </w:pPr>
                            <w:r w:rsidRPr="005304F1">
                              <w:rPr>
                                <w:rFonts w:ascii="Arial" w:hAnsi="Arial" w:cs="Arial"/>
                                <w:sz w:val="28"/>
                                <w:lang w:val="hy-AM"/>
                              </w:rPr>
                              <w:t xml:space="preserve">ենթակառուցվածքների նախարարի </w:t>
                            </w:r>
                          </w:p>
                          <w:p w14:paraId="63893434" w14:textId="116D5DFF" w:rsidR="00A92450" w:rsidRPr="005304F1" w:rsidRDefault="006B0457" w:rsidP="004D01F9">
                            <w:pPr>
                              <w:spacing w:before="180" w:line="276" w:lineRule="auto"/>
                              <w:ind w:right="117"/>
                              <w:jc w:val="right"/>
                              <w:rPr>
                                <w:rFonts w:ascii="Arial" w:hAnsi="Arial" w:cs="Arial"/>
                                <w:sz w:val="28"/>
                                <w:lang w:val="hy-AM"/>
                              </w:rPr>
                            </w:pPr>
                            <w:r>
                              <w:rPr>
                                <w:rFonts w:ascii="Arial" w:hAnsi="Arial" w:cs="Arial"/>
                                <w:sz w:val="28"/>
                                <w:lang w:val="hy-AM"/>
                              </w:rPr>
                              <w:t xml:space="preserve">2024 </w:t>
                            </w:r>
                            <w:r w:rsidR="00A92450" w:rsidRPr="005304F1">
                              <w:rPr>
                                <w:rFonts w:ascii="Arial" w:hAnsi="Arial" w:cs="Arial"/>
                                <w:sz w:val="28"/>
                                <w:lang w:val="hy-AM"/>
                              </w:rPr>
                              <w:t xml:space="preserve">թվականի </w:t>
                            </w:r>
                            <w:r>
                              <w:rPr>
                                <w:rFonts w:ascii="Arial" w:hAnsi="Arial" w:cs="Arial"/>
                                <w:sz w:val="28"/>
                                <w:lang w:val="hy-AM"/>
                              </w:rPr>
                              <w:t>ապրիլի 02</w:t>
                            </w:r>
                            <w:r w:rsidR="00A92450" w:rsidRPr="005304F1">
                              <w:rPr>
                                <w:rFonts w:ascii="Arial" w:hAnsi="Arial" w:cs="Arial"/>
                                <w:sz w:val="28"/>
                                <w:lang w:val="hy-AM"/>
                              </w:rPr>
                              <w:t xml:space="preserve">-ի </w:t>
                            </w:r>
                          </w:p>
                          <w:p w14:paraId="21A48EBA" w14:textId="7DD3C1C4" w:rsidR="00A92450" w:rsidRPr="00FB6A4E" w:rsidRDefault="00A92450" w:rsidP="004D01F9">
                            <w:pPr>
                              <w:spacing w:before="180" w:line="276" w:lineRule="auto"/>
                              <w:ind w:right="117"/>
                              <w:jc w:val="right"/>
                              <w:rPr>
                                <w:sz w:val="28"/>
                                <w:u w:val="dash"/>
                                <w:lang w:val="hy-AM"/>
                              </w:rPr>
                            </w:pPr>
                            <w:r w:rsidRPr="005304F1">
                              <w:rPr>
                                <w:rFonts w:ascii="Arial" w:hAnsi="Arial" w:cs="Arial"/>
                                <w:sz w:val="28"/>
                                <w:lang w:val="hy-AM"/>
                              </w:rPr>
                              <w:t xml:space="preserve">թիվ </w:t>
                            </w:r>
                            <w:r w:rsidR="006B0457">
                              <w:rPr>
                                <w:rFonts w:ascii="Arial" w:hAnsi="Arial" w:cs="Arial"/>
                                <w:sz w:val="28"/>
                                <w:lang w:val="hy-AM"/>
                              </w:rPr>
                              <w:t xml:space="preserve">03-Ն </w:t>
                            </w:r>
                            <w:r w:rsidRPr="005304F1">
                              <w:rPr>
                                <w:rFonts w:ascii="Arial" w:hAnsi="Arial" w:cs="Arial"/>
                                <w:sz w:val="28"/>
                                <w:lang w:val="hy-AM"/>
                              </w:rPr>
                              <w:t>հրամանի</w:t>
                            </w:r>
                          </w:p>
                          <w:p w14:paraId="41043542" w14:textId="77777777" w:rsidR="00A92450" w:rsidRPr="00FB6A4E" w:rsidRDefault="00A92450" w:rsidP="004D01F9">
                            <w:pPr>
                              <w:tabs>
                                <w:tab w:val="left" w:leader="underscore" w:pos="8418"/>
                              </w:tabs>
                              <w:ind w:left="5819" w:right="117"/>
                              <w:rPr>
                                <w:sz w:val="28"/>
                                <w:lang w:val="hy-AM"/>
                              </w:rPr>
                            </w:pPr>
                            <w:r w:rsidRPr="00FB6A4E">
                              <w:rPr>
                                <w:sz w:val="28"/>
                                <w:lang w:val="hy-AM"/>
                              </w:rPr>
                              <w:t>of</w:t>
                            </w:r>
                            <w:r w:rsidRPr="00FB6A4E">
                              <w:rPr>
                                <w:spacing w:val="-1"/>
                                <w:sz w:val="28"/>
                                <w:lang w:val="hy-AM"/>
                              </w:rPr>
                              <w:t xml:space="preserve"> </w:t>
                            </w:r>
                            <w:r w:rsidRPr="00FB6A4E">
                              <w:rPr>
                                <w:sz w:val="28"/>
                                <w:lang w:val="hy-AM"/>
                              </w:rPr>
                              <w:t>order</w:t>
                            </w:r>
                            <w:r w:rsidRPr="00FB6A4E">
                              <w:rPr>
                                <w:sz w:val="28"/>
                                <w:lang w:val="hy-AM"/>
                              </w:rPr>
                              <w:tab/>
                              <w:t>of</w:t>
                            </w:r>
                            <w:r w:rsidRPr="00FB6A4E">
                              <w:rPr>
                                <w:spacing w:val="-1"/>
                                <w:sz w:val="28"/>
                                <w:lang w:val="hy-AM"/>
                              </w:rPr>
                              <w:t xml:space="preserve"> </w:t>
                            </w:r>
                            <w:r w:rsidRPr="00FB6A4E">
                              <w:rPr>
                                <w:sz w:val="28"/>
                                <w:lang w:val="hy-AM"/>
                              </w:rPr>
                              <w:t>the</w:t>
                            </w:r>
                          </w:p>
                          <w:p w14:paraId="597C0DF3" w14:textId="77777777" w:rsidR="00A92450" w:rsidRPr="00FB6A4E" w:rsidRDefault="00A92450" w:rsidP="004D01F9">
                            <w:pPr>
                              <w:pStyle w:val="BodyText"/>
                              <w:spacing w:before="9"/>
                              <w:ind w:right="117"/>
                              <w:rPr>
                                <w:sz w:val="23"/>
                                <w:lang w:val="hy-AM"/>
                              </w:rPr>
                            </w:pPr>
                          </w:p>
                          <w:p w14:paraId="07300F7A" w14:textId="77777777" w:rsidR="00A92450" w:rsidRDefault="00A92450" w:rsidP="004D01F9">
                            <w:pPr>
                              <w:tabs>
                                <w:tab w:val="left" w:pos="9090"/>
                              </w:tabs>
                              <w:spacing w:before="1" w:line="384" w:lineRule="auto"/>
                              <w:ind w:left="5040" w:right="117" w:firstLine="1529"/>
                              <w:rPr>
                                <w:sz w:val="28"/>
                              </w:rPr>
                            </w:pPr>
                            <w:r>
                              <w:rPr>
                                <w:sz w:val="28"/>
                              </w:rPr>
                              <w:t>Minister</w:t>
                            </w:r>
                            <w:r>
                              <w:rPr>
                                <w:spacing w:val="-9"/>
                                <w:sz w:val="28"/>
                              </w:rPr>
                              <w:t xml:space="preserve"> </w:t>
                            </w:r>
                            <w:r>
                              <w:rPr>
                                <w:sz w:val="28"/>
                              </w:rPr>
                              <w:t>of</w:t>
                            </w:r>
                            <w:r>
                              <w:rPr>
                                <w:spacing w:val="-8"/>
                                <w:sz w:val="28"/>
                              </w:rPr>
                              <w:t xml:space="preserve"> </w:t>
                            </w:r>
                            <w:r>
                              <w:rPr>
                                <w:sz w:val="28"/>
                              </w:rPr>
                              <w:t>Territorial</w:t>
                            </w:r>
                            <w:r>
                              <w:rPr>
                                <w:spacing w:val="-75"/>
                                <w:sz w:val="28"/>
                              </w:rPr>
                              <w:t xml:space="preserve"> </w:t>
                            </w:r>
                            <w:r>
                              <w:rPr>
                                <w:sz w:val="28"/>
                              </w:rPr>
                              <w:t>Administration</w:t>
                            </w:r>
                            <w:r>
                              <w:rPr>
                                <w:spacing w:val="-10"/>
                                <w:sz w:val="28"/>
                              </w:rPr>
                              <w:t xml:space="preserve"> </w:t>
                            </w:r>
                            <w:r>
                              <w:rPr>
                                <w:sz w:val="28"/>
                              </w:rPr>
                              <w:t>and</w:t>
                            </w:r>
                            <w:r>
                              <w:rPr>
                                <w:spacing w:val="-9"/>
                                <w:sz w:val="28"/>
                              </w:rPr>
                              <w:t xml:space="preserve"> </w:t>
                            </w:r>
                            <w:r>
                              <w:rPr>
                                <w:sz w:val="28"/>
                              </w:rPr>
                              <w:t>Infrastructure</w:t>
                            </w:r>
                          </w:p>
                          <w:p w14:paraId="59CE79E2" w14:textId="77777777" w:rsidR="00A92450" w:rsidRDefault="00A92450" w:rsidP="004D01F9">
                            <w:pPr>
                              <w:spacing w:before="1" w:line="384" w:lineRule="auto"/>
                              <w:ind w:left="5074" w:right="117" w:firstLine="326"/>
                              <w:rPr>
                                <w:sz w:val="28"/>
                              </w:rPr>
                            </w:pPr>
                            <w:r>
                              <w:rPr>
                                <w:sz w:val="28"/>
                              </w:rPr>
                              <w:t>of the Republic of Armenia by</w:t>
                            </w:r>
                          </w:p>
                          <w:p w14:paraId="6126C6A4" w14:textId="77777777" w:rsidR="00A92450" w:rsidRPr="00DE0BF3" w:rsidRDefault="00A92450" w:rsidP="004D01F9">
                            <w:pPr>
                              <w:spacing w:before="1" w:line="384" w:lineRule="auto"/>
                              <w:ind w:left="5074" w:right="117" w:firstLine="326"/>
                              <w:rPr>
                                <w:sz w:val="28"/>
                                <w:u w:val="dash"/>
                              </w:rPr>
                            </w:pPr>
                            <w:r>
                              <w:rPr>
                                <w:sz w:val="28"/>
                                <w:u w:val="dash"/>
                              </w:rPr>
                              <w:t xml:space="preserve">                                                  </w:t>
                            </w:r>
                          </w:p>
                          <w:p w14:paraId="279F5EDE" w14:textId="77777777" w:rsidR="00A92450" w:rsidRDefault="00A92450" w:rsidP="004D01F9">
                            <w:pPr>
                              <w:pStyle w:val="BodyText"/>
                              <w:spacing w:before="7"/>
                              <w:ind w:right="117"/>
                              <w:rPr>
                                <w:sz w:val="23"/>
                              </w:rPr>
                            </w:pPr>
                          </w:p>
                          <w:p w14:paraId="28072399" w14:textId="77777777" w:rsidR="00A92450" w:rsidRDefault="00A92450" w:rsidP="004D01F9">
                            <w:pPr>
                              <w:tabs>
                                <w:tab w:val="left" w:leader="underscore" w:pos="8418"/>
                              </w:tabs>
                              <w:ind w:left="5819" w:right="117"/>
                              <w:rPr>
                                <w:sz w:val="28"/>
                              </w:rPr>
                            </w:pPr>
                            <w:r>
                              <w:rPr>
                                <w:sz w:val="28"/>
                              </w:rPr>
                              <w:t>of</w:t>
                            </w:r>
                            <w:r>
                              <w:rPr>
                                <w:spacing w:val="-1"/>
                                <w:sz w:val="28"/>
                              </w:rPr>
                              <w:t xml:space="preserve"> </w:t>
                            </w:r>
                            <w:r>
                              <w:rPr>
                                <w:sz w:val="28"/>
                              </w:rPr>
                              <w:t>order</w:t>
                            </w:r>
                            <w:r>
                              <w:rPr>
                                <w:sz w:val="28"/>
                              </w:rPr>
                              <w:tab/>
                              <w:t>of</w:t>
                            </w:r>
                            <w:r>
                              <w:rPr>
                                <w:spacing w:val="-1"/>
                                <w:sz w:val="28"/>
                              </w:rPr>
                              <w:t xml:space="preserve"> </w:t>
                            </w:r>
                            <w:r>
                              <w:rPr>
                                <w:sz w:val="28"/>
                              </w:rPr>
                              <w:t>the</w:t>
                            </w:r>
                          </w:p>
                          <w:p w14:paraId="34ED59DB" w14:textId="77777777" w:rsidR="00A92450" w:rsidRDefault="00A92450" w:rsidP="004D01F9">
                            <w:pPr>
                              <w:pStyle w:val="BodyText"/>
                              <w:spacing w:before="9"/>
                              <w:ind w:right="117"/>
                              <w:rPr>
                                <w:sz w:val="23"/>
                              </w:rPr>
                            </w:pPr>
                          </w:p>
                          <w:p w14:paraId="109D0605" w14:textId="77777777" w:rsidR="00A92450" w:rsidRDefault="00A92450" w:rsidP="004D01F9">
                            <w:pPr>
                              <w:tabs>
                                <w:tab w:val="left" w:pos="9090"/>
                              </w:tabs>
                              <w:spacing w:before="1" w:line="384" w:lineRule="auto"/>
                              <w:ind w:left="5040" w:right="117" w:firstLine="1529"/>
                              <w:rPr>
                                <w:sz w:val="28"/>
                              </w:rPr>
                            </w:pPr>
                            <w:r>
                              <w:rPr>
                                <w:sz w:val="28"/>
                              </w:rPr>
                              <w:t>Minister</w:t>
                            </w:r>
                            <w:r>
                              <w:rPr>
                                <w:spacing w:val="-9"/>
                                <w:sz w:val="28"/>
                              </w:rPr>
                              <w:t xml:space="preserve"> </w:t>
                            </w:r>
                            <w:r>
                              <w:rPr>
                                <w:sz w:val="28"/>
                              </w:rPr>
                              <w:t>of</w:t>
                            </w:r>
                            <w:r>
                              <w:rPr>
                                <w:spacing w:val="-8"/>
                                <w:sz w:val="28"/>
                              </w:rPr>
                              <w:t xml:space="preserve"> </w:t>
                            </w:r>
                            <w:r>
                              <w:rPr>
                                <w:sz w:val="28"/>
                              </w:rPr>
                              <w:t>Territorial</w:t>
                            </w:r>
                            <w:r>
                              <w:rPr>
                                <w:spacing w:val="-75"/>
                                <w:sz w:val="28"/>
                              </w:rPr>
                              <w:t xml:space="preserve"> </w:t>
                            </w:r>
                            <w:r>
                              <w:rPr>
                                <w:sz w:val="28"/>
                              </w:rPr>
                              <w:t>Administration</w:t>
                            </w:r>
                            <w:r>
                              <w:rPr>
                                <w:spacing w:val="-10"/>
                                <w:sz w:val="28"/>
                              </w:rPr>
                              <w:t xml:space="preserve"> </w:t>
                            </w:r>
                            <w:r>
                              <w:rPr>
                                <w:sz w:val="28"/>
                              </w:rPr>
                              <w:t>and</w:t>
                            </w:r>
                            <w:r>
                              <w:rPr>
                                <w:spacing w:val="-9"/>
                                <w:sz w:val="28"/>
                              </w:rPr>
                              <w:t xml:space="preserve"> </w:t>
                            </w:r>
                            <w:r>
                              <w:rPr>
                                <w:sz w:val="28"/>
                              </w:rPr>
                              <w:t>Infrastructure</w:t>
                            </w:r>
                          </w:p>
                          <w:p w14:paraId="72FCB106" w14:textId="77777777" w:rsidR="00A92450" w:rsidRDefault="00A92450" w:rsidP="004D01F9">
                            <w:pPr>
                              <w:spacing w:before="1" w:line="384" w:lineRule="auto"/>
                              <w:ind w:left="5074" w:right="117" w:firstLine="326"/>
                              <w:rPr>
                                <w:sz w:val="28"/>
                              </w:rPr>
                            </w:pPr>
                            <w:r>
                              <w:rPr>
                                <w:sz w:val="28"/>
                              </w:rPr>
                              <w:t>of the Republic of Armenia by</w:t>
                            </w:r>
                          </w:p>
                          <w:p w14:paraId="632030C2" w14:textId="77777777" w:rsidR="00A92450" w:rsidRPr="00DE0BF3" w:rsidRDefault="00A92450" w:rsidP="004D01F9">
                            <w:pPr>
                              <w:spacing w:before="1" w:line="384" w:lineRule="auto"/>
                              <w:ind w:left="5074" w:right="117" w:firstLine="326"/>
                              <w:rPr>
                                <w:sz w:val="28"/>
                                <w:u w:val="dash"/>
                              </w:rPr>
                            </w:pPr>
                            <w:r>
                              <w:rPr>
                                <w:sz w:val="28"/>
                                <w:u w:val="dash"/>
                              </w:rPr>
                              <w:t xml:space="preserve">                                                  </w:t>
                            </w:r>
                          </w:p>
                          <w:p w14:paraId="64FB6CCC" w14:textId="77777777" w:rsidR="00A92450" w:rsidRPr="004D01F9" w:rsidRDefault="00A92450" w:rsidP="004D01F9">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40294D" id="_x0000_t202" coordsize="21600,21600" o:spt="202" path="m,l,21600r21600,l21600,xe">
                <v:stroke joinstyle="miter"/>
                <v:path gradientshapeok="t" o:connecttype="rect"/>
              </v:shapetype>
              <v:shape id="Text Box 16" o:spid="_x0000_s1026" type="#_x0000_t202" style="position:absolute;left:0;text-align:left;margin-left:0;margin-top:-5.45pt;width:261.75pt;height:177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" fillcolor="window" stroked="f" strokeweight=".5pt">
                <v:textbox>
                  <w:txbxContent>
                    <w:p w14:paraId="1C46F637" w14:textId="77777777" w:rsidR="00A92450" w:rsidRPr="005304F1" w:rsidRDefault="00A92450" w:rsidP="004D01F9">
                      <w:pPr>
                        <w:spacing w:before="180" w:line="276" w:lineRule="auto"/>
                        <w:ind w:right="117"/>
                        <w:jc w:val="right"/>
                        <w:rPr>
                          <w:rFonts w:ascii="Arial" w:hAnsi="Arial" w:cs="Arial"/>
                          <w:sz w:val="28"/>
                          <w:lang w:val="hy-AM"/>
                        </w:rPr>
                      </w:pPr>
                      <w:r w:rsidRPr="005304F1">
                        <w:rPr>
                          <w:rFonts w:ascii="Arial" w:hAnsi="Arial" w:cs="Arial"/>
                          <w:sz w:val="28"/>
                          <w:lang w:val="hy-AM"/>
                        </w:rPr>
                        <w:t xml:space="preserve">Հավելված </w:t>
                      </w:r>
                    </w:p>
                    <w:p w14:paraId="69606855" w14:textId="77777777" w:rsidR="00A92450" w:rsidRPr="005304F1" w:rsidRDefault="00A92450" w:rsidP="004D01F9">
                      <w:pPr>
                        <w:spacing w:before="180" w:line="276" w:lineRule="auto"/>
                        <w:ind w:right="117"/>
                        <w:jc w:val="right"/>
                        <w:rPr>
                          <w:rFonts w:ascii="Arial" w:hAnsi="Arial" w:cs="Arial"/>
                          <w:sz w:val="28"/>
                          <w:lang w:val="hy-AM"/>
                        </w:rPr>
                      </w:pPr>
                      <w:r w:rsidRPr="005304F1">
                        <w:rPr>
                          <w:rFonts w:ascii="Arial" w:hAnsi="Arial" w:cs="Arial"/>
                          <w:sz w:val="28"/>
                          <w:lang w:val="hy-AM"/>
                        </w:rPr>
                        <w:t>Հայաստանի Հանրապետության</w:t>
                      </w:r>
                    </w:p>
                    <w:p w14:paraId="328F623E" w14:textId="77777777" w:rsidR="00A92450" w:rsidRPr="005304F1" w:rsidRDefault="00A92450" w:rsidP="004D01F9">
                      <w:pPr>
                        <w:spacing w:before="180" w:line="276" w:lineRule="auto"/>
                        <w:ind w:right="117"/>
                        <w:jc w:val="right"/>
                        <w:rPr>
                          <w:rFonts w:ascii="Arial" w:hAnsi="Arial" w:cs="Arial"/>
                          <w:sz w:val="28"/>
                          <w:lang w:val="hy-AM"/>
                        </w:rPr>
                      </w:pPr>
                      <w:r w:rsidRPr="005304F1">
                        <w:rPr>
                          <w:rFonts w:ascii="Arial" w:hAnsi="Arial" w:cs="Arial"/>
                          <w:sz w:val="28"/>
                          <w:lang w:val="hy-AM"/>
                        </w:rPr>
                        <w:t>տարածքային կառավարման և</w:t>
                      </w:r>
                    </w:p>
                    <w:p w14:paraId="41B8A470" w14:textId="77777777" w:rsidR="00A92450" w:rsidRPr="005304F1" w:rsidRDefault="00A92450" w:rsidP="004D01F9">
                      <w:pPr>
                        <w:spacing w:before="180" w:line="276" w:lineRule="auto"/>
                        <w:ind w:right="117"/>
                        <w:jc w:val="right"/>
                        <w:rPr>
                          <w:rFonts w:ascii="Arial" w:hAnsi="Arial" w:cs="Arial"/>
                          <w:sz w:val="28"/>
                          <w:lang w:val="hy-AM"/>
                        </w:rPr>
                      </w:pPr>
                      <w:r w:rsidRPr="005304F1">
                        <w:rPr>
                          <w:rFonts w:ascii="Arial" w:hAnsi="Arial" w:cs="Arial"/>
                          <w:sz w:val="28"/>
                          <w:lang w:val="hy-AM"/>
                        </w:rPr>
                        <w:t xml:space="preserve">ենթակառուցվածքների նախարարի </w:t>
                      </w:r>
                    </w:p>
                    <w:p w14:paraId="63893434" w14:textId="116D5DFF" w:rsidR="00A92450" w:rsidRPr="005304F1" w:rsidRDefault="006B0457" w:rsidP="004D01F9">
                      <w:pPr>
                        <w:spacing w:before="180" w:line="276" w:lineRule="auto"/>
                        <w:ind w:right="117"/>
                        <w:jc w:val="right"/>
                        <w:rPr>
                          <w:rFonts w:ascii="Arial" w:hAnsi="Arial" w:cs="Arial"/>
                          <w:sz w:val="28"/>
                          <w:lang w:val="hy-AM"/>
                        </w:rPr>
                      </w:pPr>
                      <w:r>
                        <w:rPr>
                          <w:rFonts w:ascii="Arial" w:hAnsi="Arial" w:cs="Arial"/>
                          <w:sz w:val="28"/>
                          <w:lang w:val="hy-AM"/>
                        </w:rPr>
                        <w:t xml:space="preserve">2024 </w:t>
                      </w:r>
                      <w:r w:rsidR="00A92450" w:rsidRPr="005304F1">
                        <w:rPr>
                          <w:rFonts w:ascii="Arial" w:hAnsi="Arial" w:cs="Arial"/>
                          <w:sz w:val="28"/>
                          <w:lang w:val="hy-AM"/>
                        </w:rPr>
                        <w:t xml:space="preserve">թվականի </w:t>
                      </w:r>
                      <w:r>
                        <w:rPr>
                          <w:rFonts w:ascii="Arial" w:hAnsi="Arial" w:cs="Arial"/>
                          <w:sz w:val="28"/>
                          <w:lang w:val="hy-AM"/>
                        </w:rPr>
                        <w:t>ապրիլի 02</w:t>
                      </w:r>
                      <w:r w:rsidR="00A92450" w:rsidRPr="005304F1">
                        <w:rPr>
                          <w:rFonts w:ascii="Arial" w:hAnsi="Arial" w:cs="Arial"/>
                          <w:sz w:val="28"/>
                          <w:lang w:val="hy-AM"/>
                        </w:rPr>
                        <w:t xml:space="preserve">-ի </w:t>
                      </w:r>
                    </w:p>
                    <w:p w14:paraId="21A48EBA" w14:textId="7DD3C1C4" w:rsidR="00A92450" w:rsidRPr="00FB6A4E" w:rsidRDefault="00A92450" w:rsidP="004D01F9">
                      <w:pPr>
                        <w:spacing w:before="180" w:line="276" w:lineRule="auto"/>
                        <w:ind w:right="117"/>
                        <w:jc w:val="right"/>
                        <w:rPr>
                          <w:sz w:val="28"/>
                          <w:u w:val="dash"/>
                          <w:lang w:val="hy-AM"/>
                        </w:rPr>
                      </w:pPr>
                      <w:r w:rsidRPr="005304F1">
                        <w:rPr>
                          <w:rFonts w:ascii="Arial" w:hAnsi="Arial" w:cs="Arial"/>
                          <w:sz w:val="28"/>
                          <w:lang w:val="hy-AM"/>
                        </w:rPr>
                        <w:t xml:space="preserve">թիվ </w:t>
                      </w:r>
                      <w:r w:rsidR="006B0457">
                        <w:rPr>
                          <w:rFonts w:ascii="Arial" w:hAnsi="Arial" w:cs="Arial"/>
                          <w:sz w:val="28"/>
                          <w:lang w:val="hy-AM"/>
                        </w:rPr>
                        <w:t xml:space="preserve">03-Ն </w:t>
                      </w:r>
                      <w:r w:rsidRPr="005304F1">
                        <w:rPr>
                          <w:rFonts w:ascii="Arial" w:hAnsi="Arial" w:cs="Arial"/>
                          <w:sz w:val="28"/>
                          <w:lang w:val="hy-AM"/>
                        </w:rPr>
                        <w:t>հրամանի</w:t>
                      </w:r>
                    </w:p>
                    <w:p w14:paraId="41043542" w14:textId="77777777" w:rsidR="00A92450" w:rsidRPr="00FB6A4E" w:rsidRDefault="00A92450" w:rsidP="004D01F9">
                      <w:pPr>
                        <w:tabs>
                          <w:tab w:val="left" w:leader="underscore" w:pos="8418"/>
                        </w:tabs>
                        <w:ind w:left="5819" w:right="117"/>
                        <w:rPr>
                          <w:sz w:val="28"/>
                          <w:lang w:val="hy-AM"/>
                        </w:rPr>
                      </w:pPr>
                      <w:r w:rsidRPr="00FB6A4E">
                        <w:rPr>
                          <w:sz w:val="28"/>
                          <w:lang w:val="hy-AM"/>
                        </w:rPr>
                        <w:t>of</w:t>
                      </w:r>
                      <w:r w:rsidRPr="00FB6A4E">
                        <w:rPr>
                          <w:spacing w:val="-1"/>
                          <w:sz w:val="28"/>
                          <w:lang w:val="hy-AM"/>
                        </w:rPr>
                        <w:t xml:space="preserve"> </w:t>
                      </w:r>
                      <w:r w:rsidRPr="00FB6A4E">
                        <w:rPr>
                          <w:sz w:val="28"/>
                          <w:lang w:val="hy-AM"/>
                        </w:rPr>
                        <w:t>order</w:t>
                      </w:r>
                      <w:r w:rsidRPr="00FB6A4E">
                        <w:rPr>
                          <w:sz w:val="28"/>
                          <w:lang w:val="hy-AM"/>
                        </w:rPr>
                        <w:tab/>
                        <w:t>of</w:t>
                      </w:r>
                      <w:r w:rsidRPr="00FB6A4E">
                        <w:rPr>
                          <w:spacing w:val="-1"/>
                          <w:sz w:val="28"/>
                          <w:lang w:val="hy-AM"/>
                        </w:rPr>
                        <w:t xml:space="preserve"> </w:t>
                      </w:r>
                      <w:r w:rsidRPr="00FB6A4E">
                        <w:rPr>
                          <w:sz w:val="28"/>
                          <w:lang w:val="hy-AM"/>
                        </w:rPr>
                        <w:t>the</w:t>
                      </w:r>
                    </w:p>
                    <w:p w14:paraId="597C0DF3" w14:textId="77777777" w:rsidR="00A92450" w:rsidRPr="00FB6A4E" w:rsidRDefault="00A92450" w:rsidP="004D01F9">
                      <w:pPr>
                        <w:pStyle w:val="BodyText"/>
                        <w:spacing w:before="9"/>
                        <w:ind w:right="117"/>
                        <w:rPr>
                          <w:sz w:val="23"/>
                          <w:lang w:val="hy-AM"/>
                        </w:rPr>
                      </w:pPr>
                    </w:p>
                    <w:p w14:paraId="07300F7A" w14:textId="77777777" w:rsidR="00A92450" w:rsidRDefault="00A92450" w:rsidP="004D01F9">
                      <w:pPr>
                        <w:tabs>
                          <w:tab w:val="left" w:pos="9090"/>
                        </w:tabs>
                        <w:spacing w:before="1" w:line="384" w:lineRule="auto"/>
                        <w:ind w:left="5040" w:right="117" w:firstLine="1529"/>
                        <w:rPr>
                          <w:sz w:val="28"/>
                        </w:rPr>
                      </w:pPr>
                      <w:r>
                        <w:rPr>
                          <w:sz w:val="28"/>
                        </w:rPr>
                        <w:t>Minister</w:t>
                      </w:r>
                      <w:r>
                        <w:rPr>
                          <w:spacing w:val="-9"/>
                          <w:sz w:val="28"/>
                        </w:rPr>
                        <w:t xml:space="preserve"> </w:t>
                      </w:r>
                      <w:r>
                        <w:rPr>
                          <w:sz w:val="28"/>
                        </w:rPr>
                        <w:t>of</w:t>
                      </w:r>
                      <w:r>
                        <w:rPr>
                          <w:spacing w:val="-8"/>
                          <w:sz w:val="28"/>
                        </w:rPr>
                        <w:t xml:space="preserve"> </w:t>
                      </w:r>
                      <w:r>
                        <w:rPr>
                          <w:sz w:val="28"/>
                        </w:rPr>
                        <w:t>Territorial</w:t>
                      </w:r>
                      <w:r>
                        <w:rPr>
                          <w:spacing w:val="-75"/>
                          <w:sz w:val="28"/>
                        </w:rPr>
                        <w:t xml:space="preserve"> </w:t>
                      </w:r>
                      <w:r>
                        <w:rPr>
                          <w:sz w:val="28"/>
                        </w:rPr>
                        <w:t>Administration</w:t>
                      </w:r>
                      <w:r>
                        <w:rPr>
                          <w:spacing w:val="-10"/>
                          <w:sz w:val="28"/>
                        </w:rPr>
                        <w:t xml:space="preserve"> </w:t>
                      </w:r>
                      <w:r>
                        <w:rPr>
                          <w:sz w:val="28"/>
                        </w:rPr>
                        <w:t>and</w:t>
                      </w:r>
                      <w:r>
                        <w:rPr>
                          <w:spacing w:val="-9"/>
                          <w:sz w:val="28"/>
                        </w:rPr>
                        <w:t xml:space="preserve"> </w:t>
                      </w:r>
                      <w:r>
                        <w:rPr>
                          <w:sz w:val="28"/>
                        </w:rPr>
                        <w:t>Infrastructure</w:t>
                      </w:r>
                    </w:p>
                    <w:p w14:paraId="59CE79E2" w14:textId="77777777" w:rsidR="00A92450" w:rsidRDefault="00A92450" w:rsidP="004D01F9">
                      <w:pPr>
                        <w:spacing w:before="1" w:line="384" w:lineRule="auto"/>
                        <w:ind w:left="5074" w:right="117" w:firstLine="326"/>
                        <w:rPr>
                          <w:sz w:val="28"/>
                        </w:rPr>
                      </w:pPr>
                      <w:r>
                        <w:rPr>
                          <w:sz w:val="28"/>
                        </w:rPr>
                        <w:t>of the Republic of Armenia by</w:t>
                      </w:r>
                    </w:p>
                    <w:p w14:paraId="6126C6A4" w14:textId="77777777" w:rsidR="00A92450" w:rsidRPr="00DE0BF3" w:rsidRDefault="00A92450" w:rsidP="004D01F9">
                      <w:pPr>
                        <w:spacing w:before="1" w:line="384" w:lineRule="auto"/>
                        <w:ind w:left="5074" w:right="117" w:firstLine="326"/>
                        <w:rPr>
                          <w:sz w:val="28"/>
                          <w:u w:val="dash"/>
                        </w:rPr>
                      </w:pPr>
                      <w:r>
                        <w:rPr>
                          <w:sz w:val="28"/>
                          <w:u w:val="dash"/>
                        </w:rPr>
                        <w:t xml:space="preserve">                                                  </w:t>
                      </w:r>
                    </w:p>
                    <w:p w14:paraId="279F5EDE" w14:textId="77777777" w:rsidR="00A92450" w:rsidRDefault="00A92450" w:rsidP="004D01F9">
                      <w:pPr>
                        <w:pStyle w:val="BodyText"/>
                        <w:spacing w:before="7"/>
                        <w:ind w:right="117"/>
                        <w:rPr>
                          <w:sz w:val="23"/>
                        </w:rPr>
                      </w:pPr>
                    </w:p>
                    <w:p w14:paraId="28072399" w14:textId="77777777" w:rsidR="00A92450" w:rsidRDefault="00A92450" w:rsidP="004D01F9">
                      <w:pPr>
                        <w:tabs>
                          <w:tab w:val="left" w:leader="underscore" w:pos="8418"/>
                        </w:tabs>
                        <w:ind w:left="5819" w:right="117"/>
                        <w:rPr>
                          <w:sz w:val="28"/>
                        </w:rPr>
                      </w:pPr>
                      <w:r>
                        <w:rPr>
                          <w:sz w:val="28"/>
                        </w:rPr>
                        <w:t>of</w:t>
                      </w:r>
                      <w:r>
                        <w:rPr>
                          <w:spacing w:val="-1"/>
                          <w:sz w:val="28"/>
                        </w:rPr>
                        <w:t xml:space="preserve"> </w:t>
                      </w:r>
                      <w:r>
                        <w:rPr>
                          <w:sz w:val="28"/>
                        </w:rPr>
                        <w:t>order</w:t>
                      </w:r>
                      <w:r>
                        <w:rPr>
                          <w:sz w:val="28"/>
                        </w:rPr>
                        <w:tab/>
                        <w:t>of</w:t>
                      </w:r>
                      <w:r>
                        <w:rPr>
                          <w:spacing w:val="-1"/>
                          <w:sz w:val="28"/>
                        </w:rPr>
                        <w:t xml:space="preserve"> </w:t>
                      </w:r>
                      <w:r>
                        <w:rPr>
                          <w:sz w:val="28"/>
                        </w:rPr>
                        <w:t>the</w:t>
                      </w:r>
                    </w:p>
                    <w:p w14:paraId="34ED59DB" w14:textId="77777777" w:rsidR="00A92450" w:rsidRDefault="00A92450" w:rsidP="004D01F9">
                      <w:pPr>
                        <w:pStyle w:val="BodyText"/>
                        <w:spacing w:before="9"/>
                        <w:ind w:right="117"/>
                        <w:rPr>
                          <w:sz w:val="23"/>
                        </w:rPr>
                      </w:pPr>
                    </w:p>
                    <w:p w14:paraId="109D0605" w14:textId="77777777" w:rsidR="00A92450" w:rsidRDefault="00A92450" w:rsidP="004D01F9">
                      <w:pPr>
                        <w:tabs>
                          <w:tab w:val="left" w:pos="9090"/>
                        </w:tabs>
                        <w:spacing w:before="1" w:line="384" w:lineRule="auto"/>
                        <w:ind w:left="5040" w:right="117" w:firstLine="1529"/>
                        <w:rPr>
                          <w:sz w:val="28"/>
                        </w:rPr>
                      </w:pPr>
                      <w:r>
                        <w:rPr>
                          <w:sz w:val="28"/>
                        </w:rPr>
                        <w:t>Minister</w:t>
                      </w:r>
                      <w:r>
                        <w:rPr>
                          <w:spacing w:val="-9"/>
                          <w:sz w:val="28"/>
                        </w:rPr>
                        <w:t xml:space="preserve"> </w:t>
                      </w:r>
                      <w:r>
                        <w:rPr>
                          <w:sz w:val="28"/>
                        </w:rPr>
                        <w:t>of</w:t>
                      </w:r>
                      <w:r>
                        <w:rPr>
                          <w:spacing w:val="-8"/>
                          <w:sz w:val="28"/>
                        </w:rPr>
                        <w:t xml:space="preserve"> </w:t>
                      </w:r>
                      <w:r>
                        <w:rPr>
                          <w:sz w:val="28"/>
                        </w:rPr>
                        <w:t>Territorial</w:t>
                      </w:r>
                      <w:r>
                        <w:rPr>
                          <w:spacing w:val="-75"/>
                          <w:sz w:val="28"/>
                        </w:rPr>
                        <w:t xml:space="preserve"> </w:t>
                      </w:r>
                      <w:r>
                        <w:rPr>
                          <w:sz w:val="28"/>
                        </w:rPr>
                        <w:t>Administration</w:t>
                      </w:r>
                      <w:r>
                        <w:rPr>
                          <w:spacing w:val="-10"/>
                          <w:sz w:val="28"/>
                        </w:rPr>
                        <w:t xml:space="preserve"> </w:t>
                      </w:r>
                      <w:r>
                        <w:rPr>
                          <w:sz w:val="28"/>
                        </w:rPr>
                        <w:t>and</w:t>
                      </w:r>
                      <w:r>
                        <w:rPr>
                          <w:spacing w:val="-9"/>
                          <w:sz w:val="28"/>
                        </w:rPr>
                        <w:t xml:space="preserve"> </w:t>
                      </w:r>
                      <w:r>
                        <w:rPr>
                          <w:sz w:val="28"/>
                        </w:rPr>
                        <w:t>Infrastructure</w:t>
                      </w:r>
                    </w:p>
                    <w:p w14:paraId="72FCB106" w14:textId="77777777" w:rsidR="00A92450" w:rsidRDefault="00A92450" w:rsidP="004D01F9">
                      <w:pPr>
                        <w:spacing w:before="1" w:line="384" w:lineRule="auto"/>
                        <w:ind w:left="5074" w:right="117" w:firstLine="326"/>
                        <w:rPr>
                          <w:sz w:val="28"/>
                        </w:rPr>
                      </w:pPr>
                      <w:r>
                        <w:rPr>
                          <w:sz w:val="28"/>
                        </w:rPr>
                        <w:t>of the Republic of Armenia by</w:t>
                      </w:r>
                    </w:p>
                    <w:p w14:paraId="632030C2" w14:textId="77777777" w:rsidR="00A92450" w:rsidRPr="00DE0BF3" w:rsidRDefault="00A92450" w:rsidP="004D01F9">
                      <w:pPr>
                        <w:spacing w:before="1" w:line="384" w:lineRule="auto"/>
                        <w:ind w:left="5074" w:right="117" w:firstLine="326"/>
                        <w:rPr>
                          <w:sz w:val="28"/>
                          <w:u w:val="dash"/>
                        </w:rPr>
                      </w:pPr>
                      <w:r>
                        <w:rPr>
                          <w:sz w:val="28"/>
                          <w:u w:val="dash"/>
                        </w:rPr>
                        <w:t xml:space="preserve">                                                  </w:t>
                      </w:r>
                    </w:p>
                    <w:p w14:paraId="64FB6CCC" w14:textId="77777777" w:rsidR="00A92450" w:rsidRPr="004D01F9" w:rsidRDefault="00A92450" w:rsidP="004D01F9">
                      <w:pPr>
                        <w:rPr>
                          <w:color w:val="FFFFFF" w:themeColor="background1"/>
                          <w14:textFill>
                            <w14:noFill/>
                          </w14:textFill>
                        </w:rPr>
                      </w:pPr>
                    </w:p>
                  </w:txbxContent>
                </v:textbox>
                <w10:wrap anchorx="margin"/>
              </v:shape>
            </w:pict>
          </mc:Fallback>
        </mc:AlternateContent>
      </w:r>
      <w:r w:rsidRPr="004D01F9">
        <w:rPr>
          <w:rFonts w:ascii="Arial MT" w:eastAsia="Arial MT" w:hAnsi="Arial MT" w:cs="Arial MT"/>
          <w:sz w:val="28"/>
        </w:rPr>
        <w:t>ANNEX</w:t>
      </w:r>
      <w:r w:rsidRPr="004D01F9">
        <w:rPr>
          <w:rFonts w:ascii="Arial MT" w:eastAsia="Arial MT" w:hAnsi="Arial MT" w:cs="Arial MT"/>
          <w:spacing w:val="-2"/>
          <w:sz w:val="28"/>
        </w:rPr>
        <w:t xml:space="preserve"> </w:t>
      </w:r>
    </w:p>
    <w:p w14:paraId="67531B4C" w14:textId="77777777" w:rsidR="004D01F9" w:rsidRPr="004D01F9" w:rsidRDefault="004D01F9" w:rsidP="004D01F9">
      <w:pPr>
        <w:spacing w:before="7"/>
        <w:ind w:right="117"/>
        <w:jc w:val="right"/>
        <w:rPr>
          <w:rFonts w:ascii="Arial MT" w:eastAsia="Arial MT" w:hAnsi="Arial MT" w:cs="Arial MT"/>
          <w:sz w:val="23"/>
          <w:szCs w:val="36"/>
        </w:rPr>
      </w:pPr>
    </w:p>
    <w:p w14:paraId="7A4B19EF" w14:textId="7A08B9D9" w:rsidR="004D01F9" w:rsidRPr="004D01F9" w:rsidRDefault="004D01F9" w:rsidP="004D01F9">
      <w:pPr>
        <w:tabs>
          <w:tab w:val="left" w:leader="underscore" w:pos="8418"/>
        </w:tabs>
        <w:ind w:left="5819" w:right="117"/>
        <w:jc w:val="right"/>
        <w:rPr>
          <w:rFonts w:ascii="Arial MT" w:eastAsia="Arial MT" w:hAnsi="Arial MT" w:cs="Arial MT"/>
          <w:sz w:val="28"/>
        </w:rPr>
      </w:pPr>
      <w:r w:rsidRPr="004D01F9">
        <w:rPr>
          <w:rFonts w:ascii="Arial MT" w:eastAsia="Arial MT" w:hAnsi="Arial MT" w:cs="Arial MT"/>
          <w:sz w:val="28"/>
        </w:rPr>
        <w:t>of</w:t>
      </w:r>
      <w:r w:rsidRPr="004D01F9">
        <w:rPr>
          <w:rFonts w:ascii="Arial MT" w:eastAsia="Arial MT" w:hAnsi="Arial MT" w:cs="Arial MT"/>
          <w:spacing w:val="-1"/>
          <w:sz w:val="28"/>
        </w:rPr>
        <w:t xml:space="preserve"> </w:t>
      </w:r>
      <w:r w:rsidRPr="004D01F9">
        <w:rPr>
          <w:rFonts w:ascii="Arial MT" w:eastAsia="Arial MT" w:hAnsi="Arial MT" w:cs="Arial MT"/>
          <w:sz w:val="28"/>
        </w:rPr>
        <w:t>order</w:t>
      </w:r>
      <w:r w:rsidR="006B0457">
        <w:rPr>
          <w:rFonts w:ascii="Arial MT" w:eastAsia="Arial MT" w:hAnsi="Arial MT" w:cs="Arial MT"/>
          <w:sz w:val="28"/>
        </w:rPr>
        <w:t xml:space="preserve"> </w:t>
      </w:r>
      <w:r w:rsidR="00870FA2">
        <w:rPr>
          <w:rFonts w:ascii="Arial MT" w:eastAsia="Arial MT" w:hAnsi="Arial MT" w:cs="Arial MT"/>
          <w:sz w:val="28"/>
        </w:rPr>
        <w:t xml:space="preserve">N </w:t>
      </w:r>
      <w:r w:rsidR="006B0457">
        <w:rPr>
          <w:rFonts w:ascii="Arial MT" w:eastAsia="Arial MT" w:hAnsi="Arial MT" w:cs="Arial MT"/>
          <w:sz w:val="28"/>
        </w:rPr>
        <w:t xml:space="preserve">03-N </w:t>
      </w:r>
      <w:r w:rsidRPr="004D01F9">
        <w:rPr>
          <w:rFonts w:ascii="Arial MT" w:eastAsia="Arial MT" w:hAnsi="Arial MT" w:cs="Arial MT"/>
          <w:sz w:val="28"/>
        </w:rPr>
        <w:t>of</w:t>
      </w:r>
      <w:r w:rsidRPr="004D01F9">
        <w:rPr>
          <w:rFonts w:ascii="Arial MT" w:eastAsia="Arial MT" w:hAnsi="Arial MT" w:cs="Arial MT"/>
          <w:spacing w:val="-1"/>
          <w:sz w:val="28"/>
        </w:rPr>
        <w:t xml:space="preserve"> </w:t>
      </w:r>
      <w:r w:rsidRPr="004D01F9">
        <w:rPr>
          <w:rFonts w:ascii="Arial MT" w:eastAsia="Arial MT" w:hAnsi="Arial MT" w:cs="Arial MT"/>
          <w:sz w:val="28"/>
        </w:rPr>
        <w:t>the</w:t>
      </w:r>
    </w:p>
    <w:p w14:paraId="2E2ED22C" w14:textId="77777777" w:rsidR="004D01F9" w:rsidRPr="004D01F9" w:rsidRDefault="004D01F9" w:rsidP="004D01F9">
      <w:pPr>
        <w:spacing w:before="9"/>
        <w:ind w:right="117"/>
        <w:jc w:val="right"/>
        <w:rPr>
          <w:rFonts w:ascii="Arial MT" w:eastAsia="Arial MT" w:hAnsi="Arial MT" w:cs="Arial MT"/>
          <w:sz w:val="23"/>
          <w:szCs w:val="36"/>
        </w:rPr>
      </w:pPr>
    </w:p>
    <w:p w14:paraId="5541AEA3" w14:textId="77777777" w:rsidR="004D01F9" w:rsidRPr="004D01F9" w:rsidRDefault="004D01F9" w:rsidP="004D01F9">
      <w:pPr>
        <w:tabs>
          <w:tab w:val="left" w:pos="9090"/>
        </w:tabs>
        <w:spacing w:before="1" w:line="384" w:lineRule="auto"/>
        <w:ind w:left="5040" w:right="117" w:firstLine="1529"/>
        <w:jc w:val="right"/>
        <w:rPr>
          <w:rFonts w:ascii="Arial MT" w:eastAsia="Arial MT" w:hAnsi="Arial MT" w:cs="Arial MT"/>
          <w:sz w:val="28"/>
        </w:rPr>
      </w:pPr>
      <w:r w:rsidRPr="004D01F9">
        <w:rPr>
          <w:rFonts w:ascii="Arial MT" w:eastAsia="Arial MT" w:hAnsi="Arial MT" w:cs="Arial MT"/>
          <w:sz w:val="28"/>
        </w:rPr>
        <w:t>Minister</w:t>
      </w:r>
      <w:r w:rsidRPr="004D01F9">
        <w:rPr>
          <w:rFonts w:ascii="Arial MT" w:eastAsia="Arial MT" w:hAnsi="Arial MT" w:cs="Arial MT"/>
          <w:spacing w:val="-9"/>
          <w:sz w:val="28"/>
        </w:rPr>
        <w:t xml:space="preserve"> </w:t>
      </w:r>
      <w:r w:rsidRPr="004D01F9">
        <w:rPr>
          <w:rFonts w:ascii="Arial MT" w:eastAsia="Arial MT" w:hAnsi="Arial MT" w:cs="Arial MT"/>
          <w:sz w:val="28"/>
        </w:rPr>
        <w:t>of</w:t>
      </w:r>
      <w:r w:rsidRPr="004D01F9">
        <w:rPr>
          <w:rFonts w:ascii="Arial MT" w:eastAsia="Arial MT" w:hAnsi="Arial MT" w:cs="Arial MT"/>
          <w:spacing w:val="-8"/>
          <w:sz w:val="28"/>
        </w:rPr>
        <w:t xml:space="preserve"> </w:t>
      </w:r>
      <w:r w:rsidRPr="004D01F9">
        <w:rPr>
          <w:rFonts w:ascii="Arial MT" w:eastAsia="Arial MT" w:hAnsi="Arial MT" w:cs="Arial MT"/>
          <w:sz w:val="28"/>
        </w:rPr>
        <w:t>Territorial</w:t>
      </w:r>
      <w:r w:rsidRPr="004D01F9">
        <w:rPr>
          <w:rFonts w:ascii="Arial MT" w:eastAsia="Arial MT" w:hAnsi="Arial MT" w:cs="Arial MT"/>
          <w:spacing w:val="-75"/>
          <w:sz w:val="28"/>
        </w:rPr>
        <w:t xml:space="preserve"> </w:t>
      </w:r>
      <w:r w:rsidRPr="004D01F9">
        <w:rPr>
          <w:rFonts w:ascii="Arial MT" w:eastAsia="Arial MT" w:hAnsi="Arial MT" w:cs="Arial MT"/>
          <w:sz w:val="28"/>
        </w:rPr>
        <w:t>Administration</w:t>
      </w:r>
      <w:r w:rsidRPr="004D01F9">
        <w:rPr>
          <w:rFonts w:ascii="Arial MT" w:eastAsia="Arial MT" w:hAnsi="Arial MT" w:cs="Arial MT"/>
          <w:spacing w:val="-10"/>
          <w:sz w:val="28"/>
        </w:rPr>
        <w:t xml:space="preserve"> </w:t>
      </w:r>
      <w:r w:rsidRPr="004D01F9">
        <w:rPr>
          <w:rFonts w:ascii="Arial MT" w:eastAsia="Arial MT" w:hAnsi="Arial MT" w:cs="Arial MT"/>
          <w:sz w:val="28"/>
        </w:rPr>
        <w:t>and</w:t>
      </w:r>
      <w:r w:rsidRPr="004D01F9">
        <w:rPr>
          <w:rFonts w:ascii="Arial MT" w:eastAsia="Arial MT" w:hAnsi="Arial MT" w:cs="Arial MT"/>
          <w:spacing w:val="-9"/>
          <w:sz w:val="28"/>
        </w:rPr>
        <w:t xml:space="preserve"> </w:t>
      </w:r>
      <w:r w:rsidRPr="004D01F9">
        <w:rPr>
          <w:rFonts w:ascii="Arial MT" w:eastAsia="Arial MT" w:hAnsi="Arial MT" w:cs="Arial MT"/>
          <w:sz w:val="28"/>
        </w:rPr>
        <w:t>Infrastructure</w:t>
      </w:r>
    </w:p>
    <w:p w14:paraId="53D57616" w14:textId="77777777" w:rsidR="004D01F9" w:rsidRPr="004D01F9" w:rsidRDefault="004D01F9" w:rsidP="004D01F9">
      <w:pPr>
        <w:spacing w:before="1" w:line="384" w:lineRule="auto"/>
        <w:ind w:left="5074" w:right="117" w:firstLine="326"/>
        <w:jc w:val="right"/>
        <w:rPr>
          <w:rFonts w:ascii="Arial MT" w:eastAsia="Arial MT" w:hAnsi="Arial MT" w:cs="Arial MT"/>
          <w:sz w:val="28"/>
          <w:u w:val="dash"/>
        </w:rPr>
      </w:pPr>
      <w:r w:rsidRPr="004D01F9">
        <w:rPr>
          <w:rFonts w:ascii="Arial MT" w:eastAsia="Arial MT" w:hAnsi="Arial MT" w:cs="Arial MT"/>
          <w:sz w:val="28"/>
        </w:rPr>
        <w:t>of the Republic of Armenia by</w:t>
      </w:r>
      <w:r w:rsidR="00CE2BF9">
        <w:rPr>
          <w:rFonts w:ascii="Arial MT" w:eastAsia="Arial MT" w:hAnsi="Arial MT" w:cs="Arial MT"/>
          <w:sz w:val="28"/>
        </w:rPr>
        <w:t xml:space="preserve"> </w:t>
      </w:r>
      <w:r>
        <w:rPr>
          <w:rFonts w:ascii="Arial MT" w:eastAsia="Arial MT" w:hAnsi="Arial MT" w:cs="Arial MT"/>
          <w:sz w:val="28"/>
        </w:rPr>
        <w:t xml:space="preserve">  </w:t>
      </w:r>
      <w:r>
        <w:rPr>
          <w:rFonts w:ascii="Arial MT" w:eastAsia="Arial MT" w:hAnsi="Arial MT" w:cs="Arial MT"/>
          <w:sz w:val="28"/>
          <w:u w:val="dash"/>
        </w:rPr>
        <w:t xml:space="preserve">     </w:t>
      </w:r>
    </w:p>
    <w:p w14:paraId="3F1FFFC9" w14:textId="2C8BC9C1" w:rsidR="004D01F9" w:rsidRPr="006B0457" w:rsidRDefault="006B0457" w:rsidP="004D01F9">
      <w:pPr>
        <w:spacing w:before="1" w:line="384" w:lineRule="auto"/>
        <w:ind w:left="5074" w:right="117" w:firstLine="326"/>
        <w:jc w:val="right"/>
        <w:rPr>
          <w:rFonts w:ascii="Arial MT" w:hAnsi="Arial MT"/>
          <w:sz w:val="28"/>
          <w:szCs w:val="28"/>
        </w:rPr>
      </w:pPr>
      <w:r>
        <w:rPr>
          <w:rFonts w:ascii="Arial MT" w:hAnsi="Arial MT"/>
          <w:sz w:val="28"/>
          <w:szCs w:val="28"/>
        </w:rPr>
        <w:t>2</w:t>
      </w:r>
      <w:r w:rsidRPr="006B0457">
        <w:rPr>
          <w:rFonts w:ascii="Arial MT" w:hAnsi="Arial MT"/>
          <w:sz w:val="28"/>
          <w:szCs w:val="28"/>
        </w:rPr>
        <w:t> </w:t>
      </w:r>
      <w:r>
        <w:rPr>
          <w:rFonts w:ascii="Arial MT" w:hAnsi="Arial MT"/>
          <w:sz w:val="28"/>
          <w:szCs w:val="28"/>
        </w:rPr>
        <w:t>April</w:t>
      </w:r>
      <w:r w:rsidRPr="006B0457">
        <w:rPr>
          <w:rFonts w:ascii="Arial MT" w:hAnsi="Arial MT"/>
          <w:sz w:val="28"/>
          <w:szCs w:val="28"/>
        </w:rPr>
        <w:t xml:space="preserve"> 202</w:t>
      </w:r>
      <w:r>
        <w:rPr>
          <w:rFonts w:ascii="Arial MT" w:hAnsi="Arial MT"/>
          <w:sz w:val="28"/>
          <w:szCs w:val="28"/>
        </w:rPr>
        <w:t>4</w:t>
      </w:r>
      <w:r w:rsidR="004D01F9" w:rsidRPr="006B0457">
        <w:rPr>
          <w:rFonts w:ascii="Arial MT" w:hAnsi="Arial MT"/>
          <w:sz w:val="28"/>
          <w:szCs w:val="28"/>
        </w:rPr>
        <w:t xml:space="preserve">                                                                                      </w:t>
      </w:r>
    </w:p>
    <w:p w14:paraId="49A49B09" w14:textId="77777777" w:rsidR="004D01F9" w:rsidRPr="004D01F9" w:rsidRDefault="004D01F9" w:rsidP="004D01F9">
      <w:pPr>
        <w:spacing w:before="1" w:line="384" w:lineRule="auto"/>
        <w:ind w:left="5074" w:right="117" w:firstLine="326"/>
        <w:rPr>
          <w:rFonts w:ascii="Arial MT" w:eastAsia="Arial MT" w:hAnsi="Arial MT" w:cs="Arial MT"/>
          <w:sz w:val="28"/>
          <w:u w:val="dash"/>
        </w:rPr>
      </w:pPr>
      <w:r w:rsidRPr="004D01F9">
        <w:rPr>
          <w:rFonts w:ascii="Arial MT" w:eastAsia="Arial MT" w:hAnsi="Arial MT" w:cs="Arial MT"/>
          <w:sz w:val="28"/>
          <w:u w:val="dash"/>
        </w:rPr>
        <w:t xml:space="preserve">                           </w:t>
      </w:r>
    </w:p>
    <w:p w14:paraId="4ADC7A04" w14:textId="77777777" w:rsidR="004D01F9" w:rsidRPr="004D01F9" w:rsidRDefault="004D01F9" w:rsidP="004D01F9">
      <w:pPr>
        <w:rPr>
          <w:rFonts w:ascii="Arial MT" w:eastAsia="Arial MT" w:hAnsi="Arial MT" w:cs="Arial MT"/>
          <w:sz w:val="30"/>
          <w:szCs w:val="36"/>
        </w:rPr>
      </w:pPr>
    </w:p>
    <w:p w14:paraId="0741CBD1" w14:textId="7533CA51" w:rsidR="00111605" w:rsidRDefault="00111605" w:rsidP="004D01F9">
      <w:pPr>
        <w:pStyle w:val="BodyText"/>
        <w:ind w:left="450" w:firstLine="180"/>
        <w:rPr>
          <w:lang w:val="hy-AM"/>
        </w:rPr>
      </w:pPr>
    </w:p>
    <w:p w14:paraId="5EE589BF" w14:textId="77777777" w:rsidR="006D22AF" w:rsidRPr="00C1366B" w:rsidRDefault="006D22AF" w:rsidP="004D01F9">
      <w:pPr>
        <w:pStyle w:val="BodyText"/>
        <w:ind w:left="450" w:firstLine="180"/>
        <w:rPr>
          <w:lang w:val="hy-AM"/>
        </w:rPr>
      </w:pPr>
    </w:p>
    <w:p w14:paraId="0234B4AC" w14:textId="77777777" w:rsidR="00111605" w:rsidRPr="00276D5E" w:rsidRDefault="00111605" w:rsidP="009601C2">
      <w:pPr>
        <w:pStyle w:val="BodyText"/>
        <w:spacing w:before="4" w:line="276" w:lineRule="auto"/>
        <w:rPr>
          <w:rFonts w:ascii="Arial" w:hAnsi="Arial" w:cs="Arial"/>
          <w:noProof/>
        </w:rPr>
      </w:pPr>
    </w:p>
    <w:p w14:paraId="3B03D040" w14:textId="77777777" w:rsidR="00111605" w:rsidRPr="00276D5E" w:rsidRDefault="00111605" w:rsidP="009601C2">
      <w:pPr>
        <w:pStyle w:val="BodyText"/>
        <w:spacing w:before="4" w:line="276" w:lineRule="auto"/>
        <w:rPr>
          <w:rFonts w:ascii="Arial" w:hAnsi="Arial" w:cs="Arial"/>
          <w:noProof/>
        </w:rPr>
      </w:pPr>
    </w:p>
    <w:p w14:paraId="1C58EFB6" w14:textId="77777777" w:rsidR="00111605" w:rsidRPr="00276D5E" w:rsidRDefault="00111605" w:rsidP="009601C2">
      <w:pPr>
        <w:pStyle w:val="BodyText"/>
        <w:spacing w:before="4" w:line="276" w:lineRule="auto"/>
        <w:rPr>
          <w:rFonts w:ascii="Arial" w:hAnsi="Arial" w:cs="Arial"/>
          <w:noProof/>
        </w:rPr>
      </w:pPr>
    </w:p>
    <w:p w14:paraId="1AF0D609" w14:textId="77777777" w:rsidR="00111605" w:rsidRPr="00276D5E" w:rsidRDefault="00111605" w:rsidP="00CF0C4B">
      <w:pPr>
        <w:pStyle w:val="BodyText"/>
        <w:spacing w:before="4" w:line="276" w:lineRule="auto"/>
        <w:ind w:left="142"/>
        <w:rPr>
          <w:rFonts w:ascii="Arial" w:hAnsi="Arial" w:cs="Arial"/>
          <w:noProof/>
        </w:rPr>
      </w:pPr>
    </w:p>
    <w:p w14:paraId="244FE499" w14:textId="2BA35CED" w:rsidR="00111605" w:rsidRPr="00276D5E" w:rsidRDefault="00111605" w:rsidP="00BC7B66">
      <w:pPr>
        <w:pStyle w:val="BodyText"/>
        <w:spacing w:before="4" w:line="276" w:lineRule="auto"/>
        <w:ind w:left="709"/>
        <w:jc w:val="center"/>
        <w:rPr>
          <w:rFonts w:ascii="Arial" w:hAnsi="Arial" w:cs="Arial"/>
          <w:b/>
          <w:noProof/>
          <w:sz w:val="40"/>
        </w:rPr>
      </w:pPr>
      <w:r w:rsidRPr="00276D5E">
        <w:rPr>
          <w:rFonts w:ascii="Arial" w:hAnsi="Arial" w:cs="Arial"/>
          <w:b/>
          <w:noProof/>
          <w:sz w:val="40"/>
        </w:rPr>
        <w:t>BAL</w:t>
      </w:r>
      <w:r w:rsidR="008A7658">
        <w:rPr>
          <w:rFonts w:ascii="Arial" w:hAnsi="Arial" w:cs="Arial"/>
          <w:b/>
          <w:noProof/>
          <w:sz w:val="40"/>
        </w:rPr>
        <w:t>L</w:t>
      </w:r>
      <w:r w:rsidRPr="00276D5E">
        <w:rPr>
          <w:rFonts w:ascii="Arial" w:hAnsi="Arial" w:cs="Arial"/>
          <w:b/>
          <w:noProof/>
          <w:sz w:val="40"/>
        </w:rPr>
        <w:t>OON</w:t>
      </w:r>
      <w:r w:rsidR="00FB5718">
        <w:rPr>
          <w:rFonts w:ascii="Arial" w:hAnsi="Arial" w:cs="Arial"/>
          <w:b/>
          <w:noProof/>
          <w:sz w:val="40"/>
        </w:rPr>
        <w:t xml:space="preserve"> OPERATIONS </w:t>
      </w:r>
      <w:r w:rsidRPr="00276D5E">
        <w:rPr>
          <w:rFonts w:ascii="Arial" w:hAnsi="Arial" w:cs="Arial"/>
          <w:b/>
          <w:noProof/>
          <w:sz w:val="40"/>
        </w:rPr>
        <w:t>REGULATION</w:t>
      </w:r>
    </w:p>
    <w:p w14:paraId="28018671" w14:textId="77777777" w:rsidR="00111605" w:rsidRPr="00276D5E" w:rsidRDefault="00111605" w:rsidP="009601C2">
      <w:pPr>
        <w:pStyle w:val="BodyText"/>
        <w:spacing w:before="4" w:line="276" w:lineRule="auto"/>
        <w:jc w:val="center"/>
        <w:rPr>
          <w:rFonts w:ascii="Arial" w:hAnsi="Arial" w:cs="Arial"/>
          <w:b/>
          <w:noProof/>
          <w:sz w:val="40"/>
        </w:rPr>
      </w:pPr>
    </w:p>
    <w:p w14:paraId="76D9196A" w14:textId="77777777" w:rsidR="003F3508" w:rsidRPr="003F3508" w:rsidRDefault="003F3508" w:rsidP="003F3508">
      <w:pPr>
        <w:pStyle w:val="BodyText"/>
        <w:spacing w:before="4" w:line="276" w:lineRule="auto"/>
        <w:jc w:val="center"/>
        <w:rPr>
          <w:rFonts w:ascii="Arial MT" w:eastAsia="Arial MT" w:hAnsi="Arial MT" w:cs="Arial MT"/>
          <w:bCs/>
          <w:sz w:val="36"/>
          <w:szCs w:val="36"/>
        </w:rPr>
      </w:pPr>
    </w:p>
    <w:p w14:paraId="63667F48" w14:textId="58D4F1BF" w:rsidR="00111605" w:rsidRPr="003F3508" w:rsidRDefault="003F3508" w:rsidP="003F3508">
      <w:pPr>
        <w:pStyle w:val="BodyText"/>
        <w:spacing w:before="4" w:line="276" w:lineRule="auto"/>
        <w:ind w:left="450"/>
        <w:jc w:val="center"/>
        <w:rPr>
          <w:rFonts w:ascii="Arial MT" w:eastAsia="Arial MT" w:hAnsi="Arial MT" w:cs="Arial MT"/>
          <w:b/>
          <w:bCs/>
          <w:sz w:val="36"/>
          <w:szCs w:val="36"/>
        </w:rPr>
      </w:pPr>
      <w:r w:rsidRPr="003F3508">
        <w:rPr>
          <w:rFonts w:ascii="Arial MT" w:eastAsia="Arial MT" w:hAnsi="Arial MT" w:cs="Arial MT"/>
          <w:bCs/>
          <w:sz w:val="36"/>
          <w:szCs w:val="36"/>
        </w:rPr>
        <w:t>laying down technical requirements and administrative procedures related to air operations</w:t>
      </w:r>
    </w:p>
    <w:p w14:paraId="6E2DEBEF" w14:textId="77777777" w:rsidR="00111605" w:rsidRDefault="00111605" w:rsidP="009601C2">
      <w:pPr>
        <w:pStyle w:val="BodyText"/>
        <w:spacing w:before="4" w:line="276" w:lineRule="auto"/>
        <w:jc w:val="center"/>
        <w:rPr>
          <w:rFonts w:ascii="Arial" w:hAnsi="Arial" w:cs="Arial"/>
          <w:b/>
          <w:noProof/>
          <w:sz w:val="40"/>
        </w:rPr>
      </w:pPr>
    </w:p>
    <w:p w14:paraId="72C1168C" w14:textId="77777777" w:rsidR="008A7658" w:rsidRDefault="008A7658" w:rsidP="009601C2">
      <w:pPr>
        <w:pStyle w:val="BodyText"/>
        <w:spacing w:before="4" w:line="276" w:lineRule="auto"/>
        <w:jc w:val="center"/>
        <w:rPr>
          <w:rFonts w:ascii="Arial" w:hAnsi="Arial" w:cs="Arial"/>
          <w:b/>
          <w:noProof/>
          <w:sz w:val="40"/>
        </w:rPr>
      </w:pPr>
    </w:p>
    <w:p w14:paraId="748AFA42" w14:textId="77777777" w:rsidR="008A7658" w:rsidRDefault="008A7658" w:rsidP="009601C2">
      <w:pPr>
        <w:pStyle w:val="BodyText"/>
        <w:spacing w:before="4" w:line="276" w:lineRule="auto"/>
        <w:jc w:val="center"/>
        <w:rPr>
          <w:rFonts w:ascii="Arial" w:hAnsi="Arial" w:cs="Arial"/>
          <w:b/>
          <w:noProof/>
          <w:sz w:val="40"/>
        </w:rPr>
      </w:pPr>
    </w:p>
    <w:p w14:paraId="12AFAA7E" w14:textId="77777777" w:rsidR="008A7658" w:rsidRDefault="008A7658" w:rsidP="009601C2">
      <w:pPr>
        <w:pStyle w:val="BodyText"/>
        <w:spacing w:before="4" w:line="276" w:lineRule="auto"/>
        <w:jc w:val="center"/>
        <w:rPr>
          <w:rFonts w:ascii="Arial" w:hAnsi="Arial" w:cs="Arial"/>
          <w:b/>
          <w:noProof/>
          <w:sz w:val="40"/>
        </w:rPr>
      </w:pPr>
    </w:p>
    <w:p w14:paraId="782C68A1" w14:textId="77777777" w:rsidR="008A7658" w:rsidRDefault="008A7658" w:rsidP="009601C2">
      <w:pPr>
        <w:pStyle w:val="BodyText"/>
        <w:spacing w:before="4" w:line="276" w:lineRule="auto"/>
        <w:jc w:val="center"/>
        <w:rPr>
          <w:rFonts w:ascii="Arial" w:hAnsi="Arial" w:cs="Arial"/>
          <w:b/>
          <w:noProof/>
          <w:sz w:val="40"/>
        </w:rPr>
      </w:pPr>
    </w:p>
    <w:p w14:paraId="5AB6E5EB" w14:textId="57955185" w:rsidR="008A7658" w:rsidRDefault="008A7658" w:rsidP="009601C2">
      <w:pPr>
        <w:pStyle w:val="BodyText"/>
        <w:spacing w:before="4" w:line="276" w:lineRule="auto"/>
        <w:jc w:val="center"/>
        <w:rPr>
          <w:rFonts w:ascii="Arial" w:hAnsi="Arial" w:cs="Arial"/>
          <w:b/>
          <w:noProof/>
          <w:sz w:val="40"/>
        </w:rPr>
      </w:pPr>
    </w:p>
    <w:p w14:paraId="166547AA" w14:textId="05720F8B" w:rsidR="006D22AF" w:rsidRDefault="006D22AF" w:rsidP="009601C2">
      <w:pPr>
        <w:pStyle w:val="BodyText"/>
        <w:spacing w:before="4" w:line="276" w:lineRule="auto"/>
        <w:jc w:val="center"/>
        <w:rPr>
          <w:rFonts w:ascii="Arial" w:hAnsi="Arial" w:cs="Arial"/>
          <w:b/>
          <w:noProof/>
          <w:sz w:val="40"/>
        </w:rPr>
      </w:pPr>
    </w:p>
    <w:p w14:paraId="03CB0012" w14:textId="21312A80" w:rsidR="006D22AF" w:rsidRDefault="006D22AF" w:rsidP="009601C2">
      <w:pPr>
        <w:pStyle w:val="BodyText"/>
        <w:spacing w:before="4" w:line="276" w:lineRule="auto"/>
        <w:jc w:val="center"/>
        <w:rPr>
          <w:rFonts w:ascii="Arial" w:hAnsi="Arial" w:cs="Arial"/>
          <w:b/>
          <w:noProof/>
          <w:sz w:val="40"/>
        </w:rPr>
      </w:pPr>
    </w:p>
    <w:p w14:paraId="763824F2" w14:textId="6E1E450F" w:rsidR="006D22AF" w:rsidRDefault="006D22AF" w:rsidP="009601C2">
      <w:pPr>
        <w:pStyle w:val="BodyText"/>
        <w:spacing w:before="4" w:line="276" w:lineRule="auto"/>
        <w:jc w:val="center"/>
        <w:rPr>
          <w:rFonts w:ascii="Arial" w:hAnsi="Arial" w:cs="Arial"/>
          <w:b/>
          <w:noProof/>
          <w:sz w:val="40"/>
        </w:rPr>
      </w:pPr>
    </w:p>
    <w:p w14:paraId="783BDD6B" w14:textId="2FA4E013" w:rsidR="006D22AF" w:rsidRDefault="006D22AF" w:rsidP="009601C2">
      <w:pPr>
        <w:pStyle w:val="BodyText"/>
        <w:spacing w:before="4" w:line="276" w:lineRule="auto"/>
        <w:jc w:val="center"/>
        <w:rPr>
          <w:rFonts w:ascii="Arial" w:hAnsi="Arial" w:cs="Arial"/>
          <w:b/>
          <w:noProof/>
          <w:sz w:val="40"/>
        </w:rPr>
      </w:pPr>
    </w:p>
    <w:p w14:paraId="7408A56D" w14:textId="77777777" w:rsidR="00BC7B66" w:rsidRDefault="00BC7B66" w:rsidP="00BC7B66">
      <w:pPr>
        <w:pStyle w:val="BodyText"/>
        <w:spacing w:before="4" w:line="276" w:lineRule="auto"/>
        <w:rPr>
          <w:rFonts w:ascii="Arial" w:hAnsi="Arial" w:cs="Arial"/>
          <w:b/>
          <w:noProof/>
          <w:sz w:val="40"/>
        </w:rPr>
      </w:pPr>
    </w:p>
    <w:p w14:paraId="3A235EA2" w14:textId="5F3617A3" w:rsidR="00111605" w:rsidRPr="008A7658" w:rsidRDefault="00AE4BA7" w:rsidP="00BC7B66">
      <w:pPr>
        <w:pStyle w:val="BodyText"/>
        <w:tabs>
          <w:tab w:val="left" w:pos="993"/>
        </w:tabs>
        <w:spacing w:before="4" w:line="276" w:lineRule="auto"/>
        <w:ind w:left="284" w:firstLine="709"/>
        <w:jc w:val="center"/>
        <w:rPr>
          <w:rFonts w:ascii="Arial" w:hAnsi="Arial" w:cs="Arial"/>
          <w:b/>
        </w:rPr>
      </w:pPr>
      <w:r>
        <w:rPr>
          <w:rFonts w:ascii="Arial" w:hAnsi="Arial" w:cs="Arial"/>
          <w:b/>
          <w:noProof/>
          <w:sz w:val="32"/>
        </w:rPr>
        <w:t>March</w:t>
      </w:r>
      <w:r w:rsidR="00111605" w:rsidRPr="008A7658">
        <w:rPr>
          <w:rFonts w:ascii="Arial" w:hAnsi="Arial" w:cs="Arial"/>
          <w:b/>
          <w:noProof/>
          <w:sz w:val="32"/>
        </w:rPr>
        <w:t xml:space="preserve"> 2023</w:t>
      </w:r>
    </w:p>
    <w:p w14:paraId="79F24B55" w14:textId="77777777" w:rsidR="00111605" w:rsidRPr="00276D5E" w:rsidRDefault="00111605" w:rsidP="009601C2">
      <w:pPr>
        <w:spacing w:line="276" w:lineRule="auto"/>
        <w:rPr>
          <w:rFonts w:ascii="Arial" w:hAnsi="Arial" w:cs="Arial"/>
          <w:sz w:val="17"/>
        </w:rPr>
        <w:sectPr w:rsidR="00111605" w:rsidRPr="00276D5E" w:rsidSect="008304B0">
          <w:pgSz w:w="11910" w:h="16840"/>
          <w:pgMar w:top="820" w:right="1200" w:bottom="280" w:left="380" w:header="720" w:footer="720" w:gutter="0"/>
          <w:cols w:space="720"/>
        </w:sectPr>
      </w:pPr>
    </w:p>
    <w:p w14:paraId="5F40FDF4" w14:textId="77777777" w:rsidR="00111605" w:rsidRPr="00276D5E" w:rsidRDefault="00111605" w:rsidP="009601C2">
      <w:pPr>
        <w:spacing w:line="276" w:lineRule="auto"/>
        <w:rPr>
          <w:rFonts w:ascii="Arial" w:hAnsi="Arial" w:cs="Arial"/>
        </w:rPr>
        <w:sectPr w:rsidR="00111605" w:rsidRPr="00276D5E" w:rsidSect="008304B0">
          <w:headerReference w:type="default" r:id="rId8"/>
          <w:footerReference w:type="default" r:id="rId9"/>
          <w:type w:val="continuous"/>
          <w:pgSz w:w="11910" w:h="16840"/>
          <w:pgMar w:top="1592" w:right="1240" w:bottom="1659" w:left="1300" w:header="720" w:footer="720" w:gutter="0"/>
          <w:cols w:space="720"/>
        </w:sectPr>
      </w:pPr>
    </w:p>
    <w:p w14:paraId="20AB813C" w14:textId="1A8BD09D" w:rsidR="00BE3F4E" w:rsidRPr="00BE3F4E" w:rsidRDefault="00BE3F4E" w:rsidP="00BE3F4E">
      <w:pPr>
        <w:pStyle w:val="TOC1"/>
      </w:pPr>
      <w:r w:rsidRPr="00BE3F4E">
        <w:lastRenderedPageBreak/>
        <w:t>TABLE OF CONTENTS</w:t>
      </w:r>
    </w:p>
    <w:p w14:paraId="6184E662" w14:textId="0B3F338C" w:rsidR="00BE3F4E" w:rsidRPr="00BE3F4E" w:rsidRDefault="00DE6447" w:rsidP="00BE3F4E">
      <w:pPr>
        <w:pStyle w:val="TOC1"/>
        <w:rPr>
          <w:noProof/>
        </w:rPr>
      </w:pPr>
      <w:r w:rsidRPr="00BE3F4E">
        <w:fldChar w:fldCharType="begin"/>
      </w:r>
      <w:r w:rsidRPr="00BE3F4E">
        <w:instrText xml:space="preserve"> TOC \o \h \z \u </w:instrText>
      </w:r>
      <w:r w:rsidRPr="00BE3F4E">
        <w:fldChar w:fldCharType="separate"/>
      </w:r>
      <w:hyperlink w:anchor="_Toc153137169" w:history="1">
        <w:r w:rsidR="00BE3F4E" w:rsidRPr="00BE3F4E">
          <w:rPr>
            <w:rStyle w:val="Hyperlink"/>
            <w:b w:val="0"/>
            <w:bCs w:val="0"/>
            <w:noProof/>
            <w:sz w:val="20"/>
            <w:szCs w:val="20"/>
          </w:rPr>
          <w:t>CHAPTER 1 — AIR OPERATIONS AND LICENSING</w:t>
        </w:r>
        <w:r w:rsidR="00BE3F4E" w:rsidRPr="00BE3F4E">
          <w:rPr>
            <w:b w:val="0"/>
            <w:bCs w:val="0"/>
            <w:noProof/>
            <w:webHidden/>
            <w:sz w:val="20"/>
            <w:szCs w:val="20"/>
          </w:rPr>
          <w:tab/>
        </w:r>
        <w:r w:rsidR="00BE3F4E" w:rsidRPr="00BE3F4E">
          <w:rPr>
            <w:b w:val="0"/>
            <w:bCs w:val="0"/>
            <w:noProof/>
            <w:webHidden/>
            <w:sz w:val="20"/>
            <w:szCs w:val="20"/>
          </w:rPr>
          <w:fldChar w:fldCharType="begin"/>
        </w:r>
        <w:r w:rsidR="00BE3F4E" w:rsidRPr="00BE3F4E">
          <w:rPr>
            <w:b w:val="0"/>
            <w:bCs w:val="0"/>
            <w:noProof/>
            <w:webHidden/>
            <w:sz w:val="20"/>
            <w:szCs w:val="20"/>
          </w:rPr>
          <w:instrText xml:space="preserve"> PAGEREF _Toc153137169 \h </w:instrText>
        </w:r>
        <w:r w:rsidR="00BE3F4E" w:rsidRPr="00BE3F4E">
          <w:rPr>
            <w:b w:val="0"/>
            <w:bCs w:val="0"/>
            <w:noProof/>
            <w:webHidden/>
            <w:sz w:val="20"/>
            <w:szCs w:val="20"/>
          </w:rPr>
        </w:r>
        <w:r w:rsidR="00BE3F4E" w:rsidRPr="00BE3F4E">
          <w:rPr>
            <w:b w:val="0"/>
            <w:bCs w:val="0"/>
            <w:noProof/>
            <w:webHidden/>
            <w:sz w:val="20"/>
            <w:szCs w:val="20"/>
          </w:rPr>
          <w:fldChar w:fldCharType="separate"/>
        </w:r>
        <w:r w:rsidR="006A7538">
          <w:rPr>
            <w:b w:val="0"/>
            <w:bCs w:val="0"/>
            <w:noProof/>
            <w:webHidden/>
            <w:sz w:val="20"/>
            <w:szCs w:val="20"/>
          </w:rPr>
          <w:t>18</w:t>
        </w:r>
        <w:r w:rsidR="00BE3F4E" w:rsidRPr="00BE3F4E">
          <w:rPr>
            <w:b w:val="0"/>
            <w:bCs w:val="0"/>
            <w:noProof/>
            <w:webHidden/>
            <w:sz w:val="20"/>
            <w:szCs w:val="20"/>
          </w:rPr>
          <w:fldChar w:fldCharType="end"/>
        </w:r>
      </w:hyperlink>
    </w:p>
    <w:p w14:paraId="42873018" w14:textId="7E704CEE" w:rsidR="00BE3F4E" w:rsidRPr="00BE3F4E" w:rsidRDefault="00000000">
      <w:pPr>
        <w:pStyle w:val="TOC3"/>
        <w:tabs>
          <w:tab w:val="right" w:leader="underscore" w:pos="9016"/>
        </w:tabs>
        <w:rPr>
          <w:rFonts w:ascii="Arial" w:eastAsiaTheme="minorEastAsia" w:hAnsi="Arial" w:cs="Arial"/>
          <w:b w:val="0"/>
          <w:bCs w:val="0"/>
          <w:noProof/>
          <w:sz w:val="20"/>
          <w:szCs w:val="20"/>
        </w:rPr>
      </w:pPr>
      <w:hyperlink w:anchor="_Toc153137170" w:history="1">
        <w:r w:rsidR="00BE3F4E" w:rsidRPr="00BE3F4E">
          <w:rPr>
            <w:rStyle w:val="Hyperlink"/>
            <w:rFonts w:ascii="Arial" w:eastAsiaTheme="majorEastAsia" w:hAnsi="Arial" w:cs="Arial"/>
            <w:b w:val="0"/>
            <w:bCs w:val="0"/>
            <w:noProof/>
            <w:sz w:val="20"/>
            <w:szCs w:val="20"/>
          </w:rPr>
          <w:t>COVER REGULATION</w:t>
        </w:r>
        <w:r w:rsidR="00BE3F4E" w:rsidRPr="00BE3F4E">
          <w:rPr>
            <w:rFonts w:ascii="Arial" w:hAnsi="Arial" w:cs="Arial"/>
            <w:b w:val="0"/>
            <w:bCs w:val="0"/>
            <w:noProof/>
            <w:webHidden/>
            <w:sz w:val="20"/>
            <w:szCs w:val="20"/>
          </w:rPr>
          <w:tab/>
        </w:r>
        <w:r w:rsidR="00BE3F4E" w:rsidRPr="00BE3F4E">
          <w:rPr>
            <w:rFonts w:ascii="Arial" w:hAnsi="Arial" w:cs="Arial"/>
            <w:b w:val="0"/>
            <w:bCs w:val="0"/>
            <w:noProof/>
            <w:webHidden/>
            <w:sz w:val="20"/>
            <w:szCs w:val="20"/>
          </w:rPr>
          <w:fldChar w:fldCharType="begin"/>
        </w:r>
        <w:r w:rsidR="00BE3F4E" w:rsidRPr="00BE3F4E">
          <w:rPr>
            <w:rFonts w:ascii="Arial" w:hAnsi="Arial" w:cs="Arial"/>
            <w:b w:val="0"/>
            <w:bCs w:val="0"/>
            <w:noProof/>
            <w:webHidden/>
            <w:sz w:val="20"/>
            <w:szCs w:val="20"/>
          </w:rPr>
          <w:instrText xml:space="preserve"> PAGEREF _Toc153137170 \h </w:instrText>
        </w:r>
        <w:r w:rsidR="00BE3F4E" w:rsidRPr="00BE3F4E">
          <w:rPr>
            <w:rFonts w:ascii="Arial" w:hAnsi="Arial" w:cs="Arial"/>
            <w:b w:val="0"/>
            <w:bCs w:val="0"/>
            <w:noProof/>
            <w:webHidden/>
            <w:sz w:val="20"/>
            <w:szCs w:val="20"/>
          </w:rPr>
        </w:r>
        <w:r w:rsidR="00BE3F4E" w:rsidRPr="00BE3F4E">
          <w:rPr>
            <w:rFonts w:ascii="Arial" w:hAnsi="Arial" w:cs="Arial"/>
            <w:b w:val="0"/>
            <w:bCs w:val="0"/>
            <w:noProof/>
            <w:webHidden/>
            <w:sz w:val="20"/>
            <w:szCs w:val="20"/>
          </w:rPr>
          <w:fldChar w:fldCharType="separate"/>
        </w:r>
        <w:r w:rsidR="006A7538">
          <w:rPr>
            <w:rFonts w:ascii="Arial" w:hAnsi="Arial" w:cs="Arial"/>
            <w:b w:val="0"/>
            <w:bCs w:val="0"/>
            <w:noProof/>
            <w:webHidden/>
            <w:sz w:val="20"/>
            <w:szCs w:val="20"/>
          </w:rPr>
          <w:t>18</w:t>
        </w:r>
        <w:r w:rsidR="00BE3F4E" w:rsidRPr="00BE3F4E">
          <w:rPr>
            <w:rFonts w:ascii="Arial" w:hAnsi="Arial" w:cs="Arial"/>
            <w:b w:val="0"/>
            <w:bCs w:val="0"/>
            <w:noProof/>
            <w:webHidden/>
            <w:sz w:val="20"/>
            <w:szCs w:val="20"/>
          </w:rPr>
          <w:fldChar w:fldCharType="end"/>
        </w:r>
      </w:hyperlink>
    </w:p>
    <w:p w14:paraId="574CD12C" w14:textId="17F8B244" w:rsidR="00BE3F4E" w:rsidRPr="00BE3F4E" w:rsidRDefault="00000000">
      <w:pPr>
        <w:pStyle w:val="TOC4"/>
        <w:tabs>
          <w:tab w:val="right" w:leader="underscore" w:pos="9016"/>
        </w:tabs>
        <w:rPr>
          <w:rFonts w:ascii="Arial" w:eastAsiaTheme="minorEastAsia" w:hAnsi="Arial" w:cs="Arial"/>
          <w:noProof/>
          <w:sz w:val="20"/>
          <w:szCs w:val="20"/>
        </w:rPr>
      </w:pPr>
      <w:hyperlink w:anchor="_Toc153137171" w:history="1">
        <w:r w:rsidR="00BE3F4E" w:rsidRPr="00BE3F4E">
          <w:rPr>
            <w:rStyle w:val="Hyperlink"/>
            <w:rFonts w:ascii="Arial" w:eastAsia="Times New Roman" w:hAnsi="Arial" w:cs="Arial"/>
            <w:iCs/>
            <w:noProof/>
            <w:sz w:val="20"/>
            <w:szCs w:val="20"/>
          </w:rPr>
          <w:t>Article 1 Subject matter and scope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_Toc153137171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18</w:t>
        </w:r>
        <w:r w:rsidR="00BE3F4E" w:rsidRPr="00BE3F4E">
          <w:rPr>
            <w:rFonts w:ascii="Arial" w:hAnsi="Arial" w:cs="Arial"/>
            <w:noProof/>
            <w:webHidden/>
            <w:sz w:val="20"/>
            <w:szCs w:val="20"/>
          </w:rPr>
          <w:fldChar w:fldCharType="end"/>
        </w:r>
      </w:hyperlink>
    </w:p>
    <w:p w14:paraId="390177A0" w14:textId="14CD622B" w:rsidR="00BE3F4E" w:rsidRPr="00BE3F4E" w:rsidRDefault="00000000">
      <w:pPr>
        <w:pStyle w:val="TOC4"/>
        <w:tabs>
          <w:tab w:val="right" w:leader="underscore" w:pos="9016"/>
        </w:tabs>
        <w:rPr>
          <w:rFonts w:ascii="Arial" w:eastAsiaTheme="minorEastAsia" w:hAnsi="Arial" w:cs="Arial"/>
          <w:noProof/>
          <w:sz w:val="20"/>
          <w:szCs w:val="20"/>
        </w:rPr>
      </w:pPr>
      <w:hyperlink w:anchor="_Toc153137172" w:history="1">
        <w:r w:rsidR="00BE3F4E" w:rsidRPr="00BE3F4E">
          <w:rPr>
            <w:rStyle w:val="Hyperlink"/>
            <w:rFonts w:ascii="Arial" w:eastAsia="Times New Roman" w:hAnsi="Arial" w:cs="Arial"/>
            <w:iCs/>
            <w:noProof/>
            <w:sz w:val="20"/>
            <w:szCs w:val="20"/>
          </w:rPr>
          <w:t>Article 2 Definitions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_Toc153137172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18</w:t>
        </w:r>
        <w:r w:rsidR="00BE3F4E" w:rsidRPr="00BE3F4E">
          <w:rPr>
            <w:rFonts w:ascii="Arial" w:hAnsi="Arial" w:cs="Arial"/>
            <w:noProof/>
            <w:webHidden/>
            <w:sz w:val="20"/>
            <w:szCs w:val="20"/>
          </w:rPr>
          <w:fldChar w:fldCharType="end"/>
        </w:r>
      </w:hyperlink>
    </w:p>
    <w:p w14:paraId="08570B85" w14:textId="6001B284" w:rsidR="00BE3F4E" w:rsidRPr="00BE3F4E" w:rsidRDefault="00000000">
      <w:pPr>
        <w:pStyle w:val="TOC4"/>
        <w:tabs>
          <w:tab w:val="right" w:leader="underscore" w:pos="9016"/>
        </w:tabs>
        <w:rPr>
          <w:rFonts w:ascii="Arial" w:eastAsiaTheme="minorEastAsia" w:hAnsi="Arial" w:cs="Arial"/>
          <w:noProof/>
          <w:sz w:val="20"/>
          <w:szCs w:val="20"/>
        </w:rPr>
      </w:pPr>
      <w:hyperlink w:anchor="_Toc153137173" w:history="1">
        <w:r w:rsidR="00BE3F4E" w:rsidRPr="00BE3F4E">
          <w:rPr>
            <w:rStyle w:val="Hyperlink"/>
            <w:rFonts w:ascii="Arial" w:eastAsia="Times New Roman" w:hAnsi="Arial" w:cs="Arial"/>
            <w:iCs/>
            <w:noProof/>
            <w:sz w:val="20"/>
            <w:szCs w:val="20"/>
          </w:rPr>
          <w:t>Article 3 Air operations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_Toc153137173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19</w:t>
        </w:r>
        <w:r w:rsidR="00BE3F4E" w:rsidRPr="00BE3F4E">
          <w:rPr>
            <w:rFonts w:ascii="Arial" w:hAnsi="Arial" w:cs="Arial"/>
            <w:noProof/>
            <w:webHidden/>
            <w:sz w:val="20"/>
            <w:szCs w:val="20"/>
          </w:rPr>
          <w:fldChar w:fldCharType="end"/>
        </w:r>
      </w:hyperlink>
    </w:p>
    <w:p w14:paraId="0E61B15B" w14:textId="3FDB0333" w:rsidR="00BE3F4E" w:rsidRPr="00BE3F4E" w:rsidRDefault="00000000">
      <w:pPr>
        <w:pStyle w:val="TOC5"/>
        <w:tabs>
          <w:tab w:val="right" w:leader="underscore" w:pos="9016"/>
        </w:tabs>
        <w:rPr>
          <w:rFonts w:ascii="Arial" w:eastAsiaTheme="minorEastAsia" w:hAnsi="Arial" w:cs="Arial"/>
          <w:noProof/>
          <w:sz w:val="20"/>
          <w:szCs w:val="20"/>
        </w:rPr>
      </w:pPr>
      <w:hyperlink w:anchor="_Toc153137174" w:history="1">
        <w:r w:rsidR="00BE3F4E" w:rsidRPr="00BE3F4E">
          <w:rPr>
            <w:rStyle w:val="Hyperlink"/>
            <w:rFonts w:ascii="Arial" w:eastAsia="Times New Roman" w:hAnsi="Arial" w:cs="Arial"/>
            <w:noProof/>
            <w:sz w:val="20"/>
            <w:szCs w:val="20"/>
          </w:rPr>
          <w:t>GM1 Article 3(2)(a);(b) Air operations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_Toc153137174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19</w:t>
        </w:r>
        <w:r w:rsidR="00BE3F4E" w:rsidRPr="00BE3F4E">
          <w:rPr>
            <w:rFonts w:ascii="Arial" w:hAnsi="Arial" w:cs="Arial"/>
            <w:noProof/>
            <w:webHidden/>
            <w:sz w:val="20"/>
            <w:szCs w:val="20"/>
          </w:rPr>
          <w:fldChar w:fldCharType="end"/>
        </w:r>
      </w:hyperlink>
    </w:p>
    <w:p w14:paraId="54DDA0D6" w14:textId="0DA9661C" w:rsidR="00BE3F4E" w:rsidRPr="00BE3F4E" w:rsidRDefault="00000000">
      <w:pPr>
        <w:pStyle w:val="TOC5"/>
        <w:tabs>
          <w:tab w:val="right" w:leader="underscore" w:pos="9016"/>
        </w:tabs>
        <w:rPr>
          <w:rFonts w:ascii="Arial" w:eastAsiaTheme="minorEastAsia" w:hAnsi="Arial" w:cs="Arial"/>
          <w:noProof/>
          <w:sz w:val="20"/>
          <w:szCs w:val="20"/>
        </w:rPr>
      </w:pPr>
      <w:hyperlink w:anchor="_Toc153137175" w:history="1">
        <w:r w:rsidR="00BE3F4E" w:rsidRPr="00BE3F4E">
          <w:rPr>
            <w:rStyle w:val="Hyperlink"/>
            <w:rFonts w:ascii="Arial" w:eastAsia="Times New Roman" w:hAnsi="Arial" w:cs="Arial"/>
            <w:noProof/>
            <w:sz w:val="20"/>
            <w:szCs w:val="20"/>
          </w:rPr>
          <w:t>GM2 Article 3(2)(a);(b) Air operations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_Toc153137175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20</w:t>
        </w:r>
        <w:r w:rsidR="00BE3F4E" w:rsidRPr="00BE3F4E">
          <w:rPr>
            <w:rFonts w:ascii="Arial" w:hAnsi="Arial" w:cs="Arial"/>
            <w:noProof/>
            <w:webHidden/>
            <w:sz w:val="20"/>
            <w:szCs w:val="20"/>
          </w:rPr>
          <w:fldChar w:fldCharType="end"/>
        </w:r>
      </w:hyperlink>
    </w:p>
    <w:p w14:paraId="55701519" w14:textId="550C2AB1" w:rsidR="00BE3F4E" w:rsidRPr="00BE3F4E" w:rsidRDefault="00000000">
      <w:pPr>
        <w:pStyle w:val="TOC5"/>
        <w:tabs>
          <w:tab w:val="right" w:leader="underscore" w:pos="9016"/>
        </w:tabs>
        <w:rPr>
          <w:rFonts w:ascii="Arial" w:eastAsiaTheme="minorEastAsia" w:hAnsi="Arial" w:cs="Arial"/>
          <w:noProof/>
          <w:sz w:val="20"/>
          <w:szCs w:val="20"/>
        </w:rPr>
      </w:pPr>
      <w:hyperlink w:anchor="_Toc153137176" w:history="1">
        <w:r w:rsidR="00BE3F4E" w:rsidRPr="00BE3F4E">
          <w:rPr>
            <w:rStyle w:val="Hyperlink"/>
            <w:rFonts w:ascii="Arial" w:eastAsia="Times New Roman" w:hAnsi="Arial" w:cs="Arial"/>
            <w:noProof/>
            <w:sz w:val="20"/>
            <w:szCs w:val="20"/>
          </w:rPr>
          <w:t>GM1 Article 3(2)(c) Air operations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_Toc153137176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20</w:t>
        </w:r>
        <w:r w:rsidR="00BE3F4E" w:rsidRPr="00BE3F4E">
          <w:rPr>
            <w:rFonts w:ascii="Arial" w:hAnsi="Arial" w:cs="Arial"/>
            <w:noProof/>
            <w:webHidden/>
            <w:sz w:val="20"/>
            <w:szCs w:val="20"/>
          </w:rPr>
          <w:fldChar w:fldCharType="end"/>
        </w:r>
      </w:hyperlink>
    </w:p>
    <w:p w14:paraId="47E63460" w14:textId="6C3CC210" w:rsidR="00BE3F4E" w:rsidRPr="00BE3F4E" w:rsidRDefault="00000000">
      <w:pPr>
        <w:pStyle w:val="TOC5"/>
        <w:tabs>
          <w:tab w:val="right" w:leader="underscore" w:pos="9016"/>
        </w:tabs>
        <w:rPr>
          <w:rFonts w:ascii="Arial" w:eastAsiaTheme="minorEastAsia" w:hAnsi="Arial" w:cs="Arial"/>
          <w:noProof/>
          <w:sz w:val="20"/>
          <w:szCs w:val="20"/>
        </w:rPr>
      </w:pPr>
      <w:hyperlink w:anchor="_Toc153137177" w:history="1">
        <w:r w:rsidR="00BE3F4E" w:rsidRPr="00BE3F4E">
          <w:rPr>
            <w:rStyle w:val="Hyperlink"/>
            <w:rFonts w:ascii="Arial" w:eastAsia="Times New Roman" w:hAnsi="Arial" w:cs="Arial"/>
            <w:noProof/>
            <w:sz w:val="20"/>
            <w:szCs w:val="20"/>
          </w:rPr>
          <w:t>GM2 Article 3(2)(c) Air operations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_Toc153137177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20</w:t>
        </w:r>
        <w:r w:rsidR="00BE3F4E" w:rsidRPr="00BE3F4E">
          <w:rPr>
            <w:rFonts w:ascii="Arial" w:hAnsi="Arial" w:cs="Arial"/>
            <w:noProof/>
            <w:webHidden/>
            <w:sz w:val="20"/>
            <w:szCs w:val="20"/>
          </w:rPr>
          <w:fldChar w:fldCharType="end"/>
        </w:r>
      </w:hyperlink>
    </w:p>
    <w:p w14:paraId="65742DF9" w14:textId="492B9FA7" w:rsidR="00BE3F4E" w:rsidRPr="00BE3F4E" w:rsidRDefault="00000000">
      <w:pPr>
        <w:pStyle w:val="TOC4"/>
        <w:tabs>
          <w:tab w:val="right" w:leader="underscore" w:pos="9016"/>
        </w:tabs>
        <w:rPr>
          <w:rFonts w:ascii="Arial" w:eastAsiaTheme="minorEastAsia" w:hAnsi="Arial" w:cs="Arial"/>
          <w:noProof/>
          <w:sz w:val="20"/>
          <w:szCs w:val="20"/>
        </w:rPr>
      </w:pPr>
      <w:hyperlink w:anchor="_Toc153137178" w:history="1">
        <w:r w:rsidR="00BE3F4E" w:rsidRPr="00BE3F4E">
          <w:rPr>
            <w:rStyle w:val="Hyperlink"/>
            <w:rFonts w:ascii="Arial" w:eastAsia="Times New Roman" w:hAnsi="Arial" w:cs="Arial"/>
            <w:iCs/>
            <w:noProof/>
            <w:sz w:val="20"/>
            <w:szCs w:val="20"/>
          </w:rPr>
          <w:t>Article 3a Pilot licenses and certification</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_Toc153137178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20</w:t>
        </w:r>
        <w:r w:rsidR="00BE3F4E" w:rsidRPr="00BE3F4E">
          <w:rPr>
            <w:rFonts w:ascii="Arial" w:hAnsi="Arial" w:cs="Arial"/>
            <w:noProof/>
            <w:webHidden/>
            <w:sz w:val="20"/>
            <w:szCs w:val="20"/>
          </w:rPr>
          <w:fldChar w:fldCharType="end"/>
        </w:r>
      </w:hyperlink>
    </w:p>
    <w:p w14:paraId="3514A743" w14:textId="5EF68D35" w:rsidR="00BE3F4E" w:rsidRPr="00BE3F4E" w:rsidRDefault="00000000">
      <w:pPr>
        <w:pStyle w:val="TOC4"/>
        <w:tabs>
          <w:tab w:val="right" w:leader="underscore" w:pos="9016"/>
        </w:tabs>
        <w:rPr>
          <w:rFonts w:ascii="Arial" w:eastAsiaTheme="minorEastAsia" w:hAnsi="Arial" w:cs="Arial"/>
          <w:noProof/>
          <w:sz w:val="20"/>
          <w:szCs w:val="20"/>
        </w:rPr>
      </w:pPr>
      <w:hyperlink w:anchor="_Toc153137179" w:history="1">
        <w:r w:rsidR="00BE3F4E" w:rsidRPr="00BE3F4E">
          <w:rPr>
            <w:rStyle w:val="Hyperlink"/>
            <w:rFonts w:ascii="Arial" w:eastAsia="Times New Roman" w:hAnsi="Arial" w:cs="Arial"/>
            <w:iCs/>
            <w:noProof/>
            <w:sz w:val="20"/>
            <w:szCs w:val="20"/>
          </w:rPr>
          <w:t>Article 3b Existing pilot licenses and national medical certificates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_Toc153137179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21</w:t>
        </w:r>
        <w:r w:rsidR="00BE3F4E" w:rsidRPr="00BE3F4E">
          <w:rPr>
            <w:rFonts w:ascii="Arial" w:hAnsi="Arial" w:cs="Arial"/>
            <w:noProof/>
            <w:webHidden/>
            <w:sz w:val="20"/>
            <w:szCs w:val="20"/>
          </w:rPr>
          <w:fldChar w:fldCharType="end"/>
        </w:r>
      </w:hyperlink>
    </w:p>
    <w:p w14:paraId="74618E34" w14:textId="54956E8A" w:rsidR="00BE3F4E" w:rsidRPr="00BE3F4E" w:rsidRDefault="00000000">
      <w:pPr>
        <w:pStyle w:val="TOC4"/>
        <w:tabs>
          <w:tab w:val="right" w:leader="underscore" w:pos="9016"/>
        </w:tabs>
        <w:rPr>
          <w:rFonts w:ascii="Arial" w:eastAsiaTheme="minorEastAsia" w:hAnsi="Arial" w:cs="Arial"/>
          <w:noProof/>
          <w:sz w:val="20"/>
          <w:szCs w:val="20"/>
        </w:rPr>
      </w:pPr>
      <w:hyperlink w:anchor="_Toc153137180" w:history="1">
        <w:r w:rsidR="00BE3F4E" w:rsidRPr="00BE3F4E">
          <w:rPr>
            <w:rStyle w:val="Hyperlink"/>
            <w:rFonts w:ascii="Arial" w:eastAsia="Times New Roman" w:hAnsi="Arial" w:cs="Arial"/>
            <w:iCs/>
            <w:noProof/>
            <w:sz w:val="20"/>
            <w:szCs w:val="20"/>
          </w:rPr>
          <w:t>Article 3c Credit for training that commenced prior to the date of application of this Regulation</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_Toc153137180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21</w:t>
        </w:r>
        <w:r w:rsidR="00BE3F4E" w:rsidRPr="00BE3F4E">
          <w:rPr>
            <w:rFonts w:ascii="Arial" w:hAnsi="Arial" w:cs="Arial"/>
            <w:noProof/>
            <w:webHidden/>
            <w:sz w:val="20"/>
            <w:szCs w:val="20"/>
          </w:rPr>
          <w:fldChar w:fldCharType="end"/>
        </w:r>
      </w:hyperlink>
    </w:p>
    <w:p w14:paraId="5D994B10" w14:textId="3F57FB18" w:rsidR="00BE3F4E" w:rsidRPr="00BE3F4E" w:rsidRDefault="00000000">
      <w:pPr>
        <w:pStyle w:val="TOC4"/>
        <w:tabs>
          <w:tab w:val="right" w:leader="underscore" w:pos="9016"/>
        </w:tabs>
        <w:rPr>
          <w:rFonts w:ascii="Arial" w:eastAsiaTheme="minorEastAsia" w:hAnsi="Arial" w:cs="Arial"/>
          <w:noProof/>
          <w:sz w:val="20"/>
          <w:szCs w:val="20"/>
        </w:rPr>
      </w:pPr>
      <w:hyperlink w:anchor="_Toc153137181" w:history="1">
        <w:r w:rsidR="00BE3F4E" w:rsidRPr="00BE3F4E">
          <w:rPr>
            <w:rStyle w:val="Hyperlink"/>
            <w:rFonts w:ascii="Arial" w:eastAsia="Times New Roman" w:hAnsi="Arial" w:cs="Arial"/>
            <w:iCs/>
            <w:noProof/>
            <w:sz w:val="20"/>
            <w:szCs w:val="20"/>
          </w:rPr>
          <w:t>Article 3d Training organisations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_Toc153137181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22</w:t>
        </w:r>
        <w:r w:rsidR="00BE3F4E" w:rsidRPr="00BE3F4E">
          <w:rPr>
            <w:rFonts w:ascii="Arial" w:hAnsi="Arial" w:cs="Arial"/>
            <w:noProof/>
            <w:webHidden/>
            <w:sz w:val="20"/>
            <w:szCs w:val="20"/>
          </w:rPr>
          <w:fldChar w:fldCharType="end"/>
        </w:r>
      </w:hyperlink>
    </w:p>
    <w:p w14:paraId="5CE18D7C" w14:textId="5482129B" w:rsidR="00BE3F4E" w:rsidRPr="00BE3F4E" w:rsidRDefault="00000000">
      <w:pPr>
        <w:pStyle w:val="TOC4"/>
        <w:tabs>
          <w:tab w:val="right" w:leader="underscore" w:pos="9016"/>
        </w:tabs>
        <w:rPr>
          <w:rFonts w:ascii="Arial" w:eastAsiaTheme="minorEastAsia" w:hAnsi="Arial" w:cs="Arial"/>
          <w:noProof/>
          <w:sz w:val="20"/>
          <w:szCs w:val="20"/>
        </w:rPr>
      </w:pPr>
      <w:hyperlink w:anchor="_Toc153137182" w:history="1">
        <w:r w:rsidR="00BE3F4E" w:rsidRPr="00BE3F4E">
          <w:rPr>
            <w:rStyle w:val="Hyperlink"/>
            <w:rFonts w:ascii="Arial" w:eastAsia="Times New Roman" w:hAnsi="Arial" w:cs="Arial"/>
            <w:iCs/>
            <w:noProof/>
            <w:sz w:val="20"/>
            <w:szCs w:val="20"/>
          </w:rPr>
          <w:t>Article 4 Transitional provisions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_Toc153137182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22</w:t>
        </w:r>
        <w:r w:rsidR="00BE3F4E" w:rsidRPr="00BE3F4E">
          <w:rPr>
            <w:rFonts w:ascii="Arial" w:hAnsi="Arial" w:cs="Arial"/>
            <w:noProof/>
            <w:webHidden/>
            <w:sz w:val="20"/>
            <w:szCs w:val="20"/>
          </w:rPr>
          <w:fldChar w:fldCharType="end"/>
        </w:r>
      </w:hyperlink>
    </w:p>
    <w:p w14:paraId="53FDC4BB" w14:textId="22FFD8ED" w:rsidR="00BE3F4E" w:rsidRPr="00BE3F4E" w:rsidRDefault="00000000">
      <w:pPr>
        <w:pStyle w:val="TOC4"/>
        <w:tabs>
          <w:tab w:val="right" w:leader="underscore" w:pos="9016"/>
        </w:tabs>
        <w:rPr>
          <w:rFonts w:ascii="Arial" w:eastAsiaTheme="minorEastAsia" w:hAnsi="Arial" w:cs="Arial"/>
          <w:noProof/>
          <w:sz w:val="20"/>
          <w:szCs w:val="20"/>
        </w:rPr>
      </w:pPr>
      <w:hyperlink w:anchor="_Toc153137183" w:history="1">
        <w:r w:rsidR="00BE3F4E" w:rsidRPr="00BE3F4E">
          <w:rPr>
            <w:rStyle w:val="Hyperlink"/>
            <w:rFonts w:ascii="Arial" w:eastAsia="Times New Roman" w:hAnsi="Arial" w:cs="Arial"/>
            <w:iCs/>
            <w:noProof/>
            <w:sz w:val="20"/>
            <w:szCs w:val="20"/>
          </w:rPr>
          <w:t>Article 5 Entry into force and application</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_Toc153137183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22</w:t>
        </w:r>
        <w:r w:rsidR="00BE3F4E" w:rsidRPr="00BE3F4E">
          <w:rPr>
            <w:rFonts w:ascii="Arial" w:hAnsi="Arial" w:cs="Arial"/>
            <w:noProof/>
            <w:webHidden/>
            <w:sz w:val="20"/>
            <w:szCs w:val="20"/>
          </w:rPr>
          <w:fldChar w:fldCharType="end"/>
        </w:r>
      </w:hyperlink>
    </w:p>
    <w:p w14:paraId="49712F59" w14:textId="2A881C4C" w:rsidR="00BE3F4E" w:rsidRPr="00BE3F4E" w:rsidRDefault="00000000">
      <w:pPr>
        <w:pStyle w:val="TOC2"/>
        <w:tabs>
          <w:tab w:val="right" w:leader="underscore" w:pos="9016"/>
        </w:tabs>
        <w:rPr>
          <w:rFonts w:ascii="Arial" w:hAnsi="Arial" w:cs="Arial"/>
          <w:noProof/>
          <w:sz w:val="20"/>
          <w:szCs w:val="20"/>
        </w:rPr>
      </w:pPr>
      <w:hyperlink w:anchor="_Toc153137184" w:history="1">
        <w:r w:rsidR="00BE3F4E" w:rsidRPr="00BE3F4E">
          <w:rPr>
            <w:rStyle w:val="Hyperlink"/>
            <w:rFonts w:ascii="Arial" w:eastAsiaTheme="majorEastAsia" w:hAnsi="Arial" w:cs="Arial"/>
            <w:noProof/>
            <w:sz w:val="20"/>
            <w:szCs w:val="20"/>
            <w14:textOutline w14:w="9525" w14:cap="rnd" w14:cmpd="sng" w14:algn="ctr">
              <w14:noFill/>
              <w14:prstDash w14:val="solid"/>
              <w14:bevel/>
            </w14:textOutline>
          </w:rPr>
          <w:t>ANNEX I</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_Toc153137184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23</w:t>
        </w:r>
        <w:r w:rsidR="00BE3F4E" w:rsidRPr="00BE3F4E">
          <w:rPr>
            <w:rFonts w:ascii="Arial" w:hAnsi="Arial" w:cs="Arial"/>
            <w:noProof/>
            <w:webHidden/>
            <w:sz w:val="20"/>
            <w:szCs w:val="20"/>
          </w:rPr>
          <w:fldChar w:fldCharType="end"/>
        </w:r>
      </w:hyperlink>
    </w:p>
    <w:p w14:paraId="16323503" w14:textId="50D7BA35" w:rsidR="00BE3F4E" w:rsidRPr="00BE3F4E" w:rsidRDefault="00000000">
      <w:pPr>
        <w:pStyle w:val="TOC4"/>
        <w:tabs>
          <w:tab w:val="right" w:leader="underscore" w:pos="9016"/>
        </w:tabs>
        <w:rPr>
          <w:rFonts w:ascii="Arial" w:eastAsiaTheme="minorEastAsia" w:hAnsi="Arial" w:cs="Arial"/>
          <w:noProof/>
          <w:sz w:val="20"/>
          <w:szCs w:val="20"/>
        </w:rPr>
      </w:pPr>
      <w:hyperlink w:anchor="_Toc153137185" w:history="1">
        <w:r w:rsidR="00BE3F4E" w:rsidRPr="00BE3F4E">
          <w:rPr>
            <w:rStyle w:val="Hyperlink"/>
            <w:rFonts w:ascii="Arial" w:hAnsi="Arial" w:cs="Arial"/>
            <w:noProof/>
            <w:sz w:val="20"/>
            <w:szCs w:val="20"/>
          </w:rPr>
          <w:t>Definitions (Part-DEF)</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_Toc153137185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23</w:t>
        </w:r>
        <w:r w:rsidR="00BE3F4E" w:rsidRPr="00BE3F4E">
          <w:rPr>
            <w:rFonts w:ascii="Arial" w:hAnsi="Arial" w:cs="Arial"/>
            <w:noProof/>
            <w:webHidden/>
            <w:sz w:val="20"/>
            <w:szCs w:val="20"/>
          </w:rPr>
          <w:fldChar w:fldCharType="end"/>
        </w:r>
      </w:hyperlink>
    </w:p>
    <w:p w14:paraId="1F28791A" w14:textId="0DF156AF" w:rsidR="00BE3F4E" w:rsidRPr="00BE3F4E" w:rsidRDefault="00000000">
      <w:pPr>
        <w:pStyle w:val="TOC4"/>
        <w:tabs>
          <w:tab w:val="right" w:leader="underscore" w:pos="9016"/>
        </w:tabs>
        <w:rPr>
          <w:rFonts w:ascii="Arial" w:eastAsiaTheme="minorEastAsia" w:hAnsi="Arial" w:cs="Arial"/>
          <w:noProof/>
          <w:sz w:val="20"/>
          <w:szCs w:val="20"/>
        </w:rPr>
      </w:pPr>
      <w:hyperlink w:anchor="_Toc153137186" w:history="1">
        <w:r w:rsidR="00BE3F4E" w:rsidRPr="00BE3F4E">
          <w:rPr>
            <w:rStyle w:val="Hyperlink"/>
            <w:rFonts w:ascii="Arial" w:hAnsi="Arial" w:cs="Arial"/>
            <w:noProof/>
            <w:sz w:val="20"/>
            <w:szCs w:val="20"/>
          </w:rPr>
          <w:t>FCL.010 Definitions related to Part- BFCL</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_Toc153137186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24</w:t>
        </w:r>
        <w:r w:rsidR="00BE3F4E" w:rsidRPr="00BE3F4E">
          <w:rPr>
            <w:rFonts w:ascii="Arial" w:hAnsi="Arial" w:cs="Arial"/>
            <w:noProof/>
            <w:webHidden/>
            <w:sz w:val="20"/>
            <w:szCs w:val="20"/>
          </w:rPr>
          <w:fldChar w:fldCharType="end"/>
        </w:r>
      </w:hyperlink>
    </w:p>
    <w:p w14:paraId="6EBA9915" w14:textId="092A5A16" w:rsidR="00BE3F4E" w:rsidRPr="00BE3F4E" w:rsidRDefault="00000000">
      <w:pPr>
        <w:pStyle w:val="TOC2"/>
        <w:tabs>
          <w:tab w:val="right" w:leader="underscore" w:pos="9016"/>
        </w:tabs>
        <w:rPr>
          <w:rFonts w:ascii="Arial" w:hAnsi="Arial" w:cs="Arial"/>
          <w:noProof/>
          <w:sz w:val="20"/>
          <w:szCs w:val="20"/>
        </w:rPr>
      </w:pPr>
      <w:hyperlink w:anchor="_Toc153137187" w:history="1">
        <w:r w:rsidR="00BE3F4E" w:rsidRPr="00BE3F4E">
          <w:rPr>
            <w:rStyle w:val="Hyperlink"/>
            <w:rFonts w:ascii="Arial" w:hAnsi="Arial" w:cs="Arial"/>
            <w:noProof/>
            <w:sz w:val="20"/>
            <w:szCs w:val="20"/>
            <w14:textOutline w14:w="9525" w14:cap="rnd" w14:cmpd="sng" w14:algn="ctr">
              <w14:noFill/>
              <w14:prstDash w14:val="solid"/>
              <w14:bevel/>
            </w14:textOutline>
          </w:rPr>
          <w:t>ANNEX II – BALLOON AIR OPERATIONS (PART-BOP)</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_Toc153137187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26</w:t>
        </w:r>
        <w:r w:rsidR="00BE3F4E" w:rsidRPr="00BE3F4E">
          <w:rPr>
            <w:rFonts w:ascii="Arial" w:hAnsi="Arial" w:cs="Arial"/>
            <w:noProof/>
            <w:webHidden/>
            <w:sz w:val="20"/>
            <w:szCs w:val="20"/>
          </w:rPr>
          <w:fldChar w:fldCharType="end"/>
        </w:r>
      </w:hyperlink>
    </w:p>
    <w:p w14:paraId="078FB524" w14:textId="6DF68931" w:rsidR="00BE3F4E" w:rsidRPr="00BE3F4E" w:rsidRDefault="00000000">
      <w:pPr>
        <w:pStyle w:val="TOC3"/>
        <w:tabs>
          <w:tab w:val="right" w:leader="underscore" w:pos="9016"/>
        </w:tabs>
        <w:rPr>
          <w:rFonts w:ascii="Arial" w:eastAsiaTheme="minorEastAsia" w:hAnsi="Arial" w:cs="Arial"/>
          <w:b w:val="0"/>
          <w:bCs w:val="0"/>
          <w:noProof/>
          <w:sz w:val="20"/>
          <w:szCs w:val="20"/>
        </w:rPr>
      </w:pPr>
      <w:hyperlink w:anchor="_Toc153137188" w:history="1">
        <w:r w:rsidR="00BE3F4E" w:rsidRPr="00BE3F4E">
          <w:rPr>
            <w:rStyle w:val="Hyperlink"/>
            <w:rFonts w:ascii="Arial" w:hAnsi="Arial" w:cs="Arial"/>
            <w:b w:val="0"/>
            <w:bCs w:val="0"/>
            <w:noProof/>
            <w:sz w:val="20"/>
            <w:szCs w:val="20"/>
          </w:rPr>
          <w:t>SUBPART BAS – BASIC OPERATIONAL REQUIREMENTS</w:t>
        </w:r>
        <w:r w:rsidR="00BE3F4E" w:rsidRPr="00BE3F4E">
          <w:rPr>
            <w:rFonts w:ascii="Arial" w:hAnsi="Arial" w:cs="Arial"/>
            <w:b w:val="0"/>
            <w:bCs w:val="0"/>
            <w:noProof/>
            <w:webHidden/>
            <w:sz w:val="20"/>
            <w:szCs w:val="20"/>
          </w:rPr>
          <w:tab/>
        </w:r>
        <w:r w:rsidR="00BE3F4E" w:rsidRPr="00BE3F4E">
          <w:rPr>
            <w:rFonts w:ascii="Arial" w:hAnsi="Arial" w:cs="Arial"/>
            <w:b w:val="0"/>
            <w:bCs w:val="0"/>
            <w:noProof/>
            <w:webHidden/>
            <w:sz w:val="20"/>
            <w:szCs w:val="20"/>
          </w:rPr>
          <w:fldChar w:fldCharType="begin"/>
        </w:r>
        <w:r w:rsidR="00BE3F4E" w:rsidRPr="00BE3F4E">
          <w:rPr>
            <w:rFonts w:ascii="Arial" w:hAnsi="Arial" w:cs="Arial"/>
            <w:b w:val="0"/>
            <w:bCs w:val="0"/>
            <w:noProof/>
            <w:webHidden/>
            <w:sz w:val="20"/>
            <w:szCs w:val="20"/>
          </w:rPr>
          <w:instrText xml:space="preserve"> PAGEREF _Toc153137188 \h </w:instrText>
        </w:r>
        <w:r w:rsidR="00BE3F4E" w:rsidRPr="00BE3F4E">
          <w:rPr>
            <w:rFonts w:ascii="Arial" w:hAnsi="Arial" w:cs="Arial"/>
            <w:b w:val="0"/>
            <w:bCs w:val="0"/>
            <w:noProof/>
            <w:webHidden/>
            <w:sz w:val="20"/>
            <w:szCs w:val="20"/>
          </w:rPr>
        </w:r>
        <w:r w:rsidR="00BE3F4E" w:rsidRPr="00BE3F4E">
          <w:rPr>
            <w:rFonts w:ascii="Arial" w:hAnsi="Arial" w:cs="Arial"/>
            <w:b w:val="0"/>
            <w:bCs w:val="0"/>
            <w:noProof/>
            <w:webHidden/>
            <w:sz w:val="20"/>
            <w:szCs w:val="20"/>
          </w:rPr>
          <w:fldChar w:fldCharType="separate"/>
        </w:r>
        <w:r w:rsidR="006A7538">
          <w:rPr>
            <w:rFonts w:ascii="Arial" w:hAnsi="Arial" w:cs="Arial"/>
            <w:b w:val="0"/>
            <w:bCs w:val="0"/>
            <w:noProof/>
            <w:webHidden/>
            <w:sz w:val="20"/>
            <w:szCs w:val="20"/>
          </w:rPr>
          <w:t>26</w:t>
        </w:r>
        <w:r w:rsidR="00BE3F4E" w:rsidRPr="00BE3F4E">
          <w:rPr>
            <w:rFonts w:ascii="Arial" w:hAnsi="Arial" w:cs="Arial"/>
            <w:b w:val="0"/>
            <w:bCs w:val="0"/>
            <w:noProof/>
            <w:webHidden/>
            <w:sz w:val="20"/>
            <w:szCs w:val="20"/>
          </w:rPr>
          <w:fldChar w:fldCharType="end"/>
        </w:r>
      </w:hyperlink>
    </w:p>
    <w:p w14:paraId="2F24D8F5" w14:textId="061DCDCA" w:rsidR="00BE3F4E" w:rsidRPr="00BE3F4E" w:rsidRDefault="00000000">
      <w:pPr>
        <w:pStyle w:val="TOC4"/>
        <w:tabs>
          <w:tab w:val="right" w:leader="underscore" w:pos="9016"/>
        </w:tabs>
        <w:rPr>
          <w:rFonts w:ascii="Arial" w:eastAsiaTheme="minorEastAsia" w:hAnsi="Arial" w:cs="Arial"/>
          <w:noProof/>
          <w:sz w:val="20"/>
          <w:szCs w:val="20"/>
        </w:rPr>
      </w:pPr>
      <w:hyperlink w:anchor="_Toc153137189" w:history="1">
        <w:r w:rsidR="00BE3F4E" w:rsidRPr="00BE3F4E">
          <w:rPr>
            <w:rStyle w:val="Hyperlink"/>
            <w:rFonts w:ascii="Arial" w:hAnsi="Arial" w:cs="Arial"/>
            <w:noProof/>
            <w:sz w:val="20"/>
            <w:szCs w:val="20"/>
          </w:rPr>
          <w:t>SECTION 1 – GENERAL REQUIREMENTS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_Toc153137189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26</w:t>
        </w:r>
        <w:r w:rsidR="00BE3F4E" w:rsidRPr="00BE3F4E">
          <w:rPr>
            <w:rFonts w:ascii="Arial" w:hAnsi="Arial" w:cs="Arial"/>
            <w:noProof/>
            <w:webHidden/>
            <w:sz w:val="20"/>
            <w:szCs w:val="20"/>
          </w:rPr>
          <w:fldChar w:fldCharType="end"/>
        </w:r>
      </w:hyperlink>
    </w:p>
    <w:p w14:paraId="33A3EF4B" w14:textId="199B4AA4" w:rsidR="00BE3F4E" w:rsidRPr="00BE3F4E" w:rsidRDefault="00000000">
      <w:pPr>
        <w:pStyle w:val="TOC4"/>
        <w:tabs>
          <w:tab w:val="right" w:leader="underscore" w:pos="9016"/>
        </w:tabs>
        <w:rPr>
          <w:rFonts w:ascii="Arial" w:eastAsiaTheme="minorEastAsia" w:hAnsi="Arial" w:cs="Arial"/>
          <w:noProof/>
          <w:sz w:val="20"/>
          <w:szCs w:val="20"/>
        </w:rPr>
      </w:pPr>
      <w:hyperlink w:anchor="_Toc153137190" w:history="1">
        <w:r w:rsidR="00BE3F4E" w:rsidRPr="00BE3F4E">
          <w:rPr>
            <w:rStyle w:val="Hyperlink"/>
            <w:rFonts w:ascii="Arial" w:hAnsi="Arial" w:cs="Arial"/>
            <w:noProof/>
            <w:sz w:val="20"/>
            <w:szCs w:val="20"/>
          </w:rPr>
          <w:t>BOP.BAS.001 Scope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_Toc153137190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26</w:t>
        </w:r>
        <w:r w:rsidR="00BE3F4E" w:rsidRPr="00BE3F4E">
          <w:rPr>
            <w:rFonts w:ascii="Arial" w:hAnsi="Arial" w:cs="Arial"/>
            <w:noProof/>
            <w:webHidden/>
            <w:sz w:val="20"/>
            <w:szCs w:val="20"/>
          </w:rPr>
          <w:fldChar w:fldCharType="end"/>
        </w:r>
      </w:hyperlink>
    </w:p>
    <w:p w14:paraId="331FE43E" w14:textId="7A5EC577" w:rsidR="00BE3F4E" w:rsidRPr="00BE3F4E" w:rsidRDefault="00000000">
      <w:pPr>
        <w:pStyle w:val="TOC5"/>
        <w:tabs>
          <w:tab w:val="right" w:leader="underscore" w:pos="9016"/>
        </w:tabs>
        <w:rPr>
          <w:rFonts w:ascii="Arial" w:eastAsiaTheme="minorEastAsia" w:hAnsi="Arial" w:cs="Arial"/>
          <w:noProof/>
          <w:sz w:val="20"/>
          <w:szCs w:val="20"/>
        </w:rPr>
      </w:pPr>
      <w:hyperlink w:anchor="_Toc153137191" w:history="1">
        <w:r w:rsidR="00BE3F4E" w:rsidRPr="00BE3F4E">
          <w:rPr>
            <w:rStyle w:val="Hyperlink"/>
            <w:rFonts w:ascii="Arial" w:eastAsia="Times New Roman" w:hAnsi="Arial" w:cs="Arial"/>
            <w:noProof/>
            <w:sz w:val="20"/>
            <w:szCs w:val="20"/>
          </w:rPr>
          <w:t>AMC1 BOP.BAS.001 Scope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_Toc153137191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26</w:t>
        </w:r>
        <w:r w:rsidR="00BE3F4E" w:rsidRPr="00BE3F4E">
          <w:rPr>
            <w:rFonts w:ascii="Arial" w:hAnsi="Arial" w:cs="Arial"/>
            <w:noProof/>
            <w:webHidden/>
            <w:sz w:val="20"/>
            <w:szCs w:val="20"/>
          </w:rPr>
          <w:fldChar w:fldCharType="end"/>
        </w:r>
      </w:hyperlink>
    </w:p>
    <w:p w14:paraId="6983E9C0" w14:textId="0EFF4B21" w:rsidR="00BE3F4E" w:rsidRPr="00BE3F4E" w:rsidRDefault="00000000">
      <w:pPr>
        <w:pStyle w:val="TOC5"/>
        <w:tabs>
          <w:tab w:val="right" w:leader="underscore" w:pos="9016"/>
        </w:tabs>
        <w:rPr>
          <w:rFonts w:ascii="Arial" w:eastAsiaTheme="minorEastAsia" w:hAnsi="Arial" w:cs="Arial"/>
          <w:noProof/>
          <w:sz w:val="20"/>
          <w:szCs w:val="20"/>
        </w:rPr>
      </w:pPr>
      <w:hyperlink w:anchor="_Toc153137192" w:history="1">
        <w:r w:rsidR="00BE3F4E" w:rsidRPr="00BE3F4E">
          <w:rPr>
            <w:rStyle w:val="Hyperlink"/>
            <w:rFonts w:ascii="Arial" w:eastAsia="Times New Roman" w:hAnsi="Arial" w:cs="Arial"/>
            <w:noProof/>
            <w:sz w:val="20"/>
            <w:szCs w:val="20"/>
          </w:rPr>
          <w:t>GM1 BOP.BAS.001 Scope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_Toc153137192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26</w:t>
        </w:r>
        <w:r w:rsidR="00BE3F4E" w:rsidRPr="00BE3F4E">
          <w:rPr>
            <w:rFonts w:ascii="Arial" w:hAnsi="Arial" w:cs="Arial"/>
            <w:noProof/>
            <w:webHidden/>
            <w:sz w:val="20"/>
            <w:szCs w:val="20"/>
          </w:rPr>
          <w:fldChar w:fldCharType="end"/>
        </w:r>
      </w:hyperlink>
    </w:p>
    <w:p w14:paraId="04AB52AE" w14:textId="430D6F77" w:rsidR="00BE3F4E" w:rsidRPr="00BE3F4E" w:rsidRDefault="00000000">
      <w:pPr>
        <w:pStyle w:val="TOC4"/>
        <w:tabs>
          <w:tab w:val="right" w:leader="underscore" w:pos="9016"/>
        </w:tabs>
        <w:rPr>
          <w:rFonts w:ascii="Arial" w:eastAsiaTheme="minorEastAsia" w:hAnsi="Arial" w:cs="Arial"/>
          <w:noProof/>
          <w:sz w:val="20"/>
          <w:szCs w:val="20"/>
        </w:rPr>
      </w:pPr>
      <w:hyperlink w:anchor="_Toc153137193" w:history="1">
        <w:r w:rsidR="00BE3F4E" w:rsidRPr="00BE3F4E">
          <w:rPr>
            <w:rStyle w:val="Hyperlink"/>
            <w:rFonts w:ascii="Arial" w:hAnsi="Arial" w:cs="Arial"/>
            <w:noProof/>
            <w:sz w:val="20"/>
            <w:szCs w:val="20"/>
          </w:rPr>
          <w:t>BOP.BAS.005 Competent authority</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_Toc153137193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26</w:t>
        </w:r>
        <w:r w:rsidR="00BE3F4E" w:rsidRPr="00BE3F4E">
          <w:rPr>
            <w:rFonts w:ascii="Arial" w:hAnsi="Arial" w:cs="Arial"/>
            <w:noProof/>
            <w:webHidden/>
            <w:sz w:val="20"/>
            <w:szCs w:val="20"/>
          </w:rPr>
          <w:fldChar w:fldCharType="end"/>
        </w:r>
      </w:hyperlink>
    </w:p>
    <w:p w14:paraId="3B8F8E37" w14:textId="6515B98E" w:rsidR="00BE3F4E" w:rsidRPr="00BE3F4E" w:rsidRDefault="00000000">
      <w:pPr>
        <w:pStyle w:val="TOC4"/>
        <w:tabs>
          <w:tab w:val="right" w:leader="underscore" w:pos="9016"/>
        </w:tabs>
        <w:rPr>
          <w:rFonts w:ascii="Arial" w:eastAsiaTheme="minorEastAsia" w:hAnsi="Arial" w:cs="Arial"/>
          <w:noProof/>
          <w:sz w:val="20"/>
          <w:szCs w:val="20"/>
        </w:rPr>
      </w:pPr>
      <w:hyperlink w:anchor="_Toc153137194" w:history="1">
        <w:r w:rsidR="00BE3F4E" w:rsidRPr="00BE3F4E">
          <w:rPr>
            <w:rStyle w:val="Hyperlink"/>
            <w:rFonts w:ascii="Arial" w:hAnsi="Arial" w:cs="Arial"/>
            <w:noProof/>
            <w:sz w:val="20"/>
            <w:szCs w:val="20"/>
          </w:rPr>
          <w:t>BOP.BAS.010 Demonstration of compliance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_Toc153137194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26</w:t>
        </w:r>
        <w:r w:rsidR="00BE3F4E" w:rsidRPr="00BE3F4E">
          <w:rPr>
            <w:rFonts w:ascii="Arial" w:hAnsi="Arial" w:cs="Arial"/>
            <w:noProof/>
            <w:webHidden/>
            <w:sz w:val="20"/>
            <w:szCs w:val="20"/>
          </w:rPr>
          <w:fldChar w:fldCharType="end"/>
        </w:r>
      </w:hyperlink>
    </w:p>
    <w:p w14:paraId="0D4FA5E1" w14:textId="76C45CFD" w:rsidR="00BE3F4E" w:rsidRPr="00BE3F4E" w:rsidRDefault="00000000">
      <w:pPr>
        <w:pStyle w:val="TOC4"/>
        <w:tabs>
          <w:tab w:val="right" w:leader="underscore" w:pos="9016"/>
        </w:tabs>
        <w:rPr>
          <w:rFonts w:ascii="Arial" w:eastAsiaTheme="minorEastAsia" w:hAnsi="Arial" w:cs="Arial"/>
          <w:noProof/>
          <w:sz w:val="20"/>
          <w:szCs w:val="20"/>
        </w:rPr>
      </w:pPr>
      <w:hyperlink w:anchor="_Toc153137195" w:history="1">
        <w:r w:rsidR="00BE3F4E" w:rsidRPr="00BE3F4E">
          <w:rPr>
            <w:rStyle w:val="Hyperlink"/>
            <w:rFonts w:ascii="Arial" w:hAnsi="Arial" w:cs="Arial"/>
            <w:noProof/>
            <w:sz w:val="20"/>
            <w:szCs w:val="20"/>
          </w:rPr>
          <w:t>BOP.BAS.015 Introductory flights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_Toc153137195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26</w:t>
        </w:r>
        <w:r w:rsidR="00BE3F4E" w:rsidRPr="00BE3F4E">
          <w:rPr>
            <w:rFonts w:ascii="Arial" w:hAnsi="Arial" w:cs="Arial"/>
            <w:noProof/>
            <w:webHidden/>
            <w:sz w:val="20"/>
            <w:szCs w:val="20"/>
          </w:rPr>
          <w:fldChar w:fldCharType="end"/>
        </w:r>
      </w:hyperlink>
    </w:p>
    <w:p w14:paraId="439B70AB" w14:textId="680B20C7" w:rsidR="00BE3F4E" w:rsidRPr="00BE3F4E" w:rsidRDefault="00000000">
      <w:pPr>
        <w:pStyle w:val="TOC4"/>
        <w:tabs>
          <w:tab w:val="right" w:leader="underscore" w:pos="9016"/>
        </w:tabs>
        <w:rPr>
          <w:rFonts w:ascii="Arial" w:eastAsiaTheme="minorEastAsia" w:hAnsi="Arial" w:cs="Arial"/>
          <w:noProof/>
          <w:sz w:val="20"/>
          <w:szCs w:val="20"/>
        </w:rPr>
      </w:pPr>
      <w:hyperlink w:anchor="_Toc153137196" w:history="1">
        <w:r w:rsidR="00BE3F4E" w:rsidRPr="00BE3F4E">
          <w:rPr>
            <w:rStyle w:val="Hyperlink"/>
            <w:rFonts w:ascii="Arial" w:hAnsi="Arial" w:cs="Arial"/>
            <w:noProof/>
            <w:sz w:val="20"/>
            <w:szCs w:val="20"/>
          </w:rPr>
          <w:t>BOP.BAS.020 Immediate reaction to a safety problem</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_Toc153137196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27</w:t>
        </w:r>
        <w:r w:rsidR="00BE3F4E" w:rsidRPr="00BE3F4E">
          <w:rPr>
            <w:rFonts w:ascii="Arial" w:hAnsi="Arial" w:cs="Arial"/>
            <w:noProof/>
            <w:webHidden/>
            <w:sz w:val="20"/>
            <w:szCs w:val="20"/>
          </w:rPr>
          <w:fldChar w:fldCharType="end"/>
        </w:r>
      </w:hyperlink>
    </w:p>
    <w:p w14:paraId="3D3E3859" w14:textId="1BDD27D2" w:rsidR="00BE3F4E" w:rsidRPr="00BE3F4E" w:rsidRDefault="00000000">
      <w:pPr>
        <w:pStyle w:val="TOC4"/>
        <w:tabs>
          <w:tab w:val="right" w:leader="underscore" w:pos="9016"/>
        </w:tabs>
        <w:rPr>
          <w:rFonts w:ascii="Arial" w:eastAsiaTheme="minorEastAsia" w:hAnsi="Arial" w:cs="Arial"/>
          <w:noProof/>
          <w:sz w:val="20"/>
          <w:szCs w:val="20"/>
        </w:rPr>
      </w:pPr>
      <w:hyperlink w:anchor="_Toc153137197" w:history="1">
        <w:r w:rsidR="00BE3F4E" w:rsidRPr="00BE3F4E">
          <w:rPr>
            <w:rStyle w:val="Hyperlink"/>
            <w:rFonts w:ascii="Arial" w:hAnsi="Arial" w:cs="Arial"/>
            <w:noProof/>
            <w:sz w:val="20"/>
            <w:szCs w:val="20"/>
          </w:rPr>
          <w:t>BOP.BAS.025 Designation as pilot-in-command</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_Toc153137197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27</w:t>
        </w:r>
        <w:r w:rsidR="00BE3F4E" w:rsidRPr="00BE3F4E">
          <w:rPr>
            <w:rFonts w:ascii="Arial" w:hAnsi="Arial" w:cs="Arial"/>
            <w:noProof/>
            <w:webHidden/>
            <w:sz w:val="20"/>
            <w:szCs w:val="20"/>
          </w:rPr>
          <w:fldChar w:fldCharType="end"/>
        </w:r>
      </w:hyperlink>
    </w:p>
    <w:p w14:paraId="17047B36" w14:textId="49DAF9CB" w:rsidR="00BE3F4E" w:rsidRPr="00BE3F4E" w:rsidRDefault="00000000">
      <w:pPr>
        <w:pStyle w:val="TOC4"/>
        <w:tabs>
          <w:tab w:val="right" w:leader="underscore" w:pos="9016"/>
        </w:tabs>
        <w:rPr>
          <w:rFonts w:ascii="Arial" w:eastAsiaTheme="minorEastAsia" w:hAnsi="Arial" w:cs="Arial"/>
          <w:noProof/>
          <w:sz w:val="20"/>
          <w:szCs w:val="20"/>
        </w:rPr>
      </w:pPr>
      <w:hyperlink w:anchor="_Toc153137198" w:history="1">
        <w:r w:rsidR="00BE3F4E" w:rsidRPr="00BE3F4E">
          <w:rPr>
            <w:rStyle w:val="Hyperlink"/>
            <w:rFonts w:ascii="Arial" w:hAnsi="Arial" w:cs="Arial"/>
            <w:noProof/>
            <w:sz w:val="20"/>
            <w:szCs w:val="20"/>
          </w:rPr>
          <w:t>BOP.BAS.030 Responsibilities of the pilot-in-command</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_Toc153137198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27</w:t>
        </w:r>
        <w:r w:rsidR="00BE3F4E" w:rsidRPr="00BE3F4E">
          <w:rPr>
            <w:rFonts w:ascii="Arial" w:hAnsi="Arial" w:cs="Arial"/>
            <w:noProof/>
            <w:webHidden/>
            <w:sz w:val="20"/>
            <w:szCs w:val="20"/>
          </w:rPr>
          <w:fldChar w:fldCharType="end"/>
        </w:r>
      </w:hyperlink>
    </w:p>
    <w:p w14:paraId="21F78808" w14:textId="569C1E7A" w:rsidR="00BE3F4E" w:rsidRPr="00BE3F4E" w:rsidRDefault="00000000">
      <w:pPr>
        <w:pStyle w:val="TOC5"/>
        <w:tabs>
          <w:tab w:val="right" w:leader="underscore" w:pos="9016"/>
        </w:tabs>
        <w:rPr>
          <w:rFonts w:ascii="Arial" w:eastAsiaTheme="minorEastAsia" w:hAnsi="Arial" w:cs="Arial"/>
          <w:noProof/>
          <w:sz w:val="20"/>
          <w:szCs w:val="20"/>
        </w:rPr>
      </w:pPr>
      <w:hyperlink w:anchor="_Toc153137199" w:history="1">
        <w:r w:rsidR="00BE3F4E" w:rsidRPr="00BE3F4E">
          <w:rPr>
            <w:rStyle w:val="Hyperlink"/>
            <w:rFonts w:ascii="Arial" w:eastAsia="Times New Roman" w:hAnsi="Arial" w:cs="Arial"/>
            <w:noProof/>
            <w:sz w:val="20"/>
            <w:szCs w:val="20"/>
          </w:rPr>
          <w:t>GM1 BOP.BAS.030 Responsibilities of the pilot-in-command</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_Toc153137199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28</w:t>
        </w:r>
        <w:r w:rsidR="00BE3F4E" w:rsidRPr="00BE3F4E">
          <w:rPr>
            <w:rFonts w:ascii="Arial" w:hAnsi="Arial" w:cs="Arial"/>
            <w:noProof/>
            <w:webHidden/>
            <w:sz w:val="20"/>
            <w:szCs w:val="20"/>
          </w:rPr>
          <w:fldChar w:fldCharType="end"/>
        </w:r>
      </w:hyperlink>
    </w:p>
    <w:p w14:paraId="302A6456" w14:textId="3D04B214" w:rsidR="00BE3F4E" w:rsidRPr="00BE3F4E" w:rsidRDefault="00000000">
      <w:pPr>
        <w:pStyle w:val="TOC5"/>
        <w:tabs>
          <w:tab w:val="right" w:leader="underscore" w:pos="9016"/>
        </w:tabs>
        <w:rPr>
          <w:rFonts w:ascii="Arial" w:eastAsiaTheme="minorEastAsia" w:hAnsi="Arial" w:cs="Arial"/>
          <w:noProof/>
          <w:sz w:val="20"/>
          <w:szCs w:val="20"/>
        </w:rPr>
      </w:pPr>
      <w:hyperlink w:anchor="_Toc153137200" w:history="1">
        <w:r w:rsidR="00BE3F4E" w:rsidRPr="00BE3F4E">
          <w:rPr>
            <w:rStyle w:val="Hyperlink"/>
            <w:rFonts w:ascii="Arial" w:eastAsia="Times New Roman" w:hAnsi="Arial" w:cs="Arial"/>
            <w:noProof/>
            <w:sz w:val="20"/>
            <w:szCs w:val="20"/>
          </w:rPr>
          <w:t>AMC1 BOP.BAS.030(a)(3) Responsibilities of the pilot-in-command</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_Toc153137200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29</w:t>
        </w:r>
        <w:r w:rsidR="00BE3F4E" w:rsidRPr="00BE3F4E">
          <w:rPr>
            <w:rFonts w:ascii="Arial" w:hAnsi="Arial" w:cs="Arial"/>
            <w:noProof/>
            <w:webHidden/>
            <w:sz w:val="20"/>
            <w:szCs w:val="20"/>
          </w:rPr>
          <w:fldChar w:fldCharType="end"/>
        </w:r>
      </w:hyperlink>
    </w:p>
    <w:p w14:paraId="65581161" w14:textId="78563226" w:rsidR="00BE3F4E" w:rsidRPr="00BE3F4E" w:rsidRDefault="00000000">
      <w:pPr>
        <w:pStyle w:val="TOC5"/>
        <w:tabs>
          <w:tab w:val="right" w:leader="underscore" w:pos="9016"/>
        </w:tabs>
        <w:rPr>
          <w:rFonts w:ascii="Arial" w:eastAsiaTheme="minorEastAsia" w:hAnsi="Arial" w:cs="Arial"/>
          <w:noProof/>
          <w:sz w:val="20"/>
          <w:szCs w:val="20"/>
        </w:rPr>
      </w:pPr>
      <w:hyperlink w:anchor="_Toc153137201" w:history="1">
        <w:r w:rsidR="00BE3F4E" w:rsidRPr="00BE3F4E">
          <w:rPr>
            <w:rStyle w:val="Hyperlink"/>
            <w:rFonts w:ascii="Arial" w:eastAsia="Times New Roman" w:hAnsi="Arial" w:cs="Arial"/>
            <w:noProof/>
            <w:sz w:val="20"/>
            <w:szCs w:val="20"/>
          </w:rPr>
          <w:t>GM1 BOP.BAS.030(a)(7) Responsibilities of the pilot-in-command</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_Toc153137201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29</w:t>
        </w:r>
        <w:r w:rsidR="00BE3F4E" w:rsidRPr="00BE3F4E">
          <w:rPr>
            <w:rFonts w:ascii="Arial" w:hAnsi="Arial" w:cs="Arial"/>
            <w:noProof/>
            <w:webHidden/>
            <w:sz w:val="20"/>
            <w:szCs w:val="20"/>
          </w:rPr>
          <w:fldChar w:fldCharType="end"/>
        </w:r>
      </w:hyperlink>
    </w:p>
    <w:p w14:paraId="7E9FA3C8" w14:textId="242B86DB" w:rsidR="00BE3F4E" w:rsidRPr="00BE3F4E" w:rsidRDefault="00000000">
      <w:pPr>
        <w:pStyle w:val="TOC5"/>
        <w:tabs>
          <w:tab w:val="right" w:leader="underscore" w:pos="9016"/>
        </w:tabs>
        <w:rPr>
          <w:rFonts w:ascii="Arial" w:eastAsiaTheme="minorEastAsia" w:hAnsi="Arial" w:cs="Arial"/>
          <w:noProof/>
          <w:sz w:val="20"/>
          <w:szCs w:val="20"/>
        </w:rPr>
      </w:pPr>
      <w:hyperlink w:anchor="_Toc153137202" w:history="1">
        <w:r w:rsidR="00BE3F4E" w:rsidRPr="00BE3F4E">
          <w:rPr>
            <w:rStyle w:val="Hyperlink"/>
            <w:rFonts w:ascii="Arial" w:eastAsia="Times New Roman" w:hAnsi="Arial" w:cs="Arial"/>
            <w:noProof/>
            <w:sz w:val="20"/>
            <w:szCs w:val="20"/>
          </w:rPr>
          <w:t>GM1 BOP.BAS.030(a)(14) Responsibilities of the pilot-in-command</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_Toc153137202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29</w:t>
        </w:r>
        <w:r w:rsidR="00BE3F4E" w:rsidRPr="00BE3F4E">
          <w:rPr>
            <w:rFonts w:ascii="Arial" w:hAnsi="Arial" w:cs="Arial"/>
            <w:noProof/>
            <w:webHidden/>
            <w:sz w:val="20"/>
            <w:szCs w:val="20"/>
          </w:rPr>
          <w:fldChar w:fldCharType="end"/>
        </w:r>
      </w:hyperlink>
    </w:p>
    <w:p w14:paraId="4D5B1EED" w14:textId="3F5E4735" w:rsidR="00BE3F4E" w:rsidRPr="00BE3F4E" w:rsidRDefault="00000000">
      <w:pPr>
        <w:pStyle w:val="TOC5"/>
        <w:tabs>
          <w:tab w:val="right" w:leader="underscore" w:pos="9016"/>
        </w:tabs>
        <w:rPr>
          <w:rFonts w:ascii="Arial" w:eastAsiaTheme="minorEastAsia" w:hAnsi="Arial" w:cs="Arial"/>
          <w:noProof/>
          <w:sz w:val="20"/>
          <w:szCs w:val="20"/>
        </w:rPr>
      </w:pPr>
      <w:hyperlink w:anchor="_Toc153137203" w:history="1">
        <w:r w:rsidR="00BE3F4E" w:rsidRPr="00BE3F4E">
          <w:rPr>
            <w:rStyle w:val="Hyperlink"/>
            <w:rFonts w:ascii="Arial" w:eastAsia="Times New Roman" w:hAnsi="Arial" w:cs="Arial"/>
            <w:noProof/>
            <w:sz w:val="20"/>
            <w:szCs w:val="20"/>
          </w:rPr>
          <w:t>AMC1 BOP.BAS.030(a)(17) Responsibilities of the pilot-in-command</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_Toc153137203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29</w:t>
        </w:r>
        <w:r w:rsidR="00BE3F4E" w:rsidRPr="00BE3F4E">
          <w:rPr>
            <w:rFonts w:ascii="Arial" w:hAnsi="Arial" w:cs="Arial"/>
            <w:noProof/>
            <w:webHidden/>
            <w:sz w:val="20"/>
            <w:szCs w:val="20"/>
          </w:rPr>
          <w:fldChar w:fldCharType="end"/>
        </w:r>
      </w:hyperlink>
    </w:p>
    <w:p w14:paraId="3BBE39E6" w14:textId="5C9B439B" w:rsidR="00BE3F4E" w:rsidRPr="00BE3F4E" w:rsidRDefault="00000000">
      <w:pPr>
        <w:pStyle w:val="TOC5"/>
        <w:tabs>
          <w:tab w:val="right" w:leader="underscore" w:pos="9016"/>
        </w:tabs>
        <w:rPr>
          <w:rFonts w:ascii="Arial" w:eastAsiaTheme="minorEastAsia" w:hAnsi="Arial" w:cs="Arial"/>
          <w:noProof/>
          <w:sz w:val="20"/>
          <w:szCs w:val="20"/>
        </w:rPr>
      </w:pPr>
      <w:hyperlink w:anchor="_Toc153137204" w:history="1">
        <w:r w:rsidR="00BE3F4E" w:rsidRPr="00BE3F4E">
          <w:rPr>
            <w:rStyle w:val="Hyperlink"/>
            <w:rFonts w:ascii="Arial" w:eastAsia="Times New Roman" w:hAnsi="Arial" w:cs="Arial"/>
            <w:noProof/>
            <w:sz w:val="20"/>
            <w:szCs w:val="20"/>
          </w:rPr>
          <w:t>AMC1 BOP.BAS.030(b)(1) &amp; AMC1 BOP.BAS.040(b) Responsibilities of the pilot-in-command &amp; responsibilities of crew members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_Toc153137204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29</w:t>
        </w:r>
        <w:r w:rsidR="00BE3F4E" w:rsidRPr="00BE3F4E">
          <w:rPr>
            <w:rFonts w:ascii="Arial" w:hAnsi="Arial" w:cs="Arial"/>
            <w:noProof/>
            <w:webHidden/>
            <w:sz w:val="20"/>
            <w:szCs w:val="20"/>
          </w:rPr>
          <w:fldChar w:fldCharType="end"/>
        </w:r>
      </w:hyperlink>
    </w:p>
    <w:p w14:paraId="0BBFF131" w14:textId="25988193" w:rsidR="00BE3F4E" w:rsidRPr="00BE3F4E" w:rsidRDefault="00000000">
      <w:pPr>
        <w:pStyle w:val="TOC5"/>
        <w:tabs>
          <w:tab w:val="right" w:leader="underscore" w:pos="9016"/>
        </w:tabs>
        <w:rPr>
          <w:rFonts w:ascii="Arial" w:eastAsiaTheme="minorEastAsia" w:hAnsi="Arial" w:cs="Arial"/>
          <w:noProof/>
          <w:sz w:val="20"/>
          <w:szCs w:val="20"/>
        </w:rPr>
      </w:pPr>
      <w:hyperlink w:anchor="_Toc153137205" w:history="1">
        <w:r w:rsidR="00BE3F4E" w:rsidRPr="00BE3F4E">
          <w:rPr>
            <w:rStyle w:val="Hyperlink"/>
            <w:rFonts w:ascii="Arial" w:eastAsia="Times New Roman" w:hAnsi="Arial" w:cs="Arial"/>
            <w:noProof/>
            <w:sz w:val="20"/>
            <w:szCs w:val="20"/>
          </w:rPr>
          <w:t>GM1 BOP.BAS.030(b)(1);(2) &amp; GM1 BOP.BAS.040(b) Responsibilities of the pilot-in-command &amp; responsibilities of crew members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_Toc153137205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29</w:t>
        </w:r>
        <w:r w:rsidR="00BE3F4E" w:rsidRPr="00BE3F4E">
          <w:rPr>
            <w:rFonts w:ascii="Arial" w:hAnsi="Arial" w:cs="Arial"/>
            <w:noProof/>
            <w:webHidden/>
            <w:sz w:val="20"/>
            <w:szCs w:val="20"/>
          </w:rPr>
          <w:fldChar w:fldCharType="end"/>
        </w:r>
      </w:hyperlink>
    </w:p>
    <w:p w14:paraId="5D94A6F6" w14:textId="7ABE34C2" w:rsidR="00BE3F4E" w:rsidRPr="00BE3F4E" w:rsidRDefault="00000000">
      <w:pPr>
        <w:pStyle w:val="TOC4"/>
        <w:tabs>
          <w:tab w:val="right" w:leader="underscore" w:pos="9016"/>
        </w:tabs>
        <w:rPr>
          <w:rFonts w:ascii="Arial" w:eastAsiaTheme="minorEastAsia" w:hAnsi="Arial" w:cs="Arial"/>
          <w:noProof/>
          <w:sz w:val="20"/>
          <w:szCs w:val="20"/>
        </w:rPr>
      </w:pPr>
      <w:hyperlink w:anchor="_Toc153137206" w:history="1">
        <w:r w:rsidR="00BE3F4E" w:rsidRPr="00BE3F4E">
          <w:rPr>
            <w:rStyle w:val="Hyperlink"/>
            <w:rFonts w:ascii="Arial" w:hAnsi="Arial" w:cs="Arial"/>
            <w:noProof/>
            <w:sz w:val="20"/>
            <w:szCs w:val="20"/>
          </w:rPr>
          <w:t>BOP.BAS.035 Authority of the pilot-in-command</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_Toc153137206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30</w:t>
        </w:r>
        <w:r w:rsidR="00BE3F4E" w:rsidRPr="00BE3F4E">
          <w:rPr>
            <w:rFonts w:ascii="Arial" w:hAnsi="Arial" w:cs="Arial"/>
            <w:noProof/>
            <w:webHidden/>
            <w:sz w:val="20"/>
            <w:szCs w:val="20"/>
          </w:rPr>
          <w:fldChar w:fldCharType="end"/>
        </w:r>
      </w:hyperlink>
    </w:p>
    <w:p w14:paraId="2AD6141E" w14:textId="4FC7E3AE" w:rsidR="00BE3F4E" w:rsidRPr="00BE3F4E" w:rsidRDefault="00000000">
      <w:pPr>
        <w:pStyle w:val="TOC4"/>
        <w:tabs>
          <w:tab w:val="right" w:leader="underscore" w:pos="9016"/>
        </w:tabs>
        <w:rPr>
          <w:rFonts w:ascii="Arial" w:eastAsiaTheme="minorEastAsia" w:hAnsi="Arial" w:cs="Arial"/>
          <w:noProof/>
          <w:sz w:val="20"/>
          <w:szCs w:val="20"/>
        </w:rPr>
      </w:pPr>
      <w:hyperlink w:anchor="_Toc153137207" w:history="1">
        <w:r w:rsidR="00BE3F4E" w:rsidRPr="00BE3F4E">
          <w:rPr>
            <w:rStyle w:val="Hyperlink"/>
            <w:rFonts w:ascii="Arial" w:hAnsi="Arial" w:cs="Arial"/>
            <w:noProof/>
            <w:sz w:val="20"/>
            <w:szCs w:val="20"/>
          </w:rPr>
          <w:t>BOP.BAS.040 Responsibilities of crew members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_Toc153137207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30</w:t>
        </w:r>
        <w:r w:rsidR="00BE3F4E" w:rsidRPr="00BE3F4E">
          <w:rPr>
            <w:rFonts w:ascii="Arial" w:hAnsi="Arial" w:cs="Arial"/>
            <w:noProof/>
            <w:webHidden/>
            <w:sz w:val="20"/>
            <w:szCs w:val="20"/>
          </w:rPr>
          <w:fldChar w:fldCharType="end"/>
        </w:r>
      </w:hyperlink>
    </w:p>
    <w:p w14:paraId="71CE9A30" w14:textId="52481FA3" w:rsidR="00BE3F4E" w:rsidRPr="00BE3F4E" w:rsidRDefault="00000000">
      <w:pPr>
        <w:pStyle w:val="TOC5"/>
        <w:tabs>
          <w:tab w:val="right" w:leader="underscore" w:pos="9016"/>
        </w:tabs>
        <w:rPr>
          <w:rFonts w:ascii="Arial" w:eastAsiaTheme="minorEastAsia" w:hAnsi="Arial" w:cs="Arial"/>
          <w:noProof/>
          <w:sz w:val="20"/>
          <w:szCs w:val="20"/>
        </w:rPr>
      </w:pPr>
      <w:hyperlink w:anchor="_Toc153137208" w:history="1">
        <w:r w:rsidR="00BE3F4E" w:rsidRPr="00BE3F4E">
          <w:rPr>
            <w:rStyle w:val="Hyperlink"/>
            <w:rFonts w:ascii="Arial" w:eastAsia="Times New Roman" w:hAnsi="Arial" w:cs="Arial"/>
            <w:noProof/>
            <w:sz w:val="20"/>
            <w:szCs w:val="20"/>
          </w:rPr>
          <w:t>GM1 BOP.BAS.040 Responsibilities of crew members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_Toc153137208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30</w:t>
        </w:r>
        <w:r w:rsidR="00BE3F4E" w:rsidRPr="00BE3F4E">
          <w:rPr>
            <w:rFonts w:ascii="Arial" w:hAnsi="Arial" w:cs="Arial"/>
            <w:noProof/>
            <w:webHidden/>
            <w:sz w:val="20"/>
            <w:szCs w:val="20"/>
          </w:rPr>
          <w:fldChar w:fldCharType="end"/>
        </w:r>
      </w:hyperlink>
    </w:p>
    <w:p w14:paraId="1DFE14BB" w14:textId="7AACCC7F" w:rsidR="00BE3F4E" w:rsidRPr="00BE3F4E" w:rsidRDefault="00000000">
      <w:pPr>
        <w:pStyle w:val="TOC4"/>
        <w:tabs>
          <w:tab w:val="right" w:leader="underscore" w:pos="9016"/>
        </w:tabs>
        <w:rPr>
          <w:rFonts w:ascii="Arial" w:eastAsiaTheme="minorEastAsia" w:hAnsi="Arial" w:cs="Arial"/>
          <w:noProof/>
          <w:sz w:val="20"/>
          <w:szCs w:val="20"/>
        </w:rPr>
      </w:pPr>
      <w:hyperlink w:anchor="_Toc153137209" w:history="1">
        <w:r w:rsidR="00BE3F4E" w:rsidRPr="00BE3F4E">
          <w:rPr>
            <w:rStyle w:val="Hyperlink"/>
            <w:rFonts w:ascii="Arial" w:hAnsi="Arial" w:cs="Arial"/>
            <w:noProof/>
            <w:sz w:val="20"/>
            <w:szCs w:val="20"/>
          </w:rPr>
          <w:t>BOP.BAS.045 Compliance with laws, regulations and procedures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_Toc153137209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30</w:t>
        </w:r>
        <w:r w:rsidR="00BE3F4E" w:rsidRPr="00BE3F4E">
          <w:rPr>
            <w:rFonts w:ascii="Arial" w:hAnsi="Arial" w:cs="Arial"/>
            <w:noProof/>
            <w:webHidden/>
            <w:sz w:val="20"/>
            <w:szCs w:val="20"/>
          </w:rPr>
          <w:fldChar w:fldCharType="end"/>
        </w:r>
      </w:hyperlink>
    </w:p>
    <w:p w14:paraId="376E15FD" w14:textId="4DE77E5A" w:rsidR="00BE3F4E" w:rsidRPr="00BE3F4E" w:rsidRDefault="00000000">
      <w:pPr>
        <w:pStyle w:val="TOC4"/>
        <w:tabs>
          <w:tab w:val="right" w:leader="underscore" w:pos="9016"/>
        </w:tabs>
        <w:rPr>
          <w:rFonts w:ascii="Arial" w:eastAsiaTheme="minorEastAsia" w:hAnsi="Arial" w:cs="Arial"/>
          <w:noProof/>
          <w:sz w:val="20"/>
          <w:szCs w:val="20"/>
        </w:rPr>
      </w:pPr>
      <w:hyperlink w:anchor="_Toc153137210" w:history="1">
        <w:r w:rsidR="00BE3F4E" w:rsidRPr="00BE3F4E">
          <w:rPr>
            <w:rStyle w:val="Hyperlink"/>
            <w:rFonts w:ascii="Arial" w:hAnsi="Arial" w:cs="Arial"/>
            <w:noProof/>
            <w:sz w:val="20"/>
            <w:szCs w:val="20"/>
          </w:rPr>
          <w:t>BOP.BAS.050 Documents, manuals and information to be carried</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_Toc153137210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31</w:t>
        </w:r>
        <w:r w:rsidR="00BE3F4E" w:rsidRPr="00BE3F4E">
          <w:rPr>
            <w:rFonts w:ascii="Arial" w:hAnsi="Arial" w:cs="Arial"/>
            <w:noProof/>
            <w:webHidden/>
            <w:sz w:val="20"/>
            <w:szCs w:val="20"/>
          </w:rPr>
          <w:fldChar w:fldCharType="end"/>
        </w:r>
      </w:hyperlink>
    </w:p>
    <w:p w14:paraId="154E4C67" w14:textId="74DEFBAB" w:rsidR="00BE3F4E" w:rsidRPr="00BE3F4E" w:rsidRDefault="00000000">
      <w:pPr>
        <w:pStyle w:val="TOC5"/>
        <w:tabs>
          <w:tab w:val="right" w:leader="underscore" w:pos="9016"/>
        </w:tabs>
        <w:rPr>
          <w:rFonts w:ascii="Arial" w:eastAsiaTheme="minorEastAsia" w:hAnsi="Arial" w:cs="Arial"/>
          <w:noProof/>
          <w:sz w:val="20"/>
          <w:szCs w:val="20"/>
        </w:rPr>
      </w:pPr>
      <w:hyperlink w:anchor="_Toc153137211" w:history="1">
        <w:r w:rsidR="00BE3F4E" w:rsidRPr="00BE3F4E">
          <w:rPr>
            <w:rStyle w:val="Hyperlink"/>
            <w:rFonts w:ascii="Arial" w:eastAsia="Times New Roman" w:hAnsi="Arial" w:cs="Arial"/>
            <w:noProof/>
            <w:sz w:val="20"/>
            <w:szCs w:val="20"/>
          </w:rPr>
          <w:t>GM1 BOP.BAS.050 Documents, manuals and information to be carried</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_Toc153137211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31</w:t>
        </w:r>
        <w:r w:rsidR="00BE3F4E" w:rsidRPr="00BE3F4E">
          <w:rPr>
            <w:rFonts w:ascii="Arial" w:hAnsi="Arial" w:cs="Arial"/>
            <w:noProof/>
            <w:webHidden/>
            <w:sz w:val="20"/>
            <w:szCs w:val="20"/>
          </w:rPr>
          <w:fldChar w:fldCharType="end"/>
        </w:r>
      </w:hyperlink>
    </w:p>
    <w:p w14:paraId="77D5B573" w14:textId="573003C5" w:rsidR="00BE3F4E" w:rsidRPr="00BE3F4E" w:rsidRDefault="00000000">
      <w:pPr>
        <w:pStyle w:val="TOC5"/>
        <w:tabs>
          <w:tab w:val="right" w:leader="underscore" w:pos="9016"/>
        </w:tabs>
        <w:rPr>
          <w:rFonts w:ascii="Arial" w:eastAsiaTheme="minorEastAsia" w:hAnsi="Arial" w:cs="Arial"/>
          <w:noProof/>
          <w:sz w:val="20"/>
          <w:szCs w:val="20"/>
        </w:rPr>
      </w:pPr>
      <w:hyperlink w:anchor="_Toc153137212" w:history="1">
        <w:r w:rsidR="00BE3F4E" w:rsidRPr="00BE3F4E">
          <w:rPr>
            <w:rStyle w:val="Hyperlink"/>
            <w:rFonts w:ascii="Arial" w:eastAsia="Times New Roman" w:hAnsi="Arial" w:cs="Arial"/>
            <w:noProof/>
            <w:sz w:val="20"/>
            <w:szCs w:val="20"/>
          </w:rPr>
          <w:t>AMC1 BOP.BAS.050(a)(1) Documents, manuals and information to be carried</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_Toc153137212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31</w:t>
        </w:r>
        <w:r w:rsidR="00BE3F4E" w:rsidRPr="00BE3F4E">
          <w:rPr>
            <w:rFonts w:ascii="Arial" w:hAnsi="Arial" w:cs="Arial"/>
            <w:noProof/>
            <w:webHidden/>
            <w:sz w:val="20"/>
            <w:szCs w:val="20"/>
          </w:rPr>
          <w:fldChar w:fldCharType="end"/>
        </w:r>
      </w:hyperlink>
    </w:p>
    <w:p w14:paraId="5C9EF928" w14:textId="676A669D" w:rsidR="00BE3F4E" w:rsidRPr="00BE3F4E" w:rsidRDefault="00000000">
      <w:pPr>
        <w:pStyle w:val="TOC5"/>
        <w:tabs>
          <w:tab w:val="right" w:leader="underscore" w:pos="9016"/>
        </w:tabs>
        <w:rPr>
          <w:rFonts w:ascii="Arial" w:eastAsiaTheme="minorEastAsia" w:hAnsi="Arial" w:cs="Arial"/>
          <w:noProof/>
          <w:sz w:val="20"/>
          <w:szCs w:val="20"/>
        </w:rPr>
      </w:pPr>
      <w:hyperlink w:anchor="_Toc153137213" w:history="1">
        <w:r w:rsidR="00BE3F4E" w:rsidRPr="00BE3F4E">
          <w:rPr>
            <w:rStyle w:val="Hyperlink"/>
            <w:rFonts w:ascii="Arial" w:eastAsia="Times New Roman" w:hAnsi="Arial" w:cs="Arial"/>
            <w:noProof/>
            <w:sz w:val="20"/>
            <w:szCs w:val="20"/>
          </w:rPr>
          <w:t>AMC1 BOP.BAS.050(a)(3) Documents, manuals and information to be carried</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_Toc153137213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31</w:t>
        </w:r>
        <w:r w:rsidR="00BE3F4E" w:rsidRPr="00BE3F4E">
          <w:rPr>
            <w:rFonts w:ascii="Arial" w:hAnsi="Arial" w:cs="Arial"/>
            <w:noProof/>
            <w:webHidden/>
            <w:sz w:val="20"/>
            <w:szCs w:val="20"/>
          </w:rPr>
          <w:fldChar w:fldCharType="end"/>
        </w:r>
      </w:hyperlink>
    </w:p>
    <w:p w14:paraId="59C96173" w14:textId="3CFAF9CF" w:rsidR="00BE3F4E" w:rsidRPr="00BE3F4E" w:rsidRDefault="00000000">
      <w:pPr>
        <w:pStyle w:val="TOC5"/>
        <w:tabs>
          <w:tab w:val="right" w:leader="underscore" w:pos="9016"/>
        </w:tabs>
        <w:rPr>
          <w:rFonts w:ascii="Arial" w:eastAsiaTheme="minorEastAsia" w:hAnsi="Arial" w:cs="Arial"/>
          <w:noProof/>
          <w:sz w:val="20"/>
          <w:szCs w:val="20"/>
        </w:rPr>
      </w:pPr>
      <w:hyperlink w:anchor="_Toc153137214" w:history="1">
        <w:r w:rsidR="00BE3F4E" w:rsidRPr="00BE3F4E">
          <w:rPr>
            <w:rStyle w:val="Hyperlink"/>
            <w:rFonts w:ascii="Arial" w:eastAsia="Times New Roman" w:hAnsi="Arial" w:cs="Arial"/>
            <w:noProof/>
            <w:sz w:val="20"/>
            <w:szCs w:val="20"/>
          </w:rPr>
          <w:t>AMC1 BOP.BAS.050(b)(2) Documents, manuals and information to be carried</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_Toc153137214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32</w:t>
        </w:r>
        <w:r w:rsidR="00BE3F4E" w:rsidRPr="00BE3F4E">
          <w:rPr>
            <w:rFonts w:ascii="Arial" w:hAnsi="Arial" w:cs="Arial"/>
            <w:noProof/>
            <w:webHidden/>
            <w:sz w:val="20"/>
            <w:szCs w:val="20"/>
          </w:rPr>
          <w:fldChar w:fldCharType="end"/>
        </w:r>
      </w:hyperlink>
    </w:p>
    <w:p w14:paraId="1DAC6487" w14:textId="6BE178FF" w:rsidR="00BE3F4E" w:rsidRPr="00BE3F4E" w:rsidRDefault="00000000">
      <w:pPr>
        <w:pStyle w:val="TOC5"/>
        <w:tabs>
          <w:tab w:val="right" w:leader="underscore" w:pos="9016"/>
        </w:tabs>
        <w:rPr>
          <w:rFonts w:ascii="Arial" w:eastAsiaTheme="minorEastAsia" w:hAnsi="Arial" w:cs="Arial"/>
          <w:noProof/>
          <w:sz w:val="20"/>
          <w:szCs w:val="20"/>
        </w:rPr>
      </w:pPr>
      <w:hyperlink w:anchor="_Toc153137215" w:history="1">
        <w:r w:rsidR="00BE3F4E" w:rsidRPr="00BE3F4E">
          <w:rPr>
            <w:rStyle w:val="Hyperlink"/>
            <w:rFonts w:ascii="Arial" w:eastAsia="Times New Roman" w:hAnsi="Arial" w:cs="Arial"/>
            <w:noProof/>
            <w:sz w:val="20"/>
            <w:szCs w:val="20"/>
          </w:rPr>
          <w:t>GM1 BOP.BAS.050(b)(3) Documents, manuals and information to be carried</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_Toc153137215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32</w:t>
        </w:r>
        <w:r w:rsidR="00BE3F4E" w:rsidRPr="00BE3F4E">
          <w:rPr>
            <w:rFonts w:ascii="Arial" w:hAnsi="Arial" w:cs="Arial"/>
            <w:noProof/>
            <w:webHidden/>
            <w:sz w:val="20"/>
            <w:szCs w:val="20"/>
          </w:rPr>
          <w:fldChar w:fldCharType="end"/>
        </w:r>
      </w:hyperlink>
    </w:p>
    <w:p w14:paraId="79994A29" w14:textId="46544ED6" w:rsidR="00BE3F4E" w:rsidRPr="00BE3F4E" w:rsidRDefault="00000000">
      <w:pPr>
        <w:pStyle w:val="TOC5"/>
        <w:tabs>
          <w:tab w:val="right" w:leader="underscore" w:pos="9016"/>
        </w:tabs>
        <w:rPr>
          <w:rFonts w:ascii="Arial" w:eastAsiaTheme="minorEastAsia" w:hAnsi="Arial" w:cs="Arial"/>
          <w:noProof/>
          <w:sz w:val="20"/>
          <w:szCs w:val="20"/>
        </w:rPr>
      </w:pPr>
      <w:hyperlink w:anchor="_Toc153137216" w:history="1">
        <w:r w:rsidR="00BE3F4E" w:rsidRPr="00BE3F4E">
          <w:rPr>
            <w:rStyle w:val="Hyperlink"/>
            <w:rFonts w:ascii="Arial" w:eastAsia="Times New Roman" w:hAnsi="Arial" w:cs="Arial"/>
            <w:noProof/>
            <w:sz w:val="20"/>
            <w:szCs w:val="20"/>
          </w:rPr>
          <w:t>GM1 BOP.BAS.050(b)(6) Documents, manuals and information to be carried</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_Toc153137216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32</w:t>
        </w:r>
        <w:r w:rsidR="00BE3F4E" w:rsidRPr="00BE3F4E">
          <w:rPr>
            <w:rFonts w:ascii="Arial" w:hAnsi="Arial" w:cs="Arial"/>
            <w:noProof/>
            <w:webHidden/>
            <w:sz w:val="20"/>
            <w:szCs w:val="20"/>
          </w:rPr>
          <w:fldChar w:fldCharType="end"/>
        </w:r>
      </w:hyperlink>
    </w:p>
    <w:p w14:paraId="08BEECCD" w14:textId="4B93F485" w:rsidR="00BE3F4E" w:rsidRPr="00BE3F4E" w:rsidRDefault="00000000">
      <w:pPr>
        <w:pStyle w:val="TOC5"/>
        <w:tabs>
          <w:tab w:val="right" w:leader="underscore" w:pos="9016"/>
        </w:tabs>
        <w:rPr>
          <w:rFonts w:ascii="Arial" w:eastAsiaTheme="minorEastAsia" w:hAnsi="Arial" w:cs="Arial"/>
          <w:noProof/>
          <w:sz w:val="20"/>
          <w:szCs w:val="20"/>
        </w:rPr>
      </w:pPr>
      <w:hyperlink w:anchor="_Toc153137217" w:history="1">
        <w:r w:rsidR="00BE3F4E" w:rsidRPr="00BE3F4E">
          <w:rPr>
            <w:rStyle w:val="Hyperlink"/>
            <w:rFonts w:ascii="Arial" w:eastAsia="Times New Roman" w:hAnsi="Arial" w:cs="Arial"/>
            <w:noProof/>
            <w:sz w:val="20"/>
            <w:szCs w:val="20"/>
          </w:rPr>
          <w:t>GM1 BOP.BAS.050(b)(7) Documents, manuals and information to be carried</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_Toc153137217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32</w:t>
        </w:r>
        <w:r w:rsidR="00BE3F4E" w:rsidRPr="00BE3F4E">
          <w:rPr>
            <w:rFonts w:ascii="Arial" w:hAnsi="Arial" w:cs="Arial"/>
            <w:noProof/>
            <w:webHidden/>
            <w:sz w:val="20"/>
            <w:szCs w:val="20"/>
          </w:rPr>
          <w:fldChar w:fldCharType="end"/>
        </w:r>
      </w:hyperlink>
    </w:p>
    <w:p w14:paraId="1F8F2926" w14:textId="7047FFBB" w:rsidR="00BE3F4E" w:rsidRPr="00BE3F4E" w:rsidRDefault="00000000">
      <w:pPr>
        <w:pStyle w:val="TOC4"/>
        <w:tabs>
          <w:tab w:val="right" w:leader="underscore" w:pos="9016"/>
        </w:tabs>
        <w:rPr>
          <w:rFonts w:ascii="Arial" w:eastAsiaTheme="minorEastAsia" w:hAnsi="Arial" w:cs="Arial"/>
          <w:noProof/>
          <w:sz w:val="20"/>
          <w:szCs w:val="20"/>
        </w:rPr>
      </w:pPr>
      <w:hyperlink w:anchor="_Toc153137218" w:history="1">
        <w:r w:rsidR="00BE3F4E" w:rsidRPr="00BE3F4E">
          <w:rPr>
            <w:rStyle w:val="Hyperlink"/>
            <w:rFonts w:ascii="Arial" w:hAnsi="Arial" w:cs="Arial"/>
            <w:noProof/>
            <w:sz w:val="20"/>
            <w:szCs w:val="20"/>
          </w:rPr>
          <w:t>BOP.BAS.055 Dangerous goods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_Toc153137218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32</w:t>
        </w:r>
        <w:r w:rsidR="00BE3F4E" w:rsidRPr="00BE3F4E">
          <w:rPr>
            <w:rFonts w:ascii="Arial" w:hAnsi="Arial" w:cs="Arial"/>
            <w:noProof/>
            <w:webHidden/>
            <w:sz w:val="20"/>
            <w:szCs w:val="20"/>
          </w:rPr>
          <w:fldChar w:fldCharType="end"/>
        </w:r>
      </w:hyperlink>
    </w:p>
    <w:p w14:paraId="522A64E1" w14:textId="1C1B49EB" w:rsidR="00BE3F4E" w:rsidRPr="00BE3F4E" w:rsidRDefault="00000000">
      <w:pPr>
        <w:pStyle w:val="TOC5"/>
        <w:tabs>
          <w:tab w:val="right" w:leader="underscore" w:pos="9016"/>
        </w:tabs>
        <w:rPr>
          <w:rFonts w:ascii="Arial" w:eastAsiaTheme="minorEastAsia" w:hAnsi="Arial" w:cs="Arial"/>
          <w:noProof/>
          <w:sz w:val="20"/>
          <w:szCs w:val="20"/>
        </w:rPr>
      </w:pPr>
      <w:hyperlink w:anchor="_Toc153137219" w:history="1">
        <w:r w:rsidR="00BE3F4E" w:rsidRPr="00BE3F4E">
          <w:rPr>
            <w:rStyle w:val="Hyperlink"/>
            <w:rFonts w:ascii="Arial" w:eastAsia="Times New Roman" w:hAnsi="Arial" w:cs="Arial"/>
            <w:noProof/>
            <w:sz w:val="20"/>
            <w:szCs w:val="20"/>
          </w:rPr>
          <w:t>GM1 BOP.BAS.055 Dangerous goods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_Toc153137219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33</w:t>
        </w:r>
        <w:r w:rsidR="00BE3F4E" w:rsidRPr="00BE3F4E">
          <w:rPr>
            <w:rFonts w:ascii="Arial" w:hAnsi="Arial" w:cs="Arial"/>
            <w:noProof/>
            <w:webHidden/>
            <w:sz w:val="20"/>
            <w:szCs w:val="20"/>
          </w:rPr>
          <w:fldChar w:fldCharType="end"/>
        </w:r>
      </w:hyperlink>
    </w:p>
    <w:p w14:paraId="3F6CEFEB" w14:textId="44D0D2F2" w:rsidR="00BE3F4E" w:rsidRPr="00BE3F4E" w:rsidRDefault="00000000">
      <w:pPr>
        <w:pStyle w:val="TOC5"/>
        <w:tabs>
          <w:tab w:val="right" w:leader="underscore" w:pos="9016"/>
        </w:tabs>
        <w:rPr>
          <w:rFonts w:ascii="Arial" w:eastAsiaTheme="minorEastAsia" w:hAnsi="Arial" w:cs="Arial"/>
          <w:noProof/>
          <w:sz w:val="20"/>
          <w:szCs w:val="20"/>
        </w:rPr>
      </w:pPr>
      <w:hyperlink w:anchor="_Toc153137220" w:history="1">
        <w:r w:rsidR="00BE3F4E" w:rsidRPr="00BE3F4E">
          <w:rPr>
            <w:rStyle w:val="Hyperlink"/>
            <w:rFonts w:ascii="Arial" w:eastAsia="Times New Roman" w:hAnsi="Arial" w:cs="Arial"/>
            <w:noProof/>
            <w:sz w:val="20"/>
            <w:szCs w:val="20"/>
          </w:rPr>
          <w:t>GM2 BOP.BAS.055 Dangerous goods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_Toc153137220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33</w:t>
        </w:r>
        <w:r w:rsidR="00BE3F4E" w:rsidRPr="00BE3F4E">
          <w:rPr>
            <w:rFonts w:ascii="Arial" w:hAnsi="Arial" w:cs="Arial"/>
            <w:noProof/>
            <w:webHidden/>
            <w:sz w:val="20"/>
            <w:szCs w:val="20"/>
          </w:rPr>
          <w:fldChar w:fldCharType="end"/>
        </w:r>
      </w:hyperlink>
    </w:p>
    <w:p w14:paraId="513CDE97" w14:textId="2654140A" w:rsidR="00BE3F4E" w:rsidRPr="00BE3F4E" w:rsidRDefault="00000000">
      <w:pPr>
        <w:pStyle w:val="TOC4"/>
        <w:tabs>
          <w:tab w:val="right" w:leader="underscore" w:pos="9016"/>
        </w:tabs>
        <w:rPr>
          <w:rFonts w:ascii="Arial" w:eastAsiaTheme="minorEastAsia" w:hAnsi="Arial" w:cs="Arial"/>
          <w:noProof/>
          <w:sz w:val="20"/>
          <w:szCs w:val="20"/>
        </w:rPr>
      </w:pPr>
      <w:hyperlink w:anchor="_Toc153137221" w:history="1">
        <w:r w:rsidR="00BE3F4E" w:rsidRPr="00BE3F4E">
          <w:rPr>
            <w:rStyle w:val="Hyperlink"/>
            <w:rFonts w:ascii="Arial" w:hAnsi="Arial" w:cs="Arial"/>
            <w:noProof/>
            <w:sz w:val="20"/>
            <w:szCs w:val="20"/>
          </w:rPr>
          <w:t>BOP.BAS.060 Release of dangerous goods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_Toc153137221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33</w:t>
        </w:r>
        <w:r w:rsidR="00BE3F4E" w:rsidRPr="00BE3F4E">
          <w:rPr>
            <w:rFonts w:ascii="Arial" w:hAnsi="Arial" w:cs="Arial"/>
            <w:noProof/>
            <w:webHidden/>
            <w:sz w:val="20"/>
            <w:szCs w:val="20"/>
          </w:rPr>
          <w:fldChar w:fldCharType="end"/>
        </w:r>
      </w:hyperlink>
    </w:p>
    <w:p w14:paraId="273426FE" w14:textId="237EC8BB" w:rsidR="00BE3F4E" w:rsidRPr="00BE3F4E" w:rsidRDefault="00000000">
      <w:pPr>
        <w:pStyle w:val="TOC4"/>
        <w:tabs>
          <w:tab w:val="right" w:leader="underscore" w:pos="9016"/>
        </w:tabs>
        <w:rPr>
          <w:rFonts w:ascii="Arial" w:eastAsiaTheme="minorEastAsia" w:hAnsi="Arial" w:cs="Arial"/>
          <w:noProof/>
          <w:sz w:val="20"/>
          <w:szCs w:val="20"/>
        </w:rPr>
      </w:pPr>
      <w:hyperlink w:anchor="_Toc153137222" w:history="1">
        <w:r w:rsidR="00BE3F4E" w:rsidRPr="00BE3F4E">
          <w:rPr>
            <w:rStyle w:val="Hyperlink"/>
            <w:rFonts w:ascii="Arial" w:hAnsi="Arial" w:cs="Arial"/>
            <w:noProof/>
            <w:sz w:val="20"/>
            <w:szCs w:val="20"/>
          </w:rPr>
          <w:t>BOP.BAS.065 Balloon logbook</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_Toc153137222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33</w:t>
        </w:r>
        <w:r w:rsidR="00BE3F4E" w:rsidRPr="00BE3F4E">
          <w:rPr>
            <w:rFonts w:ascii="Arial" w:hAnsi="Arial" w:cs="Arial"/>
            <w:noProof/>
            <w:webHidden/>
            <w:sz w:val="20"/>
            <w:szCs w:val="20"/>
          </w:rPr>
          <w:fldChar w:fldCharType="end"/>
        </w:r>
      </w:hyperlink>
    </w:p>
    <w:p w14:paraId="16C8937A" w14:textId="382018D3" w:rsidR="00BE3F4E" w:rsidRPr="00BE3F4E" w:rsidRDefault="00000000">
      <w:pPr>
        <w:pStyle w:val="TOC5"/>
        <w:tabs>
          <w:tab w:val="right" w:leader="underscore" w:pos="9016"/>
        </w:tabs>
        <w:rPr>
          <w:rFonts w:ascii="Arial" w:eastAsiaTheme="minorEastAsia" w:hAnsi="Arial" w:cs="Arial"/>
          <w:noProof/>
          <w:sz w:val="20"/>
          <w:szCs w:val="20"/>
        </w:rPr>
      </w:pPr>
      <w:hyperlink w:anchor="_Toc153137223" w:history="1">
        <w:r w:rsidR="00BE3F4E" w:rsidRPr="00BE3F4E">
          <w:rPr>
            <w:rStyle w:val="Hyperlink"/>
            <w:rFonts w:ascii="Arial" w:eastAsia="Times New Roman" w:hAnsi="Arial" w:cs="Arial"/>
            <w:noProof/>
            <w:sz w:val="20"/>
            <w:szCs w:val="20"/>
          </w:rPr>
          <w:t>AMC1 BOP.BAS.065 Balloon logbook</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_Toc153137223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33</w:t>
        </w:r>
        <w:r w:rsidR="00BE3F4E" w:rsidRPr="00BE3F4E">
          <w:rPr>
            <w:rFonts w:ascii="Arial" w:hAnsi="Arial" w:cs="Arial"/>
            <w:noProof/>
            <w:webHidden/>
            <w:sz w:val="20"/>
            <w:szCs w:val="20"/>
          </w:rPr>
          <w:fldChar w:fldCharType="end"/>
        </w:r>
      </w:hyperlink>
    </w:p>
    <w:p w14:paraId="27CE6173" w14:textId="3D47775D" w:rsidR="00BE3F4E" w:rsidRPr="00BE3F4E" w:rsidRDefault="00000000">
      <w:pPr>
        <w:pStyle w:val="TOC5"/>
        <w:tabs>
          <w:tab w:val="right" w:leader="underscore" w:pos="9016"/>
        </w:tabs>
        <w:rPr>
          <w:rFonts w:ascii="Arial" w:eastAsiaTheme="minorEastAsia" w:hAnsi="Arial" w:cs="Arial"/>
          <w:noProof/>
          <w:sz w:val="20"/>
          <w:szCs w:val="20"/>
        </w:rPr>
      </w:pPr>
      <w:hyperlink w:anchor="_Toc153137224" w:history="1">
        <w:r w:rsidR="00BE3F4E" w:rsidRPr="00BE3F4E">
          <w:rPr>
            <w:rStyle w:val="Hyperlink"/>
            <w:rFonts w:ascii="Arial" w:eastAsia="Times New Roman" w:hAnsi="Arial" w:cs="Arial"/>
            <w:noProof/>
            <w:sz w:val="20"/>
            <w:szCs w:val="20"/>
          </w:rPr>
          <w:t>GM1 BOP.BAS.065 Balloon logbook</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_Toc153137224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34</w:t>
        </w:r>
        <w:r w:rsidR="00BE3F4E" w:rsidRPr="00BE3F4E">
          <w:rPr>
            <w:rFonts w:ascii="Arial" w:hAnsi="Arial" w:cs="Arial"/>
            <w:noProof/>
            <w:webHidden/>
            <w:sz w:val="20"/>
            <w:szCs w:val="20"/>
          </w:rPr>
          <w:fldChar w:fldCharType="end"/>
        </w:r>
      </w:hyperlink>
    </w:p>
    <w:p w14:paraId="337D401C" w14:textId="13FB5ED7" w:rsidR="00BE3F4E" w:rsidRPr="00BE3F4E" w:rsidRDefault="00000000">
      <w:pPr>
        <w:pStyle w:val="TOC4"/>
        <w:tabs>
          <w:tab w:val="right" w:leader="underscore" w:pos="9016"/>
        </w:tabs>
        <w:rPr>
          <w:rFonts w:ascii="Arial" w:eastAsiaTheme="minorEastAsia" w:hAnsi="Arial" w:cs="Arial"/>
          <w:noProof/>
          <w:sz w:val="20"/>
          <w:szCs w:val="20"/>
        </w:rPr>
      </w:pPr>
      <w:hyperlink w:anchor="_Toc153137225" w:history="1">
        <w:r w:rsidR="00BE3F4E" w:rsidRPr="00BE3F4E">
          <w:rPr>
            <w:rStyle w:val="Hyperlink"/>
            <w:rFonts w:ascii="Arial" w:eastAsiaTheme="majorEastAsia" w:hAnsi="Arial" w:cs="Arial"/>
            <w:iCs/>
            <w:noProof/>
            <w:sz w:val="20"/>
            <w:szCs w:val="20"/>
          </w:rPr>
          <w:t>SECTION 2 – OPERATING PROCEDURES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_Toc153137225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35</w:t>
        </w:r>
        <w:r w:rsidR="00BE3F4E" w:rsidRPr="00BE3F4E">
          <w:rPr>
            <w:rFonts w:ascii="Arial" w:hAnsi="Arial" w:cs="Arial"/>
            <w:noProof/>
            <w:webHidden/>
            <w:sz w:val="20"/>
            <w:szCs w:val="20"/>
          </w:rPr>
          <w:fldChar w:fldCharType="end"/>
        </w:r>
      </w:hyperlink>
    </w:p>
    <w:p w14:paraId="67114903" w14:textId="0ACBE1CE" w:rsidR="00BE3F4E" w:rsidRPr="00BE3F4E" w:rsidRDefault="00000000">
      <w:pPr>
        <w:pStyle w:val="TOC4"/>
        <w:tabs>
          <w:tab w:val="right" w:leader="underscore" w:pos="9016"/>
        </w:tabs>
        <w:rPr>
          <w:rFonts w:ascii="Arial" w:eastAsiaTheme="minorEastAsia" w:hAnsi="Arial" w:cs="Arial"/>
          <w:noProof/>
          <w:sz w:val="20"/>
          <w:szCs w:val="20"/>
        </w:rPr>
      </w:pPr>
      <w:hyperlink w:anchor="_Toc153137226" w:history="1">
        <w:r w:rsidR="00BE3F4E" w:rsidRPr="00BE3F4E">
          <w:rPr>
            <w:rStyle w:val="Hyperlink"/>
            <w:rFonts w:ascii="Arial" w:hAnsi="Arial" w:cs="Arial"/>
            <w:noProof/>
            <w:sz w:val="20"/>
            <w:szCs w:val="20"/>
          </w:rPr>
          <w:t>BOP.BAS.100 Use of operating sites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_Toc153137226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35</w:t>
        </w:r>
        <w:r w:rsidR="00BE3F4E" w:rsidRPr="00BE3F4E">
          <w:rPr>
            <w:rFonts w:ascii="Arial" w:hAnsi="Arial" w:cs="Arial"/>
            <w:noProof/>
            <w:webHidden/>
            <w:sz w:val="20"/>
            <w:szCs w:val="20"/>
          </w:rPr>
          <w:fldChar w:fldCharType="end"/>
        </w:r>
      </w:hyperlink>
    </w:p>
    <w:p w14:paraId="1D2AE5F0" w14:textId="525EA3FD" w:rsidR="00BE3F4E" w:rsidRPr="00BE3F4E" w:rsidRDefault="00000000">
      <w:pPr>
        <w:pStyle w:val="TOC4"/>
        <w:tabs>
          <w:tab w:val="right" w:leader="underscore" w:pos="9016"/>
        </w:tabs>
        <w:rPr>
          <w:rFonts w:ascii="Arial" w:eastAsiaTheme="minorEastAsia" w:hAnsi="Arial" w:cs="Arial"/>
          <w:noProof/>
          <w:sz w:val="20"/>
          <w:szCs w:val="20"/>
        </w:rPr>
      </w:pPr>
      <w:hyperlink w:anchor="_Toc153137227" w:history="1">
        <w:r w:rsidR="00BE3F4E" w:rsidRPr="00BE3F4E">
          <w:rPr>
            <w:rStyle w:val="Hyperlink"/>
            <w:rFonts w:ascii="Arial" w:hAnsi="Arial" w:cs="Arial"/>
            <w:noProof/>
            <w:sz w:val="20"/>
            <w:szCs w:val="20"/>
          </w:rPr>
          <w:t>BOP.BAS.105 Noise abatement procedures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_Toc153137227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35</w:t>
        </w:r>
        <w:r w:rsidR="00BE3F4E" w:rsidRPr="00BE3F4E">
          <w:rPr>
            <w:rFonts w:ascii="Arial" w:hAnsi="Arial" w:cs="Arial"/>
            <w:noProof/>
            <w:webHidden/>
            <w:sz w:val="20"/>
            <w:szCs w:val="20"/>
          </w:rPr>
          <w:fldChar w:fldCharType="end"/>
        </w:r>
      </w:hyperlink>
    </w:p>
    <w:p w14:paraId="11C3E69B" w14:textId="2ECF56CD" w:rsidR="00BE3F4E" w:rsidRPr="00BE3F4E" w:rsidRDefault="00000000">
      <w:pPr>
        <w:pStyle w:val="TOC4"/>
        <w:tabs>
          <w:tab w:val="right" w:leader="underscore" w:pos="9016"/>
        </w:tabs>
        <w:rPr>
          <w:rFonts w:ascii="Arial" w:eastAsiaTheme="minorEastAsia" w:hAnsi="Arial" w:cs="Arial"/>
          <w:noProof/>
          <w:sz w:val="20"/>
          <w:szCs w:val="20"/>
        </w:rPr>
      </w:pPr>
      <w:hyperlink w:anchor="_Toc153137228" w:history="1">
        <w:r w:rsidR="00BE3F4E" w:rsidRPr="00BE3F4E">
          <w:rPr>
            <w:rStyle w:val="Hyperlink"/>
            <w:rFonts w:ascii="Arial" w:hAnsi="Arial" w:cs="Arial"/>
            <w:noProof/>
            <w:sz w:val="20"/>
            <w:szCs w:val="20"/>
          </w:rPr>
          <w:t>BOP.BAS.110 Fuel and ballast supply and planning</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_Toc153137228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35</w:t>
        </w:r>
        <w:r w:rsidR="00BE3F4E" w:rsidRPr="00BE3F4E">
          <w:rPr>
            <w:rFonts w:ascii="Arial" w:hAnsi="Arial" w:cs="Arial"/>
            <w:noProof/>
            <w:webHidden/>
            <w:sz w:val="20"/>
            <w:szCs w:val="20"/>
          </w:rPr>
          <w:fldChar w:fldCharType="end"/>
        </w:r>
      </w:hyperlink>
    </w:p>
    <w:p w14:paraId="2372878D" w14:textId="6C1E3E8C" w:rsidR="00BE3F4E" w:rsidRPr="00BE3F4E" w:rsidRDefault="00000000">
      <w:pPr>
        <w:pStyle w:val="TOC5"/>
        <w:tabs>
          <w:tab w:val="right" w:leader="underscore" w:pos="9016"/>
        </w:tabs>
        <w:rPr>
          <w:rFonts w:ascii="Arial" w:eastAsiaTheme="minorEastAsia" w:hAnsi="Arial" w:cs="Arial"/>
          <w:noProof/>
          <w:sz w:val="20"/>
          <w:szCs w:val="20"/>
        </w:rPr>
      </w:pPr>
      <w:hyperlink w:anchor="_Toc153137229" w:history="1">
        <w:r w:rsidR="00BE3F4E" w:rsidRPr="00BE3F4E">
          <w:rPr>
            <w:rStyle w:val="Hyperlink"/>
            <w:rFonts w:ascii="Arial" w:eastAsia="Times New Roman" w:hAnsi="Arial" w:cs="Arial"/>
            <w:noProof/>
            <w:sz w:val="20"/>
            <w:szCs w:val="20"/>
          </w:rPr>
          <w:t>AMC1 BOP.BAS.110 Fuel and ballast supply and planning</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_Toc153137229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35</w:t>
        </w:r>
        <w:r w:rsidR="00BE3F4E" w:rsidRPr="00BE3F4E">
          <w:rPr>
            <w:rFonts w:ascii="Arial" w:hAnsi="Arial" w:cs="Arial"/>
            <w:noProof/>
            <w:webHidden/>
            <w:sz w:val="20"/>
            <w:szCs w:val="20"/>
          </w:rPr>
          <w:fldChar w:fldCharType="end"/>
        </w:r>
      </w:hyperlink>
    </w:p>
    <w:p w14:paraId="7BC6EB62" w14:textId="77CFBB5B" w:rsidR="00BE3F4E" w:rsidRPr="00BE3F4E" w:rsidRDefault="00000000">
      <w:pPr>
        <w:pStyle w:val="TOC4"/>
        <w:tabs>
          <w:tab w:val="right" w:leader="underscore" w:pos="9016"/>
        </w:tabs>
        <w:rPr>
          <w:rFonts w:ascii="Arial" w:eastAsiaTheme="minorEastAsia" w:hAnsi="Arial" w:cs="Arial"/>
          <w:noProof/>
          <w:sz w:val="20"/>
          <w:szCs w:val="20"/>
        </w:rPr>
      </w:pPr>
      <w:hyperlink w:anchor="_Toc153137230" w:history="1">
        <w:r w:rsidR="00BE3F4E" w:rsidRPr="00BE3F4E">
          <w:rPr>
            <w:rStyle w:val="Hyperlink"/>
            <w:rFonts w:ascii="Arial" w:hAnsi="Arial" w:cs="Arial"/>
            <w:noProof/>
            <w:sz w:val="20"/>
            <w:szCs w:val="20"/>
          </w:rPr>
          <w:t>BOP.BAS.115 Passenger briefing</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_Toc153137230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35</w:t>
        </w:r>
        <w:r w:rsidR="00BE3F4E" w:rsidRPr="00BE3F4E">
          <w:rPr>
            <w:rFonts w:ascii="Arial" w:hAnsi="Arial" w:cs="Arial"/>
            <w:noProof/>
            <w:webHidden/>
            <w:sz w:val="20"/>
            <w:szCs w:val="20"/>
          </w:rPr>
          <w:fldChar w:fldCharType="end"/>
        </w:r>
      </w:hyperlink>
    </w:p>
    <w:p w14:paraId="19411387" w14:textId="58A6AE1F" w:rsidR="00BE3F4E" w:rsidRPr="00BE3F4E" w:rsidRDefault="00000000">
      <w:pPr>
        <w:pStyle w:val="TOC5"/>
        <w:tabs>
          <w:tab w:val="right" w:leader="underscore" w:pos="9016"/>
        </w:tabs>
        <w:rPr>
          <w:rFonts w:ascii="Arial" w:eastAsiaTheme="minorEastAsia" w:hAnsi="Arial" w:cs="Arial"/>
          <w:noProof/>
          <w:sz w:val="20"/>
          <w:szCs w:val="20"/>
        </w:rPr>
      </w:pPr>
      <w:hyperlink w:anchor="_Toc153137231" w:history="1">
        <w:r w:rsidR="00BE3F4E" w:rsidRPr="00BE3F4E">
          <w:rPr>
            <w:rStyle w:val="Hyperlink"/>
            <w:rFonts w:ascii="Arial" w:eastAsia="Times New Roman" w:hAnsi="Arial" w:cs="Arial"/>
            <w:noProof/>
            <w:sz w:val="20"/>
            <w:szCs w:val="20"/>
          </w:rPr>
          <w:t>AMC1 BOP.BAS.115 Passenger briefing</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_Toc153137231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35</w:t>
        </w:r>
        <w:r w:rsidR="00BE3F4E" w:rsidRPr="00BE3F4E">
          <w:rPr>
            <w:rFonts w:ascii="Arial" w:hAnsi="Arial" w:cs="Arial"/>
            <w:noProof/>
            <w:webHidden/>
            <w:sz w:val="20"/>
            <w:szCs w:val="20"/>
          </w:rPr>
          <w:fldChar w:fldCharType="end"/>
        </w:r>
      </w:hyperlink>
    </w:p>
    <w:p w14:paraId="7096DE82" w14:textId="07BF53E9" w:rsidR="00BE3F4E" w:rsidRPr="00BE3F4E" w:rsidRDefault="00000000">
      <w:pPr>
        <w:pStyle w:val="TOC5"/>
        <w:tabs>
          <w:tab w:val="right" w:leader="underscore" w:pos="9016"/>
        </w:tabs>
        <w:rPr>
          <w:rFonts w:ascii="Arial" w:eastAsiaTheme="minorEastAsia" w:hAnsi="Arial" w:cs="Arial"/>
          <w:noProof/>
          <w:sz w:val="20"/>
          <w:szCs w:val="20"/>
        </w:rPr>
      </w:pPr>
      <w:hyperlink w:anchor="_Toc153137232" w:history="1">
        <w:r w:rsidR="00BE3F4E" w:rsidRPr="00BE3F4E">
          <w:rPr>
            <w:rStyle w:val="Hyperlink"/>
            <w:rFonts w:ascii="Arial" w:eastAsia="Times New Roman" w:hAnsi="Arial" w:cs="Arial"/>
            <w:noProof/>
            <w:sz w:val="20"/>
            <w:szCs w:val="20"/>
          </w:rPr>
          <w:t>GM1 BOP.BAS.115 Passenger briefing</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_Toc153137232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36</w:t>
        </w:r>
        <w:r w:rsidR="00BE3F4E" w:rsidRPr="00BE3F4E">
          <w:rPr>
            <w:rFonts w:ascii="Arial" w:hAnsi="Arial" w:cs="Arial"/>
            <w:noProof/>
            <w:webHidden/>
            <w:sz w:val="20"/>
            <w:szCs w:val="20"/>
          </w:rPr>
          <w:fldChar w:fldCharType="end"/>
        </w:r>
      </w:hyperlink>
    </w:p>
    <w:p w14:paraId="66E31178" w14:textId="4ECCCDE2" w:rsidR="00BE3F4E" w:rsidRPr="00BE3F4E" w:rsidRDefault="00000000">
      <w:pPr>
        <w:pStyle w:val="TOC4"/>
        <w:tabs>
          <w:tab w:val="right" w:leader="underscore" w:pos="9016"/>
        </w:tabs>
        <w:rPr>
          <w:rFonts w:ascii="Arial" w:eastAsiaTheme="minorEastAsia" w:hAnsi="Arial" w:cs="Arial"/>
          <w:noProof/>
          <w:sz w:val="20"/>
          <w:szCs w:val="20"/>
        </w:rPr>
      </w:pPr>
      <w:hyperlink w:anchor="_Toc153137233" w:history="1">
        <w:r w:rsidR="00BE3F4E" w:rsidRPr="00BE3F4E">
          <w:rPr>
            <w:rStyle w:val="Hyperlink"/>
            <w:rFonts w:ascii="Arial" w:hAnsi="Arial" w:cs="Arial"/>
            <w:noProof/>
            <w:sz w:val="20"/>
            <w:szCs w:val="20"/>
          </w:rPr>
          <w:t>BOP.BAS.120 Carriage of special categories of passengers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_Toc153137233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36</w:t>
        </w:r>
        <w:r w:rsidR="00BE3F4E" w:rsidRPr="00BE3F4E">
          <w:rPr>
            <w:rFonts w:ascii="Arial" w:hAnsi="Arial" w:cs="Arial"/>
            <w:noProof/>
            <w:webHidden/>
            <w:sz w:val="20"/>
            <w:szCs w:val="20"/>
          </w:rPr>
          <w:fldChar w:fldCharType="end"/>
        </w:r>
      </w:hyperlink>
    </w:p>
    <w:p w14:paraId="30220655" w14:textId="6F11E3E0" w:rsidR="00BE3F4E" w:rsidRPr="00BE3F4E" w:rsidRDefault="00000000">
      <w:pPr>
        <w:pStyle w:val="TOC5"/>
        <w:tabs>
          <w:tab w:val="right" w:leader="underscore" w:pos="9016"/>
        </w:tabs>
        <w:rPr>
          <w:rFonts w:ascii="Arial" w:eastAsiaTheme="minorEastAsia" w:hAnsi="Arial" w:cs="Arial"/>
          <w:noProof/>
          <w:sz w:val="20"/>
          <w:szCs w:val="20"/>
        </w:rPr>
      </w:pPr>
      <w:hyperlink w:anchor="_Toc153137234" w:history="1">
        <w:r w:rsidR="00BE3F4E" w:rsidRPr="00BE3F4E">
          <w:rPr>
            <w:rStyle w:val="Hyperlink"/>
            <w:rFonts w:ascii="Arial" w:eastAsia="Times New Roman" w:hAnsi="Arial" w:cs="Arial"/>
            <w:noProof/>
            <w:sz w:val="20"/>
            <w:szCs w:val="20"/>
          </w:rPr>
          <w:t>AMC1 BOP.BAS.120 Carriage of special categories of passengers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_Toc153137234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36</w:t>
        </w:r>
        <w:r w:rsidR="00BE3F4E" w:rsidRPr="00BE3F4E">
          <w:rPr>
            <w:rFonts w:ascii="Arial" w:hAnsi="Arial" w:cs="Arial"/>
            <w:noProof/>
            <w:webHidden/>
            <w:sz w:val="20"/>
            <w:szCs w:val="20"/>
          </w:rPr>
          <w:fldChar w:fldCharType="end"/>
        </w:r>
      </w:hyperlink>
    </w:p>
    <w:p w14:paraId="2459A746" w14:textId="2A613116" w:rsidR="00BE3F4E" w:rsidRPr="00BE3F4E" w:rsidRDefault="00000000">
      <w:pPr>
        <w:pStyle w:val="TOC4"/>
        <w:tabs>
          <w:tab w:val="right" w:leader="underscore" w:pos="9016"/>
        </w:tabs>
        <w:rPr>
          <w:rFonts w:ascii="Arial" w:eastAsiaTheme="minorEastAsia" w:hAnsi="Arial" w:cs="Arial"/>
          <w:noProof/>
          <w:sz w:val="20"/>
          <w:szCs w:val="20"/>
        </w:rPr>
      </w:pPr>
      <w:hyperlink w:anchor="_Toc153137235" w:history="1">
        <w:r w:rsidR="00BE3F4E" w:rsidRPr="00BE3F4E">
          <w:rPr>
            <w:rStyle w:val="Hyperlink"/>
            <w:rFonts w:ascii="Arial" w:hAnsi="Arial" w:cs="Arial"/>
            <w:noProof/>
            <w:sz w:val="20"/>
            <w:szCs w:val="20"/>
          </w:rPr>
          <w:t>BOP.BAS.125 Submission of the air traffic service flight plan</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_Toc153137235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36</w:t>
        </w:r>
        <w:r w:rsidR="00BE3F4E" w:rsidRPr="00BE3F4E">
          <w:rPr>
            <w:rFonts w:ascii="Arial" w:hAnsi="Arial" w:cs="Arial"/>
            <w:noProof/>
            <w:webHidden/>
            <w:sz w:val="20"/>
            <w:szCs w:val="20"/>
          </w:rPr>
          <w:fldChar w:fldCharType="end"/>
        </w:r>
      </w:hyperlink>
    </w:p>
    <w:p w14:paraId="1E72EB58" w14:textId="66F44160" w:rsidR="00BE3F4E" w:rsidRPr="00BE3F4E" w:rsidRDefault="00000000">
      <w:pPr>
        <w:pStyle w:val="TOC5"/>
        <w:tabs>
          <w:tab w:val="right" w:leader="underscore" w:pos="9016"/>
        </w:tabs>
        <w:rPr>
          <w:rFonts w:ascii="Arial" w:eastAsiaTheme="minorEastAsia" w:hAnsi="Arial" w:cs="Arial"/>
          <w:noProof/>
          <w:sz w:val="20"/>
          <w:szCs w:val="20"/>
        </w:rPr>
      </w:pPr>
      <w:hyperlink w:anchor="_Toc153137236" w:history="1">
        <w:r w:rsidR="00BE3F4E" w:rsidRPr="00BE3F4E">
          <w:rPr>
            <w:rStyle w:val="Hyperlink"/>
            <w:rFonts w:ascii="Arial" w:eastAsia="Times New Roman" w:hAnsi="Arial" w:cs="Arial"/>
            <w:noProof/>
            <w:sz w:val="20"/>
            <w:szCs w:val="20"/>
          </w:rPr>
          <w:t>AMC1 BOP.BAS.125 Submission of the air traffic service flight plan</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_Toc153137236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36</w:t>
        </w:r>
        <w:r w:rsidR="00BE3F4E" w:rsidRPr="00BE3F4E">
          <w:rPr>
            <w:rFonts w:ascii="Arial" w:hAnsi="Arial" w:cs="Arial"/>
            <w:noProof/>
            <w:webHidden/>
            <w:sz w:val="20"/>
            <w:szCs w:val="20"/>
          </w:rPr>
          <w:fldChar w:fldCharType="end"/>
        </w:r>
      </w:hyperlink>
    </w:p>
    <w:p w14:paraId="39BB4A50" w14:textId="2A3CF62F" w:rsidR="00BE3F4E" w:rsidRPr="00BE3F4E" w:rsidRDefault="00000000">
      <w:pPr>
        <w:pStyle w:val="TOC4"/>
        <w:tabs>
          <w:tab w:val="right" w:leader="underscore" w:pos="9016"/>
        </w:tabs>
        <w:rPr>
          <w:rFonts w:ascii="Arial" w:eastAsiaTheme="minorEastAsia" w:hAnsi="Arial" w:cs="Arial"/>
          <w:noProof/>
          <w:sz w:val="20"/>
          <w:szCs w:val="20"/>
        </w:rPr>
      </w:pPr>
      <w:hyperlink w:anchor="_Toc153137237" w:history="1">
        <w:r w:rsidR="00BE3F4E" w:rsidRPr="00BE3F4E">
          <w:rPr>
            <w:rStyle w:val="Hyperlink"/>
            <w:rFonts w:ascii="Arial" w:hAnsi="Arial" w:cs="Arial"/>
            <w:noProof/>
            <w:sz w:val="20"/>
            <w:szCs w:val="20"/>
          </w:rPr>
          <w:t>BOP.BAS.130 Flight preparation</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_Toc153137237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37</w:t>
        </w:r>
        <w:r w:rsidR="00BE3F4E" w:rsidRPr="00BE3F4E">
          <w:rPr>
            <w:rFonts w:ascii="Arial" w:hAnsi="Arial" w:cs="Arial"/>
            <w:noProof/>
            <w:webHidden/>
            <w:sz w:val="20"/>
            <w:szCs w:val="20"/>
          </w:rPr>
          <w:fldChar w:fldCharType="end"/>
        </w:r>
      </w:hyperlink>
    </w:p>
    <w:p w14:paraId="611EB381" w14:textId="1A4FA199" w:rsidR="00BE3F4E" w:rsidRPr="00BE3F4E" w:rsidRDefault="00000000">
      <w:pPr>
        <w:pStyle w:val="TOC4"/>
        <w:tabs>
          <w:tab w:val="right" w:leader="underscore" w:pos="9016"/>
        </w:tabs>
        <w:rPr>
          <w:rFonts w:ascii="Arial" w:eastAsiaTheme="minorEastAsia" w:hAnsi="Arial" w:cs="Arial"/>
          <w:noProof/>
          <w:sz w:val="20"/>
          <w:szCs w:val="20"/>
        </w:rPr>
      </w:pPr>
      <w:hyperlink w:anchor="_Toc153137238" w:history="1">
        <w:r w:rsidR="00BE3F4E" w:rsidRPr="00BE3F4E">
          <w:rPr>
            <w:rStyle w:val="Hyperlink"/>
            <w:rFonts w:ascii="Arial" w:hAnsi="Arial" w:cs="Arial"/>
            <w:noProof/>
            <w:sz w:val="20"/>
            <w:szCs w:val="20"/>
          </w:rPr>
          <w:t>BOP.BAS.135 Smoking on board</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_Toc153137238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37</w:t>
        </w:r>
        <w:r w:rsidR="00BE3F4E" w:rsidRPr="00BE3F4E">
          <w:rPr>
            <w:rFonts w:ascii="Arial" w:hAnsi="Arial" w:cs="Arial"/>
            <w:noProof/>
            <w:webHidden/>
            <w:sz w:val="20"/>
            <w:szCs w:val="20"/>
          </w:rPr>
          <w:fldChar w:fldCharType="end"/>
        </w:r>
      </w:hyperlink>
    </w:p>
    <w:p w14:paraId="71D950E6" w14:textId="52B07277" w:rsidR="00BE3F4E" w:rsidRPr="00BE3F4E" w:rsidRDefault="00000000">
      <w:pPr>
        <w:pStyle w:val="TOC4"/>
        <w:tabs>
          <w:tab w:val="right" w:leader="underscore" w:pos="9016"/>
        </w:tabs>
        <w:rPr>
          <w:rFonts w:ascii="Arial" w:eastAsiaTheme="minorEastAsia" w:hAnsi="Arial" w:cs="Arial"/>
          <w:noProof/>
          <w:sz w:val="20"/>
          <w:szCs w:val="20"/>
        </w:rPr>
      </w:pPr>
      <w:hyperlink w:anchor="_Toc153137239" w:history="1">
        <w:r w:rsidR="00BE3F4E" w:rsidRPr="00BE3F4E">
          <w:rPr>
            <w:rStyle w:val="Hyperlink"/>
            <w:rFonts w:ascii="Arial" w:hAnsi="Arial" w:cs="Arial"/>
            <w:noProof/>
            <w:sz w:val="20"/>
            <w:szCs w:val="20"/>
          </w:rPr>
          <w:t>BOP.BAS.140 Carriage and use of weapons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_Toc153137239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37</w:t>
        </w:r>
        <w:r w:rsidR="00BE3F4E" w:rsidRPr="00BE3F4E">
          <w:rPr>
            <w:rFonts w:ascii="Arial" w:hAnsi="Arial" w:cs="Arial"/>
            <w:noProof/>
            <w:webHidden/>
            <w:sz w:val="20"/>
            <w:szCs w:val="20"/>
          </w:rPr>
          <w:fldChar w:fldCharType="end"/>
        </w:r>
      </w:hyperlink>
    </w:p>
    <w:p w14:paraId="39017D1E" w14:textId="429A90EF" w:rsidR="00BE3F4E" w:rsidRPr="00BE3F4E" w:rsidRDefault="00000000">
      <w:pPr>
        <w:pStyle w:val="TOC4"/>
        <w:tabs>
          <w:tab w:val="right" w:leader="underscore" w:pos="9016"/>
        </w:tabs>
        <w:rPr>
          <w:rFonts w:ascii="Arial" w:eastAsiaTheme="minorEastAsia" w:hAnsi="Arial" w:cs="Arial"/>
          <w:noProof/>
          <w:sz w:val="20"/>
          <w:szCs w:val="20"/>
        </w:rPr>
      </w:pPr>
      <w:hyperlink w:anchor="_Toc153137240" w:history="1">
        <w:r w:rsidR="00BE3F4E" w:rsidRPr="00BE3F4E">
          <w:rPr>
            <w:rStyle w:val="Hyperlink"/>
            <w:rFonts w:ascii="Arial" w:hAnsi="Arial" w:cs="Arial"/>
            <w:noProof/>
            <w:sz w:val="20"/>
            <w:szCs w:val="20"/>
          </w:rPr>
          <w:t>BOP.BAS.145 Meteorological conditions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_Toc153137240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37</w:t>
        </w:r>
        <w:r w:rsidR="00BE3F4E" w:rsidRPr="00BE3F4E">
          <w:rPr>
            <w:rFonts w:ascii="Arial" w:hAnsi="Arial" w:cs="Arial"/>
            <w:noProof/>
            <w:webHidden/>
            <w:sz w:val="20"/>
            <w:szCs w:val="20"/>
          </w:rPr>
          <w:fldChar w:fldCharType="end"/>
        </w:r>
      </w:hyperlink>
    </w:p>
    <w:p w14:paraId="0929C197" w14:textId="0D61D5EF" w:rsidR="00BE3F4E" w:rsidRPr="00BE3F4E" w:rsidRDefault="00000000">
      <w:pPr>
        <w:pStyle w:val="TOC4"/>
        <w:tabs>
          <w:tab w:val="right" w:leader="underscore" w:pos="9016"/>
        </w:tabs>
        <w:rPr>
          <w:rFonts w:ascii="Arial" w:eastAsiaTheme="minorEastAsia" w:hAnsi="Arial" w:cs="Arial"/>
          <w:noProof/>
          <w:sz w:val="20"/>
          <w:szCs w:val="20"/>
        </w:rPr>
      </w:pPr>
      <w:hyperlink w:anchor="_Toc153137241" w:history="1">
        <w:r w:rsidR="00BE3F4E" w:rsidRPr="00BE3F4E">
          <w:rPr>
            <w:rStyle w:val="Hyperlink"/>
            <w:rFonts w:ascii="Arial" w:hAnsi="Arial" w:cs="Arial"/>
            <w:noProof/>
            <w:sz w:val="20"/>
            <w:szCs w:val="20"/>
          </w:rPr>
          <w:t>BOP.BAS.150 Take-off conditions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_Toc153137241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37</w:t>
        </w:r>
        <w:r w:rsidR="00BE3F4E" w:rsidRPr="00BE3F4E">
          <w:rPr>
            <w:rFonts w:ascii="Arial" w:hAnsi="Arial" w:cs="Arial"/>
            <w:noProof/>
            <w:webHidden/>
            <w:sz w:val="20"/>
            <w:szCs w:val="20"/>
          </w:rPr>
          <w:fldChar w:fldCharType="end"/>
        </w:r>
      </w:hyperlink>
    </w:p>
    <w:p w14:paraId="21F48198" w14:textId="54FD1CAE" w:rsidR="00BE3F4E" w:rsidRPr="00BE3F4E" w:rsidRDefault="00000000">
      <w:pPr>
        <w:pStyle w:val="TOC5"/>
        <w:tabs>
          <w:tab w:val="right" w:leader="underscore" w:pos="9016"/>
        </w:tabs>
        <w:rPr>
          <w:rFonts w:ascii="Arial" w:eastAsiaTheme="minorEastAsia" w:hAnsi="Arial" w:cs="Arial"/>
          <w:noProof/>
          <w:sz w:val="20"/>
          <w:szCs w:val="20"/>
        </w:rPr>
      </w:pPr>
      <w:hyperlink w:anchor="_Toc153137242" w:history="1">
        <w:r w:rsidR="00BE3F4E" w:rsidRPr="00BE3F4E">
          <w:rPr>
            <w:rStyle w:val="Hyperlink"/>
            <w:rFonts w:ascii="Arial" w:eastAsia="Times New Roman" w:hAnsi="Arial" w:cs="Arial"/>
            <w:noProof/>
            <w:sz w:val="20"/>
            <w:szCs w:val="20"/>
          </w:rPr>
          <w:t>AMC1 BOP.BAS.150 Take-off conditions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_Toc153137242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37</w:t>
        </w:r>
        <w:r w:rsidR="00BE3F4E" w:rsidRPr="00BE3F4E">
          <w:rPr>
            <w:rFonts w:ascii="Arial" w:hAnsi="Arial" w:cs="Arial"/>
            <w:noProof/>
            <w:webHidden/>
            <w:sz w:val="20"/>
            <w:szCs w:val="20"/>
          </w:rPr>
          <w:fldChar w:fldCharType="end"/>
        </w:r>
      </w:hyperlink>
    </w:p>
    <w:p w14:paraId="3C1C5F7D" w14:textId="3D93C4B4" w:rsidR="00BE3F4E" w:rsidRPr="00BE3F4E" w:rsidRDefault="00000000">
      <w:pPr>
        <w:pStyle w:val="TOC4"/>
        <w:tabs>
          <w:tab w:val="right" w:leader="underscore" w:pos="9016"/>
        </w:tabs>
        <w:rPr>
          <w:rFonts w:ascii="Arial" w:eastAsiaTheme="minorEastAsia" w:hAnsi="Arial" w:cs="Arial"/>
          <w:noProof/>
          <w:sz w:val="20"/>
          <w:szCs w:val="20"/>
        </w:rPr>
      </w:pPr>
      <w:hyperlink w:anchor="_Toc153137243" w:history="1">
        <w:r w:rsidR="00BE3F4E" w:rsidRPr="00BE3F4E">
          <w:rPr>
            <w:rStyle w:val="Hyperlink"/>
            <w:rFonts w:ascii="Arial" w:hAnsi="Arial" w:cs="Arial"/>
            <w:noProof/>
            <w:sz w:val="20"/>
            <w:szCs w:val="20"/>
          </w:rPr>
          <w:t>BOP.BAS.155 Approach and landing conditions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_Toc153137243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37</w:t>
        </w:r>
        <w:r w:rsidR="00BE3F4E" w:rsidRPr="00BE3F4E">
          <w:rPr>
            <w:rFonts w:ascii="Arial" w:hAnsi="Arial" w:cs="Arial"/>
            <w:noProof/>
            <w:webHidden/>
            <w:sz w:val="20"/>
            <w:szCs w:val="20"/>
          </w:rPr>
          <w:fldChar w:fldCharType="end"/>
        </w:r>
      </w:hyperlink>
    </w:p>
    <w:p w14:paraId="27880BE3" w14:textId="0D73014D" w:rsidR="00BE3F4E" w:rsidRPr="00BE3F4E" w:rsidRDefault="00000000">
      <w:pPr>
        <w:pStyle w:val="TOC4"/>
        <w:tabs>
          <w:tab w:val="right" w:leader="underscore" w:pos="9016"/>
        </w:tabs>
        <w:rPr>
          <w:rFonts w:ascii="Arial" w:eastAsiaTheme="minorEastAsia" w:hAnsi="Arial" w:cs="Arial"/>
          <w:noProof/>
          <w:sz w:val="20"/>
          <w:szCs w:val="20"/>
        </w:rPr>
      </w:pPr>
      <w:hyperlink w:anchor="_Toc153137244" w:history="1">
        <w:r w:rsidR="00BE3F4E" w:rsidRPr="00BE3F4E">
          <w:rPr>
            <w:rStyle w:val="Hyperlink"/>
            <w:rFonts w:ascii="Arial" w:hAnsi="Arial" w:cs="Arial"/>
            <w:noProof/>
            <w:sz w:val="20"/>
            <w:szCs w:val="20"/>
          </w:rPr>
          <w:t>BOP.BAS.160 Simulated situations in flight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_Toc153137244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38</w:t>
        </w:r>
        <w:r w:rsidR="00BE3F4E" w:rsidRPr="00BE3F4E">
          <w:rPr>
            <w:rFonts w:ascii="Arial" w:hAnsi="Arial" w:cs="Arial"/>
            <w:noProof/>
            <w:webHidden/>
            <w:sz w:val="20"/>
            <w:szCs w:val="20"/>
          </w:rPr>
          <w:fldChar w:fldCharType="end"/>
        </w:r>
      </w:hyperlink>
    </w:p>
    <w:p w14:paraId="293CD643" w14:textId="41B28312" w:rsidR="00BE3F4E" w:rsidRPr="00BE3F4E" w:rsidRDefault="00000000">
      <w:pPr>
        <w:pStyle w:val="TOC4"/>
        <w:tabs>
          <w:tab w:val="right" w:leader="underscore" w:pos="9016"/>
        </w:tabs>
        <w:rPr>
          <w:rFonts w:ascii="Arial" w:eastAsiaTheme="minorEastAsia" w:hAnsi="Arial" w:cs="Arial"/>
          <w:noProof/>
          <w:sz w:val="20"/>
          <w:szCs w:val="20"/>
        </w:rPr>
      </w:pPr>
      <w:hyperlink w:anchor="_Toc153137245" w:history="1">
        <w:r w:rsidR="00BE3F4E" w:rsidRPr="00BE3F4E">
          <w:rPr>
            <w:rStyle w:val="Hyperlink"/>
            <w:rFonts w:ascii="Arial" w:hAnsi="Arial" w:cs="Arial"/>
            <w:noProof/>
            <w:sz w:val="20"/>
            <w:szCs w:val="20"/>
          </w:rPr>
          <w:t>BOP.BAS.165 In-flight fuel management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_Toc153137245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38</w:t>
        </w:r>
        <w:r w:rsidR="00BE3F4E" w:rsidRPr="00BE3F4E">
          <w:rPr>
            <w:rFonts w:ascii="Arial" w:hAnsi="Arial" w:cs="Arial"/>
            <w:noProof/>
            <w:webHidden/>
            <w:sz w:val="20"/>
            <w:szCs w:val="20"/>
          </w:rPr>
          <w:fldChar w:fldCharType="end"/>
        </w:r>
      </w:hyperlink>
    </w:p>
    <w:p w14:paraId="1DF4972B" w14:textId="5B63522B" w:rsidR="00BE3F4E" w:rsidRPr="00BE3F4E" w:rsidRDefault="00000000">
      <w:pPr>
        <w:pStyle w:val="TOC4"/>
        <w:tabs>
          <w:tab w:val="right" w:leader="underscore" w:pos="9016"/>
        </w:tabs>
        <w:rPr>
          <w:rFonts w:ascii="Arial" w:eastAsiaTheme="minorEastAsia" w:hAnsi="Arial" w:cs="Arial"/>
          <w:noProof/>
          <w:sz w:val="20"/>
          <w:szCs w:val="20"/>
        </w:rPr>
      </w:pPr>
      <w:hyperlink w:anchor="_Toc153137246" w:history="1">
        <w:r w:rsidR="00BE3F4E" w:rsidRPr="00BE3F4E">
          <w:rPr>
            <w:rStyle w:val="Hyperlink"/>
            <w:rFonts w:ascii="Arial" w:hAnsi="Arial" w:cs="Arial"/>
            <w:noProof/>
            <w:sz w:val="20"/>
            <w:szCs w:val="20"/>
          </w:rPr>
          <w:t>BOP.BAS.170 Refuelling with persons on board</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_Toc153137246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38</w:t>
        </w:r>
        <w:r w:rsidR="00BE3F4E" w:rsidRPr="00BE3F4E">
          <w:rPr>
            <w:rFonts w:ascii="Arial" w:hAnsi="Arial" w:cs="Arial"/>
            <w:noProof/>
            <w:webHidden/>
            <w:sz w:val="20"/>
            <w:szCs w:val="20"/>
          </w:rPr>
          <w:fldChar w:fldCharType="end"/>
        </w:r>
      </w:hyperlink>
    </w:p>
    <w:p w14:paraId="4B580365" w14:textId="11F31418" w:rsidR="00BE3F4E" w:rsidRPr="00BE3F4E" w:rsidRDefault="00000000">
      <w:pPr>
        <w:pStyle w:val="TOC5"/>
        <w:tabs>
          <w:tab w:val="right" w:leader="underscore" w:pos="9016"/>
        </w:tabs>
        <w:rPr>
          <w:rFonts w:ascii="Arial" w:eastAsiaTheme="minorEastAsia" w:hAnsi="Arial" w:cs="Arial"/>
          <w:noProof/>
          <w:sz w:val="20"/>
          <w:szCs w:val="20"/>
        </w:rPr>
      </w:pPr>
      <w:hyperlink w:anchor="_Toc153137247" w:history="1">
        <w:r w:rsidR="00BE3F4E" w:rsidRPr="00BE3F4E">
          <w:rPr>
            <w:rStyle w:val="Hyperlink"/>
            <w:rFonts w:ascii="Arial" w:eastAsia="Times New Roman" w:hAnsi="Arial" w:cs="Arial"/>
            <w:noProof/>
            <w:sz w:val="20"/>
            <w:szCs w:val="20"/>
          </w:rPr>
          <w:t>GM1 BOP.BAS.170 Refuelling with persons on board</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_Toc153137247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38</w:t>
        </w:r>
        <w:r w:rsidR="00BE3F4E" w:rsidRPr="00BE3F4E">
          <w:rPr>
            <w:rFonts w:ascii="Arial" w:hAnsi="Arial" w:cs="Arial"/>
            <w:noProof/>
            <w:webHidden/>
            <w:sz w:val="20"/>
            <w:szCs w:val="20"/>
          </w:rPr>
          <w:fldChar w:fldCharType="end"/>
        </w:r>
      </w:hyperlink>
    </w:p>
    <w:p w14:paraId="0A870B11" w14:textId="53D86BFE" w:rsidR="00BE3F4E" w:rsidRPr="00BE3F4E" w:rsidRDefault="00000000">
      <w:pPr>
        <w:pStyle w:val="TOC4"/>
        <w:tabs>
          <w:tab w:val="right" w:leader="underscore" w:pos="9016"/>
        </w:tabs>
        <w:rPr>
          <w:rFonts w:ascii="Arial" w:eastAsiaTheme="minorEastAsia" w:hAnsi="Arial" w:cs="Arial"/>
          <w:noProof/>
          <w:sz w:val="20"/>
          <w:szCs w:val="20"/>
        </w:rPr>
      </w:pPr>
      <w:hyperlink w:anchor="_Toc153137248" w:history="1">
        <w:r w:rsidR="00BE3F4E" w:rsidRPr="00BE3F4E">
          <w:rPr>
            <w:rStyle w:val="Hyperlink"/>
            <w:rFonts w:ascii="Arial" w:hAnsi="Arial" w:cs="Arial"/>
            <w:noProof/>
            <w:sz w:val="20"/>
            <w:szCs w:val="20"/>
          </w:rPr>
          <w:t>BOP.BAS.175 Use of restraint system</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_Toc153137248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38</w:t>
        </w:r>
        <w:r w:rsidR="00BE3F4E" w:rsidRPr="00BE3F4E">
          <w:rPr>
            <w:rFonts w:ascii="Arial" w:hAnsi="Arial" w:cs="Arial"/>
            <w:noProof/>
            <w:webHidden/>
            <w:sz w:val="20"/>
            <w:szCs w:val="20"/>
          </w:rPr>
          <w:fldChar w:fldCharType="end"/>
        </w:r>
      </w:hyperlink>
    </w:p>
    <w:p w14:paraId="79C048B0" w14:textId="7CB5A983" w:rsidR="00BE3F4E" w:rsidRPr="00BE3F4E" w:rsidRDefault="00000000">
      <w:pPr>
        <w:pStyle w:val="TOC4"/>
        <w:tabs>
          <w:tab w:val="right" w:leader="underscore" w:pos="9016"/>
        </w:tabs>
        <w:rPr>
          <w:rFonts w:ascii="Arial" w:eastAsiaTheme="minorEastAsia" w:hAnsi="Arial" w:cs="Arial"/>
          <w:noProof/>
          <w:sz w:val="20"/>
          <w:szCs w:val="20"/>
        </w:rPr>
      </w:pPr>
      <w:hyperlink w:anchor="_Toc153137249" w:history="1">
        <w:r w:rsidR="00BE3F4E" w:rsidRPr="00BE3F4E">
          <w:rPr>
            <w:rStyle w:val="Hyperlink"/>
            <w:rFonts w:ascii="Arial" w:hAnsi="Arial" w:cs="Arial"/>
            <w:noProof/>
            <w:sz w:val="20"/>
            <w:szCs w:val="20"/>
          </w:rPr>
          <w:t>BOP.BAS.180 Use of supplemental oxygen</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_Toc153137249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38</w:t>
        </w:r>
        <w:r w:rsidR="00BE3F4E" w:rsidRPr="00BE3F4E">
          <w:rPr>
            <w:rFonts w:ascii="Arial" w:hAnsi="Arial" w:cs="Arial"/>
            <w:noProof/>
            <w:webHidden/>
            <w:sz w:val="20"/>
            <w:szCs w:val="20"/>
          </w:rPr>
          <w:fldChar w:fldCharType="end"/>
        </w:r>
      </w:hyperlink>
    </w:p>
    <w:p w14:paraId="60B18D02" w14:textId="6ED39A29" w:rsidR="00BE3F4E" w:rsidRPr="00BE3F4E" w:rsidRDefault="00000000">
      <w:pPr>
        <w:pStyle w:val="TOC5"/>
        <w:tabs>
          <w:tab w:val="right" w:leader="underscore" w:pos="9016"/>
        </w:tabs>
        <w:rPr>
          <w:rFonts w:ascii="Arial" w:eastAsiaTheme="minorEastAsia" w:hAnsi="Arial" w:cs="Arial"/>
          <w:noProof/>
          <w:sz w:val="20"/>
          <w:szCs w:val="20"/>
        </w:rPr>
      </w:pPr>
      <w:hyperlink w:anchor="_Toc153137250" w:history="1">
        <w:r w:rsidR="00BE3F4E" w:rsidRPr="00BE3F4E">
          <w:rPr>
            <w:rStyle w:val="Hyperlink"/>
            <w:rFonts w:ascii="Arial" w:eastAsia="Times New Roman" w:hAnsi="Arial" w:cs="Arial"/>
            <w:noProof/>
            <w:sz w:val="20"/>
            <w:szCs w:val="20"/>
          </w:rPr>
          <w:t>AMC1 BOP.BAS.180 Use of supplemental oxygen</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_Toc153137250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38</w:t>
        </w:r>
        <w:r w:rsidR="00BE3F4E" w:rsidRPr="00BE3F4E">
          <w:rPr>
            <w:rFonts w:ascii="Arial" w:hAnsi="Arial" w:cs="Arial"/>
            <w:noProof/>
            <w:webHidden/>
            <w:sz w:val="20"/>
            <w:szCs w:val="20"/>
          </w:rPr>
          <w:fldChar w:fldCharType="end"/>
        </w:r>
      </w:hyperlink>
    </w:p>
    <w:p w14:paraId="167B7659" w14:textId="6A0E5AA0" w:rsidR="00BE3F4E" w:rsidRPr="00BE3F4E" w:rsidRDefault="00000000">
      <w:pPr>
        <w:pStyle w:val="TOC4"/>
        <w:tabs>
          <w:tab w:val="right" w:leader="underscore" w:pos="9016"/>
        </w:tabs>
        <w:rPr>
          <w:rFonts w:ascii="Arial" w:eastAsiaTheme="minorEastAsia" w:hAnsi="Arial" w:cs="Arial"/>
          <w:noProof/>
          <w:sz w:val="20"/>
          <w:szCs w:val="20"/>
        </w:rPr>
      </w:pPr>
      <w:hyperlink w:anchor="_Toc153137251" w:history="1">
        <w:r w:rsidR="00BE3F4E" w:rsidRPr="00BE3F4E">
          <w:rPr>
            <w:rStyle w:val="Hyperlink"/>
            <w:rFonts w:ascii="Arial" w:hAnsi="Arial" w:cs="Arial"/>
            <w:noProof/>
            <w:sz w:val="20"/>
            <w:szCs w:val="20"/>
          </w:rPr>
          <w:t>BOP.BAS.185 Operational limitations at night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_Toc153137251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39</w:t>
        </w:r>
        <w:r w:rsidR="00BE3F4E" w:rsidRPr="00BE3F4E">
          <w:rPr>
            <w:rFonts w:ascii="Arial" w:hAnsi="Arial" w:cs="Arial"/>
            <w:noProof/>
            <w:webHidden/>
            <w:sz w:val="20"/>
            <w:szCs w:val="20"/>
          </w:rPr>
          <w:fldChar w:fldCharType="end"/>
        </w:r>
      </w:hyperlink>
    </w:p>
    <w:p w14:paraId="1977E809" w14:textId="74922FC4" w:rsidR="00BE3F4E" w:rsidRPr="00BE3F4E" w:rsidRDefault="00000000">
      <w:pPr>
        <w:pStyle w:val="TOC5"/>
        <w:tabs>
          <w:tab w:val="right" w:leader="underscore" w:pos="9016"/>
        </w:tabs>
        <w:rPr>
          <w:rFonts w:ascii="Arial" w:eastAsiaTheme="minorEastAsia" w:hAnsi="Arial" w:cs="Arial"/>
          <w:noProof/>
          <w:sz w:val="20"/>
          <w:szCs w:val="20"/>
        </w:rPr>
      </w:pPr>
      <w:hyperlink w:anchor="_Toc153137252" w:history="1">
        <w:r w:rsidR="00BE3F4E" w:rsidRPr="00BE3F4E">
          <w:rPr>
            <w:rStyle w:val="Hyperlink"/>
            <w:rFonts w:ascii="Arial" w:eastAsia="Times New Roman" w:hAnsi="Arial" w:cs="Arial"/>
            <w:noProof/>
            <w:sz w:val="20"/>
            <w:szCs w:val="20"/>
          </w:rPr>
          <w:t>GM1 BOP.BAS.185(a);(b) Operational limitations at night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_Toc153137252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39</w:t>
        </w:r>
        <w:r w:rsidR="00BE3F4E" w:rsidRPr="00BE3F4E">
          <w:rPr>
            <w:rFonts w:ascii="Arial" w:hAnsi="Arial" w:cs="Arial"/>
            <w:noProof/>
            <w:webHidden/>
            <w:sz w:val="20"/>
            <w:szCs w:val="20"/>
          </w:rPr>
          <w:fldChar w:fldCharType="end"/>
        </w:r>
      </w:hyperlink>
    </w:p>
    <w:p w14:paraId="280D617C" w14:textId="492BA4E9" w:rsidR="00BE3F4E" w:rsidRPr="00BE3F4E" w:rsidRDefault="00000000">
      <w:pPr>
        <w:pStyle w:val="TOC4"/>
        <w:tabs>
          <w:tab w:val="right" w:leader="underscore" w:pos="9016"/>
        </w:tabs>
        <w:rPr>
          <w:rFonts w:ascii="Arial" w:eastAsiaTheme="minorEastAsia" w:hAnsi="Arial" w:cs="Arial"/>
          <w:noProof/>
          <w:sz w:val="20"/>
          <w:szCs w:val="20"/>
        </w:rPr>
      </w:pPr>
      <w:hyperlink w:anchor="_Toc153137253" w:history="1">
        <w:r w:rsidR="00BE3F4E" w:rsidRPr="00BE3F4E">
          <w:rPr>
            <w:rStyle w:val="Hyperlink"/>
            <w:rFonts w:ascii="Arial" w:hAnsi="Arial" w:cs="Arial"/>
            <w:noProof/>
            <w:sz w:val="20"/>
            <w:szCs w:val="20"/>
          </w:rPr>
          <w:t>BOP.BAS.190 Balloon specialised operations — Risk assessment and checklist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_Toc153137253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39</w:t>
        </w:r>
        <w:r w:rsidR="00BE3F4E" w:rsidRPr="00BE3F4E">
          <w:rPr>
            <w:rFonts w:ascii="Arial" w:hAnsi="Arial" w:cs="Arial"/>
            <w:noProof/>
            <w:webHidden/>
            <w:sz w:val="20"/>
            <w:szCs w:val="20"/>
          </w:rPr>
          <w:fldChar w:fldCharType="end"/>
        </w:r>
      </w:hyperlink>
    </w:p>
    <w:p w14:paraId="24619F13" w14:textId="176E1B4D" w:rsidR="00BE3F4E" w:rsidRPr="00BE3F4E" w:rsidRDefault="00000000">
      <w:pPr>
        <w:pStyle w:val="TOC5"/>
        <w:tabs>
          <w:tab w:val="right" w:leader="underscore" w:pos="9016"/>
        </w:tabs>
        <w:rPr>
          <w:rFonts w:ascii="Arial" w:eastAsiaTheme="minorEastAsia" w:hAnsi="Arial" w:cs="Arial"/>
          <w:noProof/>
          <w:sz w:val="20"/>
          <w:szCs w:val="20"/>
        </w:rPr>
      </w:pPr>
      <w:hyperlink w:anchor="_Toc153137254" w:history="1">
        <w:r w:rsidR="00BE3F4E" w:rsidRPr="00BE3F4E">
          <w:rPr>
            <w:rStyle w:val="Hyperlink"/>
            <w:rFonts w:ascii="Arial" w:eastAsia="Times New Roman" w:hAnsi="Arial" w:cs="Arial"/>
            <w:noProof/>
            <w:sz w:val="20"/>
            <w:szCs w:val="20"/>
          </w:rPr>
          <w:t>AMC1 BOP.BAS.190 Balloon specialised operations — Risk assessment and checklist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_Toc153137254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39</w:t>
        </w:r>
        <w:r w:rsidR="00BE3F4E" w:rsidRPr="00BE3F4E">
          <w:rPr>
            <w:rFonts w:ascii="Arial" w:hAnsi="Arial" w:cs="Arial"/>
            <w:noProof/>
            <w:webHidden/>
            <w:sz w:val="20"/>
            <w:szCs w:val="20"/>
          </w:rPr>
          <w:fldChar w:fldCharType="end"/>
        </w:r>
      </w:hyperlink>
    </w:p>
    <w:p w14:paraId="50206B40" w14:textId="648C9935" w:rsidR="00BE3F4E" w:rsidRPr="00BE3F4E" w:rsidRDefault="00000000">
      <w:pPr>
        <w:pStyle w:val="TOC5"/>
        <w:tabs>
          <w:tab w:val="right" w:leader="underscore" w:pos="9016"/>
        </w:tabs>
        <w:rPr>
          <w:rFonts w:ascii="Arial" w:eastAsiaTheme="minorEastAsia" w:hAnsi="Arial" w:cs="Arial"/>
          <w:noProof/>
          <w:sz w:val="20"/>
          <w:szCs w:val="20"/>
        </w:rPr>
      </w:pPr>
      <w:hyperlink w:anchor="_Toc153137255" w:history="1">
        <w:r w:rsidR="00BE3F4E" w:rsidRPr="00BE3F4E">
          <w:rPr>
            <w:rStyle w:val="Hyperlink"/>
            <w:rFonts w:ascii="Arial" w:eastAsia="Times New Roman" w:hAnsi="Arial" w:cs="Arial"/>
            <w:noProof/>
            <w:sz w:val="20"/>
            <w:szCs w:val="20"/>
          </w:rPr>
          <w:t>AMC2 BOP.BAS.190 Balloon specialised operations — Risk assessment and checklist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_Toc153137255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39</w:t>
        </w:r>
        <w:r w:rsidR="00BE3F4E" w:rsidRPr="00BE3F4E">
          <w:rPr>
            <w:rFonts w:ascii="Arial" w:hAnsi="Arial" w:cs="Arial"/>
            <w:noProof/>
            <w:webHidden/>
            <w:sz w:val="20"/>
            <w:szCs w:val="20"/>
          </w:rPr>
          <w:fldChar w:fldCharType="end"/>
        </w:r>
      </w:hyperlink>
    </w:p>
    <w:p w14:paraId="06BF5DCE" w14:textId="73660D59" w:rsidR="00BE3F4E" w:rsidRPr="00BE3F4E" w:rsidRDefault="00000000">
      <w:pPr>
        <w:pStyle w:val="TOC5"/>
        <w:tabs>
          <w:tab w:val="right" w:leader="underscore" w:pos="9016"/>
        </w:tabs>
        <w:rPr>
          <w:rFonts w:ascii="Arial" w:eastAsiaTheme="minorEastAsia" w:hAnsi="Arial" w:cs="Arial"/>
          <w:noProof/>
          <w:sz w:val="20"/>
          <w:szCs w:val="20"/>
        </w:rPr>
      </w:pPr>
      <w:hyperlink w:anchor="_Toc153137256" w:history="1">
        <w:r w:rsidR="00BE3F4E" w:rsidRPr="00BE3F4E">
          <w:rPr>
            <w:rStyle w:val="Hyperlink"/>
            <w:rFonts w:ascii="Arial" w:eastAsia="Times New Roman" w:hAnsi="Arial" w:cs="Arial"/>
            <w:noProof/>
            <w:sz w:val="20"/>
            <w:szCs w:val="20"/>
          </w:rPr>
          <w:t>AMC3 BOP.BAS.190 Balloon specialised operations — Risk assessment and checklist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_Toc153137256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40</w:t>
        </w:r>
        <w:r w:rsidR="00BE3F4E" w:rsidRPr="00BE3F4E">
          <w:rPr>
            <w:rFonts w:ascii="Arial" w:hAnsi="Arial" w:cs="Arial"/>
            <w:noProof/>
            <w:webHidden/>
            <w:sz w:val="20"/>
            <w:szCs w:val="20"/>
          </w:rPr>
          <w:fldChar w:fldCharType="end"/>
        </w:r>
      </w:hyperlink>
    </w:p>
    <w:p w14:paraId="767E5C5C" w14:textId="7E13C763" w:rsidR="00BE3F4E" w:rsidRPr="00BE3F4E" w:rsidRDefault="00000000">
      <w:pPr>
        <w:pStyle w:val="TOC5"/>
        <w:tabs>
          <w:tab w:val="right" w:leader="underscore" w:pos="9016"/>
        </w:tabs>
        <w:rPr>
          <w:rFonts w:ascii="Arial" w:eastAsiaTheme="minorEastAsia" w:hAnsi="Arial" w:cs="Arial"/>
          <w:noProof/>
          <w:sz w:val="20"/>
          <w:szCs w:val="20"/>
        </w:rPr>
      </w:pPr>
      <w:hyperlink w:anchor="_Toc153137257" w:history="1">
        <w:r w:rsidR="00BE3F4E" w:rsidRPr="00BE3F4E">
          <w:rPr>
            <w:rStyle w:val="Hyperlink"/>
            <w:rFonts w:ascii="Arial" w:eastAsia="Times New Roman" w:hAnsi="Arial" w:cs="Arial"/>
            <w:noProof/>
            <w:sz w:val="20"/>
            <w:szCs w:val="20"/>
          </w:rPr>
          <w:t>GM1 BOP.BAS.190 Balloon specialised operations — Risk assessment and checklist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_Toc153137257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40</w:t>
        </w:r>
        <w:r w:rsidR="00BE3F4E" w:rsidRPr="00BE3F4E">
          <w:rPr>
            <w:rFonts w:ascii="Arial" w:hAnsi="Arial" w:cs="Arial"/>
            <w:noProof/>
            <w:webHidden/>
            <w:sz w:val="20"/>
            <w:szCs w:val="20"/>
          </w:rPr>
          <w:fldChar w:fldCharType="end"/>
        </w:r>
      </w:hyperlink>
    </w:p>
    <w:p w14:paraId="68AA1BEC" w14:textId="234A0445" w:rsidR="00BE3F4E" w:rsidRPr="00BE3F4E" w:rsidRDefault="00000000">
      <w:pPr>
        <w:pStyle w:val="TOC5"/>
        <w:tabs>
          <w:tab w:val="right" w:leader="underscore" w:pos="9016"/>
        </w:tabs>
        <w:rPr>
          <w:rFonts w:ascii="Arial" w:eastAsiaTheme="minorEastAsia" w:hAnsi="Arial" w:cs="Arial"/>
          <w:noProof/>
          <w:sz w:val="20"/>
          <w:szCs w:val="20"/>
        </w:rPr>
      </w:pPr>
      <w:hyperlink w:anchor="_Toc153137258" w:history="1">
        <w:r w:rsidR="00BE3F4E" w:rsidRPr="00BE3F4E">
          <w:rPr>
            <w:rStyle w:val="Hyperlink"/>
            <w:rFonts w:ascii="Arial" w:eastAsia="Times New Roman" w:hAnsi="Arial" w:cs="Arial"/>
            <w:noProof/>
            <w:sz w:val="20"/>
            <w:szCs w:val="20"/>
          </w:rPr>
          <w:t>GM2 BOP.BAS.190 Balloon specialised operations — Risk assessment and checklist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_Toc153137258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40</w:t>
        </w:r>
        <w:r w:rsidR="00BE3F4E" w:rsidRPr="00BE3F4E">
          <w:rPr>
            <w:rFonts w:ascii="Arial" w:hAnsi="Arial" w:cs="Arial"/>
            <w:noProof/>
            <w:webHidden/>
            <w:sz w:val="20"/>
            <w:szCs w:val="20"/>
          </w:rPr>
          <w:fldChar w:fldCharType="end"/>
        </w:r>
      </w:hyperlink>
    </w:p>
    <w:p w14:paraId="60FE1927" w14:textId="34AB850E" w:rsidR="00BE3F4E" w:rsidRPr="00BE3F4E" w:rsidRDefault="00000000">
      <w:pPr>
        <w:pStyle w:val="TOC4"/>
        <w:tabs>
          <w:tab w:val="right" w:leader="underscore" w:pos="9016"/>
        </w:tabs>
        <w:rPr>
          <w:rFonts w:ascii="Arial" w:eastAsiaTheme="minorEastAsia" w:hAnsi="Arial" w:cs="Arial"/>
          <w:noProof/>
          <w:sz w:val="20"/>
          <w:szCs w:val="20"/>
        </w:rPr>
      </w:pPr>
      <w:hyperlink w:anchor="_Toc153137259" w:history="1">
        <w:r w:rsidR="00BE3F4E" w:rsidRPr="00BE3F4E">
          <w:rPr>
            <w:rStyle w:val="Hyperlink"/>
            <w:rFonts w:ascii="Arial" w:eastAsiaTheme="majorEastAsia" w:hAnsi="Arial" w:cs="Arial"/>
            <w:iCs/>
            <w:noProof/>
            <w:sz w:val="20"/>
            <w:szCs w:val="20"/>
          </w:rPr>
          <w:t>SECTION 3 – PERFORMANCE AND OPERATING LIMITATIONS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_Toc153137259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41</w:t>
        </w:r>
        <w:r w:rsidR="00BE3F4E" w:rsidRPr="00BE3F4E">
          <w:rPr>
            <w:rFonts w:ascii="Arial" w:hAnsi="Arial" w:cs="Arial"/>
            <w:noProof/>
            <w:webHidden/>
            <w:sz w:val="20"/>
            <w:szCs w:val="20"/>
          </w:rPr>
          <w:fldChar w:fldCharType="end"/>
        </w:r>
      </w:hyperlink>
    </w:p>
    <w:p w14:paraId="0F17E701" w14:textId="5EDC8777" w:rsidR="00BE3F4E" w:rsidRPr="00BE3F4E" w:rsidRDefault="00000000">
      <w:pPr>
        <w:pStyle w:val="TOC4"/>
        <w:tabs>
          <w:tab w:val="right" w:leader="underscore" w:pos="9016"/>
        </w:tabs>
        <w:rPr>
          <w:rFonts w:ascii="Arial" w:eastAsiaTheme="minorEastAsia" w:hAnsi="Arial" w:cs="Arial"/>
          <w:noProof/>
          <w:sz w:val="20"/>
          <w:szCs w:val="20"/>
        </w:rPr>
      </w:pPr>
      <w:hyperlink w:anchor="_Toc153137260" w:history="1">
        <w:r w:rsidR="00BE3F4E" w:rsidRPr="00BE3F4E">
          <w:rPr>
            <w:rStyle w:val="Hyperlink"/>
            <w:rFonts w:ascii="Arial" w:eastAsia="Times New Roman" w:hAnsi="Arial" w:cs="Arial"/>
            <w:iCs/>
            <w:noProof/>
            <w:sz w:val="20"/>
            <w:szCs w:val="20"/>
          </w:rPr>
          <w:t>BOP.BAS.200 Operating limitations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_Toc153137260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41</w:t>
        </w:r>
        <w:r w:rsidR="00BE3F4E" w:rsidRPr="00BE3F4E">
          <w:rPr>
            <w:rFonts w:ascii="Arial" w:hAnsi="Arial" w:cs="Arial"/>
            <w:noProof/>
            <w:webHidden/>
            <w:sz w:val="20"/>
            <w:szCs w:val="20"/>
          </w:rPr>
          <w:fldChar w:fldCharType="end"/>
        </w:r>
      </w:hyperlink>
    </w:p>
    <w:p w14:paraId="2305D22E" w14:textId="0A5B8F8C" w:rsidR="00BE3F4E" w:rsidRPr="00BE3F4E" w:rsidRDefault="00000000">
      <w:pPr>
        <w:pStyle w:val="TOC5"/>
        <w:tabs>
          <w:tab w:val="right" w:leader="underscore" w:pos="9016"/>
        </w:tabs>
        <w:rPr>
          <w:rFonts w:ascii="Arial" w:eastAsiaTheme="minorEastAsia" w:hAnsi="Arial" w:cs="Arial"/>
          <w:noProof/>
          <w:sz w:val="20"/>
          <w:szCs w:val="20"/>
        </w:rPr>
      </w:pPr>
      <w:hyperlink w:anchor="_Toc153137261" w:history="1">
        <w:r w:rsidR="00BE3F4E" w:rsidRPr="00BE3F4E">
          <w:rPr>
            <w:rStyle w:val="Hyperlink"/>
            <w:rFonts w:ascii="Arial" w:eastAsia="Times New Roman" w:hAnsi="Arial" w:cs="Arial"/>
            <w:noProof/>
            <w:sz w:val="20"/>
            <w:szCs w:val="20"/>
          </w:rPr>
          <w:t>GM1 BOP.BAS.200 Operating limitations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_Toc153137261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41</w:t>
        </w:r>
        <w:r w:rsidR="00BE3F4E" w:rsidRPr="00BE3F4E">
          <w:rPr>
            <w:rFonts w:ascii="Arial" w:hAnsi="Arial" w:cs="Arial"/>
            <w:noProof/>
            <w:webHidden/>
            <w:sz w:val="20"/>
            <w:szCs w:val="20"/>
          </w:rPr>
          <w:fldChar w:fldCharType="end"/>
        </w:r>
      </w:hyperlink>
    </w:p>
    <w:p w14:paraId="315CE6C2" w14:textId="60DF9A94" w:rsidR="00BE3F4E" w:rsidRPr="00BE3F4E" w:rsidRDefault="00000000">
      <w:pPr>
        <w:pStyle w:val="TOC4"/>
        <w:tabs>
          <w:tab w:val="right" w:leader="underscore" w:pos="9016"/>
        </w:tabs>
        <w:rPr>
          <w:rFonts w:ascii="Arial" w:eastAsiaTheme="minorEastAsia" w:hAnsi="Arial" w:cs="Arial"/>
          <w:noProof/>
          <w:sz w:val="20"/>
          <w:szCs w:val="20"/>
        </w:rPr>
      </w:pPr>
      <w:hyperlink w:anchor="_Toc153137262" w:history="1">
        <w:r w:rsidR="00BE3F4E" w:rsidRPr="00BE3F4E">
          <w:rPr>
            <w:rStyle w:val="Hyperlink"/>
            <w:rFonts w:ascii="Arial" w:eastAsia="Times New Roman" w:hAnsi="Arial" w:cs="Arial"/>
            <w:iCs/>
            <w:noProof/>
            <w:sz w:val="20"/>
            <w:szCs w:val="20"/>
          </w:rPr>
          <w:t>BOP.BAS.205 Weighing</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_Toc153137262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41</w:t>
        </w:r>
        <w:r w:rsidR="00BE3F4E" w:rsidRPr="00BE3F4E">
          <w:rPr>
            <w:rFonts w:ascii="Arial" w:hAnsi="Arial" w:cs="Arial"/>
            <w:noProof/>
            <w:webHidden/>
            <w:sz w:val="20"/>
            <w:szCs w:val="20"/>
          </w:rPr>
          <w:fldChar w:fldCharType="end"/>
        </w:r>
      </w:hyperlink>
    </w:p>
    <w:p w14:paraId="540D7538" w14:textId="353D7491" w:rsidR="00BE3F4E" w:rsidRPr="00BE3F4E" w:rsidRDefault="00000000">
      <w:pPr>
        <w:pStyle w:val="TOC5"/>
        <w:tabs>
          <w:tab w:val="right" w:leader="underscore" w:pos="9016"/>
        </w:tabs>
        <w:rPr>
          <w:rFonts w:ascii="Arial" w:eastAsiaTheme="minorEastAsia" w:hAnsi="Arial" w:cs="Arial"/>
          <w:noProof/>
          <w:sz w:val="20"/>
          <w:szCs w:val="20"/>
        </w:rPr>
      </w:pPr>
      <w:hyperlink w:anchor="_Toc153137263" w:history="1">
        <w:r w:rsidR="00BE3F4E" w:rsidRPr="00BE3F4E">
          <w:rPr>
            <w:rStyle w:val="Hyperlink"/>
            <w:rFonts w:ascii="Arial" w:eastAsia="Times New Roman" w:hAnsi="Arial" w:cs="Arial"/>
            <w:noProof/>
            <w:sz w:val="20"/>
            <w:szCs w:val="20"/>
          </w:rPr>
          <w:t>GM1 BOP.BAS.205 Weighing</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_Toc153137263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41</w:t>
        </w:r>
        <w:r w:rsidR="00BE3F4E" w:rsidRPr="00BE3F4E">
          <w:rPr>
            <w:rFonts w:ascii="Arial" w:hAnsi="Arial" w:cs="Arial"/>
            <w:noProof/>
            <w:webHidden/>
            <w:sz w:val="20"/>
            <w:szCs w:val="20"/>
          </w:rPr>
          <w:fldChar w:fldCharType="end"/>
        </w:r>
      </w:hyperlink>
    </w:p>
    <w:p w14:paraId="2356CFE5" w14:textId="4EB506D5" w:rsidR="00BE3F4E" w:rsidRPr="00BE3F4E" w:rsidRDefault="00000000">
      <w:pPr>
        <w:pStyle w:val="TOC4"/>
        <w:tabs>
          <w:tab w:val="right" w:leader="underscore" w:pos="9016"/>
        </w:tabs>
        <w:rPr>
          <w:rFonts w:ascii="Arial" w:eastAsiaTheme="minorEastAsia" w:hAnsi="Arial" w:cs="Arial"/>
          <w:noProof/>
          <w:sz w:val="20"/>
          <w:szCs w:val="20"/>
        </w:rPr>
      </w:pPr>
      <w:hyperlink w:anchor="_Toc153137264" w:history="1">
        <w:r w:rsidR="00BE3F4E" w:rsidRPr="00BE3F4E">
          <w:rPr>
            <w:rStyle w:val="Hyperlink"/>
            <w:rFonts w:ascii="Arial" w:eastAsia="Times New Roman" w:hAnsi="Arial" w:cs="Arial"/>
            <w:iCs/>
            <w:noProof/>
            <w:sz w:val="20"/>
            <w:szCs w:val="20"/>
          </w:rPr>
          <w:t>BOP.BAS.210 Performance — General</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_Toc153137264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41</w:t>
        </w:r>
        <w:r w:rsidR="00BE3F4E" w:rsidRPr="00BE3F4E">
          <w:rPr>
            <w:rFonts w:ascii="Arial" w:hAnsi="Arial" w:cs="Arial"/>
            <w:noProof/>
            <w:webHidden/>
            <w:sz w:val="20"/>
            <w:szCs w:val="20"/>
          </w:rPr>
          <w:fldChar w:fldCharType="end"/>
        </w:r>
      </w:hyperlink>
    </w:p>
    <w:p w14:paraId="547242E8" w14:textId="0EA194EE" w:rsidR="00BE3F4E" w:rsidRPr="00BE3F4E" w:rsidRDefault="00000000">
      <w:pPr>
        <w:pStyle w:val="TOC4"/>
        <w:tabs>
          <w:tab w:val="right" w:leader="underscore" w:pos="9016"/>
        </w:tabs>
        <w:rPr>
          <w:rFonts w:ascii="Arial" w:eastAsiaTheme="minorEastAsia" w:hAnsi="Arial" w:cs="Arial"/>
          <w:noProof/>
          <w:sz w:val="20"/>
          <w:szCs w:val="20"/>
        </w:rPr>
      </w:pPr>
      <w:hyperlink w:anchor="_Toc153137265" w:history="1">
        <w:r w:rsidR="00BE3F4E" w:rsidRPr="00BE3F4E">
          <w:rPr>
            <w:rStyle w:val="Hyperlink"/>
            <w:rFonts w:ascii="Arial" w:eastAsiaTheme="majorEastAsia" w:hAnsi="Arial" w:cs="Arial"/>
            <w:iCs/>
            <w:noProof/>
            <w:sz w:val="20"/>
            <w:szCs w:val="20"/>
          </w:rPr>
          <w:t>SECTION 4 – INSTRUMENTS AND EQUIPMENT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_Toc153137265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42</w:t>
        </w:r>
        <w:r w:rsidR="00BE3F4E" w:rsidRPr="00BE3F4E">
          <w:rPr>
            <w:rFonts w:ascii="Arial" w:hAnsi="Arial" w:cs="Arial"/>
            <w:noProof/>
            <w:webHidden/>
            <w:sz w:val="20"/>
            <w:szCs w:val="20"/>
          </w:rPr>
          <w:fldChar w:fldCharType="end"/>
        </w:r>
      </w:hyperlink>
    </w:p>
    <w:p w14:paraId="3E7D9965" w14:textId="5AE5DA8D" w:rsidR="00BE3F4E" w:rsidRPr="00BE3F4E" w:rsidRDefault="00000000">
      <w:pPr>
        <w:pStyle w:val="TOC4"/>
        <w:tabs>
          <w:tab w:val="right" w:leader="underscore" w:pos="9016"/>
        </w:tabs>
        <w:rPr>
          <w:rFonts w:ascii="Arial" w:eastAsiaTheme="minorEastAsia" w:hAnsi="Arial" w:cs="Arial"/>
          <w:noProof/>
          <w:sz w:val="20"/>
          <w:szCs w:val="20"/>
        </w:rPr>
      </w:pPr>
      <w:hyperlink w:anchor="_Toc153137266" w:history="1">
        <w:r w:rsidR="00BE3F4E" w:rsidRPr="00BE3F4E">
          <w:rPr>
            <w:rStyle w:val="Hyperlink"/>
            <w:rFonts w:ascii="Arial" w:eastAsia="Times New Roman" w:hAnsi="Arial" w:cs="Arial"/>
            <w:iCs/>
            <w:noProof/>
            <w:sz w:val="20"/>
            <w:szCs w:val="20"/>
          </w:rPr>
          <w:t>BOP.BAS.300 Instruments and equipment — General</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_Toc153137266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42</w:t>
        </w:r>
        <w:r w:rsidR="00BE3F4E" w:rsidRPr="00BE3F4E">
          <w:rPr>
            <w:rFonts w:ascii="Arial" w:hAnsi="Arial" w:cs="Arial"/>
            <w:noProof/>
            <w:webHidden/>
            <w:sz w:val="20"/>
            <w:szCs w:val="20"/>
          </w:rPr>
          <w:fldChar w:fldCharType="end"/>
        </w:r>
      </w:hyperlink>
    </w:p>
    <w:p w14:paraId="73728CBB" w14:textId="391644D9" w:rsidR="00BE3F4E" w:rsidRPr="00BE3F4E" w:rsidRDefault="00000000">
      <w:pPr>
        <w:pStyle w:val="TOC5"/>
        <w:tabs>
          <w:tab w:val="right" w:leader="underscore" w:pos="9016"/>
        </w:tabs>
        <w:rPr>
          <w:rFonts w:ascii="Arial" w:eastAsiaTheme="minorEastAsia" w:hAnsi="Arial" w:cs="Arial"/>
          <w:noProof/>
          <w:sz w:val="20"/>
          <w:szCs w:val="20"/>
        </w:rPr>
      </w:pPr>
      <w:hyperlink w:anchor="_Toc153137267" w:history="1">
        <w:r w:rsidR="00BE3F4E" w:rsidRPr="00BE3F4E">
          <w:rPr>
            <w:rStyle w:val="Hyperlink"/>
            <w:rFonts w:ascii="Arial" w:eastAsia="Times New Roman" w:hAnsi="Arial" w:cs="Arial"/>
            <w:noProof/>
            <w:sz w:val="20"/>
            <w:szCs w:val="20"/>
          </w:rPr>
          <w:t>GM1 BOP.BAS.300(a) Instruments and equipment — General</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_Toc153137267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42</w:t>
        </w:r>
        <w:r w:rsidR="00BE3F4E" w:rsidRPr="00BE3F4E">
          <w:rPr>
            <w:rFonts w:ascii="Arial" w:hAnsi="Arial" w:cs="Arial"/>
            <w:noProof/>
            <w:webHidden/>
            <w:sz w:val="20"/>
            <w:szCs w:val="20"/>
          </w:rPr>
          <w:fldChar w:fldCharType="end"/>
        </w:r>
      </w:hyperlink>
    </w:p>
    <w:p w14:paraId="0C8DE85C" w14:textId="315CCF2A" w:rsidR="00BE3F4E" w:rsidRPr="00BE3F4E" w:rsidRDefault="00000000">
      <w:pPr>
        <w:pStyle w:val="TOC5"/>
        <w:tabs>
          <w:tab w:val="right" w:leader="underscore" w:pos="9016"/>
        </w:tabs>
        <w:rPr>
          <w:rFonts w:ascii="Arial" w:eastAsiaTheme="minorEastAsia" w:hAnsi="Arial" w:cs="Arial"/>
          <w:noProof/>
          <w:sz w:val="20"/>
          <w:szCs w:val="20"/>
        </w:rPr>
      </w:pPr>
      <w:hyperlink w:anchor="_Toc153137268" w:history="1">
        <w:r w:rsidR="00BE3F4E" w:rsidRPr="00BE3F4E">
          <w:rPr>
            <w:rStyle w:val="Hyperlink"/>
            <w:rFonts w:ascii="Arial" w:eastAsia="Times New Roman" w:hAnsi="Arial" w:cs="Arial"/>
            <w:noProof/>
            <w:sz w:val="20"/>
            <w:szCs w:val="20"/>
          </w:rPr>
          <w:t>GM1 BOP.BAS.300(a)(2) Instruments and equipment - General</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_Toc153137268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42</w:t>
        </w:r>
        <w:r w:rsidR="00BE3F4E" w:rsidRPr="00BE3F4E">
          <w:rPr>
            <w:rFonts w:ascii="Arial" w:hAnsi="Arial" w:cs="Arial"/>
            <w:noProof/>
            <w:webHidden/>
            <w:sz w:val="20"/>
            <w:szCs w:val="20"/>
          </w:rPr>
          <w:fldChar w:fldCharType="end"/>
        </w:r>
      </w:hyperlink>
    </w:p>
    <w:p w14:paraId="3B17BFCE" w14:textId="7C96F265" w:rsidR="00BE3F4E" w:rsidRPr="00BE3F4E" w:rsidRDefault="00000000">
      <w:pPr>
        <w:pStyle w:val="TOC5"/>
        <w:tabs>
          <w:tab w:val="right" w:leader="underscore" w:pos="9016"/>
        </w:tabs>
        <w:rPr>
          <w:rFonts w:ascii="Arial" w:eastAsiaTheme="minorEastAsia" w:hAnsi="Arial" w:cs="Arial"/>
          <w:noProof/>
          <w:sz w:val="20"/>
          <w:szCs w:val="20"/>
        </w:rPr>
      </w:pPr>
      <w:hyperlink w:anchor="_Toc153137269" w:history="1">
        <w:r w:rsidR="00BE3F4E" w:rsidRPr="00BE3F4E">
          <w:rPr>
            <w:rStyle w:val="Hyperlink"/>
            <w:rFonts w:ascii="Arial" w:eastAsia="Times New Roman" w:hAnsi="Arial" w:cs="Arial"/>
            <w:noProof/>
            <w:sz w:val="20"/>
            <w:szCs w:val="20"/>
          </w:rPr>
          <w:t>GM1 BOP.BAS.300(b) Instruments and equipment — General</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_Toc153137269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43</w:t>
        </w:r>
        <w:r w:rsidR="00BE3F4E" w:rsidRPr="00BE3F4E">
          <w:rPr>
            <w:rFonts w:ascii="Arial" w:hAnsi="Arial" w:cs="Arial"/>
            <w:noProof/>
            <w:webHidden/>
            <w:sz w:val="20"/>
            <w:szCs w:val="20"/>
          </w:rPr>
          <w:fldChar w:fldCharType="end"/>
        </w:r>
      </w:hyperlink>
    </w:p>
    <w:p w14:paraId="19260606" w14:textId="70349ADF" w:rsidR="00BE3F4E" w:rsidRPr="00BE3F4E" w:rsidRDefault="00000000">
      <w:pPr>
        <w:pStyle w:val="TOC5"/>
        <w:tabs>
          <w:tab w:val="right" w:leader="underscore" w:pos="9016"/>
        </w:tabs>
        <w:rPr>
          <w:rFonts w:ascii="Arial" w:eastAsiaTheme="minorEastAsia" w:hAnsi="Arial" w:cs="Arial"/>
          <w:noProof/>
          <w:sz w:val="20"/>
          <w:szCs w:val="20"/>
        </w:rPr>
      </w:pPr>
      <w:hyperlink w:anchor="_Toc153137270" w:history="1">
        <w:r w:rsidR="00BE3F4E" w:rsidRPr="00BE3F4E">
          <w:rPr>
            <w:rStyle w:val="Hyperlink"/>
            <w:rFonts w:ascii="Arial" w:eastAsia="Times New Roman" w:hAnsi="Arial" w:cs="Arial"/>
            <w:noProof/>
            <w:sz w:val="20"/>
            <w:szCs w:val="20"/>
          </w:rPr>
          <w:t>GM1 BOP.BAS.300(c) Instruments and equipment — General</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_Toc153137270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43</w:t>
        </w:r>
        <w:r w:rsidR="00BE3F4E" w:rsidRPr="00BE3F4E">
          <w:rPr>
            <w:rFonts w:ascii="Arial" w:hAnsi="Arial" w:cs="Arial"/>
            <w:noProof/>
            <w:webHidden/>
            <w:sz w:val="20"/>
            <w:szCs w:val="20"/>
          </w:rPr>
          <w:fldChar w:fldCharType="end"/>
        </w:r>
      </w:hyperlink>
    </w:p>
    <w:p w14:paraId="62C1D2E5" w14:textId="30382251" w:rsidR="00BE3F4E" w:rsidRPr="00BE3F4E" w:rsidRDefault="00000000">
      <w:pPr>
        <w:pStyle w:val="TOC4"/>
        <w:tabs>
          <w:tab w:val="right" w:leader="underscore" w:pos="9016"/>
        </w:tabs>
        <w:rPr>
          <w:rFonts w:ascii="Arial" w:eastAsiaTheme="minorEastAsia" w:hAnsi="Arial" w:cs="Arial"/>
          <w:noProof/>
          <w:sz w:val="20"/>
          <w:szCs w:val="20"/>
        </w:rPr>
      </w:pPr>
      <w:hyperlink w:anchor="_Toc153137271" w:history="1">
        <w:r w:rsidR="00BE3F4E" w:rsidRPr="00BE3F4E">
          <w:rPr>
            <w:rStyle w:val="Hyperlink"/>
            <w:rFonts w:ascii="Arial" w:eastAsia="Times New Roman" w:hAnsi="Arial" w:cs="Arial"/>
            <w:iCs/>
            <w:noProof/>
            <w:sz w:val="20"/>
            <w:szCs w:val="20"/>
          </w:rPr>
          <w:t>BOP.BAS.305 Minimum instruments and equipment for flight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_Toc153137271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43</w:t>
        </w:r>
        <w:r w:rsidR="00BE3F4E" w:rsidRPr="00BE3F4E">
          <w:rPr>
            <w:rFonts w:ascii="Arial" w:hAnsi="Arial" w:cs="Arial"/>
            <w:noProof/>
            <w:webHidden/>
            <w:sz w:val="20"/>
            <w:szCs w:val="20"/>
          </w:rPr>
          <w:fldChar w:fldCharType="end"/>
        </w:r>
      </w:hyperlink>
    </w:p>
    <w:p w14:paraId="40C4764E" w14:textId="52F1485E" w:rsidR="00BE3F4E" w:rsidRPr="00BE3F4E" w:rsidRDefault="00000000">
      <w:pPr>
        <w:pStyle w:val="TOC5"/>
        <w:tabs>
          <w:tab w:val="right" w:leader="underscore" w:pos="9016"/>
        </w:tabs>
        <w:rPr>
          <w:rFonts w:ascii="Arial" w:eastAsiaTheme="minorEastAsia" w:hAnsi="Arial" w:cs="Arial"/>
          <w:noProof/>
          <w:sz w:val="20"/>
          <w:szCs w:val="20"/>
        </w:rPr>
      </w:pPr>
      <w:hyperlink w:anchor="_Toc153137272" w:history="1">
        <w:r w:rsidR="00BE3F4E" w:rsidRPr="00BE3F4E">
          <w:rPr>
            <w:rStyle w:val="Hyperlink"/>
            <w:rFonts w:ascii="Arial" w:eastAsia="Times New Roman" w:hAnsi="Arial" w:cs="Arial"/>
            <w:noProof/>
            <w:sz w:val="20"/>
            <w:szCs w:val="20"/>
          </w:rPr>
          <w:t>AMC1 BOP.BAS.305 Minimum instruments and equipment for flight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_Toc153137272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43</w:t>
        </w:r>
        <w:r w:rsidR="00BE3F4E" w:rsidRPr="00BE3F4E">
          <w:rPr>
            <w:rFonts w:ascii="Arial" w:hAnsi="Arial" w:cs="Arial"/>
            <w:noProof/>
            <w:webHidden/>
            <w:sz w:val="20"/>
            <w:szCs w:val="20"/>
          </w:rPr>
          <w:fldChar w:fldCharType="end"/>
        </w:r>
      </w:hyperlink>
    </w:p>
    <w:p w14:paraId="4BFB6361" w14:textId="6DC14E90" w:rsidR="00BE3F4E" w:rsidRPr="00BE3F4E" w:rsidRDefault="00000000">
      <w:pPr>
        <w:pStyle w:val="TOC4"/>
        <w:tabs>
          <w:tab w:val="right" w:leader="underscore" w:pos="9016"/>
        </w:tabs>
        <w:rPr>
          <w:rFonts w:ascii="Arial" w:eastAsiaTheme="minorEastAsia" w:hAnsi="Arial" w:cs="Arial"/>
          <w:noProof/>
          <w:sz w:val="20"/>
          <w:szCs w:val="20"/>
        </w:rPr>
      </w:pPr>
      <w:hyperlink w:anchor="_Toc153137273" w:history="1">
        <w:r w:rsidR="00BE3F4E" w:rsidRPr="00BE3F4E">
          <w:rPr>
            <w:rStyle w:val="Hyperlink"/>
            <w:rFonts w:ascii="Arial" w:eastAsia="Times New Roman" w:hAnsi="Arial" w:cs="Arial"/>
            <w:iCs/>
            <w:noProof/>
            <w:sz w:val="20"/>
            <w:szCs w:val="20"/>
          </w:rPr>
          <w:t>BOP.BAS.310 Operating lights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_Toc153137273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43</w:t>
        </w:r>
        <w:r w:rsidR="00BE3F4E" w:rsidRPr="00BE3F4E">
          <w:rPr>
            <w:rFonts w:ascii="Arial" w:hAnsi="Arial" w:cs="Arial"/>
            <w:noProof/>
            <w:webHidden/>
            <w:sz w:val="20"/>
            <w:szCs w:val="20"/>
          </w:rPr>
          <w:fldChar w:fldCharType="end"/>
        </w:r>
      </w:hyperlink>
    </w:p>
    <w:p w14:paraId="0620604D" w14:textId="2A27C831" w:rsidR="00BE3F4E" w:rsidRPr="00BE3F4E" w:rsidRDefault="00000000">
      <w:pPr>
        <w:pStyle w:val="TOC5"/>
        <w:tabs>
          <w:tab w:val="right" w:leader="underscore" w:pos="9016"/>
        </w:tabs>
        <w:rPr>
          <w:rFonts w:ascii="Arial" w:eastAsiaTheme="minorEastAsia" w:hAnsi="Arial" w:cs="Arial"/>
          <w:noProof/>
          <w:sz w:val="20"/>
          <w:szCs w:val="20"/>
        </w:rPr>
      </w:pPr>
      <w:hyperlink w:anchor="_Toc153137274" w:history="1">
        <w:r w:rsidR="00BE3F4E" w:rsidRPr="00BE3F4E">
          <w:rPr>
            <w:rStyle w:val="Hyperlink"/>
            <w:rFonts w:ascii="Arial" w:eastAsia="Times New Roman" w:hAnsi="Arial" w:cs="Arial"/>
            <w:noProof/>
            <w:sz w:val="20"/>
            <w:szCs w:val="20"/>
          </w:rPr>
          <w:t>AMC1 BOP.BAS.310 Operating lights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_Toc153137274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43</w:t>
        </w:r>
        <w:r w:rsidR="00BE3F4E" w:rsidRPr="00BE3F4E">
          <w:rPr>
            <w:rFonts w:ascii="Arial" w:hAnsi="Arial" w:cs="Arial"/>
            <w:noProof/>
            <w:webHidden/>
            <w:sz w:val="20"/>
            <w:szCs w:val="20"/>
          </w:rPr>
          <w:fldChar w:fldCharType="end"/>
        </w:r>
      </w:hyperlink>
    </w:p>
    <w:p w14:paraId="231B1835" w14:textId="1B9A9452" w:rsidR="00BE3F4E" w:rsidRPr="00BE3F4E" w:rsidRDefault="00000000">
      <w:pPr>
        <w:pStyle w:val="TOC4"/>
        <w:tabs>
          <w:tab w:val="right" w:leader="underscore" w:pos="9016"/>
        </w:tabs>
        <w:rPr>
          <w:rFonts w:ascii="Arial" w:eastAsiaTheme="minorEastAsia" w:hAnsi="Arial" w:cs="Arial"/>
          <w:noProof/>
          <w:sz w:val="20"/>
          <w:szCs w:val="20"/>
        </w:rPr>
      </w:pPr>
      <w:hyperlink w:anchor="_Toc153137275" w:history="1">
        <w:r w:rsidR="00BE3F4E" w:rsidRPr="00BE3F4E">
          <w:rPr>
            <w:rStyle w:val="Hyperlink"/>
            <w:rFonts w:ascii="Arial" w:eastAsia="Times New Roman" w:hAnsi="Arial" w:cs="Arial"/>
            <w:iCs/>
            <w:noProof/>
            <w:sz w:val="20"/>
            <w:szCs w:val="20"/>
          </w:rPr>
          <w:t>BOP.BAS.315 Flight and navigational instruments and equipment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_Toc153137275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43</w:t>
        </w:r>
        <w:r w:rsidR="00BE3F4E" w:rsidRPr="00BE3F4E">
          <w:rPr>
            <w:rFonts w:ascii="Arial" w:hAnsi="Arial" w:cs="Arial"/>
            <w:noProof/>
            <w:webHidden/>
            <w:sz w:val="20"/>
            <w:szCs w:val="20"/>
          </w:rPr>
          <w:fldChar w:fldCharType="end"/>
        </w:r>
      </w:hyperlink>
    </w:p>
    <w:p w14:paraId="617C5F80" w14:textId="619FF0C2" w:rsidR="00BE3F4E" w:rsidRPr="00BE3F4E" w:rsidRDefault="00000000">
      <w:pPr>
        <w:pStyle w:val="TOC5"/>
        <w:tabs>
          <w:tab w:val="right" w:leader="underscore" w:pos="9016"/>
        </w:tabs>
        <w:rPr>
          <w:rFonts w:ascii="Arial" w:eastAsiaTheme="minorEastAsia" w:hAnsi="Arial" w:cs="Arial"/>
          <w:noProof/>
          <w:sz w:val="20"/>
          <w:szCs w:val="20"/>
        </w:rPr>
      </w:pPr>
      <w:hyperlink w:anchor="_Toc153137276" w:history="1">
        <w:r w:rsidR="00BE3F4E" w:rsidRPr="00BE3F4E">
          <w:rPr>
            <w:rStyle w:val="Hyperlink"/>
            <w:rFonts w:ascii="Arial" w:eastAsia="Times New Roman" w:hAnsi="Arial" w:cs="Arial"/>
            <w:noProof/>
            <w:sz w:val="20"/>
            <w:szCs w:val="20"/>
          </w:rPr>
          <w:t>AMC1 BOP.BAS.315(a) Flight and navigational instruments and associated equipment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_Toc153137276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44</w:t>
        </w:r>
        <w:r w:rsidR="00BE3F4E" w:rsidRPr="00BE3F4E">
          <w:rPr>
            <w:rFonts w:ascii="Arial" w:hAnsi="Arial" w:cs="Arial"/>
            <w:noProof/>
            <w:webHidden/>
            <w:sz w:val="20"/>
            <w:szCs w:val="20"/>
          </w:rPr>
          <w:fldChar w:fldCharType="end"/>
        </w:r>
      </w:hyperlink>
    </w:p>
    <w:p w14:paraId="7B689ED1" w14:textId="020188D8" w:rsidR="00BE3F4E" w:rsidRPr="00BE3F4E" w:rsidRDefault="00000000">
      <w:pPr>
        <w:pStyle w:val="TOC5"/>
        <w:tabs>
          <w:tab w:val="right" w:leader="underscore" w:pos="9016"/>
        </w:tabs>
        <w:rPr>
          <w:rFonts w:ascii="Arial" w:eastAsiaTheme="minorEastAsia" w:hAnsi="Arial" w:cs="Arial"/>
          <w:noProof/>
          <w:sz w:val="20"/>
          <w:szCs w:val="20"/>
        </w:rPr>
      </w:pPr>
      <w:hyperlink w:anchor="_Toc153137277" w:history="1">
        <w:r w:rsidR="00BE3F4E" w:rsidRPr="00BE3F4E">
          <w:rPr>
            <w:rStyle w:val="Hyperlink"/>
            <w:rFonts w:ascii="Arial" w:eastAsia="Times New Roman" w:hAnsi="Arial" w:cs="Arial"/>
            <w:noProof/>
            <w:sz w:val="20"/>
            <w:szCs w:val="20"/>
          </w:rPr>
          <w:t>AMC1 BOP.BAS.315(b)(1) Flight and navigational instruments and associated equipment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_Toc153137277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44</w:t>
        </w:r>
        <w:r w:rsidR="00BE3F4E" w:rsidRPr="00BE3F4E">
          <w:rPr>
            <w:rFonts w:ascii="Arial" w:hAnsi="Arial" w:cs="Arial"/>
            <w:noProof/>
            <w:webHidden/>
            <w:sz w:val="20"/>
            <w:szCs w:val="20"/>
          </w:rPr>
          <w:fldChar w:fldCharType="end"/>
        </w:r>
      </w:hyperlink>
    </w:p>
    <w:p w14:paraId="77A1B8A6" w14:textId="59305963" w:rsidR="00BE3F4E" w:rsidRPr="00BE3F4E" w:rsidRDefault="00000000">
      <w:pPr>
        <w:pStyle w:val="TOC5"/>
        <w:tabs>
          <w:tab w:val="right" w:leader="underscore" w:pos="9016"/>
        </w:tabs>
        <w:rPr>
          <w:rFonts w:ascii="Arial" w:eastAsiaTheme="minorEastAsia" w:hAnsi="Arial" w:cs="Arial"/>
          <w:noProof/>
          <w:sz w:val="20"/>
          <w:szCs w:val="20"/>
        </w:rPr>
      </w:pPr>
      <w:hyperlink w:anchor="_Toc153137278" w:history="1">
        <w:r w:rsidR="00BE3F4E" w:rsidRPr="00BE3F4E">
          <w:rPr>
            <w:rStyle w:val="Hyperlink"/>
            <w:rFonts w:ascii="Arial" w:eastAsia="Times New Roman" w:hAnsi="Arial" w:cs="Arial"/>
            <w:noProof/>
            <w:sz w:val="20"/>
            <w:szCs w:val="20"/>
          </w:rPr>
          <w:t>GM1 BOP.BAS.315(b)(3) Flight and navigational instruments and associated equipment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_Toc153137278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44</w:t>
        </w:r>
        <w:r w:rsidR="00BE3F4E" w:rsidRPr="00BE3F4E">
          <w:rPr>
            <w:rFonts w:ascii="Arial" w:hAnsi="Arial" w:cs="Arial"/>
            <w:noProof/>
            <w:webHidden/>
            <w:sz w:val="20"/>
            <w:szCs w:val="20"/>
          </w:rPr>
          <w:fldChar w:fldCharType="end"/>
        </w:r>
      </w:hyperlink>
    </w:p>
    <w:p w14:paraId="1235BAE8" w14:textId="3199D098" w:rsidR="00BE3F4E" w:rsidRPr="00BE3F4E" w:rsidRDefault="00000000">
      <w:pPr>
        <w:pStyle w:val="TOC4"/>
        <w:tabs>
          <w:tab w:val="right" w:leader="underscore" w:pos="9016"/>
        </w:tabs>
        <w:rPr>
          <w:rFonts w:ascii="Arial" w:eastAsiaTheme="minorEastAsia" w:hAnsi="Arial" w:cs="Arial"/>
          <w:noProof/>
          <w:sz w:val="20"/>
          <w:szCs w:val="20"/>
        </w:rPr>
      </w:pPr>
      <w:hyperlink w:anchor="_Toc153137279" w:history="1">
        <w:r w:rsidR="00BE3F4E" w:rsidRPr="00BE3F4E">
          <w:rPr>
            <w:rStyle w:val="Hyperlink"/>
            <w:rFonts w:ascii="Arial" w:eastAsia="Times New Roman" w:hAnsi="Arial" w:cs="Arial"/>
            <w:iCs/>
            <w:noProof/>
            <w:sz w:val="20"/>
            <w:szCs w:val="20"/>
          </w:rPr>
          <w:t>BOP.BAS.320 Restraint systems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_Toc153137279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44</w:t>
        </w:r>
        <w:r w:rsidR="00BE3F4E" w:rsidRPr="00BE3F4E">
          <w:rPr>
            <w:rFonts w:ascii="Arial" w:hAnsi="Arial" w:cs="Arial"/>
            <w:noProof/>
            <w:webHidden/>
            <w:sz w:val="20"/>
            <w:szCs w:val="20"/>
          </w:rPr>
          <w:fldChar w:fldCharType="end"/>
        </w:r>
      </w:hyperlink>
    </w:p>
    <w:p w14:paraId="325020D6" w14:textId="6E0A82D9" w:rsidR="00BE3F4E" w:rsidRPr="00BE3F4E" w:rsidRDefault="00000000">
      <w:pPr>
        <w:pStyle w:val="TOC5"/>
        <w:tabs>
          <w:tab w:val="right" w:leader="underscore" w:pos="9016"/>
        </w:tabs>
        <w:rPr>
          <w:rFonts w:ascii="Arial" w:eastAsiaTheme="minorEastAsia" w:hAnsi="Arial" w:cs="Arial"/>
          <w:noProof/>
          <w:sz w:val="20"/>
          <w:szCs w:val="20"/>
        </w:rPr>
      </w:pPr>
      <w:hyperlink w:anchor="_Toc153137280" w:history="1">
        <w:r w:rsidR="00BE3F4E" w:rsidRPr="00BE3F4E">
          <w:rPr>
            <w:rStyle w:val="Hyperlink"/>
            <w:rFonts w:ascii="Arial" w:eastAsia="Times New Roman" w:hAnsi="Arial" w:cs="Arial"/>
            <w:noProof/>
            <w:sz w:val="20"/>
            <w:szCs w:val="20"/>
          </w:rPr>
          <w:t>GM1 BOP.BAS.320 Restraint system</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_Toc153137280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44</w:t>
        </w:r>
        <w:r w:rsidR="00BE3F4E" w:rsidRPr="00BE3F4E">
          <w:rPr>
            <w:rFonts w:ascii="Arial" w:hAnsi="Arial" w:cs="Arial"/>
            <w:noProof/>
            <w:webHidden/>
            <w:sz w:val="20"/>
            <w:szCs w:val="20"/>
          </w:rPr>
          <w:fldChar w:fldCharType="end"/>
        </w:r>
      </w:hyperlink>
    </w:p>
    <w:p w14:paraId="47088151" w14:textId="5FAFAF1F" w:rsidR="00BE3F4E" w:rsidRPr="00BE3F4E" w:rsidRDefault="00000000">
      <w:pPr>
        <w:pStyle w:val="TOC4"/>
        <w:tabs>
          <w:tab w:val="right" w:leader="underscore" w:pos="9016"/>
        </w:tabs>
        <w:rPr>
          <w:rFonts w:ascii="Arial" w:eastAsiaTheme="minorEastAsia" w:hAnsi="Arial" w:cs="Arial"/>
          <w:noProof/>
          <w:sz w:val="20"/>
          <w:szCs w:val="20"/>
        </w:rPr>
      </w:pPr>
      <w:hyperlink w:anchor="_Toc153137281" w:history="1">
        <w:r w:rsidR="00BE3F4E" w:rsidRPr="00BE3F4E">
          <w:rPr>
            <w:rStyle w:val="Hyperlink"/>
            <w:rFonts w:ascii="Arial" w:eastAsia="Times New Roman" w:hAnsi="Arial" w:cs="Arial"/>
            <w:iCs/>
            <w:noProof/>
            <w:sz w:val="20"/>
            <w:szCs w:val="20"/>
          </w:rPr>
          <w:t>BOP.BAS.325 Supplemental oxygen</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_Toc153137281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44</w:t>
        </w:r>
        <w:r w:rsidR="00BE3F4E" w:rsidRPr="00BE3F4E">
          <w:rPr>
            <w:rFonts w:ascii="Arial" w:hAnsi="Arial" w:cs="Arial"/>
            <w:noProof/>
            <w:webHidden/>
            <w:sz w:val="20"/>
            <w:szCs w:val="20"/>
          </w:rPr>
          <w:fldChar w:fldCharType="end"/>
        </w:r>
      </w:hyperlink>
    </w:p>
    <w:p w14:paraId="2C55D685" w14:textId="734334C1" w:rsidR="00BE3F4E" w:rsidRPr="00BE3F4E" w:rsidRDefault="00000000">
      <w:pPr>
        <w:pStyle w:val="TOC4"/>
        <w:tabs>
          <w:tab w:val="right" w:leader="underscore" w:pos="9016"/>
        </w:tabs>
        <w:rPr>
          <w:rFonts w:ascii="Arial" w:eastAsiaTheme="minorEastAsia" w:hAnsi="Arial" w:cs="Arial"/>
          <w:noProof/>
          <w:sz w:val="20"/>
          <w:szCs w:val="20"/>
        </w:rPr>
      </w:pPr>
      <w:hyperlink w:anchor="_Toc153137282" w:history="1">
        <w:r w:rsidR="00BE3F4E" w:rsidRPr="00BE3F4E">
          <w:rPr>
            <w:rStyle w:val="Hyperlink"/>
            <w:rFonts w:ascii="Arial" w:eastAsia="Times New Roman" w:hAnsi="Arial" w:cs="Arial"/>
            <w:iCs/>
            <w:noProof/>
            <w:sz w:val="20"/>
            <w:szCs w:val="20"/>
          </w:rPr>
          <w:t>BOP.BAS.330 First-aid kit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_Toc153137282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44</w:t>
        </w:r>
        <w:r w:rsidR="00BE3F4E" w:rsidRPr="00BE3F4E">
          <w:rPr>
            <w:rFonts w:ascii="Arial" w:hAnsi="Arial" w:cs="Arial"/>
            <w:noProof/>
            <w:webHidden/>
            <w:sz w:val="20"/>
            <w:szCs w:val="20"/>
          </w:rPr>
          <w:fldChar w:fldCharType="end"/>
        </w:r>
      </w:hyperlink>
    </w:p>
    <w:p w14:paraId="74137AD7" w14:textId="1C583B9B" w:rsidR="00BE3F4E" w:rsidRPr="00BE3F4E" w:rsidRDefault="00000000">
      <w:pPr>
        <w:pStyle w:val="TOC5"/>
        <w:tabs>
          <w:tab w:val="right" w:leader="underscore" w:pos="9016"/>
        </w:tabs>
        <w:rPr>
          <w:rFonts w:ascii="Arial" w:eastAsiaTheme="minorEastAsia" w:hAnsi="Arial" w:cs="Arial"/>
          <w:noProof/>
          <w:sz w:val="20"/>
          <w:szCs w:val="20"/>
        </w:rPr>
      </w:pPr>
      <w:hyperlink w:anchor="_Toc153137283" w:history="1">
        <w:r w:rsidR="00BE3F4E" w:rsidRPr="00BE3F4E">
          <w:rPr>
            <w:rStyle w:val="Hyperlink"/>
            <w:rFonts w:ascii="Arial" w:eastAsia="Times New Roman" w:hAnsi="Arial" w:cs="Arial"/>
            <w:noProof/>
            <w:sz w:val="20"/>
            <w:szCs w:val="20"/>
          </w:rPr>
          <w:t>AMC1 BOP.BAS.330 First-aid kit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_Toc153137283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45</w:t>
        </w:r>
        <w:r w:rsidR="00BE3F4E" w:rsidRPr="00BE3F4E">
          <w:rPr>
            <w:rFonts w:ascii="Arial" w:hAnsi="Arial" w:cs="Arial"/>
            <w:noProof/>
            <w:webHidden/>
            <w:sz w:val="20"/>
            <w:szCs w:val="20"/>
          </w:rPr>
          <w:fldChar w:fldCharType="end"/>
        </w:r>
      </w:hyperlink>
    </w:p>
    <w:p w14:paraId="2A5C71BC" w14:textId="37830DF3" w:rsidR="00BE3F4E" w:rsidRPr="00BE3F4E" w:rsidRDefault="00000000">
      <w:pPr>
        <w:pStyle w:val="TOC5"/>
        <w:tabs>
          <w:tab w:val="right" w:leader="underscore" w:pos="9016"/>
        </w:tabs>
        <w:rPr>
          <w:rFonts w:ascii="Arial" w:eastAsiaTheme="minorEastAsia" w:hAnsi="Arial" w:cs="Arial"/>
          <w:noProof/>
          <w:sz w:val="20"/>
          <w:szCs w:val="20"/>
        </w:rPr>
      </w:pPr>
      <w:hyperlink w:anchor="_Toc153137284" w:history="1">
        <w:r w:rsidR="00BE3F4E" w:rsidRPr="00BE3F4E">
          <w:rPr>
            <w:rStyle w:val="Hyperlink"/>
            <w:rFonts w:ascii="Arial" w:eastAsia="Times New Roman" w:hAnsi="Arial" w:cs="Arial"/>
            <w:noProof/>
            <w:sz w:val="20"/>
            <w:szCs w:val="20"/>
          </w:rPr>
          <w:t>AMC2 BOP.BAS.330 First-aid kit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_Toc153137284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45</w:t>
        </w:r>
        <w:r w:rsidR="00BE3F4E" w:rsidRPr="00BE3F4E">
          <w:rPr>
            <w:rFonts w:ascii="Arial" w:hAnsi="Arial" w:cs="Arial"/>
            <w:noProof/>
            <w:webHidden/>
            <w:sz w:val="20"/>
            <w:szCs w:val="20"/>
          </w:rPr>
          <w:fldChar w:fldCharType="end"/>
        </w:r>
      </w:hyperlink>
    </w:p>
    <w:p w14:paraId="3783F4DE" w14:textId="5411CAA4" w:rsidR="00BE3F4E" w:rsidRPr="00BE3F4E" w:rsidRDefault="00000000">
      <w:pPr>
        <w:pStyle w:val="TOC5"/>
        <w:tabs>
          <w:tab w:val="right" w:leader="underscore" w:pos="9016"/>
        </w:tabs>
        <w:rPr>
          <w:rFonts w:ascii="Arial" w:eastAsiaTheme="minorEastAsia" w:hAnsi="Arial" w:cs="Arial"/>
          <w:noProof/>
          <w:sz w:val="20"/>
          <w:szCs w:val="20"/>
        </w:rPr>
      </w:pPr>
      <w:hyperlink w:anchor="_Toc153137285" w:history="1">
        <w:r w:rsidR="00BE3F4E" w:rsidRPr="00BE3F4E">
          <w:rPr>
            <w:rStyle w:val="Hyperlink"/>
            <w:rFonts w:ascii="Arial" w:eastAsia="Times New Roman" w:hAnsi="Arial" w:cs="Arial"/>
            <w:noProof/>
            <w:sz w:val="20"/>
            <w:szCs w:val="20"/>
          </w:rPr>
          <w:t>GM1 BOP.BAS.330(a) First-aid kit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_Toc153137285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45</w:t>
        </w:r>
        <w:r w:rsidR="00BE3F4E" w:rsidRPr="00BE3F4E">
          <w:rPr>
            <w:rFonts w:ascii="Arial" w:hAnsi="Arial" w:cs="Arial"/>
            <w:noProof/>
            <w:webHidden/>
            <w:sz w:val="20"/>
            <w:szCs w:val="20"/>
          </w:rPr>
          <w:fldChar w:fldCharType="end"/>
        </w:r>
      </w:hyperlink>
    </w:p>
    <w:p w14:paraId="5C55ABA2" w14:textId="60F4426B" w:rsidR="00BE3F4E" w:rsidRPr="00BE3F4E" w:rsidRDefault="00000000">
      <w:pPr>
        <w:pStyle w:val="TOC4"/>
        <w:tabs>
          <w:tab w:val="right" w:leader="underscore" w:pos="9016"/>
        </w:tabs>
        <w:rPr>
          <w:rFonts w:ascii="Arial" w:eastAsiaTheme="minorEastAsia" w:hAnsi="Arial" w:cs="Arial"/>
          <w:noProof/>
          <w:sz w:val="20"/>
          <w:szCs w:val="20"/>
        </w:rPr>
      </w:pPr>
      <w:hyperlink w:anchor="_Toc153137286" w:history="1">
        <w:r w:rsidR="00BE3F4E" w:rsidRPr="00BE3F4E">
          <w:rPr>
            <w:rStyle w:val="Hyperlink"/>
            <w:rFonts w:ascii="Arial" w:eastAsia="Times New Roman" w:hAnsi="Arial" w:cs="Arial"/>
            <w:iCs/>
            <w:noProof/>
            <w:sz w:val="20"/>
            <w:szCs w:val="20"/>
          </w:rPr>
          <w:t>BOP.BAS.335 Hand fire extinguishers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_Toc153137286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45</w:t>
        </w:r>
        <w:r w:rsidR="00BE3F4E" w:rsidRPr="00BE3F4E">
          <w:rPr>
            <w:rFonts w:ascii="Arial" w:hAnsi="Arial" w:cs="Arial"/>
            <w:noProof/>
            <w:webHidden/>
            <w:sz w:val="20"/>
            <w:szCs w:val="20"/>
          </w:rPr>
          <w:fldChar w:fldCharType="end"/>
        </w:r>
      </w:hyperlink>
    </w:p>
    <w:p w14:paraId="5DA64E86" w14:textId="7503D220" w:rsidR="00BE3F4E" w:rsidRPr="00BE3F4E" w:rsidRDefault="00000000">
      <w:pPr>
        <w:pStyle w:val="TOC5"/>
        <w:tabs>
          <w:tab w:val="right" w:leader="underscore" w:pos="9016"/>
        </w:tabs>
        <w:rPr>
          <w:rFonts w:ascii="Arial" w:eastAsiaTheme="minorEastAsia" w:hAnsi="Arial" w:cs="Arial"/>
          <w:noProof/>
          <w:sz w:val="20"/>
          <w:szCs w:val="20"/>
        </w:rPr>
      </w:pPr>
      <w:hyperlink w:anchor="_Toc153137287" w:history="1">
        <w:r w:rsidR="00BE3F4E" w:rsidRPr="00BE3F4E">
          <w:rPr>
            <w:rStyle w:val="Hyperlink"/>
            <w:rFonts w:ascii="Arial" w:eastAsia="Times New Roman" w:hAnsi="Arial" w:cs="Arial"/>
            <w:noProof/>
            <w:sz w:val="20"/>
            <w:szCs w:val="20"/>
          </w:rPr>
          <w:t>AMC1 BOP.BAS.335 Hand fire extinguishers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_Toc153137287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45</w:t>
        </w:r>
        <w:r w:rsidR="00BE3F4E" w:rsidRPr="00BE3F4E">
          <w:rPr>
            <w:rFonts w:ascii="Arial" w:hAnsi="Arial" w:cs="Arial"/>
            <w:noProof/>
            <w:webHidden/>
            <w:sz w:val="20"/>
            <w:szCs w:val="20"/>
          </w:rPr>
          <w:fldChar w:fldCharType="end"/>
        </w:r>
      </w:hyperlink>
    </w:p>
    <w:p w14:paraId="501F615E" w14:textId="734E0917" w:rsidR="00BE3F4E" w:rsidRPr="00BE3F4E" w:rsidRDefault="00000000">
      <w:pPr>
        <w:pStyle w:val="TOC5"/>
        <w:tabs>
          <w:tab w:val="right" w:leader="underscore" w:pos="9016"/>
        </w:tabs>
        <w:rPr>
          <w:rFonts w:ascii="Arial" w:eastAsiaTheme="minorEastAsia" w:hAnsi="Arial" w:cs="Arial"/>
          <w:noProof/>
          <w:sz w:val="20"/>
          <w:szCs w:val="20"/>
        </w:rPr>
      </w:pPr>
      <w:hyperlink w:anchor="_Toc153137288" w:history="1">
        <w:r w:rsidR="00BE3F4E" w:rsidRPr="00BE3F4E">
          <w:rPr>
            <w:rStyle w:val="Hyperlink"/>
            <w:rFonts w:ascii="Arial" w:eastAsia="Times New Roman" w:hAnsi="Arial" w:cs="Arial"/>
            <w:noProof/>
            <w:sz w:val="20"/>
            <w:szCs w:val="20"/>
          </w:rPr>
          <w:t>GM1 BOP.BAS.335 Hand fire extinguishers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_Toc153137288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45</w:t>
        </w:r>
        <w:r w:rsidR="00BE3F4E" w:rsidRPr="00BE3F4E">
          <w:rPr>
            <w:rFonts w:ascii="Arial" w:hAnsi="Arial" w:cs="Arial"/>
            <w:noProof/>
            <w:webHidden/>
            <w:sz w:val="20"/>
            <w:szCs w:val="20"/>
          </w:rPr>
          <w:fldChar w:fldCharType="end"/>
        </w:r>
      </w:hyperlink>
    </w:p>
    <w:p w14:paraId="5EE72232" w14:textId="3A70B776" w:rsidR="00BE3F4E" w:rsidRPr="00BE3F4E" w:rsidRDefault="00000000">
      <w:pPr>
        <w:pStyle w:val="TOC4"/>
        <w:tabs>
          <w:tab w:val="right" w:leader="underscore" w:pos="9016"/>
        </w:tabs>
        <w:rPr>
          <w:rFonts w:ascii="Arial" w:eastAsiaTheme="minorEastAsia" w:hAnsi="Arial" w:cs="Arial"/>
          <w:noProof/>
          <w:sz w:val="20"/>
          <w:szCs w:val="20"/>
        </w:rPr>
      </w:pPr>
      <w:hyperlink w:anchor="_Toc153137289" w:history="1">
        <w:r w:rsidR="00BE3F4E" w:rsidRPr="00BE3F4E">
          <w:rPr>
            <w:rStyle w:val="Hyperlink"/>
            <w:rFonts w:ascii="Arial" w:eastAsia="Times New Roman" w:hAnsi="Arial" w:cs="Arial"/>
            <w:iCs/>
            <w:noProof/>
            <w:sz w:val="20"/>
            <w:szCs w:val="20"/>
          </w:rPr>
          <w:t>BOP.BAS.340 Life-saving and signalling equipment – Flights over water</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_Toc153137289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45</w:t>
        </w:r>
        <w:r w:rsidR="00BE3F4E" w:rsidRPr="00BE3F4E">
          <w:rPr>
            <w:rFonts w:ascii="Arial" w:hAnsi="Arial" w:cs="Arial"/>
            <w:noProof/>
            <w:webHidden/>
            <w:sz w:val="20"/>
            <w:szCs w:val="20"/>
          </w:rPr>
          <w:fldChar w:fldCharType="end"/>
        </w:r>
      </w:hyperlink>
    </w:p>
    <w:p w14:paraId="6417CA34" w14:textId="1FB6AC2E" w:rsidR="00BE3F4E" w:rsidRPr="00BE3F4E" w:rsidRDefault="00000000">
      <w:pPr>
        <w:pStyle w:val="TOC5"/>
        <w:tabs>
          <w:tab w:val="right" w:leader="underscore" w:pos="9016"/>
        </w:tabs>
        <w:rPr>
          <w:rFonts w:ascii="Arial" w:eastAsiaTheme="minorEastAsia" w:hAnsi="Arial" w:cs="Arial"/>
          <w:noProof/>
          <w:sz w:val="20"/>
          <w:szCs w:val="20"/>
        </w:rPr>
      </w:pPr>
      <w:hyperlink w:anchor="_Toc153137290" w:history="1">
        <w:r w:rsidR="00BE3F4E" w:rsidRPr="00BE3F4E">
          <w:rPr>
            <w:rStyle w:val="Hyperlink"/>
            <w:rFonts w:ascii="Arial" w:eastAsia="Times New Roman" w:hAnsi="Arial" w:cs="Arial"/>
            <w:noProof/>
            <w:sz w:val="20"/>
            <w:szCs w:val="20"/>
          </w:rPr>
          <w:t>AMC1 BOP.BAS.340 Life-saving and signalling equipment – Flights over water</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_Toc153137290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46</w:t>
        </w:r>
        <w:r w:rsidR="00BE3F4E" w:rsidRPr="00BE3F4E">
          <w:rPr>
            <w:rFonts w:ascii="Arial" w:hAnsi="Arial" w:cs="Arial"/>
            <w:noProof/>
            <w:webHidden/>
            <w:sz w:val="20"/>
            <w:szCs w:val="20"/>
          </w:rPr>
          <w:fldChar w:fldCharType="end"/>
        </w:r>
      </w:hyperlink>
    </w:p>
    <w:p w14:paraId="7FB51842" w14:textId="71C3A041" w:rsidR="00BE3F4E" w:rsidRPr="00BE3F4E" w:rsidRDefault="00000000">
      <w:pPr>
        <w:pStyle w:val="TOC5"/>
        <w:tabs>
          <w:tab w:val="right" w:leader="underscore" w:pos="9016"/>
        </w:tabs>
        <w:rPr>
          <w:rFonts w:ascii="Arial" w:eastAsiaTheme="minorEastAsia" w:hAnsi="Arial" w:cs="Arial"/>
          <w:noProof/>
          <w:sz w:val="20"/>
          <w:szCs w:val="20"/>
        </w:rPr>
      </w:pPr>
      <w:hyperlink w:anchor="_Toc153137291" w:history="1">
        <w:r w:rsidR="00BE3F4E" w:rsidRPr="00BE3F4E">
          <w:rPr>
            <w:rStyle w:val="Hyperlink"/>
            <w:rFonts w:ascii="Arial" w:eastAsia="Times New Roman" w:hAnsi="Arial" w:cs="Arial"/>
            <w:noProof/>
            <w:sz w:val="20"/>
            <w:szCs w:val="20"/>
          </w:rPr>
          <w:t>AMC2 BOP.BAS.340 Life-saving and signalling equipment – Flights over water</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_Toc153137291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46</w:t>
        </w:r>
        <w:r w:rsidR="00BE3F4E" w:rsidRPr="00BE3F4E">
          <w:rPr>
            <w:rFonts w:ascii="Arial" w:hAnsi="Arial" w:cs="Arial"/>
            <w:noProof/>
            <w:webHidden/>
            <w:sz w:val="20"/>
            <w:szCs w:val="20"/>
          </w:rPr>
          <w:fldChar w:fldCharType="end"/>
        </w:r>
      </w:hyperlink>
    </w:p>
    <w:p w14:paraId="6170A757" w14:textId="6E27BB6E" w:rsidR="00BE3F4E" w:rsidRPr="00BE3F4E" w:rsidRDefault="00000000">
      <w:pPr>
        <w:pStyle w:val="TOC5"/>
        <w:tabs>
          <w:tab w:val="right" w:leader="underscore" w:pos="9016"/>
        </w:tabs>
        <w:rPr>
          <w:rFonts w:ascii="Arial" w:eastAsiaTheme="minorEastAsia" w:hAnsi="Arial" w:cs="Arial"/>
          <w:noProof/>
          <w:sz w:val="20"/>
          <w:szCs w:val="20"/>
        </w:rPr>
      </w:pPr>
      <w:hyperlink w:anchor="_Toc153137292" w:history="1">
        <w:r w:rsidR="00BE3F4E" w:rsidRPr="00BE3F4E">
          <w:rPr>
            <w:rStyle w:val="Hyperlink"/>
            <w:rFonts w:ascii="Arial" w:eastAsia="Times New Roman" w:hAnsi="Arial" w:cs="Arial"/>
            <w:noProof/>
            <w:sz w:val="20"/>
            <w:szCs w:val="20"/>
          </w:rPr>
          <w:t>AMC3 BOP.BAS.340 Life-saving and signalling equipment – Flights over water</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_Toc153137292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46</w:t>
        </w:r>
        <w:r w:rsidR="00BE3F4E" w:rsidRPr="00BE3F4E">
          <w:rPr>
            <w:rFonts w:ascii="Arial" w:hAnsi="Arial" w:cs="Arial"/>
            <w:noProof/>
            <w:webHidden/>
            <w:sz w:val="20"/>
            <w:szCs w:val="20"/>
          </w:rPr>
          <w:fldChar w:fldCharType="end"/>
        </w:r>
      </w:hyperlink>
    </w:p>
    <w:p w14:paraId="39D0AF1D" w14:textId="2D357336" w:rsidR="00BE3F4E" w:rsidRPr="00BE3F4E" w:rsidRDefault="00000000">
      <w:pPr>
        <w:pStyle w:val="TOC5"/>
        <w:tabs>
          <w:tab w:val="right" w:leader="underscore" w:pos="9016"/>
        </w:tabs>
        <w:rPr>
          <w:rFonts w:ascii="Arial" w:eastAsiaTheme="minorEastAsia" w:hAnsi="Arial" w:cs="Arial"/>
          <w:noProof/>
          <w:sz w:val="20"/>
          <w:szCs w:val="20"/>
        </w:rPr>
      </w:pPr>
      <w:hyperlink w:anchor="_Toc153137293" w:history="1">
        <w:r w:rsidR="00BE3F4E" w:rsidRPr="00BE3F4E">
          <w:rPr>
            <w:rStyle w:val="Hyperlink"/>
            <w:rFonts w:ascii="Arial" w:eastAsia="Times New Roman" w:hAnsi="Arial" w:cs="Arial"/>
            <w:noProof/>
            <w:sz w:val="20"/>
            <w:szCs w:val="20"/>
          </w:rPr>
          <w:t>AMC4 BOP.BAS.340 Life-saving and signalling equipment – Flights over water</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_Toc153137293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46</w:t>
        </w:r>
        <w:r w:rsidR="00BE3F4E" w:rsidRPr="00BE3F4E">
          <w:rPr>
            <w:rFonts w:ascii="Arial" w:hAnsi="Arial" w:cs="Arial"/>
            <w:noProof/>
            <w:webHidden/>
            <w:sz w:val="20"/>
            <w:szCs w:val="20"/>
          </w:rPr>
          <w:fldChar w:fldCharType="end"/>
        </w:r>
      </w:hyperlink>
    </w:p>
    <w:p w14:paraId="15DAC4B4" w14:textId="4E97DB19" w:rsidR="00BE3F4E" w:rsidRPr="00BE3F4E" w:rsidRDefault="00000000">
      <w:pPr>
        <w:pStyle w:val="TOC5"/>
        <w:tabs>
          <w:tab w:val="right" w:leader="underscore" w:pos="9016"/>
        </w:tabs>
        <w:rPr>
          <w:rFonts w:ascii="Arial" w:eastAsiaTheme="minorEastAsia" w:hAnsi="Arial" w:cs="Arial"/>
          <w:noProof/>
          <w:sz w:val="20"/>
          <w:szCs w:val="20"/>
        </w:rPr>
      </w:pPr>
      <w:hyperlink w:anchor="_Toc153137294" w:history="1">
        <w:r w:rsidR="00BE3F4E" w:rsidRPr="00BE3F4E">
          <w:rPr>
            <w:rStyle w:val="Hyperlink"/>
            <w:rFonts w:ascii="Arial" w:eastAsia="Times New Roman" w:hAnsi="Arial" w:cs="Arial"/>
            <w:noProof/>
            <w:sz w:val="20"/>
            <w:szCs w:val="20"/>
          </w:rPr>
          <w:t>GM1 BOP.BAS.340 Life-saving and signalling equipment – Flights over water</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_Toc153137294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46</w:t>
        </w:r>
        <w:r w:rsidR="00BE3F4E" w:rsidRPr="00BE3F4E">
          <w:rPr>
            <w:rFonts w:ascii="Arial" w:hAnsi="Arial" w:cs="Arial"/>
            <w:noProof/>
            <w:webHidden/>
            <w:sz w:val="20"/>
            <w:szCs w:val="20"/>
          </w:rPr>
          <w:fldChar w:fldCharType="end"/>
        </w:r>
      </w:hyperlink>
    </w:p>
    <w:p w14:paraId="04B8E6B7" w14:textId="20017FC4" w:rsidR="00BE3F4E" w:rsidRPr="00BE3F4E" w:rsidRDefault="00000000">
      <w:pPr>
        <w:pStyle w:val="TOC4"/>
        <w:tabs>
          <w:tab w:val="right" w:leader="underscore" w:pos="9016"/>
        </w:tabs>
        <w:rPr>
          <w:rFonts w:ascii="Arial" w:eastAsiaTheme="minorEastAsia" w:hAnsi="Arial" w:cs="Arial"/>
          <w:noProof/>
          <w:sz w:val="20"/>
          <w:szCs w:val="20"/>
        </w:rPr>
      </w:pPr>
      <w:hyperlink w:anchor="_Toc153137295" w:history="1">
        <w:r w:rsidR="00BE3F4E" w:rsidRPr="00BE3F4E">
          <w:rPr>
            <w:rStyle w:val="Hyperlink"/>
            <w:rFonts w:ascii="Arial" w:eastAsia="Times New Roman" w:hAnsi="Arial" w:cs="Arial"/>
            <w:iCs/>
            <w:noProof/>
            <w:sz w:val="20"/>
            <w:szCs w:val="20"/>
          </w:rPr>
          <w:t>BOP.BAS.345 Life-saving and signalling equipment – Search and rescue difficulties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_Toc153137295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47</w:t>
        </w:r>
        <w:r w:rsidR="00BE3F4E" w:rsidRPr="00BE3F4E">
          <w:rPr>
            <w:rFonts w:ascii="Arial" w:hAnsi="Arial" w:cs="Arial"/>
            <w:noProof/>
            <w:webHidden/>
            <w:sz w:val="20"/>
            <w:szCs w:val="20"/>
          </w:rPr>
          <w:fldChar w:fldCharType="end"/>
        </w:r>
      </w:hyperlink>
    </w:p>
    <w:p w14:paraId="4477AC3C" w14:textId="39FBECFB" w:rsidR="00BE3F4E" w:rsidRPr="00BE3F4E" w:rsidRDefault="00000000">
      <w:pPr>
        <w:pStyle w:val="TOC5"/>
        <w:tabs>
          <w:tab w:val="right" w:leader="underscore" w:pos="9016"/>
        </w:tabs>
        <w:rPr>
          <w:rFonts w:ascii="Arial" w:eastAsiaTheme="minorEastAsia" w:hAnsi="Arial" w:cs="Arial"/>
          <w:noProof/>
          <w:sz w:val="20"/>
          <w:szCs w:val="20"/>
        </w:rPr>
      </w:pPr>
      <w:hyperlink w:anchor="_Toc153137296" w:history="1">
        <w:r w:rsidR="00BE3F4E" w:rsidRPr="00BE3F4E">
          <w:rPr>
            <w:rStyle w:val="Hyperlink"/>
            <w:rFonts w:ascii="Arial" w:eastAsia="Times New Roman" w:hAnsi="Arial" w:cs="Arial"/>
            <w:noProof/>
            <w:sz w:val="20"/>
            <w:szCs w:val="20"/>
          </w:rPr>
          <w:t>AMC1 BOP.BAS.345 Life-saving and signalling equipment – Search and rescue difficulties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_Toc153137296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47</w:t>
        </w:r>
        <w:r w:rsidR="00BE3F4E" w:rsidRPr="00BE3F4E">
          <w:rPr>
            <w:rFonts w:ascii="Arial" w:hAnsi="Arial" w:cs="Arial"/>
            <w:noProof/>
            <w:webHidden/>
            <w:sz w:val="20"/>
            <w:szCs w:val="20"/>
          </w:rPr>
          <w:fldChar w:fldCharType="end"/>
        </w:r>
      </w:hyperlink>
    </w:p>
    <w:p w14:paraId="3E1744A7" w14:textId="1082D0F6" w:rsidR="00BE3F4E" w:rsidRPr="00BE3F4E" w:rsidRDefault="00000000">
      <w:pPr>
        <w:pStyle w:val="TOC5"/>
        <w:tabs>
          <w:tab w:val="right" w:leader="underscore" w:pos="9016"/>
        </w:tabs>
        <w:rPr>
          <w:rFonts w:ascii="Arial" w:eastAsiaTheme="minorEastAsia" w:hAnsi="Arial" w:cs="Arial"/>
          <w:noProof/>
          <w:sz w:val="20"/>
          <w:szCs w:val="20"/>
        </w:rPr>
      </w:pPr>
      <w:hyperlink w:anchor="_Toc153137297" w:history="1">
        <w:r w:rsidR="00BE3F4E" w:rsidRPr="00BE3F4E">
          <w:rPr>
            <w:rStyle w:val="Hyperlink"/>
            <w:rFonts w:ascii="Arial" w:eastAsia="Times New Roman" w:hAnsi="Arial" w:cs="Arial"/>
            <w:noProof/>
            <w:sz w:val="20"/>
            <w:szCs w:val="20"/>
          </w:rPr>
          <w:t>AMC2 BOP.BAS.345 Life-saving and signalling equipment – Search and rescue difficulties</w:t>
        </w:r>
        <w:r w:rsidR="00BE3F4E" w:rsidRPr="00BE3F4E">
          <w:rPr>
            <w:rFonts w:ascii="Arial" w:hAnsi="Arial" w:cs="Arial"/>
            <w:noProof/>
            <w:webHidden/>
            <w:sz w:val="20"/>
            <w:szCs w:val="20"/>
          </w:rPr>
          <w:lastRenderedPageBreak/>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_Toc153137297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47</w:t>
        </w:r>
        <w:r w:rsidR="00BE3F4E" w:rsidRPr="00BE3F4E">
          <w:rPr>
            <w:rFonts w:ascii="Arial" w:hAnsi="Arial" w:cs="Arial"/>
            <w:noProof/>
            <w:webHidden/>
            <w:sz w:val="20"/>
            <w:szCs w:val="20"/>
          </w:rPr>
          <w:fldChar w:fldCharType="end"/>
        </w:r>
      </w:hyperlink>
    </w:p>
    <w:p w14:paraId="1DB17FC1" w14:textId="11FC0E55" w:rsidR="00BE3F4E" w:rsidRPr="00BE3F4E" w:rsidRDefault="00000000">
      <w:pPr>
        <w:pStyle w:val="TOC5"/>
        <w:tabs>
          <w:tab w:val="right" w:leader="underscore" w:pos="9016"/>
        </w:tabs>
        <w:rPr>
          <w:rFonts w:ascii="Arial" w:eastAsiaTheme="minorEastAsia" w:hAnsi="Arial" w:cs="Arial"/>
          <w:noProof/>
          <w:sz w:val="20"/>
          <w:szCs w:val="20"/>
        </w:rPr>
      </w:pPr>
      <w:hyperlink w:anchor="_Toc153137298" w:history="1">
        <w:r w:rsidR="00BE3F4E" w:rsidRPr="00BE3F4E">
          <w:rPr>
            <w:rStyle w:val="Hyperlink"/>
            <w:rFonts w:ascii="Arial" w:eastAsia="Times New Roman" w:hAnsi="Arial" w:cs="Arial"/>
            <w:noProof/>
            <w:sz w:val="20"/>
            <w:szCs w:val="20"/>
          </w:rPr>
          <w:t>GM1 BOP.BAS.345 Life-saving and signalling equipment – Search and rescue difficulties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_Toc153137298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47</w:t>
        </w:r>
        <w:r w:rsidR="00BE3F4E" w:rsidRPr="00BE3F4E">
          <w:rPr>
            <w:rFonts w:ascii="Arial" w:hAnsi="Arial" w:cs="Arial"/>
            <w:noProof/>
            <w:webHidden/>
            <w:sz w:val="20"/>
            <w:szCs w:val="20"/>
          </w:rPr>
          <w:fldChar w:fldCharType="end"/>
        </w:r>
      </w:hyperlink>
    </w:p>
    <w:p w14:paraId="3D7ED4B9" w14:textId="63FE02A8" w:rsidR="00BE3F4E" w:rsidRPr="00BE3F4E" w:rsidRDefault="00000000">
      <w:pPr>
        <w:pStyle w:val="TOC5"/>
        <w:tabs>
          <w:tab w:val="right" w:leader="underscore" w:pos="9016"/>
        </w:tabs>
        <w:rPr>
          <w:rFonts w:ascii="Arial" w:eastAsiaTheme="minorEastAsia" w:hAnsi="Arial" w:cs="Arial"/>
          <w:noProof/>
          <w:sz w:val="20"/>
          <w:szCs w:val="20"/>
        </w:rPr>
      </w:pPr>
      <w:hyperlink w:anchor="_Toc153137299" w:history="1">
        <w:r w:rsidR="00BE3F4E" w:rsidRPr="00BE3F4E">
          <w:rPr>
            <w:rStyle w:val="Hyperlink"/>
            <w:rFonts w:ascii="Arial" w:eastAsia="Times New Roman" w:hAnsi="Arial" w:cs="Arial"/>
            <w:noProof/>
            <w:sz w:val="20"/>
            <w:szCs w:val="20"/>
          </w:rPr>
          <w:t>GM2 BOP.BAS.345 Life-saving and signalling equipment – Search and rescue difficulties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_Toc153137299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47</w:t>
        </w:r>
        <w:r w:rsidR="00BE3F4E" w:rsidRPr="00BE3F4E">
          <w:rPr>
            <w:rFonts w:ascii="Arial" w:hAnsi="Arial" w:cs="Arial"/>
            <w:noProof/>
            <w:webHidden/>
            <w:sz w:val="20"/>
            <w:szCs w:val="20"/>
          </w:rPr>
          <w:fldChar w:fldCharType="end"/>
        </w:r>
      </w:hyperlink>
    </w:p>
    <w:p w14:paraId="45B38D3B" w14:textId="26CBA5AA" w:rsidR="00BE3F4E" w:rsidRPr="00BE3F4E" w:rsidRDefault="00000000">
      <w:pPr>
        <w:pStyle w:val="TOC4"/>
        <w:tabs>
          <w:tab w:val="right" w:leader="underscore" w:pos="9016"/>
        </w:tabs>
        <w:rPr>
          <w:rFonts w:ascii="Arial" w:eastAsiaTheme="minorEastAsia" w:hAnsi="Arial" w:cs="Arial"/>
          <w:noProof/>
          <w:sz w:val="20"/>
          <w:szCs w:val="20"/>
        </w:rPr>
      </w:pPr>
      <w:hyperlink w:anchor="_Toc153137300" w:history="1">
        <w:r w:rsidR="00BE3F4E" w:rsidRPr="00BE3F4E">
          <w:rPr>
            <w:rStyle w:val="Hyperlink"/>
            <w:rFonts w:ascii="Arial" w:eastAsia="Times New Roman" w:hAnsi="Arial" w:cs="Arial"/>
            <w:iCs/>
            <w:noProof/>
            <w:sz w:val="20"/>
            <w:szCs w:val="20"/>
          </w:rPr>
          <w:t>BOP.BAS.350 Miscellaneous equipment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_Toc153137300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47</w:t>
        </w:r>
        <w:r w:rsidR="00BE3F4E" w:rsidRPr="00BE3F4E">
          <w:rPr>
            <w:rFonts w:ascii="Arial" w:hAnsi="Arial" w:cs="Arial"/>
            <w:noProof/>
            <w:webHidden/>
            <w:sz w:val="20"/>
            <w:szCs w:val="20"/>
          </w:rPr>
          <w:fldChar w:fldCharType="end"/>
        </w:r>
      </w:hyperlink>
    </w:p>
    <w:p w14:paraId="143DE9FA" w14:textId="1153FC0D" w:rsidR="00BE3F4E" w:rsidRPr="00BE3F4E" w:rsidRDefault="00000000">
      <w:pPr>
        <w:pStyle w:val="TOC5"/>
        <w:tabs>
          <w:tab w:val="right" w:leader="underscore" w:pos="9016"/>
        </w:tabs>
        <w:rPr>
          <w:rFonts w:ascii="Arial" w:eastAsiaTheme="minorEastAsia" w:hAnsi="Arial" w:cs="Arial"/>
          <w:noProof/>
          <w:sz w:val="20"/>
          <w:szCs w:val="20"/>
        </w:rPr>
      </w:pPr>
      <w:hyperlink w:anchor="_Toc153137301" w:history="1">
        <w:r w:rsidR="00BE3F4E" w:rsidRPr="00BE3F4E">
          <w:rPr>
            <w:rStyle w:val="Hyperlink"/>
            <w:rFonts w:ascii="Arial" w:eastAsia="Times New Roman" w:hAnsi="Arial" w:cs="Arial"/>
            <w:noProof/>
            <w:sz w:val="20"/>
            <w:szCs w:val="20"/>
          </w:rPr>
          <w:t>AMC1 BOP.BAS.350(b)(3) Miscellaneous equipment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_Toc153137301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48</w:t>
        </w:r>
        <w:r w:rsidR="00BE3F4E" w:rsidRPr="00BE3F4E">
          <w:rPr>
            <w:rFonts w:ascii="Arial" w:hAnsi="Arial" w:cs="Arial"/>
            <w:noProof/>
            <w:webHidden/>
            <w:sz w:val="20"/>
            <w:szCs w:val="20"/>
          </w:rPr>
          <w:fldChar w:fldCharType="end"/>
        </w:r>
      </w:hyperlink>
    </w:p>
    <w:p w14:paraId="2645D19F" w14:textId="3DBC8C8B" w:rsidR="00BE3F4E" w:rsidRPr="00BE3F4E" w:rsidRDefault="00000000">
      <w:pPr>
        <w:pStyle w:val="TOC5"/>
        <w:tabs>
          <w:tab w:val="right" w:leader="underscore" w:pos="9016"/>
        </w:tabs>
        <w:rPr>
          <w:rFonts w:ascii="Arial" w:eastAsiaTheme="minorEastAsia" w:hAnsi="Arial" w:cs="Arial"/>
          <w:noProof/>
          <w:sz w:val="20"/>
          <w:szCs w:val="20"/>
        </w:rPr>
      </w:pPr>
      <w:hyperlink w:anchor="_Toc153137302" w:history="1">
        <w:r w:rsidR="00BE3F4E" w:rsidRPr="00BE3F4E">
          <w:rPr>
            <w:rStyle w:val="Hyperlink"/>
            <w:rFonts w:ascii="Arial" w:eastAsia="Times New Roman" w:hAnsi="Arial" w:cs="Arial"/>
            <w:noProof/>
            <w:sz w:val="20"/>
            <w:szCs w:val="20"/>
          </w:rPr>
          <w:t>AMC1 BOP.BAS.350(c)(1) Miscellaneous equipment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_Toc153137302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48</w:t>
        </w:r>
        <w:r w:rsidR="00BE3F4E" w:rsidRPr="00BE3F4E">
          <w:rPr>
            <w:rFonts w:ascii="Arial" w:hAnsi="Arial" w:cs="Arial"/>
            <w:noProof/>
            <w:webHidden/>
            <w:sz w:val="20"/>
            <w:szCs w:val="20"/>
          </w:rPr>
          <w:fldChar w:fldCharType="end"/>
        </w:r>
      </w:hyperlink>
    </w:p>
    <w:p w14:paraId="5F878445" w14:textId="149BAD6B" w:rsidR="00BE3F4E" w:rsidRPr="00BE3F4E" w:rsidRDefault="00000000">
      <w:pPr>
        <w:pStyle w:val="TOC4"/>
        <w:tabs>
          <w:tab w:val="right" w:leader="underscore" w:pos="9016"/>
        </w:tabs>
        <w:rPr>
          <w:rFonts w:ascii="Arial" w:eastAsiaTheme="minorEastAsia" w:hAnsi="Arial" w:cs="Arial"/>
          <w:noProof/>
          <w:sz w:val="20"/>
          <w:szCs w:val="20"/>
        </w:rPr>
      </w:pPr>
      <w:hyperlink w:anchor="_Toc153137303" w:history="1">
        <w:r w:rsidR="00BE3F4E" w:rsidRPr="00BE3F4E">
          <w:rPr>
            <w:rStyle w:val="Hyperlink"/>
            <w:rFonts w:ascii="Arial" w:eastAsia="Times New Roman" w:hAnsi="Arial" w:cs="Arial"/>
            <w:iCs/>
            <w:noProof/>
            <w:sz w:val="20"/>
            <w:szCs w:val="20"/>
          </w:rPr>
          <w:t>BOP.BAS.355 Radio communication equipment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_Toc153137303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48</w:t>
        </w:r>
        <w:r w:rsidR="00BE3F4E" w:rsidRPr="00BE3F4E">
          <w:rPr>
            <w:rFonts w:ascii="Arial" w:hAnsi="Arial" w:cs="Arial"/>
            <w:noProof/>
            <w:webHidden/>
            <w:sz w:val="20"/>
            <w:szCs w:val="20"/>
          </w:rPr>
          <w:fldChar w:fldCharType="end"/>
        </w:r>
      </w:hyperlink>
    </w:p>
    <w:p w14:paraId="6CEA3E27" w14:textId="6C4E9BFF" w:rsidR="00BE3F4E" w:rsidRPr="00BE3F4E" w:rsidRDefault="00000000">
      <w:pPr>
        <w:pStyle w:val="TOC5"/>
        <w:tabs>
          <w:tab w:val="right" w:leader="underscore" w:pos="9016"/>
        </w:tabs>
        <w:rPr>
          <w:rFonts w:ascii="Arial" w:eastAsiaTheme="minorEastAsia" w:hAnsi="Arial" w:cs="Arial"/>
          <w:noProof/>
          <w:sz w:val="20"/>
          <w:szCs w:val="20"/>
        </w:rPr>
      </w:pPr>
      <w:hyperlink w:anchor="_Toc153137304" w:history="1">
        <w:r w:rsidR="00BE3F4E" w:rsidRPr="00BE3F4E">
          <w:rPr>
            <w:rStyle w:val="Hyperlink"/>
            <w:rFonts w:ascii="Arial" w:eastAsia="Times New Roman" w:hAnsi="Arial" w:cs="Arial"/>
            <w:noProof/>
            <w:sz w:val="20"/>
            <w:szCs w:val="20"/>
          </w:rPr>
          <w:t>GM1 BOP.BAS.355 Radio communication equipment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_Toc153137304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48</w:t>
        </w:r>
        <w:r w:rsidR="00BE3F4E" w:rsidRPr="00BE3F4E">
          <w:rPr>
            <w:rFonts w:ascii="Arial" w:hAnsi="Arial" w:cs="Arial"/>
            <w:noProof/>
            <w:webHidden/>
            <w:sz w:val="20"/>
            <w:szCs w:val="20"/>
          </w:rPr>
          <w:fldChar w:fldCharType="end"/>
        </w:r>
      </w:hyperlink>
    </w:p>
    <w:p w14:paraId="715F5E5E" w14:textId="4BADB4FA" w:rsidR="00BE3F4E" w:rsidRPr="00BE3F4E" w:rsidRDefault="00000000">
      <w:pPr>
        <w:pStyle w:val="TOC4"/>
        <w:tabs>
          <w:tab w:val="right" w:leader="underscore" w:pos="9016"/>
        </w:tabs>
        <w:rPr>
          <w:rFonts w:ascii="Arial" w:eastAsiaTheme="minorEastAsia" w:hAnsi="Arial" w:cs="Arial"/>
          <w:noProof/>
          <w:sz w:val="20"/>
          <w:szCs w:val="20"/>
        </w:rPr>
      </w:pPr>
      <w:hyperlink w:anchor="_Toc153137305" w:history="1">
        <w:r w:rsidR="00BE3F4E" w:rsidRPr="00BE3F4E">
          <w:rPr>
            <w:rStyle w:val="Hyperlink"/>
            <w:rFonts w:ascii="Arial" w:eastAsia="Times New Roman" w:hAnsi="Arial" w:cs="Arial"/>
            <w:iCs/>
            <w:noProof/>
            <w:sz w:val="20"/>
            <w:szCs w:val="20"/>
          </w:rPr>
          <w:t>BOP.BAS.360 Transponder</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_Toc153137305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48</w:t>
        </w:r>
        <w:r w:rsidR="00BE3F4E" w:rsidRPr="00BE3F4E">
          <w:rPr>
            <w:rFonts w:ascii="Arial" w:hAnsi="Arial" w:cs="Arial"/>
            <w:noProof/>
            <w:webHidden/>
            <w:sz w:val="20"/>
            <w:szCs w:val="20"/>
          </w:rPr>
          <w:fldChar w:fldCharType="end"/>
        </w:r>
      </w:hyperlink>
    </w:p>
    <w:p w14:paraId="72B43441" w14:textId="68D2F1BB" w:rsidR="00BE3F4E" w:rsidRPr="00BE3F4E" w:rsidRDefault="00000000">
      <w:pPr>
        <w:pStyle w:val="TOC5"/>
        <w:tabs>
          <w:tab w:val="right" w:leader="underscore" w:pos="9016"/>
        </w:tabs>
        <w:rPr>
          <w:rFonts w:ascii="Arial" w:eastAsiaTheme="minorEastAsia" w:hAnsi="Arial" w:cs="Arial"/>
          <w:noProof/>
          <w:sz w:val="20"/>
          <w:szCs w:val="20"/>
        </w:rPr>
      </w:pPr>
      <w:hyperlink w:anchor="_Toc153137306" w:history="1">
        <w:r w:rsidR="00BE3F4E" w:rsidRPr="00BE3F4E">
          <w:rPr>
            <w:rStyle w:val="Hyperlink"/>
            <w:rFonts w:ascii="Arial" w:eastAsia="Times New Roman" w:hAnsi="Arial" w:cs="Arial"/>
            <w:noProof/>
            <w:sz w:val="20"/>
            <w:szCs w:val="20"/>
          </w:rPr>
          <w:t>AMC1 BOP.BAS.360 Transponder</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_Toc153137306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48</w:t>
        </w:r>
        <w:r w:rsidR="00BE3F4E" w:rsidRPr="00BE3F4E">
          <w:rPr>
            <w:rFonts w:ascii="Arial" w:hAnsi="Arial" w:cs="Arial"/>
            <w:noProof/>
            <w:webHidden/>
            <w:sz w:val="20"/>
            <w:szCs w:val="20"/>
          </w:rPr>
          <w:fldChar w:fldCharType="end"/>
        </w:r>
      </w:hyperlink>
    </w:p>
    <w:p w14:paraId="0645A86A" w14:textId="63BACD50" w:rsidR="00BE3F4E" w:rsidRPr="00BE3F4E" w:rsidRDefault="00000000">
      <w:pPr>
        <w:pStyle w:val="TOC3"/>
        <w:tabs>
          <w:tab w:val="right" w:leader="underscore" w:pos="9016"/>
        </w:tabs>
        <w:rPr>
          <w:rFonts w:ascii="Arial" w:eastAsiaTheme="minorEastAsia" w:hAnsi="Arial" w:cs="Arial"/>
          <w:b w:val="0"/>
          <w:bCs w:val="0"/>
          <w:noProof/>
          <w:sz w:val="20"/>
          <w:szCs w:val="20"/>
        </w:rPr>
      </w:pPr>
      <w:hyperlink w:anchor="_Toc153137307" w:history="1">
        <w:r w:rsidR="00BE3F4E" w:rsidRPr="00BE3F4E">
          <w:rPr>
            <w:rStyle w:val="Hyperlink"/>
            <w:rFonts w:ascii="Arial" w:eastAsiaTheme="majorEastAsia" w:hAnsi="Arial" w:cs="Arial"/>
            <w:b w:val="0"/>
            <w:bCs w:val="0"/>
            <w:noProof/>
            <w:sz w:val="20"/>
            <w:szCs w:val="20"/>
          </w:rPr>
          <w:t>SUBPART ADD — ADDITIONAL REQUIREMENTS FOR COMMERCIAL OPERATIONS</w:t>
        </w:r>
        <w:r w:rsidR="00BE3F4E" w:rsidRPr="00BE3F4E">
          <w:rPr>
            <w:rFonts w:ascii="Arial" w:hAnsi="Arial" w:cs="Arial"/>
            <w:b w:val="0"/>
            <w:bCs w:val="0"/>
            <w:noProof/>
            <w:webHidden/>
            <w:sz w:val="20"/>
            <w:szCs w:val="20"/>
          </w:rPr>
          <w:tab/>
        </w:r>
        <w:r w:rsidR="00BE3F4E" w:rsidRPr="00BE3F4E">
          <w:rPr>
            <w:rFonts w:ascii="Arial" w:hAnsi="Arial" w:cs="Arial"/>
            <w:b w:val="0"/>
            <w:bCs w:val="0"/>
            <w:noProof/>
            <w:webHidden/>
            <w:sz w:val="20"/>
            <w:szCs w:val="20"/>
          </w:rPr>
          <w:fldChar w:fldCharType="begin"/>
        </w:r>
        <w:r w:rsidR="00BE3F4E" w:rsidRPr="00BE3F4E">
          <w:rPr>
            <w:rFonts w:ascii="Arial" w:hAnsi="Arial" w:cs="Arial"/>
            <w:b w:val="0"/>
            <w:bCs w:val="0"/>
            <w:noProof/>
            <w:webHidden/>
            <w:sz w:val="20"/>
            <w:szCs w:val="20"/>
          </w:rPr>
          <w:instrText xml:space="preserve"> PAGEREF _Toc153137307 \h </w:instrText>
        </w:r>
        <w:r w:rsidR="00BE3F4E" w:rsidRPr="00BE3F4E">
          <w:rPr>
            <w:rFonts w:ascii="Arial" w:hAnsi="Arial" w:cs="Arial"/>
            <w:b w:val="0"/>
            <w:bCs w:val="0"/>
            <w:noProof/>
            <w:webHidden/>
            <w:sz w:val="20"/>
            <w:szCs w:val="20"/>
          </w:rPr>
        </w:r>
        <w:r w:rsidR="00BE3F4E" w:rsidRPr="00BE3F4E">
          <w:rPr>
            <w:rFonts w:ascii="Arial" w:hAnsi="Arial" w:cs="Arial"/>
            <w:b w:val="0"/>
            <w:bCs w:val="0"/>
            <w:noProof/>
            <w:webHidden/>
            <w:sz w:val="20"/>
            <w:szCs w:val="20"/>
          </w:rPr>
          <w:fldChar w:fldCharType="separate"/>
        </w:r>
        <w:r w:rsidR="006A7538">
          <w:rPr>
            <w:rFonts w:ascii="Arial" w:hAnsi="Arial" w:cs="Arial"/>
            <w:b w:val="0"/>
            <w:bCs w:val="0"/>
            <w:noProof/>
            <w:webHidden/>
            <w:sz w:val="20"/>
            <w:szCs w:val="20"/>
          </w:rPr>
          <w:t>49</w:t>
        </w:r>
        <w:r w:rsidR="00BE3F4E" w:rsidRPr="00BE3F4E">
          <w:rPr>
            <w:rFonts w:ascii="Arial" w:hAnsi="Arial" w:cs="Arial"/>
            <w:b w:val="0"/>
            <w:bCs w:val="0"/>
            <w:noProof/>
            <w:webHidden/>
            <w:sz w:val="20"/>
            <w:szCs w:val="20"/>
          </w:rPr>
          <w:fldChar w:fldCharType="end"/>
        </w:r>
      </w:hyperlink>
    </w:p>
    <w:p w14:paraId="395A954B" w14:textId="5180AE9A" w:rsidR="00BE3F4E" w:rsidRPr="00BE3F4E" w:rsidRDefault="00000000">
      <w:pPr>
        <w:pStyle w:val="TOC4"/>
        <w:tabs>
          <w:tab w:val="right" w:leader="underscore" w:pos="9016"/>
        </w:tabs>
        <w:rPr>
          <w:rFonts w:ascii="Arial" w:eastAsiaTheme="minorEastAsia" w:hAnsi="Arial" w:cs="Arial"/>
          <w:noProof/>
          <w:sz w:val="20"/>
          <w:szCs w:val="20"/>
        </w:rPr>
      </w:pPr>
      <w:hyperlink w:anchor="_Toc153137308" w:history="1">
        <w:r w:rsidR="00BE3F4E" w:rsidRPr="00BE3F4E">
          <w:rPr>
            <w:rStyle w:val="Hyperlink"/>
            <w:rFonts w:ascii="Arial" w:eastAsiaTheme="majorEastAsia" w:hAnsi="Arial" w:cs="Arial"/>
            <w:iCs/>
            <w:noProof/>
            <w:sz w:val="20"/>
            <w:szCs w:val="20"/>
          </w:rPr>
          <w:t>SECTION 1 – GENERAL ORGANISATION REQUIREMENTS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_Toc153137308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49</w:t>
        </w:r>
        <w:r w:rsidR="00BE3F4E" w:rsidRPr="00BE3F4E">
          <w:rPr>
            <w:rFonts w:ascii="Arial" w:hAnsi="Arial" w:cs="Arial"/>
            <w:noProof/>
            <w:webHidden/>
            <w:sz w:val="20"/>
            <w:szCs w:val="20"/>
          </w:rPr>
          <w:fldChar w:fldCharType="end"/>
        </w:r>
      </w:hyperlink>
    </w:p>
    <w:p w14:paraId="631E2D38" w14:textId="1BC534A0" w:rsidR="00BE3F4E" w:rsidRPr="00BE3F4E" w:rsidRDefault="00000000">
      <w:pPr>
        <w:pStyle w:val="TOC4"/>
        <w:tabs>
          <w:tab w:val="right" w:leader="underscore" w:pos="9016"/>
        </w:tabs>
        <w:rPr>
          <w:rFonts w:ascii="Arial" w:eastAsiaTheme="minorEastAsia" w:hAnsi="Arial" w:cs="Arial"/>
          <w:noProof/>
          <w:sz w:val="20"/>
          <w:szCs w:val="20"/>
        </w:rPr>
      </w:pPr>
      <w:hyperlink w:anchor="_Toc153137309" w:history="1">
        <w:r w:rsidR="00BE3F4E" w:rsidRPr="00BE3F4E">
          <w:rPr>
            <w:rStyle w:val="Hyperlink"/>
            <w:rFonts w:ascii="Arial" w:eastAsia="Times New Roman" w:hAnsi="Arial" w:cs="Arial"/>
            <w:iCs/>
            <w:noProof/>
            <w:sz w:val="20"/>
            <w:szCs w:val="20"/>
          </w:rPr>
          <w:t>BOP.ADD.001 Scope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_Toc153137309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49</w:t>
        </w:r>
        <w:r w:rsidR="00BE3F4E" w:rsidRPr="00BE3F4E">
          <w:rPr>
            <w:rFonts w:ascii="Arial" w:hAnsi="Arial" w:cs="Arial"/>
            <w:noProof/>
            <w:webHidden/>
            <w:sz w:val="20"/>
            <w:szCs w:val="20"/>
          </w:rPr>
          <w:fldChar w:fldCharType="end"/>
        </w:r>
      </w:hyperlink>
    </w:p>
    <w:p w14:paraId="17B9A86B" w14:textId="1E91A240" w:rsidR="00BE3F4E" w:rsidRPr="00BE3F4E" w:rsidRDefault="00000000">
      <w:pPr>
        <w:pStyle w:val="TOC4"/>
        <w:tabs>
          <w:tab w:val="right" w:leader="underscore" w:pos="9016"/>
        </w:tabs>
        <w:rPr>
          <w:rFonts w:ascii="Arial" w:eastAsiaTheme="minorEastAsia" w:hAnsi="Arial" w:cs="Arial"/>
          <w:noProof/>
          <w:sz w:val="20"/>
          <w:szCs w:val="20"/>
        </w:rPr>
      </w:pPr>
      <w:hyperlink w:anchor="_Toc153137310" w:history="1">
        <w:r w:rsidR="00BE3F4E" w:rsidRPr="00BE3F4E">
          <w:rPr>
            <w:rStyle w:val="Hyperlink"/>
            <w:rFonts w:ascii="Arial" w:eastAsia="Times New Roman" w:hAnsi="Arial" w:cs="Arial"/>
            <w:iCs/>
            <w:noProof/>
            <w:sz w:val="20"/>
            <w:szCs w:val="20"/>
          </w:rPr>
          <w:t>BOP.ADD.005 Responsibilities of the operator</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_Toc153137310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49</w:t>
        </w:r>
        <w:r w:rsidR="00BE3F4E" w:rsidRPr="00BE3F4E">
          <w:rPr>
            <w:rFonts w:ascii="Arial" w:hAnsi="Arial" w:cs="Arial"/>
            <w:noProof/>
            <w:webHidden/>
            <w:sz w:val="20"/>
            <w:szCs w:val="20"/>
          </w:rPr>
          <w:fldChar w:fldCharType="end"/>
        </w:r>
      </w:hyperlink>
    </w:p>
    <w:p w14:paraId="487EDA00" w14:textId="28DB8F72" w:rsidR="00BE3F4E" w:rsidRPr="00BE3F4E" w:rsidRDefault="00000000">
      <w:pPr>
        <w:pStyle w:val="TOC4"/>
        <w:tabs>
          <w:tab w:val="right" w:leader="underscore" w:pos="9016"/>
        </w:tabs>
        <w:rPr>
          <w:rFonts w:ascii="Arial" w:eastAsiaTheme="minorEastAsia" w:hAnsi="Arial" w:cs="Arial"/>
          <w:noProof/>
          <w:sz w:val="20"/>
          <w:szCs w:val="20"/>
        </w:rPr>
      </w:pPr>
      <w:hyperlink w:anchor="_Toc153137311" w:history="1">
        <w:r w:rsidR="00BE3F4E" w:rsidRPr="00BE3F4E">
          <w:rPr>
            <w:rStyle w:val="Hyperlink"/>
            <w:rFonts w:ascii="Arial" w:eastAsia="Times New Roman" w:hAnsi="Arial" w:cs="Arial"/>
            <w:iCs/>
            <w:noProof/>
            <w:sz w:val="20"/>
            <w:szCs w:val="20"/>
          </w:rPr>
          <w:t>BOP.ADD.010 Notification of alternative means of compliance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_Toc153137311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49</w:t>
        </w:r>
        <w:r w:rsidR="00BE3F4E" w:rsidRPr="00BE3F4E">
          <w:rPr>
            <w:rFonts w:ascii="Arial" w:hAnsi="Arial" w:cs="Arial"/>
            <w:noProof/>
            <w:webHidden/>
            <w:sz w:val="20"/>
            <w:szCs w:val="20"/>
          </w:rPr>
          <w:fldChar w:fldCharType="end"/>
        </w:r>
      </w:hyperlink>
    </w:p>
    <w:p w14:paraId="457E16A1" w14:textId="40619796" w:rsidR="00BE3F4E" w:rsidRPr="00BE3F4E" w:rsidRDefault="00000000">
      <w:pPr>
        <w:pStyle w:val="TOC5"/>
        <w:tabs>
          <w:tab w:val="right" w:leader="underscore" w:pos="9016"/>
        </w:tabs>
        <w:rPr>
          <w:rFonts w:ascii="Arial" w:eastAsiaTheme="minorEastAsia" w:hAnsi="Arial" w:cs="Arial"/>
          <w:noProof/>
          <w:sz w:val="20"/>
          <w:szCs w:val="20"/>
        </w:rPr>
      </w:pPr>
      <w:hyperlink w:anchor="_Toc153137312" w:history="1">
        <w:r w:rsidR="00BE3F4E" w:rsidRPr="00BE3F4E">
          <w:rPr>
            <w:rStyle w:val="Hyperlink"/>
            <w:rFonts w:ascii="Arial" w:eastAsia="Times New Roman" w:hAnsi="Arial" w:cs="Arial"/>
            <w:noProof/>
            <w:sz w:val="20"/>
            <w:szCs w:val="20"/>
          </w:rPr>
          <w:t>AMC1 BOP.ADD.010 Notification of alternative means of compliance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_Toc153137312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50</w:t>
        </w:r>
        <w:r w:rsidR="00BE3F4E" w:rsidRPr="00BE3F4E">
          <w:rPr>
            <w:rFonts w:ascii="Arial" w:hAnsi="Arial" w:cs="Arial"/>
            <w:noProof/>
            <w:webHidden/>
            <w:sz w:val="20"/>
            <w:szCs w:val="20"/>
          </w:rPr>
          <w:fldChar w:fldCharType="end"/>
        </w:r>
      </w:hyperlink>
    </w:p>
    <w:p w14:paraId="1136F628" w14:textId="74514647" w:rsidR="00BE3F4E" w:rsidRPr="00BE3F4E" w:rsidRDefault="00000000">
      <w:pPr>
        <w:pStyle w:val="TOC4"/>
        <w:tabs>
          <w:tab w:val="right" w:leader="underscore" w:pos="9016"/>
        </w:tabs>
        <w:rPr>
          <w:rFonts w:ascii="Arial" w:eastAsiaTheme="minorEastAsia" w:hAnsi="Arial" w:cs="Arial"/>
          <w:noProof/>
          <w:sz w:val="20"/>
          <w:szCs w:val="20"/>
        </w:rPr>
      </w:pPr>
      <w:hyperlink w:anchor="_Toc153137313" w:history="1">
        <w:r w:rsidR="00BE3F4E" w:rsidRPr="00BE3F4E">
          <w:rPr>
            <w:rStyle w:val="Hyperlink"/>
            <w:rFonts w:ascii="Arial" w:eastAsia="Times New Roman" w:hAnsi="Arial" w:cs="Arial"/>
            <w:iCs/>
            <w:noProof/>
            <w:sz w:val="20"/>
            <w:szCs w:val="20"/>
          </w:rPr>
          <w:t>BOP.ADD.015 Access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_Toc153137313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50</w:t>
        </w:r>
        <w:r w:rsidR="00BE3F4E" w:rsidRPr="00BE3F4E">
          <w:rPr>
            <w:rFonts w:ascii="Arial" w:hAnsi="Arial" w:cs="Arial"/>
            <w:noProof/>
            <w:webHidden/>
            <w:sz w:val="20"/>
            <w:szCs w:val="20"/>
          </w:rPr>
          <w:fldChar w:fldCharType="end"/>
        </w:r>
      </w:hyperlink>
    </w:p>
    <w:p w14:paraId="048E23F1" w14:textId="0099567F" w:rsidR="00BE3F4E" w:rsidRPr="00BE3F4E" w:rsidRDefault="00000000">
      <w:pPr>
        <w:pStyle w:val="TOC4"/>
        <w:tabs>
          <w:tab w:val="right" w:leader="underscore" w:pos="9016"/>
        </w:tabs>
        <w:rPr>
          <w:rFonts w:ascii="Arial" w:eastAsiaTheme="minorEastAsia" w:hAnsi="Arial" w:cs="Arial"/>
          <w:noProof/>
          <w:sz w:val="20"/>
          <w:szCs w:val="20"/>
        </w:rPr>
      </w:pPr>
      <w:hyperlink w:anchor="_Toc153137314" w:history="1">
        <w:r w:rsidR="00BE3F4E" w:rsidRPr="00BE3F4E">
          <w:rPr>
            <w:rStyle w:val="Hyperlink"/>
            <w:rFonts w:ascii="Arial" w:eastAsia="Times New Roman" w:hAnsi="Arial" w:cs="Arial"/>
            <w:iCs/>
            <w:noProof/>
            <w:sz w:val="20"/>
            <w:szCs w:val="20"/>
          </w:rPr>
          <w:t>BOP.ADD.020 Findings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_Toc153137314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50</w:t>
        </w:r>
        <w:r w:rsidR="00BE3F4E" w:rsidRPr="00BE3F4E">
          <w:rPr>
            <w:rFonts w:ascii="Arial" w:hAnsi="Arial" w:cs="Arial"/>
            <w:noProof/>
            <w:webHidden/>
            <w:sz w:val="20"/>
            <w:szCs w:val="20"/>
          </w:rPr>
          <w:fldChar w:fldCharType="end"/>
        </w:r>
      </w:hyperlink>
    </w:p>
    <w:p w14:paraId="5C058BFF" w14:textId="006CE370" w:rsidR="00BE3F4E" w:rsidRPr="00BE3F4E" w:rsidRDefault="00000000">
      <w:pPr>
        <w:pStyle w:val="TOC5"/>
        <w:tabs>
          <w:tab w:val="right" w:leader="underscore" w:pos="9016"/>
        </w:tabs>
        <w:rPr>
          <w:rFonts w:ascii="Arial" w:eastAsiaTheme="minorEastAsia" w:hAnsi="Arial" w:cs="Arial"/>
          <w:noProof/>
          <w:sz w:val="20"/>
          <w:szCs w:val="20"/>
        </w:rPr>
      </w:pPr>
      <w:hyperlink w:anchor="_Toc153137315" w:history="1">
        <w:r w:rsidR="00BE3F4E" w:rsidRPr="00BE3F4E">
          <w:rPr>
            <w:rStyle w:val="Hyperlink"/>
            <w:rFonts w:ascii="Arial" w:eastAsia="Times New Roman" w:hAnsi="Arial" w:cs="Arial"/>
            <w:noProof/>
            <w:sz w:val="20"/>
            <w:szCs w:val="20"/>
          </w:rPr>
          <w:t>AMC1 BOP.ADD.020(b) Findings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_Toc153137315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50</w:t>
        </w:r>
        <w:r w:rsidR="00BE3F4E" w:rsidRPr="00BE3F4E">
          <w:rPr>
            <w:rFonts w:ascii="Arial" w:hAnsi="Arial" w:cs="Arial"/>
            <w:noProof/>
            <w:webHidden/>
            <w:sz w:val="20"/>
            <w:szCs w:val="20"/>
          </w:rPr>
          <w:fldChar w:fldCharType="end"/>
        </w:r>
      </w:hyperlink>
    </w:p>
    <w:p w14:paraId="5BD89F5C" w14:textId="6D335DC0" w:rsidR="00BE3F4E" w:rsidRPr="00BE3F4E" w:rsidRDefault="00000000">
      <w:pPr>
        <w:pStyle w:val="TOC5"/>
        <w:tabs>
          <w:tab w:val="right" w:leader="underscore" w:pos="9016"/>
        </w:tabs>
        <w:rPr>
          <w:rFonts w:ascii="Arial" w:eastAsiaTheme="minorEastAsia" w:hAnsi="Arial" w:cs="Arial"/>
          <w:noProof/>
          <w:sz w:val="20"/>
          <w:szCs w:val="20"/>
        </w:rPr>
      </w:pPr>
      <w:hyperlink w:anchor="_Toc153137316" w:history="1">
        <w:r w:rsidR="00BE3F4E" w:rsidRPr="00BE3F4E">
          <w:rPr>
            <w:rStyle w:val="Hyperlink"/>
            <w:rFonts w:ascii="Arial" w:eastAsia="Times New Roman" w:hAnsi="Arial" w:cs="Arial"/>
            <w:noProof/>
            <w:sz w:val="20"/>
            <w:szCs w:val="20"/>
          </w:rPr>
          <w:t>GM1 BOP.ADD.020(b);(c) Findings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_Toc153137316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50</w:t>
        </w:r>
        <w:r w:rsidR="00BE3F4E" w:rsidRPr="00BE3F4E">
          <w:rPr>
            <w:rFonts w:ascii="Arial" w:hAnsi="Arial" w:cs="Arial"/>
            <w:noProof/>
            <w:webHidden/>
            <w:sz w:val="20"/>
            <w:szCs w:val="20"/>
          </w:rPr>
          <w:fldChar w:fldCharType="end"/>
        </w:r>
      </w:hyperlink>
    </w:p>
    <w:p w14:paraId="20667194" w14:textId="34F5A24A" w:rsidR="00BE3F4E" w:rsidRPr="00BE3F4E" w:rsidRDefault="00000000">
      <w:pPr>
        <w:pStyle w:val="TOC4"/>
        <w:tabs>
          <w:tab w:val="right" w:leader="underscore" w:pos="9016"/>
        </w:tabs>
        <w:rPr>
          <w:rFonts w:ascii="Arial" w:eastAsiaTheme="minorEastAsia" w:hAnsi="Arial" w:cs="Arial"/>
          <w:noProof/>
          <w:sz w:val="20"/>
          <w:szCs w:val="20"/>
        </w:rPr>
      </w:pPr>
      <w:hyperlink w:anchor="_Toc153137317" w:history="1">
        <w:r w:rsidR="00BE3F4E" w:rsidRPr="00BE3F4E">
          <w:rPr>
            <w:rStyle w:val="Hyperlink"/>
            <w:rFonts w:ascii="Arial" w:eastAsia="Times New Roman" w:hAnsi="Arial" w:cs="Arial"/>
            <w:iCs/>
            <w:noProof/>
            <w:sz w:val="20"/>
            <w:szCs w:val="20"/>
          </w:rPr>
          <w:t>BOP.ADD.025 Occurrence reporting</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_Toc153137317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50</w:t>
        </w:r>
        <w:r w:rsidR="00BE3F4E" w:rsidRPr="00BE3F4E">
          <w:rPr>
            <w:rFonts w:ascii="Arial" w:hAnsi="Arial" w:cs="Arial"/>
            <w:noProof/>
            <w:webHidden/>
            <w:sz w:val="20"/>
            <w:szCs w:val="20"/>
          </w:rPr>
          <w:fldChar w:fldCharType="end"/>
        </w:r>
      </w:hyperlink>
    </w:p>
    <w:p w14:paraId="151FF67D" w14:textId="4BCB8E8F" w:rsidR="00BE3F4E" w:rsidRPr="00BE3F4E" w:rsidRDefault="00000000">
      <w:pPr>
        <w:pStyle w:val="TOC5"/>
        <w:tabs>
          <w:tab w:val="right" w:leader="underscore" w:pos="9016"/>
        </w:tabs>
        <w:rPr>
          <w:rFonts w:ascii="Arial" w:eastAsiaTheme="minorEastAsia" w:hAnsi="Arial" w:cs="Arial"/>
          <w:noProof/>
          <w:sz w:val="20"/>
          <w:szCs w:val="20"/>
        </w:rPr>
      </w:pPr>
      <w:hyperlink w:anchor="_Toc153137318" w:history="1">
        <w:r w:rsidR="00BE3F4E" w:rsidRPr="00BE3F4E">
          <w:rPr>
            <w:rStyle w:val="Hyperlink"/>
            <w:rFonts w:ascii="Arial" w:eastAsia="Times New Roman" w:hAnsi="Arial" w:cs="Arial"/>
            <w:noProof/>
            <w:sz w:val="20"/>
            <w:szCs w:val="20"/>
          </w:rPr>
          <w:t>AMC1 BOP.ADD.025(a) Occurrence reporting</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_Toc153137318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51</w:t>
        </w:r>
        <w:r w:rsidR="00BE3F4E" w:rsidRPr="00BE3F4E">
          <w:rPr>
            <w:rFonts w:ascii="Arial" w:hAnsi="Arial" w:cs="Arial"/>
            <w:noProof/>
            <w:webHidden/>
            <w:sz w:val="20"/>
            <w:szCs w:val="20"/>
          </w:rPr>
          <w:fldChar w:fldCharType="end"/>
        </w:r>
      </w:hyperlink>
    </w:p>
    <w:p w14:paraId="063FC3F9" w14:textId="4C07A694" w:rsidR="00BE3F4E" w:rsidRPr="00BE3F4E" w:rsidRDefault="00000000">
      <w:pPr>
        <w:pStyle w:val="TOC4"/>
        <w:tabs>
          <w:tab w:val="right" w:leader="underscore" w:pos="9016"/>
        </w:tabs>
        <w:rPr>
          <w:rFonts w:ascii="Arial" w:eastAsiaTheme="minorEastAsia" w:hAnsi="Arial" w:cs="Arial"/>
          <w:noProof/>
          <w:sz w:val="20"/>
          <w:szCs w:val="20"/>
        </w:rPr>
      </w:pPr>
      <w:hyperlink w:anchor="_Toc153137319" w:history="1">
        <w:r w:rsidR="00BE3F4E" w:rsidRPr="00BE3F4E">
          <w:rPr>
            <w:rStyle w:val="Hyperlink"/>
            <w:rFonts w:ascii="Arial" w:eastAsia="Times New Roman" w:hAnsi="Arial" w:cs="Arial"/>
            <w:iCs/>
            <w:noProof/>
            <w:sz w:val="20"/>
            <w:szCs w:val="20"/>
          </w:rPr>
          <w:t>BOP.ADD.030 Management system</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_Toc153137319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51</w:t>
        </w:r>
        <w:r w:rsidR="00BE3F4E" w:rsidRPr="00BE3F4E">
          <w:rPr>
            <w:rFonts w:ascii="Arial" w:hAnsi="Arial" w:cs="Arial"/>
            <w:noProof/>
            <w:webHidden/>
            <w:sz w:val="20"/>
            <w:szCs w:val="20"/>
          </w:rPr>
          <w:fldChar w:fldCharType="end"/>
        </w:r>
      </w:hyperlink>
    </w:p>
    <w:p w14:paraId="574DE186" w14:textId="5A77187D" w:rsidR="00BE3F4E" w:rsidRPr="00BE3F4E" w:rsidRDefault="00000000">
      <w:pPr>
        <w:pStyle w:val="TOC5"/>
        <w:tabs>
          <w:tab w:val="right" w:leader="underscore" w:pos="9016"/>
        </w:tabs>
        <w:rPr>
          <w:rFonts w:ascii="Arial" w:eastAsiaTheme="minorEastAsia" w:hAnsi="Arial" w:cs="Arial"/>
          <w:noProof/>
          <w:sz w:val="20"/>
          <w:szCs w:val="20"/>
        </w:rPr>
      </w:pPr>
      <w:hyperlink w:anchor="_Toc153137320" w:history="1">
        <w:r w:rsidR="00BE3F4E" w:rsidRPr="00BE3F4E">
          <w:rPr>
            <w:rStyle w:val="Hyperlink"/>
            <w:rFonts w:ascii="Arial" w:eastAsia="Times New Roman" w:hAnsi="Arial" w:cs="Arial"/>
            <w:noProof/>
            <w:sz w:val="20"/>
            <w:szCs w:val="20"/>
          </w:rPr>
          <w:t>AMC1 BOP.ADD.030(a)(2) Management system</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_Toc153137320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51</w:t>
        </w:r>
        <w:r w:rsidR="00BE3F4E" w:rsidRPr="00BE3F4E">
          <w:rPr>
            <w:rFonts w:ascii="Arial" w:hAnsi="Arial" w:cs="Arial"/>
            <w:noProof/>
            <w:webHidden/>
            <w:sz w:val="20"/>
            <w:szCs w:val="20"/>
          </w:rPr>
          <w:fldChar w:fldCharType="end"/>
        </w:r>
      </w:hyperlink>
    </w:p>
    <w:p w14:paraId="61D1C91D" w14:textId="050F1D96" w:rsidR="00BE3F4E" w:rsidRPr="00BE3F4E" w:rsidRDefault="00000000">
      <w:pPr>
        <w:pStyle w:val="TOC5"/>
        <w:tabs>
          <w:tab w:val="right" w:leader="underscore" w:pos="9016"/>
        </w:tabs>
        <w:rPr>
          <w:rFonts w:ascii="Arial" w:eastAsiaTheme="minorEastAsia" w:hAnsi="Arial" w:cs="Arial"/>
          <w:noProof/>
          <w:sz w:val="20"/>
          <w:szCs w:val="20"/>
        </w:rPr>
      </w:pPr>
      <w:hyperlink w:anchor="_Toc153137321" w:history="1">
        <w:r w:rsidR="00BE3F4E" w:rsidRPr="00BE3F4E">
          <w:rPr>
            <w:rStyle w:val="Hyperlink"/>
            <w:rFonts w:ascii="Arial" w:eastAsia="Times New Roman" w:hAnsi="Arial" w:cs="Arial"/>
            <w:noProof/>
            <w:sz w:val="20"/>
            <w:szCs w:val="20"/>
          </w:rPr>
          <w:t>AMC1 BOP.ADD.030(a)(3) Management system</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_Toc153137321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51</w:t>
        </w:r>
        <w:r w:rsidR="00BE3F4E" w:rsidRPr="00BE3F4E">
          <w:rPr>
            <w:rFonts w:ascii="Arial" w:hAnsi="Arial" w:cs="Arial"/>
            <w:noProof/>
            <w:webHidden/>
            <w:sz w:val="20"/>
            <w:szCs w:val="20"/>
          </w:rPr>
          <w:fldChar w:fldCharType="end"/>
        </w:r>
      </w:hyperlink>
    </w:p>
    <w:p w14:paraId="481D4BE8" w14:textId="72CBC6D3" w:rsidR="00BE3F4E" w:rsidRPr="00BE3F4E" w:rsidRDefault="00000000">
      <w:pPr>
        <w:pStyle w:val="TOC5"/>
        <w:tabs>
          <w:tab w:val="right" w:leader="underscore" w:pos="9016"/>
        </w:tabs>
        <w:rPr>
          <w:rFonts w:ascii="Arial" w:eastAsiaTheme="minorEastAsia" w:hAnsi="Arial" w:cs="Arial"/>
          <w:noProof/>
          <w:sz w:val="20"/>
          <w:szCs w:val="20"/>
        </w:rPr>
      </w:pPr>
      <w:hyperlink w:anchor="_Toc153137322" w:history="1">
        <w:r w:rsidR="00BE3F4E" w:rsidRPr="00BE3F4E">
          <w:rPr>
            <w:rStyle w:val="Hyperlink"/>
            <w:rFonts w:ascii="Arial" w:eastAsia="Times New Roman" w:hAnsi="Arial" w:cs="Arial"/>
            <w:noProof/>
            <w:sz w:val="20"/>
            <w:szCs w:val="20"/>
          </w:rPr>
          <w:t>GM1 BOP.ADD.030(a)(4) Management system</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_Toc153137322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52</w:t>
        </w:r>
        <w:r w:rsidR="00BE3F4E" w:rsidRPr="00BE3F4E">
          <w:rPr>
            <w:rFonts w:ascii="Arial" w:hAnsi="Arial" w:cs="Arial"/>
            <w:noProof/>
            <w:webHidden/>
            <w:sz w:val="20"/>
            <w:szCs w:val="20"/>
          </w:rPr>
          <w:fldChar w:fldCharType="end"/>
        </w:r>
      </w:hyperlink>
    </w:p>
    <w:p w14:paraId="26F5CC1D" w14:textId="6614E9F6" w:rsidR="00BE3F4E" w:rsidRPr="00BE3F4E" w:rsidRDefault="00000000">
      <w:pPr>
        <w:pStyle w:val="TOC5"/>
        <w:tabs>
          <w:tab w:val="right" w:leader="underscore" w:pos="9016"/>
        </w:tabs>
        <w:rPr>
          <w:rFonts w:ascii="Arial" w:eastAsiaTheme="minorEastAsia" w:hAnsi="Arial" w:cs="Arial"/>
          <w:noProof/>
          <w:sz w:val="20"/>
          <w:szCs w:val="20"/>
        </w:rPr>
      </w:pPr>
      <w:hyperlink w:anchor="_Toc153137323" w:history="1">
        <w:r w:rsidR="00BE3F4E" w:rsidRPr="00BE3F4E">
          <w:rPr>
            <w:rStyle w:val="Hyperlink"/>
            <w:rFonts w:ascii="Arial" w:eastAsia="Times New Roman" w:hAnsi="Arial" w:cs="Arial"/>
            <w:noProof/>
            <w:sz w:val="20"/>
            <w:szCs w:val="20"/>
          </w:rPr>
          <w:t>AMC1 BOP.ADD.030(a)(5) Management system</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_Toc153137323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52</w:t>
        </w:r>
        <w:r w:rsidR="00BE3F4E" w:rsidRPr="00BE3F4E">
          <w:rPr>
            <w:rFonts w:ascii="Arial" w:hAnsi="Arial" w:cs="Arial"/>
            <w:noProof/>
            <w:webHidden/>
            <w:sz w:val="20"/>
            <w:szCs w:val="20"/>
          </w:rPr>
          <w:fldChar w:fldCharType="end"/>
        </w:r>
      </w:hyperlink>
    </w:p>
    <w:p w14:paraId="3EA43D4A" w14:textId="4FF1130C" w:rsidR="00BE3F4E" w:rsidRPr="00BE3F4E" w:rsidRDefault="00000000">
      <w:pPr>
        <w:pStyle w:val="TOC5"/>
        <w:tabs>
          <w:tab w:val="right" w:leader="underscore" w:pos="9016"/>
        </w:tabs>
        <w:rPr>
          <w:rFonts w:ascii="Arial" w:eastAsiaTheme="minorEastAsia" w:hAnsi="Arial" w:cs="Arial"/>
          <w:noProof/>
          <w:sz w:val="20"/>
          <w:szCs w:val="20"/>
        </w:rPr>
      </w:pPr>
      <w:hyperlink w:anchor="_Toc153137324" w:history="1">
        <w:r w:rsidR="00BE3F4E" w:rsidRPr="00BE3F4E">
          <w:rPr>
            <w:rStyle w:val="Hyperlink"/>
            <w:rFonts w:ascii="Arial" w:eastAsia="Times New Roman" w:hAnsi="Arial" w:cs="Arial"/>
            <w:noProof/>
            <w:sz w:val="20"/>
            <w:szCs w:val="20"/>
          </w:rPr>
          <w:t>AMC1 BOP.ADD.030(a)(6) Management system</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_Toc153137324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52</w:t>
        </w:r>
        <w:r w:rsidR="00BE3F4E" w:rsidRPr="00BE3F4E">
          <w:rPr>
            <w:rFonts w:ascii="Arial" w:hAnsi="Arial" w:cs="Arial"/>
            <w:noProof/>
            <w:webHidden/>
            <w:sz w:val="20"/>
            <w:szCs w:val="20"/>
          </w:rPr>
          <w:fldChar w:fldCharType="end"/>
        </w:r>
      </w:hyperlink>
    </w:p>
    <w:p w14:paraId="3DD02809" w14:textId="09CC7E85" w:rsidR="00BE3F4E" w:rsidRPr="00BE3F4E" w:rsidRDefault="00000000">
      <w:pPr>
        <w:pStyle w:val="TOC5"/>
        <w:tabs>
          <w:tab w:val="right" w:leader="underscore" w:pos="9016"/>
        </w:tabs>
        <w:rPr>
          <w:rFonts w:ascii="Arial" w:eastAsiaTheme="minorEastAsia" w:hAnsi="Arial" w:cs="Arial"/>
          <w:noProof/>
          <w:sz w:val="20"/>
          <w:szCs w:val="20"/>
        </w:rPr>
      </w:pPr>
      <w:hyperlink w:anchor="_Toc153137325" w:history="1">
        <w:r w:rsidR="00BE3F4E" w:rsidRPr="00BE3F4E">
          <w:rPr>
            <w:rStyle w:val="Hyperlink"/>
            <w:rFonts w:ascii="Arial" w:eastAsia="Times New Roman" w:hAnsi="Arial" w:cs="Arial"/>
            <w:noProof/>
            <w:sz w:val="20"/>
            <w:szCs w:val="20"/>
          </w:rPr>
          <w:t>GM1 BOP.ADD.030(a)(6) Management system</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_Toc153137325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53</w:t>
        </w:r>
        <w:r w:rsidR="00BE3F4E" w:rsidRPr="00BE3F4E">
          <w:rPr>
            <w:rFonts w:ascii="Arial" w:hAnsi="Arial" w:cs="Arial"/>
            <w:noProof/>
            <w:webHidden/>
            <w:sz w:val="20"/>
            <w:szCs w:val="20"/>
          </w:rPr>
          <w:fldChar w:fldCharType="end"/>
        </w:r>
      </w:hyperlink>
    </w:p>
    <w:p w14:paraId="759CA72D" w14:textId="7B441F9F" w:rsidR="00BE3F4E" w:rsidRPr="00BE3F4E" w:rsidRDefault="00000000">
      <w:pPr>
        <w:pStyle w:val="TOC5"/>
        <w:tabs>
          <w:tab w:val="right" w:leader="underscore" w:pos="9016"/>
        </w:tabs>
        <w:rPr>
          <w:rFonts w:ascii="Arial" w:eastAsiaTheme="minorEastAsia" w:hAnsi="Arial" w:cs="Arial"/>
          <w:noProof/>
          <w:sz w:val="20"/>
          <w:szCs w:val="20"/>
        </w:rPr>
      </w:pPr>
      <w:hyperlink w:anchor="_Toc153137326" w:history="1">
        <w:r w:rsidR="00BE3F4E" w:rsidRPr="00BE3F4E">
          <w:rPr>
            <w:rStyle w:val="Hyperlink"/>
            <w:rFonts w:ascii="Arial" w:eastAsia="Times New Roman" w:hAnsi="Arial" w:cs="Arial"/>
            <w:noProof/>
            <w:sz w:val="20"/>
            <w:szCs w:val="20"/>
          </w:rPr>
          <w:t>GM2 BOP.ADD.030(a)(6) Management system</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_Toc153137326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53</w:t>
        </w:r>
        <w:r w:rsidR="00BE3F4E" w:rsidRPr="00BE3F4E">
          <w:rPr>
            <w:rFonts w:ascii="Arial" w:hAnsi="Arial" w:cs="Arial"/>
            <w:noProof/>
            <w:webHidden/>
            <w:sz w:val="20"/>
            <w:szCs w:val="20"/>
          </w:rPr>
          <w:fldChar w:fldCharType="end"/>
        </w:r>
      </w:hyperlink>
    </w:p>
    <w:p w14:paraId="15C6553F" w14:textId="2172286E" w:rsidR="00BE3F4E" w:rsidRPr="00BE3F4E" w:rsidRDefault="00000000">
      <w:pPr>
        <w:pStyle w:val="TOC4"/>
        <w:tabs>
          <w:tab w:val="right" w:leader="underscore" w:pos="9016"/>
        </w:tabs>
        <w:rPr>
          <w:rFonts w:ascii="Arial" w:eastAsiaTheme="minorEastAsia" w:hAnsi="Arial" w:cs="Arial"/>
          <w:noProof/>
          <w:sz w:val="20"/>
          <w:szCs w:val="20"/>
        </w:rPr>
      </w:pPr>
      <w:hyperlink w:anchor="_Toc153137327" w:history="1">
        <w:r w:rsidR="00BE3F4E" w:rsidRPr="00BE3F4E">
          <w:rPr>
            <w:rStyle w:val="Hyperlink"/>
            <w:rFonts w:ascii="Arial" w:eastAsia="Times New Roman" w:hAnsi="Arial" w:cs="Arial"/>
            <w:iCs/>
            <w:noProof/>
            <w:sz w:val="20"/>
            <w:szCs w:val="20"/>
          </w:rPr>
          <w:t>BOP.ADD.035 Contracted activities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_Toc153137327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56</w:t>
        </w:r>
        <w:r w:rsidR="00BE3F4E" w:rsidRPr="00BE3F4E">
          <w:rPr>
            <w:rFonts w:ascii="Arial" w:hAnsi="Arial" w:cs="Arial"/>
            <w:noProof/>
            <w:webHidden/>
            <w:sz w:val="20"/>
            <w:szCs w:val="20"/>
          </w:rPr>
          <w:fldChar w:fldCharType="end"/>
        </w:r>
      </w:hyperlink>
    </w:p>
    <w:p w14:paraId="74C11AF0" w14:textId="2F282F57" w:rsidR="00BE3F4E" w:rsidRPr="00BE3F4E" w:rsidRDefault="00000000">
      <w:pPr>
        <w:pStyle w:val="TOC5"/>
        <w:tabs>
          <w:tab w:val="right" w:leader="underscore" w:pos="9016"/>
        </w:tabs>
        <w:rPr>
          <w:rFonts w:ascii="Arial" w:eastAsiaTheme="minorEastAsia" w:hAnsi="Arial" w:cs="Arial"/>
          <w:noProof/>
          <w:sz w:val="20"/>
          <w:szCs w:val="20"/>
        </w:rPr>
      </w:pPr>
      <w:hyperlink w:anchor="_Toc153137328" w:history="1">
        <w:r w:rsidR="00BE3F4E" w:rsidRPr="00BE3F4E">
          <w:rPr>
            <w:rStyle w:val="Hyperlink"/>
            <w:rFonts w:ascii="Arial" w:eastAsia="Times New Roman" w:hAnsi="Arial" w:cs="Arial"/>
            <w:noProof/>
            <w:sz w:val="20"/>
            <w:szCs w:val="20"/>
          </w:rPr>
          <w:t>AMC1 BOP.ADD.035 Contracted activities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_Toc153137328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57</w:t>
        </w:r>
        <w:r w:rsidR="00BE3F4E" w:rsidRPr="00BE3F4E">
          <w:rPr>
            <w:rFonts w:ascii="Arial" w:hAnsi="Arial" w:cs="Arial"/>
            <w:noProof/>
            <w:webHidden/>
            <w:sz w:val="20"/>
            <w:szCs w:val="20"/>
          </w:rPr>
          <w:fldChar w:fldCharType="end"/>
        </w:r>
      </w:hyperlink>
    </w:p>
    <w:p w14:paraId="2F336D36" w14:textId="0A0D6C68" w:rsidR="00BE3F4E" w:rsidRPr="00BE3F4E" w:rsidRDefault="00000000">
      <w:pPr>
        <w:pStyle w:val="TOC5"/>
        <w:tabs>
          <w:tab w:val="right" w:leader="underscore" w:pos="9016"/>
        </w:tabs>
        <w:rPr>
          <w:rFonts w:ascii="Arial" w:eastAsiaTheme="minorEastAsia" w:hAnsi="Arial" w:cs="Arial"/>
          <w:noProof/>
          <w:sz w:val="20"/>
          <w:szCs w:val="20"/>
        </w:rPr>
      </w:pPr>
      <w:hyperlink w:anchor="_Toc153137329" w:history="1">
        <w:r w:rsidR="00BE3F4E" w:rsidRPr="00BE3F4E">
          <w:rPr>
            <w:rStyle w:val="Hyperlink"/>
            <w:rFonts w:ascii="Arial" w:eastAsia="Times New Roman" w:hAnsi="Arial" w:cs="Arial"/>
            <w:noProof/>
            <w:sz w:val="20"/>
            <w:szCs w:val="20"/>
          </w:rPr>
          <w:t>GM1 BOP.ADD.035 Contracted activities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_Toc153137329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57</w:t>
        </w:r>
        <w:r w:rsidR="00BE3F4E" w:rsidRPr="00BE3F4E">
          <w:rPr>
            <w:rFonts w:ascii="Arial" w:hAnsi="Arial" w:cs="Arial"/>
            <w:noProof/>
            <w:webHidden/>
            <w:sz w:val="20"/>
            <w:szCs w:val="20"/>
          </w:rPr>
          <w:fldChar w:fldCharType="end"/>
        </w:r>
      </w:hyperlink>
    </w:p>
    <w:p w14:paraId="62F18C8D" w14:textId="066DDE31" w:rsidR="00BE3F4E" w:rsidRPr="00BE3F4E" w:rsidRDefault="00000000">
      <w:pPr>
        <w:pStyle w:val="TOC5"/>
        <w:tabs>
          <w:tab w:val="right" w:leader="underscore" w:pos="9016"/>
        </w:tabs>
        <w:rPr>
          <w:rFonts w:ascii="Arial" w:eastAsiaTheme="minorEastAsia" w:hAnsi="Arial" w:cs="Arial"/>
          <w:noProof/>
          <w:sz w:val="20"/>
          <w:szCs w:val="20"/>
        </w:rPr>
      </w:pPr>
      <w:hyperlink w:anchor="_Toc153137330" w:history="1">
        <w:r w:rsidR="00BE3F4E" w:rsidRPr="00BE3F4E">
          <w:rPr>
            <w:rStyle w:val="Hyperlink"/>
            <w:rFonts w:ascii="Arial" w:eastAsia="Times New Roman" w:hAnsi="Arial" w:cs="Arial"/>
            <w:noProof/>
            <w:sz w:val="20"/>
            <w:szCs w:val="20"/>
          </w:rPr>
          <w:t>GM2 BOP.ADD.035 Contracted activities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_Toc153137330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57</w:t>
        </w:r>
        <w:r w:rsidR="00BE3F4E" w:rsidRPr="00BE3F4E">
          <w:rPr>
            <w:rFonts w:ascii="Arial" w:hAnsi="Arial" w:cs="Arial"/>
            <w:noProof/>
            <w:webHidden/>
            <w:sz w:val="20"/>
            <w:szCs w:val="20"/>
          </w:rPr>
          <w:fldChar w:fldCharType="end"/>
        </w:r>
      </w:hyperlink>
    </w:p>
    <w:p w14:paraId="67A9F88D" w14:textId="338460FD" w:rsidR="00BE3F4E" w:rsidRPr="00BE3F4E" w:rsidRDefault="00000000">
      <w:pPr>
        <w:pStyle w:val="TOC4"/>
        <w:tabs>
          <w:tab w:val="right" w:leader="underscore" w:pos="9016"/>
        </w:tabs>
        <w:rPr>
          <w:rFonts w:ascii="Arial" w:eastAsiaTheme="minorEastAsia" w:hAnsi="Arial" w:cs="Arial"/>
          <w:noProof/>
          <w:sz w:val="20"/>
          <w:szCs w:val="20"/>
        </w:rPr>
      </w:pPr>
      <w:hyperlink w:anchor="_Toc153137331" w:history="1">
        <w:r w:rsidR="00BE3F4E" w:rsidRPr="00BE3F4E">
          <w:rPr>
            <w:rStyle w:val="Hyperlink"/>
            <w:rFonts w:ascii="Arial" w:eastAsia="Times New Roman" w:hAnsi="Arial" w:cs="Arial"/>
            <w:iCs/>
            <w:noProof/>
            <w:sz w:val="20"/>
            <w:szCs w:val="20"/>
          </w:rPr>
          <w:t>BOP.ADD.040 Personnel requirements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_Toc153137331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57</w:t>
        </w:r>
        <w:r w:rsidR="00BE3F4E" w:rsidRPr="00BE3F4E">
          <w:rPr>
            <w:rFonts w:ascii="Arial" w:hAnsi="Arial" w:cs="Arial"/>
            <w:noProof/>
            <w:webHidden/>
            <w:sz w:val="20"/>
            <w:szCs w:val="20"/>
          </w:rPr>
          <w:fldChar w:fldCharType="end"/>
        </w:r>
      </w:hyperlink>
    </w:p>
    <w:p w14:paraId="7EB138AC" w14:textId="4F903A22" w:rsidR="00BE3F4E" w:rsidRPr="00BE3F4E" w:rsidRDefault="00000000">
      <w:pPr>
        <w:pStyle w:val="TOC5"/>
        <w:tabs>
          <w:tab w:val="right" w:leader="underscore" w:pos="9016"/>
        </w:tabs>
        <w:rPr>
          <w:rFonts w:ascii="Arial" w:eastAsiaTheme="minorEastAsia" w:hAnsi="Arial" w:cs="Arial"/>
          <w:noProof/>
          <w:sz w:val="20"/>
          <w:szCs w:val="20"/>
        </w:rPr>
      </w:pPr>
      <w:hyperlink w:anchor="_Toc153137332" w:history="1">
        <w:r w:rsidR="00BE3F4E" w:rsidRPr="00BE3F4E">
          <w:rPr>
            <w:rStyle w:val="Hyperlink"/>
            <w:rFonts w:ascii="Arial" w:eastAsia="Times New Roman" w:hAnsi="Arial" w:cs="Arial"/>
            <w:noProof/>
            <w:sz w:val="20"/>
            <w:szCs w:val="20"/>
          </w:rPr>
          <w:t>GM1 BOP.ADD.040 Personnel requirements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_Toc153137332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58</w:t>
        </w:r>
        <w:r w:rsidR="00BE3F4E" w:rsidRPr="00BE3F4E">
          <w:rPr>
            <w:rFonts w:ascii="Arial" w:hAnsi="Arial" w:cs="Arial"/>
            <w:noProof/>
            <w:webHidden/>
            <w:sz w:val="20"/>
            <w:szCs w:val="20"/>
          </w:rPr>
          <w:fldChar w:fldCharType="end"/>
        </w:r>
      </w:hyperlink>
    </w:p>
    <w:p w14:paraId="6FD81D8F" w14:textId="554989D0" w:rsidR="00BE3F4E" w:rsidRPr="00BE3F4E" w:rsidRDefault="00000000">
      <w:pPr>
        <w:pStyle w:val="TOC5"/>
        <w:tabs>
          <w:tab w:val="right" w:leader="underscore" w:pos="9016"/>
        </w:tabs>
        <w:rPr>
          <w:rFonts w:ascii="Arial" w:eastAsiaTheme="minorEastAsia" w:hAnsi="Arial" w:cs="Arial"/>
          <w:noProof/>
          <w:sz w:val="20"/>
          <w:szCs w:val="20"/>
        </w:rPr>
      </w:pPr>
      <w:hyperlink w:anchor="_Toc153137333" w:history="1">
        <w:r w:rsidR="00BE3F4E" w:rsidRPr="00BE3F4E">
          <w:rPr>
            <w:rStyle w:val="Hyperlink"/>
            <w:rFonts w:ascii="Arial" w:eastAsia="Times New Roman" w:hAnsi="Arial" w:cs="Arial"/>
            <w:noProof/>
            <w:sz w:val="20"/>
            <w:szCs w:val="20"/>
          </w:rPr>
          <w:t>AMC1 BOP.ADD.040(c) Personnel requirements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_Toc153137333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58</w:t>
        </w:r>
        <w:r w:rsidR="00BE3F4E" w:rsidRPr="00BE3F4E">
          <w:rPr>
            <w:rFonts w:ascii="Arial" w:hAnsi="Arial" w:cs="Arial"/>
            <w:noProof/>
            <w:webHidden/>
            <w:sz w:val="20"/>
            <w:szCs w:val="20"/>
          </w:rPr>
          <w:fldChar w:fldCharType="end"/>
        </w:r>
      </w:hyperlink>
    </w:p>
    <w:p w14:paraId="50F2F98C" w14:textId="7E8AF71E" w:rsidR="00BE3F4E" w:rsidRPr="00BE3F4E" w:rsidRDefault="00000000">
      <w:pPr>
        <w:pStyle w:val="TOC5"/>
        <w:tabs>
          <w:tab w:val="right" w:leader="underscore" w:pos="9016"/>
        </w:tabs>
        <w:rPr>
          <w:rFonts w:ascii="Arial" w:eastAsiaTheme="minorEastAsia" w:hAnsi="Arial" w:cs="Arial"/>
          <w:noProof/>
          <w:sz w:val="20"/>
          <w:szCs w:val="20"/>
        </w:rPr>
      </w:pPr>
      <w:hyperlink w:anchor="_Toc153137334" w:history="1">
        <w:r w:rsidR="00BE3F4E" w:rsidRPr="00BE3F4E">
          <w:rPr>
            <w:rStyle w:val="Hyperlink"/>
            <w:rFonts w:ascii="Arial" w:eastAsia="Times New Roman" w:hAnsi="Arial" w:cs="Arial"/>
            <w:noProof/>
            <w:sz w:val="20"/>
            <w:szCs w:val="20"/>
          </w:rPr>
          <w:t>GM1 BOP.ADD.040(c) Personnel requirements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_Toc153137334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58</w:t>
        </w:r>
        <w:r w:rsidR="00BE3F4E" w:rsidRPr="00BE3F4E">
          <w:rPr>
            <w:rFonts w:ascii="Arial" w:hAnsi="Arial" w:cs="Arial"/>
            <w:noProof/>
            <w:webHidden/>
            <w:sz w:val="20"/>
            <w:szCs w:val="20"/>
          </w:rPr>
          <w:fldChar w:fldCharType="end"/>
        </w:r>
      </w:hyperlink>
    </w:p>
    <w:p w14:paraId="145C60C8" w14:textId="42A9382B" w:rsidR="00BE3F4E" w:rsidRPr="00BE3F4E" w:rsidRDefault="00000000">
      <w:pPr>
        <w:pStyle w:val="TOC4"/>
        <w:tabs>
          <w:tab w:val="right" w:leader="underscore" w:pos="9016"/>
        </w:tabs>
        <w:rPr>
          <w:rFonts w:ascii="Arial" w:eastAsiaTheme="minorEastAsia" w:hAnsi="Arial" w:cs="Arial"/>
          <w:noProof/>
          <w:sz w:val="20"/>
          <w:szCs w:val="20"/>
        </w:rPr>
      </w:pPr>
      <w:hyperlink w:anchor="_Toc153137335" w:history="1">
        <w:r w:rsidR="00BE3F4E" w:rsidRPr="00BE3F4E">
          <w:rPr>
            <w:rStyle w:val="Hyperlink"/>
            <w:rFonts w:ascii="Arial" w:eastAsia="Times New Roman" w:hAnsi="Arial" w:cs="Arial"/>
            <w:iCs/>
            <w:noProof/>
            <w:sz w:val="20"/>
            <w:szCs w:val="20"/>
          </w:rPr>
          <w:t>BOP.ADD.045 Facility requirements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_Toc153137335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59</w:t>
        </w:r>
        <w:r w:rsidR="00BE3F4E" w:rsidRPr="00BE3F4E">
          <w:rPr>
            <w:rFonts w:ascii="Arial" w:hAnsi="Arial" w:cs="Arial"/>
            <w:noProof/>
            <w:webHidden/>
            <w:sz w:val="20"/>
            <w:szCs w:val="20"/>
          </w:rPr>
          <w:fldChar w:fldCharType="end"/>
        </w:r>
      </w:hyperlink>
    </w:p>
    <w:p w14:paraId="36F981DE" w14:textId="5907F39A" w:rsidR="00BE3F4E" w:rsidRPr="00BE3F4E" w:rsidRDefault="00000000">
      <w:pPr>
        <w:pStyle w:val="TOC4"/>
        <w:tabs>
          <w:tab w:val="right" w:leader="underscore" w:pos="9016"/>
        </w:tabs>
        <w:rPr>
          <w:rFonts w:ascii="Arial" w:eastAsiaTheme="minorEastAsia" w:hAnsi="Arial" w:cs="Arial"/>
          <w:noProof/>
          <w:sz w:val="20"/>
          <w:szCs w:val="20"/>
        </w:rPr>
      </w:pPr>
      <w:hyperlink w:anchor="_Toc153137336" w:history="1">
        <w:r w:rsidR="00BE3F4E" w:rsidRPr="00BE3F4E">
          <w:rPr>
            <w:rStyle w:val="Hyperlink"/>
            <w:rFonts w:ascii="Arial" w:eastAsiaTheme="majorEastAsia" w:hAnsi="Arial" w:cs="Arial"/>
            <w:iCs/>
            <w:noProof/>
            <w:sz w:val="20"/>
            <w:szCs w:val="20"/>
          </w:rPr>
          <w:t>SECTION 2 – DECLARATION, AIRWORTHINESS AND WET AND DRY LEASE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_Toc153137336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60</w:t>
        </w:r>
        <w:r w:rsidR="00BE3F4E" w:rsidRPr="00BE3F4E">
          <w:rPr>
            <w:rFonts w:ascii="Arial" w:hAnsi="Arial" w:cs="Arial"/>
            <w:noProof/>
            <w:webHidden/>
            <w:sz w:val="20"/>
            <w:szCs w:val="20"/>
          </w:rPr>
          <w:fldChar w:fldCharType="end"/>
        </w:r>
      </w:hyperlink>
    </w:p>
    <w:p w14:paraId="1CF7F7BE" w14:textId="60C580C6" w:rsidR="00BE3F4E" w:rsidRPr="00BE3F4E" w:rsidRDefault="00000000">
      <w:pPr>
        <w:pStyle w:val="TOC4"/>
        <w:tabs>
          <w:tab w:val="right" w:leader="underscore" w:pos="9016"/>
        </w:tabs>
        <w:rPr>
          <w:rFonts w:ascii="Arial" w:eastAsiaTheme="minorEastAsia" w:hAnsi="Arial" w:cs="Arial"/>
          <w:noProof/>
          <w:sz w:val="20"/>
          <w:szCs w:val="20"/>
        </w:rPr>
      </w:pPr>
      <w:hyperlink w:anchor="_Toc153137337" w:history="1">
        <w:r w:rsidR="00BE3F4E" w:rsidRPr="00BE3F4E">
          <w:rPr>
            <w:rStyle w:val="Hyperlink"/>
            <w:rFonts w:ascii="Arial" w:eastAsia="Times New Roman" w:hAnsi="Arial" w:cs="Arial"/>
            <w:iCs/>
            <w:noProof/>
            <w:sz w:val="20"/>
            <w:szCs w:val="20"/>
          </w:rPr>
          <w:t>BOP.ADD.100 Declaration</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_Toc153137337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60</w:t>
        </w:r>
        <w:r w:rsidR="00BE3F4E" w:rsidRPr="00BE3F4E">
          <w:rPr>
            <w:rFonts w:ascii="Arial" w:hAnsi="Arial" w:cs="Arial"/>
            <w:noProof/>
            <w:webHidden/>
            <w:sz w:val="20"/>
            <w:szCs w:val="20"/>
          </w:rPr>
          <w:fldChar w:fldCharType="end"/>
        </w:r>
      </w:hyperlink>
    </w:p>
    <w:p w14:paraId="6FE8028C" w14:textId="167B8AC1" w:rsidR="00BE3F4E" w:rsidRPr="00BE3F4E" w:rsidRDefault="00000000">
      <w:pPr>
        <w:pStyle w:val="TOC5"/>
        <w:tabs>
          <w:tab w:val="right" w:leader="underscore" w:pos="9016"/>
        </w:tabs>
        <w:rPr>
          <w:rFonts w:ascii="Arial" w:eastAsiaTheme="minorEastAsia" w:hAnsi="Arial" w:cs="Arial"/>
          <w:noProof/>
          <w:sz w:val="20"/>
          <w:szCs w:val="20"/>
        </w:rPr>
      </w:pPr>
      <w:hyperlink w:anchor="_Toc153137338" w:history="1">
        <w:r w:rsidR="00BE3F4E" w:rsidRPr="00BE3F4E">
          <w:rPr>
            <w:rStyle w:val="Hyperlink"/>
            <w:rFonts w:ascii="Arial" w:eastAsia="Times New Roman" w:hAnsi="Arial" w:cs="Arial"/>
            <w:noProof/>
            <w:sz w:val="20"/>
            <w:szCs w:val="20"/>
          </w:rPr>
          <w:t>GM1 BOP.ADD.100 Declaration</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_Toc153137338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60</w:t>
        </w:r>
        <w:r w:rsidR="00BE3F4E" w:rsidRPr="00BE3F4E">
          <w:rPr>
            <w:rFonts w:ascii="Arial" w:hAnsi="Arial" w:cs="Arial"/>
            <w:noProof/>
            <w:webHidden/>
            <w:sz w:val="20"/>
            <w:szCs w:val="20"/>
          </w:rPr>
          <w:fldChar w:fldCharType="end"/>
        </w:r>
      </w:hyperlink>
    </w:p>
    <w:p w14:paraId="32B69C7D" w14:textId="7B97AEAD" w:rsidR="00BE3F4E" w:rsidRPr="00BE3F4E" w:rsidRDefault="00000000">
      <w:pPr>
        <w:pStyle w:val="TOC4"/>
        <w:tabs>
          <w:tab w:val="right" w:leader="underscore" w:pos="9016"/>
        </w:tabs>
        <w:rPr>
          <w:rFonts w:ascii="Arial" w:eastAsiaTheme="minorEastAsia" w:hAnsi="Arial" w:cs="Arial"/>
          <w:noProof/>
          <w:sz w:val="20"/>
          <w:szCs w:val="20"/>
        </w:rPr>
      </w:pPr>
      <w:hyperlink w:anchor="_Toc153137339" w:history="1">
        <w:r w:rsidR="00BE3F4E" w:rsidRPr="00BE3F4E">
          <w:rPr>
            <w:rStyle w:val="Hyperlink"/>
            <w:rFonts w:ascii="Arial" w:eastAsia="Times New Roman" w:hAnsi="Arial" w:cs="Arial"/>
            <w:iCs/>
            <w:noProof/>
            <w:sz w:val="20"/>
            <w:szCs w:val="20"/>
          </w:rPr>
          <w:t>BOP.ADD.105 Changes to the declaration and cessation of commercial operations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_Toc153137339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60</w:t>
        </w:r>
        <w:r w:rsidR="00BE3F4E" w:rsidRPr="00BE3F4E">
          <w:rPr>
            <w:rFonts w:ascii="Arial" w:hAnsi="Arial" w:cs="Arial"/>
            <w:noProof/>
            <w:webHidden/>
            <w:sz w:val="20"/>
            <w:szCs w:val="20"/>
          </w:rPr>
          <w:fldChar w:fldCharType="end"/>
        </w:r>
      </w:hyperlink>
    </w:p>
    <w:p w14:paraId="229E22FB" w14:textId="15398F21" w:rsidR="00BE3F4E" w:rsidRPr="00BE3F4E" w:rsidRDefault="00000000">
      <w:pPr>
        <w:pStyle w:val="TOC5"/>
        <w:tabs>
          <w:tab w:val="right" w:leader="underscore" w:pos="9016"/>
        </w:tabs>
        <w:rPr>
          <w:rFonts w:ascii="Arial" w:eastAsiaTheme="minorEastAsia" w:hAnsi="Arial" w:cs="Arial"/>
          <w:noProof/>
          <w:sz w:val="20"/>
          <w:szCs w:val="20"/>
        </w:rPr>
      </w:pPr>
      <w:hyperlink w:anchor="_Toc153137340" w:history="1">
        <w:r w:rsidR="00BE3F4E" w:rsidRPr="00BE3F4E">
          <w:rPr>
            <w:rStyle w:val="Hyperlink"/>
            <w:rFonts w:ascii="Arial" w:eastAsia="Times New Roman" w:hAnsi="Arial" w:cs="Arial"/>
            <w:noProof/>
            <w:sz w:val="20"/>
            <w:szCs w:val="20"/>
          </w:rPr>
          <w:t xml:space="preserve">AMC1 BOP.ADD.105(a) Changes to the declaration and cessation of commercial </w:t>
        </w:r>
        <w:r w:rsidR="00BE3F4E" w:rsidRPr="00BE3F4E">
          <w:rPr>
            <w:rStyle w:val="Hyperlink"/>
            <w:rFonts w:ascii="Arial" w:eastAsia="Times New Roman" w:hAnsi="Arial" w:cs="Arial"/>
            <w:noProof/>
            <w:sz w:val="20"/>
            <w:szCs w:val="20"/>
          </w:rPr>
          <w:lastRenderedPageBreak/>
          <w:t>operations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_Toc153137340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60</w:t>
        </w:r>
        <w:r w:rsidR="00BE3F4E" w:rsidRPr="00BE3F4E">
          <w:rPr>
            <w:rFonts w:ascii="Arial" w:hAnsi="Arial" w:cs="Arial"/>
            <w:noProof/>
            <w:webHidden/>
            <w:sz w:val="20"/>
            <w:szCs w:val="20"/>
          </w:rPr>
          <w:fldChar w:fldCharType="end"/>
        </w:r>
      </w:hyperlink>
    </w:p>
    <w:p w14:paraId="27B0BA2C" w14:textId="6BA6DDEC" w:rsidR="00BE3F4E" w:rsidRPr="00BE3F4E" w:rsidRDefault="00000000">
      <w:pPr>
        <w:pStyle w:val="TOC4"/>
        <w:tabs>
          <w:tab w:val="right" w:leader="underscore" w:pos="9016"/>
        </w:tabs>
        <w:rPr>
          <w:rFonts w:ascii="Arial" w:eastAsiaTheme="minorEastAsia" w:hAnsi="Arial" w:cs="Arial"/>
          <w:noProof/>
          <w:sz w:val="20"/>
          <w:szCs w:val="20"/>
        </w:rPr>
      </w:pPr>
      <w:hyperlink w:anchor="_Toc153137341" w:history="1">
        <w:r w:rsidR="00BE3F4E" w:rsidRPr="00BE3F4E">
          <w:rPr>
            <w:rStyle w:val="Hyperlink"/>
            <w:rFonts w:ascii="Arial" w:eastAsia="Times New Roman" w:hAnsi="Arial" w:cs="Arial"/>
            <w:iCs/>
            <w:noProof/>
            <w:sz w:val="20"/>
            <w:szCs w:val="20"/>
          </w:rPr>
          <w:t>BOP.ADD.110 Airworthiness requirements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_Toc153137341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60</w:t>
        </w:r>
        <w:r w:rsidR="00BE3F4E" w:rsidRPr="00BE3F4E">
          <w:rPr>
            <w:rFonts w:ascii="Arial" w:hAnsi="Arial" w:cs="Arial"/>
            <w:noProof/>
            <w:webHidden/>
            <w:sz w:val="20"/>
            <w:szCs w:val="20"/>
          </w:rPr>
          <w:fldChar w:fldCharType="end"/>
        </w:r>
      </w:hyperlink>
    </w:p>
    <w:p w14:paraId="41E2EC4C" w14:textId="416A11A1" w:rsidR="00BE3F4E" w:rsidRPr="00BE3F4E" w:rsidRDefault="00000000">
      <w:pPr>
        <w:pStyle w:val="TOC4"/>
        <w:tabs>
          <w:tab w:val="right" w:leader="underscore" w:pos="9016"/>
        </w:tabs>
        <w:rPr>
          <w:rFonts w:ascii="Arial" w:eastAsiaTheme="minorEastAsia" w:hAnsi="Arial" w:cs="Arial"/>
          <w:noProof/>
          <w:sz w:val="20"/>
          <w:szCs w:val="20"/>
        </w:rPr>
      </w:pPr>
      <w:hyperlink w:anchor="_Toc153137342" w:history="1">
        <w:r w:rsidR="00BE3F4E" w:rsidRPr="00BE3F4E">
          <w:rPr>
            <w:rStyle w:val="Hyperlink"/>
            <w:rFonts w:ascii="Arial" w:eastAsia="Times New Roman" w:hAnsi="Arial" w:cs="Arial"/>
            <w:iCs/>
            <w:noProof/>
            <w:sz w:val="20"/>
            <w:szCs w:val="20"/>
          </w:rPr>
          <w:t>BOP.ADD.115 Wet lease and dry lease of a balloon registered in a third country</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_Toc153137342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61</w:t>
        </w:r>
        <w:r w:rsidR="00BE3F4E" w:rsidRPr="00BE3F4E">
          <w:rPr>
            <w:rFonts w:ascii="Arial" w:hAnsi="Arial" w:cs="Arial"/>
            <w:noProof/>
            <w:webHidden/>
            <w:sz w:val="20"/>
            <w:szCs w:val="20"/>
          </w:rPr>
          <w:fldChar w:fldCharType="end"/>
        </w:r>
      </w:hyperlink>
    </w:p>
    <w:p w14:paraId="398FEFEF" w14:textId="4FC6042F" w:rsidR="00BE3F4E" w:rsidRPr="00BE3F4E" w:rsidRDefault="00000000">
      <w:pPr>
        <w:pStyle w:val="TOC5"/>
        <w:tabs>
          <w:tab w:val="right" w:leader="underscore" w:pos="9016"/>
        </w:tabs>
        <w:rPr>
          <w:rFonts w:ascii="Arial" w:eastAsiaTheme="minorEastAsia" w:hAnsi="Arial" w:cs="Arial"/>
          <w:noProof/>
          <w:sz w:val="20"/>
          <w:szCs w:val="20"/>
        </w:rPr>
      </w:pPr>
      <w:hyperlink w:anchor="_Toc153137343" w:history="1">
        <w:r w:rsidR="00BE3F4E" w:rsidRPr="00BE3F4E">
          <w:rPr>
            <w:rStyle w:val="Hyperlink"/>
            <w:rFonts w:ascii="Arial" w:eastAsia="Times New Roman" w:hAnsi="Arial" w:cs="Arial"/>
            <w:noProof/>
            <w:sz w:val="20"/>
            <w:szCs w:val="20"/>
          </w:rPr>
          <w:t>AMC1 BOP.ADD.115 Wet lease and dry lease of a balloon registered in a third country</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_Toc153137343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61</w:t>
        </w:r>
        <w:r w:rsidR="00BE3F4E" w:rsidRPr="00BE3F4E">
          <w:rPr>
            <w:rFonts w:ascii="Arial" w:hAnsi="Arial" w:cs="Arial"/>
            <w:noProof/>
            <w:webHidden/>
            <w:sz w:val="20"/>
            <w:szCs w:val="20"/>
          </w:rPr>
          <w:fldChar w:fldCharType="end"/>
        </w:r>
      </w:hyperlink>
    </w:p>
    <w:p w14:paraId="61F472DF" w14:textId="37B6F7C3" w:rsidR="00BE3F4E" w:rsidRPr="00BE3F4E" w:rsidRDefault="00000000">
      <w:pPr>
        <w:pStyle w:val="TOC5"/>
        <w:tabs>
          <w:tab w:val="right" w:leader="underscore" w:pos="9016"/>
        </w:tabs>
        <w:rPr>
          <w:rFonts w:ascii="Arial" w:eastAsiaTheme="minorEastAsia" w:hAnsi="Arial" w:cs="Arial"/>
          <w:noProof/>
          <w:sz w:val="20"/>
          <w:szCs w:val="20"/>
        </w:rPr>
      </w:pPr>
      <w:hyperlink w:anchor="_Toc153137344" w:history="1">
        <w:r w:rsidR="00BE3F4E" w:rsidRPr="00BE3F4E">
          <w:rPr>
            <w:rStyle w:val="Hyperlink"/>
            <w:rFonts w:ascii="Arial" w:eastAsia="Times New Roman" w:hAnsi="Arial" w:cs="Arial"/>
            <w:noProof/>
            <w:sz w:val="20"/>
            <w:szCs w:val="20"/>
          </w:rPr>
          <w:t>GM1 BOP.ADD.115(a) Wet lease and dry lease of a balloon registered in a third country</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_Toc153137344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61</w:t>
        </w:r>
        <w:r w:rsidR="00BE3F4E" w:rsidRPr="00BE3F4E">
          <w:rPr>
            <w:rFonts w:ascii="Arial" w:hAnsi="Arial" w:cs="Arial"/>
            <w:noProof/>
            <w:webHidden/>
            <w:sz w:val="20"/>
            <w:szCs w:val="20"/>
          </w:rPr>
          <w:fldChar w:fldCharType="end"/>
        </w:r>
      </w:hyperlink>
    </w:p>
    <w:p w14:paraId="79E7C70D" w14:textId="54075EEB" w:rsidR="00BE3F4E" w:rsidRPr="00BE3F4E" w:rsidRDefault="00000000">
      <w:pPr>
        <w:pStyle w:val="TOC4"/>
        <w:tabs>
          <w:tab w:val="right" w:leader="underscore" w:pos="9016"/>
        </w:tabs>
        <w:rPr>
          <w:rFonts w:ascii="Arial" w:eastAsiaTheme="minorEastAsia" w:hAnsi="Arial" w:cs="Arial"/>
          <w:noProof/>
          <w:sz w:val="20"/>
          <w:szCs w:val="20"/>
        </w:rPr>
      </w:pPr>
      <w:hyperlink w:anchor="_Toc153137345" w:history="1">
        <w:r w:rsidR="00BE3F4E" w:rsidRPr="00BE3F4E">
          <w:rPr>
            <w:rStyle w:val="Hyperlink"/>
            <w:rFonts w:ascii="Arial" w:eastAsiaTheme="majorEastAsia" w:hAnsi="Arial" w:cs="Arial"/>
            <w:iCs/>
            <w:noProof/>
            <w:sz w:val="20"/>
            <w:szCs w:val="20"/>
          </w:rPr>
          <w:t>SECTION 3 – MANUALS AND RECORDS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_Toc153137345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62</w:t>
        </w:r>
        <w:r w:rsidR="00BE3F4E" w:rsidRPr="00BE3F4E">
          <w:rPr>
            <w:rFonts w:ascii="Arial" w:hAnsi="Arial" w:cs="Arial"/>
            <w:noProof/>
            <w:webHidden/>
            <w:sz w:val="20"/>
            <w:szCs w:val="20"/>
          </w:rPr>
          <w:fldChar w:fldCharType="end"/>
        </w:r>
      </w:hyperlink>
    </w:p>
    <w:p w14:paraId="4BCC2918" w14:textId="295FB9D8" w:rsidR="00BE3F4E" w:rsidRPr="00BE3F4E" w:rsidRDefault="00000000">
      <w:pPr>
        <w:pStyle w:val="TOC4"/>
        <w:tabs>
          <w:tab w:val="right" w:leader="underscore" w:pos="9016"/>
        </w:tabs>
        <w:rPr>
          <w:rFonts w:ascii="Arial" w:eastAsiaTheme="minorEastAsia" w:hAnsi="Arial" w:cs="Arial"/>
          <w:noProof/>
          <w:sz w:val="20"/>
          <w:szCs w:val="20"/>
        </w:rPr>
      </w:pPr>
      <w:hyperlink w:anchor="_Toc153137346" w:history="1">
        <w:r w:rsidR="00BE3F4E" w:rsidRPr="00BE3F4E">
          <w:rPr>
            <w:rStyle w:val="Hyperlink"/>
            <w:rFonts w:ascii="Arial" w:eastAsia="Times New Roman" w:hAnsi="Arial" w:cs="Arial"/>
            <w:iCs/>
            <w:noProof/>
            <w:sz w:val="20"/>
            <w:szCs w:val="20"/>
          </w:rPr>
          <w:t>BOP.ADD.200 Operations manual</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_Toc153137346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62</w:t>
        </w:r>
        <w:r w:rsidR="00BE3F4E" w:rsidRPr="00BE3F4E">
          <w:rPr>
            <w:rFonts w:ascii="Arial" w:hAnsi="Arial" w:cs="Arial"/>
            <w:noProof/>
            <w:webHidden/>
            <w:sz w:val="20"/>
            <w:szCs w:val="20"/>
          </w:rPr>
          <w:fldChar w:fldCharType="end"/>
        </w:r>
      </w:hyperlink>
    </w:p>
    <w:p w14:paraId="725162CB" w14:textId="5ABC591C" w:rsidR="00BE3F4E" w:rsidRPr="00BE3F4E" w:rsidRDefault="00000000">
      <w:pPr>
        <w:pStyle w:val="TOC5"/>
        <w:tabs>
          <w:tab w:val="right" w:leader="underscore" w:pos="9016"/>
        </w:tabs>
        <w:rPr>
          <w:rFonts w:ascii="Arial" w:eastAsiaTheme="minorEastAsia" w:hAnsi="Arial" w:cs="Arial"/>
          <w:noProof/>
          <w:sz w:val="20"/>
          <w:szCs w:val="20"/>
        </w:rPr>
      </w:pPr>
      <w:hyperlink w:anchor="_Toc153137347" w:history="1">
        <w:r w:rsidR="00BE3F4E" w:rsidRPr="00BE3F4E">
          <w:rPr>
            <w:rStyle w:val="Hyperlink"/>
            <w:rFonts w:ascii="Arial" w:eastAsia="Times New Roman" w:hAnsi="Arial" w:cs="Arial"/>
            <w:noProof/>
            <w:sz w:val="20"/>
            <w:szCs w:val="20"/>
          </w:rPr>
          <w:t>AMC1 BOP.ADD.200 Operations manual</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_Toc153137347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62</w:t>
        </w:r>
        <w:r w:rsidR="00BE3F4E" w:rsidRPr="00BE3F4E">
          <w:rPr>
            <w:rFonts w:ascii="Arial" w:hAnsi="Arial" w:cs="Arial"/>
            <w:noProof/>
            <w:webHidden/>
            <w:sz w:val="20"/>
            <w:szCs w:val="20"/>
          </w:rPr>
          <w:fldChar w:fldCharType="end"/>
        </w:r>
      </w:hyperlink>
    </w:p>
    <w:p w14:paraId="37480739" w14:textId="2C440EC1" w:rsidR="00BE3F4E" w:rsidRPr="00BE3F4E" w:rsidRDefault="00000000">
      <w:pPr>
        <w:pStyle w:val="TOC5"/>
        <w:tabs>
          <w:tab w:val="right" w:leader="underscore" w:pos="9016"/>
        </w:tabs>
        <w:rPr>
          <w:rFonts w:ascii="Arial" w:eastAsiaTheme="minorEastAsia" w:hAnsi="Arial" w:cs="Arial"/>
          <w:noProof/>
          <w:sz w:val="20"/>
          <w:szCs w:val="20"/>
        </w:rPr>
      </w:pPr>
      <w:hyperlink w:anchor="_Toc153137348" w:history="1">
        <w:r w:rsidR="00BE3F4E" w:rsidRPr="00BE3F4E">
          <w:rPr>
            <w:rStyle w:val="Hyperlink"/>
            <w:rFonts w:ascii="Arial" w:eastAsia="Times New Roman" w:hAnsi="Arial" w:cs="Arial"/>
            <w:noProof/>
            <w:sz w:val="20"/>
            <w:szCs w:val="20"/>
          </w:rPr>
          <w:t>AMC2 BOP.ADD.200 Operations manual</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_Toc153137348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63</w:t>
        </w:r>
        <w:r w:rsidR="00BE3F4E" w:rsidRPr="00BE3F4E">
          <w:rPr>
            <w:rFonts w:ascii="Arial" w:hAnsi="Arial" w:cs="Arial"/>
            <w:noProof/>
            <w:webHidden/>
            <w:sz w:val="20"/>
            <w:szCs w:val="20"/>
          </w:rPr>
          <w:fldChar w:fldCharType="end"/>
        </w:r>
      </w:hyperlink>
    </w:p>
    <w:p w14:paraId="6149EAC0" w14:textId="19C38678" w:rsidR="00BE3F4E" w:rsidRPr="00BE3F4E" w:rsidRDefault="00000000">
      <w:pPr>
        <w:pStyle w:val="TOC5"/>
        <w:tabs>
          <w:tab w:val="right" w:leader="underscore" w:pos="9016"/>
        </w:tabs>
        <w:rPr>
          <w:rFonts w:ascii="Arial" w:eastAsiaTheme="minorEastAsia" w:hAnsi="Arial" w:cs="Arial"/>
          <w:noProof/>
          <w:sz w:val="20"/>
          <w:szCs w:val="20"/>
        </w:rPr>
      </w:pPr>
      <w:hyperlink w:anchor="_Toc153137349" w:history="1">
        <w:r w:rsidR="00BE3F4E" w:rsidRPr="00BE3F4E">
          <w:rPr>
            <w:rStyle w:val="Hyperlink"/>
            <w:rFonts w:ascii="Arial" w:eastAsia="Times New Roman" w:hAnsi="Arial" w:cs="Arial"/>
            <w:noProof/>
            <w:sz w:val="20"/>
            <w:szCs w:val="20"/>
          </w:rPr>
          <w:t>GM1 BOP.ADD.200 Operations manual</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_Toc153137349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63</w:t>
        </w:r>
        <w:r w:rsidR="00BE3F4E" w:rsidRPr="00BE3F4E">
          <w:rPr>
            <w:rFonts w:ascii="Arial" w:hAnsi="Arial" w:cs="Arial"/>
            <w:noProof/>
            <w:webHidden/>
            <w:sz w:val="20"/>
            <w:szCs w:val="20"/>
          </w:rPr>
          <w:fldChar w:fldCharType="end"/>
        </w:r>
      </w:hyperlink>
    </w:p>
    <w:p w14:paraId="6BBFA7CE" w14:textId="126D6408" w:rsidR="00BE3F4E" w:rsidRPr="00BE3F4E" w:rsidRDefault="00000000">
      <w:pPr>
        <w:pStyle w:val="TOC4"/>
        <w:tabs>
          <w:tab w:val="right" w:leader="underscore" w:pos="9016"/>
        </w:tabs>
        <w:rPr>
          <w:rFonts w:ascii="Arial" w:eastAsiaTheme="minorEastAsia" w:hAnsi="Arial" w:cs="Arial"/>
          <w:noProof/>
          <w:sz w:val="20"/>
          <w:szCs w:val="20"/>
        </w:rPr>
      </w:pPr>
      <w:hyperlink w:anchor="_Toc153137350" w:history="1">
        <w:r w:rsidR="00BE3F4E" w:rsidRPr="00BE3F4E">
          <w:rPr>
            <w:rStyle w:val="Hyperlink"/>
            <w:rFonts w:ascii="Arial" w:eastAsia="Times New Roman" w:hAnsi="Arial" w:cs="Arial"/>
            <w:iCs/>
            <w:noProof/>
            <w:sz w:val="20"/>
            <w:szCs w:val="20"/>
          </w:rPr>
          <w:t>BOP.ADD.205 Record-keeping</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_Toc153137350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63</w:t>
        </w:r>
        <w:r w:rsidR="00BE3F4E" w:rsidRPr="00BE3F4E">
          <w:rPr>
            <w:rFonts w:ascii="Arial" w:hAnsi="Arial" w:cs="Arial"/>
            <w:noProof/>
            <w:webHidden/>
            <w:sz w:val="20"/>
            <w:szCs w:val="20"/>
          </w:rPr>
          <w:fldChar w:fldCharType="end"/>
        </w:r>
      </w:hyperlink>
    </w:p>
    <w:p w14:paraId="329584CB" w14:textId="581A3B38" w:rsidR="00BE3F4E" w:rsidRPr="00BE3F4E" w:rsidRDefault="00000000">
      <w:pPr>
        <w:pStyle w:val="TOC5"/>
        <w:tabs>
          <w:tab w:val="right" w:leader="underscore" w:pos="9016"/>
        </w:tabs>
        <w:rPr>
          <w:rFonts w:ascii="Arial" w:eastAsiaTheme="minorEastAsia" w:hAnsi="Arial" w:cs="Arial"/>
          <w:noProof/>
          <w:sz w:val="20"/>
          <w:szCs w:val="20"/>
        </w:rPr>
      </w:pPr>
      <w:hyperlink w:anchor="_Toc153137351" w:history="1">
        <w:r w:rsidR="00BE3F4E" w:rsidRPr="00BE3F4E">
          <w:rPr>
            <w:rStyle w:val="Hyperlink"/>
            <w:rFonts w:ascii="Arial" w:eastAsia="Times New Roman" w:hAnsi="Arial" w:cs="Arial"/>
            <w:noProof/>
            <w:sz w:val="20"/>
            <w:szCs w:val="20"/>
          </w:rPr>
          <w:t>AMC1 BOP.ADD.205 Record-keeping</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_Toc153137351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63</w:t>
        </w:r>
        <w:r w:rsidR="00BE3F4E" w:rsidRPr="00BE3F4E">
          <w:rPr>
            <w:rFonts w:ascii="Arial" w:hAnsi="Arial" w:cs="Arial"/>
            <w:noProof/>
            <w:webHidden/>
            <w:sz w:val="20"/>
            <w:szCs w:val="20"/>
          </w:rPr>
          <w:fldChar w:fldCharType="end"/>
        </w:r>
      </w:hyperlink>
    </w:p>
    <w:p w14:paraId="2D143C6F" w14:textId="2832353B" w:rsidR="00BE3F4E" w:rsidRPr="00BE3F4E" w:rsidRDefault="00000000">
      <w:pPr>
        <w:pStyle w:val="TOC5"/>
        <w:tabs>
          <w:tab w:val="right" w:leader="underscore" w:pos="9016"/>
        </w:tabs>
        <w:rPr>
          <w:rFonts w:ascii="Arial" w:eastAsiaTheme="minorEastAsia" w:hAnsi="Arial" w:cs="Arial"/>
          <w:noProof/>
          <w:sz w:val="20"/>
          <w:szCs w:val="20"/>
        </w:rPr>
      </w:pPr>
      <w:hyperlink w:anchor="_Toc153137352" w:history="1">
        <w:r w:rsidR="00BE3F4E" w:rsidRPr="00BE3F4E">
          <w:rPr>
            <w:rStyle w:val="Hyperlink"/>
            <w:rFonts w:ascii="Arial" w:eastAsia="Times New Roman" w:hAnsi="Arial" w:cs="Arial"/>
            <w:noProof/>
            <w:sz w:val="20"/>
            <w:szCs w:val="20"/>
          </w:rPr>
          <w:t>AMC2 BOP.ADD.205 Record-keeping</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_Toc153137352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64</w:t>
        </w:r>
        <w:r w:rsidR="00BE3F4E" w:rsidRPr="00BE3F4E">
          <w:rPr>
            <w:rFonts w:ascii="Arial" w:hAnsi="Arial" w:cs="Arial"/>
            <w:noProof/>
            <w:webHidden/>
            <w:sz w:val="20"/>
            <w:szCs w:val="20"/>
          </w:rPr>
          <w:fldChar w:fldCharType="end"/>
        </w:r>
      </w:hyperlink>
    </w:p>
    <w:p w14:paraId="7C5F3C3F" w14:textId="5341A1D4" w:rsidR="00BE3F4E" w:rsidRPr="00BE3F4E" w:rsidRDefault="00000000">
      <w:pPr>
        <w:pStyle w:val="TOC4"/>
        <w:tabs>
          <w:tab w:val="right" w:leader="underscore" w:pos="9016"/>
        </w:tabs>
        <w:rPr>
          <w:rFonts w:ascii="Arial" w:eastAsiaTheme="minorEastAsia" w:hAnsi="Arial" w:cs="Arial"/>
          <w:noProof/>
          <w:sz w:val="20"/>
          <w:szCs w:val="20"/>
        </w:rPr>
      </w:pPr>
      <w:hyperlink w:anchor="_Toc153137353" w:history="1">
        <w:r w:rsidR="00BE3F4E" w:rsidRPr="00BE3F4E">
          <w:rPr>
            <w:rStyle w:val="Hyperlink"/>
            <w:rFonts w:ascii="Arial" w:eastAsiaTheme="majorEastAsia" w:hAnsi="Arial" w:cs="Arial"/>
            <w:iCs/>
            <w:noProof/>
            <w:sz w:val="20"/>
            <w:szCs w:val="20"/>
          </w:rPr>
          <w:t>SECTION 4 – FLIGHT CREW</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_Toc153137353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65</w:t>
        </w:r>
        <w:r w:rsidR="00BE3F4E" w:rsidRPr="00BE3F4E">
          <w:rPr>
            <w:rFonts w:ascii="Arial" w:hAnsi="Arial" w:cs="Arial"/>
            <w:noProof/>
            <w:webHidden/>
            <w:sz w:val="20"/>
            <w:szCs w:val="20"/>
          </w:rPr>
          <w:fldChar w:fldCharType="end"/>
        </w:r>
      </w:hyperlink>
    </w:p>
    <w:p w14:paraId="6C97397D" w14:textId="0EF45766" w:rsidR="00BE3F4E" w:rsidRPr="00BE3F4E" w:rsidRDefault="00000000">
      <w:pPr>
        <w:pStyle w:val="TOC4"/>
        <w:tabs>
          <w:tab w:val="right" w:leader="underscore" w:pos="9016"/>
        </w:tabs>
        <w:rPr>
          <w:rFonts w:ascii="Arial" w:eastAsiaTheme="minorEastAsia" w:hAnsi="Arial" w:cs="Arial"/>
          <w:noProof/>
          <w:sz w:val="20"/>
          <w:szCs w:val="20"/>
        </w:rPr>
      </w:pPr>
      <w:hyperlink w:anchor="_Toc153137354" w:history="1">
        <w:r w:rsidR="00BE3F4E" w:rsidRPr="00BE3F4E">
          <w:rPr>
            <w:rStyle w:val="Hyperlink"/>
            <w:rFonts w:ascii="Arial" w:eastAsia="Times New Roman" w:hAnsi="Arial" w:cs="Arial"/>
            <w:iCs/>
            <w:noProof/>
            <w:sz w:val="20"/>
            <w:szCs w:val="20"/>
          </w:rPr>
          <w:t>BOP.ADD.300 Composition of flight crew</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_Toc153137354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65</w:t>
        </w:r>
        <w:r w:rsidR="00BE3F4E" w:rsidRPr="00BE3F4E">
          <w:rPr>
            <w:rFonts w:ascii="Arial" w:hAnsi="Arial" w:cs="Arial"/>
            <w:noProof/>
            <w:webHidden/>
            <w:sz w:val="20"/>
            <w:szCs w:val="20"/>
          </w:rPr>
          <w:fldChar w:fldCharType="end"/>
        </w:r>
      </w:hyperlink>
    </w:p>
    <w:p w14:paraId="00857350" w14:textId="2978EF0B" w:rsidR="00BE3F4E" w:rsidRPr="00BE3F4E" w:rsidRDefault="00000000">
      <w:pPr>
        <w:pStyle w:val="TOC4"/>
        <w:tabs>
          <w:tab w:val="right" w:leader="underscore" w:pos="9016"/>
        </w:tabs>
        <w:rPr>
          <w:rFonts w:ascii="Arial" w:eastAsiaTheme="minorEastAsia" w:hAnsi="Arial" w:cs="Arial"/>
          <w:noProof/>
          <w:sz w:val="20"/>
          <w:szCs w:val="20"/>
        </w:rPr>
      </w:pPr>
      <w:hyperlink w:anchor="_Toc153137355" w:history="1">
        <w:r w:rsidR="00BE3F4E" w:rsidRPr="00BE3F4E">
          <w:rPr>
            <w:rStyle w:val="Hyperlink"/>
            <w:rFonts w:ascii="Arial" w:eastAsia="Times New Roman" w:hAnsi="Arial" w:cs="Arial"/>
            <w:iCs/>
            <w:noProof/>
            <w:sz w:val="20"/>
            <w:szCs w:val="20"/>
          </w:rPr>
          <w:t>BOP.ADD.305 Designation as pilot-in-command</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_Toc153137355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65</w:t>
        </w:r>
        <w:r w:rsidR="00BE3F4E" w:rsidRPr="00BE3F4E">
          <w:rPr>
            <w:rFonts w:ascii="Arial" w:hAnsi="Arial" w:cs="Arial"/>
            <w:noProof/>
            <w:webHidden/>
            <w:sz w:val="20"/>
            <w:szCs w:val="20"/>
          </w:rPr>
          <w:fldChar w:fldCharType="end"/>
        </w:r>
      </w:hyperlink>
    </w:p>
    <w:p w14:paraId="1AA58421" w14:textId="3B22A1EC" w:rsidR="00BE3F4E" w:rsidRPr="00BE3F4E" w:rsidRDefault="00000000">
      <w:pPr>
        <w:pStyle w:val="TOC4"/>
        <w:tabs>
          <w:tab w:val="right" w:leader="underscore" w:pos="9016"/>
        </w:tabs>
        <w:rPr>
          <w:rFonts w:ascii="Arial" w:eastAsiaTheme="minorEastAsia" w:hAnsi="Arial" w:cs="Arial"/>
          <w:noProof/>
          <w:sz w:val="20"/>
          <w:szCs w:val="20"/>
        </w:rPr>
      </w:pPr>
      <w:hyperlink w:anchor="_Toc153137356" w:history="1">
        <w:r w:rsidR="00BE3F4E" w:rsidRPr="00BE3F4E">
          <w:rPr>
            <w:rStyle w:val="Hyperlink"/>
            <w:rFonts w:ascii="Arial" w:eastAsia="Times New Roman" w:hAnsi="Arial" w:cs="Arial"/>
            <w:iCs/>
            <w:noProof/>
            <w:sz w:val="20"/>
            <w:szCs w:val="20"/>
          </w:rPr>
          <w:t>BOP.ADD.310 Provision of training and checking</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_Toc153137356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65</w:t>
        </w:r>
        <w:r w:rsidR="00BE3F4E" w:rsidRPr="00BE3F4E">
          <w:rPr>
            <w:rFonts w:ascii="Arial" w:hAnsi="Arial" w:cs="Arial"/>
            <w:noProof/>
            <w:webHidden/>
            <w:sz w:val="20"/>
            <w:szCs w:val="20"/>
          </w:rPr>
          <w:fldChar w:fldCharType="end"/>
        </w:r>
      </w:hyperlink>
    </w:p>
    <w:p w14:paraId="5ACAA514" w14:textId="3F93D775" w:rsidR="00BE3F4E" w:rsidRPr="00BE3F4E" w:rsidRDefault="00000000">
      <w:pPr>
        <w:pStyle w:val="TOC5"/>
        <w:tabs>
          <w:tab w:val="right" w:leader="underscore" w:pos="9016"/>
        </w:tabs>
        <w:rPr>
          <w:rFonts w:ascii="Arial" w:eastAsiaTheme="minorEastAsia" w:hAnsi="Arial" w:cs="Arial"/>
          <w:noProof/>
          <w:sz w:val="20"/>
          <w:szCs w:val="20"/>
        </w:rPr>
      </w:pPr>
      <w:hyperlink w:anchor="_Toc153137357" w:history="1">
        <w:r w:rsidR="00BE3F4E" w:rsidRPr="00BE3F4E">
          <w:rPr>
            <w:rStyle w:val="Hyperlink"/>
            <w:rFonts w:ascii="Arial" w:eastAsia="Times New Roman" w:hAnsi="Arial" w:cs="Arial"/>
            <w:noProof/>
            <w:sz w:val="20"/>
            <w:szCs w:val="20"/>
          </w:rPr>
          <w:t>AMC1 BOP.ADD.310(a) Provision of training and checking</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_Toc153137357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65</w:t>
        </w:r>
        <w:r w:rsidR="00BE3F4E" w:rsidRPr="00BE3F4E">
          <w:rPr>
            <w:rFonts w:ascii="Arial" w:hAnsi="Arial" w:cs="Arial"/>
            <w:noProof/>
            <w:webHidden/>
            <w:sz w:val="20"/>
            <w:szCs w:val="20"/>
          </w:rPr>
          <w:fldChar w:fldCharType="end"/>
        </w:r>
      </w:hyperlink>
    </w:p>
    <w:p w14:paraId="2B2BD35C" w14:textId="70EEB11B" w:rsidR="00BE3F4E" w:rsidRPr="00BE3F4E" w:rsidRDefault="00000000">
      <w:pPr>
        <w:pStyle w:val="TOC4"/>
        <w:tabs>
          <w:tab w:val="right" w:leader="underscore" w:pos="9016"/>
        </w:tabs>
        <w:rPr>
          <w:rFonts w:ascii="Arial" w:eastAsiaTheme="minorEastAsia" w:hAnsi="Arial" w:cs="Arial"/>
          <w:noProof/>
          <w:sz w:val="20"/>
          <w:szCs w:val="20"/>
        </w:rPr>
      </w:pPr>
      <w:hyperlink w:anchor="_Toc153137358" w:history="1">
        <w:r w:rsidR="00BE3F4E" w:rsidRPr="00BE3F4E">
          <w:rPr>
            <w:rStyle w:val="Hyperlink"/>
            <w:rFonts w:ascii="Arial" w:eastAsia="Times New Roman" w:hAnsi="Arial" w:cs="Arial"/>
            <w:iCs/>
            <w:noProof/>
            <w:sz w:val="20"/>
            <w:szCs w:val="20"/>
          </w:rPr>
          <w:t>BOP.ADD.315 Recurrent training and checking</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_Toc153137358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65</w:t>
        </w:r>
        <w:r w:rsidR="00BE3F4E" w:rsidRPr="00BE3F4E">
          <w:rPr>
            <w:rFonts w:ascii="Arial" w:hAnsi="Arial" w:cs="Arial"/>
            <w:noProof/>
            <w:webHidden/>
            <w:sz w:val="20"/>
            <w:szCs w:val="20"/>
          </w:rPr>
          <w:fldChar w:fldCharType="end"/>
        </w:r>
      </w:hyperlink>
    </w:p>
    <w:p w14:paraId="4B583F8C" w14:textId="676DC441" w:rsidR="00BE3F4E" w:rsidRPr="00BE3F4E" w:rsidRDefault="00000000">
      <w:pPr>
        <w:pStyle w:val="TOC5"/>
        <w:tabs>
          <w:tab w:val="right" w:leader="underscore" w:pos="9016"/>
        </w:tabs>
        <w:rPr>
          <w:rFonts w:ascii="Arial" w:eastAsiaTheme="minorEastAsia" w:hAnsi="Arial" w:cs="Arial"/>
          <w:noProof/>
          <w:sz w:val="20"/>
          <w:szCs w:val="20"/>
        </w:rPr>
      </w:pPr>
      <w:hyperlink w:anchor="_Toc153137359" w:history="1">
        <w:r w:rsidR="00BE3F4E" w:rsidRPr="00BE3F4E">
          <w:rPr>
            <w:rStyle w:val="Hyperlink"/>
            <w:rFonts w:ascii="Arial" w:eastAsia="Times New Roman" w:hAnsi="Arial" w:cs="Arial"/>
            <w:noProof/>
            <w:sz w:val="20"/>
            <w:szCs w:val="20"/>
          </w:rPr>
          <w:t>AMC1 BOP.ADD.315(b);(c) Recurrent training and checking</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_Toc153137359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66</w:t>
        </w:r>
        <w:r w:rsidR="00BE3F4E" w:rsidRPr="00BE3F4E">
          <w:rPr>
            <w:rFonts w:ascii="Arial" w:hAnsi="Arial" w:cs="Arial"/>
            <w:noProof/>
            <w:webHidden/>
            <w:sz w:val="20"/>
            <w:szCs w:val="20"/>
          </w:rPr>
          <w:fldChar w:fldCharType="end"/>
        </w:r>
      </w:hyperlink>
    </w:p>
    <w:p w14:paraId="138AB082" w14:textId="49F2F80B" w:rsidR="00BE3F4E" w:rsidRPr="00BE3F4E" w:rsidRDefault="00000000">
      <w:pPr>
        <w:pStyle w:val="TOC4"/>
        <w:tabs>
          <w:tab w:val="right" w:leader="underscore" w:pos="9016"/>
        </w:tabs>
        <w:rPr>
          <w:rFonts w:ascii="Arial" w:eastAsiaTheme="minorEastAsia" w:hAnsi="Arial" w:cs="Arial"/>
          <w:noProof/>
          <w:sz w:val="20"/>
          <w:szCs w:val="20"/>
        </w:rPr>
      </w:pPr>
      <w:hyperlink w:anchor="_Toc153137360" w:history="1">
        <w:r w:rsidR="00BE3F4E" w:rsidRPr="00BE3F4E">
          <w:rPr>
            <w:rStyle w:val="Hyperlink"/>
            <w:rFonts w:ascii="Arial" w:eastAsiaTheme="majorEastAsia" w:hAnsi="Arial" w:cs="Arial"/>
            <w:iCs/>
            <w:noProof/>
            <w:sz w:val="20"/>
            <w:szCs w:val="20"/>
          </w:rPr>
          <w:t>SECTION 5 – GENERAL OPERATING REQUIREMENTS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_Toc153137360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67</w:t>
        </w:r>
        <w:r w:rsidR="00BE3F4E" w:rsidRPr="00BE3F4E">
          <w:rPr>
            <w:rFonts w:ascii="Arial" w:hAnsi="Arial" w:cs="Arial"/>
            <w:noProof/>
            <w:webHidden/>
            <w:sz w:val="20"/>
            <w:szCs w:val="20"/>
          </w:rPr>
          <w:fldChar w:fldCharType="end"/>
        </w:r>
      </w:hyperlink>
    </w:p>
    <w:p w14:paraId="4AA22C1D" w14:textId="0DBD8EB6" w:rsidR="00BE3F4E" w:rsidRPr="00BE3F4E" w:rsidRDefault="00000000">
      <w:pPr>
        <w:pStyle w:val="TOC4"/>
        <w:tabs>
          <w:tab w:val="right" w:leader="underscore" w:pos="9016"/>
        </w:tabs>
        <w:rPr>
          <w:rFonts w:ascii="Arial" w:eastAsiaTheme="minorEastAsia" w:hAnsi="Arial" w:cs="Arial"/>
          <w:noProof/>
          <w:sz w:val="20"/>
          <w:szCs w:val="20"/>
        </w:rPr>
      </w:pPr>
      <w:hyperlink w:anchor="_Toc153137361" w:history="1">
        <w:r w:rsidR="00BE3F4E" w:rsidRPr="00BE3F4E">
          <w:rPr>
            <w:rStyle w:val="Hyperlink"/>
            <w:rFonts w:ascii="Arial" w:eastAsia="Times New Roman" w:hAnsi="Arial" w:cs="Arial"/>
            <w:iCs/>
            <w:noProof/>
            <w:sz w:val="20"/>
            <w:szCs w:val="20"/>
          </w:rPr>
          <w:t>BOP.ADD.400 Responsibilities of the pilot-in-command</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_Toc153137361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67</w:t>
        </w:r>
        <w:r w:rsidR="00BE3F4E" w:rsidRPr="00BE3F4E">
          <w:rPr>
            <w:rFonts w:ascii="Arial" w:hAnsi="Arial" w:cs="Arial"/>
            <w:noProof/>
            <w:webHidden/>
            <w:sz w:val="20"/>
            <w:szCs w:val="20"/>
          </w:rPr>
          <w:fldChar w:fldCharType="end"/>
        </w:r>
      </w:hyperlink>
    </w:p>
    <w:p w14:paraId="4A8339EA" w14:textId="184BE93C" w:rsidR="00BE3F4E" w:rsidRPr="00BE3F4E" w:rsidRDefault="00000000">
      <w:pPr>
        <w:pStyle w:val="TOC4"/>
        <w:tabs>
          <w:tab w:val="right" w:leader="underscore" w:pos="9016"/>
        </w:tabs>
        <w:rPr>
          <w:rFonts w:ascii="Arial" w:eastAsiaTheme="minorEastAsia" w:hAnsi="Arial" w:cs="Arial"/>
          <w:noProof/>
          <w:sz w:val="20"/>
          <w:szCs w:val="20"/>
        </w:rPr>
      </w:pPr>
      <w:hyperlink w:anchor="_Toc153137362" w:history="1">
        <w:r w:rsidR="00BE3F4E" w:rsidRPr="00BE3F4E">
          <w:rPr>
            <w:rStyle w:val="Hyperlink"/>
            <w:rFonts w:ascii="Arial" w:eastAsia="Times New Roman" w:hAnsi="Arial" w:cs="Arial"/>
            <w:iCs/>
            <w:noProof/>
            <w:sz w:val="20"/>
            <w:szCs w:val="20"/>
          </w:rPr>
          <w:t>BOP.ADD.405 Authority of the pilot-in-command</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_Toc153137362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67</w:t>
        </w:r>
        <w:r w:rsidR="00BE3F4E" w:rsidRPr="00BE3F4E">
          <w:rPr>
            <w:rFonts w:ascii="Arial" w:hAnsi="Arial" w:cs="Arial"/>
            <w:noProof/>
            <w:webHidden/>
            <w:sz w:val="20"/>
            <w:szCs w:val="20"/>
          </w:rPr>
          <w:fldChar w:fldCharType="end"/>
        </w:r>
      </w:hyperlink>
    </w:p>
    <w:p w14:paraId="275196A2" w14:textId="2102BFEA" w:rsidR="00BE3F4E" w:rsidRPr="00BE3F4E" w:rsidRDefault="00000000">
      <w:pPr>
        <w:pStyle w:val="TOC4"/>
        <w:tabs>
          <w:tab w:val="right" w:leader="underscore" w:pos="9016"/>
        </w:tabs>
        <w:rPr>
          <w:rFonts w:ascii="Arial" w:eastAsiaTheme="minorEastAsia" w:hAnsi="Arial" w:cs="Arial"/>
          <w:noProof/>
          <w:sz w:val="20"/>
          <w:szCs w:val="20"/>
        </w:rPr>
      </w:pPr>
      <w:hyperlink w:anchor="_Toc153137363" w:history="1">
        <w:r w:rsidR="00BE3F4E" w:rsidRPr="00BE3F4E">
          <w:rPr>
            <w:rStyle w:val="Hyperlink"/>
            <w:rFonts w:ascii="Arial" w:eastAsia="Times New Roman" w:hAnsi="Arial" w:cs="Arial"/>
            <w:iCs/>
            <w:noProof/>
            <w:sz w:val="20"/>
            <w:szCs w:val="20"/>
          </w:rPr>
          <w:t>BOP.ADD.410 Additional balloon crew member</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_Toc153137363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67</w:t>
        </w:r>
        <w:r w:rsidR="00BE3F4E" w:rsidRPr="00BE3F4E">
          <w:rPr>
            <w:rFonts w:ascii="Arial" w:hAnsi="Arial" w:cs="Arial"/>
            <w:noProof/>
            <w:webHidden/>
            <w:sz w:val="20"/>
            <w:szCs w:val="20"/>
          </w:rPr>
          <w:fldChar w:fldCharType="end"/>
        </w:r>
      </w:hyperlink>
    </w:p>
    <w:p w14:paraId="000C896A" w14:textId="05EA8FA7" w:rsidR="00BE3F4E" w:rsidRPr="00BE3F4E" w:rsidRDefault="00000000">
      <w:pPr>
        <w:pStyle w:val="TOC5"/>
        <w:tabs>
          <w:tab w:val="right" w:leader="underscore" w:pos="9016"/>
        </w:tabs>
        <w:rPr>
          <w:rFonts w:ascii="Arial" w:eastAsiaTheme="minorEastAsia" w:hAnsi="Arial" w:cs="Arial"/>
          <w:noProof/>
          <w:sz w:val="20"/>
          <w:szCs w:val="20"/>
        </w:rPr>
      </w:pPr>
      <w:hyperlink w:anchor="_Toc153137364" w:history="1">
        <w:r w:rsidR="00BE3F4E" w:rsidRPr="00BE3F4E">
          <w:rPr>
            <w:rStyle w:val="Hyperlink"/>
            <w:rFonts w:ascii="Arial" w:eastAsia="Times New Roman" w:hAnsi="Arial" w:cs="Arial"/>
            <w:noProof/>
            <w:sz w:val="20"/>
            <w:szCs w:val="20"/>
          </w:rPr>
          <w:t>AMC1 BOP.ADD.410 Additional balloon crew member</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_Toc153137364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67</w:t>
        </w:r>
        <w:r w:rsidR="00BE3F4E" w:rsidRPr="00BE3F4E">
          <w:rPr>
            <w:rFonts w:ascii="Arial" w:hAnsi="Arial" w:cs="Arial"/>
            <w:noProof/>
            <w:webHidden/>
            <w:sz w:val="20"/>
            <w:szCs w:val="20"/>
          </w:rPr>
          <w:fldChar w:fldCharType="end"/>
        </w:r>
      </w:hyperlink>
    </w:p>
    <w:p w14:paraId="7C0062B3" w14:textId="14ACEFC4" w:rsidR="00BE3F4E" w:rsidRPr="00BE3F4E" w:rsidRDefault="00000000">
      <w:pPr>
        <w:pStyle w:val="TOC4"/>
        <w:tabs>
          <w:tab w:val="right" w:leader="underscore" w:pos="9016"/>
        </w:tabs>
        <w:rPr>
          <w:rFonts w:ascii="Arial" w:eastAsiaTheme="minorEastAsia" w:hAnsi="Arial" w:cs="Arial"/>
          <w:noProof/>
          <w:sz w:val="20"/>
          <w:szCs w:val="20"/>
        </w:rPr>
      </w:pPr>
      <w:hyperlink w:anchor="_Toc153137365" w:history="1">
        <w:r w:rsidR="00BE3F4E" w:rsidRPr="00BE3F4E">
          <w:rPr>
            <w:rStyle w:val="Hyperlink"/>
            <w:rFonts w:ascii="Arial" w:eastAsia="Times New Roman" w:hAnsi="Arial" w:cs="Arial"/>
            <w:iCs/>
            <w:noProof/>
            <w:sz w:val="20"/>
            <w:szCs w:val="20"/>
          </w:rPr>
          <w:t>BOP.ADD.415 Fitness relating to deep water diving and blood donation</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_Toc153137365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67</w:t>
        </w:r>
        <w:r w:rsidR="00BE3F4E" w:rsidRPr="00BE3F4E">
          <w:rPr>
            <w:rFonts w:ascii="Arial" w:hAnsi="Arial" w:cs="Arial"/>
            <w:noProof/>
            <w:webHidden/>
            <w:sz w:val="20"/>
            <w:szCs w:val="20"/>
          </w:rPr>
          <w:fldChar w:fldCharType="end"/>
        </w:r>
      </w:hyperlink>
    </w:p>
    <w:p w14:paraId="35D759E7" w14:textId="735506E4" w:rsidR="00BE3F4E" w:rsidRPr="00BE3F4E" w:rsidRDefault="00000000">
      <w:pPr>
        <w:pStyle w:val="TOC5"/>
        <w:tabs>
          <w:tab w:val="right" w:leader="underscore" w:pos="9016"/>
        </w:tabs>
        <w:rPr>
          <w:rFonts w:ascii="Arial" w:eastAsiaTheme="minorEastAsia" w:hAnsi="Arial" w:cs="Arial"/>
          <w:noProof/>
          <w:sz w:val="20"/>
          <w:szCs w:val="20"/>
        </w:rPr>
      </w:pPr>
      <w:hyperlink w:anchor="_Toc153137366" w:history="1">
        <w:r w:rsidR="00BE3F4E" w:rsidRPr="00BE3F4E">
          <w:rPr>
            <w:rStyle w:val="Hyperlink"/>
            <w:rFonts w:ascii="Arial" w:eastAsia="Times New Roman" w:hAnsi="Arial" w:cs="Arial"/>
            <w:noProof/>
            <w:sz w:val="20"/>
            <w:szCs w:val="20"/>
          </w:rPr>
          <w:t>GM1 BOP.ADD.415 Fitness relating to deep water diving and blood donation</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_Toc153137366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67</w:t>
        </w:r>
        <w:r w:rsidR="00BE3F4E" w:rsidRPr="00BE3F4E">
          <w:rPr>
            <w:rFonts w:ascii="Arial" w:hAnsi="Arial" w:cs="Arial"/>
            <w:noProof/>
            <w:webHidden/>
            <w:sz w:val="20"/>
            <w:szCs w:val="20"/>
          </w:rPr>
          <w:fldChar w:fldCharType="end"/>
        </w:r>
      </w:hyperlink>
    </w:p>
    <w:p w14:paraId="21A0B130" w14:textId="49971015" w:rsidR="00BE3F4E" w:rsidRPr="00BE3F4E" w:rsidRDefault="00000000">
      <w:pPr>
        <w:pStyle w:val="TOC4"/>
        <w:tabs>
          <w:tab w:val="right" w:leader="underscore" w:pos="9016"/>
        </w:tabs>
        <w:rPr>
          <w:rFonts w:ascii="Arial" w:eastAsiaTheme="minorEastAsia" w:hAnsi="Arial" w:cs="Arial"/>
          <w:noProof/>
          <w:sz w:val="20"/>
          <w:szCs w:val="20"/>
        </w:rPr>
      </w:pPr>
      <w:hyperlink w:anchor="_Toc153137367" w:history="1">
        <w:r w:rsidR="00BE3F4E" w:rsidRPr="00BE3F4E">
          <w:rPr>
            <w:rStyle w:val="Hyperlink"/>
            <w:rFonts w:ascii="Arial" w:eastAsia="Times New Roman" w:hAnsi="Arial" w:cs="Arial"/>
            <w:iCs/>
            <w:noProof/>
            <w:sz w:val="20"/>
            <w:szCs w:val="20"/>
          </w:rPr>
          <w:t>BOP.ADD.420 Common language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_Toc153137367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67</w:t>
        </w:r>
        <w:r w:rsidR="00BE3F4E" w:rsidRPr="00BE3F4E">
          <w:rPr>
            <w:rFonts w:ascii="Arial" w:hAnsi="Arial" w:cs="Arial"/>
            <w:noProof/>
            <w:webHidden/>
            <w:sz w:val="20"/>
            <w:szCs w:val="20"/>
          </w:rPr>
          <w:fldChar w:fldCharType="end"/>
        </w:r>
      </w:hyperlink>
    </w:p>
    <w:p w14:paraId="2CBA2FBE" w14:textId="0F78D1A8" w:rsidR="00BE3F4E" w:rsidRPr="00BE3F4E" w:rsidRDefault="00000000">
      <w:pPr>
        <w:pStyle w:val="TOC4"/>
        <w:tabs>
          <w:tab w:val="right" w:leader="underscore" w:pos="9016"/>
        </w:tabs>
        <w:rPr>
          <w:rFonts w:ascii="Arial" w:eastAsiaTheme="minorEastAsia" w:hAnsi="Arial" w:cs="Arial"/>
          <w:noProof/>
          <w:sz w:val="20"/>
          <w:szCs w:val="20"/>
        </w:rPr>
      </w:pPr>
      <w:hyperlink w:anchor="_Toc153137368" w:history="1">
        <w:r w:rsidR="00BE3F4E" w:rsidRPr="00BE3F4E">
          <w:rPr>
            <w:rStyle w:val="Hyperlink"/>
            <w:rFonts w:ascii="Arial" w:eastAsia="Times New Roman" w:hAnsi="Arial" w:cs="Arial"/>
            <w:iCs/>
            <w:noProof/>
            <w:sz w:val="20"/>
            <w:szCs w:val="20"/>
          </w:rPr>
          <w:t>BOP.ADD.425 Psychoactive substances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_Toc153137368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68</w:t>
        </w:r>
        <w:r w:rsidR="00BE3F4E" w:rsidRPr="00BE3F4E">
          <w:rPr>
            <w:rFonts w:ascii="Arial" w:hAnsi="Arial" w:cs="Arial"/>
            <w:noProof/>
            <w:webHidden/>
            <w:sz w:val="20"/>
            <w:szCs w:val="20"/>
          </w:rPr>
          <w:fldChar w:fldCharType="end"/>
        </w:r>
      </w:hyperlink>
    </w:p>
    <w:p w14:paraId="7DC6536D" w14:textId="5D6E6FDB" w:rsidR="00BE3F4E" w:rsidRPr="00BE3F4E" w:rsidRDefault="00000000">
      <w:pPr>
        <w:pStyle w:val="TOC4"/>
        <w:tabs>
          <w:tab w:val="right" w:leader="underscore" w:pos="9016"/>
        </w:tabs>
        <w:rPr>
          <w:rFonts w:ascii="Arial" w:eastAsiaTheme="minorEastAsia" w:hAnsi="Arial" w:cs="Arial"/>
          <w:noProof/>
          <w:sz w:val="20"/>
          <w:szCs w:val="20"/>
        </w:rPr>
      </w:pPr>
      <w:hyperlink w:anchor="_Toc153137369" w:history="1">
        <w:r w:rsidR="00BE3F4E" w:rsidRPr="00BE3F4E">
          <w:rPr>
            <w:rStyle w:val="Hyperlink"/>
            <w:rFonts w:ascii="Arial" w:eastAsia="Times New Roman" w:hAnsi="Arial" w:cs="Arial"/>
            <w:iCs/>
            <w:noProof/>
            <w:sz w:val="20"/>
            <w:szCs w:val="20"/>
          </w:rPr>
          <w:t>BOP.ADD.430 Endangering</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_Toc153137369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68</w:t>
        </w:r>
        <w:r w:rsidR="00BE3F4E" w:rsidRPr="00BE3F4E">
          <w:rPr>
            <w:rFonts w:ascii="Arial" w:hAnsi="Arial" w:cs="Arial"/>
            <w:noProof/>
            <w:webHidden/>
            <w:sz w:val="20"/>
            <w:szCs w:val="20"/>
          </w:rPr>
          <w:fldChar w:fldCharType="end"/>
        </w:r>
      </w:hyperlink>
    </w:p>
    <w:p w14:paraId="3C7B80C6" w14:textId="783BAF86" w:rsidR="00BE3F4E" w:rsidRPr="00BE3F4E" w:rsidRDefault="00000000">
      <w:pPr>
        <w:pStyle w:val="TOC4"/>
        <w:tabs>
          <w:tab w:val="right" w:leader="underscore" w:pos="9016"/>
        </w:tabs>
        <w:rPr>
          <w:rFonts w:ascii="Arial" w:eastAsiaTheme="minorEastAsia" w:hAnsi="Arial" w:cs="Arial"/>
          <w:noProof/>
          <w:sz w:val="20"/>
          <w:szCs w:val="20"/>
        </w:rPr>
      </w:pPr>
      <w:hyperlink w:anchor="_Toc153137370" w:history="1">
        <w:r w:rsidR="00BE3F4E" w:rsidRPr="00BE3F4E">
          <w:rPr>
            <w:rStyle w:val="Hyperlink"/>
            <w:rFonts w:ascii="Arial" w:eastAsia="Times New Roman" w:hAnsi="Arial" w:cs="Arial"/>
            <w:iCs/>
            <w:noProof/>
            <w:sz w:val="20"/>
            <w:szCs w:val="20"/>
          </w:rPr>
          <w:t>BOP.ADD.435 Documents, manuals and information to be carried</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_Toc153137370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68</w:t>
        </w:r>
        <w:r w:rsidR="00BE3F4E" w:rsidRPr="00BE3F4E">
          <w:rPr>
            <w:rFonts w:ascii="Arial" w:hAnsi="Arial" w:cs="Arial"/>
            <w:noProof/>
            <w:webHidden/>
            <w:sz w:val="20"/>
            <w:szCs w:val="20"/>
          </w:rPr>
          <w:fldChar w:fldCharType="end"/>
        </w:r>
      </w:hyperlink>
    </w:p>
    <w:p w14:paraId="6907EF4A" w14:textId="65856E81" w:rsidR="00BE3F4E" w:rsidRPr="00BE3F4E" w:rsidRDefault="00000000">
      <w:pPr>
        <w:pStyle w:val="TOC5"/>
        <w:tabs>
          <w:tab w:val="right" w:leader="underscore" w:pos="9016"/>
        </w:tabs>
        <w:rPr>
          <w:rFonts w:ascii="Arial" w:eastAsiaTheme="minorEastAsia" w:hAnsi="Arial" w:cs="Arial"/>
          <w:noProof/>
          <w:sz w:val="20"/>
          <w:szCs w:val="20"/>
        </w:rPr>
      </w:pPr>
      <w:hyperlink w:anchor="_Toc153137371" w:history="1">
        <w:r w:rsidR="00BE3F4E" w:rsidRPr="00BE3F4E">
          <w:rPr>
            <w:rStyle w:val="Hyperlink"/>
            <w:rFonts w:ascii="Arial" w:eastAsia="Times New Roman" w:hAnsi="Arial" w:cs="Arial"/>
            <w:noProof/>
            <w:sz w:val="20"/>
            <w:szCs w:val="20"/>
          </w:rPr>
          <w:t>GM1 BOP.ADD.435(a)(2) Documents, manuals and information to be carried</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_Toc153137371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68</w:t>
        </w:r>
        <w:r w:rsidR="00BE3F4E" w:rsidRPr="00BE3F4E">
          <w:rPr>
            <w:rFonts w:ascii="Arial" w:hAnsi="Arial" w:cs="Arial"/>
            <w:noProof/>
            <w:webHidden/>
            <w:sz w:val="20"/>
            <w:szCs w:val="20"/>
          </w:rPr>
          <w:fldChar w:fldCharType="end"/>
        </w:r>
      </w:hyperlink>
    </w:p>
    <w:p w14:paraId="7073CF09" w14:textId="0982DE17" w:rsidR="00BE3F4E" w:rsidRPr="00BE3F4E" w:rsidRDefault="00000000">
      <w:pPr>
        <w:pStyle w:val="TOC5"/>
        <w:tabs>
          <w:tab w:val="right" w:leader="underscore" w:pos="9016"/>
        </w:tabs>
        <w:rPr>
          <w:rFonts w:ascii="Arial" w:eastAsiaTheme="minorEastAsia" w:hAnsi="Arial" w:cs="Arial"/>
          <w:noProof/>
          <w:sz w:val="20"/>
          <w:szCs w:val="20"/>
        </w:rPr>
      </w:pPr>
      <w:hyperlink w:anchor="_Toc153137372" w:history="1">
        <w:r w:rsidR="00BE3F4E" w:rsidRPr="00BE3F4E">
          <w:rPr>
            <w:rStyle w:val="Hyperlink"/>
            <w:rFonts w:ascii="Arial" w:eastAsia="Times New Roman" w:hAnsi="Arial" w:cs="Arial"/>
            <w:noProof/>
            <w:sz w:val="20"/>
            <w:szCs w:val="20"/>
          </w:rPr>
          <w:t>GM1 BOP.ADD.435(a)(3) Documents, manuals and information to be carried</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_Toc153137372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68</w:t>
        </w:r>
        <w:r w:rsidR="00BE3F4E" w:rsidRPr="00BE3F4E">
          <w:rPr>
            <w:rFonts w:ascii="Arial" w:hAnsi="Arial" w:cs="Arial"/>
            <w:noProof/>
            <w:webHidden/>
            <w:sz w:val="20"/>
            <w:szCs w:val="20"/>
          </w:rPr>
          <w:fldChar w:fldCharType="end"/>
        </w:r>
      </w:hyperlink>
    </w:p>
    <w:p w14:paraId="25DA6E5A" w14:textId="0ADB76D3" w:rsidR="00BE3F4E" w:rsidRPr="00BE3F4E" w:rsidRDefault="00000000">
      <w:pPr>
        <w:pStyle w:val="TOC4"/>
        <w:tabs>
          <w:tab w:val="right" w:leader="underscore" w:pos="9016"/>
        </w:tabs>
        <w:rPr>
          <w:rFonts w:ascii="Arial" w:eastAsiaTheme="minorEastAsia" w:hAnsi="Arial" w:cs="Arial"/>
          <w:noProof/>
          <w:sz w:val="20"/>
          <w:szCs w:val="20"/>
        </w:rPr>
      </w:pPr>
      <w:hyperlink w:anchor="_Toc153137373" w:history="1">
        <w:r w:rsidR="00BE3F4E" w:rsidRPr="00BE3F4E">
          <w:rPr>
            <w:rStyle w:val="Hyperlink"/>
            <w:rFonts w:ascii="Arial" w:eastAsia="Times New Roman" w:hAnsi="Arial" w:cs="Arial"/>
            <w:iCs/>
            <w:noProof/>
            <w:sz w:val="20"/>
            <w:szCs w:val="20"/>
          </w:rPr>
          <w:t>BOP.ADD.440 Dangerous goods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_Toc153137373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69</w:t>
        </w:r>
        <w:r w:rsidR="00BE3F4E" w:rsidRPr="00BE3F4E">
          <w:rPr>
            <w:rFonts w:ascii="Arial" w:hAnsi="Arial" w:cs="Arial"/>
            <w:noProof/>
            <w:webHidden/>
            <w:sz w:val="20"/>
            <w:szCs w:val="20"/>
          </w:rPr>
          <w:fldChar w:fldCharType="end"/>
        </w:r>
      </w:hyperlink>
    </w:p>
    <w:p w14:paraId="47C843B1" w14:textId="2612A4A9" w:rsidR="00BE3F4E" w:rsidRPr="00BE3F4E" w:rsidRDefault="00000000">
      <w:pPr>
        <w:pStyle w:val="TOC5"/>
        <w:tabs>
          <w:tab w:val="right" w:leader="underscore" w:pos="9016"/>
        </w:tabs>
        <w:rPr>
          <w:rFonts w:ascii="Arial" w:eastAsiaTheme="minorEastAsia" w:hAnsi="Arial" w:cs="Arial"/>
          <w:noProof/>
          <w:sz w:val="20"/>
          <w:szCs w:val="20"/>
        </w:rPr>
      </w:pPr>
      <w:hyperlink w:anchor="_Toc153137374" w:history="1">
        <w:r w:rsidR="00BE3F4E" w:rsidRPr="00BE3F4E">
          <w:rPr>
            <w:rStyle w:val="Hyperlink"/>
            <w:rFonts w:ascii="Arial" w:eastAsia="Times New Roman" w:hAnsi="Arial" w:cs="Arial"/>
            <w:noProof/>
            <w:sz w:val="20"/>
            <w:szCs w:val="20"/>
          </w:rPr>
          <w:t>GM1 BOP.ADD.440 Dangerous goods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_Toc153137374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69</w:t>
        </w:r>
        <w:r w:rsidR="00BE3F4E" w:rsidRPr="00BE3F4E">
          <w:rPr>
            <w:rFonts w:ascii="Arial" w:hAnsi="Arial" w:cs="Arial"/>
            <w:noProof/>
            <w:webHidden/>
            <w:sz w:val="20"/>
            <w:szCs w:val="20"/>
          </w:rPr>
          <w:fldChar w:fldCharType="end"/>
        </w:r>
      </w:hyperlink>
    </w:p>
    <w:p w14:paraId="68D9C4B3" w14:textId="23A14BC5" w:rsidR="00BE3F4E" w:rsidRPr="00BE3F4E" w:rsidRDefault="00000000">
      <w:pPr>
        <w:pStyle w:val="TOC4"/>
        <w:tabs>
          <w:tab w:val="right" w:leader="underscore" w:pos="9016"/>
        </w:tabs>
        <w:rPr>
          <w:rFonts w:ascii="Arial" w:eastAsiaTheme="minorEastAsia" w:hAnsi="Arial" w:cs="Arial"/>
          <w:noProof/>
          <w:sz w:val="20"/>
          <w:szCs w:val="20"/>
        </w:rPr>
      </w:pPr>
      <w:hyperlink w:anchor="_Toc153137375" w:history="1">
        <w:r w:rsidR="00BE3F4E" w:rsidRPr="00BE3F4E">
          <w:rPr>
            <w:rStyle w:val="Hyperlink"/>
            <w:rFonts w:ascii="Arial" w:eastAsiaTheme="majorEastAsia" w:hAnsi="Arial" w:cs="Arial"/>
            <w:iCs/>
            <w:noProof/>
            <w:sz w:val="20"/>
            <w:szCs w:val="20"/>
          </w:rPr>
          <w:t>SECTION 6 – OPERATING PROCEDURES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_Toc153137375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70</w:t>
        </w:r>
        <w:r w:rsidR="00BE3F4E" w:rsidRPr="00BE3F4E">
          <w:rPr>
            <w:rFonts w:ascii="Arial" w:hAnsi="Arial" w:cs="Arial"/>
            <w:noProof/>
            <w:webHidden/>
            <w:sz w:val="20"/>
            <w:szCs w:val="20"/>
          </w:rPr>
          <w:fldChar w:fldCharType="end"/>
        </w:r>
      </w:hyperlink>
    </w:p>
    <w:p w14:paraId="055BFA59" w14:textId="40C710B4" w:rsidR="00BE3F4E" w:rsidRPr="00BE3F4E" w:rsidRDefault="00000000">
      <w:pPr>
        <w:pStyle w:val="TOC4"/>
        <w:tabs>
          <w:tab w:val="right" w:leader="underscore" w:pos="9016"/>
        </w:tabs>
        <w:rPr>
          <w:rFonts w:ascii="Arial" w:eastAsiaTheme="minorEastAsia" w:hAnsi="Arial" w:cs="Arial"/>
          <w:noProof/>
          <w:sz w:val="20"/>
          <w:szCs w:val="20"/>
        </w:rPr>
      </w:pPr>
      <w:hyperlink w:anchor="_Toc153137376" w:history="1">
        <w:r w:rsidR="00BE3F4E" w:rsidRPr="00BE3F4E">
          <w:rPr>
            <w:rStyle w:val="Hyperlink"/>
            <w:rFonts w:ascii="Arial" w:eastAsia="Times New Roman" w:hAnsi="Arial" w:cs="Arial"/>
            <w:iCs/>
            <w:noProof/>
            <w:sz w:val="20"/>
            <w:szCs w:val="20"/>
          </w:rPr>
          <w:t>BOP.ADD.500 Fuel or ballast calculations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_Toc153137376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70</w:t>
        </w:r>
        <w:r w:rsidR="00BE3F4E" w:rsidRPr="00BE3F4E">
          <w:rPr>
            <w:rFonts w:ascii="Arial" w:hAnsi="Arial" w:cs="Arial"/>
            <w:noProof/>
            <w:webHidden/>
            <w:sz w:val="20"/>
            <w:szCs w:val="20"/>
          </w:rPr>
          <w:fldChar w:fldCharType="end"/>
        </w:r>
      </w:hyperlink>
    </w:p>
    <w:p w14:paraId="349FCA5A" w14:textId="242069F0" w:rsidR="00BE3F4E" w:rsidRPr="00BE3F4E" w:rsidRDefault="00000000">
      <w:pPr>
        <w:pStyle w:val="TOC4"/>
        <w:tabs>
          <w:tab w:val="right" w:leader="underscore" w:pos="9016"/>
        </w:tabs>
        <w:rPr>
          <w:rFonts w:ascii="Arial" w:eastAsiaTheme="minorEastAsia" w:hAnsi="Arial" w:cs="Arial"/>
          <w:noProof/>
          <w:sz w:val="20"/>
          <w:szCs w:val="20"/>
        </w:rPr>
      </w:pPr>
      <w:hyperlink w:anchor="_Toc153137377" w:history="1">
        <w:r w:rsidR="00BE3F4E" w:rsidRPr="00BE3F4E">
          <w:rPr>
            <w:rStyle w:val="Hyperlink"/>
            <w:rFonts w:ascii="Arial" w:eastAsia="Times New Roman" w:hAnsi="Arial" w:cs="Arial"/>
            <w:iCs/>
            <w:noProof/>
            <w:sz w:val="20"/>
            <w:szCs w:val="20"/>
          </w:rPr>
          <w:t>BOP.ADD.505 Carriage of special categories of passengers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_Toc153137377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70</w:t>
        </w:r>
        <w:r w:rsidR="00BE3F4E" w:rsidRPr="00BE3F4E">
          <w:rPr>
            <w:rFonts w:ascii="Arial" w:hAnsi="Arial" w:cs="Arial"/>
            <w:noProof/>
            <w:webHidden/>
            <w:sz w:val="20"/>
            <w:szCs w:val="20"/>
          </w:rPr>
          <w:fldChar w:fldCharType="end"/>
        </w:r>
      </w:hyperlink>
    </w:p>
    <w:p w14:paraId="7122A400" w14:textId="57E7B457" w:rsidR="00BE3F4E" w:rsidRPr="00BE3F4E" w:rsidRDefault="00000000">
      <w:pPr>
        <w:pStyle w:val="TOC4"/>
        <w:tabs>
          <w:tab w:val="right" w:leader="underscore" w:pos="9016"/>
        </w:tabs>
        <w:rPr>
          <w:rFonts w:ascii="Arial" w:eastAsiaTheme="minorEastAsia" w:hAnsi="Arial" w:cs="Arial"/>
          <w:noProof/>
          <w:sz w:val="20"/>
          <w:szCs w:val="20"/>
        </w:rPr>
      </w:pPr>
      <w:hyperlink w:anchor="_Toc153137378" w:history="1">
        <w:r w:rsidR="00BE3F4E" w:rsidRPr="00BE3F4E">
          <w:rPr>
            <w:rStyle w:val="Hyperlink"/>
            <w:rFonts w:ascii="Arial" w:eastAsia="Times New Roman" w:hAnsi="Arial" w:cs="Arial"/>
            <w:iCs/>
            <w:noProof/>
            <w:sz w:val="20"/>
            <w:szCs w:val="20"/>
          </w:rPr>
          <w:t>BOP.ADD.510 Commercial balloon specialised operations — Standard operating procedures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_Toc153137378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70</w:t>
        </w:r>
        <w:r w:rsidR="00BE3F4E" w:rsidRPr="00BE3F4E">
          <w:rPr>
            <w:rFonts w:ascii="Arial" w:hAnsi="Arial" w:cs="Arial"/>
            <w:noProof/>
            <w:webHidden/>
            <w:sz w:val="20"/>
            <w:szCs w:val="20"/>
          </w:rPr>
          <w:fldChar w:fldCharType="end"/>
        </w:r>
      </w:hyperlink>
    </w:p>
    <w:p w14:paraId="58FA94E0" w14:textId="2F8889BD" w:rsidR="00BE3F4E" w:rsidRPr="00BE3F4E" w:rsidRDefault="00000000">
      <w:pPr>
        <w:pStyle w:val="TOC5"/>
        <w:tabs>
          <w:tab w:val="right" w:leader="underscore" w:pos="9016"/>
        </w:tabs>
        <w:rPr>
          <w:rFonts w:ascii="Arial" w:eastAsiaTheme="minorEastAsia" w:hAnsi="Arial" w:cs="Arial"/>
          <w:noProof/>
          <w:sz w:val="20"/>
          <w:szCs w:val="20"/>
        </w:rPr>
      </w:pPr>
      <w:hyperlink w:anchor="_Toc153137379" w:history="1">
        <w:r w:rsidR="00BE3F4E" w:rsidRPr="00BE3F4E">
          <w:rPr>
            <w:rStyle w:val="Hyperlink"/>
            <w:rFonts w:ascii="Arial" w:eastAsia="Times New Roman" w:hAnsi="Arial" w:cs="Arial"/>
            <w:noProof/>
            <w:sz w:val="20"/>
            <w:szCs w:val="20"/>
          </w:rPr>
          <w:t>AMC1 BOP.ADD.510 Commercial balloon specialised operations — Standard operating procedures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_Toc153137379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70</w:t>
        </w:r>
        <w:r w:rsidR="00BE3F4E" w:rsidRPr="00BE3F4E">
          <w:rPr>
            <w:rFonts w:ascii="Arial" w:hAnsi="Arial" w:cs="Arial"/>
            <w:noProof/>
            <w:webHidden/>
            <w:sz w:val="20"/>
            <w:szCs w:val="20"/>
          </w:rPr>
          <w:fldChar w:fldCharType="end"/>
        </w:r>
      </w:hyperlink>
    </w:p>
    <w:p w14:paraId="202E3F67" w14:textId="68F32FD4" w:rsidR="00BE3F4E" w:rsidRPr="00BE3F4E" w:rsidRDefault="00000000">
      <w:pPr>
        <w:pStyle w:val="TOC5"/>
        <w:tabs>
          <w:tab w:val="right" w:leader="underscore" w:pos="9016"/>
        </w:tabs>
        <w:rPr>
          <w:rFonts w:ascii="Arial" w:eastAsiaTheme="minorEastAsia" w:hAnsi="Arial" w:cs="Arial"/>
          <w:noProof/>
          <w:sz w:val="20"/>
          <w:szCs w:val="20"/>
        </w:rPr>
      </w:pPr>
      <w:hyperlink w:anchor="_Toc153137380" w:history="1">
        <w:r w:rsidR="00BE3F4E" w:rsidRPr="00BE3F4E">
          <w:rPr>
            <w:rStyle w:val="Hyperlink"/>
            <w:rFonts w:ascii="Arial" w:eastAsia="Times New Roman" w:hAnsi="Arial" w:cs="Arial"/>
            <w:noProof/>
            <w:sz w:val="20"/>
            <w:szCs w:val="20"/>
          </w:rPr>
          <w:t>AMC2 BOP.ADD.510 Commercial balloon specialised operations — Standard operating procedures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_Toc153137380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70</w:t>
        </w:r>
        <w:r w:rsidR="00BE3F4E" w:rsidRPr="00BE3F4E">
          <w:rPr>
            <w:rFonts w:ascii="Arial" w:hAnsi="Arial" w:cs="Arial"/>
            <w:noProof/>
            <w:webHidden/>
            <w:sz w:val="20"/>
            <w:szCs w:val="20"/>
          </w:rPr>
          <w:fldChar w:fldCharType="end"/>
        </w:r>
      </w:hyperlink>
    </w:p>
    <w:p w14:paraId="294306B8" w14:textId="1FF1FCC3" w:rsidR="00BE3F4E" w:rsidRPr="00BE3F4E" w:rsidRDefault="00000000">
      <w:pPr>
        <w:pStyle w:val="TOC4"/>
        <w:tabs>
          <w:tab w:val="right" w:leader="underscore" w:pos="9016"/>
        </w:tabs>
        <w:rPr>
          <w:rFonts w:ascii="Arial" w:eastAsiaTheme="minorEastAsia" w:hAnsi="Arial" w:cs="Arial"/>
          <w:noProof/>
          <w:sz w:val="20"/>
          <w:szCs w:val="20"/>
        </w:rPr>
      </w:pPr>
      <w:hyperlink w:anchor="_Toc153137381" w:history="1">
        <w:r w:rsidR="00BE3F4E" w:rsidRPr="00BE3F4E">
          <w:rPr>
            <w:rStyle w:val="Hyperlink"/>
            <w:rFonts w:ascii="Arial" w:eastAsiaTheme="majorEastAsia" w:hAnsi="Arial" w:cs="Arial"/>
            <w:iCs/>
            <w:noProof/>
            <w:sz w:val="20"/>
            <w:szCs w:val="20"/>
          </w:rPr>
          <w:t>SECTION 7 – PERFORMANCE AND OPERATING LIMITATIONS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_Toc153137381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72</w:t>
        </w:r>
        <w:r w:rsidR="00BE3F4E" w:rsidRPr="00BE3F4E">
          <w:rPr>
            <w:rFonts w:ascii="Arial" w:hAnsi="Arial" w:cs="Arial"/>
            <w:noProof/>
            <w:webHidden/>
            <w:sz w:val="20"/>
            <w:szCs w:val="20"/>
          </w:rPr>
          <w:fldChar w:fldCharType="end"/>
        </w:r>
      </w:hyperlink>
    </w:p>
    <w:p w14:paraId="0B659272" w14:textId="73BF7D93" w:rsidR="00BE3F4E" w:rsidRPr="00BE3F4E" w:rsidRDefault="00000000">
      <w:pPr>
        <w:pStyle w:val="TOC4"/>
        <w:tabs>
          <w:tab w:val="right" w:leader="underscore" w:pos="9016"/>
        </w:tabs>
        <w:rPr>
          <w:rFonts w:ascii="Arial" w:eastAsiaTheme="minorEastAsia" w:hAnsi="Arial" w:cs="Arial"/>
          <w:noProof/>
          <w:sz w:val="20"/>
          <w:szCs w:val="20"/>
        </w:rPr>
      </w:pPr>
      <w:hyperlink w:anchor="_Toc153137382" w:history="1">
        <w:r w:rsidR="00BE3F4E" w:rsidRPr="00BE3F4E">
          <w:rPr>
            <w:rStyle w:val="Hyperlink"/>
            <w:rFonts w:ascii="Arial" w:eastAsia="Times New Roman" w:hAnsi="Arial" w:cs="Arial"/>
            <w:iCs/>
            <w:noProof/>
            <w:sz w:val="20"/>
            <w:szCs w:val="20"/>
          </w:rPr>
          <w:t>BOP.ADD.600 System for determining the mass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_Toc153137382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72</w:t>
        </w:r>
        <w:r w:rsidR="00BE3F4E" w:rsidRPr="00BE3F4E">
          <w:rPr>
            <w:rFonts w:ascii="Arial" w:hAnsi="Arial" w:cs="Arial"/>
            <w:noProof/>
            <w:webHidden/>
            <w:sz w:val="20"/>
            <w:szCs w:val="20"/>
          </w:rPr>
          <w:fldChar w:fldCharType="end"/>
        </w:r>
      </w:hyperlink>
    </w:p>
    <w:p w14:paraId="52AFCB79" w14:textId="2E197597" w:rsidR="00BE3F4E" w:rsidRPr="00BE3F4E" w:rsidRDefault="00000000">
      <w:pPr>
        <w:pStyle w:val="TOC5"/>
        <w:tabs>
          <w:tab w:val="right" w:leader="underscore" w:pos="9016"/>
        </w:tabs>
        <w:rPr>
          <w:rFonts w:ascii="Arial" w:eastAsiaTheme="minorEastAsia" w:hAnsi="Arial" w:cs="Arial"/>
          <w:noProof/>
          <w:sz w:val="20"/>
          <w:szCs w:val="20"/>
        </w:rPr>
      </w:pPr>
      <w:hyperlink w:anchor="_Toc153137383" w:history="1">
        <w:r w:rsidR="00BE3F4E" w:rsidRPr="00BE3F4E">
          <w:rPr>
            <w:rStyle w:val="Hyperlink"/>
            <w:rFonts w:ascii="Arial" w:eastAsia="Times New Roman" w:hAnsi="Arial" w:cs="Arial"/>
            <w:noProof/>
            <w:sz w:val="20"/>
            <w:szCs w:val="20"/>
          </w:rPr>
          <w:t>AMC1 BOP.ADD.600(a)(2) System for determining the mass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_Toc153137383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72</w:t>
        </w:r>
        <w:r w:rsidR="00BE3F4E" w:rsidRPr="00BE3F4E">
          <w:rPr>
            <w:rFonts w:ascii="Arial" w:hAnsi="Arial" w:cs="Arial"/>
            <w:noProof/>
            <w:webHidden/>
            <w:sz w:val="20"/>
            <w:szCs w:val="20"/>
          </w:rPr>
          <w:fldChar w:fldCharType="end"/>
        </w:r>
      </w:hyperlink>
    </w:p>
    <w:p w14:paraId="3D1DB34E" w14:textId="025C9AA9" w:rsidR="00BE3F4E" w:rsidRPr="00BE3F4E" w:rsidRDefault="00000000">
      <w:pPr>
        <w:pStyle w:val="TOC5"/>
        <w:tabs>
          <w:tab w:val="right" w:leader="underscore" w:pos="9016"/>
        </w:tabs>
        <w:rPr>
          <w:rFonts w:ascii="Arial" w:eastAsiaTheme="minorEastAsia" w:hAnsi="Arial" w:cs="Arial"/>
          <w:noProof/>
          <w:sz w:val="20"/>
          <w:szCs w:val="20"/>
        </w:rPr>
      </w:pPr>
      <w:hyperlink w:anchor="_Toc153137384" w:history="1">
        <w:r w:rsidR="00BE3F4E" w:rsidRPr="00BE3F4E">
          <w:rPr>
            <w:rStyle w:val="Hyperlink"/>
            <w:rFonts w:ascii="Arial" w:eastAsia="Times New Roman" w:hAnsi="Arial" w:cs="Arial"/>
            <w:noProof/>
            <w:sz w:val="20"/>
            <w:szCs w:val="20"/>
          </w:rPr>
          <w:t>AMC1 BOP.ADD.600(a)(6) System for determining the mass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_Toc153137384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72</w:t>
        </w:r>
        <w:r w:rsidR="00BE3F4E" w:rsidRPr="00BE3F4E">
          <w:rPr>
            <w:rFonts w:ascii="Arial" w:hAnsi="Arial" w:cs="Arial"/>
            <w:noProof/>
            <w:webHidden/>
            <w:sz w:val="20"/>
            <w:szCs w:val="20"/>
          </w:rPr>
          <w:fldChar w:fldCharType="end"/>
        </w:r>
      </w:hyperlink>
    </w:p>
    <w:p w14:paraId="377482B7" w14:textId="3B96F132" w:rsidR="00BE3F4E" w:rsidRPr="00BE3F4E" w:rsidRDefault="00000000">
      <w:pPr>
        <w:pStyle w:val="TOC5"/>
        <w:tabs>
          <w:tab w:val="right" w:leader="underscore" w:pos="9016"/>
        </w:tabs>
        <w:rPr>
          <w:rFonts w:ascii="Arial" w:eastAsiaTheme="minorEastAsia" w:hAnsi="Arial" w:cs="Arial"/>
          <w:noProof/>
          <w:sz w:val="20"/>
          <w:szCs w:val="20"/>
        </w:rPr>
      </w:pPr>
      <w:hyperlink w:anchor="_Toc153137385" w:history="1">
        <w:r w:rsidR="00BE3F4E" w:rsidRPr="00BE3F4E">
          <w:rPr>
            <w:rStyle w:val="Hyperlink"/>
            <w:rFonts w:ascii="Arial" w:eastAsia="Times New Roman" w:hAnsi="Arial" w:cs="Arial"/>
            <w:noProof/>
            <w:sz w:val="20"/>
            <w:szCs w:val="20"/>
          </w:rPr>
          <w:t>GM1 BOP.ADD.600(a)(6) System for determining the mass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_Toc153137385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73</w:t>
        </w:r>
        <w:r w:rsidR="00BE3F4E" w:rsidRPr="00BE3F4E">
          <w:rPr>
            <w:rFonts w:ascii="Arial" w:hAnsi="Arial" w:cs="Arial"/>
            <w:noProof/>
            <w:webHidden/>
            <w:sz w:val="20"/>
            <w:szCs w:val="20"/>
          </w:rPr>
          <w:fldChar w:fldCharType="end"/>
        </w:r>
      </w:hyperlink>
    </w:p>
    <w:p w14:paraId="0BC775FC" w14:textId="7D253DB9" w:rsidR="00BE3F4E" w:rsidRPr="00BE3F4E" w:rsidRDefault="00000000">
      <w:pPr>
        <w:pStyle w:val="TOC4"/>
        <w:tabs>
          <w:tab w:val="right" w:leader="underscore" w:pos="9016"/>
        </w:tabs>
        <w:rPr>
          <w:rFonts w:ascii="Arial" w:eastAsiaTheme="minorEastAsia" w:hAnsi="Arial" w:cs="Arial"/>
          <w:noProof/>
          <w:sz w:val="20"/>
          <w:szCs w:val="20"/>
        </w:rPr>
      </w:pPr>
      <w:hyperlink w:anchor="_Toc153137386" w:history="1">
        <w:r w:rsidR="00BE3F4E" w:rsidRPr="00BE3F4E">
          <w:rPr>
            <w:rStyle w:val="Hyperlink"/>
            <w:rFonts w:ascii="Arial" w:eastAsia="Times New Roman" w:hAnsi="Arial" w:cs="Arial"/>
            <w:iCs/>
            <w:noProof/>
            <w:sz w:val="20"/>
            <w:szCs w:val="20"/>
          </w:rPr>
          <w:t>Appendix</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_Toc153137386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74</w:t>
        </w:r>
        <w:r w:rsidR="00BE3F4E" w:rsidRPr="00BE3F4E">
          <w:rPr>
            <w:rFonts w:ascii="Arial" w:hAnsi="Arial" w:cs="Arial"/>
            <w:noProof/>
            <w:webHidden/>
            <w:sz w:val="20"/>
            <w:szCs w:val="20"/>
          </w:rPr>
          <w:fldChar w:fldCharType="end"/>
        </w:r>
      </w:hyperlink>
    </w:p>
    <w:p w14:paraId="7E05ED4E" w14:textId="48A65C40" w:rsidR="00BE3F4E" w:rsidRPr="00BE3F4E" w:rsidRDefault="00000000">
      <w:pPr>
        <w:pStyle w:val="TOC2"/>
        <w:tabs>
          <w:tab w:val="right" w:leader="underscore" w:pos="9016"/>
        </w:tabs>
        <w:rPr>
          <w:rFonts w:ascii="Arial" w:hAnsi="Arial" w:cs="Arial"/>
          <w:noProof/>
          <w:sz w:val="20"/>
          <w:szCs w:val="20"/>
        </w:rPr>
      </w:pPr>
      <w:hyperlink w:anchor="_Toc153137387" w:history="1">
        <w:r w:rsidR="00BE3F4E" w:rsidRPr="00BE3F4E">
          <w:rPr>
            <w:rStyle w:val="Hyperlink"/>
            <w:rFonts w:ascii="Arial" w:eastAsiaTheme="majorEastAsia" w:hAnsi="Arial" w:cs="Arial"/>
            <w:noProof/>
            <w:sz w:val="20"/>
            <w:szCs w:val="20"/>
            <w14:textOutline w14:w="9525" w14:cap="rnd" w14:cmpd="sng" w14:algn="ctr">
              <w14:noFill/>
              <w14:prstDash w14:val="solid"/>
              <w14:bevel/>
            </w14:textOutline>
          </w:rPr>
          <w:t>ANNEX III — REQUIREMENTS FOR BALLOONS FLIGHT CREW LICENSING (PART-BFCL)</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_Toc153137387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75</w:t>
        </w:r>
        <w:r w:rsidR="00BE3F4E" w:rsidRPr="00BE3F4E">
          <w:rPr>
            <w:rFonts w:ascii="Arial" w:hAnsi="Arial" w:cs="Arial"/>
            <w:noProof/>
            <w:webHidden/>
            <w:sz w:val="20"/>
            <w:szCs w:val="20"/>
          </w:rPr>
          <w:fldChar w:fldCharType="end"/>
        </w:r>
      </w:hyperlink>
    </w:p>
    <w:p w14:paraId="446DC258" w14:textId="4A6A4BCA" w:rsidR="00BE3F4E" w:rsidRPr="00BE3F4E" w:rsidRDefault="00000000">
      <w:pPr>
        <w:pStyle w:val="TOC3"/>
        <w:tabs>
          <w:tab w:val="right" w:leader="underscore" w:pos="9016"/>
        </w:tabs>
        <w:rPr>
          <w:rFonts w:ascii="Arial" w:eastAsiaTheme="minorEastAsia" w:hAnsi="Arial" w:cs="Arial"/>
          <w:b w:val="0"/>
          <w:bCs w:val="0"/>
          <w:noProof/>
          <w:sz w:val="20"/>
          <w:szCs w:val="20"/>
        </w:rPr>
      </w:pPr>
      <w:hyperlink w:anchor="_Toc153137388" w:history="1">
        <w:r w:rsidR="00BE3F4E" w:rsidRPr="00BE3F4E">
          <w:rPr>
            <w:rStyle w:val="Hyperlink"/>
            <w:rFonts w:ascii="Arial" w:eastAsiaTheme="majorEastAsia" w:hAnsi="Arial" w:cs="Arial"/>
            <w:b w:val="0"/>
            <w:bCs w:val="0"/>
            <w:noProof/>
            <w:sz w:val="20"/>
            <w:szCs w:val="20"/>
          </w:rPr>
          <w:t>SUBPART GEN — GENERAL REQUIREMENTS</w:t>
        </w:r>
        <w:r w:rsidR="00BE3F4E" w:rsidRPr="00BE3F4E">
          <w:rPr>
            <w:rFonts w:ascii="Arial" w:hAnsi="Arial" w:cs="Arial"/>
            <w:b w:val="0"/>
            <w:bCs w:val="0"/>
            <w:noProof/>
            <w:webHidden/>
            <w:sz w:val="20"/>
            <w:szCs w:val="20"/>
          </w:rPr>
          <w:tab/>
        </w:r>
        <w:r w:rsidR="00BE3F4E" w:rsidRPr="00BE3F4E">
          <w:rPr>
            <w:rFonts w:ascii="Arial" w:hAnsi="Arial" w:cs="Arial"/>
            <w:b w:val="0"/>
            <w:bCs w:val="0"/>
            <w:noProof/>
            <w:webHidden/>
            <w:sz w:val="20"/>
            <w:szCs w:val="20"/>
          </w:rPr>
          <w:fldChar w:fldCharType="begin"/>
        </w:r>
        <w:r w:rsidR="00BE3F4E" w:rsidRPr="00BE3F4E">
          <w:rPr>
            <w:rFonts w:ascii="Arial" w:hAnsi="Arial" w:cs="Arial"/>
            <w:b w:val="0"/>
            <w:bCs w:val="0"/>
            <w:noProof/>
            <w:webHidden/>
            <w:sz w:val="20"/>
            <w:szCs w:val="20"/>
          </w:rPr>
          <w:instrText xml:space="preserve"> PAGEREF _Toc153137388 \h </w:instrText>
        </w:r>
        <w:r w:rsidR="00BE3F4E" w:rsidRPr="00BE3F4E">
          <w:rPr>
            <w:rFonts w:ascii="Arial" w:hAnsi="Arial" w:cs="Arial"/>
            <w:b w:val="0"/>
            <w:bCs w:val="0"/>
            <w:noProof/>
            <w:webHidden/>
            <w:sz w:val="20"/>
            <w:szCs w:val="20"/>
          </w:rPr>
        </w:r>
        <w:r w:rsidR="00BE3F4E" w:rsidRPr="00BE3F4E">
          <w:rPr>
            <w:rFonts w:ascii="Arial" w:hAnsi="Arial" w:cs="Arial"/>
            <w:b w:val="0"/>
            <w:bCs w:val="0"/>
            <w:noProof/>
            <w:webHidden/>
            <w:sz w:val="20"/>
            <w:szCs w:val="20"/>
          </w:rPr>
          <w:fldChar w:fldCharType="separate"/>
        </w:r>
        <w:r w:rsidR="006A7538">
          <w:rPr>
            <w:rFonts w:ascii="Arial" w:hAnsi="Arial" w:cs="Arial"/>
            <w:b w:val="0"/>
            <w:bCs w:val="0"/>
            <w:noProof/>
            <w:webHidden/>
            <w:sz w:val="20"/>
            <w:szCs w:val="20"/>
          </w:rPr>
          <w:t>75</w:t>
        </w:r>
        <w:r w:rsidR="00BE3F4E" w:rsidRPr="00BE3F4E">
          <w:rPr>
            <w:rFonts w:ascii="Arial" w:hAnsi="Arial" w:cs="Arial"/>
            <w:b w:val="0"/>
            <w:bCs w:val="0"/>
            <w:noProof/>
            <w:webHidden/>
            <w:sz w:val="20"/>
            <w:szCs w:val="20"/>
          </w:rPr>
          <w:fldChar w:fldCharType="end"/>
        </w:r>
      </w:hyperlink>
    </w:p>
    <w:p w14:paraId="41C5914C" w14:textId="3E5E0929" w:rsidR="00BE3F4E" w:rsidRPr="00BE3F4E" w:rsidRDefault="00000000">
      <w:pPr>
        <w:pStyle w:val="TOC4"/>
        <w:tabs>
          <w:tab w:val="right" w:leader="underscore" w:pos="9016"/>
        </w:tabs>
        <w:rPr>
          <w:rFonts w:ascii="Arial" w:eastAsiaTheme="minorEastAsia" w:hAnsi="Arial" w:cs="Arial"/>
          <w:noProof/>
          <w:sz w:val="20"/>
          <w:szCs w:val="20"/>
        </w:rPr>
      </w:pPr>
      <w:hyperlink w:anchor="_Toc153137389" w:history="1">
        <w:r w:rsidR="00BE3F4E" w:rsidRPr="00BE3F4E">
          <w:rPr>
            <w:rStyle w:val="Hyperlink"/>
            <w:rFonts w:ascii="Arial" w:eastAsia="Times New Roman" w:hAnsi="Arial" w:cs="Arial"/>
            <w:iCs/>
            <w:noProof/>
            <w:sz w:val="20"/>
            <w:szCs w:val="20"/>
          </w:rPr>
          <w:t>BFCL.001 Scope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_Toc153137389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75</w:t>
        </w:r>
        <w:r w:rsidR="00BE3F4E" w:rsidRPr="00BE3F4E">
          <w:rPr>
            <w:rFonts w:ascii="Arial" w:hAnsi="Arial" w:cs="Arial"/>
            <w:noProof/>
            <w:webHidden/>
            <w:sz w:val="20"/>
            <w:szCs w:val="20"/>
          </w:rPr>
          <w:fldChar w:fldCharType="end"/>
        </w:r>
      </w:hyperlink>
    </w:p>
    <w:p w14:paraId="5363D697" w14:textId="5E7C921F" w:rsidR="00BE3F4E" w:rsidRPr="00BE3F4E" w:rsidRDefault="00000000">
      <w:pPr>
        <w:pStyle w:val="TOC4"/>
        <w:tabs>
          <w:tab w:val="right" w:leader="underscore" w:pos="9016"/>
        </w:tabs>
        <w:rPr>
          <w:rFonts w:ascii="Arial" w:eastAsiaTheme="minorEastAsia" w:hAnsi="Arial" w:cs="Arial"/>
          <w:noProof/>
          <w:sz w:val="20"/>
          <w:szCs w:val="20"/>
        </w:rPr>
      </w:pPr>
      <w:hyperlink w:anchor="_Toc153137390" w:history="1">
        <w:r w:rsidR="00BE3F4E" w:rsidRPr="00BE3F4E">
          <w:rPr>
            <w:rStyle w:val="Hyperlink"/>
            <w:rFonts w:ascii="Arial" w:eastAsia="Times New Roman" w:hAnsi="Arial" w:cs="Arial"/>
            <w:iCs/>
            <w:noProof/>
            <w:sz w:val="20"/>
            <w:szCs w:val="20"/>
          </w:rPr>
          <w:t>BFCL.005 Competent authority</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_Toc153137390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75</w:t>
        </w:r>
        <w:r w:rsidR="00BE3F4E" w:rsidRPr="00BE3F4E">
          <w:rPr>
            <w:rFonts w:ascii="Arial" w:hAnsi="Arial" w:cs="Arial"/>
            <w:noProof/>
            <w:webHidden/>
            <w:sz w:val="20"/>
            <w:szCs w:val="20"/>
          </w:rPr>
          <w:fldChar w:fldCharType="end"/>
        </w:r>
      </w:hyperlink>
    </w:p>
    <w:p w14:paraId="382C51B9" w14:textId="227652BC" w:rsidR="00BE3F4E" w:rsidRPr="00BE3F4E" w:rsidRDefault="00000000">
      <w:pPr>
        <w:pStyle w:val="TOC4"/>
        <w:tabs>
          <w:tab w:val="right" w:leader="underscore" w:pos="9016"/>
        </w:tabs>
        <w:rPr>
          <w:rFonts w:ascii="Arial" w:eastAsiaTheme="minorEastAsia" w:hAnsi="Arial" w:cs="Arial"/>
          <w:noProof/>
          <w:sz w:val="20"/>
          <w:szCs w:val="20"/>
        </w:rPr>
      </w:pPr>
      <w:hyperlink w:anchor="_Toc153137391" w:history="1">
        <w:r w:rsidR="00BE3F4E" w:rsidRPr="00BE3F4E">
          <w:rPr>
            <w:rStyle w:val="Hyperlink"/>
            <w:rFonts w:ascii="Arial" w:eastAsia="Times New Roman" w:hAnsi="Arial" w:cs="Arial"/>
            <w:iCs/>
            <w:noProof/>
            <w:sz w:val="20"/>
            <w:szCs w:val="20"/>
          </w:rPr>
          <w:t>BFCL.010 Classes and groups of balloons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_Toc153137391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75</w:t>
        </w:r>
        <w:r w:rsidR="00BE3F4E" w:rsidRPr="00BE3F4E">
          <w:rPr>
            <w:rFonts w:ascii="Arial" w:hAnsi="Arial" w:cs="Arial"/>
            <w:noProof/>
            <w:webHidden/>
            <w:sz w:val="20"/>
            <w:szCs w:val="20"/>
          </w:rPr>
          <w:fldChar w:fldCharType="end"/>
        </w:r>
      </w:hyperlink>
    </w:p>
    <w:p w14:paraId="1747EB25" w14:textId="251A39BD" w:rsidR="00BE3F4E" w:rsidRPr="00BE3F4E" w:rsidRDefault="00000000">
      <w:pPr>
        <w:pStyle w:val="TOC4"/>
        <w:tabs>
          <w:tab w:val="right" w:leader="underscore" w:pos="9016"/>
        </w:tabs>
        <w:rPr>
          <w:rFonts w:ascii="Arial" w:eastAsiaTheme="minorEastAsia" w:hAnsi="Arial" w:cs="Arial"/>
          <w:noProof/>
          <w:sz w:val="20"/>
          <w:szCs w:val="20"/>
        </w:rPr>
      </w:pPr>
      <w:hyperlink w:anchor="_Toc153137392" w:history="1">
        <w:r w:rsidR="00BE3F4E" w:rsidRPr="00BE3F4E">
          <w:rPr>
            <w:rStyle w:val="Hyperlink"/>
            <w:rFonts w:ascii="Arial" w:eastAsia="Times New Roman" w:hAnsi="Arial" w:cs="Arial"/>
            <w:iCs/>
            <w:noProof/>
            <w:sz w:val="20"/>
            <w:szCs w:val="20"/>
          </w:rPr>
          <w:t>BFCL.015 Application for and issue, revalidation and renewal of a BPL as well as associated privileges, ratings and certificates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_Toc153137392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75</w:t>
        </w:r>
        <w:r w:rsidR="00BE3F4E" w:rsidRPr="00BE3F4E">
          <w:rPr>
            <w:rFonts w:ascii="Arial" w:hAnsi="Arial" w:cs="Arial"/>
            <w:noProof/>
            <w:webHidden/>
            <w:sz w:val="20"/>
            <w:szCs w:val="20"/>
          </w:rPr>
          <w:fldChar w:fldCharType="end"/>
        </w:r>
      </w:hyperlink>
    </w:p>
    <w:p w14:paraId="3D14A21D" w14:textId="14C83C8B" w:rsidR="00BE3F4E" w:rsidRPr="00BE3F4E" w:rsidRDefault="00000000">
      <w:pPr>
        <w:pStyle w:val="TOC5"/>
        <w:tabs>
          <w:tab w:val="right" w:leader="underscore" w:pos="9016"/>
        </w:tabs>
        <w:rPr>
          <w:rFonts w:ascii="Arial" w:eastAsiaTheme="minorEastAsia" w:hAnsi="Arial" w:cs="Arial"/>
          <w:noProof/>
          <w:sz w:val="20"/>
          <w:szCs w:val="20"/>
        </w:rPr>
      </w:pPr>
      <w:hyperlink w:anchor="_Toc153137393" w:history="1">
        <w:r w:rsidR="00BE3F4E" w:rsidRPr="00BE3F4E">
          <w:rPr>
            <w:rStyle w:val="Hyperlink"/>
            <w:rFonts w:ascii="Arial" w:eastAsia="Times New Roman" w:hAnsi="Arial" w:cs="Arial"/>
            <w:noProof/>
            <w:sz w:val="20"/>
            <w:szCs w:val="20"/>
          </w:rPr>
          <w:t>AMC1 BFCL.015 Application for and issue, revalidation and renewal of a BPL as well as associated privileges, ratings and certificates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_Toc153137393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76</w:t>
        </w:r>
        <w:r w:rsidR="00BE3F4E" w:rsidRPr="00BE3F4E">
          <w:rPr>
            <w:rFonts w:ascii="Arial" w:hAnsi="Arial" w:cs="Arial"/>
            <w:noProof/>
            <w:webHidden/>
            <w:sz w:val="20"/>
            <w:szCs w:val="20"/>
          </w:rPr>
          <w:fldChar w:fldCharType="end"/>
        </w:r>
      </w:hyperlink>
    </w:p>
    <w:p w14:paraId="5B9C0ACD" w14:textId="5D851FBE" w:rsidR="00BE3F4E" w:rsidRPr="00BE3F4E" w:rsidRDefault="00000000">
      <w:pPr>
        <w:pStyle w:val="TOC5"/>
        <w:tabs>
          <w:tab w:val="right" w:leader="underscore" w:pos="9016"/>
        </w:tabs>
        <w:rPr>
          <w:rFonts w:ascii="Arial" w:eastAsiaTheme="minorEastAsia" w:hAnsi="Arial" w:cs="Arial"/>
          <w:noProof/>
          <w:sz w:val="20"/>
          <w:szCs w:val="20"/>
        </w:rPr>
      </w:pPr>
      <w:hyperlink w:anchor="_Toc153137394" w:history="1">
        <w:r w:rsidR="00BE3F4E" w:rsidRPr="00BE3F4E">
          <w:rPr>
            <w:rStyle w:val="Hyperlink"/>
            <w:rFonts w:ascii="Arial" w:eastAsia="Times New Roman" w:hAnsi="Arial" w:cs="Arial"/>
            <w:noProof/>
            <w:sz w:val="20"/>
            <w:szCs w:val="20"/>
          </w:rPr>
          <w:t>GM1 BFCL.015(c) Application for and issue, revalidation and renewal of a BPL as well as associated privileges, ratings and certificates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_Toc153137394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76</w:t>
        </w:r>
        <w:r w:rsidR="00BE3F4E" w:rsidRPr="00BE3F4E">
          <w:rPr>
            <w:rFonts w:ascii="Arial" w:hAnsi="Arial" w:cs="Arial"/>
            <w:noProof/>
            <w:webHidden/>
            <w:sz w:val="20"/>
            <w:szCs w:val="20"/>
          </w:rPr>
          <w:fldChar w:fldCharType="end"/>
        </w:r>
      </w:hyperlink>
    </w:p>
    <w:p w14:paraId="0C573344" w14:textId="754BA859" w:rsidR="00BE3F4E" w:rsidRPr="00BE3F4E" w:rsidRDefault="00000000">
      <w:pPr>
        <w:pStyle w:val="TOC4"/>
        <w:tabs>
          <w:tab w:val="right" w:leader="underscore" w:pos="9016"/>
        </w:tabs>
        <w:rPr>
          <w:rFonts w:ascii="Arial" w:eastAsiaTheme="minorEastAsia" w:hAnsi="Arial" w:cs="Arial"/>
          <w:noProof/>
          <w:sz w:val="20"/>
          <w:szCs w:val="20"/>
        </w:rPr>
      </w:pPr>
      <w:hyperlink w:anchor="_Toc153137395" w:history="1">
        <w:r w:rsidR="00BE3F4E" w:rsidRPr="00BE3F4E">
          <w:rPr>
            <w:rStyle w:val="Hyperlink"/>
            <w:rFonts w:ascii="Arial" w:eastAsia="Times New Roman" w:hAnsi="Arial" w:cs="Arial"/>
            <w:iCs/>
            <w:noProof/>
            <w:sz w:val="20"/>
            <w:szCs w:val="20"/>
          </w:rPr>
          <w:t>BFCL.030 Practical skill test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_Toc153137395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76</w:t>
        </w:r>
        <w:r w:rsidR="00BE3F4E" w:rsidRPr="00BE3F4E">
          <w:rPr>
            <w:rFonts w:ascii="Arial" w:hAnsi="Arial" w:cs="Arial"/>
            <w:noProof/>
            <w:webHidden/>
            <w:sz w:val="20"/>
            <w:szCs w:val="20"/>
          </w:rPr>
          <w:fldChar w:fldCharType="end"/>
        </w:r>
      </w:hyperlink>
    </w:p>
    <w:p w14:paraId="0856748C" w14:textId="23A130AA" w:rsidR="00BE3F4E" w:rsidRPr="00BE3F4E" w:rsidRDefault="00000000">
      <w:pPr>
        <w:pStyle w:val="TOC4"/>
        <w:tabs>
          <w:tab w:val="right" w:leader="underscore" w:pos="9016"/>
        </w:tabs>
        <w:rPr>
          <w:rFonts w:ascii="Arial" w:eastAsiaTheme="minorEastAsia" w:hAnsi="Arial" w:cs="Arial"/>
          <w:noProof/>
          <w:sz w:val="20"/>
          <w:szCs w:val="20"/>
        </w:rPr>
      </w:pPr>
      <w:hyperlink w:anchor="_Toc153137396" w:history="1">
        <w:r w:rsidR="00BE3F4E" w:rsidRPr="00BE3F4E">
          <w:rPr>
            <w:rStyle w:val="Hyperlink"/>
            <w:rFonts w:ascii="Arial" w:eastAsia="Times New Roman" w:hAnsi="Arial" w:cs="Arial"/>
            <w:iCs/>
            <w:noProof/>
            <w:sz w:val="20"/>
            <w:szCs w:val="20"/>
          </w:rPr>
          <w:t>BFCL.035 Crediting of flight time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_Toc153137396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76</w:t>
        </w:r>
        <w:r w:rsidR="00BE3F4E" w:rsidRPr="00BE3F4E">
          <w:rPr>
            <w:rFonts w:ascii="Arial" w:hAnsi="Arial" w:cs="Arial"/>
            <w:noProof/>
            <w:webHidden/>
            <w:sz w:val="20"/>
            <w:szCs w:val="20"/>
          </w:rPr>
          <w:fldChar w:fldCharType="end"/>
        </w:r>
      </w:hyperlink>
    </w:p>
    <w:p w14:paraId="77C1E537" w14:textId="6C9558FC" w:rsidR="00BE3F4E" w:rsidRPr="00BE3F4E" w:rsidRDefault="00000000">
      <w:pPr>
        <w:pStyle w:val="TOC4"/>
        <w:tabs>
          <w:tab w:val="right" w:leader="underscore" w:pos="9016"/>
        </w:tabs>
        <w:rPr>
          <w:rFonts w:ascii="Arial" w:eastAsiaTheme="minorEastAsia" w:hAnsi="Arial" w:cs="Arial"/>
          <w:noProof/>
          <w:sz w:val="20"/>
          <w:szCs w:val="20"/>
        </w:rPr>
      </w:pPr>
      <w:hyperlink w:anchor="_Toc153137397" w:history="1">
        <w:r w:rsidR="00BE3F4E" w:rsidRPr="00BE3F4E">
          <w:rPr>
            <w:rStyle w:val="Hyperlink"/>
            <w:rFonts w:ascii="Arial" w:eastAsia="Times New Roman" w:hAnsi="Arial" w:cs="Arial"/>
            <w:iCs/>
            <w:noProof/>
            <w:sz w:val="20"/>
            <w:szCs w:val="20"/>
          </w:rPr>
          <w:t>BFCL.045 Obligation to carry and present documents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_Toc153137397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76</w:t>
        </w:r>
        <w:r w:rsidR="00BE3F4E" w:rsidRPr="00BE3F4E">
          <w:rPr>
            <w:rFonts w:ascii="Arial" w:hAnsi="Arial" w:cs="Arial"/>
            <w:noProof/>
            <w:webHidden/>
            <w:sz w:val="20"/>
            <w:szCs w:val="20"/>
          </w:rPr>
          <w:fldChar w:fldCharType="end"/>
        </w:r>
      </w:hyperlink>
    </w:p>
    <w:p w14:paraId="64835E52" w14:textId="2D73ACC7" w:rsidR="00BE3F4E" w:rsidRPr="00BE3F4E" w:rsidRDefault="00000000">
      <w:pPr>
        <w:pStyle w:val="TOC5"/>
        <w:tabs>
          <w:tab w:val="right" w:leader="underscore" w:pos="9016"/>
        </w:tabs>
        <w:rPr>
          <w:rFonts w:ascii="Arial" w:eastAsiaTheme="minorEastAsia" w:hAnsi="Arial" w:cs="Arial"/>
          <w:noProof/>
          <w:sz w:val="20"/>
          <w:szCs w:val="20"/>
        </w:rPr>
      </w:pPr>
      <w:hyperlink w:anchor="_Toc153137398" w:history="1">
        <w:r w:rsidR="00BE3F4E" w:rsidRPr="00BE3F4E">
          <w:rPr>
            <w:rStyle w:val="Hyperlink"/>
            <w:rFonts w:ascii="Arial" w:eastAsia="Times New Roman" w:hAnsi="Arial" w:cs="Arial"/>
            <w:noProof/>
            <w:sz w:val="20"/>
            <w:szCs w:val="20"/>
          </w:rPr>
          <w:t>AMC1 BFCL.045(a)(4) Obligation to carry and present documents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_Toc153137398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77</w:t>
        </w:r>
        <w:r w:rsidR="00BE3F4E" w:rsidRPr="00BE3F4E">
          <w:rPr>
            <w:rFonts w:ascii="Arial" w:hAnsi="Arial" w:cs="Arial"/>
            <w:noProof/>
            <w:webHidden/>
            <w:sz w:val="20"/>
            <w:szCs w:val="20"/>
          </w:rPr>
          <w:fldChar w:fldCharType="end"/>
        </w:r>
      </w:hyperlink>
    </w:p>
    <w:p w14:paraId="1EC66CFF" w14:textId="38B79439" w:rsidR="00BE3F4E" w:rsidRPr="00BE3F4E" w:rsidRDefault="00000000">
      <w:pPr>
        <w:pStyle w:val="TOC4"/>
        <w:tabs>
          <w:tab w:val="right" w:leader="underscore" w:pos="9016"/>
        </w:tabs>
        <w:rPr>
          <w:rFonts w:ascii="Arial" w:eastAsiaTheme="minorEastAsia" w:hAnsi="Arial" w:cs="Arial"/>
          <w:noProof/>
          <w:sz w:val="20"/>
          <w:szCs w:val="20"/>
        </w:rPr>
      </w:pPr>
      <w:hyperlink w:anchor="_Toc153137399" w:history="1">
        <w:r w:rsidR="00BE3F4E" w:rsidRPr="00BE3F4E">
          <w:rPr>
            <w:rStyle w:val="Hyperlink"/>
            <w:rFonts w:ascii="Arial" w:eastAsia="Times New Roman" w:hAnsi="Arial" w:cs="Arial"/>
            <w:iCs/>
            <w:noProof/>
            <w:sz w:val="20"/>
            <w:szCs w:val="20"/>
          </w:rPr>
          <w:t>BFCL.050 Recording of flight time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_Toc153137399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77</w:t>
        </w:r>
        <w:r w:rsidR="00BE3F4E" w:rsidRPr="00BE3F4E">
          <w:rPr>
            <w:rFonts w:ascii="Arial" w:hAnsi="Arial" w:cs="Arial"/>
            <w:noProof/>
            <w:webHidden/>
            <w:sz w:val="20"/>
            <w:szCs w:val="20"/>
          </w:rPr>
          <w:fldChar w:fldCharType="end"/>
        </w:r>
      </w:hyperlink>
    </w:p>
    <w:p w14:paraId="3D503A1E" w14:textId="1A1540D2" w:rsidR="00BE3F4E" w:rsidRPr="00BE3F4E" w:rsidRDefault="00000000">
      <w:pPr>
        <w:pStyle w:val="TOC5"/>
        <w:tabs>
          <w:tab w:val="right" w:leader="underscore" w:pos="9016"/>
        </w:tabs>
        <w:rPr>
          <w:rFonts w:ascii="Arial" w:eastAsiaTheme="minorEastAsia" w:hAnsi="Arial" w:cs="Arial"/>
          <w:noProof/>
          <w:sz w:val="20"/>
          <w:szCs w:val="20"/>
        </w:rPr>
      </w:pPr>
      <w:hyperlink w:anchor="_Toc153137400" w:history="1">
        <w:r w:rsidR="00BE3F4E" w:rsidRPr="00BE3F4E">
          <w:rPr>
            <w:rStyle w:val="Hyperlink"/>
            <w:rFonts w:ascii="Arial" w:eastAsia="Times New Roman" w:hAnsi="Arial" w:cs="Arial"/>
            <w:noProof/>
            <w:sz w:val="20"/>
            <w:szCs w:val="20"/>
          </w:rPr>
          <w:t>AMC1 BFCL.050 Recording of flight time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_Toc153137400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77</w:t>
        </w:r>
        <w:r w:rsidR="00BE3F4E" w:rsidRPr="00BE3F4E">
          <w:rPr>
            <w:rFonts w:ascii="Arial" w:hAnsi="Arial" w:cs="Arial"/>
            <w:noProof/>
            <w:webHidden/>
            <w:sz w:val="20"/>
            <w:szCs w:val="20"/>
          </w:rPr>
          <w:fldChar w:fldCharType="end"/>
        </w:r>
      </w:hyperlink>
    </w:p>
    <w:p w14:paraId="49D275AD" w14:textId="74A682F1" w:rsidR="00BE3F4E" w:rsidRPr="00BE3F4E" w:rsidRDefault="00000000">
      <w:pPr>
        <w:pStyle w:val="TOC4"/>
        <w:tabs>
          <w:tab w:val="right" w:leader="underscore" w:pos="9016"/>
        </w:tabs>
        <w:rPr>
          <w:rFonts w:ascii="Arial" w:eastAsiaTheme="minorEastAsia" w:hAnsi="Arial" w:cs="Arial"/>
          <w:noProof/>
          <w:sz w:val="20"/>
          <w:szCs w:val="20"/>
        </w:rPr>
      </w:pPr>
      <w:hyperlink w:anchor="_Toc153137401" w:history="1">
        <w:r w:rsidR="00BE3F4E" w:rsidRPr="00BE3F4E">
          <w:rPr>
            <w:rStyle w:val="Hyperlink"/>
            <w:rFonts w:ascii="Arial" w:eastAsia="Times New Roman" w:hAnsi="Arial" w:cs="Arial"/>
            <w:iCs/>
            <w:noProof/>
            <w:sz w:val="20"/>
            <w:szCs w:val="20"/>
          </w:rPr>
          <w:t>BFCL.065 Curtailment of privileges of BPL holders aged 70 years or older in commercial passenger ballooning</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_Toc153137401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78</w:t>
        </w:r>
        <w:r w:rsidR="00BE3F4E" w:rsidRPr="00BE3F4E">
          <w:rPr>
            <w:rFonts w:ascii="Arial" w:hAnsi="Arial" w:cs="Arial"/>
            <w:noProof/>
            <w:webHidden/>
            <w:sz w:val="20"/>
            <w:szCs w:val="20"/>
          </w:rPr>
          <w:fldChar w:fldCharType="end"/>
        </w:r>
      </w:hyperlink>
    </w:p>
    <w:p w14:paraId="29F95374" w14:textId="44AFCAC8" w:rsidR="00BE3F4E" w:rsidRPr="00BE3F4E" w:rsidRDefault="00000000">
      <w:pPr>
        <w:pStyle w:val="TOC5"/>
        <w:tabs>
          <w:tab w:val="right" w:leader="underscore" w:pos="9016"/>
        </w:tabs>
        <w:rPr>
          <w:rFonts w:ascii="Arial" w:eastAsiaTheme="minorEastAsia" w:hAnsi="Arial" w:cs="Arial"/>
          <w:noProof/>
          <w:sz w:val="20"/>
          <w:szCs w:val="20"/>
        </w:rPr>
      </w:pPr>
      <w:hyperlink w:anchor="_Toc153137402" w:history="1">
        <w:r w:rsidR="00BE3F4E" w:rsidRPr="00BE3F4E">
          <w:rPr>
            <w:rStyle w:val="Hyperlink"/>
            <w:rFonts w:ascii="Arial" w:eastAsia="Times New Roman" w:hAnsi="Arial" w:cs="Arial"/>
            <w:noProof/>
            <w:sz w:val="20"/>
            <w:szCs w:val="20"/>
          </w:rPr>
          <w:t>GM1 BFCL.065 Curtailment of privileges of BPL holders aged 70 years or older in commercial passenger ballooning</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_Toc153137402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78</w:t>
        </w:r>
        <w:r w:rsidR="00BE3F4E" w:rsidRPr="00BE3F4E">
          <w:rPr>
            <w:rFonts w:ascii="Arial" w:hAnsi="Arial" w:cs="Arial"/>
            <w:noProof/>
            <w:webHidden/>
            <w:sz w:val="20"/>
            <w:szCs w:val="20"/>
          </w:rPr>
          <w:fldChar w:fldCharType="end"/>
        </w:r>
      </w:hyperlink>
    </w:p>
    <w:p w14:paraId="5D03484E" w14:textId="3EE835FE" w:rsidR="00BE3F4E" w:rsidRPr="00BE3F4E" w:rsidRDefault="00000000">
      <w:pPr>
        <w:pStyle w:val="TOC4"/>
        <w:tabs>
          <w:tab w:val="right" w:leader="underscore" w:pos="9016"/>
        </w:tabs>
        <w:rPr>
          <w:rFonts w:ascii="Arial" w:eastAsiaTheme="minorEastAsia" w:hAnsi="Arial" w:cs="Arial"/>
          <w:noProof/>
          <w:sz w:val="20"/>
          <w:szCs w:val="20"/>
        </w:rPr>
      </w:pPr>
      <w:hyperlink w:anchor="_Toc153137403" w:history="1">
        <w:r w:rsidR="00BE3F4E" w:rsidRPr="00BE3F4E">
          <w:rPr>
            <w:rStyle w:val="Hyperlink"/>
            <w:rFonts w:ascii="Arial" w:eastAsia="Times New Roman" w:hAnsi="Arial" w:cs="Arial"/>
            <w:iCs/>
            <w:noProof/>
            <w:sz w:val="20"/>
            <w:szCs w:val="20"/>
          </w:rPr>
          <w:t>BFCL.070 Limitation, suspension or revocation of licences, privileges, ratings and certificates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_Toc153137403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78</w:t>
        </w:r>
        <w:r w:rsidR="00BE3F4E" w:rsidRPr="00BE3F4E">
          <w:rPr>
            <w:rFonts w:ascii="Arial" w:hAnsi="Arial" w:cs="Arial"/>
            <w:noProof/>
            <w:webHidden/>
            <w:sz w:val="20"/>
            <w:szCs w:val="20"/>
          </w:rPr>
          <w:fldChar w:fldCharType="end"/>
        </w:r>
      </w:hyperlink>
    </w:p>
    <w:p w14:paraId="61F9B6E5" w14:textId="6A2EE429" w:rsidR="00BE3F4E" w:rsidRPr="00BE3F4E" w:rsidRDefault="00000000">
      <w:pPr>
        <w:pStyle w:val="TOC3"/>
        <w:tabs>
          <w:tab w:val="right" w:leader="underscore" w:pos="9016"/>
        </w:tabs>
        <w:rPr>
          <w:rFonts w:ascii="Arial" w:eastAsiaTheme="minorEastAsia" w:hAnsi="Arial" w:cs="Arial"/>
          <w:b w:val="0"/>
          <w:bCs w:val="0"/>
          <w:noProof/>
          <w:sz w:val="20"/>
          <w:szCs w:val="20"/>
        </w:rPr>
      </w:pPr>
      <w:hyperlink w:anchor="_Toc153137404" w:history="1">
        <w:r w:rsidR="00BE3F4E" w:rsidRPr="00BE3F4E">
          <w:rPr>
            <w:rStyle w:val="Hyperlink"/>
            <w:rFonts w:ascii="Arial" w:eastAsiaTheme="majorEastAsia" w:hAnsi="Arial" w:cs="Arial"/>
            <w:b w:val="0"/>
            <w:bCs w:val="0"/>
            <w:noProof/>
            <w:sz w:val="20"/>
            <w:szCs w:val="20"/>
          </w:rPr>
          <w:t>SUBPART BPL — BALLOON PILOT LICENCE (“BPL”)</w:t>
        </w:r>
        <w:r w:rsidR="00BE3F4E" w:rsidRPr="00BE3F4E">
          <w:rPr>
            <w:rFonts w:ascii="Arial" w:hAnsi="Arial" w:cs="Arial"/>
            <w:b w:val="0"/>
            <w:bCs w:val="0"/>
            <w:noProof/>
            <w:webHidden/>
            <w:sz w:val="20"/>
            <w:szCs w:val="20"/>
          </w:rPr>
          <w:tab/>
        </w:r>
        <w:r w:rsidR="00BE3F4E" w:rsidRPr="00BE3F4E">
          <w:rPr>
            <w:rFonts w:ascii="Arial" w:hAnsi="Arial" w:cs="Arial"/>
            <w:b w:val="0"/>
            <w:bCs w:val="0"/>
            <w:noProof/>
            <w:webHidden/>
            <w:sz w:val="20"/>
            <w:szCs w:val="20"/>
          </w:rPr>
          <w:fldChar w:fldCharType="begin"/>
        </w:r>
        <w:r w:rsidR="00BE3F4E" w:rsidRPr="00BE3F4E">
          <w:rPr>
            <w:rFonts w:ascii="Arial" w:hAnsi="Arial" w:cs="Arial"/>
            <w:b w:val="0"/>
            <w:bCs w:val="0"/>
            <w:noProof/>
            <w:webHidden/>
            <w:sz w:val="20"/>
            <w:szCs w:val="20"/>
          </w:rPr>
          <w:instrText xml:space="preserve"> PAGEREF _Toc153137404 \h </w:instrText>
        </w:r>
        <w:r w:rsidR="00BE3F4E" w:rsidRPr="00BE3F4E">
          <w:rPr>
            <w:rFonts w:ascii="Arial" w:hAnsi="Arial" w:cs="Arial"/>
            <w:b w:val="0"/>
            <w:bCs w:val="0"/>
            <w:noProof/>
            <w:webHidden/>
            <w:sz w:val="20"/>
            <w:szCs w:val="20"/>
          </w:rPr>
        </w:r>
        <w:r w:rsidR="00BE3F4E" w:rsidRPr="00BE3F4E">
          <w:rPr>
            <w:rFonts w:ascii="Arial" w:hAnsi="Arial" w:cs="Arial"/>
            <w:b w:val="0"/>
            <w:bCs w:val="0"/>
            <w:noProof/>
            <w:webHidden/>
            <w:sz w:val="20"/>
            <w:szCs w:val="20"/>
          </w:rPr>
          <w:fldChar w:fldCharType="separate"/>
        </w:r>
        <w:r w:rsidR="006A7538">
          <w:rPr>
            <w:rFonts w:ascii="Arial" w:hAnsi="Arial" w:cs="Arial"/>
            <w:b w:val="0"/>
            <w:bCs w:val="0"/>
            <w:noProof/>
            <w:webHidden/>
            <w:sz w:val="20"/>
            <w:szCs w:val="20"/>
          </w:rPr>
          <w:t>79</w:t>
        </w:r>
        <w:r w:rsidR="00BE3F4E" w:rsidRPr="00BE3F4E">
          <w:rPr>
            <w:rFonts w:ascii="Arial" w:hAnsi="Arial" w:cs="Arial"/>
            <w:b w:val="0"/>
            <w:bCs w:val="0"/>
            <w:noProof/>
            <w:webHidden/>
            <w:sz w:val="20"/>
            <w:szCs w:val="20"/>
          </w:rPr>
          <w:fldChar w:fldCharType="end"/>
        </w:r>
      </w:hyperlink>
    </w:p>
    <w:p w14:paraId="43EA51DF" w14:textId="6082D2F2" w:rsidR="00BE3F4E" w:rsidRPr="00BE3F4E" w:rsidRDefault="00000000">
      <w:pPr>
        <w:pStyle w:val="TOC4"/>
        <w:tabs>
          <w:tab w:val="right" w:leader="underscore" w:pos="9016"/>
        </w:tabs>
        <w:rPr>
          <w:rFonts w:ascii="Arial" w:eastAsiaTheme="minorEastAsia" w:hAnsi="Arial" w:cs="Arial"/>
          <w:noProof/>
          <w:sz w:val="20"/>
          <w:szCs w:val="20"/>
        </w:rPr>
      </w:pPr>
      <w:hyperlink w:anchor="_Toc153137405" w:history="1">
        <w:r w:rsidR="00BE3F4E" w:rsidRPr="00BE3F4E">
          <w:rPr>
            <w:rStyle w:val="Hyperlink"/>
            <w:rFonts w:ascii="Arial" w:eastAsia="Times New Roman" w:hAnsi="Arial" w:cs="Arial"/>
            <w:iCs/>
            <w:noProof/>
            <w:sz w:val="20"/>
            <w:szCs w:val="20"/>
          </w:rPr>
          <w:t>BFCL.115 BPL – Privileges and conditions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_Toc153137405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79</w:t>
        </w:r>
        <w:r w:rsidR="00BE3F4E" w:rsidRPr="00BE3F4E">
          <w:rPr>
            <w:rFonts w:ascii="Arial" w:hAnsi="Arial" w:cs="Arial"/>
            <w:noProof/>
            <w:webHidden/>
            <w:sz w:val="20"/>
            <w:szCs w:val="20"/>
          </w:rPr>
          <w:fldChar w:fldCharType="end"/>
        </w:r>
      </w:hyperlink>
    </w:p>
    <w:p w14:paraId="0F53BA52" w14:textId="4FBFAC68" w:rsidR="00BE3F4E" w:rsidRPr="00BE3F4E" w:rsidRDefault="00000000">
      <w:pPr>
        <w:pStyle w:val="TOC4"/>
        <w:tabs>
          <w:tab w:val="right" w:leader="underscore" w:pos="9016"/>
        </w:tabs>
        <w:rPr>
          <w:rFonts w:ascii="Arial" w:eastAsiaTheme="minorEastAsia" w:hAnsi="Arial" w:cs="Arial"/>
          <w:noProof/>
          <w:sz w:val="20"/>
          <w:szCs w:val="20"/>
        </w:rPr>
      </w:pPr>
      <w:hyperlink w:anchor="_Toc153137406" w:history="1">
        <w:r w:rsidR="00BE3F4E" w:rsidRPr="00BE3F4E">
          <w:rPr>
            <w:rStyle w:val="Hyperlink"/>
            <w:rFonts w:ascii="Arial" w:eastAsia="Times New Roman" w:hAnsi="Arial" w:cs="Arial"/>
            <w:iCs/>
            <w:noProof/>
            <w:sz w:val="20"/>
            <w:szCs w:val="20"/>
          </w:rPr>
          <w:t>BFCL.120 BPL – Minimum age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_Toc153137406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79</w:t>
        </w:r>
        <w:r w:rsidR="00BE3F4E" w:rsidRPr="00BE3F4E">
          <w:rPr>
            <w:rFonts w:ascii="Arial" w:hAnsi="Arial" w:cs="Arial"/>
            <w:noProof/>
            <w:webHidden/>
            <w:sz w:val="20"/>
            <w:szCs w:val="20"/>
          </w:rPr>
          <w:fldChar w:fldCharType="end"/>
        </w:r>
      </w:hyperlink>
    </w:p>
    <w:p w14:paraId="1A1F9B42" w14:textId="206744B2" w:rsidR="00BE3F4E" w:rsidRPr="00BE3F4E" w:rsidRDefault="00000000">
      <w:pPr>
        <w:pStyle w:val="TOC4"/>
        <w:tabs>
          <w:tab w:val="right" w:leader="underscore" w:pos="9016"/>
        </w:tabs>
        <w:rPr>
          <w:rFonts w:ascii="Arial" w:eastAsiaTheme="minorEastAsia" w:hAnsi="Arial" w:cs="Arial"/>
          <w:noProof/>
          <w:sz w:val="20"/>
          <w:szCs w:val="20"/>
        </w:rPr>
      </w:pPr>
      <w:hyperlink w:anchor="_Toc153137407" w:history="1">
        <w:r w:rsidR="00BE3F4E" w:rsidRPr="00BE3F4E">
          <w:rPr>
            <w:rStyle w:val="Hyperlink"/>
            <w:rFonts w:ascii="Arial" w:eastAsia="Times New Roman" w:hAnsi="Arial" w:cs="Arial"/>
            <w:iCs/>
            <w:noProof/>
            <w:sz w:val="20"/>
            <w:szCs w:val="20"/>
          </w:rPr>
          <w:t>BFCL.125 BPL – Student pilot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_Toc153137407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79</w:t>
        </w:r>
        <w:r w:rsidR="00BE3F4E" w:rsidRPr="00BE3F4E">
          <w:rPr>
            <w:rFonts w:ascii="Arial" w:hAnsi="Arial" w:cs="Arial"/>
            <w:noProof/>
            <w:webHidden/>
            <w:sz w:val="20"/>
            <w:szCs w:val="20"/>
          </w:rPr>
          <w:fldChar w:fldCharType="end"/>
        </w:r>
      </w:hyperlink>
    </w:p>
    <w:p w14:paraId="4993E0AF" w14:textId="3C136D4D" w:rsidR="00BE3F4E" w:rsidRPr="00BE3F4E" w:rsidRDefault="00000000">
      <w:pPr>
        <w:pStyle w:val="TOC4"/>
        <w:tabs>
          <w:tab w:val="right" w:leader="underscore" w:pos="9016"/>
        </w:tabs>
        <w:rPr>
          <w:rFonts w:ascii="Arial" w:eastAsiaTheme="minorEastAsia" w:hAnsi="Arial" w:cs="Arial"/>
          <w:noProof/>
          <w:sz w:val="20"/>
          <w:szCs w:val="20"/>
        </w:rPr>
      </w:pPr>
      <w:hyperlink w:anchor="_Toc153137408" w:history="1">
        <w:r w:rsidR="00BE3F4E" w:rsidRPr="00BE3F4E">
          <w:rPr>
            <w:rStyle w:val="Hyperlink"/>
            <w:rFonts w:ascii="Arial" w:eastAsia="Times New Roman" w:hAnsi="Arial" w:cs="Arial"/>
            <w:iCs/>
            <w:noProof/>
            <w:sz w:val="20"/>
            <w:szCs w:val="20"/>
          </w:rPr>
          <w:t>BFCL.130 BPL – Training course and experience requirements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_Toc153137408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79</w:t>
        </w:r>
        <w:r w:rsidR="00BE3F4E" w:rsidRPr="00BE3F4E">
          <w:rPr>
            <w:rFonts w:ascii="Arial" w:hAnsi="Arial" w:cs="Arial"/>
            <w:noProof/>
            <w:webHidden/>
            <w:sz w:val="20"/>
            <w:szCs w:val="20"/>
          </w:rPr>
          <w:fldChar w:fldCharType="end"/>
        </w:r>
      </w:hyperlink>
    </w:p>
    <w:p w14:paraId="491F6BC5" w14:textId="66655564" w:rsidR="00BE3F4E" w:rsidRPr="00BE3F4E" w:rsidRDefault="00000000">
      <w:pPr>
        <w:pStyle w:val="TOC5"/>
        <w:tabs>
          <w:tab w:val="right" w:leader="underscore" w:pos="9016"/>
        </w:tabs>
        <w:rPr>
          <w:rFonts w:ascii="Arial" w:eastAsiaTheme="minorEastAsia" w:hAnsi="Arial" w:cs="Arial"/>
          <w:noProof/>
          <w:sz w:val="20"/>
          <w:szCs w:val="20"/>
        </w:rPr>
      </w:pPr>
      <w:hyperlink w:anchor="_Toc153137409" w:history="1">
        <w:r w:rsidR="00BE3F4E" w:rsidRPr="00BE3F4E">
          <w:rPr>
            <w:rStyle w:val="Hyperlink"/>
            <w:rFonts w:ascii="Arial" w:eastAsia="Times New Roman" w:hAnsi="Arial" w:cs="Arial"/>
            <w:noProof/>
            <w:sz w:val="20"/>
            <w:szCs w:val="20"/>
          </w:rPr>
          <w:t>AMC1 BFCL.130 BPL – Training course and experience requirements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_Toc153137409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79</w:t>
        </w:r>
        <w:r w:rsidR="00BE3F4E" w:rsidRPr="00BE3F4E">
          <w:rPr>
            <w:rFonts w:ascii="Arial" w:hAnsi="Arial" w:cs="Arial"/>
            <w:noProof/>
            <w:webHidden/>
            <w:sz w:val="20"/>
            <w:szCs w:val="20"/>
          </w:rPr>
          <w:fldChar w:fldCharType="end"/>
        </w:r>
      </w:hyperlink>
    </w:p>
    <w:p w14:paraId="5576485F" w14:textId="36C3389A" w:rsidR="00BE3F4E" w:rsidRPr="00BE3F4E" w:rsidRDefault="00000000">
      <w:pPr>
        <w:pStyle w:val="TOC5"/>
        <w:tabs>
          <w:tab w:val="right" w:leader="underscore" w:pos="9016"/>
        </w:tabs>
        <w:rPr>
          <w:rFonts w:ascii="Arial" w:eastAsiaTheme="minorEastAsia" w:hAnsi="Arial" w:cs="Arial"/>
          <w:noProof/>
          <w:sz w:val="20"/>
          <w:szCs w:val="20"/>
        </w:rPr>
      </w:pPr>
      <w:hyperlink w:anchor="_Toc153137410" w:history="1">
        <w:r w:rsidR="00BE3F4E" w:rsidRPr="00BE3F4E">
          <w:rPr>
            <w:rStyle w:val="Hyperlink"/>
            <w:rFonts w:ascii="Arial" w:eastAsia="Times New Roman" w:hAnsi="Arial" w:cs="Arial"/>
            <w:noProof/>
            <w:sz w:val="20"/>
            <w:szCs w:val="20"/>
          </w:rPr>
          <w:t>AMC2 BFCL.130 BPL – Training course and experience requirements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_Toc153137410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82</w:t>
        </w:r>
        <w:r w:rsidR="00BE3F4E" w:rsidRPr="00BE3F4E">
          <w:rPr>
            <w:rFonts w:ascii="Arial" w:hAnsi="Arial" w:cs="Arial"/>
            <w:noProof/>
            <w:webHidden/>
            <w:sz w:val="20"/>
            <w:szCs w:val="20"/>
          </w:rPr>
          <w:fldChar w:fldCharType="end"/>
        </w:r>
      </w:hyperlink>
    </w:p>
    <w:p w14:paraId="35C33C41" w14:textId="3586305D" w:rsidR="00BE3F4E" w:rsidRPr="00BE3F4E" w:rsidRDefault="00000000">
      <w:pPr>
        <w:pStyle w:val="TOC4"/>
        <w:tabs>
          <w:tab w:val="right" w:leader="underscore" w:pos="9016"/>
        </w:tabs>
        <w:rPr>
          <w:rFonts w:ascii="Arial" w:eastAsiaTheme="minorEastAsia" w:hAnsi="Arial" w:cs="Arial"/>
          <w:noProof/>
          <w:sz w:val="20"/>
          <w:szCs w:val="20"/>
        </w:rPr>
      </w:pPr>
      <w:hyperlink w:anchor="_Toc153137411" w:history="1">
        <w:r w:rsidR="00BE3F4E" w:rsidRPr="00BE3F4E">
          <w:rPr>
            <w:rStyle w:val="Hyperlink"/>
            <w:rFonts w:ascii="Arial" w:eastAsia="Times New Roman" w:hAnsi="Arial" w:cs="Arial"/>
            <w:iCs/>
            <w:noProof/>
            <w:sz w:val="20"/>
            <w:szCs w:val="20"/>
          </w:rPr>
          <w:t>BFCL.135 BPL – Theoretical knowledge examination</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_Toc153137411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90</w:t>
        </w:r>
        <w:r w:rsidR="00BE3F4E" w:rsidRPr="00BE3F4E">
          <w:rPr>
            <w:rFonts w:ascii="Arial" w:hAnsi="Arial" w:cs="Arial"/>
            <w:noProof/>
            <w:webHidden/>
            <w:sz w:val="20"/>
            <w:szCs w:val="20"/>
          </w:rPr>
          <w:fldChar w:fldCharType="end"/>
        </w:r>
      </w:hyperlink>
    </w:p>
    <w:p w14:paraId="1DEB57FE" w14:textId="532B9BB2" w:rsidR="00BE3F4E" w:rsidRPr="00BE3F4E" w:rsidRDefault="00000000">
      <w:pPr>
        <w:pStyle w:val="TOC5"/>
        <w:tabs>
          <w:tab w:val="right" w:leader="underscore" w:pos="9016"/>
        </w:tabs>
        <w:rPr>
          <w:rFonts w:ascii="Arial" w:eastAsiaTheme="minorEastAsia" w:hAnsi="Arial" w:cs="Arial"/>
          <w:noProof/>
          <w:sz w:val="20"/>
          <w:szCs w:val="20"/>
        </w:rPr>
      </w:pPr>
      <w:hyperlink w:anchor="_Toc153137412" w:history="1">
        <w:r w:rsidR="00BE3F4E" w:rsidRPr="00BE3F4E">
          <w:rPr>
            <w:rStyle w:val="Hyperlink"/>
            <w:rFonts w:ascii="Arial" w:eastAsia="Times New Roman" w:hAnsi="Arial" w:cs="Arial"/>
            <w:noProof/>
            <w:sz w:val="20"/>
            <w:szCs w:val="20"/>
          </w:rPr>
          <w:t>AMC1 BFCL.135 BPL – Theoretical knowledge examinations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_Toc153137412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91</w:t>
        </w:r>
        <w:r w:rsidR="00BE3F4E" w:rsidRPr="00BE3F4E">
          <w:rPr>
            <w:rFonts w:ascii="Arial" w:hAnsi="Arial" w:cs="Arial"/>
            <w:noProof/>
            <w:webHidden/>
            <w:sz w:val="20"/>
            <w:szCs w:val="20"/>
          </w:rPr>
          <w:fldChar w:fldCharType="end"/>
        </w:r>
      </w:hyperlink>
    </w:p>
    <w:p w14:paraId="689B5E99" w14:textId="7BF9F14A" w:rsidR="00BE3F4E" w:rsidRPr="00BE3F4E" w:rsidRDefault="00000000">
      <w:pPr>
        <w:pStyle w:val="TOC5"/>
        <w:tabs>
          <w:tab w:val="right" w:leader="underscore" w:pos="9016"/>
        </w:tabs>
        <w:rPr>
          <w:rFonts w:ascii="Arial" w:eastAsiaTheme="minorEastAsia" w:hAnsi="Arial" w:cs="Arial"/>
          <w:noProof/>
          <w:sz w:val="20"/>
          <w:szCs w:val="20"/>
        </w:rPr>
      </w:pPr>
      <w:hyperlink w:anchor="_Toc153137413" w:history="1">
        <w:r w:rsidR="00BE3F4E" w:rsidRPr="00BE3F4E">
          <w:rPr>
            <w:rStyle w:val="Hyperlink"/>
            <w:rFonts w:ascii="Arial" w:eastAsia="Times New Roman" w:hAnsi="Arial" w:cs="Arial"/>
            <w:noProof/>
            <w:sz w:val="20"/>
            <w:szCs w:val="20"/>
          </w:rPr>
          <w:t>GM1 BFCL.135 BPL – Theoretical knowledge examinations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_Toc153137413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91</w:t>
        </w:r>
        <w:r w:rsidR="00BE3F4E" w:rsidRPr="00BE3F4E">
          <w:rPr>
            <w:rFonts w:ascii="Arial" w:hAnsi="Arial" w:cs="Arial"/>
            <w:noProof/>
            <w:webHidden/>
            <w:sz w:val="20"/>
            <w:szCs w:val="20"/>
          </w:rPr>
          <w:fldChar w:fldCharType="end"/>
        </w:r>
      </w:hyperlink>
    </w:p>
    <w:p w14:paraId="2B88FDAF" w14:textId="30971212" w:rsidR="00BE3F4E" w:rsidRPr="00BE3F4E" w:rsidRDefault="00000000">
      <w:pPr>
        <w:pStyle w:val="TOC4"/>
        <w:tabs>
          <w:tab w:val="right" w:leader="underscore" w:pos="9016"/>
        </w:tabs>
        <w:rPr>
          <w:rFonts w:ascii="Arial" w:eastAsiaTheme="minorEastAsia" w:hAnsi="Arial" w:cs="Arial"/>
          <w:noProof/>
          <w:sz w:val="20"/>
          <w:szCs w:val="20"/>
        </w:rPr>
      </w:pPr>
      <w:hyperlink w:anchor="_Toc153137414" w:history="1">
        <w:r w:rsidR="00BE3F4E" w:rsidRPr="00BE3F4E">
          <w:rPr>
            <w:rStyle w:val="Hyperlink"/>
            <w:rFonts w:ascii="Arial" w:eastAsia="Times New Roman" w:hAnsi="Arial" w:cs="Arial"/>
            <w:iCs/>
            <w:noProof/>
            <w:sz w:val="20"/>
            <w:szCs w:val="20"/>
          </w:rPr>
          <w:t>BFCL.140 BPL – Crediting of theoretical knowledge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_Toc153137414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91</w:t>
        </w:r>
        <w:r w:rsidR="00BE3F4E" w:rsidRPr="00BE3F4E">
          <w:rPr>
            <w:rFonts w:ascii="Arial" w:hAnsi="Arial" w:cs="Arial"/>
            <w:noProof/>
            <w:webHidden/>
            <w:sz w:val="20"/>
            <w:szCs w:val="20"/>
          </w:rPr>
          <w:fldChar w:fldCharType="end"/>
        </w:r>
      </w:hyperlink>
    </w:p>
    <w:p w14:paraId="4178DDD8" w14:textId="5B95B73A" w:rsidR="00BE3F4E" w:rsidRPr="00BE3F4E" w:rsidRDefault="00000000">
      <w:pPr>
        <w:pStyle w:val="TOC4"/>
        <w:tabs>
          <w:tab w:val="right" w:leader="underscore" w:pos="9016"/>
        </w:tabs>
        <w:rPr>
          <w:rFonts w:ascii="Arial" w:eastAsiaTheme="minorEastAsia" w:hAnsi="Arial" w:cs="Arial"/>
          <w:noProof/>
          <w:sz w:val="20"/>
          <w:szCs w:val="20"/>
        </w:rPr>
      </w:pPr>
      <w:hyperlink w:anchor="_Toc153137415" w:history="1">
        <w:r w:rsidR="00BE3F4E" w:rsidRPr="00BE3F4E">
          <w:rPr>
            <w:rStyle w:val="Hyperlink"/>
            <w:rFonts w:ascii="Arial" w:eastAsia="Times New Roman" w:hAnsi="Arial" w:cs="Arial"/>
            <w:iCs/>
            <w:noProof/>
            <w:sz w:val="20"/>
            <w:szCs w:val="20"/>
          </w:rPr>
          <w:t>BFCL.145 BPL – Practical skill test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_Toc153137415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91</w:t>
        </w:r>
        <w:r w:rsidR="00BE3F4E" w:rsidRPr="00BE3F4E">
          <w:rPr>
            <w:rFonts w:ascii="Arial" w:hAnsi="Arial" w:cs="Arial"/>
            <w:noProof/>
            <w:webHidden/>
            <w:sz w:val="20"/>
            <w:szCs w:val="20"/>
          </w:rPr>
          <w:fldChar w:fldCharType="end"/>
        </w:r>
      </w:hyperlink>
    </w:p>
    <w:p w14:paraId="54E374F2" w14:textId="218D8622" w:rsidR="00BE3F4E" w:rsidRPr="00BE3F4E" w:rsidRDefault="00000000">
      <w:pPr>
        <w:pStyle w:val="TOC5"/>
        <w:tabs>
          <w:tab w:val="right" w:leader="underscore" w:pos="9016"/>
        </w:tabs>
        <w:rPr>
          <w:rFonts w:ascii="Arial" w:eastAsiaTheme="minorEastAsia" w:hAnsi="Arial" w:cs="Arial"/>
          <w:noProof/>
          <w:sz w:val="20"/>
          <w:szCs w:val="20"/>
        </w:rPr>
      </w:pPr>
      <w:hyperlink w:anchor="_Toc153137416" w:history="1">
        <w:r w:rsidR="00BE3F4E" w:rsidRPr="00BE3F4E">
          <w:rPr>
            <w:rStyle w:val="Hyperlink"/>
            <w:rFonts w:ascii="Arial" w:eastAsia="Times New Roman" w:hAnsi="Arial" w:cs="Arial"/>
            <w:noProof/>
            <w:sz w:val="20"/>
            <w:szCs w:val="20"/>
          </w:rPr>
          <w:t>AMC1 BFCL.145 BPL – Practical skill test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_Toc153137416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92</w:t>
        </w:r>
        <w:r w:rsidR="00BE3F4E" w:rsidRPr="00BE3F4E">
          <w:rPr>
            <w:rFonts w:ascii="Arial" w:hAnsi="Arial" w:cs="Arial"/>
            <w:noProof/>
            <w:webHidden/>
            <w:sz w:val="20"/>
            <w:szCs w:val="20"/>
          </w:rPr>
          <w:fldChar w:fldCharType="end"/>
        </w:r>
      </w:hyperlink>
    </w:p>
    <w:p w14:paraId="350A3AB6" w14:textId="65584E96" w:rsidR="00BE3F4E" w:rsidRPr="00BE3F4E" w:rsidRDefault="00000000">
      <w:pPr>
        <w:pStyle w:val="TOC4"/>
        <w:tabs>
          <w:tab w:val="right" w:leader="underscore" w:pos="9016"/>
        </w:tabs>
        <w:rPr>
          <w:rFonts w:ascii="Arial" w:eastAsiaTheme="minorEastAsia" w:hAnsi="Arial" w:cs="Arial"/>
          <w:noProof/>
          <w:sz w:val="20"/>
          <w:szCs w:val="20"/>
        </w:rPr>
      </w:pPr>
      <w:hyperlink w:anchor="_Toc153137417" w:history="1">
        <w:r w:rsidR="00BE3F4E" w:rsidRPr="00BE3F4E">
          <w:rPr>
            <w:rStyle w:val="Hyperlink"/>
            <w:rFonts w:ascii="Arial" w:eastAsia="Times New Roman" w:hAnsi="Arial" w:cs="Arial"/>
            <w:iCs/>
            <w:noProof/>
            <w:sz w:val="20"/>
            <w:szCs w:val="20"/>
          </w:rPr>
          <w:t>BFCL.150 BPL – Extension of privileges to another balloon class or group</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_Toc153137417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95</w:t>
        </w:r>
        <w:r w:rsidR="00BE3F4E" w:rsidRPr="00BE3F4E">
          <w:rPr>
            <w:rFonts w:ascii="Arial" w:hAnsi="Arial" w:cs="Arial"/>
            <w:noProof/>
            <w:webHidden/>
            <w:sz w:val="20"/>
            <w:szCs w:val="20"/>
          </w:rPr>
          <w:fldChar w:fldCharType="end"/>
        </w:r>
      </w:hyperlink>
    </w:p>
    <w:p w14:paraId="647B26F1" w14:textId="3006BA5D" w:rsidR="00BE3F4E" w:rsidRPr="00BE3F4E" w:rsidRDefault="00000000">
      <w:pPr>
        <w:pStyle w:val="TOC5"/>
        <w:tabs>
          <w:tab w:val="right" w:leader="underscore" w:pos="9016"/>
        </w:tabs>
        <w:rPr>
          <w:rFonts w:ascii="Arial" w:eastAsiaTheme="minorEastAsia" w:hAnsi="Arial" w:cs="Arial"/>
          <w:noProof/>
          <w:sz w:val="20"/>
          <w:szCs w:val="20"/>
        </w:rPr>
      </w:pPr>
      <w:hyperlink w:anchor="_Toc153137418" w:history="1">
        <w:r w:rsidR="00BE3F4E" w:rsidRPr="00BE3F4E">
          <w:rPr>
            <w:rStyle w:val="Hyperlink"/>
            <w:rFonts w:ascii="Arial" w:eastAsia="Times New Roman" w:hAnsi="Arial" w:cs="Arial"/>
            <w:noProof/>
            <w:sz w:val="20"/>
            <w:szCs w:val="20"/>
          </w:rPr>
          <w:t>AMC1 BFCL.150(b) BPL – Extension of privileges to another balloon class or group</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_Toc153137418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95</w:t>
        </w:r>
        <w:r w:rsidR="00BE3F4E" w:rsidRPr="00BE3F4E">
          <w:rPr>
            <w:rFonts w:ascii="Arial" w:hAnsi="Arial" w:cs="Arial"/>
            <w:noProof/>
            <w:webHidden/>
            <w:sz w:val="20"/>
            <w:szCs w:val="20"/>
          </w:rPr>
          <w:fldChar w:fldCharType="end"/>
        </w:r>
      </w:hyperlink>
    </w:p>
    <w:p w14:paraId="6391C8AF" w14:textId="60303C38" w:rsidR="00BE3F4E" w:rsidRPr="00BE3F4E" w:rsidRDefault="00000000">
      <w:pPr>
        <w:pStyle w:val="TOC5"/>
        <w:tabs>
          <w:tab w:val="right" w:leader="underscore" w:pos="9016"/>
        </w:tabs>
        <w:rPr>
          <w:rFonts w:ascii="Arial" w:eastAsiaTheme="minorEastAsia" w:hAnsi="Arial" w:cs="Arial"/>
          <w:noProof/>
          <w:sz w:val="20"/>
          <w:szCs w:val="20"/>
        </w:rPr>
      </w:pPr>
      <w:hyperlink w:anchor="_Toc153137419" w:history="1">
        <w:r w:rsidR="00BE3F4E" w:rsidRPr="00BE3F4E">
          <w:rPr>
            <w:rStyle w:val="Hyperlink"/>
            <w:rFonts w:ascii="Arial" w:eastAsia="Times New Roman" w:hAnsi="Arial" w:cs="Arial"/>
            <w:noProof/>
            <w:sz w:val="20"/>
            <w:szCs w:val="20"/>
          </w:rPr>
          <w:t>GM1 BFCL.150(b) BPL – Extension of privileges to another balloon class or group</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_Toc153137419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96</w:t>
        </w:r>
        <w:r w:rsidR="00BE3F4E" w:rsidRPr="00BE3F4E">
          <w:rPr>
            <w:rFonts w:ascii="Arial" w:hAnsi="Arial" w:cs="Arial"/>
            <w:noProof/>
            <w:webHidden/>
            <w:sz w:val="20"/>
            <w:szCs w:val="20"/>
          </w:rPr>
          <w:fldChar w:fldCharType="end"/>
        </w:r>
      </w:hyperlink>
    </w:p>
    <w:p w14:paraId="6ACCD94F" w14:textId="00249380" w:rsidR="00BE3F4E" w:rsidRPr="00BE3F4E" w:rsidRDefault="00000000">
      <w:pPr>
        <w:pStyle w:val="TOC5"/>
        <w:tabs>
          <w:tab w:val="right" w:leader="underscore" w:pos="9016"/>
        </w:tabs>
        <w:rPr>
          <w:rFonts w:ascii="Arial" w:eastAsiaTheme="minorEastAsia" w:hAnsi="Arial" w:cs="Arial"/>
          <w:noProof/>
          <w:sz w:val="20"/>
          <w:szCs w:val="20"/>
        </w:rPr>
      </w:pPr>
      <w:hyperlink w:anchor="_Toc153137420" w:history="1">
        <w:r w:rsidR="00BE3F4E" w:rsidRPr="00BE3F4E">
          <w:rPr>
            <w:rStyle w:val="Hyperlink"/>
            <w:rFonts w:ascii="Arial" w:eastAsia="Times New Roman" w:hAnsi="Arial" w:cs="Arial"/>
            <w:noProof/>
            <w:sz w:val="20"/>
            <w:szCs w:val="20"/>
          </w:rPr>
          <w:t>AMC1 BFCL.150(c)(1) BPL – Extension of privileges to another balloon class or group</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_Toc153137420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96</w:t>
        </w:r>
        <w:r w:rsidR="00BE3F4E" w:rsidRPr="00BE3F4E">
          <w:rPr>
            <w:rFonts w:ascii="Arial" w:hAnsi="Arial" w:cs="Arial"/>
            <w:noProof/>
            <w:webHidden/>
            <w:sz w:val="20"/>
            <w:szCs w:val="20"/>
          </w:rPr>
          <w:fldChar w:fldCharType="end"/>
        </w:r>
      </w:hyperlink>
    </w:p>
    <w:p w14:paraId="4FB98F94" w14:textId="795D6828" w:rsidR="00BE3F4E" w:rsidRPr="00BE3F4E" w:rsidRDefault="00000000">
      <w:pPr>
        <w:pStyle w:val="TOC5"/>
        <w:tabs>
          <w:tab w:val="right" w:leader="underscore" w:pos="9016"/>
        </w:tabs>
        <w:rPr>
          <w:rFonts w:ascii="Arial" w:eastAsiaTheme="minorEastAsia" w:hAnsi="Arial" w:cs="Arial"/>
          <w:noProof/>
          <w:sz w:val="20"/>
          <w:szCs w:val="20"/>
        </w:rPr>
      </w:pPr>
      <w:hyperlink w:anchor="_Toc153137421" w:history="1">
        <w:r w:rsidR="00BE3F4E" w:rsidRPr="00BE3F4E">
          <w:rPr>
            <w:rStyle w:val="Hyperlink"/>
            <w:rFonts w:ascii="Arial" w:eastAsia="Times New Roman" w:hAnsi="Arial" w:cs="Arial"/>
            <w:noProof/>
            <w:sz w:val="20"/>
            <w:szCs w:val="20"/>
          </w:rPr>
          <w:t>AMC2 BFCL.150(c)(1) BPL – Extension of privileges to another balloon class or group</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_Toc153137421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99</w:t>
        </w:r>
        <w:r w:rsidR="00BE3F4E" w:rsidRPr="00BE3F4E">
          <w:rPr>
            <w:rFonts w:ascii="Arial" w:hAnsi="Arial" w:cs="Arial"/>
            <w:noProof/>
            <w:webHidden/>
            <w:sz w:val="20"/>
            <w:szCs w:val="20"/>
          </w:rPr>
          <w:fldChar w:fldCharType="end"/>
        </w:r>
      </w:hyperlink>
    </w:p>
    <w:p w14:paraId="1CC5FF8D" w14:textId="1B00D2AD" w:rsidR="00BE3F4E" w:rsidRPr="00BE3F4E" w:rsidRDefault="00000000">
      <w:pPr>
        <w:pStyle w:val="TOC5"/>
        <w:tabs>
          <w:tab w:val="right" w:leader="underscore" w:pos="9016"/>
        </w:tabs>
        <w:rPr>
          <w:rFonts w:ascii="Arial" w:eastAsiaTheme="minorEastAsia" w:hAnsi="Arial" w:cs="Arial"/>
          <w:noProof/>
          <w:sz w:val="20"/>
          <w:szCs w:val="20"/>
        </w:rPr>
      </w:pPr>
      <w:hyperlink w:anchor="_Toc153137422" w:history="1">
        <w:r w:rsidR="00BE3F4E" w:rsidRPr="00BE3F4E">
          <w:rPr>
            <w:rStyle w:val="Hyperlink"/>
            <w:rFonts w:ascii="Arial" w:eastAsia="Times New Roman" w:hAnsi="Arial" w:cs="Arial"/>
            <w:noProof/>
            <w:sz w:val="20"/>
            <w:szCs w:val="20"/>
          </w:rPr>
          <w:t>AMC3 BFCL.150(c)(1) BPL – Extension of privileges to another balloon class or group</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_Toc153137422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99</w:t>
        </w:r>
        <w:r w:rsidR="00BE3F4E" w:rsidRPr="00BE3F4E">
          <w:rPr>
            <w:rFonts w:ascii="Arial" w:hAnsi="Arial" w:cs="Arial"/>
            <w:noProof/>
            <w:webHidden/>
            <w:sz w:val="20"/>
            <w:szCs w:val="20"/>
          </w:rPr>
          <w:fldChar w:fldCharType="end"/>
        </w:r>
      </w:hyperlink>
    </w:p>
    <w:p w14:paraId="72E99571" w14:textId="30E95FD1" w:rsidR="00BE3F4E" w:rsidRPr="00BE3F4E" w:rsidRDefault="00000000">
      <w:pPr>
        <w:pStyle w:val="TOC5"/>
        <w:tabs>
          <w:tab w:val="right" w:leader="underscore" w:pos="9016"/>
        </w:tabs>
        <w:rPr>
          <w:rFonts w:ascii="Arial" w:eastAsiaTheme="minorEastAsia" w:hAnsi="Arial" w:cs="Arial"/>
          <w:noProof/>
          <w:sz w:val="20"/>
          <w:szCs w:val="20"/>
        </w:rPr>
      </w:pPr>
      <w:hyperlink w:anchor="_Toc153137423" w:history="1">
        <w:r w:rsidR="00BE3F4E" w:rsidRPr="00BE3F4E">
          <w:rPr>
            <w:rStyle w:val="Hyperlink"/>
            <w:rFonts w:ascii="Arial" w:eastAsia="Times New Roman" w:hAnsi="Arial" w:cs="Arial"/>
            <w:noProof/>
            <w:sz w:val="20"/>
            <w:szCs w:val="20"/>
          </w:rPr>
          <w:t>AMC1 BFCL.150(c)(2) BPL – Extension of privileges to another balloon class or group</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_Toc153137423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99</w:t>
        </w:r>
        <w:r w:rsidR="00BE3F4E" w:rsidRPr="00BE3F4E">
          <w:rPr>
            <w:rFonts w:ascii="Arial" w:hAnsi="Arial" w:cs="Arial"/>
            <w:noProof/>
            <w:webHidden/>
            <w:sz w:val="20"/>
            <w:szCs w:val="20"/>
          </w:rPr>
          <w:fldChar w:fldCharType="end"/>
        </w:r>
      </w:hyperlink>
    </w:p>
    <w:p w14:paraId="06170C5C" w14:textId="19FF5D82" w:rsidR="00BE3F4E" w:rsidRPr="00BE3F4E" w:rsidRDefault="00000000">
      <w:pPr>
        <w:pStyle w:val="TOC5"/>
        <w:tabs>
          <w:tab w:val="right" w:leader="underscore" w:pos="9016"/>
        </w:tabs>
        <w:rPr>
          <w:rFonts w:ascii="Arial" w:eastAsiaTheme="minorEastAsia" w:hAnsi="Arial" w:cs="Arial"/>
          <w:noProof/>
          <w:sz w:val="20"/>
          <w:szCs w:val="20"/>
        </w:rPr>
      </w:pPr>
      <w:hyperlink w:anchor="_Toc153137424" w:history="1">
        <w:r w:rsidR="00BE3F4E" w:rsidRPr="00BE3F4E">
          <w:rPr>
            <w:rStyle w:val="Hyperlink"/>
            <w:rFonts w:ascii="Arial" w:eastAsia="Times New Roman" w:hAnsi="Arial" w:cs="Arial"/>
            <w:noProof/>
            <w:sz w:val="20"/>
            <w:szCs w:val="20"/>
          </w:rPr>
          <w:t>AMC2 BFCL.150(c)(2) BPL – Extension of privileges to another balloon class or group</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_Toc153137424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101</w:t>
        </w:r>
        <w:r w:rsidR="00BE3F4E" w:rsidRPr="00BE3F4E">
          <w:rPr>
            <w:rFonts w:ascii="Arial" w:hAnsi="Arial" w:cs="Arial"/>
            <w:noProof/>
            <w:webHidden/>
            <w:sz w:val="20"/>
            <w:szCs w:val="20"/>
          </w:rPr>
          <w:fldChar w:fldCharType="end"/>
        </w:r>
      </w:hyperlink>
    </w:p>
    <w:p w14:paraId="3D41E616" w14:textId="155BF1F2" w:rsidR="00BE3F4E" w:rsidRPr="00BE3F4E" w:rsidRDefault="00000000">
      <w:pPr>
        <w:pStyle w:val="TOC5"/>
        <w:tabs>
          <w:tab w:val="right" w:leader="underscore" w:pos="9016"/>
        </w:tabs>
        <w:rPr>
          <w:rFonts w:ascii="Arial" w:eastAsiaTheme="minorEastAsia" w:hAnsi="Arial" w:cs="Arial"/>
          <w:noProof/>
          <w:sz w:val="20"/>
          <w:szCs w:val="20"/>
        </w:rPr>
      </w:pPr>
      <w:hyperlink w:anchor="_Toc153137425" w:history="1">
        <w:r w:rsidR="00BE3F4E" w:rsidRPr="00BE3F4E">
          <w:rPr>
            <w:rStyle w:val="Hyperlink"/>
            <w:rFonts w:ascii="Arial" w:eastAsia="Times New Roman" w:hAnsi="Arial" w:cs="Arial"/>
            <w:noProof/>
            <w:sz w:val="20"/>
            <w:szCs w:val="20"/>
          </w:rPr>
          <w:t>AMC3 BFCL.150(c)(2) BPL – Extension of privileges to another balloon class or group</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_Toc153137425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101</w:t>
        </w:r>
        <w:r w:rsidR="00BE3F4E" w:rsidRPr="00BE3F4E">
          <w:rPr>
            <w:rFonts w:ascii="Arial" w:hAnsi="Arial" w:cs="Arial"/>
            <w:noProof/>
            <w:webHidden/>
            <w:sz w:val="20"/>
            <w:szCs w:val="20"/>
          </w:rPr>
          <w:fldChar w:fldCharType="end"/>
        </w:r>
      </w:hyperlink>
    </w:p>
    <w:p w14:paraId="2424AA78" w14:textId="39B1D3B4" w:rsidR="00BE3F4E" w:rsidRPr="00BE3F4E" w:rsidRDefault="00000000">
      <w:pPr>
        <w:pStyle w:val="TOC5"/>
        <w:tabs>
          <w:tab w:val="right" w:leader="underscore" w:pos="9016"/>
        </w:tabs>
        <w:rPr>
          <w:rFonts w:ascii="Arial" w:eastAsiaTheme="minorEastAsia" w:hAnsi="Arial" w:cs="Arial"/>
          <w:noProof/>
          <w:sz w:val="20"/>
          <w:szCs w:val="20"/>
        </w:rPr>
      </w:pPr>
      <w:hyperlink w:anchor="_Toc153137426" w:history="1">
        <w:r w:rsidR="00BE3F4E" w:rsidRPr="00BE3F4E">
          <w:rPr>
            <w:rStyle w:val="Hyperlink"/>
            <w:rFonts w:ascii="Arial" w:eastAsia="Times New Roman" w:hAnsi="Arial" w:cs="Arial"/>
            <w:noProof/>
            <w:sz w:val="20"/>
            <w:szCs w:val="20"/>
          </w:rPr>
          <w:t>AMC4 BFCL.150(c)(2) BPL – Extension of privileges to another balloon class or group</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_Toc153137426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101</w:t>
        </w:r>
        <w:r w:rsidR="00BE3F4E" w:rsidRPr="00BE3F4E">
          <w:rPr>
            <w:rFonts w:ascii="Arial" w:hAnsi="Arial" w:cs="Arial"/>
            <w:noProof/>
            <w:webHidden/>
            <w:sz w:val="20"/>
            <w:szCs w:val="20"/>
          </w:rPr>
          <w:fldChar w:fldCharType="end"/>
        </w:r>
      </w:hyperlink>
    </w:p>
    <w:p w14:paraId="2DAC7438" w14:textId="61931A24" w:rsidR="00BE3F4E" w:rsidRPr="00BE3F4E" w:rsidRDefault="00000000">
      <w:pPr>
        <w:pStyle w:val="TOC4"/>
        <w:tabs>
          <w:tab w:val="right" w:leader="underscore" w:pos="9016"/>
        </w:tabs>
        <w:rPr>
          <w:rFonts w:ascii="Arial" w:eastAsiaTheme="minorEastAsia" w:hAnsi="Arial" w:cs="Arial"/>
          <w:noProof/>
          <w:sz w:val="20"/>
          <w:szCs w:val="20"/>
        </w:rPr>
      </w:pPr>
      <w:hyperlink w:anchor="_Toc153137427" w:history="1">
        <w:r w:rsidR="00BE3F4E" w:rsidRPr="00BE3F4E">
          <w:rPr>
            <w:rStyle w:val="Hyperlink"/>
            <w:rFonts w:ascii="Arial" w:eastAsia="Times New Roman" w:hAnsi="Arial" w:cs="Arial"/>
            <w:iCs/>
            <w:noProof/>
            <w:sz w:val="20"/>
            <w:szCs w:val="20"/>
          </w:rPr>
          <w:t>BFCL.160 BPL – Recency requirements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_Toc153137427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102</w:t>
        </w:r>
        <w:r w:rsidR="00BE3F4E" w:rsidRPr="00BE3F4E">
          <w:rPr>
            <w:rFonts w:ascii="Arial" w:hAnsi="Arial" w:cs="Arial"/>
            <w:noProof/>
            <w:webHidden/>
            <w:sz w:val="20"/>
            <w:szCs w:val="20"/>
          </w:rPr>
          <w:fldChar w:fldCharType="end"/>
        </w:r>
      </w:hyperlink>
    </w:p>
    <w:p w14:paraId="4BF34BC7" w14:textId="472845D4" w:rsidR="00BE3F4E" w:rsidRPr="00BE3F4E" w:rsidRDefault="00000000">
      <w:pPr>
        <w:pStyle w:val="TOC5"/>
        <w:tabs>
          <w:tab w:val="right" w:leader="underscore" w:pos="9016"/>
        </w:tabs>
        <w:rPr>
          <w:rFonts w:ascii="Arial" w:eastAsiaTheme="minorEastAsia" w:hAnsi="Arial" w:cs="Arial"/>
          <w:noProof/>
          <w:sz w:val="20"/>
          <w:szCs w:val="20"/>
        </w:rPr>
      </w:pPr>
      <w:hyperlink w:anchor="_Toc153137428" w:history="1">
        <w:r w:rsidR="00BE3F4E" w:rsidRPr="00BE3F4E">
          <w:rPr>
            <w:rStyle w:val="Hyperlink"/>
            <w:rFonts w:ascii="Arial" w:eastAsia="Times New Roman" w:hAnsi="Arial" w:cs="Arial"/>
            <w:noProof/>
            <w:sz w:val="20"/>
            <w:szCs w:val="20"/>
          </w:rPr>
          <w:t>AMC1 BFCL.160 BPL – Recency requirements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_Toc153137428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103</w:t>
        </w:r>
        <w:r w:rsidR="00BE3F4E" w:rsidRPr="00BE3F4E">
          <w:rPr>
            <w:rFonts w:ascii="Arial" w:hAnsi="Arial" w:cs="Arial"/>
            <w:noProof/>
            <w:webHidden/>
            <w:sz w:val="20"/>
            <w:szCs w:val="20"/>
          </w:rPr>
          <w:fldChar w:fldCharType="end"/>
        </w:r>
      </w:hyperlink>
    </w:p>
    <w:p w14:paraId="4FAEFD6A" w14:textId="30FB587D" w:rsidR="00BE3F4E" w:rsidRPr="00BE3F4E" w:rsidRDefault="00000000">
      <w:pPr>
        <w:pStyle w:val="TOC5"/>
        <w:tabs>
          <w:tab w:val="right" w:leader="underscore" w:pos="9016"/>
        </w:tabs>
        <w:rPr>
          <w:rFonts w:ascii="Arial" w:eastAsiaTheme="minorEastAsia" w:hAnsi="Arial" w:cs="Arial"/>
          <w:noProof/>
          <w:sz w:val="20"/>
          <w:szCs w:val="20"/>
        </w:rPr>
      </w:pPr>
      <w:hyperlink w:anchor="_Toc153137429" w:history="1">
        <w:r w:rsidR="00BE3F4E" w:rsidRPr="00BE3F4E">
          <w:rPr>
            <w:rStyle w:val="Hyperlink"/>
            <w:rFonts w:ascii="Arial" w:eastAsia="Times New Roman" w:hAnsi="Arial" w:cs="Arial"/>
            <w:noProof/>
            <w:sz w:val="20"/>
            <w:szCs w:val="20"/>
          </w:rPr>
          <w:t>AMC1 BFCL.160(a)(1)(ii) Recency requirements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_Toc153137429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104</w:t>
        </w:r>
        <w:r w:rsidR="00BE3F4E" w:rsidRPr="00BE3F4E">
          <w:rPr>
            <w:rFonts w:ascii="Arial" w:hAnsi="Arial" w:cs="Arial"/>
            <w:noProof/>
            <w:webHidden/>
            <w:sz w:val="20"/>
            <w:szCs w:val="20"/>
          </w:rPr>
          <w:fldChar w:fldCharType="end"/>
        </w:r>
      </w:hyperlink>
    </w:p>
    <w:p w14:paraId="073CA979" w14:textId="4EDBD183" w:rsidR="00BE3F4E" w:rsidRPr="00BE3F4E" w:rsidRDefault="00000000">
      <w:pPr>
        <w:pStyle w:val="TOC5"/>
        <w:tabs>
          <w:tab w:val="right" w:leader="underscore" w:pos="9016"/>
        </w:tabs>
        <w:rPr>
          <w:rFonts w:ascii="Arial" w:eastAsiaTheme="minorEastAsia" w:hAnsi="Arial" w:cs="Arial"/>
          <w:noProof/>
          <w:sz w:val="20"/>
          <w:szCs w:val="20"/>
        </w:rPr>
      </w:pPr>
      <w:hyperlink w:anchor="_Toc153137430" w:history="1">
        <w:r w:rsidR="00BE3F4E" w:rsidRPr="00BE3F4E">
          <w:rPr>
            <w:rStyle w:val="Hyperlink"/>
            <w:rFonts w:ascii="Arial" w:eastAsia="Times New Roman" w:hAnsi="Arial" w:cs="Arial"/>
            <w:noProof/>
            <w:sz w:val="20"/>
            <w:szCs w:val="20"/>
          </w:rPr>
          <w:t>AMC1 BFCL.160(a)(2) Recency requirements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_Toc153137430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104</w:t>
        </w:r>
        <w:r w:rsidR="00BE3F4E" w:rsidRPr="00BE3F4E">
          <w:rPr>
            <w:rFonts w:ascii="Arial" w:hAnsi="Arial" w:cs="Arial"/>
            <w:noProof/>
            <w:webHidden/>
            <w:sz w:val="20"/>
            <w:szCs w:val="20"/>
          </w:rPr>
          <w:fldChar w:fldCharType="end"/>
        </w:r>
      </w:hyperlink>
    </w:p>
    <w:p w14:paraId="3D3E31E4" w14:textId="6E0CB33B" w:rsidR="00BE3F4E" w:rsidRPr="00BE3F4E" w:rsidRDefault="00000000">
      <w:pPr>
        <w:pStyle w:val="TOC3"/>
        <w:tabs>
          <w:tab w:val="right" w:leader="underscore" w:pos="9016"/>
        </w:tabs>
        <w:rPr>
          <w:rFonts w:ascii="Arial" w:eastAsiaTheme="minorEastAsia" w:hAnsi="Arial" w:cs="Arial"/>
          <w:b w:val="0"/>
          <w:bCs w:val="0"/>
          <w:noProof/>
          <w:sz w:val="20"/>
          <w:szCs w:val="20"/>
        </w:rPr>
      </w:pPr>
      <w:hyperlink w:anchor="_Toc153137431" w:history="1">
        <w:r w:rsidR="00BE3F4E" w:rsidRPr="00BE3F4E">
          <w:rPr>
            <w:rStyle w:val="Hyperlink"/>
            <w:rFonts w:ascii="Arial" w:hAnsi="Arial" w:cs="Arial"/>
            <w:b w:val="0"/>
            <w:bCs w:val="0"/>
            <w:noProof/>
            <w:sz w:val="20"/>
            <w:szCs w:val="20"/>
          </w:rPr>
          <w:t>SUBPART ADD — ADDITIONAL RATINGS</w:t>
        </w:r>
        <w:r w:rsidR="00BE3F4E" w:rsidRPr="00BE3F4E">
          <w:rPr>
            <w:rFonts w:ascii="Arial" w:hAnsi="Arial" w:cs="Arial"/>
            <w:b w:val="0"/>
            <w:bCs w:val="0"/>
            <w:noProof/>
            <w:webHidden/>
            <w:sz w:val="20"/>
            <w:szCs w:val="20"/>
          </w:rPr>
          <w:tab/>
        </w:r>
        <w:r w:rsidR="00BE3F4E" w:rsidRPr="00BE3F4E">
          <w:rPr>
            <w:rFonts w:ascii="Arial" w:hAnsi="Arial" w:cs="Arial"/>
            <w:b w:val="0"/>
            <w:bCs w:val="0"/>
            <w:noProof/>
            <w:webHidden/>
            <w:sz w:val="20"/>
            <w:szCs w:val="20"/>
          </w:rPr>
          <w:fldChar w:fldCharType="begin"/>
        </w:r>
        <w:r w:rsidR="00BE3F4E" w:rsidRPr="00BE3F4E">
          <w:rPr>
            <w:rFonts w:ascii="Arial" w:hAnsi="Arial" w:cs="Arial"/>
            <w:b w:val="0"/>
            <w:bCs w:val="0"/>
            <w:noProof/>
            <w:webHidden/>
            <w:sz w:val="20"/>
            <w:szCs w:val="20"/>
          </w:rPr>
          <w:instrText xml:space="preserve"> PAGEREF _Toc153137431 \h </w:instrText>
        </w:r>
        <w:r w:rsidR="00BE3F4E" w:rsidRPr="00BE3F4E">
          <w:rPr>
            <w:rFonts w:ascii="Arial" w:hAnsi="Arial" w:cs="Arial"/>
            <w:b w:val="0"/>
            <w:bCs w:val="0"/>
            <w:noProof/>
            <w:webHidden/>
            <w:sz w:val="20"/>
            <w:szCs w:val="20"/>
          </w:rPr>
        </w:r>
        <w:r w:rsidR="00BE3F4E" w:rsidRPr="00BE3F4E">
          <w:rPr>
            <w:rFonts w:ascii="Arial" w:hAnsi="Arial" w:cs="Arial"/>
            <w:b w:val="0"/>
            <w:bCs w:val="0"/>
            <w:noProof/>
            <w:webHidden/>
            <w:sz w:val="20"/>
            <w:szCs w:val="20"/>
          </w:rPr>
          <w:fldChar w:fldCharType="separate"/>
        </w:r>
        <w:r w:rsidR="006A7538">
          <w:rPr>
            <w:rFonts w:ascii="Arial" w:hAnsi="Arial" w:cs="Arial"/>
            <w:b w:val="0"/>
            <w:bCs w:val="0"/>
            <w:noProof/>
            <w:webHidden/>
            <w:sz w:val="20"/>
            <w:szCs w:val="20"/>
          </w:rPr>
          <w:t>105</w:t>
        </w:r>
        <w:r w:rsidR="00BE3F4E" w:rsidRPr="00BE3F4E">
          <w:rPr>
            <w:rFonts w:ascii="Arial" w:hAnsi="Arial" w:cs="Arial"/>
            <w:b w:val="0"/>
            <w:bCs w:val="0"/>
            <w:noProof/>
            <w:webHidden/>
            <w:sz w:val="20"/>
            <w:szCs w:val="20"/>
          </w:rPr>
          <w:fldChar w:fldCharType="end"/>
        </w:r>
      </w:hyperlink>
    </w:p>
    <w:p w14:paraId="160CD4BE" w14:textId="01BF8BC3" w:rsidR="00BE3F4E" w:rsidRPr="00BE3F4E" w:rsidRDefault="00000000">
      <w:pPr>
        <w:pStyle w:val="TOC4"/>
        <w:tabs>
          <w:tab w:val="right" w:leader="underscore" w:pos="9016"/>
        </w:tabs>
        <w:rPr>
          <w:rFonts w:ascii="Arial" w:eastAsiaTheme="minorEastAsia" w:hAnsi="Arial" w:cs="Arial"/>
          <w:noProof/>
          <w:sz w:val="20"/>
          <w:szCs w:val="20"/>
        </w:rPr>
      </w:pPr>
      <w:hyperlink w:anchor="_Toc153137432" w:history="1">
        <w:r w:rsidR="00BE3F4E" w:rsidRPr="00BE3F4E">
          <w:rPr>
            <w:rStyle w:val="Hyperlink"/>
            <w:rFonts w:ascii="Arial" w:eastAsia="Times New Roman" w:hAnsi="Arial" w:cs="Arial"/>
            <w:iCs/>
            <w:noProof/>
            <w:sz w:val="20"/>
            <w:szCs w:val="20"/>
          </w:rPr>
          <w:t>BFCL.200 Tethered hot-air balloon flight rating</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_Toc153137432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105</w:t>
        </w:r>
        <w:r w:rsidR="00BE3F4E" w:rsidRPr="00BE3F4E">
          <w:rPr>
            <w:rFonts w:ascii="Arial" w:hAnsi="Arial" w:cs="Arial"/>
            <w:noProof/>
            <w:webHidden/>
            <w:sz w:val="20"/>
            <w:szCs w:val="20"/>
          </w:rPr>
          <w:fldChar w:fldCharType="end"/>
        </w:r>
      </w:hyperlink>
    </w:p>
    <w:p w14:paraId="054A397F" w14:textId="32A939B8" w:rsidR="00BE3F4E" w:rsidRPr="00BE3F4E" w:rsidRDefault="00000000">
      <w:pPr>
        <w:pStyle w:val="TOC5"/>
        <w:tabs>
          <w:tab w:val="right" w:leader="underscore" w:pos="9016"/>
        </w:tabs>
        <w:rPr>
          <w:rFonts w:ascii="Arial" w:eastAsiaTheme="minorEastAsia" w:hAnsi="Arial" w:cs="Arial"/>
          <w:noProof/>
          <w:sz w:val="20"/>
          <w:szCs w:val="20"/>
        </w:rPr>
      </w:pPr>
      <w:hyperlink w:anchor="_Toc153137433" w:history="1">
        <w:r w:rsidR="00BE3F4E" w:rsidRPr="00BE3F4E">
          <w:rPr>
            <w:rStyle w:val="Hyperlink"/>
            <w:rFonts w:ascii="Arial" w:eastAsia="Times New Roman" w:hAnsi="Arial" w:cs="Arial"/>
            <w:noProof/>
            <w:sz w:val="20"/>
            <w:szCs w:val="20"/>
          </w:rPr>
          <w:t>GM1 BFCL.200 Tethered hot-air balloon flight rating</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_Toc153137433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105</w:t>
        </w:r>
        <w:r w:rsidR="00BE3F4E" w:rsidRPr="00BE3F4E">
          <w:rPr>
            <w:rFonts w:ascii="Arial" w:hAnsi="Arial" w:cs="Arial"/>
            <w:noProof/>
            <w:webHidden/>
            <w:sz w:val="20"/>
            <w:szCs w:val="20"/>
          </w:rPr>
          <w:fldChar w:fldCharType="end"/>
        </w:r>
      </w:hyperlink>
    </w:p>
    <w:p w14:paraId="0B8C60A8" w14:textId="33F0FDD8" w:rsidR="00BE3F4E" w:rsidRPr="00BE3F4E" w:rsidRDefault="00000000">
      <w:pPr>
        <w:pStyle w:val="TOC5"/>
        <w:tabs>
          <w:tab w:val="right" w:leader="underscore" w:pos="9016"/>
        </w:tabs>
        <w:rPr>
          <w:rFonts w:ascii="Arial" w:eastAsiaTheme="minorEastAsia" w:hAnsi="Arial" w:cs="Arial"/>
          <w:noProof/>
          <w:sz w:val="20"/>
          <w:szCs w:val="20"/>
        </w:rPr>
      </w:pPr>
      <w:hyperlink w:anchor="_Toc153137434" w:history="1">
        <w:r w:rsidR="00BE3F4E" w:rsidRPr="00BE3F4E">
          <w:rPr>
            <w:rStyle w:val="Hyperlink"/>
            <w:rFonts w:ascii="Arial" w:eastAsia="Times New Roman" w:hAnsi="Arial" w:cs="Arial"/>
            <w:noProof/>
            <w:sz w:val="20"/>
            <w:szCs w:val="20"/>
          </w:rPr>
          <w:t>AMC1 BFCL.200(b)(2) Tethered hot-air balloon flight rating</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_Toc153137434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105</w:t>
        </w:r>
        <w:r w:rsidR="00BE3F4E" w:rsidRPr="00BE3F4E">
          <w:rPr>
            <w:rFonts w:ascii="Arial" w:hAnsi="Arial" w:cs="Arial"/>
            <w:noProof/>
            <w:webHidden/>
            <w:sz w:val="20"/>
            <w:szCs w:val="20"/>
          </w:rPr>
          <w:fldChar w:fldCharType="end"/>
        </w:r>
      </w:hyperlink>
    </w:p>
    <w:p w14:paraId="2364C441" w14:textId="266B4A28" w:rsidR="00BE3F4E" w:rsidRPr="00BE3F4E" w:rsidRDefault="00000000">
      <w:pPr>
        <w:pStyle w:val="TOC4"/>
        <w:tabs>
          <w:tab w:val="right" w:leader="underscore" w:pos="9016"/>
        </w:tabs>
        <w:rPr>
          <w:rFonts w:ascii="Arial" w:eastAsiaTheme="minorEastAsia" w:hAnsi="Arial" w:cs="Arial"/>
          <w:noProof/>
          <w:sz w:val="20"/>
          <w:szCs w:val="20"/>
        </w:rPr>
      </w:pPr>
      <w:hyperlink w:anchor="_Toc153137435" w:history="1">
        <w:r w:rsidR="00BE3F4E" w:rsidRPr="00BE3F4E">
          <w:rPr>
            <w:rStyle w:val="Hyperlink"/>
            <w:rFonts w:ascii="Arial" w:eastAsia="Times New Roman" w:hAnsi="Arial" w:cs="Arial"/>
            <w:iCs/>
            <w:noProof/>
            <w:sz w:val="20"/>
            <w:szCs w:val="20"/>
          </w:rPr>
          <w:t>BFCL.210 Night rating</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_Toc153137435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106</w:t>
        </w:r>
        <w:r w:rsidR="00BE3F4E" w:rsidRPr="00BE3F4E">
          <w:rPr>
            <w:rFonts w:ascii="Arial" w:hAnsi="Arial" w:cs="Arial"/>
            <w:noProof/>
            <w:webHidden/>
            <w:sz w:val="20"/>
            <w:szCs w:val="20"/>
          </w:rPr>
          <w:fldChar w:fldCharType="end"/>
        </w:r>
      </w:hyperlink>
    </w:p>
    <w:p w14:paraId="6BC9C66E" w14:textId="52AC02A4" w:rsidR="00BE3F4E" w:rsidRPr="00BE3F4E" w:rsidRDefault="00000000">
      <w:pPr>
        <w:pStyle w:val="TOC5"/>
        <w:tabs>
          <w:tab w:val="right" w:leader="underscore" w:pos="9016"/>
        </w:tabs>
        <w:rPr>
          <w:rFonts w:ascii="Arial" w:eastAsiaTheme="minorEastAsia" w:hAnsi="Arial" w:cs="Arial"/>
          <w:noProof/>
          <w:sz w:val="20"/>
          <w:szCs w:val="20"/>
        </w:rPr>
      </w:pPr>
      <w:hyperlink w:anchor="_Toc153137436" w:history="1">
        <w:r w:rsidR="00BE3F4E" w:rsidRPr="00BE3F4E">
          <w:rPr>
            <w:rStyle w:val="Hyperlink"/>
            <w:rFonts w:ascii="Arial" w:eastAsia="Times New Roman" w:hAnsi="Arial" w:cs="Arial"/>
            <w:noProof/>
            <w:sz w:val="20"/>
            <w:szCs w:val="20"/>
          </w:rPr>
          <w:t>AMC1 BFCL.210(b) Night rating</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_Toc153137436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106</w:t>
        </w:r>
        <w:r w:rsidR="00BE3F4E" w:rsidRPr="00BE3F4E">
          <w:rPr>
            <w:rFonts w:ascii="Arial" w:hAnsi="Arial" w:cs="Arial"/>
            <w:noProof/>
            <w:webHidden/>
            <w:sz w:val="20"/>
            <w:szCs w:val="20"/>
          </w:rPr>
          <w:fldChar w:fldCharType="end"/>
        </w:r>
      </w:hyperlink>
    </w:p>
    <w:p w14:paraId="36CE5B7A" w14:textId="6A990379" w:rsidR="00BE3F4E" w:rsidRPr="00BE3F4E" w:rsidRDefault="00000000">
      <w:pPr>
        <w:pStyle w:val="TOC5"/>
        <w:tabs>
          <w:tab w:val="right" w:leader="underscore" w:pos="9016"/>
        </w:tabs>
        <w:rPr>
          <w:rFonts w:ascii="Arial" w:eastAsiaTheme="minorEastAsia" w:hAnsi="Arial" w:cs="Arial"/>
          <w:noProof/>
          <w:sz w:val="20"/>
          <w:szCs w:val="20"/>
        </w:rPr>
      </w:pPr>
      <w:hyperlink w:anchor="_Toc153137437" w:history="1">
        <w:r w:rsidR="00BE3F4E" w:rsidRPr="00BE3F4E">
          <w:rPr>
            <w:rStyle w:val="Hyperlink"/>
            <w:rFonts w:ascii="Arial" w:eastAsia="Times New Roman" w:hAnsi="Arial" w:cs="Arial"/>
            <w:noProof/>
            <w:sz w:val="20"/>
            <w:szCs w:val="20"/>
          </w:rPr>
          <w:t>GM1 BFCL.210(c) Night rating</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_Toc153137437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106</w:t>
        </w:r>
        <w:r w:rsidR="00BE3F4E" w:rsidRPr="00BE3F4E">
          <w:rPr>
            <w:rFonts w:ascii="Arial" w:hAnsi="Arial" w:cs="Arial"/>
            <w:noProof/>
            <w:webHidden/>
            <w:sz w:val="20"/>
            <w:szCs w:val="20"/>
          </w:rPr>
          <w:fldChar w:fldCharType="end"/>
        </w:r>
      </w:hyperlink>
    </w:p>
    <w:p w14:paraId="2598385B" w14:textId="76959BEE" w:rsidR="00BE3F4E" w:rsidRPr="00BE3F4E" w:rsidRDefault="00000000">
      <w:pPr>
        <w:pStyle w:val="TOC4"/>
        <w:tabs>
          <w:tab w:val="right" w:leader="underscore" w:pos="9016"/>
        </w:tabs>
        <w:rPr>
          <w:rFonts w:ascii="Arial" w:eastAsiaTheme="minorEastAsia" w:hAnsi="Arial" w:cs="Arial"/>
          <w:noProof/>
          <w:sz w:val="20"/>
          <w:szCs w:val="20"/>
        </w:rPr>
      </w:pPr>
      <w:hyperlink w:anchor="_Toc153137438" w:history="1">
        <w:r w:rsidR="00BE3F4E" w:rsidRPr="00BE3F4E">
          <w:rPr>
            <w:rStyle w:val="Hyperlink"/>
            <w:rFonts w:ascii="Arial" w:eastAsia="Times New Roman" w:hAnsi="Arial" w:cs="Arial"/>
            <w:iCs/>
            <w:noProof/>
            <w:sz w:val="20"/>
            <w:szCs w:val="20"/>
          </w:rPr>
          <w:t>BFCL.215 Commercial operation rating</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_Toc153137438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106</w:t>
        </w:r>
        <w:r w:rsidR="00BE3F4E" w:rsidRPr="00BE3F4E">
          <w:rPr>
            <w:rFonts w:ascii="Arial" w:hAnsi="Arial" w:cs="Arial"/>
            <w:noProof/>
            <w:webHidden/>
            <w:sz w:val="20"/>
            <w:szCs w:val="20"/>
          </w:rPr>
          <w:fldChar w:fldCharType="end"/>
        </w:r>
      </w:hyperlink>
    </w:p>
    <w:p w14:paraId="5BB6B726" w14:textId="69E735A4" w:rsidR="00BE3F4E" w:rsidRPr="00BE3F4E" w:rsidRDefault="00000000">
      <w:pPr>
        <w:pStyle w:val="TOC5"/>
        <w:tabs>
          <w:tab w:val="right" w:leader="underscore" w:pos="9016"/>
        </w:tabs>
        <w:rPr>
          <w:rFonts w:ascii="Arial" w:eastAsiaTheme="minorEastAsia" w:hAnsi="Arial" w:cs="Arial"/>
          <w:noProof/>
          <w:sz w:val="20"/>
          <w:szCs w:val="20"/>
        </w:rPr>
      </w:pPr>
      <w:hyperlink w:anchor="_Toc153137439" w:history="1">
        <w:r w:rsidR="00BE3F4E" w:rsidRPr="00BE3F4E">
          <w:rPr>
            <w:rStyle w:val="Hyperlink"/>
            <w:rFonts w:ascii="Arial" w:eastAsia="Times New Roman" w:hAnsi="Arial" w:cs="Arial"/>
            <w:noProof/>
            <w:sz w:val="20"/>
            <w:szCs w:val="20"/>
          </w:rPr>
          <w:t>AMC1 BFCL.215(b)(4) Commercial operation rating</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_Toc153137439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107</w:t>
        </w:r>
        <w:r w:rsidR="00BE3F4E" w:rsidRPr="00BE3F4E">
          <w:rPr>
            <w:rFonts w:ascii="Arial" w:hAnsi="Arial" w:cs="Arial"/>
            <w:noProof/>
            <w:webHidden/>
            <w:sz w:val="20"/>
            <w:szCs w:val="20"/>
          </w:rPr>
          <w:fldChar w:fldCharType="end"/>
        </w:r>
      </w:hyperlink>
    </w:p>
    <w:p w14:paraId="0B9D2093" w14:textId="6A64A6D7" w:rsidR="00BE3F4E" w:rsidRPr="00BE3F4E" w:rsidRDefault="00000000">
      <w:pPr>
        <w:pStyle w:val="TOC5"/>
        <w:tabs>
          <w:tab w:val="right" w:leader="underscore" w:pos="9016"/>
        </w:tabs>
        <w:rPr>
          <w:rFonts w:ascii="Arial" w:eastAsiaTheme="minorEastAsia" w:hAnsi="Arial" w:cs="Arial"/>
          <w:noProof/>
          <w:sz w:val="20"/>
          <w:szCs w:val="20"/>
        </w:rPr>
      </w:pPr>
      <w:hyperlink w:anchor="_Toc153137440" w:history="1">
        <w:r w:rsidR="00BE3F4E" w:rsidRPr="00BE3F4E">
          <w:rPr>
            <w:rStyle w:val="Hyperlink"/>
            <w:rFonts w:ascii="Arial" w:eastAsia="Times New Roman" w:hAnsi="Arial" w:cs="Arial"/>
            <w:noProof/>
            <w:sz w:val="20"/>
            <w:szCs w:val="20"/>
          </w:rPr>
          <w:t>AMC1 BFCL.215(d)(1)(i) Commercial operation rating</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_Toc153137440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111</w:t>
        </w:r>
        <w:r w:rsidR="00BE3F4E" w:rsidRPr="00BE3F4E">
          <w:rPr>
            <w:rFonts w:ascii="Arial" w:hAnsi="Arial" w:cs="Arial"/>
            <w:noProof/>
            <w:webHidden/>
            <w:sz w:val="20"/>
            <w:szCs w:val="20"/>
          </w:rPr>
          <w:fldChar w:fldCharType="end"/>
        </w:r>
      </w:hyperlink>
    </w:p>
    <w:p w14:paraId="25F74CDE" w14:textId="6205BAE5" w:rsidR="00BE3F4E" w:rsidRPr="00BE3F4E" w:rsidRDefault="00000000">
      <w:pPr>
        <w:pStyle w:val="TOC5"/>
        <w:tabs>
          <w:tab w:val="right" w:leader="underscore" w:pos="9016"/>
        </w:tabs>
        <w:rPr>
          <w:rFonts w:ascii="Arial" w:eastAsiaTheme="minorEastAsia" w:hAnsi="Arial" w:cs="Arial"/>
          <w:noProof/>
          <w:sz w:val="20"/>
          <w:szCs w:val="20"/>
        </w:rPr>
      </w:pPr>
      <w:hyperlink w:anchor="_Toc153137441" w:history="1">
        <w:r w:rsidR="00BE3F4E" w:rsidRPr="00BE3F4E">
          <w:rPr>
            <w:rStyle w:val="Hyperlink"/>
            <w:rFonts w:ascii="Arial" w:eastAsia="Times New Roman" w:hAnsi="Arial" w:cs="Arial"/>
            <w:noProof/>
            <w:sz w:val="20"/>
            <w:szCs w:val="20"/>
          </w:rPr>
          <w:t>AMC1 BFCL.215(d)(2)(i) Commercial operation rating</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_Toc153137441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112</w:t>
        </w:r>
        <w:r w:rsidR="00BE3F4E" w:rsidRPr="00BE3F4E">
          <w:rPr>
            <w:rFonts w:ascii="Arial" w:hAnsi="Arial" w:cs="Arial"/>
            <w:noProof/>
            <w:webHidden/>
            <w:sz w:val="20"/>
            <w:szCs w:val="20"/>
          </w:rPr>
          <w:fldChar w:fldCharType="end"/>
        </w:r>
      </w:hyperlink>
    </w:p>
    <w:p w14:paraId="1B4CB399" w14:textId="76B09C0B" w:rsidR="00BE3F4E" w:rsidRPr="00BE3F4E" w:rsidRDefault="00000000">
      <w:pPr>
        <w:pStyle w:val="TOC5"/>
        <w:tabs>
          <w:tab w:val="right" w:leader="underscore" w:pos="9016"/>
        </w:tabs>
        <w:rPr>
          <w:rFonts w:ascii="Arial" w:eastAsiaTheme="minorEastAsia" w:hAnsi="Arial" w:cs="Arial"/>
          <w:noProof/>
          <w:sz w:val="20"/>
          <w:szCs w:val="20"/>
        </w:rPr>
      </w:pPr>
      <w:hyperlink w:anchor="_Toc153137442" w:history="1">
        <w:r w:rsidR="00BE3F4E" w:rsidRPr="00BE3F4E">
          <w:rPr>
            <w:rStyle w:val="Hyperlink"/>
            <w:rFonts w:ascii="Arial" w:eastAsia="Times New Roman" w:hAnsi="Arial" w:cs="Arial"/>
            <w:noProof/>
            <w:sz w:val="20"/>
            <w:szCs w:val="20"/>
          </w:rPr>
          <w:t>AMC1 BFCL.215(d)(2)(i); BFCL.215(h) Commercial operation rating</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_Toc153137442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112</w:t>
        </w:r>
        <w:r w:rsidR="00BE3F4E" w:rsidRPr="00BE3F4E">
          <w:rPr>
            <w:rFonts w:ascii="Arial" w:hAnsi="Arial" w:cs="Arial"/>
            <w:noProof/>
            <w:webHidden/>
            <w:sz w:val="20"/>
            <w:szCs w:val="20"/>
          </w:rPr>
          <w:fldChar w:fldCharType="end"/>
        </w:r>
      </w:hyperlink>
    </w:p>
    <w:p w14:paraId="6892AAFA" w14:textId="12FE2A6B" w:rsidR="00BE3F4E" w:rsidRPr="00BE3F4E" w:rsidRDefault="00000000">
      <w:pPr>
        <w:pStyle w:val="TOC5"/>
        <w:tabs>
          <w:tab w:val="right" w:leader="underscore" w:pos="9016"/>
        </w:tabs>
        <w:rPr>
          <w:rFonts w:ascii="Arial" w:eastAsiaTheme="minorEastAsia" w:hAnsi="Arial" w:cs="Arial"/>
          <w:noProof/>
          <w:sz w:val="20"/>
          <w:szCs w:val="20"/>
        </w:rPr>
      </w:pPr>
      <w:hyperlink w:anchor="_Toc153137443" w:history="1">
        <w:r w:rsidR="00BE3F4E" w:rsidRPr="00BE3F4E">
          <w:rPr>
            <w:rStyle w:val="Hyperlink"/>
            <w:rFonts w:ascii="Arial" w:eastAsia="Times New Roman" w:hAnsi="Arial" w:cs="Arial"/>
            <w:noProof/>
            <w:sz w:val="20"/>
            <w:szCs w:val="20"/>
          </w:rPr>
          <w:t>AMC1 BFCL.215(d)(2)(ii) Commercial operation rating</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_Toc153137443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112</w:t>
        </w:r>
        <w:r w:rsidR="00BE3F4E" w:rsidRPr="00BE3F4E">
          <w:rPr>
            <w:rFonts w:ascii="Arial" w:hAnsi="Arial" w:cs="Arial"/>
            <w:noProof/>
            <w:webHidden/>
            <w:sz w:val="20"/>
            <w:szCs w:val="20"/>
          </w:rPr>
          <w:fldChar w:fldCharType="end"/>
        </w:r>
      </w:hyperlink>
    </w:p>
    <w:p w14:paraId="5DB63413" w14:textId="1FC0CE73" w:rsidR="00BE3F4E" w:rsidRPr="00BE3F4E" w:rsidRDefault="00000000">
      <w:pPr>
        <w:pStyle w:val="TOC3"/>
        <w:tabs>
          <w:tab w:val="right" w:leader="underscore" w:pos="9016"/>
        </w:tabs>
        <w:rPr>
          <w:rFonts w:ascii="Arial" w:eastAsiaTheme="minorEastAsia" w:hAnsi="Arial" w:cs="Arial"/>
          <w:b w:val="0"/>
          <w:bCs w:val="0"/>
          <w:noProof/>
          <w:sz w:val="20"/>
          <w:szCs w:val="20"/>
        </w:rPr>
      </w:pPr>
      <w:hyperlink w:anchor="_Toc153137444" w:history="1">
        <w:r w:rsidR="00BE3F4E" w:rsidRPr="00BE3F4E">
          <w:rPr>
            <w:rStyle w:val="Hyperlink"/>
            <w:rFonts w:ascii="Arial" w:hAnsi="Arial" w:cs="Arial"/>
            <w:b w:val="0"/>
            <w:bCs w:val="0"/>
            <w:noProof/>
            <w:sz w:val="20"/>
            <w:szCs w:val="20"/>
          </w:rPr>
          <w:t>SUBPART FI — FLIGHT INSTRUCTORS</w:t>
        </w:r>
        <w:r w:rsidR="00BE3F4E" w:rsidRPr="00BE3F4E">
          <w:rPr>
            <w:rFonts w:ascii="Arial" w:hAnsi="Arial" w:cs="Arial"/>
            <w:b w:val="0"/>
            <w:bCs w:val="0"/>
            <w:noProof/>
            <w:webHidden/>
            <w:sz w:val="20"/>
            <w:szCs w:val="20"/>
          </w:rPr>
          <w:tab/>
        </w:r>
        <w:r w:rsidR="00BE3F4E" w:rsidRPr="00BE3F4E">
          <w:rPr>
            <w:rFonts w:ascii="Arial" w:hAnsi="Arial" w:cs="Arial"/>
            <w:b w:val="0"/>
            <w:bCs w:val="0"/>
            <w:noProof/>
            <w:webHidden/>
            <w:sz w:val="20"/>
            <w:szCs w:val="20"/>
          </w:rPr>
          <w:fldChar w:fldCharType="begin"/>
        </w:r>
        <w:r w:rsidR="00BE3F4E" w:rsidRPr="00BE3F4E">
          <w:rPr>
            <w:rFonts w:ascii="Arial" w:hAnsi="Arial" w:cs="Arial"/>
            <w:b w:val="0"/>
            <w:bCs w:val="0"/>
            <w:noProof/>
            <w:webHidden/>
            <w:sz w:val="20"/>
            <w:szCs w:val="20"/>
          </w:rPr>
          <w:instrText xml:space="preserve"> PAGEREF _Toc153137444 \h </w:instrText>
        </w:r>
        <w:r w:rsidR="00BE3F4E" w:rsidRPr="00BE3F4E">
          <w:rPr>
            <w:rFonts w:ascii="Arial" w:hAnsi="Arial" w:cs="Arial"/>
            <w:b w:val="0"/>
            <w:bCs w:val="0"/>
            <w:noProof/>
            <w:webHidden/>
            <w:sz w:val="20"/>
            <w:szCs w:val="20"/>
          </w:rPr>
        </w:r>
        <w:r w:rsidR="00BE3F4E" w:rsidRPr="00BE3F4E">
          <w:rPr>
            <w:rFonts w:ascii="Arial" w:hAnsi="Arial" w:cs="Arial"/>
            <w:b w:val="0"/>
            <w:bCs w:val="0"/>
            <w:noProof/>
            <w:webHidden/>
            <w:sz w:val="20"/>
            <w:szCs w:val="20"/>
          </w:rPr>
          <w:fldChar w:fldCharType="separate"/>
        </w:r>
        <w:r w:rsidR="006A7538">
          <w:rPr>
            <w:rFonts w:ascii="Arial" w:hAnsi="Arial" w:cs="Arial"/>
            <w:b w:val="0"/>
            <w:bCs w:val="0"/>
            <w:noProof/>
            <w:webHidden/>
            <w:sz w:val="20"/>
            <w:szCs w:val="20"/>
          </w:rPr>
          <w:t>114</w:t>
        </w:r>
        <w:r w:rsidR="00BE3F4E" w:rsidRPr="00BE3F4E">
          <w:rPr>
            <w:rFonts w:ascii="Arial" w:hAnsi="Arial" w:cs="Arial"/>
            <w:b w:val="0"/>
            <w:bCs w:val="0"/>
            <w:noProof/>
            <w:webHidden/>
            <w:sz w:val="20"/>
            <w:szCs w:val="20"/>
          </w:rPr>
          <w:fldChar w:fldCharType="end"/>
        </w:r>
      </w:hyperlink>
    </w:p>
    <w:p w14:paraId="31F8B563" w14:textId="63602CD0" w:rsidR="00BE3F4E" w:rsidRPr="00BE3F4E" w:rsidRDefault="00000000">
      <w:pPr>
        <w:pStyle w:val="TOC4"/>
        <w:tabs>
          <w:tab w:val="right" w:leader="underscore" w:pos="9016"/>
        </w:tabs>
        <w:rPr>
          <w:rFonts w:ascii="Arial" w:eastAsiaTheme="minorEastAsia" w:hAnsi="Arial" w:cs="Arial"/>
          <w:noProof/>
          <w:sz w:val="20"/>
          <w:szCs w:val="20"/>
        </w:rPr>
      </w:pPr>
      <w:hyperlink w:anchor="_Toc153137445" w:history="1">
        <w:r w:rsidR="00BE3F4E" w:rsidRPr="00BE3F4E">
          <w:rPr>
            <w:rStyle w:val="Hyperlink"/>
            <w:rFonts w:ascii="Arial" w:hAnsi="Arial" w:cs="Arial"/>
            <w:noProof/>
            <w:sz w:val="20"/>
            <w:szCs w:val="20"/>
          </w:rPr>
          <w:t>SECTION 1 – GENERAL REQUIREMENTS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_Toc153137445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114</w:t>
        </w:r>
        <w:r w:rsidR="00BE3F4E" w:rsidRPr="00BE3F4E">
          <w:rPr>
            <w:rFonts w:ascii="Arial" w:hAnsi="Arial" w:cs="Arial"/>
            <w:noProof/>
            <w:webHidden/>
            <w:sz w:val="20"/>
            <w:szCs w:val="20"/>
          </w:rPr>
          <w:fldChar w:fldCharType="end"/>
        </w:r>
      </w:hyperlink>
    </w:p>
    <w:p w14:paraId="2D5373CD" w14:textId="5F2F8E92" w:rsidR="00BE3F4E" w:rsidRPr="00BE3F4E" w:rsidRDefault="00000000">
      <w:pPr>
        <w:pStyle w:val="TOC4"/>
        <w:tabs>
          <w:tab w:val="right" w:leader="underscore" w:pos="9016"/>
        </w:tabs>
        <w:rPr>
          <w:rFonts w:ascii="Arial" w:eastAsiaTheme="minorEastAsia" w:hAnsi="Arial" w:cs="Arial"/>
          <w:noProof/>
          <w:sz w:val="20"/>
          <w:szCs w:val="20"/>
        </w:rPr>
      </w:pPr>
      <w:hyperlink w:anchor="_Toc153137446" w:history="1">
        <w:r w:rsidR="00BE3F4E" w:rsidRPr="00BE3F4E">
          <w:rPr>
            <w:rStyle w:val="Hyperlink"/>
            <w:rFonts w:ascii="Arial" w:eastAsia="Times New Roman" w:hAnsi="Arial" w:cs="Arial"/>
            <w:iCs/>
            <w:noProof/>
            <w:sz w:val="20"/>
            <w:szCs w:val="20"/>
          </w:rPr>
          <w:t>BFCL.300 Flight instructor certificates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_Toc153137446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114</w:t>
        </w:r>
        <w:r w:rsidR="00BE3F4E" w:rsidRPr="00BE3F4E">
          <w:rPr>
            <w:rFonts w:ascii="Arial" w:hAnsi="Arial" w:cs="Arial"/>
            <w:noProof/>
            <w:webHidden/>
            <w:sz w:val="20"/>
            <w:szCs w:val="20"/>
          </w:rPr>
          <w:fldChar w:fldCharType="end"/>
        </w:r>
      </w:hyperlink>
    </w:p>
    <w:p w14:paraId="758E5B55" w14:textId="692A12AF" w:rsidR="00BE3F4E" w:rsidRPr="00BE3F4E" w:rsidRDefault="00000000">
      <w:pPr>
        <w:pStyle w:val="TOC4"/>
        <w:tabs>
          <w:tab w:val="right" w:leader="underscore" w:pos="9016"/>
        </w:tabs>
        <w:rPr>
          <w:rFonts w:ascii="Arial" w:eastAsiaTheme="minorEastAsia" w:hAnsi="Arial" w:cs="Arial"/>
          <w:noProof/>
          <w:sz w:val="20"/>
          <w:szCs w:val="20"/>
        </w:rPr>
      </w:pPr>
      <w:hyperlink w:anchor="_Toc153137447" w:history="1">
        <w:r w:rsidR="00BE3F4E" w:rsidRPr="00BE3F4E">
          <w:rPr>
            <w:rStyle w:val="Hyperlink"/>
            <w:rFonts w:ascii="Arial" w:hAnsi="Arial" w:cs="Arial"/>
            <w:noProof/>
            <w:sz w:val="20"/>
            <w:szCs w:val="20"/>
          </w:rPr>
          <w:t>SECTION 2 – FLIGHT INSTRUCTOR CERTIFICATE FOR BALLOONS – FI(B)</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_Toc153137447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115</w:t>
        </w:r>
        <w:r w:rsidR="00BE3F4E" w:rsidRPr="00BE3F4E">
          <w:rPr>
            <w:rFonts w:ascii="Arial" w:hAnsi="Arial" w:cs="Arial"/>
            <w:noProof/>
            <w:webHidden/>
            <w:sz w:val="20"/>
            <w:szCs w:val="20"/>
          </w:rPr>
          <w:fldChar w:fldCharType="end"/>
        </w:r>
      </w:hyperlink>
    </w:p>
    <w:p w14:paraId="7152C03D" w14:textId="56C2E28A" w:rsidR="00BE3F4E" w:rsidRPr="00BE3F4E" w:rsidRDefault="00000000">
      <w:pPr>
        <w:pStyle w:val="TOC4"/>
        <w:tabs>
          <w:tab w:val="right" w:leader="underscore" w:pos="9016"/>
        </w:tabs>
        <w:rPr>
          <w:rFonts w:ascii="Arial" w:eastAsiaTheme="minorEastAsia" w:hAnsi="Arial" w:cs="Arial"/>
          <w:noProof/>
          <w:sz w:val="20"/>
          <w:szCs w:val="20"/>
        </w:rPr>
      </w:pPr>
      <w:hyperlink w:anchor="_Toc153137448" w:history="1">
        <w:r w:rsidR="00BE3F4E" w:rsidRPr="00BE3F4E">
          <w:rPr>
            <w:rStyle w:val="Hyperlink"/>
            <w:rFonts w:ascii="Arial" w:eastAsia="Times New Roman" w:hAnsi="Arial" w:cs="Arial"/>
            <w:iCs/>
            <w:noProof/>
            <w:sz w:val="20"/>
            <w:szCs w:val="20"/>
          </w:rPr>
          <w:t>BFCL.315 FI(B) certificate – Privileges and conditions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_Toc153137448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115</w:t>
        </w:r>
        <w:r w:rsidR="00BE3F4E" w:rsidRPr="00BE3F4E">
          <w:rPr>
            <w:rFonts w:ascii="Arial" w:hAnsi="Arial" w:cs="Arial"/>
            <w:noProof/>
            <w:webHidden/>
            <w:sz w:val="20"/>
            <w:szCs w:val="20"/>
          </w:rPr>
          <w:fldChar w:fldCharType="end"/>
        </w:r>
      </w:hyperlink>
    </w:p>
    <w:p w14:paraId="0EA5E7D0" w14:textId="0D78A872" w:rsidR="00BE3F4E" w:rsidRPr="00BE3F4E" w:rsidRDefault="00000000">
      <w:pPr>
        <w:pStyle w:val="TOC5"/>
        <w:tabs>
          <w:tab w:val="right" w:leader="underscore" w:pos="9016"/>
        </w:tabs>
        <w:rPr>
          <w:rFonts w:ascii="Arial" w:eastAsiaTheme="minorEastAsia" w:hAnsi="Arial" w:cs="Arial"/>
          <w:noProof/>
          <w:sz w:val="20"/>
          <w:szCs w:val="20"/>
        </w:rPr>
      </w:pPr>
      <w:hyperlink w:anchor="_Toc153137449" w:history="1">
        <w:r w:rsidR="00BE3F4E" w:rsidRPr="00BE3F4E">
          <w:rPr>
            <w:rStyle w:val="Hyperlink"/>
            <w:rFonts w:ascii="Arial" w:eastAsia="Times New Roman" w:hAnsi="Arial" w:cs="Arial"/>
            <w:noProof/>
            <w:sz w:val="20"/>
            <w:szCs w:val="20"/>
          </w:rPr>
          <w:t>AMC1 BFCL.315(a)(4)(ii) FI(B) certificate – Privileges and conditions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_Toc153137449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115</w:t>
        </w:r>
        <w:r w:rsidR="00BE3F4E" w:rsidRPr="00BE3F4E">
          <w:rPr>
            <w:rFonts w:ascii="Arial" w:hAnsi="Arial" w:cs="Arial"/>
            <w:noProof/>
            <w:webHidden/>
            <w:sz w:val="20"/>
            <w:szCs w:val="20"/>
          </w:rPr>
          <w:fldChar w:fldCharType="end"/>
        </w:r>
      </w:hyperlink>
    </w:p>
    <w:p w14:paraId="0DBACF96" w14:textId="5EDC5EDD" w:rsidR="00BE3F4E" w:rsidRPr="00BE3F4E" w:rsidRDefault="00000000">
      <w:pPr>
        <w:pStyle w:val="TOC4"/>
        <w:tabs>
          <w:tab w:val="right" w:leader="underscore" w:pos="9016"/>
        </w:tabs>
        <w:rPr>
          <w:rFonts w:ascii="Arial" w:eastAsiaTheme="minorEastAsia" w:hAnsi="Arial" w:cs="Arial"/>
          <w:noProof/>
          <w:sz w:val="20"/>
          <w:szCs w:val="20"/>
        </w:rPr>
      </w:pPr>
      <w:hyperlink w:anchor="_Toc153137450" w:history="1">
        <w:r w:rsidR="00BE3F4E" w:rsidRPr="00BE3F4E">
          <w:rPr>
            <w:rStyle w:val="Hyperlink"/>
            <w:rFonts w:ascii="Arial" w:eastAsia="Times New Roman" w:hAnsi="Arial" w:cs="Arial"/>
            <w:iCs/>
            <w:noProof/>
            <w:sz w:val="20"/>
            <w:szCs w:val="20"/>
          </w:rPr>
          <w:t>BFCL.320 FI(B) – Prerequisites and requirements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_Toc153137450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115</w:t>
        </w:r>
        <w:r w:rsidR="00BE3F4E" w:rsidRPr="00BE3F4E">
          <w:rPr>
            <w:rFonts w:ascii="Arial" w:hAnsi="Arial" w:cs="Arial"/>
            <w:noProof/>
            <w:webHidden/>
            <w:sz w:val="20"/>
            <w:szCs w:val="20"/>
          </w:rPr>
          <w:fldChar w:fldCharType="end"/>
        </w:r>
      </w:hyperlink>
    </w:p>
    <w:p w14:paraId="52BA69BC" w14:textId="1D64F343" w:rsidR="00BE3F4E" w:rsidRPr="00BE3F4E" w:rsidRDefault="00000000">
      <w:pPr>
        <w:pStyle w:val="TOC4"/>
        <w:tabs>
          <w:tab w:val="right" w:leader="underscore" w:pos="9016"/>
        </w:tabs>
        <w:rPr>
          <w:rFonts w:ascii="Arial" w:eastAsiaTheme="minorEastAsia" w:hAnsi="Arial" w:cs="Arial"/>
          <w:noProof/>
          <w:sz w:val="20"/>
          <w:szCs w:val="20"/>
        </w:rPr>
      </w:pPr>
      <w:hyperlink w:anchor="_Toc153137451" w:history="1">
        <w:r w:rsidR="00BE3F4E" w:rsidRPr="00BE3F4E">
          <w:rPr>
            <w:rStyle w:val="Hyperlink"/>
            <w:rFonts w:ascii="Arial" w:eastAsia="Times New Roman" w:hAnsi="Arial" w:cs="Arial"/>
            <w:iCs/>
            <w:noProof/>
            <w:sz w:val="20"/>
            <w:szCs w:val="20"/>
          </w:rPr>
          <w:t>BFCL.325 FI(B) competencies and assessment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_Toc153137451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115</w:t>
        </w:r>
        <w:r w:rsidR="00BE3F4E" w:rsidRPr="00BE3F4E">
          <w:rPr>
            <w:rFonts w:ascii="Arial" w:hAnsi="Arial" w:cs="Arial"/>
            <w:noProof/>
            <w:webHidden/>
            <w:sz w:val="20"/>
            <w:szCs w:val="20"/>
          </w:rPr>
          <w:fldChar w:fldCharType="end"/>
        </w:r>
      </w:hyperlink>
    </w:p>
    <w:p w14:paraId="54772CA2" w14:textId="3EFDAB5E" w:rsidR="00BE3F4E" w:rsidRPr="00BE3F4E" w:rsidRDefault="00000000">
      <w:pPr>
        <w:pStyle w:val="TOC5"/>
        <w:tabs>
          <w:tab w:val="right" w:leader="underscore" w:pos="9016"/>
        </w:tabs>
        <w:rPr>
          <w:rFonts w:ascii="Arial" w:eastAsiaTheme="minorEastAsia" w:hAnsi="Arial" w:cs="Arial"/>
          <w:noProof/>
          <w:sz w:val="20"/>
          <w:szCs w:val="20"/>
        </w:rPr>
      </w:pPr>
      <w:hyperlink w:anchor="_Toc153137452" w:history="1">
        <w:r w:rsidR="00BE3F4E" w:rsidRPr="00BE3F4E">
          <w:rPr>
            <w:rStyle w:val="Hyperlink"/>
            <w:rFonts w:ascii="Arial" w:eastAsia="Times New Roman" w:hAnsi="Arial" w:cs="Arial"/>
            <w:noProof/>
            <w:sz w:val="20"/>
            <w:szCs w:val="20"/>
          </w:rPr>
          <w:t>AMC1 BFCL.325 FI(B) competencies and assessment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_Toc153137452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116</w:t>
        </w:r>
        <w:r w:rsidR="00BE3F4E" w:rsidRPr="00BE3F4E">
          <w:rPr>
            <w:rFonts w:ascii="Arial" w:hAnsi="Arial" w:cs="Arial"/>
            <w:noProof/>
            <w:webHidden/>
            <w:sz w:val="20"/>
            <w:szCs w:val="20"/>
          </w:rPr>
          <w:fldChar w:fldCharType="end"/>
        </w:r>
      </w:hyperlink>
    </w:p>
    <w:p w14:paraId="7AF82CCC" w14:textId="464FC107" w:rsidR="00BE3F4E" w:rsidRPr="00BE3F4E" w:rsidRDefault="00000000">
      <w:pPr>
        <w:pStyle w:val="TOC4"/>
        <w:tabs>
          <w:tab w:val="right" w:leader="underscore" w:pos="9016"/>
        </w:tabs>
        <w:rPr>
          <w:rFonts w:ascii="Arial" w:eastAsiaTheme="minorEastAsia" w:hAnsi="Arial" w:cs="Arial"/>
          <w:noProof/>
          <w:sz w:val="20"/>
          <w:szCs w:val="20"/>
        </w:rPr>
      </w:pPr>
      <w:hyperlink w:anchor="_Toc153137453" w:history="1">
        <w:r w:rsidR="00BE3F4E" w:rsidRPr="00BE3F4E">
          <w:rPr>
            <w:rStyle w:val="Hyperlink"/>
            <w:rFonts w:ascii="Arial" w:eastAsia="Times New Roman" w:hAnsi="Arial" w:cs="Arial"/>
            <w:iCs/>
            <w:noProof/>
            <w:sz w:val="20"/>
            <w:szCs w:val="20"/>
          </w:rPr>
          <w:t>BFCL.330 FI(B) – Training course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_Toc153137453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117</w:t>
        </w:r>
        <w:r w:rsidR="00BE3F4E" w:rsidRPr="00BE3F4E">
          <w:rPr>
            <w:rFonts w:ascii="Arial" w:hAnsi="Arial" w:cs="Arial"/>
            <w:noProof/>
            <w:webHidden/>
            <w:sz w:val="20"/>
            <w:szCs w:val="20"/>
          </w:rPr>
          <w:fldChar w:fldCharType="end"/>
        </w:r>
      </w:hyperlink>
    </w:p>
    <w:p w14:paraId="1DDB882C" w14:textId="15C64880" w:rsidR="00BE3F4E" w:rsidRPr="00BE3F4E" w:rsidRDefault="00000000">
      <w:pPr>
        <w:pStyle w:val="TOC5"/>
        <w:tabs>
          <w:tab w:val="right" w:leader="underscore" w:pos="9016"/>
        </w:tabs>
        <w:rPr>
          <w:rFonts w:ascii="Arial" w:eastAsiaTheme="minorEastAsia" w:hAnsi="Arial" w:cs="Arial"/>
          <w:noProof/>
          <w:sz w:val="20"/>
          <w:szCs w:val="20"/>
        </w:rPr>
      </w:pPr>
      <w:hyperlink w:anchor="_Toc153137454" w:history="1">
        <w:r w:rsidR="00BE3F4E" w:rsidRPr="00BE3F4E">
          <w:rPr>
            <w:rStyle w:val="Hyperlink"/>
            <w:rFonts w:ascii="Arial" w:eastAsia="Times New Roman" w:hAnsi="Arial" w:cs="Arial"/>
            <w:noProof/>
            <w:sz w:val="20"/>
            <w:szCs w:val="20"/>
          </w:rPr>
          <w:t>AMC1 BFCL.330(a) FI(B) – Training course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_Toc153137454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117</w:t>
        </w:r>
        <w:r w:rsidR="00BE3F4E" w:rsidRPr="00BE3F4E">
          <w:rPr>
            <w:rFonts w:ascii="Arial" w:hAnsi="Arial" w:cs="Arial"/>
            <w:noProof/>
            <w:webHidden/>
            <w:sz w:val="20"/>
            <w:szCs w:val="20"/>
          </w:rPr>
          <w:fldChar w:fldCharType="end"/>
        </w:r>
      </w:hyperlink>
    </w:p>
    <w:p w14:paraId="0A03AF6B" w14:textId="64571540" w:rsidR="00BE3F4E" w:rsidRPr="00BE3F4E" w:rsidRDefault="00000000">
      <w:pPr>
        <w:pStyle w:val="TOC5"/>
        <w:tabs>
          <w:tab w:val="right" w:leader="underscore" w:pos="9016"/>
        </w:tabs>
        <w:rPr>
          <w:rFonts w:ascii="Arial" w:eastAsiaTheme="minorEastAsia" w:hAnsi="Arial" w:cs="Arial"/>
          <w:noProof/>
          <w:sz w:val="20"/>
          <w:szCs w:val="20"/>
        </w:rPr>
      </w:pPr>
      <w:hyperlink w:anchor="_Toc153137455" w:history="1">
        <w:r w:rsidR="00BE3F4E" w:rsidRPr="00BE3F4E">
          <w:rPr>
            <w:rStyle w:val="Hyperlink"/>
            <w:rFonts w:ascii="Arial" w:eastAsia="Times New Roman" w:hAnsi="Arial" w:cs="Arial"/>
            <w:noProof/>
            <w:sz w:val="20"/>
            <w:szCs w:val="20"/>
          </w:rPr>
          <w:t>AMC1 BFCL.330(b) FI(B) – Training course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_Toc153137455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117</w:t>
        </w:r>
        <w:r w:rsidR="00BE3F4E" w:rsidRPr="00BE3F4E">
          <w:rPr>
            <w:rFonts w:ascii="Arial" w:hAnsi="Arial" w:cs="Arial"/>
            <w:noProof/>
            <w:webHidden/>
            <w:sz w:val="20"/>
            <w:szCs w:val="20"/>
          </w:rPr>
          <w:fldChar w:fldCharType="end"/>
        </w:r>
      </w:hyperlink>
    </w:p>
    <w:p w14:paraId="4A6D4E86" w14:textId="0761B110" w:rsidR="00BE3F4E" w:rsidRPr="00BE3F4E" w:rsidRDefault="00000000">
      <w:pPr>
        <w:pStyle w:val="TOC4"/>
        <w:tabs>
          <w:tab w:val="right" w:leader="underscore" w:pos="9016"/>
        </w:tabs>
        <w:rPr>
          <w:rFonts w:ascii="Arial" w:eastAsiaTheme="minorEastAsia" w:hAnsi="Arial" w:cs="Arial"/>
          <w:noProof/>
          <w:sz w:val="20"/>
          <w:szCs w:val="20"/>
        </w:rPr>
      </w:pPr>
      <w:hyperlink w:anchor="_Toc153137456" w:history="1">
        <w:r w:rsidR="00BE3F4E" w:rsidRPr="00BE3F4E">
          <w:rPr>
            <w:rStyle w:val="Hyperlink"/>
            <w:rFonts w:ascii="Arial" w:eastAsia="Times New Roman" w:hAnsi="Arial" w:cs="Arial"/>
            <w:iCs/>
            <w:noProof/>
            <w:sz w:val="20"/>
            <w:szCs w:val="20"/>
          </w:rPr>
          <w:t>BFCL.345 FI(B) – Assessment of competence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_Toc153137456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134</w:t>
        </w:r>
        <w:r w:rsidR="00BE3F4E" w:rsidRPr="00BE3F4E">
          <w:rPr>
            <w:rFonts w:ascii="Arial" w:hAnsi="Arial" w:cs="Arial"/>
            <w:noProof/>
            <w:webHidden/>
            <w:sz w:val="20"/>
            <w:szCs w:val="20"/>
          </w:rPr>
          <w:fldChar w:fldCharType="end"/>
        </w:r>
      </w:hyperlink>
    </w:p>
    <w:p w14:paraId="5E6A3C6D" w14:textId="27437B36" w:rsidR="00BE3F4E" w:rsidRPr="00BE3F4E" w:rsidRDefault="00000000">
      <w:pPr>
        <w:pStyle w:val="TOC5"/>
        <w:tabs>
          <w:tab w:val="right" w:leader="underscore" w:pos="9016"/>
        </w:tabs>
        <w:rPr>
          <w:rFonts w:ascii="Arial" w:eastAsiaTheme="minorEastAsia" w:hAnsi="Arial" w:cs="Arial"/>
          <w:noProof/>
          <w:sz w:val="20"/>
          <w:szCs w:val="20"/>
        </w:rPr>
      </w:pPr>
      <w:hyperlink w:anchor="_Toc153137457" w:history="1">
        <w:r w:rsidR="00BE3F4E" w:rsidRPr="00BE3F4E">
          <w:rPr>
            <w:rStyle w:val="Hyperlink"/>
            <w:rFonts w:ascii="Arial" w:eastAsia="Times New Roman" w:hAnsi="Arial" w:cs="Arial"/>
            <w:noProof/>
            <w:sz w:val="20"/>
            <w:szCs w:val="20"/>
          </w:rPr>
          <w:t>AMC1 BFCL.345 FI(B) – Assessment of competence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_Toc153137457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134</w:t>
        </w:r>
        <w:r w:rsidR="00BE3F4E" w:rsidRPr="00BE3F4E">
          <w:rPr>
            <w:rFonts w:ascii="Arial" w:hAnsi="Arial" w:cs="Arial"/>
            <w:noProof/>
            <w:webHidden/>
            <w:sz w:val="20"/>
            <w:szCs w:val="20"/>
          </w:rPr>
          <w:fldChar w:fldCharType="end"/>
        </w:r>
      </w:hyperlink>
    </w:p>
    <w:p w14:paraId="2C9D01F5" w14:textId="7775C3BE" w:rsidR="00BE3F4E" w:rsidRPr="00BE3F4E" w:rsidRDefault="00000000">
      <w:pPr>
        <w:pStyle w:val="TOC5"/>
        <w:tabs>
          <w:tab w:val="right" w:leader="underscore" w:pos="9016"/>
        </w:tabs>
        <w:rPr>
          <w:rFonts w:ascii="Arial" w:eastAsiaTheme="minorEastAsia" w:hAnsi="Arial" w:cs="Arial"/>
          <w:noProof/>
          <w:sz w:val="20"/>
          <w:szCs w:val="20"/>
        </w:rPr>
      </w:pPr>
      <w:hyperlink w:anchor="_Toc153137458" w:history="1">
        <w:r w:rsidR="00BE3F4E" w:rsidRPr="00BE3F4E">
          <w:rPr>
            <w:rStyle w:val="Hyperlink"/>
            <w:rFonts w:ascii="Arial" w:eastAsia="Times New Roman" w:hAnsi="Arial" w:cs="Arial"/>
            <w:noProof/>
            <w:sz w:val="20"/>
            <w:szCs w:val="20"/>
          </w:rPr>
          <w:t>AMC2 BFCL.345 FI(B) – Assessment of competence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_Toc153137458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134</w:t>
        </w:r>
        <w:r w:rsidR="00BE3F4E" w:rsidRPr="00BE3F4E">
          <w:rPr>
            <w:rFonts w:ascii="Arial" w:hAnsi="Arial" w:cs="Arial"/>
            <w:noProof/>
            <w:webHidden/>
            <w:sz w:val="20"/>
            <w:szCs w:val="20"/>
          </w:rPr>
          <w:fldChar w:fldCharType="end"/>
        </w:r>
      </w:hyperlink>
    </w:p>
    <w:p w14:paraId="1E60DE1C" w14:textId="5A2D96F4" w:rsidR="00BE3F4E" w:rsidRPr="00BE3F4E" w:rsidRDefault="00000000">
      <w:pPr>
        <w:pStyle w:val="TOC5"/>
        <w:tabs>
          <w:tab w:val="right" w:leader="underscore" w:pos="9016"/>
        </w:tabs>
        <w:rPr>
          <w:rFonts w:ascii="Arial" w:eastAsiaTheme="minorEastAsia" w:hAnsi="Arial" w:cs="Arial"/>
          <w:noProof/>
          <w:sz w:val="20"/>
          <w:szCs w:val="20"/>
        </w:rPr>
      </w:pPr>
      <w:hyperlink w:anchor="_Toc153137459" w:history="1">
        <w:r w:rsidR="00BE3F4E" w:rsidRPr="00BE3F4E">
          <w:rPr>
            <w:rStyle w:val="Hyperlink"/>
            <w:rFonts w:ascii="Arial" w:eastAsia="Times New Roman" w:hAnsi="Arial" w:cs="Arial"/>
            <w:noProof/>
            <w:sz w:val="20"/>
            <w:szCs w:val="20"/>
          </w:rPr>
          <w:t>AMC3 BFCL.345 FI(B) – Assessment of competence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_Toc153137459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135</w:t>
        </w:r>
        <w:r w:rsidR="00BE3F4E" w:rsidRPr="00BE3F4E">
          <w:rPr>
            <w:rFonts w:ascii="Arial" w:hAnsi="Arial" w:cs="Arial"/>
            <w:noProof/>
            <w:webHidden/>
            <w:sz w:val="20"/>
            <w:szCs w:val="20"/>
          </w:rPr>
          <w:fldChar w:fldCharType="end"/>
        </w:r>
      </w:hyperlink>
    </w:p>
    <w:p w14:paraId="0535A44E" w14:textId="34D86002" w:rsidR="00BE3F4E" w:rsidRPr="00BE3F4E" w:rsidRDefault="00000000">
      <w:pPr>
        <w:pStyle w:val="TOC4"/>
        <w:tabs>
          <w:tab w:val="right" w:leader="underscore" w:pos="9016"/>
        </w:tabs>
        <w:rPr>
          <w:rFonts w:ascii="Arial" w:eastAsiaTheme="minorEastAsia" w:hAnsi="Arial" w:cs="Arial"/>
          <w:noProof/>
          <w:sz w:val="20"/>
          <w:szCs w:val="20"/>
        </w:rPr>
      </w:pPr>
      <w:hyperlink w:anchor="_Toc153137460" w:history="1">
        <w:r w:rsidR="00BE3F4E" w:rsidRPr="00BE3F4E">
          <w:rPr>
            <w:rStyle w:val="Hyperlink"/>
            <w:rFonts w:ascii="Arial" w:eastAsia="Times New Roman" w:hAnsi="Arial" w:cs="Arial"/>
            <w:iCs/>
            <w:noProof/>
            <w:sz w:val="20"/>
            <w:szCs w:val="20"/>
          </w:rPr>
          <w:t>BFCL.360 FI(B) certificate – Recency requirements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_Toc153137460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137</w:t>
        </w:r>
        <w:r w:rsidR="00BE3F4E" w:rsidRPr="00BE3F4E">
          <w:rPr>
            <w:rFonts w:ascii="Arial" w:hAnsi="Arial" w:cs="Arial"/>
            <w:noProof/>
            <w:webHidden/>
            <w:sz w:val="20"/>
            <w:szCs w:val="20"/>
          </w:rPr>
          <w:fldChar w:fldCharType="end"/>
        </w:r>
      </w:hyperlink>
    </w:p>
    <w:p w14:paraId="75ECE66D" w14:textId="3C489D44" w:rsidR="00BE3F4E" w:rsidRPr="00BE3F4E" w:rsidRDefault="00000000">
      <w:pPr>
        <w:pStyle w:val="TOC5"/>
        <w:tabs>
          <w:tab w:val="right" w:leader="underscore" w:pos="9016"/>
        </w:tabs>
        <w:rPr>
          <w:rFonts w:ascii="Arial" w:eastAsiaTheme="minorEastAsia" w:hAnsi="Arial" w:cs="Arial"/>
          <w:noProof/>
          <w:sz w:val="20"/>
          <w:szCs w:val="20"/>
        </w:rPr>
      </w:pPr>
      <w:hyperlink w:anchor="_Toc153137461" w:history="1">
        <w:r w:rsidR="00BE3F4E" w:rsidRPr="00BE3F4E">
          <w:rPr>
            <w:rStyle w:val="Hyperlink"/>
            <w:rFonts w:ascii="Arial" w:eastAsia="Times New Roman" w:hAnsi="Arial" w:cs="Arial"/>
            <w:noProof/>
            <w:sz w:val="20"/>
            <w:szCs w:val="20"/>
          </w:rPr>
          <w:t>AMC1 BFCL.360(a)(1)(i) FI(B) certificate – Recency requirements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_Toc153137461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137</w:t>
        </w:r>
        <w:r w:rsidR="00BE3F4E" w:rsidRPr="00BE3F4E">
          <w:rPr>
            <w:rFonts w:ascii="Arial" w:hAnsi="Arial" w:cs="Arial"/>
            <w:noProof/>
            <w:webHidden/>
            <w:sz w:val="20"/>
            <w:szCs w:val="20"/>
          </w:rPr>
          <w:fldChar w:fldCharType="end"/>
        </w:r>
      </w:hyperlink>
    </w:p>
    <w:p w14:paraId="1C50D63E" w14:textId="71DD0DAF" w:rsidR="00BE3F4E" w:rsidRPr="00BE3F4E" w:rsidRDefault="00000000">
      <w:pPr>
        <w:pStyle w:val="TOC5"/>
        <w:tabs>
          <w:tab w:val="right" w:leader="underscore" w:pos="9016"/>
        </w:tabs>
        <w:rPr>
          <w:rFonts w:ascii="Arial" w:eastAsiaTheme="minorEastAsia" w:hAnsi="Arial" w:cs="Arial"/>
          <w:noProof/>
          <w:sz w:val="20"/>
          <w:szCs w:val="20"/>
        </w:rPr>
      </w:pPr>
      <w:hyperlink w:anchor="_Toc153137462" w:history="1">
        <w:r w:rsidR="00BE3F4E" w:rsidRPr="00BE3F4E">
          <w:rPr>
            <w:rStyle w:val="Hyperlink"/>
            <w:rFonts w:ascii="Arial" w:eastAsia="Times New Roman" w:hAnsi="Arial" w:cs="Arial"/>
            <w:noProof/>
            <w:sz w:val="20"/>
            <w:szCs w:val="20"/>
          </w:rPr>
          <w:t>GM1 BFCL.360(a)(1)(i) FI(B) certificate – Recency requirements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_Toc153137462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138</w:t>
        </w:r>
        <w:r w:rsidR="00BE3F4E" w:rsidRPr="00BE3F4E">
          <w:rPr>
            <w:rFonts w:ascii="Arial" w:hAnsi="Arial" w:cs="Arial"/>
            <w:noProof/>
            <w:webHidden/>
            <w:sz w:val="20"/>
            <w:szCs w:val="20"/>
          </w:rPr>
          <w:fldChar w:fldCharType="end"/>
        </w:r>
      </w:hyperlink>
    </w:p>
    <w:p w14:paraId="6437B8B3" w14:textId="13AFF495" w:rsidR="00BE3F4E" w:rsidRPr="00BE3F4E" w:rsidRDefault="00000000">
      <w:pPr>
        <w:pStyle w:val="TOC5"/>
        <w:tabs>
          <w:tab w:val="right" w:leader="underscore" w:pos="9016"/>
        </w:tabs>
        <w:rPr>
          <w:rFonts w:ascii="Arial" w:eastAsiaTheme="minorEastAsia" w:hAnsi="Arial" w:cs="Arial"/>
          <w:noProof/>
          <w:sz w:val="20"/>
          <w:szCs w:val="20"/>
        </w:rPr>
      </w:pPr>
      <w:hyperlink w:anchor="_Toc153137463" w:history="1">
        <w:r w:rsidR="00BE3F4E" w:rsidRPr="00BE3F4E">
          <w:rPr>
            <w:rStyle w:val="Hyperlink"/>
            <w:rFonts w:ascii="Arial" w:eastAsia="Times New Roman" w:hAnsi="Arial" w:cs="Arial"/>
            <w:noProof/>
            <w:sz w:val="20"/>
            <w:szCs w:val="20"/>
          </w:rPr>
          <w:t>AMC1 BFCL.360(a)(2) FI(B) certificate – Recency requirements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_Toc153137463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138</w:t>
        </w:r>
        <w:r w:rsidR="00BE3F4E" w:rsidRPr="00BE3F4E">
          <w:rPr>
            <w:rFonts w:ascii="Arial" w:hAnsi="Arial" w:cs="Arial"/>
            <w:noProof/>
            <w:webHidden/>
            <w:sz w:val="20"/>
            <w:szCs w:val="20"/>
          </w:rPr>
          <w:fldChar w:fldCharType="end"/>
        </w:r>
      </w:hyperlink>
    </w:p>
    <w:p w14:paraId="48B5A35D" w14:textId="133D7EF5" w:rsidR="00BE3F4E" w:rsidRPr="00BE3F4E" w:rsidRDefault="00000000">
      <w:pPr>
        <w:pStyle w:val="TOC3"/>
        <w:tabs>
          <w:tab w:val="right" w:leader="underscore" w:pos="9016"/>
        </w:tabs>
        <w:rPr>
          <w:rFonts w:ascii="Arial" w:eastAsiaTheme="minorEastAsia" w:hAnsi="Arial" w:cs="Arial"/>
          <w:b w:val="0"/>
          <w:bCs w:val="0"/>
          <w:noProof/>
          <w:sz w:val="20"/>
          <w:szCs w:val="20"/>
        </w:rPr>
      </w:pPr>
      <w:hyperlink w:anchor="_Toc153137464" w:history="1">
        <w:r w:rsidR="00BE3F4E" w:rsidRPr="00BE3F4E">
          <w:rPr>
            <w:rStyle w:val="Hyperlink"/>
            <w:rFonts w:ascii="Arial" w:eastAsiaTheme="majorEastAsia" w:hAnsi="Arial" w:cs="Arial"/>
            <w:b w:val="0"/>
            <w:bCs w:val="0"/>
            <w:noProof/>
            <w:sz w:val="20"/>
            <w:szCs w:val="20"/>
          </w:rPr>
          <w:t>SUBPART FE — FLIGHT EXAMINERS</w:t>
        </w:r>
        <w:r w:rsidR="00BE3F4E" w:rsidRPr="00BE3F4E">
          <w:rPr>
            <w:rFonts w:ascii="Arial" w:hAnsi="Arial" w:cs="Arial"/>
            <w:b w:val="0"/>
            <w:bCs w:val="0"/>
            <w:noProof/>
            <w:webHidden/>
            <w:sz w:val="20"/>
            <w:szCs w:val="20"/>
          </w:rPr>
          <w:tab/>
        </w:r>
        <w:r w:rsidR="00BE3F4E" w:rsidRPr="00BE3F4E">
          <w:rPr>
            <w:rFonts w:ascii="Arial" w:hAnsi="Arial" w:cs="Arial"/>
            <w:b w:val="0"/>
            <w:bCs w:val="0"/>
            <w:noProof/>
            <w:webHidden/>
            <w:sz w:val="20"/>
            <w:szCs w:val="20"/>
          </w:rPr>
          <w:fldChar w:fldCharType="begin"/>
        </w:r>
        <w:r w:rsidR="00BE3F4E" w:rsidRPr="00BE3F4E">
          <w:rPr>
            <w:rFonts w:ascii="Arial" w:hAnsi="Arial" w:cs="Arial"/>
            <w:b w:val="0"/>
            <w:bCs w:val="0"/>
            <w:noProof/>
            <w:webHidden/>
            <w:sz w:val="20"/>
            <w:szCs w:val="20"/>
          </w:rPr>
          <w:instrText xml:space="preserve"> PAGEREF _Toc153137464 \h </w:instrText>
        </w:r>
        <w:r w:rsidR="00BE3F4E" w:rsidRPr="00BE3F4E">
          <w:rPr>
            <w:rFonts w:ascii="Arial" w:hAnsi="Arial" w:cs="Arial"/>
            <w:b w:val="0"/>
            <w:bCs w:val="0"/>
            <w:noProof/>
            <w:webHidden/>
            <w:sz w:val="20"/>
            <w:szCs w:val="20"/>
          </w:rPr>
        </w:r>
        <w:r w:rsidR="00BE3F4E" w:rsidRPr="00BE3F4E">
          <w:rPr>
            <w:rFonts w:ascii="Arial" w:hAnsi="Arial" w:cs="Arial"/>
            <w:b w:val="0"/>
            <w:bCs w:val="0"/>
            <w:noProof/>
            <w:webHidden/>
            <w:sz w:val="20"/>
            <w:szCs w:val="20"/>
          </w:rPr>
          <w:fldChar w:fldCharType="separate"/>
        </w:r>
        <w:r w:rsidR="006A7538">
          <w:rPr>
            <w:rFonts w:ascii="Arial" w:hAnsi="Arial" w:cs="Arial"/>
            <w:b w:val="0"/>
            <w:bCs w:val="0"/>
            <w:noProof/>
            <w:webHidden/>
            <w:sz w:val="20"/>
            <w:szCs w:val="20"/>
          </w:rPr>
          <w:t>140</w:t>
        </w:r>
        <w:r w:rsidR="00BE3F4E" w:rsidRPr="00BE3F4E">
          <w:rPr>
            <w:rFonts w:ascii="Arial" w:hAnsi="Arial" w:cs="Arial"/>
            <w:b w:val="0"/>
            <w:bCs w:val="0"/>
            <w:noProof/>
            <w:webHidden/>
            <w:sz w:val="20"/>
            <w:szCs w:val="20"/>
          </w:rPr>
          <w:fldChar w:fldCharType="end"/>
        </w:r>
      </w:hyperlink>
    </w:p>
    <w:p w14:paraId="7B48F5AE" w14:textId="5519D07C" w:rsidR="00BE3F4E" w:rsidRPr="00BE3F4E" w:rsidRDefault="00000000">
      <w:pPr>
        <w:pStyle w:val="TOC4"/>
        <w:tabs>
          <w:tab w:val="right" w:leader="underscore" w:pos="9016"/>
        </w:tabs>
        <w:rPr>
          <w:rFonts w:ascii="Arial" w:eastAsiaTheme="minorEastAsia" w:hAnsi="Arial" w:cs="Arial"/>
          <w:noProof/>
          <w:sz w:val="20"/>
          <w:szCs w:val="20"/>
        </w:rPr>
      </w:pPr>
      <w:hyperlink w:anchor="_Toc153137465" w:history="1">
        <w:r w:rsidR="00BE3F4E" w:rsidRPr="00BE3F4E">
          <w:rPr>
            <w:rStyle w:val="Hyperlink"/>
            <w:rFonts w:ascii="Arial" w:eastAsiaTheme="majorEastAsia" w:hAnsi="Arial" w:cs="Arial"/>
            <w:iCs/>
            <w:noProof/>
            <w:sz w:val="20"/>
            <w:szCs w:val="20"/>
          </w:rPr>
          <w:t>SECTION 1 – GENERAL REQUIREMENTS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_Toc153137465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140</w:t>
        </w:r>
        <w:r w:rsidR="00BE3F4E" w:rsidRPr="00BE3F4E">
          <w:rPr>
            <w:rFonts w:ascii="Arial" w:hAnsi="Arial" w:cs="Arial"/>
            <w:noProof/>
            <w:webHidden/>
            <w:sz w:val="20"/>
            <w:szCs w:val="20"/>
          </w:rPr>
          <w:fldChar w:fldCharType="end"/>
        </w:r>
      </w:hyperlink>
    </w:p>
    <w:p w14:paraId="39061EAE" w14:textId="304EF5CD" w:rsidR="00BE3F4E" w:rsidRPr="00BE3F4E" w:rsidRDefault="00000000">
      <w:pPr>
        <w:pStyle w:val="TOC4"/>
        <w:tabs>
          <w:tab w:val="right" w:leader="underscore" w:pos="9016"/>
        </w:tabs>
        <w:rPr>
          <w:rFonts w:ascii="Arial" w:eastAsiaTheme="minorEastAsia" w:hAnsi="Arial" w:cs="Arial"/>
          <w:noProof/>
          <w:sz w:val="20"/>
          <w:szCs w:val="20"/>
        </w:rPr>
      </w:pPr>
      <w:hyperlink w:anchor="_Toc153137466" w:history="1">
        <w:r w:rsidR="00BE3F4E" w:rsidRPr="00BE3F4E">
          <w:rPr>
            <w:rStyle w:val="Hyperlink"/>
            <w:rFonts w:ascii="Arial" w:eastAsia="Times New Roman" w:hAnsi="Arial" w:cs="Arial"/>
            <w:iCs/>
            <w:noProof/>
            <w:sz w:val="20"/>
            <w:szCs w:val="20"/>
          </w:rPr>
          <w:t>BFCL.400 Balloon flight examiner certificates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_Toc153137466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140</w:t>
        </w:r>
        <w:r w:rsidR="00BE3F4E" w:rsidRPr="00BE3F4E">
          <w:rPr>
            <w:rFonts w:ascii="Arial" w:hAnsi="Arial" w:cs="Arial"/>
            <w:noProof/>
            <w:webHidden/>
            <w:sz w:val="20"/>
            <w:szCs w:val="20"/>
          </w:rPr>
          <w:fldChar w:fldCharType="end"/>
        </w:r>
      </w:hyperlink>
    </w:p>
    <w:p w14:paraId="3AD3C676" w14:textId="73E2E7F7" w:rsidR="00BE3F4E" w:rsidRPr="00BE3F4E" w:rsidRDefault="00000000">
      <w:pPr>
        <w:pStyle w:val="TOC4"/>
        <w:tabs>
          <w:tab w:val="right" w:leader="underscore" w:pos="9016"/>
        </w:tabs>
        <w:rPr>
          <w:rFonts w:ascii="Arial" w:eastAsiaTheme="minorEastAsia" w:hAnsi="Arial" w:cs="Arial"/>
          <w:noProof/>
          <w:sz w:val="20"/>
          <w:szCs w:val="20"/>
        </w:rPr>
      </w:pPr>
      <w:hyperlink w:anchor="_Toc153137467" w:history="1">
        <w:r w:rsidR="00BE3F4E" w:rsidRPr="00BE3F4E">
          <w:rPr>
            <w:rStyle w:val="Hyperlink"/>
            <w:rFonts w:ascii="Arial" w:eastAsia="Times New Roman" w:hAnsi="Arial" w:cs="Arial"/>
            <w:iCs/>
            <w:noProof/>
            <w:sz w:val="20"/>
            <w:szCs w:val="20"/>
          </w:rPr>
          <w:t>BFCL.405 Limitation of privileges in case of vested interests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_Toc153137467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140</w:t>
        </w:r>
        <w:r w:rsidR="00BE3F4E" w:rsidRPr="00BE3F4E">
          <w:rPr>
            <w:rFonts w:ascii="Arial" w:hAnsi="Arial" w:cs="Arial"/>
            <w:noProof/>
            <w:webHidden/>
            <w:sz w:val="20"/>
            <w:szCs w:val="20"/>
          </w:rPr>
          <w:fldChar w:fldCharType="end"/>
        </w:r>
      </w:hyperlink>
    </w:p>
    <w:p w14:paraId="6971811E" w14:textId="44466F93" w:rsidR="00BE3F4E" w:rsidRPr="00BE3F4E" w:rsidRDefault="00000000">
      <w:pPr>
        <w:pStyle w:val="TOC5"/>
        <w:tabs>
          <w:tab w:val="right" w:leader="underscore" w:pos="9016"/>
        </w:tabs>
        <w:rPr>
          <w:rFonts w:ascii="Arial" w:eastAsiaTheme="minorEastAsia" w:hAnsi="Arial" w:cs="Arial"/>
          <w:noProof/>
          <w:sz w:val="20"/>
          <w:szCs w:val="20"/>
        </w:rPr>
      </w:pPr>
      <w:hyperlink w:anchor="_Toc153137468" w:history="1">
        <w:r w:rsidR="00BE3F4E" w:rsidRPr="00BE3F4E">
          <w:rPr>
            <w:rStyle w:val="Hyperlink"/>
            <w:rFonts w:ascii="Arial" w:eastAsia="Times New Roman" w:hAnsi="Arial" w:cs="Arial"/>
            <w:noProof/>
            <w:sz w:val="20"/>
            <w:szCs w:val="20"/>
          </w:rPr>
          <w:t>GM1 BFCL.405 Limitation of privileges in case of vested interests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_Toc153137468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140</w:t>
        </w:r>
        <w:r w:rsidR="00BE3F4E" w:rsidRPr="00BE3F4E">
          <w:rPr>
            <w:rFonts w:ascii="Arial" w:hAnsi="Arial" w:cs="Arial"/>
            <w:noProof/>
            <w:webHidden/>
            <w:sz w:val="20"/>
            <w:szCs w:val="20"/>
          </w:rPr>
          <w:fldChar w:fldCharType="end"/>
        </w:r>
      </w:hyperlink>
    </w:p>
    <w:p w14:paraId="42735D73" w14:textId="0DF83C43" w:rsidR="00BE3F4E" w:rsidRPr="00BE3F4E" w:rsidRDefault="00000000">
      <w:pPr>
        <w:pStyle w:val="TOC5"/>
        <w:tabs>
          <w:tab w:val="right" w:leader="underscore" w:pos="9016"/>
        </w:tabs>
        <w:rPr>
          <w:rFonts w:ascii="Arial" w:eastAsiaTheme="minorEastAsia" w:hAnsi="Arial" w:cs="Arial"/>
          <w:noProof/>
          <w:sz w:val="20"/>
          <w:szCs w:val="20"/>
        </w:rPr>
      </w:pPr>
      <w:hyperlink w:anchor="_Toc153137469" w:history="1">
        <w:r w:rsidR="00BE3F4E" w:rsidRPr="00BE3F4E">
          <w:rPr>
            <w:rStyle w:val="Hyperlink"/>
            <w:rFonts w:ascii="Arial" w:eastAsia="Times New Roman" w:hAnsi="Arial" w:cs="Arial"/>
            <w:noProof/>
            <w:sz w:val="20"/>
            <w:szCs w:val="20"/>
          </w:rPr>
          <w:t>GM1 BFCL.405(a) Limitation of privileges in case of vested interests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_Toc153137469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141</w:t>
        </w:r>
        <w:r w:rsidR="00BE3F4E" w:rsidRPr="00BE3F4E">
          <w:rPr>
            <w:rFonts w:ascii="Arial" w:hAnsi="Arial" w:cs="Arial"/>
            <w:noProof/>
            <w:webHidden/>
            <w:sz w:val="20"/>
            <w:szCs w:val="20"/>
          </w:rPr>
          <w:fldChar w:fldCharType="end"/>
        </w:r>
      </w:hyperlink>
    </w:p>
    <w:p w14:paraId="5ED4E0CA" w14:textId="5467B4CF" w:rsidR="00BE3F4E" w:rsidRPr="00BE3F4E" w:rsidRDefault="00000000">
      <w:pPr>
        <w:pStyle w:val="TOC4"/>
        <w:tabs>
          <w:tab w:val="right" w:leader="underscore" w:pos="9016"/>
        </w:tabs>
        <w:rPr>
          <w:rFonts w:ascii="Arial" w:eastAsiaTheme="minorEastAsia" w:hAnsi="Arial" w:cs="Arial"/>
          <w:noProof/>
          <w:sz w:val="20"/>
          <w:szCs w:val="20"/>
        </w:rPr>
      </w:pPr>
      <w:hyperlink w:anchor="_Toc153137470" w:history="1">
        <w:r w:rsidR="00BE3F4E" w:rsidRPr="00BE3F4E">
          <w:rPr>
            <w:rStyle w:val="Hyperlink"/>
            <w:rFonts w:ascii="Arial" w:eastAsia="Times New Roman" w:hAnsi="Arial" w:cs="Arial"/>
            <w:iCs/>
            <w:noProof/>
            <w:sz w:val="20"/>
            <w:szCs w:val="20"/>
          </w:rPr>
          <w:t>BFCL.410 Conduct of skill tests, proficiency checks and assessments of competence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_Toc153137470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141</w:t>
        </w:r>
        <w:r w:rsidR="00BE3F4E" w:rsidRPr="00BE3F4E">
          <w:rPr>
            <w:rFonts w:ascii="Arial" w:hAnsi="Arial" w:cs="Arial"/>
            <w:noProof/>
            <w:webHidden/>
            <w:sz w:val="20"/>
            <w:szCs w:val="20"/>
          </w:rPr>
          <w:fldChar w:fldCharType="end"/>
        </w:r>
      </w:hyperlink>
    </w:p>
    <w:p w14:paraId="27C08152" w14:textId="219623B5" w:rsidR="00BE3F4E" w:rsidRPr="00BE3F4E" w:rsidRDefault="00000000">
      <w:pPr>
        <w:pStyle w:val="TOC5"/>
        <w:tabs>
          <w:tab w:val="right" w:leader="underscore" w:pos="9016"/>
        </w:tabs>
        <w:rPr>
          <w:rFonts w:ascii="Arial" w:eastAsiaTheme="minorEastAsia" w:hAnsi="Arial" w:cs="Arial"/>
          <w:noProof/>
          <w:sz w:val="20"/>
          <w:szCs w:val="20"/>
        </w:rPr>
      </w:pPr>
      <w:hyperlink w:anchor="_Toc153137471" w:history="1">
        <w:r w:rsidR="00BE3F4E" w:rsidRPr="00BE3F4E">
          <w:rPr>
            <w:rStyle w:val="Hyperlink"/>
            <w:rFonts w:ascii="Arial" w:eastAsia="Times New Roman" w:hAnsi="Arial" w:cs="Arial"/>
            <w:noProof/>
            <w:sz w:val="20"/>
            <w:szCs w:val="20"/>
          </w:rPr>
          <w:t>AMC1 BFCL.410(b)(3) Conduct of skill tests, proficiency checks and assessments of competence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_Toc153137471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142</w:t>
        </w:r>
        <w:r w:rsidR="00BE3F4E" w:rsidRPr="00BE3F4E">
          <w:rPr>
            <w:rFonts w:ascii="Arial" w:hAnsi="Arial" w:cs="Arial"/>
            <w:noProof/>
            <w:webHidden/>
            <w:sz w:val="20"/>
            <w:szCs w:val="20"/>
          </w:rPr>
          <w:fldChar w:fldCharType="end"/>
        </w:r>
      </w:hyperlink>
    </w:p>
    <w:p w14:paraId="1F2DFBC3" w14:textId="38F9042E" w:rsidR="00BE3F4E" w:rsidRPr="00BE3F4E" w:rsidRDefault="00000000">
      <w:pPr>
        <w:pStyle w:val="TOC4"/>
        <w:tabs>
          <w:tab w:val="right" w:leader="underscore" w:pos="9016"/>
        </w:tabs>
        <w:rPr>
          <w:rFonts w:ascii="Arial" w:eastAsiaTheme="minorEastAsia" w:hAnsi="Arial" w:cs="Arial"/>
          <w:noProof/>
          <w:sz w:val="20"/>
          <w:szCs w:val="20"/>
        </w:rPr>
      </w:pPr>
      <w:hyperlink w:anchor="_Toc153137472" w:history="1">
        <w:r w:rsidR="00BE3F4E" w:rsidRPr="00BE3F4E">
          <w:rPr>
            <w:rStyle w:val="Hyperlink"/>
            <w:rFonts w:ascii="Arial" w:eastAsiaTheme="majorEastAsia" w:hAnsi="Arial" w:cs="Arial"/>
            <w:iCs/>
            <w:noProof/>
            <w:sz w:val="20"/>
            <w:szCs w:val="20"/>
          </w:rPr>
          <w:t>SECTION 2 – FLIGHT EXAMINER CERTIFICATE FOR BALLOONS – FE(B)</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_Toc153137472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144</w:t>
        </w:r>
        <w:r w:rsidR="00BE3F4E" w:rsidRPr="00BE3F4E">
          <w:rPr>
            <w:rFonts w:ascii="Arial" w:hAnsi="Arial" w:cs="Arial"/>
            <w:noProof/>
            <w:webHidden/>
            <w:sz w:val="20"/>
            <w:szCs w:val="20"/>
          </w:rPr>
          <w:fldChar w:fldCharType="end"/>
        </w:r>
      </w:hyperlink>
    </w:p>
    <w:p w14:paraId="42201A91" w14:textId="6CFD53C8" w:rsidR="00BE3F4E" w:rsidRPr="00BE3F4E" w:rsidRDefault="00000000">
      <w:pPr>
        <w:pStyle w:val="TOC4"/>
        <w:tabs>
          <w:tab w:val="right" w:leader="underscore" w:pos="9016"/>
        </w:tabs>
        <w:rPr>
          <w:rFonts w:ascii="Arial" w:eastAsiaTheme="minorEastAsia" w:hAnsi="Arial" w:cs="Arial"/>
          <w:noProof/>
          <w:sz w:val="20"/>
          <w:szCs w:val="20"/>
        </w:rPr>
      </w:pPr>
      <w:hyperlink w:anchor="_Toc153137473" w:history="1">
        <w:r w:rsidR="00BE3F4E" w:rsidRPr="00BE3F4E">
          <w:rPr>
            <w:rStyle w:val="Hyperlink"/>
            <w:rFonts w:ascii="Arial" w:eastAsia="Times New Roman" w:hAnsi="Arial" w:cs="Arial"/>
            <w:iCs/>
            <w:noProof/>
            <w:sz w:val="20"/>
            <w:szCs w:val="20"/>
          </w:rPr>
          <w:t>BFCL.415 FE(B) certificate – Privileges and conditions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_Toc153137473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144</w:t>
        </w:r>
        <w:r w:rsidR="00BE3F4E" w:rsidRPr="00BE3F4E">
          <w:rPr>
            <w:rFonts w:ascii="Arial" w:hAnsi="Arial" w:cs="Arial"/>
            <w:noProof/>
            <w:webHidden/>
            <w:sz w:val="20"/>
            <w:szCs w:val="20"/>
          </w:rPr>
          <w:fldChar w:fldCharType="end"/>
        </w:r>
      </w:hyperlink>
    </w:p>
    <w:p w14:paraId="64A80564" w14:textId="60C9EC76" w:rsidR="00BE3F4E" w:rsidRPr="00BE3F4E" w:rsidRDefault="00000000">
      <w:pPr>
        <w:pStyle w:val="TOC5"/>
        <w:tabs>
          <w:tab w:val="right" w:leader="underscore" w:pos="9016"/>
        </w:tabs>
        <w:rPr>
          <w:rFonts w:ascii="Arial" w:eastAsiaTheme="minorEastAsia" w:hAnsi="Arial" w:cs="Arial"/>
          <w:noProof/>
          <w:sz w:val="20"/>
          <w:szCs w:val="20"/>
        </w:rPr>
      </w:pPr>
      <w:hyperlink w:anchor="_Toc153137474" w:history="1">
        <w:r w:rsidR="00BE3F4E" w:rsidRPr="00BE3F4E">
          <w:rPr>
            <w:rStyle w:val="Hyperlink"/>
            <w:rFonts w:ascii="Arial" w:eastAsia="Times New Roman" w:hAnsi="Arial" w:cs="Arial"/>
            <w:noProof/>
            <w:sz w:val="20"/>
            <w:szCs w:val="20"/>
          </w:rPr>
          <w:t>BFCL.415(b) FE(B) certificate – Privileges and conditions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_Toc153137474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144</w:t>
        </w:r>
        <w:r w:rsidR="00BE3F4E" w:rsidRPr="00BE3F4E">
          <w:rPr>
            <w:rFonts w:ascii="Arial" w:hAnsi="Arial" w:cs="Arial"/>
            <w:noProof/>
            <w:webHidden/>
            <w:sz w:val="20"/>
            <w:szCs w:val="20"/>
          </w:rPr>
          <w:fldChar w:fldCharType="end"/>
        </w:r>
      </w:hyperlink>
    </w:p>
    <w:p w14:paraId="1CE3A991" w14:textId="28460B1A" w:rsidR="00BE3F4E" w:rsidRPr="00BE3F4E" w:rsidRDefault="00000000">
      <w:pPr>
        <w:pStyle w:val="TOC5"/>
        <w:tabs>
          <w:tab w:val="right" w:leader="underscore" w:pos="9016"/>
        </w:tabs>
        <w:rPr>
          <w:rFonts w:ascii="Arial" w:eastAsiaTheme="minorEastAsia" w:hAnsi="Arial" w:cs="Arial"/>
          <w:noProof/>
          <w:sz w:val="20"/>
          <w:szCs w:val="20"/>
        </w:rPr>
      </w:pPr>
      <w:hyperlink w:anchor="_Toc153137475" w:history="1">
        <w:r w:rsidR="00BE3F4E" w:rsidRPr="00BE3F4E">
          <w:rPr>
            <w:rStyle w:val="Hyperlink"/>
            <w:rFonts w:ascii="Arial" w:eastAsia="Times New Roman" w:hAnsi="Arial" w:cs="Arial"/>
            <w:noProof/>
            <w:sz w:val="20"/>
            <w:szCs w:val="20"/>
          </w:rPr>
          <w:t>AMC1 BFCL.415(c)(2) FE(B) certificate – Privileges and conditions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_Toc153137475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144</w:t>
        </w:r>
        <w:r w:rsidR="00BE3F4E" w:rsidRPr="00BE3F4E">
          <w:rPr>
            <w:rFonts w:ascii="Arial" w:hAnsi="Arial" w:cs="Arial"/>
            <w:noProof/>
            <w:webHidden/>
            <w:sz w:val="20"/>
            <w:szCs w:val="20"/>
          </w:rPr>
          <w:fldChar w:fldCharType="end"/>
        </w:r>
      </w:hyperlink>
    </w:p>
    <w:p w14:paraId="64ECEA27" w14:textId="74014695" w:rsidR="00BE3F4E" w:rsidRPr="00BE3F4E" w:rsidRDefault="00000000">
      <w:pPr>
        <w:pStyle w:val="TOC4"/>
        <w:tabs>
          <w:tab w:val="right" w:leader="underscore" w:pos="9016"/>
        </w:tabs>
        <w:rPr>
          <w:rFonts w:ascii="Arial" w:eastAsiaTheme="minorEastAsia" w:hAnsi="Arial" w:cs="Arial"/>
          <w:noProof/>
          <w:sz w:val="20"/>
          <w:szCs w:val="20"/>
        </w:rPr>
      </w:pPr>
      <w:hyperlink w:anchor="_Toc153137476" w:history="1">
        <w:r w:rsidR="00BE3F4E" w:rsidRPr="00BE3F4E">
          <w:rPr>
            <w:rStyle w:val="Hyperlink"/>
            <w:rFonts w:ascii="Arial" w:eastAsia="Times New Roman" w:hAnsi="Arial" w:cs="Arial"/>
            <w:iCs/>
            <w:noProof/>
            <w:sz w:val="20"/>
            <w:szCs w:val="20"/>
          </w:rPr>
          <w:t>BFCL.420 FE(B) certificate – Prerequisites and requirements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_Toc153137476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145</w:t>
        </w:r>
        <w:r w:rsidR="00BE3F4E" w:rsidRPr="00BE3F4E">
          <w:rPr>
            <w:rFonts w:ascii="Arial" w:hAnsi="Arial" w:cs="Arial"/>
            <w:noProof/>
            <w:webHidden/>
            <w:sz w:val="20"/>
            <w:szCs w:val="20"/>
          </w:rPr>
          <w:fldChar w:fldCharType="end"/>
        </w:r>
      </w:hyperlink>
    </w:p>
    <w:p w14:paraId="6FDFC922" w14:textId="70AB5B86" w:rsidR="00BE3F4E" w:rsidRPr="00BE3F4E" w:rsidRDefault="00000000">
      <w:pPr>
        <w:pStyle w:val="TOC5"/>
        <w:tabs>
          <w:tab w:val="right" w:leader="underscore" w:pos="9016"/>
        </w:tabs>
        <w:rPr>
          <w:rFonts w:ascii="Arial" w:eastAsiaTheme="minorEastAsia" w:hAnsi="Arial" w:cs="Arial"/>
          <w:noProof/>
          <w:sz w:val="20"/>
          <w:szCs w:val="20"/>
        </w:rPr>
      </w:pPr>
      <w:hyperlink w:anchor="_Toc153137477" w:history="1">
        <w:r w:rsidR="00BE3F4E" w:rsidRPr="00BE3F4E">
          <w:rPr>
            <w:rStyle w:val="Hyperlink"/>
            <w:rFonts w:ascii="Arial" w:eastAsia="Times New Roman" w:hAnsi="Arial" w:cs="Arial"/>
            <w:noProof/>
            <w:sz w:val="20"/>
            <w:szCs w:val="20"/>
          </w:rPr>
          <w:t>AMC1 BFCL.420(d) FE(B) certificate – Prerequisites and requirements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_Toc153137477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145</w:t>
        </w:r>
        <w:r w:rsidR="00BE3F4E" w:rsidRPr="00BE3F4E">
          <w:rPr>
            <w:rFonts w:ascii="Arial" w:hAnsi="Arial" w:cs="Arial"/>
            <w:noProof/>
            <w:webHidden/>
            <w:sz w:val="20"/>
            <w:szCs w:val="20"/>
          </w:rPr>
          <w:fldChar w:fldCharType="end"/>
        </w:r>
      </w:hyperlink>
    </w:p>
    <w:p w14:paraId="77341DED" w14:textId="3A6C034D" w:rsidR="00BE3F4E" w:rsidRPr="00BE3F4E" w:rsidRDefault="00000000">
      <w:pPr>
        <w:pStyle w:val="TOC4"/>
        <w:tabs>
          <w:tab w:val="right" w:leader="underscore" w:pos="9016"/>
        </w:tabs>
        <w:rPr>
          <w:rFonts w:ascii="Arial" w:eastAsiaTheme="minorEastAsia" w:hAnsi="Arial" w:cs="Arial"/>
          <w:noProof/>
          <w:sz w:val="20"/>
          <w:szCs w:val="20"/>
        </w:rPr>
      </w:pPr>
      <w:hyperlink w:anchor="_Toc153137478" w:history="1">
        <w:r w:rsidR="00BE3F4E" w:rsidRPr="00BE3F4E">
          <w:rPr>
            <w:rStyle w:val="Hyperlink"/>
            <w:rFonts w:ascii="Arial" w:eastAsia="Times New Roman" w:hAnsi="Arial" w:cs="Arial"/>
            <w:iCs/>
            <w:noProof/>
            <w:sz w:val="20"/>
            <w:szCs w:val="20"/>
          </w:rPr>
          <w:t>BFCL.430 FE(B) certificate – Standardisation course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_Toc153137478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145</w:t>
        </w:r>
        <w:r w:rsidR="00BE3F4E" w:rsidRPr="00BE3F4E">
          <w:rPr>
            <w:rFonts w:ascii="Arial" w:hAnsi="Arial" w:cs="Arial"/>
            <w:noProof/>
            <w:webHidden/>
            <w:sz w:val="20"/>
            <w:szCs w:val="20"/>
          </w:rPr>
          <w:fldChar w:fldCharType="end"/>
        </w:r>
      </w:hyperlink>
    </w:p>
    <w:p w14:paraId="256D019D" w14:textId="6A9FDC2A" w:rsidR="00BE3F4E" w:rsidRPr="00BE3F4E" w:rsidRDefault="00000000">
      <w:pPr>
        <w:pStyle w:val="TOC5"/>
        <w:tabs>
          <w:tab w:val="right" w:leader="underscore" w:pos="9016"/>
        </w:tabs>
        <w:rPr>
          <w:rFonts w:ascii="Arial" w:eastAsiaTheme="minorEastAsia" w:hAnsi="Arial" w:cs="Arial"/>
          <w:noProof/>
          <w:sz w:val="20"/>
          <w:szCs w:val="20"/>
        </w:rPr>
      </w:pPr>
      <w:hyperlink w:anchor="_Toc153137479" w:history="1">
        <w:r w:rsidR="00BE3F4E" w:rsidRPr="00BE3F4E">
          <w:rPr>
            <w:rStyle w:val="Hyperlink"/>
            <w:rFonts w:ascii="Arial" w:eastAsia="Times New Roman" w:hAnsi="Arial" w:cs="Arial"/>
            <w:noProof/>
            <w:sz w:val="20"/>
            <w:szCs w:val="20"/>
          </w:rPr>
          <w:t>AMC1 BFCL.430 FE(B) certificate – Standardisation course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_Toc153137479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145</w:t>
        </w:r>
        <w:r w:rsidR="00BE3F4E" w:rsidRPr="00BE3F4E">
          <w:rPr>
            <w:rFonts w:ascii="Arial" w:hAnsi="Arial" w:cs="Arial"/>
            <w:noProof/>
            <w:webHidden/>
            <w:sz w:val="20"/>
            <w:szCs w:val="20"/>
          </w:rPr>
          <w:fldChar w:fldCharType="end"/>
        </w:r>
      </w:hyperlink>
    </w:p>
    <w:p w14:paraId="61E3A8E4" w14:textId="2DA5CD63" w:rsidR="00BE3F4E" w:rsidRPr="00BE3F4E" w:rsidRDefault="00000000">
      <w:pPr>
        <w:pStyle w:val="TOC5"/>
        <w:tabs>
          <w:tab w:val="right" w:leader="underscore" w:pos="9016"/>
        </w:tabs>
        <w:rPr>
          <w:rFonts w:ascii="Arial" w:eastAsiaTheme="minorEastAsia" w:hAnsi="Arial" w:cs="Arial"/>
          <w:noProof/>
          <w:sz w:val="20"/>
          <w:szCs w:val="20"/>
        </w:rPr>
      </w:pPr>
      <w:hyperlink w:anchor="_Toc153137480" w:history="1">
        <w:r w:rsidR="00BE3F4E" w:rsidRPr="00BE3F4E">
          <w:rPr>
            <w:rStyle w:val="Hyperlink"/>
            <w:rFonts w:ascii="Arial" w:eastAsia="Times New Roman" w:hAnsi="Arial" w:cs="Arial"/>
            <w:noProof/>
            <w:sz w:val="20"/>
            <w:szCs w:val="20"/>
          </w:rPr>
          <w:t>AMC2 BFCL.430 FE(B) certificate – Standardisation course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_Toc153137480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146</w:t>
        </w:r>
        <w:r w:rsidR="00BE3F4E" w:rsidRPr="00BE3F4E">
          <w:rPr>
            <w:rFonts w:ascii="Arial" w:hAnsi="Arial" w:cs="Arial"/>
            <w:noProof/>
            <w:webHidden/>
            <w:sz w:val="20"/>
            <w:szCs w:val="20"/>
          </w:rPr>
          <w:fldChar w:fldCharType="end"/>
        </w:r>
      </w:hyperlink>
    </w:p>
    <w:p w14:paraId="75D33041" w14:textId="41A744EC" w:rsidR="00BE3F4E" w:rsidRPr="00BE3F4E" w:rsidRDefault="00000000">
      <w:pPr>
        <w:pStyle w:val="TOC5"/>
        <w:tabs>
          <w:tab w:val="right" w:leader="underscore" w:pos="9016"/>
        </w:tabs>
        <w:rPr>
          <w:rFonts w:ascii="Arial" w:eastAsiaTheme="minorEastAsia" w:hAnsi="Arial" w:cs="Arial"/>
          <w:noProof/>
          <w:sz w:val="20"/>
          <w:szCs w:val="20"/>
        </w:rPr>
      </w:pPr>
      <w:hyperlink w:anchor="_Toc153137481" w:history="1">
        <w:r w:rsidR="00BE3F4E" w:rsidRPr="00BE3F4E">
          <w:rPr>
            <w:rStyle w:val="Hyperlink"/>
            <w:rFonts w:ascii="Arial" w:eastAsia="Times New Roman" w:hAnsi="Arial" w:cs="Arial"/>
            <w:noProof/>
            <w:sz w:val="20"/>
            <w:szCs w:val="20"/>
          </w:rPr>
          <w:t>GM1 BFCL.430 FE(B) certificate – Standardisation course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_Toc153137481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148</w:t>
        </w:r>
        <w:r w:rsidR="00BE3F4E" w:rsidRPr="00BE3F4E">
          <w:rPr>
            <w:rFonts w:ascii="Arial" w:hAnsi="Arial" w:cs="Arial"/>
            <w:noProof/>
            <w:webHidden/>
            <w:sz w:val="20"/>
            <w:szCs w:val="20"/>
          </w:rPr>
          <w:fldChar w:fldCharType="end"/>
        </w:r>
      </w:hyperlink>
    </w:p>
    <w:p w14:paraId="41EF305D" w14:textId="6B13E428" w:rsidR="00BE3F4E" w:rsidRPr="00BE3F4E" w:rsidRDefault="00000000">
      <w:pPr>
        <w:pStyle w:val="TOC4"/>
        <w:tabs>
          <w:tab w:val="right" w:leader="underscore" w:pos="9016"/>
        </w:tabs>
        <w:rPr>
          <w:rFonts w:ascii="Arial" w:eastAsiaTheme="minorEastAsia" w:hAnsi="Arial" w:cs="Arial"/>
          <w:noProof/>
          <w:sz w:val="20"/>
          <w:szCs w:val="20"/>
        </w:rPr>
      </w:pPr>
      <w:hyperlink w:anchor="_Toc153137482" w:history="1">
        <w:r w:rsidR="00BE3F4E" w:rsidRPr="00BE3F4E">
          <w:rPr>
            <w:rStyle w:val="Hyperlink"/>
            <w:rFonts w:ascii="Arial" w:eastAsia="Times New Roman" w:hAnsi="Arial" w:cs="Arial"/>
            <w:iCs/>
            <w:noProof/>
            <w:sz w:val="20"/>
            <w:szCs w:val="20"/>
          </w:rPr>
          <w:t>BFCL.445 FE(B) certificate – Assessment of competence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_Toc153137482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149</w:t>
        </w:r>
        <w:r w:rsidR="00BE3F4E" w:rsidRPr="00BE3F4E">
          <w:rPr>
            <w:rFonts w:ascii="Arial" w:hAnsi="Arial" w:cs="Arial"/>
            <w:noProof/>
            <w:webHidden/>
            <w:sz w:val="20"/>
            <w:szCs w:val="20"/>
          </w:rPr>
          <w:fldChar w:fldCharType="end"/>
        </w:r>
      </w:hyperlink>
    </w:p>
    <w:p w14:paraId="101F3847" w14:textId="1D84ECC6" w:rsidR="00BE3F4E" w:rsidRPr="00BE3F4E" w:rsidRDefault="00000000">
      <w:pPr>
        <w:pStyle w:val="TOC5"/>
        <w:tabs>
          <w:tab w:val="right" w:leader="underscore" w:pos="9016"/>
        </w:tabs>
        <w:rPr>
          <w:rFonts w:ascii="Arial" w:eastAsiaTheme="minorEastAsia" w:hAnsi="Arial" w:cs="Arial"/>
          <w:noProof/>
          <w:sz w:val="20"/>
          <w:szCs w:val="20"/>
        </w:rPr>
      </w:pPr>
      <w:hyperlink w:anchor="_Toc153137483" w:history="1">
        <w:r w:rsidR="00BE3F4E" w:rsidRPr="00BE3F4E">
          <w:rPr>
            <w:rStyle w:val="Hyperlink"/>
            <w:rFonts w:ascii="Arial" w:eastAsia="Times New Roman" w:hAnsi="Arial" w:cs="Arial"/>
            <w:noProof/>
            <w:sz w:val="20"/>
            <w:szCs w:val="20"/>
          </w:rPr>
          <w:t>AMC1 BFCL.445 FE(B) certificate – Assessment of competence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_Toc153137483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149</w:t>
        </w:r>
        <w:r w:rsidR="00BE3F4E" w:rsidRPr="00BE3F4E">
          <w:rPr>
            <w:rFonts w:ascii="Arial" w:hAnsi="Arial" w:cs="Arial"/>
            <w:noProof/>
            <w:webHidden/>
            <w:sz w:val="20"/>
            <w:szCs w:val="20"/>
          </w:rPr>
          <w:fldChar w:fldCharType="end"/>
        </w:r>
      </w:hyperlink>
    </w:p>
    <w:p w14:paraId="18BEC321" w14:textId="2B1C8973" w:rsidR="00BE3F4E" w:rsidRPr="00BE3F4E" w:rsidRDefault="00000000">
      <w:pPr>
        <w:pStyle w:val="TOC5"/>
        <w:tabs>
          <w:tab w:val="right" w:leader="underscore" w:pos="9016"/>
        </w:tabs>
        <w:rPr>
          <w:rFonts w:ascii="Arial" w:eastAsiaTheme="minorEastAsia" w:hAnsi="Arial" w:cs="Arial"/>
          <w:noProof/>
          <w:sz w:val="20"/>
          <w:szCs w:val="20"/>
        </w:rPr>
      </w:pPr>
      <w:hyperlink w:anchor="_Toc153137484" w:history="1">
        <w:r w:rsidR="00BE3F4E" w:rsidRPr="00BE3F4E">
          <w:rPr>
            <w:rStyle w:val="Hyperlink"/>
            <w:rFonts w:ascii="Arial" w:eastAsia="Times New Roman" w:hAnsi="Arial" w:cs="Arial"/>
            <w:noProof/>
            <w:sz w:val="20"/>
            <w:szCs w:val="20"/>
          </w:rPr>
          <w:t>AMC1 BFCL.445; BFCL.460 FE(B) certificate – Assessment of competence; FE(B) certificate – Validity, revalidation and renewal</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_Toc153137484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150</w:t>
        </w:r>
        <w:r w:rsidR="00BE3F4E" w:rsidRPr="00BE3F4E">
          <w:rPr>
            <w:rFonts w:ascii="Arial" w:hAnsi="Arial" w:cs="Arial"/>
            <w:noProof/>
            <w:webHidden/>
            <w:sz w:val="20"/>
            <w:szCs w:val="20"/>
          </w:rPr>
          <w:fldChar w:fldCharType="end"/>
        </w:r>
      </w:hyperlink>
    </w:p>
    <w:p w14:paraId="69507977" w14:textId="0B780B33" w:rsidR="00BE3F4E" w:rsidRPr="00BE3F4E" w:rsidRDefault="00000000">
      <w:pPr>
        <w:pStyle w:val="TOC4"/>
        <w:tabs>
          <w:tab w:val="right" w:leader="underscore" w:pos="9016"/>
        </w:tabs>
        <w:rPr>
          <w:rFonts w:ascii="Arial" w:eastAsiaTheme="minorEastAsia" w:hAnsi="Arial" w:cs="Arial"/>
          <w:noProof/>
          <w:sz w:val="20"/>
          <w:szCs w:val="20"/>
        </w:rPr>
      </w:pPr>
      <w:hyperlink w:anchor="_Toc153137485" w:history="1">
        <w:r w:rsidR="00BE3F4E" w:rsidRPr="00BE3F4E">
          <w:rPr>
            <w:rStyle w:val="Hyperlink"/>
            <w:rFonts w:ascii="Arial" w:eastAsia="Times New Roman" w:hAnsi="Arial" w:cs="Arial"/>
            <w:iCs/>
            <w:noProof/>
            <w:sz w:val="20"/>
            <w:szCs w:val="20"/>
          </w:rPr>
          <w:t>BFCL.460 FE(B) certificate – Validity, revalidation and renewal</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_Toc153137485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151</w:t>
        </w:r>
        <w:r w:rsidR="00BE3F4E" w:rsidRPr="00BE3F4E">
          <w:rPr>
            <w:rFonts w:ascii="Arial" w:hAnsi="Arial" w:cs="Arial"/>
            <w:noProof/>
            <w:webHidden/>
            <w:sz w:val="20"/>
            <w:szCs w:val="20"/>
          </w:rPr>
          <w:fldChar w:fldCharType="end"/>
        </w:r>
      </w:hyperlink>
    </w:p>
    <w:p w14:paraId="4F50B813" w14:textId="4B14B33A" w:rsidR="00BE3F4E" w:rsidRPr="00BE3F4E" w:rsidRDefault="00000000">
      <w:pPr>
        <w:pStyle w:val="TOC5"/>
        <w:tabs>
          <w:tab w:val="right" w:leader="underscore" w:pos="9016"/>
        </w:tabs>
        <w:rPr>
          <w:rFonts w:ascii="Arial" w:eastAsiaTheme="minorEastAsia" w:hAnsi="Arial" w:cs="Arial"/>
          <w:noProof/>
          <w:sz w:val="20"/>
          <w:szCs w:val="20"/>
        </w:rPr>
      </w:pPr>
      <w:hyperlink w:anchor="_Toc153137486" w:history="1">
        <w:r w:rsidR="00BE3F4E" w:rsidRPr="00BE3F4E">
          <w:rPr>
            <w:rStyle w:val="Hyperlink"/>
            <w:rFonts w:ascii="Arial" w:eastAsia="Times New Roman" w:hAnsi="Arial" w:cs="Arial"/>
            <w:noProof/>
            <w:sz w:val="20"/>
            <w:szCs w:val="20"/>
          </w:rPr>
          <w:t>AMC1 BFCL.460(b)(1) FE(B) certificate – Validity, revalidation and renewal</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_Toc153137486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151</w:t>
        </w:r>
        <w:r w:rsidR="00BE3F4E" w:rsidRPr="00BE3F4E">
          <w:rPr>
            <w:rFonts w:ascii="Arial" w:hAnsi="Arial" w:cs="Arial"/>
            <w:noProof/>
            <w:webHidden/>
            <w:sz w:val="20"/>
            <w:szCs w:val="20"/>
          </w:rPr>
          <w:fldChar w:fldCharType="end"/>
        </w:r>
      </w:hyperlink>
    </w:p>
    <w:p w14:paraId="66B295AE" w14:textId="701B146E" w:rsidR="00BE3F4E" w:rsidRPr="00BE3F4E" w:rsidRDefault="00000000" w:rsidP="00BE3F4E">
      <w:pPr>
        <w:pStyle w:val="TOC1"/>
        <w:rPr>
          <w:noProof/>
        </w:rPr>
      </w:pPr>
      <w:hyperlink w:anchor="_Toc153137487" w:history="1">
        <w:r w:rsidR="00BE3F4E" w:rsidRPr="00BE3F4E">
          <w:rPr>
            <w:rStyle w:val="Hyperlink"/>
            <w:b w:val="0"/>
            <w:bCs w:val="0"/>
            <w:noProof/>
            <w:sz w:val="20"/>
            <w:szCs w:val="20"/>
          </w:rPr>
          <w:t>CHAPTER 2 — CONTINUING AIRWORTHINESS</w:t>
        </w:r>
        <w:r w:rsidR="00BE3F4E" w:rsidRPr="00BE3F4E">
          <w:rPr>
            <w:noProof/>
            <w:webHidden/>
          </w:rPr>
          <w:tab/>
        </w:r>
        <w:r w:rsidR="00BE3F4E" w:rsidRPr="00BE3F4E">
          <w:rPr>
            <w:noProof/>
            <w:webHidden/>
          </w:rPr>
          <w:fldChar w:fldCharType="begin"/>
        </w:r>
        <w:r w:rsidR="00BE3F4E" w:rsidRPr="00BE3F4E">
          <w:rPr>
            <w:noProof/>
            <w:webHidden/>
          </w:rPr>
          <w:instrText xml:space="preserve"> PAGEREF _Toc153137487 \h </w:instrText>
        </w:r>
        <w:r w:rsidR="00BE3F4E" w:rsidRPr="00BE3F4E">
          <w:rPr>
            <w:noProof/>
            <w:webHidden/>
          </w:rPr>
        </w:r>
        <w:r w:rsidR="00BE3F4E" w:rsidRPr="00BE3F4E">
          <w:rPr>
            <w:noProof/>
            <w:webHidden/>
          </w:rPr>
          <w:fldChar w:fldCharType="separate"/>
        </w:r>
        <w:r w:rsidR="006A7538">
          <w:rPr>
            <w:noProof/>
            <w:webHidden/>
          </w:rPr>
          <w:t>152</w:t>
        </w:r>
        <w:r w:rsidR="00BE3F4E" w:rsidRPr="00BE3F4E">
          <w:rPr>
            <w:noProof/>
            <w:webHidden/>
          </w:rPr>
          <w:fldChar w:fldCharType="end"/>
        </w:r>
      </w:hyperlink>
    </w:p>
    <w:p w14:paraId="6C2519D0" w14:textId="40D983CD" w:rsidR="00BE3F4E" w:rsidRPr="00BE3F4E" w:rsidRDefault="00000000">
      <w:pPr>
        <w:pStyle w:val="TOC3"/>
        <w:tabs>
          <w:tab w:val="right" w:leader="underscore" w:pos="9016"/>
        </w:tabs>
        <w:rPr>
          <w:rFonts w:ascii="Arial" w:eastAsiaTheme="minorEastAsia" w:hAnsi="Arial" w:cs="Arial"/>
          <w:b w:val="0"/>
          <w:bCs w:val="0"/>
          <w:noProof/>
          <w:sz w:val="20"/>
          <w:szCs w:val="20"/>
        </w:rPr>
      </w:pPr>
      <w:hyperlink w:anchor="_Toc153137488" w:history="1">
        <w:r w:rsidR="00BE3F4E" w:rsidRPr="00BE3F4E">
          <w:rPr>
            <w:rStyle w:val="Hyperlink"/>
            <w:rFonts w:ascii="Arial" w:eastAsiaTheme="majorEastAsia" w:hAnsi="Arial" w:cs="Arial"/>
            <w:b w:val="0"/>
            <w:bCs w:val="0"/>
            <w:noProof/>
            <w:sz w:val="20"/>
            <w:szCs w:val="20"/>
          </w:rPr>
          <w:t>PART-ML</w:t>
        </w:r>
        <w:r w:rsidR="00BE3F4E" w:rsidRPr="00BE3F4E">
          <w:rPr>
            <w:rFonts w:ascii="Arial" w:hAnsi="Arial" w:cs="Arial"/>
            <w:b w:val="0"/>
            <w:bCs w:val="0"/>
            <w:noProof/>
            <w:webHidden/>
            <w:sz w:val="20"/>
            <w:szCs w:val="20"/>
          </w:rPr>
          <w:tab/>
        </w:r>
        <w:r w:rsidR="00BE3F4E" w:rsidRPr="00BE3F4E">
          <w:rPr>
            <w:rFonts w:ascii="Arial" w:hAnsi="Arial" w:cs="Arial"/>
            <w:b w:val="0"/>
            <w:bCs w:val="0"/>
            <w:noProof/>
            <w:webHidden/>
            <w:sz w:val="20"/>
            <w:szCs w:val="20"/>
          </w:rPr>
          <w:fldChar w:fldCharType="begin"/>
        </w:r>
        <w:r w:rsidR="00BE3F4E" w:rsidRPr="00BE3F4E">
          <w:rPr>
            <w:rFonts w:ascii="Arial" w:hAnsi="Arial" w:cs="Arial"/>
            <w:b w:val="0"/>
            <w:bCs w:val="0"/>
            <w:noProof/>
            <w:webHidden/>
            <w:sz w:val="20"/>
            <w:szCs w:val="20"/>
          </w:rPr>
          <w:instrText xml:space="preserve"> PAGEREF _Toc153137488 \h </w:instrText>
        </w:r>
        <w:r w:rsidR="00BE3F4E" w:rsidRPr="00BE3F4E">
          <w:rPr>
            <w:rFonts w:ascii="Arial" w:hAnsi="Arial" w:cs="Arial"/>
            <w:b w:val="0"/>
            <w:bCs w:val="0"/>
            <w:noProof/>
            <w:webHidden/>
            <w:sz w:val="20"/>
            <w:szCs w:val="20"/>
          </w:rPr>
        </w:r>
        <w:r w:rsidR="00BE3F4E" w:rsidRPr="00BE3F4E">
          <w:rPr>
            <w:rFonts w:ascii="Arial" w:hAnsi="Arial" w:cs="Arial"/>
            <w:b w:val="0"/>
            <w:bCs w:val="0"/>
            <w:noProof/>
            <w:webHidden/>
            <w:sz w:val="20"/>
            <w:szCs w:val="20"/>
          </w:rPr>
          <w:fldChar w:fldCharType="separate"/>
        </w:r>
        <w:r w:rsidR="006A7538">
          <w:rPr>
            <w:rFonts w:ascii="Arial" w:hAnsi="Arial" w:cs="Arial"/>
            <w:b w:val="0"/>
            <w:bCs w:val="0"/>
            <w:noProof/>
            <w:webHidden/>
            <w:sz w:val="20"/>
            <w:szCs w:val="20"/>
          </w:rPr>
          <w:t>152</w:t>
        </w:r>
        <w:r w:rsidR="00BE3F4E" w:rsidRPr="00BE3F4E">
          <w:rPr>
            <w:rFonts w:ascii="Arial" w:hAnsi="Arial" w:cs="Arial"/>
            <w:b w:val="0"/>
            <w:bCs w:val="0"/>
            <w:noProof/>
            <w:webHidden/>
            <w:sz w:val="20"/>
            <w:szCs w:val="20"/>
          </w:rPr>
          <w:fldChar w:fldCharType="end"/>
        </w:r>
      </w:hyperlink>
    </w:p>
    <w:p w14:paraId="665C2617" w14:textId="315F397B" w:rsidR="00BE3F4E" w:rsidRPr="00BE3F4E" w:rsidRDefault="00000000">
      <w:pPr>
        <w:pStyle w:val="TOC4"/>
        <w:tabs>
          <w:tab w:val="right" w:leader="underscore" w:pos="9016"/>
        </w:tabs>
        <w:rPr>
          <w:rFonts w:ascii="Arial" w:eastAsiaTheme="minorEastAsia" w:hAnsi="Arial" w:cs="Arial"/>
          <w:noProof/>
          <w:sz w:val="20"/>
          <w:szCs w:val="20"/>
        </w:rPr>
      </w:pPr>
      <w:hyperlink w:anchor="_Toc153137489" w:history="1">
        <w:r w:rsidR="00BE3F4E" w:rsidRPr="00BE3F4E">
          <w:rPr>
            <w:rStyle w:val="Hyperlink"/>
            <w:rFonts w:ascii="Arial" w:eastAsiaTheme="majorEastAsia" w:hAnsi="Arial" w:cs="Arial"/>
            <w:iCs/>
            <w:noProof/>
            <w:sz w:val="20"/>
            <w:szCs w:val="20"/>
          </w:rPr>
          <w:t>GENERAL</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_Toc153137489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152</w:t>
        </w:r>
        <w:r w:rsidR="00BE3F4E" w:rsidRPr="00BE3F4E">
          <w:rPr>
            <w:rFonts w:ascii="Arial" w:hAnsi="Arial" w:cs="Arial"/>
            <w:noProof/>
            <w:webHidden/>
            <w:sz w:val="20"/>
            <w:szCs w:val="20"/>
          </w:rPr>
          <w:fldChar w:fldCharType="end"/>
        </w:r>
      </w:hyperlink>
    </w:p>
    <w:p w14:paraId="782E1EFD" w14:textId="33150332" w:rsidR="00BE3F4E" w:rsidRPr="00BE3F4E" w:rsidRDefault="00000000">
      <w:pPr>
        <w:pStyle w:val="TOC4"/>
        <w:tabs>
          <w:tab w:val="right" w:leader="underscore" w:pos="9016"/>
        </w:tabs>
        <w:rPr>
          <w:rFonts w:ascii="Arial" w:eastAsiaTheme="minorEastAsia" w:hAnsi="Arial" w:cs="Arial"/>
          <w:noProof/>
          <w:sz w:val="20"/>
          <w:szCs w:val="20"/>
        </w:rPr>
      </w:pPr>
      <w:hyperlink w:anchor="_Toc153137490" w:history="1">
        <w:r w:rsidR="00BE3F4E" w:rsidRPr="00BE3F4E">
          <w:rPr>
            <w:rStyle w:val="Hyperlink"/>
            <w:rFonts w:ascii="Arial" w:eastAsia="Times New Roman" w:hAnsi="Arial" w:cs="Arial"/>
            <w:iCs/>
            <w:noProof/>
            <w:sz w:val="20"/>
            <w:szCs w:val="20"/>
          </w:rPr>
          <w:t>ML.1</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_Toc153137490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152</w:t>
        </w:r>
        <w:r w:rsidR="00BE3F4E" w:rsidRPr="00BE3F4E">
          <w:rPr>
            <w:rFonts w:ascii="Arial" w:hAnsi="Arial" w:cs="Arial"/>
            <w:noProof/>
            <w:webHidden/>
            <w:sz w:val="20"/>
            <w:szCs w:val="20"/>
          </w:rPr>
          <w:fldChar w:fldCharType="end"/>
        </w:r>
      </w:hyperlink>
    </w:p>
    <w:p w14:paraId="1C67B990" w14:textId="51965247" w:rsidR="00BE3F4E" w:rsidRPr="00BE3F4E" w:rsidRDefault="00000000">
      <w:pPr>
        <w:pStyle w:val="TOC4"/>
        <w:tabs>
          <w:tab w:val="right" w:leader="underscore" w:pos="9016"/>
        </w:tabs>
        <w:rPr>
          <w:rFonts w:ascii="Arial" w:eastAsiaTheme="minorEastAsia" w:hAnsi="Arial" w:cs="Arial"/>
          <w:noProof/>
          <w:sz w:val="20"/>
          <w:szCs w:val="20"/>
        </w:rPr>
      </w:pPr>
      <w:hyperlink w:anchor="_Toc153137491" w:history="1">
        <w:r w:rsidR="00BE3F4E" w:rsidRPr="00BE3F4E">
          <w:rPr>
            <w:rStyle w:val="Hyperlink"/>
            <w:rFonts w:ascii="Arial" w:eastAsiaTheme="majorEastAsia" w:hAnsi="Arial" w:cs="Arial"/>
            <w:iCs/>
            <w:noProof/>
            <w:sz w:val="20"/>
            <w:szCs w:val="20"/>
          </w:rPr>
          <w:t>SECTION A — TECHNICAL REQUIREMENTS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_Toc153137491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153</w:t>
        </w:r>
        <w:r w:rsidR="00BE3F4E" w:rsidRPr="00BE3F4E">
          <w:rPr>
            <w:rFonts w:ascii="Arial" w:hAnsi="Arial" w:cs="Arial"/>
            <w:noProof/>
            <w:webHidden/>
            <w:sz w:val="20"/>
            <w:szCs w:val="20"/>
          </w:rPr>
          <w:fldChar w:fldCharType="end"/>
        </w:r>
      </w:hyperlink>
    </w:p>
    <w:p w14:paraId="52468148" w14:textId="26D1A344" w:rsidR="00BE3F4E" w:rsidRPr="00BE3F4E" w:rsidRDefault="00000000">
      <w:pPr>
        <w:pStyle w:val="TOC3"/>
        <w:tabs>
          <w:tab w:val="right" w:leader="underscore" w:pos="9016"/>
        </w:tabs>
        <w:rPr>
          <w:rFonts w:ascii="Arial" w:eastAsiaTheme="minorEastAsia" w:hAnsi="Arial" w:cs="Arial"/>
          <w:b w:val="0"/>
          <w:bCs w:val="0"/>
          <w:noProof/>
          <w:sz w:val="20"/>
          <w:szCs w:val="20"/>
        </w:rPr>
      </w:pPr>
      <w:hyperlink w:anchor="_Toc153137492" w:history="1">
        <w:r w:rsidR="00BE3F4E" w:rsidRPr="00BE3F4E">
          <w:rPr>
            <w:rStyle w:val="Hyperlink"/>
            <w:rFonts w:ascii="Arial" w:eastAsiaTheme="majorEastAsia" w:hAnsi="Arial" w:cs="Arial"/>
            <w:b w:val="0"/>
            <w:bCs w:val="0"/>
            <w:noProof/>
            <w:sz w:val="20"/>
            <w:szCs w:val="20"/>
          </w:rPr>
          <w:t>SUBPART A — GENERAL</w:t>
        </w:r>
        <w:r w:rsidR="00BE3F4E" w:rsidRPr="00BE3F4E">
          <w:rPr>
            <w:rFonts w:ascii="Arial" w:hAnsi="Arial" w:cs="Arial"/>
            <w:b w:val="0"/>
            <w:bCs w:val="0"/>
            <w:noProof/>
            <w:webHidden/>
            <w:sz w:val="20"/>
            <w:szCs w:val="20"/>
          </w:rPr>
          <w:tab/>
        </w:r>
        <w:r w:rsidR="00BE3F4E" w:rsidRPr="00BE3F4E">
          <w:rPr>
            <w:rFonts w:ascii="Arial" w:hAnsi="Arial" w:cs="Arial"/>
            <w:b w:val="0"/>
            <w:bCs w:val="0"/>
            <w:noProof/>
            <w:webHidden/>
            <w:sz w:val="20"/>
            <w:szCs w:val="20"/>
          </w:rPr>
          <w:fldChar w:fldCharType="begin"/>
        </w:r>
        <w:r w:rsidR="00BE3F4E" w:rsidRPr="00BE3F4E">
          <w:rPr>
            <w:rFonts w:ascii="Arial" w:hAnsi="Arial" w:cs="Arial"/>
            <w:b w:val="0"/>
            <w:bCs w:val="0"/>
            <w:noProof/>
            <w:webHidden/>
            <w:sz w:val="20"/>
            <w:szCs w:val="20"/>
          </w:rPr>
          <w:instrText xml:space="preserve"> PAGEREF _Toc153137492 \h </w:instrText>
        </w:r>
        <w:r w:rsidR="00BE3F4E" w:rsidRPr="00BE3F4E">
          <w:rPr>
            <w:rFonts w:ascii="Arial" w:hAnsi="Arial" w:cs="Arial"/>
            <w:b w:val="0"/>
            <w:bCs w:val="0"/>
            <w:noProof/>
            <w:webHidden/>
            <w:sz w:val="20"/>
            <w:szCs w:val="20"/>
          </w:rPr>
        </w:r>
        <w:r w:rsidR="00BE3F4E" w:rsidRPr="00BE3F4E">
          <w:rPr>
            <w:rFonts w:ascii="Arial" w:hAnsi="Arial" w:cs="Arial"/>
            <w:b w:val="0"/>
            <w:bCs w:val="0"/>
            <w:noProof/>
            <w:webHidden/>
            <w:sz w:val="20"/>
            <w:szCs w:val="20"/>
          </w:rPr>
          <w:fldChar w:fldCharType="separate"/>
        </w:r>
        <w:r w:rsidR="006A7538">
          <w:rPr>
            <w:rFonts w:ascii="Arial" w:hAnsi="Arial" w:cs="Arial"/>
            <w:b w:val="0"/>
            <w:bCs w:val="0"/>
            <w:noProof/>
            <w:webHidden/>
            <w:sz w:val="20"/>
            <w:szCs w:val="20"/>
          </w:rPr>
          <w:t>153</w:t>
        </w:r>
        <w:r w:rsidR="00BE3F4E" w:rsidRPr="00BE3F4E">
          <w:rPr>
            <w:rFonts w:ascii="Arial" w:hAnsi="Arial" w:cs="Arial"/>
            <w:b w:val="0"/>
            <w:bCs w:val="0"/>
            <w:noProof/>
            <w:webHidden/>
            <w:sz w:val="20"/>
            <w:szCs w:val="20"/>
          </w:rPr>
          <w:fldChar w:fldCharType="end"/>
        </w:r>
      </w:hyperlink>
    </w:p>
    <w:p w14:paraId="75DA9B4B" w14:textId="399ED22C" w:rsidR="00BE3F4E" w:rsidRPr="00BE3F4E" w:rsidRDefault="00000000">
      <w:pPr>
        <w:pStyle w:val="TOC4"/>
        <w:tabs>
          <w:tab w:val="right" w:leader="underscore" w:pos="9016"/>
        </w:tabs>
        <w:rPr>
          <w:rFonts w:ascii="Arial" w:eastAsiaTheme="minorEastAsia" w:hAnsi="Arial" w:cs="Arial"/>
          <w:noProof/>
          <w:sz w:val="20"/>
          <w:szCs w:val="20"/>
        </w:rPr>
      </w:pPr>
      <w:hyperlink w:anchor="_Toc153137493" w:history="1">
        <w:r w:rsidR="00BE3F4E" w:rsidRPr="00BE3F4E">
          <w:rPr>
            <w:rStyle w:val="Hyperlink"/>
            <w:rFonts w:ascii="Arial" w:eastAsia="Times New Roman" w:hAnsi="Arial" w:cs="Arial"/>
            <w:iCs/>
            <w:noProof/>
            <w:sz w:val="20"/>
            <w:szCs w:val="20"/>
          </w:rPr>
          <w:t>ML.A.101 Scope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_Toc153137493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153</w:t>
        </w:r>
        <w:r w:rsidR="00BE3F4E" w:rsidRPr="00BE3F4E">
          <w:rPr>
            <w:rFonts w:ascii="Arial" w:hAnsi="Arial" w:cs="Arial"/>
            <w:noProof/>
            <w:webHidden/>
            <w:sz w:val="20"/>
            <w:szCs w:val="20"/>
          </w:rPr>
          <w:fldChar w:fldCharType="end"/>
        </w:r>
      </w:hyperlink>
    </w:p>
    <w:p w14:paraId="5E847AEA" w14:textId="7D94C3CA" w:rsidR="00BE3F4E" w:rsidRPr="00BE3F4E" w:rsidRDefault="00000000">
      <w:pPr>
        <w:pStyle w:val="TOC3"/>
        <w:tabs>
          <w:tab w:val="right" w:leader="underscore" w:pos="9016"/>
        </w:tabs>
        <w:rPr>
          <w:rFonts w:ascii="Arial" w:eastAsiaTheme="minorEastAsia" w:hAnsi="Arial" w:cs="Arial"/>
          <w:b w:val="0"/>
          <w:bCs w:val="0"/>
          <w:noProof/>
          <w:sz w:val="20"/>
          <w:szCs w:val="20"/>
        </w:rPr>
      </w:pPr>
      <w:hyperlink w:anchor="_Toc153137494" w:history="1">
        <w:r w:rsidR="00BE3F4E" w:rsidRPr="00BE3F4E">
          <w:rPr>
            <w:rStyle w:val="Hyperlink"/>
            <w:rFonts w:ascii="Arial" w:eastAsiaTheme="majorEastAsia" w:hAnsi="Arial" w:cs="Arial"/>
            <w:b w:val="0"/>
            <w:bCs w:val="0"/>
            <w:noProof/>
            <w:sz w:val="20"/>
            <w:szCs w:val="20"/>
          </w:rPr>
          <w:t>SUBPART B — ACCOUNTABILITY</w:t>
        </w:r>
        <w:r w:rsidR="00BE3F4E" w:rsidRPr="00BE3F4E">
          <w:rPr>
            <w:rFonts w:ascii="Arial" w:hAnsi="Arial" w:cs="Arial"/>
            <w:b w:val="0"/>
            <w:bCs w:val="0"/>
            <w:noProof/>
            <w:webHidden/>
            <w:sz w:val="20"/>
            <w:szCs w:val="20"/>
          </w:rPr>
          <w:tab/>
        </w:r>
        <w:r w:rsidR="00BE3F4E" w:rsidRPr="00BE3F4E">
          <w:rPr>
            <w:rFonts w:ascii="Arial" w:hAnsi="Arial" w:cs="Arial"/>
            <w:b w:val="0"/>
            <w:bCs w:val="0"/>
            <w:noProof/>
            <w:webHidden/>
            <w:sz w:val="20"/>
            <w:szCs w:val="20"/>
          </w:rPr>
          <w:fldChar w:fldCharType="begin"/>
        </w:r>
        <w:r w:rsidR="00BE3F4E" w:rsidRPr="00BE3F4E">
          <w:rPr>
            <w:rFonts w:ascii="Arial" w:hAnsi="Arial" w:cs="Arial"/>
            <w:b w:val="0"/>
            <w:bCs w:val="0"/>
            <w:noProof/>
            <w:webHidden/>
            <w:sz w:val="20"/>
            <w:szCs w:val="20"/>
          </w:rPr>
          <w:instrText xml:space="preserve"> PAGEREF _Toc153137494 \h </w:instrText>
        </w:r>
        <w:r w:rsidR="00BE3F4E" w:rsidRPr="00BE3F4E">
          <w:rPr>
            <w:rFonts w:ascii="Arial" w:hAnsi="Arial" w:cs="Arial"/>
            <w:b w:val="0"/>
            <w:bCs w:val="0"/>
            <w:noProof/>
            <w:webHidden/>
            <w:sz w:val="20"/>
            <w:szCs w:val="20"/>
          </w:rPr>
        </w:r>
        <w:r w:rsidR="00BE3F4E" w:rsidRPr="00BE3F4E">
          <w:rPr>
            <w:rFonts w:ascii="Arial" w:hAnsi="Arial" w:cs="Arial"/>
            <w:b w:val="0"/>
            <w:bCs w:val="0"/>
            <w:noProof/>
            <w:webHidden/>
            <w:sz w:val="20"/>
            <w:szCs w:val="20"/>
          </w:rPr>
          <w:fldChar w:fldCharType="separate"/>
        </w:r>
        <w:r w:rsidR="006A7538">
          <w:rPr>
            <w:rFonts w:ascii="Arial" w:hAnsi="Arial" w:cs="Arial"/>
            <w:b w:val="0"/>
            <w:bCs w:val="0"/>
            <w:noProof/>
            <w:webHidden/>
            <w:sz w:val="20"/>
            <w:szCs w:val="20"/>
          </w:rPr>
          <w:t>154</w:t>
        </w:r>
        <w:r w:rsidR="00BE3F4E" w:rsidRPr="00BE3F4E">
          <w:rPr>
            <w:rFonts w:ascii="Arial" w:hAnsi="Arial" w:cs="Arial"/>
            <w:b w:val="0"/>
            <w:bCs w:val="0"/>
            <w:noProof/>
            <w:webHidden/>
            <w:sz w:val="20"/>
            <w:szCs w:val="20"/>
          </w:rPr>
          <w:fldChar w:fldCharType="end"/>
        </w:r>
      </w:hyperlink>
    </w:p>
    <w:p w14:paraId="1B6C47CA" w14:textId="527B659D" w:rsidR="00BE3F4E" w:rsidRPr="00BE3F4E" w:rsidRDefault="00000000">
      <w:pPr>
        <w:pStyle w:val="TOC4"/>
        <w:tabs>
          <w:tab w:val="right" w:leader="underscore" w:pos="9016"/>
        </w:tabs>
        <w:rPr>
          <w:rFonts w:ascii="Arial" w:eastAsiaTheme="minorEastAsia" w:hAnsi="Arial" w:cs="Arial"/>
          <w:noProof/>
          <w:sz w:val="20"/>
          <w:szCs w:val="20"/>
        </w:rPr>
      </w:pPr>
      <w:hyperlink w:anchor="_Toc153137495" w:history="1">
        <w:r w:rsidR="00BE3F4E" w:rsidRPr="00BE3F4E">
          <w:rPr>
            <w:rStyle w:val="Hyperlink"/>
            <w:rFonts w:ascii="Arial" w:eastAsia="Times New Roman" w:hAnsi="Arial" w:cs="Arial"/>
            <w:iCs/>
            <w:noProof/>
            <w:sz w:val="20"/>
            <w:szCs w:val="20"/>
          </w:rPr>
          <w:t>ML.A.201 Responsibilities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_Toc153137495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154</w:t>
        </w:r>
        <w:r w:rsidR="00BE3F4E" w:rsidRPr="00BE3F4E">
          <w:rPr>
            <w:rFonts w:ascii="Arial" w:hAnsi="Arial" w:cs="Arial"/>
            <w:noProof/>
            <w:webHidden/>
            <w:sz w:val="20"/>
            <w:szCs w:val="20"/>
          </w:rPr>
          <w:fldChar w:fldCharType="end"/>
        </w:r>
      </w:hyperlink>
    </w:p>
    <w:p w14:paraId="240ACFA0" w14:textId="1920819F" w:rsidR="00BE3F4E" w:rsidRPr="00BE3F4E" w:rsidRDefault="00000000">
      <w:pPr>
        <w:pStyle w:val="TOC5"/>
        <w:tabs>
          <w:tab w:val="right" w:leader="underscore" w:pos="9016"/>
        </w:tabs>
        <w:rPr>
          <w:rFonts w:ascii="Arial" w:eastAsiaTheme="minorEastAsia" w:hAnsi="Arial" w:cs="Arial"/>
          <w:noProof/>
          <w:sz w:val="20"/>
          <w:szCs w:val="20"/>
        </w:rPr>
      </w:pPr>
      <w:hyperlink w:anchor="_Toc153137496" w:history="1">
        <w:r w:rsidR="00BE3F4E" w:rsidRPr="00BE3F4E">
          <w:rPr>
            <w:rStyle w:val="Hyperlink"/>
            <w:rFonts w:ascii="Arial" w:eastAsia="Times New Roman" w:hAnsi="Arial" w:cs="Arial"/>
            <w:noProof/>
            <w:sz w:val="20"/>
            <w:szCs w:val="20"/>
          </w:rPr>
          <w:t>GM1 ML.A.201 Responsibilities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_Toc153137496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154</w:t>
        </w:r>
        <w:r w:rsidR="00BE3F4E" w:rsidRPr="00BE3F4E">
          <w:rPr>
            <w:rFonts w:ascii="Arial" w:hAnsi="Arial" w:cs="Arial"/>
            <w:noProof/>
            <w:webHidden/>
            <w:sz w:val="20"/>
            <w:szCs w:val="20"/>
          </w:rPr>
          <w:fldChar w:fldCharType="end"/>
        </w:r>
      </w:hyperlink>
    </w:p>
    <w:p w14:paraId="4DCBEC4A" w14:textId="5E970DC4" w:rsidR="00BE3F4E" w:rsidRPr="00BE3F4E" w:rsidRDefault="00000000">
      <w:pPr>
        <w:pStyle w:val="TOC5"/>
        <w:tabs>
          <w:tab w:val="right" w:leader="underscore" w:pos="9016"/>
        </w:tabs>
        <w:rPr>
          <w:rFonts w:ascii="Arial" w:eastAsiaTheme="minorEastAsia" w:hAnsi="Arial" w:cs="Arial"/>
          <w:noProof/>
          <w:sz w:val="20"/>
          <w:szCs w:val="20"/>
        </w:rPr>
      </w:pPr>
      <w:hyperlink w:anchor="_Toc153137497" w:history="1">
        <w:r w:rsidR="00BE3F4E" w:rsidRPr="00BE3F4E">
          <w:rPr>
            <w:rStyle w:val="Hyperlink"/>
            <w:rFonts w:ascii="Arial" w:eastAsia="Times New Roman" w:hAnsi="Arial" w:cs="Arial"/>
            <w:noProof/>
            <w:sz w:val="20"/>
            <w:szCs w:val="20"/>
          </w:rPr>
          <w:t>GM1 ML.A.201(e) Responsibilities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_Toc153137497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155</w:t>
        </w:r>
        <w:r w:rsidR="00BE3F4E" w:rsidRPr="00BE3F4E">
          <w:rPr>
            <w:rFonts w:ascii="Arial" w:hAnsi="Arial" w:cs="Arial"/>
            <w:noProof/>
            <w:webHidden/>
            <w:sz w:val="20"/>
            <w:szCs w:val="20"/>
          </w:rPr>
          <w:fldChar w:fldCharType="end"/>
        </w:r>
      </w:hyperlink>
    </w:p>
    <w:p w14:paraId="2334B172" w14:textId="3DF2D4CB" w:rsidR="00BE3F4E" w:rsidRPr="00BE3F4E" w:rsidRDefault="00000000">
      <w:pPr>
        <w:pStyle w:val="TOC5"/>
        <w:tabs>
          <w:tab w:val="right" w:leader="underscore" w:pos="9016"/>
        </w:tabs>
        <w:rPr>
          <w:rFonts w:ascii="Arial" w:eastAsiaTheme="minorEastAsia" w:hAnsi="Arial" w:cs="Arial"/>
          <w:noProof/>
          <w:sz w:val="20"/>
          <w:szCs w:val="20"/>
        </w:rPr>
      </w:pPr>
      <w:hyperlink w:anchor="_Toc153137498" w:history="1">
        <w:r w:rsidR="00BE3F4E" w:rsidRPr="00BE3F4E">
          <w:rPr>
            <w:rStyle w:val="Hyperlink"/>
            <w:rFonts w:ascii="Arial" w:eastAsia="Times New Roman" w:hAnsi="Arial" w:cs="Arial"/>
            <w:noProof/>
            <w:sz w:val="20"/>
            <w:szCs w:val="20"/>
          </w:rPr>
          <w:t>GM1 ML.A.201(f) Responsibilities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_Toc153137498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156</w:t>
        </w:r>
        <w:r w:rsidR="00BE3F4E" w:rsidRPr="00BE3F4E">
          <w:rPr>
            <w:rFonts w:ascii="Arial" w:hAnsi="Arial" w:cs="Arial"/>
            <w:noProof/>
            <w:webHidden/>
            <w:sz w:val="20"/>
            <w:szCs w:val="20"/>
          </w:rPr>
          <w:fldChar w:fldCharType="end"/>
        </w:r>
      </w:hyperlink>
    </w:p>
    <w:p w14:paraId="37881EBB" w14:textId="7A9F442C" w:rsidR="00BE3F4E" w:rsidRPr="00BE3F4E" w:rsidRDefault="00000000">
      <w:pPr>
        <w:pStyle w:val="TOC5"/>
        <w:tabs>
          <w:tab w:val="right" w:leader="underscore" w:pos="9016"/>
        </w:tabs>
        <w:rPr>
          <w:rFonts w:ascii="Arial" w:eastAsiaTheme="minorEastAsia" w:hAnsi="Arial" w:cs="Arial"/>
          <w:noProof/>
          <w:sz w:val="20"/>
          <w:szCs w:val="20"/>
        </w:rPr>
      </w:pPr>
      <w:hyperlink w:anchor="_Toc153137499" w:history="1">
        <w:r w:rsidR="00BE3F4E" w:rsidRPr="00BE3F4E">
          <w:rPr>
            <w:rStyle w:val="Hyperlink"/>
            <w:rFonts w:ascii="Arial" w:eastAsia="Times New Roman" w:hAnsi="Arial" w:cs="Arial"/>
            <w:noProof/>
            <w:sz w:val="20"/>
            <w:szCs w:val="20"/>
          </w:rPr>
          <w:t>GM1 ML.A.201(h) Responsibilities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_Toc153137499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156</w:t>
        </w:r>
        <w:r w:rsidR="00BE3F4E" w:rsidRPr="00BE3F4E">
          <w:rPr>
            <w:rFonts w:ascii="Arial" w:hAnsi="Arial" w:cs="Arial"/>
            <w:noProof/>
            <w:webHidden/>
            <w:sz w:val="20"/>
            <w:szCs w:val="20"/>
          </w:rPr>
          <w:fldChar w:fldCharType="end"/>
        </w:r>
      </w:hyperlink>
    </w:p>
    <w:p w14:paraId="7C0FCE3C" w14:textId="70BDCDDF" w:rsidR="00BE3F4E" w:rsidRPr="00BE3F4E" w:rsidRDefault="00000000">
      <w:pPr>
        <w:pStyle w:val="TOC4"/>
        <w:tabs>
          <w:tab w:val="right" w:leader="underscore" w:pos="9016"/>
        </w:tabs>
        <w:rPr>
          <w:rFonts w:ascii="Arial" w:eastAsiaTheme="minorEastAsia" w:hAnsi="Arial" w:cs="Arial"/>
          <w:noProof/>
          <w:sz w:val="20"/>
          <w:szCs w:val="20"/>
        </w:rPr>
      </w:pPr>
      <w:hyperlink w:anchor="_Toc153137500" w:history="1">
        <w:r w:rsidR="00BE3F4E" w:rsidRPr="00BE3F4E">
          <w:rPr>
            <w:rStyle w:val="Hyperlink"/>
            <w:rFonts w:ascii="Arial" w:eastAsia="Times New Roman" w:hAnsi="Arial" w:cs="Arial"/>
            <w:iCs/>
            <w:noProof/>
            <w:sz w:val="20"/>
            <w:szCs w:val="20"/>
          </w:rPr>
          <w:t>ML.A.202 Occurrence reporting</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_Toc153137500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156</w:t>
        </w:r>
        <w:r w:rsidR="00BE3F4E" w:rsidRPr="00BE3F4E">
          <w:rPr>
            <w:rFonts w:ascii="Arial" w:hAnsi="Arial" w:cs="Arial"/>
            <w:noProof/>
            <w:webHidden/>
            <w:sz w:val="20"/>
            <w:szCs w:val="20"/>
          </w:rPr>
          <w:fldChar w:fldCharType="end"/>
        </w:r>
      </w:hyperlink>
    </w:p>
    <w:p w14:paraId="0567DFFE" w14:textId="7444A58E" w:rsidR="00BE3F4E" w:rsidRPr="00BE3F4E" w:rsidRDefault="00000000">
      <w:pPr>
        <w:pStyle w:val="TOC5"/>
        <w:tabs>
          <w:tab w:val="right" w:leader="underscore" w:pos="9016"/>
        </w:tabs>
        <w:rPr>
          <w:rFonts w:ascii="Arial" w:eastAsiaTheme="minorEastAsia" w:hAnsi="Arial" w:cs="Arial"/>
          <w:noProof/>
          <w:sz w:val="20"/>
          <w:szCs w:val="20"/>
        </w:rPr>
      </w:pPr>
      <w:hyperlink w:anchor="_Toc153137501" w:history="1">
        <w:r w:rsidR="00BE3F4E" w:rsidRPr="00BE3F4E">
          <w:rPr>
            <w:rStyle w:val="Hyperlink"/>
            <w:rFonts w:ascii="Arial" w:eastAsia="Times New Roman" w:hAnsi="Arial" w:cs="Arial"/>
            <w:noProof/>
            <w:sz w:val="20"/>
            <w:szCs w:val="20"/>
          </w:rPr>
          <w:t>AMC1 ML.A.202 Occurrence reporting</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_Toc153137501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157</w:t>
        </w:r>
        <w:r w:rsidR="00BE3F4E" w:rsidRPr="00BE3F4E">
          <w:rPr>
            <w:rFonts w:ascii="Arial" w:hAnsi="Arial" w:cs="Arial"/>
            <w:noProof/>
            <w:webHidden/>
            <w:sz w:val="20"/>
            <w:szCs w:val="20"/>
          </w:rPr>
          <w:fldChar w:fldCharType="end"/>
        </w:r>
      </w:hyperlink>
    </w:p>
    <w:p w14:paraId="7D08C10D" w14:textId="1C5BB7B0" w:rsidR="00BE3F4E" w:rsidRPr="00BE3F4E" w:rsidRDefault="00000000">
      <w:pPr>
        <w:pStyle w:val="TOC3"/>
        <w:tabs>
          <w:tab w:val="right" w:leader="underscore" w:pos="9016"/>
        </w:tabs>
        <w:rPr>
          <w:rFonts w:ascii="Arial" w:eastAsiaTheme="minorEastAsia" w:hAnsi="Arial" w:cs="Arial"/>
          <w:b w:val="0"/>
          <w:bCs w:val="0"/>
          <w:noProof/>
          <w:sz w:val="20"/>
          <w:szCs w:val="20"/>
        </w:rPr>
      </w:pPr>
      <w:hyperlink w:anchor="_Toc153137502" w:history="1">
        <w:r w:rsidR="00BE3F4E" w:rsidRPr="00BE3F4E">
          <w:rPr>
            <w:rStyle w:val="Hyperlink"/>
            <w:rFonts w:ascii="Arial" w:hAnsi="Arial" w:cs="Arial"/>
            <w:b w:val="0"/>
            <w:bCs w:val="0"/>
            <w:noProof/>
            <w:sz w:val="20"/>
            <w:szCs w:val="20"/>
          </w:rPr>
          <w:t>SUBPART C — CONTINUING AIRWORTHINESS</w:t>
        </w:r>
        <w:r w:rsidR="00BE3F4E" w:rsidRPr="00BE3F4E">
          <w:rPr>
            <w:rFonts w:ascii="Arial" w:hAnsi="Arial" w:cs="Arial"/>
            <w:b w:val="0"/>
            <w:bCs w:val="0"/>
            <w:noProof/>
            <w:webHidden/>
            <w:sz w:val="20"/>
            <w:szCs w:val="20"/>
          </w:rPr>
          <w:tab/>
        </w:r>
        <w:r w:rsidR="00BE3F4E" w:rsidRPr="00BE3F4E">
          <w:rPr>
            <w:rFonts w:ascii="Arial" w:hAnsi="Arial" w:cs="Arial"/>
            <w:b w:val="0"/>
            <w:bCs w:val="0"/>
            <w:noProof/>
            <w:webHidden/>
            <w:sz w:val="20"/>
            <w:szCs w:val="20"/>
          </w:rPr>
          <w:fldChar w:fldCharType="begin"/>
        </w:r>
        <w:r w:rsidR="00BE3F4E" w:rsidRPr="00BE3F4E">
          <w:rPr>
            <w:rFonts w:ascii="Arial" w:hAnsi="Arial" w:cs="Arial"/>
            <w:b w:val="0"/>
            <w:bCs w:val="0"/>
            <w:noProof/>
            <w:webHidden/>
            <w:sz w:val="20"/>
            <w:szCs w:val="20"/>
          </w:rPr>
          <w:instrText xml:space="preserve"> PAGEREF _Toc153137502 \h </w:instrText>
        </w:r>
        <w:r w:rsidR="00BE3F4E" w:rsidRPr="00BE3F4E">
          <w:rPr>
            <w:rFonts w:ascii="Arial" w:hAnsi="Arial" w:cs="Arial"/>
            <w:b w:val="0"/>
            <w:bCs w:val="0"/>
            <w:noProof/>
            <w:webHidden/>
            <w:sz w:val="20"/>
            <w:szCs w:val="20"/>
          </w:rPr>
        </w:r>
        <w:r w:rsidR="00BE3F4E" w:rsidRPr="00BE3F4E">
          <w:rPr>
            <w:rFonts w:ascii="Arial" w:hAnsi="Arial" w:cs="Arial"/>
            <w:b w:val="0"/>
            <w:bCs w:val="0"/>
            <w:noProof/>
            <w:webHidden/>
            <w:sz w:val="20"/>
            <w:szCs w:val="20"/>
          </w:rPr>
          <w:fldChar w:fldCharType="separate"/>
        </w:r>
        <w:r w:rsidR="006A7538">
          <w:rPr>
            <w:rFonts w:ascii="Arial" w:hAnsi="Arial" w:cs="Arial"/>
            <w:b w:val="0"/>
            <w:bCs w:val="0"/>
            <w:noProof/>
            <w:webHidden/>
            <w:sz w:val="20"/>
            <w:szCs w:val="20"/>
          </w:rPr>
          <w:t>158</w:t>
        </w:r>
        <w:r w:rsidR="00BE3F4E" w:rsidRPr="00BE3F4E">
          <w:rPr>
            <w:rFonts w:ascii="Arial" w:hAnsi="Arial" w:cs="Arial"/>
            <w:b w:val="0"/>
            <w:bCs w:val="0"/>
            <w:noProof/>
            <w:webHidden/>
            <w:sz w:val="20"/>
            <w:szCs w:val="20"/>
          </w:rPr>
          <w:fldChar w:fldCharType="end"/>
        </w:r>
      </w:hyperlink>
    </w:p>
    <w:p w14:paraId="53E30F40" w14:textId="4818EBDC" w:rsidR="00BE3F4E" w:rsidRPr="00BE3F4E" w:rsidRDefault="00000000">
      <w:pPr>
        <w:pStyle w:val="TOC4"/>
        <w:tabs>
          <w:tab w:val="right" w:leader="underscore" w:pos="9016"/>
        </w:tabs>
        <w:rPr>
          <w:rFonts w:ascii="Arial" w:eastAsiaTheme="minorEastAsia" w:hAnsi="Arial" w:cs="Arial"/>
          <w:noProof/>
          <w:sz w:val="20"/>
          <w:szCs w:val="20"/>
        </w:rPr>
      </w:pPr>
      <w:hyperlink w:anchor="_Toc153137503" w:history="1">
        <w:r w:rsidR="00BE3F4E" w:rsidRPr="00BE3F4E">
          <w:rPr>
            <w:rStyle w:val="Hyperlink"/>
            <w:rFonts w:ascii="Arial" w:eastAsia="Times New Roman" w:hAnsi="Arial" w:cs="Arial"/>
            <w:iCs/>
            <w:noProof/>
            <w:sz w:val="20"/>
            <w:szCs w:val="20"/>
          </w:rPr>
          <w:t>ML.A.301 Continuing-airworthiness tasks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_Toc153137503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158</w:t>
        </w:r>
        <w:r w:rsidR="00BE3F4E" w:rsidRPr="00BE3F4E">
          <w:rPr>
            <w:rFonts w:ascii="Arial" w:hAnsi="Arial" w:cs="Arial"/>
            <w:noProof/>
            <w:webHidden/>
            <w:sz w:val="20"/>
            <w:szCs w:val="20"/>
          </w:rPr>
          <w:fldChar w:fldCharType="end"/>
        </w:r>
      </w:hyperlink>
    </w:p>
    <w:p w14:paraId="48CCEA15" w14:textId="201AC109" w:rsidR="00BE3F4E" w:rsidRPr="00BE3F4E" w:rsidRDefault="00000000">
      <w:pPr>
        <w:pStyle w:val="TOC5"/>
        <w:tabs>
          <w:tab w:val="right" w:leader="underscore" w:pos="9016"/>
        </w:tabs>
        <w:rPr>
          <w:rFonts w:ascii="Arial" w:eastAsiaTheme="minorEastAsia" w:hAnsi="Arial" w:cs="Arial"/>
          <w:noProof/>
          <w:sz w:val="20"/>
          <w:szCs w:val="20"/>
        </w:rPr>
      </w:pPr>
      <w:hyperlink w:anchor="_Toc153137504" w:history="1">
        <w:r w:rsidR="00BE3F4E" w:rsidRPr="00BE3F4E">
          <w:rPr>
            <w:rStyle w:val="Hyperlink"/>
            <w:rFonts w:ascii="Arial" w:eastAsia="Times New Roman" w:hAnsi="Arial" w:cs="Arial"/>
            <w:noProof/>
            <w:sz w:val="20"/>
            <w:szCs w:val="20"/>
          </w:rPr>
          <w:t>GM1 ML.A.301(f) Continuing airworthiness tasks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_Toc153137504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158</w:t>
        </w:r>
        <w:r w:rsidR="00BE3F4E" w:rsidRPr="00BE3F4E">
          <w:rPr>
            <w:rFonts w:ascii="Arial" w:hAnsi="Arial" w:cs="Arial"/>
            <w:noProof/>
            <w:webHidden/>
            <w:sz w:val="20"/>
            <w:szCs w:val="20"/>
          </w:rPr>
          <w:fldChar w:fldCharType="end"/>
        </w:r>
      </w:hyperlink>
    </w:p>
    <w:p w14:paraId="783D0DAE" w14:textId="7E4D1F39" w:rsidR="00BE3F4E" w:rsidRPr="00BE3F4E" w:rsidRDefault="00000000">
      <w:pPr>
        <w:pStyle w:val="TOC4"/>
        <w:tabs>
          <w:tab w:val="right" w:leader="underscore" w:pos="9016"/>
        </w:tabs>
        <w:rPr>
          <w:rFonts w:ascii="Arial" w:eastAsiaTheme="minorEastAsia" w:hAnsi="Arial" w:cs="Arial"/>
          <w:noProof/>
          <w:sz w:val="20"/>
          <w:szCs w:val="20"/>
        </w:rPr>
      </w:pPr>
      <w:hyperlink w:anchor="_Toc153137505" w:history="1">
        <w:r w:rsidR="00BE3F4E" w:rsidRPr="00BE3F4E">
          <w:rPr>
            <w:rStyle w:val="Hyperlink"/>
            <w:rFonts w:ascii="Arial" w:eastAsia="Times New Roman" w:hAnsi="Arial" w:cs="Arial"/>
            <w:iCs/>
            <w:noProof/>
            <w:sz w:val="20"/>
            <w:szCs w:val="20"/>
          </w:rPr>
          <w:t>ML.A.302 Aircraft maintenance programme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_Toc153137505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159</w:t>
        </w:r>
        <w:r w:rsidR="00BE3F4E" w:rsidRPr="00BE3F4E">
          <w:rPr>
            <w:rFonts w:ascii="Arial" w:hAnsi="Arial" w:cs="Arial"/>
            <w:noProof/>
            <w:webHidden/>
            <w:sz w:val="20"/>
            <w:szCs w:val="20"/>
          </w:rPr>
          <w:fldChar w:fldCharType="end"/>
        </w:r>
      </w:hyperlink>
    </w:p>
    <w:p w14:paraId="5942B52F" w14:textId="5CB91A61" w:rsidR="00BE3F4E" w:rsidRPr="00BE3F4E" w:rsidRDefault="00000000">
      <w:pPr>
        <w:pStyle w:val="TOC5"/>
        <w:tabs>
          <w:tab w:val="right" w:leader="underscore" w:pos="9016"/>
        </w:tabs>
        <w:rPr>
          <w:rFonts w:ascii="Arial" w:eastAsiaTheme="minorEastAsia" w:hAnsi="Arial" w:cs="Arial"/>
          <w:noProof/>
          <w:sz w:val="20"/>
          <w:szCs w:val="20"/>
        </w:rPr>
      </w:pPr>
      <w:hyperlink w:anchor="_Toc153137506" w:history="1">
        <w:r w:rsidR="00BE3F4E" w:rsidRPr="00BE3F4E">
          <w:rPr>
            <w:rStyle w:val="Hyperlink"/>
            <w:rFonts w:ascii="Arial" w:eastAsia="Times New Roman" w:hAnsi="Arial" w:cs="Arial"/>
            <w:noProof/>
            <w:sz w:val="20"/>
            <w:szCs w:val="20"/>
          </w:rPr>
          <w:t>AMC1 ML.A.302 Aircraft maintenance programme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_Toc153137506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161</w:t>
        </w:r>
        <w:r w:rsidR="00BE3F4E" w:rsidRPr="00BE3F4E">
          <w:rPr>
            <w:rFonts w:ascii="Arial" w:hAnsi="Arial" w:cs="Arial"/>
            <w:noProof/>
            <w:webHidden/>
            <w:sz w:val="20"/>
            <w:szCs w:val="20"/>
          </w:rPr>
          <w:fldChar w:fldCharType="end"/>
        </w:r>
      </w:hyperlink>
    </w:p>
    <w:p w14:paraId="6F2DB858" w14:textId="5FA0F8EB" w:rsidR="00BE3F4E" w:rsidRPr="00BE3F4E" w:rsidRDefault="00000000">
      <w:pPr>
        <w:pStyle w:val="TOC5"/>
        <w:tabs>
          <w:tab w:val="right" w:leader="underscore" w:pos="9016"/>
        </w:tabs>
        <w:rPr>
          <w:rFonts w:ascii="Arial" w:eastAsiaTheme="minorEastAsia" w:hAnsi="Arial" w:cs="Arial"/>
          <w:noProof/>
          <w:sz w:val="20"/>
          <w:szCs w:val="20"/>
        </w:rPr>
      </w:pPr>
      <w:hyperlink w:anchor="_Toc153137507" w:history="1">
        <w:r w:rsidR="00BE3F4E" w:rsidRPr="00BE3F4E">
          <w:rPr>
            <w:rStyle w:val="Hyperlink"/>
            <w:rFonts w:ascii="Arial" w:eastAsia="Times New Roman" w:hAnsi="Arial" w:cs="Arial"/>
            <w:noProof/>
            <w:sz w:val="20"/>
            <w:szCs w:val="20"/>
          </w:rPr>
          <w:t>AMC2 ML.A.302 Aircraft maintenance programme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_Toc153137507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162</w:t>
        </w:r>
        <w:r w:rsidR="00BE3F4E" w:rsidRPr="00BE3F4E">
          <w:rPr>
            <w:rFonts w:ascii="Arial" w:hAnsi="Arial" w:cs="Arial"/>
            <w:noProof/>
            <w:webHidden/>
            <w:sz w:val="20"/>
            <w:szCs w:val="20"/>
          </w:rPr>
          <w:fldChar w:fldCharType="end"/>
        </w:r>
      </w:hyperlink>
    </w:p>
    <w:p w14:paraId="4805F3DE" w14:textId="17151A0B" w:rsidR="00BE3F4E" w:rsidRPr="00BE3F4E" w:rsidRDefault="00000000">
      <w:pPr>
        <w:pStyle w:val="TOC5"/>
        <w:tabs>
          <w:tab w:val="right" w:leader="underscore" w:pos="9016"/>
        </w:tabs>
        <w:rPr>
          <w:rFonts w:ascii="Arial" w:eastAsiaTheme="minorEastAsia" w:hAnsi="Arial" w:cs="Arial"/>
          <w:noProof/>
          <w:sz w:val="20"/>
          <w:szCs w:val="20"/>
        </w:rPr>
      </w:pPr>
      <w:hyperlink w:anchor="_Toc153137508" w:history="1">
        <w:r w:rsidR="00BE3F4E" w:rsidRPr="00BE3F4E">
          <w:rPr>
            <w:rStyle w:val="Hyperlink"/>
            <w:rFonts w:ascii="Arial" w:eastAsia="Times New Roman" w:hAnsi="Arial" w:cs="Arial"/>
            <w:noProof/>
            <w:sz w:val="20"/>
            <w:szCs w:val="20"/>
          </w:rPr>
          <w:t>GM1 ML.A.302 Aircraft maintenance programme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_Toc153137508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165</w:t>
        </w:r>
        <w:r w:rsidR="00BE3F4E" w:rsidRPr="00BE3F4E">
          <w:rPr>
            <w:rFonts w:ascii="Arial" w:hAnsi="Arial" w:cs="Arial"/>
            <w:noProof/>
            <w:webHidden/>
            <w:sz w:val="20"/>
            <w:szCs w:val="20"/>
          </w:rPr>
          <w:fldChar w:fldCharType="end"/>
        </w:r>
      </w:hyperlink>
    </w:p>
    <w:p w14:paraId="276954B5" w14:textId="2DB2CB93" w:rsidR="00BE3F4E" w:rsidRPr="00BE3F4E" w:rsidRDefault="00000000">
      <w:pPr>
        <w:pStyle w:val="TOC5"/>
        <w:tabs>
          <w:tab w:val="right" w:leader="underscore" w:pos="9016"/>
        </w:tabs>
        <w:rPr>
          <w:rFonts w:ascii="Arial" w:eastAsiaTheme="minorEastAsia" w:hAnsi="Arial" w:cs="Arial"/>
          <w:noProof/>
          <w:sz w:val="20"/>
          <w:szCs w:val="20"/>
        </w:rPr>
      </w:pPr>
      <w:hyperlink w:anchor="_Toc153137509" w:history="1">
        <w:r w:rsidR="00BE3F4E" w:rsidRPr="00BE3F4E">
          <w:rPr>
            <w:rStyle w:val="Hyperlink"/>
            <w:rFonts w:ascii="Arial" w:eastAsia="Times New Roman" w:hAnsi="Arial" w:cs="Arial"/>
            <w:noProof/>
            <w:sz w:val="20"/>
            <w:szCs w:val="20"/>
          </w:rPr>
          <w:t>GM2 ML.A.302 Aircraft maintenance programme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_Toc153137509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166</w:t>
        </w:r>
        <w:r w:rsidR="00BE3F4E" w:rsidRPr="00BE3F4E">
          <w:rPr>
            <w:rFonts w:ascii="Arial" w:hAnsi="Arial" w:cs="Arial"/>
            <w:noProof/>
            <w:webHidden/>
            <w:sz w:val="20"/>
            <w:szCs w:val="20"/>
          </w:rPr>
          <w:fldChar w:fldCharType="end"/>
        </w:r>
      </w:hyperlink>
    </w:p>
    <w:p w14:paraId="0EE35B0E" w14:textId="77CD5A32" w:rsidR="00BE3F4E" w:rsidRPr="00BE3F4E" w:rsidRDefault="00000000">
      <w:pPr>
        <w:pStyle w:val="TOC5"/>
        <w:tabs>
          <w:tab w:val="right" w:leader="underscore" w:pos="9016"/>
        </w:tabs>
        <w:rPr>
          <w:rFonts w:ascii="Arial" w:eastAsiaTheme="minorEastAsia" w:hAnsi="Arial" w:cs="Arial"/>
          <w:noProof/>
          <w:sz w:val="20"/>
          <w:szCs w:val="20"/>
        </w:rPr>
      </w:pPr>
      <w:hyperlink w:anchor="_Toc153137510" w:history="1">
        <w:r w:rsidR="00BE3F4E" w:rsidRPr="00BE3F4E">
          <w:rPr>
            <w:rStyle w:val="Hyperlink"/>
            <w:rFonts w:ascii="Arial" w:eastAsia="Times New Roman" w:hAnsi="Arial" w:cs="Arial"/>
            <w:noProof/>
            <w:sz w:val="20"/>
            <w:szCs w:val="20"/>
          </w:rPr>
          <w:t>AMC1 ML.A.302(c) Aircraft maintenance programme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_Toc153137510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166</w:t>
        </w:r>
        <w:r w:rsidR="00BE3F4E" w:rsidRPr="00BE3F4E">
          <w:rPr>
            <w:rFonts w:ascii="Arial" w:hAnsi="Arial" w:cs="Arial"/>
            <w:noProof/>
            <w:webHidden/>
            <w:sz w:val="20"/>
            <w:szCs w:val="20"/>
          </w:rPr>
          <w:fldChar w:fldCharType="end"/>
        </w:r>
      </w:hyperlink>
    </w:p>
    <w:p w14:paraId="4328DD83" w14:textId="4D6A1DD8" w:rsidR="00BE3F4E" w:rsidRPr="00BE3F4E" w:rsidRDefault="00000000">
      <w:pPr>
        <w:pStyle w:val="TOC5"/>
        <w:tabs>
          <w:tab w:val="right" w:leader="underscore" w:pos="9016"/>
        </w:tabs>
        <w:rPr>
          <w:rFonts w:ascii="Arial" w:eastAsiaTheme="minorEastAsia" w:hAnsi="Arial" w:cs="Arial"/>
          <w:noProof/>
          <w:sz w:val="20"/>
          <w:szCs w:val="20"/>
        </w:rPr>
      </w:pPr>
      <w:hyperlink w:anchor="_Toc153137511" w:history="1">
        <w:r w:rsidR="00BE3F4E" w:rsidRPr="00BE3F4E">
          <w:rPr>
            <w:rStyle w:val="Hyperlink"/>
            <w:rFonts w:ascii="Arial" w:eastAsia="Times New Roman" w:hAnsi="Arial" w:cs="Arial"/>
            <w:noProof/>
            <w:sz w:val="20"/>
            <w:szCs w:val="20"/>
          </w:rPr>
          <w:t>AMC1 ML.A.302(c)(9) Aircraft maintenance programme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_Toc153137511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167</w:t>
        </w:r>
        <w:r w:rsidR="00BE3F4E" w:rsidRPr="00BE3F4E">
          <w:rPr>
            <w:rFonts w:ascii="Arial" w:hAnsi="Arial" w:cs="Arial"/>
            <w:noProof/>
            <w:webHidden/>
            <w:sz w:val="20"/>
            <w:szCs w:val="20"/>
          </w:rPr>
          <w:fldChar w:fldCharType="end"/>
        </w:r>
      </w:hyperlink>
    </w:p>
    <w:p w14:paraId="11C6B1A0" w14:textId="74339DFF" w:rsidR="00BE3F4E" w:rsidRPr="00BE3F4E" w:rsidRDefault="00000000">
      <w:pPr>
        <w:pStyle w:val="TOC5"/>
        <w:tabs>
          <w:tab w:val="right" w:leader="underscore" w:pos="9016"/>
        </w:tabs>
        <w:rPr>
          <w:rFonts w:ascii="Arial" w:eastAsiaTheme="minorEastAsia" w:hAnsi="Arial" w:cs="Arial"/>
          <w:noProof/>
          <w:sz w:val="20"/>
          <w:szCs w:val="20"/>
        </w:rPr>
      </w:pPr>
      <w:hyperlink w:anchor="_Toc153137512" w:history="1">
        <w:r w:rsidR="00BE3F4E" w:rsidRPr="00BE3F4E">
          <w:rPr>
            <w:rStyle w:val="Hyperlink"/>
            <w:rFonts w:ascii="Arial" w:eastAsia="Times New Roman" w:hAnsi="Arial" w:cs="Arial"/>
            <w:noProof/>
            <w:sz w:val="20"/>
            <w:szCs w:val="20"/>
          </w:rPr>
          <w:t>GM1 ML.A.302(c)(2)(b) Aircraft maintenance programme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_Toc153137512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168</w:t>
        </w:r>
        <w:r w:rsidR="00BE3F4E" w:rsidRPr="00BE3F4E">
          <w:rPr>
            <w:rFonts w:ascii="Arial" w:hAnsi="Arial" w:cs="Arial"/>
            <w:noProof/>
            <w:webHidden/>
            <w:sz w:val="20"/>
            <w:szCs w:val="20"/>
          </w:rPr>
          <w:fldChar w:fldCharType="end"/>
        </w:r>
      </w:hyperlink>
    </w:p>
    <w:p w14:paraId="0E990219" w14:textId="107775A6" w:rsidR="00BE3F4E" w:rsidRPr="00BE3F4E" w:rsidRDefault="00000000">
      <w:pPr>
        <w:pStyle w:val="TOC5"/>
        <w:tabs>
          <w:tab w:val="right" w:leader="underscore" w:pos="9016"/>
        </w:tabs>
        <w:rPr>
          <w:rFonts w:ascii="Arial" w:eastAsiaTheme="minorEastAsia" w:hAnsi="Arial" w:cs="Arial"/>
          <w:noProof/>
          <w:sz w:val="20"/>
          <w:szCs w:val="20"/>
        </w:rPr>
      </w:pPr>
      <w:hyperlink w:anchor="_Toc153137513" w:history="1">
        <w:r w:rsidR="00BE3F4E" w:rsidRPr="00BE3F4E">
          <w:rPr>
            <w:rStyle w:val="Hyperlink"/>
            <w:rFonts w:ascii="Arial" w:eastAsia="Times New Roman" w:hAnsi="Arial" w:cs="Arial"/>
            <w:noProof/>
            <w:sz w:val="20"/>
            <w:szCs w:val="20"/>
          </w:rPr>
          <w:t>GM1 ML.A.302(c)(3) Aircraft maintenance programme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_Toc153137513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168</w:t>
        </w:r>
        <w:r w:rsidR="00BE3F4E" w:rsidRPr="00BE3F4E">
          <w:rPr>
            <w:rFonts w:ascii="Arial" w:hAnsi="Arial" w:cs="Arial"/>
            <w:noProof/>
            <w:webHidden/>
            <w:sz w:val="20"/>
            <w:szCs w:val="20"/>
          </w:rPr>
          <w:fldChar w:fldCharType="end"/>
        </w:r>
      </w:hyperlink>
    </w:p>
    <w:p w14:paraId="1EF22AB0" w14:textId="788C6EC5" w:rsidR="00BE3F4E" w:rsidRPr="00BE3F4E" w:rsidRDefault="00000000">
      <w:pPr>
        <w:pStyle w:val="TOC5"/>
        <w:tabs>
          <w:tab w:val="right" w:leader="underscore" w:pos="9016"/>
        </w:tabs>
        <w:rPr>
          <w:rFonts w:ascii="Arial" w:eastAsiaTheme="minorEastAsia" w:hAnsi="Arial" w:cs="Arial"/>
          <w:noProof/>
          <w:sz w:val="20"/>
          <w:szCs w:val="20"/>
        </w:rPr>
      </w:pPr>
      <w:hyperlink w:anchor="_Toc153137514" w:history="1">
        <w:r w:rsidR="00BE3F4E" w:rsidRPr="00BE3F4E">
          <w:rPr>
            <w:rStyle w:val="Hyperlink"/>
            <w:rFonts w:ascii="Arial" w:eastAsia="Times New Roman" w:hAnsi="Arial" w:cs="Arial"/>
            <w:noProof/>
            <w:sz w:val="20"/>
            <w:szCs w:val="20"/>
          </w:rPr>
          <w:t>GM1 ML.A.302(c)(4) Aircraft maintenance programme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_Toc153137514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169</w:t>
        </w:r>
        <w:r w:rsidR="00BE3F4E" w:rsidRPr="00BE3F4E">
          <w:rPr>
            <w:rFonts w:ascii="Arial" w:hAnsi="Arial" w:cs="Arial"/>
            <w:noProof/>
            <w:webHidden/>
            <w:sz w:val="20"/>
            <w:szCs w:val="20"/>
          </w:rPr>
          <w:fldChar w:fldCharType="end"/>
        </w:r>
      </w:hyperlink>
    </w:p>
    <w:p w14:paraId="4B5C5EDB" w14:textId="2D8B550F" w:rsidR="00BE3F4E" w:rsidRPr="00BE3F4E" w:rsidRDefault="00000000">
      <w:pPr>
        <w:pStyle w:val="TOC5"/>
        <w:tabs>
          <w:tab w:val="right" w:leader="underscore" w:pos="9016"/>
        </w:tabs>
        <w:rPr>
          <w:rFonts w:ascii="Arial" w:eastAsiaTheme="minorEastAsia" w:hAnsi="Arial" w:cs="Arial"/>
          <w:noProof/>
          <w:sz w:val="20"/>
          <w:szCs w:val="20"/>
        </w:rPr>
      </w:pPr>
      <w:hyperlink w:anchor="_Toc153137515" w:history="1">
        <w:r w:rsidR="00BE3F4E" w:rsidRPr="00BE3F4E">
          <w:rPr>
            <w:rStyle w:val="Hyperlink"/>
            <w:rFonts w:ascii="Arial" w:eastAsia="Times New Roman" w:hAnsi="Arial" w:cs="Arial"/>
            <w:noProof/>
            <w:sz w:val="20"/>
            <w:szCs w:val="20"/>
          </w:rPr>
          <w:t>AMC1 ML.A.302(d) Aircraft maintenance programme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_Toc153137515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169</w:t>
        </w:r>
        <w:r w:rsidR="00BE3F4E" w:rsidRPr="00BE3F4E">
          <w:rPr>
            <w:rFonts w:ascii="Arial" w:hAnsi="Arial" w:cs="Arial"/>
            <w:noProof/>
            <w:webHidden/>
            <w:sz w:val="20"/>
            <w:szCs w:val="20"/>
          </w:rPr>
          <w:fldChar w:fldCharType="end"/>
        </w:r>
      </w:hyperlink>
    </w:p>
    <w:p w14:paraId="31AFC4E3" w14:textId="35154139" w:rsidR="00BE3F4E" w:rsidRPr="00BE3F4E" w:rsidRDefault="00000000">
      <w:pPr>
        <w:pStyle w:val="TOC5"/>
        <w:tabs>
          <w:tab w:val="right" w:leader="underscore" w:pos="9016"/>
        </w:tabs>
        <w:rPr>
          <w:rFonts w:ascii="Arial" w:eastAsiaTheme="minorEastAsia" w:hAnsi="Arial" w:cs="Arial"/>
          <w:noProof/>
          <w:sz w:val="20"/>
          <w:szCs w:val="20"/>
        </w:rPr>
      </w:pPr>
      <w:hyperlink w:anchor="_Toc153137516" w:history="1">
        <w:r w:rsidR="00BE3F4E" w:rsidRPr="00BE3F4E">
          <w:rPr>
            <w:rStyle w:val="Hyperlink"/>
            <w:rFonts w:ascii="Arial" w:eastAsia="Times New Roman" w:hAnsi="Arial" w:cs="Arial"/>
            <w:noProof/>
            <w:sz w:val="20"/>
            <w:szCs w:val="20"/>
          </w:rPr>
          <w:t>GM1 ML.A.302(d)(2) Aircraft maintenance programme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_Toc153137516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176</w:t>
        </w:r>
        <w:r w:rsidR="00BE3F4E" w:rsidRPr="00BE3F4E">
          <w:rPr>
            <w:rFonts w:ascii="Arial" w:hAnsi="Arial" w:cs="Arial"/>
            <w:noProof/>
            <w:webHidden/>
            <w:sz w:val="20"/>
            <w:szCs w:val="20"/>
          </w:rPr>
          <w:fldChar w:fldCharType="end"/>
        </w:r>
      </w:hyperlink>
    </w:p>
    <w:p w14:paraId="3F20FD53" w14:textId="7D0A426A" w:rsidR="00BE3F4E" w:rsidRPr="00BE3F4E" w:rsidRDefault="00000000">
      <w:pPr>
        <w:pStyle w:val="TOC5"/>
        <w:tabs>
          <w:tab w:val="right" w:leader="underscore" w:pos="9016"/>
        </w:tabs>
        <w:rPr>
          <w:rFonts w:ascii="Arial" w:eastAsiaTheme="minorEastAsia" w:hAnsi="Arial" w:cs="Arial"/>
          <w:noProof/>
          <w:sz w:val="20"/>
          <w:szCs w:val="20"/>
        </w:rPr>
      </w:pPr>
      <w:hyperlink w:anchor="_Toc153137517" w:history="1">
        <w:r w:rsidR="00BE3F4E" w:rsidRPr="00BE3F4E">
          <w:rPr>
            <w:rStyle w:val="Hyperlink"/>
            <w:rFonts w:ascii="Arial" w:eastAsia="Times New Roman" w:hAnsi="Arial" w:cs="Arial"/>
            <w:noProof/>
            <w:sz w:val="20"/>
            <w:szCs w:val="20"/>
          </w:rPr>
          <w:t>GM1 ML.A.302(d)(2)(d) Aircraft maintenance programme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_Toc153137517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176</w:t>
        </w:r>
        <w:r w:rsidR="00BE3F4E" w:rsidRPr="00BE3F4E">
          <w:rPr>
            <w:rFonts w:ascii="Arial" w:hAnsi="Arial" w:cs="Arial"/>
            <w:noProof/>
            <w:webHidden/>
            <w:sz w:val="20"/>
            <w:szCs w:val="20"/>
          </w:rPr>
          <w:fldChar w:fldCharType="end"/>
        </w:r>
      </w:hyperlink>
    </w:p>
    <w:p w14:paraId="6FA33037" w14:textId="3C6FDE7D" w:rsidR="00BE3F4E" w:rsidRPr="00BE3F4E" w:rsidRDefault="00000000">
      <w:pPr>
        <w:pStyle w:val="TOC4"/>
        <w:tabs>
          <w:tab w:val="right" w:leader="underscore" w:pos="9016"/>
        </w:tabs>
        <w:rPr>
          <w:rFonts w:ascii="Arial" w:eastAsiaTheme="minorEastAsia" w:hAnsi="Arial" w:cs="Arial"/>
          <w:noProof/>
          <w:sz w:val="20"/>
          <w:szCs w:val="20"/>
        </w:rPr>
      </w:pPr>
      <w:hyperlink w:anchor="_Toc153137518" w:history="1">
        <w:r w:rsidR="00BE3F4E" w:rsidRPr="00BE3F4E">
          <w:rPr>
            <w:rStyle w:val="Hyperlink"/>
            <w:rFonts w:ascii="Arial" w:eastAsia="Times New Roman" w:hAnsi="Arial" w:cs="Arial"/>
            <w:iCs/>
            <w:noProof/>
            <w:sz w:val="20"/>
            <w:szCs w:val="20"/>
          </w:rPr>
          <w:t>ML.A.303 Airworthiness directives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_Toc153137518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176</w:t>
        </w:r>
        <w:r w:rsidR="00BE3F4E" w:rsidRPr="00BE3F4E">
          <w:rPr>
            <w:rFonts w:ascii="Arial" w:hAnsi="Arial" w:cs="Arial"/>
            <w:noProof/>
            <w:webHidden/>
            <w:sz w:val="20"/>
            <w:szCs w:val="20"/>
          </w:rPr>
          <w:fldChar w:fldCharType="end"/>
        </w:r>
      </w:hyperlink>
    </w:p>
    <w:p w14:paraId="627DB0BB" w14:textId="50049378" w:rsidR="00BE3F4E" w:rsidRPr="00BE3F4E" w:rsidRDefault="00000000">
      <w:pPr>
        <w:pStyle w:val="TOC4"/>
        <w:tabs>
          <w:tab w:val="right" w:leader="underscore" w:pos="9016"/>
        </w:tabs>
        <w:rPr>
          <w:rFonts w:ascii="Arial" w:eastAsiaTheme="minorEastAsia" w:hAnsi="Arial" w:cs="Arial"/>
          <w:noProof/>
          <w:sz w:val="20"/>
          <w:szCs w:val="20"/>
        </w:rPr>
      </w:pPr>
      <w:hyperlink w:anchor="_Toc153137519" w:history="1">
        <w:r w:rsidR="00BE3F4E" w:rsidRPr="00BE3F4E">
          <w:rPr>
            <w:rStyle w:val="Hyperlink"/>
            <w:rFonts w:ascii="Arial" w:eastAsia="Times New Roman" w:hAnsi="Arial" w:cs="Arial"/>
            <w:iCs/>
            <w:noProof/>
            <w:sz w:val="20"/>
            <w:szCs w:val="20"/>
          </w:rPr>
          <w:t>ML.A.304 Data for modifications and repairs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_Toc153137519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176</w:t>
        </w:r>
        <w:r w:rsidR="00BE3F4E" w:rsidRPr="00BE3F4E">
          <w:rPr>
            <w:rFonts w:ascii="Arial" w:hAnsi="Arial" w:cs="Arial"/>
            <w:noProof/>
            <w:webHidden/>
            <w:sz w:val="20"/>
            <w:szCs w:val="20"/>
          </w:rPr>
          <w:fldChar w:fldCharType="end"/>
        </w:r>
      </w:hyperlink>
    </w:p>
    <w:p w14:paraId="0AF1CE6D" w14:textId="694CA8A9" w:rsidR="00BE3F4E" w:rsidRPr="00BE3F4E" w:rsidRDefault="00000000">
      <w:pPr>
        <w:pStyle w:val="TOC4"/>
        <w:tabs>
          <w:tab w:val="right" w:leader="underscore" w:pos="9016"/>
        </w:tabs>
        <w:rPr>
          <w:rFonts w:ascii="Arial" w:eastAsiaTheme="minorEastAsia" w:hAnsi="Arial" w:cs="Arial"/>
          <w:noProof/>
          <w:sz w:val="20"/>
          <w:szCs w:val="20"/>
        </w:rPr>
      </w:pPr>
      <w:hyperlink w:anchor="_Toc153137520" w:history="1">
        <w:r w:rsidR="00BE3F4E" w:rsidRPr="00BE3F4E">
          <w:rPr>
            <w:rStyle w:val="Hyperlink"/>
            <w:rFonts w:ascii="Arial" w:eastAsia="Times New Roman" w:hAnsi="Arial" w:cs="Arial"/>
            <w:iCs/>
            <w:noProof/>
            <w:sz w:val="20"/>
            <w:szCs w:val="20"/>
          </w:rPr>
          <w:t>ML.A.305 Aircraft continuing-airworthiness record system</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_Toc153137520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176</w:t>
        </w:r>
        <w:r w:rsidR="00BE3F4E" w:rsidRPr="00BE3F4E">
          <w:rPr>
            <w:rFonts w:ascii="Arial" w:hAnsi="Arial" w:cs="Arial"/>
            <w:noProof/>
            <w:webHidden/>
            <w:sz w:val="20"/>
            <w:szCs w:val="20"/>
          </w:rPr>
          <w:fldChar w:fldCharType="end"/>
        </w:r>
      </w:hyperlink>
    </w:p>
    <w:p w14:paraId="7988F2ED" w14:textId="40EB242F" w:rsidR="00BE3F4E" w:rsidRPr="00BE3F4E" w:rsidRDefault="00000000">
      <w:pPr>
        <w:pStyle w:val="TOC5"/>
        <w:tabs>
          <w:tab w:val="right" w:leader="underscore" w:pos="9016"/>
        </w:tabs>
        <w:rPr>
          <w:rFonts w:ascii="Arial" w:eastAsiaTheme="minorEastAsia" w:hAnsi="Arial" w:cs="Arial"/>
          <w:noProof/>
          <w:sz w:val="20"/>
          <w:szCs w:val="20"/>
        </w:rPr>
      </w:pPr>
      <w:hyperlink w:anchor="_Toc153137521" w:history="1">
        <w:r w:rsidR="00BE3F4E" w:rsidRPr="00BE3F4E">
          <w:rPr>
            <w:rStyle w:val="Hyperlink"/>
            <w:rFonts w:ascii="Arial" w:eastAsia="Times New Roman" w:hAnsi="Arial" w:cs="Arial"/>
            <w:noProof/>
            <w:sz w:val="20"/>
            <w:szCs w:val="20"/>
          </w:rPr>
          <w:t>AMC1 ML.A.305 Aircraft continuing-airworthiness record system</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_Toc153137521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178</w:t>
        </w:r>
        <w:r w:rsidR="00BE3F4E" w:rsidRPr="00BE3F4E">
          <w:rPr>
            <w:rFonts w:ascii="Arial" w:hAnsi="Arial" w:cs="Arial"/>
            <w:noProof/>
            <w:webHidden/>
            <w:sz w:val="20"/>
            <w:szCs w:val="20"/>
          </w:rPr>
          <w:fldChar w:fldCharType="end"/>
        </w:r>
      </w:hyperlink>
    </w:p>
    <w:p w14:paraId="15DC6B4E" w14:textId="5235E909" w:rsidR="00BE3F4E" w:rsidRPr="00BE3F4E" w:rsidRDefault="00000000">
      <w:pPr>
        <w:pStyle w:val="TOC4"/>
        <w:tabs>
          <w:tab w:val="right" w:leader="underscore" w:pos="9016"/>
        </w:tabs>
        <w:rPr>
          <w:rFonts w:ascii="Arial" w:eastAsiaTheme="minorEastAsia" w:hAnsi="Arial" w:cs="Arial"/>
          <w:noProof/>
          <w:sz w:val="20"/>
          <w:szCs w:val="20"/>
        </w:rPr>
      </w:pPr>
      <w:hyperlink w:anchor="_Toc153137522" w:history="1">
        <w:r w:rsidR="00BE3F4E" w:rsidRPr="00BE3F4E">
          <w:rPr>
            <w:rStyle w:val="Hyperlink"/>
            <w:rFonts w:ascii="Arial" w:eastAsia="Times New Roman" w:hAnsi="Arial" w:cs="Arial"/>
            <w:iCs/>
            <w:noProof/>
            <w:sz w:val="20"/>
            <w:szCs w:val="20"/>
          </w:rPr>
          <w:t>ML.A.307 Transfer of aircraft continuing-airworthiness records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_Toc153137522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178</w:t>
        </w:r>
        <w:r w:rsidR="00BE3F4E" w:rsidRPr="00BE3F4E">
          <w:rPr>
            <w:rFonts w:ascii="Arial" w:hAnsi="Arial" w:cs="Arial"/>
            <w:noProof/>
            <w:webHidden/>
            <w:sz w:val="20"/>
            <w:szCs w:val="20"/>
          </w:rPr>
          <w:fldChar w:fldCharType="end"/>
        </w:r>
      </w:hyperlink>
    </w:p>
    <w:p w14:paraId="440D56E4" w14:textId="3AA321AA" w:rsidR="00BE3F4E" w:rsidRPr="00BE3F4E" w:rsidRDefault="00000000">
      <w:pPr>
        <w:pStyle w:val="TOC3"/>
        <w:tabs>
          <w:tab w:val="right" w:leader="underscore" w:pos="9016"/>
        </w:tabs>
        <w:rPr>
          <w:rFonts w:ascii="Arial" w:eastAsiaTheme="minorEastAsia" w:hAnsi="Arial" w:cs="Arial"/>
          <w:b w:val="0"/>
          <w:bCs w:val="0"/>
          <w:noProof/>
          <w:sz w:val="20"/>
          <w:szCs w:val="20"/>
        </w:rPr>
      </w:pPr>
      <w:hyperlink w:anchor="_Toc153137523" w:history="1">
        <w:r w:rsidR="00BE3F4E" w:rsidRPr="00BE3F4E">
          <w:rPr>
            <w:rStyle w:val="Hyperlink"/>
            <w:rFonts w:ascii="Arial" w:eastAsiaTheme="majorEastAsia" w:hAnsi="Arial" w:cs="Arial"/>
            <w:b w:val="0"/>
            <w:bCs w:val="0"/>
            <w:noProof/>
            <w:sz w:val="20"/>
            <w:szCs w:val="20"/>
          </w:rPr>
          <w:t>SUBPART D — MAINTENANCE STANDARDS</w:t>
        </w:r>
        <w:r w:rsidR="00BE3F4E" w:rsidRPr="00BE3F4E">
          <w:rPr>
            <w:rFonts w:ascii="Arial" w:hAnsi="Arial" w:cs="Arial"/>
            <w:b w:val="0"/>
            <w:bCs w:val="0"/>
            <w:noProof/>
            <w:webHidden/>
            <w:sz w:val="20"/>
            <w:szCs w:val="20"/>
          </w:rPr>
          <w:tab/>
        </w:r>
        <w:r w:rsidR="00BE3F4E" w:rsidRPr="00BE3F4E">
          <w:rPr>
            <w:rFonts w:ascii="Arial" w:hAnsi="Arial" w:cs="Arial"/>
            <w:b w:val="0"/>
            <w:bCs w:val="0"/>
            <w:noProof/>
            <w:webHidden/>
            <w:sz w:val="20"/>
            <w:szCs w:val="20"/>
          </w:rPr>
          <w:fldChar w:fldCharType="begin"/>
        </w:r>
        <w:r w:rsidR="00BE3F4E" w:rsidRPr="00BE3F4E">
          <w:rPr>
            <w:rFonts w:ascii="Arial" w:hAnsi="Arial" w:cs="Arial"/>
            <w:b w:val="0"/>
            <w:bCs w:val="0"/>
            <w:noProof/>
            <w:webHidden/>
            <w:sz w:val="20"/>
            <w:szCs w:val="20"/>
          </w:rPr>
          <w:instrText xml:space="preserve"> PAGEREF _Toc153137523 \h </w:instrText>
        </w:r>
        <w:r w:rsidR="00BE3F4E" w:rsidRPr="00BE3F4E">
          <w:rPr>
            <w:rFonts w:ascii="Arial" w:hAnsi="Arial" w:cs="Arial"/>
            <w:b w:val="0"/>
            <w:bCs w:val="0"/>
            <w:noProof/>
            <w:webHidden/>
            <w:sz w:val="20"/>
            <w:szCs w:val="20"/>
          </w:rPr>
        </w:r>
        <w:r w:rsidR="00BE3F4E" w:rsidRPr="00BE3F4E">
          <w:rPr>
            <w:rFonts w:ascii="Arial" w:hAnsi="Arial" w:cs="Arial"/>
            <w:b w:val="0"/>
            <w:bCs w:val="0"/>
            <w:noProof/>
            <w:webHidden/>
            <w:sz w:val="20"/>
            <w:szCs w:val="20"/>
          </w:rPr>
          <w:fldChar w:fldCharType="separate"/>
        </w:r>
        <w:r w:rsidR="006A7538">
          <w:rPr>
            <w:rFonts w:ascii="Arial" w:hAnsi="Arial" w:cs="Arial"/>
            <w:b w:val="0"/>
            <w:bCs w:val="0"/>
            <w:noProof/>
            <w:webHidden/>
            <w:sz w:val="20"/>
            <w:szCs w:val="20"/>
          </w:rPr>
          <w:t>179</w:t>
        </w:r>
        <w:r w:rsidR="00BE3F4E" w:rsidRPr="00BE3F4E">
          <w:rPr>
            <w:rFonts w:ascii="Arial" w:hAnsi="Arial" w:cs="Arial"/>
            <w:b w:val="0"/>
            <w:bCs w:val="0"/>
            <w:noProof/>
            <w:webHidden/>
            <w:sz w:val="20"/>
            <w:szCs w:val="20"/>
          </w:rPr>
          <w:fldChar w:fldCharType="end"/>
        </w:r>
      </w:hyperlink>
    </w:p>
    <w:p w14:paraId="4ECB5493" w14:textId="3FD11AE5" w:rsidR="00BE3F4E" w:rsidRPr="00BE3F4E" w:rsidRDefault="00000000">
      <w:pPr>
        <w:pStyle w:val="TOC4"/>
        <w:tabs>
          <w:tab w:val="right" w:leader="underscore" w:pos="9016"/>
        </w:tabs>
        <w:rPr>
          <w:rFonts w:ascii="Arial" w:eastAsiaTheme="minorEastAsia" w:hAnsi="Arial" w:cs="Arial"/>
          <w:noProof/>
          <w:sz w:val="20"/>
          <w:szCs w:val="20"/>
        </w:rPr>
      </w:pPr>
      <w:hyperlink w:anchor="_Toc153137524" w:history="1">
        <w:r w:rsidR="00BE3F4E" w:rsidRPr="00BE3F4E">
          <w:rPr>
            <w:rStyle w:val="Hyperlink"/>
            <w:rFonts w:ascii="Arial" w:eastAsia="Times New Roman" w:hAnsi="Arial" w:cs="Arial"/>
            <w:iCs/>
            <w:noProof/>
            <w:sz w:val="20"/>
            <w:szCs w:val="20"/>
          </w:rPr>
          <w:t>ML.A.401 Maintenance data</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_Toc153137524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179</w:t>
        </w:r>
        <w:r w:rsidR="00BE3F4E" w:rsidRPr="00BE3F4E">
          <w:rPr>
            <w:rFonts w:ascii="Arial" w:hAnsi="Arial" w:cs="Arial"/>
            <w:noProof/>
            <w:webHidden/>
            <w:sz w:val="20"/>
            <w:szCs w:val="20"/>
          </w:rPr>
          <w:fldChar w:fldCharType="end"/>
        </w:r>
      </w:hyperlink>
    </w:p>
    <w:p w14:paraId="69786CE2" w14:textId="5AF82457" w:rsidR="00BE3F4E" w:rsidRPr="00BE3F4E" w:rsidRDefault="00000000">
      <w:pPr>
        <w:pStyle w:val="TOC4"/>
        <w:tabs>
          <w:tab w:val="right" w:leader="underscore" w:pos="9016"/>
        </w:tabs>
        <w:rPr>
          <w:rFonts w:ascii="Arial" w:eastAsiaTheme="minorEastAsia" w:hAnsi="Arial" w:cs="Arial"/>
          <w:noProof/>
          <w:sz w:val="20"/>
          <w:szCs w:val="20"/>
        </w:rPr>
      </w:pPr>
      <w:hyperlink w:anchor="_Toc153137525" w:history="1">
        <w:r w:rsidR="00BE3F4E" w:rsidRPr="00BE3F4E">
          <w:rPr>
            <w:rStyle w:val="Hyperlink"/>
            <w:rFonts w:ascii="Arial" w:eastAsia="Times New Roman" w:hAnsi="Arial" w:cs="Arial"/>
            <w:iCs/>
            <w:noProof/>
            <w:sz w:val="20"/>
            <w:szCs w:val="20"/>
          </w:rPr>
          <w:t>ML.A.402 Performance of maintenance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_Toc153137525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179</w:t>
        </w:r>
        <w:r w:rsidR="00BE3F4E" w:rsidRPr="00BE3F4E">
          <w:rPr>
            <w:rFonts w:ascii="Arial" w:hAnsi="Arial" w:cs="Arial"/>
            <w:noProof/>
            <w:webHidden/>
            <w:sz w:val="20"/>
            <w:szCs w:val="20"/>
          </w:rPr>
          <w:fldChar w:fldCharType="end"/>
        </w:r>
      </w:hyperlink>
    </w:p>
    <w:p w14:paraId="4BF60001" w14:textId="46046912" w:rsidR="00BE3F4E" w:rsidRPr="00BE3F4E" w:rsidRDefault="00000000">
      <w:pPr>
        <w:pStyle w:val="TOC5"/>
        <w:tabs>
          <w:tab w:val="right" w:leader="underscore" w:pos="9016"/>
        </w:tabs>
        <w:rPr>
          <w:rFonts w:ascii="Arial" w:eastAsiaTheme="minorEastAsia" w:hAnsi="Arial" w:cs="Arial"/>
          <w:noProof/>
          <w:sz w:val="20"/>
          <w:szCs w:val="20"/>
        </w:rPr>
      </w:pPr>
      <w:hyperlink w:anchor="_Toc153137526" w:history="1">
        <w:r w:rsidR="00BE3F4E" w:rsidRPr="00BE3F4E">
          <w:rPr>
            <w:rStyle w:val="Hyperlink"/>
            <w:rFonts w:ascii="Arial" w:eastAsia="Times New Roman" w:hAnsi="Arial" w:cs="Arial"/>
            <w:noProof/>
            <w:sz w:val="20"/>
            <w:szCs w:val="20"/>
          </w:rPr>
          <w:t>AMC1 ML.A.402 Performance of maintenance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_Toc153137526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179</w:t>
        </w:r>
        <w:r w:rsidR="00BE3F4E" w:rsidRPr="00BE3F4E">
          <w:rPr>
            <w:rFonts w:ascii="Arial" w:hAnsi="Arial" w:cs="Arial"/>
            <w:noProof/>
            <w:webHidden/>
            <w:sz w:val="20"/>
            <w:szCs w:val="20"/>
          </w:rPr>
          <w:fldChar w:fldCharType="end"/>
        </w:r>
      </w:hyperlink>
    </w:p>
    <w:p w14:paraId="376B0167" w14:textId="4F4E35E0" w:rsidR="00BE3F4E" w:rsidRPr="00BE3F4E" w:rsidRDefault="00000000">
      <w:pPr>
        <w:pStyle w:val="TOC5"/>
        <w:tabs>
          <w:tab w:val="right" w:leader="underscore" w:pos="9016"/>
        </w:tabs>
        <w:rPr>
          <w:rFonts w:ascii="Arial" w:eastAsiaTheme="minorEastAsia" w:hAnsi="Arial" w:cs="Arial"/>
          <w:noProof/>
          <w:sz w:val="20"/>
          <w:szCs w:val="20"/>
        </w:rPr>
      </w:pPr>
      <w:hyperlink w:anchor="_Toc153137527" w:history="1">
        <w:r w:rsidR="00BE3F4E" w:rsidRPr="00BE3F4E">
          <w:rPr>
            <w:rStyle w:val="Hyperlink"/>
            <w:rFonts w:ascii="Arial" w:eastAsia="Times New Roman" w:hAnsi="Arial" w:cs="Arial"/>
            <w:noProof/>
            <w:sz w:val="20"/>
            <w:szCs w:val="20"/>
          </w:rPr>
          <w:t>AMC1 ML.A.402(b)(7) Performance of maintenance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_Toc153137527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179</w:t>
        </w:r>
        <w:r w:rsidR="00BE3F4E" w:rsidRPr="00BE3F4E">
          <w:rPr>
            <w:rFonts w:ascii="Arial" w:hAnsi="Arial" w:cs="Arial"/>
            <w:noProof/>
            <w:webHidden/>
            <w:sz w:val="20"/>
            <w:szCs w:val="20"/>
          </w:rPr>
          <w:fldChar w:fldCharType="end"/>
        </w:r>
      </w:hyperlink>
    </w:p>
    <w:p w14:paraId="1F219A7F" w14:textId="6EC0A498" w:rsidR="00BE3F4E" w:rsidRPr="00BE3F4E" w:rsidRDefault="00000000">
      <w:pPr>
        <w:pStyle w:val="TOC5"/>
        <w:tabs>
          <w:tab w:val="right" w:leader="underscore" w:pos="9016"/>
        </w:tabs>
        <w:rPr>
          <w:rFonts w:ascii="Arial" w:eastAsiaTheme="minorEastAsia" w:hAnsi="Arial" w:cs="Arial"/>
          <w:noProof/>
          <w:sz w:val="20"/>
          <w:szCs w:val="20"/>
        </w:rPr>
      </w:pPr>
      <w:hyperlink w:anchor="_Toc153137528" w:history="1">
        <w:r w:rsidR="00BE3F4E" w:rsidRPr="00BE3F4E">
          <w:rPr>
            <w:rStyle w:val="Hyperlink"/>
            <w:rFonts w:ascii="Arial" w:eastAsia="Times New Roman" w:hAnsi="Arial" w:cs="Arial"/>
            <w:noProof/>
            <w:sz w:val="20"/>
            <w:szCs w:val="20"/>
          </w:rPr>
          <w:t>AMC1 ML.A.402(b)(8) Performance of maintenance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_Toc153137528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180</w:t>
        </w:r>
        <w:r w:rsidR="00BE3F4E" w:rsidRPr="00BE3F4E">
          <w:rPr>
            <w:rFonts w:ascii="Arial" w:hAnsi="Arial" w:cs="Arial"/>
            <w:noProof/>
            <w:webHidden/>
            <w:sz w:val="20"/>
            <w:szCs w:val="20"/>
          </w:rPr>
          <w:fldChar w:fldCharType="end"/>
        </w:r>
      </w:hyperlink>
    </w:p>
    <w:p w14:paraId="6730B7F3" w14:textId="4E602DFC" w:rsidR="00BE3F4E" w:rsidRPr="00BE3F4E" w:rsidRDefault="00000000">
      <w:pPr>
        <w:pStyle w:val="TOC5"/>
        <w:tabs>
          <w:tab w:val="right" w:leader="underscore" w:pos="9016"/>
        </w:tabs>
        <w:rPr>
          <w:rFonts w:ascii="Arial" w:eastAsiaTheme="minorEastAsia" w:hAnsi="Arial" w:cs="Arial"/>
          <w:noProof/>
          <w:sz w:val="20"/>
          <w:szCs w:val="20"/>
        </w:rPr>
      </w:pPr>
      <w:hyperlink w:anchor="_Toc153137529" w:history="1">
        <w:r w:rsidR="00BE3F4E" w:rsidRPr="00BE3F4E">
          <w:rPr>
            <w:rStyle w:val="Hyperlink"/>
            <w:rFonts w:ascii="Arial" w:eastAsia="Times New Roman" w:hAnsi="Arial" w:cs="Arial"/>
            <w:noProof/>
            <w:sz w:val="20"/>
            <w:szCs w:val="20"/>
          </w:rPr>
          <w:t>AMC2 ML.A.402(b)(8) Performance of maintenance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_Toc153137529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180</w:t>
        </w:r>
        <w:r w:rsidR="00BE3F4E" w:rsidRPr="00BE3F4E">
          <w:rPr>
            <w:rFonts w:ascii="Arial" w:hAnsi="Arial" w:cs="Arial"/>
            <w:noProof/>
            <w:webHidden/>
            <w:sz w:val="20"/>
            <w:szCs w:val="20"/>
          </w:rPr>
          <w:fldChar w:fldCharType="end"/>
        </w:r>
      </w:hyperlink>
    </w:p>
    <w:p w14:paraId="530DDFDC" w14:textId="1E12FF6E" w:rsidR="00BE3F4E" w:rsidRPr="00BE3F4E" w:rsidRDefault="00000000">
      <w:pPr>
        <w:pStyle w:val="TOC4"/>
        <w:tabs>
          <w:tab w:val="right" w:leader="underscore" w:pos="9016"/>
        </w:tabs>
        <w:rPr>
          <w:rFonts w:ascii="Arial" w:eastAsiaTheme="minorEastAsia" w:hAnsi="Arial" w:cs="Arial"/>
          <w:noProof/>
          <w:sz w:val="20"/>
          <w:szCs w:val="20"/>
        </w:rPr>
      </w:pPr>
      <w:hyperlink w:anchor="_Toc153137530" w:history="1">
        <w:r w:rsidR="00BE3F4E" w:rsidRPr="00BE3F4E">
          <w:rPr>
            <w:rStyle w:val="Hyperlink"/>
            <w:rFonts w:ascii="Arial" w:eastAsia="Times New Roman" w:hAnsi="Arial" w:cs="Arial"/>
            <w:iCs/>
            <w:noProof/>
            <w:sz w:val="20"/>
            <w:szCs w:val="20"/>
          </w:rPr>
          <w:t>ML.A.403 Aircraft defects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_Toc153137530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180</w:t>
        </w:r>
        <w:r w:rsidR="00BE3F4E" w:rsidRPr="00BE3F4E">
          <w:rPr>
            <w:rFonts w:ascii="Arial" w:hAnsi="Arial" w:cs="Arial"/>
            <w:noProof/>
            <w:webHidden/>
            <w:sz w:val="20"/>
            <w:szCs w:val="20"/>
          </w:rPr>
          <w:fldChar w:fldCharType="end"/>
        </w:r>
      </w:hyperlink>
    </w:p>
    <w:p w14:paraId="5651DB0E" w14:textId="32A76D45" w:rsidR="00BE3F4E" w:rsidRPr="00BE3F4E" w:rsidRDefault="00000000">
      <w:pPr>
        <w:pStyle w:val="TOC5"/>
        <w:tabs>
          <w:tab w:val="right" w:leader="underscore" w:pos="9016"/>
        </w:tabs>
        <w:rPr>
          <w:rFonts w:ascii="Arial" w:eastAsiaTheme="minorEastAsia" w:hAnsi="Arial" w:cs="Arial"/>
          <w:noProof/>
          <w:sz w:val="20"/>
          <w:szCs w:val="20"/>
        </w:rPr>
      </w:pPr>
      <w:hyperlink w:anchor="_Toc153137531" w:history="1">
        <w:r w:rsidR="00BE3F4E" w:rsidRPr="00BE3F4E">
          <w:rPr>
            <w:rStyle w:val="Hyperlink"/>
            <w:rFonts w:ascii="Arial" w:eastAsia="Times New Roman" w:hAnsi="Arial" w:cs="Arial"/>
            <w:noProof/>
            <w:sz w:val="20"/>
            <w:szCs w:val="20"/>
          </w:rPr>
          <w:t>AMC1 ML.A.403 Aircraft defects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_Toc153137531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180</w:t>
        </w:r>
        <w:r w:rsidR="00BE3F4E" w:rsidRPr="00BE3F4E">
          <w:rPr>
            <w:rFonts w:ascii="Arial" w:hAnsi="Arial" w:cs="Arial"/>
            <w:noProof/>
            <w:webHidden/>
            <w:sz w:val="20"/>
            <w:szCs w:val="20"/>
          </w:rPr>
          <w:fldChar w:fldCharType="end"/>
        </w:r>
      </w:hyperlink>
    </w:p>
    <w:p w14:paraId="1D4D83A7" w14:textId="13374E2B" w:rsidR="00BE3F4E" w:rsidRPr="00BE3F4E" w:rsidRDefault="00000000">
      <w:pPr>
        <w:pStyle w:val="TOC5"/>
        <w:tabs>
          <w:tab w:val="right" w:leader="underscore" w:pos="9016"/>
        </w:tabs>
        <w:rPr>
          <w:rFonts w:ascii="Arial" w:eastAsiaTheme="minorEastAsia" w:hAnsi="Arial" w:cs="Arial"/>
          <w:noProof/>
          <w:sz w:val="20"/>
          <w:szCs w:val="20"/>
        </w:rPr>
      </w:pPr>
      <w:hyperlink w:anchor="_Toc153137532" w:history="1">
        <w:r w:rsidR="00BE3F4E" w:rsidRPr="00BE3F4E">
          <w:rPr>
            <w:rStyle w:val="Hyperlink"/>
            <w:rFonts w:ascii="Arial" w:eastAsia="Times New Roman" w:hAnsi="Arial" w:cs="Arial"/>
            <w:noProof/>
            <w:sz w:val="20"/>
            <w:szCs w:val="20"/>
          </w:rPr>
          <w:t>GM1 ML.A.403 Aircraft defects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_Toc153137532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180</w:t>
        </w:r>
        <w:r w:rsidR="00BE3F4E" w:rsidRPr="00BE3F4E">
          <w:rPr>
            <w:rFonts w:ascii="Arial" w:hAnsi="Arial" w:cs="Arial"/>
            <w:noProof/>
            <w:webHidden/>
            <w:sz w:val="20"/>
            <w:szCs w:val="20"/>
          </w:rPr>
          <w:fldChar w:fldCharType="end"/>
        </w:r>
      </w:hyperlink>
    </w:p>
    <w:p w14:paraId="41C04FCC" w14:textId="688D5CD5" w:rsidR="00BE3F4E" w:rsidRPr="00BE3F4E" w:rsidRDefault="00000000">
      <w:pPr>
        <w:pStyle w:val="TOC5"/>
        <w:tabs>
          <w:tab w:val="right" w:leader="underscore" w:pos="9016"/>
        </w:tabs>
        <w:rPr>
          <w:rFonts w:ascii="Arial" w:eastAsiaTheme="minorEastAsia" w:hAnsi="Arial" w:cs="Arial"/>
          <w:noProof/>
          <w:sz w:val="20"/>
          <w:szCs w:val="20"/>
        </w:rPr>
      </w:pPr>
      <w:hyperlink w:anchor="_Toc153137533" w:history="1">
        <w:r w:rsidR="00BE3F4E" w:rsidRPr="00BE3F4E">
          <w:rPr>
            <w:rStyle w:val="Hyperlink"/>
            <w:rFonts w:ascii="Arial" w:eastAsia="Times New Roman" w:hAnsi="Arial" w:cs="Arial"/>
            <w:noProof/>
            <w:sz w:val="20"/>
            <w:szCs w:val="20"/>
          </w:rPr>
          <w:t>AMC1 ML.A.403(d) Aircraft defects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_Toc153137533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181</w:t>
        </w:r>
        <w:r w:rsidR="00BE3F4E" w:rsidRPr="00BE3F4E">
          <w:rPr>
            <w:rFonts w:ascii="Arial" w:hAnsi="Arial" w:cs="Arial"/>
            <w:noProof/>
            <w:webHidden/>
            <w:sz w:val="20"/>
            <w:szCs w:val="20"/>
          </w:rPr>
          <w:fldChar w:fldCharType="end"/>
        </w:r>
      </w:hyperlink>
    </w:p>
    <w:p w14:paraId="09C20C72" w14:textId="3D28C1D6" w:rsidR="00BE3F4E" w:rsidRPr="00BE3F4E" w:rsidRDefault="00000000">
      <w:pPr>
        <w:pStyle w:val="TOC3"/>
        <w:tabs>
          <w:tab w:val="right" w:leader="underscore" w:pos="9016"/>
        </w:tabs>
        <w:rPr>
          <w:rFonts w:ascii="Arial" w:eastAsiaTheme="minorEastAsia" w:hAnsi="Arial" w:cs="Arial"/>
          <w:b w:val="0"/>
          <w:bCs w:val="0"/>
          <w:noProof/>
          <w:sz w:val="20"/>
          <w:szCs w:val="20"/>
        </w:rPr>
      </w:pPr>
      <w:hyperlink w:anchor="_Toc153137534" w:history="1">
        <w:r w:rsidR="00BE3F4E" w:rsidRPr="00BE3F4E">
          <w:rPr>
            <w:rStyle w:val="Hyperlink"/>
            <w:rFonts w:ascii="Arial" w:eastAsiaTheme="majorEastAsia" w:hAnsi="Arial" w:cs="Arial"/>
            <w:b w:val="0"/>
            <w:bCs w:val="0"/>
            <w:noProof/>
            <w:sz w:val="20"/>
            <w:szCs w:val="20"/>
          </w:rPr>
          <w:t>SUBPART E — COMPONENTS</w:t>
        </w:r>
        <w:r w:rsidR="00BE3F4E" w:rsidRPr="00BE3F4E">
          <w:rPr>
            <w:rFonts w:ascii="Arial" w:hAnsi="Arial" w:cs="Arial"/>
            <w:b w:val="0"/>
            <w:bCs w:val="0"/>
            <w:noProof/>
            <w:webHidden/>
            <w:sz w:val="20"/>
            <w:szCs w:val="20"/>
          </w:rPr>
          <w:tab/>
        </w:r>
        <w:r w:rsidR="00BE3F4E" w:rsidRPr="00BE3F4E">
          <w:rPr>
            <w:rFonts w:ascii="Arial" w:hAnsi="Arial" w:cs="Arial"/>
            <w:b w:val="0"/>
            <w:bCs w:val="0"/>
            <w:noProof/>
            <w:webHidden/>
            <w:sz w:val="20"/>
            <w:szCs w:val="20"/>
          </w:rPr>
          <w:fldChar w:fldCharType="begin"/>
        </w:r>
        <w:r w:rsidR="00BE3F4E" w:rsidRPr="00BE3F4E">
          <w:rPr>
            <w:rFonts w:ascii="Arial" w:hAnsi="Arial" w:cs="Arial"/>
            <w:b w:val="0"/>
            <w:bCs w:val="0"/>
            <w:noProof/>
            <w:webHidden/>
            <w:sz w:val="20"/>
            <w:szCs w:val="20"/>
          </w:rPr>
          <w:instrText xml:space="preserve"> PAGEREF _Toc153137534 \h </w:instrText>
        </w:r>
        <w:r w:rsidR="00BE3F4E" w:rsidRPr="00BE3F4E">
          <w:rPr>
            <w:rFonts w:ascii="Arial" w:hAnsi="Arial" w:cs="Arial"/>
            <w:b w:val="0"/>
            <w:bCs w:val="0"/>
            <w:noProof/>
            <w:webHidden/>
            <w:sz w:val="20"/>
            <w:szCs w:val="20"/>
          </w:rPr>
        </w:r>
        <w:r w:rsidR="00BE3F4E" w:rsidRPr="00BE3F4E">
          <w:rPr>
            <w:rFonts w:ascii="Arial" w:hAnsi="Arial" w:cs="Arial"/>
            <w:b w:val="0"/>
            <w:bCs w:val="0"/>
            <w:noProof/>
            <w:webHidden/>
            <w:sz w:val="20"/>
            <w:szCs w:val="20"/>
          </w:rPr>
          <w:fldChar w:fldCharType="separate"/>
        </w:r>
        <w:r w:rsidR="006A7538">
          <w:rPr>
            <w:rFonts w:ascii="Arial" w:hAnsi="Arial" w:cs="Arial"/>
            <w:b w:val="0"/>
            <w:bCs w:val="0"/>
            <w:noProof/>
            <w:webHidden/>
            <w:sz w:val="20"/>
            <w:szCs w:val="20"/>
          </w:rPr>
          <w:t>182</w:t>
        </w:r>
        <w:r w:rsidR="00BE3F4E" w:rsidRPr="00BE3F4E">
          <w:rPr>
            <w:rFonts w:ascii="Arial" w:hAnsi="Arial" w:cs="Arial"/>
            <w:b w:val="0"/>
            <w:bCs w:val="0"/>
            <w:noProof/>
            <w:webHidden/>
            <w:sz w:val="20"/>
            <w:szCs w:val="20"/>
          </w:rPr>
          <w:fldChar w:fldCharType="end"/>
        </w:r>
      </w:hyperlink>
    </w:p>
    <w:p w14:paraId="746421E4" w14:textId="3EF2D7E3" w:rsidR="00BE3F4E" w:rsidRPr="00BE3F4E" w:rsidRDefault="00000000">
      <w:pPr>
        <w:pStyle w:val="TOC4"/>
        <w:tabs>
          <w:tab w:val="right" w:leader="underscore" w:pos="9016"/>
        </w:tabs>
        <w:rPr>
          <w:rFonts w:ascii="Arial" w:eastAsiaTheme="minorEastAsia" w:hAnsi="Arial" w:cs="Arial"/>
          <w:noProof/>
          <w:sz w:val="20"/>
          <w:szCs w:val="20"/>
        </w:rPr>
      </w:pPr>
      <w:hyperlink w:anchor="_Toc153137535" w:history="1">
        <w:r w:rsidR="00BE3F4E" w:rsidRPr="00BE3F4E">
          <w:rPr>
            <w:rStyle w:val="Hyperlink"/>
            <w:rFonts w:ascii="Arial" w:eastAsia="Times New Roman" w:hAnsi="Arial" w:cs="Arial"/>
            <w:iCs/>
            <w:noProof/>
            <w:sz w:val="20"/>
            <w:szCs w:val="20"/>
          </w:rPr>
          <w:t>ML.A.501 Classification and installation</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_Toc153137535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182</w:t>
        </w:r>
        <w:r w:rsidR="00BE3F4E" w:rsidRPr="00BE3F4E">
          <w:rPr>
            <w:rFonts w:ascii="Arial" w:hAnsi="Arial" w:cs="Arial"/>
            <w:noProof/>
            <w:webHidden/>
            <w:sz w:val="20"/>
            <w:szCs w:val="20"/>
          </w:rPr>
          <w:fldChar w:fldCharType="end"/>
        </w:r>
      </w:hyperlink>
    </w:p>
    <w:p w14:paraId="407515AC" w14:textId="10955EB3" w:rsidR="00BE3F4E" w:rsidRPr="00BE3F4E" w:rsidRDefault="00000000">
      <w:pPr>
        <w:pStyle w:val="TOC5"/>
        <w:tabs>
          <w:tab w:val="right" w:leader="underscore" w:pos="9016"/>
        </w:tabs>
        <w:rPr>
          <w:rFonts w:ascii="Arial" w:eastAsiaTheme="minorEastAsia" w:hAnsi="Arial" w:cs="Arial"/>
          <w:noProof/>
          <w:sz w:val="20"/>
          <w:szCs w:val="20"/>
        </w:rPr>
      </w:pPr>
      <w:hyperlink w:anchor="_Toc153137536" w:history="1">
        <w:r w:rsidR="00BE3F4E" w:rsidRPr="00BE3F4E">
          <w:rPr>
            <w:rStyle w:val="Hyperlink"/>
            <w:rFonts w:ascii="Arial" w:eastAsia="Times New Roman" w:hAnsi="Arial" w:cs="Arial"/>
            <w:noProof/>
            <w:sz w:val="20"/>
            <w:szCs w:val="20"/>
          </w:rPr>
          <w:t>GM1 ML.A.501 Classification and installation</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_Toc153137536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182</w:t>
        </w:r>
        <w:r w:rsidR="00BE3F4E" w:rsidRPr="00BE3F4E">
          <w:rPr>
            <w:rFonts w:ascii="Arial" w:hAnsi="Arial" w:cs="Arial"/>
            <w:noProof/>
            <w:webHidden/>
            <w:sz w:val="20"/>
            <w:szCs w:val="20"/>
          </w:rPr>
          <w:fldChar w:fldCharType="end"/>
        </w:r>
      </w:hyperlink>
    </w:p>
    <w:p w14:paraId="66CD4C69" w14:textId="42DBF03E" w:rsidR="00BE3F4E" w:rsidRPr="00BE3F4E" w:rsidRDefault="00000000">
      <w:pPr>
        <w:pStyle w:val="TOC5"/>
        <w:tabs>
          <w:tab w:val="right" w:leader="underscore" w:pos="9016"/>
        </w:tabs>
        <w:rPr>
          <w:rFonts w:ascii="Arial" w:eastAsiaTheme="minorEastAsia" w:hAnsi="Arial" w:cs="Arial"/>
          <w:noProof/>
          <w:sz w:val="20"/>
          <w:szCs w:val="20"/>
        </w:rPr>
      </w:pPr>
      <w:hyperlink w:anchor="_Toc153137537" w:history="1">
        <w:r w:rsidR="00BE3F4E" w:rsidRPr="00BE3F4E">
          <w:rPr>
            <w:rStyle w:val="Hyperlink"/>
            <w:rFonts w:ascii="Arial" w:eastAsia="Times New Roman" w:hAnsi="Arial" w:cs="Arial"/>
            <w:noProof/>
            <w:sz w:val="20"/>
            <w:szCs w:val="20"/>
          </w:rPr>
          <w:t>AMC1 ML.A.501(a)(ii) Classification and installation</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_Toc153137537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182</w:t>
        </w:r>
        <w:r w:rsidR="00BE3F4E" w:rsidRPr="00BE3F4E">
          <w:rPr>
            <w:rFonts w:ascii="Arial" w:hAnsi="Arial" w:cs="Arial"/>
            <w:noProof/>
            <w:webHidden/>
            <w:sz w:val="20"/>
            <w:szCs w:val="20"/>
          </w:rPr>
          <w:fldChar w:fldCharType="end"/>
        </w:r>
      </w:hyperlink>
    </w:p>
    <w:p w14:paraId="6CF94BAE" w14:textId="2C852CA1" w:rsidR="00BE3F4E" w:rsidRPr="00BE3F4E" w:rsidRDefault="00000000">
      <w:pPr>
        <w:pStyle w:val="TOC5"/>
        <w:tabs>
          <w:tab w:val="right" w:leader="underscore" w:pos="9016"/>
        </w:tabs>
        <w:rPr>
          <w:rFonts w:ascii="Arial" w:eastAsiaTheme="minorEastAsia" w:hAnsi="Arial" w:cs="Arial"/>
          <w:noProof/>
          <w:sz w:val="20"/>
          <w:szCs w:val="20"/>
        </w:rPr>
      </w:pPr>
      <w:hyperlink w:anchor="_Toc153137538" w:history="1">
        <w:r w:rsidR="00BE3F4E" w:rsidRPr="00BE3F4E">
          <w:rPr>
            <w:rStyle w:val="Hyperlink"/>
            <w:rFonts w:ascii="Arial" w:eastAsia="Times New Roman" w:hAnsi="Arial" w:cs="Arial"/>
            <w:noProof/>
            <w:sz w:val="20"/>
            <w:szCs w:val="20"/>
          </w:rPr>
          <w:t>AMC1 ML.A.501(e) Classification and installation</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_Toc153137538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182</w:t>
        </w:r>
        <w:r w:rsidR="00BE3F4E" w:rsidRPr="00BE3F4E">
          <w:rPr>
            <w:rFonts w:ascii="Arial" w:hAnsi="Arial" w:cs="Arial"/>
            <w:noProof/>
            <w:webHidden/>
            <w:sz w:val="20"/>
            <w:szCs w:val="20"/>
          </w:rPr>
          <w:fldChar w:fldCharType="end"/>
        </w:r>
      </w:hyperlink>
    </w:p>
    <w:p w14:paraId="32D955DC" w14:textId="0B06B05A" w:rsidR="00BE3F4E" w:rsidRPr="00BE3F4E" w:rsidRDefault="00000000">
      <w:pPr>
        <w:pStyle w:val="TOC4"/>
        <w:tabs>
          <w:tab w:val="right" w:leader="underscore" w:pos="9016"/>
        </w:tabs>
        <w:rPr>
          <w:rFonts w:ascii="Arial" w:eastAsiaTheme="minorEastAsia" w:hAnsi="Arial" w:cs="Arial"/>
          <w:noProof/>
          <w:sz w:val="20"/>
          <w:szCs w:val="20"/>
        </w:rPr>
      </w:pPr>
      <w:hyperlink w:anchor="_Toc153137539" w:history="1">
        <w:r w:rsidR="00BE3F4E" w:rsidRPr="00BE3F4E">
          <w:rPr>
            <w:rStyle w:val="Hyperlink"/>
            <w:rFonts w:ascii="Arial" w:eastAsia="Times New Roman" w:hAnsi="Arial" w:cs="Arial"/>
            <w:iCs/>
            <w:noProof/>
            <w:sz w:val="20"/>
            <w:szCs w:val="20"/>
          </w:rPr>
          <w:t>ML.A.502 Component maintenance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_Toc153137539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183</w:t>
        </w:r>
        <w:r w:rsidR="00BE3F4E" w:rsidRPr="00BE3F4E">
          <w:rPr>
            <w:rFonts w:ascii="Arial" w:hAnsi="Arial" w:cs="Arial"/>
            <w:noProof/>
            <w:webHidden/>
            <w:sz w:val="20"/>
            <w:szCs w:val="20"/>
          </w:rPr>
          <w:fldChar w:fldCharType="end"/>
        </w:r>
      </w:hyperlink>
    </w:p>
    <w:p w14:paraId="56BFB84E" w14:textId="3EF28924" w:rsidR="00BE3F4E" w:rsidRPr="00BE3F4E" w:rsidRDefault="00000000">
      <w:pPr>
        <w:pStyle w:val="TOC5"/>
        <w:tabs>
          <w:tab w:val="right" w:leader="underscore" w:pos="9016"/>
        </w:tabs>
        <w:rPr>
          <w:rFonts w:ascii="Arial" w:eastAsiaTheme="minorEastAsia" w:hAnsi="Arial" w:cs="Arial"/>
          <w:noProof/>
          <w:sz w:val="20"/>
          <w:szCs w:val="20"/>
        </w:rPr>
      </w:pPr>
      <w:hyperlink w:anchor="_Toc153137540" w:history="1">
        <w:r w:rsidR="00BE3F4E" w:rsidRPr="00BE3F4E">
          <w:rPr>
            <w:rStyle w:val="Hyperlink"/>
            <w:rFonts w:ascii="Arial" w:eastAsia="Times New Roman" w:hAnsi="Arial" w:cs="Arial"/>
            <w:noProof/>
            <w:sz w:val="20"/>
            <w:szCs w:val="20"/>
          </w:rPr>
          <w:t>GM1 ML.A.502 Component maintenance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_Toc153137540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183</w:t>
        </w:r>
        <w:r w:rsidR="00BE3F4E" w:rsidRPr="00BE3F4E">
          <w:rPr>
            <w:rFonts w:ascii="Arial" w:hAnsi="Arial" w:cs="Arial"/>
            <w:noProof/>
            <w:webHidden/>
            <w:sz w:val="20"/>
            <w:szCs w:val="20"/>
          </w:rPr>
          <w:fldChar w:fldCharType="end"/>
        </w:r>
      </w:hyperlink>
    </w:p>
    <w:p w14:paraId="140E6AF2" w14:textId="560D7D45" w:rsidR="00BE3F4E" w:rsidRPr="00BE3F4E" w:rsidRDefault="00000000">
      <w:pPr>
        <w:pStyle w:val="TOC4"/>
        <w:tabs>
          <w:tab w:val="right" w:leader="underscore" w:pos="9016"/>
        </w:tabs>
        <w:rPr>
          <w:rFonts w:ascii="Arial" w:eastAsiaTheme="minorEastAsia" w:hAnsi="Arial" w:cs="Arial"/>
          <w:noProof/>
          <w:sz w:val="20"/>
          <w:szCs w:val="20"/>
        </w:rPr>
      </w:pPr>
      <w:hyperlink w:anchor="_Toc153137541" w:history="1">
        <w:r w:rsidR="00BE3F4E" w:rsidRPr="00BE3F4E">
          <w:rPr>
            <w:rStyle w:val="Hyperlink"/>
            <w:rFonts w:ascii="Arial" w:eastAsia="Times New Roman" w:hAnsi="Arial" w:cs="Arial"/>
            <w:iCs/>
            <w:noProof/>
            <w:sz w:val="20"/>
            <w:szCs w:val="20"/>
          </w:rPr>
          <w:t>ML.A.503 Service-life-limited components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_Toc153137541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184</w:t>
        </w:r>
        <w:r w:rsidR="00BE3F4E" w:rsidRPr="00BE3F4E">
          <w:rPr>
            <w:rFonts w:ascii="Arial" w:hAnsi="Arial" w:cs="Arial"/>
            <w:noProof/>
            <w:webHidden/>
            <w:sz w:val="20"/>
            <w:szCs w:val="20"/>
          </w:rPr>
          <w:fldChar w:fldCharType="end"/>
        </w:r>
      </w:hyperlink>
    </w:p>
    <w:p w14:paraId="08297AE4" w14:textId="2E23195E" w:rsidR="00BE3F4E" w:rsidRPr="00BE3F4E" w:rsidRDefault="00000000">
      <w:pPr>
        <w:pStyle w:val="TOC4"/>
        <w:tabs>
          <w:tab w:val="right" w:leader="underscore" w:pos="9016"/>
        </w:tabs>
        <w:rPr>
          <w:rFonts w:ascii="Arial" w:eastAsiaTheme="minorEastAsia" w:hAnsi="Arial" w:cs="Arial"/>
          <w:noProof/>
          <w:sz w:val="20"/>
          <w:szCs w:val="20"/>
        </w:rPr>
      </w:pPr>
      <w:hyperlink w:anchor="_Toc153137542" w:history="1">
        <w:r w:rsidR="00BE3F4E" w:rsidRPr="00BE3F4E">
          <w:rPr>
            <w:rStyle w:val="Hyperlink"/>
            <w:rFonts w:ascii="Arial" w:eastAsia="Times New Roman" w:hAnsi="Arial" w:cs="Arial"/>
            <w:iCs/>
            <w:noProof/>
            <w:sz w:val="20"/>
            <w:szCs w:val="20"/>
          </w:rPr>
          <w:t>ML.A.504 Control of unserviceable components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_Toc153137542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184</w:t>
        </w:r>
        <w:r w:rsidR="00BE3F4E" w:rsidRPr="00BE3F4E">
          <w:rPr>
            <w:rFonts w:ascii="Arial" w:hAnsi="Arial" w:cs="Arial"/>
            <w:noProof/>
            <w:webHidden/>
            <w:sz w:val="20"/>
            <w:szCs w:val="20"/>
          </w:rPr>
          <w:fldChar w:fldCharType="end"/>
        </w:r>
      </w:hyperlink>
    </w:p>
    <w:p w14:paraId="3A5C406A" w14:textId="39E718B5" w:rsidR="00BE3F4E" w:rsidRPr="00BE3F4E" w:rsidRDefault="00000000">
      <w:pPr>
        <w:pStyle w:val="TOC3"/>
        <w:tabs>
          <w:tab w:val="right" w:leader="underscore" w:pos="9016"/>
        </w:tabs>
        <w:rPr>
          <w:rFonts w:ascii="Arial" w:eastAsiaTheme="minorEastAsia" w:hAnsi="Arial" w:cs="Arial"/>
          <w:b w:val="0"/>
          <w:bCs w:val="0"/>
          <w:noProof/>
          <w:sz w:val="20"/>
          <w:szCs w:val="20"/>
        </w:rPr>
      </w:pPr>
      <w:hyperlink w:anchor="_Toc153137543" w:history="1">
        <w:r w:rsidR="00BE3F4E" w:rsidRPr="00BE3F4E">
          <w:rPr>
            <w:rStyle w:val="Hyperlink"/>
            <w:rFonts w:ascii="Arial" w:eastAsiaTheme="majorEastAsia" w:hAnsi="Arial" w:cs="Arial"/>
            <w:b w:val="0"/>
            <w:bCs w:val="0"/>
            <w:noProof/>
            <w:sz w:val="20"/>
            <w:szCs w:val="20"/>
          </w:rPr>
          <w:t>SUBPART H — CERTIFICATE OF RELEASE TO SERVICE (CRS)</w:t>
        </w:r>
        <w:r w:rsidR="00BE3F4E" w:rsidRPr="00BE3F4E">
          <w:rPr>
            <w:rFonts w:ascii="Arial" w:hAnsi="Arial" w:cs="Arial"/>
            <w:b w:val="0"/>
            <w:bCs w:val="0"/>
            <w:noProof/>
            <w:webHidden/>
            <w:sz w:val="20"/>
            <w:szCs w:val="20"/>
          </w:rPr>
          <w:tab/>
        </w:r>
        <w:r w:rsidR="00BE3F4E" w:rsidRPr="00BE3F4E">
          <w:rPr>
            <w:rFonts w:ascii="Arial" w:hAnsi="Arial" w:cs="Arial"/>
            <w:b w:val="0"/>
            <w:bCs w:val="0"/>
            <w:noProof/>
            <w:webHidden/>
            <w:sz w:val="20"/>
            <w:szCs w:val="20"/>
          </w:rPr>
          <w:fldChar w:fldCharType="begin"/>
        </w:r>
        <w:r w:rsidR="00BE3F4E" w:rsidRPr="00BE3F4E">
          <w:rPr>
            <w:rFonts w:ascii="Arial" w:hAnsi="Arial" w:cs="Arial"/>
            <w:b w:val="0"/>
            <w:bCs w:val="0"/>
            <w:noProof/>
            <w:webHidden/>
            <w:sz w:val="20"/>
            <w:szCs w:val="20"/>
          </w:rPr>
          <w:instrText xml:space="preserve"> PAGEREF _Toc153137543 \h </w:instrText>
        </w:r>
        <w:r w:rsidR="00BE3F4E" w:rsidRPr="00BE3F4E">
          <w:rPr>
            <w:rFonts w:ascii="Arial" w:hAnsi="Arial" w:cs="Arial"/>
            <w:b w:val="0"/>
            <w:bCs w:val="0"/>
            <w:noProof/>
            <w:webHidden/>
            <w:sz w:val="20"/>
            <w:szCs w:val="20"/>
          </w:rPr>
        </w:r>
        <w:r w:rsidR="00BE3F4E" w:rsidRPr="00BE3F4E">
          <w:rPr>
            <w:rFonts w:ascii="Arial" w:hAnsi="Arial" w:cs="Arial"/>
            <w:b w:val="0"/>
            <w:bCs w:val="0"/>
            <w:noProof/>
            <w:webHidden/>
            <w:sz w:val="20"/>
            <w:szCs w:val="20"/>
          </w:rPr>
          <w:fldChar w:fldCharType="separate"/>
        </w:r>
        <w:r w:rsidR="006A7538">
          <w:rPr>
            <w:rFonts w:ascii="Arial" w:hAnsi="Arial" w:cs="Arial"/>
            <w:b w:val="0"/>
            <w:bCs w:val="0"/>
            <w:noProof/>
            <w:webHidden/>
            <w:sz w:val="20"/>
            <w:szCs w:val="20"/>
          </w:rPr>
          <w:t>185</w:t>
        </w:r>
        <w:r w:rsidR="00BE3F4E" w:rsidRPr="00BE3F4E">
          <w:rPr>
            <w:rFonts w:ascii="Arial" w:hAnsi="Arial" w:cs="Arial"/>
            <w:b w:val="0"/>
            <w:bCs w:val="0"/>
            <w:noProof/>
            <w:webHidden/>
            <w:sz w:val="20"/>
            <w:szCs w:val="20"/>
          </w:rPr>
          <w:fldChar w:fldCharType="end"/>
        </w:r>
      </w:hyperlink>
    </w:p>
    <w:p w14:paraId="001FF635" w14:textId="63A35C0F" w:rsidR="00BE3F4E" w:rsidRPr="00BE3F4E" w:rsidRDefault="00000000">
      <w:pPr>
        <w:pStyle w:val="TOC4"/>
        <w:tabs>
          <w:tab w:val="right" w:leader="underscore" w:pos="9016"/>
        </w:tabs>
        <w:rPr>
          <w:rFonts w:ascii="Arial" w:eastAsiaTheme="minorEastAsia" w:hAnsi="Arial" w:cs="Arial"/>
          <w:noProof/>
          <w:sz w:val="20"/>
          <w:szCs w:val="20"/>
        </w:rPr>
      </w:pPr>
      <w:hyperlink w:anchor="_Toc153137544" w:history="1">
        <w:r w:rsidR="00BE3F4E" w:rsidRPr="00BE3F4E">
          <w:rPr>
            <w:rStyle w:val="Hyperlink"/>
            <w:rFonts w:ascii="Arial" w:eastAsia="Times New Roman" w:hAnsi="Arial" w:cs="Arial"/>
            <w:iCs/>
            <w:noProof/>
            <w:sz w:val="20"/>
            <w:szCs w:val="20"/>
          </w:rPr>
          <w:t>ML.A.801 Aircraft certificate of release to service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_Toc153137544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185</w:t>
        </w:r>
        <w:r w:rsidR="00BE3F4E" w:rsidRPr="00BE3F4E">
          <w:rPr>
            <w:rFonts w:ascii="Arial" w:hAnsi="Arial" w:cs="Arial"/>
            <w:noProof/>
            <w:webHidden/>
            <w:sz w:val="20"/>
            <w:szCs w:val="20"/>
          </w:rPr>
          <w:fldChar w:fldCharType="end"/>
        </w:r>
      </w:hyperlink>
    </w:p>
    <w:p w14:paraId="6534FE9B" w14:textId="2C3C02B9" w:rsidR="00BE3F4E" w:rsidRPr="00BE3F4E" w:rsidRDefault="00000000">
      <w:pPr>
        <w:pStyle w:val="TOC5"/>
        <w:tabs>
          <w:tab w:val="right" w:leader="underscore" w:pos="9016"/>
        </w:tabs>
        <w:rPr>
          <w:rFonts w:ascii="Arial" w:eastAsiaTheme="minorEastAsia" w:hAnsi="Arial" w:cs="Arial"/>
          <w:noProof/>
          <w:sz w:val="20"/>
          <w:szCs w:val="20"/>
        </w:rPr>
      </w:pPr>
      <w:hyperlink w:anchor="_Toc153137545" w:history="1">
        <w:r w:rsidR="00BE3F4E" w:rsidRPr="00BE3F4E">
          <w:rPr>
            <w:rStyle w:val="Hyperlink"/>
            <w:rFonts w:ascii="Arial" w:eastAsia="Times New Roman" w:hAnsi="Arial" w:cs="Arial"/>
            <w:noProof/>
            <w:sz w:val="20"/>
            <w:szCs w:val="20"/>
          </w:rPr>
          <w:t>AMC1 ML.A.801 Aircraft certificate of release to service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_Toc153137545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185</w:t>
        </w:r>
        <w:r w:rsidR="00BE3F4E" w:rsidRPr="00BE3F4E">
          <w:rPr>
            <w:rFonts w:ascii="Arial" w:hAnsi="Arial" w:cs="Arial"/>
            <w:noProof/>
            <w:webHidden/>
            <w:sz w:val="20"/>
            <w:szCs w:val="20"/>
          </w:rPr>
          <w:fldChar w:fldCharType="end"/>
        </w:r>
      </w:hyperlink>
    </w:p>
    <w:p w14:paraId="3D1878B8" w14:textId="01FF7C06" w:rsidR="00BE3F4E" w:rsidRPr="00BE3F4E" w:rsidRDefault="00000000">
      <w:pPr>
        <w:pStyle w:val="TOC5"/>
        <w:tabs>
          <w:tab w:val="right" w:leader="underscore" w:pos="9016"/>
        </w:tabs>
        <w:rPr>
          <w:rFonts w:ascii="Arial" w:eastAsiaTheme="minorEastAsia" w:hAnsi="Arial" w:cs="Arial"/>
          <w:noProof/>
          <w:sz w:val="20"/>
          <w:szCs w:val="20"/>
        </w:rPr>
      </w:pPr>
      <w:hyperlink w:anchor="_Toc153137546" w:history="1">
        <w:r w:rsidR="00BE3F4E" w:rsidRPr="00BE3F4E">
          <w:rPr>
            <w:rStyle w:val="Hyperlink"/>
            <w:rFonts w:ascii="Arial" w:eastAsia="Times New Roman" w:hAnsi="Arial" w:cs="Arial"/>
            <w:noProof/>
            <w:sz w:val="20"/>
            <w:szCs w:val="20"/>
          </w:rPr>
          <w:t>AMC1 ML.A.801(e) Aircraft certificate of release to service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_Toc153137546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188</w:t>
        </w:r>
        <w:r w:rsidR="00BE3F4E" w:rsidRPr="00BE3F4E">
          <w:rPr>
            <w:rFonts w:ascii="Arial" w:hAnsi="Arial" w:cs="Arial"/>
            <w:noProof/>
            <w:webHidden/>
            <w:sz w:val="20"/>
            <w:szCs w:val="20"/>
          </w:rPr>
          <w:fldChar w:fldCharType="end"/>
        </w:r>
      </w:hyperlink>
    </w:p>
    <w:p w14:paraId="6EDC0F18" w14:textId="264782D9" w:rsidR="00BE3F4E" w:rsidRPr="00BE3F4E" w:rsidRDefault="00000000">
      <w:pPr>
        <w:pStyle w:val="TOC5"/>
        <w:tabs>
          <w:tab w:val="right" w:leader="underscore" w:pos="9016"/>
        </w:tabs>
        <w:rPr>
          <w:rFonts w:ascii="Arial" w:eastAsiaTheme="minorEastAsia" w:hAnsi="Arial" w:cs="Arial"/>
          <w:noProof/>
          <w:sz w:val="20"/>
          <w:szCs w:val="20"/>
        </w:rPr>
      </w:pPr>
      <w:hyperlink w:anchor="_Toc153137547" w:history="1">
        <w:r w:rsidR="00BE3F4E" w:rsidRPr="00BE3F4E">
          <w:rPr>
            <w:rStyle w:val="Hyperlink"/>
            <w:rFonts w:ascii="Arial" w:eastAsia="Times New Roman" w:hAnsi="Arial" w:cs="Arial"/>
            <w:noProof/>
            <w:sz w:val="20"/>
            <w:szCs w:val="20"/>
          </w:rPr>
          <w:t>AMC1 ML.A.801(f) Aircraft certificate of release to service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_Toc153137547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189</w:t>
        </w:r>
        <w:r w:rsidR="00BE3F4E" w:rsidRPr="00BE3F4E">
          <w:rPr>
            <w:rFonts w:ascii="Arial" w:hAnsi="Arial" w:cs="Arial"/>
            <w:noProof/>
            <w:webHidden/>
            <w:sz w:val="20"/>
            <w:szCs w:val="20"/>
          </w:rPr>
          <w:fldChar w:fldCharType="end"/>
        </w:r>
      </w:hyperlink>
    </w:p>
    <w:p w14:paraId="0B3C0D46" w14:textId="0AC0D22C" w:rsidR="00BE3F4E" w:rsidRPr="00BE3F4E" w:rsidRDefault="00000000">
      <w:pPr>
        <w:pStyle w:val="TOC4"/>
        <w:tabs>
          <w:tab w:val="right" w:leader="underscore" w:pos="9016"/>
        </w:tabs>
        <w:rPr>
          <w:rFonts w:ascii="Arial" w:eastAsiaTheme="minorEastAsia" w:hAnsi="Arial" w:cs="Arial"/>
          <w:noProof/>
          <w:sz w:val="20"/>
          <w:szCs w:val="20"/>
        </w:rPr>
      </w:pPr>
      <w:hyperlink w:anchor="_Toc153137548" w:history="1">
        <w:r w:rsidR="00BE3F4E" w:rsidRPr="00BE3F4E">
          <w:rPr>
            <w:rStyle w:val="Hyperlink"/>
            <w:rFonts w:ascii="Arial" w:eastAsia="Times New Roman" w:hAnsi="Arial" w:cs="Arial"/>
            <w:iCs/>
            <w:noProof/>
            <w:sz w:val="20"/>
            <w:szCs w:val="20"/>
          </w:rPr>
          <w:t>ML.A.802 Component certificate of release to service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_Toc153137548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189</w:t>
        </w:r>
        <w:r w:rsidR="00BE3F4E" w:rsidRPr="00BE3F4E">
          <w:rPr>
            <w:rFonts w:ascii="Arial" w:hAnsi="Arial" w:cs="Arial"/>
            <w:noProof/>
            <w:webHidden/>
            <w:sz w:val="20"/>
            <w:szCs w:val="20"/>
          </w:rPr>
          <w:fldChar w:fldCharType="end"/>
        </w:r>
      </w:hyperlink>
    </w:p>
    <w:p w14:paraId="19D5EC28" w14:textId="4A1331A2" w:rsidR="00BE3F4E" w:rsidRPr="00BE3F4E" w:rsidRDefault="00000000">
      <w:pPr>
        <w:pStyle w:val="TOC4"/>
        <w:tabs>
          <w:tab w:val="right" w:leader="underscore" w:pos="9016"/>
        </w:tabs>
        <w:rPr>
          <w:rFonts w:ascii="Arial" w:eastAsiaTheme="minorEastAsia" w:hAnsi="Arial" w:cs="Arial"/>
          <w:noProof/>
          <w:sz w:val="20"/>
          <w:szCs w:val="20"/>
        </w:rPr>
      </w:pPr>
      <w:hyperlink w:anchor="_Toc153137549" w:history="1">
        <w:r w:rsidR="00BE3F4E" w:rsidRPr="00BE3F4E">
          <w:rPr>
            <w:rStyle w:val="Hyperlink"/>
            <w:rFonts w:ascii="Arial" w:eastAsia="Times New Roman" w:hAnsi="Arial" w:cs="Arial"/>
            <w:iCs/>
            <w:noProof/>
            <w:sz w:val="20"/>
            <w:szCs w:val="20"/>
          </w:rPr>
          <w:t>ML.A.803 Pilot-owner authorisation</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_Toc153137549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189</w:t>
        </w:r>
        <w:r w:rsidR="00BE3F4E" w:rsidRPr="00BE3F4E">
          <w:rPr>
            <w:rFonts w:ascii="Arial" w:hAnsi="Arial" w:cs="Arial"/>
            <w:noProof/>
            <w:webHidden/>
            <w:sz w:val="20"/>
            <w:szCs w:val="20"/>
          </w:rPr>
          <w:fldChar w:fldCharType="end"/>
        </w:r>
      </w:hyperlink>
    </w:p>
    <w:p w14:paraId="3ED17713" w14:textId="5C57DFD8" w:rsidR="00BE3F4E" w:rsidRPr="00BE3F4E" w:rsidRDefault="00000000">
      <w:pPr>
        <w:pStyle w:val="TOC5"/>
        <w:tabs>
          <w:tab w:val="right" w:leader="underscore" w:pos="9016"/>
        </w:tabs>
        <w:rPr>
          <w:rFonts w:ascii="Arial" w:eastAsiaTheme="minorEastAsia" w:hAnsi="Arial" w:cs="Arial"/>
          <w:noProof/>
          <w:sz w:val="20"/>
          <w:szCs w:val="20"/>
        </w:rPr>
      </w:pPr>
      <w:hyperlink w:anchor="_Toc153137550" w:history="1">
        <w:r w:rsidR="00BE3F4E" w:rsidRPr="00BE3F4E">
          <w:rPr>
            <w:rStyle w:val="Hyperlink"/>
            <w:rFonts w:ascii="Arial" w:eastAsia="Times New Roman" w:hAnsi="Arial" w:cs="Arial"/>
            <w:noProof/>
            <w:sz w:val="20"/>
            <w:szCs w:val="20"/>
          </w:rPr>
          <w:t>AMC1 ML.A.803 Pilot-owner authorisation</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_Toc153137550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190</w:t>
        </w:r>
        <w:r w:rsidR="00BE3F4E" w:rsidRPr="00BE3F4E">
          <w:rPr>
            <w:rFonts w:ascii="Arial" w:hAnsi="Arial" w:cs="Arial"/>
            <w:noProof/>
            <w:webHidden/>
            <w:sz w:val="20"/>
            <w:szCs w:val="20"/>
          </w:rPr>
          <w:fldChar w:fldCharType="end"/>
        </w:r>
      </w:hyperlink>
    </w:p>
    <w:p w14:paraId="04D1E4C1" w14:textId="746E20BC" w:rsidR="00BE3F4E" w:rsidRPr="00BE3F4E" w:rsidRDefault="00000000">
      <w:pPr>
        <w:pStyle w:val="TOC3"/>
        <w:tabs>
          <w:tab w:val="right" w:leader="underscore" w:pos="9016"/>
        </w:tabs>
        <w:rPr>
          <w:rFonts w:ascii="Arial" w:eastAsiaTheme="minorEastAsia" w:hAnsi="Arial" w:cs="Arial"/>
          <w:b w:val="0"/>
          <w:bCs w:val="0"/>
          <w:noProof/>
          <w:sz w:val="20"/>
          <w:szCs w:val="20"/>
        </w:rPr>
      </w:pPr>
      <w:hyperlink w:anchor="_Toc153137551" w:history="1">
        <w:r w:rsidR="00BE3F4E" w:rsidRPr="00BE3F4E">
          <w:rPr>
            <w:rStyle w:val="Hyperlink"/>
            <w:rFonts w:ascii="Arial" w:eastAsiaTheme="majorEastAsia" w:hAnsi="Arial" w:cs="Arial"/>
            <w:b w:val="0"/>
            <w:bCs w:val="0"/>
            <w:noProof/>
            <w:sz w:val="20"/>
            <w:szCs w:val="20"/>
          </w:rPr>
          <w:t>SUBPART I — AIRWORTHINESS REVIEW CERTIFICATE (ARC)</w:t>
        </w:r>
        <w:r w:rsidR="00BE3F4E" w:rsidRPr="00BE3F4E">
          <w:rPr>
            <w:rFonts w:ascii="Arial" w:hAnsi="Arial" w:cs="Arial"/>
            <w:b w:val="0"/>
            <w:bCs w:val="0"/>
            <w:noProof/>
            <w:webHidden/>
            <w:sz w:val="20"/>
            <w:szCs w:val="20"/>
          </w:rPr>
          <w:tab/>
        </w:r>
        <w:r w:rsidR="00BE3F4E" w:rsidRPr="00BE3F4E">
          <w:rPr>
            <w:rFonts w:ascii="Arial" w:hAnsi="Arial" w:cs="Arial"/>
            <w:b w:val="0"/>
            <w:bCs w:val="0"/>
            <w:noProof/>
            <w:webHidden/>
            <w:sz w:val="20"/>
            <w:szCs w:val="20"/>
          </w:rPr>
          <w:fldChar w:fldCharType="begin"/>
        </w:r>
        <w:r w:rsidR="00BE3F4E" w:rsidRPr="00BE3F4E">
          <w:rPr>
            <w:rFonts w:ascii="Arial" w:hAnsi="Arial" w:cs="Arial"/>
            <w:b w:val="0"/>
            <w:bCs w:val="0"/>
            <w:noProof/>
            <w:webHidden/>
            <w:sz w:val="20"/>
            <w:szCs w:val="20"/>
          </w:rPr>
          <w:instrText xml:space="preserve"> PAGEREF _Toc153137551 \h </w:instrText>
        </w:r>
        <w:r w:rsidR="00BE3F4E" w:rsidRPr="00BE3F4E">
          <w:rPr>
            <w:rFonts w:ascii="Arial" w:hAnsi="Arial" w:cs="Arial"/>
            <w:b w:val="0"/>
            <w:bCs w:val="0"/>
            <w:noProof/>
            <w:webHidden/>
            <w:sz w:val="20"/>
            <w:szCs w:val="20"/>
          </w:rPr>
        </w:r>
        <w:r w:rsidR="00BE3F4E" w:rsidRPr="00BE3F4E">
          <w:rPr>
            <w:rFonts w:ascii="Arial" w:hAnsi="Arial" w:cs="Arial"/>
            <w:b w:val="0"/>
            <w:bCs w:val="0"/>
            <w:noProof/>
            <w:webHidden/>
            <w:sz w:val="20"/>
            <w:szCs w:val="20"/>
          </w:rPr>
          <w:fldChar w:fldCharType="separate"/>
        </w:r>
        <w:r w:rsidR="006A7538">
          <w:rPr>
            <w:rFonts w:ascii="Arial" w:hAnsi="Arial" w:cs="Arial"/>
            <w:b w:val="0"/>
            <w:bCs w:val="0"/>
            <w:noProof/>
            <w:webHidden/>
            <w:sz w:val="20"/>
            <w:szCs w:val="20"/>
          </w:rPr>
          <w:t>191</w:t>
        </w:r>
        <w:r w:rsidR="00BE3F4E" w:rsidRPr="00BE3F4E">
          <w:rPr>
            <w:rFonts w:ascii="Arial" w:hAnsi="Arial" w:cs="Arial"/>
            <w:b w:val="0"/>
            <w:bCs w:val="0"/>
            <w:noProof/>
            <w:webHidden/>
            <w:sz w:val="20"/>
            <w:szCs w:val="20"/>
          </w:rPr>
          <w:fldChar w:fldCharType="end"/>
        </w:r>
      </w:hyperlink>
    </w:p>
    <w:p w14:paraId="03417338" w14:textId="2ECAEFA1" w:rsidR="00BE3F4E" w:rsidRPr="00BE3F4E" w:rsidRDefault="00000000">
      <w:pPr>
        <w:pStyle w:val="TOC4"/>
        <w:tabs>
          <w:tab w:val="right" w:leader="underscore" w:pos="9016"/>
        </w:tabs>
        <w:rPr>
          <w:rFonts w:ascii="Arial" w:eastAsiaTheme="minorEastAsia" w:hAnsi="Arial" w:cs="Arial"/>
          <w:noProof/>
          <w:sz w:val="20"/>
          <w:szCs w:val="20"/>
        </w:rPr>
      </w:pPr>
      <w:hyperlink w:anchor="_Toc153137552" w:history="1">
        <w:r w:rsidR="00BE3F4E" w:rsidRPr="00BE3F4E">
          <w:rPr>
            <w:rStyle w:val="Hyperlink"/>
            <w:rFonts w:ascii="Arial" w:eastAsia="Times New Roman" w:hAnsi="Arial" w:cs="Arial"/>
            <w:iCs/>
            <w:noProof/>
            <w:sz w:val="20"/>
            <w:szCs w:val="20"/>
          </w:rPr>
          <w:t>ML.A.901 Aircraft airworthiness review</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_Toc153137552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191</w:t>
        </w:r>
        <w:r w:rsidR="00BE3F4E" w:rsidRPr="00BE3F4E">
          <w:rPr>
            <w:rFonts w:ascii="Arial" w:hAnsi="Arial" w:cs="Arial"/>
            <w:noProof/>
            <w:webHidden/>
            <w:sz w:val="20"/>
            <w:szCs w:val="20"/>
          </w:rPr>
          <w:fldChar w:fldCharType="end"/>
        </w:r>
      </w:hyperlink>
    </w:p>
    <w:p w14:paraId="00EDDA2E" w14:textId="52F19DC5" w:rsidR="00BE3F4E" w:rsidRPr="00BE3F4E" w:rsidRDefault="00000000">
      <w:pPr>
        <w:pStyle w:val="TOC5"/>
        <w:tabs>
          <w:tab w:val="right" w:leader="underscore" w:pos="9016"/>
        </w:tabs>
        <w:rPr>
          <w:rFonts w:ascii="Arial" w:eastAsiaTheme="minorEastAsia" w:hAnsi="Arial" w:cs="Arial"/>
          <w:noProof/>
          <w:sz w:val="20"/>
          <w:szCs w:val="20"/>
        </w:rPr>
      </w:pPr>
      <w:hyperlink w:anchor="_Toc153137553" w:history="1">
        <w:r w:rsidR="00BE3F4E" w:rsidRPr="00BE3F4E">
          <w:rPr>
            <w:rStyle w:val="Hyperlink"/>
            <w:rFonts w:ascii="Arial" w:eastAsia="Times New Roman" w:hAnsi="Arial" w:cs="Arial"/>
            <w:noProof/>
            <w:sz w:val="20"/>
            <w:szCs w:val="20"/>
          </w:rPr>
          <w:t>GM1 ML.A.901 Aircraft airworthiness review</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_Toc153137553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192</w:t>
        </w:r>
        <w:r w:rsidR="00BE3F4E" w:rsidRPr="00BE3F4E">
          <w:rPr>
            <w:rFonts w:ascii="Arial" w:hAnsi="Arial" w:cs="Arial"/>
            <w:noProof/>
            <w:webHidden/>
            <w:sz w:val="20"/>
            <w:szCs w:val="20"/>
          </w:rPr>
          <w:fldChar w:fldCharType="end"/>
        </w:r>
      </w:hyperlink>
    </w:p>
    <w:p w14:paraId="3FD7B7FB" w14:textId="65A8A16D" w:rsidR="00BE3F4E" w:rsidRPr="00BE3F4E" w:rsidRDefault="00000000">
      <w:pPr>
        <w:pStyle w:val="TOC4"/>
        <w:tabs>
          <w:tab w:val="right" w:leader="underscore" w:pos="9016"/>
        </w:tabs>
        <w:rPr>
          <w:rFonts w:ascii="Arial" w:eastAsiaTheme="minorEastAsia" w:hAnsi="Arial" w:cs="Arial"/>
          <w:noProof/>
          <w:sz w:val="20"/>
          <w:szCs w:val="20"/>
        </w:rPr>
      </w:pPr>
      <w:hyperlink w:anchor="_Toc153137554" w:history="1">
        <w:r w:rsidR="00BE3F4E" w:rsidRPr="00BE3F4E">
          <w:rPr>
            <w:rStyle w:val="Hyperlink"/>
            <w:rFonts w:ascii="Arial" w:eastAsia="Times New Roman" w:hAnsi="Arial" w:cs="Arial"/>
            <w:iCs/>
            <w:noProof/>
            <w:sz w:val="20"/>
            <w:szCs w:val="20"/>
          </w:rPr>
          <w:t>ML.A.902 Validity of the airworthiness review certificate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_Toc153137554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192</w:t>
        </w:r>
        <w:r w:rsidR="00BE3F4E" w:rsidRPr="00BE3F4E">
          <w:rPr>
            <w:rFonts w:ascii="Arial" w:hAnsi="Arial" w:cs="Arial"/>
            <w:noProof/>
            <w:webHidden/>
            <w:sz w:val="20"/>
            <w:szCs w:val="20"/>
          </w:rPr>
          <w:fldChar w:fldCharType="end"/>
        </w:r>
      </w:hyperlink>
    </w:p>
    <w:p w14:paraId="51B9FB88" w14:textId="3E3EF973" w:rsidR="00BE3F4E" w:rsidRPr="00BE3F4E" w:rsidRDefault="00000000">
      <w:pPr>
        <w:pStyle w:val="TOC4"/>
        <w:tabs>
          <w:tab w:val="right" w:leader="underscore" w:pos="9016"/>
        </w:tabs>
        <w:rPr>
          <w:rFonts w:ascii="Arial" w:eastAsiaTheme="minorEastAsia" w:hAnsi="Arial" w:cs="Arial"/>
          <w:noProof/>
          <w:sz w:val="20"/>
          <w:szCs w:val="20"/>
        </w:rPr>
      </w:pPr>
      <w:hyperlink w:anchor="_Toc153137555" w:history="1">
        <w:r w:rsidR="00BE3F4E" w:rsidRPr="00BE3F4E">
          <w:rPr>
            <w:rStyle w:val="Hyperlink"/>
            <w:rFonts w:ascii="Arial" w:eastAsia="Times New Roman" w:hAnsi="Arial" w:cs="Arial"/>
            <w:iCs/>
            <w:noProof/>
            <w:sz w:val="20"/>
            <w:szCs w:val="20"/>
          </w:rPr>
          <w:t>ML.A.903 Airworthiness review process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_Toc153137555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192</w:t>
        </w:r>
        <w:r w:rsidR="00BE3F4E" w:rsidRPr="00BE3F4E">
          <w:rPr>
            <w:rFonts w:ascii="Arial" w:hAnsi="Arial" w:cs="Arial"/>
            <w:noProof/>
            <w:webHidden/>
            <w:sz w:val="20"/>
            <w:szCs w:val="20"/>
          </w:rPr>
          <w:fldChar w:fldCharType="end"/>
        </w:r>
      </w:hyperlink>
    </w:p>
    <w:p w14:paraId="66F377F5" w14:textId="0CF8A94B" w:rsidR="00BE3F4E" w:rsidRPr="00BE3F4E" w:rsidRDefault="00000000">
      <w:pPr>
        <w:pStyle w:val="TOC5"/>
        <w:tabs>
          <w:tab w:val="right" w:leader="underscore" w:pos="9016"/>
        </w:tabs>
        <w:rPr>
          <w:rFonts w:ascii="Arial" w:eastAsiaTheme="minorEastAsia" w:hAnsi="Arial" w:cs="Arial"/>
          <w:noProof/>
          <w:sz w:val="20"/>
          <w:szCs w:val="20"/>
        </w:rPr>
      </w:pPr>
      <w:hyperlink w:anchor="_Toc153137556" w:history="1">
        <w:r w:rsidR="00BE3F4E" w:rsidRPr="00BE3F4E">
          <w:rPr>
            <w:rStyle w:val="Hyperlink"/>
            <w:rFonts w:ascii="Arial" w:eastAsia="Times New Roman" w:hAnsi="Arial" w:cs="Arial"/>
            <w:noProof/>
            <w:sz w:val="20"/>
            <w:szCs w:val="20"/>
          </w:rPr>
          <w:t>AMC1 ML.A.903(h) Airworthiness review</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_Toc153137556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193</w:t>
        </w:r>
        <w:r w:rsidR="00BE3F4E" w:rsidRPr="00BE3F4E">
          <w:rPr>
            <w:rFonts w:ascii="Arial" w:hAnsi="Arial" w:cs="Arial"/>
            <w:noProof/>
            <w:webHidden/>
            <w:sz w:val="20"/>
            <w:szCs w:val="20"/>
          </w:rPr>
          <w:fldChar w:fldCharType="end"/>
        </w:r>
      </w:hyperlink>
    </w:p>
    <w:p w14:paraId="254DCCE5" w14:textId="5DC3F1A0" w:rsidR="00BE3F4E" w:rsidRPr="00BE3F4E" w:rsidRDefault="00000000">
      <w:pPr>
        <w:pStyle w:val="TOC4"/>
        <w:tabs>
          <w:tab w:val="right" w:leader="underscore" w:pos="9016"/>
        </w:tabs>
        <w:rPr>
          <w:rFonts w:ascii="Arial" w:eastAsiaTheme="minorEastAsia" w:hAnsi="Arial" w:cs="Arial"/>
          <w:noProof/>
          <w:sz w:val="20"/>
          <w:szCs w:val="20"/>
        </w:rPr>
      </w:pPr>
      <w:hyperlink w:anchor="_Toc153137557" w:history="1">
        <w:r w:rsidR="00BE3F4E" w:rsidRPr="00BE3F4E">
          <w:rPr>
            <w:rStyle w:val="Hyperlink"/>
            <w:rFonts w:ascii="Arial" w:eastAsia="Times New Roman" w:hAnsi="Arial" w:cs="Arial"/>
            <w:iCs/>
            <w:noProof/>
            <w:sz w:val="20"/>
            <w:szCs w:val="20"/>
          </w:rPr>
          <w:t>ML.A.904 Qualification of airworthiness review staff</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_Toc153137557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194</w:t>
        </w:r>
        <w:r w:rsidR="00BE3F4E" w:rsidRPr="00BE3F4E">
          <w:rPr>
            <w:rFonts w:ascii="Arial" w:hAnsi="Arial" w:cs="Arial"/>
            <w:noProof/>
            <w:webHidden/>
            <w:sz w:val="20"/>
            <w:szCs w:val="20"/>
          </w:rPr>
          <w:fldChar w:fldCharType="end"/>
        </w:r>
      </w:hyperlink>
    </w:p>
    <w:p w14:paraId="34BA2D55" w14:textId="06B50961" w:rsidR="00BE3F4E" w:rsidRPr="00BE3F4E" w:rsidRDefault="00000000">
      <w:pPr>
        <w:pStyle w:val="TOC5"/>
        <w:tabs>
          <w:tab w:val="right" w:leader="underscore" w:pos="9016"/>
        </w:tabs>
        <w:rPr>
          <w:rFonts w:ascii="Arial" w:eastAsiaTheme="minorEastAsia" w:hAnsi="Arial" w:cs="Arial"/>
          <w:noProof/>
          <w:sz w:val="20"/>
          <w:szCs w:val="20"/>
        </w:rPr>
      </w:pPr>
      <w:hyperlink w:anchor="_Toc153137558" w:history="1">
        <w:r w:rsidR="00BE3F4E" w:rsidRPr="00BE3F4E">
          <w:rPr>
            <w:rStyle w:val="Hyperlink"/>
            <w:rFonts w:ascii="Arial" w:eastAsia="Times New Roman" w:hAnsi="Arial" w:cs="Arial"/>
            <w:noProof/>
            <w:sz w:val="20"/>
            <w:szCs w:val="20"/>
          </w:rPr>
          <w:t>GM1 ML.A.904(c);(d) Qualification of airworthiness review staff</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_Toc153137558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194</w:t>
        </w:r>
        <w:r w:rsidR="00BE3F4E" w:rsidRPr="00BE3F4E">
          <w:rPr>
            <w:rFonts w:ascii="Arial" w:hAnsi="Arial" w:cs="Arial"/>
            <w:noProof/>
            <w:webHidden/>
            <w:sz w:val="20"/>
            <w:szCs w:val="20"/>
          </w:rPr>
          <w:fldChar w:fldCharType="end"/>
        </w:r>
      </w:hyperlink>
    </w:p>
    <w:p w14:paraId="6569DBEF" w14:textId="21BB3B49" w:rsidR="00BE3F4E" w:rsidRPr="00BE3F4E" w:rsidRDefault="00000000">
      <w:pPr>
        <w:pStyle w:val="TOC4"/>
        <w:tabs>
          <w:tab w:val="right" w:leader="underscore" w:pos="9016"/>
        </w:tabs>
        <w:rPr>
          <w:rFonts w:ascii="Arial" w:eastAsiaTheme="minorEastAsia" w:hAnsi="Arial" w:cs="Arial"/>
          <w:noProof/>
          <w:sz w:val="20"/>
          <w:szCs w:val="20"/>
        </w:rPr>
      </w:pPr>
      <w:hyperlink w:anchor="_Toc153137559" w:history="1">
        <w:r w:rsidR="00BE3F4E" w:rsidRPr="00BE3F4E">
          <w:rPr>
            <w:rStyle w:val="Hyperlink"/>
            <w:rFonts w:ascii="Arial" w:eastAsia="Times New Roman" w:hAnsi="Arial" w:cs="Arial"/>
            <w:iCs/>
            <w:noProof/>
            <w:sz w:val="20"/>
            <w:szCs w:val="20"/>
          </w:rPr>
          <w:t>ML.A.905 Transfer of aircraft registration within the Union</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_Toc153137559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194</w:t>
        </w:r>
        <w:r w:rsidR="00BE3F4E" w:rsidRPr="00BE3F4E">
          <w:rPr>
            <w:rFonts w:ascii="Arial" w:hAnsi="Arial" w:cs="Arial"/>
            <w:noProof/>
            <w:webHidden/>
            <w:sz w:val="20"/>
            <w:szCs w:val="20"/>
          </w:rPr>
          <w:fldChar w:fldCharType="end"/>
        </w:r>
      </w:hyperlink>
    </w:p>
    <w:p w14:paraId="292759A9" w14:textId="31186BF9" w:rsidR="00BE3F4E" w:rsidRPr="00BE3F4E" w:rsidRDefault="00000000">
      <w:pPr>
        <w:pStyle w:val="TOC4"/>
        <w:tabs>
          <w:tab w:val="right" w:leader="underscore" w:pos="9016"/>
        </w:tabs>
        <w:rPr>
          <w:rFonts w:ascii="Arial" w:eastAsiaTheme="minorEastAsia" w:hAnsi="Arial" w:cs="Arial"/>
          <w:noProof/>
          <w:sz w:val="20"/>
          <w:szCs w:val="20"/>
        </w:rPr>
      </w:pPr>
      <w:hyperlink w:anchor="_Toc153137560" w:history="1">
        <w:r w:rsidR="00BE3F4E" w:rsidRPr="00BE3F4E">
          <w:rPr>
            <w:rStyle w:val="Hyperlink"/>
            <w:rFonts w:ascii="Arial" w:eastAsia="Times New Roman" w:hAnsi="Arial" w:cs="Arial"/>
            <w:iCs/>
            <w:noProof/>
            <w:sz w:val="20"/>
            <w:szCs w:val="20"/>
          </w:rPr>
          <w:t>ML.A.906 Airworthiness review of aircraft imported into the Union</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_Toc153137560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195</w:t>
        </w:r>
        <w:r w:rsidR="00BE3F4E" w:rsidRPr="00BE3F4E">
          <w:rPr>
            <w:rFonts w:ascii="Arial" w:hAnsi="Arial" w:cs="Arial"/>
            <w:noProof/>
            <w:webHidden/>
            <w:sz w:val="20"/>
            <w:szCs w:val="20"/>
          </w:rPr>
          <w:fldChar w:fldCharType="end"/>
        </w:r>
      </w:hyperlink>
    </w:p>
    <w:p w14:paraId="65A76935" w14:textId="55232C84" w:rsidR="00BE3F4E" w:rsidRPr="00BE3F4E" w:rsidRDefault="00000000">
      <w:pPr>
        <w:pStyle w:val="TOC4"/>
        <w:tabs>
          <w:tab w:val="right" w:leader="underscore" w:pos="9016"/>
        </w:tabs>
        <w:rPr>
          <w:rFonts w:ascii="Arial" w:eastAsiaTheme="minorEastAsia" w:hAnsi="Arial" w:cs="Arial"/>
          <w:noProof/>
          <w:sz w:val="20"/>
          <w:szCs w:val="20"/>
        </w:rPr>
      </w:pPr>
      <w:hyperlink w:anchor="_Toc153137561" w:history="1">
        <w:r w:rsidR="00BE3F4E" w:rsidRPr="00BE3F4E">
          <w:rPr>
            <w:rStyle w:val="Hyperlink"/>
            <w:rFonts w:ascii="Arial" w:eastAsia="Times New Roman" w:hAnsi="Arial" w:cs="Arial"/>
            <w:iCs/>
            <w:noProof/>
            <w:sz w:val="20"/>
            <w:szCs w:val="20"/>
          </w:rPr>
          <w:t>ML.A.907 Findings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_Toc153137561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195</w:t>
        </w:r>
        <w:r w:rsidR="00BE3F4E" w:rsidRPr="00BE3F4E">
          <w:rPr>
            <w:rFonts w:ascii="Arial" w:hAnsi="Arial" w:cs="Arial"/>
            <w:noProof/>
            <w:webHidden/>
            <w:sz w:val="20"/>
            <w:szCs w:val="20"/>
          </w:rPr>
          <w:fldChar w:fldCharType="end"/>
        </w:r>
      </w:hyperlink>
    </w:p>
    <w:p w14:paraId="627BF4A9" w14:textId="72CB9D7E" w:rsidR="00BE3F4E" w:rsidRPr="00BE3F4E" w:rsidRDefault="00000000">
      <w:pPr>
        <w:pStyle w:val="TOC4"/>
        <w:tabs>
          <w:tab w:val="right" w:leader="underscore" w:pos="9016"/>
        </w:tabs>
        <w:rPr>
          <w:rFonts w:ascii="Arial" w:eastAsiaTheme="minorEastAsia" w:hAnsi="Arial" w:cs="Arial"/>
          <w:noProof/>
          <w:sz w:val="20"/>
          <w:szCs w:val="20"/>
        </w:rPr>
      </w:pPr>
      <w:hyperlink w:anchor="_Toc153137562" w:history="1">
        <w:r w:rsidR="00BE3F4E" w:rsidRPr="00BE3F4E">
          <w:rPr>
            <w:rStyle w:val="Hyperlink"/>
            <w:rFonts w:ascii="Arial" w:eastAsiaTheme="majorEastAsia" w:hAnsi="Arial" w:cs="Arial"/>
            <w:iCs/>
            <w:noProof/>
            <w:sz w:val="20"/>
            <w:szCs w:val="20"/>
          </w:rPr>
          <w:t>SECTION B — PROCEDURE FOR COMPETENT AUTHORITIES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_Toc153137562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196</w:t>
        </w:r>
        <w:r w:rsidR="00BE3F4E" w:rsidRPr="00BE3F4E">
          <w:rPr>
            <w:rFonts w:ascii="Arial" w:hAnsi="Arial" w:cs="Arial"/>
            <w:noProof/>
            <w:webHidden/>
            <w:sz w:val="20"/>
            <w:szCs w:val="20"/>
          </w:rPr>
          <w:fldChar w:fldCharType="end"/>
        </w:r>
      </w:hyperlink>
    </w:p>
    <w:p w14:paraId="4865F280" w14:textId="468486B5" w:rsidR="00BE3F4E" w:rsidRPr="00BE3F4E" w:rsidRDefault="00000000">
      <w:pPr>
        <w:pStyle w:val="TOC3"/>
        <w:tabs>
          <w:tab w:val="right" w:leader="underscore" w:pos="9016"/>
        </w:tabs>
        <w:rPr>
          <w:rFonts w:ascii="Arial" w:eastAsiaTheme="minorEastAsia" w:hAnsi="Arial" w:cs="Arial"/>
          <w:b w:val="0"/>
          <w:bCs w:val="0"/>
          <w:noProof/>
          <w:sz w:val="20"/>
          <w:szCs w:val="20"/>
        </w:rPr>
      </w:pPr>
      <w:hyperlink w:anchor="_Toc153137563" w:history="1">
        <w:r w:rsidR="00BE3F4E" w:rsidRPr="00BE3F4E">
          <w:rPr>
            <w:rStyle w:val="Hyperlink"/>
            <w:rFonts w:ascii="Arial" w:eastAsiaTheme="majorEastAsia" w:hAnsi="Arial" w:cs="Arial"/>
            <w:b w:val="0"/>
            <w:bCs w:val="0"/>
            <w:noProof/>
            <w:sz w:val="20"/>
            <w:szCs w:val="20"/>
          </w:rPr>
          <w:t>SUBPART A — GENERAL</w:t>
        </w:r>
        <w:r w:rsidR="00BE3F4E" w:rsidRPr="00BE3F4E">
          <w:rPr>
            <w:rFonts w:ascii="Arial" w:hAnsi="Arial" w:cs="Arial"/>
            <w:b w:val="0"/>
            <w:bCs w:val="0"/>
            <w:noProof/>
            <w:webHidden/>
            <w:sz w:val="20"/>
            <w:szCs w:val="20"/>
          </w:rPr>
          <w:tab/>
        </w:r>
        <w:r w:rsidR="00BE3F4E" w:rsidRPr="00BE3F4E">
          <w:rPr>
            <w:rFonts w:ascii="Arial" w:hAnsi="Arial" w:cs="Arial"/>
            <w:b w:val="0"/>
            <w:bCs w:val="0"/>
            <w:noProof/>
            <w:webHidden/>
            <w:sz w:val="20"/>
            <w:szCs w:val="20"/>
          </w:rPr>
          <w:fldChar w:fldCharType="begin"/>
        </w:r>
        <w:r w:rsidR="00BE3F4E" w:rsidRPr="00BE3F4E">
          <w:rPr>
            <w:rFonts w:ascii="Arial" w:hAnsi="Arial" w:cs="Arial"/>
            <w:b w:val="0"/>
            <w:bCs w:val="0"/>
            <w:noProof/>
            <w:webHidden/>
            <w:sz w:val="20"/>
            <w:szCs w:val="20"/>
          </w:rPr>
          <w:instrText xml:space="preserve"> PAGEREF _Toc153137563 \h </w:instrText>
        </w:r>
        <w:r w:rsidR="00BE3F4E" w:rsidRPr="00BE3F4E">
          <w:rPr>
            <w:rFonts w:ascii="Arial" w:hAnsi="Arial" w:cs="Arial"/>
            <w:b w:val="0"/>
            <w:bCs w:val="0"/>
            <w:noProof/>
            <w:webHidden/>
            <w:sz w:val="20"/>
            <w:szCs w:val="20"/>
          </w:rPr>
        </w:r>
        <w:r w:rsidR="00BE3F4E" w:rsidRPr="00BE3F4E">
          <w:rPr>
            <w:rFonts w:ascii="Arial" w:hAnsi="Arial" w:cs="Arial"/>
            <w:b w:val="0"/>
            <w:bCs w:val="0"/>
            <w:noProof/>
            <w:webHidden/>
            <w:sz w:val="20"/>
            <w:szCs w:val="20"/>
          </w:rPr>
          <w:fldChar w:fldCharType="separate"/>
        </w:r>
        <w:r w:rsidR="006A7538">
          <w:rPr>
            <w:rFonts w:ascii="Arial" w:hAnsi="Arial" w:cs="Arial"/>
            <w:b w:val="0"/>
            <w:bCs w:val="0"/>
            <w:noProof/>
            <w:webHidden/>
            <w:sz w:val="20"/>
            <w:szCs w:val="20"/>
          </w:rPr>
          <w:t>196</w:t>
        </w:r>
        <w:r w:rsidR="00BE3F4E" w:rsidRPr="00BE3F4E">
          <w:rPr>
            <w:rFonts w:ascii="Arial" w:hAnsi="Arial" w:cs="Arial"/>
            <w:b w:val="0"/>
            <w:bCs w:val="0"/>
            <w:noProof/>
            <w:webHidden/>
            <w:sz w:val="20"/>
            <w:szCs w:val="20"/>
          </w:rPr>
          <w:fldChar w:fldCharType="end"/>
        </w:r>
      </w:hyperlink>
    </w:p>
    <w:p w14:paraId="0A15030D" w14:textId="14A8FA44" w:rsidR="00BE3F4E" w:rsidRPr="00BE3F4E" w:rsidRDefault="00000000">
      <w:pPr>
        <w:pStyle w:val="TOC4"/>
        <w:tabs>
          <w:tab w:val="right" w:leader="underscore" w:pos="9016"/>
        </w:tabs>
        <w:rPr>
          <w:rFonts w:ascii="Arial" w:eastAsiaTheme="minorEastAsia" w:hAnsi="Arial" w:cs="Arial"/>
          <w:noProof/>
          <w:sz w:val="20"/>
          <w:szCs w:val="20"/>
        </w:rPr>
      </w:pPr>
      <w:hyperlink w:anchor="_Toc153137564" w:history="1">
        <w:r w:rsidR="00BE3F4E" w:rsidRPr="00BE3F4E">
          <w:rPr>
            <w:rStyle w:val="Hyperlink"/>
            <w:rFonts w:ascii="Arial" w:eastAsia="Times New Roman" w:hAnsi="Arial" w:cs="Arial"/>
            <w:iCs/>
            <w:noProof/>
            <w:sz w:val="20"/>
            <w:szCs w:val="20"/>
          </w:rPr>
          <w:t>ML.B.101 Scope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_Toc153137564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196</w:t>
        </w:r>
        <w:r w:rsidR="00BE3F4E" w:rsidRPr="00BE3F4E">
          <w:rPr>
            <w:rFonts w:ascii="Arial" w:hAnsi="Arial" w:cs="Arial"/>
            <w:noProof/>
            <w:webHidden/>
            <w:sz w:val="20"/>
            <w:szCs w:val="20"/>
          </w:rPr>
          <w:fldChar w:fldCharType="end"/>
        </w:r>
      </w:hyperlink>
    </w:p>
    <w:p w14:paraId="6322C870" w14:textId="5AC50E7D" w:rsidR="00BE3F4E" w:rsidRPr="00BE3F4E" w:rsidRDefault="00000000">
      <w:pPr>
        <w:pStyle w:val="TOC4"/>
        <w:tabs>
          <w:tab w:val="right" w:leader="underscore" w:pos="9016"/>
        </w:tabs>
        <w:rPr>
          <w:rFonts w:ascii="Arial" w:eastAsiaTheme="minorEastAsia" w:hAnsi="Arial" w:cs="Arial"/>
          <w:noProof/>
          <w:sz w:val="20"/>
          <w:szCs w:val="20"/>
        </w:rPr>
      </w:pPr>
      <w:hyperlink w:anchor="_Toc153137565" w:history="1">
        <w:r w:rsidR="00BE3F4E" w:rsidRPr="00BE3F4E">
          <w:rPr>
            <w:rStyle w:val="Hyperlink"/>
            <w:rFonts w:ascii="Arial" w:eastAsia="Times New Roman" w:hAnsi="Arial" w:cs="Arial"/>
            <w:iCs/>
            <w:noProof/>
            <w:sz w:val="20"/>
            <w:szCs w:val="20"/>
          </w:rPr>
          <w:t>ML.B.102 Competent authority</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_Toc153137565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196</w:t>
        </w:r>
        <w:r w:rsidR="00BE3F4E" w:rsidRPr="00BE3F4E">
          <w:rPr>
            <w:rFonts w:ascii="Arial" w:hAnsi="Arial" w:cs="Arial"/>
            <w:noProof/>
            <w:webHidden/>
            <w:sz w:val="20"/>
            <w:szCs w:val="20"/>
          </w:rPr>
          <w:fldChar w:fldCharType="end"/>
        </w:r>
      </w:hyperlink>
    </w:p>
    <w:p w14:paraId="48704BCD" w14:textId="5AAF85E8" w:rsidR="00BE3F4E" w:rsidRPr="00BE3F4E" w:rsidRDefault="00000000">
      <w:pPr>
        <w:pStyle w:val="TOC4"/>
        <w:tabs>
          <w:tab w:val="right" w:leader="underscore" w:pos="9016"/>
        </w:tabs>
        <w:rPr>
          <w:rFonts w:ascii="Arial" w:eastAsiaTheme="minorEastAsia" w:hAnsi="Arial" w:cs="Arial"/>
          <w:noProof/>
          <w:sz w:val="20"/>
          <w:szCs w:val="20"/>
        </w:rPr>
      </w:pPr>
      <w:hyperlink w:anchor="_Toc153137566" w:history="1">
        <w:r w:rsidR="00BE3F4E" w:rsidRPr="00BE3F4E">
          <w:rPr>
            <w:rStyle w:val="Hyperlink"/>
            <w:rFonts w:ascii="Arial" w:eastAsia="Times New Roman" w:hAnsi="Arial" w:cs="Arial"/>
            <w:iCs/>
            <w:noProof/>
            <w:sz w:val="20"/>
            <w:szCs w:val="20"/>
          </w:rPr>
          <w:t>ML.B.104 Record-keeping</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_Toc153137566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196</w:t>
        </w:r>
        <w:r w:rsidR="00BE3F4E" w:rsidRPr="00BE3F4E">
          <w:rPr>
            <w:rFonts w:ascii="Arial" w:hAnsi="Arial" w:cs="Arial"/>
            <w:noProof/>
            <w:webHidden/>
            <w:sz w:val="20"/>
            <w:szCs w:val="20"/>
          </w:rPr>
          <w:fldChar w:fldCharType="end"/>
        </w:r>
      </w:hyperlink>
    </w:p>
    <w:p w14:paraId="1718CC85" w14:textId="150DF92E" w:rsidR="00BE3F4E" w:rsidRPr="00BE3F4E" w:rsidRDefault="00000000">
      <w:pPr>
        <w:pStyle w:val="TOC4"/>
        <w:tabs>
          <w:tab w:val="right" w:leader="underscore" w:pos="9016"/>
        </w:tabs>
        <w:rPr>
          <w:rFonts w:ascii="Arial" w:eastAsiaTheme="minorEastAsia" w:hAnsi="Arial" w:cs="Arial"/>
          <w:noProof/>
          <w:sz w:val="20"/>
          <w:szCs w:val="20"/>
        </w:rPr>
      </w:pPr>
      <w:hyperlink w:anchor="_Toc153137567" w:history="1">
        <w:r w:rsidR="00BE3F4E" w:rsidRPr="00BE3F4E">
          <w:rPr>
            <w:rStyle w:val="Hyperlink"/>
            <w:rFonts w:ascii="Arial" w:eastAsia="Times New Roman" w:hAnsi="Arial" w:cs="Arial"/>
            <w:iCs/>
            <w:noProof/>
            <w:sz w:val="20"/>
            <w:szCs w:val="20"/>
          </w:rPr>
          <w:t>ML.B.105 Mutual exchange of information</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_Toc153137567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196</w:t>
        </w:r>
        <w:r w:rsidR="00BE3F4E" w:rsidRPr="00BE3F4E">
          <w:rPr>
            <w:rFonts w:ascii="Arial" w:hAnsi="Arial" w:cs="Arial"/>
            <w:noProof/>
            <w:webHidden/>
            <w:sz w:val="20"/>
            <w:szCs w:val="20"/>
          </w:rPr>
          <w:fldChar w:fldCharType="end"/>
        </w:r>
      </w:hyperlink>
    </w:p>
    <w:p w14:paraId="2D6AC403" w14:textId="7C613BA5" w:rsidR="00BE3F4E" w:rsidRPr="00BE3F4E" w:rsidRDefault="00000000">
      <w:pPr>
        <w:pStyle w:val="TOC3"/>
        <w:tabs>
          <w:tab w:val="right" w:leader="underscore" w:pos="9016"/>
        </w:tabs>
        <w:rPr>
          <w:rFonts w:ascii="Arial" w:eastAsiaTheme="minorEastAsia" w:hAnsi="Arial" w:cs="Arial"/>
          <w:b w:val="0"/>
          <w:bCs w:val="0"/>
          <w:noProof/>
          <w:sz w:val="20"/>
          <w:szCs w:val="20"/>
        </w:rPr>
      </w:pPr>
      <w:hyperlink w:anchor="_Toc153137568" w:history="1">
        <w:r w:rsidR="00BE3F4E" w:rsidRPr="00BE3F4E">
          <w:rPr>
            <w:rStyle w:val="Hyperlink"/>
            <w:rFonts w:ascii="Arial" w:eastAsiaTheme="majorEastAsia" w:hAnsi="Arial" w:cs="Arial"/>
            <w:b w:val="0"/>
            <w:bCs w:val="0"/>
            <w:noProof/>
            <w:sz w:val="20"/>
            <w:szCs w:val="20"/>
          </w:rPr>
          <w:t>SUBPART B — ACCOUNTABILITY</w:t>
        </w:r>
        <w:r w:rsidR="00BE3F4E" w:rsidRPr="00BE3F4E">
          <w:rPr>
            <w:rFonts w:ascii="Arial" w:hAnsi="Arial" w:cs="Arial"/>
            <w:b w:val="0"/>
            <w:bCs w:val="0"/>
            <w:noProof/>
            <w:webHidden/>
            <w:sz w:val="20"/>
            <w:szCs w:val="20"/>
          </w:rPr>
          <w:tab/>
        </w:r>
        <w:r w:rsidR="00BE3F4E" w:rsidRPr="00BE3F4E">
          <w:rPr>
            <w:rFonts w:ascii="Arial" w:hAnsi="Arial" w:cs="Arial"/>
            <w:b w:val="0"/>
            <w:bCs w:val="0"/>
            <w:noProof/>
            <w:webHidden/>
            <w:sz w:val="20"/>
            <w:szCs w:val="20"/>
          </w:rPr>
          <w:fldChar w:fldCharType="begin"/>
        </w:r>
        <w:r w:rsidR="00BE3F4E" w:rsidRPr="00BE3F4E">
          <w:rPr>
            <w:rFonts w:ascii="Arial" w:hAnsi="Arial" w:cs="Arial"/>
            <w:b w:val="0"/>
            <w:bCs w:val="0"/>
            <w:noProof/>
            <w:webHidden/>
            <w:sz w:val="20"/>
            <w:szCs w:val="20"/>
          </w:rPr>
          <w:instrText xml:space="preserve"> PAGEREF _Toc153137568 \h </w:instrText>
        </w:r>
        <w:r w:rsidR="00BE3F4E" w:rsidRPr="00BE3F4E">
          <w:rPr>
            <w:rFonts w:ascii="Arial" w:hAnsi="Arial" w:cs="Arial"/>
            <w:b w:val="0"/>
            <w:bCs w:val="0"/>
            <w:noProof/>
            <w:webHidden/>
            <w:sz w:val="20"/>
            <w:szCs w:val="20"/>
          </w:rPr>
        </w:r>
        <w:r w:rsidR="00BE3F4E" w:rsidRPr="00BE3F4E">
          <w:rPr>
            <w:rFonts w:ascii="Arial" w:hAnsi="Arial" w:cs="Arial"/>
            <w:b w:val="0"/>
            <w:bCs w:val="0"/>
            <w:noProof/>
            <w:webHidden/>
            <w:sz w:val="20"/>
            <w:szCs w:val="20"/>
          </w:rPr>
          <w:fldChar w:fldCharType="separate"/>
        </w:r>
        <w:r w:rsidR="006A7538">
          <w:rPr>
            <w:rFonts w:ascii="Arial" w:hAnsi="Arial" w:cs="Arial"/>
            <w:b w:val="0"/>
            <w:bCs w:val="0"/>
            <w:noProof/>
            <w:webHidden/>
            <w:sz w:val="20"/>
            <w:szCs w:val="20"/>
          </w:rPr>
          <w:t>197</w:t>
        </w:r>
        <w:r w:rsidR="00BE3F4E" w:rsidRPr="00BE3F4E">
          <w:rPr>
            <w:rFonts w:ascii="Arial" w:hAnsi="Arial" w:cs="Arial"/>
            <w:b w:val="0"/>
            <w:bCs w:val="0"/>
            <w:noProof/>
            <w:webHidden/>
            <w:sz w:val="20"/>
            <w:szCs w:val="20"/>
          </w:rPr>
          <w:fldChar w:fldCharType="end"/>
        </w:r>
      </w:hyperlink>
    </w:p>
    <w:p w14:paraId="73EE7BAE" w14:textId="076EA070" w:rsidR="00BE3F4E" w:rsidRPr="00BE3F4E" w:rsidRDefault="00000000">
      <w:pPr>
        <w:pStyle w:val="TOC4"/>
        <w:tabs>
          <w:tab w:val="right" w:leader="underscore" w:pos="9016"/>
        </w:tabs>
        <w:rPr>
          <w:rFonts w:ascii="Arial" w:eastAsiaTheme="minorEastAsia" w:hAnsi="Arial" w:cs="Arial"/>
          <w:noProof/>
          <w:sz w:val="20"/>
          <w:szCs w:val="20"/>
        </w:rPr>
      </w:pPr>
      <w:hyperlink w:anchor="_Toc153137569" w:history="1">
        <w:r w:rsidR="00BE3F4E" w:rsidRPr="00BE3F4E">
          <w:rPr>
            <w:rStyle w:val="Hyperlink"/>
            <w:rFonts w:ascii="Arial" w:eastAsia="Times New Roman" w:hAnsi="Arial" w:cs="Arial"/>
            <w:iCs/>
            <w:noProof/>
            <w:sz w:val="20"/>
            <w:szCs w:val="20"/>
          </w:rPr>
          <w:t>ML.B.201 Responsibilities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_Toc153137569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197</w:t>
        </w:r>
        <w:r w:rsidR="00BE3F4E" w:rsidRPr="00BE3F4E">
          <w:rPr>
            <w:rFonts w:ascii="Arial" w:hAnsi="Arial" w:cs="Arial"/>
            <w:noProof/>
            <w:webHidden/>
            <w:sz w:val="20"/>
            <w:szCs w:val="20"/>
          </w:rPr>
          <w:fldChar w:fldCharType="end"/>
        </w:r>
      </w:hyperlink>
    </w:p>
    <w:p w14:paraId="1F0BC530" w14:textId="34D403F6" w:rsidR="00BE3F4E" w:rsidRPr="00BE3F4E" w:rsidRDefault="00000000">
      <w:pPr>
        <w:pStyle w:val="TOC5"/>
        <w:tabs>
          <w:tab w:val="right" w:leader="underscore" w:pos="9016"/>
        </w:tabs>
        <w:rPr>
          <w:rFonts w:ascii="Arial" w:eastAsiaTheme="minorEastAsia" w:hAnsi="Arial" w:cs="Arial"/>
          <w:noProof/>
          <w:sz w:val="20"/>
          <w:szCs w:val="20"/>
        </w:rPr>
      </w:pPr>
      <w:hyperlink w:anchor="_Toc153137570" w:history="1">
        <w:r w:rsidR="00BE3F4E" w:rsidRPr="00BE3F4E">
          <w:rPr>
            <w:rStyle w:val="Hyperlink"/>
            <w:rFonts w:ascii="Arial" w:eastAsia="Times New Roman" w:hAnsi="Arial" w:cs="Arial"/>
            <w:noProof/>
            <w:sz w:val="20"/>
            <w:szCs w:val="20"/>
          </w:rPr>
          <w:t>AMC1 ML.B.201 Responsibilities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_Toc153137570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197</w:t>
        </w:r>
        <w:r w:rsidR="00BE3F4E" w:rsidRPr="00BE3F4E">
          <w:rPr>
            <w:rFonts w:ascii="Arial" w:hAnsi="Arial" w:cs="Arial"/>
            <w:noProof/>
            <w:webHidden/>
            <w:sz w:val="20"/>
            <w:szCs w:val="20"/>
          </w:rPr>
          <w:fldChar w:fldCharType="end"/>
        </w:r>
      </w:hyperlink>
    </w:p>
    <w:p w14:paraId="21988966" w14:textId="17C29E0C" w:rsidR="00BE3F4E" w:rsidRPr="00BE3F4E" w:rsidRDefault="00000000">
      <w:pPr>
        <w:pStyle w:val="TOC3"/>
        <w:tabs>
          <w:tab w:val="right" w:leader="underscore" w:pos="9016"/>
        </w:tabs>
        <w:rPr>
          <w:rFonts w:ascii="Arial" w:eastAsiaTheme="minorEastAsia" w:hAnsi="Arial" w:cs="Arial"/>
          <w:b w:val="0"/>
          <w:bCs w:val="0"/>
          <w:noProof/>
          <w:sz w:val="20"/>
          <w:szCs w:val="20"/>
        </w:rPr>
      </w:pPr>
      <w:hyperlink w:anchor="_Toc153137571" w:history="1">
        <w:r w:rsidR="00BE3F4E" w:rsidRPr="00BE3F4E">
          <w:rPr>
            <w:rStyle w:val="Hyperlink"/>
            <w:rFonts w:ascii="Arial" w:eastAsiaTheme="majorEastAsia" w:hAnsi="Arial" w:cs="Arial"/>
            <w:b w:val="0"/>
            <w:bCs w:val="0"/>
            <w:noProof/>
            <w:sz w:val="20"/>
            <w:szCs w:val="20"/>
          </w:rPr>
          <w:t>SUBPART C — CONTINUING AIRWORTHINESS</w:t>
        </w:r>
        <w:r w:rsidR="00BE3F4E" w:rsidRPr="00BE3F4E">
          <w:rPr>
            <w:rFonts w:ascii="Arial" w:hAnsi="Arial" w:cs="Arial"/>
            <w:b w:val="0"/>
            <w:bCs w:val="0"/>
            <w:noProof/>
            <w:webHidden/>
            <w:sz w:val="20"/>
            <w:szCs w:val="20"/>
          </w:rPr>
          <w:tab/>
        </w:r>
        <w:r w:rsidR="00BE3F4E" w:rsidRPr="00BE3F4E">
          <w:rPr>
            <w:rFonts w:ascii="Arial" w:hAnsi="Arial" w:cs="Arial"/>
            <w:b w:val="0"/>
            <w:bCs w:val="0"/>
            <w:noProof/>
            <w:webHidden/>
            <w:sz w:val="20"/>
            <w:szCs w:val="20"/>
          </w:rPr>
          <w:fldChar w:fldCharType="begin"/>
        </w:r>
        <w:r w:rsidR="00BE3F4E" w:rsidRPr="00BE3F4E">
          <w:rPr>
            <w:rFonts w:ascii="Arial" w:hAnsi="Arial" w:cs="Arial"/>
            <w:b w:val="0"/>
            <w:bCs w:val="0"/>
            <w:noProof/>
            <w:webHidden/>
            <w:sz w:val="20"/>
            <w:szCs w:val="20"/>
          </w:rPr>
          <w:instrText xml:space="preserve"> PAGEREF _Toc153137571 \h </w:instrText>
        </w:r>
        <w:r w:rsidR="00BE3F4E" w:rsidRPr="00BE3F4E">
          <w:rPr>
            <w:rFonts w:ascii="Arial" w:hAnsi="Arial" w:cs="Arial"/>
            <w:b w:val="0"/>
            <w:bCs w:val="0"/>
            <w:noProof/>
            <w:webHidden/>
            <w:sz w:val="20"/>
            <w:szCs w:val="20"/>
          </w:rPr>
        </w:r>
        <w:r w:rsidR="00BE3F4E" w:rsidRPr="00BE3F4E">
          <w:rPr>
            <w:rFonts w:ascii="Arial" w:hAnsi="Arial" w:cs="Arial"/>
            <w:b w:val="0"/>
            <w:bCs w:val="0"/>
            <w:noProof/>
            <w:webHidden/>
            <w:sz w:val="20"/>
            <w:szCs w:val="20"/>
          </w:rPr>
          <w:fldChar w:fldCharType="separate"/>
        </w:r>
        <w:r w:rsidR="006A7538">
          <w:rPr>
            <w:rFonts w:ascii="Arial" w:hAnsi="Arial" w:cs="Arial"/>
            <w:b w:val="0"/>
            <w:bCs w:val="0"/>
            <w:noProof/>
            <w:webHidden/>
            <w:sz w:val="20"/>
            <w:szCs w:val="20"/>
          </w:rPr>
          <w:t>198</w:t>
        </w:r>
        <w:r w:rsidR="00BE3F4E" w:rsidRPr="00BE3F4E">
          <w:rPr>
            <w:rFonts w:ascii="Arial" w:hAnsi="Arial" w:cs="Arial"/>
            <w:b w:val="0"/>
            <w:bCs w:val="0"/>
            <w:noProof/>
            <w:webHidden/>
            <w:sz w:val="20"/>
            <w:szCs w:val="20"/>
          </w:rPr>
          <w:fldChar w:fldCharType="end"/>
        </w:r>
      </w:hyperlink>
    </w:p>
    <w:p w14:paraId="73DBC20D" w14:textId="4DB3C071" w:rsidR="00BE3F4E" w:rsidRPr="00BE3F4E" w:rsidRDefault="00000000">
      <w:pPr>
        <w:pStyle w:val="TOC4"/>
        <w:tabs>
          <w:tab w:val="right" w:leader="underscore" w:pos="9016"/>
        </w:tabs>
        <w:rPr>
          <w:rFonts w:ascii="Arial" w:eastAsiaTheme="minorEastAsia" w:hAnsi="Arial" w:cs="Arial"/>
          <w:noProof/>
          <w:sz w:val="20"/>
          <w:szCs w:val="20"/>
        </w:rPr>
      </w:pPr>
      <w:hyperlink w:anchor="_Toc153137572" w:history="1">
        <w:r w:rsidR="00BE3F4E" w:rsidRPr="00BE3F4E">
          <w:rPr>
            <w:rStyle w:val="Hyperlink"/>
            <w:rFonts w:ascii="Arial" w:eastAsia="Times New Roman" w:hAnsi="Arial" w:cs="Arial"/>
            <w:iCs/>
            <w:noProof/>
            <w:sz w:val="20"/>
            <w:szCs w:val="20"/>
          </w:rPr>
          <w:t>ML.B.302 Exemptions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_Toc153137572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198</w:t>
        </w:r>
        <w:r w:rsidR="00BE3F4E" w:rsidRPr="00BE3F4E">
          <w:rPr>
            <w:rFonts w:ascii="Arial" w:hAnsi="Arial" w:cs="Arial"/>
            <w:noProof/>
            <w:webHidden/>
            <w:sz w:val="20"/>
            <w:szCs w:val="20"/>
          </w:rPr>
          <w:fldChar w:fldCharType="end"/>
        </w:r>
      </w:hyperlink>
    </w:p>
    <w:p w14:paraId="50B06F2C" w14:textId="5772C5EC" w:rsidR="00BE3F4E" w:rsidRPr="00BE3F4E" w:rsidRDefault="00000000">
      <w:pPr>
        <w:pStyle w:val="TOC4"/>
        <w:tabs>
          <w:tab w:val="right" w:leader="underscore" w:pos="9016"/>
        </w:tabs>
        <w:rPr>
          <w:rFonts w:ascii="Arial" w:eastAsiaTheme="minorEastAsia" w:hAnsi="Arial" w:cs="Arial"/>
          <w:noProof/>
          <w:sz w:val="20"/>
          <w:szCs w:val="20"/>
        </w:rPr>
      </w:pPr>
      <w:hyperlink w:anchor="_Toc153137573" w:history="1">
        <w:r w:rsidR="00BE3F4E" w:rsidRPr="00BE3F4E">
          <w:rPr>
            <w:rStyle w:val="Hyperlink"/>
            <w:rFonts w:ascii="Arial" w:eastAsia="Times New Roman" w:hAnsi="Arial" w:cs="Arial"/>
            <w:iCs/>
            <w:noProof/>
            <w:sz w:val="20"/>
            <w:szCs w:val="20"/>
          </w:rPr>
          <w:t>ML.B.303 Aircraft continuing-airworthiness monitoring</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_Toc153137573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198</w:t>
        </w:r>
        <w:r w:rsidR="00BE3F4E" w:rsidRPr="00BE3F4E">
          <w:rPr>
            <w:rFonts w:ascii="Arial" w:hAnsi="Arial" w:cs="Arial"/>
            <w:noProof/>
            <w:webHidden/>
            <w:sz w:val="20"/>
            <w:szCs w:val="20"/>
          </w:rPr>
          <w:fldChar w:fldCharType="end"/>
        </w:r>
      </w:hyperlink>
    </w:p>
    <w:p w14:paraId="1BA5CDF8" w14:textId="045895D4" w:rsidR="00BE3F4E" w:rsidRPr="00BE3F4E" w:rsidRDefault="00000000">
      <w:pPr>
        <w:pStyle w:val="TOC5"/>
        <w:tabs>
          <w:tab w:val="right" w:leader="underscore" w:pos="9016"/>
        </w:tabs>
        <w:rPr>
          <w:rFonts w:ascii="Arial" w:eastAsiaTheme="minorEastAsia" w:hAnsi="Arial" w:cs="Arial"/>
          <w:noProof/>
          <w:sz w:val="20"/>
          <w:szCs w:val="20"/>
        </w:rPr>
      </w:pPr>
      <w:hyperlink w:anchor="_Toc153137574" w:history="1">
        <w:r w:rsidR="00BE3F4E" w:rsidRPr="00BE3F4E">
          <w:rPr>
            <w:rStyle w:val="Hyperlink"/>
            <w:rFonts w:ascii="Arial" w:eastAsia="Times New Roman" w:hAnsi="Arial" w:cs="Arial"/>
            <w:noProof/>
            <w:sz w:val="20"/>
            <w:szCs w:val="20"/>
          </w:rPr>
          <w:t>AMC1 ML.B.303 Aircraft continuing airworthiness monitoring</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_Toc153137574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198</w:t>
        </w:r>
        <w:r w:rsidR="00BE3F4E" w:rsidRPr="00BE3F4E">
          <w:rPr>
            <w:rFonts w:ascii="Arial" w:hAnsi="Arial" w:cs="Arial"/>
            <w:noProof/>
            <w:webHidden/>
            <w:sz w:val="20"/>
            <w:szCs w:val="20"/>
          </w:rPr>
          <w:fldChar w:fldCharType="end"/>
        </w:r>
      </w:hyperlink>
    </w:p>
    <w:p w14:paraId="42DB548C" w14:textId="0C97401E" w:rsidR="00BE3F4E" w:rsidRPr="00BE3F4E" w:rsidRDefault="00000000">
      <w:pPr>
        <w:pStyle w:val="TOC4"/>
        <w:tabs>
          <w:tab w:val="right" w:leader="underscore" w:pos="9016"/>
        </w:tabs>
        <w:rPr>
          <w:rFonts w:ascii="Arial" w:eastAsiaTheme="minorEastAsia" w:hAnsi="Arial" w:cs="Arial"/>
          <w:noProof/>
          <w:sz w:val="20"/>
          <w:szCs w:val="20"/>
        </w:rPr>
      </w:pPr>
      <w:hyperlink w:anchor="_Toc153137575" w:history="1">
        <w:r w:rsidR="00BE3F4E" w:rsidRPr="00BE3F4E">
          <w:rPr>
            <w:rStyle w:val="Hyperlink"/>
            <w:rFonts w:ascii="Arial" w:eastAsia="Times New Roman" w:hAnsi="Arial" w:cs="Arial"/>
            <w:iCs/>
            <w:noProof/>
            <w:sz w:val="20"/>
            <w:szCs w:val="20"/>
          </w:rPr>
          <w:t>ML.B.304 Revocation, suspension and limitation</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_Toc153137575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198</w:t>
        </w:r>
        <w:r w:rsidR="00BE3F4E" w:rsidRPr="00BE3F4E">
          <w:rPr>
            <w:rFonts w:ascii="Arial" w:hAnsi="Arial" w:cs="Arial"/>
            <w:noProof/>
            <w:webHidden/>
            <w:sz w:val="20"/>
            <w:szCs w:val="20"/>
          </w:rPr>
          <w:fldChar w:fldCharType="end"/>
        </w:r>
      </w:hyperlink>
    </w:p>
    <w:p w14:paraId="73475433" w14:textId="48BF55F4" w:rsidR="00BE3F4E" w:rsidRPr="00BE3F4E" w:rsidRDefault="00000000">
      <w:pPr>
        <w:pStyle w:val="TOC3"/>
        <w:tabs>
          <w:tab w:val="right" w:leader="underscore" w:pos="9016"/>
        </w:tabs>
        <w:rPr>
          <w:rFonts w:ascii="Arial" w:eastAsiaTheme="minorEastAsia" w:hAnsi="Arial" w:cs="Arial"/>
          <w:b w:val="0"/>
          <w:bCs w:val="0"/>
          <w:noProof/>
          <w:sz w:val="20"/>
          <w:szCs w:val="20"/>
        </w:rPr>
      </w:pPr>
      <w:hyperlink w:anchor="_Toc153137576" w:history="1">
        <w:r w:rsidR="00BE3F4E" w:rsidRPr="00BE3F4E">
          <w:rPr>
            <w:rStyle w:val="Hyperlink"/>
            <w:rFonts w:ascii="Arial" w:eastAsiaTheme="majorEastAsia" w:hAnsi="Arial" w:cs="Arial"/>
            <w:b w:val="0"/>
            <w:bCs w:val="0"/>
            <w:noProof/>
            <w:sz w:val="20"/>
            <w:szCs w:val="20"/>
          </w:rPr>
          <w:t>SUBPART I — AIRWORTHINESS REVIEW CERTIFICATE (ARC)</w:t>
        </w:r>
        <w:r w:rsidR="00BE3F4E" w:rsidRPr="00BE3F4E">
          <w:rPr>
            <w:rFonts w:ascii="Arial" w:hAnsi="Arial" w:cs="Arial"/>
            <w:b w:val="0"/>
            <w:bCs w:val="0"/>
            <w:noProof/>
            <w:webHidden/>
            <w:sz w:val="20"/>
            <w:szCs w:val="20"/>
          </w:rPr>
          <w:tab/>
        </w:r>
        <w:r w:rsidR="00BE3F4E" w:rsidRPr="00BE3F4E">
          <w:rPr>
            <w:rFonts w:ascii="Arial" w:hAnsi="Arial" w:cs="Arial"/>
            <w:b w:val="0"/>
            <w:bCs w:val="0"/>
            <w:noProof/>
            <w:webHidden/>
            <w:sz w:val="20"/>
            <w:szCs w:val="20"/>
          </w:rPr>
          <w:fldChar w:fldCharType="begin"/>
        </w:r>
        <w:r w:rsidR="00BE3F4E" w:rsidRPr="00BE3F4E">
          <w:rPr>
            <w:rFonts w:ascii="Arial" w:hAnsi="Arial" w:cs="Arial"/>
            <w:b w:val="0"/>
            <w:bCs w:val="0"/>
            <w:noProof/>
            <w:webHidden/>
            <w:sz w:val="20"/>
            <w:szCs w:val="20"/>
          </w:rPr>
          <w:instrText xml:space="preserve"> PAGEREF _Toc153137576 \h </w:instrText>
        </w:r>
        <w:r w:rsidR="00BE3F4E" w:rsidRPr="00BE3F4E">
          <w:rPr>
            <w:rFonts w:ascii="Arial" w:hAnsi="Arial" w:cs="Arial"/>
            <w:b w:val="0"/>
            <w:bCs w:val="0"/>
            <w:noProof/>
            <w:webHidden/>
            <w:sz w:val="20"/>
            <w:szCs w:val="20"/>
          </w:rPr>
        </w:r>
        <w:r w:rsidR="00BE3F4E" w:rsidRPr="00BE3F4E">
          <w:rPr>
            <w:rFonts w:ascii="Arial" w:hAnsi="Arial" w:cs="Arial"/>
            <w:b w:val="0"/>
            <w:bCs w:val="0"/>
            <w:noProof/>
            <w:webHidden/>
            <w:sz w:val="20"/>
            <w:szCs w:val="20"/>
          </w:rPr>
          <w:fldChar w:fldCharType="separate"/>
        </w:r>
        <w:r w:rsidR="006A7538">
          <w:rPr>
            <w:rFonts w:ascii="Arial" w:hAnsi="Arial" w:cs="Arial"/>
            <w:b w:val="0"/>
            <w:bCs w:val="0"/>
            <w:noProof/>
            <w:webHidden/>
            <w:sz w:val="20"/>
            <w:szCs w:val="20"/>
          </w:rPr>
          <w:t>199</w:t>
        </w:r>
        <w:r w:rsidR="00BE3F4E" w:rsidRPr="00BE3F4E">
          <w:rPr>
            <w:rFonts w:ascii="Arial" w:hAnsi="Arial" w:cs="Arial"/>
            <w:b w:val="0"/>
            <w:bCs w:val="0"/>
            <w:noProof/>
            <w:webHidden/>
            <w:sz w:val="20"/>
            <w:szCs w:val="20"/>
          </w:rPr>
          <w:fldChar w:fldCharType="end"/>
        </w:r>
      </w:hyperlink>
    </w:p>
    <w:p w14:paraId="12762476" w14:textId="1F44C2C7" w:rsidR="00BE3F4E" w:rsidRPr="00BE3F4E" w:rsidRDefault="00000000">
      <w:pPr>
        <w:pStyle w:val="TOC4"/>
        <w:tabs>
          <w:tab w:val="right" w:leader="underscore" w:pos="9016"/>
        </w:tabs>
        <w:rPr>
          <w:rFonts w:ascii="Arial" w:eastAsiaTheme="minorEastAsia" w:hAnsi="Arial" w:cs="Arial"/>
          <w:noProof/>
          <w:sz w:val="20"/>
          <w:szCs w:val="20"/>
        </w:rPr>
      </w:pPr>
      <w:hyperlink w:anchor="_Toc153137577" w:history="1">
        <w:r w:rsidR="00BE3F4E" w:rsidRPr="00BE3F4E">
          <w:rPr>
            <w:rStyle w:val="Hyperlink"/>
            <w:rFonts w:ascii="Arial" w:eastAsia="Times New Roman" w:hAnsi="Arial" w:cs="Arial"/>
            <w:iCs/>
            <w:noProof/>
            <w:sz w:val="20"/>
            <w:szCs w:val="20"/>
          </w:rPr>
          <w:t>ML.B.902 Airworthiness review by the competent authority</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_Toc153137577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199</w:t>
        </w:r>
        <w:r w:rsidR="00BE3F4E" w:rsidRPr="00BE3F4E">
          <w:rPr>
            <w:rFonts w:ascii="Arial" w:hAnsi="Arial" w:cs="Arial"/>
            <w:noProof/>
            <w:webHidden/>
            <w:sz w:val="20"/>
            <w:szCs w:val="20"/>
          </w:rPr>
          <w:fldChar w:fldCharType="end"/>
        </w:r>
      </w:hyperlink>
    </w:p>
    <w:p w14:paraId="59618720" w14:textId="5900E9AF" w:rsidR="00BE3F4E" w:rsidRPr="00BE3F4E" w:rsidRDefault="00000000">
      <w:pPr>
        <w:pStyle w:val="TOC4"/>
        <w:tabs>
          <w:tab w:val="right" w:leader="underscore" w:pos="9016"/>
        </w:tabs>
        <w:rPr>
          <w:rFonts w:ascii="Arial" w:eastAsiaTheme="minorEastAsia" w:hAnsi="Arial" w:cs="Arial"/>
          <w:noProof/>
          <w:sz w:val="20"/>
          <w:szCs w:val="20"/>
        </w:rPr>
      </w:pPr>
      <w:hyperlink w:anchor="_Toc153137578" w:history="1">
        <w:r w:rsidR="00BE3F4E" w:rsidRPr="00BE3F4E">
          <w:rPr>
            <w:rStyle w:val="Hyperlink"/>
            <w:rFonts w:ascii="Arial" w:eastAsia="Times New Roman" w:hAnsi="Arial" w:cs="Arial"/>
            <w:iCs/>
            <w:noProof/>
            <w:sz w:val="20"/>
            <w:szCs w:val="20"/>
          </w:rPr>
          <w:t>ML.B.903 Findings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_Toc153137578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199</w:t>
        </w:r>
        <w:r w:rsidR="00BE3F4E" w:rsidRPr="00BE3F4E">
          <w:rPr>
            <w:rFonts w:ascii="Arial" w:hAnsi="Arial" w:cs="Arial"/>
            <w:noProof/>
            <w:webHidden/>
            <w:sz w:val="20"/>
            <w:szCs w:val="20"/>
          </w:rPr>
          <w:fldChar w:fldCharType="end"/>
        </w:r>
      </w:hyperlink>
    </w:p>
    <w:p w14:paraId="0D89C2AD" w14:textId="2B3B3C67" w:rsidR="00BE3F4E" w:rsidRPr="00BE3F4E" w:rsidRDefault="00000000">
      <w:pPr>
        <w:pStyle w:val="TOC3"/>
        <w:tabs>
          <w:tab w:val="right" w:leader="underscore" w:pos="9016"/>
        </w:tabs>
        <w:rPr>
          <w:rFonts w:ascii="Arial" w:eastAsiaTheme="minorEastAsia" w:hAnsi="Arial" w:cs="Arial"/>
          <w:b w:val="0"/>
          <w:bCs w:val="0"/>
          <w:noProof/>
          <w:sz w:val="20"/>
          <w:szCs w:val="20"/>
        </w:rPr>
      </w:pPr>
      <w:hyperlink w:anchor="_Toc153137579" w:history="1">
        <w:r w:rsidR="00BE3F4E" w:rsidRPr="00BE3F4E">
          <w:rPr>
            <w:rStyle w:val="Hyperlink"/>
            <w:rFonts w:ascii="Arial" w:eastAsiaTheme="majorEastAsia" w:hAnsi="Arial" w:cs="Arial"/>
            <w:b w:val="0"/>
            <w:bCs w:val="0"/>
            <w:noProof/>
            <w:sz w:val="20"/>
            <w:szCs w:val="20"/>
          </w:rPr>
          <w:t>APPENDICES TO ANNEX VB (PART-ML)</w:t>
        </w:r>
        <w:r w:rsidR="00BE3F4E" w:rsidRPr="00BE3F4E">
          <w:rPr>
            <w:rFonts w:ascii="Arial" w:hAnsi="Arial" w:cs="Arial"/>
            <w:b w:val="0"/>
            <w:bCs w:val="0"/>
            <w:noProof/>
            <w:webHidden/>
            <w:sz w:val="20"/>
            <w:szCs w:val="20"/>
          </w:rPr>
          <w:tab/>
        </w:r>
        <w:r w:rsidR="00BE3F4E" w:rsidRPr="00BE3F4E">
          <w:rPr>
            <w:rFonts w:ascii="Arial" w:hAnsi="Arial" w:cs="Arial"/>
            <w:b w:val="0"/>
            <w:bCs w:val="0"/>
            <w:noProof/>
            <w:webHidden/>
            <w:sz w:val="20"/>
            <w:szCs w:val="20"/>
          </w:rPr>
          <w:fldChar w:fldCharType="begin"/>
        </w:r>
        <w:r w:rsidR="00BE3F4E" w:rsidRPr="00BE3F4E">
          <w:rPr>
            <w:rFonts w:ascii="Arial" w:hAnsi="Arial" w:cs="Arial"/>
            <w:b w:val="0"/>
            <w:bCs w:val="0"/>
            <w:noProof/>
            <w:webHidden/>
            <w:sz w:val="20"/>
            <w:szCs w:val="20"/>
          </w:rPr>
          <w:instrText xml:space="preserve"> PAGEREF _Toc153137579 \h </w:instrText>
        </w:r>
        <w:r w:rsidR="00BE3F4E" w:rsidRPr="00BE3F4E">
          <w:rPr>
            <w:rFonts w:ascii="Arial" w:hAnsi="Arial" w:cs="Arial"/>
            <w:b w:val="0"/>
            <w:bCs w:val="0"/>
            <w:noProof/>
            <w:webHidden/>
            <w:sz w:val="20"/>
            <w:szCs w:val="20"/>
          </w:rPr>
        </w:r>
        <w:r w:rsidR="00BE3F4E" w:rsidRPr="00BE3F4E">
          <w:rPr>
            <w:rFonts w:ascii="Arial" w:hAnsi="Arial" w:cs="Arial"/>
            <w:b w:val="0"/>
            <w:bCs w:val="0"/>
            <w:noProof/>
            <w:webHidden/>
            <w:sz w:val="20"/>
            <w:szCs w:val="20"/>
          </w:rPr>
          <w:fldChar w:fldCharType="separate"/>
        </w:r>
        <w:r w:rsidR="006A7538">
          <w:rPr>
            <w:rFonts w:ascii="Arial" w:hAnsi="Arial" w:cs="Arial"/>
            <w:b w:val="0"/>
            <w:bCs w:val="0"/>
            <w:noProof/>
            <w:webHidden/>
            <w:sz w:val="20"/>
            <w:szCs w:val="20"/>
          </w:rPr>
          <w:t>200</w:t>
        </w:r>
        <w:r w:rsidR="00BE3F4E" w:rsidRPr="00BE3F4E">
          <w:rPr>
            <w:rFonts w:ascii="Arial" w:hAnsi="Arial" w:cs="Arial"/>
            <w:b w:val="0"/>
            <w:bCs w:val="0"/>
            <w:noProof/>
            <w:webHidden/>
            <w:sz w:val="20"/>
            <w:szCs w:val="20"/>
          </w:rPr>
          <w:fldChar w:fldCharType="end"/>
        </w:r>
      </w:hyperlink>
    </w:p>
    <w:p w14:paraId="78FE1779" w14:textId="1754DE69" w:rsidR="00BE3F4E" w:rsidRPr="00BE3F4E" w:rsidRDefault="00000000">
      <w:pPr>
        <w:pStyle w:val="TOC4"/>
        <w:tabs>
          <w:tab w:val="right" w:leader="underscore" w:pos="9016"/>
        </w:tabs>
        <w:rPr>
          <w:rFonts w:ascii="Arial" w:eastAsiaTheme="minorEastAsia" w:hAnsi="Arial" w:cs="Arial"/>
          <w:noProof/>
          <w:sz w:val="20"/>
          <w:szCs w:val="20"/>
        </w:rPr>
      </w:pPr>
      <w:hyperlink w:anchor="_Toc153137580" w:history="1">
        <w:r w:rsidR="00BE3F4E" w:rsidRPr="00BE3F4E">
          <w:rPr>
            <w:rStyle w:val="Hyperlink"/>
            <w:rFonts w:ascii="Arial" w:eastAsia="Times New Roman" w:hAnsi="Arial" w:cs="Arial"/>
            <w:iCs/>
            <w:noProof/>
            <w:sz w:val="20"/>
            <w:szCs w:val="20"/>
          </w:rPr>
          <w:t>Appendix I — Continuing-airworthiness management contract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_Toc153137580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200</w:t>
        </w:r>
        <w:r w:rsidR="00BE3F4E" w:rsidRPr="00BE3F4E">
          <w:rPr>
            <w:rFonts w:ascii="Arial" w:hAnsi="Arial" w:cs="Arial"/>
            <w:noProof/>
            <w:webHidden/>
            <w:sz w:val="20"/>
            <w:szCs w:val="20"/>
          </w:rPr>
          <w:fldChar w:fldCharType="end"/>
        </w:r>
      </w:hyperlink>
    </w:p>
    <w:p w14:paraId="46D778BD" w14:textId="4AF969B9" w:rsidR="00BE3F4E" w:rsidRPr="00BE3F4E" w:rsidRDefault="00000000">
      <w:pPr>
        <w:pStyle w:val="TOC4"/>
        <w:tabs>
          <w:tab w:val="right" w:leader="underscore" w:pos="9016"/>
        </w:tabs>
        <w:rPr>
          <w:rFonts w:ascii="Arial" w:eastAsiaTheme="minorEastAsia" w:hAnsi="Arial" w:cs="Arial"/>
          <w:noProof/>
          <w:sz w:val="20"/>
          <w:szCs w:val="20"/>
        </w:rPr>
      </w:pPr>
      <w:hyperlink w:anchor="_Toc153137581" w:history="1">
        <w:r w:rsidR="00BE3F4E" w:rsidRPr="00BE3F4E">
          <w:rPr>
            <w:rStyle w:val="Hyperlink"/>
            <w:rFonts w:ascii="Arial" w:eastAsia="Times New Roman" w:hAnsi="Arial" w:cs="Arial"/>
            <w:iCs/>
            <w:noProof/>
            <w:sz w:val="20"/>
            <w:szCs w:val="20"/>
          </w:rPr>
          <w:t>Appendix II — Limited Pilot-owner maintenance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_Toc153137581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201</w:t>
        </w:r>
        <w:r w:rsidR="00BE3F4E" w:rsidRPr="00BE3F4E">
          <w:rPr>
            <w:rFonts w:ascii="Arial" w:hAnsi="Arial" w:cs="Arial"/>
            <w:noProof/>
            <w:webHidden/>
            <w:sz w:val="20"/>
            <w:szCs w:val="20"/>
          </w:rPr>
          <w:fldChar w:fldCharType="end"/>
        </w:r>
      </w:hyperlink>
    </w:p>
    <w:p w14:paraId="533FC732" w14:textId="56C56CB8" w:rsidR="00BE3F4E" w:rsidRPr="00BE3F4E" w:rsidRDefault="00000000">
      <w:pPr>
        <w:pStyle w:val="TOC5"/>
        <w:tabs>
          <w:tab w:val="right" w:leader="underscore" w:pos="9016"/>
        </w:tabs>
        <w:rPr>
          <w:rFonts w:ascii="Arial" w:eastAsiaTheme="minorEastAsia" w:hAnsi="Arial" w:cs="Arial"/>
          <w:noProof/>
          <w:sz w:val="20"/>
          <w:szCs w:val="20"/>
        </w:rPr>
      </w:pPr>
      <w:hyperlink w:anchor="_Toc153137582" w:history="1">
        <w:r w:rsidR="00BE3F4E" w:rsidRPr="00BE3F4E">
          <w:rPr>
            <w:rStyle w:val="Hyperlink"/>
            <w:rFonts w:ascii="Arial" w:eastAsia="Times New Roman" w:hAnsi="Arial" w:cs="Arial"/>
            <w:noProof/>
            <w:sz w:val="20"/>
            <w:szCs w:val="20"/>
          </w:rPr>
          <w:t>AMC1 to Appendix II to Part-ML — Limited pilot-owner maintenance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_Toc153137582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202</w:t>
        </w:r>
        <w:r w:rsidR="00BE3F4E" w:rsidRPr="00BE3F4E">
          <w:rPr>
            <w:rFonts w:ascii="Arial" w:hAnsi="Arial" w:cs="Arial"/>
            <w:noProof/>
            <w:webHidden/>
            <w:sz w:val="20"/>
            <w:szCs w:val="20"/>
          </w:rPr>
          <w:fldChar w:fldCharType="end"/>
        </w:r>
      </w:hyperlink>
    </w:p>
    <w:p w14:paraId="50C9AF84" w14:textId="7011C26E" w:rsidR="00BE3F4E" w:rsidRPr="00BE3F4E" w:rsidRDefault="00000000">
      <w:pPr>
        <w:pStyle w:val="TOC4"/>
        <w:tabs>
          <w:tab w:val="right" w:leader="underscore" w:pos="9016"/>
        </w:tabs>
        <w:rPr>
          <w:rFonts w:ascii="Arial" w:eastAsiaTheme="minorEastAsia" w:hAnsi="Arial" w:cs="Arial"/>
          <w:noProof/>
          <w:sz w:val="20"/>
          <w:szCs w:val="20"/>
        </w:rPr>
      </w:pPr>
      <w:hyperlink w:anchor="_Toc153137583" w:history="1">
        <w:r w:rsidR="00BE3F4E" w:rsidRPr="00BE3F4E">
          <w:rPr>
            <w:rStyle w:val="Hyperlink"/>
            <w:rFonts w:ascii="Arial" w:eastAsia="Times New Roman" w:hAnsi="Arial" w:cs="Arial"/>
            <w:iCs/>
            <w:noProof/>
            <w:sz w:val="20"/>
            <w:szCs w:val="20"/>
          </w:rPr>
          <w:t>Appendix III — Complex maintenance tasks not to be released by the Pilot-owner</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_Toc153137583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209</w:t>
        </w:r>
        <w:r w:rsidR="00BE3F4E" w:rsidRPr="00BE3F4E">
          <w:rPr>
            <w:rFonts w:ascii="Arial" w:hAnsi="Arial" w:cs="Arial"/>
            <w:noProof/>
            <w:webHidden/>
            <w:sz w:val="20"/>
            <w:szCs w:val="20"/>
          </w:rPr>
          <w:fldChar w:fldCharType="end"/>
        </w:r>
      </w:hyperlink>
    </w:p>
    <w:p w14:paraId="645F3970" w14:textId="2D7EF974" w:rsidR="00BE3F4E" w:rsidRPr="00BE3F4E" w:rsidRDefault="00000000">
      <w:pPr>
        <w:pStyle w:val="TOC4"/>
        <w:tabs>
          <w:tab w:val="right" w:leader="underscore" w:pos="9016"/>
        </w:tabs>
        <w:rPr>
          <w:rFonts w:ascii="Arial" w:eastAsiaTheme="minorEastAsia" w:hAnsi="Arial" w:cs="Arial"/>
          <w:noProof/>
          <w:sz w:val="20"/>
          <w:szCs w:val="20"/>
        </w:rPr>
      </w:pPr>
      <w:hyperlink w:anchor="_Toc153137584" w:history="1">
        <w:r w:rsidR="00BE3F4E" w:rsidRPr="00BE3F4E">
          <w:rPr>
            <w:rStyle w:val="Hyperlink"/>
            <w:rFonts w:ascii="Arial" w:eastAsia="Times New Roman" w:hAnsi="Arial" w:cs="Arial"/>
            <w:iCs/>
            <w:noProof/>
            <w:sz w:val="20"/>
            <w:szCs w:val="20"/>
          </w:rPr>
          <w:t>Appendix IV — Airworthiness review certificate (EASA Form 15c)</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_Toc153137584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211</w:t>
        </w:r>
        <w:r w:rsidR="00BE3F4E" w:rsidRPr="00BE3F4E">
          <w:rPr>
            <w:rFonts w:ascii="Arial" w:hAnsi="Arial" w:cs="Arial"/>
            <w:noProof/>
            <w:webHidden/>
            <w:sz w:val="20"/>
            <w:szCs w:val="20"/>
          </w:rPr>
          <w:fldChar w:fldCharType="end"/>
        </w:r>
      </w:hyperlink>
    </w:p>
    <w:p w14:paraId="342B5967" w14:textId="2EC9E69E" w:rsidR="00BE3F4E" w:rsidRPr="00BE3F4E" w:rsidRDefault="00000000" w:rsidP="00BE3F4E">
      <w:pPr>
        <w:pStyle w:val="TOC1"/>
        <w:rPr>
          <w:noProof/>
        </w:rPr>
      </w:pPr>
      <w:hyperlink w:anchor="_Toc153137585" w:history="1">
        <w:r w:rsidR="00BE3F4E" w:rsidRPr="00BE3F4E">
          <w:rPr>
            <w:rStyle w:val="Hyperlink"/>
            <w:b w:val="0"/>
            <w:bCs w:val="0"/>
            <w:noProof/>
            <w:sz w:val="20"/>
            <w:szCs w:val="20"/>
          </w:rPr>
          <w:t>CHAPTER 3 — INITIAL AIRWORTHINESS</w:t>
        </w:r>
        <w:r w:rsidR="00BE3F4E" w:rsidRPr="00BE3F4E">
          <w:rPr>
            <w:noProof/>
            <w:webHidden/>
          </w:rPr>
          <w:tab/>
        </w:r>
        <w:r w:rsidR="00BE3F4E" w:rsidRPr="00BE3F4E">
          <w:rPr>
            <w:noProof/>
            <w:webHidden/>
          </w:rPr>
          <w:fldChar w:fldCharType="begin"/>
        </w:r>
        <w:r w:rsidR="00BE3F4E" w:rsidRPr="00BE3F4E">
          <w:rPr>
            <w:noProof/>
            <w:webHidden/>
          </w:rPr>
          <w:instrText xml:space="preserve"> PAGEREF _Toc153137585 \h </w:instrText>
        </w:r>
        <w:r w:rsidR="00BE3F4E" w:rsidRPr="00BE3F4E">
          <w:rPr>
            <w:noProof/>
            <w:webHidden/>
          </w:rPr>
        </w:r>
        <w:r w:rsidR="00BE3F4E" w:rsidRPr="00BE3F4E">
          <w:rPr>
            <w:noProof/>
            <w:webHidden/>
          </w:rPr>
          <w:fldChar w:fldCharType="separate"/>
        </w:r>
        <w:r w:rsidR="006A7538">
          <w:rPr>
            <w:noProof/>
            <w:webHidden/>
          </w:rPr>
          <w:t>212</w:t>
        </w:r>
        <w:r w:rsidR="00BE3F4E" w:rsidRPr="00BE3F4E">
          <w:rPr>
            <w:noProof/>
            <w:webHidden/>
          </w:rPr>
          <w:fldChar w:fldCharType="end"/>
        </w:r>
      </w:hyperlink>
    </w:p>
    <w:p w14:paraId="7E11847A" w14:textId="457CBC14" w:rsidR="00BE3F4E" w:rsidRPr="00BE3F4E" w:rsidRDefault="00000000">
      <w:pPr>
        <w:pStyle w:val="TOC3"/>
        <w:tabs>
          <w:tab w:val="right" w:leader="underscore" w:pos="9016"/>
        </w:tabs>
        <w:rPr>
          <w:rFonts w:ascii="Arial" w:eastAsiaTheme="minorEastAsia" w:hAnsi="Arial" w:cs="Arial"/>
          <w:b w:val="0"/>
          <w:bCs w:val="0"/>
          <w:noProof/>
          <w:sz w:val="20"/>
          <w:szCs w:val="20"/>
        </w:rPr>
      </w:pPr>
      <w:hyperlink w:anchor="_Toc153137586" w:history="1">
        <w:r w:rsidR="00BE3F4E" w:rsidRPr="00BE3F4E">
          <w:rPr>
            <w:rStyle w:val="Hyperlink"/>
            <w:rFonts w:ascii="Arial" w:eastAsiaTheme="majorEastAsia" w:hAnsi="Arial" w:cs="Arial"/>
            <w:b w:val="0"/>
            <w:bCs w:val="0"/>
            <w:noProof/>
            <w:sz w:val="20"/>
            <w:szCs w:val="20"/>
          </w:rPr>
          <w:t>CS-31GB (INITIAL ISSUE)</w:t>
        </w:r>
        <w:r w:rsidR="00BE3F4E" w:rsidRPr="00BE3F4E">
          <w:rPr>
            <w:rFonts w:ascii="Arial" w:hAnsi="Arial" w:cs="Arial"/>
            <w:b w:val="0"/>
            <w:bCs w:val="0"/>
            <w:noProof/>
            <w:webHidden/>
            <w:sz w:val="20"/>
            <w:szCs w:val="20"/>
          </w:rPr>
          <w:tab/>
        </w:r>
        <w:r w:rsidR="00BE3F4E" w:rsidRPr="00BE3F4E">
          <w:rPr>
            <w:rFonts w:ascii="Arial" w:hAnsi="Arial" w:cs="Arial"/>
            <w:b w:val="0"/>
            <w:bCs w:val="0"/>
            <w:noProof/>
            <w:webHidden/>
            <w:sz w:val="20"/>
            <w:szCs w:val="20"/>
          </w:rPr>
          <w:fldChar w:fldCharType="begin"/>
        </w:r>
        <w:r w:rsidR="00BE3F4E" w:rsidRPr="00BE3F4E">
          <w:rPr>
            <w:rFonts w:ascii="Arial" w:hAnsi="Arial" w:cs="Arial"/>
            <w:b w:val="0"/>
            <w:bCs w:val="0"/>
            <w:noProof/>
            <w:webHidden/>
            <w:sz w:val="20"/>
            <w:szCs w:val="20"/>
          </w:rPr>
          <w:instrText xml:space="preserve"> PAGEREF _Toc153137586 \h </w:instrText>
        </w:r>
        <w:r w:rsidR="00BE3F4E" w:rsidRPr="00BE3F4E">
          <w:rPr>
            <w:rFonts w:ascii="Arial" w:hAnsi="Arial" w:cs="Arial"/>
            <w:b w:val="0"/>
            <w:bCs w:val="0"/>
            <w:noProof/>
            <w:webHidden/>
            <w:sz w:val="20"/>
            <w:szCs w:val="20"/>
          </w:rPr>
        </w:r>
        <w:r w:rsidR="00BE3F4E" w:rsidRPr="00BE3F4E">
          <w:rPr>
            <w:rFonts w:ascii="Arial" w:hAnsi="Arial" w:cs="Arial"/>
            <w:b w:val="0"/>
            <w:bCs w:val="0"/>
            <w:noProof/>
            <w:webHidden/>
            <w:sz w:val="20"/>
            <w:szCs w:val="20"/>
          </w:rPr>
          <w:fldChar w:fldCharType="separate"/>
        </w:r>
        <w:r w:rsidR="006A7538">
          <w:rPr>
            <w:rFonts w:ascii="Arial" w:hAnsi="Arial" w:cs="Arial"/>
            <w:b w:val="0"/>
            <w:bCs w:val="0"/>
            <w:noProof/>
            <w:webHidden/>
            <w:sz w:val="20"/>
            <w:szCs w:val="20"/>
          </w:rPr>
          <w:t>212</w:t>
        </w:r>
        <w:r w:rsidR="00BE3F4E" w:rsidRPr="00BE3F4E">
          <w:rPr>
            <w:rFonts w:ascii="Arial" w:hAnsi="Arial" w:cs="Arial"/>
            <w:b w:val="0"/>
            <w:bCs w:val="0"/>
            <w:noProof/>
            <w:webHidden/>
            <w:sz w:val="20"/>
            <w:szCs w:val="20"/>
          </w:rPr>
          <w:fldChar w:fldCharType="end"/>
        </w:r>
      </w:hyperlink>
    </w:p>
    <w:p w14:paraId="01144824" w14:textId="33571365" w:rsidR="00BE3F4E" w:rsidRPr="00BE3F4E" w:rsidRDefault="00000000">
      <w:pPr>
        <w:pStyle w:val="TOC3"/>
        <w:tabs>
          <w:tab w:val="right" w:leader="underscore" w:pos="9016"/>
        </w:tabs>
        <w:rPr>
          <w:rFonts w:ascii="Arial" w:eastAsiaTheme="minorEastAsia" w:hAnsi="Arial" w:cs="Arial"/>
          <w:b w:val="0"/>
          <w:bCs w:val="0"/>
          <w:noProof/>
          <w:sz w:val="20"/>
          <w:szCs w:val="20"/>
        </w:rPr>
      </w:pPr>
      <w:hyperlink w:anchor="_Toc153137587" w:history="1">
        <w:r w:rsidR="00BE3F4E" w:rsidRPr="00BE3F4E">
          <w:rPr>
            <w:rStyle w:val="Hyperlink"/>
            <w:rFonts w:ascii="Arial" w:eastAsiaTheme="majorEastAsia" w:hAnsi="Arial" w:cs="Arial"/>
            <w:b w:val="0"/>
            <w:bCs w:val="0"/>
            <w:noProof/>
            <w:sz w:val="20"/>
            <w:szCs w:val="20"/>
          </w:rPr>
          <w:t>SUBPART A — GENERAL</w:t>
        </w:r>
        <w:r w:rsidR="00BE3F4E" w:rsidRPr="00BE3F4E">
          <w:rPr>
            <w:rFonts w:ascii="Arial" w:hAnsi="Arial" w:cs="Arial"/>
            <w:b w:val="0"/>
            <w:bCs w:val="0"/>
            <w:noProof/>
            <w:webHidden/>
            <w:sz w:val="20"/>
            <w:szCs w:val="20"/>
          </w:rPr>
          <w:tab/>
        </w:r>
        <w:r w:rsidR="00BE3F4E" w:rsidRPr="00BE3F4E">
          <w:rPr>
            <w:rFonts w:ascii="Arial" w:hAnsi="Arial" w:cs="Arial"/>
            <w:b w:val="0"/>
            <w:bCs w:val="0"/>
            <w:noProof/>
            <w:webHidden/>
            <w:sz w:val="20"/>
            <w:szCs w:val="20"/>
          </w:rPr>
          <w:fldChar w:fldCharType="begin"/>
        </w:r>
        <w:r w:rsidR="00BE3F4E" w:rsidRPr="00BE3F4E">
          <w:rPr>
            <w:rFonts w:ascii="Arial" w:hAnsi="Arial" w:cs="Arial"/>
            <w:b w:val="0"/>
            <w:bCs w:val="0"/>
            <w:noProof/>
            <w:webHidden/>
            <w:sz w:val="20"/>
            <w:szCs w:val="20"/>
          </w:rPr>
          <w:instrText xml:space="preserve"> PAGEREF _Toc153137587 \h </w:instrText>
        </w:r>
        <w:r w:rsidR="00BE3F4E" w:rsidRPr="00BE3F4E">
          <w:rPr>
            <w:rFonts w:ascii="Arial" w:hAnsi="Arial" w:cs="Arial"/>
            <w:b w:val="0"/>
            <w:bCs w:val="0"/>
            <w:noProof/>
            <w:webHidden/>
            <w:sz w:val="20"/>
            <w:szCs w:val="20"/>
          </w:rPr>
        </w:r>
        <w:r w:rsidR="00BE3F4E" w:rsidRPr="00BE3F4E">
          <w:rPr>
            <w:rFonts w:ascii="Arial" w:hAnsi="Arial" w:cs="Arial"/>
            <w:b w:val="0"/>
            <w:bCs w:val="0"/>
            <w:noProof/>
            <w:webHidden/>
            <w:sz w:val="20"/>
            <w:szCs w:val="20"/>
          </w:rPr>
          <w:fldChar w:fldCharType="separate"/>
        </w:r>
        <w:r w:rsidR="006A7538">
          <w:rPr>
            <w:rFonts w:ascii="Arial" w:hAnsi="Arial" w:cs="Arial"/>
            <w:b w:val="0"/>
            <w:bCs w:val="0"/>
            <w:noProof/>
            <w:webHidden/>
            <w:sz w:val="20"/>
            <w:szCs w:val="20"/>
          </w:rPr>
          <w:t>213</w:t>
        </w:r>
        <w:r w:rsidR="00BE3F4E" w:rsidRPr="00BE3F4E">
          <w:rPr>
            <w:rFonts w:ascii="Arial" w:hAnsi="Arial" w:cs="Arial"/>
            <w:b w:val="0"/>
            <w:bCs w:val="0"/>
            <w:noProof/>
            <w:webHidden/>
            <w:sz w:val="20"/>
            <w:szCs w:val="20"/>
          </w:rPr>
          <w:fldChar w:fldCharType="end"/>
        </w:r>
      </w:hyperlink>
    </w:p>
    <w:p w14:paraId="02203E76" w14:textId="6180256C" w:rsidR="00BE3F4E" w:rsidRPr="00BE3F4E" w:rsidRDefault="00000000">
      <w:pPr>
        <w:pStyle w:val="TOC4"/>
        <w:tabs>
          <w:tab w:val="right" w:leader="underscore" w:pos="9016"/>
        </w:tabs>
        <w:rPr>
          <w:rFonts w:ascii="Arial" w:eastAsiaTheme="minorEastAsia" w:hAnsi="Arial" w:cs="Arial"/>
          <w:noProof/>
          <w:sz w:val="20"/>
          <w:szCs w:val="20"/>
        </w:rPr>
      </w:pPr>
      <w:hyperlink w:anchor="_Toc153137588" w:history="1">
        <w:r w:rsidR="00BE3F4E" w:rsidRPr="00BE3F4E">
          <w:rPr>
            <w:rStyle w:val="Hyperlink"/>
            <w:rFonts w:ascii="Arial" w:eastAsia="Times New Roman" w:hAnsi="Arial" w:cs="Arial"/>
            <w:iCs/>
            <w:noProof/>
            <w:sz w:val="20"/>
            <w:szCs w:val="20"/>
          </w:rPr>
          <w:t>CS 31GB.1 Applicability</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_Toc153137588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213</w:t>
        </w:r>
        <w:r w:rsidR="00BE3F4E" w:rsidRPr="00BE3F4E">
          <w:rPr>
            <w:rFonts w:ascii="Arial" w:hAnsi="Arial" w:cs="Arial"/>
            <w:noProof/>
            <w:webHidden/>
            <w:sz w:val="20"/>
            <w:szCs w:val="20"/>
          </w:rPr>
          <w:fldChar w:fldCharType="end"/>
        </w:r>
      </w:hyperlink>
    </w:p>
    <w:p w14:paraId="2A08DCE2" w14:textId="0892348F" w:rsidR="00BE3F4E" w:rsidRPr="00BE3F4E" w:rsidRDefault="00000000">
      <w:pPr>
        <w:pStyle w:val="TOC4"/>
        <w:tabs>
          <w:tab w:val="right" w:leader="underscore" w:pos="9016"/>
        </w:tabs>
        <w:rPr>
          <w:rFonts w:ascii="Arial" w:eastAsiaTheme="minorEastAsia" w:hAnsi="Arial" w:cs="Arial"/>
          <w:noProof/>
          <w:sz w:val="20"/>
          <w:szCs w:val="20"/>
        </w:rPr>
      </w:pPr>
      <w:hyperlink w:anchor="_Toc153137589" w:history="1">
        <w:r w:rsidR="00BE3F4E" w:rsidRPr="00BE3F4E">
          <w:rPr>
            <w:rStyle w:val="Hyperlink"/>
            <w:rFonts w:ascii="Arial" w:eastAsia="Times New Roman" w:hAnsi="Arial" w:cs="Arial"/>
            <w:iCs/>
            <w:noProof/>
            <w:sz w:val="20"/>
            <w:szCs w:val="20"/>
          </w:rPr>
          <w:t>CS 31GB.2 Definitions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_Toc153137589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213</w:t>
        </w:r>
        <w:r w:rsidR="00BE3F4E" w:rsidRPr="00BE3F4E">
          <w:rPr>
            <w:rFonts w:ascii="Arial" w:hAnsi="Arial" w:cs="Arial"/>
            <w:noProof/>
            <w:webHidden/>
            <w:sz w:val="20"/>
            <w:szCs w:val="20"/>
          </w:rPr>
          <w:fldChar w:fldCharType="end"/>
        </w:r>
      </w:hyperlink>
    </w:p>
    <w:p w14:paraId="310E88EE" w14:textId="007AE28C" w:rsidR="00BE3F4E" w:rsidRPr="00BE3F4E" w:rsidRDefault="00000000">
      <w:pPr>
        <w:pStyle w:val="TOC3"/>
        <w:tabs>
          <w:tab w:val="right" w:leader="underscore" w:pos="9016"/>
        </w:tabs>
        <w:rPr>
          <w:rFonts w:ascii="Arial" w:eastAsiaTheme="minorEastAsia" w:hAnsi="Arial" w:cs="Arial"/>
          <w:b w:val="0"/>
          <w:bCs w:val="0"/>
          <w:noProof/>
          <w:sz w:val="20"/>
          <w:szCs w:val="20"/>
        </w:rPr>
      </w:pPr>
      <w:hyperlink w:anchor="_Toc153137590" w:history="1">
        <w:r w:rsidR="00BE3F4E" w:rsidRPr="00BE3F4E">
          <w:rPr>
            <w:rStyle w:val="Hyperlink"/>
            <w:rFonts w:ascii="Arial" w:eastAsiaTheme="majorEastAsia" w:hAnsi="Arial" w:cs="Arial"/>
            <w:b w:val="0"/>
            <w:bCs w:val="0"/>
            <w:noProof/>
            <w:sz w:val="20"/>
            <w:szCs w:val="20"/>
          </w:rPr>
          <w:t>SUBPART B — FLIGHT</w:t>
        </w:r>
        <w:r w:rsidR="00BE3F4E" w:rsidRPr="00BE3F4E">
          <w:rPr>
            <w:rFonts w:ascii="Arial" w:hAnsi="Arial" w:cs="Arial"/>
            <w:b w:val="0"/>
            <w:bCs w:val="0"/>
            <w:noProof/>
            <w:webHidden/>
            <w:sz w:val="20"/>
            <w:szCs w:val="20"/>
          </w:rPr>
          <w:tab/>
        </w:r>
        <w:r w:rsidR="00BE3F4E" w:rsidRPr="00BE3F4E">
          <w:rPr>
            <w:rFonts w:ascii="Arial" w:hAnsi="Arial" w:cs="Arial"/>
            <w:b w:val="0"/>
            <w:bCs w:val="0"/>
            <w:noProof/>
            <w:webHidden/>
            <w:sz w:val="20"/>
            <w:szCs w:val="20"/>
          </w:rPr>
          <w:fldChar w:fldCharType="begin"/>
        </w:r>
        <w:r w:rsidR="00BE3F4E" w:rsidRPr="00BE3F4E">
          <w:rPr>
            <w:rFonts w:ascii="Arial" w:hAnsi="Arial" w:cs="Arial"/>
            <w:b w:val="0"/>
            <w:bCs w:val="0"/>
            <w:noProof/>
            <w:webHidden/>
            <w:sz w:val="20"/>
            <w:szCs w:val="20"/>
          </w:rPr>
          <w:instrText xml:space="preserve"> PAGEREF _Toc153137590 \h </w:instrText>
        </w:r>
        <w:r w:rsidR="00BE3F4E" w:rsidRPr="00BE3F4E">
          <w:rPr>
            <w:rFonts w:ascii="Arial" w:hAnsi="Arial" w:cs="Arial"/>
            <w:b w:val="0"/>
            <w:bCs w:val="0"/>
            <w:noProof/>
            <w:webHidden/>
            <w:sz w:val="20"/>
            <w:szCs w:val="20"/>
          </w:rPr>
        </w:r>
        <w:r w:rsidR="00BE3F4E" w:rsidRPr="00BE3F4E">
          <w:rPr>
            <w:rFonts w:ascii="Arial" w:hAnsi="Arial" w:cs="Arial"/>
            <w:b w:val="0"/>
            <w:bCs w:val="0"/>
            <w:noProof/>
            <w:webHidden/>
            <w:sz w:val="20"/>
            <w:szCs w:val="20"/>
          </w:rPr>
          <w:fldChar w:fldCharType="separate"/>
        </w:r>
        <w:r w:rsidR="006A7538">
          <w:rPr>
            <w:rFonts w:ascii="Arial" w:hAnsi="Arial" w:cs="Arial"/>
            <w:b w:val="0"/>
            <w:bCs w:val="0"/>
            <w:noProof/>
            <w:webHidden/>
            <w:sz w:val="20"/>
            <w:szCs w:val="20"/>
          </w:rPr>
          <w:t>214</w:t>
        </w:r>
        <w:r w:rsidR="00BE3F4E" w:rsidRPr="00BE3F4E">
          <w:rPr>
            <w:rFonts w:ascii="Arial" w:hAnsi="Arial" w:cs="Arial"/>
            <w:b w:val="0"/>
            <w:bCs w:val="0"/>
            <w:noProof/>
            <w:webHidden/>
            <w:sz w:val="20"/>
            <w:szCs w:val="20"/>
          </w:rPr>
          <w:fldChar w:fldCharType="end"/>
        </w:r>
      </w:hyperlink>
    </w:p>
    <w:p w14:paraId="15A7CDD8" w14:textId="2D2EE08A" w:rsidR="00BE3F4E" w:rsidRPr="00BE3F4E" w:rsidRDefault="00000000">
      <w:pPr>
        <w:pStyle w:val="TOC4"/>
        <w:tabs>
          <w:tab w:val="right" w:leader="underscore" w:pos="9016"/>
        </w:tabs>
        <w:rPr>
          <w:rFonts w:ascii="Arial" w:eastAsiaTheme="minorEastAsia" w:hAnsi="Arial" w:cs="Arial"/>
          <w:noProof/>
          <w:sz w:val="20"/>
          <w:szCs w:val="20"/>
        </w:rPr>
      </w:pPr>
      <w:hyperlink w:anchor="_Toc153137591" w:history="1">
        <w:r w:rsidR="00BE3F4E" w:rsidRPr="00BE3F4E">
          <w:rPr>
            <w:rStyle w:val="Hyperlink"/>
            <w:rFonts w:ascii="Arial" w:eastAsia="Times New Roman" w:hAnsi="Arial" w:cs="Arial"/>
            <w:iCs/>
            <w:noProof/>
            <w:sz w:val="20"/>
            <w:szCs w:val="20"/>
          </w:rPr>
          <w:t>CS 31GB.12 Proof of compliance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_Toc153137591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214</w:t>
        </w:r>
        <w:r w:rsidR="00BE3F4E" w:rsidRPr="00BE3F4E">
          <w:rPr>
            <w:rFonts w:ascii="Arial" w:hAnsi="Arial" w:cs="Arial"/>
            <w:noProof/>
            <w:webHidden/>
            <w:sz w:val="20"/>
            <w:szCs w:val="20"/>
          </w:rPr>
          <w:fldChar w:fldCharType="end"/>
        </w:r>
      </w:hyperlink>
    </w:p>
    <w:p w14:paraId="61909C37" w14:textId="218B9DBF" w:rsidR="00BE3F4E" w:rsidRPr="00BE3F4E" w:rsidRDefault="00000000">
      <w:pPr>
        <w:pStyle w:val="TOC4"/>
        <w:tabs>
          <w:tab w:val="right" w:leader="underscore" w:pos="9016"/>
        </w:tabs>
        <w:rPr>
          <w:rFonts w:ascii="Arial" w:eastAsiaTheme="minorEastAsia" w:hAnsi="Arial" w:cs="Arial"/>
          <w:noProof/>
          <w:sz w:val="20"/>
          <w:szCs w:val="20"/>
        </w:rPr>
      </w:pPr>
      <w:hyperlink w:anchor="_Toc153137592" w:history="1">
        <w:r w:rsidR="00BE3F4E" w:rsidRPr="00BE3F4E">
          <w:rPr>
            <w:rStyle w:val="Hyperlink"/>
            <w:rFonts w:ascii="Arial" w:eastAsia="Times New Roman" w:hAnsi="Arial" w:cs="Arial"/>
            <w:iCs/>
            <w:noProof/>
            <w:sz w:val="20"/>
            <w:szCs w:val="20"/>
          </w:rPr>
          <w:t>CS 31GB.14 Mass limits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_Toc153137592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214</w:t>
        </w:r>
        <w:r w:rsidR="00BE3F4E" w:rsidRPr="00BE3F4E">
          <w:rPr>
            <w:rFonts w:ascii="Arial" w:hAnsi="Arial" w:cs="Arial"/>
            <w:noProof/>
            <w:webHidden/>
            <w:sz w:val="20"/>
            <w:szCs w:val="20"/>
          </w:rPr>
          <w:fldChar w:fldCharType="end"/>
        </w:r>
      </w:hyperlink>
    </w:p>
    <w:p w14:paraId="03C5C9C8" w14:textId="2BD7D170" w:rsidR="00BE3F4E" w:rsidRPr="00BE3F4E" w:rsidRDefault="00000000">
      <w:pPr>
        <w:pStyle w:val="TOC5"/>
        <w:tabs>
          <w:tab w:val="right" w:leader="underscore" w:pos="9016"/>
        </w:tabs>
        <w:rPr>
          <w:rFonts w:ascii="Arial" w:eastAsiaTheme="minorEastAsia" w:hAnsi="Arial" w:cs="Arial"/>
          <w:noProof/>
          <w:sz w:val="20"/>
          <w:szCs w:val="20"/>
        </w:rPr>
      </w:pPr>
      <w:hyperlink w:anchor="_Toc153137593" w:history="1">
        <w:r w:rsidR="00BE3F4E" w:rsidRPr="00BE3F4E">
          <w:rPr>
            <w:rStyle w:val="Hyperlink"/>
            <w:rFonts w:ascii="Arial" w:eastAsia="Times New Roman" w:hAnsi="Arial" w:cs="Arial"/>
            <w:noProof/>
            <w:sz w:val="20"/>
            <w:szCs w:val="20"/>
          </w:rPr>
          <w:t>AMC 31GB.14(a) Mass limits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_Toc153137593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214</w:t>
        </w:r>
        <w:r w:rsidR="00BE3F4E" w:rsidRPr="00BE3F4E">
          <w:rPr>
            <w:rFonts w:ascii="Arial" w:hAnsi="Arial" w:cs="Arial"/>
            <w:noProof/>
            <w:webHidden/>
            <w:sz w:val="20"/>
            <w:szCs w:val="20"/>
          </w:rPr>
          <w:fldChar w:fldCharType="end"/>
        </w:r>
      </w:hyperlink>
    </w:p>
    <w:p w14:paraId="55DAA6B7" w14:textId="06F3F64B" w:rsidR="00BE3F4E" w:rsidRPr="00BE3F4E" w:rsidRDefault="00000000">
      <w:pPr>
        <w:pStyle w:val="TOC5"/>
        <w:tabs>
          <w:tab w:val="right" w:leader="underscore" w:pos="9016"/>
        </w:tabs>
        <w:rPr>
          <w:rFonts w:ascii="Arial" w:eastAsiaTheme="minorEastAsia" w:hAnsi="Arial" w:cs="Arial"/>
          <w:noProof/>
          <w:sz w:val="20"/>
          <w:szCs w:val="20"/>
        </w:rPr>
      </w:pPr>
      <w:hyperlink w:anchor="_Toc153137594" w:history="1">
        <w:r w:rsidR="00BE3F4E" w:rsidRPr="00BE3F4E">
          <w:rPr>
            <w:rStyle w:val="Hyperlink"/>
            <w:rFonts w:ascii="Arial" w:eastAsia="Times New Roman" w:hAnsi="Arial" w:cs="Arial"/>
            <w:noProof/>
            <w:sz w:val="20"/>
            <w:szCs w:val="20"/>
          </w:rPr>
          <w:t>AMC 31GB.14(b) Minimum mass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_Toc153137594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214</w:t>
        </w:r>
        <w:r w:rsidR="00BE3F4E" w:rsidRPr="00BE3F4E">
          <w:rPr>
            <w:rFonts w:ascii="Arial" w:hAnsi="Arial" w:cs="Arial"/>
            <w:noProof/>
            <w:webHidden/>
            <w:sz w:val="20"/>
            <w:szCs w:val="20"/>
          </w:rPr>
          <w:fldChar w:fldCharType="end"/>
        </w:r>
      </w:hyperlink>
    </w:p>
    <w:p w14:paraId="403AA900" w14:textId="1E7C4BAC" w:rsidR="00BE3F4E" w:rsidRPr="00BE3F4E" w:rsidRDefault="00000000">
      <w:pPr>
        <w:pStyle w:val="TOC4"/>
        <w:tabs>
          <w:tab w:val="right" w:leader="underscore" w:pos="9016"/>
        </w:tabs>
        <w:rPr>
          <w:rFonts w:ascii="Arial" w:eastAsiaTheme="minorEastAsia" w:hAnsi="Arial" w:cs="Arial"/>
          <w:noProof/>
          <w:sz w:val="20"/>
          <w:szCs w:val="20"/>
        </w:rPr>
      </w:pPr>
      <w:hyperlink w:anchor="_Toc153137595" w:history="1">
        <w:r w:rsidR="00BE3F4E" w:rsidRPr="00BE3F4E">
          <w:rPr>
            <w:rStyle w:val="Hyperlink"/>
            <w:rFonts w:ascii="Arial" w:eastAsia="Times New Roman" w:hAnsi="Arial" w:cs="Arial"/>
            <w:iCs/>
            <w:noProof/>
            <w:sz w:val="20"/>
            <w:szCs w:val="20"/>
          </w:rPr>
          <w:t>CS 31GB.16 Empty mass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_Toc153137595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214</w:t>
        </w:r>
        <w:r w:rsidR="00BE3F4E" w:rsidRPr="00BE3F4E">
          <w:rPr>
            <w:rFonts w:ascii="Arial" w:hAnsi="Arial" w:cs="Arial"/>
            <w:noProof/>
            <w:webHidden/>
            <w:sz w:val="20"/>
            <w:szCs w:val="20"/>
          </w:rPr>
          <w:fldChar w:fldCharType="end"/>
        </w:r>
      </w:hyperlink>
    </w:p>
    <w:p w14:paraId="25723BC5" w14:textId="5839AE77" w:rsidR="00BE3F4E" w:rsidRPr="00BE3F4E" w:rsidRDefault="00000000">
      <w:pPr>
        <w:pStyle w:val="TOC5"/>
        <w:tabs>
          <w:tab w:val="right" w:leader="underscore" w:pos="9016"/>
        </w:tabs>
        <w:rPr>
          <w:rFonts w:ascii="Arial" w:eastAsiaTheme="minorEastAsia" w:hAnsi="Arial" w:cs="Arial"/>
          <w:noProof/>
          <w:sz w:val="20"/>
          <w:szCs w:val="20"/>
        </w:rPr>
      </w:pPr>
      <w:hyperlink w:anchor="_Toc153137596" w:history="1">
        <w:r w:rsidR="00BE3F4E" w:rsidRPr="00BE3F4E">
          <w:rPr>
            <w:rStyle w:val="Hyperlink"/>
            <w:rFonts w:ascii="Arial" w:eastAsia="Times New Roman" w:hAnsi="Arial" w:cs="Arial"/>
            <w:noProof/>
            <w:sz w:val="20"/>
            <w:szCs w:val="20"/>
          </w:rPr>
          <w:t>AMC 31GB.16 Empty mass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_Toc153137596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214</w:t>
        </w:r>
        <w:r w:rsidR="00BE3F4E" w:rsidRPr="00BE3F4E">
          <w:rPr>
            <w:rFonts w:ascii="Arial" w:hAnsi="Arial" w:cs="Arial"/>
            <w:noProof/>
            <w:webHidden/>
            <w:sz w:val="20"/>
            <w:szCs w:val="20"/>
          </w:rPr>
          <w:fldChar w:fldCharType="end"/>
        </w:r>
      </w:hyperlink>
    </w:p>
    <w:p w14:paraId="2A6BB515" w14:textId="33418EEE" w:rsidR="00BE3F4E" w:rsidRPr="00BE3F4E" w:rsidRDefault="00000000">
      <w:pPr>
        <w:pStyle w:val="TOC4"/>
        <w:tabs>
          <w:tab w:val="right" w:leader="underscore" w:pos="9016"/>
        </w:tabs>
        <w:rPr>
          <w:rFonts w:ascii="Arial" w:eastAsiaTheme="minorEastAsia" w:hAnsi="Arial" w:cs="Arial"/>
          <w:noProof/>
          <w:sz w:val="20"/>
          <w:szCs w:val="20"/>
        </w:rPr>
      </w:pPr>
      <w:hyperlink w:anchor="_Toc153137597" w:history="1">
        <w:r w:rsidR="00BE3F4E" w:rsidRPr="00BE3F4E">
          <w:rPr>
            <w:rStyle w:val="Hyperlink"/>
            <w:rFonts w:ascii="Arial" w:eastAsia="Times New Roman" w:hAnsi="Arial" w:cs="Arial"/>
            <w:iCs/>
            <w:noProof/>
            <w:sz w:val="20"/>
            <w:szCs w:val="20"/>
          </w:rPr>
          <w:t>CS 31GB.17 Performance: climb</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_Toc153137597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214</w:t>
        </w:r>
        <w:r w:rsidR="00BE3F4E" w:rsidRPr="00BE3F4E">
          <w:rPr>
            <w:rFonts w:ascii="Arial" w:hAnsi="Arial" w:cs="Arial"/>
            <w:noProof/>
            <w:webHidden/>
            <w:sz w:val="20"/>
            <w:szCs w:val="20"/>
          </w:rPr>
          <w:fldChar w:fldCharType="end"/>
        </w:r>
      </w:hyperlink>
    </w:p>
    <w:p w14:paraId="010EA92B" w14:textId="46B880F8" w:rsidR="00BE3F4E" w:rsidRPr="00BE3F4E" w:rsidRDefault="00000000">
      <w:pPr>
        <w:pStyle w:val="TOC5"/>
        <w:tabs>
          <w:tab w:val="right" w:leader="underscore" w:pos="9016"/>
        </w:tabs>
        <w:rPr>
          <w:rFonts w:ascii="Arial" w:eastAsiaTheme="minorEastAsia" w:hAnsi="Arial" w:cs="Arial"/>
          <w:noProof/>
          <w:sz w:val="20"/>
          <w:szCs w:val="20"/>
        </w:rPr>
      </w:pPr>
      <w:hyperlink w:anchor="_Toc153137598" w:history="1">
        <w:r w:rsidR="00BE3F4E" w:rsidRPr="00BE3F4E">
          <w:rPr>
            <w:rStyle w:val="Hyperlink"/>
            <w:rFonts w:ascii="Arial" w:eastAsia="Times New Roman" w:hAnsi="Arial" w:cs="Arial"/>
            <w:noProof/>
            <w:sz w:val="20"/>
            <w:szCs w:val="20"/>
          </w:rPr>
          <w:t>AMC 31GB.17 Performance: climb</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_Toc153137598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215</w:t>
        </w:r>
        <w:r w:rsidR="00BE3F4E" w:rsidRPr="00BE3F4E">
          <w:rPr>
            <w:rFonts w:ascii="Arial" w:hAnsi="Arial" w:cs="Arial"/>
            <w:noProof/>
            <w:webHidden/>
            <w:sz w:val="20"/>
            <w:szCs w:val="20"/>
          </w:rPr>
          <w:fldChar w:fldCharType="end"/>
        </w:r>
      </w:hyperlink>
    </w:p>
    <w:p w14:paraId="2A7C957D" w14:textId="28D09AFA" w:rsidR="00BE3F4E" w:rsidRPr="00BE3F4E" w:rsidRDefault="00000000">
      <w:pPr>
        <w:pStyle w:val="TOC4"/>
        <w:tabs>
          <w:tab w:val="right" w:leader="underscore" w:pos="9016"/>
        </w:tabs>
        <w:rPr>
          <w:rFonts w:ascii="Arial" w:eastAsiaTheme="minorEastAsia" w:hAnsi="Arial" w:cs="Arial"/>
          <w:noProof/>
          <w:sz w:val="20"/>
          <w:szCs w:val="20"/>
        </w:rPr>
      </w:pPr>
      <w:hyperlink w:anchor="_Toc153137599" w:history="1">
        <w:r w:rsidR="00BE3F4E" w:rsidRPr="00BE3F4E">
          <w:rPr>
            <w:rStyle w:val="Hyperlink"/>
            <w:rFonts w:ascii="Arial" w:eastAsia="Times New Roman" w:hAnsi="Arial" w:cs="Arial"/>
            <w:iCs/>
            <w:noProof/>
            <w:sz w:val="20"/>
            <w:szCs w:val="20"/>
          </w:rPr>
          <w:t>CS 31GB.20 Controllability</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_Toc153137599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215</w:t>
        </w:r>
        <w:r w:rsidR="00BE3F4E" w:rsidRPr="00BE3F4E">
          <w:rPr>
            <w:rFonts w:ascii="Arial" w:hAnsi="Arial" w:cs="Arial"/>
            <w:noProof/>
            <w:webHidden/>
            <w:sz w:val="20"/>
            <w:szCs w:val="20"/>
          </w:rPr>
          <w:fldChar w:fldCharType="end"/>
        </w:r>
      </w:hyperlink>
    </w:p>
    <w:p w14:paraId="087F9F1A" w14:textId="65B1771E" w:rsidR="00BE3F4E" w:rsidRPr="00BE3F4E" w:rsidRDefault="00000000">
      <w:pPr>
        <w:pStyle w:val="TOC3"/>
        <w:tabs>
          <w:tab w:val="right" w:leader="underscore" w:pos="9016"/>
        </w:tabs>
        <w:rPr>
          <w:rFonts w:ascii="Arial" w:eastAsiaTheme="minorEastAsia" w:hAnsi="Arial" w:cs="Arial"/>
          <w:b w:val="0"/>
          <w:bCs w:val="0"/>
          <w:noProof/>
          <w:sz w:val="20"/>
          <w:szCs w:val="20"/>
        </w:rPr>
      </w:pPr>
      <w:hyperlink w:anchor="_Toc153137600" w:history="1">
        <w:r w:rsidR="00BE3F4E" w:rsidRPr="00BE3F4E">
          <w:rPr>
            <w:rStyle w:val="Hyperlink"/>
            <w:rFonts w:ascii="Arial" w:eastAsiaTheme="majorEastAsia" w:hAnsi="Arial" w:cs="Arial"/>
            <w:b w:val="0"/>
            <w:bCs w:val="0"/>
            <w:noProof/>
            <w:sz w:val="20"/>
            <w:szCs w:val="20"/>
          </w:rPr>
          <w:t>SUBPART C — STRUCTURE</w:t>
        </w:r>
        <w:r w:rsidR="00BE3F4E" w:rsidRPr="00BE3F4E">
          <w:rPr>
            <w:rFonts w:ascii="Arial" w:hAnsi="Arial" w:cs="Arial"/>
            <w:b w:val="0"/>
            <w:bCs w:val="0"/>
            <w:noProof/>
            <w:webHidden/>
            <w:sz w:val="20"/>
            <w:szCs w:val="20"/>
          </w:rPr>
          <w:tab/>
        </w:r>
        <w:r w:rsidR="00BE3F4E" w:rsidRPr="00BE3F4E">
          <w:rPr>
            <w:rFonts w:ascii="Arial" w:hAnsi="Arial" w:cs="Arial"/>
            <w:b w:val="0"/>
            <w:bCs w:val="0"/>
            <w:noProof/>
            <w:webHidden/>
            <w:sz w:val="20"/>
            <w:szCs w:val="20"/>
          </w:rPr>
          <w:fldChar w:fldCharType="begin"/>
        </w:r>
        <w:r w:rsidR="00BE3F4E" w:rsidRPr="00BE3F4E">
          <w:rPr>
            <w:rFonts w:ascii="Arial" w:hAnsi="Arial" w:cs="Arial"/>
            <w:b w:val="0"/>
            <w:bCs w:val="0"/>
            <w:noProof/>
            <w:webHidden/>
            <w:sz w:val="20"/>
            <w:szCs w:val="20"/>
          </w:rPr>
          <w:instrText xml:space="preserve"> PAGEREF _Toc153137600 \h </w:instrText>
        </w:r>
        <w:r w:rsidR="00BE3F4E" w:rsidRPr="00BE3F4E">
          <w:rPr>
            <w:rFonts w:ascii="Arial" w:hAnsi="Arial" w:cs="Arial"/>
            <w:b w:val="0"/>
            <w:bCs w:val="0"/>
            <w:noProof/>
            <w:webHidden/>
            <w:sz w:val="20"/>
            <w:szCs w:val="20"/>
          </w:rPr>
        </w:r>
        <w:r w:rsidR="00BE3F4E" w:rsidRPr="00BE3F4E">
          <w:rPr>
            <w:rFonts w:ascii="Arial" w:hAnsi="Arial" w:cs="Arial"/>
            <w:b w:val="0"/>
            <w:bCs w:val="0"/>
            <w:noProof/>
            <w:webHidden/>
            <w:sz w:val="20"/>
            <w:szCs w:val="20"/>
          </w:rPr>
          <w:fldChar w:fldCharType="separate"/>
        </w:r>
        <w:r w:rsidR="006A7538">
          <w:rPr>
            <w:rFonts w:ascii="Arial" w:hAnsi="Arial" w:cs="Arial"/>
            <w:b w:val="0"/>
            <w:bCs w:val="0"/>
            <w:noProof/>
            <w:webHidden/>
            <w:sz w:val="20"/>
            <w:szCs w:val="20"/>
          </w:rPr>
          <w:t>216</w:t>
        </w:r>
        <w:r w:rsidR="00BE3F4E" w:rsidRPr="00BE3F4E">
          <w:rPr>
            <w:rFonts w:ascii="Arial" w:hAnsi="Arial" w:cs="Arial"/>
            <w:b w:val="0"/>
            <w:bCs w:val="0"/>
            <w:noProof/>
            <w:webHidden/>
            <w:sz w:val="20"/>
            <w:szCs w:val="20"/>
          </w:rPr>
          <w:fldChar w:fldCharType="end"/>
        </w:r>
      </w:hyperlink>
    </w:p>
    <w:p w14:paraId="23075A63" w14:textId="2F494B30" w:rsidR="00BE3F4E" w:rsidRPr="00BE3F4E" w:rsidRDefault="00000000">
      <w:pPr>
        <w:pStyle w:val="TOC4"/>
        <w:tabs>
          <w:tab w:val="right" w:leader="underscore" w:pos="9016"/>
        </w:tabs>
        <w:rPr>
          <w:rFonts w:ascii="Arial" w:eastAsiaTheme="minorEastAsia" w:hAnsi="Arial" w:cs="Arial"/>
          <w:noProof/>
          <w:sz w:val="20"/>
          <w:szCs w:val="20"/>
        </w:rPr>
      </w:pPr>
      <w:hyperlink w:anchor="_Toc153137601" w:history="1">
        <w:r w:rsidR="00BE3F4E" w:rsidRPr="00BE3F4E">
          <w:rPr>
            <w:rStyle w:val="Hyperlink"/>
            <w:rFonts w:ascii="Arial" w:eastAsia="Times New Roman" w:hAnsi="Arial" w:cs="Arial"/>
            <w:iCs/>
            <w:noProof/>
            <w:sz w:val="20"/>
            <w:szCs w:val="20"/>
          </w:rPr>
          <w:t>CS 31GB.21 Loads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_Toc153137601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216</w:t>
        </w:r>
        <w:r w:rsidR="00BE3F4E" w:rsidRPr="00BE3F4E">
          <w:rPr>
            <w:rFonts w:ascii="Arial" w:hAnsi="Arial" w:cs="Arial"/>
            <w:noProof/>
            <w:webHidden/>
            <w:sz w:val="20"/>
            <w:szCs w:val="20"/>
          </w:rPr>
          <w:fldChar w:fldCharType="end"/>
        </w:r>
      </w:hyperlink>
    </w:p>
    <w:p w14:paraId="6C23510E" w14:textId="1B3D2ADE" w:rsidR="00BE3F4E" w:rsidRPr="00BE3F4E" w:rsidRDefault="00000000">
      <w:pPr>
        <w:pStyle w:val="TOC4"/>
        <w:tabs>
          <w:tab w:val="right" w:leader="underscore" w:pos="9016"/>
        </w:tabs>
        <w:rPr>
          <w:rFonts w:ascii="Arial" w:eastAsiaTheme="minorEastAsia" w:hAnsi="Arial" w:cs="Arial"/>
          <w:noProof/>
          <w:sz w:val="20"/>
          <w:szCs w:val="20"/>
        </w:rPr>
      </w:pPr>
      <w:hyperlink w:anchor="_Toc153137602" w:history="1">
        <w:r w:rsidR="00BE3F4E" w:rsidRPr="00BE3F4E">
          <w:rPr>
            <w:rStyle w:val="Hyperlink"/>
            <w:rFonts w:ascii="Arial" w:eastAsia="Times New Roman" w:hAnsi="Arial" w:cs="Arial"/>
            <w:iCs/>
            <w:noProof/>
            <w:sz w:val="20"/>
            <w:szCs w:val="20"/>
          </w:rPr>
          <w:t>CS 31GB.23 Load factor</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_Toc153137602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216</w:t>
        </w:r>
        <w:r w:rsidR="00BE3F4E" w:rsidRPr="00BE3F4E">
          <w:rPr>
            <w:rFonts w:ascii="Arial" w:hAnsi="Arial" w:cs="Arial"/>
            <w:noProof/>
            <w:webHidden/>
            <w:sz w:val="20"/>
            <w:szCs w:val="20"/>
          </w:rPr>
          <w:fldChar w:fldCharType="end"/>
        </w:r>
      </w:hyperlink>
    </w:p>
    <w:p w14:paraId="21E97A6A" w14:textId="2F322893" w:rsidR="00BE3F4E" w:rsidRPr="00BE3F4E" w:rsidRDefault="00000000">
      <w:pPr>
        <w:pStyle w:val="TOC4"/>
        <w:tabs>
          <w:tab w:val="right" w:leader="underscore" w:pos="9016"/>
        </w:tabs>
        <w:rPr>
          <w:rFonts w:ascii="Arial" w:eastAsiaTheme="minorEastAsia" w:hAnsi="Arial" w:cs="Arial"/>
          <w:noProof/>
          <w:sz w:val="20"/>
          <w:szCs w:val="20"/>
        </w:rPr>
      </w:pPr>
      <w:hyperlink w:anchor="_Toc153137603" w:history="1">
        <w:r w:rsidR="00BE3F4E" w:rsidRPr="00BE3F4E">
          <w:rPr>
            <w:rStyle w:val="Hyperlink"/>
            <w:rFonts w:ascii="Arial" w:eastAsia="Times New Roman" w:hAnsi="Arial" w:cs="Arial"/>
            <w:iCs/>
            <w:noProof/>
            <w:sz w:val="20"/>
            <w:szCs w:val="20"/>
          </w:rPr>
          <w:t>CS 31GB.25 Factors of safety</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_Toc153137603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216</w:t>
        </w:r>
        <w:r w:rsidR="00BE3F4E" w:rsidRPr="00BE3F4E">
          <w:rPr>
            <w:rFonts w:ascii="Arial" w:hAnsi="Arial" w:cs="Arial"/>
            <w:noProof/>
            <w:webHidden/>
            <w:sz w:val="20"/>
            <w:szCs w:val="20"/>
          </w:rPr>
          <w:fldChar w:fldCharType="end"/>
        </w:r>
      </w:hyperlink>
    </w:p>
    <w:p w14:paraId="1509FB2B" w14:textId="0EA1A8C6" w:rsidR="00BE3F4E" w:rsidRPr="00BE3F4E" w:rsidRDefault="00000000">
      <w:pPr>
        <w:pStyle w:val="TOC5"/>
        <w:tabs>
          <w:tab w:val="right" w:leader="underscore" w:pos="9016"/>
        </w:tabs>
        <w:rPr>
          <w:rFonts w:ascii="Arial" w:eastAsiaTheme="minorEastAsia" w:hAnsi="Arial" w:cs="Arial"/>
          <w:noProof/>
          <w:sz w:val="20"/>
          <w:szCs w:val="20"/>
        </w:rPr>
      </w:pPr>
      <w:hyperlink w:anchor="_Toc153137604" w:history="1">
        <w:r w:rsidR="00BE3F4E" w:rsidRPr="00BE3F4E">
          <w:rPr>
            <w:rStyle w:val="Hyperlink"/>
            <w:rFonts w:ascii="Arial" w:eastAsia="Times New Roman" w:hAnsi="Arial" w:cs="Arial"/>
            <w:noProof/>
            <w:sz w:val="20"/>
            <w:szCs w:val="20"/>
          </w:rPr>
          <w:t>AMC 31GB.25 Factors of safety</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_Toc153137604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216</w:t>
        </w:r>
        <w:r w:rsidR="00BE3F4E" w:rsidRPr="00BE3F4E">
          <w:rPr>
            <w:rFonts w:ascii="Arial" w:hAnsi="Arial" w:cs="Arial"/>
            <w:noProof/>
            <w:webHidden/>
            <w:sz w:val="20"/>
            <w:szCs w:val="20"/>
          </w:rPr>
          <w:fldChar w:fldCharType="end"/>
        </w:r>
      </w:hyperlink>
    </w:p>
    <w:p w14:paraId="3AF55F1D" w14:textId="70C0DBC3" w:rsidR="00BE3F4E" w:rsidRPr="00BE3F4E" w:rsidRDefault="00000000">
      <w:pPr>
        <w:pStyle w:val="TOC4"/>
        <w:tabs>
          <w:tab w:val="right" w:leader="underscore" w:pos="9016"/>
        </w:tabs>
        <w:rPr>
          <w:rFonts w:ascii="Arial" w:eastAsiaTheme="minorEastAsia" w:hAnsi="Arial" w:cs="Arial"/>
          <w:noProof/>
          <w:sz w:val="20"/>
          <w:szCs w:val="20"/>
        </w:rPr>
      </w:pPr>
      <w:hyperlink w:anchor="_Toc153137605" w:history="1">
        <w:r w:rsidR="00BE3F4E" w:rsidRPr="00BE3F4E">
          <w:rPr>
            <w:rStyle w:val="Hyperlink"/>
            <w:rFonts w:ascii="Arial" w:eastAsia="Times New Roman" w:hAnsi="Arial" w:cs="Arial"/>
            <w:iCs/>
            <w:noProof/>
            <w:sz w:val="20"/>
            <w:szCs w:val="20"/>
          </w:rPr>
          <w:t>CS 31GB.27 Strength and proof of strength</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_Toc153137605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216</w:t>
        </w:r>
        <w:r w:rsidR="00BE3F4E" w:rsidRPr="00BE3F4E">
          <w:rPr>
            <w:rFonts w:ascii="Arial" w:hAnsi="Arial" w:cs="Arial"/>
            <w:noProof/>
            <w:webHidden/>
            <w:sz w:val="20"/>
            <w:szCs w:val="20"/>
          </w:rPr>
          <w:fldChar w:fldCharType="end"/>
        </w:r>
      </w:hyperlink>
    </w:p>
    <w:p w14:paraId="724EA1BD" w14:textId="0A63B1DA" w:rsidR="00BE3F4E" w:rsidRPr="00BE3F4E" w:rsidRDefault="00000000">
      <w:pPr>
        <w:pStyle w:val="TOC5"/>
        <w:tabs>
          <w:tab w:val="right" w:leader="underscore" w:pos="9016"/>
        </w:tabs>
        <w:rPr>
          <w:rFonts w:ascii="Arial" w:eastAsiaTheme="minorEastAsia" w:hAnsi="Arial" w:cs="Arial"/>
          <w:noProof/>
          <w:sz w:val="20"/>
          <w:szCs w:val="20"/>
        </w:rPr>
      </w:pPr>
      <w:hyperlink w:anchor="_Toc153137606" w:history="1">
        <w:r w:rsidR="00BE3F4E" w:rsidRPr="00BE3F4E">
          <w:rPr>
            <w:rStyle w:val="Hyperlink"/>
            <w:rFonts w:ascii="Arial" w:eastAsia="Times New Roman" w:hAnsi="Arial" w:cs="Arial"/>
            <w:noProof/>
            <w:sz w:val="20"/>
            <w:szCs w:val="20"/>
          </w:rPr>
          <w:t>AMC 31GB.27 Strength and proof of strength</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_Toc153137606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217</w:t>
        </w:r>
        <w:r w:rsidR="00BE3F4E" w:rsidRPr="00BE3F4E">
          <w:rPr>
            <w:rFonts w:ascii="Arial" w:hAnsi="Arial" w:cs="Arial"/>
            <w:noProof/>
            <w:webHidden/>
            <w:sz w:val="20"/>
            <w:szCs w:val="20"/>
          </w:rPr>
          <w:fldChar w:fldCharType="end"/>
        </w:r>
      </w:hyperlink>
    </w:p>
    <w:p w14:paraId="4D9FD76E" w14:textId="08BC4952" w:rsidR="00BE3F4E" w:rsidRPr="00BE3F4E" w:rsidRDefault="00000000">
      <w:pPr>
        <w:pStyle w:val="TOC5"/>
        <w:tabs>
          <w:tab w:val="right" w:leader="underscore" w:pos="9016"/>
        </w:tabs>
        <w:rPr>
          <w:rFonts w:ascii="Arial" w:eastAsiaTheme="minorEastAsia" w:hAnsi="Arial" w:cs="Arial"/>
          <w:noProof/>
          <w:sz w:val="20"/>
          <w:szCs w:val="20"/>
        </w:rPr>
      </w:pPr>
      <w:hyperlink w:anchor="_Toc153137607" w:history="1">
        <w:r w:rsidR="00BE3F4E" w:rsidRPr="00BE3F4E">
          <w:rPr>
            <w:rStyle w:val="Hyperlink"/>
            <w:rFonts w:ascii="Arial" w:eastAsia="Times New Roman" w:hAnsi="Arial" w:cs="Arial"/>
            <w:noProof/>
            <w:sz w:val="20"/>
            <w:szCs w:val="20"/>
          </w:rPr>
          <w:t>AMC 31GB.27(c) Strength and proof of strength</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_Toc153137607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217</w:t>
        </w:r>
        <w:r w:rsidR="00BE3F4E" w:rsidRPr="00BE3F4E">
          <w:rPr>
            <w:rFonts w:ascii="Arial" w:hAnsi="Arial" w:cs="Arial"/>
            <w:noProof/>
            <w:webHidden/>
            <w:sz w:val="20"/>
            <w:szCs w:val="20"/>
          </w:rPr>
          <w:fldChar w:fldCharType="end"/>
        </w:r>
      </w:hyperlink>
    </w:p>
    <w:p w14:paraId="081875E6" w14:textId="004A7BA9" w:rsidR="00BE3F4E" w:rsidRPr="00BE3F4E" w:rsidRDefault="00000000">
      <w:pPr>
        <w:pStyle w:val="TOC5"/>
        <w:tabs>
          <w:tab w:val="right" w:leader="underscore" w:pos="9016"/>
        </w:tabs>
        <w:rPr>
          <w:rFonts w:ascii="Arial" w:eastAsiaTheme="minorEastAsia" w:hAnsi="Arial" w:cs="Arial"/>
          <w:noProof/>
          <w:sz w:val="20"/>
          <w:szCs w:val="20"/>
        </w:rPr>
      </w:pPr>
      <w:hyperlink w:anchor="_Toc153137608" w:history="1">
        <w:r w:rsidR="00BE3F4E" w:rsidRPr="00BE3F4E">
          <w:rPr>
            <w:rStyle w:val="Hyperlink"/>
            <w:rFonts w:ascii="Arial" w:eastAsia="Times New Roman" w:hAnsi="Arial" w:cs="Arial"/>
            <w:noProof/>
            <w:sz w:val="20"/>
            <w:szCs w:val="20"/>
          </w:rPr>
          <w:t>AMC 31GB.27(d) Strength and proof of strength</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_Toc153137608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217</w:t>
        </w:r>
        <w:r w:rsidR="00BE3F4E" w:rsidRPr="00BE3F4E">
          <w:rPr>
            <w:rFonts w:ascii="Arial" w:hAnsi="Arial" w:cs="Arial"/>
            <w:noProof/>
            <w:webHidden/>
            <w:sz w:val="20"/>
            <w:szCs w:val="20"/>
          </w:rPr>
          <w:fldChar w:fldCharType="end"/>
        </w:r>
      </w:hyperlink>
    </w:p>
    <w:p w14:paraId="2D6FB15A" w14:textId="18152A3B" w:rsidR="00BE3F4E" w:rsidRPr="00BE3F4E" w:rsidRDefault="00000000">
      <w:pPr>
        <w:pStyle w:val="TOC5"/>
        <w:tabs>
          <w:tab w:val="right" w:leader="underscore" w:pos="9016"/>
        </w:tabs>
        <w:rPr>
          <w:rFonts w:ascii="Arial" w:eastAsiaTheme="minorEastAsia" w:hAnsi="Arial" w:cs="Arial"/>
          <w:noProof/>
          <w:sz w:val="20"/>
          <w:szCs w:val="20"/>
        </w:rPr>
      </w:pPr>
      <w:hyperlink w:anchor="_Toc153137609" w:history="1">
        <w:r w:rsidR="00BE3F4E" w:rsidRPr="00BE3F4E">
          <w:rPr>
            <w:rStyle w:val="Hyperlink"/>
            <w:rFonts w:ascii="Arial" w:eastAsia="Times New Roman" w:hAnsi="Arial" w:cs="Arial"/>
            <w:noProof/>
            <w:sz w:val="20"/>
            <w:szCs w:val="20"/>
          </w:rPr>
          <w:t>AMC 31GB.27(e) Strength and proof of strength</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_Toc153137609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217</w:t>
        </w:r>
        <w:r w:rsidR="00BE3F4E" w:rsidRPr="00BE3F4E">
          <w:rPr>
            <w:rFonts w:ascii="Arial" w:hAnsi="Arial" w:cs="Arial"/>
            <w:noProof/>
            <w:webHidden/>
            <w:sz w:val="20"/>
            <w:szCs w:val="20"/>
          </w:rPr>
          <w:fldChar w:fldCharType="end"/>
        </w:r>
      </w:hyperlink>
    </w:p>
    <w:p w14:paraId="30F39766" w14:textId="079F8476" w:rsidR="00BE3F4E" w:rsidRPr="00BE3F4E" w:rsidRDefault="00000000">
      <w:pPr>
        <w:pStyle w:val="TOC5"/>
        <w:tabs>
          <w:tab w:val="right" w:leader="underscore" w:pos="9016"/>
        </w:tabs>
        <w:rPr>
          <w:rFonts w:ascii="Arial" w:eastAsiaTheme="minorEastAsia" w:hAnsi="Arial" w:cs="Arial"/>
          <w:noProof/>
          <w:sz w:val="20"/>
          <w:szCs w:val="20"/>
        </w:rPr>
      </w:pPr>
      <w:hyperlink w:anchor="_Toc153137610" w:history="1">
        <w:r w:rsidR="00BE3F4E" w:rsidRPr="00BE3F4E">
          <w:rPr>
            <w:rStyle w:val="Hyperlink"/>
            <w:rFonts w:ascii="Arial" w:eastAsia="Times New Roman" w:hAnsi="Arial" w:cs="Arial"/>
            <w:noProof/>
            <w:sz w:val="20"/>
            <w:szCs w:val="20"/>
          </w:rPr>
          <w:t>AMC 31GB.27(f) Strength and proof of strength</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_Toc153137610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217</w:t>
        </w:r>
        <w:r w:rsidR="00BE3F4E" w:rsidRPr="00BE3F4E">
          <w:rPr>
            <w:rFonts w:ascii="Arial" w:hAnsi="Arial" w:cs="Arial"/>
            <w:noProof/>
            <w:webHidden/>
            <w:sz w:val="20"/>
            <w:szCs w:val="20"/>
          </w:rPr>
          <w:fldChar w:fldCharType="end"/>
        </w:r>
      </w:hyperlink>
    </w:p>
    <w:p w14:paraId="0C03E565" w14:textId="33E3C555" w:rsidR="00BE3F4E" w:rsidRPr="00BE3F4E" w:rsidRDefault="00000000">
      <w:pPr>
        <w:pStyle w:val="TOC4"/>
        <w:tabs>
          <w:tab w:val="right" w:leader="underscore" w:pos="9016"/>
        </w:tabs>
        <w:rPr>
          <w:rFonts w:ascii="Arial" w:eastAsiaTheme="minorEastAsia" w:hAnsi="Arial" w:cs="Arial"/>
          <w:noProof/>
          <w:sz w:val="20"/>
          <w:szCs w:val="20"/>
        </w:rPr>
      </w:pPr>
      <w:hyperlink w:anchor="_Toc153137611" w:history="1">
        <w:r w:rsidR="00BE3F4E" w:rsidRPr="00BE3F4E">
          <w:rPr>
            <w:rStyle w:val="Hyperlink"/>
            <w:rFonts w:ascii="Arial" w:eastAsia="Times New Roman" w:hAnsi="Arial" w:cs="Arial"/>
            <w:iCs/>
            <w:noProof/>
            <w:sz w:val="20"/>
            <w:szCs w:val="20"/>
          </w:rPr>
          <w:t>CS 31GB.28 Tethered flight loads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_Toc153137611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217</w:t>
        </w:r>
        <w:r w:rsidR="00BE3F4E" w:rsidRPr="00BE3F4E">
          <w:rPr>
            <w:rFonts w:ascii="Arial" w:hAnsi="Arial" w:cs="Arial"/>
            <w:noProof/>
            <w:webHidden/>
            <w:sz w:val="20"/>
            <w:szCs w:val="20"/>
          </w:rPr>
          <w:fldChar w:fldCharType="end"/>
        </w:r>
      </w:hyperlink>
    </w:p>
    <w:p w14:paraId="0C841628" w14:textId="1F5AE266" w:rsidR="00BE3F4E" w:rsidRPr="00BE3F4E" w:rsidRDefault="00000000">
      <w:pPr>
        <w:pStyle w:val="TOC5"/>
        <w:tabs>
          <w:tab w:val="right" w:leader="underscore" w:pos="9016"/>
        </w:tabs>
        <w:rPr>
          <w:rFonts w:ascii="Arial" w:eastAsiaTheme="minorEastAsia" w:hAnsi="Arial" w:cs="Arial"/>
          <w:noProof/>
          <w:sz w:val="20"/>
          <w:szCs w:val="20"/>
        </w:rPr>
      </w:pPr>
      <w:hyperlink w:anchor="_Toc153137612" w:history="1">
        <w:r w:rsidR="00BE3F4E" w:rsidRPr="00BE3F4E">
          <w:rPr>
            <w:rStyle w:val="Hyperlink"/>
            <w:rFonts w:ascii="Arial" w:eastAsia="Times New Roman" w:hAnsi="Arial" w:cs="Arial"/>
            <w:noProof/>
            <w:sz w:val="20"/>
            <w:szCs w:val="20"/>
          </w:rPr>
          <w:t>AMC 31GB.28(a) Tethered Flight Loads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_Toc153137612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218</w:t>
        </w:r>
        <w:r w:rsidR="00BE3F4E" w:rsidRPr="00BE3F4E">
          <w:rPr>
            <w:rFonts w:ascii="Arial" w:hAnsi="Arial" w:cs="Arial"/>
            <w:noProof/>
            <w:webHidden/>
            <w:sz w:val="20"/>
            <w:szCs w:val="20"/>
          </w:rPr>
          <w:fldChar w:fldCharType="end"/>
        </w:r>
      </w:hyperlink>
    </w:p>
    <w:p w14:paraId="4252B46E" w14:textId="74C60496" w:rsidR="00BE3F4E" w:rsidRPr="00BE3F4E" w:rsidRDefault="00000000">
      <w:pPr>
        <w:pStyle w:val="TOC4"/>
        <w:tabs>
          <w:tab w:val="right" w:leader="underscore" w:pos="9016"/>
        </w:tabs>
        <w:rPr>
          <w:rFonts w:ascii="Arial" w:eastAsiaTheme="minorEastAsia" w:hAnsi="Arial" w:cs="Arial"/>
          <w:noProof/>
          <w:sz w:val="20"/>
          <w:szCs w:val="20"/>
        </w:rPr>
      </w:pPr>
      <w:hyperlink w:anchor="_Toc153137613" w:history="1">
        <w:r w:rsidR="00BE3F4E" w:rsidRPr="00BE3F4E">
          <w:rPr>
            <w:rStyle w:val="Hyperlink"/>
            <w:rFonts w:ascii="Arial" w:eastAsia="Times New Roman" w:hAnsi="Arial" w:cs="Arial"/>
            <w:iCs/>
            <w:noProof/>
            <w:sz w:val="20"/>
            <w:szCs w:val="20"/>
          </w:rPr>
          <w:t>CS 31GB.30 Restraint harness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_Toc153137613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218</w:t>
        </w:r>
        <w:r w:rsidR="00BE3F4E" w:rsidRPr="00BE3F4E">
          <w:rPr>
            <w:rFonts w:ascii="Arial" w:hAnsi="Arial" w:cs="Arial"/>
            <w:noProof/>
            <w:webHidden/>
            <w:sz w:val="20"/>
            <w:szCs w:val="20"/>
          </w:rPr>
          <w:fldChar w:fldCharType="end"/>
        </w:r>
      </w:hyperlink>
    </w:p>
    <w:p w14:paraId="79E0A6C4" w14:textId="17CD71D4" w:rsidR="00BE3F4E" w:rsidRPr="00BE3F4E" w:rsidRDefault="00000000">
      <w:pPr>
        <w:pStyle w:val="TOC3"/>
        <w:tabs>
          <w:tab w:val="right" w:leader="underscore" w:pos="9016"/>
        </w:tabs>
        <w:rPr>
          <w:rFonts w:ascii="Arial" w:eastAsiaTheme="minorEastAsia" w:hAnsi="Arial" w:cs="Arial"/>
          <w:b w:val="0"/>
          <w:bCs w:val="0"/>
          <w:noProof/>
          <w:sz w:val="20"/>
          <w:szCs w:val="20"/>
        </w:rPr>
      </w:pPr>
      <w:hyperlink w:anchor="_Toc153137614" w:history="1">
        <w:r w:rsidR="00BE3F4E" w:rsidRPr="00BE3F4E">
          <w:rPr>
            <w:rStyle w:val="Hyperlink"/>
            <w:rFonts w:ascii="Arial" w:eastAsiaTheme="majorEastAsia" w:hAnsi="Arial" w:cs="Arial"/>
            <w:b w:val="0"/>
            <w:bCs w:val="0"/>
            <w:noProof/>
            <w:sz w:val="20"/>
            <w:szCs w:val="20"/>
          </w:rPr>
          <w:t>SUBPART D — DESIGN AND CONSTRUCTION</w:t>
        </w:r>
        <w:r w:rsidR="00BE3F4E" w:rsidRPr="00BE3F4E">
          <w:rPr>
            <w:rFonts w:ascii="Arial" w:hAnsi="Arial" w:cs="Arial"/>
            <w:b w:val="0"/>
            <w:bCs w:val="0"/>
            <w:noProof/>
            <w:webHidden/>
            <w:sz w:val="20"/>
            <w:szCs w:val="20"/>
          </w:rPr>
          <w:tab/>
        </w:r>
        <w:r w:rsidR="00BE3F4E" w:rsidRPr="00BE3F4E">
          <w:rPr>
            <w:rFonts w:ascii="Arial" w:hAnsi="Arial" w:cs="Arial"/>
            <w:b w:val="0"/>
            <w:bCs w:val="0"/>
            <w:noProof/>
            <w:webHidden/>
            <w:sz w:val="20"/>
            <w:szCs w:val="20"/>
          </w:rPr>
          <w:fldChar w:fldCharType="begin"/>
        </w:r>
        <w:r w:rsidR="00BE3F4E" w:rsidRPr="00BE3F4E">
          <w:rPr>
            <w:rFonts w:ascii="Arial" w:hAnsi="Arial" w:cs="Arial"/>
            <w:b w:val="0"/>
            <w:bCs w:val="0"/>
            <w:noProof/>
            <w:webHidden/>
            <w:sz w:val="20"/>
            <w:szCs w:val="20"/>
          </w:rPr>
          <w:instrText xml:space="preserve"> PAGEREF _Toc153137614 \h </w:instrText>
        </w:r>
        <w:r w:rsidR="00BE3F4E" w:rsidRPr="00BE3F4E">
          <w:rPr>
            <w:rFonts w:ascii="Arial" w:hAnsi="Arial" w:cs="Arial"/>
            <w:b w:val="0"/>
            <w:bCs w:val="0"/>
            <w:noProof/>
            <w:webHidden/>
            <w:sz w:val="20"/>
            <w:szCs w:val="20"/>
          </w:rPr>
        </w:r>
        <w:r w:rsidR="00BE3F4E" w:rsidRPr="00BE3F4E">
          <w:rPr>
            <w:rFonts w:ascii="Arial" w:hAnsi="Arial" w:cs="Arial"/>
            <w:b w:val="0"/>
            <w:bCs w:val="0"/>
            <w:noProof/>
            <w:webHidden/>
            <w:sz w:val="20"/>
            <w:szCs w:val="20"/>
          </w:rPr>
          <w:fldChar w:fldCharType="separate"/>
        </w:r>
        <w:r w:rsidR="006A7538">
          <w:rPr>
            <w:rFonts w:ascii="Arial" w:hAnsi="Arial" w:cs="Arial"/>
            <w:b w:val="0"/>
            <w:bCs w:val="0"/>
            <w:noProof/>
            <w:webHidden/>
            <w:sz w:val="20"/>
            <w:szCs w:val="20"/>
          </w:rPr>
          <w:t>219</w:t>
        </w:r>
        <w:r w:rsidR="00BE3F4E" w:rsidRPr="00BE3F4E">
          <w:rPr>
            <w:rFonts w:ascii="Arial" w:hAnsi="Arial" w:cs="Arial"/>
            <w:b w:val="0"/>
            <w:bCs w:val="0"/>
            <w:noProof/>
            <w:webHidden/>
            <w:sz w:val="20"/>
            <w:szCs w:val="20"/>
          </w:rPr>
          <w:fldChar w:fldCharType="end"/>
        </w:r>
      </w:hyperlink>
    </w:p>
    <w:p w14:paraId="3A6A9FFE" w14:textId="3FF482E5" w:rsidR="00BE3F4E" w:rsidRPr="00BE3F4E" w:rsidRDefault="00000000">
      <w:pPr>
        <w:pStyle w:val="TOC4"/>
        <w:tabs>
          <w:tab w:val="right" w:leader="underscore" w:pos="9016"/>
        </w:tabs>
        <w:rPr>
          <w:rFonts w:ascii="Arial" w:eastAsiaTheme="minorEastAsia" w:hAnsi="Arial" w:cs="Arial"/>
          <w:noProof/>
          <w:sz w:val="20"/>
          <w:szCs w:val="20"/>
        </w:rPr>
      </w:pPr>
      <w:hyperlink w:anchor="_Toc153137615" w:history="1">
        <w:r w:rsidR="00BE3F4E" w:rsidRPr="00BE3F4E">
          <w:rPr>
            <w:rStyle w:val="Hyperlink"/>
            <w:rFonts w:ascii="Arial" w:eastAsia="Times New Roman" w:hAnsi="Arial" w:cs="Arial"/>
            <w:iCs/>
            <w:noProof/>
            <w:sz w:val="20"/>
            <w:szCs w:val="20"/>
          </w:rPr>
          <w:t>CS 31GB.31 General</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_Toc153137615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219</w:t>
        </w:r>
        <w:r w:rsidR="00BE3F4E" w:rsidRPr="00BE3F4E">
          <w:rPr>
            <w:rFonts w:ascii="Arial" w:hAnsi="Arial" w:cs="Arial"/>
            <w:noProof/>
            <w:webHidden/>
            <w:sz w:val="20"/>
            <w:szCs w:val="20"/>
          </w:rPr>
          <w:fldChar w:fldCharType="end"/>
        </w:r>
      </w:hyperlink>
    </w:p>
    <w:p w14:paraId="2788B79B" w14:textId="32CC097F" w:rsidR="00BE3F4E" w:rsidRPr="00BE3F4E" w:rsidRDefault="00000000">
      <w:pPr>
        <w:pStyle w:val="TOC4"/>
        <w:tabs>
          <w:tab w:val="right" w:leader="underscore" w:pos="9016"/>
        </w:tabs>
        <w:rPr>
          <w:rFonts w:ascii="Arial" w:eastAsiaTheme="minorEastAsia" w:hAnsi="Arial" w:cs="Arial"/>
          <w:noProof/>
          <w:sz w:val="20"/>
          <w:szCs w:val="20"/>
        </w:rPr>
      </w:pPr>
      <w:hyperlink w:anchor="_Toc153137616" w:history="1">
        <w:r w:rsidR="00BE3F4E" w:rsidRPr="00BE3F4E">
          <w:rPr>
            <w:rStyle w:val="Hyperlink"/>
            <w:rFonts w:ascii="Arial" w:eastAsia="Times New Roman" w:hAnsi="Arial" w:cs="Arial"/>
            <w:iCs/>
            <w:noProof/>
            <w:sz w:val="20"/>
            <w:szCs w:val="20"/>
          </w:rPr>
          <w:t>CS 31GB.33 Materials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_Toc153137616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219</w:t>
        </w:r>
        <w:r w:rsidR="00BE3F4E" w:rsidRPr="00BE3F4E">
          <w:rPr>
            <w:rFonts w:ascii="Arial" w:hAnsi="Arial" w:cs="Arial"/>
            <w:noProof/>
            <w:webHidden/>
            <w:sz w:val="20"/>
            <w:szCs w:val="20"/>
          </w:rPr>
          <w:fldChar w:fldCharType="end"/>
        </w:r>
      </w:hyperlink>
    </w:p>
    <w:p w14:paraId="42F8711A" w14:textId="6A533587" w:rsidR="00BE3F4E" w:rsidRPr="00BE3F4E" w:rsidRDefault="00000000">
      <w:pPr>
        <w:pStyle w:val="TOC5"/>
        <w:tabs>
          <w:tab w:val="right" w:leader="underscore" w:pos="9016"/>
        </w:tabs>
        <w:rPr>
          <w:rFonts w:ascii="Arial" w:eastAsiaTheme="minorEastAsia" w:hAnsi="Arial" w:cs="Arial"/>
          <w:noProof/>
          <w:sz w:val="20"/>
          <w:szCs w:val="20"/>
        </w:rPr>
      </w:pPr>
      <w:hyperlink w:anchor="_Toc153137617" w:history="1">
        <w:r w:rsidR="00BE3F4E" w:rsidRPr="00BE3F4E">
          <w:rPr>
            <w:rStyle w:val="Hyperlink"/>
            <w:rFonts w:ascii="Arial" w:eastAsia="Times New Roman" w:hAnsi="Arial" w:cs="Arial"/>
            <w:noProof/>
            <w:sz w:val="20"/>
            <w:szCs w:val="20"/>
          </w:rPr>
          <w:t>AMC 31GB.33(b) Materials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_Toc153137617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219</w:t>
        </w:r>
        <w:r w:rsidR="00BE3F4E" w:rsidRPr="00BE3F4E">
          <w:rPr>
            <w:rFonts w:ascii="Arial" w:hAnsi="Arial" w:cs="Arial"/>
            <w:noProof/>
            <w:webHidden/>
            <w:sz w:val="20"/>
            <w:szCs w:val="20"/>
          </w:rPr>
          <w:fldChar w:fldCharType="end"/>
        </w:r>
      </w:hyperlink>
    </w:p>
    <w:p w14:paraId="5017CA56" w14:textId="580D1DD1" w:rsidR="00BE3F4E" w:rsidRPr="00BE3F4E" w:rsidRDefault="00000000">
      <w:pPr>
        <w:pStyle w:val="TOC4"/>
        <w:tabs>
          <w:tab w:val="right" w:leader="underscore" w:pos="9016"/>
        </w:tabs>
        <w:rPr>
          <w:rFonts w:ascii="Arial" w:eastAsiaTheme="minorEastAsia" w:hAnsi="Arial" w:cs="Arial"/>
          <w:noProof/>
          <w:sz w:val="20"/>
          <w:szCs w:val="20"/>
        </w:rPr>
      </w:pPr>
      <w:hyperlink w:anchor="_Toc153137618" w:history="1">
        <w:r w:rsidR="00BE3F4E" w:rsidRPr="00BE3F4E">
          <w:rPr>
            <w:rStyle w:val="Hyperlink"/>
            <w:rFonts w:ascii="Arial" w:eastAsia="Times New Roman" w:hAnsi="Arial" w:cs="Arial"/>
            <w:iCs/>
            <w:noProof/>
            <w:sz w:val="20"/>
            <w:szCs w:val="20"/>
          </w:rPr>
          <w:t>CS 31GB.35 Fabrication methods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_Toc153137618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219</w:t>
        </w:r>
        <w:r w:rsidR="00BE3F4E" w:rsidRPr="00BE3F4E">
          <w:rPr>
            <w:rFonts w:ascii="Arial" w:hAnsi="Arial" w:cs="Arial"/>
            <w:noProof/>
            <w:webHidden/>
            <w:sz w:val="20"/>
            <w:szCs w:val="20"/>
          </w:rPr>
          <w:fldChar w:fldCharType="end"/>
        </w:r>
      </w:hyperlink>
    </w:p>
    <w:p w14:paraId="3BBA218E" w14:textId="001DE8E9" w:rsidR="00BE3F4E" w:rsidRPr="00BE3F4E" w:rsidRDefault="00000000">
      <w:pPr>
        <w:pStyle w:val="TOC5"/>
        <w:tabs>
          <w:tab w:val="right" w:leader="underscore" w:pos="9016"/>
        </w:tabs>
        <w:rPr>
          <w:rFonts w:ascii="Arial" w:eastAsiaTheme="minorEastAsia" w:hAnsi="Arial" w:cs="Arial"/>
          <w:noProof/>
          <w:sz w:val="20"/>
          <w:szCs w:val="20"/>
        </w:rPr>
      </w:pPr>
      <w:hyperlink w:anchor="_Toc153137619" w:history="1">
        <w:r w:rsidR="00BE3F4E" w:rsidRPr="00BE3F4E">
          <w:rPr>
            <w:rStyle w:val="Hyperlink"/>
            <w:rFonts w:ascii="Arial" w:eastAsia="Times New Roman" w:hAnsi="Arial" w:cs="Arial"/>
            <w:noProof/>
            <w:sz w:val="20"/>
            <w:szCs w:val="20"/>
          </w:rPr>
          <w:t>AMC 31GB.35 Fabrication methods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_Toc153137619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219</w:t>
        </w:r>
        <w:r w:rsidR="00BE3F4E" w:rsidRPr="00BE3F4E">
          <w:rPr>
            <w:rFonts w:ascii="Arial" w:hAnsi="Arial" w:cs="Arial"/>
            <w:noProof/>
            <w:webHidden/>
            <w:sz w:val="20"/>
            <w:szCs w:val="20"/>
          </w:rPr>
          <w:fldChar w:fldCharType="end"/>
        </w:r>
      </w:hyperlink>
    </w:p>
    <w:p w14:paraId="6EA61608" w14:textId="4D81685F" w:rsidR="00BE3F4E" w:rsidRPr="00BE3F4E" w:rsidRDefault="00000000">
      <w:pPr>
        <w:pStyle w:val="TOC4"/>
        <w:tabs>
          <w:tab w:val="right" w:leader="underscore" w:pos="9016"/>
        </w:tabs>
        <w:rPr>
          <w:rFonts w:ascii="Arial" w:eastAsiaTheme="minorEastAsia" w:hAnsi="Arial" w:cs="Arial"/>
          <w:noProof/>
          <w:sz w:val="20"/>
          <w:szCs w:val="20"/>
        </w:rPr>
      </w:pPr>
      <w:hyperlink w:anchor="_Toc153137620" w:history="1">
        <w:r w:rsidR="00BE3F4E" w:rsidRPr="00BE3F4E">
          <w:rPr>
            <w:rStyle w:val="Hyperlink"/>
            <w:rFonts w:ascii="Arial" w:eastAsia="Times New Roman" w:hAnsi="Arial" w:cs="Arial"/>
            <w:iCs/>
            <w:noProof/>
            <w:sz w:val="20"/>
            <w:szCs w:val="20"/>
          </w:rPr>
          <w:t>CS 31GB.37 Fasteners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_Toc153137620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219</w:t>
        </w:r>
        <w:r w:rsidR="00BE3F4E" w:rsidRPr="00BE3F4E">
          <w:rPr>
            <w:rFonts w:ascii="Arial" w:hAnsi="Arial" w:cs="Arial"/>
            <w:noProof/>
            <w:webHidden/>
            <w:sz w:val="20"/>
            <w:szCs w:val="20"/>
          </w:rPr>
          <w:fldChar w:fldCharType="end"/>
        </w:r>
      </w:hyperlink>
    </w:p>
    <w:p w14:paraId="74A81BC0" w14:textId="746C49DE" w:rsidR="00BE3F4E" w:rsidRPr="00BE3F4E" w:rsidRDefault="00000000">
      <w:pPr>
        <w:pStyle w:val="TOC5"/>
        <w:tabs>
          <w:tab w:val="right" w:leader="underscore" w:pos="9016"/>
        </w:tabs>
        <w:rPr>
          <w:rFonts w:ascii="Arial" w:eastAsiaTheme="minorEastAsia" w:hAnsi="Arial" w:cs="Arial"/>
          <w:noProof/>
          <w:sz w:val="20"/>
          <w:szCs w:val="20"/>
        </w:rPr>
      </w:pPr>
      <w:hyperlink w:anchor="_Toc153137621" w:history="1">
        <w:r w:rsidR="00BE3F4E" w:rsidRPr="00BE3F4E">
          <w:rPr>
            <w:rStyle w:val="Hyperlink"/>
            <w:rFonts w:ascii="Arial" w:eastAsia="Times New Roman" w:hAnsi="Arial" w:cs="Arial"/>
            <w:noProof/>
            <w:sz w:val="20"/>
            <w:szCs w:val="20"/>
          </w:rPr>
          <w:t>AMC 31GB.37(a) Fasteners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_Toc153137621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219</w:t>
        </w:r>
        <w:r w:rsidR="00BE3F4E" w:rsidRPr="00BE3F4E">
          <w:rPr>
            <w:rFonts w:ascii="Arial" w:hAnsi="Arial" w:cs="Arial"/>
            <w:noProof/>
            <w:webHidden/>
            <w:sz w:val="20"/>
            <w:szCs w:val="20"/>
          </w:rPr>
          <w:fldChar w:fldCharType="end"/>
        </w:r>
      </w:hyperlink>
    </w:p>
    <w:p w14:paraId="703D95D9" w14:textId="2697B4A4" w:rsidR="00BE3F4E" w:rsidRPr="00BE3F4E" w:rsidRDefault="00000000">
      <w:pPr>
        <w:pStyle w:val="TOC4"/>
        <w:tabs>
          <w:tab w:val="right" w:leader="underscore" w:pos="9016"/>
        </w:tabs>
        <w:rPr>
          <w:rFonts w:ascii="Arial" w:eastAsiaTheme="minorEastAsia" w:hAnsi="Arial" w:cs="Arial"/>
          <w:noProof/>
          <w:sz w:val="20"/>
          <w:szCs w:val="20"/>
        </w:rPr>
      </w:pPr>
      <w:hyperlink w:anchor="_Toc153137622" w:history="1">
        <w:r w:rsidR="00BE3F4E" w:rsidRPr="00BE3F4E">
          <w:rPr>
            <w:rStyle w:val="Hyperlink"/>
            <w:rFonts w:ascii="Arial" w:eastAsia="Times New Roman" w:hAnsi="Arial" w:cs="Arial"/>
            <w:iCs/>
            <w:noProof/>
            <w:sz w:val="20"/>
            <w:szCs w:val="20"/>
          </w:rPr>
          <w:t>CS 31GB.39 Protection of parts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_Toc153137622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219</w:t>
        </w:r>
        <w:r w:rsidR="00BE3F4E" w:rsidRPr="00BE3F4E">
          <w:rPr>
            <w:rFonts w:ascii="Arial" w:hAnsi="Arial" w:cs="Arial"/>
            <w:noProof/>
            <w:webHidden/>
            <w:sz w:val="20"/>
            <w:szCs w:val="20"/>
          </w:rPr>
          <w:fldChar w:fldCharType="end"/>
        </w:r>
      </w:hyperlink>
    </w:p>
    <w:p w14:paraId="05AAA4D7" w14:textId="1AC1F723" w:rsidR="00BE3F4E" w:rsidRPr="00BE3F4E" w:rsidRDefault="00000000">
      <w:pPr>
        <w:pStyle w:val="TOC5"/>
        <w:tabs>
          <w:tab w:val="right" w:leader="underscore" w:pos="9016"/>
        </w:tabs>
        <w:rPr>
          <w:rFonts w:ascii="Arial" w:eastAsiaTheme="minorEastAsia" w:hAnsi="Arial" w:cs="Arial"/>
          <w:noProof/>
          <w:sz w:val="20"/>
          <w:szCs w:val="20"/>
        </w:rPr>
      </w:pPr>
      <w:hyperlink w:anchor="_Toc153137623" w:history="1">
        <w:r w:rsidR="00BE3F4E" w:rsidRPr="00BE3F4E">
          <w:rPr>
            <w:rStyle w:val="Hyperlink"/>
            <w:rFonts w:ascii="Arial" w:eastAsia="Times New Roman" w:hAnsi="Arial" w:cs="Arial"/>
            <w:noProof/>
            <w:sz w:val="20"/>
            <w:szCs w:val="20"/>
          </w:rPr>
          <w:t>AMC 31GB.39 Protection of parts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_Toc153137623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220</w:t>
        </w:r>
        <w:r w:rsidR="00BE3F4E" w:rsidRPr="00BE3F4E">
          <w:rPr>
            <w:rFonts w:ascii="Arial" w:hAnsi="Arial" w:cs="Arial"/>
            <w:noProof/>
            <w:webHidden/>
            <w:sz w:val="20"/>
            <w:szCs w:val="20"/>
          </w:rPr>
          <w:fldChar w:fldCharType="end"/>
        </w:r>
      </w:hyperlink>
    </w:p>
    <w:p w14:paraId="7E827B15" w14:textId="1C27A013" w:rsidR="00BE3F4E" w:rsidRPr="00BE3F4E" w:rsidRDefault="00000000">
      <w:pPr>
        <w:pStyle w:val="TOC4"/>
        <w:tabs>
          <w:tab w:val="right" w:leader="underscore" w:pos="9016"/>
        </w:tabs>
        <w:rPr>
          <w:rFonts w:ascii="Arial" w:eastAsiaTheme="minorEastAsia" w:hAnsi="Arial" w:cs="Arial"/>
          <w:noProof/>
          <w:sz w:val="20"/>
          <w:szCs w:val="20"/>
        </w:rPr>
      </w:pPr>
      <w:hyperlink w:anchor="_Toc153137624" w:history="1">
        <w:r w:rsidR="00BE3F4E" w:rsidRPr="00BE3F4E">
          <w:rPr>
            <w:rStyle w:val="Hyperlink"/>
            <w:rFonts w:ascii="Arial" w:eastAsia="Times New Roman" w:hAnsi="Arial" w:cs="Arial"/>
            <w:iCs/>
            <w:noProof/>
            <w:sz w:val="20"/>
            <w:szCs w:val="20"/>
          </w:rPr>
          <w:t>CS 31GB.41 Inspection provisions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_Toc153137624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220</w:t>
        </w:r>
        <w:r w:rsidR="00BE3F4E" w:rsidRPr="00BE3F4E">
          <w:rPr>
            <w:rFonts w:ascii="Arial" w:hAnsi="Arial" w:cs="Arial"/>
            <w:noProof/>
            <w:webHidden/>
            <w:sz w:val="20"/>
            <w:szCs w:val="20"/>
          </w:rPr>
          <w:fldChar w:fldCharType="end"/>
        </w:r>
      </w:hyperlink>
    </w:p>
    <w:p w14:paraId="6EB8D08F" w14:textId="7D273B7D" w:rsidR="00BE3F4E" w:rsidRPr="00BE3F4E" w:rsidRDefault="00000000">
      <w:pPr>
        <w:pStyle w:val="TOC4"/>
        <w:tabs>
          <w:tab w:val="right" w:leader="underscore" w:pos="9016"/>
        </w:tabs>
        <w:rPr>
          <w:rFonts w:ascii="Arial" w:eastAsiaTheme="minorEastAsia" w:hAnsi="Arial" w:cs="Arial"/>
          <w:noProof/>
          <w:sz w:val="20"/>
          <w:szCs w:val="20"/>
        </w:rPr>
      </w:pPr>
      <w:hyperlink w:anchor="_Toc153137625" w:history="1">
        <w:r w:rsidR="00BE3F4E" w:rsidRPr="00BE3F4E">
          <w:rPr>
            <w:rStyle w:val="Hyperlink"/>
            <w:rFonts w:ascii="Arial" w:eastAsia="Times New Roman" w:hAnsi="Arial" w:cs="Arial"/>
            <w:iCs/>
            <w:noProof/>
            <w:sz w:val="20"/>
            <w:szCs w:val="20"/>
          </w:rPr>
          <w:t>CS 31GB.43 Fitting factor</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_Toc153137625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220</w:t>
        </w:r>
        <w:r w:rsidR="00BE3F4E" w:rsidRPr="00BE3F4E">
          <w:rPr>
            <w:rFonts w:ascii="Arial" w:hAnsi="Arial" w:cs="Arial"/>
            <w:noProof/>
            <w:webHidden/>
            <w:sz w:val="20"/>
            <w:szCs w:val="20"/>
          </w:rPr>
          <w:fldChar w:fldCharType="end"/>
        </w:r>
      </w:hyperlink>
    </w:p>
    <w:p w14:paraId="4325E893" w14:textId="6C05CC8E" w:rsidR="00BE3F4E" w:rsidRPr="00BE3F4E" w:rsidRDefault="00000000">
      <w:pPr>
        <w:pStyle w:val="TOC5"/>
        <w:tabs>
          <w:tab w:val="right" w:leader="underscore" w:pos="9016"/>
        </w:tabs>
        <w:rPr>
          <w:rFonts w:ascii="Arial" w:eastAsiaTheme="minorEastAsia" w:hAnsi="Arial" w:cs="Arial"/>
          <w:noProof/>
          <w:sz w:val="20"/>
          <w:szCs w:val="20"/>
        </w:rPr>
      </w:pPr>
      <w:hyperlink w:anchor="_Toc153137626" w:history="1">
        <w:r w:rsidR="00BE3F4E" w:rsidRPr="00BE3F4E">
          <w:rPr>
            <w:rStyle w:val="Hyperlink"/>
            <w:rFonts w:ascii="Arial" w:eastAsia="Times New Roman" w:hAnsi="Arial" w:cs="Arial"/>
            <w:noProof/>
            <w:sz w:val="20"/>
            <w:szCs w:val="20"/>
          </w:rPr>
          <w:t>AMC 31GB.43(c) Fitting factors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_Toc153137626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220</w:t>
        </w:r>
        <w:r w:rsidR="00BE3F4E" w:rsidRPr="00BE3F4E">
          <w:rPr>
            <w:rFonts w:ascii="Arial" w:hAnsi="Arial" w:cs="Arial"/>
            <w:noProof/>
            <w:webHidden/>
            <w:sz w:val="20"/>
            <w:szCs w:val="20"/>
          </w:rPr>
          <w:fldChar w:fldCharType="end"/>
        </w:r>
      </w:hyperlink>
    </w:p>
    <w:p w14:paraId="2058152A" w14:textId="559A98DC" w:rsidR="00BE3F4E" w:rsidRPr="00BE3F4E" w:rsidRDefault="00000000">
      <w:pPr>
        <w:pStyle w:val="TOC4"/>
        <w:tabs>
          <w:tab w:val="right" w:leader="underscore" w:pos="9016"/>
        </w:tabs>
        <w:rPr>
          <w:rFonts w:ascii="Arial" w:eastAsiaTheme="minorEastAsia" w:hAnsi="Arial" w:cs="Arial"/>
          <w:noProof/>
          <w:sz w:val="20"/>
          <w:szCs w:val="20"/>
        </w:rPr>
      </w:pPr>
      <w:hyperlink w:anchor="_Toc153137627" w:history="1">
        <w:r w:rsidR="00BE3F4E" w:rsidRPr="00BE3F4E">
          <w:rPr>
            <w:rStyle w:val="Hyperlink"/>
            <w:rFonts w:ascii="Arial" w:eastAsia="Times New Roman" w:hAnsi="Arial" w:cs="Arial"/>
            <w:iCs/>
            <w:noProof/>
            <w:sz w:val="20"/>
            <w:szCs w:val="20"/>
          </w:rPr>
          <w:t>CS 31GB.44 Protection of envelope against tearing</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_Toc153137627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220</w:t>
        </w:r>
        <w:r w:rsidR="00BE3F4E" w:rsidRPr="00BE3F4E">
          <w:rPr>
            <w:rFonts w:ascii="Arial" w:hAnsi="Arial" w:cs="Arial"/>
            <w:noProof/>
            <w:webHidden/>
            <w:sz w:val="20"/>
            <w:szCs w:val="20"/>
          </w:rPr>
          <w:fldChar w:fldCharType="end"/>
        </w:r>
      </w:hyperlink>
    </w:p>
    <w:p w14:paraId="6E30A3DA" w14:textId="0B904B6F" w:rsidR="00BE3F4E" w:rsidRPr="00BE3F4E" w:rsidRDefault="00000000">
      <w:pPr>
        <w:pStyle w:val="TOC5"/>
        <w:tabs>
          <w:tab w:val="right" w:leader="underscore" w:pos="9016"/>
        </w:tabs>
        <w:rPr>
          <w:rFonts w:ascii="Arial" w:eastAsiaTheme="minorEastAsia" w:hAnsi="Arial" w:cs="Arial"/>
          <w:noProof/>
          <w:sz w:val="20"/>
          <w:szCs w:val="20"/>
        </w:rPr>
      </w:pPr>
      <w:hyperlink w:anchor="_Toc153137628" w:history="1">
        <w:r w:rsidR="00BE3F4E" w:rsidRPr="00BE3F4E">
          <w:rPr>
            <w:rStyle w:val="Hyperlink"/>
            <w:rFonts w:ascii="Arial" w:eastAsia="Times New Roman" w:hAnsi="Arial" w:cs="Arial"/>
            <w:noProof/>
            <w:sz w:val="20"/>
            <w:szCs w:val="20"/>
          </w:rPr>
          <w:t>AMC 31GB.44 Protection of the envelope against tearing</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_Toc153137628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220</w:t>
        </w:r>
        <w:r w:rsidR="00BE3F4E" w:rsidRPr="00BE3F4E">
          <w:rPr>
            <w:rFonts w:ascii="Arial" w:hAnsi="Arial" w:cs="Arial"/>
            <w:noProof/>
            <w:webHidden/>
            <w:sz w:val="20"/>
            <w:szCs w:val="20"/>
          </w:rPr>
          <w:fldChar w:fldCharType="end"/>
        </w:r>
      </w:hyperlink>
    </w:p>
    <w:p w14:paraId="5B0AD9DB" w14:textId="60352CFB" w:rsidR="00BE3F4E" w:rsidRPr="00BE3F4E" w:rsidRDefault="00000000">
      <w:pPr>
        <w:pStyle w:val="TOC4"/>
        <w:tabs>
          <w:tab w:val="right" w:leader="underscore" w:pos="9016"/>
        </w:tabs>
        <w:rPr>
          <w:rFonts w:ascii="Arial" w:eastAsiaTheme="minorEastAsia" w:hAnsi="Arial" w:cs="Arial"/>
          <w:noProof/>
          <w:sz w:val="20"/>
          <w:szCs w:val="20"/>
        </w:rPr>
      </w:pPr>
      <w:hyperlink w:anchor="_Toc153137629" w:history="1">
        <w:r w:rsidR="00BE3F4E" w:rsidRPr="00BE3F4E">
          <w:rPr>
            <w:rStyle w:val="Hyperlink"/>
            <w:rFonts w:ascii="Arial" w:eastAsia="Times New Roman" w:hAnsi="Arial" w:cs="Arial"/>
            <w:iCs/>
            <w:noProof/>
            <w:sz w:val="20"/>
            <w:szCs w:val="20"/>
          </w:rPr>
          <w:t>CS 31GB.49 Control systems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_Toc153137629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221</w:t>
        </w:r>
        <w:r w:rsidR="00BE3F4E" w:rsidRPr="00BE3F4E">
          <w:rPr>
            <w:rFonts w:ascii="Arial" w:hAnsi="Arial" w:cs="Arial"/>
            <w:noProof/>
            <w:webHidden/>
            <w:sz w:val="20"/>
            <w:szCs w:val="20"/>
          </w:rPr>
          <w:fldChar w:fldCharType="end"/>
        </w:r>
      </w:hyperlink>
    </w:p>
    <w:p w14:paraId="4A54838B" w14:textId="19681D6E" w:rsidR="00BE3F4E" w:rsidRPr="00BE3F4E" w:rsidRDefault="00000000">
      <w:pPr>
        <w:pStyle w:val="TOC5"/>
        <w:tabs>
          <w:tab w:val="right" w:leader="underscore" w:pos="9016"/>
        </w:tabs>
        <w:rPr>
          <w:rFonts w:ascii="Arial" w:eastAsiaTheme="minorEastAsia" w:hAnsi="Arial" w:cs="Arial"/>
          <w:noProof/>
          <w:sz w:val="20"/>
          <w:szCs w:val="20"/>
        </w:rPr>
      </w:pPr>
      <w:hyperlink w:anchor="_Toc153137630" w:history="1">
        <w:r w:rsidR="00BE3F4E" w:rsidRPr="00BE3F4E">
          <w:rPr>
            <w:rStyle w:val="Hyperlink"/>
            <w:rFonts w:ascii="Arial" w:eastAsia="Times New Roman" w:hAnsi="Arial" w:cs="Arial"/>
            <w:noProof/>
            <w:sz w:val="20"/>
            <w:szCs w:val="20"/>
          </w:rPr>
          <w:t>AMC 31GB.49(c) Control systems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_Toc153137630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222</w:t>
        </w:r>
        <w:r w:rsidR="00BE3F4E" w:rsidRPr="00BE3F4E">
          <w:rPr>
            <w:rFonts w:ascii="Arial" w:hAnsi="Arial" w:cs="Arial"/>
            <w:noProof/>
            <w:webHidden/>
            <w:sz w:val="20"/>
            <w:szCs w:val="20"/>
          </w:rPr>
          <w:fldChar w:fldCharType="end"/>
        </w:r>
      </w:hyperlink>
    </w:p>
    <w:p w14:paraId="2747554C" w14:textId="417F7CD2" w:rsidR="00BE3F4E" w:rsidRPr="00BE3F4E" w:rsidRDefault="00000000">
      <w:pPr>
        <w:pStyle w:val="TOC4"/>
        <w:tabs>
          <w:tab w:val="right" w:leader="underscore" w:pos="9016"/>
        </w:tabs>
        <w:rPr>
          <w:rFonts w:ascii="Arial" w:eastAsiaTheme="minorEastAsia" w:hAnsi="Arial" w:cs="Arial"/>
          <w:noProof/>
          <w:sz w:val="20"/>
          <w:szCs w:val="20"/>
        </w:rPr>
      </w:pPr>
      <w:hyperlink w:anchor="_Toc153137631" w:history="1">
        <w:r w:rsidR="00BE3F4E" w:rsidRPr="00BE3F4E">
          <w:rPr>
            <w:rStyle w:val="Hyperlink"/>
            <w:rFonts w:ascii="Arial" w:eastAsia="Times New Roman" w:hAnsi="Arial" w:cs="Arial"/>
            <w:iCs/>
            <w:noProof/>
            <w:sz w:val="20"/>
            <w:szCs w:val="20"/>
          </w:rPr>
          <w:t>CS 31GB.51 Disposable ballast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_Toc153137631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222</w:t>
        </w:r>
        <w:r w:rsidR="00BE3F4E" w:rsidRPr="00BE3F4E">
          <w:rPr>
            <w:rFonts w:ascii="Arial" w:hAnsi="Arial" w:cs="Arial"/>
            <w:noProof/>
            <w:webHidden/>
            <w:sz w:val="20"/>
            <w:szCs w:val="20"/>
          </w:rPr>
          <w:fldChar w:fldCharType="end"/>
        </w:r>
      </w:hyperlink>
    </w:p>
    <w:p w14:paraId="76A00A5D" w14:textId="1B3309BC" w:rsidR="00BE3F4E" w:rsidRPr="00BE3F4E" w:rsidRDefault="00000000">
      <w:pPr>
        <w:pStyle w:val="TOC5"/>
        <w:tabs>
          <w:tab w:val="right" w:leader="underscore" w:pos="9016"/>
        </w:tabs>
        <w:rPr>
          <w:rFonts w:ascii="Arial" w:eastAsiaTheme="minorEastAsia" w:hAnsi="Arial" w:cs="Arial"/>
          <w:noProof/>
          <w:sz w:val="20"/>
          <w:szCs w:val="20"/>
        </w:rPr>
      </w:pPr>
      <w:hyperlink w:anchor="_Toc153137632" w:history="1">
        <w:r w:rsidR="00BE3F4E" w:rsidRPr="00BE3F4E">
          <w:rPr>
            <w:rStyle w:val="Hyperlink"/>
            <w:rFonts w:ascii="Arial" w:eastAsia="Times New Roman" w:hAnsi="Arial" w:cs="Arial"/>
            <w:noProof/>
            <w:sz w:val="20"/>
            <w:szCs w:val="20"/>
          </w:rPr>
          <w:t>AMC 31GB.51 Disposable Ballast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_Toc153137632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222</w:t>
        </w:r>
        <w:r w:rsidR="00BE3F4E" w:rsidRPr="00BE3F4E">
          <w:rPr>
            <w:rFonts w:ascii="Arial" w:hAnsi="Arial" w:cs="Arial"/>
            <w:noProof/>
            <w:webHidden/>
            <w:sz w:val="20"/>
            <w:szCs w:val="20"/>
          </w:rPr>
          <w:fldChar w:fldCharType="end"/>
        </w:r>
      </w:hyperlink>
    </w:p>
    <w:p w14:paraId="74BA961B" w14:textId="4D7227F5" w:rsidR="00BE3F4E" w:rsidRPr="00BE3F4E" w:rsidRDefault="00000000">
      <w:pPr>
        <w:pStyle w:val="TOC4"/>
        <w:tabs>
          <w:tab w:val="right" w:leader="underscore" w:pos="9016"/>
        </w:tabs>
        <w:rPr>
          <w:rFonts w:ascii="Arial" w:eastAsiaTheme="minorEastAsia" w:hAnsi="Arial" w:cs="Arial"/>
          <w:noProof/>
          <w:sz w:val="20"/>
          <w:szCs w:val="20"/>
        </w:rPr>
      </w:pPr>
      <w:hyperlink w:anchor="_Toc153137633" w:history="1">
        <w:r w:rsidR="00BE3F4E" w:rsidRPr="00BE3F4E">
          <w:rPr>
            <w:rStyle w:val="Hyperlink"/>
            <w:rFonts w:ascii="Arial" w:eastAsia="Times New Roman" w:hAnsi="Arial" w:cs="Arial"/>
            <w:iCs/>
            <w:noProof/>
            <w:sz w:val="20"/>
            <w:szCs w:val="20"/>
          </w:rPr>
          <w:t>CS 31GB.53 Drag rope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_Toc153137633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222</w:t>
        </w:r>
        <w:r w:rsidR="00BE3F4E" w:rsidRPr="00BE3F4E">
          <w:rPr>
            <w:rFonts w:ascii="Arial" w:hAnsi="Arial" w:cs="Arial"/>
            <w:noProof/>
            <w:webHidden/>
            <w:sz w:val="20"/>
            <w:szCs w:val="20"/>
          </w:rPr>
          <w:fldChar w:fldCharType="end"/>
        </w:r>
      </w:hyperlink>
    </w:p>
    <w:p w14:paraId="351D819F" w14:textId="084484C3" w:rsidR="00BE3F4E" w:rsidRPr="00BE3F4E" w:rsidRDefault="00000000">
      <w:pPr>
        <w:pStyle w:val="TOC4"/>
        <w:tabs>
          <w:tab w:val="right" w:leader="underscore" w:pos="9016"/>
        </w:tabs>
        <w:rPr>
          <w:rFonts w:ascii="Arial" w:eastAsiaTheme="minorEastAsia" w:hAnsi="Arial" w:cs="Arial"/>
          <w:noProof/>
          <w:sz w:val="20"/>
          <w:szCs w:val="20"/>
        </w:rPr>
      </w:pPr>
      <w:hyperlink w:anchor="_Toc153137634" w:history="1">
        <w:r w:rsidR="00BE3F4E" w:rsidRPr="00BE3F4E">
          <w:rPr>
            <w:rStyle w:val="Hyperlink"/>
            <w:rFonts w:ascii="Arial" w:eastAsia="Times New Roman" w:hAnsi="Arial" w:cs="Arial"/>
            <w:iCs/>
            <w:noProof/>
            <w:sz w:val="20"/>
            <w:szCs w:val="20"/>
          </w:rPr>
          <w:t>CS 31GB.55 Rapid deflation means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_Toc153137634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222</w:t>
        </w:r>
        <w:r w:rsidR="00BE3F4E" w:rsidRPr="00BE3F4E">
          <w:rPr>
            <w:rFonts w:ascii="Arial" w:hAnsi="Arial" w:cs="Arial"/>
            <w:noProof/>
            <w:webHidden/>
            <w:sz w:val="20"/>
            <w:szCs w:val="20"/>
          </w:rPr>
          <w:fldChar w:fldCharType="end"/>
        </w:r>
      </w:hyperlink>
    </w:p>
    <w:p w14:paraId="48027552" w14:textId="4208902F" w:rsidR="00BE3F4E" w:rsidRPr="00BE3F4E" w:rsidRDefault="00000000">
      <w:pPr>
        <w:pStyle w:val="TOC5"/>
        <w:tabs>
          <w:tab w:val="right" w:leader="underscore" w:pos="9016"/>
        </w:tabs>
        <w:rPr>
          <w:rFonts w:ascii="Arial" w:eastAsiaTheme="minorEastAsia" w:hAnsi="Arial" w:cs="Arial"/>
          <w:noProof/>
          <w:sz w:val="20"/>
          <w:szCs w:val="20"/>
        </w:rPr>
      </w:pPr>
      <w:hyperlink w:anchor="_Toc153137635" w:history="1">
        <w:r w:rsidR="00BE3F4E" w:rsidRPr="00BE3F4E">
          <w:rPr>
            <w:rStyle w:val="Hyperlink"/>
            <w:rFonts w:ascii="Arial" w:eastAsia="Times New Roman" w:hAnsi="Arial" w:cs="Arial"/>
            <w:noProof/>
            <w:sz w:val="20"/>
            <w:szCs w:val="20"/>
          </w:rPr>
          <w:t>AMC 31GB.55(a) Rapid deflation means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_Toc153137635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222</w:t>
        </w:r>
        <w:r w:rsidR="00BE3F4E" w:rsidRPr="00BE3F4E">
          <w:rPr>
            <w:rFonts w:ascii="Arial" w:hAnsi="Arial" w:cs="Arial"/>
            <w:noProof/>
            <w:webHidden/>
            <w:sz w:val="20"/>
            <w:szCs w:val="20"/>
          </w:rPr>
          <w:fldChar w:fldCharType="end"/>
        </w:r>
      </w:hyperlink>
    </w:p>
    <w:p w14:paraId="215BAC59" w14:textId="7FC0CCE2" w:rsidR="00BE3F4E" w:rsidRPr="00BE3F4E" w:rsidRDefault="00000000">
      <w:pPr>
        <w:pStyle w:val="TOC5"/>
        <w:tabs>
          <w:tab w:val="right" w:leader="underscore" w:pos="9016"/>
        </w:tabs>
        <w:rPr>
          <w:rFonts w:ascii="Arial" w:eastAsiaTheme="minorEastAsia" w:hAnsi="Arial" w:cs="Arial"/>
          <w:noProof/>
          <w:sz w:val="20"/>
          <w:szCs w:val="20"/>
        </w:rPr>
      </w:pPr>
      <w:hyperlink w:anchor="_Toc153137636" w:history="1">
        <w:r w:rsidR="00BE3F4E" w:rsidRPr="00BE3F4E">
          <w:rPr>
            <w:rStyle w:val="Hyperlink"/>
            <w:rFonts w:ascii="Arial" w:eastAsia="Times New Roman" w:hAnsi="Arial" w:cs="Arial"/>
            <w:noProof/>
            <w:sz w:val="20"/>
            <w:szCs w:val="20"/>
          </w:rPr>
          <w:t>AMC 31GB.55(b) Rapid deflation means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_Toc153137636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222</w:t>
        </w:r>
        <w:r w:rsidR="00BE3F4E" w:rsidRPr="00BE3F4E">
          <w:rPr>
            <w:rFonts w:ascii="Arial" w:hAnsi="Arial" w:cs="Arial"/>
            <w:noProof/>
            <w:webHidden/>
            <w:sz w:val="20"/>
            <w:szCs w:val="20"/>
          </w:rPr>
          <w:fldChar w:fldCharType="end"/>
        </w:r>
      </w:hyperlink>
    </w:p>
    <w:p w14:paraId="54EF98D7" w14:textId="49E40A83" w:rsidR="00BE3F4E" w:rsidRPr="00BE3F4E" w:rsidRDefault="00000000">
      <w:pPr>
        <w:pStyle w:val="TOC4"/>
        <w:tabs>
          <w:tab w:val="right" w:leader="underscore" w:pos="9016"/>
        </w:tabs>
        <w:rPr>
          <w:rFonts w:ascii="Arial" w:eastAsiaTheme="minorEastAsia" w:hAnsi="Arial" w:cs="Arial"/>
          <w:noProof/>
          <w:sz w:val="20"/>
          <w:szCs w:val="20"/>
        </w:rPr>
      </w:pPr>
      <w:hyperlink w:anchor="_Toc153137637" w:history="1">
        <w:r w:rsidR="00BE3F4E" w:rsidRPr="00BE3F4E">
          <w:rPr>
            <w:rStyle w:val="Hyperlink"/>
            <w:rFonts w:ascii="Arial" w:eastAsia="Times New Roman" w:hAnsi="Arial" w:cs="Arial"/>
            <w:iCs/>
            <w:noProof/>
            <w:sz w:val="20"/>
            <w:szCs w:val="20"/>
          </w:rPr>
          <w:t>CS 31GB.57 Control cords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_Toc153137637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222</w:t>
        </w:r>
        <w:r w:rsidR="00BE3F4E" w:rsidRPr="00BE3F4E">
          <w:rPr>
            <w:rFonts w:ascii="Arial" w:hAnsi="Arial" w:cs="Arial"/>
            <w:noProof/>
            <w:webHidden/>
            <w:sz w:val="20"/>
            <w:szCs w:val="20"/>
          </w:rPr>
          <w:fldChar w:fldCharType="end"/>
        </w:r>
      </w:hyperlink>
    </w:p>
    <w:p w14:paraId="06C74707" w14:textId="1EDEA805" w:rsidR="00BE3F4E" w:rsidRPr="00BE3F4E" w:rsidRDefault="00000000">
      <w:pPr>
        <w:pStyle w:val="TOC4"/>
        <w:tabs>
          <w:tab w:val="right" w:leader="underscore" w:pos="9016"/>
        </w:tabs>
        <w:rPr>
          <w:rFonts w:ascii="Arial" w:eastAsiaTheme="minorEastAsia" w:hAnsi="Arial" w:cs="Arial"/>
          <w:noProof/>
          <w:sz w:val="20"/>
          <w:szCs w:val="20"/>
        </w:rPr>
      </w:pPr>
      <w:hyperlink w:anchor="_Toc153137638" w:history="1">
        <w:r w:rsidR="00BE3F4E" w:rsidRPr="00BE3F4E">
          <w:rPr>
            <w:rStyle w:val="Hyperlink"/>
            <w:rFonts w:ascii="Arial" w:eastAsia="Times New Roman" w:hAnsi="Arial" w:cs="Arial"/>
            <w:iCs/>
            <w:noProof/>
            <w:sz w:val="20"/>
            <w:szCs w:val="20"/>
          </w:rPr>
          <w:t>CS 31GB.59 Baskets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_Toc153137638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223</w:t>
        </w:r>
        <w:r w:rsidR="00BE3F4E" w:rsidRPr="00BE3F4E">
          <w:rPr>
            <w:rFonts w:ascii="Arial" w:hAnsi="Arial" w:cs="Arial"/>
            <w:noProof/>
            <w:webHidden/>
            <w:sz w:val="20"/>
            <w:szCs w:val="20"/>
          </w:rPr>
          <w:fldChar w:fldCharType="end"/>
        </w:r>
      </w:hyperlink>
    </w:p>
    <w:p w14:paraId="25FC7FA2" w14:textId="69C925A9" w:rsidR="00BE3F4E" w:rsidRPr="00BE3F4E" w:rsidRDefault="00000000">
      <w:pPr>
        <w:pStyle w:val="TOC5"/>
        <w:tabs>
          <w:tab w:val="right" w:leader="underscore" w:pos="9016"/>
        </w:tabs>
        <w:rPr>
          <w:rFonts w:ascii="Arial" w:eastAsiaTheme="minorEastAsia" w:hAnsi="Arial" w:cs="Arial"/>
          <w:noProof/>
          <w:sz w:val="20"/>
          <w:szCs w:val="20"/>
        </w:rPr>
      </w:pPr>
      <w:hyperlink w:anchor="_Toc153137639" w:history="1">
        <w:r w:rsidR="00BE3F4E" w:rsidRPr="00BE3F4E">
          <w:rPr>
            <w:rStyle w:val="Hyperlink"/>
            <w:rFonts w:ascii="Arial" w:eastAsia="Times New Roman" w:hAnsi="Arial" w:cs="Arial"/>
            <w:noProof/>
            <w:sz w:val="20"/>
            <w:szCs w:val="20"/>
          </w:rPr>
          <w:t>AMC 31GB.59(a) Baskets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_Toc153137639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223</w:t>
        </w:r>
        <w:r w:rsidR="00BE3F4E" w:rsidRPr="00BE3F4E">
          <w:rPr>
            <w:rFonts w:ascii="Arial" w:hAnsi="Arial" w:cs="Arial"/>
            <w:noProof/>
            <w:webHidden/>
            <w:sz w:val="20"/>
            <w:szCs w:val="20"/>
          </w:rPr>
          <w:fldChar w:fldCharType="end"/>
        </w:r>
      </w:hyperlink>
    </w:p>
    <w:p w14:paraId="62B92425" w14:textId="4E5F8445" w:rsidR="00BE3F4E" w:rsidRPr="00BE3F4E" w:rsidRDefault="00000000">
      <w:pPr>
        <w:pStyle w:val="TOC5"/>
        <w:tabs>
          <w:tab w:val="right" w:leader="underscore" w:pos="9016"/>
        </w:tabs>
        <w:rPr>
          <w:rFonts w:ascii="Arial" w:eastAsiaTheme="minorEastAsia" w:hAnsi="Arial" w:cs="Arial"/>
          <w:noProof/>
          <w:sz w:val="20"/>
          <w:szCs w:val="20"/>
        </w:rPr>
      </w:pPr>
      <w:hyperlink w:anchor="_Toc153137640" w:history="1">
        <w:r w:rsidR="00BE3F4E" w:rsidRPr="00BE3F4E">
          <w:rPr>
            <w:rStyle w:val="Hyperlink"/>
            <w:rFonts w:ascii="Arial" w:eastAsia="Times New Roman" w:hAnsi="Arial" w:cs="Arial"/>
            <w:noProof/>
            <w:sz w:val="20"/>
            <w:szCs w:val="20"/>
          </w:rPr>
          <w:t>AMC 31GB.59(c) Baskets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_Toc153137640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224</w:t>
        </w:r>
        <w:r w:rsidR="00BE3F4E" w:rsidRPr="00BE3F4E">
          <w:rPr>
            <w:rFonts w:ascii="Arial" w:hAnsi="Arial" w:cs="Arial"/>
            <w:noProof/>
            <w:webHidden/>
            <w:sz w:val="20"/>
            <w:szCs w:val="20"/>
          </w:rPr>
          <w:fldChar w:fldCharType="end"/>
        </w:r>
      </w:hyperlink>
    </w:p>
    <w:p w14:paraId="73AC856A" w14:textId="6B76DDBD" w:rsidR="00BE3F4E" w:rsidRPr="00BE3F4E" w:rsidRDefault="00000000">
      <w:pPr>
        <w:pStyle w:val="TOC5"/>
        <w:tabs>
          <w:tab w:val="right" w:leader="underscore" w:pos="9016"/>
        </w:tabs>
        <w:rPr>
          <w:rFonts w:ascii="Arial" w:eastAsiaTheme="minorEastAsia" w:hAnsi="Arial" w:cs="Arial"/>
          <w:noProof/>
          <w:sz w:val="20"/>
          <w:szCs w:val="20"/>
        </w:rPr>
      </w:pPr>
      <w:hyperlink w:anchor="_Toc153137641" w:history="1">
        <w:r w:rsidR="00BE3F4E" w:rsidRPr="00BE3F4E">
          <w:rPr>
            <w:rStyle w:val="Hyperlink"/>
            <w:rFonts w:ascii="Arial" w:eastAsia="Times New Roman" w:hAnsi="Arial" w:cs="Arial"/>
            <w:noProof/>
            <w:sz w:val="20"/>
            <w:szCs w:val="20"/>
          </w:rPr>
          <w:t>AMC 31GB.59(e) Baskets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_Toc153137641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224</w:t>
        </w:r>
        <w:r w:rsidR="00BE3F4E" w:rsidRPr="00BE3F4E">
          <w:rPr>
            <w:rFonts w:ascii="Arial" w:hAnsi="Arial" w:cs="Arial"/>
            <w:noProof/>
            <w:webHidden/>
            <w:sz w:val="20"/>
            <w:szCs w:val="20"/>
          </w:rPr>
          <w:fldChar w:fldCharType="end"/>
        </w:r>
      </w:hyperlink>
    </w:p>
    <w:p w14:paraId="3C873BE1" w14:textId="1C89451C" w:rsidR="00BE3F4E" w:rsidRPr="00BE3F4E" w:rsidRDefault="00000000">
      <w:pPr>
        <w:pStyle w:val="TOC5"/>
        <w:tabs>
          <w:tab w:val="right" w:leader="underscore" w:pos="9016"/>
        </w:tabs>
        <w:rPr>
          <w:rFonts w:ascii="Arial" w:eastAsiaTheme="minorEastAsia" w:hAnsi="Arial" w:cs="Arial"/>
          <w:noProof/>
          <w:sz w:val="20"/>
          <w:szCs w:val="20"/>
        </w:rPr>
      </w:pPr>
      <w:hyperlink w:anchor="_Toc153137642" w:history="1">
        <w:r w:rsidR="00BE3F4E" w:rsidRPr="00BE3F4E">
          <w:rPr>
            <w:rStyle w:val="Hyperlink"/>
            <w:rFonts w:ascii="Arial" w:eastAsia="Times New Roman" w:hAnsi="Arial" w:cs="Arial"/>
            <w:noProof/>
            <w:sz w:val="20"/>
            <w:szCs w:val="20"/>
          </w:rPr>
          <w:t>AMC 31GB.59(f) Baskets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_Toc153137642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224</w:t>
        </w:r>
        <w:r w:rsidR="00BE3F4E" w:rsidRPr="00BE3F4E">
          <w:rPr>
            <w:rFonts w:ascii="Arial" w:hAnsi="Arial" w:cs="Arial"/>
            <w:noProof/>
            <w:webHidden/>
            <w:sz w:val="20"/>
            <w:szCs w:val="20"/>
          </w:rPr>
          <w:fldChar w:fldCharType="end"/>
        </w:r>
      </w:hyperlink>
    </w:p>
    <w:p w14:paraId="2B10F0B2" w14:textId="30E4831A" w:rsidR="00BE3F4E" w:rsidRPr="00BE3F4E" w:rsidRDefault="00000000">
      <w:pPr>
        <w:pStyle w:val="TOC5"/>
        <w:tabs>
          <w:tab w:val="right" w:leader="underscore" w:pos="9016"/>
        </w:tabs>
        <w:rPr>
          <w:rFonts w:ascii="Arial" w:eastAsiaTheme="minorEastAsia" w:hAnsi="Arial" w:cs="Arial"/>
          <w:noProof/>
          <w:sz w:val="20"/>
          <w:szCs w:val="20"/>
        </w:rPr>
      </w:pPr>
      <w:hyperlink w:anchor="_Toc153137643" w:history="1">
        <w:r w:rsidR="00BE3F4E" w:rsidRPr="00BE3F4E">
          <w:rPr>
            <w:rStyle w:val="Hyperlink"/>
            <w:rFonts w:ascii="Arial" w:eastAsia="Times New Roman" w:hAnsi="Arial" w:cs="Arial"/>
            <w:noProof/>
            <w:sz w:val="20"/>
            <w:szCs w:val="20"/>
          </w:rPr>
          <w:t>AMC 31GB.59(h) Baskets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_Toc153137643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224</w:t>
        </w:r>
        <w:r w:rsidR="00BE3F4E" w:rsidRPr="00BE3F4E">
          <w:rPr>
            <w:rFonts w:ascii="Arial" w:hAnsi="Arial" w:cs="Arial"/>
            <w:noProof/>
            <w:webHidden/>
            <w:sz w:val="20"/>
            <w:szCs w:val="20"/>
          </w:rPr>
          <w:fldChar w:fldCharType="end"/>
        </w:r>
      </w:hyperlink>
    </w:p>
    <w:p w14:paraId="43EE9ADB" w14:textId="40027334" w:rsidR="00BE3F4E" w:rsidRPr="00BE3F4E" w:rsidRDefault="00000000">
      <w:pPr>
        <w:pStyle w:val="TOC5"/>
        <w:tabs>
          <w:tab w:val="right" w:leader="underscore" w:pos="9016"/>
        </w:tabs>
        <w:rPr>
          <w:rFonts w:ascii="Arial" w:eastAsiaTheme="minorEastAsia" w:hAnsi="Arial" w:cs="Arial"/>
          <w:noProof/>
          <w:sz w:val="20"/>
          <w:szCs w:val="20"/>
        </w:rPr>
      </w:pPr>
      <w:hyperlink w:anchor="_Toc153137644" w:history="1">
        <w:r w:rsidR="00BE3F4E" w:rsidRPr="00BE3F4E">
          <w:rPr>
            <w:rStyle w:val="Hyperlink"/>
            <w:rFonts w:ascii="Arial" w:eastAsia="Times New Roman" w:hAnsi="Arial" w:cs="Arial"/>
            <w:noProof/>
            <w:sz w:val="20"/>
            <w:szCs w:val="20"/>
          </w:rPr>
          <w:t>AMC 31GB.59(l) Baskets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_Toc153137644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224</w:t>
        </w:r>
        <w:r w:rsidR="00BE3F4E" w:rsidRPr="00BE3F4E">
          <w:rPr>
            <w:rFonts w:ascii="Arial" w:hAnsi="Arial" w:cs="Arial"/>
            <w:noProof/>
            <w:webHidden/>
            <w:sz w:val="20"/>
            <w:szCs w:val="20"/>
          </w:rPr>
          <w:fldChar w:fldCharType="end"/>
        </w:r>
      </w:hyperlink>
    </w:p>
    <w:p w14:paraId="33B79442" w14:textId="5E8EE538" w:rsidR="00BE3F4E" w:rsidRPr="00BE3F4E" w:rsidRDefault="00000000">
      <w:pPr>
        <w:pStyle w:val="TOC4"/>
        <w:tabs>
          <w:tab w:val="right" w:leader="underscore" w:pos="9016"/>
        </w:tabs>
        <w:rPr>
          <w:rFonts w:ascii="Arial" w:eastAsiaTheme="minorEastAsia" w:hAnsi="Arial" w:cs="Arial"/>
          <w:noProof/>
          <w:sz w:val="20"/>
          <w:szCs w:val="20"/>
        </w:rPr>
      </w:pPr>
      <w:hyperlink w:anchor="_Toc153137645" w:history="1">
        <w:r w:rsidR="00BE3F4E" w:rsidRPr="00BE3F4E">
          <w:rPr>
            <w:rStyle w:val="Hyperlink"/>
            <w:rFonts w:ascii="Arial" w:eastAsia="Times New Roman" w:hAnsi="Arial" w:cs="Arial"/>
            <w:iCs/>
            <w:noProof/>
            <w:sz w:val="20"/>
            <w:szCs w:val="20"/>
          </w:rPr>
          <w:t>CS 31GB.61 Electrostatic discharge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_Toc153137645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224</w:t>
        </w:r>
        <w:r w:rsidR="00BE3F4E" w:rsidRPr="00BE3F4E">
          <w:rPr>
            <w:rFonts w:ascii="Arial" w:hAnsi="Arial" w:cs="Arial"/>
            <w:noProof/>
            <w:webHidden/>
            <w:sz w:val="20"/>
            <w:szCs w:val="20"/>
          </w:rPr>
          <w:fldChar w:fldCharType="end"/>
        </w:r>
      </w:hyperlink>
    </w:p>
    <w:p w14:paraId="24BF7382" w14:textId="31FD0757" w:rsidR="00BE3F4E" w:rsidRPr="00BE3F4E" w:rsidRDefault="00000000">
      <w:pPr>
        <w:pStyle w:val="TOC5"/>
        <w:tabs>
          <w:tab w:val="right" w:leader="underscore" w:pos="9016"/>
        </w:tabs>
        <w:rPr>
          <w:rFonts w:ascii="Arial" w:eastAsiaTheme="minorEastAsia" w:hAnsi="Arial" w:cs="Arial"/>
          <w:noProof/>
          <w:sz w:val="20"/>
          <w:szCs w:val="20"/>
        </w:rPr>
      </w:pPr>
      <w:hyperlink w:anchor="_Toc153137646" w:history="1">
        <w:r w:rsidR="00BE3F4E" w:rsidRPr="00BE3F4E">
          <w:rPr>
            <w:rStyle w:val="Hyperlink"/>
            <w:rFonts w:ascii="Arial" w:eastAsia="Times New Roman" w:hAnsi="Arial" w:cs="Arial"/>
            <w:noProof/>
            <w:sz w:val="20"/>
            <w:szCs w:val="20"/>
          </w:rPr>
          <w:t>AMC 31GB.61 Electrostatic discharge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_Toc153137646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224</w:t>
        </w:r>
        <w:r w:rsidR="00BE3F4E" w:rsidRPr="00BE3F4E">
          <w:rPr>
            <w:rFonts w:ascii="Arial" w:hAnsi="Arial" w:cs="Arial"/>
            <w:noProof/>
            <w:webHidden/>
            <w:sz w:val="20"/>
            <w:szCs w:val="20"/>
          </w:rPr>
          <w:fldChar w:fldCharType="end"/>
        </w:r>
      </w:hyperlink>
    </w:p>
    <w:p w14:paraId="5FBEF94C" w14:textId="12157CB3" w:rsidR="00BE3F4E" w:rsidRPr="00BE3F4E" w:rsidRDefault="00000000">
      <w:pPr>
        <w:pStyle w:val="TOC4"/>
        <w:tabs>
          <w:tab w:val="right" w:leader="underscore" w:pos="9016"/>
        </w:tabs>
        <w:rPr>
          <w:rFonts w:ascii="Arial" w:eastAsiaTheme="minorEastAsia" w:hAnsi="Arial" w:cs="Arial"/>
          <w:noProof/>
          <w:sz w:val="20"/>
          <w:szCs w:val="20"/>
        </w:rPr>
      </w:pPr>
      <w:hyperlink w:anchor="_Toc153137647" w:history="1">
        <w:r w:rsidR="00BE3F4E" w:rsidRPr="00BE3F4E">
          <w:rPr>
            <w:rStyle w:val="Hyperlink"/>
            <w:rFonts w:ascii="Arial" w:eastAsia="Times New Roman" w:hAnsi="Arial" w:cs="Arial"/>
            <w:iCs/>
            <w:noProof/>
            <w:sz w:val="20"/>
            <w:szCs w:val="20"/>
          </w:rPr>
          <w:t>CS 31GB.63 Occupant restraint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_Toc153137647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225</w:t>
        </w:r>
        <w:r w:rsidR="00BE3F4E" w:rsidRPr="00BE3F4E">
          <w:rPr>
            <w:rFonts w:ascii="Arial" w:hAnsi="Arial" w:cs="Arial"/>
            <w:noProof/>
            <w:webHidden/>
            <w:sz w:val="20"/>
            <w:szCs w:val="20"/>
          </w:rPr>
          <w:fldChar w:fldCharType="end"/>
        </w:r>
      </w:hyperlink>
    </w:p>
    <w:p w14:paraId="3C6EC5DB" w14:textId="6D9E646F" w:rsidR="00BE3F4E" w:rsidRPr="00BE3F4E" w:rsidRDefault="00000000">
      <w:pPr>
        <w:pStyle w:val="TOC4"/>
        <w:tabs>
          <w:tab w:val="right" w:leader="underscore" w:pos="9016"/>
        </w:tabs>
        <w:rPr>
          <w:rFonts w:ascii="Arial" w:eastAsiaTheme="minorEastAsia" w:hAnsi="Arial" w:cs="Arial"/>
          <w:noProof/>
          <w:sz w:val="20"/>
          <w:szCs w:val="20"/>
        </w:rPr>
      </w:pPr>
      <w:hyperlink w:anchor="_Toc153137648" w:history="1">
        <w:r w:rsidR="00BE3F4E" w:rsidRPr="00BE3F4E">
          <w:rPr>
            <w:rStyle w:val="Hyperlink"/>
            <w:rFonts w:ascii="Arial" w:eastAsia="Times New Roman" w:hAnsi="Arial" w:cs="Arial"/>
            <w:iCs/>
            <w:noProof/>
            <w:sz w:val="20"/>
            <w:szCs w:val="20"/>
          </w:rPr>
          <w:t>CS 31GB.67 Tethered flight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_Toc153137648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225</w:t>
        </w:r>
        <w:r w:rsidR="00BE3F4E" w:rsidRPr="00BE3F4E">
          <w:rPr>
            <w:rFonts w:ascii="Arial" w:hAnsi="Arial" w:cs="Arial"/>
            <w:noProof/>
            <w:webHidden/>
            <w:sz w:val="20"/>
            <w:szCs w:val="20"/>
          </w:rPr>
          <w:fldChar w:fldCharType="end"/>
        </w:r>
      </w:hyperlink>
    </w:p>
    <w:p w14:paraId="00A935F5" w14:textId="746FB569" w:rsidR="00BE3F4E" w:rsidRPr="00BE3F4E" w:rsidRDefault="00000000">
      <w:pPr>
        <w:pStyle w:val="TOC5"/>
        <w:tabs>
          <w:tab w:val="right" w:leader="underscore" w:pos="9016"/>
        </w:tabs>
        <w:rPr>
          <w:rFonts w:ascii="Arial" w:eastAsiaTheme="minorEastAsia" w:hAnsi="Arial" w:cs="Arial"/>
          <w:noProof/>
          <w:sz w:val="20"/>
          <w:szCs w:val="20"/>
        </w:rPr>
      </w:pPr>
      <w:hyperlink w:anchor="_Toc153137649" w:history="1">
        <w:r w:rsidR="00BE3F4E" w:rsidRPr="00BE3F4E">
          <w:rPr>
            <w:rStyle w:val="Hyperlink"/>
            <w:rFonts w:ascii="Arial" w:eastAsia="Times New Roman" w:hAnsi="Arial" w:cs="Arial"/>
            <w:noProof/>
            <w:sz w:val="20"/>
            <w:szCs w:val="20"/>
          </w:rPr>
          <w:t>AMC 31GB.67 Tethered flight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_Toc153137649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225</w:t>
        </w:r>
        <w:r w:rsidR="00BE3F4E" w:rsidRPr="00BE3F4E">
          <w:rPr>
            <w:rFonts w:ascii="Arial" w:hAnsi="Arial" w:cs="Arial"/>
            <w:noProof/>
            <w:webHidden/>
            <w:sz w:val="20"/>
            <w:szCs w:val="20"/>
          </w:rPr>
          <w:fldChar w:fldCharType="end"/>
        </w:r>
      </w:hyperlink>
    </w:p>
    <w:p w14:paraId="7687B1D8" w14:textId="26082541" w:rsidR="00BE3F4E" w:rsidRPr="00BE3F4E" w:rsidRDefault="00000000">
      <w:pPr>
        <w:pStyle w:val="TOC3"/>
        <w:tabs>
          <w:tab w:val="right" w:leader="underscore" w:pos="9016"/>
        </w:tabs>
        <w:rPr>
          <w:rFonts w:ascii="Arial" w:eastAsiaTheme="minorEastAsia" w:hAnsi="Arial" w:cs="Arial"/>
          <w:b w:val="0"/>
          <w:bCs w:val="0"/>
          <w:noProof/>
          <w:sz w:val="20"/>
          <w:szCs w:val="20"/>
        </w:rPr>
      </w:pPr>
      <w:hyperlink w:anchor="_Toc153137650" w:history="1">
        <w:r w:rsidR="00BE3F4E" w:rsidRPr="00BE3F4E">
          <w:rPr>
            <w:rStyle w:val="Hyperlink"/>
            <w:rFonts w:ascii="Arial" w:eastAsiaTheme="majorEastAsia" w:hAnsi="Arial" w:cs="Arial"/>
            <w:b w:val="0"/>
            <w:bCs w:val="0"/>
            <w:noProof/>
            <w:sz w:val="20"/>
            <w:szCs w:val="20"/>
          </w:rPr>
          <w:t>(SUBPART E — NOT APPLICABLE)</w:t>
        </w:r>
        <w:r w:rsidR="00BE3F4E" w:rsidRPr="00BE3F4E">
          <w:rPr>
            <w:rFonts w:ascii="Arial" w:hAnsi="Arial" w:cs="Arial"/>
            <w:b w:val="0"/>
            <w:bCs w:val="0"/>
            <w:noProof/>
            <w:webHidden/>
            <w:sz w:val="20"/>
            <w:szCs w:val="20"/>
          </w:rPr>
          <w:tab/>
        </w:r>
        <w:r w:rsidR="00BE3F4E" w:rsidRPr="00BE3F4E">
          <w:rPr>
            <w:rFonts w:ascii="Arial" w:hAnsi="Arial" w:cs="Arial"/>
            <w:b w:val="0"/>
            <w:bCs w:val="0"/>
            <w:noProof/>
            <w:webHidden/>
            <w:sz w:val="20"/>
            <w:szCs w:val="20"/>
          </w:rPr>
          <w:fldChar w:fldCharType="begin"/>
        </w:r>
        <w:r w:rsidR="00BE3F4E" w:rsidRPr="00BE3F4E">
          <w:rPr>
            <w:rFonts w:ascii="Arial" w:hAnsi="Arial" w:cs="Arial"/>
            <w:b w:val="0"/>
            <w:bCs w:val="0"/>
            <w:noProof/>
            <w:webHidden/>
            <w:sz w:val="20"/>
            <w:szCs w:val="20"/>
          </w:rPr>
          <w:instrText xml:space="preserve"> PAGEREF _Toc153137650 \h </w:instrText>
        </w:r>
        <w:r w:rsidR="00BE3F4E" w:rsidRPr="00BE3F4E">
          <w:rPr>
            <w:rFonts w:ascii="Arial" w:hAnsi="Arial" w:cs="Arial"/>
            <w:b w:val="0"/>
            <w:bCs w:val="0"/>
            <w:noProof/>
            <w:webHidden/>
            <w:sz w:val="20"/>
            <w:szCs w:val="20"/>
          </w:rPr>
        </w:r>
        <w:r w:rsidR="00BE3F4E" w:rsidRPr="00BE3F4E">
          <w:rPr>
            <w:rFonts w:ascii="Arial" w:hAnsi="Arial" w:cs="Arial"/>
            <w:b w:val="0"/>
            <w:bCs w:val="0"/>
            <w:noProof/>
            <w:webHidden/>
            <w:sz w:val="20"/>
            <w:szCs w:val="20"/>
          </w:rPr>
          <w:fldChar w:fldCharType="separate"/>
        </w:r>
        <w:r w:rsidR="006A7538">
          <w:rPr>
            <w:rFonts w:ascii="Arial" w:hAnsi="Arial" w:cs="Arial"/>
            <w:b w:val="0"/>
            <w:bCs w:val="0"/>
            <w:noProof/>
            <w:webHidden/>
            <w:sz w:val="20"/>
            <w:szCs w:val="20"/>
          </w:rPr>
          <w:t>226</w:t>
        </w:r>
        <w:r w:rsidR="00BE3F4E" w:rsidRPr="00BE3F4E">
          <w:rPr>
            <w:rFonts w:ascii="Arial" w:hAnsi="Arial" w:cs="Arial"/>
            <w:b w:val="0"/>
            <w:bCs w:val="0"/>
            <w:noProof/>
            <w:webHidden/>
            <w:sz w:val="20"/>
            <w:szCs w:val="20"/>
          </w:rPr>
          <w:fldChar w:fldCharType="end"/>
        </w:r>
      </w:hyperlink>
    </w:p>
    <w:p w14:paraId="4EBEB45D" w14:textId="470BA078" w:rsidR="00BE3F4E" w:rsidRPr="00BE3F4E" w:rsidRDefault="00000000">
      <w:pPr>
        <w:pStyle w:val="TOC3"/>
        <w:tabs>
          <w:tab w:val="right" w:leader="underscore" w:pos="9016"/>
        </w:tabs>
        <w:rPr>
          <w:rFonts w:ascii="Arial" w:eastAsiaTheme="minorEastAsia" w:hAnsi="Arial" w:cs="Arial"/>
          <w:b w:val="0"/>
          <w:bCs w:val="0"/>
          <w:noProof/>
          <w:sz w:val="20"/>
          <w:szCs w:val="20"/>
        </w:rPr>
      </w:pPr>
      <w:hyperlink w:anchor="_Toc153137651" w:history="1">
        <w:r w:rsidR="00BE3F4E" w:rsidRPr="00BE3F4E">
          <w:rPr>
            <w:rStyle w:val="Hyperlink"/>
            <w:rFonts w:ascii="Arial" w:eastAsiaTheme="majorEastAsia" w:hAnsi="Arial" w:cs="Arial"/>
            <w:b w:val="0"/>
            <w:bCs w:val="0"/>
            <w:noProof/>
            <w:sz w:val="20"/>
            <w:szCs w:val="20"/>
          </w:rPr>
          <w:t>SUBPART F — EQUIPMENT</w:t>
        </w:r>
        <w:r w:rsidR="00BE3F4E" w:rsidRPr="00BE3F4E">
          <w:rPr>
            <w:rFonts w:ascii="Arial" w:hAnsi="Arial" w:cs="Arial"/>
            <w:b w:val="0"/>
            <w:bCs w:val="0"/>
            <w:noProof/>
            <w:webHidden/>
            <w:sz w:val="20"/>
            <w:szCs w:val="20"/>
          </w:rPr>
          <w:tab/>
        </w:r>
        <w:r w:rsidR="00BE3F4E" w:rsidRPr="00BE3F4E">
          <w:rPr>
            <w:rFonts w:ascii="Arial" w:hAnsi="Arial" w:cs="Arial"/>
            <w:b w:val="0"/>
            <w:bCs w:val="0"/>
            <w:noProof/>
            <w:webHidden/>
            <w:sz w:val="20"/>
            <w:szCs w:val="20"/>
          </w:rPr>
          <w:fldChar w:fldCharType="begin"/>
        </w:r>
        <w:r w:rsidR="00BE3F4E" w:rsidRPr="00BE3F4E">
          <w:rPr>
            <w:rFonts w:ascii="Arial" w:hAnsi="Arial" w:cs="Arial"/>
            <w:b w:val="0"/>
            <w:bCs w:val="0"/>
            <w:noProof/>
            <w:webHidden/>
            <w:sz w:val="20"/>
            <w:szCs w:val="20"/>
          </w:rPr>
          <w:instrText xml:space="preserve"> PAGEREF _Toc153137651 \h </w:instrText>
        </w:r>
        <w:r w:rsidR="00BE3F4E" w:rsidRPr="00BE3F4E">
          <w:rPr>
            <w:rFonts w:ascii="Arial" w:hAnsi="Arial" w:cs="Arial"/>
            <w:b w:val="0"/>
            <w:bCs w:val="0"/>
            <w:noProof/>
            <w:webHidden/>
            <w:sz w:val="20"/>
            <w:szCs w:val="20"/>
          </w:rPr>
        </w:r>
        <w:r w:rsidR="00BE3F4E" w:rsidRPr="00BE3F4E">
          <w:rPr>
            <w:rFonts w:ascii="Arial" w:hAnsi="Arial" w:cs="Arial"/>
            <w:b w:val="0"/>
            <w:bCs w:val="0"/>
            <w:noProof/>
            <w:webHidden/>
            <w:sz w:val="20"/>
            <w:szCs w:val="20"/>
          </w:rPr>
          <w:fldChar w:fldCharType="separate"/>
        </w:r>
        <w:r w:rsidR="006A7538">
          <w:rPr>
            <w:rFonts w:ascii="Arial" w:hAnsi="Arial" w:cs="Arial"/>
            <w:b w:val="0"/>
            <w:bCs w:val="0"/>
            <w:noProof/>
            <w:webHidden/>
            <w:sz w:val="20"/>
            <w:szCs w:val="20"/>
          </w:rPr>
          <w:t>227</w:t>
        </w:r>
        <w:r w:rsidR="00BE3F4E" w:rsidRPr="00BE3F4E">
          <w:rPr>
            <w:rFonts w:ascii="Arial" w:hAnsi="Arial" w:cs="Arial"/>
            <w:b w:val="0"/>
            <w:bCs w:val="0"/>
            <w:noProof/>
            <w:webHidden/>
            <w:sz w:val="20"/>
            <w:szCs w:val="20"/>
          </w:rPr>
          <w:fldChar w:fldCharType="end"/>
        </w:r>
      </w:hyperlink>
    </w:p>
    <w:p w14:paraId="051A33C6" w14:textId="455ABE91" w:rsidR="00BE3F4E" w:rsidRPr="00BE3F4E" w:rsidRDefault="00000000">
      <w:pPr>
        <w:pStyle w:val="TOC4"/>
        <w:tabs>
          <w:tab w:val="right" w:leader="underscore" w:pos="9016"/>
        </w:tabs>
        <w:rPr>
          <w:rFonts w:ascii="Arial" w:eastAsiaTheme="minorEastAsia" w:hAnsi="Arial" w:cs="Arial"/>
          <w:noProof/>
          <w:sz w:val="20"/>
          <w:szCs w:val="20"/>
        </w:rPr>
      </w:pPr>
      <w:hyperlink w:anchor="_Toc153137652" w:history="1">
        <w:r w:rsidR="00BE3F4E" w:rsidRPr="00BE3F4E">
          <w:rPr>
            <w:rStyle w:val="Hyperlink"/>
            <w:rFonts w:ascii="Arial" w:eastAsia="Times New Roman" w:hAnsi="Arial" w:cs="Arial"/>
            <w:iCs/>
            <w:noProof/>
            <w:sz w:val="20"/>
            <w:szCs w:val="20"/>
          </w:rPr>
          <w:t>CS 31GB.71 Function and installation</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_Toc153137652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227</w:t>
        </w:r>
        <w:r w:rsidR="00BE3F4E" w:rsidRPr="00BE3F4E">
          <w:rPr>
            <w:rFonts w:ascii="Arial" w:hAnsi="Arial" w:cs="Arial"/>
            <w:noProof/>
            <w:webHidden/>
            <w:sz w:val="20"/>
            <w:szCs w:val="20"/>
          </w:rPr>
          <w:fldChar w:fldCharType="end"/>
        </w:r>
      </w:hyperlink>
    </w:p>
    <w:p w14:paraId="5940DA31" w14:textId="4CD18FC3" w:rsidR="00BE3F4E" w:rsidRPr="00BE3F4E" w:rsidRDefault="00000000">
      <w:pPr>
        <w:pStyle w:val="TOC5"/>
        <w:tabs>
          <w:tab w:val="right" w:leader="underscore" w:pos="9016"/>
        </w:tabs>
        <w:rPr>
          <w:rFonts w:ascii="Arial" w:eastAsiaTheme="minorEastAsia" w:hAnsi="Arial" w:cs="Arial"/>
          <w:noProof/>
          <w:sz w:val="20"/>
          <w:szCs w:val="20"/>
        </w:rPr>
      </w:pPr>
      <w:hyperlink w:anchor="_Toc153137653" w:history="1">
        <w:r w:rsidR="00BE3F4E" w:rsidRPr="00BE3F4E">
          <w:rPr>
            <w:rStyle w:val="Hyperlink"/>
            <w:rFonts w:ascii="Arial" w:eastAsia="Times New Roman" w:hAnsi="Arial" w:cs="Arial"/>
            <w:noProof/>
            <w:sz w:val="20"/>
            <w:szCs w:val="20"/>
          </w:rPr>
          <w:t>AMC 31GB.71(a)(4) Function and installation</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_Toc153137653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227</w:t>
        </w:r>
        <w:r w:rsidR="00BE3F4E" w:rsidRPr="00BE3F4E">
          <w:rPr>
            <w:rFonts w:ascii="Arial" w:hAnsi="Arial" w:cs="Arial"/>
            <w:noProof/>
            <w:webHidden/>
            <w:sz w:val="20"/>
            <w:szCs w:val="20"/>
          </w:rPr>
          <w:fldChar w:fldCharType="end"/>
        </w:r>
      </w:hyperlink>
    </w:p>
    <w:p w14:paraId="27FF6A89" w14:textId="72AA59B0" w:rsidR="00BE3F4E" w:rsidRPr="00BE3F4E" w:rsidRDefault="00000000">
      <w:pPr>
        <w:pStyle w:val="TOC4"/>
        <w:tabs>
          <w:tab w:val="right" w:leader="underscore" w:pos="9016"/>
        </w:tabs>
        <w:rPr>
          <w:rFonts w:ascii="Arial" w:eastAsiaTheme="minorEastAsia" w:hAnsi="Arial" w:cs="Arial"/>
          <w:noProof/>
          <w:sz w:val="20"/>
          <w:szCs w:val="20"/>
        </w:rPr>
      </w:pPr>
      <w:hyperlink w:anchor="_Toc153137654" w:history="1">
        <w:r w:rsidR="00BE3F4E" w:rsidRPr="00BE3F4E">
          <w:rPr>
            <w:rStyle w:val="Hyperlink"/>
            <w:rFonts w:ascii="Arial" w:eastAsia="Times New Roman" w:hAnsi="Arial" w:cs="Arial"/>
            <w:iCs/>
            <w:noProof/>
            <w:sz w:val="20"/>
            <w:szCs w:val="20"/>
          </w:rPr>
          <w:t>CS 31GB.72 Miscellaneous equipment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_Toc153137654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227</w:t>
        </w:r>
        <w:r w:rsidR="00BE3F4E" w:rsidRPr="00BE3F4E">
          <w:rPr>
            <w:rFonts w:ascii="Arial" w:hAnsi="Arial" w:cs="Arial"/>
            <w:noProof/>
            <w:webHidden/>
            <w:sz w:val="20"/>
            <w:szCs w:val="20"/>
          </w:rPr>
          <w:fldChar w:fldCharType="end"/>
        </w:r>
      </w:hyperlink>
    </w:p>
    <w:p w14:paraId="0CA6D05B" w14:textId="009C9448" w:rsidR="00BE3F4E" w:rsidRPr="00BE3F4E" w:rsidRDefault="00000000">
      <w:pPr>
        <w:pStyle w:val="TOC3"/>
        <w:tabs>
          <w:tab w:val="right" w:leader="underscore" w:pos="9016"/>
        </w:tabs>
        <w:rPr>
          <w:rFonts w:ascii="Arial" w:eastAsiaTheme="minorEastAsia" w:hAnsi="Arial" w:cs="Arial"/>
          <w:b w:val="0"/>
          <w:bCs w:val="0"/>
          <w:noProof/>
          <w:sz w:val="20"/>
          <w:szCs w:val="20"/>
        </w:rPr>
      </w:pPr>
      <w:hyperlink w:anchor="_Toc153137655" w:history="1">
        <w:r w:rsidR="00BE3F4E" w:rsidRPr="00BE3F4E">
          <w:rPr>
            <w:rStyle w:val="Hyperlink"/>
            <w:rFonts w:ascii="Arial" w:eastAsiaTheme="majorEastAsia" w:hAnsi="Arial" w:cs="Arial"/>
            <w:b w:val="0"/>
            <w:bCs w:val="0"/>
            <w:noProof/>
            <w:sz w:val="20"/>
            <w:szCs w:val="20"/>
          </w:rPr>
          <w:t>SUBPART G — OPERATING LIMITATIONS AND INFORMATION</w:t>
        </w:r>
        <w:r w:rsidR="00BE3F4E" w:rsidRPr="00BE3F4E">
          <w:rPr>
            <w:rFonts w:ascii="Arial" w:hAnsi="Arial" w:cs="Arial"/>
            <w:b w:val="0"/>
            <w:bCs w:val="0"/>
            <w:noProof/>
            <w:webHidden/>
            <w:sz w:val="20"/>
            <w:szCs w:val="20"/>
          </w:rPr>
          <w:tab/>
        </w:r>
        <w:r w:rsidR="00BE3F4E" w:rsidRPr="00BE3F4E">
          <w:rPr>
            <w:rFonts w:ascii="Arial" w:hAnsi="Arial" w:cs="Arial"/>
            <w:b w:val="0"/>
            <w:bCs w:val="0"/>
            <w:noProof/>
            <w:webHidden/>
            <w:sz w:val="20"/>
            <w:szCs w:val="20"/>
          </w:rPr>
          <w:fldChar w:fldCharType="begin"/>
        </w:r>
        <w:r w:rsidR="00BE3F4E" w:rsidRPr="00BE3F4E">
          <w:rPr>
            <w:rFonts w:ascii="Arial" w:hAnsi="Arial" w:cs="Arial"/>
            <w:b w:val="0"/>
            <w:bCs w:val="0"/>
            <w:noProof/>
            <w:webHidden/>
            <w:sz w:val="20"/>
            <w:szCs w:val="20"/>
          </w:rPr>
          <w:instrText xml:space="preserve"> PAGEREF _Toc153137655 \h </w:instrText>
        </w:r>
        <w:r w:rsidR="00BE3F4E" w:rsidRPr="00BE3F4E">
          <w:rPr>
            <w:rFonts w:ascii="Arial" w:hAnsi="Arial" w:cs="Arial"/>
            <w:b w:val="0"/>
            <w:bCs w:val="0"/>
            <w:noProof/>
            <w:webHidden/>
            <w:sz w:val="20"/>
            <w:szCs w:val="20"/>
          </w:rPr>
        </w:r>
        <w:r w:rsidR="00BE3F4E" w:rsidRPr="00BE3F4E">
          <w:rPr>
            <w:rFonts w:ascii="Arial" w:hAnsi="Arial" w:cs="Arial"/>
            <w:b w:val="0"/>
            <w:bCs w:val="0"/>
            <w:noProof/>
            <w:webHidden/>
            <w:sz w:val="20"/>
            <w:szCs w:val="20"/>
          </w:rPr>
          <w:fldChar w:fldCharType="separate"/>
        </w:r>
        <w:r w:rsidR="006A7538">
          <w:rPr>
            <w:rFonts w:ascii="Arial" w:hAnsi="Arial" w:cs="Arial"/>
            <w:b w:val="0"/>
            <w:bCs w:val="0"/>
            <w:noProof/>
            <w:webHidden/>
            <w:sz w:val="20"/>
            <w:szCs w:val="20"/>
          </w:rPr>
          <w:t>228</w:t>
        </w:r>
        <w:r w:rsidR="00BE3F4E" w:rsidRPr="00BE3F4E">
          <w:rPr>
            <w:rFonts w:ascii="Arial" w:hAnsi="Arial" w:cs="Arial"/>
            <w:b w:val="0"/>
            <w:bCs w:val="0"/>
            <w:noProof/>
            <w:webHidden/>
            <w:sz w:val="20"/>
            <w:szCs w:val="20"/>
          </w:rPr>
          <w:fldChar w:fldCharType="end"/>
        </w:r>
      </w:hyperlink>
    </w:p>
    <w:p w14:paraId="7693EA94" w14:textId="6E4D6296" w:rsidR="00BE3F4E" w:rsidRPr="00BE3F4E" w:rsidRDefault="00000000">
      <w:pPr>
        <w:pStyle w:val="TOC4"/>
        <w:tabs>
          <w:tab w:val="right" w:leader="underscore" w:pos="9016"/>
        </w:tabs>
        <w:rPr>
          <w:rFonts w:ascii="Arial" w:eastAsiaTheme="minorEastAsia" w:hAnsi="Arial" w:cs="Arial"/>
          <w:noProof/>
          <w:sz w:val="20"/>
          <w:szCs w:val="20"/>
        </w:rPr>
      </w:pPr>
      <w:hyperlink w:anchor="_Toc153137656" w:history="1">
        <w:r w:rsidR="00BE3F4E" w:rsidRPr="00BE3F4E">
          <w:rPr>
            <w:rStyle w:val="Hyperlink"/>
            <w:rFonts w:ascii="Arial" w:eastAsia="Times New Roman" w:hAnsi="Arial" w:cs="Arial"/>
            <w:iCs/>
            <w:noProof/>
            <w:sz w:val="20"/>
            <w:szCs w:val="20"/>
          </w:rPr>
          <w:t>CS 31GB.81 Operating instructions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_Toc153137656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228</w:t>
        </w:r>
        <w:r w:rsidR="00BE3F4E" w:rsidRPr="00BE3F4E">
          <w:rPr>
            <w:rFonts w:ascii="Arial" w:hAnsi="Arial" w:cs="Arial"/>
            <w:noProof/>
            <w:webHidden/>
            <w:sz w:val="20"/>
            <w:szCs w:val="20"/>
          </w:rPr>
          <w:fldChar w:fldCharType="end"/>
        </w:r>
      </w:hyperlink>
    </w:p>
    <w:p w14:paraId="239B2076" w14:textId="104DAB79" w:rsidR="00BE3F4E" w:rsidRPr="00BE3F4E" w:rsidRDefault="00000000">
      <w:pPr>
        <w:pStyle w:val="TOC5"/>
        <w:tabs>
          <w:tab w:val="right" w:leader="underscore" w:pos="9016"/>
        </w:tabs>
        <w:rPr>
          <w:rFonts w:ascii="Arial" w:eastAsiaTheme="minorEastAsia" w:hAnsi="Arial" w:cs="Arial"/>
          <w:noProof/>
          <w:sz w:val="20"/>
          <w:szCs w:val="20"/>
        </w:rPr>
      </w:pPr>
      <w:hyperlink w:anchor="_Toc153137657" w:history="1">
        <w:r w:rsidR="00BE3F4E" w:rsidRPr="00BE3F4E">
          <w:rPr>
            <w:rStyle w:val="Hyperlink"/>
            <w:rFonts w:ascii="Arial" w:eastAsia="Times New Roman" w:hAnsi="Arial" w:cs="Arial"/>
            <w:noProof/>
            <w:sz w:val="20"/>
            <w:szCs w:val="20"/>
          </w:rPr>
          <w:t>AMC 31GB.81 Operating instructions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_Toc153137657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228</w:t>
        </w:r>
        <w:r w:rsidR="00BE3F4E" w:rsidRPr="00BE3F4E">
          <w:rPr>
            <w:rFonts w:ascii="Arial" w:hAnsi="Arial" w:cs="Arial"/>
            <w:noProof/>
            <w:webHidden/>
            <w:sz w:val="20"/>
            <w:szCs w:val="20"/>
          </w:rPr>
          <w:fldChar w:fldCharType="end"/>
        </w:r>
      </w:hyperlink>
    </w:p>
    <w:p w14:paraId="1139098A" w14:textId="45119680" w:rsidR="00BE3F4E" w:rsidRPr="00BE3F4E" w:rsidRDefault="00000000">
      <w:pPr>
        <w:pStyle w:val="TOC5"/>
        <w:tabs>
          <w:tab w:val="right" w:leader="underscore" w:pos="9016"/>
        </w:tabs>
        <w:rPr>
          <w:rFonts w:ascii="Arial" w:eastAsiaTheme="minorEastAsia" w:hAnsi="Arial" w:cs="Arial"/>
          <w:noProof/>
          <w:sz w:val="20"/>
          <w:szCs w:val="20"/>
        </w:rPr>
      </w:pPr>
      <w:hyperlink w:anchor="_Toc153137658" w:history="1">
        <w:r w:rsidR="00BE3F4E" w:rsidRPr="00BE3F4E">
          <w:rPr>
            <w:rStyle w:val="Hyperlink"/>
            <w:rFonts w:ascii="Arial" w:eastAsia="Times New Roman" w:hAnsi="Arial" w:cs="Arial"/>
            <w:noProof/>
            <w:sz w:val="20"/>
            <w:szCs w:val="20"/>
          </w:rPr>
          <w:t>AMC 31GB.81(b)(2) Operating instructions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_Toc153137658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228</w:t>
        </w:r>
        <w:r w:rsidR="00BE3F4E" w:rsidRPr="00BE3F4E">
          <w:rPr>
            <w:rFonts w:ascii="Arial" w:hAnsi="Arial" w:cs="Arial"/>
            <w:noProof/>
            <w:webHidden/>
            <w:sz w:val="20"/>
            <w:szCs w:val="20"/>
          </w:rPr>
          <w:fldChar w:fldCharType="end"/>
        </w:r>
      </w:hyperlink>
    </w:p>
    <w:p w14:paraId="542FAF39" w14:textId="586DDE49" w:rsidR="00BE3F4E" w:rsidRPr="00BE3F4E" w:rsidRDefault="00000000">
      <w:pPr>
        <w:pStyle w:val="TOC5"/>
        <w:tabs>
          <w:tab w:val="right" w:leader="underscore" w:pos="9016"/>
        </w:tabs>
        <w:rPr>
          <w:rFonts w:ascii="Arial" w:eastAsiaTheme="minorEastAsia" w:hAnsi="Arial" w:cs="Arial"/>
          <w:noProof/>
          <w:sz w:val="20"/>
          <w:szCs w:val="20"/>
        </w:rPr>
      </w:pPr>
      <w:hyperlink w:anchor="_Toc153137659" w:history="1">
        <w:r w:rsidR="00BE3F4E" w:rsidRPr="00BE3F4E">
          <w:rPr>
            <w:rStyle w:val="Hyperlink"/>
            <w:rFonts w:ascii="Arial" w:eastAsia="Times New Roman" w:hAnsi="Arial" w:cs="Arial"/>
            <w:noProof/>
            <w:sz w:val="20"/>
            <w:szCs w:val="20"/>
          </w:rPr>
          <w:t>AMC 31GB.81(c) Operating instructions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_Toc153137659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228</w:t>
        </w:r>
        <w:r w:rsidR="00BE3F4E" w:rsidRPr="00BE3F4E">
          <w:rPr>
            <w:rFonts w:ascii="Arial" w:hAnsi="Arial" w:cs="Arial"/>
            <w:noProof/>
            <w:webHidden/>
            <w:sz w:val="20"/>
            <w:szCs w:val="20"/>
          </w:rPr>
          <w:fldChar w:fldCharType="end"/>
        </w:r>
      </w:hyperlink>
    </w:p>
    <w:p w14:paraId="44621179" w14:textId="27127489" w:rsidR="00BE3F4E" w:rsidRPr="00BE3F4E" w:rsidRDefault="00000000">
      <w:pPr>
        <w:pStyle w:val="TOC4"/>
        <w:tabs>
          <w:tab w:val="right" w:leader="underscore" w:pos="9016"/>
        </w:tabs>
        <w:rPr>
          <w:rFonts w:ascii="Arial" w:eastAsiaTheme="minorEastAsia" w:hAnsi="Arial" w:cs="Arial"/>
          <w:noProof/>
          <w:sz w:val="20"/>
          <w:szCs w:val="20"/>
        </w:rPr>
      </w:pPr>
      <w:hyperlink w:anchor="_Toc153137660" w:history="1">
        <w:r w:rsidR="00BE3F4E" w:rsidRPr="00BE3F4E">
          <w:rPr>
            <w:rStyle w:val="Hyperlink"/>
            <w:rFonts w:ascii="Arial" w:eastAsia="Times New Roman" w:hAnsi="Arial" w:cs="Arial"/>
            <w:iCs/>
            <w:noProof/>
            <w:sz w:val="20"/>
            <w:szCs w:val="20"/>
          </w:rPr>
          <w:t>CS 31GB.82 Instructions for continued airworthiness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_Toc153137660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229</w:t>
        </w:r>
        <w:r w:rsidR="00BE3F4E" w:rsidRPr="00BE3F4E">
          <w:rPr>
            <w:rFonts w:ascii="Arial" w:hAnsi="Arial" w:cs="Arial"/>
            <w:noProof/>
            <w:webHidden/>
            <w:sz w:val="20"/>
            <w:szCs w:val="20"/>
          </w:rPr>
          <w:fldChar w:fldCharType="end"/>
        </w:r>
      </w:hyperlink>
    </w:p>
    <w:p w14:paraId="01451ACA" w14:textId="42D16E98" w:rsidR="00BE3F4E" w:rsidRPr="00BE3F4E" w:rsidRDefault="00000000">
      <w:pPr>
        <w:pStyle w:val="TOC5"/>
        <w:tabs>
          <w:tab w:val="right" w:leader="underscore" w:pos="9016"/>
        </w:tabs>
        <w:rPr>
          <w:rFonts w:ascii="Arial" w:eastAsiaTheme="minorEastAsia" w:hAnsi="Arial" w:cs="Arial"/>
          <w:noProof/>
          <w:sz w:val="20"/>
          <w:szCs w:val="20"/>
        </w:rPr>
      </w:pPr>
      <w:hyperlink w:anchor="_Toc153137661" w:history="1">
        <w:r w:rsidR="00BE3F4E" w:rsidRPr="00BE3F4E">
          <w:rPr>
            <w:rStyle w:val="Hyperlink"/>
            <w:rFonts w:ascii="Arial" w:eastAsia="Times New Roman" w:hAnsi="Arial" w:cs="Arial"/>
            <w:noProof/>
            <w:sz w:val="20"/>
            <w:szCs w:val="20"/>
          </w:rPr>
          <w:t>AMC 31GB.82 Instructions for continued airworthiness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_Toc153137661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229</w:t>
        </w:r>
        <w:r w:rsidR="00BE3F4E" w:rsidRPr="00BE3F4E">
          <w:rPr>
            <w:rFonts w:ascii="Arial" w:hAnsi="Arial" w:cs="Arial"/>
            <w:noProof/>
            <w:webHidden/>
            <w:sz w:val="20"/>
            <w:szCs w:val="20"/>
          </w:rPr>
          <w:fldChar w:fldCharType="end"/>
        </w:r>
      </w:hyperlink>
    </w:p>
    <w:p w14:paraId="532163F7" w14:textId="69777601" w:rsidR="00BE3F4E" w:rsidRPr="00BE3F4E" w:rsidRDefault="00000000">
      <w:pPr>
        <w:pStyle w:val="TOC3"/>
        <w:tabs>
          <w:tab w:val="right" w:leader="underscore" w:pos="9016"/>
        </w:tabs>
        <w:rPr>
          <w:rFonts w:ascii="Arial" w:eastAsiaTheme="minorEastAsia" w:hAnsi="Arial" w:cs="Arial"/>
          <w:b w:val="0"/>
          <w:bCs w:val="0"/>
          <w:noProof/>
          <w:sz w:val="20"/>
          <w:szCs w:val="20"/>
        </w:rPr>
      </w:pPr>
      <w:hyperlink w:anchor="_Toc153137662" w:history="1">
        <w:r w:rsidR="00BE3F4E" w:rsidRPr="00BE3F4E">
          <w:rPr>
            <w:rStyle w:val="Hyperlink"/>
            <w:rFonts w:ascii="Arial" w:eastAsiaTheme="majorEastAsia" w:hAnsi="Arial" w:cs="Arial"/>
            <w:b w:val="0"/>
            <w:bCs w:val="0"/>
            <w:noProof/>
            <w:sz w:val="20"/>
            <w:szCs w:val="20"/>
          </w:rPr>
          <w:t>CS-31HB (AMENDMENT 1)</w:t>
        </w:r>
        <w:r w:rsidR="00BE3F4E" w:rsidRPr="00BE3F4E">
          <w:rPr>
            <w:rFonts w:ascii="Arial" w:hAnsi="Arial" w:cs="Arial"/>
            <w:b w:val="0"/>
            <w:bCs w:val="0"/>
            <w:noProof/>
            <w:webHidden/>
            <w:sz w:val="20"/>
            <w:szCs w:val="20"/>
          </w:rPr>
          <w:tab/>
        </w:r>
        <w:r w:rsidR="00BE3F4E" w:rsidRPr="00BE3F4E">
          <w:rPr>
            <w:rFonts w:ascii="Arial" w:hAnsi="Arial" w:cs="Arial"/>
            <w:b w:val="0"/>
            <w:bCs w:val="0"/>
            <w:noProof/>
            <w:webHidden/>
            <w:sz w:val="20"/>
            <w:szCs w:val="20"/>
          </w:rPr>
          <w:fldChar w:fldCharType="begin"/>
        </w:r>
        <w:r w:rsidR="00BE3F4E" w:rsidRPr="00BE3F4E">
          <w:rPr>
            <w:rFonts w:ascii="Arial" w:hAnsi="Arial" w:cs="Arial"/>
            <w:b w:val="0"/>
            <w:bCs w:val="0"/>
            <w:noProof/>
            <w:webHidden/>
            <w:sz w:val="20"/>
            <w:szCs w:val="20"/>
          </w:rPr>
          <w:instrText xml:space="preserve"> PAGEREF _Toc153137662 \h </w:instrText>
        </w:r>
        <w:r w:rsidR="00BE3F4E" w:rsidRPr="00BE3F4E">
          <w:rPr>
            <w:rFonts w:ascii="Arial" w:hAnsi="Arial" w:cs="Arial"/>
            <w:b w:val="0"/>
            <w:bCs w:val="0"/>
            <w:noProof/>
            <w:webHidden/>
            <w:sz w:val="20"/>
            <w:szCs w:val="20"/>
          </w:rPr>
        </w:r>
        <w:r w:rsidR="00BE3F4E" w:rsidRPr="00BE3F4E">
          <w:rPr>
            <w:rFonts w:ascii="Arial" w:hAnsi="Arial" w:cs="Arial"/>
            <w:b w:val="0"/>
            <w:bCs w:val="0"/>
            <w:noProof/>
            <w:webHidden/>
            <w:sz w:val="20"/>
            <w:szCs w:val="20"/>
          </w:rPr>
          <w:fldChar w:fldCharType="separate"/>
        </w:r>
        <w:r w:rsidR="006A7538">
          <w:rPr>
            <w:rFonts w:ascii="Arial" w:hAnsi="Arial" w:cs="Arial"/>
            <w:b w:val="0"/>
            <w:bCs w:val="0"/>
            <w:noProof/>
            <w:webHidden/>
            <w:sz w:val="20"/>
            <w:szCs w:val="20"/>
          </w:rPr>
          <w:t>230</w:t>
        </w:r>
        <w:r w:rsidR="00BE3F4E" w:rsidRPr="00BE3F4E">
          <w:rPr>
            <w:rFonts w:ascii="Arial" w:hAnsi="Arial" w:cs="Arial"/>
            <w:b w:val="0"/>
            <w:bCs w:val="0"/>
            <w:noProof/>
            <w:webHidden/>
            <w:sz w:val="20"/>
            <w:szCs w:val="20"/>
          </w:rPr>
          <w:fldChar w:fldCharType="end"/>
        </w:r>
      </w:hyperlink>
    </w:p>
    <w:p w14:paraId="4304D77E" w14:textId="6B49596F" w:rsidR="00BE3F4E" w:rsidRPr="00BE3F4E" w:rsidRDefault="00000000">
      <w:pPr>
        <w:pStyle w:val="TOC3"/>
        <w:tabs>
          <w:tab w:val="right" w:leader="underscore" w:pos="9016"/>
        </w:tabs>
        <w:rPr>
          <w:rFonts w:ascii="Arial" w:eastAsiaTheme="minorEastAsia" w:hAnsi="Arial" w:cs="Arial"/>
          <w:b w:val="0"/>
          <w:bCs w:val="0"/>
          <w:noProof/>
          <w:sz w:val="20"/>
          <w:szCs w:val="20"/>
        </w:rPr>
      </w:pPr>
      <w:hyperlink w:anchor="_Toc153137663" w:history="1">
        <w:r w:rsidR="00BE3F4E" w:rsidRPr="00BE3F4E">
          <w:rPr>
            <w:rStyle w:val="Hyperlink"/>
            <w:rFonts w:ascii="Arial" w:eastAsiaTheme="majorEastAsia" w:hAnsi="Arial" w:cs="Arial"/>
            <w:b w:val="0"/>
            <w:bCs w:val="0"/>
            <w:noProof/>
            <w:sz w:val="20"/>
            <w:szCs w:val="20"/>
          </w:rPr>
          <w:t>SUBPART A – GENERAL</w:t>
        </w:r>
        <w:r w:rsidR="00BE3F4E" w:rsidRPr="00BE3F4E">
          <w:rPr>
            <w:rFonts w:ascii="Arial" w:hAnsi="Arial" w:cs="Arial"/>
            <w:b w:val="0"/>
            <w:bCs w:val="0"/>
            <w:noProof/>
            <w:webHidden/>
            <w:sz w:val="20"/>
            <w:szCs w:val="20"/>
          </w:rPr>
          <w:tab/>
        </w:r>
        <w:r w:rsidR="00BE3F4E" w:rsidRPr="00BE3F4E">
          <w:rPr>
            <w:rFonts w:ascii="Arial" w:hAnsi="Arial" w:cs="Arial"/>
            <w:b w:val="0"/>
            <w:bCs w:val="0"/>
            <w:noProof/>
            <w:webHidden/>
            <w:sz w:val="20"/>
            <w:szCs w:val="20"/>
          </w:rPr>
          <w:fldChar w:fldCharType="begin"/>
        </w:r>
        <w:r w:rsidR="00BE3F4E" w:rsidRPr="00BE3F4E">
          <w:rPr>
            <w:rFonts w:ascii="Arial" w:hAnsi="Arial" w:cs="Arial"/>
            <w:b w:val="0"/>
            <w:bCs w:val="0"/>
            <w:noProof/>
            <w:webHidden/>
            <w:sz w:val="20"/>
            <w:szCs w:val="20"/>
          </w:rPr>
          <w:instrText xml:space="preserve"> PAGEREF _Toc153137663 \h </w:instrText>
        </w:r>
        <w:r w:rsidR="00BE3F4E" w:rsidRPr="00BE3F4E">
          <w:rPr>
            <w:rFonts w:ascii="Arial" w:hAnsi="Arial" w:cs="Arial"/>
            <w:b w:val="0"/>
            <w:bCs w:val="0"/>
            <w:noProof/>
            <w:webHidden/>
            <w:sz w:val="20"/>
            <w:szCs w:val="20"/>
          </w:rPr>
        </w:r>
        <w:r w:rsidR="00BE3F4E" w:rsidRPr="00BE3F4E">
          <w:rPr>
            <w:rFonts w:ascii="Arial" w:hAnsi="Arial" w:cs="Arial"/>
            <w:b w:val="0"/>
            <w:bCs w:val="0"/>
            <w:noProof/>
            <w:webHidden/>
            <w:sz w:val="20"/>
            <w:szCs w:val="20"/>
          </w:rPr>
          <w:fldChar w:fldCharType="separate"/>
        </w:r>
        <w:r w:rsidR="006A7538">
          <w:rPr>
            <w:rFonts w:ascii="Arial" w:hAnsi="Arial" w:cs="Arial"/>
            <w:b w:val="0"/>
            <w:bCs w:val="0"/>
            <w:noProof/>
            <w:webHidden/>
            <w:sz w:val="20"/>
            <w:szCs w:val="20"/>
          </w:rPr>
          <w:t>231</w:t>
        </w:r>
        <w:r w:rsidR="00BE3F4E" w:rsidRPr="00BE3F4E">
          <w:rPr>
            <w:rFonts w:ascii="Arial" w:hAnsi="Arial" w:cs="Arial"/>
            <w:b w:val="0"/>
            <w:bCs w:val="0"/>
            <w:noProof/>
            <w:webHidden/>
            <w:sz w:val="20"/>
            <w:szCs w:val="20"/>
          </w:rPr>
          <w:fldChar w:fldCharType="end"/>
        </w:r>
      </w:hyperlink>
    </w:p>
    <w:p w14:paraId="2BCBDD22" w14:textId="243FD32C" w:rsidR="00BE3F4E" w:rsidRPr="00BE3F4E" w:rsidRDefault="00000000">
      <w:pPr>
        <w:pStyle w:val="TOC4"/>
        <w:tabs>
          <w:tab w:val="right" w:leader="underscore" w:pos="9016"/>
        </w:tabs>
        <w:rPr>
          <w:rFonts w:ascii="Arial" w:eastAsiaTheme="minorEastAsia" w:hAnsi="Arial" w:cs="Arial"/>
          <w:noProof/>
          <w:sz w:val="20"/>
          <w:szCs w:val="20"/>
        </w:rPr>
      </w:pPr>
      <w:hyperlink w:anchor="_Toc153137664" w:history="1">
        <w:r w:rsidR="00BE3F4E" w:rsidRPr="00BE3F4E">
          <w:rPr>
            <w:rStyle w:val="Hyperlink"/>
            <w:rFonts w:ascii="Arial" w:eastAsia="Times New Roman" w:hAnsi="Arial" w:cs="Arial"/>
            <w:iCs/>
            <w:noProof/>
            <w:sz w:val="20"/>
            <w:szCs w:val="20"/>
          </w:rPr>
          <w:t>CS 31HB.1 Applicability</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_Toc153137664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231</w:t>
        </w:r>
        <w:r w:rsidR="00BE3F4E" w:rsidRPr="00BE3F4E">
          <w:rPr>
            <w:rFonts w:ascii="Arial" w:hAnsi="Arial" w:cs="Arial"/>
            <w:noProof/>
            <w:webHidden/>
            <w:sz w:val="20"/>
            <w:szCs w:val="20"/>
          </w:rPr>
          <w:fldChar w:fldCharType="end"/>
        </w:r>
      </w:hyperlink>
    </w:p>
    <w:p w14:paraId="46EF2B75" w14:textId="53BE4127" w:rsidR="00BE3F4E" w:rsidRPr="00BE3F4E" w:rsidRDefault="00000000">
      <w:pPr>
        <w:pStyle w:val="TOC4"/>
        <w:tabs>
          <w:tab w:val="right" w:leader="underscore" w:pos="9016"/>
        </w:tabs>
        <w:rPr>
          <w:rFonts w:ascii="Arial" w:eastAsiaTheme="minorEastAsia" w:hAnsi="Arial" w:cs="Arial"/>
          <w:noProof/>
          <w:sz w:val="20"/>
          <w:szCs w:val="20"/>
        </w:rPr>
      </w:pPr>
      <w:hyperlink w:anchor="_Toc153137665" w:history="1">
        <w:r w:rsidR="00BE3F4E" w:rsidRPr="00BE3F4E">
          <w:rPr>
            <w:rStyle w:val="Hyperlink"/>
            <w:rFonts w:ascii="Arial" w:eastAsia="Times New Roman" w:hAnsi="Arial" w:cs="Arial"/>
            <w:iCs/>
            <w:noProof/>
            <w:sz w:val="20"/>
            <w:szCs w:val="20"/>
          </w:rPr>
          <w:t>CS 31HB.2 Definitions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_Toc153137665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231</w:t>
        </w:r>
        <w:r w:rsidR="00BE3F4E" w:rsidRPr="00BE3F4E">
          <w:rPr>
            <w:rFonts w:ascii="Arial" w:hAnsi="Arial" w:cs="Arial"/>
            <w:noProof/>
            <w:webHidden/>
            <w:sz w:val="20"/>
            <w:szCs w:val="20"/>
          </w:rPr>
          <w:fldChar w:fldCharType="end"/>
        </w:r>
      </w:hyperlink>
    </w:p>
    <w:p w14:paraId="6062F3A1" w14:textId="702868CA" w:rsidR="00BE3F4E" w:rsidRPr="00BE3F4E" w:rsidRDefault="00000000">
      <w:pPr>
        <w:pStyle w:val="TOC3"/>
        <w:tabs>
          <w:tab w:val="right" w:leader="underscore" w:pos="9016"/>
        </w:tabs>
        <w:rPr>
          <w:rFonts w:ascii="Arial" w:eastAsiaTheme="minorEastAsia" w:hAnsi="Arial" w:cs="Arial"/>
          <w:b w:val="0"/>
          <w:bCs w:val="0"/>
          <w:noProof/>
          <w:sz w:val="20"/>
          <w:szCs w:val="20"/>
        </w:rPr>
      </w:pPr>
      <w:hyperlink w:anchor="_Toc153137666" w:history="1">
        <w:r w:rsidR="00BE3F4E" w:rsidRPr="00BE3F4E">
          <w:rPr>
            <w:rStyle w:val="Hyperlink"/>
            <w:rFonts w:ascii="Arial" w:eastAsiaTheme="majorEastAsia" w:hAnsi="Arial" w:cs="Arial"/>
            <w:b w:val="0"/>
            <w:bCs w:val="0"/>
            <w:noProof/>
            <w:sz w:val="20"/>
            <w:szCs w:val="20"/>
          </w:rPr>
          <w:t>SUBPART B – FLIGHT</w:t>
        </w:r>
        <w:r w:rsidR="00BE3F4E" w:rsidRPr="00BE3F4E">
          <w:rPr>
            <w:rFonts w:ascii="Arial" w:hAnsi="Arial" w:cs="Arial"/>
            <w:b w:val="0"/>
            <w:bCs w:val="0"/>
            <w:noProof/>
            <w:webHidden/>
            <w:sz w:val="20"/>
            <w:szCs w:val="20"/>
          </w:rPr>
          <w:tab/>
        </w:r>
        <w:r w:rsidR="00BE3F4E" w:rsidRPr="00BE3F4E">
          <w:rPr>
            <w:rFonts w:ascii="Arial" w:hAnsi="Arial" w:cs="Arial"/>
            <w:b w:val="0"/>
            <w:bCs w:val="0"/>
            <w:noProof/>
            <w:webHidden/>
            <w:sz w:val="20"/>
            <w:szCs w:val="20"/>
          </w:rPr>
          <w:fldChar w:fldCharType="begin"/>
        </w:r>
        <w:r w:rsidR="00BE3F4E" w:rsidRPr="00BE3F4E">
          <w:rPr>
            <w:rFonts w:ascii="Arial" w:hAnsi="Arial" w:cs="Arial"/>
            <w:b w:val="0"/>
            <w:bCs w:val="0"/>
            <w:noProof/>
            <w:webHidden/>
            <w:sz w:val="20"/>
            <w:szCs w:val="20"/>
          </w:rPr>
          <w:instrText xml:space="preserve"> PAGEREF _Toc153137666 \h </w:instrText>
        </w:r>
        <w:r w:rsidR="00BE3F4E" w:rsidRPr="00BE3F4E">
          <w:rPr>
            <w:rFonts w:ascii="Arial" w:hAnsi="Arial" w:cs="Arial"/>
            <w:b w:val="0"/>
            <w:bCs w:val="0"/>
            <w:noProof/>
            <w:webHidden/>
            <w:sz w:val="20"/>
            <w:szCs w:val="20"/>
          </w:rPr>
        </w:r>
        <w:r w:rsidR="00BE3F4E" w:rsidRPr="00BE3F4E">
          <w:rPr>
            <w:rFonts w:ascii="Arial" w:hAnsi="Arial" w:cs="Arial"/>
            <w:b w:val="0"/>
            <w:bCs w:val="0"/>
            <w:noProof/>
            <w:webHidden/>
            <w:sz w:val="20"/>
            <w:szCs w:val="20"/>
          </w:rPr>
          <w:fldChar w:fldCharType="separate"/>
        </w:r>
        <w:r w:rsidR="006A7538">
          <w:rPr>
            <w:rFonts w:ascii="Arial" w:hAnsi="Arial" w:cs="Arial"/>
            <w:b w:val="0"/>
            <w:bCs w:val="0"/>
            <w:noProof/>
            <w:webHidden/>
            <w:sz w:val="20"/>
            <w:szCs w:val="20"/>
          </w:rPr>
          <w:t>232</w:t>
        </w:r>
        <w:r w:rsidR="00BE3F4E" w:rsidRPr="00BE3F4E">
          <w:rPr>
            <w:rFonts w:ascii="Arial" w:hAnsi="Arial" w:cs="Arial"/>
            <w:b w:val="0"/>
            <w:bCs w:val="0"/>
            <w:noProof/>
            <w:webHidden/>
            <w:sz w:val="20"/>
            <w:szCs w:val="20"/>
          </w:rPr>
          <w:fldChar w:fldCharType="end"/>
        </w:r>
      </w:hyperlink>
    </w:p>
    <w:p w14:paraId="4F29564E" w14:textId="5E56B662" w:rsidR="00BE3F4E" w:rsidRPr="00BE3F4E" w:rsidRDefault="00000000">
      <w:pPr>
        <w:pStyle w:val="TOC4"/>
        <w:tabs>
          <w:tab w:val="right" w:leader="underscore" w:pos="9016"/>
        </w:tabs>
        <w:rPr>
          <w:rFonts w:ascii="Arial" w:eastAsiaTheme="minorEastAsia" w:hAnsi="Arial" w:cs="Arial"/>
          <w:noProof/>
          <w:sz w:val="20"/>
          <w:szCs w:val="20"/>
        </w:rPr>
      </w:pPr>
      <w:hyperlink w:anchor="_Toc153137667" w:history="1">
        <w:r w:rsidR="00BE3F4E" w:rsidRPr="00BE3F4E">
          <w:rPr>
            <w:rStyle w:val="Hyperlink"/>
            <w:rFonts w:ascii="Arial" w:eastAsia="Times New Roman" w:hAnsi="Arial" w:cs="Arial"/>
            <w:iCs/>
            <w:noProof/>
            <w:sz w:val="20"/>
            <w:szCs w:val="20"/>
          </w:rPr>
          <w:t>CS 31HB.12 Proof of compliance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_Toc153137667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232</w:t>
        </w:r>
        <w:r w:rsidR="00BE3F4E" w:rsidRPr="00BE3F4E">
          <w:rPr>
            <w:rFonts w:ascii="Arial" w:hAnsi="Arial" w:cs="Arial"/>
            <w:noProof/>
            <w:webHidden/>
            <w:sz w:val="20"/>
            <w:szCs w:val="20"/>
          </w:rPr>
          <w:fldChar w:fldCharType="end"/>
        </w:r>
      </w:hyperlink>
    </w:p>
    <w:p w14:paraId="7FE0E0F9" w14:textId="6AD90C5E" w:rsidR="00BE3F4E" w:rsidRPr="00BE3F4E" w:rsidRDefault="00000000">
      <w:pPr>
        <w:pStyle w:val="TOC4"/>
        <w:tabs>
          <w:tab w:val="right" w:leader="underscore" w:pos="9016"/>
        </w:tabs>
        <w:rPr>
          <w:rFonts w:ascii="Arial" w:eastAsiaTheme="minorEastAsia" w:hAnsi="Arial" w:cs="Arial"/>
          <w:noProof/>
          <w:sz w:val="20"/>
          <w:szCs w:val="20"/>
        </w:rPr>
      </w:pPr>
      <w:hyperlink w:anchor="_Toc153137668" w:history="1">
        <w:r w:rsidR="00BE3F4E" w:rsidRPr="00BE3F4E">
          <w:rPr>
            <w:rStyle w:val="Hyperlink"/>
            <w:rFonts w:ascii="Arial" w:eastAsia="Times New Roman" w:hAnsi="Arial" w:cs="Arial"/>
            <w:iCs/>
            <w:noProof/>
            <w:sz w:val="20"/>
            <w:szCs w:val="20"/>
          </w:rPr>
          <w:t>CS 31HB.14 Mass limits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_Toc153137668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232</w:t>
        </w:r>
        <w:r w:rsidR="00BE3F4E" w:rsidRPr="00BE3F4E">
          <w:rPr>
            <w:rFonts w:ascii="Arial" w:hAnsi="Arial" w:cs="Arial"/>
            <w:noProof/>
            <w:webHidden/>
            <w:sz w:val="20"/>
            <w:szCs w:val="20"/>
          </w:rPr>
          <w:fldChar w:fldCharType="end"/>
        </w:r>
      </w:hyperlink>
    </w:p>
    <w:p w14:paraId="7123AD36" w14:textId="0CC137CC" w:rsidR="00BE3F4E" w:rsidRPr="00BE3F4E" w:rsidRDefault="00000000">
      <w:pPr>
        <w:pStyle w:val="TOC5"/>
        <w:tabs>
          <w:tab w:val="right" w:leader="underscore" w:pos="9016"/>
        </w:tabs>
        <w:rPr>
          <w:rFonts w:ascii="Arial" w:eastAsiaTheme="minorEastAsia" w:hAnsi="Arial" w:cs="Arial"/>
          <w:noProof/>
          <w:sz w:val="20"/>
          <w:szCs w:val="20"/>
        </w:rPr>
      </w:pPr>
      <w:hyperlink w:anchor="_Toc153137669" w:history="1">
        <w:r w:rsidR="00BE3F4E" w:rsidRPr="00BE3F4E">
          <w:rPr>
            <w:rStyle w:val="Hyperlink"/>
            <w:rFonts w:ascii="Arial" w:eastAsia="Times New Roman" w:hAnsi="Arial" w:cs="Arial"/>
            <w:noProof/>
            <w:sz w:val="20"/>
            <w:szCs w:val="20"/>
          </w:rPr>
          <w:t>AMC 31HB.14(a) Mass limits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_Toc153137669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232</w:t>
        </w:r>
        <w:r w:rsidR="00BE3F4E" w:rsidRPr="00BE3F4E">
          <w:rPr>
            <w:rFonts w:ascii="Arial" w:hAnsi="Arial" w:cs="Arial"/>
            <w:noProof/>
            <w:webHidden/>
            <w:sz w:val="20"/>
            <w:szCs w:val="20"/>
          </w:rPr>
          <w:fldChar w:fldCharType="end"/>
        </w:r>
      </w:hyperlink>
    </w:p>
    <w:p w14:paraId="00B8DB18" w14:textId="18EFA617" w:rsidR="00BE3F4E" w:rsidRPr="00BE3F4E" w:rsidRDefault="00000000">
      <w:pPr>
        <w:pStyle w:val="TOC5"/>
        <w:tabs>
          <w:tab w:val="right" w:leader="underscore" w:pos="9016"/>
        </w:tabs>
        <w:rPr>
          <w:rFonts w:ascii="Arial" w:eastAsiaTheme="minorEastAsia" w:hAnsi="Arial" w:cs="Arial"/>
          <w:noProof/>
          <w:sz w:val="20"/>
          <w:szCs w:val="20"/>
        </w:rPr>
      </w:pPr>
      <w:hyperlink w:anchor="_Toc153137670" w:history="1">
        <w:r w:rsidR="00BE3F4E" w:rsidRPr="00BE3F4E">
          <w:rPr>
            <w:rStyle w:val="Hyperlink"/>
            <w:rFonts w:ascii="Arial" w:eastAsia="Times New Roman" w:hAnsi="Arial" w:cs="Arial"/>
            <w:noProof/>
            <w:sz w:val="20"/>
            <w:szCs w:val="20"/>
          </w:rPr>
          <w:t>AMC 31HB.14(b) Mass limits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_Toc153137670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232</w:t>
        </w:r>
        <w:r w:rsidR="00BE3F4E" w:rsidRPr="00BE3F4E">
          <w:rPr>
            <w:rFonts w:ascii="Arial" w:hAnsi="Arial" w:cs="Arial"/>
            <w:noProof/>
            <w:webHidden/>
            <w:sz w:val="20"/>
            <w:szCs w:val="20"/>
          </w:rPr>
          <w:fldChar w:fldCharType="end"/>
        </w:r>
      </w:hyperlink>
    </w:p>
    <w:p w14:paraId="4EB9DF8A" w14:textId="30E947EF" w:rsidR="00BE3F4E" w:rsidRPr="00BE3F4E" w:rsidRDefault="00000000">
      <w:pPr>
        <w:pStyle w:val="TOC4"/>
        <w:tabs>
          <w:tab w:val="right" w:leader="underscore" w:pos="9016"/>
        </w:tabs>
        <w:rPr>
          <w:rFonts w:ascii="Arial" w:eastAsiaTheme="minorEastAsia" w:hAnsi="Arial" w:cs="Arial"/>
          <w:noProof/>
          <w:sz w:val="20"/>
          <w:szCs w:val="20"/>
        </w:rPr>
      </w:pPr>
      <w:hyperlink w:anchor="_Toc153137671" w:history="1">
        <w:r w:rsidR="00BE3F4E" w:rsidRPr="00BE3F4E">
          <w:rPr>
            <w:rStyle w:val="Hyperlink"/>
            <w:rFonts w:ascii="Arial" w:eastAsia="Times New Roman" w:hAnsi="Arial" w:cs="Arial"/>
            <w:iCs/>
            <w:noProof/>
            <w:sz w:val="20"/>
            <w:szCs w:val="20"/>
          </w:rPr>
          <w:t>CS 31HB.16 Empty mass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_Toc153137671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232</w:t>
        </w:r>
        <w:r w:rsidR="00BE3F4E" w:rsidRPr="00BE3F4E">
          <w:rPr>
            <w:rFonts w:ascii="Arial" w:hAnsi="Arial" w:cs="Arial"/>
            <w:noProof/>
            <w:webHidden/>
            <w:sz w:val="20"/>
            <w:szCs w:val="20"/>
          </w:rPr>
          <w:fldChar w:fldCharType="end"/>
        </w:r>
      </w:hyperlink>
    </w:p>
    <w:p w14:paraId="4BC19756" w14:textId="4A1A80AD" w:rsidR="00BE3F4E" w:rsidRPr="00BE3F4E" w:rsidRDefault="00000000">
      <w:pPr>
        <w:pStyle w:val="TOC5"/>
        <w:tabs>
          <w:tab w:val="right" w:leader="underscore" w:pos="9016"/>
        </w:tabs>
        <w:rPr>
          <w:rFonts w:ascii="Arial" w:eastAsiaTheme="minorEastAsia" w:hAnsi="Arial" w:cs="Arial"/>
          <w:noProof/>
          <w:sz w:val="20"/>
          <w:szCs w:val="20"/>
        </w:rPr>
      </w:pPr>
      <w:hyperlink w:anchor="_Toc153137672" w:history="1">
        <w:r w:rsidR="00BE3F4E" w:rsidRPr="00BE3F4E">
          <w:rPr>
            <w:rStyle w:val="Hyperlink"/>
            <w:rFonts w:ascii="Arial" w:eastAsia="Times New Roman" w:hAnsi="Arial" w:cs="Arial"/>
            <w:noProof/>
            <w:sz w:val="20"/>
            <w:szCs w:val="20"/>
          </w:rPr>
          <w:t>AMC 31HB.16 Empty mass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_Toc153137672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232</w:t>
        </w:r>
        <w:r w:rsidR="00BE3F4E" w:rsidRPr="00BE3F4E">
          <w:rPr>
            <w:rFonts w:ascii="Arial" w:hAnsi="Arial" w:cs="Arial"/>
            <w:noProof/>
            <w:webHidden/>
            <w:sz w:val="20"/>
            <w:szCs w:val="20"/>
          </w:rPr>
          <w:fldChar w:fldCharType="end"/>
        </w:r>
      </w:hyperlink>
    </w:p>
    <w:p w14:paraId="5CD79A41" w14:textId="7B28D177" w:rsidR="00BE3F4E" w:rsidRPr="00BE3F4E" w:rsidRDefault="00000000">
      <w:pPr>
        <w:pStyle w:val="TOC4"/>
        <w:tabs>
          <w:tab w:val="right" w:leader="underscore" w:pos="9016"/>
        </w:tabs>
        <w:rPr>
          <w:rFonts w:ascii="Arial" w:eastAsiaTheme="minorEastAsia" w:hAnsi="Arial" w:cs="Arial"/>
          <w:noProof/>
          <w:sz w:val="20"/>
          <w:szCs w:val="20"/>
        </w:rPr>
      </w:pPr>
      <w:hyperlink w:anchor="_Toc153137673" w:history="1">
        <w:r w:rsidR="00BE3F4E" w:rsidRPr="00BE3F4E">
          <w:rPr>
            <w:rStyle w:val="Hyperlink"/>
            <w:rFonts w:ascii="Arial" w:eastAsia="Times New Roman" w:hAnsi="Arial" w:cs="Arial"/>
            <w:iCs/>
            <w:noProof/>
            <w:sz w:val="20"/>
            <w:szCs w:val="20"/>
          </w:rPr>
          <w:t>CS 31HB.17 Performance: climb</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_Toc153137673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232</w:t>
        </w:r>
        <w:r w:rsidR="00BE3F4E" w:rsidRPr="00BE3F4E">
          <w:rPr>
            <w:rFonts w:ascii="Arial" w:hAnsi="Arial" w:cs="Arial"/>
            <w:noProof/>
            <w:webHidden/>
            <w:sz w:val="20"/>
            <w:szCs w:val="20"/>
          </w:rPr>
          <w:fldChar w:fldCharType="end"/>
        </w:r>
      </w:hyperlink>
    </w:p>
    <w:p w14:paraId="56458B8D" w14:textId="4A794E67" w:rsidR="00BE3F4E" w:rsidRPr="00BE3F4E" w:rsidRDefault="00000000">
      <w:pPr>
        <w:pStyle w:val="TOC5"/>
        <w:tabs>
          <w:tab w:val="right" w:leader="underscore" w:pos="9016"/>
        </w:tabs>
        <w:rPr>
          <w:rFonts w:ascii="Arial" w:eastAsiaTheme="minorEastAsia" w:hAnsi="Arial" w:cs="Arial"/>
          <w:noProof/>
          <w:sz w:val="20"/>
          <w:szCs w:val="20"/>
        </w:rPr>
      </w:pPr>
      <w:hyperlink w:anchor="_Toc153137674" w:history="1">
        <w:r w:rsidR="00BE3F4E" w:rsidRPr="00BE3F4E">
          <w:rPr>
            <w:rStyle w:val="Hyperlink"/>
            <w:rFonts w:ascii="Arial" w:eastAsia="Times New Roman" w:hAnsi="Arial" w:cs="Arial"/>
            <w:noProof/>
            <w:sz w:val="20"/>
            <w:szCs w:val="20"/>
          </w:rPr>
          <w:t>AMC 31HB.17 Performance: climb</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_Toc153137674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233</w:t>
        </w:r>
        <w:r w:rsidR="00BE3F4E" w:rsidRPr="00BE3F4E">
          <w:rPr>
            <w:rFonts w:ascii="Arial" w:hAnsi="Arial" w:cs="Arial"/>
            <w:noProof/>
            <w:webHidden/>
            <w:sz w:val="20"/>
            <w:szCs w:val="20"/>
          </w:rPr>
          <w:fldChar w:fldCharType="end"/>
        </w:r>
      </w:hyperlink>
    </w:p>
    <w:p w14:paraId="45077531" w14:textId="612CD6F7" w:rsidR="00BE3F4E" w:rsidRPr="00BE3F4E" w:rsidRDefault="00000000">
      <w:pPr>
        <w:pStyle w:val="TOC4"/>
        <w:tabs>
          <w:tab w:val="right" w:leader="underscore" w:pos="9016"/>
        </w:tabs>
        <w:rPr>
          <w:rFonts w:ascii="Arial" w:eastAsiaTheme="minorEastAsia" w:hAnsi="Arial" w:cs="Arial"/>
          <w:noProof/>
          <w:sz w:val="20"/>
          <w:szCs w:val="20"/>
        </w:rPr>
      </w:pPr>
      <w:hyperlink w:anchor="_Toc153137675" w:history="1">
        <w:r w:rsidR="00BE3F4E" w:rsidRPr="00BE3F4E">
          <w:rPr>
            <w:rStyle w:val="Hyperlink"/>
            <w:rFonts w:ascii="Arial" w:eastAsia="Times New Roman" w:hAnsi="Arial" w:cs="Arial"/>
            <w:iCs/>
            <w:noProof/>
            <w:sz w:val="20"/>
            <w:szCs w:val="20"/>
          </w:rPr>
          <w:t>CS 31HB.20 Controllability</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_Toc153137675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233</w:t>
        </w:r>
        <w:r w:rsidR="00BE3F4E" w:rsidRPr="00BE3F4E">
          <w:rPr>
            <w:rFonts w:ascii="Arial" w:hAnsi="Arial" w:cs="Arial"/>
            <w:noProof/>
            <w:webHidden/>
            <w:sz w:val="20"/>
            <w:szCs w:val="20"/>
          </w:rPr>
          <w:fldChar w:fldCharType="end"/>
        </w:r>
      </w:hyperlink>
    </w:p>
    <w:p w14:paraId="4A27B1E4" w14:textId="76A6FA86" w:rsidR="00BE3F4E" w:rsidRPr="00BE3F4E" w:rsidRDefault="00000000">
      <w:pPr>
        <w:pStyle w:val="TOC3"/>
        <w:tabs>
          <w:tab w:val="right" w:leader="underscore" w:pos="9016"/>
        </w:tabs>
        <w:rPr>
          <w:rFonts w:ascii="Arial" w:eastAsiaTheme="minorEastAsia" w:hAnsi="Arial" w:cs="Arial"/>
          <w:b w:val="0"/>
          <w:bCs w:val="0"/>
          <w:noProof/>
          <w:sz w:val="20"/>
          <w:szCs w:val="20"/>
        </w:rPr>
      </w:pPr>
      <w:hyperlink w:anchor="_Toc153137676" w:history="1">
        <w:r w:rsidR="00BE3F4E" w:rsidRPr="00BE3F4E">
          <w:rPr>
            <w:rStyle w:val="Hyperlink"/>
            <w:rFonts w:ascii="Arial" w:eastAsiaTheme="majorEastAsia" w:hAnsi="Arial" w:cs="Arial"/>
            <w:b w:val="0"/>
            <w:bCs w:val="0"/>
            <w:noProof/>
            <w:sz w:val="20"/>
            <w:szCs w:val="20"/>
          </w:rPr>
          <w:t>SUBPART C – STRUCTURE</w:t>
        </w:r>
        <w:r w:rsidR="00BE3F4E" w:rsidRPr="00BE3F4E">
          <w:rPr>
            <w:rFonts w:ascii="Arial" w:hAnsi="Arial" w:cs="Arial"/>
            <w:b w:val="0"/>
            <w:bCs w:val="0"/>
            <w:noProof/>
            <w:webHidden/>
            <w:sz w:val="20"/>
            <w:szCs w:val="20"/>
          </w:rPr>
          <w:tab/>
        </w:r>
        <w:r w:rsidR="00BE3F4E" w:rsidRPr="00BE3F4E">
          <w:rPr>
            <w:rFonts w:ascii="Arial" w:hAnsi="Arial" w:cs="Arial"/>
            <w:b w:val="0"/>
            <w:bCs w:val="0"/>
            <w:noProof/>
            <w:webHidden/>
            <w:sz w:val="20"/>
            <w:szCs w:val="20"/>
          </w:rPr>
          <w:fldChar w:fldCharType="begin"/>
        </w:r>
        <w:r w:rsidR="00BE3F4E" w:rsidRPr="00BE3F4E">
          <w:rPr>
            <w:rFonts w:ascii="Arial" w:hAnsi="Arial" w:cs="Arial"/>
            <w:b w:val="0"/>
            <w:bCs w:val="0"/>
            <w:noProof/>
            <w:webHidden/>
            <w:sz w:val="20"/>
            <w:szCs w:val="20"/>
          </w:rPr>
          <w:instrText xml:space="preserve"> PAGEREF _Toc153137676 \h </w:instrText>
        </w:r>
        <w:r w:rsidR="00BE3F4E" w:rsidRPr="00BE3F4E">
          <w:rPr>
            <w:rFonts w:ascii="Arial" w:hAnsi="Arial" w:cs="Arial"/>
            <w:b w:val="0"/>
            <w:bCs w:val="0"/>
            <w:noProof/>
            <w:webHidden/>
            <w:sz w:val="20"/>
            <w:szCs w:val="20"/>
          </w:rPr>
        </w:r>
        <w:r w:rsidR="00BE3F4E" w:rsidRPr="00BE3F4E">
          <w:rPr>
            <w:rFonts w:ascii="Arial" w:hAnsi="Arial" w:cs="Arial"/>
            <w:b w:val="0"/>
            <w:bCs w:val="0"/>
            <w:noProof/>
            <w:webHidden/>
            <w:sz w:val="20"/>
            <w:szCs w:val="20"/>
          </w:rPr>
          <w:fldChar w:fldCharType="separate"/>
        </w:r>
        <w:r w:rsidR="006A7538">
          <w:rPr>
            <w:rFonts w:ascii="Arial" w:hAnsi="Arial" w:cs="Arial"/>
            <w:b w:val="0"/>
            <w:bCs w:val="0"/>
            <w:noProof/>
            <w:webHidden/>
            <w:sz w:val="20"/>
            <w:szCs w:val="20"/>
          </w:rPr>
          <w:t>234</w:t>
        </w:r>
        <w:r w:rsidR="00BE3F4E" w:rsidRPr="00BE3F4E">
          <w:rPr>
            <w:rFonts w:ascii="Arial" w:hAnsi="Arial" w:cs="Arial"/>
            <w:b w:val="0"/>
            <w:bCs w:val="0"/>
            <w:noProof/>
            <w:webHidden/>
            <w:sz w:val="20"/>
            <w:szCs w:val="20"/>
          </w:rPr>
          <w:fldChar w:fldCharType="end"/>
        </w:r>
      </w:hyperlink>
    </w:p>
    <w:p w14:paraId="6FE0508A" w14:textId="519E42E4" w:rsidR="00BE3F4E" w:rsidRPr="00BE3F4E" w:rsidRDefault="00000000">
      <w:pPr>
        <w:pStyle w:val="TOC4"/>
        <w:tabs>
          <w:tab w:val="right" w:leader="underscore" w:pos="9016"/>
        </w:tabs>
        <w:rPr>
          <w:rFonts w:ascii="Arial" w:eastAsiaTheme="minorEastAsia" w:hAnsi="Arial" w:cs="Arial"/>
          <w:noProof/>
          <w:sz w:val="20"/>
          <w:szCs w:val="20"/>
        </w:rPr>
      </w:pPr>
      <w:hyperlink w:anchor="_Toc153137677" w:history="1">
        <w:r w:rsidR="00BE3F4E" w:rsidRPr="00BE3F4E">
          <w:rPr>
            <w:rStyle w:val="Hyperlink"/>
            <w:rFonts w:ascii="Arial" w:eastAsia="Times New Roman" w:hAnsi="Arial" w:cs="Arial"/>
            <w:iCs/>
            <w:noProof/>
            <w:sz w:val="20"/>
            <w:szCs w:val="20"/>
          </w:rPr>
          <w:t>CS 31HB.21 Loads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_Toc153137677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234</w:t>
        </w:r>
        <w:r w:rsidR="00BE3F4E" w:rsidRPr="00BE3F4E">
          <w:rPr>
            <w:rFonts w:ascii="Arial" w:hAnsi="Arial" w:cs="Arial"/>
            <w:noProof/>
            <w:webHidden/>
            <w:sz w:val="20"/>
            <w:szCs w:val="20"/>
          </w:rPr>
          <w:fldChar w:fldCharType="end"/>
        </w:r>
      </w:hyperlink>
    </w:p>
    <w:p w14:paraId="0B7EC0BD" w14:textId="1EC643B1" w:rsidR="00BE3F4E" w:rsidRPr="00BE3F4E" w:rsidRDefault="00000000">
      <w:pPr>
        <w:pStyle w:val="TOC4"/>
        <w:tabs>
          <w:tab w:val="right" w:leader="underscore" w:pos="9016"/>
        </w:tabs>
        <w:rPr>
          <w:rFonts w:ascii="Arial" w:eastAsiaTheme="minorEastAsia" w:hAnsi="Arial" w:cs="Arial"/>
          <w:noProof/>
          <w:sz w:val="20"/>
          <w:szCs w:val="20"/>
        </w:rPr>
      </w:pPr>
      <w:hyperlink w:anchor="_Toc153137678" w:history="1">
        <w:r w:rsidR="00BE3F4E" w:rsidRPr="00BE3F4E">
          <w:rPr>
            <w:rStyle w:val="Hyperlink"/>
            <w:rFonts w:ascii="Arial" w:eastAsia="Times New Roman" w:hAnsi="Arial" w:cs="Arial"/>
            <w:iCs/>
            <w:noProof/>
            <w:sz w:val="20"/>
            <w:szCs w:val="20"/>
          </w:rPr>
          <w:t>CS 31HB.23 Load factors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_Toc153137678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234</w:t>
        </w:r>
        <w:r w:rsidR="00BE3F4E" w:rsidRPr="00BE3F4E">
          <w:rPr>
            <w:rFonts w:ascii="Arial" w:hAnsi="Arial" w:cs="Arial"/>
            <w:noProof/>
            <w:webHidden/>
            <w:sz w:val="20"/>
            <w:szCs w:val="20"/>
          </w:rPr>
          <w:fldChar w:fldCharType="end"/>
        </w:r>
      </w:hyperlink>
    </w:p>
    <w:p w14:paraId="18B4B6DA" w14:textId="5603FA49" w:rsidR="00BE3F4E" w:rsidRPr="00BE3F4E" w:rsidRDefault="00000000">
      <w:pPr>
        <w:pStyle w:val="TOC4"/>
        <w:tabs>
          <w:tab w:val="right" w:leader="underscore" w:pos="9016"/>
        </w:tabs>
        <w:rPr>
          <w:rFonts w:ascii="Arial" w:eastAsiaTheme="minorEastAsia" w:hAnsi="Arial" w:cs="Arial"/>
          <w:noProof/>
          <w:sz w:val="20"/>
          <w:szCs w:val="20"/>
        </w:rPr>
      </w:pPr>
      <w:hyperlink w:anchor="_Toc153137679" w:history="1">
        <w:r w:rsidR="00BE3F4E" w:rsidRPr="00BE3F4E">
          <w:rPr>
            <w:rStyle w:val="Hyperlink"/>
            <w:rFonts w:ascii="Arial" w:eastAsia="Times New Roman" w:hAnsi="Arial" w:cs="Arial"/>
            <w:iCs/>
            <w:noProof/>
            <w:sz w:val="20"/>
            <w:szCs w:val="20"/>
          </w:rPr>
          <w:t>CS 31HB.25 Factors of safety</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_Toc153137679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234</w:t>
        </w:r>
        <w:r w:rsidR="00BE3F4E" w:rsidRPr="00BE3F4E">
          <w:rPr>
            <w:rFonts w:ascii="Arial" w:hAnsi="Arial" w:cs="Arial"/>
            <w:noProof/>
            <w:webHidden/>
            <w:sz w:val="20"/>
            <w:szCs w:val="20"/>
          </w:rPr>
          <w:fldChar w:fldCharType="end"/>
        </w:r>
      </w:hyperlink>
    </w:p>
    <w:p w14:paraId="67D798C4" w14:textId="79DF41EB" w:rsidR="00BE3F4E" w:rsidRPr="00BE3F4E" w:rsidRDefault="00000000">
      <w:pPr>
        <w:pStyle w:val="TOC5"/>
        <w:tabs>
          <w:tab w:val="right" w:leader="underscore" w:pos="9016"/>
        </w:tabs>
        <w:rPr>
          <w:rFonts w:ascii="Arial" w:eastAsiaTheme="minorEastAsia" w:hAnsi="Arial" w:cs="Arial"/>
          <w:noProof/>
          <w:sz w:val="20"/>
          <w:szCs w:val="20"/>
        </w:rPr>
      </w:pPr>
      <w:hyperlink w:anchor="_Toc153137680" w:history="1">
        <w:r w:rsidR="00BE3F4E" w:rsidRPr="00BE3F4E">
          <w:rPr>
            <w:rStyle w:val="Hyperlink"/>
            <w:rFonts w:ascii="Arial" w:eastAsia="Times New Roman" w:hAnsi="Arial" w:cs="Arial"/>
            <w:noProof/>
            <w:sz w:val="20"/>
            <w:szCs w:val="20"/>
          </w:rPr>
          <w:t>AMC 31HB.25 Factors of safety</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_Toc153137680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234</w:t>
        </w:r>
        <w:r w:rsidR="00BE3F4E" w:rsidRPr="00BE3F4E">
          <w:rPr>
            <w:rFonts w:ascii="Arial" w:hAnsi="Arial" w:cs="Arial"/>
            <w:noProof/>
            <w:webHidden/>
            <w:sz w:val="20"/>
            <w:szCs w:val="20"/>
          </w:rPr>
          <w:fldChar w:fldCharType="end"/>
        </w:r>
      </w:hyperlink>
    </w:p>
    <w:p w14:paraId="550C93A8" w14:textId="24577153" w:rsidR="00BE3F4E" w:rsidRPr="00BE3F4E" w:rsidRDefault="00000000">
      <w:pPr>
        <w:pStyle w:val="TOC4"/>
        <w:tabs>
          <w:tab w:val="right" w:leader="underscore" w:pos="9016"/>
        </w:tabs>
        <w:rPr>
          <w:rFonts w:ascii="Arial" w:eastAsiaTheme="minorEastAsia" w:hAnsi="Arial" w:cs="Arial"/>
          <w:noProof/>
          <w:sz w:val="20"/>
          <w:szCs w:val="20"/>
        </w:rPr>
      </w:pPr>
      <w:hyperlink w:anchor="_Toc153137681" w:history="1">
        <w:r w:rsidR="00BE3F4E" w:rsidRPr="00BE3F4E">
          <w:rPr>
            <w:rStyle w:val="Hyperlink"/>
            <w:rFonts w:ascii="Arial" w:eastAsia="Times New Roman" w:hAnsi="Arial" w:cs="Arial"/>
            <w:iCs/>
            <w:noProof/>
            <w:sz w:val="20"/>
            <w:szCs w:val="20"/>
          </w:rPr>
          <w:t>CS 31HB.27 Strength and proof of strength</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_Toc153137681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235</w:t>
        </w:r>
        <w:r w:rsidR="00BE3F4E" w:rsidRPr="00BE3F4E">
          <w:rPr>
            <w:rFonts w:ascii="Arial" w:hAnsi="Arial" w:cs="Arial"/>
            <w:noProof/>
            <w:webHidden/>
            <w:sz w:val="20"/>
            <w:szCs w:val="20"/>
          </w:rPr>
          <w:fldChar w:fldCharType="end"/>
        </w:r>
      </w:hyperlink>
    </w:p>
    <w:p w14:paraId="5E8988EB" w14:textId="19E2C4BC" w:rsidR="00BE3F4E" w:rsidRPr="00BE3F4E" w:rsidRDefault="00000000">
      <w:pPr>
        <w:pStyle w:val="TOC5"/>
        <w:tabs>
          <w:tab w:val="right" w:leader="underscore" w:pos="9016"/>
        </w:tabs>
        <w:rPr>
          <w:rFonts w:ascii="Arial" w:eastAsiaTheme="minorEastAsia" w:hAnsi="Arial" w:cs="Arial"/>
          <w:noProof/>
          <w:sz w:val="20"/>
          <w:szCs w:val="20"/>
        </w:rPr>
      </w:pPr>
      <w:hyperlink w:anchor="_Toc153137682" w:history="1">
        <w:r w:rsidR="00BE3F4E" w:rsidRPr="00BE3F4E">
          <w:rPr>
            <w:rStyle w:val="Hyperlink"/>
            <w:rFonts w:ascii="Arial" w:eastAsia="Times New Roman" w:hAnsi="Arial" w:cs="Arial"/>
            <w:noProof/>
            <w:sz w:val="20"/>
            <w:szCs w:val="20"/>
          </w:rPr>
          <w:t>AMC 31HB.27 Strength and proof of strength</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_Toc153137682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235</w:t>
        </w:r>
        <w:r w:rsidR="00BE3F4E" w:rsidRPr="00BE3F4E">
          <w:rPr>
            <w:rFonts w:ascii="Arial" w:hAnsi="Arial" w:cs="Arial"/>
            <w:noProof/>
            <w:webHidden/>
            <w:sz w:val="20"/>
            <w:szCs w:val="20"/>
          </w:rPr>
          <w:fldChar w:fldCharType="end"/>
        </w:r>
      </w:hyperlink>
    </w:p>
    <w:p w14:paraId="5D5686FF" w14:textId="03A6C710" w:rsidR="00BE3F4E" w:rsidRPr="00BE3F4E" w:rsidRDefault="00000000">
      <w:pPr>
        <w:pStyle w:val="TOC5"/>
        <w:tabs>
          <w:tab w:val="right" w:leader="underscore" w:pos="9016"/>
        </w:tabs>
        <w:rPr>
          <w:rFonts w:ascii="Arial" w:eastAsiaTheme="minorEastAsia" w:hAnsi="Arial" w:cs="Arial"/>
          <w:noProof/>
          <w:sz w:val="20"/>
          <w:szCs w:val="20"/>
        </w:rPr>
      </w:pPr>
      <w:hyperlink w:anchor="_Toc153137683" w:history="1">
        <w:r w:rsidR="00BE3F4E" w:rsidRPr="00BE3F4E">
          <w:rPr>
            <w:rStyle w:val="Hyperlink"/>
            <w:rFonts w:ascii="Arial" w:eastAsia="Times New Roman" w:hAnsi="Arial" w:cs="Arial"/>
            <w:noProof/>
            <w:sz w:val="20"/>
            <w:szCs w:val="20"/>
          </w:rPr>
          <w:t>AMC 31HB.27(c) Strength and proof of strength</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_Toc153137683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235</w:t>
        </w:r>
        <w:r w:rsidR="00BE3F4E" w:rsidRPr="00BE3F4E">
          <w:rPr>
            <w:rFonts w:ascii="Arial" w:hAnsi="Arial" w:cs="Arial"/>
            <w:noProof/>
            <w:webHidden/>
            <w:sz w:val="20"/>
            <w:szCs w:val="20"/>
          </w:rPr>
          <w:fldChar w:fldCharType="end"/>
        </w:r>
      </w:hyperlink>
    </w:p>
    <w:p w14:paraId="5B85C67E" w14:textId="25525A9E" w:rsidR="00BE3F4E" w:rsidRPr="00BE3F4E" w:rsidRDefault="00000000">
      <w:pPr>
        <w:pStyle w:val="TOC5"/>
        <w:tabs>
          <w:tab w:val="right" w:leader="underscore" w:pos="9016"/>
        </w:tabs>
        <w:rPr>
          <w:rFonts w:ascii="Arial" w:eastAsiaTheme="minorEastAsia" w:hAnsi="Arial" w:cs="Arial"/>
          <w:noProof/>
          <w:sz w:val="20"/>
          <w:szCs w:val="20"/>
        </w:rPr>
      </w:pPr>
      <w:hyperlink w:anchor="_Toc153137684" w:history="1">
        <w:r w:rsidR="00BE3F4E" w:rsidRPr="00BE3F4E">
          <w:rPr>
            <w:rStyle w:val="Hyperlink"/>
            <w:rFonts w:ascii="Arial" w:eastAsia="Times New Roman" w:hAnsi="Arial" w:cs="Arial"/>
            <w:noProof/>
            <w:sz w:val="20"/>
            <w:szCs w:val="20"/>
          </w:rPr>
          <w:t>AMC 31HB.27(d) Strength and proof of strength</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_Toc153137684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235</w:t>
        </w:r>
        <w:r w:rsidR="00BE3F4E" w:rsidRPr="00BE3F4E">
          <w:rPr>
            <w:rFonts w:ascii="Arial" w:hAnsi="Arial" w:cs="Arial"/>
            <w:noProof/>
            <w:webHidden/>
            <w:sz w:val="20"/>
            <w:szCs w:val="20"/>
          </w:rPr>
          <w:fldChar w:fldCharType="end"/>
        </w:r>
      </w:hyperlink>
    </w:p>
    <w:p w14:paraId="361CB228" w14:textId="1FEAB417" w:rsidR="00BE3F4E" w:rsidRPr="00BE3F4E" w:rsidRDefault="00000000">
      <w:pPr>
        <w:pStyle w:val="TOC5"/>
        <w:tabs>
          <w:tab w:val="right" w:leader="underscore" w:pos="9016"/>
        </w:tabs>
        <w:rPr>
          <w:rFonts w:ascii="Arial" w:eastAsiaTheme="minorEastAsia" w:hAnsi="Arial" w:cs="Arial"/>
          <w:noProof/>
          <w:sz w:val="20"/>
          <w:szCs w:val="20"/>
        </w:rPr>
      </w:pPr>
      <w:hyperlink w:anchor="_Toc153137685" w:history="1">
        <w:r w:rsidR="00BE3F4E" w:rsidRPr="00BE3F4E">
          <w:rPr>
            <w:rStyle w:val="Hyperlink"/>
            <w:rFonts w:ascii="Arial" w:eastAsia="Times New Roman" w:hAnsi="Arial" w:cs="Arial"/>
            <w:noProof/>
            <w:sz w:val="20"/>
            <w:szCs w:val="20"/>
          </w:rPr>
          <w:t>AMC 31HB.27(e) Strength and proof of strength</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_Toc153137685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235</w:t>
        </w:r>
        <w:r w:rsidR="00BE3F4E" w:rsidRPr="00BE3F4E">
          <w:rPr>
            <w:rFonts w:ascii="Arial" w:hAnsi="Arial" w:cs="Arial"/>
            <w:noProof/>
            <w:webHidden/>
            <w:sz w:val="20"/>
            <w:szCs w:val="20"/>
          </w:rPr>
          <w:fldChar w:fldCharType="end"/>
        </w:r>
      </w:hyperlink>
    </w:p>
    <w:p w14:paraId="05EB6EF8" w14:textId="792C111B" w:rsidR="00BE3F4E" w:rsidRPr="00BE3F4E" w:rsidRDefault="00000000">
      <w:pPr>
        <w:pStyle w:val="TOC5"/>
        <w:tabs>
          <w:tab w:val="right" w:leader="underscore" w:pos="9016"/>
        </w:tabs>
        <w:rPr>
          <w:rFonts w:ascii="Arial" w:eastAsiaTheme="minorEastAsia" w:hAnsi="Arial" w:cs="Arial"/>
          <w:noProof/>
          <w:sz w:val="20"/>
          <w:szCs w:val="20"/>
        </w:rPr>
      </w:pPr>
      <w:hyperlink w:anchor="_Toc153137686" w:history="1">
        <w:r w:rsidR="00BE3F4E" w:rsidRPr="00BE3F4E">
          <w:rPr>
            <w:rStyle w:val="Hyperlink"/>
            <w:rFonts w:ascii="Arial" w:eastAsia="Times New Roman" w:hAnsi="Arial" w:cs="Arial"/>
            <w:noProof/>
            <w:sz w:val="20"/>
            <w:szCs w:val="20"/>
          </w:rPr>
          <w:t>AMC 31HB.27(g) Strength and proof of strength</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_Toc153137686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236</w:t>
        </w:r>
        <w:r w:rsidR="00BE3F4E" w:rsidRPr="00BE3F4E">
          <w:rPr>
            <w:rFonts w:ascii="Arial" w:hAnsi="Arial" w:cs="Arial"/>
            <w:noProof/>
            <w:webHidden/>
            <w:sz w:val="20"/>
            <w:szCs w:val="20"/>
          </w:rPr>
          <w:fldChar w:fldCharType="end"/>
        </w:r>
      </w:hyperlink>
    </w:p>
    <w:p w14:paraId="340CC9AE" w14:textId="52B15F52" w:rsidR="00BE3F4E" w:rsidRPr="00BE3F4E" w:rsidRDefault="00000000">
      <w:pPr>
        <w:pStyle w:val="TOC4"/>
        <w:tabs>
          <w:tab w:val="right" w:leader="underscore" w:pos="9016"/>
        </w:tabs>
        <w:rPr>
          <w:rFonts w:ascii="Arial" w:eastAsiaTheme="minorEastAsia" w:hAnsi="Arial" w:cs="Arial"/>
          <w:noProof/>
          <w:sz w:val="20"/>
          <w:szCs w:val="20"/>
        </w:rPr>
      </w:pPr>
      <w:hyperlink w:anchor="_Toc153137687" w:history="1">
        <w:r w:rsidR="00BE3F4E" w:rsidRPr="00BE3F4E">
          <w:rPr>
            <w:rStyle w:val="Hyperlink"/>
            <w:rFonts w:ascii="Arial" w:eastAsia="Times New Roman" w:hAnsi="Arial" w:cs="Arial"/>
            <w:iCs/>
            <w:noProof/>
            <w:sz w:val="20"/>
            <w:szCs w:val="20"/>
          </w:rPr>
          <w:t>CS 31HB.28 Tethered flight loads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_Toc153137687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236</w:t>
        </w:r>
        <w:r w:rsidR="00BE3F4E" w:rsidRPr="00BE3F4E">
          <w:rPr>
            <w:rFonts w:ascii="Arial" w:hAnsi="Arial" w:cs="Arial"/>
            <w:noProof/>
            <w:webHidden/>
            <w:sz w:val="20"/>
            <w:szCs w:val="20"/>
          </w:rPr>
          <w:fldChar w:fldCharType="end"/>
        </w:r>
      </w:hyperlink>
    </w:p>
    <w:p w14:paraId="69A1EAC8" w14:textId="735D37F0" w:rsidR="00BE3F4E" w:rsidRPr="00BE3F4E" w:rsidRDefault="00000000">
      <w:pPr>
        <w:pStyle w:val="TOC5"/>
        <w:tabs>
          <w:tab w:val="right" w:leader="underscore" w:pos="9016"/>
        </w:tabs>
        <w:rPr>
          <w:rFonts w:ascii="Arial" w:eastAsiaTheme="minorEastAsia" w:hAnsi="Arial" w:cs="Arial"/>
          <w:noProof/>
          <w:sz w:val="20"/>
          <w:szCs w:val="20"/>
        </w:rPr>
      </w:pPr>
      <w:hyperlink w:anchor="_Toc153137688" w:history="1">
        <w:r w:rsidR="00BE3F4E" w:rsidRPr="00BE3F4E">
          <w:rPr>
            <w:rStyle w:val="Hyperlink"/>
            <w:rFonts w:ascii="Arial" w:eastAsia="Times New Roman" w:hAnsi="Arial" w:cs="Arial"/>
            <w:noProof/>
            <w:sz w:val="20"/>
            <w:szCs w:val="20"/>
          </w:rPr>
          <w:t>AMC 31HB.28(a) Tethered flight loads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_Toc153137688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236</w:t>
        </w:r>
        <w:r w:rsidR="00BE3F4E" w:rsidRPr="00BE3F4E">
          <w:rPr>
            <w:rFonts w:ascii="Arial" w:hAnsi="Arial" w:cs="Arial"/>
            <w:noProof/>
            <w:webHidden/>
            <w:sz w:val="20"/>
            <w:szCs w:val="20"/>
          </w:rPr>
          <w:fldChar w:fldCharType="end"/>
        </w:r>
      </w:hyperlink>
    </w:p>
    <w:p w14:paraId="03B8DAF1" w14:textId="2CF393C1" w:rsidR="00BE3F4E" w:rsidRPr="00BE3F4E" w:rsidRDefault="00000000">
      <w:pPr>
        <w:pStyle w:val="TOC5"/>
        <w:tabs>
          <w:tab w:val="right" w:leader="underscore" w:pos="9016"/>
        </w:tabs>
        <w:rPr>
          <w:rFonts w:ascii="Arial" w:eastAsiaTheme="minorEastAsia" w:hAnsi="Arial" w:cs="Arial"/>
          <w:noProof/>
          <w:sz w:val="20"/>
          <w:szCs w:val="20"/>
        </w:rPr>
      </w:pPr>
      <w:hyperlink w:anchor="_Toc153137689" w:history="1">
        <w:r w:rsidR="00BE3F4E" w:rsidRPr="00BE3F4E">
          <w:rPr>
            <w:rStyle w:val="Hyperlink"/>
            <w:rFonts w:ascii="Arial" w:eastAsia="Times New Roman" w:hAnsi="Arial" w:cs="Arial"/>
            <w:noProof/>
            <w:sz w:val="20"/>
            <w:szCs w:val="20"/>
          </w:rPr>
          <w:t>AMC 31HB.28(c) Tethered flight loads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_Toc153137689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236</w:t>
        </w:r>
        <w:r w:rsidR="00BE3F4E" w:rsidRPr="00BE3F4E">
          <w:rPr>
            <w:rFonts w:ascii="Arial" w:hAnsi="Arial" w:cs="Arial"/>
            <w:noProof/>
            <w:webHidden/>
            <w:sz w:val="20"/>
            <w:szCs w:val="20"/>
          </w:rPr>
          <w:fldChar w:fldCharType="end"/>
        </w:r>
      </w:hyperlink>
    </w:p>
    <w:p w14:paraId="65B412AF" w14:textId="738A760D" w:rsidR="00BE3F4E" w:rsidRPr="00BE3F4E" w:rsidRDefault="00000000">
      <w:pPr>
        <w:pStyle w:val="TOC4"/>
        <w:tabs>
          <w:tab w:val="right" w:leader="underscore" w:pos="9016"/>
        </w:tabs>
        <w:rPr>
          <w:rFonts w:ascii="Arial" w:eastAsiaTheme="minorEastAsia" w:hAnsi="Arial" w:cs="Arial"/>
          <w:noProof/>
          <w:sz w:val="20"/>
          <w:szCs w:val="20"/>
        </w:rPr>
      </w:pPr>
      <w:hyperlink w:anchor="_Toc153137690" w:history="1">
        <w:r w:rsidR="00BE3F4E" w:rsidRPr="00BE3F4E">
          <w:rPr>
            <w:rStyle w:val="Hyperlink"/>
            <w:rFonts w:ascii="Arial" w:eastAsia="Times New Roman" w:hAnsi="Arial" w:cs="Arial"/>
            <w:iCs/>
            <w:noProof/>
            <w:sz w:val="20"/>
            <w:szCs w:val="20"/>
          </w:rPr>
          <w:t>CS 31HB.30 Restraint harness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_Toc153137690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236</w:t>
        </w:r>
        <w:r w:rsidR="00BE3F4E" w:rsidRPr="00BE3F4E">
          <w:rPr>
            <w:rFonts w:ascii="Arial" w:hAnsi="Arial" w:cs="Arial"/>
            <w:noProof/>
            <w:webHidden/>
            <w:sz w:val="20"/>
            <w:szCs w:val="20"/>
          </w:rPr>
          <w:fldChar w:fldCharType="end"/>
        </w:r>
      </w:hyperlink>
    </w:p>
    <w:p w14:paraId="483DBA2F" w14:textId="1E45B520" w:rsidR="00BE3F4E" w:rsidRPr="00BE3F4E" w:rsidRDefault="00000000">
      <w:pPr>
        <w:pStyle w:val="TOC3"/>
        <w:tabs>
          <w:tab w:val="right" w:leader="underscore" w:pos="9016"/>
        </w:tabs>
        <w:rPr>
          <w:rFonts w:ascii="Arial" w:eastAsiaTheme="minorEastAsia" w:hAnsi="Arial" w:cs="Arial"/>
          <w:b w:val="0"/>
          <w:bCs w:val="0"/>
          <w:noProof/>
          <w:sz w:val="20"/>
          <w:szCs w:val="20"/>
        </w:rPr>
      </w:pPr>
      <w:hyperlink w:anchor="_Toc153137691" w:history="1">
        <w:r w:rsidR="00BE3F4E" w:rsidRPr="00BE3F4E">
          <w:rPr>
            <w:rStyle w:val="Hyperlink"/>
            <w:rFonts w:ascii="Arial" w:eastAsiaTheme="majorEastAsia" w:hAnsi="Arial" w:cs="Arial"/>
            <w:b w:val="0"/>
            <w:bCs w:val="0"/>
            <w:noProof/>
            <w:sz w:val="20"/>
            <w:szCs w:val="20"/>
          </w:rPr>
          <w:t>SUBPART D – DESIGN AND CONSTRUCTION</w:t>
        </w:r>
        <w:r w:rsidR="00BE3F4E" w:rsidRPr="00BE3F4E">
          <w:rPr>
            <w:rFonts w:ascii="Arial" w:hAnsi="Arial" w:cs="Arial"/>
            <w:b w:val="0"/>
            <w:bCs w:val="0"/>
            <w:noProof/>
            <w:webHidden/>
            <w:sz w:val="20"/>
            <w:szCs w:val="20"/>
          </w:rPr>
          <w:tab/>
        </w:r>
        <w:r w:rsidR="00BE3F4E" w:rsidRPr="00BE3F4E">
          <w:rPr>
            <w:rFonts w:ascii="Arial" w:hAnsi="Arial" w:cs="Arial"/>
            <w:b w:val="0"/>
            <w:bCs w:val="0"/>
            <w:noProof/>
            <w:webHidden/>
            <w:sz w:val="20"/>
            <w:szCs w:val="20"/>
          </w:rPr>
          <w:fldChar w:fldCharType="begin"/>
        </w:r>
        <w:r w:rsidR="00BE3F4E" w:rsidRPr="00BE3F4E">
          <w:rPr>
            <w:rFonts w:ascii="Arial" w:hAnsi="Arial" w:cs="Arial"/>
            <w:b w:val="0"/>
            <w:bCs w:val="0"/>
            <w:noProof/>
            <w:webHidden/>
            <w:sz w:val="20"/>
            <w:szCs w:val="20"/>
          </w:rPr>
          <w:instrText xml:space="preserve"> PAGEREF _Toc153137691 \h </w:instrText>
        </w:r>
        <w:r w:rsidR="00BE3F4E" w:rsidRPr="00BE3F4E">
          <w:rPr>
            <w:rFonts w:ascii="Arial" w:hAnsi="Arial" w:cs="Arial"/>
            <w:b w:val="0"/>
            <w:bCs w:val="0"/>
            <w:noProof/>
            <w:webHidden/>
            <w:sz w:val="20"/>
            <w:szCs w:val="20"/>
          </w:rPr>
        </w:r>
        <w:r w:rsidR="00BE3F4E" w:rsidRPr="00BE3F4E">
          <w:rPr>
            <w:rFonts w:ascii="Arial" w:hAnsi="Arial" w:cs="Arial"/>
            <w:b w:val="0"/>
            <w:bCs w:val="0"/>
            <w:noProof/>
            <w:webHidden/>
            <w:sz w:val="20"/>
            <w:szCs w:val="20"/>
          </w:rPr>
          <w:fldChar w:fldCharType="separate"/>
        </w:r>
        <w:r w:rsidR="006A7538">
          <w:rPr>
            <w:rFonts w:ascii="Arial" w:hAnsi="Arial" w:cs="Arial"/>
            <w:b w:val="0"/>
            <w:bCs w:val="0"/>
            <w:noProof/>
            <w:webHidden/>
            <w:sz w:val="20"/>
            <w:szCs w:val="20"/>
          </w:rPr>
          <w:t>238</w:t>
        </w:r>
        <w:r w:rsidR="00BE3F4E" w:rsidRPr="00BE3F4E">
          <w:rPr>
            <w:rFonts w:ascii="Arial" w:hAnsi="Arial" w:cs="Arial"/>
            <w:b w:val="0"/>
            <w:bCs w:val="0"/>
            <w:noProof/>
            <w:webHidden/>
            <w:sz w:val="20"/>
            <w:szCs w:val="20"/>
          </w:rPr>
          <w:fldChar w:fldCharType="end"/>
        </w:r>
      </w:hyperlink>
    </w:p>
    <w:p w14:paraId="031C8B86" w14:textId="52DAF200" w:rsidR="00BE3F4E" w:rsidRPr="00BE3F4E" w:rsidRDefault="00000000">
      <w:pPr>
        <w:pStyle w:val="TOC4"/>
        <w:tabs>
          <w:tab w:val="right" w:leader="underscore" w:pos="9016"/>
        </w:tabs>
        <w:rPr>
          <w:rFonts w:ascii="Arial" w:eastAsiaTheme="minorEastAsia" w:hAnsi="Arial" w:cs="Arial"/>
          <w:noProof/>
          <w:sz w:val="20"/>
          <w:szCs w:val="20"/>
        </w:rPr>
      </w:pPr>
      <w:hyperlink w:anchor="_Toc153137692" w:history="1">
        <w:r w:rsidR="00BE3F4E" w:rsidRPr="00BE3F4E">
          <w:rPr>
            <w:rStyle w:val="Hyperlink"/>
            <w:rFonts w:ascii="Arial" w:eastAsia="Times New Roman" w:hAnsi="Arial" w:cs="Arial"/>
            <w:iCs/>
            <w:noProof/>
            <w:sz w:val="20"/>
            <w:szCs w:val="20"/>
          </w:rPr>
          <w:t>CS 31HB.31 General</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_Toc153137692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238</w:t>
        </w:r>
        <w:r w:rsidR="00BE3F4E" w:rsidRPr="00BE3F4E">
          <w:rPr>
            <w:rFonts w:ascii="Arial" w:hAnsi="Arial" w:cs="Arial"/>
            <w:noProof/>
            <w:webHidden/>
            <w:sz w:val="20"/>
            <w:szCs w:val="20"/>
          </w:rPr>
          <w:fldChar w:fldCharType="end"/>
        </w:r>
      </w:hyperlink>
    </w:p>
    <w:p w14:paraId="79213D1D" w14:textId="188B962D" w:rsidR="00BE3F4E" w:rsidRPr="00BE3F4E" w:rsidRDefault="00000000">
      <w:pPr>
        <w:pStyle w:val="TOC4"/>
        <w:tabs>
          <w:tab w:val="right" w:leader="underscore" w:pos="9016"/>
        </w:tabs>
        <w:rPr>
          <w:rFonts w:ascii="Arial" w:eastAsiaTheme="minorEastAsia" w:hAnsi="Arial" w:cs="Arial"/>
          <w:noProof/>
          <w:sz w:val="20"/>
          <w:szCs w:val="20"/>
        </w:rPr>
      </w:pPr>
      <w:hyperlink w:anchor="_Toc153137693" w:history="1">
        <w:r w:rsidR="00BE3F4E" w:rsidRPr="00BE3F4E">
          <w:rPr>
            <w:rStyle w:val="Hyperlink"/>
            <w:rFonts w:ascii="Arial" w:eastAsia="Times New Roman" w:hAnsi="Arial" w:cs="Arial"/>
            <w:iCs/>
            <w:noProof/>
            <w:sz w:val="20"/>
            <w:szCs w:val="20"/>
          </w:rPr>
          <w:t>CS 31HB.33 Materials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_Toc153137693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238</w:t>
        </w:r>
        <w:r w:rsidR="00BE3F4E" w:rsidRPr="00BE3F4E">
          <w:rPr>
            <w:rFonts w:ascii="Arial" w:hAnsi="Arial" w:cs="Arial"/>
            <w:noProof/>
            <w:webHidden/>
            <w:sz w:val="20"/>
            <w:szCs w:val="20"/>
          </w:rPr>
          <w:fldChar w:fldCharType="end"/>
        </w:r>
      </w:hyperlink>
    </w:p>
    <w:p w14:paraId="0B326C8A" w14:textId="1261B76E" w:rsidR="00BE3F4E" w:rsidRPr="00BE3F4E" w:rsidRDefault="00000000">
      <w:pPr>
        <w:pStyle w:val="TOC5"/>
        <w:tabs>
          <w:tab w:val="right" w:leader="underscore" w:pos="9016"/>
        </w:tabs>
        <w:rPr>
          <w:rFonts w:ascii="Arial" w:eastAsiaTheme="minorEastAsia" w:hAnsi="Arial" w:cs="Arial"/>
          <w:noProof/>
          <w:sz w:val="20"/>
          <w:szCs w:val="20"/>
        </w:rPr>
      </w:pPr>
      <w:hyperlink w:anchor="_Toc153137694" w:history="1">
        <w:r w:rsidR="00BE3F4E" w:rsidRPr="00BE3F4E">
          <w:rPr>
            <w:rStyle w:val="Hyperlink"/>
            <w:rFonts w:ascii="Arial" w:eastAsia="Times New Roman" w:hAnsi="Arial" w:cs="Arial"/>
            <w:noProof/>
            <w:sz w:val="20"/>
            <w:szCs w:val="20"/>
          </w:rPr>
          <w:t>AMC 31HB.33(a)(2) Materials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_Toc153137694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238</w:t>
        </w:r>
        <w:r w:rsidR="00BE3F4E" w:rsidRPr="00BE3F4E">
          <w:rPr>
            <w:rFonts w:ascii="Arial" w:hAnsi="Arial" w:cs="Arial"/>
            <w:noProof/>
            <w:webHidden/>
            <w:sz w:val="20"/>
            <w:szCs w:val="20"/>
          </w:rPr>
          <w:fldChar w:fldCharType="end"/>
        </w:r>
      </w:hyperlink>
    </w:p>
    <w:p w14:paraId="287A9D03" w14:textId="66209560" w:rsidR="00BE3F4E" w:rsidRPr="00BE3F4E" w:rsidRDefault="00000000">
      <w:pPr>
        <w:pStyle w:val="TOC4"/>
        <w:tabs>
          <w:tab w:val="right" w:leader="underscore" w:pos="9016"/>
        </w:tabs>
        <w:rPr>
          <w:rFonts w:ascii="Arial" w:eastAsiaTheme="minorEastAsia" w:hAnsi="Arial" w:cs="Arial"/>
          <w:noProof/>
          <w:sz w:val="20"/>
          <w:szCs w:val="20"/>
        </w:rPr>
      </w:pPr>
      <w:hyperlink w:anchor="_Toc153137695" w:history="1">
        <w:r w:rsidR="00BE3F4E" w:rsidRPr="00BE3F4E">
          <w:rPr>
            <w:rStyle w:val="Hyperlink"/>
            <w:rFonts w:ascii="Arial" w:eastAsia="Times New Roman" w:hAnsi="Arial" w:cs="Arial"/>
            <w:iCs/>
            <w:noProof/>
            <w:sz w:val="20"/>
            <w:szCs w:val="20"/>
          </w:rPr>
          <w:t>CS 31HB.35 Fabrication methods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_Toc153137695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238</w:t>
        </w:r>
        <w:r w:rsidR="00BE3F4E" w:rsidRPr="00BE3F4E">
          <w:rPr>
            <w:rFonts w:ascii="Arial" w:hAnsi="Arial" w:cs="Arial"/>
            <w:noProof/>
            <w:webHidden/>
            <w:sz w:val="20"/>
            <w:szCs w:val="20"/>
          </w:rPr>
          <w:fldChar w:fldCharType="end"/>
        </w:r>
      </w:hyperlink>
    </w:p>
    <w:p w14:paraId="02E63C62" w14:textId="689EFABC" w:rsidR="00BE3F4E" w:rsidRPr="00BE3F4E" w:rsidRDefault="00000000">
      <w:pPr>
        <w:pStyle w:val="TOC5"/>
        <w:tabs>
          <w:tab w:val="right" w:leader="underscore" w:pos="9016"/>
        </w:tabs>
        <w:rPr>
          <w:rFonts w:ascii="Arial" w:eastAsiaTheme="minorEastAsia" w:hAnsi="Arial" w:cs="Arial"/>
          <w:noProof/>
          <w:sz w:val="20"/>
          <w:szCs w:val="20"/>
        </w:rPr>
      </w:pPr>
      <w:hyperlink w:anchor="_Toc153137696" w:history="1">
        <w:r w:rsidR="00BE3F4E" w:rsidRPr="00BE3F4E">
          <w:rPr>
            <w:rStyle w:val="Hyperlink"/>
            <w:rFonts w:ascii="Arial" w:eastAsia="Times New Roman" w:hAnsi="Arial" w:cs="Arial"/>
            <w:noProof/>
            <w:sz w:val="20"/>
            <w:szCs w:val="20"/>
          </w:rPr>
          <w:t>AMC 31HB.35 Fabrication methods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_Toc153137696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238</w:t>
        </w:r>
        <w:r w:rsidR="00BE3F4E" w:rsidRPr="00BE3F4E">
          <w:rPr>
            <w:rFonts w:ascii="Arial" w:hAnsi="Arial" w:cs="Arial"/>
            <w:noProof/>
            <w:webHidden/>
            <w:sz w:val="20"/>
            <w:szCs w:val="20"/>
          </w:rPr>
          <w:fldChar w:fldCharType="end"/>
        </w:r>
      </w:hyperlink>
    </w:p>
    <w:p w14:paraId="55A7293B" w14:textId="1D241BA4" w:rsidR="00BE3F4E" w:rsidRPr="00BE3F4E" w:rsidRDefault="00000000">
      <w:pPr>
        <w:pStyle w:val="TOC4"/>
        <w:tabs>
          <w:tab w:val="right" w:leader="underscore" w:pos="9016"/>
        </w:tabs>
        <w:rPr>
          <w:rFonts w:ascii="Arial" w:eastAsiaTheme="minorEastAsia" w:hAnsi="Arial" w:cs="Arial"/>
          <w:noProof/>
          <w:sz w:val="20"/>
          <w:szCs w:val="20"/>
        </w:rPr>
      </w:pPr>
      <w:hyperlink w:anchor="_Toc153137697" w:history="1">
        <w:r w:rsidR="00BE3F4E" w:rsidRPr="00BE3F4E">
          <w:rPr>
            <w:rStyle w:val="Hyperlink"/>
            <w:rFonts w:ascii="Arial" w:eastAsia="Times New Roman" w:hAnsi="Arial" w:cs="Arial"/>
            <w:iCs/>
            <w:noProof/>
            <w:sz w:val="20"/>
            <w:szCs w:val="20"/>
          </w:rPr>
          <w:t>CS 31HB.37 Fasteners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_Toc153137697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238</w:t>
        </w:r>
        <w:r w:rsidR="00BE3F4E" w:rsidRPr="00BE3F4E">
          <w:rPr>
            <w:rFonts w:ascii="Arial" w:hAnsi="Arial" w:cs="Arial"/>
            <w:noProof/>
            <w:webHidden/>
            <w:sz w:val="20"/>
            <w:szCs w:val="20"/>
          </w:rPr>
          <w:fldChar w:fldCharType="end"/>
        </w:r>
      </w:hyperlink>
    </w:p>
    <w:p w14:paraId="08E5AE08" w14:textId="33233271" w:rsidR="00BE3F4E" w:rsidRPr="00BE3F4E" w:rsidRDefault="00000000">
      <w:pPr>
        <w:pStyle w:val="TOC5"/>
        <w:tabs>
          <w:tab w:val="right" w:leader="underscore" w:pos="9016"/>
        </w:tabs>
        <w:rPr>
          <w:rFonts w:ascii="Arial" w:eastAsiaTheme="minorEastAsia" w:hAnsi="Arial" w:cs="Arial"/>
          <w:noProof/>
          <w:sz w:val="20"/>
          <w:szCs w:val="20"/>
        </w:rPr>
      </w:pPr>
      <w:hyperlink w:anchor="_Toc153137698" w:history="1">
        <w:r w:rsidR="00BE3F4E" w:rsidRPr="00BE3F4E">
          <w:rPr>
            <w:rStyle w:val="Hyperlink"/>
            <w:rFonts w:ascii="Arial" w:eastAsia="Times New Roman" w:hAnsi="Arial" w:cs="Arial"/>
            <w:noProof/>
            <w:sz w:val="20"/>
            <w:szCs w:val="20"/>
          </w:rPr>
          <w:t>AMC 31HB.37 Fasteners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_Toc153137698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238</w:t>
        </w:r>
        <w:r w:rsidR="00BE3F4E" w:rsidRPr="00BE3F4E">
          <w:rPr>
            <w:rFonts w:ascii="Arial" w:hAnsi="Arial" w:cs="Arial"/>
            <w:noProof/>
            <w:webHidden/>
            <w:sz w:val="20"/>
            <w:szCs w:val="20"/>
          </w:rPr>
          <w:fldChar w:fldCharType="end"/>
        </w:r>
      </w:hyperlink>
    </w:p>
    <w:p w14:paraId="6E521B1B" w14:textId="507F2F09" w:rsidR="00BE3F4E" w:rsidRPr="00BE3F4E" w:rsidRDefault="00000000">
      <w:pPr>
        <w:pStyle w:val="TOC4"/>
        <w:tabs>
          <w:tab w:val="right" w:leader="underscore" w:pos="9016"/>
        </w:tabs>
        <w:rPr>
          <w:rFonts w:ascii="Arial" w:eastAsiaTheme="minorEastAsia" w:hAnsi="Arial" w:cs="Arial"/>
          <w:noProof/>
          <w:sz w:val="20"/>
          <w:szCs w:val="20"/>
        </w:rPr>
      </w:pPr>
      <w:hyperlink w:anchor="_Toc153137699" w:history="1">
        <w:r w:rsidR="00BE3F4E" w:rsidRPr="00BE3F4E">
          <w:rPr>
            <w:rStyle w:val="Hyperlink"/>
            <w:rFonts w:ascii="Arial" w:eastAsia="Times New Roman" w:hAnsi="Arial" w:cs="Arial"/>
            <w:iCs/>
            <w:noProof/>
            <w:sz w:val="20"/>
            <w:szCs w:val="20"/>
          </w:rPr>
          <w:t>CS 31HB.39 Protection of parts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_Toc153137699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239</w:t>
        </w:r>
        <w:r w:rsidR="00BE3F4E" w:rsidRPr="00BE3F4E">
          <w:rPr>
            <w:rFonts w:ascii="Arial" w:hAnsi="Arial" w:cs="Arial"/>
            <w:noProof/>
            <w:webHidden/>
            <w:sz w:val="20"/>
            <w:szCs w:val="20"/>
          </w:rPr>
          <w:fldChar w:fldCharType="end"/>
        </w:r>
      </w:hyperlink>
    </w:p>
    <w:p w14:paraId="5EE6CF78" w14:textId="35CD6CAC" w:rsidR="00BE3F4E" w:rsidRPr="00BE3F4E" w:rsidRDefault="00000000">
      <w:pPr>
        <w:pStyle w:val="TOC5"/>
        <w:tabs>
          <w:tab w:val="right" w:leader="underscore" w:pos="9016"/>
        </w:tabs>
        <w:rPr>
          <w:rFonts w:ascii="Arial" w:eastAsiaTheme="minorEastAsia" w:hAnsi="Arial" w:cs="Arial"/>
          <w:noProof/>
          <w:sz w:val="20"/>
          <w:szCs w:val="20"/>
        </w:rPr>
      </w:pPr>
      <w:hyperlink w:anchor="_Toc153137700" w:history="1">
        <w:r w:rsidR="00BE3F4E" w:rsidRPr="00BE3F4E">
          <w:rPr>
            <w:rStyle w:val="Hyperlink"/>
            <w:rFonts w:ascii="Arial" w:eastAsia="Times New Roman" w:hAnsi="Arial" w:cs="Arial"/>
            <w:noProof/>
            <w:sz w:val="20"/>
            <w:szCs w:val="20"/>
          </w:rPr>
          <w:t>AMC 31HB.39 Protection of parts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_Toc153137700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239</w:t>
        </w:r>
        <w:r w:rsidR="00BE3F4E" w:rsidRPr="00BE3F4E">
          <w:rPr>
            <w:rFonts w:ascii="Arial" w:hAnsi="Arial" w:cs="Arial"/>
            <w:noProof/>
            <w:webHidden/>
            <w:sz w:val="20"/>
            <w:szCs w:val="20"/>
          </w:rPr>
          <w:fldChar w:fldCharType="end"/>
        </w:r>
      </w:hyperlink>
    </w:p>
    <w:p w14:paraId="57B227C0" w14:textId="2D210242" w:rsidR="00BE3F4E" w:rsidRPr="00BE3F4E" w:rsidRDefault="00000000">
      <w:pPr>
        <w:pStyle w:val="TOC4"/>
        <w:tabs>
          <w:tab w:val="right" w:leader="underscore" w:pos="9016"/>
        </w:tabs>
        <w:rPr>
          <w:rFonts w:ascii="Arial" w:eastAsiaTheme="minorEastAsia" w:hAnsi="Arial" w:cs="Arial"/>
          <w:noProof/>
          <w:sz w:val="20"/>
          <w:szCs w:val="20"/>
        </w:rPr>
      </w:pPr>
      <w:hyperlink w:anchor="_Toc153137701" w:history="1">
        <w:r w:rsidR="00BE3F4E" w:rsidRPr="00BE3F4E">
          <w:rPr>
            <w:rStyle w:val="Hyperlink"/>
            <w:rFonts w:ascii="Arial" w:eastAsia="Times New Roman" w:hAnsi="Arial" w:cs="Arial"/>
            <w:iCs/>
            <w:noProof/>
            <w:sz w:val="20"/>
            <w:szCs w:val="20"/>
          </w:rPr>
          <w:t>CS 31HB.41 Inspection provisions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_Toc153137701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239</w:t>
        </w:r>
        <w:r w:rsidR="00BE3F4E" w:rsidRPr="00BE3F4E">
          <w:rPr>
            <w:rFonts w:ascii="Arial" w:hAnsi="Arial" w:cs="Arial"/>
            <w:noProof/>
            <w:webHidden/>
            <w:sz w:val="20"/>
            <w:szCs w:val="20"/>
          </w:rPr>
          <w:fldChar w:fldCharType="end"/>
        </w:r>
      </w:hyperlink>
    </w:p>
    <w:p w14:paraId="68ABE5F0" w14:textId="1DA7E130" w:rsidR="00BE3F4E" w:rsidRPr="00BE3F4E" w:rsidRDefault="00000000">
      <w:pPr>
        <w:pStyle w:val="TOC4"/>
        <w:tabs>
          <w:tab w:val="right" w:leader="underscore" w:pos="9016"/>
        </w:tabs>
        <w:rPr>
          <w:rFonts w:ascii="Arial" w:eastAsiaTheme="minorEastAsia" w:hAnsi="Arial" w:cs="Arial"/>
          <w:noProof/>
          <w:sz w:val="20"/>
          <w:szCs w:val="20"/>
        </w:rPr>
      </w:pPr>
      <w:hyperlink w:anchor="_Toc153137702" w:history="1">
        <w:r w:rsidR="00BE3F4E" w:rsidRPr="00BE3F4E">
          <w:rPr>
            <w:rStyle w:val="Hyperlink"/>
            <w:rFonts w:ascii="Arial" w:eastAsia="Times New Roman" w:hAnsi="Arial" w:cs="Arial"/>
            <w:iCs/>
            <w:noProof/>
            <w:sz w:val="20"/>
            <w:szCs w:val="20"/>
          </w:rPr>
          <w:t>CS 31HB.43 Fitting factor</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_Toc153137702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239</w:t>
        </w:r>
        <w:r w:rsidR="00BE3F4E" w:rsidRPr="00BE3F4E">
          <w:rPr>
            <w:rFonts w:ascii="Arial" w:hAnsi="Arial" w:cs="Arial"/>
            <w:noProof/>
            <w:webHidden/>
            <w:sz w:val="20"/>
            <w:szCs w:val="20"/>
          </w:rPr>
          <w:fldChar w:fldCharType="end"/>
        </w:r>
      </w:hyperlink>
    </w:p>
    <w:p w14:paraId="25A10553" w14:textId="7EF796A0" w:rsidR="00BE3F4E" w:rsidRPr="00BE3F4E" w:rsidRDefault="00000000">
      <w:pPr>
        <w:pStyle w:val="TOC5"/>
        <w:tabs>
          <w:tab w:val="right" w:leader="underscore" w:pos="9016"/>
        </w:tabs>
        <w:rPr>
          <w:rFonts w:ascii="Arial" w:eastAsiaTheme="minorEastAsia" w:hAnsi="Arial" w:cs="Arial"/>
          <w:noProof/>
          <w:sz w:val="20"/>
          <w:szCs w:val="20"/>
        </w:rPr>
      </w:pPr>
      <w:hyperlink w:anchor="_Toc153137703" w:history="1">
        <w:r w:rsidR="00BE3F4E" w:rsidRPr="00BE3F4E">
          <w:rPr>
            <w:rStyle w:val="Hyperlink"/>
            <w:rFonts w:ascii="Arial" w:eastAsia="Times New Roman" w:hAnsi="Arial" w:cs="Arial"/>
            <w:noProof/>
            <w:sz w:val="20"/>
            <w:szCs w:val="20"/>
          </w:rPr>
          <w:t>AMC 31HB.43(c) Fitting factors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_Toc153137703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239</w:t>
        </w:r>
        <w:r w:rsidR="00BE3F4E" w:rsidRPr="00BE3F4E">
          <w:rPr>
            <w:rFonts w:ascii="Arial" w:hAnsi="Arial" w:cs="Arial"/>
            <w:noProof/>
            <w:webHidden/>
            <w:sz w:val="20"/>
            <w:szCs w:val="20"/>
          </w:rPr>
          <w:fldChar w:fldCharType="end"/>
        </w:r>
      </w:hyperlink>
    </w:p>
    <w:p w14:paraId="2D561287" w14:textId="55B92370" w:rsidR="00BE3F4E" w:rsidRPr="00BE3F4E" w:rsidRDefault="00000000">
      <w:pPr>
        <w:pStyle w:val="TOC4"/>
        <w:tabs>
          <w:tab w:val="right" w:leader="underscore" w:pos="9016"/>
        </w:tabs>
        <w:rPr>
          <w:rFonts w:ascii="Arial" w:eastAsiaTheme="minorEastAsia" w:hAnsi="Arial" w:cs="Arial"/>
          <w:noProof/>
          <w:sz w:val="20"/>
          <w:szCs w:val="20"/>
        </w:rPr>
      </w:pPr>
      <w:hyperlink w:anchor="_Toc153137704" w:history="1">
        <w:r w:rsidR="00BE3F4E" w:rsidRPr="00BE3F4E">
          <w:rPr>
            <w:rStyle w:val="Hyperlink"/>
            <w:rFonts w:ascii="Arial" w:eastAsia="Times New Roman" w:hAnsi="Arial" w:cs="Arial"/>
            <w:iCs/>
            <w:noProof/>
            <w:sz w:val="20"/>
            <w:szCs w:val="20"/>
          </w:rPr>
          <w:t>CS 31HB.44 Protection of envelope against tearing</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_Toc153137704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239</w:t>
        </w:r>
        <w:r w:rsidR="00BE3F4E" w:rsidRPr="00BE3F4E">
          <w:rPr>
            <w:rFonts w:ascii="Arial" w:hAnsi="Arial" w:cs="Arial"/>
            <w:noProof/>
            <w:webHidden/>
            <w:sz w:val="20"/>
            <w:szCs w:val="20"/>
          </w:rPr>
          <w:fldChar w:fldCharType="end"/>
        </w:r>
      </w:hyperlink>
    </w:p>
    <w:p w14:paraId="5A11828F" w14:textId="776347D9" w:rsidR="00BE3F4E" w:rsidRPr="00BE3F4E" w:rsidRDefault="00000000">
      <w:pPr>
        <w:pStyle w:val="TOC5"/>
        <w:tabs>
          <w:tab w:val="right" w:leader="underscore" w:pos="9016"/>
        </w:tabs>
        <w:rPr>
          <w:rFonts w:ascii="Arial" w:eastAsiaTheme="minorEastAsia" w:hAnsi="Arial" w:cs="Arial"/>
          <w:noProof/>
          <w:sz w:val="20"/>
          <w:szCs w:val="20"/>
        </w:rPr>
      </w:pPr>
      <w:hyperlink w:anchor="_Toc153137705" w:history="1">
        <w:r w:rsidR="00BE3F4E" w:rsidRPr="00BE3F4E">
          <w:rPr>
            <w:rStyle w:val="Hyperlink"/>
            <w:rFonts w:ascii="Arial" w:eastAsia="Times New Roman" w:hAnsi="Arial" w:cs="Arial"/>
            <w:noProof/>
            <w:sz w:val="20"/>
            <w:szCs w:val="20"/>
          </w:rPr>
          <w:t>AMC 31HB.44 Protection of envelope against tearing</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_Toc153137705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239</w:t>
        </w:r>
        <w:r w:rsidR="00BE3F4E" w:rsidRPr="00BE3F4E">
          <w:rPr>
            <w:rFonts w:ascii="Arial" w:hAnsi="Arial" w:cs="Arial"/>
            <w:noProof/>
            <w:webHidden/>
            <w:sz w:val="20"/>
            <w:szCs w:val="20"/>
          </w:rPr>
          <w:fldChar w:fldCharType="end"/>
        </w:r>
      </w:hyperlink>
    </w:p>
    <w:p w14:paraId="6CCA86A8" w14:textId="3AD91BDE" w:rsidR="00BE3F4E" w:rsidRPr="00BE3F4E" w:rsidRDefault="00000000">
      <w:pPr>
        <w:pStyle w:val="TOC4"/>
        <w:tabs>
          <w:tab w:val="right" w:leader="underscore" w:pos="9016"/>
        </w:tabs>
        <w:rPr>
          <w:rFonts w:ascii="Arial" w:eastAsiaTheme="minorEastAsia" w:hAnsi="Arial" w:cs="Arial"/>
          <w:noProof/>
          <w:sz w:val="20"/>
          <w:szCs w:val="20"/>
        </w:rPr>
      </w:pPr>
      <w:hyperlink w:anchor="_Toc153137706" w:history="1">
        <w:r w:rsidR="00BE3F4E" w:rsidRPr="00BE3F4E">
          <w:rPr>
            <w:rStyle w:val="Hyperlink"/>
            <w:rFonts w:ascii="Arial" w:eastAsia="Times New Roman" w:hAnsi="Arial" w:cs="Arial"/>
            <w:iCs/>
            <w:noProof/>
            <w:sz w:val="20"/>
            <w:szCs w:val="20"/>
          </w:rPr>
          <w:t>CS 31HB.45 Fuel cells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_Toc153137706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241</w:t>
        </w:r>
        <w:r w:rsidR="00BE3F4E" w:rsidRPr="00BE3F4E">
          <w:rPr>
            <w:rFonts w:ascii="Arial" w:hAnsi="Arial" w:cs="Arial"/>
            <w:noProof/>
            <w:webHidden/>
            <w:sz w:val="20"/>
            <w:szCs w:val="20"/>
          </w:rPr>
          <w:fldChar w:fldCharType="end"/>
        </w:r>
      </w:hyperlink>
    </w:p>
    <w:p w14:paraId="309CCBA6" w14:textId="7297AA29" w:rsidR="00BE3F4E" w:rsidRPr="00BE3F4E" w:rsidRDefault="00000000">
      <w:pPr>
        <w:pStyle w:val="TOC5"/>
        <w:tabs>
          <w:tab w:val="right" w:leader="underscore" w:pos="9016"/>
        </w:tabs>
        <w:rPr>
          <w:rFonts w:ascii="Arial" w:eastAsiaTheme="minorEastAsia" w:hAnsi="Arial" w:cs="Arial"/>
          <w:noProof/>
          <w:sz w:val="20"/>
          <w:szCs w:val="20"/>
        </w:rPr>
      </w:pPr>
      <w:hyperlink w:anchor="_Toc153137707" w:history="1">
        <w:r w:rsidR="00BE3F4E" w:rsidRPr="00BE3F4E">
          <w:rPr>
            <w:rStyle w:val="Hyperlink"/>
            <w:rFonts w:ascii="Arial" w:eastAsia="Times New Roman" w:hAnsi="Arial" w:cs="Arial"/>
            <w:noProof/>
            <w:sz w:val="20"/>
            <w:szCs w:val="20"/>
          </w:rPr>
          <w:t>AMC 31HB.45(a) Fuel cells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_Toc153137707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241</w:t>
        </w:r>
        <w:r w:rsidR="00BE3F4E" w:rsidRPr="00BE3F4E">
          <w:rPr>
            <w:rFonts w:ascii="Arial" w:hAnsi="Arial" w:cs="Arial"/>
            <w:noProof/>
            <w:webHidden/>
            <w:sz w:val="20"/>
            <w:szCs w:val="20"/>
          </w:rPr>
          <w:fldChar w:fldCharType="end"/>
        </w:r>
      </w:hyperlink>
    </w:p>
    <w:p w14:paraId="0A3D7972" w14:textId="0FDD1E9F" w:rsidR="00BE3F4E" w:rsidRPr="00BE3F4E" w:rsidRDefault="00000000">
      <w:pPr>
        <w:pStyle w:val="TOC5"/>
        <w:tabs>
          <w:tab w:val="right" w:leader="underscore" w:pos="9016"/>
        </w:tabs>
        <w:rPr>
          <w:rFonts w:ascii="Arial" w:eastAsiaTheme="minorEastAsia" w:hAnsi="Arial" w:cs="Arial"/>
          <w:noProof/>
          <w:sz w:val="20"/>
          <w:szCs w:val="20"/>
        </w:rPr>
      </w:pPr>
      <w:hyperlink w:anchor="_Toc153137708" w:history="1">
        <w:r w:rsidR="00BE3F4E" w:rsidRPr="00BE3F4E">
          <w:rPr>
            <w:rStyle w:val="Hyperlink"/>
            <w:rFonts w:ascii="Arial" w:eastAsia="Times New Roman" w:hAnsi="Arial" w:cs="Arial"/>
            <w:noProof/>
            <w:sz w:val="20"/>
            <w:szCs w:val="20"/>
          </w:rPr>
          <w:t>AMC 31HB.45(c) Fuel cells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_Toc153137708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241</w:t>
        </w:r>
        <w:r w:rsidR="00BE3F4E" w:rsidRPr="00BE3F4E">
          <w:rPr>
            <w:rFonts w:ascii="Arial" w:hAnsi="Arial" w:cs="Arial"/>
            <w:noProof/>
            <w:webHidden/>
            <w:sz w:val="20"/>
            <w:szCs w:val="20"/>
          </w:rPr>
          <w:fldChar w:fldCharType="end"/>
        </w:r>
      </w:hyperlink>
    </w:p>
    <w:p w14:paraId="7368D198" w14:textId="7CA5869C" w:rsidR="00BE3F4E" w:rsidRPr="00BE3F4E" w:rsidRDefault="00000000">
      <w:pPr>
        <w:pStyle w:val="TOC5"/>
        <w:tabs>
          <w:tab w:val="right" w:leader="underscore" w:pos="9016"/>
        </w:tabs>
        <w:rPr>
          <w:rFonts w:ascii="Arial" w:eastAsiaTheme="minorEastAsia" w:hAnsi="Arial" w:cs="Arial"/>
          <w:noProof/>
          <w:sz w:val="20"/>
          <w:szCs w:val="20"/>
        </w:rPr>
      </w:pPr>
      <w:hyperlink w:anchor="_Toc153137709" w:history="1">
        <w:r w:rsidR="00BE3F4E" w:rsidRPr="00BE3F4E">
          <w:rPr>
            <w:rStyle w:val="Hyperlink"/>
            <w:rFonts w:ascii="Arial" w:eastAsia="Times New Roman" w:hAnsi="Arial" w:cs="Arial"/>
            <w:noProof/>
            <w:sz w:val="20"/>
            <w:szCs w:val="20"/>
          </w:rPr>
          <w:t>AMC 31HB.45(d)(1) Fuel cells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_Toc153137709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242</w:t>
        </w:r>
        <w:r w:rsidR="00BE3F4E" w:rsidRPr="00BE3F4E">
          <w:rPr>
            <w:rFonts w:ascii="Arial" w:hAnsi="Arial" w:cs="Arial"/>
            <w:noProof/>
            <w:webHidden/>
            <w:sz w:val="20"/>
            <w:szCs w:val="20"/>
          </w:rPr>
          <w:fldChar w:fldCharType="end"/>
        </w:r>
      </w:hyperlink>
    </w:p>
    <w:p w14:paraId="173DA37D" w14:textId="671F74DA" w:rsidR="00BE3F4E" w:rsidRPr="00BE3F4E" w:rsidRDefault="00000000">
      <w:pPr>
        <w:pStyle w:val="TOC5"/>
        <w:tabs>
          <w:tab w:val="right" w:leader="underscore" w:pos="9016"/>
        </w:tabs>
        <w:rPr>
          <w:rFonts w:ascii="Arial" w:eastAsiaTheme="minorEastAsia" w:hAnsi="Arial" w:cs="Arial"/>
          <w:noProof/>
          <w:sz w:val="20"/>
          <w:szCs w:val="20"/>
        </w:rPr>
      </w:pPr>
      <w:hyperlink w:anchor="_Toc153137710" w:history="1">
        <w:r w:rsidR="00BE3F4E" w:rsidRPr="00BE3F4E">
          <w:rPr>
            <w:rStyle w:val="Hyperlink"/>
            <w:rFonts w:ascii="Arial" w:eastAsia="Times New Roman" w:hAnsi="Arial" w:cs="Arial"/>
            <w:noProof/>
            <w:sz w:val="20"/>
            <w:szCs w:val="20"/>
          </w:rPr>
          <w:t>AMC 31HB.45(d)(5) Fuel cells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_Toc153137710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242</w:t>
        </w:r>
        <w:r w:rsidR="00BE3F4E" w:rsidRPr="00BE3F4E">
          <w:rPr>
            <w:rFonts w:ascii="Arial" w:hAnsi="Arial" w:cs="Arial"/>
            <w:noProof/>
            <w:webHidden/>
            <w:sz w:val="20"/>
            <w:szCs w:val="20"/>
          </w:rPr>
          <w:fldChar w:fldCharType="end"/>
        </w:r>
      </w:hyperlink>
    </w:p>
    <w:p w14:paraId="32B5C236" w14:textId="792A0A3F" w:rsidR="00BE3F4E" w:rsidRPr="00BE3F4E" w:rsidRDefault="00000000">
      <w:pPr>
        <w:pStyle w:val="TOC4"/>
        <w:tabs>
          <w:tab w:val="right" w:leader="underscore" w:pos="9016"/>
        </w:tabs>
        <w:rPr>
          <w:rFonts w:ascii="Arial" w:eastAsiaTheme="minorEastAsia" w:hAnsi="Arial" w:cs="Arial"/>
          <w:noProof/>
          <w:sz w:val="20"/>
          <w:szCs w:val="20"/>
        </w:rPr>
      </w:pPr>
      <w:hyperlink w:anchor="_Toc153137711" w:history="1">
        <w:r w:rsidR="00BE3F4E" w:rsidRPr="00BE3F4E">
          <w:rPr>
            <w:rStyle w:val="Hyperlink"/>
            <w:rFonts w:ascii="Arial" w:eastAsia="Times New Roman" w:hAnsi="Arial" w:cs="Arial"/>
            <w:iCs/>
            <w:noProof/>
            <w:sz w:val="20"/>
            <w:szCs w:val="20"/>
          </w:rPr>
          <w:t>CS 31HB.46 Pressurised fuel systems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_Toc153137711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242</w:t>
        </w:r>
        <w:r w:rsidR="00BE3F4E" w:rsidRPr="00BE3F4E">
          <w:rPr>
            <w:rFonts w:ascii="Arial" w:hAnsi="Arial" w:cs="Arial"/>
            <w:noProof/>
            <w:webHidden/>
            <w:sz w:val="20"/>
            <w:szCs w:val="20"/>
          </w:rPr>
          <w:fldChar w:fldCharType="end"/>
        </w:r>
      </w:hyperlink>
    </w:p>
    <w:p w14:paraId="01E85641" w14:textId="69E259C5" w:rsidR="00BE3F4E" w:rsidRPr="00BE3F4E" w:rsidRDefault="00000000">
      <w:pPr>
        <w:pStyle w:val="TOC5"/>
        <w:tabs>
          <w:tab w:val="right" w:leader="underscore" w:pos="9016"/>
        </w:tabs>
        <w:rPr>
          <w:rFonts w:ascii="Arial" w:eastAsiaTheme="minorEastAsia" w:hAnsi="Arial" w:cs="Arial"/>
          <w:noProof/>
          <w:sz w:val="20"/>
          <w:szCs w:val="20"/>
        </w:rPr>
      </w:pPr>
      <w:hyperlink w:anchor="_Toc153137712" w:history="1">
        <w:r w:rsidR="00BE3F4E" w:rsidRPr="00BE3F4E">
          <w:rPr>
            <w:rStyle w:val="Hyperlink"/>
            <w:rFonts w:ascii="Arial" w:eastAsia="Times New Roman" w:hAnsi="Arial" w:cs="Arial"/>
            <w:noProof/>
            <w:sz w:val="20"/>
            <w:szCs w:val="20"/>
          </w:rPr>
          <w:t>AMC 31HB.46(a) Pressurised fuel systems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_Toc153137712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242</w:t>
        </w:r>
        <w:r w:rsidR="00BE3F4E" w:rsidRPr="00BE3F4E">
          <w:rPr>
            <w:rFonts w:ascii="Arial" w:hAnsi="Arial" w:cs="Arial"/>
            <w:noProof/>
            <w:webHidden/>
            <w:sz w:val="20"/>
            <w:szCs w:val="20"/>
          </w:rPr>
          <w:fldChar w:fldCharType="end"/>
        </w:r>
      </w:hyperlink>
    </w:p>
    <w:p w14:paraId="4941BDC6" w14:textId="6D7CF81C" w:rsidR="00BE3F4E" w:rsidRPr="00BE3F4E" w:rsidRDefault="00000000">
      <w:pPr>
        <w:pStyle w:val="TOC5"/>
        <w:tabs>
          <w:tab w:val="right" w:leader="underscore" w:pos="9016"/>
        </w:tabs>
        <w:rPr>
          <w:rFonts w:ascii="Arial" w:eastAsiaTheme="minorEastAsia" w:hAnsi="Arial" w:cs="Arial"/>
          <w:noProof/>
          <w:sz w:val="20"/>
          <w:szCs w:val="20"/>
        </w:rPr>
      </w:pPr>
      <w:hyperlink w:anchor="_Toc153137713" w:history="1">
        <w:r w:rsidR="00BE3F4E" w:rsidRPr="00BE3F4E">
          <w:rPr>
            <w:rStyle w:val="Hyperlink"/>
            <w:rFonts w:ascii="Arial" w:eastAsia="Times New Roman" w:hAnsi="Arial" w:cs="Arial"/>
            <w:noProof/>
            <w:sz w:val="20"/>
            <w:szCs w:val="20"/>
          </w:rPr>
          <w:t>AMC 31HB.46(b) Pressurised fuel systems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_Toc153137713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243</w:t>
        </w:r>
        <w:r w:rsidR="00BE3F4E" w:rsidRPr="00BE3F4E">
          <w:rPr>
            <w:rFonts w:ascii="Arial" w:hAnsi="Arial" w:cs="Arial"/>
            <w:noProof/>
            <w:webHidden/>
            <w:sz w:val="20"/>
            <w:szCs w:val="20"/>
          </w:rPr>
          <w:fldChar w:fldCharType="end"/>
        </w:r>
      </w:hyperlink>
    </w:p>
    <w:p w14:paraId="7A1A3DAE" w14:textId="3C346248" w:rsidR="00BE3F4E" w:rsidRPr="00BE3F4E" w:rsidRDefault="00000000">
      <w:pPr>
        <w:pStyle w:val="TOC5"/>
        <w:tabs>
          <w:tab w:val="right" w:leader="underscore" w:pos="9016"/>
        </w:tabs>
        <w:rPr>
          <w:rFonts w:ascii="Arial" w:eastAsiaTheme="minorEastAsia" w:hAnsi="Arial" w:cs="Arial"/>
          <w:noProof/>
          <w:sz w:val="20"/>
          <w:szCs w:val="20"/>
        </w:rPr>
      </w:pPr>
      <w:hyperlink w:anchor="_Toc153137714" w:history="1">
        <w:r w:rsidR="00BE3F4E" w:rsidRPr="00BE3F4E">
          <w:rPr>
            <w:rStyle w:val="Hyperlink"/>
            <w:rFonts w:ascii="Arial" w:eastAsia="Times New Roman" w:hAnsi="Arial" w:cs="Arial"/>
            <w:noProof/>
            <w:sz w:val="20"/>
            <w:szCs w:val="20"/>
          </w:rPr>
          <w:t>AMC 31HB.46(e) Pressurised fuel systems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_Toc153137714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243</w:t>
        </w:r>
        <w:r w:rsidR="00BE3F4E" w:rsidRPr="00BE3F4E">
          <w:rPr>
            <w:rFonts w:ascii="Arial" w:hAnsi="Arial" w:cs="Arial"/>
            <w:noProof/>
            <w:webHidden/>
            <w:sz w:val="20"/>
            <w:szCs w:val="20"/>
          </w:rPr>
          <w:fldChar w:fldCharType="end"/>
        </w:r>
      </w:hyperlink>
    </w:p>
    <w:p w14:paraId="5BBD2A81" w14:textId="01E6CECD" w:rsidR="00BE3F4E" w:rsidRPr="00BE3F4E" w:rsidRDefault="00000000">
      <w:pPr>
        <w:pStyle w:val="TOC4"/>
        <w:tabs>
          <w:tab w:val="right" w:leader="underscore" w:pos="9016"/>
        </w:tabs>
        <w:rPr>
          <w:rFonts w:ascii="Arial" w:eastAsiaTheme="minorEastAsia" w:hAnsi="Arial" w:cs="Arial"/>
          <w:noProof/>
          <w:sz w:val="20"/>
          <w:szCs w:val="20"/>
        </w:rPr>
      </w:pPr>
      <w:hyperlink w:anchor="_Toc153137715" w:history="1">
        <w:r w:rsidR="00BE3F4E" w:rsidRPr="00BE3F4E">
          <w:rPr>
            <w:rStyle w:val="Hyperlink"/>
            <w:rFonts w:ascii="Arial" w:eastAsia="Times New Roman" w:hAnsi="Arial" w:cs="Arial"/>
            <w:iCs/>
            <w:noProof/>
            <w:sz w:val="20"/>
            <w:szCs w:val="20"/>
          </w:rPr>
          <w:t>CS 31HB.47 Heater system</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_Toc153137715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243</w:t>
        </w:r>
        <w:r w:rsidR="00BE3F4E" w:rsidRPr="00BE3F4E">
          <w:rPr>
            <w:rFonts w:ascii="Arial" w:hAnsi="Arial" w:cs="Arial"/>
            <w:noProof/>
            <w:webHidden/>
            <w:sz w:val="20"/>
            <w:szCs w:val="20"/>
          </w:rPr>
          <w:fldChar w:fldCharType="end"/>
        </w:r>
      </w:hyperlink>
    </w:p>
    <w:p w14:paraId="03147F18" w14:textId="7F2A3B59" w:rsidR="00BE3F4E" w:rsidRPr="00BE3F4E" w:rsidRDefault="00000000">
      <w:pPr>
        <w:pStyle w:val="TOC5"/>
        <w:tabs>
          <w:tab w:val="right" w:leader="underscore" w:pos="9016"/>
        </w:tabs>
        <w:rPr>
          <w:rFonts w:ascii="Arial" w:eastAsiaTheme="minorEastAsia" w:hAnsi="Arial" w:cs="Arial"/>
          <w:noProof/>
          <w:sz w:val="20"/>
          <w:szCs w:val="20"/>
        </w:rPr>
      </w:pPr>
      <w:hyperlink w:anchor="_Toc153137716" w:history="1">
        <w:r w:rsidR="00BE3F4E" w:rsidRPr="00BE3F4E">
          <w:rPr>
            <w:rStyle w:val="Hyperlink"/>
            <w:rFonts w:ascii="Arial" w:eastAsia="Times New Roman" w:hAnsi="Arial" w:cs="Arial"/>
            <w:noProof/>
            <w:sz w:val="20"/>
            <w:szCs w:val="20"/>
          </w:rPr>
          <w:t>AMC 31HB.47(c)(1) Heater system</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_Toc153137716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243</w:t>
        </w:r>
        <w:r w:rsidR="00BE3F4E" w:rsidRPr="00BE3F4E">
          <w:rPr>
            <w:rFonts w:ascii="Arial" w:hAnsi="Arial" w:cs="Arial"/>
            <w:noProof/>
            <w:webHidden/>
            <w:sz w:val="20"/>
            <w:szCs w:val="20"/>
          </w:rPr>
          <w:fldChar w:fldCharType="end"/>
        </w:r>
      </w:hyperlink>
    </w:p>
    <w:p w14:paraId="445C623B" w14:textId="681C7FDB" w:rsidR="00BE3F4E" w:rsidRPr="00BE3F4E" w:rsidRDefault="00000000">
      <w:pPr>
        <w:pStyle w:val="TOC5"/>
        <w:tabs>
          <w:tab w:val="right" w:leader="underscore" w:pos="9016"/>
        </w:tabs>
        <w:rPr>
          <w:rFonts w:ascii="Arial" w:eastAsiaTheme="minorEastAsia" w:hAnsi="Arial" w:cs="Arial"/>
          <w:noProof/>
          <w:sz w:val="20"/>
          <w:szCs w:val="20"/>
        </w:rPr>
      </w:pPr>
      <w:hyperlink w:anchor="_Toc153137717" w:history="1">
        <w:r w:rsidR="00BE3F4E" w:rsidRPr="00BE3F4E">
          <w:rPr>
            <w:rStyle w:val="Hyperlink"/>
            <w:rFonts w:ascii="Arial" w:eastAsia="Times New Roman" w:hAnsi="Arial" w:cs="Arial"/>
            <w:noProof/>
            <w:sz w:val="20"/>
            <w:szCs w:val="20"/>
          </w:rPr>
          <w:t>AMC 31HB.47(c)(2) Minimum equipment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_Toc153137717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244</w:t>
        </w:r>
        <w:r w:rsidR="00BE3F4E" w:rsidRPr="00BE3F4E">
          <w:rPr>
            <w:rFonts w:ascii="Arial" w:hAnsi="Arial" w:cs="Arial"/>
            <w:noProof/>
            <w:webHidden/>
            <w:sz w:val="20"/>
            <w:szCs w:val="20"/>
          </w:rPr>
          <w:fldChar w:fldCharType="end"/>
        </w:r>
      </w:hyperlink>
    </w:p>
    <w:p w14:paraId="27315937" w14:textId="4DB8F3E3" w:rsidR="00BE3F4E" w:rsidRPr="00BE3F4E" w:rsidRDefault="00000000">
      <w:pPr>
        <w:pStyle w:val="TOC5"/>
        <w:tabs>
          <w:tab w:val="right" w:leader="underscore" w:pos="9016"/>
        </w:tabs>
        <w:rPr>
          <w:rFonts w:ascii="Arial" w:eastAsiaTheme="minorEastAsia" w:hAnsi="Arial" w:cs="Arial"/>
          <w:noProof/>
          <w:sz w:val="20"/>
          <w:szCs w:val="20"/>
        </w:rPr>
      </w:pPr>
      <w:hyperlink w:anchor="_Toc153137718" w:history="1">
        <w:r w:rsidR="00BE3F4E" w:rsidRPr="00BE3F4E">
          <w:rPr>
            <w:rStyle w:val="Hyperlink"/>
            <w:rFonts w:ascii="Arial" w:eastAsia="Times New Roman" w:hAnsi="Arial" w:cs="Arial"/>
            <w:noProof/>
            <w:sz w:val="20"/>
            <w:szCs w:val="20"/>
          </w:rPr>
          <w:t>AMC 31HB.47(c)(3) Heater system</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_Toc153137718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244</w:t>
        </w:r>
        <w:r w:rsidR="00BE3F4E" w:rsidRPr="00BE3F4E">
          <w:rPr>
            <w:rFonts w:ascii="Arial" w:hAnsi="Arial" w:cs="Arial"/>
            <w:noProof/>
            <w:webHidden/>
            <w:sz w:val="20"/>
            <w:szCs w:val="20"/>
          </w:rPr>
          <w:fldChar w:fldCharType="end"/>
        </w:r>
      </w:hyperlink>
    </w:p>
    <w:p w14:paraId="2B384D0D" w14:textId="4EE1D0CF" w:rsidR="00BE3F4E" w:rsidRPr="00BE3F4E" w:rsidRDefault="00000000">
      <w:pPr>
        <w:pStyle w:val="TOC5"/>
        <w:tabs>
          <w:tab w:val="right" w:leader="underscore" w:pos="9016"/>
        </w:tabs>
        <w:rPr>
          <w:rFonts w:ascii="Arial" w:eastAsiaTheme="minorEastAsia" w:hAnsi="Arial" w:cs="Arial"/>
          <w:noProof/>
          <w:sz w:val="20"/>
          <w:szCs w:val="20"/>
        </w:rPr>
      </w:pPr>
      <w:hyperlink w:anchor="_Toc153137719" w:history="1">
        <w:r w:rsidR="00BE3F4E" w:rsidRPr="00BE3F4E">
          <w:rPr>
            <w:rStyle w:val="Hyperlink"/>
            <w:rFonts w:ascii="Arial" w:eastAsia="Times New Roman" w:hAnsi="Arial" w:cs="Arial"/>
            <w:noProof/>
            <w:sz w:val="20"/>
            <w:szCs w:val="20"/>
          </w:rPr>
          <w:t>AMC 31HB.47(f) Heater system</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_Toc153137719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244</w:t>
        </w:r>
        <w:r w:rsidR="00BE3F4E" w:rsidRPr="00BE3F4E">
          <w:rPr>
            <w:rFonts w:ascii="Arial" w:hAnsi="Arial" w:cs="Arial"/>
            <w:noProof/>
            <w:webHidden/>
            <w:sz w:val="20"/>
            <w:szCs w:val="20"/>
          </w:rPr>
          <w:fldChar w:fldCharType="end"/>
        </w:r>
      </w:hyperlink>
    </w:p>
    <w:p w14:paraId="29F0BCCC" w14:textId="53E33992" w:rsidR="00BE3F4E" w:rsidRPr="00BE3F4E" w:rsidRDefault="00000000">
      <w:pPr>
        <w:pStyle w:val="TOC4"/>
        <w:tabs>
          <w:tab w:val="right" w:leader="underscore" w:pos="9016"/>
        </w:tabs>
        <w:rPr>
          <w:rFonts w:ascii="Arial" w:eastAsiaTheme="minorEastAsia" w:hAnsi="Arial" w:cs="Arial"/>
          <w:noProof/>
          <w:sz w:val="20"/>
          <w:szCs w:val="20"/>
        </w:rPr>
      </w:pPr>
      <w:hyperlink w:anchor="_Toc153137720" w:history="1">
        <w:r w:rsidR="00BE3F4E" w:rsidRPr="00BE3F4E">
          <w:rPr>
            <w:rStyle w:val="Hyperlink"/>
            <w:rFonts w:ascii="Arial" w:eastAsia="Times New Roman" w:hAnsi="Arial" w:cs="Arial"/>
            <w:iCs/>
            <w:noProof/>
            <w:sz w:val="20"/>
            <w:szCs w:val="20"/>
          </w:rPr>
          <w:t>CS 31HB.49 Control systems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_Toc153137720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244</w:t>
        </w:r>
        <w:r w:rsidR="00BE3F4E" w:rsidRPr="00BE3F4E">
          <w:rPr>
            <w:rFonts w:ascii="Arial" w:hAnsi="Arial" w:cs="Arial"/>
            <w:noProof/>
            <w:webHidden/>
            <w:sz w:val="20"/>
            <w:szCs w:val="20"/>
          </w:rPr>
          <w:fldChar w:fldCharType="end"/>
        </w:r>
      </w:hyperlink>
    </w:p>
    <w:p w14:paraId="1387A61E" w14:textId="444F37A0" w:rsidR="00BE3F4E" w:rsidRPr="00BE3F4E" w:rsidRDefault="00000000">
      <w:pPr>
        <w:pStyle w:val="TOC5"/>
        <w:tabs>
          <w:tab w:val="right" w:leader="underscore" w:pos="9016"/>
        </w:tabs>
        <w:rPr>
          <w:rFonts w:ascii="Arial" w:eastAsiaTheme="minorEastAsia" w:hAnsi="Arial" w:cs="Arial"/>
          <w:noProof/>
          <w:sz w:val="20"/>
          <w:szCs w:val="20"/>
        </w:rPr>
      </w:pPr>
      <w:hyperlink w:anchor="_Toc153137721" w:history="1">
        <w:r w:rsidR="00BE3F4E" w:rsidRPr="00BE3F4E">
          <w:rPr>
            <w:rStyle w:val="Hyperlink"/>
            <w:rFonts w:ascii="Arial" w:eastAsia="Times New Roman" w:hAnsi="Arial" w:cs="Arial"/>
            <w:noProof/>
            <w:sz w:val="20"/>
            <w:szCs w:val="20"/>
          </w:rPr>
          <w:t>AMC 31HB.49(e) Control systems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_Toc153137721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244</w:t>
        </w:r>
        <w:r w:rsidR="00BE3F4E" w:rsidRPr="00BE3F4E">
          <w:rPr>
            <w:rFonts w:ascii="Arial" w:hAnsi="Arial" w:cs="Arial"/>
            <w:noProof/>
            <w:webHidden/>
            <w:sz w:val="20"/>
            <w:szCs w:val="20"/>
          </w:rPr>
          <w:fldChar w:fldCharType="end"/>
        </w:r>
      </w:hyperlink>
    </w:p>
    <w:p w14:paraId="55FC95BA" w14:textId="15C5CA80" w:rsidR="00BE3F4E" w:rsidRPr="00BE3F4E" w:rsidRDefault="00000000">
      <w:pPr>
        <w:pStyle w:val="TOC4"/>
        <w:tabs>
          <w:tab w:val="right" w:leader="underscore" w:pos="9016"/>
        </w:tabs>
        <w:rPr>
          <w:rFonts w:ascii="Arial" w:eastAsiaTheme="minorEastAsia" w:hAnsi="Arial" w:cs="Arial"/>
          <w:noProof/>
          <w:sz w:val="20"/>
          <w:szCs w:val="20"/>
        </w:rPr>
      </w:pPr>
      <w:hyperlink w:anchor="_Toc153137722" w:history="1">
        <w:r w:rsidR="00BE3F4E" w:rsidRPr="00BE3F4E">
          <w:rPr>
            <w:rStyle w:val="Hyperlink"/>
            <w:rFonts w:ascii="Arial" w:eastAsia="Times New Roman" w:hAnsi="Arial" w:cs="Arial"/>
            <w:iCs/>
            <w:noProof/>
            <w:sz w:val="20"/>
            <w:szCs w:val="20"/>
          </w:rPr>
          <w:t>CS 31HB.51 Disposable ballast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_Toc153137722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244</w:t>
        </w:r>
        <w:r w:rsidR="00BE3F4E" w:rsidRPr="00BE3F4E">
          <w:rPr>
            <w:rFonts w:ascii="Arial" w:hAnsi="Arial" w:cs="Arial"/>
            <w:noProof/>
            <w:webHidden/>
            <w:sz w:val="20"/>
            <w:szCs w:val="20"/>
          </w:rPr>
          <w:fldChar w:fldCharType="end"/>
        </w:r>
      </w:hyperlink>
    </w:p>
    <w:p w14:paraId="5608EFB0" w14:textId="06F66FD9" w:rsidR="00BE3F4E" w:rsidRPr="00BE3F4E" w:rsidRDefault="00000000">
      <w:pPr>
        <w:pStyle w:val="TOC5"/>
        <w:tabs>
          <w:tab w:val="right" w:leader="underscore" w:pos="9016"/>
        </w:tabs>
        <w:rPr>
          <w:rFonts w:ascii="Arial" w:eastAsiaTheme="minorEastAsia" w:hAnsi="Arial" w:cs="Arial"/>
          <w:noProof/>
          <w:sz w:val="20"/>
          <w:szCs w:val="20"/>
        </w:rPr>
      </w:pPr>
      <w:hyperlink w:anchor="_Toc153137723" w:history="1">
        <w:r w:rsidR="00BE3F4E" w:rsidRPr="00BE3F4E">
          <w:rPr>
            <w:rStyle w:val="Hyperlink"/>
            <w:rFonts w:ascii="Arial" w:eastAsia="Times New Roman" w:hAnsi="Arial" w:cs="Arial"/>
            <w:noProof/>
            <w:sz w:val="20"/>
            <w:szCs w:val="20"/>
          </w:rPr>
          <w:t>AMC 31HB.51 Disposable ballast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_Toc153137723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244</w:t>
        </w:r>
        <w:r w:rsidR="00BE3F4E" w:rsidRPr="00BE3F4E">
          <w:rPr>
            <w:rFonts w:ascii="Arial" w:hAnsi="Arial" w:cs="Arial"/>
            <w:noProof/>
            <w:webHidden/>
            <w:sz w:val="20"/>
            <w:szCs w:val="20"/>
          </w:rPr>
          <w:fldChar w:fldCharType="end"/>
        </w:r>
      </w:hyperlink>
    </w:p>
    <w:p w14:paraId="2FE01B17" w14:textId="6937C804" w:rsidR="00BE3F4E" w:rsidRPr="00BE3F4E" w:rsidRDefault="00000000">
      <w:pPr>
        <w:pStyle w:val="TOC4"/>
        <w:tabs>
          <w:tab w:val="right" w:leader="underscore" w:pos="9016"/>
        </w:tabs>
        <w:rPr>
          <w:rFonts w:ascii="Arial" w:eastAsiaTheme="minorEastAsia" w:hAnsi="Arial" w:cs="Arial"/>
          <w:noProof/>
          <w:sz w:val="20"/>
          <w:szCs w:val="20"/>
        </w:rPr>
      </w:pPr>
      <w:hyperlink w:anchor="_Toc153137724" w:history="1">
        <w:r w:rsidR="00BE3F4E" w:rsidRPr="00BE3F4E">
          <w:rPr>
            <w:rStyle w:val="Hyperlink"/>
            <w:rFonts w:ascii="Arial" w:eastAsia="Times New Roman" w:hAnsi="Arial" w:cs="Arial"/>
            <w:iCs/>
            <w:noProof/>
            <w:sz w:val="20"/>
            <w:szCs w:val="20"/>
          </w:rPr>
          <w:t>CS 31HB.53 Drag rope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_Toc153137724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245</w:t>
        </w:r>
        <w:r w:rsidR="00BE3F4E" w:rsidRPr="00BE3F4E">
          <w:rPr>
            <w:rFonts w:ascii="Arial" w:hAnsi="Arial" w:cs="Arial"/>
            <w:noProof/>
            <w:webHidden/>
            <w:sz w:val="20"/>
            <w:szCs w:val="20"/>
          </w:rPr>
          <w:fldChar w:fldCharType="end"/>
        </w:r>
      </w:hyperlink>
    </w:p>
    <w:p w14:paraId="437C0744" w14:textId="74861B20" w:rsidR="00BE3F4E" w:rsidRPr="00BE3F4E" w:rsidRDefault="00000000">
      <w:pPr>
        <w:pStyle w:val="TOC4"/>
        <w:tabs>
          <w:tab w:val="right" w:leader="underscore" w:pos="9016"/>
        </w:tabs>
        <w:rPr>
          <w:rFonts w:ascii="Arial" w:eastAsiaTheme="minorEastAsia" w:hAnsi="Arial" w:cs="Arial"/>
          <w:noProof/>
          <w:sz w:val="20"/>
          <w:szCs w:val="20"/>
        </w:rPr>
      </w:pPr>
      <w:hyperlink w:anchor="_Toc153137725" w:history="1">
        <w:r w:rsidR="00BE3F4E" w:rsidRPr="00BE3F4E">
          <w:rPr>
            <w:rStyle w:val="Hyperlink"/>
            <w:rFonts w:ascii="Arial" w:eastAsia="Times New Roman" w:hAnsi="Arial" w:cs="Arial"/>
            <w:iCs/>
            <w:noProof/>
            <w:sz w:val="20"/>
            <w:szCs w:val="20"/>
          </w:rPr>
          <w:t>CS 31HB.55 Rapid deflation means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_Toc153137725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245</w:t>
        </w:r>
        <w:r w:rsidR="00BE3F4E" w:rsidRPr="00BE3F4E">
          <w:rPr>
            <w:rFonts w:ascii="Arial" w:hAnsi="Arial" w:cs="Arial"/>
            <w:noProof/>
            <w:webHidden/>
            <w:sz w:val="20"/>
            <w:szCs w:val="20"/>
          </w:rPr>
          <w:fldChar w:fldCharType="end"/>
        </w:r>
      </w:hyperlink>
    </w:p>
    <w:p w14:paraId="082F813E" w14:textId="3986A2C2" w:rsidR="00BE3F4E" w:rsidRPr="00BE3F4E" w:rsidRDefault="00000000">
      <w:pPr>
        <w:pStyle w:val="TOC5"/>
        <w:tabs>
          <w:tab w:val="right" w:leader="underscore" w:pos="9016"/>
        </w:tabs>
        <w:rPr>
          <w:rFonts w:ascii="Arial" w:eastAsiaTheme="minorEastAsia" w:hAnsi="Arial" w:cs="Arial"/>
          <w:noProof/>
          <w:sz w:val="20"/>
          <w:szCs w:val="20"/>
        </w:rPr>
      </w:pPr>
      <w:hyperlink w:anchor="_Toc153137726" w:history="1">
        <w:r w:rsidR="00BE3F4E" w:rsidRPr="00BE3F4E">
          <w:rPr>
            <w:rStyle w:val="Hyperlink"/>
            <w:rFonts w:ascii="Arial" w:eastAsia="Times New Roman" w:hAnsi="Arial" w:cs="Arial"/>
            <w:noProof/>
            <w:sz w:val="20"/>
            <w:szCs w:val="20"/>
          </w:rPr>
          <w:t>AMC 31HB.55(a) Rapid deflation means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_Toc153137726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245</w:t>
        </w:r>
        <w:r w:rsidR="00BE3F4E" w:rsidRPr="00BE3F4E">
          <w:rPr>
            <w:rFonts w:ascii="Arial" w:hAnsi="Arial" w:cs="Arial"/>
            <w:noProof/>
            <w:webHidden/>
            <w:sz w:val="20"/>
            <w:szCs w:val="20"/>
          </w:rPr>
          <w:fldChar w:fldCharType="end"/>
        </w:r>
      </w:hyperlink>
    </w:p>
    <w:p w14:paraId="217DCA38" w14:textId="22686F0E" w:rsidR="00BE3F4E" w:rsidRPr="00BE3F4E" w:rsidRDefault="00000000">
      <w:pPr>
        <w:pStyle w:val="TOC5"/>
        <w:tabs>
          <w:tab w:val="right" w:leader="underscore" w:pos="9016"/>
        </w:tabs>
        <w:rPr>
          <w:rFonts w:ascii="Arial" w:eastAsiaTheme="minorEastAsia" w:hAnsi="Arial" w:cs="Arial"/>
          <w:noProof/>
          <w:sz w:val="20"/>
          <w:szCs w:val="20"/>
        </w:rPr>
      </w:pPr>
      <w:hyperlink w:anchor="_Toc153137727" w:history="1">
        <w:r w:rsidR="00BE3F4E" w:rsidRPr="00BE3F4E">
          <w:rPr>
            <w:rStyle w:val="Hyperlink"/>
            <w:rFonts w:ascii="Arial" w:eastAsia="Times New Roman" w:hAnsi="Arial" w:cs="Arial"/>
            <w:noProof/>
            <w:sz w:val="20"/>
            <w:szCs w:val="20"/>
          </w:rPr>
          <w:t>AMC 31HB.55(b) Rapid deflation means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_Toc153137727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245</w:t>
        </w:r>
        <w:r w:rsidR="00BE3F4E" w:rsidRPr="00BE3F4E">
          <w:rPr>
            <w:rFonts w:ascii="Arial" w:hAnsi="Arial" w:cs="Arial"/>
            <w:noProof/>
            <w:webHidden/>
            <w:sz w:val="20"/>
            <w:szCs w:val="20"/>
          </w:rPr>
          <w:fldChar w:fldCharType="end"/>
        </w:r>
      </w:hyperlink>
    </w:p>
    <w:p w14:paraId="71C37DA3" w14:textId="12B0D27C" w:rsidR="00BE3F4E" w:rsidRPr="00BE3F4E" w:rsidRDefault="00000000">
      <w:pPr>
        <w:pStyle w:val="TOC4"/>
        <w:tabs>
          <w:tab w:val="right" w:leader="underscore" w:pos="9016"/>
        </w:tabs>
        <w:rPr>
          <w:rFonts w:ascii="Arial" w:eastAsiaTheme="minorEastAsia" w:hAnsi="Arial" w:cs="Arial"/>
          <w:noProof/>
          <w:sz w:val="20"/>
          <w:szCs w:val="20"/>
        </w:rPr>
      </w:pPr>
      <w:hyperlink w:anchor="_Toc153137728" w:history="1">
        <w:r w:rsidR="00BE3F4E" w:rsidRPr="00BE3F4E">
          <w:rPr>
            <w:rStyle w:val="Hyperlink"/>
            <w:rFonts w:ascii="Arial" w:eastAsia="Times New Roman" w:hAnsi="Arial" w:cs="Arial"/>
            <w:iCs/>
            <w:noProof/>
            <w:sz w:val="20"/>
            <w:szCs w:val="20"/>
          </w:rPr>
          <w:t>CS 31HB.57 Control cords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_Toc153137728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245</w:t>
        </w:r>
        <w:r w:rsidR="00BE3F4E" w:rsidRPr="00BE3F4E">
          <w:rPr>
            <w:rFonts w:ascii="Arial" w:hAnsi="Arial" w:cs="Arial"/>
            <w:noProof/>
            <w:webHidden/>
            <w:sz w:val="20"/>
            <w:szCs w:val="20"/>
          </w:rPr>
          <w:fldChar w:fldCharType="end"/>
        </w:r>
      </w:hyperlink>
    </w:p>
    <w:p w14:paraId="73B7D85D" w14:textId="01C1DCB3" w:rsidR="00BE3F4E" w:rsidRPr="00BE3F4E" w:rsidRDefault="00000000">
      <w:pPr>
        <w:pStyle w:val="TOC5"/>
        <w:tabs>
          <w:tab w:val="right" w:leader="underscore" w:pos="9016"/>
        </w:tabs>
        <w:rPr>
          <w:rFonts w:ascii="Arial" w:eastAsiaTheme="minorEastAsia" w:hAnsi="Arial" w:cs="Arial"/>
          <w:noProof/>
          <w:sz w:val="20"/>
          <w:szCs w:val="20"/>
        </w:rPr>
      </w:pPr>
      <w:hyperlink w:anchor="_Toc153137729" w:history="1">
        <w:r w:rsidR="00BE3F4E" w:rsidRPr="00BE3F4E">
          <w:rPr>
            <w:rStyle w:val="Hyperlink"/>
            <w:rFonts w:ascii="Arial" w:eastAsia="Times New Roman" w:hAnsi="Arial" w:cs="Arial"/>
            <w:noProof/>
            <w:sz w:val="20"/>
            <w:szCs w:val="20"/>
          </w:rPr>
          <w:t>AMC 31HB.57(c) Control cords; Turning vent cords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_Toc153137729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246</w:t>
        </w:r>
        <w:r w:rsidR="00BE3F4E" w:rsidRPr="00BE3F4E">
          <w:rPr>
            <w:rFonts w:ascii="Arial" w:hAnsi="Arial" w:cs="Arial"/>
            <w:noProof/>
            <w:webHidden/>
            <w:sz w:val="20"/>
            <w:szCs w:val="20"/>
          </w:rPr>
          <w:fldChar w:fldCharType="end"/>
        </w:r>
      </w:hyperlink>
    </w:p>
    <w:p w14:paraId="6EF45541" w14:textId="790D6709" w:rsidR="00BE3F4E" w:rsidRPr="00BE3F4E" w:rsidRDefault="00000000">
      <w:pPr>
        <w:pStyle w:val="TOC4"/>
        <w:tabs>
          <w:tab w:val="right" w:leader="underscore" w:pos="9016"/>
        </w:tabs>
        <w:rPr>
          <w:rFonts w:ascii="Arial" w:eastAsiaTheme="minorEastAsia" w:hAnsi="Arial" w:cs="Arial"/>
          <w:noProof/>
          <w:sz w:val="20"/>
          <w:szCs w:val="20"/>
        </w:rPr>
      </w:pPr>
      <w:hyperlink w:anchor="_Toc153137730" w:history="1">
        <w:r w:rsidR="00BE3F4E" w:rsidRPr="00BE3F4E">
          <w:rPr>
            <w:rStyle w:val="Hyperlink"/>
            <w:rFonts w:ascii="Arial" w:eastAsia="Times New Roman" w:hAnsi="Arial" w:cs="Arial"/>
            <w:iCs/>
            <w:noProof/>
            <w:sz w:val="20"/>
            <w:szCs w:val="20"/>
          </w:rPr>
          <w:t>CS 31HB.59 Baskets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_Toc153137730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246</w:t>
        </w:r>
        <w:r w:rsidR="00BE3F4E" w:rsidRPr="00BE3F4E">
          <w:rPr>
            <w:rFonts w:ascii="Arial" w:hAnsi="Arial" w:cs="Arial"/>
            <w:noProof/>
            <w:webHidden/>
            <w:sz w:val="20"/>
            <w:szCs w:val="20"/>
          </w:rPr>
          <w:fldChar w:fldCharType="end"/>
        </w:r>
      </w:hyperlink>
    </w:p>
    <w:p w14:paraId="2E7786FD" w14:textId="5BB6D946" w:rsidR="00BE3F4E" w:rsidRPr="00BE3F4E" w:rsidRDefault="00000000">
      <w:pPr>
        <w:pStyle w:val="TOC5"/>
        <w:tabs>
          <w:tab w:val="right" w:leader="underscore" w:pos="9016"/>
        </w:tabs>
        <w:rPr>
          <w:rFonts w:ascii="Arial" w:eastAsiaTheme="minorEastAsia" w:hAnsi="Arial" w:cs="Arial"/>
          <w:noProof/>
          <w:sz w:val="20"/>
          <w:szCs w:val="20"/>
        </w:rPr>
      </w:pPr>
      <w:hyperlink w:anchor="_Toc153137731" w:history="1">
        <w:r w:rsidR="00BE3F4E" w:rsidRPr="00BE3F4E">
          <w:rPr>
            <w:rStyle w:val="Hyperlink"/>
            <w:rFonts w:ascii="Arial" w:eastAsia="Times New Roman" w:hAnsi="Arial" w:cs="Arial"/>
            <w:noProof/>
            <w:sz w:val="20"/>
            <w:szCs w:val="20"/>
          </w:rPr>
          <w:t>AMC 31HB.59(a) Baskets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_Toc153137731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246</w:t>
        </w:r>
        <w:r w:rsidR="00BE3F4E" w:rsidRPr="00BE3F4E">
          <w:rPr>
            <w:rFonts w:ascii="Arial" w:hAnsi="Arial" w:cs="Arial"/>
            <w:noProof/>
            <w:webHidden/>
            <w:sz w:val="20"/>
            <w:szCs w:val="20"/>
          </w:rPr>
          <w:fldChar w:fldCharType="end"/>
        </w:r>
      </w:hyperlink>
    </w:p>
    <w:p w14:paraId="3A8272CD" w14:textId="50E24901" w:rsidR="00BE3F4E" w:rsidRPr="00BE3F4E" w:rsidRDefault="00000000">
      <w:pPr>
        <w:pStyle w:val="TOC5"/>
        <w:tabs>
          <w:tab w:val="right" w:leader="underscore" w:pos="9016"/>
        </w:tabs>
        <w:rPr>
          <w:rFonts w:ascii="Arial" w:eastAsiaTheme="minorEastAsia" w:hAnsi="Arial" w:cs="Arial"/>
          <w:noProof/>
          <w:sz w:val="20"/>
          <w:szCs w:val="20"/>
        </w:rPr>
      </w:pPr>
      <w:hyperlink w:anchor="_Toc153137732" w:history="1">
        <w:r w:rsidR="00BE3F4E" w:rsidRPr="00BE3F4E">
          <w:rPr>
            <w:rStyle w:val="Hyperlink"/>
            <w:rFonts w:ascii="Arial" w:eastAsia="Times New Roman" w:hAnsi="Arial" w:cs="Arial"/>
            <w:noProof/>
            <w:sz w:val="20"/>
            <w:szCs w:val="20"/>
          </w:rPr>
          <w:t>AMC 31HB.59(c) Baskets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_Toc153137732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246</w:t>
        </w:r>
        <w:r w:rsidR="00BE3F4E" w:rsidRPr="00BE3F4E">
          <w:rPr>
            <w:rFonts w:ascii="Arial" w:hAnsi="Arial" w:cs="Arial"/>
            <w:noProof/>
            <w:webHidden/>
            <w:sz w:val="20"/>
            <w:szCs w:val="20"/>
          </w:rPr>
          <w:fldChar w:fldCharType="end"/>
        </w:r>
      </w:hyperlink>
    </w:p>
    <w:p w14:paraId="397AE29D" w14:textId="686EAA41" w:rsidR="00BE3F4E" w:rsidRPr="00BE3F4E" w:rsidRDefault="00000000">
      <w:pPr>
        <w:pStyle w:val="TOC5"/>
        <w:tabs>
          <w:tab w:val="right" w:leader="underscore" w:pos="9016"/>
        </w:tabs>
        <w:rPr>
          <w:rFonts w:ascii="Arial" w:eastAsiaTheme="minorEastAsia" w:hAnsi="Arial" w:cs="Arial"/>
          <w:noProof/>
          <w:sz w:val="20"/>
          <w:szCs w:val="20"/>
        </w:rPr>
      </w:pPr>
      <w:hyperlink w:anchor="_Toc153137733" w:history="1">
        <w:r w:rsidR="00BE3F4E" w:rsidRPr="00BE3F4E">
          <w:rPr>
            <w:rStyle w:val="Hyperlink"/>
            <w:rFonts w:ascii="Arial" w:eastAsia="Times New Roman" w:hAnsi="Arial" w:cs="Arial"/>
            <w:noProof/>
            <w:sz w:val="20"/>
            <w:szCs w:val="20"/>
          </w:rPr>
          <w:t>AMC 31HB.59(e) Baskets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_Toc153137733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246</w:t>
        </w:r>
        <w:r w:rsidR="00BE3F4E" w:rsidRPr="00BE3F4E">
          <w:rPr>
            <w:rFonts w:ascii="Arial" w:hAnsi="Arial" w:cs="Arial"/>
            <w:noProof/>
            <w:webHidden/>
            <w:sz w:val="20"/>
            <w:szCs w:val="20"/>
          </w:rPr>
          <w:fldChar w:fldCharType="end"/>
        </w:r>
      </w:hyperlink>
    </w:p>
    <w:p w14:paraId="3A546718" w14:textId="58F0FCF8" w:rsidR="00BE3F4E" w:rsidRPr="00BE3F4E" w:rsidRDefault="00000000">
      <w:pPr>
        <w:pStyle w:val="TOC5"/>
        <w:tabs>
          <w:tab w:val="right" w:leader="underscore" w:pos="9016"/>
        </w:tabs>
        <w:rPr>
          <w:rFonts w:ascii="Arial" w:eastAsiaTheme="minorEastAsia" w:hAnsi="Arial" w:cs="Arial"/>
          <w:noProof/>
          <w:sz w:val="20"/>
          <w:szCs w:val="20"/>
        </w:rPr>
      </w:pPr>
      <w:hyperlink w:anchor="_Toc153137734" w:history="1">
        <w:r w:rsidR="00BE3F4E" w:rsidRPr="00BE3F4E">
          <w:rPr>
            <w:rStyle w:val="Hyperlink"/>
            <w:rFonts w:ascii="Arial" w:eastAsia="Times New Roman" w:hAnsi="Arial" w:cs="Arial"/>
            <w:noProof/>
            <w:sz w:val="20"/>
            <w:szCs w:val="20"/>
          </w:rPr>
          <w:t>AMC 31HB.59(f) Baskets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_Toc153137734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247</w:t>
        </w:r>
        <w:r w:rsidR="00BE3F4E" w:rsidRPr="00BE3F4E">
          <w:rPr>
            <w:rFonts w:ascii="Arial" w:hAnsi="Arial" w:cs="Arial"/>
            <w:noProof/>
            <w:webHidden/>
            <w:sz w:val="20"/>
            <w:szCs w:val="20"/>
          </w:rPr>
          <w:fldChar w:fldCharType="end"/>
        </w:r>
      </w:hyperlink>
    </w:p>
    <w:p w14:paraId="5303D730" w14:textId="2F5CAF7A" w:rsidR="00BE3F4E" w:rsidRPr="00BE3F4E" w:rsidRDefault="00000000">
      <w:pPr>
        <w:pStyle w:val="TOC5"/>
        <w:tabs>
          <w:tab w:val="right" w:leader="underscore" w:pos="9016"/>
        </w:tabs>
        <w:rPr>
          <w:rFonts w:ascii="Arial" w:eastAsiaTheme="minorEastAsia" w:hAnsi="Arial" w:cs="Arial"/>
          <w:noProof/>
          <w:sz w:val="20"/>
          <w:szCs w:val="20"/>
        </w:rPr>
      </w:pPr>
      <w:hyperlink w:anchor="_Toc153137735" w:history="1">
        <w:r w:rsidR="00BE3F4E" w:rsidRPr="00BE3F4E">
          <w:rPr>
            <w:rStyle w:val="Hyperlink"/>
            <w:rFonts w:ascii="Arial" w:eastAsia="Times New Roman" w:hAnsi="Arial" w:cs="Arial"/>
            <w:noProof/>
            <w:sz w:val="20"/>
            <w:szCs w:val="20"/>
          </w:rPr>
          <w:t>AMC 31HB.59(h) Baskets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_Toc153137735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247</w:t>
        </w:r>
        <w:r w:rsidR="00BE3F4E" w:rsidRPr="00BE3F4E">
          <w:rPr>
            <w:rFonts w:ascii="Arial" w:hAnsi="Arial" w:cs="Arial"/>
            <w:noProof/>
            <w:webHidden/>
            <w:sz w:val="20"/>
            <w:szCs w:val="20"/>
          </w:rPr>
          <w:fldChar w:fldCharType="end"/>
        </w:r>
      </w:hyperlink>
    </w:p>
    <w:p w14:paraId="5563339D" w14:textId="3EFCDEE2" w:rsidR="00BE3F4E" w:rsidRPr="00BE3F4E" w:rsidRDefault="00000000">
      <w:pPr>
        <w:pStyle w:val="TOC5"/>
        <w:tabs>
          <w:tab w:val="right" w:leader="underscore" w:pos="9016"/>
        </w:tabs>
        <w:rPr>
          <w:rFonts w:ascii="Arial" w:eastAsiaTheme="minorEastAsia" w:hAnsi="Arial" w:cs="Arial"/>
          <w:noProof/>
          <w:sz w:val="20"/>
          <w:szCs w:val="20"/>
        </w:rPr>
      </w:pPr>
      <w:hyperlink w:anchor="_Toc153137736" w:history="1">
        <w:r w:rsidR="00BE3F4E" w:rsidRPr="00BE3F4E">
          <w:rPr>
            <w:rStyle w:val="Hyperlink"/>
            <w:rFonts w:ascii="Arial" w:eastAsia="Times New Roman" w:hAnsi="Arial" w:cs="Arial"/>
            <w:noProof/>
            <w:sz w:val="20"/>
            <w:szCs w:val="20"/>
          </w:rPr>
          <w:t>AMC 31HB.59(l) Baskets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_Toc153137736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247</w:t>
        </w:r>
        <w:r w:rsidR="00BE3F4E" w:rsidRPr="00BE3F4E">
          <w:rPr>
            <w:rFonts w:ascii="Arial" w:hAnsi="Arial" w:cs="Arial"/>
            <w:noProof/>
            <w:webHidden/>
            <w:sz w:val="20"/>
            <w:szCs w:val="20"/>
          </w:rPr>
          <w:fldChar w:fldCharType="end"/>
        </w:r>
      </w:hyperlink>
    </w:p>
    <w:p w14:paraId="59BFEC72" w14:textId="2EB88FC3" w:rsidR="00BE3F4E" w:rsidRPr="00BE3F4E" w:rsidRDefault="00000000">
      <w:pPr>
        <w:pStyle w:val="TOC4"/>
        <w:tabs>
          <w:tab w:val="right" w:leader="underscore" w:pos="9016"/>
        </w:tabs>
        <w:rPr>
          <w:rFonts w:ascii="Arial" w:eastAsiaTheme="minorEastAsia" w:hAnsi="Arial" w:cs="Arial"/>
          <w:noProof/>
          <w:sz w:val="20"/>
          <w:szCs w:val="20"/>
        </w:rPr>
      </w:pPr>
      <w:hyperlink w:anchor="_Toc153137737" w:history="1">
        <w:r w:rsidR="00BE3F4E" w:rsidRPr="00BE3F4E">
          <w:rPr>
            <w:rStyle w:val="Hyperlink"/>
            <w:rFonts w:ascii="Arial" w:eastAsia="Times New Roman" w:hAnsi="Arial" w:cs="Arial"/>
            <w:iCs/>
            <w:noProof/>
            <w:sz w:val="20"/>
            <w:szCs w:val="20"/>
          </w:rPr>
          <w:t>CS 31HB.63 Occupant restraint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_Toc153137737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247</w:t>
        </w:r>
        <w:r w:rsidR="00BE3F4E" w:rsidRPr="00BE3F4E">
          <w:rPr>
            <w:rFonts w:ascii="Arial" w:hAnsi="Arial" w:cs="Arial"/>
            <w:noProof/>
            <w:webHidden/>
            <w:sz w:val="20"/>
            <w:szCs w:val="20"/>
          </w:rPr>
          <w:fldChar w:fldCharType="end"/>
        </w:r>
      </w:hyperlink>
    </w:p>
    <w:p w14:paraId="32DEA629" w14:textId="56F05467" w:rsidR="00BE3F4E" w:rsidRPr="00BE3F4E" w:rsidRDefault="00000000">
      <w:pPr>
        <w:pStyle w:val="TOC5"/>
        <w:tabs>
          <w:tab w:val="right" w:leader="underscore" w:pos="9016"/>
        </w:tabs>
        <w:rPr>
          <w:rFonts w:ascii="Arial" w:eastAsiaTheme="minorEastAsia" w:hAnsi="Arial" w:cs="Arial"/>
          <w:noProof/>
          <w:sz w:val="20"/>
          <w:szCs w:val="20"/>
        </w:rPr>
      </w:pPr>
      <w:hyperlink w:anchor="_Toc153137738" w:history="1">
        <w:r w:rsidR="00BE3F4E" w:rsidRPr="00BE3F4E">
          <w:rPr>
            <w:rStyle w:val="Hyperlink"/>
            <w:rFonts w:ascii="Arial" w:eastAsia="Times New Roman" w:hAnsi="Arial" w:cs="Arial"/>
            <w:noProof/>
            <w:sz w:val="20"/>
            <w:szCs w:val="20"/>
          </w:rPr>
          <w:t>AMC 31HB.63(a) Occupant restraint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_Toc153137738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247</w:t>
        </w:r>
        <w:r w:rsidR="00BE3F4E" w:rsidRPr="00BE3F4E">
          <w:rPr>
            <w:rFonts w:ascii="Arial" w:hAnsi="Arial" w:cs="Arial"/>
            <w:noProof/>
            <w:webHidden/>
            <w:sz w:val="20"/>
            <w:szCs w:val="20"/>
          </w:rPr>
          <w:fldChar w:fldCharType="end"/>
        </w:r>
      </w:hyperlink>
    </w:p>
    <w:p w14:paraId="22993715" w14:textId="05E317E4" w:rsidR="00BE3F4E" w:rsidRPr="00BE3F4E" w:rsidRDefault="00000000">
      <w:pPr>
        <w:pStyle w:val="TOC4"/>
        <w:tabs>
          <w:tab w:val="right" w:leader="underscore" w:pos="9016"/>
        </w:tabs>
        <w:rPr>
          <w:rFonts w:ascii="Arial" w:eastAsiaTheme="minorEastAsia" w:hAnsi="Arial" w:cs="Arial"/>
          <w:noProof/>
          <w:sz w:val="20"/>
          <w:szCs w:val="20"/>
        </w:rPr>
      </w:pPr>
      <w:hyperlink w:anchor="_Toc153137739" w:history="1">
        <w:r w:rsidR="00BE3F4E" w:rsidRPr="00BE3F4E">
          <w:rPr>
            <w:rStyle w:val="Hyperlink"/>
            <w:rFonts w:ascii="Arial" w:eastAsia="Times New Roman" w:hAnsi="Arial" w:cs="Arial"/>
            <w:iCs/>
            <w:noProof/>
            <w:sz w:val="20"/>
            <w:szCs w:val="20"/>
          </w:rPr>
          <w:t>CS 31HB.67 Tethered flight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_Toc153137739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247</w:t>
        </w:r>
        <w:r w:rsidR="00BE3F4E" w:rsidRPr="00BE3F4E">
          <w:rPr>
            <w:rFonts w:ascii="Arial" w:hAnsi="Arial" w:cs="Arial"/>
            <w:noProof/>
            <w:webHidden/>
            <w:sz w:val="20"/>
            <w:szCs w:val="20"/>
          </w:rPr>
          <w:fldChar w:fldCharType="end"/>
        </w:r>
      </w:hyperlink>
    </w:p>
    <w:p w14:paraId="6AE2DF57" w14:textId="60D3F193" w:rsidR="00BE3F4E" w:rsidRPr="00BE3F4E" w:rsidRDefault="00000000">
      <w:pPr>
        <w:pStyle w:val="TOC5"/>
        <w:tabs>
          <w:tab w:val="right" w:leader="underscore" w:pos="9016"/>
        </w:tabs>
        <w:rPr>
          <w:rFonts w:ascii="Arial" w:eastAsiaTheme="minorEastAsia" w:hAnsi="Arial" w:cs="Arial"/>
          <w:noProof/>
          <w:sz w:val="20"/>
          <w:szCs w:val="20"/>
        </w:rPr>
      </w:pPr>
      <w:hyperlink w:anchor="_Toc153137740" w:history="1">
        <w:r w:rsidR="00BE3F4E" w:rsidRPr="00BE3F4E">
          <w:rPr>
            <w:rStyle w:val="Hyperlink"/>
            <w:rFonts w:ascii="Arial" w:eastAsia="Times New Roman" w:hAnsi="Arial" w:cs="Arial"/>
            <w:noProof/>
            <w:sz w:val="20"/>
            <w:szCs w:val="20"/>
          </w:rPr>
          <w:t>AMC 31HB.67 Tethered flight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_Toc153137740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247</w:t>
        </w:r>
        <w:r w:rsidR="00BE3F4E" w:rsidRPr="00BE3F4E">
          <w:rPr>
            <w:rFonts w:ascii="Arial" w:hAnsi="Arial" w:cs="Arial"/>
            <w:noProof/>
            <w:webHidden/>
            <w:sz w:val="20"/>
            <w:szCs w:val="20"/>
          </w:rPr>
          <w:fldChar w:fldCharType="end"/>
        </w:r>
      </w:hyperlink>
    </w:p>
    <w:p w14:paraId="1C9F0E16" w14:textId="753A72A3" w:rsidR="00BE3F4E" w:rsidRPr="00BE3F4E" w:rsidRDefault="00000000">
      <w:pPr>
        <w:pStyle w:val="TOC3"/>
        <w:tabs>
          <w:tab w:val="right" w:leader="underscore" w:pos="9016"/>
        </w:tabs>
        <w:rPr>
          <w:rFonts w:ascii="Arial" w:eastAsiaTheme="minorEastAsia" w:hAnsi="Arial" w:cs="Arial"/>
          <w:b w:val="0"/>
          <w:bCs w:val="0"/>
          <w:noProof/>
          <w:sz w:val="20"/>
          <w:szCs w:val="20"/>
        </w:rPr>
      </w:pPr>
      <w:hyperlink w:anchor="_Toc153137741" w:history="1">
        <w:r w:rsidR="00BE3F4E" w:rsidRPr="00BE3F4E">
          <w:rPr>
            <w:rStyle w:val="Hyperlink"/>
            <w:rFonts w:ascii="Arial" w:eastAsiaTheme="majorEastAsia" w:hAnsi="Arial" w:cs="Arial"/>
            <w:b w:val="0"/>
            <w:bCs w:val="0"/>
            <w:noProof/>
            <w:sz w:val="20"/>
            <w:szCs w:val="20"/>
          </w:rPr>
          <w:t>SUBPART F – EQUIPMENT</w:t>
        </w:r>
        <w:r w:rsidR="00BE3F4E" w:rsidRPr="00BE3F4E">
          <w:rPr>
            <w:rFonts w:ascii="Arial" w:hAnsi="Arial" w:cs="Arial"/>
            <w:b w:val="0"/>
            <w:bCs w:val="0"/>
            <w:noProof/>
            <w:webHidden/>
            <w:sz w:val="20"/>
            <w:szCs w:val="20"/>
          </w:rPr>
          <w:tab/>
        </w:r>
        <w:r w:rsidR="00BE3F4E" w:rsidRPr="00BE3F4E">
          <w:rPr>
            <w:rFonts w:ascii="Arial" w:hAnsi="Arial" w:cs="Arial"/>
            <w:b w:val="0"/>
            <w:bCs w:val="0"/>
            <w:noProof/>
            <w:webHidden/>
            <w:sz w:val="20"/>
            <w:szCs w:val="20"/>
          </w:rPr>
          <w:fldChar w:fldCharType="begin"/>
        </w:r>
        <w:r w:rsidR="00BE3F4E" w:rsidRPr="00BE3F4E">
          <w:rPr>
            <w:rFonts w:ascii="Arial" w:hAnsi="Arial" w:cs="Arial"/>
            <w:b w:val="0"/>
            <w:bCs w:val="0"/>
            <w:noProof/>
            <w:webHidden/>
            <w:sz w:val="20"/>
            <w:szCs w:val="20"/>
          </w:rPr>
          <w:instrText xml:space="preserve"> PAGEREF _Toc153137741 \h </w:instrText>
        </w:r>
        <w:r w:rsidR="00BE3F4E" w:rsidRPr="00BE3F4E">
          <w:rPr>
            <w:rFonts w:ascii="Arial" w:hAnsi="Arial" w:cs="Arial"/>
            <w:b w:val="0"/>
            <w:bCs w:val="0"/>
            <w:noProof/>
            <w:webHidden/>
            <w:sz w:val="20"/>
            <w:szCs w:val="20"/>
          </w:rPr>
        </w:r>
        <w:r w:rsidR="00BE3F4E" w:rsidRPr="00BE3F4E">
          <w:rPr>
            <w:rFonts w:ascii="Arial" w:hAnsi="Arial" w:cs="Arial"/>
            <w:b w:val="0"/>
            <w:bCs w:val="0"/>
            <w:noProof/>
            <w:webHidden/>
            <w:sz w:val="20"/>
            <w:szCs w:val="20"/>
          </w:rPr>
          <w:fldChar w:fldCharType="separate"/>
        </w:r>
        <w:r w:rsidR="006A7538">
          <w:rPr>
            <w:rFonts w:ascii="Arial" w:hAnsi="Arial" w:cs="Arial"/>
            <w:b w:val="0"/>
            <w:bCs w:val="0"/>
            <w:noProof/>
            <w:webHidden/>
            <w:sz w:val="20"/>
            <w:szCs w:val="20"/>
          </w:rPr>
          <w:t>248</w:t>
        </w:r>
        <w:r w:rsidR="00BE3F4E" w:rsidRPr="00BE3F4E">
          <w:rPr>
            <w:rFonts w:ascii="Arial" w:hAnsi="Arial" w:cs="Arial"/>
            <w:b w:val="0"/>
            <w:bCs w:val="0"/>
            <w:noProof/>
            <w:webHidden/>
            <w:sz w:val="20"/>
            <w:szCs w:val="20"/>
          </w:rPr>
          <w:fldChar w:fldCharType="end"/>
        </w:r>
      </w:hyperlink>
    </w:p>
    <w:p w14:paraId="1CEC10AD" w14:textId="43A9445C" w:rsidR="00BE3F4E" w:rsidRPr="00BE3F4E" w:rsidRDefault="00000000">
      <w:pPr>
        <w:pStyle w:val="TOC4"/>
        <w:tabs>
          <w:tab w:val="right" w:leader="underscore" w:pos="9016"/>
        </w:tabs>
        <w:rPr>
          <w:rFonts w:ascii="Arial" w:eastAsiaTheme="minorEastAsia" w:hAnsi="Arial" w:cs="Arial"/>
          <w:noProof/>
          <w:sz w:val="20"/>
          <w:szCs w:val="20"/>
        </w:rPr>
      </w:pPr>
      <w:hyperlink w:anchor="_Toc153137742" w:history="1">
        <w:r w:rsidR="00BE3F4E" w:rsidRPr="00BE3F4E">
          <w:rPr>
            <w:rStyle w:val="Hyperlink"/>
            <w:rFonts w:ascii="Arial" w:eastAsia="Times New Roman" w:hAnsi="Arial" w:cs="Arial"/>
            <w:iCs/>
            <w:noProof/>
            <w:sz w:val="20"/>
            <w:szCs w:val="20"/>
          </w:rPr>
          <w:t>CS 31HB.71 Function and installation</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_Toc153137742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248</w:t>
        </w:r>
        <w:r w:rsidR="00BE3F4E" w:rsidRPr="00BE3F4E">
          <w:rPr>
            <w:rFonts w:ascii="Arial" w:hAnsi="Arial" w:cs="Arial"/>
            <w:noProof/>
            <w:webHidden/>
            <w:sz w:val="20"/>
            <w:szCs w:val="20"/>
          </w:rPr>
          <w:fldChar w:fldCharType="end"/>
        </w:r>
      </w:hyperlink>
    </w:p>
    <w:p w14:paraId="2748768B" w14:textId="3D74BB77" w:rsidR="00BE3F4E" w:rsidRPr="00BE3F4E" w:rsidRDefault="00000000">
      <w:pPr>
        <w:pStyle w:val="TOC5"/>
        <w:tabs>
          <w:tab w:val="right" w:leader="underscore" w:pos="9016"/>
        </w:tabs>
        <w:rPr>
          <w:rFonts w:ascii="Arial" w:eastAsiaTheme="minorEastAsia" w:hAnsi="Arial" w:cs="Arial"/>
          <w:noProof/>
          <w:sz w:val="20"/>
          <w:szCs w:val="20"/>
        </w:rPr>
      </w:pPr>
      <w:hyperlink w:anchor="_Toc153137743" w:history="1">
        <w:r w:rsidR="00BE3F4E" w:rsidRPr="00BE3F4E">
          <w:rPr>
            <w:rStyle w:val="Hyperlink"/>
            <w:rFonts w:ascii="Arial" w:eastAsia="Times New Roman" w:hAnsi="Arial" w:cs="Arial"/>
            <w:noProof/>
            <w:sz w:val="20"/>
            <w:szCs w:val="20"/>
          </w:rPr>
          <w:t>AMC 31HB.71(a)(4) Function and installation</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_Toc153137743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248</w:t>
        </w:r>
        <w:r w:rsidR="00BE3F4E" w:rsidRPr="00BE3F4E">
          <w:rPr>
            <w:rFonts w:ascii="Arial" w:hAnsi="Arial" w:cs="Arial"/>
            <w:noProof/>
            <w:webHidden/>
            <w:sz w:val="20"/>
            <w:szCs w:val="20"/>
          </w:rPr>
          <w:fldChar w:fldCharType="end"/>
        </w:r>
      </w:hyperlink>
    </w:p>
    <w:p w14:paraId="21F88718" w14:textId="77830318" w:rsidR="00BE3F4E" w:rsidRPr="00BE3F4E" w:rsidRDefault="00000000">
      <w:pPr>
        <w:pStyle w:val="TOC4"/>
        <w:tabs>
          <w:tab w:val="right" w:leader="underscore" w:pos="9016"/>
        </w:tabs>
        <w:rPr>
          <w:rFonts w:ascii="Arial" w:eastAsiaTheme="minorEastAsia" w:hAnsi="Arial" w:cs="Arial"/>
          <w:noProof/>
          <w:sz w:val="20"/>
          <w:szCs w:val="20"/>
        </w:rPr>
      </w:pPr>
      <w:hyperlink w:anchor="_Toc153137744" w:history="1">
        <w:r w:rsidR="00BE3F4E" w:rsidRPr="00BE3F4E">
          <w:rPr>
            <w:rStyle w:val="Hyperlink"/>
            <w:rFonts w:ascii="Arial" w:eastAsia="Times New Roman" w:hAnsi="Arial" w:cs="Arial"/>
            <w:iCs/>
            <w:noProof/>
            <w:sz w:val="20"/>
            <w:szCs w:val="20"/>
          </w:rPr>
          <w:t>CS 31HB.72 Miscellaneous equipment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_Toc153137744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248</w:t>
        </w:r>
        <w:r w:rsidR="00BE3F4E" w:rsidRPr="00BE3F4E">
          <w:rPr>
            <w:rFonts w:ascii="Arial" w:hAnsi="Arial" w:cs="Arial"/>
            <w:noProof/>
            <w:webHidden/>
            <w:sz w:val="20"/>
            <w:szCs w:val="20"/>
          </w:rPr>
          <w:fldChar w:fldCharType="end"/>
        </w:r>
      </w:hyperlink>
    </w:p>
    <w:p w14:paraId="566359F7" w14:textId="33519D1B" w:rsidR="00BE3F4E" w:rsidRPr="00BE3F4E" w:rsidRDefault="00000000">
      <w:pPr>
        <w:pStyle w:val="TOC5"/>
        <w:tabs>
          <w:tab w:val="right" w:leader="underscore" w:pos="9016"/>
        </w:tabs>
        <w:rPr>
          <w:rFonts w:ascii="Arial" w:eastAsiaTheme="minorEastAsia" w:hAnsi="Arial" w:cs="Arial"/>
          <w:noProof/>
          <w:sz w:val="20"/>
          <w:szCs w:val="20"/>
        </w:rPr>
      </w:pPr>
      <w:hyperlink w:anchor="_Toc153137745" w:history="1">
        <w:r w:rsidR="00BE3F4E" w:rsidRPr="00BE3F4E">
          <w:rPr>
            <w:rStyle w:val="Hyperlink"/>
            <w:rFonts w:ascii="Arial" w:eastAsia="Times New Roman" w:hAnsi="Arial" w:cs="Arial"/>
            <w:noProof/>
            <w:sz w:val="20"/>
            <w:szCs w:val="20"/>
          </w:rPr>
          <w:t>AMC 31HB.72(a)(4) Miscellaneous equipment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_Toc153137745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248</w:t>
        </w:r>
        <w:r w:rsidR="00BE3F4E" w:rsidRPr="00BE3F4E">
          <w:rPr>
            <w:rFonts w:ascii="Arial" w:hAnsi="Arial" w:cs="Arial"/>
            <w:noProof/>
            <w:webHidden/>
            <w:sz w:val="20"/>
            <w:szCs w:val="20"/>
          </w:rPr>
          <w:fldChar w:fldCharType="end"/>
        </w:r>
      </w:hyperlink>
    </w:p>
    <w:p w14:paraId="3C7F460D" w14:textId="1EE2C365" w:rsidR="00BE3F4E" w:rsidRPr="00BE3F4E" w:rsidRDefault="00000000">
      <w:pPr>
        <w:pStyle w:val="TOC3"/>
        <w:tabs>
          <w:tab w:val="right" w:leader="underscore" w:pos="9016"/>
        </w:tabs>
        <w:rPr>
          <w:rFonts w:ascii="Arial" w:eastAsiaTheme="minorEastAsia" w:hAnsi="Arial" w:cs="Arial"/>
          <w:b w:val="0"/>
          <w:bCs w:val="0"/>
          <w:noProof/>
          <w:sz w:val="20"/>
          <w:szCs w:val="20"/>
        </w:rPr>
      </w:pPr>
      <w:hyperlink w:anchor="_Toc153137746" w:history="1">
        <w:r w:rsidR="00BE3F4E" w:rsidRPr="00BE3F4E">
          <w:rPr>
            <w:rStyle w:val="Hyperlink"/>
            <w:rFonts w:ascii="Arial" w:eastAsiaTheme="majorEastAsia" w:hAnsi="Arial" w:cs="Arial"/>
            <w:b w:val="0"/>
            <w:bCs w:val="0"/>
            <w:noProof/>
            <w:sz w:val="20"/>
            <w:szCs w:val="20"/>
          </w:rPr>
          <w:t>SUBPART G – OPERATING LIMITATIONS AND INFORMATION</w:t>
        </w:r>
        <w:r w:rsidR="00BE3F4E" w:rsidRPr="00BE3F4E">
          <w:rPr>
            <w:rFonts w:ascii="Arial" w:hAnsi="Arial" w:cs="Arial"/>
            <w:b w:val="0"/>
            <w:bCs w:val="0"/>
            <w:noProof/>
            <w:webHidden/>
            <w:sz w:val="20"/>
            <w:szCs w:val="20"/>
          </w:rPr>
          <w:tab/>
        </w:r>
        <w:r w:rsidR="00BE3F4E" w:rsidRPr="00BE3F4E">
          <w:rPr>
            <w:rFonts w:ascii="Arial" w:hAnsi="Arial" w:cs="Arial"/>
            <w:b w:val="0"/>
            <w:bCs w:val="0"/>
            <w:noProof/>
            <w:webHidden/>
            <w:sz w:val="20"/>
            <w:szCs w:val="20"/>
          </w:rPr>
          <w:fldChar w:fldCharType="begin"/>
        </w:r>
        <w:r w:rsidR="00BE3F4E" w:rsidRPr="00BE3F4E">
          <w:rPr>
            <w:rFonts w:ascii="Arial" w:hAnsi="Arial" w:cs="Arial"/>
            <w:b w:val="0"/>
            <w:bCs w:val="0"/>
            <w:noProof/>
            <w:webHidden/>
            <w:sz w:val="20"/>
            <w:szCs w:val="20"/>
          </w:rPr>
          <w:instrText xml:space="preserve"> PAGEREF _Toc153137746 \h </w:instrText>
        </w:r>
        <w:r w:rsidR="00BE3F4E" w:rsidRPr="00BE3F4E">
          <w:rPr>
            <w:rFonts w:ascii="Arial" w:hAnsi="Arial" w:cs="Arial"/>
            <w:b w:val="0"/>
            <w:bCs w:val="0"/>
            <w:noProof/>
            <w:webHidden/>
            <w:sz w:val="20"/>
            <w:szCs w:val="20"/>
          </w:rPr>
        </w:r>
        <w:r w:rsidR="00BE3F4E" w:rsidRPr="00BE3F4E">
          <w:rPr>
            <w:rFonts w:ascii="Arial" w:hAnsi="Arial" w:cs="Arial"/>
            <w:b w:val="0"/>
            <w:bCs w:val="0"/>
            <w:noProof/>
            <w:webHidden/>
            <w:sz w:val="20"/>
            <w:szCs w:val="20"/>
          </w:rPr>
          <w:fldChar w:fldCharType="separate"/>
        </w:r>
        <w:r w:rsidR="006A7538">
          <w:rPr>
            <w:rFonts w:ascii="Arial" w:hAnsi="Arial" w:cs="Arial"/>
            <w:b w:val="0"/>
            <w:bCs w:val="0"/>
            <w:noProof/>
            <w:webHidden/>
            <w:sz w:val="20"/>
            <w:szCs w:val="20"/>
          </w:rPr>
          <w:t>249</w:t>
        </w:r>
        <w:r w:rsidR="00BE3F4E" w:rsidRPr="00BE3F4E">
          <w:rPr>
            <w:rFonts w:ascii="Arial" w:hAnsi="Arial" w:cs="Arial"/>
            <w:b w:val="0"/>
            <w:bCs w:val="0"/>
            <w:noProof/>
            <w:webHidden/>
            <w:sz w:val="20"/>
            <w:szCs w:val="20"/>
          </w:rPr>
          <w:fldChar w:fldCharType="end"/>
        </w:r>
      </w:hyperlink>
    </w:p>
    <w:p w14:paraId="79AF3B15" w14:textId="415729DB" w:rsidR="00BE3F4E" w:rsidRPr="00BE3F4E" w:rsidRDefault="00000000">
      <w:pPr>
        <w:pStyle w:val="TOC4"/>
        <w:tabs>
          <w:tab w:val="right" w:leader="underscore" w:pos="9016"/>
        </w:tabs>
        <w:rPr>
          <w:rFonts w:ascii="Arial" w:eastAsiaTheme="minorEastAsia" w:hAnsi="Arial" w:cs="Arial"/>
          <w:noProof/>
          <w:sz w:val="20"/>
          <w:szCs w:val="20"/>
        </w:rPr>
      </w:pPr>
      <w:hyperlink w:anchor="_Toc153137747" w:history="1">
        <w:r w:rsidR="00BE3F4E" w:rsidRPr="00BE3F4E">
          <w:rPr>
            <w:rStyle w:val="Hyperlink"/>
            <w:rFonts w:ascii="Arial" w:eastAsia="Times New Roman" w:hAnsi="Arial" w:cs="Arial"/>
            <w:iCs/>
            <w:noProof/>
            <w:sz w:val="20"/>
            <w:szCs w:val="20"/>
          </w:rPr>
          <w:t>CS 31HB.81 Operating instructions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_Toc153137747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249</w:t>
        </w:r>
        <w:r w:rsidR="00BE3F4E" w:rsidRPr="00BE3F4E">
          <w:rPr>
            <w:rFonts w:ascii="Arial" w:hAnsi="Arial" w:cs="Arial"/>
            <w:noProof/>
            <w:webHidden/>
            <w:sz w:val="20"/>
            <w:szCs w:val="20"/>
          </w:rPr>
          <w:fldChar w:fldCharType="end"/>
        </w:r>
      </w:hyperlink>
    </w:p>
    <w:p w14:paraId="527A9714" w14:textId="00536486" w:rsidR="00BE3F4E" w:rsidRPr="00BE3F4E" w:rsidRDefault="00000000">
      <w:pPr>
        <w:pStyle w:val="TOC5"/>
        <w:tabs>
          <w:tab w:val="right" w:leader="underscore" w:pos="9016"/>
        </w:tabs>
        <w:rPr>
          <w:rFonts w:ascii="Arial" w:eastAsiaTheme="minorEastAsia" w:hAnsi="Arial" w:cs="Arial"/>
          <w:noProof/>
          <w:sz w:val="20"/>
          <w:szCs w:val="20"/>
        </w:rPr>
      </w:pPr>
      <w:hyperlink w:anchor="_Toc153137748" w:history="1">
        <w:r w:rsidR="00BE3F4E" w:rsidRPr="00BE3F4E">
          <w:rPr>
            <w:rStyle w:val="Hyperlink"/>
            <w:rFonts w:ascii="Arial" w:eastAsia="Times New Roman" w:hAnsi="Arial" w:cs="Arial"/>
            <w:noProof/>
            <w:sz w:val="20"/>
            <w:szCs w:val="20"/>
          </w:rPr>
          <w:t>AMC 31HB.81 General</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_Toc153137748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249</w:t>
        </w:r>
        <w:r w:rsidR="00BE3F4E" w:rsidRPr="00BE3F4E">
          <w:rPr>
            <w:rFonts w:ascii="Arial" w:hAnsi="Arial" w:cs="Arial"/>
            <w:noProof/>
            <w:webHidden/>
            <w:sz w:val="20"/>
            <w:szCs w:val="20"/>
          </w:rPr>
          <w:fldChar w:fldCharType="end"/>
        </w:r>
      </w:hyperlink>
    </w:p>
    <w:p w14:paraId="4402BD3F" w14:textId="4101C754" w:rsidR="00BE3F4E" w:rsidRPr="00BE3F4E" w:rsidRDefault="00000000">
      <w:pPr>
        <w:pStyle w:val="TOC5"/>
        <w:tabs>
          <w:tab w:val="right" w:leader="underscore" w:pos="9016"/>
        </w:tabs>
        <w:rPr>
          <w:rFonts w:ascii="Arial" w:eastAsiaTheme="minorEastAsia" w:hAnsi="Arial" w:cs="Arial"/>
          <w:noProof/>
          <w:sz w:val="20"/>
          <w:szCs w:val="20"/>
        </w:rPr>
      </w:pPr>
      <w:hyperlink w:anchor="_Toc153137749" w:history="1">
        <w:r w:rsidR="00BE3F4E" w:rsidRPr="00BE3F4E">
          <w:rPr>
            <w:rStyle w:val="Hyperlink"/>
            <w:rFonts w:ascii="Arial" w:eastAsia="Times New Roman" w:hAnsi="Arial" w:cs="Arial"/>
            <w:noProof/>
            <w:sz w:val="20"/>
            <w:szCs w:val="20"/>
          </w:rPr>
          <w:t>AMC 31HB.81(b)(2) General</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_Toc153137749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249</w:t>
        </w:r>
        <w:r w:rsidR="00BE3F4E" w:rsidRPr="00BE3F4E">
          <w:rPr>
            <w:rFonts w:ascii="Arial" w:hAnsi="Arial" w:cs="Arial"/>
            <w:noProof/>
            <w:webHidden/>
            <w:sz w:val="20"/>
            <w:szCs w:val="20"/>
          </w:rPr>
          <w:fldChar w:fldCharType="end"/>
        </w:r>
      </w:hyperlink>
    </w:p>
    <w:p w14:paraId="3822F1B4" w14:textId="0AFD462B" w:rsidR="00BE3F4E" w:rsidRPr="00BE3F4E" w:rsidRDefault="00000000">
      <w:pPr>
        <w:pStyle w:val="TOC5"/>
        <w:tabs>
          <w:tab w:val="right" w:leader="underscore" w:pos="9016"/>
        </w:tabs>
        <w:rPr>
          <w:rFonts w:ascii="Arial" w:eastAsiaTheme="minorEastAsia" w:hAnsi="Arial" w:cs="Arial"/>
          <w:noProof/>
          <w:sz w:val="20"/>
          <w:szCs w:val="20"/>
        </w:rPr>
      </w:pPr>
      <w:hyperlink w:anchor="_Toc153137750" w:history="1">
        <w:r w:rsidR="00BE3F4E" w:rsidRPr="00BE3F4E">
          <w:rPr>
            <w:rStyle w:val="Hyperlink"/>
            <w:rFonts w:ascii="Arial" w:eastAsia="Times New Roman" w:hAnsi="Arial" w:cs="Arial"/>
            <w:noProof/>
            <w:sz w:val="20"/>
            <w:szCs w:val="20"/>
          </w:rPr>
          <w:t>AMC 31HB.81(c) General</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_Toc153137750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249</w:t>
        </w:r>
        <w:r w:rsidR="00BE3F4E" w:rsidRPr="00BE3F4E">
          <w:rPr>
            <w:rFonts w:ascii="Arial" w:hAnsi="Arial" w:cs="Arial"/>
            <w:noProof/>
            <w:webHidden/>
            <w:sz w:val="20"/>
            <w:szCs w:val="20"/>
          </w:rPr>
          <w:fldChar w:fldCharType="end"/>
        </w:r>
      </w:hyperlink>
    </w:p>
    <w:p w14:paraId="2F9F5BBC" w14:textId="1FEA794F" w:rsidR="00BE3F4E" w:rsidRPr="00BE3F4E" w:rsidRDefault="00000000">
      <w:pPr>
        <w:pStyle w:val="TOC4"/>
        <w:tabs>
          <w:tab w:val="right" w:leader="underscore" w:pos="9016"/>
        </w:tabs>
        <w:rPr>
          <w:rFonts w:ascii="Arial" w:eastAsiaTheme="minorEastAsia" w:hAnsi="Arial" w:cs="Arial"/>
          <w:noProof/>
          <w:sz w:val="20"/>
          <w:szCs w:val="20"/>
        </w:rPr>
      </w:pPr>
      <w:hyperlink w:anchor="_Toc153137751" w:history="1">
        <w:r w:rsidR="00BE3F4E" w:rsidRPr="00BE3F4E">
          <w:rPr>
            <w:rStyle w:val="Hyperlink"/>
            <w:rFonts w:ascii="Arial" w:eastAsia="Times New Roman" w:hAnsi="Arial" w:cs="Arial"/>
            <w:iCs/>
            <w:noProof/>
            <w:sz w:val="20"/>
            <w:szCs w:val="20"/>
          </w:rPr>
          <w:t>CS 31HB.82 Instructions for continued airworthiness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_Toc153137751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249</w:t>
        </w:r>
        <w:r w:rsidR="00BE3F4E" w:rsidRPr="00BE3F4E">
          <w:rPr>
            <w:rFonts w:ascii="Arial" w:hAnsi="Arial" w:cs="Arial"/>
            <w:noProof/>
            <w:webHidden/>
            <w:sz w:val="20"/>
            <w:szCs w:val="20"/>
          </w:rPr>
          <w:fldChar w:fldCharType="end"/>
        </w:r>
      </w:hyperlink>
    </w:p>
    <w:p w14:paraId="0F8F10DE" w14:textId="0A7FE0A9" w:rsidR="00BE3F4E" w:rsidRPr="00BE3F4E" w:rsidRDefault="00000000">
      <w:pPr>
        <w:pStyle w:val="TOC5"/>
        <w:tabs>
          <w:tab w:val="right" w:leader="underscore" w:pos="9016"/>
        </w:tabs>
        <w:rPr>
          <w:rFonts w:ascii="Arial" w:eastAsiaTheme="minorEastAsia" w:hAnsi="Arial" w:cs="Arial"/>
          <w:noProof/>
          <w:sz w:val="20"/>
          <w:szCs w:val="20"/>
        </w:rPr>
      </w:pPr>
      <w:hyperlink w:anchor="_Toc153137752" w:history="1">
        <w:r w:rsidR="00BE3F4E" w:rsidRPr="00BE3F4E">
          <w:rPr>
            <w:rStyle w:val="Hyperlink"/>
            <w:rFonts w:ascii="Arial" w:eastAsia="Times New Roman" w:hAnsi="Arial" w:cs="Arial"/>
            <w:noProof/>
            <w:sz w:val="20"/>
            <w:szCs w:val="20"/>
          </w:rPr>
          <w:t>AMC 31HB.82(c) Instructions for continued airworthiness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_Toc153137752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250</w:t>
        </w:r>
        <w:r w:rsidR="00BE3F4E" w:rsidRPr="00BE3F4E">
          <w:rPr>
            <w:rFonts w:ascii="Arial" w:hAnsi="Arial" w:cs="Arial"/>
            <w:noProof/>
            <w:webHidden/>
            <w:sz w:val="20"/>
            <w:szCs w:val="20"/>
          </w:rPr>
          <w:fldChar w:fldCharType="end"/>
        </w:r>
      </w:hyperlink>
    </w:p>
    <w:p w14:paraId="7E86D8C1" w14:textId="622267C6" w:rsidR="00BE3F4E" w:rsidRPr="00BE3F4E" w:rsidRDefault="00000000">
      <w:pPr>
        <w:pStyle w:val="TOC5"/>
        <w:tabs>
          <w:tab w:val="right" w:leader="underscore" w:pos="9016"/>
        </w:tabs>
        <w:rPr>
          <w:rFonts w:ascii="Arial" w:eastAsiaTheme="minorEastAsia" w:hAnsi="Arial" w:cs="Arial"/>
          <w:noProof/>
          <w:sz w:val="20"/>
          <w:szCs w:val="20"/>
        </w:rPr>
      </w:pPr>
      <w:hyperlink w:anchor="_Toc153137753" w:history="1">
        <w:r w:rsidR="00BE3F4E" w:rsidRPr="00BE3F4E">
          <w:rPr>
            <w:rStyle w:val="Hyperlink"/>
            <w:rFonts w:ascii="Arial" w:eastAsia="Times New Roman" w:hAnsi="Arial" w:cs="Arial"/>
            <w:noProof/>
            <w:sz w:val="20"/>
            <w:szCs w:val="20"/>
          </w:rPr>
          <w:t>AMC 31HB.82(d)(1) Instructions for continued airworthiness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_Toc153137753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250</w:t>
        </w:r>
        <w:r w:rsidR="00BE3F4E" w:rsidRPr="00BE3F4E">
          <w:rPr>
            <w:rFonts w:ascii="Arial" w:hAnsi="Arial" w:cs="Arial"/>
            <w:noProof/>
            <w:webHidden/>
            <w:sz w:val="20"/>
            <w:szCs w:val="20"/>
          </w:rPr>
          <w:fldChar w:fldCharType="end"/>
        </w:r>
      </w:hyperlink>
    </w:p>
    <w:p w14:paraId="16366897" w14:textId="1548E8AA" w:rsidR="00BE3F4E" w:rsidRPr="00BE3F4E" w:rsidRDefault="00000000">
      <w:pPr>
        <w:pStyle w:val="TOC5"/>
        <w:tabs>
          <w:tab w:val="right" w:leader="underscore" w:pos="9016"/>
        </w:tabs>
        <w:rPr>
          <w:rFonts w:ascii="Arial" w:eastAsiaTheme="minorEastAsia" w:hAnsi="Arial" w:cs="Arial"/>
          <w:noProof/>
          <w:sz w:val="20"/>
          <w:szCs w:val="20"/>
        </w:rPr>
      </w:pPr>
      <w:hyperlink w:anchor="_Toc153137754" w:history="1">
        <w:r w:rsidR="00BE3F4E" w:rsidRPr="00BE3F4E">
          <w:rPr>
            <w:rStyle w:val="Hyperlink"/>
            <w:rFonts w:ascii="Arial" w:eastAsia="Times New Roman" w:hAnsi="Arial" w:cs="Arial"/>
            <w:noProof/>
            <w:sz w:val="20"/>
            <w:szCs w:val="20"/>
          </w:rPr>
          <w:t>AMC 31HB.82(d)(5) Instructions for continued airworthiness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_Toc153137754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250</w:t>
        </w:r>
        <w:r w:rsidR="00BE3F4E" w:rsidRPr="00BE3F4E">
          <w:rPr>
            <w:rFonts w:ascii="Arial" w:hAnsi="Arial" w:cs="Arial"/>
            <w:noProof/>
            <w:webHidden/>
            <w:sz w:val="20"/>
            <w:szCs w:val="20"/>
          </w:rPr>
          <w:fldChar w:fldCharType="end"/>
        </w:r>
      </w:hyperlink>
    </w:p>
    <w:p w14:paraId="405721BA" w14:textId="45226538" w:rsidR="00BE3F4E" w:rsidRPr="00BE3F4E" w:rsidRDefault="00000000">
      <w:pPr>
        <w:pStyle w:val="TOC5"/>
        <w:tabs>
          <w:tab w:val="right" w:leader="underscore" w:pos="9016"/>
        </w:tabs>
        <w:rPr>
          <w:rFonts w:ascii="Arial" w:eastAsiaTheme="minorEastAsia" w:hAnsi="Arial" w:cs="Arial"/>
          <w:noProof/>
          <w:sz w:val="20"/>
          <w:szCs w:val="20"/>
        </w:rPr>
      </w:pPr>
      <w:hyperlink w:anchor="_Toc153137755" w:history="1">
        <w:r w:rsidR="00BE3F4E" w:rsidRPr="00BE3F4E">
          <w:rPr>
            <w:rStyle w:val="Hyperlink"/>
            <w:rFonts w:ascii="Arial" w:eastAsia="Times New Roman" w:hAnsi="Arial" w:cs="Arial"/>
            <w:noProof/>
            <w:sz w:val="20"/>
            <w:szCs w:val="20"/>
          </w:rPr>
          <w:t>AMC 31HB.82(d)(6) Instructions for continued airworthiness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_Toc153137755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250</w:t>
        </w:r>
        <w:r w:rsidR="00BE3F4E" w:rsidRPr="00BE3F4E">
          <w:rPr>
            <w:rFonts w:ascii="Arial" w:hAnsi="Arial" w:cs="Arial"/>
            <w:noProof/>
            <w:webHidden/>
            <w:sz w:val="20"/>
            <w:szCs w:val="20"/>
          </w:rPr>
          <w:fldChar w:fldCharType="end"/>
        </w:r>
      </w:hyperlink>
    </w:p>
    <w:p w14:paraId="69B5B13D" w14:textId="1E83A76A" w:rsidR="00BE3F4E" w:rsidRPr="00BE3F4E" w:rsidRDefault="00000000">
      <w:pPr>
        <w:pStyle w:val="TOC5"/>
        <w:tabs>
          <w:tab w:val="right" w:leader="underscore" w:pos="9016"/>
        </w:tabs>
        <w:rPr>
          <w:rFonts w:ascii="Arial" w:eastAsiaTheme="minorEastAsia" w:hAnsi="Arial" w:cs="Arial"/>
          <w:noProof/>
          <w:sz w:val="20"/>
          <w:szCs w:val="20"/>
        </w:rPr>
      </w:pPr>
      <w:hyperlink w:anchor="_Toc153137756" w:history="1">
        <w:r w:rsidR="00BE3F4E" w:rsidRPr="00BE3F4E">
          <w:rPr>
            <w:rStyle w:val="Hyperlink"/>
            <w:rFonts w:ascii="Arial" w:eastAsia="Times New Roman" w:hAnsi="Arial" w:cs="Arial"/>
            <w:noProof/>
            <w:sz w:val="20"/>
            <w:szCs w:val="20"/>
          </w:rPr>
          <w:t>AMC 31HB.82(d)(9) Instructions for continued airworthiness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_Toc153137756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251</w:t>
        </w:r>
        <w:r w:rsidR="00BE3F4E" w:rsidRPr="00BE3F4E">
          <w:rPr>
            <w:rFonts w:ascii="Arial" w:hAnsi="Arial" w:cs="Arial"/>
            <w:noProof/>
            <w:webHidden/>
            <w:sz w:val="20"/>
            <w:szCs w:val="20"/>
          </w:rPr>
          <w:fldChar w:fldCharType="end"/>
        </w:r>
      </w:hyperlink>
    </w:p>
    <w:p w14:paraId="7A5D54BD" w14:textId="77134A69" w:rsidR="00BE3F4E" w:rsidRPr="00BE3F4E" w:rsidRDefault="00000000">
      <w:pPr>
        <w:pStyle w:val="TOC3"/>
        <w:tabs>
          <w:tab w:val="right" w:leader="underscore" w:pos="9016"/>
        </w:tabs>
        <w:rPr>
          <w:rFonts w:ascii="Arial" w:eastAsiaTheme="minorEastAsia" w:hAnsi="Arial" w:cs="Arial"/>
          <w:b w:val="0"/>
          <w:bCs w:val="0"/>
          <w:noProof/>
          <w:sz w:val="20"/>
          <w:szCs w:val="20"/>
        </w:rPr>
      </w:pPr>
      <w:hyperlink w:anchor="_Toc153137757" w:history="1">
        <w:r w:rsidR="00BE3F4E" w:rsidRPr="00BE3F4E">
          <w:rPr>
            <w:rStyle w:val="Hyperlink"/>
            <w:rFonts w:ascii="Arial" w:eastAsiaTheme="majorEastAsia" w:hAnsi="Arial" w:cs="Arial"/>
            <w:b w:val="0"/>
            <w:bCs w:val="0"/>
            <w:noProof/>
            <w:sz w:val="20"/>
            <w:szCs w:val="20"/>
          </w:rPr>
          <w:t>CS-31TGB (INITIAL ISSUE)</w:t>
        </w:r>
        <w:r w:rsidR="00BE3F4E" w:rsidRPr="00BE3F4E">
          <w:rPr>
            <w:rFonts w:ascii="Arial" w:hAnsi="Arial" w:cs="Arial"/>
            <w:b w:val="0"/>
            <w:bCs w:val="0"/>
            <w:noProof/>
            <w:webHidden/>
            <w:sz w:val="20"/>
            <w:szCs w:val="20"/>
          </w:rPr>
          <w:tab/>
        </w:r>
        <w:r w:rsidR="00BE3F4E" w:rsidRPr="00BE3F4E">
          <w:rPr>
            <w:rFonts w:ascii="Arial" w:hAnsi="Arial" w:cs="Arial"/>
            <w:b w:val="0"/>
            <w:bCs w:val="0"/>
            <w:noProof/>
            <w:webHidden/>
            <w:sz w:val="20"/>
            <w:szCs w:val="20"/>
          </w:rPr>
          <w:fldChar w:fldCharType="begin"/>
        </w:r>
        <w:r w:rsidR="00BE3F4E" w:rsidRPr="00BE3F4E">
          <w:rPr>
            <w:rFonts w:ascii="Arial" w:hAnsi="Arial" w:cs="Arial"/>
            <w:b w:val="0"/>
            <w:bCs w:val="0"/>
            <w:noProof/>
            <w:webHidden/>
            <w:sz w:val="20"/>
            <w:szCs w:val="20"/>
          </w:rPr>
          <w:instrText xml:space="preserve"> PAGEREF _Toc153137757 \h </w:instrText>
        </w:r>
        <w:r w:rsidR="00BE3F4E" w:rsidRPr="00BE3F4E">
          <w:rPr>
            <w:rFonts w:ascii="Arial" w:hAnsi="Arial" w:cs="Arial"/>
            <w:b w:val="0"/>
            <w:bCs w:val="0"/>
            <w:noProof/>
            <w:webHidden/>
            <w:sz w:val="20"/>
            <w:szCs w:val="20"/>
          </w:rPr>
        </w:r>
        <w:r w:rsidR="00BE3F4E" w:rsidRPr="00BE3F4E">
          <w:rPr>
            <w:rFonts w:ascii="Arial" w:hAnsi="Arial" w:cs="Arial"/>
            <w:b w:val="0"/>
            <w:bCs w:val="0"/>
            <w:noProof/>
            <w:webHidden/>
            <w:sz w:val="20"/>
            <w:szCs w:val="20"/>
          </w:rPr>
          <w:fldChar w:fldCharType="separate"/>
        </w:r>
        <w:r w:rsidR="006A7538">
          <w:rPr>
            <w:rFonts w:ascii="Arial" w:hAnsi="Arial" w:cs="Arial"/>
            <w:b w:val="0"/>
            <w:bCs w:val="0"/>
            <w:noProof/>
            <w:webHidden/>
            <w:sz w:val="20"/>
            <w:szCs w:val="20"/>
          </w:rPr>
          <w:t>252</w:t>
        </w:r>
        <w:r w:rsidR="00BE3F4E" w:rsidRPr="00BE3F4E">
          <w:rPr>
            <w:rFonts w:ascii="Arial" w:hAnsi="Arial" w:cs="Arial"/>
            <w:b w:val="0"/>
            <w:bCs w:val="0"/>
            <w:noProof/>
            <w:webHidden/>
            <w:sz w:val="20"/>
            <w:szCs w:val="20"/>
          </w:rPr>
          <w:fldChar w:fldCharType="end"/>
        </w:r>
      </w:hyperlink>
    </w:p>
    <w:p w14:paraId="6988BFDB" w14:textId="26F513A4" w:rsidR="00BE3F4E" w:rsidRPr="00BE3F4E" w:rsidRDefault="00000000">
      <w:pPr>
        <w:pStyle w:val="TOC3"/>
        <w:tabs>
          <w:tab w:val="right" w:leader="underscore" w:pos="9016"/>
        </w:tabs>
        <w:rPr>
          <w:rFonts w:ascii="Arial" w:eastAsiaTheme="minorEastAsia" w:hAnsi="Arial" w:cs="Arial"/>
          <w:b w:val="0"/>
          <w:bCs w:val="0"/>
          <w:noProof/>
          <w:sz w:val="20"/>
          <w:szCs w:val="20"/>
        </w:rPr>
      </w:pPr>
      <w:hyperlink w:anchor="_Toc153137758" w:history="1">
        <w:r w:rsidR="00BE3F4E" w:rsidRPr="00BE3F4E">
          <w:rPr>
            <w:rStyle w:val="Hyperlink"/>
            <w:rFonts w:ascii="Arial" w:eastAsiaTheme="majorEastAsia" w:hAnsi="Arial" w:cs="Arial"/>
            <w:b w:val="0"/>
            <w:bCs w:val="0"/>
            <w:noProof/>
            <w:sz w:val="20"/>
            <w:szCs w:val="20"/>
          </w:rPr>
          <w:t>SUBPART A — GENERAL</w:t>
        </w:r>
        <w:r w:rsidR="00BE3F4E" w:rsidRPr="00BE3F4E">
          <w:rPr>
            <w:rFonts w:ascii="Arial" w:hAnsi="Arial" w:cs="Arial"/>
            <w:b w:val="0"/>
            <w:bCs w:val="0"/>
            <w:noProof/>
            <w:webHidden/>
            <w:sz w:val="20"/>
            <w:szCs w:val="20"/>
          </w:rPr>
          <w:tab/>
        </w:r>
        <w:r w:rsidR="00BE3F4E" w:rsidRPr="00BE3F4E">
          <w:rPr>
            <w:rFonts w:ascii="Arial" w:hAnsi="Arial" w:cs="Arial"/>
            <w:b w:val="0"/>
            <w:bCs w:val="0"/>
            <w:noProof/>
            <w:webHidden/>
            <w:sz w:val="20"/>
            <w:szCs w:val="20"/>
          </w:rPr>
          <w:fldChar w:fldCharType="begin"/>
        </w:r>
        <w:r w:rsidR="00BE3F4E" w:rsidRPr="00BE3F4E">
          <w:rPr>
            <w:rFonts w:ascii="Arial" w:hAnsi="Arial" w:cs="Arial"/>
            <w:b w:val="0"/>
            <w:bCs w:val="0"/>
            <w:noProof/>
            <w:webHidden/>
            <w:sz w:val="20"/>
            <w:szCs w:val="20"/>
          </w:rPr>
          <w:instrText xml:space="preserve"> PAGEREF _Toc153137758 \h </w:instrText>
        </w:r>
        <w:r w:rsidR="00BE3F4E" w:rsidRPr="00BE3F4E">
          <w:rPr>
            <w:rFonts w:ascii="Arial" w:hAnsi="Arial" w:cs="Arial"/>
            <w:b w:val="0"/>
            <w:bCs w:val="0"/>
            <w:noProof/>
            <w:webHidden/>
            <w:sz w:val="20"/>
            <w:szCs w:val="20"/>
          </w:rPr>
        </w:r>
        <w:r w:rsidR="00BE3F4E" w:rsidRPr="00BE3F4E">
          <w:rPr>
            <w:rFonts w:ascii="Arial" w:hAnsi="Arial" w:cs="Arial"/>
            <w:b w:val="0"/>
            <w:bCs w:val="0"/>
            <w:noProof/>
            <w:webHidden/>
            <w:sz w:val="20"/>
            <w:szCs w:val="20"/>
          </w:rPr>
          <w:fldChar w:fldCharType="separate"/>
        </w:r>
        <w:r w:rsidR="006A7538">
          <w:rPr>
            <w:rFonts w:ascii="Arial" w:hAnsi="Arial" w:cs="Arial"/>
            <w:b w:val="0"/>
            <w:bCs w:val="0"/>
            <w:noProof/>
            <w:webHidden/>
            <w:sz w:val="20"/>
            <w:szCs w:val="20"/>
          </w:rPr>
          <w:t>253</w:t>
        </w:r>
        <w:r w:rsidR="00BE3F4E" w:rsidRPr="00BE3F4E">
          <w:rPr>
            <w:rFonts w:ascii="Arial" w:hAnsi="Arial" w:cs="Arial"/>
            <w:b w:val="0"/>
            <w:bCs w:val="0"/>
            <w:noProof/>
            <w:webHidden/>
            <w:sz w:val="20"/>
            <w:szCs w:val="20"/>
          </w:rPr>
          <w:fldChar w:fldCharType="end"/>
        </w:r>
      </w:hyperlink>
    </w:p>
    <w:p w14:paraId="3E3535A9" w14:textId="3403B056" w:rsidR="00BE3F4E" w:rsidRPr="00BE3F4E" w:rsidRDefault="00000000">
      <w:pPr>
        <w:pStyle w:val="TOC4"/>
        <w:tabs>
          <w:tab w:val="right" w:leader="underscore" w:pos="9016"/>
        </w:tabs>
        <w:rPr>
          <w:rFonts w:ascii="Arial" w:eastAsiaTheme="minorEastAsia" w:hAnsi="Arial" w:cs="Arial"/>
          <w:noProof/>
          <w:sz w:val="20"/>
          <w:szCs w:val="20"/>
        </w:rPr>
      </w:pPr>
      <w:hyperlink w:anchor="_Toc153137759" w:history="1">
        <w:r w:rsidR="00BE3F4E" w:rsidRPr="00BE3F4E">
          <w:rPr>
            <w:rStyle w:val="Hyperlink"/>
            <w:rFonts w:ascii="Arial" w:eastAsia="Times New Roman" w:hAnsi="Arial" w:cs="Arial"/>
            <w:iCs/>
            <w:noProof/>
            <w:sz w:val="20"/>
            <w:szCs w:val="20"/>
          </w:rPr>
          <w:t>CS 31TGB.1 Applicability</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_Toc153137759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253</w:t>
        </w:r>
        <w:r w:rsidR="00BE3F4E" w:rsidRPr="00BE3F4E">
          <w:rPr>
            <w:rFonts w:ascii="Arial" w:hAnsi="Arial" w:cs="Arial"/>
            <w:noProof/>
            <w:webHidden/>
            <w:sz w:val="20"/>
            <w:szCs w:val="20"/>
          </w:rPr>
          <w:fldChar w:fldCharType="end"/>
        </w:r>
      </w:hyperlink>
    </w:p>
    <w:p w14:paraId="1A586CF6" w14:textId="2189DBA1" w:rsidR="00BE3F4E" w:rsidRPr="00BE3F4E" w:rsidRDefault="00000000">
      <w:pPr>
        <w:pStyle w:val="TOC4"/>
        <w:tabs>
          <w:tab w:val="right" w:leader="underscore" w:pos="9016"/>
        </w:tabs>
        <w:rPr>
          <w:rFonts w:ascii="Arial" w:eastAsiaTheme="minorEastAsia" w:hAnsi="Arial" w:cs="Arial"/>
          <w:noProof/>
          <w:sz w:val="20"/>
          <w:szCs w:val="20"/>
        </w:rPr>
      </w:pPr>
      <w:hyperlink w:anchor="_Toc153137760" w:history="1">
        <w:r w:rsidR="00BE3F4E" w:rsidRPr="00BE3F4E">
          <w:rPr>
            <w:rStyle w:val="Hyperlink"/>
            <w:rFonts w:ascii="Arial" w:eastAsia="Times New Roman" w:hAnsi="Arial" w:cs="Arial"/>
            <w:iCs/>
            <w:noProof/>
            <w:sz w:val="20"/>
            <w:szCs w:val="20"/>
          </w:rPr>
          <w:t>CS 31TGB.2 Definitions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_Toc153137760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253</w:t>
        </w:r>
        <w:r w:rsidR="00BE3F4E" w:rsidRPr="00BE3F4E">
          <w:rPr>
            <w:rFonts w:ascii="Arial" w:hAnsi="Arial" w:cs="Arial"/>
            <w:noProof/>
            <w:webHidden/>
            <w:sz w:val="20"/>
            <w:szCs w:val="20"/>
          </w:rPr>
          <w:fldChar w:fldCharType="end"/>
        </w:r>
      </w:hyperlink>
    </w:p>
    <w:p w14:paraId="4D58E7AB" w14:textId="6FAB1115" w:rsidR="00BE3F4E" w:rsidRPr="00BE3F4E" w:rsidRDefault="00000000">
      <w:pPr>
        <w:pStyle w:val="TOC5"/>
        <w:tabs>
          <w:tab w:val="right" w:leader="underscore" w:pos="9016"/>
        </w:tabs>
        <w:rPr>
          <w:rFonts w:ascii="Arial" w:eastAsiaTheme="minorEastAsia" w:hAnsi="Arial" w:cs="Arial"/>
          <w:noProof/>
          <w:sz w:val="20"/>
          <w:szCs w:val="20"/>
        </w:rPr>
      </w:pPr>
      <w:hyperlink w:anchor="_Toc153137761" w:history="1">
        <w:r w:rsidR="00BE3F4E" w:rsidRPr="00BE3F4E">
          <w:rPr>
            <w:rStyle w:val="Hyperlink"/>
            <w:rFonts w:ascii="Arial" w:eastAsia="Times New Roman" w:hAnsi="Arial" w:cs="Arial"/>
            <w:noProof/>
            <w:sz w:val="20"/>
            <w:szCs w:val="20"/>
          </w:rPr>
          <w:t>AMC1 31TGB.2 Definitions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_Toc153137761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253</w:t>
        </w:r>
        <w:r w:rsidR="00BE3F4E" w:rsidRPr="00BE3F4E">
          <w:rPr>
            <w:rFonts w:ascii="Arial" w:hAnsi="Arial" w:cs="Arial"/>
            <w:noProof/>
            <w:webHidden/>
            <w:sz w:val="20"/>
            <w:szCs w:val="20"/>
          </w:rPr>
          <w:fldChar w:fldCharType="end"/>
        </w:r>
      </w:hyperlink>
    </w:p>
    <w:p w14:paraId="66BC5DD7" w14:textId="79DC0FC9" w:rsidR="00BE3F4E" w:rsidRPr="00BE3F4E" w:rsidRDefault="00000000">
      <w:pPr>
        <w:pStyle w:val="TOC3"/>
        <w:tabs>
          <w:tab w:val="right" w:leader="underscore" w:pos="9016"/>
        </w:tabs>
        <w:rPr>
          <w:rFonts w:ascii="Arial" w:eastAsiaTheme="minorEastAsia" w:hAnsi="Arial" w:cs="Arial"/>
          <w:b w:val="0"/>
          <w:bCs w:val="0"/>
          <w:noProof/>
          <w:sz w:val="20"/>
          <w:szCs w:val="20"/>
        </w:rPr>
      </w:pPr>
      <w:hyperlink w:anchor="_Toc153137762" w:history="1">
        <w:r w:rsidR="00BE3F4E" w:rsidRPr="00BE3F4E">
          <w:rPr>
            <w:rStyle w:val="Hyperlink"/>
            <w:rFonts w:ascii="Arial" w:eastAsiaTheme="majorEastAsia" w:hAnsi="Arial" w:cs="Arial"/>
            <w:b w:val="0"/>
            <w:bCs w:val="0"/>
            <w:noProof/>
            <w:sz w:val="20"/>
            <w:szCs w:val="20"/>
          </w:rPr>
          <w:t>SUBPART B — FLIGHT</w:t>
        </w:r>
        <w:r w:rsidR="00BE3F4E" w:rsidRPr="00BE3F4E">
          <w:rPr>
            <w:rFonts w:ascii="Arial" w:hAnsi="Arial" w:cs="Arial"/>
            <w:b w:val="0"/>
            <w:bCs w:val="0"/>
            <w:noProof/>
            <w:webHidden/>
            <w:sz w:val="20"/>
            <w:szCs w:val="20"/>
          </w:rPr>
          <w:tab/>
        </w:r>
        <w:r w:rsidR="00BE3F4E" w:rsidRPr="00BE3F4E">
          <w:rPr>
            <w:rFonts w:ascii="Arial" w:hAnsi="Arial" w:cs="Arial"/>
            <w:b w:val="0"/>
            <w:bCs w:val="0"/>
            <w:noProof/>
            <w:webHidden/>
            <w:sz w:val="20"/>
            <w:szCs w:val="20"/>
          </w:rPr>
          <w:fldChar w:fldCharType="begin"/>
        </w:r>
        <w:r w:rsidR="00BE3F4E" w:rsidRPr="00BE3F4E">
          <w:rPr>
            <w:rFonts w:ascii="Arial" w:hAnsi="Arial" w:cs="Arial"/>
            <w:b w:val="0"/>
            <w:bCs w:val="0"/>
            <w:noProof/>
            <w:webHidden/>
            <w:sz w:val="20"/>
            <w:szCs w:val="20"/>
          </w:rPr>
          <w:instrText xml:space="preserve"> PAGEREF _Toc153137762 \h </w:instrText>
        </w:r>
        <w:r w:rsidR="00BE3F4E" w:rsidRPr="00BE3F4E">
          <w:rPr>
            <w:rFonts w:ascii="Arial" w:hAnsi="Arial" w:cs="Arial"/>
            <w:b w:val="0"/>
            <w:bCs w:val="0"/>
            <w:noProof/>
            <w:webHidden/>
            <w:sz w:val="20"/>
            <w:szCs w:val="20"/>
          </w:rPr>
        </w:r>
        <w:r w:rsidR="00BE3F4E" w:rsidRPr="00BE3F4E">
          <w:rPr>
            <w:rFonts w:ascii="Arial" w:hAnsi="Arial" w:cs="Arial"/>
            <w:b w:val="0"/>
            <w:bCs w:val="0"/>
            <w:noProof/>
            <w:webHidden/>
            <w:sz w:val="20"/>
            <w:szCs w:val="20"/>
          </w:rPr>
          <w:fldChar w:fldCharType="separate"/>
        </w:r>
        <w:r w:rsidR="006A7538">
          <w:rPr>
            <w:rFonts w:ascii="Arial" w:hAnsi="Arial" w:cs="Arial"/>
            <w:b w:val="0"/>
            <w:bCs w:val="0"/>
            <w:noProof/>
            <w:webHidden/>
            <w:sz w:val="20"/>
            <w:szCs w:val="20"/>
          </w:rPr>
          <w:t>255</w:t>
        </w:r>
        <w:r w:rsidR="00BE3F4E" w:rsidRPr="00BE3F4E">
          <w:rPr>
            <w:rFonts w:ascii="Arial" w:hAnsi="Arial" w:cs="Arial"/>
            <w:b w:val="0"/>
            <w:bCs w:val="0"/>
            <w:noProof/>
            <w:webHidden/>
            <w:sz w:val="20"/>
            <w:szCs w:val="20"/>
          </w:rPr>
          <w:fldChar w:fldCharType="end"/>
        </w:r>
      </w:hyperlink>
    </w:p>
    <w:p w14:paraId="6368EF53" w14:textId="3534920A" w:rsidR="00BE3F4E" w:rsidRPr="00BE3F4E" w:rsidRDefault="00000000">
      <w:pPr>
        <w:pStyle w:val="TOC4"/>
        <w:tabs>
          <w:tab w:val="right" w:leader="underscore" w:pos="9016"/>
        </w:tabs>
        <w:rPr>
          <w:rFonts w:ascii="Arial" w:eastAsiaTheme="minorEastAsia" w:hAnsi="Arial" w:cs="Arial"/>
          <w:noProof/>
          <w:sz w:val="20"/>
          <w:szCs w:val="20"/>
        </w:rPr>
      </w:pPr>
      <w:hyperlink w:anchor="_Toc153137763" w:history="1">
        <w:r w:rsidR="00BE3F4E" w:rsidRPr="00BE3F4E">
          <w:rPr>
            <w:rStyle w:val="Hyperlink"/>
            <w:rFonts w:ascii="Arial" w:eastAsia="Times New Roman" w:hAnsi="Arial" w:cs="Arial"/>
            <w:iCs/>
            <w:noProof/>
            <w:sz w:val="20"/>
            <w:szCs w:val="20"/>
          </w:rPr>
          <w:t>CS 31TGB.12 Proof of compliance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_Toc153137763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255</w:t>
        </w:r>
        <w:r w:rsidR="00BE3F4E" w:rsidRPr="00BE3F4E">
          <w:rPr>
            <w:rFonts w:ascii="Arial" w:hAnsi="Arial" w:cs="Arial"/>
            <w:noProof/>
            <w:webHidden/>
            <w:sz w:val="20"/>
            <w:szCs w:val="20"/>
          </w:rPr>
          <w:fldChar w:fldCharType="end"/>
        </w:r>
      </w:hyperlink>
    </w:p>
    <w:p w14:paraId="4BB22469" w14:textId="141A9074" w:rsidR="00BE3F4E" w:rsidRPr="00BE3F4E" w:rsidRDefault="00000000">
      <w:pPr>
        <w:pStyle w:val="TOC4"/>
        <w:tabs>
          <w:tab w:val="right" w:leader="underscore" w:pos="9016"/>
        </w:tabs>
        <w:rPr>
          <w:rFonts w:ascii="Arial" w:eastAsiaTheme="minorEastAsia" w:hAnsi="Arial" w:cs="Arial"/>
          <w:noProof/>
          <w:sz w:val="20"/>
          <w:szCs w:val="20"/>
        </w:rPr>
      </w:pPr>
      <w:hyperlink w:anchor="_Toc153137764" w:history="1">
        <w:r w:rsidR="00BE3F4E" w:rsidRPr="00BE3F4E">
          <w:rPr>
            <w:rStyle w:val="Hyperlink"/>
            <w:rFonts w:ascii="Arial" w:eastAsia="Times New Roman" w:hAnsi="Arial" w:cs="Arial"/>
            <w:iCs/>
            <w:noProof/>
            <w:sz w:val="20"/>
            <w:szCs w:val="20"/>
          </w:rPr>
          <w:t>CS 31TGB.14 Mass limits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_Toc153137764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255</w:t>
        </w:r>
        <w:r w:rsidR="00BE3F4E" w:rsidRPr="00BE3F4E">
          <w:rPr>
            <w:rFonts w:ascii="Arial" w:hAnsi="Arial" w:cs="Arial"/>
            <w:noProof/>
            <w:webHidden/>
            <w:sz w:val="20"/>
            <w:szCs w:val="20"/>
          </w:rPr>
          <w:fldChar w:fldCharType="end"/>
        </w:r>
      </w:hyperlink>
    </w:p>
    <w:p w14:paraId="0C2BA125" w14:textId="40559BD7" w:rsidR="00BE3F4E" w:rsidRPr="00BE3F4E" w:rsidRDefault="00000000">
      <w:pPr>
        <w:pStyle w:val="TOC5"/>
        <w:tabs>
          <w:tab w:val="right" w:leader="underscore" w:pos="9016"/>
        </w:tabs>
        <w:rPr>
          <w:rFonts w:ascii="Arial" w:eastAsiaTheme="minorEastAsia" w:hAnsi="Arial" w:cs="Arial"/>
          <w:noProof/>
          <w:sz w:val="20"/>
          <w:szCs w:val="20"/>
        </w:rPr>
      </w:pPr>
      <w:hyperlink w:anchor="_Toc153137765" w:history="1">
        <w:r w:rsidR="00BE3F4E" w:rsidRPr="00BE3F4E">
          <w:rPr>
            <w:rStyle w:val="Hyperlink"/>
            <w:rFonts w:ascii="Arial" w:eastAsia="Times New Roman" w:hAnsi="Arial" w:cs="Arial"/>
            <w:noProof/>
            <w:sz w:val="20"/>
            <w:szCs w:val="20"/>
          </w:rPr>
          <w:t>AMC1 31TGB.14 Mass limits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_Toc153137765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255</w:t>
        </w:r>
        <w:r w:rsidR="00BE3F4E" w:rsidRPr="00BE3F4E">
          <w:rPr>
            <w:rFonts w:ascii="Arial" w:hAnsi="Arial" w:cs="Arial"/>
            <w:noProof/>
            <w:webHidden/>
            <w:sz w:val="20"/>
            <w:szCs w:val="20"/>
          </w:rPr>
          <w:fldChar w:fldCharType="end"/>
        </w:r>
      </w:hyperlink>
    </w:p>
    <w:p w14:paraId="00D1C97C" w14:textId="0560253D" w:rsidR="00BE3F4E" w:rsidRPr="00BE3F4E" w:rsidRDefault="00000000">
      <w:pPr>
        <w:pStyle w:val="TOC4"/>
        <w:tabs>
          <w:tab w:val="right" w:leader="underscore" w:pos="9016"/>
        </w:tabs>
        <w:rPr>
          <w:rFonts w:ascii="Arial" w:eastAsiaTheme="minorEastAsia" w:hAnsi="Arial" w:cs="Arial"/>
          <w:noProof/>
          <w:sz w:val="20"/>
          <w:szCs w:val="20"/>
        </w:rPr>
      </w:pPr>
      <w:hyperlink w:anchor="_Toc153137766" w:history="1">
        <w:r w:rsidR="00BE3F4E" w:rsidRPr="00BE3F4E">
          <w:rPr>
            <w:rStyle w:val="Hyperlink"/>
            <w:rFonts w:ascii="Arial" w:eastAsia="Times New Roman" w:hAnsi="Arial" w:cs="Arial"/>
            <w:iCs/>
            <w:noProof/>
            <w:sz w:val="20"/>
            <w:szCs w:val="20"/>
          </w:rPr>
          <w:t>CS 31TGB.20 Controllability</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_Toc153137766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256</w:t>
        </w:r>
        <w:r w:rsidR="00BE3F4E" w:rsidRPr="00BE3F4E">
          <w:rPr>
            <w:rFonts w:ascii="Arial" w:hAnsi="Arial" w:cs="Arial"/>
            <w:noProof/>
            <w:webHidden/>
            <w:sz w:val="20"/>
            <w:szCs w:val="20"/>
          </w:rPr>
          <w:fldChar w:fldCharType="end"/>
        </w:r>
      </w:hyperlink>
    </w:p>
    <w:p w14:paraId="0B2B40A3" w14:textId="7EB847CA" w:rsidR="00BE3F4E" w:rsidRPr="00BE3F4E" w:rsidRDefault="00000000">
      <w:pPr>
        <w:pStyle w:val="TOC5"/>
        <w:tabs>
          <w:tab w:val="right" w:leader="underscore" w:pos="9016"/>
        </w:tabs>
        <w:rPr>
          <w:rFonts w:ascii="Arial" w:eastAsiaTheme="minorEastAsia" w:hAnsi="Arial" w:cs="Arial"/>
          <w:noProof/>
          <w:sz w:val="20"/>
          <w:szCs w:val="20"/>
        </w:rPr>
      </w:pPr>
      <w:hyperlink w:anchor="_Toc153137767" w:history="1">
        <w:r w:rsidR="00BE3F4E" w:rsidRPr="00BE3F4E">
          <w:rPr>
            <w:rStyle w:val="Hyperlink"/>
            <w:rFonts w:ascii="Arial" w:eastAsia="Times New Roman" w:hAnsi="Arial" w:cs="Arial"/>
            <w:noProof/>
            <w:sz w:val="20"/>
            <w:szCs w:val="20"/>
          </w:rPr>
          <w:t>AMC1 31TGB.20(b) Controllability</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_Toc153137767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256</w:t>
        </w:r>
        <w:r w:rsidR="00BE3F4E" w:rsidRPr="00BE3F4E">
          <w:rPr>
            <w:rFonts w:ascii="Arial" w:hAnsi="Arial" w:cs="Arial"/>
            <w:noProof/>
            <w:webHidden/>
            <w:sz w:val="20"/>
            <w:szCs w:val="20"/>
          </w:rPr>
          <w:fldChar w:fldCharType="end"/>
        </w:r>
      </w:hyperlink>
    </w:p>
    <w:p w14:paraId="155B759A" w14:textId="68B5CD83" w:rsidR="00BE3F4E" w:rsidRPr="00BE3F4E" w:rsidRDefault="00000000">
      <w:pPr>
        <w:pStyle w:val="TOC3"/>
        <w:tabs>
          <w:tab w:val="right" w:leader="underscore" w:pos="9016"/>
        </w:tabs>
        <w:rPr>
          <w:rFonts w:ascii="Arial" w:eastAsiaTheme="minorEastAsia" w:hAnsi="Arial" w:cs="Arial"/>
          <w:b w:val="0"/>
          <w:bCs w:val="0"/>
          <w:noProof/>
          <w:sz w:val="20"/>
          <w:szCs w:val="20"/>
        </w:rPr>
      </w:pPr>
      <w:hyperlink w:anchor="_Toc153137768" w:history="1">
        <w:r w:rsidR="00BE3F4E" w:rsidRPr="00BE3F4E">
          <w:rPr>
            <w:rStyle w:val="Hyperlink"/>
            <w:rFonts w:ascii="Arial" w:eastAsiaTheme="majorEastAsia" w:hAnsi="Arial" w:cs="Arial"/>
            <w:b w:val="0"/>
            <w:bCs w:val="0"/>
            <w:noProof/>
            <w:sz w:val="20"/>
            <w:szCs w:val="20"/>
          </w:rPr>
          <w:t>SUBPART C — STRUCTURE</w:t>
        </w:r>
        <w:r w:rsidR="00BE3F4E" w:rsidRPr="00BE3F4E">
          <w:rPr>
            <w:rFonts w:ascii="Arial" w:hAnsi="Arial" w:cs="Arial"/>
            <w:b w:val="0"/>
            <w:bCs w:val="0"/>
            <w:noProof/>
            <w:webHidden/>
            <w:sz w:val="20"/>
            <w:szCs w:val="20"/>
          </w:rPr>
          <w:tab/>
        </w:r>
        <w:r w:rsidR="00BE3F4E" w:rsidRPr="00BE3F4E">
          <w:rPr>
            <w:rFonts w:ascii="Arial" w:hAnsi="Arial" w:cs="Arial"/>
            <w:b w:val="0"/>
            <w:bCs w:val="0"/>
            <w:noProof/>
            <w:webHidden/>
            <w:sz w:val="20"/>
            <w:szCs w:val="20"/>
          </w:rPr>
          <w:fldChar w:fldCharType="begin"/>
        </w:r>
        <w:r w:rsidR="00BE3F4E" w:rsidRPr="00BE3F4E">
          <w:rPr>
            <w:rFonts w:ascii="Arial" w:hAnsi="Arial" w:cs="Arial"/>
            <w:b w:val="0"/>
            <w:bCs w:val="0"/>
            <w:noProof/>
            <w:webHidden/>
            <w:sz w:val="20"/>
            <w:szCs w:val="20"/>
          </w:rPr>
          <w:instrText xml:space="preserve"> PAGEREF _Toc153137768 \h </w:instrText>
        </w:r>
        <w:r w:rsidR="00BE3F4E" w:rsidRPr="00BE3F4E">
          <w:rPr>
            <w:rFonts w:ascii="Arial" w:hAnsi="Arial" w:cs="Arial"/>
            <w:b w:val="0"/>
            <w:bCs w:val="0"/>
            <w:noProof/>
            <w:webHidden/>
            <w:sz w:val="20"/>
            <w:szCs w:val="20"/>
          </w:rPr>
        </w:r>
        <w:r w:rsidR="00BE3F4E" w:rsidRPr="00BE3F4E">
          <w:rPr>
            <w:rFonts w:ascii="Arial" w:hAnsi="Arial" w:cs="Arial"/>
            <w:b w:val="0"/>
            <w:bCs w:val="0"/>
            <w:noProof/>
            <w:webHidden/>
            <w:sz w:val="20"/>
            <w:szCs w:val="20"/>
          </w:rPr>
          <w:fldChar w:fldCharType="separate"/>
        </w:r>
        <w:r w:rsidR="006A7538">
          <w:rPr>
            <w:rFonts w:ascii="Arial" w:hAnsi="Arial" w:cs="Arial"/>
            <w:b w:val="0"/>
            <w:bCs w:val="0"/>
            <w:noProof/>
            <w:webHidden/>
            <w:sz w:val="20"/>
            <w:szCs w:val="20"/>
          </w:rPr>
          <w:t>257</w:t>
        </w:r>
        <w:r w:rsidR="00BE3F4E" w:rsidRPr="00BE3F4E">
          <w:rPr>
            <w:rFonts w:ascii="Arial" w:hAnsi="Arial" w:cs="Arial"/>
            <w:b w:val="0"/>
            <w:bCs w:val="0"/>
            <w:noProof/>
            <w:webHidden/>
            <w:sz w:val="20"/>
            <w:szCs w:val="20"/>
          </w:rPr>
          <w:fldChar w:fldCharType="end"/>
        </w:r>
      </w:hyperlink>
    </w:p>
    <w:p w14:paraId="70BB3F64" w14:textId="2DF1C737" w:rsidR="00BE3F4E" w:rsidRPr="00BE3F4E" w:rsidRDefault="00000000">
      <w:pPr>
        <w:pStyle w:val="TOC4"/>
        <w:tabs>
          <w:tab w:val="right" w:leader="underscore" w:pos="9016"/>
        </w:tabs>
        <w:rPr>
          <w:rFonts w:ascii="Arial" w:eastAsiaTheme="minorEastAsia" w:hAnsi="Arial" w:cs="Arial"/>
          <w:noProof/>
          <w:sz w:val="20"/>
          <w:szCs w:val="20"/>
        </w:rPr>
      </w:pPr>
      <w:hyperlink w:anchor="_Toc153137769" w:history="1">
        <w:r w:rsidR="00BE3F4E" w:rsidRPr="00BE3F4E">
          <w:rPr>
            <w:rStyle w:val="Hyperlink"/>
            <w:rFonts w:ascii="Arial" w:eastAsia="Times New Roman" w:hAnsi="Arial" w:cs="Arial"/>
            <w:iCs/>
            <w:noProof/>
            <w:sz w:val="20"/>
            <w:szCs w:val="20"/>
          </w:rPr>
          <w:t>CS 31TGB.21 Loads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_Toc153137769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257</w:t>
        </w:r>
        <w:r w:rsidR="00BE3F4E" w:rsidRPr="00BE3F4E">
          <w:rPr>
            <w:rFonts w:ascii="Arial" w:hAnsi="Arial" w:cs="Arial"/>
            <w:noProof/>
            <w:webHidden/>
            <w:sz w:val="20"/>
            <w:szCs w:val="20"/>
          </w:rPr>
          <w:fldChar w:fldCharType="end"/>
        </w:r>
      </w:hyperlink>
    </w:p>
    <w:p w14:paraId="5A7BC87D" w14:textId="1D95B442" w:rsidR="00BE3F4E" w:rsidRPr="00BE3F4E" w:rsidRDefault="00000000">
      <w:pPr>
        <w:pStyle w:val="TOC4"/>
        <w:tabs>
          <w:tab w:val="right" w:leader="underscore" w:pos="9016"/>
        </w:tabs>
        <w:rPr>
          <w:rFonts w:ascii="Arial" w:eastAsiaTheme="minorEastAsia" w:hAnsi="Arial" w:cs="Arial"/>
          <w:noProof/>
          <w:sz w:val="20"/>
          <w:szCs w:val="20"/>
        </w:rPr>
      </w:pPr>
      <w:hyperlink w:anchor="_Toc153137770" w:history="1">
        <w:r w:rsidR="00BE3F4E" w:rsidRPr="00BE3F4E">
          <w:rPr>
            <w:rStyle w:val="Hyperlink"/>
            <w:rFonts w:ascii="Arial" w:eastAsia="Times New Roman" w:hAnsi="Arial" w:cs="Arial"/>
            <w:iCs/>
            <w:noProof/>
            <w:sz w:val="20"/>
            <w:szCs w:val="20"/>
          </w:rPr>
          <w:t>CS 31TGB.22 In-Service load cases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_Toc153137770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257</w:t>
        </w:r>
        <w:r w:rsidR="00BE3F4E" w:rsidRPr="00BE3F4E">
          <w:rPr>
            <w:rFonts w:ascii="Arial" w:hAnsi="Arial" w:cs="Arial"/>
            <w:noProof/>
            <w:webHidden/>
            <w:sz w:val="20"/>
            <w:szCs w:val="20"/>
          </w:rPr>
          <w:fldChar w:fldCharType="end"/>
        </w:r>
      </w:hyperlink>
    </w:p>
    <w:p w14:paraId="59C74DE2" w14:textId="5C2DC027" w:rsidR="00BE3F4E" w:rsidRPr="00BE3F4E" w:rsidRDefault="00000000">
      <w:pPr>
        <w:pStyle w:val="TOC5"/>
        <w:tabs>
          <w:tab w:val="right" w:leader="underscore" w:pos="9016"/>
        </w:tabs>
        <w:rPr>
          <w:rFonts w:ascii="Arial" w:eastAsiaTheme="minorEastAsia" w:hAnsi="Arial" w:cs="Arial"/>
          <w:noProof/>
          <w:sz w:val="20"/>
          <w:szCs w:val="20"/>
        </w:rPr>
      </w:pPr>
      <w:hyperlink w:anchor="_Toc153137771" w:history="1">
        <w:r w:rsidR="00BE3F4E" w:rsidRPr="00BE3F4E">
          <w:rPr>
            <w:rStyle w:val="Hyperlink"/>
            <w:rFonts w:ascii="Arial" w:eastAsia="Times New Roman" w:hAnsi="Arial" w:cs="Arial"/>
            <w:noProof/>
            <w:sz w:val="20"/>
            <w:szCs w:val="20"/>
          </w:rPr>
          <w:t>AMC1 31TGB.22 In-Service load cases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_Toc153137771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257</w:t>
        </w:r>
        <w:r w:rsidR="00BE3F4E" w:rsidRPr="00BE3F4E">
          <w:rPr>
            <w:rFonts w:ascii="Arial" w:hAnsi="Arial" w:cs="Arial"/>
            <w:noProof/>
            <w:webHidden/>
            <w:sz w:val="20"/>
            <w:szCs w:val="20"/>
          </w:rPr>
          <w:fldChar w:fldCharType="end"/>
        </w:r>
      </w:hyperlink>
    </w:p>
    <w:p w14:paraId="4E03B536" w14:textId="1F14BB36" w:rsidR="00BE3F4E" w:rsidRPr="00BE3F4E" w:rsidRDefault="00000000">
      <w:pPr>
        <w:pStyle w:val="TOC4"/>
        <w:tabs>
          <w:tab w:val="right" w:leader="underscore" w:pos="9016"/>
        </w:tabs>
        <w:rPr>
          <w:rFonts w:ascii="Arial" w:eastAsiaTheme="minorEastAsia" w:hAnsi="Arial" w:cs="Arial"/>
          <w:noProof/>
          <w:sz w:val="20"/>
          <w:szCs w:val="20"/>
        </w:rPr>
      </w:pPr>
      <w:hyperlink w:anchor="_Toc153137772" w:history="1">
        <w:r w:rsidR="00BE3F4E" w:rsidRPr="00BE3F4E">
          <w:rPr>
            <w:rStyle w:val="Hyperlink"/>
            <w:rFonts w:ascii="Arial" w:eastAsia="Times New Roman" w:hAnsi="Arial" w:cs="Arial"/>
            <w:iCs/>
            <w:noProof/>
            <w:sz w:val="20"/>
            <w:szCs w:val="20"/>
          </w:rPr>
          <w:t>CS 31TGB.23 Load factors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_Toc153137772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257</w:t>
        </w:r>
        <w:r w:rsidR="00BE3F4E" w:rsidRPr="00BE3F4E">
          <w:rPr>
            <w:rFonts w:ascii="Arial" w:hAnsi="Arial" w:cs="Arial"/>
            <w:noProof/>
            <w:webHidden/>
            <w:sz w:val="20"/>
            <w:szCs w:val="20"/>
          </w:rPr>
          <w:fldChar w:fldCharType="end"/>
        </w:r>
      </w:hyperlink>
    </w:p>
    <w:p w14:paraId="7F4BB7D9" w14:textId="4243FA52" w:rsidR="00BE3F4E" w:rsidRPr="00BE3F4E" w:rsidRDefault="00000000">
      <w:pPr>
        <w:pStyle w:val="TOC5"/>
        <w:tabs>
          <w:tab w:val="right" w:leader="underscore" w:pos="9016"/>
        </w:tabs>
        <w:rPr>
          <w:rFonts w:ascii="Arial" w:eastAsiaTheme="minorEastAsia" w:hAnsi="Arial" w:cs="Arial"/>
          <w:noProof/>
          <w:sz w:val="20"/>
          <w:szCs w:val="20"/>
        </w:rPr>
      </w:pPr>
      <w:hyperlink w:anchor="_Toc153137773" w:history="1">
        <w:r w:rsidR="00BE3F4E" w:rsidRPr="00BE3F4E">
          <w:rPr>
            <w:rStyle w:val="Hyperlink"/>
            <w:rFonts w:ascii="Arial" w:eastAsia="Times New Roman" w:hAnsi="Arial" w:cs="Arial"/>
            <w:noProof/>
            <w:sz w:val="20"/>
            <w:szCs w:val="20"/>
          </w:rPr>
          <w:t>AMC1 31TGB.23(b) Ascent load factors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_Toc153137773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257</w:t>
        </w:r>
        <w:r w:rsidR="00BE3F4E" w:rsidRPr="00BE3F4E">
          <w:rPr>
            <w:rFonts w:ascii="Arial" w:hAnsi="Arial" w:cs="Arial"/>
            <w:noProof/>
            <w:webHidden/>
            <w:sz w:val="20"/>
            <w:szCs w:val="20"/>
          </w:rPr>
          <w:fldChar w:fldCharType="end"/>
        </w:r>
      </w:hyperlink>
    </w:p>
    <w:p w14:paraId="16D8FADE" w14:textId="6CFC610D" w:rsidR="00BE3F4E" w:rsidRPr="00BE3F4E" w:rsidRDefault="00000000">
      <w:pPr>
        <w:pStyle w:val="TOC5"/>
        <w:tabs>
          <w:tab w:val="right" w:leader="underscore" w:pos="9016"/>
        </w:tabs>
        <w:rPr>
          <w:rFonts w:ascii="Arial" w:eastAsiaTheme="minorEastAsia" w:hAnsi="Arial" w:cs="Arial"/>
          <w:noProof/>
          <w:sz w:val="20"/>
          <w:szCs w:val="20"/>
        </w:rPr>
      </w:pPr>
      <w:hyperlink w:anchor="_Toc153137774" w:history="1">
        <w:r w:rsidR="00BE3F4E" w:rsidRPr="00BE3F4E">
          <w:rPr>
            <w:rStyle w:val="Hyperlink"/>
            <w:rFonts w:ascii="Arial" w:eastAsia="Times New Roman" w:hAnsi="Arial" w:cs="Arial"/>
            <w:noProof/>
            <w:sz w:val="20"/>
            <w:szCs w:val="20"/>
          </w:rPr>
          <w:t>AMC1 31TGB.23(c) Gust load factor</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_Toc153137774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258</w:t>
        </w:r>
        <w:r w:rsidR="00BE3F4E" w:rsidRPr="00BE3F4E">
          <w:rPr>
            <w:rFonts w:ascii="Arial" w:hAnsi="Arial" w:cs="Arial"/>
            <w:noProof/>
            <w:webHidden/>
            <w:sz w:val="20"/>
            <w:szCs w:val="20"/>
          </w:rPr>
          <w:fldChar w:fldCharType="end"/>
        </w:r>
      </w:hyperlink>
    </w:p>
    <w:p w14:paraId="1D1CD404" w14:textId="6C04AC34" w:rsidR="00BE3F4E" w:rsidRPr="00BE3F4E" w:rsidRDefault="00000000">
      <w:pPr>
        <w:pStyle w:val="TOC4"/>
        <w:tabs>
          <w:tab w:val="right" w:leader="underscore" w:pos="9016"/>
        </w:tabs>
        <w:rPr>
          <w:rFonts w:ascii="Arial" w:eastAsiaTheme="minorEastAsia" w:hAnsi="Arial" w:cs="Arial"/>
          <w:noProof/>
          <w:sz w:val="20"/>
          <w:szCs w:val="20"/>
        </w:rPr>
      </w:pPr>
      <w:hyperlink w:anchor="_Toc153137775" w:history="1">
        <w:r w:rsidR="00BE3F4E" w:rsidRPr="00BE3F4E">
          <w:rPr>
            <w:rStyle w:val="Hyperlink"/>
            <w:rFonts w:ascii="Arial" w:eastAsia="Times New Roman" w:hAnsi="Arial" w:cs="Arial"/>
            <w:iCs/>
            <w:noProof/>
            <w:sz w:val="20"/>
            <w:szCs w:val="20"/>
          </w:rPr>
          <w:t>CS 31TGB.25 Factors of safety</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_Toc153137775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258</w:t>
        </w:r>
        <w:r w:rsidR="00BE3F4E" w:rsidRPr="00BE3F4E">
          <w:rPr>
            <w:rFonts w:ascii="Arial" w:hAnsi="Arial" w:cs="Arial"/>
            <w:noProof/>
            <w:webHidden/>
            <w:sz w:val="20"/>
            <w:szCs w:val="20"/>
          </w:rPr>
          <w:fldChar w:fldCharType="end"/>
        </w:r>
      </w:hyperlink>
    </w:p>
    <w:p w14:paraId="75FE6E39" w14:textId="1E3097DA" w:rsidR="00BE3F4E" w:rsidRPr="00BE3F4E" w:rsidRDefault="00000000">
      <w:pPr>
        <w:pStyle w:val="TOC5"/>
        <w:tabs>
          <w:tab w:val="right" w:leader="underscore" w:pos="9016"/>
        </w:tabs>
        <w:rPr>
          <w:rFonts w:ascii="Arial" w:eastAsiaTheme="minorEastAsia" w:hAnsi="Arial" w:cs="Arial"/>
          <w:noProof/>
          <w:sz w:val="20"/>
          <w:szCs w:val="20"/>
        </w:rPr>
      </w:pPr>
      <w:hyperlink w:anchor="_Toc153137776" w:history="1">
        <w:r w:rsidR="00BE3F4E" w:rsidRPr="00BE3F4E">
          <w:rPr>
            <w:rStyle w:val="Hyperlink"/>
            <w:rFonts w:ascii="Arial" w:eastAsia="Times New Roman" w:hAnsi="Arial" w:cs="Arial"/>
            <w:noProof/>
            <w:sz w:val="20"/>
            <w:szCs w:val="20"/>
          </w:rPr>
          <w:t>AMC1 31TGB.25(b) Factors of safety</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_Toc153137776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258</w:t>
        </w:r>
        <w:r w:rsidR="00BE3F4E" w:rsidRPr="00BE3F4E">
          <w:rPr>
            <w:rFonts w:ascii="Arial" w:hAnsi="Arial" w:cs="Arial"/>
            <w:noProof/>
            <w:webHidden/>
            <w:sz w:val="20"/>
            <w:szCs w:val="20"/>
          </w:rPr>
          <w:fldChar w:fldCharType="end"/>
        </w:r>
      </w:hyperlink>
    </w:p>
    <w:p w14:paraId="3CD77991" w14:textId="73626B37" w:rsidR="00BE3F4E" w:rsidRPr="00BE3F4E" w:rsidRDefault="00000000">
      <w:pPr>
        <w:pStyle w:val="TOC4"/>
        <w:tabs>
          <w:tab w:val="right" w:leader="underscore" w:pos="9016"/>
        </w:tabs>
        <w:rPr>
          <w:rFonts w:ascii="Arial" w:eastAsiaTheme="minorEastAsia" w:hAnsi="Arial" w:cs="Arial"/>
          <w:noProof/>
          <w:sz w:val="20"/>
          <w:szCs w:val="20"/>
        </w:rPr>
      </w:pPr>
      <w:hyperlink w:anchor="_Toc153137777" w:history="1">
        <w:r w:rsidR="00BE3F4E" w:rsidRPr="00BE3F4E">
          <w:rPr>
            <w:rStyle w:val="Hyperlink"/>
            <w:rFonts w:ascii="Arial" w:eastAsia="Times New Roman" w:hAnsi="Arial" w:cs="Arial"/>
            <w:iCs/>
            <w:noProof/>
            <w:sz w:val="20"/>
            <w:szCs w:val="20"/>
          </w:rPr>
          <w:t>CS 31TGB.27 Strength and proof of strength</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_Toc153137777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258</w:t>
        </w:r>
        <w:r w:rsidR="00BE3F4E" w:rsidRPr="00BE3F4E">
          <w:rPr>
            <w:rFonts w:ascii="Arial" w:hAnsi="Arial" w:cs="Arial"/>
            <w:noProof/>
            <w:webHidden/>
            <w:sz w:val="20"/>
            <w:szCs w:val="20"/>
          </w:rPr>
          <w:fldChar w:fldCharType="end"/>
        </w:r>
      </w:hyperlink>
    </w:p>
    <w:p w14:paraId="315F8911" w14:textId="2BAF6F01" w:rsidR="00BE3F4E" w:rsidRPr="00BE3F4E" w:rsidRDefault="00000000">
      <w:pPr>
        <w:pStyle w:val="TOC5"/>
        <w:tabs>
          <w:tab w:val="right" w:leader="underscore" w:pos="9016"/>
        </w:tabs>
        <w:rPr>
          <w:rFonts w:ascii="Arial" w:eastAsiaTheme="minorEastAsia" w:hAnsi="Arial" w:cs="Arial"/>
          <w:noProof/>
          <w:sz w:val="20"/>
          <w:szCs w:val="20"/>
        </w:rPr>
      </w:pPr>
      <w:hyperlink w:anchor="_Toc153137778" w:history="1">
        <w:r w:rsidR="00BE3F4E" w:rsidRPr="00BE3F4E">
          <w:rPr>
            <w:rStyle w:val="Hyperlink"/>
            <w:rFonts w:ascii="Arial" w:eastAsia="Times New Roman" w:hAnsi="Arial" w:cs="Arial"/>
            <w:noProof/>
            <w:sz w:val="20"/>
            <w:szCs w:val="20"/>
          </w:rPr>
          <w:t>AMC1 31TGB.27(c) Strength and proof of strength</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_Toc153137778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259</w:t>
        </w:r>
        <w:r w:rsidR="00BE3F4E" w:rsidRPr="00BE3F4E">
          <w:rPr>
            <w:rFonts w:ascii="Arial" w:hAnsi="Arial" w:cs="Arial"/>
            <w:noProof/>
            <w:webHidden/>
            <w:sz w:val="20"/>
            <w:szCs w:val="20"/>
          </w:rPr>
          <w:fldChar w:fldCharType="end"/>
        </w:r>
      </w:hyperlink>
    </w:p>
    <w:p w14:paraId="391A1F67" w14:textId="7B3794D5" w:rsidR="00BE3F4E" w:rsidRPr="00BE3F4E" w:rsidRDefault="00000000">
      <w:pPr>
        <w:pStyle w:val="TOC5"/>
        <w:tabs>
          <w:tab w:val="right" w:leader="underscore" w:pos="9016"/>
        </w:tabs>
        <w:rPr>
          <w:rFonts w:ascii="Arial" w:eastAsiaTheme="minorEastAsia" w:hAnsi="Arial" w:cs="Arial"/>
          <w:noProof/>
          <w:sz w:val="20"/>
          <w:szCs w:val="20"/>
        </w:rPr>
      </w:pPr>
      <w:hyperlink w:anchor="_Toc153137779" w:history="1">
        <w:r w:rsidR="00BE3F4E" w:rsidRPr="00BE3F4E">
          <w:rPr>
            <w:rStyle w:val="Hyperlink"/>
            <w:rFonts w:ascii="Arial" w:eastAsia="Times New Roman" w:hAnsi="Arial" w:cs="Arial"/>
            <w:noProof/>
            <w:sz w:val="20"/>
            <w:szCs w:val="20"/>
          </w:rPr>
          <w:t>AMC1 31TGB.27(e) Strength and proof of strength</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_Toc153137779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259</w:t>
        </w:r>
        <w:r w:rsidR="00BE3F4E" w:rsidRPr="00BE3F4E">
          <w:rPr>
            <w:rFonts w:ascii="Arial" w:hAnsi="Arial" w:cs="Arial"/>
            <w:noProof/>
            <w:webHidden/>
            <w:sz w:val="20"/>
            <w:szCs w:val="20"/>
          </w:rPr>
          <w:fldChar w:fldCharType="end"/>
        </w:r>
      </w:hyperlink>
    </w:p>
    <w:p w14:paraId="3A337E2C" w14:textId="57C21E5C" w:rsidR="00BE3F4E" w:rsidRPr="00BE3F4E" w:rsidRDefault="00000000">
      <w:pPr>
        <w:pStyle w:val="TOC3"/>
        <w:tabs>
          <w:tab w:val="right" w:leader="underscore" w:pos="9016"/>
        </w:tabs>
        <w:rPr>
          <w:rFonts w:ascii="Arial" w:eastAsiaTheme="minorEastAsia" w:hAnsi="Arial" w:cs="Arial"/>
          <w:b w:val="0"/>
          <w:bCs w:val="0"/>
          <w:noProof/>
          <w:sz w:val="20"/>
          <w:szCs w:val="20"/>
        </w:rPr>
      </w:pPr>
      <w:hyperlink w:anchor="_Toc153137780" w:history="1">
        <w:r w:rsidR="00BE3F4E" w:rsidRPr="00BE3F4E">
          <w:rPr>
            <w:rStyle w:val="Hyperlink"/>
            <w:rFonts w:ascii="Arial" w:eastAsiaTheme="majorEastAsia" w:hAnsi="Arial" w:cs="Arial"/>
            <w:b w:val="0"/>
            <w:bCs w:val="0"/>
            <w:noProof/>
            <w:sz w:val="20"/>
            <w:szCs w:val="20"/>
          </w:rPr>
          <w:t>SUBPART D — DESIGN AND CONSTRUCTION</w:t>
        </w:r>
        <w:r w:rsidR="00BE3F4E" w:rsidRPr="00BE3F4E">
          <w:rPr>
            <w:rFonts w:ascii="Arial" w:hAnsi="Arial" w:cs="Arial"/>
            <w:b w:val="0"/>
            <w:bCs w:val="0"/>
            <w:noProof/>
            <w:webHidden/>
            <w:sz w:val="20"/>
            <w:szCs w:val="20"/>
          </w:rPr>
          <w:tab/>
        </w:r>
        <w:r w:rsidR="00BE3F4E" w:rsidRPr="00BE3F4E">
          <w:rPr>
            <w:rFonts w:ascii="Arial" w:hAnsi="Arial" w:cs="Arial"/>
            <w:b w:val="0"/>
            <w:bCs w:val="0"/>
            <w:noProof/>
            <w:webHidden/>
            <w:sz w:val="20"/>
            <w:szCs w:val="20"/>
          </w:rPr>
          <w:fldChar w:fldCharType="begin"/>
        </w:r>
        <w:r w:rsidR="00BE3F4E" w:rsidRPr="00BE3F4E">
          <w:rPr>
            <w:rFonts w:ascii="Arial" w:hAnsi="Arial" w:cs="Arial"/>
            <w:b w:val="0"/>
            <w:bCs w:val="0"/>
            <w:noProof/>
            <w:webHidden/>
            <w:sz w:val="20"/>
            <w:szCs w:val="20"/>
          </w:rPr>
          <w:instrText xml:space="preserve"> PAGEREF _Toc153137780 \h </w:instrText>
        </w:r>
        <w:r w:rsidR="00BE3F4E" w:rsidRPr="00BE3F4E">
          <w:rPr>
            <w:rFonts w:ascii="Arial" w:hAnsi="Arial" w:cs="Arial"/>
            <w:b w:val="0"/>
            <w:bCs w:val="0"/>
            <w:noProof/>
            <w:webHidden/>
            <w:sz w:val="20"/>
            <w:szCs w:val="20"/>
          </w:rPr>
        </w:r>
        <w:r w:rsidR="00BE3F4E" w:rsidRPr="00BE3F4E">
          <w:rPr>
            <w:rFonts w:ascii="Arial" w:hAnsi="Arial" w:cs="Arial"/>
            <w:b w:val="0"/>
            <w:bCs w:val="0"/>
            <w:noProof/>
            <w:webHidden/>
            <w:sz w:val="20"/>
            <w:szCs w:val="20"/>
          </w:rPr>
          <w:fldChar w:fldCharType="separate"/>
        </w:r>
        <w:r w:rsidR="006A7538">
          <w:rPr>
            <w:rFonts w:ascii="Arial" w:hAnsi="Arial" w:cs="Arial"/>
            <w:b w:val="0"/>
            <w:bCs w:val="0"/>
            <w:noProof/>
            <w:webHidden/>
            <w:sz w:val="20"/>
            <w:szCs w:val="20"/>
          </w:rPr>
          <w:t>260</w:t>
        </w:r>
        <w:r w:rsidR="00BE3F4E" w:rsidRPr="00BE3F4E">
          <w:rPr>
            <w:rFonts w:ascii="Arial" w:hAnsi="Arial" w:cs="Arial"/>
            <w:b w:val="0"/>
            <w:bCs w:val="0"/>
            <w:noProof/>
            <w:webHidden/>
            <w:sz w:val="20"/>
            <w:szCs w:val="20"/>
          </w:rPr>
          <w:fldChar w:fldCharType="end"/>
        </w:r>
      </w:hyperlink>
    </w:p>
    <w:p w14:paraId="647C29F6" w14:textId="050398CC" w:rsidR="00BE3F4E" w:rsidRPr="00BE3F4E" w:rsidRDefault="00000000">
      <w:pPr>
        <w:pStyle w:val="TOC4"/>
        <w:tabs>
          <w:tab w:val="right" w:leader="underscore" w:pos="9016"/>
        </w:tabs>
        <w:rPr>
          <w:rFonts w:ascii="Arial" w:eastAsiaTheme="minorEastAsia" w:hAnsi="Arial" w:cs="Arial"/>
          <w:noProof/>
          <w:sz w:val="20"/>
          <w:szCs w:val="20"/>
        </w:rPr>
      </w:pPr>
      <w:hyperlink w:anchor="_Toc153137781" w:history="1">
        <w:r w:rsidR="00BE3F4E" w:rsidRPr="00BE3F4E">
          <w:rPr>
            <w:rStyle w:val="Hyperlink"/>
            <w:rFonts w:ascii="Arial" w:eastAsia="Times New Roman" w:hAnsi="Arial" w:cs="Arial"/>
            <w:iCs/>
            <w:noProof/>
            <w:sz w:val="20"/>
            <w:szCs w:val="20"/>
          </w:rPr>
          <w:t>CS 31TGB.31 General</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_Toc153137781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260</w:t>
        </w:r>
        <w:r w:rsidR="00BE3F4E" w:rsidRPr="00BE3F4E">
          <w:rPr>
            <w:rFonts w:ascii="Arial" w:hAnsi="Arial" w:cs="Arial"/>
            <w:noProof/>
            <w:webHidden/>
            <w:sz w:val="20"/>
            <w:szCs w:val="20"/>
          </w:rPr>
          <w:fldChar w:fldCharType="end"/>
        </w:r>
      </w:hyperlink>
    </w:p>
    <w:p w14:paraId="0A62A341" w14:textId="62B9B0F8" w:rsidR="00BE3F4E" w:rsidRPr="00BE3F4E" w:rsidRDefault="00000000">
      <w:pPr>
        <w:pStyle w:val="TOC4"/>
        <w:tabs>
          <w:tab w:val="right" w:leader="underscore" w:pos="9016"/>
        </w:tabs>
        <w:rPr>
          <w:rFonts w:ascii="Arial" w:eastAsiaTheme="minorEastAsia" w:hAnsi="Arial" w:cs="Arial"/>
          <w:noProof/>
          <w:sz w:val="20"/>
          <w:szCs w:val="20"/>
        </w:rPr>
      </w:pPr>
      <w:hyperlink w:anchor="_Toc153137782" w:history="1">
        <w:r w:rsidR="00BE3F4E" w:rsidRPr="00BE3F4E">
          <w:rPr>
            <w:rStyle w:val="Hyperlink"/>
            <w:rFonts w:ascii="Arial" w:eastAsia="Times New Roman" w:hAnsi="Arial" w:cs="Arial"/>
            <w:iCs/>
            <w:noProof/>
            <w:sz w:val="20"/>
            <w:szCs w:val="20"/>
          </w:rPr>
          <w:t>CS 31TGB.33 Materials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_Toc153137782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260</w:t>
        </w:r>
        <w:r w:rsidR="00BE3F4E" w:rsidRPr="00BE3F4E">
          <w:rPr>
            <w:rFonts w:ascii="Arial" w:hAnsi="Arial" w:cs="Arial"/>
            <w:noProof/>
            <w:webHidden/>
            <w:sz w:val="20"/>
            <w:szCs w:val="20"/>
          </w:rPr>
          <w:fldChar w:fldCharType="end"/>
        </w:r>
      </w:hyperlink>
    </w:p>
    <w:p w14:paraId="051DA2C6" w14:textId="540763CE" w:rsidR="00BE3F4E" w:rsidRPr="00BE3F4E" w:rsidRDefault="00000000">
      <w:pPr>
        <w:pStyle w:val="TOC5"/>
        <w:tabs>
          <w:tab w:val="right" w:leader="underscore" w:pos="9016"/>
        </w:tabs>
        <w:rPr>
          <w:rFonts w:ascii="Arial" w:eastAsiaTheme="minorEastAsia" w:hAnsi="Arial" w:cs="Arial"/>
          <w:noProof/>
          <w:sz w:val="20"/>
          <w:szCs w:val="20"/>
        </w:rPr>
      </w:pPr>
      <w:hyperlink w:anchor="_Toc153137783" w:history="1">
        <w:r w:rsidR="00BE3F4E" w:rsidRPr="00BE3F4E">
          <w:rPr>
            <w:rStyle w:val="Hyperlink"/>
            <w:rFonts w:ascii="Arial" w:eastAsia="Times New Roman" w:hAnsi="Arial" w:cs="Arial"/>
            <w:noProof/>
            <w:sz w:val="20"/>
            <w:szCs w:val="20"/>
          </w:rPr>
          <w:t>AMC1 31TGB.33(b) Materials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_Toc153137783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260</w:t>
        </w:r>
        <w:r w:rsidR="00BE3F4E" w:rsidRPr="00BE3F4E">
          <w:rPr>
            <w:rFonts w:ascii="Arial" w:hAnsi="Arial" w:cs="Arial"/>
            <w:noProof/>
            <w:webHidden/>
            <w:sz w:val="20"/>
            <w:szCs w:val="20"/>
          </w:rPr>
          <w:fldChar w:fldCharType="end"/>
        </w:r>
      </w:hyperlink>
    </w:p>
    <w:p w14:paraId="5CFA3535" w14:textId="43BD8031" w:rsidR="00BE3F4E" w:rsidRPr="00BE3F4E" w:rsidRDefault="00000000">
      <w:pPr>
        <w:pStyle w:val="TOC4"/>
        <w:tabs>
          <w:tab w:val="right" w:leader="underscore" w:pos="9016"/>
        </w:tabs>
        <w:rPr>
          <w:rFonts w:ascii="Arial" w:eastAsiaTheme="minorEastAsia" w:hAnsi="Arial" w:cs="Arial"/>
          <w:noProof/>
          <w:sz w:val="20"/>
          <w:szCs w:val="20"/>
        </w:rPr>
      </w:pPr>
      <w:hyperlink w:anchor="_Toc153137784" w:history="1">
        <w:r w:rsidR="00BE3F4E" w:rsidRPr="00BE3F4E">
          <w:rPr>
            <w:rStyle w:val="Hyperlink"/>
            <w:rFonts w:ascii="Arial" w:eastAsia="Times New Roman" w:hAnsi="Arial" w:cs="Arial"/>
            <w:iCs/>
            <w:noProof/>
            <w:sz w:val="20"/>
            <w:szCs w:val="20"/>
          </w:rPr>
          <w:t>CS 31TGB.35 Fabrication methods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_Toc153137784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260</w:t>
        </w:r>
        <w:r w:rsidR="00BE3F4E" w:rsidRPr="00BE3F4E">
          <w:rPr>
            <w:rFonts w:ascii="Arial" w:hAnsi="Arial" w:cs="Arial"/>
            <w:noProof/>
            <w:webHidden/>
            <w:sz w:val="20"/>
            <w:szCs w:val="20"/>
          </w:rPr>
          <w:fldChar w:fldCharType="end"/>
        </w:r>
      </w:hyperlink>
    </w:p>
    <w:p w14:paraId="05D823B3" w14:textId="05B4CD27" w:rsidR="00BE3F4E" w:rsidRPr="00BE3F4E" w:rsidRDefault="00000000">
      <w:pPr>
        <w:pStyle w:val="TOC5"/>
        <w:tabs>
          <w:tab w:val="right" w:leader="underscore" w:pos="9016"/>
        </w:tabs>
        <w:rPr>
          <w:rFonts w:ascii="Arial" w:eastAsiaTheme="minorEastAsia" w:hAnsi="Arial" w:cs="Arial"/>
          <w:noProof/>
          <w:sz w:val="20"/>
          <w:szCs w:val="20"/>
        </w:rPr>
      </w:pPr>
      <w:hyperlink w:anchor="_Toc153137785" w:history="1">
        <w:r w:rsidR="00BE3F4E" w:rsidRPr="00BE3F4E">
          <w:rPr>
            <w:rStyle w:val="Hyperlink"/>
            <w:rFonts w:ascii="Arial" w:eastAsia="Times New Roman" w:hAnsi="Arial" w:cs="Arial"/>
            <w:noProof/>
            <w:sz w:val="20"/>
            <w:szCs w:val="20"/>
          </w:rPr>
          <w:t>AMC1 31TGB.35 Fabrication methods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_Toc153137785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260</w:t>
        </w:r>
        <w:r w:rsidR="00BE3F4E" w:rsidRPr="00BE3F4E">
          <w:rPr>
            <w:rFonts w:ascii="Arial" w:hAnsi="Arial" w:cs="Arial"/>
            <w:noProof/>
            <w:webHidden/>
            <w:sz w:val="20"/>
            <w:szCs w:val="20"/>
          </w:rPr>
          <w:fldChar w:fldCharType="end"/>
        </w:r>
      </w:hyperlink>
    </w:p>
    <w:p w14:paraId="4FDE3DA7" w14:textId="1CBAA9A1" w:rsidR="00BE3F4E" w:rsidRPr="00BE3F4E" w:rsidRDefault="00000000">
      <w:pPr>
        <w:pStyle w:val="TOC4"/>
        <w:tabs>
          <w:tab w:val="right" w:leader="underscore" w:pos="9016"/>
        </w:tabs>
        <w:rPr>
          <w:rFonts w:ascii="Arial" w:eastAsiaTheme="minorEastAsia" w:hAnsi="Arial" w:cs="Arial"/>
          <w:noProof/>
          <w:sz w:val="20"/>
          <w:szCs w:val="20"/>
        </w:rPr>
      </w:pPr>
      <w:hyperlink w:anchor="_Toc153137786" w:history="1">
        <w:r w:rsidR="00BE3F4E" w:rsidRPr="00BE3F4E">
          <w:rPr>
            <w:rStyle w:val="Hyperlink"/>
            <w:rFonts w:ascii="Arial" w:eastAsia="Times New Roman" w:hAnsi="Arial" w:cs="Arial"/>
            <w:iCs/>
            <w:noProof/>
            <w:sz w:val="20"/>
            <w:szCs w:val="20"/>
          </w:rPr>
          <w:t>CS 31TGB.36 Stress concentrations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_Toc153137786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260</w:t>
        </w:r>
        <w:r w:rsidR="00BE3F4E" w:rsidRPr="00BE3F4E">
          <w:rPr>
            <w:rFonts w:ascii="Arial" w:hAnsi="Arial" w:cs="Arial"/>
            <w:noProof/>
            <w:webHidden/>
            <w:sz w:val="20"/>
            <w:szCs w:val="20"/>
          </w:rPr>
          <w:fldChar w:fldCharType="end"/>
        </w:r>
      </w:hyperlink>
    </w:p>
    <w:p w14:paraId="1BF00F47" w14:textId="67657D4A" w:rsidR="00BE3F4E" w:rsidRPr="00BE3F4E" w:rsidRDefault="00000000">
      <w:pPr>
        <w:pStyle w:val="TOC4"/>
        <w:tabs>
          <w:tab w:val="right" w:leader="underscore" w:pos="9016"/>
        </w:tabs>
        <w:rPr>
          <w:rFonts w:ascii="Arial" w:eastAsiaTheme="minorEastAsia" w:hAnsi="Arial" w:cs="Arial"/>
          <w:noProof/>
          <w:sz w:val="20"/>
          <w:szCs w:val="20"/>
        </w:rPr>
      </w:pPr>
      <w:hyperlink w:anchor="_Toc153137787" w:history="1">
        <w:r w:rsidR="00BE3F4E" w:rsidRPr="00BE3F4E">
          <w:rPr>
            <w:rStyle w:val="Hyperlink"/>
            <w:rFonts w:ascii="Arial" w:eastAsia="Times New Roman" w:hAnsi="Arial" w:cs="Arial"/>
            <w:iCs/>
            <w:noProof/>
            <w:sz w:val="20"/>
            <w:szCs w:val="20"/>
          </w:rPr>
          <w:t>CS 31TGB.37 Fasteners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_Toc153137787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260</w:t>
        </w:r>
        <w:r w:rsidR="00BE3F4E" w:rsidRPr="00BE3F4E">
          <w:rPr>
            <w:rFonts w:ascii="Arial" w:hAnsi="Arial" w:cs="Arial"/>
            <w:noProof/>
            <w:webHidden/>
            <w:sz w:val="20"/>
            <w:szCs w:val="20"/>
          </w:rPr>
          <w:fldChar w:fldCharType="end"/>
        </w:r>
      </w:hyperlink>
    </w:p>
    <w:p w14:paraId="6386E7F0" w14:textId="655ADBDA" w:rsidR="00BE3F4E" w:rsidRPr="00BE3F4E" w:rsidRDefault="00000000">
      <w:pPr>
        <w:pStyle w:val="TOC5"/>
        <w:tabs>
          <w:tab w:val="right" w:leader="underscore" w:pos="9016"/>
        </w:tabs>
        <w:rPr>
          <w:rFonts w:ascii="Arial" w:eastAsiaTheme="minorEastAsia" w:hAnsi="Arial" w:cs="Arial"/>
          <w:noProof/>
          <w:sz w:val="20"/>
          <w:szCs w:val="20"/>
        </w:rPr>
      </w:pPr>
      <w:hyperlink w:anchor="_Toc153137788" w:history="1">
        <w:r w:rsidR="00BE3F4E" w:rsidRPr="00BE3F4E">
          <w:rPr>
            <w:rStyle w:val="Hyperlink"/>
            <w:rFonts w:ascii="Arial" w:eastAsia="Times New Roman" w:hAnsi="Arial" w:cs="Arial"/>
            <w:noProof/>
            <w:sz w:val="20"/>
            <w:szCs w:val="20"/>
          </w:rPr>
          <w:t>AMC1 31TGB.37(a) Fasteners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_Toc153137788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260</w:t>
        </w:r>
        <w:r w:rsidR="00BE3F4E" w:rsidRPr="00BE3F4E">
          <w:rPr>
            <w:rFonts w:ascii="Arial" w:hAnsi="Arial" w:cs="Arial"/>
            <w:noProof/>
            <w:webHidden/>
            <w:sz w:val="20"/>
            <w:szCs w:val="20"/>
          </w:rPr>
          <w:fldChar w:fldCharType="end"/>
        </w:r>
      </w:hyperlink>
    </w:p>
    <w:p w14:paraId="497CD786" w14:textId="4C234EDE" w:rsidR="00BE3F4E" w:rsidRPr="00BE3F4E" w:rsidRDefault="00000000">
      <w:pPr>
        <w:pStyle w:val="TOC4"/>
        <w:tabs>
          <w:tab w:val="right" w:leader="underscore" w:pos="9016"/>
        </w:tabs>
        <w:rPr>
          <w:rFonts w:ascii="Arial" w:eastAsiaTheme="minorEastAsia" w:hAnsi="Arial" w:cs="Arial"/>
          <w:noProof/>
          <w:sz w:val="20"/>
          <w:szCs w:val="20"/>
        </w:rPr>
      </w:pPr>
      <w:hyperlink w:anchor="_Toc153137789" w:history="1">
        <w:r w:rsidR="00BE3F4E" w:rsidRPr="00BE3F4E">
          <w:rPr>
            <w:rStyle w:val="Hyperlink"/>
            <w:rFonts w:ascii="Arial" w:eastAsia="Times New Roman" w:hAnsi="Arial" w:cs="Arial"/>
            <w:iCs/>
            <w:noProof/>
            <w:sz w:val="20"/>
            <w:szCs w:val="20"/>
          </w:rPr>
          <w:t>CS 31TGB.39 Protection of parts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_Toc153137789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261</w:t>
        </w:r>
        <w:r w:rsidR="00BE3F4E" w:rsidRPr="00BE3F4E">
          <w:rPr>
            <w:rFonts w:ascii="Arial" w:hAnsi="Arial" w:cs="Arial"/>
            <w:noProof/>
            <w:webHidden/>
            <w:sz w:val="20"/>
            <w:szCs w:val="20"/>
          </w:rPr>
          <w:fldChar w:fldCharType="end"/>
        </w:r>
      </w:hyperlink>
    </w:p>
    <w:p w14:paraId="55651AC0" w14:textId="5FA25A0F" w:rsidR="00BE3F4E" w:rsidRPr="00BE3F4E" w:rsidRDefault="00000000">
      <w:pPr>
        <w:pStyle w:val="TOC5"/>
        <w:tabs>
          <w:tab w:val="right" w:leader="underscore" w:pos="9016"/>
        </w:tabs>
        <w:rPr>
          <w:rFonts w:ascii="Arial" w:eastAsiaTheme="minorEastAsia" w:hAnsi="Arial" w:cs="Arial"/>
          <w:noProof/>
          <w:sz w:val="20"/>
          <w:szCs w:val="20"/>
        </w:rPr>
      </w:pPr>
      <w:hyperlink w:anchor="_Toc153137790" w:history="1">
        <w:r w:rsidR="00BE3F4E" w:rsidRPr="00BE3F4E">
          <w:rPr>
            <w:rStyle w:val="Hyperlink"/>
            <w:rFonts w:ascii="Arial" w:eastAsia="Times New Roman" w:hAnsi="Arial" w:cs="Arial"/>
            <w:noProof/>
            <w:sz w:val="20"/>
            <w:szCs w:val="20"/>
          </w:rPr>
          <w:t>AMC1 31TGB.39 Protection of parts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_Toc153137790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261</w:t>
        </w:r>
        <w:r w:rsidR="00BE3F4E" w:rsidRPr="00BE3F4E">
          <w:rPr>
            <w:rFonts w:ascii="Arial" w:hAnsi="Arial" w:cs="Arial"/>
            <w:noProof/>
            <w:webHidden/>
            <w:sz w:val="20"/>
            <w:szCs w:val="20"/>
          </w:rPr>
          <w:fldChar w:fldCharType="end"/>
        </w:r>
      </w:hyperlink>
    </w:p>
    <w:p w14:paraId="22C0273F" w14:textId="4B30F999" w:rsidR="00BE3F4E" w:rsidRPr="00BE3F4E" w:rsidRDefault="00000000">
      <w:pPr>
        <w:pStyle w:val="TOC4"/>
        <w:tabs>
          <w:tab w:val="right" w:leader="underscore" w:pos="9016"/>
        </w:tabs>
        <w:rPr>
          <w:rFonts w:ascii="Arial" w:eastAsiaTheme="minorEastAsia" w:hAnsi="Arial" w:cs="Arial"/>
          <w:noProof/>
          <w:sz w:val="20"/>
          <w:szCs w:val="20"/>
        </w:rPr>
      </w:pPr>
      <w:hyperlink w:anchor="_Toc153137791" w:history="1">
        <w:r w:rsidR="00BE3F4E" w:rsidRPr="00BE3F4E">
          <w:rPr>
            <w:rStyle w:val="Hyperlink"/>
            <w:rFonts w:ascii="Arial" w:eastAsia="Times New Roman" w:hAnsi="Arial" w:cs="Arial"/>
            <w:iCs/>
            <w:noProof/>
            <w:sz w:val="20"/>
            <w:szCs w:val="20"/>
          </w:rPr>
          <w:t>CS 31TGB.41 Inspection provisions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_Toc153137791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261</w:t>
        </w:r>
        <w:r w:rsidR="00BE3F4E" w:rsidRPr="00BE3F4E">
          <w:rPr>
            <w:rFonts w:ascii="Arial" w:hAnsi="Arial" w:cs="Arial"/>
            <w:noProof/>
            <w:webHidden/>
            <w:sz w:val="20"/>
            <w:szCs w:val="20"/>
          </w:rPr>
          <w:fldChar w:fldCharType="end"/>
        </w:r>
      </w:hyperlink>
    </w:p>
    <w:p w14:paraId="40AE5A27" w14:textId="3F6D4737" w:rsidR="00BE3F4E" w:rsidRPr="00BE3F4E" w:rsidRDefault="00000000">
      <w:pPr>
        <w:pStyle w:val="TOC4"/>
        <w:tabs>
          <w:tab w:val="right" w:leader="underscore" w:pos="9016"/>
        </w:tabs>
        <w:rPr>
          <w:rFonts w:ascii="Arial" w:eastAsiaTheme="minorEastAsia" w:hAnsi="Arial" w:cs="Arial"/>
          <w:noProof/>
          <w:sz w:val="20"/>
          <w:szCs w:val="20"/>
        </w:rPr>
      </w:pPr>
      <w:hyperlink w:anchor="_Toc153137792" w:history="1">
        <w:r w:rsidR="00BE3F4E" w:rsidRPr="00BE3F4E">
          <w:rPr>
            <w:rStyle w:val="Hyperlink"/>
            <w:rFonts w:ascii="Arial" w:eastAsia="Times New Roman" w:hAnsi="Arial" w:cs="Arial"/>
            <w:iCs/>
            <w:noProof/>
            <w:sz w:val="20"/>
            <w:szCs w:val="20"/>
          </w:rPr>
          <w:t>CS 31TGB.43 Balloon system controls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_Toc153137792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261</w:t>
        </w:r>
        <w:r w:rsidR="00BE3F4E" w:rsidRPr="00BE3F4E">
          <w:rPr>
            <w:rFonts w:ascii="Arial" w:hAnsi="Arial" w:cs="Arial"/>
            <w:noProof/>
            <w:webHidden/>
            <w:sz w:val="20"/>
            <w:szCs w:val="20"/>
          </w:rPr>
          <w:fldChar w:fldCharType="end"/>
        </w:r>
      </w:hyperlink>
    </w:p>
    <w:p w14:paraId="7BC561D5" w14:textId="07F892A3" w:rsidR="00BE3F4E" w:rsidRPr="00BE3F4E" w:rsidRDefault="00000000">
      <w:pPr>
        <w:pStyle w:val="TOC4"/>
        <w:tabs>
          <w:tab w:val="right" w:leader="underscore" w:pos="9016"/>
        </w:tabs>
        <w:rPr>
          <w:rFonts w:ascii="Arial" w:eastAsiaTheme="minorEastAsia" w:hAnsi="Arial" w:cs="Arial"/>
          <w:noProof/>
          <w:sz w:val="20"/>
          <w:szCs w:val="20"/>
        </w:rPr>
      </w:pPr>
      <w:hyperlink w:anchor="_Toc153137793" w:history="1">
        <w:r w:rsidR="00BE3F4E" w:rsidRPr="00BE3F4E">
          <w:rPr>
            <w:rStyle w:val="Hyperlink"/>
            <w:rFonts w:ascii="Arial" w:eastAsia="Times New Roman" w:hAnsi="Arial" w:cs="Arial"/>
            <w:iCs/>
            <w:noProof/>
            <w:sz w:val="20"/>
            <w:szCs w:val="20"/>
          </w:rPr>
          <w:t>CS 31TGB.45 Protection of envelope against tearing</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_Toc153137793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262</w:t>
        </w:r>
        <w:r w:rsidR="00BE3F4E" w:rsidRPr="00BE3F4E">
          <w:rPr>
            <w:rFonts w:ascii="Arial" w:hAnsi="Arial" w:cs="Arial"/>
            <w:noProof/>
            <w:webHidden/>
            <w:sz w:val="20"/>
            <w:szCs w:val="20"/>
          </w:rPr>
          <w:fldChar w:fldCharType="end"/>
        </w:r>
      </w:hyperlink>
    </w:p>
    <w:p w14:paraId="5E471626" w14:textId="2C02B4E0" w:rsidR="00BE3F4E" w:rsidRPr="00BE3F4E" w:rsidRDefault="00000000">
      <w:pPr>
        <w:pStyle w:val="TOC5"/>
        <w:tabs>
          <w:tab w:val="right" w:leader="underscore" w:pos="9016"/>
        </w:tabs>
        <w:rPr>
          <w:rFonts w:ascii="Arial" w:eastAsiaTheme="minorEastAsia" w:hAnsi="Arial" w:cs="Arial"/>
          <w:noProof/>
          <w:sz w:val="20"/>
          <w:szCs w:val="20"/>
        </w:rPr>
      </w:pPr>
      <w:hyperlink w:anchor="_Toc153137794" w:history="1">
        <w:r w:rsidR="00BE3F4E" w:rsidRPr="00BE3F4E">
          <w:rPr>
            <w:rStyle w:val="Hyperlink"/>
            <w:rFonts w:ascii="Arial" w:eastAsia="Times New Roman" w:hAnsi="Arial" w:cs="Arial"/>
            <w:noProof/>
            <w:sz w:val="20"/>
            <w:szCs w:val="20"/>
          </w:rPr>
          <w:t>AMC1 31TGB.45 Protection of envelope against tearing</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_Toc153137794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262</w:t>
        </w:r>
        <w:r w:rsidR="00BE3F4E" w:rsidRPr="00BE3F4E">
          <w:rPr>
            <w:rFonts w:ascii="Arial" w:hAnsi="Arial" w:cs="Arial"/>
            <w:noProof/>
            <w:webHidden/>
            <w:sz w:val="20"/>
            <w:szCs w:val="20"/>
          </w:rPr>
          <w:fldChar w:fldCharType="end"/>
        </w:r>
      </w:hyperlink>
    </w:p>
    <w:p w14:paraId="68298DB0" w14:textId="34002EE2" w:rsidR="00BE3F4E" w:rsidRPr="00BE3F4E" w:rsidRDefault="00000000">
      <w:pPr>
        <w:pStyle w:val="TOC4"/>
        <w:tabs>
          <w:tab w:val="right" w:leader="underscore" w:pos="9016"/>
        </w:tabs>
        <w:rPr>
          <w:rFonts w:ascii="Arial" w:eastAsiaTheme="minorEastAsia" w:hAnsi="Arial" w:cs="Arial"/>
          <w:noProof/>
          <w:sz w:val="20"/>
          <w:szCs w:val="20"/>
        </w:rPr>
      </w:pPr>
      <w:hyperlink w:anchor="_Toc153137795" w:history="1">
        <w:r w:rsidR="00BE3F4E" w:rsidRPr="00BE3F4E">
          <w:rPr>
            <w:rStyle w:val="Hyperlink"/>
            <w:rFonts w:ascii="Arial" w:eastAsia="Times New Roman" w:hAnsi="Arial" w:cs="Arial"/>
            <w:iCs/>
            <w:noProof/>
            <w:sz w:val="20"/>
            <w:szCs w:val="20"/>
          </w:rPr>
          <w:t>CS 31TGB.47 Precautions against loss of lifting gas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_Toc153137795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263</w:t>
        </w:r>
        <w:r w:rsidR="00BE3F4E" w:rsidRPr="00BE3F4E">
          <w:rPr>
            <w:rFonts w:ascii="Arial" w:hAnsi="Arial" w:cs="Arial"/>
            <w:noProof/>
            <w:webHidden/>
            <w:sz w:val="20"/>
            <w:szCs w:val="20"/>
          </w:rPr>
          <w:fldChar w:fldCharType="end"/>
        </w:r>
      </w:hyperlink>
    </w:p>
    <w:p w14:paraId="1D2D89A2" w14:textId="30DB1A54" w:rsidR="00BE3F4E" w:rsidRPr="00BE3F4E" w:rsidRDefault="00000000">
      <w:pPr>
        <w:pStyle w:val="TOC4"/>
        <w:tabs>
          <w:tab w:val="right" w:leader="underscore" w:pos="9016"/>
        </w:tabs>
        <w:rPr>
          <w:rFonts w:ascii="Arial" w:eastAsiaTheme="minorEastAsia" w:hAnsi="Arial" w:cs="Arial"/>
          <w:noProof/>
          <w:sz w:val="20"/>
          <w:szCs w:val="20"/>
        </w:rPr>
      </w:pPr>
      <w:hyperlink w:anchor="_Toc153137796" w:history="1">
        <w:r w:rsidR="00BE3F4E" w:rsidRPr="00BE3F4E">
          <w:rPr>
            <w:rStyle w:val="Hyperlink"/>
            <w:rFonts w:ascii="Arial" w:eastAsia="Times New Roman" w:hAnsi="Arial" w:cs="Arial"/>
            <w:iCs/>
            <w:noProof/>
            <w:sz w:val="20"/>
            <w:szCs w:val="20"/>
          </w:rPr>
          <w:t>CS 31TGB.49 Limiting the operating pressure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_Toc153137796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263</w:t>
        </w:r>
        <w:r w:rsidR="00BE3F4E" w:rsidRPr="00BE3F4E">
          <w:rPr>
            <w:rFonts w:ascii="Arial" w:hAnsi="Arial" w:cs="Arial"/>
            <w:noProof/>
            <w:webHidden/>
            <w:sz w:val="20"/>
            <w:szCs w:val="20"/>
          </w:rPr>
          <w:fldChar w:fldCharType="end"/>
        </w:r>
      </w:hyperlink>
    </w:p>
    <w:p w14:paraId="7705C684" w14:textId="3E59CCEC" w:rsidR="00BE3F4E" w:rsidRPr="00BE3F4E" w:rsidRDefault="00000000">
      <w:pPr>
        <w:pStyle w:val="TOC5"/>
        <w:tabs>
          <w:tab w:val="right" w:leader="underscore" w:pos="9016"/>
        </w:tabs>
        <w:rPr>
          <w:rFonts w:ascii="Arial" w:eastAsiaTheme="minorEastAsia" w:hAnsi="Arial" w:cs="Arial"/>
          <w:noProof/>
          <w:sz w:val="20"/>
          <w:szCs w:val="20"/>
        </w:rPr>
      </w:pPr>
      <w:hyperlink w:anchor="_Toc153137797" w:history="1">
        <w:r w:rsidR="00BE3F4E" w:rsidRPr="00BE3F4E">
          <w:rPr>
            <w:rStyle w:val="Hyperlink"/>
            <w:rFonts w:ascii="Arial" w:eastAsia="Times New Roman" w:hAnsi="Arial" w:cs="Arial"/>
            <w:noProof/>
            <w:sz w:val="20"/>
            <w:szCs w:val="20"/>
          </w:rPr>
          <w:t>AMC1 31TGB.49 Limiting of operating pressure</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_Toc153137797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263</w:t>
        </w:r>
        <w:r w:rsidR="00BE3F4E" w:rsidRPr="00BE3F4E">
          <w:rPr>
            <w:rFonts w:ascii="Arial" w:hAnsi="Arial" w:cs="Arial"/>
            <w:noProof/>
            <w:webHidden/>
            <w:sz w:val="20"/>
            <w:szCs w:val="20"/>
          </w:rPr>
          <w:fldChar w:fldCharType="end"/>
        </w:r>
      </w:hyperlink>
    </w:p>
    <w:p w14:paraId="339DBEC6" w14:textId="14F72238" w:rsidR="00BE3F4E" w:rsidRPr="00BE3F4E" w:rsidRDefault="00000000">
      <w:pPr>
        <w:pStyle w:val="TOC4"/>
        <w:tabs>
          <w:tab w:val="right" w:leader="underscore" w:pos="9016"/>
        </w:tabs>
        <w:rPr>
          <w:rFonts w:ascii="Arial" w:eastAsiaTheme="minorEastAsia" w:hAnsi="Arial" w:cs="Arial"/>
          <w:noProof/>
          <w:sz w:val="20"/>
          <w:szCs w:val="20"/>
        </w:rPr>
      </w:pPr>
      <w:hyperlink w:anchor="_Toc153137798" w:history="1">
        <w:r w:rsidR="00BE3F4E" w:rsidRPr="00BE3F4E">
          <w:rPr>
            <w:rStyle w:val="Hyperlink"/>
            <w:rFonts w:ascii="Arial" w:eastAsia="Times New Roman" w:hAnsi="Arial" w:cs="Arial"/>
            <w:iCs/>
            <w:noProof/>
            <w:sz w:val="20"/>
            <w:szCs w:val="20"/>
          </w:rPr>
          <w:t>CS 31TGB.51 Rapid deflation means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_Toc153137798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263</w:t>
        </w:r>
        <w:r w:rsidR="00BE3F4E" w:rsidRPr="00BE3F4E">
          <w:rPr>
            <w:rFonts w:ascii="Arial" w:hAnsi="Arial" w:cs="Arial"/>
            <w:noProof/>
            <w:webHidden/>
            <w:sz w:val="20"/>
            <w:szCs w:val="20"/>
          </w:rPr>
          <w:fldChar w:fldCharType="end"/>
        </w:r>
      </w:hyperlink>
    </w:p>
    <w:p w14:paraId="45AC7F7B" w14:textId="5D62FFF0" w:rsidR="00BE3F4E" w:rsidRPr="00BE3F4E" w:rsidRDefault="00000000">
      <w:pPr>
        <w:pStyle w:val="TOC5"/>
        <w:tabs>
          <w:tab w:val="right" w:leader="underscore" w:pos="9016"/>
        </w:tabs>
        <w:rPr>
          <w:rFonts w:ascii="Arial" w:eastAsiaTheme="minorEastAsia" w:hAnsi="Arial" w:cs="Arial"/>
          <w:noProof/>
          <w:sz w:val="20"/>
          <w:szCs w:val="20"/>
        </w:rPr>
      </w:pPr>
      <w:hyperlink w:anchor="_Toc153137799" w:history="1">
        <w:r w:rsidR="00BE3F4E" w:rsidRPr="00BE3F4E">
          <w:rPr>
            <w:rStyle w:val="Hyperlink"/>
            <w:rFonts w:ascii="Arial" w:eastAsia="Times New Roman" w:hAnsi="Arial" w:cs="Arial"/>
            <w:noProof/>
            <w:sz w:val="20"/>
            <w:szCs w:val="20"/>
          </w:rPr>
          <w:t>AMC1 31TGB.51 Rapid deflation means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_Toc153137799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263</w:t>
        </w:r>
        <w:r w:rsidR="00BE3F4E" w:rsidRPr="00BE3F4E">
          <w:rPr>
            <w:rFonts w:ascii="Arial" w:hAnsi="Arial" w:cs="Arial"/>
            <w:noProof/>
            <w:webHidden/>
            <w:sz w:val="20"/>
            <w:szCs w:val="20"/>
          </w:rPr>
          <w:fldChar w:fldCharType="end"/>
        </w:r>
      </w:hyperlink>
    </w:p>
    <w:p w14:paraId="05A36B74" w14:textId="69C948CB" w:rsidR="00BE3F4E" w:rsidRPr="00BE3F4E" w:rsidRDefault="00000000">
      <w:pPr>
        <w:pStyle w:val="TOC4"/>
        <w:tabs>
          <w:tab w:val="right" w:leader="underscore" w:pos="9016"/>
        </w:tabs>
        <w:rPr>
          <w:rFonts w:ascii="Arial" w:eastAsiaTheme="minorEastAsia" w:hAnsi="Arial" w:cs="Arial"/>
          <w:noProof/>
          <w:sz w:val="20"/>
          <w:szCs w:val="20"/>
        </w:rPr>
      </w:pPr>
      <w:hyperlink w:anchor="_Toc153137800" w:history="1">
        <w:r w:rsidR="00BE3F4E" w:rsidRPr="00BE3F4E">
          <w:rPr>
            <w:rStyle w:val="Hyperlink"/>
            <w:rFonts w:ascii="Arial" w:eastAsia="Times New Roman" w:hAnsi="Arial" w:cs="Arial"/>
            <w:iCs/>
            <w:noProof/>
            <w:sz w:val="20"/>
            <w:szCs w:val="20"/>
          </w:rPr>
          <w:t>CS 31TGB.53 Tether system</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_Toc153137800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264</w:t>
        </w:r>
        <w:r w:rsidR="00BE3F4E" w:rsidRPr="00BE3F4E">
          <w:rPr>
            <w:rFonts w:ascii="Arial" w:hAnsi="Arial" w:cs="Arial"/>
            <w:noProof/>
            <w:webHidden/>
            <w:sz w:val="20"/>
            <w:szCs w:val="20"/>
          </w:rPr>
          <w:fldChar w:fldCharType="end"/>
        </w:r>
      </w:hyperlink>
    </w:p>
    <w:p w14:paraId="695DE57B" w14:textId="48FA11C4" w:rsidR="00BE3F4E" w:rsidRPr="00BE3F4E" w:rsidRDefault="00000000">
      <w:pPr>
        <w:pStyle w:val="TOC5"/>
        <w:tabs>
          <w:tab w:val="right" w:leader="underscore" w:pos="9016"/>
        </w:tabs>
        <w:rPr>
          <w:rFonts w:ascii="Arial" w:eastAsiaTheme="minorEastAsia" w:hAnsi="Arial" w:cs="Arial"/>
          <w:noProof/>
          <w:sz w:val="20"/>
          <w:szCs w:val="20"/>
        </w:rPr>
      </w:pPr>
      <w:hyperlink w:anchor="_Toc153137801" w:history="1">
        <w:r w:rsidR="00BE3F4E" w:rsidRPr="00BE3F4E">
          <w:rPr>
            <w:rStyle w:val="Hyperlink"/>
            <w:rFonts w:ascii="Arial" w:eastAsia="Times New Roman" w:hAnsi="Arial" w:cs="Arial"/>
            <w:noProof/>
            <w:sz w:val="20"/>
            <w:szCs w:val="20"/>
          </w:rPr>
          <w:t>AMC1 31TGB.53(a) Tether system</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_Toc153137801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264</w:t>
        </w:r>
        <w:r w:rsidR="00BE3F4E" w:rsidRPr="00BE3F4E">
          <w:rPr>
            <w:rFonts w:ascii="Arial" w:hAnsi="Arial" w:cs="Arial"/>
            <w:noProof/>
            <w:webHidden/>
            <w:sz w:val="20"/>
            <w:szCs w:val="20"/>
          </w:rPr>
          <w:fldChar w:fldCharType="end"/>
        </w:r>
      </w:hyperlink>
    </w:p>
    <w:p w14:paraId="52397D31" w14:textId="57078DF2" w:rsidR="00BE3F4E" w:rsidRPr="00BE3F4E" w:rsidRDefault="00000000">
      <w:pPr>
        <w:pStyle w:val="TOC5"/>
        <w:tabs>
          <w:tab w:val="right" w:leader="underscore" w:pos="9016"/>
        </w:tabs>
        <w:rPr>
          <w:rFonts w:ascii="Arial" w:eastAsiaTheme="minorEastAsia" w:hAnsi="Arial" w:cs="Arial"/>
          <w:noProof/>
          <w:sz w:val="20"/>
          <w:szCs w:val="20"/>
        </w:rPr>
      </w:pPr>
      <w:hyperlink w:anchor="_Toc153137802" w:history="1">
        <w:r w:rsidR="00BE3F4E" w:rsidRPr="00BE3F4E">
          <w:rPr>
            <w:rStyle w:val="Hyperlink"/>
            <w:rFonts w:ascii="Arial" w:eastAsia="Times New Roman" w:hAnsi="Arial" w:cs="Arial"/>
            <w:noProof/>
            <w:sz w:val="20"/>
            <w:szCs w:val="20"/>
          </w:rPr>
          <w:t>AMC1 31TGB.53(c) Tether system</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_Toc153137802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264</w:t>
        </w:r>
        <w:r w:rsidR="00BE3F4E" w:rsidRPr="00BE3F4E">
          <w:rPr>
            <w:rFonts w:ascii="Arial" w:hAnsi="Arial" w:cs="Arial"/>
            <w:noProof/>
            <w:webHidden/>
            <w:sz w:val="20"/>
            <w:szCs w:val="20"/>
          </w:rPr>
          <w:fldChar w:fldCharType="end"/>
        </w:r>
      </w:hyperlink>
    </w:p>
    <w:p w14:paraId="0284B505" w14:textId="608CC4D6" w:rsidR="00BE3F4E" w:rsidRPr="00BE3F4E" w:rsidRDefault="00000000">
      <w:pPr>
        <w:pStyle w:val="TOC4"/>
        <w:tabs>
          <w:tab w:val="right" w:leader="underscore" w:pos="9016"/>
        </w:tabs>
        <w:rPr>
          <w:rFonts w:ascii="Arial" w:eastAsiaTheme="minorEastAsia" w:hAnsi="Arial" w:cs="Arial"/>
          <w:noProof/>
          <w:sz w:val="20"/>
          <w:szCs w:val="20"/>
        </w:rPr>
      </w:pPr>
      <w:hyperlink w:anchor="_Toc153137803" w:history="1">
        <w:r w:rsidR="00BE3F4E" w:rsidRPr="00BE3F4E">
          <w:rPr>
            <w:rStyle w:val="Hyperlink"/>
            <w:rFonts w:ascii="Arial" w:eastAsia="Times New Roman" w:hAnsi="Arial" w:cs="Arial"/>
            <w:iCs/>
            <w:noProof/>
            <w:sz w:val="20"/>
            <w:szCs w:val="20"/>
          </w:rPr>
          <w:t>CS 31TGB.59 Gondola</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_Toc153137803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264</w:t>
        </w:r>
        <w:r w:rsidR="00BE3F4E" w:rsidRPr="00BE3F4E">
          <w:rPr>
            <w:rFonts w:ascii="Arial" w:hAnsi="Arial" w:cs="Arial"/>
            <w:noProof/>
            <w:webHidden/>
            <w:sz w:val="20"/>
            <w:szCs w:val="20"/>
          </w:rPr>
          <w:fldChar w:fldCharType="end"/>
        </w:r>
      </w:hyperlink>
    </w:p>
    <w:p w14:paraId="382129BA" w14:textId="1F7BC72E" w:rsidR="00BE3F4E" w:rsidRPr="00BE3F4E" w:rsidRDefault="00000000">
      <w:pPr>
        <w:pStyle w:val="TOC5"/>
        <w:tabs>
          <w:tab w:val="right" w:leader="underscore" w:pos="9016"/>
        </w:tabs>
        <w:rPr>
          <w:rFonts w:ascii="Arial" w:eastAsiaTheme="minorEastAsia" w:hAnsi="Arial" w:cs="Arial"/>
          <w:noProof/>
          <w:sz w:val="20"/>
          <w:szCs w:val="20"/>
        </w:rPr>
      </w:pPr>
      <w:hyperlink w:anchor="_Toc153137804" w:history="1">
        <w:r w:rsidR="00BE3F4E" w:rsidRPr="00BE3F4E">
          <w:rPr>
            <w:rStyle w:val="Hyperlink"/>
            <w:rFonts w:ascii="Arial" w:eastAsia="Times New Roman" w:hAnsi="Arial" w:cs="Arial"/>
            <w:noProof/>
            <w:sz w:val="20"/>
            <w:szCs w:val="20"/>
          </w:rPr>
          <w:t>AMC1 31TGB.59 Gondola</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_Toc153137804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265</w:t>
        </w:r>
        <w:r w:rsidR="00BE3F4E" w:rsidRPr="00BE3F4E">
          <w:rPr>
            <w:rFonts w:ascii="Arial" w:hAnsi="Arial" w:cs="Arial"/>
            <w:noProof/>
            <w:webHidden/>
            <w:sz w:val="20"/>
            <w:szCs w:val="20"/>
          </w:rPr>
          <w:fldChar w:fldCharType="end"/>
        </w:r>
      </w:hyperlink>
    </w:p>
    <w:p w14:paraId="6B4AA527" w14:textId="6D32B63A" w:rsidR="00BE3F4E" w:rsidRPr="00BE3F4E" w:rsidRDefault="00000000">
      <w:pPr>
        <w:pStyle w:val="TOC5"/>
        <w:tabs>
          <w:tab w:val="right" w:leader="underscore" w:pos="9016"/>
        </w:tabs>
        <w:rPr>
          <w:rFonts w:ascii="Arial" w:eastAsiaTheme="minorEastAsia" w:hAnsi="Arial" w:cs="Arial"/>
          <w:noProof/>
          <w:sz w:val="20"/>
          <w:szCs w:val="20"/>
        </w:rPr>
      </w:pPr>
      <w:hyperlink w:anchor="_Toc153137805" w:history="1">
        <w:r w:rsidR="00BE3F4E" w:rsidRPr="00BE3F4E">
          <w:rPr>
            <w:rStyle w:val="Hyperlink"/>
            <w:rFonts w:ascii="Arial" w:eastAsia="Times New Roman" w:hAnsi="Arial" w:cs="Arial"/>
            <w:noProof/>
            <w:sz w:val="20"/>
            <w:szCs w:val="20"/>
          </w:rPr>
          <w:t>AMC1 31TGB.59(c) Gondola</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_Toc153137805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265</w:t>
        </w:r>
        <w:r w:rsidR="00BE3F4E" w:rsidRPr="00BE3F4E">
          <w:rPr>
            <w:rFonts w:ascii="Arial" w:hAnsi="Arial" w:cs="Arial"/>
            <w:noProof/>
            <w:webHidden/>
            <w:sz w:val="20"/>
            <w:szCs w:val="20"/>
          </w:rPr>
          <w:fldChar w:fldCharType="end"/>
        </w:r>
      </w:hyperlink>
    </w:p>
    <w:p w14:paraId="29AEBF2F" w14:textId="201491B3" w:rsidR="00BE3F4E" w:rsidRPr="00BE3F4E" w:rsidRDefault="00000000">
      <w:pPr>
        <w:pStyle w:val="TOC4"/>
        <w:tabs>
          <w:tab w:val="right" w:leader="underscore" w:pos="9016"/>
        </w:tabs>
        <w:rPr>
          <w:rFonts w:ascii="Arial" w:eastAsiaTheme="minorEastAsia" w:hAnsi="Arial" w:cs="Arial"/>
          <w:noProof/>
          <w:sz w:val="20"/>
          <w:szCs w:val="20"/>
        </w:rPr>
      </w:pPr>
      <w:hyperlink w:anchor="_Toc153137806" w:history="1">
        <w:r w:rsidR="00BE3F4E" w:rsidRPr="00BE3F4E">
          <w:rPr>
            <w:rStyle w:val="Hyperlink"/>
            <w:rFonts w:ascii="Arial" w:eastAsia="Times New Roman" w:hAnsi="Arial" w:cs="Arial"/>
            <w:iCs/>
            <w:noProof/>
            <w:sz w:val="20"/>
            <w:szCs w:val="20"/>
          </w:rPr>
          <w:t>CS 31TGB.65 Night lighting</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_Toc153137806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265</w:t>
        </w:r>
        <w:r w:rsidR="00BE3F4E" w:rsidRPr="00BE3F4E">
          <w:rPr>
            <w:rFonts w:ascii="Arial" w:hAnsi="Arial" w:cs="Arial"/>
            <w:noProof/>
            <w:webHidden/>
            <w:sz w:val="20"/>
            <w:szCs w:val="20"/>
          </w:rPr>
          <w:fldChar w:fldCharType="end"/>
        </w:r>
      </w:hyperlink>
    </w:p>
    <w:p w14:paraId="2FE924D9" w14:textId="64EBC986" w:rsidR="00BE3F4E" w:rsidRPr="00BE3F4E" w:rsidRDefault="00000000">
      <w:pPr>
        <w:pStyle w:val="TOC5"/>
        <w:tabs>
          <w:tab w:val="right" w:leader="underscore" w:pos="9016"/>
        </w:tabs>
        <w:rPr>
          <w:rFonts w:ascii="Arial" w:eastAsiaTheme="minorEastAsia" w:hAnsi="Arial" w:cs="Arial"/>
          <w:noProof/>
          <w:sz w:val="20"/>
          <w:szCs w:val="20"/>
        </w:rPr>
      </w:pPr>
      <w:hyperlink w:anchor="_Toc153137807" w:history="1">
        <w:r w:rsidR="00BE3F4E" w:rsidRPr="00BE3F4E">
          <w:rPr>
            <w:rStyle w:val="Hyperlink"/>
            <w:rFonts w:ascii="Arial" w:eastAsia="Times New Roman" w:hAnsi="Arial" w:cs="Arial"/>
            <w:noProof/>
            <w:sz w:val="20"/>
            <w:szCs w:val="20"/>
          </w:rPr>
          <w:t>AMC1 31TGB.65(a) Night lighting</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_Toc153137807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265</w:t>
        </w:r>
        <w:r w:rsidR="00BE3F4E" w:rsidRPr="00BE3F4E">
          <w:rPr>
            <w:rFonts w:ascii="Arial" w:hAnsi="Arial" w:cs="Arial"/>
            <w:noProof/>
            <w:webHidden/>
            <w:sz w:val="20"/>
            <w:szCs w:val="20"/>
          </w:rPr>
          <w:fldChar w:fldCharType="end"/>
        </w:r>
      </w:hyperlink>
    </w:p>
    <w:p w14:paraId="1E376A35" w14:textId="24B9BB68" w:rsidR="00BE3F4E" w:rsidRPr="00BE3F4E" w:rsidRDefault="00000000">
      <w:pPr>
        <w:pStyle w:val="TOC5"/>
        <w:tabs>
          <w:tab w:val="right" w:leader="underscore" w:pos="9016"/>
        </w:tabs>
        <w:rPr>
          <w:rFonts w:ascii="Arial" w:eastAsiaTheme="minorEastAsia" w:hAnsi="Arial" w:cs="Arial"/>
          <w:noProof/>
          <w:sz w:val="20"/>
          <w:szCs w:val="20"/>
        </w:rPr>
      </w:pPr>
      <w:hyperlink w:anchor="_Toc153137808" w:history="1">
        <w:r w:rsidR="00BE3F4E" w:rsidRPr="00BE3F4E">
          <w:rPr>
            <w:rStyle w:val="Hyperlink"/>
            <w:rFonts w:ascii="Arial" w:eastAsia="Times New Roman" w:hAnsi="Arial" w:cs="Arial"/>
            <w:noProof/>
            <w:sz w:val="20"/>
            <w:szCs w:val="20"/>
          </w:rPr>
          <w:t>AMC1 31TGB.65(b) Night lighting</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_Toc153137808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265</w:t>
        </w:r>
        <w:r w:rsidR="00BE3F4E" w:rsidRPr="00BE3F4E">
          <w:rPr>
            <w:rFonts w:ascii="Arial" w:hAnsi="Arial" w:cs="Arial"/>
            <w:noProof/>
            <w:webHidden/>
            <w:sz w:val="20"/>
            <w:szCs w:val="20"/>
          </w:rPr>
          <w:fldChar w:fldCharType="end"/>
        </w:r>
      </w:hyperlink>
    </w:p>
    <w:p w14:paraId="4EF230C5" w14:textId="259C7988" w:rsidR="00BE3F4E" w:rsidRPr="00BE3F4E" w:rsidRDefault="00000000">
      <w:pPr>
        <w:pStyle w:val="TOC5"/>
        <w:tabs>
          <w:tab w:val="right" w:leader="underscore" w:pos="9016"/>
        </w:tabs>
        <w:rPr>
          <w:rFonts w:ascii="Arial" w:eastAsiaTheme="minorEastAsia" w:hAnsi="Arial" w:cs="Arial"/>
          <w:noProof/>
          <w:sz w:val="20"/>
          <w:szCs w:val="20"/>
        </w:rPr>
      </w:pPr>
      <w:hyperlink w:anchor="_Toc153137809" w:history="1">
        <w:r w:rsidR="00BE3F4E" w:rsidRPr="00BE3F4E">
          <w:rPr>
            <w:rStyle w:val="Hyperlink"/>
            <w:rFonts w:ascii="Arial" w:eastAsia="Times New Roman" w:hAnsi="Arial" w:cs="Arial"/>
            <w:noProof/>
            <w:sz w:val="20"/>
            <w:szCs w:val="20"/>
          </w:rPr>
          <w:t>AMC1 31TGB.65(c) Night lighting</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_Toc153137809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266</w:t>
        </w:r>
        <w:r w:rsidR="00BE3F4E" w:rsidRPr="00BE3F4E">
          <w:rPr>
            <w:rFonts w:ascii="Arial" w:hAnsi="Arial" w:cs="Arial"/>
            <w:noProof/>
            <w:webHidden/>
            <w:sz w:val="20"/>
            <w:szCs w:val="20"/>
          </w:rPr>
          <w:fldChar w:fldCharType="end"/>
        </w:r>
      </w:hyperlink>
    </w:p>
    <w:p w14:paraId="3C45D447" w14:textId="375D269B" w:rsidR="00BE3F4E" w:rsidRPr="00BE3F4E" w:rsidRDefault="00000000">
      <w:pPr>
        <w:pStyle w:val="TOC4"/>
        <w:tabs>
          <w:tab w:val="right" w:leader="underscore" w:pos="9016"/>
        </w:tabs>
        <w:rPr>
          <w:rFonts w:ascii="Arial" w:eastAsiaTheme="minorEastAsia" w:hAnsi="Arial" w:cs="Arial"/>
          <w:noProof/>
          <w:sz w:val="20"/>
          <w:szCs w:val="20"/>
        </w:rPr>
      </w:pPr>
      <w:hyperlink w:anchor="_Toc153137810" w:history="1">
        <w:r w:rsidR="00BE3F4E" w:rsidRPr="00BE3F4E">
          <w:rPr>
            <w:rStyle w:val="Hyperlink"/>
            <w:rFonts w:ascii="Arial" w:eastAsia="Times New Roman" w:hAnsi="Arial" w:cs="Arial"/>
            <w:iCs/>
            <w:noProof/>
            <w:sz w:val="20"/>
            <w:szCs w:val="20"/>
          </w:rPr>
          <w:t>CS 31TGB.67 On-board power units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_Toc153137810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266</w:t>
        </w:r>
        <w:r w:rsidR="00BE3F4E" w:rsidRPr="00BE3F4E">
          <w:rPr>
            <w:rFonts w:ascii="Arial" w:hAnsi="Arial" w:cs="Arial"/>
            <w:noProof/>
            <w:webHidden/>
            <w:sz w:val="20"/>
            <w:szCs w:val="20"/>
          </w:rPr>
          <w:fldChar w:fldCharType="end"/>
        </w:r>
      </w:hyperlink>
    </w:p>
    <w:p w14:paraId="5DED720C" w14:textId="6745B545" w:rsidR="00BE3F4E" w:rsidRPr="00BE3F4E" w:rsidRDefault="00000000">
      <w:pPr>
        <w:pStyle w:val="TOC5"/>
        <w:tabs>
          <w:tab w:val="right" w:leader="underscore" w:pos="9016"/>
        </w:tabs>
        <w:rPr>
          <w:rFonts w:ascii="Arial" w:eastAsiaTheme="minorEastAsia" w:hAnsi="Arial" w:cs="Arial"/>
          <w:noProof/>
          <w:sz w:val="20"/>
          <w:szCs w:val="20"/>
        </w:rPr>
      </w:pPr>
      <w:hyperlink w:anchor="_Toc153137811" w:history="1">
        <w:r w:rsidR="00BE3F4E" w:rsidRPr="00BE3F4E">
          <w:rPr>
            <w:rStyle w:val="Hyperlink"/>
            <w:rFonts w:ascii="Arial" w:eastAsia="Times New Roman" w:hAnsi="Arial" w:cs="Arial"/>
            <w:noProof/>
            <w:sz w:val="20"/>
            <w:szCs w:val="20"/>
          </w:rPr>
          <w:t>AMC1 31TGB.67 On-board power units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_Toc153137811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266</w:t>
        </w:r>
        <w:r w:rsidR="00BE3F4E" w:rsidRPr="00BE3F4E">
          <w:rPr>
            <w:rFonts w:ascii="Arial" w:hAnsi="Arial" w:cs="Arial"/>
            <w:noProof/>
            <w:webHidden/>
            <w:sz w:val="20"/>
            <w:szCs w:val="20"/>
          </w:rPr>
          <w:fldChar w:fldCharType="end"/>
        </w:r>
      </w:hyperlink>
    </w:p>
    <w:p w14:paraId="793D106C" w14:textId="7F6DB108" w:rsidR="00BE3F4E" w:rsidRPr="00BE3F4E" w:rsidRDefault="00000000">
      <w:pPr>
        <w:pStyle w:val="TOC4"/>
        <w:tabs>
          <w:tab w:val="right" w:leader="underscore" w:pos="9016"/>
        </w:tabs>
        <w:rPr>
          <w:rFonts w:ascii="Arial" w:eastAsiaTheme="minorEastAsia" w:hAnsi="Arial" w:cs="Arial"/>
          <w:noProof/>
          <w:sz w:val="20"/>
          <w:szCs w:val="20"/>
        </w:rPr>
      </w:pPr>
      <w:hyperlink w:anchor="_Toc153137812" w:history="1">
        <w:r w:rsidR="00BE3F4E" w:rsidRPr="00BE3F4E">
          <w:rPr>
            <w:rStyle w:val="Hyperlink"/>
            <w:rFonts w:ascii="Arial" w:eastAsia="Times New Roman" w:hAnsi="Arial" w:cs="Arial"/>
            <w:iCs/>
            <w:noProof/>
            <w:sz w:val="20"/>
            <w:szCs w:val="20"/>
          </w:rPr>
          <w:t>CS 31TGB.68 Master switch arrangement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_Toc153137812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268</w:t>
        </w:r>
        <w:r w:rsidR="00BE3F4E" w:rsidRPr="00BE3F4E">
          <w:rPr>
            <w:rFonts w:ascii="Arial" w:hAnsi="Arial" w:cs="Arial"/>
            <w:noProof/>
            <w:webHidden/>
            <w:sz w:val="20"/>
            <w:szCs w:val="20"/>
          </w:rPr>
          <w:fldChar w:fldCharType="end"/>
        </w:r>
      </w:hyperlink>
    </w:p>
    <w:p w14:paraId="36ABE5D0" w14:textId="1FDB237A" w:rsidR="00BE3F4E" w:rsidRPr="00BE3F4E" w:rsidRDefault="00000000">
      <w:pPr>
        <w:pStyle w:val="TOC4"/>
        <w:tabs>
          <w:tab w:val="right" w:leader="underscore" w:pos="9016"/>
        </w:tabs>
        <w:rPr>
          <w:rFonts w:ascii="Arial" w:eastAsiaTheme="minorEastAsia" w:hAnsi="Arial" w:cs="Arial"/>
          <w:noProof/>
          <w:sz w:val="20"/>
          <w:szCs w:val="20"/>
        </w:rPr>
      </w:pPr>
      <w:hyperlink w:anchor="_Toc153137813" w:history="1">
        <w:r w:rsidR="00BE3F4E" w:rsidRPr="00BE3F4E">
          <w:rPr>
            <w:rStyle w:val="Hyperlink"/>
            <w:rFonts w:ascii="Arial" w:eastAsia="Times New Roman" w:hAnsi="Arial" w:cs="Arial"/>
            <w:iCs/>
            <w:noProof/>
            <w:sz w:val="20"/>
            <w:szCs w:val="20"/>
          </w:rPr>
          <w:t>CS 31TGB.69 Electric cables and equipment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_Toc153137813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268</w:t>
        </w:r>
        <w:r w:rsidR="00BE3F4E" w:rsidRPr="00BE3F4E">
          <w:rPr>
            <w:rFonts w:ascii="Arial" w:hAnsi="Arial" w:cs="Arial"/>
            <w:noProof/>
            <w:webHidden/>
            <w:sz w:val="20"/>
            <w:szCs w:val="20"/>
          </w:rPr>
          <w:fldChar w:fldCharType="end"/>
        </w:r>
      </w:hyperlink>
    </w:p>
    <w:p w14:paraId="7B9C29A9" w14:textId="79C4948F" w:rsidR="00BE3F4E" w:rsidRPr="00BE3F4E" w:rsidRDefault="00000000">
      <w:pPr>
        <w:pStyle w:val="TOC5"/>
        <w:tabs>
          <w:tab w:val="right" w:leader="underscore" w:pos="9016"/>
        </w:tabs>
        <w:rPr>
          <w:rFonts w:ascii="Arial" w:eastAsiaTheme="minorEastAsia" w:hAnsi="Arial" w:cs="Arial"/>
          <w:noProof/>
          <w:sz w:val="20"/>
          <w:szCs w:val="20"/>
        </w:rPr>
      </w:pPr>
      <w:hyperlink w:anchor="_Toc153137814" w:history="1">
        <w:r w:rsidR="00BE3F4E" w:rsidRPr="00BE3F4E">
          <w:rPr>
            <w:rStyle w:val="Hyperlink"/>
            <w:rFonts w:ascii="Arial" w:eastAsia="Times New Roman" w:hAnsi="Arial" w:cs="Arial"/>
            <w:noProof/>
            <w:sz w:val="20"/>
            <w:szCs w:val="20"/>
          </w:rPr>
          <w:t>AMC1 31TGB.69(c) Electric cables and equipment</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_Toc153137814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269</w:t>
        </w:r>
        <w:r w:rsidR="00BE3F4E" w:rsidRPr="00BE3F4E">
          <w:rPr>
            <w:rFonts w:ascii="Arial" w:hAnsi="Arial" w:cs="Arial"/>
            <w:noProof/>
            <w:webHidden/>
            <w:sz w:val="20"/>
            <w:szCs w:val="20"/>
          </w:rPr>
          <w:fldChar w:fldCharType="end"/>
        </w:r>
      </w:hyperlink>
    </w:p>
    <w:p w14:paraId="30F73514" w14:textId="3BC13120" w:rsidR="00BE3F4E" w:rsidRPr="00BE3F4E" w:rsidRDefault="00000000">
      <w:pPr>
        <w:pStyle w:val="TOC3"/>
        <w:tabs>
          <w:tab w:val="right" w:leader="underscore" w:pos="9016"/>
        </w:tabs>
        <w:rPr>
          <w:rFonts w:ascii="Arial" w:eastAsiaTheme="minorEastAsia" w:hAnsi="Arial" w:cs="Arial"/>
          <w:b w:val="0"/>
          <w:bCs w:val="0"/>
          <w:noProof/>
          <w:sz w:val="20"/>
          <w:szCs w:val="20"/>
        </w:rPr>
      </w:pPr>
      <w:hyperlink w:anchor="_Toc153137815" w:history="1">
        <w:r w:rsidR="00BE3F4E" w:rsidRPr="00BE3F4E">
          <w:rPr>
            <w:rStyle w:val="Hyperlink"/>
            <w:rFonts w:ascii="Arial" w:eastAsiaTheme="majorEastAsia" w:hAnsi="Arial" w:cs="Arial"/>
            <w:b w:val="0"/>
            <w:bCs w:val="0"/>
            <w:noProof/>
            <w:sz w:val="20"/>
            <w:szCs w:val="20"/>
          </w:rPr>
          <w:t>(SUBPART E — NOT APPLICABLE)</w:t>
        </w:r>
        <w:r w:rsidR="00BE3F4E" w:rsidRPr="00BE3F4E">
          <w:rPr>
            <w:rFonts w:ascii="Arial" w:hAnsi="Arial" w:cs="Arial"/>
            <w:b w:val="0"/>
            <w:bCs w:val="0"/>
            <w:noProof/>
            <w:webHidden/>
            <w:sz w:val="20"/>
            <w:szCs w:val="20"/>
          </w:rPr>
          <w:tab/>
        </w:r>
        <w:r w:rsidR="00BE3F4E" w:rsidRPr="00BE3F4E">
          <w:rPr>
            <w:rFonts w:ascii="Arial" w:hAnsi="Arial" w:cs="Arial"/>
            <w:b w:val="0"/>
            <w:bCs w:val="0"/>
            <w:noProof/>
            <w:webHidden/>
            <w:sz w:val="20"/>
            <w:szCs w:val="20"/>
          </w:rPr>
          <w:fldChar w:fldCharType="begin"/>
        </w:r>
        <w:r w:rsidR="00BE3F4E" w:rsidRPr="00BE3F4E">
          <w:rPr>
            <w:rFonts w:ascii="Arial" w:hAnsi="Arial" w:cs="Arial"/>
            <w:b w:val="0"/>
            <w:bCs w:val="0"/>
            <w:noProof/>
            <w:webHidden/>
            <w:sz w:val="20"/>
            <w:szCs w:val="20"/>
          </w:rPr>
          <w:instrText xml:space="preserve"> PAGEREF _Toc153137815 \h </w:instrText>
        </w:r>
        <w:r w:rsidR="00BE3F4E" w:rsidRPr="00BE3F4E">
          <w:rPr>
            <w:rFonts w:ascii="Arial" w:hAnsi="Arial" w:cs="Arial"/>
            <w:b w:val="0"/>
            <w:bCs w:val="0"/>
            <w:noProof/>
            <w:webHidden/>
            <w:sz w:val="20"/>
            <w:szCs w:val="20"/>
          </w:rPr>
        </w:r>
        <w:r w:rsidR="00BE3F4E" w:rsidRPr="00BE3F4E">
          <w:rPr>
            <w:rFonts w:ascii="Arial" w:hAnsi="Arial" w:cs="Arial"/>
            <w:b w:val="0"/>
            <w:bCs w:val="0"/>
            <w:noProof/>
            <w:webHidden/>
            <w:sz w:val="20"/>
            <w:szCs w:val="20"/>
          </w:rPr>
          <w:fldChar w:fldCharType="separate"/>
        </w:r>
        <w:r w:rsidR="006A7538">
          <w:rPr>
            <w:rFonts w:ascii="Arial" w:hAnsi="Arial" w:cs="Arial"/>
            <w:b w:val="0"/>
            <w:bCs w:val="0"/>
            <w:noProof/>
            <w:webHidden/>
            <w:sz w:val="20"/>
            <w:szCs w:val="20"/>
          </w:rPr>
          <w:t>270</w:t>
        </w:r>
        <w:r w:rsidR="00BE3F4E" w:rsidRPr="00BE3F4E">
          <w:rPr>
            <w:rFonts w:ascii="Arial" w:hAnsi="Arial" w:cs="Arial"/>
            <w:b w:val="0"/>
            <w:bCs w:val="0"/>
            <w:noProof/>
            <w:webHidden/>
            <w:sz w:val="20"/>
            <w:szCs w:val="20"/>
          </w:rPr>
          <w:fldChar w:fldCharType="end"/>
        </w:r>
      </w:hyperlink>
    </w:p>
    <w:p w14:paraId="16BBFD56" w14:textId="2858429F" w:rsidR="00BE3F4E" w:rsidRPr="00BE3F4E" w:rsidRDefault="00000000">
      <w:pPr>
        <w:pStyle w:val="TOC3"/>
        <w:tabs>
          <w:tab w:val="right" w:leader="underscore" w:pos="9016"/>
        </w:tabs>
        <w:rPr>
          <w:rFonts w:ascii="Arial" w:eastAsiaTheme="minorEastAsia" w:hAnsi="Arial" w:cs="Arial"/>
          <w:b w:val="0"/>
          <w:bCs w:val="0"/>
          <w:noProof/>
          <w:sz w:val="20"/>
          <w:szCs w:val="20"/>
        </w:rPr>
      </w:pPr>
      <w:hyperlink w:anchor="_Toc153137816" w:history="1">
        <w:r w:rsidR="00BE3F4E" w:rsidRPr="00BE3F4E">
          <w:rPr>
            <w:rStyle w:val="Hyperlink"/>
            <w:rFonts w:ascii="Arial" w:eastAsiaTheme="majorEastAsia" w:hAnsi="Arial" w:cs="Arial"/>
            <w:b w:val="0"/>
            <w:bCs w:val="0"/>
            <w:noProof/>
            <w:sz w:val="20"/>
            <w:szCs w:val="20"/>
          </w:rPr>
          <w:t>SUBPART F — SYSTEMS AND EQUIPMENT</w:t>
        </w:r>
        <w:r w:rsidR="00BE3F4E" w:rsidRPr="00BE3F4E">
          <w:rPr>
            <w:rFonts w:ascii="Arial" w:hAnsi="Arial" w:cs="Arial"/>
            <w:b w:val="0"/>
            <w:bCs w:val="0"/>
            <w:noProof/>
            <w:webHidden/>
            <w:sz w:val="20"/>
            <w:szCs w:val="20"/>
          </w:rPr>
          <w:tab/>
        </w:r>
        <w:r w:rsidR="00BE3F4E" w:rsidRPr="00BE3F4E">
          <w:rPr>
            <w:rFonts w:ascii="Arial" w:hAnsi="Arial" w:cs="Arial"/>
            <w:b w:val="0"/>
            <w:bCs w:val="0"/>
            <w:noProof/>
            <w:webHidden/>
            <w:sz w:val="20"/>
            <w:szCs w:val="20"/>
          </w:rPr>
          <w:fldChar w:fldCharType="begin"/>
        </w:r>
        <w:r w:rsidR="00BE3F4E" w:rsidRPr="00BE3F4E">
          <w:rPr>
            <w:rFonts w:ascii="Arial" w:hAnsi="Arial" w:cs="Arial"/>
            <w:b w:val="0"/>
            <w:bCs w:val="0"/>
            <w:noProof/>
            <w:webHidden/>
            <w:sz w:val="20"/>
            <w:szCs w:val="20"/>
          </w:rPr>
          <w:instrText xml:space="preserve"> PAGEREF _Toc153137816 \h </w:instrText>
        </w:r>
        <w:r w:rsidR="00BE3F4E" w:rsidRPr="00BE3F4E">
          <w:rPr>
            <w:rFonts w:ascii="Arial" w:hAnsi="Arial" w:cs="Arial"/>
            <w:b w:val="0"/>
            <w:bCs w:val="0"/>
            <w:noProof/>
            <w:webHidden/>
            <w:sz w:val="20"/>
            <w:szCs w:val="20"/>
          </w:rPr>
        </w:r>
        <w:r w:rsidR="00BE3F4E" w:rsidRPr="00BE3F4E">
          <w:rPr>
            <w:rFonts w:ascii="Arial" w:hAnsi="Arial" w:cs="Arial"/>
            <w:b w:val="0"/>
            <w:bCs w:val="0"/>
            <w:noProof/>
            <w:webHidden/>
            <w:sz w:val="20"/>
            <w:szCs w:val="20"/>
          </w:rPr>
          <w:fldChar w:fldCharType="separate"/>
        </w:r>
        <w:r w:rsidR="006A7538">
          <w:rPr>
            <w:rFonts w:ascii="Arial" w:hAnsi="Arial" w:cs="Arial"/>
            <w:b w:val="0"/>
            <w:bCs w:val="0"/>
            <w:noProof/>
            <w:webHidden/>
            <w:sz w:val="20"/>
            <w:szCs w:val="20"/>
          </w:rPr>
          <w:t>271</w:t>
        </w:r>
        <w:r w:rsidR="00BE3F4E" w:rsidRPr="00BE3F4E">
          <w:rPr>
            <w:rFonts w:ascii="Arial" w:hAnsi="Arial" w:cs="Arial"/>
            <w:b w:val="0"/>
            <w:bCs w:val="0"/>
            <w:noProof/>
            <w:webHidden/>
            <w:sz w:val="20"/>
            <w:szCs w:val="20"/>
          </w:rPr>
          <w:fldChar w:fldCharType="end"/>
        </w:r>
      </w:hyperlink>
    </w:p>
    <w:p w14:paraId="44F28124" w14:textId="7B7B6403" w:rsidR="00BE3F4E" w:rsidRPr="00BE3F4E" w:rsidRDefault="00000000">
      <w:pPr>
        <w:pStyle w:val="TOC4"/>
        <w:tabs>
          <w:tab w:val="right" w:leader="underscore" w:pos="9016"/>
        </w:tabs>
        <w:rPr>
          <w:rFonts w:ascii="Arial" w:eastAsiaTheme="minorEastAsia" w:hAnsi="Arial" w:cs="Arial"/>
          <w:noProof/>
          <w:sz w:val="20"/>
          <w:szCs w:val="20"/>
        </w:rPr>
      </w:pPr>
      <w:hyperlink w:anchor="_Toc153137817" w:history="1">
        <w:r w:rsidR="00BE3F4E" w:rsidRPr="00BE3F4E">
          <w:rPr>
            <w:rStyle w:val="Hyperlink"/>
            <w:rFonts w:ascii="Arial" w:eastAsia="Times New Roman" w:hAnsi="Arial" w:cs="Arial"/>
            <w:iCs/>
            <w:noProof/>
            <w:sz w:val="20"/>
            <w:szCs w:val="20"/>
          </w:rPr>
          <w:t>CS 31TGB.71 Function and installation</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_Toc153137817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271</w:t>
        </w:r>
        <w:r w:rsidR="00BE3F4E" w:rsidRPr="00BE3F4E">
          <w:rPr>
            <w:rFonts w:ascii="Arial" w:hAnsi="Arial" w:cs="Arial"/>
            <w:noProof/>
            <w:webHidden/>
            <w:sz w:val="20"/>
            <w:szCs w:val="20"/>
          </w:rPr>
          <w:fldChar w:fldCharType="end"/>
        </w:r>
      </w:hyperlink>
    </w:p>
    <w:p w14:paraId="2651250F" w14:textId="1757D345" w:rsidR="00BE3F4E" w:rsidRPr="00BE3F4E" w:rsidRDefault="00000000">
      <w:pPr>
        <w:pStyle w:val="TOC5"/>
        <w:tabs>
          <w:tab w:val="right" w:leader="underscore" w:pos="9016"/>
        </w:tabs>
        <w:rPr>
          <w:rFonts w:ascii="Arial" w:eastAsiaTheme="minorEastAsia" w:hAnsi="Arial" w:cs="Arial"/>
          <w:noProof/>
          <w:sz w:val="20"/>
          <w:szCs w:val="20"/>
        </w:rPr>
      </w:pPr>
      <w:hyperlink w:anchor="_Toc153137818" w:history="1">
        <w:r w:rsidR="00BE3F4E" w:rsidRPr="00BE3F4E">
          <w:rPr>
            <w:rStyle w:val="Hyperlink"/>
            <w:rFonts w:ascii="Arial" w:eastAsia="Times New Roman" w:hAnsi="Arial" w:cs="Arial"/>
            <w:noProof/>
            <w:sz w:val="20"/>
            <w:szCs w:val="20"/>
          </w:rPr>
          <w:t>AMC1 31TGB.71(c) Function and installation</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_Toc153137818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271</w:t>
        </w:r>
        <w:r w:rsidR="00BE3F4E" w:rsidRPr="00BE3F4E">
          <w:rPr>
            <w:rFonts w:ascii="Arial" w:hAnsi="Arial" w:cs="Arial"/>
            <w:noProof/>
            <w:webHidden/>
            <w:sz w:val="20"/>
            <w:szCs w:val="20"/>
          </w:rPr>
          <w:fldChar w:fldCharType="end"/>
        </w:r>
      </w:hyperlink>
    </w:p>
    <w:p w14:paraId="12078845" w14:textId="79136C7F" w:rsidR="00BE3F4E" w:rsidRPr="00BE3F4E" w:rsidRDefault="00000000">
      <w:pPr>
        <w:pStyle w:val="TOC5"/>
        <w:tabs>
          <w:tab w:val="right" w:leader="underscore" w:pos="9016"/>
        </w:tabs>
        <w:rPr>
          <w:rFonts w:ascii="Arial" w:eastAsiaTheme="minorEastAsia" w:hAnsi="Arial" w:cs="Arial"/>
          <w:noProof/>
          <w:sz w:val="20"/>
          <w:szCs w:val="20"/>
        </w:rPr>
      </w:pPr>
      <w:hyperlink w:anchor="_Toc153137819" w:history="1">
        <w:r w:rsidR="00BE3F4E" w:rsidRPr="00BE3F4E">
          <w:rPr>
            <w:rStyle w:val="Hyperlink"/>
            <w:rFonts w:ascii="Arial" w:eastAsia="Times New Roman" w:hAnsi="Arial" w:cs="Arial"/>
            <w:noProof/>
            <w:sz w:val="20"/>
            <w:szCs w:val="20"/>
          </w:rPr>
          <w:t>AMC1 31TGB.71(d) Function and installation</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_Toc153137819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271</w:t>
        </w:r>
        <w:r w:rsidR="00BE3F4E" w:rsidRPr="00BE3F4E">
          <w:rPr>
            <w:rFonts w:ascii="Arial" w:hAnsi="Arial" w:cs="Arial"/>
            <w:noProof/>
            <w:webHidden/>
            <w:sz w:val="20"/>
            <w:szCs w:val="20"/>
          </w:rPr>
          <w:fldChar w:fldCharType="end"/>
        </w:r>
      </w:hyperlink>
    </w:p>
    <w:p w14:paraId="46036E0C" w14:textId="3127F7F2" w:rsidR="00BE3F4E" w:rsidRPr="00BE3F4E" w:rsidRDefault="00000000">
      <w:pPr>
        <w:pStyle w:val="TOC4"/>
        <w:tabs>
          <w:tab w:val="right" w:leader="underscore" w:pos="9016"/>
        </w:tabs>
        <w:rPr>
          <w:rFonts w:ascii="Arial" w:eastAsiaTheme="minorEastAsia" w:hAnsi="Arial" w:cs="Arial"/>
          <w:noProof/>
          <w:sz w:val="20"/>
          <w:szCs w:val="20"/>
        </w:rPr>
      </w:pPr>
      <w:hyperlink w:anchor="_Toc153137820" w:history="1">
        <w:r w:rsidR="00BE3F4E" w:rsidRPr="00BE3F4E">
          <w:rPr>
            <w:rStyle w:val="Hyperlink"/>
            <w:rFonts w:ascii="Arial" w:eastAsia="Times New Roman" w:hAnsi="Arial" w:cs="Arial"/>
            <w:iCs/>
            <w:noProof/>
            <w:sz w:val="20"/>
            <w:szCs w:val="20"/>
          </w:rPr>
          <w:t>CS 31TGB.73 Instrument marking</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_Toc153137820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271</w:t>
        </w:r>
        <w:r w:rsidR="00BE3F4E" w:rsidRPr="00BE3F4E">
          <w:rPr>
            <w:rFonts w:ascii="Arial" w:hAnsi="Arial" w:cs="Arial"/>
            <w:noProof/>
            <w:webHidden/>
            <w:sz w:val="20"/>
            <w:szCs w:val="20"/>
          </w:rPr>
          <w:fldChar w:fldCharType="end"/>
        </w:r>
      </w:hyperlink>
    </w:p>
    <w:p w14:paraId="0CA197EE" w14:textId="245F6B96" w:rsidR="00BE3F4E" w:rsidRPr="00BE3F4E" w:rsidRDefault="00000000">
      <w:pPr>
        <w:pStyle w:val="TOC4"/>
        <w:tabs>
          <w:tab w:val="right" w:leader="underscore" w:pos="9016"/>
        </w:tabs>
        <w:rPr>
          <w:rFonts w:ascii="Arial" w:eastAsiaTheme="minorEastAsia" w:hAnsi="Arial" w:cs="Arial"/>
          <w:noProof/>
          <w:sz w:val="20"/>
          <w:szCs w:val="20"/>
        </w:rPr>
      </w:pPr>
      <w:hyperlink w:anchor="_Toc153137821" w:history="1">
        <w:r w:rsidR="00BE3F4E" w:rsidRPr="00BE3F4E">
          <w:rPr>
            <w:rStyle w:val="Hyperlink"/>
            <w:rFonts w:ascii="Arial" w:eastAsia="Times New Roman" w:hAnsi="Arial" w:cs="Arial"/>
            <w:iCs/>
            <w:noProof/>
            <w:sz w:val="20"/>
            <w:szCs w:val="20"/>
          </w:rPr>
          <w:t>CS 31TGB.75 Warning, caution, and advisory lights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_Toc153137821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272</w:t>
        </w:r>
        <w:r w:rsidR="00BE3F4E" w:rsidRPr="00BE3F4E">
          <w:rPr>
            <w:rFonts w:ascii="Arial" w:hAnsi="Arial" w:cs="Arial"/>
            <w:noProof/>
            <w:webHidden/>
            <w:sz w:val="20"/>
            <w:szCs w:val="20"/>
          </w:rPr>
          <w:fldChar w:fldCharType="end"/>
        </w:r>
      </w:hyperlink>
    </w:p>
    <w:p w14:paraId="2E4E4992" w14:textId="0973EB06" w:rsidR="00BE3F4E" w:rsidRPr="00BE3F4E" w:rsidRDefault="00000000">
      <w:pPr>
        <w:pStyle w:val="TOC3"/>
        <w:tabs>
          <w:tab w:val="right" w:leader="underscore" w:pos="9016"/>
        </w:tabs>
        <w:rPr>
          <w:rFonts w:ascii="Arial" w:eastAsiaTheme="minorEastAsia" w:hAnsi="Arial" w:cs="Arial"/>
          <w:b w:val="0"/>
          <w:bCs w:val="0"/>
          <w:noProof/>
          <w:sz w:val="20"/>
          <w:szCs w:val="20"/>
        </w:rPr>
      </w:pPr>
      <w:hyperlink w:anchor="_Toc153137822" w:history="1">
        <w:r w:rsidR="00BE3F4E" w:rsidRPr="00BE3F4E">
          <w:rPr>
            <w:rStyle w:val="Hyperlink"/>
            <w:rFonts w:ascii="Arial" w:eastAsiaTheme="majorEastAsia" w:hAnsi="Arial" w:cs="Arial"/>
            <w:b w:val="0"/>
            <w:bCs w:val="0"/>
            <w:noProof/>
            <w:sz w:val="20"/>
            <w:szCs w:val="20"/>
          </w:rPr>
          <w:t>SUBPART G — OPERATING LIMITS AND DETAILS</w:t>
        </w:r>
        <w:r w:rsidR="00BE3F4E" w:rsidRPr="00BE3F4E">
          <w:rPr>
            <w:rFonts w:ascii="Arial" w:hAnsi="Arial" w:cs="Arial"/>
            <w:b w:val="0"/>
            <w:bCs w:val="0"/>
            <w:noProof/>
            <w:webHidden/>
            <w:sz w:val="20"/>
            <w:szCs w:val="20"/>
          </w:rPr>
          <w:tab/>
        </w:r>
        <w:r w:rsidR="00BE3F4E" w:rsidRPr="00BE3F4E">
          <w:rPr>
            <w:rFonts w:ascii="Arial" w:hAnsi="Arial" w:cs="Arial"/>
            <w:b w:val="0"/>
            <w:bCs w:val="0"/>
            <w:noProof/>
            <w:webHidden/>
            <w:sz w:val="20"/>
            <w:szCs w:val="20"/>
          </w:rPr>
          <w:fldChar w:fldCharType="begin"/>
        </w:r>
        <w:r w:rsidR="00BE3F4E" w:rsidRPr="00BE3F4E">
          <w:rPr>
            <w:rFonts w:ascii="Arial" w:hAnsi="Arial" w:cs="Arial"/>
            <w:b w:val="0"/>
            <w:bCs w:val="0"/>
            <w:noProof/>
            <w:webHidden/>
            <w:sz w:val="20"/>
            <w:szCs w:val="20"/>
          </w:rPr>
          <w:instrText xml:space="preserve"> PAGEREF _Toc153137822 \h </w:instrText>
        </w:r>
        <w:r w:rsidR="00BE3F4E" w:rsidRPr="00BE3F4E">
          <w:rPr>
            <w:rFonts w:ascii="Arial" w:hAnsi="Arial" w:cs="Arial"/>
            <w:b w:val="0"/>
            <w:bCs w:val="0"/>
            <w:noProof/>
            <w:webHidden/>
            <w:sz w:val="20"/>
            <w:szCs w:val="20"/>
          </w:rPr>
        </w:r>
        <w:r w:rsidR="00BE3F4E" w:rsidRPr="00BE3F4E">
          <w:rPr>
            <w:rFonts w:ascii="Arial" w:hAnsi="Arial" w:cs="Arial"/>
            <w:b w:val="0"/>
            <w:bCs w:val="0"/>
            <w:noProof/>
            <w:webHidden/>
            <w:sz w:val="20"/>
            <w:szCs w:val="20"/>
          </w:rPr>
          <w:fldChar w:fldCharType="separate"/>
        </w:r>
        <w:r w:rsidR="006A7538">
          <w:rPr>
            <w:rFonts w:ascii="Arial" w:hAnsi="Arial" w:cs="Arial"/>
            <w:b w:val="0"/>
            <w:bCs w:val="0"/>
            <w:noProof/>
            <w:webHidden/>
            <w:sz w:val="20"/>
            <w:szCs w:val="20"/>
          </w:rPr>
          <w:t>273</w:t>
        </w:r>
        <w:r w:rsidR="00BE3F4E" w:rsidRPr="00BE3F4E">
          <w:rPr>
            <w:rFonts w:ascii="Arial" w:hAnsi="Arial" w:cs="Arial"/>
            <w:b w:val="0"/>
            <w:bCs w:val="0"/>
            <w:noProof/>
            <w:webHidden/>
            <w:sz w:val="20"/>
            <w:szCs w:val="20"/>
          </w:rPr>
          <w:fldChar w:fldCharType="end"/>
        </w:r>
      </w:hyperlink>
    </w:p>
    <w:p w14:paraId="0C694427" w14:textId="4846A29A" w:rsidR="00BE3F4E" w:rsidRPr="00BE3F4E" w:rsidRDefault="00000000">
      <w:pPr>
        <w:pStyle w:val="TOC4"/>
        <w:tabs>
          <w:tab w:val="right" w:leader="underscore" w:pos="9016"/>
        </w:tabs>
        <w:rPr>
          <w:rFonts w:ascii="Arial" w:eastAsiaTheme="minorEastAsia" w:hAnsi="Arial" w:cs="Arial"/>
          <w:noProof/>
          <w:sz w:val="20"/>
          <w:szCs w:val="20"/>
        </w:rPr>
      </w:pPr>
      <w:hyperlink w:anchor="_Toc153137823" w:history="1">
        <w:r w:rsidR="00BE3F4E" w:rsidRPr="00BE3F4E">
          <w:rPr>
            <w:rStyle w:val="Hyperlink"/>
            <w:rFonts w:ascii="Arial" w:eastAsia="Times New Roman" w:hAnsi="Arial" w:cs="Arial"/>
            <w:iCs/>
            <w:noProof/>
            <w:sz w:val="20"/>
            <w:szCs w:val="20"/>
          </w:rPr>
          <w:t>CS 31TGB.81 Flight manual</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_Toc153137823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273</w:t>
        </w:r>
        <w:r w:rsidR="00BE3F4E" w:rsidRPr="00BE3F4E">
          <w:rPr>
            <w:rFonts w:ascii="Arial" w:hAnsi="Arial" w:cs="Arial"/>
            <w:noProof/>
            <w:webHidden/>
            <w:sz w:val="20"/>
            <w:szCs w:val="20"/>
          </w:rPr>
          <w:fldChar w:fldCharType="end"/>
        </w:r>
      </w:hyperlink>
    </w:p>
    <w:p w14:paraId="3D68450A" w14:textId="0EB7843B" w:rsidR="00BE3F4E" w:rsidRPr="00BE3F4E" w:rsidRDefault="00000000">
      <w:pPr>
        <w:pStyle w:val="TOC5"/>
        <w:tabs>
          <w:tab w:val="right" w:leader="underscore" w:pos="9016"/>
        </w:tabs>
        <w:rPr>
          <w:rFonts w:ascii="Arial" w:eastAsiaTheme="minorEastAsia" w:hAnsi="Arial" w:cs="Arial"/>
          <w:noProof/>
          <w:sz w:val="20"/>
          <w:szCs w:val="20"/>
        </w:rPr>
      </w:pPr>
      <w:hyperlink w:anchor="_Toc153137824" w:history="1">
        <w:r w:rsidR="00BE3F4E" w:rsidRPr="00BE3F4E">
          <w:rPr>
            <w:rStyle w:val="Hyperlink"/>
            <w:rFonts w:ascii="Arial" w:eastAsia="Times New Roman" w:hAnsi="Arial" w:cs="Arial"/>
            <w:noProof/>
            <w:sz w:val="20"/>
            <w:szCs w:val="20"/>
          </w:rPr>
          <w:t>AMC1 31TGB.81(b)(5) Flight Manual</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_Toc153137824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273</w:t>
        </w:r>
        <w:r w:rsidR="00BE3F4E" w:rsidRPr="00BE3F4E">
          <w:rPr>
            <w:rFonts w:ascii="Arial" w:hAnsi="Arial" w:cs="Arial"/>
            <w:noProof/>
            <w:webHidden/>
            <w:sz w:val="20"/>
            <w:szCs w:val="20"/>
          </w:rPr>
          <w:fldChar w:fldCharType="end"/>
        </w:r>
      </w:hyperlink>
    </w:p>
    <w:p w14:paraId="642D654D" w14:textId="2B7C7D25" w:rsidR="00BE3F4E" w:rsidRPr="00BE3F4E" w:rsidRDefault="00000000">
      <w:pPr>
        <w:pStyle w:val="TOC4"/>
        <w:tabs>
          <w:tab w:val="right" w:leader="underscore" w:pos="9016"/>
        </w:tabs>
        <w:rPr>
          <w:rFonts w:ascii="Arial" w:eastAsiaTheme="minorEastAsia" w:hAnsi="Arial" w:cs="Arial"/>
          <w:noProof/>
          <w:sz w:val="20"/>
          <w:szCs w:val="20"/>
        </w:rPr>
      </w:pPr>
      <w:hyperlink w:anchor="_Toc153137825" w:history="1">
        <w:r w:rsidR="00BE3F4E" w:rsidRPr="00BE3F4E">
          <w:rPr>
            <w:rStyle w:val="Hyperlink"/>
            <w:rFonts w:ascii="Arial" w:eastAsia="Times New Roman" w:hAnsi="Arial" w:cs="Arial"/>
            <w:iCs/>
            <w:noProof/>
            <w:sz w:val="20"/>
            <w:szCs w:val="20"/>
          </w:rPr>
          <w:t>CS 31TGB.82 Instructions for continued airworthiness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_Toc153137825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273</w:t>
        </w:r>
        <w:r w:rsidR="00BE3F4E" w:rsidRPr="00BE3F4E">
          <w:rPr>
            <w:rFonts w:ascii="Arial" w:hAnsi="Arial" w:cs="Arial"/>
            <w:noProof/>
            <w:webHidden/>
            <w:sz w:val="20"/>
            <w:szCs w:val="20"/>
          </w:rPr>
          <w:fldChar w:fldCharType="end"/>
        </w:r>
      </w:hyperlink>
    </w:p>
    <w:p w14:paraId="3C941E8E" w14:textId="7A054642" w:rsidR="00BE3F4E" w:rsidRPr="00BE3F4E" w:rsidRDefault="00000000">
      <w:pPr>
        <w:pStyle w:val="TOC5"/>
        <w:tabs>
          <w:tab w:val="right" w:leader="underscore" w:pos="9016"/>
        </w:tabs>
        <w:rPr>
          <w:rFonts w:ascii="Arial" w:eastAsiaTheme="minorEastAsia" w:hAnsi="Arial" w:cs="Arial"/>
          <w:noProof/>
          <w:sz w:val="20"/>
          <w:szCs w:val="20"/>
        </w:rPr>
      </w:pPr>
      <w:hyperlink w:anchor="_Toc153137826" w:history="1">
        <w:r w:rsidR="00BE3F4E" w:rsidRPr="00BE3F4E">
          <w:rPr>
            <w:rStyle w:val="Hyperlink"/>
            <w:rFonts w:ascii="Arial" w:eastAsia="Times New Roman" w:hAnsi="Arial" w:cs="Arial"/>
            <w:noProof/>
            <w:sz w:val="20"/>
            <w:szCs w:val="20"/>
          </w:rPr>
          <w:t>AMC1 31TGB.82 Instructions for continued airworthiness</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_Toc153137826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274</w:t>
        </w:r>
        <w:r w:rsidR="00BE3F4E" w:rsidRPr="00BE3F4E">
          <w:rPr>
            <w:rFonts w:ascii="Arial" w:hAnsi="Arial" w:cs="Arial"/>
            <w:noProof/>
            <w:webHidden/>
            <w:sz w:val="20"/>
            <w:szCs w:val="20"/>
          </w:rPr>
          <w:fldChar w:fldCharType="end"/>
        </w:r>
      </w:hyperlink>
    </w:p>
    <w:p w14:paraId="1964F06D" w14:textId="44D5030B" w:rsidR="00BE3F4E" w:rsidRPr="00BE3F4E" w:rsidRDefault="00000000">
      <w:pPr>
        <w:pStyle w:val="TOC4"/>
        <w:tabs>
          <w:tab w:val="right" w:leader="underscore" w:pos="9016"/>
        </w:tabs>
        <w:rPr>
          <w:rFonts w:ascii="Arial" w:eastAsiaTheme="minorEastAsia" w:hAnsi="Arial" w:cs="Arial"/>
          <w:noProof/>
          <w:sz w:val="20"/>
          <w:szCs w:val="20"/>
        </w:rPr>
      </w:pPr>
      <w:hyperlink w:anchor="_Toc153137827" w:history="1">
        <w:r w:rsidR="00BE3F4E" w:rsidRPr="00BE3F4E">
          <w:rPr>
            <w:rStyle w:val="Hyperlink"/>
            <w:rFonts w:ascii="Arial" w:eastAsia="Times New Roman" w:hAnsi="Arial" w:cs="Arial"/>
            <w:iCs/>
            <w:noProof/>
            <w:sz w:val="20"/>
            <w:szCs w:val="20"/>
          </w:rPr>
          <w:t>CS 31TGB.83 Crew training and training information</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_Toc153137827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274</w:t>
        </w:r>
        <w:r w:rsidR="00BE3F4E" w:rsidRPr="00BE3F4E">
          <w:rPr>
            <w:rFonts w:ascii="Arial" w:hAnsi="Arial" w:cs="Arial"/>
            <w:noProof/>
            <w:webHidden/>
            <w:sz w:val="20"/>
            <w:szCs w:val="20"/>
          </w:rPr>
          <w:fldChar w:fldCharType="end"/>
        </w:r>
      </w:hyperlink>
    </w:p>
    <w:p w14:paraId="506839F9" w14:textId="2395EC56" w:rsidR="00BE3F4E" w:rsidRPr="00BE3F4E" w:rsidRDefault="00000000">
      <w:pPr>
        <w:pStyle w:val="TOC5"/>
        <w:tabs>
          <w:tab w:val="right" w:leader="underscore" w:pos="9016"/>
        </w:tabs>
        <w:rPr>
          <w:rFonts w:ascii="Arial" w:eastAsiaTheme="minorEastAsia" w:hAnsi="Arial" w:cs="Arial"/>
          <w:noProof/>
          <w:sz w:val="20"/>
          <w:szCs w:val="20"/>
        </w:rPr>
      </w:pPr>
      <w:hyperlink w:anchor="_Toc153137828" w:history="1">
        <w:r w:rsidR="00BE3F4E" w:rsidRPr="00BE3F4E">
          <w:rPr>
            <w:rStyle w:val="Hyperlink"/>
            <w:rFonts w:ascii="Arial" w:eastAsia="Times New Roman" w:hAnsi="Arial" w:cs="Arial"/>
            <w:noProof/>
            <w:sz w:val="20"/>
            <w:szCs w:val="20"/>
          </w:rPr>
          <w:t>AMC1 31TGB.83 Crew training and training information</w:t>
        </w:r>
        <w:r w:rsidR="00BE3F4E" w:rsidRPr="00BE3F4E">
          <w:rPr>
            <w:rFonts w:ascii="Arial" w:hAnsi="Arial" w:cs="Arial"/>
            <w:noProof/>
            <w:webHidden/>
            <w:sz w:val="20"/>
            <w:szCs w:val="20"/>
          </w:rPr>
          <w:tab/>
        </w:r>
        <w:r w:rsidR="00BE3F4E" w:rsidRPr="00BE3F4E">
          <w:rPr>
            <w:rFonts w:ascii="Arial" w:hAnsi="Arial" w:cs="Arial"/>
            <w:noProof/>
            <w:webHidden/>
            <w:sz w:val="20"/>
            <w:szCs w:val="20"/>
          </w:rPr>
          <w:fldChar w:fldCharType="begin"/>
        </w:r>
        <w:r w:rsidR="00BE3F4E" w:rsidRPr="00BE3F4E">
          <w:rPr>
            <w:rFonts w:ascii="Arial" w:hAnsi="Arial" w:cs="Arial"/>
            <w:noProof/>
            <w:webHidden/>
            <w:sz w:val="20"/>
            <w:szCs w:val="20"/>
          </w:rPr>
          <w:instrText xml:space="preserve"> PAGEREF _Toc153137828 \h </w:instrText>
        </w:r>
        <w:r w:rsidR="00BE3F4E" w:rsidRPr="00BE3F4E">
          <w:rPr>
            <w:rFonts w:ascii="Arial" w:hAnsi="Arial" w:cs="Arial"/>
            <w:noProof/>
            <w:webHidden/>
            <w:sz w:val="20"/>
            <w:szCs w:val="20"/>
          </w:rPr>
        </w:r>
        <w:r w:rsidR="00BE3F4E" w:rsidRPr="00BE3F4E">
          <w:rPr>
            <w:rFonts w:ascii="Arial" w:hAnsi="Arial" w:cs="Arial"/>
            <w:noProof/>
            <w:webHidden/>
            <w:sz w:val="20"/>
            <w:szCs w:val="20"/>
          </w:rPr>
          <w:fldChar w:fldCharType="separate"/>
        </w:r>
        <w:r w:rsidR="006A7538">
          <w:rPr>
            <w:rFonts w:ascii="Arial" w:hAnsi="Arial" w:cs="Arial"/>
            <w:noProof/>
            <w:webHidden/>
            <w:sz w:val="20"/>
            <w:szCs w:val="20"/>
          </w:rPr>
          <w:t>274</w:t>
        </w:r>
        <w:r w:rsidR="00BE3F4E" w:rsidRPr="00BE3F4E">
          <w:rPr>
            <w:rFonts w:ascii="Arial" w:hAnsi="Arial" w:cs="Arial"/>
            <w:noProof/>
            <w:webHidden/>
            <w:sz w:val="20"/>
            <w:szCs w:val="20"/>
          </w:rPr>
          <w:fldChar w:fldCharType="end"/>
        </w:r>
      </w:hyperlink>
    </w:p>
    <w:p w14:paraId="744F1407" w14:textId="4984DE06" w:rsidR="00111605" w:rsidRPr="00BE3F4E" w:rsidRDefault="00DE6447" w:rsidP="009601C2">
      <w:pPr>
        <w:spacing w:line="276" w:lineRule="auto"/>
        <w:rPr>
          <w:rFonts w:ascii="Arial" w:eastAsiaTheme="majorEastAsia" w:hAnsi="Arial" w:cs="Arial"/>
          <w:sz w:val="20"/>
          <w:szCs w:val="20"/>
        </w:rPr>
      </w:pPr>
      <w:r w:rsidRPr="00BE3F4E">
        <w:rPr>
          <w:rFonts w:ascii="Arial" w:eastAsiaTheme="majorEastAsia" w:hAnsi="Arial" w:cs="Arial"/>
          <w:sz w:val="20"/>
          <w:szCs w:val="20"/>
        </w:rPr>
        <w:fldChar w:fldCharType="end"/>
      </w:r>
    </w:p>
    <w:p w14:paraId="5FB7FBB3" w14:textId="77777777" w:rsidR="00E60CD5" w:rsidRPr="001C193F" w:rsidRDefault="00E60CD5" w:rsidP="00E60CD5">
      <w:pPr>
        <w:widowControl/>
        <w:autoSpaceDE/>
        <w:autoSpaceDN/>
        <w:spacing w:after="160" w:line="259" w:lineRule="auto"/>
        <w:rPr>
          <w:rFonts w:eastAsiaTheme="majorEastAsia" w:cstheme="majorBidi"/>
          <w:sz w:val="32"/>
          <w:szCs w:val="32"/>
          <w:lang w:val="hy-AM"/>
        </w:rPr>
        <w:sectPr w:rsidR="00E60CD5" w:rsidRPr="001C193F" w:rsidSect="008304B0">
          <w:headerReference w:type="default" r:id="rId10"/>
          <w:footerReference w:type="default" r:id="rId11"/>
          <w:pgSz w:w="11906" w:h="16838" w:code="9"/>
          <w:pgMar w:top="180" w:right="1440" w:bottom="1135" w:left="1440" w:header="213" w:footer="0" w:gutter="0"/>
          <w:cols w:space="720"/>
          <w:docGrid w:linePitch="360"/>
        </w:sectPr>
      </w:pPr>
      <w:r w:rsidRPr="00BE3F4E">
        <w:rPr>
          <w:rFonts w:ascii="Arial" w:eastAsiaTheme="majorEastAsia" w:hAnsi="Arial" w:cs="Arial"/>
          <w:sz w:val="20"/>
          <w:szCs w:val="20"/>
        </w:rPr>
        <w:br w:type="page"/>
      </w:r>
    </w:p>
    <w:p w14:paraId="71650147" w14:textId="77777777" w:rsidR="00136803" w:rsidRDefault="00136803" w:rsidP="009601C2">
      <w:pPr>
        <w:pStyle w:val="Heading1"/>
        <w:spacing w:line="276" w:lineRule="auto"/>
        <w:jc w:val="center"/>
        <w:rPr>
          <w:rFonts w:ascii="Arial" w:hAnsi="Arial" w:cs="Arial"/>
          <w:b/>
          <w:color w:val="1F4E79" w:themeColor="accent1" w:themeShade="80"/>
        </w:rPr>
      </w:pPr>
      <w:bookmarkStart w:id="1" w:name="_Toc153137169"/>
      <w:r w:rsidRPr="0042484A">
        <w:rPr>
          <w:rFonts w:ascii="Arial" w:hAnsi="Arial" w:cs="Arial"/>
          <w:b/>
          <w:color w:val="1F4E79" w:themeColor="accent1" w:themeShade="80"/>
        </w:rPr>
        <w:lastRenderedPageBreak/>
        <w:t>CHAPTER 1 — AIR OPERATIONS AND LICENSING</w:t>
      </w:r>
      <w:bookmarkEnd w:id="1"/>
    </w:p>
    <w:p w14:paraId="4AEF0052" w14:textId="77777777" w:rsidR="0042484A" w:rsidRPr="0042484A" w:rsidRDefault="0042484A" w:rsidP="009601C2">
      <w:pPr>
        <w:spacing w:line="276" w:lineRule="auto"/>
      </w:pPr>
    </w:p>
    <w:p w14:paraId="4DEC299F" w14:textId="77777777" w:rsidR="00136803" w:rsidRPr="0042484A" w:rsidRDefault="00136803" w:rsidP="009601C2">
      <w:pPr>
        <w:keepNext/>
        <w:keepLines/>
        <w:widowControl/>
        <w:autoSpaceDE/>
        <w:autoSpaceDN/>
        <w:spacing w:before="40" w:line="276" w:lineRule="auto"/>
        <w:jc w:val="center"/>
        <w:outlineLvl w:val="2"/>
        <w:rPr>
          <w:rFonts w:ascii="Arial" w:eastAsiaTheme="majorEastAsia" w:hAnsi="Arial" w:cs="Arial"/>
          <w:b/>
          <w:color w:val="00B0F0"/>
          <w:sz w:val="24"/>
          <w:szCs w:val="24"/>
        </w:rPr>
      </w:pPr>
      <w:bookmarkStart w:id="2" w:name="Cover_regulation"/>
      <w:bookmarkStart w:id="3" w:name="_bookmark5"/>
      <w:bookmarkStart w:id="4" w:name="_Toc153137170"/>
      <w:bookmarkEnd w:id="2"/>
      <w:bookmarkEnd w:id="3"/>
      <w:r w:rsidRPr="0042484A">
        <w:rPr>
          <w:rFonts w:ascii="Arial" w:eastAsiaTheme="majorEastAsia" w:hAnsi="Arial" w:cs="Arial"/>
          <w:b/>
          <w:color w:val="00B0F0"/>
          <w:sz w:val="24"/>
          <w:szCs w:val="24"/>
        </w:rPr>
        <w:t>COVER REGULATION</w:t>
      </w:r>
      <w:bookmarkEnd w:id="4"/>
    </w:p>
    <w:p w14:paraId="78059ED0" w14:textId="77777777" w:rsidR="00136803" w:rsidRPr="00136803" w:rsidRDefault="00136803" w:rsidP="009601C2">
      <w:pPr>
        <w:pStyle w:val="BodyText"/>
        <w:spacing w:before="6" w:line="276" w:lineRule="auto"/>
        <w:rPr>
          <w:rFonts w:ascii="Arial" w:hAnsi="Arial" w:cs="Arial"/>
          <w:b/>
          <w:sz w:val="19"/>
        </w:rPr>
      </w:pPr>
    </w:p>
    <w:p w14:paraId="2A6677BC" w14:textId="77777777" w:rsidR="00136803" w:rsidRPr="00523393" w:rsidRDefault="00136803" w:rsidP="009601C2">
      <w:pPr>
        <w:keepNext/>
        <w:keepLines/>
        <w:widowControl/>
        <w:shd w:val="clear" w:color="auto" w:fill="2F5496"/>
        <w:autoSpaceDE/>
        <w:autoSpaceDN/>
        <w:spacing w:before="280" w:after="240" w:line="276" w:lineRule="auto"/>
        <w:outlineLvl w:val="3"/>
        <w:rPr>
          <w:rFonts w:ascii="Arial" w:eastAsia="Times New Roman" w:hAnsi="Arial" w:cs="Times New Roman"/>
          <w:b/>
          <w:iCs/>
          <w:color w:val="FFFFFF"/>
          <w:sz w:val="24"/>
        </w:rPr>
      </w:pPr>
      <w:bookmarkStart w:id="5" w:name="Article_1_Subject_matter_and_scope"/>
      <w:bookmarkStart w:id="6" w:name="_bookmark6"/>
      <w:bookmarkStart w:id="7" w:name="_Toc153137171"/>
      <w:bookmarkEnd w:id="5"/>
      <w:bookmarkEnd w:id="6"/>
      <w:r w:rsidRPr="00523393">
        <w:rPr>
          <w:rFonts w:ascii="Arial" w:eastAsia="Times New Roman" w:hAnsi="Arial" w:cs="Times New Roman"/>
          <w:b/>
          <w:iCs/>
          <w:color w:val="FFFFFF"/>
          <w:sz w:val="24"/>
        </w:rPr>
        <w:t>Article 1 Subject matter and scope</w:t>
      </w:r>
      <w:bookmarkEnd w:id="7"/>
    </w:p>
    <w:p w14:paraId="380C2ACF" w14:textId="33A6AE8E" w:rsidR="00136803" w:rsidRPr="004073D2" w:rsidRDefault="00136803" w:rsidP="004073D2">
      <w:pPr>
        <w:pStyle w:val="ListParagraph"/>
        <w:numPr>
          <w:ilvl w:val="0"/>
          <w:numId w:val="2"/>
        </w:numPr>
        <w:tabs>
          <w:tab w:val="left" w:pos="707"/>
        </w:tabs>
        <w:spacing w:before="117" w:line="276" w:lineRule="auto"/>
        <w:ind w:right="-46"/>
        <w:jc w:val="both"/>
        <w:rPr>
          <w:rFonts w:ascii="Arial" w:hAnsi="Arial" w:cs="Arial"/>
          <w:sz w:val="20"/>
          <w:szCs w:val="20"/>
        </w:rPr>
      </w:pPr>
      <w:r w:rsidRPr="0000688D">
        <w:rPr>
          <w:rFonts w:ascii="Arial" w:hAnsi="Arial" w:cs="Arial"/>
          <w:sz w:val="20"/>
          <w:szCs w:val="20"/>
        </w:rPr>
        <w:t xml:space="preserve">This Regulation lays down detailed rules for air operations with balloons as well as for issuing and maintaining pilot licences and associated ratings, privileges and certificates for balloons, where such aircraft meet the conditions laid down </w:t>
      </w:r>
      <w:r w:rsidR="004073D2">
        <w:rPr>
          <w:rFonts w:ascii="Arial" w:hAnsi="Arial" w:cs="Arial"/>
          <w:sz w:val="20"/>
          <w:szCs w:val="20"/>
        </w:rPr>
        <w:t xml:space="preserve">on </w:t>
      </w:r>
      <w:hyperlink r:id="rId12" w:history="1">
        <w:r w:rsidR="004073D2" w:rsidRPr="004073D2">
          <w:rPr>
            <w:rStyle w:val="Hyperlink"/>
            <w:rFonts w:ascii="Arial" w:hAnsi="Arial" w:cs="Arial"/>
            <w:sz w:val="20"/>
            <w:szCs w:val="20"/>
          </w:rPr>
          <w:t>Law on Aviation of the Republic of Armenia</w:t>
        </w:r>
      </w:hyperlink>
      <w:r w:rsidR="004073D2">
        <w:rPr>
          <w:rFonts w:ascii="Arial" w:hAnsi="Arial" w:cs="Arial"/>
          <w:sz w:val="20"/>
          <w:szCs w:val="20"/>
        </w:rPr>
        <w:t>.</w:t>
      </w:r>
    </w:p>
    <w:p w14:paraId="4DB044F0" w14:textId="78B27695" w:rsidR="00136803" w:rsidRPr="00897077" w:rsidRDefault="00136803" w:rsidP="0090411E">
      <w:pPr>
        <w:pStyle w:val="ListParagraph"/>
        <w:numPr>
          <w:ilvl w:val="0"/>
          <w:numId w:val="2"/>
        </w:numPr>
        <w:tabs>
          <w:tab w:val="left" w:pos="707"/>
        </w:tabs>
        <w:spacing w:before="121" w:line="276" w:lineRule="auto"/>
        <w:ind w:right="-46"/>
        <w:jc w:val="both"/>
        <w:rPr>
          <w:rFonts w:ascii="Arial" w:hAnsi="Arial" w:cs="Arial"/>
          <w:sz w:val="20"/>
          <w:szCs w:val="20"/>
        </w:rPr>
      </w:pPr>
      <w:r w:rsidRPr="0000688D">
        <w:rPr>
          <w:rFonts w:ascii="Arial" w:hAnsi="Arial" w:cs="Arial"/>
          <w:sz w:val="20"/>
          <w:szCs w:val="20"/>
        </w:rPr>
        <w:t>This Regulation does not apply to air operations with tethered gas balloons.</w:t>
      </w:r>
    </w:p>
    <w:p w14:paraId="172FDD50" w14:textId="4FD2CB57" w:rsidR="00D21C13" w:rsidRPr="00D6223C" w:rsidRDefault="00D21C13" w:rsidP="00D6223C">
      <w:pPr>
        <w:keepNext/>
        <w:keepLines/>
        <w:widowControl/>
        <w:shd w:val="clear" w:color="auto" w:fill="2F5496"/>
        <w:autoSpaceDE/>
        <w:autoSpaceDN/>
        <w:spacing w:before="280" w:after="240" w:line="276" w:lineRule="auto"/>
        <w:outlineLvl w:val="3"/>
        <w:rPr>
          <w:rFonts w:ascii="Arial" w:eastAsia="Times New Roman" w:hAnsi="Arial" w:cs="Times New Roman"/>
          <w:b/>
          <w:iCs/>
          <w:color w:val="FFFFFF"/>
          <w:sz w:val="24"/>
        </w:rPr>
      </w:pPr>
      <w:bookmarkStart w:id="8" w:name="_Toc153137172"/>
      <w:r w:rsidRPr="00523393">
        <w:rPr>
          <w:rFonts w:ascii="Arial" w:eastAsia="Times New Roman" w:hAnsi="Arial" w:cs="Times New Roman"/>
          <w:b/>
          <w:iCs/>
          <w:color w:val="FFFFFF"/>
          <w:sz w:val="24"/>
        </w:rPr>
        <w:t xml:space="preserve">Article </w:t>
      </w:r>
      <w:r w:rsidR="00651A20" w:rsidRPr="00523393">
        <w:rPr>
          <w:rFonts w:ascii="Arial" w:eastAsia="Times New Roman" w:hAnsi="Arial" w:cs="Times New Roman"/>
          <w:b/>
          <w:iCs/>
          <w:color w:val="FFFFFF"/>
          <w:sz w:val="24"/>
        </w:rPr>
        <w:t>2</w:t>
      </w:r>
      <w:r w:rsidRPr="00523393">
        <w:rPr>
          <w:rFonts w:ascii="Arial" w:eastAsia="Times New Roman" w:hAnsi="Arial" w:cs="Times New Roman"/>
          <w:b/>
          <w:iCs/>
          <w:color w:val="FFFFFF"/>
          <w:sz w:val="24"/>
        </w:rPr>
        <w:t xml:space="preserve"> Definitions</w:t>
      </w:r>
      <w:bookmarkEnd w:id="8"/>
    </w:p>
    <w:p w14:paraId="224A145D" w14:textId="0FD4E2F9" w:rsidR="00D21C13" w:rsidRPr="00D21C13" w:rsidRDefault="00D21C13" w:rsidP="0090411E">
      <w:pPr>
        <w:spacing w:before="122" w:line="276" w:lineRule="auto"/>
        <w:ind w:right="95"/>
        <w:jc w:val="both"/>
        <w:rPr>
          <w:rFonts w:ascii="Arial" w:hAnsi="Arial" w:cs="Arial"/>
          <w:sz w:val="20"/>
        </w:rPr>
      </w:pPr>
      <w:r w:rsidRPr="00D21C13">
        <w:rPr>
          <w:rFonts w:ascii="Arial" w:hAnsi="Arial" w:cs="Arial"/>
          <w:sz w:val="20"/>
        </w:rPr>
        <w:t>For the purpose of this Regulation, the following definitions and, unless terms are defined otherwise</w:t>
      </w:r>
      <w:r w:rsidRPr="00D21C13">
        <w:rPr>
          <w:rFonts w:ascii="Arial" w:hAnsi="Arial" w:cs="Arial"/>
          <w:spacing w:val="1"/>
          <w:sz w:val="20"/>
        </w:rPr>
        <w:t xml:space="preserve"> </w:t>
      </w:r>
      <w:r w:rsidRPr="00D21C13">
        <w:rPr>
          <w:rFonts w:ascii="Arial" w:hAnsi="Arial" w:cs="Arial"/>
          <w:sz w:val="20"/>
        </w:rPr>
        <w:t>in</w:t>
      </w:r>
      <w:r w:rsidRPr="00D21C13">
        <w:rPr>
          <w:rFonts w:ascii="Arial" w:hAnsi="Arial" w:cs="Arial"/>
          <w:spacing w:val="-2"/>
          <w:sz w:val="20"/>
        </w:rPr>
        <w:t xml:space="preserve"> </w:t>
      </w:r>
      <w:r w:rsidRPr="00D21C13">
        <w:rPr>
          <w:rFonts w:ascii="Arial" w:hAnsi="Arial" w:cs="Arial"/>
          <w:sz w:val="20"/>
        </w:rPr>
        <w:t>this</w:t>
      </w:r>
      <w:r w:rsidRPr="00D21C13">
        <w:rPr>
          <w:rFonts w:ascii="Arial" w:hAnsi="Arial" w:cs="Arial"/>
          <w:spacing w:val="-1"/>
          <w:sz w:val="20"/>
        </w:rPr>
        <w:t xml:space="preserve"> </w:t>
      </w:r>
      <w:r w:rsidRPr="00D21C13">
        <w:rPr>
          <w:rFonts w:ascii="Arial" w:hAnsi="Arial" w:cs="Arial"/>
          <w:sz w:val="20"/>
        </w:rPr>
        <w:t>Article,</w:t>
      </w:r>
      <w:r w:rsidRPr="00D21C13">
        <w:rPr>
          <w:rFonts w:ascii="Arial" w:hAnsi="Arial" w:cs="Arial"/>
          <w:spacing w:val="-1"/>
          <w:sz w:val="20"/>
        </w:rPr>
        <w:t xml:space="preserve"> </w:t>
      </w:r>
      <w:r w:rsidRPr="00D21C13">
        <w:rPr>
          <w:rFonts w:ascii="Arial" w:hAnsi="Arial" w:cs="Arial"/>
          <w:sz w:val="20"/>
        </w:rPr>
        <w:t>the</w:t>
      </w:r>
      <w:r w:rsidRPr="00D21C13">
        <w:rPr>
          <w:rFonts w:ascii="Arial" w:hAnsi="Arial" w:cs="Arial"/>
          <w:spacing w:val="-3"/>
          <w:sz w:val="20"/>
        </w:rPr>
        <w:t xml:space="preserve"> </w:t>
      </w:r>
      <w:r w:rsidRPr="00D21C13">
        <w:rPr>
          <w:rFonts w:ascii="Arial" w:hAnsi="Arial" w:cs="Arial"/>
          <w:sz w:val="20"/>
        </w:rPr>
        <w:t>definitions</w:t>
      </w:r>
      <w:r w:rsidRPr="00D21C13">
        <w:rPr>
          <w:rFonts w:ascii="Arial" w:hAnsi="Arial" w:cs="Arial"/>
          <w:spacing w:val="-1"/>
          <w:sz w:val="20"/>
        </w:rPr>
        <w:t xml:space="preserve"> </w:t>
      </w:r>
      <w:r w:rsidRPr="00D21C13">
        <w:rPr>
          <w:rFonts w:ascii="Arial" w:hAnsi="Arial" w:cs="Arial"/>
          <w:sz w:val="20"/>
        </w:rPr>
        <w:t>of Article</w:t>
      </w:r>
      <w:r w:rsidRPr="00D21C13">
        <w:rPr>
          <w:rFonts w:ascii="Arial" w:hAnsi="Arial" w:cs="Arial"/>
          <w:spacing w:val="-3"/>
          <w:sz w:val="20"/>
        </w:rPr>
        <w:t xml:space="preserve"> </w:t>
      </w:r>
      <w:r w:rsidRPr="00D21C13">
        <w:rPr>
          <w:rFonts w:ascii="Arial" w:hAnsi="Arial" w:cs="Arial"/>
          <w:sz w:val="20"/>
        </w:rPr>
        <w:t>2</w:t>
      </w:r>
      <w:r w:rsidRPr="00D21C13">
        <w:rPr>
          <w:rFonts w:ascii="Arial" w:hAnsi="Arial" w:cs="Arial"/>
          <w:spacing w:val="-3"/>
          <w:sz w:val="20"/>
        </w:rPr>
        <w:t xml:space="preserve"> </w:t>
      </w:r>
      <w:r w:rsidRPr="00D21C13">
        <w:rPr>
          <w:rFonts w:ascii="Arial" w:hAnsi="Arial" w:cs="Arial"/>
          <w:sz w:val="20"/>
        </w:rPr>
        <w:t>of</w:t>
      </w:r>
      <w:r w:rsidRPr="00D21C13">
        <w:rPr>
          <w:rFonts w:ascii="Arial" w:hAnsi="Arial" w:cs="Arial"/>
          <w:spacing w:val="-1"/>
          <w:sz w:val="20"/>
        </w:rPr>
        <w:t xml:space="preserve"> </w:t>
      </w:r>
      <w:hyperlink r:id="rId13" w:history="1">
        <w:r w:rsidR="00980819" w:rsidRPr="00980819">
          <w:rPr>
            <w:rStyle w:val="Hyperlink"/>
            <w:rFonts w:ascii="Arial" w:hAnsi="Arial" w:cs="Arial"/>
            <w:sz w:val="20"/>
          </w:rPr>
          <w:t>the order N 3-N of the Minister of Territorial Administration and Infrastructure of RA, dated 11.02.2022</w:t>
        </w:r>
      </w:hyperlink>
      <w:r w:rsidRPr="00D21C13">
        <w:rPr>
          <w:rFonts w:ascii="Arial" w:hAnsi="Arial" w:cs="Arial"/>
          <w:spacing w:val="-1"/>
          <w:sz w:val="20"/>
        </w:rPr>
        <w:t xml:space="preserve"> </w:t>
      </w:r>
      <w:r w:rsidRPr="00D21C13">
        <w:rPr>
          <w:rFonts w:ascii="Arial" w:hAnsi="Arial" w:cs="Arial"/>
          <w:sz w:val="20"/>
        </w:rPr>
        <w:t>apply:</w:t>
      </w:r>
    </w:p>
    <w:p w14:paraId="0EFC0682" w14:textId="77777777" w:rsidR="00D21C13" w:rsidRPr="00D21C13" w:rsidRDefault="00D21C13" w:rsidP="0090411E">
      <w:pPr>
        <w:numPr>
          <w:ilvl w:val="0"/>
          <w:numId w:val="3"/>
        </w:numPr>
        <w:tabs>
          <w:tab w:val="left" w:pos="707"/>
        </w:tabs>
        <w:spacing w:before="122" w:line="276" w:lineRule="auto"/>
        <w:ind w:right="95"/>
        <w:jc w:val="both"/>
        <w:rPr>
          <w:rFonts w:ascii="Arial" w:hAnsi="Arial" w:cs="Arial"/>
          <w:sz w:val="20"/>
        </w:rPr>
      </w:pPr>
      <w:r w:rsidRPr="003F3508">
        <w:rPr>
          <w:rFonts w:ascii="Arial" w:hAnsi="Arial" w:cs="Arial"/>
          <w:b/>
          <w:sz w:val="20"/>
        </w:rPr>
        <w:t>‘balloon’</w:t>
      </w:r>
      <w:r w:rsidRPr="00D21C13">
        <w:rPr>
          <w:rFonts w:ascii="Arial" w:hAnsi="Arial" w:cs="Arial"/>
          <w:spacing w:val="-9"/>
          <w:sz w:val="20"/>
        </w:rPr>
        <w:t xml:space="preserve"> </w:t>
      </w:r>
      <w:r w:rsidRPr="00D21C13">
        <w:rPr>
          <w:rFonts w:ascii="Arial" w:hAnsi="Arial" w:cs="Arial"/>
          <w:sz w:val="20"/>
        </w:rPr>
        <w:t>means</w:t>
      </w:r>
      <w:r w:rsidRPr="00D21C13">
        <w:rPr>
          <w:rFonts w:ascii="Arial" w:hAnsi="Arial" w:cs="Arial"/>
          <w:spacing w:val="-6"/>
          <w:sz w:val="20"/>
        </w:rPr>
        <w:t xml:space="preserve"> </w:t>
      </w:r>
      <w:r w:rsidRPr="00D21C13">
        <w:rPr>
          <w:rFonts w:ascii="Arial" w:hAnsi="Arial" w:cs="Arial"/>
          <w:sz w:val="20"/>
        </w:rPr>
        <w:t>a</w:t>
      </w:r>
      <w:r w:rsidRPr="00D21C13">
        <w:rPr>
          <w:rFonts w:ascii="Arial" w:hAnsi="Arial" w:cs="Arial"/>
          <w:spacing w:val="-8"/>
          <w:sz w:val="20"/>
        </w:rPr>
        <w:t xml:space="preserve"> </w:t>
      </w:r>
      <w:r w:rsidRPr="00D21C13">
        <w:rPr>
          <w:rFonts w:ascii="Arial" w:hAnsi="Arial" w:cs="Arial"/>
          <w:sz w:val="20"/>
        </w:rPr>
        <w:t>manned</w:t>
      </w:r>
      <w:r w:rsidRPr="00D21C13">
        <w:rPr>
          <w:rFonts w:ascii="Arial" w:hAnsi="Arial" w:cs="Arial"/>
          <w:spacing w:val="-6"/>
          <w:sz w:val="20"/>
        </w:rPr>
        <w:t xml:space="preserve"> </w:t>
      </w:r>
      <w:r w:rsidRPr="00D21C13">
        <w:rPr>
          <w:rFonts w:ascii="Arial" w:hAnsi="Arial" w:cs="Arial"/>
          <w:sz w:val="20"/>
        </w:rPr>
        <w:t>lighter-than-air</w:t>
      </w:r>
      <w:r w:rsidRPr="00D21C13">
        <w:rPr>
          <w:rFonts w:ascii="Arial" w:hAnsi="Arial" w:cs="Arial"/>
          <w:spacing w:val="-6"/>
          <w:sz w:val="20"/>
        </w:rPr>
        <w:t xml:space="preserve"> </w:t>
      </w:r>
      <w:r w:rsidRPr="00D21C13">
        <w:rPr>
          <w:rFonts w:ascii="Arial" w:hAnsi="Arial" w:cs="Arial"/>
          <w:sz w:val="20"/>
        </w:rPr>
        <w:t>aircraft</w:t>
      </w:r>
      <w:r w:rsidRPr="00D21C13">
        <w:rPr>
          <w:rFonts w:ascii="Arial" w:hAnsi="Arial" w:cs="Arial"/>
          <w:spacing w:val="-9"/>
          <w:sz w:val="20"/>
        </w:rPr>
        <w:t xml:space="preserve"> </w:t>
      </w:r>
      <w:r w:rsidRPr="00D21C13">
        <w:rPr>
          <w:rFonts w:ascii="Arial" w:hAnsi="Arial" w:cs="Arial"/>
          <w:sz w:val="20"/>
        </w:rPr>
        <w:t>which</w:t>
      </w:r>
      <w:r w:rsidRPr="00D21C13">
        <w:rPr>
          <w:rFonts w:ascii="Arial" w:hAnsi="Arial" w:cs="Arial"/>
          <w:spacing w:val="-6"/>
          <w:sz w:val="20"/>
        </w:rPr>
        <w:t xml:space="preserve"> </w:t>
      </w:r>
      <w:r w:rsidRPr="00D21C13">
        <w:rPr>
          <w:rFonts w:ascii="Arial" w:hAnsi="Arial" w:cs="Arial"/>
          <w:sz w:val="20"/>
        </w:rPr>
        <w:t>is</w:t>
      </w:r>
      <w:r w:rsidRPr="00D21C13">
        <w:rPr>
          <w:rFonts w:ascii="Arial" w:hAnsi="Arial" w:cs="Arial"/>
          <w:spacing w:val="-6"/>
          <w:sz w:val="20"/>
        </w:rPr>
        <w:t xml:space="preserve"> </w:t>
      </w:r>
      <w:r w:rsidRPr="00D21C13">
        <w:rPr>
          <w:rFonts w:ascii="Arial" w:hAnsi="Arial" w:cs="Arial"/>
          <w:sz w:val="20"/>
        </w:rPr>
        <w:t>not</w:t>
      </w:r>
      <w:r w:rsidRPr="00D21C13">
        <w:rPr>
          <w:rFonts w:ascii="Arial" w:hAnsi="Arial" w:cs="Arial"/>
          <w:spacing w:val="-5"/>
          <w:sz w:val="20"/>
        </w:rPr>
        <w:t xml:space="preserve"> </w:t>
      </w:r>
      <w:r w:rsidRPr="00D21C13">
        <w:rPr>
          <w:rFonts w:ascii="Arial" w:hAnsi="Arial" w:cs="Arial"/>
          <w:sz w:val="20"/>
        </w:rPr>
        <w:t>power-driven</w:t>
      </w:r>
      <w:r w:rsidRPr="00D21C13">
        <w:rPr>
          <w:rFonts w:ascii="Arial" w:hAnsi="Arial" w:cs="Arial"/>
          <w:spacing w:val="-6"/>
          <w:sz w:val="20"/>
        </w:rPr>
        <w:t xml:space="preserve"> </w:t>
      </w:r>
      <w:r w:rsidRPr="00D21C13">
        <w:rPr>
          <w:rFonts w:ascii="Arial" w:hAnsi="Arial" w:cs="Arial"/>
          <w:sz w:val="20"/>
        </w:rPr>
        <w:t>and</w:t>
      </w:r>
      <w:r w:rsidRPr="00D21C13">
        <w:rPr>
          <w:rFonts w:ascii="Arial" w:hAnsi="Arial" w:cs="Arial"/>
          <w:spacing w:val="-9"/>
          <w:sz w:val="20"/>
        </w:rPr>
        <w:t xml:space="preserve"> </w:t>
      </w:r>
      <w:r w:rsidRPr="00D21C13">
        <w:rPr>
          <w:rFonts w:ascii="Arial" w:hAnsi="Arial" w:cs="Arial"/>
          <w:sz w:val="20"/>
        </w:rPr>
        <w:t>sustains</w:t>
      </w:r>
      <w:r w:rsidRPr="00D21C13">
        <w:rPr>
          <w:rFonts w:ascii="Arial" w:hAnsi="Arial" w:cs="Arial"/>
          <w:spacing w:val="-7"/>
          <w:sz w:val="20"/>
        </w:rPr>
        <w:t xml:space="preserve"> </w:t>
      </w:r>
      <w:r w:rsidRPr="00D21C13">
        <w:rPr>
          <w:rFonts w:ascii="Arial" w:hAnsi="Arial" w:cs="Arial"/>
          <w:sz w:val="20"/>
        </w:rPr>
        <w:t>flight</w:t>
      </w:r>
      <w:r w:rsidRPr="00D21C13">
        <w:rPr>
          <w:rFonts w:ascii="Arial" w:hAnsi="Arial" w:cs="Arial"/>
          <w:spacing w:val="-47"/>
          <w:sz w:val="20"/>
        </w:rPr>
        <w:t xml:space="preserve"> </w:t>
      </w:r>
      <w:r w:rsidRPr="00D21C13">
        <w:rPr>
          <w:rFonts w:ascii="Arial" w:hAnsi="Arial" w:cs="Arial"/>
          <w:sz w:val="20"/>
        </w:rPr>
        <w:t>through the use of either a lighter-than-air gas or an airborne heater, including gas balloons,</w:t>
      </w:r>
      <w:r w:rsidRPr="00D21C13">
        <w:rPr>
          <w:rFonts w:ascii="Arial" w:hAnsi="Arial" w:cs="Arial"/>
          <w:spacing w:val="1"/>
          <w:sz w:val="20"/>
        </w:rPr>
        <w:t xml:space="preserve"> </w:t>
      </w:r>
      <w:r w:rsidRPr="00D21C13">
        <w:rPr>
          <w:rFonts w:ascii="Arial" w:hAnsi="Arial" w:cs="Arial"/>
          <w:sz w:val="20"/>
        </w:rPr>
        <w:t>hot-air</w:t>
      </w:r>
      <w:r w:rsidRPr="00D21C13">
        <w:rPr>
          <w:rFonts w:ascii="Arial" w:hAnsi="Arial" w:cs="Arial"/>
          <w:spacing w:val="-2"/>
          <w:sz w:val="20"/>
        </w:rPr>
        <w:t xml:space="preserve"> </w:t>
      </w:r>
      <w:r w:rsidRPr="00D21C13">
        <w:rPr>
          <w:rFonts w:ascii="Arial" w:hAnsi="Arial" w:cs="Arial"/>
          <w:sz w:val="20"/>
        </w:rPr>
        <w:t>balloons,</w:t>
      </w:r>
      <w:r w:rsidRPr="00D21C13">
        <w:rPr>
          <w:rFonts w:ascii="Arial" w:hAnsi="Arial" w:cs="Arial"/>
          <w:spacing w:val="-3"/>
          <w:sz w:val="20"/>
        </w:rPr>
        <w:t xml:space="preserve"> </w:t>
      </w:r>
      <w:r w:rsidRPr="00D21C13">
        <w:rPr>
          <w:rFonts w:ascii="Arial" w:hAnsi="Arial" w:cs="Arial"/>
          <w:sz w:val="20"/>
        </w:rPr>
        <w:t>mixed</w:t>
      </w:r>
      <w:r w:rsidRPr="00D21C13">
        <w:rPr>
          <w:rFonts w:ascii="Arial" w:hAnsi="Arial" w:cs="Arial"/>
          <w:spacing w:val="-1"/>
          <w:sz w:val="20"/>
        </w:rPr>
        <w:t xml:space="preserve"> </w:t>
      </w:r>
      <w:r w:rsidRPr="00D21C13">
        <w:rPr>
          <w:rFonts w:ascii="Arial" w:hAnsi="Arial" w:cs="Arial"/>
          <w:sz w:val="20"/>
        </w:rPr>
        <w:t>balloons</w:t>
      </w:r>
      <w:r w:rsidRPr="00D21C13">
        <w:rPr>
          <w:rFonts w:ascii="Arial" w:hAnsi="Arial" w:cs="Arial"/>
          <w:spacing w:val="-3"/>
          <w:sz w:val="20"/>
        </w:rPr>
        <w:t xml:space="preserve"> </w:t>
      </w:r>
      <w:r w:rsidRPr="00D21C13">
        <w:rPr>
          <w:rFonts w:ascii="Arial" w:hAnsi="Arial" w:cs="Arial"/>
          <w:sz w:val="20"/>
        </w:rPr>
        <w:t>and,</w:t>
      </w:r>
      <w:r w:rsidRPr="00D21C13">
        <w:rPr>
          <w:rFonts w:ascii="Arial" w:hAnsi="Arial" w:cs="Arial"/>
          <w:spacing w:val="-1"/>
          <w:sz w:val="20"/>
        </w:rPr>
        <w:t xml:space="preserve"> </w:t>
      </w:r>
      <w:r w:rsidRPr="00D21C13">
        <w:rPr>
          <w:rFonts w:ascii="Arial" w:hAnsi="Arial" w:cs="Arial"/>
          <w:sz w:val="20"/>
        </w:rPr>
        <w:t>although</w:t>
      </w:r>
      <w:r w:rsidRPr="00D21C13">
        <w:rPr>
          <w:rFonts w:ascii="Arial" w:hAnsi="Arial" w:cs="Arial"/>
          <w:spacing w:val="-1"/>
          <w:sz w:val="20"/>
        </w:rPr>
        <w:t xml:space="preserve"> </w:t>
      </w:r>
      <w:r w:rsidRPr="00D21C13">
        <w:rPr>
          <w:rFonts w:ascii="Arial" w:hAnsi="Arial" w:cs="Arial"/>
          <w:sz w:val="20"/>
        </w:rPr>
        <w:t>power-driven, hot-air</w:t>
      </w:r>
      <w:r w:rsidRPr="00D21C13">
        <w:rPr>
          <w:rFonts w:ascii="Arial" w:hAnsi="Arial" w:cs="Arial"/>
          <w:spacing w:val="-2"/>
          <w:sz w:val="20"/>
        </w:rPr>
        <w:t xml:space="preserve"> </w:t>
      </w:r>
      <w:r w:rsidRPr="00D21C13">
        <w:rPr>
          <w:rFonts w:ascii="Arial" w:hAnsi="Arial" w:cs="Arial"/>
          <w:sz w:val="20"/>
        </w:rPr>
        <w:t>airships;</w:t>
      </w:r>
    </w:p>
    <w:p w14:paraId="75927114" w14:textId="77777777" w:rsidR="00D21C13" w:rsidRPr="00D21C13" w:rsidRDefault="00D21C13" w:rsidP="0090411E">
      <w:pPr>
        <w:numPr>
          <w:ilvl w:val="0"/>
          <w:numId w:val="3"/>
        </w:numPr>
        <w:tabs>
          <w:tab w:val="left" w:pos="707"/>
        </w:tabs>
        <w:spacing w:before="120" w:line="276" w:lineRule="auto"/>
        <w:ind w:right="95"/>
        <w:jc w:val="both"/>
        <w:rPr>
          <w:rFonts w:ascii="Arial" w:hAnsi="Arial" w:cs="Arial"/>
          <w:sz w:val="20"/>
        </w:rPr>
      </w:pPr>
      <w:r w:rsidRPr="003F3508">
        <w:rPr>
          <w:rFonts w:ascii="Arial" w:hAnsi="Arial" w:cs="Arial"/>
          <w:b/>
          <w:sz w:val="20"/>
        </w:rPr>
        <w:t>‘gas</w:t>
      </w:r>
      <w:r w:rsidRPr="003F3508">
        <w:rPr>
          <w:rFonts w:ascii="Arial" w:hAnsi="Arial" w:cs="Arial"/>
          <w:b/>
          <w:spacing w:val="-1"/>
          <w:sz w:val="20"/>
        </w:rPr>
        <w:t xml:space="preserve"> </w:t>
      </w:r>
      <w:r w:rsidRPr="003F3508">
        <w:rPr>
          <w:rFonts w:ascii="Arial" w:hAnsi="Arial" w:cs="Arial"/>
          <w:b/>
          <w:sz w:val="20"/>
        </w:rPr>
        <w:t>balloon’</w:t>
      </w:r>
      <w:r w:rsidRPr="00D21C13">
        <w:rPr>
          <w:rFonts w:ascii="Arial" w:hAnsi="Arial" w:cs="Arial"/>
          <w:spacing w:val="-2"/>
          <w:sz w:val="20"/>
        </w:rPr>
        <w:t xml:space="preserve"> </w:t>
      </w:r>
      <w:r w:rsidRPr="00D21C13">
        <w:rPr>
          <w:rFonts w:ascii="Arial" w:hAnsi="Arial" w:cs="Arial"/>
          <w:sz w:val="20"/>
        </w:rPr>
        <w:t>means</w:t>
      </w:r>
      <w:r w:rsidRPr="00D21C13">
        <w:rPr>
          <w:rFonts w:ascii="Arial" w:hAnsi="Arial" w:cs="Arial"/>
          <w:spacing w:val="-1"/>
          <w:sz w:val="20"/>
        </w:rPr>
        <w:t xml:space="preserve"> </w:t>
      </w:r>
      <w:r w:rsidRPr="00D21C13">
        <w:rPr>
          <w:rFonts w:ascii="Arial" w:hAnsi="Arial" w:cs="Arial"/>
          <w:sz w:val="20"/>
        </w:rPr>
        <w:t>a</w:t>
      </w:r>
      <w:r w:rsidRPr="00D21C13">
        <w:rPr>
          <w:rFonts w:ascii="Arial" w:hAnsi="Arial" w:cs="Arial"/>
          <w:spacing w:val="-3"/>
          <w:sz w:val="20"/>
        </w:rPr>
        <w:t xml:space="preserve"> </w:t>
      </w:r>
      <w:r w:rsidRPr="00D21C13">
        <w:rPr>
          <w:rFonts w:ascii="Arial" w:hAnsi="Arial" w:cs="Arial"/>
          <w:sz w:val="20"/>
        </w:rPr>
        <w:t>free</w:t>
      </w:r>
      <w:r w:rsidRPr="00D21C13">
        <w:rPr>
          <w:rFonts w:ascii="Arial" w:hAnsi="Arial" w:cs="Arial"/>
          <w:spacing w:val="-3"/>
          <w:sz w:val="20"/>
        </w:rPr>
        <w:t xml:space="preserve"> </w:t>
      </w:r>
      <w:r w:rsidRPr="00D21C13">
        <w:rPr>
          <w:rFonts w:ascii="Arial" w:hAnsi="Arial" w:cs="Arial"/>
          <w:sz w:val="20"/>
        </w:rPr>
        <w:t>balloon</w:t>
      </w:r>
      <w:r w:rsidRPr="00D21C13">
        <w:rPr>
          <w:rFonts w:ascii="Arial" w:hAnsi="Arial" w:cs="Arial"/>
          <w:spacing w:val="-3"/>
          <w:sz w:val="20"/>
        </w:rPr>
        <w:t xml:space="preserve"> </w:t>
      </w:r>
      <w:r w:rsidRPr="00D21C13">
        <w:rPr>
          <w:rFonts w:ascii="Arial" w:hAnsi="Arial" w:cs="Arial"/>
          <w:sz w:val="20"/>
        </w:rPr>
        <w:t>that derives</w:t>
      </w:r>
      <w:r w:rsidRPr="00D21C13">
        <w:rPr>
          <w:rFonts w:ascii="Arial" w:hAnsi="Arial" w:cs="Arial"/>
          <w:spacing w:val="-3"/>
          <w:sz w:val="20"/>
        </w:rPr>
        <w:t xml:space="preserve"> </w:t>
      </w:r>
      <w:r w:rsidRPr="00D21C13">
        <w:rPr>
          <w:rFonts w:ascii="Arial" w:hAnsi="Arial" w:cs="Arial"/>
          <w:sz w:val="20"/>
        </w:rPr>
        <w:t>its</w:t>
      </w:r>
      <w:r w:rsidRPr="00D21C13">
        <w:rPr>
          <w:rFonts w:ascii="Arial" w:hAnsi="Arial" w:cs="Arial"/>
          <w:spacing w:val="1"/>
          <w:sz w:val="20"/>
        </w:rPr>
        <w:t xml:space="preserve"> </w:t>
      </w:r>
      <w:r w:rsidRPr="00D21C13">
        <w:rPr>
          <w:rFonts w:ascii="Arial" w:hAnsi="Arial" w:cs="Arial"/>
          <w:sz w:val="20"/>
        </w:rPr>
        <w:t>lift</w:t>
      </w:r>
      <w:r w:rsidRPr="00D21C13">
        <w:rPr>
          <w:rFonts w:ascii="Arial" w:hAnsi="Arial" w:cs="Arial"/>
          <w:spacing w:val="-1"/>
          <w:sz w:val="20"/>
        </w:rPr>
        <w:t xml:space="preserve"> </w:t>
      </w:r>
      <w:r w:rsidRPr="00D21C13">
        <w:rPr>
          <w:rFonts w:ascii="Arial" w:hAnsi="Arial" w:cs="Arial"/>
          <w:sz w:val="20"/>
        </w:rPr>
        <w:t>from</w:t>
      </w:r>
      <w:r w:rsidRPr="00D21C13">
        <w:rPr>
          <w:rFonts w:ascii="Arial" w:hAnsi="Arial" w:cs="Arial"/>
          <w:spacing w:val="-2"/>
          <w:sz w:val="20"/>
        </w:rPr>
        <w:t xml:space="preserve"> </w:t>
      </w:r>
      <w:r w:rsidRPr="00D21C13">
        <w:rPr>
          <w:rFonts w:ascii="Arial" w:hAnsi="Arial" w:cs="Arial"/>
          <w:sz w:val="20"/>
        </w:rPr>
        <w:t>a</w:t>
      </w:r>
      <w:r w:rsidRPr="00D21C13">
        <w:rPr>
          <w:rFonts w:ascii="Arial" w:hAnsi="Arial" w:cs="Arial"/>
          <w:spacing w:val="-1"/>
          <w:sz w:val="20"/>
        </w:rPr>
        <w:t xml:space="preserve"> </w:t>
      </w:r>
      <w:r w:rsidRPr="00D21C13">
        <w:rPr>
          <w:rFonts w:ascii="Arial" w:hAnsi="Arial" w:cs="Arial"/>
          <w:sz w:val="20"/>
        </w:rPr>
        <w:t>lighter-than-air</w:t>
      </w:r>
      <w:r w:rsidRPr="00D21C13">
        <w:rPr>
          <w:rFonts w:ascii="Arial" w:hAnsi="Arial" w:cs="Arial"/>
          <w:spacing w:val="-1"/>
          <w:sz w:val="20"/>
        </w:rPr>
        <w:t xml:space="preserve"> </w:t>
      </w:r>
      <w:r w:rsidRPr="00D21C13">
        <w:rPr>
          <w:rFonts w:ascii="Arial" w:hAnsi="Arial" w:cs="Arial"/>
          <w:sz w:val="20"/>
        </w:rPr>
        <w:t>gas;</w:t>
      </w:r>
    </w:p>
    <w:p w14:paraId="0E0913E4" w14:textId="77777777" w:rsidR="00D21C13" w:rsidRPr="00D21C13" w:rsidRDefault="00D21C13" w:rsidP="0090411E">
      <w:pPr>
        <w:numPr>
          <w:ilvl w:val="0"/>
          <w:numId w:val="3"/>
        </w:numPr>
        <w:tabs>
          <w:tab w:val="left" w:pos="706"/>
          <w:tab w:val="left" w:pos="707"/>
        </w:tabs>
        <w:spacing w:before="121" w:line="276" w:lineRule="auto"/>
        <w:ind w:right="95"/>
        <w:rPr>
          <w:rFonts w:ascii="Arial" w:hAnsi="Arial" w:cs="Arial"/>
          <w:sz w:val="20"/>
        </w:rPr>
      </w:pPr>
      <w:r w:rsidRPr="003F3508">
        <w:rPr>
          <w:rFonts w:ascii="Arial" w:hAnsi="Arial" w:cs="Arial"/>
          <w:b/>
          <w:sz w:val="20"/>
        </w:rPr>
        <w:t>‘tethered gas</w:t>
      </w:r>
      <w:r w:rsidRPr="003F3508">
        <w:rPr>
          <w:rFonts w:ascii="Arial" w:hAnsi="Arial" w:cs="Arial"/>
          <w:b/>
          <w:spacing w:val="-1"/>
          <w:sz w:val="20"/>
        </w:rPr>
        <w:t xml:space="preserve"> </w:t>
      </w:r>
      <w:r w:rsidRPr="003F3508">
        <w:rPr>
          <w:rFonts w:ascii="Arial" w:hAnsi="Arial" w:cs="Arial"/>
          <w:b/>
          <w:sz w:val="20"/>
        </w:rPr>
        <w:t>balloon’</w:t>
      </w:r>
      <w:r w:rsidRPr="00D21C13">
        <w:rPr>
          <w:rFonts w:ascii="Arial" w:hAnsi="Arial" w:cs="Arial"/>
          <w:spacing w:val="-1"/>
          <w:sz w:val="20"/>
        </w:rPr>
        <w:t xml:space="preserve"> </w:t>
      </w:r>
      <w:r w:rsidRPr="00D21C13">
        <w:rPr>
          <w:rFonts w:ascii="Arial" w:hAnsi="Arial" w:cs="Arial"/>
          <w:sz w:val="20"/>
        </w:rPr>
        <w:t>means</w:t>
      </w:r>
      <w:r w:rsidRPr="00D21C13">
        <w:rPr>
          <w:rFonts w:ascii="Arial" w:hAnsi="Arial" w:cs="Arial"/>
          <w:spacing w:val="1"/>
          <w:sz w:val="20"/>
        </w:rPr>
        <w:t xml:space="preserve"> </w:t>
      </w:r>
      <w:r w:rsidRPr="00D21C13">
        <w:rPr>
          <w:rFonts w:ascii="Arial" w:hAnsi="Arial" w:cs="Arial"/>
          <w:sz w:val="20"/>
        </w:rPr>
        <w:t>a</w:t>
      </w:r>
      <w:r w:rsidRPr="00D21C13">
        <w:rPr>
          <w:rFonts w:ascii="Arial" w:hAnsi="Arial" w:cs="Arial"/>
          <w:spacing w:val="1"/>
          <w:sz w:val="20"/>
        </w:rPr>
        <w:t xml:space="preserve"> </w:t>
      </w:r>
      <w:r w:rsidRPr="00D21C13">
        <w:rPr>
          <w:rFonts w:ascii="Arial" w:hAnsi="Arial" w:cs="Arial"/>
          <w:sz w:val="20"/>
        </w:rPr>
        <w:t>gas</w:t>
      </w:r>
      <w:r w:rsidRPr="00D21C13">
        <w:rPr>
          <w:rFonts w:ascii="Arial" w:hAnsi="Arial" w:cs="Arial"/>
          <w:spacing w:val="1"/>
          <w:sz w:val="20"/>
        </w:rPr>
        <w:t xml:space="preserve"> </w:t>
      </w:r>
      <w:r w:rsidRPr="00D21C13">
        <w:rPr>
          <w:rFonts w:ascii="Arial" w:hAnsi="Arial" w:cs="Arial"/>
          <w:sz w:val="20"/>
        </w:rPr>
        <w:t>balloon with</w:t>
      </w:r>
      <w:r w:rsidRPr="00D21C13">
        <w:rPr>
          <w:rFonts w:ascii="Arial" w:hAnsi="Arial" w:cs="Arial"/>
          <w:spacing w:val="1"/>
          <w:sz w:val="20"/>
        </w:rPr>
        <w:t xml:space="preserve"> </w:t>
      </w:r>
      <w:r w:rsidRPr="00D21C13">
        <w:rPr>
          <w:rFonts w:ascii="Arial" w:hAnsi="Arial" w:cs="Arial"/>
          <w:sz w:val="20"/>
        </w:rPr>
        <w:t>a</w:t>
      </w:r>
      <w:r w:rsidRPr="00D21C13">
        <w:rPr>
          <w:rFonts w:ascii="Arial" w:hAnsi="Arial" w:cs="Arial"/>
          <w:spacing w:val="-1"/>
          <w:sz w:val="20"/>
        </w:rPr>
        <w:t xml:space="preserve"> </w:t>
      </w:r>
      <w:r w:rsidRPr="00D21C13">
        <w:rPr>
          <w:rFonts w:ascii="Arial" w:hAnsi="Arial" w:cs="Arial"/>
          <w:sz w:val="20"/>
        </w:rPr>
        <w:t>tether</w:t>
      </w:r>
      <w:r w:rsidRPr="00D21C13">
        <w:rPr>
          <w:rFonts w:ascii="Arial" w:hAnsi="Arial" w:cs="Arial"/>
          <w:spacing w:val="2"/>
          <w:sz w:val="20"/>
        </w:rPr>
        <w:t xml:space="preserve"> </w:t>
      </w:r>
      <w:r w:rsidRPr="00D21C13">
        <w:rPr>
          <w:rFonts w:ascii="Arial" w:hAnsi="Arial" w:cs="Arial"/>
          <w:sz w:val="20"/>
        </w:rPr>
        <w:t>system</w:t>
      </w:r>
      <w:r w:rsidRPr="00D21C13">
        <w:rPr>
          <w:rFonts w:ascii="Arial" w:hAnsi="Arial" w:cs="Arial"/>
          <w:spacing w:val="4"/>
          <w:sz w:val="20"/>
        </w:rPr>
        <w:t xml:space="preserve"> </w:t>
      </w:r>
      <w:r w:rsidRPr="00D21C13">
        <w:rPr>
          <w:rFonts w:ascii="Arial" w:hAnsi="Arial" w:cs="Arial"/>
          <w:sz w:val="20"/>
        </w:rPr>
        <w:t>that</w:t>
      </w:r>
      <w:r w:rsidRPr="00D21C13">
        <w:rPr>
          <w:rFonts w:ascii="Arial" w:hAnsi="Arial" w:cs="Arial"/>
          <w:spacing w:val="-1"/>
          <w:sz w:val="20"/>
        </w:rPr>
        <w:t xml:space="preserve"> </w:t>
      </w:r>
      <w:r w:rsidRPr="00D21C13">
        <w:rPr>
          <w:rFonts w:ascii="Arial" w:hAnsi="Arial" w:cs="Arial"/>
          <w:sz w:val="20"/>
        </w:rPr>
        <w:t>continuously</w:t>
      </w:r>
      <w:r w:rsidRPr="00D21C13">
        <w:rPr>
          <w:rFonts w:ascii="Arial" w:hAnsi="Arial" w:cs="Arial"/>
          <w:spacing w:val="2"/>
          <w:sz w:val="20"/>
        </w:rPr>
        <w:t xml:space="preserve"> </w:t>
      </w:r>
      <w:r w:rsidRPr="00D21C13">
        <w:rPr>
          <w:rFonts w:ascii="Arial" w:hAnsi="Arial" w:cs="Arial"/>
          <w:sz w:val="20"/>
        </w:rPr>
        <w:t>anchors the</w:t>
      </w:r>
      <w:r w:rsidRPr="00D21C13">
        <w:rPr>
          <w:rFonts w:ascii="Arial" w:hAnsi="Arial" w:cs="Arial"/>
          <w:spacing w:val="-46"/>
          <w:sz w:val="20"/>
        </w:rPr>
        <w:t xml:space="preserve"> </w:t>
      </w:r>
      <w:r w:rsidRPr="00D21C13">
        <w:rPr>
          <w:rFonts w:ascii="Arial" w:hAnsi="Arial" w:cs="Arial"/>
          <w:sz w:val="20"/>
        </w:rPr>
        <w:t>balloon</w:t>
      </w:r>
      <w:r w:rsidRPr="00D21C13">
        <w:rPr>
          <w:rFonts w:ascii="Arial" w:hAnsi="Arial" w:cs="Arial"/>
          <w:spacing w:val="-4"/>
          <w:sz w:val="20"/>
        </w:rPr>
        <w:t xml:space="preserve"> </w:t>
      </w:r>
      <w:r w:rsidRPr="00D21C13">
        <w:rPr>
          <w:rFonts w:ascii="Arial" w:hAnsi="Arial" w:cs="Arial"/>
          <w:sz w:val="20"/>
        </w:rPr>
        <w:t>to</w:t>
      </w:r>
      <w:r w:rsidRPr="00D21C13">
        <w:rPr>
          <w:rFonts w:ascii="Arial" w:hAnsi="Arial" w:cs="Arial"/>
          <w:spacing w:val="-1"/>
          <w:sz w:val="20"/>
        </w:rPr>
        <w:t xml:space="preserve"> </w:t>
      </w:r>
      <w:r w:rsidRPr="00D21C13">
        <w:rPr>
          <w:rFonts w:ascii="Arial" w:hAnsi="Arial" w:cs="Arial"/>
          <w:sz w:val="20"/>
        </w:rPr>
        <w:t>a fixed point during</w:t>
      </w:r>
      <w:r w:rsidRPr="00D21C13">
        <w:rPr>
          <w:rFonts w:ascii="Arial" w:hAnsi="Arial" w:cs="Arial"/>
          <w:spacing w:val="-1"/>
          <w:sz w:val="20"/>
        </w:rPr>
        <w:t xml:space="preserve"> </w:t>
      </w:r>
      <w:r w:rsidRPr="00D21C13">
        <w:rPr>
          <w:rFonts w:ascii="Arial" w:hAnsi="Arial" w:cs="Arial"/>
          <w:sz w:val="20"/>
        </w:rPr>
        <w:t>operation;</w:t>
      </w:r>
    </w:p>
    <w:p w14:paraId="0D4CBC9E" w14:textId="77777777" w:rsidR="00D21C13" w:rsidRPr="00D21C13" w:rsidRDefault="00D21C13" w:rsidP="0090411E">
      <w:pPr>
        <w:numPr>
          <w:ilvl w:val="0"/>
          <w:numId w:val="3"/>
        </w:numPr>
        <w:tabs>
          <w:tab w:val="left" w:pos="706"/>
          <w:tab w:val="left" w:pos="707"/>
        </w:tabs>
        <w:spacing w:before="120" w:line="276" w:lineRule="auto"/>
        <w:ind w:right="95"/>
        <w:rPr>
          <w:rFonts w:ascii="Arial" w:hAnsi="Arial" w:cs="Arial"/>
          <w:sz w:val="20"/>
        </w:rPr>
      </w:pPr>
      <w:r w:rsidRPr="003F3508">
        <w:rPr>
          <w:rFonts w:ascii="Arial" w:hAnsi="Arial" w:cs="Arial"/>
          <w:b/>
          <w:sz w:val="20"/>
        </w:rPr>
        <w:t>‘free</w:t>
      </w:r>
      <w:r w:rsidRPr="003F3508">
        <w:rPr>
          <w:rFonts w:ascii="Arial" w:hAnsi="Arial" w:cs="Arial"/>
          <w:b/>
          <w:spacing w:val="47"/>
          <w:sz w:val="20"/>
        </w:rPr>
        <w:t xml:space="preserve"> </w:t>
      </w:r>
      <w:r w:rsidRPr="003F3508">
        <w:rPr>
          <w:rFonts w:ascii="Arial" w:hAnsi="Arial" w:cs="Arial"/>
          <w:b/>
          <w:sz w:val="20"/>
        </w:rPr>
        <w:t>balloon’</w:t>
      </w:r>
      <w:r w:rsidRPr="00D21C13">
        <w:rPr>
          <w:rFonts w:ascii="Arial" w:hAnsi="Arial" w:cs="Arial"/>
          <w:spacing w:val="45"/>
          <w:sz w:val="20"/>
        </w:rPr>
        <w:t xml:space="preserve"> </w:t>
      </w:r>
      <w:r w:rsidRPr="00D21C13">
        <w:rPr>
          <w:rFonts w:ascii="Arial" w:hAnsi="Arial" w:cs="Arial"/>
          <w:sz w:val="20"/>
        </w:rPr>
        <w:t>means</w:t>
      </w:r>
      <w:r w:rsidRPr="00D21C13">
        <w:rPr>
          <w:rFonts w:ascii="Arial" w:hAnsi="Arial" w:cs="Arial"/>
          <w:spacing w:val="44"/>
          <w:sz w:val="20"/>
        </w:rPr>
        <w:t xml:space="preserve"> </w:t>
      </w:r>
      <w:r w:rsidRPr="00D21C13">
        <w:rPr>
          <w:rFonts w:ascii="Arial" w:hAnsi="Arial" w:cs="Arial"/>
          <w:sz w:val="20"/>
        </w:rPr>
        <w:t>a</w:t>
      </w:r>
      <w:r w:rsidRPr="00D21C13">
        <w:rPr>
          <w:rFonts w:ascii="Arial" w:hAnsi="Arial" w:cs="Arial"/>
          <w:spacing w:val="47"/>
          <w:sz w:val="20"/>
        </w:rPr>
        <w:t xml:space="preserve"> </w:t>
      </w:r>
      <w:r w:rsidRPr="00D21C13">
        <w:rPr>
          <w:rFonts w:ascii="Arial" w:hAnsi="Arial" w:cs="Arial"/>
          <w:sz w:val="20"/>
        </w:rPr>
        <w:t>balloon</w:t>
      </w:r>
      <w:r w:rsidRPr="00D21C13">
        <w:rPr>
          <w:rFonts w:ascii="Arial" w:hAnsi="Arial" w:cs="Arial"/>
          <w:spacing w:val="44"/>
          <w:sz w:val="20"/>
        </w:rPr>
        <w:t xml:space="preserve"> </w:t>
      </w:r>
      <w:r w:rsidRPr="00D21C13">
        <w:rPr>
          <w:rFonts w:ascii="Arial" w:hAnsi="Arial" w:cs="Arial"/>
          <w:sz w:val="20"/>
        </w:rPr>
        <w:t>that</w:t>
      </w:r>
      <w:r w:rsidRPr="00D21C13">
        <w:rPr>
          <w:rFonts w:ascii="Arial" w:hAnsi="Arial" w:cs="Arial"/>
          <w:spacing w:val="46"/>
          <w:sz w:val="20"/>
        </w:rPr>
        <w:t xml:space="preserve"> </w:t>
      </w:r>
      <w:r w:rsidRPr="00D21C13">
        <w:rPr>
          <w:rFonts w:ascii="Arial" w:hAnsi="Arial" w:cs="Arial"/>
          <w:sz w:val="20"/>
        </w:rPr>
        <w:t>is</w:t>
      </w:r>
      <w:r w:rsidRPr="00D21C13">
        <w:rPr>
          <w:rFonts w:ascii="Arial" w:hAnsi="Arial" w:cs="Arial"/>
          <w:spacing w:val="47"/>
          <w:sz w:val="20"/>
        </w:rPr>
        <w:t xml:space="preserve"> </w:t>
      </w:r>
      <w:r w:rsidRPr="00D21C13">
        <w:rPr>
          <w:rFonts w:ascii="Arial" w:hAnsi="Arial" w:cs="Arial"/>
          <w:sz w:val="20"/>
        </w:rPr>
        <w:t>not</w:t>
      </w:r>
      <w:r w:rsidRPr="00D21C13">
        <w:rPr>
          <w:rFonts w:ascii="Arial" w:hAnsi="Arial" w:cs="Arial"/>
          <w:spacing w:val="47"/>
          <w:sz w:val="20"/>
        </w:rPr>
        <w:t xml:space="preserve"> </w:t>
      </w:r>
      <w:r w:rsidRPr="00D21C13">
        <w:rPr>
          <w:rFonts w:ascii="Arial" w:hAnsi="Arial" w:cs="Arial"/>
          <w:sz w:val="20"/>
        </w:rPr>
        <w:t>continuously</w:t>
      </w:r>
      <w:r w:rsidRPr="00D21C13">
        <w:rPr>
          <w:rFonts w:ascii="Arial" w:hAnsi="Arial" w:cs="Arial"/>
          <w:spacing w:val="48"/>
          <w:sz w:val="20"/>
        </w:rPr>
        <w:t xml:space="preserve"> </w:t>
      </w:r>
      <w:r w:rsidRPr="00D21C13">
        <w:rPr>
          <w:rFonts w:ascii="Arial" w:hAnsi="Arial" w:cs="Arial"/>
          <w:sz w:val="20"/>
        </w:rPr>
        <w:t>anchored</w:t>
      </w:r>
      <w:r w:rsidRPr="00D21C13">
        <w:rPr>
          <w:rFonts w:ascii="Arial" w:hAnsi="Arial" w:cs="Arial"/>
          <w:spacing w:val="44"/>
          <w:sz w:val="20"/>
        </w:rPr>
        <w:t xml:space="preserve"> </w:t>
      </w:r>
      <w:r w:rsidRPr="00D21C13">
        <w:rPr>
          <w:rFonts w:ascii="Arial" w:hAnsi="Arial" w:cs="Arial"/>
          <w:sz w:val="20"/>
        </w:rPr>
        <w:t>to</w:t>
      </w:r>
      <w:r w:rsidRPr="00D21C13">
        <w:rPr>
          <w:rFonts w:ascii="Arial" w:hAnsi="Arial" w:cs="Arial"/>
          <w:spacing w:val="46"/>
          <w:sz w:val="20"/>
        </w:rPr>
        <w:t xml:space="preserve"> </w:t>
      </w:r>
      <w:r w:rsidRPr="00D21C13">
        <w:rPr>
          <w:rFonts w:ascii="Arial" w:hAnsi="Arial" w:cs="Arial"/>
          <w:sz w:val="20"/>
        </w:rPr>
        <w:t>a</w:t>
      </w:r>
      <w:r w:rsidRPr="00D21C13">
        <w:rPr>
          <w:rFonts w:ascii="Arial" w:hAnsi="Arial" w:cs="Arial"/>
          <w:spacing w:val="47"/>
          <w:sz w:val="20"/>
        </w:rPr>
        <w:t xml:space="preserve"> </w:t>
      </w:r>
      <w:r w:rsidRPr="00D21C13">
        <w:rPr>
          <w:rFonts w:ascii="Arial" w:hAnsi="Arial" w:cs="Arial"/>
          <w:sz w:val="20"/>
        </w:rPr>
        <w:t>fixed</w:t>
      </w:r>
      <w:r w:rsidRPr="00D21C13">
        <w:rPr>
          <w:rFonts w:ascii="Arial" w:hAnsi="Arial" w:cs="Arial"/>
          <w:spacing w:val="44"/>
          <w:sz w:val="20"/>
        </w:rPr>
        <w:t xml:space="preserve"> </w:t>
      </w:r>
      <w:r w:rsidRPr="00D21C13">
        <w:rPr>
          <w:rFonts w:ascii="Arial" w:hAnsi="Arial" w:cs="Arial"/>
          <w:sz w:val="20"/>
        </w:rPr>
        <w:t>point</w:t>
      </w:r>
      <w:r w:rsidRPr="00D21C13">
        <w:rPr>
          <w:rFonts w:ascii="Arial" w:hAnsi="Arial" w:cs="Arial"/>
          <w:spacing w:val="48"/>
          <w:sz w:val="20"/>
        </w:rPr>
        <w:t xml:space="preserve"> </w:t>
      </w:r>
      <w:r w:rsidRPr="00D21C13">
        <w:rPr>
          <w:rFonts w:ascii="Arial" w:hAnsi="Arial" w:cs="Arial"/>
          <w:sz w:val="20"/>
        </w:rPr>
        <w:t>during</w:t>
      </w:r>
      <w:r w:rsidRPr="00D21C13">
        <w:rPr>
          <w:rFonts w:ascii="Arial" w:hAnsi="Arial" w:cs="Arial"/>
          <w:spacing w:val="-47"/>
          <w:sz w:val="20"/>
        </w:rPr>
        <w:t xml:space="preserve"> </w:t>
      </w:r>
      <w:r w:rsidRPr="00D21C13">
        <w:rPr>
          <w:rFonts w:ascii="Arial" w:hAnsi="Arial" w:cs="Arial"/>
          <w:sz w:val="20"/>
        </w:rPr>
        <w:t>operation;</w:t>
      </w:r>
    </w:p>
    <w:p w14:paraId="53ECA202" w14:textId="77777777" w:rsidR="00D21C13" w:rsidRPr="00D21C13" w:rsidRDefault="00D21C13" w:rsidP="0090411E">
      <w:pPr>
        <w:numPr>
          <w:ilvl w:val="0"/>
          <w:numId w:val="3"/>
        </w:numPr>
        <w:tabs>
          <w:tab w:val="left" w:pos="706"/>
          <w:tab w:val="left" w:pos="707"/>
        </w:tabs>
        <w:spacing w:before="121" w:line="276" w:lineRule="auto"/>
        <w:ind w:right="95"/>
        <w:rPr>
          <w:rFonts w:ascii="Arial" w:hAnsi="Arial" w:cs="Arial"/>
          <w:sz w:val="20"/>
        </w:rPr>
      </w:pPr>
      <w:r w:rsidRPr="003F3508">
        <w:rPr>
          <w:rFonts w:ascii="Arial" w:hAnsi="Arial" w:cs="Arial"/>
          <w:b/>
          <w:sz w:val="20"/>
        </w:rPr>
        <w:t>‘hot-air</w:t>
      </w:r>
      <w:r w:rsidRPr="003F3508">
        <w:rPr>
          <w:rFonts w:ascii="Arial" w:hAnsi="Arial" w:cs="Arial"/>
          <w:b/>
          <w:spacing w:val="-2"/>
          <w:sz w:val="20"/>
        </w:rPr>
        <w:t xml:space="preserve"> </w:t>
      </w:r>
      <w:r w:rsidRPr="003F3508">
        <w:rPr>
          <w:rFonts w:ascii="Arial" w:hAnsi="Arial" w:cs="Arial"/>
          <w:b/>
          <w:sz w:val="20"/>
        </w:rPr>
        <w:t>balloon’</w:t>
      </w:r>
      <w:r w:rsidRPr="00D21C13">
        <w:rPr>
          <w:rFonts w:ascii="Arial" w:hAnsi="Arial" w:cs="Arial"/>
          <w:spacing w:val="-4"/>
          <w:sz w:val="20"/>
        </w:rPr>
        <w:t xml:space="preserve"> </w:t>
      </w:r>
      <w:r w:rsidRPr="00D21C13">
        <w:rPr>
          <w:rFonts w:ascii="Arial" w:hAnsi="Arial" w:cs="Arial"/>
          <w:sz w:val="20"/>
        </w:rPr>
        <w:t>means</w:t>
      </w:r>
      <w:r w:rsidRPr="00D21C13">
        <w:rPr>
          <w:rFonts w:ascii="Arial" w:hAnsi="Arial" w:cs="Arial"/>
          <w:spacing w:val="-1"/>
          <w:sz w:val="20"/>
        </w:rPr>
        <w:t xml:space="preserve"> </w:t>
      </w:r>
      <w:r w:rsidRPr="00D21C13">
        <w:rPr>
          <w:rFonts w:ascii="Arial" w:hAnsi="Arial" w:cs="Arial"/>
          <w:sz w:val="20"/>
        </w:rPr>
        <w:t>a</w:t>
      </w:r>
      <w:r w:rsidRPr="00D21C13">
        <w:rPr>
          <w:rFonts w:ascii="Arial" w:hAnsi="Arial" w:cs="Arial"/>
          <w:spacing w:val="-1"/>
          <w:sz w:val="20"/>
        </w:rPr>
        <w:t xml:space="preserve"> </w:t>
      </w:r>
      <w:r w:rsidRPr="00D21C13">
        <w:rPr>
          <w:rFonts w:ascii="Arial" w:hAnsi="Arial" w:cs="Arial"/>
          <w:sz w:val="20"/>
        </w:rPr>
        <w:t>free</w:t>
      </w:r>
      <w:r w:rsidRPr="00D21C13">
        <w:rPr>
          <w:rFonts w:ascii="Arial" w:hAnsi="Arial" w:cs="Arial"/>
          <w:spacing w:val="-1"/>
          <w:sz w:val="20"/>
        </w:rPr>
        <w:t xml:space="preserve"> </w:t>
      </w:r>
      <w:r w:rsidRPr="00D21C13">
        <w:rPr>
          <w:rFonts w:ascii="Arial" w:hAnsi="Arial" w:cs="Arial"/>
          <w:sz w:val="20"/>
        </w:rPr>
        <w:t>balloon</w:t>
      </w:r>
      <w:r w:rsidRPr="00D21C13">
        <w:rPr>
          <w:rFonts w:ascii="Arial" w:hAnsi="Arial" w:cs="Arial"/>
          <w:spacing w:val="-4"/>
          <w:sz w:val="20"/>
        </w:rPr>
        <w:t xml:space="preserve"> </w:t>
      </w:r>
      <w:r w:rsidRPr="00D21C13">
        <w:rPr>
          <w:rFonts w:ascii="Arial" w:hAnsi="Arial" w:cs="Arial"/>
          <w:sz w:val="20"/>
        </w:rPr>
        <w:t>that</w:t>
      </w:r>
      <w:r w:rsidRPr="00D21C13">
        <w:rPr>
          <w:rFonts w:ascii="Arial" w:hAnsi="Arial" w:cs="Arial"/>
          <w:spacing w:val="-1"/>
          <w:sz w:val="20"/>
        </w:rPr>
        <w:t xml:space="preserve"> </w:t>
      </w:r>
      <w:r w:rsidRPr="00D21C13">
        <w:rPr>
          <w:rFonts w:ascii="Arial" w:hAnsi="Arial" w:cs="Arial"/>
          <w:sz w:val="20"/>
        </w:rPr>
        <w:t>derives</w:t>
      </w:r>
      <w:r w:rsidRPr="00D21C13">
        <w:rPr>
          <w:rFonts w:ascii="Arial" w:hAnsi="Arial" w:cs="Arial"/>
          <w:spacing w:val="-3"/>
          <w:sz w:val="20"/>
        </w:rPr>
        <w:t xml:space="preserve"> </w:t>
      </w:r>
      <w:r w:rsidRPr="00D21C13">
        <w:rPr>
          <w:rFonts w:ascii="Arial" w:hAnsi="Arial" w:cs="Arial"/>
          <w:sz w:val="20"/>
        </w:rPr>
        <w:t>its lift</w:t>
      </w:r>
      <w:r w:rsidRPr="00D21C13">
        <w:rPr>
          <w:rFonts w:ascii="Arial" w:hAnsi="Arial" w:cs="Arial"/>
          <w:spacing w:val="-1"/>
          <w:sz w:val="20"/>
        </w:rPr>
        <w:t xml:space="preserve"> </w:t>
      </w:r>
      <w:r w:rsidRPr="00D21C13">
        <w:rPr>
          <w:rFonts w:ascii="Arial" w:hAnsi="Arial" w:cs="Arial"/>
          <w:sz w:val="20"/>
        </w:rPr>
        <w:t>from heated</w:t>
      </w:r>
      <w:r w:rsidRPr="00D21C13">
        <w:rPr>
          <w:rFonts w:ascii="Arial" w:hAnsi="Arial" w:cs="Arial"/>
          <w:spacing w:val="-3"/>
          <w:sz w:val="20"/>
        </w:rPr>
        <w:t xml:space="preserve"> </w:t>
      </w:r>
      <w:r w:rsidRPr="00D21C13">
        <w:rPr>
          <w:rFonts w:ascii="Arial" w:hAnsi="Arial" w:cs="Arial"/>
          <w:sz w:val="20"/>
        </w:rPr>
        <w:t>air;</w:t>
      </w:r>
    </w:p>
    <w:p w14:paraId="381011CD" w14:textId="77777777" w:rsidR="00D21C13" w:rsidRPr="00D21C13" w:rsidRDefault="00D21C13" w:rsidP="0090411E">
      <w:pPr>
        <w:numPr>
          <w:ilvl w:val="0"/>
          <w:numId w:val="3"/>
        </w:numPr>
        <w:tabs>
          <w:tab w:val="left" w:pos="707"/>
        </w:tabs>
        <w:spacing w:before="118" w:line="276" w:lineRule="auto"/>
        <w:ind w:right="95"/>
        <w:jc w:val="both"/>
        <w:rPr>
          <w:rFonts w:ascii="Arial" w:hAnsi="Arial" w:cs="Arial"/>
          <w:sz w:val="20"/>
        </w:rPr>
      </w:pPr>
      <w:r w:rsidRPr="003F3508">
        <w:rPr>
          <w:rFonts w:ascii="Arial" w:hAnsi="Arial" w:cs="Arial"/>
          <w:b/>
          <w:sz w:val="20"/>
        </w:rPr>
        <w:t>‘mixed balloon’</w:t>
      </w:r>
      <w:r w:rsidRPr="00D21C13">
        <w:rPr>
          <w:rFonts w:ascii="Arial" w:hAnsi="Arial" w:cs="Arial"/>
          <w:sz w:val="20"/>
        </w:rPr>
        <w:t xml:space="preserve"> means a free balloon that derives its lift from a combination of heated air and</w:t>
      </w:r>
      <w:r w:rsidRPr="00D21C13">
        <w:rPr>
          <w:rFonts w:ascii="Arial" w:hAnsi="Arial" w:cs="Arial"/>
          <w:spacing w:val="1"/>
          <w:sz w:val="20"/>
        </w:rPr>
        <w:t xml:space="preserve"> </w:t>
      </w:r>
      <w:r w:rsidRPr="00D21C13">
        <w:rPr>
          <w:rFonts w:ascii="Arial" w:hAnsi="Arial" w:cs="Arial"/>
          <w:sz w:val="20"/>
        </w:rPr>
        <w:t>a</w:t>
      </w:r>
      <w:r w:rsidRPr="00D21C13">
        <w:rPr>
          <w:rFonts w:ascii="Arial" w:hAnsi="Arial" w:cs="Arial"/>
          <w:spacing w:val="-1"/>
          <w:sz w:val="20"/>
        </w:rPr>
        <w:t xml:space="preserve"> </w:t>
      </w:r>
      <w:r w:rsidRPr="00D21C13">
        <w:rPr>
          <w:rFonts w:ascii="Arial" w:hAnsi="Arial" w:cs="Arial"/>
          <w:sz w:val="20"/>
        </w:rPr>
        <w:t>lighter-than-air, non-flammable gas;</w:t>
      </w:r>
    </w:p>
    <w:p w14:paraId="5B87AE9A" w14:textId="77777777" w:rsidR="00D21C13" w:rsidRPr="00D21C13" w:rsidRDefault="00D21C13" w:rsidP="0090411E">
      <w:pPr>
        <w:numPr>
          <w:ilvl w:val="0"/>
          <w:numId w:val="3"/>
        </w:numPr>
        <w:tabs>
          <w:tab w:val="left" w:pos="707"/>
        </w:tabs>
        <w:spacing w:before="121" w:line="276" w:lineRule="auto"/>
        <w:ind w:right="95"/>
        <w:jc w:val="both"/>
        <w:rPr>
          <w:rFonts w:ascii="Arial" w:hAnsi="Arial" w:cs="Arial"/>
          <w:sz w:val="20"/>
        </w:rPr>
      </w:pPr>
      <w:r w:rsidRPr="003F3508">
        <w:rPr>
          <w:rFonts w:ascii="Arial" w:hAnsi="Arial" w:cs="Arial"/>
          <w:b/>
          <w:sz w:val="20"/>
        </w:rPr>
        <w:t>‘hot-air</w:t>
      </w:r>
      <w:r w:rsidRPr="003F3508">
        <w:rPr>
          <w:rFonts w:ascii="Arial" w:hAnsi="Arial" w:cs="Arial"/>
          <w:b/>
          <w:spacing w:val="-6"/>
          <w:sz w:val="20"/>
        </w:rPr>
        <w:t xml:space="preserve"> </w:t>
      </w:r>
      <w:r w:rsidRPr="003F3508">
        <w:rPr>
          <w:rFonts w:ascii="Arial" w:hAnsi="Arial" w:cs="Arial"/>
          <w:b/>
          <w:sz w:val="20"/>
        </w:rPr>
        <w:t>airship’</w:t>
      </w:r>
      <w:r w:rsidRPr="00D21C13">
        <w:rPr>
          <w:rFonts w:ascii="Arial" w:hAnsi="Arial" w:cs="Arial"/>
          <w:spacing w:val="-4"/>
          <w:sz w:val="20"/>
        </w:rPr>
        <w:t xml:space="preserve"> </w:t>
      </w:r>
      <w:r w:rsidRPr="00D21C13">
        <w:rPr>
          <w:rFonts w:ascii="Arial" w:hAnsi="Arial" w:cs="Arial"/>
          <w:sz w:val="20"/>
        </w:rPr>
        <w:t>means</w:t>
      </w:r>
      <w:r w:rsidRPr="00D21C13">
        <w:rPr>
          <w:rFonts w:ascii="Arial" w:hAnsi="Arial" w:cs="Arial"/>
          <w:spacing w:val="-5"/>
          <w:sz w:val="20"/>
        </w:rPr>
        <w:t xml:space="preserve"> </w:t>
      </w:r>
      <w:r w:rsidRPr="00D21C13">
        <w:rPr>
          <w:rFonts w:ascii="Arial" w:hAnsi="Arial" w:cs="Arial"/>
          <w:sz w:val="20"/>
        </w:rPr>
        <w:t>a</w:t>
      </w:r>
      <w:r w:rsidRPr="00D21C13">
        <w:rPr>
          <w:rFonts w:ascii="Arial" w:hAnsi="Arial" w:cs="Arial"/>
          <w:spacing w:val="-5"/>
          <w:sz w:val="20"/>
        </w:rPr>
        <w:t xml:space="preserve"> </w:t>
      </w:r>
      <w:r w:rsidRPr="00D21C13">
        <w:rPr>
          <w:rFonts w:ascii="Arial" w:hAnsi="Arial" w:cs="Arial"/>
          <w:sz w:val="20"/>
        </w:rPr>
        <w:t>power-driven</w:t>
      </w:r>
      <w:r w:rsidRPr="00D21C13">
        <w:rPr>
          <w:rFonts w:ascii="Arial" w:hAnsi="Arial" w:cs="Arial"/>
          <w:spacing w:val="-5"/>
          <w:sz w:val="20"/>
        </w:rPr>
        <w:t xml:space="preserve"> </w:t>
      </w:r>
      <w:r w:rsidRPr="00D21C13">
        <w:rPr>
          <w:rFonts w:ascii="Arial" w:hAnsi="Arial" w:cs="Arial"/>
          <w:sz w:val="20"/>
        </w:rPr>
        <w:t>hot-air</w:t>
      </w:r>
      <w:r w:rsidRPr="00D21C13">
        <w:rPr>
          <w:rFonts w:ascii="Arial" w:hAnsi="Arial" w:cs="Arial"/>
          <w:spacing w:val="-5"/>
          <w:sz w:val="20"/>
        </w:rPr>
        <w:t xml:space="preserve"> </w:t>
      </w:r>
      <w:r w:rsidRPr="00D21C13">
        <w:rPr>
          <w:rFonts w:ascii="Arial" w:hAnsi="Arial" w:cs="Arial"/>
          <w:sz w:val="20"/>
        </w:rPr>
        <w:t>balloon,</w:t>
      </w:r>
      <w:r w:rsidRPr="00D21C13">
        <w:rPr>
          <w:rFonts w:ascii="Arial" w:hAnsi="Arial" w:cs="Arial"/>
          <w:spacing w:val="-7"/>
          <w:sz w:val="20"/>
        </w:rPr>
        <w:t xml:space="preserve"> </w:t>
      </w:r>
      <w:r w:rsidRPr="00D21C13">
        <w:rPr>
          <w:rFonts w:ascii="Arial" w:hAnsi="Arial" w:cs="Arial"/>
          <w:sz w:val="20"/>
        </w:rPr>
        <w:t>whereby</w:t>
      </w:r>
      <w:r w:rsidRPr="00D21C13">
        <w:rPr>
          <w:rFonts w:ascii="Arial" w:hAnsi="Arial" w:cs="Arial"/>
          <w:spacing w:val="-6"/>
          <w:sz w:val="20"/>
        </w:rPr>
        <w:t xml:space="preserve"> </w:t>
      </w:r>
      <w:r w:rsidRPr="00D21C13">
        <w:rPr>
          <w:rFonts w:ascii="Arial" w:hAnsi="Arial" w:cs="Arial"/>
          <w:sz w:val="20"/>
        </w:rPr>
        <w:t>the</w:t>
      </w:r>
      <w:r w:rsidRPr="00D21C13">
        <w:rPr>
          <w:rFonts w:ascii="Arial" w:hAnsi="Arial" w:cs="Arial"/>
          <w:spacing w:val="-5"/>
          <w:sz w:val="20"/>
        </w:rPr>
        <w:t xml:space="preserve"> </w:t>
      </w:r>
      <w:r w:rsidRPr="00D21C13">
        <w:rPr>
          <w:rFonts w:ascii="Arial" w:hAnsi="Arial" w:cs="Arial"/>
          <w:sz w:val="20"/>
        </w:rPr>
        <w:t>engine</w:t>
      </w:r>
      <w:r w:rsidRPr="00D21C13">
        <w:rPr>
          <w:rFonts w:ascii="Arial" w:hAnsi="Arial" w:cs="Arial"/>
          <w:spacing w:val="-4"/>
          <w:sz w:val="20"/>
        </w:rPr>
        <w:t xml:space="preserve"> </w:t>
      </w:r>
      <w:r w:rsidRPr="00D21C13">
        <w:rPr>
          <w:rFonts w:ascii="Arial" w:hAnsi="Arial" w:cs="Arial"/>
          <w:sz w:val="20"/>
        </w:rPr>
        <w:t>does</w:t>
      </w:r>
      <w:r w:rsidRPr="00D21C13">
        <w:rPr>
          <w:rFonts w:ascii="Arial" w:hAnsi="Arial" w:cs="Arial"/>
          <w:spacing w:val="-5"/>
          <w:sz w:val="20"/>
        </w:rPr>
        <w:t xml:space="preserve"> </w:t>
      </w:r>
      <w:r w:rsidRPr="00D21C13">
        <w:rPr>
          <w:rFonts w:ascii="Arial" w:hAnsi="Arial" w:cs="Arial"/>
          <w:sz w:val="20"/>
        </w:rPr>
        <w:t>not</w:t>
      </w:r>
      <w:r w:rsidRPr="00D21C13">
        <w:rPr>
          <w:rFonts w:ascii="Arial" w:hAnsi="Arial" w:cs="Arial"/>
          <w:spacing w:val="-4"/>
          <w:sz w:val="20"/>
        </w:rPr>
        <w:t xml:space="preserve"> </w:t>
      </w:r>
      <w:r w:rsidRPr="00D21C13">
        <w:rPr>
          <w:rFonts w:ascii="Arial" w:hAnsi="Arial" w:cs="Arial"/>
          <w:sz w:val="20"/>
        </w:rPr>
        <w:t>create</w:t>
      </w:r>
      <w:r w:rsidRPr="00D21C13">
        <w:rPr>
          <w:rFonts w:ascii="Arial" w:hAnsi="Arial" w:cs="Arial"/>
          <w:spacing w:val="-4"/>
          <w:sz w:val="20"/>
        </w:rPr>
        <w:t xml:space="preserve"> </w:t>
      </w:r>
      <w:r w:rsidRPr="00D21C13">
        <w:rPr>
          <w:rFonts w:ascii="Arial" w:hAnsi="Arial" w:cs="Arial"/>
          <w:sz w:val="20"/>
        </w:rPr>
        <w:t>any</w:t>
      </w:r>
      <w:r w:rsidRPr="00D21C13">
        <w:rPr>
          <w:rFonts w:ascii="Arial" w:hAnsi="Arial" w:cs="Arial"/>
          <w:spacing w:val="-47"/>
          <w:sz w:val="20"/>
        </w:rPr>
        <w:t xml:space="preserve"> </w:t>
      </w:r>
      <w:r w:rsidRPr="00D21C13">
        <w:rPr>
          <w:rFonts w:ascii="Arial" w:hAnsi="Arial" w:cs="Arial"/>
          <w:sz w:val="20"/>
        </w:rPr>
        <w:t>portion</w:t>
      </w:r>
      <w:r w:rsidRPr="00D21C13">
        <w:rPr>
          <w:rFonts w:ascii="Arial" w:hAnsi="Arial" w:cs="Arial"/>
          <w:spacing w:val="-4"/>
          <w:sz w:val="20"/>
        </w:rPr>
        <w:t xml:space="preserve"> </w:t>
      </w:r>
      <w:r w:rsidRPr="00D21C13">
        <w:rPr>
          <w:rFonts w:ascii="Arial" w:hAnsi="Arial" w:cs="Arial"/>
          <w:sz w:val="20"/>
        </w:rPr>
        <w:t>of</w:t>
      </w:r>
      <w:r w:rsidRPr="00D21C13">
        <w:rPr>
          <w:rFonts w:ascii="Arial" w:hAnsi="Arial" w:cs="Arial"/>
          <w:spacing w:val="-3"/>
          <w:sz w:val="20"/>
        </w:rPr>
        <w:t xml:space="preserve"> </w:t>
      </w:r>
      <w:r w:rsidRPr="00D21C13">
        <w:rPr>
          <w:rFonts w:ascii="Arial" w:hAnsi="Arial" w:cs="Arial"/>
          <w:sz w:val="20"/>
        </w:rPr>
        <w:t>lift;</w:t>
      </w:r>
    </w:p>
    <w:p w14:paraId="7F422E92" w14:textId="01F94756" w:rsidR="00D21C13" w:rsidRPr="00D21C13" w:rsidRDefault="00D21C13" w:rsidP="0090411E">
      <w:pPr>
        <w:spacing w:before="120" w:line="276" w:lineRule="auto"/>
        <w:ind w:left="706" w:right="95" w:hanging="567"/>
        <w:jc w:val="both"/>
        <w:rPr>
          <w:rFonts w:ascii="Arial" w:hAnsi="Arial" w:cs="Arial"/>
          <w:sz w:val="20"/>
        </w:rPr>
      </w:pPr>
      <w:r w:rsidRPr="00D21C13">
        <w:rPr>
          <w:rFonts w:ascii="Arial" w:hAnsi="Arial" w:cs="Arial"/>
          <w:sz w:val="20"/>
        </w:rPr>
        <w:t>(7a)</w:t>
      </w:r>
      <w:r w:rsidRPr="00D21C13">
        <w:rPr>
          <w:rFonts w:ascii="Arial" w:hAnsi="Arial" w:cs="Arial"/>
          <w:spacing w:val="1"/>
          <w:sz w:val="20"/>
        </w:rPr>
        <w:t xml:space="preserve"> </w:t>
      </w:r>
      <w:r w:rsidR="004B6E95">
        <w:rPr>
          <w:rFonts w:ascii="Arial" w:hAnsi="Arial" w:cs="Arial"/>
          <w:spacing w:val="1"/>
          <w:sz w:val="20"/>
        </w:rPr>
        <w:t xml:space="preserve">  </w:t>
      </w:r>
      <w:r w:rsidRPr="003F3508">
        <w:rPr>
          <w:rFonts w:ascii="Arial" w:hAnsi="Arial" w:cs="Arial"/>
          <w:b/>
          <w:sz w:val="20"/>
        </w:rPr>
        <w:t xml:space="preserve">“commercial operation” </w:t>
      </w:r>
      <w:r w:rsidRPr="00D21C13">
        <w:rPr>
          <w:rFonts w:ascii="Arial" w:hAnsi="Arial" w:cs="Arial"/>
          <w:sz w:val="20"/>
        </w:rPr>
        <w:t>means any operation of a balloon, in return for remuneration or other</w:t>
      </w:r>
      <w:r w:rsidRPr="00D21C13">
        <w:rPr>
          <w:rFonts w:ascii="Arial" w:hAnsi="Arial" w:cs="Arial"/>
          <w:spacing w:val="-47"/>
          <w:sz w:val="20"/>
        </w:rPr>
        <w:t xml:space="preserve"> </w:t>
      </w:r>
      <w:r w:rsidRPr="00D21C13">
        <w:rPr>
          <w:rFonts w:ascii="Arial" w:hAnsi="Arial" w:cs="Arial"/>
          <w:sz w:val="20"/>
        </w:rPr>
        <w:t>valuable consideration, which is available for the public or, when not made available to the</w:t>
      </w:r>
      <w:r w:rsidRPr="00D21C13">
        <w:rPr>
          <w:rFonts w:ascii="Arial" w:hAnsi="Arial" w:cs="Arial"/>
          <w:spacing w:val="1"/>
          <w:sz w:val="20"/>
        </w:rPr>
        <w:t xml:space="preserve"> </w:t>
      </w:r>
      <w:r w:rsidRPr="00D21C13">
        <w:rPr>
          <w:rFonts w:ascii="Arial" w:hAnsi="Arial" w:cs="Arial"/>
          <w:sz w:val="20"/>
        </w:rPr>
        <w:t>public, is performed under a contract between an operator and a customer, where the latter</w:t>
      </w:r>
      <w:r w:rsidRPr="00D21C13">
        <w:rPr>
          <w:rFonts w:ascii="Arial" w:hAnsi="Arial" w:cs="Arial"/>
          <w:spacing w:val="1"/>
          <w:sz w:val="20"/>
        </w:rPr>
        <w:t xml:space="preserve"> </w:t>
      </w:r>
      <w:r w:rsidRPr="00D21C13">
        <w:rPr>
          <w:rFonts w:ascii="Arial" w:hAnsi="Arial" w:cs="Arial"/>
          <w:sz w:val="20"/>
        </w:rPr>
        <w:t>has</w:t>
      </w:r>
      <w:r w:rsidRPr="00D21C13">
        <w:rPr>
          <w:rFonts w:ascii="Arial" w:hAnsi="Arial" w:cs="Arial"/>
          <w:spacing w:val="-1"/>
          <w:sz w:val="20"/>
        </w:rPr>
        <w:t xml:space="preserve"> </w:t>
      </w:r>
      <w:r w:rsidRPr="00D21C13">
        <w:rPr>
          <w:rFonts w:ascii="Arial" w:hAnsi="Arial" w:cs="Arial"/>
          <w:sz w:val="20"/>
        </w:rPr>
        <w:t>no control</w:t>
      </w:r>
      <w:r w:rsidRPr="00D21C13">
        <w:rPr>
          <w:rFonts w:ascii="Arial" w:hAnsi="Arial" w:cs="Arial"/>
          <w:spacing w:val="-2"/>
          <w:sz w:val="20"/>
        </w:rPr>
        <w:t xml:space="preserve"> </w:t>
      </w:r>
      <w:r w:rsidRPr="00D21C13">
        <w:rPr>
          <w:rFonts w:ascii="Arial" w:hAnsi="Arial" w:cs="Arial"/>
          <w:sz w:val="20"/>
        </w:rPr>
        <w:t>over the</w:t>
      </w:r>
      <w:r w:rsidRPr="00D21C13">
        <w:rPr>
          <w:rFonts w:ascii="Arial" w:hAnsi="Arial" w:cs="Arial"/>
          <w:spacing w:val="1"/>
          <w:sz w:val="20"/>
        </w:rPr>
        <w:t xml:space="preserve"> </w:t>
      </w:r>
      <w:r w:rsidRPr="00D21C13">
        <w:rPr>
          <w:rFonts w:ascii="Arial" w:hAnsi="Arial" w:cs="Arial"/>
          <w:sz w:val="20"/>
        </w:rPr>
        <w:t>operator;</w:t>
      </w:r>
    </w:p>
    <w:p w14:paraId="29019512" w14:textId="77777777" w:rsidR="00D21C13" w:rsidRPr="00D21C13" w:rsidRDefault="00D21C13" w:rsidP="0090411E">
      <w:pPr>
        <w:numPr>
          <w:ilvl w:val="0"/>
          <w:numId w:val="3"/>
        </w:numPr>
        <w:tabs>
          <w:tab w:val="left" w:pos="707"/>
        </w:tabs>
        <w:spacing w:before="121" w:line="276" w:lineRule="auto"/>
        <w:ind w:right="95"/>
        <w:jc w:val="both"/>
        <w:rPr>
          <w:rFonts w:ascii="Arial" w:hAnsi="Arial" w:cs="Arial"/>
          <w:sz w:val="20"/>
        </w:rPr>
      </w:pPr>
      <w:r w:rsidRPr="003F3508">
        <w:rPr>
          <w:rFonts w:ascii="Arial" w:hAnsi="Arial" w:cs="Arial"/>
          <w:b/>
          <w:sz w:val="20"/>
        </w:rPr>
        <w:t>‘competition flight’</w:t>
      </w:r>
      <w:r w:rsidRPr="00D21C13">
        <w:rPr>
          <w:rFonts w:ascii="Arial" w:hAnsi="Arial" w:cs="Arial"/>
          <w:sz w:val="20"/>
        </w:rPr>
        <w:t xml:space="preserve"> means any air operation with a balloon performed for the purposes of</w:t>
      </w:r>
      <w:r w:rsidRPr="00D21C13">
        <w:rPr>
          <w:rFonts w:ascii="Arial" w:hAnsi="Arial" w:cs="Arial"/>
          <w:spacing w:val="1"/>
          <w:sz w:val="20"/>
        </w:rPr>
        <w:t xml:space="preserve"> </w:t>
      </w:r>
      <w:r w:rsidRPr="00D21C13">
        <w:rPr>
          <w:rFonts w:ascii="Arial" w:hAnsi="Arial" w:cs="Arial"/>
          <w:sz w:val="20"/>
        </w:rPr>
        <w:t>participating</w:t>
      </w:r>
      <w:r w:rsidRPr="00D21C13">
        <w:rPr>
          <w:rFonts w:ascii="Arial" w:hAnsi="Arial" w:cs="Arial"/>
          <w:spacing w:val="-6"/>
          <w:sz w:val="20"/>
        </w:rPr>
        <w:t xml:space="preserve"> </w:t>
      </w:r>
      <w:r w:rsidRPr="00D21C13">
        <w:rPr>
          <w:rFonts w:ascii="Arial" w:hAnsi="Arial" w:cs="Arial"/>
          <w:sz w:val="20"/>
        </w:rPr>
        <w:t>in</w:t>
      </w:r>
      <w:r w:rsidRPr="00D21C13">
        <w:rPr>
          <w:rFonts w:ascii="Arial" w:hAnsi="Arial" w:cs="Arial"/>
          <w:spacing w:val="-8"/>
          <w:sz w:val="20"/>
        </w:rPr>
        <w:t xml:space="preserve"> </w:t>
      </w:r>
      <w:r w:rsidRPr="00D21C13">
        <w:rPr>
          <w:rFonts w:ascii="Arial" w:hAnsi="Arial" w:cs="Arial"/>
          <w:sz w:val="20"/>
        </w:rPr>
        <w:t>air</w:t>
      </w:r>
      <w:r w:rsidRPr="00D21C13">
        <w:rPr>
          <w:rFonts w:ascii="Arial" w:hAnsi="Arial" w:cs="Arial"/>
          <w:spacing w:val="-6"/>
          <w:sz w:val="20"/>
        </w:rPr>
        <w:t xml:space="preserve"> </w:t>
      </w:r>
      <w:r w:rsidRPr="00D21C13">
        <w:rPr>
          <w:rFonts w:ascii="Arial" w:hAnsi="Arial" w:cs="Arial"/>
          <w:sz w:val="20"/>
        </w:rPr>
        <w:t>races</w:t>
      </w:r>
      <w:r w:rsidRPr="00D21C13">
        <w:rPr>
          <w:rFonts w:ascii="Arial" w:hAnsi="Arial" w:cs="Arial"/>
          <w:spacing w:val="-9"/>
          <w:sz w:val="20"/>
        </w:rPr>
        <w:t xml:space="preserve"> </w:t>
      </w:r>
      <w:r w:rsidRPr="00D21C13">
        <w:rPr>
          <w:rFonts w:ascii="Arial" w:hAnsi="Arial" w:cs="Arial"/>
          <w:sz w:val="20"/>
        </w:rPr>
        <w:t>or</w:t>
      </w:r>
      <w:r w:rsidRPr="00D21C13">
        <w:rPr>
          <w:rFonts w:ascii="Arial" w:hAnsi="Arial" w:cs="Arial"/>
          <w:spacing w:val="-8"/>
          <w:sz w:val="20"/>
        </w:rPr>
        <w:t xml:space="preserve"> </w:t>
      </w:r>
      <w:r w:rsidRPr="00D21C13">
        <w:rPr>
          <w:rFonts w:ascii="Arial" w:hAnsi="Arial" w:cs="Arial"/>
          <w:sz w:val="20"/>
        </w:rPr>
        <w:t>contests,</w:t>
      </w:r>
      <w:r w:rsidRPr="00D21C13">
        <w:rPr>
          <w:rFonts w:ascii="Arial" w:hAnsi="Arial" w:cs="Arial"/>
          <w:spacing w:val="-6"/>
          <w:sz w:val="20"/>
        </w:rPr>
        <w:t xml:space="preserve"> </w:t>
      </w:r>
      <w:r w:rsidRPr="00D21C13">
        <w:rPr>
          <w:rFonts w:ascii="Arial" w:hAnsi="Arial" w:cs="Arial"/>
          <w:sz w:val="20"/>
        </w:rPr>
        <w:t>including</w:t>
      </w:r>
      <w:r w:rsidRPr="00D21C13">
        <w:rPr>
          <w:rFonts w:ascii="Arial" w:hAnsi="Arial" w:cs="Arial"/>
          <w:spacing w:val="-6"/>
          <w:sz w:val="20"/>
        </w:rPr>
        <w:t xml:space="preserve"> </w:t>
      </w:r>
      <w:r w:rsidRPr="00D21C13">
        <w:rPr>
          <w:rFonts w:ascii="Arial" w:hAnsi="Arial" w:cs="Arial"/>
          <w:sz w:val="20"/>
        </w:rPr>
        <w:t>practising</w:t>
      </w:r>
      <w:r w:rsidRPr="00D21C13">
        <w:rPr>
          <w:rFonts w:ascii="Arial" w:hAnsi="Arial" w:cs="Arial"/>
          <w:spacing w:val="-5"/>
          <w:sz w:val="20"/>
        </w:rPr>
        <w:t xml:space="preserve"> </w:t>
      </w:r>
      <w:r w:rsidRPr="00D21C13">
        <w:rPr>
          <w:rFonts w:ascii="Arial" w:hAnsi="Arial" w:cs="Arial"/>
          <w:sz w:val="20"/>
        </w:rPr>
        <w:t>for</w:t>
      </w:r>
      <w:r w:rsidRPr="00D21C13">
        <w:rPr>
          <w:rFonts w:ascii="Arial" w:hAnsi="Arial" w:cs="Arial"/>
          <w:spacing w:val="-8"/>
          <w:sz w:val="20"/>
        </w:rPr>
        <w:t xml:space="preserve"> </w:t>
      </w:r>
      <w:r w:rsidRPr="00D21C13">
        <w:rPr>
          <w:rFonts w:ascii="Arial" w:hAnsi="Arial" w:cs="Arial"/>
          <w:sz w:val="20"/>
        </w:rPr>
        <w:t>such</w:t>
      </w:r>
      <w:r w:rsidRPr="00D21C13">
        <w:rPr>
          <w:rFonts w:ascii="Arial" w:hAnsi="Arial" w:cs="Arial"/>
          <w:spacing w:val="-8"/>
          <w:sz w:val="20"/>
        </w:rPr>
        <w:t xml:space="preserve"> </w:t>
      </w:r>
      <w:r w:rsidRPr="00D21C13">
        <w:rPr>
          <w:rFonts w:ascii="Arial" w:hAnsi="Arial" w:cs="Arial"/>
          <w:sz w:val="20"/>
        </w:rPr>
        <w:t>an</w:t>
      </w:r>
      <w:r w:rsidRPr="00D21C13">
        <w:rPr>
          <w:rFonts w:ascii="Arial" w:hAnsi="Arial" w:cs="Arial"/>
          <w:spacing w:val="-9"/>
          <w:sz w:val="20"/>
        </w:rPr>
        <w:t xml:space="preserve"> </w:t>
      </w:r>
      <w:r w:rsidRPr="00D21C13">
        <w:rPr>
          <w:rFonts w:ascii="Arial" w:hAnsi="Arial" w:cs="Arial"/>
          <w:sz w:val="20"/>
        </w:rPr>
        <w:t>operation</w:t>
      </w:r>
      <w:r w:rsidRPr="00D21C13">
        <w:rPr>
          <w:rFonts w:ascii="Arial" w:hAnsi="Arial" w:cs="Arial"/>
          <w:spacing w:val="-8"/>
          <w:sz w:val="20"/>
        </w:rPr>
        <w:t xml:space="preserve"> </w:t>
      </w:r>
      <w:r w:rsidRPr="00D21C13">
        <w:rPr>
          <w:rFonts w:ascii="Arial" w:hAnsi="Arial" w:cs="Arial"/>
          <w:sz w:val="20"/>
        </w:rPr>
        <w:t>and</w:t>
      </w:r>
      <w:r w:rsidRPr="00D21C13">
        <w:rPr>
          <w:rFonts w:ascii="Arial" w:hAnsi="Arial" w:cs="Arial"/>
          <w:spacing w:val="-6"/>
          <w:sz w:val="20"/>
        </w:rPr>
        <w:t xml:space="preserve"> </w:t>
      </w:r>
      <w:r w:rsidRPr="00D21C13">
        <w:rPr>
          <w:rFonts w:ascii="Arial" w:hAnsi="Arial" w:cs="Arial"/>
          <w:sz w:val="20"/>
        </w:rPr>
        <w:t>flying</w:t>
      </w:r>
      <w:r w:rsidRPr="00D21C13">
        <w:rPr>
          <w:rFonts w:ascii="Arial" w:hAnsi="Arial" w:cs="Arial"/>
          <w:spacing w:val="-8"/>
          <w:sz w:val="20"/>
        </w:rPr>
        <w:t xml:space="preserve"> </w:t>
      </w:r>
      <w:r w:rsidRPr="00D21C13">
        <w:rPr>
          <w:rFonts w:ascii="Arial" w:hAnsi="Arial" w:cs="Arial"/>
          <w:sz w:val="20"/>
        </w:rPr>
        <w:t>to</w:t>
      </w:r>
      <w:r w:rsidRPr="00D21C13">
        <w:rPr>
          <w:rFonts w:ascii="Arial" w:hAnsi="Arial" w:cs="Arial"/>
          <w:spacing w:val="-6"/>
          <w:sz w:val="20"/>
        </w:rPr>
        <w:t xml:space="preserve"> </w:t>
      </w:r>
      <w:r w:rsidRPr="00D21C13">
        <w:rPr>
          <w:rFonts w:ascii="Arial" w:hAnsi="Arial" w:cs="Arial"/>
          <w:sz w:val="20"/>
        </w:rPr>
        <w:t>and</w:t>
      </w:r>
      <w:r w:rsidRPr="00D21C13">
        <w:rPr>
          <w:rFonts w:ascii="Arial" w:hAnsi="Arial" w:cs="Arial"/>
          <w:spacing w:val="-47"/>
          <w:sz w:val="20"/>
        </w:rPr>
        <w:t xml:space="preserve"> </w:t>
      </w:r>
      <w:r w:rsidRPr="00D21C13">
        <w:rPr>
          <w:rFonts w:ascii="Arial" w:hAnsi="Arial" w:cs="Arial"/>
          <w:sz w:val="20"/>
        </w:rPr>
        <w:t>from</w:t>
      </w:r>
      <w:r w:rsidRPr="00D21C13">
        <w:rPr>
          <w:rFonts w:ascii="Arial" w:hAnsi="Arial" w:cs="Arial"/>
          <w:spacing w:val="-2"/>
          <w:sz w:val="20"/>
        </w:rPr>
        <w:t xml:space="preserve"> </w:t>
      </w:r>
      <w:r w:rsidRPr="00D21C13">
        <w:rPr>
          <w:rFonts w:ascii="Arial" w:hAnsi="Arial" w:cs="Arial"/>
          <w:sz w:val="20"/>
        </w:rPr>
        <w:t>air</w:t>
      </w:r>
      <w:r w:rsidRPr="00D21C13">
        <w:rPr>
          <w:rFonts w:ascii="Arial" w:hAnsi="Arial" w:cs="Arial"/>
          <w:spacing w:val="-1"/>
          <w:sz w:val="20"/>
        </w:rPr>
        <w:t xml:space="preserve"> </w:t>
      </w:r>
      <w:r w:rsidRPr="00D21C13">
        <w:rPr>
          <w:rFonts w:ascii="Arial" w:hAnsi="Arial" w:cs="Arial"/>
          <w:sz w:val="20"/>
        </w:rPr>
        <w:t>races</w:t>
      </w:r>
      <w:r w:rsidRPr="00D21C13">
        <w:rPr>
          <w:rFonts w:ascii="Arial" w:hAnsi="Arial" w:cs="Arial"/>
          <w:spacing w:val="-1"/>
          <w:sz w:val="20"/>
        </w:rPr>
        <w:t xml:space="preserve"> </w:t>
      </w:r>
      <w:r w:rsidRPr="00D21C13">
        <w:rPr>
          <w:rFonts w:ascii="Arial" w:hAnsi="Arial" w:cs="Arial"/>
          <w:sz w:val="20"/>
        </w:rPr>
        <w:t>or</w:t>
      </w:r>
      <w:r w:rsidRPr="00D21C13">
        <w:rPr>
          <w:rFonts w:ascii="Arial" w:hAnsi="Arial" w:cs="Arial"/>
          <w:spacing w:val="-2"/>
          <w:sz w:val="20"/>
        </w:rPr>
        <w:t xml:space="preserve"> </w:t>
      </w:r>
      <w:r w:rsidRPr="00D21C13">
        <w:rPr>
          <w:rFonts w:ascii="Arial" w:hAnsi="Arial" w:cs="Arial"/>
          <w:sz w:val="20"/>
        </w:rPr>
        <w:t>contests;</w:t>
      </w:r>
    </w:p>
    <w:p w14:paraId="3CC09B19" w14:textId="77777777" w:rsidR="00D21C13" w:rsidRPr="00D21C13" w:rsidRDefault="00D21C13" w:rsidP="009601C2">
      <w:pPr>
        <w:numPr>
          <w:ilvl w:val="0"/>
          <w:numId w:val="3"/>
        </w:numPr>
        <w:tabs>
          <w:tab w:val="left" w:pos="707"/>
        </w:tabs>
        <w:spacing w:before="119" w:line="276" w:lineRule="auto"/>
        <w:ind w:right="194"/>
        <w:jc w:val="both"/>
        <w:rPr>
          <w:rFonts w:ascii="Arial" w:hAnsi="Arial" w:cs="Arial"/>
          <w:sz w:val="20"/>
        </w:rPr>
      </w:pPr>
      <w:r w:rsidRPr="003F3508">
        <w:rPr>
          <w:rFonts w:ascii="Arial" w:hAnsi="Arial" w:cs="Arial"/>
          <w:b/>
          <w:sz w:val="20"/>
        </w:rPr>
        <w:t>‘flying</w:t>
      </w:r>
      <w:r w:rsidRPr="003F3508">
        <w:rPr>
          <w:rFonts w:ascii="Arial" w:hAnsi="Arial" w:cs="Arial"/>
          <w:b/>
          <w:spacing w:val="-4"/>
          <w:sz w:val="20"/>
        </w:rPr>
        <w:t xml:space="preserve"> </w:t>
      </w:r>
      <w:r w:rsidRPr="003F3508">
        <w:rPr>
          <w:rFonts w:ascii="Arial" w:hAnsi="Arial" w:cs="Arial"/>
          <w:b/>
          <w:sz w:val="20"/>
        </w:rPr>
        <w:t>display’</w:t>
      </w:r>
      <w:r w:rsidRPr="00D21C13">
        <w:rPr>
          <w:rFonts w:ascii="Arial" w:hAnsi="Arial" w:cs="Arial"/>
          <w:spacing w:val="-2"/>
          <w:sz w:val="20"/>
        </w:rPr>
        <w:t xml:space="preserve"> </w:t>
      </w:r>
      <w:r w:rsidRPr="00D21C13">
        <w:rPr>
          <w:rFonts w:ascii="Arial" w:hAnsi="Arial" w:cs="Arial"/>
          <w:sz w:val="20"/>
        </w:rPr>
        <w:t>means</w:t>
      </w:r>
      <w:r w:rsidRPr="00D21C13">
        <w:rPr>
          <w:rFonts w:ascii="Arial" w:hAnsi="Arial" w:cs="Arial"/>
          <w:spacing w:val="-2"/>
          <w:sz w:val="20"/>
        </w:rPr>
        <w:t xml:space="preserve"> </w:t>
      </w:r>
      <w:r w:rsidRPr="00D21C13">
        <w:rPr>
          <w:rFonts w:ascii="Arial" w:hAnsi="Arial" w:cs="Arial"/>
          <w:sz w:val="20"/>
        </w:rPr>
        <w:t>any</w:t>
      </w:r>
      <w:r w:rsidRPr="00D21C13">
        <w:rPr>
          <w:rFonts w:ascii="Arial" w:hAnsi="Arial" w:cs="Arial"/>
          <w:spacing w:val="-2"/>
          <w:sz w:val="20"/>
        </w:rPr>
        <w:t xml:space="preserve"> </w:t>
      </w:r>
      <w:r w:rsidRPr="00D21C13">
        <w:rPr>
          <w:rFonts w:ascii="Arial" w:hAnsi="Arial" w:cs="Arial"/>
          <w:sz w:val="20"/>
        </w:rPr>
        <w:t>air</w:t>
      </w:r>
      <w:r w:rsidRPr="00D21C13">
        <w:rPr>
          <w:rFonts w:ascii="Arial" w:hAnsi="Arial" w:cs="Arial"/>
          <w:spacing w:val="-3"/>
          <w:sz w:val="20"/>
        </w:rPr>
        <w:t xml:space="preserve"> </w:t>
      </w:r>
      <w:r w:rsidRPr="00D21C13">
        <w:rPr>
          <w:rFonts w:ascii="Arial" w:hAnsi="Arial" w:cs="Arial"/>
          <w:sz w:val="20"/>
        </w:rPr>
        <w:t>operation</w:t>
      </w:r>
      <w:r w:rsidRPr="00D21C13">
        <w:rPr>
          <w:rFonts w:ascii="Arial" w:hAnsi="Arial" w:cs="Arial"/>
          <w:spacing w:val="-3"/>
          <w:sz w:val="20"/>
        </w:rPr>
        <w:t xml:space="preserve"> </w:t>
      </w:r>
      <w:r w:rsidRPr="00D21C13">
        <w:rPr>
          <w:rFonts w:ascii="Arial" w:hAnsi="Arial" w:cs="Arial"/>
          <w:sz w:val="20"/>
        </w:rPr>
        <w:t>with</w:t>
      </w:r>
      <w:r w:rsidRPr="00D21C13">
        <w:rPr>
          <w:rFonts w:ascii="Arial" w:hAnsi="Arial" w:cs="Arial"/>
          <w:spacing w:val="-2"/>
          <w:sz w:val="20"/>
        </w:rPr>
        <w:t xml:space="preserve"> </w:t>
      </w:r>
      <w:r w:rsidRPr="00D21C13">
        <w:rPr>
          <w:rFonts w:ascii="Arial" w:hAnsi="Arial" w:cs="Arial"/>
          <w:sz w:val="20"/>
        </w:rPr>
        <w:t>a</w:t>
      </w:r>
      <w:r w:rsidRPr="00D21C13">
        <w:rPr>
          <w:rFonts w:ascii="Arial" w:hAnsi="Arial" w:cs="Arial"/>
          <w:spacing w:val="-2"/>
          <w:sz w:val="20"/>
        </w:rPr>
        <w:t xml:space="preserve"> </w:t>
      </w:r>
      <w:r w:rsidRPr="00D21C13">
        <w:rPr>
          <w:rFonts w:ascii="Arial" w:hAnsi="Arial" w:cs="Arial"/>
          <w:sz w:val="20"/>
        </w:rPr>
        <w:t>balloon</w:t>
      </w:r>
      <w:r w:rsidRPr="00D21C13">
        <w:rPr>
          <w:rFonts w:ascii="Arial" w:hAnsi="Arial" w:cs="Arial"/>
          <w:spacing w:val="-6"/>
          <w:sz w:val="20"/>
        </w:rPr>
        <w:t xml:space="preserve"> </w:t>
      </w:r>
      <w:r w:rsidRPr="00D21C13">
        <w:rPr>
          <w:rFonts w:ascii="Arial" w:hAnsi="Arial" w:cs="Arial"/>
          <w:sz w:val="20"/>
        </w:rPr>
        <w:t>performed</w:t>
      </w:r>
      <w:r w:rsidRPr="00D21C13">
        <w:rPr>
          <w:rFonts w:ascii="Arial" w:hAnsi="Arial" w:cs="Arial"/>
          <w:spacing w:val="-2"/>
          <w:sz w:val="20"/>
        </w:rPr>
        <w:t xml:space="preserve"> </w:t>
      </w:r>
      <w:r w:rsidRPr="00D21C13">
        <w:rPr>
          <w:rFonts w:ascii="Arial" w:hAnsi="Arial" w:cs="Arial"/>
          <w:sz w:val="20"/>
        </w:rPr>
        <w:t>for</w:t>
      </w:r>
      <w:r w:rsidRPr="00D21C13">
        <w:rPr>
          <w:rFonts w:ascii="Arial" w:hAnsi="Arial" w:cs="Arial"/>
          <w:spacing w:val="-2"/>
          <w:sz w:val="20"/>
        </w:rPr>
        <w:t xml:space="preserve"> </w:t>
      </w:r>
      <w:r w:rsidRPr="00D21C13">
        <w:rPr>
          <w:rFonts w:ascii="Arial" w:hAnsi="Arial" w:cs="Arial"/>
          <w:sz w:val="20"/>
        </w:rPr>
        <w:t>the</w:t>
      </w:r>
      <w:r w:rsidRPr="00D21C13">
        <w:rPr>
          <w:rFonts w:ascii="Arial" w:hAnsi="Arial" w:cs="Arial"/>
          <w:spacing w:val="-2"/>
          <w:sz w:val="20"/>
        </w:rPr>
        <w:t xml:space="preserve"> </w:t>
      </w:r>
      <w:r w:rsidRPr="00D21C13">
        <w:rPr>
          <w:rFonts w:ascii="Arial" w:hAnsi="Arial" w:cs="Arial"/>
          <w:sz w:val="20"/>
        </w:rPr>
        <w:t>purposes</w:t>
      </w:r>
      <w:r w:rsidRPr="00D21C13">
        <w:rPr>
          <w:rFonts w:ascii="Arial" w:hAnsi="Arial" w:cs="Arial"/>
          <w:spacing w:val="-2"/>
          <w:sz w:val="20"/>
        </w:rPr>
        <w:t xml:space="preserve"> </w:t>
      </w:r>
      <w:r w:rsidRPr="00D21C13">
        <w:rPr>
          <w:rFonts w:ascii="Arial" w:hAnsi="Arial" w:cs="Arial"/>
          <w:sz w:val="20"/>
        </w:rPr>
        <w:t>of</w:t>
      </w:r>
      <w:r w:rsidRPr="00D21C13">
        <w:rPr>
          <w:rFonts w:ascii="Arial" w:hAnsi="Arial" w:cs="Arial"/>
          <w:spacing w:val="-2"/>
          <w:sz w:val="20"/>
        </w:rPr>
        <w:t xml:space="preserve"> </w:t>
      </w:r>
      <w:r w:rsidRPr="00D21C13">
        <w:rPr>
          <w:rFonts w:ascii="Arial" w:hAnsi="Arial" w:cs="Arial"/>
          <w:sz w:val="20"/>
        </w:rPr>
        <w:t>providing</w:t>
      </w:r>
      <w:r w:rsidRPr="00D21C13">
        <w:rPr>
          <w:rFonts w:ascii="Arial" w:hAnsi="Arial" w:cs="Arial"/>
          <w:spacing w:val="-47"/>
          <w:sz w:val="20"/>
        </w:rPr>
        <w:t xml:space="preserve"> </w:t>
      </w:r>
      <w:r w:rsidRPr="00D21C13">
        <w:rPr>
          <w:rFonts w:ascii="Arial" w:hAnsi="Arial" w:cs="Arial"/>
          <w:sz w:val="20"/>
        </w:rPr>
        <w:t>an exhibition or entertainment at an advertised event open to the public, including practising</w:t>
      </w:r>
      <w:r w:rsidRPr="00D21C13">
        <w:rPr>
          <w:rFonts w:ascii="Arial" w:hAnsi="Arial" w:cs="Arial"/>
          <w:spacing w:val="1"/>
          <w:sz w:val="20"/>
        </w:rPr>
        <w:t xml:space="preserve"> </w:t>
      </w:r>
      <w:r w:rsidRPr="00D21C13">
        <w:rPr>
          <w:rFonts w:ascii="Arial" w:hAnsi="Arial" w:cs="Arial"/>
          <w:sz w:val="20"/>
        </w:rPr>
        <w:t>for</w:t>
      </w:r>
      <w:r w:rsidRPr="00D21C13">
        <w:rPr>
          <w:rFonts w:ascii="Arial" w:hAnsi="Arial" w:cs="Arial"/>
          <w:spacing w:val="-1"/>
          <w:sz w:val="20"/>
        </w:rPr>
        <w:t xml:space="preserve"> </w:t>
      </w:r>
      <w:r w:rsidRPr="00D21C13">
        <w:rPr>
          <w:rFonts w:ascii="Arial" w:hAnsi="Arial" w:cs="Arial"/>
          <w:sz w:val="20"/>
        </w:rPr>
        <w:t>such</w:t>
      </w:r>
      <w:r w:rsidRPr="00D21C13">
        <w:rPr>
          <w:rFonts w:ascii="Arial" w:hAnsi="Arial" w:cs="Arial"/>
          <w:spacing w:val="-1"/>
          <w:sz w:val="20"/>
        </w:rPr>
        <w:t xml:space="preserve"> </w:t>
      </w:r>
      <w:r w:rsidRPr="00D21C13">
        <w:rPr>
          <w:rFonts w:ascii="Arial" w:hAnsi="Arial" w:cs="Arial"/>
          <w:sz w:val="20"/>
        </w:rPr>
        <w:t>an</w:t>
      </w:r>
      <w:r w:rsidRPr="00D21C13">
        <w:rPr>
          <w:rFonts w:ascii="Arial" w:hAnsi="Arial" w:cs="Arial"/>
          <w:spacing w:val="-3"/>
          <w:sz w:val="20"/>
        </w:rPr>
        <w:t xml:space="preserve"> </w:t>
      </w:r>
      <w:r w:rsidRPr="00D21C13">
        <w:rPr>
          <w:rFonts w:ascii="Arial" w:hAnsi="Arial" w:cs="Arial"/>
          <w:sz w:val="20"/>
        </w:rPr>
        <w:t>operation</w:t>
      </w:r>
      <w:r w:rsidRPr="00D21C13">
        <w:rPr>
          <w:rFonts w:ascii="Arial" w:hAnsi="Arial" w:cs="Arial"/>
          <w:spacing w:val="-4"/>
          <w:sz w:val="20"/>
        </w:rPr>
        <w:t xml:space="preserve"> </w:t>
      </w:r>
      <w:r w:rsidRPr="00D21C13">
        <w:rPr>
          <w:rFonts w:ascii="Arial" w:hAnsi="Arial" w:cs="Arial"/>
          <w:sz w:val="20"/>
        </w:rPr>
        <w:t>and</w:t>
      </w:r>
      <w:r w:rsidRPr="00D21C13">
        <w:rPr>
          <w:rFonts w:ascii="Arial" w:hAnsi="Arial" w:cs="Arial"/>
          <w:spacing w:val="-1"/>
          <w:sz w:val="20"/>
        </w:rPr>
        <w:t xml:space="preserve"> </w:t>
      </w:r>
      <w:r w:rsidRPr="00D21C13">
        <w:rPr>
          <w:rFonts w:ascii="Arial" w:hAnsi="Arial" w:cs="Arial"/>
          <w:sz w:val="20"/>
        </w:rPr>
        <w:t>flying to</w:t>
      </w:r>
      <w:r w:rsidRPr="00D21C13">
        <w:rPr>
          <w:rFonts w:ascii="Arial" w:hAnsi="Arial" w:cs="Arial"/>
          <w:spacing w:val="-1"/>
          <w:sz w:val="20"/>
        </w:rPr>
        <w:t xml:space="preserve"> </w:t>
      </w:r>
      <w:r w:rsidRPr="00D21C13">
        <w:rPr>
          <w:rFonts w:ascii="Arial" w:hAnsi="Arial" w:cs="Arial"/>
          <w:sz w:val="20"/>
        </w:rPr>
        <w:t>and</w:t>
      </w:r>
      <w:r w:rsidRPr="00D21C13">
        <w:rPr>
          <w:rFonts w:ascii="Arial" w:hAnsi="Arial" w:cs="Arial"/>
          <w:spacing w:val="-1"/>
          <w:sz w:val="20"/>
        </w:rPr>
        <w:t xml:space="preserve"> </w:t>
      </w:r>
      <w:r w:rsidRPr="00D21C13">
        <w:rPr>
          <w:rFonts w:ascii="Arial" w:hAnsi="Arial" w:cs="Arial"/>
          <w:sz w:val="20"/>
        </w:rPr>
        <w:t>from</w:t>
      </w:r>
      <w:r w:rsidRPr="00D21C13">
        <w:rPr>
          <w:rFonts w:ascii="Arial" w:hAnsi="Arial" w:cs="Arial"/>
          <w:spacing w:val="-1"/>
          <w:sz w:val="20"/>
        </w:rPr>
        <w:t xml:space="preserve"> </w:t>
      </w:r>
      <w:r w:rsidRPr="00D21C13">
        <w:rPr>
          <w:rFonts w:ascii="Arial" w:hAnsi="Arial" w:cs="Arial"/>
          <w:sz w:val="20"/>
        </w:rPr>
        <w:t>the</w:t>
      </w:r>
      <w:r w:rsidRPr="00D21C13">
        <w:rPr>
          <w:rFonts w:ascii="Arial" w:hAnsi="Arial" w:cs="Arial"/>
          <w:spacing w:val="-1"/>
          <w:sz w:val="20"/>
        </w:rPr>
        <w:t xml:space="preserve"> </w:t>
      </w:r>
      <w:r w:rsidRPr="00D21C13">
        <w:rPr>
          <w:rFonts w:ascii="Arial" w:hAnsi="Arial" w:cs="Arial"/>
          <w:sz w:val="20"/>
        </w:rPr>
        <w:t>advertised event;</w:t>
      </w:r>
    </w:p>
    <w:p w14:paraId="440AD377" w14:textId="2DC097A6" w:rsidR="00D21C13" w:rsidRPr="00D21C13" w:rsidRDefault="009900F6" w:rsidP="009601C2">
      <w:pPr>
        <w:numPr>
          <w:ilvl w:val="0"/>
          <w:numId w:val="3"/>
        </w:numPr>
        <w:tabs>
          <w:tab w:val="left" w:pos="707"/>
        </w:tabs>
        <w:spacing w:before="120" w:line="276" w:lineRule="auto"/>
        <w:ind w:right="192"/>
        <w:jc w:val="both"/>
        <w:rPr>
          <w:rFonts w:ascii="Arial" w:hAnsi="Arial" w:cs="Arial"/>
          <w:sz w:val="20"/>
        </w:rPr>
      </w:pPr>
      <w:r w:rsidRPr="003F3508">
        <w:rPr>
          <w:rFonts w:ascii="Arial" w:hAnsi="Arial" w:cs="Arial"/>
          <w:b/>
          <w:sz w:val="20"/>
        </w:rPr>
        <w:t>‘</w:t>
      </w:r>
      <w:r w:rsidR="00D21C13" w:rsidRPr="003F3508">
        <w:rPr>
          <w:rFonts w:ascii="Arial" w:hAnsi="Arial" w:cs="Arial"/>
          <w:b/>
          <w:sz w:val="20"/>
        </w:rPr>
        <w:t>introductory</w:t>
      </w:r>
      <w:r w:rsidR="00D21C13" w:rsidRPr="003F3508">
        <w:rPr>
          <w:rFonts w:ascii="Arial" w:hAnsi="Arial" w:cs="Arial"/>
          <w:b/>
          <w:spacing w:val="1"/>
          <w:sz w:val="20"/>
        </w:rPr>
        <w:t xml:space="preserve"> </w:t>
      </w:r>
      <w:r w:rsidR="00D21C13" w:rsidRPr="003F3508">
        <w:rPr>
          <w:rFonts w:ascii="Arial" w:hAnsi="Arial" w:cs="Arial"/>
          <w:b/>
          <w:sz w:val="20"/>
        </w:rPr>
        <w:t>flight</w:t>
      </w:r>
      <w:r w:rsidRPr="003F3508">
        <w:rPr>
          <w:rFonts w:ascii="Arial" w:hAnsi="Arial" w:cs="Arial"/>
          <w:b/>
          <w:sz w:val="20"/>
        </w:rPr>
        <w:t>’</w:t>
      </w:r>
      <w:r w:rsidR="00D21C13" w:rsidRPr="00D21C13">
        <w:rPr>
          <w:rFonts w:ascii="Arial" w:hAnsi="Arial" w:cs="Arial"/>
          <w:spacing w:val="1"/>
          <w:sz w:val="20"/>
        </w:rPr>
        <w:t xml:space="preserve"> </w:t>
      </w:r>
      <w:r w:rsidR="00D21C13" w:rsidRPr="00D21C13">
        <w:rPr>
          <w:rFonts w:ascii="Arial" w:hAnsi="Arial" w:cs="Arial"/>
          <w:sz w:val="20"/>
        </w:rPr>
        <w:t>means</w:t>
      </w:r>
      <w:r w:rsidR="00D21C13" w:rsidRPr="00D21C13">
        <w:rPr>
          <w:rFonts w:ascii="Arial" w:hAnsi="Arial" w:cs="Arial"/>
          <w:spacing w:val="1"/>
          <w:sz w:val="20"/>
        </w:rPr>
        <w:t xml:space="preserve"> </w:t>
      </w:r>
      <w:r w:rsidR="00D21C13" w:rsidRPr="00D21C13">
        <w:rPr>
          <w:rFonts w:ascii="Arial" w:hAnsi="Arial" w:cs="Arial"/>
          <w:sz w:val="20"/>
        </w:rPr>
        <w:t>any</w:t>
      </w:r>
      <w:r w:rsidR="00D21C13" w:rsidRPr="00D21C13">
        <w:rPr>
          <w:rFonts w:ascii="Arial" w:hAnsi="Arial" w:cs="Arial"/>
          <w:spacing w:val="1"/>
          <w:sz w:val="20"/>
        </w:rPr>
        <w:t xml:space="preserve"> </w:t>
      </w:r>
      <w:r w:rsidR="00D21C13" w:rsidRPr="00D21C13">
        <w:rPr>
          <w:rFonts w:ascii="Arial" w:hAnsi="Arial" w:cs="Arial"/>
          <w:sz w:val="20"/>
        </w:rPr>
        <w:t>air</w:t>
      </w:r>
      <w:r w:rsidR="00D21C13" w:rsidRPr="00D21C13">
        <w:rPr>
          <w:rFonts w:ascii="Arial" w:hAnsi="Arial" w:cs="Arial"/>
          <w:spacing w:val="1"/>
          <w:sz w:val="20"/>
        </w:rPr>
        <w:t xml:space="preserve"> </w:t>
      </w:r>
      <w:r w:rsidR="00D21C13" w:rsidRPr="00D21C13">
        <w:rPr>
          <w:rFonts w:ascii="Arial" w:hAnsi="Arial" w:cs="Arial"/>
          <w:sz w:val="20"/>
        </w:rPr>
        <w:t>operation,</w:t>
      </w:r>
      <w:r w:rsidR="00D21C13" w:rsidRPr="00D21C13">
        <w:rPr>
          <w:rFonts w:ascii="Arial" w:hAnsi="Arial" w:cs="Arial"/>
          <w:spacing w:val="1"/>
          <w:sz w:val="20"/>
        </w:rPr>
        <w:t xml:space="preserve"> </w:t>
      </w:r>
      <w:r w:rsidR="00D21C13" w:rsidRPr="00D21C13">
        <w:rPr>
          <w:rFonts w:ascii="Arial" w:hAnsi="Arial" w:cs="Arial"/>
          <w:sz w:val="20"/>
        </w:rPr>
        <w:t>against</w:t>
      </w:r>
      <w:r w:rsidR="00D21C13" w:rsidRPr="00D21C13">
        <w:rPr>
          <w:rFonts w:ascii="Arial" w:hAnsi="Arial" w:cs="Arial"/>
          <w:spacing w:val="1"/>
          <w:sz w:val="20"/>
        </w:rPr>
        <w:t xml:space="preserve"> </w:t>
      </w:r>
      <w:r w:rsidR="00D21C13" w:rsidRPr="00D21C13">
        <w:rPr>
          <w:rFonts w:ascii="Arial" w:hAnsi="Arial" w:cs="Arial"/>
          <w:sz w:val="20"/>
        </w:rPr>
        <w:t>remuneration</w:t>
      </w:r>
      <w:r w:rsidR="00D21C13" w:rsidRPr="00D21C13">
        <w:rPr>
          <w:rFonts w:ascii="Arial" w:hAnsi="Arial" w:cs="Arial"/>
          <w:spacing w:val="1"/>
          <w:sz w:val="20"/>
        </w:rPr>
        <w:t xml:space="preserve"> </w:t>
      </w:r>
      <w:r w:rsidR="00D21C13" w:rsidRPr="00D21C13">
        <w:rPr>
          <w:rFonts w:ascii="Arial" w:hAnsi="Arial" w:cs="Arial"/>
          <w:sz w:val="20"/>
        </w:rPr>
        <w:t>or</w:t>
      </w:r>
      <w:r w:rsidR="00D21C13" w:rsidRPr="00D21C13">
        <w:rPr>
          <w:rFonts w:ascii="Arial" w:hAnsi="Arial" w:cs="Arial"/>
          <w:spacing w:val="1"/>
          <w:sz w:val="20"/>
        </w:rPr>
        <w:t xml:space="preserve"> </w:t>
      </w:r>
      <w:r w:rsidR="00D21C13" w:rsidRPr="00D21C13">
        <w:rPr>
          <w:rFonts w:ascii="Arial" w:hAnsi="Arial" w:cs="Arial"/>
          <w:sz w:val="20"/>
        </w:rPr>
        <w:t>other</w:t>
      </w:r>
      <w:r w:rsidR="00D21C13" w:rsidRPr="00D21C13">
        <w:rPr>
          <w:rFonts w:ascii="Arial" w:hAnsi="Arial" w:cs="Arial"/>
          <w:spacing w:val="1"/>
          <w:sz w:val="20"/>
        </w:rPr>
        <w:t xml:space="preserve"> </w:t>
      </w:r>
      <w:r w:rsidR="00D21C13" w:rsidRPr="00D21C13">
        <w:rPr>
          <w:rFonts w:ascii="Arial" w:hAnsi="Arial" w:cs="Arial"/>
          <w:sz w:val="20"/>
        </w:rPr>
        <w:t>valuable</w:t>
      </w:r>
      <w:r w:rsidR="00D21C13" w:rsidRPr="00D21C13">
        <w:rPr>
          <w:rFonts w:ascii="Arial" w:hAnsi="Arial" w:cs="Arial"/>
          <w:spacing w:val="1"/>
          <w:sz w:val="20"/>
        </w:rPr>
        <w:t xml:space="preserve"> </w:t>
      </w:r>
      <w:r w:rsidR="00D21C13" w:rsidRPr="00D21C13">
        <w:rPr>
          <w:rFonts w:ascii="Arial" w:hAnsi="Arial" w:cs="Arial"/>
          <w:sz w:val="20"/>
        </w:rPr>
        <w:t>consideration, that consists of an air tour of short duration for the purpose of attracting new</w:t>
      </w:r>
      <w:r w:rsidR="00D21C13" w:rsidRPr="00D21C13">
        <w:rPr>
          <w:rFonts w:ascii="Arial" w:hAnsi="Arial" w:cs="Arial"/>
          <w:spacing w:val="1"/>
          <w:sz w:val="20"/>
        </w:rPr>
        <w:t xml:space="preserve"> </w:t>
      </w:r>
      <w:r w:rsidR="00D21C13" w:rsidRPr="00D21C13">
        <w:rPr>
          <w:rFonts w:ascii="Arial" w:hAnsi="Arial" w:cs="Arial"/>
          <w:sz w:val="20"/>
        </w:rPr>
        <w:t>trainees</w:t>
      </w:r>
      <w:r w:rsidR="00D21C13" w:rsidRPr="00D21C13">
        <w:rPr>
          <w:rFonts w:ascii="Arial" w:hAnsi="Arial" w:cs="Arial"/>
          <w:spacing w:val="-7"/>
          <w:sz w:val="20"/>
        </w:rPr>
        <w:t xml:space="preserve"> </w:t>
      </w:r>
      <w:r w:rsidR="00D21C13" w:rsidRPr="00D21C13">
        <w:rPr>
          <w:rFonts w:ascii="Arial" w:hAnsi="Arial" w:cs="Arial"/>
          <w:sz w:val="20"/>
        </w:rPr>
        <w:t>or</w:t>
      </w:r>
      <w:r w:rsidR="00D21C13" w:rsidRPr="00D21C13">
        <w:rPr>
          <w:rFonts w:ascii="Arial" w:hAnsi="Arial" w:cs="Arial"/>
          <w:spacing w:val="-7"/>
          <w:sz w:val="20"/>
        </w:rPr>
        <w:t xml:space="preserve"> </w:t>
      </w:r>
      <w:r w:rsidR="00D21C13" w:rsidRPr="00D21C13">
        <w:rPr>
          <w:rFonts w:ascii="Arial" w:hAnsi="Arial" w:cs="Arial"/>
          <w:sz w:val="20"/>
        </w:rPr>
        <w:t>new</w:t>
      </w:r>
      <w:r w:rsidR="00D21C13" w:rsidRPr="00D21C13">
        <w:rPr>
          <w:rFonts w:ascii="Arial" w:hAnsi="Arial" w:cs="Arial"/>
          <w:spacing w:val="-8"/>
          <w:sz w:val="20"/>
        </w:rPr>
        <w:t xml:space="preserve"> </w:t>
      </w:r>
      <w:r w:rsidR="00D21C13" w:rsidRPr="00D21C13">
        <w:rPr>
          <w:rFonts w:ascii="Arial" w:hAnsi="Arial" w:cs="Arial"/>
          <w:sz w:val="20"/>
        </w:rPr>
        <w:t>members,</w:t>
      </w:r>
      <w:r w:rsidR="00D21C13" w:rsidRPr="00D21C13">
        <w:rPr>
          <w:rFonts w:ascii="Arial" w:hAnsi="Arial" w:cs="Arial"/>
          <w:spacing w:val="-9"/>
          <w:sz w:val="20"/>
        </w:rPr>
        <w:t xml:space="preserve"> </w:t>
      </w:r>
      <w:r w:rsidR="00D21C13" w:rsidRPr="00D21C13">
        <w:rPr>
          <w:rFonts w:ascii="Arial" w:hAnsi="Arial" w:cs="Arial"/>
          <w:sz w:val="20"/>
        </w:rPr>
        <w:t>performed</w:t>
      </w:r>
      <w:r w:rsidR="00D21C13" w:rsidRPr="00D21C13">
        <w:rPr>
          <w:rFonts w:ascii="Arial" w:hAnsi="Arial" w:cs="Arial"/>
          <w:spacing w:val="-5"/>
          <w:sz w:val="20"/>
        </w:rPr>
        <w:t xml:space="preserve"> </w:t>
      </w:r>
      <w:r w:rsidR="00D21C13" w:rsidRPr="00D21C13">
        <w:rPr>
          <w:rFonts w:ascii="Arial" w:hAnsi="Arial" w:cs="Arial"/>
          <w:sz w:val="20"/>
        </w:rPr>
        <w:t>either</w:t>
      </w:r>
      <w:r w:rsidR="00D21C13" w:rsidRPr="00D21C13">
        <w:rPr>
          <w:rFonts w:ascii="Arial" w:hAnsi="Arial" w:cs="Arial"/>
          <w:spacing w:val="-7"/>
          <w:sz w:val="20"/>
        </w:rPr>
        <w:t xml:space="preserve"> </w:t>
      </w:r>
      <w:r w:rsidR="00D21C13" w:rsidRPr="00D21C13">
        <w:rPr>
          <w:rFonts w:ascii="Arial" w:hAnsi="Arial" w:cs="Arial"/>
          <w:sz w:val="20"/>
        </w:rPr>
        <w:t>by</w:t>
      </w:r>
      <w:r w:rsidR="00D21C13" w:rsidRPr="00D21C13">
        <w:rPr>
          <w:rFonts w:ascii="Arial" w:hAnsi="Arial" w:cs="Arial"/>
          <w:spacing w:val="-6"/>
          <w:sz w:val="20"/>
        </w:rPr>
        <w:t xml:space="preserve"> </w:t>
      </w:r>
      <w:r w:rsidR="00D21C13" w:rsidRPr="00D21C13">
        <w:rPr>
          <w:rFonts w:ascii="Arial" w:hAnsi="Arial" w:cs="Arial"/>
          <w:sz w:val="20"/>
        </w:rPr>
        <w:t>a</w:t>
      </w:r>
      <w:r w:rsidR="00D21C13" w:rsidRPr="00D21C13">
        <w:rPr>
          <w:rFonts w:ascii="Arial" w:hAnsi="Arial" w:cs="Arial"/>
          <w:spacing w:val="-7"/>
          <w:sz w:val="20"/>
        </w:rPr>
        <w:t xml:space="preserve"> </w:t>
      </w:r>
      <w:r w:rsidR="00D21C13" w:rsidRPr="00D21C13">
        <w:rPr>
          <w:rFonts w:ascii="Arial" w:hAnsi="Arial" w:cs="Arial"/>
          <w:sz w:val="20"/>
        </w:rPr>
        <w:t>training</w:t>
      </w:r>
      <w:r w:rsidR="00D21C13" w:rsidRPr="00D21C13">
        <w:rPr>
          <w:rFonts w:ascii="Arial" w:hAnsi="Arial" w:cs="Arial"/>
          <w:spacing w:val="-4"/>
          <w:sz w:val="20"/>
        </w:rPr>
        <w:t xml:space="preserve"> </w:t>
      </w:r>
      <w:r w:rsidR="00D21C13" w:rsidRPr="00D21C13">
        <w:rPr>
          <w:rFonts w:ascii="Arial" w:hAnsi="Arial" w:cs="Arial"/>
          <w:sz w:val="20"/>
        </w:rPr>
        <w:t>organisation</w:t>
      </w:r>
      <w:r w:rsidR="00D21C13" w:rsidRPr="00D21C13">
        <w:rPr>
          <w:rFonts w:ascii="Arial" w:hAnsi="Arial" w:cs="Arial"/>
          <w:spacing w:val="-5"/>
          <w:sz w:val="20"/>
        </w:rPr>
        <w:t xml:space="preserve"> </w:t>
      </w:r>
      <w:r w:rsidR="00D21C13" w:rsidRPr="00D21C13">
        <w:rPr>
          <w:rFonts w:ascii="Arial" w:hAnsi="Arial" w:cs="Arial"/>
          <w:sz w:val="20"/>
        </w:rPr>
        <w:t>referred</w:t>
      </w:r>
      <w:r w:rsidR="00D21C13" w:rsidRPr="00D21C13">
        <w:rPr>
          <w:rFonts w:ascii="Arial" w:hAnsi="Arial" w:cs="Arial"/>
          <w:spacing w:val="-7"/>
          <w:sz w:val="20"/>
        </w:rPr>
        <w:t xml:space="preserve"> </w:t>
      </w:r>
      <w:r w:rsidR="00D21C13" w:rsidRPr="00D21C13">
        <w:rPr>
          <w:rFonts w:ascii="Arial" w:hAnsi="Arial" w:cs="Arial"/>
          <w:sz w:val="20"/>
        </w:rPr>
        <w:t>to</w:t>
      </w:r>
      <w:r w:rsidR="00D21C13" w:rsidRPr="00D21C13">
        <w:rPr>
          <w:rFonts w:ascii="Arial" w:hAnsi="Arial" w:cs="Arial"/>
          <w:spacing w:val="-6"/>
          <w:sz w:val="20"/>
        </w:rPr>
        <w:t xml:space="preserve"> </w:t>
      </w:r>
      <w:r w:rsidR="00D21C13" w:rsidRPr="00D21C13">
        <w:rPr>
          <w:rFonts w:ascii="Arial" w:hAnsi="Arial" w:cs="Arial"/>
          <w:sz w:val="20"/>
        </w:rPr>
        <w:t>in</w:t>
      </w:r>
      <w:r w:rsidR="00D21C13" w:rsidRPr="00D21C13">
        <w:rPr>
          <w:rFonts w:ascii="Arial" w:hAnsi="Arial" w:cs="Arial"/>
          <w:spacing w:val="-5"/>
          <w:sz w:val="20"/>
        </w:rPr>
        <w:t xml:space="preserve"> </w:t>
      </w:r>
      <w:r w:rsidR="00D21C13" w:rsidRPr="00D21C13">
        <w:rPr>
          <w:rFonts w:ascii="Arial" w:hAnsi="Arial" w:cs="Arial"/>
          <w:sz w:val="20"/>
        </w:rPr>
        <w:t>Article</w:t>
      </w:r>
      <w:r w:rsidR="00D21C13" w:rsidRPr="00D21C13">
        <w:rPr>
          <w:rFonts w:ascii="Arial" w:hAnsi="Arial" w:cs="Arial"/>
          <w:spacing w:val="-6"/>
          <w:sz w:val="20"/>
        </w:rPr>
        <w:t xml:space="preserve"> </w:t>
      </w:r>
      <w:r w:rsidR="00D21C13" w:rsidRPr="00D21C13">
        <w:rPr>
          <w:rFonts w:ascii="Arial" w:hAnsi="Arial" w:cs="Arial"/>
          <w:sz w:val="20"/>
        </w:rPr>
        <w:t>10a</w:t>
      </w:r>
      <w:r w:rsidR="00D21C13" w:rsidRPr="00D21C13">
        <w:rPr>
          <w:rFonts w:ascii="Arial" w:hAnsi="Arial" w:cs="Arial"/>
          <w:spacing w:val="-47"/>
          <w:sz w:val="20"/>
        </w:rPr>
        <w:t xml:space="preserve"> </w:t>
      </w:r>
      <w:r w:rsidR="00D21C13" w:rsidRPr="00D21C13">
        <w:rPr>
          <w:rFonts w:ascii="Arial" w:hAnsi="Arial" w:cs="Arial"/>
          <w:sz w:val="20"/>
        </w:rPr>
        <w:t xml:space="preserve">of </w:t>
      </w:r>
      <w:hyperlink r:id="rId14" w:history="1">
        <w:r w:rsidR="00980819" w:rsidRPr="00980819">
          <w:rPr>
            <w:rStyle w:val="Hyperlink"/>
            <w:rFonts w:ascii="Arial" w:hAnsi="Arial" w:cs="Arial"/>
            <w:sz w:val="20"/>
          </w:rPr>
          <w:t>the order N 3-N of the Minister of Territorial Administration and Infrastructure of RA, dated 11.02.2022</w:t>
        </w:r>
      </w:hyperlink>
      <w:r w:rsidR="00980819" w:rsidRPr="00980819">
        <w:rPr>
          <w:rFonts w:ascii="Arial" w:hAnsi="Arial" w:cs="Arial"/>
          <w:sz w:val="20"/>
        </w:rPr>
        <w:t xml:space="preserve"> </w:t>
      </w:r>
      <w:r w:rsidR="00D21C13" w:rsidRPr="00D21C13">
        <w:rPr>
          <w:rFonts w:ascii="Arial" w:hAnsi="Arial" w:cs="Arial"/>
          <w:sz w:val="20"/>
        </w:rPr>
        <w:t>or by an organisation established with the aim of promoting</w:t>
      </w:r>
      <w:r w:rsidR="00D21C13" w:rsidRPr="00D21C13">
        <w:rPr>
          <w:rFonts w:ascii="Arial" w:hAnsi="Arial" w:cs="Arial"/>
          <w:spacing w:val="1"/>
          <w:sz w:val="20"/>
        </w:rPr>
        <w:t xml:space="preserve"> </w:t>
      </w:r>
      <w:r w:rsidR="00D21C13" w:rsidRPr="00D21C13">
        <w:rPr>
          <w:rFonts w:ascii="Arial" w:hAnsi="Arial" w:cs="Arial"/>
          <w:sz w:val="20"/>
        </w:rPr>
        <w:t>aerial</w:t>
      </w:r>
      <w:r w:rsidR="00D21C13" w:rsidRPr="00D21C13">
        <w:rPr>
          <w:rFonts w:ascii="Arial" w:hAnsi="Arial" w:cs="Arial"/>
          <w:spacing w:val="-2"/>
          <w:sz w:val="20"/>
        </w:rPr>
        <w:t xml:space="preserve"> </w:t>
      </w:r>
      <w:r w:rsidR="00D21C13" w:rsidRPr="00D21C13">
        <w:rPr>
          <w:rFonts w:ascii="Arial" w:hAnsi="Arial" w:cs="Arial"/>
          <w:sz w:val="20"/>
        </w:rPr>
        <w:t>sport</w:t>
      </w:r>
      <w:r w:rsidR="00D21C13" w:rsidRPr="00D21C13">
        <w:rPr>
          <w:rFonts w:ascii="Arial" w:hAnsi="Arial" w:cs="Arial"/>
          <w:spacing w:val="-2"/>
          <w:sz w:val="20"/>
        </w:rPr>
        <w:t xml:space="preserve"> </w:t>
      </w:r>
      <w:r w:rsidR="00D21C13" w:rsidRPr="00D21C13">
        <w:rPr>
          <w:rFonts w:ascii="Arial" w:hAnsi="Arial" w:cs="Arial"/>
          <w:sz w:val="20"/>
        </w:rPr>
        <w:t>or leisure</w:t>
      </w:r>
      <w:r w:rsidR="00D21C13" w:rsidRPr="00D21C13">
        <w:rPr>
          <w:rFonts w:ascii="Arial" w:hAnsi="Arial" w:cs="Arial"/>
          <w:spacing w:val="1"/>
          <w:sz w:val="20"/>
        </w:rPr>
        <w:t xml:space="preserve"> </w:t>
      </w:r>
      <w:r w:rsidR="00D21C13" w:rsidRPr="00D21C13">
        <w:rPr>
          <w:rFonts w:ascii="Arial" w:hAnsi="Arial" w:cs="Arial"/>
          <w:sz w:val="20"/>
        </w:rPr>
        <w:t>aviation;</w:t>
      </w:r>
      <w:r w:rsidR="00980819">
        <w:rPr>
          <w:rFonts w:ascii="Arial" w:hAnsi="Arial" w:cs="Arial"/>
          <w:sz w:val="20"/>
        </w:rPr>
        <w:t xml:space="preserve"> </w:t>
      </w:r>
    </w:p>
    <w:p w14:paraId="6E5F5DB6" w14:textId="77777777" w:rsidR="00D21C13" w:rsidRPr="00D21C13" w:rsidRDefault="00D21C13" w:rsidP="009601C2">
      <w:pPr>
        <w:numPr>
          <w:ilvl w:val="0"/>
          <w:numId w:val="3"/>
        </w:numPr>
        <w:tabs>
          <w:tab w:val="left" w:pos="707"/>
        </w:tabs>
        <w:spacing w:before="122" w:line="276" w:lineRule="auto"/>
        <w:ind w:right="197"/>
        <w:jc w:val="both"/>
        <w:rPr>
          <w:rFonts w:ascii="Arial" w:hAnsi="Arial" w:cs="Arial"/>
          <w:sz w:val="20"/>
        </w:rPr>
      </w:pPr>
      <w:r w:rsidRPr="003F3508">
        <w:rPr>
          <w:rFonts w:ascii="Arial" w:hAnsi="Arial" w:cs="Arial"/>
          <w:b/>
          <w:sz w:val="20"/>
        </w:rPr>
        <w:t>‘principal place of business’</w:t>
      </w:r>
      <w:r w:rsidRPr="00D21C13">
        <w:rPr>
          <w:rFonts w:ascii="Arial" w:hAnsi="Arial" w:cs="Arial"/>
          <w:sz w:val="20"/>
        </w:rPr>
        <w:t xml:space="preserve"> means the head office or registered office of the operator of the</w:t>
      </w:r>
      <w:r w:rsidRPr="00D21C13">
        <w:rPr>
          <w:rFonts w:ascii="Arial" w:hAnsi="Arial" w:cs="Arial"/>
          <w:spacing w:val="1"/>
          <w:sz w:val="20"/>
        </w:rPr>
        <w:t xml:space="preserve"> </w:t>
      </w:r>
      <w:r w:rsidRPr="00D21C13">
        <w:rPr>
          <w:rFonts w:ascii="Arial" w:hAnsi="Arial" w:cs="Arial"/>
          <w:sz w:val="20"/>
        </w:rPr>
        <w:t xml:space="preserve">balloon within which the principal financial functions and operational control of the </w:t>
      </w:r>
      <w:r w:rsidRPr="00D21C13">
        <w:rPr>
          <w:rFonts w:ascii="Arial" w:hAnsi="Arial" w:cs="Arial"/>
          <w:sz w:val="20"/>
        </w:rPr>
        <w:lastRenderedPageBreak/>
        <w:t>activities</w:t>
      </w:r>
      <w:r w:rsidRPr="00D21C13">
        <w:rPr>
          <w:rFonts w:ascii="Arial" w:hAnsi="Arial" w:cs="Arial"/>
          <w:spacing w:val="1"/>
          <w:sz w:val="20"/>
        </w:rPr>
        <w:t xml:space="preserve"> </w:t>
      </w:r>
      <w:r w:rsidRPr="00D21C13">
        <w:rPr>
          <w:rFonts w:ascii="Arial" w:hAnsi="Arial" w:cs="Arial"/>
          <w:sz w:val="20"/>
        </w:rPr>
        <w:t>referred</w:t>
      </w:r>
      <w:r w:rsidRPr="00D21C13">
        <w:rPr>
          <w:rFonts w:ascii="Arial" w:hAnsi="Arial" w:cs="Arial"/>
          <w:spacing w:val="-2"/>
          <w:sz w:val="20"/>
        </w:rPr>
        <w:t xml:space="preserve"> </w:t>
      </w:r>
      <w:r w:rsidRPr="00D21C13">
        <w:rPr>
          <w:rFonts w:ascii="Arial" w:hAnsi="Arial" w:cs="Arial"/>
          <w:sz w:val="20"/>
        </w:rPr>
        <w:t>to</w:t>
      </w:r>
      <w:r w:rsidRPr="00D21C13">
        <w:rPr>
          <w:rFonts w:ascii="Arial" w:hAnsi="Arial" w:cs="Arial"/>
          <w:spacing w:val="-1"/>
          <w:sz w:val="20"/>
        </w:rPr>
        <w:t xml:space="preserve"> </w:t>
      </w:r>
      <w:r w:rsidRPr="00D21C13">
        <w:rPr>
          <w:rFonts w:ascii="Arial" w:hAnsi="Arial" w:cs="Arial"/>
          <w:sz w:val="20"/>
        </w:rPr>
        <w:t>in this Regulation</w:t>
      </w:r>
      <w:r w:rsidRPr="00D21C13">
        <w:rPr>
          <w:rFonts w:ascii="Arial" w:hAnsi="Arial" w:cs="Arial"/>
          <w:spacing w:val="-1"/>
          <w:sz w:val="20"/>
        </w:rPr>
        <w:t xml:space="preserve"> </w:t>
      </w:r>
      <w:r w:rsidRPr="00D21C13">
        <w:rPr>
          <w:rFonts w:ascii="Arial" w:hAnsi="Arial" w:cs="Arial"/>
          <w:sz w:val="20"/>
        </w:rPr>
        <w:t>are</w:t>
      </w:r>
      <w:r w:rsidRPr="00D21C13">
        <w:rPr>
          <w:rFonts w:ascii="Arial" w:hAnsi="Arial" w:cs="Arial"/>
          <w:spacing w:val="-2"/>
          <w:sz w:val="20"/>
        </w:rPr>
        <w:t xml:space="preserve"> </w:t>
      </w:r>
      <w:r w:rsidRPr="00D21C13">
        <w:rPr>
          <w:rFonts w:ascii="Arial" w:hAnsi="Arial" w:cs="Arial"/>
          <w:sz w:val="20"/>
        </w:rPr>
        <w:t>exercised;</w:t>
      </w:r>
    </w:p>
    <w:p w14:paraId="5B9AF505" w14:textId="153A52AD" w:rsidR="00D21C13" w:rsidRDefault="009900F6" w:rsidP="009601C2">
      <w:pPr>
        <w:numPr>
          <w:ilvl w:val="0"/>
          <w:numId w:val="3"/>
        </w:numPr>
        <w:tabs>
          <w:tab w:val="left" w:pos="707"/>
        </w:tabs>
        <w:spacing w:before="118" w:line="276" w:lineRule="auto"/>
        <w:ind w:right="193"/>
        <w:jc w:val="both"/>
        <w:rPr>
          <w:rFonts w:ascii="Arial" w:hAnsi="Arial" w:cs="Arial"/>
          <w:sz w:val="20"/>
        </w:rPr>
      </w:pPr>
      <w:r>
        <w:rPr>
          <w:rFonts w:ascii="Arial" w:hAnsi="Arial" w:cs="Arial"/>
          <w:b/>
          <w:sz w:val="20"/>
        </w:rPr>
        <w:t>‘</w:t>
      </w:r>
      <w:r w:rsidR="00D21C13" w:rsidRPr="003F3508">
        <w:rPr>
          <w:rFonts w:ascii="Arial" w:hAnsi="Arial" w:cs="Arial"/>
          <w:b/>
          <w:sz w:val="20"/>
        </w:rPr>
        <w:t>dry lease agreement</w:t>
      </w:r>
      <w:r>
        <w:rPr>
          <w:rFonts w:ascii="Arial" w:hAnsi="Arial" w:cs="Arial"/>
          <w:b/>
          <w:sz w:val="20"/>
        </w:rPr>
        <w:t>’</w:t>
      </w:r>
      <w:r w:rsidR="00D21C13" w:rsidRPr="00D21C13">
        <w:rPr>
          <w:rFonts w:ascii="Arial" w:hAnsi="Arial" w:cs="Arial"/>
          <w:sz w:val="20"/>
        </w:rPr>
        <w:t xml:space="preserve"> means an agreement between undertakings pursuant to which the</w:t>
      </w:r>
      <w:r w:rsidR="00D21C13" w:rsidRPr="00D21C13">
        <w:rPr>
          <w:rFonts w:ascii="Arial" w:hAnsi="Arial" w:cs="Arial"/>
          <w:spacing w:val="1"/>
          <w:sz w:val="20"/>
        </w:rPr>
        <w:t xml:space="preserve"> </w:t>
      </w:r>
      <w:r w:rsidR="00D21C13" w:rsidRPr="00D21C13">
        <w:rPr>
          <w:rFonts w:ascii="Arial" w:hAnsi="Arial" w:cs="Arial"/>
          <w:sz w:val="20"/>
        </w:rPr>
        <w:t>balloon</w:t>
      </w:r>
      <w:r w:rsidR="00D21C13" w:rsidRPr="00D21C13">
        <w:rPr>
          <w:rFonts w:ascii="Arial" w:hAnsi="Arial" w:cs="Arial"/>
          <w:spacing w:val="-2"/>
          <w:sz w:val="20"/>
        </w:rPr>
        <w:t xml:space="preserve"> </w:t>
      </w:r>
      <w:r w:rsidR="00D21C13" w:rsidRPr="00D21C13">
        <w:rPr>
          <w:rFonts w:ascii="Arial" w:hAnsi="Arial" w:cs="Arial"/>
          <w:sz w:val="20"/>
        </w:rPr>
        <w:t>is</w:t>
      </w:r>
      <w:r w:rsidR="00D21C13" w:rsidRPr="00D21C13">
        <w:rPr>
          <w:rFonts w:ascii="Arial" w:hAnsi="Arial" w:cs="Arial"/>
          <w:spacing w:val="-2"/>
          <w:sz w:val="20"/>
        </w:rPr>
        <w:t xml:space="preserve"> </w:t>
      </w:r>
      <w:r w:rsidR="00D21C13" w:rsidRPr="00D21C13">
        <w:rPr>
          <w:rFonts w:ascii="Arial" w:hAnsi="Arial" w:cs="Arial"/>
          <w:sz w:val="20"/>
        </w:rPr>
        <w:t>operated</w:t>
      </w:r>
      <w:r w:rsidR="00D21C13" w:rsidRPr="00D21C13">
        <w:rPr>
          <w:rFonts w:ascii="Arial" w:hAnsi="Arial" w:cs="Arial"/>
          <w:spacing w:val="-1"/>
          <w:sz w:val="20"/>
        </w:rPr>
        <w:t xml:space="preserve"> </w:t>
      </w:r>
      <w:r w:rsidR="00D21C13" w:rsidRPr="00D21C13">
        <w:rPr>
          <w:rFonts w:ascii="Arial" w:hAnsi="Arial" w:cs="Arial"/>
          <w:sz w:val="20"/>
        </w:rPr>
        <w:t>under</w:t>
      </w:r>
      <w:r w:rsidR="00D21C13" w:rsidRPr="00D21C13">
        <w:rPr>
          <w:rFonts w:ascii="Arial" w:hAnsi="Arial" w:cs="Arial"/>
          <w:spacing w:val="-2"/>
          <w:sz w:val="20"/>
        </w:rPr>
        <w:t xml:space="preserve"> </w:t>
      </w:r>
      <w:r w:rsidR="00D21C13" w:rsidRPr="00D21C13">
        <w:rPr>
          <w:rFonts w:ascii="Arial" w:hAnsi="Arial" w:cs="Arial"/>
          <w:sz w:val="20"/>
        </w:rPr>
        <w:t>the</w:t>
      </w:r>
      <w:r w:rsidR="00D21C13" w:rsidRPr="00D21C13">
        <w:rPr>
          <w:rFonts w:ascii="Arial" w:hAnsi="Arial" w:cs="Arial"/>
          <w:spacing w:val="1"/>
          <w:sz w:val="20"/>
        </w:rPr>
        <w:t xml:space="preserve"> </w:t>
      </w:r>
      <w:r w:rsidR="00D21C13" w:rsidRPr="00D21C13">
        <w:rPr>
          <w:rFonts w:ascii="Arial" w:hAnsi="Arial" w:cs="Arial"/>
          <w:sz w:val="20"/>
        </w:rPr>
        <w:t>responsibility</w:t>
      </w:r>
      <w:r w:rsidR="00D21C13" w:rsidRPr="00D21C13">
        <w:rPr>
          <w:rFonts w:ascii="Arial" w:hAnsi="Arial" w:cs="Arial"/>
          <w:spacing w:val="-2"/>
          <w:sz w:val="20"/>
        </w:rPr>
        <w:t xml:space="preserve"> </w:t>
      </w:r>
      <w:r w:rsidR="00D21C13" w:rsidRPr="00D21C13">
        <w:rPr>
          <w:rFonts w:ascii="Arial" w:hAnsi="Arial" w:cs="Arial"/>
          <w:sz w:val="20"/>
        </w:rPr>
        <w:t>of</w:t>
      </w:r>
      <w:r w:rsidR="00D21C13" w:rsidRPr="00D21C13">
        <w:rPr>
          <w:rFonts w:ascii="Arial" w:hAnsi="Arial" w:cs="Arial"/>
          <w:spacing w:val="-2"/>
          <w:sz w:val="20"/>
        </w:rPr>
        <w:t xml:space="preserve"> </w:t>
      </w:r>
      <w:r w:rsidR="00D21C13" w:rsidRPr="00D21C13">
        <w:rPr>
          <w:rFonts w:ascii="Arial" w:hAnsi="Arial" w:cs="Arial"/>
          <w:sz w:val="20"/>
        </w:rPr>
        <w:t>the lessee;</w:t>
      </w:r>
    </w:p>
    <w:p w14:paraId="62B69BDA" w14:textId="6C60ECC7" w:rsidR="00D21C13" w:rsidRPr="00D21C13" w:rsidRDefault="009900F6" w:rsidP="009601C2">
      <w:pPr>
        <w:pStyle w:val="ListParagraph"/>
        <w:numPr>
          <w:ilvl w:val="0"/>
          <w:numId w:val="3"/>
        </w:numPr>
        <w:tabs>
          <w:tab w:val="left" w:pos="707"/>
        </w:tabs>
        <w:spacing w:before="57" w:line="276" w:lineRule="auto"/>
        <w:ind w:right="193"/>
        <w:jc w:val="both"/>
        <w:rPr>
          <w:rFonts w:ascii="Arial" w:hAnsi="Arial" w:cs="Arial"/>
          <w:sz w:val="20"/>
        </w:rPr>
      </w:pPr>
      <w:r>
        <w:rPr>
          <w:rFonts w:ascii="Arial" w:hAnsi="Arial" w:cs="Arial"/>
          <w:b/>
          <w:sz w:val="20"/>
        </w:rPr>
        <w:t>‘</w:t>
      </w:r>
      <w:r w:rsidR="00D21C13" w:rsidRPr="003F3508">
        <w:rPr>
          <w:rFonts w:ascii="Arial" w:hAnsi="Arial" w:cs="Arial"/>
          <w:b/>
          <w:sz w:val="20"/>
        </w:rPr>
        <w:t>national licence</w:t>
      </w:r>
      <w:r>
        <w:rPr>
          <w:rFonts w:ascii="Arial" w:hAnsi="Arial" w:cs="Arial"/>
          <w:b/>
          <w:sz w:val="20"/>
        </w:rPr>
        <w:t>’</w:t>
      </w:r>
      <w:r w:rsidR="00D21C13" w:rsidRPr="00D21C13">
        <w:rPr>
          <w:rFonts w:ascii="Arial" w:hAnsi="Arial" w:cs="Arial"/>
          <w:sz w:val="20"/>
        </w:rPr>
        <w:t xml:space="preserve"> means a </w:t>
      </w:r>
      <w:r w:rsidR="00E74255">
        <w:rPr>
          <w:rFonts w:ascii="Arial" w:hAnsi="Arial" w:cs="Arial"/>
          <w:sz w:val="20"/>
        </w:rPr>
        <w:t xml:space="preserve">pilot licence issued by a </w:t>
      </w:r>
      <w:r w:rsidR="00D21C13" w:rsidRPr="00D21C13">
        <w:rPr>
          <w:rFonts w:ascii="Arial" w:hAnsi="Arial" w:cs="Arial"/>
          <w:sz w:val="20"/>
        </w:rPr>
        <w:t xml:space="preserve"> State in accordance with national legislation before the date of application of Annex III (Part-BFCL) to this Regulation or of Annex I (Part-FCL) to Regulation </w:t>
      </w:r>
      <w:hyperlink r:id="rId15" w:history="1">
        <w:r w:rsidR="00980819" w:rsidRPr="00980819">
          <w:rPr>
            <w:rStyle w:val="Hyperlink"/>
            <w:rFonts w:ascii="Arial" w:hAnsi="Arial" w:cs="Arial"/>
            <w:sz w:val="20"/>
          </w:rPr>
          <w:t>the order N 3-N of the Minister of Territorial Administration and Infrastructure of RA, dated 11.02.2022</w:t>
        </w:r>
      </w:hyperlink>
      <w:r w:rsidR="00D21C13" w:rsidRPr="00980819">
        <w:rPr>
          <w:rFonts w:ascii="Arial" w:hAnsi="Arial" w:cs="Arial"/>
          <w:sz w:val="20"/>
        </w:rPr>
        <w:t>;</w:t>
      </w:r>
    </w:p>
    <w:p w14:paraId="1285EEA3" w14:textId="5C0B019C" w:rsidR="00D21C13" w:rsidRPr="00D21C13" w:rsidRDefault="009900F6" w:rsidP="009601C2">
      <w:pPr>
        <w:pStyle w:val="ListParagraph"/>
        <w:numPr>
          <w:ilvl w:val="0"/>
          <w:numId w:val="3"/>
        </w:numPr>
        <w:tabs>
          <w:tab w:val="left" w:pos="707"/>
        </w:tabs>
        <w:spacing w:before="118" w:line="276" w:lineRule="auto"/>
        <w:ind w:right="196"/>
        <w:jc w:val="both"/>
        <w:rPr>
          <w:rFonts w:ascii="Arial" w:hAnsi="Arial" w:cs="Arial"/>
          <w:sz w:val="20"/>
        </w:rPr>
      </w:pPr>
      <w:r>
        <w:rPr>
          <w:rFonts w:ascii="Arial" w:hAnsi="Arial" w:cs="Arial"/>
          <w:b/>
          <w:sz w:val="20"/>
        </w:rPr>
        <w:t>‘</w:t>
      </w:r>
      <w:r w:rsidR="00D21C13" w:rsidRPr="003F3508">
        <w:rPr>
          <w:rFonts w:ascii="Arial" w:hAnsi="Arial" w:cs="Arial"/>
          <w:b/>
          <w:sz w:val="20"/>
        </w:rPr>
        <w:t>Part-BFCL licence</w:t>
      </w:r>
      <w:r>
        <w:rPr>
          <w:rFonts w:ascii="Arial" w:hAnsi="Arial" w:cs="Arial"/>
          <w:b/>
          <w:sz w:val="20"/>
        </w:rPr>
        <w:t>’</w:t>
      </w:r>
      <w:r w:rsidR="00D21C13" w:rsidRPr="00D21C13">
        <w:rPr>
          <w:rFonts w:ascii="Arial" w:hAnsi="Arial" w:cs="Arial"/>
          <w:sz w:val="20"/>
        </w:rPr>
        <w:t xml:space="preserve"> means a flight crew licence which complies with the requirements of Annex III (Part-BFCL) to this Regulation;</w:t>
      </w:r>
    </w:p>
    <w:p w14:paraId="79CE841F" w14:textId="5A95FF71" w:rsidR="00D21C13" w:rsidRPr="004B6E95" w:rsidRDefault="009900F6" w:rsidP="004B6E95">
      <w:pPr>
        <w:pStyle w:val="ListParagraph"/>
        <w:numPr>
          <w:ilvl w:val="0"/>
          <w:numId w:val="3"/>
        </w:numPr>
        <w:tabs>
          <w:tab w:val="left" w:pos="707"/>
        </w:tabs>
        <w:spacing w:before="121" w:line="276" w:lineRule="auto"/>
        <w:ind w:right="194"/>
        <w:jc w:val="both"/>
        <w:rPr>
          <w:rFonts w:ascii="Arial" w:hAnsi="Arial" w:cs="Arial"/>
          <w:sz w:val="20"/>
        </w:rPr>
      </w:pPr>
      <w:r>
        <w:rPr>
          <w:rFonts w:ascii="Arial" w:hAnsi="Arial" w:cs="Arial"/>
          <w:b/>
          <w:sz w:val="20"/>
        </w:rPr>
        <w:t>‘</w:t>
      </w:r>
      <w:r w:rsidR="00D21C13" w:rsidRPr="003F3508">
        <w:rPr>
          <w:rFonts w:ascii="Arial" w:hAnsi="Arial" w:cs="Arial"/>
          <w:b/>
          <w:sz w:val="20"/>
        </w:rPr>
        <w:t>conversion report</w:t>
      </w:r>
      <w:r>
        <w:rPr>
          <w:rFonts w:ascii="Arial" w:hAnsi="Arial" w:cs="Arial"/>
          <w:b/>
          <w:sz w:val="20"/>
        </w:rPr>
        <w:t>’</w:t>
      </w:r>
      <w:r w:rsidR="00D21C13" w:rsidRPr="00D21C13">
        <w:rPr>
          <w:rFonts w:ascii="Arial" w:hAnsi="Arial" w:cs="Arial"/>
          <w:sz w:val="20"/>
        </w:rPr>
        <w:t xml:space="preserve"> means a report on the basis of which a licence may be converted into a Part-BFCL licence.</w:t>
      </w:r>
    </w:p>
    <w:p w14:paraId="2690B11E" w14:textId="53325A99" w:rsidR="00136803" w:rsidRPr="004B6E95" w:rsidRDefault="00651A20" w:rsidP="004B6E95">
      <w:pPr>
        <w:keepNext/>
        <w:keepLines/>
        <w:widowControl/>
        <w:shd w:val="clear" w:color="auto" w:fill="2F5496"/>
        <w:autoSpaceDE/>
        <w:autoSpaceDN/>
        <w:spacing w:before="280" w:after="240" w:line="276" w:lineRule="auto"/>
        <w:outlineLvl w:val="3"/>
        <w:rPr>
          <w:rFonts w:ascii="Arial" w:eastAsia="Times New Roman" w:hAnsi="Arial" w:cs="Times New Roman"/>
          <w:b/>
          <w:iCs/>
          <w:color w:val="FFFFFF"/>
          <w:sz w:val="24"/>
        </w:rPr>
      </w:pPr>
      <w:bookmarkStart w:id="9" w:name="_Toc153137173"/>
      <w:r w:rsidRPr="00523393">
        <w:rPr>
          <w:rFonts w:ascii="Arial" w:eastAsia="Times New Roman" w:hAnsi="Arial" w:cs="Times New Roman"/>
          <w:b/>
          <w:iCs/>
          <w:color w:val="FFFFFF"/>
          <w:sz w:val="24"/>
        </w:rPr>
        <w:t>Article 3 Air operations</w:t>
      </w:r>
      <w:bookmarkEnd w:id="9"/>
    </w:p>
    <w:p w14:paraId="17E78500" w14:textId="63161C20" w:rsidR="00651A20" w:rsidRPr="00651A20" w:rsidRDefault="00651A20" w:rsidP="0090411E">
      <w:pPr>
        <w:pStyle w:val="ListParagraph"/>
        <w:numPr>
          <w:ilvl w:val="0"/>
          <w:numId w:val="4"/>
        </w:numPr>
        <w:tabs>
          <w:tab w:val="left" w:pos="707"/>
        </w:tabs>
        <w:spacing w:before="117" w:line="276" w:lineRule="auto"/>
        <w:ind w:right="95"/>
        <w:jc w:val="both"/>
        <w:rPr>
          <w:rFonts w:ascii="Arial" w:hAnsi="Arial" w:cs="Arial"/>
          <w:sz w:val="20"/>
        </w:rPr>
      </w:pPr>
      <w:r w:rsidRPr="00651A20">
        <w:rPr>
          <w:rFonts w:ascii="Arial" w:hAnsi="Arial" w:cs="Arial"/>
          <w:sz w:val="20"/>
        </w:rPr>
        <w:t xml:space="preserve">Operators of balloons shall operate the balloon in accordance with the requirements set out in </w:t>
      </w:r>
      <w:r w:rsidRPr="00980819">
        <w:rPr>
          <w:rFonts w:ascii="Arial" w:hAnsi="Arial" w:cs="Arial"/>
          <w:sz w:val="20"/>
        </w:rPr>
        <w:t>Subpart BAS</w:t>
      </w:r>
      <w:r w:rsidRPr="00651A20">
        <w:rPr>
          <w:rFonts w:ascii="Arial" w:hAnsi="Arial" w:cs="Arial"/>
          <w:sz w:val="20"/>
        </w:rPr>
        <w:t xml:space="preserve"> of Annex II.</w:t>
      </w:r>
    </w:p>
    <w:p w14:paraId="27E604DA" w14:textId="58134A96" w:rsidR="00651A20" w:rsidRPr="00651A20" w:rsidRDefault="00651A20" w:rsidP="0090411E">
      <w:pPr>
        <w:pStyle w:val="BodyText"/>
        <w:spacing w:before="121" w:line="276" w:lineRule="auto"/>
        <w:ind w:left="706" w:right="95"/>
        <w:jc w:val="both"/>
        <w:rPr>
          <w:rFonts w:ascii="Arial" w:hAnsi="Arial" w:cs="Arial"/>
          <w:sz w:val="20"/>
        </w:rPr>
      </w:pPr>
      <w:r w:rsidRPr="00651A20">
        <w:rPr>
          <w:rFonts w:ascii="Arial" w:hAnsi="Arial" w:cs="Arial"/>
          <w:sz w:val="20"/>
        </w:rPr>
        <w:t xml:space="preserve">However, the first subparagraph shall not apply to design or production organisations which are compliant with Articles 8 and 9, respectively, of </w:t>
      </w:r>
      <w:hyperlink r:id="rId16" w:history="1">
        <w:r w:rsidR="002156FD">
          <w:rPr>
            <w:rStyle w:val="Hyperlink"/>
            <w:rFonts w:ascii="Arial" w:hAnsi="Arial" w:cs="Arial"/>
            <w:sz w:val="20"/>
          </w:rPr>
          <w:t>the order N 20-N of the Minister of Territorial Administration and Infrastructure of RA, dated 18.11.2022</w:t>
        </w:r>
      </w:hyperlink>
      <w:r w:rsidR="002156FD">
        <w:t xml:space="preserve"> </w:t>
      </w:r>
      <w:r w:rsidRPr="00651A20">
        <w:rPr>
          <w:rFonts w:ascii="Arial" w:hAnsi="Arial" w:cs="Arial"/>
          <w:sz w:val="20"/>
        </w:rPr>
        <w:t>and which operate the balloon, within the scope of their privileges, for the purposes of the introduction or modification of balloon types.</w:t>
      </w:r>
    </w:p>
    <w:p w14:paraId="3B0C8273" w14:textId="77777777" w:rsidR="00062224" w:rsidRDefault="00651A20" w:rsidP="0090411E">
      <w:pPr>
        <w:pStyle w:val="ListParagraph"/>
        <w:numPr>
          <w:ilvl w:val="0"/>
          <w:numId w:val="4"/>
        </w:numPr>
        <w:tabs>
          <w:tab w:val="left" w:pos="707"/>
        </w:tabs>
        <w:spacing w:before="119" w:line="276" w:lineRule="auto"/>
        <w:ind w:right="95"/>
        <w:jc w:val="both"/>
        <w:rPr>
          <w:rFonts w:ascii="Arial" w:hAnsi="Arial" w:cs="Arial"/>
          <w:sz w:val="20"/>
        </w:rPr>
      </w:pPr>
      <w:r w:rsidRPr="00651A20">
        <w:rPr>
          <w:rFonts w:ascii="Arial" w:hAnsi="Arial" w:cs="Arial"/>
          <w:sz w:val="20"/>
        </w:rPr>
        <w:t xml:space="preserve">Operators of balloons shall engage in commercial operations only after having declared to the </w:t>
      </w:r>
      <w:r w:rsidR="00062224">
        <w:rPr>
          <w:rFonts w:ascii="Arial" w:hAnsi="Arial" w:cs="Arial"/>
          <w:sz w:val="20"/>
        </w:rPr>
        <w:t>CAC RA</w:t>
      </w:r>
    </w:p>
    <w:p w14:paraId="3E54ED59" w14:textId="3C3AE914" w:rsidR="00651A20" w:rsidRPr="00651A20" w:rsidRDefault="00651A20" w:rsidP="0090411E">
      <w:pPr>
        <w:pStyle w:val="ListParagraph"/>
        <w:numPr>
          <w:ilvl w:val="0"/>
          <w:numId w:val="4"/>
        </w:numPr>
        <w:tabs>
          <w:tab w:val="left" w:pos="707"/>
        </w:tabs>
        <w:spacing w:before="119" w:line="276" w:lineRule="auto"/>
        <w:ind w:right="95"/>
        <w:jc w:val="both"/>
        <w:rPr>
          <w:rFonts w:ascii="Arial" w:hAnsi="Arial" w:cs="Arial"/>
          <w:sz w:val="20"/>
        </w:rPr>
      </w:pPr>
      <w:r w:rsidRPr="00651A20">
        <w:rPr>
          <w:rFonts w:ascii="Arial" w:hAnsi="Arial" w:cs="Arial"/>
          <w:sz w:val="20"/>
        </w:rPr>
        <w:t xml:space="preserve"> their capacity and means to discharge the responsibilities associated with the operation of the balloon.</w:t>
      </w:r>
    </w:p>
    <w:p w14:paraId="5B22341D" w14:textId="77777777" w:rsidR="00651A20" w:rsidRPr="00651A20" w:rsidRDefault="00651A20" w:rsidP="0090411E">
      <w:pPr>
        <w:pStyle w:val="BodyText"/>
        <w:spacing w:before="121" w:line="276" w:lineRule="auto"/>
        <w:ind w:left="706" w:right="95"/>
        <w:jc w:val="both"/>
        <w:rPr>
          <w:rFonts w:ascii="Arial" w:hAnsi="Arial" w:cs="Arial"/>
          <w:sz w:val="20"/>
        </w:rPr>
      </w:pPr>
      <w:r w:rsidRPr="00651A20">
        <w:rPr>
          <w:rFonts w:ascii="Arial" w:hAnsi="Arial" w:cs="Arial"/>
          <w:sz w:val="20"/>
        </w:rPr>
        <w:t>The first subparagraph shall not apply to the following operations with balloons:</w:t>
      </w:r>
    </w:p>
    <w:p w14:paraId="4A3632FF" w14:textId="77777777" w:rsidR="00651A20" w:rsidRPr="00651A20" w:rsidRDefault="00651A20" w:rsidP="0090411E">
      <w:pPr>
        <w:pStyle w:val="ListParagraph"/>
        <w:numPr>
          <w:ilvl w:val="1"/>
          <w:numId w:val="4"/>
        </w:numPr>
        <w:tabs>
          <w:tab w:val="left" w:pos="1274"/>
          <w:tab w:val="left" w:pos="8820"/>
        </w:tabs>
        <w:spacing w:line="276" w:lineRule="auto"/>
        <w:ind w:right="95"/>
        <w:jc w:val="both"/>
        <w:rPr>
          <w:rFonts w:ascii="Arial" w:hAnsi="Arial" w:cs="Arial"/>
          <w:sz w:val="20"/>
        </w:rPr>
      </w:pPr>
      <w:r w:rsidRPr="00651A20">
        <w:rPr>
          <w:rFonts w:ascii="Arial" w:hAnsi="Arial" w:cs="Arial"/>
          <w:sz w:val="20"/>
        </w:rPr>
        <w:t>cost-shared operations by four individuals or less, including the pilot, provided that the direct costs of the flight of the balloon and a proportionate part of the annual costs incurred for the storage, insurance and maintenance of the balloon are shared by all those individuals;</w:t>
      </w:r>
    </w:p>
    <w:p w14:paraId="1C4F4126" w14:textId="6D742732" w:rsidR="00651A20" w:rsidRPr="00651A20" w:rsidRDefault="00651A20" w:rsidP="0090411E">
      <w:pPr>
        <w:pStyle w:val="ListParagraph"/>
        <w:numPr>
          <w:ilvl w:val="1"/>
          <w:numId w:val="4"/>
        </w:numPr>
        <w:tabs>
          <w:tab w:val="left" w:pos="1274"/>
        </w:tabs>
        <w:spacing w:before="119" w:line="276" w:lineRule="auto"/>
        <w:ind w:right="95"/>
        <w:jc w:val="both"/>
        <w:rPr>
          <w:rFonts w:ascii="Arial" w:hAnsi="Arial" w:cs="Arial"/>
          <w:sz w:val="20"/>
        </w:rPr>
      </w:pPr>
      <w:r w:rsidRPr="00651A20">
        <w:rPr>
          <w:rFonts w:ascii="Arial" w:hAnsi="Arial" w:cs="Arial"/>
          <w:sz w:val="20"/>
        </w:rPr>
        <w:t>competition flights or flying displays, provided that the remuneration or any other valuable consideration for such flights is limited to the recovery of the direct costs of the flight of the balloon and a proportionate part of the annual costs incurred for the storage, insurance and maintenance of the balloon and that any prizes gained do not exceed the v</w:t>
      </w:r>
      <w:r w:rsidR="00062224">
        <w:rPr>
          <w:rFonts w:ascii="Arial" w:hAnsi="Arial" w:cs="Arial"/>
          <w:sz w:val="20"/>
        </w:rPr>
        <w:t xml:space="preserve">alue specified by the CAC RA </w:t>
      </w:r>
      <w:r w:rsidRPr="00651A20">
        <w:rPr>
          <w:rFonts w:ascii="Arial" w:hAnsi="Arial" w:cs="Arial"/>
          <w:sz w:val="20"/>
        </w:rPr>
        <w:t>;</w:t>
      </w:r>
    </w:p>
    <w:p w14:paraId="2783007C" w14:textId="52AF3080" w:rsidR="00651A20" w:rsidRPr="00651A20" w:rsidRDefault="00651A20" w:rsidP="0090411E">
      <w:pPr>
        <w:pStyle w:val="ListParagraph"/>
        <w:numPr>
          <w:ilvl w:val="1"/>
          <w:numId w:val="4"/>
        </w:numPr>
        <w:tabs>
          <w:tab w:val="left" w:pos="1274"/>
        </w:tabs>
        <w:spacing w:before="121" w:line="276" w:lineRule="auto"/>
        <w:ind w:right="95"/>
        <w:jc w:val="both"/>
        <w:rPr>
          <w:rFonts w:ascii="Arial" w:hAnsi="Arial" w:cs="Arial"/>
          <w:sz w:val="20"/>
        </w:rPr>
      </w:pPr>
      <w:r w:rsidRPr="00651A20">
        <w:rPr>
          <w:rFonts w:ascii="Arial" w:hAnsi="Arial" w:cs="Arial"/>
          <w:sz w:val="20"/>
        </w:rPr>
        <w:t xml:space="preserve">introductory flights with four individuals or less, including the pilot, and flights for the purposes of parachute dropping, performed either by a training organisation referred to in </w:t>
      </w:r>
      <w:r w:rsidRPr="00980819">
        <w:rPr>
          <w:rFonts w:ascii="Arial" w:hAnsi="Arial" w:cs="Arial"/>
          <w:sz w:val="20"/>
        </w:rPr>
        <w:t>Article 10a</w:t>
      </w:r>
      <w:r w:rsidRPr="00651A20">
        <w:rPr>
          <w:rFonts w:ascii="Arial" w:hAnsi="Arial" w:cs="Arial"/>
          <w:sz w:val="20"/>
        </w:rPr>
        <w:t xml:space="preserve"> of </w:t>
      </w:r>
      <w:hyperlink r:id="rId17" w:history="1">
        <w:r w:rsidR="00980819" w:rsidRPr="00980819">
          <w:rPr>
            <w:rStyle w:val="Hyperlink"/>
            <w:rFonts w:ascii="Arial" w:hAnsi="Arial" w:cs="Arial"/>
            <w:sz w:val="20"/>
          </w:rPr>
          <w:t>the order N 3-N of the Minister of Territorial Administration and Infrastructure of RA, dated 11.02.2022</w:t>
        </w:r>
      </w:hyperlink>
      <w:r w:rsidR="00980819">
        <w:rPr>
          <w:rFonts w:ascii="Arial" w:hAnsi="Arial" w:cs="Arial"/>
          <w:sz w:val="20"/>
        </w:rPr>
        <w:t xml:space="preserve"> </w:t>
      </w:r>
      <w:r w:rsidRPr="00651A20">
        <w:rPr>
          <w:rFonts w:ascii="Arial" w:hAnsi="Arial" w:cs="Arial"/>
          <w:sz w:val="20"/>
        </w:rPr>
        <w:t>that has its</w:t>
      </w:r>
      <w:r w:rsidR="00C1366B">
        <w:rPr>
          <w:rFonts w:ascii="Arial" w:hAnsi="Arial" w:cs="Arial"/>
          <w:sz w:val="20"/>
        </w:rPr>
        <w:t xml:space="preserve"> principal place of business in </w:t>
      </w:r>
      <w:r w:rsidR="00C1366B" w:rsidRPr="00C1366B">
        <w:rPr>
          <w:rFonts w:ascii="Arial" w:hAnsi="Arial" w:cs="Arial"/>
          <w:sz w:val="20"/>
        </w:rPr>
        <w:t>the Republic of Armenia</w:t>
      </w:r>
      <w:r w:rsidRPr="00651A20">
        <w:rPr>
          <w:rFonts w:ascii="Arial" w:hAnsi="Arial" w:cs="Arial"/>
          <w:sz w:val="20"/>
        </w:rPr>
        <w:t>, or by an organisation created for the purposes of promoting aerial sport or leisure aviation, provided that the organisation operates the balloon on the basis of either ownership or a dry lease agreement and provided that the flight does not generate profits distributed outside the organisation and that such flights represent only a marginal activity of the organisation;</w:t>
      </w:r>
    </w:p>
    <w:p w14:paraId="597E9207" w14:textId="062B79BF" w:rsidR="00136803" w:rsidRPr="004423F1" w:rsidRDefault="00651A20" w:rsidP="004423F1">
      <w:pPr>
        <w:pStyle w:val="ListParagraph"/>
        <w:numPr>
          <w:ilvl w:val="1"/>
          <w:numId w:val="4"/>
        </w:numPr>
        <w:tabs>
          <w:tab w:val="left" w:pos="1274"/>
        </w:tabs>
        <w:spacing w:line="276" w:lineRule="auto"/>
        <w:ind w:right="196"/>
        <w:jc w:val="both"/>
        <w:rPr>
          <w:rFonts w:ascii="Arial" w:hAnsi="Arial" w:cs="Arial"/>
          <w:sz w:val="20"/>
        </w:rPr>
      </w:pPr>
      <w:r w:rsidRPr="00651A20">
        <w:rPr>
          <w:rFonts w:ascii="Arial" w:hAnsi="Arial" w:cs="Arial"/>
          <w:sz w:val="20"/>
        </w:rPr>
        <w:t xml:space="preserve">training flights performed by a training organisation referred to in Article 10a of Regulation </w:t>
      </w:r>
      <w:hyperlink r:id="rId18" w:history="1">
        <w:r w:rsidR="00980819" w:rsidRPr="00980819">
          <w:rPr>
            <w:rStyle w:val="Hyperlink"/>
            <w:rFonts w:ascii="Arial" w:hAnsi="Arial" w:cs="Arial"/>
            <w:sz w:val="20"/>
          </w:rPr>
          <w:t>the order N 3-N of the Minister of Territorial Administration and Infrastructure of RA, dated 11.02.2022</w:t>
        </w:r>
      </w:hyperlink>
      <w:r w:rsidR="00980819">
        <w:rPr>
          <w:rFonts w:ascii="Arial" w:hAnsi="Arial" w:cs="Arial"/>
          <w:sz w:val="20"/>
        </w:rPr>
        <w:t xml:space="preserve"> </w:t>
      </w:r>
      <w:r w:rsidRPr="00651A20">
        <w:rPr>
          <w:rFonts w:ascii="Arial" w:hAnsi="Arial" w:cs="Arial"/>
          <w:sz w:val="20"/>
        </w:rPr>
        <w:t xml:space="preserve">that has its principal place of business in </w:t>
      </w:r>
      <w:r w:rsidR="00C1366B" w:rsidRPr="00C1366B">
        <w:rPr>
          <w:rFonts w:ascii="Arial" w:hAnsi="Arial" w:cs="Arial"/>
          <w:sz w:val="20"/>
        </w:rPr>
        <w:t>the Republic of Armenia</w:t>
      </w:r>
      <w:r w:rsidRPr="00651A20">
        <w:rPr>
          <w:rFonts w:ascii="Arial" w:hAnsi="Arial" w:cs="Arial"/>
          <w:sz w:val="20"/>
        </w:rPr>
        <w:t>.</w:t>
      </w:r>
    </w:p>
    <w:p w14:paraId="261FF2A0" w14:textId="2A042204" w:rsidR="00136803" w:rsidRPr="0064429B" w:rsidRDefault="00E60AEC" w:rsidP="0064429B">
      <w:pPr>
        <w:keepNext/>
        <w:keepLines/>
        <w:widowControl/>
        <w:shd w:val="clear" w:color="auto" w:fill="339966"/>
        <w:autoSpaceDE/>
        <w:autoSpaceDN/>
        <w:spacing w:before="160" w:after="120" w:line="276" w:lineRule="auto"/>
        <w:outlineLvl w:val="4"/>
        <w:rPr>
          <w:rFonts w:ascii="Arial" w:eastAsia="Times New Roman" w:hAnsi="Arial" w:cs="Times New Roman"/>
          <w:b/>
          <w:color w:val="FFFFFF"/>
          <w:sz w:val="24"/>
        </w:rPr>
      </w:pPr>
      <w:bookmarkStart w:id="10" w:name="GM1_Article_3(2)(a);(b)___Air_operations"/>
      <w:bookmarkStart w:id="11" w:name="_bookmark9"/>
      <w:bookmarkStart w:id="12" w:name="_Toc153137174"/>
      <w:bookmarkEnd w:id="10"/>
      <w:bookmarkEnd w:id="11"/>
      <w:r w:rsidRPr="00523393">
        <w:rPr>
          <w:rFonts w:ascii="Arial" w:eastAsia="Times New Roman" w:hAnsi="Arial" w:cs="Times New Roman"/>
          <w:b/>
          <w:color w:val="FFFFFF"/>
          <w:sz w:val="24"/>
        </w:rPr>
        <w:t>GM1 Article 3(2)(a);(b) Air operations</w:t>
      </w:r>
      <w:bookmarkEnd w:id="12"/>
    </w:p>
    <w:p w14:paraId="32ABABE8" w14:textId="77777777" w:rsidR="00136803" w:rsidRPr="00BA14C1" w:rsidRDefault="00E60AEC" w:rsidP="009601C2">
      <w:pPr>
        <w:pStyle w:val="BodyText"/>
        <w:spacing w:before="0" w:line="276" w:lineRule="auto"/>
        <w:rPr>
          <w:rFonts w:ascii="Arial" w:hAnsi="Arial" w:cs="Arial"/>
          <w:b/>
          <w:sz w:val="20"/>
        </w:rPr>
      </w:pPr>
      <w:r w:rsidRPr="00E60AEC">
        <w:rPr>
          <w:rFonts w:ascii="Arial" w:hAnsi="Arial" w:cs="Arial"/>
          <w:b/>
          <w:sz w:val="20"/>
        </w:rPr>
        <w:t>DIRECT COST</w:t>
      </w:r>
    </w:p>
    <w:p w14:paraId="27EB5F29" w14:textId="49FCC85C" w:rsidR="00136803" w:rsidRPr="004423F1" w:rsidRDefault="00E60AEC" w:rsidP="0090411E">
      <w:pPr>
        <w:pStyle w:val="BodyText"/>
        <w:spacing w:before="118" w:line="276" w:lineRule="auto"/>
        <w:ind w:right="95"/>
        <w:jc w:val="both"/>
        <w:rPr>
          <w:rFonts w:ascii="Arial" w:hAnsi="Arial" w:cs="Arial"/>
          <w:sz w:val="20"/>
        </w:rPr>
      </w:pPr>
      <w:r w:rsidRPr="00BA14C1">
        <w:rPr>
          <w:rFonts w:ascii="Arial" w:hAnsi="Arial" w:cs="Arial"/>
          <w:sz w:val="20"/>
        </w:rPr>
        <w:lastRenderedPageBreak/>
        <w:t>‘Direct cost’ means the cost directly incurred in relation to a flight, e.g. fuel costs of the balloon and the retrieve vehicle directly incurred in relation to a flight, take-off and landing fees, and rental fee for a balloon. There is no element of profit or salary for the pilot.</w:t>
      </w:r>
    </w:p>
    <w:p w14:paraId="3CEE066C" w14:textId="445C8698" w:rsidR="00BA14C1" w:rsidRPr="0064429B" w:rsidRDefault="00BA14C1" w:rsidP="0064429B">
      <w:pPr>
        <w:keepNext/>
        <w:keepLines/>
        <w:widowControl/>
        <w:shd w:val="clear" w:color="auto" w:fill="339966"/>
        <w:autoSpaceDE/>
        <w:autoSpaceDN/>
        <w:spacing w:before="160" w:after="120" w:line="276" w:lineRule="auto"/>
        <w:outlineLvl w:val="4"/>
        <w:rPr>
          <w:rFonts w:ascii="Arial" w:eastAsia="Times New Roman" w:hAnsi="Arial" w:cs="Times New Roman"/>
          <w:b/>
          <w:color w:val="FFFFFF"/>
          <w:sz w:val="24"/>
        </w:rPr>
      </w:pPr>
      <w:bookmarkStart w:id="13" w:name="_Toc153137175"/>
      <w:r w:rsidRPr="00523393">
        <w:rPr>
          <w:rFonts w:ascii="Arial" w:eastAsia="Times New Roman" w:hAnsi="Arial" w:cs="Times New Roman"/>
          <w:b/>
          <w:color w:val="FFFFFF"/>
          <w:sz w:val="24"/>
        </w:rPr>
        <w:t>GM2 Article 3(2)(a);(b) Air operations</w:t>
      </w:r>
      <w:bookmarkEnd w:id="13"/>
    </w:p>
    <w:p w14:paraId="12793A39" w14:textId="77777777" w:rsidR="00BA14C1" w:rsidRPr="00BA14C1" w:rsidRDefault="00BA14C1" w:rsidP="0090411E">
      <w:pPr>
        <w:pStyle w:val="BodyText"/>
        <w:spacing w:before="0" w:line="276" w:lineRule="auto"/>
        <w:ind w:right="-46"/>
        <w:rPr>
          <w:rFonts w:ascii="Arial" w:hAnsi="Arial" w:cs="Arial"/>
          <w:b/>
          <w:sz w:val="20"/>
        </w:rPr>
      </w:pPr>
      <w:r>
        <w:rPr>
          <w:rFonts w:ascii="Arial" w:hAnsi="Arial" w:cs="Arial"/>
          <w:b/>
          <w:sz w:val="20"/>
        </w:rPr>
        <w:t>ANNUAL COST</w:t>
      </w:r>
    </w:p>
    <w:p w14:paraId="62643133" w14:textId="1D2906F6" w:rsidR="00BA14C1" w:rsidRPr="004423F1" w:rsidRDefault="00BA14C1" w:rsidP="0090411E">
      <w:pPr>
        <w:pStyle w:val="BodyText"/>
        <w:spacing w:line="276" w:lineRule="auto"/>
        <w:ind w:right="-46"/>
        <w:rPr>
          <w:rFonts w:ascii="Arial" w:hAnsi="Arial" w:cs="Arial"/>
          <w:sz w:val="20"/>
        </w:rPr>
      </w:pPr>
      <w:r w:rsidRPr="00BA14C1">
        <w:rPr>
          <w:rFonts w:ascii="Arial" w:hAnsi="Arial" w:cs="Arial"/>
          <w:sz w:val="20"/>
        </w:rPr>
        <w:t>‘Annual</w:t>
      </w:r>
      <w:r w:rsidRPr="00BA14C1">
        <w:rPr>
          <w:rFonts w:ascii="Arial" w:hAnsi="Arial" w:cs="Arial"/>
          <w:spacing w:val="7"/>
          <w:sz w:val="20"/>
        </w:rPr>
        <w:t xml:space="preserve"> </w:t>
      </w:r>
      <w:r w:rsidRPr="00BA14C1">
        <w:rPr>
          <w:rFonts w:ascii="Arial" w:hAnsi="Arial" w:cs="Arial"/>
          <w:sz w:val="20"/>
        </w:rPr>
        <w:t>cost’</w:t>
      </w:r>
      <w:r w:rsidRPr="00BA14C1">
        <w:rPr>
          <w:rFonts w:ascii="Arial" w:hAnsi="Arial" w:cs="Arial"/>
          <w:spacing w:val="5"/>
          <w:sz w:val="20"/>
        </w:rPr>
        <w:t xml:space="preserve"> </w:t>
      </w:r>
      <w:r w:rsidRPr="00BA14C1">
        <w:rPr>
          <w:rFonts w:ascii="Arial" w:hAnsi="Arial" w:cs="Arial"/>
          <w:sz w:val="20"/>
        </w:rPr>
        <w:t>means</w:t>
      </w:r>
      <w:r w:rsidRPr="00BA14C1">
        <w:rPr>
          <w:rFonts w:ascii="Arial" w:hAnsi="Arial" w:cs="Arial"/>
          <w:spacing w:val="7"/>
          <w:sz w:val="20"/>
        </w:rPr>
        <w:t xml:space="preserve"> </w:t>
      </w:r>
      <w:r w:rsidRPr="00BA14C1">
        <w:rPr>
          <w:rFonts w:ascii="Arial" w:hAnsi="Arial" w:cs="Arial"/>
          <w:sz w:val="20"/>
        </w:rPr>
        <w:t>the</w:t>
      </w:r>
      <w:r w:rsidRPr="00BA14C1">
        <w:rPr>
          <w:rFonts w:ascii="Arial" w:hAnsi="Arial" w:cs="Arial"/>
          <w:spacing w:val="6"/>
          <w:sz w:val="20"/>
        </w:rPr>
        <w:t xml:space="preserve"> </w:t>
      </w:r>
      <w:r w:rsidRPr="00BA14C1">
        <w:rPr>
          <w:rFonts w:ascii="Arial" w:hAnsi="Arial" w:cs="Arial"/>
          <w:sz w:val="20"/>
        </w:rPr>
        <w:t>cost</w:t>
      </w:r>
      <w:r w:rsidRPr="00BA14C1">
        <w:rPr>
          <w:rFonts w:ascii="Arial" w:hAnsi="Arial" w:cs="Arial"/>
          <w:spacing w:val="8"/>
          <w:sz w:val="20"/>
        </w:rPr>
        <w:t xml:space="preserve"> </w:t>
      </w:r>
      <w:r w:rsidRPr="00BA14C1">
        <w:rPr>
          <w:rFonts w:ascii="Arial" w:hAnsi="Arial" w:cs="Arial"/>
          <w:sz w:val="20"/>
        </w:rPr>
        <w:t>of</w:t>
      </w:r>
      <w:r w:rsidRPr="00BA14C1">
        <w:rPr>
          <w:rFonts w:ascii="Arial" w:hAnsi="Arial" w:cs="Arial"/>
          <w:spacing w:val="7"/>
          <w:sz w:val="20"/>
        </w:rPr>
        <w:t xml:space="preserve"> </w:t>
      </w:r>
      <w:r w:rsidRPr="00BA14C1">
        <w:rPr>
          <w:rFonts w:ascii="Arial" w:hAnsi="Arial" w:cs="Arial"/>
          <w:sz w:val="20"/>
        </w:rPr>
        <w:t>the</w:t>
      </w:r>
      <w:r w:rsidRPr="00BA14C1">
        <w:rPr>
          <w:rFonts w:ascii="Arial" w:hAnsi="Arial" w:cs="Arial"/>
          <w:spacing w:val="8"/>
          <w:sz w:val="20"/>
        </w:rPr>
        <w:t xml:space="preserve"> </w:t>
      </w:r>
      <w:r w:rsidRPr="00BA14C1">
        <w:rPr>
          <w:rFonts w:ascii="Arial" w:hAnsi="Arial" w:cs="Arial"/>
          <w:sz w:val="20"/>
        </w:rPr>
        <w:t>balloon</w:t>
      </w:r>
      <w:r w:rsidRPr="00BA14C1">
        <w:rPr>
          <w:rFonts w:ascii="Arial" w:hAnsi="Arial" w:cs="Arial"/>
          <w:spacing w:val="4"/>
          <w:sz w:val="20"/>
        </w:rPr>
        <w:t xml:space="preserve"> </w:t>
      </w:r>
      <w:r w:rsidRPr="00BA14C1">
        <w:rPr>
          <w:rFonts w:ascii="Arial" w:hAnsi="Arial" w:cs="Arial"/>
          <w:sz w:val="20"/>
        </w:rPr>
        <w:t>over</w:t>
      </w:r>
      <w:r w:rsidRPr="00BA14C1">
        <w:rPr>
          <w:rFonts w:ascii="Arial" w:hAnsi="Arial" w:cs="Arial"/>
          <w:spacing w:val="8"/>
          <w:sz w:val="20"/>
        </w:rPr>
        <w:t xml:space="preserve"> </w:t>
      </w:r>
      <w:r w:rsidRPr="00BA14C1">
        <w:rPr>
          <w:rFonts w:ascii="Arial" w:hAnsi="Arial" w:cs="Arial"/>
          <w:sz w:val="20"/>
        </w:rPr>
        <w:t>a</w:t>
      </w:r>
      <w:r w:rsidRPr="00BA14C1">
        <w:rPr>
          <w:rFonts w:ascii="Arial" w:hAnsi="Arial" w:cs="Arial"/>
          <w:spacing w:val="8"/>
          <w:sz w:val="20"/>
        </w:rPr>
        <w:t xml:space="preserve"> </w:t>
      </w:r>
      <w:r w:rsidRPr="00BA14C1">
        <w:rPr>
          <w:rFonts w:ascii="Arial" w:hAnsi="Arial" w:cs="Arial"/>
          <w:sz w:val="20"/>
        </w:rPr>
        <w:t>period</w:t>
      </w:r>
      <w:r w:rsidRPr="00BA14C1">
        <w:rPr>
          <w:rFonts w:ascii="Arial" w:hAnsi="Arial" w:cs="Arial"/>
          <w:spacing w:val="7"/>
          <w:sz w:val="20"/>
        </w:rPr>
        <w:t xml:space="preserve"> </w:t>
      </w:r>
      <w:r w:rsidRPr="00BA14C1">
        <w:rPr>
          <w:rFonts w:ascii="Arial" w:hAnsi="Arial" w:cs="Arial"/>
          <w:sz w:val="20"/>
        </w:rPr>
        <w:t>of</w:t>
      </w:r>
      <w:r w:rsidRPr="00BA14C1">
        <w:rPr>
          <w:rFonts w:ascii="Arial" w:hAnsi="Arial" w:cs="Arial"/>
          <w:spacing w:val="4"/>
          <w:sz w:val="20"/>
        </w:rPr>
        <w:t xml:space="preserve"> </w:t>
      </w:r>
      <w:r w:rsidRPr="00BA14C1">
        <w:rPr>
          <w:rFonts w:ascii="Arial" w:hAnsi="Arial" w:cs="Arial"/>
          <w:sz w:val="20"/>
        </w:rPr>
        <w:t>one</w:t>
      </w:r>
      <w:r w:rsidRPr="00BA14C1">
        <w:rPr>
          <w:rFonts w:ascii="Arial" w:hAnsi="Arial" w:cs="Arial"/>
          <w:spacing w:val="9"/>
          <w:sz w:val="20"/>
        </w:rPr>
        <w:t xml:space="preserve"> </w:t>
      </w:r>
      <w:r w:rsidRPr="00BA14C1">
        <w:rPr>
          <w:rFonts w:ascii="Arial" w:hAnsi="Arial" w:cs="Arial"/>
          <w:sz w:val="20"/>
        </w:rPr>
        <w:t>calendar</w:t>
      </w:r>
      <w:r w:rsidRPr="00BA14C1">
        <w:rPr>
          <w:rFonts w:ascii="Arial" w:hAnsi="Arial" w:cs="Arial"/>
          <w:spacing w:val="7"/>
          <w:sz w:val="20"/>
        </w:rPr>
        <w:t xml:space="preserve"> </w:t>
      </w:r>
      <w:r w:rsidRPr="00BA14C1">
        <w:rPr>
          <w:rFonts w:ascii="Arial" w:hAnsi="Arial" w:cs="Arial"/>
          <w:sz w:val="20"/>
        </w:rPr>
        <w:t>year.</w:t>
      </w:r>
      <w:r w:rsidRPr="00BA14C1">
        <w:rPr>
          <w:rFonts w:ascii="Arial" w:hAnsi="Arial" w:cs="Arial"/>
          <w:spacing w:val="5"/>
          <w:sz w:val="20"/>
        </w:rPr>
        <w:t xml:space="preserve"> </w:t>
      </w:r>
      <w:r w:rsidRPr="00BA14C1">
        <w:rPr>
          <w:rFonts w:ascii="Arial" w:hAnsi="Arial" w:cs="Arial"/>
          <w:sz w:val="20"/>
        </w:rPr>
        <w:t>There</w:t>
      </w:r>
      <w:r w:rsidRPr="00BA14C1">
        <w:rPr>
          <w:rFonts w:ascii="Arial" w:hAnsi="Arial" w:cs="Arial"/>
          <w:spacing w:val="8"/>
          <w:sz w:val="20"/>
        </w:rPr>
        <w:t xml:space="preserve"> </w:t>
      </w:r>
      <w:r w:rsidRPr="00BA14C1">
        <w:rPr>
          <w:rFonts w:ascii="Arial" w:hAnsi="Arial" w:cs="Arial"/>
          <w:sz w:val="20"/>
        </w:rPr>
        <w:t>is</w:t>
      </w:r>
      <w:r w:rsidRPr="00BA14C1">
        <w:rPr>
          <w:rFonts w:ascii="Arial" w:hAnsi="Arial" w:cs="Arial"/>
          <w:spacing w:val="7"/>
          <w:sz w:val="20"/>
        </w:rPr>
        <w:t xml:space="preserve"> </w:t>
      </w:r>
      <w:r w:rsidRPr="00BA14C1">
        <w:rPr>
          <w:rFonts w:ascii="Arial" w:hAnsi="Arial" w:cs="Arial"/>
          <w:sz w:val="20"/>
        </w:rPr>
        <w:t>no</w:t>
      </w:r>
      <w:r w:rsidRPr="00BA14C1">
        <w:rPr>
          <w:rFonts w:ascii="Arial" w:hAnsi="Arial" w:cs="Arial"/>
          <w:spacing w:val="6"/>
          <w:sz w:val="20"/>
        </w:rPr>
        <w:t xml:space="preserve"> </w:t>
      </w:r>
      <w:r w:rsidRPr="00BA14C1">
        <w:rPr>
          <w:rFonts w:ascii="Arial" w:hAnsi="Arial" w:cs="Arial"/>
          <w:sz w:val="20"/>
        </w:rPr>
        <w:t>element</w:t>
      </w:r>
      <w:r w:rsidRPr="00BA14C1">
        <w:rPr>
          <w:rFonts w:ascii="Arial" w:hAnsi="Arial" w:cs="Arial"/>
          <w:spacing w:val="-46"/>
          <w:sz w:val="20"/>
        </w:rPr>
        <w:t xml:space="preserve"> </w:t>
      </w:r>
      <w:r w:rsidRPr="00BA14C1">
        <w:rPr>
          <w:rFonts w:ascii="Arial" w:hAnsi="Arial" w:cs="Arial"/>
          <w:sz w:val="20"/>
        </w:rPr>
        <w:t>of</w:t>
      </w:r>
      <w:r w:rsidRPr="00BA14C1">
        <w:rPr>
          <w:rFonts w:ascii="Arial" w:hAnsi="Arial" w:cs="Arial"/>
          <w:spacing w:val="-1"/>
          <w:sz w:val="20"/>
        </w:rPr>
        <w:t xml:space="preserve"> </w:t>
      </w:r>
      <w:r w:rsidRPr="00BA14C1">
        <w:rPr>
          <w:rFonts w:ascii="Arial" w:hAnsi="Arial" w:cs="Arial"/>
          <w:sz w:val="20"/>
        </w:rPr>
        <w:t>profit</w:t>
      </w:r>
      <w:r w:rsidRPr="00BA14C1">
        <w:rPr>
          <w:rFonts w:ascii="Arial" w:hAnsi="Arial" w:cs="Arial"/>
          <w:spacing w:val="-2"/>
          <w:sz w:val="20"/>
        </w:rPr>
        <w:t xml:space="preserve"> </w:t>
      </w:r>
      <w:r w:rsidRPr="00BA14C1">
        <w:rPr>
          <w:rFonts w:ascii="Arial" w:hAnsi="Arial" w:cs="Arial"/>
          <w:sz w:val="20"/>
        </w:rPr>
        <w:t>or salary for the</w:t>
      </w:r>
      <w:r w:rsidRPr="00BA14C1">
        <w:rPr>
          <w:rFonts w:ascii="Arial" w:hAnsi="Arial" w:cs="Arial"/>
          <w:spacing w:val="1"/>
          <w:sz w:val="20"/>
        </w:rPr>
        <w:t xml:space="preserve"> </w:t>
      </w:r>
      <w:r w:rsidRPr="00BA14C1">
        <w:rPr>
          <w:rFonts w:ascii="Arial" w:hAnsi="Arial" w:cs="Arial"/>
          <w:sz w:val="20"/>
        </w:rPr>
        <w:t>pilot.</w:t>
      </w:r>
    </w:p>
    <w:p w14:paraId="38C04F7D" w14:textId="77777777" w:rsidR="00BA14C1" w:rsidRPr="00523393" w:rsidRDefault="00BA14C1" w:rsidP="009601C2">
      <w:pPr>
        <w:keepNext/>
        <w:keepLines/>
        <w:widowControl/>
        <w:shd w:val="clear" w:color="auto" w:fill="339966"/>
        <w:autoSpaceDE/>
        <w:autoSpaceDN/>
        <w:spacing w:before="160" w:after="120" w:line="276" w:lineRule="auto"/>
        <w:outlineLvl w:val="4"/>
        <w:rPr>
          <w:rFonts w:ascii="Arial" w:eastAsia="Times New Roman" w:hAnsi="Arial" w:cs="Times New Roman"/>
          <w:b/>
          <w:color w:val="FFFFFF"/>
          <w:sz w:val="24"/>
        </w:rPr>
      </w:pPr>
      <w:bookmarkStart w:id="14" w:name="_Toc153137176"/>
      <w:r w:rsidRPr="00523393">
        <w:rPr>
          <w:rFonts w:ascii="Arial" w:eastAsia="Times New Roman" w:hAnsi="Arial" w:cs="Times New Roman"/>
          <w:b/>
          <w:color w:val="FFFFFF"/>
          <w:sz w:val="24"/>
        </w:rPr>
        <w:t>GM1 Article 3(2)(c) Air operations</w:t>
      </w:r>
      <w:bookmarkEnd w:id="14"/>
    </w:p>
    <w:p w14:paraId="44B63FB5" w14:textId="77777777" w:rsidR="00BA14C1" w:rsidRPr="00BA14C1" w:rsidRDefault="00BA14C1" w:rsidP="0090411E">
      <w:pPr>
        <w:pStyle w:val="BodyText"/>
        <w:spacing w:before="118" w:line="276" w:lineRule="auto"/>
        <w:ind w:right="95"/>
        <w:jc w:val="both"/>
        <w:rPr>
          <w:rFonts w:ascii="Arial" w:hAnsi="Arial" w:cs="Arial"/>
          <w:b/>
          <w:sz w:val="18"/>
        </w:rPr>
      </w:pPr>
      <w:r w:rsidRPr="00BA14C1">
        <w:rPr>
          <w:rFonts w:ascii="Arial" w:hAnsi="Arial" w:cs="Arial"/>
          <w:b/>
          <w:sz w:val="20"/>
        </w:rPr>
        <w:t>ORGANISATION CREATED FOR THE PURPOSES OF PROMOTING AERIAL SPORT OR LEISURE AVIATION</w:t>
      </w:r>
      <w:r w:rsidRPr="00BA14C1">
        <w:rPr>
          <w:rFonts w:ascii="Arial" w:hAnsi="Arial" w:cs="Arial"/>
          <w:b/>
          <w:sz w:val="18"/>
        </w:rPr>
        <w:t xml:space="preserve"> </w:t>
      </w:r>
    </w:p>
    <w:p w14:paraId="68AF5F96" w14:textId="23F33575" w:rsidR="00BA14C1" w:rsidRPr="004423F1" w:rsidRDefault="00BA14C1" w:rsidP="0090411E">
      <w:pPr>
        <w:spacing w:before="121" w:line="276" w:lineRule="auto"/>
        <w:ind w:right="95"/>
        <w:jc w:val="both"/>
        <w:rPr>
          <w:rFonts w:ascii="Arial" w:hAnsi="Arial" w:cs="Arial"/>
          <w:sz w:val="20"/>
        </w:rPr>
      </w:pPr>
      <w:r w:rsidRPr="00BA14C1">
        <w:rPr>
          <w:rFonts w:ascii="Arial" w:hAnsi="Arial" w:cs="Arial"/>
          <w:sz w:val="20"/>
        </w:rPr>
        <w:t>An ‘organisation created for the purposes of promoting aerial sport or leisure aviation’ means a non- profit organisation established under applicable national law for the sole purpose of gathering persons sharing the same interest in general aviation to fly for pleasure or to conduct parachute jumping. The organisation should have balloons available.</w:t>
      </w:r>
    </w:p>
    <w:p w14:paraId="2AF2EDBD" w14:textId="77777777" w:rsidR="00BA14C1" w:rsidRPr="00523393" w:rsidRDefault="00BA14C1" w:rsidP="009601C2">
      <w:pPr>
        <w:keepNext/>
        <w:keepLines/>
        <w:widowControl/>
        <w:shd w:val="clear" w:color="auto" w:fill="339966"/>
        <w:autoSpaceDE/>
        <w:autoSpaceDN/>
        <w:spacing w:before="160" w:after="120" w:line="276" w:lineRule="auto"/>
        <w:outlineLvl w:val="4"/>
        <w:rPr>
          <w:rFonts w:ascii="Arial" w:eastAsia="Times New Roman" w:hAnsi="Arial" w:cs="Times New Roman"/>
          <w:b/>
          <w:color w:val="FFFFFF"/>
          <w:sz w:val="24"/>
        </w:rPr>
      </w:pPr>
      <w:bookmarkStart w:id="15" w:name="_Toc153137177"/>
      <w:r w:rsidRPr="00523393">
        <w:rPr>
          <w:rFonts w:ascii="Arial" w:eastAsia="Times New Roman" w:hAnsi="Arial" w:cs="Times New Roman"/>
          <w:b/>
          <w:color w:val="FFFFFF"/>
          <w:sz w:val="24"/>
        </w:rPr>
        <w:t>GM2 Article 3(2)(c) Air operations</w:t>
      </w:r>
      <w:bookmarkEnd w:id="15"/>
    </w:p>
    <w:p w14:paraId="449722E2" w14:textId="77777777" w:rsidR="00BA14C1" w:rsidRPr="00BA14C1" w:rsidRDefault="00BA14C1" w:rsidP="0090411E">
      <w:pPr>
        <w:pStyle w:val="BodyText"/>
        <w:spacing w:before="118" w:line="276" w:lineRule="auto"/>
        <w:ind w:right="95"/>
        <w:jc w:val="both"/>
        <w:rPr>
          <w:rFonts w:ascii="Arial" w:hAnsi="Arial" w:cs="Arial"/>
          <w:b/>
          <w:sz w:val="18"/>
        </w:rPr>
      </w:pPr>
      <w:r>
        <w:rPr>
          <w:rFonts w:ascii="Arial" w:hAnsi="Arial" w:cs="Arial"/>
          <w:b/>
          <w:sz w:val="20"/>
        </w:rPr>
        <w:t xml:space="preserve">MARGINAL ACTIVITY </w:t>
      </w:r>
    </w:p>
    <w:p w14:paraId="365684E3" w14:textId="27499B04" w:rsidR="00F236DB" w:rsidRDefault="00BA14C1" w:rsidP="0090411E">
      <w:pPr>
        <w:spacing w:before="121" w:line="276" w:lineRule="auto"/>
        <w:ind w:right="95"/>
        <w:jc w:val="both"/>
        <w:rPr>
          <w:rFonts w:ascii="Arial" w:hAnsi="Arial" w:cs="Arial"/>
          <w:sz w:val="20"/>
        </w:rPr>
      </w:pPr>
      <w:r w:rsidRPr="00BA14C1">
        <w:rPr>
          <w:rFonts w:ascii="Arial" w:hAnsi="Arial" w:cs="Arial"/>
          <w:sz w:val="20"/>
        </w:rPr>
        <w:t>The term ‘marginal activity’ should be understood as representing a very minor part of the overall activity of an organisation, mainly for the purpose of promoting itself or attracting new students or members. An organisation intending to offer such flights as a regular business activity is not considered to meet the condition of marginal activity. Also, flights organised with the sole intent to generate income for the organisation are not considered to be a marginal activity.</w:t>
      </w:r>
    </w:p>
    <w:p w14:paraId="3034D980" w14:textId="77777777" w:rsidR="00F236DB" w:rsidRPr="00523393" w:rsidRDefault="00F236DB" w:rsidP="009601C2">
      <w:pPr>
        <w:keepNext/>
        <w:keepLines/>
        <w:widowControl/>
        <w:shd w:val="clear" w:color="auto" w:fill="2F5496"/>
        <w:autoSpaceDE/>
        <w:autoSpaceDN/>
        <w:spacing w:before="280" w:after="240" w:line="276" w:lineRule="auto"/>
        <w:outlineLvl w:val="3"/>
        <w:rPr>
          <w:rFonts w:ascii="Arial" w:eastAsia="Times New Roman" w:hAnsi="Arial" w:cs="Times New Roman"/>
          <w:b/>
          <w:iCs/>
          <w:color w:val="FFFFFF"/>
          <w:sz w:val="24"/>
        </w:rPr>
      </w:pPr>
      <w:bookmarkStart w:id="16" w:name="_Toc153137178"/>
      <w:r w:rsidRPr="00523393">
        <w:rPr>
          <w:rFonts w:ascii="Arial" w:eastAsia="Times New Roman" w:hAnsi="Arial" w:cs="Times New Roman"/>
          <w:b/>
          <w:iCs/>
          <w:color w:val="FFFFFF"/>
          <w:sz w:val="24"/>
        </w:rPr>
        <w:t>Article 3a Pilot licenses and certification</w:t>
      </w:r>
      <w:bookmarkEnd w:id="16"/>
    </w:p>
    <w:p w14:paraId="7688BF97" w14:textId="6221089B" w:rsidR="00F236DB" w:rsidRPr="00CE51BF" w:rsidRDefault="00C642EF" w:rsidP="0090411E">
      <w:pPr>
        <w:pStyle w:val="ListParagraph"/>
        <w:numPr>
          <w:ilvl w:val="0"/>
          <w:numId w:val="5"/>
        </w:numPr>
        <w:tabs>
          <w:tab w:val="left" w:pos="707"/>
        </w:tabs>
        <w:spacing w:line="276" w:lineRule="auto"/>
        <w:ind w:right="95"/>
        <w:jc w:val="both"/>
        <w:rPr>
          <w:rFonts w:ascii="Arial" w:hAnsi="Arial" w:cs="Arial"/>
          <w:sz w:val="20"/>
        </w:rPr>
      </w:pPr>
      <w:r>
        <w:rPr>
          <w:rFonts w:ascii="Arial" w:hAnsi="Arial" w:cs="Arial"/>
          <w:sz w:val="20"/>
        </w:rPr>
        <w:t>P</w:t>
      </w:r>
      <w:r w:rsidR="00F236DB" w:rsidRPr="00CE51BF">
        <w:rPr>
          <w:rFonts w:ascii="Arial" w:hAnsi="Arial" w:cs="Arial"/>
          <w:sz w:val="20"/>
        </w:rPr>
        <w:t xml:space="preserve">ilots of aircraft referred to in Article 1(1) of this Regulation shall comply with the technical requirements and administrative procedures laid down in Annex III (Part-BFCL) to this Regulation and in Annex IV (Part-MED) to </w:t>
      </w:r>
      <w:hyperlink r:id="rId19" w:history="1">
        <w:r w:rsidR="002C2EB2" w:rsidRPr="00980819">
          <w:rPr>
            <w:rStyle w:val="Hyperlink"/>
            <w:rFonts w:ascii="Arial" w:hAnsi="Arial" w:cs="Arial"/>
            <w:sz w:val="20"/>
          </w:rPr>
          <w:t>the order N 3-N of the Minister of Territorial Administration and Infrastructure of RA, dated 11.02.2022</w:t>
        </w:r>
      </w:hyperlink>
      <w:r w:rsidR="002C2EB2">
        <w:rPr>
          <w:rFonts w:ascii="Arial" w:hAnsi="Arial" w:cs="Arial"/>
          <w:sz w:val="20"/>
        </w:rPr>
        <w:t>.</w:t>
      </w:r>
    </w:p>
    <w:p w14:paraId="772AF79E" w14:textId="77777777" w:rsidR="00F236DB" w:rsidRPr="00CE51BF" w:rsidRDefault="00F236DB" w:rsidP="0090411E">
      <w:pPr>
        <w:pStyle w:val="ListParagraph"/>
        <w:numPr>
          <w:ilvl w:val="0"/>
          <w:numId w:val="5"/>
        </w:numPr>
        <w:tabs>
          <w:tab w:val="left" w:pos="707"/>
        </w:tabs>
        <w:spacing w:before="119" w:line="276" w:lineRule="auto"/>
        <w:ind w:right="95"/>
        <w:jc w:val="both"/>
        <w:rPr>
          <w:rFonts w:ascii="Arial" w:hAnsi="Arial" w:cs="Arial"/>
          <w:sz w:val="20"/>
        </w:rPr>
      </w:pPr>
      <w:r w:rsidRPr="00CE51BF">
        <w:rPr>
          <w:rFonts w:ascii="Arial" w:hAnsi="Arial" w:cs="Arial"/>
          <w:sz w:val="20"/>
        </w:rPr>
        <w:t>As an exception to the privileges of the holders of licences as defined in Annex III (Part-BFCL) to this Regulation, holders of such licences may carry out flights referred to in Article 3(2)(a) to (d) without complying with point BFCL.215 of Annex III (Part-BFCL) to this Regulation.</w:t>
      </w:r>
    </w:p>
    <w:p w14:paraId="466A5AAA" w14:textId="74B0E5C2" w:rsidR="00DB1431" w:rsidRPr="00CE51BF" w:rsidRDefault="00F301A3" w:rsidP="0090411E">
      <w:pPr>
        <w:pStyle w:val="ListParagraph"/>
        <w:numPr>
          <w:ilvl w:val="0"/>
          <w:numId w:val="5"/>
        </w:numPr>
        <w:tabs>
          <w:tab w:val="left" w:pos="707"/>
        </w:tabs>
        <w:spacing w:before="57" w:line="276" w:lineRule="auto"/>
        <w:ind w:right="95"/>
        <w:jc w:val="both"/>
        <w:rPr>
          <w:rFonts w:ascii="Arial" w:hAnsi="Arial" w:cs="Arial"/>
          <w:sz w:val="20"/>
        </w:rPr>
      </w:pPr>
      <w:r>
        <w:rPr>
          <w:rFonts w:ascii="Arial" w:hAnsi="Arial" w:cs="Arial"/>
          <w:sz w:val="20"/>
        </w:rPr>
        <w:t>The Republic of Armenia</w:t>
      </w:r>
      <w:r w:rsidR="00DB1431" w:rsidRPr="00CE51BF">
        <w:rPr>
          <w:rFonts w:ascii="Arial" w:hAnsi="Arial" w:cs="Arial"/>
          <w:sz w:val="20"/>
        </w:rPr>
        <w:t xml:space="preserve"> may authorise student pilots who follow a balloon pilot licence (“BPL”) training course to exercise limited privileges without supervision before they meet all the requirements that are necessary for the issue of a BPL in accordance with Annex III (Part-BFCL), subject to all of the following conditions:</w:t>
      </w:r>
    </w:p>
    <w:p w14:paraId="792505BE" w14:textId="584F2695" w:rsidR="00DB1431" w:rsidRPr="00CE51BF" w:rsidRDefault="00DB1431" w:rsidP="0090411E">
      <w:pPr>
        <w:pStyle w:val="ListParagraph"/>
        <w:numPr>
          <w:ilvl w:val="1"/>
          <w:numId w:val="5"/>
        </w:numPr>
        <w:tabs>
          <w:tab w:val="left" w:pos="1274"/>
        </w:tabs>
        <w:spacing w:before="118" w:line="276" w:lineRule="auto"/>
        <w:ind w:right="95"/>
        <w:jc w:val="both"/>
        <w:rPr>
          <w:rFonts w:ascii="Arial" w:hAnsi="Arial" w:cs="Arial"/>
          <w:sz w:val="20"/>
        </w:rPr>
      </w:pPr>
      <w:r w:rsidRPr="00CE51BF">
        <w:rPr>
          <w:rFonts w:ascii="Arial" w:hAnsi="Arial" w:cs="Arial"/>
          <w:sz w:val="20"/>
        </w:rPr>
        <w:t xml:space="preserve">the scope of the privileges granted shall be based on a safety risk assessment carried out by </w:t>
      </w:r>
      <w:r w:rsidR="005F5690" w:rsidRPr="00C1366B">
        <w:rPr>
          <w:rFonts w:ascii="Arial" w:hAnsi="Arial" w:cs="Arial"/>
          <w:sz w:val="20"/>
        </w:rPr>
        <w:t>the Republic of Armenia</w:t>
      </w:r>
      <w:r w:rsidRPr="00CE51BF">
        <w:rPr>
          <w:rFonts w:ascii="Arial" w:hAnsi="Arial" w:cs="Arial"/>
          <w:sz w:val="20"/>
        </w:rPr>
        <w:t>, taking into account the extent of training necessary for the intended level of pilot competence to be achieved;</w:t>
      </w:r>
    </w:p>
    <w:p w14:paraId="1C5A4FFF" w14:textId="77777777" w:rsidR="00DB1431" w:rsidRPr="00CE51BF" w:rsidRDefault="00DB1431" w:rsidP="009601C2">
      <w:pPr>
        <w:pStyle w:val="ListParagraph"/>
        <w:numPr>
          <w:ilvl w:val="1"/>
          <w:numId w:val="5"/>
        </w:numPr>
        <w:tabs>
          <w:tab w:val="left" w:pos="1274"/>
        </w:tabs>
        <w:spacing w:before="121" w:line="276" w:lineRule="auto"/>
        <w:ind w:hanging="568"/>
        <w:jc w:val="both"/>
        <w:rPr>
          <w:rFonts w:ascii="Arial" w:hAnsi="Arial" w:cs="Arial"/>
          <w:sz w:val="20"/>
        </w:rPr>
      </w:pPr>
      <w:r w:rsidRPr="00CE51BF">
        <w:rPr>
          <w:rFonts w:ascii="Arial" w:hAnsi="Arial" w:cs="Arial"/>
          <w:sz w:val="20"/>
        </w:rPr>
        <w:t>the privileges shall be limited to the following:</w:t>
      </w:r>
    </w:p>
    <w:p w14:paraId="4FBBBAC9" w14:textId="5EAAC089" w:rsidR="00DB1431" w:rsidRPr="00CE51BF" w:rsidRDefault="00DB1431" w:rsidP="009601C2">
      <w:pPr>
        <w:pStyle w:val="ListParagraph"/>
        <w:numPr>
          <w:ilvl w:val="2"/>
          <w:numId w:val="5"/>
        </w:numPr>
        <w:tabs>
          <w:tab w:val="left" w:pos="1842"/>
        </w:tabs>
        <w:spacing w:line="276" w:lineRule="auto"/>
        <w:jc w:val="both"/>
        <w:rPr>
          <w:rFonts w:ascii="Arial" w:hAnsi="Arial" w:cs="Arial"/>
          <w:sz w:val="20"/>
        </w:rPr>
      </w:pPr>
      <w:r w:rsidRPr="00CE51BF">
        <w:rPr>
          <w:rFonts w:ascii="Arial" w:hAnsi="Arial" w:cs="Arial"/>
          <w:sz w:val="20"/>
        </w:rPr>
        <w:t xml:space="preserve">the whole or part of the national territory of </w:t>
      </w:r>
      <w:r w:rsidR="005F5690" w:rsidRPr="00C1366B">
        <w:rPr>
          <w:rFonts w:ascii="Arial" w:hAnsi="Arial" w:cs="Arial"/>
          <w:sz w:val="20"/>
        </w:rPr>
        <w:t>the Republic of Armenia</w:t>
      </w:r>
      <w:r w:rsidRPr="00CE51BF">
        <w:rPr>
          <w:rFonts w:ascii="Arial" w:hAnsi="Arial" w:cs="Arial"/>
          <w:sz w:val="20"/>
        </w:rPr>
        <w:t>;</w:t>
      </w:r>
    </w:p>
    <w:p w14:paraId="6FF97FFE" w14:textId="692FDB59" w:rsidR="00DB1431" w:rsidRPr="00CE51BF" w:rsidRDefault="00DB1431" w:rsidP="009601C2">
      <w:pPr>
        <w:pStyle w:val="ListParagraph"/>
        <w:numPr>
          <w:ilvl w:val="2"/>
          <w:numId w:val="5"/>
        </w:numPr>
        <w:tabs>
          <w:tab w:val="left" w:pos="1842"/>
        </w:tabs>
        <w:spacing w:before="121" w:line="276" w:lineRule="auto"/>
        <w:jc w:val="both"/>
        <w:rPr>
          <w:rFonts w:ascii="Arial" w:hAnsi="Arial" w:cs="Arial"/>
          <w:sz w:val="20"/>
        </w:rPr>
      </w:pPr>
      <w:r w:rsidRPr="00CE51BF">
        <w:rPr>
          <w:rFonts w:ascii="Arial" w:hAnsi="Arial" w:cs="Arial"/>
          <w:sz w:val="20"/>
        </w:rPr>
        <w:t xml:space="preserve">balloons that are registered in </w:t>
      </w:r>
      <w:r w:rsidR="005F5690" w:rsidRPr="00C1366B">
        <w:rPr>
          <w:rFonts w:ascii="Arial" w:hAnsi="Arial" w:cs="Arial"/>
          <w:sz w:val="20"/>
        </w:rPr>
        <w:t>the Republic of Armenia</w:t>
      </w:r>
      <w:r w:rsidRPr="00CE51BF">
        <w:rPr>
          <w:rFonts w:ascii="Arial" w:hAnsi="Arial" w:cs="Arial"/>
          <w:sz w:val="20"/>
        </w:rPr>
        <w:t>;</w:t>
      </w:r>
    </w:p>
    <w:p w14:paraId="51B01E58" w14:textId="77777777" w:rsidR="00DB1431" w:rsidRPr="00CE51BF" w:rsidRDefault="00DB1431" w:rsidP="009601C2">
      <w:pPr>
        <w:pStyle w:val="ListParagraph"/>
        <w:numPr>
          <w:ilvl w:val="1"/>
          <w:numId w:val="5"/>
        </w:numPr>
        <w:tabs>
          <w:tab w:val="left" w:pos="1274"/>
        </w:tabs>
        <w:spacing w:line="276" w:lineRule="auto"/>
        <w:ind w:right="193"/>
        <w:jc w:val="both"/>
        <w:rPr>
          <w:rFonts w:ascii="Arial" w:hAnsi="Arial" w:cs="Arial"/>
          <w:sz w:val="20"/>
        </w:rPr>
      </w:pPr>
      <w:r w:rsidRPr="00CE51BF">
        <w:rPr>
          <w:rFonts w:ascii="Arial" w:hAnsi="Arial" w:cs="Arial"/>
          <w:sz w:val="20"/>
        </w:rPr>
        <w:t>the holder of such an authorisation who applies for the issue of a BPL shall receive credits for training conducted under the authorisation on the basis of a recommendation from an approved training organisation (“ATO”) or a declared training organisation (“DTO”);</w:t>
      </w:r>
    </w:p>
    <w:p w14:paraId="6C890589" w14:textId="296E8A48" w:rsidR="00DB1431" w:rsidRPr="00CE51BF" w:rsidRDefault="00E74255" w:rsidP="009601C2">
      <w:pPr>
        <w:pStyle w:val="ListParagraph"/>
        <w:numPr>
          <w:ilvl w:val="1"/>
          <w:numId w:val="5"/>
        </w:numPr>
        <w:tabs>
          <w:tab w:val="left" w:pos="1274"/>
        </w:tabs>
        <w:spacing w:before="119" w:line="276" w:lineRule="auto"/>
        <w:ind w:right="200"/>
        <w:jc w:val="both"/>
        <w:rPr>
          <w:rFonts w:ascii="Arial" w:hAnsi="Arial" w:cs="Arial"/>
          <w:sz w:val="20"/>
        </w:rPr>
      </w:pPr>
      <w:r>
        <w:rPr>
          <w:rFonts w:ascii="Arial" w:hAnsi="Arial" w:cs="Arial"/>
          <w:sz w:val="20"/>
        </w:rPr>
        <w:t xml:space="preserve">the </w:t>
      </w:r>
      <w:r w:rsidR="00F301A3">
        <w:rPr>
          <w:rFonts w:ascii="Arial" w:hAnsi="Arial" w:cs="Arial"/>
          <w:sz w:val="20"/>
        </w:rPr>
        <w:t>Republic of Armenia</w:t>
      </w:r>
      <w:r w:rsidR="00DB1431" w:rsidRPr="00CE51BF">
        <w:rPr>
          <w:rFonts w:ascii="Arial" w:hAnsi="Arial" w:cs="Arial"/>
          <w:sz w:val="20"/>
        </w:rPr>
        <w:t xml:space="preserve"> shall submit reports and safety risk assessments to the Commissio</w:t>
      </w:r>
      <w:r>
        <w:rPr>
          <w:rFonts w:ascii="Arial" w:hAnsi="Arial" w:cs="Arial"/>
          <w:sz w:val="20"/>
        </w:rPr>
        <w:t xml:space="preserve">n and </w:t>
      </w:r>
      <w:r w:rsidRPr="00F301A3">
        <w:rPr>
          <w:rFonts w:ascii="Arial" w:hAnsi="Arial" w:cs="Arial"/>
          <w:sz w:val="20"/>
        </w:rPr>
        <w:t>the CAC RA</w:t>
      </w:r>
      <w:r w:rsidR="00DB1431" w:rsidRPr="00F301A3">
        <w:rPr>
          <w:rFonts w:ascii="Arial" w:hAnsi="Arial" w:cs="Arial"/>
          <w:sz w:val="20"/>
        </w:rPr>
        <w:t xml:space="preserve"> every</w:t>
      </w:r>
      <w:r w:rsidR="00DB1431" w:rsidRPr="00CE51BF">
        <w:rPr>
          <w:rFonts w:ascii="Arial" w:hAnsi="Arial" w:cs="Arial"/>
          <w:sz w:val="20"/>
        </w:rPr>
        <w:t xml:space="preserve"> 3 years;</w:t>
      </w:r>
    </w:p>
    <w:p w14:paraId="08999DB2" w14:textId="1C78F4B2" w:rsidR="00CC00BB" w:rsidRPr="00666FA1" w:rsidRDefault="00E74255" w:rsidP="009601C2">
      <w:pPr>
        <w:pStyle w:val="ListParagraph"/>
        <w:numPr>
          <w:ilvl w:val="1"/>
          <w:numId w:val="5"/>
        </w:numPr>
        <w:tabs>
          <w:tab w:val="left" w:pos="1274"/>
        </w:tabs>
        <w:spacing w:line="276" w:lineRule="auto"/>
        <w:ind w:right="197"/>
        <w:jc w:val="both"/>
        <w:rPr>
          <w:rFonts w:ascii="Arial" w:hAnsi="Arial" w:cs="Arial"/>
          <w:sz w:val="20"/>
        </w:rPr>
      </w:pPr>
      <w:r>
        <w:rPr>
          <w:rFonts w:ascii="Arial" w:hAnsi="Arial" w:cs="Arial"/>
          <w:sz w:val="20"/>
        </w:rPr>
        <w:lastRenderedPageBreak/>
        <w:t xml:space="preserve">the </w:t>
      </w:r>
      <w:r w:rsidR="008A63A0">
        <w:rPr>
          <w:rFonts w:ascii="Arial" w:hAnsi="Arial" w:cs="Arial"/>
          <w:sz w:val="20"/>
        </w:rPr>
        <w:t>Republic of Armenia</w:t>
      </w:r>
      <w:r w:rsidR="00DB1431" w:rsidRPr="00CE51BF">
        <w:rPr>
          <w:rFonts w:ascii="Arial" w:hAnsi="Arial" w:cs="Arial"/>
          <w:sz w:val="20"/>
        </w:rPr>
        <w:t xml:space="preserve"> shall monitor the use of authorisations issued under this paragraph to ensure an acceptable level of aviation safety and take appropriate action in case of identifying an increased safety risk or any safety concerns.</w:t>
      </w:r>
    </w:p>
    <w:p w14:paraId="203058B4" w14:textId="336DC85D" w:rsidR="00CC00BB" w:rsidRPr="008A63A0" w:rsidRDefault="00CC00BB" w:rsidP="008A63A0">
      <w:pPr>
        <w:keepNext/>
        <w:keepLines/>
        <w:widowControl/>
        <w:shd w:val="clear" w:color="auto" w:fill="2F5496"/>
        <w:autoSpaceDE/>
        <w:autoSpaceDN/>
        <w:spacing w:before="280" w:after="240" w:line="276" w:lineRule="auto"/>
        <w:outlineLvl w:val="3"/>
        <w:rPr>
          <w:rFonts w:ascii="Arial" w:eastAsia="Times New Roman" w:hAnsi="Arial" w:cs="Times New Roman"/>
          <w:b/>
          <w:iCs/>
          <w:color w:val="FFFFFF"/>
          <w:sz w:val="24"/>
        </w:rPr>
      </w:pPr>
      <w:bookmarkStart w:id="17" w:name="_Toc153137179"/>
      <w:r w:rsidRPr="00523393">
        <w:rPr>
          <w:rFonts w:ascii="Arial" w:eastAsia="Times New Roman" w:hAnsi="Arial" w:cs="Times New Roman"/>
          <w:b/>
          <w:iCs/>
          <w:color w:val="FFFFFF"/>
          <w:sz w:val="24"/>
        </w:rPr>
        <w:t>Article 3b Existing pilot licenses and national medical certificates</w:t>
      </w:r>
      <w:bookmarkEnd w:id="17"/>
      <w:r w:rsidRPr="00523393">
        <w:rPr>
          <w:rFonts w:ascii="Arial" w:eastAsia="Times New Roman" w:hAnsi="Arial" w:cs="Times New Roman"/>
          <w:b/>
          <w:iCs/>
          <w:color w:val="FFFFFF"/>
          <w:sz w:val="24"/>
        </w:rPr>
        <w:t xml:space="preserve"> </w:t>
      </w:r>
    </w:p>
    <w:p w14:paraId="79C7C682" w14:textId="6054C70A" w:rsidR="00CC00BB" w:rsidRPr="00CC00BB" w:rsidRDefault="00CC00BB" w:rsidP="0090411E">
      <w:pPr>
        <w:pStyle w:val="ListParagraph"/>
        <w:numPr>
          <w:ilvl w:val="0"/>
          <w:numId w:val="6"/>
        </w:numPr>
        <w:tabs>
          <w:tab w:val="left" w:pos="707"/>
        </w:tabs>
        <w:spacing w:before="118" w:line="276" w:lineRule="auto"/>
        <w:ind w:right="95"/>
        <w:jc w:val="both"/>
        <w:rPr>
          <w:rFonts w:ascii="Arial" w:hAnsi="Arial" w:cs="Arial"/>
          <w:sz w:val="20"/>
        </w:rPr>
      </w:pPr>
      <w:r w:rsidRPr="00CC00BB">
        <w:rPr>
          <w:rFonts w:ascii="Arial" w:hAnsi="Arial" w:cs="Arial"/>
          <w:sz w:val="20"/>
        </w:rPr>
        <w:t>Part-FCL licences for balloons and associated privileges, ratings and certificates issued by</w:t>
      </w:r>
      <w:r w:rsidR="005F5690" w:rsidRPr="005F5690">
        <w:rPr>
          <w:rFonts w:ascii="Arial" w:hAnsi="Arial" w:cs="Arial"/>
          <w:sz w:val="20"/>
        </w:rPr>
        <w:t xml:space="preserve"> </w:t>
      </w:r>
      <w:r w:rsidR="005F5690" w:rsidRPr="00C1366B">
        <w:rPr>
          <w:rFonts w:ascii="Arial" w:hAnsi="Arial" w:cs="Arial"/>
          <w:sz w:val="20"/>
        </w:rPr>
        <w:t>the Republic of Armenia</w:t>
      </w:r>
      <w:r w:rsidR="005F5690" w:rsidRPr="00CC00BB">
        <w:rPr>
          <w:rFonts w:ascii="Arial" w:hAnsi="Arial" w:cs="Arial"/>
          <w:sz w:val="20"/>
        </w:rPr>
        <w:t xml:space="preserve"> </w:t>
      </w:r>
      <w:r w:rsidRPr="00CC00BB">
        <w:rPr>
          <w:rFonts w:ascii="Arial" w:hAnsi="Arial" w:cs="Arial"/>
          <w:sz w:val="20"/>
        </w:rPr>
        <w:t xml:space="preserve">before the date of application of this Regulation shall be deemed to have been issued in accordance with this Regulation. </w:t>
      </w:r>
      <w:r w:rsidR="005F5690">
        <w:rPr>
          <w:rFonts w:ascii="Arial" w:hAnsi="Arial" w:cs="Arial"/>
          <w:sz w:val="20"/>
        </w:rPr>
        <w:t>T</w:t>
      </w:r>
      <w:r w:rsidR="005F5690" w:rsidRPr="00C1366B">
        <w:rPr>
          <w:rFonts w:ascii="Arial" w:hAnsi="Arial" w:cs="Arial"/>
          <w:sz w:val="20"/>
        </w:rPr>
        <w:t>he Republic of Armenia</w:t>
      </w:r>
      <w:r w:rsidR="005F5690" w:rsidRPr="00CC00BB">
        <w:rPr>
          <w:rFonts w:ascii="Arial" w:hAnsi="Arial" w:cs="Arial"/>
          <w:sz w:val="20"/>
        </w:rPr>
        <w:t xml:space="preserve"> </w:t>
      </w:r>
      <w:r w:rsidRPr="00CC00BB">
        <w:rPr>
          <w:rFonts w:ascii="Arial" w:hAnsi="Arial" w:cs="Arial"/>
          <w:sz w:val="20"/>
        </w:rPr>
        <w:t xml:space="preserve">shall replace those licences with licences that comply with the format laid down in Annex VI (Part-ARA) to </w:t>
      </w:r>
      <w:hyperlink r:id="rId20" w:history="1">
        <w:r w:rsidR="008A63A0" w:rsidRPr="00980819">
          <w:rPr>
            <w:rStyle w:val="Hyperlink"/>
            <w:rFonts w:ascii="Arial" w:hAnsi="Arial" w:cs="Arial"/>
            <w:sz w:val="20"/>
          </w:rPr>
          <w:t>the order N 3-N of the Minister of Territorial Administration and Infrastructure of RA, dated 11.02.2022</w:t>
        </w:r>
      </w:hyperlink>
      <w:r w:rsidR="008A63A0">
        <w:rPr>
          <w:rFonts w:ascii="Arial" w:hAnsi="Arial" w:cs="Arial"/>
          <w:sz w:val="20"/>
        </w:rPr>
        <w:t xml:space="preserve"> </w:t>
      </w:r>
      <w:r w:rsidRPr="00CC00BB">
        <w:rPr>
          <w:rFonts w:ascii="Arial" w:hAnsi="Arial" w:cs="Arial"/>
          <w:sz w:val="20"/>
        </w:rPr>
        <w:t>when they reissue licences for administrative reasons or upon a request of licence holders.</w:t>
      </w:r>
    </w:p>
    <w:p w14:paraId="00175042" w14:textId="5D8EBA34" w:rsidR="00CC00BB" w:rsidRPr="00CC00BB" w:rsidRDefault="00CC00BB" w:rsidP="0090411E">
      <w:pPr>
        <w:pStyle w:val="ListParagraph"/>
        <w:numPr>
          <w:ilvl w:val="0"/>
          <w:numId w:val="6"/>
        </w:numPr>
        <w:tabs>
          <w:tab w:val="left" w:pos="707"/>
        </w:tabs>
        <w:spacing w:line="276" w:lineRule="auto"/>
        <w:ind w:right="95"/>
        <w:jc w:val="both"/>
        <w:rPr>
          <w:rFonts w:ascii="Arial" w:hAnsi="Arial" w:cs="Arial"/>
          <w:sz w:val="20"/>
        </w:rPr>
      </w:pPr>
      <w:r w:rsidRPr="00CC00BB">
        <w:rPr>
          <w:rFonts w:ascii="Arial" w:hAnsi="Arial" w:cs="Arial"/>
          <w:sz w:val="20"/>
        </w:rPr>
        <w:t xml:space="preserve">When a </w:t>
      </w:r>
      <w:r w:rsidR="00D13283">
        <w:rPr>
          <w:rFonts w:ascii="Arial" w:hAnsi="Arial" w:cs="Arial"/>
          <w:sz w:val="20"/>
        </w:rPr>
        <w:t xml:space="preserve">the Republic of Armenia </w:t>
      </w:r>
      <w:r w:rsidRPr="00CC00BB">
        <w:rPr>
          <w:rFonts w:ascii="Arial" w:hAnsi="Arial" w:cs="Arial"/>
          <w:sz w:val="20"/>
        </w:rPr>
        <w:t xml:space="preserve">reissues licences and associated privileges, ratings and certificates in accordance with paragraph 1 of this Article, the </w:t>
      </w:r>
      <w:r w:rsidR="00545710">
        <w:rPr>
          <w:rFonts w:ascii="Arial" w:hAnsi="Arial" w:cs="Arial"/>
          <w:sz w:val="20"/>
        </w:rPr>
        <w:t>Republic of Armenia</w:t>
      </w:r>
      <w:r w:rsidRPr="00CC00BB">
        <w:rPr>
          <w:rFonts w:ascii="Arial" w:hAnsi="Arial" w:cs="Arial"/>
          <w:sz w:val="20"/>
        </w:rPr>
        <w:t>, as applicable:</w:t>
      </w:r>
    </w:p>
    <w:p w14:paraId="196E9E2A" w14:textId="77777777" w:rsidR="00CC00BB" w:rsidRPr="00CC00BB" w:rsidRDefault="00CC00BB" w:rsidP="0090411E">
      <w:pPr>
        <w:pStyle w:val="ListParagraph"/>
        <w:numPr>
          <w:ilvl w:val="1"/>
          <w:numId w:val="6"/>
        </w:numPr>
        <w:tabs>
          <w:tab w:val="left" w:pos="1274"/>
        </w:tabs>
        <w:spacing w:line="276" w:lineRule="auto"/>
        <w:ind w:right="95" w:hanging="568"/>
        <w:jc w:val="both"/>
        <w:rPr>
          <w:rFonts w:ascii="Arial" w:hAnsi="Arial" w:cs="Arial"/>
          <w:sz w:val="20"/>
        </w:rPr>
      </w:pPr>
      <w:r w:rsidRPr="00CC00BB">
        <w:rPr>
          <w:rFonts w:ascii="Arial" w:hAnsi="Arial" w:cs="Arial"/>
          <w:sz w:val="20"/>
        </w:rPr>
        <w:t>transfer all privileges already endorsed in Part-FCL licences to the new licence format;</w:t>
      </w:r>
    </w:p>
    <w:p w14:paraId="43B66EDA" w14:textId="77777777" w:rsidR="00CC00BB" w:rsidRPr="00CC00BB" w:rsidRDefault="00CC00BB" w:rsidP="0090411E">
      <w:pPr>
        <w:pStyle w:val="ListParagraph"/>
        <w:numPr>
          <w:ilvl w:val="1"/>
          <w:numId w:val="6"/>
        </w:numPr>
        <w:tabs>
          <w:tab w:val="left" w:pos="1274"/>
        </w:tabs>
        <w:spacing w:line="276" w:lineRule="auto"/>
        <w:ind w:right="95"/>
        <w:jc w:val="both"/>
        <w:rPr>
          <w:rFonts w:ascii="Arial" w:hAnsi="Arial" w:cs="Arial"/>
          <w:sz w:val="20"/>
        </w:rPr>
      </w:pPr>
      <w:r w:rsidRPr="00CC00BB">
        <w:rPr>
          <w:rFonts w:ascii="Arial" w:hAnsi="Arial" w:cs="Arial"/>
          <w:sz w:val="20"/>
        </w:rPr>
        <w:t>convert the privileges for tethered flight or commercial operation associated with a Part- FCL licence into a tethered flight rating or a commercial operation rating in accordance with the provisions of Point BFCL.200 and BFCL.215 of Annex III (Part-BFCL) to this Regulation;</w:t>
      </w:r>
    </w:p>
    <w:p w14:paraId="48C76E2A" w14:textId="77777777" w:rsidR="00CC00BB" w:rsidRPr="00CC00BB" w:rsidRDefault="00CC00BB" w:rsidP="0090411E">
      <w:pPr>
        <w:pStyle w:val="ListParagraph"/>
        <w:numPr>
          <w:ilvl w:val="1"/>
          <w:numId w:val="6"/>
        </w:numPr>
        <w:tabs>
          <w:tab w:val="left" w:pos="1274"/>
        </w:tabs>
        <w:spacing w:before="119" w:line="276" w:lineRule="auto"/>
        <w:ind w:right="95"/>
        <w:jc w:val="both"/>
        <w:rPr>
          <w:rFonts w:ascii="Arial" w:hAnsi="Arial" w:cs="Arial"/>
          <w:sz w:val="20"/>
        </w:rPr>
      </w:pPr>
      <w:r w:rsidRPr="00CC00BB">
        <w:rPr>
          <w:rFonts w:ascii="Arial" w:hAnsi="Arial" w:cs="Arial"/>
          <w:sz w:val="20"/>
        </w:rPr>
        <w:t>endorse the expiry date of a flight instructor certificate associated with a Part-FCL licence into the pilot’s logbook or issue an equivalent document. After that date, those pilots shall exercise instructor privileges only if they comply with point BFCL.360 of Annex III (Part-BFCL) to this Regulation.</w:t>
      </w:r>
    </w:p>
    <w:p w14:paraId="25DA2823" w14:textId="22D0F3FF" w:rsidR="00CC00BB" w:rsidRPr="00CC00BB" w:rsidRDefault="00CC00BB" w:rsidP="0090411E">
      <w:pPr>
        <w:pStyle w:val="ListParagraph"/>
        <w:numPr>
          <w:ilvl w:val="0"/>
          <w:numId w:val="6"/>
        </w:numPr>
        <w:tabs>
          <w:tab w:val="left" w:pos="707"/>
        </w:tabs>
        <w:spacing w:before="121" w:line="276" w:lineRule="auto"/>
        <w:ind w:right="95"/>
        <w:jc w:val="both"/>
        <w:rPr>
          <w:rFonts w:ascii="Arial" w:hAnsi="Arial" w:cs="Arial"/>
          <w:sz w:val="20"/>
        </w:rPr>
      </w:pPr>
      <w:r w:rsidRPr="00CC00BB">
        <w:rPr>
          <w:rFonts w:ascii="Arial" w:hAnsi="Arial" w:cs="Arial"/>
          <w:sz w:val="20"/>
        </w:rPr>
        <w:t xml:space="preserve">Holders of national licences for balloons issued by </w:t>
      </w:r>
      <w:r w:rsidR="00D13283">
        <w:rPr>
          <w:rFonts w:ascii="Arial" w:hAnsi="Arial" w:cs="Arial"/>
          <w:sz w:val="20"/>
        </w:rPr>
        <w:t xml:space="preserve">the Republic of Armenia </w:t>
      </w:r>
      <w:r w:rsidRPr="00CC00BB">
        <w:rPr>
          <w:rFonts w:ascii="Arial" w:hAnsi="Arial" w:cs="Arial"/>
          <w:sz w:val="20"/>
        </w:rPr>
        <w:t>before the date of application of Annex III (Part-BFCL) to this Regulation shall be allowed to continue to exercise the priv</w:t>
      </w:r>
      <w:r w:rsidR="00E74255">
        <w:rPr>
          <w:rFonts w:ascii="Arial" w:hAnsi="Arial" w:cs="Arial"/>
          <w:sz w:val="20"/>
        </w:rPr>
        <w:t>ileges of t</w:t>
      </w:r>
      <w:r w:rsidR="008915B9">
        <w:rPr>
          <w:rFonts w:ascii="Arial" w:hAnsi="Arial" w:cs="Arial"/>
          <w:sz w:val="20"/>
        </w:rPr>
        <w:t>heir licences until 1 March 2024</w:t>
      </w:r>
      <w:r w:rsidRPr="00CC00BB">
        <w:rPr>
          <w:rFonts w:ascii="Arial" w:hAnsi="Arial" w:cs="Arial"/>
          <w:sz w:val="20"/>
        </w:rPr>
        <w:t xml:space="preserve">. By that date, </w:t>
      </w:r>
      <w:r w:rsidR="00D13283">
        <w:rPr>
          <w:rFonts w:ascii="Arial" w:hAnsi="Arial" w:cs="Arial"/>
          <w:sz w:val="20"/>
        </w:rPr>
        <w:t xml:space="preserve">the Republic of Armenia </w:t>
      </w:r>
      <w:r w:rsidRPr="00CC00BB">
        <w:rPr>
          <w:rFonts w:ascii="Arial" w:hAnsi="Arial" w:cs="Arial"/>
          <w:sz w:val="20"/>
        </w:rPr>
        <w:t>shall convert those licences into Part-BFCL licences and associated ratings, privileges and certificates in</w:t>
      </w:r>
    </w:p>
    <w:p w14:paraId="3D428940" w14:textId="3730DBC9" w:rsidR="00CC00BB" w:rsidRPr="00CC00BB" w:rsidRDefault="00CC00BB" w:rsidP="0090411E">
      <w:pPr>
        <w:pStyle w:val="BodyText"/>
        <w:spacing w:before="57" w:line="276" w:lineRule="auto"/>
        <w:ind w:left="706" w:right="95"/>
        <w:jc w:val="both"/>
        <w:rPr>
          <w:rFonts w:ascii="Arial" w:hAnsi="Arial" w:cs="Arial"/>
          <w:sz w:val="20"/>
        </w:rPr>
      </w:pPr>
      <w:r w:rsidRPr="00CC00BB">
        <w:rPr>
          <w:rFonts w:ascii="Arial" w:hAnsi="Arial" w:cs="Arial"/>
          <w:sz w:val="20"/>
        </w:rPr>
        <w:t xml:space="preserve">accordance with the elements laid down in a conversion report that complies with the requirements of Article 4(4) and (5) of </w:t>
      </w:r>
      <w:hyperlink r:id="rId21" w:history="1">
        <w:r w:rsidR="008A63A0" w:rsidRPr="00980819">
          <w:rPr>
            <w:rStyle w:val="Hyperlink"/>
            <w:rFonts w:ascii="Arial" w:hAnsi="Arial" w:cs="Arial"/>
            <w:sz w:val="20"/>
          </w:rPr>
          <w:t>the order N 3-N of the Minister of Territorial Administration and Infrastructure of RA, dated 11.02.2022</w:t>
        </w:r>
      </w:hyperlink>
      <w:r w:rsidRPr="00CC00BB">
        <w:rPr>
          <w:rFonts w:ascii="Arial" w:hAnsi="Arial" w:cs="Arial"/>
          <w:sz w:val="20"/>
        </w:rPr>
        <w:t>.</w:t>
      </w:r>
    </w:p>
    <w:p w14:paraId="2F3FF4F5" w14:textId="7B5B342A" w:rsidR="005017CC" w:rsidRPr="005017CC" w:rsidRDefault="00CC00BB" w:rsidP="0090411E">
      <w:pPr>
        <w:pStyle w:val="ListParagraph"/>
        <w:numPr>
          <w:ilvl w:val="0"/>
          <w:numId w:val="6"/>
        </w:numPr>
        <w:tabs>
          <w:tab w:val="left" w:pos="707"/>
        </w:tabs>
        <w:spacing w:before="118" w:line="276" w:lineRule="auto"/>
        <w:ind w:right="95"/>
        <w:jc w:val="both"/>
        <w:rPr>
          <w:rFonts w:ascii="Arial" w:hAnsi="Arial" w:cs="Arial"/>
          <w:sz w:val="20"/>
        </w:rPr>
      </w:pPr>
      <w:r w:rsidRPr="00CC00BB">
        <w:rPr>
          <w:rFonts w:ascii="Arial" w:hAnsi="Arial" w:cs="Arial"/>
          <w:sz w:val="20"/>
        </w:rPr>
        <w:t xml:space="preserve">National pilot medical certificates associated with a licence as specified in paragraph 2 of this Article and issued by a </w:t>
      </w:r>
      <w:r w:rsidR="00D13283">
        <w:rPr>
          <w:rFonts w:ascii="Arial" w:hAnsi="Arial" w:cs="Arial"/>
          <w:sz w:val="20"/>
        </w:rPr>
        <w:t xml:space="preserve">the Republic of Armenia </w:t>
      </w:r>
      <w:r w:rsidRPr="00CC00BB">
        <w:rPr>
          <w:rFonts w:ascii="Arial" w:hAnsi="Arial" w:cs="Arial"/>
          <w:sz w:val="20"/>
        </w:rPr>
        <w:t xml:space="preserve">before the date of application of Annex III (Part-BFCL) to this Regulation shall remain valid until the date of their next revalidation or until </w:t>
      </w:r>
      <w:r w:rsidR="008915B9">
        <w:rPr>
          <w:rFonts w:ascii="Arial" w:hAnsi="Arial" w:cs="Arial"/>
          <w:sz w:val="20"/>
        </w:rPr>
        <w:t>1 March 2024</w:t>
      </w:r>
      <w:r w:rsidRPr="00CC00BB">
        <w:rPr>
          <w:rFonts w:ascii="Arial" w:hAnsi="Arial" w:cs="Arial"/>
          <w:sz w:val="20"/>
        </w:rPr>
        <w:t xml:space="preserve">, whichever is the earliest. The revalidation of those medical certificates shall comply with the requirements of Annex IV (Part-MED) to </w:t>
      </w:r>
      <w:hyperlink r:id="rId22" w:history="1">
        <w:r w:rsidR="008A63A0" w:rsidRPr="00980819">
          <w:rPr>
            <w:rStyle w:val="Hyperlink"/>
            <w:rFonts w:ascii="Arial" w:hAnsi="Arial" w:cs="Arial"/>
            <w:sz w:val="20"/>
          </w:rPr>
          <w:t>the order N 3-N of the Minister of Territorial Administration and Infrastructure of RA, dated 11.02.2022</w:t>
        </w:r>
      </w:hyperlink>
      <w:r w:rsidRPr="00CC00BB">
        <w:rPr>
          <w:rFonts w:ascii="Arial" w:hAnsi="Arial" w:cs="Arial"/>
          <w:sz w:val="20"/>
        </w:rPr>
        <w:t>.</w:t>
      </w:r>
    </w:p>
    <w:p w14:paraId="0DACE0E0" w14:textId="69D4E6AF" w:rsidR="00DB1431" w:rsidRPr="008A63A0" w:rsidRDefault="004053A0" w:rsidP="008A63A0">
      <w:pPr>
        <w:keepNext/>
        <w:keepLines/>
        <w:widowControl/>
        <w:shd w:val="clear" w:color="auto" w:fill="2F5496"/>
        <w:autoSpaceDE/>
        <w:autoSpaceDN/>
        <w:spacing w:before="280" w:after="240" w:line="276" w:lineRule="auto"/>
        <w:outlineLvl w:val="3"/>
        <w:rPr>
          <w:rFonts w:ascii="Arial" w:eastAsia="Times New Roman" w:hAnsi="Arial" w:cs="Times New Roman"/>
          <w:b/>
          <w:iCs/>
          <w:color w:val="FFFFFF"/>
          <w:sz w:val="24"/>
        </w:rPr>
      </w:pPr>
      <w:bookmarkStart w:id="18" w:name="_Toc153137180"/>
      <w:r w:rsidRPr="00523393">
        <w:rPr>
          <w:rFonts w:ascii="Arial" w:eastAsia="Times New Roman" w:hAnsi="Arial" w:cs="Times New Roman"/>
          <w:b/>
          <w:iCs/>
          <w:color w:val="FFFFFF"/>
          <w:sz w:val="24"/>
        </w:rPr>
        <w:t>Article 3c Credit for training that commenced prior to the date of application of this Regulation</w:t>
      </w:r>
      <w:bookmarkEnd w:id="18"/>
      <w:r w:rsidRPr="00523393">
        <w:rPr>
          <w:rFonts w:ascii="Arial" w:eastAsia="Times New Roman" w:hAnsi="Arial" w:cs="Times New Roman"/>
          <w:b/>
          <w:iCs/>
          <w:color w:val="FFFFFF"/>
          <w:sz w:val="24"/>
        </w:rPr>
        <w:t xml:space="preserve"> </w:t>
      </w:r>
    </w:p>
    <w:p w14:paraId="3C3B9890" w14:textId="0ABDFF40" w:rsidR="004053A0" w:rsidRPr="004053A0" w:rsidRDefault="004053A0" w:rsidP="0090411E">
      <w:pPr>
        <w:pStyle w:val="ListParagraph"/>
        <w:numPr>
          <w:ilvl w:val="0"/>
          <w:numId w:val="7"/>
        </w:numPr>
        <w:tabs>
          <w:tab w:val="left" w:pos="707"/>
        </w:tabs>
        <w:spacing w:line="276" w:lineRule="auto"/>
        <w:ind w:right="95"/>
        <w:jc w:val="both"/>
        <w:rPr>
          <w:rFonts w:ascii="Arial" w:hAnsi="Arial" w:cs="Arial"/>
          <w:sz w:val="20"/>
        </w:rPr>
      </w:pPr>
      <w:r w:rsidRPr="004053A0">
        <w:rPr>
          <w:rFonts w:ascii="Arial" w:hAnsi="Arial" w:cs="Arial"/>
          <w:sz w:val="20"/>
        </w:rPr>
        <w:t>In respect of issuing Part-BFCL licences and associated privileges, ratings or certificates in accordance with Annex III (Part-BFCL) to this Regulation, training that commenced prior to the date of application of this Regulation in accordance with Annex I (Part-FCL) to</w:t>
      </w:r>
      <w:r w:rsidR="008A63A0">
        <w:rPr>
          <w:rFonts w:ascii="Arial" w:hAnsi="Arial" w:cs="Arial"/>
          <w:sz w:val="20"/>
        </w:rPr>
        <w:t xml:space="preserve"> </w:t>
      </w:r>
      <w:hyperlink r:id="rId23" w:history="1">
        <w:r w:rsidR="008A63A0" w:rsidRPr="00980819">
          <w:rPr>
            <w:rStyle w:val="Hyperlink"/>
            <w:rFonts w:ascii="Arial" w:hAnsi="Arial" w:cs="Arial"/>
            <w:sz w:val="20"/>
          </w:rPr>
          <w:t>the order N 3-N of the Minister of Territorial Administration and Infrastructure of RA, dated 11.02.2022</w:t>
        </w:r>
      </w:hyperlink>
      <w:r w:rsidR="008A63A0">
        <w:rPr>
          <w:rFonts w:ascii="Arial" w:hAnsi="Arial" w:cs="Arial"/>
          <w:sz w:val="20"/>
        </w:rPr>
        <w:t xml:space="preserve"> </w:t>
      </w:r>
      <w:r w:rsidRPr="004053A0">
        <w:rPr>
          <w:rFonts w:ascii="Arial" w:hAnsi="Arial" w:cs="Arial"/>
          <w:sz w:val="20"/>
        </w:rPr>
        <w:t>shall be deemed to comply with the requirements of this Regulation, prov</w:t>
      </w:r>
      <w:r w:rsidR="00E74255">
        <w:rPr>
          <w:rFonts w:ascii="Arial" w:hAnsi="Arial" w:cs="Arial"/>
          <w:sz w:val="20"/>
        </w:rPr>
        <w:t>ided that the BPL is issue</w:t>
      </w:r>
      <w:r w:rsidR="008A63A0">
        <w:rPr>
          <w:rFonts w:ascii="Arial" w:hAnsi="Arial" w:cs="Arial"/>
          <w:sz w:val="20"/>
        </w:rPr>
        <w:t>d by</w:t>
      </w:r>
      <w:r w:rsidRPr="004053A0">
        <w:rPr>
          <w:rFonts w:ascii="Arial" w:hAnsi="Arial" w:cs="Arial"/>
          <w:sz w:val="20"/>
        </w:rPr>
        <w:t xml:space="preserve"> </w:t>
      </w:r>
      <w:r w:rsidR="008915B9">
        <w:rPr>
          <w:rFonts w:ascii="Arial" w:hAnsi="Arial" w:cs="Arial"/>
          <w:sz w:val="20"/>
        </w:rPr>
        <w:t>March 2024</w:t>
      </w:r>
      <w:r w:rsidRPr="004053A0">
        <w:rPr>
          <w:rFonts w:ascii="Arial" w:hAnsi="Arial" w:cs="Arial"/>
          <w:sz w:val="20"/>
        </w:rPr>
        <w:t xml:space="preserve"> at the latest. In that case, the following shall apply:</w:t>
      </w:r>
    </w:p>
    <w:p w14:paraId="5558A613" w14:textId="77777777" w:rsidR="004053A0" w:rsidRPr="004053A0" w:rsidRDefault="004053A0" w:rsidP="0090411E">
      <w:pPr>
        <w:pStyle w:val="ListParagraph"/>
        <w:numPr>
          <w:ilvl w:val="1"/>
          <w:numId w:val="7"/>
        </w:numPr>
        <w:tabs>
          <w:tab w:val="left" w:pos="1274"/>
        </w:tabs>
        <w:spacing w:before="119" w:line="276" w:lineRule="auto"/>
        <w:ind w:right="95"/>
        <w:jc w:val="both"/>
        <w:rPr>
          <w:rFonts w:ascii="Arial" w:hAnsi="Arial" w:cs="Arial"/>
          <w:sz w:val="20"/>
        </w:rPr>
      </w:pPr>
      <w:r w:rsidRPr="004053A0">
        <w:rPr>
          <w:rFonts w:ascii="Arial" w:hAnsi="Arial" w:cs="Arial"/>
          <w:sz w:val="20"/>
        </w:rPr>
        <w:t>BPL training commenced on balloons representing the hot-air airship class, including the related testing, may be completed on those balloons;</w:t>
      </w:r>
    </w:p>
    <w:p w14:paraId="44E817F8" w14:textId="77777777" w:rsidR="004053A0" w:rsidRPr="004053A0" w:rsidRDefault="004053A0" w:rsidP="0090411E">
      <w:pPr>
        <w:pStyle w:val="ListParagraph"/>
        <w:numPr>
          <w:ilvl w:val="1"/>
          <w:numId w:val="7"/>
        </w:numPr>
        <w:tabs>
          <w:tab w:val="left" w:pos="1274"/>
        </w:tabs>
        <w:spacing w:before="121" w:line="276" w:lineRule="auto"/>
        <w:ind w:right="95"/>
        <w:jc w:val="both"/>
        <w:rPr>
          <w:rFonts w:ascii="Arial" w:hAnsi="Arial" w:cs="Arial"/>
          <w:sz w:val="20"/>
        </w:rPr>
      </w:pPr>
      <w:r w:rsidRPr="004053A0">
        <w:rPr>
          <w:rFonts w:ascii="Arial" w:hAnsi="Arial" w:cs="Arial"/>
          <w:sz w:val="20"/>
        </w:rPr>
        <w:t xml:space="preserve">training hours completed in the hot-air balloon class in balloons other than group A of </w:t>
      </w:r>
      <w:r w:rsidRPr="004053A0">
        <w:rPr>
          <w:rFonts w:ascii="Arial" w:hAnsi="Arial" w:cs="Arial"/>
          <w:sz w:val="20"/>
        </w:rPr>
        <w:lastRenderedPageBreak/>
        <w:t>that balloon class shall be fully credited towards the requirement in point BFCL.130(b) of Annex III.</w:t>
      </w:r>
    </w:p>
    <w:p w14:paraId="16EC629B" w14:textId="4ECBB385" w:rsidR="004053A0" w:rsidRPr="004053A0" w:rsidRDefault="004053A0" w:rsidP="0090411E">
      <w:pPr>
        <w:pStyle w:val="ListParagraph"/>
        <w:numPr>
          <w:ilvl w:val="0"/>
          <w:numId w:val="7"/>
        </w:numPr>
        <w:tabs>
          <w:tab w:val="left" w:pos="707"/>
        </w:tabs>
        <w:spacing w:line="276" w:lineRule="auto"/>
        <w:ind w:right="95"/>
        <w:jc w:val="both"/>
        <w:rPr>
          <w:rFonts w:ascii="Arial" w:hAnsi="Arial" w:cs="Arial"/>
          <w:sz w:val="20"/>
        </w:rPr>
      </w:pPr>
      <w:r w:rsidRPr="004053A0">
        <w:rPr>
          <w:rFonts w:ascii="Arial" w:hAnsi="Arial" w:cs="Arial"/>
          <w:sz w:val="20"/>
        </w:rPr>
        <w:t xml:space="preserve">Training that commenced prior to the date of application of this Regulation or of Annex I (Part- FCL) to </w:t>
      </w:r>
      <w:hyperlink r:id="rId24" w:history="1">
        <w:r w:rsidR="008A63A0" w:rsidRPr="00980819">
          <w:rPr>
            <w:rStyle w:val="Hyperlink"/>
            <w:rFonts w:ascii="Arial" w:hAnsi="Arial" w:cs="Arial"/>
            <w:sz w:val="20"/>
          </w:rPr>
          <w:t>the order N 3-N of the Minister of Territorial Administration and Infrastructure of RA, dated 11.02.2022</w:t>
        </w:r>
      </w:hyperlink>
      <w:r w:rsidRPr="004053A0">
        <w:rPr>
          <w:rFonts w:ascii="Arial" w:hAnsi="Arial" w:cs="Arial"/>
          <w:sz w:val="20"/>
        </w:rPr>
        <w:t xml:space="preserve">, in accordance with Annex 1 to the Chicago Convention, shall be credited for the purposes of issuing Part-BFCL licences on the basis of a credit report established by the </w:t>
      </w:r>
      <w:r w:rsidR="00D13283">
        <w:rPr>
          <w:rFonts w:ascii="Arial" w:hAnsi="Arial" w:cs="Arial"/>
          <w:sz w:val="20"/>
        </w:rPr>
        <w:t>the Republic of Armenia</w:t>
      </w:r>
      <w:r w:rsidR="008915B9">
        <w:rPr>
          <w:rFonts w:ascii="Arial" w:hAnsi="Arial" w:cs="Arial"/>
          <w:sz w:val="20"/>
        </w:rPr>
        <w:t>.</w:t>
      </w:r>
      <w:r w:rsidR="008A63A0">
        <w:rPr>
          <w:rFonts w:ascii="Arial" w:hAnsi="Arial" w:cs="Arial"/>
          <w:sz w:val="20"/>
        </w:rPr>
        <w:t xml:space="preserve"> </w:t>
      </w:r>
    </w:p>
    <w:p w14:paraId="724CCE2A" w14:textId="2542C956" w:rsidR="00F236DB" w:rsidRPr="0090411E" w:rsidRDefault="004053A0" w:rsidP="0090411E">
      <w:pPr>
        <w:pStyle w:val="ListParagraph"/>
        <w:numPr>
          <w:ilvl w:val="0"/>
          <w:numId w:val="7"/>
        </w:numPr>
        <w:tabs>
          <w:tab w:val="left" w:pos="707"/>
        </w:tabs>
        <w:spacing w:line="276" w:lineRule="auto"/>
        <w:ind w:right="95"/>
        <w:jc w:val="both"/>
        <w:rPr>
          <w:rFonts w:ascii="Arial" w:hAnsi="Arial" w:cs="Arial"/>
          <w:sz w:val="20"/>
        </w:rPr>
      </w:pPr>
      <w:r w:rsidRPr="004053A0">
        <w:rPr>
          <w:rFonts w:ascii="Arial" w:hAnsi="Arial" w:cs="Arial"/>
          <w:sz w:val="20"/>
        </w:rPr>
        <w:t>The credit report referred to in paragraph 2 shall describe the scope of the training, indicate for which requirements of Part-BFCL credit is given and, if applicable, which requirements applicants need to comply with in order to be issued with a Part-BFCL licence. It shall include copies of all the documents necessary to attest the scope of the training, as well as copies of the national regulations and procedures in accordance with which the training was initiated.</w:t>
      </w:r>
    </w:p>
    <w:p w14:paraId="078E2835" w14:textId="77777777" w:rsidR="00BD0B24" w:rsidRPr="00523393" w:rsidRDefault="00BD0B24" w:rsidP="009601C2">
      <w:pPr>
        <w:keepNext/>
        <w:keepLines/>
        <w:widowControl/>
        <w:shd w:val="clear" w:color="auto" w:fill="2F5496"/>
        <w:autoSpaceDE/>
        <w:autoSpaceDN/>
        <w:spacing w:before="280" w:after="240" w:line="276" w:lineRule="auto"/>
        <w:outlineLvl w:val="3"/>
        <w:rPr>
          <w:rFonts w:ascii="Arial" w:eastAsia="Times New Roman" w:hAnsi="Arial" w:cs="Times New Roman"/>
          <w:b/>
          <w:iCs/>
          <w:color w:val="FFFFFF"/>
          <w:sz w:val="24"/>
        </w:rPr>
      </w:pPr>
      <w:bookmarkStart w:id="19" w:name="_Toc153137181"/>
      <w:r w:rsidRPr="00523393">
        <w:rPr>
          <w:rFonts w:ascii="Arial" w:eastAsia="Times New Roman" w:hAnsi="Arial" w:cs="Times New Roman"/>
          <w:b/>
          <w:iCs/>
          <w:color w:val="FFFFFF"/>
          <w:sz w:val="24"/>
        </w:rPr>
        <w:t>Article 3d Training organisations</w:t>
      </w:r>
      <w:bookmarkEnd w:id="19"/>
      <w:r w:rsidRPr="00523393">
        <w:rPr>
          <w:rFonts w:ascii="Arial" w:eastAsia="Times New Roman" w:hAnsi="Arial" w:cs="Times New Roman"/>
          <w:b/>
          <w:iCs/>
          <w:color w:val="FFFFFF"/>
          <w:sz w:val="24"/>
        </w:rPr>
        <w:t xml:space="preserve">  </w:t>
      </w:r>
    </w:p>
    <w:p w14:paraId="73A931F9" w14:textId="125DD84B" w:rsidR="00BD0B24" w:rsidRPr="00BD0B24" w:rsidRDefault="00BD0B24" w:rsidP="0090411E">
      <w:pPr>
        <w:pStyle w:val="ListParagraph"/>
        <w:numPr>
          <w:ilvl w:val="0"/>
          <w:numId w:val="8"/>
        </w:numPr>
        <w:tabs>
          <w:tab w:val="left" w:pos="707"/>
        </w:tabs>
        <w:spacing w:before="122" w:line="276" w:lineRule="auto"/>
        <w:ind w:right="95"/>
        <w:jc w:val="both"/>
        <w:rPr>
          <w:rFonts w:ascii="Arial" w:hAnsi="Arial" w:cs="Arial"/>
          <w:sz w:val="20"/>
        </w:rPr>
      </w:pPr>
      <w:r w:rsidRPr="00BD0B24">
        <w:rPr>
          <w:rFonts w:ascii="Arial" w:hAnsi="Arial" w:cs="Arial"/>
          <w:sz w:val="20"/>
        </w:rPr>
        <w:t xml:space="preserve">Training organisations for pilot licences referred to in Article 1(1) shall comply with the requirements of Article 10a of </w:t>
      </w:r>
      <w:hyperlink r:id="rId25" w:history="1">
        <w:r w:rsidR="008A63A0" w:rsidRPr="00980819">
          <w:rPr>
            <w:rStyle w:val="Hyperlink"/>
            <w:rFonts w:ascii="Arial" w:hAnsi="Arial" w:cs="Arial"/>
            <w:sz w:val="20"/>
          </w:rPr>
          <w:t>the order N 3-N of the Minister of Territorial Administration and Infrastructure of RA, dated 11.02.2022</w:t>
        </w:r>
      </w:hyperlink>
      <w:r w:rsidR="008A63A0">
        <w:rPr>
          <w:rFonts w:ascii="Arial" w:hAnsi="Arial" w:cs="Arial"/>
          <w:sz w:val="20"/>
        </w:rPr>
        <w:t>.</w:t>
      </w:r>
    </w:p>
    <w:p w14:paraId="3974AF0C" w14:textId="03AFFC97" w:rsidR="00BD0B24" w:rsidRPr="008A63A0" w:rsidRDefault="00BD0B24" w:rsidP="0090411E">
      <w:pPr>
        <w:pStyle w:val="ListParagraph"/>
        <w:numPr>
          <w:ilvl w:val="0"/>
          <w:numId w:val="8"/>
        </w:numPr>
        <w:tabs>
          <w:tab w:val="left" w:pos="707"/>
        </w:tabs>
        <w:spacing w:before="121" w:line="276" w:lineRule="auto"/>
        <w:ind w:right="95"/>
        <w:jc w:val="both"/>
        <w:rPr>
          <w:rFonts w:ascii="Arial" w:hAnsi="Arial" w:cs="Arial"/>
          <w:sz w:val="20"/>
        </w:rPr>
      </w:pPr>
      <w:r w:rsidRPr="00BD0B24">
        <w:rPr>
          <w:rFonts w:ascii="Arial" w:hAnsi="Arial" w:cs="Arial"/>
          <w:sz w:val="20"/>
        </w:rPr>
        <w:t xml:space="preserve">Training organisations referred to in paragraph 1 of this Article which hold an approval issued in accordance with Annex VII (Part-ORA) to </w:t>
      </w:r>
      <w:hyperlink r:id="rId26" w:history="1">
        <w:r w:rsidR="008A63A0" w:rsidRPr="00980819">
          <w:rPr>
            <w:rStyle w:val="Hyperlink"/>
            <w:rFonts w:ascii="Arial" w:hAnsi="Arial" w:cs="Arial"/>
            <w:sz w:val="20"/>
          </w:rPr>
          <w:t>the order N 3-N of the Minister of Territorial Administration and Infrastructure of RA, dated 11.02.2022</w:t>
        </w:r>
      </w:hyperlink>
      <w:r w:rsidR="008A63A0">
        <w:rPr>
          <w:rFonts w:ascii="Arial" w:hAnsi="Arial" w:cs="Arial"/>
          <w:sz w:val="20"/>
        </w:rPr>
        <w:t xml:space="preserve"> </w:t>
      </w:r>
      <w:r w:rsidRPr="00BD0B24">
        <w:rPr>
          <w:rFonts w:ascii="Arial" w:hAnsi="Arial" w:cs="Arial"/>
          <w:sz w:val="20"/>
        </w:rPr>
        <w:t xml:space="preserve">or have submitted a declaration in accordance with Annex VIII (Part-DTO) to </w:t>
      </w:r>
      <w:hyperlink r:id="rId27" w:history="1">
        <w:r w:rsidR="008A63A0" w:rsidRPr="00980819">
          <w:rPr>
            <w:rStyle w:val="Hyperlink"/>
            <w:rFonts w:ascii="Arial" w:hAnsi="Arial" w:cs="Arial"/>
            <w:sz w:val="20"/>
          </w:rPr>
          <w:t>the order N 3-N of the Minister of Territorial Administration and Infrastructure of RA, dated 11.02.2022</w:t>
        </w:r>
      </w:hyperlink>
      <w:r w:rsidR="008A63A0">
        <w:rPr>
          <w:rFonts w:ascii="Arial" w:hAnsi="Arial" w:cs="Arial"/>
          <w:sz w:val="20"/>
        </w:rPr>
        <w:t xml:space="preserve"> </w:t>
      </w:r>
      <w:r w:rsidRPr="00BD0B24">
        <w:rPr>
          <w:rFonts w:ascii="Arial" w:hAnsi="Arial" w:cs="Arial"/>
          <w:sz w:val="20"/>
        </w:rPr>
        <w:t xml:space="preserve">before the date of application of this Regulation shall adapt their training programmes, where necessary, by </w:t>
      </w:r>
      <w:r w:rsidR="008915B9">
        <w:rPr>
          <w:rFonts w:ascii="Arial" w:hAnsi="Arial" w:cs="Arial"/>
          <w:sz w:val="20"/>
        </w:rPr>
        <w:t>March 2024</w:t>
      </w:r>
      <w:r w:rsidR="008915B9" w:rsidRPr="004053A0">
        <w:rPr>
          <w:rFonts w:ascii="Arial" w:hAnsi="Arial" w:cs="Arial"/>
          <w:sz w:val="20"/>
        </w:rPr>
        <w:t xml:space="preserve"> </w:t>
      </w:r>
      <w:r w:rsidRPr="00BD0B24">
        <w:rPr>
          <w:rFonts w:ascii="Arial" w:hAnsi="Arial" w:cs="Arial"/>
          <w:sz w:val="20"/>
        </w:rPr>
        <w:t>at the latest.</w:t>
      </w:r>
    </w:p>
    <w:p w14:paraId="4C6C2172" w14:textId="77777777" w:rsidR="00BD0B24" w:rsidRPr="00523393" w:rsidRDefault="00BD0B24" w:rsidP="009601C2">
      <w:pPr>
        <w:keepNext/>
        <w:keepLines/>
        <w:widowControl/>
        <w:shd w:val="clear" w:color="auto" w:fill="2F5496"/>
        <w:autoSpaceDE/>
        <w:autoSpaceDN/>
        <w:spacing w:before="280" w:after="240" w:line="276" w:lineRule="auto"/>
        <w:outlineLvl w:val="3"/>
        <w:rPr>
          <w:rFonts w:ascii="Arial" w:eastAsia="Times New Roman" w:hAnsi="Arial" w:cs="Times New Roman"/>
          <w:b/>
          <w:iCs/>
          <w:color w:val="FFFFFF"/>
          <w:sz w:val="24"/>
        </w:rPr>
      </w:pPr>
      <w:bookmarkStart w:id="20" w:name="_Toc153137182"/>
      <w:r w:rsidRPr="00523393">
        <w:rPr>
          <w:rFonts w:ascii="Arial" w:eastAsia="Times New Roman" w:hAnsi="Arial" w:cs="Times New Roman"/>
          <w:b/>
          <w:iCs/>
          <w:color w:val="FFFFFF"/>
          <w:sz w:val="24"/>
        </w:rPr>
        <w:t xml:space="preserve">Article </w:t>
      </w:r>
      <w:r w:rsidR="000E360E" w:rsidRPr="00523393">
        <w:rPr>
          <w:rFonts w:ascii="Arial" w:eastAsia="Times New Roman" w:hAnsi="Arial" w:cs="Times New Roman"/>
          <w:b/>
          <w:iCs/>
          <w:color w:val="FFFFFF"/>
          <w:sz w:val="24"/>
        </w:rPr>
        <w:t>4</w:t>
      </w:r>
      <w:r w:rsidRPr="00523393">
        <w:rPr>
          <w:rFonts w:ascii="Arial" w:eastAsia="Times New Roman" w:hAnsi="Arial" w:cs="Times New Roman"/>
          <w:b/>
          <w:iCs/>
          <w:color w:val="FFFFFF"/>
          <w:sz w:val="24"/>
        </w:rPr>
        <w:t xml:space="preserve"> </w:t>
      </w:r>
      <w:r w:rsidR="000E360E" w:rsidRPr="00523393">
        <w:rPr>
          <w:rFonts w:ascii="Arial" w:eastAsia="Times New Roman" w:hAnsi="Arial" w:cs="Times New Roman"/>
          <w:b/>
          <w:iCs/>
          <w:color w:val="FFFFFF"/>
          <w:sz w:val="24"/>
        </w:rPr>
        <w:t>Transitional provisions</w:t>
      </w:r>
      <w:bookmarkEnd w:id="20"/>
      <w:r w:rsidRPr="00523393">
        <w:rPr>
          <w:rFonts w:ascii="Arial" w:eastAsia="Times New Roman" w:hAnsi="Arial" w:cs="Times New Roman"/>
          <w:b/>
          <w:iCs/>
          <w:color w:val="FFFFFF"/>
          <w:sz w:val="24"/>
        </w:rPr>
        <w:t xml:space="preserve">  </w:t>
      </w:r>
    </w:p>
    <w:p w14:paraId="5483E151" w14:textId="18530FAD" w:rsidR="00136803" w:rsidRPr="008A63A0" w:rsidRDefault="000E360E" w:rsidP="0090411E">
      <w:pPr>
        <w:spacing w:before="121" w:line="276" w:lineRule="auto"/>
        <w:ind w:right="95"/>
        <w:jc w:val="both"/>
        <w:rPr>
          <w:rFonts w:ascii="Arial" w:hAnsi="Arial" w:cs="Arial"/>
          <w:sz w:val="20"/>
        </w:rPr>
      </w:pPr>
      <w:r w:rsidRPr="000E360E">
        <w:rPr>
          <w:rFonts w:ascii="Arial" w:hAnsi="Arial" w:cs="Arial"/>
          <w:sz w:val="20"/>
        </w:rPr>
        <w:t xml:space="preserve">Certificates, authorisations and approvals issued to operators of balloons by </w:t>
      </w:r>
      <w:r w:rsidR="008915B9">
        <w:rPr>
          <w:rFonts w:ascii="Arial" w:hAnsi="Arial" w:cs="Arial"/>
          <w:sz w:val="20"/>
        </w:rPr>
        <w:t xml:space="preserve">CAC RA </w:t>
      </w:r>
      <w:r w:rsidRPr="000E360E">
        <w:rPr>
          <w:rFonts w:ascii="Arial" w:hAnsi="Arial" w:cs="Arial"/>
          <w:sz w:val="20"/>
        </w:rPr>
        <w:t xml:space="preserve">before </w:t>
      </w:r>
      <w:r w:rsidR="00E0758F">
        <w:rPr>
          <w:rFonts w:ascii="Arial" w:hAnsi="Arial" w:cs="Arial"/>
          <w:sz w:val="20"/>
        </w:rPr>
        <w:t>March 2024</w:t>
      </w:r>
      <w:r w:rsidR="008915B9" w:rsidRPr="004053A0">
        <w:rPr>
          <w:rFonts w:ascii="Arial" w:hAnsi="Arial" w:cs="Arial"/>
          <w:sz w:val="20"/>
        </w:rPr>
        <w:t xml:space="preserve"> </w:t>
      </w:r>
      <w:r w:rsidRPr="000E360E">
        <w:rPr>
          <w:rFonts w:ascii="Arial" w:hAnsi="Arial" w:cs="Arial"/>
          <w:sz w:val="20"/>
        </w:rPr>
        <w:t xml:space="preserve">in accordance with </w:t>
      </w:r>
      <w:hyperlink r:id="rId28" w:history="1">
        <w:r w:rsidR="008A63A0" w:rsidRPr="008A63A0">
          <w:rPr>
            <w:rStyle w:val="Hyperlink"/>
            <w:rFonts w:ascii="Arial" w:hAnsi="Arial" w:cs="Arial"/>
            <w:sz w:val="20"/>
          </w:rPr>
          <w:t>the order N 2-N of the minister of Territorial Administration and Infrastructure of RA, dated 11.02.2022</w:t>
        </w:r>
      </w:hyperlink>
      <w:r w:rsidR="008A63A0">
        <w:rPr>
          <w:rFonts w:ascii="Arial" w:hAnsi="Arial" w:cs="Arial"/>
          <w:sz w:val="20"/>
        </w:rPr>
        <w:t xml:space="preserve"> </w:t>
      </w:r>
      <w:r w:rsidRPr="000E360E">
        <w:rPr>
          <w:rFonts w:ascii="Arial" w:hAnsi="Arial" w:cs="Arial"/>
          <w:sz w:val="20"/>
        </w:rPr>
        <w:t xml:space="preserve">or in accordance with provisions of national law compliant with Article 10(2), (3) and (5)(b) of </w:t>
      </w:r>
      <w:hyperlink r:id="rId29" w:history="1">
        <w:r w:rsidR="008A63A0" w:rsidRPr="008A63A0">
          <w:rPr>
            <w:rStyle w:val="Hyperlink"/>
            <w:rFonts w:ascii="Arial" w:hAnsi="Arial" w:cs="Arial"/>
            <w:sz w:val="20"/>
          </w:rPr>
          <w:t>the order N 2-N of the minister of Territorial Administration and Infrastructure of RA, dated 11.02.2022</w:t>
        </w:r>
      </w:hyperlink>
      <w:r w:rsidR="008A63A0">
        <w:rPr>
          <w:rFonts w:ascii="Arial" w:hAnsi="Arial" w:cs="Arial"/>
          <w:sz w:val="20"/>
        </w:rPr>
        <w:t xml:space="preserve"> </w:t>
      </w:r>
      <w:r w:rsidRPr="000E360E">
        <w:rPr>
          <w:rFonts w:ascii="Arial" w:hAnsi="Arial" w:cs="Arial"/>
          <w:sz w:val="20"/>
        </w:rPr>
        <w:t xml:space="preserve">shall remain valid until </w:t>
      </w:r>
      <w:r w:rsidR="00E0758F">
        <w:rPr>
          <w:rFonts w:ascii="Arial" w:hAnsi="Arial" w:cs="Arial"/>
          <w:sz w:val="20"/>
        </w:rPr>
        <w:t>March 2024</w:t>
      </w:r>
      <w:r w:rsidRPr="000E360E">
        <w:rPr>
          <w:rFonts w:ascii="Arial" w:hAnsi="Arial" w:cs="Arial"/>
          <w:sz w:val="20"/>
        </w:rPr>
        <w:t xml:space="preserve">. Until </w:t>
      </w:r>
      <w:r w:rsidR="00E0758F" w:rsidRPr="00E0758F">
        <w:rPr>
          <w:rFonts w:ascii="Arial" w:hAnsi="Arial" w:cs="Arial"/>
          <w:sz w:val="20"/>
        </w:rPr>
        <w:t>March 2024</w:t>
      </w:r>
      <w:r w:rsidRPr="000E360E">
        <w:rPr>
          <w:rFonts w:ascii="Arial" w:hAnsi="Arial" w:cs="Arial"/>
          <w:sz w:val="20"/>
        </w:rPr>
        <w:t xml:space="preserve">, any reference made in this Regulation to a declaration shall also be understood as a reference to the certificates, authorisations or approvals issued by </w:t>
      </w:r>
      <w:r w:rsidR="008915B9">
        <w:rPr>
          <w:rFonts w:ascii="Arial" w:hAnsi="Arial" w:cs="Arial"/>
          <w:sz w:val="20"/>
        </w:rPr>
        <w:t>CAC RA before 1 March 2024</w:t>
      </w:r>
      <w:r w:rsidRPr="000E360E">
        <w:rPr>
          <w:rFonts w:ascii="Arial" w:hAnsi="Arial" w:cs="Arial"/>
          <w:sz w:val="20"/>
        </w:rPr>
        <w:t>.</w:t>
      </w:r>
    </w:p>
    <w:p w14:paraId="449783E1" w14:textId="0DF57AA3" w:rsidR="00136803" w:rsidRPr="0090411E" w:rsidRDefault="000E360E" w:rsidP="0090411E">
      <w:pPr>
        <w:keepNext/>
        <w:keepLines/>
        <w:widowControl/>
        <w:shd w:val="clear" w:color="auto" w:fill="2F5496"/>
        <w:autoSpaceDE/>
        <w:autoSpaceDN/>
        <w:spacing w:before="280" w:after="240" w:line="276" w:lineRule="auto"/>
        <w:outlineLvl w:val="3"/>
        <w:rPr>
          <w:rFonts w:ascii="Arial" w:eastAsia="Times New Roman" w:hAnsi="Arial" w:cs="Times New Roman"/>
          <w:b/>
          <w:iCs/>
          <w:color w:val="FFFFFF"/>
          <w:sz w:val="24"/>
        </w:rPr>
      </w:pPr>
      <w:bookmarkStart w:id="21" w:name="_Toc153137183"/>
      <w:r w:rsidRPr="00523393">
        <w:rPr>
          <w:rFonts w:ascii="Arial" w:eastAsia="Times New Roman" w:hAnsi="Arial" w:cs="Times New Roman"/>
          <w:b/>
          <w:iCs/>
          <w:color w:val="FFFFFF"/>
          <w:sz w:val="24"/>
        </w:rPr>
        <w:t>Article 5 Entry into force and application</w:t>
      </w:r>
      <w:bookmarkEnd w:id="21"/>
      <w:r w:rsidRPr="00523393">
        <w:rPr>
          <w:rFonts w:ascii="Arial" w:eastAsia="Times New Roman" w:hAnsi="Arial" w:cs="Times New Roman"/>
          <w:b/>
          <w:iCs/>
          <w:color w:val="FFFFFF"/>
          <w:sz w:val="24"/>
        </w:rPr>
        <w:t xml:space="preserve">  </w:t>
      </w:r>
    </w:p>
    <w:p w14:paraId="103157E0" w14:textId="5FF18554" w:rsidR="000E360E" w:rsidRPr="00E0758F" w:rsidRDefault="00E0758F" w:rsidP="009601C2">
      <w:pPr>
        <w:spacing w:line="276" w:lineRule="auto"/>
        <w:rPr>
          <w:rFonts w:ascii="Arial" w:hAnsi="Arial" w:cs="Arial"/>
          <w:sz w:val="20"/>
        </w:rPr>
      </w:pPr>
      <w:r w:rsidRPr="00E0758F">
        <w:rPr>
          <w:rFonts w:ascii="Arial" w:hAnsi="Arial" w:cs="Arial"/>
          <w:sz w:val="20"/>
        </w:rPr>
        <w:t>This Regulation</w:t>
      </w:r>
      <w:r>
        <w:rPr>
          <w:rFonts w:ascii="Arial" w:hAnsi="Arial" w:cs="Arial"/>
          <w:sz w:val="20"/>
        </w:rPr>
        <w:t xml:space="preserve"> shall enter into force on the 1</w:t>
      </w:r>
      <w:r w:rsidRPr="00E0758F">
        <w:rPr>
          <w:rFonts w:ascii="Arial" w:hAnsi="Arial" w:cs="Arial"/>
          <w:sz w:val="20"/>
        </w:rPr>
        <w:t>0th day following its publication in the Official Journal of the Republic of Armenia.</w:t>
      </w:r>
    </w:p>
    <w:p w14:paraId="4F949E08" w14:textId="77777777" w:rsidR="00DC1693" w:rsidRDefault="00DC1693" w:rsidP="00E0758F">
      <w:pPr>
        <w:tabs>
          <w:tab w:val="left" w:pos="3090"/>
        </w:tabs>
        <w:spacing w:line="276" w:lineRule="auto"/>
        <w:rPr>
          <w:rFonts w:ascii="Arial" w:hAnsi="Arial" w:cs="Arial"/>
        </w:rPr>
      </w:pPr>
    </w:p>
    <w:p w14:paraId="70E8B5D5" w14:textId="32E7A3B8" w:rsidR="002E05E7" w:rsidRDefault="002E05E7" w:rsidP="009601C2">
      <w:pPr>
        <w:tabs>
          <w:tab w:val="left" w:pos="3090"/>
        </w:tabs>
        <w:spacing w:line="276" w:lineRule="auto"/>
        <w:rPr>
          <w:rFonts w:ascii="Arial" w:hAnsi="Arial" w:cs="Arial"/>
        </w:rPr>
        <w:sectPr w:rsidR="002E05E7" w:rsidSect="008304B0">
          <w:headerReference w:type="default" r:id="rId30"/>
          <w:pgSz w:w="11906" w:h="16838" w:code="9"/>
          <w:pgMar w:top="180" w:right="1440" w:bottom="851" w:left="1440" w:header="213" w:footer="0" w:gutter="0"/>
          <w:cols w:space="720"/>
          <w:docGrid w:linePitch="360"/>
        </w:sectPr>
      </w:pPr>
    </w:p>
    <w:p w14:paraId="4C4DFFCE" w14:textId="74C52B06" w:rsidR="00DC1693" w:rsidRPr="008A63A0" w:rsidRDefault="00140172" w:rsidP="00140172">
      <w:pPr>
        <w:keepNext/>
        <w:keepLines/>
        <w:widowControl/>
        <w:tabs>
          <w:tab w:val="center" w:pos="4513"/>
          <w:tab w:val="left" w:pos="6558"/>
        </w:tabs>
        <w:autoSpaceDE/>
        <w:autoSpaceDN/>
        <w:spacing w:before="280" w:after="240" w:line="276" w:lineRule="auto"/>
        <w:outlineLvl w:val="1"/>
        <w:rPr>
          <w:rFonts w:ascii="Arial" w:eastAsiaTheme="majorEastAsia" w:hAnsi="Arial" w:cs="Arial"/>
          <w:b/>
          <w:color w:val="2E74B5" w:themeColor="accent1" w:themeShade="BF"/>
          <w:sz w:val="28"/>
          <w:szCs w:val="26"/>
          <w14:textOutline w14:w="9525" w14:cap="rnd" w14:cmpd="sng" w14:algn="ctr">
            <w14:noFill/>
            <w14:prstDash w14:val="solid"/>
            <w14:bevel/>
          </w14:textOutline>
        </w:rPr>
      </w:pPr>
      <w:r>
        <w:rPr>
          <w:rFonts w:ascii="Arial" w:eastAsiaTheme="majorEastAsia" w:hAnsi="Arial" w:cs="Arial"/>
          <w:b/>
          <w:color w:val="2E74B5" w:themeColor="accent1" w:themeShade="BF"/>
          <w:sz w:val="28"/>
          <w:szCs w:val="26"/>
          <w14:textOutline w14:w="9525" w14:cap="rnd" w14:cmpd="sng" w14:algn="ctr">
            <w14:noFill/>
            <w14:prstDash w14:val="solid"/>
            <w14:bevel/>
          </w14:textOutline>
        </w:rPr>
        <w:lastRenderedPageBreak/>
        <w:tab/>
      </w:r>
      <w:bookmarkStart w:id="22" w:name="_Toc153137184"/>
      <w:r w:rsidR="00DC1693" w:rsidRPr="00FA7754">
        <w:rPr>
          <w:rFonts w:ascii="Arial" w:eastAsiaTheme="majorEastAsia" w:hAnsi="Arial" w:cs="Arial"/>
          <w:b/>
          <w:color w:val="2E74B5" w:themeColor="accent1" w:themeShade="BF"/>
          <w:sz w:val="28"/>
          <w:szCs w:val="26"/>
          <w14:textOutline w14:w="9525" w14:cap="rnd" w14:cmpd="sng" w14:algn="ctr">
            <w14:noFill/>
            <w14:prstDash w14:val="solid"/>
            <w14:bevel/>
          </w14:textOutline>
        </w:rPr>
        <w:t>ANNEX I</w:t>
      </w:r>
      <w:bookmarkEnd w:id="22"/>
      <w:r>
        <w:rPr>
          <w:rFonts w:ascii="Arial" w:eastAsiaTheme="majorEastAsia" w:hAnsi="Arial" w:cs="Arial"/>
          <w:b/>
          <w:color w:val="2E74B5" w:themeColor="accent1" w:themeShade="BF"/>
          <w:sz w:val="28"/>
          <w:szCs w:val="26"/>
          <w14:textOutline w14:w="9525" w14:cap="rnd" w14:cmpd="sng" w14:algn="ctr">
            <w14:noFill/>
            <w14:prstDash w14:val="solid"/>
            <w14:bevel/>
          </w14:textOutline>
        </w:rPr>
        <w:tab/>
      </w:r>
    </w:p>
    <w:p w14:paraId="367711EB" w14:textId="54CF0529" w:rsidR="00DC1693" w:rsidRPr="008A63A0" w:rsidRDefault="00DC1693" w:rsidP="008A63A0">
      <w:pPr>
        <w:pStyle w:val="Heading4"/>
        <w:shd w:val="clear" w:color="auto" w:fill="2F5496" w:themeFill="accent5" w:themeFillShade="BF"/>
        <w:spacing w:line="276" w:lineRule="auto"/>
        <w:rPr>
          <w:rFonts w:ascii="Arial" w:hAnsi="Arial"/>
          <w:b/>
          <w:i w:val="0"/>
          <w:color w:val="FFFFFF" w:themeColor="background1"/>
          <w:sz w:val="24"/>
        </w:rPr>
      </w:pPr>
      <w:bookmarkStart w:id="23" w:name="_Toc153137185"/>
      <w:r>
        <w:rPr>
          <w:rFonts w:ascii="Arial" w:hAnsi="Arial"/>
          <w:b/>
          <w:i w:val="0"/>
          <w:color w:val="FFFFFF" w:themeColor="background1"/>
          <w:sz w:val="24"/>
        </w:rPr>
        <w:t>Definitions (Part-DEF)</w:t>
      </w:r>
      <w:bookmarkEnd w:id="23"/>
    </w:p>
    <w:p w14:paraId="10F7306D" w14:textId="6E68A4C1" w:rsidR="00DC1693" w:rsidRPr="00DC1693" w:rsidRDefault="00DC1693" w:rsidP="008A63A0">
      <w:pPr>
        <w:pStyle w:val="BodyText"/>
        <w:spacing w:before="121" w:line="276" w:lineRule="auto"/>
        <w:ind w:right="195"/>
        <w:jc w:val="both"/>
        <w:rPr>
          <w:rFonts w:ascii="Arial" w:hAnsi="Arial" w:cs="Arial"/>
          <w:sz w:val="20"/>
        </w:rPr>
      </w:pPr>
      <w:r w:rsidRPr="00DC1693">
        <w:rPr>
          <w:rFonts w:ascii="Arial" w:hAnsi="Arial" w:cs="Arial"/>
          <w:sz w:val="20"/>
        </w:rPr>
        <w:t xml:space="preserve">For the purpose of this Regulation, the following definitions and, unless terms are defined otherwise in this Annex, the definitions of Article 2 of </w:t>
      </w:r>
      <w:hyperlink r:id="rId31" w:history="1">
        <w:r w:rsidR="0008054F" w:rsidRPr="00980819">
          <w:rPr>
            <w:rStyle w:val="Hyperlink"/>
            <w:rFonts w:ascii="Arial" w:hAnsi="Arial" w:cs="Arial"/>
            <w:sz w:val="20"/>
          </w:rPr>
          <w:t>the order N 3-N of the Minister of Territorial Administration and Infrastructure of RA, dated 11.02.2022</w:t>
        </w:r>
      </w:hyperlink>
      <w:r w:rsidR="0008054F">
        <w:rPr>
          <w:rFonts w:ascii="Arial" w:hAnsi="Arial" w:cs="Arial"/>
          <w:sz w:val="20"/>
        </w:rPr>
        <w:t xml:space="preserve"> </w:t>
      </w:r>
      <w:r w:rsidRPr="00DC1693">
        <w:rPr>
          <w:rFonts w:ascii="Arial" w:hAnsi="Arial" w:cs="Arial"/>
          <w:sz w:val="20"/>
        </w:rPr>
        <w:t>as well as of point FCL.010 of Annex I (Part-FCL) to that Regulation, shall apply:</w:t>
      </w:r>
    </w:p>
    <w:p w14:paraId="76098715" w14:textId="6FB29007" w:rsidR="00DC1693" w:rsidRPr="00DC1693" w:rsidRDefault="003F3508" w:rsidP="009601C2">
      <w:pPr>
        <w:pStyle w:val="ListParagraph"/>
        <w:numPr>
          <w:ilvl w:val="0"/>
          <w:numId w:val="9"/>
        </w:numPr>
        <w:tabs>
          <w:tab w:val="left" w:pos="707"/>
        </w:tabs>
        <w:spacing w:before="118" w:line="276" w:lineRule="auto"/>
        <w:ind w:right="195"/>
        <w:jc w:val="both"/>
        <w:rPr>
          <w:rFonts w:ascii="Arial" w:hAnsi="Arial" w:cs="Arial"/>
          <w:sz w:val="20"/>
        </w:rPr>
      </w:pPr>
      <w:r w:rsidRPr="003F3508">
        <w:rPr>
          <w:rFonts w:ascii="Arial" w:hAnsi="Arial" w:cs="Arial"/>
          <w:b/>
          <w:sz w:val="20"/>
        </w:rPr>
        <w:t>‘</w:t>
      </w:r>
      <w:r w:rsidR="00DC1693" w:rsidRPr="003F3508">
        <w:rPr>
          <w:rFonts w:ascii="Arial" w:hAnsi="Arial" w:cs="Arial"/>
          <w:b/>
          <w:sz w:val="20"/>
        </w:rPr>
        <w:t>acceptable means of compliance (AMC)</w:t>
      </w:r>
      <w:r w:rsidRPr="003F3508">
        <w:rPr>
          <w:rFonts w:ascii="Arial" w:hAnsi="Arial" w:cs="Arial"/>
          <w:b/>
          <w:sz w:val="20"/>
        </w:rPr>
        <w:t xml:space="preserve"> ’</w:t>
      </w:r>
      <w:r w:rsidR="00DC1693" w:rsidRPr="00DC1693">
        <w:rPr>
          <w:rFonts w:ascii="Arial" w:hAnsi="Arial" w:cs="Arial"/>
          <w:sz w:val="20"/>
        </w:rPr>
        <w:t xml:space="preserve"> means non-binding standards adopted by the Agency to illustrate means to establish compliance with </w:t>
      </w:r>
      <w:hyperlink r:id="rId32" w:history="1">
        <w:r w:rsidR="005C2A3C" w:rsidRPr="004073D2">
          <w:rPr>
            <w:rStyle w:val="Hyperlink"/>
            <w:rFonts w:ascii="Arial" w:hAnsi="Arial" w:cs="Arial"/>
            <w:sz w:val="20"/>
            <w:szCs w:val="20"/>
          </w:rPr>
          <w:t>Law on Aviation of the Republic of Armenia</w:t>
        </w:r>
      </w:hyperlink>
      <w:r w:rsidR="005C2A3C">
        <w:rPr>
          <w:rFonts w:ascii="Arial" w:hAnsi="Arial" w:cs="Arial"/>
          <w:sz w:val="20"/>
          <w:szCs w:val="20"/>
        </w:rPr>
        <w:t xml:space="preserve"> </w:t>
      </w:r>
      <w:r w:rsidR="00DC1693" w:rsidRPr="00DC1693">
        <w:rPr>
          <w:rFonts w:ascii="Arial" w:hAnsi="Arial" w:cs="Arial"/>
          <w:sz w:val="20"/>
        </w:rPr>
        <w:t>and its delegated and implementing acts;</w:t>
      </w:r>
    </w:p>
    <w:p w14:paraId="66902763" w14:textId="0D39A047" w:rsidR="00DC1693" w:rsidRPr="00DC1693" w:rsidRDefault="003F3508" w:rsidP="009601C2">
      <w:pPr>
        <w:pStyle w:val="ListParagraph"/>
        <w:numPr>
          <w:ilvl w:val="0"/>
          <w:numId w:val="9"/>
        </w:numPr>
        <w:tabs>
          <w:tab w:val="left" w:pos="707"/>
        </w:tabs>
        <w:spacing w:before="121" w:line="276" w:lineRule="auto"/>
        <w:ind w:right="192"/>
        <w:jc w:val="both"/>
        <w:rPr>
          <w:rFonts w:ascii="Arial" w:hAnsi="Arial" w:cs="Arial"/>
          <w:sz w:val="20"/>
        </w:rPr>
      </w:pPr>
      <w:r w:rsidRPr="003F3508">
        <w:rPr>
          <w:rFonts w:ascii="Arial" w:hAnsi="Arial" w:cs="Arial"/>
          <w:b/>
          <w:sz w:val="20"/>
        </w:rPr>
        <w:t>‘</w:t>
      </w:r>
      <w:r w:rsidR="00DC1693" w:rsidRPr="003F3508">
        <w:rPr>
          <w:rFonts w:ascii="Arial" w:hAnsi="Arial" w:cs="Arial"/>
          <w:b/>
          <w:sz w:val="20"/>
        </w:rPr>
        <w:t>alternative means of compliance (AltMoC)</w:t>
      </w:r>
      <w:r w:rsidRPr="003F3508">
        <w:rPr>
          <w:rFonts w:ascii="Arial" w:hAnsi="Arial" w:cs="Arial"/>
          <w:b/>
          <w:sz w:val="20"/>
        </w:rPr>
        <w:t xml:space="preserve"> ’</w:t>
      </w:r>
      <w:r w:rsidR="00DC1693" w:rsidRPr="00DC1693">
        <w:rPr>
          <w:rFonts w:ascii="Arial" w:hAnsi="Arial" w:cs="Arial"/>
          <w:sz w:val="20"/>
        </w:rPr>
        <w:t xml:space="preserve"> means those means that propose an alternative to an existing AMC or those that propose new means to establish compliance with </w:t>
      </w:r>
      <w:hyperlink r:id="rId33" w:history="1">
        <w:r w:rsidR="005C2A3C" w:rsidRPr="004073D2">
          <w:rPr>
            <w:rStyle w:val="Hyperlink"/>
            <w:rFonts w:ascii="Arial" w:hAnsi="Arial" w:cs="Arial"/>
            <w:sz w:val="20"/>
            <w:szCs w:val="20"/>
          </w:rPr>
          <w:t>Law on Aviation of the Republic of Armenia</w:t>
        </w:r>
      </w:hyperlink>
      <w:r w:rsidR="00DC1693" w:rsidRPr="00DC1693">
        <w:rPr>
          <w:rFonts w:ascii="Arial" w:hAnsi="Arial" w:cs="Arial"/>
          <w:sz w:val="20"/>
        </w:rPr>
        <w:t xml:space="preserve"> and its delegated and implementing acts for which no associated AMC have been adopted by the Agency;</w:t>
      </w:r>
    </w:p>
    <w:p w14:paraId="4343FD6C" w14:textId="77777777" w:rsidR="00DC1693" w:rsidRPr="00DC1693" w:rsidRDefault="00DC1693" w:rsidP="009601C2">
      <w:pPr>
        <w:pStyle w:val="ListParagraph"/>
        <w:numPr>
          <w:ilvl w:val="0"/>
          <w:numId w:val="9"/>
        </w:numPr>
        <w:tabs>
          <w:tab w:val="left" w:pos="707"/>
        </w:tabs>
        <w:spacing w:before="121" w:line="276" w:lineRule="auto"/>
        <w:ind w:right="196"/>
        <w:jc w:val="both"/>
        <w:rPr>
          <w:rFonts w:ascii="Arial" w:hAnsi="Arial" w:cs="Arial"/>
          <w:sz w:val="20"/>
        </w:rPr>
      </w:pPr>
      <w:r w:rsidRPr="003F3508">
        <w:rPr>
          <w:rFonts w:ascii="Arial" w:hAnsi="Arial" w:cs="Arial"/>
          <w:b/>
          <w:sz w:val="20"/>
        </w:rPr>
        <w:t>‘pilot-in-command’</w:t>
      </w:r>
      <w:r w:rsidRPr="00DC1693">
        <w:rPr>
          <w:rFonts w:ascii="Arial" w:hAnsi="Arial" w:cs="Arial"/>
          <w:sz w:val="20"/>
        </w:rPr>
        <w:t xml:space="preserve"> means the pilot designated as being in command and charged with the safe conduct of the flight;</w:t>
      </w:r>
    </w:p>
    <w:p w14:paraId="225DE6C3" w14:textId="77777777" w:rsidR="00DC1693" w:rsidRPr="00DC1693" w:rsidRDefault="00DC1693" w:rsidP="009601C2">
      <w:pPr>
        <w:pStyle w:val="ListParagraph"/>
        <w:numPr>
          <w:ilvl w:val="0"/>
          <w:numId w:val="9"/>
        </w:numPr>
        <w:tabs>
          <w:tab w:val="left" w:pos="707"/>
        </w:tabs>
        <w:spacing w:before="118" w:line="276" w:lineRule="auto"/>
        <w:ind w:right="195"/>
        <w:jc w:val="both"/>
        <w:rPr>
          <w:rFonts w:ascii="Arial" w:hAnsi="Arial" w:cs="Arial"/>
          <w:sz w:val="20"/>
        </w:rPr>
      </w:pPr>
      <w:r w:rsidRPr="003F3508">
        <w:rPr>
          <w:rFonts w:ascii="Arial" w:hAnsi="Arial" w:cs="Arial"/>
          <w:b/>
          <w:sz w:val="20"/>
        </w:rPr>
        <w:t>‘crew member’</w:t>
      </w:r>
      <w:r w:rsidRPr="00DC1693">
        <w:rPr>
          <w:rFonts w:ascii="Arial" w:hAnsi="Arial" w:cs="Arial"/>
          <w:sz w:val="20"/>
        </w:rPr>
        <w:t xml:space="preserve"> means a person assigned by an operator to perform duties on board the balloon or, where the duties are directly related to the operation of the balloon, on the ground;</w:t>
      </w:r>
    </w:p>
    <w:p w14:paraId="076A881B" w14:textId="77777777" w:rsidR="00DC1693" w:rsidRPr="00DC1693" w:rsidRDefault="00DC1693" w:rsidP="009601C2">
      <w:pPr>
        <w:pStyle w:val="ListParagraph"/>
        <w:numPr>
          <w:ilvl w:val="0"/>
          <w:numId w:val="9"/>
        </w:numPr>
        <w:tabs>
          <w:tab w:val="left" w:pos="707"/>
        </w:tabs>
        <w:spacing w:before="121" w:line="276" w:lineRule="auto"/>
        <w:ind w:right="196"/>
        <w:jc w:val="both"/>
        <w:rPr>
          <w:rFonts w:ascii="Arial" w:hAnsi="Arial" w:cs="Arial"/>
          <w:sz w:val="20"/>
        </w:rPr>
      </w:pPr>
      <w:r w:rsidRPr="003F3508">
        <w:rPr>
          <w:rFonts w:ascii="Arial" w:hAnsi="Arial" w:cs="Arial"/>
          <w:b/>
          <w:sz w:val="20"/>
        </w:rPr>
        <w:t>‘flight crew member’</w:t>
      </w:r>
      <w:r w:rsidRPr="00DC1693">
        <w:rPr>
          <w:rFonts w:ascii="Arial" w:hAnsi="Arial" w:cs="Arial"/>
          <w:sz w:val="20"/>
        </w:rPr>
        <w:t xml:space="preserve"> means a licensed crew member charged with duties essential to the operation of an aircraft during a flight duty period;</w:t>
      </w:r>
    </w:p>
    <w:p w14:paraId="1CF42F4E" w14:textId="77777777" w:rsidR="00DC1693" w:rsidRPr="00DC1693" w:rsidRDefault="00DC1693" w:rsidP="009601C2">
      <w:pPr>
        <w:pStyle w:val="ListParagraph"/>
        <w:numPr>
          <w:ilvl w:val="0"/>
          <w:numId w:val="9"/>
        </w:numPr>
        <w:tabs>
          <w:tab w:val="left" w:pos="707"/>
        </w:tabs>
        <w:spacing w:line="276" w:lineRule="auto"/>
        <w:ind w:right="196"/>
        <w:jc w:val="both"/>
        <w:rPr>
          <w:rFonts w:ascii="Arial" w:hAnsi="Arial" w:cs="Arial"/>
          <w:sz w:val="20"/>
        </w:rPr>
      </w:pPr>
      <w:r w:rsidRPr="003F3508">
        <w:rPr>
          <w:rFonts w:ascii="Arial" w:hAnsi="Arial" w:cs="Arial"/>
          <w:b/>
          <w:sz w:val="20"/>
        </w:rPr>
        <w:t>‘psychoactive substances’</w:t>
      </w:r>
      <w:r w:rsidRPr="00DC1693">
        <w:rPr>
          <w:rFonts w:ascii="Arial" w:hAnsi="Arial" w:cs="Arial"/>
          <w:sz w:val="20"/>
        </w:rPr>
        <w:t xml:space="preserve"> means alcohol, opioids, cannabinoids, sedatives and hypnotics, cocaine, other psychostimulants, hallucinogens and volatile solvents, excluding coffee and tobacco;</w:t>
      </w:r>
    </w:p>
    <w:p w14:paraId="5EC77F5A" w14:textId="77777777" w:rsidR="00DC1693" w:rsidRPr="00DC1693" w:rsidRDefault="00DC1693" w:rsidP="009601C2">
      <w:pPr>
        <w:pStyle w:val="ListParagraph"/>
        <w:numPr>
          <w:ilvl w:val="0"/>
          <w:numId w:val="9"/>
        </w:numPr>
        <w:tabs>
          <w:tab w:val="left" w:pos="707"/>
        </w:tabs>
        <w:spacing w:before="121" w:line="276" w:lineRule="auto"/>
        <w:ind w:right="196"/>
        <w:jc w:val="both"/>
        <w:rPr>
          <w:rFonts w:ascii="Arial" w:hAnsi="Arial" w:cs="Arial"/>
          <w:sz w:val="20"/>
        </w:rPr>
      </w:pPr>
      <w:r w:rsidRPr="003F3508">
        <w:rPr>
          <w:rFonts w:ascii="Arial" w:hAnsi="Arial" w:cs="Arial"/>
          <w:b/>
          <w:sz w:val="20"/>
        </w:rPr>
        <w:t>‘accident’</w:t>
      </w:r>
      <w:r w:rsidRPr="00DC1693">
        <w:rPr>
          <w:rFonts w:ascii="Arial" w:hAnsi="Arial" w:cs="Arial"/>
          <w:sz w:val="20"/>
        </w:rPr>
        <w:t xml:space="preserve"> means an occurrence associated with the operation of a balloon which takes place between the moment of the commencement of the inflation of the balloon and the moment of complete deflation of the balloon, in which:</w:t>
      </w:r>
    </w:p>
    <w:p w14:paraId="266D8C7E" w14:textId="77777777" w:rsidR="00DC1693" w:rsidRPr="00DC1693" w:rsidRDefault="00DC1693" w:rsidP="009601C2">
      <w:pPr>
        <w:pStyle w:val="ListParagraph"/>
        <w:numPr>
          <w:ilvl w:val="1"/>
          <w:numId w:val="9"/>
        </w:numPr>
        <w:tabs>
          <w:tab w:val="left" w:pos="1274"/>
        </w:tabs>
        <w:spacing w:before="119" w:line="276" w:lineRule="auto"/>
        <w:ind w:right="196"/>
        <w:jc w:val="both"/>
        <w:rPr>
          <w:rFonts w:ascii="Arial" w:hAnsi="Arial" w:cs="Arial"/>
          <w:sz w:val="20"/>
        </w:rPr>
      </w:pPr>
      <w:r w:rsidRPr="00DC1693">
        <w:rPr>
          <w:rFonts w:ascii="Arial" w:hAnsi="Arial" w:cs="Arial"/>
          <w:sz w:val="20"/>
        </w:rPr>
        <w:t>a person suffers fatal or serious injuries as a result of being in the balloon or as a result of direct contact with any part of the balloon, including parts which have become detached from the balloon, but excluding any injuries arising from natural causes or which are self-inflicted or inflicted by other persons;</w:t>
      </w:r>
    </w:p>
    <w:p w14:paraId="53B38DB9" w14:textId="77777777" w:rsidR="00DC1693" w:rsidRPr="00DC1693" w:rsidRDefault="00DC1693" w:rsidP="009601C2">
      <w:pPr>
        <w:pStyle w:val="ListParagraph"/>
        <w:numPr>
          <w:ilvl w:val="1"/>
          <w:numId w:val="9"/>
        </w:numPr>
        <w:tabs>
          <w:tab w:val="left" w:pos="1274"/>
        </w:tabs>
        <w:spacing w:before="121" w:line="276" w:lineRule="auto"/>
        <w:ind w:right="196"/>
        <w:jc w:val="both"/>
        <w:rPr>
          <w:rFonts w:ascii="Arial" w:hAnsi="Arial" w:cs="Arial"/>
          <w:sz w:val="20"/>
        </w:rPr>
      </w:pPr>
      <w:r w:rsidRPr="00DC1693">
        <w:rPr>
          <w:rFonts w:ascii="Arial" w:hAnsi="Arial" w:cs="Arial"/>
          <w:sz w:val="20"/>
        </w:rPr>
        <w:t>the balloon sustains damage or structural failure which adversely affects its structural strength, performance or flight characteristics and requires major repair or replacement of the affected component; or</w:t>
      </w:r>
    </w:p>
    <w:p w14:paraId="2A50C4C8" w14:textId="77777777" w:rsidR="00DC1693" w:rsidRPr="00DC1693" w:rsidRDefault="00DC1693" w:rsidP="009601C2">
      <w:pPr>
        <w:pStyle w:val="ListParagraph"/>
        <w:numPr>
          <w:ilvl w:val="1"/>
          <w:numId w:val="9"/>
        </w:numPr>
        <w:tabs>
          <w:tab w:val="left" w:pos="1274"/>
        </w:tabs>
        <w:spacing w:before="121" w:line="276" w:lineRule="auto"/>
        <w:ind w:hanging="568"/>
        <w:jc w:val="both"/>
        <w:rPr>
          <w:rFonts w:ascii="Arial" w:hAnsi="Arial" w:cs="Arial"/>
          <w:sz w:val="20"/>
        </w:rPr>
      </w:pPr>
      <w:r w:rsidRPr="00DC1693">
        <w:rPr>
          <w:rFonts w:ascii="Arial" w:hAnsi="Arial" w:cs="Arial"/>
          <w:sz w:val="20"/>
        </w:rPr>
        <w:t>the balloon is missing or is completely inaccessible;</w:t>
      </w:r>
    </w:p>
    <w:p w14:paraId="7799E693" w14:textId="77777777" w:rsidR="00DC1693" w:rsidRPr="00DC1693" w:rsidRDefault="00DC1693" w:rsidP="009601C2">
      <w:pPr>
        <w:pStyle w:val="ListParagraph"/>
        <w:numPr>
          <w:ilvl w:val="0"/>
          <w:numId w:val="9"/>
        </w:numPr>
        <w:tabs>
          <w:tab w:val="left" w:pos="707"/>
        </w:tabs>
        <w:spacing w:line="276" w:lineRule="auto"/>
        <w:ind w:right="194"/>
        <w:jc w:val="both"/>
        <w:rPr>
          <w:rFonts w:ascii="Arial" w:hAnsi="Arial" w:cs="Arial"/>
          <w:sz w:val="20"/>
        </w:rPr>
      </w:pPr>
      <w:r w:rsidRPr="003F3508">
        <w:rPr>
          <w:rFonts w:ascii="Arial" w:hAnsi="Arial" w:cs="Arial"/>
          <w:b/>
          <w:sz w:val="20"/>
        </w:rPr>
        <w:t>‘incident’</w:t>
      </w:r>
      <w:r w:rsidRPr="00DC1693">
        <w:rPr>
          <w:rFonts w:ascii="Arial" w:hAnsi="Arial" w:cs="Arial"/>
          <w:sz w:val="20"/>
        </w:rPr>
        <w:t xml:space="preserve"> means an occurrence, other than an accident, associated with the operation of a balloon which affects or could affect the safety of its operation;</w:t>
      </w:r>
    </w:p>
    <w:p w14:paraId="662F7EE6" w14:textId="77777777" w:rsidR="00DC1693" w:rsidRDefault="00DC1693" w:rsidP="009601C2">
      <w:pPr>
        <w:pStyle w:val="ListParagraph"/>
        <w:numPr>
          <w:ilvl w:val="0"/>
          <w:numId w:val="9"/>
        </w:numPr>
        <w:tabs>
          <w:tab w:val="left" w:pos="707"/>
        </w:tabs>
        <w:spacing w:before="118" w:line="276" w:lineRule="auto"/>
        <w:ind w:right="193"/>
        <w:jc w:val="both"/>
        <w:rPr>
          <w:rFonts w:ascii="Arial" w:hAnsi="Arial" w:cs="Arial"/>
          <w:sz w:val="20"/>
        </w:rPr>
      </w:pPr>
      <w:r w:rsidRPr="003F3508">
        <w:rPr>
          <w:rFonts w:ascii="Arial" w:hAnsi="Arial" w:cs="Arial"/>
          <w:b/>
          <w:sz w:val="20"/>
        </w:rPr>
        <w:t>‘serious incident’</w:t>
      </w:r>
      <w:r w:rsidRPr="00DC1693">
        <w:rPr>
          <w:rFonts w:ascii="Arial" w:hAnsi="Arial" w:cs="Arial"/>
          <w:sz w:val="20"/>
        </w:rPr>
        <w:t xml:space="preserve"> means an occurrence associated with the operation of the balloon which takes place between the moment of the commencement of the inflation of the balloon and the moment of complete deflation of the balloon, in which there was a high probability of an accident;</w:t>
      </w:r>
    </w:p>
    <w:p w14:paraId="4724342B" w14:textId="77777777" w:rsidR="00DC1693" w:rsidRPr="003F3508" w:rsidRDefault="00DC1693" w:rsidP="009601C2">
      <w:pPr>
        <w:pStyle w:val="ListParagraph"/>
        <w:numPr>
          <w:ilvl w:val="0"/>
          <w:numId w:val="9"/>
        </w:numPr>
        <w:tabs>
          <w:tab w:val="left" w:pos="707"/>
        </w:tabs>
        <w:spacing w:before="57" w:line="276" w:lineRule="auto"/>
        <w:ind w:right="196"/>
        <w:jc w:val="both"/>
        <w:rPr>
          <w:rFonts w:ascii="Arial" w:hAnsi="Arial" w:cs="Arial"/>
          <w:sz w:val="20"/>
        </w:rPr>
      </w:pPr>
      <w:r w:rsidRPr="003F3508">
        <w:rPr>
          <w:rFonts w:ascii="Arial" w:hAnsi="Arial" w:cs="Arial"/>
          <w:b/>
          <w:sz w:val="20"/>
        </w:rPr>
        <w:t>‘critical phases of flight’</w:t>
      </w:r>
      <w:r w:rsidRPr="003F3508">
        <w:rPr>
          <w:rFonts w:ascii="Arial" w:hAnsi="Arial" w:cs="Arial"/>
          <w:sz w:val="20"/>
        </w:rPr>
        <w:t xml:space="preserve"> means take-off, final approach, missed approach, landing and any other phases of a flight which the pilot-in-command determines as critical for the safe operation of the balloon;</w:t>
      </w:r>
    </w:p>
    <w:p w14:paraId="52F21DB4" w14:textId="77777777" w:rsidR="00DC1693" w:rsidRPr="003F3508" w:rsidRDefault="00DC1693" w:rsidP="009601C2">
      <w:pPr>
        <w:pStyle w:val="ListParagraph"/>
        <w:numPr>
          <w:ilvl w:val="0"/>
          <w:numId w:val="9"/>
        </w:numPr>
        <w:tabs>
          <w:tab w:val="left" w:pos="707"/>
        </w:tabs>
        <w:spacing w:before="118" w:line="276" w:lineRule="auto"/>
        <w:ind w:right="198"/>
        <w:jc w:val="both"/>
        <w:rPr>
          <w:rFonts w:ascii="Arial" w:hAnsi="Arial" w:cs="Arial"/>
          <w:sz w:val="20"/>
        </w:rPr>
      </w:pPr>
      <w:r w:rsidRPr="003F3508">
        <w:rPr>
          <w:rFonts w:ascii="Arial" w:hAnsi="Arial" w:cs="Arial"/>
          <w:b/>
          <w:sz w:val="20"/>
        </w:rPr>
        <w:t>‘aircraft flight manual (AFM)’</w:t>
      </w:r>
      <w:r w:rsidRPr="003F3508">
        <w:rPr>
          <w:rFonts w:ascii="Arial" w:hAnsi="Arial" w:cs="Arial"/>
          <w:sz w:val="20"/>
        </w:rPr>
        <w:t xml:space="preserve"> means the document containing the applicable and approved operating limitations and information with respect to the balloon;</w:t>
      </w:r>
    </w:p>
    <w:p w14:paraId="2D6A5231" w14:textId="09D85F58" w:rsidR="00DC1693" w:rsidRPr="003F3508" w:rsidRDefault="00DC1693" w:rsidP="009601C2">
      <w:pPr>
        <w:pStyle w:val="BodyText"/>
        <w:spacing w:before="121" w:line="276" w:lineRule="auto"/>
        <w:ind w:left="706" w:right="200" w:hanging="567"/>
        <w:jc w:val="both"/>
        <w:rPr>
          <w:rFonts w:ascii="Arial" w:hAnsi="Arial" w:cs="Arial"/>
          <w:sz w:val="20"/>
        </w:rPr>
      </w:pPr>
      <w:r w:rsidRPr="003F3508">
        <w:rPr>
          <w:rFonts w:ascii="Arial" w:hAnsi="Arial" w:cs="Arial"/>
          <w:sz w:val="20"/>
        </w:rPr>
        <w:t xml:space="preserve">11a. </w:t>
      </w:r>
      <w:r w:rsidR="009900F6">
        <w:rPr>
          <w:rFonts w:ascii="Arial" w:hAnsi="Arial" w:cs="Arial"/>
          <w:sz w:val="20"/>
          <w:lang w:val="hy-AM"/>
        </w:rPr>
        <w:t xml:space="preserve"> </w:t>
      </w:r>
      <w:r w:rsidR="009900F6">
        <w:rPr>
          <w:rFonts w:ascii="Arial" w:hAnsi="Arial" w:cs="Arial"/>
          <w:b/>
          <w:sz w:val="20"/>
        </w:rPr>
        <w:t>‘</w:t>
      </w:r>
      <w:r w:rsidRPr="003F3508">
        <w:rPr>
          <w:rFonts w:ascii="Arial" w:hAnsi="Arial" w:cs="Arial"/>
          <w:b/>
          <w:sz w:val="20"/>
        </w:rPr>
        <w:t>flight time</w:t>
      </w:r>
      <w:r w:rsidR="009900F6">
        <w:rPr>
          <w:rFonts w:ascii="Arial" w:hAnsi="Arial" w:cs="Arial"/>
          <w:b/>
          <w:sz w:val="20"/>
        </w:rPr>
        <w:t>’</w:t>
      </w:r>
      <w:r w:rsidRPr="003F3508">
        <w:rPr>
          <w:rFonts w:ascii="Arial" w:hAnsi="Arial" w:cs="Arial"/>
          <w:b/>
          <w:sz w:val="20"/>
        </w:rPr>
        <w:t xml:space="preserve"> </w:t>
      </w:r>
      <w:r w:rsidRPr="003F3508">
        <w:rPr>
          <w:rFonts w:ascii="Arial" w:hAnsi="Arial" w:cs="Arial"/>
          <w:sz w:val="20"/>
        </w:rPr>
        <w:t>means the total time from the moment the basket leaves the ground for the purpose of taking off until the moment it finally comes to a rest at the end of the flight;</w:t>
      </w:r>
    </w:p>
    <w:p w14:paraId="62DFE66F" w14:textId="77777777" w:rsidR="00DC1693" w:rsidRPr="00DC1693" w:rsidRDefault="00DC1693" w:rsidP="009601C2">
      <w:pPr>
        <w:pStyle w:val="ListParagraph"/>
        <w:numPr>
          <w:ilvl w:val="0"/>
          <w:numId w:val="9"/>
        </w:numPr>
        <w:tabs>
          <w:tab w:val="left" w:pos="707"/>
        </w:tabs>
        <w:spacing w:before="118" w:line="276" w:lineRule="auto"/>
        <w:ind w:right="193"/>
        <w:jc w:val="both"/>
        <w:rPr>
          <w:rFonts w:ascii="Arial" w:hAnsi="Arial" w:cs="Arial"/>
          <w:sz w:val="20"/>
        </w:rPr>
      </w:pPr>
      <w:r w:rsidRPr="003F3508">
        <w:rPr>
          <w:rFonts w:ascii="Arial" w:hAnsi="Arial" w:cs="Arial"/>
          <w:b/>
          <w:sz w:val="20"/>
        </w:rPr>
        <w:t>‘dangerous goods’</w:t>
      </w:r>
      <w:r w:rsidRPr="003F3508">
        <w:rPr>
          <w:rFonts w:ascii="Arial" w:hAnsi="Arial" w:cs="Arial"/>
          <w:sz w:val="20"/>
        </w:rPr>
        <w:t xml:space="preserve"> means articles or substances which are capable of posing a risk to </w:t>
      </w:r>
      <w:r w:rsidRPr="003F3508">
        <w:rPr>
          <w:rFonts w:ascii="Arial" w:hAnsi="Arial" w:cs="Arial"/>
          <w:sz w:val="20"/>
        </w:rPr>
        <w:lastRenderedPageBreak/>
        <w:t xml:space="preserve">health, </w:t>
      </w:r>
      <w:r w:rsidRPr="00DC1693">
        <w:rPr>
          <w:rFonts w:ascii="Arial" w:hAnsi="Arial" w:cs="Arial"/>
          <w:sz w:val="20"/>
        </w:rPr>
        <w:t>safety, property or the environment and which are shown in the list of dangerous goods in the technical instructions or which are to be classified as such in accordance with those instructions;</w:t>
      </w:r>
    </w:p>
    <w:p w14:paraId="429818D9" w14:textId="77777777" w:rsidR="00DC1693" w:rsidRPr="00DC1693" w:rsidRDefault="00DC1693" w:rsidP="009601C2">
      <w:pPr>
        <w:pStyle w:val="ListParagraph"/>
        <w:numPr>
          <w:ilvl w:val="0"/>
          <w:numId w:val="9"/>
        </w:numPr>
        <w:tabs>
          <w:tab w:val="left" w:pos="707"/>
        </w:tabs>
        <w:spacing w:before="118" w:line="276" w:lineRule="auto"/>
        <w:ind w:right="193"/>
        <w:jc w:val="both"/>
        <w:rPr>
          <w:rFonts w:ascii="Arial" w:hAnsi="Arial" w:cs="Arial"/>
          <w:sz w:val="20"/>
        </w:rPr>
      </w:pPr>
      <w:r w:rsidRPr="003F3508">
        <w:rPr>
          <w:rFonts w:ascii="Arial" w:hAnsi="Arial" w:cs="Arial"/>
          <w:b/>
          <w:sz w:val="20"/>
        </w:rPr>
        <w:t>‘technical instructions’</w:t>
      </w:r>
      <w:r w:rsidRPr="00DC1693">
        <w:rPr>
          <w:rFonts w:ascii="Arial" w:hAnsi="Arial" w:cs="Arial"/>
          <w:sz w:val="20"/>
        </w:rPr>
        <w:t xml:space="preserve"> means the latest applicable edition of the ‘Technical instructions for the safe transport of dangerous goods by air’, including the supplement and any addenda, published by ICAO in document 9284-AN/905;</w:t>
      </w:r>
    </w:p>
    <w:p w14:paraId="5FFE2595" w14:textId="77777777" w:rsidR="00DC1693" w:rsidRPr="00DC1693" w:rsidRDefault="00DC1693" w:rsidP="009601C2">
      <w:pPr>
        <w:pStyle w:val="ListParagraph"/>
        <w:numPr>
          <w:ilvl w:val="0"/>
          <w:numId w:val="9"/>
        </w:numPr>
        <w:tabs>
          <w:tab w:val="left" w:pos="707"/>
        </w:tabs>
        <w:spacing w:before="118" w:line="276" w:lineRule="auto"/>
        <w:ind w:right="193"/>
        <w:jc w:val="both"/>
        <w:rPr>
          <w:rFonts w:ascii="Arial" w:hAnsi="Arial" w:cs="Arial"/>
          <w:sz w:val="20"/>
        </w:rPr>
      </w:pPr>
      <w:r w:rsidRPr="003F3508">
        <w:rPr>
          <w:rFonts w:ascii="Arial" w:hAnsi="Arial" w:cs="Arial"/>
          <w:b/>
          <w:sz w:val="20"/>
        </w:rPr>
        <w:t>‘operating site’</w:t>
      </w:r>
      <w:r w:rsidRPr="00DC1693">
        <w:rPr>
          <w:rFonts w:ascii="Arial" w:hAnsi="Arial" w:cs="Arial"/>
          <w:sz w:val="20"/>
        </w:rPr>
        <w:t xml:space="preserve"> means a site selected by the pilot-in-command or the operator for landing, take- off or external load operations;</w:t>
      </w:r>
    </w:p>
    <w:p w14:paraId="33F49C6C" w14:textId="77777777" w:rsidR="00DC1693" w:rsidRPr="00DC1693" w:rsidRDefault="00DC1693" w:rsidP="009601C2">
      <w:pPr>
        <w:pStyle w:val="ListParagraph"/>
        <w:numPr>
          <w:ilvl w:val="0"/>
          <w:numId w:val="9"/>
        </w:numPr>
        <w:tabs>
          <w:tab w:val="left" w:pos="707"/>
        </w:tabs>
        <w:spacing w:before="118" w:line="276" w:lineRule="auto"/>
        <w:ind w:right="193"/>
        <w:jc w:val="both"/>
        <w:rPr>
          <w:rFonts w:ascii="Arial" w:hAnsi="Arial" w:cs="Arial"/>
          <w:sz w:val="20"/>
        </w:rPr>
      </w:pPr>
      <w:r w:rsidRPr="003F3508">
        <w:rPr>
          <w:rFonts w:ascii="Arial" w:hAnsi="Arial" w:cs="Arial"/>
          <w:b/>
          <w:sz w:val="20"/>
        </w:rPr>
        <w:t>‘refuelling’</w:t>
      </w:r>
      <w:r w:rsidRPr="00DC1693">
        <w:rPr>
          <w:rFonts w:ascii="Arial" w:hAnsi="Arial" w:cs="Arial"/>
          <w:sz w:val="20"/>
        </w:rPr>
        <w:t xml:space="preserve"> means the refilling of fuel cylinders or fuel tanks from an external source, excluding the replacement of fuel cylinders;</w:t>
      </w:r>
    </w:p>
    <w:p w14:paraId="4A21A62A" w14:textId="77777777" w:rsidR="00DC1693" w:rsidRPr="00DC1693" w:rsidRDefault="00DC1693" w:rsidP="009601C2">
      <w:pPr>
        <w:pStyle w:val="ListParagraph"/>
        <w:numPr>
          <w:ilvl w:val="0"/>
          <w:numId w:val="9"/>
        </w:numPr>
        <w:tabs>
          <w:tab w:val="left" w:pos="707"/>
        </w:tabs>
        <w:spacing w:before="118" w:line="276" w:lineRule="auto"/>
        <w:ind w:right="193"/>
        <w:jc w:val="both"/>
        <w:rPr>
          <w:rFonts w:ascii="Arial" w:hAnsi="Arial" w:cs="Arial"/>
          <w:sz w:val="20"/>
        </w:rPr>
      </w:pPr>
      <w:r w:rsidRPr="003F3508">
        <w:rPr>
          <w:rFonts w:ascii="Arial" w:hAnsi="Arial" w:cs="Arial"/>
          <w:b/>
          <w:sz w:val="20"/>
        </w:rPr>
        <w:t>‘night’</w:t>
      </w:r>
      <w:r w:rsidRPr="00DC1693">
        <w:rPr>
          <w:rFonts w:ascii="Arial" w:hAnsi="Arial" w:cs="Arial"/>
          <w:sz w:val="20"/>
        </w:rPr>
        <w:t xml:space="preserve"> means the period between the end of evening civil twilight and the beginning of morning civil twilight. Civil twilight ends in the evening when the centre of the sun's disc is 6 degrees below the horizon and begins in the morning when the centre of the sun's disc is 6 degrees below the horizon;</w:t>
      </w:r>
    </w:p>
    <w:p w14:paraId="07F06550" w14:textId="77777777" w:rsidR="00DC1693" w:rsidRPr="00DC1693" w:rsidRDefault="00DC1693" w:rsidP="009601C2">
      <w:pPr>
        <w:pStyle w:val="ListParagraph"/>
        <w:numPr>
          <w:ilvl w:val="0"/>
          <w:numId w:val="9"/>
        </w:numPr>
        <w:tabs>
          <w:tab w:val="left" w:pos="707"/>
        </w:tabs>
        <w:spacing w:before="118" w:line="276" w:lineRule="auto"/>
        <w:ind w:right="193"/>
        <w:jc w:val="both"/>
        <w:rPr>
          <w:rFonts w:ascii="Arial" w:hAnsi="Arial" w:cs="Arial"/>
          <w:sz w:val="20"/>
        </w:rPr>
      </w:pPr>
      <w:r w:rsidRPr="003F3508">
        <w:rPr>
          <w:rFonts w:ascii="Arial" w:hAnsi="Arial" w:cs="Arial"/>
          <w:b/>
          <w:sz w:val="20"/>
        </w:rPr>
        <w:t>‘balloon specialised operation’</w:t>
      </w:r>
      <w:r w:rsidRPr="00DC1693">
        <w:rPr>
          <w:rFonts w:ascii="Arial" w:hAnsi="Arial" w:cs="Arial"/>
          <w:sz w:val="20"/>
        </w:rPr>
        <w:t xml:space="preserve"> means any operation, which can be commercial or non- commercial, with a balloon the main purpose of which is not the carriage of passengers for sightseeing or experience flights, but parachute operations, hang-gliding dropping, flying displays, competition flights or similar specialised activities;</w:t>
      </w:r>
    </w:p>
    <w:p w14:paraId="2C6B6F8D" w14:textId="7CE478C1" w:rsidR="00DC1693" w:rsidRPr="003F3508" w:rsidRDefault="00DC1693" w:rsidP="003F3508">
      <w:pPr>
        <w:tabs>
          <w:tab w:val="left" w:pos="720"/>
        </w:tabs>
        <w:spacing w:before="118" w:line="276" w:lineRule="auto"/>
        <w:ind w:left="720" w:right="193" w:hanging="581"/>
        <w:jc w:val="both"/>
        <w:rPr>
          <w:rFonts w:ascii="Arial" w:hAnsi="Arial" w:cs="Arial"/>
          <w:sz w:val="20"/>
        </w:rPr>
      </w:pPr>
      <w:r w:rsidRPr="003F3508">
        <w:rPr>
          <w:rFonts w:ascii="Arial" w:hAnsi="Arial" w:cs="Arial"/>
          <w:sz w:val="20"/>
        </w:rPr>
        <w:t>17a.</w:t>
      </w:r>
      <w:r w:rsidR="0004655B" w:rsidRPr="003F3508">
        <w:rPr>
          <w:rFonts w:ascii="Arial" w:hAnsi="Arial" w:cs="Arial"/>
          <w:sz w:val="20"/>
        </w:rPr>
        <w:t xml:space="preserve"> </w:t>
      </w:r>
      <w:r w:rsidR="003F3508">
        <w:rPr>
          <w:rFonts w:ascii="Arial" w:hAnsi="Arial" w:cs="Arial"/>
          <w:sz w:val="20"/>
          <w:lang w:val="hy-AM"/>
        </w:rPr>
        <w:t xml:space="preserve">  </w:t>
      </w:r>
      <w:r w:rsidR="003F3508" w:rsidRPr="003F3508">
        <w:rPr>
          <w:rFonts w:ascii="Arial" w:hAnsi="Arial" w:cs="Arial"/>
          <w:b/>
          <w:sz w:val="20"/>
        </w:rPr>
        <w:t>‘</w:t>
      </w:r>
      <w:r w:rsidRPr="003F3508">
        <w:rPr>
          <w:rFonts w:ascii="Arial" w:hAnsi="Arial" w:cs="Arial"/>
          <w:b/>
          <w:sz w:val="20"/>
        </w:rPr>
        <w:t>class of balloons</w:t>
      </w:r>
      <w:r w:rsidR="003F3508" w:rsidRPr="003F3508">
        <w:rPr>
          <w:rFonts w:ascii="Arial" w:hAnsi="Arial" w:cs="Arial"/>
          <w:b/>
          <w:sz w:val="20"/>
        </w:rPr>
        <w:t>’</w:t>
      </w:r>
      <w:r w:rsidR="003F3508">
        <w:rPr>
          <w:rFonts w:ascii="Arial" w:hAnsi="Arial" w:cs="Arial"/>
          <w:b/>
          <w:sz w:val="20"/>
          <w:lang w:val="hy-AM"/>
        </w:rPr>
        <w:t xml:space="preserve"> </w:t>
      </w:r>
      <w:r w:rsidRPr="003F3508">
        <w:rPr>
          <w:rFonts w:ascii="Arial" w:hAnsi="Arial" w:cs="Arial"/>
          <w:sz w:val="20"/>
        </w:rPr>
        <w:t xml:space="preserve">means a categorisation of balloons taking into account the lifting means </w:t>
      </w:r>
      <w:r w:rsidR="003F3508">
        <w:rPr>
          <w:rFonts w:ascii="Arial" w:hAnsi="Arial" w:cs="Arial"/>
          <w:sz w:val="20"/>
          <w:lang w:val="hy-AM"/>
        </w:rPr>
        <w:t xml:space="preserve">     </w:t>
      </w:r>
      <w:r w:rsidRPr="003F3508">
        <w:rPr>
          <w:rFonts w:ascii="Arial" w:hAnsi="Arial" w:cs="Arial"/>
          <w:sz w:val="20"/>
        </w:rPr>
        <w:t>used to sustain flight;</w:t>
      </w:r>
    </w:p>
    <w:p w14:paraId="30A3449F" w14:textId="2D94C53E" w:rsidR="00DC1693" w:rsidRPr="003F3508" w:rsidRDefault="003F3508" w:rsidP="003F3508">
      <w:pPr>
        <w:tabs>
          <w:tab w:val="left" w:pos="450"/>
          <w:tab w:val="left" w:pos="707"/>
        </w:tabs>
        <w:spacing w:before="118" w:line="276" w:lineRule="auto"/>
        <w:ind w:left="720" w:right="193" w:hanging="720"/>
        <w:jc w:val="both"/>
        <w:rPr>
          <w:rFonts w:ascii="Arial" w:hAnsi="Arial" w:cs="Arial"/>
          <w:sz w:val="20"/>
        </w:rPr>
      </w:pPr>
      <w:r>
        <w:rPr>
          <w:rFonts w:ascii="Arial" w:hAnsi="Arial" w:cs="Arial"/>
          <w:sz w:val="20"/>
          <w:lang w:val="hy-AM"/>
        </w:rPr>
        <w:t xml:space="preserve">  </w:t>
      </w:r>
      <w:r w:rsidR="00DC1693" w:rsidRPr="003F3508">
        <w:rPr>
          <w:rFonts w:ascii="Arial" w:hAnsi="Arial" w:cs="Arial"/>
          <w:sz w:val="20"/>
        </w:rPr>
        <w:t>17b</w:t>
      </w:r>
      <w:r w:rsidR="00DC1693" w:rsidRPr="009900F6">
        <w:rPr>
          <w:rFonts w:ascii="Arial" w:hAnsi="Arial" w:cs="Arial"/>
          <w:b/>
          <w:sz w:val="20"/>
        </w:rPr>
        <w:t xml:space="preserve">. </w:t>
      </w:r>
      <w:r w:rsidR="0004655B" w:rsidRPr="009900F6">
        <w:rPr>
          <w:rFonts w:ascii="Arial" w:hAnsi="Arial" w:cs="Arial"/>
          <w:b/>
          <w:sz w:val="20"/>
        </w:rPr>
        <w:t xml:space="preserve"> </w:t>
      </w:r>
      <w:r w:rsidR="009900F6">
        <w:rPr>
          <w:rFonts w:ascii="Arial" w:hAnsi="Arial" w:cs="Arial"/>
          <w:b/>
          <w:sz w:val="20"/>
          <w:lang w:val="hy-AM"/>
        </w:rPr>
        <w:t xml:space="preserve"> </w:t>
      </w:r>
      <w:r w:rsidR="009900F6" w:rsidRPr="009900F6">
        <w:rPr>
          <w:rFonts w:ascii="Arial" w:hAnsi="Arial" w:cs="Arial"/>
          <w:b/>
          <w:sz w:val="20"/>
        </w:rPr>
        <w:t>‘</w:t>
      </w:r>
      <w:r w:rsidR="00DC1693" w:rsidRPr="009900F6">
        <w:rPr>
          <w:rFonts w:ascii="Arial" w:hAnsi="Arial" w:cs="Arial"/>
          <w:b/>
          <w:sz w:val="20"/>
        </w:rPr>
        <w:t>proficiency check</w:t>
      </w:r>
      <w:r w:rsidRPr="009900F6">
        <w:rPr>
          <w:rFonts w:ascii="Arial" w:hAnsi="Arial" w:cs="Arial"/>
          <w:b/>
          <w:sz w:val="20"/>
        </w:rPr>
        <w:t>’</w:t>
      </w:r>
      <w:r w:rsidR="00DC1693" w:rsidRPr="003F3508">
        <w:rPr>
          <w:rFonts w:ascii="Arial" w:hAnsi="Arial" w:cs="Arial"/>
          <w:sz w:val="20"/>
        </w:rPr>
        <w:t xml:space="preserve"> means the demonstration of skill for th</w:t>
      </w:r>
      <w:r>
        <w:rPr>
          <w:rFonts w:ascii="Arial" w:hAnsi="Arial" w:cs="Arial"/>
          <w:sz w:val="20"/>
        </w:rPr>
        <w:t xml:space="preserve">e purpose of complying with the            </w:t>
      </w:r>
      <w:r w:rsidR="00DC1693" w:rsidRPr="003F3508">
        <w:rPr>
          <w:rFonts w:ascii="Arial" w:hAnsi="Arial" w:cs="Arial"/>
          <w:sz w:val="20"/>
        </w:rPr>
        <w:t>recency requirements as established in this Regulation, including oral examinations as may be required;</w:t>
      </w:r>
    </w:p>
    <w:p w14:paraId="028C5DC9" w14:textId="77777777" w:rsidR="00DC1693" w:rsidRPr="00DC1693" w:rsidRDefault="00DC1693" w:rsidP="009601C2">
      <w:pPr>
        <w:pStyle w:val="ListParagraph"/>
        <w:numPr>
          <w:ilvl w:val="0"/>
          <w:numId w:val="9"/>
        </w:numPr>
        <w:tabs>
          <w:tab w:val="left" w:pos="707"/>
        </w:tabs>
        <w:spacing w:before="118" w:line="276" w:lineRule="auto"/>
        <w:ind w:right="193"/>
        <w:jc w:val="both"/>
        <w:rPr>
          <w:rFonts w:ascii="Arial" w:hAnsi="Arial" w:cs="Arial"/>
          <w:sz w:val="20"/>
        </w:rPr>
      </w:pPr>
      <w:r w:rsidRPr="009900F6">
        <w:rPr>
          <w:rFonts w:ascii="Arial" w:hAnsi="Arial" w:cs="Arial"/>
          <w:b/>
          <w:sz w:val="20"/>
        </w:rPr>
        <w:t>‘traffic load’</w:t>
      </w:r>
      <w:r w:rsidRPr="00DC1693">
        <w:rPr>
          <w:rFonts w:ascii="Arial" w:hAnsi="Arial" w:cs="Arial"/>
          <w:sz w:val="20"/>
        </w:rPr>
        <w:t xml:space="preserve"> means the total mass of passengers, baggage and carry-on specialist equipment;</w:t>
      </w:r>
    </w:p>
    <w:p w14:paraId="5DF68936" w14:textId="77777777" w:rsidR="00DC1693" w:rsidRPr="00DC1693" w:rsidRDefault="00DC1693" w:rsidP="009601C2">
      <w:pPr>
        <w:pStyle w:val="ListParagraph"/>
        <w:numPr>
          <w:ilvl w:val="0"/>
          <w:numId w:val="9"/>
        </w:numPr>
        <w:tabs>
          <w:tab w:val="left" w:pos="707"/>
        </w:tabs>
        <w:spacing w:before="118" w:line="276" w:lineRule="auto"/>
        <w:ind w:right="193"/>
        <w:jc w:val="both"/>
        <w:rPr>
          <w:rFonts w:ascii="Arial" w:hAnsi="Arial" w:cs="Arial"/>
          <w:sz w:val="20"/>
        </w:rPr>
      </w:pPr>
      <w:r w:rsidRPr="009900F6">
        <w:rPr>
          <w:rFonts w:ascii="Arial" w:hAnsi="Arial" w:cs="Arial"/>
          <w:b/>
          <w:sz w:val="20"/>
        </w:rPr>
        <w:t>‘balloon empty mass’</w:t>
      </w:r>
      <w:r w:rsidRPr="00DC1693">
        <w:rPr>
          <w:rFonts w:ascii="Arial" w:hAnsi="Arial" w:cs="Arial"/>
          <w:sz w:val="20"/>
        </w:rPr>
        <w:t xml:space="preserve"> means the mass determined by weighing the balloon with all the installed equipment as specified in the AFM;</w:t>
      </w:r>
    </w:p>
    <w:p w14:paraId="55FAC85E" w14:textId="77777777" w:rsidR="00DC1693" w:rsidRPr="00DC1693" w:rsidRDefault="00DC1693" w:rsidP="009601C2">
      <w:pPr>
        <w:pStyle w:val="ListParagraph"/>
        <w:numPr>
          <w:ilvl w:val="0"/>
          <w:numId w:val="9"/>
        </w:numPr>
        <w:tabs>
          <w:tab w:val="left" w:pos="707"/>
        </w:tabs>
        <w:spacing w:before="118" w:line="276" w:lineRule="auto"/>
        <w:ind w:right="193"/>
        <w:jc w:val="both"/>
        <w:rPr>
          <w:rFonts w:ascii="Arial" w:hAnsi="Arial" w:cs="Arial"/>
          <w:sz w:val="20"/>
        </w:rPr>
      </w:pPr>
      <w:r w:rsidRPr="009900F6">
        <w:rPr>
          <w:rFonts w:ascii="Arial" w:hAnsi="Arial" w:cs="Arial"/>
          <w:b/>
          <w:sz w:val="20"/>
        </w:rPr>
        <w:t>‘wet lease agreement’</w:t>
      </w:r>
      <w:r w:rsidRPr="00DC1693">
        <w:rPr>
          <w:rFonts w:ascii="Arial" w:hAnsi="Arial" w:cs="Arial"/>
          <w:sz w:val="20"/>
        </w:rPr>
        <w:t xml:space="preserve"> means an agreement between operators pursuant to which the balloon is operated under the responsibility of the lessor;</w:t>
      </w:r>
    </w:p>
    <w:p w14:paraId="10E59046" w14:textId="77777777" w:rsidR="00DC1693" w:rsidRPr="00DC1693" w:rsidRDefault="00DC1693" w:rsidP="009601C2">
      <w:pPr>
        <w:pStyle w:val="ListParagraph"/>
        <w:numPr>
          <w:ilvl w:val="0"/>
          <w:numId w:val="9"/>
        </w:numPr>
        <w:tabs>
          <w:tab w:val="left" w:pos="707"/>
        </w:tabs>
        <w:spacing w:before="118" w:line="276" w:lineRule="auto"/>
        <w:ind w:right="193"/>
        <w:jc w:val="both"/>
        <w:rPr>
          <w:rFonts w:ascii="Arial" w:hAnsi="Arial" w:cs="Arial"/>
          <w:sz w:val="20"/>
        </w:rPr>
      </w:pPr>
      <w:r w:rsidRPr="009900F6">
        <w:rPr>
          <w:rFonts w:ascii="Arial" w:hAnsi="Arial" w:cs="Arial"/>
          <w:b/>
          <w:sz w:val="20"/>
        </w:rPr>
        <w:t>‘commercial passenger ballooning’</w:t>
      </w:r>
      <w:r w:rsidRPr="00DC1693">
        <w:rPr>
          <w:rFonts w:ascii="Arial" w:hAnsi="Arial" w:cs="Arial"/>
          <w:sz w:val="20"/>
        </w:rPr>
        <w:t xml:space="preserve"> (CPB) means a form of commercial air transport operation with a balloon whereby passengers are carried on sightseeing or experience flights for remuneration or other valuable consideration;</w:t>
      </w:r>
    </w:p>
    <w:p w14:paraId="51DC83E7" w14:textId="791E7D66" w:rsidR="00DC1693" w:rsidRPr="00DC1693" w:rsidRDefault="009900F6" w:rsidP="009601C2">
      <w:pPr>
        <w:pStyle w:val="ListParagraph"/>
        <w:numPr>
          <w:ilvl w:val="0"/>
          <w:numId w:val="9"/>
        </w:numPr>
        <w:tabs>
          <w:tab w:val="left" w:pos="707"/>
        </w:tabs>
        <w:spacing w:before="118" w:line="276" w:lineRule="auto"/>
        <w:ind w:right="193"/>
        <w:jc w:val="both"/>
        <w:rPr>
          <w:rFonts w:ascii="Arial" w:hAnsi="Arial" w:cs="Arial"/>
          <w:sz w:val="20"/>
        </w:rPr>
      </w:pPr>
      <w:r>
        <w:rPr>
          <w:rFonts w:ascii="Arial" w:hAnsi="Arial" w:cs="Arial"/>
          <w:b/>
          <w:sz w:val="20"/>
        </w:rPr>
        <w:t>‘</w:t>
      </w:r>
      <w:r w:rsidR="00DC1693" w:rsidRPr="009900F6">
        <w:rPr>
          <w:rFonts w:ascii="Arial" w:hAnsi="Arial" w:cs="Arial"/>
          <w:b/>
          <w:sz w:val="20"/>
        </w:rPr>
        <w:t>group of balloons</w:t>
      </w:r>
      <w:r>
        <w:rPr>
          <w:rFonts w:ascii="Arial" w:hAnsi="Arial" w:cs="Arial"/>
          <w:b/>
          <w:sz w:val="20"/>
        </w:rPr>
        <w:t>’</w:t>
      </w:r>
      <w:r w:rsidR="00DC1693" w:rsidRPr="00DC1693">
        <w:rPr>
          <w:rFonts w:ascii="Arial" w:hAnsi="Arial" w:cs="Arial"/>
          <w:sz w:val="20"/>
        </w:rPr>
        <w:t xml:space="preserve"> means a categorisation of balloons, taking into account the size or capacity of the envelope;</w:t>
      </w:r>
    </w:p>
    <w:p w14:paraId="13BD10C8" w14:textId="552A3B4A" w:rsidR="00DC1693" w:rsidRPr="00DC1693" w:rsidRDefault="009900F6" w:rsidP="009601C2">
      <w:pPr>
        <w:pStyle w:val="ListParagraph"/>
        <w:numPr>
          <w:ilvl w:val="0"/>
          <w:numId w:val="9"/>
        </w:numPr>
        <w:tabs>
          <w:tab w:val="left" w:pos="707"/>
        </w:tabs>
        <w:spacing w:before="118" w:line="276" w:lineRule="auto"/>
        <w:ind w:right="193"/>
        <w:jc w:val="both"/>
        <w:rPr>
          <w:rFonts w:ascii="Arial" w:hAnsi="Arial" w:cs="Arial"/>
          <w:sz w:val="20"/>
        </w:rPr>
      </w:pPr>
      <w:r>
        <w:rPr>
          <w:rFonts w:ascii="Arial" w:hAnsi="Arial" w:cs="Arial"/>
          <w:b/>
          <w:sz w:val="20"/>
        </w:rPr>
        <w:t>‘</w:t>
      </w:r>
      <w:r w:rsidR="00DC1693" w:rsidRPr="009900F6">
        <w:rPr>
          <w:rFonts w:ascii="Arial" w:hAnsi="Arial" w:cs="Arial"/>
          <w:b/>
          <w:sz w:val="20"/>
        </w:rPr>
        <w:t>skill test</w:t>
      </w:r>
      <w:r>
        <w:rPr>
          <w:rFonts w:ascii="Arial" w:hAnsi="Arial" w:cs="Arial"/>
          <w:b/>
          <w:sz w:val="20"/>
        </w:rPr>
        <w:t>’</w:t>
      </w:r>
      <w:r w:rsidR="00DC1693" w:rsidRPr="00DC1693">
        <w:rPr>
          <w:rFonts w:ascii="Arial" w:hAnsi="Arial" w:cs="Arial"/>
          <w:sz w:val="20"/>
        </w:rPr>
        <w:t xml:space="preserve"> means the demonstration of skill for the purpose of issuing a licence or rating, or extension of a privilege, including oral examinations as may be required;</w:t>
      </w:r>
    </w:p>
    <w:p w14:paraId="573996A8" w14:textId="101358CA" w:rsidR="00DC1693" w:rsidRPr="00DC1693" w:rsidRDefault="009900F6" w:rsidP="009601C2">
      <w:pPr>
        <w:pStyle w:val="ListParagraph"/>
        <w:numPr>
          <w:ilvl w:val="0"/>
          <w:numId w:val="9"/>
        </w:numPr>
        <w:tabs>
          <w:tab w:val="left" w:pos="707"/>
        </w:tabs>
        <w:spacing w:before="118" w:line="276" w:lineRule="auto"/>
        <w:ind w:right="193"/>
        <w:jc w:val="both"/>
        <w:rPr>
          <w:rFonts w:ascii="Arial" w:hAnsi="Arial" w:cs="Arial"/>
          <w:sz w:val="20"/>
        </w:rPr>
      </w:pPr>
      <w:r>
        <w:rPr>
          <w:rFonts w:ascii="Arial" w:hAnsi="Arial" w:cs="Arial"/>
          <w:b/>
          <w:sz w:val="20"/>
        </w:rPr>
        <w:t>‘</w:t>
      </w:r>
      <w:r w:rsidR="00DC1693" w:rsidRPr="009900F6">
        <w:rPr>
          <w:rFonts w:ascii="Arial" w:hAnsi="Arial" w:cs="Arial"/>
          <w:b/>
          <w:sz w:val="20"/>
        </w:rPr>
        <w:t>assessment of competence</w:t>
      </w:r>
      <w:r>
        <w:rPr>
          <w:rFonts w:ascii="Arial" w:hAnsi="Arial" w:cs="Arial"/>
          <w:b/>
          <w:sz w:val="20"/>
        </w:rPr>
        <w:t>’</w:t>
      </w:r>
      <w:r w:rsidR="00DC1693" w:rsidRPr="00DC1693">
        <w:rPr>
          <w:rFonts w:ascii="Arial" w:hAnsi="Arial" w:cs="Arial"/>
          <w:sz w:val="20"/>
        </w:rPr>
        <w:t xml:space="preserve"> means the demonstration of skill, knowledge and attitude for the initial issue, revalidation or renewal of an instructor or examiner certificate;</w:t>
      </w:r>
    </w:p>
    <w:p w14:paraId="5755883E" w14:textId="312DA89A" w:rsidR="00DC1693" w:rsidRPr="00DC1693" w:rsidRDefault="009900F6" w:rsidP="009601C2">
      <w:pPr>
        <w:pStyle w:val="ListParagraph"/>
        <w:numPr>
          <w:ilvl w:val="0"/>
          <w:numId w:val="9"/>
        </w:numPr>
        <w:tabs>
          <w:tab w:val="left" w:pos="707"/>
        </w:tabs>
        <w:spacing w:before="118" w:line="276" w:lineRule="auto"/>
        <w:ind w:right="193"/>
        <w:jc w:val="both"/>
        <w:rPr>
          <w:rFonts w:ascii="Arial" w:hAnsi="Arial" w:cs="Arial"/>
          <w:sz w:val="20"/>
        </w:rPr>
      </w:pPr>
      <w:r>
        <w:rPr>
          <w:rFonts w:ascii="Arial" w:hAnsi="Arial" w:cs="Arial"/>
          <w:b/>
          <w:sz w:val="20"/>
        </w:rPr>
        <w:t>‘</w:t>
      </w:r>
      <w:r w:rsidR="00DC1693" w:rsidRPr="009900F6">
        <w:rPr>
          <w:rFonts w:ascii="Arial" w:hAnsi="Arial" w:cs="Arial"/>
          <w:b/>
          <w:sz w:val="20"/>
        </w:rPr>
        <w:t>solo flight</w:t>
      </w:r>
      <w:r>
        <w:rPr>
          <w:rFonts w:ascii="Arial" w:hAnsi="Arial" w:cs="Arial"/>
          <w:b/>
          <w:sz w:val="20"/>
        </w:rPr>
        <w:t>’</w:t>
      </w:r>
      <w:r w:rsidR="00DC1693" w:rsidRPr="00DC1693">
        <w:rPr>
          <w:rFonts w:ascii="Arial" w:hAnsi="Arial" w:cs="Arial"/>
          <w:sz w:val="20"/>
        </w:rPr>
        <w:t xml:space="preserve"> means a flight during which a student pilot is the sole occupant of the balloon;</w:t>
      </w:r>
    </w:p>
    <w:p w14:paraId="73415D6F" w14:textId="77B6DF72" w:rsidR="0045060A" w:rsidRPr="0008054F" w:rsidRDefault="009900F6" w:rsidP="009601C2">
      <w:pPr>
        <w:pStyle w:val="ListParagraph"/>
        <w:numPr>
          <w:ilvl w:val="0"/>
          <w:numId w:val="9"/>
        </w:numPr>
        <w:tabs>
          <w:tab w:val="left" w:pos="707"/>
        </w:tabs>
        <w:spacing w:before="118" w:line="276" w:lineRule="auto"/>
        <w:ind w:right="193"/>
        <w:jc w:val="both"/>
        <w:rPr>
          <w:rFonts w:ascii="Arial" w:hAnsi="Arial" w:cs="Arial"/>
          <w:sz w:val="20"/>
        </w:rPr>
      </w:pPr>
      <w:r>
        <w:rPr>
          <w:rFonts w:ascii="Arial" w:hAnsi="Arial" w:cs="Arial"/>
          <w:b/>
          <w:sz w:val="20"/>
        </w:rPr>
        <w:t>‘</w:t>
      </w:r>
      <w:r w:rsidR="00DC1693" w:rsidRPr="009900F6">
        <w:rPr>
          <w:rFonts w:ascii="Arial" w:hAnsi="Arial" w:cs="Arial"/>
          <w:b/>
          <w:sz w:val="20"/>
        </w:rPr>
        <w:t>tethered flight</w:t>
      </w:r>
      <w:r>
        <w:rPr>
          <w:rFonts w:ascii="Arial" w:hAnsi="Arial" w:cs="Arial"/>
          <w:b/>
          <w:sz w:val="20"/>
        </w:rPr>
        <w:t>’</w:t>
      </w:r>
      <w:r w:rsidR="00DC1693" w:rsidRPr="00DC1693">
        <w:rPr>
          <w:rFonts w:ascii="Arial" w:hAnsi="Arial" w:cs="Arial"/>
          <w:sz w:val="20"/>
        </w:rPr>
        <w:t xml:space="preserve"> means a flight with a tether system that anchors the balloon to a fixed location during operation, with the exception of a tether which may be used as part of the take-off procedure</w:t>
      </w:r>
    </w:p>
    <w:p w14:paraId="2DAA5E1E" w14:textId="77777777" w:rsidR="00DC1693" w:rsidRDefault="00DC1693" w:rsidP="009601C2">
      <w:pPr>
        <w:tabs>
          <w:tab w:val="left" w:pos="3090"/>
        </w:tabs>
        <w:spacing w:line="276" w:lineRule="auto"/>
        <w:rPr>
          <w:rFonts w:ascii="Arial" w:hAnsi="Arial" w:cs="Arial"/>
        </w:rPr>
      </w:pPr>
    </w:p>
    <w:p w14:paraId="43829A71" w14:textId="6414613B" w:rsidR="0045060A" w:rsidRPr="0008054F" w:rsidRDefault="0045060A" w:rsidP="0008054F">
      <w:pPr>
        <w:pStyle w:val="Heading4"/>
        <w:shd w:val="clear" w:color="auto" w:fill="2F5496" w:themeFill="accent5" w:themeFillShade="BF"/>
        <w:spacing w:line="276" w:lineRule="auto"/>
        <w:rPr>
          <w:rFonts w:ascii="Arial" w:hAnsi="Arial"/>
          <w:b/>
          <w:i w:val="0"/>
          <w:color w:val="FFFFFF" w:themeColor="background1"/>
          <w:sz w:val="24"/>
        </w:rPr>
      </w:pPr>
      <w:bookmarkStart w:id="24" w:name="_Toc153137186"/>
      <w:r>
        <w:rPr>
          <w:rFonts w:ascii="Arial" w:hAnsi="Arial"/>
          <w:b/>
          <w:i w:val="0"/>
          <w:color w:val="FFFFFF" w:themeColor="background1"/>
          <w:sz w:val="24"/>
        </w:rPr>
        <w:t>FCL.010 Definitions related to Part- BFCL</w:t>
      </w:r>
      <w:bookmarkEnd w:id="24"/>
    </w:p>
    <w:p w14:paraId="046BB918" w14:textId="77777777" w:rsidR="0045060A" w:rsidRPr="0045060A" w:rsidRDefault="0045060A" w:rsidP="0008054F">
      <w:pPr>
        <w:pStyle w:val="BodyText"/>
        <w:spacing w:line="276" w:lineRule="auto"/>
        <w:jc w:val="both"/>
        <w:rPr>
          <w:rFonts w:ascii="Arial" w:hAnsi="Arial" w:cs="Arial"/>
          <w:sz w:val="20"/>
        </w:rPr>
      </w:pPr>
      <w:r w:rsidRPr="0045060A">
        <w:rPr>
          <w:rFonts w:ascii="Arial" w:hAnsi="Arial" w:cs="Arial"/>
          <w:sz w:val="20"/>
        </w:rPr>
        <w:t>List of definitions from Part-FCL relevant in the content of Part-BFCL:</w:t>
      </w:r>
    </w:p>
    <w:p w14:paraId="33A8919B" w14:textId="43E48B26" w:rsidR="0045060A" w:rsidRPr="0045060A" w:rsidRDefault="008E11F7" w:rsidP="009601C2">
      <w:pPr>
        <w:pStyle w:val="ListParagraph"/>
        <w:numPr>
          <w:ilvl w:val="0"/>
          <w:numId w:val="10"/>
        </w:numPr>
        <w:tabs>
          <w:tab w:val="left" w:pos="707"/>
        </w:tabs>
        <w:spacing w:before="118" w:line="276" w:lineRule="auto"/>
        <w:ind w:right="198"/>
        <w:jc w:val="both"/>
        <w:rPr>
          <w:rFonts w:ascii="Arial" w:hAnsi="Arial" w:cs="Arial"/>
          <w:sz w:val="20"/>
        </w:rPr>
      </w:pPr>
      <w:r>
        <w:rPr>
          <w:rFonts w:ascii="Arial" w:hAnsi="Arial" w:cs="Arial"/>
          <w:b/>
          <w:sz w:val="20"/>
        </w:rPr>
        <w:t>‘</w:t>
      </w:r>
      <w:r w:rsidR="0045060A" w:rsidRPr="008E11F7">
        <w:rPr>
          <w:rFonts w:ascii="Arial" w:hAnsi="Arial" w:cs="Arial"/>
          <w:b/>
          <w:sz w:val="20"/>
        </w:rPr>
        <w:t>Aircraft</w:t>
      </w:r>
      <w:r>
        <w:rPr>
          <w:rFonts w:ascii="Arial" w:hAnsi="Arial" w:cs="Arial"/>
          <w:b/>
          <w:sz w:val="20"/>
        </w:rPr>
        <w:t>’</w:t>
      </w:r>
      <w:r w:rsidR="0045060A" w:rsidRPr="0045060A">
        <w:rPr>
          <w:rFonts w:ascii="Arial" w:hAnsi="Arial" w:cs="Arial"/>
          <w:sz w:val="20"/>
        </w:rPr>
        <w:t xml:space="preserve"> means any machine which can derive support in the atmosphere from the reactions of the air other than the reactions of the air against the earth’s surface.</w:t>
      </w:r>
    </w:p>
    <w:p w14:paraId="64E6B083" w14:textId="0BF8017D" w:rsidR="0045060A" w:rsidRPr="001C193F" w:rsidRDefault="008E11F7" w:rsidP="009601C2">
      <w:pPr>
        <w:pStyle w:val="ListParagraph"/>
        <w:numPr>
          <w:ilvl w:val="0"/>
          <w:numId w:val="10"/>
        </w:numPr>
        <w:tabs>
          <w:tab w:val="left" w:pos="707"/>
        </w:tabs>
        <w:spacing w:before="121" w:line="276" w:lineRule="auto"/>
        <w:ind w:right="194"/>
        <w:jc w:val="both"/>
        <w:rPr>
          <w:rFonts w:ascii="Arial" w:hAnsi="Arial" w:cs="Arial"/>
          <w:sz w:val="20"/>
        </w:rPr>
      </w:pPr>
      <w:r>
        <w:rPr>
          <w:rFonts w:ascii="Arial" w:hAnsi="Arial" w:cs="Arial"/>
          <w:b/>
          <w:sz w:val="20"/>
        </w:rPr>
        <w:t>‘</w:t>
      </w:r>
      <w:r w:rsidR="0045060A" w:rsidRPr="008E11F7">
        <w:rPr>
          <w:rFonts w:ascii="Arial" w:hAnsi="Arial" w:cs="Arial"/>
          <w:b/>
          <w:sz w:val="20"/>
        </w:rPr>
        <w:t>Airship</w:t>
      </w:r>
      <w:r>
        <w:rPr>
          <w:rFonts w:ascii="Arial" w:hAnsi="Arial" w:cs="Arial"/>
          <w:b/>
          <w:sz w:val="20"/>
        </w:rPr>
        <w:t>’</w:t>
      </w:r>
      <w:r w:rsidR="0045060A" w:rsidRPr="0045060A">
        <w:rPr>
          <w:rFonts w:ascii="Arial" w:hAnsi="Arial" w:cs="Arial"/>
          <w:sz w:val="20"/>
        </w:rPr>
        <w:t xml:space="preserve"> means a power-driven lighter-than-air aircraft, with the exception of hot-air airships, </w:t>
      </w:r>
      <w:r w:rsidR="0045060A" w:rsidRPr="0045060A">
        <w:rPr>
          <w:rFonts w:ascii="Arial" w:hAnsi="Arial" w:cs="Arial"/>
          <w:sz w:val="20"/>
        </w:rPr>
        <w:lastRenderedPageBreak/>
        <w:t xml:space="preserve">which are considered to be balloons in accordance with Article 2(7) of </w:t>
      </w:r>
      <w:r w:rsidR="00062F40">
        <w:rPr>
          <w:rFonts w:ascii="Arial" w:hAnsi="Arial" w:cs="Arial"/>
          <w:sz w:val="20"/>
        </w:rPr>
        <w:t xml:space="preserve">this </w:t>
      </w:r>
      <w:r w:rsidR="0045060A" w:rsidRPr="0045060A">
        <w:rPr>
          <w:rFonts w:ascii="Arial" w:hAnsi="Arial" w:cs="Arial"/>
          <w:sz w:val="20"/>
        </w:rPr>
        <w:t>Regulation</w:t>
      </w:r>
      <w:r w:rsidR="0045060A" w:rsidRPr="001C193F">
        <w:rPr>
          <w:rFonts w:ascii="Arial" w:hAnsi="Arial" w:cs="Arial"/>
          <w:sz w:val="20"/>
        </w:rPr>
        <w:t>.</w:t>
      </w:r>
    </w:p>
    <w:p w14:paraId="010E7D31" w14:textId="7313E829" w:rsidR="0045060A" w:rsidRPr="0045060A" w:rsidRDefault="008E11F7" w:rsidP="009601C2">
      <w:pPr>
        <w:pStyle w:val="ListParagraph"/>
        <w:numPr>
          <w:ilvl w:val="0"/>
          <w:numId w:val="10"/>
        </w:numPr>
        <w:tabs>
          <w:tab w:val="left" w:pos="707"/>
        </w:tabs>
        <w:spacing w:before="121" w:line="276" w:lineRule="auto"/>
        <w:ind w:right="194"/>
        <w:jc w:val="both"/>
        <w:rPr>
          <w:rFonts w:ascii="Arial" w:hAnsi="Arial" w:cs="Arial"/>
          <w:sz w:val="20"/>
        </w:rPr>
      </w:pPr>
      <w:r>
        <w:rPr>
          <w:rFonts w:ascii="Arial" w:hAnsi="Arial" w:cs="Arial"/>
          <w:b/>
          <w:sz w:val="20"/>
        </w:rPr>
        <w:t>‘</w:t>
      </w:r>
      <w:r w:rsidR="0045060A" w:rsidRPr="008E11F7">
        <w:rPr>
          <w:rFonts w:ascii="Arial" w:hAnsi="Arial" w:cs="Arial"/>
          <w:b/>
          <w:sz w:val="20"/>
        </w:rPr>
        <w:t>Balloon</w:t>
      </w:r>
      <w:r>
        <w:rPr>
          <w:rFonts w:ascii="Arial" w:hAnsi="Arial" w:cs="Arial"/>
          <w:b/>
          <w:sz w:val="20"/>
        </w:rPr>
        <w:t>’</w:t>
      </w:r>
      <w:r w:rsidR="0045060A" w:rsidRPr="0045060A">
        <w:rPr>
          <w:rFonts w:ascii="Arial" w:hAnsi="Arial" w:cs="Arial"/>
          <w:sz w:val="20"/>
        </w:rPr>
        <w:t xml:space="preserve"> means a lighter-than-air aircraft which is not engine-driven and sustains flight through the use of either gas or an airborne heater. For the purposes of this Part, a hot-air airship, although engine-driven, is also considered a balloon.</w:t>
      </w:r>
    </w:p>
    <w:p w14:paraId="23E56DFC" w14:textId="22905F61" w:rsidR="0045060A" w:rsidRPr="0045060A" w:rsidRDefault="008E11F7" w:rsidP="009601C2">
      <w:pPr>
        <w:pStyle w:val="ListParagraph"/>
        <w:numPr>
          <w:ilvl w:val="0"/>
          <w:numId w:val="10"/>
        </w:numPr>
        <w:tabs>
          <w:tab w:val="left" w:pos="707"/>
        </w:tabs>
        <w:spacing w:line="276" w:lineRule="auto"/>
        <w:ind w:right="198"/>
        <w:jc w:val="both"/>
        <w:rPr>
          <w:rFonts w:ascii="Arial" w:hAnsi="Arial" w:cs="Arial"/>
          <w:sz w:val="20"/>
        </w:rPr>
      </w:pPr>
      <w:r>
        <w:rPr>
          <w:rFonts w:ascii="Arial" w:hAnsi="Arial" w:cs="Arial"/>
          <w:b/>
          <w:sz w:val="20"/>
        </w:rPr>
        <w:t>‘</w:t>
      </w:r>
      <w:r w:rsidR="0045060A" w:rsidRPr="008E11F7">
        <w:rPr>
          <w:rFonts w:ascii="Arial" w:hAnsi="Arial" w:cs="Arial"/>
          <w:b/>
          <w:sz w:val="20"/>
        </w:rPr>
        <w:t>Competency</w:t>
      </w:r>
      <w:r>
        <w:rPr>
          <w:rFonts w:ascii="Arial" w:hAnsi="Arial" w:cs="Arial"/>
          <w:b/>
          <w:sz w:val="20"/>
        </w:rPr>
        <w:t>’</w:t>
      </w:r>
      <w:r w:rsidR="0045060A" w:rsidRPr="0045060A">
        <w:rPr>
          <w:rFonts w:ascii="Arial" w:hAnsi="Arial" w:cs="Arial"/>
          <w:sz w:val="20"/>
        </w:rPr>
        <w:t xml:space="preserve"> means a combination of skills, knowledge and attitude required to perform a task to the prescribed standard.</w:t>
      </w:r>
    </w:p>
    <w:p w14:paraId="33B92455" w14:textId="0C4C53E8" w:rsidR="0045060A" w:rsidRPr="0045060A" w:rsidRDefault="008E11F7" w:rsidP="009601C2">
      <w:pPr>
        <w:pStyle w:val="ListParagraph"/>
        <w:numPr>
          <w:ilvl w:val="0"/>
          <w:numId w:val="10"/>
        </w:numPr>
        <w:tabs>
          <w:tab w:val="left" w:pos="707"/>
        </w:tabs>
        <w:spacing w:before="119" w:line="276" w:lineRule="auto"/>
        <w:ind w:right="197"/>
        <w:jc w:val="both"/>
        <w:rPr>
          <w:rFonts w:ascii="Arial" w:hAnsi="Arial" w:cs="Arial"/>
          <w:sz w:val="20"/>
        </w:rPr>
      </w:pPr>
      <w:r>
        <w:rPr>
          <w:rFonts w:ascii="Arial" w:hAnsi="Arial" w:cs="Arial"/>
          <w:b/>
          <w:sz w:val="20"/>
        </w:rPr>
        <w:t>‘</w:t>
      </w:r>
      <w:r w:rsidR="0045060A" w:rsidRPr="008E11F7">
        <w:rPr>
          <w:rFonts w:ascii="Arial" w:hAnsi="Arial" w:cs="Arial"/>
          <w:b/>
          <w:sz w:val="20"/>
        </w:rPr>
        <w:t>Dual instruction time</w:t>
      </w:r>
      <w:r>
        <w:rPr>
          <w:rFonts w:ascii="Arial" w:hAnsi="Arial" w:cs="Arial"/>
          <w:b/>
          <w:sz w:val="20"/>
        </w:rPr>
        <w:t>’</w:t>
      </w:r>
      <w:r w:rsidR="0045060A" w:rsidRPr="0045060A">
        <w:rPr>
          <w:rFonts w:ascii="Arial" w:hAnsi="Arial" w:cs="Arial"/>
          <w:sz w:val="20"/>
        </w:rPr>
        <w:t xml:space="preserve"> means flight time or instrument ground time during which a person is receiving flight instruction from a properly authorised instructor.</w:t>
      </w:r>
    </w:p>
    <w:p w14:paraId="60B3904E" w14:textId="3C3B5289" w:rsidR="0045060A" w:rsidRPr="0045060A" w:rsidRDefault="008E11F7" w:rsidP="009601C2">
      <w:pPr>
        <w:pStyle w:val="ListParagraph"/>
        <w:numPr>
          <w:ilvl w:val="0"/>
          <w:numId w:val="10"/>
        </w:numPr>
        <w:tabs>
          <w:tab w:val="left" w:pos="707"/>
        </w:tabs>
        <w:spacing w:line="276" w:lineRule="auto"/>
        <w:ind w:right="198"/>
        <w:jc w:val="both"/>
        <w:rPr>
          <w:rFonts w:ascii="Arial" w:hAnsi="Arial" w:cs="Arial"/>
          <w:sz w:val="20"/>
        </w:rPr>
      </w:pPr>
      <w:r>
        <w:rPr>
          <w:rFonts w:ascii="Arial" w:hAnsi="Arial" w:cs="Arial"/>
          <w:b/>
          <w:sz w:val="20"/>
        </w:rPr>
        <w:t>‘</w:t>
      </w:r>
      <w:r w:rsidR="0045060A" w:rsidRPr="008E11F7">
        <w:rPr>
          <w:rFonts w:ascii="Arial" w:hAnsi="Arial" w:cs="Arial"/>
          <w:b/>
          <w:sz w:val="20"/>
        </w:rPr>
        <w:t>Error</w:t>
      </w:r>
      <w:r>
        <w:rPr>
          <w:rFonts w:ascii="Arial" w:hAnsi="Arial" w:cs="Arial"/>
          <w:b/>
          <w:sz w:val="20"/>
        </w:rPr>
        <w:t>’</w:t>
      </w:r>
      <w:r w:rsidR="0045060A" w:rsidRPr="0045060A">
        <w:rPr>
          <w:rFonts w:ascii="Arial" w:hAnsi="Arial" w:cs="Arial"/>
          <w:sz w:val="20"/>
        </w:rPr>
        <w:t xml:space="preserve"> means an action or inaction taken by the flight crew which leads to deviations from organisational or flight intentions or expectations.</w:t>
      </w:r>
    </w:p>
    <w:p w14:paraId="63B3E41A" w14:textId="46974F7C" w:rsidR="0045060A" w:rsidRPr="0045060A" w:rsidRDefault="008E11F7" w:rsidP="009601C2">
      <w:pPr>
        <w:pStyle w:val="ListParagraph"/>
        <w:numPr>
          <w:ilvl w:val="0"/>
          <w:numId w:val="10"/>
        </w:numPr>
        <w:tabs>
          <w:tab w:val="left" w:pos="707"/>
        </w:tabs>
        <w:spacing w:before="121" w:line="276" w:lineRule="auto"/>
        <w:ind w:right="199"/>
        <w:jc w:val="both"/>
        <w:rPr>
          <w:rFonts w:ascii="Arial" w:hAnsi="Arial" w:cs="Arial"/>
          <w:sz w:val="20"/>
        </w:rPr>
      </w:pPr>
      <w:r>
        <w:rPr>
          <w:rFonts w:ascii="Arial" w:hAnsi="Arial" w:cs="Arial"/>
          <w:b/>
          <w:sz w:val="20"/>
        </w:rPr>
        <w:t>‘</w:t>
      </w:r>
      <w:r w:rsidR="0045060A" w:rsidRPr="008E11F7">
        <w:rPr>
          <w:rFonts w:ascii="Arial" w:hAnsi="Arial" w:cs="Arial"/>
          <w:b/>
          <w:sz w:val="20"/>
        </w:rPr>
        <w:t>Error management</w:t>
      </w:r>
      <w:r>
        <w:rPr>
          <w:rFonts w:ascii="Arial" w:hAnsi="Arial" w:cs="Arial"/>
          <w:b/>
          <w:sz w:val="20"/>
        </w:rPr>
        <w:t>’</w:t>
      </w:r>
      <w:r w:rsidR="0045060A" w:rsidRPr="0045060A">
        <w:rPr>
          <w:rFonts w:ascii="Arial" w:hAnsi="Arial" w:cs="Arial"/>
          <w:sz w:val="20"/>
        </w:rPr>
        <w:t xml:space="preserve"> means the process of detecting and responding to errors with countermeasures which reduce or eliminate the consequences of errors, and mitigate the probability of errors or undesired aircraft states.</w:t>
      </w:r>
    </w:p>
    <w:p w14:paraId="0742A0DA" w14:textId="19698100" w:rsidR="0045060A" w:rsidRPr="0045060A" w:rsidRDefault="008E11F7" w:rsidP="009601C2">
      <w:pPr>
        <w:pStyle w:val="ListParagraph"/>
        <w:numPr>
          <w:ilvl w:val="0"/>
          <w:numId w:val="10"/>
        </w:numPr>
        <w:tabs>
          <w:tab w:val="left" w:pos="707"/>
        </w:tabs>
        <w:spacing w:before="121" w:line="276" w:lineRule="auto"/>
        <w:ind w:right="195"/>
        <w:jc w:val="both"/>
        <w:rPr>
          <w:rFonts w:ascii="Arial" w:hAnsi="Arial" w:cs="Arial"/>
          <w:sz w:val="20"/>
        </w:rPr>
      </w:pPr>
      <w:r>
        <w:rPr>
          <w:rFonts w:ascii="Arial" w:hAnsi="Arial" w:cs="Arial"/>
          <w:b/>
          <w:sz w:val="20"/>
        </w:rPr>
        <w:t>‘</w:t>
      </w:r>
      <w:r w:rsidR="0045060A" w:rsidRPr="008E11F7">
        <w:rPr>
          <w:rFonts w:ascii="Arial" w:hAnsi="Arial" w:cs="Arial"/>
          <w:b/>
          <w:sz w:val="20"/>
        </w:rPr>
        <w:t>Night</w:t>
      </w:r>
      <w:r>
        <w:rPr>
          <w:rFonts w:ascii="Arial" w:hAnsi="Arial" w:cs="Arial"/>
          <w:b/>
          <w:sz w:val="20"/>
        </w:rPr>
        <w:t>’</w:t>
      </w:r>
      <w:r w:rsidR="0045060A" w:rsidRPr="0045060A">
        <w:rPr>
          <w:rFonts w:ascii="Arial" w:hAnsi="Arial" w:cs="Arial"/>
          <w:sz w:val="20"/>
        </w:rPr>
        <w:t xml:space="preserve"> means the period between the end of evening civil twilight and the beginning of morning civil twilight or such other period between sunset and sunrise as may be prescribed by the appropriate authority.</w:t>
      </w:r>
    </w:p>
    <w:p w14:paraId="222171C9" w14:textId="78EAD8E7" w:rsidR="0045060A" w:rsidRPr="0045060A" w:rsidRDefault="008E11F7" w:rsidP="009601C2">
      <w:pPr>
        <w:pStyle w:val="ListParagraph"/>
        <w:numPr>
          <w:ilvl w:val="0"/>
          <w:numId w:val="10"/>
        </w:numPr>
        <w:tabs>
          <w:tab w:val="left" w:pos="707"/>
        </w:tabs>
        <w:spacing w:before="118" w:line="276" w:lineRule="auto"/>
        <w:ind w:right="195"/>
        <w:jc w:val="both"/>
        <w:rPr>
          <w:rFonts w:ascii="Arial" w:hAnsi="Arial" w:cs="Arial"/>
          <w:sz w:val="20"/>
        </w:rPr>
      </w:pPr>
      <w:r>
        <w:rPr>
          <w:rFonts w:ascii="Arial" w:hAnsi="Arial" w:cs="Arial"/>
          <w:b/>
          <w:sz w:val="20"/>
        </w:rPr>
        <w:t>‘</w:t>
      </w:r>
      <w:r w:rsidR="0045060A" w:rsidRPr="008E11F7">
        <w:rPr>
          <w:rFonts w:ascii="Arial" w:hAnsi="Arial" w:cs="Arial"/>
          <w:b/>
          <w:sz w:val="20"/>
        </w:rPr>
        <w:t>Pilot-in-command</w:t>
      </w:r>
      <w:r>
        <w:rPr>
          <w:rFonts w:ascii="Arial" w:hAnsi="Arial" w:cs="Arial"/>
          <w:b/>
          <w:sz w:val="20"/>
        </w:rPr>
        <w:t>’</w:t>
      </w:r>
      <w:r w:rsidR="0045060A" w:rsidRPr="0045060A">
        <w:rPr>
          <w:rFonts w:ascii="Arial" w:hAnsi="Arial" w:cs="Arial"/>
          <w:sz w:val="20"/>
        </w:rPr>
        <w:t xml:space="preserve"> (PIC) means the pilot designated as being in command and charged with the safe conduct of the flight.</w:t>
      </w:r>
    </w:p>
    <w:p w14:paraId="7816F466" w14:textId="60B3561D" w:rsidR="0045060A" w:rsidRPr="0045060A" w:rsidRDefault="008E11F7" w:rsidP="009601C2">
      <w:pPr>
        <w:pStyle w:val="ListParagraph"/>
        <w:numPr>
          <w:ilvl w:val="0"/>
          <w:numId w:val="10"/>
        </w:numPr>
        <w:tabs>
          <w:tab w:val="left" w:pos="707"/>
        </w:tabs>
        <w:spacing w:before="121" w:line="276" w:lineRule="auto"/>
        <w:ind w:right="197"/>
        <w:jc w:val="both"/>
        <w:rPr>
          <w:rFonts w:ascii="Arial" w:hAnsi="Arial" w:cs="Arial"/>
          <w:sz w:val="20"/>
        </w:rPr>
      </w:pPr>
      <w:r>
        <w:rPr>
          <w:rFonts w:ascii="Arial" w:hAnsi="Arial" w:cs="Arial"/>
          <w:b/>
          <w:sz w:val="20"/>
        </w:rPr>
        <w:t>‘</w:t>
      </w:r>
      <w:r w:rsidR="0045060A" w:rsidRPr="008E11F7">
        <w:rPr>
          <w:rFonts w:ascii="Arial" w:hAnsi="Arial" w:cs="Arial"/>
          <w:b/>
          <w:sz w:val="20"/>
        </w:rPr>
        <w:t>Renewal</w:t>
      </w:r>
      <w:r>
        <w:rPr>
          <w:rFonts w:ascii="Arial" w:hAnsi="Arial" w:cs="Arial"/>
          <w:b/>
          <w:sz w:val="20"/>
        </w:rPr>
        <w:t>’</w:t>
      </w:r>
      <w:r w:rsidR="0045060A" w:rsidRPr="0045060A">
        <w:rPr>
          <w:rFonts w:ascii="Arial" w:hAnsi="Arial" w:cs="Arial"/>
          <w:sz w:val="20"/>
        </w:rPr>
        <w:t xml:space="preserve"> (of, e.g. a rating or certificate) means the administrative action taken after a rating or certificate has lapsed for the purpose of renewing the privileges of the rating or certificate for a further specified period consequent upon the fulfilment of specified requirements.</w:t>
      </w:r>
    </w:p>
    <w:p w14:paraId="23AAD8BB" w14:textId="2FDD011F" w:rsidR="0045060A" w:rsidRPr="0045060A" w:rsidRDefault="008E11F7" w:rsidP="009601C2">
      <w:pPr>
        <w:pStyle w:val="ListParagraph"/>
        <w:numPr>
          <w:ilvl w:val="0"/>
          <w:numId w:val="10"/>
        </w:numPr>
        <w:tabs>
          <w:tab w:val="left" w:pos="707"/>
        </w:tabs>
        <w:spacing w:before="121" w:line="276" w:lineRule="auto"/>
        <w:ind w:right="192"/>
        <w:jc w:val="both"/>
        <w:rPr>
          <w:rFonts w:ascii="Arial" w:hAnsi="Arial" w:cs="Arial"/>
          <w:sz w:val="20"/>
        </w:rPr>
      </w:pPr>
      <w:r>
        <w:rPr>
          <w:rFonts w:ascii="Arial" w:hAnsi="Arial" w:cs="Arial"/>
          <w:b/>
          <w:sz w:val="20"/>
        </w:rPr>
        <w:t>‘</w:t>
      </w:r>
      <w:r w:rsidR="0045060A" w:rsidRPr="008E11F7">
        <w:rPr>
          <w:rFonts w:ascii="Arial" w:hAnsi="Arial" w:cs="Arial"/>
          <w:b/>
          <w:sz w:val="20"/>
        </w:rPr>
        <w:t>Revalidation</w:t>
      </w:r>
      <w:r>
        <w:rPr>
          <w:rFonts w:ascii="Arial" w:hAnsi="Arial" w:cs="Arial"/>
          <w:b/>
          <w:sz w:val="20"/>
        </w:rPr>
        <w:t>’</w:t>
      </w:r>
      <w:r w:rsidR="0045060A" w:rsidRPr="0045060A">
        <w:rPr>
          <w:rFonts w:ascii="Arial" w:hAnsi="Arial" w:cs="Arial"/>
          <w:sz w:val="20"/>
        </w:rPr>
        <w:t xml:space="preserve"> (of, e.g. a rating or certificate) means the administrative action taken within the period of validity of a rating or certificate which allows the holder to continue to exercise the privileges of a rating or certificate for a further specified period consequent upon the fulfilment of specified requirements.</w:t>
      </w:r>
    </w:p>
    <w:p w14:paraId="6C493228" w14:textId="1C5B24CF" w:rsidR="0045060A" w:rsidRPr="0045060A" w:rsidRDefault="008E11F7" w:rsidP="009601C2">
      <w:pPr>
        <w:pStyle w:val="ListParagraph"/>
        <w:numPr>
          <w:ilvl w:val="0"/>
          <w:numId w:val="10"/>
        </w:numPr>
        <w:tabs>
          <w:tab w:val="left" w:pos="707"/>
        </w:tabs>
        <w:spacing w:before="123" w:line="276" w:lineRule="auto"/>
        <w:ind w:right="196"/>
        <w:jc w:val="both"/>
        <w:rPr>
          <w:rFonts w:ascii="Arial" w:hAnsi="Arial" w:cs="Arial"/>
          <w:sz w:val="20"/>
        </w:rPr>
      </w:pPr>
      <w:r>
        <w:rPr>
          <w:rFonts w:ascii="Arial" w:hAnsi="Arial" w:cs="Arial"/>
          <w:b/>
          <w:sz w:val="20"/>
        </w:rPr>
        <w:t>‘</w:t>
      </w:r>
      <w:r w:rsidR="0045060A" w:rsidRPr="008E11F7">
        <w:rPr>
          <w:rFonts w:ascii="Arial" w:hAnsi="Arial" w:cs="Arial"/>
          <w:b/>
          <w:sz w:val="20"/>
        </w:rPr>
        <w:t>Threat</w:t>
      </w:r>
      <w:r>
        <w:rPr>
          <w:rFonts w:ascii="Arial" w:hAnsi="Arial" w:cs="Arial"/>
          <w:b/>
          <w:sz w:val="20"/>
        </w:rPr>
        <w:t>’</w:t>
      </w:r>
      <w:r w:rsidR="0045060A" w:rsidRPr="0045060A">
        <w:rPr>
          <w:rFonts w:ascii="Arial" w:hAnsi="Arial" w:cs="Arial"/>
          <w:sz w:val="20"/>
        </w:rPr>
        <w:t>means events or errors which occur beyond the influence of the flight crew, increase operational complexity and which must be managed to maintain the margin of safety.</w:t>
      </w:r>
    </w:p>
    <w:p w14:paraId="4F161986" w14:textId="0D58F0E9" w:rsidR="00801B87" w:rsidRDefault="008E11F7" w:rsidP="009601C2">
      <w:pPr>
        <w:pStyle w:val="ListParagraph"/>
        <w:numPr>
          <w:ilvl w:val="0"/>
          <w:numId w:val="10"/>
        </w:numPr>
        <w:tabs>
          <w:tab w:val="left" w:pos="707"/>
        </w:tabs>
        <w:spacing w:before="121" w:line="276" w:lineRule="auto"/>
        <w:ind w:right="196"/>
        <w:jc w:val="both"/>
        <w:rPr>
          <w:rFonts w:ascii="Arial" w:hAnsi="Arial" w:cs="Arial"/>
          <w:sz w:val="20"/>
        </w:rPr>
      </w:pPr>
      <w:r>
        <w:rPr>
          <w:rFonts w:ascii="Arial" w:hAnsi="Arial" w:cs="Arial"/>
          <w:b/>
          <w:sz w:val="20"/>
        </w:rPr>
        <w:t>‘</w:t>
      </w:r>
      <w:r w:rsidR="0045060A" w:rsidRPr="008E11F7">
        <w:rPr>
          <w:rFonts w:ascii="Arial" w:hAnsi="Arial" w:cs="Arial"/>
          <w:b/>
          <w:sz w:val="20"/>
        </w:rPr>
        <w:t>Threat management</w:t>
      </w:r>
      <w:r>
        <w:rPr>
          <w:rFonts w:ascii="Arial" w:hAnsi="Arial" w:cs="Arial"/>
          <w:b/>
          <w:sz w:val="20"/>
        </w:rPr>
        <w:t>’</w:t>
      </w:r>
      <w:r w:rsidR="0045060A" w:rsidRPr="0045060A">
        <w:rPr>
          <w:rFonts w:ascii="Arial" w:hAnsi="Arial" w:cs="Arial"/>
          <w:sz w:val="20"/>
        </w:rPr>
        <w:t xml:space="preserve"> means the process of detecting and responding to the threats with countermeasures which reduce or eliminate the consequences of threats, and mitigate the probability of errors or </w:t>
      </w:r>
      <w:r w:rsidR="00801B87">
        <w:rPr>
          <w:rFonts w:ascii="Arial" w:hAnsi="Arial" w:cs="Arial"/>
          <w:sz w:val="20"/>
        </w:rPr>
        <w:t>undesired aircraft states</w:t>
      </w:r>
      <w:r w:rsidR="0078050C">
        <w:rPr>
          <w:rFonts w:ascii="Arial" w:hAnsi="Arial" w:cs="Arial"/>
          <w:sz w:val="20"/>
        </w:rPr>
        <w:t>.</w:t>
      </w:r>
    </w:p>
    <w:p w14:paraId="1DDE0039" w14:textId="77777777" w:rsidR="0078050C" w:rsidRPr="00CD6D0B" w:rsidRDefault="0078050C" w:rsidP="00CD6D0B">
      <w:pPr>
        <w:tabs>
          <w:tab w:val="left" w:pos="707"/>
        </w:tabs>
        <w:spacing w:before="121" w:line="276" w:lineRule="auto"/>
        <w:ind w:left="139" w:right="196"/>
        <w:jc w:val="both"/>
        <w:rPr>
          <w:rFonts w:ascii="Arial" w:hAnsi="Arial" w:cs="Arial"/>
          <w:sz w:val="20"/>
        </w:rPr>
        <w:sectPr w:rsidR="0078050C" w:rsidRPr="00CD6D0B" w:rsidSect="008304B0">
          <w:headerReference w:type="default" r:id="rId34"/>
          <w:pgSz w:w="11906" w:h="16838" w:code="9"/>
          <w:pgMar w:top="450" w:right="1440" w:bottom="709" w:left="1440" w:header="284" w:footer="0" w:gutter="0"/>
          <w:cols w:space="720"/>
          <w:docGrid w:linePitch="360"/>
        </w:sectPr>
      </w:pPr>
    </w:p>
    <w:p w14:paraId="76DF4E1B" w14:textId="77777777" w:rsidR="001646F9" w:rsidRPr="0042484A" w:rsidRDefault="001646F9" w:rsidP="009601C2">
      <w:pPr>
        <w:pStyle w:val="Heading2"/>
        <w:spacing w:line="276" w:lineRule="auto"/>
        <w:jc w:val="center"/>
        <w:rPr>
          <w:rFonts w:cs="Arial"/>
          <w:b/>
          <w:u w:val="none"/>
          <w14:textOutline w14:w="9525" w14:cap="rnd" w14:cmpd="sng" w14:algn="ctr">
            <w14:noFill/>
            <w14:prstDash w14:val="solid"/>
            <w14:bevel/>
          </w14:textOutline>
        </w:rPr>
      </w:pPr>
      <w:bookmarkStart w:id="25" w:name="_Toc96274542"/>
      <w:bookmarkStart w:id="26" w:name="_Toc153137187"/>
      <w:r w:rsidRPr="0042484A">
        <w:rPr>
          <w:rFonts w:cs="Arial"/>
          <w:b/>
          <w:u w:val="none"/>
          <w14:textOutline w14:w="9525" w14:cap="rnd" w14:cmpd="sng" w14:algn="ctr">
            <w14:noFill/>
            <w14:prstDash w14:val="solid"/>
            <w14:bevel/>
          </w14:textOutline>
        </w:rPr>
        <w:lastRenderedPageBreak/>
        <w:t>ANNEX I</w:t>
      </w:r>
      <w:r w:rsidR="0093370C" w:rsidRPr="0042484A">
        <w:rPr>
          <w:rFonts w:cs="Arial"/>
          <w:b/>
          <w:u w:val="none"/>
          <w14:textOutline w14:w="9525" w14:cap="rnd" w14:cmpd="sng" w14:algn="ctr">
            <w14:noFill/>
            <w14:prstDash w14:val="solid"/>
            <w14:bevel/>
          </w14:textOutline>
        </w:rPr>
        <w:t>I</w:t>
      </w:r>
      <w:r w:rsidRPr="0042484A">
        <w:rPr>
          <w:rFonts w:cs="Arial"/>
          <w:b/>
          <w:u w:val="none"/>
          <w14:textOutline w14:w="9525" w14:cap="rnd" w14:cmpd="sng" w14:algn="ctr">
            <w14:noFill/>
            <w14:prstDash w14:val="solid"/>
            <w14:bevel/>
          </w14:textOutline>
        </w:rPr>
        <w:t xml:space="preserve"> </w:t>
      </w:r>
      <w:bookmarkEnd w:id="25"/>
      <w:r w:rsidR="0093370C" w:rsidRPr="0042484A">
        <w:rPr>
          <w:rFonts w:cs="Arial"/>
          <w:b/>
          <w:u w:val="none"/>
          <w14:textOutline w14:w="9525" w14:cap="rnd" w14:cmpd="sng" w14:algn="ctr">
            <w14:noFill/>
            <w14:prstDash w14:val="solid"/>
            <w14:bevel/>
          </w14:textOutline>
        </w:rPr>
        <w:t>– BALLOON AIR OPERATIONS (PART-BOP)</w:t>
      </w:r>
      <w:bookmarkEnd w:id="26"/>
    </w:p>
    <w:p w14:paraId="6FC46C46" w14:textId="77777777" w:rsidR="0042484A" w:rsidRDefault="001646F9" w:rsidP="009601C2">
      <w:pPr>
        <w:pStyle w:val="Heading3"/>
        <w:spacing w:line="276" w:lineRule="auto"/>
        <w:jc w:val="center"/>
        <w:rPr>
          <w:rFonts w:cs="Arial"/>
          <w:u w:val="none"/>
        </w:rPr>
      </w:pPr>
      <w:bookmarkStart w:id="27" w:name="_Toc96274543"/>
      <w:bookmarkStart w:id="28" w:name="_Toc153137188"/>
      <w:r w:rsidRPr="0042484A">
        <w:rPr>
          <w:rFonts w:cs="Arial"/>
          <w:u w:val="none"/>
        </w:rPr>
        <w:t xml:space="preserve">SUBPART </w:t>
      </w:r>
      <w:bookmarkEnd w:id="27"/>
      <w:r w:rsidR="0093370C" w:rsidRPr="0042484A">
        <w:rPr>
          <w:rFonts w:cs="Arial"/>
          <w:u w:val="none"/>
        </w:rPr>
        <w:t>BAS – BASIC OPERATIONAL REQUIREMENTS</w:t>
      </w:r>
      <w:bookmarkEnd w:id="28"/>
    </w:p>
    <w:p w14:paraId="5D7AAD0B" w14:textId="77777777" w:rsidR="0042484A" w:rsidRPr="0042484A" w:rsidRDefault="0042484A" w:rsidP="009601C2">
      <w:pPr>
        <w:spacing w:line="276" w:lineRule="auto"/>
      </w:pPr>
    </w:p>
    <w:p w14:paraId="464D6353" w14:textId="77777777" w:rsidR="0093370C" w:rsidRPr="0042484A" w:rsidRDefault="00BF46DF" w:rsidP="009601C2">
      <w:pPr>
        <w:pStyle w:val="Heading4"/>
        <w:spacing w:line="276" w:lineRule="auto"/>
        <w:jc w:val="center"/>
        <w:rPr>
          <w:rFonts w:ascii="Arial" w:hAnsi="Arial" w:cs="Arial"/>
          <w:i w:val="0"/>
        </w:rPr>
      </w:pPr>
      <w:bookmarkStart w:id="29" w:name="_Toc153137189"/>
      <w:r w:rsidRPr="0042484A">
        <w:rPr>
          <w:rStyle w:val="Heading3Char"/>
          <w:rFonts w:cs="Arial"/>
          <w:i w:val="0"/>
          <w:color w:val="2E74B5" w:themeColor="accent1" w:themeShade="BF"/>
          <w:u w:val="none"/>
        </w:rPr>
        <w:t>SECTION</w:t>
      </w:r>
      <w:r w:rsidRPr="0042484A">
        <w:rPr>
          <w:rFonts w:ascii="Arial" w:hAnsi="Arial" w:cs="Arial"/>
          <w:i w:val="0"/>
        </w:rPr>
        <w:t xml:space="preserve"> </w:t>
      </w:r>
      <w:r w:rsidRPr="0042484A">
        <w:rPr>
          <w:rFonts w:ascii="Arial" w:hAnsi="Arial" w:cs="Arial"/>
          <w:b/>
          <w:i w:val="0"/>
        </w:rPr>
        <w:t>1 – GENERAL REQUIREMENTS</w:t>
      </w:r>
      <w:bookmarkEnd w:id="29"/>
    </w:p>
    <w:p w14:paraId="21E84950" w14:textId="77777777" w:rsidR="002E05E7" w:rsidRPr="002E05E7" w:rsidRDefault="002E05E7" w:rsidP="009601C2">
      <w:pPr>
        <w:spacing w:line="276" w:lineRule="auto"/>
      </w:pPr>
    </w:p>
    <w:p w14:paraId="67513397" w14:textId="77777777" w:rsidR="0093370C" w:rsidRPr="00B479F6" w:rsidRDefault="0093370C" w:rsidP="009601C2">
      <w:pPr>
        <w:pStyle w:val="Heading4"/>
        <w:shd w:val="clear" w:color="auto" w:fill="2F5496" w:themeFill="accent5" w:themeFillShade="BF"/>
        <w:spacing w:line="276" w:lineRule="auto"/>
        <w:rPr>
          <w:rFonts w:ascii="Arial" w:hAnsi="Arial"/>
          <w:b/>
          <w:i w:val="0"/>
          <w:color w:val="FFFFFF" w:themeColor="background1"/>
          <w:sz w:val="24"/>
        </w:rPr>
      </w:pPr>
      <w:bookmarkStart w:id="30" w:name="_Toc153137190"/>
      <w:r>
        <w:rPr>
          <w:rFonts w:ascii="Arial" w:hAnsi="Arial"/>
          <w:b/>
          <w:i w:val="0"/>
          <w:color w:val="FFFFFF" w:themeColor="background1"/>
          <w:sz w:val="24"/>
        </w:rPr>
        <w:t>BOP.BAS.001 Scope</w:t>
      </w:r>
      <w:bookmarkEnd w:id="30"/>
    </w:p>
    <w:p w14:paraId="59EDB711" w14:textId="0DEC8D45" w:rsidR="002E05E7" w:rsidRDefault="0078050C" w:rsidP="003418DA">
      <w:pPr>
        <w:pStyle w:val="BodyText"/>
        <w:spacing w:before="117" w:line="276" w:lineRule="auto"/>
        <w:ind w:right="44"/>
        <w:jc w:val="both"/>
        <w:rPr>
          <w:rFonts w:ascii="Arial" w:hAnsi="Arial" w:cs="Arial"/>
          <w:sz w:val="20"/>
        </w:rPr>
      </w:pPr>
      <w:r w:rsidRPr="0078050C">
        <w:rPr>
          <w:rFonts w:ascii="Arial" w:hAnsi="Arial" w:cs="Arial"/>
          <w:sz w:val="20"/>
        </w:rPr>
        <w:t xml:space="preserve">In accordance with </w:t>
      </w:r>
      <w:r w:rsidRPr="0008054F">
        <w:rPr>
          <w:rFonts w:ascii="Arial" w:hAnsi="Arial" w:cs="Arial"/>
          <w:sz w:val="20"/>
        </w:rPr>
        <w:t>Article 3</w:t>
      </w:r>
      <w:r w:rsidRPr="0078050C">
        <w:rPr>
          <w:rFonts w:ascii="Arial" w:hAnsi="Arial" w:cs="Arial"/>
          <w:sz w:val="20"/>
        </w:rPr>
        <w:t xml:space="preserve">, this Subpart establishes the requirements to be met by any operator of balloons, other than the design or production organisations referred to in the second subparagraph of </w:t>
      </w:r>
      <w:r w:rsidRPr="0008054F">
        <w:rPr>
          <w:rFonts w:ascii="Arial" w:hAnsi="Arial" w:cs="Arial"/>
          <w:sz w:val="20"/>
        </w:rPr>
        <w:t>Article 3(1)</w:t>
      </w:r>
      <w:r w:rsidRPr="0078050C">
        <w:rPr>
          <w:rFonts w:ascii="Arial" w:hAnsi="Arial" w:cs="Arial"/>
          <w:sz w:val="20"/>
        </w:rPr>
        <w:t>.</w:t>
      </w:r>
    </w:p>
    <w:p w14:paraId="6015AAC4" w14:textId="61947E5D" w:rsidR="0078050C" w:rsidRPr="0008054F" w:rsidRDefault="0078050C" w:rsidP="0008054F">
      <w:pPr>
        <w:keepNext/>
        <w:keepLines/>
        <w:shd w:val="clear" w:color="auto" w:fill="ED7D31"/>
        <w:spacing w:before="160" w:after="120" w:line="276" w:lineRule="auto"/>
        <w:outlineLvl w:val="4"/>
        <w:rPr>
          <w:rFonts w:ascii="Arial" w:eastAsia="Times New Roman" w:hAnsi="Arial" w:cs="Times New Roman"/>
          <w:b/>
          <w:color w:val="FFFFFF"/>
          <w:sz w:val="24"/>
        </w:rPr>
      </w:pPr>
      <w:bookmarkStart w:id="31" w:name="_Toc153137191"/>
      <w:r w:rsidRPr="009E458A">
        <w:rPr>
          <w:rFonts w:ascii="Arial" w:eastAsia="Times New Roman" w:hAnsi="Arial" w:cs="Times New Roman"/>
          <w:b/>
          <w:color w:val="FFFFFF"/>
          <w:sz w:val="24"/>
        </w:rPr>
        <w:t>AMC1 BOP.BAS.001 Scope</w:t>
      </w:r>
      <w:bookmarkEnd w:id="31"/>
    </w:p>
    <w:p w14:paraId="3A451232" w14:textId="77777777" w:rsidR="0078050C" w:rsidRPr="0078050C" w:rsidRDefault="0078050C" w:rsidP="009601C2">
      <w:pPr>
        <w:spacing w:line="276" w:lineRule="auto"/>
        <w:rPr>
          <w:rFonts w:ascii="Arial" w:hAnsi="Arial" w:cs="Arial"/>
          <w:b/>
          <w:sz w:val="20"/>
          <w:szCs w:val="20"/>
        </w:rPr>
      </w:pPr>
      <w:r w:rsidRPr="0078050C">
        <w:rPr>
          <w:rFonts w:ascii="Arial" w:hAnsi="Arial" w:cs="Arial"/>
          <w:b/>
          <w:sz w:val="20"/>
          <w:szCs w:val="20"/>
        </w:rPr>
        <w:t>AERIAL</w:t>
      </w:r>
      <w:r w:rsidRPr="0078050C">
        <w:rPr>
          <w:rFonts w:ascii="Arial" w:hAnsi="Arial" w:cs="Arial"/>
          <w:b/>
          <w:spacing w:val="-6"/>
          <w:sz w:val="20"/>
          <w:szCs w:val="20"/>
        </w:rPr>
        <w:t xml:space="preserve"> </w:t>
      </w:r>
      <w:r w:rsidRPr="0078050C">
        <w:rPr>
          <w:rFonts w:ascii="Arial" w:hAnsi="Arial" w:cs="Arial"/>
          <w:b/>
          <w:sz w:val="20"/>
          <w:szCs w:val="20"/>
        </w:rPr>
        <w:t>ADVERTISING</w:t>
      </w:r>
      <w:r w:rsidRPr="0078050C">
        <w:rPr>
          <w:rFonts w:ascii="Arial" w:hAnsi="Arial" w:cs="Arial"/>
          <w:b/>
          <w:spacing w:val="-5"/>
          <w:sz w:val="20"/>
          <w:szCs w:val="20"/>
        </w:rPr>
        <w:t xml:space="preserve"> </w:t>
      </w:r>
      <w:r w:rsidRPr="0078050C">
        <w:rPr>
          <w:rFonts w:ascii="Arial" w:hAnsi="Arial" w:cs="Arial"/>
          <w:b/>
          <w:sz w:val="20"/>
          <w:szCs w:val="20"/>
        </w:rPr>
        <w:t>FLIGHT</w:t>
      </w:r>
    </w:p>
    <w:p w14:paraId="06D7DEB6" w14:textId="77777777" w:rsidR="0078050C" w:rsidRPr="0078050C" w:rsidRDefault="0078050C" w:rsidP="003418DA">
      <w:pPr>
        <w:pStyle w:val="BodyText"/>
        <w:spacing w:before="119" w:line="276" w:lineRule="auto"/>
        <w:ind w:right="-98"/>
        <w:rPr>
          <w:rFonts w:ascii="Arial" w:hAnsi="Arial" w:cs="Arial"/>
          <w:sz w:val="20"/>
          <w:szCs w:val="20"/>
        </w:rPr>
      </w:pPr>
      <w:r w:rsidRPr="0078050C">
        <w:rPr>
          <w:rFonts w:ascii="Arial" w:hAnsi="Arial" w:cs="Arial"/>
          <w:sz w:val="20"/>
          <w:szCs w:val="20"/>
        </w:rPr>
        <w:t>An</w:t>
      </w:r>
      <w:r w:rsidRPr="0078050C">
        <w:rPr>
          <w:rFonts w:ascii="Arial" w:hAnsi="Arial" w:cs="Arial"/>
          <w:spacing w:val="3"/>
          <w:sz w:val="20"/>
          <w:szCs w:val="20"/>
        </w:rPr>
        <w:t xml:space="preserve"> </w:t>
      </w:r>
      <w:r w:rsidRPr="0078050C">
        <w:rPr>
          <w:rFonts w:ascii="Arial" w:hAnsi="Arial" w:cs="Arial"/>
          <w:sz w:val="20"/>
          <w:szCs w:val="20"/>
        </w:rPr>
        <w:t>aerial</w:t>
      </w:r>
      <w:r w:rsidRPr="0078050C">
        <w:rPr>
          <w:rFonts w:ascii="Arial" w:hAnsi="Arial" w:cs="Arial"/>
          <w:spacing w:val="4"/>
          <w:sz w:val="20"/>
          <w:szCs w:val="20"/>
        </w:rPr>
        <w:t xml:space="preserve"> </w:t>
      </w:r>
      <w:r w:rsidRPr="0078050C">
        <w:rPr>
          <w:rFonts w:ascii="Arial" w:hAnsi="Arial" w:cs="Arial"/>
          <w:sz w:val="20"/>
          <w:szCs w:val="20"/>
        </w:rPr>
        <w:t>advertising</w:t>
      </w:r>
      <w:r w:rsidRPr="0078050C">
        <w:rPr>
          <w:rFonts w:ascii="Arial" w:hAnsi="Arial" w:cs="Arial"/>
          <w:spacing w:val="3"/>
          <w:sz w:val="20"/>
          <w:szCs w:val="20"/>
        </w:rPr>
        <w:t xml:space="preserve"> </w:t>
      </w:r>
      <w:r w:rsidRPr="0078050C">
        <w:rPr>
          <w:rFonts w:ascii="Arial" w:hAnsi="Arial" w:cs="Arial"/>
          <w:sz w:val="20"/>
          <w:szCs w:val="20"/>
        </w:rPr>
        <w:t>flight,</w:t>
      </w:r>
      <w:r w:rsidRPr="0078050C">
        <w:rPr>
          <w:rFonts w:ascii="Arial" w:hAnsi="Arial" w:cs="Arial"/>
          <w:spacing w:val="3"/>
          <w:sz w:val="20"/>
          <w:szCs w:val="20"/>
        </w:rPr>
        <w:t xml:space="preserve"> </w:t>
      </w:r>
      <w:r w:rsidRPr="0078050C">
        <w:rPr>
          <w:rFonts w:ascii="Arial" w:hAnsi="Arial" w:cs="Arial"/>
          <w:sz w:val="20"/>
          <w:szCs w:val="20"/>
        </w:rPr>
        <w:t>displaying</w:t>
      </w:r>
      <w:r w:rsidRPr="0078050C">
        <w:rPr>
          <w:rFonts w:ascii="Arial" w:hAnsi="Arial" w:cs="Arial"/>
          <w:spacing w:val="4"/>
          <w:sz w:val="20"/>
          <w:szCs w:val="20"/>
        </w:rPr>
        <w:t xml:space="preserve"> </w:t>
      </w:r>
      <w:r w:rsidRPr="0078050C">
        <w:rPr>
          <w:rFonts w:ascii="Arial" w:hAnsi="Arial" w:cs="Arial"/>
          <w:sz w:val="20"/>
          <w:szCs w:val="20"/>
        </w:rPr>
        <w:t>a</w:t>
      </w:r>
      <w:r w:rsidRPr="0078050C">
        <w:rPr>
          <w:rFonts w:ascii="Arial" w:hAnsi="Arial" w:cs="Arial"/>
          <w:spacing w:val="4"/>
          <w:sz w:val="20"/>
          <w:szCs w:val="20"/>
        </w:rPr>
        <w:t xml:space="preserve"> </w:t>
      </w:r>
      <w:r w:rsidRPr="0078050C">
        <w:rPr>
          <w:rFonts w:ascii="Arial" w:hAnsi="Arial" w:cs="Arial"/>
          <w:sz w:val="20"/>
          <w:szCs w:val="20"/>
        </w:rPr>
        <w:t>logotype</w:t>
      </w:r>
      <w:r w:rsidRPr="0078050C">
        <w:rPr>
          <w:rFonts w:ascii="Arial" w:hAnsi="Arial" w:cs="Arial"/>
          <w:spacing w:val="3"/>
          <w:sz w:val="20"/>
          <w:szCs w:val="20"/>
        </w:rPr>
        <w:t xml:space="preserve"> </w:t>
      </w:r>
      <w:r w:rsidRPr="0078050C">
        <w:rPr>
          <w:rFonts w:ascii="Arial" w:hAnsi="Arial" w:cs="Arial"/>
          <w:sz w:val="20"/>
          <w:szCs w:val="20"/>
        </w:rPr>
        <w:t>or</w:t>
      </w:r>
      <w:r w:rsidRPr="0078050C">
        <w:rPr>
          <w:rFonts w:ascii="Arial" w:hAnsi="Arial" w:cs="Arial"/>
          <w:spacing w:val="4"/>
          <w:sz w:val="20"/>
          <w:szCs w:val="20"/>
        </w:rPr>
        <w:t xml:space="preserve"> </w:t>
      </w:r>
      <w:r w:rsidRPr="0078050C">
        <w:rPr>
          <w:rFonts w:ascii="Arial" w:hAnsi="Arial" w:cs="Arial"/>
          <w:sz w:val="20"/>
          <w:szCs w:val="20"/>
        </w:rPr>
        <w:t>an</w:t>
      </w:r>
      <w:r w:rsidRPr="0078050C">
        <w:rPr>
          <w:rFonts w:ascii="Arial" w:hAnsi="Arial" w:cs="Arial"/>
          <w:spacing w:val="4"/>
          <w:sz w:val="20"/>
          <w:szCs w:val="20"/>
        </w:rPr>
        <w:t xml:space="preserve"> </w:t>
      </w:r>
      <w:r w:rsidRPr="0078050C">
        <w:rPr>
          <w:rFonts w:ascii="Arial" w:hAnsi="Arial" w:cs="Arial"/>
          <w:sz w:val="20"/>
          <w:szCs w:val="20"/>
        </w:rPr>
        <w:t>advertisement</w:t>
      </w:r>
      <w:r w:rsidRPr="0078050C">
        <w:rPr>
          <w:rFonts w:ascii="Arial" w:hAnsi="Arial" w:cs="Arial"/>
          <w:spacing w:val="3"/>
          <w:sz w:val="20"/>
          <w:szCs w:val="20"/>
        </w:rPr>
        <w:t xml:space="preserve"> </w:t>
      </w:r>
      <w:r w:rsidRPr="0078050C">
        <w:rPr>
          <w:rFonts w:ascii="Arial" w:hAnsi="Arial" w:cs="Arial"/>
          <w:sz w:val="20"/>
          <w:szCs w:val="20"/>
        </w:rPr>
        <w:t>on</w:t>
      </w:r>
      <w:r w:rsidRPr="0078050C">
        <w:rPr>
          <w:rFonts w:ascii="Arial" w:hAnsi="Arial" w:cs="Arial"/>
          <w:spacing w:val="3"/>
          <w:sz w:val="20"/>
          <w:szCs w:val="20"/>
        </w:rPr>
        <w:t xml:space="preserve"> </w:t>
      </w:r>
      <w:r w:rsidRPr="0078050C">
        <w:rPr>
          <w:rFonts w:ascii="Arial" w:hAnsi="Arial" w:cs="Arial"/>
          <w:sz w:val="20"/>
          <w:szCs w:val="20"/>
        </w:rPr>
        <w:t>the</w:t>
      </w:r>
      <w:r w:rsidRPr="0078050C">
        <w:rPr>
          <w:rFonts w:ascii="Arial" w:hAnsi="Arial" w:cs="Arial"/>
          <w:spacing w:val="5"/>
          <w:sz w:val="20"/>
          <w:szCs w:val="20"/>
        </w:rPr>
        <w:t xml:space="preserve"> </w:t>
      </w:r>
      <w:r w:rsidRPr="0078050C">
        <w:rPr>
          <w:rFonts w:ascii="Arial" w:hAnsi="Arial" w:cs="Arial"/>
          <w:sz w:val="20"/>
          <w:szCs w:val="20"/>
        </w:rPr>
        <w:t>balloon,</w:t>
      </w:r>
      <w:r w:rsidRPr="0078050C">
        <w:rPr>
          <w:rFonts w:ascii="Arial" w:hAnsi="Arial" w:cs="Arial"/>
          <w:spacing w:val="4"/>
          <w:sz w:val="20"/>
          <w:szCs w:val="20"/>
        </w:rPr>
        <w:t xml:space="preserve"> </w:t>
      </w:r>
      <w:r w:rsidRPr="0078050C">
        <w:rPr>
          <w:rFonts w:ascii="Arial" w:hAnsi="Arial" w:cs="Arial"/>
          <w:sz w:val="20"/>
          <w:szCs w:val="20"/>
        </w:rPr>
        <w:t>should</w:t>
      </w:r>
      <w:r w:rsidRPr="0078050C">
        <w:rPr>
          <w:rFonts w:ascii="Arial" w:hAnsi="Arial" w:cs="Arial"/>
          <w:spacing w:val="4"/>
          <w:sz w:val="20"/>
          <w:szCs w:val="20"/>
        </w:rPr>
        <w:t xml:space="preserve"> </w:t>
      </w:r>
      <w:r w:rsidRPr="0078050C">
        <w:rPr>
          <w:rFonts w:ascii="Arial" w:hAnsi="Arial" w:cs="Arial"/>
          <w:sz w:val="20"/>
          <w:szCs w:val="20"/>
        </w:rPr>
        <w:t>only</w:t>
      </w:r>
      <w:r w:rsidRPr="0078050C">
        <w:rPr>
          <w:rFonts w:ascii="Arial" w:hAnsi="Arial" w:cs="Arial"/>
          <w:spacing w:val="5"/>
          <w:sz w:val="20"/>
          <w:szCs w:val="20"/>
        </w:rPr>
        <w:t xml:space="preserve"> </w:t>
      </w:r>
      <w:r w:rsidRPr="0078050C">
        <w:rPr>
          <w:rFonts w:ascii="Arial" w:hAnsi="Arial" w:cs="Arial"/>
          <w:sz w:val="20"/>
          <w:szCs w:val="20"/>
        </w:rPr>
        <w:t>be</w:t>
      </w:r>
      <w:r w:rsidRPr="0078050C">
        <w:rPr>
          <w:rFonts w:ascii="Arial" w:hAnsi="Arial" w:cs="Arial"/>
          <w:spacing w:val="-47"/>
          <w:sz w:val="20"/>
          <w:szCs w:val="20"/>
        </w:rPr>
        <w:t xml:space="preserve"> </w:t>
      </w:r>
      <w:r w:rsidRPr="0078050C">
        <w:rPr>
          <w:rFonts w:ascii="Arial" w:hAnsi="Arial" w:cs="Arial"/>
          <w:sz w:val="20"/>
          <w:szCs w:val="20"/>
        </w:rPr>
        <w:t>considered</w:t>
      </w:r>
      <w:r w:rsidRPr="0078050C">
        <w:rPr>
          <w:rFonts w:ascii="Arial" w:hAnsi="Arial" w:cs="Arial"/>
          <w:spacing w:val="-3"/>
          <w:sz w:val="20"/>
          <w:szCs w:val="20"/>
        </w:rPr>
        <w:t xml:space="preserve"> </w:t>
      </w:r>
      <w:r w:rsidRPr="0078050C">
        <w:rPr>
          <w:rFonts w:ascii="Arial" w:hAnsi="Arial" w:cs="Arial"/>
          <w:sz w:val="20"/>
          <w:szCs w:val="20"/>
        </w:rPr>
        <w:t>a</w:t>
      </w:r>
      <w:r w:rsidRPr="0078050C">
        <w:rPr>
          <w:rFonts w:ascii="Arial" w:hAnsi="Arial" w:cs="Arial"/>
          <w:spacing w:val="-1"/>
          <w:sz w:val="20"/>
          <w:szCs w:val="20"/>
        </w:rPr>
        <w:t xml:space="preserve"> </w:t>
      </w:r>
      <w:r w:rsidRPr="0078050C">
        <w:rPr>
          <w:rFonts w:ascii="Arial" w:hAnsi="Arial" w:cs="Arial"/>
          <w:sz w:val="20"/>
          <w:szCs w:val="20"/>
        </w:rPr>
        <w:t>commercial</w:t>
      </w:r>
      <w:r w:rsidRPr="0078050C">
        <w:rPr>
          <w:rFonts w:ascii="Arial" w:hAnsi="Arial" w:cs="Arial"/>
          <w:spacing w:val="-3"/>
          <w:sz w:val="20"/>
          <w:szCs w:val="20"/>
        </w:rPr>
        <w:t xml:space="preserve"> </w:t>
      </w:r>
      <w:r w:rsidRPr="0078050C">
        <w:rPr>
          <w:rFonts w:ascii="Arial" w:hAnsi="Arial" w:cs="Arial"/>
          <w:sz w:val="20"/>
          <w:szCs w:val="20"/>
        </w:rPr>
        <w:t>operation,</w:t>
      </w:r>
      <w:r w:rsidRPr="0078050C">
        <w:rPr>
          <w:rFonts w:ascii="Arial" w:hAnsi="Arial" w:cs="Arial"/>
          <w:spacing w:val="-2"/>
          <w:sz w:val="20"/>
          <w:szCs w:val="20"/>
        </w:rPr>
        <w:t xml:space="preserve"> </w:t>
      </w:r>
      <w:r w:rsidRPr="0078050C">
        <w:rPr>
          <w:rFonts w:ascii="Arial" w:hAnsi="Arial" w:cs="Arial"/>
          <w:sz w:val="20"/>
          <w:szCs w:val="20"/>
        </w:rPr>
        <w:t>when:</w:t>
      </w:r>
    </w:p>
    <w:p w14:paraId="228797BA" w14:textId="77777777" w:rsidR="0078050C" w:rsidRPr="0078050C" w:rsidRDefault="0078050C" w:rsidP="003418DA">
      <w:pPr>
        <w:pStyle w:val="ListParagraph"/>
        <w:numPr>
          <w:ilvl w:val="0"/>
          <w:numId w:val="11"/>
        </w:numPr>
        <w:tabs>
          <w:tab w:val="left" w:pos="706"/>
          <w:tab w:val="left" w:pos="707"/>
        </w:tabs>
        <w:spacing w:before="118" w:line="276" w:lineRule="auto"/>
        <w:ind w:right="-98"/>
        <w:rPr>
          <w:rFonts w:ascii="Arial" w:hAnsi="Arial" w:cs="Arial"/>
          <w:sz w:val="20"/>
          <w:szCs w:val="20"/>
        </w:rPr>
      </w:pPr>
      <w:r w:rsidRPr="0078050C">
        <w:rPr>
          <w:rFonts w:ascii="Arial" w:hAnsi="Arial" w:cs="Arial"/>
          <w:sz w:val="20"/>
          <w:szCs w:val="20"/>
        </w:rPr>
        <w:t>especially</w:t>
      </w:r>
      <w:r w:rsidRPr="0078050C">
        <w:rPr>
          <w:rFonts w:ascii="Arial" w:hAnsi="Arial" w:cs="Arial"/>
          <w:spacing w:val="-3"/>
          <w:sz w:val="20"/>
          <w:szCs w:val="20"/>
        </w:rPr>
        <w:t xml:space="preserve"> </w:t>
      </w:r>
      <w:r w:rsidRPr="0078050C">
        <w:rPr>
          <w:rFonts w:ascii="Arial" w:hAnsi="Arial" w:cs="Arial"/>
          <w:sz w:val="20"/>
          <w:szCs w:val="20"/>
        </w:rPr>
        <w:t>conducted</w:t>
      </w:r>
      <w:r w:rsidRPr="0078050C">
        <w:rPr>
          <w:rFonts w:ascii="Arial" w:hAnsi="Arial" w:cs="Arial"/>
          <w:spacing w:val="-1"/>
          <w:sz w:val="20"/>
          <w:szCs w:val="20"/>
        </w:rPr>
        <w:t xml:space="preserve"> </w:t>
      </w:r>
      <w:r w:rsidRPr="0078050C">
        <w:rPr>
          <w:rFonts w:ascii="Arial" w:hAnsi="Arial" w:cs="Arial"/>
          <w:sz w:val="20"/>
          <w:szCs w:val="20"/>
        </w:rPr>
        <w:t>at a specific time</w:t>
      </w:r>
      <w:r w:rsidRPr="0078050C">
        <w:rPr>
          <w:rFonts w:ascii="Arial" w:hAnsi="Arial" w:cs="Arial"/>
          <w:spacing w:val="-2"/>
          <w:sz w:val="20"/>
          <w:szCs w:val="20"/>
        </w:rPr>
        <w:t xml:space="preserve"> </w:t>
      </w:r>
      <w:r w:rsidRPr="0078050C">
        <w:rPr>
          <w:rFonts w:ascii="Arial" w:hAnsi="Arial" w:cs="Arial"/>
          <w:sz w:val="20"/>
          <w:szCs w:val="20"/>
        </w:rPr>
        <w:t>and</w:t>
      </w:r>
      <w:r w:rsidRPr="0078050C">
        <w:rPr>
          <w:rFonts w:ascii="Arial" w:hAnsi="Arial" w:cs="Arial"/>
          <w:spacing w:val="-1"/>
          <w:sz w:val="20"/>
          <w:szCs w:val="20"/>
        </w:rPr>
        <w:t xml:space="preserve"> </w:t>
      </w:r>
      <w:r w:rsidRPr="0078050C">
        <w:rPr>
          <w:rFonts w:ascii="Arial" w:hAnsi="Arial" w:cs="Arial"/>
          <w:sz w:val="20"/>
          <w:szCs w:val="20"/>
        </w:rPr>
        <w:t>for</w:t>
      </w:r>
      <w:r w:rsidRPr="0078050C">
        <w:rPr>
          <w:rFonts w:ascii="Arial" w:hAnsi="Arial" w:cs="Arial"/>
          <w:spacing w:val="-4"/>
          <w:sz w:val="20"/>
          <w:szCs w:val="20"/>
        </w:rPr>
        <w:t xml:space="preserve"> </w:t>
      </w:r>
      <w:r w:rsidRPr="0078050C">
        <w:rPr>
          <w:rFonts w:ascii="Arial" w:hAnsi="Arial" w:cs="Arial"/>
          <w:sz w:val="20"/>
          <w:szCs w:val="20"/>
        </w:rPr>
        <w:t>an advertising</w:t>
      </w:r>
      <w:r w:rsidRPr="0078050C">
        <w:rPr>
          <w:rFonts w:ascii="Arial" w:hAnsi="Arial" w:cs="Arial"/>
          <w:spacing w:val="-1"/>
          <w:sz w:val="20"/>
          <w:szCs w:val="20"/>
        </w:rPr>
        <w:t xml:space="preserve"> </w:t>
      </w:r>
      <w:r w:rsidRPr="0078050C">
        <w:rPr>
          <w:rFonts w:ascii="Arial" w:hAnsi="Arial" w:cs="Arial"/>
          <w:sz w:val="20"/>
          <w:szCs w:val="20"/>
        </w:rPr>
        <w:t>purpose; and</w:t>
      </w:r>
    </w:p>
    <w:p w14:paraId="62AAA4B2" w14:textId="7E8EBF8F" w:rsidR="0078050C" w:rsidRPr="00B2082E" w:rsidRDefault="0078050C" w:rsidP="00B2082E">
      <w:pPr>
        <w:pStyle w:val="ListParagraph"/>
        <w:numPr>
          <w:ilvl w:val="0"/>
          <w:numId w:val="11"/>
        </w:numPr>
        <w:tabs>
          <w:tab w:val="left" w:pos="706"/>
          <w:tab w:val="left" w:pos="707"/>
        </w:tabs>
        <w:spacing w:line="276" w:lineRule="auto"/>
        <w:ind w:right="44"/>
        <w:rPr>
          <w:rFonts w:ascii="Arial" w:hAnsi="Arial" w:cs="Arial"/>
          <w:sz w:val="20"/>
          <w:szCs w:val="20"/>
        </w:rPr>
      </w:pPr>
      <w:r w:rsidRPr="0078050C">
        <w:rPr>
          <w:rFonts w:ascii="Arial" w:hAnsi="Arial" w:cs="Arial"/>
          <w:sz w:val="20"/>
          <w:szCs w:val="20"/>
        </w:rPr>
        <w:t>conducted</w:t>
      </w:r>
      <w:r w:rsidRPr="0078050C">
        <w:rPr>
          <w:rFonts w:ascii="Arial" w:hAnsi="Arial" w:cs="Arial"/>
          <w:spacing w:val="2"/>
          <w:sz w:val="20"/>
          <w:szCs w:val="20"/>
        </w:rPr>
        <w:t xml:space="preserve"> </w:t>
      </w:r>
      <w:r w:rsidRPr="0078050C">
        <w:rPr>
          <w:rFonts w:ascii="Arial" w:hAnsi="Arial" w:cs="Arial"/>
          <w:sz w:val="20"/>
          <w:szCs w:val="20"/>
        </w:rPr>
        <w:t>in</w:t>
      </w:r>
      <w:r w:rsidRPr="0078050C">
        <w:rPr>
          <w:rFonts w:ascii="Arial" w:hAnsi="Arial" w:cs="Arial"/>
          <w:spacing w:val="3"/>
          <w:sz w:val="20"/>
          <w:szCs w:val="20"/>
        </w:rPr>
        <w:t xml:space="preserve"> </w:t>
      </w:r>
      <w:r w:rsidRPr="0078050C">
        <w:rPr>
          <w:rFonts w:ascii="Arial" w:hAnsi="Arial" w:cs="Arial"/>
          <w:sz w:val="20"/>
          <w:szCs w:val="20"/>
        </w:rPr>
        <w:t>return</w:t>
      </w:r>
      <w:r w:rsidRPr="0078050C">
        <w:rPr>
          <w:rFonts w:ascii="Arial" w:hAnsi="Arial" w:cs="Arial"/>
          <w:spacing w:val="3"/>
          <w:sz w:val="20"/>
          <w:szCs w:val="20"/>
        </w:rPr>
        <w:t xml:space="preserve"> </w:t>
      </w:r>
      <w:r w:rsidRPr="0078050C">
        <w:rPr>
          <w:rFonts w:ascii="Arial" w:hAnsi="Arial" w:cs="Arial"/>
          <w:sz w:val="20"/>
          <w:szCs w:val="20"/>
        </w:rPr>
        <w:t>for</w:t>
      </w:r>
      <w:r w:rsidRPr="0078050C">
        <w:rPr>
          <w:rFonts w:ascii="Arial" w:hAnsi="Arial" w:cs="Arial"/>
          <w:spacing w:val="4"/>
          <w:sz w:val="20"/>
          <w:szCs w:val="20"/>
        </w:rPr>
        <w:t xml:space="preserve"> </w:t>
      </w:r>
      <w:r w:rsidRPr="0078050C">
        <w:rPr>
          <w:rFonts w:ascii="Arial" w:hAnsi="Arial" w:cs="Arial"/>
          <w:sz w:val="20"/>
          <w:szCs w:val="20"/>
        </w:rPr>
        <w:t>remuneration</w:t>
      </w:r>
      <w:r w:rsidRPr="0078050C">
        <w:rPr>
          <w:rFonts w:ascii="Arial" w:hAnsi="Arial" w:cs="Arial"/>
          <w:spacing w:val="1"/>
          <w:sz w:val="20"/>
          <w:szCs w:val="20"/>
        </w:rPr>
        <w:t xml:space="preserve"> </w:t>
      </w:r>
      <w:r w:rsidRPr="0078050C">
        <w:rPr>
          <w:rFonts w:ascii="Arial" w:hAnsi="Arial" w:cs="Arial"/>
          <w:sz w:val="20"/>
          <w:szCs w:val="20"/>
        </w:rPr>
        <w:t>or</w:t>
      </w:r>
      <w:r w:rsidRPr="0078050C">
        <w:rPr>
          <w:rFonts w:ascii="Arial" w:hAnsi="Arial" w:cs="Arial"/>
          <w:spacing w:val="4"/>
          <w:sz w:val="20"/>
          <w:szCs w:val="20"/>
        </w:rPr>
        <w:t xml:space="preserve"> </w:t>
      </w:r>
      <w:r w:rsidRPr="0078050C">
        <w:rPr>
          <w:rFonts w:ascii="Arial" w:hAnsi="Arial" w:cs="Arial"/>
          <w:sz w:val="20"/>
          <w:szCs w:val="20"/>
        </w:rPr>
        <w:t>other</w:t>
      </w:r>
      <w:r w:rsidRPr="0078050C">
        <w:rPr>
          <w:rFonts w:ascii="Arial" w:hAnsi="Arial" w:cs="Arial"/>
          <w:spacing w:val="1"/>
          <w:sz w:val="20"/>
          <w:szCs w:val="20"/>
        </w:rPr>
        <w:t xml:space="preserve"> </w:t>
      </w:r>
      <w:r w:rsidRPr="0078050C">
        <w:rPr>
          <w:rFonts w:ascii="Arial" w:hAnsi="Arial" w:cs="Arial"/>
          <w:sz w:val="20"/>
          <w:szCs w:val="20"/>
        </w:rPr>
        <w:t>valuable</w:t>
      </w:r>
      <w:r w:rsidRPr="0078050C">
        <w:rPr>
          <w:rFonts w:ascii="Arial" w:hAnsi="Arial" w:cs="Arial"/>
          <w:spacing w:val="4"/>
          <w:sz w:val="20"/>
          <w:szCs w:val="20"/>
        </w:rPr>
        <w:t xml:space="preserve"> </w:t>
      </w:r>
      <w:r w:rsidRPr="0078050C">
        <w:rPr>
          <w:rFonts w:ascii="Arial" w:hAnsi="Arial" w:cs="Arial"/>
          <w:sz w:val="20"/>
          <w:szCs w:val="20"/>
        </w:rPr>
        <w:t>consideration</w:t>
      </w:r>
      <w:r w:rsidRPr="0078050C">
        <w:rPr>
          <w:rFonts w:ascii="Arial" w:hAnsi="Arial" w:cs="Arial"/>
          <w:spacing w:val="3"/>
          <w:sz w:val="20"/>
          <w:szCs w:val="20"/>
        </w:rPr>
        <w:t xml:space="preserve"> </w:t>
      </w:r>
      <w:r w:rsidRPr="0078050C">
        <w:rPr>
          <w:rFonts w:ascii="Arial" w:hAnsi="Arial" w:cs="Arial"/>
          <w:sz w:val="20"/>
          <w:szCs w:val="20"/>
        </w:rPr>
        <w:t>from</w:t>
      </w:r>
      <w:r w:rsidRPr="0078050C">
        <w:rPr>
          <w:rFonts w:ascii="Arial" w:hAnsi="Arial" w:cs="Arial"/>
          <w:spacing w:val="5"/>
          <w:sz w:val="20"/>
          <w:szCs w:val="20"/>
        </w:rPr>
        <w:t xml:space="preserve"> </w:t>
      </w:r>
      <w:r w:rsidRPr="0078050C">
        <w:rPr>
          <w:rFonts w:ascii="Arial" w:hAnsi="Arial" w:cs="Arial"/>
          <w:sz w:val="20"/>
          <w:szCs w:val="20"/>
        </w:rPr>
        <w:t>the</w:t>
      </w:r>
      <w:r w:rsidRPr="0078050C">
        <w:rPr>
          <w:rFonts w:ascii="Arial" w:hAnsi="Arial" w:cs="Arial"/>
          <w:spacing w:val="2"/>
          <w:sz w:val="20"/>
          <w:szCs w:val="20"/>
        </w:rPr>
        <w:t xml:space="preserve"> </w:t>
      </w:r>
      <w:r w:rsidRPr="0078050C">
        <w:rPr>
          <w:rFonts w:ascii="Arial" w:hAnsi="Arial" w:cs="Arial"/>
          <w:sz w:val="20"/>
          <w:szCs w:val="20"/>
        </w:rPr>
        <w:t>principal,</w:t>
      </w:r>
      <w:r w:rsidRPr="0078050C">
        <w:rPr>
          <w:rFonts w:ascii="Arial" w:hAnsi="Arial" w:cs="Arial"/>
          <w:spacing w:val="3"/>
          <w:sz w:val="20"/>
          <w:szCs w:val="20"/>
        </w:rPr>
        <w:t xml:space="preserve"> </w:t>
      </w:r>
      <w:r w:rsidRPr="0078050C">
        <w:rPr>
          <w:rFonts w:ascii="Arial" w:hAnsi="Arial" w:cs="Arial"/>
          <w:sz w:val="20"/>
          <w:szCs w:val="20"/>
        </w:rPr>
        <w:t>with</w:t>
      </w:r>
      <w:r w:rsidR="00B2082E">
        <w:rPr>
          <w:rFonts w:ascii="Arial" w:hAnsi="Arial" w:cs="Arial"/>
          <w:sz w:val="20"/>
          <w:szCs w:val="20"/>
        </w:rPr>
        <w:t xml:space="preserve"> </w:t>
      </w:r>
      <w:r w:rsidRPr="0078050C">
        <w:rPr>
          <w:rFonts w:ascii="Arial" w:hAnsi="Arial" w:cs="Arial"/>
          <w:spacing w:val="-47"/>
          <w:sz w:val="20"/>
          <w:szCs w:val="20"/>
        </w:rPr>
        <w:t xml:space="preserve"> </w:t>
      </w:r>
      <w:r w:rsidRPr="0078050C">
        <w:rPr>
          <w:rFonts w:ascii="Arial" w:hAnsi="Arial" w:cs="Arial"/>
          <w:sz w:val="20"/>
          <w:szCs w:val="20"/>
        </w:rPr>
        <w:t>or without</w:t>
      </w:r>
      <w:r w:rsidRPr="0078050C">
        <w:rPr>
          <w:rFonts w:ascii="Arial" w:hAnsi="Arial" w:cs="Arial"/>
          <w:spacing w:val="-2"/>
          <w:sz w:val="20"/>
          <w:szCs w:val="20"/>
        </w:rPr>
        <w:t xml:space="preserve"> </w:t>
      </w:r>
      <w:r w:rsidRPr="0078050C">
        <w:rPr>
          <w:rFonts w:ascii="Arial" w:hAnsi="Arial" w:cs="Arial"/>
          <w:sz w:val="20"/>
          <w:szCs w:val="20"/>
        </w:rPr>
        <w:t>the</w:t>
      </w:r>
      <w:r w:rsidRPr="0078050C">
        <w:rPr>
          <w:rFonts w:ascii="Arial" w:hAnsi="Arial" w:cs="Arial"/>
          <w:spacing w:val="-2"/>
          <w:sz w:val="20"/>
          <w:szCs w:val="20"/>
        </w:rPr>
        <w:t xml:space="preserve"> </w:t>
      </w:r>
      <w:r w:rsidRPr="0078050C">
        <w:rPr>
          <w:rFonts w:ascii="Arial" w:hAnsi="Arial" w:cs="Arial"/>
          <w:sz w:val="20"/>
          <w:szCs w:val="20"/>
        </w:rPr>
        <w:t>existence</w:t>
      </w:r>
      <w:r w:rsidRPr="0078050C">
        <w:rPr>
          <w:rFonts w:ascii="Arial" w:hAnsi="Arial" w:cs="Arial"/>
          <w:spacing w:val="-2"/>
          <w:sz w:val="20"/>
          <w:szCs w:val="20"/>
        </w:rPr>
        <w:t xml:space="preserve"> </w:t>
      </w:r>
      <w:r w:rsidRPr="0078050C">
        <w:rPr>
          <w:rFonts w:ascii="Arial" w:hAnsi="Arial" w:cs="Arial"/>
          <w:sz w:val="20"/>
          <w:szCs w:val="20"/>
        </w:rPr>
        <w:t>of</w:t>
      </w:r>
      <w:r w:rsidRPr="0078050C">
        <w:rPr>
          <w:rFonts w:ascii="Arial" w:hAnsi="Arial" w:cs="Arial"/>
          <w:spacing w:val="-3"/>
          <w:sz w:val="20"/>
          <w:szCs w:val="20"/>
        </w:rPr>
        <w:t xml:space="preserve"> </w:t>
      </w:r>
      <w:r w:rsidRPr="0078050C">
        <w:rPr>
          <w:rFonts w:ascii="Arial" w:hAnsi="Arial" w:cs="Arial"/>
          <w:sz w:val="20"/>
          <w:szCs w:val="20"/>
        </w:rPr>
        <w:t>a contract.</w:t>
      </w:r>
    </w:p>
    <w:p w14:paraId="477D3447" w14:textId="77777777" w:rsidR="001B5C0F" w:rsidRPr="001B5C0F" w:rsidRDefault="001B5C0F" w:rsidP="009601C2">
      <w:pPr>
        <w:keepNext/>
        <w:keepLines/>
        <w:widowControl/>
        <w:shd w:val="clear" w:color="auto" w:fill="339966"/>
        <w:autoSpaceDE/>
        <w:autoSpaceDN/>
        <w:spacing w:before="160" w:after="120" w:line="276" w:lineRule="auto"/>
        <w:outlineLvl w:val="4"/>
        <w:rPr>
          <w:rFonts w:ascii="Arial" w:eastAsia="Times New Roman" w:hAnsi="Arial" w:cs="Times New Roman"/>
          <w:b/>
          <w:color w:val="FFFFFF"/>
          <w:sz w:val="24"/>
        </w:rPr>
      </w:pPr>
      <w:bookmarkStart w:id="32" w:name="GM1_BOP.BAS.001_Scope"/>
      <w:bookmarkStart w:id="33" w:name="_bookmark27"/>
      <w:bookmarkStart w:id="34" w:name="_Toc153137192"/>
      <w:bookmarkEnd w:id="32"/>
      <w:bookmarkEnd w:id="33"/>
      <w:r w:rsidRPr="001B5C0F">
        <w:rPr>
          <w:rFonts w:ascii="Arial" w:eastAsia="Times New Roman" w:hAnsi="Arial" w:cs="Times New Roman"/>
          <w:b/>
          <w:color w:val="FFFFFF"/>
          <w:sz w:val="24"/>
        </w:rPr>
        <w:t>GM1 BOP.BAS.001 Scope</w:t>
      </w:r>
      <w:bookmarkEnd w:id="34"/>
    </w:p>
    <w:p w14:paraId="294B6C0C" w14:textId="77777777" w:rsidR="001B5C0F" w:rsidRPr="001B5C0F" w:rsidRDefault="001B5C0F" w:rsidP="009601C2">
      <w:pPr>
        <w:spacing w:line="276" w:lineRule="auto"/>
        <w:rPr>
          <w:rFonts w:ascii="Arial" w:hAnsi="Arial" w:cs="Arial"/>
          <w:b/>
          <w:sz w:val="20"/>
          <w:szCs w:val="20"/>
        </w:rPr>
      </w:pPr>
      <w:r w:rsidRPr="001B5C0F">
        <w:rPr>
          <w:rFonts w:ascii="Arial" w:hAnsi="Arial" w:cs="Arial"/>
          <w:b/>
          <w:sz w:val="20"/>
          <w:szCs w:val="20"/>
        </w:rPr>
        <w:t>MIXED BALLOONS</w:t>
      </w:r>
    </w:p>
    <w:p w14:paraId="4D7CE38C" w14:textId="77777777" w:rsidR="001B5C0F" w:rsidRPr="001B5C0F" w:rsidRDefault="001B5C0F" w:rsidP="009601C2">
      <w:pPr>
        <w:pStyle w:val="BodyText"/>
        <w:spacing w:before="119" w:line="276" w:lineRule="auto"/>
        <w:rPr>
          <w:rFonts w:ascii="Arial" w:hAnsi="Arial" w:cs="Arial"/>
          <w:sz w:val="20"/>
          <w:szCs w:val="20"/>
        </w:rPr>
      </w:pPr>
      <w:r w:rsidRPr="001B5C0F">
        <w:rPr>
          <w:rFonts w:ascii="Arial" w:hAnsi="Arial" w:cs="Arial"/>
          <w:sz w:val="20"/>
          <w:szCs w:val="20"/>
        </w:rPr>
        <w:t>Mixed balloons are operated in accordance with the requirements for hot-air balloons, unless otherwise specified.</w:t>
      </w:r>
    </w:p>
    <w:p w14:paraId="4B324DDF" w14:textId="77777777" w:rsidR="001B5C0F" w:rsidRDefault="001B5C0F" w:rsidP="009601C2">
      <w:pPr>
        <w:tabs>
          <w:tab w:val="left" w:pos="3090"/>
        </w:tabs>
        <w:spacing w:line="276" w:lineRule="auto"/>
        <w:rPr>
          <w:rFonts w:ascii="Arial" w:hAnsi="Arial" w:cs="Arial"/>
          <w:sz w:val="20"/>
        </w:rPr>
      </w:pPr>
    </w:p>
    <w:p w14:paraId="63E23FF2" w14:textId="77777777" w:rsidR="001B5C0F" w:rsidRPr="00B479F6" w:rsidRDefault="001B5C0F" w:rsidP="009601C2">
      <w:pPr>
        <w:pStyle w:val="Heading4"/>
        <w:shd w:val="clear" w:color="auto" w:fill="2F5496" w:themeFill="accent5" w:themeFillShade="BF"/>
        <w:spacing w:line="276" w:lineRule="auto"/>
        <w:rPr>
          <w:rFonts w:ascii="Arial" w:hAnsi="Arial"/>
          <w:b/>
          <w:i w:val="0"/>
          <w:color w:val="FFFFFF" w:themeColor="background1"/>
          <w:sz w:val="24"/>
        </w:rPr>
      </w:pPr>
      <w:bookmarkStart w:id="35" w:name="_Toc153137193"/>
      <w:r w:rsidRPr="001B5C0F">
        <w:rPr>
          <w:rFonts w:ascii="Arial" w:hAnsi="Arial"/>
          <w:b/>
          <w:i w:val="0"/>
          <w:color w:val="FFFFFF" w:themeColor="background1"/>
          <w:sz w:val="24"/>
        </w:rPr>
        <w:t>BOP.BAS.005 Competent authority</w:t>
      </w:r>
      <w:bookmarkEnd w:id="35"/>
    </w:p>
    <w:p w14:paraId="79BC223E" w14:textId="77777777" w:rsidR="001B5C0F" w:rsidRDefault="001B5C0F" w:rsidP="009601C2">
      <w:pPr>
        <w:tabs>
          <w:tab w:val="left" w:pos="3090"/>
        </w:tabs>
        <w:spacing w:line="276" w:lineRule="auto"/>
        <w:rPr>
          <w:rFonts w:ascii="Arial" w:hAnsi="Arial" w:cs="Arial"/>
          <w:sz w:val="20"/>
        </w:rPr>
      </w:pPr>
    </w:p>
    <w:p w14:paraId="417AA3FA" w14:textId="1889ADE9" w:rsidR="001B5C0F" w:rsidRDefault="008915B9" w:rsidP="009601C2">
      <w:pPr>
        <w:tabs>
          <w:tab w:val="left" w:pos="3090"/>
        </w:tabs>
        <w:spacing w:line="276" w:lineRule="auto"/>
        <w:jc w:val="both"/>
        <w:rPr>
          <w:rFonts w:ascii="Arial" w:hAnsi="Arial" w:cs="Arial"/>
          <w:sz w:val="20"/>
        </w:rPr>
      </w:pPr>
      <w:r>
        <w:rPr>
          <w:rFonts w:ascii="Arial" w:hAnsi="Arial" w:cs="Arial"/>
          <w:sz w:val="20"/>
        </w:rPr>
        <w:t>The CAC RA</w:t>
      </w:r>
      <w:r w:rsidR="001B5C0F" w:rsidRPr="001B5C0F">
        <w:rPr>
          <w:rFonts w:ascii="Arial" w:hAnsi="Arial" w:cs="Arial"/>
          <w:sz w:val="20"/>
        </w:rPr>
        <w:t xml:space="preserve"> shall be the authority designated by the</w:t>
      </w:r>
      <w:r w:rsidRPr="008915B9">
        <w:rPr>
          <w:rFonts w:ascii="Arial" w:hAnsi="Arial" w:cs="Arial"/>
          <w:sz w:val="20"/>
        </w:rPr>
        <w:t xml:space="preserve"> </w:t>
      </w:r>
      <w:r>
        <w:rPr>
          <w:rFonts w:ascii="Arial" w:hAnsi="Arial" w:cs="Arial"/>
          <w:sz w:val="20"/>
        </w:rPr>
        <w:t>O</w:t>
      </w:r>
      <w:r w:rsidRPr="001B5C0F">
        <w:rPr>
          <w:rFonts w:ascii="Arial" w:hAnsi="Arial" w:cs="Arial"/>
          <w:sz w:val="20"/>
        </w:rPr>
        <w:t>perator</w:t>
      </w:r>
      <w:r w:rsidR="001B5C0F" w:rsidRPr="001B5C0F">
        <w:rPr>
          <w:rFonts w:ascii="Arial" w:hAnsi="Arial" w:cs="Arial"/>
          <w:sz w:val="20"/>
        </w:rPr>
        <w:t xml:space="preserve"> where the operator has its principal place of business or, where the operator has no principal place of business, the place where the operator is established or resides. That authority shall be subject to the requirements of Article 3 of </w:t>
      </w:r>
      <w:hyperlink r:id="rId35" w:history="1">
        <w:r w:rsidR="0008054F" w:rsidRPr="008A63A0">
          <w:rPr>
            <w:rStyle w:val="Hyperlink"/>
            <w:rFonts w:ascii="Arial" w:hAnsi="Arial" w:cs="Arial"/>
            <w:sz w:val="20"/>
          </w:rPr>
          <w:t>the order N 2-N of the minister of Territorial Administration and Infrastructure of RA, dated 11.02.2022</w:t>
        </w:r>
      </w:hyperlink>
      <w:r w:rsidR="001B5C0F" w:rsidRPr="001B5C0F">
        <w:rPr>
          <w:rFonts w:ascii="Arial" w:hAnsi="Arial" w:cs="Arial"/>
          <w:sz w:val="20"/>
        </w:rPr>
        <w:t xml:space="preserve"> in accordance with Article 1(7) of that Regulation.</w:t>
      </w:r>
    </w:p>
    <w:p w14:paraId="18F1869D" w14:textId="77777777" w:rsidR="001B5C0F" w:rsidRDefault="001B5C0F" w:rsidP="009601C2">
      <w:pPr>
        <w:tabs>
          <w:tab w:val="left" w:pos="3090"/>
        </w:tabs>
        <w:spacing w:line="276" w:lineRule="auto"/>
        <w:jc w:val="both"/>
        <w:rPr>
          <w:rFonts w:ascii="Arial" w:hAnsi="Arial" w:cs="Arial"/>
          <w:sz w:val="20"/>
        </w:rPr>
      </w:pPr>
    </w:p>
    <w:p w14:paraId="38DD0B19" w14:textId="2DE49701" w:rsidR="001B5C0F" w:rsidRPr="0008054F" w:rsidRDefault="001B5C0F" w:rsidP="0008054F">
      <w:pPr>
        <w:pStyle w:val="Heading4"/>
        <w:shd w:val="clear" w:color="auto" w:fill="2F5496" w:themeFill="accent5" w:themeFillShade="BF"/>
        <w:spacing w:line="276" w:lineRule="auto"/>
        <w:rPr>
          <w:rFonts w:ascii="Arial" w:hAnsi="Arial"/>
          <w:b/>
          <w:i w:val="0"/>
          <w:color w:val="FFFFFF" w:themeColor="background1"/>
          <w:sz w:val="24"/>
        </w:rPr>
      </w:pPr>
      <w:bookmarkStart w:id="36" w:name="_Toc153137194"/>
      <w:r w:rsidRPr="001B5C0F">
        <w:rPr>
          <w:rFonts w:ascii="Arial" w:hAnsi="Arial"/>
          <w:b/>
          <w:i w:val="0"/>
          <w:color w:val="FFFFFF" w:themeColor="background1"/>
          <w:sz w:val="24"/>
        </w:rPr>
        <w:t>BOP.BAS.010 Demonstration of compliance</w:t>
      </w:r>
      <w:bookmarkEnd w:id="36"/>
    </w:p>
    <w:p w14:paraId="12FF8711" w14:textId="0E807917" w:rsidR="001B5C0F" w:rsidRPr="001B5C0F" w:rsidRDefault="001B5C0F" w:rsidP="0008054F">
      <w:pPr>
        <w:pStyle w:val="ListParagraph"/>
        <w:numPr>
          <w:ilvl w:val="0"/>
          <w:numId w:val="13"/>
        </w:numPr>
        <w:tabs>
          <w:tab w:val="left" w:pos="706"/>
          <w:tab w:val="left" w:pos="707"/>
        </w:tabs>
        <w:spacing w:before="118" w:line="276" w:lineRule="auto"/>
        <w:jc w:val="both"/>
        <w:rPr>
          <w:rFonts w:ascii="Arial" w:hAnsi="Arial" w:cs="Arial"/>
          <w:sz w:val="20"/>
          <w:szCs w:val="20"/>
        </w:rPr>
      </w:pPr>
      <w:r w:rsidRPr="001B5C0F">
        <w:rPr>
          <w:rFonts w:ascii="Arial" w:hAnsi="Arial" w:cs="Arial"/>
          <w:sz w:val="20"/>
          <w:szCs w:val="20"/>
        </w:rPr>
        <w:t>An operator shall, when so requ</w:t>
      </w:r>
      <w:r w:rsidR="00062224">
        <w:rPr>
          <w:rFonts w:ascii="Arial" w:hAnsi="Arial" w:cs="Arial"/>
          <w:sz w:val="20"/>
          <w:szCs w:val="20"/>
        </w:rPr>
        <w:t>ested by the CAC RA</w:t>
      </w:r>
      <w:r w:rsidRPr="001B5C0F">
        <w:rPr>
          <w:rFonts w:ascii="Arial" w:hAnsi="Arial" w:cs="Arial"/>
          <w:sz w:val="20"/>
          <w:szCs w:val="20"/>
        </w:rPr>
        <w:t xml:space="preserve"> which verifies continued compliance by the operator in accordance with point ARO.GEN.300(a)(2) of Annex II (Part-ARO) </w:t>
      </w:r>
      <w:hyperlink r:id="rId36" w:history="1">
        <w:r w:rsidR="0008054F" w:rsidRPr="008A63A0">
          <w:rPr>
            <w:rStyle w:val="Hyperlink"/>
            <w:rFonts w:ascii="Arial" w:hAnsi="Arial" w:cs="Arial"/>
            <w:sz w:val="20"/>
          </w:rPr>
          <w:t>the order N 2-N of the minister of Territorial Administration and Infrastructure of RA, dated 11.02.2022</w:t>
        </w:r>
      </w:hyperlink>
      <w:r w:rsidRPr="001B5C0F">
        <w:rPr>
          <w:rFonts w:ascii="Arial" w:hAnsi="Arial" w:cs="Arial"/>
          <w:sz w:val="20"/>
          <w:szCs w:val="20"/>
        </w:rPr>
        <w:t xml:space="preserve">, demonstrate compliance with the essential requirements set out in </w:t>
      </w:r>
      <w:hyperlink r:id="rId37" w:history="1">
        <w:r w:rsidR="005C2A3C" w:rsidRPr="004073D2">
          <w:rPr>
            <w:rStyle w:val="Hyperlink"/>
            <w:rFonts w:ascii="Arial" w:hAnsi="Arial" w:cs="Arial"/>
            <w:sz w:val="20"/>
            <w:szCs w:val="20"/>
          </w:rPr>
          <w:t>Law on Aviation of the Republic of Armenia</w:t>
        </w:r>
      </w:hyperlink>
      <w:r w:rsidRPr="001B5C0F">
        <w:rPr>
          <w:rFonts w:ascii="Arial" w:hAnsi="Arial" w:cs="Arial"/>
          <w:sz w:val="20"/>
          <w:szCs w:val="20"/>
        </w:rPr>
        <w:t xml:space="preserve"> and with the requirements of this Regulation.</w:t>
      </w:r>
    </w:p>
    <w:p w14:paraId="6FED4780" w14:textId="77777777" w:rsidR="001B5C0F" w:rsidRPr="001B5C0F" w:rsidRDefault="001B5C0F" w:rsidP="0008054F">
      <w:pPr>
        <w:pStyle w:val="ListParagraph"/>
        <w:numPr>
          <w:ilvl w:val="0"/>
          <w:numId w:val="13"/>
        </w:numPr>
        <w:tabs>
          <w:tab w:val="left" w:pos="706"/>
          <w:tab w:val="left" w:pos="707"/>
        </w:tabs>
        <w:spacing w:before="118" w:line="276" w:lineRule="auto"/>
        <w:jc w:val="both"/>
        <w:rPr>
          <w:rFonts w:ascii="Arial" w:hAnsi="Arial" w:cs="Arial"/>
          <w:sz w:val="20"/>
          <w:szCs w:val="20"/>
        </w:rPr>
      </w:pPr>
      <w:r w:rsidRPr="001B5C0F">
        <w:rPr>
          <w:rFonts w:ascii="Arial" w:hAnsi="Arial" w:cs="Arial"/>
          <w:sz w:val="20"/>
          <w:szCs w:val="20"/>
        </w:rPr>
        <w:t>The operator shall use either of the following means to demonstrate such compliance:</w:t>
      </w:r>
    </w:p>
    <w:p w14:paraId="7CDCFFC5" w14:textId="77777777" w:rsidR="001B5C0F" w:rsidRPr="00736327" w:rsidRDefault="001B5C0F" w:rsidP="0008054F">
      <w:pPr>
        <w:pStyle w:val="ListParagraph"/>
        <w:numPr>
          <w:ilvl w:val="1"/>
          <w:numId w:val="12"/>
        </w:numPr>
        <w:tabs>
          <w:tab w:val="left" w:pos="1273"/>
          <w:tab w:val="left" w:pos="1274"/>
        </w:tabs>
        <w:spacing w:line="276" w:lineRule="auto"/>
        <w:ind w:hanging="568"/>
        <w:jc w:val="both"/>
        <w:rPr>
          <w:rFonts w:ascii="Arial" w:hAnsi="Arial" w:cs="Arial"/>
          <w:sz w:val="20"/>
        </w:rPr>
      </w:pPr>
      <w:r w:rsidRPr="00736327">
        <w:rPr>
          <w:rFonts w:ascii="Arial" w:hAnsi="Arial" w:cs="Arial"/>
          <w:sz w:val="20"/>
        </w:rPr>
        <w:t>acceptable</w:t>
      </w:r>
      <w:r w:rsidRPr="00736327">
        <w:rPr>
          <w:rFonts w:ascii="Arial" w:hAnsi="Arial" w:cs="Arial"/>
          <w:spacing w:val="-4"/>
          <w:sz w:val="20"/>
        </w:rPr>
        <w:t xml:space="preserve"> </w:t>
      </w:r>
      <w:r w:rsidRPr="00736327">
        <w:rPr>
          <w:rFonts w:ascii="Arial" w:hAnsi="Arial" w:cs="Arial"/>
          <w:sz w:val="20"/>
        </w:rPr>
        <w:t>means</w:t>
      </w:r>
      <w:r w:rsidRPr="00736327">
        <w:rPr>
          <w:rFonts w:ascii="Arial" w:hAnsi="Arial" w:cs="Arial"/>
          <w:spacing w:val="-3"/>
          <w:sz w:val="20"/>
        </w:rPr>
        <w:t xml:space="preserve"> </w:t>
      </w:r>
      <w:r w:rsidRPr="00736327">
        <w:rPr>
          <w:rFonts w:ascii="Arial" w:hAnsi="Arial" w:cs="Arial"/>
          <w:sz w:val="20"/>
        </w:rPr>
        <w:t>of</w:t>
      </w:r>
      <w:r w:rsidRPr="00736327">
        <w:rPr>
          <w:rFonts w:ascii="Arial" w:hAnsi="Arial" w:cs="Arial"/>
          <w:spacing w:val="-1"/>
          <w:sz w:val="20"/>
        </w:rPr>
        <w:t xml:space="preserve"> </w:t>
      </w:r>
      <w:r w:rsidRPr="00736327">
        <w:rPr>
          <w:rFonts w:ascii="Arial" w:hAnsi="Arial" w:cs="Arial"/>
          <w:sz w:val="20"/>
        </w:rPr>
        <w:t>compliance (AMC);</w:t>
      </w:r>
    </w:p>
    <w:p w14:paraId="454D1596" w14:textId="77777777" w:rsidR="001B5C0F" w:rsidRPr="00736327" w:rsidRDefault="001B5C0F" w:rsidP="0008054F">
      <w:pPr>
        <w:pStyle w:val="ListParagraph"/>
        <w:numPr>
          <w:ilvl w:val="1"/>
          <w:numId w:val="12"/>
        </w:numPr>
        <w:tabs>
          <w:tab w:val="left" w:pos="1273"/>
          <w:tab w:val="left" w:pos="1274"/>
        </w:tabs>
        <w:spacing w:before="118" w:line="276" w:lineRule="auto"/>
        <w:ind w:hanging="568"/>
        <w:jc w:val="both"/>
        <w:rPr>
          <w:rFonts w:ascii="Arial" w:hAnsi="Arial" w:cs="Arial"/>
          <w:sz w:val="20"/>
        </w:rPr>
      </w:pPr>
      <w:r w:rsidRPr="00736327">
        <w:rPr>
          <w:rFonts w:ascii="Arial" w:hAnsi="Arial" w:cs="Arial"/>
          <w:sz w:val="20"/>
        </w:rPr>
        <w:t>alternative</w:t>
      </w:r>
      <w:r w:rsidRPr="00736327">
        <w:rPr>
          <w:rFonts w:ascii="Arial" w:hAnsi="Arial" w:cs="Arial"/>
          <w:spacing w:val="-4"/>
          <w:sz w:val="20"/>
        </w:rPr>
        <w:t xml:space="preserve"> </w:t>
      </w:r>
      <w:r w:rsidRPr="00736327">
        <w:rPr>
          <w:rFonts w:ascii="Arial" w:hAnsi="Arial" w:cs="Arial"/>
          <w:sz w:val="20"/>
        </w:rPr>
        <w:t>means</w:t>
      </w:r>
      <w:r w:rsidRPr="00736327">
        <w:rPr>
          <w:rFonts w:ascii="Arial" w:hAnsi="Arial" w:cs="Arial"/>
          <w:spacing w:val="-4"/>
          <w:sz w:val="20"/>
        </w:rPr>
        <w:t xml:space="preserve"> </w:t>
      </w:r>
      <w:r w:rsidRPr="00736327">
        <w:rPr>
          <w:rFonts w:ascii="Arial" w:hAnsi="Arial" w:cs="Arial"/>
          <w:sz w:val="20"/>
        </w:rPr>
        <w:t>of</w:t>
      </w:r>
      <w:r w:rsidRPr="00736327">
        <w:rPr>
          <w:rFonts w:ascii="Arial" w:hAnsi="Arial" w:cs="Arial"/>
          <w:spacing w:val="-4"/>
          <w:sz w:val="20"/>
        </w:rPr>
        <w:t xml:space="preserve"> </w:t>
      </w:r>
      <w:r w:rsidRPr="00736327">
        <w:rPr>
          <w:rFonts w:ascii="Arial" w:hAnsi="Arial" w:cs="Arial"/>
          <w:sz w:val="20"/>
        </w:rPr>
        <w:t>compliance (AltMoC).</w:t>
      </w:r>
    </w:p>
    <w:p w14:paraId="3942006C" w14:textId="77777777" w:rsidR="001B5C0F" w:rsidRDefault="001B5C0F" w:rsidP="009601C2">
      <w:pPr>
        <w:tabs>
          <w:tab w:val="left" w:pos="3090"/>
        </w:tabs>
        <w:spacing w:line="276" w:lineRule="auto"/>
        <w:jc w:val="both"/>
        <w:rPr>
          <w:rFonts w:ascii="Arial" w:hAnsi="Arial" w:cs="Arial"/>
          <w:sz w:val="20"/>
        </w:rPr>
      </w:pPr>
    </w:p>
    <w:p w14:paraId="70DE256D" w14:textId="4618F99E" w:rsidR="004A51D5" w:rsidRPr="00B2082E" w:rsidRDefault="004A51D5" w:rsidP="00B2082E">
      <w:pPr>
        <w:pStyle w:val="Heading4"/>
        <w:shd w:val="clear" w:color="auto" w:fill="2F5496" w:themeFill="accent5" w:themeFillShade="BF"/>
        <w:spacing w:line="276" w:lineRule="auto"/>
        <w:rPr>
          <w:rFonts w:ascii="Arial" w:hAnsi="Arial"/>
          <w:b/>
          <w:i w:val="0"/>
          <w:color w:val="FFFFFF" w:themeColor="background1"/>
          <w:sz w:val="24"/>
        </w:rPr>
      </w:pPr>
      <w:bookmarkStart w:id="37" w:name="BOP.BAS.015_Introductory_flights"/>
      <w:bookmarkStart w:id="38" w:name="_bookmark30"/>
      <w:bookmarkStart w:id="39" w:name="_Toc153137195"/>
      <w:bookmarkEnd w:id="37"/>
      <w:bookmarkEnd w:id="38"/>
      <w:r w:rsidRPr="004A51D5">
        <w:rPr>
          <w:rFonts w:ascii="Arial" w:hAnsi="Arial"/>
          <w:b/>
          <w:i w:val="0"/>
          <w:color w:val="FFFFFF" w:themeColor="background1"/>
          <w:sz w:val="24"/>
        </w:rPr>
        <w:t>BOP.BAS.015 Introductory flights</w:t>
      </w:r>
      <w:bookmarkEnd w:id="39"/>
    </w:p>
    <w:p w14:paraId="154ECC46" w14:textId="77777777" w:rsidR="004A51D5" w:rsidRPr="004A51D5" w:rsidRDefault="004A51D5" w:rsidP="00B2082E">
      <w:pPr>
        <w:pStyle w:val="BodyText"/>
        <w:spacing w:before="117" w:line="276" w:lineRule="auto"/>
        <w:jc w:val="both"/>
        <w:rPr>
          <w:rFonts w:ascii="Arial" w:hAnsi="Arial" w:cs="Arial"/>
          <w:sz w:val="20"/>
        </w:rPr>
      </w:pPr>
      <w:r w:rsidRPr="004A51D5">
        <w:rPr>
          <w:rFonts w:ascii="Arial" w:hAnsi="Arial" w:cs="Arial"/>
          <w:sz w:val="20"/>
        </w:rPr>
        <w:t>Introductory</w:t>
      </w:r>
      <w:r w:rsidRPr="004A51D5">
        <w:rPr>
          <w:rFonts w:ascii="Arial" w:hAnsi="Arial" w:cs="Arial"/>
          <w:spacing w:val="-1"/>
          <w:sz w:val="20"/>
        </w:rPr>
        <w:t xml:space="preserve"> </w:t>
      </w:r>
      <w:r w:rsidRPr="004A51D5">
        <w:rPr>
          <w:rFonts w:ascii="Arial" w:hAnsi="Arial" w:cs="Arial"/>
          <w:sz w:val="20"/>
        </w:rPr>
        <w:t>flights</w:t>
      </w:r>
      <w:r w:rsidRPr="004A51D5">
        <w:rPr>
          <w:rFonts w:ascii="Arial" w:hAnsi="Arial" w:cs="Arial"/>
          <w:spacing w:val="-4"/>
          <w:sz w:val="20"/>
        </w:rPr>
        <w:t xml:space="preserve"> </w:t>
      </w:r>
      <w:r w:rsidRPr="004A51D5">
        <w:rPr>
          <w:rFonts w:ascii="Arial" w:hAnsi="Arial" w:cs="Arial"/>
          <w:sz w:val="20"/>
        </w:rPr>
        <w:t>shall</w:t>
      </w:r>
      <w:r w:rsidRPr="004A51D5">
        <w:rPr>
          <w:rFonts w:ascii="Arial" w:hAnsi="Arial" w:cs="Arial"/>
          <w:spacing w:val="-2"/>
          <w:sz w:val="20"/>
        </w:rPr>
        <w:t xml:space="preserve"> </w:t>
      </w:r>
      <w:r w:rsidRPr="004A51D5">
        <w:rPr>
          <w:rFonts w:ascii="Arial" w:hAnsi="Arial" w:cs="Arial"/>
          <w:sz w:val="20"/>
        </w:rPr>
        <w:t>be:</w:t>
      </w:r>
    </w:p>
    <w:p w14:paraId="0AFF4EB5" w14:textId="77777777" w:rsidR="004A51D5" w:rsidRPr="004A51D5" w:rsidRDefault="004A51D5" w:rsidP="0008054F">
      <w:pPr>
        <w:pStyle w:val="ListParagraph"/>
        <w:numPr>
          <w:ilvl w:val="0"/>
          <w:numId w:val="14"/>
        </w:numPr>
        <w:tabs>
          <w:tab w:val="left" w:pos="706"/>
          <w:tab w:val="left" w:pos="707"/>
        </w:tabs>
        <w:spacing w:before="121" w:line="276" w:lineRule="auto"/>
        <w:jc w:val="both"/>
        <w:rPr>
          <w:rFonts w:ascii="Arial" w:hAnsi="Arial" w:cs="Arial"/>
          <w:sz w:val="20"/>
        </w:rPr>
      </w:pPr>
      <w:r w:rsidRPr="004A51D5">
        <w:rPr>
          <w:rFonts w:ascii="Arial" w:hAnsi="Arial" w:cs="Arial"/>
          <w:sz w:val="20"/>
        </w:rPr>
        <w:t>operated</w:t>
      </w:r>
      <w:r w:rsidRPr="004A51D5">
        <w:rPr>
          <w:rFonts w:ascii="Arial" w:hAnsi="Arial" w:cs="Arial"/>
          <w:spacing w:val="-1"/>
          <w:sz w:val="20"/>
        </w:rPr>
        <w:t xml:space="preserve"> </w:t>
      </w:r>
      <w:r w:rsidRPr="004A51D5">
        <w:rPr>
          <w:rFonts w:ascii="Arial" w:hAnsi="Arial" w:cs="Arial"/>
          <w:sz w:val="20"/>
        </w:rPr>
        <w:t>under</w:t>
      </w:r>
      <w:r w:rsidRPr="004A51D5">
        <w:rPr>
          <w:rFonts w:ascii="Arial" w:hAnsi="Arial" w:cs="Arial"/>
          <w:spacing w:val="-3"/>
          <w:sz w:val="20"/>
        </w:rPr>
        <w:t xml:space="preserve"> </w:t>
      </w:r>
      <w:r w:rsidRPr="004A51D5">
        <w:rPr>
          <w:rFonts w:ascii="Arial" w:hAnsi="Arial" w:cs="Arial"/>
          <w:sz w:val="20"/>
        </w:rPr>
        <w:t>visual</w:t>
      </w:r>
      <w:r w:rsidRPr="004A51D5">
        <w:rPr>
          <w:rFonts w:ascii="Arial" w:hAnsi="Arial" w:cs="Arial"/>
          <w:spacing w:val="-1"/>
          <w:sz w:val="20"/>
        </w:rPr>
        <w:t xml:space="preserve"> </w:t>
      </w:r>
      <w:r w:rsidRPr="004A51D5">
        <w:rPr>
          <w:rFonts w:ascii="Arial" w:hAnsi="Arial" w:cs="Arial"/>
          <w:sz w:val="20"/>
        </w:rPr>
        <w:t>flight rules</w:t>
      </w:r>
      <w:r w:rsidRPr="004A51D5">
        <w:rPr>
          <w:rFonts w:ascii="Arial" w:hAnsi="Arial" w:cs="Arial"/>
          <w:spacing w:val="-1"/>
          <w:sz w:val="20"/>
        </w:rPr>
        <w:t xml:space="preserve"> </w:t>
      </w:r>
      <w:r w:rsidRPr="004A51D5">
        <w:rPr>
          <w:rFonts w:ascii="Arial" w:hAnsi="Arial" w:cs="Arial"/>
          <w:sz w:val="20"/>
        </w:rPr>
        <w:t>(VFR)</w:t>
      </w:r>
      <w:r w:rsidRPr="004A51D5">
        <w:rPr>
          <w:rFonts w:ascii="Arial" w:hAnsi="Arial" w:cs="Arial"/>
          <w:spacing w:val="-1"/>
          <w:sz w:val="20"/>
        </w:rPr>
        <w:t xml:space="preserve"> </w:t>
      </w:r>
      <w:r w:rsidRPr="004A51D5">
        <w:rPr>
          <w:rFonts w:ascii="Arial" w:hAnsi="Arial" w:cs="Arial"/>
          <w:sz w:val="20"/>
        </w:rPr>
        <w:t>by</w:t>
      </w:r>
      <w:r w:rsidRPr="004A51D5">
        <w:rPr>
          <w:rFonts w:ascii="Arial" w:hAnsi="Arial" w:cs="Arial"/>
          <w:spacing w:val="-3"/>
          <w:sz w:val="20"/>
        </w:rPr>
        <w:t xml:space="preserve"> </w:t>
      </w:r>
      <w:r w:rsidRPr="004A51D5">
        <w:rPr>
          <w:rFonts w:ascii="Arial" w:hAnsi="Arial" w:cs="Arial"/>
          <w:sz w:val="20"/>
        </w:rPr>
        <w:t>day;</w:t>
      </w:r>
      <w:r w:rsidRPr="004A51D5">
        <w:rPr>
          <w:rFonts w:ascii="Arial" w:hAnsi="Arial" w:cs="Arial"/>
          <w:spacing w:val="-2"/>
          <w:sz w:val="20"/>
        </w:rPr>
        <w:t xml:space="preserve"> </w:t>
      </w:r>
      <w:r w:rsidRPr="004A51D5">
        <w:rPr>
          <w:rFonts w:ascii="Arial" w:hAnsi="Arial" w:cs="Arial"/>
          <w:sz w:val="20"/>
        </w:rPr>
        <w:t>and</w:t>
      </w:r>
    </w:p>
    <w:p w14:paraId="7F7B2ED9" w14:textId="77777777" w:rsidR="004A51D5" w:rsidRPr="004A51D5" w:rsidRDefault="004A51D5" w:rsidP="0008054F">
      <w:pPr>
        <w:pStyle w:val="ListParagraph"/>
        <w:numPr>
          <w:ilvl w:val="0"/>
          <w:numId w:val="14"/>
        </w:numPr>
        <w:tabs>
          <w:tab w:val="left" w:pos="706"/>
          <w:tab w:val="left" w:pos="707"/>
        </w:tabs>
        <w:spacing w:line="276" w:lineRule="auto"/>
        <w:ind w:right="195"/>
        <w:jc w:val="both"/>
        <w:rPr>
          <w:rFonts w:ascii="Arial" w:hAnsi="Arial" w:cs="Arial"/>
          <w:sz w:val="20"/>
        </w:rPr>
      </w:pPr>
      <w:r w:rsidRPr="004A51D5">
        <w:rPr>
          <w:rFonts w:ascii="Arial" w:hAnsi="Arial" w:cs="Arial"/>
          <w:sz w:val="20"/>
        </w:rPr>
        <w:t>overseen</w:t>
      </w:r>
      <w:r w:rsidRPr="004A51D5">
        <w:rPr>
          <w:rFonts w:ascii="Arial" w:hAnsi="Arial" w:cs="Arial"/>
          <w:spacing w:val="28"/>
          <w:sz w:val="20"/>
        </w:rPr>
        <w:t xml:space="preserve"> </w:t>
      </w:r>
      <w:r w:rsidRPr="004A51D5">
        <w:rPr>
          <w:rFonts w:ascii="Arial" w:hAnsi="Arial" w:cs="Arial"/>
          <w:sz w:val="20"/>
        </w:rPr>
        <w:t>as</w:t>
      </w:r>
      <w:r w:rsidRPr="004A51D5">
        <w:rPr>
          <w:rFonts w:ascii="Arial" w:hAnsi="Arial" w:cs="Arial"/>
          <w:spacing w:val="29"/>
          <w:sz w:val="20"/>
        </w:rPr>
        <w:t xml:space="preserve"> </w:t>
      </w:r>
      <w:r w:rsidRPr="004A51D5">
        <w:rPr>
          <w:rFonts w:ascii="Arial" w:hAnsi="Arial" w:cs="Arial"/>
          <w:sz w:val="20"/>
        </w:rPr>
        <w:t>regards</w:t>
      </w:r>
      <w:r w:rsidRPr="004A51D5">
        <w:rPr>
          <w:rFonts w:ascii="Arial" w:hAnsi="Arial" w:cs="Arial"/>
          <w:spacing w:val="29"/>
          <w:sz w:val="20"/>
        </w:rPr>
        <w:t xml:space="preserve"> </w:t>
      </w:r>
      <w:r w:rsidRPr="004A51D5">
        <w:rPr>
          <w:rFonts w:ascii="Arial" w:hAnsi="Arial" w:cs="Arial"/>
          <w:sz w:val="20"/>
        </w:rPr>
        <w:t>their</w:t>
      </w:r>
      <w:r w:rsidRPr="004A51D5">
        <w:rPr>
          <w:rFonts w:ascii="Arial" w:hAnsi="Arial" w:cs="Arial"/>
          <w:spacing w:val="25"/>
          <w:sz w:val="20"/>
        </w:rPr>
        <w:t xml:space="preserve"> </w:t>
      </w:r>
      <w:r w:rsidRPr="004A51D5">
        <w:rPr>
          <w:rFonts w:ascii="Arial" w:hAnsi="Arial" w:cs="Arial"/>
          <w:sz w:val="20"/>
        </w:rPr>
        <w:t>safety</w:t>
      </w:r>
      <w:r w:rsidRPr="004A51D5">
        <w:rPr>
          <w:rFonts w:ascii="Arial" w:hAnsi="Arial" w:cs="Arial"/>
          <w:spacing w:val="30"/>
          <w:sz w:val="20"/>
        </w:rPr>
        <w:t xml:space="preserve"> </w:t>
      </w:r>
      <w:r w:rsidRPr="004A51D5">
        <w:rPr>
          <w:rFonts w:ascii="Arial" w:hAnsi="Arial" w:cs="Arial"/>
          <w:sz w:val="20"/>
        </w:rPr>
        <w:t>by</w:t>
      </w:r>
      <w:r w:rsidRPr="004A51D5">
        <w:rPr>
          <w:rFonts w:ascii="Arial" w:hAnsi="Arial" w:cs="Arial"/>
          <w:spacing w:val="30"/>
          <w:sz w:val="20"/>
        </w:rPr>
        <w:t xml:space="preserve"> </w:t>
      </w:r>
      <w:r w:rsidRPr="004A51D5">
        <w:rPr>
          <w:rFonts w:ascii="Arial" w:hAnsi="Arial" w:cs="Arial"/>
          <w:sz w:val="20"/>
        </w:rPr>
        <w:t>a</w:t>
      </w:r>
      <w:r w:rsidRPr="004A51D5">
        <w:rPr>
          <w:rFonts w:ascii="Arial" w:hAnsi="Arial" w:cs="Arial"/>
          <w:spacing w:val="29"/>
          <w:sz w:val="20"/>
        </w:rPr>
        <w:t xml:space="preserve"> </w:t>
      </w:r>
      <w:r w:rsidRPr="004A51D5">
        <w:rPr>
          <w:rFonts w:ascii="Arial" w:hAnsi="Arial" w:cs="Arial"/>
          <w:sz w:val="20"/>
        </w:rPr>
        <w:t>person</w:t>
      </w:r>
      <w:r w:rsidRPr="004A51D5">
        <w:rPr>
          <w:rFonts w:ascii="Arial" w:hAnsi="Arial" w:cs="Arial"/>
          <w:spacing w:val="27"/>
          <w:sz w:val="20"/>
        </w:rPr>
        <w:t xml:space="preserve"> </w:t>
      </w:r>
      <w:r w:rsidRPr="004A51D5">
        <w:rPr>
          <w:rFonts w:ascii="Arial" w:hAnsi="Arial" w:cs="Arial"/>
          <w:sz w:val="20"/>
        </w:rPr>
        <w:t>who</w:t>
      </w:r>
      <w:r w:rsidRPr="004A51D5">
        <w:rPr>
          <w:rFonts w:ascii="Arial" w:hAnsi="Arial" w:cs="Arial"/>
          <w:spacing w:val="30"/>
          <w:sz w:val="20"/>
        </w:rPr>
        <w:t xml:space="preserve"> </w:t>
      </w:r>
      <w:r w:rsidRPr="004A51D5">
        <w:rPr>
          <w:rFonts w:ascii="Arial" w:hAnsi="Arial" w:cs="Arial"/>
          <w:sz w:val="20"/>
        </w:rPr>
        <w:t>has</w:t>
      </w:r>
      <w:r w:rsidRPr="004A51D5">
        <w:rPr>
          <w:rFonts w:ascii="Arial" w:hAnsi="Arial" w:cs="Arial"/>
          <w:spacing w:val="29"/>
          <w:sz w:val="20"/>
        </w:rPr>
        <w:t xml:space="preserve"> </w:t>
      </w:r>
      <w:r w:rsidRPr="004A51D5">
        <w:rPr>
          <w:rFonts w:ascii="Arial" w:hAnsi="Arial" w:cs="Arial"/>
          <w:sz w:val="20"/>
        </w:rPr>
        <w:t>been</w:t>
      </w:r>
      <w:r w:rsidRPr="004A51D5">
        <w:rPr>
          <w:rFonts w:ascii="Arial" w:hAnsi="Arial" w:cs="Arial"/>
          <w:spacing w:val="27"/>
          <w:sz w:val="20"/>
        </w:rPr>
        <w:t xml:space="preserve"> </w:t>
      </w:r>
      <w:r w:rsidRPr="004A51D5">
        <w:rPr>
          <w:rFonts w:ascii="Arial" w:hAnsi="Arial" w:cs="Arial"/>
          <w:sz w:val="20"/>
        </w:rPr>
        <w:t>nominated</w:t>
      </w:r>
      <w:r w:rsidRPr="004A51D5">
        <w:rPr>
          <w:rFonts w:ascii="Arial" w:hAnsi="Arial" w:cs="Arial"/>
          <w:spacing w:val="28"/>
          <w:sz w:val="20"/>
        </w:rPr>
        <w:t xml:space="preserve"> </w:t>
      </w:r>
      <w:r w:rsidRPr="004A51D5">
        <w:rPr>
          <w:rFonts w:ascii="Arial" w:hAnsi="Arial" w:cs="Arial"/>
          <w:sz w:val="20"/>
        </w:rPr>
        <w:t>by</w:t>
      </w:r>
      <w:r w:rsidRPr="004A51D5">
        <w:rPr>
          <w:rFonts w:ascii="Arial" w:hAnsi="Arial" w:cs="Arial"/>
          <w:spacing w:val="27"/>
          <w:sz w:val="20"/>
        </w:rPr>
        <w:t xml:space="preserve"> </w:t>
      </w:r>
      <w:r w:rsidRPr="004A51D5">
        <w:rPr>
          <w:rFonts w:ascii="Arial" w:hAnsi="Arial" w:cs="Arial"/>
          <w:sz w:val="20"/>
        </w:rPr>
        <w:t>the</w:t>
      </w:r>
      <w:r w:rsidRPr="004A51D5">
        <w:rPr>
          <w:rFonts w:ascii="Arial" w:hAnsi="Arial" w:cs="Arial"/>
          <w:spacing w:val="27"/>
          <w:sz w:val="20"/>
        </w:rPr>
        <w:t xml:space="preserve"> </w:t>
      </w:r>
      <w:r w:rsidRPr="004A51D5">
        <w:rPr>
          <w:rFonts w:ascii="Arial" w:hAnsi="Arial" w:cs="Arial"/>
          <w:sz w:val="20"/>
        </w:rPr>
        <w:t>organisation</w:t>
      </w:r>
      <w:r w:rsidRPr="004A51D5">
        <w:rPr>
          <w:rFonts w:ascii="Arial" w:hAnsi="Arial" w:cs="Arial"/>
          <w:spacing w:val="-47"/>
          <w:sz w:val="20"/>
        </w:rPr>
        <w:t xml:space="preserve"> </w:t>
      </w:r>
      <w:r w:rsidRPr="004A51D5">
        <w:rPr>
          <w:rFonts w:ascii="Arial" w:hAnsi="Arial" w:cs="Arial"/>
          <w:sz w:val="20"/>
        </w:rPr>
        <w:lastRenderedPageBreak/>
        <w:t>performing</w:t>
      </w:r>
      <w:r w:rsidRPr="004A51D5">
        <w:rPr>
          <w:rFonts w:ascii="Arial" w:hAnsi="Arial" w:cs="Arial"/>
          <w:spacing w:val="-2"/>
          <w:sz w:val="20"/>
        </w:rPr>
        <w:t xml:space="preserve"> </w:t>
      </w:r>
      <w:r w:rsidRPr="004A51D5">
        <w:rPr>
          <w:rFonts w:ascii="Arial" w:hAnsi="Arial" w:cs="Arial"/>
          <w:sz w:val="20"/>
        </w:rPr>
        <w:t>the</w:t>
      </w:r>
      <w:r w:rsidRPr="004A51D5">
        <w:rPr>
          <w:rFonts w:ascii="Arial" w:hAnsi="Arial" w:cs="Arial"/>
          <w:spacing w:val="1"/>
          <w:sz w:val="20"/>
        </w:rPr>
        <w:t xml:space="preserve"> </w:t>
      </w:r>
      <w:r w:rsidRPr="004A51D5">
        <w:rPr>
          <w:rFonts w:ascii="Arial" w:hAnsi="Arial" w:cs="Arial"/>
          <w:sz w:val="20"/>
        </w:rPr>
        <w:t>introductory flights.</w:t>
      </w:r>
    </w:p>
    <w:p w14:paraId="33C12468" w14:textId="77777777" w:rsidR="004A51D5" w:rsidRDefault="004A51D5" w:rsidP="009601C2">
      <w:pPr>
        <w:tabs>
          <w:tab w:val="left" w:pos="3090"/>
        </w:tabs>
        <w:spacing w:line="276" w:lineRule="auto"/>
        <w:jc w:val="both"/>
        <w:rPr>
          <w:rFonts w:ascii="Arial" w:hAnsi="Arial" w:cs="Arial"/>
          <w:sz w:val="20"/>
        </w:rPr>
      </w:pPr>
    </w:p>
    <w:p w14:paraId="139E8113" w14:textId="77777777" w:rsidR="004A51D5" w:rsidRPr="003D1031" w:rsidRDefault="004A51D5" w:rsidP="009601C2">
      <w:pPr>
        <w:pStyle w:val="Heading4"/>
        <w:shd w:val="clear" w:color="auto" w:fill="2F5496" w:themeFill="accent5" w:themeFillShade="BF"/>
        <w:spacing w:line="276" w:lineRule="auto"/>
        <w:rPr>
          <w:rFonts w:ascii="Arial" w:hAnsi="Arial"/>
          <w:b/>
          <w:i w:val="0"/>
          <w:color w:val="FFFFFF" w:themeColor="background1"/>
          <w:sz w:val="24"/>
        </w:rPr>
      </w:pPr>
      <w:bookmarkStart w:id="40" w:name="BOP.BAS.020_Immediate_reaction_to_a_safe"/>
      <w:bookmarkStart w:id="41" w:name="_bookmark31"/>
      <w:bookmarkStart w:id="42" w:name="_Toc153137196"/>
      <w:bookmarkEnd w:id="40"/>
      <w:bookmarkEnd w:id="41"/>
      <w:r w:rsidRPr="004A51D5">
        <w:rPr>
          <w:rFonts w:ascii="Arial" w:hAnsi="Arial"/>
          <w:b/>
          <w:i w:val="0"/>
          <w:color w:val="FFFFFF" w:themeColor="background1"/>
          <w:sz w:val="24"/>
        </w:rPr>
        <w:t>BOP.BAS.020 Immediate reaction to a safety problem</w:t>
      </w:r>
      <w:bookmarkEnd w:id="42"/>
    </w:p>
    <w:p w14:paraId="6DBD376E" w14:textId="40C1CA5B" w:rsidR="004A51D5" w:rsidRPr="0008054F" w:rsidRDefault="0008054F" w:rsidP="00233B98">
      <w:pPr>
        <w:pStyle w:val="BodyText"/>
        <w:spacing w:before="117" w:line="276" w:lineRule="auto"/>
        <w:ind w:right="44"/>
        <w:rPr>
          <w:rFonts w:ascii="Arial" w:hAnsi="Arial" w:cs="Arial"/>
          <w:sz w:val="20"/>
        </w:rPr>
      </w:pPr>
      <w:r>
        <w:rPr>
          <w:rFonts w:ascii="Arial" w:hAnsi="Arial" w:cs="Arial"/>
          <w:sz w:val="20"/>
        </w:rPr>
        <w:t>The operator shall implement:</w:t>
      </w:r>
    </w:p>
    <w:p w14:paraId="0F045ED1" w14:textId="5A8F5ED6" w:rsidR="004A51D5" w:rsidRPr="004A51D5" w:rsidRDefault="004A51D5" w:rsidP="00233B98">
      <w:pPr>
        <w:numPr>
          <w:ilvl w:val="0"/>
          <w:numId w:val="15"/>
        </w:numPr>
        <w:tabs>
          <w:tab w:val="left" w:pos="3090"/>
        </w:tabs>
        <w:spacing w:line="276" w:lineRule="auto"/>
        <w:ind w:right="44"/>
        <w:jc w:val="both"/>
        <w:rPr>
          <w:rFonts w:ascii="Arial" w:hAnsi="Arial" w:cs="Arial"/>
          <w:sz w:val="20"/>
        </w:rPr>
      </w:pPr>
      <w:r w:rsidRPr="004A51D5">
        <w:rPr>
          <w:rFonts w:ascii="Arial" w:hAnsi="Arial" w:cs="Arial"/>
          <w:sz w:val="20"/>
        </w:rPr>
        <w:t xml:space="preserve">safety measures mandated by the </w:t>
      </w:r>
      <w:r w:rsidR="00062224">
        <w:rPr>
          <w:rFonts w:ascii="Arial" w:hAnsi="Arial" w:cs="Arial"/>
          <w:sz w:val="20"/>
        </w:rPr>
        <w:t>CAC RA</w:t>
      </w:r>
      <w:r w:rsidRPr="004A51D5">
        <w:rPr>
          <w:rFonts w:ascii="Arial" w:hAnsi="Arial" w:cs="Arial"/>
          <w:sz w:val="20"/>
        </w:rPr>
        <w:t xml:space="preserve"> in accordance with paragraph (c) of point ARO.GEN.135 of Annex II (Part-ARO) to </w:t>
      </w:r>
      <w:hyperlink r:id="rId38" w:history="1">
        <w:r w:rsidR="0008054F" w:rsidRPr="008A63A0">
          <w:rPr>
            <w:rStyle w:val="Hyperlink"/>
            <w:rFonts w:ascii="Arial" w:hAnsi="Arial" w:cs="Arial"/>
            <w:sz w:val="20"/>
          </w:rPr>
          <w:t>the order N 2-N of the minister of Territorial Administration and Infrastructure of RA, dated 11.02.2022</w:t>
        </w:r>
      </w:hyperlink>
      <w:r w:rsidRPr="004A51D5">
        <w:rPr>
          <w:rFonts w:ascii="Arial" w:hAnsi="Arial" w:cs="Arial"/>
          <w:sz w:val="20"/>
        </w:rPr>
        <w:t>; and</w:t>
      </w:r>
    </w:p>
    <w:p w14:paraId="35B6221D" w14:textId="33A2844B" w:rsidR="004A51D5" w:rsidRPr="004A51D5" w:rsidRDefault="004A51D5" w:rsidP="00233B98">
      <w:pPr>
        <w:numPr>
          <w:ilvl w:val="0"/>
          <w:numId w:val="15"/>
        </w:numPr>
        <w:tabs>
          <w:tab w:val="left" w:pos="3090"/>
        </w:tabs>
        <w:spacing w:line="276" w:lineRule="auto"/>
        <w:ind w:right="44"/>
        <w:jc w:val="both"/>
        <w:rPr>
          <w:rFonts w:ascii="Arial" w:hAnsi="Arial" w:cs="Arial"/>
          <w:sz w:val="20"/>
        </w:rPr>
      </w:pPr>
      <w:r w:rsidRPr="004A51D5">
        <w:rPr>
          <w:rFonts w:ascii="Arial" w:hAnsi="Arial" w:cs="Arial"/>
          <w:sz w:val="20"/>
        </w:rPr>
        <w:t xml:space="preserve">airworthiness directives and other mandatory information issued by the Agency in accordance with </w:t>
      </w:r>
      <w:hyperlink r:id="rId39" w:history="1">
        <w:r w:rsidR="005C2A3C" w:rsidRPr="004073D2">
          <w:rPr>
            <w:rStyle w:val="Hyperlink"/>
            <w:rFonts w:ascii="Arial" w:hAnsi="Arial" w:cs="Arial"/>
            <w:sz w:val="20"/>
            <w:szCs w:val="20"/>
          </w:rPr>
          <w:t>Law on Aviation of the Republic of Armenia</w:t>
        </w:r>
      </w:hyperlink>
      <w:r w:rsidRPr="004A51D5">
        <w:rPr>
          <w:rFonts w:ascii="Arial" w:hAnsi="Arial" w:cs="Arial"/>
          <w:sz w:val="20"/>
        </w:rPr>
        <w:t>.</w:t>
      </w:r>
    </w:p>
    <w:p w14:paraId="27477021" w14:textId="77777777" w:rsidR="004A51D5" w:rsidRDefault="004A51D5" w:rsidP="009601C2">
      <w:pPr>
        <w:tabs>
          <w:tab w:val="left" w:pos="3090"/>
        </w:tabs>
        <w:spacing w:line="276" w:lineRule="auto"/>
        <w:jc w:val="both"/>
        <w:rPr>
          <w:rFonts w:ascii="Arial" w:hAnsi="Arial" w:cs="Arial"/>
          <w:sz w:val="20"/>
        </w:rPr>
      </w:pPr>
    </w:p>
    <w:p w14:paraId="7AA5614D" w14:textId="77777777" w:rsidR="004A51D5" w:rsidRPr="004A51D5" w:rsidRDefault="004A51D5" w:rsidP="009601C2">
      <w:pPr>
        <w:pStyle w:val="Heading4"/>
        <w:shd w:val="clear" w:color="auto" w:fill="2F5496" w:themeFill="accent5" w:themeFillShade="BF"/>
        <w:spacing w:line="276" w:lineRule="auto"/>
        <w:rPr>
          <w:rFonts w:ascii="Arial" w:hAnsi="Arial"/>
          <w:b/>
          <w:i w:val="0"/>
          <w:color w:val="FFFFFF" w:themeColor="background1"/>
          <w:sz w:val="24"/>
        </w:rPr>
      </w:pPr>
      <w:bookmarkStart w:id="43" w:name="_Toc153137197"/>
      <w:r w:rsidRPr="004A51D5">
        <w:rPr>
          <w:rFonts w:ascii="Arial" w:hAnsi="Arial"/>
          <w:b/>
          <w:i w:val="0"/>
          <w:color w:val="FFFFFF" w:themeColor="background1"/>
          <w:sz w:val="24"/>
        </w:rPr>
        <w:t>BOP.BAS.025 Designation as pilot-in-command</w:t>
      </w:r>
      <w:bookmarkEnd w:id="43"/>
    </w:p>
    <w:p w14:paraId="3592B378" w14:textId="77777777" w:rsidR="004A51D5" w:rsidRDefault="004A51D5" w:rsidP="009601C2">
      <w:pPr>
        <w:tabs>
          <w:tab w:val="left" w:pos="3090"/>
        </w:tabs>
        <w:spacing w:line="276" w:lineRule="auto"/>
        <w:jc w:val="both"/>
        <w:rPr>
          <w:rFonts w:ascii="Arial" w:hAnsi="Arial" w:cs="Arial"/>
          <w:sz w:val="20"/>
        </w:rPr>
      </w:pPr>
    </w:p>
    <w:p w14:paraId="57FBDD08" w14:textId="77777777" w:rsidR="004A51D5" w:rsidRPr="004A51D5" w:rsidRDefault="004A51D5" w:rsidP="00233B98">
      <w:pPr>
        <w:tabs>
          <w:tab w:val="left" w:pos="3090"/>
        </w:tabs>
        <w:spacing w:line="276" w:lineRule="auto"/>
        <w:ind w:right="44"/>
        <w:jc w:val="both"/>
        <w:rPr>
          <w:rFonts w:ascii="Arial" w:hAnsi="Arial" w:cs="Arial"/>
          <w:sz w:val="20"/>
        </w:rPr>
      </w:pPr>
      <w:r w:rsidRPr="004A51D5">
        <w:rPr>
          <w:rFonts w:ascii="Arial" w:hAnsi="Arial" w:cs="Arial"/>
          <w:sz w:val="20"/>
        </w:rPr>
        <w:t>The operator shall designate a pilot-in-command who is qualified to act as pilot-in-command in accordance with Annex III (Part-BFCL) to this Regulation.</w:t>
      </w:r>
    </w:p>
    <w:p w14:paraId="745B5EF5" w14:textId="77777777" w:rsidR="004A51D5" w:rsidRDefault="004A51D5" w:rsidP="009601C2">
      <w:pPr>
        <w:tabs>
          <w:tab w:val="left" w:pos="3090"/>
        </w:tabs>
        <w:spacing w:line="276" w:lineRule="auto"/>
        <w:jc w:val="both"/>
        <w:rPr>
          <w:rFonts w:ascii="Arial" w:hAnsi="Arial" w:cs="Arial"/>
          <w:sz w:val="20"/>
        </w:rPr>
      </w:pPr>
    </w:p>
    <w:p w14:paraId="7056E226" w14:textId="77777777" w:rsidR="004A51D5" w:rsidRPr="004A51D5" w:rsidRDefault="004A51D5" w:rsidP="009601C2">
      <w:pPr>
        <w:pStyle w:val="Heading4"/>
        <w:shd w:val="clear" w:color="auto" w:fill="2F5496" w:themeFill="accent5" w:themeFillShade="BF"/>
        <w:spacing w:line="276" w:lineRule="auto"/>
        <w:rPr>
          <w:rFonts w:ascii="Arial" w:hAnsi="Arial"/>
          <w:b/>
          <w:i w:val="0"/>
          <w:color w:val="FFFFFF" w:themeColor="background1"/>
          <w:sz w:val="24"/>
        </w:rPr>
      </w:pPr>
      <w:bookmarkStart w:id="44" w:name="_Toc153137198"/>
      <w:r w:rsidRPr="004A51D5">
        <w:rPr>
          <w:rFonts w:ascii="Arial" w:hAnsi="Arial"/>
          <w:b/>
          <w:i w:val="0"/>
          <w:color w:val="FFFFFF" w:themeColor="background1"/>
          <w:sz w:val="24"/>
        </w:rPr>
        <w:t>BOP.BAS.030 Responsibilities of the pilot-in-command</w:t>
      </w:r>
      <w:bookmarkEnd w:id="44"/>
    </w:p>
    <w:p w14:paraId="502EC377" w14:textId="77777777" w:rsidR="004A51D5" w:rsidRDefault="004A51D5" w:rsidP="009601C2">
      <w:pPr>
        <w:tabs>
          <w:tab w:val="left" w:pos="3090"/>
        </w:tabs>
        <w:spacing w:line="276" w:lineRule="auto"/>
        <w:jc w:val="both"/>
        <w:rPr>
          <w:rFonts w:ascii="Arial" w:hAnsi="Arial" w:cs="Arial"/>
          <w:sz w:val="20"/>
        </w:rPr>
      </w:pPr>
    </w:p>
    <w:p w14:paraId="2D0D8938" w14:textId="77777777" w:rsidR="004A51D5" w:rsidRPr="004A51D5" w:rsidRDefault="004A51D5" w:rsidP="009601C2">
      <w:pPr>
        <w:numPr>
          <w:ilvl w:val="0"/>
          <w:numId w:val="16"/>
        </w:numPr>
        <w:tabs>
          <w:tab w:val="left" w:pos="3090"/>
        </w:tabs>
        <w:spacing w:line="276" w:lineRule="auto"/>
        <w:jc w:val="both"/>
        <w:rPr>
          <w:rFonts w:ascii="Arial" w:hAnsi="Arial" w:cs="Arial"/>
          <w:sz w:val="20"/>
          <w:szCs w:val="20"/>
        </w:rPr>
      </w:pPr>
      <w:r w:rsidRPr="004A51D5">
        <w:rPr>
          <w:rFonts w:ascii="Arial" w:hAnsi="Arial" w:cs="Arial"/>
          <w:sz w:val="20"/>
          <w:szCs w:val="20"/>
        </w:rPr>
        <w:t>The pilot-in-command shall:</w:t>
      </w:r>
    </w:p>
    <w:p w14:paraId="7B55ECC7" w14:textId="77777777" w:rsidR="004A51D5" w:rsidRPr="004A51D5" w:rsidRDefault="004A51D5" w:rsidP="009601C2">
      <w:pPr>
        <w:pStyle w:val="ListParagraph"/>
        <w:numPr>
          <w:ilvl w:val="1"/>
          <w:numId w:val="16"/>
        </w:numPr>
        <w:tabs>
          <w:tab w:val="left" w:pos="1273"/>
          <w:tab w:val="left" w:pos="1274"/>
        </w:tabs>
        <w:spacing w:line="276" w:lineRule="auto"/>
        <w:ind w:right="193"/>
        <w:rPr>
          <w:rFonts w:ascii="Arial" w:hAnsi="Arial" w:cs="Arial"/>
          <w:sz w:val="20"/>
          <w:szCs w:val="20"/>
        </w:rPr>
      </w:pPr>
      <w:r w:rsidRPr="004A51D5">
        <w:rPr>
          <w:rFonts w:ascii="Arial" w:hAnsi="Arial" w:cs="Arial"/>
          <w:sz w:val="20"/>
          <w:szCs w:val="20"/>
        </w:rPr>
        <w:t>be</w:t>
      </w:r>
      <w:r w:rsidRPr="004A51D5">
        <w:rPr>
          <w:rFonts w:ascii="Arial" w:hAnsi="Arial" w:cs="Arial"/>
          <w:spacing w:val="-4"/>
          <w:sz w:val="20"/>
          <w:szCs w:val="20"/>
        </w:rPr>
        <w:t xml:space="preserve"> </w:t>
      </w:r>
      <w:r w:rsidRPr="004A51D5">
        <w:rPr>
          <w:rFonts w:ascii="Arial" w:hAnsi="Arial" w:cs="Arial"/>
          <w:sz w:val="20"/>
          <w:szCs w:val="20"/>
        </w:rPr>
        <w:t>responsible</w:t>
      </w:r>
      <w:r w:rsidRPr="004A51D5">
        <w:rPr>
          <w:rFonts w:ascii="Arial" w:hAnsi="Arial" w:cs="Arial"/>
          <w:spacing w:val="-4"/>
          <w:sz w:val="20"/>
          <w:szCs w:val="20"/>
        </w:rPr>
        <w:t xml:space="preserve"> </w:t>
      </w:r>
      <w:r w:rsidRPr="004A51D5">
        <w:rPr>
          <w:rFonts w:ascii="Arial" w:hAnsi="Arial" w:cs="Arial"/>
          <w:sz w:val="20"/>
          <w:szCs w:val="20"/>
        </w:rPr>
        <w:t>for</w:t>
      </w:r>
      <w:r w:rsidRPr="004A51D5">
        <w:rPr>
          <w:rFonts w:ascii="Arial" w:hAnsi="Arial" w:cs="Arial"/>
          <w:spacing w:val="-7"/>
          <w:sz w:val="20"/>
          <w:szCs w:val="20"/>
        </w:rPr>
        <w:t xml:space="preserve"> </w:t>
      </w:r>
      <w:r w:rsidRPr="004A51D5">
        <w:rPr>
          <w:rFonts w:ascii="Arial" w:hAnsi="Arial" w:cs="Arial"/>
          <w:sz w:val="20"/>
          <w:szCs w:val="20"/>
        </w:rPr>
        <w:t>the</w:t>
      </w:r>
      <w:r w:rsidRPr="004A51D5">
        <w:rPr>
          <w:rFonts w:ascii="Arial" w:hAnsi="Arial" w:cs="Arial"/>
          <w:spacing w:val="-5"/>
          <w:sz w:val="20"/>
          <w:szCs w:val="20"/>
        </w:rPr>
        <w:t xml:space="preserve"> </w:t>
      </w:r>
      <w:r w:rsidRPr="004A51D5">
        <w:rPr>
          <w:rFonts w:ascii="Arial" w:hAnsi="Arial" w:cs="Arial"/>
          <w:sz w:val="20"/>
          <w:szCs w:val="20"/>
        </w:rPr>
        <w:t>safety</w:t>
      </w:r>
      <w:r w:rsidRPr="004A51D5">
        <w:rPr>
          <w:rFonts w:ascii="Arial" w:hAnsi="Arial" w:cs="Arial"/>
          <w:spacing w:val="-6"/>
          <w:sz w:val="20"/>
          <w:szCs w:val="20"/>
        </w:rPr>
        <w:t xml:space="preserve"> </w:t>
      </w:r>
      <w:r w:rsidRPr="004A51D5">
        <w:rPr>
          <w:rFonts w:ascii="Arial" w:hAnsi="Arial" w:cs="Arial"/>
          <w:sz w:val="20"/>
          <w:szCs w:val="20"/>
        </w:rPr>
        <w:t>of</w:t>
      </w:r>
      <w:r w:rsidRPr="004A51D5">
        <w:rPr>
          <w:rFonts w:ascii="Arial" w:hAnsi="Arial" w:cs="Arial"/>
          <w:spacing w:val="-5"/>
          <w:sz w:val="20"/>
          <w:szCs w:val="20"/>
        </w:rPr>
        <w:t xml:space="preserve"> </w:t>
      </w:r>
      <w:r w:rsidRPr="004A51D5">
        <w:rPr>
          <w:rFonts w:ascii="Arial" w:hAnsi="Arial" w:cs="Arial"/>
          <w:sz w:val="20"/>
          <w:szCs w:val="20"/>
        </w:rPr>
        <w:t>the</w:t>
      </w:r>
      <w:r w:rsidRPr="004A51D5">
        <w:rPr>
          <w:rFonts w:ascii="Arial" w:hAnsi="Arial" w:cs="Arial"/>
          <w:spacing w:val="-7"/>
          <w:sz w:val="20"/>
          <w:szCs w:val="20"/>
        </w:rPr>
        <w:t xml:space="preserve"> </w:t>
      </w:r>
      <w:r w:rsidRPr="004A51D5">
        <w:rPr>
          <w:rFonts w:ascii="Arial" w:hAnsi="Arial" w:cs="Arial"/>
          <w:sz w:val="20"/>
          <w:szCs w:val="20"/>
        </w:rPr>
        <w:t>balloon</w:t>
      </w:r>
      <w:r w:rsidRPr="004A51D5">
        <w:rPr>
          <w:rFonts w:ascii="Arial" w:hAnsi="Arial" w:cs="Arial"/>
          <w:spacing w:val="-5"/>
          <w:sz w:val="20"/>
          <w:szCs w:val="20"/>
        </w:rPr>
        <w:t xml:space="preserve"> </w:t>
      </w:r>
      <w:r w:rsidRPr="004A51D5">
        <w:rPr>
          <w:rFonts w:ascii="Arial" w:hAnsi="Arial" w:cs="Arial"/>
          <w:sz w:val="20"/>
          <w:szCs w:val="20"/>
        </w:rPr>
        <w:t>and</w:t>
      </w:r>
      <w:r w:rsidRPr="004A51D5">
        <w:rPr>
          <w:rFonts w:ascii="Arial" w:hAnsi="Arial" w:cs="Arial"/>
          <w:spacing w:val="-8"/>
          <w:sz w:val="20"/>
          <w:szCs w:val="20"/>
        </w:rPr>
        <w:t xml:space="preserve"> </w:t>
      </w:r>
      <w:r w:rsidRPr="004A51D5">
        <w:rPr>
          <w:rFonts w:ascii="Arial" w:hAnsi="Arial" w:cs="Arial"/>
          <w:sz w:val="20"/>
          <w:szCs w:val="20"/>
        </w:rPr>
        <w:t>of</w:t>
      </w:r>
      <w:r w:rsidRPr="004A51D5">
        <w:rPr>
          <w:rFonts w:ascii="Arial" w:hAnsi="Arial" w:cs="Arial"/>
          <w:spacing w:val="-7"/>
          <w:sz w:val="20"/>
          <w:szCs w:val="20"/>
        </w:rPr>
        <w:t xml:space="preserve"> </w:t>
      </w:r>
      <w:r w:rsidRPr="004A51D5">
        <w:rPr>
          <w:rFonts w:ascii="Arial" w:hAnsi="Arial" w:cs="Arial"/>
          <w:sz w:val="20"/>
          <w:szCs w:val="20"/>
        </w:rPr>
        <w:t>any</w:t>
      </w:r>
      <w:r w:rsidRPr="004A51D5">
        <w:rPr>
          <w:rFonts w:ascii="Arial" w:hAnsi="Arial" w:cs="Arial"/>
          <w:spacing w:val="-6"/>
          <w:sz w:val="20"/>
          <w:szCs w:val="20"/>
        </w:rPr>
        <w:t xml:space="preserve"> </w:t>
      </w:r>
      <w:r w:rsidRPr="004A51D5">
        <w:rPr>
          <w:rFonts w:ascii="Arial" w:hAnsi="Arial" w:cs="Arial"/>
          <w:sz w:val="20"/>
          <w:szCs w:val="20"/>
        </w:rPr>
        <w:t>person</w:t>
      </w:r>
      <w:r w:rsidRPr="004A51D5">
        <w:rPr>
          <w:rFonts w:ascii="Arial" w:hAnsi="Arial" w:cs="Arial"/>
          <w:spacing w:val="-8"/>
          <w:sz w:val="20"/>
          <w:szCs w:val="20"/>
        </w:rPr>
        <w:t xml:space="preserve"> </w:t>
      </w:r>
      <w:r w:rsidRPr="004A51D5">
        <w:rPr>
          <w:rFonts w:ascii="Arial" w:hAnsi="Arial" w:cs="Arial"/>
          <w:sz w:val="20"/>
          <w:szCs w:val="20"/>
        </w:rPr>
        <w:t>or</w:t>
      </w:r>
      <w:r w:rsidRPr="004A51D5">
        <w:rPr>
          <w:rFonts w:ascii="Arial" w:hAnsi="Arial" w:cs="Arial"/>
          <w:spacing w:val="-5"/>
          <w:sz w:val="20"/>
          <w:szCs w:val="20"/>
        </w:rPr>
        <w:t xml:space="preserve"> </w:t>
      </w:r>
      <w:r w:rsidRPr="004A51D5">
        <w:rPr>
          <w:rFonts w:ascii="Arial" w:hAnsi="Arial" w:cs="Arial"/>
          <w:sz w:val="20"/>
          <w:szCs w:val="20"/>
        </w:rPr>
        <w:t>property</w:t>
      </w:r>
      <w:r w:rsidRPr="004A51D5">
        <w:rPr>
          <w:rFonts w:ascii="Arial" w:hAnsi="Arial" w:cs="Arial"/>
          <w:spacing w:val="-6"/>
          <w:sz w:val="20"/>
          <w:szCs w:val="20"/>
        </w:rPr>
        <w:t xml:space="preserve"> </w:t>
      </w:r>
      <w:r w:rsidRPr="004A51D5">
        <w:rPr>
          <w:rFonts w:ascii="Arial" w:hAnsi="Arial" w:cs="Arial"/>
          <w:sz w:val="20"/>
          <w:szCs w:val="20"/>
        </w:rPr>
        <w:t>carried</w:t>
      </w:r>
      <w:r w:rsidRPr="004A51D5">
        <w:rPr>
          <w:rFonts w:ascii="Arial" w:hAnsi="Arial" w:cs="Arial"/>
          <w:spacing w:val="-7"/>
          <w:sz w:val="20"/>
          <w:szCs w:val="20"/>
        </w:rPr>
        <w:t xml:space="preserve"> </w:t>
      </w:r>
      <w:r w:rsidRPr="004A51D5">
        <w:rPr>
          <w:rFonts w:ascii="Arial" w:hAnsi="Arial" w:cs="Arial"/>
          <w:sz w:val="20"/>
          <w:szCs w:val="20"/>
        </w:rPr>
        <w:t>therein</w:t>
      </w:r>
      <w:r w:rsidRPr="004A51D5">
        <w:rPr>
          <w:rFonts w:ascii="Arial" w:hAnsi="Arial" w:cs="Arial"/>
          <w:spacing w:val="-47"/>
          <w:sz w:val="20"/>
          <w:szCs w:val="20"/>
        </w:rPr>
        <w:t xml:space="preserve"> </w:t>
      </w:r>
      <w:r w:rsidRPr="004A51D5">
        <w:rPr>
          <w:rFonts w:ascii="Arial" w:hAnsi="Arial" w:cs="Arial"/>
          <w:sz w:val="20"/>
          <w:szCs w:val="20"/>
        </w:rPr>
        <w:t>during</w:t>
      </w:r>
      <w:r w:rsidRPr="004A51D5">
        <w:rPr>
          <w:rFonts w:ascii="Arial" w:hAnsi="Arial" w:cs="Arial"/>
          <w:spacing w:val="-2"/>
          <w:sz w:val="20"/>
          <w:szCs w:val="20"/>
        </w:rPr>
        <w:t xml:space="preserve"> </w:t>
      </w:r>
      <w:r w:rsidRPr="004A51D5">
        <w:rPr>
          <w:rFonts w:ascii="Arial" w:hAnsi="Arial" w:cs="Arial"/>
          <w:sz w:val="20"/>
          <w:szCs w:val="20"/>
        </w:rPr>
        <w:t>balloon</w:t>
      </w:r>
      <w:r w:rsidRPr="004A51D5">
        <w:rPr>
          <w:rFonts w:ascii="Arial" w:hAnsi="Arial" w:cs="Arial"/>
          <w:spacing w:val="-3"/>
          <w:sz w:val="20"/>
          <w:szCs w:val="20"/>
        </w:rPr>
        <w:t xml:space="preserve"> </w:t>
      </w:r>
      <w:r w:rsidRPr="004A51D5">
        <w:rPr>
          <w:rFonts w:ascii="Arial" w:hAnsi="Arial" w:cs="Arial"/>
          <w:sz w:val="20"/>
          <w:szCs w:val="20"/>
        </w:rPr>
        <w:t>operations;</w:t>
      </w:r>
    </w:p>
    <w:p w14:paraId="2A697A6B" w14:textId="77777777" w:rsidR="004A51D5" w:rsidRPr="004A51D5" w:rsidRDefault="004A51D5" w:rsidP="009601C2">
      <w:pPr>
        <w:pStyle w:val="ListParagraph"/>
        <w:numPr>
          <w:ilvl w:val="1"/>
          <w:numId w:val="16"/>
        </w:numPr>
        <w:tabs>
          <w:tab w:val="left" w:pos="1273"/>
          <w:tab w:val="left" w:pos="1274"/>
        </w:tabs>
        <w:spacing w:before="121" w:line="276" w:lineRule="auto"/>
        <w:ind w:right="196"/>
        <w:rPr>
          <w:rFonts w:ascii="Arial" w:hAnsi="Arial" w:cs="Arial"/>
          <w:sz w:val="20"/>
          <w:szCs w:val="20"/>
        </w:rPr>
      </w:pPr>
      <w:r w:rsidRPr="004A51D5">
        <w:rPr>
          <w:rFonts w:ascii="Arial" w:hAnsi="Arial" w:cs="Arial"/>
          <w:sz w:val="20"/>
          <w:szCs w:val="20"/>
        </w:rPr>
        <w:t>be</w:t>
      </w:r>
      <w:r w:rsidRPr="004A51D5">
        <w:rPr>
          <w:rFonts w:ascii="Arial" w:hAnsi="Arial" w:cs="Arial"/>
          <w:spacing w:val="2"/>
          <w:sz w:val="20"/>
          <w:szCs w:val="20"/>
        </w:rPr>
        <w:t xml:space="preserve"> </w:t>
      </w:r>
      <w:r w:rsidRPr="004A51D5">
        <w:rPr>
          <w:rFonts w:ascii="Arial" w:hAnsi="Arial" w:cs="Arial"/>
          <w:sz w:val="20"/>
          <w:szCs w:val="20"/>
        </w:rPr>
        <w:t>responsible</w:t>
      </w:r>
      <w:r w:rsidRPr="004A51D5">
        <w:rPr>
          <w:rFonts w:ascii="Arial" w:hAnsi="Arial" w:cs="Arial"/>
          <w:spacing w:val="3"/>
          <w:sz w:val="20"/>
          <w:szCs w:val="20"/>
        </w:rPr>
        <w:t xml:space="preserve"> </w:t>
      </w:r>
      <w:r w:rsidRPr="004A51D5">
        <w:rPr>
          <w:rFonts w:ascii="Arial" w:hAnsi="Arial" w:cs="Arial"/>
          <w:sz w:val="20"/>
          <w:szCs w:val="20"/>
        </w:rPr>
        <w:t>for</w:t>
      </w:r>
      <w:r w:rsidRPr="004A51D5">
        <w:rPr>
          <w:rFonts w:ascii="Arial" w:hAnsi="Arial" w:cs="Arial"/>
          <w:spacing w:val="1"/>
          <w:sz w:val="20"/>
          <w:szCs w:val="20"/>
        </w:rPr>
        <w:t xml:space="preserve"> </w:t>
      </w:r>
      <w:r w:rsidRPr="004A51D5">
        <w:rPr>
          <w:rFonts w:ascii="Arial" w:hAnsi="Arial" w:cs="Arial"/>
          <w:sz w:val="20"/>
          <w:szCs w:val="20"/>
        </w:rPr>
        <w:t>the initiation,</w:t>
      </w:r>
      <w:r w:rsidRPr="004A51D5">
        <w:rPr>
          <w:rFonts w:ascii="Arial" w:hAnsi="Arial" w:cs="Arial"/>
          <w:spacing w:val="3"/>
          <w:sz w:val="20"/>
          <w:szCs w:val="20"/>
        </w:rPr>
        <w:t xml:space="preserve"> </w:t>
      </w:r>
      <w:r w:rsidRPr="004A51D5">
        <w:rPr>
          <w:rFonts w:ascii="Arial" w:hAnsi="Arial" w:cs="Arial"/>
          <w:sz w:val="20"/>
          <w:szCs w:val="20"/>
        </w:rPr>
        <w:t>continuation</w:t>
      </w:r>
      <w:r w:rsidRPr="004A51D5">
        <w:rPr>
          <w:rFonts w:ascii="Arial" w:hAnsi="Arial" w:cs="Arial"/>
          <w:spacing w:val="-2"/>
          <w:sz w:val="20"/>
          <w:szCs w:val="20"/>
        </w:rPr>
        <w:t xml:space="preserve"> </w:t>
      </w:r>
      <w:r w:rsidRPr="004A51D5">
        <w:rPr>
          <w:rFonts w:ascii="Arial" w:hAnsi="Arial" w:cs="Arial"/>
          <w:sz w:val="20"/>
          <w:szCs w:val="20"/>
        </w:rPr>
        <w:t>or</w:t>
      </w:r>
      <w:r w:rsidRPr="004A51D5">
        <w:rPr>
          <w:rFonts w:ascii="Arial" w:hAnsi="Arial" w:cs="Arial"/>
          <w:spacing w:val="2"/>
          <w:sz w:val="20"/>
          <w:szCs w:val="20"/>
        </w:rPr>
        <w:t xml:space="preserve"> </w:t>
      </w:r>
      <w:r w:rsidRPr="004A51D5">
        <w:rPr>
          <w:rFonts w:ascii="Arial" w:hAnsi="Arial" w:cs="Arial"/>
          <w:sz w:val="20"/>
          <w:szCs w:val="20"/>
        </w:rPr>
        <w:t>termination</w:t>
      </w:r>
      <w:r w:rsidRPr="004A51D5">
        <w:rPr>
          <w:rFonts w:ascii="Arial" w:hAnsi="Arial" w:cs="Arial"/>
          <w:spacing w:val="-1"/>
          <w:sz w:val="20"/>
          <w:szCs w:val="20"/>
        </w:rPr>
        <w:t xml:space="preserve"> </w:t>
      </w:r>
      <w:r w:rsidRPr="004A51D5">
        <w:rPr>
          <w:rFonts w:ascii="Arial" w:hAnsi="Arial" w:cs="Arial"/>
          <w:sz w:val="20"/>
          <w:szCs w:val="20"/>
        </w:rPr>
        <w:t>of</w:t>
      </w:r>
      <w:r w:rsidRPr="004A51D5">
        <w:rPr>
          <w:rFonts w:ascii="Arial" w:hAnsi="Arial" w:cs="Arial"/>
          <w:spacing w:val="1"/>
          <w:sz w:val="20"/>
          <w:szCs w:val="20"/>
        </w:rPr>
        <w:t xml:space="preserve"> </w:t>
      </w:r>
      <w:r w:rsidRPr="004A51D5">
        <w:rPr>
          <w:rFonts w:ascii="Arial" w:hAnsi="Arial" w:cs="Arial"/>
          <w:sz w:val="20"/>
          <w:szCs w:val="20"/>
        </w:rPr>
        <w:t>a</w:t>
      </w:r>
      <w:r w:rsidRPr="004A51D5">
        <w:rPr>
          <w:rFonts w:ascii="Arial" w:hAnsi="Arial" w:cs="Arial"/>
          <w:spacing w:val="2"/>
          <w:sz w:val="20"/>
          <w:szCs w:val="20"/>
        </w:rPr>
        <w:t xml:space="preserve"> </w:t>
      </w:r>
      <w:r w:rsidRPr="004A51D5">
        <w:rPr>
          <w:rFonts w:ascii="Arial" w:hAnsi="Arial" w:cs="Arial"/>
          <w:sz w:val="20"/>
          <w:szCs w:val="20"/>
        </w:rPr>
        <w:t>flight</w:t>
      </w:r>
      <w:r w:rsidRPr="004A51D5">
        <w:rPr>
          <w:rFonts w:ascii="Arial" w:hAnsi="Arial" w:cs="Arial"/>
          <w:spacing w:val="3"/>
          <w:sz w:val="20"/>
          <w:szCs w:val="20"/>
        </w:rPr>
        <w:t xml:space="preserve"> </w:t>
      </w:r>
      <w:r w:rsidRPr="004A51D5">
        <w:rPr>
          <w:rFonts w:ascii="Arial" w:hAnsi="Arial" w:cs="Arial"/>
          <w:sz w:val="20"/>
          <w:szCs w:val="20"/>
        </w:rPr>
        <w:t>in</w:t>
      </w:r>
      <w:r w:rsidRPr="004A51D5">
        <w:rPr>
          <w:rFonts w:ascii="Arial" w:hAnsi="Arial" w:cs="Arial"/>
          <w:spacing w:val="-2"/>
          <w:sz w:val="20"/>
          <w:szCs w:val="20"/>
        </w:rPr>
        <w:t xml:space="preserve"> </w:t>
      </w:r>
      <w:r w:rsidRPr="004A51D5">
        <w:rPr>
          <w:rFonts w:ascii="Arial" w:hAnsi="Arial" w:cs="Arial"/>
          <w:sz w:val="20"/>
          <w:szCs w:val="20"/>
        </w:rPr>
        <w:t>the</w:t>
      </w:r>
      <w:r w:rsidRPr="004A51D5">
        <w:rPr>
          <w:rFonts w:ascii="Arial" w:hAnsi="Arial" w:cs="Arial"/>
          <w:spacing w:val="3"/>
          <w:sz w:val="20"/>
          <w:szCs w:val="20"/>
        </w:rPr>
        <w:t xml:space="preserve"> </w:t>
      </w:r>
      <w:r w:rsidRPr="004A51D5">
        <w:rPr>
          <w:rFonts w:ascii="Arial" w:hAnsi="Arial" w:cs="Arial"/>
          <w:sz w:val="20"/>
          <w:szCs w:val="20"/>
        </w:rPr>
        <w:t>interest of</w:t>
      </w:r>
      <w:r w:rsidRPr="004A51D5">
        <w:rPr>
          <w:rFonts w:ascii="Arial" w:hAnsi="Arial" w:cs="Arial"/>
          <w:spacing w:val="-47"/>
          <w:sz w:val="20"/>
          <w:szCs w:val="20"/>
        </w:rPr>
        <w:t xml:space="preserve"> </w:t>
      </w:r>
      <w:r w:rsidRPr="004A51D5">
        <w:rPr>
          <w:rFonts w:ascii="Arial" w:hAnsi="Arial" w:cs="Arial"/>
          <w:sz w:val="20"/>
          <w:szCs w:val="20"/>
        </w:rPr>
        <w:t>safety;</w:t>
      </w:r>
    </w:p>
    <w:p w14:paraId="2B8A128B" w14:textId="77777777" w:rsidR="004A51D5" w:rsidRPr="004A51D5" w:rsidRDefault="004A51D5" w:rsidP="009601C2">
      <w:pPr>
        <w:pStyle w:val="ListParagraph"/>
        <w:numPr>
          <w:ilvl w:val="1"/>
          <w:numId w:val="16"/>
        </w:numPr>
        <w:tabs>
          <w:tab w:val="left" w:pos="1273"/>
          <w:tab w:val="left" w:pos="1274"/>
        </w:tabs>
        <w:spacing w:line="276" w:lineRule="auto"/>
        <w:ind w:hanging="568"/>
        <w:rPr>
          <w:rFonts w:ascii="Arial" w:hAnsi="Arial" w:cs="Arial"/>
          <w:sz w:val="20"/>
          <w:szCs w:val="20"/>
        </w:rPr>
      </w:pPr>
      <w:r w:rsidRPr="004A51D5">
        <w:rPr>
          <w:rFonts w:ascii="Arial" w:hAnsi="Arial" w:cs="Arial"/>
          <w:sz w:val="20"/>
          <w:szCs w:val="20"/>
        </w:rPr>
        <w:t>ensure</w:t>
      </w:r>
      <w:r w:rsidRPr="004A51D5">
        <w:rPr>
          <w:rFonts w:ascii="Arial" w:hAnsi="Arial" w:cs="Arial"/>
          <w:spacing w:val="-1"/>
          <w:sz w:val="20"/>
          <w:szCs w:val="20"/>
        </w:rPr>
        <w:t xml:space="preserve"> </w:t>
      </w:r>
      <w:r w:rsidRPr="004A51D5">
        <w:rPr>
          <w:rFonts w:ascii="Arial" w:hAnsi="Arial" w:cs="Arial"/>
          <w:sz w:val="20"/>
          <w:szCs w:val="20"/>
        </w:rPr>
        <w:t>that</w:t>
      </w:r>
      <w:r w:rsidRPr="004A51D5">
        <w:rPr>
          <w:rFonts w:ascii="Arial" w:hAnsi="Arial" w:cs="Arial"/>
          <w:spacing w:val="-3"/>
          <w:sz w:val="20"/>
          <w:szCs w:val="20"/>
        </w:rPr>
        <w:t xml:space="preserve"> </w:t>
      </w:r>
      <w:r w:rsidRPr="004A51D5">
        <w:rPr>
          <w:rFonts w:ascii="Arial" w:hAnsi="Arial" w:cs="Arial"/>
          <w:sz w:val="20"/>
          <w:szCs w:val="20"/>
        </w:rPr>
        <w:t>all applicable</w:t>
      </w:r>
      <w:r w:rsidRPr="004A51D5">
        <w:rPr>
          <w:rFonts w:ascii="Arial" w:hAnsi="Arial" w:cs="Arial"/>
          <w:spacing w:val="-2"/>
          <w:sz w:val="20"/>
          <w:szCs w:val="20"/>
        </w:rPr>
        <w:t xml:space="preserve"> </w:t>
      </w:r>
      <w:r w:rsidRPr="004A51D5">
        <w:rPr>
          <w:rFonts w:ascii="Arial" w:hAnsi="Arial" w:cs="Arial"/>
          <w:sz w:val="20"/>
          <w:szCs w:val="20"/>
        </w:rPr>
        <w:t>operational procedures and</w:t>
      </w:r>
      <w:r w:rsidRPr="004A51D5">
        <w:rPr>
          <w:rFonts w:ascii="Arial" w:hAnsi="Arial" w:cs="Arial"/>
          <w:spacing w:val="-4"/>
          <w:sz w:val="20"/>
          <w:szCs w:val="20"/>
        </w:rPr>
        <w:t xml:space="preserve"> </w:t>
      </w:r>
      <w:r w:rsidRPr="004A51D5">
        <w:rPr>
          <w:rFonts w:ascii="Arial" w:hAnsi="Arial" w:cs="Arial"/>
          <w:sz w:val="20"/>
          <w:szCs w:val="20"/>
        </w:rPr>
        <w:t>checklists are</w:t>
      </w:r>
      <w:r w:rsidRPr="004A51D5">
        <w:rPr>
          <w:rFonts w:ascii="Arial" w:hAnsi="Arial" w:cs="Arial"/>
          <w:spacing w:val="-2"/>
          <w:sz w:val="20"/>
          <w:szCs w:val="20"/>
        </w:rPr>
        <w:t xml:space="preserve"> </w:t>
      </w:r>
      <w:r w:rsidRPr="004A51D5">
        <w:rPr>
          <w:rFonts w:ascii="Arial" w:hAnsi="Arial" w:cs="Arial"/>
          <w:sz w:val="20"/>
          <w:szCs w:val="20"/>
        </w:rPr>
        <w:t>complied</w:t>
      </w:r>
      <w:r w:rsidRPr="004A51D5">
        <w:rPr>
          <w:rFonts w:ascii="Arial" w:hAnsi="Arial" w:cs="Arial"/>
          <w:spacing w:val="-3"/>
          <w:sz w:val="20"/>
          <w:szCs w:val="20"/>
        </w:rPr>
        <w:t xml:space="preserve"> </w:t>
      </w:r>
      <w:r w:rsidRPr="004A51D5">
        <w:rPr>
          <w:rFonts w:ascii="Arial" w:hAnsi="Arial" w:cs="Arial"/>
          <w:sz w:val="20"/>
          <w:szCs w:val="20"/>
        </w:rPr>
        <w:t>with;</w:t>
      </w:r>
    </w:p>
    <w:p w14:paraId="6AF636C2" w14:textId="77777777" w:rsidR="004A51D5" w:rsidRPr="004A51D5" w:rsidRDefault="004A51D5" w:rsidP="009601C2">
      <w:pPr>
        <w:pStyle w:val="ListParagraph"/>
        <w:numPr>
          <w:ilvl w:val="1"/>
          <w:numId w:val="16"/>
        </w:numPr>
        <w:tabs>
          <w:tab w:val="left" w:pos="1273"/>
          <w:tab w:val="left" w:pos="1274"/>
        </w:tabs>
        <w:spacing w:before="122" w:line="276" w:lineRule="auto"/>
        <w:ind w:right="197"/>
        <w:rPr>
          <w:rFonts w:ascii="Arial" w:hAnsi="Arial" w:cs="Arial"/>
          <w:sz w:val="20"/>
          <w:szCs w:val="20"/>
        </w:rPr>
      </w:pPr>
      <w:r w:rsidRPr="004A51D5">
        <w:rPr>
          <w:rFonts w:ascii="Arial" w:hAnsi="Arial" w:cs="Arial"/>
          <w:sz w:val="20"/>
          <w:szCs w:val="20"/>
        </w:rPr>
        <w:t>only</w:t>
      </w:r>
      <w:r w:rsidRPr="004A51D5">
        <w:rPr>
          <w:rFonts w:ascii="Arial" w:hAnsi="Arial" w:cs="Arial"/>
          <w:spacing w:val="48"/>
          <w:sz w:val="20"/>
          <w:szCs w:val="20"/>
        </w:rPr>
        <w:t xml:space="preserve"> </w:t>
      </w:r>
      <w:r w:rsidRPr="004A51D5">
        <w:rPr>
          <w:rFonts w:ascii="Arial" w:hAnsi="Arial" w:cs="Arial"/>
          <w:sz w:val="20"/>
          <w:szCs w:val="20"/>
        </w:rPr>
        <w:t>commence</w:t>
      </w:r>
      <w:r w:rsidRPr="004A51D5">
        <w:rPr>
          <w:rFonts w:ascii="Arial" w:hAnsi="Arial" w:cs="Arial"/>
          <w:spacing w:val="48"/>
          <w:sz w:val="20"/>
          <w:szCs w:val="20"/>
        </w:rPr>
        <w:t xml:space="preserve"> </w:t>
      </w:r>
      <w:r w:rsidRPr="004A51D5">
        <w:rPr>
          <w:rFonts w:ascii="Arial" w:hAnsi="Arial" w:cs="Arial"/>
          <w:sz w:val="20"/>
          <w:szCs w:val="20"/>
        </w:rPr>
        <w:t>a</w:t>
      </w:r>
      <w:r w:rsidRPr="004A51D5">
        <w:rPr>
          <w:rFonts w:ascii="Arial" w:hAnsi="Arial" w:cs="Arial"/>
          <w:spacing w:val="47"/>
          <w:sz w:val="20"/>
          <w:szCs w:val="20"/>
        </w:rPr>
        <w:t xml:space="preserve"> </w:t>
      </w:r>
      <w:r w:rsidRPr="004A51D5">
        <w:rPr>
          <w:rFonts w:ascii="Arial" w:hAnsi="Arial" w:cs="Arial"/>
          <w:sz w:val="20"/>
          <w:szCs w:val="20"/>
        </w:rPr>
        <w:t>flight</w:t>
      </w:r>
      <w:r w:rsidRPr="004A51D5">
        <w:rPr>
          <w:rFonts w:ascii="Arial" w:hAnsi="Arial" w:cs="Arial"/>
          <w:spacing w:val="49"/>
          <w:sz w:val="20"/>
          <w:szCs w:val="20"/>
        </w:rPr>
        <w:t xml:space="preserve"> </w:t>
      </w:r>
      <w:r w:rsidRPr="004A51D5">
        <w:rPr>
          <w:rFonts w:ascii="Arial" w:hAnsi="Arial" w:cs="Arial"/>
          <w:sz w:val="20"/>
          <w:szCs w:val="20"/>
        </w:rPr>
        <w:t>if</w:t>
      </w:r>
      <w:r w:rsidRPr="004A51D5">
        <w:rPr>
          <w:rFonts w:ascii="Arial" w:hAnsi="Arial" w:cs="Arial"/>
          <w:spacing w:val="45"/>
          <w:sz w:val="20"/>
          <w:szCs w:val="20"/>
        </w:rPr>
        <w:t xml:space="preserve"> </w:t>
      </w:r>
      <w:r w:rsidRPr="004A51D5">
        <w:rPr>
          <w:rFonts w:ascii="Arial" w:hAnsi="Arial" w:cs="Arial"/>
          <w:sz w:val="20"/>
          <w:szCs w:val="20"/>
        </w:rPr>
        <w:t>he</w:t>
      </w:r>
      <w:r w:rsidRPr="004A51D5">
        <w:rPr>
          <w:rFonts w:ascii="Arial" w:hAnsi="Arial" w:cs="Arial"/>
          <w:spacing w:val="48"/>
          <w:sz w:val="20"/>
          <w:szCs w:val="20"/>
        </w:rPr>
        <w:t xml:space="preserve"> </w:t>
      </w:r>
      <w:r w:rsidRPr="004A51D5">
        <w:rPr>
          <w:rFonts w:ascii="Arial" w:hAnsi="Arial" w:cs="Arial"/>
          <w:sz w:val="20"/>
          <w:szCs w:val="20"/>
        </w:rPr>
        <w:t>or</w:t>
      </w:r>
      <w:r w:rsidRPr="004A51D5">
        <w:rPr>
          <w:rFonts w:ascii="Arial" w:hAnsi="Arial" w:cs="Arial"/>
          <w:spacing w:val="48"/>
          <w:sz w:val="20"/>
          <w:szCs w:val="20"/>
        </w:rPr>
        <w:t xml:space="preserve"> </w:t>
      </w:r>
      <w:r w:rsidRPr="004A51D5">
        <w:rPr>
          <w:rFonts w:ascii="Arial" w:hAnsi="Arial" w:cs="Arial"/>
          <w:sz w:val="20"/>
          <w:szCs w:val="20"/>
        </w:rPr>
        <w:t>she</w:t>
      </w:r>
      <w:r w:rsidRPr="004A51D5">
        <w:rPr>
          <w:rFonts w:ascii="Arial" w:hAnsi="Arial" w:cs="Arial"/>
          <w:spacing w:val="47"/>
          <w:sz w:val="20"/>
          <w:szCs w:val="20"/>
        </w:rPr>
        <w:t xml:space="preserve"> </w:t>
      </w:r>
      <w:r w:rsidRPr="004A51D5">
        <w:rPr>
          <w:rFonts w:ascii="Arial" w:hAnsi="Arial" w:cs="Arial"/>
          <w:sz w:val="20"/>
          <w:szCs w:val="20"/>
        </w:rPr>
        <w:t>is</w:t>
      </w:r>
      <w:r w:rsidRPr="004A51D5">
        <w:rPr>
          <w:rFonts w:ascii="Arial" w:hAnsi="Arial" w:cs="Arial"/>
          <w:spacing w:val="47"/>
          <w:sz w:val="20"/>
          <w:szCs w:val="20"/>
        </w:rPr>
        <w:t xml:space="preserve"> </w:t>
      </w:r>
      <w:r w:rsidRPr="004A51D5">
        <w:rPr>
          <w:rFonts w:ascii="Arial" w:hAnsi="Arial" w:cs="Arial"/>
          <w:sz w:val="20"/>
          <w:szCs w:val="20"/>
        </w:rPr>
        <w:t>satisfied</w:t>
      </w:r>
      <w:r w:rsidRPr="004A51D5">
        <w:rPr>
          <w:rFonts w:ascii="Arial" w:hAnsi="Arial" w:cs="Arial"/>
          <w:spacing w:val="47"/>
          <w:sz w:val="20"/>
          <w:szCs w:val="20"/>
        </w:rPr>
        <w:t xml:space="preserve"> </w:t>
      </w:r>
      <w:r w:rsidRPr="004A51D5">
        <w:rPr>
          <w:rFonts w:ascii="Arial" w:hAnsi="Arial" w:cs="Arial"/>
          <w:sz w:val="20"/>
          <w:szCs w:val="20"/>
        </w:rPr>
        <w:t>that</w:t>
      </w:r>
      <w:r w:rsidRPr="004A51D5">
        <w:rPr>
          <w:rFonts w:ascii="Arial" w:hAnsi="Arial" w:cs="Arial"/>
          <w:spacing w:val="49"/>
          <w:sz w:val="20"/>
          <w:szCs w:val="20"/>
        </w:rPr>
        <w:t xml:space="preserve"> </w:t>
      </w:r>
      <w:r w:rsidRPr="004A51D5">
        <w:rPr>
          <w:rFonts w:ascii="Arial" w:hAnsi="Arial" w:cs="Arial"/>
          <w:sz w:val="20"/>
          <w:szCs w:val="20"/>
        </w:rPr>
        <w:t>all</w:t>
      </w:r>
      <w:r w:rsidRPr="004A51D5">
        <w:rPr>
          <w:rFonts w:ascii="Arial" w:hAnsi="Arial" w:cs="Arial"/>
          <w:spacing w:val="46"/>
          <w:sz w:val="20"/>
          <w:szCs w:val="20"/>
        </w:rPr>
        <w:t xml:space="preserve"> </w:t>
      </w:r>
      <w:r w:rsidRPr="004A51D5">
        <w:rPr>
          <w:rFonts w:ascii="Arial" w:hAnsi="Arial" w:cs="Arial"/>
          <w:sz w:val="20"/>
          <w:szCs w:val="20"/>
        </w:rPr>
        <w:t>operational</w:t>
      </w:r>
      <w:r w:rsidRPr="004A51D5">
        <w:rPr>
          <w:rFonts w:ascii="Arial" w:hAnsi="Arial" w:cs="Arial"/>
          <w:spacing w:val="47"/>
          <w:sz w:val="20"/>
          <w:szCs w:val="20"/>
        </w:rPr>
        <w:t xml:space="preserve"> </w:t>
      </w:r>
      <w:r w:rsidRPr="004A51D5">
        <w:rPr>
          <w:rFonts w:ascii="Arial" w:hAnsi="Arial" w:cs="Arial"/>
          <w:sz w:val="20"/>
          <w:szCs w:val="20"/>
        </w:rPr>
        <w:t>limitations</w:t>
      </w:r>
      <w:r w:rsidRPr="004A51D5">
        <w:rPr>
          <w:rFonts w:ascii="Arial" w:hAnsi="Arial" w:cs="Arial"/>
          <w:spacing w:val="48"/>
          <w:sz w:val="20"/>
          <w:szCs w:val="20"/>
        </w:rPr>
        <w:t xml:space="preserve"> </w:t>
      </w:r>
      <w:r w:rsidRPr="004A51D5">
        <w:rPr>
          <w:rFonts w:ascii="Arial" w:hAnsi="Arial" w:cs="Arial"/>
          <w:sz w:val="20"/>
          <w:szCs w:val="20"/>
        </w:rPr>
        <w:t>are</w:t>
      </w:r>
      <w:r w:rsidRPr="004A51D5">
        <w:rPr>
          <w:rFonts w:ascii="Arial" w:hAnsi="Arial" w:cs="Arial"/>
          <w:spacing w:val="-47"/>
          <w:sz w:val="20"/>
          <w:szCs w:val="20"/>
        </w:rPr>
        <w:t xml:space="preserve"> </w:t>
      </w:r>
      <w:r w:rsidRPr="004A51D5">
        <w:rPr>
          <w:rFonts w:ascii="Arial" w:hAnsi="Arial" w:cs="Arial"/>
          <w:sz w:val="20"/>
          <w:szCs w:val="20"/>
        </w:rPr>
        <w:t>complied</w:t>
      </w:r>
      <w:r w:rsidRPr="004A51D5">
        <w:rPr>
          <w:rFonts w:ascii="Arial" w:hAnsi="Arial" w:cs="Arial"/>
          <w:spacing w:val="-1"/>
          <w:sz w:val="20"/>
          <w:szCs w:val="20"/>
        </w:rPr>
        <w:t xml:space="preserve"> </w:t>
      </w:r>
      <w:r w:rsidRPr="004A51D5">
        <w:rPr>
          <w:rFonts w:ascii="Arial" w:hAnsi="Arial" w:cs="Arial"/>
          <w:sz w:val="20"/>
          <w:szCs w:val="20"/>
        </w:rPr>
        <w:t>with, as follows:</w:t>
      </w:r>
    </w:p>
    <w:p w14:paraId="029FAFA2" w14:textId="77777777" w:rsidR="004A51D5" w:rsidRPr="004A51D5" w:rsidRDefault="004A51D5" w:rsidP="009601C2">
      <w:pPr>
        <w:pStyle w:val="ListParagraph"/>
        <w:numPr>
          <w:ilvl w:val="2"/>
          <w:numId w:val="16"/>
        </w:numPr>
        <w:tabs>
          <w:tab w:val="left" w:pos="1841"/>
          <w:tab w:val="left" w:pos="1842"/>
        </w:tabs>
        <w:spacing w:before="122" w:line="276" w:lineRule="auto"/>
        <w:rPr>
          <w:rFonts w:ascii="Arial" w:hAnsi="Arial" w:cs="Arial"/>
          <w:sz w:val="20"/>
          <w:szCs w:val="20"/>
        </w:rPr>
      </w:pPr>
      <w:r w:rsidRPr="004A51D5">
        <w:rPr>
          <w:rFonts w:ascii="Arial" w:hAnsi="Arial" w:cs="Arial"/>
          <w:sz w:val="20"/>
          <w:szCs w:val="20"/>
        </w:rPr>
        <w:t>the</w:t>
      </w:r>
      <w:r w:rsidRPr="004A51D5">
        <w:rPr>
          <w:rFonts w:ascii="Arial" w:hAnsi="Arial" w:cs="Arial"/>
          <w:spacing w:val="-1"/>
          <w:sz w:val="20"/>
          <w:szCs w:val="20"/>
        </w:rPr>
        <w:t xml:space="preserve"> </w:t>
      </w:r>
      <w:r w:rsidRPr="004A51D5">
        <w:rPr>
          <w:rFonts w:ascii="Arial" w:hAnsi="Arial" w:cs="Arial"/>
          <w:sz w:val="20"/>
          <w:szCs w:val="20"/>
        </w:rPr>
        <w:t>balloon</w:t>
      </w:r>
      <w:r w:rsidRPr="004A51D5">
        <w:rPr>
          <w:rFonts w:ascii="Arial" w:hAnsi="Arial" w:cs="Arial"/>
          <w:spacing w:val="-2"/>
          <w:sz w:val="20"/>
          <w:szCs w:val="20"/>
        </w:rPr>
        <w:t xml:space="preserve"> </w:t>
      </w:r>
      <w:r w:rsidRPr="004A51D5">
        <w:rPr>
          <w:rFonts w:ascii="Arial" w:hAnsi="Arial" w:cs="Arial"/>
          <w:sz w:val="20"/>
          <w:szCs w:val="20"/>
        </w:rPr>
        <w:t>is</w:t>
      </w:r>
      <w:r w:rsidRPr="004A51D5">
        <w:rPr>
          <w:rFonts w:ascii="Arial" w:hAnsi="Arial" w:cs="Arial"/>
          <w:spacing w:val="-3"/>
          <w:sz w:val="20"/>
          <w:szCs w:val="20"/>
        </w:rPr>
        <w:t xml:space="preserve"> </w:t>
      </w:r>
      <w:r w:rsidRPr="004A51D5">
        <w:rPr>
          <w:rFonts w:ascii="Arial" w:hAnsi="Arial" w:cs="Arial"/>
          <w:sz w:val="20"/>
          <w:szCs w:val="20"/>
        </w:rPr>
        <w:t>airworthy;</w:t>
      </w:r>
    </w:p>
    <w:p w14:paraId="432196C5" w14:textId="77777777" w:rsidR="004A51D5" w:rsidRPr="004A51D5" w:rsidRDefault="004A51D5" w:rsidP="009601C2">
      <w:pPr>
        <w:pStyle w:val="ListParagraph"/>
        <w:numPr>
          <w:ilvl w:val="2"/>
          <w:numId w:val="16"/>
        </w:numPr>
        <w:tabs>
          <w:tab w:val="left" w:pos="1841"/>
          <w:tab w:val="left" w:pos="1842"/>
        </w:tabs>
        <w:spacing w:before="121" w:line="276" w:lineRule="auto"/>
        <w:rPr>
          <w:rFonts w:ascii="Arial" w:hAnsi="Arial" w:cs="Arial"/>
          <w:sz w:val="20"/>
          <w:szCs w:val="20"/>
        </w:rPr>
      </w:pPr>
      <w:r w:rsidRPr="004A51D5">
        <w:rPr>
          <w:rFonts w:ascii="Arial" w:hAnsi="Arial" w:cs="Arial"/>
          <w:sz w:val="20"/>
          <w:szCs w:val="20"/>
        </w:rPr>
        <w:t>the</w:t>
      </w:r>
      <w:r w:rsidRPr="004A51D5">
        <w:rPr>
          <w:rFonts w:ascii="Arial" w:hAnsi="Arial" w:cs="Arial"/>
          <w:spacing w:val="-2"/>
          <w:sz w:val="20"/>
          <w:szCs w:val="20"/>
        </w:rPr>
        <w:t xml:space="preserve"> </w:t>
      </w:r>
      <w:r w:rsidRPr="004A51D5">
        <w:rPr>
          <w:rFonts w:ascii="Arial" w:hAnsi="Arial" w:cs="Arial"/>
          <w:sz w:val="20"/>
          <w:szCs w:val="20"/>
        </w:rPr>
        <w:t>balloon</w:t>
      </w:r>
      <w:r w:rsidRPr="004A51D5">
        <w:rPr>
          <w:rFonts w:ascii="Arial" w:hAnsi="Arial" w:cs="Arial"/>
          <w:spacing w:val="-3"/>
          <w:sz w:val="20"/>
          <w:szCs w:val="20"/>
        </w:rPr>
        <w:t xml:space="preserve"> </w:t>
      </w:r>
      <w:r w:rsidRPr="004A51D5">
        <w:rPr>
          <w:rFonts w:ascii="Arial" w:hAnsi="Arial" w:cs="Arial"/>
          <w:sz w:val="20"/>
          <w:szCs w:val="20"/>
        </w:rPr>
        <w:t>is</w:t>
      </w:r>
      <w:r w:rsidRPr="004A51D5">
        <w:rPr>
          <w:rFonts w:ascii="Arial" w:hAnsi="Arial" w:cs="Arial"/>
          <w:spacing w:val="-1"/>
          <w:sz w:val="20"/>
          <w:szCs w:val="20"/>
        </w:rPr>
        <w:t xml:space="preserve"> </w:t>
      </w:r>
      <w:r w:rsidRPr="004A51D5">
        <w:rPr>
          <w:rFonts w:ascii="Arial" w:hAnsi="Arial" w:cs="Arial"/>
          <w:sz w:val="20"/>
          <w:szCs w:val="20"/>
        </w:rPr>
        <w:t>duly</w:t>
      </w:r>
      <w:r w:rsidRPr="004A51D5">
        <w:rPr>
          <w:rFonts w:ascii="Arial" w:hAnsi="Arial" w:cs="Arial"/>
          <w:spacing w:val="-2"/>
          <w:sz w:val="20"/>
          <w:szCs w:val="20"/>
        </w:rPr>
        <w:t xml:space="preserve"> </w:t>
      </w:r>
      <w:r w:rsidRPr="004A51D5">
        <w:rPr>
          <w:rFonts w:ascii="Arial" w:hAnsi="Arial" w:cs="Arial"/>
          <w:sz w:val="20"/>
          <w:szCs w:val="20"/>
        </w:rPr>
        <w:t>registered;</w:t>
      </w:r>
    </w:p>
    <w:p w14:paraId="7AA1D0E4" w14:textId="77777777" w:rsidR="004A51D5" w:rsidRDefault="004A51D5" w:rsidP="009601C2">
      <w:pPr>
        <w:pStyle w:val="ListParagraph"/>
        <w:numPr>
          <w:ilvl w:val="2"/>
          <w:numId w:val="16"/>
        </w:numPr>
        <w:tabs>
          <w:tab w:val="left" w:pos="1841"/>
          <w:tab w:val="left" w:pos="1842"/>
        </w:tabs>
        <w:spacing w:line="276" w:lineRule="auto"/>
        <w:ind w:right="199"/>
        <w:rPr>
          <w:rFonts w:ascii="Arial" w:hAnsi="Arial" w:cs="Arial"/>
          <w:sz w:val="20"/>
          <w:szCs w:val="20"/>
        </w:rPr>
      </w:pPr>
      <w:r w:rsidRPr="004A51D5">
        <w:rPr>
          <w:rFonts w:ascii="Arial" w:hAnsi="Arial" w:cs="Arial"/>
          <w:sz w:val="20"/>
          <w:szCs w:val="20"/>
        </w:rPr>
        <w:t>instruments</w:t>
      </w:r>
      <w:r w:rsidRPr="004A51D5">
        <w:rPr>
          <w:rFonts w:ascii="Arial" w:hAnsi="Arial" w:cs="Arial"/>
          <w:spacing w:val="1"/>
          <w:sz w:val="20"/>
          <w:szCs w:val="20"/>
        </w:rPr>
        <w:t xml:space="preserve"> </w:t>
      </w:r>
      <w:r w:rsidRPr="004A51D5">
        <w:rPr>
          <w:rFonts w:ascii="Arial" w:hAnsi="Arial" w:cs="Arial"/>
          <w:sz w:val="20"/>
          <w:szCs w:val="20"/>
        </w:rPr>
        <w:t>and</w:t>
      </w:r>
      <w:r w:rsidRPr="004A51D5">
        <w:rPr>
          <w:rFonts w:ascii="Arial" w:hAnsi="Arial" w:cs="Arial"/>
          <w:spacing w:val="2"/>
          <w:sz w:val="20"/>
          <w:szCs w:val="20"/>
        </w:rPr>
        <w:t xml:space="preserve"> </w:t>
      </w:r>
      <w:r w:rsidRPr="004A51D5">
        <w:rPr>
          <w:rFonts w:ascii="Arial" w:hAnsi="Arial" w:cs="Arial"/>
          <w:sz w:val="20"/>
          <w:szCs w:val="20"/>
        </w:rPr>
        <w:t>equipment</w:t>
      </w:r>
      <w:r w:rsidRPr="004A51D5">
        <w:rPr>
          <w:rFonts w:ascii="Arial" w:hAnsi="Arial" w:cs="Arial"/>
          <w:spacing w:val="2"/>
          <w:sz w:val="20"/>
          <w:szCs w:val="20"/>
        </w:rPr>
        <w:t xml:space="preserve"> </w:t>
      </w:r>
      <w:r w:rsidRPr="004A51D5">
        <w:rPr>
          <w:rFonts w:ascii="Arial" w:hAnsi="Arial" w:cs="Arial"/>
          <w:sz w:val="20"/>
          <w:szCs w:val="20"/>
        </w:rPr>
        <w:t>required</w:t>
      </w:r>
      <w:r w:rsidRPr="004A51D5">
        <w:rPr>
          <w:rFonts w:ascii="Arial" w:hAnsi="Arial" w:cs="Arial"/>
          <w:spacing w:val="2"/>
          <w:sz w:val="20"/>
          <w:szCs w:val="20"/>
        </w:rPr>
        <w:t xml:space="preserve"> </w:t>
      </w:r>
      <w:r w:rsidRPr="004A51D5">
        <w:rPr>
          <w:rFonts w:ascii="Arial" w:hAnsi="Arial" w:cs="Arial"/>
          <w:sz w:val="20"/>
          <w:szCs w:val="20"/>
        </w:rPr>
        <w:t>for</w:t>
      </w:r>
      <w:r w:rsidRPr="004A51D5">
        <w:rPr>
          <w:rFonts w:ascii="Arial" w:hAnsi="Arial" w:cs="Arial"/>
          <w:spacing w:val="1"/>
          <w:sz w:val="20"/>
          <w:szCs w:val="20"/>
        </w:rPr>
        <w:t xml:space="preserve"> </w:t>
      </w:r>
      <w:r w:rsidRPr="004A51D5">
        <w:rPr>
          <w:rFonts w:ascii="Arial" w:hAnsi="Arial" w:cs="Arial"/>
          <w:sz w:val="20"/>
          <w:szCs w:val="20"/>
        </w:rPr>
        <w:t>the execution</w:t>
      </w:r>
      <w:r w:rsidRPr="004A51D5">
        <w:rPr>
          <w:rFonts w:ascii="Arial" w:hAnsi="Arial" w:cs="Arial"/>
          <w:spacing w:val="1"/>
          <w:sz w:val="20"/>
          <w:szCs w:val="20"/>
        </w:rPr>
        <w:t xml:space="preserve"> </w:t>
      </w:r>
      <w:r w:rsidRPr="004A51D5">
        <w:rPr>
          <w:rFonts w:ascii="Arial" w:hAnsi="Arial" w:cs="Arial"/>
          <w:sz w:val="20"/>
          <w:szCs w:val="20"/>
        </w:rPr>
        <w:t>of</w:t>
      </w:r>
      <w:r w:rsidRPr="004A51D5">
        <w:rPr>
          <w:rFonts w:ascii="Arial" w:hAnsi="Arial" w:cs="Arial"/>
          <w:spacing w:val="2"/>
          <w:sz w:val="20"/>
          <w:szCs w:val="20"/>
        </w:rPr>
        <w:t xml:space="preserve"> </w:t>
      </w:r>
      <w:r w:rsidRPr="004A51D5">
        <w:rPr>
          <w:rFonts w:ascii="Arial" w:hAnsi="Arial" w:cs="Arial"/>
          <w:sz w:val="20"/>
          <w:szCs w:val="20"/>
        </w:rPr>
        <w:t>the</w:t>
      </w:r>
      <w:r w:rsidRPr="004A51D5">
        <w:rPr>
          <w:rFonts w:ascii="Arial" w:hAnsi="Arial" w:cs="Arial"/>
          <w:spacing w:val="-1"/>
          <w:sz w:val="20"/>
          <w:szCs w:val="20"/>
        </w:rPr>
        <w:t xml:space="preserve"> </w:t>
      </w:r>
      <w:r w:rsidRPr="004A51D5">
        <w:rPr>
          <w:rFonts w:ascii="Arial" w:hAnsi="Arial" w:cs="Arial"/>
          <w:sz w:val="20"/>
          <w:szCs w:val="20"/>
        </w:rPr>
        <w:t>flight</w:t>
      </w:r>
      <w:r w:rsidRPr="004A51D5">
        <w:rPr>
          <w:rFonts w:ascii="Arial" w:hAnsi="Arial" w:cs="Arial"/>
          <w:spacing w:val="3"/>
          <w:sz w:val="20"/>
          <w:szCs w:val="20"/>
        </w:rPr>
        <w:t xml:space="preserve"> </w:t>
      </w:r>
      <w:r w:rsidRPr="004A51D5">
        <w:rPr>
          <w:rFonts w:ascii="Arial" w:hAnsi="Arial" w:cs="Arial"/>
          <w:sz w:val="20"/>
          <w:szCs w:val="20"/>
        </w:rPr>
        <w:t>are carried</w:t>
      </w:r>
      <w:r w:rsidRPr="004A51D5">
        <w:rPr>
          <w:rFonts w:ascii="Arial" w:hAnsi="Arial" w:cs="Arial"/>
          <w:spacing w:val="-2"/>
          <w:sz w:val="20"/>
          <w:szCs w:val="20"/>
        </w:rPr>
        <w:t xml:space="preserve"> </w:t>
      </w:r>
      <w:r w:rsidRPr="004A51D5">
        <w:rPr>
          <w:rFonts w:ascii="Arial" w:hAnsi="Arial" w:cs="Arial"/>
          <w:sz w:val="20"/>
          <w:szCs w:val="20"/>
        </w:rPr>
        <w:t>on</w:t>
      </w:r>
      <w:r w:rsidRPr="004A51D5">
        <w:rPr>
          <w:rFonts w:ascii="Arial" w:hAnsi="Arial" w:cs="Arial"/>
          <w:spacing w:val="-47"/>
          <w:sz w:val="20"/>
          <w:szCs w:val="20"/>
        </w:rPr>
        <w:t xml:space="preserve"> </w:t>
      </w:r>
      <w:r w:rsidRPr="004A51D5">
        <w:rPr>
          <w:rFonts w:ascii="Arial" w:hAnsi="Arial" w:cs="Arial"/>
          <w:sz w:val="20"/>
          <w:szCs w:val="20"/>
        </w:rPr>
        <w:t>board</w:t>
      </w:r>
      <w:r w:rsidRPr="004A51D5">
        <w:rPr>
          <w:rFonts w:ascii="Arial" w:hAnsi="Arial" w:cs="Arial"/>
          <w:spacing w:val="-1"/>
          <w:sz w:val="20"/>
          <w:szCs w:val="20"/>
        </w:rPr>
        <w:t xml:space="preserve"> </w:t>
      </w:r>
      <w:r w:rsidRPr="004A51D5">
        <w:rPr>
          <w:rFonts w:ascii="Arial" w:hAnsi="Arial" w:cs="Arial"/>
          <w:sz w:val="20"/>
          <w:szCs w:val="20"/>
        </w:rPr>
        <w:t>the</w:t>
      </w:r>
      <w:r w:rsidRPr="004A51D5">
        <w:rPr>
          <w:rFonts w:ascii="Arial" w:hAnsi="Arial" w:cs="Arial"/>
          <w:spacing w:val="-2"/>
          <w:sz w:val="20"/>
          <w:szCs w:val="20"/>
        </w:rPr>
        <w:t xml:space="preserve"> </w:t>
      </w:r>
      <w:r w:rsidRPr="004A51D5">
        <w:rPr>
          <w:rFonts w:ascii="Arial" w:hAnsi="Arial" w:cs="Arial"/>
          <w:sz w:val="20"/>
          <w:szCs w:val="20"/>
        </w:rPr>
        <w:t>balloon</w:t>
      </w:r>
      <w:r w:rsidRPr="004A51D5">
        <w:rPr>
          <w:rFonts w:ascii="Arial" w:hAnsi="Arial" w:cs="Arial"/>
          <w:spacing w:val="-1"/>
          <w:sz w:val="20"/>
          <w:szCs w:val="20"/>
        </w:rPr>
        <w:t xml:space="preserve"> </w:t>
      </w:r>
      <w:r w:rsidRPr="004A51D5">
        <w:rPr>
          <w:rFonts w:ascii="Arial" w:hAnsi="Arial" w:cs="Arial"/>
          <w:sz w:val="20"/>
          <w:szCs w:val="20"/>
        </w:rPr>
        <w:t>and</w:t>
      </w:r>
      <w:r w:rsidRPr="004A51D5">
        <w:rPr>
          <w:rFonts w:ascii="Arial" w:hAnsi="Arial" w:cs="Arial"/>
          <w:spacing w:val="-1"/>
          <w:sz w:val="20"/>
          <w:szCs w:val="20"/>
        </w:rPr>
        <w:t xml:space="preserve"> </w:t>
      </w:r>
      <w:r w:rsidRPr="004A51D5">
        <w:rPr>
          <w:rFonts w:ascii="Arial" w:hAnsi="Arial" w:cs="Arial"/>
          <w:sz w:val="20"/>
          <w:szCs w:val="20"/>
        </w:rPr>
        <w:t>are</w:t>
      </w:r>
      <w:r w:rsidRPr="004A51D5">
        <w:rPr>
          <w:rFonts w:ascii="Arial" w:hAnsi="Arial" w:cs="Arial"/>
          <w:spacing w:val="-4"/>
          <w:sz w:val="20"/>
          <w:szCs w:val="20"/>
        </w:rPr>
        <w:t xml:space="preserve"> </w:t>
      </w:r>
      <w:r w:rsidRPr="004A51D5">
        <w:rPr>
          <w:rFonts w:ascii="Arial" w:hAnsi="Arial" w:cs="Arial"/>
          <w:sz w:val="20"/>
          <w:szCs w:val="20"/>
        </w:rPr>
        <w:t>operative;</w:t>
      </w:r>
    </w:p>
    <w:p w14:paraId="2CD7BD0E" w14:textId="77777777" w:rsidR="004A51D5" w:rsidRDefault="004A51D5" w:rsidP="009601C2">
      <w:pPr>
        <w:pStyle w:val="ListParagraph"/>
        <w:numPr>
          <w:ilvl w:val="2"/>
          <w:numId w:val="16"/>
        </w:numPr>
        <w:tabs>
          <w:tab w:val="left" w:pos="1841"/>
          <w:tab w:val="left" w:pos="1842"/>
        </w:tabs>
        <w:spacing w:line="276" w:lineRule="auto"/>
        <w:ind w:right="199"/>
        <w:rPr>
          <w:rFonts w:ascii="Arial" w:hAnsi="Arial" w:cs="Arial"/>
          <w:sz w:val="20"/>
          <w:szCs w:val="20"/>
        </w:rPr>
      </w:pPr>
      <w:r w:rsidRPr="004A51D5">
        <w:rPr>
          <w:rFonts w:ascii="Arial" w:hAnsi="Arial" w:cs="Arial"/>
          <w:sz w:val="20"/>
          <w:szCs w:val="20"/>
        </w:rPr>
        <w:t>the</w:t>
      </w:r>
      <w:r w:rsidRPr="004A51D5">
        <w:rPr>
          <w:rFonts w:ascii="Arial" w:hAnsi="Arial" w:cs="Arial"/>
          <w:spacing w:val="10"/>
          <w:sz w:val="20"/>
          <w:szCs w:val="20"/>
        </w:rPr>
        <w:t xml:space="preserve"> </w:t>
      </w:r>
      <w:r w:rsidRPr="004A51D5">
        <w:rPr>
          <w:rFonts w:ascii="Arial" w:hAnsi="Arial" w:cs="Arial"/>
          <w:sz w:val="20"/>
          <w:szCs w:val="20"/>
        </w:rPr>
        <w:t>mass</w:t>
      </w:r>
      <w:r w:rsidRPr="004A51D5">
        <w:rPr>
          <w:rFonts w:ascii="Arial" w:hAnsi="Arial" w:cs="Arial"/>
          <w:spacing w:val="7"/>
          <w:sz w:val="20"/>
          <w:szCs w:val="20"/>
        </w:rPr>
        <w:t xml:space="preserve"> </w:t>
      </w:r>
      <w:r w:rsidRPr="004A51D5">
        <w:rPr>
          <w:rFonts w:ascii="Arial" w:hAnsi="Arial" w:cs="Arial"/>
          <w:sz w:val="20"/>
          <w:szCs w:val="20"/>
        </w:rPr>
        <w:t>of</w:t>
      </w:r>
      <w:r w:rsidRPr="004A51D5">
        <w:rPr>
          <w:rFonts w:ascii="Arial" w:hAnsi="Arial" w:cs="Arial"/>
          <w:spacing w:val="9"/>
          <w:sz w:val="20"/>
          <w:szCs w:val="20"/>
        </w:rPr>
        <w:t xml:space="preserve"> </w:t>
      </w:r>
      <w:r w:rsidRPr="004A51D5">
        <w:rPr>
          <w:rFonts w:ascii="Arial" w:hAnsi="Arial" w:cs="Arial"/>
          <w:sz w:val="20"/>
          <w:szCs w:val="20"/>
        </w:rPr>
        <w:t>the</w:t>
      </w:r>
      <w:r w:rsidRPr="004A51D5">
        <w:rPr>
          <w:rFonts w:ascii="Arial" w:hAnsi="Arial" w:cs="Arial"/>
          <w:spacing w:val="10"/>
          <w:sz w:val="20"/>
          <w:szCs w:val="20"/>
        </w:rPr>
        <w:t xml:space="preserve"> </w:t>
      </w:r>
      <w:r w:rsidRPr="004A51D5">
        <w:rPr>
          <w:rFonts w:ascii="Arial" w:hAnsi="Arial" w:cs="Arial"/>
          <w:sz w:val="20"/>
          <w:szCs w:val="20"/>
        </w:rPr>
        <w:t>balloon</w:t>
      </w:r>
      <w:r w:rsidRPr="004A51D5">
        <w:rPr>
          <w:rFonts w:ascii="Arial" w:hAnsi="Arial" w:cs="Arial"/>
          <w:spacing w:val="11"/>
          <w:sz w:val="20"/>
          <w:szCs w:val="20"/>
        </w:rPr>
        <w:t xml:space="preserve"> </w:t>
      </w:r>
      <w:r w:rsidRPr="004A51D5">
        <w:rPr>
          <w:rFonts w:ascii="Arial" w:hAnsi="Arial" w:cs="Arial"/>
          <w:sz w:val="20"/>
          <w:szCs w:val="20"/>
        </w:rPr>
        <w:t>is</w:t>
      </w:r>
      <w:r w:rsidRPr="004A51D5">
        <w:rPr>
          <w:rFonts w:ascii="Arial" w:hAnsi="Arial" w:cs="Arial"/>
          <w:spacing w:val="7"/>
          <w:sz w:val="20"/>
          <w:szCs w:val="20"/>
        </w:rPr>
        <w:t xml:space="preserve"> </w:t>
      </w:r>
      <w:r w:rsidRPr="004A51D5">
        <w:rPr>
          <w:rFonts w:ascii="Arial" w:hAnsi="Arial" w:cs="Arial"/>
          <w:sz w:val="20"/>
          <w:szCs w:val="20"/>
        </w:rPr>
        <w:t>such</w:t>
      </w:r>
      <w:r w:rsidRPr="004A51D5">
        <w:rPr>
          <w:rFonts w:ascii="Arial" w:hAnsi="Arial" w:cs="Arial"/>
          <w:spacing w:val="11"/>
          <w:sz w:val="20"/>
          <w:szCs w:val="20"/>
        </w:rPr>
        <w:t xml:space="preserve"> </w:t>
      </w:r>
      <w:r w:rsidRPr="004A51D5">
        <w:rPr>
          <w:rFonts w:ascii="Arial" w:hAnsi="Arial" w:cs="Arial"/>
          <w:sz w:val="20"/>
          <w:szCs w:val="20"/>
        </w:rPr>
        <w:t>that</w:t>
      </w:r>
      <w:r w:rsidRPr="004A51D5">
        <w:rPr>
          <w:rFonts w:ascii="Arial" w:hAnsi="Arial" w:cs="Arial"/>
          <w:spacing w:val="10"/>
          <w:sz w:val="20"/>
          <w:szCs w:val="20"/>
        </w:rPr>
        <w:t xml:space="preserve"> </w:t>
      </w:r>
      <w:r w:rsidRPr="004A51D5">
        <w:rPr>
          <w:rFonts w:ascii="Arial" w:hAnsi="Arial" w:cs="Arial"/>
          <w:sz w:val="20"/>
          <w:szCs w:val="20"/>
        </w:rPr>
        <w:t>the</w:t>
      </w:r>
      <w:r w:rsidRPr="004A51D5">
        <w:rPr>
          <w:rFonts w:ascii="Arial" w:hAnsi="Arial" w:cs="Arial"/>
          <w:spacing w:val="10"/>
          <w:sz w:val="20"/>
          <w:szCs w:val="20"/>
        </w:rPr>
        <w:t xml:space="preserve"> </w:t>
      </w:r>
      <w:r w:rsidRPr="004A51D5">
        <w:rPr>
          <w:rFonts w:ascii="Arial" w:hAnsi="Arial" w:cs="Arial"/>
          <w:sz w:val="20"/>
          <w:szCs w:val="20"/>
        </w:rPr>
        <w:t>flight</w:t>
      </w:r>
      <w:r w:rsidRPr="004A51D5">
        <w:rPr>
          <w:rFonts w:ascii="Arial" w:hAnsi="Arial" w:cs="Arial"/>
          <w:spacing w:val="13"/>
          <w:sz w:val="20"/>
          <w:szCs w:val="20"/>
        </w:rPr>
        <w:t xml:space="preserve"> </w:t>
      </w:r>
      <w:r w:rsidRPr="004A51D5">
        <w:rPr>
          <w:rFonts w:ascii="Arial" w:hAnsi="Arial" w:cs="Arial"/>
          <w:sz w:val="20"/>
          <w:szCs w:val="20"/>
        </w:rPr>
        <w:t>can</w:t>
      </w:r>
      <w:r w:rsidRPr="004A51D5">
        <w:rPr>
          <w:rFonts w:ascii="Arial" w:hAnsi="Arial" w:cs="Arial"/>
          <w:spacing w:val="9"/>
          <w:sz w:val="20"/>
          <w:szCs w:val="20"/>
        </w:rPr>
        <w:t xml:space="preserve"> </w:t>
      </w:r>
      <w:r w:rsidRPr="004A51D5">
        <w:rPr>
          <w:rFonts w:ascii="Arial" w:hAnsi="Arial" w:cs="Arial"/>
          <w:sz w:val="20"/>
          <w:szCs w:val="20"/>
        </w:rPr>
        <w:t>be</w:t>
      </w:r>
      <w:r w:rsidRPr="004A51D5">
        <w:rPr>
          <w:rFonts w:ascii="Arial" w:hAnsi="Arial" w:cs="Arial"/>
          <w:spacing w:val="10"/>
          <w:sz w:val="20"/>
          <w:szCs w:val="20"/>
        </w:rPr>
        <w:t xml:space="preserve"> </w:t>
      </w:r>
      <w:r w:rsidRPr="004A51D5">
        <w:rPr>
          <w:rFonts w:ascii="Arial" w:hAnsi="Arial" w:cs="Arial"/>
          <w:sz w:val="20"/>
          <w:szCs w:val="20"/>
        </w:rPr>
        <w:t>conducted</w:t>
      </w:r>
      <w:r w:rsidRPr="004A51D5">
        <w:rPr>
          <w:rFonts w:ascii="Arial" w:hAnsi="Arial" w:cs="Arial"/>
          <w:spacing w:val="9"/>
          <w:sz w:val="20"/>
          <w:szCs w:val="20"/>
        </w:rPr>
        <w:t xml:space="preserve"> </w:t>
      </w:r>
      <w:r w:rsidRPr="004A51D5">
        <w:rPr>
          <w:rFonts w:ascii="Arial" w:hAnsi="Arial" w:cs="Arial"/>
          <w:sz w:val="20"/>
          <w:szCs w:val="20"/>
        </w:rPr>
        <w:t>within</w:t>
      </w:r>
      <w:r w:rsidRPr="004A51D5">
        <w:rPr>
          <w:rFonts w:ascii="Arial" w:hAnsi="Arial" w:cs="Arial"/>
          <w:spacing w:val="11"/>
          <w:sz w:val="20"/>
          <w:szCs w:val="20"/>
        </w:rPr>
        <w:t xml:space="preserve"> </w:t>
      </w:r>
      <w:r w:rsidRPr="004A51D5">
        <w:rPr>
          <w:rFonts w:ascii="Arial" w:hAnsi="Arial" w:cs="Arial"/>
          <w:sz w:val="20"/>
          <w:szCs w:val="20"/>
        </w:rPr>
        <w:t>the</w:t>
      </w:r>
      <w:r w:rsidRPr="004A51D5">
        <w:rPr>
          <w:rFonts w:ascii="Arial" w:hAnsi="Arial" w:cs="Arial"/>
          <w:spacing w:val="10"/>
          <w:sz w:val="20"/>
          <w:szCs w:val="20"/>
        </w:rPr>
        <w:t xml:space="preserve"> </w:t>
      </w:r>
      <w:r w:rsidRPr="004A51D5">
        <w:rPr>
          <w:rFonts w:ascii="Arial" w:hAnsi="Arial" w:cs="Arial"/>
          <w:sz w:val="20"/>
          <w:szCs w:val="20"/>
        </w:rPr>
        <w:t>limits</w:t>
      </w:r>
      <w:r w:rsidRPr="004A51D5">
        <w:rPr>
          <w:rFonts w:ascii="Arial" w:hAnsi="Arial" w:cs="Arial"/>
          <w:spacing w:val="-47"/>
          <w:sz w:val="20"/>
          <w:szCs w:val="20"/>
        </w:rPr>
        <w:t xml:space="preserve"> </w:t>
      </w:r>
      <w:r w:rsidRPr="004A51D5">
        <w:rPr>
          <w:rFonts w:ascii="Arial" w:hAnsi="Arial" w:cs="Arial"/>
          <w:sz w:val="20"/>
          <w:szCs w:val="20"/>
        </w:rPr>
        <w:t>defined</w:t>
      </w:r>
      <w:r w:rsidRPr="004A51D5">
        <w:rPr>
          <w:rFonts w:ascii="Arial" w:hAnsi="Arial" w:cs="Arial"/>
          <w:spacing w:val="-1"/>
          <w:sz w:val="20"/>
          <w:szCs w:val="20"/>
        </w:rPr>
        <w:t xml:space="preserve"> </w:t>
      </w:r>
      <w:r w:rsidRPr="004A51D5">
        <w:rPr>
          <w:rFonts w:ascii="Arial" w:hAnsi="Arial" w:cs="Arial"/>
          <w:sz w:val="20"/>
          <w:szCs w:val="20"/>
        </w:rPr>
        <w:t>by the</w:t>
      </w:r>
      <w:r w:rsidRPr="004A51D5">
        <w:rPr>
          <w:rFonts w:ascii="Arial" w:hAnsi="Arial" w:cs="Arial"/>
          <w:spacing w:val="1"/>
          <w:sz w:val="20"/>
          <w:szCs w:val="20"/>
        </w:rPr>
        <w:t xml:space="preserve"> </w:t>
      </w:r>
      <w:r w:rsidRPr="004A51D5">
        <w:rPr>
          <w:rFonts w:ascii="Arial" w:hAnsi="Arial" w:cs="Arial"/>
          <w:sz w:val="20"/>
          <w:szCs w:val="20"/>
        </w:rPr>
        <w:t>AFM;</w:t>
      </w:r>
    </w:p>
    <w:p w14:paraId="6B7C903C" w14:textId="77777777" w:rsidR="004A51D5" w:rsidRDefault="004A51D5" w:rsidP="009601C2">
      <w:pPr>
        <w:pStyle w:val="ListParagraph"/>
        <w:numPr>
          <w:ilvl w:val="2"/>
          <w:numId w:val="16"/>
        </w:numPr>
        <w:tabs>
          <w:tab w:val="left" w:pos="1841"/>
          <w:tab w:val="left" w:pos="1842"/>
        </w:tabs>
        <w:spacing w:line="276" w:lineRule="auto"/>
        <w:ind w:right="199"/>
        <w:rPr>
          <w:rFonts w:ascii="Arial" w:hAnsi="Arial" w:cs="Arial"/>
          <w:sz w:val="20"/>
          <w:szCs w:val="20"/>
        </w:rPr>
      </w:pPr>
      <w:r w:rsidRPr="004A51D5">
        <w:rPr>
          <w:rFonts w:ascii="Arial" w:hAnsi="Arial" w:cs="Arial"/>
          <w:sz w:val="20"/>
          <w:szCs w:val="20"/>
        </w:rPr>
        <w:t>all</w:t>
      </w:r>
      <w:r w:rsidRPr="004A51D5">
        <w:rPr>
          <w:rFonts w:ascii="Arial" w:hAnsi="Arial" w:cs="Arial"/>
          <w:spacing w:val="-2"/>
          <w:sz w:val="20"/>
          <w:szCs w:val="20"/>
        </w:rPr>
        <w:t xml:space="preserve"> </w:t>
      </w:r>
      <w:r w:rsidRPr="004A51D5">
        <w:rPr>
          <w:rFonts w:ascii="Arial" w:hAnsi="Arial" w:cs="Arial"/>
          <w:sz w:val="20"/>
          <w:szCs w:val="20"/>
        </w:rPr>
        <w:t>equipment</w:t>
      </w:r>
      <w:r w:rsidRPr="004A51D5">
        <w:rPr>
          <w:rFonts w:ascii="Arial" w:hAnsi="Arial" w:cs="Arial"/>
          <w:spacing w:val="-2"/>
          <w:sz w:val="20"/>
          <w:szCs w:val="20"/>
        </w:rPr>
        <w:t xml:space="preserve"> </w:t>
      </w:r>
      <w:r w:rsidRPr="004A51D5">
        <w:rPr>
          <w:rFonts w:ascii="Arial" w:hAnsi="Arial" w:cs="Arial"/>
          <w:sz w:val="20"/>
          <w:szCs w:val="20"/>
        </w:rPr>
        <w:t>and</w:t>
      </w:r>
      <w:r w:rsidRPr="004A51D5">
        <w:rPr>
          <w:rFonts w:ascii="Arial" w:hAnsi="Arial" w:cs="Arial"/>
          <w:spacing w:val="-1"/>
          <w:sz w:val="20"/>
          <w:szCs w:val="20"/>
        </w:rPr>
        <w:t xml:space="preserve"> </w:t>
      </w:r>
      <w:r w:rsidRPr="004A51D5">
        <w:rPr>
          <w:rFonts w:ascii="Arial" w:hAnsi="Arial" w:cs="Arial"/>
          <w:sz w:val="20"/>
          <w:szCs w:val="20"/>
        </w:rPr>
        <w:t>baggage</w:t>
      </w:r>
      <w:r w:rsidRPr="004A51D5">
        <w:rPr>
          <w:rFonts w:ascii="Arial" w:hAnsi="Arial" w:cs="Arial"/>
          <w:spacing w:val="-2"/>
          <w:sz w:val="20"/>
          <w:szCs w:val="20"/>
        </w:rPr>
        <w:t xml:space="preserve"> </w:t>
      </w:r>
      <w:r w:rsidRPr="004A51D5">
        <w:rPr>
          <w:rFonts w:ascii="Arial" w:hAnsi="Arial" w:cs="Arial"/>
          <w:sz w:val="20"/>
          <w:szCs w:val="20"/>
        </w:rPr>
        <w:t>are</w:t>
      </w:r>
      <w:r w:rsidRPr="004A51D5">
        <w:rPr>
          <w:rFonts w:ascii="Arial" w:hAnsi="Arial" w:cs="Arial"/>
          <w:spacing w:val="1"/>
          <w:sz w:val="20"/>
          <w:szCs w:val="20"/>
        </w:rPr>
        <w:t xml:space="preserve"> </w:t>
      </w:r>
      <w:r w:rsidRPr="004A51D5">
        <w:rPr>
          <w:rFonts w:ascii="Arial" w:hAnsi="Arial" w:cs="Arial"/>
          <w:sz w:val="20"/>
          <w:szCs w:val="20"/>
        </w:rPr>
        <w:t>properly</w:t>
      </w:r>
      <w:r w:rsidRPr="004A51D5">
        <w:rPr>
          <w:rFonts w:ascii="Arial" w:hAnsi="Arial" w:cs="Arial"/>
          <w:spacing w:val="-2"/>
          <w:sz w:val="20"/>
          <w:szCs w:val="20"/>
        </w:rPr>
        <w:t xml:space="preserve"> </w:t>
      </w:r>
      <w:r w:rsidRPr="004A51D5">
        <w:rPr>
          <w:rFonts w:ascii="Arial" w:hAnsi="Arial" w:cs="Arial"/>
          <w:sz w:val="20"/>
          <w:szCs w:val="20"/>
        </w:rPr>
        <w:t>loaded and</w:t>
      </w:r>
      <w:r w:rsidRPr="004A51D5">
        <w:rPr>
          <w:rFonts w:ascii="Arial" w:hAnsi="Arial" w:cs="Arial"/>
          <w:spacing w:val="-3"/>
          <w:sz w:val="20"/>
          <w:szCs w:val="20"/>
        </w:rPr>
        <w:t xml:space="preserve"> </w:t>
      </w:r>
      <w:r w:rsidRPr="004A51D5">
        <w:rPr>
          <w:rFonts w:ascii="Arial" w:hAnsi="Arial" w:cs="Arial"/>
          <w:sz w:val="20"/>
          <w:szCs w:val="20"/>
        </w:rPr>
        <w:t>secured;</w:t>
      </w:r>
      <w:r w:rsidRPr="004A51D5">
        <w:rPr>
          <w:rFonts w:ascii="Arial" w:hAnsi="Arial" w:cs="Arial"/>
          <w:spacing w:val="1"/>
          <w:sz w:val="20"/>
          <w:szCs w:val="20"/>
        </w:rPr>
        <w:t xml:space="preserve"> </w:t>
      </w:r>
      <w:r w:rsidRPr="004A51D5">
        <w:rPr>
          <w:rFonts w:ascii="Arial" w:hAnsi="Arial" w:cs="Arial"/>
          <w:sz w:val="20"/>
          <w:szCs w:val="20"/>
        </w:rPr>
        <w:t>and</w:t>
      </w:r>
    </w:p>
    <w:p w14:paraId="24B638F2" w14:textId="77777777" w:rsidR="004A51D5" w:rsidRPr="004A51D5" w:rsidRDefault="004A51D5" w:rsidP="009601C2">
      <w:pPr>
        <w:pStyle w:val="ListParagraph"/>
        <w:numPr>
          <w:ilvl w:val="2"/>
          <w:numId w:val="16"/>
        </w:numPr>
        <w:tabs>
          <w:tab w:val="left" w:pos="1841"/>
          <w:tab w:val="left" w:pos="1842"/>
        </w:tabs>
        <w:spacing w:line="276" w:lineRule="auto"/>
        <w:ind w:right="199"/>
        <w:rPr>
          <w:rFonts w:ascii="Arial" w:hAnsi="Arial" w:cs="Arial"/>
          <w:sz w:val="20"/>
          <w:szCs w:val="20"/>
        </w:rPr>
      </w:pPr>
      <w:r w:rsidRPr="004A51D5">
        <w:rPr>
          <w:rFonts w:ascii="Arial" w:hAnsi="Arial" w:cs="Arial"/>
          <w:sz w:val="20"/>
          <w:szCs w:val="20"/>
        </w:rPr>
        <w:t>the</w:t>
      </w:r>
      <w:r w:rsidRPr="004A51D5">
        <w:rPr>
          <w:rFonts w:ascii="Arial" w:hAnsi="Arial" w:cs="Arial"/>
          <w:spacing w:val="3"/>
          <w:sz w:val="20"/>
          <w:szCs w:val="20"/>
        </w:rPr>
        <w:t xml:space="preserve"> </w:t>
      </w:r>
      <w:r w:rsidRPr="004A51D5">
        <w:rPr>
          <w:rFonts w:ascii="Arial" w:hAnsi="Arial" w:cs="Arial"/>
          <w:sz w:val="20"/>
          <w:szCs w:val="20"/>
        </w:rPr>
        <w:t>operating</w:t>
      </w:r>
      <w:r w:rsidRPr="004A51D5">
        <w:rPr>
          <w:rFonts w:ascii="Arial" w:hAnsi="Arial" w:cs="Arial"/>
          <w:spacing w:val="5"/>
          <w:sz w:val="20"/>
          <w:szCs w:val="20"/>
        </w:rPr>
        <w:t xml:space="preserve"> </w:t>
      </w:r>
      <w:r w:rsidRPr="004A51D5">
        <w:rPr>
          <w:rFonts w:ascii="Arial" w:hAnsi="Arial" w:cs="Arial"/>
          <w:sz w:val="20"/>
          <w:szCs w:val="20"/>
        </w:rPr>
        <w:t>limitations</w:t>
      </w:r>
      <w:r w:rsidRPr="004A51D5">
        <w:rPr>
          <w:rFonts w:ascii="Arial" w:hAnsi="Arial" w:cs="Arial"/>
          <w:spacing w:val="3"/>
          <w:sz w:val="20"/>
          <w:szCs w:val="20"/>
        </w:rPr>
        <w:t xml:space="preserve"> </w:t>
      </w:r>
      <w:r w:rsidRPr="004A51D5">
        <w:rPr>
          <w:rFonts w:ascii="Arial" w:hAnsi="Arial" w:cs="Arial"/>
          <w:sz w:val="20"/>
          <w:szCs w:val="20"/>
        </w:rPr>
        <w:t>of</w:t>
      </w:r>
      <w:r w:rsidRPr="004A51D5">
        <w:rPr>
          <w:rFonts w:ascii="Arial" w:hAnsi="Arial" w:cs="Arial"/>
          <w:spacing w:val="3"/>
          <w:sz w:val="20"/>
          <w:szCs w:val="20"/>
        </w:rPr>
        <w:t xml:space="preserve"> </w:t>
      </w:r>
      <w:r w:rsidRPr="004A51D5">
        <w:rPr>
          <w:rFonts w:ascii="Arial" w:hAnsi="Arial" w:cs="Arial"/>
          <w:sz w:val="20"/>
          <w:szCs w:val="20"/>
        </w:rPr>
        <w:t>the</w:t>
      </w:r>
      <w:r w:rsidRPr="004A51D5">
        <w:rPr>
          <w:rFonts w:ascii="Arial" w:hAnsi="Arial" w:cs="Arial"/>
          <w:spacing w:val="3"/>
          <w:sz w:val="20"/>
          <w:szCs w:val="20"/>
        </w:rPr>
        <w:t xml:space="preserve"> </w:t>
      </w:r>
      <w:r w:rsidRPr="004A51D5">
        <w:rPr>
          <w:rFonts w:ascii="Arial" w:hAnsi="Arial" w:cs="Arial"/>
          <w:sz w:val="20"/>
          <w:szCs w:val="20"/>
        </w:rPr>
        <w:t>balloon</w:t>
      </w:r>
      <w:r w:rsidRPr="004A51D5">
        <w:rPr>
          <w:rFonts w:ascii="Arial" w:hAnsi="Arial" w:cs="Arial"/>
          <w:spacing w:val="5"/>
          <w:sz w:val="20"/>
          <w:szCs w:val="20"/>
        </w:rPr>
        <w:t xml:space="preserve"> </w:t>
      </w:r>
      <w:r w:rsidRPr="004A51D5">
        <w:rPr>
          <w:rFonts w:ascii="Arial" w:hAnsi="Arial" w:cs="Arial"/>
          <w:sz w:val="20"/>
          <w:szCs w:val="20"/>
        </w:rPr>
        <w:t>as</w:t>
      </w:r>
      <w:r w:rsidRPr="004A51D5">
        <w:rPr>
          <w:rFonts w:ascii="Arial" w:hAnsi="Arial" w:cs="Arial"/>
          <w:spacing w:val="3"/>
          <w:sz w:val="20"/>
          <w:szCs w:val="20"/>
        </w:rPr>
        <w:t xml:space="preserve"> </w:t>
      </w:r>
      <w:r w:rsidRPr="004A51D5">
        <w:rPr>
          <w:rFonts w:ascii="Arial" w:hAnsi="Arial" w:cs="Arial"/>
          <w:sz w:val="20"/>
          <w:szCs w:val="20"/>
        </w:rPr>
        <w:t>specified</w:t>
      </w:r>
      <w:r w:rsidRPr="004A51D5">
        <w:rPr>
          <w:rFonts w:ascii="Arial" w:hAnsi="Arial" w:cs="Arial"/>
          <w:spacing w:val="5"/>
          <w:sz w:val="20"/>
          <w:szCs w:val="20"/>
        </w:rPr>
        <w:t xml:space="preserve"> </w:t>
      </w:r>
      <w:r w:rsidRPr="004A51D5">
        <w:rPr>
          <w:rFonts w:ascii="Arial" w:hAnsi="Arial" w:cs="Arial"/>
          <w:sz w:val="20"/>
          <w:szCs w:val="20"/>
        </w:rPr>
        <w:t>in</w:t>
      </w:r>
      <w:r w:rsidRPr="004A51D5">
        <w:rPr>
          <w:rFonts w:ascii="Arial" w:hAnsi="Arial" w:cs="Arial"/>
          <w:spacing w:val="4"/>
          <w:sz w:val="20"/>
          <w:szCs w:val="20"/>
        </w:rPr>
        <w:t xml:space="preserve"> </w:t>
      </w:r>
      <w:r w:rsidRPr="004A51D5">
        <w:rPr>
          <w:rFonts w:ascii="Arial" w:hAnsi="Arial" w:cs="Arial"/>
          <w:sz w:val="20"/>
          <w:szCs w:val="20"/>
        </w:rPr>
        <w:t>the</w:t>
      </w:r>
      <w:r w:rsidRPr="004A51D5">
        <w:rPr>
          <w:rFonts w:ascii="Arial" w:hAnsi="Arial" w:cs="Arial"/>
          <w:spacing w:val="6"/>
          <w:sz w:val="20"/>
          <w:szCs w:val="20"/>
        </w:rPr>
        <w:t xml:space="preserve"> </w:t>
      </w:r>
      <w:r w:rsidRPr="004A51D5">
        <w:rPr>
          <w:rFonts w:ascii="Arial" w:hAnsi="Arial" w:cs="Arial"/>
          <w:sz w:val="20"/>
          <w:szCs w:val="20"/>
        </w:rPr>
        <w:t>AFM</w:t>
      </w:r>
      <w:r w:rsidRPr="004A51D5">
        <w:rPr>
          <w:rFonts w:ascii="Arial" w:hAnsi="Arial" w:cs="Arial"/>
          <w:spacing w:val="4"/>
          <w:sz w:val="20"/>
          <w:szCs w:val="20"/>
        </w:rPr>
        <w:t xml:space="preserve"> </w:t>
      </w:r>
      <w:r w:rsidRPr="004A51D5">
        <w:rPr>
          <w:rFonts w:ascii="Arial" w:hAnsi="Arial" w:cs="Arial"/>
          <w:sz w:val="20"/>
          <w:szCs w:val="20"/>
        </w:rPr>
        <w:t>will</w:t>
      </w:r>
      <w:r w:rsidRPr="004A51D5">
        <w:rPr>
          <w:rFonts w:ascii="Arial" w:hAnsi="Arial" w:cs="Arial"/>
          <w:spacing w:val="5"/>
          <w:sz w:val="20"/>
          <w:szCs w:val="20"/>
        </w:rPr>
        <w:t xml:space="preserve"> </w:t>
      </w:r>
      <w:r w:rsidRPr="004A51D5">
        <w:rPr>
          <w:rFonts w:ascii="Arial" w:hAnsi="Arial" w:cs="Arial"/>
          <w:sz w:val="20"/>
          <w:szCs w:val="20"/>
        </w:rPr>
        <w:t>not</w:t>
      </w:r>
      <w:r w:rsidRPr="004A51D5">
        <w:rPr>
          <w:rFonts w:ascii="Arial" w:hAnsi="Arial" w:cs="Arial"/>
          <w:spacing w:val="3"/>
          <w:sz w:val="20"/>
          <w:szCs w:val="20"/>
        </w:rPr>
        <w:t xml:space="preserve"> </w:t>
      </w:r>
      <w:r w:rsidRPr="004A51D5">
        <w:rPr>
          <w:rFonts w:ascii="Arial" w:hAnsi="Arial" w:cs="Arial"/>
          <w:sz w:val="20"/>
          <w:szCs w:val="20"/>
        </w:rPr>
        <w:t>be</w:t>
      </w:r>
      <w:r w:rsidRPr="004A51D5">
        <w:rPr>
          <w:rFonts w:ascii="Arial" w:hAnsi="Arial" w:cs="Arial"/>
          <w:spacing w:val="-47"/>
          <w:sz w:val="20"/>
          <w:szCs w:val="20"/>
        </w:rPr>
        <w:t xml:space="preserve"> </w:t>
      </w:r>
      <w:r w:rsidRPr="004A51D5">
        <w:rPr>
          <w:rFonts w:ascii="Arial" w:hAnsi="Arial" w:cs="Arial"/>
          <w:sz w:val="20"/>
          <w:szCs w:val="20"/>
        </w:rPr>
        <w:t>exceeded</w:t>
      </w:r>
      <w:r w:rsidRPr="004A51D5">
        <w:rPr>
          <w:rFonts w:ascii="Arial" w:hAnsi="Arial" w:cs="Arial"/>
          <w:spacing w:val="-1"/>
          <w:sz w:val="20"/>
          <w:szCs w:val="20"/>
        </w:rPr>
        <w:t xml:space="preserve"> </w:t>
      </w:r>
      <w:r w:rsidRPr="004A51D5">
        <w:rPr>
          <w:rFonts w:ascii="Arial" w:hAnsi="Arial" w:cs="Arial"/>
          <w:sz w:val="20"/>
          <w:szCs w:val="20"/>
        </w:rPr>
        <w:t>at</w:t>
      </w:r>
      <w:r w:rsidRPr="004A51D5">
        <w:rPr>
          <w:rFonts w:ascii="Arial" w:hAnsi="Arial" w:cs="Arial"/>
          <w:spacing w:val="-3"/>
          <w:sz w:val="20"/>
          <w:szCs w:val="20"/>
        </w:rPr>
        <w:t xml:space="preserve"> </w:t>
      </w:r>
      <w:r w:rsidRPr="004A51D5">
        <w:rPr>
          <w:rFonts w:ascii="Arial" w:hAnsi="Arial" w:cs="Arial"/>
          <w:sz w:val="20"/>
          <w:szCs w:val="20"/>
        </w:rPr>
        <w:t>any</w:t>
      </w:r>
      <w:r w:rsidRPr="004A51D5">
        <w:rPr>
          <w:rFonts w:ascii="Arial" w:hAnsi="Arial" w:cs="Arial"/>
          <w:spacing w:val="-2"/>
          <w:sz w:val="20"/>
          <w:szCs w:val="20"/>
        </w:rPr>
        <w:t xml:space="preserve"> </w:t>
      </w:r>
      <w:r w:rsidRPr="004A51D5">
        <w:rPr>
          <w:rFonts w:ascii="Arial" w:hAnsi="Arial" w:cs="Arial"/>
          <w:sz w:val="20"/>
          <w:szCs w:val="20"/>
        </w:rPr>
        <w:t>time</w:t>
      </w:r>
      <w:r w:rsidRPr="004A51D5">
        <w:rPr>
          <w:rFonts w:ascii="Arial" w:hAnsi="Arial" w:cs="Arial"/>
          <w:spacing w:val="1"/>
          <w:sz w:val="20"/>
          <w:szCs w:val="20"/>
        </w:rPr>
        <w:t xml:space="preserve"> </w:t>
      </w:r>
      <w:r w:rsidRPr="004A51D5">
        <w:rPr>
          <w:rFonts w:ascii="Arial" w:hAnsi="Arial" w:cs="Arial"/>
          <w:sz w:val="20"/>
          <w:szCs w:val="20"/>
        </w:rPr>
        <w:t>during</w:t>
      </w:r>
      <w:r w:rsidRPr="004A51D5">
        <w:rPr>
          <w:rFonts w:ascii="Arial" w:hAnsi="Arial" w:cs="Arial"/>
          <w:spacing w:val="-1"/>
          <w:sz w:val="20"/>
          <w:szCs w:val="20"/>
        </w:rPr>
        <w:t xml:space="preserve"> </w:t>
      </w:r>
      <w:r w:rsidRPr="004A51D5">
        <w:rPr>
          <w:rFonts w:ascii="Arial" w:hAnsi="Arial" w:cs="Arial"/>
          <w:sz w:val="20"/>
          <w:szCs w:val="20"/>
        </w:rPr>
        <w:t>the flight;</w:t>
      </w:r>
    </w:p>
    <w:p w14:paraId="7DB36C29" w14:textId="5036552E" w:rsidR="004A51D5" w:rsidRPr="00545710" w:rsidRDefault="004A51D5" w:rsidP="00545710">
      <w:pPr>
        <w:pStyle w:val="ListParagraph"/>
        <w:numPr>
          <w:ilvl w:val="1"/>
          <w:numId w:val="16"/>
        </w:numPr>
        <w:tabs>
          <w:tab w:val="left" w:pos="1273"/>
          <w:tab w:val="left" w:pos="1274"/>
        </w:tabs>
        <w:spacing w:before="122" w:line="276" w:lineRule="auto"/>
        <w:ind w:right="197"/>
        <w:rPr>
          <w:rFonts w:ascii="Arial" w:hAnsi="Arial" w:cs="Arial"/>
          <w:sz w:val="20"/>
          <w:szCs w:val="20"/>
        </w:rPr>
      </w:pPr>
      <w:r w:rsidRPr="00545710">
        <w:rPr>
          <w:rFonts w:ascii="Arial" w:hAnsi="Arial" w:cs="Arial"/>
          <w:sz w:val="20"/>
          <w:szCs w:val="20"/>
        </w:rPr>
        <w:t xml:space="preserve">ensure that the pre-flight inspection has been carried out as required by Annex I to </w:t>
      </w:r>
      <w:r w:rsidR="004D6F08" w:rsidRPr="00545710">
        <w:rPr>
          <w:rFonts w:ascii="Arial" w:hAnsi="Arial" w:cs="Arial"/>
          <w:sz w:val="20"/>
          <w:szCs w:val="20"/>
        </w:rPr>
        <w:t xml:space="preserve">  </w:t>
      </w:r>
      <w:hyperlink r:id="rId40" w:history="1">
        <w:r w:rsidR="0008054F" w:rsidRPr="0008054F">
          <w:rPr>
            <w:rStyle w:val="Hyperlink"/>
            <w:rFonts w:ascii="Arial" w:hAnsi="Arial" w:cs="Arial"/>
            <w:sz w:val="20"/>
            <w:szCs w:val="20"/>
          </w:rPr>
          <w:t>the order N 10-N of the Minister of Territorial Administration and Infrastructure of RA, dated 01.06.2022</w:t>
        </w:r>
      </w:hyperlink>
      <w:r w:rsidR="00545710">
        <w:rPr>
          <w:rFonts w:ascii="Arial" w:hAnsi="Arial" w:cs="Arial"/>
          <w:sz w:val="20"/>
          <w:szCs w:val="20"/>
        </w:rPr>
        <w:t>;</w:t>
      </w:r>
    </w:p>
    <w:p w14:paraId="67494F56" w14:textId="77777777" w:rsidR="004A51D5" w:rsidRPr="004A51D5" w:rsidRDefault="004A51D5" w:rsidP="009601C2">
      <w:pPr>
        <w:pStyle w:val="ListParagraph"/>
        <w:numPr>
          <w:ilvl w:val="1"/>
          <w:numId w:val="16"/>
        </w:numPr>
        <w:tabs>
          <w:tab w:val="left" w:pos="1273"/>
          <w:tab w:val="left" w:pos="1274"/>
        </w:tabs>
        <w:spacing w:line="276" w:lineRule="auto"/>
        <w:ind w:right="194"/>
        <w:rPr>
          <w:rFonts w:ascii="Arial" w:hAnsi="Arial" w:cs="Arial"/>
          <w:sz w:val="20"/>
          <w:szCs w:val="20"/>
        </w:rPr>
      </w:pPr>
      <w:r w:rsidRPr="004A51D5">
        <w:rPr>
          <w:rFonts w:ascii="Arial" w:hAnsi="Arial" w:cs="Arial"/>
          <w:sz w:val="20"/>
          <w:szCs w:val="20"/>
        </w:rPr>
        <w:t>be</w:t>
      </w:r>
      <w:r w:rsidRPr="004A51D5">
        <w:rPr>
          <w:rFonts w:ascii="Arial" w:hAnsi="Arial" w:cs="Arial"/>
          <w:spacing w:val="-7"/>
          <w:sz w:val="20"/>
          <w:szCs w:val="20"/>
        </w:rPr>
        <w:t xml:space="preserve"> </w:t>
      </w:r>
      <w:r w:rsidRPr="004A51D5">
        <w:rPr>
          <w:rFonts w:ascii="Arial" w:hAnsi="Arial" w:cs="Arial"/>
          <w:sz w:val="20"/>
          <w:szCs w:val="20"/>
        </w:rPr>
        <w:t>responsible</w:t>
      </w:r>
      <w:r w:rsidRPr="004A51D5">
        <w:rPr>
          <w:rFonts w:ascii="Arial" w:hAnsi="Arial" w:cs="Arial"/>
          <w:spacing w:val="-8"/>
          <w:sz w:val="20"/>
          <w:szCs w:val="20"/>
        </w:rPr>
        <w:t xml:space="preserve"> </w:t>
      </w:r>
      <w:r w:rsidRPr="004A51D5">
        <w:rPr>
          <w:rFonts w:ascii="Arial" w:hAnsi="Arial" w:cs="Arial"/>
          <w:sz w:val="20"/>
          <w:szCs w:val="20"/>
        </w:rPr>
        <w:t>for</w:t>
      </w:r>
      <w:r w:rsidRPr="004A51D5">
        <w:rPr>
          <w:rFonts w:ascii="Arial" w:hAnsi="Arial" w:cs="Arial"/>
          <w:spacing w:val="-8"/>
          <w:sz w:val="20"/>
          <w:szCs w:val="20"/>
        </w:rPr>
        <w:t xml:space="preserve"> </w:t>
      </w:r>
      <w:r w:rsidRPr="004A51D5">
        <w:rPr>
          <w:rFonts w:ascii="Arial" w:hAnsi="Arial" w:cs="Arial"/>
          <w:sz w:val="20"/>
          <w:szCs w:val="20"/>
        </w:rPr>
        <w:t>the</w:t>
      </w:r>
      <w:r w:rsidRPr="004A51D5">
        <w:rPr>
          <w:rFonts w:ascii="Arial" w:hAnsi="Arial" w:cs="Arial"/>
          <w:spacing w:val="-7"/>
          <w:sz w:val="20"/>
          <w:szCs w:val="20"/>
        </w:rPr>
        <w:t xml:space="preserve"> </w:t>
      </w:r>
      <w:r w:rsidRPr="004A51D5">
        <w:rPr>
          <w:rFonts w:ascii="Arial" w:hAnsi="Arial" w:cs="Arial"/>
          <w:sz w:val="20"/>
          <w:szCs w:val="20"/>
        </w:rPr>
        <w:t>pre-flight</w:t>
      </w:r>
      <w:r w:rsidRPr="004A51D5">
        <w:rPr>
          <w:rFonts w:ascii="Arial" w:hAnsi="Arial" w:cs="Arial"/>
          <w:spacing w:val="-6"/>
          <w:sz w:val="20"/>
          <w:szCs w:val="20"/>
        </w:rPr>
        <w:t xml:space="preserve"> </w:t>
      </w:r>
      <w:r w:rsidRPr="004A51D5">
        <w:rPr>
          <w:rFonts w:ascii="Arial" w:hAnsi="Arial" w:cs="Arial"/>
          <w:sz w:val="20"/>
          <w:szCs w:val="20"/>
        </w:rPr>
        <w:t>briefing</w:t>
      </w:r>
      <w:r w:rsidRPr="004A51D5">
        <w:rPr>
          <w:rFonts w:ascii="Arial" w:hAnsi="Arial" w:cs="Arial"/>
          <w:spacing w:val="-9"/>
          <w:sz w:val="20"/>
          <w:szCs w:val="20"/>
        </w:rPr>
        <w:t xml:space="preserve"> </w:t>
      </w:r>
      <w:r w:rsidRPr="004A51D5">
        <w:rPr>
          <w:rFonts w:ascii="Arial" w:hAnsi="Arial" w:cs="Arial"/>
          <w:sz w:val="20"/>
          <w:szCs w:val="20"/>
        </w:rPr>
        <w:t>of</w:t>
      </w:r>
      <w:r w:rsidRPr="004A51D5">
        <w:rPr>
          <w:rFonts w:ascii="Arial" w:hAnsi="Arial" w:cs="Arial"/>
          <w:spacing w:val="-8"/>
          <w:sz w:val="20"/>
          <w:szCs w:val="20"/>
        </w:rPr>
        <w:t xml:space="preserve"> </w:t>
      </w:r>
      <w:r w:rsidRPr="004A51D5">
        <w:rPr>
          <w:rFonts w:ascii="Arial" w:hAnsi="Arial" w:cs="Arial"/>
          <w:sz w:val="20"/>
          <w:szCs w:val="20"/>
        </w:rPr>
        <w:t>persons</w:t>
      </w:r>
      <w:r w:rsidRPr="004A51D5">
        <w:rPr>
          <w:rFonts w:ascii="Arial" w:hAnsi="Arial" w:cs="Arial"/>
          <w:spacing w:val="-8"/>
          <w:sz w:val="20"/>
          <w:szCs w:val="20"/>
        </w:rPr>
        <w:t xml:space="preserve"> </w:t>
      </w:r>
      <w:r w:rsidRPr="004A51D5">
        <w:rPr>
          <w:rFonts w:ascii="Arial" w:hAnsi="Arial" w:cs="Arial"/>
          <w:sz w:val="20"/>
          <w:szCs w:val="20"/>
        </w:rPr>
        <w:t>assisting</w:t>
      </w:r>
      <w:r w:rsidRPr="004A51D5">
        <w:rPr>
          <w:rFonts w:ascii="Arial" w:hAnsi="Arial" w:cs="Arial"/>
          <w:spacing w:val="-8"/>
          <w:sz w:val="20"/>
          <w:szCs w:val="20"/>
        </w:rPr>
        <w:t xml:space="preserve"> </w:t>
      </w:r>
      <w:r w:rsidRPr="004A51D5">
        <w:rPr>
          <w:rFonts w:ascii="Arial" w:hAnsi="Arial" w:cs="Arial"/>
          <w:sz w:val="20"/>
          <w:szCs w:val="20"/>
        </w:rPr>
        <w:t>in</w:t>
      </w:r>
      <w:r w:rsidRPr="004A51D5">
        <w:rPr>
          <w:rFonts w:ascii="Arial" w:hAnsi="Arial" w:cs="Arial"/>
          <w:spacing w:val="-9"/>
          <w:sz w:val="20"/>
          <w:szCs w:val="20"/>
        </w:rPr>
        <w:t xml:space="preserve"> </w:t>
      </w:r>
      <w:r w:rsidRPr="004A51D5">
        <w:rPr>
          <w:rFonts w:ascii="Arial" w:hAnsi="Arial" w:cs="Arial"/>
          <w:sz w:val="20"/>
          <w:szCs w:val="20"/>
        </w:rPr>
        <w:t>the</w:t>
      </w:r>
      <w:r w:rsidRPr="004A51D5">
        <w:rPr>
          <w:rFonts w:ascii="Arial" w:hAnsi="Arial" w:cs="Arial"/>
          <w:spacing w:val="-8"/>
          <w:sz w:val="20"/>
          <w:szCs w:val="20"/>
        </w:rPr>
        <w:t xml:space="preserve"> </w:t>
      </w:r>
      <w:r w:rsidRPr="004A51D5">
        <w:rPr>
          <w:rFonts w:ascii="Arial" w:hAnsi="Arial" w:cs="Arial"/>
          <w:sz w:val="20"/>
          <w:szCs w:val="20"/>
        </w:rPr>
        <w:t>inflation</w:t>
      </w:r>
      <w:r w:rsidRPr="004A51D5">
        <w:rPr>
          <w:rFonts w:ascii="Arial" w:hAnsi="Arial" w:cs="Arial"/>
          <w:spacing w:val="-9"/>
          <w:sz w:val="20"/>
          <w:szCs w:val="20"/>
        </w:rPr>
        <w:t xml:space="preserve"> </w:t>
      </w:r>
      <w:r w:rsidRPr="004A51D5">
        <w:rPr>
          <w:rFonts w:ascii="Arial" w:hAnsi="Arial" w:cs="Arial"/>
          <w:sz w:val="20"/>
          <w:szCs w:val="20"/>
        </w:rPr>
        <w:t>and</w:t>
      </w:r>
      <w:r w:rsidRPr="004A51D5">
        <w:rPr>
          <w:rFonts w:ascii="Arial" w:hAnsi="Arial" w:cs="Arial"/>
          <w:spacing w:val="-8"/>
          <w:sz w:val="20"/>
          <w:szCs w:val="20"/>
        </w:rPr>
        <w:t xml:space="preserve"> </w:t>
      </w:r>
      <w:r w:rsidRPr="004A51D5">
        <w:rPr>
          <w:rFonts w:ascii="Arial" w:hAnsi="Arial" w:cs="Arial"/>
          <w:sz w:val="20"/>
          <w:szCs w:val="20"/>
        </w:rPr>
        <w:t>deflation</w:t>
      </w:r>
      <w:r w:rsidRPr="004A51D5">
        <w:rPr>
          <w:rFonts w:ascii="Arial" w:hAnsi="Arial" w:cs="Arial"/>
          <w:spacing w:val="-47"/>
          <w:sz w:val="20"/>
          <w:szCs w:val="20"/>
        </w:rPr>
        <w:t xml:space="preserve"> </w:t>
      </w:r>
      <w:r w:rsidRPr="004A51D5">
        <w:rPr>
          <w:rFonts w:ascii="Arial" w:hAnsi="Arial" w:cs="Arial"/>
          <w:sz w:val="20"/>
          <w:szCs w:val="20"/>
        </w:rPr>
        <w:t>of</w:t>
      </w:r>
      <w:r w:rsidRPr="004A51D5">
        <w:rPr>
          <w:rFonts w:ascii="Arial" w:hAnsi="Arial" w:cs="Arial"/>
          <w:spacing w:val="-1"/>
          <w:sz w:val="20"/>
          <w:szCs w:val="20"/>
        </w:rPr>
        <w:t xml:space="preserve"> </w:t>
      </w:r>
      <w:r w:rsidRPr="004A51D5">
        <w:rPr>
          <w:rFonts w:ascii="Arial" w:hAnsi="Arial" w:cs="Arial"/>
          <w:sz w:val="20"/>
          <w:szCs w:val="20"/>
        </w:rPr>
        <w:t>the</w:t>
      </w:r>
      <w:r w:rsidRPr="004A51D5">
        <w:rPr>
          <w:rFonts w:ascii="Arial" w:hAnsi="Arial" w:cs="Arial"/>
          <w:spacing w:val="-2"/>
          <w:sz w:val="20"/>
          <w:szCs w:val="20"/>
        </w:rPr>
        <w:t xml:space="preserve"> </w:t>
      </w:r>
      <w:r w:rsidRPr="004A51D5">
        <w:rPr>
          <w:rFonts w:ascii="Arial" w:hAnsi="Arial" w:cs="Arial"/>
          <w:sz w:val="20"/>
          <w:szCs w:val="20"/>
        </w:rPr>
        <w:t>envelope;</w:t>
      </w:r>
    </w:p>
    <w:p w14:paraId="02758C8F" w14:textId="77777777" w:rsidR="004A51D5" w:rsidRPr="004A51D5" w:rsidRDefault="004A51D5" w:rsidP="009601C2">
      <w:pPr>
        <w:pStyle w:val="ListParagraph"/>
        <w:numPr>
          <w:ilvl w:val="1"/>
          <w:numId w:val="16"/>
        </w:numPr>
        <w:tabs>
          <w:tab w:val="left" w:pos="1273"/>
          <w:tab w:val="left" w:pos="1274"/>
        </w:tabs>
        <w:spacing w:before="121" w:line="276" w:lineRule="auto"/>
        <w:ind w:right="196"/>
        <w:rPr>
          <w:rFonts w:ascii="Arial" w:hAnsi="Arial" w:cs="Arial"/>
          <w:sz w:val="20"/>
          <w:szCs w:val="20"/>
        </w:rPr>
      </w:pPr>
      <w:r w:rsidRPr="004A51D5">
        <w:rPr>
          <w:rFonts w:ascii="Arial" w:hAnsi="Arial" w:cs="Arial"/>
          <w:sz w:val="20"/>
          <w:szCs w:val="20"/>
        </w:rPr>
        <w:t>ensure</w:t>
      </w:r>
      <w:r w:rsidRPr="004A51D5">
        <w:rPr>
          <w:rFonts w:ascii="Arial" w:hAnsi="Arial" w:cs="Arial"/>
          <w:spacing w:val="13"/>
          <w:sz w:val="20"/>
          <w:szCs w:val="20"/>
        </w:rPr>
        <w:t xml:space="preserve"> </w:t>
      </w:r>
      <w:r w:rsidRPr="004A51D5">
        <w:rPr>
          <w:rFonts w:ascii="Arial" w:hAnsi="Arial" w:cs="Arial"/>
          <w:sz w:val="20"/>
          <w:szCs w:val="20"/>
        </w:rPr>
        <w:t>that</w:t>
      </w:r>
      <w:r w:rsidRPr="004A51D5">
        <w:rPr>
          <w:rFonts w:ascii="Arial" w:hAnsi="Arial" w:cs="Arial"/>
          <w:spacing w:val="13"/>
          <w:sz w:val="20"/>
          <w:szCs w:val="20"/>
        </w:rPr>
        <w:t xml:space="preserve"> </w:t>
      </w:r>
      <w:r w:rsidRPr="004A51D5">
        <w:rPr>
          <w:rFonts w:ascii="Arial" w:hAnsi="Arial" w:cs="Arial"/>
          <w:sz w:val="20"/>
          <w:szCs w:val="20"/>
        </w:rPr>
        <w:t>persons</w:t>
      </w:r>
      <w:r w:rsidRPr="004A51D5">
        <w:rPr>
          <w:rFonts w:ascii="Arial" w:hAnsi="Arial" w:cs="Arial"/>
          <w:spacing w:val="13"/>
          <w:sz w:val="20"/>
          <w:szCs w:val="20"/>
        </w:rPr>
        <w:t xml:space="preserve"> </w:t>
      </w:r>
      <w:r w:rsidRPr="004A51D5">
        <w:rPr>
          <w:rFonts w:ascii="Arial" w:hAnsi="Arial" w:cs="Arial"/>
          <w:sz w:val="20"/>
          <w:szCs w:val="20"/>
        </w:rPr>
        <w:t>assisting</w:t>
      </w:r>
      <w:r w:rsidRPr="004A51D5">
        <w:rPr>
          <w:rFonts w:ascii="Arial" w:hAnsi="Arial" w:cs="Arial"/>
          <w:spacing w:val="12"/>
          <w:sz w:val="20"/>
          <w:szCs w:val="20"/>
        </w:rPr>
        <w:t xml:space="preserve"> </w:t>
      </w:r>
      <w:r w:rsidRPr="004A51D5">
        <w:rPr>
          <w:rFonts w:ascii="Arial" w:hAnsi="Arial" w:cs="Arial"/>
          <w:sz w:val="20"/>
          <w:szCs w:val="20"/>
        </w:rPr>
        <w:t>in</w:t>
      </w:r>
      <w:r w:rsidRPr="004A51D5">
        <w:rPr>
          <w:rFonts w:ascii="Arial" w:hAnsi="Arial" w:cs="Arial"/>
          <w:spacing w:val="12"/>
          <w:sz w:val="20"/>
          <w:szCs w:val="20"/>
        </w:rPr>
        <w:t xml:space="preserve"> </w:t>
      </w:r>
      <w:r w:rsidRPr="004A51D5">
        <w:rPr>
          <w:rFonts w:ascii="Arial" w:hAnsi="Arial" w:cs="Arial"/>
          <w:sz w:val="20"/>
          <w:szCs w:val="20"/>
        </w:rPr>
        <w:t>the</w:t>
      </w:r>
      <w:r w:rsidRPr="004A51D5">
        <w:rPr>
          <w:rFonts w:ascii="Arial" w:hAnsi="Arial" w:cs="Arial"/>
          <w:spacing w:val="13"/>
          <w:sz w:val="20"/>
          <w:szCs w:val="20"/>
        </w:rPr>
        <w:t xml:space="preserve"> </w:t>
      </w:r>
      <w:r w:rsidRPr="004A51D5">
        <w:rPr>
          <w:rFonts w:ascii="Arial" w:hAnsi="Arial" w:cs="Arial"/>
          <w:sz w:val="20"/>
          <w:szCs w:val="20"/>
        </w:rPr>
        <w:t>inflation</w:t>
      </w:r>
      <w:r w:rsidRPr="004A51D5">
        <w:rPr>
          <w:rFonts w:ascii="Arial" w:hAnsi="Arial" w:cs="Arial"/>
          <w:spacing w:val="9"/>
          <w:sz w:val="20"/>
          <w:szCs w:val="20"/>
        </w:rPr>
        <w:t xml:space="preserve"> </w:t>
      </w:r>
      <w:r w:rsidRPr="004A51D5">
        <w:rPr>
          <w:rFonts w:ascii="Arial" w:hAnsi="Arial" w:cs="Arial"/>
          <w:sz w:val="20"/>
          <w:szCs w:val="20"/>
        </w:rPr>
        <w:t>and</w:t>
      </w:r>
      <w:r w:rsidRPr="004A51D5">
        <w:rPr>
          <w:rFonts w:ascii="Arial" w:hAnsi="Arial" w:cs="Arial"/>
          <w:spacing w:val="9"/>
          <w:sz w:val="20"/>
          <w:szCs w:val="20"/>
        </w:rPr>
        <w:t xml:space="preserve"> </w:t>
      </w:r>
      <w:r w:rsidRPr="004A51D5">
        <w:rPr>
          <w:rFonts w:ascii="Arial" w:hAnsi="Arial" w:cs="Arial"/>
          <w:sz w:val="20"/>
          <w:szCs w:val="20"/>
        </w:rPr>
        <w:t>deflation</w:t>
      </w:r>
      <w:r w:rsidRPr="004A51D5">
        <w:rPr>
          <w:rFonts w:ascii="Arial" w:hAnsi="Arial" w:cs="Arial"/>
          <w:spacing w:val="9"/>
          <w:sz w:val="20"/>
          <w:szCs w:val="20"/>
        </w:rPr>
        <w:t xml:space="preserve"> </w:t>
      </w:r>
      <w:r w:rsidRPr="004A51D5">
        <w:rPr>
          <w:rFonts w:ascii="Arial" w:hAnsi="Arial" w:cs="Arial"/>
          <w:sz w:val="20"/>
          <w:szCs w:val="20"/>
        </w:rPr>
        <w:t>of</w:t>
      </w:r>
      <w:r w:rsidRPr="004A51D5">
        <w:rPr>
          <w:rFonts w:ascii="Arial" w:hAnsi="Arial" w:cs="Arial"/>
          <w:spacing w:val="10"/>
          <w:sz w:val="20"/>
          <w:szCs w:val="20"/>
        </w:rPr>
        <w:t xml:space="preserve"> </w:t>
      </w:r>
      <w:r w:rsidRPr="004A51D5">
        <w:rPr>
          <w:rFonts w:ascii="Arial" w:hAnsi="Arial" w:cs="Arial"/>
          <w:sz w:val="20"/>
          <w:szCs w:val="20"/>
        </w:rPr>
        <w:t>the</w:t>
      </w:r>
      <w:r w:rsidRPr="004A51D5">
        <w:rPr>
          <w:rFonts w:ascii="Arial" w:hAnsi="Arial" w:cs="Arial"/>
          <w:spacing w:val="10"/>
          <w:sz w:val="20"/>
          <w:szCs w:val="20"/>
        </w:rPr>
        <w:t xml:space="preserve"> </w:t>
      </w:r>
      <w:r w:rsidRPr="004A51D5">
        <w:rPr>
          <w:rFonts w:ascii="Arial" w:hAnsi="Arial" w:cs="Arial"/>
          <w:sz w:val="20"/>
          <w:szCs w:val="20"/>
        </w:rPr>
        <w:t>envelope</w:t>
      </w:r>
      <w:r w:rsidRPr="004A51D5">
        <w:rPr>
          <w:rFonts w:ascii="Arial" w:hAnsi="Arial" w:cs="Arial"/>
          <w:spacing w:val="11"/>
          <w:sz w:val="20"/>
          <w:szCs w:val="20"/>
        </w:rPr>
        <w:t xml:space="preserve"> </w:t>
      </w:r>
      <w:r w:rsidRPr="004A51D5">
        <w:rPr>
          <w:rFonts w:ascii="Arial" w:hAnsi="Arial" w:cs="Arial"/>
          <w:sz w:val="20"/>
          <w:szCs w:val="20"/>
        </w:rPr>
        <w:t>wear</w:t>
      </w:r>
      <w:r w:rsidRPr="004A51D5">
        <w:rPr>
          <w:rFonts w:ascii="Arial" w:hAnsi="Arial" w:cs="Arial"/>
          <w:spacing w:val="-47"/>
          <w:sz w:val="20"/>
          <w:szCs w:val="20"/>
        </w:rPr>
        <w:t xml:space="preserve"> </w:t>
      </w:r>
      <w:r w:rsidRPr="004A51D5">
        <w:rPr>
          <w:rFonts w:ascii="Arial" w:hAnsi="Arial" w:cs="Arial"/>
          <w:sz w:val="20"/>
          <w:szCs w:val="20"/>
        </w:rPr>
        <w:t>appropriate</w:t>
      </w:r>
      <w:r w:rsidRPr="004A51D5">
        <w:rPr>
          <w:rFonts w:ascii="Arial" w:hAnsi="Arial" w:cs="Arial"/>
          <w:spacing w:val="-1"/>
          <w:sz w:val="20"/>
          <w:szCs w:val="20"/>
        </w:rPr>
        <w:t xml:space="preserve"> </w:t>
      </w:r>
      <w:r w:rsidRPr="004A51D5">
        <w:rPr>
          <w:rFonts w:ascii="Arial" w:hAnsi="Arial" w:cs="Arial"/>
          <w:sz w:val="20"/>
          <w:szCs w:val="20"/>
        </w:rPr>
        <w:t>protective</w:t>
      </w:r>
      <w:r w:rsidRPr="004A51D5">
        <w:rPr>
          <w:rFonts w:ascii="Arial" w:hAnsi="Arial" w:cs="Arial"/>
          <w:spacing w:val="-2"/>
          <w:sz w:val="20"/>
          <w:szCs w:val="20"/>
        </w:rPr>
        <w:t xml:space="preserve"> </w:t>
      </w:r>
      <w:r w:rsidRPr="004A51D5">
        <w:rPr>
          <w:rFonts w:ascii="Arial" w:hAnsi="Arial" w:cs="Arial"/>
          <w:sz w:val="20"/>
          <w:szCs w:val="20"/>
        </w:rPr>
        <w:t>clothing;</w:t>
      </w:r>
    </w:p>
    <w:p w14:paraId="729DF627" w14:textId="77777777" w:rsidR="004A51D5" w:rsidRPr="004A51D5" w:rsidRDefault="004A51D5" w:rsidP="009601C2">
      <w:pPr>
        <w:pStyle w:val="ListParagraph"/>
        <w:numPr>
          <w:ilvl w:val="1"/>
          <w:numId w:val="16"/>
        </w:numPr>
        <w:tabs>
          <w:tab w:val="left" w:pos="1273"/>
          <w:tab w:val="left" w:pos="1274"/>
        </w:tabs>
        <w:spacing w:before="123" w:line="276" w:lineRule="auto"/>
        <w:ind w:right="195"/>
        <w:rPr>
          <w:rFonts w:ascii="Arial" w:hAnsi="Arial" w:cs="Arial"/>
          <w:sz w:val="20"/>
          <w:szCs w:val="20"/>
        </w:rPr>
      </w:pPr>
      <w:r w:rsidRPr="004A51D5">
        <w:rPr>
          <w:rFonts w:ascii="Arial" w:hAnsi="Arial" w:cs="Arial"/>
          <w:sz w:val="20"/>
          <w:szCs w:val="20"/>
        </w:rPr>
        <w:t>be satisfied that relevant emergency equipment remains easily accessible for immediate</w:t>
      </w:r>
      <w:r w:rsidRPr="004A51D5">
        <w:rPr>
          <w:rFonts w:ascii="Arial" w:hAnsi="Arial" w:cs="Arial"/>
          <w:spacing w:val="-47"/>
          <w:sz w:val="20"/>
          <w:szCs w:val="20"/>
        </w:rPr>
        <w:t xml:space="preserve"> </w:t>
      </w:r>
      <w:r w:rsidRPr="004A51D5">
        <w:rPr>
          <w:rFonts w:ascii="Arial" w:hAnsi="Arial" w:cs="Arial"/>
          <w:sz w:val="20"/>
          <w:szCs w:val="20"/>
        </w:rPr>
        <w:t>use;</w:t>
      </w:r>
    </w:p>
    <w:p w14:paraId="30F93CD1" w14:textId="77777777" w:rsidR="004A51D5" w:rsidRPr="004A51D5" w:rsidRDefault="004A51D5" w:rsidP="009601C2">
      <w:pPr>
        <w:pStyle w:val="ListParagraph"/>
        <w:numPr>
          <w:ilvl w:val="1"/>
          <w:numId w:val="16"/>
        </w:numPr>
        <w:tabs>
          <w:tab w:val="left" w:pos="1274"/>
        </w:tabs>
        <w:spacing w:before="121" w:line="276" w:lineRule="auto"/>
        <w:ind w:hanging="568"/>
        <w:jc w:val="both"/>
        <w:rPr>
          <w:rFonts w:ascii="Arial" w:hAnsi="Arial" w:cs="Arial"/>
          <w:sz w:val="20"/>
          <w:szCs w:val="20"/>
        </w:rPr>
      </w:pPr>
      <w:r w:rsidRPr="004A51D5">
        <w:rPr>
          <w:rFonts w:ascii="Arial" w:hAnsi="Arial" w:cs="Arial"/>
          <w:sz w:val="20"/>
          <w:szCs w:val="20"/>
        </w:rPr>
        <w:t>ensure</w:t>
      </w:r>
      <w:r w:rsidRPr="004A51D5">
        <w:rPr>
          <w:rFonts w:ascii="Arial" w:hAnsi="Arial" w:cs="Arial"/>
          <w:spacing w:val="-1"/>
          <w:sz w:val="20"/>
          <w:szCs w:val="20"/>
        </w:rPr>
        <w:t xml:space="preserve"> </w:t>
      </w:r>
      <w:r w:rsidRPr="004A51D5">
        <w:rPr>
          <w:rFonts w:ascii="Arial" w:hAnsi="Arial" w:cs="Arial"/>
          <w:sz w:val="20"/>
          <w:szCs w:val="20"/>
        </w:rPr>
        <w:t>that</w:t>
      </w:r>
      <w:r w:rsidRPr="004A51D5">
        <w:rPr>
          <w:rFonts w:ascii="Arial" w:hAnsi="Arial" w:cs="Arial"/>
          <w:spacing w:val="-3"/>
          <w:sz w:val="20"/>
          <w:szCs w:val="20"/>
        </w:rPr>
        <w:t xml:space="preserve"> </w:t>
      </w:r>
      <w:r w:rsidRPr="004A51D5">
        <w:rPr>
          <w:rFonts w:ascii="Arial" w:hAnsi="Arial" w:cs="Arial"/>
          <w:sz w:val="20"/>
          <w:szCs w:val="20"/>
        </w:rPr>
        <w:t>no person</w:t>
      </w:r>
      <w:r w:rsidRPr="004A51D5">
        <w:rPr>
          <w:rFonts w:ascii="Arial" w:hAnsi="Arial" w:cs="Arial"/>
          <w:spacing w:val="-2"/>
          <w:sz w:val="20"/>
          <w:szCs w:val="20"/>
        </w:rPr>
        <w:t xml:space="preserve"> </w:t>
      </w:r>
      <w:r w:rsidRPr="004A51D5">
        <w:rPr>
          <w:rFonts w:ascii="Arial" w:hAnsi="Arial" w:cs="Arial"/>
          <w:sz w:val="20"/>
          <w:szCs w:val="20"/>
        </w:rPr>
        <w:t>is smoking</w:t>
      </w:r>
      <w:r w:rsidRPr="004A51D5">
        <w:rPr>
          <w:rFonts w:ascii="Arial" w:hAnsi="Arial" w:cs="Arial"/>
          <w:spacing w:val="-1"/>
          <w:sz w:val="20"/>
          <w:szCs w:val="20"/>
        </w:rPr>
        <w:t xml:space="preserve"> </w:t>
      </w:r>
      <w:r w:rsidRPr="004A51D5">
        <w:rPr>
          <w:rFonts w:ascii="Arial" w:hAnsi="Arial" w:cs="Arial"/>
          <w:sz w:val="20"/>
          <w:szCs w:val="20"/>
        </w:rPr>
        <w:t>on</w:t>
      </w:r>
      <w:r w:rsidRPr="004A51D5">
        <w:rPr>
          <w:rFonts w:ascii="Arial" w:hAnsi="Arial" w:cs="Arial"/>
          <w:spacing w:val="-2"/>
          <w:sz w:val="20"/>
          <w:szCs w:val="20"/>
        </w:rPr>
        <w:t xml:space="preserve"> </w:t>
      </w:r>
      <w:r w:rsidRPr="004A51D5">
        <w:rPr>
          <w:rFonts w:ascii="Arial" w:hAnsi="Arial" w:cs="Arial"/>
          <w:sz w:val="20"/>
          <w:szCs w:val="20"/>
        </w:rPr>
        <w:t>board</w:t>
      </w:r>
      <w:r w:rsidRPr="004A51D5">
        <w:rPr>
          <w:rFonts w:ascii="Arial" w:hAnsi="Arial" w:cs="Arial"/>
          <w:spacing w:val="-3"/>
          <w:sz w:val="20"/>
          <w:szCs w:val="20"/>
        </w:rPr>
        <w:t xml:space="preserve"> </w:t>
      </w:r>
      <w:r w:rsidRPr="004A51D5">
        <w:rPr>
          <w:rFonts w:ascii="Arial" w:hAnsi="Arial" w:cs="Arial"/>
          <w:sz w:val="20"/>
          <w:szCs w:val="20"/>
        </w:rPr>
        <w:t>or</w:t>
      </w:r>
      <w:r w:rsidRPr="004A51D5">
        <w:rPr>
          <w:rFonts w:ascii="Arial" w:hAnsi="Arial" w:cs="Arial"/>
          <w:spacing w:val="-2"/>
          <w:sz w:val="20"/>
          <w:szCs w:val="20"/>
        </w:rPr>
        <w:t xml:space="preserve"> </w:t>
      </w:r>
      <w:r w:rsidRPr="004A51D5">
        <w:rPr>
          <w:rFonts w:ascii="Arial" w:hAnsi="Arial" w:cs="Arial"/>
          <w:sz w:val="20"/>
          <w:szCs w:val="20"/>
        </w:rPr>
        <w:t>within</w:t>
      </w:r>
      <w:r w:rsidRPr="004A51D5">
        <w:rPr>
          <w:rFonts w:ascii="Arial" w:hAnsi="Arial" w:cs="Arial"/>
          <w:spacing w:val="-4"/>
          <w:sz w:val="20"/>
          <w:szCs w:val="20"/>
        </w:rPr>
        <w:t xml:space="preserve"> </w:t>
      </w:r>
      <w:r w:rsidRPr="004A51D5">
        <w:rPr>
          <w:rFonts w:ascii="Arial" w:hAnsi="Arial" w:cs="Arial"/>
          <w:sz w:val="20"/>
          <w:szCs w:val="20"/>
        </w:rPr>
        <w:t>the</w:t>
      </w:r>
      <w:r w:rsidRPr="004A51D5">
        <w:rPr>
          <w:rFonts w:ascii="Arial" w:hAnsi="Arial" w:cs="Arial"/>
          <w:spacing w:val="-1"/>
          <w:sz w:val="20"/>
          <w:szCs w:val="20"/>
        </w:rPr>
        <w:t xml:space="preserve"> </w:t>
      </w:r>
      <w:r w:rsidRPr="004A51D5">
        <w:rPr>
          <w:rFonts w:ascii="Arial" w:hAnsi="Arial" w:cs="Arial"/>
          <w:sz w:val="20"/>
          <w:szCs w:val="20"/>
        </w:rPr>
        <w:t>direct vicinity</w:t>
      </w:r>
      <w:r w:rsidRPr="004A51D5">
        <w:rPr>
          <w:rFonts w:ascii="Arial" w:hAnsi="Arial" w:cs="Arial"/>
          <w:spacing w:val="-2"/>
          <w:sz w:val="20"/>
          <w:szCs w:val="20"/>
        </w:rPr>
        <w:t xml:space="preserve"> </w:t>
      </w:r>
      <w:r w:rsidRPr="004A51D5">
        <w:rPr>
          <w:rFonts w:ascii="Arial" w:hAnsi="Arial" w:cs="Arial"/>
          <w:sz w:val="20"/>
          <w:szCs w:val="20"/>
        </w:rPr>
        <w:t>of</w:t>
      </w:r>
      <w:r w:rsidRPr="004A51D5">
        <w:rPr>
          <w:rFonts w:ascii="Arial" w:hAnsi="Arial" w:cs="Arial"/>
          <w:spacing w:val="-3"/>
          <w:sz w:val="20"/>
          <w:szCs w:val="20"/>
        </w:rPr>
        <w:t xml:space="preserve"> </w:t>
      </w:r>
      <w:r w:rsidRPr="004A51D5">
        <w:rPr>
          <w:rFonts w:ascii="Arial" w:hAnsi="Arial" w:cs="Arial"/>
          <w:sz w:val="20"/>
          <w:szCs w:val="20"/>
        </w:rPr>
        <w:t>the balloon;</w:t>
      </w:r>
    </w:p>
    <w:p w14:paraId="649EF810" w14:textId="77777777" w:rsidR="004A51D5" w:rsidRPr="004A51D5" w:rsidRDefault="004A51D5" w:rsidP="009601C2">
      <w:pPr>
        <w:pStyle w:val="ListParagraph"/>
        <w:numPr>
          <w:ilvl w:val="1"/>
          <w:numId w:val="16"/>
        </w:numPr>
        <w:tabs>
          <w:tab w:val="left" w:pos="1274"/>
        </w:tabs>
        <w:spacing w:line="276" w:lineRule="auto"/>
        <w:ind w:right="196"/>
        <w:jc w:val="both"/>
        <w:rPr>
          <w:rFonts w:ascii="Arial" w:hAnsi="Arial" w:cs="Arial"/>
          <w:sz w:val="20"/>
          <w:szCs w:val="20"/>
        </w:rPr>
      </w:pPr>
      <w:r w:rsidRPr="004A51D5">
        <w:rPr>
          <w:rFonts w:ascii="Arial" w:hAnsi="Arial" w:cs="Arial"/>
          <w:sz w:val="20"/>
          <w:szCs w:val="20"/>
        </w:rPr>
        <w:t>not allow a person to be carried in the balloon who appears to be under the influence of</w:t>
      </w:r>
      <w:r w:rsidRPr="004A51D5">
        <w:rPr>
          <w:rFonts w:ascii="Arial" w:hAnsi="Arial" w:cs="Arial"/>
          <w:spacing w:val="-47"/>
          <w:sz w:val="20"/>
          <w:szCs w:val="20"/>
        </w:rPr>
        <w:t xml:space="preserve"> </w:t>
      </w:r>
      <w:r w:rsidRPr="004A51D5">
        <w:rPr>
          <w:rFonts w:ascii="Arial" w:hAnsi="Arial" w:cs="Arial"/>
          <w:sz w:val="20"/>
          <w:szCs w:val="20"/>
        </w:rPr>
        <w:t>psychoactive substances to the extent that the safety of the balloon or of any person or</w:t>
      </w:r>
      <w:r w:rsidRPr="004A51D5">
        <w:rPr>
          <w:rFonts w:ascii="Arial" w:hAnsi="Arial" w:cs="Arial"/>
          <w:spacing w:val="1"/>
          <w:sz w:val="20"/>
          <w:szCs w:val="20"/>
        </w:rPr>
        <w:t xml:space="preserve"> </w:t>
      </w:r>
      <w:r w:rsidRPr="004A51D5">
        <w:rPr>
          <w:rFonts w:ascii="Arial" w:hAnsi="Arial" w:cs="Arial"/>
          <w:sz w:val="20"/>
          <w:szCs w:val="20"/>
        </w:rPr>
        <w:t>property</w:t>
      </w:r>
      <w:r w:rsidRPr="004A51D5">
        <w:rPr>
          <w:rFonts w:ascii="Arial" w:hAnsi="Arial" w:cs="Arial"/>
          <w:spacing w:val="-1"/>
          <w:sz w:val="20"/>
          <w:szCs w:val="20"/>
        </w:rPr>
        <w:t xml:space="preserve"> </w:t>
      </w:r>
      <w:r w:rsidRPr="004A51D5">
        <w:rPr>
          <w:rFonts w:ascii="Arial" w:hAnsi="Arial" w:cs="Arial"/>
          <w:sz w:val="20"/>
          <w:szCs w:val="20"/>
        </w:rPr>
        <w:t>carried therein</w:t>
      </w:r>
      <w:r w:rsidRPr="004A51D5">
        <w:rPr>
          <w:rFonts w:ascii="Arial" w:hAnsi="Arial" w:cs="Arial"/>
          <w:spacing w:val="-1"/>
          <w:sz w:val="20"/>
          <w:szCs w:val="20"/>
        </w:rPr>
        <w:t xml:space="preserve"> </w:t>
      </w:r>
      <w:r w:rsidRPr="004A51D5">
        <w:rPr>
          <w:rFonts w:ascii="Arial" w:hAnsi="Arial" w:cs="Arial"/>
          <w:sz w:val="20"/>
          <w:szCs w:val="20"/>
        </w:rPr>
        <w:t>is likely</w:t>
      </w:r>
      <w:r w:rsidRPr="004A51D5">
        <w:rPr>
          <w:rFonts w:ascii="Arial" w:hAnsi="Arial" w:cs="Arial"/>
          <w:spacing w:val="-2"/>
          <w:sz w:val="20"/>
          <w:szCs w:val="20"/>
        </w:rPr>
        <w:t xml:space="preserve"> </w:t>
      </w:r>
      <w:r w:rsidRPr="004A51D5">
        <w:rPr>
          <w:rFonts w:ascii="Arial" w:hAnsi="Arial" w:cs="Arial"/>
          <w:sz w:val="20"/>
          <w:szCs w:val="20"/>
        </w:rPr>
        <w:t>to</w:t>
      </w:r>
      <w:r w:rsidRPr="004A51D5">
        <w:rPr>
          <w:rFonts w:ascii="Arial" w:hAnsi="Arial" w:cs="Arial"/>
          <w:spacing w:val="-1"/>
          <w:sz w:val="20"/>
          <w:szCs w:val="20"/>
        </w:rPr>
        <w:t xml:space="preserve"> </w:t>
      </w:r>
      <w:r w:rsidRPr="004A51D5">
        <w:rPr>
          <w:rFonts w:ascii="Arial" w:hAnsi="Arial" w:cs="Arial"/>
          <w:sz w:val="20"/>
          <w:szCs w:val="20"/>
        </w:rPr>
        <w:t>be</w:t>
      </w:r>
      <w:r w:rsidRPr="004A51D5">
        <w:rPr>
          <w:rFonts w:ascii="Arial" w:hAnsi="Arial" w:cs="Arial"/>
          <w:spacing w:val="-2"/>
          <w:sz w:val="20"/>
          <w:szCs w:val="20"/>
        </w:rPr>
        <w:t xml:space="preserve"> </w:t>
      </w:r>
      <w:r w:rsidRPr="004A51D5">
        <w:rPr>
          <w:rFonts w:ascii="Arial" w:hAnsi="Arial" w:cs="Arial"/>
          <w:sz w:val="20"/>
          <w:szCs w:val="20"/>
        </w:rPr>
        <w:t>endangered;</w:t>
      </w:r>
    </w:p>
    <w:p w14:paraId="419F6B5C" w14:textId="77777777" w:rsidR="004A51D5" w:rsidRPr="004A51D5" w:rsidRDefault="004A51D5" w:rsidP="009601C2">
      <w:pPr>
        <w:pStyle w:val="ListParagraph"/>
        <w:numPr>
          <w:ilvl w:val="1"/>
          <w:numId w:val="16"/>
        </w:numPr>
        <w:tabs>
          <w:tab w:val="left" w:pos="1274"/>
        </w:tabs>
        <w:spacing w:before="121" w:line="276" w:lineRule="auto"/>
        <w:ind w:right="200"/>
        <w:jc w:val="both"/>
        <w:rPr>
          <w:rFonts w:ascii="Arial" w:hAnsi="Arial" w:cs="Arial"/>
          <w:sz w:val="20"/>
          <w:szCs w:val="20"/>
        </w:rPr>
      </w:pPr>
      <w:r w:rsidRPr="004A51D5">
        <w:rPr>
          <w:rFonts w:ascii="Arial" w:hAnsi="Arial" w:cs="Arial"/>
          <w:sz w:val="20"/>
          <w:szCs w:val="20"/>
        </w:rPr>
        <w:lastRenderedPageBreak/>
        <w:t>remain during flight in control of the balloon at all times except if another pilot is taking</w:t>
      </w:r>
      <w:r w:rsidRPr="004A51D5">
        <w:rPr>
          <w:rFonts w:ascii="Arial" w:hAnsi="Arial" w:cs="Arial"/>
          <w:spacing w:val="1"/>
          <w:sz w:val="20"/>
          <w:szCs w:val="20"/>
        </w:rPr>
        <w:t xml:space="preserve"> </w:t>
      </w:r>
      <w:r w:rsidRPr="004A51D5">
        <w:rPr>
          <w:rFonts w:ascii="Arial" w:hAnsi="Arial" w:cs="Arial"/>
          <w:sz w:val="20"/>
          <w:szCs w:val="20"/>
        </w:rPr>
        <w:t>the controls;</w:t>
      </w:r>
    </w:p>
    <w:p w14:paraId="1BE67154" w14:textId="77777777" w:rsidR="004A51D5" w:rsidRPr="004A51D5" w:rsidRDefault="004A51D5" w:rsidP="009601C2">
      <w:pPr>
        <w:pStyle w:val="ListParagraph"/>
        <w:numPr>
          <w:ilvl w:val="1"/>
          <w:numId w:val="16"/>
        </w:numPr>
        <w:tabs>
          <w:tab w:val="left" w:pos="1274"/>
        </w:tabs>
        <w:spacing w:before="121" w:line="276" w:lineRule="auto"/>
        <w:ind w:right="196"/>
        <w:jc w:val="both"/>
        <w:rPr>
          <w:rFonts w:ascii="Arial" w:hAnsi="Arial" w:cs="Arial"/>
          <w:sz w:val="20"/>
          <w:szCs w:val="20"/>
        </w:rPr>
      </w:pPr>
      <w:r w:rsidRPr="004A51D5">
        <w:rPr>
          <w:rFonts w:ascii="Arial" w:hAnsi="Arial" w:cs="Arial"/>
          <w:sz w:val="20"/>
          <w:szCs w:val="20"/>
        </w:rPr>
        <w:t>take any action in an emergency situation that requires immediate decision and action</w:t>
      </w:r>
      <w:r w:rsidRPr="004A51D5">
        <w:rPr>
          <w:rFonts w:ascii="Arial" w:hAnsi="Arial" w:cs="Arial"/>
          <w:spacing w:val="1"/>
          <w:sz w:val="20"/>
          <w:szCs w:val="20"/>
        </w:rPr>
        <w:t xml:space="preserve"> </w:t>
      </w:r>
      <w:r w:rsidRPr="004A51D5">
        <w:rPr>
          <w:rFonts w:ascii="Arial" w:hAnsi="Arial" w:cs="Arial"/>
          <w:sz w:val="20"/>
          <w:szCs w:val="20"/>
        </w:rPr>
        <w:t>which he or she considers necessary under the circumstances. In such cases he or she</w:t>
      </w:r>
      <w:r w:rsidRPr="004A51D5">
        <w:rPr>
          <w:rFonts w:ascii="Arial" w:hAnsi="Arial" w:cs="Arial"/>
          <w:spacing w:val="1"/>
          <w:sz w:val="20"/>
          <w:szCs w:val="20"/>
        </w:rPr>
        <w:t xml:space="preserve"> </w:t>
      </w:r>
      <w:r w:rsidRPr="004A51D5">
        <w:rPr>
          <w:rFonts w:ascii="Arial" w:hAnsi="Arial" w:cs="Arial"/>
          <w:sz w:val="20"/>
          <w:szCs w:val="20"/>
        </w:rPr>
        <w:t>may deviate from rules, operational procedures and methods to the extent necessary in</w:t>
      </w:r>
      <w:r w:rsidRPr="004A51D5">
        <w:rPr>
          <w:rFonts w:ascii="Arial" w:hAnsi="Arial" w:cs="Arial"/>
          <w:spacing w:val="-47"/>
          <w:sz w:val="20"/>
          <w:szCs w:val="20"/>
        </w:rPr>
        <w:t xml:space="preserve"> </w:t>
      </w:r>
      <w:r w:rsidRPr="004A51D5">
        <w:rPr>
          <w:rFonts w:ascii="Arial" w:hAnsi="Arial" w:cs="Arial"/>
          <w:sz w:val="20"/>
          <w:szCs w:val="20"/>
        </w:rPr>
        <w:t>the</w:t>
      </w:r>
      <w:r w:rsidRPr="004A51D5">
        <w:rPr>
          <w:rFonts w:ascii="Arial" w:hAnsi="Arial" w:cs="Arial"/>
          <w:spacing w:val="-1"/>
          <w:sz w:val="20"/>
          <w:szCs w:val="20"/>
        </w:rPr>
        <w:t xml:space="preserve"> </w:t>
      </w:r>
      <w:r w:rsidRPr="004A51D5">
        <w:rPr>
          <w:rFonts w:ascii="Arial" w:hAnsi="Arial" w:cs="Arial"/>
          <w:sz w:val="20"/>
          <w:szCs w:val="20"/>
        </w:rPr>
        <w:t>interest</w:t>
      </w:r>
      <w:r w:rsidRPr="004A51D5">
        <w:rPr>
          <w:rFonts w:ascii="Arial" w:hAnsi="Arial" w:cs="Arial"/>
          <w:spacing w:val="-2"/>
          <w:sz w:val="20"/>
          <w:szCs w:val="20"/>
        </w:rPr>
        <w:t xml:space="preserve"> </w:t>
      </w:r>
      <w:r w:rsidRPr="004A51D5">
        <w:rPr>
          <w:rFonts w:ascii="Arial" w:hAnsi="Arial" w:cs="Arial"/>
          <w:sz w:val="20"/>
          <w:szCs w:val="20"/>
        </w:rPr>
        <w:t>of</w:t>
      </w:r>
      <w:r w:rsidRPr="004A51D5">
        <w:rPr>
          <w:rFonts w:ascii="Arial" w:hAnsi="Arial" w:cs="Arial"/>
          <w:spacing w:val="-3"/>
          <w:sz w:val="20"/>
          <w:szCs w:val="20"/>
        </w:rPr>
        <w:t xml:space="preserve"> </w:t>
      </w:r>
      <w:r w:rsidRPr="004A51D5">
        <w:rPr>
          <w:rFonts w:ascii="Arial" w:hAnsi="Arial" w:cs="Arial"/>
          <w:sz w:val="20"/>
          <w:szCs w:val="20"/>
        </w:rPr>
        <w:t>safety;</w:t>
      </w:r>
    </w:p>
    <w:p w14:paraId="7296733D" w14:textId="77777777" w:rsidR="004A51D5" w:rsidRPr="004A51D5" w:rsidRDefault="004A51D5" w:rsidP="009601C2">
      <w:pPr>
        <w:pStyle w:val="ListParagraph"/>
        <w:numPr>
          <w:ilvl w:val="1"/>
          <w:numId w:val="16"/>
        </w:numPr>
        <w:tabs>
          <w:tab w:val="left" w:pos="1274"/>
        </w:tabs>
        <w:spacing w:before="119" w:line="276" w:lineRule="auto"/>
        <w:ind w:right="196"/>
        <w:jc w:val="both"/>
        <w:rPr>
          <w:rFonts w:ascii="Arial" w:hAnsi="Arial" w:cs="Arial"/>
          <w:sz w:val="20"/>
          <w:szCs w:val="20"/>
        </w:rPr>
      </w:pPr>
      <w:r w:rsidRPr="004A51D5">
        <w:rPr>
          <w:rFonts w:ascii="Arial" w:hAnsi="Arial" w:cs="Arial"/>
          <w:sz w:val="20"/>
          <w:szCs w:val="20"/>
        </w:rPr>
        <w:t>not continue a flight beyond the nearest weather-permissible operating site when his or</w:t>
      </w:r>
      <w:r w:rsidRPr="004A51D5">
        <w:rPr>
          <w:rFonts w:ascii="Arial" w:hAnsi="Arial" w:cs="Arial"/>
          <w:spacing w:val="-47"/>
          <w:sz w:val="20"/>
          <w:szCs w:val="20"/>
        </w:rPr>
        <w:t xml:space="preserve"> </w:t>
      </w:r>
      <w:r w:rsidRPr="004A51D5">
        <w:rPr>
          <w:rFonts w:ascii="Arial" w:hAnsi="Arial" w:cs="Arial"/>
          <w:sz w:val="20"/>
          <w:szCs w:val="20"/>
        </w:rPr>
        <w:t>her capacity to perform his or her duties is significantly reduced because of sickness,</w:t>
      </w:r>
      <w:r w:rsidRPr="004A51D5">
        <w:rPr>
          <w:rFonts w:ascii="Arial" w:hAnsi="Arial" w:cs="Arial"/>
          <w:spacing w:val="1"/>
          <w:sz w:val="20"/>
          <w:szCs w:val="20"/>
        </w:rPr>
        <w:t xml:space="preserve"> </w:t>
      </w:r>
      <w:r w:rsidRPr="004A51D5">
        <w:rPr>
          <w:rFonts w:ascii="Arial" w:hAnsi="Arial" w:cs="Arial"/>
          <w:sz w:val="20"/>
          <w:szCs w:val="20"/>
        </w:rPr>
        <w:t>fatigue, lack</w:t>
      </w:r>
      <w:r w:rsidRPr="004A51D5">
        <w:rPr>
          <w:rFonts w:ascii="Arial" w:hAnsi="Arial" w:cs="Arial"/>
          <w:spacing w:val="-3"/>
          <w:sz w:val="20"/>
          <w:szCs w:val="20"/>
        </w:rPr>
        <w:t xml:space="preserve"> </w:t>
      </w:r>
      <w:r w:rsidRPr="004A51D5">
        <w:rPr>
          <w:rFonts w:ascii="Arial" w:hAnsi="Arial" w:cs="Arial"/>
          <w:sz w:val="20"/>
          <w:szCs w:val="20"/>
        </w:rPr>
        <w:t>of</w:t>
      </w:r>
      <w:r w:rsidRPr="004A51D5">
        <w:rPr>
          <w:rFonts w:ascii="Arial" w:hAnsi="Arial" w:cs="Arial"/>
          <w:spacing w:val="-3"/>
          <w:sz w:val="20"/>
          <w:szCs w:val="20"/>
        </w:rPr>
        <w:t xml:space="preserve"> </w:t>
      </w:r>
      <w:r w:rsidRPr="004A51D5">
        <w:rPr>
          <w:rFonts w:ascii="Arial" w:hAnsi="Arial" w:cs="Arial"/>
          <w:sz w:val="20"/>
          <w:szCs w:val="20"/>
        </w:rPr>
        <w:t>oxygen</w:t>
      </w:r>
      <w:r w:rsidRPr="004A51D5">
        <w:rPr>
          <w:rFonts w:ascii="Arial" w:hAnsi="Arial" w:cs="Arial"/>
          <w:spacing w:val="-2"/>
          <w:sz w:val="20"/>
          <w:szCs w:val="20"/>
        </w:rPr>
        <w:t xml:space="preserve"> </w:t>
      </w:r>
      <w:r w:rsidRPr="004A51D5">
        <w:rPr>
          <w:rFonts w:ascii="Arial" w:hAnsi="Arial" w:cs="Arial"/>
          <w:sz w:val="20"/>
          <w:szCs w:val="20"/>
        </w:rPr>
        <w:t>or</w:t>
      </w:r>
      <w:r w:rsidRPr="004A51D5">
        <w:rPr>
          <w:rFonts w:ascii="Arial" w:hAnsi="Arial" w:cs="Arial"/>
          <w:spacing w:val="-2"/>
          <w:sz w:val="20"/>
          <w:szCs w:val="20"/>
        </w:rPr>
        <w:t xml:space="preserve"> </w:t>
      </w:r>
      <w:r w:rsidRPr="004A51D5">
        <w:rPr>
          <w:rFonts w:ascii="Arial" w:hAnsi="Arial" w:cs="Arial"/>
          <w:sz w:val="20"/>
          <w:szCs w:val="20"/>
        </w:rPr>
        <w:t>any other cause;</w:t>
      </w:r>
    </w:p>
    <w:p w14:paraId="10CFCF31" w14:textId="77777777" w:rsidR="004A51D5" w:rsidRPr="004A51D5" w:rsidRDefault="004A51D5" w:rsidP="009601C2">
      <w:pPr>
        <w:pStyle w:val="ListParagraph"/>
        <w:numPr>
          <w:ilvl w:val="1"/>
          <w:numId w:val="16"/>
        </w:numPr>
        <w:tabs>
          <w:tab w:val="left" w:pos="1274"/>
        </w:tabs>
        <w:spacing w:line="276" w:lineRule="auto"/>
        <w:ind w:right="195"/>
        <w:jc w:val="both"/>
        <w:rPr>
          <w:rFonts w:ascii="Arial" w:hAnsi="Arial" w:cs="Arial"/>
          <w:sz w:val="20"/>
          <w:szCs w:val="20"/>
        </w:rPr>
      </w:pPr>
      <w:r w:rsidRPr="004A51D5">
        <w:rPr>
          <w:rFonts w:ascii="Arial" w:hAnsi="Arial" w:cs="Arial"/>
          <w:sz w:val="20"/>
          <w:szCs w:val="20"/>
        </w:rPr>
        <w:t>record</w:t>
      </w:r>
      <w:r w:rsidRPr="004A51D5">
        <w:rPr>
          <w:rFonts w:ascii="Arial" w:hAnsi="Arial" w:cs="Arial"/>
          <w:spacing w:val="1"/>
          <w:sz w:val="20"/>
          <w:szCs w:val="20"/>
        </w:rPr>
        <w:t xml:space="preserve"> </w:t>
      </w:r>
      <w:r w:rsidRPr="004A51D5">
        <w:rPr>
          <w:rFonts w:ascii="Arial" w:hAnsi="Arial" w:cs="Arial"/>
          <w:sz w:val="20"/>
          <w:szCs w:val="20"/>
        </w:rPr>
        <w:t>utilisation</w:t>
      </w:r>
      <w:r w:rsidRPr="004A51D5">
        <w:rPr>
          <w:rFonts w:ascii="Arial" w:hAnsi="Arial" w:cs="Arial"/>
          <w:spacing w:val="1"/>
          <w:sz w:val="20"/>
          <w:szCs w:val="20"/>
        </w:rPr>
        <w:t xml:space="preserve"> </w:t>
      </w:r>
      <w:r w:rsidRPr="004A51D5">
        <w:rPr>
          <w:rFonts w:ascii="Arial" w:hAnsi="Arial" w:cs="Arial"/>
          <w:sz w:val="20"/>
          <w:szCs w:val="20"/>
        </w:rPr>
        <w:t>data</w:t>
      </w:r>
      <w:r w:rsidRPr="004A51D5">
        <w:rPr>
          <w:rFonts w:ascii="Arial" w:hAnsi="Arial" w:cs="Arial"/>
          <w:spacing w:val="1"/>
          <w:sz w:val="20"/>
          <w:szCs w:val="20"/>
        </w:rPr>
        <w:t xml:space="preserve"> </w:t>
      </w:r>
      <w:r w:rsidRPr="004A51D5">
        <w:rPr>
          <w:rFonts w:ascii="Arial" w:hAnsi="Arial" w:cs="Arial"/>
          <w:sz w:val="20"/>
          <w:szCs w:val="20"/>
        </w:rPr>
        <w:t>and</w:t>
      </w:r>
      <w:r w:rsidRPr="004A51D5">
        <w:rPr>
          <w:rFonts w:ascii="Arial" w:hAnsi="Arial" w:cs="Arial"/>
          <w:spacing w:val="1"/>
          <w:sz w:val="20"/>
          <w:szCs w:val="20"/>
        </w:rPr>
        <w:t xml:space="preserve"> </w:t>
      </w:r>
      <w:r w:rsidRPr="004A51D5">
        <w:rPr>
          <w:rFonts w:ascii="Arial" w:hAnsi="Arial" w:cs="Arial"/>
          <w:sz w:val="20"/>
          <w:szCs w:val="20"/>
        </w:rPr>
        <w:t>all</w:t>
      </w:r>
      <w:r w:rsidRPr="004A51D5">
        <w:rPr>
          <w:rFonts w:ascii="Arial" w:hAnsi="Arial" w:cs="Arial"/>
          <w:spacing w:val="1"/>
          <w:sz w:val="20"/>
          <w:szCs w:val="20"/>
        </w:rPr>
        <w:t xml:space="preserve"> </w:t>
      </w:r>
      <w:r w:rsidRPr="004A51D5">
        <w:rPr>
          <w:rFonts w:ascii="Arial" w:hAnsi="Arial" w:cs="Arial"/>
          <w:sz w:val="20"/>
          <w:szCs w:val="20"/>
        </w:rPr>
        <w:t>known</w:t>
      </w:r>
      <w:r w:rsidRPr="004A51D5">
        <w:rPr>
          <w:rFonts w:ascii="Arial" w:hAnsi="Arial" w:cs="Arial"/>
          <w:spacing w:val="1"/>
          <w:sz w:val="20"/>
          <w:szCs w:val="20"/>
        </w:rPr>
        <w:t xml:space="preserve"> </w:t>
      </w:r>
      <w:r w:rsidRPr="004A51D5">
        <w:rPr>
          <w:rFonts w:ascii="Arial" w:hAnsi="Arial" w:cs="Arial"/>
          <w:sz w:val="20"/>
          <w:szCs w:val="20"/>
        </w:rPr>
        <w:t>or</w:t>
      </w:r>
      <w:r w:rsidRPr="004A51D5">
        <w:rPr>
          <w:rFonts w:ascii="Arial" w:hAnsi="Arial" w:cs="Arial"/>
          <w:spacing w:val="1"/>
          <w:sz w:val="20"/>
          <w:szCs w:val="20"/>
        </w:rPr>
        <w:t xml:space="preserve"> </w:t>
      </w:r>
      <w:r w:rsidRPr="004A51D5">
        <w:rPr>
          <w:rFonts w:ascii="Arial" w:hAnsi="Arial" w:cs="Arial"/>
          <w:sz w:val="20"/>
          <w:szCs w:val="20"/>
        </w:rPr>
        <w:t>suspected</w:t>
      </w:r>
      <w:r w:rsidRPr="004A51D5">
        <w:rPr>
          <w:rFonts w:ascii="Arial" w:hAnsi="Arial" w:cs="Arial"/>
          <w:spacing w:val="1"/>
          <w:sz w:val="20"/>
          <w:szCs w:val="20"/>
        </w:rPr>
        <w:t xml:space="preserve"> </w:t>
      </w:r>
      <w:r w:rsidRPr="004A51D5">
        <w:rPr>
          <w:rFonts w:ascii="Arial" w:hAnsi="Arial" w:cs="Arial"/>
          <w:sz w:val="20"/>
          <w:szCs w:val="20"/>
        </w:rPr>
        <w:t>defects</w:t>
      </w:r>
      <w:r w:rsidRPr="004A51D5">
        <w:rPr>
          <w:rFonts w:ascii="Arial" w:hAnsi="Arial" w:cs="Arial"/>
          <w:spacing w:val="1"/>
          <w:sz w:val="20"/>
          <w:szCs w:val="20"/>
        </w:rPr>
        <w:t xml:space="preserve"> </w:t>
      </w:r>
      <w:r w:rsidRPr="004A51D5">
        <w:rPr>
          <w:rFonts w:ascii="Arial" w:hAnsi="Arial" w:cs="Arial"/>
          <w:sz w:val="20"/>
          <w:szCs w:val="20"/>
        </w:rPr>
        <w:t>in</w:t>
      </w:r>
      <w:r w:rsidRPr="004A51D5">
        <w:rPr>
          <w:rFonts w:ascii="Arial" w:hAnsi="Arial" w:cs="Arial"/>
          <w:spacing w:val="1"/>
          <w:sz w:val="20"/>
          <w:szCs w:val="20"/>
        </w:rPr>
        <w:t xml:space="preserve"> </w:t>
      </w:r>
      <w:r w:rsidRPr="004A51D5">
        <w:rPr>
          <w:rFonts w:ascii="Arial" w:hAnsi="Arial" w:cs="Arial"/>
          <w:sz w:val="20"/>
          <w:szCs w:val="20"/>
        </w:rPr>
        <w:t>the</w:t>
      </w:r>
      <w:r w:rsidRPr="004A51D5">
        <w:rPr>
          <w:rFonts w:ascii="Arial" w:hAnsi="Arial" w:cs="Arial"/>
          <w:spacing w:val="1"/>
          <w:sz w:val="20"/>
          <w:szCs w:val="20"/>
        </w:rPr>
        <w:t xml:space="preserve"> </w:t>
      </w:r>
      <w:r w:rsidRPr="004A51D5">
        <w:rPr>
          <w:rFonts w:ascii="Arial" w:hAnsi="Arial" w:cs="Arial"/>
          <w:sz w:val="20"/>
          <w:szCs w:val="20"/>
        </w:rPr>
        <w:t>balloon</w:t>
      </w:r>
      <w:r w:rsidRPr="004A51D5">
        <w:rPr>
          <w:rFonts w:ascii="Arial" w:hAnsi="Arial" w:cs="Arial"/>
          <w:spacing w:val="1"/>
          <w:sz w:val="20"/>
          <w:szCs w:val="20"/>
        </w:rPr>
        <w:t xml:space="preserve"> </w:t>
      </w:r>
      <w:r w:rsidRPr="004A51D5">
        <w:rPr>
          <w:rFonts w:ascii="Arial" w:hAnsi="Arial" w:cs="Arial"/>
          <w:sz w:val="20"/>
          <w:szCs w:val="20"/>
        </w:rPr>
        <w:t>at</w:t>
      </w:r>
      <w:r w:rsidRPr="004A51D5">
        <w:rPr>
          <w:rFonts w:ascii="Arial" w:hAnsi="Arial" w:cs="Arial"/>
          <w:spacing w:val="1"/>
          <w:sz w:val="20"/>
          <w:szCs w:val="20"/>
        </w:rPr>
        <w:t xml:space="preserve"> </w:t>
      </w:r>
      <w:r w:rsidRPr="004A51D5">
        <w:rPr>
          <w:rFonts w:ascii="Arial" w:hAnsi="Arial" w:cs="Arial"/>
          <w:sz w:val="20"/>
          <w:szCs w:val="20"/>
        </w:rPr>
        <w:t>the</w:t>
      </w:r>
      <w:r w:rsidRPr="004A51D5">
        <w:rPr>
          <w:rFonts w:ascii="Arial" w:hAnsi="Arial" w:cs="Arial"/>
          <w:spacing w:val="1"/>
          <w:sz w:val="20"/>
          <w:szCs w:val="20"/>
        </w:rPr>
        <w:t xml:space="preserve"> </w:t>
      </w:r>
      <w:r w:rsidRPr="004A51D5">
        <w:rPr>
          <w:rFonts w:ascii="Arial" w:hAnsi="Arial" w:cs="Arial"/>
          <w:sz w:val="20"/>
          <w:szCs w:val="20"/>
        </w:rPr>
        <w:t>termination</w:t>
      </w:r>
      <w:r w:rsidRPr="004A51D5">
        <w:rPr>
          <w:rFonts w:ascii="Arial" w:hAnsi="Arial" w:cs="Arial"/>
          <w:spacing w:val="-4"/>
          <w:sz w:val="20"/>
          <w:szCs w:val="20"/>
        </w:rPr>
        <w:t xml:space="preserve"> </w:t>
      </w:r>
      <w:r w:rsidRPr="004A51D5">
        <w:rPr>
          <w:rFonts w:ascii="Arial" w:hAnsi="Arial" w:cs="Arial"/>
          <w:sz w:val="20"/>
          <w:szCs w:val="20"/>
        </w:rPr>
        <w:t>of</w:t>
      </w:r>
      <w:r w:rsidRPr="004A51D5">
        <w:rPr>
          <w:rFonts w:ascii="Arial" w:hAnsi="Arial" w:cs="Arial"/>
          <w:spacing w:val="-2"/>
          <w:sz w:val="20"/>
          <w:szCs w:val="20"/>
        </w:rPr>
        <w:t xml:space="preserve"> </w:t>
      </w:r>
      <w:r w:rsidRPr="004A51D5">
        <w:rPr>
          <w:rFonts w:ascii="Arial" w:hAnsi="Arial" w:cs="Arial"/>
          <w:sz w:val="20"/>
          <w:szCs w:val="20"/>
        </w:rPr>
        <w:t>the flight,</w:t>
      </w:r>
      <w:r w:rsidRPr="004A51D5">
        <w:rPr>
          <w:rFonts w:ascii="Arial" w:hAnsi="Arial" w:cs="Arial"/>
          <w:spacing w:val="-2"/>
          <w:sz w:val="20"/>
          <w:szCs w:val="20"/>
        </w:rPr>
        <w:t xml:space="preserve"> </w:t>
      </w:r>
      <w:r w:rsidRPr="004A51D5">
        <w:rPr>
          <w:rFonts w:ascii="Arial" w:hAnsi="Arial" w:cs="Arial"/>
          <w:sz w:val="20"/>
          <w:szCs w:val="20"/>
        </w:rPr>
        <w:t>or</w:t>
      </w:r>
      <w:r w:rsidRPr="004A51D5">
        <w:rPr>
          <w:rFonts w:ascii="Arial" w:hAnsi="Arial" w:cs="Arial"/>
          <w:spacing w:val="-3"/>
          <w:sz w:val="20"/>
          <w:szCs w:val="20"/>
        </w:rPr>
        <w:t xml:space="preserve"> </w:t>
      </w:r>
      <w:r w:rsidRPr="004A51D5">
        <w:rPr>
          <w:rFonts w:ascii="Arial" w:hAnsi="Arial" w:cs="Arial"/>
          <w:sz w:val="20"/>
          <w:szCs w:val="20"/>
        </w:rPr>
        <w:t>series</w:t>
      </w:r>
      <w:r w:rsidRPr="004A51D5">
        <w:rPr>
          <w:rFonts w:ascii="Arial" w:hAnsi="Arial" w:cs="Arial"/>
          <w:spacing w:val="-3"/>
          <w:sz w:val="20"/>
          <w:szCs w:val="20"/>
        </w:rPr>
        <w:t xml:space="preserve"> </w:t>
      </w:r>
      <w:r w:rsidRPr="004A51D5">
        <w:rPr>
          <w:rFonts w:ascii="Arial" w:hAnsi="Arial" w:cs="Arial"/>
          <w:sz w:val="20"/>
          <w:szCs w:val="20"/>
        </w:rPr>
        <w:t>of</w:t>
      </w:r>
      <w:r w:rsidRPr="004A51D5">
        <w:rPr>
          <w:rFonts w:ascii="Arial" w:hAnsi="Arial" w:cs="Arial"/>
          <w:spacing w:val="-3"/>
          <w:sz w:val="20"/>
          <w:szCs w:val="20"/>
        </w:rPr>
        <w:t xml:space="preserve"> </w:t>
      </w:r>
      <w:r w:rsidRPr="004A51D5">
        <w:rPr>
          <w:rFonts w:ascii="Arial" w:hAnsi="Arial" w:cs="Arial"/>
          <w:sz w:val="20"/>
          <w:szCs w:val="20"/>
        </w:rPr>
        <w:t>flights, in</w:t>
      </w:r>
      <w:r w:rsidRPr="004A51D5">
        <w:rPr>
          <w:rFonts w:ascii="Arial" w:hAnsi="Arial" w:cs="Arial"/>
          <w:spacing w:val="-1"/>
          <w:sz w:val="20"/>
          <w:szCs w:val="20"/>
        </w:rPr>
        <w:t xml:space="preserve"> </w:t>
      </w:r>
      <w:r w:rsidRPr="004A51D5">
        <w:rPr>
          <w:rFonts w:ascii="Arial" w:hAnsi="Arial" w:cs="Arial"/>
          <w:sz w:val="20"/>
          <w:szCs w:val="20"/>
        </w:rPr>
        <w:t>the</w:t>
      </w:r>
      <w:r w:rsidRPr="004A51D5">
        <w:rPr>
          <w:rFonts w:ascii="Arial" w:hAnsi="Arial" w:cs="Arial"/>
          <w:spacing w:val="1"/>
          <w:sz w:val="20"/>
          <w:szCs w:val="20"/>
        </w:rPr>
        <w:t xml:space="preserve"> </w:t>
      </w:r>
      <w:r w:rsidRPr="004A51D5">
        <w:rPr>
          <w:rFonts w:ascii="Arial" w:hAnsi="Arial" w:cs="Arial"/>
          <w:sz w:val="20"/>
          <w:szCs w:val="20"/>
        </w:rPr>
        <w:t>balloon</w:t>
      </w:r>
      <w:r w:rsidRPr="004A51D5">
        <w:rPr>
          <w:rFonts w:ascii="Arial" w:hAnsi="Arial" w:cs="Arial"/>
          <w:spacing w:val="-1"/>
          <w:sz w:val="20"/>
          <w:szCs w:val="20"/>
        </w:rPr>
        <w:t xml:space="preserve"> </w:t>
      </w:r>
      <w:r w:rsidRPr="004A51D5">
        <w:rPr>
          <w:rFonts w:ascii="Arial" w:hAnsi="Arial" w:cs="Arial"/>
          <w:sz w:val="20"/>
          <w:szCs w:val="20"/>
        </w:rPr>
        <w:t>logbook;</w:t>
      </w:r>
    </w:p>
    <w:p w14:paraId="0F4C5129" w14:textId="77777777" w:rsidR="004A51D5" w:rsidRPr="004A51D5" w:rsidRDefault="004A51D5" w:rsidP="009601C2">
      <w:pPr>
        <w:pStyle w:val="ListParagraph"/>
        <w:numPr>
          <w:ilvl w:val="1"/>
          <w:numId w:val="16"/>
        </w:numPr>
        <w:tabs>
          <w:tab w:val="left" w:pos="1274"/>
        </w:tabs>
        <w:spacing w:before="121" w:line="276" w:lineRule="auto"/>
        <w:ind w:right="197"/>
        <w:jc w:val="both"/>
        <w:rPr>
          <w:rFonts w:ascii="Arial" w:hAnsi="Arial" w:cs="Arial"/>
          <w:sz w:val="20"/>
          <w:szCs w:val="20"/>
        </w:rPr>
      </w:pPr>
      <w:r w:rsidRPr="004A51D5">
        <w:rPr>
          <w:rFonts w:ascii="Arial" w:hAnsi="Arial" w:cs="Arial"/>
          <w:sz w:val="20"/>
          <w:szCs w:val="20"/>
        </w:rPr>
        <w:t>notify</w:t>
      </w:r>
      <w:r w:rsidRPr="004A51D5">
        <w:rPr>
          <w:rFonts w:ascii="Arial" w:hAnsi="Arial" w:cs="Arial"/>
          <w:spacing w:val="1"/>
          <w:sz w:val="20"/>
          <w:szCs w:val="20"/>
        </w:rPr>
        <w:t xml:space="preserve"> </w:t>
      </w:r>
      <w:r w:rsidRPr="004A51D5">
        <w:rPr>
          <w:rFonts w:ascii="Arial" w:hAnsi="Arial" w:cs="Arial"/>
          <w:sz w:val="20"/>
          <w:szCs w:val="20"/>
        </w:rPr>
        <w:t>the</w:t>
      </w:r>
      <w:r w:rsidRPr="004A51D5">
        <w:rPr>
          <w:rFonts w:ascii="Arial" w:hAnsi="Arial" w:cs="Arial"/>
          <w:spacing w:val="1"/>
          <w:sz w:val="20"/>
          <w:szCs w:val="20"/>
        </w:rPr>
        <w:t xml:space="preserve"> </w:t>
      </w:r>
      <w:r w:rsidRPr="004A51D5">
        <w:rPr>
          <w:rFonts w:ascii="Arial" w:hAnsi="Arial" w:cs="Arial"/>
          <w:sz w:val="20"/>
          <w:szCs w:val="20"/>
        </w:rPr>
        <w:t>safety</w:t>
      </w:r>
      <w:r w:rsidRPr="004A51D5">
        <w:rPr>
          <w:rFonts w:ascii="Arial" w:hAnsi="Arial" w:cs="Arial"/>
          <w:spacing w:val="1"/>
          <w:sz w:val="20"/>
          <w:szCs w:val="20"/>
        </w:rPr>
        <w:t xml:space="preserve"> </w:t>
      </w:r>
      <w:r w:rsidRPr="004A51D5">
        <w:rPr>
          <w:rFonts w:ascii="Arial" w:hAnsi="Arial" w:cs="Arial"/>
          <w:sz w:val="20"/>
          <w:szCs w:val="20"/>
        </w:rPr>
        <w:t>investigation</w:t>
      </w:r>
      <w:r w:rsidRPr="004A51D5">
        <w:rPr>
          <w:rFonts w:ascii="Arial" w:hAnsi="Arial" w:cs="Arial"/>
          <w:spacing w:val="1"/>
          <w:sz w:val="20"/>
          <w:szCs w:val="20"/>
        </w:rPr>
        <w:t xml:space="preserve"> </w:t>
      </w:r>
      <w:r w:rsidRPr="004A51D5">
        <w:rPr>
          <w:rFonts w:ascii="Arial" w:hAnsi="Arial" w:cs="Arial"/>
          <w:sz w:val="20"/>
          <w:szCs w:val="20"/>
        </w:rPr>
        <w:t>authority</w:t>
      </w:r>
      <w:r w:rsidRPr="004A51D5">
        <w:rPr>
          <w:rFonts w:ascii="Arial" w:hAnsi="Arial" w:cs="Arial"/>
          <w:spacing w:val="1"/>
          <w:sz w:val="20"/>
          <w:szCs w:val="20"/>
        </w:rPr>
        <w:t xml:space="preserve"> </w:t>
      </w:r>
      <w:r w:rsidRPr="004A51D5">
        <w:rPr>
          <w:rFonts w:ascii="Arial" w:hAnsi="Arial" w:cs="Arial"/>
          <w:sz w:val="20"/>
          <w:szCs w:val="20"/>
        </w:rPr>
        <w:t>of</w:t>
      </w:r>
      <w:r w:rsidRPr="004A51D5">
        <w:rPr>
          <w:rFonts w:ascii="Arial" w:hAnsi="Arial" w:cs="Arial"/>
          <w:spacing w:val="1"/>
          <w:sz w:val="20"/>
          <w:szCs w:val="20"/>
        </w:rPr>
        <w:t xml:space="preserve"> </w:t>
      </w:r>
      <w:r w:rsidRPr="004A51D5">
        <w:rPr>
          <w:rFonts w:ascii="Arial" w:hAnsi="Arial" w:cs="Arial"/>
          <w:sz w:val="20"/>
          <w:szCs w:val="20"/>
        </w:rPr>
        <w:t>the</w:t>
      </w:r>
      <w:r w:rsidRPr="004A51D5">
        <w:rPr>
          <w:rFonts w:ascii="Arial" w:hAnsi="Arial" w:cs="Arial"/>
          <w:spacing w:val="1"/>
          <w:sz w:val="20"/>
          <w:szCs w:val="20"/>
        </w:rPr>
        <w:t xml:space="preserve"> </w:t>
      </w:r>
      <w:r w:rsidRPr="004A51D5">
        <w:rPr>
          <w:rFonts w:ascii="Arial" w:hAnsi="Arial" w:cs="Arial"/>
          <w:sz w:val="20"/>
          <w:szCs w:val="20"/>
        </w:rPr>
        <w:t>State</w:t>
      </w:r>
      <w:r w:rsidRPr="004A51D5">
        <w:rPr>
          <w:rFonts w:ascii="Arial" w:hAnsi="Arial" w:cs="Arial"/>
          <w:spacing w:val="1"/>
          <w:sz w:val="20"/>
          <w:szCs w:val="20"/>
        </w:rPr>
        <w:t xml:space="preserve"> </w:t>
      </w:r>
      <w:r w:rsidRPr="004A51D5">
        <w:rPr>
          <w:rFonts w:ascii="Arial" w:hAnsi="Arial" w:cs="Arial"/>
          <w:sz w:val="20"/>
          <w:szCs w:val="20"/>
        </w:rPr>
        <w:t>in</w:t>
      </w:r>
      <w:r w:rsidRPr="004A51D5">
        <w:rPr>
          <w:rFonts w:ascii="Arial" w:hAnsi="Arial" w:cs="Arial"/>
          <w:spacing w:val="1"/>
          <w:sz w:val="20"/>
          <w:szCs w:val="20"/>
        </w:rPr>
        <w:t xml:space="preserve"> </w:t>
      </w:r>
      <w:r w:rsidRPr="004A51D5">
        <w:rPr>
          <w:rFonts w:ascii="Arial" w:hAnsi="Arial" w:cs="Arial"/>
          <w:sz w:val="20"/>
          <w:szCs w:val="20"/>
        </w:rPr>
        <w:t>the</w:t>
      </w:r>
      <w:r w:rsidRPr="004A51D5">
        <w:rPr>
          <w:rFonts w:ascii="Arial" w:hAnsi="Arial" w:cs="Arial"/>
          <w:spacing w:val="1"/>
          <w:sz w:val="20"/>
          <w:szCs w:val="20"/>
        </w:rPr>
        <w:t xml:space="preserve"> </w:t>
      </w:r>
      <w:r w:rsidRPr="004A51D5">
        <w:rPr>
          <w:rFonts w:ascii="Arial" w:hAnsi="Arial" w:cs="Arial"/>
          <w:sz w:val="20"/>
          <w:szCs w:val="20"/>
        </w:rPr>
        <w:t>territory</w:t>
      </w:r>
      <w:r w:rsidRPr="004A51D5">
        <w:rPr>
          <w:rFonts w:ascii="Arial" w:hAnsi="Arial" w:cs="Arial"/>
          <w:spacing w:val="1"/>
          <w:sz w:val="20"/>
          <w:szCs w:val="20"/>
        </w:rPr>
        <w:t xml:space="preserve"> </w:t>
      </w:r>
      <w:r w:rsidRPr="004A51D5">
        <w:rPr>
          <w:rFonts w:ascii="Arial" w:hAnsi="Arial" w:cs="Arial"/>
          <w:sz w:val="20"/>
          <w:szCs w:val="20"/>
        </w:rPr>
        <w:t>of</w:t>
      </w:r>
      <w:r w:rsidRPr="004A51D5">
        <w:rPr>
          <w:rFonts w:ascii="Arial" w:hAnsi="Arial" w:cs="Arial"/>
          <w:spacing w:val="1"/>
          <w:sz w:val="20"/>
          <w:szCs w:val="20"/>
        </w:rPr>
        <w:t xml:space="preserve"> </w:t>
      </w:r>
      <w:r w:rsidRPr="004A51D5">
        <w:rPr>
          <w:rFonts w:ascii="Arial" w:hAnsi="Arial" w:cs="Arial"/>
          <w:sz w:val="20"/>
          <w:szCs w:val="20"/>
        </w:rPr>
        <w:t>which</w:t>
      </w:r>
      <w:r w:rsidRPr="004A51D5">
        <w:rPr>
          <w:rFonts w:ascii="Arial" w:hAnsi="Arial" w:cs="Arial"/>
          <w:spacing w:val="1"/>
          <w:sz w:val="20"/>
          <w:szCs w:val="20"/>
        </w:rPr>
        <w:t xml:space="preserve"> </w:t>
      </w:r>
      <w:r w:rsidRPr="004A51D5">
        <w:rPr>
          <w:rFonts w:ascii="Arial" w:hAnsi="Arial" w:cs="Arial"/>
          <w:sz w:val="20"/>
          <w:szCs w:val="20"/>
        </w:rPr>
        <w:t>the</w:t>
      </w:r>
      <w:r w:rsidRPr="004A51D5">
        <w:rPr>
          <w:rFonts w:ascii="Arial" w:hAnsi="Arial" w:cs="Arial"/>
          <w:spacing w:val="1"/>
          <w:sz w:val="20"/>
          <w:szCs w:val="20"/>
        </w:rPr>
        <w:t xml:space="preserve"> </w:t>
      </w:r>
      <w:r w:rsidRPr="004A51D5">
        <w:rPr>
          <w:rFonts w:ascii="Arial" w:hAnsi="Arial" w:cs="Arial"/>
          <w:sz w:val="20"/>
          <w:szCs w:val="20"/>
        </w:rPr>
        <w:t>occurrence took place and the emergency services of that State without delay by the</w:t>
      </w:r>
      <w:r w:rsidRPr="004A51D5">
        <w:rPr>
          <w:rFonts w:ascii="Arial" w:hAnsi="Arial" w:cs="Arial"/>
          <w:spacing w:val="1"/>
          <w:sz w:val="20"/>
          <w:szCs w:val="20"/>
        </w:rPr>
        <w:t xml:space="preserve"> </w:t>
      </w:r>
      <w:r w:rsidRPr="004A51D5">
        <w:rPr>
          <w:rFonts w:ascii="Arial" w:hAnsi="Arial" w:cs="Arial"/>
          <w:sz w:val="20"/>
          <w:szCs w:val="20"/>
        </w:rPr>
        <w:t>quickest available</w:t>
      </w:r>
      <w:r w:rsidRPr="004A51D5">
        <w:rPr>
          <w:rFonts w:ascii="Arial" w:hAnsi="Arial" w:cs="Arial"/>
          <w:spacing w:val="-3"/>
          <w:sz w:val="20"/>
          <w:szCs w:val="20"/>
        </w:rPr>
        <w:t xml:space="preserve"> </w:t>
      </w:r>
      <w:r w:rsidRPr="004A51D5">
        <w:rPr>
          <w:rFonts w:ascii="Arial" w:hAnsi="Arial" w:cs="Arial"/>
          <w:sz w:val="20"/>
          <w:szCs w:val="20"/>
        </w:rPr>
        <w:t>means</w:t>
      </w:r>
      <w:r w:rsidRPr="004A51D5">
        <w:rPr>
          <w:rFonts w:ascii="Arial" w:hAnsi="Arial" w:cs="Arial"/>
          <w:spacing w:val="-2"/>
          <w:sz w:val="20"/>
          <w:szCs w:val="20"/>
        </w:rPr>
        <w:t xml:space="preserve"> </w:t>
      </w:r>
      <w:r w:rsidRPr="004A51D5">
        <w:rPr>
          <w:rFonts w:ascii="Arial" w:hAnsi="Arial" w:cs="Arial"/>
          <w:sz w:val="20"/>
          <w:szCs w:val="20"/>
        </w:rPr>
        <w:t>of</w:t>
      </w:r>
      <w:r w:rsidRPr="004A51D5">
        <w:rPr>
          <w:rFonts w:ascii="Arial" w:hAnsi="Arial" w:cs="Arial"/>
          <w:spacing w:val="-1"/>
          <w:sz w:val="20"/>
          <w:szCs w:val="20"/>
        </w:rPr>
        <w:t xml:space="preserve"> </w:t>
      </w:r>
      <w:r w:rsidRPr="004A51D5">
        <w:rPr>
          <w:rFonts w:ascii="Arial" w:hAnsi="Arial" w:cs="Arial"/>
          <w:sz w:val="20"/>
          <w:szCs w:val="20"/>
        </w:rPr>
        <w:t>any serious incident</w:t>
      </w:r>
      <w:r w:rsidRPr="004A51D5">
        <w:rPr>
          <w:rFonts w:ascii="Arial" w:hAnsi="Arial" w:cs="Arial"/>
          <w:spacing w:val="-2"/>
          <w:sz w:val="20"/>
          <w:szCs w:val="20"/>
        </w:rPr>
        <w:t xml:space="preserve"> </w:t>
      </w:r>
      <w:r w:rsidRPr="004A51D5">
        <w:rPr>
          <w:rFonts w:ascii="Arial" w:hAnsi="Arial" w:cs="Arial"/>
          <w:sz w:val="20"/>
          <w:szCs w:val="20"/>
        </w:rPr>
        <w:t>or</w:t>
      </w:r>
      <w:r w:rsidRPr="004A51D5">
        <w:rPr>
          <w:rFonts w:ascii="Arial" w:hAnsi="Arial" w:cs="Arial"/>
          <w:spacing w:val="-1"/>
          <w:sz w:val="20"/>
          <w:szCs w:val="20"/>
        </w:rPr>
        <w:t xml:space="preserve"> </w:t>
      </w:r>
      <w:r w:rsidRPr="004A51D5">
        <w:rPr>
          <w:rFonts w:ascii="Arial" w:hAnsi="Arial" w:cs="Arial"/>
          <w:sz w:val="20"/>
          <w:szCs w:val="20"/>
        </w:rPr>
        <w:t>accident involving</w:t>
      </w:r>
      <w:r w:rsidRPr="004A51D5">
        <w:rPr>
          <w:rFonts w:ascii="Arial" w:hAnsi="Arial" w:cs="Arial"/>
          <w:spacing w:val="-4"/>
          <w:sz w:val="20"/>
          <w:szCs w:val="20"/>
        </w:rPr>
        <w:t xml:space="preserve"> </w:t>
      </w:r>
      <w:r w:rsidRPr="004A51D5">
        <w:rPr>
          <w:rFonts w:ascii="Arial" w:hAnsi="Arial" w:cs="Arial"/>
          <w:sz w:val="20"/>
          <w:szCs w:val="20"/>
        </w:rPr>
        <w:t>the balloon;</w:t>
      </w:r>
    </w:p>
    <w:p w14:paraId="7DD25ADF" w14:textId="741A0E5B" w:rsidR="004A51D5" w:rsidRPr="004A51D5" w:rsidRDefault="004A51D5" w:rsidP="009601C2">
      <w:pPr>
        <w:pStyle w:val="ListParagraph"/>
        <w:numPr>
          <w:ilvl w:val="1"/>
          <w:numId w:val="16"/>
        </w:numPr>
        <w:tabs>
          <w:tab w:val="left" w:pos="1274"/>
        </w:tabs>
        <w:spacing w:before="121" w:line="276" w:lineRule="auto"/>
        <w:ind w:right="195"/>
        <w:jc w:val="both"/>
        <w:rPr>
          <w:rFonts w:ascii="Arial" w:hAnsi="Arial" w:cs="Arial"/>
          <w:sz w:val="20"/>
          <w:szCs w:val="20"/>
        </w:rPr>
      </w:pPr>
      <w:r w:rsidRPr="004A51D5">
        <w:rPr>
          <w:rFonts w:ascii="Arial" w:hAnsi="Arial" w:cs="Arial"/>
          <w:sz w:val="20"/>
          <w:szCs w:val="20"/>
        </w:rPr>
        <w:t xml:space="preserve">submit a report of an act of unlawful interference without delay to the </w:t>
      </w:r>
      <w:r w:rsidR="002C3FB9">
        <w:rPr>
          <w:rFonts w:ascii="Arial" w:hAnsi="Arial" w:cs="Arial"/>
          <w:sz w:val="20"/>
          <w:szCs w:val="20"/>
        </w:rPr>
        <w:t>CAC RA</w:t>
      </w:r>
      <w:r w:rsidRPr="004A51D5">
        <w:rPr>
          <w:rFonts w:ascii="Arial" w:hAnsi="Arial" w:cs="Arial"/>
          <w:spacing w:val="1"/>
          <w:sz w:val="20"/>
          <w:szCs w:val="20"/>
        </w:rPr>
        <w:t xml:space="preserve"> </w:t>
      </w:r>
      <w:r w:rsidRPr="004A51D5">
        <w:rPr>
          <w:rFonts w:ascii="Arial" w:hAnsi="Arial" w:cs="Arial"/>
          <w:sz w:val="20"/>
          <w:szCs w:val="20"/>
        </w:rPr>
        <w:t>and inform the local authority designated by the State in the territory of which</w:t>
      </w:r>
      <w:r w:rsidRPr="004A51D5">
        <w:rPr>
          <w:rFonts w:ascii="Arial" w:hAnsi="Arial" w:cs="Arial"/>
          <w:spacing w:val="-47"/>
          <w:sz w:val="20"/>
          <w:szCs w:val="20"/>
        </w:rPr>
        <w:t xml:space="preserve"> </w:t>
      </w:r>
      <w:r w:rsidRPr="004A51D5">
        <w:rPr>
          <w:rFonts w:ascii="Arial" w:hAnsi="Arial" w:cs="Arial"/>
          <w:sz w:val="20"/>
          <w:szCs w:val="20"/>
        </w:rPr>
        <w:t>the</w:t>
      </w:r>
      <w:r w:rsidRPr="004A51D5">
        <w:rPr>
          <w:rFonts w:ascii="Arial" w:hAnsi="Arial" w:cs="Arial"/>
          <w:spacing w:val="-1"/>
          <w:sz w:val="20"/>
          <w:szCs w:val="20"/>
        </w:rPr>
        <w:t xml:space="preserve"> </w:t>
      </w:r>
      <w:r w:rsidRPr="004A51D5">
        <w:rPr>
          <w:rFonts w:ascii="Arial" w:hAnsi="Arial" w:cs="Arial"/>
          <w:sz w:val="20"/>
          <w:szCs w:val="20"/>
        </w:rPr>
        <w:t>unlawful interference</w:t>
      </w:r>
      <w:r w:rsidRPr="004A51D5">
        <w:rPr>
          <w:rFonts w:ascii="Arial" w:hAnsi="Arial" w:cs="Arial"/>
          <w:spacing w:val="1"/>
          <w:sz w:val="20"/>
          <w:szCs w:val="20"/>
        </w:rPr>
        <w:t xml:space="preserve"> </w:t>
      </w:r>
      <w:r w:rsidRPr="004A51D5">
        <w:rPr>
          <w:rFonts w:ascii="Arial" w:hAnsi="Arial" w:cs="Arial"/>
          <w:sz w:val="20"/>
          <w:szCs w:val="20"/>
        </w:rPr>
        <w:t>took</w:t>
      </w:r>
      <w:r w:rsidRPr="004A51D5">
        <w:rPr>
          <w:rFonts w:ascii="Arial" w:hAnsi="Arial" w:cs="Arial"/>
          <w:spacing w:val="1"/>
          <w:sz w:val="20"/>
          <w:szCs w:val="20"/>
        </w:rPr>
        <w:t xml:space="preserve"> </w:t>
      </w:r>
      <w:r w:rsidRPr="004A51D5">
        <w:rPr>
          <w:rFonts w:ascii="Arial" w:hAnsi="Arial" w:cs="Arial"/>
          <w:sz w:val="20"/>
          <w:szCs w:val="20"/>
        </w:rPr>
        <w:t>place; and</w:t>
      </w:r>
    </w:p>
    <w:p w14:paraId="09F51A12" w14:textId="77777777" w:rsidR="004A51D5" w:rsidRPr="004A51D5" w:rsidRDefault="004A51D5" w:rsidP="009601C2">
      <w:pPr>
        <w:pStyle w:val="ListParagraph"/>
        <w:numPr>
          <w:ilvl w:val="1"/>
          <w:numId w:val="16"/>
        </w:numPr>
        <w:tabs>
          <w:tab w:val="left" w:pos="1274"/>
        </w:tabs>
        <w:spacing w:before="118" w:line="276" w:lineRule="auto"/>
        <w:ind w:right="198"/>
        <w:jc w:val="both"/>
        <w:rPr>
          <w:rFonts w:ascii="Arial" w:hAnsi="Arial" w:cs="Arial"/>
          <w:sz w:val="20"/>
          <w:szCs w:val="20"/>
        </w:rPr>
      </w:pPr>
      <w:r w:rsidRPr="004A51D5">
        <w:rPr>
          <w:rFonts w:ascii="Arial" w:hAnsi="Arial" w:cs="Arial"/>
          <w:sz w:val="20"/>
          <w:szCs w:val="20"/>
        </w:rPr>
        <w:t>report to the appropriate air traffic services (ATS) unit, without delay, any hazardous</w:t>
      </w:r>
      <w:r w:rsidRPr="004A51D5">
        <w:rPr>
          <w:rFonts w:ascii="Arial" w:hAnsi="Arial" w:cs="Arial"/>
          <w:spacing w:val="1"/>
          <w:sz w:val="20"/>
          <w:szCs w:val="20"/>
        </w:rPr>
        <w:t xml:space="preserve"> </w:t>
      </w:r>
      <w:r w:rsidRPr="004A51D5">
        <w:rPr>
          <w:rFonts w:ascii="Arial" w:hAnsi="Arial" w:cs="Arial"/>
          <w:sz w:val="20"/>
          <w:szCs w:val="20"/>
        </w:rPr>
        <w:t>weather or flight conditions encountered that are likely to affect the safety of other</w:t>
      </w:r>
      <w:r w:rsidRPr="004A51D5">
        <w:rPr>
          <w:rFonts w:ascii="Arial" w:hAnsi="Arial" w:cs="Arial"/>
          <w:spacing w:val="1"/>
          <w:sz w:val="20"/>
          <w:szCs w:val="20"/>
        </w:rPr>
        <w:t xml:space="preserve"> </w:t>
      </w:r>
      <w:r w:rsidRPr="004A51D5">
        <w:rPr>
          <w:rFonts w:ascii="Arial" w:hAnsi="Arial" w:cs="Arial"/>
          <w:sz w:val="20"/>
          <w:szCs w:val="20"/>
        </w:rPr>
        <w:t>aircraft.</w:t>
      </w:r>
    </w:p>
    <w:p w14:paraId="1AF5DE29" w14:textId="77777777" w:rsidR="004A51D5" w:rsidRPr="004A51D5" w:rsidRDefault="004A51D5" w:rsidP="009601C2">
      <w:pPr>
        <w:pStyle w:val="ListParagraph"/>
        <w:numPr>
          <w:ilvl w:val="0"/>
          <w:numId w:val="17"/>
        </w:numPr>
        <w:tabs>
          <w:tab w:val="left" w:pos="707"/>
        </w:tabs>
        <w:spacing w:before="57" w:line="276" w:lineRule="auto"/>
        <w:jc w:val="both"/>
        <w:rPr>
          <w:rFonts w:ascii="Arial" w:hAnsi="Arial" w:cs="Arial"/>
          <w:sz w:val="20"/>
          <w:szCs w:val="20"/>
        </w:rPr>
      </w:pPr>
      <w:r w:rsidRPr="004A51D5">
        <w:rPr>
          <w:rFonts w:ascii="Arial" w:hAnsi="Arial" w:cs="Arial"/>
          <w:sz w:val="20"/>
          <w:szCs w:val="20"/>
        </w:rPr>
        <w:t>The</w:t>
      </w:r>
      <w:r w:rsidRPr="004A51D5">
        <w:rPr>
          <w:rFonts w:ascii="Arial" w:hAnsi="Arial" w:cs="Arial"/>
          <w:spacing w:val="-2"/>
          <w:sz w:val="20"/>
          <w:szCs w:val="20"/>
        </w:rPr>
        <w:t xml:space="preserve"> </w:t>
      </w:r>
      <w:r w:rsidRPr="004A51D5">
        <w:rPr>
          <w:rFonts w:ascii="Arial" w:hAnsi="Arial" w:cs="Arial"/>
          <w:sz w:val="20"/>
          <w:szCs w:val="20"/>
        </w:rPr>
        <w:t>pilot-in-command</w:t>
      </w:r>
      <w:r w:rsidRPr="004A51D5">
        <w:rPr>
          <w:rFonts w:ascii="Arial" w:hAnsi="Arial" w:cs="Arial"/>
          <w:spacing w:val="-2"/>
          <w:sz w:val="20"/>
          <w:szCs w:val="20"/>
        </w:rPr>
        <w:t xml:space="preserve"> </w:t>
      </w:r>
      <w:r w:rsidRPr="004A51D5">
        <w:rPr>
          <w:rFonts w:ascii="Arial" w:hAnsi="Arial" w:cs="Arial"/>
          <w:sz w:val="20"/>
          <w:szCs w:val="20"/>
        </w:rPr>
        <w:t>shall</w:t>
      </w:r>
      <w:r w:rsidRPr="004A51D5">
        <w:rPr>
          <w:rFonts w:ascii="Arial" w:hAnsi="Arial" w:cs="Arial"/>
          <w:spacing w:val="-5"/>
          <w:sz w:val="20"/>
          <w:szCs w:val="20"/>
        </w:rPr>
        <w:t xml:space="preserve"> </w:t>
      </w:r>
      <w:r w:rsidRPr="004A51D5">
        <w:rPr>
          <w:rFonts w:ascii="Arial" w:hAnsi="Arial" w:cs="Arial"/>
          <w:sz w:val="20"/>
          <w:szCs w:val="20"/>
        </w:rPr>
        <w:t>not</w:t>
      </w:r>
      <w:r w:rsidRPr="004A51D5">
        <w:rPr>
          <w:rFonts w:ascii="Arial" w:hAnsi="Arial" w:cs="Arial"/>
          <w:spacing w:val="-1"/>
          <w:sz w:val="20"/>
          <w:szCs w:val="20"/>
        </w:rPr>
        <w:t xml:space="preserve"> </w:t>
      </w:r>
      <w:r w:rsidRPr="004A51D5">
        <w:rPr>
          <w:rFonts w:ascii="Arial" w:hAnsi="Arial" w:cs="Arial"/>
          <w:sz w:val="20"/>
          <w:szCs w:val="20"/>
        </w:rPr>
        <w:t>perform</w:t>
      </w:r>
      <w:r w:rsidRPr="004A51D5">
        <w:rPr>
          <w:rFonts w:ascii="Arial" w:hAnsi="Arial" w:cs="Arial"/>
          <w:spacing w:val="-1"/>
          <w:sz w:val="20"/>
          <w:szCs w:val="20"/>
        </w:rPr>
        <w:t xml:space="preserve"> </w:t>
      </w:r>
      <w:r w:rsidRPr="004A51D5">
        <w:rPr>
          <w:rFonts w:ascii="Arial" w:hAnsi="Arial" w:cs="Arial"/>
          <w:sz w:val="20"/>
          <w:szCs w:val="20"/>
        </w:rPr>
        <w:t>duties</w:t>
      </w:r>
      <w:r w:rsidRPr="004A51D5">
        <w:rPr>
          <w:rFonts w:ascii="Arial" w:hAnsi="Arial" w:cs="Arial"/>
          <w:spacing w:val="-2"/>
          <w:sz w:val="20"/>
          <w:szCs w:val="20"/>
        </w:rPr>
        <w:t xml:space="preserve"> </w:t>
      </w:r>
      <w:r w:rsidRPr="004A51D5">
        <w:rPr>
          <w:rFonts w:ascii="Arial" w:hAnsi="Arial" w:cs="Arial"/>
          <w:sz w:val="20"/>
          <w:szCs w:val="20"/>
        </w:rPr>
        <w:t>on</w:t>
      </w:r>
      <w:r w:rsidRPr="004A51D5">
        <w:rPr>
          <w:rFonts w:ascii="Arial" w:hAnsi="Arial" w:cs="Arial"/>
          <w:spacing w:val="-2"/>
          <w:sz w:val="20"/>
          <w:szCs w:val="20"/>
        </w:rPr>
        <w:t xml:space="preserve"> </w:t>
      </w:r>
      <w:r w:rsidRPr="004A51D5">
        <w:rPr>
          <w:rFonts w:ascii="Arial" w:hAnsi="Arial" w:cs="Arial"/>
          <w:sz w:val="20"/>
          <w:szCs w:val="20"/>
        </w:rPr>
        <w:t>a</w:t>
      </w:r>
      <w:r w:rsidRPr="004A51D5">
        <w:rPr>
          <w:rFonts w:ascii="Arial" w:hAnsi="Arial" w:cs="Arial"/>
          <w:spacing w:val="-2"/>
          <w:sz w:val="20"/>
          <w:szCs w:val="20"/>
        </w:rPr>
        <w:t xml:space="preserve"> </w:t>
      </w:r>
      <w:r w:rsidRPr="004A51D5">
        <w:rPr>
          <w:rFonts w:ascii="Arial" w:hAnsi="Arial" w:cs="Arial"/>
          <w:sz w:val="20"/>
          <w:szCs w:val="20"/>
        </w:rPr>
        <w:t>balloon</w:t>
      </w:r>
      <w:r w:rsidRPr="004A51D5">
        <w:rPr>
          <w:rFonts w:ascii="Arial" w:hAnsi="Arial" w:cs="Arial"/>
          <w:spacing w:val="-2"/>
          <w:sz w:val="20"/>
          <w:szCs w:val="20"/>
        </w:rPr>
        <w:t xml:space="preserve"> </w:t>
      </w:r>
      <w:r w:rsidRPr="004A51D5">
        <w:rPr>
          <w:rFonts w:ascii="Arial" w:hAnsi="Arial" w:cs="Arial"/>
          <w:sz w:val="20"/>
          <w:szCs w:val="20"/>
        </w:rPr>
        <w:t>in</w:t>
      </w:r>
      <w:r w:rsidRPr="004A51D5">
        <w:rPr>
          <w:rFonts w:ascii="Arial" w:hAnsi="Arial" w:cs="Arial"/>
          <w:spacing w:val="-5"/>
          <w:sz w:val="20"/>
          <w:szCs w:val="20"/>
        </w:rPr>
        <w:t xml:space="preserve"> </w:t>
      </w:r>
      <w:r w:rsidRPr="004A51D5">
        <w:rPr>
          <w:rFonts w:ascii="Arial" w:hAnsi="Arial" w:cs="Arial"/>
          <w:sz w:val="20"/>
          <w:szCs w:val="20"/>
        </w:rPr>
        <w:t>one</w:t>
      </w:r>
      <w:r w:rsidRPr="004A51D5">
        <w:rPr>
          <w:rFonts w:ascii="Arial" w:hAnsi="Arial" w:cs="Arial"/>
          <w:spacing w:val="-3"/>
          <w:sz w:val="20"/>
          <w:szCs w:val="20"/>
        </w:rPr>
        <w:t xml:space="preserve"> </w:t>
      </w:r>
      <w:r w:rsidRPr="004A51D5">
        <w:rPr>
          <w:rFonts w:ascii="Arial" w:hAnsi="Arial" w:cs="Arial"/>
          <w:sz w:val="20"/>
          <w:szCs w:val="20"/>
        </w:rPr>
        <w:t>of</w:t>
      </w:r>
      <w:r w:rsidRPr="004A51D5">
        <w:rPr>
          <w:rFonts w:ascii="Arial" w:hAnsi="Arial" w:cs="Arial"/>
          <w:spacing w:val="-4"/>
          <w:sz w:val="20"/>
          <w:szCs w:val="20"/>
        </w:rPr>
        <w:t xml:space="preserve"> </w:t>
      </w:r>
      <w:r w:rsidRPr="004A51D5">
        <w:rPr>
          <w:rFonts w:ascii="Arial" w:hAnsi="Arial" w:cs="Arial"/>
          <w:sz w:val="20"/>
          <w:szCs w:val="20"/>
        </w:rPr>
        <w:t>the</w:t>
      </w:r>
      <w:r w:rsidRPr="004A51D5">
        <w:rPr>
          <w:rFonts w:ascii="Arial" w:hAnsi="Arial" w:cs="Arial"/>
          <w:spacing w:val="-1"/>
          <w:sz w:val="20"/>
          <w:szCs w:val="20"/>
        </w:rPr>
        <w:t xml:space="preserve"> </w:t>
      </w:r>
      <w:r w:rsidRPr="004A51D5">
        <w:rPr>
          <w:rFonts w:ascii="Arial" w:hAnsi="Arial" w:cs="Arial"/>
          <w:sz w:val="20"/>
          <w:szCs w:val="20"/>
        </w:rPr>
        <w:t>following</w:t>
      </w:r>
      <w:r w:rsidRPr="004A51D5">
        <w:rPr>
          <w:rFonts w:ascii="Arial" w:hAnsi="Arial" w:cs="Arial"/>
          <w:spacing w:val="-2"/>
          <w:sz w:val="20"/>
          <w:szCs w:val="20"/>
        </w:rPr>
        <w:t xml:space="preserve"> </w:t>
      </w:r>
      <w:r w:rsidRPr="004A51D5">
        <w:rPr>
          <w:rFonts w:ascii="Arial" w:hAnsi="Arial" w:cs="Arial"/>
          <w:sz w:val="20"/>
          <w:szCs w:val="20"/>
        </w:rPr>
        <w:t>situations:</w:t>
      </w:r>
    </w:p>
    <w:p w14:paraId="65589885" w14:textId="77777777" w:rsidR="004A51D5" w:rsidRPr="004A51D5" w:rsidRDefault="004A51D5" w:rsidP="009601C2">
      <w:pPr>
        <w:pStyle w:val="ListParagraph"/>
        <w:numPr>
          <w:ilvl w:val="1"/>
          <w:numId w:val="17"/>
        </w:numPr>
        <w:tabs>
          <w:tab w:val="left" w:pos="1274"/>
        </w:tabs>
        <w:spacing w:line="276" w:lineRule="auto"/>
        <w:ind w:right="194"/>
        <w:jc w:val="both"/>
        <w:rPr>
          <w:rFonts w:ascii="Arial" w:hAnsi="Arial" w:cs="Arial"/>
          <w:sz w:val="20"/>
          <w:szCs w:val="20"/>
        </w:rPr>
      </w:pPr>
      <w:r w:rsidRPr="004A51D5">
        <w:rPr>
          <w:rFonts w:ascii="Arial" w:hAnsi="Arial" w:cs="Arial"/>
          <w:sz w:val="20"/>
          <w:szCs w:val="20"/>
        </w:rPr>
        <w:t>when</w:t>
      </w:r>
      <w:r w:rsidRPr="004A51D5">
        <w:rPr>
          <w:rFonts w:ascii="Arial" w:hAnsi="Arial" w:cs="Arial"/>
          <w:spacing w:val="-6"/>
          <w:sz w:val="20"/>
          <w:szCs w:val="20"/>
        </w:rPr>
        <w:t xml:space="preserve"> </w:t>
      </w:r>
      <w:r w:rsidRPr="004A51D5">
        <w:rPr>
          <w:rFonts w:ascii="Arial" w:hAnsi="Arial" w:cs="Arial"/>
          <w:sz w:val="20"/>
          <w:szCs w:val="20"/>
        </w:rPr>
        <w:t>he</w:t>
      </w:r>
      <w:r w:rsidRPr="004A51D5">
        <w:rPr>
          <w:rFonts w:ascii="Arial" w:hAnsi="Arial" w:cs="Arial"/>
          <w:spacing w:val="-7"/>
          <w:sz w:val="20"/>
          <w:szCs w:val="20"/>
        </w:rPr>
        <w:t xml:space="preserve"> </w:t>
      </w:r>
      <w:r w:rsidRPr="004A51D5">
        <w:rPr>
          <w:rFonts w:ascii="Arial" w:hAnsi="Arial" w:cs="Arial"/>
          <w:sz w:val="20"/>
          <w:szCs w:val="20"/>
        </w:rPr>
        <w:t>or</w:t>
      </w:r>
      <w:r w:rsidRPr="004A51D5">
        <w:rPr>
          <w:rFonts w:ascii="Arial" w:hAnsi="Arial" w:cs="Arial"/>
          <w:spacing w:val="-7"/>
          <w:sz w:val="20"/>
          <w:szCs w:val="20"/>
        </w:rPr>
        <w:t xml:space="preserve"> </w:t>
      </w:r>
      <w:r w:rsidRPr="004A51D5">
        <w:rPr>
          <w:rFonts w:ascii="Arial" w:hAnsi="Arial" w:cs="Arial"/>
          <w:sz w:val="20"/>
          <w:szCs w:val="20"/>
        </w:rPr>
        <w:t>she</w:t>
      </w:r>
      <w:r w:rsidRPr="004A51D5">
        <w:rPr>
          <w:rFonts w:ascii="Arial" w:hAnsi="Arial" w:cs="Arial"/>
          <w:spacing w:val="-6"/>
          <w:sz w:val="20"/>
          <w:szCs w:val="20"/>
        </w:rPr>
        <w:t xml:space="preserve"> </w:t>
      </w:r>
      <w:r w:rsidRPr="004A51D5">
        <w:rPr>
          <w:rFonts w:ascii="Arial" w:hAnsi="Arial" w:cs="Arial"/>
          <w:sz w:val="20"/>
          <w:szCs w:val="20"/>
        </w:rPr>
        <w:t>is</w:t>
      </w:r>
      <w:r w:rsidRPr="004A51D5">
        <w:rPr>
          <w:rFonts w:ascii="Arial" w:hAnsi="Arial" w:cs="Arial"/>
          <w:spacing w:val="-7"/>
          <w:sz w:val="20"/>
          <w:szCs w:val="20"/>
        </w:rPr>
        <w:t xml:space="preserve"> </w:t>
      </w:r>
      <w:r w:rsidRPr="004A51D5">
        <w:rPr>
          <w:rFonts w:ascii="Arial" w:hAnsi="Arial" w:cs="Arial"/>
          <w:sz w:val="20"/>
          <w:szCs w:val="20"/>
        </w:rPr>
        <w:t>incapacitated</w:t>
      </w:r>
      <w:r w:rsidRPr="004A51D5">
        <w:rPr>
          <w:rFonts w:ascii="Arial" w:hAnsi="Arial" w:cs="Arial"/>
          <w:spacing w:val="-6"/>
          <w:sz w:val="20"/>
          <w:szCs w:val="20"/>
        </w:rPr>
        <w:t xml:space="preserve"> </w:t>
      </w:r>
      <w:r w:rsidRPr="004A51D5">
        <w:rPr>
          <w:rFonts w:ascii="Arial" w:hAnsi="Arial" w:cs="Arial"/>
          <w:sz w:val="20"/>
          <w:szCs w:val="20"/>
        </w:rPr>
        <w:t>from</w:t>
      </w:r>
      <w:r w:rsidRPr="004A51D5">
        <w:rPr>
          <w:rFonts w:ascii="Arial" w:hAnsi="Arial" w:cs="Arial"/>
          <w:spacing w:val="-6"/>
          <w:sz w:val="20"/>
          <w:szCs w:val="20"/>
        </w:rPr>
        <w:t xml:space="preserve"> </w:t>
      </w:r>
      <w:r w:rsidRPr="004A51D5">
        <w:rPr>
          <w:rFonts w:ascii="Arial" w:hAnsi="Arial" w:cs="Arial"/>
          <w:sz w:val="20"/>
          <w:szCs w:val="20"/>
        </w:rPr>
        <w:t>performing</w:t>
      </w:r>
      <w:r w:rsidRPr="004A51D5">
        <w:rPr>
          <w:rFonts w:ascii="Arial" w:hAnsi="Arial" w:cs="Arial"/>
          <w:spacing w:val="-6"/>
          <w:sz w:val="20"/>
          <w:szCs w:val="20"/>
        </w:rPr>
        <w:t xml:space="preserve"> </w:t>
      </w:r>
      <w:r w:rsidRPr="004A51D5">
        <w:rPr>
          <w:rFonts w:ascii="Arial" w:hAnsi="Arial" w:cs="Arial"/>
          <w:sz w:val="20"/>
          <w:szCs w:val="20"/>
        </w:rPr>
        <w:t>his</w:t>
      </w:r>
      <w:r w:rsidRPr="004A51D5">
        <w:rPr>
          <w:rFonts w:ascii="Arial" w:hAnsi="Arial" w:cs="Arial"/>
          <w:spacing w:val="-5"/>
          <w:sz w:val="20"/>
          <w:szCs w:val="20"/>
        </w:rPr>
        <w:t xml:space="preserve"> </w:t>
      </w:r>
      <w:r w:rsidRPr="004A51D5">
        <w:rPr>
          <w:rFonts w:ascii="Arial" w:hAnsi="Arial" w:cs="Arial"/>
          <w:sz w:val="20"/>
          <w:szCs w:val="20"/>
        </w:rPr>
        <w:t>or</w:t>
      </w:r>
      <w:r w:rsidRPr="004A51D5">
        <w:rPr>
          <w:rFonts w:ascii="Arial" w:hAnsi="Arial" w:cs="Arial"/>
          <w:spacing w:val="-6"/>
          <w:sz w:val="20"/>
          <w:szCs w:val="20"/>
        </w:rPr>
        <w:t xml:space="preserve"> </w:t>
      </w:r>
      <w:r w:rsidRPr="004A51D5">
        <w:rPr>
          <w:rFonts w:ascii="Arial" w:hAnsi="Arial" w:cs="Arial"/>
          <w:sz w:val="20"/>
          <w:szCs w:val="20"/>
        </w:rPr>
        <w:t>her</w:t>
      </w:r>
      <w:r w:rsidRPr="004A51D5">
        <w:rPr>
          <w:rFonts w:ascii="Arial" w:hAnsi="Arial" w:cs="Arial"/>
          <w:spacing w:val="-5"/>
          <w:sz w:val="20"/>
          <w:szCs w:val="20"/>
        </w:rPr>
        <w:t xml:space="preserve"> </w:t>
      </w:r>
      <w:r w:rsidRPr="004A51D5">
        <w:rPr>
          <w:rFonts w:ascii="Arial" w:hAnsi="Arial" w:cs="Arial"/>
          <w:sz w:val="20"/>
          <w:szCs w:val="20"/>
        </w:rPr>
        <w:t>duties</w:t>
      </w:r>
      <w:r w:rsidRPr="004A51D5">
        <w:rPr>
          <w:rFonts w:ascii="Arial" w:hAnsi="Arial" w:cs="Arial"/>
          <w:spacing w:val="-6"/>
          <w:sz w:val="20"/>
          <w:szCs w:val="20"/>
        </w:rPr>
        <w:t xml:space="preserve"> </w:t>
      </w:r>
      <w:r w:rsidRPr="004A51D5">
        <w:rPr>
          <w:rFonts w:ascii="Arial" w:hAnsi="Arial" w:cs="Arial"/>
          <w:sz w:val="20"/>
          <w:szCs w:val="20"/>
        </w:rPr>
        <w:t>by</w:t>
      </w:r>
      <w:r w:rsidRPr="004A51D5">
        <w:rPr>
          <w:rFonts w:ascii="Arial" w:hAnsi="Arial" w:cs="Arial"/>
          <w:spacing w:val="-7"/>
          <w:sz w:val="20"/>
          <w:szCs w:val="20"/>
        </w:rPr>
        <w:t xml:space="preserve"> </w:t>
      </w:r>
      <w:r w:rsidRPr="004A51D5">
        <w:rPr>
          <w:rFonts w:ascii="Arial" w:hAnsi="Arial" w:cs="Arial"/>
          <w:sz w:val="20"/>
          <w:szCs w:val="20"/>
        </w:rPr>
        <w:t>any</w:t>
      </w:r>
      <w:r w:rsidRPr="004A51D5">
        <w:rPr>
          <w:rFonts w:ascii="Arial" w:hAnsi="Arial" w:cs="Arial"/>
          <w:spacing w:val="-6"/>
          <w:sz w:val="20"/>
          <w:szCs w:val="20"/>
        </w:rPr>
        <w:t xml:space="preserve"> </w:t>
      </w:r>
      <w:r w:rsidRPr="004A51D5">
        <w:rPr>
          <w:rFonts w:ascii="Arial" w:hAnsi="Arial" w:cs="Arial"/>
          <w:sz w:val="20"/>
          <w:szCs w:val="20"/>
        </w:rPr>
        <w:t>cause,</w:t>
      </w:r>
      <w:r w:rsidRPr="004A51D5">
        <w:rPr>
          <w:rFonts w:ascii="Arial" w:hAnsi="Arial" w:cs="Arial"/>
          <w:spacing w:val="-5"/>
          <w:sz w:val="20"/>
          <w:szCs w:val="20"/>
        </w:rPr>
        <w:t xml:space="preserve"> </w:t>
      </w:r>
      <w:r w:rsidRPr="004A51D5">
        <w:rPr>
          <w:rFonts w:ascii="Arial" w:hAnsi="Arial" w:cs="Arial"/>
          <w:sz w:val="20"/>
          <w:szCs w:val="20"/>
        </w:rPr>
        <w:t>including</w:t>
      </w:r>
      <w:r w:rsidRPr="004A51D5">
        <w:rPr>
          <w:rFonts w:ascii="Arial" w:hAnsi="Arial" w:cs="Arial"/>
          <w:spacing w:val="-47"/>
          <w:sz w:val="20"/>
          <w:szCs w:val="20"/>
        </w:rPr>
        <w:t xml:space="preserve"> </w:t>
      </w:r>
      <w:r w:rsidRPr="004A51D5">
        <w:rPr>
          <w:rFonts w:ascii="Arial" w:hAnsi="Arial" w:cs="Arial"/>
          <w:sz w:val="20"/>
          <w:szCs w:val="20"/>
        </w:rPr>
        <w:t>injury,</w:t>
      </w:r>
      <w:r w:rsidRPr="004A51D5">
        <w:rPr>
          <w:rFonts w:ascii="Arial" w:hAnsi="Arial" w:cs="Arial"/>
          <w:spacing w:val="-6"/>
          <w:sz w:val="20"/>
          <w:szCs w:val="20"/>
        </w:rPr>
        <w:t xml:space="preserve"> </w:t>
      </w:r>
      <w:r w:rsidRPr="004A51D5">
        <w:rPr>
          <w:rFonts w:ascii="Arial" w:hAnsi="Arial" w:cs="Arial"/>
          <w:sz w:val="20"/>
          <w:szCs w:val="20"/>
        </w:rPr>
        <w:t>sickness,</w:t>
      </w:r>
      <w:r w:rsidRPr="004A51D5">
        <w:rPr>
          <w:rFonts w:ascii="Arial" w:hAnsi="Arial" w:cs="Arial"/>
          <w:spacing w:val="-11"/>
          <w:sz w:val="20"/>
          <w:szCs w:val="20"/>
        </w:rPr>
        <w:t xml:space="preserve"> </w:t>
      </w:r>
      <w:r w:rsidRPr="004A51D5">
        <w:rPr>
          <w:rFonts w:ascii="Arial" w:hAnsi="Arial" w:cs="Arial"/>
          <w:sz w:val="20"/>
          <w:szCs w:val="20"/>
        </w:rPr>
        <w:t>medication,</w:t>
      </w:r>
      <w:r w:rsidRPr="004A51D5">
        <w:rPr>
          <w:rFonts w:ascii="Arial" w:hAnsi="Arial" w:cs="Arial"/>
          <w:spacing w:val="-5"/>
          <w:sz w:val="20"/>
          <w:szCs w:val="20"/>
        </w:rPr>
        <w:t xml:space="preserve"> </w:t>
      </w:r>
      <w:r w:rsidRPr="004A51D5">
        <w:rPr>
          <w:rFonts w:ascii="Arial" w:hAnsi="Arial" w:cs="Arial"/>
          <w:sz w:val="20"/>
          <w:szCs w:val="20"/>
        </w:rPr>
        <w:t>fatigue</w:t>
      </w:r>
      <w:r w:rsidRPr="004A51D5">
        <w:rPr>
          <w:rFonts w:ascii="Arial" w:hAnsi="Arial" w:cs="Arial"/>
          <w:spacing w:val="-8"/>
          <w:sz w:val="20"/>
          <w:szCs w:val="20"/>
        </w:rPr>
        <w:t xml:space="preserve"> </w:t>
      </w:r>
      <w:r w:rsidRPr="004A51D5">
        <w:rPr>
          <w:rFonts w:ascii="Arial" w:hAnsi="Arial" w:cs="Arial"/>
          <w:sz w:val="20"/>
          <w:szCs w:val="20"/>
        </w:rPr>
        <w:t>or</w:t>
      </w:r>
      <w:r w:rsidRPr="004A51D5">
        <w:rPr>
          <w:rFonts w:ascii="Arial" w:hAnsi="Arial" w:cs="Arial"/>
          <w:spacing w:val="-9"/>
          <w:sz w:val="20"/>
          <w:szCs w:val="20"/>
        </w:rPr>
        <w:t xml:space="preserve"> </w:t>
      </w:r>
      <w:r w:rsidRPr="004A51D5">
        <w:rPr>
          <w:rFonts w:ascii="Arial" w:hAnsi="Arial" w:cs="Arial"/>
          <w:sz w:val="20"/>
          <w:szCs w:val="20"/>
        </w:rPr>
        <w:t>the</w:t>
      </w:r>
      <w:r w:rsidRPr="004A51D5">
        <w:rPr>
          <w:rFonts w:ascii="Arial" w:hAnsi="Arial" w:cs="Arial"/>
          <w:spacing w:val="-7"/>
          <w:sz w:val="20"/>
          <w:szCs w:val="20"/>
        </w:rPr>
        <w:t xml:space="preserve"> </w:t>
      </w:r>
      <w:r w:rsidRPr="004A51D5">
        <w:rPr>
          <w:rFonts w:ascii="Arial" w:hAnsi="Arial" w:cs="Arial"/>
          <w:sz w:val="20"/>
          <w:szCs w:val="20"/>
        </w:rPr>
        <w:t>effects</w:t>
      </w:r>
      <w:r w:rsidRPr="004A51D5">
        <w:rPr>
          <w:rFonts w:ascii="Arial" w:hAnsi="Arial" w:cs="Arial"/>
          <w:spacing w:val="-9"/>
          <w:sz w:val="20"/>
          <w:szCs w:val="20"/>
        </w:rPr>
        <w:t xml:space="preserve"> </w:t>
      </w:r>
      <w:r w:rsidRPr="004A51D5">
        <w:rPr>
          <w:rFonts w:ascii="Arial" w:hAnsi="Arial" w:cs="Arial"/>
          <w:sz w:val="20"/>
          <w:szCs w:val="20"/>
        </w:rPr>
        <w:t>of</w:t>
      </w:r>
      <w:r w:rsidRPr="004A51D5">
        <w:rPr>
          <w:rFonts w:ascii="Arial" w:hAnsi="Arial" w:cs="Arial"/>
          <w:spacing w:val="-9"/>
          <w:sz w:val="20"/>
          <w:szCs w:val="20"/>
        </w:rPr>
        <w:t xml:space="preserve"> </w:t>
      </w:r>
      <w:r w:rsidRPr="004A51D5">
        <w:rPr>
          <w:rFonts w:ascii="Arial" w:hAnsi="Arial" w:cs="Arial"/>
          <w:sz w:val="20"/>
          <w:szCs w:val="20"/>
        </w:rPr>
        <w:t>any</w:t>
      </w:r>
      <w:r w:rsidRPr="004A51D5">
        <w:rPr>
          <w:rFonts w:ascii="Arial" w:hAnsi="Arial" w:cs="Arial"/>
          <w:spacing w:val="-5"/>
          <w:sz w:val="20"/>
          <w:szCs w:val="20"/>
        </w:rPr>
        <w:t xml:space="preserve"> </w:t>
      </w:r>
      <w:r w:rsidRPr="004A51D5">
        <w:rPr>
          <w:rFonts w:ascii="Arial" w:hAnsi="Arial" w:cs="Arial"/>
          <w:sz w:val="20"/>
          <w:szCs w:val="20"/>
        </w:rPr>
        <w:t>psychoactive</w:t>
      </w:r>
      <w:r w:rsidRPr="004A51D5">
        <w:rPr>
          <w:rFonts w:ascii="Arial" w:hAnsi="Arial" w:cs="Arial"/>
          <w:spacing w:val="-8"/>
          <w:sz w:val="20"/>
          <w:szCs w:val="20"/>
        </w:rPr>
        <w:t xml:space="preserve"> </w:t>
      </w:r>
      <w:r w:rsidRPr="004A51D5">
        <w:rPr>
          <w:rFonts w:ascii="Arial" w:hAnsi="Arial" w:cs="Arial"/>
          <w:sz w:val="20"/>
          <w:szCs w:val="20"/>
        </w:rPr>
        <w:t>substance,</w:t>
      </w:r>
      <w:r w:rsidRPr="004A51D5">
        <w:rPr>
          <w:rFonts w:ascii="Arial" w:hAnsi="Arial" w:cs="Arial"/>
          <w:spacing w:val="-11"/>
          <w:sz w:val="20"/>
          <w:szCs w:val="20"/>
        </w:rPr>
        <w:t xml:space="preserve"> </w:t>
      </w:r>
      <w:r w:rsidRPr="004A51D5">
        <w:rPr>
          <w:rFonts w:ascii="Arial" w:hAnsi="Arial" w:cs="Arial"/>
          <w:sz w:val="20"/>
          <w:szCs w:val="20"/>
        </w:rPr>
        <w:t>or</w:t>
      </w:r>
      <w:r w:rsidRPr="004A51D5">
        <w:rPr>
          <w:rFonts w:ascii="Arial" w:hAnsi="Arial" w:cs="Arial"/>
          <w:spacing w:val="-6"/>
          <w:sz w:val="20"/>
          <w:szCs w:val="20"/>
        </w:rPr>
        <w:t xml:space="preserve"> </w:t>
      </w:r>
      <w:r w:rsidRPr="004A51D5">
        <w:rPr>
          <w:rFonts w:ascii="Arial" w:hAnsi="Arial" w:cs="Arial"/>
          <w:sz w:val="20"/>
          <w:szCs w:val="20"/>
        </w:rPr>
        <w:t>feels</w:t>
      </w:r>
      <w:r w:rsidRPr="004A51D5">
        <w:rPr>
          <w:rFonts w:ascii="Arial" w:hAnsi="Arial" w:cs="Arial"/>
          <w:spacing w:val="-48"/>
          <w:sz w:val="20"/>
          <w:szCs w:val="20"/>
        </w:rPr>
        <w:t xml:space="preserve"> </w:t>
      </w:r>
      <w:r w:rsidRPr="004A51D5">
        <w:rPr>
          <w:rFonts w:ascii="Arial" w:hAnsi="Arial" w:cs="Arial"/>
          <w:sz w:val="20"/>
          <w:szCs w:val="20"/>
        </w:rPr>
        <w:t>otherwise unfit;</w:t>
      </w:r>
    </w:p>
    <w:p w14:paraId="12E0070D" w14:textId="77777777" w:rsidR="004A51D5" w:rsidRPr="004A51D5" w:rsidRDefault="004A51D5" w:rsidP="009601C2">
      <w:pPr>
        <w:pStyle w:val="ListParagraph"/>
        <w:numPr>
          <w:ilvl w:val="1"/>
          <w:numId w:val="17"/>
        </w:numPr>
        <w:tabs>
          <w:tab w:val="left" w:pos="1274"/>
        </w:tabs>
        <w:spacing w:before="118" w:line="276" w:lineRule="auto"/>
        <w:ind w:hanging="568"/>
        <w:jc w:val="both"/>
        <w:rPr>
          <w:rFonts w:ascii="Arial" w:hAnsi="Arial" w:cs="Arial"/>
          <w:sz w:val="20"/>
          <w:szCs w:val="20"/>
        </w:rPr>
      </w:pPr>
      <w:r w:rsidRPr="004A51D5">
        <w:rPr>
          <w:rFonts w:ascii="Arial" w:hAnsi="Arial" w:cs="Arial"/>
          <w:sz w:val="20"/>
          <w:szCs w:val="20"/>
        </w:rPr>
        <w:t>if</w:t>
      </w:r>
      <w:r w:rsidRPr="004A51D5">
        <w:rPr>
          <w:rFonts w:ascii="Arial" w:hAnsi="Arial" w:cs="Arial"/>
          <w:spacing w:val="-1"/>
          <w:sz w:val="20"/>
          <w:szCs w:val="20"/>
        </w:rPr>
        <w:t xml:space="preserve"> </w:t>
      </w:r>
      <w:r w:rsidRPr="004A51D5">
        <w:rPr>
          <w:rFonts w:ascii="Arial" w:hAnsi="Arial" w:cs="Arial"/>
          <w:sz w:val="20"/>
          <w:szCs w:val="20"/>
        </w:rPr>
        <w:t>applicable</w:t>
      </w:r>
      <w:r w:rsidRPr="004A51D5">
        <w:rPr>
          <w:rFonts w:ascii="Arial" w:hAnsi="Arial" w:cs="Arial"/>
          <w:spacing w:val="-1"/>
          <w:sz w:val="20"/>
          <w:szCs w:val="20"/>
        </w:rPr>
        <w:t xml:space="preserve"> </w:t>
      </w:r>
      <w:r w:rsidRPr="004A51D5">
        <w:rPr>
          <w:rFonts w:ascii="Arial" w:hAnsi="Arial" w:cs="Arial"/>
          <w:sz w:val="20"/>
          <w:szCs w:val="20"/>
        </w:rPr>
        <w:t>medical</w:t>
      </w:r>
      <w:r w:rsidRPr="004A51D5">
        <w:rPr>
          <w:rFonts w:ascii="Arial" w:hAnsi="Arial" w:cs="Arial"/>
          <w:spacing w:val="-1"/>
          <w:sz w:val="20"/>
          <w:szCs w:val="20"/>
        </w:rPr>
        <w:t xml:space="preserve"> </w:t>
      </w:r>
      <w:r w:rsidRPr="004A51D5">
        <w:rPr>
          <w:rFonts w:ascii="Arial" w:hAnsi="Arial" w:cs="Arial"/>
          <w:sz w:val="20"/>
          <w:szCs w:val="20"/>
        </w:rPr>
        <w:t>requirements</w:t>
      </w:r>
      <w:r w:rsidRPr="004A51D5">
        <w:rPr>
          <w:rFonts w:ascii="Arial" w:hAnsi="Arial" w:cs="Arial"/>
          <w:spacing w:val="-1"/>
          <w:sz w:val="20"/>
          <w:szCs w:val="20"/>
        </w:rPr>
        <w:t xml:space="preserve"> </w:t>
      </w:r>
      <w:r w:rsidRPr="004A51D5">
        <w:rPr>
          <w:rFonts w:ascii="Arial" w:hAnsi="Arial" w:cs="Arial"/>
          <w:sz w:val="20"/>
          <w:szCs w:val="20"/>
        </w:rPr>
        <w:t>are not</w:t>
      </w:r>
      <w:r w:rsidRPr="004A51D5">
        <w:rPr>
          <w:rFonts w:ascii="Arial" w:hAnsi="Arial" w:cs="Arial"/>
          <w:spacing w:val="-1"/>
          <w:sz w:val="20"/>
          <w:szCs w:val="20"/>
        </w:rPr>
        <w:t xml:space="preserve"> </w:t>
      </w:r>
      <w:r w:rsidRPr="004A51D5">
        <w:rPr>
          <w:rFonts w:ascii="Arial" w:hAnsi="Arial" w:cs="Arial"/>
          <w:sz w:val="20"/>
          <w:szCs w:val="20"/>
        </w:rPr>
        <w:t>fulfilled.</w:t>
      </w:r>
    </w:p>
    <w:p w14:paraId="377B444E" w14:textId="77777777" w:rsidR="004A51D5" w:rsidRPr="004A51D5" w:rsidRDefault="004A51D5" w:rsidP="009601C2">
      <w:pPr>
        <w:pStyle w:val="ListParagraph"/>
        <w:numPr>
          <w:ilvl w:val="0"/>
          <w:numId w:val="17"/>
        </w:numPr>
        <w:tabs>
          <w:tab w:val="left" w:pos="707"/>
        </w:tabs>
        <w:spacing w:before="121" w:line="276" w:lineRule="auto"/>
        <w:ind w:right="193"/>
        <w:jc w:val="both"/>
        <w:rPr>
          <w:rFonts w:ascii="Arial" w:hAnsi="Arial" w:cs="Arial"/>
          <w:sz w:val="20"/>
          <w:szCs w:val="20"/>
        </w:rPr>
      </w:pPr>
      <w:r w:rsidRPr="004A51D5">
        <w:rPr>
          <w:rFonts w:ascii="Arial" w:hAnsi="Arial" w:cs="Arial"/>
          <w:sz w:val="20"/>
          <w:szCs w:val="20"/>
        </w:rPr>
        <w:t>Whenever crew members are involved in the operation of the balloon, the pilot-in-command</w:t>
      </w:r>
      <w:r w:rsidRPr="004A51D5">
        <w:rPr>
          <w:rFonts w:ascii="Arial" w:hAnsi="Arial" w:cs="Arial"/>
          <w:spacing w:val="1"/>
          <w:sz w:val="20"/>
          <w:szCs w:val="20"/>
        </w:rPr>
        <w:t xml:space="preserve"> </w:t>
      </w:r>
      <w:r w:rsidRPr="004A51D5">
        <w:rPr>
          <w:rFonts w:ascii="Arial" w:hAnsi="Arial" w:cs="Arial"/>
          <w:sz w:val="20"/>
          <w:szCs w:val="20"/>
        </w:rPr>
        <w:t>shall:</w:t>
      </w:r>
    </w:p>
    <w:p w14:paraId="0EF84239" w14:textId="77777777" w:rsidR="004A51D5" w:rsidRPr="004A51D5" w:rsidRDefault="004A51D5" w:rsidP="009601C2">
      <w:pPr>
        <w:pStyle w:val="ListParagraph"/>
        <w:numPr>
          <w:ilvl w:val="1"/>
          <w:numId w:val="17"/>
        </w:numPr>
        <w:tabs>
          <w:tab w:val="left" w:pos="1274"/>
        </w:tabs>
        <w:spacing w:line="276" w:lineRule="auto"/>
        <w:ind w:right="196"/>
        <w:jc w:val="both"/>
        <w:rPr>
          <w:rFonts w:ascii="Arial" w:hAnsi="Arial" w:cs="Arial"/>
          <w:sz w:val="20"/>
          <w:szCs w:val="20"/>
        </w:rPr>
      </w:pPr>
      <w:r w:rsidRPr="004A51D5">
        <w:rPr>
          <w:rFonts w:ascii="Arial" w:hAnsi="Arial" w:cs="Arial"/>
          <w:sz w:val="20"/>
          <w:szCs w:val="20"/>
        </w:rPr>
        <w:t>ensure</w:t>
      </w:r>
      <w:r w:rsidRPr="004A51D5">
        <w:rPr>
          <w:rFonts w:ascii="Arial" w:hAnsi="Arial" w:cs="Arial"/>
          <w:spacing w:val="-3"/>
          <w:sz w:val="20"/>
          <w:szCs w:val="20"/>
        </w:rPr>
        <w:t xml:space="preserve"> </w:t>
      </w:r>
      <w:r w:rsidRPr="004A51D5">
        <w:rPr>
          <w:rFonts w:ascii="Arial" w:hAnsi="Arial" w:cs="Arial"/>
          <w:sz w:val="20"/>
          <w:szCs w:val="20"/>
        </w:rPr>
        <w:t>that</w:t>
      </w:r>
      <w:r w:rsidRPr="004A51D5">
        <w:rPr>
          <w:rFonts w:ascii="Arial" w:hAnsi="Arial" w:cs="Arial"/>
          <w:spacing w:val="-6"/>
          <w:sz w:val="20"/>
          <w:szCs w:val="20"/>
        </w:rPr>
        <w:t xml:space="preserve"> </w:t>
      </w:r>
      <w:r w:rsidRPr="004A51D5">
        <w:rPr>
          <w:rFonts w:ascii="Arial" w:hAnsi="Arial" w:cs="Arial"/>
          <w:sz w:val="20"/>
          <w:szCs w:val="20"/>
        </w:rPr>
        <w:t>during</w:t>
      </w:r>
      <w:r w:rsidRPr="004A51D5">
        <w:rPr>
          <w:rFonts w:ascii="Arial" w:hAnsi="Arial" w:cs="Arial"/>
          <w:spacing w:val="-3"/>
          <w:sz w:val="20"/>
          <w:szCs w:val="20"/>
        </w:rPr>
        <w:t xml:space="preserve"> </w:t>
      </w:r>
      <w:r w:rsidRPr="004A51D5">
        <w:rPr>
          <w:rFonts w:ascii="Arial" w:hAnsi="Arial" w:cs="Arial"/>
          <w:sz w:val="20"/>
          <w:szCs w:val="20"/>
        </w:rPr>
        <w:t>critical</w:t>
      </w:r>
      <w:r w:rsidRPr="004A51D5">
        <w:rPr>
          <w:rFonts w:ascii="Arial" w:hAnsi="Arial" w:cs="Arial"/>
          <w:spacing w:val="-6"/>
          <w:sz w:val="20"/>
          <w:szCs w:val="20"/>
        </w:rPr>
        <w:t xml:space="preserve"> </w:t>
      </w:r>
      <w:r w:rsidRPr="004A51D5">
        <w:rPr>
          <w:rFonts w:ascii="Arial" w:hAnsi="Arial" w:cs="Arial"/>
          <w:sz w:val="20"/>
          <w:szCs w:val="20"/>
        </w:rPr>
        <w:t>phases</w:t>
      </w:r>
      <w:r w:rsidRPr="004A51D5">
        <w:rPr>
          <w:rFonts w:ascii="Arial" w:hAnsi="Arial" w:cs="Arial"/>
          <w:spacing w:val="-2"/>
          <w:sz w:val="20"/>
          <w:szCs w:val="20"/>
        </w:rPr>
        <w:t xml:space="preserve"> </w:t>
      </w:r>
      <w:r w:rsidRPr="004A51D5">
        <w:rPr>
          <w:rFonts w:ascii="Arial" w:hAnsi="Arial" w:cs="Arial"/>
          <w:sz w:val="20"/>
          <w:szCs w:val="20"/>
        </w:rPr>
        <w:t>of</w:t>
      </w:r>
      <w:r w:rsidRPr="004A51D5">
        <w:rPr>
          <w:rFonts w:ascii="Arial" w:hAnsi="Arial" w:cs="Arial"/>
          <w:spacing w:val="-6"/>
          <w:sz w:val="20"/>
          <w:szCs w:val="20"/>
        </w:rPr>
        <w:t xml:space="preserve"> </w:t>
      </w:r>
      <w:r w:rsidRPr="004A51D5">
        <w:rPr>
          <w:rFonts w:ascii="Arial" w:hAnsi="Arial" w:cs="Arial"/>
          <w:sz w:val="20"/>
          <w:szCs w:val="20"/>
        </w:rPr>
        <w:t>flight</w:t>
      </w:r>
      <w:r w:rsidRPr="004A51D5">
        <w:rPr>
          <w:rFonts w:ascii="Arial" w:hAnsi="Arial" w:cs="Arial"/>
          <w:spacing w:val="-2"/>
          <w:sz w:val="20"/>
          <w:szCs w:val="20"/>
        </w:rPr>
        <w:t xml:space="preserve"> </w:t>
      </w:r>
      <w:r w:rsidRPr="004A51D5">
        <w:rPr>
          <w:rFonts w:ascii="Arial" w:hAnsi="Arial" w:cs="Arial"/>
          <w:sz w:val="20"/>
          <w:szCs w:val="20"/>
        </w:rPr>
        <w:t>or</w:t>
      </w:r>
      <w:r w:rsidRPr="004A51D5">
        <w:rPr>
          <w:rFonts w:ascii="Arial" w:hAnsi="Arial" w:cs="Arial"/>
          <w:spacing w:val="-3"/>
          <w:sz w:val="20"/>
          <w:szCs w:val="20"/>
        </w:rPr>
        <w:t xml:space="preserve"> </w:t>
      </w:r>
      <w:r w:rsidRPr="004A51D5">
        <w:rPr>
          <w:rFonts w:ascii="Arial" w:hAnsi="Arial" w:cs="Arial"/>
          <w:sz w:val="20"/>
          <w:szCs w:val="20"/>
        </w:rPr>
        <w:t>whenever</w:t>
      </w:r>
      <w:r w:rsidRPr="004A51D5">
        <w:rPr>
          <w:rFonts w:ascii="Arial" w:hAnsi="Arial" w:cs="Arial"/>
          <w:spacing w:val="-2"/>
          <w:sz w:val="20"/>
          <w:szCs w:val="20"/>
        </w:rPr>
        <w:t xml:space="preserve"> </w:t>
      </w:r>
      <w:r w:rsidRPr="004A51D5">
        <w:rPr>
          <w:rFonts w:ascii="Arial" w:hAnsi="Arial" w:cs="Arial"/>
          <w:sz w:val="20"/>
          <w:szCs w:val="20"/>
        </w:rPr>
        <w:t>deemed</w:t>
      </w:r>
      <w:r w:rsidRPr="004A51D5">
        <w:rPr>
          <w:rFonts w:ascii="Arial" w:hAnsi="Arial" w:cs="Arial"/>
          <w:spacing w:val="-6"/>
          <w:sz w:val="20"/>
          <w:szCs w:val="20"/>
        </w:rPr>
        <w:t xml:space="preserve"> </w:t>
      </w:r>
      <w:r w:rsidRPr="004A51D5">
        <w:rPr>
          <w:rFonts w:ascii="Arial" w:hAnsi="Arial" w:cs="Arial"/>
          <w:sz w:val="20"/>
          <w:szCs w:val="20"/>
        </w:rPr>
        <w:t>necessary</w:t>
      </w:r>
      <w:r w:rsidRPr="004A51D5">
        <w:rPr>
          <w:rFonts w:ascii="Arial" w:hAnsi="Arial" w:cs="Arial"/>
          <w:spacing w:val="-5"/>
          <w:sz w:val="20"/>
          <w:szCs w:val="20"/>
        </w:rPr>
        <w:t xml:space="preserve"> </w:t>
      </w:r>
      <w:r w:rsidRPr="004A51D5">
        <w:rPr>
          <w:rFonts w:ascii="Arial" w:hAnsi="Arial" w:cs="Arial"/>
          <w:sz w:val="20"/>
          <w:szCs w:val="20"/>
        </w:rPr>
        <w:t>in</w:t>
      </w:r>
      <w:r w:rsidRPr="004A51D5">
        <w:rPr>
          <w:rFonts w:ascii="Arial" w:hAnsi="Arial" w:cs="Arial"/>
          <w:spacing w:val="-3"/>
          <w:sz w:val="20"/>
          <w:szCs w:val="20"/>
        </w:rPr>
        <w:t xml:space="preserve"> </w:t>
      </w:r>
      <w:r w:rsidRPr="004A51D5">
        <w:rPr>
          <w:rFonts w:ascii="Arial" w:hAnsi="Arial" w:cs="Arial"/>
          <w:sz w:val="20"/>
          <w:szCs w:val="20"/>
        </w:rPr>
        <w:t>the</w:t>
      </w:r>
      <w:r w:rsidRPr="004A51D5">
        <w:rPr>
          <w:rFonts w:ascii="Arial" w:hAnsi="Arial" w:cs="Arial"/>
          <w:spacing w:val="-3"/>
          <w:sz w:val="20"/>
          <w:szCs w:val="20"/>
        </w:rPr>
        <w:t xml:space="preserve"> </w:t>
      </w:r>
      <w:r w:rsidRPr="004A51D5">
        <w:rPr>
          <w:rFonts w:ascii="Arial" w:hAnsi="Arial" w:cs="Arial"/>
          <w:sz w:val="20"/>
          <w:szCs w:val="20"/>
        </w:rPr>
        <w:t>interest</w:t>
      </w:r>
      <w:r w:rsidRPr="004A51D5">
        <w:rPr>
          <w:rFonts w:ascii="Arial" w:hAnsi="Arial" w:cs="Arial"/>
          <w:spacing w:val="-47"/>
          <w:sz w:val="20"/>
          <w:szCs w:val="20"/>
        </w:rPr>
        <w:t xml:space="preserve"> </w:t>
      </w:r>
      <w:r w:rsidRPr="004A51D5">
        <w:rPr>
          <w:rFonts w:ascii="Arial" w:hAnsi="Arial" w:cs="Arial"/>
          <w:sz w:val="20"/>
          <w:szCs w:val="20"/>
        </w:rPr>
        <w:t>of safety, all crew members are at their assigned stations and do not perform any</w:t>
      </w:r>
      <w:r w:rsidRPr="004A51D5">
        <w:rPr>
          <w:rFonts w:ascii="Arial" w:hAnsi="Arial" w:cs="Arial"/>
          <w:spacing w:val="1"/>
          <w:sz w:val="20"/>
          <w:szCs w:val="20"/>
        </w:rPr>
        <w:t xml:space="preserve"> </w:t>
      </w:r>
      <w:r w:rsidRPr="004A51D5">
        <w:rPr>
          <w:rFonts w:ascii="Arial" w:hAnsi="Arial" w:cs="Arial"/>
          <w:sz w:val="20"/>
          <w:szCs w:val="20"/>
        </w:rPr>
        <w:t>activities</w:t>
      </w:r>
      <w:r w:rsidRPr="004A51D5">
        <w:rPr>
          <w:rFonts w:ascii="Arial" w:hAnsi="Arial" w:cs="Arial"/>
          <w:spacing w:val="-1"/>
          <w:sz w:val="20"/>
          <w:szCs w:val="20"/>
        </w:rPr>
        <w:t xml:space="preserve"> </w:t>
      </w:r>
      <w:r w:rsidRPr="004A51D5">
        <w:rPr>
          <w:rFonts w:ascii="Arial" w:hAnsi="Arial" w:cs="Arial"/>
          <w:sz w:val="20"/>
          <w:szCs w:val="20"/>
        </w:rPr>
        <w:t>other</w:t>
      </w:r>
      <w:r w:rsidRPr="004A51D5">
        <w:rPr>
          <w:rFonts w:ascii="Arial" w:hAnsi="Arial" w:cs="Arial"/>
          <w:spacing w:val="-3"/>
          <w:sz w:val="20"/>
          <w:szCs w:val="20"/>
        </w:rPr>
        <w:t xml:space="preserve"> </w:t>
      </w:r>
      <w:r w:rsidRPr="004A51D5">
        <w:rPr>
          <w:rFonts w:ascii="Arial" w:hAnsi="Arial" w:cs="Arial"/>
          <w:sz w:val="20"/>
          <w:szCs w:val="20"/>
        </w:rPr>
        <w:t>than</w:t>
      </w:r>
      <w:r w:rsidRPr="004A51D5">
        <w:rPr>
          <w:rFonts w:ascii="Arial" w:hAnsi="Arial" w:cs="Arial"/>
          <w:spacing w:val="-1"/>
          <w:sz w:val="20"/>
          <w:szCs w:val="20"/>
        </w:rPr>
        <w:t xml:space="preserve"> </w:t>
      </w:r>
      <w:r w:rsidRPr="004A51D5">
        <w:rPr>
          <w:rFonts w:ascii="Arial" w:hAnsi="Arial" w:cs="Arial"/>
          <w:sz w:val="20"/>
          <w:szCs w:val="20"/>
        </w:rPr>
        <w:t>those</w:t>
      </w:r>
      <w:r w:rsidRPr="004A51D5">
        <w:rPr>
          <w:rFonts w:ascii="Arial" w:hAnsi="Arial" w:cs="Arial"/>
          <w:spacing w:val="-4"/>
          <w:sz w:val="20"/>
          <w:szCs w:val="20"/>
        </w:rPr>
        <w:t xml:space="preserve"> </w:t>
      </w:r>
      <w:r w:rsidRPr="004A51D5">
        <w:rPr>
          <w:rFonts w:ascii="Arial" w:hAnsi="Arial" w:cs="Arial"/>
          <w:sz w:val="20"/>
          <w:szCs w:val="20"/>
        </w:rPr>
        <w:t>required</w:t>
      </w:r>
      <w:r w:rsidRPr="004A51D5">
        <w:rPr>
          <w:rFonts w:ascii="Arial" w:hAnsi="Arial" w:cs="Arial"/>
          <w:spacing w:val="-1"/>
          <w:sz w:val="20"/>
          <w:szCs w:val="20"/>
        </w:rPr>
        <w:t xml:space="preserve"> </w:t>
      </w:r>
      <w:r w:rsidRPr="004A51D5">
        <w:rPr>
          <w:rFonts w:ascii="Arial" w:hAnsi="Arial" w:cs="Arial"/>
          <w:sz w:val="20"/>
          <w:szCs w:val="20"/>
        </w:rPr>
        <w:t>for</w:t>
      </w:r>
      <w:r w:rsidRPr="004A51D5">
        <w:rPr>
          <w:rFonts w:ascii="Arial" w:hAnsi="Arial" w:cs="Arial"/>
          <w:spacing w:val="-3"/>
          <w:sz w:val="20"/>
          <w:szCs w:val="20"/>
        </w:rPr>
        <w:t xml:space="preserve"> </w:t>
      </w:r>
      <w:r w:rsidRPr="004A51D5">
        <w:rPr>
          <w:rFonts w:ascii="Arial" w:hAnsi="Arial" w:cs="Arial"/>
          <w:sz w:val="20"/>
          <w:szCs w:val="20"/>
        </w:rPr>
        <w:t>the</w:t>
      </w:r>
      <w:r w:rsidRPr="004A51D5">
        <w:rPr>
          <w:rFonts w:ascii="Arial" w:hAnsi="Arial" w:cs="Arial"/>
          <w:spacing w:val="-2"/>
          <w:sz w:val="20"/>
          <w:szCs w:val="20"/>
        </w:rPr>
        <w:t xml:space="preserve"> </w:t>
      </w:r>
      <w:r w:rsidRPr="004A51D5">
        <w:rPr>
          <w:rFonts w:ascii="Arial" w:hAnsi="Arial" w:cs="Arial"/>
          <w:sz w:val="20"/>
          <w:szCs w:val="20"/>
        </w:rPr>
        <w:t>safe</w:t>
      </w:r>
      <w:r w:rsidRPr="004A51D5">
        <w:rPr>
          <w:rFonts w:ascii="Arial" w:hAnsi="Arial" w:cs="Arial"/>
          <w:spacing w:val="-2"/>
          <w:sz w:val="20"/>
          <w:szCs w:val="20"/>
        </w:rPr>
        <w:t xml:space="preserve"> </w:t>
      </w:r>
      <w:r w:rsidRPr="004A51D5">
        <w:rPr>
          <w:rFonts w:ascii="Arial" w:hAnsi="Arial" w:cs="Arial"/>
          <w:sz w:val="20"/>
          <w:szCs w:val="20"/>
        </w:rPr>
        <w:t>operation</w:t>
      </w:r>
      <w:r w:rsidRPr="004A51D5">
        <w:rPr>
          <w:rFonts w:ascii="Arial" w:hAnsi="Arial" w:cs="Arial"/>
          <w:spacing w:val="-3"/>
          <w:sz w:val="20"/>
          <w:szCs w:val="20"/>
        </w:rPr>
        <w:t xml:space="preserve"> </w:t>
      </w:r>
      <w:r w:rsidRPr="004A51D5">
        <w:rPr>
          <w:rFonts w:ascii="Arial" w:hAnsi="Arial" w:cs="Arial"/>
          <w:sz w:val="20"/>
          <w:szCs w:val="20"/>
        </w:rPr>
        <w:t>of the</w:t>
      </w:r>
      <w:r w:rsidRPr="004A51D5">
        <w:rPr>
          <w:rFonts w:ascii="Arial" w:hAnsi="Arial" w:cs="Arial"/>
          <w:spacing w:val="-2"/>
          <w:sz w:val="20"/>
          <w:szCs w:val="20"/>
        </w:rPr>
        <w:t xml:space="preserve"> </w:t>
      </w:r>
      <w:r w:rsidRPr="004A51D5">
        <w:rPr>
          <w:rFonts w:ascii="Arial" w:hAnsi="Arial" w:cs="Arial"/>
          <w:sz w:val="20"/>
          <w:szCs w:val="20"/>
        </w:rPr>
        <w:t>balloon;</w:t>
      </w:r>
    </w:p>
    <w:p w14:paraId="65114F09" w14:textId="77777777" w:rsidR="004A51D5" w:rsidRPr="004A51D5" w:rsidRDefault="004A51D5" w:rsidP="009601C2">
      <w:pPr>
        <w:pStyle w:val="ListParagraph"/>
        <w:numPr>
          <w:ilvl w:val="1"/>
          <w:numId w:val="17"/>
        </w:numPr>
        <w:tabs>
          <w:tab w:val="left" w:pos="1274"/>
        </w:tabs>
        <w:spacing w:before="121" w:line="276" w:lineRule="auto"/>
        <w:ind w:right="199"/>
        <w:jc w:val="both"/>
        <w:rPr>
          <w:rFonts w:ascii="Arial" w:hAnsi="Arial" w:cs="Arial"/>
          <w:sz w:val="20"/>
          <w:szCs w:val="20"/>
        </w:rPr>
      </w:pPr>
      <w:r w:rsidRPr="004A51D5">
        <w:rPr>
          <w:rFonts w:ascii="Arial" w:hAnsi="Arial" w:cs="Arial"/>
          <w:sz w:val="20"/>
          <w:szCs w:val="20"/>
        </w:rPr>
        <w:t>not commence a flight if any crew member is incapacitated from performing his or her</w:t>
      </w:r>
      <w:r w:rsidRPr="004A51D5">
        <w:rPr>
          <w:rFonts w:ascii="Arial" w:hAnsi="Arial" w:cs="Arial"/>
          <w:spacing w:val="1"/>
          <w:sz w:val="20"/>
          <w:szCs w:val="20"/>
        </w:rPr>
        <w:t xml:space="preserve"> </w:t>
      </w:r>
      <w:r w:rsidRPr="004A51D5">
        <w:rPr>
          <w:rFonts w:ascii="Arial" w:hAnsi="Arial" w:cs="Arial"/>
          <w:sz w:val="20"/>
          <w:szCs w:val="20"/>
        </w:rPr>
        <w:t>duties by any cause, including injury, sickness, medication, fatigue or the effects of any</w:t>
      </w:r>
      <w:r w:rsidRPr="004A51D5">
        <w:rPr>
          <w:rFonts w:ascii="Arial" w:hAnsi="Arial" w:cs="Arial"/>
          <w:spacing w:val="1"/>
          <w:sz w:val="20"/>
          <w:szCs w:val="20"/>
        </w:rPr>
        <w:t xml:space="preserve"> </w:t>
      </w:r>
      <w:r w:rsidRPr="004A51D5">
        <w:rPr>
          <w:rFonts w:ascii="Arial" w:hAnsi="Arial" w:cs="Arial"/>
          <w:sz w:val="20"/>
          <w:szCs w:val="20"/>
        </w:rPr>
        <w:t>psychoactive substance,</w:t>
      </w:r>
      <w:r w:rsidRPr="004A51D5">
        <w:rPr>
          <w:rFonts w:ascii="Arial" w:hAnsi="Arial" w:cs="Arial"/>
          <w:spacing w:val="-2"/>
          <w:sz w:val="20"/>
          <w:szCs w:val="20"/>
        </w:rPr>
        <w:t xml:space="preserve"> </w:t>
      </w:r>
      <w:r w:rsidRPr="004A51D5">
        <w:rPr>
          <w:rFonts w:ascii="Arial" w:hAnsi="Arial" w:cs="Arial"/>
          <w:sz w:val="20"/>
          <w:szCs w:val="20"/>
        </w:rPr>
        <w:t>or</w:t>
      </w:r>
      <w:r w:rsidRPr="004A51D5">
        <w:rPr>
          <w:rFonts w:ascii="Arial" w:hAnsi="Arial" w:cs="Arial"/>
          <w:spacing w:val="-2"/>
          <w:sz w:val="20"/>
          <w:szCs w:val="20"/>
        </w:rPr>
        <w:t xml:space="preserve"> </w:t>
      </w:r>
      <w:r w:rsidRPr="004A51D5">
        <w:rPr>
          <w:rFonts w:ascii="Arial" w:hAnsi="Arial" w:cs="Arial"/>
          <w:sz w:val="20"/>
          <w:szCs w:val="20"/>
        </w:rPr>
        <w:t>feels</w:t>
      </w:r>
      <w:r w:rsidRPr="004A51D5">
        <w:rPr>
          <w:rFonts w:ascii="Arial" w:hAnsi="Arial" w:cs="Arial"/>
          <w:spacing w:val="-2"/>
          <w:sz w:val="20"/>
          <w:szCs w:val="20"/>
        </w:rPr>
        <w:t xml:space="preserve"> </w:t>
      </w:r>
      <w:r w:rsidRPr="004A51D5">
        <w:rPr>
          <w:rFonts w:ascii="Arial" w:hAnsi="Arial" w:cs="Arial"/>
          <w:sz w:val="20"/>
          <w:szCs w:val="20"/>
        </w:rPr>
        <w:t>otherwise unfit;</w:t>
      </w:r>
    </w:p>
    <w:p w14:paraId="6411ED4D" w14:textId="77777777" w:rsidR="004A51D5" w:rsidRPr="004A51D5" w:rsidRDefault="004A51D5" w:rsidP="009601C2">
      <w:pPr>
        <w:pStyle w:val="ListParagraph"/>
        <w:numPr>
          <w:ilvl w:val="1"/>
          <w:numId w:val="17"/>
        </w:numPr>
        <w:tabs>
          <w:tab w:val="left" w:pos="1274"/>
        </w:tabs>
        <w:spacing w:before="119" w:line="276" w:lineRule="auto"/>
        <w:ind w:right="195"/>
        <w:jc w:val="both"/>
        <w:rPr>
          <w:rFonts w:ascii="Arial" w:hAnsi="Arial" w:cs="Arial"/>
          <w:sz w:val="20"/>
          <w:szCs w:val="20"/>
        </w:rPr>
      </w:pPr>
      <w:r w:rsidRPr="004A51D5">
        <w:rPr>
          <w:rFonts w:ascii="Arial" w:hAnsi="Arial" w:cs="Arial"/>
          <w:sz w:val="20"/>
          <w:szCs w:val="20"/>
        </w:rPr>
        <w:t>not continue a flight beyond the nearest weather-permissible operating site when any</w:t>
      </w:r>
      <w:r w:rsidRPr="004A51D5">
        <w:rPr>
          <w:rFonts w:ascii="Arial" w:hAnsi="Arial" w:cs="Arial"/>
          <w:spacing w:val="1"/>
          <w:sz w:val="20"/>
          <w:szCs w:val="20"/>
        </w:rPr>
        <w:t xml:space="preserve"> </w:t>
      </w:r>
      <w:r w:rsidRPr="004A51D5">
        <w:rPr>
          <w:rFonts w:ascii="Arial" w:hAnsi="Arial" w:cs="Arial"/>
          <w:sz w:val="20"/>
          <w:szCs w:val="20"/>
        </w:rPr>
        <w:t>crew member's capacity to perform duties is significantly reduced because of sickness,</w:t>
      </w:r>
      <w:r w:rsidRPr="004A51D5">
        <w:rPr>
          <w:rFonts w:ascii="Arial" w:hAnsi="Arial" w:cs="Arial"/>
          <w:spacing w:val="1"/>
          <w:sz w:val="20"/>
          <w:szCs w:val="20"/>
        </w:rPr>
        <w:t xml:space="preserve"> </w:t>
      </w:r>
      <w:r w:rsidRPr="004A51D5">
        <w:rPr>
          <w:rFonts w:ascii="Arial" w:hAnsi="Arial" w:cs="Arial"/>
          <w:sz w:val="20"/>
          <w:szCs w:val="20"/>
        </w:rPr>
        <w:t>fatigue</w:t>
      </w:r>
      <w:r w:rsidRPr="004A51D5">
        <w:rPr>
          <w:rFonts w:ascii="Arial" w:hAnsi="Arial" w:cs="Arial"/>
          <w:spacing w:val="1"/>
          <w:sz w:val="20"/>
          <w:szCs w:val="20"/>
        </w:rPr>
        <w:t xml:space="preserve"> </w:t>
      </w:r>
      <w:r w:rsidRPr="004A51D5">
        <w:rPr>
          <w:rFonts w:ascii="Arial" w:hAnsi="Arial" w:cs="Arial"/>
          <w:sz w:val="20"/>
          <w:szCs w:val="20"/>
        </w:rPr>
        <w:t>or</w:t>
      </w:r>
      <w:r w:rsidRPr="004A51D5">
        <w:rPr>
          <w:rFonts w:ascii="Arial" w:hAnsi="Arial" w:cs="Arial"/>
          <w:spacing w:val="-3"/>
          <w:sz w:val="20"/>
          <w:szCs w:val="20"/>
        </w:rPr>
        <w:t xml:space="preserve"> </w:t>
      </w:r>
      <w:r w:rsidRPr="004A51D5">
        <w:rPr>
          <w:rFonts w:ascii="Arial" w:hAnsi="Arial" w:cs="Arial"/>
          <w:sz w:val="20"/>
          <w:szCs w:val="20"/>
        </w:rPr>
        <w:t>lack</w:t>
      </w:r>
      <w:r w:rsidRPr="004A51D5">
        <w:rPr>
          <w:rFonts w:ascii="Arial" w:hAnsi="Arial" w:cs="Arial"/>
          <w:spacing w:val="-2"/>
          <w:sz w:val="20"/>
          <w:szCs w:val="20"/>
        </w:rPr>
        <w:t xml:space="preserve"> </w:t>
      </w:r>
      <w:r w:rsidRPr="004A51D5">
        <w:rPr>
          <w:rFonts w:ascii="Arial" w:hAnsi="Arial" w:cs="Arial"/>
          <w:sz w:val="20"/>
          <w:szCs w:val="20"/>
        </w:rPr>
        <w:t>of</w:t>
      </w:r>
      <w:r w:rsidRPr="004A51D5">
        <w:rPr>
          <w:rFonts w:ascii="Arial" w:hAnsi="Arial" w:cs="Arial"/>
          <w:spacing w:val="-3"/>
          <w:sz w:val="20"/>
          <w:szCs w:val="20"/>
        </w:rPr>
        <w:t xml:space="preserve"> </w:t>
      </w:r>
      <w:r w:rsidRPr="004A51D5">
        <w:rPr>
          <w:rFonts w:ascii="Arial" w:hAnsi="Arial" w:cs="Arial"/>
          <w:sz w:val="20"/>
          <w:szCs w:val="20"/>
        </w:rPr>
        <w:t>oxygen</w:t>
      </w:r>
      <w:r w:rsidRPr="004A51D5">
        <w:rPr>
          <w:rFonts w:ascii="Arial" w:hAnsi="Arial" w:cs="Arial"/>
          <w:spacing w:val="-2"/>
          <w:sz w:val="20"/>
          <w:szCs w:val="20"/>
        </w:rPr>
        <w:t xml:space="preserve"> </w:t>
      </w:r>
      <w:r w:rsidRPr="004A51D5">
        <w:rPr>
          <w:rFonts w:ascii="Arial" w:hAnsi="Arial" w:cs="Arial"/>
          <w:sz w:val="20"/>
          <w:szCs w:val="20"/>
        </w:rPr>
        <w:t>or</w:t>
      </w:r>
      <w:r w:rsidRPr="004A51D5">
        <w:rPr>
          <w:rFonts w:ascii="Arial" w:hAnsi="Arial" w:cs="Arial"/>
          <w:spacing w:val="-3"/>
          <w:sz w:val="20"/>
          <w:szCs w:val="20"/>
        </w:rPr>
        <w:t xml:space="preserve"> </w:t>
      </w:r>
      <w:r w:rsidRPr="004A51D5">
        <w:rPr>
          <w:rFonts w:ascii="Arial" w:hAnsi="Arial" w:cs="Arial"/>
          <w:sz w:val="20"/>
          <w:szCs w:val="20"/>
        </w:rPr>
        <w:t>any</w:t>
      </w:r>
      <w:r w:rsidRPr="004A51D5">
        <w:rPr>
          <w:rFonts w:ascii="Arial" w:hAnsi="Arial" w:cs="Arial"/>
          <w:spacing w:val="-2"/>
          <w:sz w:val="20"/>
          <w:szCs w:val="20"/>
        </w:rPr>
        <w:t xml:space="preserve"> </w:t>
      </w:r>
      <w:r w:rsidRPr="004A51D5">
        <w:rPr>
          <w:rFonts w:ascii="Arial" w:hAnsi="Arial" w:cs="Arial"/>
          <w:sz w:val="20"/>
          <w:szCs w:val="20"/>
        </w:rPr>
        <w:t>other</w:t>
      </w:r>
      <w:r w:rsidRPr="004A51D5">
        <w:rPr>
          <w:rFonts w:ascii="Arial" w:hAnsi="Arial" w:cs="Arial"/>
          <w:spacing w:val="-2"/>
          <w:sz w:val="20"/>
          <w:szCs w:val="20"/>
        </w:rPr>
        <w:t xml:space="preserve"> </w:t>
      </w:r>
      <w:r w:rsidRPr="004A51D5">
        <w:rPr>
          <w:rFonts w:ascii="Arial" w:hAnsi="Arial" w:cs="Arial"/>
          <w:sz w:val="20"/>
          <w:szCs w:val="20"/>
        </w:rPr>
        <w:t>cause; and</w:t>
      </w:r>
    </w:p>
    <w:p w14:paraId="1EC9856E" w14:textId="77777777" w:rsidR="004A51D5" w:rsidRPr="004A51D5" w:rsidRDefault="004A51D5" w:rsidP="009601C2">
      <w:pPr>
        <w:pStyle w:val="ListParagraph"/>
        <w:numPr>
          <w:ilvl w:val="1"/>
          <w:numId w:val="17"/>
        </w:numPr>
        <w:tabs>
          <w:tab w:val="left" w:pos="1274"/>
        </w:tabs>
        <w:spacing w:line="276" w:lineRule="auto"/>
        <w:ind w:hanging="568"/>
        <w:jc w:val="both"/>
        <w:rPr>
          <w:rFonts w:ascii="Arial" w:hAnsi="Arial" w:cs="Arial"/>
          <w:sz w:val="20"/>
          <w:szCs w:val="20"/>
        </w:rPr>
      </w:pPr>
      <w:r w:rsidRPr="004A51D5">
        <w:rPr>
          <w:rFonts w:ascii="Arial" w:hAnsi="Arial" w:cs="Arial"/>
          <w:sz w:val="20"/>
          <w:szCs w:val="20"/>
        </w:rPr>
        <w:t>ensure</w:t>
      </w:r>
      <w:r w:rsidRPr="004A51D5">
        <w:rPr>
          <w:rFonts w:ascii="Arial" w:hAnsi="Arial" w:cs="Arial"/>
          <w:spacing w:val="-1"/>
          <w:sz w:val="20"/>
          <w:szCs w:val="20"/>
        </w:rPr>
        <w:t xml:space="preserve"> </w:t>
      </w:r>
      <w:r w:rsidRPr="004A51D5">
        <w:rPr>
          <w:rFonts w:ascii="Arial" w:hAnsi="Arial" w:cs="Arial"/>
          <w:sz w:val="20"/>
          <w:szCs w:val="20"/>
        </w:rPr>
        <w:t>that all</w:t>
      </w:r>
      <w:r w:rsidRPr="004A51D5">
        <w:rPr>
          <w:rFonts w:ascii="Arial" w:hAnsi="Arial" w:cs="Arial"/>
          <w:spacing w:val="-3"/>
          <w:sz w:val="20"/>
          <w:szCs w:val="20"/>
        </w:rPr>
        <w:t xml:space="preserve"> </w:t>
      </w:r>
      <w:r w:rsidRPr="004A51D5">
        <w:rPr>
          <w:rFonts w:ascii="Arial" w:hAnsi="Arial" w:cs="Arial"/>
          <w:sz w:val="20"/>
          <w:szCs w:val="20"/>
        </w:rPr>
        <w:t>crew</w:t>
      </w:r>
      <w:r w:rsidRPr="004A51D5">
        <w:rPr>
          <w:rFonts w:ascii="Arial" w:hAnsi="Arial" w:cs="Arial"/>
          <w:spacing w:val="-2"/>
          <w:sz w:val="20"/>
          <w:szCs w:val="20"/>
        </w:rPr>
        <w:t xml:space="preserve"> </w:t>
      </w:r>
      <w:r w:rsidRPr="004A51D5">
        <w:rPr>
          <w:rFonts w:ascii="Arial" w:hAnsi="Arial" w:cs="Arial"/>
          <w:sz w:val="20"/>
          <w:szCs w:val="20"/>
        </w:rPr>
        <w:t>members can</w:t>
      </w:r>
      <w:r w:rsidRPr="004A51D5">
        <w:rPr>
          <w:rFonts w:ascii="Arial" w:hAnsi="Arial" w:cs="Arial"/>
          <w:spacing w:val="-3"/>
          <w:sz w:val="20"/>
          <w:szCs w:val="20"/>
        </w:rPr>
        <w:t xml:space="preserve"> </w:t>
      </w:r>
      <w:r w:rsidRPr="004A51D5">
        <w:rPr>
          <w:rFonts w:ascii="Arial" w:hAnsi="Arial" w:cs="Arial"/>
          <w:sz w:val="20"/>
          <w:szCs w:val="20"/>
        </w:rPr>
        <w:t>communicate</w:t>
      </w:r>
      <w:r w:rsidRPr="004A51D5">
        <w:rPr>
          <w:rFonts w:ascii="Arial" w:hAnsi="Arial" w:cs="Arial"/>
          <w:spacing w:val="-2"/>
          <w:sz w:val="20"/>
          <w:szCs w:val="20"/>
        </w:rPr>
        <w:t xml:space="preserve"> </w:t>
      </w:r>
      <w:r w:rsidRPr="004A51D5">
        <w:rPr>
          <w:rFonts w:ascii="Arial" w:hAnsi="Arial" w:cs="Arial"/>
          <w:sz w:val="20"/>
          <w:szCs w:val="20"/>
        </w:rPr>
        <w:t>with</w:t>
      </w:r>
      <w:r w:rsidRPr="004A51D5">
        <w:rPr>
          <w:rFonts w:ascii="Arial" w:hAnsi="Arial" w:cs="Arial"/>
          <w:spacing w:val="-2"/>
          <w:sz w:val="20"/>
          <w:szCs w:val="20"/>
        </w:rPr>
        <w:t xml:space="preserve"> </w:t>
      </w:r>
      <w:r w:rsidRPr="004A51D5">
        <w:rPr>
          <w:rFonts w:ascii="Arial" w:hAnsi="Arial" w:cs="Arial"/>
          <w:sz w:val="20"/>
          <w:szCs w:val="20"/>
        </w:rPr>
        <w:t>each</w:t>
      </w:r>
      <w:r w:rsidRPr="004A51D5">
        <w:rPr>
          <w:rFonts w:ascii="Arial" w:hAnsi="Arial" w:cs="Arial"/>
          <w:spacing w:val="-2"/>
          <w:sz w:val="20"/>
          <w:szCs w:val="20"/>
        </w:rPr>
        <w:t xml:space="preserve"> </w:t>
      </w:r>
      <w:r w:rsidRPr="004A51D5">
        <w:rPr>
          <w:rFonts w:ascii="Arial" w:hAnsi="Arial" w:cs="Arial"/>
          <w:sz w:val="20"/>
          <w:szCs w:val="20"/>
        </w:rPr>
        <w:t>other</w:t>
      </w:r>
      <w:r w:rsidRPr="004A51D5">
        <w:rPr>
          <w:rFonts w:ascii="Arial" w:hAnsi="Arial" w:cs="Arial"/>
          <w:spacing w:val="-4"/>
          <w:sz w:val="20"/>
          <w:szCs w:val="20"/>
        </w:rPr>
        <w:t xml:space="preserve"> </w:t>
      </w:r>
      <w:r w:rsidRPr="004A51D5">
        <w:rPr>
          <w:rFonts w:ascii="Arial" w:hAnsi="Arial" w:cs="Arial"/>
          <w:sz w:val="20"/>
          <w:szCs w:val="20"/>
        </w:rPr>
        <w:t>in a</w:t>
      </w:r>
      <w:r w:rsidRPr="004A51D5">
        <w:rPr>
          <w:rFonts w:ascii="Arial" w:hAnsi="Arial" w:cs="Arial"/>
          <w:spacing w:val="-3"/>
          <w:sz w:val="20"/>
          <w:szCs w:val="20"/>
        </w:rPr>
        <w:t xml:space="preserve"> </w:t>
      </w:r>
      <w:r w:rsidRPr="004A51D5">
        <w:rPr>
          <w:rFonts w:ascii="Arial" w:hAnsi="Arial" w:cs="Arial"/>
          <w:sz w:val="20"/>
          <w:szCs w:val="20"/>
        </w:rPr>
        <w:t>common</w:t>
      </w:r>
      <w:r w:rsidRPr="004A51D5">
        <w:rPr>
          <w:rFonts w:ascii="Arial" w:hAnsi="Arial" w:cs="Arial"/>
          <w:spacing w:val="-4"/>
          <w:sz w:val="20"/>
          <w:szCs w:val="20"/>
        </w:rPr>
        <w:t xml:space="preserve"> </w:t>
      </w:r>
      <w:r w:rsidRPr="004A51D5">
        <w:rPr>
          <w:rFonts w:ascii="Arial" w:hAnsi="Arial" w:cs="Arial"/>
          <w:sz w:val="20"/>
          <w:szCs w:val="20"/>
        </w:rPr>
        <w:t>language.</w:t>
      </w:r>
    </w:p>
    <w:p w14:paraId="34109A5D" w14:textId="77777777" w:rsidR="004A51D5" w:rsidRDefault="004A51D5" w:rsidP="009601C2">
      <w:pPr>
        <w:tabs>
          <w:tab w:val="left" w:pos="3090"/>
        </w:tabs>
        <w:spacing w:line="276" w:lineRule="auto"/>
        <w:jc w:val="both"/>
        <w:rPr>
          <w:rFonts w:ascii="Arial" w:hAnsi="Arial" w:cs="Arial"/>
          <w:sz w:val="20"/>
        </w:rPr>
      </w:pPr>
    </w:p>
    <w:p w14:paraId="7BFEAD9C" w14:textId="77777777" w:rsidR="003D1031" w:rsidRPr="001B5C0F" w:rsidRDefault="003D1031" w:rsidP="009601C2">
      <w:pPr>
        <w:keepNext/>
        <w:keepLines/>
        <w:widowControl/>
        <w:shd w:val="clear" w:color="auto" w:fill="339966"/>
        <w:autoSpaceDE/>
        <w:autoSpaceDN/>
        <w:spacing w:before="160" w:after="120" w:line="276" w:lineRule="auto"/>
        <w:outlineLvl w:val="4"/>
        <w:rPr>
          <w:rFonts w:ascii="Arial" w:eastAsia="Times New Roman" w:hAnsi="Arial" w:cs="Times New Roman"/>
          <w:b/>
          <w:color w:val="FFFFFF"/>
          <w:sz w:val="24"/>
        </w:rPr>
      </w:pPr>
      <w:bookmarkStart w:id="45" w:name="_Toc153137199"/>
      <w:r w:rsidRPr="003D1031">
        <w:rPr>
          <w:rFonts w:ascii="Arial" w:eastAsia="Times New Roman" w:hAnsi="Arial" w:cs="Times New Roman"/>
          <w:b/>
          <w:color w:val="FFFFFF"/>
          <w:sz w:val="24"/>
        </w:rPr>
        <w:t>GM1 BOP.BAS.030 Responsibilities of the pilot-in-command</w:t>
      </w:r>
      <w:bookmarkEnd w:id="45"/>
    </w:p>
    <w:p w14:paraId="745732FA" w14:textId="77777777" w:rsidR="003D1031" w:rsidRPr="003D1031" w:rsidRDefault="003D1031" w:rsidP="009601C2">
      <w:pPr>
        <w:widowControl/>
        <w:autoSpaceDE/>
        <w:autoSpaceDN/>
        <w:spacing w:before="240" w:after="160" w:line="276" w:lineRule="auto"/>
        <w:jc w:val="both"/>
        <w:rPr>
          <w:rFonts w:ascii="Arial" w:eastAsiaTheme="minorHAnsi" w:hAnsi="Arial" w:cs="Arial"/>
          <w:b/>
          <w:bCs/>
          <w:sz w:val="20"/>
          <w:szCs w:val="20"/>
        </w:rPr>
      </w:pPr>
      <w:r w:rsidRPr="003D1031">
        <w:rPr>
          <w:rFonts w:ascii="Arial" w:eastAsiaTheme="minorHAnsi" w:hAnsi="Arial" w:cs="Arial"/>
          <w:b/>
          <w:bCs/>
          <w:sz w:val="20"/>
          <w:szCs w:val="20"/>
        </w:rPr>
        <w:t>GENERAL</w:t>
      </w:r>
    </w:p>
    <w:p w14:paraId="504BA405" w14:textId="510A15AF" w:rsidR="003D1031" w:rsidRPr="003D1031" w:rsidRDefault="003D1031" w:rsidP="009601C2">
      <w:pPr>
        <w:tabs>
          <w:tab w:val="left" w:pos="3090"/>
        </w:tabs>
        <w:spacing w:line="276" w:lineRule="auto"/>
        <w:jc w:val="both"/>
        <w:rPr>
          <w:rFonts w:ascii="Arial" w:hAnsi="Arial" w:cs="Arial"/>
          <w:sz w:val="20"/>
          <w:szCs w:val="20"/>
        </w:rPr>
      </w:pPr>
      <w:r w:rsidRPr="003D1031">
        <w:rPr>
          <w:rFonts w:ascii="Arial" w:hAnsi="Arial" w:cs="Arial"/>
          <w:sz w:val="20"/>
          <w:szCs w:val="20"/>
        </w:rPr>
        <w:t xml:space="preserve">In accordance with the essential requirements for air operations, which are laid down in </w:t>
      </w:r>
      <w:hyperlink r:id="rId41" w:history="1">
        <w:r w:rsidR="006E625D">
          <w:rPr>
            <w:rStyle w:val="Hyperlink"/>
            <w:rFonts w:ascii="Arial" w:hAnsi="Arial" w:cs="Arial"/>
            <w:sz w:val="20"/>
            <w:szCs w:val="20"/>
          </w:rPr>
          <w:t>Law on Aviation of the Republic of Armenia</w:t>
        </w:r>
      </w:hyperlink>
      <w:r w:rsidRPr="003D1031">
        <w:rPr>
          <w:rFonts w:ascii="Arial" w:hAnsi="Arial" w:cs="Arial"/>
          <w:sz w:val="20"/>
          <w:szCs w:val="20"/>
        </w:rPr>
        <w:t>, the pilot-in-command is responsible for the operation and safety of the balloon and for the safety of all passengers on board. This includes the following:</w:t>
      </w:r>
    </w:p>
    <w:p w14:paraId="00E02FC2" w14:textId="77777777" w:rsidR="003D1031" w:rsidRPr="003D1031" w:rsidRDefault="003D1031" w:rsidP="009601C2">
      <w:pPr>
        <w:numPr>
          <w:ilvl w:val="0"/>
          <w:numId w:val="18"/>
        </w:numPr>
        <w:tabs>
          <w:tab w:val="left" w:pos="3090"/>
        </w:tabs>
        <w:spacing w:line="276" w:lineRule="auto"/>
        <w:jc w:val="both"/>
        <w:rPr>
          <w:rFonts w:ascii="Arial" w:hAnsi="Arial" w:cs="Arial"/>
          <w:sz w:val="20"/>
          <w:szCs w:val="20"/>
        </w:rPr>
      </w:pPr>
      <w:r w:rsidRPr="003D1031">
        <w:rPr>
          <w:rFonts w:ascii="Arial" w:hAnsi="Arial" w:cs="Arial"/>
          <w:sz w:val="20"/>
          <w:szCs w:val="20"/>
        </w:rPr>
        <w:t>the safety of all passengers on board, as soon as he or she arrives on board until he or she leaves the balloon at the end of the flight; and</w:t>
      </w:r>
    </w:p>
    <w:p w14:paraId="6F9902B8" w14:textId="797968F8" w:rsidR="003D1031" w:rsidRPr="0047307C" w:rsidRDefault="003D1031" w:rsidP="009601C2">
      <w:pPr>
        <w:numPr>
          <w:ilvl w:val="0"/>
          <w:numId w:val="18"/>
        </w:numPr>
        <w:tabs>
          <w:tab w:val="left" w:pos="3090"/>
        </w:tabs>
        <w:spacing w:line="276" w:lineRule="auto"/>
        <w:jc w:val="both"/>
        <w:rPr>
          <w:rFonts w:ascii="Arial" w:hAnsi="Arial" w:cs="Arial"/>
          <w:sz w:val="20"/>
          <w:szCs w:val="20"/>
        </w:rPr>
      </w:pPr>
      <w:r w:rsidRPr="003D1031">
        <w:rPr>
          <w:rFonts w:ascii="Arial" w:hAnsi="Arial" w:cs="Arial"/>
          <w:sz w:val="20"/>
          <w:szCs w:val="20"/>
        </w:rPr>
        <w:t xml:space="preserve">the operation and safety of the balloon from the moment the balloon is unloaded from the retrieve vehicle or trailer to the moment the balloon is reloaded, unless the preparation of the flight is </w:t>
      </w:r>
      <w:r w:rsidRPr="003D1031">
        <w:rPr>
          <w:rFonts w:ascii="Arial" w:hAnsi="Arial" w:cs="Arial"/>
          <w:sz w:val="20"/>
          <w:szCs w:val="20"/>
        </w:rPr>
        <w:lastRenderedPageBreak/>
        <w:t>delegated to a crew member.</w:t>
      </w:r>
    </w:p>
    <w:p w14:paraId="5C0A310F" w14:textId="77777777" w:rsidR="009845BD" w:rsidRPr="006A0870" w:rsidRDefault="009845BD" w:rsidP="009601C2">
      <w:pPr>
        <w:keepNext/>
        <w:keepLines/>
        <w:shd w:val="clear" w:color="auto" w:fill="ED7D31"/>
        <w:spacing w:before="160" w:after="120" w:line="276" w:lineRule="auto"/>
        <w:outlineLvl w:val="4"/>
        <w:rPr>
          <w:rFonts w:ascii="Arial" w:eastAsia="Times New Roman" w:hAnsi="Arial" w:cs="Times New Roman"/>
          <w:b/>
          <w:color w:val="FFFFFF"/>
          <w:sz w:val="24"/>
        </w:rPr>
      </w:pPr>
      <w:bookmarkStart w:id="46" w:name="_Toc153137200"/>
      <w:r w:rsidRPr="009845BD">
        <w:rPr>
          <w:rFonts w:ascii="Arial" w:eastAsia="Times New Roman" w:hAnsi="Arial" w:cs="Times New Roman"/>
          <w:b/>
          <w:color w:val="FFFFFF"/>
          <w:sz w:val="24"/>
        </w:rPr>
        <w:t>AMC1 BOP.BAS.030(a)(3) Responsibilities of the pilot-in-command</w:t>
      </w:r>
      <w:bookmarkEnd w:id="46"/>
      <w:r w:rsidRPr="009845BD">
        <w:rPr>
          <w:rFonts w:ascii="Arial" w:eastAsia="Times New Roman" w:hAnsi="Arial" w:cs="Times New Roman"/>
          <w:b/>
          <w:color w:val="FFFFFF"/>
          <w:sz w:val="24"/>
        </w:rPr>
        <w:tab/>
      </w:r>
    </w:p>
    <w:p w14:paraId="0E08F760" w14:textId="77777777" w:rsidR="009845BD" w:rsidRPr="009845BD" w:rsidRDefault="009845BD" w:rsidP="009601C2">
      <w:pPr>
        <w:widowControl/>
        <w:autoSpaceDE/>
        <w:autoSpaceDN/>
        <w:spacing w:before="240" w:after="160" w:line="276" w:lineRule="auto"/>
        <w:jc w:val="both"/>
        <w:rPr>
          <w:rFonts w:ascii="Arial" w:eastAsiaTheme="minorHAnsi" w:hAnsi="Arial" w:cs="Arial"/>
          <w:b/>
          <w:bCs/>
          <w:sz w:val="20"/>
          <w:szCs w:val="20"/>
        </w:rPr>
      </w:pPr>
      <w:r w:rsidRPr="009845BD">
        <w:rPr>
          <w:rFonts w:ascii="Arial" w:eastAsiaTheme="minorHAnsi" w:hAnsi="Arial" w:cs="Arial"/>
          <w:b/>
          <w:bCs/>
          <w:sz w:val="20"/>
          <w:szCs w:val="20"/>
        </w:rPr>
        <w:t>CHECKLISTS</w:t>
      </w:r>
    </w:p>
    <w:p w14:paraId="0906D912" w14:textId="77777777" w:rsidR="009845BD" w:rsidRPr="009845BD" w:rsidRDefault="009845BD" w:rsidP="009601C2">
      <w:pPr>
        <w:numPr>
          <w:ilvl w:val="0"/>
          <w:numId w:val="19"/>
        </w:numPr>
        <w:tabs>
          <w:tab w:val="left" w:pos="3090"/>
        </w:tabs>
        <w:spacing w:line="276" w:lineRule="auto"/>
        <w:jc w:val="both"/>
        <w:rPr>
          <w:rFonts w:ascii="Arial" w:hAnsi="Arial" w:cs="Arial"/>
          <w:sz w:val="20"/>
        </w:rPr>
      </w:pPr>
      <w:r w:rsidRPr="009845BD">
        <w:rPr>
          <w:rFonts w:ascii="Arial" w:hAnsi="Arial" w:cs="Arial"/>
          <w:sz w:val="20"/>
        </w:rPr>
        <w:t>The pilot-in-command should use the latest checklists provided by the manufacturer or the operator.</w:t>
      </w:r>
    </w:p>
    <w:p w14:paraId="66C24E0B" w14:textId="77777777" w:rsidR="009845BD" w:rsidRPr="009845BD" w:rsidRDefault="009845BD" w:rsidP="009601C2">
      <w:pPr>
        <w:numPr>
          <w:ilvl w:val="0"/>
          <w:numId w:val="19"/>
        </w:numPr>
        <w:tabs>
          <w:tab w:val="left" w:pos="3090"/>
        </w:tabs>
        <w:spacing w:line="276" w:lineRule="auto"/>
        <w:jc w:val="both"/>
        <w:rPr>
          <w:rFonts w:ascii="Arial" w:hAnsi="Arial" w:cs="Arial"/>
          <w:sz w:val="20"/>
        </w:rPr>
      </w:pPr>
      <w:r w:rsidRPr="009845BD">
        <w:rPr>
          <w:rFonts w:ascii="Arial" w:hAnsi="Arial" w:cs="Arial"/>
          <w:sz w:val="20"/>
        </w:rPr>
        <w:t>If checks conducted before take-off are suspended at any point, the pilot-in-command should restart them from a safe point prior to the interruption.</w:t>
      </w:r>
    </w:p>
    <w:p w14:paraId="00BAC8D8" w14:textId="64AEE6B6" w:rsidR="00DB3D4A" w:rsidRDefault="00DB3D4A" w:rsidP="009601C2">
      <w:pPr>
        <w:tabs>
          <w:tab w:val="left" w:pos="3090"/>
        </w:tabs>
        <w:spacing w:line="276" w:lineRule="auto"/>
        <w:jc w:val="both"/>
        <w:rPr>
          <w:sz w:val="16"/>
        </w:rPr>
      </w:pPr>
    </w:p>
    <w:p w14:paraId="18B7A9B0" w14:textId="77777777" w:rsidR="00DB3D4A" w:rsidRPr="001B5C0F" w:rsidRDefault="00DB3D4A" w:rsidP="009601C2">
      <w:pPr>
        <w:keepNext/>
        <w:keepLines/>
        <w:widowControl/>
        <w:shd w:val="clear" w:color="auto" w:fill="339966"/>
        <w:autoSpaceDE/>
        <w:autoSpaceDN/>
        <w:spacing w:before="160" w:after="120" w:line="276" w:lineRule="auto"/>
        <w:outlineLvl w:val="4"/>
        <w:rPr>
          <w:rFonts w:ascii="Arial" w:eastAsia="Times New Roman" w:hAnsi="Arial" w:cs="Times New Roman"/>
          <w:b/>
          <w:color w:val="FFFFFF"/>
          <w:sz w:val="24"/>
        </w:rPr>
      </w:pPr>
      <w:bookmarkStart w:id="47" w:name="_Toc153137201"/>
      <w:r w:rsidRPr="00DB3D4A">
        <w:rPr>
          <w:rFonts w:ascii="Arial" w:eastAsia="Times New Roman" w:hAnsi="Arial" w:cs="Times New Roman"/>
          <w:b/>
          <w:color w:val="FFFFFF"/>
          <w:sz w:val="24"/>
        </w:rPr>
        <w:t>GM1 BOP.BAS.030(a)(7) Responsibilities of the pilot-in-command</w:t>
      </w:r>
      <w:bookmarkEnd w:id="47"/>
      <w:r w:rsidRPr="00DB3D4A">
        <w:rPr>
          <w:rFonts w:ascii="Arial" w:eastAsia="Times New Roman" w:hAnsi="Arial" w:cs="Times New Roman"/>
          <w:b/>
          <w:color w:val="FFFFFF"/>
          <w:sz w:val="24"/>
        </w:rPr>
        <w:tab/>
      </w:r>
    </w:p>
    <w:p w14:paraId="58F586A6" w14:textId="77777777" w:rsidR="00DB3D4A" w:rsidRPr="00DB3D4A" w:rsidRDefault="00DB3D4A" w:rsidP="009601C2">
      <w:pPr>
        <w:widowControl/>
        <w:autoSpaceDE/>
        <w:autoSpaceDN/>
        <w:spacing w:before="240" w:after="160" w:line="276" w:lineRule="auto"/>
        <w:jc w:val="both"/>
        <w:rPr>
          <w:rFonts w:ascii="Arial" w:eastAsiaTheme="minorHAnsi" w:hAnsi="Arial" w:cs="Arial"/>
          <w:b/>
          <w:bCs/>
          <w:sz w:val="20"/>
          <w:szCs w:val="20"/>
        </w:rPr>
      </w:pPr>
      <w:r w:rsidRPr="00DB3D4A">
        <w:rPr>
          <w:rFonts w:ascii="Arial" w:eastAsiaTheme="minorHAnsi" w:hAnsi="Arial" w:cs="Arial"/>
          <w:b/>
          <w:bCs/>
          <w:sz w:val="20"/>
          <w:szCs w:val="20"/>
        </w:rPr>
        <w:t>PROTECTIVE CLOTHING</w:t>
      </w:r>
    </w:p>
    <w:p w14:paraId="5E3B7F1C" w14:textId="77777777" w:rsidR="00DB3D4A" w:rsidRPr="00DB3D4A" w:rsidRDefault="00DB3D4A" w:rsidP="009601C2">
      <w:pPr>
        <w:tabs>
          <w:tab w:val="left" w:pos="3090"/>
        </w:tabs>
        <w:spacing w:line="276" w:lineRule="auto"/>
        <w:jc w:val="both"/>
        <w:rPr>
          <w:rFonts w:ascii="Arial" w:hAnsi="Arial" w:cs="Arial"/>
          <w:sz w:val="20"/>
        </w:rPr>
      </w:pPr>
      <w:r w:rsidRPr="00DB3D4A">
        <w:rPr>
          <w:rFonts w:ascii="Arial" w:hAnsi="Arial" w:cs="Arial"/>
          <w:sz w:val="20"/>
        </w:rPr>
        <w:t>Protective clothing includes:</w:t>
      </w:r>
    </w:p>
    <w:p w14:paraId="2B882D70" w14:textId="77777777" w:rsidR="00DB3D4A" w:rsidRPr="00DB3D4A" w:rsidRDefault="00DB3D4A" w:rsidP="009601C2">
      <w:pPr>
        <w:numPr>
          <w:ilvl w:val="0"/>
          <w:numId w:val="20"/>
        </w:numPr>
        <w:tabs>
          <w:tab w:val="left" w:pos="3090"/>
        </w:tabs>
        <w:spacing w:line="276" w:lineRule="auto"/>
        <w:jc w:val="both"/>
        <w:rPr>
          <w:rFonts w:ascii="Arial" w:hAnsi="Arial" w:cs="Arial"/>
          <w:sz w:val="20"/>
        </w:rPr>
      </w:pPr>
      <w:r w:rsidRPr="00DB3D4A">
        <w:rPr>
          <w:rFonts w:ascii="Arial" w:hAnsi="Arial" w:cs="Arial"/>
          <w:sz w:val="20"/>
        </w:rPr>
        <w:t>long sleeves and trousers preferably made of natural fibres;</w:t>
      </w:r>
    </w:p>
    <w:p w14:paraId="2243FA7B" w14:textId="77777777" w:rsidR="00DB3D4A" w:rsidRPr="00DB3D4A" w:rsidRDefault="00DB3D4A" w:rsidP="009601C2">
      <w:pPr>
        <w:numPr>
          <w:ilvl w:val="0"/>
          <w:numId w:val="20"/>
        </w:numPr>
        <w:tabs>
          <w:tab w:val="left" w:pos="3090"/>
        </w:tabs>
        <w:spacing w:line="276" w:lineRule="auto"/>
        <w:jc w:val="both"/>
        <w:rPr>
          <w:rFonts w:ascii="Arial" w:hAnsi="Arial" w:cs="Arial"/>
          <w:sz w:val="20"/>
        </w:rPr>
      </w:pPr>
      <w:r w:rsidRPr="00DB3D4A">
        <w:rPr>
          <w:rFonts w:ascii="Arial" w:hAnsi="Arial" w:cs="Arial"/>
          <w:sz w:val="20"/>
        </w:rPr>
        <w:t>stout footwear; and</w:t>
      </w:r>
    </w:p>
    <w:p w14:paraId="32C6EA67" w14:textId="56A9E3E3" w:rsidR="00DB3D4A" w:rsidRPr="00233B98" w:rsidRDefault="00DB3D4A" w:rsidP="009601C2">
      <w:pPr>
        <w:numPr>
          <w:ilvl w:val="0"/>
          <w:numId w:val="20"/>
        </w:numPr>
        <w:tabs>
          <w:tab w:val="left" w:pos="3090"/>
        </w:tabs>
        <w:spacing w:line="276" w:lineRule="auto"/>
        <w:jc w:val="both"/>
        <w:rPr>
          <w:rFonts w:ascii="Arial" w:hAnsi="Arial" w:cs="Arial"/>
          <w:sz w:val="20"/>
        </w:rPr>
      </w:pPr>
      <w:r w:rsidRPr="00DB3D4A">
        <w:rPr>
          <w:rFonts w:ascii="Arial" w:hAnsi="Arial" w:cs="Arial"/>
          <w:sz w:val="20"/>
        </w:rPr>
        <w:t>gloves.</w:t>
      </w:r>
    </w:p>
    <w:p w14:paraId="141B3A67" w14:textId="77777777" w:rsidR="00DB3D4A" w:rsidRPr="001B5C0F" w:rsidRDefault="00DB3D4A" w:rsidP="009601C2">
      <w:pPr>
        <w:keepNext/>
        <w:keepLines/>
        <w:widowControl/>
        <w:shd w:val="clear" w:color="auto" w:fill="339966"/>
        <w:autoSpaceDE/>
        <w:autoSpaceDN/>
        <w:spacing w:before="160" w:after="120" w:line="276" w:lineRule="auto"/>
        <w:outlineLvl w:val="4"/>
        <w:rPr>
          <w:rFonts w:ascii="Arial" w:eastAsia="Times New Roman" w:hAnsi="Arial" w:cs="Times New Roman"/>
          <w:b/>
          <w:color w:val="FFFFFF"/>
          <w:sz w:val="24"/>
        </w:rPr>
      </w:pPr>
      <w:bookmarkStart w:id="48" w:name="_Toc153137202"/>
      <w:r w:rsidRPr="00DB3D4A">
        <w:rPr>
          <w:rFonts w:ascii="Arial" w:eastAsia="Times New Roman" w:hAnsi="Arial" w:cs="Times New Roman"/>
          <w:b/>
          <w:color w:val="FFFFFF"/>
          <w:sz w:val="24"/>
        </w:rPr>
        <w:t>GM1 BOP.BAS.030(a)(14) Responsibilities of the pilot-in-command</w:t>
      </w:r>
      <w:bookmarkEnd w:id="48"/>
      <w:r w:rsidRPr="00DB3D4A">
        <w:rPr>
          <w:rFonts w:ascii="Arial" w:eastAsia="Times New Roman" w:hAnsi="Arial" w:cs="Times New Roman"/>
          <w:b/>
          <w:color w:val="FFFFFF"/>
          <w:sz w:val="24"/>
        </w:rPr>
        <w:tab/>
      </w:r>
    </w:p>
    <w:p w14:paraId="739C31BE" w14:textId="77777777" w:rsidR="00DB3D4A" w:rsidRPr="00DB3D4A" w:rsidRDefault="00DB3D4A" w:rsidP="009601C2">
      <w:pPr>
        <w:widowControl/>
        <w:autoSpaceDE/>
        <w:autoSpaceDN/>
        <w:spacing w:before="240" w:after="160" w:line="276" w:lineRule="auto"/>
        <w:jc w:val="both"/>
        <w:rPr>
          <w:rFonts w:ascii="Arial" w:eastAsiaTheme="minorHAnsi" w:hAnsi="Arial" w:cs="Arial"/>
          <w:b/>
          <w:bCs/>
          <w:sz w:val="20"/>
          <w:szCs w:val="20"/>
        </w:rPr>
      </w:pPr>
      <w:r w:rsidRPr="00DB3D4A">
        <w:rPr>
          <w:rFonts w:ascii="Arial" w:eastAsiaTheme="minorHAnsi" w:hAnsi="Arial" w:cs="Arial"/>
          <w:b/>
          <w:bCs/>
          <w:sz w:val="20"/>
          <w:szCs w:val="20"/>
        </w:rPr>
        <w:t>RECORDING UTILISATION DATA</w:t>
      </w:r>
    </w:p>
    <w:p w14:paraId="4A2D4C4B" w14:textId="77777777" w:rsidR="00DB3D4A" w:rsidRPr="00DB3D4A" w:rsidRDefault="00DB3D4A" w:rsidP="009601C2">
      <w:pPr>
        <w:pStyle w:val="BodyText"/>
        <w:spacing w:before="119" w:line="276" w:lineRule="auto"/>
        <w:ind w:right="193"/>
        <w:jc w:val="both"/>
        <w:rPr>
          <w:rFonts w:ascii="Arial" w:hAnsi="Arial" w:cs="Arial"/>
          <w:sz w:val="20"/>
          <w:szCs w:val="20"/>
        </w:rPr>
      </w:pPr>
      <w:r w:rsidRPr="00DB3D4A">
        <w:rPr>
          <w:rFonts w:ascii="Arial" w:hAnsi="Arial" w:cs="Arial"/>
          <w:sz w:val="20"/>
          <w:szCs w:val="20"/>
        </w:rPr>
        <w:t>Where a balloon conducts a series of flights of short duration and is operated by the same pilot-in- command, the utilisation data for the series of flights may be recorded in the balloon logbook as a single entry.</w:t>
      </w:r>
    </w:p>
    <w:p w14:paraId="46D4C644" w14:textId="77777777" w:rsidR="00DB3D4A" w:rsidRDefault="00DB3D4A" w:rsidP="009601C2">
      <w:pPr>
        <w:tabs>
          <w:tab w:val="left" w:pos="3090"/>
        </w:tabs>
        <w:spacing w:line="276" w:lineRule="auto"/>
        <w:jc w:val="both"/>
        <w:rPr>
          <w:rFonts w:ascii="Arial" w:hAnsi="Arial" w:cs="Arial"/>
          <w:sz w:val="20"/>
        </w:rPr>
      </w:pPr>
    </w:p>
    <w:p w14:paraId="6BC7038E" w14:textId="77777777" w:rsidR="002A1171" w:rsidRPr="002A1171" w:rsidRDefault="002A1171" w:rsidP="009601C2">
      <w:pPr>
        <w:keepNext/>
        <w:keepLines/>
        <w:shd w:val="clear" w:color="auto" w:fill="ED7D31"/>
        <w:spacing w:before="160" w:after="120" w:line="276" w:lineRule="auto"/>
        <w:outlineLvl w:val="4"/>
        <w:rPr>
          <w:rFonts w:ascii="Arial" w:eastAsia="Times New Roman" w:hAnsi="Arial" w:cs="Times New Roman"/>
          <w:b/>
          <w:color w:val="FFFFFF"/>
          <w:sz w:val="24"/>
        </w:rPr>
      </w:pPr>
      <w:bookmarkStart w:id="49" w:name="_Toc153137203"/>
      <w:r w:rsidRPr="002A1171">
        <w:rPr>
          <w:rFonts w:ascii="Arial" w:eastAsia="Times New Roman" w:hAnsi="Arial" w:cs="Times New Roman"/>
          <w:b/>
          <w:color w:val="FFFFFF"/>
          <w:sz w:val="24"/>
        </w:rPr>
        <w:t>AMC1 BOP.BAS.030(a)(17) Responsibilities of the pilot-in-command</w:t>
      </w:r>
      <w:bookmarkEnd w:id="49"/>
      <w:r w:rsidRPr="002A1171">
        <w:rPr>
          <w:rFonts w:ascii="Arial" w:eastAsia="Times New Roman" w:hAnsi="Arial" w:cs="Times New Roman"/>
          <w:b/>
          <w:color w:val="FFFFFF"/>
          <w:sz w:val="24"/>
        </w:rPr>
        <w:t xml:space="preserve"> </w:t>
      </w:r>
    </w:p>
    <w:p w14:paraId="4CE04B28" w14:textId="77777777" w:rsidR="002A1171" w:rsidRPr="002A1171" w:rsidRDefault="002A1171" w:rsidP="009601C2">
      <w:pPr>
        <w:widowControl/>
        <w:autoSpaceDE/>
        <w:autoSpaceDN/>
        <w:spacing w:before="240" w:after="160" w:line="276" w:lineRule="auto"/>
        <w:jc w:val="both"/>
        <w:rPr>
          <w:rFonts w:ascii="Arial" w:eastAsiaTheme="minorHAnsi" w:hAnsi="Arial" w:cs="Arial"/>
          <w:b/>
          <w:bCs/>
          <w:sz w:val="20"/>
          <w:szCs w:val="20"/>
        </w:rPr>
      </w:pPr>
      <w:r w:rsidRPr="002A1171">
        <w:rPr>
          <w:rFonts w:ascii="Arial" w:eastAsiaTheme="minorHAnsi" w:hAnsi="Arial" w:cs="Arial"/>
          <w:b/>
          <w:bCs/>
          <w:sz w:val="20"/>
          <w:szCs w:val="20"/>
        </w:rPr>
        <w:t>REPORTING OF HAZARDOUS FLIGHT CONDITIONS</w:t>
      </w:r>
    </w:p>
    <w:p w14:paraId="26A29BFF" w14:textId="1D44F953" w:rsidR="002A1171" w:rsidRPr="0047307C" w:rsidRDefault="002A1171" w:rsidP="0047307C">
      <w:pPr>
        <w:numPr>
          <w:ilvl w:val="0"/>
          <w:numId w:val="21"/>
        </w:numPr>
        <w:tabs>
          <w:tab w:val="left" w:pos="3090"/>
        </w:tabs>
        <w:spacing w:line="276" w:lineRule="auto"/>
        <w:jc w:val="both"/>
        <w:rPr>
          <w:rFonts w:ascii="Arial" w:hAnsi="Arial" w:cs="Arial"/>
          <w:sz w:val="20"/>
        </w:rPr>
      </w:pPr>
      <w:r w:rsidRPr="002A1171">
        <w:rPr>
          <w:rFonts w:ascii="Arial" w:hAnsi="Arial" w:cs="Arial"/>
          <w:sz w:val="20"/>
        </w:rPr>
        <w:t>These reports should include any detail which may be pertinent to the safety of other aircraft.</w:t>
      </w:r>
    </w:p>
    <w:p w14:paraId="47473A50" w14:textId="77777777" w:rsidR="002A1171" w:rsidRPr="002A1171" w:rsidRDefault="002A1171" w:rsidP="009601C2">
      <w:pPr>
        <w:numPr>
          <w:ilvl w:val="0"/>
          <w:numId w:val="21"/>
        </w:numPr>
        <w:tabs>
          <w:tab w:val="left" w:pos="3090"/>
        </w:tabs>
        <w:spacing w:line="276" w:lineRule="auto"/>
        <w:jc w:val="both"/>
        <w:rPr>
          <w:rFonts w:ascii="Arial" w:hAnsi="Arial" w:cs="Arial"/>
          <w:sz w:val="20"/>
        </w:rPr>
      </w:pPr>
      <w:r w:rsidRPr="002A1171">
        <w:rPr>
          <w:rFonts w:ascii="Arial" w:hAnsi="Arial" w:cs="Arial"/>
          <w:sz w:val="20"/>
        </w:rPr>
        <w:t>When unexpected meteorological conditions affecting other aircraft are encountered that, in the opinion of the pilot-in-command, may affect the safety of other aircraft operations, he or she should advise the appropriate air traffic services (ATS) unit as soon as practicable.</w:t>
      </w:r>
    </w:p>
    <w:p w14:paraId="1294DD24" w14:textId="77777777" w:rsidR="002A1171" w:rsidRDefault="002A1171" w:rsidP="009601C2">
      <w:pPr>
        <w:tabs>
          <w:tab w:val="left" w:pos="3090"/>
        </w:tabs>
        <w:spacing w:line="276" w:lineRule="auto"/>
        <w:jc w:val="both"/>
        <w:rPr>
          <w:rFonts w:ascii="Arial" w:hAnsi="Arial" w:cs="Arial"/>
          <w:sz w:val="20"/>
        </w:rPr>
      </w:pPr>
    </w:p>
    <w:p w14:paraId="73F46BE4" w14:textId="77777777" w:rsidR="002A1171" w:rsidRPr="002A1171" w:rsidRDefault="002A1171" w:rsidP="009601C2">
      <w:pPr>
        <w:keepNext/>
        <w:keepLines/>
        <w:shd w:val="clear" w:color="auto" w:fill="ED7D31"/>
        <w:spacing w:before="160" w:after="120" w:line="276" w:lineRule="auto"/>
        <w:outlineLvl w:val="4"/>
        <w:rPr>
          <w:rFonts w:ascii="Arial" w:eastAsia="Times New Roman" w:hAnsi="Arial" w:cs="Times New Roman"/>
          <w:b/>
          <w:color w:val="FFFFFF"/>
          <w:sz w:val="24"/>
        </w:rPr>
      </w:pPr>
      <w:bookmarkStart w:id="50" w:name="AMC1_BOP.BAS.030(b)(1)_&amp;_AMC1_BOP.BAS.04"/>
      <w:bookmarkStart w:id="51" w:name="_bookmark39"/>
      <w:bookmarkStart w:id="52" w:name="_Toc153137204"/>
      <w:bookmarkEnd w:id="50"/>
      <w:bookmarkEnd w:id="51"/>
      <w:r w:rsidRPr="002A1171">
        <w:rPr>
          <w:rFonts w:ascii="Arial" w:eastAsia="Times New Roman" w:hAnsi="Arial" w:cs="Times New Roman"/>
          <w:b/>
          <w:color w:val="FFFFFF"/>
          <w:sz w:val="24"/>
        </w:rPr>
        <w:t>AMC1 BOP.BAS.030(b)(1) &amp; AMC1 BOP.BAS.040(b) Responsibilities of the</w:t>
      </w:r>
      <w:r>
        <w:rPr>
          <w:rFonts w:ascii="Arial" w:eastAsia="Times New Roman" w:hAnsi="Arial" w:cs="Times New Roman"/>
          <w:b/>
          <w:color w:val="FFFFFF"/>
          <w:sz w:val="24"/>
        </w:rPr>
        <w:t xml:space="preserve"> </w:t>
      </w:r>
      <w:r w:rsidRPr="002A1171">
        <w:rPr>
          <w:rFonts w:ascii="Arial" w:eastAsia="Times New Roman" w:hAnsi="Arial" w:cs="Times New Roman"/>
          <w:b/>
          <w:color w:val="FFFFFF"/>
          <w:sz w:val="24"/>
        </w:rPr>
        <w:t>pilot-in-command &amp; responsibilities of crew members</w:t>
      </w:r>
      <w:bookmarkEnd w:id="52"/>
    </w:p>
    <w:p w14:paraId="02DC046A" w14:textId="77777777" w:rsidR="002A1171" w:rsidRPr="002A1171" w:rsidRDefault="002A1171" w:rsidP="009601C2">
      <w:pPr>
        <w:widowControl/>
        <w:autoSpaceDE/>
        <w:autoSpaceDN/>
        <w:spacing w:before="240" w:after="160" w:line="276" w:lineRule="auto"/>
        <w:jc w:val="both"/>
        <w:rPr>
          <w:rFonts w:ascii="Arial" w:eastAsiaTheme="minorHAnsi" w:hAnsi="Arial" w:cs="Arial"/>
          <w:b/>
          <w:bCs/>
          <w:sz w:val="20"/>
          <w:szCs w:val="20"/>
        </w:rPr>
      </w:pPr>
      <w:r w:rsidRPr="002A1171">
        <w:rPr>
          <w:rFonts w:ascii="Arial" w:eastAsiaTheme="minorHAnsi" w:hAnsi="Arial" w:cs="Arial"/>
          <w:b/>
          <w:bCs/>
          <w:sz w:val="20"/>
          <w:szCs w:val="20"/>
        </w:rPr>
        <w:t>ALCOHOL CONSUMPTION</w:t>
      </w:r>
    </w:p>
    <w:p w14:paraId="4DA21047" w14:textId="77777777" w:rsidR="002A1171" w:rsidRDefault="002A1171" w:rsidP="009601C2">
      <w:pPr>
        <w:tabs>
          <w:tab w:val="left" w:pos="3090"/>
        </w:tabs>
        <w:spacing w:line="276" w:lineRule="auto"/>
        <w:jc w:val="both"/>
        <w:rPr>
          <w:rFonts w:ascii="Arial" w:hAnsi="Arial" w:cs="Arial"/>
          <w:sz w:val="20"/>
        </w:rPr>
      </w:pPr>
      <w:r w:rsidRPr="002A1171">
        <w:rPr>
          <w:rFonts w:ascii="Arial" w:hAnsi="Arial" w:cs="Arial"/>
          <w:sz w:val="20"/>
        </w:rPr>
        <w:t>The operator should issue instructions concerning the consumption of alcohol by the pilot-in- command and the crew members. The instructions should not be less restrictive than the following:</w:t>
      </w:r>
    </w:p>
    <w:p w14:paraId="5D574F5B" w14:textId="77777777" w:rsidR="002A1171" w:rsidRPr="002A1171" w:rsidRDefault="002A1171" w:rsidP="009601C2">
      <w:pPr>
        <w:tabs>
          <w:tab w:val="left" w:pos="3090"/>
        </w:tabs>
        <w:spacing w:line="276" w:lineRule="auto"/>
        <w:jc w:val="both"/>
        <w:rPr>
          <w:rFonts w:ascii="Arial" w:hAnsi="Arial" w:cs="Arial"/>
          <w:sz w:val="20"/>
        </w:rPr>
      </w:pPr>
    </w:p>
    <w:p w14:paraId="798C458C" w14:textId="77777777" w:rsidR="002A1171" w:rsidRPr="002A1171" w:rsidRDefault="002A1171" w:rsidP="009601C2">
      <w:pPr>
        <w:numPr>
          <w:ilvl w:val="0"/>
          <w:numId w:val="22"/>
        </w:numPr>
        <w:tabs>
          <w:tab w:val="left" w:pos="3090"/>
        </w:tabs>
        <w:spacing w:line="276" w:lineRule="auto"/>
        <w:jc w:val="both"/>
        <w:rPr>
          <w:rFonts w:ascii="Arial" w:hAnsi="Arial" w:cs="Arial"/>
          <w:sz w:val="20"/>
        </w:rPr>
      </w:pPr>
      <w:r w:rsidRPr="002A1171">
        <w:rPr>
          <w:rFonts w:ascii="Arial" w:hAnsi="Arial" w:cs="Arial"/>
          <w:sz w:val="20"/>
        </w:rPr>
        <w:t>no alcohol should be consumed less than 8 hours prior to an operation;</w:t>
      </w:r>
    </w:p>
    <w:p w14:paraId="155516DB" w14:textId="77777777" w:rsidR="002A1171" w:rsidRPr="002A1171" w:rsidRDefault="002A1171" w:rsidP="009601C2">
      <w:pPr>
        <w:numPr>
          <w:ilvl w:val="0"/>
          <w:numId w:val="22"/>
        </w:numPr>
        <w:tabs>
          <w:tab w:val="left" w:pos="3090"/>
        </w:tabs>
        <w:spacing w:line="276" w:lineRule="auto"/>
        <w:jc w:val="both"/>
        <w:rPr>
          <w:rFonts w:ascii="Arial" w:hAnsi="Arial" w:cs="Arial"/>
          <w:sz w:val="20"/>
        </w:rPr>
      </w:pPr>
      <w:r w:rsidRPr="002A1171">
        <w:rPr>
          <w:rFonts w:ascii="Arial" w:hAnsi="Arial" w:cs="Arial"/>
          <w:sz w:val="20"/>
        </w:rPr>
        <w:t>the blood alcohol level should not exceed the lower of the national requirements or 0.2 grams of alcohol in 1 litre of blood at the start of an operation; and</w:t>
      </w:r>
    </w:p>
    <w:p w14:paraId="7C5A80EF" w14:textId="77777777" w:rsidR="002A1171" w:rsidRPr="002A1171" w:rsidRDefault="002A1171" w:rsidP="009601C2">
      <w:pPr>
        <w:numPr>
          <w:ilvl w:val="0"/>
          <w:numId w:val="22"/>
        </w:numPr>
        <w:tabs>
          <w:tab w:val="left" w:pos="3090"/>
        </w:tabs>
        <w:spacing w:line="276" w:lineRule="auto"/>
        <w:jc w:val="both"/>
        <w:rPr>
          <w:rFonts w:ascii="Arial" w:hAnsi="Arial" w:cs="Arial"/>
          <w:sz w:val="20"/>
        </w:rPr>
      </w:pPr>
      <w:r w:rsidRPr="002A1171">
        <w:rPr>
          <w:rFonts w:ascii="Arial" w:hAnsi="Arial" w:cs="Arial"/>
          <w:sz w:val="20"/>
        </w:rPr>
        <w:t>no alcohol should be consumed during the operation.</w:t>
      </w:r>
    </w:p>
    <w:p w14:paraId="37114590" w14:textId="77777777" w:rsidR="002A1171" w:rsidRDefault="002A1171" w:rsidP="009601C2">
      <w:pPr>
        <w:tabs>
          <w:tab w:val="left" w:pos="3090"/>
        </w:tabs>
        <w:spacing w:line="276" w:lineRule="auto"/>
        <w:jc w:val="both"/>
        <w:rPr>
          <w:rFonts w:ascii="Arial" w:hAnsi="Arial" w:cs="Arial"/>
          <w:sz w:val="20"/>
        </w:rPr>
      </w:pPr>
    </w:p>
    <w:p w14:paraId="2CA67F27" w14:textId="77777777" w:rsidR="002A1171" w:rsidRPr="002A1171" w:rsidRDefault="002A1171" w:rsidP="009601C2">
      <w:pPr>
        <w:keepNext/>
        <w:keepLines/>
        <w:widowControl/>
        <w:shd w:val="clear" w:color="auto" w:fill="339966"/>
        <w:autoSpaceDE/>
        <w:autoSpaceDN/>
        <w:spacing w:before="160" w:after="120" w:line="276" w:lineRule="auto"/>
        <w:outlineLvl w:val="4"/>
        <w:rPr>
          <w:rFonts w:ascii="Arial" w:eastAsia="Times New Roman" w:hAnsi="Arial" w:cs="Times New Roman"/>
          <w:b/>
          <w:color w:val="FFFFFF"/>
          <w:sz w:val="24"/>
        </w:rPr>
      </w:pPr>
      <w:bookmarkStart w:id="53" w:name="GM1_BOP.BAS.030(b)(1);(2)_&amp;_GM1_BOP.BAS."/>
      <w:bookmarkStart w:id="54" w:name="_bookmark40"/>
      <w:bookmarkStart w:id="55" w:name="_Toc153137205"/>
      <w:bookmarkEnd w:id="53"/>
      <w:bookmarkEnd w:id="54"/>
      <w:r w:rsidRPr="002A1171">
        <w:rPr>
          <w:rFonts w:ascii="Arial" w:eastAsia="Times New Roman" w:hAnsi="Arial" w:cs="Times New Roman"/>
          <w:b/>
          <w:color w:val="FFFFFF"/>
          <w:sz w:val="24"/>
        </w:rPr>
        <w:t>GM1 BOP.BAS.030(b)(1);(2) &amp; GM1 BOP.BAS.040(b) Responsibilities of the pilot-in-command &amp; responsibilities of crew members</w:t>
      </w:r>
      <w:bookmarkEnd w:id="55"/>
    </w:p>
    <w:p w14:paraId="0A68CCD8" w14:textId="77777777" w:rsidR="002A1171" w:rsidRPr="002A1171" w:rsidRDefault="002A1171" w:rsidP="009601C2">
      <w:pPr>
        <w:widowControl/>
        <w:autoSpaceDE/>
        <w:autoSpaceDN/>
        <w:spacing w:before="240" w:after="160" w:line="276" w:lineRule="auto"/>
        <w:jc w:val="both"/>
        <w:rPr>
          <w:rFonts w:ascii="Arial" w:eastAsiaTheme="minorHAnsi" w:hAnsi="Arial" w:cs="Arial"/>
          <w:b/>
          <w:bCs/>
          <w:sz w:val="20"/>
          <w:szCs w:val="20"/>
        </w:rPr>
      </w:pPr>
      <w:r w:rsidRPr="002A1171">
        <w:rPr>
          <w:rFonts w:ascii="Arial" w:eastAsiaTheme="minorHAnsi" w:hAnsi="Arial" w:cs="Arial"/>
          <w:b/>
          <w:bCs/>
          <w:sz w:val="20"/>
          <w:szCs w:val="20"/>
        </w:rPr>
        <w:t>PART-MED</w:t>
      </w:r>
    </w:p>
    <w:p w14:paraId="71872D7E" w14:textId="06D1F652" w:rsidR="002A1171" w:rsidRPr="002A1171" w:rsidRDefault="002A1171" w:rsidP="009601C2">
      <w:pPr>
        <w:tabs>
          <w:tab w:val="left" w:pos="3090"/>
        </w:tabs>
        <w:spacing w:line="276" w:lineRule="auto"/>
        <w:jc w:val="both"/>
        <w:rPr>
          <w:rFonts w:ascii="Arial" w:hAnsi="Arial" w:cs="Arial"/>
          <w:sz w:val="20"/>
        </w:rPr>
      </w:pPr>
      <w:r w:rsidRPr="002A1171">
        <w:rPr>
          <w:rFonts w:ascii="Arial" w:hAnsi="Arial" w:cs="Arial"/>
          <w:sz w:val="20"/>
        </w:rPr>
        <w:t xml:space="preserve">Information on the effects of medication, psychoactive substances and other treatments can be found in </w:t>
      </w:r>
      <w:r w:rsidRPr="002A1171">
        <w:rPr>
          <w:rFonts w:ascii="Arial" w:hAnsi="Arial" w:cs="Arial"/>
          <w:sz w:val="20"/>
        </w:rPr>
        <w:lastRenderedPageBreak/>
        <w:t xml:space="preserve">Annex IV (Part-MED) to </w:t>
      </w:r>
      <w:r w:rsidR="0047307C" w:rsidRPr="00DC1693">
        <w:rPr>
          <w:rFonts w:ascii="Arial" w:hAnsi="Arial" w:cs="Arial"/>
          <w:sz w:val="20"/>
        </w:rPr>
        <w:t xml:space="preserve"> </w:t>
      </w:r>
      <w:hyperlink r:id="rId42" w:history="1">
        <w:r w:rsidR="0047307C" w:rsidRPr="00980819">
          <w:rPr>
            <w:rStyle w:val="Hyperlink"/>
            <w:rFonts w:ascii="Arial" w:hAnsi="Arial" w:cs="Arial"/>
            <w:sz w:val="20"/>
          </w:rPr>
          <w:t>the order N 3-N of the Minister of Territorial Administration and Infrastructure of RA, dated 11.02.2022</w:t>
        </w:r>
      </w:hyperlink>
      <w:r w:rsidRPr="002A1171">
        <w:rPr>
          <w:rFonts w:ascii="Arial" w:hAnsi="Arial" w:cs="Arial"/>
          <w:sz w:val="20"/>
        </w:rPr>
        <w:t>.</w:t>
      </w:r>
    </w:p>
    <w:p w14:paraId="69E92F5C" w14:textId="77777777" w:rsidR="002A1171" w:rsidRDefault="002A1171" w:rsidP="009601C2">
      <w:pPr>
        <w:tabs>
          <w:tab w:val="left" w:pos="3090"/>
        </w:tabs>
        <w:spacing w:line="276" w:lineRule="auto"/>
        <w:jc w:val="both"/>
        <w:rPr>
          <w:rFonts w:ascii="Arial" w:hAnsi="Arial" w:cs="Arial"/>
          <w:sz w:val="20"/>
        </w:rPr>
      </w:pPr>
    </w:p>
    <w:p w14:paraId="31CACE8A" w14:textId="77777777" w:rsidR="002A1171" w:rsidRPr="002A1171" w:rsidRDefault="002A1171" w:rsidP="009601C2">
      <w:pPr>
        <w:pStyle w:val="Heading4"/>
        <w:shd w:val="clear" w:color="auto" w:fill="2F5496" w:themeFill="accent5" w:themeFillShade="BF"/>
        <w:spacing w:line="276" w:lineRule="auto"/>
        <w:rPr>
          <w:rFonts w:ascii="Arial" w:hAnsi="Arial"/>
          <w:b/>
          <w:i w:val="0"/>
          <w:color w:val="FFFFFF" w:themeColor="background1"/>
          <w:sz w:val="24"/>
        </w:rPr>
      </w:pPr>
      <w:bookmarkStart w:id="56" w:name="BOP.BAS.035_Authority_of_the_pilot-in-co"/>
      <w:bookmarkStart w:id="57" w:name="_bookmark41"/>
      <w:bookmarkStart w:id="58" w:name="_Toc153137206"/>
      <w:bookmarkEnd w:id="56"/>
      <w:bookmarkEnd w:id="57"/>
      <w:r w:rsidRPr="002A1171">
        <w:rPr>
          <w:rFonts w:ascii="Arial" w:hAnsi="Arial"/>
          <w:b/>
          <w:i w:val="0"/>
          <w:color w:val="FFFFFF" w:themeColor="background1"/>
          <w:sz w:val="24"/>
        </w:rPr>
        <w:t>BOP.BAS.035 Authority of the pilot-in-command</w:t>
      </w:r>
      <w:bookmarkEnd w:id="58"/>
    </w:p>
    <w:p w14:paraId="4C62501C" w14:textId="77777777" w:rsidR="002A1171" w:rsidRDefault="002A1171" w:rsidP="009601C2">
      <w:pPr>
        <w:tabs>
          <w:tab w:val="left" w:pos="3090"/>
        </w:tabs>
        <w:spacing w:line="276" w:lineRule="auto"/>
        <w:jc w:val="both"/>
        <w:rPr>
          <w:rFonts w:ascii="Arial" w:hAnsi="Arial" w:cs="Arial"/>
          <w:sz w:val="20"/>
        </w:rPr>
      </w:pPr>
    </w:p>
    <w:p w14:paraId="3755A49B" w14:textId="447CA39B" w:rsidR="002A1171" w:rsidRPr="002A1171" w:rsidRDefault="002A1171" w:rsidP="009601C2">
      <w:pPr>
        <w:tabs>
          <w:tab w:val="left" w:pos="3090"/>
        </w:tabs>
        <w:spacing w:line="276" w:lineRule="auto"/>
        <w:jc w:val="both"/>
        <w:rPr>
          <w:rFonts w:ascii="Arial" w:hAnsi="Arial" w:cs="Arial"/>
          <w:sz w:val="20"/>
        </w:rPr>
      </w:pPr>
      <w:r w:rsidRPr="002A1171">
        <w:rPr>
          <w:rFonts w:ascii="Arial" w:hAnsi="Arial" w:cs="Arial"/>
          <w:sz w:val="20"/>
        </w:rPr>
        <w:t>The pilot-in-command shall have the authority to:</w:t>
      </w:r>
    </w:p>
    <w:p w14:paraId="6B98A3F3" w14:textId="77777777" w:rsidR="002A1171" w:rsidRPr="002A1171" w:rsidRDefault="002A1171" w:rsidP="009601C2">
      <w:pPr>
        <w:numPr>
          <w:ilvl w:val="0"/>
          <w:numId w:val="23"/>
        </w:numPr>
        <w:tabs>
          <w:tab w:val="left" w:pos="3090"/>
        </w:tabs>
        <w:spacing w:line="276" w:lineRule="auto"/>
        <w:jc w:val="both"/>
        <w:rPr>
          <w:rFonts w:ascii="Arial" w:hAnsi="Arial" w:cs="Arial"/>
          <w:sz w:val="20"/>
        </w:rPr>
      </w:pPr>
      <w:r w:rsidRPr="002A1171">
        <w:rPr>
          <w:rFonts w:ascii="Arial" w:hAnsi="Arial" w:cs="Arial"/>
          <w:sz w:val="20"/>
        </w:rPr>
        <w:t>give all commands and take any appropriate actions for the purpose of ensuring the safety of the balloon and of any person or property carried therein; and</w:t>
      </w:r>
    </w:p>
    <w:p w14:paraId="74BA96D6" w14:textId="34304BD1" w:rsidR="002A1171" w:rsidRPr="0047307C" w:rsidRDefault="002A1171" w:rsidP="009601C2">
      <w:pPr>
        <w:numPr>
          <w:ilvl w:val="0"/>
          <w:numId w:val="23"/>
        </w:numPr>
        <w:tabs>
          <w:tab w:val="left" w:pos="3090"/>
        </w:tabs>
        <w:spacing w:line="276" w:lineRule="auto"/>
        <w:jc w:val="both"/>
        <w:rPr>
          <w:rFonts w:ascii="Arial" w:hAnsi="Arial" w:cs="Arial"/>
          <w:sz w:val="20"/>
        </w:rPr>
      </w:pPr>
      <w:r w:rsidRPr="002A1171">
        <w:rPr>
          <w:rFonts w:ascii="Arial" w:hAnsi="Arial" w:cs="Arial"/>
          <w:sz w:val="20"/>
        </w:rPr>
        <w:t>refuse embarkation or carriage of any person or baggage that may represent a potential hazard to the safety of the balloon or of any person or property carried therein.</w:t>
      </w:r>
    </w:p>
    <w:p w14:paraId="353985D5" w14:textId="77777777" w:rsidR="002A1171" w:rsidRPr="002A1171" w:rsidRDefault="002A1171" w:rsidP="009601C2">
      <w:pPr>
        <w:pStyle w:val="Heading4"/>
        <w:shd w:val="clear" w:color="auto" w:fill="2F5496" w:themeFill="accent5" w:themeFillShade="BF"/>
        <w:spacing w:line="276" w:lineRule="auto"/>
        <w:rPr>
          <w:rFonts w:ascii="Arial" w:hAnsi="Arial"/>
          <w:b/>
          <w:i w:val="0"/>
          <w:color w:val="FFFFFF" w:themeColor="background1"/>
          <w:sz w:val="24"/>
        </w:rPr>
      </w:pPr>
      <w:bookmarkStart w:id="59" w:name="BOP.BAS.040_Responsibilities_of_crew_mem"/>
      <w:bookmarkStart w:id="60" w:name="_bookmark42"/>
      <w:bookmarkStart w:id="61" w:name="_Toc153137207"/>
      <w:bookmarkEnd w:id="59"/>
      <w:bookmarkEnd w:id="60"/>
      <w:r w:rsidRPr="002A1171">
        <w:rPr>
          <w:rFonts w:ascii="Arial" w:hAnsi="Arial"/>
          <w:b/>
          <w:i w:val="0"/>
          <w:color w:val="FFFFFF" w:themeColor="background1"/>
          <w:sz w:val="24"/>
        </w:rPr>
        <w:t>BOP.BAS.040 Responsibilities of crew members</w:t>
      </w:r>
      <w:bookmarkEnd w:id="61"/>
    </w:p>
    <w:p w14:paraId="7ACFFA0B" w14:textId="77777777" w:rsidR="002A1171" w:rsidRDefault="002A1171" w:rsidP="009601C2">
      <w:pPr>
        <w:tabs>
          <w:tab w:val="left" w:pos="3090"/>
        </w:tabs>
        <w:spacing w:line="276" w:lineRule="auto"/>
        <w:jc w:val="both"/>
        <w:rPr>
          <w:rFonts w:ascii="Arial" w:hAnsi="Arial" w:cs="Arial"/>
          <w:sz w:val="20"/>
        </w:rPr>
      </w:pPr>
    </w:p>
    <w:p w14:paraId="17B864A5" w14:textId="77777777" w:rsidR="002A1171" w:rsidRPr="002A1171" w:rsidRDefault="002A1171" w:rsidP="009601C2">
      <w:pPr>
        <w:numPr>
          <w:ilvl w:val="0"/>
          <w:numId w:val="24"/>
        </w:numPr>
        <w:tabs>
          <w:tab w:val="left" w:pos="3090"/>
        </w:tabs>
        <w:spacing w:line="276" w:lineRule="auto"/>
        <w:jc w:val="both"/>
        <w:rPr>
          <w:rFonts w:ascii="Arial" w:hAnsi="Arial" w:cs="Arial"/>
          <w:sz w:val="20"/>
        </w:rPr>
      </w:pPr>
      <w:r w:rsidRPr="002A1171">
        <w:rPr>
          <w:rFonts w:ascii="Arial" w:hAnsi="Arial" w:cs="Arial"/>
          <w:sz w:val="20"/>
        </w:rPr>
        <w:t>Any crew member shall be responsible for the proper execution of his or her duties in respect of the operation of the balloon.</w:t>
      </w:r>
    </w:p>
    <w:p w14:paraId="17F9D01B" w14:textId="77777777" w:rsidR="002A1171" w:rsidRPr="002A1171" w:rsidRDefault="002A1171" w:rsidP="009601C2">
      <w:pPr>
        <w:numPr>
          <w:ilvl w:val="0"/>
          <w:numId w:val="24"/>
        </w:numPr>
        <w:tabs>
          <w:tab w:val="left" w:pos="3090"/>
        </w:tabs>
        <w:spacing w:line="276" w:lineRule="auto"/>
        <w:jc w:val="both"/>
        <w:rPr>
          <w:rFonts w:ascii="Arial" w:hAnsi="Arial" w:cs="Arial"/>
          <w:sz w:val="20"/>
        </w:rPr>
      </w:pPr>
      <w:r w:rsidRPr="002A1171">
        <w:rPr>
          <w:rFonts w:ascii="Arial" w:hAnsi="Arial" w:cs="Arial"/>
          <w:sz w:val="20"/>
        </w:rPr>
        <w:t>Crew members shall not perform duties on a balloon when incapacitated by any cause, including injury, sickness, medication, fatigue or the effects of any psychoactive substance, or if he or she feels otherwise unfit.</w:t>
      </w:r>
    </w:p>
    <w:p w14:paraId="65B15E31" w14:textId="77777777" w:rsidR="002A1171" w:rsidRPr="002A1171" w:rsidRDefault="002A1171" w:rsidP="009601C2">
      <w:pPr>
        <w:numPr>
          <w:ilvl w:val="0"/>
          <w:numId w:val="24"/>
        </w:numPr>
        <w:tabs>
          <w:tab w:val="left" w:pos="3090"/>
        </w:tabs>
        <w:spacing w:line="276" w:lineRule="auto"/>
        <w:jc w:val="both"/>
        <w:rPr>
          <w:rFonts w:ascii="Arial" w:hAnsi="Arial" w:cs="Arial"/>
          <w:sz w:val="20"/>
        </w:rPr>
      </w:pPr>
      <w:r w:rsidRPr="002A1171">
        <w:rPr>
          <w:rFonts w:ascii="Arial" w:hAnsi="Arial" w:cs="Arial"/>
          <w:sz w:val="20"/>
        </w:rPr>
        <w:t>Crew members shall report to the pilot-in-command both of the following:</w:t>
      </w:r>
    </w:p>
    <w:p w14:paraId="60777B74" w14:textId="77777777" w:rsidR="002A1171" w:rsidRPr="002A1171" w:rsidRDefault="002A1171" w:rsidP="009601C2">
      <w:pPr>
        <w:numPr>
          <w:ilvl w:val="1"/>
          <w:numId w:val="24"/>
        </w:numPr>
        <w:tabs>
          <w:tab w:val="left" w:pos="3090"/>
        </w:tabs>
        <w:spacing w:line="276" w:lineRule="auto"/>
        <w:jc w:val="both"/>
        <w:rPr>
          <w:rFonts w:ascii="Arial" w:hAnsi="Arial" w:cs="Arial"/>
          <w:sz w:val="20"/>
        </w:rPr>
      </w:pPr>
      <w:r w:rsidRPr="002A1171">
        <w:rPr>
          <w:rFonts w:ascii="Arial" w:hAnsi="Arial" w:cs="Arial"/>
          <w:sz w:val="20"/>
        </w:rPr>
        <w:t>any fault, failure, malfunction or defect, which he or she believes may affect the airworthiness or safe operation of the balloon, including emergency systems;</w:t>
      </w:r>
    </w:p>
    <w:p w14:paraId="62C8026E" w14:textId="77777777" w:rsidR="002A1171" w:rsidRPr="002A1171" w:rsidRDefault="002A1171" w:rsidP="009601C2">
      <w:pPr>
        <w:numPr>
          <w:ilvl w:val="1"/>
          <w:numId w:val="24"/>
        </w:numPr>
        <w:tabs>
          <w:tab w:val="left" w:pos="3090"/>
        </w:tabs>
        <w:spacing w:line="276" w:lineRule="auto"/>
        <w:jc w:val="both"/>
        <w:rPr>
          <w:rFonts w:ascii="Arial" w:hAnsi="Arial" w:cs="Arial"/>
          <w:sz w:val="20"/>
        </w:rPr>
      </w:pPr>
      <w:r w:rsidRPr="002A1171">
        <w:rPr>
          <w:rFonts w:ascii="Arial" w:hAnsi="Arial" w:cs="Arial"/>
          <w:sz w:val="20"/>
        </w:rPr>
        <w:t>any incident.</w:t>
      </w:r>
    </w:p>
    <w:p w14:paraId="2E122861" w14:textId="77777777" w:rsidR="002A1171" w:rsidRPr="002A1171" w:rsidRDefault="002A1171" w:rsidP="009601C2">
      <w:pPr>
        <w:numPr>
          <w:ilvl w:val="0"/>
          <w:numId w:val="24"/>
        </w:numPr>
        <w:tabs>
          <w:tab w:val="left" w:pos="3090"/>
        </w:tabs>
        <w:spacing w:line="276" w:lineRule="auto"/>
        <w:jc w:val="both"/>
        <w:rPr>
          <w:rFonts w:ascii="Arial" w:hAnsi="Arial" w:cs="Arial"/>
          <w:sz w:val="20"/>
        </w:rPr>
      </w:pPr>
      <w:r w:rsidRPr="002A1171">
        <w:rPr>
          <w:rFonts w:ascii="Arial" w:hAnsi="Arial" w:cs="Arial"/>
          <w:sz w:val="20"/>
        </w:rPr>
        <w:t>Any flight crew member who undertakes duties for more than one operator shall:</w:t>
      </w:r>
    </w:p>
    <w:p w14:paraId="09A3D2BB" w14:textId="77777777" w:rsidR="002A1171" w:rsidRPr="002A1171" w:rsidRDefault="002A1171" w:rsidP="009601C2">
      <w:pPr>
        <w:numPr>
          <w:ilvl w:val="1"/>
          <w:numId w:val="24"/>
        </w:numPr>
        <w:tabs>
          <w:tab w:val="left" w:pos="3090"/>
        </w:tabs>
        <w:spacing w:line="276" w:lineRule="auto"/>
        <w:jc w:val="both"/>
        <w:rPr>
          <w:rFonts w:ascii="Arial" w:hAnsi="Arial" w:cs="Arial"/>
          <w:sz w:val="20"/>
        </w:rPr>
      </w:pPr>
      <w:r w:rsidRPr="002A1171">
        <w:rPr>
          <w:rFonts w:ascii="Arial" w:hAnsi="Arial" w:cs="Arial"/>
          <w:sz w:val="20"/>
        </w:rPr>
        <w:t>maintain his or her individual records regarding flight times and rest periods, if applicable; and</w:t>
      </w:r>
    </w:p>
    <w:p w14:paraId="6CD7F9F7" w14:textId="77777777" w:rsidR="002A1171" w:rsidRPr="002A1171" w:rsidRDefault="002A1171" w:rsidP="009601C2">
      <w:pPr>
        <w:numPr>
          <w:ilvl w:val="1"/>
          <w:numId w:val="24"/>
        </w:numPr>
        <w:tabs>
          <w:tab w:val="left" w:pos="3090"/>
        </w:tabs>
        <w:spacing w:line="276" w:lineRule="auto"/>
        <w:jc w:val="both"/>
        <w:rPr>
          <w:rFonts w:ascii="Arial" w:hAnsi="Arial" w:cs="Arial"/>
          <w:sz w:val="20"/>
        </w:rPr>
      </w:pPr>
      <w:r w:rsidRPr="002A1171">
        <w:rPr>
          <w:rFonts w:ascii="Arial" w:hAnsi="Arial" w:cs="Arial"/>
          <w:sz w:val="20"/>
        </w:rPr>
        <w:t>provide each operator with the data needed to schedule activities in accordance with the applicable flight and duty time limitations and rest requirements.</w:t>
      </w:r>
    </w:p>
    <w:p w14:paraId="349D751D" w14:textId="77777777" w:rsidR="002A1171" w:rsidRDefault="002A1171" w:rsidP="009601C2">
      <w:pPr>
        <w:tabs>
          <w:tab w:val="left" w:pos="3090"/>
        </w:tabs>
        <w:spacing w:line="276" w:lineRule="auto"/>
        <w:jc w:val="both"/>
        <w:rPr>
          <w:rFonts w:ascii="Arial" w:hAnsi="Arial" w:cs="Arial"/>
          <w:sz w:val="20"/>
        </w:rPr>
      </w:pPr>
    </w:p>
    <w:p w14:paraId="17A2A118" w14:textId="77777777" w:rsidR="002A1171" w:rsidRPr="002A1171" w:rsidRDefault="002A1171" w:rsidP="009601C2">
      <w:pPr>
        <w:keepNext/>
        <w:keepLines/>
        <w:widowControl/>
        <w:shd w:val="clear" w:color="auto" w:fill="339966"/>
        <w:autoSpaceDE/>
        <w:autoSpaceDN/>
        <w:spacing w:before="160" w:after="120" w:line="276" w:lineRule="auto"/>
        <w:outlineLvl w:val="4"/>
        <w:rPr>
          <w:rFonts w:ascii="Arial" w:eastAsia="Times New Roman" w:hAnsi="Arial" w:cs="Times New Roman"/>
          <w:b/>
          <w:color w:val="FFFFFF"/>
          <w:sz w:val="24"/>
        </w:rPr>
      </w:pPr>
      <w:bookmarkStart w:id="62" w:name="GM1_BOP.BAS.040_Responsibilities_of_crew"/>
      <w:bookmarkStart w:id="63" w:name="_bookmark43"/>
      <w:bookmarkStart w:id="64" w:name="_Toc153137208"/>
      <w:bookmarkEnd w:id="62"/>
      <w:bookmarkEnd w:id="63"/>
      <w:r w:rsidRPr="002A1171">
        <w:rPr>
          <w:rFonts w:ascii="Arial" w:eastAsia="Times New Roman" w:hAnsi="Arial" w:cs="Times New Roman"/>
          <w:b/>
          <w:color w:val="FFFFFF"/>
          <w:sz w:val="24"/>
        </w:rPr>
        <w:t>GM1 BOP.BAS.040 Responsibilities of crew members</w:t>
      </w:r>
      <w:bookmarkEnd w:id="64"/>
    </w:p>
    <w:p w14:paraId="550ADB1A" w14:textId="77777777" w:rsidR="002A1171" w:rsidRPr="002A1171" w:rsidRDefault="002A1171" w:rsidP="009601C2">
      <w:pPr>
        <w:widowControl/>
        <w:autoSpaceDE/>
        <w:autoSpaceDN/>
        <w:spacing w:before="240" w:after="160" w:line="276" w:lineRule="auto"/>
        <w:jc w:val="both"/>
        <w:rPr>
          <w:rFonts w:ascii="Arial" w:eastAsiaTheme="minorHAnsi" w:hAnsi="Arial" w:cs="Arial"/>
          <w:b/>
          <w:bCs/>
          <w:sz w:val="20"/>
          <w:szCs w:val="20"/>
        </w:rPr>
      </w:pPr>
      <w:r w:rsidRPr="002A1171">
        <w:rPr>
          <w:rFonts w:ascii="Arial" w:eastAsiaTheme="minorHAnsi" w:hAnsi="Arial" w:cs="Arial"/>
          <w:b/>
          <w:bCs/>
          <w:sz w:val="20"/>
          <w:szCs w:val="20"/>
        </w:rPr>
        <w:t>DESIGNATION OF PERSONS AS CREW MEMBERS</w:t>
      </w:r>
    </w:p>
    <w:p w14:paraId="1C8455EE" w14:textId="77777777" w:rsidR="002A1171" w:rsidRPr="002A1171" w:rsidRDefault="002A1171" w:rsidP="009601C2">
      <w:pPr>
        <w:numPr>
          <w:ilvl w:val="0"/>
          <w:numId w:val="25"/>
        </w:numPr>
        <w:tabs>
          <w:tab w:val="left" w:pos="3090"/>
        </w:tabs>
        <w:spacing w:line="276" w:lineRule="auto"/>
        <w:jc w:val="both"/>
        <w:rPr>
          <w:rFonts w:ascii="Arial" w:hAnsi="Arial" w:cs="Arial"/>
          <w:sz w:val="20"/>
        </w:rPr>
      </w:pPr>
      <w:r w:rsidRPr="002A1171">
        <w:rPr>
          <w:rFonts w:ascii="Arial" w:hAnsi="Arial" w:cs="Arial"/>
          <w:sz w:val="20"/>
        </w:rPr>
        <w:t>The pilot-in-command or the operator may designate any person as a crew member provided that:</w:t>
      </w:r>
    </w:p>
    <w:p w14:paraId="1BE14B01" w14:textId="77777777" w:rsidR="002A1171" w:rsidRPr="002A1171" w:rsidRDefault="002A1171" w:rsidP="009601C2">
      <w:pPr>
        <w:numPr>
          <w:ilvl w:val="1"/>
          <w:numId w:val="25"/>
        </w:numPr>
        <w:tabs>
          <w:tab w:val="left" w:pos="3090"/>
        </w:tabs>
        <w:spacing w:line="276" w:lineRule="auto"/>
        <w:jc w:val="both"/>
        <w:rPr>
          <w:rFonts w:ascii="Arial" w:hAnsi="Arial" w:cs="Arial"/>
          <w:sz w:val="20"/>
        </w:rPr>
      </w:pPr>
      <w:r w:rsidRPr="002A1171">
        <w:rPr>
          <w:rFonts w:ascii="Arial" w:hAnsi="Arial" w:cs="Arial"/>
          <w:sz w:val="20"/>
        </w:rPr>
        <w:t>the role, according to the reasonable expectation of the pilot-in-command or the operator, will enhance the safety of the flight or achieve an operational objective of the flight;</w:t>
      </w:r>
    </w:p>
    <w:p w14:paraId="2D071A0A" w14:textId="77777777" w:rsidR="002A1171" w:rsidRPr="002A1171" w:rsidRDefault="002A1171" w:rsidP="009601C2">
      <w:pPr>
        <w:numPr>
          <w:ilvl w:val="1"/>
          <w:numId w:val="25"/>
        </w:numPr>
        <w:tabs>
          <w:tab w:val="left" w:pos="3090"/>
        </w:tabs>
        <w:spacing w:line="276" w:lineRule="auto"/>
        <w:jc w:val="both"/>
        <w:rPr>
          <w:rFonts w:ascii="Arial" w:hAnsi="Arial" w:cs="Arial"/>
          <w:sz w:val="20"/>
        </w:rPr>
      </w:pPr>
      <w:r w:rsidRPr="002A1171">
        <w:rPr>
          <w:rFonts w:ascii="Arial" w:hAnsi="Arial" w:cs="Arial"/>
          <w:sz w:val="20"/>
        </w:rPr>
        <w:t>the person, according to the reasonable expectation of the pilot-in-command or the operator, is capable of fulfilling the role;</w:t>
      </w:r>
    </w:p>
    <w:p w14:paraId="047EBFB6" w14:textId="77777777" w:rsidR="002A1171" w:rsidRPr="002A1171" w:rsidRDefault="002A1171" w:rsidP="009601C2">
      <w:pPr>
        <w:numPr>
          <w:ilvl w:val="1"/>
          <w:numId w:val="25"/>
        </w:numPr>
        <w:tabs>
          <w:tab w:val="left" w:pos="3090"/>
        </w:tabs>
        <w:spacing w:line="276" w:lineRule="auto"/>
        <w:jc w:val="both"/>
        <w:rPr>
          <w:rFonts w:ascii="Arial" w:hAnsi="Arial" w:cs="Arial"/>
          <w:sz w:val="20"/>
        </w:rPr>
      </w:pPr>
      <w:r w:rsidRPr="002A1171">
        <w:rPr>
          <w:rFonts w:ascii="Arial" w:hAnsi="Arial" w:cs="Arial"/>
          <w:sz w:val="20"/>
        </w:rPr>
        <w:t>the person has been briefed on the role as a crew member and informed that he or she is crew, not a passenger; and</w:t>
      </w:r>
    </w:p>
    <w:p w14:paraId="0D8D66F0" w14:textId="77777777" w:rsidR="002A1171" w:rsidRPr="002A1171" w:rsidRDefault="002A1171" w:rsidP="009601C2">
      <w:pPr>
        <w:numPr>
          <w:ilvl w:val="1"/>
          <w:numId w:val="25"/>
        </w:numPr>
        <w:tabs>
          <w:tab w:val="left" w:pos="3090"/>
        </w:tabs>
        <w:spacing w:line="276" w:lineRule="auto"/>
        <w:jc w:val="both"/>
        <w:rPr>
          <w:rFonts w:ascii="Arial" w:hAnsi="Arial" w:cs="Arial"/>
          <w:sz w:val="20"/>
        </w:rPr>
      </w:pPr>
      <w:r w:rsidRPr="002A1171">
        <w:rPr>
          <w:rFonts w:ascii="Arial" w:hAnsi="Arial" w:cs="Arial"/>
          <w:sz w:val="20"/>
        </w:rPr>
        <w:t>the person agrees to the role as crew member.</w:t>
      </w:r>
    </w:p>
    <w:p w14:paraId="04B2B30C" w14:textId="77777777" w:rsidR="002A1171" w:rsidRPr="002A1171" w:rsidRDefault="002A1171" w:rsidP="009601C2">
      <w:pPr>
        <w:numPr>
          <w:ilvl w:val="0"/>
          <w:numId w:val="25"/>
        </w:numPr>
        <w:tabs>
          <w:tab w:val="left" w:pos="3090"/>
        </w:tabs>
        <w:spacing w:line="276" w:lineRule="auto"/>
        <w:jc w:val="both"/>
        <w:rPr>
          <w:rFonts w:ascii="Arial" w:hAnsi="Arial" w:cs="Arial"/>
          <w:sz w:val="20"/>
        </w:rPr>
      </w:pPr>
      <w:r w:rsidRPr="002A1171">
        <w:rPr>
          <w:rFonts w:ascii="Arial" w:hAnsi="Arial" w:cs="Arial"/>
          <w:sz w:val="20"/>
        </w:rPr>
        <w:t>Crew members are not considered to be passengers.</w:t>
      </w:r>
    </w:p>
    <w:p w14:paraId="568B8D21" w14:textId="77777777" w:rsidR="002A1171" w:rsidRPr="002A1171" w:rsidRDefault="002A1171" w:rsidP="009601C2">
      <w:pPr>
        <w:numPr>
          <w:ilvl w:val="0"/>
          <w:numId w:val="25"/>
        </w:numPr>
        <w:tabs>
          <w:tab w:val="left" w:pos="3090"/>
        </w:tabs>
        <w:spacing w:line="276" w:lineRule="auto"/>
        <w:jc w:val="both"/>
        <w:rPr>
          <w:rFonts w:ascii="Arial" w:hAnsi="Arial" w:cs="Arial"/>
          <w:sz w:val="20"/>
        </w:rPr>
      </w:pPr>
      <w:r w:rsidRPr="002A1171">
        <w:rPr>
          <w:rFonts w:ascii="Arial" w:hAnsi="Arial" w:cs="Arial"/>
          <w:sz w:val="20"/>
        </w:rPr>
        <w:t>Crew members may be required, by specific provisions of this Regulation and other Implementing Rules, to hold licences, ratings or other personnel certificates to fulfil certain roles such as instructor or examiner, in certain circumstances.</w:t>
      </w:r>
    </w:p>
    <w:p w14:paraId="42B2068D" w14:textId="77777777" w:rsidR="002A1171" w:rsidRDefault="002A1171" w:rsidP="009601C2">
      <w:pPr>
        <w:tabs>
          <w:tab w:val="left" w:pos="3090"/>
        </w:tabs>
        <w:spacing w:line="276" w:lineRule="auto"/>
        <w:jc w:val="both"/>
        <w:rPr>
          <w:rFonts w:ascii="Arial" w:hAnsi="Arial" w:cs="Arial"/>
          <w:sz w:val="20"/>
        </w:rPr>
      </w:pPr>
    </w:p>
    <w:p w14:paraId="42B227B7" w14:textId="77777777" w:rsidR="002A1171" w:rsidRPr="002A1171" w:rsidRDefault="002A1171" w:rsidP="009601C2">
      <w:pPr>
        <w:pStyle w:val="Heading4"/>
        <w:shd w:val="clear" w:color="auto" w:fill="2F5496" w:themeFill="accent5" w:themeFillShade="BF"/>
        <w:spacing w:line="276" w:lineRule="auto"/>
        <w:rPr>
          <w:rFonts w:ascii="Arial" w:hAnsi="Arial"/>
          <w:b/>
          <w:i w:val="0"/>
          <w:color w:val="FFFFFF" w:themeColor="background1"/>
          <w:sz w:val="24"/>
        </w:rPr>
      </w:pPr>
      <w:bookmarkStart w:id="65" w:name="BOP.BAS.045_Compliance_with_laws,_regula"/>
      <w:bookmarkStart w:id="66" w:name="_bookmark44"/>
      <w:bookmarkStart w:id="67" w:name="_Toc153137209"/>
      <w:bookmarkEnd w:id="65"/>
      <w:bookmarkEnd w:id="66"/>
      <w:r w:rsidRPr="002A1171">
        <w:rPr>
          <w:rFonts w:ascii="Arial" w:hAnsi="Arial"/>
          <w:b/>
          <w:i w:val="0"/>
          <w:color w:val="FFFFFF" w:themeColor="background1"/>
          <w:sz w:val="24"/>
        </w:rPr>
        <w:t>BOP.BAS.045 Compliance with laws, regulations and procedures</w:t>
      </w:r>
      <w:bookmarkEnd w:id="67"/>
    </w:p>
    <w:p w14:paraId="47AA5ED0" w14:textId="77777777" w:rsidR="002A1171" w:rsidRDefault="002A1171" w:rsidP="009601C2">
      <w:pPr>
        <w:tabs>
          <w:tab w:val="left" w:pos="3090"/>
        </w:tabs>
        <w:spacing w:line="276" w:lineRule="auto"/>
        <w:jc w:val="both"/>
        <w:rPr>
          <w:rFonts w:ascii="Arial" w:hAnsi="Arial" w:cs="Arial"/>
          <w:sz w:val="20"/>
        </w:rPr>
      </w:pPr>
    </w:p>
    <w:p w14:paraId="6E042867" w14:textId="77777777" w:rsidR="002A1171" w:rsidRPr="002A1171" w:rsidRDefault="002A1171" w:rsidP="009601C2">
      <w:pPr>
        <w:numPr>
          <w:ilvl w:val="0"/>
          <w:numId w:val="26"/>
        </w:numPr>
        <w:tabs>
          <w:tab w:val="left" w:pos="3090"/>
        </w:tabs>
        <w:spacing w:line="276" w:lineRule="auto"/>
        <w:jc w:val="both"/>
        <w:rPr>
          <w:rFonts w:ascii="Arial" w:hAnsi="Arial" w:cs="Arial"/>
          <w:sz w:val="20"/>
        </w:rPr>
      </w:pPr>
      <w:r w:rsidRPr="002A1171">
        <w:rPr>
          <w:rFonts w:ascii="Arial" w:hAnsi="Arial" w:cs="Arial"/>
          <w:sz w:val="20"/>
        </w:rPr>
        <w:t>The pilot-in-command and all other crew members shall comply with the laws, regulations and procedures of those States where operations are conducted.</w:t>
      </w:r>
    </w:p>
    <w:p w14:paraId="308EE544" w14:textId="77777777" w:rsidR="002A1171" w:rsidRPr="002A1171" w:rsidRDefault="002A1171" w:rsidP="009601C2">
      <w:pPr>
        <w:numPr>
          <w:ilvl w:val="0"/>
          <w:numId w:val="26"/>
        </w:numPr>
        <w:tabs>
          <w:tab w:val="left" w:pos="3090"/>
        </w:tabs>
        <w:spacing w:line="276" w:lineRule="auto"/>
        <w:jc w:val="both"/>
        <w:rPr>
          <w:rFonts w:ascii="Arial" w:hAnsi="Arial" w:cs="Arial"/>
          <w:sz w:val="20"/>
        </w:rPr>
      </w:pPr>
      <w:r w:rsidRPr="002A1171">
        <w:rPr>
          <w:rFonts w:ascii="Arial" w:hAnsi="Arial" w:cs="Arial"/>
          <w:sz w:val="20"/>
        </w:rPr>
        <w:t>The pilot-in-command shall be familiar with the laws, regulations and procedures, pertinent to the performance of his or her duties, prescribed for the areas to be traversed, the operating sites to be used and the related air navigation facilities.</w:t>
      </w:r>
    </w:p>
    <w:p w14:paraId="74FE2044" w14:textId="4740C9A9" w:rsidR="002A1171" w:rsidRDefault="002A1171" w:rsidP="009601C2">
      <w:pPr>
        <w:tabs>
          <w:tab w:val="left" w:pos="3090"/>
        </w:tabs>
        <w:spacing w:line="276" w:lineRule="auto"/>
        <w:jc w:val="both"/>
        <w:rPr>
          <w:rFonts w:ascii="Arial" w:hAnsi="Arial" w:cs="Arial"/>
          <w:sz w:val="20"/>
        </w:rPr>
      </w:pPr>
    </w:p>
    <w:p w14:paraId="5428C43E" w14:textId="77777777" w:rsidR="002A1171" w:rsidRPr="002A1171" w:rsidRDefault="002A1171" w:rsidP="009601C2">
      <w:pPr>
        <w:pStyle w:val="Heading4"/>
        <w:shd w:val="clear" w:color="auto" w:fill="2F5496" w:themeFill="accent5" w:themeFillShade="BF"/>
        <w:spacing w:line="276" w:lineRule="auto"/>
        <w:rPr>
          <w:rFonts w:ascii="Arial" w:hAnsi="Arial"/>
          <w:b/>
          <w:i w:val="0"/>
          <w:color w:val="FFFFFF" w:themeColor="background1"/>
          <w:sz w:val="24"/>
        </w:rPr>
      </w:pPr>
      <w:bookmarkStart w:id="68" w:name="BOP.BAS.050_Documents,_manuals_and_infor"/>
      <w:bookmarkStart w:id="69" w:name="_bookmark45"/>
      <w:bookmarkStart w:id="70" w:name="_Toc153137210"/>
      <w:bookmarkEnd w:id="68"/>
      <w:bookmarkEnd w:id="69"/>
      <w:r w:rsidRPr="002A1171">
        <w:rPr>
          <w:rFonts w:ascii="Arial" w:hAnsi="Arial"/>
          <w:b/>
          <w:i w:val="0"/>
          <w:color w:val="FFFFFF" w:themeColor="background1"/>
          <w:sz w:val="24"/>
        </w:rPr>
        <w:lastRenderedPageBreak/>
        <w:t>BOP.BAS.050 Documents, manuals and information to be carried</w:t>
      </w:r>
      <w:bookmarkEnd w:id="70"/>
    </w:p>
    <w:p w14:paraId="3AFD5BF6" w14:textId="77777777" w:rsidR="002A1171" w:rsidRDefault="002A1171" w:rsidP="009601C2">
      <w:pPr>
        <w:tabs>
          <w:tab w:val="left" w:pos="3090"/>
        </w:tabs>
        <w:spacing w:line="276" w:lineRule="auto"/>
        <w:jc w:val="both"/>
        <w:rPr>
          <w:rFonts w:ascii="Arial" w:hAnsi="Arial" w:cs="Arial"/>
          <w:sz w:val="20"/>
        </w:rPr>
      </w:pPr>
    </w:p>
    <w:p w14:paraId="24BDB340" w14:textId="77777777" w:rsidR="002A1171" w:rsidRPr="002A1171" w:rsidRDefault="002A1171" w:rsidP="009601C2">
      <w:pPr>
        <w:numPr>
          <w:ilvl w:val="0"/>
          <w:numId w:val="27"/>
        </w:numPr>
        <w:tabs>
          <w:tab w:val="left" w:pos="3090"/>
        </w:tabs>
        <w:spacing w:line="276" w:lineRule="auto"/>
        <w:jc w:val="both"/>
        <w:rPr>
          <w:rFonts w:ascii="Arial" w:hAnsi="Arial" w:cs="Arial"/>
          <w:sz w:val="20"/>
        </w:rPr>
      </w:pPr>
      <w:r w:rsidRPr="002A1171">
        <w:rPr>
          <w:rFonts w:ascii="Arial" w:hAnsi="Arial" w:cs="Arial"/>
          <w:sz w:val="20"/>
        </w:rPr>
        <w:t>All of the following documents, manuals and information shall be carried on each flight, as originals or copies:</w:t>
      </w:r>
    </w:p>
    <w:p w14:paraId="1C9271A6" w14:textId="77777777" w:rsidR="002A1171" w:rsidRPr="002A1171" w:rsidRDefault="002A1171" w:rsidP="009601C2">
      <w:pPr>
        <w:numPr>
          <w:ilvl w:val="1"/>
          <w:numId w:val="27"/>
        </w:numPr>
        <w:tabs>
          <w:tab w:val="left" w:pos="3090"/>
        </w:tabs>
        <w:spacing w:line="276" w:lineRule="auto"/>
        <w:jc w:val="both"/>
        <w:rPr>
          <w:rFonts w:ascii="Arial" w:hAnsi="Arial" w:cs="Arial"/>
          <w:sz w:val="20"/>
        </w:rPr>
      </w:pPr>
      <w:r w:rsidRPr="002A1171">
        <w:rPr>
          <w:rFonts w:ascii="Arial" w:hAnsi="Arial" w:cs="Arial"/>
          <w:sz w:val="20"/>
        </w:rPr>
        <w:t>the operating limitations, normal, abnormal and emergency procedures and other relevant information specific to the balloon's operating characteristics;</w:t>
      </w:r>
    </w:p>
    <w:p w14:paraId="391EA726" w14:textId="40DDB6CD" w:rsidR="002A1171" w:rsidRPr="002A1171" w:rsidRDefault="002A1171" w:rsidP="009601C2">
      <w:pPr>
        <w:numPr>
          <w:ilvl w:val="1"/>
          <w:numId w:val="27"/>
        </w:numPr>
        <w:tabs>
          <w:tab w:val="left" w:pos="3090"/>
        </w:tabs>
        <w:spacing w:line="276" w:lineRule="auto"/>
        <w:jc w:val="both"/>
        <w:rPr>
          <w:rFonts w:ascii="Arial" w:hAnsi="Arial" w:cs="Arial"/>
          <w:sz w:val="20"/>
        </w:rPr>
      </w:pPr>
      <w:r w:rsidRPr="002A1171">
        <w:rPr>
          <w:rFonts w:ascii="Arial" w:hAnsi="Arial" w:cs="Arial"/>
          <w:sz w:val="20"/>
        </w:rPr>
        <w:t xml:space="preserve">details of the filed ATS flight plan, when required in accordance with Section 4 of the </w:t>
      </w:r>
      <w:r w:rsidR="00D21492">
        <w:rPr>
          <w:rFonts w:ascii="Arial" w:hAnsi="Arial" w:cs="Arial"/>
          <w:sz w:val="20"/>
        </w:rPr>
        <w:t xml:space="preserve">Annex to </w:t>
      </w:r>
      <w:hyperlink r:id="rId43" w:history="1">
        <w:r w:rsidR="00B649C8" w:rsidRPr="00B649C8">
          <w:rPr>
            <w:rStyle w:val="Hyperlink"/>
            <w:rFonts w:ascii="Arial" w:hAnsi="Arial" w:cs="Arial"/>
            <w:sz w:val="20"/>
          </w:rPr>
          <w:t>the decision N 737-N of the Government of the Republic of Armenia, dated 06.06.2007</w:t>
        </w:r>
      </w:hyperlink>
      <w:r w:rsidR="00B649C8">
        <w:rPr>
          <w:rFonts w:ascii="Arial" w:hAnsi="Arial" w:cs="Arial"/>
          <w:sz w:val="20"/>
        </w:rPr>
        <w:t>;</w:t>
      </w:r>
    </w:p>
    <w:p w14:paraId="67FF3F55" w14:textId="77777777" w:rsidR="002A1171" w:rsidRPr="002A1171" w:rsidRDefault="002A1171" w:rsidP="009601C2">
      <w:pPr>
        <w:numPr>
          <w:ilvl w:val="1"/>
          <w:numId w:val="27"/>
        </w:numPr>
        <w:tabs>
          <w:tab w:val="left" w:pos="3090"/>
        </w:tabs>
        <w:spacing w:line="276" w:lineRule="auto"/>
        <w:jc w:val="both"/>
        <w:rPr>
          <w:rFonts w:ascii="Arial" w:hAnsi="Arial" w:cs="Arial"/>
          <w:sz w:val="20"/>
        </w:rPr>
      </w:pPr>
      <w:r w:rsidRPr="002A1171">
        <w:rPr>
          <w:rFonts w:ascii="Arial" w:hAnsi="Arial" w:cs="Arial"/>
          <w:sz w:val="20"/>
        </w:rPr>
        <w:t>current and suitable aeronautical charts for the area of the intended flight.</w:t>
      </w:r>
    </w:p>
    <w:p w14:paraId="462D9A9D" w14:textId="77777777" w:rsidR="002A1171" w:rsidRDefault="002A1171" w:rsidP="009601C2">
      <w:pPr>
        <w:tabs>
          <w:tab w:val="left" w:pos="3090"/>
        </w:tabs>
        <w:spacing w:line="276" w:lineRule="auto"/>
        <w:jc w:val="both"/>
        <w:rPr>
          <w:rFonts w:ascii="Arial" w:hAnsi="Arial" w:cs="Arial"/>
          <w:sz w:val="20"/>
        </w:rPr>
      </w:pPr>
    </w:p>
    <w:p w14:paraId="5E9140BD" w14:textId="77777777" w:rsidR="002A1171" w:rsidRPr="002A1171" w:rsidRDefault="002A1171" w:rsidP="009601C2">
      <w:pPr>
        <w:numPr>
          <w:ilvl w:val="0"/>
          <w:numId w:val="27"/>
        </w:numPr>
        <w:tabs>
          <w:tab w:val="left" w:pos="3090"/>
        </w:tabs>
        <w:spacing w:line="276" w:lineRule="auto"/>
        <w:jc w:val="both"/>
        <w:rPr>
          <w:rFonts w:ascii="Arial" w:hAnsi="Arial" w:cs="Arial"/>
          <w:sz w:val="20"/>
        </w:rPr>
      </w:pPr>
      <w:r w:rsidRPr="002A1171">
        <w:rPr>
          <w:rFonts w:ascii="Arial" w:hAnsi="Arial" w:cs="Arial"/>
          <w:sz w:val="20"/>
        </w:rPr>
        <w:t>All of the following documents, manuals and information shall be carried on each flight or shall be stowed in the retrieve vehicle, as originals or copies:</w:t>
      </w:r>
    </w:p>
    <w:p w14:paraId="056D8C59" w14:textId="77777777" w:rsidR="002A1171" w:rsidRPr="002A1171" w:rsidRDefault="002A1171" w:rsidP="009601C2">
      <w:pPr>
        <w:numPr>
          <w:ilvl w:val="1"/>
          <w:numId w:val="27"/>
        </w:numPr>
        <w:tabs>
          <w:tab w:val="left" w:pos="3090"/>
        </w:tabs>
        <w:spacing w:line="276" w:lineRule="auto"/>
        <w:jc w:val="both"/>
        <w:rPr>
          <w:rFonts w:ascii="Arial" w:hAnsi="Arial" w:cs="Arial"/>
          <w:sz w:val="20"/>
        </w:rPr>
      </w:pPr>
      <w:r w:rsidRPr="002A1171">
        <w:rPr>
          <w:rFonts w:ascii="Arial" w:hAnsi="Arial" w:cs="Arial"/>
          <w:sz w:val="20"/>
        </w:rPr>
        <w:t>the certificate of registration;</w:t>
      </w:r>
    </w:p>
    <w:p w14:paraId="56ADE535" w14:textId="77777777" w:rsidR="002A1171" w:rsidRPr="002A1171" w:rsidRDefault="002A1171" w:rsidP="009601C2">
      <w:pPr>
        <w:numPr>
          <w:ilvl w:val="1"/>
          <w:numId w:val="27"/>
        </w:numPr>
        <w:tabs>
          <w:tab w:val="left" w:pos="3090"/>
        </w:tabs>
        <w:spacing w:line="276" w:lineRule="auto"/>
        <w:jc w:val="both"/>
        <w:rPr>
          <w:rFonts w:ascii="Arial" w:hAnsi="Arial" w:cs="Arial"/>
          <w:sz w:val="20"/>
        </w:rPr>
      </w:pPr>
      <w:r w:rsidRPr="002A1171">
        <w:rPr>
          <w:rFonts w:ascii="Arial" w:hAnsi="Arial" w:cs="Arial"/>
          <w:sz w:val="20"/>
        </w:rPr>
        <w:t>the certificate of airworthiness, including the annexes;</w:t>
      </w:r>
    </w:p>
    <w:p w14:paraId="683F08E7" w14:textId="77777777" w:rsidR="002A1171" w:rsidRPr="002A1171" w:rsidRDefault="002A1171" w:rsidP="009601C2">
      <w:pPr>
        <w:numPr>
          <w:ilvl w:val="1"/>
          <w:numId w:val="27"/>
        </w:numPr>
        <w:tabs>
          <w:tab w:val="left" w:pos="3090"/>
        </w:tabs>
        <w:spacing w:line="276" w:lineRule="auto"/>
        <w:jc w:val="both"/>
        <w:rPr>
          <w:rFonts w:ascii="Arial" w:hAnsi="Arial" w:cs="Arial"/>
          <w:sz w:val="20"/>
        </w:rPr>
      </w:pPr>
      <w:r w:rsidRPr="002A1171">
        <w:rPr>
          <w:rFonts w:ascii="Arial" w:hAnsi="Arial" w:cs="Arial"/>
          <w:sz w:val="20"/>
        </w:rPr>
        <w:t>the AFM or equivalent document(s);</w:t>
      </w:r>
    </w:p>
    <w:p w14:paraId="55458046" w14:textId="7E2C19EF" w:rsidR="002A1171" w:rsidRPr="002A1171" w:rsidRDefault="002A1171" w:rsidP="009601C2">
      <w:pPr>
        <w:numPr>
          <w:ilvl w:val="1"/>
          <w:numId w:val="27"/>
        </w:numPr>
        <w:tabs>
          <w:tab w:val="left" w:pos="3090"/>
        </w:tabs>
        <w:spacing w:line="276" w:lineRule="auto"/>
        <w:jc w:val="both"/>
        <w:rPr>
          <w:rFonts w:ascii="Arial" w:hAnsi="Arial" w:cs="Arial"/>
          <w:sz w:val="20"/>
        </w:rPr>
      </w:pPr>
      <w:r w:rsidRPr="002A1171">
        <w:rPr>
          <w:rFonts w:ascii="Arial" w:hAnsi="Arial" w:cs="Arial"/>
          <w:sz w:val="20"/>
        </w:rPr>
        <w:t xml:space="preserve">the aircraft radio licence, where the balloon is equipped with radio communication equipment in accordance with point (a) of point </w:t>
      </w:r>
      <w:r w:rsidRPr="0047307C">
        <w:rPr>
          <w:rFonts w:ascii="Arial" w:hAnsi="Arial" w:cs="Arial"/>
          <w:sz w:val="20"/>
        </w:rPr>
        <w:t>BOP.BAS.355</w:t>
      </w:r>
      <w:r w:rsidRPr="002A1171">
        <w:rPr>
          <w:rFonts w:ascii="Arial" w:hAnsi="Arial" w:cs="Arial"/>
          <w:sz w:val="20"/>
        </w:rPr>
        <w:t>;</w:t>
      </w:r>
    </w:p>
    <w:p w14:paraId="6656EF05" w14:textId="77777777" w:rsidR="002A1171" w:rsidRPr="002A1171" w:rsidRDefault="002A1171" w:rsidP="009601C2">
      <w:pPr>
        <w:numPr>
          <w:ilvl w:val="1"/>
          <w:numId w:val="27"/>
        </w:numPr>
        <w:tabs>
          <w:tab w:val="left" w:pos="3090"/>
        </w:tabs>
        <w:spacing w:line="276" w:lineRule="auto"/>
        <w:jc w:val="both"/>
        <w:rPr>
          <w:rFonts w:ascii="Arial" w:hAnsi="Arial" w:cs="Arial"/>
          <w:sz w:val="20"/>
        </w:rPr>
      </w:pPr>
      <w:r w:rsidRPr="002A1171">
        <w:rPr>
          <w:rFonts w:ascii="Arial" w:hAnsi="Arial" w:cs="Arial"/>
          <w:sz w:val="20"/>
        </w:rPr>
        <w:t>the third party liability insurance certificate(s);</w:t>
      </w:r>
    </w:p>
    <w:p w14:paraId="301C7ABE" w14:textId="77777777" w:rsidR="002A1171" w:rsidRPr="002A1171" w:rsidRDefault="002A1171" w:rsidP="009601C2">
      <w:pPr>
        <w:numPr>
          <w:ilvl w:val="1"/>
          <w:numId w:val="27"/>
        </w:numPr>
        <w:tabs>
          <w:tab w:val="left" w:pos="3090"/>
        </w:tabs>
        <w:spacing w:line="276" w:lineRule="auto"/>
        <w:jc w:val="both"/>
        <w:rPr>
          <w:rFonts w:ascii="Arial" w:hAnsi="Arial" w:cs="Arial"/>
          <w:sz w:val="20"/>
        </w:rPr>
      </w:pPr>
      <w:r w:rsidRPr="002A1171">
        <w:rPr>
          <w:rFonts w:ascii="Arial" w:hAnsi="Arial" w:cs="Arial"/>
          <w:sz w:val="20"/>
        </w:rPr>
        <w:t>the balloon logbook or equivalent document(s);</w:t>
      </w:r>
    </w:p>
    <w:p w14:paraId="4F9DA264" w14:textId="77777777" w:rsidR="002A1171" w:rsidRPr="002A1171" w:rsidRDefault="002A1171" w:rsidP="009601C2">
      <w:pPr>
        <w:numPr>
          <w:ilvl w:val="1"/>
          <w:numId w:val="27"/>
        </w:numPr>
        <w:tabs>
          <w:tab w:val="left" w:pos="3090"/>
        </w:tabs>
        <w:spacing w:line="276" w:lineRule="auto"/>
        <w:jc w:val="both"/>
        <w:rPr>
          <w:rFonts w:ascii="Arial" w:hAnsi="Arial" w:cs="Arial"/>
          <w:sz w:val="20"/>
        </w:rPr>
      </w:pPr>
      <w:r w:rsidRPr="002A1171">
        <w:rPr>
          <w:rFonts w:ascii="Arial" w:hAnsi="Arial" w:cs="Arial"/>
          <w:sz w:val="20"/>
        </w:rPr>
        <w:t>any other documentation that may be pertinent to the flight or is required by the State or States concerned with the flight.</w:t>
      </w:r>
    </w:p>
    <w:p w14:paraId="6D6BA839" w14:textId="3A30C70C" w:rsidR="002A1171" w:rsidRPr="002447C3" w:rsidRDefault="002A1171" w:rsidP="009601C2">
      <w:pPr>
        <w:numPr>
          <w:ilvl w:val="0"/>
          <w:numId w:val="27"/>
        </w:numPr>
        <w:tabs>
          <w:tab w:val="left" w:pos="3090"/>
        </w:tabs>
        <w:spacing w:line="276" w:lineRule="auto"/>
        <w:jc w:val="both"/>
        <w:rPr>
          <w:rFonts w:ascii="Arial" w:hAnsi="Arial" w:cs="Arial"/>
          <w:sz w:val="20"/>
        </w:rPr>
      </w:pPr>
      <w:r w:rsidRPr="002A1171">
        <w:rPr>
          <w:rFonts w:ascii="Arial" w:hAnsi="Arial" w:cs="Arial"/>
          <w:sz w:val="20"/>
        </w:rPr>
        <w:t xml:space="preserve">When requested by the </w:t>
      </w:r>
      <w:r w:rsidR="002C3FB9">
        <w:rPr>
          <w:rFonts w:ascii="Arial" w:hAnsi="Arial" w:cs="Arial"/>
          <w:sz w:val="20"/>
          <w:szCs w:val="20"/>
        </w:rPr>
        <w:t>CAC RA</w:t>
      </w:r>
      <w:r w:rsidRPr="002A1171">
        <w:rPr>
          <w:rFonts w:ascii="Arial" w:hAnsi="Arial" w:cs="Arial"/>
          <w:sz w:val="20"/>
        </w:rPr>
        <w:t>, the pilot-in-command or the operator shall make available to that authority the original documentation within the time period specified by the authority which shall not be less than 24 hours.</w:t>
      </w:r>
    </w:p>
    <w:p w14:paraId="56218100" w14:textId="77777777" w:rsidR="002A1171" w:rsidRDefault="002A1171" w:rsidP="009601C2">
      <w:pPr>
        <w:tabs>
          <w:tab w:val="left" w:pos="3090"/>
        </w:tabs>
        <w:spacing w:line="276" w:lineRule="auto"/>
        <w:jc w:val="both"/>
        <w:rPr>
          <w:rFonts w:ascii="Arial" w:hAnsi="Arial" w:cs="Arial"/>
          <w:sz w:val="20"/>
        </w:rPr>
      </w:pPr>
    </w:p>
    <w:p w14:paraId="5E5EC539" w14:textId="77777777" w:rsidR="002447C3" w:rsidRPr="002447C3" w:rsidRDefault="002447C3" w:rsidP="009601C2">
      <w:pPr>
        <w:keepNext/>
        <w:keepLines/>
        <w:widowControl/>
        <w:shd w:val="clear" w:color="auto" w:fill="339966"/>
        <w:autoSpaceDE/>
        <w:autoSpaceDN/>
        <w:spacing w:before="160" w:after="120" w:line="276" w:lineRule="auto"/>
        <w:outlineLvl w:val="4"/>
        <w:rPr>
          <w:rFonts w:ascii="Arial" w:eastAsia="Times New Roman" w:hAnsi="Arial" w:cs="Times New Roman"/>
          <w:b/>
          <w:color w:val="FFFFFF"/>
          <w:sz w:val="24"/>
        </w:rPr>
      </w:pPr>
      <w:bookmarkStart w:id="71" w:name="GM1_BOP.BAS.050_Documents,_manuals_and_i"/>
      <w:bookmarkStart w:id="72" w:name="_bookmark46"/>
      <w:bookmarkStart w:id="73" w:name="_Toc153137211"/>
      <w:bookmarkEnd w:id="71"/>
      <w:bookmarkEnd w:id="72"/>
      <w:r w:rsidRPr="002447C3">
        <w:rPr>
          <w:rFonts w:ascii="Arial" w:eastAsia="Times New Roman" w:hAnsi="Arial" w:cs="Times New Roman"/>
          <w:b/>
          <w:color w:val="FFFFFF"/>
          <w:sz w:val="24"/>
        </w:rPr>
        <w:t>GM1 BOP.BAS.050 Documents, manuals and information to be carried</w:t>
      </w:r>
      <w:bookmarkEnd w:id="73"/>
    </w:p>
    <w:p w14:paraId="74C10EF2" w14:textId="77777777" w:rsidR="002447C3" w:rsidRPr="002447C3" w:rsidRDefault="002447C3" w:rsidP="009601C2">
      <w:pPr>
        <w:widowControl/>
        <w:autoSpaceDE/>
        <w:autoSpaceDN/>
        <w:spacing w:before="240" w:after="160" w:line="276" w:lineRule="auto"/>
        <w:jc w:val="both"/>
        <w:rPr>
          <w:rFonts w:ascii="Arial" w:eastAsiaTheme="minorHAnsi" w:hAnsi="Arial" w:cs="Arial"/>
          <w:b/>
          <w:bCs/>
          <w:sz w:val="20"/>
          <w:szCs w:val="20"/>
        </w:rPr>
      </w:pPr>
      <w:r w:rsidRPr="002447C3">
        <w:rPr>
          <w:rFonts w:ascii="Arial" w:eastAsiaTheme="minorHAnsi" w:hAnsi="Arial" w:cs="Arial"/>
          <w:b/>
          <w:bCs/>
          <w:sz w:val="20"/>
          <w:szCs w:val="20"/>
        </w:rPr>
        <w:t>GENERAL</w:t>
      </w:r>
    </w:p>
    <w:p w14:paraId="2D6741B1" w14:textId="77777777" w:rsidR="002447C3" w:rsidRPr="002447C3" w:rsidRDefault="002447C3" w:rsidP="009601C2">
      <w:pPr>
        <w:numPr>
          <w:ilvl w:val="0"/>
          <w:numId w:val="28"/>
        </w:numPr>
        <w:tabs>
          <w:tab w:val="left" w:pos="3090"/>
        </w:tabs>
        <w:spacing w:line="276" w:lineRule="auto"/>
        <w:jc w:val="both"/>
        <w:rPr>
          <w:rFonts w:ascii="Arial" w:hAnsi="Arial" w:cs="Arial"/>
          <w:sz w:val="20"/>
        </w:rPr>
      </w:pPr>
      <w:r w:rsidRPr="002447C3">
        <w:rPr>
          <w:rFonts w:ascii="Arial" w:hAnsi="Arial" w:cs="Arial"/>
          <w:sz w:val="20"/>
        </w:rPr>
        <w:t>In case of loss or theft of documents specified in BOP.BAS.050, the operation may continue until the balloon has landed. The operator provides replacement documentation within the shortest possible time frame.</w:t>
      </w:r>
    </w:p>
    <w:p w14:paraId="6D4FECCE" w14:textId="77777777" w:rsidR="002447C3" w:rsidRPr="002447C3" w:rsidRDefault="002447C3" w:rsidP="009601C2">
      <w:pPr>
        <w:numPr>
          <w:ilvl w:val="0"/>
          <w:numId w:val="28"/>
        </w:numPr>
        <w:tabs>
          <w:tab w:val="left" w:pos="3090"/>
        </w:tabs>
        <w:spacing w:line="276" w:lineRule="auto"/>
        <w:jc w:val="both"/>
        <w:rPr>
          <w:rFonts w:ascii="Arial" w:hAnsi="Arial" w:cs="Arial"/>
          <w:sz w:val="20"/>
        </w:rPr>
      </w:pPr>
      <w:r w:rsidRPr="002447C3">
        <w:rPr>
          <w:rFonts w:ascii="Arial" w:hAnsi="Arial" w:cs="Arial"/>
          <w:sz w:val="20"/>
        </w:rPr>
        <w:t>The documents, manuals and information may be available in a form other than on printed paper. An electronic storage medium is acceptable if accessibility, usability and reliability is assured.</w:t>
      </w:r>
    </w:p>
    <w:p w14:paraId="2E3C7BF2" w14:textId="77777777" w:rsidR="002A1171" w:rsidRDefault="002A1171" w:rsidP="009601C2">
      <w:pPr>
        <w:tabs>
          <w:tab w:val="left" w:pos="3090"/>
        </w:tabs>
        <w:spacing w:line="276" w:lineRule="auto"/>
        <w:jc w:val="both"/>
        <w:rPr>
          <w:rFonts w:ascii="Arial" w:hAnsi="Arial" w:cs="Arial"/>
          <w:sz w:val="20"/>
        </w:rPr>
      </w:pPr>
    </w:p>
    <w:p w14:paraId="616BB5F9" w14:textId="77777777" w:rsidR="002A1171" w:rsidRPr="00BC4D1C" w:rsidRDefault="00BC4D1C" w:rsidP="009601C2">
      <w:pPr>
        <w:keepNext/>
        <w:keepLines/>
        <w:shd w:val="clear" w:color="auto" w:fill="ED7D31"/>
        <w:spacing w:before="160" w:after="120" w:line="276" w:lineRule="auto"/>
        <w:outlineLvl w:val="4"/>
        <w:rPr>
          <w:rFonts w:ascii="Arial" w:eastAsia="Times New Roman" w:hAnsi="Arial" w:cs="Times New Roman"/>
          <w:b/>
          <w:color w:val="FFFFFF"/>
          <w:sz w:val="24"/>
        </w:rPr>
      </w:pPr>
      <w:bookmarkStart w:id="74" w:name="AMC1_BOP.BAS.050(a)(1)_Documents,_manual"/>
      <w:bookmarkStart w:id="75" w:name="_bookmark47"/>
      <w:bookmarkStart w:id="76" w:name="_Toc153137212"/>
      <w:bookmarkEnd w:id="74"/>
      <w:bookmarkEnd w:id="75"/>
      <w:r w:rsidRPr="00BC4D1C">
        <w:rPr>
          <w:rFonts w:ascii="Arial" w:eastAsia="Times New Roman" w:hAnsi="Arial" w:cs="Times New Roman"/>
          <w:b/>
          <w:color w:val="FFFFFF"/>
          <w:sz w:val="24"/>
        </w:rPr>
        <w:t>AMC1 BOP.BAS.050(a)(1) Documents, manuals and information to be carried</w:t>
      </w:r>
      <w:bookmarkEnd w:id="76"/>
    </w:p>
    <w:p w14:paraId="7C310119" w14:textId="77777777" w:rsidR="00BC4D1C" w:rsidRPr="00BC4D1C" w:rsidRDefault="00BC4D1C" w:rsidP="009601C2">
      <w:pPr>
        <w:widowControl/>
        <w:autoSpaceDE/>
        <w:autoSpaceDN/>
        <w:spacing w:before="240" w:after="160" w:line="276" w:lineRule="auto"/>
        <w:jc w:val="both"/>
        <w:rPr>
          <w:rFonts w:ascii="Arial" w:eastAsiaTheme="minorHAnsi" w:hAnsi="Arial" w:cs="Arial"/>
          <w:b/>
          <w:bCs/>
          <w:sz w:val="20"/>
          <w:szCs w:val="20"/>
        </w:rPr>
      </w:pPr>
      <w:r w:rsidRPr="00BC4D1C">
        <w:rPr>
          <w:rFonts w:ascii="Arial" w:eastAsiaTheme="minorHAnsi" w:hAnsi="Arial" w:cs="Arial"/>
          <w:b/>
          <w:bCs/>
          <w:sz w:val="20"/>
          <w:szCs w:val="20"/>
        </w:rPr>
        <w:t>OPERATING LIMITATIONS, NORMAL, ABNORMAL AND EMERGENCY PROCEDURES</w:t>
      </w:r>
    </w:p>
    <w:p w14:paraId="7F040EA5" w14:textId="77777777" w:rsidR="00BC4D1C" w:rsidRPr="00BC4D1C" w:rsidRDefault="00BC4D1C" w:rsidP="009601C2">
      <w:pPr>
        <w:tabs>
          <w:tab w:val="left" w:pos="3090"/>
        </w:tabs>
        <w:spacing w:line="276" w:lineRule="auto"/>
        <w:jc w:val="both"/>
        <w:rPr>
          <w:rFonts w:ascii="Arial" w:hAnsi="Arial" w:cs="Arial"/>
          <w:sz w:val="20"/>
        </w:rPr>
      </w:pPr>
      <w:r w:rsidRPr="00BC4D1C">
        <w:rPr>
          <w:rFonts w:ascii="Arial" w:hAnsi="Arial" w:cs="Arial"/>
          <w:sz w:val="20"/>
        </w:rPr>
        <w:t>The operating limitations, as well as normal, abnormal and emergency procedures should be available to the pilot during the operation by providing the specific sections of the aircraft flight manual (AFM) or by other means that effectively accomplish the purpose.</w:t>
      </w:r>
    </w:p>
    <w:p w14:paraId="59B2C5CD" w14:textId="77777777" w:rsidR="002A1171" w:rsidRDefault="002A1171" w:rsidP="009601C2">
      <w:pPr>
        <w:tabs>
          <w:tab w:val="left" w:pos="3090"/>
        </w:tabs>
        <w:spacing w:line="276" w:lineRule="auto"/>
        <w:jc w:val="both"/>
        <w:rPr>
          <w:rFonts w:ascii="Arial" w:hAnsi="Arial" w:cs="Arial"/>
          <w:sz w:val="20"/>
        </w:rPr>
      </w:pPr>
    </w:p>
    <w:p w14:paraId="3A5B3F09" w14:textId="77777777" w:rsidR="002A1171" w:rsidRPr="00BC4D1C" w:rsidRDefault="00BC4D1C" w:rsidP="009601C2">
      <w:pPr>
        <w:keepNext/>
        <w:keepLines/>
        <w:shd w:val="clear" w:color="auto" w:fill="ED7D31"/>
        <w:spacing w:before="160" w:after="120" w:line="276" w:lineRule="auto"/>
        <w:outlineLvl w:val="4"/>
        <w:rPr>
          <w:rFonts w:ascii="Arial" w:eastAsia="Times New Roman" w:hAnsi="Arial" w:cs="Times New Roman"/>
          <w:b/>
          <w:color w:val="FFFFFF"/>
          <w:sz w:val="24"/>
        </w:rPr>
      </w:pPr>
      <w:bookmarkStart w:id="77" w:name="AMC1_BOP.BAS.050(a)(3)_Documents,_manual"/>
      <w:bookmarkStart w:id="78" w:name="_bookmark48"/>
      <w:bookmarkStart w:id="79" w:name="_Toc153137213"/>
      <w:bookmarkEnd w:id="77"/>
      <w:bookmarkEnd w:id="78"/>
      <w:r w:rsidRPr="00BC4D1C">
        <w:rPr>
          <w:rFonts w:ascii="Arial" w:eastAsia="Times New Roman" w:hAnsi="Arial" w:cs="Times New Roman"/>
          <w:b/>
          <w:color w:val="FFFFFF"/>
          <w:sz w:val="24"/>
        </w:rPr>
        <w:t>AMC1 BOP.BAS.050(a)(3) Documents, manuals and information to be carried</w:t>
      </w:r>
      <w:bookmarkEnd w:id="79"/>
    </w:p>
    <w:p w14:paraId="598E15E2" w14:textId="77777777" w:rsidR="00BC4D1C" w:rsidRPr="00BC4D1C" w:rsidRDefault="00BC4D1C" w:rsidP="009601C2">
      <w:pPr>
        <w:widowControl/>
        <w:autoSpaceDE/>
        <w:autoSpaceDN/>
        <w:spacing w:before="240" w:after="160" w:line="276" w:lineRule="auto"/>
        <w:jc w:val="both"/>
        <w:rPr>
          <w:rFonts w:ascii="Arial" w:eastAsiaTheme="minorHAnsi" w:hAnsi="Arial" w:cs="Arial"/>
          <w:b/>
          <w:bCs/>
          <w:sz w:val="20"/>
          <w:szCs w:val="20"/>
        </w:rPr>
      </w:pPr>
      <w:r w:rsidRPr="00BC4D1C">
        <w:rPr>
          <w:rFonts w:ascii="Arial" w:eastAsiaTheme="minorHAnsi" w:hAnsi="Arial" w:cs="Arial"/>
          <w:b/>
          <w:bCs/>
          <w:sz w:val="20"/>
          <w:szCs w:val="20"/>
        </w:rPr>
        <w:t>CURRENT AND SUITABLE AERONAUTICAL CHARTS</w:t>
      </w:r>
    </w:p>
    <w:p w14:paraId="3AEA623B" w14:textId="77777777" w:rsidR="00BC4D1C" w:rsidRPr="00BC4D1C" w:rsidRDefault="00BC4D1C" w:rsidP="009601C2">
      <w:pPr>
        <w:numPr>
          <w:ilvl w:val="0"/>
          <w:numId w:val="29"/>
        </w:numPr>
        <w:tabs>
          <w:tab w:val="left" w:pos="3090"/>
        </w:tabs>
        <w:spacing w:line="276" w:lineRule="auto"/>
        <w:jc w:val="both"/>
        <w:rPr>
          <w:rFonts w:ascii="Arial" w:hAnsi="Arial" w:cs="Arial"/>
          <w:sz w:val="20"/>
        </w:rPr>
      </w:pPr>
      <w:r w:rsidRPr="00BC4D1C">
        <w:rPr>
          <w:rFonts w:ascii="Arial" w:hAnsi="Arial" w:cs="Arial"/>
          <w:sz w:val="20"/>
        </w:rPr>
        <w:t>The aeronautical charts carried should contain data appropriate to the applicable air traffic regulations, rules of the air, flight altitudes, area, route, and nature of the operation. Due consideration should be given to the carriage of textual and graphic representations of:</w:t>
      </w:r>
    </w:p>
    <w:p w14:paraId="4CC75730" w14:textId="77777777" w:rsidR="00BC4D1C" w:rsidRPr="00BC4D1C" w:rsidRDefault="00BC4D1C" w:rsidP="009601C2">
      <w:pPr>
        <w:numPr>
          <w:ilvl w:val="1"/>
          <w:numId w:val="29"/>
        </w:numPr>
        <w:tabs>
          <w:tab w:val="left" w:pos="3090"/>
        </w:tabs>
        <w:spacing w:line="276" w:lineRule="auto"/>
        <w:jc w:val="both"/>
        <w:rPr>
          <w:rFonts w:ascii="Arial" w:hAnsi="Arial" w:cs="Arial"/>
          <w:sz w:val="20"/>
        </w:rPr>
      </w:pPr>
      <w:r w:rsidRPr="00BC4D1C">
        <w:rPr>
          <w:rFonts w:ascii="Arial" w:hAnsi="Arial" w:cs="Arial"/>
          <w:sz w:val="20"/>
        </w:rPr>
        <w:t>aeronautical data, including, as appropriate for the nature of the operation:</w:t>
      </w:r>
    </w:p>
    <w:p w14:paraId="1668998B" w14:textId="77777777" w:rsidR="00BC4D1C" w:rsidRPr="00BC4D1C" w:rsidRDefault="00BC4D1C" w:rsidP="009601C2">
      <w:pPr>
        <w:numPr>
          <w:ilvl w:val="2"/>
          <w:numId w:val="29"/>
        </w:numPr>
        <w:tabs>
          <w:tab w:val="left" w:pos="3090"/>
        </w:tabs>
        <w:spacing w:line="276" w:lineRule="auto"/>
        <w:jc w:val="both"/>
        <w:rPr>
          <w:rFonts w:ascii="Arial" w:hAnsi="Arial" w:cs="Arial"/>
          <w:sz w:val="20"/>
        </w:rPr>
      </w:pPr>
      <w:r w:rsidRPr="00BC4D1C">
        <w:rPr>
          <w:rFonts w:ascii="Arial" w:hAnsi="Arial" w:cs="Arial"/>
          <w:sz w:val="20"/>
        </w:rPr>
        <w:t>airspace structure;</w:t>
      </w:r>
    </w:p>
    <w:p w14:paraId="45D71973" w14:textId="77777777" w:rsidR="00BC4D1C" w:rsidRPr="00BC4D1C" w:rsidRDefault="00BC4D1C" w:rsidP="009601C2">
      <w:pPr>
        <w:numPr>
          <w:ilvl w:val="2"/>
          <w:numId w:val="29"/>
        </w:numPr>
        <w:tabs>
          <w:tab w:val="left" w:pos="3090"/>
        </w:tabs>
        <w:spacing w:line="276" w:lineRule="auto"/>
        <w:jc w:val="both"/>
        <w:rPr>
          <w:rFonts w:ascii="Arial" w:hAnsi="Arial" w:cs="Arial"/>
          <w:sz w:val="20"/>
        </w:rPr>
      </w:pPr>
      <w:r w:rsidRPr="00BC4D1C">
        <w:rPr>
          <w:rFonts w:ascii="Arial" w:hAnsi="Arial" w:cs="Arial"/>
          <w:sz w:val="20"/>
        </w:rPr>
        <w:t>communication frequencies;</w:t>
      </w:r>
    </w:p>
    <w:p w14:paraId="67F83434" w14:textId="77777777" w:rsidR="00BC4D1C" w:rsidRPr="00BC4D1C" w:rsidRDefault="00BC4D1C" w:rsidP="009601C2">
      <w:pPr>
        <w:numPr>
          <w:ilvl w:val="2"/>
          <w:numId w:val="29"/>
        </w:numPr>
        <w:tabs>
          <w:tab w:val="left" w:pos="3090"/>
        </w:tabs>
        <w:spacing w:line="276" w:lineRule="auto"/>
        <w:jc w:val="both"/>
        <w:rPr>
          <w:rFonts w:ascii="Arial" w:hAnsi="Arial" w:cs="Arial"/>
          <w:sz w:val="20"/>
        </w:rPr>
      </w:pPr>
      <w:r w:rsidRPr="00BC4D1C">
        <w:rPr>
          <w:rFonts w:ascii="Arial" w:hAnsi="Arial" w:cs="Arial"/>
          <w:sz w:val="20"/>
        </w:rPr>
        <w:t>prohibited, restricted and danger areas;</w:t>
      </w:r>
    </w:p>
    <w:p w14:paraId="37F7B084" w14:textId="77777777" w:rsidR="00BC4D1C" w:rsidRPr="00BC4D1C" w:rsidRDefault="00BC4D1C" w:rsidP="009601C2">
      <w:pPr>
        <w:numPr>
          <w:ilvl w:val="2"/>
          <w:numId w:val="29"/>
        </w:numPr>
        <w:tabs>
          <w:tab w:val="left" w:pos="3090"/>
        </w:tabs>
        <w:spacing w:line="276" w:lineRule="auto"/>
        <w:jc w:val="both"/>
        <w:rPr>
          <w:rFonts w:ascii="Arial" w:hAnsi="Arial" w:cs="Arial"/>
          <w:sz w:val="20"/>
        </w:rPr>
      </w:pPr>
      <w:r w:rsidRPr="00BC4D1C">
        <w:rPr>
          <w:rFonts w:ascii="Arial" w:hAnsi="Arial" w:cs="Arial"/>
          <w:sz w:val="20"/>
        </w:rPr>
        <w:t>sites of other relevant activities that may hazard the flight; and</w:t>
      </w:r>
    </w:p>
    <w:p w14:paraId="343B9AEF" w14:textId="77777777" w:rsidR="00BC4D1C" w:rsidRPr="00BC4D1C" w:rsidRDefault="00BC4D1C" w:rsidP="009601C2">
      <w:pPr>
        <w:numPr>
          <w:ilvl w:val="1"/>
          <w:numId w:val="29"/>
        </w:numPr>
        <w:tabs>
          <w:tab w:val="left" w:pos="3090"/>
        </w:tabs>
        <w:spacing w:line="276" w:lineRule="auto"/>
        <w:jc w:val="both"/>
        <w:rPr>
          <w:rFonts w:ascii="Arial" w:hAnsi="Arial" w:cs="Arial"/>
          <w:sz w:val="20"/>
        </w:rPr>
      </w:pPr>
      <w:r w:rsidRPr="00BC4D1C">
        <w:rPr>
          <w:rFonts w:ascii="Arial" w:hAnsi="Arial" w:cs="Arial"/>
          <w:sz w:val="20"/>
        </w:rPr>
        <w:lastRenderedPageBreak/>
        <w:t>topographical data, including terrain and obstacle data.</w:t>
      </w:r>
    </w:p>
    <w:p w14:paraId="6DB39AA3" w14:textId="77777777" w:rsidR="00BC4D1C" w:rsidRPr="00BC4D1C" w:rsidRDefault="00BC4D1C" w:rsidP="009601C2">
      <w:pPr>
        <w:numPr>
          <w:ilvl w:val="0"/>
          <w:numId w:val="29"/>
        </w:numPr>
        <w:tabs>
          <w:tab w:val="left" w:pos="3090"/>
        </w:tabs>
        <w:spacing w:line="276" w:lineRule="auto"/>
        <w:jc w:val="both"/>
        <w:rPr>
          <w:rFonts w:ascii="Arial" w:hAnsi="Arial" w:cs="Arial"/>
          <w:sz w:val="20"/>
        </w:rPr>
      </w:pPr>
      <w:r w:rsidRPr="00BC4D1C">
        <w:rPr>
          <w:rFonts w:ascii="Arial" w:hAnsi="Arial" w:cs="Arial"/>
          <w:sz w:val="20"/>
        </w:rPr>
        <w:t>A combination of different charts and textual data may be used to provide adequate and current data.</w:t>
      </w:r>
    </w:p>
    <w:p w14:paraId="1E405AED" w14:textId="77777777" w:rsidR="00BC4D1C" w:rsidRPr="00BC4D1C" w:rsidRDefault="00BC4D1C" w:rsidP="009601C2">
      <w:pPr>
        <w:numPr>
          <w:ilvl w:val="0"/>
          <w:numId w:val="29"/>
        </w:numPr>
        <w:tabs>
          <w:tab w:val="left" w:pos="3090"/>
        </w:tabs>
        <w:spacing w:line="276" w:lineRule="auto"/>
        <w:jc w:val="both"/>
        <w:rPr>
          <w:rFonts w:ascii="Arial" w:hAnsi="Arial" w:cs="Arial"/>
          <w:sz w:val="20"/>
        </w:rPr>
      </w:pPr>
      <w:r w:rsidRPr="00BC4D1C">
        <w:rPr>
          <w:rFonts w:ascii="Arial" w:hAnsi="Arial" w:cs="Arial"/>
          <w:sz w:val="20"/>
        </w:rPr>
        <w:t>The aeronautical data should be relevant for the current aeronautical information regulation and control (AIRAC) cycle.</w:t>
      </w:r>
    </w:p>
    <w:p w14:paraId="0C288552" w14:textId="7B9318C0" w:rsidR="002A1171" w:rsidRPr="00DE343A" w:rsidRDefault="00BC4D1C" w:rsidP="009601C2">
      <w:pPr>
        <w:numPr>
          <w:ilvl w:val="0"/>
          <w:numId w:val="29"/>
        </w:numPr>
        <w:tabs>
          <w:tab w:val="left" w:pos="3090"/>
        </w:tabs>
        <w:spacing w:line="276" w:lineRule="auto"/>
        <w:jc w:val="both"/>
        <w:rPr>
          <w:rFonts w:ascii="Arial" w:hAnsi="Arial" w:cs="Arial"/>
          <w:sz w:val="20"/>
        </w:rPr>
      </w:pPr>
      <w:r w:rsidRPr="00BC4D1C">
        <w:rPr>
          <w:rFonts w:ascii="Arial" w:hAnsi="Arial" w:cs="Arial"/>
          <w:sz w:val="20"/>
        </w:rPr>
        <w:t>The topographical data should be reasonably recent, as regards the nature of the planned operation.</w:t>
      </w:r>
    </w:p>
    <w:p w14:paraId="098F4E6B" w14:textId="77777777" w:rsidR="008F0A86" w:rsidRPr="008F0A86" w:rsidRDefault="008F0A86" w:rsidP="009601C2">
      <w:pPr>
        <w:keepNext/>
        <w:keepLines/>
        <w:shd w:val="clear" w:color="auto" w:fill="ED7D31"/>
        <w:spacing w:before="160" w:after="120" w:line="276" w:lineRule="auto"/>
        <w:outlineLvl w:val="4"/>
        <w:rPr>
          <w:rFonts w:ascii="Arial" w:eastAsia="Times New Roman" w:hAnsi="Arial" w:cs="Times New Roman"/>
          <w:b/>
          <w:color w:val="FFFFFF"/>
          <w:sz w:val="24"/>
        </w:rPr>
      </w:pPr>
      <w:bookmarkStart w:id="80" w:name="AMC1_BOP.BAS.050(b)(2)_Documents,_manual"/>
      <w:bookmarkStart w:id="81" w:name="_bookmark49"/>
      <w:bookmarkStart w:id="82" w:name="_Toc153137214"/>
      <w:bookmarkEnd w:id="80"/>
      <w:bookmarkEnd w:id="81"/>
      <w:r w:rsidRPr="008F0A86">
        <w:rPr>
          <w:rFonts w:ascii="Arial" w:eastAsia="Times New Roman" w:hAnsi="Arial" w:cs="Times New Roman"/>
          <w:b/>
          <w:color w:val="FFFFFF"/>
          <w:sz w:val="24"/>
        </w:rPr>
        <w:t>AMC1 BOP.BAS.050(b)(2) Documents, manuals and information to be carried</w:t>
      </w:r>
      <w:bookmarkEnd w:id="82"/>
    </w:p>
    <w:p w14:paraId="59C0181D" w14:textId="77777777" w:rsidR="008F0A86" w:rsidRPr="008F0A86" w:rsidRDefault="008F0A86" w:rsidP="009601C2">
      <w:pPr>
        <w:widowControl/>
        <w:autoSpaceDE/>
        <w:autoSpaceDN/>
        <w:spacing w:before="240" w:after="160" w:line="276" w:lineRule="auto"/>
        <w:jc w:val="both"/>
        <w:rPr>
          <w:rFonts w:ascii="Arial" w:eastAsiaTheme="minorHAnsi" w:hAnsi="Arial" w:cs="Arial"/>
          <w:b/>
          <w:bCs/>
          <w:sz w:val="20"/>
          <w:szCs w:val="20"/>
        </w:rPr>
      </w:pPr>
      <w:r w:rsidRPr="008F0A86">
        <w:rPr>
          <w:rFonts w:ascii="Arial" w:eastAsiaTheme="minorHAnsi" w:hAnsi="Arial" w:cs="Arial"/>
          <w:b/>
          <w:bCs/>
          <w:sz w:val="20"/>
          <w:szCs w:val="20"/>
        </w:rPr>
        <w:t>CERTIFICATE OF AIRWORTHINESS</w:t>
      </w:r>
    </w:p>
    <w:p w14:paraId="6E923EF3" w14:textId="10E58D51" w:rsidR="002A1171" w:rsidRDefault="008F0A86" w:rsidP="009601C2">
      <w:pPr>
        <w:tabs>
          <w:tab w:val="left" w:pos="3090"/>
        </w:tabs>
        <w:spacing w:line="276" w:lineRule="auto"/>
        <w:jc w:val="both"/>
        <w:rPr>
          <w:rFonts w:ascii="Arial" w:hAnsi="Arial" w:cs="Arial"/>
          <w:sz w:val="20"/>
        </w:rPr>
      </w:pPr>
      <w:r w:rsidRPr="008F0A86">
        <w:rPr>
          <w:rFonts w:ascii="Arial" w:hAnsi="Arial" w:cs="Arial"/>
          <w:sz w:val="20"/>
        </w:rPr>
        <w:t>The certificate of airworthiness should be a normal certificate of airworthiness, a restricted certificate of airworthiness, or a permit to fly issued in accordance with the applica</w:t>
      </w:r>
      <w:r w:rsidR="00453B73">
        <w:rPr>
          <w:rFonts w:ascii="Arial" w:hAnsi="Arial" w:cs="Arial"/>
          <w:sz w:val="20"/>
        </w:rPr>
        <w:t>ble airworthiness requirements.</w:t>
      </w:r>
    </w:p>
    <w:p w14:paraId="7B85DFC4" w14:textId="77777777" w:rsidR="002A1171" w:rsidRPr="005D3314" w:rsidRDefault="005D3314" w:rsidP="009601C2">
      <w:pPr>
        <w:keepNext/>
        <w:keepLines/>
        <w:widowControl/>
        <w:shd w:val="clear" w:color="auto" w:fill="339966"/>
        <w:autoSpaceDE/>
        <w:autoSpaceDN/>
        <w:spacing w:before="160" w:after="120" w:line="276" w:lineRule="auto"/>
        <w:outlineLvl w:val="4"/>
        <w:rPr>
          <w:rFonts w:ascii="Arial" w:eastAsia="Times New Roman" w:hAnsi="Arial" w:cs="Times New Roman"/>
          <w:b/>
          <w:color w:val="FFFFFF"/>
          <w:sz w:val="24"/>
        </w:rPr>
      </w:pPr>
      <w:bookmarkStart w:id="83" w:name="GM1_BOP.BAS.050(b)(3)_Documents,_manuals"/>
      <w:bookmarkStart w:id="84" w:name="_bookmark50"/>
      <w:bookmarkStart w:id="85" w:name="_Toc153137215"/>
      <w:bookmarkEnd w:id="83"/>
      <w:bookmarkEnd w:id="84"/>
      <w:r w:rsidRPr="005D3314">
        <w:rPr>
          <w:rFonts w:ascii="Arial" w:eastAsia="Times New Roman" w:hAnsi="Arial" w:cs="Times New Roman"/>
          <w:b/>
          <w:color w:val="FFFFFF"/>
          <w:sz w:val="24"/>
        </w:rPr>
        <w:t>GM1 BOP.BAS.050(b)(3) Documents, manuals and information to be carried</w:t>
      </w:r>
      <w:bookmarkEnd w:id="85"/>
    </w:p>
    <w:p w14:paraId="59E66D32" w14:textId="77777777" w:rsidR="005D3314" w:rsidRPr="005D3314" w:rsidRDefault="005D3314" w:rsidP="009601C2">
      <w:pPr>
        <w:widowControl/>
        <w:autoSpaceDE/>
        <w:autoSpaceDN/>
        <w:spacing w:before="240" w:after="160" w:line="276" w:lineRule="auto"/>
        <w:jc w:val="both"/>
        <w:rPr>
          <w:rFonts w:ascii="Arial" w:eastAsiaTheme="minorHAnsi" w:hAnsi="Arial" w:cs="Arial"/>
          <w:b/>
          <w:bCs/>
          <w:sz w:val="20"/>
          <w:szCs w:val="20"/>
        </w:rPr>
      </w:pPr>
      <w:r w:rsidRPr="005D3314">
        <w:rPr>
          <w:rFonts w:ascii="Arial" w:eastAsiaTheme="minorHAnsi" w:hAnsi="Arial" w:cs="Arial"/>
          <w:b/>
          <w:bCs/>
          <w:sz w:val="20"/>
          <w:szCs w:val="20"/>
        </w:rPr>
        <w:t>AFM OR EQUIVALENT DOCUMENT</w:t>
      </w:r>
    </w:p>
    <w:p w14:paraId="7D9508A7" w14:textId="4EE3DE3B" w:rsidR="002A1171" w:rsidRDefault="005D3314" w:rsidP="009601C2">
      <w:pPr>
        <w:tabs>
          <w:tab w:val="left" w:pos="3090"/>
        </w:tabs>
        <w:spacing w:line="276" w:lineRule="auto"/>
        <w:jc w:val="both"/>
        <w:rPr>
          <w:rFonts w:ascii="Arial" w:hAnsi="Arial" w:cs="Arial"/>
          <w:sz w:val="20"/>
        </w:rPr>
      </w:pPr>
      <w:r w:rsidRPr="005D3314">
        <w:rPr>
          <w:rFonts w:ascii="Arial" w:hAnsi="Arial" w:cs="Arial"/>
          <w:sz w:val="20"/>
        </w:rPr>
        <w:t>‘AFM or equivalent document(s)’ means the flight manual for the balloon or other documents containing information required for the operation of the balloon within the terms of its certificate of airworthiness</w:t>
      </w:r>
      <w:r w:rsidR="00453B73">
        <w:rPr>
          <w:rFonts w:ascii="Arial" w:hAnsi="Arial" w:cs="Arial"/>
          <w:sz w:val="20"/>
        </w:rPr>
        <w:t>.</w:t>
      </w:r>
    </w:p>
    <w:p w14:paraId="5979EEDE" w14:textId="77777777" w:rsidR="002A1171" w:rsidRPr="005D3314" w:rsidRDefault="005D3314" w:rsidP="009601C2">
      <w:pPr>
        <w:keepNext/>
        <w:keepLines/>
        <w:widowControl/>
        <w:shd w:val="clear" w:color="auto" w:fill="339966"/>
        <w:autoSpaceDE/>
        <w:autoSpaceDN/>
        <w:spacing w:before="160" w:after="120" w:line="276" w:lineRule="auto"/>
        <w:outlineLvl w:val="4"/>
        <w:rPr>
          <w:rFonts w:ascii="Arial" w:eastAsia="Times New Roman" w:hAnsi="Arial" w:cs="Times New Roman"/>
          <w:b/>
          <w:color w:val="FFFFFF"/>
          <w:sz w:val="24"/>
        </w:rPr>
      </w:pPr>
      <w:bookmarkStart w:id="86" w:name="GM1_BOP.BAS.050(b)(6)_Documents,_manuals"/>
      <w:bookmarkStart w:id="87" w:name="_bookmark51"/>
      <w:bookmarkStart w:id="88" w:name="_Toc153137216"/>
      <w:bookmarkEnd w:id="86"/>
      <w:bookmarkEnd w:id="87"/>
      <w:r w:rsidRPr="005D3314">
        <w:rPr>
          <w:rFonts w:ascii="Arial" w:eastAsia="Times New Roman" w:hAnsi="Arial" w:cs="Times New Roman"/>
          <w:b/>
          <w:color w:val="FFFFFF"/>
          <w:sz w:val="24"/>
        </w:rPr>
        <w:t>GM1 BOP.BAS.050(b)(6) Documents, manuals and information to be carried</w:t>
      </w:r>
      <w:bookmarkEnd w:id="88"/>
    </w:p>
    <w:p w14:paraId="35CDB2C2" w14:textId="77777777" w:rsidR="005D3314" w:rsidRPr="005D3314" w:rsidRDefault="005D3314" w:rsidP="009601C2">
      <w:pPr>
        <w:widowControl/>
        <w:autoSpaceDE/>
        <w:autoSpaceDN/>
        <w:spacing w:before="240" w:after="160" w:line="276" w:lineRule="auto"/>
        <w:jc w:val="both"/>
        <w:rPr>
          <w:rFonts w:ascii="Arial" w:eastAsiaTheme="minorHAnsi" w:hAnsi="Arial" w:cs="Arial"/>
          <w:b/>
          <w:bCs/>
          <w:sz w:val="20"/>
          <w:szCs w:val="20"/>
        </w:rPr>
      </w:pPr>
      <w:r w:rsidRPr="005D3314">
        <w:rPr>
          <w:rFonts w:ascii="Arial" w:eastAsiaTheme="minorHAnsi" w:hAnsi="Arial" w:cs="Arial"/>
          <w:b/>
          <w:bCs/>
          <w:sz w:val="20"/>
          <w:szCs w:val="20"/>
        </w:rPr>
        <w:t>BALLOON LOGBOOK OR EQUIVALENT DOCUMENT</w:t>
      </w:r>
    </w:p>
    <w:p w14:paraId="1C4087D9" w14:textId="76D8F0F2" w:rsidR="002A1171" w:rsidRDefault="005D3314" w:rsidP="009601C2">
      <w:pPr>
        <w:tabs>
          <w:tab w:val="left" w:pos="3090"/>
        </w:tabs>
        <w:spacing w:line="276" w:lineRule="auto"/>
        <w:jc w:val="both"/>
        <w:rPr>
          <w:rFonts w:ascii="Arial" w:hAnsi="Arial" w:cs="Arial"/>
          <w:sz w:val="20"/>
        </w:rPr>
      </w:pPr>
      <w:r w:rsidRPr="005D3314">
        <w:rPr>
          <w:rFonts w:ascii="Arial" w:hAnsi="Arial" w:cs="Arial"/>
          <w:sz w:val="20"/>
        </w:rPr>
        <w:t>’Balloon logbook or equivalent document(s)’ means that the required information may be recorded in documentation other than a logbook, such as the operational flight plan or the ballo</w:t>
      </w:r>
      <w:r w:rsidR="00C06016">
        <w:rPr>
          <w:rFonts w:ascii="Arial" w:hAnsi="Arial" w:cs="Arial"/>
          <w:sz w:val="20"/>
        </w:rPr>
        <w:t>on technical log.</w:t>
      </w:r>
    </w:p>
    <w:p w14:paraId="72A85BF5" w14:textId="77777777" w:rsidR="00C06016" w:rsidRPr="00C06016" w:rsidRDefault="00C06016" w:rsidP="009601C2">
      <w:pPr>
        <w:keepNext/>
        <w:keepLines/>
        <w:widowControl/>
        <w:shd w:val="clear" w:color="auto" w:fill="339966"/>
        <w:autoSpaceDE/>
        <w:autoSpaceDN/>
        <w:spacing w:before="160" w:after="120" w:line="276" w:lineRule="auto"/>
        <w:outlineLvl w:val="4"/>
        <w:rPr>
          <w:rFonts w:ascii="Arial" w:eastAsia="Times New Roman" w:hAnsi="Arial" w:cs="Times New Roman"/>
          <w:b/>
          <w:color w:val="FFFFFF"/>
          <w:sz w:val="24"/>
        </w:rPr>
      </w:pPr>
      <w:bookmarkStart w:id="89" w:name="GM1_BOP.BAS.050(b)(7)_Documents,_manuals"/>
      <w:bookmarkStart w:id="90" w:name="_bookmark52"/>
      <w:bookmarkStart w:id="91" w:name="_Toc153137217"/>
      <w:bookmarkEnd w:id="89"/>
      <w:bookmarkEnd w:id="90"/>
      <w:r w:rsidRPr="00C06016">
        <w:rPr>
          <w:rFonts w:ascii="Arial" w:eastAsia="Times New Roman" w:hAnsi="Arial" w:cs="Times New Roman"/>
          <w:b/>
          <w:color w:val="FFFFFF"/>
          <w:sz w:val="24"/>
        </w:rPr>
        <w:t>GM1 BOP.BAS.050(b)(7) Documents, manuals and information to be carried</w:t>
      </w:r>
      <w:bookmarkEnd w:id="91"/>
    </w:p>
    <w:p w14:paraId="3FDCB4D3" w14:textId="77777777" w:rsidR="00C06016" w:rsidRPr="00C06016" w:rsidRDefault="00C06016" w:rsidP="009601C2">
      <w:pPr>
        <w:widowControl/>
        <w:autoSpaceDE/>
        <w:autoSpaceDN/>
        <w:spacing w:before="240" w:after="160" w:line="276" w:lineRule="auto"/>
        <w:jc w:val="both"/>
        <w:rPr>
          <w:rFonts w:ascii="Arial" w:eastAsiaTheme="minorHAnsi" w:hAnsi="Arial" w:cs="Arial"/>
          <w:b/>
          <w:bCs/>
          <w:sz w:val="20"/>
          <w:szCs w:val="20"/>
        </w:rPr>
      </w:pPr>
      <w:r w:rsidRPr="00C06016">
        <w:rPr>
          <w:rFonts w:ascii="Arial" w:eastAsiaTheme="minorHAnsi" w:hAnsi="Arial" w:cs="Arial"/>
          <w:b/>
          <w:bCs/>
          <w:sz w:val="20"/>
          <w:szCs w:val="20"/>
        </w:rPr>
        <w:t>DOCUMENTS THAT MAY BE PERTINENT TO THE FLIGHT AND STATES CONCERNED WITH THE FLIGHT</w:t>
      </w:r>
    </w:p>
    <w:p w14:paraId="1111CF02" w14:textId="77777777" w:rsidR="00C06016" w:rsidRPr="00C06016" w:rsidRDefault="00C06016" w:rsidP="009601C2">
      <w:pPr>
        <w:numPr>
          <w:ilvl w:val="0"/>
          <w:numId w:val="30"/>
        </w:numPr>
        <w:tabs>
          <w:tab w:val="left" w:pos="3090"/>
        </w:tabs>
        <w:spacing w:line="276" w:lineRule="auto"/>
        <w:jc w:val="both"/>
        <w:rPr>
          <w:rFonts w:ascii="Arial" w:hAnsi="Arial" w:cs="Arial"/>
          <w:sz w:val="20"/>
        </w:rPr>
      </w:pPr>
      <w:r w:rsidRPr="00C06016">
        <w:rPr>
          <w:rFonts w:ascii="Arial" w:hAnsi="Arial" w:cs="Arial"/>
          <w:sz w:val="20"/>
        </w:rPr>
        <w:t>Any other documents that may be pertinent to the flight or are required by the States concerned with the flight may include, for example, forms to comply with reporting requirements.</w:t>
      </w:r>
    </w:p>
    <w:p w14:paraId="733F36B9" w14:textId="77777777" w:rsidR="00C06016" w:rsidRPr="00C06016" w:rsidRDefault="00C06016" w:rsidP="009601C2">
      <w:pPr>
        <w:numPr>
          <w:ilvl w:val="0"/>
          <w:numId w:val="30"/>
        </w:numPr>
        <w:tabs>
          <w:tab w:val="left" w:pos="3090"/>
        </w:tabs>
        <w:spacing w:line="276" w:lineRule="auto"/>
        <w:jc w:val="both"/>
        <w:rPr>
          <w:rFonts w:ascii="Arial" w:hAnsi="Arial" w:cs="Arial"/>
          <w:sz w:val="20"/>
        </w:rPr>
      </w:pPr>
      <w:r w:rsidRPr="00C06016">
        <w:rPr>
          <w:rFonts w:ascii="Arial" w:hAnsi="Arial" w:cs="Arial"/>
          <w:sz w:val="20"/>
        </w:rPr>
        <w:t>The States concerned are those of origin, overflight and destination of the flight.</w:t>
      </w:r>
    </w:p>
    <w:p w14:paraId="5B233D7C" w14:textId="77777777" w:rsidR="002A1171" w:rsidRDefault="002A1171" w:rsidP="009601C2">
      <w:pPr>
        <w:tabs>
          <w:tab w:val="left" w:pos="3090"/>
        </w:tabs>
        <w:spacing w:line="276" w:lineRule="auto"/>
        <w:jc w:val="both"/>
        <w:rPr>
          <w:rFonts w:ascii="Arial" w:hAnsi="Arial" w:cs="Arial"/>
          <w:sz w:val="20"/>
        </w:rPr>
      </w:pPr>
    </w:p>
    <w:p w14:paraId="71FA95A3" w14:textId="77777777" w:rsidR="005D02AB" w:rsidRPr="005D02AB" w:rsidRDefault="005D02AB" w:rsidP="009601C2">
      <w:pPr>
        <w:pStyle w:val="Heading4"/>
        <w:shd w:val="clear" w:color="auto" w:fill="2F5496" w:themeFill="accent5" w:themeFillShade="BF"/>
        <w:spacing w:line="276" w:lineRule="auto"/>
        <w:rPr>
          <w:rFonts w:ascii="Arial" w:hAnsi="Arial"/>
          <w:b/>
          <w:i w:val="0"/>
          <w:color w:val="FFFFFF" w:themeColor="background1"/>
          <w:sz w:val="24"/>
        </w:rPr>
      </w:pPr>
      <w:bookmarkStart w:id="92" w:name="BOP.BAS.055_Dangerous_goods"/>
      <w:bookmarkStart w:id="93" w:name="_bookmark53"/>
      <w:bookmarkStart w:id="94" w:name="_Toc153137218"/>
      <w:bookmarkEnd w:id="92"/>
      <w:bookmarkEnd w:id="93"/>
      <w:r w:rsidRPr="005D02AB">
        <w:rPr>
          <w:rFonts w:ascii="Arial" w:hAnsi="Arial"/>
          <w:b/>
          <w:i w:val="0"/>
          <w:color w:val="FFFFFF" w:themeColor="background1"/>
          <w:sz w:val="24"/>
        </w:rPr>
        <w:t>BOP.BAS.055 Dangerous goods</w:t>
      </w:r>
      <w:bookmarkEnd w:id="94"/>
    </w:p>
    <w:p w14:paraId="354B7504" w14:textId="77777777" w:rsidR="005D02AB" w:rsidRDefault="005D02AB" w:rsidP="009601C2">
      <w:pPr>
        <w:tabs>
          <w:tab w:val="left" w:pos="3090"/>
        </w:tabs>
        <w:spacing w:line="276" w:lineRule="auto"/>
        <w:jc w:val="both"/>
        <w:rPr>
          <w:rFonts w:ascii="Arial" w:hAnsi="Arial" w:cs="Arial"/>
          <w:sz w:val="20"/>
        </w:rPr>
      </w:pPr>
    </w:p>
    <w:p w14:paraId="2AD4FC63" w14:textId="77777777" w:rsidR="005D02AB" w:rsidRPr="005D02AB" w:rsidRDefault="005D02AB" w:rsidP="009601C2">
      <w:pPr>
        <w:numPr>
          <w:ilvl w:val="0"/>
          <w:numId w:val="31"/>
        </w:numPr>
        <w:tabs>
          <w:tab w:val="left" w:pos="3090"/>
        </w:tabs>
        <w:spacing w:line="276" w:lineRule="auto"/>
        <w:jc w:val="both"/>
        <w:rPr>
          <w:rFonts w:ascii="Arial" w:hAnsi="Arial" w:cs="Arial"/>
          <w:sz w:val="20"/>
        </w:rPr>
      </w:pPr>
      <w:r w:rsidRPr="005D02AB">
        <w:rPr>
          <w:rFonts w:ascii="Arial" w:hAnsi="Arial" w:cs="Arial"/>
          <w:sz w:val="20"/>
        </w:rPr>
        <w:t>The transport of dangerous goods on board the balloon shall be conducted in accordance with the requirements set out in Annex 18 to the Chicago Convention, as last amended and amplified by the technical instructions.</w:t>
      </w:r>
    </w:p>
    <w:p w14:paraId="47E324F3" w14:textId="77777777" w:rsidR="005D02AB" w:rsidRPr="005D02AB" w:rsidRDefault="005D02AB" w:rsidP="009601C2">
      <w:pPr>
        <w:numPr>
          <w:ilvl w:val="0"/>
          <w:numId w:val="31"/>
        </w:numPr>
        <w:tabs>
          <w:tab w:val="left" w:pos="3090"/>
        </w:tabs>
        <w:spacing w:line="276" w:lineRule="auto"/>
        <w:jc w:val="both"/>
        <w:rPr>
          <w:rFonts w:ascii="Arial" w:hAnsi="Arial" w:cs="Arial"/>
          <w:sz w:val="20"/>
        </w:rPr>
      </w:pPr>
      <w:r w:rsidRPr="005D02AB">
        <w:rPr>
          <w:rFonts w:ascii="Arial" w:hAnsi="Arial" w:cs="Arial"/>
          <w:sz w:val="20"/>
        </w:rPr>
        <w:t>The pilot-in-command shall take all reasonable measures to prevent dangerous goods from being carried on board the balloon inadvertently.</w:t>
      </w:r>
    </w:p>
    <w:p w14:paraId="700D66F3" w14:textId="77777777" w:rsidR="005D02AB" w:rsidRPr="005D02AB" w:rsidRDefault="005D02AB" w:rsidP="009601C2">
      <w:pPr>
        <w:numPr>
          <w:ilvl w:val="0"/>
          <w:numId w:val="31"/>
        </w:numPr>
        <w:tabs>
          <w:tab w:val="left" w:pos="3090"/>
        </w:tabs>
        <w:spacing w:line="276" w:lineRule="auto"/>
        <w:jc w:val="both"/>
        <w:rPr>
          <w:rFonts w:ascii="Arial" w:hAnsi="Arial" w:cs="Arial"/>
          <w:sz w:val="20"/>
        </w:rPr>
      </w:pPr>
      <w:r w:rsidRPr="005D02AB">
        <w:rPr>
          <w:rFonts w:ascii="Arial" w:hAnsi="Arial" w:cs="Arial"/>
          <w:sz w:val="20"/>
        </w:rPr>
        <w:t>Reasonable quantities of articles and substances that would otherwise be classified as dangerous goods and that are used to facilitate flight safety, where carriage on board the balloon is advisable to ensure their timely availability for operational purposes, shall be considered authorised under point 2.2.1(a) of Part 1 of the technical instructions, regardless of whether or not such articles and substances are required to be carried or intended to be used in connection with a particular flight. The pilot-in-command shall ensure that the packing and loading on board the balloon of those articles and substances is performed in such a way as to minimise the risks posed to crew members, passengers and the balloon during operation.</w:t>
      </w:r>
    </w:p>
    <w:p w14:paraId="4D336EF7" w14:textId="3A19D071" w:rsidR="005D02AB" w:rsidRPr="005D02AB" w:rsidRDefault="005D02AB" w:rsidP="009601C2">
      <w:pPr>
        <w:numPr>
          <w:ilvl w:val="0"/>
          <w:numId w:val="31"/>
        </w:numPr>
        <w:tabs>
          <w:tab w:val="left" w:pos="3090"/>
        </w:tabs>
        <w:spacing w:line="276" w:lineRule="auto"/>
        <w:jc w:val="both"/>
        <w:rPr>
          <w:rFonts w:ascii="Arial" w:hAnsi="Arial" w:cs="Arial"/>
          <w:sz w:val="20"/>
        </w:rPr>
      </w:pPr>
      <w:r w:rsidRPr="005D02AB">
        <w:rPr>
          <w:rFonts w:ascii="Arial" w:hAnsi="Arial" w:cs="Arial"/>
          <w:sz w:val="20"/>
        </w:rPr>
        <w:t xml:space="preserve">The pilot-in-command or, when the pilot-in-command is incapacitated, the operator shall report without delay any accidents or incidents involving dangerous goods to the safety investigation authority of the State in the territory of which the occurrence took place, the emergency services of that State, any other authority designated by that State and the </w:t>
      </w:r>
      <w:r w:rsidR="002C3FB9">
        <w:rPr>
          <w:rFonts w:ascii="Arial" w:hAnsi="Arial" w:cs="Arial"/>
          <w:sz w:val="20"/>
          <w:szCs w:val="20"/>
        </w:rPr>
        <w:t>CAC RA</w:t>
      </w:r>
      <w:r w:rsidRPr="005D02AB">
        <w:rPr>
          <w:rFonts w:ascii="Arial" w:hAnsi="Arial" w:cs="Arial"/>
          <w:sz w:val="20"/>
        </w:rPr>
        <w:t>.</w:t>
      </w:r>
    </w:p>
    <w:p w14:paraId="4934C8C8" w14:textId="77777777" w:rsidR="005D02AB" w:rsidRPr="005D02AB" w:rsidRDefault="005D02AB" w:rsidP="009601C2">
      <w:pPr>
        <w:keepNext/>
        <w:keepLines/>
        <w:widowControl/>
        <w:shd w:val="clear" w:color="auto" w:fill="339966"/>
        <w:autoSpaceDE/>
        <w:autoSpaceDN/>
        <w:spacing w:before="160" w:after="120" w:line="276" w:lineRule="auto"/>
        <w:outlineLvl w:val="4"/>
        <w:rPr>
          <w:rFonts w:ascii="Arial" w:eastAsia="Times New Roman" w:hAnsi="Arial" w:cs="Times New Roman"/>
          <w:b/>
          <w:color w:val="FFFFFF"/>
          <w:sz w:val="24"/>
        </w:rPr>
      </w:pPr>
      <w:bookmarkStart w:id="95" w:name="GM1_BOP.BAS.055_Dangerous_goods"/>
      <w:bookmarkStart w:id="96" w:name="_bookmark54"/>
      <w:bookmarkStart w:id="97" w:name="_Toc153137219"/>
      <w:bookmarkEnd w:id="95"/>
      <w:bookmarkEnd w:id="96"/>
      <w:r w:rsidRPr="005D02AB">
        <w:rPr>
          <w:rFonts w:ascii="Arial" w:eastAsia="Times New Roman" w:hAnsi="Arial" w:cs="Times New Roman"/>
          <w:b/>
          <w:color w:val="FFFFFF"/>
          <w:sz w:val="24"/>
        </w:rPr>
        <w:lastRenderedPageBreak/>
        <w:t>GM1 BOP.BAS.055 Dangerous goods</w:t>
      </w:r>
      <w:bookmarkEnd w:id="97"/>
    </w:p>
    <w:p w14:paraId="09076C56" w14:textId="77777777" w:rsidR="005D02AB" w:rsidRPr="005D02AB" w:rsidRDefault="005D02AB" w:rsidP="009601C2">
      <w:pPr>
        <w:widowControl/>
        <w:autoSpaceDE/>
        <w:autoSpaceDN/>
        <w:spacing w:before="240" w:after="160" w:line="276" w:lineRule="auto"/>
        <w:jc w:val="both"/>
        <w:rPr>
          <w:rFonts w:ascii="Arial" w:eastAsiaTheme="minorHAnsi" w:hAnsi="Arial" w:cs="Arial"/>
          <w:b/>
          <w:bCs/>
          <w:sz w:val="20"/>
          <w:szCs w:val="20"/>
        </w:rPr>
      </w:pPr>
      <w:r w:rsidRPr="005D02AB">
        <w:rPr>
          <w:rFonts w:ascii="Arial" w:eastAsiaTheme="minorHAnsi" w:hAnsi="Arial" w:cs="Arial"/>
          <w:b/>
          <w:bCs/>
          <w:sz w:val="20"/>
          <w:szCs w:val="20"/>
        </w:rPr>
        <w:t>GENERAL</w:t>
      </w:r>
    </w:p>
    <w:p w14:paraId="7CD3E43F" w14:textId="77777777" w:rsidR="00C206E9" w:rsidRDefault="00C206E9" w:rsidP="009601C2">
      <w:pPr>
        <w:tabs>
          <w:tab w:val="left" w:pos="3090"/>
        </w:tabs>
        <w:spacing w:line="276" w:lineRule="auto"/>
        <w:jc w:val="both"/>
        <w:rPr>
          <w:rFonts w:ascii="Arial" w:hAnsi="Arial" w:cs="Arial"/>
          <w:sz w:val="20"/>
        </w:rPr>
      </w:pPr>
      <w:r w:rsidRPr="00C206E9">
        <w:rPr>
          <w:rFonts w:ascii="Arial" w:hAnsi="Arial" w:cs="Arial"/>
          <w:sz w:val="20"/>
        </w:rPr>
        <w:t>The carriage of dangerous goods is only permitted when:</w:t>
      </w:r>
    </w:p>
    <w:p w14:paraId="67E85040" w14:textId="77777777" w:rsidR="00C206E9" w:rsidRPr="00C206E9" w:rsidRDefault="00C206E9" w:rsidP="009601C2">
      <w:pPr>
        <w:tabs>
          <w:tab w:val="left" w:pos="3090"/>
        </w:tabs>
        <w:spacing w:line="276" w:lineRule="auto"/>
        <w:jc w:val="both"/>
        <w:rPr>
          <w:rFonts w:ascii="Arial" w:hAnsi="Arial" w:cs="Arial"/>
          <w:sz w:val="20"/>
        </w:rPr>
      </w:pPr>
    </w:p>
    <w:p w14:paraId="565BA1C2" w14:textId="77777777" w:rsidR="00C206E9" w:rsidRPr="00C206E9" w:rsidRDefault="00C206E9" w:rsidP="009601C2">
      <w:pPr>
        <w:numPr>
          <w:ilvl w:val="0"/>
          <w:numId w:val="32"/>
        </w:numPr>
        <w:tabs>
          <w:tab w:val="left" w:pos="3090"/>
        </w:tabs>
        <w:spacing w:line="276" w:lineRule="auto"/>
        <w:jc w:val="both"/>
        <w:rPr>
          <w:rFonts w:ascii="Arial" w:hAnsi="Arial" w:cs="Arial"/>
          <w:sz w:val="20"/>
        </w:rPr>
      </w:pPr>
      <w:r w:rsidRPr="00C206E9">
        <w:rPr>
          <w:rFonts w:ascii="Arial" w:hAnsi="Arial" w:cs="Arial"/>
          <w:sz w:val="20"/>
        </w:rPr>
        <w:t>they are not subject to the ‘Technical instructions for the safe transport of dangerous goods by air’, ICAO Doc 9284-AN/905, in accordance with Part 1 of those instructions. Following the technical instructions, articles and substances which would otherwise be classified as dangerous goods, but which are required on board the balloon in accordance with the pertinent airworthiness requirements or the requirements of this Annex, are permitted;</w:t>
      </w:r>
    </w:p>
    <w:p w14:paraId="145968A5" w14:textId="77777777" w:rsidR="00C206E9" w:rsidRPr="00C206E9" w:rsidRDefault="00C206E9" w:rsidP="009601C2">
      <w:pPr>
        <w:numPr>
          <w:ilvl w:val="0"/>
          <w:numId w:val="32"/>
        </w:numPr>
        <w:tabs>
          <w:tab w:val="left" w:pos="3090"/>
        </w:tabs>
        <w:spacing w:line="276" w:lineRule="auto"/>
        <w:jc w:val="both"/>
        <w:rPr>
          <w:rFonts w:ascii="Arial" w:hAnsi="Arial" w:cs="Arial"/>
          <w:sz w:val="20"/>
        </w:rPr>
      </w:pPr>
      <w:r w:rsidRPr="00C206E9">
        <w:rPr>
          <w:rFonts w:ascii="Arial" w:hAnsi="Arial" w:cs="Arial"/>
          <w:sz w:val="20"/>
        </w:rPr>
        <w:t>they are carried by crew members or passengers, or are in baggage, in accordance with Part 8 of the technical instructions; or</w:t>
      </w:r>
    </w:p>
    <w:p w14:paraId="45103B43" w14:textId="77777777" w:rsidR="00C206E9" w:rsidRPr="00C206E9" w:rsidRDefault="00C206E9" w:rsidP="009601C2">
      <w:pPr>
        <w:numPr>
          <w:ilvl w:val="0"/>
          <w:numId w:val="32"/>
        </w:numPr>
        <w:tabs>
          <w:tab w:val="left" w:pos="3090"/>
        </w:tabs>
        <w:spacing w:line="276" w:lineRule="auto"/>
        <w:jc w:val="both"/>
        <w:rPr>
          <w:rFonts w:ascii="Arial" w:hAnsi="Arial" w:cs="Arial"/>
          <w:sz w:val="20"/>
        </w:rPr>
      </w:pPr>
      <w:r w:rsidRPr="00C206E9">
        <w:rPr>
          <w:rFonts w:ascii="Arial" w:hAnsi="Arial" w:cs="Arial"/>
          <w:sz w:val="20"/>
        </w:rPr>
        <w:t>they are required on board the balloon for specialised purposes in accordance with the technical instructions.</w:t>
      </w:r>
    </w:p>
    <w:p w14:paraId="1ABE5175" w14:textId="77777777" w:rsidR="005D02AB" w:rsidRDefault="005D02AB" w:rsidP="009601C2">
      <w:pPr>
        <w:tabs>
          <w:tab w:val="left" w:pos="3090"/>
        </w:tabs>
        <w:spacing w:line="276" w:lineRule="auto"/>
        <w:jc w:val="both"/>
        <w:rPr>
          <w:rFonts w:ascii="Arial" w:hAnsi="Arial" w:cs="Arial"/>
          <w:sz w:val="20"/>
        </w:rPr>
      </w:pPr>
    </w:p>
    <w:p w14:paraId="1247C05C" w14:textId="77777777" w:rsidR="00C206E9" w:rsidRPr="00C206E9" w:rsidRDefault="00C206E9" w:rsidP="009601C2">
      <w:pPr>
        <w:keepNext/>
        <w:keepLines/>
        <w:widowControl/>
        <w:shd w:val="clear" w:color="auto" w:fill="339966"/>
        <w:autoSpaceDE/>
        <w:autoSpaceDN/>
        <w:spacing w:before="160" w:after="120" w:line="276" w:lineRule="auto"/>
        <w:outlineLvl w:val="4"/>
        <w:rPr>
          <w:rFonts w:ascii="Arial" w:eastAsia="Times New Roman" w:hAnsi="Arial" w:cs="Times New Roman"/>
          <w:b/>
          <w:color w:val="FFFFFF"/>
          <w:sz w:val="24"/>
        </w:rPr>
      </w:pPr>
      <w:bookmarkStart w:id="98" w:name="GM2_BOP.BAS.055_Dangerous_goods"/>
      <w:bookmarkStart w:id="99" w:name="_bookmark55"/>
      <w:bookmarkStart w:id="100" w:name="_Toc153137220"/>
      <w:bookmarkEnd w:id="98"/>
      <w:bookmarkEnd w:id="99"/>
      <w:r w:rsidRPr="00C206E9">
        <w:rPr>
          <w:rFonts w:ascii="Arial" w:eastAsia="Times New Roman" w:hAnsi="Arial" w:cs="Times New Roman"/>
          <w:b/>
          <w:color w:val="FFFFFF"/>
          <w:sz w:val="24"/>
        </w:rPr>
        <w:t>GM2 BOP.BAS.055 Dangerous goods</w:t>
      </w:r>
      <w:bookmarkEnd w:id="100"/>
    </w:p>
    <w:p w14:paraId="65AB4E81" w14:textId="77777777" w:rsidR="00C206E9" w:rsidRPr="00C206E9" w:rsidRDefault="00C206E9" w:rsidP="009601C2">
      <w:pPr>
        <w:widowControl/>
        <w:autoSpaceDE/>
        <w:autoSpaceDN/>
        <w:spacing w:before="240" w:after="160" w:line="276" w:lineRule="auto"/>
        <w:jc w:val="both"/>
        <w:rPr>
          <w:rFonts w:ascii="Arial" w:eastAsiaTheme="minorHAnsi" w:hAnsi="Arial" w:cs="Arial"/>
          <w:b/>
          <w:bCs/>
          <w:sz w:val="20"/>
          <w:szCs w:val="20"/>
        </w:rPr>
      </w:pPr>
      <w:r w:rsidRPr="00C206E9">
        <w:rPr>
          <w:rFonts w:ascii="Arial" w:eastAsiaTheme="minorHAnsi" w:hAnsi="Arial" w:cs="Arial"/>
          <w:b/>
          <w:bCs/>
          <w:sz w:val="20"/>
          <w:szCs w:val="20"/>
        </w:rPr>
        <w:t>EXAMPLES</w:t>
      </w:r>
    </w:p>
    <w:p w14:paraId="77EF96D5" w14:textId="77777777" w:rsidR="00C206E9" w:rsidRDefault="00C206E9" w:rsidP="009601C2">
      <w:pPr>
        <w:tabs>
          <w:tab w:val="left" w:pos="3090"/>
        </w:tabs>
        <w:spacing w:line="276" w:lineRule="auto"/>
        <w:jc w:val="both"/>
        <w:rPr>
          <w:rFonts w:ascii="Arial" w:hAnsi="Arial" w:cs="Arial"/>
          <w:sz w:val="20"/>
        </w:rPr>
      </w:pPr>
      <w:r w:rsidRPr="00C206E9">
        <w:rPr>
          <w:rFonts w:ascii="Arial" w:hAnsi="Arial" w:cs="Arial"/>
          <w:sz w:val="20"/>
        </w:rPr>
        <w:t>Dangerous goods include the following:</w:t>
      </w:r>
    </w:p>
    <w:p w14:paraId="3D7A5FC4" w14:textId="77777777" w:rsidR="00C206E9" w:rsidRPr="00C206E9" w:rsidRDefault="00C206E9" w:rsidP="009601C2">
      <w:pPr>
        <w:tabs>
          <w:tab w:val="left" w:pos="3090"/>
        </w:tabs>
        <w:spacing w:line="276" w:lineRule="auto"/>
        <w:jc w:val="both"/>
        <w:rPr>
          <w:rFonts w:ascii="Arial" w:hAnsi="Arial" w:cs="Arial"/>
          <w:sz w:val="20"/>
        </w:rPr>
      </w:pPr>
    </w:p>
    <w:p w14:paraId="1AB8BBBF" w14:textId="77777777" w:rsidR="00C206E9" w:rsidRPr="00C206E9" w:rsidRDefault="00C206E9" w:rsidP="009601C2">
      <w:pPr>
        <w:numPr>
          <w:ilvl w:val="0"/>
          <w:numId w:val="33"/>
        </w:numPr>
        <w:tabs>
          <w:tab w:val="left" w:pos="3090"/>
        </w:tabs>
        <w:spacing w:line="276" w:lineRule="auto"/>
        <w:jc w:val="both"/>
        <w:rPr>
          <w:rFonts w:ascii="Arial" w:hAnsi="Arial" w:cs="Arial"/>
          <w:sz w:val="20"/>
        </w:rPr>
      </w:pPr>
      <w:r w:rsidRPr="00C206E9">
        <w:rPr>
          <w:rFonts w:ascii="Arial" w:hAnsi="Arial" w:cs="Arial"/>
          <w:sz w:val="20"/>
        </w:rPr>
        <w:t>explosives (fireworks, flares, detonators, fuses, dynamite, ammunition and materials for fireworks in general);</w:t>
      </w:r>
    </w:p>
    <w:p w14:paraId="3C074430" w14:textId="77777777" w:rsidR="00C206E9" w:rsidRPr="00C206E9" w:rsidRDefault="00C206E9" w:rsidP="009601C2">
      <w:pPr>
        <w:numPr>
          <w:ilvl w:val="0"/>
          <w:numId w:val="33"/>
        </w:numPr>
        <w:tabs>
          <w:tab w:val="left" w:pos="3090"/>
        </w:tabs>
        <w:spacing w:line="276" w:lineRule="auto"/>
        <w:jc w:val="both"/>
        <w:rPr>
          <w:rFonts w:ascii="Arial" w:hAnsi="Arial" w:cs="Arial"/>
          <w:sz w:val="20"/>
        </w:rPr>
      </w:pPr>
      <w:r w:rsidRPr="00C206E9">
        <w:rPr>
          <w:rFonts w:ascii="Arial" w:hAnsi="Arial" w:cs="Arial"/>
          <w:sz w:val="20"/>
        </w:rPr>
        <w:t>compressed or refrigerated liquid, or dissolved gases (aerosols, self-defence sprays, camping gas, extinguishers, cryogenic liquids, bottles with cooling gases and compressed gas cylinders in general);</w:t>
      </w:r>
    </w:p>
    <w:p w14:paraId="7DCFA8F2" w14:textId="77777777" w:rsidR="00C206E9" w:rsidRPr="00C206E9" w:rsidRDefault="00C206E9" w:rsidP="009601C2">
      <w:pPr>
        <w:numPr>
          <w:ilvl w:val="0"/>
          <w:numId w:val="33"/>
        </w:numPr>
        <w:tabs>
          <w:tab w:val="left" w:pos="3090"/>
        </w:tabs>
        <w:spacing w:line="276" w:lineRule="auto"/>
        <w:jc w:val="both"/>
        <w:rPr>
          <w:rFonts w:ascii="Arial" w:hAnsi="Arial" w:cs="Arial"/>
          <w:sz w:val="20"/>
        </w:rPr>
      </w:pPr>
      <w:r w:rsidRPr="00C206E9">
        <w:rPr>
          <w:rFonts w:ascii="Arial" w:hAnsi="Arial" w:cs="Arial"/>
          <w:sz w:val="20"/>
        </w:rPr>
        <w:t>flammable liquids and solids (fuel, equipment containing fuel, adhesives, solvents, paint, petrol, varnish, torches, cigarette lighters and lighter refills);</w:t>
      </w:r>
    </w:p>
    <w:p w14:paraId="22913F02" w14:textId="77777777" w:rsidR="00C206E9" w:rsidRPr="00C206E9" w:rsidRDefault="00C206E9" w:rsidP="009601C2">
      <w:pPr>
        <w:numPr>
          <w:ilvl w:val="0"/>
          <w:numId w:val="33"/>
        </w:numPr>
        <w:tabs>
          <w:tab w:val="left" w:pos="3090"/>
        </w:tabs>
        <w:spacing w:line="276" w:lineRule="auto"/>
        <w:jc w:val="both"/>
        <w:rPr>
          <w:rFonts w:ascii="Arial" w:hAnsi="Arial" w:cs="Arial"/>
          <w:sz w:val="20"/>
        </w:rPr>
      </w:pPr>
      <w:r w:rsidRPr="00C206E9">
        <w:rPr>
          <w:rFonts w:ascii="Arial" w:hAnsi="Arial" w:cs="Arial"/>
          <w:sz w:val="20"/>
        </w:rPr>
        <w:t>substances that emit flammable gases in contact with water;</w:t>
      </w:r>
    </w:p>
    <w:p w14:paraId="392AE334" w14:textId="77777777" w:rsidR="00C206E9" w:rsidRPr="00C206E9" w:rsidRDefault="00C206E9" w:rsidP="009601C2">
      <w:pPr>
        <w:numPr>
          <w:ilvl w:val="0"/>
          <w:numId w:val="33"/>
        </w:numPr>
        <w:tabs>
          <w:tab w:val="left" w:pos="3090"/>
        </w:tabs>
        <w:spacing w:line="276" w:lineRule="auto"/>
        <w:jc w:val="both"/>
        <w:rPr>
          <w:rFonts w:ascii="Arial" w:hAnsi="Arial" w:cs="Arial"/>
          <w:sz w:val="20"/>
        </w:rPr>
      </w:pPr>
      <w:r w:rsidRPr="00C206E9">
        <w:rPr>
          <w:rFonts w:ascii="Arial" w:hAnsi="Arial" w:cs="Arial"/>
          <w:sz w:val="20"/>
        </w:rPr>
        <w:t>oxidisers and organic peroxides (oxygen generators and bleaching powder); and</w:t>
      </w:r>
    </w:p>
    <w:p w14:paraId="3D5B1390" w14:textId="77777777" w:rsidR="00C206E9" w:rsidRPr="00C206E9" w:rsidRDefault="00C206E9" w:rsidP="009601C2">
      <w:pPr>
        <w:numPr>
          <w:ilvl w:val="0"/>
          <w:numId w:val="33"/>
        </w:numPr>
        <w:tabs>
          <w:tab w:val="left" w:pos="3090"/>
        </w:tabs>
        <w:spacing w:line="276" w:lineRule="auto"/>
        <w:jc w:val="both"/>
        <w:rPr>
          <w:rFonts w:ascii="Arial" w:hAnsi="Arial" w:cs="Arial"/>
          <w:sz w:val="20"/>
        </w:rPr>
      </w:pPr>
      <w:r w:rsidRPr="00C206E9">
        <w:rPr>
          <w:rFonts w:ascii="Arial" w:hAnsi="Arial" w:cs="Arial"/>
          <w:sz w:val="20"/>
        </w:rPr>
        <w:t>substances liable to spontaneous combustion (strike-anywhere matches and phosphorous).</w:t>
      </w:r>
    </w:p>
    <w:p w14:paraId="6A0A54B3" w14:textId="77777777" w:rsidR="00C206E9" w:rsidRDefault="00C206E9" w:rsidP="009601C2">
      <w:pPr>
        <w:tabs>
          <w:tab w:val="left" w:pos="3090"/>
        </w:tabs>
        <w:spacing w:line="276" w:lineRule="auto"/>
        <w:jc w:val="both"/>
        <w:rPr>
          <w:rFonts w:ascii="Arial" w:hAnsi="Arial" w:cs="Arial"/>
          <w:sz w:val="20"/>
        </w:rPr>
      </w:pPr>
    </w:p>
    <w:p w14:paraId="29604B9E" w14:textId="77777777" w:rsidR="00CC7136" w:rsidRPr="00CC7136" w:rsidRDefault="00CC7136" w:rsidP="009601C2">
      <w:pPr>
        <w:pStyle w:val="Heading4"/>
        <w:shd w:val="clear" w:color="auto" w:fill="2F5496" w:themeFill="accent5" w:themeFillShade="BF"/>
        <w:spacing w:line="276" w:lineRule="auto"/>
        <w:rPr>
          <w:rFonts w:ascii="Arial" w:hAnsi="Arial"/>
          <w:b/>
          <w:i w:val="0"/>
          <w:color w:val="FFFFFF" w:themeColor="background1"/>
          <w:sz w:val="24"/>
        </w:rPr>
      </w:pPr>
      <w:bookmarkStart w:id="101" w:name="BOP.BAS.060_Release_of_dangerous_goods"/>
      <w:bookmarkStart w:id="102" w:name="_bookmark56"/>
      <w:bookmarkStart w:id="103" w:name="_Toc153137221"/>
      <w:bookmarkEnd w:id="101"/>
      <w:bookmarkEnd w:id="102"/>
      <w:r w:rsidRPr="00CC7136">
        <w:rPr>
          <w:rFonts w:ascii="Arial" w:hAnsi="Arial"/>
          <w:b/>
          <w:i w:val="0"/>
          <w:color w:val="FFFFFF" w:themeColor="background1"/>
          <w:sz w:val="24"/>
        </w:rPr>
        <w:t>BOP.BAS.060 Release of dangerous goods</w:t>
      </w:r>
      <w:bookmarkEnd w:id="103"/>
    </w:p>
    <w:p w14:paraId="6E41B826" w14:textId="77777777" w:rsidR="00CC7136" w:rsidRDefault="00CC7136" w:rsidP="009601C2">
      <w:pPr>
        <w:tabs>
          <w:tab w:val="left" w:pos="3090"/>
        </w:tabs>
        <w:spacing w:line="276" w:lineRule="auto"/>
        <w:jc w:val="both"/>
        <w:rPr>
          <w:rFonts w:ascii="Arial" w:hAnsi="Arial" w:cs="Arial"/>
          <w:sz w:val="20"/>
        </w:rPr>
      </w:pPr>
    </w:p>
    <w:p w14:paraId="6A427C25" w14:textId="77777777" w:rsidR="00CC7136" w:rsidRPr="00CC7136" w:rsidRDefault="00CC7136" w:rsidP="009601C2">
      <w:pPr>
        <w:numPr>
          <w:ilvl w:val="0"/>
          <w:numId w:val="34"/>
        </w:numPr>
        <w:tabs>
          <w:tab w:val="left" w:pos="3090"/>
        </w:tabs>
        <w:spacing w:line="276" w:lineRule="auto"/>
        <w:jc w:val="both"/>
        <w:rPr>
          <w:rFonts w:ascii="Arial" w:hAnsi="Arial" w:cs="Arial"/>
          <w:sz w:val="20"/>
        </w:rPr>
      </w:pPr>
      <w:r w:rsidRPr="00CC7136">
        <w:rPr>
          <w:rFonts w:ascii="Arial" w:hAnsi="Arial" w:cs="Arial"/>
          <w:sz w:val="20"/>
        </w:rPr>
        <w:t>The pilot-in-command shall not release dangerous goods when operating a balloon over congested areas of cities, towns or settlements or over an open-air assembly of persons.</w:t>
      </w:r>
    </w:p>
    <w:p w14:paraId="13A1787A" w14:textId="77777777" w:rsidR="00CC7136" w:rsidRPr="00CC7136" w:rsidRDefault="00CC7136" w:rsidP="009601C2">
      <w:pPr>
        <w:numPr>
          <w:ilvl w:val="0"/>
          <w:numId w:val="34"/>
        </w:numPr>
        <w:tabs>
          <w:tab w:val="left" w:pos="3090"/>
        </w:tabs>
        <w:spacing w:line="276" w:lineRule="auto"/>
        <w:jc w:val="both"/>
        <w:rPr>
          <w:rFonts w:ascii="Arial" w:hAnsi="Arial" w:cs="Arial"/>
          <w:sz w:val="20"/>
        </w:rPr>
      </w:pPr>
      <w:r w:rsidRPr="00CC7136">
        <w:rPr>
          <w:rFonts w:ascii="Arial" w:hAnsi="Arial" w:cs="Arial"/>
          <w:sz w:val="20"/>
        </w:rPr>
        <w:t>Notwithstanding point (a), parachutists may exit the balloon for the purpose of parachute display over those congested areas or over that open-air assembly of persons whilst carrying smoke trail devices that were manufactured for that purpose.</w:t>
      </w:r>
    </w:p>
    <w:p w14:paraId="34979C6A" w14:textId="77777777" w:rsidR="00CC7136" w:rsidRDefault="00CC7136" w:rsidP="009601C2">
      <w:pPr>
        <w:tabs>
          <w:tab w:val="left" w:pos="3090"/>
        </w:tabs>
        <w:spacing w:line="276" w:lineRule="auto"/>
        <w:jc w:val="both"/>
        <w:rPr>
          <w:rFonts w:ascii="Arial" w:hAnsi="Arial" w:cs="Arial"/>
          <w:sz w:val="20"/>
        </w:rPr>
      </w:pPr>
    </w:p>
    <w:p w14:paraId="37585BE9" w14:textId="77777777" w:rsidR="00CC7136" w:rsidRPr="00CC7136" w:rsidRDefault="00CC7136" w:rsidP="009601C2">
      <w:pPr>
        <w:pStyle w:val="Heading4"/>
        <w:shd w:val="clear" w:color="auto" w:fill="2F5496" w:themeFill="accent5" w:themeFillShade="BF"/>
        <w:spacing w:line="276" w:lineRule="auto"/>
        <w:rPr>
          <w:rFonts w:ascii="Arial" w:hAnsi="Arial"/>
          <w:b/>
          <w:i w:val="0"/>
          <w:color w:val="FFFFFF" w:themeColor="background1"/>
          <w:sz w:val="24"/>
        </w:rPr>
      </w:pPr>
      <w:bookmarkStart w:id="104" w:name="BOP.BAS.065_Balloon_logbook"/>
      <w:bookmarkStart w:id="105" w:name="_bookmark57"/>
      <w:bookmarkStart w:id="106" w:name="_Toc153137222"/>
      <w:bookmarkEnd w:id="104"/>
      <w:bookmarkEnd w:id="105"/>
      <w:r w:rsidRPr="00CC7136">
        <w:rPr>
          <w:rFonts w:ascii="Arial" w:hAnsi="Arial"/>
          <w:b/>
          <w:i w:val="0"/>
          <w:color w:val="FFFFFF" w:themeColor="background1"/>
          <w:sz w:val="24"/>
        </w:rPr>
        <w:t>BOP.BAS.065 Balloon logbook</w:t>
      </w:r>
      <w:bookmarkEnd w:id="106"/>
    </w:p>
    <w:p w14:paraId="53CAC579" w14:textId="77777777" w:rsidR="00CC7136" w:rsidRDefault="00CC7136" w:rsidP="009601C2">
      <w:pPr>
        <w:tabs>
          <w:tab w:val="left" w:pos="3090"/>
        </w:tabs>
        <w:spacing w:line="276" w:lineRule="auto"/>
        <w:jc w:val="both"/>
        <w:rPr>
          <w:rFonts w:ascii="Arial" w:hAnsi="Arial" w:cs="Arial"/>
          <w:sz w:val="20"/>
        </w:rPr>
      </w:pPr>
    </w:p>
    <w:p w14:paraId="064BCBAF" w14:textId="552984D8" w:rsidR="00CC7136" w:rsidRDefault="00CC7136" w:rsidP="009601C2">
      <w:pPr>
        <w:tabs>
          <w:tab w:val="left" w:pos="3090"/>
        </w:tabs>
        <w:spacing w:line="276" w:lineRule="auto"/>
        <w:jc w:val="both"/>
        <w:rPr>
          <w:rFonts w:ascii="Arial" w:hAnsi="Arial" w:cs="Arial"/>
          <w:sz w:val="20"/>
        </w:rPr>
      </w:pPr>
      <w:r w:rsidRPr="00CC7136">
        <w:rPr>
          <w:rFonts w:ascii="Arial" w:hAnsi="Arial" w:cs="Arial"/>
          <w:sz w:val="20"/>
        </w:rPr>
        <w:t>For each flight, or series of flights, particulars of the balloon, its crew and each journey shall be retained in the form of a balloon logbook or an equivalent document.</w:t>
      </w:r>
    </w:p>
    <w:p w14:paraId="24D1A71B" w14:textId="77777777" w:rsidR="00CC7136" w:rsidRPr="00CC7136" w:rsidRDefault="00CC7136" w:rsidP="009601C2">
      <w:pPr>
        <w:keepNext/>
        <w:keepLines/>
        <w:shd w:val="clear" w:color="auto" w:fill="ED7D31"/>
        <w:spacing w:before="160" w:after="120" w:line="276" w:lineRule="auto"/>
        <w:outlineLvl w:val="4"/>
        <w:rPr>
          <w:rFonts w:ascii="Arial" w:eastAsia="Times New Roman" w:hAnsi="Arial" w:cs="Times New Roman"/>
          <w:b/>
          <w:color w:val="FFFFFF"/>
          <w:sz w:val="24"/>
        </w:rPr>
      </w:pPr>
      <w:bookmarkStart w:id="107" w:name="AMC1_BOP.BAS.065_Balloon_logbook"/>
      <w:bookmarkStart w:id="108" w:name="_bookmark58"/>
      <w:bookmarkStart w:id="109" w:name="_Toc153137223"/>
      <w:bookmarkEnd w:id="107"/>
      <w:bookmarkEnd w:id="108"/>
      <w:r w:rsidRPr="00CC7136">
        <w:rPr>
          <w:rFonts w:ascii="Arial" w:eastAsia="Times New Roman" w:hAnsi="Arial" w:cs="Times New Roman"/>
          <w:b/>
          <w:color w:val="FFFFFF"/>
          <w:sz w:val="24"/>
        </w:rPr>
        <w:t>AMC1 BOP.BAS.065 Balloon logbook</w:t>
      </w:r>
      <w:bookmarkEnd w:id="109"/>
    </w:p>
    <w:p w14:paraId="1A0488EF" w14:textId="77777777" w:rsidR="00CC7136" w:rsidRPr="00CC7136" w:rsidRDefault="00CC7136" w:rsidP="009601C2">
      <w:pPr>
        <w:widowControl/>
        <w:autoSpaceDE/>
        <w:autoSpaceDN/>
        <w:spacing w:before="240" w:after="160" w:line="276" w:lineRule="auto"/>
        <w:jc w:val="both"/>
        <w:rPr>
          <w:rFonts w:ascii="Arial" w:eastAsiaTheme="minorHAnsi" w:hAnsi="Arial" w:cs="Arial"/>
          <w:b/>
          <w:bCs/>
          <w:sz w:val="20"/>
          <w:szCs w:val="20"/>
        </w:rPr>
      </w:pPr>
      <w:r w:rsidRPr="00CC7136">
        <w:rPr>
          <w:rFonts w:ascii="Arial" w:eastAsiaTheme="minorHAnsi" w:hAnsi="Arial" w:cs="Arial"/>
          <w:b/>
          <w:bCs/>
          <w:sz w:val="20"/>
          <w:szCs w:val="20"/>
        </w:rPr>
        <w:t>GENERAL</w:t>
      </w:r>
    </w:p>
    <w:p w14:paraId="3B05EF4C" w14:textId="77777777" w:rsidR="00CC7136" w:rsidRDefault="00CC7136" w:rsidP="009601C2">
      <w:pPr>
        <w:tabs>
          <w:tab w:val="left" w:pos="3090"/>
        </w:tabs>
        <w:spacing w:line="276" w:lineRule="auto"/>
        <w:jc w:val="both"/>
        <w:rPr>
          <w:rFonts w:ascii="Arial" w:hAnsi="Arial" w:cs="Arial"/>
          <w:sz w:val="20"/>
        </w:rPr>
      </w:pPr>
      <w:r w:rsidRPr="00CC7136">
        <w:rPr>
          <w:rFonts w:ascii="Arial" w:hAnsi="Arial" w:cs="Arial"/>
          <w:sz w:val="20"/>
        </w:rPr>
        <w:t>The balloon logbook, or equivalent, should include the following items, where applicable:</w:t>
      </w:r>
    </w:p>
    <w:p w14:paraId="6DBA1278" w14:textId="77777777" w:rsidR="00CC7136" w:rsidRPr="00CC7136" w:rsidRDefault="00CC7136" w:rsidP="009601C2">
      <w:pPr>
        <w:tabs>
          <w:tab w:val="left" w:pos="3090"/>
        </w:tabs>
        <w:spacing w:line="276" w:lineRule="auto"/>
        <w:jc w:val="both"/>
        <w:rPr>
          <w:rFonts w:ascii="Arial" w:hAnsi="Arial" w:cs="Arial"/>
          <w:sz w:val="20"/>
        </w:rPr>
      </w:pPr>
    </w:p>
    <w:p w14:paraId="166379F6" w14:textId="77777777" w:rsidR="00CC7136" w:rsidRPr="00CC7136" w:rsidRDefault="00CC7136" w:rsidP="009601C2">
      <w:pPr>
        <w:numPr>
          <w:ilvl w:val="0"/>
          <w:numId w:val="35"/>
        </w:numPr>
        <w:tabs>
          <w:tab w:val="left" w:pos="3090"/>
        </w:tabs>
        <w:spacing w:line="276" w:lineRule="auto"/>
        <w:jc w:val="both"/>
        <w:rPr>
          <w:rFonts w:ascii="Arial" w:hAnsi="Arial" w:cs="Arial"/>
          <w:sz w:val="20"/>
        </w:rPr>
      </w:pPr>
      <w:r w:rsidRPr="00CC7136">
        <w:rPr>
          <w:rFonts w:ascii="Arial" w:hAnsi="Arial" w:cs="Arial"/>
          <w:sz w:val="20"/>
        </w:rPr>
        <w:t>balloon nationality and registration;</w:t>
      </w:r>
    </w:p>
    <w:p w14:paraId="014A894B" w14:textId="77777777" w:rsidR="00CC7136" w:rsidRPr="00CC7136" w:rsidRDefault="00CC7136" w:rsidP="009601C2">
      <w:pPr>
        <w:numPr>
          <w:ilvl w:val="0"/>
          <w:numId w:val="35"/>
        </w:numPr>
        <w:tabs>
          <w:tab w:val="left" w:pos="3090"/>
        </w:tabs>
        <w:spacing w:line="276" w:lineRule="auto"/>
        <w:jc w:val="both"/>
        <w:rPr>
          <w:rFonts w:ascii="Arial" w:hAnsi="Arial" w:cs="Arial"/>
          <w:sz w:val="20"/>
        </w:rPr>
      </w:pPr>
      <w:r w:rsidRPr="00CC7136">
        <w:rPr>
          <w:rFonts w:ascii="Arial" w:hAnsi="Arial" w:cs="Arial"/>
          <w:sz w:val="20"/>
        </w:rPr>
        <w:t>date;</w:t>
      </w:r>
    </w:p>
    <w:p w14:paraId="2381BB32" w14:textId="77777777" w:rsidR="00CC7136" w:rsidRPr="00CC7136" w:rsidRDefault="00CC7136" w:rsidP="009601C2">
      <w:pPr>
        <w:numPr>
          <w:ilvl w:val="0"/>
          <w:numId w:val="35"/>
        </w:numPr>
        <w:tabs>
          <w:tab w:val="left" w:pos="3090"/>
        </w:tabs>
        <w:spacing w:line="276" w:lineRule="auto"/>
        <w:jc w:val="both"/>
        <w:rPr>
          <w:rFonts w:ascii="Arial" w:hAnsi="Arial" w:cs="Arial"/>
          <w:sz w:val="20"/>
        </w:rPr>
      </w:pPr>
      <w:r w:rsidRPr="00CC7136">
        <w:rPr>
          <w:rFonts w:ascii="Arial" w:hAnsi="Arial" w:cs="Arial"/>
          <w:sz w:val="20"/>
        </w:rPr>
        <w:t>name(s) of flight crew member(s);</w:t>
      </w:r>
    </w:p>
    <w:p w14:paraId="42F72270" w14:textId="77777777" w:rsidR="00CC7136" w:rsidRPr="00CC7136" w:rsidRDefault="00CC7136" w:rsidP="009601C2">
      <w:pPr>
        <w:numPr>
          <w:ilvl w:val="0"/>
          <w:numId w:val="35"/>
        </w:numPr>
        <w:tabs>
          <w:tab w:val="left" w:pos="3090"/>
        </w:tabs>
        <w:spacing w:line="276" w:lineRule="auto"/>
        <w:jc w:val="both"/>
        <w:rPr>
          <w:rFonts w:ascii="Arial" w:hAnsi="Arial" w:cs="Arial"/>
          <w:sz w:val="20"/>
        </w:rPr>
      </w:pPr>
      <w:r w:rsidRPr="00CC7136">
        <w:rPr>
          <w:rFonts w:ascii="Arial" w:hAnsi="Arial" w:cs="Arial"/>
          <w:sz w:val="20"/>
        </w:rPr>
        <w:t>place of departure;</w:t>
      </w:r>
    </w:p>
    <w:p w14:paraId="1DF10DA6" w14:textId="77777777" w:rsidR="00CC7136" w:rsidRPr="00CC7136" w:rsidRDefault="00CC7136" w:rsidP="009601C2">
      <w:pPr>
        <w:numPr>
          <w:ilvl w:val="0"/>
          <w:numId w:val="35"/>
        </w:numPr>
        <w:tabs>
          <w:tab w:val="left" w:pos="3090"/>
        </w:tabs>
        <w:spacing w:line="276" w:lineRule="auto"/>
        <w:jc w:val="both"/>
        <w:rPr>
          <w:rFonts w:ascii="Arial" w:hAnsi="Arial" w:cs="Arial"/>
          <w:sz w:val="20"/>
        </w:rPr>
      </w:pPr>
      <w:r w:rsidRPr="00CC7136">
        <w:rPr>
          <w:rFonts w:ascii="Arial" w:hAnsi="Arial" w:cs="Arial"/>
          <w:sz w:val="20"/>
        </w:rPr>
        <w:lastRenderedPageBreak/>
        <w:t>place of arrival;</w:t>
      </w:r>
    </w:p>
    <w:p w14:paraId="43A56B20" w14:textId="77777777" w:rsidR="00CC7136" w:rsidRPr="00CC7136" w:rsidRDefault="00CC7136" w:rsidP="009601C2">
      <w:pPr>
        <w:numPr>
          <w:ilvl w:val="0"/>
          <w:numId w:val="35"/>
        </w:numPr>
        <w:tabs>
          <w:tab w:val="left" w:pos="3090"/>
        </w:tabs>
        <w:spacing w:line="276" w:lineRule="auto"/>
        <w:jc w:val="both"/>
        <w:rPr>
          <w:rFonts w:ascii="Arial" w:hAnsi="Arial" w:cs="Arial"/>
          <w:sz w:val="20"/>
        </w:rPr>
      </w:pPr>
      <w:r w:rsidRPr="00CC7136">
        <w:rPr>
          <w:rFonts w:ascii="Arial" w:hAnsi="Arial" w:cs="Arial"/>
          <w:sz w:val="20"/>
        </w:rPr>
        <w:t>time of departure;</w:t>
      </w:r>
    </w:p>
    <w:p w14:paraId="3C0B91F4" w14:textId="77777777" w:rsidR="00CC7136" w:rsidRPr="00CC7136" w:rsidRDefault="00CC7136" w:rsidP="009601C2">
      <w:pPr>
        <w:numPr>
          <w:ilvl w:val="0"/>
          <w:numId w:val="35"/>
        </w:numPr>
        <w:tabs>
          <w:tab w:val="left" w:pos="3090"/>
        </w:tabs>
        <w:spacing w:line="276" w:lineRule="auto"/>
        <w:jc w:val="both"/>
        <w:rPr>
          <w:rFonts w:ascii="Arial" w:hAnsi="Arial" w:cs="Arial"/>
          <w:sz w:val="20"/>
        </w:rPr>
      </w:pPr>
      <w:r w:rsidRPr="00CC7136">
        <w:rPr>
          <w:rFonts w:ascii="Arial" w:hAnsi="Arial" w:cs="Arial"/>
          <w:sz w:val="20"/>
        </w:rPr>
        <w:t>time of arrival;</w:t>
      </w:r>
    </w:p>
    <w:p w14:paraId="22EB03A0" w14:textId="77777777" w:rsidR="00CC7136" w:rsidRPr="00CC7136" w:rsidRDefault="00CC7136" w:rsidP="009601C2">
      <w:pPr>
        <w:numPr>
          <w:ilvl w:val="0"/>
          <w:numId w:val="35"/>
        </w:numPr>
        <w:tabs>
          <w:tab w:val="left" w:pos="3090"/>
        </w:tabs>
        <w:spacing w:line="276" w:lineRule="auto"/>
        <w:jc w:val="both"/>
        <w:rPr>
          <w:rFonts w:ascii="Arial" w:hAnsi="Arial" w:cs="Arial"/>
          <w:sz w:val="20"/>
        </w:rPr>
      </w:pPr>
      <w:r w:rsidRPr="00CC7136">
        <w:rPr>
          <w:rFonts w:ascii="Arial" w:hAnsi="Arial" w:cs="Arial"/>
          <w:sz w:val="20"/>
        </w:rPr>
        <w:t>hours of flight;</w:t>
      </w:r>
    </w:p>
    <w:p w14:paraId="2CF6DDA1" w14:textId="77777777" w:rsidR="00CC7136" w:rsidRPr="00CC7136" w:rsidRDefault="00CC7136" w:rsidP="009601C2">
      <w:pPr>
        <w:numPr>
          <w:ilvl w:val="0"/>
          <w:numId w:val="35"/>
        </w:numPr>
        <w:tabs>
          <w:tab w:val="left" w:pos="3090"/>
        </w:tabs>
        <w:spacing w:line="276" w:lineRule="auto"/>
        <w:jc w:val="both"/>
        <w:rPr>
          <w:rFonts w:ascii="Arial" w:hAnsi="Arial" w:cs="Arial"/>
          <w:sz w:val="20"/>
        </w:rPr>
      </w:pPr>
      <w:r w:rsidRPr="00CC7136">
        <w:rPr>
          <w:rFonts w:ascii="Arial" w:hAnsi="Arial" w:cs="Arial"/>
          <w:sz w:val="20"/>
        </w:rPr>
        <w:t>type of operation;</w:t>
      </w:r>
    </w:p>
    <w:p w14:paraId="15A12E6D" w14:textId="77777777" w:rsidR="00CC7136" w:rsidRDefault="00CC7136" w:rsidP="009601C2">
      <w:pPr>
        <w:numPr>
          <w:ilvl w:val="0"/>
          <w:numId w:val="35"/>
        </w:numPr>
        <w:tabs>
          <w:tab w:val="left" w:pos="3090"/>
        </w:tabs>
        <w:spacing w:line="276" w:lineRule="auto"/>
        <w:jc w:val="both"/>
        <w:rPr>
          <w:rFonts w:ascii="Arial" w:hAnsi="Arial" w:cs="Arial"/>
          <w:sz w:val="20"/>
        </w:rPr>
      </w:pPr>
      <w:r w:rsidRPr="00CC7136">
        <w:rPr>
          <w:rFonts w:ascii="Arial" w:hAnsi="Arial" w:cs="Arial"/>
          <w:sz w:val="20"/>
        </w:rPr>
        <w:t>incidents and observations, if any; and</w:t>
      </w:r>
    </w:p>
    <w:p w14:paraId="637EC344" w14:textId="77777777" w:rsidR="00CC7136" w:rsidRDefault="00CC7136" w:rsidP="009601C2">
      <w:pPr>
        <w:numPr>
          <w:ilvl w:val="0"/>
          <w:numId w:val="35"/>
        </w:numPr>
        <w:tabs>
          <w:tab w:val="left" w:pos="3090"/>
        </w:tabs>
        <w:spacing w:line="276" w:lineRule="auto"/>
        <w:jc w:val="both"/>
        <w:rPr>
          <w:rFonts w:ascii="Arial" w:hAnsi="Arial" w:cs="Arial"/>
          <w:sz w:val="20"/>
        </w:rPr>
      </w:pPr>
      <w:r w:rsidRPr="00CC7136">
        <w:rPr>
          <w:rFonts w:ascii="Arial" w:hAnsi="Arial" w:cs="Arial"/>
          <w:sz w:val="20"/>
        </w:rPr>
        <w:t>signature of the pilot-in-command</w:t>
      </w:r>
    </w:p>
    <w:p w14:paraId="11160656" w14:textId="77777777" w:rsidR="008C0239" w:rsidRDefault="008C0239" w:rsidP="009601C2">
      <w:pPr>
        <w:tabs>
          <w:tab w:val="left" w:pos="3090"/>
        </w:tabs>
        <w:spacing w:line="276" w:lineRule="auto"/>
        <w:ind w:left="706"/>
        <w:jc w:val="both"/>
        <w:rPr>
          <w:rFonts w:ascii="Arial" w:hAnsi="Arial" w:cs="Arial"/>
          <w:sz w:val="20"/>
        </w:rPr>
      </w:pPr>
    </w:p>
    <w:p w14:paraId="14FDC3AC" w14:textId="77777777" w:rsidR="008C0239" w:rsidRPr="008C0239" w:rsidRDefault="008C0239" w:rsidP="009601C2">
      <w:pPr>
        <w:keepNext/>
        <w:keepLines/>
        <w:widowControl/>
        <w:shd w:val="clear" w:color="auto" w:fill="339966"/>
        <w:autoSpaceDE/>
        <w:autoSpaceDN/>
        <w:spacing w:before="160" w:after="120" w:line="276" w:lineRule="auto"/>
        <w:outlineLvl w:val="4"/>
        <w:rPr>
          <w:rFonts w:ascii="Arial" w:eastAsia="Times New Roman" w:hAnsi="Arial" w:cs="Times New Roman"/>
          <w:b/>
          <w:color w:val="FFFFFF"/>
          <w:sz w:val="24"/>
        </w:rPr>
      </w:pPr>
      <w:bookmarkStart w:id="110" w:name="GM1_BOP.BAS.065_Balloon_logbook"/>
      <w:bookmarkStart w:id="111" w:name="_bookmark59"/>
      <w:bookmarkStart w:id="112" w:name="_Toc153137224"/>
      <w:bookmarkEnd w:id="110"/>
      <w:bookmarkEnd w:id="111"/>
      <w:r w:rsidRPr="008C0239">
        <w:rPr>
          <w:rFonts w:ascii="Arial" w:eastAsia="Times New Roman" w:hAnsi="Arial" w:cs="Times New Roman"/>
          <w:b/>
          <w:color w:val="FFFFFF"/>
          <w:sz w:val="24"/>
        </w:rPr>
        <w:t>GM1 BOP.BAS.065 Balloon logbook</w:t>
      </w:r>
      <w:bookmarkEnd w:id="112"/>
    </w:p>
    <w:p w14:paraId="66485A53" w14:textId="77777777" w:rsidR="008C0239" w:rsidRPr="008C0239" w:rsidRDefault="008C0239" w:rsidP="009601C2">
      <w:pPr>
        <w:widowControl/>
        <w:autoSpaceDE/>
        <w:autoSpaceDN/>
        <w:spacing w:before="240" w:after="160" w:line="276" w:lineRule="auto"/>
        <w:jc w:val="both"/>
        <w:rPr>
          <w:rFonts w:ascii="Arial" w:eastAsiaTheme="minorHAnsi" w:hAnsi="Arial" w:cs="Arial"/>
          <w:b/>
          <w:bCs/>
          <w:sz w:val="20"/>
          <w:szCs w:val="20"/>
        </w:rPr>
      </w:pPr>
      <w:r w:rsidRPr="008C0239">
        <w:rPr>
          <w:rFonts w:ascii="Arial" w:eastAsiaTheme="minorHAnsi" w:hAnsi="Arial" w:cs="Arial"/>
          <w:b/>
          <w:bCs/>
          <w:sz w:val="20"/>
          <w:szCs w:val="20"/>
        </w:rPr>
        <w:t>SERIES OF FLIGHTS</w:t>
      </w:r>
    </w:p>
    <w:p w14:paraId="00BE0EE1" w14:textId="77777777" w:rsidR="008C0239" w:rsidRPr="008C0239" w:rsidRDefault="008C0239" w:rsidP="009601C2">
      <w:pPr>
        <w:numPr>
          <w:ilvl w:val="0"/>
          <w:numId w:val="36"/>
        </w:numPr>
        <w:tabs>
          <w:tab w:val="left" w:pos="3090"/>
        </w:tabs>
        <w:spacing w:line="276" w:lineRule="auto"/>
        <w:jc w:val="both"/>
        <w:rPr>
          <w:rFonts w:ascii="Arial" w:hAnsi="Arial" w:cs="Arial"/>
          <w:sz w:val="20"/>
        </w:rPr>
      </w:pPr>
      <w:r w:rsidRPr="008C0239">
        <w:rPr>
          <w:rFonts w:ascii="Arial" w:hAnsi="Arial" w:cs="Arial"/>
          <w:sz w:val="20"/>
        </w:rPr>
        <w:t>‘Series of flights’ means consecutive flights, which begin and end:</w:t>
      </w:r>
    </w:p>
    <w:p w14:paraId="164D705C" w14:textId="77777777" w:rsidR="008C0239" w:rsidRPr="008C0239" w:rsidRDefault="008C0239" w:rsidP="009601C2">
      <w:pPr>
        <w:numPr>
          <w:ilvl w:val="1"/>
          <w:numId w:val="36"/>
        </w:numPr>
        <w:tabs>
          <w:tab w:val="left" w:pos="3090"/>
        </w:tabs>
        <w:spacing w:line="276" w:lineRule="auto"/>
        <w:jc w:val="both"/>
        <w:rPr>
          <w:rFonts w:ascii="Arial" w:hAnsi="Arial" w:cs="Arial"/>
          <w:sz w:val="20"/>
        </w:rPr>
      </w:pPr>
      <w:r w:rsidRPr="008C0239">
        <w:rPr>
          <w:rFonts w:ascii="Arial" w:hAnsi="Arial" w:cs="Arial"/>
          <w:sz w:val="20"/>
        </w:rPr>
        <w:t>within a 6-hour period;</w:t>
      </w:r>
    </w:p>
    <w:p w14:paraId="33DC29C1" w14:textId="77777777" w:rsidR="008C0239" w:rsidRPr="008C0239" w:rsidRDefault="008C0239" w:rsidP="009601C2">
      <w:pPr>
        <w:numPr>
          <w:ilvl w:val="1"/>
          <w:numId w:val="36"/>
        </w:numPr>
        <w:tabs>
          <w:tab w:val="left" w:pos="3090"/>
        </w:tabs>
        <w:spacing w:line="276" w:lineRule="auto"/>
        <w:jc w:val="both"/>
        <w:rPr>
          <w:rFonts w:ascii="Arial" w:hAnsi="Arial" w:cs="Arial"/>
          <w:sz w:val="20"/>
        </w:rPr>
      </w:pPr>
      <w:r w:rsidRPr="008C0239">
        <w:rPr>
          <w:rFonts w:ascii="Arial" w:hAnsi="Arial" w:cs="Arial"/>
          <w:sz w:val="20"/>
        </w:rPr>
        <w:t>at the same operating site or remain within a local area; and</w:t>
      </w:r>
    </w:p>
    <w:p w14:paraId="203A9629" w14:textId="77777777" w:rsidR="008C0239" w:rsidRPr="008C0239" w:rsidRDefault="008C0239" w:rsidP="009601C2">
      <w:pPr>
        <w:numPr>
          <w:ilvl w:val="1"/>
          <w:numId w:val="36"/>
        </w:numPr>
        <w:tabs>
          <w:tab w:val="left" w:pos="3090"/>
        </w:tabs>
        <w:spacing w:line="276" w:lineRule="auto"/>
        <w:jc w:val="both"/>
        <w:rPr>
          <w:rFonts w:ascii="Arial" w:hAnsi="Arial" w:cs="Arial"/>
          <w:sz w:val="20"/>
        </w:rPr>
      </w:pPr>
      <w:r w:rsidRPr="008C0239">
        <w:rPr>
          <w:rFonts w:ascii="Arial" w:hAnsi="Arial" w:cs="Arial"/>
          <w:sz w:val="20"/>
        </w:rPr>
        <w:t>with the same pilot-in-command of the balloon.</w:t>
      </w:r>
    </w:p>
    <w:p w14:paraId="029F7834" w14:textId="77777777" w:rsidR="008C0239" w:rsidRPr="008C0239" w:rsidRDefault="008C0239" w:rsidP="009601C2">
      <w:pPr>
        <w:numPr>
          <w:ilvl w:val="0"/>
          <w:numId w:val="36"/>
        </w:numPr>
        <w:tabs>
          <w:tab w:val="left" w:pos="3090"/>
        </w:tabs>
        <w:spacing w:line="276" w:lineRule="auto"/>
        <w:jc w:val="both"/>
        <w:rPr>
          <w:rFonts w:ascii="Arial" w:hAnsi="Arial" w:cs="Arial"/>
          <w:sz w:val="20"/>
        </w:rPr>
      </w:pPr>
      <w:r w:rsidRPr="008C0239">
        <w:rPr>
          <w:rFonts w:ascii="Arial" w:hAnsi="Arial" w:cs="Arial"/>
          <w:sz w:val="20"/>
        </w:rPr>
        <w:t>The term ‘series of flights’ is used to facilitate a single set of documentation.</w:t>
      </w:r>
    </w:p>
    <w:p w14:paraId="3AD321CB" w14:textId="77777777" w:rsidR="008C0239" w:rsidRDefault="008C0239" w:rsidP="009601C2">
      <w:pPr>
        <w:tabs>
          <w:tab w:val="left" w:pos="3090"/>
        </w:tabs>
        <w:spacing w:line="276" w:lineRule="auto"/>
        <w:jc w:val="both"/>
        <w:rPr>
          <w:rFonts w:ascii="Arial" w:hAnsi="Arial" w:cs="Arial"/>
          <w:sz w:val="20"/>
        </w:rPr>
      </w:pPr>
    </w:p>
    <w:p w14:paraId="50C4421A" w14:textId="77777777" w:rsidR="008C0239" w:rsidRDefault="008C0239" w:rsidP="009601C2">
      <w:pPr>
        <w:tabs>
          <w:tab w:val="left" w:pos="3090"/>
        </w:tabs>
        <w:spacing w:line="276" w:lineRule="auto"/>
        <w:jc w:val="both"/>
        <w:rPr>
          <w:rFonts w:ascii="Arial" w:hAnsi="Arial" w:cs="Arial"/>
          <w:sz w:val="20"/>
        </w:rPr>
      </w:pPr>
    </w:p>
    <w:p w14:paraId="1428ADF9" w14:textId="77777777" w:rsidR="008C0239" w:rsidRDefault="008C0239" w:rsidP="009601C2">
      <w:pPr>
        <w:tabs>
          <w:tab w:val="left" w:pos="3090"/>
        </w:tabs>
        <w:spacing w:line="276" w:lineRule="auto"/>
        <w:jc w:val="both"/>
        <w:rPr>
          <w:rFonts w:ascii="Arial" w:hAnsi="Arial" w:cs="Arial"/>
          <w:sz w:val="20"/>
        </w:rPr>
      </w:pPr>
    </w:p>
    <w:p w14:paraId="77A6EAB7" w14:textId="77777777" w:rsidR="008C0239" w:rsidRDefault="008C0239" w:rsidP="009601C2">
      <w:pPr>
        <w:tabs>
          <w:tab w:val="left" w:pos="3090"/>
        </w:tabs>
        <w:spacing w:line="276" w:lineRule="auto"/>
        <w:jc w:val="both"/>
        <w:rPr>
          <w:rFonts w:ascii="Arial" w:hAnsi="Arial" w:cs="Arial"/>
          <w:sz w:val="20"/>
        </w:rPr>
      </w:pPr>
    </w:p>
    <w:p w14:paraId="598776B3" w14:textId="77777777" w:rsidR="008C0239" w:rsidRDefault="008C0239" w:rsidP="009601C2">
      <w:pPr>
        <w:tabs>
          <w:tab w:val="left" w:pos="3090"/>
        </w:tabs>
        <w:spacing w:line="276" w:lineRule="auto"/>
        <w:jc w:val="both"/>
        <w:rPr>
          <w:rFonts w:ascii="Arial" w:hAnsi="Arial" w:cs="Arial"/>
          <w:sz w:val="20"/>
        </w:rPr>
      </w:pPr>
    </w:p>
    <w:p w14:paraId="3CE1938F" w14:textId="77777777" w:rsidR="008C0239" w:rsidRDefault="008C0239" w:rsidP="009601C2">
      <w:pPr>
        <w:tabs>
          <w:tab w:val="left" w:pos="3090"/>
        </w:tabs>
        <w:spacing w:line="276" w:lineRule="auto"/>
        <w:jc w:val="both"/>
        <w:rPr>
          <w:rFonts w:ascii="Arial" w:hAnsi="Arial" w:cs="Arial"/>
          <w:sz w:val="20"/>
        </w:rPr>
      </w:pPr>
    </w:p>
    <w:p w14:paraId="34E6A952" w14:textId="77777777" w:rsidR="008C0239" w:rsidRDefault="008C0239" w:rsidP="009601C2">
      <w:pPr>
        <w:tabs>
          <w:tab w:val="left" w:pos="3090"/>
        </w:tabs>
        <w:spacing w:line="276" w:lineRule="auto"/>
        <w:jc w:val="both"/>
        <w:rPr>
          <w:rFonts w:ascii="Arial" w:hAnsi="Arial" w:cs="Arial"/>
          <w:sz w:val="20"/>
        </w:rPr>
      </w:pPr>
    </w:p>
    <w:p w14:paraId="0FFA7680" w14:textId="77777777" w:rsidR="008C0239" w:rsidRDefault="008C0239" w:rsidP="009601C2">
      <w:pPr>
        <w:tabs>
          <w:tab w:val="left" w:pos="3090"/>
        </w:tabs>
        <w:spacing w:line="276" w:lineRule="auto"/>
        <w:jc w:val="both"/>
        <w:rPr>
          <w:rFonts w:ascii="Arial" w:hAnsi="Arial" w:cs="Arial"/>
          <w:sz w:val="20"/>
        </w:rPr>
      </w:pPr>
    </w:p>
    <w:p w14:paraId="16A0B976" w14:textId="77777777" w:rsidR="008C0239" w:rsidRDefault="008C0239" w:rsidP="009601C2">
      <w:pPr>
        <w:tabs>
          <w:tab w:val="left" w:pos="3090"/>
        </w:tabs>
        <w:spacing w:line="276" w:lineRule="auto"/>
        <w:jc w:val="both"/>
        <w:rPr>
          <w:rFonts w:ascii="Arial" w:hAnsi="Arial" w:cs="Arial"/>
          <w:sz w:val="20"/>
        </w:rPr>
      </w:pPr>
    </w:p>
    <w:p w14:paraId="2EF796BF" w14:textId="77777777" w:rsidR="008C0239" w:rsidRDefault="008C0239" w:rsidP="009601C2">
      <w:pPr>
        <w:tabs>
          <w:tab w:val="left" w:pos="3090"/>
        </w:tabs>
        <w:spacing w:line="276" w:lineRule="auto"/>
        <w:jc w:val="both"/>
        <w:rPr>
          <w:rFonts w:ascii="Arial" w:hAnsi="Arial" w:cs="Arial"/>
          <w:sz w:val="20"/>
        </w:rPr>
      </w:pPr>
    </w:p>
    <w:p w14:paraId="6B5EDDAC" w14:textId="77777777" w:rsidR="008C0239" w:rsidRDefault="008C0239" w:rsidP="009601C2">
      <w:pPr>
        <w:tabs>
          <w:tab w:val="left" w:pos="3090"/>
        </w:tabs>
        <w:spacing w:line="276" w:lineRule="auto"/>
        <w:jc w:val="both"/>
        <w:rPr>
          <w:rFonts w:ascii="Arial" w:hAnsi="Arial" w:cs="Arial"/>
          <w:sz w:val="20"/>
        </w:rPr>
      </w:pPr>
    </w:p>
    <w:p w14:paraId="316B09D8" w14:textId="77777777" w:rsidR="008C0239" w:rsidRDefault="008C0239" w:rsidP="009601C2">
      <w:pPr>
        <w:tabs>
          <w:tab w:val="left" w:pos="3090"/>
        </w:tabs>
        <w:spacing w:line="276" w:lineRule="auto"/>
        <w:jc w:val="both"/>
        <w:rPr>
          <w:rFonts w:ascii="Arial" w:hAnsi="Arial" w:cs="Arial"/>
          <w:sz w:val="20"/>
        </w:rPr>
      </w:pPr>
    </w:p>
    <w:p w14:paraId="72656EC5" w14:textId="13671FD5" w:rsidR="008C0239" w:rsidRDefault="008C0239" w:rsidP="009601C2">
      <w:pPr>
        <w:tabs>
          <w:tab w:val="left" w:pos="3090"/>
        </w:tabs>
        <w:spacing w:line="276" w:lineRule="auto"/>
        <w:jc w:val="both"/>
        <w:rPr>
          <w:rFonts w:ascii="Arial" w:hAnsi="Arial" w:cs="Arial"/>
          <w:sz w:val="20"/>
        </w:rPr>
      </w:pPr>
    </w:p>
    <w:p w14:paraId="763CDB42" w14:textId="30D1D85F" w:rsidR="00453B73" w:rsidRDefault="00453B73" w:rsidP="009601C2">
      <w:pPr>
        <w:tabs>
          <w:tab w:val="left" w:pos="3090"/>
        </w:tabs>
        <w:spacing w:line="276" w:lineRule="auto"/>
        <w:jc w:val="both"/>
        <w:rPr>
          <w:rFonts w:ascii="Arial" w:hAnsi="Arial" w:cs="Arial"/>
          <w:sz w:val="20"/>
        </w:rPr>
      </w:pPr>
    </w:p>
    <w:p w14:paraId="7D669311" w14:textId="5EE8F5F0" w:rsidR="00453B73" w:rsidRDefault="00453B73" w:rsidP="009601C2">
      <w:pPr>
        <w:tabs>
          <w:tab w:val="left" w:pos="3090"/>
        </w:tabs>
        <w:spacing w:line="276" w:lineRule="auto"/>
        <w:jc w:val="both"/>
        <w:rPr>
          <w:rFonts w:ascii="Arial" w:hAnsi="Arial" w:cs="Arial"/>
          <w:sz w:val="20"/>
        </w:rPr>
      </w:pPr>
    </w:p>
    <w:p w14:paraId="2A2FDB3F" w14:textId="1B5CEB8B" w:rsidR="00453B73" w:rsidRDefault="00453B73" w:rsidP="009601C2">
      <w:pPr>
        <w:tabs>
          <w:tab w:val="left" w:pos="3090"/>
        </w:tabs>
        <w:spacing w:line="276" w:lineRule="auto"/>
        <w:jc w:val="both"/>
        <w:rPr>
          <w:rFonts w:ascii="Arial" w:hAnsi="Arial" w:cs="Arial"/>
          <w:sz w:val="20"/>
        </w:rPr>
      </w:pPr>
    </w:p>
    <w:p w14:paraId="56C4F475" w14:textId="1419A0EF" w:rsidR="00453B73" w:rsidRDefault="00453B73" w:rsidP="009601C2">
      <w:pPr>
        <w:tabs>
          <w:tab w:val="left" w:pos="3090"/>
        </w:tabs>
        <w:spacing w:line="276" w:lineRule="auto"/>
        <w:jc w:val="both"/>
        <w:rPr>
          <w:rFonts w:ascii="Arial" w:hAnsi="Arial" w:cs="Arial"/>
          <w:sz w:val="20"/>
        </w:rPr>
      </w:pPr>
    </w:p>
    <w:p w14:paraId="363F99F6" w14:textId="560AAA09" w:rsidR="00453B73" w:rsidRDefault="00453B73" w:rsidP="009601C2">
      <w:pPr>
        <w:tabs>
          <w:tab w:val="left" w:pos="3090"/>
        </w:tabs>
        <w:spacing w:line="276" w:lineRule="auto"/>
        <w:jc w:val="both"/>
        <w:rPr>
          <w:rFonts w:ascii="Arial" w:hAnsi="Arial" w:cs="Arial"/>
          <w:sz w:val="20"/>
        </w:rPr>
      </w:pPr>
    </w:p>
    <w:p w14:paraId="722A09C9" w14:textId="0F9C3422" w:rsidR="00453B73" w:rsidRDefault="00453B73" w:rsidP="009601C2">
      <w:pPr>
        <w:tabs>
          <w:tab w:val="left" w:pos="3090"/>
        </w:tabs>
        <w:spacing w:line="276" w:lineRule="auto"/>
        <w:jc w:val="both"/>
        <w:rPr>
          <w:rFonts w:ascii="Arial" w:hAnsi="Arial" w:cs="Arial"/>
          <w:sz w:val="20"/>
        </w:rPr>
      </w:pPr>
    </w:p>
    <w:p w14:paraId="7688A9E8" w14:textId="2EC05407" w:rsidR="00453B73" w:rsidRDefault="00453B73" w:rsidP="009601C2">
      <w:pPr>
        <w:tabs>
          <w:tab w:val="left" w:pos="3090"/>
        </w:tabs>
        <w:spacing w:line="276" w:lineRule="auto"/>
        <w:jc w:val="both"/>
        <w:rPr>
          <w:rFonts w:ascii="Arial" w:hAnsi="Arial" w:cs="Arial"/>
          <w:sz w:val="20"/>
        </w:rPr>
      </w:pPr>
    </w:p>
    <w:p w14:paraId="23645854" w14:textId="6454420E" w:rsidR="00453B73" w:rsidRDefault="00453B73" w:rsidP="009601C2">
      <w:pPr>
        <w:tabs>
          <w:tab w:val="left" w:pos="3090"/>
        </w:tabs>
        <w:spacing w:line="276" w:lineRule="auto"/>
        <w:jc w:val="both"/>
        <w:rPr>
          <w:rFonts w:ascii="Arial" w:hAnsi="Arial" w:cs="Arial"/>
          <w:sz w:val="20"/>
        </w:rPr>
      </w:pPr>
    </w:p>
    <w:p w14:paraId="0F76F159" w14:textId="1788AF5F" w:rsidR="00453B73" w:rsidRDefault="00453B73" w:rsidP="009601C2">
      <w:pPr>
        <w:tabs>
          <w:tab w:val="left" w:pos="3090"/>
        </w:tabs>
        <w:spacing w:line="276" w:lineRule="auto"/>
        <w:jc w:val="both"/>
        <w:rPr>
          <w:rFonts w:ascii="Arial" w:hAnsi="Arial" w:cs="Arial"/>
          <w:sz w:val="20"/>
        </w:rPr>
      </w:pPr>
    </w:p>
    <w:p w14:paraId="71BCA00F" w14:textId="6BA423AB" w:rsidR="00453B73" w:rsidRDefault="00453B73" w:rsidP="009601C2">
      <w:pPr>
        <w:tabs>
          <w:tab w:val="left" w:pos="3090"/>
        </w:tabs>
        <w:spacing w:line="276" w:lineRule="auto"/>
        <w:jc w:val="both"/>
        <w:rPr>
          <w:rFonts w:ascii="Arial" w:hAnsi="Arial" w:cs="Arial"/>
          <w:sz w:val="20"/>
        </w:rPr>
      </w:pPr>
    </w:p>
    <w:p w14:paraId="12F944E5" w14:textId="15E1E4E7" w:rsidR="00453B73" w:rsidRDefault="00453B73" w:rsidP="009601C2">
      <w:pPr>
        <w:tabs>
          <w:tab w:val="left" w:pos="3090"/>
        </w:tabs>
        <w:spacing w:line="276" w:lineRule="auto"/>
        <w:jc w:val="both"/>
        <w:rPr>
          <w:rFonts w:ascii="Arial" w:hAnsi="Arial" w:cs="Arial"/>
          <w:sz w:val="20"/>
        </w:rPr>
      </w:pPr>
    </w:p>
    <w:p w14:paraId="16172A91" w14:textId="7C2C7F90" w:rsidR="00453B73" w:rsidRDefault="00453B73" w:rsidP="009601C2">
      <w:pPr>
        <w:tabs>
          <w:tab w:val="left" w:pos="3090"/>
        </w:tabs>
        <w:spacing w:line="276" w:lineRule="auto"/>
        <w:jc w:val="both"/>
        <w:rPr>
          <w:rFonts w:ascii="Arial" w:hAnsi="Arial" w:cs="Arial"/>
          <w:sz w:val="20"/>
        </w:rPr>
      </w:pPr>
    </w:p>
    <w:p w14:paraId="5226AF1F" w14:textId="31192330" w:rsidR="00DA08FF" w:rsidRDefault="00DA08FF" w:rsidP="009601C2">
      <w:pPr>
        <w:tabs>
          <w:tab w:val="left" w:pos="3090"/>
        </w:tabs>
        <w:spacing w:line="276" w:lineRule="auto"/>
        <w:jc w:val="both"/>
        <w:rPr>
          <w:rFonts w:ascii="Arial" w:hAnsi="Arial" w:cs="Arial"/>
          <w:sz w:val="20"/>
        </w:rPr>
      </w:pPr>
    </w:p>
    <w:p w14:paraId="2C67A3A2" w14:textId="1EFD445D" w:rsidR="00DA08FF" w:rsidRDefault="00DA08FF" w:rsidP="009601C2">
      <w:pPr>
        <w:tabs>
          <w:tab w:val="left" w:pos="3090"/>
        </w:tabs>
        <w:spacing w:line="276" w:lineRule="auto"/>
        <w:jc w:val="both"/>
        <w:rPr>
          <w:rFonts w:ascii="Arial" w:hAnsi="Arial" w:cs="Arial"/>
          <w:sz w:val="20"/>
        </w:rPr>
      </w:pPr>
    </w:p>
    <w:p w14:paraId="75345456" w14:textId="73945C0D" w:rsidR="00DA08FF" w:rsidRDefault="00DA08FF" w:rsidP="009601C2">
      <w:pPr>
        <w:tabs>
          <w:tab w:val="left" w:pos="3090"/>
        </w:tabs>
        <w:spacing w:line="276" w:lineRule="auto"/>
        <w:jc w:val="both"/>
        <w:rPr>
          <w:rFonts w:ascii="Arial" w:hAnsi="Arial" w:cs="Arial"/>
          <w:sz w:val="20"/>
        </w:rPr>
      </w:pPr>
    </w:p>
    <w:p w14:paraId="1D9C65D2" w14:textId="13FAEFF3" w:rsidR="00DA08FF" w:rsidRDefault="00DA08FF" w:rsidP="009601C2">
      <w:pPr>
        <w:tabs>
          <w:tab w:val="left" w:pos="3090"/>
        </w:tabs>
        <w:spacing w:line="276" w:lineRule="auto"/>
        <w:jc w:val="both"/>
        <w:rPr>
          <w:rFonts w:ascii="Arial" w:hAnsi="Arial" w:cs="Arial"/>
          <w:sz w:val="20"/>
        </w:rPr>
      </w:pPr>
    </w:p>
    <w:p w14:paraId="1CD3FBC5" w14:textId="0B6E7AC7" w:rsidR="00DA08FF" w:rsidRDefault="00DA08FF" w:rsidP="009601C2">
      <w:pPr>
        <w:tabs>
          <w:tab w:val="left" w:pos="3090"/>
        </w:tabs>
        <w:spacing w:line="276" w:lineRule="auto"/>
        <w:jc w:val="both"/>
        <w:rPr>
          <w:rFonts w:ascii="Arial" w:hAnsi="Arial" w:cs="Arial"/>
          <w:sz w:val="20"/>
        </w:rPr>
      </w:pPr>
    </w:p>
    <w:p w14:paraId="2868DF57" w14:textId="5A4CC52D" w:rsidR="00DA08FF" w:rsidRDefault="00DA08FF" w:rsidP="009601C2">
      <w:pPr>
        <w:tabs>
          <w:tab w:val="left" w:pos="3090"/>
        </w:tabs>
        <w:spacing w:line="276" w:lineRule="auto"/>
        <w:jc w:val="both"/>
        <w:rPr>
          <w:rFonts w:ascii="Arial" w:hAnsi="Arial" w:cs="Arial"/>
          <w:sz w:val="20"/>
        </w:rPr>
      </w:pPr>
    </w:p>
    <w:p w14:paraId="4E352E82" w14:textId="6945FEED" w:rsidR="00DA08FF" w:rsidRDefault="00DA08FF" w:rsidP="009601C2">
      <w:pPr>
        <w:tabs>
          <w:tab w:val="left" w:pos="3090"/>
        </w:tabs>
        <w:spacing w:line="276" w:lineRule="auto"/>
        <w:jc w:val="both"/>
        <w:rPr>
          <w:rFonts w:ascii="Arial" w:hAnsi="Arial" w:cs="Arial"/>
          <w:sz w:val="20"/>
        </w:rPr>
      </w:pPr>
    </w:p>
    <w:p w14:paraId="3D51B1CD" w14:textId="021EC7F0" w:rsidR="00DA08FF" w:rsidRDefault="00DA08FF" w:rsidP="009601C2">
      <w:pPr>
        <w:tabs>
          <w:tab w:val="left" w:pos="3090"/>
        </w:tabs>
        <w:spacing w:line="276" w:lineRule="auto"/>
        <w:jc w:val="both"/>
        <w:rPr>
          <w:rFonts w:ascii="Arial" w:hAnsi="Arial" w:cs="Arial"/>
          <w:sz w:val="20"/>
        </w:rPr>
      </w:pPr>
    </w:p>
    <w:p w14:paraId="71E8FA15" w14:textId="77777777" w:rsidR="00DA08FF" w:rsidRDefault="00DA08FF" w:rsidP="009601C2">
      <w:pPr>
        <w:tabs>
          <w:tab w:val="left" w:pos="3090"/>
        </w:tabs>
        <w:spacing w:line="276" w:lineRule="auto"/>
        <w:jc w:val="both"/>
        <w:rPr>
          <w:rFonts w:ascii="Arial" w:hAnsi="Arial" w:cs="Arial"/>
          <w:sz w:val="20"/>
        </w:rPr>
      </w:pPr>
    </w:p>
    <w:p w14:paraId="68B172A2" w14:textId="77777777" w:rsidR="00453B73" w:rsidRDefault="00453B73" w:rsidP="009601C2">
      <w:pPr>
        <w:tabs>
          <w:tab w:val="left" w:pos="3090"/>
        </w:tabs>
        <w:spacing w:line="276" w:lineRule="auto"/>
        <w:jc w:val="both"/>
        <w:rPr>
          <w:rFonts w:ascii="Arial" w:hAnsi="Arial" w:cs="Arial"/>
          <w:sz w:val="20"/>
        </w:rPr>
      </w:pPr>
    </w:p>
    <w:p w14:paraId="38576A76" w14:textId="77777777" w:rsidR="008C0239" w:rsidRDefault="008C0239" w:rsidP="009601C2">
      <w:pPr>
        <w:tabs>
          <w:tab w:val="left" w:pos="3090"/>
        </w:tabs>
        <w:spacing w:line="276" w:lineRule="auto"/>
        <w:jc w:val="both"/>
        <w:rPr>
          <w:rFonts w:ascii="Arial" w:hAnsi="Arial" w:cs="Arial"/>
          <w:sz w:val="20"/>
        </w:rPr>
      </w:pPr>
    </w:p>
    <w:p w14:paraId="0C9C041E" w14:textId="77777777" w:rsidR="008C0239" w:rsidRDefault="008C0239" w:rsidP="009601C2">
      <w:pPr>
        <w:tabs>
          <w:tab w:val="left" w:pos="3090"/>
        </w:tabs>
        <w:spacing w:line="276" w:lineRule="auto"/>
        <w:jc w:val="both"/>
        <w:rPr>
          <w:rFonts w:ascii="Arial" w:hAnsi="Arial" w:cs="Arial"/>
          <w:sz w:val="20"/>
        </w:rPr>
      </w:pPr>
    </w:p>
    <w:p w14:paraId="58569ECE" w14:textId="77777777" w:rsidR="008C0239" w:rsidRPr="00FA7754" w:rsidRDefault="008C0239" w:rsidP="009601C2">
      <w:pPr>
        <w:keepNext/>
        <w:keepLines/>
        <w:spacing w:before="40" w:line="276" w:lineRule="auto"/>
        <w:jc w:val="center"/>
        <w:outlineLvl w:val="3"/>
        <w:rPr>
          <w:rFonts w:ascii="Arial" w:eastAsiaTheme="majorEastAsia" w:hAnsi="Arial" w:cs="Arial"/>
          <w:b/>
          <w:iCs/>
          <w:color w:val="2E74B5" w:themeColor="accent1" w:themeShade="BF"/>
          <w:sz w:val="24"/>
          <w:szCs w:val="24"/>
        </w:rPr>
      </w:pPr>
      <w:bookmarkStart w:id="113" w:name="_Toc153137225"/>
      <w:r w:rsidRPr="00FA7754">
        <w:rPr>
          <w:rFonts w:ascii="Arial" w:eastAsiaTheme="majorEastAsia" w:hAnsi="Arial" w:cs="Arial"/>
          <w:b/>
          <w:iCs/>
          <w:color w:val="2E74B5" w:themeColor="accent1" w:themeShade="BF"/>
          <w:sz w:val="24"/>
          <w:szCs w:val="24"/>
        </w:rPr>
        <w:lastRenderedPageBreak/>
        <w:t>SECTION 2 – OPERATING PROCEDURES</w:t>
      </w:r>
      <w:bookmarkEnd w:id="113"/>
    </w:p>
    <w:p w14:paraId="0E172F9D" w14:textId="77777777" w:rsidR="008C0239" w:rsidRDefault="008C0239" w:rsidP="009601C2">
      <w:pPr>
        <w:tabs>
          <w:tab w:val="left" w:pos="3090"/>
        </w:tabs>
        <w:spacing w:line="276" w:lineRule="auto"/>
        <w:jc w:val="both"/>
        <w:rPr>
          <w:rFonts w:ascii="Arial" w:hAnsi="Arial" w:cs="Arial"/>
          <w:sz w:val="20"/>
        </w:rPr>
      </w:pPr>
    </w:p>
    <w:p w14:paraId="2A8A474B" w14:textId="77777777" w:rsidR="008C0239" w:rsidRPr="008C0239" w:rsidRDefault="008C0239" w:rsidP="009601C2">
      <w:pPr>
        <w:pStyle w:val="Heading4"/>
        <w:shd w:val="clear" w:color="auto" w:fill="2F5496" w:themeFill="accent5" w:themeFillShade="BF"/>
        <w:spacing w:line="276" w:lineRule="auto"/>
        <w:rPr>
          <w:rFonts w:ascii="Arial" w:hAnsi="Arial"/>
          <w:b/>
          <w:i w:val="0"/>
          <w:color w:val="FFFFFF" w:themeColor="background1"/>
          <w:sz w:val="24"/>
        </w:rPr>
      </w:pPr>
      <w:bookmarkStart w:id="114" w:name="BOP.BAS.100_Use_of_operating_sites"/>
      <w:bookmarkStart w:id="115" w:name="_bookmark61"/>
      <w:bookmarkStart w:id="116" w:name="_Toc153137226"/>
      <w:bookmarkEnd w:id="114"/>
      <w:bookmarkEnd w:id="115"/>
      <w:r w:rsidRPr="008C0239">
        <w:rPr>
          <w:rFonts w:ascii="Arial" w:hAnsi="Arial"/>
          <w:b/>
          <w:i w:val="0"/>
          <w:color w:val="FFFFFF" w:themeColor="background1"/>
          <w:sz w:val="24"/>
        </w:rPr>
        <w:t>BOP.BAS.100 Use of operating sites</w:t>
      </w:r>
      <w:bookmarkEnd w:id="116"/>
    </w:p>
    <w:p w14:paraId="15DDD700" w14:textId="77777777" w:rsidR="008C0239" w:rsidRDefault="008C0239" w:rsidP="009601C2">
      <w:pPr>
        <w:tabs>
          <w:tab w:val="left" w:pos="3090"/>
        </w:tabs>
        <w:spacing w:line="276" w:lineRule="auto"/>
        <w:jc w:val="both"/>
        <w:rPr>
          <w:rFonts w:ascii="Arial" w:hAnsi="Arial" w:cs="Arial"/>
          <w:sz w:val="20"/>
        </w:rPr>
      </w:pPr>
    </w:p>
    <w:p w14:paraId="7A8DCACD" w14:textId="77777777" w:rsidR="008C0239" w:rsidRPr="008C0239" w:rsidRDefault="008C0239" w:rsidP="009601C2">
      <w:pPr>
        <w:tabs>
          <w:tab w:val="left" w:pos="3090"/>
        </w:tabs>
        <w:spacing w:line="276" w:lineRule="auto"/>
        <w:jc w:val="both"/>
        <w:rPr>
          <w:rFonts w:ascii="Arial" w:hAnsi="Arial" w:cs="Arial"/>
          <w:sz w:val="20"/>
        </w:rPr>
      </w:pPr>
      <w:r w:rsidRPr="008C0239">
        <w:rPr>
          <w:rFonts w:ascii="Arial" w:hAnsi="Arial" w:cs="Arial"/>
          <w:sz w:val="20"/>
        </w:rPr>
        <w:t>The pilot-in-command shall only use operating sites that are adequate for the type of balloon and operation concerned.</w:t>
      </w:r>
    </w:p>
    <w:p w14:paraId="2CAA1655" w14:textId="77777777" w:rsidR="008C0239" w:rsidRDefault="008C0239" w:rsidP="009601C2">
      <w:pPr>
        <w:tabs>
          <w:tab w:val="left" w:pos="3090"/>
        </w:tabs>
        <w:spacing w:line="276" w:lineRule="auto"/>
        <w:jc w:val="both"/>
        <w:rPr>
          <w:rFonts w:ascii="Arial" w:hAnsi="Arial" w:cs="Arial"/>
          <w:sz w:val="20"/>
        </w:rPr>
      </w:pPr>
    </w:p>
    <w:p w14:paraId="14277819" w14:textId="77777777" w:rsidR="008C0239" w:rsidRPr="008C0239" w:rsidRDefault="008C0239" w:rsidP="009601C2">
      <w:pPr>
        <w:pStyle w:val="Heading4"/>
        <w:shd w:val="clear" w:color="auto" w:fill="2F5496" w:themeFill="accent5" w:themeFillShade="BF"/>
        <w:spacing w:line="276" w:lineRule="auto"/>
        <w:rPr>
          <w:rFonts w:ascii="Arial" w:hAnsi="Arial"/>
          <w:b/>
          <w:i w:val="0"/>
          <w:color w:val="FFFFFF" w:themeColor="background1"/>
          <w:sz w:val="24"/>
        </w:rPr>
      </w:pPr>
      <w:bookmarkStart w:id="117" w:name="BOP.BAS.105_Noise_abatement_procedures"/>
      <w:bookmarkStart w:id="118" w:name="_bookmark62"/>
      <w:bookmarkStart w:id="119" w:name="_Toc153137227"/>
      <w:bookmarkEnd w:id="117"/>
      <w:bookmarkEnd w:id="118"/>
      <w:r w:rsidRPr="008C0239">
        <w:rPr>
          <w:rFonts w:ascii="Arial" w:hAnsi="Arial"/>
          <w:b/>
          <w:i w:val="0"/>
          <w:color w:val="FFFFFF" w:themeColor="background1"/>
          <w:sz w:val="24"/>
        </w:rPr>
        <w:t>BOP.BAS.105 Noise abatement procedures</w:t>
      </w:r>
      <w:bookmarkEnd w:id="119"/>
    </w:p>
    <w:p w14:paraId="493719EB" w14:textId="77777777" w:rsidR="008C0239" w:rsidRDefault="008C0239" w:rsidP="009601C2">
      <w:pPr>
        <w:tabs>
          <w:tab w:val="left" w:pos="3090"/>
        </w:tabs>
        <w:spacing w:line="276" w:lineRule="auto"/>
        <w:jc w:val="both"/>
        <w:rPr>
          <w:rFonts w:ascii="Arial" w:hAnsi="Arial" w:cs="Arial"/>
          <w:sz w:val="20"/>
        </w:rPr>
      </w:pPr>
    </w:p>
    <w:p w14:paraId="61EA271C" w14:textId="77777777" w:rsidR="008C0239" w:rsidRPr="008C0239" w:rsidRDefault="008C0239" w:rsidP="009601C2">
      <w:pPr>
        <w:tabs>
          <w:tab w:val="left" w:pos="3090"/>
        </w:tabs>
        <w:spacing w:line="276" w:lineRule="auto"/>
        <w:jc w:val="both"/>
        <w:rPr>
          <w:rFonts w:ascii="Arial" w:hAnsi="Arial" w:cs="Arial"/>
          <w:sz w:val="20"/>
        </w:rPr>
      </w:pPr>
      <w:r w:rsidRPr="008C0239">
        <w:rPr>
          <w:rFonts w:ascii="Arial" w:hAnsi="Arial" w:cs="Arial"/>
          <w:sz w:val="20"/>
        </w:rPr>
        <w:t>The pilot-in-command shall take into account operating procedures to minimise the effect of heating- system noise, while ensuring however that safety has priority over noise abatement.</w:t>
      </w:r>
    </w:p>
    <w:p w14:paraId="6EEB35BC" w14:textId="77777777" w:rsidR="008C0239" w:rsidRDefault="008C0239" w:rsidP="009601C2">
      <w:pPr>
        <w:tabs>
          <w:tab w:val="left" w:pos="3090"/>
        </w:tabs>
        <w:spacing w:line="276" w:lineRule="auto"/>
        <w:jc w:val="both"/>
        <w:rPr>
          <w:rFonts w:ascii="Arial" w:hAnsi="Arial" w:cs="Arial"/>
          <w:sz w:val="20"/>
        </w:rPr>
      </w:pPr>
    </w:p>
    <w:p w14:paraId="507961F6" w14:textId="77777777" w:rsidR="008C0239" w:rsidRPr="008C0239" w:rsidRDefault="008C0239" w:rsidP="009601C2">
      <w:pPr>
        <w:pStyle w:val="Heading4"/>
        <w:shd w:val="clear" w:color="auto" w:fill="2F5496" w:themeFill="accent5" w:themeFillShade="BF"/>
        <w:spacing w:line="276" w:lineRule="auto"/>
        <w:rPr>
          <w:rFonts w:ascii="Arial" w:hAnsi="Arial"/>
          <w:b/>
          <w:i w:val="0"/>
          <w:color w:val="FFFFFF" w:themeColor="background1"/>
          <w:sz w:val="24"/>
        </w:rPr>
      </w:pPr>
      <w:bookmarkStart w:id="120" w:name="BOP.BAS.110_Fuel_and_ballast_supply_and_"/>
      <w:bookmarkStart w:id="121" w:name="_bookmark63"/>
      <w:bookmarkStart w:id="122" w:name="_Toc153137228"/>
      <w:bookmarkEnd w:id="120"/>
      <w:bookmarkEnd w:id="121"/>
      <w:r w:rsidRPr="008C0239">
        <w:rPr>
          <w:rFonts w:ascii="Arial" w:hAnsi="Arial"/>
          <w:b/>
          <w:i w:val="0"/>
          <w:color w:val="FFFFFF" w:themeColor="background1"/>
          <w:sz w:val="24"/>
        </w:rPr>
        <w:t>BOP.BAS.110 Fuel and ballast supply and planning</w:t>
      </w:r>
      <w:bookmarkEnd w:id="122"/>
    </w:p>
    <w:p w14:paraId="5BAFED29" w14:textId="77777777" w:rsidR="008C0239" w:rsidRDefault="008C0239" w:rsidP="009601C2">
      <w:pPr>
        <w:tabs>
          <w:tab w:val="left" w:pos="3090"/>
        </w:tabs>
        <w:spacing w:line="276" w:lineRule="auto"/>
        <w:jc w:val="both"/>
        <w:rPr>
          <w:rFonts w:ascii="Arial" w:hAnsi="Arial" w:cs="Arial"/>
          <w:sz w:val="20"/>
        </w:rPr>
      </w:pPr>
    </w:p>
    <w:p w14:paraId="072A3316" w14:textId="77777777" w:rsidR="008C0239" w:rsidRDefault="008C0239" w:rsidP="009601C2">
      <w:pPr>
        <w:tabs>
          <w:tab w:val="left" w:pos="3090"/>
        </w:tabs>
        <w:spacing w:line="276" w:lineRule="auto"/>
        <w:jc w:val="both"/>
        <w:rPr>
          <w:rFonts w:ascii="Arial" w:hAnsi="Arial" w:cs="Arial"/>
          <w:sz w:val="20"/>
        </w:rPr>
      </w:pPr>
      <w:r w:rsidRPr="008C0239">
        <w:rPr>
          <w:rFonts w:ascii="Arial" w:hAnsi="Arial" w:cs="Arial"/>
          <w:sz w:val="20"/>
        </w:rPr>
        <w:t>The pilot-in-command shall only commence a flight if the reserve fuel or ballast carried on board the balloon is sufficient to ensure a safe landing.</w:t>
      </w:r>
    </w:p>
    <w:p w14:paraId="78F689C3" w14:textId="77777777" w:rsidR="008C0239" w:rsidRPr="008C0239" w:rsidRDefault="008C0239" w:rsidP="009601C2">
      <w:pPr>
        <w:keepNext/>
        <w:keepLines/>
        <w:shd w:val="clear" w:color="auto" w:fill="ED7D31"/>
        <w:spacing w:before="160" w:after="120" w:line="276" w:lineRule="auto"/>
        <w:outlineLvl w:val="4"/>
        <w:rPr>
          <w:rFonts w:ascii="Arial" w:eastAsia="Times New Roman" w:hAnsi="Arial" w:cs="Times New Roman"/>
          <w:b/>
          <w:color w:val="FFFFFF"/>
          <w:sz w:val="24"/>
        </w:rPr>
      </w:pPr>
      <w:bookmarkStart w:id="123" w:name="AMC1_BOP.BAS.110_Fuel_and_ballast_supply"/>
      <w:bookmarkStart w:id="124" w:name="_bookmark64"/>
      <w:bookmarkStart w:id="125" w:name="_Toc153137229"/>
      <w:bookmarkEnd w:id="123"/>
      <w:bookmarkEnd w:id="124"/>
      <w:r w:rsidRPr="008C0239">
        <w:rPr>
          <w:rFonts w:ascii="Arial" w:eastAsia="Times New Roman" w:hAnsi="Arial" w:cs="Times New Roman"/>
          <w:b/>
          <w:color w:val="FFFFFF"/>
          <w:sz w:val="24"/>
        </w:rPr>
        <w:t>AMC1 BOP.BAS.110 Fuel and ballast supply and planning</w:t>
      </w:r>
      <w:bookmarkEnd w:id="125"/>
    </w:p>
    <w:p w14:paraId="250FF594" w14:textId="77777777" w:rsidR="008C0239" w:rsidRPr="008C0239" w:rsidRDefault="008C0239" w:rsidP="009601C2">
      <w:pPr>
        <w:widowControl/>
        <w:autoSpaceDE/>
        <w:autoSpaceDN/>
        <w:spacing w:before="240" w:after="160" w:line="276" w:lineRule="auto"/>
        <w:jc w:val="both"/>
        <w:rPr>
          <w:rFonts w:ascii="Arial" w:eastAsiaTheme="minorHAnsi" w:hAnsi="Arial" w:cs="Arial"/>
          <w:b/>
          <w:bCs/>
          <w:sz w:val="20"/>
          <w:szCs w:val="20"/>
        </w:rPr>
      </w:pPr>
      <w:r w:rsidRPr="008C0239">
        <w:rPr>
          <w:rFonts w:ascii="Arial" w:eastAsiaTheme="minorHAnsi" w:hAnsi="Arial" w:cs="Arial"/>
          <w:b/>
          <w:bCs/>
          <w:sz w:val="20"/>
          <w:szCs w:val="20"/>
        </w:rPr>
        <w:t>GENERAL</w:t>
      </w:r>
    </w:p>
    <w:p w14:paraId="704CEC6E" w14:textId="77777777" w:rsidR="008C0239" w:rsidRPr="008C0239" w:rsidRDefault="008C0239" w:rsidP="009601C2">
      <w:pPr>
        <w:numPr>
          <w:ilvl w:val="0"/>
          <w:numId w:val="37"/>
        </w:numPr>
        <w:tabs>
          <w:tab w:val="left" w:pos="3090"/>
        </w:tabs>
        <w:spacing w:line="276" w:lineRule="auto"/>
        <w:jc w:val="both"/>
        <w:rPr>
          <w:rFonts w:ascii="Arial" w:hAnsi="Arial" w:cs="Arial"/>
          <w:sz w:val="20"/>
        </w:rPr>
      </w:pPr>
      <w:r w:rsidRPr="008C0239">
        <w:rPr>
          <w:rFonts w:ascii="Arial" w:hAnsi="Arial" w:cs="Arial"/>
          <w:sz w:val="20"/>
        </w:rPr>
        <w:t>The pilot-in-command should only commence a flight if the reserve fuel or ballast is sufficient for 30 minutes of flight.</w:t>
      </w:r>
    </w:p>
    <w:p w14:paraId="5217249B" w14:textId="77777777" w:rsidR="008C0239" w:rsidRPr="008C0239" w:rsidRDefault="008C0239" w:rsidP="009601C2">
      <w:pPr>
        <w:numPr>
          <w:ilvl w:val="0"/>
          <w:numId w:val="37"/>
        </w:numPr>
        <w:tabs>
          <w:tab w:val="left" w:pos="3090"/>
        </w:tabs>
        <w:spacing w:line="276" w:lineRule="auto"/>
        <w:jc w:val="both"/>
        <w:rPr>
          <w:rFonts w:ascii="Arial" w:hAnsi="Arial" w:cs="Arial"/>
          <w:sz w:val="20"/>
        </w:rPr>
      </w:pPr>
      <w:r w:rsidRPr="008C0239">
        <w:rPr>
          <w:rFonts w:ascii="Arial" w:hAnsi="Arial" w:cs="Arial"/>
          <w:sz w:val="20"/>
        </w:rPr>
        <w:t>Notwithstanding (a), the pilot-in-command should only commence a flight if the reserve fuel (for the burner, and, in case of hot-air airships, also for the engine) or ballast is sufficient for 15 minutes of flight for:</w:t>
      </w:r>
    </w:p>
    <w:p w14:paraId="5CE436D5" w14:textId="77777777" w:rsidR="008C0239" w:rsidRPr="008C0239" w:rsidRDefault="008C0239" w:rsidP="009601C2">
      <w:pPr>
        <w:numPr>
          <w:ilvl w:val="1"/>
          <w:numId w:val="37"/>
        </w:numPr>
        <w:tabs>
          <w:tab w:val="left" w:pos="3090"/>
        </w:tabs>
        <w:spacing w:line="276" w:lineRule="auto"/>
        <w:jc w:val="both"/>
        <w:rPr>
          <w:rFonts w:ascii="Arial" w:hAnsi="Arial" w:cs="Arial"/>
          <w:sz w:val="20"/>
        </w:rPr>
      </w:pPr>
      <w:r w:rsidRPr="008C0239">
        <w:rPr>
          <w:rFonts w:ascii="Arial" w:hAnsi="Arial" w:cs="Arial"/>
          <w:sz w:val="20"/>
        </w:rPr>
        <w:t>hot-air balloons equipped with a single fuel tank; and</w:t>
      </w:r>
    </w:p>
    <w:p w14:paraId="3A187221" w14:textId="77777777" w:rsidR="008C0239" w:rsidRPr="008C0239" w:rsidRDefault="008C0239" w:rsidP="009601C2">
      <w:pPr>
        <w:numPr>
          <w:ilvl w:val="1"/>
          <w:numId w:val="37"/>
        </w:numPr>
        <w:tabs>
          <w:tab w:val="left" w:pos="3090"/>
        </w:tabs>
        <w:spacing w:line="276" w:lineRule="auto"/>
        <w:jc w:val="both"/>
        <w:rPr>
          <w:rFonts w:ascii="Arial" w:hAnsi="Arial" w:cs="Arial"/>
          <w:sz w:val="20"/>
        </w:rPr>
      </w:pPr>
      <w:r w:rsidRPr="008C0239">
        <w:rPr>
          <w:rFonts w:ascii="Arial" w:hAnsi="Arial" w:cs="Arial"/>
          <w:sz w:val="20"/>
        </w:rPr>
        <w:t>hot-air airships, when the flight is conducted in the vicinity of the operating site.</w:t>
      </w:r>
    </w:p>
    <w:p w14:paraId="56DF3347" w14:textId="77777777" w:rsidR="008C0239" w:rsidRPr="008C0239" w:rsidRDefault="008C0239" w:rsidP="009601C2">
      <w:pPr>
        <w:numPr>
          <w:ilvl w:val="0"/>
          <w:numId w:val="37"/>
        </w:numPr>
        <w:tabs>
          <w:tab w:val="left" w:pos="3090"/>
        </w:tabs>
        <w:spacing w:line="276" w:lineRule="auto"/>
        <w:jc w:val="both"/>
        <w:rPr>
          <w:rFonts w:ascii="Arial" w:hAnsi="Arial" w:cs="Arial"/>
          <w:sz w:val="20"/>
        </w:rPr>
      </w:pPr>
      <w:r w:rsidRPr="008C0239">
        <w:rPr>
          <w:rFonts w:ascii="Arial" w:hAnsi="Arial" w:cs="Arial"/>
          <w:sz w:val="20"/>
        </w:rPr>
        <w:t>Fuel or ballast supply calculations should be based upon at least the following operating conditions under which the flight is to be conducted:</w:t>
      </w:r>
    </w:p>
    <w:p w14:paraId="4BBF1C16" w14:textId="77777777" w:rsidR="008C0239" w:rsidRPr="008C0239" w:rsidRDefault="008C0239" w:rsidP="009601C2">
      <w:pPr>
        <w:numPr>
          <w:ilvl w:val="1"/>
          <w:numId w:val="37"/>
        </w:numPr>
        <w:tabs>
          <w:tab w:val="left" w:pos="3090"/>
        </w:tabs>
        <w:spacing w:line="276" w:lineRule="auto"/>
        <w:jc w:val="both"/>
        <w:rPr>
          <w:rFonts w:ascii="Arial" w:hAnsi="Arial" w:cs="Arial"/>
          <w:sz w:val="20"/>
        </w:rPr>
      </w:pPr>
      <w:r w:rsidRPr="008C0239">
        <w:rPr>
          <w:rFonts w:ascii="Arial" w:hAnsi="Arial" w:cs="Arial"/>
          <w:sz w:val="20"/>
        </w:rPr>
        <w:t>data provided by the balloon manufacturer;</w:t>
      </w:r>
    </w:p>
    <w:p w14:paraId="7DA5440A" w14:textId="77777777" w:rsidR="008C0239" w:rsidRPr="008C0239" w:rsidRDefault="008C0239" w:rsidP="009601C2">
      <w:pPr>
        <w:numPr>
          <w:ilvl w:val="1"/>
          <w:numId w:val="37"/>
        </w:numPr>
        <w:tabs>
          <w:tab w:val="left" w:pos="3090"/>
        </w:tabs>
        <w:spacing w:line="276" w:lineRule="auto"/>
        <w:jc w:val="both"/>
        <w:rPr>
          <w:rFonts w:ascii="Arial" w:hAnsi="Arial" w:cs="Arial"/>
          <w:sz w:val="20"/>
        </w:rPr>
      </w:pPr>
      <w:r w:rsidRPr="008C0239">
        <w:rPr>
          <w:rFonts w:ascii="Arial" w:hAnsi="Arial" w:cs="Arial"/>
          <w:sz w:val="20"/>
        </w:rPr>
        <w:t>anticipated masses;</w:t>
      </w:r>
    </w:p>
    <w:p w14:paraId="483041D9" w14:textId="77777777" w:rsidR="008C0239" w:rsidRPr="008C0239" w:rsidRDefault="008C0239" w:rsidP="009601C2">
      <w:pPr>
        <w:numPr>
          <w:ilvl w:val="1"/>
          <w:numId w:val="37"/>
        </w:numPr>
        <w:tabs>
          <w:tab w:val="left" w:pos="3090"/>
        </w:tabs>
        <w:spacing w:line="276" w:lineRule="auto"/>
        <w:jc w:val="both"/>
        <w:rPr>
          <w:rFonts w:ascii="Arial" w:hAnsi="Arial" w:cs="Arial"/>
          <w:sz w:val="20"/>
        </w:rPr>
      </w:pPr>
      <w:r w:rsidRPr="008C0239">
        <w:rPr>
          <w:rFonts w:ascii="Arial" w:hAnsi="Arial" w:cs="Arial"/>
          <w:sz w:val="20"/>
        </w:rPr>
        <w:t>expected meteorological conditions; and</w:t>
      </w:r>
    </w:p>
    <w:p w14:paraId="7E5AF260" w14:textId="77777777" w:rsidR="008C0239" w:rsidRDefault="008C0239" w:rsidP="009601C2">
      <w:pPr>
        <w:numPr>
          <w:ilvl w:val="1"/>
          <w:numId w:val="37"/>
        </w:numPr>
        <w:tabs>
          <w:tab w:val="left" w:pos="3090"/>
        </w:tabs>
        <w:spacing w:line="276" w:lineRule="auto"/>
        <w:jc w:val="both"/>
        <w:rPr>
          <w:rFonts w:ascii="Arial" w:hAnsi="Arial" w:cs="Arial"/>
          <w:sz w:val="20"/>
        </w:rPr>
      </w:pPr>
      <w:r w:rsidRPr="008C0239">
        <w:rPr>
          <w:rFonts w:ascii="Arial" w:hAnsi="Arial" w:cs="Arial"/>
          <w:sz w:val="20"/>
        </w:rPr>
        <w:t>air navigation services provider procedures and restrictions.</w:t>
      </w:r>
    </w:p>
    <w:p w14:paraId="02115732" w14:textId="77777777" w:rsidR="008C0239" w:rsidRDefault="008C0239" w:rsidP="009601C2">
      <w:pPr>
        <w:tabs>
          <w:tab w:val="left" w:pos="3090"/>
        </w:tabs>
        <w:spacing w:line="276" w:lineRule="auto"/>
        <w:jc w:val="both"/>
        <w:rPr>
          <w:rFonts w:ascii="Arial" w:hAnsi="Arial" w:cs="Arial"/>
          <w:sz w:val="20"/>
        </w:rPr>
      </w:pPr>
    </w:p>
    <w:p w14:paraId="6E4AD8A0" w14:textId="77777777" w:rsidR="008C0239" w:rsidRPr="008C0239" w:rsidRDefault="008C0239" w:rsidP="009601C2">
      <w:pPr>
        <w:pStyle w:val="Heading4"/>
        <w:shd w:val="clear" w:color="auto" w:fill="2F5496" w:themeFill="accent5" w:themeFillShade="BF"/>
        <w:spacing w:line="276" w:lineRule="auto"/>
        <w:rPr>
          <w:rFonts w:ascii="Arial" w:hAnsi="Arial"/>
          <w:b/>
          <w:i w:val="0"/>
          <w:color w:val="FFFFFF" w:themeColor="background1"/>
          <w:sz w:val="24"/>
        </w:rPr>
      </w:pPr>
      <w:bookmarkStart w:id="126" w:name="BOP.BAS.115_Passenger_briefing"/>
      <w:bookmarkStart w:id="127" w:name="_bookmark65"/>
      <w:bookmarkStart w:id="128" w:name="_Toc153137230"/>
      <w:bookmarkEnd w:id="126"/>
      <w:bookmarkEnd w:id="127"/>
      <w:r w:rsidRPr="008C0239">
        <w:rPr>
          <w:rFonts w:ascii="Arial" w:hAnsi="Arial"/>
          <w:b/>
          <w:i w:val="0"/>
          <w:color w:val="FFFFFF" w:themeColor="background1"/>
          <w:sz w:val="24"/>
        </w:rPr>
        <w:t>BOP.BAS.115 Passenger briefing</w:t>
      </w:r>
      <w:bookmarkEnd w:id="128"/>
    </w:p>
    <w:p w14:paraId="48656C8F" w14:textId="77777777" w:rsidR="008C0239" w:rsidRPr="008C0239" w:rsidRDefault="008C0239" w:rsidP="009601C2">
      <w:pPr>
        <w:tabs>
          <w:tab w:val="left" w:pos="3090"/>
        </w:tabs>
        <w:spacing w:line="276" w:lineRule="auto"/>
        <w:jc w:val="both"/>
        <w:rPr>
          <w:rFonts w:ascii="Arial" w:hAnsi="Arial" w:cs="Arial"/>
          <w:sz w:val="20"/>
        </w:rPr>
      </w:pPr>
    </w:p>
    <w:p w14:paraId="76029338" w14:textId="77777777" w:rsidR="008C0239" w:rsidRDefault="008C0239" w:rsidP="009601C2">
      <w:pPr>
        <w:tabs>
          <w:tab w:val="left" w:pos="3090"/>
        </w:tabs>
        <w:spacing w:line="276" w:lineRule="auto"/>
        <w:jc w:val="both"/>
        <w:rPr>
          <w:rFonts w:ascii="Arial" w:hAnsi="Arial" w:cs="Arial"/>
          <w:sz w:val="20"/>
        </w:rPr>
      </w:pPr>
      <w:r w:rsidRPr="008C0239">
        <w:rPr>
          <w:rFonts w:ascii="Arial" w:hAnsi="Arial" w:cs="Arial"/>
          <w:sz w:val="20"/>
        </w:rPr>
        <w:t>The pilot-in-command shall ensure that before and, when appropriate, during the flight passengers are given a briefing on normal, abnormal and emergency procedures.</w:t>
      </w:r>
    </w:p>
    <w:p w14:paraId="5BD6D36A" w14:textId="77777777" w:rsidR="008C0239" w:rsidRPr="008C0239" w:rsidRDefault="008C0239" w:rsidP="009601C2">
      <w:pPr>
        <w:keepNext/>
        <w:keepLines/>
        <w:shd w:val="clear" w:color="auto" w:fill="ED7D31"/>
        <w:spacing w:before="160" w:after="120" w:line="276" w:lineRule="auto"/>
        <w:outlineLvl w:val="4"/>
        <w:rPr>
          <w:rFonts w:ascii="Arial" w:eastAsia="Times New Roman" w:hAnsi="Arial" w:cs="Times New Roman"/>
          <w:b/>
          <w:color w:val="FFFFFF"/>
          <w:sz w:val="24"/>
        </w:rPr>
      </w:pPr>
      <w:bookmarkStart w:id="129" w:name="AMC1_BOP.BAS.115_Passenger_briefing"/>
      <w:bookmarkStart w:id="130" w:name="_bookmark66"/>
      <w:bookmarkStart w:id="131" w:name="_Toc153137231"/>
      <w:bookmarkEnd w:id="129"/>
      <w:bookmarkEnd w:id="130"/>
      <w:r w:rsidRPr="008C0239">
        <w:rPr>
          <w:rFonts w:ascii="Arial" w:eastAsia="Times New Roman" w:hAnsi="Arial" w:cs="Times New Roman"/>
          <w:b/>
          <w:color w:val="FFFFFF"/>
          <w:sz w:val="24"/>
        </w:rPr>
        <w:t>AMC1 BOP.BAS.115 Passenger briefing</w:t>
      </w:r>
      <w:bookmarkEnd w:id="131"/>
    </w:p>
    <w:p w14:paraId="5B795DF3" w14:textId="77777777" w:rsidR="008C0239" w:rsidRPr="008C0239" w:rsidRDefault="008C0239" w:rsidP="009601C2">
      <w:pPr>
        <w:widowControl/>
        <w:autoSpaceDE/>
        <w:autoSpaceDN/>
        <w:spacing w:before="240" w:after="160" w:line="276" w:lineRule="auto"/>
        <w:jc w:val="both"/>
        <w:rPr>
          <w:rFonts w:ascii="Arial" w:eastAsiaTheme="minorHAnsi" w:hAnsi="Arial" w:cs="Arial"/>
          <w:b/>
          <w:bCs/>
          <w:sz w:val="20"/>
          <w:szCs w:val="20"/>
        </w:rPr>
      </w:pPr>
      <w:r w:rsidRPr="008C0239">
        <w:rPr>
          <w:rFonts w:ascii="Arial" w:eastAsiaTheme="minorHAnsi" w:hAnsi="Arial" w:cs="Arial"/>
          <w:b/>
          <w:bCs/>
          <w:sz w:val="20"/>
          <w:szCs w:val="20"/>
        </w:rPr>
        <w:t>GENERAL</w:t>
      </w:r>
    </w:p>
    <w:p w14:paraId="5A162850" w14:textId="77777777" w:rsidR="008C0239" w:rsidRPr="008C0239" w:rsidRDefault="008C0239" w:rsidP="009601C2">
      <w:pPr>
        <w:numPr>
          <w:ilvl w:val="0"/>
          <w:numId w:val="38"/>
        </w:numPr>
        <w:tabs>
          <w:tab w:val="left" w:pos="3090"/>
        </w:tabs>
        <w:spacing w:line="276" w:lineRule="auto"/>
        <w:jc w:val="both"/>
        <w:rPr>
          <w:rFonts w:ascii="Arial" w:hAnsi="Arial" w:cs="Arial"/>
          <w:sz w:val="20"/>
        </w:rPr>
      </w:pPr>
      <w:r w:rsidRPr="008C0239">
        <w:rPr>
          <w:rFonts w:ascii="Arial" w:hAnsi="Arial" w:cs="Arial"/>
          <w:sz w:val="20"/>
        </w:rPr>
        <w:t>Passengers should be given a verbal briefing and demonstration about safety matters in such a way that the information is easily retained and applied during the landing and in the case of an emergency situation.</w:t>
      </w:r>
    </w:p>
    <w:p w14:paraId="1F157AA1" w14:textId="77777777" w:rsidR="008C0239" w:rsidRPr="008C0239" w:rsidRDefault="008C0239" w:rsidP="009601C2">
      <w:pPr>
        <w:numPr>
          <w:ilvl w:val="0"/>
          <w:numId w:val="38"/>
        </w:numPr>
        <w:tabs>
          <w:tab w:val="left" w:pos="3090"/>
        </w:tabs>
        <w:spacing w:line="276" w:lineRule="auto"/>
        <w:jc w:val="both"/>
        <w:rPr>
          <w:rFonts w:ascii="Arial" w:hAnsi="Arial" w:cs="Arial"/>
          <w:sz w:val="20"/>
        </w:rPr>
      </w:pPr>
      <w:r w:rsidRPr="008C0239">
        <w:rPr>
          <w:rFonts w:ascii="Arial" w:hAnsi="Arial" w:cs="Arial"/>
          <w:sz w:val="20"/>
        </w:rPr>
        <w:t>The briefing/demonstration should include the following items:</w:t>
      </w:r>
    </w:p>
    <w:p w14:paraId="160E25BE" w14:textId="77777777" w:rsidR="008C0239" w:rsidRPr="008C0239" w:rsidRDefault="008C0239" w:rsidP="009601C2">
      <w:pPr>
        <w:numPr>
          <w:ilvl w:val="1"/>
          <w:numId w:val="38"/>
        </w:numPr>
        <w:tabs>
          <w:tab w:val="left" w:pos="3090"/>
        </w:tabs>
        <w:spacing w:line="276" w:lineRule="auto"/>
        <w:jc w:val="both"/>
        <w:rPr>
          <w:rFonts w:ascii="Arial" w:hAnsi="Arial" w:cs="Arial"/>
          <w:sz w:val="20"/>
        </w:rPr>
      </w:pPr>
      <w:r w:rsidRPr="008C0239">
        <w:rPr>
          <w:rFonts w:ascii="Arial" w:hAnsi="Arial" w:cs="Arial"/>
          <w:sz w:val="20"/>
        </w:rPr>
        <w:t>safety in relation to ground equipment;</w:t>
      </w:r>
    </w:p>
    <w:p w14:paraId="37CAA6CB" w14:textId="77777777" w:rsidR="008C0239" w:rsidRPr="008C0239" w:rsidRDefault="008C0239" w:rsidP="009601C2">
      <w:pPr>
        <w:numPr>
          <w:ilvl w:val="1"/>
          <w:numId w:val="38"/>
        </w:numPr>
        <w:tabs>
          <w:tab w:val="left" w:pos="3090"/>
        </w:tabs>
        <w:spacing w:line="276" w:lineRule="auto"/>
        <w:jc w:val="both"/>
        <w:rPr>
          <w:rFonts w:ascii="Arial" w:hAnsi="Arial" w:cs="Arial"/>
          <w:sz w:val="20"/>
        </w:rPr>
      </w:pPr>
      <w:r w:rsidRPr="008C0239">
        <w:rPr>
          <w:rFonts w:ascii="Arial" w:hAnsi="Arial" w:cs="Arial"/>
          <w:sz w:val="20"/>
        </w:rPr>
        <w:t>use of internal handholds;</w:t>
      </w:r>
    </w:p>
    <w:p w14:paraId="746D7922" w14:textId="77777777" w:rsidR="008C0239" w:rsidRPr="008C0239" w:rsidRDefault="008C0239" w:rsidP="009601C2">
      <w:pPr>
        <w:numPr>
          <w:ilvl w:val="1"/>
          <w:numId w:val="38"/>
        </w:numPr>
        <w:tabs>
          <w:tab w:val="left" w:pos="3090"/>
        </w:tabs>
        <w:spacing w:line="276" w:lineRule="auto"/>
        <w:jc w:val="both"/>
        <w:rPr>
          <w:rFonts w:ascii="Arial" w:hAnsi="Arial" w:cs="Arial"/>
          <w:sz w:val="20"/>
        </w:rPr>
      </w:pPr>
      <w:r w:rsidRPr="008C0239">
        <w:rPr>
          <w:rFonts w:ascii="Arial" w:hAnsi="Arial" w:cs="Arial"/>
          <w:sz w:val="20"/>
        </w:rPr>
        <w:t>wearing of suitable clothing;</w:t>
      </w:r>
    </w:p>
    <w:p w14:paraId="26CD00D1" w14:textId="77777777" w:rsidR="008C0239" w:rsidRPr="008C0239" w:rsidRDefault="008C0239" w:rsidP="009601C2">
      <w:pPr>
        <w:numPr>
          <w:ilvl w:val="1"/>
          <w:numId w:val="38"/>
        </w:numPr>
        <w:tabs>
          <w:tab w:val="left" w:pos="3090"/>
        </w:tabs>
        <w:spacing w:line="276" w:lineRule="auto"/>
        <w:jc w:val="both"/>
        <w:rPr>
          <w:rFonts w:ascii="Arial" w:hAnsi="Arial" w:cs="Arial"/>
          <w:sz w:val="20"/>
        </w:rPr>
      </w:pPr>
      <w:r w:rsidRPr="008C0239">
        <w:rPr>
          <w:rFonts w:ascii="Arial" w:hAnsi="Arial" w:cs="Arial"/>
          <w:sz w:val="20"/>
        </w:rPr>
        <w:t>smoking regulations;</w:t>
      </w:r>
    </w:p>
    <w:p w14:paraId="21A52852" w14:textId="77777777" w:rsidR="008C0239" w:rsidRPr="008C0239" w:rsidRDefault="008C0239" w:rsidP="009601C2">
      <w:pPr>
        <w:numPr>
          <w:ilvl w:val="1"/>
          <w:numId w:val="38"/>
        </w:numPr>
        <w:tabs>
          <w:tab w:val="left" w:pos="3090"/>
        </w:tabs>
        <w:spacing w:line="276" w:lineRule="auto"/>
        <w:jc w:val="both"/>
        <w:rPr>
          <w:rFonts w:ascii="Arial" w:hAnsi="Arial" w:cs="Arial"/>
          <w:sz w:val="20"/>
        </w:rPr>
      </w:pPr>
      <w:r w:rsidRPr="008C0239">
        <w:rPr>
          <w:rFonts w:ascii="Arial" w:hAnsi="Arial" w:cs="Arial"/>
          <w:sz w:val="20"/>
        </w:rPr>
        <w:t>in-flight use and stowage of personal belongings and baggage;</w:t>
      </w:r>
    </w:p>
    <w:p w14:paraId="580895D3" w14:textId="77777777" w:rsidR="008C0239" w:rsidRPr="008C0239" w:rsidRDefault="008C0239" w:rsidP="009601C2">
      <w:pPr>
        <w:numPr>
          <w:ilvl w:val="1"/>
          <w:numId w:val="38"/>
        </w:numPr>
        <w:tabs>
          <w:tab w:val="left" w:pos="3090"/>
        </w:tabs>
        <w:spacing w:line="276" w:lineRule="auto"/>
        <w:jc w:val="both"/>
        <w:rPr>
          <w:rFonts w:ascii="Arial" w:hAnsi="Arial" w:cs="Arial"/>
          <w:sz w:val="20"/>
        </w:rPr>
      </w:pPr>
      <w:r w:rsidRPr="008C0239">
        <w:rPr>
          <w:rFonts w:ascii="Arial" w:hAnsi="Arial" w:cs="Arial"/>
          <w:sz w:val="20"/>
        </w:rPr>
        <w:t>importance to remain inside the basket at all times, particularly after landing;</w:t>
      </w:r>
    </w:p>
    <w:p w14:paraId="5C6896CB" w14:textId="77777777" w:rsidR="008C0239" w:rsidRPr="008C0239" w:rsidRDefault="008C0239" w:rsidP="009601C2">
      <w:pPr>
        <w:numPr>
          <w:ilvl w:val="1"/>
          <w:numId w:val="38"/>
        </w:numPr>
        <w:tabs>
          <w:tab w:val="left" w:pos="3090"/>
        </w:tabs>
        <w:spacing w:line="276" w:lineRule="auto"/>
        <w:jc w:val="both"/>
        <w:rPr>
          <w:rFonts w:ascii="Arial" w:hAnsi="Arial" w:cs="Arial"/>
          <w:sz w:val="20"/>
        </w:rPr>
      </w:pPr>
      <w:r w:rsidRPr="008C0239">
        <w:rPr>
          <w:rFonts w:ascii="Arial" w:hAnsi="Arial" w:cs="Arial"/>
          <w:sz w:val="20"/>
        </w:rPr>
        <w:t>landing positions to be assumed to minimise the effect of the impact during landing;</w:t>
      </w:r>
    </w:p>
    <w:p w14:paraId="336DCD1A" w14:textId="77777777" w:rsidR="008C0239" w:rsidRPr="008C0239" w:rsidRDefault="008C0239" w:rsidP="009601C2">
      <w:pPr>
        <w:numPr>
          <w:ilvl w:val="1"/>
          <w:numId w:val="38"/>
        </w:numPr>
        <w:tabs>
          <w:tab w:val="left" w:pos="3090"/>
        </w:tabs>
        <w:spacing w:line="276" w:lineRule="auto"/>
        <w:jc w:val="both"/>
        <w:rPr>
          <w:rFonts w:ascii="Arial" w:hAnsi="Arial" w:cs="Arial"/>
          <w:sz w:val="20"/>
        </w:rPr>
      </w:pPr>
      <w:r w:rsidRPr="008C0239">
        <w:rPr>
          <w:rFonts w:ascii="Arial" w:hAnsi="Arial" w:cs="Arial"/>
          <w:sz w:val="20"/>
        </w:rPr>
        <w:t>safe manoeuvring of the balloon on the ground after landing;</w:t>
      </w:r>
    </w:p>
    <w:p w14:paraId="166232BE" w14:textId="77777777" w:rsidR="008C0239" w:rsidRPr="008C0239" w:rsidRDefault="008C0239" w:rsidP="009601C2">
      <w:pPr>
        <w:numPr>
          <w:ilvl w:val="1"/>
          <w:numId w:val="38"/>
        </w:numPr>
        <w:tabs>
          <w:tab w:val="left" w:pos="3090"/>
        </w:tabs>
        <w:spacing w:line="276" w:lineRule="auto"/>
        <w:jc w:val="both"/>
        <w:rPr>
          <w:rFonts w:ascii="Arial" w:hAnsi="Arial" w:cs="Arial"/>
          <w:sz w:val="20"/>
        </w:rPr>
      </w:pPr>
      <w:r w:rsidRPr="008C0239">
        <w:rPr>
          <w:rFonts w:ascii="Arial" w:hAnsi="Arial" w:cs="Arial"/>
          <w:sz w:val="20"/>
        </w:rPr>
        <w:lastRenderedPageBreak/>
        <w:t>use of oxygen-dispensing equipment, if applicable; and</w:t>
      </w:r>
    </w:p>
    <w:p w14:paraId="504163C3" w14:textId="77777777" w:rsidR="008C0239" w:rsidRPr="008C0239" w:rsidRDefault="008C0239" w:rsidP="009601C2">
      <w:pPr>
        <w:numPr>
          <w:ilvl w:val="1"/>
          <w:numId w:val="38"/>
        </w:numPr>
        <w:tabs>
          <w:tab w:val="left" w:pos="3090"/>
        </w:tabs>
        <w:spacing w:line="276" w:lineRule="auto"/>
        <w:jc w:val="both"/>
        <w:rPr>
          <w:rFonts w:ascii="Arial" w:hAnsi="Arial" w:cs="Arial"/>
          <w:sz w:val="20"/>
        </w:rPr>
      </w:pPr>
      <w:r w:rsidRPr="008C0239">
        <w:rPr>
          <w:rFonts w:ascii="Arial" w:hAnsi="Arial" w:cs="Arial"/>
          <w:sz w:val="20"/>
        </w:rPr>
        <w:t>other emergency equipment provided for individual passenger use, if applicable.</w:t>
      </w:r>
    </w:p>
    <w:p w14:paraId="779D0747" w14:textId="77777777" w:rsidR="008C0239" w:rsidRPr="008C0239" w:rsidRDefault="008C0239" w:rsidP="009601C2">
      <w:pPr>
        <w:numPr>
          <w:ilvl w:val="0"/>
          <w:numId w:val="38"/>
        </w:numPr>
        <w:tabs>
          <w:tab w:val="left" w:pos="3090"/>
        </w:tabs>
        <w:spacing w:line="276" w:lineRule="auto"/>
        <w:jc w:val="both"/>
        <w:rPr>
          <w:rFonts w:ascii="Arial" w:hAnsi="Arial" w:cs="Arial"/>
          <w:sz w:val="20"/>
        </w:rPr>
      </w:pPr>
      <w:r w:rsidRPr="008C0239">
        <w:rPr>
          <w:rFonts w:ascii="Arial" w:hAnsi="Arial" w:cs="Arial"/>
          <w:sz w:val="20"/>
        </w:rPr>
        <w:t>Part or all of the verbal briefing may be provided additionally by a safety briefing card on which pictorial instructions indicate the correct landing position.</w:t>
      </w:r>
    </w:p>
    <w:p w14:paraId="5E2D2E05" w14:textId="77777777" w:rsidR="008C0239" w:rsidRPr="008C0239" w:rsidRDefault="008C0239" w:rsidP="009601C2">
      <w:pPr>
        <w:numPr>
          <w:ilvl w:val="0"/>
          <w:numId w:val="38"/>
        </w:numPr>
        <w:tabs>
          <w:tab w:val="left" w:pos="3090"/>
        </w:tabs>
        <w:spacing w:line="276" w:lineRule="auto"/>
        <w:jc w:val="both"/>
        <w:rPr>
          <w:rFonts w:ascii="Arial" w:hAnsi="Arial" w:cs="Arial"/>
          <w:sz w:val="20"/>
        </w:rPr>
      </w:pPr>
      <w:r w:rsidRPr="008C0239">
        <w:rPr>
          <w:rFonts w:ascii="Arial" w:hAnsi="Arial" w:cs="Arial"/>
          <w:sz w:val="20"/>
        </w:rPr>
        <w:t>Before take-off, the correct landing position should be demonstrated.</w:t>
      </w:r>
    </w:p>
    <w:p w14:paraId="064B6025" w14:textId="77777777" w:rsidR="008C0239" w:rsidRPr="008C0239" w:rsidRDefault="008C0239" w:rsidP="009601C2">
      <w:pPr>
        <w:numPr>
          <w:ilvl w:val="0"/>
          <w:numId w:val="38"/>
        </w:numPr>
        <w:tabs>
          <w:tab w:val="left" w:pos="3090"/>
        </w:tabs>
        <w:spacing w:line="276" w:lineRule="auto"/>
        <w:jc w:val="both"/>
        <w:rPr>
          <w:rFonts w:ascii="Arial" w:hAnsi="Arial" w:cs="Arial"/>
          <w:sz w:val="20"/>
        </w:rPr>
      </w:pPr>
      <w:r w:rsidRPr="008C0239">
        <w:rPr>
          <w:rFonts w:ascii="Arial" w:hAnsi="Arial" w:cs="Arial"/>
          <w:sz w:val="20"/>
        </w:rPr>
        <w:t>Before commencing the landing phase, passengers should be required to practise the correct landing position.</w:t>
      </w:r>
    </w:p>
    <w:p w14:paraId="14B41541" w14:textId="77777777" w:rsidR="008C0239" w:rsidRPr="008C0239" w:rsidRDefault="008C0239" w:rsidP="009601C2">
      <w:pPr>
        <w:keepNext/>
        <w:keepLines/>
        <w:widowControl/>
        <w:shd w:val="clear" w:color="auto" w:fill="339966"/>
        <w:autoSpaceDE/>
        <w:autoSpaceDN/>
        <w:spacing w:before="160" w:after="120" w:line="276" w:lineRule="auto"/>
        <w:outlineLvl w:val="4"/>
        <w:rPr>
          <w:rFonts w:ascii="Arial" w:eastAsia="Times New Roman" w:hAnsi="Arial" w:cs="Times New Roman"/>
          <w:b/>
          <w:color w:val="FFFFFF"/>
          <w:sz w:val="24"/>
        </w:rPr>
      </w:pPr>
      <w:bookmarkStart w:id="132" w:name="GM1_BOP.BAS.115_Passenger_briefing"/>
      <w:bookmarkStart w:id="133" w:name="_bookmark67"/>
      <w:bookmarkStart w:id="134" w:name="_Toc153137232"/>
      <w:bookmarkEnd w:id="132"/>
      <w:bookmarkEnd w:id="133"/>
      <w:r w:rsidRPr="008C0239">
        <w:rPr>
          <w:rFonts w:ascii="Arial" w:eastAsia="Times New Roman" w:hAnsi="Arial" w:cs="Times New Roman"/>
          <w:b/>
          <w:color w:val="FFFFFF"/>
          <w:sz w:val="24"/>
        </w:rPr>
        <w:t>GM1 BOP.BAS.115 Passenger briefing</w:t>
      </w:r>
      <w:bookmarkEnd w:id="134"/>
    </w:p>
    <w:p w14:paraId="5BA01FB9" w14:textId="77777777" w:rsidR="008C0239" w:rsidRPr="008C0239" w:rsidRDefault="008C0239" w:rsidP="009601C2">
      <w:pPr>
        <w:widowControl/>
        <w:autoSpaceDE/>
        <w:autoSpaceDN/>
        <w:spacing w:before="240" w:after="160" w:line="276" w:lineRule="auto"/>
        <w:jc w:val="both"/>
        <w:rPr>
          <w:rFonts w:ascii="Arial" w:eastAsiaTheme="minorHAnsi" w:hAnsi="Arial" w:cs="Arial"/>
          <w:b/>
          <w:bCs/>
          <w:sz w:val="20"/>
          <w:szCs w:val="20"/>
        </w:rPr>
      </w:pPr>
      <w:r w:rsidRPr="008C0239">
        <w:rPr>
          <w:rFonts w:ascii="Arial" w:eastAsiaTheme="minorHAnsi" w:hAnsi="Arial" w:cs="Arial"/>
          <w:b/>
          <w:bCs/>
          <w:sz w:val="20"/>
          <w:szCs w:val="20"/>
        </w:rPr>
        <w:t>GENERAL</w:t>
      </w:r>
    </w:p>
    <w:p w14:paraId="28EDF67E" w14:textId="77777777" w:rsidR="008C0239" w:rsidRPr="008C0239" w:rsidRDefault="008C0239" w:rsidP="009601C2">
      <w:pPr>
        <w:tabs>
          <w:tab w:val="left" w:pos="3090"/>
        </w:tabs>
        <w:spacing w:line="276" w:lineRule="auto"/>
        <w:jc w:val="both"/>
        <w:rPr>
          <w:rFonts w:ascii="Arial" w:hAnsi="Arial" w:cs="Arial"/>
          <w:sz w:val="20"/>
        </w:rPr>
      </w:pPr>
      <w:r w:rsidRPr="008C0239">
        <w:rPr>
          <w:rFonts w:ascii="Arial" w:hAnsi="Arial" w:cs="Arial"/>
          <w:sz w:val="20"/>
        </w:rPr>
        <w:t>The pilot-in-command or a person designated by the operator is carrying out the passenger briefing.</w:t>
      </w:r>
    </w:p>
    <w:p w14:paraId="4C160408" w14:textId="77777777" w:rsidR="008C0239" w:rsidRDefault="008C0239" w:rsidP="009601C2">
      <w:pPr>
        <w:tabs>
          <w:tab w:val="left" w:pos="3090"/>
        </w:tabs>
        <w:spacing w:line="276" w:lineRule="auto"/>
        <w:jc w:val="both"/>
        <w:rPr>
          <w:rFonts w:ascii="Arial" w:hAnsi="Arial" w:cs="Arial"/>
          <w:sz w:val="20"/>
        </w:rPr>
      </w:pPr>
    </w:p>
    <w:p w14:paraId="03A592F5" w14:textId="77777777" w:rsidR="008C0239" w:rsidRPr="008C0239" w:rsidRDefault="008C0239" w:rsidP="009601C2">
      <w:pPr>
        <w:pStyle w:val="Heading4"/>
        <w:shd w:val="clear" w:color="auto" w:fill="2F5496" w:themeFill="accent5" w:themeFillShade="BF"/>
        <w:spacing w:line="276" w:lineRule="auto"/>
        <w:rPr>
          <w:rFonts w:ascii="Arial" w:hAnsi="Arial"/>
          <w:b/>
          <w:i w:val="0"/>
          <w:color w:val="FFFFFF" w:themeColor="background1"/>
          <w:sz w:val="24"/>
        </w:rPr>
      </w:pPr>
      <w:bookmarkStart w:id="135" w:name="BOP.BAS.120_Carriage_of_special_categori"/>
      <w:bookmarkStart w:id="136" w:name="_bookmark68"/>
      <w:bookmarkStart w:id="137" w:name="_Toc153137233"/>
      <w:bookmarkEnd w:id="135"/>
      <w:bookmarkEnd w:id="136"/>
      <w:r w:rsidRPr="008C0239">
        <w:rPr>
          <w:rFonts w:ascii="Arial" w:hAnsi="Arial"/>
          <w:b/>
          <w:i w:val="0"/>
          <w:color w:val="FFFFFF" w:themeColor="background1"/>
          <w:sz w:val="24"/>
        </w:rPr>
        <w:t>BOP.BAS.120 Carriage of special categories of passengers</w:t>
      </w:r>
      <w:bookmarkEnd w:id="137"/>
    </w:p>
    <w:p w14:paraId="020371A3" w14:textId="77777777" w:rsidR="008C0239" w:rsidRDefault="008C0239" w:rsidP="009601C2">
      <w:pPr>
        <w:tabs>
          <w:tab w:val="left" w:pos="3090"/>
        </w:tabs>
        <w:spacing w:line="276" w:lineRule="auto"/>
        <w:jc w:val="both"/>
        <w:rPr>
          <w:rFonts w:ascii="Arial" w:hAnsi="Arial" w:cs="Arial"/>
          <w:sz w:val="20"/>
        </w:rPr>
      </w:pPr>
    </w:p>
    <w:p w14:paraId="592B2945" w14:textId="77777777" w:rsidR="008C0239" w:rsidRPr="008C0239" w:rsidRDefault="008C0239" w:rsidP="009601C2">
      <w:pPr>
        <w:tabs>
          <w:tab w:val="left" w:pos="3090"/>
        </w:tabs>
        <w:spacing w:line="276" w:lineRule="auto"/>
        <w:jc w:val="both"/>
        <w:rPr>
          <w:rFonts w:ascii="Arial" w:hAnsi="Arial" w:cs="Arial"/>
          <w:sz w:val="20"/>
        </w:rPr>
      </w:pPr>
      <w:r w:rsidRPr="008C0239">
        <w:rPr>
          <w:rFonts w:ascii="Arial" w:hAnsi="Arial" w:cs="Arial"/>
          <w:sz w:val="20"/>
        </w:rPr>
        <w:t>The pilot-in-command shall ensure that persons requiring special conditions, assistance or devices when carried on board a balloon are carried under conditions that ensure the safety of the balloon and of any persons or property carried therein.</w:t>
      </w:r>
    </w:p>
    <w:p w14:paraId="67DB189A" w14:textId="77777777" w:rsidR="008C0239" w:rsidRDefault="008C0239" w:rsidP="009601C2">
      <w:pPr>
        <w:tabs>
          <w:tab w:val="left" w:pos="3090"/>
        </w:tabs>
        <w:spacing w:line="276" w:lineRule="auto"/>
        <w:jc w:val="both"/>
        <w:rPr>
          <w:rFonts w:ascii="Arial" w:hAnsi="Arial" w:cs="Arial"/>
          <w:sz w:val="20"/>
        </w:rPr>
      </w:pPr>
    </w:p>
    <w:p w14:paraId="5B4BC94D" w14:textId="77777777" w:rsidR="00B22A0C" w:rsidRPr="00B22A0C" w:rsidRDefault="00B22A0C" w:rsidP="009601C2">
      <w:pPr>
        <w:keepNext/>
        <w:keepLines/>
        <w:shd w:val="clear" w:color="auto" w:fill="ED7D31"/>
        <w:spacing w:before="160" w:after="120" w:line="276" w:lineRule="auto"/>
        <w:outlineLvl w:val="4"/>
        <w:rPr>
          <w:rFonts w:ascii="Arial" w:eastAsia="Times New Roman" w:hAnsi="Arial" w:cs="Times New Roman"/>
          <w:b/>
          <w:color w:val="FFFFFF"/>
          <w:sz w:val="24"/>
        </w:rPr>
      </w:pPr>
      <w:bookmarkStart w:id="138" w:name="AMC1_BOP.BAS.120_Carriage_of_special_cat"/>
      <w:bookmarkStart w:id="139" w:name="_bookmark69"/>
      <w:bookmarkStart w:id="140" w:name="_Toc153137234"/>
      <w:bookmarkEnd w:id="138"/>
      <w:bookmarkEnd w:id="139"/>
      <w:r w:rsidRPr="00B22A0C">
        <w:rPr>
          <w:rFonts w:ascii="Arial" w:eastAsia="Times New Roman" w:hAnsi="Arial" w:cs="Times New Roman"/>
          <w:b/>
          <w:color w:val="FFFFFF"/>
          <w:sz w:val="24"/>
        </w:rPr>
        <w:t>AMC1 BOP.BAS.120 Carriage of special categories of passengers</w:t>
      </w:r>
      <w:bookmarkEnd w:id="140"/>
    </w:p>
    <w:p w14:paraId="05766465" w14:textId="77777777" w:rsidR="00B22A0C" w:rsidRPr="00B22A0C" w:rsidRDefault="00B22A0C" w:rsidP="009601C2">
      <w:pPr>
        <w:widowControl/>
        <w:autoSpaceDE/>
        <w:autoSpaceDN/>
        <w:spacing w:before="240" w:after="160" w:line="276" w:lineRule="auto"/>
        <w:jc w:val="both"/>
        <w:rPr>
          <w:rFonts w:ascii="Arial" w:eastAsiaTheme="minorHAnsi" w:hAnsi="Arial" w:cs="Arial"/>
          <w:b/>
          <w:bCs/>
          <w:sz w:val="20"/>
          <w:szCs w:val="20"/>
        </w:rPr>
      </w:pPr>
      <w:r w:rsidRPr="00B22A0C">
        <w:rPr>
          <w:rFonts w:ascii="Arial" w:eastAsiaTheme="minorHAnsi" w:hAnsi="Arial" w:cs="Arial"/>
          <w:b/>
          <w:bCs/>
          <w:sz w:val="20"/>
          <w:szCs w:val="20"/>
        </w:rPr>
        <w:t>CARRIAGE OF CHILDREN AND PERSONS WITH REDUCED MOBILITY</w:t>
      </w:r>
    </w:p>
    <w:p w14:paraId="29F62CDE" w14:textId="77777777" w:rsidR="00B22A0C" w:rsidRPr="00B22A0C" w:rsidRDefault="00B22A0C" w:rsidP="009601C2">
      <w:pPr>
        <w:tabs>
          <w:tab w:val="left" w:pos="3090"/>
        </w:tabs>
        <w:spacing w:line="276" w:lineRule="auto"/>
        <w:jc w:val="both"/>
        <w:rPr>
          <w:rFonts w:ascii="Arial" w:hAnsi="Arial" w:cs="Arial"/>
          <w:sz w:val="20"/>
        </w:rPr>
      </w:pPr>
      <w:r w:rsidRPr="00B22A0C">
        <w:rPr>
          <w:rFonts w:ascii="Arial" w:hAnsi="Arial" w:cs="Arial"/>
          <w:sz w:val="20"/>
        </w:rPr>
        <w:t>The pilot-in-command may exclude children or persons with reduced mobility from transportation in a balloon when:</w:t>
      </w:r>
    </w:p>
    <w:p w14:paraId="642400A3" w14:textId="77777777" w:rsidR="00B22A0C" w:rsidRPr="00B22A0C" w:rsidRDefault="00B22A0C" w:rsidP="009601C2">
      <w:pPr>
        <w:numPr>
          <w:ilvl w:val="0"/>
          <w:numId w:val="39"/>
        </w:numPr>
        <w:tabs>
          <w:tab w:val="left" w:pos="3090"/>
        </w:tabs>
        <w:spacing w:line="276" w:lineRule="auto"/>
        <w:jc w:val="both"/>
        <w:rPr>
          <w:rFonts w:ascii="Arial" w:hAnsi="Arial" w:cs="Arial"/>
          <w:sz w:val="20"/>
        </w:rPr>
      </w:pPr>
      <w:r w:rsidRPr="00B22A0C">
        <w:rPr>
          <w:rFonts w:ascii="Arial" w:hAnsi="Arial" w:cs="Arial"/>
          <w:sz w:val="20"/>
        </w:rPr>
        <w:t>their presence may impede:</w:t>
      </w:r>
    </w:p>
    <w:p w14:paraId="54394BB3" w14:textId="77777777" w:rsidR="00B22A0C" w:rsidRPr="00B22A0C" w:rsidRDefault="00B22A0C" w:rsidP="009601C2">
      <w:pPr>
        <w:numPr>
          <w:ilvl w:val="1"/>
          <w:numId w:val="39"/>
        </w:numPr>
        <w:tabs>
          <w:tab w:val="left" w:pos="3090"/>
        </w:tabs>
        <w:spacing w:line="276" w:lineRule="auto"/>
        <w:jc w:val="both"/>
        <w:rPr>
          <w:rFonts w:ascii="Arial" w:hAnsi="Arial" w:cs="Arial"/>
          <w:sz w:val="20"/>
        </w:rPr>
      </w:pPr>
      <w:r w:rsidRPr="00B22A0C">
        <w:rPr>
          <w:rFonts w:ascii="Arial" w:hAnsi="Arial" w:cs="Arial"/>
          <w:sz w:val="20"/>
        </w:rPr>
        <w:t>the crew in their duties;</w:t>
      </w:r>
    </w:p>
    <w:p w14:paraId="3519EDBE" w14:textId="77777777" w:rsidR="00B22A0C" w:rsidRPr="00B22A0C" w:rsidRDefault="00B22A0C" w:rsidP="009601C2">
      <w:pPr>
        <w:numPr>
          <w:ilvl w:val="1"/>
          <w:numId w:val="39"/>
        </w:numPr>
        <w:tabs>
          <w:tab w:val="left" w:pos="3090"/>
        </w:tabs>
        <w:spacing w:line="276" w:lineRule="auto"/>
        <w:jc w:val="both"/>
        <w:rPr>
          <w:rFonts w:ascii="Arial" w:hAnsi="Arial" w:cs="Arial"/>
          <w:sz w:val="20"/>
        </w:rPr>
      </w:pPr>
      <w:r w:rsidRPr="00B22A0C">
        <w:rPr>
          <w:rFonts w:ascii="Arial" w:hAnsi="Arial" w:cs="Arial"/>
          <w:sz w:val="20"/>
        </w:rPr>
        <w:t>access to emergency equipment; or</w:t>
      </w:r>
    </w:p>
    <w:p w14:paraId="3EC25216" w14:textId="77777777" w:rsidR="00B22A0C" w:rsidRPr="00B22A0C" w:rsidRDefault="00B22A0C" w:rsidP="009601C2">
      <w:pPr>
        <w:numPr>
          <w:ilvl w:val="1"/>
          <w:numId w:val="39"/>
        </w:numPr>
        <w:tabs>
          <w:tab w:val="left" w:pos="3090"/>
        </w:tabs>
        <w:spacing w:line="276" w:lineRule="auto"/>
        <w:jc w:val="both"/>
        <w:rPr>
          <w:rFonts w:ascii="Arial" w:hAnsi="Arial" w:cs="Arial"/>
          <w:sz w:val="20"/>
        </w:rPr>
      </w:pPr>
      <w:r w:rsidRPr="00B22A0C">
        <w:rPr>
          <w:rFonts w:ascii="Arial" w:hAnsi="Arial" w:cs="Arial"/>
          <w:sz w:val="20"/>
        </w:rPr>
        <w:t>the emergency evacuation of the balloon; or</w:t>
      </w:r>
    </w:p>
    <w:p w14:paraId="3FD3FB72" w14:textId="77777777" w:rsidR="00B22A0C" w:rsidRPr="00B22A0C" w:rsidRDefault="00B22A0C" w:rsidP="009601C2">
      <w:pPr>
        <w:numPr>
          <w:ilvl w:val="0"/>
          <w:numId w:val="39"/>
        </w:numPr>
        <w:tabs>
          <w:tab w:val="left" w:pos="3090"/>
        </w:tabs>
        <w:spacing w:line="276" w:lineRule="auto"/>
        <w:jc w:val="both"/>
        <w:rPr>
          <w:rFonts w:ascii="Arial" w:hAnsi="Arial" w:cs="Arial"/>
          <w:sz w:val="20"/>
        </w:rPr>
      </w:pPr>
      <w:r w:rsidRPr="00B22A0C">
        <w:rPr>
          <w:rFonts w:ascii="Arial" w:hAnsi="Arial" w:cs="Arial"/>
          <w:sz w:val="20"/>
        </w:rPr>
        <w:t>those persons are:</w:t>
      </w:r>
    </w:p>
    <w:p w14:paraId="42621C01" w14:textId="77777777" w:rsidR="00B22A0C" w:rsidRPr="00B22A0C" w:rsidRDefault="00B22A0C" w:rsidP="009601C2">
      <w:pPr>
        <w:numPr>
          <w:ilvl w:val="1"/>
          <w:numId w:val="39"/>
        </w:numPr>
        <w:tabs>
          <w:tab w:val="left" w:pos="3090"/>
        </w:tabs>
        <w:spacing w:line="276" w:lineRule="auto"/>
        <w:jc w:val="both"/>
        <w:rPr>
          <w:rFonts w:ascii="Arial" w:hAnsi="Arial" w:cs="Arial"/>
          <w:sz w:val="20"/>
        </w:rPr>
      </w:pPr>
      <w:r w:rsidRPr="00B22A0C">
        <w:rPr>
          <w:rFonts w:ascii="Arial" w:hAnsi="Arial" w:cs="Arial"/>
          <w:sz w:val="20"/>
        </w:rPr>
        <w:t>unable to take a proper brace position;</w:t>
      </w:r>
    </w:p>
    <w:p w14:paraId="48D9392A" w14:textId="77777777" w:rsidR="00B22A0C" w:rsidRPr="00B22A0C" w:rsidRDefault="00B22A0C" w:rsidP="009601C2">
      <w:pPr>
        <w:numPr>
          <w:ilvl w:val="1"/>
          <w:numId w:val="39"/>
        </w:numPr>
        <w:tabs>
          <w:tab w:val="left" w:pos="3090"/>
        </w:tabs>
        <w:spacing w:line="276" w:lineRule="auto"/>
        <w:jc w:val="both"/>
        <w:rPr>
          <w:rFonts w:ascii="Arial" w:hAnsi="Arial" w:cs="Arial"/>
          <w:sz w:val="20"/>
        </w:rPr>
      </w:pPr>
      <w:r w:rsidRPr="00B22A0C">
        <w:rPr>
          <w:rFonts w:ascii="Arial" w:hAnsi="Arial" w:cs="Arial"/>
          <w:sz w:val="20"/>
        </w:rPr>
        <w:t>smaller than the inner height of the basket wall; or</w:t>
      </w:r>
    </w:p>
    <w:p w14:paraId="5072E230" w14:textId="77777777" w:rsidR="00B22A0C" w:rsidRPr="00B22A0C" w:rsidRDefault="00B22A0C" w:rsidP="009601C2">
      <w:pPr>
        <w:numPr>
          <w:ilvl w:val="1"/>
          <w:numId w:val="39"/>
        </w:numPr>
        <w:tabs>
          <w:tab w:val="left" w:pos="3090"/>
        </w:tabs>
        <w:spacing w:line="276" w:lineRule="auto"/>
        <w:jc w:val="both"/>
        <w:rPr>
          <w:rFonts w:ascii="Arial" w:hAnsi="Arial" w:cs="Arial"/>
          <w:sz w:val="20"/>
        </w:rPr>
      </w:pPr>
      <w:r w:rsidRPr="00B22A0C">
        <w:rPr>
          <w:rFonts w:ascii="Arial" w:hAnsi="Arial" w:cs="Arial"/>
          <w:sz w:val="20"/>
        </w:rPr>
        <w:t>unable to understand the passenger briefing.</w:t>
      </w:r>
    </w:p>
    <w:p w14:paraId="625C34C9" w14:textId="77777777" w:rsidR="00B22A0C" w:rsidRDefault="00B22A0C" w:rsidP="009601C2">
      <w:pPr>
        <w:tabs>
          <w:tab w:val="left" w:pos="3090"/>
        </w:tabs>
        <w:spacing w:line="276" w:lineRule="auto"/>
        <w:jc w:val="both"/>
        <w:rPr>
          <w:rFonts w:ascii="Arial" w:hAnsi="Arial" w:cs="Arial"/>
          <w:sz w:val="20"/>
        </w:rPr>
      </w:pPr>
    </w:p>
    <w:p w14:paraId="0661EBB3" w14:textId="77777777" w:rsidR="00CA2D33" w:rsidRPr="00CA2D33" w:rsidRDefault="00CA2D33" w:rsidP="009601C2">
      <w:pPr>
        <w:pStyle w:val="Heading4"/>
        <w:shd w:val="clear" w:color="auto" w:fill="2F5496" w:themeFill="accent5" w:themeFillShade="BF"/>
        <w:spacing w:line="276" w:lineRule="auto"/>
        <w:rPr>
          <w:rFonts w:ascii="Arial" w:hAnsi="Arial"/>
          <w:b/>
          <w:i w:val="0"/>
          <w:color w:val="FFFFFF" w:themeColor="background1"/>
          <w:sz w:val="24"/>
        </w:rPr>
      </w:pPr>
      <w:bookmarkStart w:id="141" w:name="BOP.BAS.125_Submission_of_the_air_traffi"/>
      <w:bookmarkStart w:id="142" w:name="_bookmark70"/>
      <w:bookmarkStart w:id="143" w:name="_Toc153137235"/>
      <w:bookmarkEnd w:id="141"/>
      <w:bookmarkEnd w:id="142"/>
      <w:r w:rsidRPr="00CA2D33">
        <w:rPr>
          <w:rFonts w:ascii="Arial" w:hAnsi="Arial"/>
          <w:b/>
          <w:i w:val="0"/>
          <w:color w:val="FFFFFF" w:themeColor="background1"/>
          <w:sz w:val="24"/>
        </w:rPr>
        <w:t>BOP.BAS.125 Submission of the air traffic service flight plan</w:t>
      </w:r>
      <w:bookmarkEnd w:id="143"/>
    </w:p>
    <w:p w14:paraId="759BDBFC" w14:textId="77777777" w:rsidR="00CA2D33" w:rsidRDefault="00CA2D33" w:rsidP="009601C2">
      <w:pPr>
        <w:tabs>
          <w:tab w:val="left" w:pos="3090"/>
        </w:tabs>
        <w:spacing w:line="276" w:lineRule="auto"/>
        <w:jc w:val="both"/>
        <w:rPr>
          <w:rFonts w:ascii="Arial" w:hAnsi="Arial" w:cs="Arial"/>
          <w:sz w:val="20"/>
        </w:rPr>
      </w:pPr>
    </w:p>
    <w:p w14:paraId="775347F5" w14:textId="4E866CF7" w:rsidR="00CA2D33" w:rsidRPr="00CA2D33" w:rsidRDefault="00CA2D33" w:rsidP="009601C2">
      <w:pPr>
        <w:numPr>
          <w:ilvl w:val="0"/>
          <w:numId w:val="40"/>
        </w:numPr>
        <w:tabs>
          <w:tab w:val="left" w:pos="3090"/>
        </w:tabs>
        <w:spacing w:line="276" w:lineRule="auto"/>
        <w:jc w:val="both"/>
        <w:rPr>
          <w:rFonts w:ascii="Arial" w:hAnsi="Arial" w:cs="Arial"/>
          <w:sz w:val="20"/>
        </w:rPr>
      </w:pPr>
      <w:r w:rsidRPr="00CA2D33">
        <w:rPr>
          <w:rFonts w:ascii="Arial" w:hAnsi="Arial" w:cs="Arial"/>
          <w:sz w:val="20"/>
        </w:rPr>
        <w:t xml:space="preserve">If an air traffic service (ATS) flight plan is not submitted because it is not required in accordance with point (b) of point SERA.4001 of the Annex to </w:t>
      </w:r>
      <w:hyperlink r:id="rId44" w:history="1">
        <w:r w:rsidR="00453B73" w:rsidRPr="00B649C8">
          <w:rPr>
            <w:rStyle w:val="Hyperlink"/>
            <w:rFonts w:ascii="Arial" w:hAnsi="Arial" w:cs="Arial"/>
            <w:sz w:val="20"/>
          </w:rPr>
          <w:t>the decision N 737-N of the Government of the Republic of Armenia, dated 06.06.2007</w:t>
        </w:r>
      </w:hyperlink>
      <w:r w:rsidRPr="00CA2D33">
        <w:rPr>
          <w:rFonts w:ascii="Arial" w:hAnsi="Arial" w:cs="Arial"/>
          <w:sz w:val="20"/>
        </w:rPr>
        <w:t>, the pilot-in-command shall submit adequate information in order to permit alerting services to be activated if required.</w:t>
      </w:r>
    </w:p>
    <w:p w14:paraId="50FC741E" w14:textId="3D2B3BFD" w:rsidR="00CA2D33" w:rsidRPr="00CA2D33" w:rsidRDefault="00CA2D33" w:rsidP="009601C2">
      <w:pPr>
        <w:numPr>
          <w:ilvl w:val="0"/>
          <w:numId w:val="40"/>
        </w:numPr>
        <w:tabs>
          <w:tab w:val="left" w:pos="3090"/>
        </w:tabs>
        <w:spacing w:line="276" w:lineRule="auto"/>
        <w:jc w:val="both"/>
        <w:rPr>
          <w:rFonts w:ascii="Arial" w:hAnsi="Arial" w:cs="Arial"/>
          <w:sz w:val="20"/>
        </w:rPr>
      </w:pPr>
      <w:r w:rsidRPr="00CA2D33">
        <w:rPr>
          <w:rFonts w:ascii="Arial" w:hAnsi="Arial" w:cs="Arial"/>
          <w:sz w:val="20"/>
        </w:rPr>
        <w:t>When operating from an operating site where it is impossible to submit an ATS flight plan, although required in accordance with point (b) of point SERA.4001 of the Annex to</w:t>
      </w:r>
      <w:r w:rsidR="00453B73">
        <w:rPr>
          <w:rFonts w:ascii="Arial" w:hAnsi="Arial" w:cs="Arial"/>
          <w:sz w:val="20"/>
        </w:rPr>
        <w:t xml:space="preserve"> </w:t>
      </w:r>
      <w:hyperlink r:id="rId45" w:history="1">
        <w:r w:rsidR="00453B73" w:rsidRPr="00B649C8">
          <w:rPr>
            <w:rStyle w:val="Hyperlink"/>
            <w:rFonts w:ascii="Arial" w:hAnsi="Arial" w:cs="Arial"/>
            <w:sz w:val="20"/>
          </w:rPr>
          <w:t>the decision N 737-N of the Government of the Republic of Armenia, dated 06.06.2007</w:t>
        </w:r>
      </w:hyperlink>
      <w:hyperlink r:id="rId46">
        <w:r w:rsidRPr="00CA2D33">
          <w:rPr>
            <w:rStyle w:val="Hyperlink"/>
            <w:rFonts w:ascii="Arial" w:hAnsi="Arial" w:cs="Arial"/>
            <w:sz w:val="20"/>
          </w:rPr>
          <w:t xml:space="preserve">, </w:t>
        </w:r>
      </w:hyperlink>
      <w:r w:rsidRPr="00CA2D33">
        <w:rPr>
          <w:rFonts w:ascii="Arial" w:hAnsi="Arial" w:cs="Arial"/>
          <w:sz w:val="20"/>
        </w:rPr>
        <w:t>the pilot-in-command shall submit the ATS flight plan after take-off.</w:t>
      </w:r>
    </w:p>
    <w:p w14:paraId="7FFF954F" w14:textId="77777777" w:rsidR="00CA2D33" w:rsidRDefault="00CA2D33" w:rsidP="009601C2">
      <w:pPr>
        <w:tabs>
          <w:tab w:val="left" w:pos="3090"/>
        </w:tabs>
        <w:spacing w:line="276" w:lineRule="auto"/>
        <w:jc w:val="both"/>
        <w:rPr>
          <w:rFonts w:ascii="Arial" w:hAnsi="Arial" w:cs="Arial"/>
          <w:sz w:val="20"/>
        </w:rPr>
      </w:pPr>
    </w:p>
    <w:p w14:paraId="0B1005EB" w14:textId="77777777" w:rsidR="00CA2D33" w:rsidRDefault="00CA2D33" w:rsidP="009601C2">
      <w:pPr>
        <w:keepNext/>
        <w:keepLines/>
        <w:shd w:val="clear" w:color="auto" w:fill="ED7D31"/>
        <w:spacing w:before="160" w:after="120" w:line="276" w:lineRule="auto"/>
        <w:outlineLvl w:val="4"/>
      </w:pPr>
      <w:bookmarkStart w:id="144" w:name="_Toc153137236"/>
      <w:r w:rsidRPr="00CA2D33">
        <w:rPr>
          <w:rFonts w:ascii="Arial" w:eastAsia="Times New Roman" w:hAnsi="Arial" w:cs="Times New Roman"/>
          <w:b/>
          <w:color w:val="FFFFFF"/>
          <w:sz w:val="24"/>
        </w:rPr>
        <w:t>AMC1 BOP.BAS.125 Submission of the air traffic service flight plan</w:t>
      </w:r>
      <w:bookmarkEnd w:id="144"/>
      <w:r w:rsidRPr="00CA2D33">
        <w:rPr>
          <w:rFonts w:ascii="Arial" w:eastAsia="Times New Roman" w:hAnsi="Arial" w:cs="Times New Roman"/>
          <w:b/>
          <w:color w:val="FFFFFF"/>
          <w:sz w:val="24"/>
        </w:rPr>
        <w:tab/>
      </w:r>
    </w:p>
    <w:p w14:paraId="00BFB28F" w14:textId="77777777" w:rsidR="00CA2D33" w:rsidRDefault="00CA2D33" w:rsidP="009601C2">
      <w:pPr>
        <w:tabs>
          <w:tab w:val="left" w:pos="3090"/>
        </w:tabs>
        <w:spacing w:line="276" w:lineRule="auto"/>
        <w:jc w:val="both"/>
        <w:rPr>
          <w:rFonts w:ascii="Arial" w:hAnsi="Arial" w:cs="Arial"/>
          <w:b/>
          <w:sz w:val="20"/>
        </w:rPr>
      </w:pPr>
      <w:r w:rsidRPr="00CA2D33">
        <w:rPr>
          <w:rFonts w:ascii="Arial" w:hAnsi="Arial" w:cs="Arial"/>
          <w:b/>
          <w:sz w:val="20"/>
        </w:rPr>
        <w:t>FLIGHTS WITHOUT ATS FLIGHT PLAN</w:t>
      </w:r>
    </w:p>
    <w:p w14:paraId="5531D58A" w14:textId="77777777" w:rsidR="009663CE" w:rsidRPr="00CA2D33" w:rsidRDefault="009663CE" w:rsidP="009601C2">
      <w:pPr>
        <w:tabs>
          <w:tab w:val="left" w:pos="3090"/>
        </w:tabs>
        <w:spacing w:line="276" w:lineRule="auto"/>
        <w:jc w:val="both"/>
        <w:rPr>
          <w:rFonts w:ascii="Arial" w:hAnsi="Arial" w:cs="Arial"/>
          <w:b/>
          <w:sz w:val="20"/>
        </w:rPr>
      </w:pPr>
    </w:p>
    <w:p w14:paraId="73D9F4CF" w14:textId="77777777" w:rsidR="00CA2D33" w:rsidRPr="00CA2D33" w:rsidRDefault="00CA2D33" w:rsidP="009601C2">
      <w:pPr>
        <w:numPr>
          <w:ilvl w:val="0"/>
          <w:numId w:val="41"/>
        </w:numPr>
        <w:tabs>
          <w:tab w:val="left" w:pos="3090"/>
        </w:tabs>
        <w:spacing w:line="276" w:lineRule="auto"/>
        <w:jc w:val="both"/>
        <w:rPr>
          <w:rFonts w:ascii="Arial" w:hAnsi="Arial" w:cs="Arial"/>
          <w:sz w:val="20"/>
        </w:rPr>
      </w:pPr>
      <w:r w:rsidRPr="00CA2D33">
        <w:rPr>
          <w:rFonts w:ascii="Arial" w:hAnsi="Arial" w:cs="Arial"/>
          <w:sz w:val="20"/>
        </w:rPr>
        <w:t>The operator should nominate a person to be responsible for alerting search and rescue services for flights without submitted ATS flight plans.</w:t>
      </w:r>
    </w:p>
    <w:p w14:paraId="0B91A12A" w14:textId="77777777" w:rsidR="00CA2D33" w:rsidRPr="00CA2D33" w:rsidRDefault="00CA2D33" w:rsidP="009601C2">
      <w:pPr>
        <w:numPr>
          <w:ilvl w:val="0"/>
          <w:numId w:val="41"/>
        </w:numPr>
        <w:tabs>
          <w:tab w:val="left" w:pos="3090"/>
        </w:tabs>
        <w:spacing w:line="276" w:lineRule="auto"/>
        <w:jc w:val="both"/>
        <w:rPr>
          <w:rFonts w:ascii="Arial" w:hAnsi="Arial" w:cs="Arial"/>
          <w:sz w:val="20"/>
        </w:rPr>
      </w:pPr>
      <w:r w:rsidRPr="00CA2D33">
        <w:rPr>
          <w:rFonts w:ascii="Arial" w:hAnsi="Arial" w:cs="Arial"/>
          <w:sz w:val="20"/>
        </w:rPr>
        <w:t>The operator should establish procedures to ensure that the expected route of each flight is communicated to the ground crew, and should:</w:t>
      </w:r>
    </w:p>
    <w:p w14:paraId="6CE07463" w14:textId="77777777" w:rsidR="00CA2D33" w:rsidRPr="00CA2D33" w:rsidRDefault="00CA2D33" w:rsidP="009601C2">
      <w:pPr>
        <w:numPr>
          <w:ilvl w:val="1"/>
          <w:numId w:val="41"/>
        </w:numPr>
        <w:tabs>
          <w:tab w:val="left" w:pos="3090"/>
        </w:tabs>
        <w:spacing w:line="276" w:lineRule="auto"/>
        <w:jc w:val="both"/>
        <w:rPr>
          <w:rFonts w:ascii="Arial" w:hAnsi="Arial" w:cs="Arial"/>
          <w:sz w:val="20"/>
        </w:rPr>
      </w:pPr>
      <w:r w:rsidRPr="00CA2D33">
        <w:rPr>
          <w:rFonts w:ascii="Arial" w:hAnsi="Arial" w:cs="Arial"/>
          <w:sz w:val="20"/>
        </w:rPr>
        <w:t xml:space="preserve">provide the nominated person with at least the information required to be included in a </w:t>
      </w:r>
      <w:r w:rsidRPr="00CA2D33">
        <w:rPr>
          <w:rFonts w:ascii="Arial" w:hAnsi="Arial" w:cs="Arial"/>
          <w:sz w:val="20"/>
        </w:rPr>
        <w:lastRenderedPageBreak/>
        <w:t>visual flight rules (VFR) flight plan;</w:t>
      </w:r>
    </w:p>
    <w:p w14:paraId="79DDF9A4" w14:textId="77777777" w:rsidR="00CA2D33" w:rsidRPr="00CA2D33" w:rsidRDefault="00CA2D33" w:rsidP="009601C2">
      <w:pPr>
        <w:numPr>
          <w:ilvl w:val="1"/>
          <w:numId w:val="41"/>
        </w:numPr>
        <w:tabs>
          <w:tab w:val="left" w:pos="3090"/>
        </w:tabs>
        <w:spacing w:line="276" w:lineRule="auto"/>
        <w:jc w:val="both"/>
        <w:rPr>
          <w:rFonts w:ascii="Arial" w:hAnsi="Arial" w:cs="Arial"/>
          <w:sz w:val="20"/>
        </w:rPr>
      </w:pPr>
      <w:r w:rsidRPr="00CA2D33">
        <w:rPr>
          <w:rFonts w:ascii="Arial" w:hAnsi="Arial" w:cs="Arial"/>
          <w:sz w:val="20"/>
        </w:rPr>
        <w:t>notify the appropriate ATS or search and rescue facility when a balloon is overdue or missing; and</w:t>
      </w:r>
    </w:p>
    <w:p w14:paraId="53BEF633" w14:textId="77777777" w:rsidR="00CA2D33" w:rsidRDefault="00CA2D33" w:rsidP="009601C2">
      <w:pPr>
        <w:numPr>
          <w:ilvl w:val="1"/>
          <w:numId w:val="41"/>
        </w:numPr>
        <w:tabs>
          <w:tab w:val="left" w:pos="3090"/>
        </w:tabs>
        <w:spacing w:line="276" w:lineRule="auto"/>
        <w:jc w:val="both"/>
        <w:rPr>
          <w:rFonts w:ascii="Arial" w:hAnsi="Arial" w:cs="Arial"/>
          <w:sz w:val="20"/>
        </w:rPr>
      </w:pPr>
      <w:r w:rsidRPr="00CA2D33">
        <w:rPr>
          <w:rFonts w:ascii="Arial" w:hAnsi="Arial" w:cs="Arial"/>
          <w:sz w:val="20"/>
        </w:rPr>
        <w:t>ensure that the information is retained at a designated place until the completion of the flight.</w:t>
      </w:r>
    </w:p>
    <w:p w14:paraId="5FF7D279" w14:textId="77777777" w:rsidR="0097783F" w:rsidRPr="00CA2D33" w:rsidRDefault="0097783F" w:rsidP="009601C2">
      <w:pPr>
        <w:tabs>
          <w:tab w:val="left" w:pos="3090"/>
        </w:tabs>
        <w:spacing w:line="276" w:lineRule="auto"/>
        <w:ind w:left="1273"/>
        <w:jc w:val="both"/>
        <w:rPr>
          <w:rFonts w:ascii="Arial" w:hAnsi="Arial" w:cs="Arial"/>
          <w:sz w:val="20"/>
        </w:rPr>
      </w:pPr>
    </w:p>
    <w:p w14:paraId="415264E4" w14:textId="77777777" w:rsidR="0097783F" w:rsidRPr="0097783F" w:rsidRDefault="0097783F" w:rsidP="009601C2">
      <w:pPr>
        <w:pStyle w:val="Heading4"/>
        <w:shd w:val="clear" w:color="auto" w:fill="2F5496" w:themeFill="accent5" w:themeFillShade="BF"/>
        <w:spacing w:line="276" w:lineRule="auto"/>
        <w:rPr>
          <w:rFonts w:ascii="Arial" w:hAnsi="Arial"/>
          <w:b/>
          <w:i w:val="0"/>
          <w:color w:val="FFFFFF" w:themeColor="background1"/>
          <w:sz w:val="24"/>
        </w:rPr>
      </w:pPr>
      <w:bookmarkStart w:id="145" w:name="BOP.BAS.130_Flight_preparation"/>
      <w:bookmarkStart w:id="146" w:name="_bookmark72"/>
      <w:bookmarkStart w:id="147" w:name="_Toc153137237"/>
      <w:bookmarkEnd w:id="145"/>
      <w:bookmarkEnd w:id="146"/>
      <w:r w:rsidRPr="0097783F">
        <w:rPr>
          <w:rFonts w:ascii="Arial" w:hAnsi="Arial"/>
          <w:b/>
          <w:i w:val="0"/>
          <w:color w:val="FFFFFF" w:themeColor="background1"/>
          <w:sz w:val="24"/>
        </w:rPr>
        <w:t>BOP.BAS.130 Flight preparation</w:t>
      </w:r>
      <w:bookmarkEnd w:id="147"/>
    </w:p>
    <w:p w14:paraId="10F55F1D" w14:textId="77777777" w:rsidR="00CA2D33" w:rsidRDefault="00CA2D33" w:rsidP="009601C2">
      <w:pPr>
        <w:tabs>
          <w:tab w:val="left" w:pos="3090"/>
        </w:tabs>
        <w:spacing w:line="276" w:lineRule="auto"/>
        <w:jc w:val="both"/>
        <w:rPr>
          <w:rFonts w:ascii="Arial" w:hAnsi="Arial" w:cs="Arial"/>
          <w:sz w:val="20"/>
        </w:rPr>
      </w:pPr>
    </w:p>
    <w:p w14:paraId="304E9EAC" w14:textId="77777777" w:rsidR="0097783F" w:rsidRPr="0097783F" w:rsidRDefault="0097783F" w:rsidP="009601C2">
      <w:pPr>
        <w:tabs>
          <w:tab w:val="left" w:pos="3090"/>
        </w:tabs>
        <w:spacing w:line="276" w:lineRule="auto"/>
        <w:jc w:val="both"/>
        <w:rPr>
          <w:rFonts w:ascii="Arial" w:hAnsi="Arial" w:cs="Arial"/>
          <w:sz w:val="20"/>
        </w:rPr>
      </w:pPr>
      <w:r w:rsidRPr="0097783F">
        <w:rPr>
          <w:rFonts w:ascii="Arial" w:hAnsi="Arial" w:cs="Arial"/>
          <w:sz w:val="20"/>
        </w:rPr>
        <w:t>Before commencing the flight, the pilot-in-command shall be familiar with the available meteorological and aeronautical information appropriate to the intended flight which includes both of the following:</w:t>
      </w:r>
    </w:p>
    <w:p w14:paraId="5329FCBB" w14:textId="77777777" w:rsidR="0097783F" w:rsidRPr="0097783F" w:rsidRDefault="0097783F" w:rsidP="009601C2">
      <w:pPr>
        <w:numPr>
          <w:ilvl w:val="0"/>
          <w:numId w:val="42"/>
        </w:numPr>
        <w:tabs>
          <w:tab w:val="left" w:pos="3090"/>
        </w:tabs>
        <w:spacing w:line="276" w:lineRule="auto"/>
        <w:jc w:val="both"/>
        <w:rPr>
          <w:rFonts w:ascii="Arial" w:hAnsi="Arial" w:cs="Arial"/>
          <w:sz w:val="20"/>
        </w:rPr>
      </w:pPr>
      <w:r w:rsidRPr="0097783F">
        <w:rPr>
          <w:rFonts w:ascii="Arial" w:hAnsi="Arial" w:cs="Arial"/>
          <w:sz w:val="20"/>
        </w:rPr>
        <w:t>a study of available current weather reports and forecasts;</w:t>
      </w:r>
    </w:p>
    <w:p w14:paraId="0CD18062" w14:textId="77777777" w:rsidR="0097783F" w:rsidRPr="0097783F" w:rsidRDefault="0097783F" w:rsidP="009601C2">
      <w:pPr>
        <w:numPr>
          <w:ilvl w:val="0"/>
          <w:numId w:val="42"/>
        </w:numPr>
        <w:tabs>
          <w:tab w:val="left" w:pos="3090"/>
        </w:tabs>
        <w:spacing w:line="276" w:lineRule="auto"/>
        <w:jc w:val="both"/>
        <w:rPr>
          <w:rFonts w:ascii="Arial" w:hAnsi="Arial" w:cs="Arial"/>
          <w:sz w:val="20"/>
        </w:rPr>
      </w:pPr>
      <w:r w:rsidRPr="0097783F">
        <w:rPr>
          <w:rFonts w:ascii="Arial" w:hAnsi="Arial" w:cs="Arial"/>
          <w:sz w:val="20"/>
        </w:rPr>
        <w:t>the planning of an alternative course of action to provide for the eventuality that the flight cannot be completed as planned.</w:t>
      </w:r>
    </w:p>
    <w:p w14:paraId="5C36D909" w14:textId="77777777" w:rsidR="0097783F" w:rsidRDefault="0097783F" w:rsidP="009601C2">
      <w:pPr>
        <w:tabs>
          <w:tab w:val="left" w:pos="3090"/>
        </w:tabs>
        <w:spacing w:line="276" w:lineRule="auto"/>
        <w:jc w:val="both"/>
        <w:rPr>
          <w:rFonts w:ascii="Arial" w:hAnsi="Arial" w:cs="Arial"/>
          <w:sz w:val="20"/>
        </w:rPr>
      </w:pPr>
    </w:p>
    <w:p w14:paraId="3F311944" w14:textId="77777777" w:rsidR="0097783F" w:rsidRPr="0097783F" w:rsidRDefault="0097783F" w:rsidP="009601C2">
      <w:pPr>
        <w:pStyle w:val="Heading4"/>
        <w:shd w:val="clear" w:color="auto" w:fill="2F5496" w:themeFill="accent5" w:themeFillShade="BF"/>
        <w:spacing w:line="276" w:lineRule="auto"/>
        <w:rPr>
          <w:rFonts w:ascii="Arial" w:hAnsi="Arial"/>
          <w:b/>
          <w:i w:val="0"/>
          <w:color w:val="FFFFFF" w:themeColor="background1"/>
          <w:sz w:val="24"/>
        </w:rPr>
      </w:pPr>
      <w:bookmarkStart w:id="148" w:name="BOP.BAS.135_Smoking_on_board"/>
      <w:bookmarkStart w:id="149" w:name="_bookmark73"/>
      <w:bookmarkStart w:id="150" w:name="_Toc153137238"/>
      <w:bookmarkEnd w:id="148"/>
      <w:bookmarkEnd w:id="149"/>
      <w:r w:rsidRPr="0097783F">
        <w:rPr>
          <w:rFonts w:ascii="Arial" w:hAnsi="Arial"/>
          <w:b/>
          <w:i w:val="0"/>
          <w:color w:val="FFFFFF" w:themeColor="background1"/>
          <w:sz w:val="24"/>
        </w:rPr>
        <w:t>BOP.BAS.135 Smoking on board</w:t>
      </w:r>
      <w:bookmarkEnd w:id="150"/>
    </w:p>
    <w:p w14:paraId="59A32E3A" w14:textId="77777777" w:rsidR="0097783F" w:rsidRDefault="0097783F" w:rsidP="009601C2">
      <w:pPr>
        <w:tabs>
          <w:tab w:val="left" w:pos="3090"/>
        </w:tabs>
        <w:spacing w:line="276" w:lineRule="auto"/>
        <w:jc w:val="both"/>
        <w:rPr>
          <w:rFonts w:ascii="Arial" w:hAnsi="Arial" w:cs="Arial"/>
          <w:sz w:val="20"/>
        </w:rPr>
      </w:pPr>
    </w:p>
    <w:p w14:paraId="64314FD1" w14:textId="77777777" w:rsidR="0097783F" w:rsidRPr="0097783F" w:rsidRDefault="0097783F" w:rsidP="009601C2">
      <w:pPr>
        <w:tabs>
          <w:tab w:val="left" w:pos="3090"/>
        </w:tabs>
        <w:spacing w:line="276" w:lineRule="auto"/>
        <w:jc w:val="both"/>
        <w:rPr>
          <w:rFonts w:ascii="Arial" w:hAnsi="Arial" w:cs="Arial"/>
          <w:sz w:val="20"/>
        </w:rPr>
      </w:pPr>
      <w:r w:rsidRPr="0097783F">
        <w:rPr>
          <w:rFonts w:ascii="Arial" w:hAnsi="Arial" w:cs="Arial"/>
          <w:sz w:val="20"/>
        </w:rPr>
        <w:t>No person shall smoke on board a balloon during any phase of flight or within the direct vicinity of a balloon.</w:t>
      </w:r>
    </w:p>
    <w:p w14:paraId="52D00294" w14:textId="77777777" w:rsidR="0097783F" w:rsidRDefault="0097783F" w:rsidP="009601C2">
      <w:pPr>
        <w:tabs>
          <w:tab w:val="left" w:pos="3090"/>
        </w:tabs>
        <w:spacing w:line="276" w:lineRule="auto"/>
        <w:jc w:val="both"/>
        <w:rPr>
          <w:rFonts w:ascii="Arial" w:hAnsi="Arial" w:cs="Arial"/>
          <w:sz w:val="20"/>
        </w:rPr>
      </w:pPr>
    </w:p>
    <w:p w14:paraId="10FFD90F" w14:textId="77777777" w:rsidR="0097783F" w:rsidRPr="0097783F" w:rsidRDefault="0097783F" w:rsidP="009601C2">
      <w:pPr>
        <w:pStyle w:val="Heading4"/>
        <w:shd w:val="clear" w:color="auto" w:fill="2F5496" w:themeFill="accent5" w:themeFillShade="BF"/>
        <w:spacing w:line="276" w:lineRule="auto"/>
        <w:rPr>
          <w:rFonts w:ascii="Arial" w:hAnsi="Arial"/>
          <w:b/>
          <w:i w:val="0"/>
          <w:color w:val="FFFFFF" w:themeColor="background1"/>
          <w:sz w:val="24"/>
        </w:rPr>
      </w:pPr>
      <w:bookmarkStart w:id="151" w:name="BOP.BAS.140_Carriage_and_use_of_weapons"/>
      <w:bookmarkStart w:id="152" w:name="_bookmark74"/>
      <w:bookmarkStart w:id="153" w:name="_Toc153137239"/>
      <w:bookmarkEnd w:id="151"/>
      <w:bookmarkEnd w:id="152"/>
      <w:r w:rsidRPr="0097783F">
        <w:rPr>
          <w:rFonts w:ascii="Arial" w:hAnsi="Arial"/>
          <w:b/>
          <w:i w:val="0"/>
          <w:color w:val="FFFFFF" w:themeColor="background1"/>
          <w:sz w:val="24"/>
        </w:rPr>
        <w:t>BOP.BAS.140 Carriage and use of weapons</w:t>
      </w:r>
      <w:bookmarkEnd w:id="153"/>
    </w:p>
    <w:p w14:paraId="4236E080" w14:textId="77777777" w:rsidR="0097783F" w:rsidRDefault="0097783F" w:rsidP="009601C2">
      <w:pPr>
        <w:tabs>
          <w:tab w:val="left" w:pos="3090"/>
        </w:tabs>
        <w:spacing w:line="276" w:lineRule="auto"/>
        <w:jc w:val="both"/>
        <w:rPr>
          <w:rFonts w:ascii="Arial" w:hAnsi="Arial" w:cs="Arial"/>
          <w:sz w:val="20"/>
        </w:rPr>
      </w:pPr>
    </w:p>
    <w:p w14:paraId="4E4F765A" w14:textId="77777777" w:rsidR="0097783F" w:rsidRPr="0097783F" w:rsidRDefault="0097783F" w:rsidP="009601C2">
      <w:pPr>
        <w:numPr>
          <w:ilvl w:val="0"/>
          <w:numId w:val="43"/>
        </w:numPr>
        <w:tabs>
          <w:tab w:val="left" w:pos="3090"/>
        </w:tabs>
        <w:spacing w:line="276" w:lineRule="auto"/>
        <w:jc w:val="both"/>
        <w:rPr>
          <w:rFonts w:ascii="Arial" w:hAnsi="Arial" w:cs="Arial"/>
          <w:sz w:val="20"/>
        </w:rPr>
      </w:pPr>
      <w:r w:rsidRPr="0097783F">
        <w:rPr>
          <w:rFonts w:ascii="Arial" w:hAnsi="Arial" w:cs="Arial"/>
          <w:sz w:val="20"/>
        </w:rPr>
        <w:t>The pilot-in-command shall ensure that no person carries and uses a weapon on board the balloon.</w:t>
      </w:r>
    </w:p>
    <w:p w14:paraId="597C2B18" w14:textId="77777777" w:rsidR="0097783F" w:rsidRDefault="0097783F" w:rsidP="009601C2">
      <w:pPr>
        <w:numPr>
          <w:ilvl w:val="0"/>
          <w:numId w:val="43"/>
        </w:numPr>
        <w:tabs>
          <w:tab w:val="left" w:pos="3090"/>
        </w:tabs>
        <w:spacing w:line="276" w:lineRule="auto"/>
        <w:jc w:val="both"/>
        <w:rPr>
          <w:rFonts w:ascii="Arial" w:hAnsi="Arial" w:cs="Arial"/>
          <w:sz w:val="20"/>
        </w:rPr>
      </w:pPr>
      <w:r w:rsidRPr="0097783F">
        <w:rPr>
          <w:rFonts w:ascii="Arial" w:hAnsi="Arial" w:cs="Arial"/>
          <w:sz w:val="20"/>
        </w:rPr>
        <w:t>By way of derogation from point (a), the pilot-in-command may permit the carriage and use of weapons on board the balloon when required for the safety of the crew members or the passengers. In such cases the pilot-in- command shall ensure that the weapons are secured when not in use.</w:t>
      </w:r>
    </w:p>
    <w:p w14:paraId="0B8E0DBD" w14:textId="77777777" w:rsidR="0097783F" w:rsidRPr="0097783F" w:rsidRDefault="0097783F" w:rsidP="009601C2">
      <w:pPr>
        <w:tabs>
          <w:tab w:val="left" w:pos="3090"/>
        </w:tabs>
        <w:spacing w:line="276" w:lineRule="auto"/>
        <w:ind w:left="706"/>
        <w:jc w:val="both"/>
        <w:rPr>
          <w:rFonts w:ascii="Arial" w:hAnsi="Arial" w:cs="Arial"/>
          <w:sz w:val="20"/>
        </w:rPr>
      </w:pPr>
    </w:p>
    <w:p w14:paraId="63B1D337" w14:textId="77777777" w:rsidR="0097783F" w:rsidRPr="0097783F" w:rsidRDefault="0097783F" w:rsidP="009601C2">
      <w:pPr>
        <w:pStyle w:val="Heading4"/>
        <w:shd w:val="clear" w:color="auto" w:fill="2F5496" w:themeFill="accent5" w:themeFillShade="BF"/>
        <w:spacing w:line="276" w:lineRule="auto"/>
        <w:rPr>
          <w:rFonts w:ascii="Arial" w:hAnsi="Arial"/>
          <w:b/>
          <w:i w:val="0"/>
          <w:color w:val="FFFFFF" w:themeColor="background1"/>
          <w:sz w:val="24"/>
        </w:rPr>
      </w:pPr>
      <w:bookmarkStart w:id="154" w:name="BOP.BAS.145_Meteorological_conditions"/>
      <w:bookmarkStart w:id="155" w:name="_bookmark75"/>
      <w:bookmarkStart w:id="156" w:name="_Toc153137240"/>
      <w:bookmarkEnd w:id="154"/>
      <w:bookmarkEnd w:id="155"/>
      <w:r w:rsidRPr="0097783F">
        <w:rPr>
          <w:rFonts w:ascii="Arial" w:hAnsi="Arial"/>
          <w:b/>
          <w:i w:val="0"/>
          <w:color w:val="FFFFFF" w:themeColor="background1"/>
          <w:sz w:val="24"/>
        </w:rPr>
        <w:t>BOP.BAS.145 Meteorological conditions</w:t>
      </w:r>
      <w:bookmarkEnd w:id="156"/>
    </w:p>
    <w:p w14:paraId="3800D0BA" w14:textId="77777777" w:rsidR="0097783F" w:rsidRDefault="0097783F" w:rsidP="009601C2">
      <w:pPr>
        <w:tabs>
          <w:tab w:val="left" w:pos="3090"/>
        </w:tabs>
        <w:spacing w:line="276" w:lineRule="auto"/>
        <w:jc w:val="both"/>
        <w:rPr>
          <w:rFonts w:ascii="Arial" w:hAnsi="Arial" w:cs="Arial"/>
          <w:sz w:val="20"/>
        </w:rPr>
      </w:pPr>
    </w:p>
    <w:p w14:paraId="1254510E" w14:textId="77777777" w:rsidR="0097783F" w:rsidRPr="0097783F" w:rsidRDefault="0097783F" w:rsidP="009601C2">
      <w:pPr>
        <w:tabs>
          <w:tab w:val="left" w:pos="3090"/>
        </w:tabs>
        <w:spacing w:line="276" w:lineRule="auto"/>
        <w:jc w:val="both"/>
        <w:rPr>
          <w:rFonts w:ascii="Arial" w:hAnsi="Arial" w:cs="Arial"/>
          <w:sz w:val="20"/>
        </w:rPr>
      </w:pPr>
      <w:r w:rsidRPr="0097783F">
        <w:rPr>
          <w:rFonts w:ascii="Arial" w:hAnsi="Arial" w:cs="Arial"/>
          <w:sz w:val="20"/>
        </w:rPr>
        <w:t>The pilot-in-command shall only commence or continue a VFR flight if the latest available meteorological information indicates that the weather conditions along the route and at the intended destination at the estimated time of use are as follows:</w:t>
      </w:r>
    </w:p>
    <w:p w14:paraId="47B645A0" w14:textId="77777777" w:rsidR="0097783F" w:rsidRPr="0097783F" w:rsidRDefault="0097783F" w:rsidP="009601C2">
      <w:pPr>
        <w:numPr>
          <w:ilvl w:val="0"/>
          <w:numId w:val="44"/>
        </w:numPr>
        <w:tabs>
          <w:tab w:val="left" w:pos="3090"/>
        </w:tabs>
        <w:spacing w:line="276" w:lineRule="auto"/>
        <w:jc w:val="both"/>
        <w:rPr>
          <w:rFonts w:ascii="Arial" w:hAnsi="Arial" w:cs="Arial"/>
          <w:sz w:val="20"/>
        </w:rPr>
      </w:pPr>
      <w:r w:rsidRPr="0097783F">
        <w:rPr>
          <w:rFonts w:ascii="Arial" w:hAnsi="Arial" w:cs="Arial"/>
          <w:sz w:val="20"/>
        </w:rPr>
        <w:t>at or above the applicable VFR operating minima; and</w:t>
      </w:r>
    </w:p>
    <w:p w14:paraId="3699E62A" w14:textId="77777777" w:rsidR="0097783F" w:rsidRPr="0097783F" w:rsidRDefault="0097783F" w:rsidP="009601C2">
      <w:pPr>
        <w:numPr>
          <w:ilvl w:val="0"/>
          <w:numId w:val="44"/>
        </w:numPr>
        <w:tabs>
          <w:tab w:val="left" w:pos="3090"/>
        </w:tabs>
        <w:spacing w:line="276" w:lineRule="auto"/>
        <w:jc w:val="both"/>
        <w:rPr>
          <w:rFonts w:ascii="Arial" w:hAnsi="Arial" w:cs="Arial"/>
          <w:sz w:val="20"/>
        </w:rPr>
      </w:pPr>
      <w:r w:rsidRPr="0097783F">
        <w:rPr>
          <w:rFonts w:ascii="Arial" w:hAnsi="Arial" w:cs="Arial"/>
          <w:sz w:val="20"/>
        </w:rPr>
        <w:t>within the meteorological limitations specified in the AFM.</w:t>
      </w:r>
    </w:p>
    <w:p w14:paraId="491FA755" w14:textId="77777777" w:rsidR="0097783F" w:rsidRDefault="0097783F" w:rsidP="009601C2">
      <w:pPr>
        <w:tabs>
          <w:tab w:val="left" w:pos="3090"/>
        </w:tabs>
        <w:spacing w:line="276" w:lineRule="auto"/>
        <w:jc w:val="both"/>
        <w:rPr>
          <w:rFonts w:ascii="Arial" w:hAnsi="Arial" w:cs="Arial"/>
          <w:sz w:val="20"/>
        </w:rPr>
      </w:pPr>
    </w:p>
    <w:p w14:paraId="5E634C0E" w14:textId="77777777" w:rsidR="0097783F" w:rsidRPr="0097783F" w:rsidRDefault="0097783F" w:rsidP="009601C2">
      <w:pPr>
        <w:pStyle w:val="Heading4"/>
        <w:shd w:val="clear" w:color="auto" w:fill="2F5496" w:themeFill="accent5" w:themeFillShade="BF"/>
        <w:spacing w:line="276" w:lineRule="auto"/>
        <w:rPr>
          <w:rFonts w:ascii="Arial" w:hAnsi="Arial"/>
          <w:b/>
          <w:i w:val="0"/>
          <w:color w:val="FFFFFF" w:themeColor="background1"/>
          <w:sz w:val="24"/>
        </w:rPr>
      </w:pPr>
      <w:bookmarkStart w:id="157" w:name="BOP.BAS.150_Take-off_conditions"/>
      <w:bookmarkStart w:id="158" w:name="_bookmark76"/>
      <w:bookmarkStart w:id="159" w:name="_Toc153137241"/>
      <w:bookmarkEnd w:id="157"/>
      <w:bookmarkEnd w:id="158"/>
      <w:r w:rsidRPr="0097783F">
        <w:rPr>
          <w:rFonts w:ascii="Arial" w:hAnsi="Arial"/>
          <w:b/>
          <w:i w:val="0"/>
          <w:color w:val="FFFFFF" w:themeColor="background1"/>
          <w:sz w:val="24"/>
        </w:rPr>
        <w:t>BOP.BAS.150 Take-off conditions</w:t>
      </w:r>
      <w:bookmarkEnd w:id="159"/>
    </w:p>
    <w:p w14:paraId="2269AFAC" w14:textId="77777777" w:rsidR="0097783F" w:rsidRDefault="0097783F" w:rsidP="009601C2">
      <w:pPr>
        <w:tabs>
          <w:tab w:val="left" w:pos="3090"/>
        </w:tabs>
        <w:spacing w:line="276" w:lineRule="auto"/>
        <w:jc w:val="both"/>
        <w:rPr>
          <w:rFonts w:ascii="Arial" w:hAnsi="Arial" w:cs="Arial"/>
          <w:sz w:val="20"/>
        </w:rPr>
      </w:pPr>
    </w:p>
    <w:p w14:paraId="4B851341" w14:textId="77777777" w:rsidR="0097783F" w:rsidRPr="0097783F" w:rsidRDefault="0097783F" w:rsidP="009601C2">
      <w:pPr>
        <w:tabs>
          <w:tab w:val="left" w:pos="3090"/>
        </w:tabs>
        <w:spacing w:line="276" w:lineRule="auto"/>
        <w:jc w:val="both"/>
        <w:rPr>
          <w:rFonts w:ascii="Arial" w:hAnsi="Arial" w:cs="Arial"/>
          <w:sz w:val="20"/>
        </w:rPr>
      </w:pPr>
      <w:r w:rsidRPr="0097783F">
        <w:rPr>
          <w:rFonts w:ascii="Arial" w:hAnsi="Arial" w:cs="Arial"/>
          <w:sz w:val="20"/>
        </w:rPr>
        <w:t>The pilot-in-command shall be satisfied before commencing take-off of the balloon that, according to the latest available information, the weather at the operating site permits a safe take-off and departure.</w:t>
      </w:r>
    </w:p>
    <w:p w14:paraId="4B40802D" w14:textId="77777777" w:rsidR="0097783F" w:rsidRDefault="0097783F" w:rsidP="009601C2">
      <w:pPr>
        <w:tabs>
          <w:tab w:val="left" w:pos="3090"/>
        </w:tabs>
        <w:spacing w:line="276" w:lineRule="auto"/>
        <w:jc w:val="both"/>
        <w:rPr>
          <w:rFonts w:ascii="Arial" w:hAnsi="Arial" w:cs="Arial"/>
          <w:sz w:val="20"/>
        </w:rPr>
      </w:pPr>
    </w:p>
    <w:p w14:paraId="048216D8" w14:textId="77777777" w:rsidR="0097783F" w:rsidRPr="0097783F" w:rsidRDefault="0097783F" w:rsidP="009601C2">
      <w:pPr>
        <w:keepNext/>
        <w:keepLines/>
        <w:shd w:val="clear" w:color="auto" w:fill="ED7D31"/>
        <w:spacing w:before="160" w:after="120" w:line="276" w:lineRule="auto"/>
        <w:outlineLvl w:val="4"/>
        <w:rPr>
          <w:rFonts w:ascii="Arial" w:eastAsia="Times New Roman" w:hAnsi="Arial" w:cs="Times New Roman"/>
          <w:b/>
          <w:color w:val="FFFFFF"/>
          <w:sz w:val="24"/>
        </w:rPr>
      </w:pPr>
      <w:bookmarkStart w:id="160" w:name="AMC1_BOP.BAS.150_Take-off_conditions"/>
      <w:bookmarkStart w:id="161" w:name="_bookmark77"/>
      <w:bookmarkStart w:id="162" w:name="_Toc153137242"/>
      <w:bookmarkEnd w:id="160"/>
      <w:bookmarkEnd w:id="161"/>
      <w:r w:rsidRPr="0097783F">
        <w:rPr>
          <w:rFonts w:ascii="Arial" w:eastAsia="Times New Roman" w:hAnsi="Arial" w:cs="Times New Roman"/>
          <w:b/>
          <w:color w:val="FFFFFF"/>
          <w:sz w:val="24"/>
        </w:rPr>
        <w:t>AMC1 BOP.BAS.150 Take-off conditions</w:t>
      </w:r>
      <w:bookmarkEnd w:id="162"/>
    </w:p>
    <w:p w14:paraId="26B18888" w14:textId="5E5CA75C" w:rsidR="0097783F" w:rsidRDefault="0097783F" w:rsidP="009601C2">
      <w:pPr>
        <w:tabs>
          <w:tab w:val="left" w:pos="3090"/>
        </w:tabs>
        <w:spacing w:line="276" w:lineRule="auto"/>
        <w:jc w:val="both"/>
        <w:rPr>
          <w:rFonts w:ascii="Arial" w:hAnsi="Arial" w:cs="Arial"/>
          <w:b/>
          <w:sz w:val="20"/>
        </w:rPr>
      </w:pPr>
      <w:r w:rsidRPr="0097783F">
        <w:rPr>
          <w:rFonts w:ascii="Arial" w:hAnsi="Arial" w:cs="Arial"/>
          <w:b/>
          <w:sz w:val="20"/>
        </w:rPr>
        <w:t>FACILITIES AT THE TAKE-OFF SITE</w:t>
      </w:r>
    </w:p>
    <w:p w14:paraId="238D5D19" w14:textId="77777777" w:rsidR="00C8369C" w:rsidRPr="00C8369C" w:rsidRDefault="00C8369C" w:rsidP="009601C2">
      <w:pPr>
        <w:tabs>
          <w:tab w:val="left" w:pos="3090"/>
        </w:tabs>
        <w:spacing w:line="276" w:lineRule="auto"/>
        <w:jc w:val="both"/>
        <w:rPr>
          <w:rFonts w:ascii="Arial" w:hAnsi="Arial" w:cs="Arial"/>
          <w:b/>
          <w:sz w:val="20"/>
        </w:rPr>
      </w:pPr>
    </w:p>
    <w:p w14:paraId="03CF90E4" w14:textId="77777777" w:rsidR="0097783F" w:rsidRPr="0097783F" w:rsidRDefault="0097783F" w:rsidP="009601C2">
      <w:pPr>
        <w:tabs>
          <w:tab w:val="left" w:pos="3090"/>
        </w:tabs>
        <w:spacing w:line="276" w:lineRule="auto"/>
        <w:jc w:val="both"/>
        <w:rPr>
          <w:rFonts w:ascii="Arial" w:hAnsi="Arial" w:cs="Arial"/>
          <w:sz w:val="20"/>
        </w:rPr>
      </w:pPr>
      <w:r w:rsidRPr="0097783F">
        <w:rPr>
          <w:rFonts w:ascii="Arial" w:hAnsi="Arial" w:cs="Arial"/>
          <w:sz w:val="20"/>
        </w:rPr>
        <w:t>At the balloon take-off site a means of assessing wind direction and wind speed should be available to the pilot-in-command.</w:t>
      </w:r>
    </w:p>
    <w:p w14:paraId="4CF6393E" w14:textId="77777777" w:rsidR="0097783F" w:rsidRDefault="0097783F" w:rsidP="009601C2">
      <w:pPr>
        <w:tabs>
          <w:tab w:val="left" w:pos="3090"/>
        </w:tabs>
        <w:spacing w:line="276" w:lineRule="auto"/>
        <w:jc w:val="both"/>
        <w:rPr>
          <w:rFonts w:ascii="Arial" w:hAnsi="Arial" w:cs="Arial"/>
          <w:sz w:val="20"/>
        </w:rPr>
      </w:pPr>
    </w:p>
    <w:p w14:paraId="1CFEE521" w14:textId="77777777" w:rsidR="009663CE" w:rsidRPr="009663CE" w:rsidRDefault="009663CE" w:rsidP="009601C2">
      <w:pPr>
        <w:pStyle w:val="Heading4"/>
        <w:shd w:val="clear" w:color="auto" w:fill="2F5496" w:themeFill="accent5" w:themeFillShade="BF"/>
        <w:spacing w:line="276" w:lineRule="auto"/>
        <w:rPr>
          <w:rFonts w:ascii="Arial" w:hAnsi="Arial"/>
          <w:b/>
          <w:i w:val="0"/>
          <w:color w:val="FFFFFF" w:themeColor="background1"/>
          <w:sz w:val="24"/>
        </w:rPr>
      </w:pPr>
      <w:bookmarkStart w:id="163" w:name="BOP.BAS.155_Approach_and_landing_conditi"/>
      <w:bookmarkStart w:id="164" w:name="_bookmark78"/>
      <w:bookmarkStart w:id="165" w:name="_Toc153137243"/>
      <w:bookmarkEnd w:id="163"/>
      <w:bookmarkEnd w:id="164"/>
      <w:r w:rsidRPr="009663CE">
        <w:rPr>
          <w:rFonts w:ascii="Arial" w:hAnsi="Arial"/>
          <w:b/>
          <w:i w:val="0"/>
          <w:color w:val="FFFFFF" w:themeColor="background1"/>
          <w:sz w:val="24"/>
        </w:rPr>
        <w:t>BOP.BAS.155 Approach and landing conditions</w:t>
      </w:r>
      <w:bookmarkEnd w:id="165"/>
    </w:p>
    <w:p w14:paraId="79A8E226" w14:textId="77777777" w:rsidR="009663CE" w:rsidRDefault="009663CE" w:rsidP="009601C2">
      <w:pPr>
        <w:tabs>
          <w:tab w:val="left" w:pos="3090"/>
        </w:tabs>
        <w:spacing w:line="276" w:lineRule="auto"/>
        <w:jc w:val="both"/>
        <w:rPr>
          <w:rFonts w:ascii="Arial" w:hAnsi="Arial" w:cs="Arial"/>
          <w:sz w:val="20"/>
        </w:rPr>
      </w:pPr>
    </w:p>
    <w:p w14:paraId="5EF8D0BA" w14:textId="77777777" w:rsidR="009663CE" w:rsidRPr="009663CE" w:rsidRDefault="009663CE" w:rsidP="009601C2">
      <w:pPr>
        <w:tabs>
          <w:tab w:val="left" w:pos="3090"/>
        </w:tabs>
        <w:spacing w:line="276" w:lineRule="auto"/>
        <w:jc w:val="both"/>
        <w:rPr>
          <w:rFonts w:ascii="Arial" w:hAnsi="Arial" w:cs="Arial"/>
          <w:sz w:val="20"/>
        </w:rPr>
      </w:pPr>
      <w:r w:rsidRPr="009663CE">
        <w:rPr>
          <w:rFonts w:ascii="Arial" w:hAnsi="Arial" w:cs="Arial"/>
          <w:sz w:val="20"/>
        </w:rPr>
        <w:t>Except in emergency situations, the pilot-in-command shall be satisfied before commencing an approach to land that, according to the latest available information, the conditions at the intended operating site permit a safe approach and landing.</w:t>
      </w:r>
    </w:p>
    <w:p w14:paraId="0A6C5268" w14:textId="77777777" w:rsidR="0097783F" w:rsidRDefault="0097783F" w:rsidP="009601C2">
      <w:pPr>
        <w:tabs>
          <w:tab w:val="left" w:pos="3090"/>
        </w:tabs>
        <w:spacing w:line="276" w:lineRule="auto"/>
        <w:jc w:val="both"/>
        <w:rPr>
          <w:rFonts w:ascii="Arial" w:hAnsi="Arial" w:cs="Arial"/>
          <w:sz w:val="20"/>
        </w:rPr>
      </w:pPr>
    </w:p>
    <w:p w14:paraId="78A2034B" w14:textId="77777777" w:rsidR="009663CE" w:rsidRPr="009663CE" w:rsidRDefault="009663CE" w:rsidP="009601C2">
      <w:pPr>
        <w:pStyle w:val="Heading4"/>
        <w:shd w:val="clear" w:color="auto" w:fill="2F5496" w:themeFill="accent5" w:themeFillShade="BF"/>
        <w:spacing w:line="276" w:lineRule="auto"/>
        <w:rPr>
          <w:rFonts w:ascii="Arial" w:hAnsi="Arial"/>
          <w:b/>
          <w:i w:val="0"/>
          <w:color w:val="FFFFFF" w:themeColor="background1"/>
          <w:sz w:val="24"/>
        </w:rPr>
      </w:pPr>
      <w:bookmarkStart w:id="166" w:name="BOP.BAS.160_Simulated_situations_in_flig"/>
      <w:bookmarkStart w:id="167" w:name="_bookmark79"/>
      <w:bookmarkStart w:id="168" w:name="_Toc153137244"/>
      <w:bookmarkEnd w:id="166"/>
      <w:bookmarkEnd w:id="167"/>
      <w:r w:rsidRPr="009663CE">
        <w:rPr>
          <w:rFonts w:ascii="Arial" w:hAnsi="Arial"/>
          <w:b/>
          <w:i w:val="0"/>
          <w:color w:val="FFFFFF" w:themeColor="background1"/>
          <w:sz w:val="24"/>
        </w:rPr>
        <w:lastRenderedPageBreak/>
        <w:t>BOP.BAS.160 Simulated situations in flight</w:t>
      </w:r>
      <w:bookmarkEnd w:id="168"/>
    </w:p>
    <w:p w14:paraId="7A655831" w14:textId="77777777" w:rsidR="009663CE" w:rsidRDefault="009663CE" w:rsidP="009601C2">
      <w:pPr>
        <w:tabs>
          <w:tab w:val="left" w:pos="3090"/>
        </w:tabs>
        <w:spacing w:line="276" w:lineRule="auto"/>
        <w:jc w:val="both"/>
        <w:rPr>
          <w:rFonts w:ascii="Arial" w:hAnsi="Arial" w:cs="Arial"/>
          <w:sz w:val="20"/>
        </w:rPr>
      </w:pPr>
    </w:p>
    <w:p w14:paraId="1CF54B0F" w14:textId="77777777" w:rsidR="009663CE" w:rsidRPr="009663CE" w:rsidRDefault="009663CE" w:rsidP="009601C2">
      <w:pPr>
        <w:numPr>
          <w:ilvl w:val="0"/>
          <w:numId w:val="45"/>
        </w:numPr>
        <w:tabs>
          <w:tab w:val="left" w:pos="3090"/>
        </w:tabs>
        <w:spacing w:line="276" w:lineRule="auto"/>
        <w:jc w:val="both"/>
        <w:rPr>
          <w:rFonts w:ascii="Arial" w:hAnsi="Arial" w:cs="Arial"/>
          <w:sz w:val="20"/>
        </w:rPr>
      </w:pPr>
      <w:r w:rsidRPr="009663CE">
        <w:rPr>
          <w:rFonts w:ascii="Arial" w:hAnsi="Arial" w:cs="Arial"/>
          <w:sz w:val="20"/>
        </w:rPr>
        <w:t>The pilot-in-command shall not simulate situations that require the application of abnormal or emergency procedures when carrying passengers.</w:t>
      </w:r>
    </w:p>
    <w:p w14:paraId="094D50A6" w14:textId="77777777" w:rsidR="009663CE" w:rsidRDefault="009663CE" w:rsidP="009601C2">
      <w:pPr>
        <w:numPr>
          <w:ilvl w:val="0"/>
          <w:numId w:val="45"/>
        </w:numPr>
        <w:tabs>
          <w:tab w:val="left" w:pos="3090"/>
        </w:tabs>
        <w:spacing w:line="276" w:lineRule="auto"/>
        <w:jc w:val="both"/>
        <w:rPr>
          <w:rFonts w:ascii="Arial" w:hAnsi="Arial" w:cs="Arial"/>
          <w:sz w:val="20"/>
        </w:rPr>
      </w:pPr>
      <w:r w:rsidRPr="009663CE">
        <w:rPr>
          <w:rFonts w:ascii="Arial" w:hAnsi="Arial" w:cs="Arial"/>
          <w:sz w:val="20"/>
        </w:rPr>
        <w:t>By way of derogation from point (a), the pilot-in-command may simulate such situations, during operations other than commercial operations of the balloon, when conducting training flights either with student pilots or with passengers, provided that the passengers have been duly informed and agreed to the simulation in advance.</w:t>
      </w:r>
    </w:p>
    <w:p w14:paraId="761BADBE" w14:textId="77777777" w:rsidR="009663CE" w:rsidRPr="009663CE" w:rsidRDefault="009663CE" w:rsidP="009601C2">
      <w:pPr>
        <w:tabs>
          <w:tab w:val="left" w:pos="3090"/>
        </w:tabs>
        <w:spacing w:line="276" w:lineRule="auto"/>
        <w:ind w:left="706"/>
        <w:jc w:val="both"/>
        <w:rPr>
          <w:rFonts w:ascii="Arial" w:hAnsi="Arial" w:cs="Arial"/>
          <w:sz w:val="20"/>
        </w:rPr>
      </w:pPr>
    </w:p>
    <w:p w14:paraId="1EE55021" w14:textId="77777777" w:rsidR="009663CE" w:rsidRPr="009663CE" w:rsidRDefault="009663CE" w:rsidP="009601C2">
      <w:pPr>
        <w:pStyle w:val="Heading4"/>
        <w:shd w:val="clear" w:color="auto" w:fill="2F5496" w:themeFill="accent5" w:themeFillShade="BF"/>
        <w:spacing w:line="276" w:lineRule="auto"/>
        <w:rPr>
          <w:rFonts w:ascii="Arial" w:hAnsi="Arial"/>
          <w:b/>
          <w:i w:val="0"/>
          <w:color w:val="FFFFFF" w:themeColor="background1"/>
          <w:sz w:val="24"/>
        </w:rPr>
      </w:pPr>
      <w:bookmarkStart w:id="169" w:name="BOP.BAS.165_In-flight_fuel_management"/>
      <w:bookmarkStart w:id="170" w:name="_bookmark80"/>
      <w:bookmarkStart w:id="171" w:name="_Toc153137245"/>
      <w:bookmarkEnd w:id="169"/>
      <w:bookmarkEnd w:id="170"/>
      <w:r w:rsidRPr="009663CE">
        <w:rPr>
          <w:rFonts w:ascii="Arial" w:hAnsi="Arial"/>
          <w:b/>
          <w:i w:val="0"/>
          <w:color w:val="FFFFFF" w:themeColor="background1"/>
          <w:sz w:val="24"/>
        </w:rPr>
        <w:t>BOP.BAS.165 In-flight fuel management</w:t>
      </w:r>
      <w:bookmarkEnd w:id="171"/>
    </w:p>
    <w:p w14:paraId="5E3FD070" w14:textId="77777777" w:rsidR="009663CE" w:rsidRDefault="009663CE" w:rsidP="009601C2">
      <w:pPr>
        <w:tabs>
          <w:tab w:val="left" w:pos="3090"/>
        </w:tabs>
        <w:spacing w:line="276" w:lineRule="auto"/>
        <w:jc w:val="both"/>
        <w:rPr>
          <w:rFonts w:ascii="Arial" w:hAnsi="Arial" w:cs="Arial"/>
          <w:sz w:val="20"/>
        </w:rPr>
      </w:pPr>
    </w:p>
    <w:p w14:paraId="512C3958" w14:textId="77777777" w:rsidR="009663CE" w:rsidRPr="009663CE" w:rsidRDefault="009663CE" w:rsidP="009601C2">
      <w:pPr>
        <w:tabs>
          <w:tab w:val="left" w:pos="3090"/>
        </w:tabs>
        <w:spacing w:line="276" w:lineRule="auto"/>
        <w:jc w:val="both"/>
        <w:rPr>
          <w:rFonts w:ascii="Arial" w:hAnsi="Arial" w:cs="Arial"/>
          <w:sz w:val="20"/>
        </w:rPr>
      </w:pPr>
      <w:r w:rsidRPr="009663CE">
        <w:rPr>
          <w:rFonts w:ascii="Arial" w:hAnsi="Arial" w:cs="Arial"/>
          <w:sz w:val="20"/>
        </w:rPr>
        <w:t>The pilot-in-command shall check at regular intervals during the flight that the amount of usable fuel or ballast remaining in flight is not less than the fuel or ballast needed to complete the intended flight and the reserve planned for landing.</w:t>
      </w:r>
    </w:p>
    <w:p w14:paraId="28A0CAF3" w14:textId="77777777" w:rsidR="009663CE" w:rsidRDefault="009663CE" w:rsidP="009601C2">
      <w:pPr>
        <w:tabs>
          <w:tab w:val="left" w:pos="3090"/>
        </w:tabs>
        <w:spacing w:line="276" w:lineRule="auto"/>
        <w:jc w:val="both"/>
        <w:rPr>
          <w:rFonts w:ascii="Arial" w:hAnsi="Arial" w:cs="Arial"/>
          <w:sz w:val="20"/>
        </w:rPr>
      </w:pPr>
    </w:p>
    <w:p w14:paraId="3B9687EC" w14:textId="77777777" w:rsidR="009663CE" w:rsidRPr="009663CE" w:rsidRDefault="009663CE" w:rsidP="009601C2">
      <w:pPr>
        <w:pStyle w:val="Heading4"/>
        <w:shd w:val="clear" w:color="auto" w:fill="2F5496" w:themeFill="accent5" w:themeFillShade="BF"/>
        <w:spacing w:line="276" w:lineRule="auto"/>
        <w:rPr>
          <w:rFonts w:ascii="Arial" w:hAnsi="Arial"/>
          <w:b/>
          <w:i w:val="0"/>
          <w:color w:val="FFFFFF" w:themeColor="background1"/>
          <w:sz w:val="24"/>
        </w:rPr>
      </w:pPr>
      <w:bookmarkStart w:id="172" w:name="BOP.BAS.170_Refuelling_with_persons_on_b"/>
      <w:bookmarkStart w:id="173" w:name="_bookmark81"/>
      <w:bookmarkStart w:id="174" w:name="_Toc153137246"/>
      <w:bookmarkEnd w:id="172"/>
      <w:bookmarkEnd w:id="173"/>
      <w:r w:rsidRPr="009663CE">
        <w:rPr>
          <w:rFonts w:ascii="Arial" w:hAnsi="Arial"/>
          <w:b/>
          <w:i w:val="0"/>
          <w:color w:val="FFFFFF" w:themeColor="background1"/>
          <w:sz w:val="24"/>
        </w:rPr>
        <w:t>BOP.BAS.170 Refuelling with persons on board</w:t>
      </w:r>
      <w:bookmarkEnd w:id="174"/>
    </w:p>
    <w:p w14:paraId="18E932B1" w14:textId="77777777" w:rsidR="009663CE" w:rsidRDefault="009663CE" w:rsidP="009601C2">
      <w:pPr>
        <w:tabs>
          <w:tab w:val="left" w:pos="3090"/>
        </w:tabs>
        <w:spacing w:line="276" w:lineRule="auto"/>
        <w:jc w:val="both"/>
        <w:rPr>
          <w:rFonts w:ascii="Arial" w:hAnsi="Arial" w:cs="Arial"/>
          <w:sz w:val="20"/>
        </w:rPr>
      </w:pPr>
    </w:p>
    <w:p w14:paraId="454A6E7E" w14:textId="77777777" w:rsidR="009663CE" w:rsidRPr="009663CE" w:rsidRDefault="009663CE" w:rsidP="009601C2">
      <w:pPr>
        <w:numPr>
          <w:ilvl w:val="0"/>
          <w:numId w:val="46"/>
        </w:numPr>
        <w:tabs>
          <w:tab w:val="left" w:pos="3090"/>
        </w:tabs>
        <w:spacing w:line="276" w:lineRule="auto"/>
        <w:jc w:val="both"/>
        <w:rPr>
          <w:rFonts w:ascii="Arial" w:hAnsi="Arial" w:cs="Arial"/>
          <w:sz w:val="20"/>
        </w:rPr>
      </w:pPr>
      <w:r w:rsidRPr="009663CE">
        <w:rPr>
          <w:rFonts w:ascii="Arial" w:hAnsi="Arial" w:cs="Arial"/>
          <w:sz w:val="20"/>
        </w:rPr>
        <w:t>Refuelling of balloons shall not be conducted when persons are on board.</w:t>
      </w:r>
    </w:p>
    <w:p w14:paraId="537DA878" w14:textId="77777777" w:rsidR="009663CE" w:rsidRPr="009663CE" w:rsidRDefault="009663CE" w:rsidP="009601C2">
      <w:pPr>
        <w:numPr>
          <w:ilvl w:val="0"/>
          <w:numId w:val="46"/>
        </w:numPr>
        <w:tabs>
          <w:tab w:val="left" w:pos="3090"/>
        </w:tabs>
        <w:spacing w:line="276" w:lineRule="auto"/>
        <w:jc w:val="both"/>
        <w:rPr>
          <w:rFonts w:ascii="Arial" w:hAnsi="Arial" w:cs="Arial"/>
          <w:sz w:val="20"/>
        </w:rPr>
      </w:pPr>
      <w:r w:rsidRPr="009663CE">
        <w:rPr>
          <w:rFonts w:ascii="Arial" w:hAnsi="Arial" w:cs="Arial"/>
          <w:sz w:val="20"/>
        </w:rPr>
        <w:t>By derogation from point (a), refuelling the engine of hot-air airships may be conducted with the pilot-in-command on board.</w:t>
      </w:r>
    </w:p>
    <w:p w14:paraId="16B4F57D" w14:textId="77777777" w:rsidR="009663CE" w:rsidRPr="009663CE" w:rsidRDefault="009663CE" w:rsidP="009601C2">
      <w:pPr>
        <w:keepNext/>
        <w:keepLines/>
        <w:widowControl/>
        <w:shd w:val="clear" w:color="auto" w:fill="339966"/>
        <w:autoSpaceDE/>
        <w:autoSpaceDN/>
        <w:spacing w:before="160" w:after="120" w:line="276" w:lineRule="auto"/>
        <w:outlineLvl w:val="4"/>
        <w:rPr>
          <w:rFonts w:ascii="Arial" w:eastAsia="Times New Roman" w:hAnsi="Arial" w:cs="Times New Roman"/>
          <w:b/>
          <w:color w:val="FFFFFF"/>
          <w:sz w:val="24"/>
        </w:rPr>
      </w:pPr>
      <w:bookmarkStart w:id="175" w:name="GM1_BOP.BAS.170_Refuelling_with_persons_"/>
      <w:bookmarkStart w:id="176" w:name="_bookmark82"/>
      <w:bookmarkStart w:id="177" w:name="_Toc153137247"/>
      <w:bookmarkEnd w:id="175"/>
      <w:bookmarkEnd w:id="176"/>
      <w:r w:rsidRPr="009663CE">
        <w:rPr>
          <w:rFonts w:ascii="Arial" w:eastAsia="Times New Roman" w:hAnsi="Arial" w:cs="Times New Roman"/>
          <w:b/>
          <w:color w:val="FFFFFF"/>
          <w:sz w:val="24"/>
        </w:rPr>
        <w:t>GM1 BOP.BAS.170 Refuelling with persons on board</w:t>
      </w:r>
      <w:bookmarkEnd w:id="177"/>
    </w:p>
    <w:p w14:paraId="373A737C" w14:textId="77777777" w:rsidR="009663CE" w:rsidRDefault="009663CE" w:rsidP="009601C2">
      <w:pPr>
        <w:tabs>
          <w:tab w:val="left" w:pos="3090"/>
        </w:tabs>
        <w:spacing w:line="276" w:lineRule="auto"/>
        <w:jc w:val="both"/>
        <w:rPr>
          <w:rFonts w:ascii="Arial" w:hAnsi="Arial" w:cs="Arial"/>
          <w:b/>
          <w:sz w:val="20"/>
        </w:rPr>
      </w:pPr>
      <w:r w:rsidRPr="009663CE">
        <w:rPr>
          <w:rFonts w:ascii="Arial" w:hAnsi="Arial" w:cs="Arial"/>
          <w:b/>
          <w:sz w:val="20"/>
        </w:rPr>
        <w:t>REPLACEMENT OF FUEL CYLINDERS</w:t>
      </w:r>
    </w:p>
    <w:p w14:paraId="586D22EE" w14:textId="77777777" w:rsidR="009663CE" w:rsidRPr="009663CE" w:rsidRDefault="009663CE" w:rsidP="009601C2">
      <w:pPr>
        <w:tabs>
          <w:tab w:val="left" w:pos="3090"/>
        </w:tabs>
        <w:spacing w:line="276" w:lineRule="auto"/>
        <w:jc w:val="both"/>
        <w:rPr>
          <w:rFonts w:ascii="Arial" w:hAnsi="Arial" w:cs="Arial"/>
          <w:b/>
          <w:sz w:val="20"/>
        </w:rPr>
      </w:pPr>
    </w:p>
    <w:p w14:paraId="6DE1D7DB" w14:textId="77777777" w:rsidR="009663CE" w:rsidRPr="009663CE" w:rsidRDefault="009663CE" w:rsidP="009601C2">
      <w:pPr>
        <w:tabs>
          <w:tab w:val="left" w:pos="3090"/>
        </w:tabs>
        <w:spacing w:line="276" w:lineRule="auto"/>
        <w:jc w:val="both"/>
        <w:rPr>
          <w:rFonts w:ascii="Arial" w:hAnsi="Arial" w:cs="Arial"/>
          <w:sz w:val="20"/>
        </w:rPr>
      </w:pPr>
      <w:r w:rsidRPr="009663CE">
        <w:rPr>
          <w:rFonts w:ascii="Arial" w:hAnsi="Arial" w:cs="Arial"/>
          <w:sz w:val="20"/>
        </w:rPr>
        <w:t>The definition of ‘refuelling’ in Annex I excludes the replacement of fuel cylinders. Therefore, the replacement of fuel cylinders may be conducted, observing the appropriate precautions, when persons are on board.</w:t>
      </w:r>
    </w:p>
    <w:p w14:paraId="0C22CCC5" w14:textId="77777777" w:rsidR="009663CE" w:rsidRDefault="009663CE" w:rsidP="009601C2">
      <w:pPr>
        <w:tabs>
          <w:tab w:val="left" w:pos="3090"/>
        </w:tabs>
        <w:spacing w:line="276" w:lineRule="auto"/>
        <w:jc w:val="both"/>
        <w:rPr>
          <w:rFonts w:ascii="Arial" w:hAnsi="Arial" w:cs="Arial"/>
          <w:sz w:val="20"/>
        </w:rPr>
      </w:pPr>
    </w:p>
    <w:p w14:paraId="2E165DBC" w14:textId="77777777" w:rsidR="008A43CB" w:rsidRPr="008A43CB" w:rsidRDefault="008A43CB" w:rsidP="009601C2">
      <w:pPr>
        <w:pStyle w:val="Heading4"/>
        <w:shd w:val="clear" w:color="auto" w:fill="2F5496" w:themeFill="accent5" w:themeFillShade="BF"/>
        <w:spacing w:line="276" w:lineRule="auto"/>
        <w:rPr>
          <w:rFonts w:ascii="Arial" w:hAnsi="Arial"/>
          <w:b/>
          <w:i w:val="0"/>
          <w:color w:val="FFFFFF" w:themeColor="background1"/>
          <w:sz w:val="24"/>
        </w:rPr>
      </w:pPr>
      <w:bookmarkStart w:id="178" w:name="BOP.BAS.175_Use_of_restraint_system"/>
      <w:bookmarkStart w:id="179" w:name="_bookmark83"/>
      <w:bookmarkStart w:id="180" w:name="_Toc153137248"/>
      <w:bookmarkEnd w:id="178"/>
      <w:bookmarkEnd w:id="179"/>
      <w:r w:rsidRPr="008A43CB">
        <w:rPr>
          <w:rFonts w:ascii="Arial" w:hAnsi="Arial"/>
          <w:b/>
          <w:i w:val="0"/>
          <w:color w:val="FFFFFF" w:themeColor="background1"/>
          <w:sz w:val="24"/>
        </w:rPr>
        <w:t>BOP.BAS.175 Use of restraint system</w:t>
      </w:r>
      <w:bookmarkEnd w:id="180"/>
    </w:p>
    <w:p w14:paraId="2B16C9AB" w14:textId="77777777" w:rsidR="008A43CB" w:rsidRDefault="008A43CB" w:rsidP="009601C2">
      <w:pPr>
        <w:tabs>
          <w:tab w:val="left" w:pos="3090"/>
        </w:tabs>
        <w:spacing w:line="276" w:lineRule="auto"/>
        <w:jc w:val="both"/>
        <w:rPr>
          <w:rFonts w:ascii="Arial" w:hAnsi="Arial" w:cs="Arial"/>
          <w:sz w:val="20"/>
        </w:rPr>
      </w:pPr>
    </w:p>
    <w:p w14:paraId="24436CD4" w14:textId="77E873EF" w:rsidR="008A43CB" w:rsidRDefault="008A43CB" w:rsidP="009601C2">
      <w:pPr>
        <w:tabs>
          <w:tab w:val="left" w:pos="3090"/>
        </w:tabs>
        <w:spacing w:line="276" w:lineRule="auto"/>
        <w:jc w:val="both"/>
        <w:rPr>
          <w:rFonts w:ascii="Arial" w:hAnsi="Arial" w:cs="Arial"/>
          <w:sz w:val="20"/>
        </w:rPr>
      </w:pPr>
      <w:r w:rsidRPr="008A43CB">
        <w:rPr>
          <w:rFonts w:ascii="Arial" w:hAnsi="Arial" w:cs="Arial"/>
          <w:sz w:val="20"/>
        </w:rPr>
        <w:t xml:space="preserve">When a restraint system is required in accordance with point </w:t>
      </w:r>
      <w:r w:rsidRPr="00453B73">
        <w:rPr>
          <w:rFonts w:ascii="Arial" w:hAnsi="Arial" w:cs="Arial"/>
          <w:sz w:val="20"/>
        </w:rPr>
        <w:t xml:space="preserve">BOP.BAS.320, </w:t>
      </w:r>
      <w:r w:rsidRPr="008A43CB">
        <w:rPr>
          <w:rFonts w:ascii="Arial" w:hAnsi="Arial" w:cs="Arial"/>
          <w:sz w:val="20"/>
        </w:rPr>
        <w:t>the pilot-in-command shall wear the system at least during landing</w:t>
      </w:r>
      <w:r>
        <w:rPr>
          <w:rFonts w:ascii="Arial" w:hAnsi="Arial" w:cs="Arial"/>
          <w:sz w:val="20"/>
        </w:rPr>
        <w:t>.</w:t>
      </w:r>
    </w:p>
    <w:p w14:paraId="49B2D456" w14:textId="77777777" w:rsidR="008A43CB" w:rsidRDefault="008A43CB" w:rsidP="009601C2">
      <w:pPr>
        <w:tabs>
          <w:tab w:val="left" w:pos="3090"/>
        </w:tabs>
        <w:spacing w:line="276" w:lineRule="auto"/>
        <w:jc w:val="both"/>
        <w:rPr>
          <w:rFonts w:ascii="Arial" w:hAnsi="Arial" w:cs="Arial"/>
          <w:sz w:val="20"/>
        </w:rPr>
      </w:pPr>
    </w:p>
    <w:p w14:paraId="6C88C07B" w14:textId="77777777" w:rsidR="008A43CB" w:rsidRPr="008A43CB" w:rsidRDefault="008A43CB" w:rsidP="009601C2">
      <w:pPr>
        <w:pStyle w:val="Heading4"/>
        <w:shd w:val="clear" w:color="auto" w:fill="2F5496" w:themeFill="accent5" w:themeFillShade="BF"/>
        <w:spacing w:line="276" w:lineRule="auto"/>
        <w:rPr>
          <w:rFonts w:ascii="Arial" w:hAnsi="Arial"/>
          <w:b/>
          <w:i w:val="0"/>
          <w:color w:val="FFFFFF" w:themeColor="background1"/>
          <w:sz w:val="24"/>
        </w:rPr>
      </w:pPr>
      <w:bookmarkStart w:id="181" w:name="BOP.BAS.180_Use_of_supplemental_oxygen"/>
      <w:bookmarkStart w:id="182" w:name="_bookmark84"/>
      <w:bookmarkStart w:id="183" w:name="_Toc153137249"/>
      <w:bookmarkEnd w:id="181"/>
      <w:bookmarkEnd w:id="182"/>
      <w:r w:rsidRPr="008A43CB">
        <w:rPr>
          <w:rFonts w:ascii="Arial" w:hAnsi="Arial"/>
          <w:b/>
          <w:i w:val="0"/>
          <w:color w:val="FFFFFF" w:themeColor="background1"/>
          <w:sz w:val="24"/>
        </w:rPr>
        <w:t>BOP.BAS.180 Use of supplemental oxygen</w:t>
      </w:r>
      <w:bookmarkEnd w:id="183"/>
    </w:p>
    <w:p w14:paraId="554D1556" w14:textId="77777777" w:rsidR="008A43CB" w:rsidRDefault="008A43CB" w:rsidP="009601C2">
      <w:pPr>
        <w:tabs>
          <w:tab w:val="left" w:pos="3090"/>
        </w:tabs>
        <w:spacing w:line="276" w:lineRule="auto"/>
        <w:jc w:val="both"/>
        <w:rPr>
          <w:rFonts w:ascii="Arial" w:hAnsi="Arial" w:cs="Arial"/>
          <w:sz w:val="20"/>
        </w:rPr>
      </w:pPr>
    </w:p>
    <w:p w14:paraId="51A3A721" w14:textId="587C3EF7" w:rsidR="008A43CB" w:rsidRDefault="008A43CB" w:rsidP="009601C2">
      <w:pPr>
        <w:tabs>
          <w:tab w:val="left" w:pos="3090"/>
        </w:tabs>
        <w:spacing w:line="276" w:lineRule="auto"/>
        <w:jc w:val="both"/>
        <w:rPr>
          <w:rFonts w:ascii="Arial" w:hAnsi="Arial" w:cs="Arial"/>
          <w:sz w:val="20"/>
        </w:rPr>
      </w:pPr>
      <w:r w:rsidRPr="008A43CB">
        <w:rPr>
          <w:rFonts w:ascii="Arial" w:hAnsi="Arial" w:cs="Arial"/>
          <w:sz w:val="20"/>
        </w:rPr>
        <w:t>The pilot-in-command shall ensure that:</w:t>
      </w:r>
    </w:p>
    <w:p w14:paraId="0E4F7CAD" w14:textId="77777777" w:rsidR="008A43CB" w:rsidRPr="008A43CB" w:rsidRDefault="008A43CB" w:rsidP="009601C2">
      <w:pPr>
        <w:numPr>
          <w:ilvl w:val="0"/>
          <w:numId w:val="47"/>
        </w:numPr>
        <w:tabs>
          <w:tab w:val="left" w:pos="3090"/>
        </w:tabs>
        <w:spacing w:line="276" w:lineRule="auto"/>
        <w:jc w:val="both"/>
        <w:rPr>
          <w:rFonts w:ascii="Arial" w:hAnsi="Arial" w:cs="Arial"/>
          <w:sz w:val="20"/>
        </w:rPr>
      </w:pPr>
      <w:r w:rsidRPr="008A43CB">
        <w:rPr>
          <w:rFonts w:ascii="Arial" w:hAnsi="Arial" w:cs="Arial"/>
          <w:sz w:val="20"/>
        </w:rPr>
        <w:t>all crew members engaged in performing duties essential to the safe operation of the balloon use supplemental oxygen continuously whenever he or she determines that, at the altitude of the intended flight, the lack of oxygen might result in impairment of the faculties of crew members; and</w:t>
      </w:r>
    </w:p>
    <w:p w14:paraId="2293A0CD" w14:textId="648B99BE" w:rsidR="008A43CB" w:rsidRPr="00943DEA" w:rsidRDefault="008A43CB" w:rsidP="009601C2">
      <w:pPr>
        <w:numPr>
          <w:ilvl w:val="0"/>
          <w:numId w:val="47"/>
        </w:numPr>
        <w:tabs>
          <w:tab w:val="left" w:pos="3090"/>
        </w:tabs>
        <w:spacing w:line="276" w:lineRule="auto"/>
        <w:jc w:val="both"/>
        <w:rPr>
          <w:rFonts w:ascii="Arial" w:hAnsi="Arial" w:cs="Arial"/>
          <w:sz w:val="20"/>
        </w:rPr>
      </w:pPr>
      <w:r w:rsidRPr="008A43CB">
        <w:rPr>
          <w:rFonts w:ascii="Arial" w:hAnsi="Arial" w:cs="Arial"/>
          <w:sz w:val="20"/>
        </w:rPr>
        <w:t>supplemental oxygen is available to passengers when lack of oxygen might harmfully affect them.</w:t>
      </w:r>
    </w:p>
    <w:p w14:paraId="148C9D8F" w14:textId="77777777" w:rsidR="008A43CB" w:rsidRPr="008A43CB" w:rsidRDefault="008A43CB" w:rsidP="009601C2">
      <w:pPr>
        <w:keepNext/>
        <w:keepLines/>
        <w:shd w:val="clear" w:color="auto" w:fill="ED7D31"/>
        <w:spacing w:before="160" w:after="120" w:line="276" w:lineRule="auto"/>
        <w:outlineLvl w:val="4"/>
        <w:rPr>
          <w:rFonts w:ascii="Arial" w:eastAsia="Times New Roman" w:hAnsi="Arial" w:cs="Times New Roman"/>
          <w:b/>
          <w:color w:val="FFFFFF"/>
          <w:sz w:val="24"/>
        </w:rPr>
      </w:pPr>
      <w:bookmarkStart w:id="184" w:name="AMC1_BOP.BAS.180_Use_of_supplemental_oxy"/>
      <w:bookmarkStart w:id="185" w:name="_bookmark85"/>
      <w:bookmarkStart w:id="186" w:name="_Toc153137250"/>
      <w:bookmarkEnd w:id="184"/>
      <w:bookmarkEnd w:id="185"/>
      <w:r w:rsidRPr="008A43CB">
        <w:rPr>
          <w:rFonts w:ascii="Arial" w:eastAsia="Times New Roman" w:hAnsi="Arial" w:cs="Times New Roman"/>
          <w:b/>
          <w:color w:val="FFFFFF"/>
          <w:sz w:val="24"/>
        </w:rPr>
        <w:t>AMC1 BOP.BAS.180 Use of supplemental oxygen</w:t>
      </w:r>
      <w:bookmarkEnd w:id="186"/>
    </w:p>
    <w:p w14:paraId="71853C8E" w14:textId="77777777" w:rsidR="008A43CB" w:rsidRPr="008A43CB" w:rsidRDefault="008A43CB" w:rsidP="009601C2">
      <w:pPr>
        <w:tabs>
          <w:tab w:val="left" w:pos="3090"/>
        </w:tabs>
        <w:spacing w:line="276" w:lineRule="auto"/>
        <w:jc w:val="both"/>
        <w:rPr>
          <w:rFonts w:ascii="Arial" w:hAnsi="Arial" w:cs="Arial"/>
          <w:b/>
          <w:sz w:val="20"/>
        </w:rPr>
      </w:pPr>
      <w:r w:rsidRPr="008A43CB">
        <w:rPr>
          <w:rFonts w:ascii="Arial" w:hAnsi="Arial" w:cs="Arial"/>
          <w:b/>
          <w:sz w:val="20"/>
        </w:rPr>
        <w:t>GENERAL</w:t>
      </w:r>
    </w:p>
    <w:p w14:paraId="1F7109FA" w14:textId="77777777" w:rsidR="008A43CB" w:rsidRDefault="008A43CB" w:rsidP="009601C2">
      <w:pPr>
        <w:tabs>
          <w:tab w:val="left" w:pos="3090"/>
        </w:tabs>
        <w:spacing w:line="276" w:lineRule="auto"/>
        <w:jc w:val="both"/>
        <w:rPr>
          <w:rFonts w:ascii="Arial" w:hAnsi="Arial" w:cs="Arial"/>
          <w:sz w:val="20"/>
        </w:rPr>
      </w:pPr>
    </w:p>
    <w:p w14:paraId="4E986EFF" w14:textId="77777777" w:rsidR="00C72C08" w:rsidRDefault="008A43CB" w:rsidP="009601C2">
      <w:pPr>
        <w:tabs>
          <w:tab w:val="left" w:pos="3090"/>
        </w:tabs>
        <w:spacing w:line="276" w:lineRule="auto"/>
        <w:jc w:val="both"/>
        <w:rPr>
          <w:rFonts w:ascii="Arial" w:hAnsi="Arial" w:cs="Arial"/>
          <w:sz w:val="20"/>
        </w:rPr>
      </w:pPr>
      <w:r w:rsidRPr="008A43CB">
        <w:rPr>
          <w:rFonts w:ascii="Arial" w:hAnsi="Arial" w:cs="Arial"/>
          <w:sz w:val="20"/>
        </w:rPr>
        <w:t>When the pilot-in-command cannot determine how the lack of oxygen might affect all occupants on board, he or she should ensure that:</w:t>
      </w:r>
    </w:p>
    <w:p w14:paraId="48E708CC" w14:textId="77777777" w:rsidR="00C72C08" w:rsidRPr="008A43CB" w:rsidRDefault="00C72C08" w:rsidP="009601C2">
      <w:pPr>
        <w:tabs>
          <w:tab w:val="left" w:pos="3090"/>
        </w:tabs>
        <w:spacing w:line="276" w:lineRule="auto"/>
        <w:jc w:val="both"/>
        <w:rPr>
          <w:rFonts w:ascii="Arial" w:hAnsi="Arial" w:cs="Arial"/>
          <w:sz w:val="20"/>
        </w:rPr>
      </w:pPr>
    </w:p>
    <w:p w14:paraId="624963FB" w14:textId="77777777" w:rsidR="008A43CB" w:rsidRPr="008A43CB" w:rsidRDefault="008A43CB" w:rsidP="009601C2">
      <w:pPr>
        <w:numPr>
          <w:ilvl w:val="0"/>
          <w:numId w:val="48"/>
        </w:numPr>
        <w:tabs>
          <w:tab w:val="left" w:pos="3090"/>
        </w:tabs>
        <w:spacing w:line="276" w:lineRule="auto"/>
        <w:jc w:val="both"/>
        <w:rPr>
          <w:rFonts w:ascii="Arial" w:hAnsi="Arial" w:cs="Arial"/>
          <w:sz w:val="20"/>
        </w:rPr>
      </w:pPr>
      <w:r w:rsidRPr="008A43CB">
        <w:rPr>
          <w:rFonts w:ascii="Arial" w:hAnsi="Arial" w:cs="Arial"/>
          <w:sz w:val="20"/>
        </w:rPr>
        <w:t>all flight crew members engaged in performing duties essential to the safe operation of a balloon use supplemental oxygen for any period in excess of 30 minutes when the pressure altitude is between 10 000 and 13 000 ft; and</w:t>
      </w:r>
    </w:p>
    <w:p w14:paraId="348B6245" w14:textId="00B37F46" w:rsidR="00C72C08" w:rsidRPr="00943DEA" w:rsidRDefault="008A43CB" w:rsidP="009601C2">
      <w:pPr>
        <w:numPr>
          <w:ilvl w:val="0"/>
          <w:numId w:val="48"/>
        </w:numPr>
        <w:tabs>
          <w:tab w:val="left" w:pos="3090"/>
        </w:tabs>
        <w:spacing w:line="276" w:lineRule="auto"/>
        <w:jc w:val="both"/>
        <w:rPr>
          <w:rFonts w:ascii="Arial" w:hAnsi="Arial" w:cs="Arial"/>
          <w:sz w:val="20"/>
        </w:rPr>
      </w:pPr>
      <w:r w:rsidRPr="008A43CB">
        <w:rPr>
          <w:rFonts w:ascii="Arial" w:hAnsi="Arial" w:cs="Arial"/>
          <w:sz w:val="20"/>
        </w:rPr>
        <w:t>all occupants use supplemental oxygen for any period when the pressure altitude is above 13 000 ft.</w:t>
      </w:r>
    </w:p>
    <w:p w14:paraId="6245C2BD" w14:textId="77777777" w:rsidR="00C72C08" w:rsidRPr="00C72C08" w:rsidRDefault="00C72C08" w:rsidP="009601C2">
      <w:pPr>
        <w:pStyle w:val="Heading4"/>
        <w:shd w:val="clear" w:color="auto" w:fill="2F5496" w:themeFill="accent5" w:themeFillShade="BF"/>
        <w:spacing w:line="276" w:lineRule="auto"/>
        <w:rPr>
          <w:rFonts w:ascii="Arial" w:hAnsi="Arial"/>
          <w:b/>
          <w:i w:val="0"/>
          <w:color w:val="FFFFFF" w:themeColor="background1"/>
          <w:sz w:val="24"/>
        </w:rPr>
      </w:pPr>
      <w:bookmarkStart w:id="187" w:name="BOP.BAS.185_Operational_limitations_at_n"/>
      <w:bookmarkStart w:id="188" w:name="_bookmark86"/>
      <w:bookmarkStart w:id="189" w:name="_Toc153137251"/>
      <w:bookmarkEnd w:id="187"/>
      <w:bookmarkEnd w:id="188"/>
      <w:r w:rsidRPr="00C72C08">
        <w:rPr>
          <w:rFonts w:ascii="Arial" w:hAnsi="Arial"/>
          <w:b/>
          <w:i w:val="0"/>
          <w:color w:val="FFFFFF" w:themeColor="background1"/>
          <w:sz w:val="24"/>
        </w:rPr>
        <w:lastRenderedPageBreak/>
        <w:t>BOP.BAS.185 Operational limitations at night</w:t>
      </w:r>
      <w:bookmarkEnd w:id="189"/>
    </w:p>
    <w:p w14:paraId="294CA60D" w14:textId="77777777" w:rsidR="00C72C08" w:rsidRDefault="00C72C08" w:rsidP="009601C2">
      <w:pPr>
        <w:tabs>
          <w:tab w:val="left" w:pos="3090"/>
        </w:tabs>
        <w:spacing w:line="276" w:lineRule="auto"/>
        <w:jc w:val="both"/>
        <w:rPr>
          <w:rFonts w:ascii="Arial" w:hAnsi="Arial" w:cs="Arial"/>
          <w:sz w:val="20"/>
        </w:rPr>
      </w:pPr>
    </w:p>
    <w:p w14:paraId="7C8B0EF2" w14:textId="77777777" w:rsidR="00C72C08" w:rsidRPr="00C72C08" w:rsidRDefault="00C72C08" w:rsidP="009601C2">
      <w:pPr>
        <w:numPr>
          <w:ilvl w:val="0"/>
          <w:numId w:val="49"/>
        </w:numPr>
        <w:tabs>
          <w:tab w:val="left" w:pos="3090"/>
        </w:tabs>
        <w:spacing w:line="276" w:lineRule="auto"/>
        <w:jc w:val="both"/>
        <w:rPr>
          <w:rFonts w:ascii="Arial" w:hAnsi="Arial" w:cs="Arial"/>
          <w:sz w:val="20"/>
        </w:rPr>
      </w:pPr>
      <w:r w:rsidRPr="00C72C08">
        <w:rPr>
          <w:rFonts w:ascii="Arial" w:hAnsi="Arial" w:cs="Arial"/>
          <w:sz w:val="20"/>
        </w:rPr>
        <w:t>Hot-air balloons:</w:t>
      </w:r>
    </w:p>
    <w:p w14:paraId="7DC94C07" w14:textId="77777777" w:rsidR="00C72C08" w:rsidRPr="00C72C08" w:rsidRDefault="00C72C08" w:rsidP="009601C2">
      <w:pPr>
        <w:numPr>
          <w:ilvl w:val="1"/>
          <w:numId w:val="49"/>
        </w:numPr>
        <w:tabs>
          <w:tab w:val="left" w:pos="3090"/>
        </w:tabs>
        <w:spacing w:line="276" w:lineRule="auto"/>
        <w:jc w:val="both"/>
        <w:rPr>
          <w:rFonts w:ascii="Arial" w:hAnsi="Arial" w:cs="Arial"/>
          <w:sz w:val="20"/>
        </w:rPr>
      </w:pPr>
      <w:r w:rsidRPr="00C72C08">
        <w:rPr>
          <w:rFonts w:ascii="Arial" w:hAnsi="Arial" w:cs="Arial"/>
          <w:sz w:val="20"/>
        </w:rPr>
        <w:t>shall not land during night, except in emergency situations; and</w:t>
      </w:r>
    </w:p>
    <w:p w14:paraId="2E769AF6" w14:textId="77777777" w:rsidR="00C72C08" w:rsidRPr="00C72C08" w:rsidRDefault="00C72C08" w:rsidP="009601C2">
      <w:pPr>
        <w:numPr>
          <w:ilvl w:val="1"/>
          <w:numId w:val="49"/>
        </w:numPr>
        <w:tabs>
          <w:tab w:val="left" w:pos="3090"/>
        </w:tabs>
        <w:spacing w:line="276" w:lineRule="auto"/>
        <w:jc w:val="both"/>
        <w:rPr>
          <w:rFonts w:ascii="Arial" w:hAnsi="Arial" w:cs="Arial"/>
          <w:sz w:val="20"/>
        </w:rPr>
      </w:pPr>
      <w:r w:rsidRPr="00C72C08">
        <w:rPr>
          <w:rFonts w:ascii="Arial" w:hAnsi="Arial" w:cs="Arial"/>
          <w:sz w:val="20"/>
        </w:rPr>
        <w:t>may take off during night, provided that sufficient fuel or ballast is carried for a landing during day.</w:t>
      </w:r>
    </w:p>
    <w:p w14:paraId="172390EF" w14:textId="77777777" w:rsidR="00C72C08" w:rsidRPr="00C72C08" w:rsidRDefault="00C72C08" w:rsidP="009601C2">
      <w:pPr>
        <w:numPr>
          <w:ilvl w:val="0"/>
          <w:numId w:val="49"/>
        </w:numPr>
        <w:tabs>
          <w:tab w:val="left" w:pos="3090"/>
        </w:tabs>
        <w:spacing w:line="276" w:lineRule="auto"/>
        <w:jc w:val="both"/>
        <w:rPr>
          <w:rFonts w:ascii="Arial" w:hAnsi="Arial" w:cs="Arial"/>
          <w:sz w:val="20"/>
        </w:rPr>
      </w:pPr>
      <w:r w:rsidRPr="00C72C08">
        <w:rPr>
          <w:rFonts w:ascii="Arial" w:hAnsi="Arial" w:cs="Arial"/>
          <w:sz w:val="20"/>
        </w:rPr>
        <w:t>Gas balloons and mixed balloons:</w:t>
      </w:r>
    </w:p>
    <w:p w14:paraId="4A7BD1D4" w14:textId="77777777" w:rsidR="00C72C08" w:rsidRPr="00C72C08" w:rsidRDefault="00C72C08" w:rsidP="009601C2">
      <w:pPr>
        <w:numPr>
          <w:ilvl w:val="1"/>
          <w:numId w:val="49"/>
        </w:numPr>
        <w:tabs>
          <w:tab w:val="left" w:pos="3090"/>
        </w:tabs>
        <w:spacing w:line="276" w:lineRule="auto"/>
        <w:jc w:val="both"/>
        <w:rPr>
          <w:rFonts w:ascii="Arial" w:hAnsi="Arial" w:cs="Arial"/>
          <w:sz w:val="20"/>
        </w:rPr>
      </w:pPr>
      <w:r w:rsidRPr="00C72C08">
        <w:rPr>
          <w:rFonts w:ascii="Arial" w:hAnsi="Arial" w:cs="Arial"/>
          <w:sz w:val="20"/>
        </w:rPr>
        <w:t>shall not land during night, except in emergency situations or as a precautionary landing; and</w:t>
      </w:r>
    </w:p>
    <w:p w14:paraId="0B2D83EA" w14:textId="77777777" w:rsidR="00C72C08" w:rsidRPr="00C72C08" w:rsidRDefault="00C72C08" w:rsidP="009601C2">
      <w:pPr>
        <w:numPr>
          <w:ilvl w:val="1"/>
          <w:numId w:val="49"/>
        </w:numPr>
        <w:tabs>
          <w:tab w:val="left" w:pos="3090"/>
        </w:tabs>
        <w:spacing w:line="276" w:lineRule="auto"/>
        <w:jc w:val="both"/>
        <w:rPr>
          <w:rFonts w:ascii="Arial" w:hAnsi="Arial" w:cs="Arial"/>
          <w:sz w:val="20"/>
        </w:rPr>
      </w:pPr>
      <w:r w:rsidRPr="00C72C08">
        <w:rPr>
          <w:rFonts w:ascii="Arial" w:hAnsi="Arial" w:cs="Arial"/>
          <w:sz w:val="20"/>
        </w:rPr>
        <w:t>may take off during night, provided that sufficient fuel or ballast is carried for a landing during day.</w:t>
      </w:r>
    </w:p>
    <w:p w14:paraId="6C2A6FF0" w14:textId="77777777" w:rsidR="00C72C08" w:rsidRPr="00C72C08" w:rsidRDefault="00C72C08" w:rsidP="009601C2">
      <w:pPr>
        <w:numPr>
          <w:ilvl w:val="0"/>
          <w:numId w:val="49"/>
        </w:numPr>
        <w:tabs>
          <w:tab w:val="left" w:pos="3090"/>
        </w:tabs>
        <w:spacing w:line="276" w:lineRule="auto"/>
        <w:jc w:val="both"/>
        <w:rPr>
          <w:rFonts w:ascii="Arial" w:hAnsi="Arial" w:cs="Arial"/>
          <w:sz w:val="20"/>
        </w:rPr>
      </w:pPr>
      <w:r w:rsidRPr="00C72C08">
        <w:rPr>
          <w:rFonts w:ascii="Arial" w:hAnsi="Arial" w:cs="Arial"/>
          <w:sz w:val="20"/>
        </w:rPr>
        <w:t>Hot-air airships shall be operated in accordance with their approved VFR night operating limitations and information.</w:t>
      </w:r>
    </w:p>
    <w:p w14:paraId="3315326A" w14:textId="77777777" w:rsidR="00C72C08" w:rsidRDefault="00C72C08" w:rsidP="009601C2">
      <w:pPr>
        <w:tabs>
          <w:tab w:val="left" w:pos="3090"/>
        </w:tabs>
        <w:spacing w:line="276" w:lineRule="auto"/>
        <w:jc w:val="both"/>
        <w:rPr>
          <w:rFonts w:ascii="Arial" w:hAnsi="Arial" w:cs="Arial"/>
          <w:sz w:val="20"/>
        </w:rPr>
      </w:pPr>
    </w:p>
    <w:p w14:paraId="4F3BD975" w14:textId="77777777" w:rsidR="0042421E" w:rsidRPr="0042421E" w:rsidRDefault="0042421E" w:rsidP="009601C2">
      <w:pPr>
        <w:keepNext/>
        <w:keepLines/>
        <w:widowControl/>
        <w:shd w:val="clear" w:color="auto" w:fill="339966"/>
        <w:autoSpaceDE/>
        <w:autoSpaceDN/>
        <w:spacing w:before="160" w:after="120" w:line="276" w:lineRule="auto"/>
        <w:outlineLvl w:val="4"/>
        <w:rPr>
          <w:rFonts w:ascii="Arial" w:eastAsia="Times New Roman" w:hAnsi="Arial" w:cs="Times New Roman"/>
          <w:b/>
          <w:color w:val="FFFFFF"/>
          <w:sz w:val="24"/>
        </w:rPr>
      </w:pPr>
      <w:bookmarkStart w:id="190" w:name="GM1_BOP.BAS.185(a);(b)_Operational_limit"/>
      <w:bookmarkStart w:id="191" w:name="_bookmark87"/>
      <w:bookmarkStart w:id="192" w:name="_Toc153137252"/>
      <w:bookmarkEnd w:id="190"/>
      <w:bookmarkEnd w:id="191"/>
      <w:r w:rsidRPr="0042421E">
        <w:rPr>
          <w:rFonts w:ascii="Arial" w:eastAsia="Times New Roman" w:hAnsi="Arial" w:cs="Times New Roman"/>
          <w:b/>
          <w:color w:val="FFFFFF"/>
          <w:sz w:val="24"/>
        </w:rPr>
        <w:t>GM1 BOP.BAS.185(a);(b) Operational limitations at night</w:t>
      </w:r>
      <w:bookmarkEnd w:id="192"/>
    </w:p>
    <w:p w14:paraId="46124C3F" w14:textId="77777777" w:rsidR="0042421E" w:rsidRPr="0042421E" w:rsidRDefault="0042421E" w:rsidP="009601C2">
      <w:pPr>
        <w:tabs>
          <w:tab w:val="left" w:pos="3090"/>
        </w:tabs>
        <w:spacing w:line="276" w:lineRule="auto"/>
        <w:jc w:val="both"/>
        <w:rPr>
          <w:rFonts w:ascii="Arial" w:hAnsi="Arial" w:cs="Arial"/>
          <w:b/>
          <w:sz w:val="20"/>
        </w:rPr>
      </w:pPr>
      <w:r w:rsidRPr="0042421E">
        <w:rPr>
          <w:rFonts w:ascii="Arial" w:hAnsi="Arial" w:cs="Arial"/>
          <w:b/>
          <w:sz w:val="20"/>
        </w:rPr>
        <w:t>AVOIDANCE OF NIGHT LANDING</w:t>
      </w:r>
    </w:p>
    <w:p w14:paraId="4703F88F" w14:textId="77777777" w:rsidR="0042421E" w:rsidRPr="0042421E" w:rsidRDefault="0042421E" w:rsidP="009601C2">
      <w:pPr>
        <w:numPr>
          <w:ilvl w:val="0"/>
          <w:numId w:val="50"/>
        </w:numPr>
        <w:tabs>
          <w:tab w:val="left" w:pos="3090"/>
        </w:tabs>
        <w:spacing w:line="276" w:lineRule="auto"/>
        <w:jc w:val="both"/>
        <w:rPr>
          <w:rFonts w:ascii="Arial" w:hAnsi="Arial" w:cs="Arial"/>
          <w:sz w:val="20"/>
        </w:rPr>
      </w:pPr>
      <w:r w:rsidRPr="0042421E">
        <w:rPr>
          <w:rFonts w:ascii="Arial" w:hAnsi="Arial" w:cs="Arial"/>
          <w:sz w:val="20"/>
        </w:rPr>
        <w:t>The intent of the rule is to ensure that when the balloon takes off during night, sufficient fuel is on board for landing under VFR by day.</w:t>
      </w:r>
    </w:p>
    <w:p w14:paraId="7E636076" w14:textId="77777777" w:rsidR="0042421E" w:rsidRPr="0042421E" w:rsidRDefault="0042421E" w:rsidP="009601C2">
      <w:pPr>
        <w:numPr>
          <w:ilvl w:val="0"/>
          <w:numId w:val="50"/>
        </w:numPr>
        <w:tabs>
          <w:tab w:val="left" w:pos="3090"/>
        </w:tabs>
        <w:spacing w:line="276" w:lineRule="auto"/>
        <w:jc w:val="both"/>
        <w:rPr>
          <w:rFonts w:ascii="Arial" w:hAnsi="Arial" w:cs="Arial"/>
          <w:sz w:val="20"/>
        </w:rPr>
      </w:pPr>
      <w:r w:rsidRPr="0042421E">
        <w:rPr>
          <w:rFonts w:ascii="Arial" w:hAnsi="Arial" w:cs="Arial"/>
          <w:sz w:val="20"/>
        </w:rPr>
        <w:t>The risk of collision with overhead lines or other obstacles is considerable and cannot be overstated. The risk is considerably increased during night flights, in conditions of failing light and visibility, when there is increasing pressure to land. A number of incidents have occurred in the late evening in such conditions, and may have been avoided had an earlier landing been planned.</w:t>
      </w:r>
    </w:p>
    <w:p w14:paraId="457878E4" w14:textId="77777777" w:rsidR="0042421E" w:rsidRDefault="0042421E" w:rsidP="009601C2">
      <w:pPr>
        <w:tabs>
          <w:tab w:val="left" w:pos="3090"/>
        </w:tabs>
        <w:spacing w:line="276" w:lineRule="auto"/>
        <w:jc w:val="both"/>
        <w:rPr>
          <w:rFonts w:ascii="Arial" w:hAnsi="Arial" w:cs="Arial"/>
          <w:sz w:val="20"/>
        </w:rPr>
      </w:pPr>
    </w:p>
    <w:p w14:paraId="39C29D91" w14:textId="77777777" w:rsidR="00790762" w:rsidRPr="00790762" w:rsidRDefault="00790762" w:rsidP="009601C2">
      <w:pPr>
        <w:pStyle w:val="Heading4"/>
        <w:shd w:val="clear" w:color="auto" w:fill="2F5496" w:themeFill="accent5" w:themeFillShade="BF"/>
        <w:spacing w:line="276" w:lineRule="auto"/>
        <w:rPr>
          <w:rFonts w:ascii="Arial" w:hAnsi="Arial"/>
          <w:b/>
          <w:i w:val="0"/>
          <w:color w:val="FFFFFF" w:themeColor="background1"/>
          <w:sz w:val="24"/>
        </w:rPr>
      </w:pPr>
      <w:bookmarkStart w:id="193" w:name="BOP.BAS.190_Balloon_specialised_operatio"/>
      <w:bookmarkStart w:id="194" w:name="_bookmark88"/>
      <w:bookmarkStart w:id="195" w:name="_Toc153137253"/>
      <w:bookmarkEnd w:id="193"/>
      <w:bookmarkEnd w:id="194"/>
      <w:r w:rsidRPr="00790762">
        <w:rPr>
          <w:rFonts w:ascii="Arial" w:hAnsi="Arial"/>
          <w:b/>
          <w:i w:val="0"/>
          <w:color w:val="FFFFFF" w:themeColor="background1"/>
          <w:sz w:val="24"/>
        </w:rPr>
        <w:t>BOP.BAS.190 Balloon specialised operations — Risk assessment and checklist</w:t>
      </w:r>
      <w:bookmarkEnd w:id="195"/>
    </w:p>
    <w:p w14:paraId="7A239C3D" w14:textId="77777777" w:rsidR="00790762" w:rsidRDefault="00790762" w:rsidP="009601C2">
      <w:pPr>
        <w:tabs>
          <w:tab w:val="left" w:pos="3090"/>
        </w:tabs>
        <w:spacing w:line="276" w:lineRule="auto"/>
        <w:jc w:val="both"/>
        <w:rPr>
          <w:rFonts w:ascii="Arial" w:hAnsi="Arial" w:cs="Arial"/>
          <w:sz w:val="20"/>
        </w:rPr>
      </w:pPr>
    </w:p>
    <w:p w14:paraId="432DC4D3" w14:textId="77777777" w:rsidR="00790762" w:rsidRPr="00790762" w:rsidRDefault="00790762" w:rsidP="009601C2">
      <w:pPr>
        <w:numPr>
          <w:ilvl w:val="0"/>
          <w:numId w:val="51"/>
        </w:numPr>
        <w:tabs>
          <w:tab w:val="left" w:pos="3090"/>
        </w:tabs>
        <w:spacing w:line="276" w:lineRule="auto"/>
        <w:jc w:val="both"/>
        <w:rPr>
          <w:rFonts w:ascii="Arial" w:hAnsi="Arial" w:cs="Arial"/>
          <w:sz w:val="20"/>
        </w:rPr>
      </w:pPr>
      <w:r w:rsidRPr="00790762">
        <w:rPr>
          <w:rFonts w:ascii="Arial" w:hAnsi="Arial" w:cs="Arial"/>
          <w:sz w:val="20"/>
        </w:rPr>
        <w:t>Before commencing a balloon specialised operation, the pilot-in-command shall conduct a risk assessment, assessing the complexity of the activity in order to determine the hazards and associated risks of the intended operation and establish mitigating measures where necessary.</w:t>
      </w:r>
    </w:p>
    <w:p w14:paraId="4DE4A573" w14:textId="77777777" w:rsidR="00790762" w:rsidRPr="00790762" w:rsidRDefault="00790762" w:rsidP="009601C2">
      <w:pPr>
        <w:numPr>
          <w:ilvl w:val="0"/>
          <w:numId w:val="51"/>
        </w:numPr>
        <w:tabs>
          <w:tab w:val="left" w:pos="3090"/>
        </w:tabs>
        <w:spacing w:line="276" w:lineRule="auto"/>
        <w:jc w:val="both"/>
        <w:rPr>
          <w:rFonts w:ascii="Arial" w:hAnsi="Arial" w:cs="Arial"/>
          <w:sz w:val="20"/>
        </w:rPr>
      </w:pPr>
      <w:r w:rsidRPr="00790762">
        <w:rPr>
          <w:rFonts w:ascii="Arial" w:hAnsi="Arial" w:cs="Arial"/>
          <w:sz w:val="20"/>
        </w:rPr>
        <w:t>A balloon specialised operation shall be performed in accordance with a checklist. The pilot-in- command shall establish that checklist and ensure that it is appropriate to the specialised activity and balloon used, based on the risk assessment and taking account of all requirements set out in this Subpart. The checklist shall be readily accessible on each flight to the pilot-in- command and other crew members, where it is relevant for the performance of their duties.</w:t>
      </w:r>
    </w:p>
    <w:p w14:paraId="57ABFB9A" w14:textId="77777777" w:rsidR="00790762" w:rsidRPr="00790762" w:rsidRDefault="00790762" w:rsidP="009601C2">
      <w:pPr>
        <w:numPr>
          <w:ilvl w:val="0"/>
          <w:numId w:val="51"/>
        </w:numPr>
        <w:tabs>
          <w:tab w:val="left" w:pos="3090"/>
        </w:tabs>
        <w:spacing w:line="276" w:lineRule="auto"/>
        <w:jc w:val="both"/>
        <w:rPr>
          <w:rFonts w:ascii="Arial" w:hAnsi="Arial" w:cs="Arial"/>
          <w:sz w:val="20"/>
        </w:rPr>
      </w:pPr>
      <w:r w:rsidRPr="00790762">
        <w:rPr>
          <w:rFonts w:ascii="Arial" w:hAnsi="Arial" w:cs="Arial"/>
          <w:sz w:val="20"/>
        </w:rPr>
        <w:t>The pilot-in-command shall regularly review and update the checklist where necessary in order to adequately take account of the risk assessment.</w:t>
      </w:r>
    </w:p>
    <w:p w14:paraId="7BE02014" w14:textId="77777777" w:rsidR="00BE2446" w:rsidRPr="00BE2446" w:rsidRDefault="00BE2446" w:rsidP="009601C2">
      <w:pPr>
        <w:keepNext/>
        <w:keepLines/>
        <w:shd w:val="clear" w:color="auto" w:fill="ED7D31"/>
        <w:spacing w:before="160" w:after="120" w:line="276" w:lineRule="auto"/>
        <w:outlineLvl w:val="4"/>
        <w:rPr>
          <w:rFonts w:ascii="Arial" w:eastAsia="Times New Roman" w:hAnsi="Arial" w:cs="Times New Roman"/>
          <w:b/>
          <w:color w:val="FFFFFF"/>
          <w:sz w:val="24"/>
        </w:rPr>
      </w:pPr>
      <w:r w:rsidRPr="00BE2446">
        <w:rPr>
          <w:rFonts w:ascii="Arial" w:eastAsia="Times New Roman" w:hAnsi="Arial" w:cs="Times New Roman"/>
          <w:b/>
          <w:color w:val="FFFFFF"/>
          <w:sz w:val="24"/>
        </w:rPr>
        <w:t xml:space="preserve"> </w:t>
      </w:r>
      <w:bookmarkStart w:id="196" w:name="AMC1_BOP.BAS.190_Balloon_specialised_ope"/>
      <w:bookmarkStart w:id="197" w:name="_bookmark89"/>
      <w:bookmarkStart w:id="198" w:name="_Toc153137254"/>
      <w:bookmarkEnd w:id="196"/>
      <w:bookmarkEnd w:id="197"/>
      <w:r w:rsidRPr="00BE2446">
        <w:rPr>
          <w:rFonts w:ascii="Arial" w:eastAsia="Times New Roman" w:hAnsi="Arial" w:cs="Times New Roman"/>
          <w:b/>
          <w:color w:val="FFFFFF"/>
          <w:sz w:val="24"/>
        </w:rPr>
        <w:t>AMC1 BOP.BAS.190 Balloon specialised operations — Risk assessment and</w:t>
      </w:r>
      <w:r>
        <w:rPr>
          <w:rFonts w:ascii="Arial" w:eastAsia="Times New Roman" w:hAnsi="Arial" w:cs="Times New Roman"/>
          <w:b/>
          <w:color w:val="FFFFFF"/>
          <w:sz w:val="24"/>
        </w:rPr>
        <w:t xml:space="preserve"> </w:t>
      </w:r>
      <w:r w:rsidRPr="00BE2446">
        <w:rPr>
          <w:rFonts w:ascii="Arial" w:eastAsia="Times New Roman" w:hAnsi="Arial" w:cs="Times New Roman"/>
          <w:b/>
          <w:color w:val="FFFFFF"/>
          <w:sz w:val="24"/>
        </w:rPr>
        <w:t>checklist</w:t>
      </w:r>
      <w:bookmarkEnd w:id="198"/>
    </w:p>
    <w:p w14:paraId="603B9700" w14:textId="77777777" w:rsidR="00BE2446" w:rsidRPr="00BE2446" w:rsidRDefault="00BE2446" w:rsidP="009601C2">
      <w:pPr>
        <w:tabs>
          <w:tab w:val="left" w:pos="3090"/>
        </w:tabs>
        <w:spacing w:line="276" w:lineRule="auto"/>
        <w:jc w:val="both"/>
        <w:rPr>
          <w:rFonts w:ascii="Arial" w:hAnsi="Arial" w:cs="Arial"/>
          <w:b/>
          <w:sz w:val="20"/>
        </w:rPr>
      </w:pPr>
      <w:r w:rsidRPr="00BE2446">
        <w:rPr>
          <w:rFonts w:ascii="Arial" w:hAnsi="Arial" w:cs="Arial"/>
          <w:b/>
          <w:sz w:val="20"/>
        </w:rPr>
        <w:t>CRITERIA FOR BALLOON SPECIALISED OPERATIONS</w:t>
      </w:r>
    </w:p>
    <w:p w14:paraId="691CBF07" w14:textId="77777777" w:rsidR="00BE2446" w:rsidRPr="00BE2446" w:rsidRDefault="00BE2446" w:rsidP="009601C2">
      <w:pPr>
        <w:tabs>
          <w:tab w:val="left" w:pos="3090"/>
        </w:tabs>
        <w:spacing w:line="276" w:lineRule="auto"/>
        <w:jc w:val="both"/>
        <w:rPr>
          <w:rFonts w:ascii="Arial" w:hAnsi="Arial" w:cs="Arial"/>
          <w:sz w:val="20"/>
        </w:rPr>
      </w:pPr>
      <w:r w:rsidRPr="00BE2446">
        <w:rPr>
          <w:rFonts w:ascii="Arial" w:hAnsi="Arial" w:cs="Arial"/>
          <w:sz w:val="20"/>
        </w:rPr>
        <w:t>The pilot-in-command or the operator should consider the following criteria to determine whether an activity falls within the scope of balloon specialised operations:</w:t>
      </w:r>
    </w:p>
    <w:p w14:paraId="0ED95C31" w14:textId="77777777" w:rsidR="00BE2446" w:rsidRPr="00BE2446" w:rsidRDefault="00BE2446" w:rsidP="009601C2">
      <w:pPr>
        <w:numPr>
          <w:ilvl w:val="0"/>
          <w:numId w:val="52"/>
        </w:numPr>
        <w:tabs>
          <w:tab w:val="left" w:pos="3090"/>
        </w:tabs>
        <w:spacing w:line="276" w:lineRule="auto"/>
        <w:jc w:val="both"/>
        <w:rPr>
          <w:rFonts w:ascii="Arial" w:hAnsi="Arial" w:cs="Arial"/>
          <w:sz w:val="20"/>
        </w:rPr>
      </w:pPr>
      <w:r w:rsidRPr="00BE2446">
        <w:rPr>
          <w:rFonts w:ascii="Arial" w:hAnsi="Arial" w:cs="Arial"/>
          <w:sz w:val="20"/>
        </w:rPr>
        <w:t>special equipment is necessary to fulfil the task and which affects the behaviour of the balloon in flight;</w:t>
      </w:r>
    </w:p>
    <w:p w14:paraId="43B285D0" w14:textId="77777777" w:rsidR="00BE2446" w:rsidRPr="00BE2446" w:rsidRDefault="00BE2446" w:rsidP="009601C2">
      <w:pPr>
        <w:numPr>
          <w:ilvl w:val="0"/>
          <w:numId w:val="52"/>
        </w:numPr>
        <w:tabs>
          <w:tab w:val="left" w:pos="3090"/>
        </w:tabs>
        <w:spacing w:line="276" w:lineRule="auto"/>
        <w:jc w:val="both"/>
        <w:rPr>
          <w:rFonts w:ascii="Arial" w:hAnsi="Arial" w:cs="Arial"/>
          <w:sz w:val="20"/>
        </w:rPr>
      </w:pPr>
      <w:r w:rsidRPr="00BE2446">
        <w:rPr>
          <w:rFonts w:ascii="Arial" w:hAnsi="Arial" w:cs="Arial"/>
          <w:sz w:val="20"/>
        </w:rPr>
        <w:t>external loads are lifted; or</w:t>
      </w:r>
    </w:p>
    <w:p w14:paraId="3158DD69" w14:textId="313CA6B2" w:rsidR="00790762" w:rsidRPr="00943DEA" w:rsidRDefault="00BE2446" w:rsidP="009601C2">
      <w:pPr>
        <w:numPr>
          <w:ilvl w:val="0"/>
          <w:numId w:val="52"/>
        </w:numPr>
        <w:tabs>
          <w:tab w:val="left" w:pos="3090"/>
        </w:tabs>
        <w:spacing w:line="276" w:lineRule="auto"/>
        <w:jc w:val="both"/>
        <w:rPr>
          <w:rFonts w:ascii="Arial" w:hAnsi="Arial" w:cs="Arial"/>
          <w:sz w:val="20"/>
        </w:rPr>
      </w:pPr>
      <w:r w:rsidRPr="00BE2446">
        <w:rPr>
          <w:rFonts w:ascii="Arial" w:hAnsi="Arial" w:cs="Arial"/>
          <w:sz w:val="20"/>
        </w:rPr>
        <w:t>persons enter or leave the balloon during flight.</w:t>
      </w:r>
    </w:p>
    <w:p w14:paraId="3932CF53" w14:textId="77777777" w:rsidR="00F1155D" w:rsidRPr="00F1155D" w:rsidRDefault="00F1155D" w:rsidP="009601C2">
      <w:pPr>
        <w:keepNext/>
        <w:keepLines/>
        <w:shd w:val="clear" w:color="auto" w:fill="ED7D31"/>
        <w:spacing w:before="160" w:after="120" w:line="276" w:lineRule="auto"/>
        <w:outlineLvl w:val="4"/>
        <w:rPr>
          <w:rFonts w:ascii="Arial" w:eastAsia="Times New Roman" w:hAnsi="Arial" w:cs="Times New Roman"/>
          <w:b/>
          <w:color w:val="FFFFFF"/>
          <w:sz w:val="24"/>
        </w:rPr>
      </w:pPr>
      <w:bookmarkStart w:id="199" w:name="AMC2_BOP.BAS.190_Balloon_specialised_ope"/>
      <w:bookmarkStart w:id="200" w:name="_bookmark90"/>
      <w:bookmarkStart w:id="201" w:name="_Toc153137255"/>
      <w:bookmarkEnd w:id="199"/>
      <w:bookmarkEnd w:id="200"/>
      <w:r w:rsidRPr="00F1155D">
        <w:rPr>
          <w:rFonts w:ascii="Arial" w:eastAsia="Times New Roman" w:hAnsi="Arial" w:cs="Times New Roman"/>
          <w:b/>
          <w:color w:val="FFFFFF"/>
          <w:sz w:val="24"/>
        </w:rPr>
        <w:t>AMC2 BOP.BAS.190 Balloon specialised operations — Risk assessment and checklist</w:t>
      </w:r>
      <w:bookmarkEnd w:id="201"/>
    </w:p>
    <w:p w14:paraId="6D48763F" w14:textId="77777777" w:rsidR="00F1155D" w:rsidRPr="00F1155D" w:rsidRDefault="00F1155D" w:rsidP="009601C2">
      <w:pPr>
        <w:tabs>
          <w:tab w:val="left" w:pos="3090"/>
        </w:tabs>
        <w:spacing w:line="276" w:lineRule="auto"/>
        <w:jc w:val="both"/>
        <w:rPr>
          <w:rFonts w:ascii="Arial" w:hAnsi="Arial" w:cs="Arial"/>
          <w:b/>
          <w:sz w:val="20"/>
        </w:rPr>
      </w:pPr>
      <w:r w:rsidRPr="00F1155D">
        <w:rPr>
          <w:rFonts w:ascii="Arial" w:hAnsi="Arial" w:cs="Arial"/>
          <w:b/>
          <w:sz w:val="20"/>
        </w:rPr>
        <w:t>DEVELOPMENT OF CHECKLIST</w:t>
      </w:r>
    </w:p>
    <w:p w14:paraId="0FED3996" w14:textId="77777777" w:rsidR="00F1155D" w:rsidRPr="00F1155D" w:rsidRDefault="00F1155D" w:rsidP="009601C2">
      <w:pPr>
        <w:tabs>
          <w:tab w:val="left" w:pos="3090"/>
        </w:tabs>
        <w:spacing w:line="276" w:lineRule="auto"/>
        <w:jc w:val="both"/>
        <w:rPr>
          <w:rFonts w:ascii="Arial" w:hAnsi="Arial" w:cs="Arial"/>
          <w:sz w:val="20"/>
        </w:rPr>
      </w:pPr>
      <w:r w:rsidRPr="00F1155D">
        <w:rPr>
          <w:rFonts w:ascii="Arial" w:hAnsi="Arial" w:cs="Arial"/>
          <w:sz w:val="20"/>
        </w:rPr>
        <w:t>In order to develop a checklist, the pilot-in-command should take into account at least the following items:</w:t>
      </w:r>
    </w:p>
    <w:p w14:paraId="1AC6FC25" w14:textId="77777777" w:rsidR="00F1155D" w:rsidRPr="00F1155D" w:rsidRDefault="00F1155D" w:rsidP="009601C2">
      <w:pPr>
        <w:numPr>
          <w:ilvl w:val="0"/>
          <w:numId w:val="53"/>
        </w:numPr>
        <w:tabs>
          <w:tab w:val="left" w:pos="3090"/>
        </w:tabs>
        <w:spacing w:line="276" w:lineRule="auto"/>
        <w:jc w:val="both"/>
        <w:rPr>
          <w:rFonts w:ascii="Arial" w:hAnsi="Arial" w:cs="Arial"/>
          <w:sz w:val="20"/>
        </w:rPr>
      </w:pPr>
      <w:r w:rsidRPr="00F1155D">
        <w:rPr>
          <w:rFonts w:ascii="Arial" w:hAnsi="Arial" w:cs="Arial"/>
          <w:sz w:val="20"/>
        </w:rPr>
        <w:t>nature and complexity of the activity:</w:t>
      </w:r>
    </w:p>
    <w:p w14:paraId="5EC3EA4F" w14:textId="77777777" w:rsidR="00F1155D" w:rsidRPr="00F1155D" w:rsidRDefault="00F1155D" w:rsidP="009601C2">
      <w:pPr>
        <w:numPr>
          <w:ilvl w:val="1"/>
          <w:numId w:val="53"/>
        </w:numPr>
        <w:tabs>
          <w:tab w:val="left" w:pos="3090"/>
        </w:tabs>
        <w:spacing w:line="276" w:lineRule="auto"/>
        <w:jc w:val="both"/>
        <w:rPr>
          <w:rFonts w:ascii="Arial" w:hAnsi="Arial" w:cs="Arial"/>
          <w:sz w:val="20"/>
        </w:rPr>
      </w:pPr>
      <w:r w:rsidRPr="00F1155D">
        <w:rPr>
          <w:rFonts w:ascii="Arial" w:hAnsi="Arial" w:cs="Arial"/>
          <w:sz w:val="20"/>
        </w:rPr>
        <w:t>the nature of the flight and risk exposure;</w:t>
      </w:r>
    </w:p>
    <w:p w14:paraId="1D00D4DC" w14:textId="77777777" w:rsidR="00F1155D" w:rsidRPr="00F1155D" w:rsidRDefault="00F1155D" w:rsidP="009601C2">
      <w:pPr>
        <w:numPr>
          <w:ilvl w:val="1"/>
          <w:numId w:val="53"/>
        </w:numPr>
        <w:tabs>
          <w:tab w:val="left" w:pos="3090"/>
        </w:tabs>
        <w:spacing w:line="276" w:lineRule="auto"/>
        <w:jc w:val="both"/>
        <w:rPr>
          <w:rFonts w:ascii="Arial" w:hAnsi="Arial" w:cs="Arial"/>
          <w:sz w:val="20"/>
        </w:rPr>
      </w:pPr>
      <w:r w:rsidRPr="00F1155D">
        <w:rPr>
          <w:rFonts w:ascii="Arial" w:hAnsi="Arial" w:cs="Arial"/>
          <w:sz w:val="20"/>
        </w:rPr>
        <w:lastRenderedPageBreak/>
        <w:t>the complexity of the activity taking into account the necessary pilot skills and level of experience, ground support, and individual protective equipment;</w:t>
      </w:r>
    </w:p>
    <w:p w14:paraId="43F2AE93" w14:textId="77777777" w:rsidR="00F1155D" w:rsidRPr="00F1155D" w:rsidRDefault="00F1155D" w:rsidP="009601C2">
      <w:pPr>
        <w:numPr>
          <w:ilvl w:val="1"/>
          <w:numId w:val="53"/>
        </w:numPr>
        <w:tabs>
          <w:tab w:val="left" w:pos="3090"/>
        </w:tabs>
        <w:spacing w:line="276" w:lineRule="auto"/>
        <w:jc w:val="both"/>
        <w:rPr>
          <w:rFonts w:ascii="Arial" w:hAnsi="Arial" w:cs="Arial"/>
          <w:sz w:val="20"/>
        </w:rPr>
      </w:pPr>
      <w:r w:rsidRPr="00F1155D">
        <w:rPr>
          <w:rFonts w:ascii="Arial" w:hAnsi="Arial" w:cs="Arial"/>
          <w:sz w:val="20"/>
        </w:rPr>
        <w:t>the operational environment and geographical area; and</w:t>
      </w:r>
    </w:p>
    <w:p w14:paraId="50200F26" w14:textId="77777777" w:rsidR="00F1155D" w:rsidRPr="00F1155D" w:rsidRDefault="00F1155D" w:rsidP="009601C2">
      <w:pPr>
        <w:numPr>
          <w:ilvl w:val="1"/>
          <w:numId w:val="53"/>
        </w:numPr>
        <w:tabs>
          <w:tab w:val="left" w:pos="3090"/>
        </w:tabs>
        <w:spacing w:line="276" w:lineRule="auto"/>
        <w:jc w:val="both"/>
        <w:rPr>
          <w:rFonts w:ascii="Arial" w:hAnsi="Arial" w:cs="Arial"/>
          <w:sz w:val="20"/>
        </w:rPr>
      </w:pPr>
      <w:r w:rsidRPr="00F1155D">
        <w:rPr>
          <w:rFonts w:ascii="Arial" w:hAnsi="Arial" w:cs="Arial"/>
          <w:sz w:val="20"/>
        </w:rPr>
        <w:t>the result of the risk assessment and evaluation;</w:t>
      </w:r>
    </w:p>
    <w:p w14:paraId="78F20529" w14:textId="77777777" w:rsidR="00F1155D" w:rsidRPr="00F1155D" w:rsidRDefault="00F1155D" w:rsidP="009601C2">
      <w:pPr>
        <w:numPr>
          <w:ilvl w:val="0"/>
          <w:numId w:val="53"/>
        </w:numPr>
        <w:tabs>
          <w:tab w:val="left" w:pos="3090"/>
        </w:tabs>
        <w:spacing w:line="276" w:lineRule="auto"/>
        <w:jc w:val="both"/>
        <w:rPr>
          <w:rFonts w:ascii="Arial" w:hAnsi="Arial" w:cs="Arial"/>
          <w:sz w:val="20"/>
        </w:rPr>
      </w:pPr>
      <w:r w:rsidRPr="00F1155D">
        <w:rPr>
          <w:rFonts w:ascii="Arial" w:hAnsi="Arial" w:cs="Arial"/>
          <w:sz w:val="20"/>
        </w:rPr>
        <w:t>balloon and equipment:</w:t>
      </w:r>
    </w:p>
    <w:p w14:paraId="77BCE65C" w14:textId="77777777" w:rsidR="00F1155D" w:rsidRPr="00F1155D" w:rsidRDefault="00F1155D" w:rsidP="00453B73">
      <w:pPr>
        <w:tabs>
          <w:tab w:val="left" w:pos="3090"/>
        </w:tabs>
        <w:spacing w:line="276" w:lineRule="auto"/>
        <w:ind w:left="706"/>
        <w:jc w:val="both"/>
        <w:rPr>
          <w:rFonts w:ascii="Arial" w:hAnsi="Arial" w:cs="Arial"/>
          <w:sz w:val="20"/>
        </w:rPr>
      </w:pPr>
      <w:r w:rsidRPr="00F1155D">
        <w:rPr>
          <w:rFonts w:ascii="Arial" w:hAnsi="Arial" w:cs="Arial"/>
          <w:sz w:val="20"/>
        </w:rPr>
        <w:t>all equipment required for the activity should be listed;</w:t>
      </w:r>
    </w:p>
    <w:p w14:paraId="24DE49FD" w14:textId="77777777" w:rsidR="00F1155D" w:rsidRPr="00F1155D" w:rsidRDefault="00F1155D" w:rsidP="009601C2">
      <w:pPr>
        <w:numPr>
          <w:ilvl w:val="0"/>
          <w:numId w:val="53"/>
        </w:numPr>
        <w:tabs>
          <w:tab w:val="left" w:pos="3090"/>
        </w:tabs>
        <w:spacing w:line="276" w:lineRule="auto"/>
        <w:jc w:val="both"/>
        <w:rPr>
          <w:rFonts w:ascii="Arial" w:hAnsi="Arial" w:cs="Arial"/>
          <w:sz w:val="20"/>
        </w:rPr>
      </w:pPr>
      <w:r w:rsidRPr="00F1155D">
        <w:rPr>
          <w:rFonts w:ascii="Arial" w:hAnsi="Arial" w:cs="Arial"/>
          <w:sz w:val="20"/>
        </w:rPr>
        <w:t>crew members:</w:t>
      </w:r>
    </w:p>
    <w:p w14:paraId="7EC93E68" w14:textId="77777777" w:rsidR="00F1155D" w:rsidRPr="00F1155D" w:rsidRDefault="00F1155D" w:rsidP="009601C2">
      <w:pPr>
        <w:numPr>
          <w:ilvl w:val="1"/>
          <w:numId w:val="53"/>
        </w:numPr>
        <w:tabs>
          <w:tab w:val="left" w:pos="3090"/>
        </w:tabs>
        <w:spacing w:line="276" w:lineRule="auto"/>
        <w:jc w:val="both"/>
        <w:rPr>
          <w:rFonts w:ascii="Arial" w:hAnsi="Arial" w:cs="Arial"/>
          <w:sz w:val="20"/>
        </w:rPr>
      </w:pPr>
      <w:r w:rsidRPr="00F1155D">
        <w:rPr>
          <w:rFonts w:ascii="Arial" w:hAnsi="Arial" w:cs="Arial"/>
          <w:sz w:val="20"/>
        </w:rPr>
        <w:t>crew composition;</w:t>
      </w:r>
    </w:p>
    <w:p w14:paraId="096C1146" w14:textId="77777777" w:rsidR="00F1155D" w:rsidRPr="00F1155D" w:rsidRDefault="00F1155D" w:rsidP="009601C2">
      <w:pPr>
        <w:numPr>
          <w:ilvl w:val="1"/>
          <w:numId w:val="53"/>
        </w:numPr>
        <w:tabs>
          <w:tab w:val="left" w:pos="3090"/>
        </w:tabs>
        <w:spacing w:line="276" w:lineRule="auto"/>
        <w:jc w:val="both"/>
        <w:rPr>
          <w:rFonts w:ascii="Arial" w:hAnsi="Arial" w:cs="Arial"/>
          <w:sz w:val="20"/>
        </w:rPr>
      </w:pPr>
      <w:r w:rsidRPr="00F1155D">
        <w:rPr>
          <w:rFonts w:ascii="Arial" w:hAnsi="Arial" w:cs="Arial"/>
          <w:sz w:val="20"/>
        </w:rPr>
        <w:t>duties of crew members;</w:t>
      </w:r>
    </w:p>
    <w:p w14:paraId="11DF56B7" w14:textId="77777777" w:rsidR="00F1155D" w:rsidRPr="00F1155D" w:rsidRDefault="00F1155D" w:rsidP="009601C2">
      <w:pPr>
        <w:numPr>
          <w:ilvl w:val="1"/>
          <w:numId w:val="53"/>
        </w:numPr>
        <w:tabs>
          <w:tab w:val="left" w:pos="3090"/>
        </w:tabs>
        <w:spacing w:line="276" w:lineRule="auto"/>
        <w:jc w:val="both"/>
        <w:rPr>
          <w:rFonts w:ascii="Arial" w:hAnsi="Arial" w:cs="Arial"/>
          <w:sz w:val="20"/>
        </w:rPr>
      </w:pPr>
      <w:r w:rsidRPr="00F1155D">
        <w:rPr>
          <w:rFonts w:ascii="Arial" w:hAnsi="Arial" w:cs="Arial"/>
          <w:sz w:val="20"/>
        </w:rPr>
        <w:t>minimum crew experience and training provisions; and</w:t>
      </w:r>
    </w:p>
    <w:p w14:paraId="400E6B5E" w14:textId="77777777" w:rsidR="00F1155D" w:rsidRPr="00F1155D" w:rsidRDefault="00F1155D" w:rsidP="009601C2">
      <w:pPr>
        <w:numPr>
          <w:ilvl w:val="1"/>
          <w:numId w:val="53"/>
        </w:numPr>
        <w:tabs>
          <w:tab w:val="left" w:pos="3090"/>
        </w:tabs>
        <w:spacing w:line="276" w:lineRule="auto"/>
        <w:jc w:val="both"/>
        <w:rPr>
          <w:rFonts w:ascii="Arial" w:hAnsi="Arial" w:cs="Arial"/>
          <w:sz w:val="20"/>
        </w:rPr>
      </w:pPr>
      <w:r w:rsidRPr="00F1155D">
        <w:rPr>
          <w:rFonts w:ascii="Arial" w:hAnsi="Arial" w:cs="Arial"/>
          <w:sz w:val="20"/>
        </w:rPr>
        <w:t>recency provisions;</w:t>
      </w:r>
    </w:p>
    <w:p w14:paraId="0439DA88" w14:textId="77777777" w:rsidR="00F1155D" w:rsidRPr="00F1155D" w:rsidRDefault="00F1155D" w:rsidP="009601C2">
      <w:pPr>
        <w:numPr>
          <w:ilvl w:val="0"/>
          <w:numId w:val="53"/>
        </w:numPr>
        <w:tabs>
          <w:tab w:val="left" w:pos="3090"/>
        </w:tabs>
        <w:spacing w:line="276" w:lineRule="auto"/>
        <w:jc w:val="both"/>
        <w:rPr>
          <w:rFonts w:ascii="Arial" w:hAnsi="Arial" w:cs="Arial"/>
          <w:sz w:val="20"/>
        </w:rPr>
      </w:pPr>
      <w:r w:rsidRPr="00F1155D">
        <w:rPr>
          <w:rFonts w:ascii="Arial" w:hAnsi="Arial" w:cs="Arial"/>
          <w:sz w:val="20"/>
        </w:rPr>
        <w:t>normal, abnormal and emergency procedures:</w:t>
      </w:r>
    </w:p>
    <w:p w14:paraId="3A813DAB" w14:textId="77777777" w:rsidR="00F1155D" w:rsidRPr="00F1155D" w:rsidRDefault="00F1155D" w:rsidP="009601C2">
      <w:pPr>
        <w:numPr>
          <w:ilvl w:val="1"/>
          <w:numId w:val="53"/>
        </w:numPr>
        <w:tabs>
          <w:tab w:val="left" w:pos="3090"/>
        </w:tabs>
        <w:spacing w:line="276" w:lineRule="auto"/>
        <w:jc w:val="both"/>
        <w:rPr>
          <w:rFonts w:ascii="Arial" w:hAnsi="Arial" w:cs="Arial"/>
          <w:sz w:val="20"/>
        </w:rPr>
      </w:pPr>
      <w:r w:rsidRPr="00F1155D">
        <w:rPr>
          <w:rFonts w:ascii="Arial" w:hAnsi="Arial" w:cs="Arial"/>
          <w:sz w:val="20"/>
        </w:rPr>
        <w:t>operating procedures for the flight crew; and</w:t>
      </w:r>
    </w:p>
    <w:p w14:paraId="0B278DAF" w14:textId="77777777" w:rsidR="00F1155D" w:rsidRPr="00F1155D" w:rsidRDefault="00F1155D" w:rsidP="009601C2">
      <w:pPr>
        <w:numPr>
          <w:ilvl w:val="1"/>
          <w:numId w:val="53"/>
        </w:numPr>
        <w:tabs>
          <w:tab w:val="left" w:pos="3090"/>
        </w:tabs>
        <w:spacing w:line="276" w:lineRule="auto"/>
        <w:jc w:val="both"/>
        <w:rPr>
          <w:rFonts w:ascii="Arial" w:hAnsi="Arial" w:cs="Arial"/>
          <w:sz w:val="20"/>
        </w:rPr>
      </w:pPr>
      <w:r w:rsidRPr="00F1155D">
        <w:rPr>
          <w:rFonts w:ascii="Arial" w:hAnsi="Arial" w:cs="Arial"/>
          <w:sz w:val="20"/>
        </w:rPr>
        <w:t>ground procedures for crew members; and</w:t>
      </w:r>
    </w:p>
    <w:p w14:paraId="07732DC5" w14:textId="77777777" w:rsidR="00F1155D" w:rsidRPr="00F1155D" w:rsidRDefault="00F1155D" w:rsidP="009601C2">
      <w:pPr>
        <w:numPr>
          <w:ilvl w:val="0"/>
          <w:numId w:val="53"/>
        </w:numPr>
        <w:tabs>
          <w:tab w:val="left" w:pos="3090"/>
        </w:tabs>
        <w:spacing w:line="276" w:lineRule="auto"/>
        <w:jc w:val="both"/>
        <w:rPr>
          <w:rFonts w:ascii="Arial" w:hAnsi="Arial" w:cs="Arial"/>
          <w:sz w:val="20"/>
        </w:rPr>
      </w:pPr>
      <w:r w:rsidRPr="00F1155D">
        <w:rPr>
          <w:rFonts w:ascii="Arial" w:hAnsi="Arial" w:cs="Arial"/>
          <w:sz w:val="20"/>
        </w:rPr>
        <w:t>records:</w:t>
      </w:r>
    </w:p>
    <w:p w14:paraId="68AFA512" w14:textId="77777777" w:rsidR="00F1155D" w:rsidRDefault="00F1155D" w:rsidP="00453B73">
      <w:pPr>
        <w:tabs>
          <w:tab w:val="left" w:pos="3090"/>
        </w:tabs>
        <w:spacing w:line="276" w:lineRule="auto"/>
        <w:ind w:left="706"/>
        <w:jc w:val="both"/>
        <w:rPr>
          <w:rFonts w:ascii="Arial" w:hAnsi="Arial" w:cs="Arial"/>
          <w:sz w:val="20"/>
        </w:rPr>
      </w:pPr>
      <w:r w:rsidRPr="00F1155D">
        <w:rPr>
          <w:rFonts w:ascii="Arial" w:hAnsi="Arial" w:cs="Arial"/>
          <w:sz w:val="20"/>
        </w:rPr>
        <w:t>it should be determined which records specific to the flight(s) are to be kept, such as task details, balloon registration, pilot-in-command, flight times, weather and any remarks, including a record of occurrences affecting flight safety or the safety of persons or property on the ground</w:t>
      </w:r>
      <w:r w:rsidR="000F2382">
        <w:rPr>
          <w:rFonts w:ascii="Arial" w:hAnsi="Arial" w:cs="Arial"/>
          <w:sz w:val="20"/>
        </w:rPr>
        <w:t>.</w:t>
      </w:r>
    </w:p>
    <w:p w14:paraId="355CA0D2" w14:textId="77777777" w:rsidR="000F2382" w:rsidRDefault="000F2382" w:rsidP="009601C2">
      <w:pPr>
        <w:tabs>
          <w:tab w:val="left" w:pos="3090"/>
        </w:tabs>
        <w:spacing w:line="276" w:lineRule="auto"/>
        <w:jc w:val="both"/>
        <w:rPr>
          <w:rFonts w:ascii="Arial" w:hAnsi="Arial" w:cs="Arial"/>
          <w:sz w:val="20"/>
        </w:rPr>
      </w:pPr>
    </w:p>
    <w:p w14:paraId="3D9266BD" w14:textId="77777777" w:rsidR="000F2382" w:rsidRPr="000F2382" w:rsidRDefault="000F2382" w:rsidP="009601C2">
      <w:pPr>
        <w:keepNext/>
        <w:keepLines/>
        <w:shd w:val="clear" w:color="auto" w:fill="ED7D31"/>
        <w:spacing w:before="160" w:after="120" w:line="276" w:lineRule="auto"/>
        <w:outlineLvl w:val="4"/>
        <w:rPr>
          <w:rFonts w:ascii="Arial" w:eastAsia="Times New Roman" w:hAnsi="Arial" w:cs="Times New Roman"/>
          <w:b/>
          <w:color w:val="FFFFFF"/>
          <w:sz w:val="24"/>
        </w:rPr>
      </w:pPr>
      <w:bookmarkStart w:id="202" w:name="AMC3_BOP.BAS.190_Balloon_specialised_ope"/>
      <w:bookmarkStart w:id="203" w:name="_bookmark91"/>
      <w:bookmarkStart w:id="204" w:name="_Toc153137256"/>
      <w:bookmarkEnd w:id="202"/>
      <w:bookmarkEnd w:id="203"/>
      <w:r w:rsidRPr="000F2382">
        <w:rPr>
          <w:rFonts w:ascii="Arial" w:eastAsia="Times New Roman" w:hAnsi="Arial" w:cs="Times New Roman"/>
          <w:b/>
          <w:color w:val="FFFFFF"/>
          <w:sz w:val="24"/>
        </w:rPr>
        <w:t>AMC3 BOP.BAS.190 Balloon specialised operations — Risk assessment and checklist</w:t>
      </w:r>
      <w:bookmarkEnd w:id="204"/>
    </w:p>
    <w:p w14:paraId="347C4152" w14:textId="77777777" w:rsidR="000F2382" w:rsidRPr="000F2382" w:rsidRDefault="000F2382" w:rsidP="009601C2">
      <w:pPr>
        <w:tabs>
          <w:tab w:val="left" w:pos="3090"/>
        </w:tabs>
        <w:spacing w:line="276" w:lineRule="auto"/>
        <w:jc w:val="both"/>
        <w:rPr>
          <w:rFonts w:ascii="Arial" w:hAnsi="Arial" w:cs="Arial"/>
          <w:b/>
          <w:sz w:val="20"/>
        </w:rPr>
      </w:pPr>
      <w:r w:rsidRPr="000F2382">
        <w:rPr>
          <w:rFonts w:ascii="Arial" w:hAnsi="Arial" w:cs="Arial"/>
          <w:b/>
          <w:sz w:val="20"/>
        </w:rPr>
        <w:t>CHECKLIST FOR PARACHUTE OPERATIONS</w:t>
      </w:r>
    </w:p>
    <w:p w14:paraId="1DE2A668" w14:textId="77777777" w:rsidR="000F2382" w:rsidRPr="000F2382" w:rsidRDefault="000F2382" w:rsidP="009601C2">
      <w:pPr>
        <w:tabs>
          <w:tab w:val="left" w:pos="3090"/>
        </w:tabs>
        <w:spacing w:line="276" w:lineRule="auto"/>
        <w:jc w:val="both"/>
        <w:rPr>
          <w:rFonts w:ascii="Arial" w:hAnsi="Arial" w:cs="Arial"/>
          <w:sz w:val="20"/>
        </w:rPr>
      </w:pPr>
      <w:r w:rsidRPr="000F2382">
        <w:rPr>
          <w:rFonts w:ascii="Arial" w:hAnsi="Arial" w:cs="Arial"/>
          <w:sz w:val="20"/>
        </w:rPr>
        <w:t>The checklist for parachute operations should include:</w:t>
      </w:r>
    </w:p>
    <w:p w14:paraId="1B169F6D" w14:textId="77777777" w:rsidR="000F2382" w:rsidRPr="000F2382" w:rsidRDefault="000F2382" w:rsidP="009601C2">
      <w:pPr>
        <w:numPr>
          <w:ilvl w:val="0"/>
          <w:numId w:val="54"/>
        </w:numPr>
        <w:tabs>
          <w:tab w:val="left" w:pos="3090"/>
        </w:tabs>
        <w:spacing w:line="276" w:lineRule="auto"/>
        <w:rPr>
          <w:rFonts w:ascii="Arial" w:hAnsi="Arial" w:cs="Arial"/>
          <w:sz w:val="20"/>
        </w:rPr>
      </w:pPr>
      <w:r w:rsidRPr="000F2382">
        <w:rPr>
          <w:rFonts w:ascii="Arial" w:hAnsi="Arial" w:cs="Arial"/>
          <w:sz w:val="20"/>
        </w:rPr>
        <w:t>normal, abnormal and emergency procedures;</w:t>
      </w:r>
    </w:p>
    <w:p w14:paraId="4DEEE28D" w14:textId="77777777" w:rsidR="000F2382" w:rsidRPr="000F2382" w:rsidRDefault="000F2382" w:rsidP="009601C2">
      <w:pPr>
        <w:numPr>
          <w:ilvl w:val="0"/>
          <w:numId w:val="54"/>
        </w:numPr>
        <w:tabs>
          <w:tab w:val="left" w:pos="3090"/>
        </w:tabs>
        <w:spacing w:line="276" w:lineRule="auto"/>
        <w:jc w:val="both"/>
        <w:rPr>
          <w:rFonts w:ascii="Arial" w:hAnsi="Arial" w:cs="Arial"/>
          <w:sz w:val="20"/>
        </w:rPr>
      </w:pPr>
      <w:r w:rsidRPr="000F2382">
        <w:rPr>
          <w:rFonts w:ascii="Arial" w:hAnsi="Arial" w:cs="Arial"/>
          <w:sz w:val="20"/>
        </w:rPr>
        <w:t>relevant performance data;</w:t>
      </w:r>
    </w:p>
    <w:p w14:paraId="60761FC6" w14:textId="77777777" w:rsidR="000F2382" w:rsidRPr="000F2382" w:rsidRDefault="000F2382" w:rsidP="009601C2">
      <w:pPr>
        <w:numPr>
          <w:ilvl w:val="0"/>
          <w:numId w:val="54"/>
        </w:numPr>
        <w:tabs>
          <w:tab w:val="left" w:pos="3090"/>
        </w:tabs>
        <w:spacing w:line="276" w:lineRule="auto"/>
        <w:jc w:val="both"/>
        <w:rPr>
          <w:rFonts w:ascii="Arial" w:hAnsi="Arial" w:cs="Arial"/>
          <w:sz w:val="20"/>
        </w:rPr>
      </w:pPr>
      <w:r w:rsidRPr="000F2382">
        <w:rPr>
          <w:rFonts w:ascii="Arial" w:hAnsi="Arial" w:cs="Arial"/>
          <w:sz w:val="20"/>
        </w:rPr>
        <w:t>required equipment;</w:t>
      </w:r>
    </w:p>
    <w:p w14:paraId="2EADE5FE" w14:textId="77777777" w:rsidR="000F2382" w:rsidRDefault="000F2382" w:rsidP="009601C2">
      <w:pPr>
        <w:numPr>
          <w:ilvl w:val="0"/>
          <w:numId w:val="54"/>
        </w:numPr>
        <w:tabs>
          <w:tab w:val="left" w:pos="3090"/>
        </w:tabs>
        <w:spacing w:line="276" w:lineRule="auto"/>
        <w:jc w:val="both"/>
        <w:rPr>
          <w:rFonts w:ascii="Arial" w:hAnsi="Arial" w:cs="Arial"/>
          <w:sz w:val="20"/>
        </w:rPr>
      </w:pPr>
      <w:r w:rsidRPr="000F2382">
        <w:rPr>
          <w:rFonts w:ascii="Arial" w:hAnsi="Arial" w:cs="Arial"/>
          <w:sz w:val="20"/>
        </w:rPr>
        <w:t>any limitations such as maximum take-off mass and minimum landing mass; and</w:t>
      </w:r>
    </w:p>
    <w:p w14:paraId="605D0CCD" w14:textId="77777777" w:rsidR="000F2382" w:rsidRPr="000F2382" w:rsidRDefault="000F2382" w:rsidP="009601C2">
      <w:pPr>
        <w:numPr>
          <w:ilvl w:val="0"/>
          <w:numId w:val="54"/>
        </w:numPr>
        <w:tabs>
          <w:tab w:val="left" w:pos="3090"/>
        </w:tabs>
        <w:spacing w:line="276" w:lineRule="auto"/>
        <w:jc w:val="both"/>
        <w:rPr>
          <w:rFonts w:ascii="Arial" w:hAnsi="Arial" w:cs="Arial"/>
          <w:sz w:val="20"/>
        </w:rPr>
      </w:pPr>
      <w:r w:rsidRPr="000F2382">
        <w:rPr>
          <w:rFonts w:ascii="Arial" w:hAnsi="Arial" w:cs="Arial"/>
          <w:sz w:val="20"/>
        </w:rPr>
        <w:t>responsibilities and duties of the pilot-in-command and, if applicable, of crew members.</w:t>
      </w:r>
    </w:p>
    <w:p w14:paraId="6CC0F1E8" w14:textId="77777777" w:rsidR="00A9153A" w:rsidRDefault="00A9153A" w:rsidP="009601C2">
      <w:pPr>
        <w:tabs>
          <w:tab w:val="left" w:pos="3090"/>
        </w:tabs>
        <w:spacing w:line="276" w:lineRule="auto"/>
        <w:ind w:left="139"/>
        <w:jc w:val="both"/>
        <w:rPr>
          <w:rFonts w:ascii="Arial" w:hAnsi="Arial" w:cs="Arial"/>
          <w:sz w:val="20"/>
        </w:rPr>
      </w:pPr>
    </w:p>
    <w:p w14:paraId="410D3E87" w14:textId="77777777" w:rsidR="00A9153A" w:rsidRPr="00A9153A" w:rsidRDefault="00A9153A" w:rsidP="009601C2">
      <w:pPr>
        <w:keepNext/>
        <w:keepLines/>
        <w:widowControl/>
        <w:shd w:val="clear" w:color="auto" w:fill="339966"/>
        <w:autoSpaceDE/>
        <w:autoSpaceDN/>
        <w:spacing w:before="160" w:after="120" w:line="276" w:lineRule="auto"/>
        <w:outlineLvl w:val="4"/>
        <w:rPr>
          <w:rFonts w:ascii="Arial" w:eastAsia="Times New Roman" w:hAnsi="Arial" w:cs="Times New Roman"/>
          <w:b/>
          <w:color w:val="FFFFFF"/>
          <w:sz w:val="24"/>
        </w:rPr>
      </w:pPr>
      <w:bookmarkStart w:id="205" w:name="GM1_BOP.BAS.190_Balloon_specialised_oper"/>
      <w:bookmarkStart w:id="206" w:name="_bookmark92"/>
      <w:bookmarkStart w:id="207" w:name="_Toc153137257"/>
      <w:bookmarkEnd w:id="205"/>
      <w:bookmarkEnd w:id="206"/>
      <w:r w:rsidRPr="00A9153A">
        <w:rPr>
          <w:rFonts w:ascii="Arial" w:eastAsia="Times New Roman" w:hAnsi="Arial" w:cs="Times New Roman"/>
          <w:b/>
          <w:color w:val="FFFFFF"/>
          <w:sz w:val="24"/>
        </w:rPr>
        <w:t>GM1 BOP.BAS.190 Balloon specialised operations — Risk assessment and checklist</w:t>
      </w:r>
      <w:bookmarkEnd w:id="207"/>
    </w:p>
    <w:p w14:paraId="34249497" w14:textId="77777777" w:rsidR="00A9153A" w:rsidRPr="00276D5E" w:rsidRDefault="00A9153A" w:rsidP="009601C2">
      <w:pPr>
        <w:tabs>
          <w:tab w:val="left" w:pos="3090"/>
        </w:tabs>
        <w:spacing w:line="276" w:lineRule="auto"/>
        <w:jc w:val="both"/>
        <w:rPr>
          <w:rFonts w:ascii="Arial" w:hAnsi="Arial" w:cs="Arial"/>
          <w:b/>
          <w:sz w:val="20"/>
        </w:rPr>
      </w:pPr>
      <w:r w:rsidRPr="00276D5E">
        <w:rPr>
          <w:rFonts w:ascii="Arial" w:hAnsi="Arial" w:cs="Arial"/>
          <w:b/>
          <w:sz w:val="20"/>
        </w:rPr>
        <w:t>LIST</w:t>
      </w:r>
      <w:r w:rsidRPr="00A9153A">
        <w:rPr>
          <w:rFonts w:ascii="Arial" w:hAnsi="Arial" w:cs="Arial"/>
          <w:b/>
          <w:sz w:val="20"/>
        </w:rPr>
        <w:t xml:space="preserve"> </w:t>
      </w:r>
      <w:r w:rsidRPr="00276D5E">
        <w:rPr>
          <w:rFonts w:ascii="Arial" w:hAnsi="Arial" w:cs="Arial"/>
          <w:b/>
          <w:sz w:val="20"/>
        </w:rPr>
        <w:t>OF</w:t>
      </w:r>
      <w:r w:rsidRPr="00A9153A">
        <w:rPr>
          <w:rFonts w:ascii="Arial" w:hAnsi="Arial" w:cs="Arial"/>
          <w:b/>
          <w:sz w:val="20"/>
        </w:rPr>
        <w:t xml:space="preserve"> </w:t>
      </w:r>
      <w:r w:rsidRPr="00276D5E">
        <w:rPr>
          <w:rFonts w:ascii="Arial" w:hAnsi="Arial" w:cs="Arial"/>
          <w:b/>
          <w:sz w:val="20"/>
        </w:rPr>
        <w:t>OPERATIONS</w:t>
      </w:r>
    </w:p>
    <w:p w14:paraId="7A652CA2" w14:textId="77777777" w:rsidR="00A9153A" w:rsidRPr="00A9153A" w:rsidRDefault="00A9153A" w:rsidP="009601C2">
      <w:pPr>
        <w:pStyle w:val="ListParagraph"/>
        <w:numPr>
          <w:ilvl w:val="0"/>
          <w:numId w:val="55"/>
        </w:numPr>
        <w:tabs>
          <w:tab w:val="left" w:pos="706"/>
          <w:tab w:val="left" w:pos="707"/>
        </w:tabs>
        <w:spacing w:before="118" w:line="276" w:lineRule="auto"/>
        <w:rPr>
          <w:rFonts w:ascii="Arial" w:hAnsi="Arial" w:cs="Arial"/>
          <w:sz w:val="20"/>
        </w:rPr>
      </w:pPr>
      <w:r w:rsidRPr="00A9153A">
        <w:rPr>
          <w:rFonts w:ascii="Arial" w:hAnsi="Arial" w:cs="Arial"/>
          <w:sz w:val="20"/>
        </w:rPr>
        <w:t>Balloon</w:t>
      </w:r>
      <w:r w:rsidRPr="00A9153A">
        <w:rPr>
          <w:rFonts w:ascii="Arial" w:hAnsi="Arial" w:cs="Arial"/>
          <w:spacing w:val="-6"/>
          <w:sz w:val="20"/>
        </w:rPr>
        <w:t xml:space="preserve"> </w:t>
      </w:r>
      <w:r w:rsidRPr="00A9153A">
        <w:rPr>
          <w:rFonts w:ascii="Arial" w:hAnsi="Arial" w:cs="Arial"/>
          <w:sz w:val="20"/>
        </w:rPr>
        <w:t>specialised</w:t>
      </w:r>
      <w:r w:rsidRPr="00A9153A">
        <w:rPr>
          <w:rFonts w:ascii="Arial" w:hAnsi="Arial" w:cs="Arial"/>
          <w:spacing w:val="-1"/>
          <w:sz w:val="20"/>
        </w:rPr>
        <w:t xml:space="preserve"> </w:t>
      </w:r>
      <w:r w:rsidRPr="00A9153A">
        <w:rPr>
          <w:rFonts w:ascii="Arial" w:hAnsi="Arial" w:cs="Arial"/>
          <w:sz w:val="20"/>
        </w:rPr>
        <w:t>operations</w:t>
      </w:r>
      <w:r w:rsidRPr="00A9153A">
        <w:rPr>
          <w:rFonts w:ascii="Arial" w:hAnsi="Arial" w:cs="Arial"/>
          <w:spacing w:val="-1"/>
          <w:sz w:val="20"/>
        </w:rPr>
        <w:t xml:space="preserve"> </w:t>
      </w:r>
      <w:r w:rsidRPr="00A9153A">
        <w:rPr>
          <w:rFonts w:ascii="Arial" w:hAnsi="Arial" w:cs="Arial"/>
          <w:sz w:val="20"/>
        </w:rPr>
        <w:t>include</w:t>
      </w:r>
      <w:r w:rsidRPr="00A9153A">
        <w:rPr>
          <w:rFonts w:ascii="Arial" w:hAnsi="Arial" w:cs="Arial"/>
          <w:spacing w:val="-4"/>
          <w:sz w:val="20"/>
        </w:rPr>
        <w:t xml:space="preserve"> </w:t>
      </w:r>
      <w:r w:rsidRPr="00A9153A">
        <w:rPr>
          <w:rFonts w:ascii="Arial" w:hAnsi="Arial" w:cs="Arial"/>
          <w:sz w:val="20"/>
        </w:rPr>
        <w:t>the</w:t>
      </w:r>
      <w:r w:rsidRPr="00A9153A">
        <w:rPr>
          <w:rFonts w:ascii="Arial" w:hAnsi="Arial" w:cs="Arial"/>
          <w:spacing w:val="-1"/>
          <w:sz w:val="20"/>
        </w:rPr>
        <w:t xml:space="preserve"> </w:t>
      </w:r>
      <w:r w:rsidRPr="00A9153A">
        <w:rPr>
          <w:rFonts w:ascii="Arial" w:hAnsi="Arial" w:cs="Arial"/>
          <w:sz w:val="20"/>
        </w:rPr>
        <w:t>following</w:t>
      </w:r>
      <w:r w:rsidRPr="00A9153A">
        <w:rPr>
          <w:rFonts w:ascii="Arial" w:hAnsi="Arial" w:cs="Arial"/>
          <w:spacing w:val="-3"/>
          <w:sz w:val="20"/>
        </w:rPr>
        <w:t xml:space="preserve"> </w:t>
      </w:r>
      <w:r w:rsidRPr="00A9153A">
        <w:rPr>
          <w:rFonts w:ascii="Arial" w:hAnsi="Arial" w:cs="Arial"/>
          <w:sz w:val="20"/>
        </w:rPr>
        <w:t>activities:</w:t>
      </w:r>
    </w:p>
    <w:p w14:paraId="166E4382" w14:textId="77777777" w:rsidR="00A9153A" w:rsidRPr="00A9153A" w:rsidRDefault="00A9153A" w:rsidP="009601C2">
      <w:pPr>
        <w:pStyle w:val="ListParagraph"/>
        <w:numPr>
          <w:ilvl w:val="1"/>
          <w:numId w:val="55"/>
        </w:numPr>
        <w:tabs>
          <w:tab w:val="left" w:pos="1273"/>
          <w:tab w:val="left" w:pos="1274"/>
        </w:tabs>
        <w:spacing w:line="276" w:lineRule="auto"/>
        <w:ind w:hanging="568"/>
        <w:rPr>
          <w:rFonts w:ascii="Arial" w:hAnsi="Arial" w:cs="Arial"/>
          <w:sz w:val="20"/>
        </w:rPr>
      </w:pPr>
      <w:r w:rsidRPr="00A9153A">
        <w:rPr>
          <w:rFonts w:ascii="Arial" w:hAnsi="Arial" w:cs="Arial"/>
          <w:sz w:val="20"/>
        </w:rPr>
        <w:t>parachute</w:t>
      </w:r>
      <w:r w:rsidRPr="00A9153A">
        <w:rPr>
          <w:rFonts w:ascii="Arial" w:hAnsi="Arial" w:cs="Arial"/>
          <w:spacing w:val="-3"/>
          <w:sz w:val="20"/>
        </w:rPr>
        <w:t xml:space="preserve"> </w:t>
      </w:r>
      <w:r w:rsidRPr="00A9153A">
        <w:rPr>
          <w:rFonts w:ascii="Arial" w:hAnsi="Arial" w:cs="Arial"/>
          <w:sz w:val="20"/>
        </w:rPr>
        <w:t>operations;</w:t>
      </w:r>
    </w:p>
    <w:p w14:paraId="1F20810F" w14:textId="77777777" w:rsidR="00A9153A" w:rsidRPr="00A9153A" w:rsidRDefault="00A9153A" w:rsidP="009601C2">
      <w:pPr>
        <w:pStyle w:val="ListParagraph"/>
        <w:numPr>
          <w:ilvl w:val="1"/>
          <w:numId w:val="55"/>
        </w:numPr>
        <w:tabs>
          <w:tab w:val="left" w:pos="1273"/>
          <w:tab w:val="left" w:pos="1274"/>
        </w:tabs>
        <w:spacing w:before="121" w:line="276" w:lineRule="auto"/>
        <w:ind w:hanging="568"/>
        <w:rPr>
          <w:rFonts w:ascii="Arial" w:hAnsi="Arial" w:cs="Arial"/>
          <w:sz w:val="20"/>
        </w:rPr>
      </w:pPr>
      <w:r w:rsidRPr="00A9153A">
        <w:rPr>
          <w:rFonts w:ascii="Arial" w:hAnsi="Arial" w:cs="Arial"/>
          <w:sz w:val="20"/>
        </w:rPr>
        <w:t>hang-gliding</w:t>
      </w:r>
      <w:r w:rsidRPr="00A9153A">
        <w:rPr>
          <w:rFonts w:ascii="Arial" w:hAnsi="Arial" w:cs="Arial"/>
          <w:spacing w:val="-3"/>
          <w:sz w:val="20"/>
        </w:rPr>
        <w:t xml:space="preserve"> </w:t>
      </w:r>
      <w:r w:rsidRPr="00A9153A">
        <w:rPr>
          <w:rFonts w:ascii="Arial" w:hAnsi="Arial" w:cs="Arial"/>
          <w:sz w:val="20"/>
        </w:rPr>
        <w:t>dropping;</w:t>
      </w:r>
      <w:r w:rsidRPr="00A9153A">
        <w:rPr>
          <w:rFonts w:ascii="Arial" w:hAnsi="Arial" w:cs="Arial"/>
          <w:spacing w:val="-2"/>
          <w:sz w:val="20"/>
        </w:rPr>
        <w:t xml:space="preserve"> </w:t>
      </w:r>
      <w:r w:rsidRPr="00A9153A">
        <w:rPr>
          <w:rFonts w:ascii="Arial" w:hAnsi="Arial" w:cs="Arial"/>
          <w:sz w:val="20"/>
        </w:rPr>
        <w:t>and</w:t>
      </w:r>
    </w:p>
    <w:p w14:paraId="3D03E415" w14:textId="77777777" w:rsidR="00A9153A" w:rsidRPr="00A9153A" w:rsidRDefault="00A9153A" w:rsidP="009601C2">
      <w:pPr>
        <w:pStyle w:val="ListParagraph"/>
        <w:numPr>
          <w:ilvl w:val="1"/>
          <w:numId w:val="55"/>
        </w:numPr>
        <w:tabs>
          <w:tab w:val="left" w:pos="1273"/>
          <w:tab w:val="left" w:pos="1274"/>
        </w:tabs>
        <w:spacing w:line="276" w:lineRule="auto"/>
        <w:ind w:hanging="568"/>
        <w:rPr>
          <w:rFonts w:ascii="Arial" w:hAnsi="Arial" w:cs="Arial"/>
          <w:sz w:val="20"/>
        </w:rPr>
      </w:pPr>
      <w:r w:rsidRPr="00A9153A">
        <w:rPr>
          <w:rFonts w:ascii="Arial" w:hAnsi="Arial" w:cs="Arial"/>
          <w:sz w:val="20"/>
        </w:rPr>
        <w:t>special</w:t>
      </w:r>
      <w:r w:rsidRPr="00A9153A">
        <w:rPr>
          <w:rFonts w:ascii="Arial" w:hAnsi="Arial" w:cs="Arial"/>
          <w:spacing w:val="-4"/>
          <w:sz w:val="20"/>
        </w:rPr>
        <w:t xml:space="preserve"> </w:t>
      </w:r>
      <w:r w:rsidRPr="00A9153A">
        <w:rPr>
          <w:rFonts w:ascii="Arial" w:hAnsi="Arial" w:cs="Arial"/>
          <w:sz w:val="20"/>
        </w:rPr>
        <w:t>events</w:t>
      </w:r>
      <w:r w:rsidRPr="00A9153A">
        <w:rPr>
          <w:rFonts w:ascii="Arial" w:hAnsi="Arial" w:cs="Arial"/>
          <w:spacing w:val="-3"/>
          <w:sz w:val="20"/>
        </w:rPr>
        <w:t xml:space="preserve"> </w:t>
      </w:r>
      <w:r w:rsidRPr="00A9153A">
        <w:rPr>
          <w:rFonts w:ascii="Arial" w:hAnsi="Arial" w:cs="Arial"/>
          <w:sz w:val="20"/>
        </w:rPr>
        <w:t>flights,</w:t>
      </w:r>
      <w:r w:rsidRPr="00A9153A">
        <w:rPr>
          <w:rFonts w:ascii="Arial" w:hAnsi="Arial" w:cs="Arial"/>
          <w:spacing w:val="-1"/>
          <w:sz w:val="20"/>
        </w:rPr>
        <w:t xml:space="preserve"> </w:t>
      </w:r>
      <w:r w:rsidRPr="00A9153A">
        <w:rPr>
          <w:rFonts w:ascii="Arial" w:hAnsi="Arial" w:cs="Arial"/>
          <w:sz w:val="20"/>
        </w:rPr>
        <w:t>including</w:t>
      </w:r>
      <w:r w:rsidRPr="00A9153A">
        <w:rPr>
          <w:rFonts w:ascii="Arial" w:hAnsi="Arial" w:cs="Arial"/>
          <w:spacing w:val="-4"/>
          <w:sz w:val="20"/>
        </w:rPr>
        <w:t xml:space="preserve"> </w:t>
      </w:r>
      <w:r w:rsidRPr="00A9153A">
        <w:rPr>
          <w:rFonts w:ascii="Arial" w:hAnsi="Arial" w:cs="Arial"/>
          <w:sz w:val="20"/>
        </w:rPr>
        <w:t>flying</w:t>
      </w:r>
      <w:r w:rsidRPr="00A9153A">
        <w:rPr>
          <w:rFonts w:ascii="Arial" w:hAnsi="Arial" w:cs="Arial"/>
          <w:spacing w:val="-4"/>
          <w:sz w:val="20"/>
        </w:rPr>
        <w:t xml:space="preserve"> </w:t>
      </w:r>
      <w:r w:rsidRPr="00A9153A">
        <w:rPr>
          <w:rFonts w:ascii="Arial" w:hAnsi="Arial" w:cs="Arial"/>
          <w:sz w:val="20"/>
        </w:rPr>
        <w:t>displays</w:t>
      </w:r>
      <w:r w:rsidRPr="00A9153A">
        <w:rPr>
          <w:rFonts w:ascii="Arial" w:hAnsi="Arial" w:cs="Arial"/>
          <w:spacing w:val="-1"/>
          <w:sz w:val="20"/>
        </w:rPr>
        <w:t xml:space="preserve"> </w:t>
      </w:r>
      <w:r w:rsidRPr="00A9153A">
        <w:rPr>
          <w:rFonts w:ascii="Arial" w:hAnsi="Arial" w:cs="Arial"/>
          <w:sz w:val="20"/>
        </w:rPr>
        <w:t>and</w:t>
      </w:r>
      <w:r w:rsidRPr="00A9153A">
        <w:rPr>
          <w:rFonts w:ascii="Arial" w:hAnsi="Arial" w:cs="Arial"/>
          <w:spacing w:val="-4"/>
          <w:sz w:val="20"/>
        </w:rPr>
        <w:t xml:space="preserve"> </w:t>
      </w:r>
      <w:r w:rsidRPr="00A9153A">
        <w:rPr>
          <w:rFonts w:ascii="Arial" w:hAnsi="Arial" w:cs="Arial"/>
          <w:sz w:val="20"/>
        </w:rPr>
        <w:t>competition</w:t>
      </w:r>
      <w:r w:rsidRPr="00A9153A">
        <w:rPr>
          <w:rFonts w:ascii="Arial" w:hAnsi="Arial" w:cs="Arial"/>
          <w:spacing w:val="-3"/>
          <w:sz w:val="20"/>
        </w:rPr>
        <w:t xml:space="preserve"> </w:t>
      </w:r>
      <w:r w:rsidRPr="00A9153A">
        <w:rPr>
          <w:rFonts w:ascii="Arial" w:hAnsi="Arial" w:cs="Arial"/>
          <w:sz w:val="20"/>
        </w:rPr>
        <w:t>flights.</w:t>
      </w:r>
    </w:p>
    <w:p w14:paraId="5951C5FB" w14:textId="77777777" w:rsidR="00A9153A" w:rsidRPr="00A9153A" w:rsidRDefault="00A9153A" w:rsidP="009601C2">
      <w:pPr>
        <w:pStyle w:val="ListParagraph"/>
        <w:numPr>
          <w:ilvl w:val="0"/>
          <w:numId w:val="55"/>
        </w:numPr>
        <w:tabs>
          <w:tab w:val="left" w:pos="706"/>
          <w:tab w:val="left" w:pos="707"/>
        </w:tabs>
        <w:spacing w:before="121" w:line="276" w:lineRule="auto"/>
        <w:ind w:right="200"/>
        <w:rPr>
          <w:rFonts w:ascii="Arial" w:hAnsi="Arial" w:cs="Arial"/>
          <w:sz w:val="20"/>
        </w:rPr>
      </w:pPr>
      <w:r w:rsidRPr="00A9153A">
        <w:rPr>
          <w:rFonts w:ascii="Arial" w:hAnsi="Arial" w:cs="Arial"/>
          <w:sz w:val="20"/>
        </w:rPr>
        <w:t>The</w:t>
      </w:r>
      <w:r w:rsidRPr="00A9153A">
        <w:rPr>
          <w:rFonts w:ascii="Arial" w:hAnsi="Arial" w:cs="Arial"/>
          <w:spacing w:val="13"/>
          <w:sz w:val="20"/>
        </w:rPr>
        <w:t xml:space="preserve"> </w:t>
      </w:r>
      <w:r w:rsidRPr="00A9153A">
        <w:rPr>
          <w:rFonts w:ascii="Arial" w:hAnsi="Arial" w:cs="Arial"/>
          <w:sz w:val="20"/>
        </w:rPr>
        <w:t>following</w:t>
      </w:r>
      <w:r w:rsidRPr="00A9153A">
        <w:rPr>
          <w:rFonts w:ascii="Arial" w:hAnsi="Arial" w:cs="Arial"/>
          <w:spacing w:val="12"/>
          <w:sz w:val="20"/>
        </w:rPr>
        <w:t xml:space="preserve"> </w:t>
      </w:r>
      <w:r w:rsidRPr="00A9153A">
        <w:rPr>
          <w:rFonts w:ascii="Arial" w:hAnsi="Arial" w:cs="Arial"/>
          <w:sz w:val="20"/>
        </w:rPr>
        <w:t>operations</w:t>
      </w:r>
      <w:r w:rsidRPr="00A9153A">
        <w:rPr>
          <w:rFonts w:ascii="Arial" w:hAnsi="Arial" w:cs="Arial"/>
          <w:spacing w:val="11"/>
          <w:sz w:val="20"/>
        </w:rPr>
        <w:t xml:space="preserve"> </w:t>
      </w:r>
      <w:r w:rsidRPr="00A9153A">
        <w:rPr>
          <w:rFonts w:ascii="Arial" w:hAnsi="Arial" w:cs="Arial"/>
          <w:sz w:val="20"/>
        </w:rPr>
        <w:t>are</w:t>
      </w:r>
      <w:r w:rsidRPr="00A9153A">
        <w:rPr>
          <w:rFonts w:ascii="Arial" w:hAnsi="Arial" w:cs="Arial"/>
          <w:spacing w:val="13"/>
          <w:sz w:val="20"/>
        </w:rPr>
        <w:t xml:space="preserve"> </w:t>
      </w:r>
      <w:r w:rsidRPr="00A9153A">
        <w:rPr>
          <w:rFonts w:ascii="Arial" w:hAnsi="Arial" w:cs="Arial"/>
          <w:sz w:val="20"/>
        </w:rPr>
        <w:t>not</w:t>
      </w:r>
      <w:r w:rsidRPr="00A9153A">
        <w:rPr>
          <w:rFonts w:ascii="Arial" w:hAnsi="Arial" w:cs="Arial"/>
          <w:spacing w:val="11"/>
          <w:sz w:val="20"/>
        </w:rPr>
        <w:t xml:space="preserve"> </w:t>
      </w:r>
      <w:r w:rsidRPr="00A9153A">
        <w:rPr>
          <w:rFonts w:ascii="Arial" w:hAnsi="Arial" w:cs="Arial"/>
          <w:sz w:val="20"/>
        </w:rPr>
        <w:t>considered</w:t>
      </w:r>
      <w:r w:rsidRPr="00A9153A">
        <w:rPr>
          <w:rFonts w:ascii="Arial" w:hAnsi="Arial" w:cs="Arial"/>
          <w:spacing w:val="13"/>
          <w:sz w:val="20"/>
        </w:rPr>
        <w:t xml:space="preserve"> </w:t>
      </w:r>
      <w:r w:rsidRPr="00A9153A">
        <w:rPr>
          <w:rFonts w:ascii="Arial" w:hAnsi="Arial" w:cs="Arial"/>
          <w:sz w:val="20"/>
        </w:rPr>
        <w:t>balloon</w:t>
      </w:r>
      <w:r w:rsidRPr="00A9153A">
        <w:rPr>
          <w:rFonts w:ascii="Arial" w:hAnsi="Arial" w:cs="Arial"/>
          <w:spacing w:val="10"/>
          <w:sz w:val="20"/>
        </w:rPr>
        <w:t xml:space="preserve"> </w:t>
      </w:r>
      <w:r w:rsidRPr="00A9153A">
        <w:rPr>
          <w:rFonts w:ascii="Arial" w:hAnsi="Arial" w:cs="Arial"/>
          <w:sz w:val="20"/>
        </w:rPr>
        <w:t>specialised</w:t>
      </w:r>
      <w:r w:rsidRPr="00A9153A">
        <w:rPr>
          <w:rFonts w:ascii="Arial" w:hAnsi="Arial" w:cs="Arial"/>
          <w:spacing w:val="13"/>
          <w:sz w:val="20"/>
        </w:rPr>
        <w:t xml:space="preserve"> </w:t>
      </w:r>
      <w:r w:rsidRPr="00A9153A">
        <w:rPr>
          <w:rFonts w:ascii="Arial" w:hAnsi="Arial" w:cs="Arial"/>
          <w:sz w:val="20"/>
        </w:rPr>
        <w:t>operations,</w:t>
      </w:r>
      <w:r w:rsidRPr="00A9153A">
        <w:rPr>
          <w:rFonts w:ascii="Arial" w:hAnsi="Arial" w:cs="Arial"/>
          <w:spacing w:val="13"/>
          <w:sz w:val="20"/>
        </w:rPr>
        <w:t xml:space="preserve"> </w:t>
      </w:r>
      <w:r w:rsidRPr="00A9153A">
        <w:rPr>
          <w:rFonts w:ascii="Arial" w:hAnsi="Arial" w:cs="Arial"/>
          <w:sz w:val="20"/>
        </w:rPr>
        <w:t>but</w:t>
      </w:r>
      <w:r w:rsidRPr="00A9153A">
        <w:rPr>
          <w:rFonts w:ascii="Arial" w:hAnsi="Arial" w:cs="Arial"/>
          <w:spacing w:val="14"/>
          <w:sz w:val="20"/>
        </w:rPr>
        <w:t xml:space="preserve"> </w:t>
      </w:r>
      <w:r w:rsidRPr="00A9153A">
        <w:rPr>
          <w:rFonts w:ascii="Arial" w:hAnsi="Arial" w:cs="Arial"/>
          <w:sz w:val="20"/>
        </w:rPr>
        <w:t>normal</w:t>
      </w:r>
      <w:r w:rsidRPr="00A9153A">
        <w:rPr>
          <w:rFonts w:ascii="Arial" w:hAnsi="Arial" w:cs="Arial"/>
          <w:spacing w:val="-47"/>
          <w:sz w:val="20"/>
        </w:rPr>
        <w:t xml:space="preserve"> </w:t>
      </w:r>
      <w:r w:rsidRPr="00A9153A">
        <w:rPr>
          <w:rFonts w:ascii="Arial" w:hAnsi="Arial" w:cs="Arial"/>
          <w:sz w:val="20"/>
        </w:rPr>
        <w:t>operations:</w:t>
      </w:r>
    </w:p>
    <w:p w14:paraId="31250B8C" w14:textId="77777777" w:rsidR="00A9153A" w:rsidRPr="00A9153A" w:rsidRDefault="00A9153A" w:rsidP="009601C2">
      <w:pPr>
        <w:pStyle w:val="ListParagraph"/>
        <w:numPr>
          <w:ilvl w:val="1"/>
          <w:numId w:val="55"/>
        </w:numPr>
        <w:tabs>
          <w:tab w:val="left" w:pos="1273"/>
          <w:tab w:val="left" w:pos="1274"/>
        </w:tabs>
        <w:spacing w:before="118" w:line="276" w:lineRule="auto"/>
        <w:ind w:hanging="568"/>
        <w:rPr>
          <w:rFonts w:ascii="Arial" w:hAnsi="Arial" w:cs="Arial"/>
          <w:sz w:val="20"/>
        </w:rPr>
      </w:pPr>
      <w:r w:rsidRPr="00A9153A">
        <w:rPr>
          <w:rFonts w:ascii="Arial" w:hAnsi="Arial" w:cs="Arial"/>
          <w:sz w:val="20"/>
        </w:rPr>
        <w:t>aerial</w:t>
      </w:r>
      <w:r w:rsidRPr="00A9153A">
        <w:rPr>
          <w:rFonts w:ascii="Arial" w:hAnsi="Arial" w:cs="Arial"/>
          <w:spacing w:val="-3"/>
          <w:sz w:val="20"/>
        </w:rPr>
        <w:t xml:space="preserve"> </w:t>
      </w:r>
      <w:r w:rsidRPr="00A9153A">
        <w:rPr>
          <w:rFonts w:ascii="Arial" w:hAnsi="Arial" w:cs="Arial"/>
          <w:sz w:val="20"/>
        </w:rPr>
        <w:t>advertising</w:t>
      </w:r>
      <w:r w:rsidRPr="00A9153A">
        <w:rPr>
          <w:rFonts w:ascii="Arial" w:hAnsi="Arial" w:cs="Arial"/>
          <w:spacing w:val="-2"/>
          <w:sz w:val="20"/>
        </w:rPr>
        <w:t xml:space="preserve"> </w:t>
      </w:r>
      <w:r w:rsidRPr="00A9153A">
        <w:rPr>
          <w:rFonts w:ascii="Arial" w:hAnsi="Arial" w:cs="Arial"/>
          <w:sz w:val="20"/>
        </w:rPr>
        <w:t>flights;</w:t>
      </w:r>
      <w:r w:rsidRPr="00A9153A">
        <w:rPr>
          <w:rFonts w:ascii="Arial" w:hAnsi="Arial" w:cs="Arial"/>
          <w:spacing w:val="-1"/>
          <w:sz w:val="20"/>
        </w:rPr>
        <w:t xml:space="preserve"> </w:t>
      </w:r>
      <w:r w:rsidRPr="00A9153A">
        <w:rPr>
          <w:rFonts w:ascii="Arial" w:hAnsi="Arial" w:cs="Arial"/>
          <w:sz w:val="20"/>
        </w:rPr>
        <w:t>and</w:t>
      </w:r>
    </w:p>
    <w:p w14:paraId="7538B9C5" w14:textId="77777777" w:rsidR="00A9153A" w:rsidRPr="00A9153A" w:rsidRDefault="00A9153A" w:rsidP="009601C2">
      <w:pPr>
        <w:pStyle w:val="ListParagraph"/>
        <w:numPr>
          <w:ilvl w:val="1"/>
          <w:numId w:val="55"/>
        </w:numPr>
        <w:tabs>
          <w:tab w:val="left" w:pos="1273"/>
          <w:tab w:val="left" w:pos="1274"/>
        </w:tabs>
        <w:spacing w:line="276" w:lineRule="auto"/>
        <w:ind w:hanging="568"/>
        <w:rPr>
          <w:rFonts w:ascii="Arial" w:hAnsi="Arial" w:cs="Arial"/>
          <w:sz w:val="20"/>
        </w:rPr>
      </w:pPr>
      <w:r w:rsidRPr="00A9153A">
        <w:rPr>
          <w:rFonts w:ascii="Arial" w:hAnsi="Arial" w:cs="Arial"/>
          <w:sz w:val="20"/>
        </w:rPr>
        <w:t>news</w:t>
      </w:r>
      <w:r w:rsidRPr="00A9153A">
        <w:rPr>
          <w:rFonts w:ascii="Arial" w:hAnsi="Arial" w:cs="Arial"/>
          <w:spacing w:val="-4"/>
          <w:sz w:val="20"/>
        </w:rPr>
        <w:t xml:space="preserve"> </w:t>
      </w:r>
      <w:r w:rsidRPr="00A9153A">
        <w:rPr>
          <w:rFonts w:ascii="Arial" w:hAnsi="Arial" w:cs="Arial"/>
          <w:sz w:val="20"/>
        </w:rPr>
        <w:t>media</w:t>
      </w:r>
      <w:r w:rsidRPr="00A9153A">
        <w:rPr>
          <w:rFonts w:ascii="Arial" w:hAnsi="Arial" w:cs="Arial"/>
          <w:spacing w:val="-2"/>
          <w:sz w:val="20"/>
        </w:rPr>
        <w:t xml:space="preserve"> </w:t>
      </w:r>
      <w:r w:rsidRPr="00A9153A">
        <w:rPr>
          <w:rFonts w:ascii="Arial" w:hAnsi="Arial" w:cs="Arial"/>
          <w:sz w:val="20"/>
        </w:rPr>
        <w:t>flights,</w:t>
      </w:r>
      <w:r w:rsidRPr="00A9153A">
        <w:rPr>
          <w:rFonts w:ascii="Arial" w:hAnsi="Arial" w:cs="Arial"/>
          <w:spacing w:val="-2"/>
          <w:sz w:val="20"/>
        </w:rPr>
        <w:t xml:space="preserve"> </w:t>
      </w:r>
      <w:r w:rsidRPr="00A9153A">
        <w:rPr>
          <w:rFonts w:ascii="Arial" w:hAnsi="Arial" w:cs="Arial"/>
          <w:sz w:val="20"/>
        </w:rPr>
        <w:t>television</w:t>
      </w:r>
      <w:r w:rsidRPr="00A9153A">
        <w:rPr>
          <w:rFonts w:ascii="Arial" w:hAnsi="Arial" w:cs="Arial"/>
          <w:spacing w:val="-3"/>
          <w:sz w:val="20"/>
        </w:rPr>
        <w:t xml:space="preserve"> </w:t>
      </w:r>
      <w:r w:rsidRPr="00A9153A">
        <w:rPr>
          <w:rFonts w:ascii="Arial" w:hAnsi="Arial" w:cs="Arial"/>
          <w:sz w:val="20"/>
        </w:rPr>
        <w:t>and</w:t>
      </w:r>
      <w:r w:rsidRPr="00A9153A">
        <w:rPr>
          <w:rFonts w:ascii="Arial" w:hAnsi="Arial" w:cs="Arial"/>
          <w:spacing w:val="-4"/>
          <w:sz w:val="20"/>
        </w:rPr>
        <w:t xml:space="preserve"> </w:t>
      </w:r>
      <w:r w:rsidRPr="00A9153A">
        <w:rPr>
          <w:rFonts w:ascii="Arial" w:hAnsi="Arial" w:cs="Arial"/>
          <w:sz w:val="20"/>
        </w:rPr>
        <w:t>movie</w:t>
      </w:r>
      <w:r w:rsidRPr="00A9153A">
        <w:rPr>
          <w:rFonts w:ascii="Arial" w:hAnsi="Arial" w:cs="Arial"/>
          <w:spacing w:val="-2"/>
          <w:sz w:val="20"/>
        </w:rPr>
        <w:t xml:space="preserve"> </w:t>
      </w:r>
      <w:r w:rsidRPr="00A9153A">
        <w:rPr>
          <w:rFonts w:ascii="Arial" w:hAnsi="Arial" w:cs="Arial"/>
          <w:sz w:val="20"/>
        </w:rPr>
        <w:t>flights.</w:t>
      </w:r>
    </w:p>
    <w:p w14:paraId="1C3BB873" w14:textId="77777777" w:rsidR="00A9153A" w:rsidRDefault="00A9153A" w:rsidP="009601C2">
      <w:pPr>
        <w:tabs>
          <w:tab w:val="left" w:pos="3090"/>
        </w:tabs>
        <w:spacing w:line="276" w:lineRule="auto"/>
        <w:ind w:left="139"/>
        <w:jc w:val="both"/>
        <w:rPr>
          <w:rFonts w:ascii="Arial" w:hAnsi="Arial" w:cs="Arial"/>
          <w:sz w:val="20"/>
        </w:rPr>
      </w:pPr>
    </w:p>
    <w:p w14:paraId="3A1FCD3F" w14:textId="77777777" w:rsidR="00D77037" w:rsidRPr="00D77037" w:rsidRDefault="00D77037" w:rsidP="009601C2">
      <w:pPr>
        <w:keepNext/>
        <w:keepLines/>
        <w:widowControl/>
        <w:shd w:val="clear" w:color="auto" w:fill="339966"/>
        <w:autoSpaceDE/>
        <w:autoSpaceDN/>
        <w:spacing w:before="160" w:after="120" w:line="276" w:lineRule="auto"/>
        <w:outlineLvl w:val="4"/>
        <w:rPr>
          <w:rFonts w:ascii="Arial" w:eastAsia="Times New Roman" w:hAnsi="Arial" w:cs="Times New Roman"/>
          <w:b/>
          <w:color w:val="FFFFFF"/>
          <w:sz w:val="24"/>
        </w:rPr>
      </w:pPr>
      <w:bookmarkStart w:id="208" w:name="GM2_BOP.BAS.190_Balloon_specialised_oper"/>
      <w:bookmarkStart w:id="209" w:name="_bookmark93"/>
      <w:bookmarkStart w:id="210" w:name="_Toc153137258"/>
      <w:bookmarkEnd w:id="208"/>
      <w:bookmarkEnd w:id="209"/>
      <w:r w:rsidRPr="00D77037">
        <w:rPr>
          <w:rFonts w:ascii="Arial" w:eastAsia="Times New Roman" w:hAnsi="Arial" w:cs="Times New Roman"/>
          <w:b/>
          <w:color w:val="FFFFFF"/>
          <w:sz w:val="24"/>
        </w:rPr>
        <w:t>GM2 BOP.BAS.190 Balloon specialised operations — Risk assessment and checklist</w:t>
      </w:r>
      <w:bookmarkEnd w:id="210"/>
    </w:p>
    <w:p w14:paraId="7111CFF0" w14:textId="77777777" w:rsidR="00D77037" w:rsidRPr="00276D5E" w:rsidRDefault="00D77037" w:rsidP="009601C2">
      <w:pPr>
        <w:spacing w:line="276" w:lineRule="auto"/>
        <w:rPr>
          <w:rFonts w:ascii="Arial" w:hAnsi="Arial" w:cs="Arial"/>
          <w:b/>
          <w:sz w:val="20"/>
        </w:rPr>
      </w:pPr>
      <w:r w:rsidRPr="00276D5E">
        <w:rPr>
          <w:rFonts w:ascii="Arial" w:hAnsi="Arial" w:cs="Arial"/>
          <w:b/>
          <w:sz w:val="20"/>
        </w:rPr>
        <w:t>CATEGORISATION</w:t>
      </w:r>
      <w:r w:rsidRPr="00276D5E">
        <w:rPr>
          <w:rFonts w:ascii="Arial" w:hAnsi="Arial" w:cs="Arial"/>
          <w:b/>
          <w:spacing w:val="-7"/>
          <w:sz w:val="20"/>
        </w:rPr>
        <w:t xml:space="preserve"> </w:t>
      </w:r>
      <w:r w:rsidRPr="00276D5E">
        <w:rPr>
          <w:rFonts w:ascii="Arial" w:hAnsi="Arial" w:cs="Arial"/>
          <w:b/>
          <w:sz w:val="20"/>
        </w:rPr>
        <w:t>OF</w:t>
      </w:r>
      <w:r w:rsidRPr="00276D5E">
        <w:rPr>
          <w:rFonts w:ascii="Arial" w:hAnsi="Arial" w:cs="Arial"/>
          <w:b/>
          <w:spacing w:val="-6"/>
          <w:sz w:val="20"/>
        </w:rPr>
        <w:t xml:space="preserve"> </w:t>
      </w:r>
      <w:r w:rsidRPr="00276D5E">
        <w:rPr>
          <w:rFonts w:ascii="Arial" w:hAnsi="Arial" w:cs="Arial"/>
          <w:b/>
          <w:sz w:val="20"/>
        </w:rPr>
        <w:t>OPERATIONS</w:t>
      </w:r>
    </w:p>
    <w:p w14:paraId="732731D5" w14:textId="2E661D76" w:rsidR="00DD2BAA" w:rsidRDefault="00D77037" w:rsidP="00943DEA">
      <w:pPr>
        <w:pStyle w:val="BodyText"/>
        <w:spacing w:before="119" w:line="276" w:lineRule="auto"/>
        <w:ind w:right="195"/>
        <w:jc w:val="both"/>
        <w:rPr>
          <w:rFonts w:ascii="Arial" w:hAnsi="Arial" w:cs="Arial"/>
          <w:sz w:val="20"/>
        </w:rPr>
      </w:pPr>
      <w:r w:rsidRPr="00D77037">
        <w:rPr>
          <w:rFonts w:ascii="Arial" w:hAnsi="Arial" w:cs="Arial"/>
          <w:sz w:val="20"/>
        </w:rPr>
        <w:t>The pilot-in-command or the operator determines whether the main purpose of an operation is</w:t>
      </w:r>
      <w:r w:rsidRPr="00D77037">
        <w:rPr>
          <w:rFonts w:ascii="Arial" w:hAnsi="Arial" w:cs="Arial"/>
          <w:spacing w:val="1"/>
          <w:sz w:val="20"/>
        </w:rPr>
        <w:t xml:space="preserve"> </w:t>
      </w:r>
      <w:r w:rsidRPr="00D77037">
        <w:rPr>
          <w:rFonts w:ascii="Arial" w:hAnsi="Arial" w:cs="Arial"/>
          <w:sz w:val="20"/>
        </w:rPr>
        <w:t>passenger ballooning, commercial or not, or whether the activity falls within the scope of a balloon</w:t>
      </w:r>
      <w:r w:rsidRPr="00D77037">
        <w:rPr>
          <w:rFonts w:ascii="Arial" w:hAnsi="Arial" w:cs="Arial"/>
          <w:spacing w:val="1"/>
          <w:sz w:val="20"/>
        </w:rPr>
        <w:t xml:space="preserve"> </w:t>
      </w:r>
      <w:r w:rsidRPr="00D77037">
        <w:rPr>
          <w:rFonts w:ascii="Arial" w:hAnsi="Arial" w:cs="Arial"/>
          <w:sz w:val="20"/>
        </w:rPr>
        <w:t>specialised</w:t>
      </w:r>
      <w:r w:rsidRPr="00D77037">
        <w:rPr>
          <w:rFonts w:ascii="Arial" w:hAnsi="Arial" w:cs="Arial"/>
          <w:spacing w:val="1"/>
          <w:sz w:val="20"/>
        </w:rPr>
        <w:t xml:space="preserve"> </w:t>
      </w:r>
      <w:r w:rsidRPr="00D77037">
        <w:rPr>
          <w:rFonts w:ascii="Arial" w:hAnsi="Arial" w:cs="Arial"/>
          <w:sz w:val="20"/>
        </w:rPr>
        <w:t>operation.</w:t>
      </w:r>
      <w:r w:rsidRPr="00D77037">
        <w:rPr>
          <w:rFonts w:ascii="Arial" w:hAnsi="Arial" w:cs="Arial"/>
          <w:spacing w:val="1"/>
          <w:sz w:val="20"/>
        </w:rPr>
        <w:t xml:space="preserve"> </w:t>
      </w:r>
      <w:r w:rsidRPr="00D77037">
        <w:rPr>
          <w:rFonts w:ascii="Arial" w:hAnsi="Arial" w:cs="Arial"/>
          <w:sz w:val="20"/>
        </w:rPr>
        <w:t>As</w:t>
      </w:r>
      <w:r w:rsidRPr="00D77037">
        <w:rPr>
          <w:rFonts w:ascii="Arial" w:hAnsi="Arial" w:cs="Arial"/>
          <w:spacing w:val="1"/>
          <w:sz w:val="20"/>
        </w:rPr>
        <w:t xml:space="preserve"> </w:t>
      </w:r>
      <w:r w:rsidRPr="00D77037">
        <w:rPr>
          <w:rFonts w:ascii="Arial" w:hAnsi="Arial" w:cs="Arial"/>
          <w:sz w:val="20"/>
        </w:rPr>
        <w:t>regards</w:t>
      </w:r>
      <w:r w:rsidRPr="00D77037">
        <w:rPr>
          <w:rFonts w:ascii="Arial" w:hAnsi="Arial" w:cs="Arial"/>
          <w:spacing w:val="1"/>
          <w:sz w:val="20"/>
        </w:rPr>
        <w:t xml:space="preserve"> </w:t>
      </w:r>
      <w:r w:rsidRPr="00D77037">
        <w:rPr>
          <w:rFonts w:ascii="Arial" w:hAnsi="Arial" w:cs="Arial"/>
          <w:sz w:val="20"/>
        </w:rPr>
        <w:t>a</w:t>
      </w:r>
      <w:r w:rsidRPr="00D77037">
        <w:rPr>
          <w:rFonts w:ascii="Arial" w:hAnsi="Arial" w:cs="Arial"/>
          <w:spacing w:val="1"/>
          <w:sz w:val="20"/>
        </w:rPr>
        <w:t xml:space="preserve"> </w:t>
      </w:r>
      <w:r w:rsidRPr="00D77037">
        <w:rPr>
          <w:rFonts w:ascii="Arial" w:hAnsi="Arial" w:cs="Arial"/>
          <w:sz w:val="20"/>
        </w:rPr>
        <w:t>balloon</w:t>
      </w:r>
      <w:r w:rsidRPr="00D77037">
        <w:rPr>
          <w:rFonts w:ascii="Arial" w:hAnsi="Arial" w:cs="Arial"/>
          <w:spacing w:val="1"/>
          <w:sz w:val="20"/>
        </w:rPr>
        <w:t xml:space="preserve"> </w:t>
      </w:r>
      <w:r w:rsidRPr="00D77037">
        <w:rPr>
          <w:rFonts w:ascii="Arial" w:hAnsi="Arial" w:cs="Arial"/>
          <w:sz w:val="20"/>
        </w:rPr>
        <w:t>specialised</w:t>
      </w:r>
      <w:r w:rsidRPr="00D77037">
        <w:rPr>
          <w:rFonts w:ascii="Arial" w:hAnsi="Arial" w:cs="Arial"/>
          <w:spacing w:val="1"/>
          <w:sz w:val="20"/>
        </w:rPr>
        <w:t xml:space="preserve"> </w:t>
      </w:r>
      <w:r w:rsidRPr="00D77037">
        <w:rPr>
          <w:rFonts w:ascii="Arial" w:hAnsi="Arial" w:cs="Arial"/>
          <w:sz w:val="20"/>
        </w:rPr>
        <w:t>operation,</w:t>
      </w:r>
      <w:r w:rsidRPr="00D77037">
        <w:rPr>
          <w:rFonts w:ascii="Arial" w:hAnsi="Arial" w:cs="Arial"/>
          <w:spacing w:val="1"/>
          <w:sz w:val="20"/>
        </w:rPr>
        <w:t xml:space="preserve"> </w:t>
      </w:r>
      <w:r w:rsidRPr="00D77037">
        <w:rPr>
          <w:rFonts w:ascii="Arial" w:hAnsi="Arial" w:cs="Arial"/>
          <w:sz w:val="20"/>
        </w:rPr>
        <w:t>the</w:t>
      </w:r>
      <w:r w:rsidRPr="00D77037">
        <w:rPr>
          <w:rFonts w:ascii="Arial" w:hAnsi="Arial" w:cs="Arial"/>
          <w:spacing w:val="1"/>
          <w:sz w:val="20"/>
        </w:rPr>
        <w:t xml:space="preserve"> </w:t>
      </w:r>
      <w:r w:rsidRPr="00D77037">
        <w:rPr>
          <w:rFonts w:ascii="Arial" w:hAnsi="Arial" w:cs="Arial"/>
          <w:sz w:val="20"/>
        </w:rPr>
        <w:t>pilot-in-command</w:t>
      </w:r>
      <w:r w:rsidRPr="00D77037">
        <w:rPr>
          <w:rFonts w:ascii="Arial" w:hAnsi="Arial" w:cs="Arial"/>
          <w:spacing w:val="1"/>
          <w:sz w:val="20"/>
        </w:rPr>
        <w:t xml:space="preserve"> </w:t>
      </w:r>
      <w:r w:rsidRPr="00D77037">
        <w:rPr>
          <w:rFonts w:ascii="Arial" w:hAnsi="Arial" w:cs="Arial"/>
          <w:sz w:val="20"/>
        </w:rPr>
        <w:t>or</w:t>
      </w:r>
      <w:r w:rsidRPr="00D77037">
        <w:rPr>
          <w:rFonts w:ascii="Arial" w:hAnsi="Arial" w:cs="Arial"/>
          <w:spacing w:val="1"/>
          <w:sz w:val="20"/>
        </w:rPr>
        <w:t xml:space="preserve"> </w:t>
      </w:r>
      <w:r w:rsidRPr="00D77037">
        <w:rPr>
          <w:rFonts w:ascii="Arial" w:hAnsi="Arial" w:cs="Arial"/>
          <w:sz w:val="20"/>
        </w:rPr>
        <w:t>the</w:t>
      </w:r>
      <w:r w:rsidRPr="00D77037">
        <w:rPr>
          <w:rFonts w:ascii="Arial" w:hAnsi="Arial" w:cs="Arial"/>
          <w:spacing w:val="1"/>
          <w:sz w:val="20"/>
        </w:rPr>
        <w:t xml:space="preserve"> </w:t>
      </w:r>
      <w:r w:rsidRPr="00D77037">
        <w:rPr>
          <w:rFonts w:ascii="Arial" w:hAnsi="Arial" w:cs="Arial"/>
          <w:sz w:val="20"/>
        </w:rPr>
        <w:t>operator</w:t>
      </w:r>
      <w:r w:rsidRPr="00D77037">
        <w:rPr>
          <w:rFonts w:ascii="Arial" w:hAnsi="Arial" w:cs="Arial"/>
          <w:spacing w:val="-2"/>
          <w:sz w:val="20"/>
        </w:rPr>
        <w:t xml:space="preserve"> </w:t>
      </w:r>
      <w:r w:rsidRPr="00D77037">
        <w:rPr>
          <w:rFonts w:ascii="Arial" w:hAnsi="Arial" w:cs="Arial"/>
          <w:sz w:val="20"/>
        </w:rPr>
        <w:t>applies</w:t>
      </w:r>
      <w:r w:rsidRPr="00D77037">
        <w:rPr>
          <w:rFonts w:ascii="Arial" w:hAnsi="Arial" w:cs="Arial"/>
          <w:spacing w:val="-2"/>
          <w:sz w:val="20"/>
        </w:rPr>
        <w:t xml:space="preserve"> </w:t>
      </w:r>
      <w:r w:rsidRPr="00D77037">
        <w:rPr>
          <w:rFonts w:ascii="Arial" w:hAnsi="Arial" w:cs="Arial"/>
          <w:sz w:val="20"/>
        </w:rPr>
        <w:t>the</w:t>
      </w:r>
      <w:r w:rsidRPr="00D77037">
        <w:rPr>
          <w:rFonts w:ascii="Arial" w:hAnsi="Arial" w:cs="Arial"/>
          <w:spacing w:val="-3"/>
          <w:sz w:val="20"/>
        </w:rPr>
        <w:t xml:space="preserve"> </w:t>
      </w:r>
      <w:r w:rsidRPr="00D77037">
        <w:rPr>
          <w:rFonts w:ascii="Arial" w:hAnsi="Arial" w:cs="Arial"/>
          <w:sz w:val="20"/>
        </w:rPr>
        <w:t>criteria</w:t>
      </w:r>
      <w:r w:rsidRPr="00D77037">
        <w:rPr>
          <w:rFonts w:ascii="Arial" w:hAnsi="Arial" w:cs="Arial"/>
          <w:spacing w:val="-2"/>
          <w:sz w:val="20"/>
        </w:rPr>
        <w:t xml:space="preserve"> </w:t>
      </w:r>
      <w:r w:rsidRPr="00D77037">
        <w:rPr>
          <w:rFonts w:ascii="Arial" w:hAnsi="Arial" w:cs="Arial"/>
          <w:sz w:val="20"/>
        </w:rPr>
        <w:t>in</w:t>
      </w:r>
      <w:r w:rsidRPr="007F784C">
        <w:rPr>
          <w:rFonts w:ascii="Arial" w:hAnsi="Arial" w:cs="Arial"/>
          <w:sz w:val="20"/>
        </w:rPr>
        <w:t xml:space="preserve"> AMC1 BOP.BAS.190 </w:t>
      </w:r>
      <w:r w:rsidRPr="00D77037">
        <w:rPr>
          <w:rFonts w:ascii="Arial" w:hAnsi="Arial" w:cs="Arial"/>
          <w:sz w:val="20"/>
        </w:rPr>
        <w:t>and</w:t>
      </w:r>
      <w:r w:rsidRPr="007F784C">
        <w:rPr>
          <w:rFonts w:ascii="Arial" w:hAnsi="Arial" w:cs="Arial"/>
          <w:sz w:val="20"/>
        </w:rPr>
        <w:t xml:space="preserve"> </w:t>
      </w:r>
      <w:r w:rsidRPr="00D77037">
        <w:rPr>
          <w:rFonts w:ascii="Arial" w:hAnsi="Arial" w:cs="Arial"/>
          <w:sz w:val="20"/>
        </w:rPr>
        <w:t>the</w:t>
      </w:r>
      <w:r w:rsidRPr="007F784C">
        <w:rPr>
          <w:rFonts w:ascii="Arial" w:hAnsi="Arial" w:cs="Arial"/>
          <w:sz w:val="20"/>
        </w:rPr>
        <w:t xml:space="preserve"> </w:t>
      </w:r>
      <w:r w:rsidRPr="00D77037">
        <w:rPr>
          <w:rFonts w:ascii="Arial" w:hAnsi="Arial" w:cs="Arial"/>
          <w:sz w:val="20"/>
        </w:rPr>
        <w:t>activities listed</w:t>
      </w:r>
      <w:r w:rsidRPr="007F784C">
        <w:rPr>
          <w:rFonts w:ascii="Arial" w:hAnsi="Arial" w:cs="Arial"/>
          <w:sz w:val="20"/>
        </w:rPr>
        <w:t xml:space="preserve"> </w:t>
      </w:r>
      <w:r w:rsidRPr="00D77037">
        <w:rPr>
          <w:rFonts w:ascii="Arial" w:hAnsi="Arial" w:cs="Arial"/>
          <w:sz w:val="20"/>
        </w:rPr>
        <w:t>in</w:t>
      </w:r>
      <w:r w:rsidRPr="007F784C">
        <w:rPr>
          <w:rFonts w:ascii="Arial" w:hAnsi="Arial" w:cs="Arial"/>
          <w:sz w:val="20"/>
        </w:rPr>
        <w:t xml:space="preserve"> </w:t>
      </w:r>
      <w:hyperlink w:anchor="_bookmark92" w:history="1">
        <w:r w:rsidRPr="007F784C">
          <w:rPr>
            <w:rFonts w:ascii="Arial" w:hAnsi="Arial" w:cs="Arial"/>
            <w:sz w:val="20"/>
          </w:rPr>
          <w:t>GM1 BOP.BAS.190</w:t>
        </w:r>
      </w:hyperlink>
      <w:r w:rsidRPr="00D77037">
        <w:rPr>
          <w:rFonts w:ascii="Arial" w:hAnsi="Arial" w:cs="Arial"/>
          <w:sz w:val="20"/>
        </w:rPr>
        <w:t>.</w:t>
      </w:r>
    </w:p>
    <w:p w14:paraId="0B4954E6" w14:textId="1E85147B" w:rsidR="00DD2BAA" w:rsidRPr="00943DEA" w:rsidRDefault="00DD2BAA" w:rsidP="00943DEA">
      <w:pPr>
        <w:keepNext/>
        <w:keepLines/>
        <w:spacing w:before="40" w:line="276" w:lineRule="auto"/>
        <w:jc w:val="center"/>
        <w:outlineLvl w:val="3"/>
        <w:rPr>
          <w:rFonts w:ascii="Arial" w:eastAsiaTheme="majorEastAsia" w:hAnsi="Arial" w:cs="Arial"/>
          <w:b/>
          <w:iCs/>
          <w:color w:val="2E74B5" w:themeColor="accent1" w:themeShade="BF"/>
          <w:sz w:val="24"/>
          <w:szCs w:val="24"/>
        </w:rPr>
      </w:pPr>
      <w:bookmarkStart w:id="211" w:name="_Toc153137259"/>
      <w:r w:rsidRPr="00FA7754">
        <w:rPr>
          <w:rFonts w:ascii="Arial" w:eastAsiaTheme="majorEastAsia" w:hAnsi="Arial" w:cs="Arial"/>
          <w:b/>
          <w:iCs/>
          <w:color w:val="2E74B5" w:themeColor="accent1" w:themeShade="BF"/>
          <w:sz w:val="24"/>
          <w:szCs w:val="24"/>
        </w:rPr>
        <w:lastRenderedPageBreak/>
        <w:t>SECTION 3 – PERFORMANCE AND OPERATING LIMITATIONS</w:t>
      </w:r>
      <w:bookmarkEnd w:id="211"/>
    </w:p>
    <w:p w14:paraId="174ABA33" w14:textId="77777777" w:rsidR="00DD2BAA" w:rsidRPr="00DD2BAA" w:rsidRDefault="00DD2BAA" w:rsidP="009601C2">
      <w:pPr>
        <w:keepNext/>
        <w:keepLines/>
        <w:widowControl/>
        <w:shd w:val="clear" w:color="auto" w:fill="2F5496"/>
        <w:autoSpaceDE/>
        <w:autoSpaceDN/>
        <w:spacing w:before="280" w:after="240" w:line="276" w:lineRule="auto"/>
        <w:outlineLvl w:val="3"/>
        <w:rPr>
          <w:rFonts w:ascii="Arial" w:eastAsia="Times New Roman" w:hAnsi="Arial" w:cs="Times New Roman"/>
          <w:b/>
          <w:iCs/>
          <w:color w:val="FFFFFF"/>
          <w:sz w:val="24"/>
        </w:rPr>
      </w:pPr>
      <w:bookmarkStart w:id="212" w:name="BOP.BAS.200_Operating_limitations"/>
      <w:bookmarkStart w:id="213" w:name="_bookmark95"/>
      <w:bookmarkStart w:id="214" w:name="_Toc153137260"/>
      <w:bookmarkEnd w:id="212"/>
      <w:bookmarkEnd w:id="213"/>
      <w:r w:rsidRPr="00DD2BAA">
        <w:rPr>
          <w:rFonts w:ascii="Arial" w:eastAsia="Times New Roman" w:hAnsi="Arial" w:cs="Times New Roman"/>
          <w:b/>
          <w:iCs/>
          <w:color w:val="FFFFFF"/>
          <w:sz w:val="24"/>
        </w:rPr>
        <w:t>BOP.BAS.200 Operating limitations</w:t>
      </w:r>
      <w:bookmarkEnd w:id="214"/>
    </w:p>
    <w:p w14:paraId="28D5E44F" w14:textId="77777777" w:rsidR="00DD2BAA" w:rsidRPr="00DD2BAA" w:rsidRDefault="00DD2BAA" w:rsidP="009601C2">
      <w:pPr>
        <w:tabs>
          <w:tab w:val="left" w:pos="3090"/>
        </w:tabs>
        <w:spacing w:line="276" w:lineRule="auto"/>
        <w:jc w:val="both"/>
        <w:rPr>
          <w:rFonts w:ascii="Arial" w:hAnsi="Arial" w:cs="Arial"/>
          <w:sz w:val="20"/>
        </w:rPr>
      </w:pPr>
      <w:r w:rsidRPr="00DD2BAA">
        <w:rPr>
          <w:rFonts w:ascii="Arial" w:hAnsi="Arial" w:cs="Arial"/>
          <w:sz w:val="20"/>
        </w:rPr>
        <w:t>The pilot-in-command shall ensure that, during any phase of operation, the balloon is not exceeding any of the limitations set out in the AFM or equivalent document(s).</w:t>
      </w:r>
    </w:p>
    <w:p w14:paraId="30A483DD" w14:textId="77777777" w:rsidR="00DD2BAA" w:rsidRDefault="00DD2BAA" w:rsidP="009601C2">
      <w:pPr>
        <w:tabs>
          <w:tab w:val="left" w:pos="3090"/>
        </w:tabs>
        <w:spacing w:line="276" w:lineRule="auto"/>
        <w:jc w:val="both"/>
        <w:rPr>
          <w:rFonts w:ascii="Arial" w:hAnsi="Arial" w:cs="Arial"/>
          <w:sz w:val="20"/>
        </w:rPr>
      </w:pPr>
    </w:p>
    <w:p w14:paraId="326394F8" w14:textId="77777777" w:rsidR="00DD2BAA" w:rsidRPr="00DD2BAA" w:rsidRDefault="00DD2BAA" w:rsidP="009601C2">
      <w:pPr>
        <w:keepNext/>
        <w:keepLines/>
        <w:widowControl/>
        <w:shd w:val="clear" w:color="auto" w:fill="339966"/>
        <w:autoSpaceDE/>
        <w:autoSpaceDN/>
        <w:spacing w:before="160" w:after="120" w:line="276" w:lineRule="auto"/>
        <w:outlineLvl w:val="4"/>
        <w:rPr>
          <w:rFonts w:ascii="Arial" w:eastAsia="Times New Roman" w:hAnsi="Arial" w:cs="Times New Roman"/>
          <w:b/>
          <w:color w:val="FFFFFF"/>
          <w:sz w:val="24"/>
        </w:rPr>
      </w:pPr>
      <w:bookmarkStart w:id="215" w:name="GM1_BOP.BAS.200_Operating_limitations"/>
      <w:bookmarkStart w:id="216" w:name="_bookmark96"/>
      <w:bookmarkStart w:id="217" w:name="_Toc153137261"/>
      <w:bookmarkEnd w:id="215"/>
      <w:bookmarkEnd w:id="216"/>
      <w:r w:rsidRPr="00DD2BAA">
        <w:rPr>
          <w:rFonts w:ascii="Arial" w:eastAsia="Times New Roman" w:hAnsi="Arial" w:cs="Times New Roman"/>
          <w:b/>
          <w:color w:val="FFFFFF"/>
          <w:sz w:val="24"/>
        </w:rPr>
        <w:t>GM1 BOP.BAS.200 Operating limitations</w:t>
      </w:r>
      <w:bookmarkEnd w:id="217"/>
    </w:p>
    <w:p w14:paraId="3156C636" w14:textId="77777777" w:rsidR="00DD2BAA" w:rsidRPr="00DD2BAA" w:rsidRDefault="00DD2BAA" w:rsidP="009601C2">
      <w:pPr>
        <w:widowControl/>
        <w:autoSpaceDE/>
        <w:autoSpaceDN/>
        <w:spacing w:before="240" w:after="160" w:line="276" w:lineRule="auto"/>
        <w:jc w:val="both"/>
        <w:rPr>
          <w:rFonts w:ascii="Arial" w:eastAsiaTheme="minorHAnsi" w:hAnsi="Arial" w:cs="Arial"/>
          <w:b/>
          <w:bCs/>
          <w:sz w:val="20"/>
          <w:szCs w:val="20"/>
        </w:rPr>
      </w:pPr>
      <w:r w:rsidRPr="00DD2BAA">
        <w:rPr>
          <w:rFonts w:ascii="Arial" w:eastAsiaTheme="minorHAnsi" w:hAnsi="Arial" w:cs="Arial"/>
          <w:b/>
          <w:bCs/>
          <w:sz w:val="20"/>
          <w:szCs w:val="20"/>
        </w:rPr>
        <w:t>GENERAL</w:t>
      </w:r>
    </w:p>
    <w:p w14:paraId="68FED078" w14:textId="77777777" w:rsidR="00DD2BAA" w:rsidRPr="001A3EBB" w:rsidRDefault="00DD2BAA" w:rsidP="009601C2">
      <w:pPr>
        <w:tabs>
          <w:tab w:val="left" w:pos="3090"/>
        </w:tabs>
        <w:spacing w:line="276" w:lineRule="auto"/>
        <w:jc w:val="both"/>
        <w:rPr>
          <w:rFonts w:ascii="Arial" w:hAnsi="Arial" w:cs="Arial"/>
          <w:sz w:val="20"/>
        </w:rPr>
      </w:pPr>
      <w:r w:rsidRPr="00DD2BAA">
        <w:rPr>
          <w:rFonts w:ascii="Arial" w:hAnsi="Arial" w:cs="Arial"/>
          <w:sz w:val="20"/>
        </w:rPr>
        <w:t>In most cases the operating limitations are documented in the AFM, and in certain cases in the operations manual.</w:t>
      </w:r>
    </w:p>
    <w:p w14:paraId="1290770B" w14:textId="77777777" w:rsidR="001A3EBB" w:rsidRPr="001A3EBB" w:rsidRDefault="001A3EBB" w:rsidP="009601C2">
      <w:pPr>
        <w:keepNext/>
        <w:keepLines/>
        <w:widowControl/>
        <w:shd w:val="clear" w:color="auto" w:fill="2F5496"/>
        <w:autoSpaceDE/>
        <w:autoSpaceDN/>
        <w:spacing w:before="280" w:after="240" w:line="276" w:lineRule="auto"/>
        <w:outlineLvl w:val="3"/>
        <w:rPr>
          <w:rFonts w:ascii="Arial" w:eastAsia="Times New Roman" w:hAnsi="Arial" w:cs="Times New Roman"/>
          <w:b/>
          <w:iCs/>
          <w:color w:val="FFFFFF"/>
          <w:sz w:val="24"/>
        </w:rPr>
      </w:pPr>
      <w:bookmarkStart w:id="218" w:name="BOP.BAS.205_Weighing"/>
      <w:bookmarkStart w:id="219" w:name="_bookmark97"/>
      <w:bookmarkStart w:id="220" w:name="_Toc153137262"/>
      <w:bookmarkEnd w:id="218"/>
      <w:bookmarkEnd w:id="219"/>
      <w:r w:rsidRPr="001A3EBB">
        <w:rPr>
          <w:rFonts w:ascii="Arial" w:eastAsia="Times New Roman" w:hAnsi="Arial" w:cs="Times New Roman"/>
          <w:b/>
          <w:iCs/>
          <w:color w:val="FFFFFF"/>
          <w:sz w:val="24"/>
        </w:rPr>
        <w:t>BOP.BAS.205 Weighing</w:t>
      </w:r>
      <w:bookmarkEnd w:id="220"/>
    </w:p>
    <w:p w14:paraId="4B33A69B" w14:textId="59DC5569" w:rsidR="00A21F04" w:rsidRPr="00545710" w:rsidRDefault="00A21F04" w:rsidP="00545710">
      <w:pPr>
        <w:numPr>
          <w:ilvl w:val="0"/>
          <w:numId w:val="56"/>
        </w:numPr>
        <w:tabs>
          <w:tab w:val="left" w:pos="3090"/>
        </w:tabs>
        <w:spacing w:line="276" w:lineRule="auto"/>
        <w:jc w:val="both"/>
        <w:rPr>
          <w:rFonts w:ascii="Arial" w:hAnsi="Arial" w:cs="Arial"/>
          <w:sz w:val="20"/>
        </w:rPr>
      </w:pPr>
      <w:r w:rsidRPr="00545710">
        <w:rPr>
          <w:rFonts w:ascii="Arial" w:hAnsi="Arial" w:cs="Arial"/>
          <w:sz w:val="20"/>
        </w:rPr>
        <w:t>The</w:t>
      </w:r>
      <w:r w:rsidRPr="00A21F04">
        <w:rPr>
          <w:rFonts w:ascii="Arial" w:hAnsi="Arial" w:cs="Arial"/>
          <w:sz w:val="20"/>
        </w:rPr>
        <w:t xml:space="preserve"> weighing of the balloon shall be accomplished by the manufacturer of the balloon o</w:t>
      </w:r>
      <w:r w:rsidR="00545710">
        <w:rPr>
          <w:rFonts w:ascii="Arial" w:hAnsi="Arial" w:cs="Arial"/>
          <w:sz w:val="20"/>
        </w:rPr>
        <w:t xml:space="preserve">r in accordance with Annex I to </w:t>
      </w:r>
      <w:hyperlink r:id="rId47" w:history="1">
        <w:r w:rsidR="002F2701">
          <w:rPr>
            <w:rStyle w:val="Hyperlink"/>
            <w:rFonts w:ascii="Arial" w:hAnsi="Arial" w:cs="Arial"/>
            <w:sz w:val="20"/>
          </w:rPr>
          <w:t>the order N 10-N of the Minister of Territorial Administration and Infrastructure of RA, dated 01.06.2022</w:t>
        </w:r>
      </w:hyperlink>
      <w:r w:rsidR="00545710" w:rsidRPr="00545710">
        <w:rPr>
          <w:rFonts w:ascii="Arial" w:hAnsi="Arial" w:cs="Arial"/>
          <w:sz w:val="20"/>
        </w:rPr>
        <w:t>.</w:t>
      </w:r>
    </w:p>
    <w:p w14:paraId="178B5856" w14:textId="77777777" w:rsidR="00A21F04" w:rsidRPr="00A21F04" w:rsidRDefault="00A21F04" w:rsidP="009601C2">
      <w:pPr>
        <w:numPr>
          <w:ilvl w:val="0"/>
          <w:numId w:val="56"/>
        </w:numPr>
        <w:tabs>
          <w:tab w:val="left" w:pos="3090"/>
        </w:tabs>
        <w:spacing w:line="276" w:lineRule="auto"/>
        <w:jc w:val="both"/>
        <w:rPr>
          <w:rFonts w:ascii="Arial" w:hAnsi="Arial" w:cs="Arial"/>
          <w:sz w:val="20"/>
        </w:rPr>
      </w:pPr>
      <w:r w:rsidRPr="00A21F04">
        <w:rPr>
          <w:rFonts w:ascii="Arial" w:hAnsi="Arial" w:cs="Arial"/>
          <w:sz w:val="20"/>
        </w:rPr>
        <w:t>The operator shall ensure that the mass of the balloon has been established by actual weighing prior to its initial entry into service. The accumulated effects of modifications and repairs on the mass shall be accounted for and properly documented. Such information shall be made available to the pilot-in-command. The balloon shall be reweighed if the effects of modifications or repairs on the mass are not known.</w:t>
      </w:r>
    </w:p>
    <w:p w14:paraId="57C88E6B" w14:textId="77777777" w:rsidR="00DD2BAA" w:rsidRDefault="00DD2BAA" w:rsidP="009601C2">
      <w:pPr>
        <w:tabs>
          <w:tab w:val="left" w:pos="3090"/>
        </w:tabs>
        <w:spacing w:line="276" w:lineRule="auto"/>
        <w:jc w:val="both"/>
        <w:rPr>
          <w:rFonts w:ascii="Arial" w:hAnsi="Arial" w:cs="Arial"/>
          <w:sz w:val="20"/>
        </w:rPr>
      </w:pPr>
    </w:p>
    <w:p w14:paraId="440C7B08" w14:textId="77777777" w:rsidR="00A21F04" w:rsidRPr="00A21F04" w:rsidRDefault="00A21F04" w:rsidP="009601C2">
      <w:pPr>
        <w:keepNext/>
        <w:keepLines/>
        <w:widowControl/>
        <w:shd w:val="clear" w:color="auto" w:fill="339966"/>
        <w:autoSpaceDE/>
        <w:autoSpaceDN/>
        <w:spacing w:before="160" w:after="120" w:line="276" w:lineRule="auto"/>
        <w:outlineLvl w:val="4"/>
        <w:rPr>
          <w:rFonts w:ascii="Arial" w:eastAsia="Times New Roman" w:hAnsi="Arial" w:cs="Times New Roman"/>
          <w:b/>
          <w:color w:val="FFFFFF"/>
          <w:sz w:val="24"/>
        </w:rPr>
      </w:pPr>
      <w:bookmarkStart w:id="221" w:name="GM1_BOP.BAS.205_Weighing"/>
      <w:bookmarkStart w:id="222" w:name="_bookmark98"/>
      <w:bookmarkStart w:id="223" w:name="_Toc153137263"/>
      <w:bookmarkEnd w:id="221"/>
      <w:bookmarkEnd w:id="222"/>
      <w:r w:rsidRPr="00A21F04">
        <w:rPr>
          <w:rFonts w:ascii="Arial" w:eastAsia="Times New Roman" w:hAnsi="Arial" w:cs="Times New Roman"/>
          <w:b/>
          <w:color w:val="FFFFFF"/>
          <w:sz w:val="24"/>
        </w:rPr>
        <w:t>GM1 BOP.BAS.205 Weighing</w:t>
      </w:r>
      <w:bookmarkEnd w:id="223"/>
    </w:p>
    <w:p w14:paraId="2DD8CBC8" w14:textId="77777777" w:rsidR="00A21F04" w:rsidRPr="00DD2BAA" w:rsidRDefault="00A21F04" w:rsidP="009601C2">
      <w:pPr>
        <w:widowControl/>
        <w:autoSpaceDE/>
        <w:autoSpaceDN/>
        <w:spacing w:before="240" w:after="160" w:line="276" w:lineRule="auto"/>
        <w:jc w:val="both"/>
        <w:rPr>
          <w:rFonts w:ascii="Arial" w:eastAsiaTheme="minorHAnsi" w:hAnsi="Arial" w:cs="Arial"/>
          <w:b/>
          <w:bCs/>
          <w:sz w:val="20"/>
          <w:szCs w:val="20"/>
        </w:rPr>
      </w:pPr>
      <w:r w:rsidRPr="00DD2BAA">
        <w:rPr>
          <w:rFonts w:ascii="Arial" w:eastAsiaTheme="minorHAnsi" w:hAnsi="Arial" w:cs="Arial"/>
          <w:b/>
          <w:bCs/>
          <w:sz w:val="20"/>
          <w:szCs w:val="20"/>
        </w:rPr>
        <w:t>GENERAL</w:t>
      </w:r>
    </w:p>
    <w:p w14:paraId="710E8461" w14:textId="77777777" w:rsidR="00A21F04" w:rsidRPr="00A21F04" w:rsidRDefault="00A21F04" w:rsidP="009601C2">
      <w:pPr>
        <w:numPr>
          <w:ilvl w:val="0"/>
          <w:numId w:val="57"/>
        </w:numPr>
        <w:tabs>
          <w:tab w:val="left" w:pos="3090"/>
        </w:tabs>
        <w:spacing w:line="276" w:lineRule="auto"/>
        <w:jc w:val="both"/>
        <w:rPr>
          <w:rFonts w:ascii="Arial" w:hAnsi="Arial" w:cs="Arial"/>
          <w:sz w:val="20"/>
        </w:rPr>
      </w:pPr>
      <w:r w:rsidRPr="00A21F04">
        <w:rPr>
          <w:rFonts w:ascii="Arial" w:hAnsi="Arial" w:cs="Arial"/>
          <w:sz w:val="20"/>
        </w:rPr>
        <w:t xml:space="preserve">New balloons that have been weighed at the factory may be placed into operation without reweighing if the mass records have been adjusted for alterations or modifications to the balloon. </w:t>
      </w:r>
    </w:p>
    <w:p w14:paraId="54F97D71" w14:textId="77777777" w:rsidR="00A21F04" w:rsidRPr="00A21F04" w:rsidRDefault="00A21F04" w:rsidP="009601C2">
      <w:pPr>
        <w:numPr>
          <w:ilvl w:val="0"/>
          <w:numId w:val="57"/>
        </w:numPr>
        <w:tabs>
          <w:tab w:val="left" w:pos="3090"/>
        </w:tabs>
        <w:spacing w:line="276" w:lineRule="auto"/>
        <w:jc w:val="both"/>
        <w:rPr>
          <w:rFonts w:ascii="Arial" w:hAnsi="Arial" w:cs="Arial"/>
          <w:sz w:val="20"/>
        </w:rPr>
      </w:pPr>
      <w:r w:rsidRPr="00A21F04">
        <w:rPr>
          <w:rFonts w:ascii="Arial" w:hAnsi="Arial" w:cs="Arial"/>
          <w:sz w:val="20"/>
        </w:rPr>
        <w:t>The initial empty mass for a balloon is the balloon empty mass determined by a weighing performed by the manufacturer of the balloon before the initial entry into service.</w:t>
      </w:r>
    </w:p>
    <w:p w14:paraId="024E29CD" w14:textId="77777777" w:rsidR="00A21F04" w:rsidRPr="00A21F04" w:rsidRDefault="00A21F04" w:rsidP="009601C2">
      <w:pPr>
        <w:numPr>
          <w:ilvl w:val="0"/>
          <w:numId w:val="57"/>
        </w:numPr>
        <w:tabs>
          <w:tab w:val="left" w:pos="3090"/>
        </w:tabs>
        <w:spacing w:line="276" w:lineRule="auto"/>
        <w:jc w:val="both"/>
        <w:rPr>
          <w:rFonts w:ascii="Arial" w:hAnsi="Arial" w:cs="Arial"/>
          <w:sz w:val="20"/>
        </w:rPr>
      </w:pPr>
      <w:r w:rsidRPr="00A21F04">
        <w:rPr>
          <w:rFonts w:ascii="Arial" w:hAnsi="Arial" w:cs="Arial"/>
          <w:sz w:val="20"/>
        </w:rPr>
        <w:t>The mass of a balloon is revised whenever the cumulative changes to the balloon empty mass due to modifications or repairs exceed ± 10 % of the initial empty mass. This may be done by weighing the balloon or by calculation.</w:t>
      </w:r>
    </w:p>
    <w:p w14:paraId="0BA65778" w14:textId="77777777" w:rsidR="00A21F04" w:rsidRDefault="00A21F04" w:rsidP="009601C2">
      <w:pPr>
        <w:tabs>
          <w:tab w:val="left" w:pos="3090"/>
        </w:tabs>
        <w:spacing w:line="276" w:lineRule="auto"/>
        <w:jc w:val="both"/>
        <w:rPr>
          <w:rFonts w:ascii="Arial" w:hAnsi="Arial" w:cs="Arial"/>
          <w:sz w:val="20"/>
        </w:rPr>
      </w:pPr>
    </w:p>
    <w:p w14:paraId="077660B4" w14:textId="77777777" w:rsidR="00A21F04" w:rsidRPr="00A21F04" w:rsidRDefault="00A21F04" w:rsidP="009601C2">
      <w:pPr>
        <w:keepNext/>
        <w:keepLines/>
        <w:widowControl/>
        <w:shd w:val="clear" w:color="auto" w:fill="2F5496"/>
        <w:autoSpaceDE/>
        <w:autoSpaceDN/>
        <w:spacing w:before="280" w:after="240" w:line="276" w:lineRule="auto"/>
        <w:outlineLvl w:val="3"/>
        <w:rPr>
          <w:rFonts w:ascii="Arial" w:eastAsia="Times New Roman" w:hAnsi="Arial" w:cs="Times New Roman"/>
          <w:b/>
          <w:iCs/>
          <w:color w:val="FFFFFF"/>
          <w:sz w:val="24"/>
        </w:rPr>
      </w:pPr>
      <w:bookmarkStart w:id="224" w:name="BOP.BAS.210_Performance_—_General"/>
      <w:bookmarkStart w:id="225" w:name="_bookmark99"/>
      <w:bookmarkStart w:id="226" w:name="_Toc153137264"/>
      <w:bookmarkEnd w:id="224"/>
      <w:bookmarkEnd w:id="225"/>
      <w:r w:rsidRPr="00A21F04">
        <w:rPr>
          <w:rFonts w:ascii="Arial" w:eastAsia="Times New Roman" w:hAnsi="Arial" w:cs="Times New Roman"/>
          <w:b/>
          <w:iCs/>
          <w:color w:val="FFFFFF"/>
          <w:sz w:val="24"/>
        </w:rPr>
        <w:t>BOP.BAS.210 Performance — General</w:t>
      </w:r>
      <w:bookmarkEnd w:id="226"/>
    </w:p>
    <w:p w14:paraId="63689625" w14:textId="18ED1D32" w:rsidR="00A21F04" w:rsidRDefault="00A21F04" w:rsidP="009601C2">
      <w:pPr>
        <w:tabs>
          <w:tab w:val="left" w:pos="3090"/>
        </w:tabs>
        <w:spacing w:line="276" w:lineRule="auto"/>
        <w:jc w:val="both"/>
        <w:rPr>
          <w:rFonts w:ascii="Arial" w:hAnsi="Arial" w:cs="Arial"/>
          <w:sz w:val="20"/>
        </w:rPr>
      </w:pPr>
      <w:r w:rsidRPr="00A21F04">
        <w:rPr>
          <w:rFonts w:ascii="Arial" w:hAnsi="Arial" w:cs="Arial"/>
          <w:sz w:val="20"/>
        </w:rPr>
        <w:t>The pilot-in-command shall only operate the balloon if the performance of the balloon is adequate to comply with the requi</w:t>
      </w:r>
      <w:r w:rsidR="002F2701">
        <w:rPr>
          <w:rFonts w:ascii="Arial" w:hAnsi="Arial" w:cs="Arial"/>
          <w:sz w:val="20"/>
        </w:rPr>
        <w:t xml:space="preserve">rements set out in the Annex to </w:t>
      </w:r>
      <w:hyperlink r:id="rId48" w:history="1">
        <w:r w:rsidR="002F2701" w:rsidRPr="00B649C8">
          <w:rPr>
            <w:rStyle w:val="Hyperlink"/>
            <w:rFonts w:ascii="Arial" w:hAnsi="Arial" w:cs="Arial"/>
            <w:sz w:val="20"/>
          </w:rPr>
          <w:t>the decision N 737-N of the Government of the Republic of Armenia, dated 06.06.2007</w:t>
        </w:r>
      </w:hyperlink>
      <w:r w:rsidR="002F2701">
        <w:rPr>
          <w:rFonts w:ascii="Arial" w:hAnsi="Arial" w:cs="Arial"/>
          <w:sz w:val="20"/>
        </w:rPr>
        <w:t xml:space="preserve"> </w:t>
      </w:r>
      <w:r w:rsidRPr="00A21F04">
        <w:rPr>
          <w:rFonts w:ascii="Arial" w:hAnsi="Arial" w:cs="Arial"/>
          <w:sz w:val="20"/>
        </w:rPr>
        <w:t>and any other restrictions applicable to the flight, the airspace or operating sites used, ensuring that any charts or maps used are the latest available edition</w:t>
      </w:r>
      <w:r w:rsidR="00207EFE">
        <w:rPr>
          <w:rFonts w:ascii="Arial" w:hAnsi="Arial" w:cs="Arial"/>
          <w:sz w:val="20"/>
        </w:rPr>
        <w:t>.</w:t>
      </w:r>
    </w:p>
    <w:p w14:paraId="3E55064D" w14:textId="77777777" w:rsidR="00207EFE" w:rsidRDefault="00207EFE" w:rsidP="009601C2">
      <w:pPr>
        <w:tabs>
          <w:tab w:val="left" w:pos="3090"/>
        </w:tabs>
        <w:spacing w:line="276" w:lineRule="auto"/>
        <w:jc w:val="both"/>
        <w:rPr>
          <w:rFonts w:ascii="Arial" w:hAnsi="Arial" w:cs="Arial"/>
          <w:sz w:val="20"/>
        </w:rPr>
      </w:pPr>
    </w:p>
    <w:p w14:paraId="5EDF8A64" w14:textId="77777777" w:rsidR="00207EFE" w:rsidRDefault="00207EFE" w:rsidP="009601C2">
      <w:pPr>
        <w:tabs>
          <w:tab w:val="left" w:pos="3090"/>
        </w:tabs>
        <w:spacing w:line="276" w:lineRule="auto"/>
        <w:jc w:val="both"/>
        <w:rPr>
          <w:rFonts w:ascii="Arial" w:hAnsi="Arial" w:cs="Arial"/>
          <w:sz w:val="20"/>
        </w:rPr>
      </w:pPr>
    </w:p>
    <w:p w14:paraId="40CD170A" w14:textId="77777777" w:rsidR="00207EFE" w:rsidRDefault="00207EFE" w:rsidP="009601C2">
      <w:pPr>
        <w:tabs>
          <w:tab w:val="left" w:pos="3090"/>
        </w:tabs>
        <w:spacing w:line="276" w:lineRule="auto"/>
        <w:jc w:val="both"/>
        <w:rPr>
          <w:rFonts w:ascii="Arial" w:hAnsi="Arial" w:cs="Arial"/>
          <w:sz w:val="20"/>
        </w:rPr>
      </w:pPr>
    </w:p>
    <w:p w14:paraId="16F9A603" w14:textId="77777777" w:rsidR="00207EFE" w:rsidRDefault="00207EFE" w:rsidP="009601C2">
      <w:pPr>
        <w:tabs>
          <w:tab w:val="left" w:pos="3090"/>
        </w:tabs>
        <w:spacing w:line="276" w:lineRule="auto"/>
        <w:jc w:val="both"/>
        <w:rPr>
          <w:rFonts w:ascii="Arial" w:hAnsi="Arial" w:cs="Arial"/>
          <w:sz w:val="20"/>
        </w:rPr>
      </w:pPr>
    </w:p>
    <w:p w14:paraId="02629098" w14:textId="77777777" w:rsidR="00207EFE" w:rsidRDefault="00207EFE" w:rsidP="009601C2">
      <w:pPr>
        <w:tabs>
          <w:tab w:val="left" w:pos="3090"/>
        </w:tabs>
        <w:spacing w:line="276" w:lineRule="auto"/>
        <w:jc w:val="both"/>
        <w:rPr>
          <w:rFonts w:ascii="Arial" w:hAnsi="Arial" w:cs="Arial"/>
          <w:sz w:val="20"/>
        </w:rPr>
      </w:pPr>
    </w:p>
    <w:p w14:paraId="1A51BFFB" w14:textId="77777777" w:rsidR="00207EFE" w:rsidRDefault="00207EFE" w:rsidP="009601C2">
      <w:pPr>
        <w:tabs>
          <w:tab w:val="left" w:pos="3090"/>
        </w:tabs>
        <w:spacing w:line="276" w:lineRule="auto"/>
        <w:jc w:val="both"/>
        <w:rPr>
          <w:rFonts w:ascii="Arial" w:hAnsi="Arial" w:cs="Arial"/>
          <w:sz w:val="20"/>
        </w:rPr>
      </w:pPr>
    </w:p>
    <w:p w14:paraId="4D3ED2D5" w14:textId="77777777" w:rsidR="00207EFE" w:rsidRDefault="00207EFE" w:rsidP="009601C2">
      <w:pPr>
        <w:tabs>
          <w:tab w:val="left" w:pos="3090"/>
        </w:tabs>
        <w:spacing w:line="276" w:lineRule="auto"/>
        <w:jc w:val="both"/>
        <w:rPr>
          <w:rFonts w:ascii="Arial" w:hAnsi="Arial" w:cs="Arial"/>
          <w:sz w:val="20"/>
        </w:rPr>
      </w:pPr>
    </w:p>
    <w:p w14:paraId="7E2B0D44" w14:textId="77777777" w:rsidR="00207EFE" w:rsidRDefault="00207EFE" w:rsidP="009601C2">
      <w:pPr>
        <w:tabs>
          <w:tab w:val="left" w:pos="3090"/>
        </w:tabs>
        <w:spacing w:line="276" w:lineRule="auto"/>
        <w:jc w:val="both"/>
        <w:rPr>
          <w:rFonts w:ascii="Arial" w:hAnsi="Arial" w:cs="Arial"/>
          <w:sz w:val="20"/>
        </w:rPr>
      </w:pPr>
    </w:p>
    <w:p w14:paraId="0B4563FA" w14:textId="1C0C19E0" w:rsidR="00207EFE" w:rsidRDefault="00207EFE" w:rsidP="009601C2">
      <w:pPr>
        <w:tabs>
          <w:tab w:val="left" w:pos="3090"/>
        </w:tabs>
        <w:spacing w:line="276" w:lineRule="auto"/>
        <w:jc w:val="both"/>
        <w:rPr>
          <w:rFonts w:ascii="Arial" w:hAnsi="Arial" w:cs="Arial"/>
          <w:sz w:val="20"/>
        </w:rPr>
      </w:pPr>
    </w:p>
    <w:p w14:paraId="5EEE547A" w14:textId="3471D604" w:rsidR="00207EFE" w:rsidRPr="002F2701" w:rsidRDefault="00207EFE" w:rsidP="002F2701">
      <w:pPr>
        <w:keepNext/>
        <w:keepLines/>
        <w:spacing w:before="40" w:line="276" w:lineRule="auto"/>
        <w:jc w:val="center"/>
        <w:outlineLvl w:val="3"/>
        <w:rPr>
          <w:rFonts w:ascii="Arial" w:eastAsiaTheme="majorEastAsia" w:hAnsi="Arial" w:cs="Arial"/>
          <w:b/>
          <w:iCs/>
          <w:color w:val="2E74B5" w:themeColor="accent1" w:themeShade="BF"/>
          <w:sz w:val="24"/>
          <w:szCs w:val="24"/>
        </w:rPr>
      </w:pPr>
      <w:bookmarkStart w:id="227" w:name="_Toc153137265"/>
      <w:r w:rsidRPr="00FA7754">
        <w:rPr>
          <w:rFonts w:ascii="Arial" w:eastAsiaTheme="majorEastAsia" w:hAnsi="Arial" w:cs="Arial"/>
          <w:b/>
          <w:iCs/>
          <w:color w:val="2E74B5" w:themeColor="accent1" w:themeShade="BF"/>
          <w:sz w:val="24"/>
          <w:szCs w:val="24"/>
        </w:rPr>
        <w:lastRenderedPageBreak/>
        <w:t>SECTION 4 – INSTRUMENTS AND EQUIPMENT</w:t>
      </w:r>
      <w:bookmarkEnd w:id="227"/>
    </w:p>
    <w:p w14:paraId="782BC567" w14:textId="77777777" w:rsidR="001C54B1" w:rsidRPr="001C54B1" w:rsidRDefault="001C54B1"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228" w:name="_Toc153137266"/>
      <w:r w:rsidRPr="001C54B1">
        <w:rPr>
          <w:rFonts w:ascii="Arial" w:eastAsia="Times New Roman" w:hAnsi="Arial" w:cs="Times New Roman"/>
          <w:b/>
          <w:iCs/>
          <w:color w:val="FFFFFF"/>
          <w:sz w:val="24"/>
        </w:rPr>
        <w:t>BOP.BAS.300 Instruments and equipment — General</w:t>
      </w:r>
      <w:bookmarkEnd w:id="228"/>
      <w:r w:rsidRPr="001C54B1">
        <w:rPr>
          <w:rFonts w:ascii="Arial" w:eastAsia="Times New Roman" w:hAnsi="Arial" w:cs="Times New Roman"/>
          <w:b/>
          <w:iCs/>
          <w:color w:val="FFFFFF"/>
          <w:sz w:val="24"/>
        </w:rPr>
        <w:tab/>
      </w:r>
    </w:p>
    <w:p w14:paraId="4240FC46" w14:textId="4BC88945" w:rsidR="001C54B1" w:rsidRPr="001C54B1" w:rsidRDefault="001C54B1" w:rsidP="004D6F08">
      <w:pPr>
        <w:numPr>
          <w:ilvl w:val="0"/>
          <w:numId w:val="58"/>
        </w:numPr>
        <w:tabs>
          <w:tab w:val="left" w:pos="3090"/>
        </w:tabs>
        <w:spacing w:line="276" w:lineRule="auto"/>
        <w:jc w:val="both"/>
        <w:rPr>
          <w:rFonts w:ascii="Arial" w:hAnsi="Arial" w:cs="Arial"/>
          <w:sz w:val="20"/>
        </w:rPr>
      </w:pPr>
      <w:r w:rsidRPr="001C54B1">
        <w:rPr>
          <w:rFonts w:ascii="Arial" w:hAnsi="Arial" w:cs="Arial"/>
          <w:sz w:val="20"/>
        </w:rPr>
        <w:t>Instruments and equipment required by this Section shall be approved in accordance with</w:t>
      </w:r>
      <w:r w:rsidR="0070620E">
        <w:rPr>
          <w:rFonts w:ascii="Arial" w:hAnsi="Arial" w:cs="Arial"/>
          <w:sz w:val="20"/>
        </w:rPr>
        <w:t xml:space="preserve"> airworthiness requirements specified in article 9,16 and 20 of </w:t>
      </w:r>
      <w:r w:rsidRPr="001C54B1">
        <w:rPr>
          <w:rFonts w:ascii="Arial" w:hAnsi="Arial" w:cs="Arial"/>
          <w:sz w:val="20"/>
        </w:rPr>
        <w:t xml:space="preserve">Annex I to </w:t>
      </w:r>
      <w:hyperlink r:id="rId49" w:history="1">
        <w:r w:rsidR="00727768">
          <w:rPr>
            <w:rStyle w:val="Hyperlink"/>
            <w:rFonts w:ascii="Arial" w:hAnsi="Arial" w:cs="Arial"/>
            <w:sz w:val="20"/>
          </w:rPr>
          <w:t>the order N 20-N of the Minister of Territorial Administration and Infrastructure of RA, dated 18.11.2022</w:t>
        </w:r>
      </w:hyperlink>
      <w:r w:rsidRPr="004D6F08">
        <w:rPr>
          <w:rFonts w:ascii="Arial" w:hAnsi="Arial" w:cs="Arial"/>
          <w:sz w:val="20"/>
        </w:rPr>
        <w:t xml:space="preserve"> </w:t>
      </w:r>
      <w:r w:rsidRPr="001C54B1">
        <w:rPr>
          <w:rFonts w:ascii="Arial" w:hAnsi="Arial" w:cs="Arial"/>
          <w:sz w:val="20"/>
        </w:rPr>
        <w:t>if one of the following conditions is fulfilled:</w:t>
      </w:r>
    </w:p>
    <w:p w14:paraId="521AED02" w14:textId="77777777" w:rsidR="001C54B1" w:rsidRPr="001C54B1" w:rsidRDefault="001C54B1" w:rsidP="009601C2">
      <w:pPr>
        <w:numPr>
          <w:ilvl w:val="1"/>
          <w:numId w:val="58"/>
        </w:numPr>
        <w:tabs>
          <w:tab w:val="left" w:pos="3090"/>
        </w:tabs>
        <w:spacing w:line="276" w:lineRule="auto"/>
        <w:jc w:val="both"/>
        <w:rPr>
          <w:rFonts w:ascii="Arial" w:hAnsi="Arial" w:cs="Arial"/>
          <w:sz w:val="20"/>
        </w:rPr>
      </w:pPr>
      <w:r w:rsidRPr="001C54B1">
        <w:rPr>
          <w:rFonts w:ascii="Arial" w:hAnsi="Arial" w:cs="Arial"/>
          <w:sz w:val="20"/>
        </w:rPr>
        <w:t xml:space="preserve">they are used to comply with points </w:t>
      </w:r>
      <w:r w:rsidRPr="00545710">
        <w:rPr>
          <w:rFonts w:ascii="Arial" w:hAnsi="Arial" w:cs="Arial"/>
          <w:sz w:val="20"/>
        </w:rPr>
        <w:t xml:space="preserve">BOP.BAS.355 </w:t>
      </w:r>
      <w:r w:rsidRPr="001C54B1">
        <w:rPr>
          <w:rFonts w:ascii="Arial" w:hAnsi="Arial" w:cs="Arial"/>
          <w:sz w:val="20"/>
        </w:rPr>
        <w:t xml:space="preserve">and </w:t>
      </w:r>
      <w:r w:rsidRPr="00545710">
        <w:rPr>
          <w:rFonts w:ascii="Arial" w:hAnsi="Arial" w:cs="Arial"/>
          <w:sz w:val="20"/>
        </w:rPr>
        <w:t>BOP.BAS.360</w:t>
      </w:r>
      <w:r w:rsidRPr="001C54B1">
        <w:rPr>
          <w:rFonts w:ascii="Arial" w:hAnsi="Arial" w:cs="Arial"/>
          <w:sz w:val="20"/>
        </w:rPr>
        <w:t>;</w:t>
      </w:r>
    </w:p>
    <w:p w14:paraId="6E034EEC" w14:textId="77777777" w:rsidR="001C54B1" w:rsidRPr="001C54B1" w:rsidRDefault="001C54B1" w:rsidP="009601C2">
      <w:pPr>
        <w:numPr>
          <w:ilvl w:val="1"/>
          <w:numId w:val="58"/>
        </w:numPr>
        <w:tabs>
          <w:tab w:val="left" w:pos="3090"/>
        </w:tabs>
        <w:spacing w:line="276" w:lineRule="auto"/>
        <w:jc w:val="both"/>
        <w:rPr>
          <w:rFonts w:ascii="Arial" w:hAnsi="Arial" w:cs="Arial"/>
          <w:sz w:val="20"/>
        </w:rPr>
      </w:pPr>
      <w:r w:rsidRPr="001C54B1">
        <w:rPr>
          <w:rFonts w:ascii="Arial" w:hAnsi="Arial" w:cs="Arial"/>
          <w:sz w:val="20"/>
        </w:rPr>
        <w:t>they are permanently installed in the balloon.</w:t>
      </w:r>
    </w:p>
    <w:p w14:paraId="0FF7B4D7" w14:textId="77777777" w:rsidR="001C54B1" w:rsidRPr="001C54B1" w:rsidRDefault="001C54B1" w:rsidP="009601C2">
      <w:pPr>
        <w:numPr>
          <w:ilvl w:val="0"/>
          <w:numId w:val="58"/>
        </w:numPr>
        <w:tabs>
          <w:tab w:val="left" w:pos="3090"/>
        </w:tabs>
        <w:spacing w:line="276" w:lineRule="auto"/>
        <w:jc w:val="both"/>
        <w:rPr>
          <w:rFonts w:ascii="Arial" w:hAnsi="Arial" w:cs="Arial"/>
          <w:sz w:val="20"/>
        </w:rPr>
      </w:pPr>
      <w:r w:rsidRPr="001C54B1">
        <w:rPr>
          <w:rFonts w:ascii="Arial" w:hAnsi="Arial" w:cs="Arial"/>
          <w:sz w:val="20"/>
        </w:rPr>
        <w:t>By way of derogation from point (a), all of the following instruments or equipment, when required by this Section, shall not need an approval:</w:t>
      </w:r>
    </w:p>
    <w:p w14:paraId="2CE14E62" w14:textId="77777777" w:rsidR="001C54B1" w:rsidRPr="001C54B1" w:rsidRDefault="001C54B1" w:rsidP="009601C2">
      <w:pPr>
        <w:numPr>
          <w:ilvl w:val="1"/>
          <w:numId w:val="58"/>
        </w:numPr>
        <w:tabs>
          <w:tab w:val="left" w:pos="3090"/>
        </w:tabs>
        <w:spacing w:line="276" w:lineRule="auto"/>
        <w:jc w:val="both"/>
        <w:rPr>
          <w:rFonts w:ascii="Arial" w:hAnsi="Arial" w:cs="Arial"/>
          <w:sz w:val="20"/>
        </w:rPr>
      </w:pPr>
      <w:r w:rsidRPr="001C54B1">
        <w:rPr>
          <w:rFonts w:ascii="Arial" w:hAnsi="Arial" w:cs="Arial"/>
          <w:sz w:val="20"/>
        </w:rPr>
        <w:t>instruments or equipment used by the flight crew to determine the flight path;</w:t>
      </w:r>
    </w:p>
    <w:p w14:paraId="5A88DADE" w14:textId="77777777" w:rsidR="001C54B1" w:rsidRPr="001C54B1" w:rsidRDefault="001C54B1" w:rsidP="009601C2">
      <w:pPr>
        <w:numPr>
          <w:ilvl w:val="1"/>
          <w:numId w:val="58"/>
        </w:numPr>
        <w:tabs>
          <w:tab w:val="left" w:pos="3090"/>
        </w:tabs>
        <w:spacing w:line="276" w:lineRule="auto"/>
        <w:jc w:val="both"/>
        <w:rPr>
          <w:rFonts w:ascii="Arial" w:hAnsi="Arial" w:cs="Arial"/>
          <w:sz w:val="20"/>
        </w:rPr>
      </w:pPr>
      <w:r w:rsidRPr="001C54B1">
        <w:rPr>
          <w:rFonts w:ascii="Arial" w:hAnsi="Arial" w:cs="Arial"/>
          <w:sz w:val="20"/>
        </w:rPr>
        <w:t>independent portable lights;</w:t>
      </w:r>
    </w:p>
    <w:p w14:paraId="4F416B9C" w14:textId="77777777" w:rsidR="001C54B1" w:rsidRPr="001C54B1" w:rsidRDefault="001C54B1" w:rsidP="009601C2">
      <w:pPr>
        <w:numPr>
          <w:ilvl w:val="1"/>
          <w:numId w:val="58"/>
        </w:numPr>
        <w:tabs>
          <w:tab w:val="left" w:pos="3090"/>
        </w:tabs>
        <w:spacing w:line="276" w:lineRule="auto"/>
        <w:jc w:val="both"/>
        <w:rPr>
          <w:rFonts w:ascii="Arial" w:hAnsi="Arial" w:cs="Arial"/>
          <w:sz w:val="20"/>
        </w:rPr>
      </w:pPr>
      <w:r w:rsidRPr="001C54B1">
        <w:rPr>
          <w:rFonts w:ascii="Arial" w:hAnsi="Arial" w:cs="Arial"/>
          <w:sz w:val="20"/>
        </w:rPr>
        <w:t>an accurate time piece;</w:t>
      </w:r>
    </w:p>
    <w:p w14:paraId="1BCA2E45" w14:textId="77777777" w:rsidR="001C54B1" w:rsidRPr="001C54B1" w:rsidRDefault="001C54B1" w:rsidP="009601C2">
      <w:pPr>
        <w:numPr>
          <w:ilvl w:val="1"/>
          <w:numId w:val="58"/>
        </w:numPr>
        <w:tabs>
          <w:tab w:val="left" w:pos="3090"/>
        </w:tabs>
        <w:spacing w:line="276" w:lineRule="auto"/>
        <w:jc w:val="both"/>
        <w:rPr>
          <w:rFonts w:ascii="Arial" w:hAnsi="Arial" w:cs="Arial"/>
          <w:sz w:val="20"/>
        </w:rPr>
      </w:pPr>
      <w:r w:rsidRPr="001C54B1">
        <w:rPr>
          <w:rFonts w:ascii="Arial" w:hAnsi="Arial" w:cs="Arial"/>
          <w:sz w:val="20"/>
        </w:rPr>
        <w:t>first-aid kit;</w:t>
      </w:r>
    </w:p>
    <w:p w14:paraId="365DC470" w14:textId="77777777" w:rsidR="001C54B1" w:rsidRPr="001C54B1" w:rsidRDefault="001C54B1" w:rsidP="009601C2">
      <w:pPr>
        <w:numPr>
          <w:ilvl w:val="1"/>
          <w:numId w:val="58"/>
        </w:numPr>
        <w:tabs>
          <w:tab w:val="left" w:pos="3090"/>
        </w:tabs>
        <w:spacing w:line="276" w:lineRule="auto"/>
        <w:jc w:val="both"/>
        <w:rPr>
          <w:rFonts w:ascii="Arial" w:hAnsi="Arial" w:cs="Arial"/>
          <w:sz w:val="20"/>
        </w:rPr>
      </w:pPr>
      <w:r w:rsidRPr="001C54B1">
        <w:rPr>
          <w:rFonts w:ascii="Arial" w:hAnsi="Arial" w:cs="Arial"/>
          <w:sz w:val="20"/>
        </w:rPr>
        <w:t>survival and signalling equipment;</w:t>
      </w:r>
    </w:p>
    <w:p w14:paraId="4645DF71" w14:textId="77777777" w:rsidR="001C54B1" w:rsidRPr="001C54B1" w:rsidRDefault="001C54B1" w:rsidP="009601C2">
      <w:pPr>
        <w:numPr>
          <w:ilvl w:val="1"/>
          <w:numId w:val="58"/>
        </w:numPr>
        <w:tabs>
          <w:tab w:val="left" w:pos="3090"/>
        </w:tabs>
        <w:spacing w:line="276" w:lineRule="auto"/>
        <w:jc w:val="both"/>
        <w:rPr>
          <w:rFonts w:ascii="Arial" w:hAnsi="Arial" w:cs="Arial"/>
          <w:sz w:val="20"/>
        </w:rPr>
      </w:pPr>
      <w:r w:rsidRPr="001C54B1">
        <w:rPr>
          <w:rFonts w:ascii="Arial" w:hAnsi="Arial" w:cs="Arial"/>
          <w:sz w:val="20"/>
        </w:rPr>
        <w:t>supplemental oxygen storage and dispensing apparatus;</w:t>
      </w:r>
    </w:p>
    <w:p w14:paraId="0199DB54" w14:textId="77777777" w:rsidR="001C54B1" w:rsidRPr="001C54B1" w:rsidRDefault="001C54B1" w:rsidP="009601C2">
      <w:pPr>
        <w:numPr>
          <w:ilvl w:val="1"/>
          <w:numId w:val="58"/>
        </w:numPr>
        <w:tabs>
          <w:tab w:val="left" w:pos="3090"/>
        </w:tabs>
        <w:spacing w:line="276" w:lineRule="auto"/>
        <w:jc w:val="both"/>
        <w:rPr>
          <w:rFonts w:ascii="Arial" w:hAnsi="Arial" w:cs="Arial"/>
          <w:sz w:val="20"/>
        </w:rPr>
      </w:pPr>
      <w:r w:rsidRPr="001C54B1">
        <w:rPr>
          <w:rFonts w:ascii="Arial" w:hAnsi="Arial" w:cs="Arial"/>
          <w:sz w:val="20"/>
        </w:rPr>
        <w:t>alternative source of ignition;</w:t>
      </w:r>
    </w:p>
    <w:p w14:paraId="067FE0DD" w14:textId="77777777" w:rsidR="001C54B1" w:rsidRPr="001C54B1" w:rsidRDefault="001C54B1" w:rsidP="009601C2">
      <w:pPr>
        <w:numPr>
          <w:ilvl w:val="1"/>
          <w:numId w:val="58"/>
        </w:numPr>
        <w:tabs>
          <w:tab w:val="left" w:pos="3090"/>
        </w:tabs>
        <w:spacing w:line="276" w:lineRule="auto"/>
        <w:jc w:val="both"/>
        <w:rPr>
          <w:rFonts w:ascii="Arial" w:hAnsi="Arial" w:cs="Arial"/>
          <w:sz w:val="20"/>
        </w:rPr>
      </w:pPr>
      <w:r w:rsidRPr="001C54B1">
        <w:rPr>
          <w:rFonts w:ascii="Arial" w:hAnsi="Arial" w:cs="Arial"/>
          <w:sz w:val="20"/>
        </w:rPr>
        <w:t>fire blanket or fire-resistant cover;</w:t>
      </w:r>
    </w:p>
    <w:p w14:paraId="72E22C5D" w14:textId="77777777" w:rsidR="001C54B1" w:rsidRPr="001C54B1" w:rsidRDefault="001C54B1" w:rsidP="009601C2">
      <w:pPr>
        <w:numPr>
          <w:ilvl w:val="1"/>
          <w:numId w:val="58"/>
        </w:numPr>
        <w:tabs>
          <w:tab w:val="left" w:pos="3090"/>
        </w:tabs>
        <w:spacing w:line="276" w:lineRule="auto"/>
        <w:jc w:val="both"/>
        <w:rPr>
          <w:rFonts w:ascii="Arial" w:hAnsi="Arial" w:cs="Arial"/>
          <w:sz w:val="20"/>
        </w:rPr>
      </w:pPr>
      <w:r w:rsidRPr="001C54B1">
        <w:rPr>
          <w:rFonts w:ascii="Arial" w:hAnsi="Arial" w:cs="Arial"/>
          <w:sz w:val="20"/>
        </w:rPr>
        <w:t>hand fire extinguisher;</w:t>
      </w:r>
    </w:p>
    <w:p w14:paraId="69CCEC51" w14:textId="77777777" w:rsidR="001C54B1" w:rsidRPr="001C54B1" w:rsidRDefault="001C54B1" w:rsidP="009601C2">
      <w:pPr>
        <w:numPr>
          <w:ilvl w:val="1"/>
          <w:numId w:val="58"/>
        </w:numPr>
        <w:tabs>
          <w:tab w:val="left" w:pos="3090"/>
        </w:tabs>
        <w:spacing w:line="276" w:lineRule="auto"/>
        <w:jc w:val="both"/>
        <w:rPr>
          <w:rFonts w:ascii="Arial" w:hAnsi="Arial" w:cs="Arial"/>
          <w:sz w:val="20"/>
        </w:rPr>
      </w:pPr>
      <w:r w:rsidRPr="001C54B1">
        <w:rPr>
          <w:rFonts w:ascii="Arial" w:hAnsi="Arial" w:cs="Arial"/>
          <w:sz w:val="20"/>
        </w:rPr>
        <w:t>drop line;</w:t>
      </w:r>
    </w:p>
    <w:p w14:paraId="7592DC07" w14:textId="77777777" w:rsidR="001C54B1" w:rsidRPr="001C54B1" w:rsidRDefault="001C54B1" w:rsidP="009601C2">
      <w:pPr>
        <w:numPr>
          <w:ilvl w:val="1"/>
          <w:numId w:val="58"/>
        </w:numPr>
        <w:tabs>
          <w:tab w:val="left" w:pos="3090"/>
        </w:tabs>
        <w:spacing w:line="276" w:lineRule="auto"/>
        <w:jc w:val="both"/>
        <w:rPr>
          <w:rFonts w:ascii="Arial" w:hAnsi="Arial" w:cs="Arial"/>
          <w:sz w:val="20"/>
        </w:rPr>
      </w:pPr>
      <w:r w:rsidRPr="001C54B1">
        <w:rPr>
          <w:rFonts w:ascii="Arial" w:hAnsi="Arial" w:cs="Arial"/>
          <w:sz w:val="20"/>
        </w:rPr>
        <w:t>knife.</w:t>
      </w:r>
    </w:p>
    <w:p w14:paraId="1E0FFB5F" w14:textId="77777777" w:rsidR="001C54B1" w:rsidRPr="001C54B1" w:rsidRDefault="001C54B1" w:rsidP="009601C2">
      <w:pPr>
        <w:numPr>
          <w:ilvl w:val="0"/>
          <w:numId w:val="58"/>
        </w:numPr>
        <w:tabs>
          <w:tab w:val="left" w:pos="3090"/>
        </w:tabs>
        <w:spacing w:line="276" w:lineRule="auto"/>
        <w:jc w:val="both"/>
        <w:rPr>
          <w:rFonts w:ascii="Arial" w:hAnsi="Arial" w:cs="Arial"/>
          <w:sz w:val="20"/>
        </w:rPr>
      </w:pPr>
      <w:r w:rsidRPr="001C54B1">
        <w:rPr>
          <w:rFonts w:ascii="Arial" w:hAnsi="Arial" w:cs="Arial"/>
          <w:sz w:val="20"/>
        </w:rPr>
        <w:t>Instruments and equipment not required by this Section, as well as any other equipment that is not required by this Annex but is carried on board a balloon during a flight, shall comply with the following two conditions:</w:t>
      </w:r>
    </w:p>
    <w:p w14:paraId="662B24AE" w14:textId="6A89C5E9" w:rsidR="001C54B1" w:rsidRPr="001C54B1" w:rsidRDefault="001C54B1" w:rsidP="009601C2">
      <w:pPr>
        <w:numPr>
          <w:ilvl w:val="1"/>
          <w:numId w:val="58"/>
        </w:numPr>
        <w:tabs>
          <w:tab w:val="left" w:pos="3090"/>
        </w:tabs>
        <w:spacing w:line="276" w:lineRule="auto"/>
        <w:jc w:val="both"/>
        <w:rPr>
          <w:rFonts w:ascii="Arial" w:hAnsi="Arial" w:cs="Arial"/>
          <w:sz w:val="20"/>
        </w:rPr>
      </w:pPr>
      <w:r w:rsidRPr="001C54B1">
        <w:rPr>
          <w:rFonts w:ascii="Arial" w:hAnsi="Arial" w:cs="Arial"/>
          <w:sz w:val="20"/>
        </w:rPr>
        <w:t xml:space="preserve">the information provided by those instruments or equipment shall not be used by the flight crew to comply with the essential requirements for airworthiness set out in </w:t>
      </w:r>
      <w:hyperlink r:id="rId50" w:history="1">
        <w:r w:rsidR="005C2A3C" w:rsidRPr="004073D2">
          <w:rPr>
            <w:rStyle w:val="Hyperlink"/>
            <w:rFonts w:ascii="Arial" w:hAnsi="Arial" w:cs="Arial"/>
            <w:sz w:val="20"/>
            <w:szCs w:val="20"/>
          </w:rPr>
          <w:t>Law on Aviation of the Republic of Armenia</w:t>
        </w:r>
      </w:hyperlink>
      <w:r w:rsidRPr="001C54B1">
        <w:rPr>
          <w:rFonts w:ascii="Arial" w:hAnsi="Arial" w:cs="Arial"/>
          <w:sz w:val="20"/>
        </w:rPr>
        <w:t>;</w:t>
      </w:r>
    </w:p>
    <w:p w14:paraId="202B17C1" w14:textId="77777777" w:rsidR="001C54B1" w:rsidRPr="001C54B1" w:rsidRDefault="001C54B1" w:rsidP="009601C2">
      <w:pPr>
        <w:numPr>
          <w:ilvl w:val="1"/>
          <w:numId w:val="58"/>
        </w:numPr>
        <w:tabs>
          <w:tab w:val="left" w:pos="3090"/>
        </w:tabs>
        <w:spacing w:line="276" w:lineRule="auto"/>
        <w:jc w:val="both"/>
        <w:rPr>
          <w:rFonts w:ascii="Arial" w:hAnsi="Arial" w:cs="Arial"/>
          <w:sz w:val="20"/>
        </w:rPr>
      </w:pPr>
      <w:r w:rsidRPr="001C54B1">
        <w:rPr>
          <w:rFonts w:ascii="Arial" w:hAnsi="Arial" w:cs="Arial"/>
          <w:sz w:val="20"/>
        </w:rPr>
        <w:t>the instruments and equipment shall not affect the airworthiness of the balloon, even in the case of failures or malfunction.</w:t>
      </w:r>
    </w:p>
    <w:p w14:paraId="303B1A36" w14:textId="77777777" w:rsidR="001C54B1" w:rsidRPr="001C54B1" w:rsidRDefault="001C54B1" w:rsidP="009601C2">
      <w:pPr>
        <w:numPr>
          <w:ilvl w:val="0"/>
          <w:numId w:val="58"/>
        </w:numPr>
        <w:tabs>
          <w:tab w:val="left" w:pos="3090"/>
        </w:tabs>
        <w:spacing w:line="276" w:lineRule="auto"/>
        <w:jc w:val="both"/>
        <w:rPr>
          <w:rFonts w:ascii="Arial" w:hAnsi="Arial" w:cs="Arial"/>
          <w:sz w:val="20"/>
        </w:rPr>
      </w:pPr>
      <w:r w:rsidRPr="001C54B1">
        <w:rPr>
          <w:rFonts w:ascii="Arial" w:hAnsi="Arial" w:cs="Arial"/>
          <w:sz w:val="20"/>
        </w:rPr>
        <w:t>Instruments and equipment shall be readily operable or accessible from the station where the flight crew member that needs to use it is assigned.</w:t>
      </w:r>
    </w:p>
    <w:p w14:paraId="66694DF3" w14:textId="77777777" w:rsidR="001C54B1" w:rsidRPr="001C54B1" w:rsidRDefault="001C54B1" w:rsidP="009601C2">
      <w:pPr>
        <w:numPr>
          <w:ilvl w:val="0"/>
          <w:numId w:val="58"/>
        </w:numPr>
        <w:tabs>
          <w:tab w:val="left" w:pos="3090"/>
        </w:tabs>
        <w:spacing w:line="276" w:lineRule="auto"/>
        <w:jc w:val="both"/>
        <w:rPr>
          <w:rFonts w:ascii="Arial" w:hAnsi="Arial" w:cs="Arial"/>
          <w:sz w:val="20"/>
        </w:rPr>
      </w:pPr>
      <w:r w:rsidRPr="001C54B1">
        <w:rPr>
          <w:rFonts w:ascii="Arial" w:hAnsi="Arial" w:cs="Arial"/>
          <w:sz w:val="20"/>
        </w:rPr>
        <w:t>All required emergency equipment shall be easily accessible for immediate use.</w:t>
      </w:r>
    </w:p>
    <w:p w14:paraId="70E0564A" w14:textId="77777777" w:rsidR="001C54B1" w:rsidRDefault="001C54B1" w:rsidP="009601C2">
      <w:pPr>
        <w:tabs>
          <w:tab w:val="left" w:pos="3090"/>
        </w:tabs>
        <w:spacing w:line="276" w:lineRule="auto"/>
        <w:jc w:val="both"/>
        <w:rPr>
          <w:rFonts w:ascii="Arial" w:hAnsi="Arial" w:cs="Arial"/>
          <w:sz w:val="20"/>
        </w:rPr>
      </w:pPr>
    </w:p>
    <w:p w14:paraId="695B4E1D" w14:textId="77777777" w:rsidR="001C54B1" w:rsidRPr="001C54B1" w:rsidRDefault="001C54B1" w:rsidP="009601C2">
      <w:pPr>
        <w:keepNext/>
        <w:keepLines/>
        <w:widowControl/>
        <w:shd w:val="clear" w:color="auto" w:fill="339966"/>
        <w:autoSpaceDE/>
        <w:autoSpaceDN/>
        <w:spacing w:before="160" w:after="120" w:line="276" w:lineRule="auto"/>
        <w:jc w:val="both"/>
        <w:outlineLvl w:val="4"/>
        <w:rPr>
          <w:rFonts w:ascii="Arial" w:eastAsia="Times New Roman" w:hAnsi="Arial" w:cs="Times New Roman"/>
          <w:b/>
          <w:color w:val="FFFFFF"/>
          <w:sz w:val="24"/>
        </w:rPr>
      </w:pPr>
      <w:bookmarkStart w:id="229" w:name="GM1_BOP.BAS.300(a)_Instruments_and_equip"/>
      <w:bookmarkStart w:id="230" w:name="_bookmark102"/>
      <w:bookmarkStart w:id="231" w:name="_Toc153137267"/>
      <w:bookmarkEnd w:id="229"/>
      <w:bookmarkEnd w:id="230"/>
      <w:r w:rsidRPr="001C54B1">
        <w:rPr>
          <w:rFonts w:ascii="Arial" w:eastAsia="Times New Roman" w:hAnsi="Arial" w:cs="Times New Roman"/>
          <w:b/>
          <w:color w:val="FFFFFF"/>
          <w:sz w:val="24"/>
        </w:rPr>
        <w:t>GM1 BOP.BAS.300(a) Instruments and equipment — General</w:t>
      </w:r>
      <w:bookmarkEnd w:id="231"/>
    </w:p>
    <w:p w14:paraId="6ED0AAD7" w14:textId="77777777" w:rsidR="001C54B1" w:rsidRPr="00276D5E" w:rsidRDefault="001C54B1" w:rsidP="009601C2">
      <w:pPr>
        <w:spacing w:line="276" w:lineRule="auto"/>
        <w:jc w:val="both"/>
        <w:rPr>
          <w:rFonts w:ascii="Arial" w:hAnsi="Arial" w:cs="Arial"/>
          <w:b/>
          <w:sz w:val="20"/>
        </w:rPr>
      </w:pPr>
      <w:r w:rsidRPr="00276D5E">
        <w:rPr>
          <w:rFonts w:ascii="Arial" w:hAnsi="Arial" w:cs="Arial"/>
          <w:b/>
          <w:sz w:val="20"/>
        </w:rPr>
        <w:t>APPLICABLE</w:t>
      </w:r>
      <w:r w:rsidRPr="00276D5E">
        <w:rPr>
          <w:rFonts w:ascii="Arial" w:hAnsi="Arial" w:cs="Arial"/>
          <w:b/>
          <w:spacing w:val="-7"/>
          <w:sz w:val="20"/>
        </w:rPr>
        <w:t xml:space="preserve"> </w:t>
      </w:r>
      <w:r w:rsidRPr="00276D5E">
        <w:rPr>
          <w:rFonts w:ascii="Arial" w:hAnsi="Arial" w:cs="Arial"/>
          <w:b/>
          <w:sz w:val="20"/>
        </w:rPr>
        <w:t>AIRWORTHINESS</w:t>
      </w:r>
      <w:r w:rsidRPr="00276D5E">
        <w:rPr>
          <w:rFonts w:ascii="Arial" w:hAnsi="Arial" w:cs="Arial"/>
          <w:b/>
          <w:spacing w:val="-4"/>
          <w:sz w:val="20"/>
        </w:rPr>
        <w:t xml:space="preserve"> </w:t>
      </w:r>
      <w:r w:rsidRPr="00276D5E">
        <w:rPr>
          <w:rFonts w:ascii="Arial" w:hAnsi="Arial" w:cs="Arial"/>
          <w:b/>
          <w:sz w:val="20"/>
        </w:rPr>
        <w:t>REQUIREMENTS</w:t>
      </w:r>
    </w:p>
    <w:p w14:paraId="5636E10E" w14:textId="77777777" w:rsidR="001C54B1" w:rsidRDefault="001C54B1" w:rsidP="009601C2">
      <w:pPr>
        <w:tabs>
          <w:tab w:val="left" w:pos="3090"/>
        </w:tabs>
        <w:spacing w:line="276" w:lineRule="auto"/>
        <w:jc w:val="both"/>
        <w:rPr>
          <w:rFonts w:ascii="Arial" w:hAnsi="Arial" w:cs="Arial"/>
          <w:sz w:val="20"/>
        </w:rPr>
      </w:pPr>
    </w:p>
    <w:p w14:paraId="1264C61B" w14:textId="77777777" w:rsidR="001C54B1" w:rsidRPr="001C54B1" w:rsidRDefault="001C54B1" w:rsidP="009601C2">
      <w:pPr>
        <w:tabs>
          <w:tab w:val="left" w:pos="3090"/>
        </w:tabs>
        <w:spacing w:line="276" w:lineRule="auto"/>
        <w:jc w:val="both"/>
        <w:rPr>
          <w:rFonts w:ascii="Arial" w:hAnsi="Arial" w:cs="Arial"/>
          <w:sz w:val="20"/>
        </w:rPr>
      </w:pPr>
      <w:r w:rsidRPr="001C54B1">
        <w:rPr>
          <w:rFonts w:ascii="Arial" w:hAnsi="Arial" w:cs="Arial"/>
          <w:sz w:val="20"/>
        </w:rPr>
        <w:t>The applicable airworthiness requirements for the approval of instruments and equipment required by this Annex are the following:</w:t>
      </w:r>
    </w:p>
    <w:p w14:paraId="3F10C27D" w14:textId="46107FC6" w:rsidR="001C54B1" w:rsidRPr="001C54B1" w:rsidRDefault="0070620E" w:rsidP="00FC2B2D">
      <w:pPr>
        <w:numPr>
          <w:ilvl w:val="0"/>
          <w:numId w:val="59"/>
        </w:numPr>
        <w:tabs>
          <w:tab w:val="left" w:pos="3090"/>
        </w:tabs>
        <w:spacing w:line="276" w:lineRule="auto"/>
        <w:jc w:val="both"/>
        <w:rPr>
          <w:rFonts w:ascii="Arial" w:hAnsi="Arial" w:cs="Arial"/>
          <w:sz w:val="20"/>
        </w:rPr>
      </w:pPr>
      <w:r>
        <w:rPr>
          <w:rFonts w:ascii="Arial" w:hAnsi="Arial" w:cs="Arial"/>
          <w:sz w:val="20"/>
        </w:rPr>
        <w:t xml:space="preserve">airworthiness requirements specified in article 9,16 and 20 of </w:t>
      </w:r>
      <w:r w:rsidR="001C54B1" w:rsidRPr="001C54B1">
        <w:rPr>
          <w:rFonts w:ascii="Arial" w:hAnsi="Arial" w:cs="Arial"/>
          <w:sz w:val="20"/>
        </w:rPr>
        <w:t xml:space="preserve">Annex I  to </w:t>
      </w:r>
      <w:hyperlink r:id="rId51" w:history="1">
        <w:r w:rsidR="00727768">
          <w:rPr>
            <w:rStyle w:val="Hyperlink"/>
            <w:rFonts w:ascii="Arial" w:hAnsi="Arial" w:cs="Arial"/>
            <w:sz w:val="20"/>
          </w:rPr>
          <w:t>the order N 20-N of the Minister of Territorial Administration and Infrastructure of RA, dated 18.11.2022</w:t>
        </w:r>
      </w:hyperlink>
      <w:r w:rsidR="00FC2B2D" w:rsidRPr="00FC2B2D">
        <w:rPr>
          <w:rFonts w:ascii="Arial" w:hAnsi="Arial" w:cs="Arial"/>
          <w:sz w:val="20"/>
        </w:rPr>
        <w:t xml:space="preserve"> </w:t>
      </w:r>
      <w:r w:rsidR="001C54B1" w:rsidRPr="001C54B1">
        <w:rPr>
          <w:rFonts w:ascii="Arial" w:hAnsi="Arial" w:cs="Arial"/>
          <w:sz w:val="20"/>
        </w:rPr>
        <w:t xml:space="preserve">for balloons registered in the </w:t>
      </w:r>
      <w:r w:rsidR="00FC2B2D">
        <w:rPr>
          <w:rFonts w:ascii="Arial" w:hAnsi="Arial" w:cs="Arial"/>
          <w:sz w:val="20"/>
        </w:rPr>
        <w:t>ARM</w:t>
      </w:r>
      <w:r w:rsidR="001C54B1" w:rsidRPr="001C54B1">
        <w:rPr>
          <w:rFonts w:ascii="Arial" w:hAnsi="Arial" w:cs="Arial"/>
          <w:sz w:val="20"/>
        </w:rPr>
        <w:t>; and</w:t>
      </w:r>
    </w:p>
    <w:p w14:paraId="48298F3F" w14:textId="4451522E" w:rsidR="001C54B1" w:rsidRPr="00F0624C" w:rsidRDefault="001C54B1" w:rsidP="009601C2">
      <w:pPr>
        <w:numPr>
          <w:ilvl w:val="0"/>
          <w:numId w:val="59"/>
        </w:numPr>
        <w:tabs>
          <w:tab w:val="left" w:pos="3090"/>
        </w:tabs>
        <w:spacing w:line="276" w:lineRule="auto"/>
        <w:jc w:val="both"/>
        <w:rPr>
          <w:rFonts w:ascii="Arial" w:hAnsi="Arial" w:cs="Arial"/>
          <w:sz w:val="20"/>
        </w:rPr>
      </w:pPr>
      <w:r w:rsidRPr="001C54B1">
        <w:rPr>
          <w:rFonts w:ascii="Arial" w:hAnsi="Arial" w:cs="Arial"/>
          <w:sz w:val="20"/>
        </w:rPr>
        <w:t xml:space="preserve">airworthiness requirements of the State of registry for balloons registered outside the </w:t>
      </w:r>
      <w:r w:rsidR="00FC2B2D" w:rsidRPr="00FC2B2D">
        <w:rPr>
          <w:rFonts w:ascii="Arial" w:hAnsi="Arial" w:cs="Arial"/>
          <w:sz w:val="20"/>
        </w:rPr>
        <w:t>ARM</w:t>
      </w:r>
      <w:r w:rsidRPr="00FC2B2D">
        <w:rPr>
          <w:rFonts w:ascii="Arial" w:hAnsi="Arial" w:cs="Arial"/>
          <w:sz w:val="20"/>
        </w:rPr>
        <w:t>.</w:t>
      </w:r>
    </w:p>
    <w:p w14:paraId="7D694F68" w14:textId="77777777" w:rsidR="00D55116" w:rsidRPr="00D55116" w:rsidRDefault="00D55116" w:rsidP="009601C2">
      <w:pPr>
        <w:keepNext/>
        <w:keepLines/>
        <w:widowControl/>
        <w:shd w:val="clear" w:color="auto" w:fill="339966"/>
        <w:autoSpaceDE/>
        <w:autoSpaceDN/>
        <w:spacing w:before="160" w:after="120" w:line="276" w:lineRule="auto"/>
        <w:jc w:val="both"/>
        <w:outlineLvl w:val="4"/>
        <w:rPr>
          <w:rFonts w:ascii="Arial" w:eastAsia="Times New Roman" w:hAnsi="Arial" w:cs="Times New Roman"/>
          <w:b/>
          <w:color w:val="FFFFFF"/>
          <w:sz w:val="24"/>
        </w:rPr>
      </w:pPr>
      <w:bookmarkStart w:id="232" w:name="GM1_BOP.BAS.300(a)(2)_Instruments_and_eq"/>
      <w:bookmarkStart w:id="233" w:name="_bookmark103"/>
      <w:bookmarkStart w:id="234" w:name="_Toc153137268"/>
      <w:bookmarkEnd w:id="232"/>
      <w:bookmarkEnd w:id="233"/>
      <w:r w:rsidRPr="00D55116">
        <w:rPr>
          <w:rFonts w:ascii="Arial" w:eastAsia="Times New Roman" w:hAnsi="Arial" w:cs="Times New Roman"/>
          <w:b/>
          <w:color w:val="FFFFFF"/>
          <w:sz w:val="24"/>
        </w:rPr>
        <w:t>GM1 BOP.BAS.300(a)(2) Instruments and equipment - General</w:t>
      </w:r>
      <w:bookmarkEnd w:id="234"/>
    </w:p>
    <w:p w14:paraId="4C18472F" w14:textId="77777777" w:rsidR="00D55116" w:rsidRPr="00276D5E" w:rsidRDefault="00D55116" w:rsidP="009601C2">
      <w:pPr>
        <w:spacing w:line="276" w:lineRule="auto"/>
        <w:jc w:val="both"/>
        <w:rPr>
          <w:rFonts w:ascii="Arial" w:hAnsi="Arial" w:cs="Arial"/>
          <w:b/>
          <w:sz w:val="20"/>
        </w:rPr>
      </w:pPr>
      <w:r w:rsidRPr="00276D5E">
        <w:rPr>
          <w:rFonts w:ascii="Arial" w:hAnsi="Arial" w:cs="Arial"/>
          <w:b/>
          <w:sz w:val="20"/>
        </w:rPr>
        <w:t>PERMANENTLY</w:t>
      </w:r>
      <w:r w:rsidRPr="00276D5E">
        <w:rPr>
          <w:rFonts w:ascii="Arial" w:hAnsi="Arial" w:cs="Arial"/>
          <w:b/>
          <w:spacing w:val="-6"/>
          <w:sz w:val="20"/>
        </w:rPr>
        <w:t xml:space="preserve"> </w:t>
      </w:r>
      <w:r w:rsidRPr="00276D5E">
        <w:rPr>
          <w:rFonts w:ascii="Arial" w:hAnsi="Arial" w:cs="Arial"/>
          <w:b/>
          <w:sz w:val="20"/>
        </w:rPr>
        <w:t>INSTALLED</w:t>
      </w:r>
    </w:p>
    <w:p w14:paraId="5A6FC065" w14:textId="77777777" w:rsidR="00D55116" w:rsidRDefault="00D55116" w:rsidP="009601C2">
      <w:pPr>
        <w:tabs>
          <w:tab w:val="left" w:pos="3090"/>
        </w:tabs>
        <w:spacing w:line="276" w:lineRule="auto"/>
        <w:jc w:val="both"/>
        <w:rPr>
          <w:rFonts w:ascii="Arial" w:hAnsi="Arial" w:cs="Arial"/>
          <w:sz w:val="20"/>
        </w:rPr>
      </w:pPr>
    </w:p>
    <w:p w14:paraId="0C34D93B" w14:textId="77777777" w:rsidR="00D55116" w:rsidRPr="00D55116" w:rsidRDefault="00D55116" w:rsidP="009601C2">
      <w:pPr>
        <w:tabs>
          <w:tab w:val="left" w:pos="3090"/>
        </w:tabs>
        <w:spacing w:line="276" w:lineRule="auto"/>
        <w:jc w:val="both"/>
        <w:rPr>
          <w:rFonts w:ascii="Arial" w:hAnsi="Arial" w:cs="Arial"/>
          <w:sz w:val="20"/>
        </w:rPr>
      </w:pPr>
      <w:r w:rsidRPr="00D55116">
        <w:rPr>
          <w:rFonts w:ascii="Arial" w:hAnsi="Arial" w:cs="Arial"/>
          <w:sz w:val="20"/>
        </w:rPr>
        <w:t>‘Permanently installed’ means an instrument or equipment that requires a specific kind of installation to:</w:t>
      </w:r>
    </w:p>
    <w:p w14:paraId="627E6D8B" w14:textId="77777777" w:rsidR="00D55116" w:rsidRPr="00D55116" w:rsidRDefault="00D55116" w:rsidP="009601C2">
      <w:pPr>
        <w:numPr>
          <w:ilvl w:val="0"/>
          <w:numId w:val="60"/>
        </w:numPr>
        <w:tabs>
          <w:tab w:val="left" w:pos="3090"/>
        </w:tabs>
        <w:spacing w:line="276" w:lineRule="auto"/>
        <w:jc w:val="both"/>
        <w:rPr>
          <w:rFonts w:ascii="Arial" w:hAnsi="Arial" w:cs="Arial"/>
          <w:sz w:val="20"/>
        </w:rPr>
      </w:pPr>
      <w:r w:rsidRPr="00D55116">
        <w:rPr>
          <w:rFonts w:ascii="Arial" w:hAnsi="Arial" w:cs="Arial"/>
          <w:sz w:val="20"/>
        </w:rPr>
        <w:t>perform its intended function;</w:t>
      </w:r>
    </w:p>
    <w:p w14:paraId="273D67C8" w14:textId="77777777" w:rsidR="00D55116" w:rsidRPr="00D55116" w:rsidRDefault="00D55116" w:rsidP="009601C2">
      <w:pPr>
        <w:numPr>
          <w:ilvl w:val="0"/>
          <w:numId w:val="60"/>
        </w:numPr>
        <w:tabs>
          <w:tab w:val="left" w:pos="3090"/>
        </w:tabs>
        <w:spacing w:line="276" w:lineRule="auto"/>
        <w:jc w:val="both"/>
        <w:rPr>
          <w:rFonts w:ascii="Arial" w:hAnsi="Arial" w:cs="Arial"/>
          <w:sz w:val="20"/>
        </w:rPr>
      </w:pPr>
      <w:r w:rsidRPr="00D55116">
        <w:rPr>
          <w:rFonts w:ascii="Arial" w:hAnsi="Arial" w:cs="Arial"/>
          <w:sz w:val="20"/>
        </w:rPr>
        <w:t>be operated according to its specified limitations; and</w:t>
      </w:r>
    </w:p>
    <w:p w14:paraId="6210783A" w14:textId="7326413F" w:rsidR="00D55116" w:rsidRPr="00F0624C" w:rsidRDefault="00D55116" w:rsidP="009601C2">
      <w:pPr>
        <w:numPr>
          <w:ilvl w:val="0"/>
          <w:numId w:val="60"/>
        </w:numPr>
        <w:tabs>
          <w:tab w:val="left" w:pos="3090"/>
        </w:tabs>
        <w:spacing w:line="276" w:lineRule="auto"/>
        <w:jc w:val="both"/>
        <w:rPr>
          <w:rFonts w:ascii="Arial" w:hAnsi="Arial" w:cs="Arial"/>
          <w:sz w:val="20"/>
        </w:rPr>
      </w:pPr>
      <w:r w:rsidRPr="00D55116">
        <w:rPr>
          <w:rFonts w:ascii="Arial" w:hAnsi="Arial" w:cs="Arial"/>
          <w:sz w:val="20"/>
        </w:rPr>
        <w:t>minimise the hazards to the balloon in the event of a probable malfunction or failure.</w:t>
      </w:r>
    </w:p>
    <w:p w14:paraId="2CE12C6D" w14:textId="77777777" w:rsidR="00B51E69" w:rsidRPr="00B51E69" w:rsidRDefault="00B51E69" w:rsidP="009601C2">
      <w:pPr>
        <w:keepNext/>
        <w:keepLines/>
        <w:widowControl/>
        <w:shd w:val="clear" w:color="auto" w:fill="339966"/>
        <w:autoSpaceDE/>
        <w:autoSpaceDN/>
        <w:spacing w:before="160" w:after="120" w:line="276" w:lineRule="auto"/>
        <w:jc w:val="both"/>
        <w:outlineLvl w:val="4"/>
        <w:rPr>
          <w:rFonts w:ascii="Arial" w:eastAsia="Times New Roman" w:hAnsi="Arial" w:cs="Times New Roman"/>
          <w:b/>
          <w:color w:val="FFFFFF"/>
          <w:sz w:val="24"/>
        </w:rPr>
      </w:pPr>
      <w:bookmarkStart w:id="235" w:name="GM1_BOP.BAS.300(b)_Instruments_and_equip"/>
      <w:bookmarkStart w:id="236" w:name="_bookmark104"/>
      <w:bookmarkStart w:id="237" w:name="_Toc153137269"/>
      <w:bookmarkEnd w:id="235"/>
      <w:bookmarkEnd w:id="236"/>
      <w:r w:rsidRPr="00B51E69">
        <w:rPr>
          <w:rFonts w:ascii="Arial" w:eastAsia="Times New Roman" w:hAnsi="Arial" w:cs="Times New Roman"/>
          <w:b/>
          <w:color w:val="FFFFFF"/>
          <w:sz w:val="24"/>
        </w:rPr>
        <w:lastRenderedPageBreak/>
        <w:t>GM1 BOP.BAS.300(b) Instruments and equipment — General</w:t>
      </w:r>
      <w:bookmarkEnd w:id="237"/>
    </w:p>
    <w:p w14:paraId="172482EF" w14:textId="7ECA8E9E" w:rsidR="00D55116" w:rsidRPr="00F0624C" w:rsidRDefault="00B51E69" w:rsidP="00F0624C">
      <w:pPr>
        <w:spacing w:line="276" w:lineRule="auto"/>
        <w:jc w:val="both"/>
        <w:rPr>
          <w:rFonts w:ascii="Arial" w:hAnsi="Arial" w:cs="Arial"/>
          <w:b/>
          <w:sz w:val="20"/>
        </w:rPr>
      </w:pPr>
      <w:r w:rsidRPr="00276D5E">
        <w:rPr>
          <w:rFonts w:ascii="Arial" w:hAnsi="Arial" w:cs="Arial"/>
          <w:b/>
          <w:sz w:val="20"/>
        </w:rPr>
        <w:t>REQUIRED</w:t>
      </w:r>
      <w:r w:rsidRPr="00276D5E">
        <w:rPr>
          <w:rFonts w:ascii="Arial" w:hAnsi="Arial" w:cs="Arial"/>
          <w:b/>
          <w:spacing w:val="-3"/>
          <w:sz w:val="20"/>
        </w:rPr>
        <w:t xml:space="preserve"> </w:t>
      </w:r>
      <w:r w:rsidRPr="00276D5E">
        <w:rPr>
          <w:rFonts w:ascii="Arial" w:hAnsi="Arial" w:cs="Arial"/>
          <w:b/>
          <w:sz w:val="20"/>
        </w:rPr>
        <w:t>INSTRUMENTS</w:t>
      </w:r>
      <w:r w:rsidRPr="00276D5E">
        <w:rPr>
          <w:rFonts w:ascii="Arial" w:hAnsi="Arial" w:cs="Arial"/>
          <w:b/>
          <w:spacing w:val="-2"/>
          <w:sz w:val="20"/>
        </w:rPr>
        <w:t xml:space="preserve"> </w:t>
      </w:r>
      <w:r w:rsidRPr="00276D5E">
        <w:rPr>
          <w:rFonts w:ascii="Arial" w:hAnsi="Arial" w:cs="Arial"/>
          <w:b/>
          <w:sz w:val="20"/>
        </w:rPr>
        <w:t>AND</w:t>
      </w:r>
      <w:r w:rsidRPr="00276D5E">
        <w:rPr>
          <w:rFonts w:ascii="Arial" w:hAnsi="Arial" w:cs="Arial"/>
          <w:b/>
          <w:spacing w:val="-4"/>
          <w:sz w:val="20"/>
        </w:rPr>
        <w:t xml:space="preserve"> </w:t>
      </w:r>
      <w:r w:rsidRPr="00276D5E">
        <w:rPr>
          <w:rFonts w:ascii="Arial" w:hAnsi="Arial" w:cs="Arial"/>
          <w:b/>
          <w:sz w:val="20"/>
        </w:rPr>
        <w:t>EQUIPMENT</w:t>
      </w:r>
      <w:r w:rsidRPr="00276D5E">
        <w:rPr>
          <w:rFonts w:ascii="Arial" w:hAnsi="Arial" w:cs="Arial"/>
          <w:b/>
          <w:spacing w:val="-3"/>
          <w:sz w:val="20"/>
        </w:rPr>
        <w:t xml:space="preserve"> </w:t>
      </w:r>
      <w:r w:rsidRPr="00276D5E">
        <w:rPr>
          <w:rFonts w:ascii="Arial" w:hAnsi="Arial" w:cs="Arial"/>
          <w:b/>
          <w:sz w:val="20"/>
        </w:rPr>
        <w:t>THAT</w:t>
      </w:r>
      <w:r w:rsidRPr="00276D5E">
        <w:rPr>
          <w:rFonts w:ascii="Arial" w:hAnsi="Arial" w:cs="Arial"/>
          <w:b/>
          <w:spacing w:val="-2"/>
          <w:sz w:val="20"/>
        </w:rPr>
        <w:t xml:space="preserve"> </w:t>
      </w:r>
      <w:r w:rsidRPr="00276D5E">
        <w:rPr>
          <w:rFonts w:ascii="Arial" w:hAnsi="Arial" w:cs="Arial"/>
          <w:b/>
          <w:sz w:val="20"/>
        </w:rPr>
        <w:t>DO</w:t>
      </w:r>
      <w:r w:rsidRPr="00276D5E">
        <w:rPr>
          <w:rFonts w:ascii="Arial" w:hAnsi="Arial" w:cs="Arial"/>
          <w:b/>
          <w:spacing w:val="-4"/>
          <w:sz w:val="20"/>
        </w:rPr>
        <w:t xml:space="preserve"> </w:t>
      </w:r>
      <w:r w:rsidRPr="00276D5E">
        <w:rPr>
          <w:rFonts w:ascii="Arial" w:hAnsi="Arial" w:cs="Arial"/>
          <w:b/>
          <w:sz w:val="20"/>
        </w:rPr>
        <w:t>NOT</w:t>
      </w:r>
      <w:r w:rsidRPr="00276D5E">
        <w:rPr>
          <w:rFonts w:ascii="Arial" w:hAnsi="Arial" w:cs="Arial"/>
          <w:b/>
          <w:spacing w:val="-1"/>
          <w:sz w:val="20"/>
        </w:rPr>
        <w:t xml:space="preserve"> </w:t>
      </w:r>
      <w:r w:rsidRPr="00276D5E">
        <w:rPr>
          <w:rFonts w:ascii="Arial" w:hAnsi="Arial" w:cs="Arial"/>
          <w:b/>
          <w:sz w:val="20"/>
        </w:rPr>
        <w:t>NEED</w:t>
      </w:r>
      <w:r w:rsidRPr="00276D5E">
        <w:rPr>
          <w:rFonts w:ascii="Arial" w:hAnsi="Arial" w:cs="Arial"/>
          <w:b/>
          <w:spacing w:val="-4"/>
          <w:sz w:val="20"/>
        </w:rPr>
        <w:t xml:space="preserve"> </w:t>
      </w:r>
      <w:r w:rsidRPr="00276D5E">
        <w:rPr>
          <w:rFonts w:ascii="Arial" w:hAnsi="Arial" w:cs="Arial"/>
          <w:b/>
          <w:sz w:val="20"/>
        </w:rPr>
        <w:t>TO</w:t>
      </w:r>
      <w:r w:rsidRPr="00276D5E">
        <w:rPr>
          <w:rFonts w:ascii="Arial" w:hAnsi="Arial" w:cs="Arial"/>
          <w:b/>
          <w:spacing w:val="-3"/>
          <w:sz w:val="20"/>
        </w:rPr>
        <w:t xml:space="preserve"> </w:t>
      </w:r>
      <w:r w:rsidRPr="00276D5E">
        <w:rPr>
          <w:rFonts w:ascii="Arial" w:hAnsi="Arial" w:cs="Arial"/>
          <w:b/>
          <w:sz w:val="20"/>
        </w:rPr>
        <w:t>BE</w:t>
      </w:r>
      <w:r w:rsidRPr="00276D5E">
        <w:rPr>
          <w:rFonts w:ascii="Arial" w:hAnsi="Arial" w:cs="Arial"/>
          <w:b/>
          <w:spacing w:val="-2"/>
          <w:sz w:val="20"/>
        </w:rPr>
        <w:t xml:space="preserve"> </w:t>
      </w:r>
      <w:r w:rsidRPr="00276D5E">
        <w:rPr>
          <w:rFonts w:ascii="Arial" w:hAnsi="Arial" w:cs="Arial"/>
          <w:b/>
          <w:sz w:val="20"/>
        </w:rPr>
        <w:t>APPROVED</w:t>
      </w:r>
    </w:p>
    <w:p w14:paraId="4C9865C8" w14:textId="6BCEE3AC" w:rsidR="00B51E69" w:rsidRDefault="00B51E69" w:rsidP="009601C2">
      <w:pPr>
        <w:tabs>
          <w:tab w:val="left" w:pos="3090"/>
        </w:tabs>
        <w:spacing w:line="276" w:lineRule="auto"/>
        <w:jc w:val="both"/>
        <w:rPr>
          <w:rFonts w:ascii="Arial" w:hAnsi="Arial" w:cs="Arial"/>
          <w:sz w:val="20"/>
        </w:rPr>
      </w:pPr>
      <w:r w:rsidRPr="00B51E69">
        <w:rPr>
          <w:rFonts w:ascii="Arial" w:hAnsi="Arial" w:cs="Arial"/>
          <w:sz w:val="20"/>
        </w:rPr>
        <w:t>The functionality of non-installed instruments and equipment, required by this Subpart and that do not need an equipment approval, are checked against recognised industry standards appropriate to the intended purpose. The operator is responsible for ensuring the maintenance of these instruments and equipment.</w:t>
      </w:r>
    </w:p>
    <w:p w14:paraId="0D8593FC" w14:textId="77777777" w:rsidR="00B51E69" w:rsidRPr="00B51E69" w:rsidRDefault="00B51E69" w:rsidP="009601C2">
      <w:pPr>
        <w:keepNext/>
        <w:keepLines/>
        <w:widowControl/>
        <w:shd w:val="clear" w:color="auto" w:fill="339966"/>
        <w:autoSpaceDE/>
        <w:autoSpaceDN/>
        <w:spacing w:before="160" w:after="120" w:line="276" w:lineRule="auto"/>
        <w:jc w:val="both"/>
        <w:outlineLvl w:val="4"/>
        <w:rPr>
          <w:rFonts w:ascii="Arial" w:eastAsia="Times New Roman" w:hAnsi="Arial" w:cs="Times New Roman"/>
          <w:b/>
          <w:color w:val="FFFFFF"/>
          <w:sz w:val="24"/>
        </w:rPr>
      </w:pPr>
      <w:bookmarkStart w:id="238" w:name="GM1_BOP.BAS.300(c)_Instruments_and_equip"/>
      <w:bookmarkStart w:id="239" w:name="_bookmark105"/>
      <w:bookmarkStart w:id="240" w:name="_Toc153137270"/>
      <w:bookmarkEnd w:id="238"/>
      <w:bookmarkEnd w:id="239"/>
      <w:r w:rsidRPr="00B51E69">
        <w:rPr>
          <w:rFonts w:ascii="Arial" w:eastAsia="Times New Roman" w:hAnsi="Arial" w:cs="Times New Roman"/>
          <w:b/>
          <w:color w:val="FFFFFF"/>
          <w:sz w:val="24"/>
        </w:rPr>
        <w:t>GM1 BOP.BAS.300(c) Instruments and equipment — General</w:t>
      </w:r>
      <w:bookmarkEnd w:id="240"/>
    </w:p>
    <w:p w14:paraId="588AD45B" w14:textId="77777777" w:rsidR="00B51E69" w:rsidRPr="00276D5E" w:rsidRDefault="00B51E69" w:rsidP="009601C2">
      <w:pPr>
        <w:spacing w:line="276" w:lineRule="auto"/>
        <w:jc w:val="both"/>
        <w:rPr>
          <w:rFonts w:ascii="Arial" w:hAnsi="Arial" w:cs="Arial"/>
          <w:b/>
          <w:sz w:val="20"/>
        </w:rPr>
      </w:pPr>
      <w:r w:rsidRPr="00276D5E">
        <w:rPr>
          <w:rFonts w:ascii="Arial" w:hAnsi="Arial" w:cs="Arial"/>
          <w:b/>
          <w:sz w:val="20"/>
        </w:rPr>
        <w:t>NOT</w:t>
      </w:r>
      <w:r w:rsidRPr="00276D5E">
        <w:rPr>
          <w:rFonts w:ascii="Arial" w:hAnsi="Arial" w:cs="Arial"/>
          <w:b/>
          <w:spacing w:val="-4"/>
          <w:sz w:val="20"/>
        </w:rPr>
        <w:t xml:space="preserve"> </w:t>
      </w:r>
      <w:r w:rsidRPr="00276D5E">
        <w:rPr>
          <w:rFonts w:ascii="Arial" w:hAnsi="Arial" w:cs="Arial"/>
          <w:b/>
          <w:sz w:val="20"/>
        </w:rPr>
        <w:t>REQUIRED</w:t>
      </w:r>
      <w:r w:rsidRPr="00276D5E">
        <w:rPr>
          <w:rFonts w:ascii="Arial" w:hAnsi="Arial" w:cs="Arial"/>
          <w:b/>
          <w:spacing w:val="-3"/>
          <w:sz w:val="20"/>
        </w:rPr>
        <w:t xml:space="preserve"> </w:t>
      </w:r>
      <w:r w:rsidRPr="00276D5E">
        <w:rPr>
          <w:rFonts w:ascii="Arial" w:hAnsi="Arial" w:cs="Arial"/>
          <w:b/>
          <w:sz w:val="20"/>
        </w:rPr>
        <w:t>INSTRUMENTS</w:t>
      </w:r>
      <w:r w:rsidRPr="00276D5E">
        <w:rPr>
          <w:rFonts w:ascii="Arial" w:hAnsi="Arial" w:cs="Arial"/>
          <w:b/>
          <w:spacing w:val="-4"/>
          <w:sz w:val="20"/>
        </w:rPr>
        <w:t xml:space="preserve"> </w:t>
      </w:r>
      <w:r w:rsidRPr="00276D5E">
        <w:rPr>
          <w:rFonts w:ascii="Arial" w:hAnsi="Arial" w:cs="Arial"/>
          <w:b/>
          <w:sz w:val="20"/>
        </w:rPr>
        <w:t>AND EQUIPMENT</w:t>
      </w:r>
      <w:r w:rsidRPr="00276D5E">
        <w:rPr>
          <w:rFonts w:ascii="Arial" w:hAnsi="Arial" w:cs="Arial"/>
          <w:b/>
          <w:spacing w:val="-1"/>
          <w:sz w:val="20"/>
        </w:rPr>
        <w:t xml:space="preserve"> </w:t>
      </w:r>
      <w:r w:rsidRPr="00276D5E">
        <w:rPr>
          <w:rFonts w:ascii="Arial" w:hAnsi="Arial" w:cs="Arial"/>
          <w:b/>
          <w:sz w:val="20"/>
        </w:rPr>
        <w:t>THAT</w:t>
      </w:r>
      <w:r w:rsidRPr="00276D5E">
        <w:rPr>
          <w:rFonts w:ascii="Arial" w:hAnsi="Arial" w:cs="Arial"/>
          <w:b/>
          <w:spacing w:val="-3"/>
          <w:sz w:val="20"/>
        </w:rPr>
        <w:t xml:space="preserve"> </w:t>
      </w:r>
      <w:r w:rsidRPr="00276D5E">
        <w:rPr>
          <w:rFonts w:ascii="Arial" w:hAnsi="Arial" w:cs="Arial"/>
          <w:b/>
          <w:sz w:val="20"/>
        </w:rPr>
        <w:t>DO</w:t>
      </w:r>
      <w:r w:rsidRPr="00276D5E">
        <w:rPr>
          <w:rFonts w:ascii="Arial" w:hAnsi="Arial" w:cs="Arial"/>
          <w:b/>
          <w:spacing w:val="-3"/>
          <w:sz w:val="20"/>
        </w:rPr>
        <w:t xml:space="preserve"> </w:t>
      </w:r>
      <w:r w:rsidRPr="00276D5E">
        <w:rPr>
          <w:rFonts w:ascii="Arial" w:hAnsi="Arial" w:cs="Arial"/>
          <w:b/>
          <w:sz w:val="20"/>
        </w:rPr>
        <w:t>NOT</w:t>
      </w:r>
      <w:r w:rsidRPr="00276D5E">
        <w:rPr>
          <w:rFonts w:ascii="Arial" w:hAnsi="Arial" w:cs="Arial"/>
          <w:b/>
          <w:spacing w:val="-4"/>
          <w:sz w:val="20"/>
        </w:rPr>
        <w:t xml:space="preserve"> </w:t>
      </w:r>
      <w:r w:rsidRPr="00276D5E">
        <w:rPr>
          <w:rFonts w:ascii="Arial" w:hAnsi="Arial" w:cs="Arial"/>
          <w:b/>
          <w:sz w:val="20"/>
        </w:rPr>
        <w:t>NEED</w:t>
      </w:r>
      <w:r w:rsidRPr="00276D5E">
        <w:rPr>
          <w:rFonts w:ascii="Arial" w:hAnsi="Arial" w:cs="Arial"/>
          <w:b/>
          <w:spacing w:val="-3"/>
          <w:sz w:val="20"/>
        </w:rPr>
        <w:t xml:space="preserve"> </w:t>
      </w:r>
      <w:r w:rsidRPr="00276D5E">
        <w:rPr>
          <w:rFonts w:ascii="Arial" w:hAnsi="Arial" w:cs="Arial"/>
          <w:b/>
          <w:sz w:val="20"/>
        </w:rPr>
        <w:t>TO</w:t>
      </w:r>
      <w:r w:rsidRPr="00276D5E">
        <w:rPr>
          <w:rFonts w:ascii="Arial" w:hAnsi="Arial" w:cs="Arial"/>
          <w:b/>
          <w:spacing w:val="-4"/>
          <w:sz w:val="20"/>
        </w:rPr>
        <w:t xml:space="preserve"> </w:t>
      </w:r>
      <w:r w:rsidRPr="00276D5E">
        <w:rPr>
          <w:rFonts w:ascii="Arial" w:hAnsi="Arial" w:cs="Arial"/>
          <w:b/>
          <w:sz w:val="20"/>
        </w:rPr>
        <w:t>BE</w:t>
      </w:r>
      <w:r w:rsidRPr="00276D5E">
        <w:rPr>
          <w:rFonts w:ascii="Arial" w:hAnsi="Arial" w:cs="Arial"/>
          <w:b/>
          <w:spacing w:val="-4"/>
          <w:sz w:val="20"/>
        </w:rPr>
        <w:t xml:space="preserve"> </w:t>
      </w:r>
      <w:r w:rsidRPr="00276D5E">
        <w:rPr>
          <w:rFonts w:ascii="Arial" w:hAnsi="Arial" w:cs="Arial"/>
          <w:b/>
          <w:sz w:val="20"/>
        </w:rPr>
        <w:t>APPROVED</w:t>
      </w:r>
    </w:p>
    <w:p w14:paraId="61018E88" w14:textId="77777777" w:rsidR="00B51E69" w:rsidRDefault="00B51E69" w:rsidP="009601C2">
      <w:pPr>
        <w:tabs>
          <w:tab w:val="left" w:pos="3090"/>
        </w:tabs>
        <w:spacing w:line="276" w:lineRule="auto"/>
        <w:jc w:val="both"/>
        <w:rPr>
          <w:rFonts w:ascii="Arial" w:hAnsi="Arial" w:cs="Arial"/>
          <w:sz w:val="20"/>
        </w:rPr>
      </w:pPr>
    </w:p>
    <w:p w14:paraId="13C5F1B1" w14:textId="77777777" w:rsidR="00B51E69" w:rsidRPr="00B51E69" w:rsidRDefault="00B51E69" w:rsidP="009601C2">
      <w:pPr>
        <w:numPr>
          <w:ilvl w:val="0"/>
          <w:numId w:val="61"/>
        </w:numPr>
        <w:tabs>
          <w:tab w:val="left" w:pos="3090"/>
        </w:tabs>
        <w:spacing w:line="276" w:lineRule="auto"/>
        <w:jc w:val="both"/>
        <w:rPr>
          <w:rFonts w:ascii="Arial" w:hAnsi="Arial" w:cs="Arial"/>
          <w:sz w:val="20"/>
        </w:rPr>
      </w:pPr>
      <w:r w:rsidRPr="00B51E69">
        <w:rPr>
          <w:rFonts w:ascii="Arial" w:hAnsi="Arial" w:cs="Arial"/>
          <w:sz w:val="20"/>
        </w:rPr>
        <w:t>The provision of this paragraph does not exempt any installed instrument or item of equipment from complying with the applicable airworthiness requirements. In this case, the installation should be approved as required by the applicable airworthiness requirements and should comply with the applicable certification specifications.</w:t>
      </w:r>
    </w:p>
    <w:p w14:paraId="45BB74FF" w14:textId="04DBF8C9" w:rsidR="00B51E69" w:rsidRPr="00943DEA" w:rsidRDefault="00B51E69" w:rsidP="009601C2">
      <w:pPr>
        <w:numPr>
          <w:ilvl w:val="0"/>
          <w:numId w:val="61"/>
        </w:numPr>
        <w:tabs>
          <w:tab w:val="left" w:pos="3090"/>
        </w:tabs>
        <w:spacing w:line="276" w:lineRule="auto"/>
        <w:jc w:val="both"/>
        <w:rPr>
          <w:rFonts w:ascii="Arial" w:hAnsi="Arial" w:cs="Arial"/>
          <w:sz w:val="20"/>
        </w:rPr>
      </w:pPr>
      <w:r w:rsidRPr="00B51E69">
        <w:rPr>
          <w:rFonts w:ascii="Arial" w:hAnsi="Arial" w:cs="Arial"/>
          <w:sz w:val="20"/>
        </w:rPr>
        <w:t>The failure of additional, non-installed instruments or equipment not required by this Annex or by the applicable airworthiness requirements or any applicable airspace requirements should not adversely affect the airworthiness or the safe operation of the balloon.</w:t>
      </w:r>
    </w:p>
    <w:p w14:paraId="438431A1" w14:textId="77777777" w:rsidR="00C60608" w:rsidRPr="00C60608" w:rsidRDefault="00C60608"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241" w:name="BOP.BAS.305_Minimum_instruments_and_equi"/>
      <w:bookmarkStart w:id="242" w:name="_bookmark106"/>
      <w:bookmarkStart w:id="243" w:name="_Toc153137271"/>
      <w:bookmarkEnd w:id="241"/>
      <w:bookmarkEnd w:id="242"/>
      <w:r w:rsidRPr="00C60608">
        <w:rPr>
          <w:rFonts w:ascii="Arial" w:eastAsia="Times New Roman" w:hAnsi="Arial" w:cs="Times New Roman"/>
          <w:b/>
          <w:iCs/>
          <w:color w:val="FFFFFF"/>
          <w:sz w:val="24"/>
        </w:rPr>
        <w:t>BOP.BAS.305 Minimum instruments and equipment for flight</w:t>
      </w:r>
      <w:bookmarkEnd w:id="243"/>
    </w:p>
    <w:p w14:paraId="1DF21AD2" w14:textId="05E3FCEE" w:rsidR="00C60608" w:rsidRDefault="00C60608" w:rsidP="009601C2">
      <w:pPr>
        <w:tabs>
          <w:tab w:val="left" w:pos="3090"/>
        </w:tabs>
        <w:spacing w:line="276" w:lineRule="auto"/>
        <w:jc w:val="both"/>
        <w:rPr>
          <w:rFonts w:ascii="Arial" w:hAnsi="Arial" w:cs="Arial"/>
          <w:sz w:val="20"/>
        </w:rPr>
      </w:pPr>
      <w:r w:rsidRPr="00C60608">
        <w:rPr>
          <w:rFonts w:ascii="Arial" w:hAnsi="Arial" w:cs="Arial"/>
          <w:sz w:val="20"/>
        </w:rPr>
        <w:t>A balloon flight shall not be commenced when any of the instruments and equipment required for the intended flight with the balloon are missing, inoperative or do not fulfil the required functions.</w:t>
      </w:r>
    </w:p>
    <w:p w14:paraId="6BFBAA47" w14:textId="77777777" w:rsidR="00C60608" w:rsidRPr="00C60608" w:rsidRDefault="00C60608" w:rsidP="009601C2">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244" w:name="_Toc153137272"/>
      <w:r w:rsidRPr="00C60608">
        <w:rPr>
          <w:rFonts w:ascii="Arial" w:eastAsia="Times New Roman" w:hAnsi="Arial" w:cs="Times New Roman"/>
          <w:b/>
          <w:color w:val="FFFFFF"/>
          <w:sz w:val="24"/>
        </w:rPr>
        <w:t>AMC1 BOP.BAS.305 Minimum instruments and equipment for flight</w:t>
      </w:r>
      <w:bookmarkEnd w:id="244"/>
    </w:p>
    <w:p w14:paraId="30C04447" w14:textId="77777777" w:rsidR="00C60608" w:rsidRDefault="00C60608" w:rsidP="009601C2">
      <w:pPr>
        <w:tabs>
          <w:tab w:val="left" w:pos="3090"/>
        </w:tabs>
        <w:spacing w:line="276" w:lineRule="auto"/>
        <w:jc w:val="both"/>
        <w:rPr>
          <w:rFonts w:ascii="Arial" w:hAnsi="Arial" w:cs="Arial"/>
          <w:b/>
          <w:sz w:val="20"/>
        </w:rPr>
      </w:pPr>
      <w:r w:rsidRPr="00C60608">
        <w:rPr>
          <w:rFonts w:ascii="Arial" w:hAnsi="Arial" w:cs="Arial"/>
          <w:b/>
          <w:sz w:val="20"/>
        </w:rPr>
        <w:t>GENERAL</w:t>
      </w:r>
    </w:p>
    <w:p w14:paraId="5B083394" w14:textId="77777777" w:rsidR="00C60608" w:rsidRPr="00C60608" w:rsidRDefault="00C60608" w:rsidP="009601C2">
      <w:pPr>
        <w:tabs>
          <w:tab w:val="left" w:pos="3090"/>
        </w:tabs>
        <w:spacing w:line="276" w:lineRule="auto"/>
        <w:jc w:val="both"/>
        <w:rPr>
          <w:rFonts w:ascii="Arial" w:hAnsi="Arial" w:cs="Arial"/>
          <w:b/>
          <w:sz w:val="20"/>
        </w:rPr>
      </w:pPr>
    </w:p>
    <w:p w14:paraId="64AFA229" w14:textId="77777777" w:rsidR="00C60608" w:rsidRPr="00C60608" w:rsidRDefault="00C60608" w:rsidP="009601C2">
      <w:pPr>
        <w:tabs>
          <w:tab w:val="left" w:pos="3090"/>
        </w:tabs>
        <w:spacing w:line="276" w:lineRule="auto"/>
        <w:jc w:val="both"/>
        <w:rPr>
          <w:rFonts w:ascii="Arial" w:hAnsi="Arial" w:cs="Arial"/>
          <w:sz w:val="20"/>
        </w:rPr>
      </w:pPr>
      <w:r w:rsidRPr="00C60608">
        <w:rPr>
          <w:rFonts w:ascii="Arial" w:hAnsi="Arial" w:cs="Arial"/>
          <w:sz w:val="20"/>
        </w:rPr>
        <w:t>Instruments and equipment that must be operative for all flights should be identified in a list. These instruments and equipment are:</w:t>
      </w:r>
    </w:p>
    <w:p w14:paraId="40ECE03A" w14:textId="77777777" w:rsidR="00C60608" w:rsidRPr="00C60608" w:rsidRDefault="00C60608" w:rsidP="009601C2">
      <w:pPr>
        <w:numPr>
          <w:ilvl w:val="0"/>
          <w:numId w:val="62"/>
        </w:numPr>
        <w:tabs>
          <w:tab w:val="left" w:pos="3090"/>
        </w:tabs>
        <w:spacing w:line="276" w:lineRule="auto"/>
        <w:jc w:val="both"/>
        <w:rPr>
          <w:rFonts w:ascii="Arial" w:hAnsi="Arial" w:cs="Arial"/>
          <w:sz w:val="20"/>
        </w:rPr>
      </w:pPr>
      <w:r w:rsidRPr="00C60608">
        <w:rPr>
          <w:rFonts w:ascii="Arial" w:hAnsi="Arial" w:cs="Arial"/>
          <w:sz w:val="20"/>
        </w:rPr>
        <w:t>included in the type certification data sheet (TCDS) or the AFM; and</w:t>
      </w:r>
    </w:p>
    <w:p w14:paraId="1F92E18D" w14:textId="3B87C4A5" w:rsidR="00C60608" w:rsidRPr="00943DEA" w:rsidRDefault="00C60608" w:rsidP="009601C2">
      <w:pPr>
        <w:numPr>
          <w:ilvl w:val="0"/>
          <w:numId w:val="62"/>
        </w:numPr>
        <w:tabs>
          <w:tab w:val="left" w:pos="3090"/>
        </w:tabs>
        <w:spacing w:line="276" w:lineRule="auto"/>
        <w:jc w:val="both"/>
        <w:rPr>
          <w:rFonts w:ascii="Arial" w:hAnsi="Arial" w:cs="Arial"/>
          <w:sz w:val="20"/>
        </w:rPr>
      </w:pPr>
      <w:r w:rsidRPr="00C60608">
        <w:rPr>
          <w:rFonts w:ascii="Arial" w:hAnsi="Arial" w:cs="Arial"/>
          <w:sz w:val="20"/>
        </w:rPr>
        <w:t>required by the applicable implementing rules, such as operational and airspace requirements, and any other applicable requirements for the intended operation.</w:t>
      </w:r>
    </w:p>
    <w:p w14:paraId="60E3AB8C" w14:textId="77777777" w:rsidR="0081251F" w:rsidRPr="0081251F" w:rsidRDefault="0081251F"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245" w:name="_Toc153137273"/>
      <w:r w:rsidRPr="0081251F">
        <w:rPr>
          <w:rFonts w:ascii="Arial" w:eastAsia="Times New Roman" w:hAnsi="Arial" w:cs="Times New Roman"/>
          <w:b/>
          <w:iCs/>
          <w:color w:val="FFFFFF"/>
          <w:sz w:val="24"/>
        </w:rPr>
        <w:t>BOP.BAS.310 Operating lights</w:t>
      </w:r>
      <w:bookmarkEnd w:id="245"/>
      <w:r w:rsidRPr="0081251F">
        <w:rPr>
          <w:rFonts w:ascii="Arial" w:eastAsia="Times New Roman" w:hAnsi="Arial" w:cs="Times New Roman"/>
          <w:b/>
          <w:iCs/>
          <w:color w:val="FFFFFF"/>
          <w:sz w:val="24"/>
        </w:rPr>
        <w:tab/>
      </w:r>
    </w:p>
    <w:p w14:paraId="19390516" w14:textId="77777777" w:rsidR="0081251F" w:rsidRPr="0081251F" w:rsidRDefault="0081251F" w:rsidP="009601C2">
      <w:pPr>
        <w:tabs>
          <w:tab w:val="left" w:pos="3090"/>
        </w:tabs>
        <w:spacing w:line="276" w:lineRule="auto"/>
        <w:jc w:val="both"/>
        <w:rPr>
          <w:rFonts w:ascii="Arial" w:hAnsi="Arial" w:cs="Arial"/>
          <w:sz w:val="20"/>
        </w:rPr>
      </w:pPr>
      <w:r w:rsidRPr="0081251F">
        <w:rPr>
          <w:rFonts w:ascii="Arial" w:hAnsi="Arial" w:cs="Arial"/>
          <w:sz w:val="20"/>
        </w:rPr>
        <w:t>Balloons operated at night shall be equipped with all of the following:</w:t>
      </w:r>
    </w:p>
    <w:p w14:paraId="3B84CDB2" w14:textId="77777777" w:rsidR="0081251F" w:rsidRPr="0081251F" w:rsidRDefault="0081251F" w:rsidP="009601C2">
      <w:pPr>
        <w:numPr>
          <w:ilvl w:val="0"/>
          <w:numId w:val="63"/>
        </w:numPr>
        <w:tabs>
          <w:tab w:val="left" w:pos="3090"/>
        </w:tabs>
        <w:spacing w:line="276" w:lineRule="auto"/>
        <w:jc w:val="both"/>
        <w:rPr>
          <w:rFonts w:ascii="Arial" w:hAnsi="Arial" w:cs="Arial"/>
          <w:sz w:val="20"/>
        </w:rPr>
      </w:pPr>
      <w:r w:rsidRPr="0081251F">
        <w:rPr>
          <w:rFonts w:ascii="Arial" w:hAnsi="Arial" w:cs="Arial"/>
          <w:sz w:val="20"/>
        </w:rPr>
        <w:t>an anti-collision light;</w:t>
      </w:r>
    </w:p>
    <w:p w14:paraId="70D4020C" w14:textId="77777777" w:rsidR="0081251F" w:rsidRPr="0081251F" w:rsidRDefault="0081251F" w:rsidP="009601C2">
      <w:pPr>
        <w:numPr>
          <w:ilvl w:val="0"/>
          <w:numId w:val="63"/>
        </w:numPr>
        <w:tabs>
          <w:tab w:val="left" w:pos="3090"/>
        </w:tabs>
        <w:spacing w:line="276" w:lineRule="auto"/>
        <w:jc w:val="both"/>
        <w:rPr>
          <w:rFonts w:ascii="Arial" w:hAnsi="Arial" w:cs="Arial"/>
          <w:sz w:val="20"/>
        </w:rPr>
      </w:pPr>
      <w:r w:rsidRPr="0081251F">
        <w:rPr>
          <w:rFonts w:ascii="Arial" w:hAnsi="Arial" w:cs="Arial"/>
          <w:sz w:val="20"/>
        </w:rPr>
        <w:t>a means to provide adequate illumination for all instruments and equipment essential to the safe operation of the balloon;</w:t>
      </w:r>
    </w:p>
    <w:p w14:paraId="3B837671" w14:textId="33224080" w:rsidR="0081251F" w:rsidRPr="00943DEA" w:rsidRDefault="0081251F" w:rsidP="009601C2">
      <w:pPr>
        <w:numPr>
          <w:ilvl w:val="0"/>
          <w:numId w:val="63"/>
        </w:numPr>
        <w:tabs>
          <w:tab w:val="left" w:pos="3090"/>
        </w:tabs>
        <w:spacing w:line="276" w:lineRule="auto"/>
        <w:jc w:val="both"/>
        <w:rPr>
          <w:rFonts w:ascii="Arial" w:hAnsi="Arial" w:cs="Arial"/>
          <w:sz w:val="20"/>
        </w:rPr>
      </w:pPr>
      <w:r w:rsidRPr="0081251F">
        <w:rPr>
          <w:rFonts w:ascii="Arial" w:hAnsi="Arial" w:cs="Arial"/>
          <w:sz w:val="20"/>
        </w:rPr>
        <w:t>an independent portable light.</w:t>
      </w:r>
    </w:p>
    <w:p w14:paraId="3D63A804" w14:textId="77777777" w:rsidR="0081251F" w:rsidRPr="0081251F" w:rsidRDefault="0081251F" w:rsidP="009601C2">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246" w:name="_Toc153137274"/>
      <w:r w:rsidRPr="0081251F">
        <w:rPr>
          <w:rFonts w:ascii="Arial" w:eastAsia="Times New Roman" w:hAnsi="Arial" w:cs="Times New Roman"/>
          <w:b/>
          <w:color w:val="FFFFFF"/>
          <w:sz w:val="24"/>
        </w:rPr>
        <w:t>AMC1 BOP.BAS.310 Operating lights</w:t>
      </w:r>
      <w:bookmarkEnd w:id="246"/>
      <w:r w:rsidRPr="0081251F">
        <w:rPr>
          <w:rFonts w:ascii="Arial" w:eastAsia="Times New Roman" w:hAnsi="Arial" w:cs="Times New Roman"/>
          <w:b/>
          <w:color w:val="FFFFFF"/>
          <w:sz w:val="24"/>
        </w:rPr>
        <w:tab/>
      </w:r>
    </w:p>
    <w:p w14:paraId="33316890" w14:textId="77777777" w:rsidR="0081251F" w:rsidRPr="0081251F" w:rsidRDefault="0081251F" w:rsidP="009601C2">
      <w:pPr>
        <w:spacing w:before="120" w:line="276" w:lineRule="auto"/>
        <w:jc w:val="both"/>
        <w:rPr>
          <w:rFonts w:ascii="Arial" w:hAnsi="Arial" w:cs="Arial"/>
          <w:b/>
          <w:sz w:val="20"/>
          <w:szCs w:val="20"/>
        </w:rPr>
      </w:pPr>
      <w:r w:rsidRPr="0081251F">
        <w:rPr>
          <w:rFonts w:ascii="Arial" w:hAnsi="Arial" w:cs="Arial"/>
          <w:b/>
          <w:sz w:val="20"/>
          <w:szCs w:val="20"/>
        </w:rPr>
        <w:t>ANTI-COLLISION</w:t>
      </w:r>
      <w:r w:rsidRPr="0081251F">
        <w:rPr>
          <w:rFonts w:ascii="Arial" w:hAnsi="Arial" w:cs="Arial"/>
          <w:b/>
          <w:spacing w:val="-4"/>
          <w:sz w:val="20"/>
          <w:szCs w:val="20"/>
        </w:rPr>
        <w:t xml:space="preserve"> </w:t>
      </w:r>
      <w:r w:rsidRPr="0081251F">
        <w:rPr>
          <w:rFonts w:ascii="Arial" w:hAnsi="Arial" w:cs="Arial"/>
          <w:b/>
          <w:sz w:val="20"/>
          <w:szCs w:val="20"/>
        </w:rPr>
        <w:t>LIGHTS</w:t>
      </w:r>
      <w:r w:rsidRPr="0081251F">
        <w:rPr>
          <w:rFonts w:ascii="Arial" w:hAnsi="Arial" w:cs="Arial"/>
          <w:b/>
          <w:spacing w:val="-4"/>
          <w:sz w:val="20"/>
          <w:szCs w:val="20"/>
        </w:rPr>
        <w:t xml:space="preserve"> </w:t>
      </w:r>
      <w:r w:rsidRPr="0081251F">
        <w:rPr>
          <w:rFonts w:ascii="Arial" w:hAnsi="Arial" w:cs="Arial"/>
          <w:b/>
          <w:sz w:val="20"/>
          <w:szCs w:val="20"/>
        </w:rPr>
        <w:t>AND</w:t>
      </w:r>
      <w:r w:rsidRPr="0081251F">
        <w:rPr>
          <w:rFonts w:ascii="Arial" w:hAnsi="Arial" w:cs="Arial"/>
          <w:b/>
          <w:spacing w:val="-3"/>
          <w:sz w:val="20"/>
          <w:szCs w:val="20"/>
        </w:rPr>
        <w:t xml:space="preserve"> </w:t>
      </w:r>
      <w:r w:rsidRPr="0081251F">
        <w:rPr>
          <w:rFonts w:ascii="Arial" w:hAnsi="Arial" w:cs="Arial"/>
          <w:b/>
          <w:sz w:val="20"/>
          <w:szCs w:val="20"/>
        </w:rPr>
        <w:t>ILLUMINATION</w:t>
      </w:r>
      <w:r w:rsidRPr="0081251F">
        <w:rPr>
          <w:rFonts w:ascii="Arial" w:hAnsi="Arial" w:cs="Arial"/>
          <w:b/>
          <w:spacing w:val="-3"/>
          <w:sz w:val="20"/>
          <w:szCs w:val="20"/>
        </w:rPr>
        <w:t xml:space="preserve"> </w:t>
      </w:r>
      <w:r w:rsidRPr="0081251F">
        <w:rPr>
          <w:rFonts w:ascii="Arial" w:hAnsi="Arial" w:cs="Arial"/>
          <w:b/>
          <w:sz w:val="20"/>
          <w:szCs w:val="20"/>
        </w:rPr>
        <w:t>FOR</w:t>
      </w:r>
      <w:r w:rsidRPr="0081251F">
        <w:rPr>
          <w:rFonts w:ascii="Arial" w:hAnsi="Arial" w:cs="Arial"/>
          <w:b/>
          <w:spacing w:val="-4"/>
          <w:sz w:val="20"/>
          <w:szCs w:val="20"/>
        </w:rPr>
        <w:t xml:space="preserve"> </w:t>
      </w:r>
      <w:r w:rsidRPr="0081251F">
        <w:rPr>
          <w:rFonts w:ascii="Arial" w:hAnsi="Arial" w:cs="Arial"/>
          <w:b/>
          <w:sz w:val="20"/>
          <w:szCs w:val="20"/>
        </w:rPr>
        <w:t>INSTRUMENTS</w:t>
      </w:r>
      <w:r w:rsidRPr="0081251F">
        <w:rPr>
          <w:rFonts w:ascii="Arial" w:hAnsi="Arial" w:cs="Arial"/>
          <w:b/>
          <w:spacing w:val="-6"/>
          <w:sz w:val="20"/>
          <w:szCs w:val="20"/>
        </w:rPr>
        <w:t xml:space="preserve"> </w:t>
      </w:r>
      <w:r w:rsidRPr="0081251F">
        <w:rPr>
          <w:rFonts w:ascii="Arial" w:hAnsi="Arial" w:cs="Arial"/>
          <w:b/>
          <w:sz w:val="20"/>
          <w:szCs w:val="20"/>
        </w:rPr>
        <w:t>AND</w:t>
      </w:r>
      <w:r w:rsidRPr="0081251F">
        <w:rPr>
          <w:rFonts w:ascii="Arial" w:hAnsi="Arial" w:cs="Arial"/>
          <w:b/>
          <w:spacing w:val="-4"/>
          <w:sz w:val="20"/>
          <w:szCs w:val="20"/>
        </w:rPr>
        <w:t xml:space="preserve"> </w:t>
      </w:r>
      <w:r w:rsidRPr="0081251F">
        <w:rPr>
          <w:rFonts w:ascii="Arial" w:hAnsi="Arial" w:cs="Arial"/>
          <w:b/>
          <w:sz w:val="20"/>
          <w:szCs w:val="20"/>
        </w:rPr>
        <w:t>EQUIPMENT</w:t>
      </w:r>
    </w:p>
    <w:p w14:paraId="09851E41" w14:textId="77777777" w:rsidR="0081251F" w:rsidRPr="0081251F" w:rsidRDefault="0081251F" w:rsidP="009601C2">
      <w:pPr>
        <w:pStyle w:val="ListParagraph"/>
        <w:numPr>
          <w:ilvl w:val="0"/>
          <w:numId w:val="64"/>
        </w:numPr>
        <w:tabs>
          <w:tab w:val="left" w:pos="707"/>
        </w:tabs>
        <w:spacing w:before="118" w:line="276" w:lineRule="auto"/>
        <w:ind w:right="194"/>
        <w:jc w:val="both"/>
        <w:rPr>
          <w:rFonts w:ascii="Arial" w:hAnsi="Arial" w:cs="Arial"/>
          <w:sz w:val="20"/>
          <w:szCs w:val="20"/>
        </w:rPr>
      </w:pPr>
      <w:r w:rsidRPr="0081251F">
        <w:rPr>
          <w:rFonts w:ascii="Arial" w:hAnsi="Arial" w:cs="Arial"/>
          <w:sz w:val="20"/>
          <w:szCs w:val="20"/>
        </w:rPr>
        <w:t>An acceptable means of compliance for free manned balloons should be the anti-collision light</w:t>
      </w:r>
      <w:r w:rsidRPr="0081251F">
        <w:rPr>
          <w:rFonts w:ascii="Arial" w:hAnsi="Arial" w:cs="Arial"/>
          <w:spacing w:val="-47"/>
          <w:sz w:val="20"/>
          <w:szCs w:val="20"/>
        </w:rPr>
        <w:t xml:space="preserve"> </w:t>
      </w:r>
      <w:r w:rsidRPr="0081251F">
        <w:rPr>
          <w:rFonts w:ascii="Arial" w:hAnsi="Arial" w:cs="Arial"/>
          <w:sz w:val="20"/>
          <w:szCs w:val="20"/>
        </w:rPr>
        <w:t>required</w:t>
      </w:r>
      <w:r w:rsidRPr="0081251F">
        <w:rPr>
          <w:rFonts w:ascii="Arial" w:hAnsi="Arial" w:cs="Arial"/>
          <w:spacing w:val="-7"/>
          <w:sz w:val="20"/>
          <w:szCs w:val="20"/>
        </w:rPr>
        <w:t xml:space="preserve"> </w:t>
      </w:r>
      <w:r w:rsidRPr="0081251F">
        <w:rPr>
          <w:rFonts w:ascii="Arial" w:hAnsi="Arial" w:cs="Arial"/>
          <w:sz w:val="20"/>
          <w:szCs w:val="20"/>
        </w:rPr>
        <w:t>for</w:t>
      </w:r>
      <w:r w:rsidRPr="0081251F">
        <w:rPr>
          <w:rFonts w:ascii="Arial" w:hAnsi="Arial" w:cs="Arial"/>
          <w:spacing w:val="-6"/>
          <w:sz w:val="20"/>
          <w:szCs w:val="20"/>
        </w:rPr>
        <w:t xml:space="preserve"> </w:t>
      </w:r>
      <w:r w:rsidRPr="0081251F">
        <w:rPr>
          <w:rFonts w:ascii="Arial" w:hAnsi="Arial" w:cs="Arial"/>
          <w:sz w:val="20"/>
          <w:szCs w:val="20"/>
        </w:rPr>
        <w:t>VFR</w:t>
      </w:r>
      <w:r w:rsidRPr="0081251F">
        <w:rPr>
          <w:rFonts w:ascii="Arial" w:hAnsi="Arial" w:cs="Arial"/>
          <w:spacing w:val="-8"/>
          <w:sz w:val="20"/>
          <w:szCs w:val="20"/>
        </w:rPr>
        <w:t xml:space="preserve"> </w:t>
      </w:r>
      <w:r w:rsidRPr="0081251F">
        <w:rPr>
          <w:rFonts w:ascii="Arial" w:hAnsi="Arial" w:cs="Arial"/>
          <w:sz w:val="20"/>
          <w:szCs w:val="20"/>
        </w:rPr>
        <w:t>at</w:t>
      </w:r>
      <w:r w:rsidRPr="0081251F">
        <w:rPr>
          <w:rFonts w:ascii="Arial" w:hAnsi="Arial" w:cs="Arial"/>
          <w:spacing w:val="-5"/>
          <w:sz w:val="20"/>
          <w:szCs w:val="20"/>
        </w:rPr>
        <w:t xml:space="preserve"> </w:t>
      </w:r>
      <w:r w:rsidRPr="0081251F">
        <w:rPr>
          <w:rFonts w:ascii="Arial" w:hAnsi="Arial" w:cs="Arial"/>
          <w:sz w:val="20"/>
          <w:szCs w:val="20"/>
        </w:rPr>
        <w:t>night</w:t>
      </w:r>
      <w:r w:rsidRPr="0081251F">
        <w:rPr>
          <w:rFonts w:ascii="Arial" w:hAnsi="Arial" w:cs="Arial"/>
          <w:spacing w:val="-6"/>
          <w:sz w:val="20"/>
          <w:szCs w:val="20"/>
        </w:rPr>
        <w:t xml:space="preserve"> </w:t>
      </w:r>
      <w:r w:rsidRPr="0081251F">
        <w:rPr>
          <w:rFonts w:ascii="Arial" w:hAnsi="Arial" w:cs="Arial"/>
          <w:sz w:val="20"/>
          <w:szCs w:val="20"/>
        </w:rPr>
        <w:t>approved</w:t>
      </w:r>
      <w:r w:rsidRPr="0081251F">
        <w:rPr>
          <w:rFonts w:ascii="Arial" w:hAnsi="Arial" w:cs="Arial"/>
          <w:spacing w:val="-6"/>
          <w:sz w:val="20"/>
          <w:szCs w:val="20"/>
        </w:rPr>
        <w:t xml:space="preserve"> </w:t>
      </w:r>
      <w:r w:rsidRPr="0081251F">
        <w:rPr>
          <w:rFonts w:ascii="Arial" w:hAnsi="Arial" w:cs="Arial"/>
          <w:sz w:val="20"/>
          <w:szCs w:val="20"/>
        </w:rPr>
        <w:t>in</w:t>
      </w:r>
      <w:r w:rsidRPr="0081251F">
        <w:rPr>
          <w:rFonts w:ascii="Arial" w:hAnsi="Arial" w:cs="Arial"/>
          <w:spacing w:val="-7"/>
          <w:sz w:val="20"/>
          <w:szCs w:val="20"/>
        </w:rPr>
        <w:t xml:space="preserve"> </w:t>
      </w:r>
      <w:r w:rsidRPr="0081251F">
        <w:rPr>
          <w:rFonts w:ascii="Arial" w:hAnsi="Arial" w:cs="Arial"/>
          <w:sz w:val="20"/>
          <w:szCs w:val="20"/>
        </w:rPr>
        <w:t>accordance</w:t>
      </w:r>
      <w:r w:rsidRPr="0081251F">
        <w:rPr>
          <w:rFonts w:ascii="Arial" w:hAnsi="Arial" w:cs="Arial"/>
          <w:spacing w:val="-6"/>
          <w:sz w:val="20"/>
          <w:szCs w:val="20"/>
        </w:rPr>
        <w:t xml:space="preserve"> </w:t>
      </w:r>
      <w:r w:rsidRPr="0081251F">
        <w:rPr>
          <w:rFonts w:ascii="Arial" w:hAnsi="Arial" w:cs="Arial"/>
          <w:sz w:val="20"/>
          <w:szCs w:val="20"/>
        </w:rPr>
        <w:t>with</w:t>
      </w:r>
      <w:r w:rsidRPr="0081251F">
        <w:rPr>
          <w:rFonts w:ascii="Arial" w:hAnsi="Arial" w:cs="Arial"/>
          <w:spacing w:val="-6"/>
          <w:sz w:val="20"/>
          <w:szCs w:val="20"/>
        </w:rPr>
        <w:t xml:space="preserve"> </w:t>
      </w:r>
      <w:r w:rsidRPr="0081251F">
        <w:rPr>
          <w:rFonts w:ascii="Arial" w:hAnsi="Arial" w:cs="Arial"/>
          <w:sz w:val="20"/>
          <w:szCs w:val="20"/>
        </w:rPr>
        <w:t>CS-31HB/CS-31GB</w:t>
      </w:r>
      <w:r w:rsidRPr="0081251F">
        <w:rPr>
          <w:rFonts w:ascii="Arial" w:hAnsi="Arial" w:cs="Arial"/>
          <w:spacing w:val="-8"/>
          <w:sz w:val="20"/>
          <w:szCs w:val="20"/>
        </w:rPr>
        <w:t xml:space="preserve"> </w:t>
      </w:r>
      <w:r w:rsidRPr="0081251F">
        <w:rPr>
          <w:rFonts w:ascii="Arial" w:hAnsi="Arial" w:cs="Arial"/>
          <w:sz w:val="20"/>
          <w:szCs w:val="20"/>
        </w:rPr>
        <w:t>or</w:t>
      </w:r>
      <w:r w:rsidRPr="0081251F">
        <w:rPr>
          <w:rFonts w:ascii="Arial" w:hAnsi="Arial" w:cs="Arial"/>
          <w:spacing w:val="-6"/>
          <w:sz w:val="20"/>
          <w:szCs w:val="20"/>
        </w:rPr>
        <w:t xml:space="preserve"> </w:t>
      </w:r>
      <w:r w:rsidRPr="0081251F">
        <w:rPr>
          <w:rFonts w:ascii="Arial" w:hAnsi="Arial" w:cs="Arial"/>
          <w:sz w:val="20"/>
          <w:szCs w:val="20"/>
        </w:rPr>
        <w:t>with</w:t>
      </w:r>
      <w:r w:rsidRPr="0081251F">
        <w:rPr>
          <w:rFonts w:ascii="Arial" w:hAnsi="Arial" w:cs="Arial"/>
          <w:spacing w:val="-7"/>
          <w:sz w:val="20"/>
          <w:szCs w:val="20"/>
        </w:rPr>
        <w:t xml:space="preserve"> </w:t>
      </w:r>
      <w:r w:rsidRPr="0081251F">
        <w:rPr>
          <w:rFonts w:ascii="Arial" w:hAnsi="Arial" w:cs="Arial"/>
          <w:sz w:val="20"/>
          <w:szCs w:val="20"/>
        </w:rPr>
        <w:t>the</w:t>
      </w:r>
      <w:r w:rsidRPr="0081251F">
        <w:rPr>
          <w:rFonts w:ascii="Arial" w:hAnsi="Arial" w:cs="Arial"/>
          <w:spacing w:val="-6"/>
          <w:sz w:val="20"/>
          <w:szCs w:val="20"/>
        </w:rPr>
        <w:t xml:space="preserve"> </w:t>
      </w:r>
      <w:r w:rsidRPr="0081251F">
        <w:rPr>
          <w:rFonts w:ascii="Arial" w:hAnsi="Arial" w:cs="Arial"/>
          <w:sz w:val="20"/>
          <w:szCs w:val="20"/>
        </w:rPr>
        <w:t>applicable</w:t>
      </w:r>
      <w:r w:rsidRPr="0081251F">
        <w:rPr>
          <w:rFonts w:ascii="Arial" w:hAnsi="Arial" w:cs="Arial"/>
          <w:spacing w:val="-47"/>
          <w:sz w:val="20"/>
          <w:szCs w:val="20"/>
        </w:rPr>
        <w:t xml:space="preserve"> </w:t>
      </w:r>
      <w:r w:rsidRPr="0081251F">
        <w:rPr>
          <w:rFonts w:ascii="Arial" w:hAnsi="Arial" w:cs="Arial"/>
          <w:sz w:val="20"/>
          <w:szCs w:val="20"/>
        </w:rPr>
        <w:t>provisions</w:t>
      </w:r>
      <w:r w:rsidRPr="0081251F">
        <w:rPr>
          <w:rFonts w:ascii="Arial" w:hAnsi="Arial" w:cs="Arial"/>
          <w:spacing w:val="-1"/>
          <w:sz w:val="20"/>
          <w:szCs w:val="20"/>
        </w:rPr>
        <w:t xml:space="preserve"> </w:t>
      </w:r>
      <w:r w:rsidRPr="0081251F">
        <w:rPr>
          <w:rFonts w:ascii="Arial" w:hAnsi="Arial" w:cs="Arial"/>
          <w:sz w:val="20"/>
          <w:szCs w:val="20"/>
        </w:rPr>
        <w:t>for hot-air</w:t>
      </w:r>
      <w:r w:rsidRPr="0081251F">
        <w:rPr>
          <w:rFonts w:ascii="Arial" w:hAnsi="Arial" w:cs="Arial"/>
          <w:spacing w:val="-1"/>
          <w:sz w:val="20"/>
          <w:szCs w:val="20"/>
        </w:rPr>
        <w:t xml:space="preserve"> </w:t>
      </w:r>
      <w:r w:rsidRPr="0081251F">
        <w:rPr>
          <w:rFonts w:ascii="Arial" w:hAnsi="Arial" w:cs="Arial"/>
          <w:sz w:val="20"/>
          <w:szCs w:val="20"/>
        </w:rPr>
        <w:t>airships.</w:t>
      </w:r>
    </w:p>
    <w:p w14:paraId="52E65118" w14:textId="77777777" w:rsidR="0081251F" w:rsidRPr="0029705C" w:rsidRDefault="0081251F" w:rsidP="009601C2">
      <w:pPr>
        <w:pStyle w:val="ListParagraph"/>
        <w:numPr>
          <w:ilvl w:val="0"/>
          <w:numId w:val="64"/>
        </w:numPr>
        <w:tabs>
          <w:tab w:val="left" w:pos="707"/>
        </w:tabs>
        <w:spacing w:before="122" w:line="276" w:lineRule="auto"/>
        <w:ind w:right="192"/>
        <w:jc w:val="both"/>
        <w:rPr>
          <w:rFonts w:ascii="Arial" w:hAnsi="Arial" w:cs="Arial"/>
          <w:sz w:val="20"/>
          <w:szCs w:val="20"/>
        </w:rPr>
      </w:pPr>
      <w:r w:rsidRPr="0081251F">
        <w:rPr>
          <w:rFonts w:ascii="Arial" w:hAnsi="Arial" w:cs="Arial"/>
          <w:sz w:val="20"/>
          <w:szCs w:val="20"/>
        </w:rPr>
        <w:t>A</w:t>
      </w:r>
      <w:r w:rsidRPr="0081251F">
        <w:rPr>
          <w:rFonts w:ascii="Arial" w:hAnsi="Arial" w:cs="Arial"/>
          <w:spacing w:val="-8"/>
          <w:sz w:val="20"/>
          <w:szCs w:val="20"/>
        </w:rPr>
        <w:t xml:space="preserve"> </w:t>
      </w:r>
      <w:r w:rsidRPr="0081251F">
        <w:rPr>
          <w:rFonts w:ascii="Arial" w:hAnsi="Arial" w:cs="Arial"/>
          <w:sz w:val="20"/>
          <w:szCs w:val="20"/>
        </w:rPr>
        <w:t>means</w:t>
      </w:r>
      <w:r w:rsidRPr="0081251F">
        <w:rPr>
          <w:rFonts w:ascii="Arial" w:hAnsi="Arial" w:cs="Arial"/>
          <w:spacing w:val="-10"/>
          <w:sz w:val="20"/>
          <w:szCs w:val="20"/>
        </w:rPr>
        <w:t xml:space="preserve"> </w:t>
      </w:r>
      <w:r w:rsidRPr="0081251F">
        <w:rPr>
          <w:rFonts w:ascii="Arial" w:hAnsi="Arial" w:cs="Arial"/>
          <w:sz w:val="20"/>
          <w:szCs w:val="20"/>
        </w:rPr>
        <w:t>of</w:t>
      </w:r>
      <w:r w:rsidRPr="0081251F">
        <w:rPr>
          <w:rFonts w:ascii="Arial" w:hAnsi="Arial" w:cs="Arial"/>
          <w:spacing w:val="-7"/>
          <w:sz w:val="20"/>
          <w:szCs w:val="20"/>
        </w:rPr>
        <w:t xml:space="preserve"> </w:t>
      </w:r>
      <w:r w:rsidRPr="0081251F">
        <w:rPr>
          <w:rFonts w:ascii="Arial" w:hAnsi="Arial" w:cs="Arial"/>
          <w:sz w:val="20"/>
          <w:szCs w:val="20"/>
        </w:rPr>
        <w:t>providing</w:t>
      </w:r>
      <w:r w:rsidRPr="0081251F">
        <w:rPr>
          <w:rFonts w:ascii="Arial" w:hAnsi="Arial" w:cs="Arial"/>
          <w:spacing w:val="-9"/>
          <w:sz w:val="20"/>
          <w:szCs w:val="20"/>
        </w:rPr>
        <w:t xml:space="preserve"> </w:t>
      </w:r>
      <w:r w:rsidRPr="0081251F">
        <w:rPr>
          <w:rFonts w:ascii="Arial" w:hAnsi="Arial" w:cs="Arial"/>
          <w:sz w:val="20"/>
          <w:szCs w:val="20"/>
        </w:rPr>
        <w:t>adequate</w:t>
      </w:r>
      <w:r w:rsidRPr="0081251F">
        <w:rPr>
          <w:rFonts w:ascii="Arial" w:hAnsi="Arial" w:cs="Arial"/>
          <w:spacing w:val="-7"/>
          <w:sz w:val="20"/>
          <w:szCs w:val="20"/>
        </w:rPr>
        <w:t xml:space="preserve"> </w:t>
      </w:r>
      <w:r w:rsidRPr="0081251F">
        <w:rPr>
          <w:rFonts w:ascii="Arial" w:hAnsi="Arial" w:cs="Arial"/>
          <w:sz w:val="20"/>
          <w:szCs w:val="20"/>
        </w:rPr>
        <w:t>illumination</w:t>
      </w:r>
      <w:r w:rsidRPr="0081251F">
        <w:rPr>
          <w:rFonts w:ascii="Arial" w:hAnsi="Arial" w:cs="Arial"/>
          <w:spacing w:val="-8"/>
          <w:sz w:val="20"/>
          <w:szCs w:val="20"/>
        </w:rPr>
        <w:t xml:space="preserve"> </w:t>
      </w:r>
      <w:r w:rsidRPr="0081251F">
        <w:rPr>
          <w:rFonts w:ascii="Arial" w:hAnsi="Arial" w:cs="Arial"/>
          <w:sz w:val="20"/>
          <w:szCs w:val="20"/>
        </w:rPr>
        <w:t>to</w:t>
      </w:r>
      <w:r w:rsidRPr="0081251F">
        <w:rPr>
          <w:rFonts w:ascii="Arial" w:hAnsi="Arial" w:cs="Arial"/>
          <w:spacing w:val="-7"/>
          <w:sz w:val="20"/>
          <w:szCs w:val="20"/>
        </w:rPr>
        <w:t xml:space="preserve"> </w:t>
      </w:r>
      <w:r w:rsidRPr="0081251F">
        <w:rPr>
          <w:rFonts w:ascii="Arial" w:hAnsi="Arial" w:cs="Arial"/>
          <w:sz w:val="20"/>
          <w:szCs w:val="20"/>
        </w:rPr>
        <w:t>instruments</w:t>
      </w:r>
      <w:r w:rsidRPr="0081251F">
        <w:rPr>
          <w:rFonts w:ascii="Arial" w:hAnsi="Arial" w:cs="Arial"/>
          <w:spacing w:val="-7"/>
          <w:sz w:val="20"/>
          <w:szCs w:val="20"/>
        </w:rPr>
        <w:t xml:space="preserve"> </w:t>
      </w:r>
      <w:r w:rsidRPr="0081251F">
        <w:rPr>
          <w:rFonts w:ascii="Arial" w:hAnsi="Arial" w:cs="Arial"/>
          <w:sz w:val="20"/>
          <w:szCs w:val="20"/>
        </w:rPr>
        <w:t>and</w:t>
      </w:r>
      <w:r w:rsidRPr="0081251F">
        <w:rPr>
          <w:rFonts w:ascii="Arial" w:hAnsi="Arial" w:cs="Arial"/>
          <w:spacing w:val="-8"/>
          <w:sz w:val="20"/>
          <w:szCs w:val="20"/>
        </w:rPr>
        <w:t xml:space="preserve"> </w:t>
      </w:r>
      <w:r w:rsidRPr="0081251F">
        <w:rPr>
          <w:rFonts w:ascii="Arial" w:hAnsi="Arial" w:cs="Arial"/>
          <w:sz w:val="20"/>
          <w:szCs w:val="20"/>
        </w:rPr>
        <w:t>equipment</w:t>
      </w:r>
      <w:r w:rsidRPr="0081251F">
        <w:rPr>
          <w:rFonts w:ascii="Arial" w:hAnsi="Arial" w:cs="Arial"/>
          <w:spacing w:val="-10"/>
          <w:sz w:val="20"/>
          <w:szCs w:val="20"/>
        </w:rPr>
        <w:t xml:space="preserve"> </w:t>
      </w:r>
      <w:r w:rsidRPr="0081251F">
        <w:rPr>
          <w:rFonts w:ascii="Arial" w:hAnsi="Arial" w:cs="Arial"/>
          <w:sz w:val="20"/>
          <w:szCs w:val="20"/>
        </w:rPr>
        <w:t>essential</w:t>
      </w:r>
      <w:r w:rsidRPr="0081251F">
        <w:rPr>
          <w:rFonts w:ascii="Arial" w:hAnsi="Arial" w:cs="Arial"/>
          <w:spacing w:val="-8"/>
          <w:sz w:val="20"/>
          <w:szCs w:val="20"/>
        </w:rPr>
        <w:t xml:space="preserve"> </w:t>
      </w:r>
      <w:r w:rsidRPr="0081251F">
        <w:rPr>
          <w:rFonts w:ascii="Arial" w:hAnsi="Arial" w:cs="Arial"/>
          <w:sz w:val="20"/>
          <w:szCs w:val="20"/>
        </w:rPr>
        <w:t>to</w:t>
      </w:r>
      <w:r w:rsidRPr="0081251F">
        <w:rPr>
          <w:rFonts w:ascii="Arial" w:hAnsi="Arial" w:cs="Arial"/>
          <w:spacing w:val="-5"/>
          <w:sz w:val="20"/>
          <w:szCs w:val="20"/>
        </w:rPr>
        <w:t xml:space="preserve"> </w:t>
      </w:r>
      <w:r w:rsidRPr="0081251F">
        <w:rPr>
          <w:rFonts w:ascii="Arial" w:hAnsi="Arial" w:cs="Arial"/>
          <w:sz w:val="20"/>
          <w:szCs w:val="20"/>
        </w:rPr>
        <w:t>the</w:t>
      </w:r>
      <w:r w:rsidRPr="0081251F">
        <w:rPr>
          <w:rFonts w:ascii="Arial" w:hAnsi="Arial" w:cs="Arial"/>
          <w:spacing w:val="-10"/>
          <w:sz w:val="20"/>
          <w:szCs w:val="20"/>
        </w:rPr>
        <w:t xml:space="preserve"> </w:t>
      </w:r>
      <w:r w:rsidRPr="0081251F">
        <w:rPr>
          <w:rFonts w:ascii="Arial" w:hAnsi="Arial" w:cs="Arial"/>
          <w:sz w:val="20"/>
          <w:szCs w:val="20"/>
        </w:rPr>
        <w:t>safe</w:t>
      </w:r>
      <w:r w:rsidRPr="0081251F">
        <w:rPr>
          <w:rFonts w:ascii="Arial" w:hAnsi="Arial" w:cs="Arial"/>
          <w:spacing w:val="-47"/>
          <w:sz w:val="20"/>
          <w:szCs w:val="20"/>
        </w:rPr>
        <w:t xml:space="preserve"> </w:t>
      </w:r>
      <w:r w:rsidRPr="0081251F">
        <w:rPr>
          <w:rFonts w:ascii="Arial" w:hAnsi="Arial" w:cs="Arial"/>
          <w:sz w:val="20"/>
          <w:szCs w:val="20"/>
        </w:rPr>
        <w:t>operation</w:t>
      </w:r>
      <w:r w:rsidRPr="0081251F">
        <w:rPr>
          <w:rFonts w:ascii="Arial" w:hAnsi="Arial" w:cs="Arial"/>
          <w:spacing w:val="-4"/>
          <w:sz w:val="20"/>
          <w:szCs w:val="20"/>
        </w:rPr>
        <w:t xml:space="preserve"> </w:t>
      </w:r>
      <w:r w:rsidRPr="0081251F">
        <w:rPr>
          <w:rFonts w:ascii="Arial" w:hAnsi="Arial" w:cs="Arial"/>
          <w:sz w:val="20"/>
          <w:szCs w:val="20"/>
        </w:rPr>
        <w:t>of the</w:t>
      </w:r>
      <w:r w:rsidRPr="0081251F">
        <w:rPr>
          <w:rFonts w:ascii="Arial" w:hAnsi="Arial" w:cs="Arial"/>
          <w:spacing w:val="-2"/>
          <w:sz w:val="20"/>
          <w:szCs w:val="20"/>
        </w:rPr>
        <w:t xml:space="preserve"> </w:t>
      </w:r>
      <w:r w:rsidRPr="0081251F">
        <w:rPr>
          <w:rFonts w:ascii="Arial" w:hAnsi="Arial" w:cs="Arial"/>
          <w:sz w:val="20"/>
          <w:szCs w:val="20"/>
        </w:rPr>
        <w:t>balloon</w:t>
      </w:r>
      <w:r w:rsidRPr="0081251F">
        <w:rPr>
          <w:rFonts w:ascii="Arial" w:hAnsi="Arial" w:cs="Arial"/>
          <w:spacing w:val="-3"/>
          <w:sz w:val="20"/>
          <w:szCs w:val="20"/>
        </w:rPr>
        <w:t xml:space="preserve"> </w:t>
      </w:r>
      <w:r w:rsidRPr="0081251F">
        <w:rPr>
          <w:rFonts w:ascii="Arial" w:hAnsi="Arial" w:cs="Arial"/>
          <w:sz w:val="20"/>
          <w:szCs w:val="20"/>
        </w:rPr>
        <w:t>may</w:t>
      </w:r>
      <w:r w:rsidRPr="0081251F">
        <w:rPr>
          <w:rFonts w:ascii="Arial" w:hAnsi="Arial" w:cs="Arial"/>
          <w:spacing w:val="1"/>
          <w:sz w:val="20"/>
          <w:szCs w:val="20"/>
        </w:rPr>
        <w:t xml:space="preserve"> </w:t>
      </w:r>
      <w:r w:rsidRPr="0081251F">
        <w:rPr>
          <w:rFonts w:ascii="Arial" w:hAnsi="Arial" w:cs="Arial"/>
          <w:sz w:val="20"/>
          <w:szCs w:val="20"/>
        </w:rPr>
        <w:t>be</w:t>
      </w:r>
      <w:r w:rsidRPr="0081251F">
        <w:rPr>
          <w:rFonts w:ascii="Arial" w:hAnsi="Arial" w:cs="Arial"/>
          <w:spacing w:val="1"/>
          <w:sz w:val="20"/>
          <w:szCs w:val="20"/>
        </w:rPr>
        <w:t xml:space="preserve"> </w:t>
      </w:r>
      <w:r w:rsidRPr="0081251F">
        <w:rPr>
          <w:rFonts w:ascii="Arial" w:hAnsi="Arial" w:cs="Arial"/>
          <w:sz w:val="20"/>
          <w:szCs w:val="20"/>
        </w:rPr>
        <w:t>an</w:t>
      </w:r>
      <w:r w:rsidRPr="0081251F">
        <w:rPr>
          <w:rFonts w:ascii="Arial" w:hAnsi="Arial" w:cs="Arial"/>
          <w:spacing w:val="-4"/>
          <w:sz w:val="20"/>
          <w:szCs w:val="20"/>
        </w:rPr>
        <w:t xml:space="preserve"> </w:t>
      </w:r>
      <w:r w:rsidRPr="0081251F">
        <w:rPr>
          <w:rFonts w:ascii="Arial" w:hAnsi="Arial" w:cs="Arial"/>
          <w:sz w:val="20"/>
          <w:szCs w:val="20"/>
        </w:rPr>
        <w:t>independent portable light.</w:t>
      </w:r>
    </w:p>
    <w:p w14:paraId="68C1E95F" w14:textId="77777777" w:rsidR="0029705C" w:rsidRPr="0029705C" w:rsidRDefault="0029705C"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247" w:name="_Toc153137275"/>
      <w:r w:rsidRPr="0029705C">
        <w:rPr>
          <w:rFonts w:ascii="Arial" w:eastAsia="Times New Roman" w:hAnsi="Arial" w:cs="Times New Roman"/>
          <w:b/>
          <w:iCs/>
          <w:color w:val="FFFFFF"/>
          <w:sz w:val="24"/>
        </w:rPr>
        <w:t>BOP.BAS.315 Flight and navigational instruments and equipment</w:t>
      </w:r>
      <w:bookmarkEnd w:id="247"/>
    </w:p>
    <w:p w14:paraId="7222D1AD" w14:textId="77777777" w:rsidR="0029705C" w:rsidRPr="0029705C" w:rsidRDefault="0029705C" w:rsidP="009601C2">
      <w:pPr>
        <w:pStyle w:val="BodyText"/>
        <w:spacing w:before="118" w:line="276" w:lineRule="auto"/>
        <w:jc w:val="both"/>
        <w:rPr>
          <w:rFonts w:ascii="Arial" w:hAnsi="Arial" w:cs="Arial"/>
          <w:sz w:val="20"/>
          <w:szCs w:val="20"/>
        </w:rPr>
      </w:pPr>
      <w:r w:rsidRPr="0029705C">
        <w:rPr>
          <w:rFonts w:ascii="Arial" w:hAnsi="Arial" w:cs="Arial"/>
          <w:sz w:val="20"/>
          <w:szCs w:val="20"/>
        </w:rPr>
        <w:t>Balloons</w:t>
      </w:r>
      <w:r w:rsidRPr="0029705C">
        <w:rPr>
          <w:rFonts w:ascii="Arial" w:hAnsi="Arial" w:cs="Arial"/>
          <w:spacing w:val="-4"/>
          <w:sz w:val="20"/>
          <w:szCs w:val="20"/>
        </w:rPr>
        <w:t xml:space="preserve"> </w:t>
      </w:r>
      <w:r w:rsidRPr="0029705C">
        <w:rPr>
          <w:rFonts w:ascii="Arial" w:hAnsi="Arial" w:cs="Arial"/>
          <w:sz w:val="20"/>
          <w:szCs w:val="20"/>
        </w:rPr>
        <w:t>operated</w:t>
      </w:r>
      <w:r w:rsidRPr="0029705C">
        <w:rPr>
          <w:rFonts w:ascii="Arial" w:hAnsi="Arial" w:cs="Arial"/>
          <w:spacing w:val="-5"/>
          <w:sz w:val="20"/>
          <w:szCs w:val="20"/>
        </w:rPr>
        <w:t xml:space="preserve"> </w:t>
      </w:r>
      <w:r w:rsidRPr="0029705C">
        <w:rPr>
          <w:rFonts w:ascii="Arial" w:hAnsi="Arial" w:cs="Arial"/>
          <w:sz w:val="20"/>
          <w:szCs w:val="20"/>
        </w:rPr>
        <w:t>under</w:t>
      </w:r>
      <w:r w:rsidRPr="0029705C">
        <w:rPr>
          <w:rFonts w:ascii="Arial" w:hAnsi="Arial" w:cs="Arial"/>
          <w:spacing w:val="-1"/>
          <w:sz w:val="20"/>
          <w:szCs w:val="20"/>
        </w:rPr>
        <w:t xml:space="preserve"> </w:t>
      </w:r>
      <w:r w:rsidRPr="0029705C">
        <w:rPr>
          <w:rFonts w:ascii="Arial" w:hAnsi="Arial" w:cs="Arial"/>
          <w:sz w:val="20"/>
          <w:szCs w:val="20"/>
        </w:rPr>
        <w:t>VFR</w:t>
      </w:r>
      <w:r w:rsidRPr="0029705C">
        <w:rPr>
          <w:rFonts w:ascii="Arial" w:hAnsi="Arial" w:cs="Arial"/>
          <w:spacing w:val="-1"/>
          <w:sz w:val="20"/>
          <w:szCs w:val="20"/>
        </w:rPr>
        <w:t xml:space="preserve"> </w:t>
      </w:r>
      <w:r w:rsidRPr="0029705C">
        <w:rPr>
          <w:rFonts w:ascii="Arial" w:hAnsi="Arial" w:cs="Arial"/>
          <w:sz w:val="20"/>
          <w:szCs w:val="20"/>
        </w:rPr>
        <w:t>by</w:t>
      </w:r>
      <w:r w:rsidRPr="0029705C">
        <w:rPr>
          <w:rFonts w:ascii="Arial" w:hAnsi="Arial" w:cs="Arial"/>
          <w:spacing w:val="-1"/>
          <w:sz w:val="20"/>
          <w:szCs w:val="20"/>
        </w:rPr>
        <w:t xml:space="preserve"> </w:t>
      </w:r>
      <w:r w:rsidRPr="0029705C">
        <w:rPr>
          <w:rFonts w:ascii="Arial" w:hAnsi="Arial" w:cs="Arial"/>
          <w:sz w:val="20"/>
          <w:szCs w:val="20"/>
        </w:rPr>
        <w:t>day</w:t>
      </w:r>
      <w:r w:rsidRPr="0029705C">
        <w:rPr>
          <w:rFonts w:ascii="Arial" w:hAnsi="Arial" w:cs="Arial"/>
          <w:spacing w:val="-3"/>
          <w:sz w:val="20"/>
          <w:szCs w:val="20"/>
        </w:rPr>
        <w:t xml:space="preserve"> </w:t>
      </w:r>
      <w:r w:rsidRPr="0029705C">
        <w:rPr>
          <w:rFonts w:ascii="Arial" w:hAnsi="Arial" w:cs="Arial"/>
          <w:sz w:val="20"/>
          <w:szCs w:val="20"/>
        </w:rPr>
        <w:t>shall</w:t>
      </w:r>
      <w:r w:rsidRPr="0029705C">
        <w:rPr>
          <w:rFonts w:ascii="Arial" w:hAnsi="Arial" w:cs="Arial"/>
          <w:spacing w:val="-1"/>
          <w:sz w:val="20"/>
          <w:szCs w:val="20"/>
        </w:rPr>
        <w:t xml:space="preserve"> </w:t>
      </w:r>
      <w:r w:rsidRPr="0029705C">
        <w:rPr>
          <w:rFonts w:ascii="Arial" w:hAnsi="Arial" w:cs="Arial"/>
          <w:sz w:val="20"/>
          <w:szCs w:val="20"/>
        </w:rPr>
        <w:t>be</w:t>
      </w:r>
      <w:r w:rsidRPr="0029705C">
        <w:rPr>
          <w:rFonts w:ascii="Arial" w:hAnsi="Arial" w:cs="Arial"/>
          <w:spacing w:val="-2"/>
          <w:sz w:val="20"/>
          <w:szCs w:val="20"/>
        </w:rPr>
        <w:t xml:space="preserve"> </w:t>
      </w:r>
      <w:r w:rsidRPr="0029705C">
        <w:rPr>
          <w:rFonts w:ascii="Arial" w:hAnsi="Arial" w:cs="Arial"/>
          <w:sz w:val="20"/>
          <w:szCs w:val="20"/>
        </w:rPr>
        <w:t>equipped</w:t>
      </w:r>
      <w:r w:rsidRPr="0029705C">
        <w:rPr>
          <w:rFonts w:ascii="Arial" w:hAnsi="Arial" w:cs="Arial"/>
          <w:spacing w:val="-2"/>
          <w:sz w:val="20"/>
          <w:szCs w:val="20"/>
        </w:rPr>
        <w:t xml:space="preserve"> </w:t>
      </w:r>
      <w:r w:rsidRPr="0029705C">
        <w:rPr>
          <w:rFonts w:ascii="Arial" w:hAnsi="Arial" w:cs="Arial"/>
          <w:sz w:val="20"/>
          <w:szCs w:val="20"/>
        </w:rPr>
        <w:t>with</w:t>
      </w:r>
      <w:r w:rsidRPr="0029705C">
        <w:rPr>
          <w:rFonts w:ascii="Arial" w:hAnsi="Arial" w:cs="Arial"/>
          <w:spacing w:val="-2"/>
          <w:sz w:val="20"/>
          <w:szCs w:val="20"/>
        </w:rPr>
        <w:t xml:space="preserve"> </w:t>
      </w:r>
      <w:r w:rsidRPr="0029705C">
        <w:rPr>
          <w:rFonts w:ascii="Arial" w:hAnsi="Arial" w:cs="Arial"/>
          <w:sz w:val="20"/>
          <w:szCs w:val="20"/>
        </w:rPr>
        <w:t>both</w:t>
      </w:r>
      <w:r w:rsidRPr="0029705C">
        <w:rPr>
          <w:rFonts w:ascii="Arial" w:hAnsi="Arial" w:cs="Arial"/>
          <w:spacing w:val="-1"/>
          <w:sz w:val="20"/>
          <w:szCs w:val="20"/>
        </w:rPr>
        <w:t xml:space="preserve"> </w:t>
      </w:r>
      <w:r w:rsidRPr="0029705C">
        <w:rPr>
          <w:rFonts w:ascii="Arial" w:hAnsi="Arial" w:cs="Arial"/>
          <w:sz w:val="20"/>
          <w:szCs w:val="20"/>
        </w:rPr>
        <w:t>of the</w:t>
      </w:r>
      <w:r w:rsidRPr="0029705C">
        <w:rPr>
          <w:rFonts w:ascii="Arial" w:hAnsi="Arial" w:cs="Arial"/>
          <w:spacing w:val="-3"/>
          <w:sz w:val="20"/>
          <w:szCs w:val="20"/>
        </w:rPr>
        <w:t xml:space="preserve"> </w:t>
      </w:r>
      <w:r w:rsidRPr="0029705C">
        <w:rPr>
          <w:rFonts w:ascii="Arial" w:hAnsi="Arial" w:cs="Arial"/>
          <w:sz w:val="20"/>
          <w:szCs w:val="20"/>
        </w:rPr>
        <w:t>following:</w:t>
      </w:r>
    </w:p>
    <w:p w14:paraId="3CD2D6D4" w14:textId="77777777" w:rsidR="0029705C" w:rsidRPr="0029705C" w:rsidRDefault="0029705C" w:rsidP="009601C2">
      <w:pPr>
        <w:pStyle w:val="ListParagraph"/>
        <w:numPr>
          <w:ilvl w:val="0"/>
          <w:numId w:val="65"/>
        </w:numPr>
        <w:tabs>
          <w:tab w:val="left" w:pos="706"/>
          <w:tab w:val="left" w:pos="707"/>
        </w:tabs>
        <w:spacing w:line="276" w:lineRule="auto"/>
        <w:jc w:val="both"/>
        <w:rPr>
          <w:rFonts w:ascii="Arial" w:hAnsi="Arial" w:cs="Arial"/>
          <w:sz w:val="20"/>
          <w:szCs w:val="20"/>
        </w:rPr>
      </w:pPr>
      <w:r w:rsidRPr="0029705C">
        <w:rPr>
          <w:rFonts w:ascii="Arial" w:hAnsi="Arial" w:cs="Arial"/>
          <w:sz w:val="20"/>
          <w:szCs w:val="20"/>
        </w:rPr>
        <w:t>a</w:t>
      </w:r>
      <w:r w:rsidRPr="0029705C">
        <w:rPr>
          <w:rFonts w:ascii="Arial" w:hAnsi="Arial" w:cs="Arial"/>
          <w:spacing w:val="-1"/>
          <w:sz w:val="20"/>
          <w:szCs w:val="20"/>
        </w:rPr>
        <w:t xml:space="preserve"> </w:t>
      </w:r>
      <w:r w:rsidRPr="0029705C">
        <w:rPr>
          <w:rFonts w:ascii="Arial" w:hAnsi="Arial" w:cs="Arial"/>
          <w:sz w:val="20"/>
          <w:szCs w:val="20"/>
        </w:rPr>
        <w:t>means</w:t>
      </w:r>
      <w:r w:rsidRPr="0029705C">
        <w:rPr>
          <w:rFonts w:ascii="Arial" w:hAnsi="Arial" w:cs="Arial"/>
          <w:spacing w:val="-2"/>
          <w:sz w:val="20"/>
          <w:szCs w:val="20"/>
        </w:rPr>
        <w:t xml:space="preserve"> </w:t>
      </w:r>
      <w:r w:rsidRPr="0029705C">
        <w:rPr>
          <w:rFonts w:ascii="Arial" w:hAnsi="Arial" w:cs="Arial"/>
          <w:sz w:val="20"/>
          <w:szCs w:val="20"/>
        </w:rPr>
        <w:t>of</w:t>
      </w:r>
      <w:r w:rsidRPr="0029705C">
        <w:rPr>
          <w:rFonts w:ascii="Arial" w:hAnsi="Arial" w:cs="Arial"/>
          <w:spacing w:val="-1"/>
          <w:sz w:val="20"/>
          <w:szCs w:val="20"/>
        </w:rPr>
        <w:t xml:space="preserve"> </w:t>
      </w:r>
      <w:r w:rsidRPr="0029705C">
        <w:rPr>
          <w:rFonts w:ascii="Arial" w:hAnsi="Arial" w:cs="Arial"/>
          <w:sz w:val="20"/>
          <w:szCs w:val="20"/>
        </w:rPr>
        <w:t>displaying</w:t>
      </w:r>
      <w:r w:rsidRPr="0029705C">
        <w:rPr>
          <w:rFonts w:ascii="Arial" w:hAnsi="Arial" w:cs="Arial"/>
          <w:spacing w:val="-2"/>
          <w:sz w:val="20"/>
          <w:szCs w:val="20"/>
        </w:rPr>
        <w:t xml:space="preserve"> </w:t>
      </w:r>
      <w:r w:rsidRPr="0029705C">
        <w:rPr>
          <w:rFonts w:ascii="Arial" w:hAnsi="Arial" w:cs="Arial"/>
          <w:sz w:val="20"/>
          <w:szCs w:val="20"/>
        </w:rPr>
        <w:t>drift</w:t>
      </w:r>
      <w:r w:rsidRPr="0029705C">
        <w:rPr>
          <w:rFonts w:ascii="Arial" w:hAnsi="Arial" w:cs="Arial"/>
          <w:spacing w:val="-3"/>
          <w:sz w:val="20"/>
          <w:szCs w:val="20"/>
        </w:rPr>
        <w:t xml:space="preserve"> </w:t>
      </w:r>
      <w:r w:rsidRPr="0029705C">
        <w:rPr>
          <w:rFonts w:ascii="Arial" w:hAnsi="Arial" w:cs="Arial"/>
          <w:sz w:val="20"/>
          <w:szCs w:val="20"/>
        </w:rPr>
        <w:t>direction;</w:t>
      </w:r>
    </w:p>
    <w:p w14:paraId="7F885BF4" w14:textId="77777777" w:rsidR="0029705C" w:rsidRPr="0029705C" w:rsidRDefault="0029705C" w:rsidP="009601C2">
      <w:pPr>
        <w:pStyle w:val="ListParagraph"/>
        <w:numPr>
          <w:ilvl w:val="0"/>
          <w:numId w:val="65"/>
        </w:numPr>
        <w:tabs>
          <w:tab w:val="left" w:pos="706"/>
          <w:tab w:val="left" w:pos="707"/>
        </w:tabs>
        <w:spacing w:before="121" w:line="276" w:lineRule="auto"/>
        <w:jc w:val="both"/>
        <w:rPr>
          <w:rFonts w:ascii="Arial" w:hAnsi="Arial" w:cs="Arial"/>
          <w:sz w:val="20"/>
          <w:szCs w:val="20"/>
        </w:rPr>
      </w:pPr>
      <w:r w:rsidRPr="0029705C">
        <w:rPr>
          <w:rFonts w:ascii="Arial" w:hAnsi="Arial" w:cs="Arial"/>
          <w:sz w:val="20"/>
          <w:szCs w:val="20"/>
        </w:rPr>
        <w:lastRenderedPageBreak/>
        <w:t>a means</w:t>
      </w:r>
      <w:r w:rsidRPr="0029705C">
        <w:rPr>
          <w:rFonts w:ascii="Arial" w:hAnsi="Arial" w:cs="Arial"/>
          <w:spacing w:val="-1"/>
          <w:sz w:val="20"/>
          <w:szCs w:val="20"/>
        </w:rPr>
        <w:t xml:space="preserve"> </w:t>
      </w:r>
      <w:r w:rsidRPr="0029705C">
        <w:rPr>
          <w:rFonts w:ascii="Arial" w:hAnsi="Arial" w:cs="Arial"/>
          <w:sz w:val="20"/>
          <w:szCs w:val="20"/>
        </w:rPr>
        <w:t>of</w:t>
      </w:r>
      <w:r w:rsidRPr="0029705C">
        <w:rPr>
          <w:rFonts w:ascii="Arial" w:hAnsi="Arial" w:cs="Arial"/>
          <w:spacing w:val="-1"/>
          <w:sz w:val="20"/>
          <w:szCs w:val="20"/>
        </w:rPr>
        <w:t xml:space="preserve"> </w:t>
      </w:r>
      <w:r w:rsidRPr="0029705C">
        <w:rPr>
          <w:rFonts w:ascii="Arial" w:hAnsi="Arial" w:cs="Arial"/>
          <w:sz w:val="20"/>
          <w:szCs w:val="20"/>
        </w:rPr>
        <w:t>measuring and</w:t>
      </w:r>
      <w:r w:rsidRPr="0029705C">
        <w:rPr>
          <w:rFonts w:ascii="Arial" w:hAnsi="Arial" w:cs="Arial"/>
          <w:spacing w:val="-2"/>
          <w:sz w:val="20"/>
          <w:szCs w:val="20"/>
        </w:rPr>
        <w:t xml:space="preserve"> </w:t>
      </w:r>
      <w:r w:rsidRPr="0029705C">
        <w:rPr>
          <w:rFonts w:ascii="Arial" w:hAnsi="Arial" w:cs="Arial"/>
          <w:sz w:val="20"/>
          <w:szCs w:val="20"/>
        </w:rPr>
        <w:t>displaying:</w:t>
      </w:r>
    </w:p>
    <w:p w14:paraId="2D3C90C9" w14:textId="77777777" w:rsidR="0029705C" w:rsidRPr="0029705C" w:rsidRDefault="0029705C" w:rsidP="009601C2">
      <w:pPr>
        <w:pStyle w:val="ListParagraph"/>
        <w:numPr>
          <w:ilvl w:val="1"/>
          <w:numId w:val="65"/>
        </w:numPr>
        <w:tabs>
          <w:tab w:val="left" w:pos="1273"/>
          <w:tab w:val="left" w:pos="1274"/>
        </w:tabs>
        <w:spacing w:line="276" w:lineRule="auto"/>
        <w:ind w:hanging="568"/>
        <w:jc w:val="both"/>
        <w:rPr>
          <w:rFonts w:ascii="Arial" w:hAnsi="Arial" w:cs="Arial"/>
          <w:sz w:val="20"/>
          <w:szCs w:val="20"/>
        </w:rPr>
      </w:pPr>
      <w:r w:rsidRPr="0029705C">
        <w:rPr>
          <w:rFonts w:ascii="Arial" w:hAnsi="Arial" w:cs="Arial"/>
          <w:sz w:val="20"/>
          <w:szCs w:val="20"/>
        </w:rPr>
        <w:t>time</w:t>
      </w:r>
      <w:r w:rsidRPr="0029705C">
        <w:rPr>
          <w:rFonts w:ascii="Arial" w:hAnsi="Arial" w:cs="Arial"/>
          <w:spacing w:val="-2"/>
          <w:sz w:val="20"/>
          <w:szCs w:val="20"/>
        </w:rPr>
        <w:t xml:space="preserve"> </w:t>
      </w:r>
      <w:r w:rsidRPr="0029705C">
        <w:rPr>
          <w:rFonts w:ascii="Arial" w:hAnsi="Arial" w:cs="Arial"/>
          <w:sz w:val="20"/>
          <w:szCs w:val="20"/>
        </w:rPr>
        <w:t>in hours,</w:t>
      </w:r>
      <w:r w:rsidRPr="0029705C">
        <w:rPr>
          <w:rFonts w:ascii="Arial" w:hAnsi="Arial" w:cs="Arial"/>
          <w:spacing w:val="-3"/>
          <w:sz w:val="20"/>
          <w:szCs w:val="20"/>
        </w:rPr>
        <w:t xml:space="preserve"> </w:t>
      </w:r>
      <w:r w:rsidRPr="0029705C">
        <w:rPr>
          <w:rFonts w:ascii="Arial" w:hAnsi="Arial" w:cs="Arial"/>
          <w:sz w:val="20"/>
          <w:szCs w:val="20"/>
        </w:rPr>
        <w:t>minutes</w:t>
      </w:r>
      <w:r w:rsidRPr="0029705C">
        <w:rPr>
          <w:rFonts w:ascii="Arial" w:hAnsi="Arial" w:cs="Arial"/>
          <w:spacing w:val="1"/>
          <w:sz w:val="20"/>
          <w:szCs w:val="20"/>
        </w:rPr>
        <w:t xml:space="preserve"> </w:t>
      </w:r>
      <w:r w:rsidRPr="0029705C">
        <w:rPr>
          <w:rFonts w:ascii="Arial" w:hAnsi="Arial" w:cs="Arial"/>
          <w:sz w:val="20"/>
          <w:szCs w:val="20"/>
        </w:rPr>
        <w:t>and</w:t>
      </w:r>
      <w:r w:rsidRPr="0029705C">
        <w:rPr>
          <w:rFonts w:ascii="Arial" w:hAnsi="Arial" w:cs="Arial"/>
          <w:spacing w:val="-3"/>
          <w:sz w:val="20"/>
          <w:szCs w:val="20"/>
        </w:rPr>
        <w:t xml:space="preserve"> </w:t>
      </w:r>
      <w:r w:rsidRPr="0029705C">
        <w:rPr>
          <w:rFonts w:ascii="Arial" w:hAnsi="Arial" w:cs="Arial"/>
          <w:sz w:val="20"/>
          <w:szCs w:val="20"/>
        </w:rPr>
        <w:t>seconds;</w:t>
      </w:r>
    </w:p>
    <w:p w14:paraId="078B2D4A" w14:textId="77777777" w:rsidR="0029705C" w:rsidRPr="0029705C" w:rsidRDefault="0029705C" w:rsidP="009601C2">
      <w:pPr>
        <w:pStyle w:val="ListParagraph"/>
        <w:numPr>
          <w:ilvl w:val="1"/>
          <w:numId w:val="65"/>
        </w:numPr>
        <w:tabs>
          <w:tab w:val="left" w:pos="1273"/>
          <w:tab w:val="left" w:pos="1274"/>
        </w:tabs>
        <w:spacing w:line="276" w:lineRule="auto"/>
        <w:ind w:hanging="568"/>
        <w:jc w:val="both"/>
        <w:rPr>
          <w:rFonts w:ascii="Arial" w:hAnsi="Arial" w:cs="Arial"/>
          <w:sz w:val="20"/>
          <w:szCs w:val="20"/>
        </w:rPr>
      </w:pPr>
      <w:r w:rsidRPr="0029705C">
        <w:rPr>
          <w:rFonts w:ascii="Arial" w:hAnsi="Arial" w:cs="Arial"/>
          <w:sz w:val="20"/>
          <w:szCs w:val="20"/>
        </w:rPr>
        <w:t>vertical</w:t>
      </w:r>
      <w:r w:rsidRPr="0029705C">
        <w:rPr>
          <w:rFonts w:ascii="Arial" w:hAnsi="Arial" w:cs="Arial"/>
          <w:spacing w:val="-1"/>
          <w:sz w:val="20"/>
          <w:szCs w:val="20"/>
        </w:rPr>
        <w:t xml:space="preserve"> </w:t>
      </w:r>
      <w:r w:rsidRPr="0029705C">
        <w:rPr>
          <w:rFonts w:ascii="Arial" w:hAnsi="Arial" w:cs="Arial"/>
          <w:sz w:val="20"/>
          <w:szCs w:val="20"/>
        </w:rPr>
        <w:t>speed,</w:t>
      </w:r>
      <w:r w:rsidRPr="0029705C">
        <w:rPr>
          <w:rFonts w:ascii="Arial" w:hAnsi="Arial" w:cs="Arial"/>
          <w:spacing w:val="-1"/>
          <w:sz w:val="20"/>
          <w:szCs w:val="20"/>
        </w:rPr>
        <w:t xml:space="preserve"> </w:t>
      </w:r>
      <w:r w:rsidRPr="0029705C">
        <w:rPr>
          <w:rFonts w:ascii="Arial" w:hAnsi="Arial" w:cs="Arial"/>
          <w:sz w:val="20"/>
          <w:szCs w:val="20"/>
        </w:rPr>
        <w:t>if required</w:t>
      </w:r>
      <w:r w:rsidRPr="0029705C">
        <w:rPr>
          <w:rFonts w:ascii="Arial" w:hAnsi="Arial" w:cs="Arial"/>
          <w:spacing w:val="-2"/>
          <w:sz w:val="20"/>
          <w:szCs w:val="20"/>
        </w:rPr>
        <w:t xml:space="preserve"> </w:t>
      </w:r>
      <w:r w:rsidRPr="0029705C">
        <w:rPr>
          <w:rFonts w:ascii="Arial" w:hAnsi="Arial" w:cs="Arial"/>
          <w:sz w:val="20"/>
          <w:szCs w:val="20"/>
        </w:rPr>
        <w:t>by the</w:t>
      </w:r>
      <w:r w:rsidRPr="0029705C">
        <w:rPr>
          <w:rFonts w:ascii="Arial" w:hAnsi="Arial" w:cs="Arial"/>
          <w:spacing w:val="-3"/>
          <w:sz w:val="20"/>
          <w:szCs w:val="20"/>
        </w:rPr>
        <w:t xml:space="preserve"> </w:t>
      </w:r>
      <w:r w:rsidRPr="0029705C">
        <w:rPr>
          <w:rFonts w:ascii="Arial" w:hAnsi="Arial" w:cs="Arial"/>
          <w:sz w:val="20"/>
          <w:szCs w:val="20"/>
        </w:rPr>
        <w:t>AFM;</w:t>
      </w:r>
      <w:r w:rsidRPr="0029705C">
        <w:rPr>
          <w:rFonts w:ascii="Arial" w:hAnsi="Arial" w:cs="Arial"/>
          <w:spacing w:val="-2"/>
          <w:sz w:val="20"/>
          <w:szCs w:val="20"/>
        </w:rPr>
        <w:t xml:space="preserve"> </w:t>
      </w:r>
      <w:r w:rsidRPr="0029705C">
        <w:rPr>
          <w:rFonts w:ascii="Arial" w:hAnsi="Arial" w:cs="Arial"/>
          <w:sz w:val="20"/>
          <w:szCs w:val="20"/>
        </w:rPr>
        <w:t>and</w:t>
      </w:r>
    </w:p>
    <w:p w14:paraId="01552131" w14:textId="77777777" w:rsidR="0029705C" w:rsidRPr="0029705C" w:rsidRDefault="0029705C" w:rsidP="009601C2">
      <w:pPr>
        <w:pStyle w:val="ListParagraph"/>
        <w:numPr>
          <w:ilvl w:val="1"/>
          <w:numId w:val="65"/>
        </w:numPr>
        <w:tabs>
          <w:tab w:val="left" w:pos="1273"/>
          <w:tab w:val="left" w:pos="1274"/>
        </w:tabs>
        <w:spacing w:before="121" w:line="276" w:lineRule="auto"/>
        <w:ind w:right="197"/>
        <w:jc w:val="both"/>
        <w:rPr>
          <w:rFonts w:ascii="Arial" w:hAnsi="Arial" w:cs="Arial"/>
          <w:sz w:val="20"/>
          <w:szCs w:val="20"/>
        </w:rPr>
      </w:pPr>
      <w:r w:rsidRPr="0029705C">
        <w:rPr>
          <w:rFonts w:ascii="Arial" w:hAnsi="Arial" w:cs="Arial"/>
          <w:sz w:val="20"/>
          <w:szCs w:val="20"/>
        </w:rPr>
        <w:t>pressure</w:t>
      </w:r>
      <w:r w:rsidRPr="0029705C">
        <w:rPr>
          <w:rFonts w:ascii="Arial" w:hAnsi="Arial" w:cs="Arial"/>
          <w:spacing w:val="21"/>
          <w:sz w:val="20"/>
          <w:szCs w:val="20"/>
        </w:rPr>
        <w:t xml:space="preserve"> </w:t>
      </w:r>
      <w:r w:rsidRPr="0029705C">
        <w:rPr>
          <w:rFonts w:ascii="Arial" w:hAnsi="Arial" w:cs="Arial"/>
          <w:sz w:val="20"/>
          <w:szCs w:val="20"/>
        </w:rPr>
        <w:t>altitude,</w:t>
      </w:r>
      <w:r w:rsidRPr="0029705C">
        <w:rPr>
          <w:rFonts w:ascii="Arial" w:hAnsi="Arial" w:cs="Arial"/>
          <w:spacing w:val="21"/>
          <w:sz w:val="20"/>
          <w:szCs w:val="20"/>
        </w:rPr>
        <w:t xml:space="preserve"> </w:t>
      </w:r>
      <w:r w:rsidRPr="0029705C">
        <w:rPr>
          <w:rFonts w:ascii="Arial" w:hAnsi="Arial" w:cs="Arial"/>
          <w:sz w:val="20"/>
          <w:szCs w:val="20"/>
        </w:rPr>
        <w:t>if</w:t>
      </w:r>
      <w:r w:rsidRPr="0029705C">
        <w:rPr>
          <w:rFonts w:ascii="Arial" w:hAnsi="Arial" w:cs="Arial"/>
          <w:spacing w:val="20"/>
          <w:sz w:val="20"/>
          <w:szCs w:val="20"/>
        </w:rPr>
        <w:t xml:space="preserve"> </w:t>
      </w:r>
      <w:r w:rsidRPr="0029705C">
        <w:rPr>
          <w:rFonts w:ascii="Arial" w:hAnsi="Arial" w:cs="Arial"/>
          <w:sz w:val="20"/>
          <w:szCs w:val="20"/>
        </w:rPr>
        <w:t>required</w:t>
      </w:r>
      <w:r w:rsidRPr="0029705C">
        <w:rPr>
          <w:rFonts w:ascii="Arial" w:hAnsi="Arial" w:cs="Arial"/>
          <w:spacing w:val="21"/>
          <w:sz w:val="20"/>
          <w:szCs w:val="20"/>
        </w:rPr>
        <w:t xml:space="preserve"> </w:t>
      </w:r>
      <w:r w:rsidRPr="0029705C">
        <w:rPr>
          <w:rFonts w:ascii="Arial" w:hAnsi="Arial" w:cs="Arial"/>
          <w:sz w:val="20"/>
          <w:szCs w:val="20"/>
        </w:rPr>
        <w:t>by</w:t>
      </w:r>
      <w:r w:rsidRPr="0029705C">
        <w:rPr>
          <w:rFonts w:ascii="Arial" w:hAnsi="Arial" w:cs="Arial"/>
          <w:spacing w:val="22"/>
          <w:sz w:val="20"/>
          <w:szCs w:val="20"/>
        </w:rPr>
        <w:t xml:space="preserve"> </w:t>
      </w:r>
      <w:r w:rsidRPr="0029705C">
        <w:rPr>
          <w:rFonts w:ascii="Arial" w:hAnsi="Arial" w:cs="Arial"/>
          <w:sz w:val="20"/>
          <w:szCs w:val="20"/>
        </w:rPr>
        <w:t>the</w:t>
      </w:r>
      <w:r w:rsidRPr="0029705C">
        <w:rPr>
          <w:rFonts w:ascii="Arial" w:hAnsi="Arial" w:cs="Arial"/>
          <w:spacing w:val="21"/>
          <w:sz w:val="20"/>
          <w:szCs w:val="20"/>
        </w:rPr>
        <w:t xml:space="preserve"> </w:t>
      </w:r>
      <w:r w:rsidRPr="0029705C">
        <w:rPr>
          <w:rFonts w:ascii="Arial" w:hAnsi="Arial" w:cs="Arial"/>
          <w:sz w:val="20"/>
          <w:szCs w:val="20"/>
        </w:rPr>
        <w:t>AFM,</w:t>
      </w:r>
      <w:r w:rsidRPr="0029705C">
        <w:rPr>
          <w:rFonts w:ascii="Arial" w:hAnsi="Arial" w:cs="Arial"/>
          <w:spacing w:val="21"/>
          <w:sz w:val="20"/>
          <w:szCs w:val="20"/>
        </w:rPr>
        <w:t xml:space="preserve"> </w:t>
      </w:r>
      <w:r w:rsidRPr="0029705C">
        <w:rPr>
          <w:rFonts w:ascii="Arial" w:hAnsi="Arial" w:cs="Arial"/>
          <w:sz w:val="20"/>
          <w:szCs w:val="20"/>
        </w:rPr>
        <w:t>when</w:t>
      </w:r>
      <w:r w:rsidRPr="0029705C">
        <w:rPr>
          <w:rFonts w:ascii="Arial" w:hAnsi="Arial" w:cs="Arial"/>
          <w:spacing w:val="21"/>
          <w:sz w:val="20"/>
          <w:szCs w:val="20"/>
        </w:rPr>
        <w:t xml:space="preserve"> </w:t>
      </w:r>
      <w:r w:rsidRPr="0029705C">
        <w:rPr>
          <w:rFonts w:ascii="Arial" w:hAnsi="Arial" w:cs="Arial"/>
          <w:sz w:val="20"/>
          <w:szCs w:val="20"/>
        </w:rPr>
        <w:t>required</w:t>
      </w:r>
      <w:r w:rsidRPr="0029705C">
        <w:rPr>
          <w:rFonts w:ascii="Arial" w:hAnsi="Arial" w:cs="Arial"/>
          <w:spacing w:val="21"/>
          <w:sz w:val="20"/>
          <w:szCs w:val="20"/>
        </w:rPr>
        <w:t xml:space="preserve"> </w:t>
      </w:r>
      <w:r w:rsidRPr="0029705C">
        <w:rPr>
          <w:rFonts w:ascii="Arial" w:hAnsi="Arial" w:cs="Arial"/>
          <w:sz w:val="20"/>
          <w:szCs w:val="20"/>
        </w:rPr>
        <w:t>by</w:t>
      </w:r>
      <w:r w:rsidRPr="0029705C">
        <w:rPr>
          <w:rFonts w:ascii="Arial" w:hAnsi="Arial" w:cs="Arial"/>
          <w:spacing w:val="21"/>
          <w:sz w:val="20"/>
          <w:szCs w:val="20"/>
        </w:rPr>
        <w:t xml:space="preserve"> </w:t>
      </w:r>
      <w:r w:rsidRPr="0029705C">
        <w:rPr>
          <w:rFonts w:ascii="Arial" w:hAnsi="Arial" w:cs="Arial"/>
          <w:sz w:val="20"/>
          <w:szCs w:val="20"/>
        </w:rPr>
        <w:t>airspace</w:t>
      </w:r>
      <w:r w:rsidRPr="0029705C">
        <w:rPr>
          <w:rFonts w:ascii="Arial" w:hAnsi="Arial" w:cs="Arial"/>
          <w:spacing w:val="21"/>
          <w:sz w:val="20"/>
          <w:szCs w:val="20"/>
        </w:rPr>
        <w:t xml:space="preserve"> </w:t>
      </w:r>
      <w:r w:rsidRPr="0029705C">
        <w:rPr>
          <w:rFonts w:ascii="Arial" w:hAnsi="Arial" w:cs="Arial"/>
          <w:sz w:val="20"/>
          <w:szCs w:val="20"/>
        </w:rPr>
        <w:t>requirements</w:t>
      </w:r>
      <w:r w:rsidRPr="0029705C">
        <w:rPr>
          <w:rFonts w:ascii="Arial" w:hAnsi="Arial" w:cs="Arial"/>
          <w:spacing w:val="19"/>
          <w:sz w:val="20"/>
          <w:szCs w:val="20"/>
        </w:rPr>
        <w:t xml:space="preserve"> </w:t>
      </w:r>
      <w:r w:rsidRPr="0029705C">
        <w:rPr>
          <w:rFonts w:ascii="Arial" w:hAnsi="Arial" w:cs="Arial"/>
          <w:sz w:val="20"/>
          <w:szCs w:val="20"/>
        </w:rPr>
        <w:t>or</w:t>
      </w:r>
      <w:r w:rsidRPr="0029705C">
        <w:rPr>
          <w:rFonts w:ascii="Arial" w:hAnsi="Arial" w:cs="Arial"/>
          <w:spacing w:val="-46"/>
          <w:sz w:val="20"/>
          <w:szCs w:val="20"/>
        </w:rPr>
        <w:t xml:space="preserve"> </w:t>
      </w:r>
      <w:r w:rsidRPr="0029705C">
        <w:rPr>
          <w:rFonts w:ascii="Arial" w:hAnsi="Arial" w:cs="Arial"/>
          <w:sz w:val="20"/>
          <w:szCs w:val="20"/>
        </w:rPr>
        <w:t>when</w:t>
      </w:r>
      <w:r w:rsidRPr="0029705C">
        <w:rPr>
          <w:rFonts w:ascii="Arial" w:hAnsi="Arial" w:cs="Arial"/>
          <w:spacing w:val="-1"/>
          <w:sz w:val="20"/>
          <w:szCs w:val="20"/>
        </w:rPr>
        <w:t xml:space="preserve"> </w:t>
      </w:r>
      <w:r w:rsidRPr="0029705C">
        <w:rPr>
          <w:rFonts w:ascii="Arial" w:hAnsi="Arial" w:cs="Arial"/>
          <w:sz w:val="20"/>
          <w:szCs w:val="20"/>
        </w:rPr>
        <w:t>the</w:t>
      </w:r>
      <w:r w:rsidRPr="0029705C">
        <w:rPr>
          <w:rFonts w:ascii="Arial" w:hAnsi="Arial" w:cs="Arial"/>
          <w:spacing w:val="-3"/>
          <w:sz w:val="20"/>
          <w:szCs w:val="20"/>
        </w:rPr>
        <w:t xml:space="preserve"> </w:t>
      </w:r>
      <w:r w:rsidRPr="0029705C">
        <w:rPr>
          <w:rFonts w:ascii="Arial" w:hAnsi="Arial" w:cs="Arial"/>
          <w:sz w:val="20"/>
          <w:szCs w:val="20"/>
        </w:rPr>
        <w:t>altitude</w:t>
      </w:r>
      <w:r w:rsidRPr="0029705C">
        <w:rPr>
          <w:rFonts w:ascii="Arial" w:hAnsi="Arial" w:cs="Arial"/>
          <w:spacing w:val="-2"/>
          <w:sz w:val="20"/>
          <w:szCs w:val="20"/>
        </w:rPr>
        <w:t xml:space="preserve"> </w:t>
      </w:r>
      <w:r w:rsidRPr="0029705C">
        <w:rPr>
          <w:rFonts w:ascii="Arial" w:hAnsi="Arial" w:cs="Arial"/>
          <w:sz w:val="20"/>
          <w:szCs w:val="20"/>
        </w:rPr>
        <w:t>needs</w:t>
      </w:r>
      <w:r w:rsidRPr="0029705C">
        <w:rPr>
          <w:rFonts w:ascii="Arial" w:hAnsi="Arial" w:cs="Arial"/>
          <w:spacing w:val="-2"/>
          <w:sz w:val="20"/>
          <w:szCs w:val="20"/>
        </w:rPr>
        <w:t xml:space="preserve"> </w:t>
      </w:r>
      <w:r w:rsidRPr="0029705C">
        <w:rPr>
          <w:rFonts w:ascii="Arial" w:hAnsi="Arial" w:cs="Arial"/>
          <w:sz w:val="20"/>
          <w:szCs w:val="20"/>
        </w:rPr>
        <w:t>to</w:t>
      </w:r>
      <w:r w:rsidRPr="0029705C">
        <w:rPr>
          <w:rFonts w:ascii="Arial" w:hAnsi="Arial" w:cs="Arial"/>
          <w:spacing w:val="-1"/>
          <w:sz w:val="20"/>
          <w:szCs w:val="20"/>
        </w:rPr>
        <w:t xml:space="preserve"> </w:t>
      </w:r>
      <w:r w:rsidRPr="0029705C">
        <w:rPr>
          <w:rFonts w:ascii="Arial" w:hAnsi="Arial" w:cs="Arial"/>
          <w:sz w:val="20"/>
          <w:szCs w:val="20"/>
        </w:rPr>
        <w:t>be known for the</w:t>
      </w:r>
      <w:r w:rsidRPr="0029705C">
        <w:rPr>
          <w:rFonts w:ascii="Arial" w:hAnsi="Arial" w:cs="Arial"/>
          <w:spacing w:val="1"/>
          <w:sz w:val="20"/>
          <w:szCs w:val="20"/>
        </w:rPr>
        <w:t xml:space="preserve"> </w:t>
      </w:r>
      <w:r w:rsidRPr="0029705C">
        <w:rPr>
          <w:rFonts w:ascii="Arial" w:hAnsi="Arial" w:cs="Arial"/>
          <w:sz w:val="20"/>
          <w:szCs w:val="20"/>
        </w:rPr>
        <w:t>use</w:t>
      </w:r>
      <w:r w:rsidRPr="0029705C">
        <w:rPr>
          <w:rFonts w:ascii="Arial" w:hAnsi="Arial" w:cs="Arial"/>
          <w:spacing w:val="-2"/>
          <w:sz w:val="20"/>
          <w:szCs w:val="20"/>
        </w:rPr>
        <w:t xml:space="preserve"> </w:t>
      </w:r>
      <w:r w:rsidRPr="0029705C">
        <w:rPr>
          <w:rFonts w:ascii="Arial" w:hAnsi="Arial" w:cs="Arial"/>
          <w:sz w:val="20"/>
          <w:szCs w:val="20"/>
        </w:rPr>
        <w:t>of</w:t>
      </w:r>
      <w:r w:rsidRPr="0029705C">
        <w:rPr>
          <w:rFonts w:ascii="Arial" w:hAnsi="Arial" w:cs="Arial"/>
          <w:spacing w:val="-3"/>
          <w:sz w:val="20"/>
          <w:szCs w:val="20"/>
        </w:rPr>
        <w:t xml:space="preserve"> </w:t>
      </w:r>
      <w:r w:rsidRPr="0029705C">
        <w:rPr>
          <w:rFonts w:ascii="Arial" w:hAnsi="Arial" w:cs="Arial"/>
          <w:sz w:val="20"/>
          <w:szCs w:val="20"/>
        </w:rPr>
        <w:t>oxygen.</w:t>
      </w:r>
    </w:p>
    <w:p w14:paraId="39E6F5D8" w14:textId="77777777" w:rsidR="00823384" w:rsidRPr="00823384" w:rsidRDefault="00823384" w:rsidP="009601C2">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248" w:name="AMC1_BOP.BAS.315(a)_Flight_and_navigatio"/>
      <w:bookmarkStart w:id="249" w:name="_bookmark111"/>
      <w:bookmarkStart w:id="250" w:name="_Toc153137276"/>
      <w:bookmarkEnd w:id="248"/>
      <w:bookmarkEnd w:id="249"/>
      <w:r w:rsidRPr="00823384">
        <w:rPr>
          <w:rFonts w:ascii="Arial" w:eastAsia="Times New Roman" w:hAnsi="Arial" w:cs="Times New Roman"/>
          <w:b/>
          <w:color w:val="FFFFFF"/>
          <w:sz w:val="24"/>
        </w:rPr>
        <w:t>AMC1 BOP.BAS.315(a) Flight and navigational instruments and associated equipment</w:t>
      </w:r>
      <w:bookmarkEnd w:id="250"/>
    </w:p>
    <w:p w14:paraId="6C723D47" w14:textId="77777777" w:rsidR="0029705C" w:rsidRPr="00823384" w:rsidRDefault="00823384" w:rsidP="009601C2">
      <w:pPr>
        <w:spacing w:line="276" w:lineRule="auto"/>
        <w:jc w:val="both"/>
        <w:rPr>
          <w:rFonts w:ascii="Arial" w:hAnsi="Arial" w:cs="Arial"/>
          <w:b/>
          <w:sz w:val="20"/>
          <w:szCs w:val="20"/>
        </w:rPr>
      </w:pPr>
      <w:r w:rsidRPr="00823384">
        <w:rPr>
          <w:rFonts w:ascii="Arial" w:hAnsi="Arial" w:cs="Arial"/>
          <w:b/>
          <w:sz w:val="20"/>
          <w:szCs w:val="20"/>
        </w:rPr>
        <w:t>MEANS</w:t>
      </w:r>
      <w:r w:rsidRPr="00823384">
        <w:rPr>
          <w:rFonts w:ascii="Arial" w:hAnsi="Arial" w:cs="Arial"/>
          <w:b/>
          <w:spacing w:val="-5"/>
          <w:sz w:val="20"/>
          <w:szCs w:val="20"/>
        </w:rPr>
        <w:t xml:space="preserve"> </w:t>
      </w:r>
      <w:r w:rsidRPr="00823384">
        <w:rPr>
          <w:rFonts w:ascii="Arial" w:hAnsi="Arial" w:cs="Arial"/>
          <w:b/>
          <w:sz w:val="20"/>
          <w:szCs w:val="20"/>
        </w:rPr>
        <w:t>OF</w:t>
      </w:r>
      <w:r w:rsidRPr="00823384">
        <w:rPr>
          <w:rFonts w:ascii="Arial" w:hAnsi="Arial" w:cs="Arial"/>
          <w:b/>
          <w:spacing w:val="-5"/>
          <w:sz w:val="20"/>
          <w:szCs w:val="20"/>
        </w:rPr>
        <w:t xml:space="preserve"> </w:t>
      </w:r>
      <w:r w:rsidRPr="00823384">
        <w:rPr>
          <w:rFonts w:ascii="Arial" w:hAnsi="Arial" w:cs="Arial"/>
          <w:b/>
          <w:sz w:val="20"/>
          <w:szCs w:val="20"/>
        </w:rPr>
        <w:t>DISPLAYING</w:t>
      </w:r>
      <w:r w:rsidRPr="00823384">
        <w:rPr>
          <w:rFonts w:ascii="Arial" w:hAnsi="Arial" w:cs="Arial"/>
          <w:b/>
          <w:spacing w:val="-3"/>
          <w:sz w:val="20"/>
          <w:szCs w:val="20"/>
        </w:rPr>
        <w:t xml:space="preserve"> </w:t>
      </w:r>
      <w:r w:rsidRPr="00823384">
        <w:rPr>
          <w:rFonts w:ascii="Arial" w:hAnsi="Arial" w:cs="Arial"/>
          <w:b/>
          <w:sz w:val="20"/>
          <w:szCs w:val="20"/>
        </w:rPr>
        <w:t>DRIFT</w:t>
      </w:r>
      <w:r w:rsidRPr="00823384">
        <w:rPr>
          <w:rFonts w:ascii="Arial" w:hAnsi="Arial" w:cs="Arial"/>
          <w:b/>
          <w:spacing w:val="-4"/>
          <w:sz w:val="20"/>
          <w:szCs w:val="20"/>
        </w:rPr>
        <w:t xml:space="preserve"> </w:t>
      </w:r>
      <w:r w:rsidRPr="00823384">
        <w:rPr>
          <w:rFonts w:ascii="Arial" w:hAnsi="Arial" w:cs="Arial"/>
          <w:b/>
          <w:sz w:val="20"/>
          <w:szCs w:val="20"/>
        </w:rPr>
        <w:t>DIRECTION</w:t>
      </w:r>
    </w:p>
    <w:p w14:paraId="730F9751" w14:textId="441146EA" w:rsidR="00823384" w:rsidRPr="00943DEA" w:rsidRDefault="00823384" w:rsidP="00943DEA">
      <w:pPr>
        <w:pStyle w:val="BodyText"/>
        <w:spacing w:before="119" w:line="276" w:lineRule="auto"/>
        <w:jc w:val="both"/>
        <w:rPr>
          <w:rFonts w:ascii="Arial" w:hAnsi="Arial" w:cs="Arial"/>
          <w:sz w:val="20"/>
          <w:szCs w:val="20"/>
        </w:rPr>
      </w:pPr>
      <w:r w:rsidRPr="00823384">
        <w:rPr>
          <w:rFonts w:ascii="Arial" w:hAnsi="Arial" w:cs="Arial"/>
          <w:sz w:val="20"/>
          <w:szCs w:val="20"/>
        </w:rPr>
        <w:t>The</w:t>
      </w:r>
      <w:r w:rsidRPr="00823384">
        <w:rPr>
          <w:rFonts w:ascii="Arial" w:hAnsi="Arial" w:cs="Arial"/>
          <w:spacing w:val="-1"/>
          <w:sz w:val="20"/>
          <w:szCs w:val="20"/>
        </w:rPr>
        <w:t xml:space="preserve"> </w:t>
      </w:r>
      <w:r w:rsidRPr="00823384">
        <w:rPr>
          <w:rFonts w:ascii="Arial" w:hAnsi="Arial" w:cs="Arial"/>
          <w:sz w:val="20"/>
          <w:szCs w:val="20"/>
        </w:rPr>
        <w:t>drift</w:t>
      </w:r>
      <w:r w:rsidRPr="00823384">
        <w:rPr>
          <w:rFonts w:ascii="Arial" w:hAnsi="Arial" w:cs="Arial"/>
          <w:spacing w:val="-1"/>
          <w:sz w:val="20"/>
          <w:szCs w:val="20"/>
        </w:rPr>
        <w:t xml:space="preserve"> </w:t>
      </w:r>
      <w:r w:rsidRPr="00823384">
        <w:rPr>
          <w:rFonts w:ascii="Arial" w:hAnsi="Arial" w:cs="Arial"/>
          <w:sz w:val="20"/>
          <w:szCs w:val="20"/>
        </w:rPr>
        <w:t>direction</w:t>
      </w:r>
      <w:r w:rsidRPr="00823384">
        <w:rPr>
          <w:rFonts w:ascii="Arial" w:hAnsi="Arial" w:cs="Arial"/>
          <w:spacing w:val="-3"/>
          <w:sz w:val="20"/>
          <w:szCs w:val="20"/>
        </w:rPr>
        <w:t xml:space="preserve"> </w:t>
      </w:r>
      <w:r w:rsidRPr="00823384">
        <w:rPr>
          <w:rFonts w:ascii="Arial" w:hAnsi="Arial" w:cs="Arial"/>
          <w:sz w:val="20"/>
          <w:szCs w:val="20"/>
        </w:rPr>
        <w:t>may be</w:t>
      </w:r>
      <w:r w:rsidRPr="00823384">
        <w:rPr>
          <w:rFonts w:ascii="Arial" w:hAnsi="Arial" w:cs="Arial"/>
          <w:spacing w:val="-2"/>
          <w:sz w:val="20"/>
          <w:szCs w:val="20"/>
        </w:rPr>
        <w:t xml:space="preserve"> </w:t>
      </w:r>
      <w:r w:rsidRPr="00823384">
        <w:rPr>
          <w:rFonts w:ascii="Arial" w:hAnsi="Arial" w:cs="Arial"/>
          <w:sz w:val="20"/>
          <w:szCs w:val="20"/>
        </w:rPr>
        <w:t>determined</w:t>
      </w:r>
      <w:r w:rsidRPr="00823384">
        <w:rPr>
          <w:rFonts w:ascii="Arial" w:hAnsi="Arial" w:cs="Arial"/>
          <w:spacing w:val="-1"/>
          <w:sz w:val="20"/>
          <w:szCs w:val="20"/>
        </w:rPr>
        <w:t xml:space="preserve"> </w:t>
      </w:r>
      <w:r w:rsidRPr="00823384">
        <w:rPr>
          <w:rFonts w:ascii="Arial" w:hAnsi="Arial" w:cs="Arial"/>
          <w:sz w:val="20"/>
          <w:szCs w:val="20"/>
        </w:rPr>
        <w:t>by</w:t>
      </w:r>
      <w:r w:rsidRPr="00823384">
        <w:rPr>
          <w:rFonts w:ascii="Arial" w:hAnsi="Arial" w:cs="Arial"/>
          <w:spacing w:val="-3"/>
          <w:sz w:val="20"/>
          <w:szCs w:val="20"/>
        </w:rPr>
        <w:t xml:space="preserve"> </w:t>
      </w:r>
      <w:r w:rsidRPr="00823384">
        <w:rPr>
          <w:rFonts w:ascii="Arial" w:hAnsi="Arial" w:cs="Arial"/>
          <w:sz w:val="20"/>
          <w:szCs w:val="20"/>
        </w:rPr>
        <w:t>using</w:t>
      </w:r>
      <w:r w:rsidRPr="00823384">
        <w:rPr>
          <w:rFonts w:ascii="Arial" w:hAnsi="Arial" w:cs="Arial"/>
          <w:spacing w:val="-2"/>
          <w:sz w:val="20"/>
          <w:szCs w:val="20"/>
        </w:rPr>
        <w:t xml:space="preserve"> </w:t>
      </w:r>
      <w:r w:rsidRPr="00823384">
        <w:rPr>
          <w:rFonts w:ascii="Arial" w:hAnsi="Arial" w:cs="Arial"/>
          <w:sz w:val="20"/>
          <w:szCs w:val="20"/>
        </w:rPr>
        <w:t>a</w:t>
      </w:r>
      <w:r w:rsidRPr="00823384">
        <w:rPr>
          <w:rFonts w:ascii="Arial" w:hAnsi="Arial" w:cs="Arial"/>
          <w:spacing w:val="-3"/>
          <w:sz w:val="20"/>
          <w:szCs w:val="20"/>
        </w:rPr>
        <w:t xml:space="preserve"> </w:t>
      </w:r>
      <w:r w:rsidRPr="00823384">
        <w:rPr>
          <w:rFonts w:ascii="Arial" w:hAnsi="Arial" w:cs="Arial"/>
          <w:sz w:val="20"/>
          <w:szCs w:val="20"/>
        </w:rPr>
        <w:t>map</w:t>
      </w:r>
      <w:r w:rsidRPr="00823384">
        <w:rPr>
          <w:rFonts w:ascii="Arial" w:hAnsi="Arial" w:cs="Arial"/>
          <w:spacing w:val="-4"/>
          <w:sz w:val="20"/>
          <w:szCs w:val="20"/>
        </w:rPr>
        <w:t xml:space="preserve"> </w:t>
      </w:r>
      <w:r w:rsidRPr="00823384">
        <w:rPr>
          <w:rFonts w:ascii="Arial" w:hAnsi="Arial" w:cs="Arial"/>
          <w:sz w:val="20"/>
          <w:szCs w:val="20"/>
        </w:rPr>
        <w:t>and</w:t>
      </w:r>
      <w:r w:rsidRPr="00823384">
        <w:rPr>
          <w:rFonts w:ascii="Arial" w:hAnsi="Arial" w:cs="Arial"/>
          <w:spacing w:val="-2"/>
          <w:sz w:val="20"/>
          <w:szCs w:val="20"/>
        </w:rPr>
        <w:t xml:space="preserve"> </w:t>
      </w:r>
      <w:r w:rsidRPr="00823384">
        <w:rPr>
          <w:rFonts w:ascii="Arial" w:hAnsi="Arial" w:cs="Arial"/>
          <w:sz w:val="20"/>
          <w:szCs w:val="20"/>
        </w:rPr>
        <w:t>reference</w:t>
      </w:r>
      <w:r w:rsidRPr="00823384">
        <w:rPr>
          <w:rFonts w:ascii="Arial" w:hAnsi="Arial" w:cs="Arial"/>
          <w:spacing w:val="-2"/>
          <w:sz w:val="20"/>
          <w:szCs w:val="20"/>
        </w:rPr>
        <w:t xml:space="preserve"> </w:t>
      </w:r>
      <w:r w:rsidRPr="00823384">
        <w:rPr>
          <w:rFonts w:ascii="Arial" w:hAnsi="Arial" w:cs="Arial"/>
          <w:sz w:val="20"/>
          <w:szCs w:val="20"/>
        </w:rPr>
        <w:t>to</w:t>
      </w:r>
      <w:r w:rsidRPr="00823384">
        <w:rPr>
          <w:rFonts w:ascii="Arial" w:hAnsi="Arial" w:cs="Arial"/>
          <w:spacing w:val="-2"/>
          <w:sz w:val="20"/>
          <w:szCs w:val="20"/>
        </w:rPr>
        <w:t xml:space="preserve"> </w:t>
      </w:r>
      <w:r w:rsidRPr="00823384">
        <w:rPr>
          <w:rFonts w:ascii="Arial" w:hAnsi="Arial" w:cs="Arial"/>
          <w:sz w:val="20"/>
          <w:szCs w:val="20"/>
        </w:rPr>
        <w:t>visual landmarks.</w:t>
      </w:r>
    </w:p>
    <w:p w14:paraId="382CF63D" w14:textId="77777777" w:rsidR="00823384" w:rsidRPr="00823384" w:rsidRDefault="00823384" w:rsidP="009601C2">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251" w:name="AMC1_BOP.BAS.315(b)(1)_Flight_and_naviga"/>
      <w:bookmarkStart w:id="252" w:name="_bookmark112"/>
      <w:bookmarkStart w:id="253" w:name="_Toc153137277"/>
      <w:bookmarkEnd w:id="251"/>
      <w:bookmarkEnd w:id="252"/>
      <w:r w:rsidRPr="00823384">
        <w:rPr>
          <w:rFonts w:ascii="Arial" w:eastAsia="Times New Roman" w:hAnsi="Arial" w:cs="Times New Roman"/>
          <w:b/>
          <w:color w:val="FFFFFF"/>
          <w:sz w:val="24"/>
        </w:rPr>
        <w:t>AMC1 BOP.BAS.315(b)(1) Flight and navigational instruments and associated equipment</w:t>
      </w:r>
      <w:bookmarkEnd w:id="253"/>
    </w:p>
    <w:p w14:paraId="2FEF46B9" w14:textId="77777777" w:rsidR="00823384" w:rsidRPr="00823384" w:rsidRDefault="00823384" w:rsidP="009601C2">
      <w:pPr>
        <w:spacing w:line="276" w:lineRule="auto"/>
        <w:jc w:val="both"/>
        <w:rPr>
          <w:rFonts w:ascii="Arial" w:hAnsi="Arial" w:cs="Arial"/>
          <w:b/>
          <w:sz w:val="20"/>
          <w:szCs w:val="20"/>
        </w:rPr>
      </w:pPr>
      <w:r w:rsidRPr="00823384">
        <w:rPr>
          <w:rFonts w:ascii="Arial" w:hAnsi="Arial" w:cs="Arial"/>
          <w:b/>
          <w:sz w:val="20"/>
          <w:szCs w:val="20"/>
        </w:rPr>
        <w:t>MEANS</w:t>
      </w:r>
      <w:r w:rsidRPr="00823384">
        <w:rPr>
          <w:rFonts w:ascii="Arial" w:hAnsi="Arial" w:cs="Arial"/>
          <w:b/>
          <w:spacing w:val="-3"/>
          <w:sz w:val="20"/>
          <w:szCs w:val="20"/>
        </w:rPr>
        <w:t xml:space="preserve"> </w:t>
      </w:r>
      <w:r w:rsidRPr="00823384">
        <w:rPr>
          <w:rFonts w:ascii="Arial" w:hAnsi="Arial" w:cs="Arial"/>
          <w:b/>
          <w:sz w:val="20"/>
          <w:szCs w:val="20"/>
        </w:rPr>
        <w:t>OF</w:t>
      </w:r>
      <w:r w:rsidRPr="00823384">
        <w:rPr>
          <w:rFonts w:ascii="Arial" w:hAnsi="Arial" w:cs="Arial"/>
          <w:b/>
          <w:spacing w:val="-3"/>
          <w:sz w:val="20"/>
          <w:szCs w:val="20"/>
        </w:rPr>
        <w:t xml:space="preserve"> </w:t>
      </w:r>
      <w:r w:rsidRPr="00823384">
        <w:rPr>
          <w:rFonts w:ascii="Arial" w:hAnsi="Arial" w:cs="Arial"/>
          <w:b/>
          <w:sz w:val="20"/>
          <w:szCs w:val="20"/>
        </w:rPr>
        <w:t>MEASURING</w:t>
      </w:r>
      <w:r w:rsidRPr="00823384">
        <w:rPr>
          <w:rFonts w:ascii="Arial" w:hAnsi="Arial" w:cs="Arial"/>
          <w:b/>
          <w:spacing w:val="-2"/>
          <w:sz w:val="20"/>
          <w:szCs w:val="20"/>
        </w:rPr>
        <w:t xml:space="preserve"> </w:t>
      </w:r>
      <w:r w:rsidRPr="00823384">
        <w:rPr>
          <w:rFonts w:ascii="Arial" w:hAnsi="Arial" w:cs="Arial"/>
          <w:b/>
          <w:sz w:val="20"/>
          <w:szCs w:val="20"/>
        </w:rPr>
        <w:t>AND</w:t>
      </w:r>
      <w:r w:rsidRPr="00823384">
        <w:rPr>
          <w:rFonts w:ascii="Arial" w:hAnsi="Arial" w:cs="Arial"/>
          <w:b/>
          <w:spacing w:val="-1"/>
          <w:sz w:val="20"/>
          <w:szCs w:val="20"/>
        </w:rPr>
        <w:t xml:space="preserve"> </w:t>
      </w:r>
      <w:r w:rsidRPr="00823384">
        <w:rPr>
          <w:rFonts w:ascii="Arial" w:hAnsi="Arial" w:cs="Arial"/>
          <w:b/>
          <w:sz w:val="20"/>
          <w:szCs w:val="20"/>
        </w:rPr>
        <w:t>DISPLAYING</w:t>
      </w:r>
      <w:r w:rsidRPr="00823384">
        <w:rPr>
          <w:rFonts w:ascii="Arial" w:hAnsi="Arial" w:cs="Arial"/>
          <w:b/>
          <w:spacing w:val="-2"/>
          <w:sz w:val="20"/>
          <w:szCs w:val="20"/>
        </w:rPr>
        <w:t xml:space="preserve"> </w:t>
      </w:r>
      <w:r w:rsidRPr="00823384">
        <w:rPr>
          <w:rFonts w:ascii="Arial" w:hAnsi="Arial" w:cs="Arial"/>
          <w:b/>
          <w:sz w:val="20"/>
          <w:szCs w:val="20"/>
        </w:rPr>
        <w:t>THE</w:t>
      </w:r>
      <w:r w:rsidRPr="00823384">
        <w:rPr>
          <w:rFonts w:ascii="Arial" w:hAnsi="Arial" w:cs="Arial"/>
          <w:b/>
          <w:spacing w:val="-4"/>
          <w:sz w:val="20"/>
          <w:szCs w:val="20"/>
        </w:rPr>
        <w:t xml:space="preserve"> </w:t>
      </w:r>
      <w:r w:rsidRPr="00823384">
        <w:rPr>
          <w:rFonts w:ascii="Arial" w:hAnsi="Arial" w:cs="Arial"/>
          <w:b/>
          <w:sz w:val="20"/>
          <w:szCs w:val="20"/>
        </w:rPr>
        <w:t>TIME</w:t>
      </w:r>
    </w:p>
    <w:p w14:paraId="7D924FEC" w14:textId="65DA65BC" w:rsidR="00823384" w:rsidRPr="00943DEA" w:rsidRDefault="00823384" w:rsidP="00943DEA">
      <w:pPr>
        <w:pStyle w:val="BodyText"/>
        <w:spacing w:before="116" w:line="276" w:lineRule="auto"/>
        <w:jc w:val="both"/>
        <w:rPr>
          <w:rFonts w:ascii="Arial" w:hAnsi="Arial" w:cs="Arial"/>
          <w:sz w:val="20"/>
          <w:szCs w:val="20"/>
        </w:rPr>
      </w:pPr>
      <w:r w:rsidRPr="00823384">
        <w:rPr>
          <w:rFonts w:ascii="Arial" w:hAnsi="Arial" w:cs="Arial"/>
          <w:sz w:val="20"/>
          <w:szCs w:val="20"/>
        </w:rPr>
        <w:t>A</w:t>
      </w:r>
      <w:r w:rsidRPr="00823384">
        <w:rPr>
          <w:rFonts w:ascii="Arial" w:hAnsi="Arial" w:cs="Arial"/>
          <w:spacing w:val="13"/>
          <w:sz w:val="20"/>
          <w:szCs w:val="20"/>
        </w:rPr>
        <w:t xml:space="preserve"> </w:t>
      </w:r>
      <w:r w:rsidRPr="00823384">
        <w:rPr>
          <w:rFonts w:ascii="Arial" w:hAnsi="Arial" w:cs="Arial"/>
          <w:sz w:val="20"/>
          <w:szCs w:val="20"/>
        </w:rPr>
        <w:t>means</w:t>
      </w:r>
      <w:r w:rsidRPr="00823384">
        <w:rPr>
          <w:rFonts w:ascii="Arial" w:hAnsi="Arial" w:cs="Arial"/>
          <w:spacing w:val="12"/>
          <w:sz w:val="20"/>
          <w:szCs w:val="20"/>
        </w:rPr>
        <w:t xml:space="preserve"> </w:t>
      </w:r>
      <w:r w:rsidRPr="00823384">
        <w:rPr>
          <w:rFonts w:ascii="Arial" w:hAnsi="Arial" w:cs="Arial"/>
          <w:sz w:val="20"/>
          <w:szCs w:val="20"/>
        </w:rPr>
        <w:t>of</w:t>
      </w:r>
      <w:r w:rsidRPr="00823384">
        <w:rPr>
          <w:rFonts w:ascii="Arial" w:hAnsi="Arial" w:cs="Arial"/>
          <w:spacing w:val="12"/>
          <w:sz w:val="20"/>
          <w:szCs w:val="20"/>
        </w:rPr>
        <w:t xml:space="preserve"> </w:t>
      </w:r>
      <w:r w:rsidRPr="00823384">
        <w:rPr>
          <w:rFonts w:ascii="Arial" w:hAnsi="Arial" w:cs="Arial"/>
          <w:sz w:val="20"/>
          <w:szCs w:val="20"/>
        </w:rPr>
        <w:t>measuring</w:t>
      </w:r>
      <w:r w:rsidRPr="00823384">
        <w:rPr>
          <w:rFonts w:ascii="Arial" w:hAnsi="Arial" w:cs="Arial"/>
          <w:spacing w:val="13"/>
          <w:sz w:val="20"/>
          <w:szCs w:val="20"/>
        </w:rPr>
        <w:t xml:space="preserve"> </w:t>
      </w:r>
      <w:r w:rsidRPr="00823384">
        <w:rPr>
          <w:rFonts w:ascii="Arial" w:hAnsi="Arial" w:cs="Arial"/>
          <w:sz w:val="20"/>
          <w:szCs w:val="20"/>
        </w:rPr>
        <w:t>and</w:t>
      </w:r>
      <w:r w:rsidRPr="00823384">
        <w:rPr>
          <w:rFonts w:ascii="Arial" w:hAnsi="Arial" w:cs="Arial"/>
          <w:spacing w:val="12"/>
          <w:sz w:val="20"/>
          <w:szCs w:val="20"/>
        </w:rPr>
        <w:t xml:space="preserve"> </w:t>
      </w:r>
      <w:r w:rsidRPr="00823384">
        <w:rPr>
          <w:rFonts w:ascii="Arial" w:hAnsi="Arial" w:cs="Arial"/>
          <w:sz w:val="20"/>
          <w:szCs w:val="20"/>
        </w:rPr>
        <w:t>displaying</w:t>
      </w:r>
      <w:r w:rsidRPr="00823384">
        <w:rPr>
          <w:rFonts w:ascii="Arial" w:hAnsi="Arial" w:cs="Arial"/>
          <w:spacing w:val="13"/>
          <w:sz w:val="20"/>
          <w:szCs w:val="20"/>
        </w:rPr>
        <w:t xml:space="preserve"> </w:t>
      </w:r>
      <w:r w:rsidRPr="00823384">
        <w:rPr>
          <w:rFonts w:ascii="Arial" w:hAnsi="Arial" w:cs="Arial"/>
          <w:sz w:val="20"/>
          <w:szCs w:val="20"/>
        </w:rPr>
        <w:t>the</w:t>
      </w:r>
      <w:r w:rsidRPr="00823384">
        <w:rPr>
          <w:rFonts w:ascii="Arial" w:hAnsi="Arial" w:cs="Arial"/>
          <w:spacing w:val="14"/>
          <w:sz w:val="20"/>
          <w:szCs w:val="20"/>
        </w:rPr>
        <w:t xml:space="preserve"> </w:t>
      </w:r>
      <w:r w:rsidRPr="00823384">
        <w:rPr>
          <w:rFonts w:ascii="Arial" w:hAnsi="Arial" w:cs="Arial"/>
          <w:sz w:val="20"/>
          <w:szCs w:val="20"/>
        </w:rPr>
        <w:t>time</w:t>
      </w:r>
      <w:r w:rsidRPr="00823384">
        <w:rPr>
          <w:rFonts w:ascii="Arial" w:hAnsi="Arial" w:cs="Arial"/>
          <w:spacing w:val="15"/>
          <w:sz w:val="20"/>
          <w:szCs w:val="20"/>
        </w:rPr>
        <w:t xml:space="preserve"> </w:t>
      </w:r>
      <w:r w:rsidRPr="00823384">
        <w:rPr>
          <w:rFonts w:ascii="Arial" w:hAnsi="Arial" w:cs="Arial"/>
          <w:sz w:val="20"/>
          <w:szCs w:val="20"/>
        </w:rPr>
        <w:t>in</w:t>
      </w:r>
      <w:r w:rsidRPr="00823384">
        <w:rPr>
          <w:rFonts w:ascii="Arial" w:hAnsi="Arial" w:cs="Arial"/>
          <w:spacing w:val="12"/>
          <w:sz w:val="20"/>
          <w:szCs w:val="20"/>
        </w:rPr>
        <w:t xml:space="preserve"> </w:t>
      </w:r>
      <w:r w:rsidRPr="00823384">
        <w:rPr>
          <w:rFonts w:ascii="Arial" w:hAnsi="Arial" w:cs="Arial"/>
          <w:sz w:val="20"/>
          <w:szCs w:val="20"/>
        </w:rPr>
        <w:t>hours,</w:t>
      </w:r>
      <w:r w:rsidRPr="00823384">
        <w:rPr>
          <w:rFonts w:ascii="Arial" w:hAnsi="Arial" w:cs="Arial"/>
          <w:spacing w:val="14"/>
          <w:sz w:val="20"/>
          <w:szCs w:val="20"/>
        </w:rPr>
        <w:t xml:space="preserve"> </w:t>
      </w:r>
      <w:r w:rsidRPr="00823384">
        <w:rPr>
          <w:rFonts w:ascii="Arial" w:hAnsi="Arial" w:cs="Arial"/>
          <w:sz w:val="20"/>
          <w:szCs w:val="20"/>
        </w:rPr>
        <w:t>minutes</w:t>
      </w:r>
      <w:r w:rsidRPr="00823384">
        <w:rPr>
          <w:rFonts w:ascii="Arial" w:hAnsi="Arial" w:cs="Arial"/>
          <w:spacing w:val="15"/>
          <w:sz w:val="20"/>
          <w:szCs w:val="20"/>
        </w:rPr>
        <w:t xml:space="preserve"> </w:t>
      </w:r>
      <w:r w:rsidRPr="00823384">
        <w:rPr>
          <w:rFonts w:ascii="Arial" w:hAnsi="Arial" w:cs="Arial"/>
          <w:sz w:val="20"/>
          <w:szCs w:val="20"/>
        </w:rPr>
        <w:t>and</w:t>
      </w:r>
      <w:r w:rsidRPr="00823384">
        <w:rPr>
          <w:rFonts w:ascii="Arial" w:hAnsi="Arial" w:cs="Arial"/>
          <w:spacing w:val="13"/>
          <w:sz w:val="20"/>
          <w:szCs w:val="20"/>
        </w:rPr>
        <w:t xml:space="preserve"> </w:t>
      </w:r>
      <w:r w:rsidRPr="00823384">
        <w:rPr>
          <w:rFonts w:ascii="Arial" w:hAnsi="Arial" w:cs="Arial"/>
          <w:sz w:val="20"/>
          <w:szCs w:val="20"/>
        </w:rPr>
        <w:t>seconds</w:t>
      </w:r>
      <w:r w:rsidRPr="00823384">
        <w:rPr>
          <w:rFonts w:ascii="Arial" w:hAnsi="Arial" w:cs="Arial"/>
          <w:spacing w:val="11"/>
          <w:sz w:val="20"/>
          <w:szCs w:val="20"/>
        </w:rPr>
        <w:t xml:space="preserve"> </w:t>
      </w:r>
      <w:r w:rsidRPr="00823384">
        <w:rPr>
          <w:rFonts w:ascii="Arial" w:hAnsi="Arial" w:cs="Arial"/>
          <w:sz w:val="20"/>
          <w:szCs w:val="20"/>
        </w:rPr>
        <w:t>may</w:t>
      </w:r>
      <w:r w:rsidRPr="00823384">
        <w:rPr>
          <w:rFonts w:ascii="Arial" w:hAnsi="Arial" w:cs="Arial"/>
          <w:spacing w:val="15"/>
          <w:sz w:val="20"/>
          <w:szCs w:val="20"/>
        </w:rPr>
        <w:t xml:space="preserve"> </w:t>
      </w:r>
      <w:r w:rsidRPr="00823384">
        <w:rPr>
          <w:rFonts w:ascii="Arial" w:hAnsi="Arial" w:cs="Arial"/>
          <w:sz w:val="20"/>
          <w:szCs w:val="20"/>
        </w:rPr>
        <w:t>be</w:t>
      </w:r>
      <w:r w:rsidRPr="00823384">
        <w:rPr>
          <w:rFonts w:ascii="Arial" w:hAnsi="Arial" w:cs="Arial"/>
          <w:spacing w:val="15"/>
          <w:sz w:val="20"/>
          <w:szCs w:val="20"/>
        </w:rPr>
        <w:t xml:space="preserve"> </w:t>
      </w:r>
      <w:r w:rsidRPr="00823384">
        <w:rPr>
          <w:rFonts w:ascii="Arial" w:hAnsi="Arial" w:cs="Arial"/>
          <w:sz w:val="20"/>
          <w:szCs w:val="20"/>
        </w:rPr>
        <w:t>a</w:t>
      </w:r>
      <w:r w:rsidRPr="00823384">
        <w:rPr>
          <w:rFonts w:ascii="Arial" w:hAnsi="Arial" w:cs="Arial"/>
          <w:spacing w:val="12"/>
          <w:sz w:val="20"/>
          <w:szCs w:val="20"/>
        </w:rPr>
        <w:t xml:space="preserve"> </w:t>
      </w:r>
      <w:r w:rsidRPr="00823384">
        <w:rPr>
          <w:rFonts w:ascii="Arial" w:hAnsi="Arial" w:cs="Arial"/>
          <w:sz w:val="20"/>
          <w:szCs w:val="20"/>
        </w:rPr>
        <w:t>wristwatch</w:t>
      </w:r>
      <w:r w:rsidRPr="00823384">
        <w:rPr>
          <w:rFonts w:ascii="Arial" w:hAnsi="Arial" w:cs="Arial"/>
          <w:spacing w:val="-47"/>
          <w:sz w:val="20"/>
          <w:szCs w:val="20"/>
        </w:rPr>
        <w:t xml:space="preserve"> </w:t>
      </w:r>
      <w:r w:rsidRPr="00823384">
        <w:rPr>
          <w:rFonts w:ascii="Arial" w:hAnsi="Arial" w:cs="Arial"/>
          <w:sz w:val="20"/>
          <w:szCs w:val="20"/>
        </w:rPr>
        <w:t>capable</w:t>
      </w:r>
      <w:r w:rsidRPr="00823384">
        <w:rPr>
          <w:rFonts w:ascii="Arial" w:hAnsi="Arial" w:cs="Arial"/>
          <w:spacing w:val="-1"/>
          <w:sz w:val="20"/>
          <w:szCs w:val="20"/>
        </w:rPr>
        <w:t xml:space="preserve"> </w:t>
      </w:r>
      <w:r w:rsidRPr="00823384">
        <w:rPr>
          <w:rFonts w:ascii="Arial" w:hAnsi="Arial" w:cs="Arial"/>
          <w:sz w:val="20"/>
          <w:szCs w:val="20"/>
        </w:rPr>
        <w:t>of</w:t>
      </w:r>
      <w:r w:rsidRPr="00823384">
        <w:rPr>
          <w:rFonts w:ascii="Arial" w:hAnsi="Arial" w:cs="Arial"/>
          <w:spacing w:val="-3"/>
          <w:sz w:val="20"/>
          <w:szCs w:val="20"/>
        </w:rPr>
        <w:t xml:space="preserve"> </w:t>
      </w:r>
      <w:r w:rsidRPr="00823384">
        <w:rPr>
          <w:rFonts w:ascii="Arial" w:hAnsi="Arial" w:cs="Arial"/>
          <w:sz w:val="20"/>
          <w:szCs w:val="20"/>
        </w:rPr>
        <w:t>the</w:t>
      </w:r>
      <w:r w:rsidRPr="00823384">
        <w:rPr>
          <w:rFonts w:ascii="Arial" w:hAnsi="Arial" w:cs="Arial"/>
          <w:spacing w:val="-2"/>
          <w:sz w:val="20"/>
          <w:szCs w:val="20"/>
        </w:rPr>
        <w:t xml:space="preserve"> </w:t>
      </w:r>
      <w:r w:rsidRPr="00823384">
        <w:rPr>
          <w:rFonts w:ascii="Arial" w:hAnsi="Arial" w:cs="Arial"/>
          <w:sz w:val="20"/>
          <w:szCs w:val="20"/>
        </w:rPr>
        <w:t>same</w:t>
      </w:r>
      <w:r w:rsidRPr="00823384">
        <w:rPr>
          <w:rFonts w:ascii="Arial" w:hAnsi="Arial" w:cs="Arial"/>
          <w:spacing w:val="1"/>
          <w:sz w:val="20"/>
          <w:szCs w:val="20"/>
        </w:rPr>
        <w:t xml:space="preserve"> </w:t>
      </w:r>
      <w:r w:rsidRPr="00823384">
        <w:rPr>
          <w:rFonts w:ascii="Arial" w:hAnsi="Arial" w:cs="Arial"/>
          <w:sz w:val="20"/>
          <w:szCs w:val="20"/>
        </w:rPr>
        <w:t>functions.</w:t>
      </w:r>
    </w:p>
    <w:p w14:paraId="71110E03" w14:textId="77777777" w:rsidR="00F80CA7" w:rsidRPr="00F80CA7" w:rsidRDefault="00F80CA7" w:rsidP="009601C2">
      <w:pPr>
        <w:keepNext/>
        <w:keepLines/>
        <w:widowControl/>
        <w:shd w:val="clear" w:color="auto" w:fill="339966"/>
        <w:autoSpaceDE/>
        <w:autoSpaceDN/>
        <w:spacing w:before="160" w:after="120" w:line="276" w:lineRule="auto"/>
        <w:jc w:val="both"/>
        <w:outlineLvl w:val="4"/>
        <w:rPr>
          <w:rFonts w:ascii="Arial" w:eastAsia="Times New Roman" w:hAnsi="Arial" w:cs="Times New Roman"/>
          <w:b/>
          <w:color w:val="FFFFFF"/>
          <w:sz w:val="24"/>
        </w:rPr>
      </w:pPr>
      <w:bookmarkStart w:id="254" w:name="GM1_BOP.BAS.315(b)(3)_Flight_and_navigat"/>
      <w:bookmarkStart w:id="255" w:name="_bookmark113"/>
      <w:bookmarkStart w:id="256" w:name="_Toc153137278"/>
      <w:bookmarkEnd w:id="254"/>
      <w:bookmarkEnd w:id="255"/>
      <w:r w:rsidRPr="00F80CA7">
        <w:rPr>
          <w:rFonts w:ascii="Arial" w:eastAsia="Times New Roman" w:hAnsi="Arial" w:cs="Times New Roman"/>
          <w:b/>
          <w:color w:val="FFFFFF"/>
          <w:sz w:val="24"/>
        </w:rPr>
        <w:t>GM1 BOP.BAS.315(b)(3) Flight and navigational instruments and associated equipment</w:t>
      </w:r>
      <w:bookmarkEnd w:id="256"/>
    </w:p>
    <w:p w14:paraId="36537DE7" w14:textId="77777777" w:rsidR="00EC08A5" w:rsidRPr="00EC08A5" w:rsidRDefault="00EC08A5" w:rsidP="009601C2">
      <w:pPr>
        <w:pStyle w:val="BodyText"/>
        <w:spacing w:before="119" w:line="276" w:lineRule="auto"/>
        <w:ind w:right="198"/>
        <w:jc w:val="both"/>
        <w:rPr>
          <w:rFonts w:ascii="Arial" w:hAnsi="Arial" w:cs="Arial"/>
          <w:b/>
          <w:sz w:val="20"/>
        </w:rPr>
      </w:pPr>
      <w:r w:rsidRPr="00EC08A5">
        <w:rPr>
          <w:rFonts w:ascii="Arial" w:hAnsi="Arial" w:cs="Arial"/>
          <w:b/>
          <w:sz w:val="20"/>
        </w:rPr>
        <w:t>MEANS OF MEASURING AND DISPLAYING PRESSURE ALTITUDE</w:t>
      </w:r>
    </w:p>
    <w:p w14:paraId="3C11E7A7" w14:textId="77777777" w:rsidR="00F80CA7" w:rsidRPr="00EC08A5" w:rsidRDefault="00F80CA7" w:rsidP="009601C2">
      <w:pPr>
        <w:pStyle w:val="BodyText"/>
        <w:spacing w:before="119" w:line="276" w:lineRule="auto"/>
        <w:ind w:right="198"/>
        <w:jc w:val="both"/>
        <w:rPr>
          <w:rFonts w:ascii="Arial" w:hAnsi="Arial" w:cs="Arial"/>
          <w:sz w:val="20"/>
        </w:rPr>
      </w:pPr>
      <w:r w:rsidRPr="00F80CA7">
        <w:rPr>
          <w:rFonts w:ascii="Arial" w:hAnsi="Arial" w:cs="Arial"/>
          <w:sz w:val="20"/>
        </w:rPr>
        <w:t>A means of measuring and displaying pressure altitude is needed when required by air traffic control</w:t>
      </w:r>
      <w:r w:rsidRPr="00F80CA7">
        <w:rPr>
          <w:rFonts w:ascii="Arial" w:hAnsi="Arial" w:cs="Arial"/>
          <w:spacing w:val="-47"/>
          <w:sz w:val="20"/>
        </w:rPr>
        <w:t xml:space="preserve"> </w:t>
      </w:r>
      <w:r w:rsidRPr="00F80CA7">
        <w:rPr>
          <w:rFonts w:ascii="Arial" w:hAnsi="Arial" w:cs="Arial"/>
          <w:sz w:val="20"/>
        </w:rPr>
        <w:t>or when altitude needs to be checked for flights where oxygen is used, or the limitations in the AFM</w:t>
      </w:r>
      <w:r w:rsidRPr="00F80CA7">
        <w:rPr>
          <w:rFonts w:ascii="Arial" w:hAnsi="Arial" w:cs="Arial"/>
          <w:spacing w:val="1"/>
          <w:sz w:val="20"/>
        </w:rPr>
        <w:t xml:space="preserve"> </w:t>
      </w:r>
      <w:r w:rsidRPr="00F80CA7">
        <w:rPr>
          <w:rFonts w:ascii="Arial" w:hAnsi="Arial" w:cs="Arial"/>
          <w:sz w:val="20"/>
        </w:rPr>
        <w:t>require</w:t>
      </w:r>
      <w:r w:rsidRPr="00F80CA7">
        <w:rPr>
          <w:rFonts w:ascii="Arial" w:hAnsi="Arial" w:cs="Arial"/>
          <w:spacing w:val="-1"/>
          <w:sz w:val="20"/>
        </w:rPr>
        <w:t xml:space="preserve"> </w:t>
      </w:r>
      <w:r w:rsidRPr="00F80CA7">
        <w:rPr>
          <w:rFonts w:ascii="Arial" w:hAnsi="Arial" w:cs="Arial"/>
          <w:sz w:val="20"/>
        </w:rPr>
        <w:t>to</w:t>
      </w:r>
      <w:r w:rsidRPr="00F80CA7">
        <w:rPr>
          <w:rFonts w:ascii="Arial" w:hAnsi="Arial" w:cs="Arial"/>
          <w:spacing w:val="1"/>
          <w:sz w:val="20"/>
        </w:rPr>
        <w:t xml:space="preserve"> </w:t>
      </w:r>
      <w:r w:rsidRPr="00F80CA7">
        <w:rPr>
          <w:rFonts w:ascii="Arial" w:hAnsi="Arial" w:cs="Arial"/>
          <w:sz w:val="20"/>
        </w:rPr>
        <w:t>limit altitude</w:t>
      </w:r>
      <w:r w:rsidRPr="00F80CA7">
        <w:rPr>
          <w:rFonts w:ascii="Arial" w:hAnsi="Arial" w:cs="Arial"/>
          <w:spacing w:val="-2"/>
          <w:sz w:val="20"/>
        </w:rPr>
        <w:t xml:space="preserve"> </w:t>
      </w:r>
      <w:r w:rsidRPr="00F80CA7">
        <w:rPr>
          <w:rFonts w:ascii="Arial" w:hAnsi="Arial" w:cs="Arial"/>
          <w:sz w:val="20"/>
        </w:rPr>
        <w:t>or</w:t>
      </w:r>
      <w:r w:rsidRPr="00F80CA7">
        <w:rPr>
          <w:rFonts w:ascii="Arial" w:hAnsi="Arial" w:cs="Arial"/>
          <w:spacing w:val="-2"/>
          <w:sz w:val="20"/>
        </w:rPr>
        <w:t xml:space="preserve"> </w:t>
      </w:r>
      <w:r w:rsidRPr="00F80CA7">
        <w:rPr>
          <w:rFonts w:ascii="Arial" w:hAnsi="Arial" w:cs="Arial"/>
          <w:sz w:val="20"/>
        </w:rPr>
        <w:t>rate</w:t>
      </w:r>
      <w:r w:rsidRPr="00F80CA7">
        <w:rPr>
          <w:rFonts w:ascii="Arial" w:hAnsi="Arial" w:cs="Arial"/>
          <w:spacing w:val="-2"/>
          <w:sz w:val="20"/>
        </w:rPr>
        <w:t xml:space="preserve"> </w:t>
      </w:r>
      <w:r w:rsidRPr="00F80CA7">
        <w:rPr>
          <w:rFonts w:ascii="Arial" w:hAnsi="Arial" w:cs="Arial"/>
          <w:sz w:val="20"/>
        </w:rPr>
        <w:t>of climb</w:t>
      </w:r>
      <w:r w:rsidRPr="00F80CA7">
        <w:rPr>
          <w:rFonts w:ascii="Arial" w:hAnsi="Arial" w:cs="Arial"/>
          <w:spacing w:val="-3"/>
          <w:sz w:val="20"/>
        </w:rPr>
        <w:t xml:space="preserve"> </w:t>
      </w:r>
      <w:r w:rsidRPr="00F80CA7">
        <w:rPr>
          <w:rFonts w:ascii="Arial" w:hAnsi="Arial" w:cs="Arial"/>
          <w:sz w:val="20"/>
        </w:rPr>
        <w:t>or descent.</w:t>
      </w:r>
    </w:p>
    <w:p w14:paraId="15F0B841" w14:textId="77777777" w:rsidR="00EC08A5" w:rsidRPr="00EC08A5" w:rsidRDefault="00EC08A5"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257" w:name="BOP.BAS.320_Restraint_systems"/>
      <w:bookmarkStart w:id="258" w:name="_bookmark114"/>
      <w:bookmarkStart w:id="259" w:name="_Toc153137279"/>
      <w:bookmarkEnd w:id="257"/>
      <w:bookmarkEnd w:id="258"/>
      <w:r w:rsidRPr="00EC08A5">
        <w:rPr>
          <w:rFonts w:ascii="Arial" w:eastAsia="Times New Roman" w:hAnsi="Arial" w:cs="Times New Roman"/>
          <w:b/>
          <w:iCs/>
          <w:color w:val="FFFFFF"/>
          <w:sz w:val="24"/>
        </w:rPr>
        <w:t>BOP.BAS.320 Restraint systems</w:t>
      </w:r>
      <w:bookmarkEnd w:id="259"/>
    </w:p>
    <w:p w14:paraId="4ED94D22" w14:textId="77777777" w:rsidR="00EC08A5" w:rsidRPr="00EC08A5" w:rsidRDefault="00EC08A5" w:rsidP="009601C2">
      <w:pPr>
        <w:spacing w:line="276" w:lineRule="auto"/>
        <w:jc w:val="both"/>
        <w:rPr>
          <w:rFonts w:ascii="Arial" w:eastAsia="Times New Roman" w:hAnsi="Arial" w:cs="Times New Roman"/>
          <w:sz w:val="20"/>
        </w:rPr>
      </w:pPr>
      <w:r w:rsidRPr="00EC08A5">
        <w:rPr>
          <w:rFonts w:ascii="Arial" w:eastAsia="Times New Roman" w:hAnsi="Arial" w:cs="Times New Roman"/>
          <w:sz w:val="20"/>
        </w:rPr>
        <w:t>Balloons shall be equipped with a restraint system for the pilot-in-command when the balloon is equipped with one of the following:</w:t>
      </w:r>
    </w:p>
    <w:p w14:paraId="0171020C" w14:textId="77777777" w:rsidR="00EC08A5" w:rsidRPr="00EC08A5" w:rsidRDefault="00EC08A5" w:rsidP="009601C2">
      <w:pPr>
        <w:numPr>
          <w:ilvl w:val="0"/>
          <w:numId w:val="66"/>
        </w:numPr>
        <w:spacing w:line="276" w:lineRule="auto"/>
        <w:jc w:val="both"/>
        <w:rPr>
          <w:rFonts w:ascii="Arial" w:eastAsia="Times New Roman" w:hAnsi="Arial" w:cs="Times New Roman"/>
          <w:sz w:val="20"/>
        </w:rPr>
      </w:pPr>
      <w:r w:rsidRPr="00EC08A5">
        <w:rPr>
          <w:rFonts w:ascii="Arial" w:eastAsia="Times New Roman" w:hAnsi="Arial" w:cs="Times New Roman"/>
          <w:sz w:val="20"/>
        </w:rPr>
        <w:t>a separate compartment for the pilot-in-command;</w:t>
      </w:r>
    </w:p>
    <w:p w14:paraId="25938C00" w14:textId="4D042027" w:rsidR="00EC08A5" w:rsidRPr="00943DEA" w:rsidRDefault="00EC08A5" w:rsidP="009601C2">
      <w:pPr>
        <w:numPr>
          <w:ilvl w:val="0"/>
          <w:numId w:val="66"/>
        </w:numPr>
        <w:spacing w:line="276" w:lineRule="auto"/>
        <w:jc w:val="both"/>
        <w:rPr>
          <w:rFonts w:ascii="Arial" w:eastAsia="Times New Roman" w:hAnsi="Arial" w:cs="Times New Roman"/>
          <w:sz w:val="20"/>
        </w:rPr>
      </w:pPr>
      <w:r w:rsidRPr="00EC08A5">
        <w:rPr>
          <w:rFonts w:ascii="Arial" w:eastAsia="Times New Roman" w:hAnsi="Arial" w:cs="Times New Roman"/>
          <w:sz w:val="20"/>
        </w:rPr>
        <w:t>turning vent(s).</w:t>
      </w:r>
    </w:p>
    <w:p w14:paraId="286EB4DE" w14:textId="77777777" w:rsidR="00F9103D" w:rsidRPr="00F9103D" w:rsidRDefault="00F9103D" w:rsidP="009601C2">
      <w:pPr>
        <w:keepNext/>
        <w:keepLines/>
        <w:widowControl/>
        <w:shd w:val="clear" w:color="auto" w:fill="339966"/>
        <w:autoSpaceDE/>
        <w:autoSpaceDN/>
        <w:spacing w:before="160" w:after="120" w:line="276" w:lineRule="auto"/>
        <w:jc w:val="both"/>
        <w:outlineLvl w:val="4"/>
        <w:rPr>
          <w:rFonts w:ascii="Arial" w:eastAsia="Times New Roman" w:hAnsi="Arial" w:cs="Times New Roman"/>
          <w:b/>
          <w:color w:val="FFFFFF"/>
          <w:sz w:val="24"/>
        </w:rPr>
      </w:pPr>
      <w:bookmarkStart w:id="260" w:name="GM1_BOP.BAS.320_Restraint_system"/>
      <w:bookmarkStart w:id="261" w:name="_bookmark115"/>
      <w:bookmarkStart w:id="262" w:name="_Toc153137280"/>
      <w:bookmarkEnd w:id="260"/>
      <w:bookmarkEnd w:id="261"/>
      <w:r w:rsidRPr="00F9103D">
        <w:rPr>
          <w:rFonts w:ascii="Arial" w:eastAsia="Times New Roman" w:hAnsi="Arial" w:cs="Times New Roman"/>
          <w:b/>
          <w:color w:val="FFFFFF"/>
          <w:sz w:val="24"/>
        </w:rPr>
        <w:t>GM1 BOP.BAS.320 Restraint system</w:t>
      </w:r>
      <w:bookmarkEnd w:id="262"/>
    </w:p>
    <w:p w14:paraId="3A1D6C76" w14:textId="77777777" w:rsidR="00F9103D" w:rsidRPr="00276D5E" w:rsidRDefault="00F9103D" w:rsidP="009601C2">
      <w:pPr>
        <w:pStyle w:val="BodyText"/>
        <w:spacing w:before="119" w:line="276" w:lineRule="auto"/>
        <w:ind w:right="198"/>
        <w:jc w:val="both"/>
        <w:rPr>
          <w:rFonts w:ascii="Arial" w:hAnsi="Arial" w:cs="Arial"/>
          <w:b/>
          <w:sz w:val="20"/>
        </w:rPr>
      </w:pPr>
      <w:r w:rsidRPr="00276D5E">
        <w:rPr>
          <w:rFonts w:ascii="Arial" w:hAnsi="Arial" w:cs="Arial"/>
          <w:b/>
          <w:sz w:val="20"/>
        </w:rPr>
        <w:t>EQUIPMENT</w:t>
      </w:r>
      <w:r w:rsidRPr="00F9103D">
        <w:rPr>
          <w:rFonts w:ascii="Arial" w:hAnsi="Arial" w:cs="Arial"/>
          <w:b/>
          <w:sz w:val="20"/>
        </w:rPr>
        <w:t xml:space="preserve"> </w:t>
      </w:r>
      <w:r w:rsidRPr="00276D5E">
        <w:rPr>
          <w:rFonts w:ascii="Arial" w:hAnsi="Arial" w:cs="Arial"/>
          <w:b/>
          <w:sz w:val="20"/>
        </w:rPr>
        <w:t>REQUIREMENTS</w:t>
      </w:r>
    </w:p>
    <w:p w14:paraId="15D6AD1B" w14:textId="77777777" w:rsidR="00F9103D" w:rsidRPr="00F9103D" w:rsidRDefault="00F9103D" w:rsidP="009601C2">
      <w:pPr>
        <w:pStyle w:val="BodyText"/>
        <w:spacing w:before="119" w:line="276" w:lineRule="auto"/>
        <w:ind w:right="198"/>
        <w:jc w:val="both"/>
        <w:rPr>
          <w:rFonts w:ascii="Arial" w:hAnsi="Arial" w:cs="Arial"/>
          <w:sz w:val="20"/>
        </w:rPr>
      </w:pPr>
      <w:r w:rsidRPr="00F9103D">
        <w:rPr>
          <w:rFonts w:ascii="Arial" w:hAnsi="Arial" w:cs="Arial"/>
          <w:sz w:val="20"/>
        </w:rPr>
        <w:t>A pilot restraint harness mounted to the basket is considered to meet the requirements of CS- 31HB/CS-31GB for a restraint system.</w:t>
      </w:r>
    </w:p>
    <w:p w14:paraId="67BBAE29" w14:textId="77777777" w:rsidR="00F9103D" w:rsidRPr="00F9103D" w:rsidRDefault="00F9103D"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263" w:name="BOP.BAS.325_Supplemental_oxygen"/>
      <w:bookmarkStart w:id="264" w:name="_bookmark116"/>
      <w:bookmarkStart w:id="265" w:name="_Toc153137281"/>
      <w:bookmarkEnd w:id="263"/>
      <w:bookmarkEnd w:id="264"/>
      <w:r w:rsidRPr="00F9103D">
        <w:rPr>
          <w:rFonts w:ascii="Arial" w:eastAsia="Times New Roman" w:hAnsi="Arial" w:cs="Times New Roman"/>
          <w:b/>
          <w:iCs/>
          <w:color w:val="FFFFFF"/>
          <w:sz w:val="24"/>
        </w:rPr>
        <w:t>BOP.BAS.325 Supplemental oxygen</w:t>
      </w:r>
      <w:bookmarkEnd w:id="265"/>
    </w:p>
    <w:p w14:paraId="2615546E" w14:textId="4D7F3B5B" w:rsidR="00F9103D" w:rsidRPr="00F9103D" w:rsidRDefault="00F9103D" w:rsidP="009601C2">
      <w:pPr>
        <w:pStyle w:val="BodyText"/>
        <w:spacing w:before="119" w:line="276" w:lineRule="auto"/>
        <w:ind w:right="198"/>
        <w:jc w:val="both"/>
        <w:rPr>
          <w:rFonts w:ascii="Arial" w:hAnsi="Arial" w:cs="Arial"/>
          <w:sz w:val="20"/>
        </w:rPr>
      </w:pPr>
      <w:r w:rsidRPr="00F9103D">
        <w:rPr>
          <w:rFonts w:ascii="Arial" w:hAnsi="Arial" w:cs="Arial"/>
          <w:sz w:val="20"/>
        </w:rPr>
        <w:t xml:space="preserve">Balloons operated when an oxygen supply is required in accordance with point </w:t>
      </w:r>
      <w:r w:rsidRPr="00727768">
        <w:rPr>
          <w:rFonts w:ascii="Arial" w:hAnsi="Arial" w:cs="Arial"/>
          <w:sz w:val="20"/>
        </w:rPr>
        <w:t>BOP.BAS.180</w:t>
      </w:r>
      <w:r w:rsidRPr="00F9103D">
        <w:rPr>
          <w:rFonts w:ascii="Arial" w:hAnsi="Arial" w:cs="Arial"/>
          <w:sz w:val="20"/>
        </w:rPr>
        <w:t xml:space="preserve"> shall be equipped with oxygen storage and dispensing apparatus capable of storing and dispensing the required oxygen supplies.</w:t>
      </w:r>
    </w:p>
    <w:p w14:paraId="1B54CB44" w14:textId="77777777" w:rsidR="00F9103D" w:rsidRPr="00F9103D" w:rsidRDefault="00F9103D"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266" w:name="BOP.BAS.330_First-aid_kit"/>
      <w:bookmarkStart w:id="267" w:name="_bookmark117"/>
      <w:bookmarkStart w:id="268" w:name="_Toc153137282"/>
      <w:bookmarkEnd w:id="266"/>
      <w:bookmarkEnd w:id="267"/>
      <w:r w:rsidRPr="00F9103D">
        <w:rPr>
          <w:rFonts w:ascii="Arial" w:eastAsia="Times New Roman" w:hAnsi="Arial" w:cs="Times New Roman"/>
          <w:b/>
          <w:iCs/>
          <w:color w:val="FFFFFF"/>
          <w:sz w:val="24"/>
        </w:rPr>
        <w:t>BOP.BAS.330 First-aid kit</w:t>
      </w:r>
      <w:bookmarkEnd w:id="268"/>
    </w:p>
    <w:p w14:paraId="1F06B83C" w14:textId="77777777" w:rsidR="00F9103D" w:rsidRPr="00CB49B6" w:rsidRDefault="00F9103D" w:rsidP="009601C2">
      <w:pPr>
        <w:pStyle w:val="ListParagraph"/>
        <w:numPr>
          <w:ilvl w:val="0"/>
          <w:numId w:val="67"/>
        </w:numPr>
        <w:tabs>
          <w:tab w:val="left" w:pos="706"/>
          <w:tab w:val="left" w:pos="707"/>
        </w:tabs>
        <w:spacing w:before="0" w:line="276" w:lineRule="auto"/>
        <w:jc w:val="both"/>
        <w:rPr>
          <w:rFonts w:ascii="Arial" w:hAnsi="Arial" w:cs="Arial"/>
          <w:sz w:val="20"/>
        </w:rPr>
      </w:pPr>
      <w:r w:rsidRPr="00CB49B6">
        <w:rPr>
          <w:rFonts w:ascii="Arial" w:hAnsi="Arial" w:cs="Arial"/>
          <w:sz w:val="20"/>
        </w:rPr>
        <w:t>Balloons</w:t>
      </w:r>
      <w:r w:rsidRPr="00CB49B6">
        <w:rPr>
          <w:rFonts w:ascii="Arial" w:hAnsi="Arial" w:cs="Arial"/>
          <w:spacing w:val="-4"/>
          <w:sz w:val="20"/>
        </w:rPr>
        <w:t xml:space="preserve"> </w:t>
      </w:r>
      <w:r w:rsidRPr="00CB49B6">
        <w:rPr>
          <w:rFonts w:ascii="Arial" w:hAnsi="Arial" w:cs="Arial"/>
          <w:sz w:val="20"/>
        </w:rPr>
        <w:t>shall be</w:t>
      </w:r>
      <w:r w:rsidRPr="00CB49B6">
        <w:rPr>
          <w:rFonts w:ascii="Arial" w:hAnsi="Arial" w:cs="Arial"/>
          <w:spacing w:val="-2"/>
          <w:sz w:val="20"/>
        </w:rPr>
        <w:t xml:space="preserve"> </w:t>
      </w:r>
      <w:r w:rsidRPr="00CB49B6">
        <w:rPr>
          <w:rFonts w:ascii="Arial" w:hAnsi="Arial" w:cs="Arial"/>
          <w:sz w:val="20"/>
        </w:rPr>
        <w:t>equipped</w:t>
      </w:r>
      <w:r w:rsidRPr="00CB49B6">
        <w:rPr>
          <w:rFonts w:ascii="Arial" w:hAnsi="Arial" w:cs="Arial"/>
          <w:spacing w:val="-2"/>
          <w:sz w:val="20"/>
        </w:rPr>
        <w:t xml:space="preserve"> </w:t>
      </w:r>
      <w:r w:rsidRPr="00CB49B6">
        <w:rPr>
          <w:rFonts w:ascii="Arial" w:hAnsi="Arial" w:cs="Arial"/>
          <w:sz w:val="20"/>
        </w:rPr>
        <w:t>with a</w:t>
      </w:r>
      <w:r w:rsidRPr="00CB49B6">
        <w:rPr>
          <w:rFonts w:ascii="Arial" w:hAnsi="Arial" w:cs="Arial"/>
          <w:spacing w:val="-1"/>
          <w:sz w:val="20"/>
        </w:rPr>
        <w:t xml:space="preserve"> </w:t>
      </w:r>
      <w:r w:rsidRPr="00CB49B6">
        <w:rPr>
          <w:rFonts w:ascii="Arial" w:hAnsi="Arial" w:cs="Arial"/>
          <w:sz w:val="20"/>
        </w:rPr>
        <w:t>first-aid</w:t>
      </w:r>
      <w:r w:rsidRPr="00CB49B6">
        <w:rPr>
          <w:rFonts w:ascii="Arial" w:hAnsi="Arial" w:cs="Arial"/>
          <w:spacing w:val="-2"/>
          <w:sz w:val="20"/>
        </w:rPr>
        <w:t xml:space="preserve"> </w:t>
      </w:r>
      <w:r w:rsidRPr="00CB49B6">
        <w:rPr>
          <w:rFonts w:ascii="Arial" w:hAnsi="Arial" w:cs="Arial"/>
          <w:sz w:val="20"/>
        </w:rPr>
        <w:t>kit.</w:t>
      </w:r>
    </w:p>
    <w:p w14:paraId="5FD6A90A" w14:textId="77777777" w:rsidR="00F9103D" w:rsidRPr="00CB49B6" w:rsidRDefault="00F9103D" w:rsidP="009601C2">
      <w:pPr>
        <w:pStyle w:val="ListParagraph"/>
        <w:numPr>
          <w:ilvl w:val="0"/>
          <w:numId w:val="67"/>
        </w:numPr>
        <w:tabs>
          <w:tab w:val="left" w:pos="706"/>
          <w:tab w:val="left" w:pos="707"/>
        </w:tabs>
        <w:spacing w:line="276" w:lineRule="auto"/>
        <w:jc w:val="both"/>
        <w:rPr>
          <w:rFonts w:ascii="Arial" w:hAnsi="Arial" w:cs="Arial"/>
          <w:sz w:val="20"/>
        </w:rPr>
      </w:pPr>
      <w:r w:rsidRPr="00CB49B6">
        <w:rPr>
          <w:rFonts w:ascii="Arial" w:hAnsi="Arial" w:cs="Arial"/>
          <w:sz w:val="20"/>
        </w:rPr>
        <w:t>The</w:t>
      </w:r>
      <w:r w:rsidRPr="00CB49B6">
        <w:rPr>
          <w:rFonts w:ascii="Arial" w:hAnsi="Arial" w:cs="Arial"/>
          <w:spacing w:val="-1"/>
          <w:sz w:val="20"/>
        </w:rPr>
        <w:t xml:space="preserve"> </w:t>
      </w:r>
      <w:r w:rsidRPr="00CB49B6">
        <w:rPr>
          <w:rFonts w:ascii="Arial" w:hAnsi="Arial" w:cs="Arial"/>
          <w:sz w:val="20"/>
        </w:rPr>
        <w:t>first-aid</w:t>
      </w:r>
      <w:r w:rsidRPr="00CB49B6">
        <w:rPr>
          <w:rFonts w:ascii="Arial" w:hAnsi="Arial" w:cs="Arial"/>
          <w:spacing w:val="-5"/>
          <w:sz w:val="20"/>
        </w:rPr>
        <w:t xml:space="preserve"> </w:t>
      </w:r>
      <w:r w:rsidRPr="00CB49B6">
        <w:rPr>
          <w:rFonts w:ascii="Arial" w:hAnsi="Arial" w:cs="Arial"/>
          <w:sz w:val="20"/>
        </w:rPr>
        <w:t>kit shall</w:t>
      </w:r>
      <w:r w:rsidRPr="00CB49B6">
        <w:rPr>
          <w:rFonts w:ascii="Arial" w:hAnsi="Arial" w:cs="Arial"/>
          <w:spacing w:val="-4"/>
          <w:sz w:val="20"/>
        </w:rPr>
        <w:t xml:space="preserve"> </w:t>
      </w:r>
      <w:r w:rsidRPr="00CB49B6">
        <w:rPr>
          <w:rFonts w:ascii="Arial" w:hAnsi="Arial" w:cs="Arial"/>
          <w:sz w:val="20"/>
        </w:rPr>
        <w:t>be:</w:t>
      </w:r>
    </w:p>
    <w:p w14:paraId="491FDD44" w14:textId="77777777" w:rsidR="00F9103D" w:rsidRPr="00CB49B6" w:rsidRDefault="00F9103D" w:rsidP="009601C2">
      <w:pPr>
        <w:pStyle w:val="ListParagraph"/>
        <w:numPr>
          <w:ilvl w:val="1"/>
          <w:numId w:val="67"/>
        </w:numPr>
        <w:tabs>
          <w:tab w:val="left" w:pos="1273"/>
          <w:tab w:val="left" w:pos="1274"/>
        </w:tabs>
        <w:spacing w:before="118" w:line="276" w:lineRule="auto"/>
        <w:ind w:hanging="568"/>
        <w:jc w:val="both"/>
        <w:rPr>
          <w:rFonts w:ascii="Arial" w:hAnsi="Arial" w:cs="Arial"/>
          <w:sz w:val="20"/>
        </w:rPr>
      </w:pPr>
      <w:r w:rsidRPr="00CB49B6">
        <w:rPr>
          <w:rFonts w:ascii="Arial" w:hAnsi="Arial" w:cs="Arial"/>
          <w:sz w:val="20"/>
        </w:rPr>
        <w:t>readily</w:t>
      </w:r>
      <w:r w:rsidRPr="00CB49B6">
        <w:rPr>
          <w:rFonts w:ascii="Arial" w:hAnsi="Arial" w:cs="Arial"/>
          <w:spacing w:val="-2"/>
          <w:sz w:val="20"/>
        </w:rPr>
        <w:t xml:space="preserve"> </w:t>
      </w:r>
      <w:r w:rsidRPr="00CB49B6">
        <w:rPr>
          <w:rFonts w:ascii="Arial" w:hAnsi="Arial" w:cs="Arial"/>
          <w:sz w:val="20"/>
        </w:rPr>
        <w:t>accessible</w:t>
      </w:r>
      <w:r w:rsidRPr="00CB49B6">
        <w:rPr>
          <w:rFonts w:ascii="Arial" w:hAnsi="Arial" w:cs="Arial"/>
          <w:spacing w:val="-4"/>
          <w:sz w:val="20"/>
        </w:rPr>
        <w:t xml:space="preserve"> </w:t>
      </w:r>
      <w:r w:rsidRPr="00CB49B6">
        <w:rPr>
          <w:rFonts w:ascii="Arial" w:hAnsi="Arial" w:cs="Arial"/>
          <w:sz w:val="20"/>
        </w:rPr>
        <w:t>for</w:t>
      </w:r>
      <w:r w:rsidRPr="00CB49B6">
        <w:rPr>
          <w:rFonts w:ascii="Arial" w:hAnsi="Arial" w:cs="Arial"/>
          <w:spacing w:val="-4"/>
          <w:sz w:val="20"/>
        </w:rPr>
        <w:t xml:space="preserve"> </w:t>
      </w:r>
      <w:r w:rsidRPr="00CB49B6">
        <w:rPr>
          <w:rFonts w:ascii="Arial" w:hAnsi="Arial" w:cs="Arial"/>
          <w:sz w:val="20"/>
        </w:rPr>
        <w:t>use;</w:t>
      </w:r>
      <w:r w:rsidRPr="00CB49B6">
        <w:rPr>
          <w:rFonts w:ascii="Arial" w:hAnsi="Arial" w:cs="Arial"/>
          <w:spacing w:val="-2"/>
          <w:sz w:val="20"/>
        </w:rPr>
        <w:t xml:space="preserve"> </w:t>
      </w:r>
      <w:r w:rsidRPr="00CB49B6">
        <w:rPr>
          <w:rFonts w:ascii="Arial" w:hAnsi="Arial" w:cs="Arial"/>
          <w:sz w:val="20"/>
        </w:rPr>
        <w:t>and</w:t>
      </w:r>
    </w:p>
    <w:p w14:paraId="33B36FF1" w14:textId="1849985A" w:rsidR="00F9103D" w:rsidRPr="00943DEA" w:rsidRDefault="00F9103D" w:rsidP="009601C2">
      <w:pPr>
        <w:pStyle w:val="ListParagraph"/>
        <w:numPr>
          <w:ilvl w:val="1"/>
          <w:numId w:val="67"/>
        </w:numPr>
        <w:tabs>
          <w:tab w:val="left" w:pos="1273"/>
          <w:tab w:val="left" w:pos="1274"/>
        </w:tabs>
        <w:spacing w:line="276" w:lineRule="auto"/>
        <w:ind w:hanging="568"/>
        <w:jc w:val="both"/>
        <w:rPr>
          <w:rFonts w:ascii="Arial" w:hAnsi="Arial" w:cs="Arial"/>
          <w:sz w:val="20"/>
        </w:rPr>
      </w:pPr>
      <w:r w:rsidRPr="00CB49B6">
        <w:rPr>
          <w:rFonts w:ascii="Arial" w:hAnsi="Arial" w:cs="Arial"/>
          <w:sz w:val="20"/>
        </w:rPr>
        <w:t>kept up-to-date.</w:t>
      </w:r>
    </w:p>
    <w:p w14:paraId="05DA3F4E" w14:textId="77777777" w:rsidR="00CA7DE9" w:rsidRPr="00CA7DE9" w:rsidRDefault="00CA7DE9" w:rsidP="009601C2">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269" w:name="AMC1_BOP.BAS.330_First-aid_kit"/>
      <w:bookmarkStart w:id="270" w:name="_bookmark118"/>
      <w:bookmarkStart w:id="271" w:name="_Toc153137283"/>
      <w:bookmarkEnd w:id="269"/>
      <w:bookmarkEnd w:id="270"/>
      <w:r w:rsidRPr="00CA7DE9">
        <w:rPr>
          <w:rFonts w:ascii="Arial" w:eastAsia="Times New Roman" w:hAnsi="Arial" w:cs="Times New Roman"/>
          <w:b/>
          <w:color w:val="FFFFFF"/>
          <w:sz w:val="24"/>
        </w:rPr>
        <w:lastRenderedPageBreak/>
        <w:t>AMC1 BOP.BAS.330 First-aid kit</w:t>
      </w:r>
      <w:bookmarkEnd w:id="271"/>
    </w:p>
    <w:p w14:paraId="4B0B9192" w14:textId="5A666A91" w:rsidR="00CA7DE9" w:rsidRPr="00943DEA" w:rsidRDefault="00CA7DE9" w:rsidP="009601C2">
      <w:pPr>
        <w:spacing w:line="276" w:lineRule="auto"/>
        <w:jc w:val="both"/>
        <w:rPr>
          <w:rFonts w:ascii="Arial" w:hAnsi="Arial" w:cs="Arial"/>
          <w:b/>
          <w:sz w:val="20"/>
        </w:rPr>
      </w:pPr>
      <w:r w:rsidRPr="00276D5E">
        <w:rPr>
          <w:rFonts w:ascii="Arial" w:hAnsi="Arial" w:cs="Arial"/>
          <w:b/>
          <w:sz w:val="20"/>
        </w:rPr>
        <w:t>CONTENT</w:t>
      </w:r>
      <w:r w:rsidRPr="00276D5E">
        <w:rPr>
          <w:rFonts w:ascii="Arial" w:hAnsi="Arial" w:cs="Arial"/>
          <w:b/>
          <w:spacing w:val="-1"/>
          <w:sz w:val="20"/>
        </w:rPr>
        <w:t xml:space="preserve"> </w:t>
      </w:r>
      <w:r w:rsidRPr="00276D5E">
        <w:rPr>
          <w:rFonts w:ascii="Arial" w:hAnsi="Arial" w:cs="Arial"/>
          <w:b/>
          <w:sz w:val="20"/>
        </w:rPr>
        <w:t>OF</w:t>
      </w:r>
      <w:r w:rsidRPr="00276D5E">
        <w:rPr>
          <w:rFonts w:ascii="Arial" w:hAnsi="Arial" w:cs="Arial"/>
          <w:b/>
          <w:spacing w:val="-3"/>
          <w:sz w:val="20"/>
        </w:rPr>
        <w:t xml:space="preserve"> </w:t>
      </w:r>
      <w:r w:rsidRPr="00276D5E">
        <w:rPr>
          <w:rFonts w:ascii="Arial" w:hAnsi="Arial" w:cs="Arial"/>
          <w:b/>
          <w:sz w:val="20"/>
        </w:rPr>
        <w:t>THE</w:t>
      </w:r>
      <w:r w:rsidRPr="00276D5E">
        <w:rPr>
          <w:rFonts w:ascii="Arial" w:hAnsi="Arial" w:cs="Arial"/>
          <w:b/>
          <w:spacing w:val="-4"/>
          <w:sz w:val="20"/>
        </w:rPr>
        <w:t xml:space="preserve"> </w:t>
      </w:r>
      <w:r w:rsidRPr="00276D5E">
        <w:rPr>
          <w:rFonts w:ascii="Arial" w:hAnsi="Arial" w:cs="Arial"/>
          <w:b/>
          <w:sz w:val="20"/>
        </w:rPr>
        <w:t>FIRST-AID</w:t>
      </w:r>
      <w:r w:rsidRPr="00276D5E">
        <w:rPr>
          <w:rFonts w:ascii="Arial" w:hAnsi="Arial" w:cs="Arial"/>
          <w:b/>
          <w:spacing w:val="-4"/>
          <w:sz w:val="20"/>
        </w:rPr>
        <w:t xml:space="preserve"> </w:t>
      </w:r>
      <w:r w:rsidRPr="00276D5E">
        <w:rPr>
          <w:rFonts w:ascii="Arial" w:hAnsi="Arial" w:cs="Arial"/>
          <w:b/>
          <w:sz w:val="20"/>
        </w:rPr>
        <w:t>KIT</w:t>
      </w:r>
    </w:p>
    <w:p w14:paraId="15DC718C" w14:textId="77777777" w:rsidR="00CA7DE9" w:rsidRPr="00CA7DE9" w:rsidRDefault="00CA7DE9" w:rsidP="009601C2">
      <w:pPr>
        <w:pStyle w:val="ListParagraph"/>
        <w:numPr>
          <w:ilvl w:val="0"/>
          <w:numId w:val="68"/>
        </w:numPr>
        <w:tabs>
          <w:tab w:val="left" w:pos="707"/>
        </w:tabs>
        <w:spacing w:before="119" w:line="276" w:lineRule="auto"/>
        <w:ind w:right="194"/>
        <w:jc w:val="both"/>
        <w:rPr>
          <w:rFonts w:ascii="Arial" w:hAnsi="Arial" w:cs="Arial"/>
          <w:sz w:val="20"/>
        </w:rPr>
      </w:pPr>
      <w:r w:rsidRPr="00CA7DE9">
        <w:rPr>
          <w:rFonts w:ascii="Arial" w:hAnsi="Arial" w:cs="Arial"/>
          <w:sz w:val="20"/>
        </w:rPr>
        <w:t>The</w:t>
      </w:r>
      <w:r w:rsidRPr="00CA7DE9">
        <w:rPr>
          <w:rFonts w:ascii="Arial" w:hAnsi="Arial" w:cs="Arial"/>
          <w:spacing w:val="1"/>
          <w:sz w:val="20"/>
        </w:rPr>
        <w:t xml:space="preserve"> </w:t>
      </w:r>
      <w:r w:rsidRPr="00CA7DE9">
        <w:rPr>
          <w:rFonts w:ascii="Arial" w:hAnsi="Arial" w:cs="Arial"/>
          <w:sz w:val="20"/>
        </w:rPr>
        <w:t>first-aid</w:t>
      </w:r>
      <w:r w:rsidRPr="00CA7DE9">
        <w:rPr>
          <w:rFonts w:ascii="Arial" w:hAnsi="Arial" w:cs="Arial"/>
          <w:spacing w:val="1"/>
          <w:sz w:val="20"/>
        </w:rPr>
        <w:t xml:space="preserve"> </w:t>
      </w:r>
      <w:r w:rsidRPr="00CA7DE9">
        <w:rPr>
          <w:rFonts w:ascii="Arial" w:hAnsi="Arial" w:cs="Arial"/>
          <w:sz w:val="20"/>
        </w:rPr>
        <w:t>kit</w:t>
      </w:r>
      <w:r w:rsidRPr="00CA7DE9">
        <w:rPr>
          <w:rFonts w:ascii="Arial" w:hAnsi="Arial" w:cs="Arial"/>
          <w:spacing w:val="1"/>
          <w:sz w:val="20"/>
        </w:rPr>
        <w:t xml:space="preserve"> </w:t>
      </w:r>
      <w:r w:rsidRPr="00CA7DE9">
        <w:rPr>
          <w:rFonts w:ascii="Arial" w:hAnsi="Arial" w:cs="Arial"/>
          <w:sz w:val="20"/>
        </w:rPr>
        <w:t>should</w:t>
      </w:r>
      <w:r w:rsidRPr="00CA7DE9">
        <w:rPr>
          <w:rFonts w:ascii="Arial" w:hAnsi="Arial" w:cs="Arial"/>
          <w:spacing w:val="1"/>
          <w:sz w:val="20"/>
        </w:rPr>
        <w:t xml:space="preserve"> </w:t>
      </w:r>
      <w:r w:rsidRPr="00CA7DE9">
        <w:rPr>
          <w:rFonts w:ascii="Arial" w:hAnsi="Arial" w:cs="Arial"/>
          <w:sz w:val="20"/>
        </w:rPr>
        <w:t>be</w:t>
      </w:r>
      <w:r w:rsidRPr="00CA7DE9">
        <w:rPr>
          <w:rFonts w:ascii="Arial" w:hAnsi="Arial" w:cs="Arial"/>
          <w:spacing w:val="1"/>
          <w:sz w:val="20"/>
        </w:rPr>
        <w:t xml:space="preserve"> </w:t>
      </w:r>
      <w:r w:rsidRPr="00CA7DE9">
        <w:rPr>
          <w:rFonts w:ascii="Arial" w:hAnsi="Arial" w:cs="Arial"/>
          <w:sz w:val="20"/>
        </w:rPr>
        <w:t>equipped</w:t>
      </w:r>
      <w:r w:rsidRPr="00CA7DE9">
        <w:rPr>
          <w:rFonts w:ascii="Arial" w:hAnsi="Arial" w:cs="Arial"/>
          <w:spacing w:val="1"/>
          <w:sz w:val="20"/>
        </w:rPr>
        <w:t xml:space="preserve"> </w:t>
      </w:r>
      <w:r w:rsidRPr="00CA7DE9">
        <w:rPr>
          <w:rFonts w:ascii="Arial" w:hAnsi="Arial" w:cs="Arial"/>
          <w:sz w:val="20"/>
        </w:rPr>
        <w:t>with</w:t>
      </w:r>
      <w:r w:rsidRPr="00CA7DE9">
        <w:rPr>
          <w:rFonts w:ascii="Arial" w:hAnsi="Arial" w:cs="Arial"/>
          <w:spacing w:val="1"/>
          <w:sz w:val="20"/>
        </w:rPr>
        <w:t xml:space="preserve"> </w:t>
      </w:r>
      <w:r w:rsidRPr="00CA7DE9">
        <w:rPr>
          <w:rFonts w:ascii="Arial" w:hAnsi="Arial" w:cs="Arial"/>
          <w:sz w:val="20"/>
        </w:rPr>
        <w:t>appropriate</w:t>
      </w:r>
      <w:r w:rsidRPr="00CA7DE9">
        <w:rPr>
          <w:rFonts w:ascii="Arial" w:hAnsi="Arial" w:cs="Arial"/>
          <w:spacing w:val="1"/>
          <w:sz w:val="20"/>
        </w:rPr>
        <w:t xml:space="preserve"> </w:t>
      </w:r>
      <w:r w:rsidRPr="00CA7DE9">
        <w:rPr>
          <w:rFonts w:ascii="Arial" w:hAnsi="Arial" w:cs="Arial"/>
          <w:sz w:val="20"/>
        </w:rPr>
        <w:t>and</w:t>
      </w:r>
      <w:r w:rsidRPr="00CA7DE9">
        <w:rPr>
          <w:rFonts w:ascii="Arial" w:hAnsi="Arial" w:cs="Arial"/>
          <w:spacing w:val="1"/>
          <w:sz w:val="20"/>
        </w:rPr>
        <w:t xml:space="preserve"> </w:t>
      </w:r>
      <w:r w:rsidRPr="00CA7DE9">
        <w:rPr>
          <w:rFonts w:ascii="Arial" w:hAnsi="Arial" w:cs="Arial"/>
          <w:sz w:val="20"/>
        </w:rPr>
        <w:t>sufficient</w:t>
      </w:r>
      <w:r w:rsidRPr="00CA7DE9">
        <w:rPr>
          <w:rFonts w:ascii="Arial" w:hAnsi="Arial" w:cs="Arial"/>
          <w:spacing w:val="1"/>
          <w:sz w:val="20"/>
        </w:rPr>
        <w:t xml:space="preserve"> </w:t>
      </w:r>
      <w:r w:rsidRPr="00CA7DE9">
        <w:rPr>
          <w:rFonts w:ascii="Arial" w:hAnsi="Arial" w:cs="Arial"/>
          <w:sz w:val="20"/>
        </w:rPr>
        <w:t>medications</w:t>
      </w:r>
      <w:r w:rsidRPr="00CA7DE9">
        <w:rPr>
          <w:rFonts w:ascii="Arial" w:hAnsi="Arial" w:cs="Arial"/>
          <w:spacing w:val="1"/>
          <w:sz w:val="20"/>
        </w:rPr>
        <w:t xml:space="preserve"> </w:t>
      </w:r>
      <w:r w:rsidRPr="00CA7DE9">
        <w:rPr>
          <w:rFonts w:ascii="Arial" w:hAnsi="Arial" w:cs="Arial"/>
          <w:sz w:val="20"/>
        </w:rPr>
        <w:t>and</w:t>
      </w:r>
      <w:r w:rsidRPr="00CA7DE9">
        <w:rPr>
          <w:rFonts w:ascii="Arial" w:hAnsi="Arial" w:cs="Arial"/>
          <w:spacing w:val="1"/>
          <w:sz w:val="20"/>
        </w:rPr>
        <w:t xml:space="preserve"> </w:t>
      </w:r>
      <w:r w:rsidRPr="00CA7DE9">
        <w:rPr>
          <w:rFonts w:ascii="Arial" w:hAnsi="Arial" w:cs="Arial"/>
          <w:sz w:val="20"/>
        </w:rPr>
        <w:t>instrumentation.</w:t>
      </w:r>
      <w:r w:rsidRPr="00CA7DE9">
        <w:rPr>
          <w:rFonts w:ascii="Arial" w:hAnsi="Arial" w:cs="Arial"/>
          <w:spacing w:val="1"/>
          <w:sz w:val="20"/>
        </w:rPr>
        <w:t xml:space="preserve"> </w:t>
      </w:r>
      <w:r w:rsidRPr="00CA7DE9">
        <w:rPr>
          <w:rFonts w:ascii="Arial" w:hAnsi="Arial" w:cs="Arial"/>
          <w:sz w:val="20"/>
        </w:rPr>
        <w:t>However,</w:t>
      </w:r>
      <w:r w:rsidRPr="00CA7DE9">
        <w:rPr>
          <w:rFonts w:ascii="Arial" w:hAnsi="Arial" w:cs="Arial"/>
          <w:spacing w:val="1"/>
          <w:sz w:val="20"/>
        </w:rPr>
        <w:t xml:space="preserve"> </w:t>
      </w:r>
      <w:r w:rsidRPr="00CA7DE9">
        <w:rPr>
          <w:rFonts w:ascii="Arial" w:hAnsi="Arial" w:cs="Arial"/>
          <w:sz w:val="20"/>
        </w:rPr>
        <w:t>the</w:t>
      </w:r>
      <w:r w:rsidRPr="00CA7DE9">
        <w:rPr>
          <w:rFonts w:ascii="Arial" w:hAnsi="Arial" w:cs="Arial"/>
          <w:spacing w:val="1"/>
          <w:sz w:val="20"/>
        </w:rPr>
        <w:t xml:space="preserve"> </w:t>
      </w:r>
      <w:r w:rsidRPr="00CA7DE9">
        <w:rPr>
          <w:rFonts w:ascii="Arial" w:hAnsi="Arial" w:cs="Arial"/>
          <w:sz w:val="20"/>
        </w:rPr>
        <w:t>kit</w:t>
      </w:r>
      <w:r w:rsidRPr="00CA7DE9">
        <w:rPr>
          <w:rFonts w:ascii="Arial" w:hAnsi="Arial" w:cs="Arial"/>
          <w:spacing w:val="1"/>
          <w:sz w:val="20"/>
        </w:rPr>
        <w:t xml:space="preserve"> </w:t>
      </w:r>
      <w:r w:rsidRPr="00CA7DE9">
        <w:rPr>
          <w:rFonts w:ascii="Arial" w:hAnsi="Arial" w:cs="Arial"/>
          <w:sz w:val="20"/>
        </w:rPr>
        <w:t>should</w:t>
      </w:r>
      <w:r w:rsidRPr="00CA7DE9">
        <w:rPr>
          <w:rFonts w:ascii="Arial" w:hAnsi="Arial" w:cs="Arial"/>
          <w:spacing w:val="1"/>
          <w:sz w:val="20"/>
        </w:rPr>
        <w:t xml:space="preserve"> </w:t>
      </w:r>
      <w:r w:rsidRPr="00CA7DE9">
        <w:rPr>
          <w:rFonts w:ascii="Arial" w:hAnsi="Arial" w:cs="Arial"/>
          <w:sz w:val="20"/>
        </w:rPr>
        <w:t>be</w:t>
      </w:r>
      <w:r w:rsidRPr="00CA7DE9">
        <w:rPr>
          <w:rFonts w:ascii="Arial" w:hAnsi="Arial" w:cs="Arial"/>
          <w:spacing w:val="1"/>
          <w:sz w:val="20"/>
        </w:rPr>
        <w:t xml:space="preserve"> </w:t>
      </w:r>
      <w:r w:rsidRPr="00CA7DE9">
        <w:rPr>
          <w:rFonts w:ascii="Arial" w:hAnsi="Arial" w:cs="Arial"/>
          <w:sz w:val="20"/>
        </w:rPr>
        <w:t>amended</w:t>
      </w:r>
      <w:r w:rsidRPr="00CA7DE9">
        <w:rPr>
          <w:rFonts w:ascii="Arial" w:hAnsi="Arial" w:cs="Arial"/>
          <w:spacing w:val="1"/>
          <w:sz w:val="20"/>
        </w:rPr>
        <w:t xml:space="preserve"> </w:t>
      </w:r>
      <w:r w:rsidRPr="00CA7DE9">
        <w:rPr>
          <w:rFonts w:ascii="Arial" w:hAnsi="Arial" w:cs="Arial"/>
          <w:sz w:val="20"/>
        </w:rPr>
        <w:t>by</w:t>
      </w:r>
      <w:r w:rsidRPr="00CA7DE9">
        <w:rPr>
          <w:rFonts w:ascii="Arial" w:hAnsi="Arial" w:cs="Arial"/>
          <w:spacing w:val="1"/>
          <w:sz w:val="20"/>
        </w:rPr>
        <w:t xml:space="preserve"> </w:t>
      </w:r>
      <w:r w:rsidRPr="00CA7DE9">
        <w:rPr>
          <w:rFonts w:ascii="Arial" w:hAnsi="Arial" w:cs="Arial"/>
          <w:sz w:val="20"/>
        </w:rPr>
        <w:t>the</w:t>
      </w:r>
      <w:r w:rsidRPr="00CA7DE9">
        <w:rPr>
          <w:rFonts w:ascii="Arial" w:hAnsi="Arial" w:cs="Arial"/>
          <w:spacing w:val="1"/>
          <w:sz w:val="20"/>
        </w:rPr>
        <w:t xml:space="preserve"> </w:t>
      </w:r>
      <w:r w:rsidRPr="00CA7DE9">
        <w:rPr>
          <w:rFonts w:ascii="Arial" w:hAnsi="Arial" w:cs="Arial"/>
          <w:sz w:val="20"/>
        </w:rPr>
        <w:t>operator</w:t>
      </w:r>
      <w:r w:rsidRPr="00CA7DE9">
        <w:rPr>
          <w:rFonts w:ascii="Arial" w:hAnsi="Arial" w:cs="Arial"/>
          <w:spacing w:val="1"/>
          <w:sz w:val="20"/>
        </w:rPr>
        <w:t xml:space="preserve"> </w:t>
      </w:r>
      <w:r w:rsidRPr="00CA7DE9">
        <w:rPr>
          <w:rFonts w:ascii="Arial" w:hAnsi="Arial" w:cs="Arial"/>
          <w:sz w:val="20"/>
        </w:rPr>
        <w:t>according</w:t>
      </w:r>
      <w:r w:rsidRPr="00CA7DE9">
        <w:rPr>
          <w:rFonts w:ascii="Arial" w:hAnsi="Arial" w:cs="Arial"/>
          <w:spacing w:val="1"/>
          <w:sz w:val="20"/>
        </w:rPr>
        <w:t xml:space="preserve"> </w:t>
      </w:r>
      <w:r w:rsidRPr="00CA7DE9">
        <w:rPr>
          <w:rFonts w:ascii="Arial" w:hAnsi="Arial" w:cs="Arial"/>
          <w:sz w:val="20"/>
        </w:rPr>
        <w:t>to</w:t>
      </w:r>
      <w:r w:rsidRPr="00CA7DE9">
        <w:rPr>
          <w:rFonts w:ascii="Arial" w:hAnsi="Arial" w:cs="Arial"/>
          <w:spacing w:val="1"/>
          <w:sz w:val="20"/>
        </w:rPr>
        <w:t xml:space="preserve"> </w:t>
      </w:r>
      <w:r w:rsidRPr="00CA7DE9">
        <w:rPr>
          <w:rFonts w:ascii="Arial" w:hAnsi="Arial" w:cs="Arial"/>
          <w:sz w:val="20"/>
        </w:rPr>
        <w:t>the</w:t>
      </w:r>
      <w:r w:rsidRPr="00CA7DE9">
        <w:rPr>
          <w:rFonts w:ascii="Arial" w:hAnsi="Arial" w:cs="Arial"/>
          <w:spacing w:val="1"/>
          <w:sz w:val="20"/>
        </w:rPr>
        <w:t xml:space="preserve"> </w:t>
      </w:r>
      <w:r w:rsidRPr="00CA7DE9">
        <w:rPr>
          <w:rFonts w:ascii="Arial" w:hAnsi="Arial" w:cs="Arial"/>
          <w:sz w:val="20"/>
        </w:rPr>
        <w:t>characteristics</w:t>
      </w:r>
      <w:r w:rsidRPr="00CA7DE9">
        <w:rPr>
          <w:rFonts w:ascii="Arial" w:hAnsi="Arial" w:cs="Arial"/>
          <w:spacing w:val="-5"/>
          <w:sz w:val="20"/>
        </w:rPr>
        <w:t xml:space="preserve"> </w:t>
      </w:r>
      <w:r w:rsidRPr="00CA7DE9">
        <w:rPr>
          <w:rFonts w:ascii="Arial" w:hAnsi="Arial" w:cs="Arial"/>
          <w:sz w:val="20"/>
        </w:rPr>
        <w:t>of</w:t>
      </w:r>
      <w:r w:rsidRPr="00CA7DE9">
        <w:rPr>
          <w:rFonts w:ascii="Arial" w:hAnsi="Arial" w:cs="Arial"/>
          <w:spacing w:val="-6"/>
          <w:sz w:val="20"/>
        </w:rPr>
        <w:t xml:space="preserve"> </w:t>
      </w:r>
      <w:r w:rsidRPr="00CA7DE9">
        <w:rPr>
          <w:rFonts w:ascii="Arial" w:hAnsi="Arial" w:cs="Arial"/>
          <w:sz w:val="20"/>
        </w:rPr>
        <w:t>the</w:t>
      </w:r>
      <w:r w:rsidRPr="00CA7DE9">
        <w:rPr>
          <w:rFonts w:ascii="Arial" w:hAnsi="Arial" w:cs="Arial"/>
          <w:spacing w:val="-7"/>
          <w:sz w:val="20"/>
        </w:rPr>
        <w:t xml:space="preserve"> </w:t>
      </w:r>
      <w:r w:rsidRPr="00CA7DE9">
        <w:rPr>
          <w:rFonts w:ascii="Arial" w:hAnsi="Arial" w:cs="Arial"/>
          <w:sz w:val="20"/>
        </w:rPr>
        <w:t>operation</w:t>
      </w:r>
      <w:r w:rsidRPr="00CA7DE9">
        <w:rPr>
          <w:rFonts w:ascii="Arial" w:hAnsi="Arial" w:cs="Arial"/>
          <w:spacing w:val="-6"/>
          <w:sz w:val="20"/>
        </w:rPr>
        <w:t xml:space="preserve"> </w:t>
      </w:r>
      <w:r w:rsidRPr="00CA7DE9">
        <w:rPr>
          <w:rFonts w:ascii="Arial" w:hAnsi="Arial" w:cs="Arial"/>
          <w:sz w:val="20"/>
        </w:rPr>
        <w:t>(scope</w:t>
      </w:r>
      <w:r w:rsidRPr="00CA7DE9">
        <w:rPr>
          <w:rFonts w:ascii="Arial" w:hAnsi="Arial" w:cs="Arial"/>
          <w:spacing w:val="-4"/>
          <w:sz w:val="20"/>
        </w:rPr>
        <w:t xml:space="preserve"> </w:t>
      </w:r>
      <w:r w:rsidRPr="00CA7DE9">
        <w:rPr>
          <w:rFonts w:ascii="Arial" w:hAnsi="Arial" w:cs="Arial"/>
          <w:sz w:val="20"/>
        </w:rPr>
        <w:t>of</w:t>
      </w:r>
      <w:r w:rsidRPr="00CA7DE9">
        <w:rPr>
          <w:rFonts w:ascii="Arial" w:hAnsi="Arial" w:cs="Arial"/>
          <w:spacing w:val="-6"/>
          <w:sz w:val="20"/>
        </w:rPr>
        <w:t xml:space="preserve"> </w:t>
      </w:r>
      <w:r w:rsidRPr="00CA7DE9">
        <w:rPr>
          <w:rFonts w:ascii="Arial" w:hAnsi="Arial" w:cs="Arial"/>
          <w:sz w:val="20"/>
        </w:rPr>
        <w:t>operation,</w:t>
      </w:r>
      <w:r w:rsidRPr="00CA7DE9">
        <w:rPr>
          <w:rFonts w:ascii="Arial" w:hAnsi="Arial" w:cs="Arial"/>
          <w:spacing w:val="-3"/>
          <w:sz w:val="20"/>
        </w:rPr>
        <w:t xml:space="preserve"> </w:t>
      </w:r>
      <w:r w:rsidRPr="00CA7DE9">
        <w:rPr>
          <w:rFonts w:ascii="Arial" w:hAnsi="Arial" w:cs="Arial"/>
          <w:sz w:val="20"/>
        </w:rPr>
        <w:t>flight</w:t>
      </w:r>
      <w:r w:rsidRPr="00CA7DE9">
        <w:rPr>
          <w:rFonts w:ascii="Arial" w:hAnsi="Arial" w:cs="Arial"/>
          <w:spacing w:val="-2"/>
          <w:sz w:val="20"/>
        </w:rPr>
        <w:t xml:space="preserve"> </w:t>
      </w:r>
      <w:r w:rsidRPr="00CA7DE9">
        <w:rPr>
          <w:rFonts w:ascii="Arial" w:hAnsi="Arial" w:cs="Arial"/>
          <w:sz w:val="20"/>
        </w:rPr>
        <w:t>duration,</w:t>
      </w:r>
      <w:r w:rsidRPr="00CA7DE9">
        <w:rPr>
          <w:rFonts w:ascii="Arial" w:hAnsi="Arial" w:cs="Arial"/>
          <w:spacing w:val="-6"/>
          <w:sz w:val="20"/>
        </w:rPr>
        <w:t xml:space="preserve"> </w:t>
      </w:r>
      <w:r w:rsidRPr="00CA7DE9">
        <w:rPr>
          <w:rFonts w:ascii="Arial" w:hAnsi="Arial" w:cs="Arial"/>
          <w:sz w:val="20"/>
        </w:rPr>
        <w:t>number</w:t>
      </w:r>
      <w:r w:rsidRPr="00CA7DE9">
        <w:rPr>
          <w:rFonts w:ascii="Arial" w:hAnsi="Arial" w:cs="Arial"/>
          <w:spacing w:val="-3"/>
          <w:sz w:val="20"/>
        </w:rPr>
        <w:t xml:space="preserve"> </w:t>
      </w:r>
      <w:r w:rsidRPr="00CA7DE9">
        <w:rPr>
          <w:rFonts w:ascii="Arial" w:hAnsi="Arial" w:cs="Arial"/>
          <w:sz w:val="20"/>
        </w:rPr>
        <w:t>and</w:t>
      </w:r>
      <w:r w:rsidRPr="00CA7DE9">
        <w:rPr>
          <w:rFonts w:ascii="Arial" w:hAnsi="Arial" w:cs="Arial"/>
          <w:spacing w:val="-5"/>
          <w:sz w:val="20"/>
        </w:rPr>
        <w:t xml:space="preserve"> </w:t>
      </w:r>
      <w:r w:rsidRPr="00CA7DE9">
        <w:rPr>
          <w:rFonts w:ascii="Arial" w:hAnsi="Arial" w:cs="Arial"/>
          <w:sz w:val="20"/>
        </w:rPr>
        <w:t>demographics</w:t>
      </w:r>
      <w:r w:rsidRPr="00CA7DE9">
        <w:rPr>
          <w:rFonts w:ascii="Arial" w:hAnsi="Arial" w:cs="Arial"/>
          <w:spacing w:val="-48"/>
          <w:sz w:val="20"/>
        </w:rPr>
        <w:t xml:space="preserve"> </w:t>
      </w:r>
      <w:r w:rsidRPr="00CA7DE9">
        <w:rPr>
          <w:rFonts w:ascii="Arial" w:hAnsi="Arial" w:cs="Arial"/>
          <w:sz w:val="20"/>
        </w:rPr>
        <w:t>of passengers,</w:t>
      </w:r>
      <w:r w:rsidRPr="00CA7DE9">
        <w:rPr>
          <w:rFonts w:ascii="Arial" w:hAnsi="Arial" w:cs="Arial"/>
          <w:spacing w:val="-2"/>
          <w:sz w:val="20"/>
        </w:rPr>
        <w:t xml:space="preserve"> </w:t>
      </w:r>
      <w:r w:rsidRPr="00CA7DE9">
        <w:rPr>
          <w:rFonts w:ascii="Arial" w:hAnsi="Arial" w:cs="Arial"/>
          <w:sz w:val="20"/>
        </w:rPr>
        <w:t>etc.).</w:t>
      </w:r>
    </w:p>
    <w:p w14:paraId="44FCC3BA" w14:textId="77777777" w:rsidR="00CA7DE9" w:rsidRPr="00CA7DE9" w:rsidRDefault="00CA7DE9" w:rsidP="009601C2">
      <w:pPr>
        <w:pStyle w:val="ListParagraph"/>
        <w:numPr>
          <w:ilvl w:val="0"/>
          <w:numId w:val="68"/>
        </w:numPr>
        <w:tabs>
          <w:tab w:val="left" w:pos="707"/>
        </w:tabs>
        <w:spacing w:before="121" w:line="276" w:lineRule="auto"/>
        <w:jc w:val="both"/>
        <w:rPr>
          <w:rFonts w:ascii="Arial" w:hAnsi="Arial" w:cs="Arial"/>
          <w:sz w:val="20"/>
        </w:rPr>
      </w:pPr>
      <w:r w:rsidRPr="00CA7DE9">
        <w:rPr>
          <w:rFonts w:ascii="Arial" w:hAnsi="Arial" w:cs="Arial"/>
          <w:sz w:val="20"/>
        </w:rPr>
        <w:t>The</w:t>
      </w:r>
      <w:r w:rsidRPr="00CA7DE9">
        <w:rPr>
          <w:rFonts w:ascii="Arial" w:hAnsi="Arial" w:cs="Arial"/>
          <w:spacing w:val="-1"/>
          <w:sz w:val="20"/>
        </w:rPr>
        <w:t xml:space="preserve"> </w:t>
      </w:r>
      <w:r w:rsidRPr="00CA7DE9">
        <w:rPr>
          <w:rFonts w:ascii="Arial" w:hAnsi="Arial" w:cs="Arial"/>
          <w:sz w:val="20"/>
        </w:rPr>
        <w:t>following</w:t>
      </w:r>
      <w:r w:rsidRPr="00CA7DE9">
        <w:rPr>
          <w:rFonts w:ascii="Arial" w:hAnsi="Arial" w:cs="Arial"/>
          <w:spacing w:val="-3"/>
          <w:sz w:val="20"/>
        </w:rPr>
        <w:t xml:space="preserve"> </w:t>
      </w:r>
      <w:r w:rsidRPr="00CA7DE9">
        <w:rPr>
          <w:rFonts w:ascii="Arial" w:hAnsi="Arial" w:cs="Arial"/>
          <w:sz w:val="20"/>
        </w:rPr>
        <w:t>should</w:t>
      </w:r>
      <w:r w:rsidRPr="00CA7DE9">
        <w:rPr>
          <w:rFonts w:ascii="Arial" w:hAnsi="Arial" w:cs="Arial"/>
          <w:spacing w:val="-2"/>
          <w:sz w:val="20"/>
        </w:rPr>
        <w:t xml:space="preserve"> </w:t>
      </w:r>
      <w:r w:rsidRPr="00CA7DE9">
        <w:rPr>
          <w:rFonts w:ascii="Arial" w:hAnsi="Arial" w:cs="Arial"/>
          <w:sz w:val="20"/>
        </w:rPr>
        <w:t>be</w:t>
      </w:r>
      <w:r w:rsidRPr="00CA7DE9">
        <w:rPr>
          <w:rFonts w:ascii="Arial" w:hAnsi="Arial" w:cs="Arial"/>
          <w:spacing w:val="-4"/>
          <w:sz w:val="20"/>
        </w:rPr>
        <w:t xml:space="preserve"> </w:t>
      </w:r>
      <w:r w:rsidRPr="00CA7DE9">
        <w:rPr>
          <w:rFonts w:ascii="Arial" w:hAnsi="Arial" w:cs="Arial"/>
          <w:sz w:val="20"/>
        </w:rPr>
        <w:t>included</w:t>
      </w:r>
      <w:r w:rsidRPr="00CA7DE9">
        <w:rPr>
          <w:rFonts w:ascii="Arial" w:hAnsi="Arial" w:cs="Arial"/>
          <w:spacing w:val="-1"/>
          <w:sz w:val="20"/>
        </w:rPr>
        <w:t xml:space="preserve"> </w:t>
      </w:r>
      <w:r w:rsidRPr="00CA7DE9">
        <w:rPr>
          <w:rFonts w:ascii="Arial" w:hAnsi="Arial" w:cs="Arial"/>
          <w:sz w:val="20"/>
        </w:rPr>
        <w:t>in</w:t>
      </w:r>
      <w:r w:rsidRPr="00CA7DE9">
        <w:rPr>
          <w:rFonts w:ascii="Arial" w:hAnsi="Arial" w:cs="Arial"/>
          <w:spacing w:val="-2"/>
          <w:sz w:val="20"/>
        </w:rPr>
        <w:t xml:space="preserve"> </w:t>
      </w:r>
      <w:r w:rsidRPr="00CA7DE9">
        <w:rPr>
          <w:rFonts w:ascii="Arial" w:hAnsi="Arial" w:cs="Arial"/>
          <w:sz w:val="20"/>
        </w:rPr>
        <w:t>the first-aid</w:t>
      </w:r>
      <w:r w:rsidRPr="00CA7DE9">
        <w:rPr>
          <w:rFonts w:ascii="Arial" w:hAnsi="Arial" w:cs="Arial"/>
          <w:spacing w:val="-5"/>
          <w:sz w:val="20"/>
        </w:rPr>
        <w:t xml:space="preserve"> </w:t>
      </w:r>
      <w:r w:rsidRPr="00CA7DE9">
        <w:rPr>
          <w:rFonts w:ascii="Arial" w:hAnsi="Arial" w:cs="Arial"/>
          <w:sz w:val="20"/>
        </w:rPr>
        <w:t>kit:</w:t>
      </w:r>
    </w:p>
    <w:p w14:paraId="2FED956E" w14:textId="77777777" w:rsidR="00CA7DE9" w:rsidRPr="00CA7DE9" w:rsidRDefault="00CA7DE9" w:rsidP="009601C2">
      <w:pPr>
        <w:pStyle w:val="ListParagraph"/>
        <w:numPr>
          <w:ilvl w:val="1"/>
          <w:numId w:val="68"/>
        </w:numPr>
        <w:tabs>
          <w:tab w:val="left" w:pos="1273"/>
          <w:tab w:val="left" w:pos="1274"/>
        </w:tabs>
        <w:spacing w:before="118" w:line="276" w:lineRule="auto"/>
        <w:ind w:hanging="568"/>
        <w:jc w:val="both"/>
        <w:rPr>
          <w:rFonts w:ascii="Arial" w:hAnsi="Arial" w:cs="Arial"/>
          <w:sz w:val="20"/>
        </w:rPr>
      </w:pPr>
      <w:r w:rsidRPr="00CA7DE9">
        <w:rPr>
          <w:rFonts w:ascii="Arial" w:hAnsi="Arial" w:cs="Arial"/>
          <w:sz w:val="20"/>
        </w:rPr>
        <w:t>bandages</w:t>
      </w:r>
      <w:r w:rsidRPr="00CA7DE9">
        <w:rPr>
          <w:rFonts w:ascii="Arial" w:hAnsi="Arial" w:cs="Arial"/>
          <w:spacing w:val="-2"/>
          <w:sz w:val="20"/>
        </w:rPr>
        <w:t xml:space="preserve"> </w:t>
      </w:r>
      <w:r w:rsidRPr="00CA7DE9">
        <w:rPr>
          <w:rFonts w:ascii="Arial" w:hAnsi="Arial" w:cs="Arial"/>
          <w:sz w:val="20"/>
        </w:rPr>
        <w:t>(assorted</w:t>
      </w:r>
      <w:r w:rsidRPr="00CA7DE9">
        <w:rPr>
          <w:rFonts w:ascii="Arial" w:hAnsi="Arial" w:cs="Arial"/>
          <w:spacing w:val="-3"/>
          <w:sz w:val="20"/>
        </w:rPr>
        <w:t xml:space="preserve"> </w:t>
      </w:r>
      <w:r w:rsidRPr="00CA7DE9">
        <w:rPr>
          <w:rFonts w:ascii="Arial" w:hAnsi="Arial" w:cs="Arial"/>
          <w:sz w:val="20"/>
        </w:rPr>
        <w:t>sizes);</w:t>
      </w:r>
    </w:p>
    <w:p w14:paraId="488A7527" w14:textId="77777777" w:rsidR="00CA7DE9" w:rsidRPr="00CA7DE9" w:rsidRDefault="00CA7DE9" w:rsidP="009601C2">
      <w:pPr>
        <w:pStyle w:val="ListParagraph"/>
        <w:numPr>
          <w:ilvl w:val="1"/>
          <w:numId w:val="68"/>
        </w:numPr>
        <w:tabs>
          <w:tab w:val="left" w:pos="1273"/>
          <w:tab w:val="left" w:pos="1274"/>
        </w:tabs>
        <w:spacing w:line="276" w:lineRule="auto"/>
        <w:ind w:hanging="568"/>
        <w:jc w:val="both"/>
        <w:rPr>
          <w:rFonts w:ascii="Arial" w:hAnsi="Arial" w:cs="Arial"/>
          <w:sz w:val="20"/>
        </w:rPr>
      </w:pPr>
      <w:r w:rsidRPr="00CA7DE9">
        <w:rPr>
          <w:rFonts w:ascii="Arial" w:hAnsi="Arial" w:cs="Arial"/>
          <w:sz w:val="20"/>
        </w:rPr>
        <w:t>burns</w:t>
      </w:r>
      <w:r w:rsidRPr="00CA7DE9">
        <w:rPr>
          <w:rFonts w:ascii="Arial" w:hAnsi="Arial" w:cs="Arial"/>
          <w:spacing w:val="-2"/>
          <w:sz w:val="20"/>
        </w:rPr>
        <w:t xml:space="preserve"> </w:t>
      </w:r>
      <w:r w:rsidRPr="00CA7DE9">
        <w:rPr>
          <w:rFonts w:ascii="Arial" w:hAnsi="Arial" w:cs="Arial"/>
          <w:sz w:val="20"/>
        </w:rPr>
        <w:t>dressings</w:t>
      </w:r>
      <w:r w:rsidRPr="00CA7DE9">
        <w:rPr>
          <w:rFonts w:ascii="Arial" w:hAnsi="Arial" w:cs="Arial"/>
          <w:spacing w:val="-1"/>
          <w:sz w:val="20"/>
        </w:rPr>
        <w:t xml:space="preserve"> </w:t>
      </w:r>
      <w:r w:rsidRPr="00CA7DE9">
        <w:rPr>
          <w:rFonts w:ascii="Arial" w:hAnsi="Arial" w:cs="Arial"/>
          <w:sz w:val="20"/>
        </w:rPr>
        <w:t>(large and</w:t>
      </w:r>
      <w:r w:rsidRPr="00CA7DE9">
        <w:rPr>
          <w:rFonts w:ascii="Arial" w:hAnsi="Arial" w:cs="Arial"/>
          <w:spacing w:val="-4"/>
          <w:sz w:val="20"/>
        </w:rPr>
        <w:t xml:space="preserve"> </w:t>
      </w:r>
      <w:r w:rsidRPr="00CA7DE9">
        <w:rPr>
          <w:rFonts w:ascii="Arial" w:hAnsi="Arial" w:cs="Arial"/>
          <w:sz w:val="20"/>
        </w:rPr>
        <w:t>small);</w:t>
      </w:r>
    </w:p>
    <w:p w14:paraId="02BD2AFE" w14:textId="77777777" w:rsidR="00CA7DE9" w:rsidRPr="00CA7DE9" w:rsidRDefault="00CA7DE9" w:rsidP="009601C2">
      <w:pPr>
        <w:pStyle w:val="ListParagraph"/>
        <w:numPr>
          <w:ilvl w:val="1"/>
          <w:numId w:val="68"/>
        </w:numPr>
        <w:tabs>
          <w:tab w:val="left" w:pos="1273"/>
          <w:tab w:val="left" w:pos="1274"/>
        </w:tabs>
        <w:spacing w:line="276" w:lineRule="auto"/>
        <w:ind w:hanging="568"/>
        <w:jc w:val="both"/>
        <w:rPr>
          <w:rFonts w:ascii="Arial" w:hAnsi="Arial" w:cs="Arial"/>
          <w:sz w:val="20"/>
        </w:rPr>
      </w:pPr>
      <w:r w:rsidRPr="00CA7DE9">
        <w:rPr>
          <w:rFonts w:ascii="Arial" w:hAnsi="Arial" w:cs="Arial"/>
          <w:sz w:val="20"/>
        </w:rPr>
        <w:t>wound</w:t>
      </w:r>
      <w:r w:rsidRPr="00CA7DE9">
        <w:rPr>
          <w:rFonts w:ascii="Arial" w:hAnsi="Arial" w:cs="Arial"/>
          <w:spacing w:val="-3"/>
          <w:sz w:val="20"/>
        </w:rPr>
        <w:t xml:space="preserve"> </w:t>
      </w:r>
      <w:r w:rsidRPr="00CA7DE9">
        <w:rPr>
          <w:rFonts w:ascii="Arial" w:hAnsi="Arial" w:cs="Arial"/>
          <w:sz w:val="20"/>
        </w:rPr>
        <w:t>dressings</w:t>
      </w:r>
      <w:r w:rsidRPr="00CA7DE9">
        <w:rPr>
          <w:rFonts w:ascii="Arial" w:hAnsi="Arial" w:cs="Arial"/>
          <w:spacing w:val="-4"/>
          <w:sz w:val="20"/>
        </w:rPr>
        <w:t xml:space="preserve"> </w:t>
      </w:r>
      <w:r w:rsidRPr="00CA7DE9">
        <w:rPr>
          <w:rFonts w:ascii="Arial" w:hAnsi="Arial" w:cs="Arial"/>
          <w:sz w:val="20"/>
        </w:rPr>
        <w:t>(large and</w:t>
      </w:r>
      <w:r w:rsidRPr="00CA7DE9">
        <w:rPr>
          <w:rFonts w:ascii="Arial" w:hAnsi="Arial" w:cs="Arial"/>
          <w:spacing w:val="-5"/>
          <w:sz w:val="20"/>
        </w:rPr>
        <w:t xml:space="preserve"> </w:t>
      </w:r>
      <w:r w:rsidRPr="00CA7DE9">
        <w:rPr>
          <w:rFonts w:ascii="Arial" w:hAnsi="Arial" w:cs="Arial"/>
          <w:sz w:val="20"/>
        </w:rPr>
        <w:t>small);</w:t>
      </w:r>
    </w:p>
    <w:p w14:paraId="2E27133D" w14:textId="77777777" w:rsidR="00CA7DE9" w:rsidRPr="00CA7DE9" w:rsidRDefault="00CA7DE9" w:rsidP="009601C2">
      <w:pPr>
        <w:pStyle w:val="ListParagraph"/>
        <w:numPr>
          <w:ilvl w:val="1"/>
          <w:numId w:val="68"/>
        </w:numPr>
        <w:tabs>
          <w:tab w:val="left" w:pos="1273"/>
          <w:tab w:val="left" w:pos="1274"/>
        </w:tabs>
        <w:spacing w:before="121" w:line="276" w:lineRule="auto"/>
        <w:ind w:hanging="568"/>
        <w:jc w:val="both"/>
        <w:rPr>
          <w:rFonts w:ascii="Arial" w:hAnsi="Arial" w:cs="Arial"/>
          <w:sz w:val="20"/>
        </w:rPr>
      </w:pPr>
      <w:r w:rsidRPr="00CA7DE9">
        <w:rPr>
          <w:rFonts w:ascii="Arial" w:hAnsi="Arial" w:cs="Arial"/>
          <w:sz w:val="20"/>
        </w:rPr>
        <w:t>adhesive</w:t>
      </w:r>
      <w:r w:rsidRPr="00CA7DE9">
        <w:rPr>
          <w:rFonts w:ascii="Arial" w:hAnsi="Arial" w:cs="Arial"/>
          <w:spacing w:val="-6"/>
          <w:sz w:val="20"/>
        </w:rPr>
        <w:t xml:space="preserve"> </w:t>
      </w:r>
      <w:r w:rsidRPr="00CA7DE9">
        <w:rPr>
          <w:rFonts w:ascii="Arial" w:hAnsi="Arial" w:cs="Arial"/>
          <w:sz w:val="20"/>
        </w:rPr>
        <w:t>dressings</w:t>
      </w:r>
      <w:r w:rsidRPr="00CA7DE9">
        <w:rPr>
          <w:rFonts w:ascii="Arial" w:hAnsi="Arial" w:cs="Arial"/>
          <w:spacing w:val="-4"/>
          <w:sz w:val="20"/>
        </w:rPr>
        <w:t xml:space="preserve"> </w:t>
      </w:r>
      <w:r w:rsidRPr="00CA7DE9">
        <w:rPr>
          <w:rFonts w:ascii="Arial" w:hAnsi="Arial" w:cs="Arial"/>
          <w:sz w:val="20"/>
        </w:rPr>
        <w:t>(assorted</w:t>
      </w:r>
      <w:r w:rsidRPr="00CA7DE9">
        <w:rPr>
          <w:rFonts w:ascii="Arial" w:hAnsi="Arial" w:cs="Arial"/>
          <w:spacing w:val="-4"/>
          <w:sz w:val="20"/>
        </w:rPr>
        <w:t xml:space="preserve"> </w:t>
      </w:r>
      <w:r w:rsidRPr="00CA7DE9">
        <w:rPr>
          <w:rFonts w:ascii="Arial" w:hAnsi="Arial" w:cs="Arial"/>
          <w:sz w:val="20"/>
        </w:rPr>
        <w:t>sizes);</w:t>
      </w:r>
    </w:p>
    <w:p w14:paraId="2C19D126" w14:textId="77777777" w:rsidR="00CA7DE9" w:rsidRPr="00CA7DE9" w:rsidRDefault="00CA7DE9" w:rsidP="009601C2">
      <w:pPr>
        <w:pStyle w:val="ListParagraph"/>
        <w:numPr>
          <w:ilvl w:val="1"/>
          <w:numId w:val="68"/>
        </w:numPr>
        <w:tabs>
          <w:tab w:val="left" w:pos="1273"/>
          <w:tab w:val="left" w:pos="1274"/>
        </w:tabs>
        <w:spacing w:line="276" w:lineRule="auto"/>
        <w:ind w:hanging="568"/>
        <w:jc w:val="both"/>
        <w:rPr>
          <w:rFonts w:ascii="Arial" w:hAnsi="Arial" w:cs="Arial"/>
          <w:sz w:val="20"/>
        </w:rPr>
      </w:pPr>
      <w:r w:rsidRPr="00CA7DE9">
        <w:rPr>
          <w:rFonts w:ascii="Arial" w:hAnsi="Arial" w:cs="Arial"/>
          <w:sz w:val="20"/>
        </w:rPr>
        <w:t>antiseptic</w:t>
      </w:r>
      <w:r w:rsidRPr="00CA7DE9">
        <w:rPr>
          <w:rFonts w:ascii="Arial" w:hAnsi="Arial" w:cs="Arial"/>
          <w:spacing w:val="-2"/>
          <w:sz w:val="20"/>
        </w:rPr>
        <w:t xml:space="preserve"> </w:t>
      </w:r>
      <w:r w:rsidRPr="00CA7DE9">
        <w:rPr>
          <w:rFonts w:ascii="Arial" w:hAnsi="Arial" w:cs="Arial"/>
          <w:sz w:val="20"/>
        </w:rPr>
        <w:t>wound</w:t>
      </w:r>
      <w:r w:rsidRPr="00CA7DE9">
        <w:rPr>
          <w:rFonts w:ascii="Arial" w:hAnsi="Arial" w:cs="Arial"/>
          <w:spacing w:val="-1"/>
          <w:sz w:val="20"/>
        </w:rPr>
        <w:t xml:space="preserve"> </w:t>
      </w:r>
      <w:r w:rsidRPr="00CA7DE9">
        <w:rPr>
          <w:rFonts w:ascii="Arial" w:hAnsi="Arial" w:cs="Arial"/>
          <w:sz w:val="20"/>
        </w:rPr>
        <w:t>cleaner;</w:t>
      </w:r>
    </w:p>
    <w:p w14:paraId="75795BF1" w14:textId="77777777" w:rsidR="00CA7DE9" w:rsidRPr="00CA7DE9" w:rsidRDefault="00CA7DE9" w:rsidP="009601C2">
      <w:pPr>
        <w:pStyle w:val="ListParagraph"/>
        <w:numPr>
          <w:ilvl w:val="1"/>
          <w:numId w:val="68"/>
        </w:numPr>
        <w:tabs>
          <w:tab w:val="left" w:pos="1273"/>
          <w:tab w:val="left" w:pos="1274"/>
        </w:tabs>
        <w:spacing w:line="276" w:lineRule="auto"/>
        <w:ind w:hanging="568"/>
        <w:jc w:val="both"/>
        <w:rPr>
          <w:rFonts w:ascii="Arial" w:hAnsi="Arial" w:cs="Arial"/>
          <w:sz w:val="20"/>
        </w:rPr>
      </w:pPr>
      <w:r w:rsidRPr="00CA7DE9">
        <w:rPr>
          <w:rFonts w:ascii="Arial" w:hAnsi="Arial" w:cs="Arial"/>
          <w:sz w:val="20"/>
        </w:rPr>
        <w:t>safety</w:t>
      </w:r>
      <w:r w:rsidRPr="00CA7DE9">
        <w:rPr>
          <w:rFonts w:ascii="Arial" w:hAnsi="Arial" w:cs="Arial"/>
          <w:spacing w:val="-3"/>
          <w:sz w:val="20"/>
        </w:rPr>
        <w:t xml:space="preserve"> </w:t>
      </w:r>
      <w:r w:rsidRPr="00CA7DE9">
        <w:rPr>
          <w:rFonts w:ascii="Arial" w:hAnsi="Arial" w:cs="Arial"/>
          <w:sz w:val="20"/>
        </w:rPr>
        <w:t>scissors;</w:t>
      </w:r>
      <w:r w:rsidRPr="00CA7DE9">
        <w:rPr>
          <w:rFonts w:ascii="Arial" w:hAnsi="Arial" w:cs="Arial"/>
          <w:spacing w:val="-1"/>
          <w:sz w:val="20"/>
        </w:rPr>
        <w:t xml:space="preserve"> </w:t>
      </w:r>
      <w:r w:rsidRPr="00CA7DE9">
        <w:rPr>
          <w:rFonts w:ascii="Arial" w:hAnsi="Arial" w:cs="Arial"/>
          <w:sz w:val="20"/>
        </w:rPr>
        <w:t>and</w:t>
      </w:r>
    </w:p>
    <w:p w14:paraId="0108AB61" w14:textId="45EDD95B" w:rsidR="00CA7DE9" w:rsidRPr="00943DEA" w:rsidRDefault="00CA7DE9" w:rsidP="009601C2">
      <w:pPr>
        <w:pStyle w:val="ListParagraph"/>
        <w:numPr>
          <w:ilvl w:val="1"/>
          <w:numId w:val="68"/>
        </w:numPr>
        <w:tabs>
          <w:tab w:val="left" w:pos="1273"/>
          <w:tab w:val="left" w:pos="1274"/>
        </w:tabs>
        <w:spacing w:before="121" w:line="276" w:lineRule="auto"/>
        <w:ind w:hanging="568"/>
        <w:jc w:val="both"/>
        <w:rPr>
          <w:rFonts w:ascii="Arial" w:hAnsi="Arial" w:cs="Arial"/>
          <w:sz w:val="20"/>
        </w:rPr>
      </w:pPr>
      <w:r w:rsidRPr="00CA7DE9">
        <w:rPr>
          <w:rFonts w:ascii="Arial" w:hAnsi="Arial" w:cs="Arial"/>
          <w:sz w:val="20"/>
        </w:rPr>
        <w:t>disposable</w:t>
      </w:r>
      <w:r w:rsidRPr="00CA7DE9">
        <w:rPr>
          <w:rFonts w:ascii="Arial" w:hAnsi="Arial" w:cs="Arial"/>
          <w:spacing w:val="-2"/>
          <w:sz w:val="20"/>
        </w:rPr>
        <w:t xml:space="preserve"> </w:t>
      </w:r>
      <w:r w:rsidRPr="00CA7DE9">
        <w:rPr>
          <w:rFonts w:ascii="Arial" w:hAnsi="Arial" w:cs="Arial"/>
          <w:sz w:val="20"/>
        </w:rPr>
        <w:t>gloves.</w:t>
      </w:r>
    </w:p>
    <w:p w14:paraId="44A36109" w14:textId="77777777" w:rsidR="000C00BE" w:rsidRPr="000C00BE" w:rsidRDefault="000C00BE" w:rsidP="009601C2">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272" w:name="AMC2_BOP.BAS.330_First-aid_kit"/>
      <w:bookmarkStart w:id="273" w:name="_bookmark119"/>
      <w:bookmarkStart w:id="274" w:name="_Toc153137284"/>
      <w:bookmarkEnd w:id="272"/>
      <w:bookmarkEnd w:id="273"/>
      <w:r w:rsidRPr="000C00BE">
        <w:rPr>
          <w:rFonts w:ascii="Arial" w:eastAsia="Times New Roman" w:hAnsi="Arial" w:cs="Times New Roman"/>
          <w:b/>
          <w:color w:val="FFFFFF"/>
          <w:sz w:val="24"/>
        </w:rPr>
        <w:t>AMC2 BOP.BAS.330 First-aid kit</w:t>
      </w:r>
      <w:bookmarkEnd w:id="274"/>
    </w:p>
    <w:p w14:paraId="6ADE1442" w14:textId="30EC3416" w:rsidR="000C00BE" w:rsidRPr="00727768" w:rsidRDefault="000C00BE" w:rsidP="00727768">
      <w:pPr>
        <w:spacing w:before="122" w:line="276" w:lineRule="auto"/>
        <w:jc w:val="both"/>
        <w:rPr>
          <w:rFonts w:ascii="Arial" w:hAnsi="Arial" w:cs="Arial"/>
          <w:b/>
          <w:sz w:val="20"/>
        </w:rPr>
      </w:pPr>
      <w:r w:rsidRPr="000C00BE">
        <w:rPr>
          <w:rFonts w:ascii="Arial" w:hAnsi="Arial" w:cs="Arial"/>
          <w:b/>
          <w:sz w:val="20"/>
        </w:rPr>
        <w:t>MAINTENANCE</w:t>
      </w:r>
      <w:r w:rsidRPr="000C00BE">
        <w:rPr>
          <w:rFonts w:ascii="Arial" w:hAnsi="Arial" w:cs="Arial"/>
          <w:b/>
          <w:spacing w:val="-2"/>
          <w:sz w:val="20"/>
        </w:rPr>
        <w:t xml:space="preserve"> </w:t>
      </w:r>
      <w:r w:rsidRPr="000C00BE">
        <w:rPr>
          <w:rFonts w:ascii="Arial" w:hAnsi="Arial" w:cs="Arial"/>
          <w:b/>
          <w:sz w:val="20"/>
        </w:rPr>
        <w:t>OF</w:t>
      </w:r>
      <w:r w:rsidRPr="000C00BE">
        <w:rPr>
          <w:rFonts w:ascii="Arial" w:hAnsi="Arial" w:cs="Arial"/>
          <w:b/>
          <w:spacing w:val="-3"/>
          <w:sz w:val="20"/>
        </w:rPr>
        <w:t xml:space="preserve"> </w:t>
      </w:r>
      <w:r w:rsidRPr="000C00BE">
        <w:rPr>
          <w:rFonts w:ascii="Arial" w:hAnsi="Arial" w:cs="Arial"/>
          <w:b/>
          <w:sz w:val="20"/>
        </w:rPr>
        <w:t>FIRST-AID</w:t>
      </w:r>
      <w:r w:rsidRPr="000C00BE">
        <w:rPr>
          <w:rFonts w:ascii="Arial" w:hAnsi="Arial" w:cs="Arial"/>
          <w:b/>
          <w:spacing w:val="-3"/>
          <w:sz w:val="20"/>
        </w:rPr>
        <w:t xml:space="preserve"> </w:t>
      </w:r>
      <w:r w:rsidR="00727768">
        <w:rPr>
          <w:rFonts w:ascii="Arial" w:hAnsi="Arial" w:cs="Arial"/>
          <w:b/>
          <w:sz w:val="20"/>
        </w:rPr>
        <w:t>KIT</w:t>
      </w:r>
    </w:p>
    <w:p w14:paraId="64BC08C8" w14:textId="77777777" w:rsidR="000C00BE" w:rsidRPr="000C00BE" w:rsidRDefault="000C00BE" w:rsidP="00727768">
      <w:pPr>
        <w:pStyle w:val="BodyText"/>
        <w:spacing w:before="116" w:line="276" w:lineRule="auto"/>
        <w:jc w:val="both"/>
        <w:rPr>
          <w:rFonts w:ascii="Arial" w:hAnsi="Arial" w:cs="Arial"/>
          <w:sz w:val="20"/>
        </w:rPr>
      </w:pPr>
      <w:r w:rsidRPr="000C00BE">
        <w:rPr>
          <w:rFonts w:ascii="Arial" w:hAnsi="Arial" w:cs="Arial"/>
          <w:sz w:val="20"/>
        </w:rPr>
        <w:t>To</w:t>
      </w:r>
      <w:r w:rsidRPr="000C00BE">
        <w:rPr>
          <w:rFonts w:ascii="Arial" w:hAnsi="Arial" w:cs="Arial"/>
          <w:spacing w:val="-1"/>
          <w:sz w:val="20"/>
        </w:rPr>
        <w:t xml:space="preserve"> </w:t>
      </w:r>
      <w:r w:rsidRPr="000C00BE">
        <w:rPr>
          <w:rFonts w:ascii="Arial" w:hAnsi="Arial" w:cs="Arial"/>
          <w:sz w:val="20"/>
        </w:rPr>
        <w:t>be</w:t>
      </w:r>
      <w:r w:rsidRPr="000C00BE">
        <w:rPr>
          <w:rFonts w:ascii="Arial" w:hAnsi="Arial" w:cs="Arial"/>
          <w:spacing w:val="-4"/>
          <w:sz w:val="20"/>
        </w:rPr>
        <w:t xml:space="preserve"> </w:t>
      </w:r>
      <w:r w:rsidRPr="000C00BE">
        <w:rPr>
          <w:rFonts w:ascii="Arial" w:hAnsi="Arial" w:cs="Arial"/>
          <w:sz w:val="20"/>
        </w:rPr>
        <w:t>kept up</w:t>
      </w:r>
      <w:r w:rsidRPr="000C00BE">
        <w:rPr>
          <w:rFonts w:ascii="Arial" w:hAnsi="Arial" w:cs="Arial"/>
          <w:spacing w:val="-3"/>
          <w:sz w:val="20"/>
        </w:rPr>
        <w:t xml:space="preserve"> </w:t>
      </w:r>
      <w:r w:rsidRPr="000C00BE">
        <w:rPr>
          <w:rFonts w:ascii="Arial" w:hAnsi="Arial" w:cs="Arial"/>
          <w:sz w:val="20"/>
        </w:rPr>
        <w:t>to date, the</w:t>
      </w:r>
      <w:r w:rsidRPr="000C00BE">
        <w:rPr>
          <w:rFonts w:ascii="Arial" w:hAnsi="Arial" w:cs="Arial"/>
          <w:spacing w:val="-1"/>
          <w:sz w:val="20"/>
        </w:rPr>
        <w:t xml:space="preserve"> </w:t>
      </w:r>
      <w:r w:rsidRPr="000C00BE">
        <w:rPr>
          <w:rFonts w:ascii="Arial" w:hAnsi="Arial" w:cs="Arial"/>
          <w:sz w:val="20"/>
        </w:rPr>
        <w:t>first-aid</w:t>
      </w:r>
      <w:r w:rsidRPr="000C00BE">
        <w:rPr>
          <w:rFonts w:ascii="Arial" w:hAnsi="Arial" w:cs="Arial"/>
          <w:spacing w:val="-3"/>
          <w:sz w:val="20"/>
        </w:rPr>
        <w:t xml:space="preserve"> </w:t>
      </w:r>
      <w:r w:rsidRPr="000C00BE">
        <w:rPr>
          <w:rFonts w:ascii="Arial" w:hAnsi="Arial" w:cs="Arial"/>
          <w:sz w:val="20"/>
        </w:rPr>
        <w:t>kit</w:t>
      </w:r>
      <w:r w:rsidRPr="000C00BE">
        <w:rPr>
          <w:rFonts w:ascii="Arial" w:hAnsi="Arial" w:cs="Arial"/>
          <w:spacing w:val="-3"/>
          <w:sz w:val="20"/>
        </w:rPr>
        <w:t xml:space="preserve"> </w:t>
      </w:r>
      <w:r w:rsidRPr="000C00BE">
        <w:rPr>
          <w:rFonts w:ascii="Arial" w:hAnsi="Arial" w:cs="Arial"/>
          <w:sz w:val="20"/>
        </w:rPr>
        <w:t>should</w:t>
      </w:r>
      <w:r w:rsidRPr="000C00BE">
        <w:rPr>
          <w:rFonts w:ascii="Arial" w:hAnsi="Arial" w:cs="Arial"/>
          <w:spacing w:val="-4"/>
          <w:sz w:val="20"/>
        </w:rPr>
        <w:t xml:space="preserve"> </w:t>
      </w:r>
      <w:r w:rsidRPr="000C00BE">
        <w:rPr>
          <w:rFonts w:ascii="Arial" w:hAnsi="Arial" w:cs="Arial"/>
          <w:sz w:val="20"/>
        </w:rPr>
        <w:t>be:</w:t>
      </w:r>
    </w:p>
    <w:p w14:paraId="1CA9D493" w14:textId="77777777" w:rsidR="000C00BE" w:rsidRPr="000C00BE" w:rsidRDefault="000C00BE" w:rsidP="009601C2">
      <w:pPr>
        <w:pStyle w:val="ListParagraph"/>
        <w:numPr>
          <w:ilvl w:val="0"/>
          <w:numId w:val="69"/>
        </w:numPr>
        <w:tabs>
          <w:tab w:val="left" w:pos="706"/>
          <w:tab w:val="left" w:pos="707"/>
        </w:tabs>
        <w:spacing w:line="276" w:lineRule="auto"/>
        <w:ind w:right="200"/>
        <w:jc w:val="both"/>
        <w:rPr>
          <w:rFonts w:ascii="Arial" w:hAnsi="Arial" w:cs="Arial"/>
          <w:sz w:val="20"/>
        </w:rPr>
      </w:pPr>
      <w:r w:rsidRPr="000C00BE">
        <w:rPr>
          <w:rFonts w:ascii="Arial" w:hAnsi="Arial" w:cs="Arial"/>
          <w:sz w:val="20"/>
        </w:rPr>
        <w:t>inspected</w:t>
      </w:r>
      <w:r w:rsidRPr="000C00BE">
        <w:rPr>
          <w:rFonts w:ascii="Arial" w:hAnsi="Arial" w:cs="Arial"/>
          <w:spacing w:val="12"/>
          <w:sz w:val="20"/>
        </w:rPr>
        <w:t xml:space="preserve"> </w:t>
      </w:r>
      <w:r w:rsidRPr="000C00BE">
        <w:rPr>
          <w:rFonts w:ascii="Arial" w:hAnsi="Arial" w:cs="Arial"/>
          <w:sz w:val="20"/>
        </w:rPr>
        <w:t>periodically</w:t>
      </w:r>
      <w:r w:rsidRPr="000C00BE">
        <w:rPr>
          <w:rFonts w:ascii="Arial" w:hAnsi="Arial" w:cs="Arial"/>
          <w:spacing w:val="11"/>
          <w:sz w:val="20"/>
        </w:rPr>
        <w:t xml:space="preserve"> </w:t>
      </w:r>
      <w:r w:rsidRPr="000C00BE">
        <w:rPr>
          <w:rFonts w:ascii="Arial" w:hAnsi="Arial" w:cs="Arial"/>
          <w:sz w:val="20"/>
        </w:rPr>
        <w:t>to</w:t>
      </w:r>
      <w:r w:rsidRPr="000C00BE">
        <w:rPr>
          <w:rFonts w:ascii="Arial" w:hAnsi="Arial" w:cs="Arial"/>
          <w:spacing w:val="13"/>
          <w:sz w:val="20"/>
        </w:rPr>
        <w:t xml:space="preserve"> </w:t>
      </w:r>
      <w:r w:rsidRPr="000C00BE">
        <w:rPr>
          <w:rFonts w:ascii="Arial" w:hAnsi="Arial" w:cs="Arial"/>
          <w:sz w:val="20"/>
        </w:rPr>
        <w:t>confirm,</w:t>
      </w:r>
      <w:r w:rsidRPr="000C00BE">
        <w:rPr>
          <w:rFonts w:ascii="Arial" w:hAnsi="Arial" w:cs="Arial"/>
          <w:spacing w:val="11"/>
          <w:sz w:val="20"/>
        </w:rPr>
        <w:t xml:space="preserve"> </w:t>
      </w:r>
      <w:r w:rsidRPr="000C00BE">
        <w:rPr>
          <w:rFonts w:ascii="Arial" w:hAnsi="Arial" w:cs="Arial"/>
          <w:sz w:val="20"/>
        </w:rPr>
        <w:t>to</w:t>
      </w:r>
      <w:r w:rsidRPr="000C00BE">
        <w:rPr>
          <w:rFonts w:ascii="Arial" w:hAnsi="Arial" w:cs="Arial"/>
          <w:spacing w:val="13"/>
          <w:sz w:val="20"/>
        </w:rPr>
        <w:t xml:space="preserve"> </w:t>
      </w:r>
      <w:r w:rsidRPr="000C00BE">
        <w:rPr>
          <w:rFonts w:ascii="Arial" w:hAnsi="Arial" w:cs="Arial"/>
          <w:sz w:val="20"/>
        </w:rPr>
        <w:t>the</w:t>
      </w:r>
      <w:r w:rsidRPr="000C00BE">
        <w:rPr>
          <w:rFonts w:ascii="Arial" w:hAnsi="Arial" w:cs="Arial"/>
          <w:spacing w:val="13"/>
          <w:sz w:val="20"/>
        </w:rPr>
        <w:t xml:space="preserve"> </w:t>
      </w:r>
      <w:r w:rsidRPr="000C00BE">
        <w:rPr>
          <w:rFonts w:ascii="Arial" w:hAnsi="Arial" w:cs="Arial"/>
          <w:sz w:val="20"/>
        </w:rPr>
        <w:t>extent</w:t>
      </w:r>
      <w:r w:rsidRPr="000C00BE">
        <w:rPr>
          <w:rFonts w:ascii="Arial" w:hAnsi="Arial" w:cs="Arial"/>
          <w:spacing w:val="14"/>
          <w:sz w:val="20"/>
        </w:rPr>
        <w:t xml:space="preserve"> </w:t>
      </w:r>
      <w:r w:rsidRPr="000C00BE">
        <w:rPr>
          <w:rFonts w:ascii="Arial" w:hAnsi="Arial" w:cs="Arial"/>
          <w:sz w:val="20"/>
        </w:rPr>
        <w:t>possible,</w:t>
      </w:r>
      <w:r w:rsidRPr="000C00BE">
        <w:rPr>
          <w:rFonts w:ascii="Arial" w:hAnsi="Arial" w:cs="Arial"/>
          <w:spacing w:val="14"/>
          <w:sz w:val="20"/>
        </w:rPr>
        <w:t xml:space="preserve"> </w:t>
      </w:r>
      <w:r w:rsidRPr="000C00BE">
        <w:rPr>
          <w:rFonts w:ascii="Arial" w:hAnsi="Arial" w:cs="Arial"/>
          <w:sz w:val="20"/>
        </w:rPr>
        <w:t>that</w:t>
      </w:r>
      <w:r w:rsidRPr="000C00BE">
        <w:rPr>
          <w:rFonts w:ascii="Arial" w:hAnsi="Arial" w:cs="Arial"/>
          <w:spacing w:val="13"/>
          <w:sz w:val="20"/>
        </w:rPr>
        <w:t xml:space="preserve"> </w:t>
      </w:r>
      <w:r w:rsidRPr="000C00BE">
        <w:rPr>
          <w:rFonts w:ascii="Arial" w:hAnsi="Arial" w:cs="Arial"/>
          <w:sz w:val="20"/>
        </w:rPr>
        <w:t>contents</w:t>
      </w:r>
      <w:r w:rsidRPr="000C00BE">
        <w:rPr>
          <w:rFonts w:ascii="Arial" w:hAnsi="Arial" w:cs="Arial"/>
          <w:spacing w:val="13"/>
          <w:sz w:val="20"/>
        </w:rPr>
        <w:t xml:space="preserve"> </w:t>
      </w:r>
      <w:r w:rsidRPr="000C00BE">
        <w:rPr>
          <w:rFonts w:ascii="Arial" w:hAnsi="Arial" w:cs="Arial"/>
          <w:sz w:val="20"/>
        </w:rPr>
        <w:t>are</w:t>
      </w:r>
      <w:r w:rsidRPr="000C00BE">
        <w:rPr>
          <w:rFonts w:ascii="Arial" w:hAnsi="Arial" w:cs="Arial"/>
          <w:spacing w:val="12"/>
          <w:sz w:val="20"/>
        </w:rPr>
        <w:t xml:space="preserve"> </w:t>
      </w:r>
      <w:r w:rsidRPr="000C00BE">
        <w:rPr>
          <w:rFonts w:ascii="Arial" w:hAnsi="Arial" w:cs="Arial"/>
          <w:sz w:val="20"/>
        </w:rPr>
        <w:t>maintained</w:t>
      </w:r>
      <w:r w:rsidRPr="000C00BE">
        <w:rPr>
          <w:rFonts w:ascii="Arial" w:hAnsi="Arial" w:cs="Arial"/>
          <w:spacing w:val="13"/>
          <w:sz w:val="20"/>
        </w:rPr>
        <w:t xml:space="preserve"> </w:t>
      </w:r>
      <w:r w:rsidRPr="000C00BE">
        <w:rPr>
          <w:rFonts w:ascii="Arial" w:hAnsi="Arial" w:cs="Arial"/>
          <w:sz w:val="20"/>
        </w:rPr>
        <w:t>in</w:t>
      </w:r>
      <w:r w:rsidRPr="000C00BE">
        <w:rPr>
          <w:rFonts w:ascii="Arial" w:hAnsi="Arial" w:cs="Arial"/>
          <w:spacing w:val="12"/>
          <w:sz w:val="20"/>
        </w:rPr>
        <w:t xml:space="preserve"> </w:t>
      </w:r>
      <w:r w:rsidRPr="000C00BE">
        <w:rPr>
          <w:rFonts w:ascii="Arial" w:hAnsi="Arial" w:cs="Arial"/>
          <w:sz w:val="20"/>
        </w:rPr>
        <w:t>the</w:t>
      </w:r>
      <w:r w:rsidRPr="000C00BE">
        <w:rPr>
          <w:rFonts w:ascii="Arial" w:hAnsi="Arial" w:cs="Arial"/>
          <w:spacing w:val="-47"/>
          <w:sz w:val="20"/>
        </w:rPr>
        <w:t xml:space="preserve"> </w:t>
      </w:r>
      <w:r w:rsidRPr="000C00BE">
        <w:rPr>
          <w:rFonts w:ascii="Arial" w:hAnsi="Arial" w:cs="Arial"/>
          <w:sz w:val="20"/>
        </w:rPr>
        <w:t>condition</w:t>
      </w:r>
      <w:r w:rsidRPr="000C00BE">
        <w:rPr>
          <w:rFonts w:ascii="Arial" w:hAnsi="Arial" w:cs="Arial"/>
          <w:spacing w:val="-5"/>
          <w:sz w:val="20"/>
        </w:rPr>
        <w:t xml:space="preserve"> </w:t>
      </w:r>
      <w:r w:rsidRPr="000C00BE">
        <w:rPr>
          <w:rFonts w:ascii="Arial" w:hAnsi="Arial" w:cs="Arial"/>
          <w:sz w:val="20"/>
        </w:rPr>
        <w:t>necessary</w:t>
      </w:r>
      <w:r w:rsidRPr="000C00BE">
        <w:rPr>
          <w:rFonts w:ascii="Arial" w:hAnsi="Arial" w:cs="Arial"/>
          <w:spacing w:val="-2"/>
          <w:sz w:val="20"/>
        </w:rPr>
        <w:t xml:space="preserve"> </w:t>
      </w:r>
      <w:r w:rsidRPr="000C00BE">
        <w:rPr>
          <w:rFonts w:ascii="Arial" w:hAnsi="Arial" w:cs="Arial"/>
          <w:sz w:val="20"/>
        </w:rPr>
        <w:t>for</w:t>
      </w:r>
      <w:r w:rsidRPr="000C00BE">
        <w:rPr>
          <w:rFonts w:ascii="Arial" w:hAnsi="Arial" w:cs="Arial"/>
          <w:spacing w:val="-3"/>
          <w:sz w:val="20"/>
        </w:rPr>
        <w:t xml:space="preserve"> </w:t>
      </w:r>
      <w:r w:rsidRPr="000C00BE">
        <w:rPr>
          <w:rFonts w:ascii="Arial" w:hAnsi="Arial" w:cs="Arial"/>
          <w:sz w:val="20"/>
        </w:rPr>
        <w:t>their intended use;</w:t>
      </w:r>
    </w:p>
    <w:p w14:paraId="3A4CBECE" w14:textId="77777777" w:rsidR="000C00BE" w:rsidRDefault="000C00BE" w:rsidP="009601C2">
      <w:pPr>
        <w:pStyle w:val="ListParagraph"/>
        <w:numPr>
          <w:ilvl w:val="0"/>
          <w:numId w:val="69"/>
        </w:numPr>
        <w:tabs>
          <w:tab w:val="left" w:pos="706"/>
          <w:tab w:val="left" w:pos="707"/>
        </w:tabs>
        <w:spacing w:before="121" w:line="276" w:lineRule="auto"/>
        <w:ind w:right="194"/>
        <w:jc w:val="both"/>
        <w:rPr>
          <w:rFonts w:ascii="Arial" w:hAnsi="Arial" w:cs="Arial"/>
          <w:sz w:val="20"/>
        </w:rPr>
      </w:pPr>
      <w:r w:rsidRPr="000C00BE">
        <w:rPr>
          <w:rFonts w:ascii="Arial" w:hAnsi="Arial" w:cs="Arial"/>
          <w:sz w:val="20"/>
        </w:rPr>
        <w:t>replenished</w:t>
      </w:r>
      <w:r w:rsidRPr="000C00BE">
        <w:rPr>
          <w:rFonts w:ascii="Arial" w:hAnsi="Arial" w:cs="Arial"/>
          <w:spacing w:val="7"/>
          <w:sz w:val="20"/>
        </w:rPr>
        <w:t xml:space="preserve"> </w:t>
      </w:r>
      <w:r w:rsidRPr="000C00BE">
        <w:rPr>
          <w:rFonts w:ascii="Arial" w:hAnsi="Arial" w:cs="Arial"/>
          <w:sz w:val="20"/>
        </w:rPr>
        <w:t>at</w:t>
      </w:r>
      <w:r w:rsidRPr="000C00BE">
        <w:rPr>
          <w:rFonts w:ascii="Arial" w:hAnsi="Arial" w:cs="Arial"/>
          <w:spacing w:val="8"/>
          <w:sz w:val="20"/>
        </w:rPr>
        <w:t xml:space="preserve"> </w:t>
      </w:r>
      <w:r w:rsidRPr="000C00BE">
        <w:rPr>
          <w:rFonts w:ascii="Arial" w:hAnsi="Arial" w:cs="Arial"/>
          <w:sz w:val="20"/>
        </w:rPr>
        <w:t>regular</w:t>
      </w:r>
      <w:r w:rsidRPr="000C00BE">
        <w:rPr>
          <w:rFonts w:ascii="Arial" w:hAnsi="Arial" w:cs="Arial"/>
          <w:spacing w:val="8"/>
          <w:sz w:val="20"/>
        </w:rPr>
        <w:t xml:space="preserve"> </w:t>
      </w:r>
      <w:r w:rsidRPr="000C00BE">
        <w:rPr>
          <w:rFonts w:ascii="Arial" w:hAnsi="Arial" w:cs="Arial"/>
          <w:sz w:val="20"/>
        </w:rPr>
        <w:t>intervals,</w:t>
      </w:r>
      <w:r w:rsidRPr="000C00BE">
        <w:rPr>
          <w:rFonts w:ascii="Arial" w:hAnsi="Arial" w:cs="Arial"/>
          <w:spacing w:val="6"/>
          <w:sz w:val="20"/>
        </w:rPr>
        <w:t xml:space="preserve"> </w:t>
      </w:r>
      <w:r w:rsidRPr="000C00BE">
        <w:rPr>
          <w:rFonts w:ascii="Arial" w:hAnsi="Arial" w:cs="Arial"/>
          <w:sz w:val="20"/>
        </w:rPr>
        <w:t>in</w:t>
      </w:r>
      <w:r w:rsidRPr="000C00BE">
        <w:rPr>
          <w:rFonts w:ascii="Arial" w:hAnsi="Arial" w:cs="Arial"/>
          <w:spacing w:val="7"/>
          <w:sz w:val="20"/>
        </w:rPr>
        <w:t xml:space="preserve"> </w:t>
      </w:r>
      <w:r w:rsidRPr="000C00BE">
        <w:rPr>
          <w:rFonts w:ascii="Arial" w:hAnsi="Arial" w:cs="Arial"/>
          <w:sz w:val="20"/>
        </w:rPr>
        <w:t>accordance</w:t>
      </w:r>
      <w:r w:rsidRPr="000C00BE">
        <w:rPr>
          <w:rFonts w:ascii="Arial" w:hAnsi="Arial" w:cs="Arial"/>
          <w:spacing w:val="7"/>
          <w:sz w:val="20"/>
        </w:rPr>
        <w:t xml:space="preserve"> </w:t>
      </w:r>
      <w:r w:rsidRPr="000C00BE">
        <w:rPr>
          <w:rFonts w:ascii="Arial" w:hAnsi="Arial" w:cs="Arial"/>
          <w:sz w:val="20"/>
        </w:rPr>
        <w:t>with</w:t>
      </w:r>
      <w:r w:rsidRPr="000C00BE">
        <w:rPr>
          <w:rFonts w:ascii="Arial" w:hAnsi="Arial" w:cs="Arial"/>
          <w:spacing w:val="5"/>
          <w:sz w:val="20"/>
        </w:rPr>
        <w:t xml:space="preserve"> </w:t>
      </w:r>
      <w:r w:rsidRPr="000C00BE">
        <w:rPr>
          <w:rFonts w:ascii="Arial" w:hAnsi="Arial" w:cs="Arial"/>
          <w:sz w:val="20"/>
        </w:rPr>
        <w:t>the</w:t>
      </w:r>
      <w:r w:rsidRPr="000C00BE">
        <w:rPr>
          <w:rFonts w:ascii="Arial" w:hAnsi="Arial" w:cs="Arial"/>
          <w:spacing w:val="9"/>
          <w:sz w:val="20"/>
        </w:rPr>
        <w:t xml:space="preserve"> </w:t>
      </w:r>
      <w:r w:rsidRPr="000C00BE">
        <w:rPr>
          <w:rFonts w:ascii="Arial" w:hAnsi="Arial" w:cs="Arial"/>
          <w:sz w:val="20"/>
        </w:rPr>
        <w:t>instructions</w:t>
      </w:r>
      <w:r w:rsidRPr="000C00BE">
        <w:rPr>
          <w:rFonts w:ascii="Arial" w:hAnsi="Arial" w:cs="Arial"/>
          <w:spacing w:val="5"/>
          <w:sz w:val="20"/>
        </w:rPr>
        <w:t xml:space="preserve"> </w:t>
      </w:r>
      <w:r w:rsidRPr="000C00BE">
        <w:rPr>
          <w:rFonts w:ascii="Arial" w:hAnsi="Arial" w:cs="Arial"/>
          <w:sz w:val="20"/>
        </w:rPr>
        <w:t>contained</w:t>
      </w:r>
      <w:r w:rsidRPr="000C00BE">
        <w:rPr>
          <w:rFonts w:ascii="Arial" w:hAnsi="Arial" w:cs="Arial"/>
          <w:spacing w:val="6"/>
          <w:sz w:val="20"/>
        </w:rPr>
        <w:t xml:space="preserve"> </w:t>
      </w:r>
      <w:r w:rsidRPr="000C00BE">
        <w:rPr>
          <w:rFonts w:ascii="Arial" w:hAnsi="Arial" w:cs="Arial"/>
          <w:sz w:val="20"/>
        </w:rPr>
        <w:t>on</w:t>
      </w:r>
      <w:r w:rsidRPr="000C00BE">
        <w:rPr>
          <w:rFonts w:ascii="Arial" w:hAnsi="Arial" w:cs="Arial"/>
          <w:spacing w:val="7"/>
          <w:sz w:val="20"/>
        </w:rPr>
        <w:t xml:space="preserve"> </w:t>
      </w:r>
      <w:r w:rsidRPr="000C00BE">
        <w:rPr>
          <w:rFonts w:ascii="Arial" w:hAnsi="Arial" w:cs="Arial"/>
          <w:sz w:val="20"/>
        </w:rPr>
        <w:t>their</w:t>
      </w:r>
      <w:r w:rsidRPr="000C00BE">
        <w:rPr>
          <w:rFonts w:ascii="Arial" w:hAnsi="Arial" w:cs="Arial"/>
          <w:spacing w:val="9"/>
          <w:sz w:val="20"/>
        </w:rPr>
        <w:t xml:space="preserve"> </w:t>
      </w:r>
      <w:r w:rsidRPr="000C00BE">
        <w:rPr>
          <w:rFonts w:ascii="Arial" w:hAnsi="Arial" w:cs="Arial"/>
          <w:sz w:val="20"/>
        </w:rPr>
        <w:t>labels,</w:t>
      </w:r>
      <w:r w:rsidRPr="000C00BE">
        <w:rPr>
          <w:rFonts w:ascii="Arial" w:hAnsi="Arial" w:cs="Arial"/>
          <w:spacing w:val="-47"/>
          <w:sz w:val="20"/>
        </w:rPr>
        <w:t xml:space="preserve"> </w:t>
      </w:r>
      <w:r w:rsidRPr="000C00BE">
        <w:rPr>
          <w:rFonts w:ascii="Arial" w:hAnsi="Arial" w:cs="Arial"/>
          <w:sz w:val="20"/>
        </w:rPr>
        <w:t>or</w:t>
      </w:r>
      <w:r w:rsidRPr="000C00BE">
        <w:rPr>
          <w:rFonts w:ascii="Arial" w:hAnsi="Arial" w:cs="Arial"/>
          <w:spacing w:val="-1"/>
          <w:sz w:val="20"/>
        </w:rPr>
        <w:t xml:space="preserve"> </w:t>
      </w:r>
      <w:r w:rsidRPr="000C00BE">
        <w:rPr>
          <w:rFonts w:ascii="Arial" w:hAnsi="Arial" w:cs="Arial"/>
          <w:sz w:val="20"/>
        </w:rPr>
        <w:t>as</w:t>
      </w:r>
      <w:r w:rsidRPr="000C00BE">
        <w:rPr>
          <w:rFonts w:ascii="Arial" w:hAnsi="Arial" w:cs="Arial"/>
          <w:spacing w:val="-2"/>
          <w:sz w:val="20"/>
        </w:rPr>
        <w:t xml:space="preserve"> </w:t>
      </w:r>
      <w:r w:rsidRPr="000C00BE">
        <w:rPr>
          <w:rFonts w:ascii="Arial" w:hAnsi="Arial" w:cs="Arial"/>
          <w:sz w:val="20"/>
        </w:rPr>
        <w:t>circumstances</w:t>
      </w:r>
      <w:r w:rsidRPr="000C00BE">
        <w:rPr>
          <w:rFonts w:ascii="Arial" w:hAnsi="Arial" w:cs="Arial"/>
          <w:spacing w:val="1"/>
          <w:sz w:val="20"/>
        </w:rPr>
        <w:t xml:space="preserve"> </w:t>
      </w:r>
      <w:r w:rsidRPr="000C00BE">
        <w:rPr>
          <w:rFonts w:ascii="Arial" w:hAnsi="Arial" w:cs="Arial"/>
          <w:sz w:val="20"/>
        </w:rPr>
        <w:t>warrant;</w:t>
      </w:r>
      <w:r w:rsidRPr="000C00BE">
        <w:rPr>
          <w:rFonts w:ascii="Arial" w:hAnsi="Arial" w:cs="Arial"/>
          <w:spacing w:val="1"/>
          <w:sz w:val="20"/>
        </w:rPr>
        <w:t xml:space="preserve"> </w:t>
      </w:r>
      <w:r>
        <w:rPr>
          <w:rFonts w:ascii="Arial" w:hAnsi="Arial" w:cs="Arial"/>
          <w:sz w:val="20"/>
        </w:rPr>
        <w:t>and</w:t>
      </w:r>
    </w:p>
    <w:p w14:paraId="259B1EA5" w14:textId="220D91C1" w:rsidR="00BB5DF6" w:rsidRPr="00943DEA" w:rsidRDefault="000C00BE" w:rsidP="00943DEA">
      <w:pPr>
        <w:pStyle w:val="ListParagraph"/>
        <w:numPr>
          <w:ilvl w:val="0"/>
          <w:numId w:val="69"/>
        </w:numPr>
        <w:tabs>
          <w:tab w:val="left" w:pos="706"/>
          <w:tab w:val="left" w:pos="707"/>
        </w:tabs>
        <w:spacing w:line="276" w:lineRule="auto"/>
        <w:ind w:right="200"/>
        <w:jc w:val="both"/>
        <w:rPr>
          <w:rFonts w:ascii="Arial" w:hAnsi="Arial" w:cs="Arial"/>
          <w:sz w:val="20"/>
        </w:rPr>
      </w:pPr>
      <w:r w:rsidRPr="000C00BE">
        <w:rPr>
          <w:rFonts w:ascii="Arial" w:hAnsi="Arial" w:cs="Arial"/>
          <w:sz w:val="20"/>
        </w:rPr>
        <w:t>replenished after use in flight at the first opportunity where replacement items are available.</w:t>
      </w:r>
    </w:p>
    <w:p w14:paraId="4AF36DCB" w14:textId="77777777" w:rsidR="00BB5DF6" w:rsidRPr="00BB5DF6" w:rsidRDefault="00BB5DF6" w:rsidP="009601C2">
      <w:pPr>
        <w:keepNext/>
        <w:keepLines/>
        <w:widowControl/>
        <w:shd w:val="clear" w:color="auto" w:fill="339966"/>
        <w:autoSpaceDE/>
        <w:autoSpaceDN/>
        <w:spacing w:before="160" w:after="120" w:line="276" w:lineRule="auto"/>
        <w:jc w:val="both"/>
        <w:outlineLvl w:val="4"/>
        <w:rPr>
          <w:rFonts w:ascii="Arial" w:eastAsia="Times New Roman" w:hAnsi="Arial" w:cs="Times New Roman"/>
          <w:b/>
          <w:color w:val="FFFFFF"/>
          <w:sz w:val="24"/>
        </w:rPr>
      </w:pPr>
      <w:bookmarkStart w:id="275" w:name="GM1_BOP.BAS.330(a)_First-aid_kit"/>
      <w:bookmarkStart w:id="276" w:name="_bookmark120"/>
      <w:bookmarkStart w:id="277" w:name="_Toc153137285"/>
      <w:bookmarkEnd w:id="275"/>
      <w:bookmarkEnd w:id="276"/>
      <w:r w:rsidRPr="00BB5DF6">
        <w:rPr>
          <w:rFonts w:ascii="Arial" w:eastAsia="Times New Roman" w:hAnsi="Arial" w:cs="Times New Roman"/>
          <w:b/>
          <w:color w:val="FFFFFF"/>
          <w:sz w:val="24"/>
        </w:rPr>
        <w:t>GM1 BOP.BAS.330(a) First-aid kit</w:t>
      </w:r>
      <w:bookmarkEnd w:id="277"/>
    </w:p>
    <w:p w14:paraId="77C7D404" w14:textId="77777777" w:rsidR="00BB5DF6" w:rsidRPr="00BB5DF6" w:rsidRDefault="00BB5DF6" w:rsidP="009601C2">
      <w:pPr>
        <w:spacing w:before="120" w:line="276" w:lineRule="auto"/>
        <w:jc w:val="both"/>
        <w:rPr>
          <w:rFonts w:ascii="Arial" w:hAnsi="Arial" w:cs="Arial"/>
          <w:b/>
          <w:sz w:val="20"/>
          <w:szCs w:val="20"/>
        </w:rPr>
      </w:pPr>
      <w:r w:rsidRPr="00BB5DF6">
        <w:rPr>
          <w:rFonts w:ascii="Arial" w:hAnsi="Arial" w:cs="Arial"/>
          <w:b/>
          <w:sz w:val="20"/>
          <w:szCs w:val="20"/>
        </w:rPr>
        <w:t>ADDITIONAL</w:t>
      </w:r>
      <w:r w:rsidRPr="00BB5DF6">
        <w:rPr>
          <w:rFonts w:ascii="Arial" w:hAnsi="Arial" w:cs="Arial"/>
          <w:b/>
          <w:spacing w:val="-4"/>
          <w:sz w:val="20"/>
          <w:szCs w:val="20"/>
        </w:rPr>
        <w:t xml:space="preserve"> </w:t>
      </w:r>
      <w:r w:rsidRPr="00BB5DF6">
        <w:rPr>
          <w:rFonts w:ascii="Arial" w:hAnsi="Arial" w:cs="Arial"/>
          <w:b/>
          <w:sz w:val="20"/>
          <w:szCs w:val="20"/>
        </w:rPr>
        <w:t>FIRST-AID</w:t>
      </w:r>
      <w:r w:rsidRPr="00BB5DF6">
        <w:rPr>
          <w:rFonts w:ascii="Arial" w:hAnsi="Arial" w:cs="Arial"/>
          <w:b/>
          <w:spacing w:val="-3"/>
          <w:sz w:val="20"/>
          <w:szCs w:val="20"/>
        </w:rPr>
        <w:t xml:space="preserve"> </w:t>
      </w:r>
      <w:r w:rsidRPr="00BB5DF6">
        <w:rPr>
          <w:rFonts w:ascii="Arial" w:hAnsi="Arial" w:cs="Arial"/>
          <w:b/>
          <w:sz w:val="20"/>
          <w:szCs w:val="20"/>
        </w:rPr>
        <w:t>KIT</w:t>
      </w:r>
    </w:p>
    <w:p w14:paraId="481DA466" w14:textId="77777777" w:rsidR="00BB5DF6" w:rsidRPr="00C05F03" w:rsidRDefault="00BB5DF6" w:rsidP="009601C2">
      <w:pPr>
        <w:pStyle w:val="BodyText"/>
        <w:spacing w:before="116" w:line="276" w:lineRule="auto"/>
        <w:jc w:val="both"/>
        <w:rPr>
          <w:rFonts w:ascii="Arial" w:hAnsi="Arial" w:cs="Arial"/>
          <w:sz w:val="20"/>
          <w:szCs w:val="20"/>
        </w:rPr>
      </w:pPr>
      <w:r w:rsidRPr="00BB5DF6">
        <w:rPr>
          <w:rFonts w:ascii="Arial" w:hAnsi="Arial" w:cs="Arial"/>
          <w:sz w:val="20"/>
          <w:szCs w:val="20"/>
        </w:rPr>
        <w:t>An</w:t>
      </w:r>
      <w:r w:rsidRPr="00BB5DF6">
        <w:rPr>
          <w:rFonts w:ascii="Arial" w:hAnsi="Arial" w:cs="Arial"/>
          <w:spacing w:val="-3"/>
          <w:sz w:val="20"/>
          <w:szCs w:val="20"/>
        </w:rPr>
        <w:t xml:space="preserve"> </w:t>
      </w:r>
      <w:r w:rsidRPr="00BB5DF6">
        <w:rPr>
          <w:rFonts w:ascii="Arial" w:hAnsi="Arial" w:cs="Arial"/>
          <w:sz w:val="20"/>
          <w:szCs w:val="20"/>
        </w:rPr>
        <w:t>additional first-aid</w:t>
      </w:r>
      <w:r w:rsidRPr="00BB5DF6">
        <w:rPr>
          <w:rFonts w:ascii="Arial" w:hAnsi="Arial" w:cs="Arial"/>
          <w:spacing w:val="-4"/>
          <w:sz w:val="20"/>
          <w:szCs w:val="20"/>
        </w:rPr>
        <w:t xml:space="preserve"> </w:t>
      </w:r>
      <w:r w:rsidRPr="00BB5DF6">
        <w:rPr>
          <w:rFonts w:ascii="Arial" w:hAnsi="Arial" w:cs="Arial"/>
          <w:sz w:val="20"/>
          <w:szCs w:val="20"/>
        </w:rPr>
        <w:t>kit</w:t>
      </w:r>
      <w:r w:rsidRPr="00BB5DF6">
        <w:rPr>
          <w:rFonts w:ascii="Arial" w:hAnsi="Arial" w:cs="Arial"/>
          <w:spacing w:val="-2"/>
          <w:sz w:val="20"/>
          <w:szCs w:val="20"/>
        </w:rPr>
        <w:t xml:space="preserve"> </w:t>
      </w:r>
      <w:r w:rsidRPr="00BB5DF6">
        <w:rPr>
          <w:rFonts w:ascii="Arial" w:hAnsi="Arial" w:cs="Arial"/>
          <w:sz w:val="20"/>
          <w:szCs w:val="20"/>
        </w:rPr>
        <w:t>may</w:t>
      </w:r>
      <w:r w:rsidRPr="00BB5DF6">
        <w:rPr>
          <w:rFonts w:ascii="Arial" w:hAnsi="Arial" w:cs="Arial"/>
          <w:spacing w:val="1"/>
          <w:sz w:val="20"/>
          <w:szCs w:val="20"/>
        </w:rPr>
        <w:t xml:space="preserve"> </w:t>
      </w:r>
      <w:r w:rsidRPr="00BB5DF6">
        <w:rPr>
          <w:rFonts w:ascii="Arial" w:hAnsi="Arial" w:cs="Arial"/>
          <w:sz w:val="20"/>
          <w:szCs w:val="20"/>
        </w:rPr>
        <w:t>be</w:t>
      </w:r>
      <w:r w:rsidRPr="00BB5DF6">
        <w:rPr>
          <w:rFonts w:ascii="Arial" w:hAnsi="Arial" w:cs="Arial"/>
          <w:spacing w:val="-2"/>
          <w:sz w:val="20"/>
          <w:szCs w:val="20"/>
        </w:rPr>
        <w:t xml:space="preserve"> </w:t>
      </w:r>
      <w:r w:rsidRPr="00BB5DF6">
        <w:rPr>
          <w:rFonts w:ascii="Arial" w:hAnsi="Arial" w:cs="Arial"/>
          <w:sz w:val="20"/>
          <w:szCs w:val="20"/>
        </w:rPr>
        <w:t>carried in</w:t>
      </w:r>
      <w:r w:rsidRPr="00BB5DF6">
        <w:rPr>
          <w:rFonts w:ascii="Arial" w:hAnsi="Arial" w:cs="Arial"/>
          <w:spacing w:val="-3"/>
          <w:sz w:val="20"/>
          <w:szCs w:val="20"/>
        </w:rPr>
        <w:t xml:space="preserve"> </w:t>
      </w:r>
      <w:r w:rsidRPr="00BB5DF6">
        <w:rPr>
          <w:rFonts w:ascii="Arial" w:hAnsi="Arial" w:cs="Arial"/>
          <w:sz w:val="20"/>
          <w:szCs w:val="20"/>
        </w:rPr>
        <w:t>the</w:t>
      </w:r>
      <w:r w:rsidRPr="00BB5DF6">
        <w:rPr>
          <w:rFonts w:ascii="Arial" w:hAnsi="Arial" w:cs="Arial"/>
          <w:spacing w:val="-1"/>
          <w:sz w:val="20"/>
          <w:szCs w:val="20"/>
        </w:rPr>
        <w:t xml:space="preserve"> </w:t>
      </w:r>
      <w:r w:rsidRPr="00BB5DF6">
        <w:rPr>
          <w:rFonts w:ascii="Arial" w:hAnsi="Arial" w:cs="Arial"/>
          <w:sz w:val="20"/>
          <w:szCs w:val="20"/>
        </w:rPr>
        <w:t>retrieve</w:t>
      </w:r>
      <w:r w:rsidRPr="00BB5DF6">
        <w:rPr>
          <w:rFonts w:ascii="Arial" w:hAnsi="Arial" w:cs="Arial"/>
          <w:spacing w:val="1"/>
          <w:sz w:val="20"/>
          <w:szCs w:val="20"/>
        </w:rPr>
        <w:t xml:space="preserve"> </w:t>
      </w:r>
      <w:r w:rsidRPr="00BB5DF6">
        <w:rPr>
          <w:rFonts w:ascii="Arial" w:hAnsi="Arial" w:cs="Arial"/>
          <w:sz w:val="20"/>
          <w:szCs w:val="20"/>
        </w:rPr>
        <w:t>vehicle</w:t>
      </w:r>
      <w:r w:rsidRPr="00BB5DF6">
        <w:rPr>
          <w:rFonts w:ascii="Arial" w:hAnsi="Arial" w:cs="Arial"/>
          <w:spacing w:val="-2"/>
          <w:sz w:val="20"/>
          <w:szCs w:val="20"/>
        </w:rPr>
        <w:t xml:space="preserve"> </w:t>
      </w:r>
      <w:r w:rsidRPr="00BB5DF6">
        <w:rPr>
          <w:rFonts w:ascii="Arial" w:hAnsi="Arial" w:cs="Arial"/>
          <w:sz w:val="20"/>
          <w:szCs w:val="20"/>
        </w:rPr>
        <w:t>or</w:t>
      </w:r>
      <w:r w:rsidRPr="00BB5DF6">
        <w:rPr>
          <w:rFonts w:ascii="Arial" w:hAnsi="Arial" w:cs="Arial"/>
          <w:spacing w:val="-2"/>
          <w:sz w:val="20"/>
          <w:szCs w:val="20"/>
        </w:rPr>
        <w:t xml:space="preserve"> </w:t>
      </w:r>
      <w:r w:rsidRPr="00BB5DF6">
        <w:rPr>
          <w:rFonts w:ascii="Arial" w:hAnsi="Arial" w:cs="Arial"/>
          <w:sz w:val="20"/>
          <w:szCs w:val="20"/>
        </w:rPr>
        <w:t>trailer.</w:t>
      </w:r>
    </w:p>
    <w:p w14:paraId="3438BC24" w14:textId="77777777" w:rsidR="00C05F03" w:rsidRPr="00C05F03" w:rsidRDefault="00C05F03"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278" w:name="BOP.BAS.335_Hand_fire_extinguishers"/>
      <w:bookmarkStart w:id="279" w:name="_bookmark121"/>
      <w:bookmarkStart w:id="280" w:name="_Toc153137286"/>
      <w:bookmarkEnd w:id="278"/>
      <w:bookmarkEnd w:id="279"/>
      <w:r w:rsidRPr="00C05F03">
        <w:rPr>
          <w:rFonts w:ascii="Arial" w:eastAsia="Times New Roman" w:hAnsi="Arial" w:cs="Times New Roman"/>
          <w:b/>
          <w:iCs/>
          <w:color w:val="FFFFFF"/>
          <w:sz w:val="24"/>
        </w:rPr>
        <w:t>BOP.BAS.335 Hand fire extinguishers</w:t>
      </w:r>
      <w:bookmarkEnd w:id="280"/>
    </w:p>
    <w:p w14:paraId="7F9677CF" w14:textId="77777777" w:rsidR="00C05F03" w:rsidRDefault="00C05F03" w:rsidP="009601C2">
      <w:pPr>
        <w:tabs>
          <w:tab w:val="left" w:pos="706"/>
          <w:tab w:val="left" w:pos="707"/>
        </w:tabs>
        <w:spacing w:before="121" w:line="276" w:lineRule="auto"/>
        <w:ind w:right="194"/>
        <w:jc w:val="both"/>
        <w:rPr>
          <w:rFonts w:ascii="Arial" w:hAnsi="Arial" w:cs="Arial"/>
          <w:sz w:val="20"/>
        </w:rPr>
      </w:pPr>
      <w:r w:rsidRPr="00C05F03">
        <w:rPr>
          <w:rFonts w:ascii="Arial" w:hAnsi="Arial" w:cs="Arial"/>
          <w:sz w:val="20"/>
        </w:rPr>
        <w:t>Except for gas balloons, balloons shall be equipped with at least one hand fire extinguisher.</w:t>
      </w:r>
    </w:p>
    <w:p w14:paraId="4A7F2C05" w14:textId="77777777" w:rsidR="00C05F03" w:rsidRPr="00C05F03" w:rsidRDefault="00C05F03" w:rsidP="009601C2">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281" w:name="AMC1_BOP.BAS.335_Hand_fire_extinguishers"/>
      <w:bookmarkStart w:id="282" w:name="_bookmark122"/>
      <w:bookmarkStart w:id="283" w:name="_Toc153137287"/>
      <w:bookmarkEnd w:id="281"/>
      <w:bookmarkEnd w:id="282"/>
      <w:r w:rsidRPr="00C05F03">
        <w:rPr>
          <w:rFonts w:ascii="Arial" w:eastAsia="Times New Roman" w:hAnsi="Arial" w:cs="Times New Roman"/>
          <w:b/>
          <w:color w:val="FFFFFF"/>
          <w:sz w:val="24"/>
        </w:rPr>
        <w:t>AMC1 BOP.BAS.335 Hand fire extinguishers</w:t>
      </w:r>
      <w:bookmarkEnd w:id="283"/>
    </w:p>
    <w:p w14:paraId="0BC8A458" w14:textId="77777777" w:rsidR="00CB49B6" w:rsidRPr="00CB49B6" w:rsidRDefault="00CB49B6" w:rsidP="009601C2">
      <w:pPr>
        <w:tabs>
          <w:tab w:val="left" w:pos="706"/>
          <w:tab w:val="left" w:pos="707"/>
        </w:tabs>
        <w:spacing w:before="121" w:line="276" w:lineRule="auto"/>
        <w:ind w:right="194"/>
        <w:jc w:val="both"/>
        <w:rPr>
          <w:rFonts w:ascii="Arial" w:hAnsi="Arial" w:cs="Arial"/>
          <w:b/>
          <w:sz w:val="20"/>
        </w:rPr>
      </w:pPr>
      <w:r w:rsidRPr="00CB49B6">
        <w:rPr>
          <w:rFonts w:ascii="Arial" w:hAnsi="Arial" w:cs="Arial"/>
          <w:b/>
          <w:sz w:val="20"/>
        </w:rPr>
        <w:t>CERTIFICATION SPECIFICATIONS</w:t>
      </w:r>
    </w:p>
    <w:p w14:paraId="2B55865B" w14:textId="77777777" w:rsidR="00CB49B6" w:rsidRPr="00CB49B6" w:rsidRDefault="00CB49B6" w:rsidP="009601C2">
      <w:pPr>
        <w:tabs>
          <w:tab w:val="left" w:pos="706"/>
          <w:tab w:val="left" w:pos="707"/>
        </w:tabs>
        <w:spacing w:before="121" w:line="276" w:lineRule="auto"/>
        <w:ind w:right="194"/>
        <w:jc w:val="both"/>
        <w:rPr>
          <w:rFonts w:ascii="Arial" w:hAnsi="Arial" w:cs="Arial"/>
          <w:sz w:val="20"/>
        </w:rPr>
      </w:pPr>
      <w:r w:rsidRPr="00CB49B6">
        <w:rPr>
          <w:rFonts w:ascii="Arial" w:hAnsi="Arial" w:cs="Arial"/>
          <w:sz w:val="20"/>
        </w:rPr>
        <w:t>The applicable certification specification for hot-air balloons should be CS-31HB or equivalent.</w:t>
      </w:r>
    </w:p>
    <w:p w14:paraId="0B10285B" w14:textId="77777777" w:rsidR="004D41AC" w:rsidRPr="004D41AC" w:rsidRDefault="004D41AC" w:rsidP="009601C2">
      <w:pPr>
        <w:keepNext/>
        <w:keepLines/>
        <w:widowControl/>
        <w:shd w:val="clear" w:color="auto" w:fill="339966"/>
        <w:autoSpaceDE/>
        <w:autoSpaceDN/>
        <w:spacing w:before="160" w:after="120" w:line="276" w:lineRule="auto"/>
        <w:jc w:val="both"/>
        <w:outlineLvl w:val="4"/>
        <w:rPr>
          <w:rFonts w:ascii="Arial" w:eastAsia="Times New Roman" w:hAnsi="Arial" w:cs="Times New Roman"/>
          <w:b/>
          <w:color w:val="FFFFFF"/>
          <w:sz w:val="24"/>
        </w:rPr>
      </w:pPr>
      <w:bookmarkStart w:id="284" w:name="GM1_BOP.BAS.335_Hand_fire_extinguishers"/>
      <w:bookmarkStart w:id="285" w:name="_bookmark123"/>
      <w:bookmarkStart w:id="286" w:name="_Toc153137288"/>
      <w:bookmarkEnd w:id="284"/>
      <w:bookmarkEnd w:id="285"/>
      <w:r w:rsidRPr="004D41AC">
        <w:rPr>
          <w:rFonts w:ascii="Arial" w:eastAsia="Times New Roman" w:hAnsi="Arial" w:cs="Times New Roman"/>
          <w:b/>
          <w:color w:val="FFFFFF"/>
          <w:sz w:val="24"/>
        </w:rPr>
        <w:t>GM1 BOP.BAS.335 Hand fire extinguishers</w:t>
      </w:r>
      <w:bookmarkEnd w:id="286"/>
    </w:p>
    <w:p w14:paraId="05E8CFA1" w14:textId="77777777" w:rsidR="004D41AC" w:rsidRPr="00276D5E" w:rsidRDefault="004D41AC" w:rsidP="009601C2">
      <w:pPr>
        <w:spacing w:before="120" w:line="276" w:lineRule="auto"/>
        <w:jc w:val="both"/>
        <w:rPr>
          <w:rFonts w:ascii="Arial" w:hAnsi="Arial" w:cs="Arial"/>
          <w:b/>
          <w:sz w:val="20"/>
        </w:rPr>
      </w:pPr>
      <w:r w:rsidRPr="00276D5E">
        <w:rPr>
          <w:rFonts w:ascii="Arial" w:hAnsi="Arial" w:cs="Arial"/>
          <w:b/>
          <w:sz w:val="20"/>
        </w:rPr>
        <w:t>ADDITIONAL</w:t>
      </w:r>
      <w:r w:rsidRPr="00276D5E">
        <w:rPr>
          <w:rFonts w:ascii="Arial" w:hAnsi="Arial" w:cs="Arial"/>
          <w:b/>
          <w:spacing w:val="-4"/>
          <w:sz w:val="20"/>
        </w:rPr>
        <w:t xml:space="preserve"> </w:t>
      </w:r>
      <w:r w:rsidRPr="00276D5E">
        <w:rPr>
          <w:rFonts w:ascii="Arial" w:hAnsi="Arial" w:cs="Arial"/>
          <w:b/>
          <w:sz w:val="20"/>
        </w:rPr>
        <w:t>HAND</w:t>
      </w:r>
      <w:r w:rsidRPr="00276D5E">
        <w:rPr>
          <w:rFonts w:ascii="Arial" w:hAnsi="Arial" w:cs="Arial"/>
          <w:b/>
          <w:spacing w:val="-5"/>
          <w:sz w:val="20"/>
        </w:rPr>
        <w:t xml:space="preserve"> </w:t>
      </w:r>
      <w:r w:rsidRPr="00276D5E">
        <w:rPr>
          <w:rFonts w:ascii="Arial" w:hAnsi="Arial" w:cs="Arial"/>
          <w:b/>
          <w:sz w:val="20"/>
        </w:rPr>
        <w:t>FIRE</w:t>
      </w:r>
      <w:r w:rsidRPr="00276D5E">
        <w:rPr>
          <w:rFonts w:ascii="Arial" w:hAnsi="Arial" w:cs="Arial"/>
          <w:b/>
          <w:spacing w:val="-4"/>
          <w:sz w:val="20"/>
        </w:rPr>
        <w:t xml:space="preserve"> </w:t>
      </w:r>
      <w:r w:rsidRPr="00276D5E">
        <w:rPr>
          <w:rFonts w:ascii="Arial" w:hAnsi="Arial" w:cs="Arial"/>
          <w:b/>
          <w:sz w:val="20"/>
        </w:rPr>
        <w:t>EXTINGUISHER</w:t>
      </w:r>
    </w:p>
    <w:p w14:paraId="4F71F92D" w14:textId="77777777" w:rsidR="004D41AC" w:rsidRPr="004D41AC" w:rsidRDefault="004D41AC" w:rsidP="009601C2">
      <w:pPr>
        <w:pStyle w:val="BodyText"/>
        <w:spacing w:before="119" w:line="276" w:lineRule="auto"/>
        <w:jc w:val="both"/>
        <w:rPr>
          <w:rFonts w:ascii="Arial" w:hAnsi="Arial" w:cs="Arial"/>
          <w:sz w:val="20"/>
        </w:rPr>
      </w:pPr>
      <w:r w:rsidRPr="004D41AC">
        <w:rPr>
          <w:rFonts w:ascii="Arial" w:hAnsi="Arial" w:cs="Arial"/>
          <w:sz w:val="20"/>
        </w:rPr>
        <w:t>An</w:t>
      </w:r>
      <w:r w:rsidRPr="004D41AC">
        <w:rPr>
          <w:rFonts w:ascii="Arial" w:hAnsi="Arial" w:cs="Arial"/>
          <w:spacing w:val="-3"/>
          <w:sz w:val="20"/>
        </w:rPr>
        <w:t xml:space="preserve"> </w:t>
      </w:r>
      <w:r w:rsidRPr="004D41AC">
        <w:rPr>
          <w:rFonts w:ascii="Arial" w:hAnsi="Arial" w:cs="Arial"/>
          <w:sz w:val="20"/>
        </w:rPr>
        <w:t>additional hand</w:t>
      </w:r>
      <w:r w:rsidRPr="004D41AC">
        <w:rPr>
          <w:rFonts w:ascii="Arial" w:hAnsi="Arial" w:cs="Arial"/>
          <w:spacing w:val="-2"/>
          <w:sz w:val="20"/>
        </w:rPr>
        <w:t xml:space="preserve"> </w:t>
      </w:r>
      <w:r w:rsidRPr="004D41AC">
        <w:rPr>
          <w:rFonts w:ascii="Arial" w:hAnsi="Arial" w:cs="Arial"/>
          <w:sz w:val="20"/>
        </w:rPr>
        <w:t>fire</w:t>
      </w:r>
      <w:r w:rsidRPr="004D41AC">
        <w:rPr>
          <w:rFonts w:ascii="Arial" w:hAnsi="Arial" w:cs="Arial"/>
          <w:spacing w:val="-2"/>
          <w:sz w:val="20"/>
        </w:rPr>
        <w:t xml:space="preserve"> </w:t>
      </w:r>
      <w:r w:rsidRPr="004D41AC">
        <w:rPr>
          <w:rFonts w:ascii="Arial" w:hAnsi="Arial" w:cs="Arial"/>
          <w:sz w:val="20"/>
        </w:rPr>
        <w:t>extinguisher</w:t>
      </w:r>
      <w:r w:rsidRPr="004D41AC">
        <w:rPr>
          <w:rFonts w:ascii="Arial" w:hAnsi="Arial" w:cs="Arial"/>
          <w:spacing w:val="-1"/>
          <w:sz w:val="20"/>
        </w:rPr>
        <w:t xml:space="preserve"> </w:t>
      </w:r>
      <w:r w:rsidRPr="004D41AC">
        <w:rPr>
          <w:rFonts w:ascii="Arial" w:hAnsi="Arial" w:cs="Arial"/>
          <w:sz w:val="20"/>
        </w:rPr>
        <w:t>may be</w:t>
      </w:r>
      <w:r w:rsidRPr="004D41AC">
        <w:rPr>
          <w:rFonts w:ascii="Arial" w:hAnsi="Arial" w:cs="Arial"/>
          <w:spacing w:val="-2"/>
          <w:sz w:val="20"/>
        </w:rPr>
        <w:t xml:space="preserve"> </w:t>
      </w:r>
      <w:r w:rsidRPr="004D41AC">
        <w:rPr>
          <w:rFonts w:ascii="Arial" w:hAnsi="Arial" w:cs="Arial"/>
          <w:sz w:val="20"/>
        </w:rPr>
        <w:t>carried</w:t>
      </w:r>
      <w:r w:rsidRPr="004D41AC">
        <w:rPr>
          <w:rFonts w:ascii="Arial" w:hAnsi="Arial" w:cs="Arial"/>
          <w:spacing w:val="-1"/>
          <w:sz w:val="20"/>
        </w:rPr>
        <w:t xml:space="preserve"> </w:t>
      </w:r>
      <w:r w:rsidRPr="004D41AC">
        <w:rPr>
          <w:rFonts w:ascii="Arial" w:hAnsi="Arial" w:cs="Arial"/>
          <w:sz w:val="20"/>
        </w:rPr>
        <w:t>in</w:t>
      </w:r>
      <w:r w:rsidRPr="004D41AC">
        <w:rPr>
          <w:rFonts w:ascii="Arial" w:hAnsi="Arial" w:cs="Arial"/>
          <w:spacing w:val="-3"/>
          <w:sz w:val="20"/>
        </w:rPr>
        <w:t xml:space="preserve"> </w:t>
      </w:r>
      <w:r w:rsidRPr="004D41AC">
        <w:rPr>
          <w:rFonts w:ascii="Arial" w:hAnsi="Arial" w:cs="Arial"/>
          <w:sz w:val="20"/>
        </w:rPr>
        <w:t>the</w:t>
      </w:r>
      <w:r w:rsidRPr="004D41AC">
        <w:rPr>
          <w:rFonts w:ascii="Arial" w:hAnsi="Arial" w:cs="Arial"/>
          <w:spacing w:val="-1"/>
          <w:sz w:val="20"/>
        </w:rPr>
        <w:t xml:space="preserve"> </w:t>
      </w:r>
      <w:r w:rsidRPr="004D41AC">
        <w:rPr>
          <w:rFonts w:ascii="Arial" w:hAnsi="Arial" w:cs="Arial"/>
          <w:sz w:val="20"/>
        </w:rPr>
        <w:t>retrieve</w:t>
      </w:r>
      <w:r w:rsidRPr="004D41AC">
        <w:rPr>
          <w:rFonts w:ascii="Arial" w:hAnsi="Arial" w:cs="Arial"/>
          <w:spacing w:val="-2"/>
          <w:sz w:val="20"/>
        </w:rPr>
        <w:t xml:space="preserve"> </w:t>
      </w:r>
      <w:r w:rsidRPr="004D41AC">
        <w:rPr>
          <w:rFonts w:ascii="Arial" w:hAnsi="Arial" w:cs="Arial"/>
          <w:sz w:val="20"/>
        </w:rPr>
        <w:t>vehicle or</w:t>
      </w:r>
      <w:r w:rsidRPr="004D41AC">
        <w:rPr>
          <w:rFonts w:ascii="Arial" w:hAnsi="Arial" w:cs="Arial"/>
          <w:spacing w:val="-3"/>
          <w:sz w:val="20"/>
        </w:rPr>
        <w:t xml:space="preserve"> </w:t>
      </w:r>
      <w:r w:rsidRPr="004D41AC">
        <w:rPr>
          <w:rFonts w:ascii="Arial" w:hAnsi="Arial" w:cs="Arial"/>
          <w:sz w:val="20"/>
        </w:rPr>
        <w:t>trailer.</w:t>
      </w:r>
    </w:p>
    <w:p w14:paraId="62711B32" w14:textId="77777777" w:rsidR="00E64FA7" w:rsidRPr="00E64FA7" w:rsidRDefault="00E64FA7"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287" w:name="BOP.BAS.340_Life-saving_and_signalling_e"/>
      <w:bookmarkStart w:id="288" w:name="_bookmark124"/>
      <w:bookmarkStart w:id="289" w:name="_Toc153137289"/>
      <w:bookmarkEnd w:id="287"/>
      <w:bookmarkEnd w:id="288"/>
      <w:r w:rsidRPr="00E64FA7">
        <w:rPr>
          <w:rFonts w:ascii="Arial" w:eastAsia="Times New Roman" w:hAnsi="Arial" w:cs="Times New Roman"/>
          <w:b/>
          <w:iCs/>
          <w:color w:val="FFFFFF"/>
          <w:sz w:val="24"/>
        </w:rPr>
        <w:t>BOP.BAS.340 Life-saving and signalling equipment – Flights over water</w:t>
      </w:r>
      <w:bookmarkEnd w:id="289"/>
    </w:p>
    <w:p w14:paraId="282D43ED" w14:textId="77777777" w:rsidR="00E64FA7" w:rsidRPr="00E64FA7" w:rsidRDefault="00E64FA7" w:rsidP="009601C2">
      <w:pPr>
        <w:tabs>
          <w:tab w:val="left" w:pos="706"/>
          <w:tab w:val="left" w:pos="707"/>
        </w:tabs>
        <w:spacing w:before="121" w:line="276" w:lineRule="auto"/>
        <w:ind w:right="194"/>
        <w:jc w:val="both"/>
        <w:rPr>
          <w:rFonts w:ascii="Arial" w:hAnsi="Arial" w:cs="Arial"/>
          <w:sz w:val="20"/>
        </w:rPr>
      </w:pPr>
      <w:r w:rsidRPr="00E64FA7">
        <w:rPr>
          <w:rFonts w:ascii="Arial" w:hAnsi="Arial" w:cs="Arial"/>
          <w:sz w:val="20"/>
        </w:rPr>
        <w:t>The pilot-in-command of a balloon operated over water shall determine, before commencing the flight, the risks to survival of the persons carried in the balloon in the event of ditching. In light of those risks, he or she shall determine whether there is need to carry life-saving and signalling equipment.</w:t>
      </w:r>
    </w:p>
    <w:p w14:paraId="6B93B11D" w14:textId="77777777" w:rsidR="00E64FA7" w:rsidRPr="00E64FA7" w:rsidRDefault="00E64FA7" w:rsidP="009601C2">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290" w:name="AMC1_BOP.BAS.340_Life-saving_and_signall"/>
      <w:bookmarkStart w:id="291" w:name="_bookmark125"/>
      <w:bookmarkStart w:id="292" w:name="_Toc153137290"/>
      <w:bookmarkEnd w:id="290"/>
      <w:bookmarkEnd w:id="291"/>
      <w:r w:rsidRPr="00E64FA7">
        <w:rPr>
          <w:rFonts w:ascii="Arial" w:eastAsia="Times New Roman" w:hAnsi="Arial" w:cs="Times New Roman"/>
          <w:b/>
          <w:color w:val="FFFFFF"/>
          <w:sz w:val="24"/>
        </w:rPr>
        <w:lastRenderedPageBreak/>
        <w:t>AMC1 BOP.BAS.340 Life-saving and signalling equipment – Flights over water</w:t>
      </w:r>
      <w:bookmarkEnd w:id="292"/>
    </w:p>
    <w:p w14:paraId="1BFE9375" w14:textId="77777777" w:rsidR="00C05F03" w:rsidRPr="00E64FA7" w:rsidRDefault="00E64FA7" w:rsidP="009601C2">
      <w:pPr>
        <w:tabs>
          <w:tab w:val="left" w:pos="706"/>
          <w:tab w:val="left" w:pos="707"/>
        </w:tabs>
        <w:spacing w:before="121" w:line="276" w:lineRule="auto"/>
        <w:ind w:right="194"/>
        <w:jc w:val="both"/>
        <w:rPr>
          <w:rFonts w:ascii="Arial" w:hAnsi="Arial" w:cs="Arial"/>
          <w:b/>
          <w:sz w:val="20"/>
        </w:rPr>
      </w:pPr>
      <w:r w:rsidRPr="00276D5E">
        <w:rPr>
          <w:rFonts w:ascii="Arial" w:hAnsi="Arial" w:cs="Arial"/>
          <w:b/>
          <w:sz w:val="20"/>
        </w:rPr>
        <w:t>RISK</w:t>
      </w:r>
      <w:r w:rsidRPr="00E64FA7">
        <w:rPr>
          <w:rFonts w:ascii="Arial" w:hAnsi="Arial" w:cs="Arial"/>
          <w:b/>
          <w:sz w:val="20"/>
        </w:rPr>
        <w:t xml:space="preserve"> </w:t>
      </w:r>
      <w:r w:rsidRPr="00276D5E">
        <w:rPr>
          <w:rFonts w:ascii="Arial" w:hAnsi="Arial" w:cs="Arial"/>
          <w:b/>
          <w:sz w:val="20"/>
        </w:rPr>
        <w:t>ASSESSMENT</w:t>
      </w:r>
    </w:p>
    <w:p w14:paraId="106BB4F7" w14:textId="77777777" w:rsidR="00E64FA7" w:rsidRPr="00E64FA7" w:rsidRDefault="00E64FA7" w:rsidP="009601C2">
      <w:pPr>
        <w:tabs>
          <w:tab w:val="left" w:pos="706"/>
          <w:tab w:val="left" w:pos="707"/>
        </w:tabs>
        <w:spacing w:before="121" w:line="276" w:lineRule="auto"/>
        <w:ind w:right="194"/>
        <w:jc w:val="both"/>
        <w:rPr>
          <w:rFonts w:ascii="Arial" w:hAnsi="Arial" w:cs="Arial"/>
          <w:sz w:val="20"/>
        </w:rPr>
      </w:pPr>
      <w:r w:rsidRPr="00E64FA7">
        <w:rPr>
          <w:rFonts w:ascii="Arial" w:hAnsi="Arial" w:cs="Arial"/>
          <w:sz w:val="20"/>
        </w:rPr>
        <w:t>In order to determine the risk, the pilot-in-command should take the following operating environment and conditions into account:</w:t>
      </w:r>
    </w:p>
    <w:p w14:paraId="0F0A29D2" w14:textId="77777777" w:rsidR="00E64FA7" w:rsidRPr="00E64FA7" w:rsidRDefault="00E64FA7" w:rsidP="009601C2">
      <w:pPr>
        <w:numPr>
          <w:ilvl w:val="0"/>
          <w:numId w:val="70"/>
        </w:numPr>
        <w:tabs>
          <w:tab w:val="left" w:pos="706"/>
          <w:tab w:val="left" w:pos="707"/>
        </w:tabs>
        <w:spacing w:before="121" w:line="276" w:lineRule="auto"/>
        <w:ind w:right="194"/>
        <w:jc w:val="both"/>
        <w:rPr>
          <w:rFonts w:ascii="Arial" w:hAnsi="Arial" w:cs="Arial"/>
          <w:sz w:val="20"/>
        </w:rPr>
      </w:pPr>
      <w:r w:rsidRPr="00E64FA7">
        <w:rPr>
          <w:rFonts w:ascii="Arial" w:hAnsi="Arial" w:cs="Arial"/>
          <w:sz w:val="20"/>
        </w:rPr>
        <w:t>water state;</w:t>
      </w:r>
    </w:p>
    <w:p w14:paraId="13F318B6" w14:textId="77777777" w:rsidR="00E64FA7" w:rsidRPr="00E64FA7" w:rsidRDefault="00E64FA7" w:rsidP="009601C2">
      <w:pPr>
        <w:numPr>
          <w:ilvl w:val="0"/>
          <w:numId w:val="70"/>
        </w:numPr>
        <w:tabs>
          <w:tab w:val="left" w:pos="706"/>
          <w:tab w:val="left" w:pos="707"/>
        </w:tabs>
        <w:spacing w:before="121" w:line="276" w:lineRule="auto"/>
        <w:ind w:right="194"/>
        <w:jc w:val="both"/>
        <w:rPr>
          <w:rFonts w:ascii="Arial" w:hAnsi="Arial" w:cs="Arial"/>
          <w:sz w:val="20"/>
        </w:rPr>
      </w:pPr>
      <w:r w:rsidRPr="00E64FA7">
        <w:rPr>
          <w:rFonts w:ascii="Arial" w:hAnsi="Arial" w:cs="Arial"/>
          <w:sz w:val="20"/>
        </w:rPr>
        <w:t>water and air temperatures;</w:t>
      </w:r>
    </w:p>
    <w:p w14:paraId="7007B32A" w14:textId="77777777" w:rsidR="00E64FA7" w:rsidRPr="00E64FA7" w:rsidRDefault="00E64FA7" w:rsidP="009601C2">
      <w:pPr>
        <w:numPr>
          <w:ilvl w:val="0"/>
          <w:numId w:val="70"/>
        </w:numPr>
        <w:tabs>
          <w:tab w:val="left" w:pos="706"/>
          <w:tab w:val="left" w:pos="707"/>
        </w:tabs>
        <w:spacing w:before="121" w:line="276" w:lineRule="auto"/>
        <w:ind w:right="194"/>
        <w:jc w:val="both"/>
        <w:rPr>
          <w:rFonts w:ascii="Arial" w:hAnsi="Arial" w:cs="Arial"/>
          <w:sz w:val="20"/>
        </w:rPr>
      </w:pPr>
      <w:r w:rsidRPr="00E64FA7">
        <w:rPr>
          <w:rFonts w:ascii="Arial" w:hAnsi="Arial" w:cs="Arial"/>
          <w:sz w:val="20"/>
        </w:rPr>
        <w:t>the distance from land suitable for making an emergency landing; and</w:t>
      </w:r>
    </w:p>
    <w:p w14:paraId="7271432C" w14:textId="77777777" w:rsidR="00E64FA7" w:rsidRPr="00202CD2" w:rsidRDefault="00E64FA7" w:rsidP="009601C2">
      <w:pPr>
        <w:numPr>
          <w:ilvl w:val="0"/>
          <w:numId w:val="70"/>
        </w:numPr>
        <w:tabs>
          <w:tab w:val="left" w:pos="706"/>
          <w:tab w:val="left" w:pos="707"/>
        </w:tabs>
        <w:spacing w:before="121" w:line="276" w:lineRule="auto"/>
        <w:ind w:right="194"/>
        <w:jc w:val="both"/>
        <w:rPr>
          <w:rFonts w:ascii="Arial" w:hAnsi="Arial" w:cs="Arial"/>
          <w:sz w:val="20"/>
        </w:rPr>
      </w:pPr>
      <w:r w:rsidRPr="00E64FA7">
        <w:rPr>
          <w:rFonts w:ascii="Arial" w:hAnsi="Arial" w:cs="Arial"/>
          <w:sz w:val="20"/>
        </w:rPr>
        <w:t>the availability of search and rescue facilities.</w:t>
      </w:r>
    </w:p>
    <w:p w14:paraId="7E2AE4FE" w14:textId="77777777" w:rsidR="00202CD2" w:rsidRPr="00202CD2" w:rsidRDefault="00202CD2" w:rsidP="009601C2">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293" w:name="AMC2_BOP.BAS.340_Life-saving_and_signall"/>
      <w:bookmarkStart w:id="294" w:name="_bookmark126"/>
      <w:bookmarkStart w:id="295" w:name="_Toc153137291"/>
      <w:bookmarkEnd w:id="293"/>
      <w:bookmarkEnd w:id="294"/>
      <w:r w:rsidRPr="00202CD2">
        <w:rPr>
          <w:rFonts w:ascii="Arial" w:eastAsia="Times New Roman" w:hAnsi="Arial" w:cs="Times New Roman"/>
          <w:b/>
          <w:color w:val="FFFFFF"/>
          <w:sz w:val="24"/>
        </w:rPr>
        <w:t>AMC2 BOP.BAS.340 Life-saving and signalling equipment – Flights over water</w:t>
      </w:r>
      <w:bookmarkEnd w:id="295"/>
    </w:p>
    <w:p w14:paraId="4E9FE7C6" w14:textId="77777777" w:rsidR="00202CD2" w:rsidRPr="00276D5E" w:rsidRDefault="00202CD2" w:rsidP="009601C2">
      <w:pPr>
        <w:spacing w:line="276" w:lineRule="auto"/>
        <w:jc w:val="both"/>
        <w:rPr>
          <w:rFonts w:ascii="Arial" w:hAnsi="Arial" w:cs="Arial"/>
          <w:b/>
          <w:sz w:val="20"/>
        </w:rPr>
      </w:pPr>
      <w:r w:rsidRPr="00276D5E">
        <w:rPr>
          <w:rFonts w:ascii="Arial" w:hAnsi="Arial" w:cs="Arial"/>
          <w:b/>
          <w:sz w:val="20"/>
        </w:rPr>
        <w:t>EQUIPMENT</w:t>
      </w:r>
    </w:p>
    <w:p w14:paraId="678B6860" w14:textId="77777777" w:rsidR="00202CD2" w:rsidRPr="00202CD2" w:rsidRDefault="00202CD2" w:rsidP="008C14FE">
      <w:pPr>
        <w:pStyle w:val="BodyText"/>
        <w:spacing w:before="116" w:line="276" w:lineRule="auto"/>
        <w:ind w:right="44"/>
        <w:jc w:val="both"/>
        <w:rPr>
          <w:rFonts w:ascii="Arial" w:hAnsi="Arial" w:cs="Arial"/>
          <w:sz w:val="20"/>
        </w:rPr>
      </w:pPr>
      <w:r w:rsidRPr="00202CD2">
        <w:rPr>
          <w:rFonts w:ascii="Arial" w:hAnsi="Arial" w:cs="Arial"/>
          <w:sz w:val="20"/>
        </w:rPr>
        <w:t>Based</w:t>
      </w:r>
      <w:r w:rsidRPr="00202CD2">
        <w:rPr>
          <w:rFonts w:ascii="Arial" w:hAnsi="Arial" w:cs="Arial"/>
          <w:spacing w:val="-5"/>
          <w:sz w:val="20"/>
        </w:rPr>
        <w:t xml:space="preserve"> </w:t>
      </w:r>
      <w:r w:rsidRPr="00202CD2">
        <w:rPr>
          <w:rFonts w:ascii="Arial" w:hAnsi="Arial" w:cs="Arial"/>
          <w:sz w:val="20"/>
        </w:rPr>
        <w:t>on</w:t>
      </w:r>
      <w:r w:rsidRPr="00202CD2">
        <w:rPr>
          <w:rFonts w:ascii="Arial" w:hAnsi="Arial" w:cs="Arial"/>
          <w:spacing w:val="-2"/>
          <w:sz w:val="20"/>
        </w:rPr>
        <w:t xml:space="preserve"> </w:t>
      </w:r>
      <w:r w:rsidRPr="00202CD2">
        <w:rPr>
          <w:rFonts w:ascii="Arial" w:hAnsi="Arial" w:cs="Arial"/>
          <w:sz w:val="20"/>
        </w:rPr>
        <w:t>the</w:t>
      </w:r>
      <w:r w:rsidRPr="00202CD2">
        <w:rPr>
          <w:rFonts w:ascii="Arial" w:hAnsi="Arial" w:cs="Arial"/>
          <w:spacing w:val="-1"/>
          <w:sz w:val="20"/>
        </w:rPr>
        <w:t xml:space="preserve"> </w:t>
      </w:r>
      <w:r w:rsidRPr="00202CD2">
        <w:rPr>
          <w:rFonts w:ascii="Arial" w:hAnsi="Arial" w:cs="Arial"/>
          <w:sz w:val="20"/>
        </w:rPr>
        <w:t>risk</w:t>
      </w:r>
      <w:r w:rsidRPr="00202CD2">
        <w:rPr>
          <w:rFonts w:ascii="Arial" w:hAnsi="Arial" w:cs="Arial"/>
          <w:spacing w:val="-2"/>
          <w:sz w:val="20"/>
        </w:rPr>
        <w:t xml:space="preserve"> </w:t>
      </w:r>
      <w:r w:rsidRPr="00202CD2">
        <w:rPr>
          <w:rFonts w:ascii="Arial" w:hAnsi="Arial" w:cs="Arial"/>
          <w:sz w:val="20"/>
        </w:rPr>
        <w:t>assessment,</w:t>
      </w:r>
      <w:r w:rsidRPr="00202CD2">
        <w:rPr>
          <w:rFonts w:ascii="Arial" w:hAnsi="Arial" w:cs="Arial"/>
          <w:spacing w:val="-1"/>
          <w:sz w:val="20"/>
        </w:rPr>
        <w:t xml:space="preserve"> </w:t>
      </w:r>
      <w:r w:rsidRPr="00202CD2">
        <w:rPr>
          <w:rFonts w:ascii="Arial" w:hAnsi="Arial" w:cs="Arial"/>
          <w:sz w:val="20"/>
        </w:rPr>
        <w:t>the</w:t>
      </w:r>
      <w:r w:rsidRPr="00202CD2">
        <w:rPr>
          <w:rFonts w:ascii="Arial" w:hAnsi="Arial" w:cs="Arial"/>
          <w:spacing w:val="-2"/>
          <w:sz w:val="20"/>
        </w:rPr>
        <w:t xml:space="preserve"> </w:t>
      </w:r>
      <w:r w:rsidRPr="00202CD2">
        <w:rPr>
          <w:rFonts w:ascii="Arial" w:hAnsi="Arial" w:cs="Arial"/>
          <w:sz w:val="20"/>
        </w:rPr>
        <w:t>pilot-in-command</w:t>
      </w:r>
      <w:r w:rsidRPr="00202CD2">
        <w:rPr>
          <w:rFonts w:ascii="Arial" w:hAnsi="Arial" w:cs="Arial"/>
          <w:spacing w:val="-2"/>
          <w:sz w:val="20"/>
        </w:rPr>
        <w:t xml:space="preserve"> </w:t>
      </w:r>
      <w:r w:rsidRPr="00202CD2">
        <w:rPr>
          <w:rFonts w:ascii="Arial" w:hAnsi="Arial" w:cs="Arial"/>
          <w:sz w:val="20"/>
        </w:rPr>
        <w:t>should</w:t>
      </w:r>
      <w:r w:rsidRPr="00202CD2">
        <w:rPr>
          <w:rFonts w:ascii="Arial" w:hAnsi="Arial" w:cs="Arial"/>
          <w:spacing w:val="-3"/>
          <w:sz w:val="20"/>
        </w:rPr>
        <w:t xml:space="preserve"> </w:t>
      </w:r>
      <w:r w:rsidRPr="00202CD2">
        <w:rPr>
          <w:rFonts w:ascii="Arial" w:hAnsi="Arial" w:cs="Arial"/>
          <w:sz w:val="20"/>
        </w:rPr>
        <w:t>determine</w:t>
      </w:r>
      <w:r w:rsidRPr="00202CD2">
        <w:rPr>
          <w:rFonts w:ascii="Arial" w:hAnsi="Arial" w:cs="Arial"/>
          <w:spacing w:val="-3"/>
          <w:sz w:val="20"/>
        </w:rPr>
        <w:t xml:space="preserve"> </w:t>
      </w:r>
      <w:r w:rsidRPr="00202CD2">
        <w:rPr>
          <w:rFonts w:ascii="Arial" w:hAnsi="Arial" w:cs="Arial"/>
          <w:sz w:val="20"/>
        </w:rPr>
        <w:t>the</w:t>
      </w:r>
      <w:r w:rsidRPr="00202CD2">
        <w:rPr>
          <w:rFonts w:ascii="Arial" w:hAnsi="Arial" w:cs="Arial"/>
          <w:spacing w:val="-4"/>
          <w:sz w:val="20"/>
        </w:rPr>
        <w:t xml:space="preserve"> </w:t>
      </w:r>
      <w:r w:rsidRPr="00202CD2">
        <w:rPr>
          <w:rFonts w:ascii="Arial" w:hAnsi="Arial" w:cs="Arial"/>
          <w:sz w:val="20"/>
        </w:rPr>
        <w:t>carriage of:</w:t>
      </w:r>
    </w:p>
    <w:p w14:paraId="6A3015B8" w14:textId="77777777" w:rsidR="00202CD2" w:rsidRPr="00202CD2" w:rsidRDefault="00202CD2" w:rsidP="008C14FE">
      <w:pPr>
        <w:pStyle w:val="ListParagraph"/>
        <w:numPr>
          <w:ilvl w:val="0"/>
          <w:numId w:val="71"/>
        </w:numPr>
        <w:tabs>
          <w:tab w:val="left" w:pos="706"/>
          <w:tab w:val="left" w:pos="707"/>
        </w:tabs>
        <w:spacing w:line="276" w:lineRule="auto"/>
        <w:ind w:right="44"/>
        <w:jc w:val="both"/>
        <w:rPr>
          <w:rFonts w:ascii="Arial" w:hAnsi="Arial" w:cs="Arial"/>
          <w:sz w:val="20"/>
        </w:rPr>
      </w:pPr>
      <w:r w:rsidRPr="00202CD2">
        <w:rPr>
          <w:rFonts w:ascii="Arial" w:hAnsi="Arial" w:cs="Arial"/>
          <w:sz w:val="20"/>
        </w:rPr>
        <w:t>a</w:t>
      </w:r>
      <w:r w:rsidRPr="00202CD2">
        <w:rPr>
          <w:rFonts w:ascii="Arial" w:hAnsi="Arial" w:cs="Arial"/>
          <w:spacing w:val="-2"/>
          <w:sz w:val="20"/>
        </w:rPr>
        <w:t xml:space="preserve"> </w:t>
      </w:r>
      <w:r w:rsidRPr="00202CD2">
        <w:rPr>
          <w:rFonts w:ascii="Arial" w:hAnsi="Arial" w:cs="Arial"/>
          <w:sz w:val="20"/>
        </w:rPr>
        <w:t>life</w:t>
      </w:r>
      <w:r w:rsidRPr="00202CD2">
        <w:rPr>
          <w:rFonts w:ascii="Arial" w:hAnsi="Arial" w:cs="Arial"/>
          <w:spacing w:val="-1"/>
          <w:sz w:val="20"/>
        </w:rPr>
        <w:t xml:space="preserve"> </w:t>
      </w:r>
      <w:r w:rsidRPr="00202CD2">
        <w:rPr>
          <w:rFonts w:ascii="Arial" w:hAnsi="Arial" w:cs="Arial"/>
          <w:sz w:val="20"/>
        </w:rPr>
        <w:t>jacket</w:t>
      </w:r>
      <w:r w:rsidRPr="00202CD2">
        <w:rPr>
          <w:rFonts w:ascii="Arial" w:hAnsi="Arial" w:cs="Arial"/>
          <w:spacing w:val="-3"/>
          <w:sz w:val="20"/>
        </w:rPr>
        <w:t xml:space="preserve"> </w:t>
      </w:r>
      <w:r w:rsidRPr="00202CD2">
        <w:rPr>
          <w:rFonts w:ascii="Arial" w:hAnsi="Arial" w:cs="Arial"/>
          <w:sz w:val="20"/>
        </w:rPr>
        <w:t>or</w:t>
      </w:r>
      <w:r w:rsidRPr="00202CD2">
        <w:rPr>
          <w:rFonts w:ascii="Arial" w:hAnsi="Arial" w:cs="Arial"/>
          <w:spacing w:val="-4"/>
          <w:sz w:val="20"/>
        </w:rPr>
        <w:t xml:space="preserve"> </w:t>
      </w:r>
      <w:r w:rsidRPr="00202CD2">
        <w:rPr>
          <w:rFonts w:ascii="Arial" w:hAnsi="Arial" w:cs="Arial"/>
          <w:sz w:val="20"/>
        </w:rPr>
        <w:t>equivalent</w:t>
      </w:r>
      <w:r w:rsidRPr="00202CD2">
        <w:rPr>
          <w:rFonts w:ascii="Arial" w:hAnsi="Arial" w:cs="Arial"/>
          <w:spacing w:val="-1"/>
          <w:sz w:val="20"/>
        </w:rPr>
        <w:t xml:space="preserve"> </w:t>
      </w:r>
      <w:r w:rsidRPr="00202CD2">
        <w:rPr>
          <w:rFonts w:ascii="Arial" w:hAnsi="Arial" w:cs="Arial"/>
          <w:sz w:val="20"/>
        </w:rPr>
        <w:t>individual</w:t>
      </w:r>
      <w:r w:rsidRPr="00202CD2">
        <w:rPr>
          <w:rFonts w:ascii="Arial" w:hAnsi="Arial" w:cs="Arial"/>
          <w:spacing w:val="-1"/>
          <w:sz w:val="20"/>
        </w:rPr>
        <w:t xml:space="preserve"> </w:t>
      </w:r>
      <w:r w:rsidRPr="00202CD2">
        <w:rPr>
          <w:rFonts w:ascii="Arial" w:hAnsi="Arial" w:cs="Arial"/>
          <w:sz w:val="20"/>
        </w:rPr>
        <w:t>flotation</w:t>
      </w:r>
      <w:r w:rsidRPr="00202CD2">
        <w:rPr>
          <w:rFonts w:ascii="Arial" w:hAnsi="Arial" w:cs="Arial"/>
          <w:spacing w:val="-2"/>
          <w:sz w:val="20"/>
        </w:rPr>
        <w:t xml:space="preserve"> </w:t>
      </w:r>
      <w:r w:rsidRPr="00202CD2">
        <w:rPr>
          <w:rFonts w:ascii="Arial" w:hAnsi="Arial" w:cs="Arial"/>
          <w:sz w:val="20"/>
        </w:rPr>
        <w:t>device for</w:t>
      </w:r>
      <w:r w:rsidRPr="00202CD2">
        <w:rPr>
          <w:rFonts w:ascii="Arial" w:hAnsi="Arial" w:cs="Arial"/>
          <w:spacing w:val="-2"/>
          <w:sz w:val="20"/>
        </w:rPr>
        <w:t xml:space="preserve"> </w:t>
      </w:r>
      <w:r w:rsidRPr="00202CD2">
        <w:rPr>
          <w:rFonts w:ascii="Arial" w:hAnsi="Arial" w:cs="Arial"/>
          <w:sz w:val="20"/>
        </w:rPr>
        <w:t>each</w:t>
      </w:r>
      <w:r w:rsidRPr="00202CD2">
        <w:rPr>
          <w:rFonts w:ascii="Arial" w:hAnsi="Arial" w:cs="Arial"/>
          <w:spacing w:val="-1"/>
          <w:sz w:val="20"/>
        </w:rPr>
        <w:t xml:space="preserve"> </w:t>
      </w:r>
      <w:r w:rsidRPr="00202CD2">
        <w:rPr>
          <w:rFonts w:ascii="Arial" w:hAnsi="Arial" w:cs="Arial"/>
          <w:sz w:val="20"/>
        </w:rPr>
        <w:t>person</w:t>
      </w:r>
      <w:r w:rsidRPr="00202CD2">
        <w:rPr>
          <w:rFonts w:ascii="Arial" w:hAnsi="Arial" w:cs="Arial"/>
          <w:spacing w:val="-4"/>
          <w:sz w:val="20"/>
        </w:rPr>
        <w:t xml:space="preserve"> </w:t>
      </w:r>
      <w:r w:rsidRPr="00202CD2">
        <w:rPr>
          <w:rFonts w:ascii="Arial" w:hAnsi="Arial" w:cs="Arial"/>
          <w:sz w:val="20"/>
        </w:rPr>
        <w:t>on</w:t>
      </w:r>
      <w:r w:rsidRPr="00202CD2">
        <w:rPr>
          <w:rFonts w:ascii="Arial" w:hAnsi="Arial" w:cs="Arial"/>
          <w:spacing w:val="-2"/>
          <w:sz w:val="20"/>
        </w:rPr>
        <w:t xml:space="preserve"> </w:t>
      </w:r>
      <w:r w:rsidRPr="00202CD2">
        <w:rPr>
          <w:rFonts w:ascii="Arial" w:hAnsi="Arial" w:cs="Arial"/>
          <w:sz w:val="20"/>
        </w:rPr>
        <w:t>board</w:t>
      </w:r>
      <w:r w:rsidRPr="00202CD2">
        <w:rPr>
          <w:rFonts w:ascii="Arial" w:hAnsi="Arial" w:cs="Arial"/>
          <w:spacing w:val="-4"/>
          <w:sz w:val="20"/>
        </w:rPr>
        <w:t xml:space="preserve"> </w:t>
      </w:r>
      <w:r w:rsidRPr="00202CD2">
        <w:rPr>
          <w:rFonts w:ascii="Arial" w:hAnsi="Arial" w:cs="Arial"/>
          <w:sz w:val="20"/>
        </w:rPr>
        <w:t>that</w:t>
      </w:r>
      <w:r w:rsidRPr="00202CD2">
        <w:rPr>
          <w:rFonts w:ascii="Arial" w:hAnsi="Arial" w:cs="Arial"/>
          <w:spacing w:val="-1"/>
          <w:sz w:val="20"/>
        </w:rPr>
        <w:t xml:space="preserve"> </w:t>
      </w:r>
      <w:r w:rsidRPr="00202CD2">
        <w:rPr>
          <w:rFonts w:ascii="Arial" w:hAnsi="Arial" w:cs="Arial"/>
          <w:sz w:val="20"/>
        </w:rPr>
        <w:t>should:</w:t>
      </w:r>
    </w:p>
    <w:p w14:paraId="51BE34CB" w14:textId="77777777" w:rsidR="00202CD2" w:rsidRPr="00202CD2" w:rsidRDefault="00202CD2" w:rsidP="008C14FE">
      <w:pPr>
        <w:pStyle w:val="ListParagraph"/>
        <w:numPr>
          <w:ilvl w:val="1"/>
          <w:numId w:val="71"/>
        </w:numPr>
        <w:tabs>
          <w:tab w:val="left" w:pos="1274"/>
        </w:tabs>
        <w:spacing w:before="57" w:line="276" w:lineRule="auto"/>
        <w:ind w:right="44"/>
        <w:jc w:val="both"/>
        <w:rPr>
          <w:rFonts w:ascii="Arial" w:hAnsi="Arial" w:cs="Arial"/>
          <w:sz w:val="20"/>
        </w:rPr>
      </w:pPr>
      <w:r w:rsidRPr="00202CD2">
        <w:rPr>
          <w:rFonts w:ascii="Arial" w:hAnsi="Arial" w:cs="Arial"/>
          <w:sz w:val="20"/>
        </w:rPr>
        <w:t>be worn or stowed in a position that is readily accessible from the station of the person</w:t>
      </w:r>
      <w:r w:rsidRPr="00202CD2">
        <w:rPr>
          <w:rFonts w:ascii="Arial" w:hAnsi="Arial" w:cs="Arial"/>
          <w:spacing w:val="1"/>
          <w:sz w:val="20"/>
        </w:rPr>
        <w:t xml:space="preserve"> </w:t>
      </w:r>
      <w:r w:rsidRPr="00202CD2">
        <w:rPr>
          <w:rFonts w:ascii="Arial" w:hAnsi="Arial" w:cs="Arial"/>
          <w:sz w:val="20"/>
        </w:rPr>
        <w:t>for</w:t>
      </w:r>
      <w:r w:rsidRPr="00202CD2">
        <w:rPr>
          <w:rFonts w:ascii="Arial" w:hAnsi="Arial" w:cs="Arial"/>
          <w:spacing w:val="-1"/>
          <w:sz w:val="20"/>
        </w:rPr>
        <w:t xml:space="preserve"> </w:t>
      </w:r>
      <w:r w:rsidRPr="00202CD2">
        <w:rPr>
          <w:rFonts w:ascii="Arial" w:hAnsi="Arial" w:cs="Arial"/>
          <w:sz w:val="20"/>
        </w:rPr>
        <w:t>whose</w:t>
      </w:r>
      <w:r w:rsidRPr="00202CD2">
        <w:rPr>
          <w:rFonts w:ascii="Arial" w:hAnsi="Arial" w:cs="Arial"/>
          <w:spacing w:val="-2"/>
          <w:sz w:val="20"/>
        </w:rPr>
        <w:t xml:space="preserve"> </w:t>
      </w:r>
      <w:r w:rsidRPr="00202CD2">
        <w:rPr>
          <w:rFonts w:ascii="Arial" w:hAnsi="Arial" w:cs="Arial"/>
          <w:sz w:val="20"/>
        </w:rPr>
        <w:t>use it is provided; and</w:t>
      </w:r>
    </w:p>
    <w:p w14:paraId="08FC40BE" w14:textId="77777777" w:rsidR="00202CD2" w:rsidRPr="00202CD2" w:rsidRDefault="00202CD2" w:rsidP="008C14FE">
      <w:pPr>
        <w:pStyle w:val="ListParagraph"/>
        <w:numPr>
          <w:ilvl w:val="1"/>
          <w:numId w:val="71"/>
        </w:numPr>
        <w:tabs>
          <w:tab w:val="left" w:pos="1274"/>
        </w:tabs>
        <w:spacing w:before="118" w:line="276" w:lineRule="auto"/>
        <w:ind w:right="44"/>
        <w:jc w:val="both"/>
        <w:rPr>
          <w:rFonts w:ascii="Arial" w:hAnsi="Arial" w:cs="Arial"/>
          <w:sz w:val="20"/>
        </w:rPr>
      </w:pPr>
      <w:r w:rsidRPr="00202CD2">
        <w:rPr>
          <w:rFonts w:ascii="Arial" w:hAnsi="Arial" w:cs="Arial"/>
          <w:sz w:val="20"/>
        </w:rPr>
        <w:t>be equipped with a means of electric illumination for the purpose of facilitating the</w:t>
      </w:r>
      <w:r w:rsidRPr="00202CD2">
        <w:rPr>
          <w:rFonts w:ascii="Arial" w:hAnsi="Arial" w:cs="Arial"/>
          <w:spacing w:val="1"/>
          <w:sz w:val="20"/>
        </w:rPr>
        <w:t xml:space="preserve"> </w:t>
      </w:r>
      <w:r w:rsidRPr="00202CD2">
        <w:rPr>
          <w:rFonts w:ascii="Arial" w:hAnsi="Arial" w:cs="Arial"/>
          <w:sz w:val="20"/>
        </w:rPr>
        <w:t>location</w:t>
      </w:r>
      <w:r w:rsidRPr="00202CD2">
        <w:rPr>
          <w:rFonts w:ascii="Arial" w:hAnsi="Arial" w:cs="Arial"/>
          <w:spacing w:val="-4"/>
          <w:sz w:val="20"/>
        </w:rPr>
        <w:t xml:space="preserve"> </w:t>
      </w:r>
      <w:r w:rsidRPr="00202CD2">
        <w:rPr>
          <w:rFonts w:ascii="Arial" w:hAnsi="Arial" w:cs="Arial"/>
          <w:sz w:val="20"/>
        </w:rPr>
        <w:t>of persons;</w:t>
      </w:r>
    </w:p>
    <w:p w14:paraId="504C6934" w14:textId="77777777" w:rsidR="00202CD2" w:rsidRPr="00202CD2" w:rsidRDefault="00202CD2" w:rsidP="008C14FE">
      <w:pPr>
        <w:pStyle w:val="ListParagraph"/>
        <w:numPr>
          <w:ilvl w:val="0"/>
          <w:numId w:val="71"/>
        </w:numPr>
        <w:tabs>
          <w:tab w:val="left" w:pos="707"/>
        </w:tabs>
        <w:spacing w:line="276" w:lineRule="auto"/>
        <w:ind w:right="44"/>
        <w:jc w:val="both"/>
        <w:rPr>
          <w:rFonts w:ascii="Arial" w:hAnsi="Arial" w:cs="Arial"/>
          <w:sz w:val="20"/>
        </w:rPr>
      </w:pPr>
      <w:r w:rsidRPr="00202CD2">
        <w:rPr>
          <w:rFonts w:ascii="Arial" w:hAnsi="Arial" w:cs="Arial"/>
          <w:sz w:val="20"/>
        </w:rPr>
        <w:t>when carrying up to six persons, an emergency locator transmitter (ELT) or a personal locator</w:t>
      </w:r>
      <w:r w:rsidRPr="00202CD2">
        <w:rPr>
          <w:rFonts w:ascii="Arial" w:hAnsi="Arial" w:cs="Arial"/>
          <w:spacing w:val="1"/>
          <w:sz w:val="20"/>
        </w:rPr>
        <w:t xml:space="preserve"> </w:t>
      </w:r>
      <w:r w:rsidRPr="00202CD2">
        <w:rPr>
          <w:rFonts w:ascii="Arial" w:hAnsi="Arial" w:cs="Arial"/>
          <w:sz w:val="20"/>
        </w:rPr>
        <w:t>beacon</w:t>
      </w:r>
      <w:r w:rsidRPr="00202CD2">
        <w:rPr>
          <w:rFonts w:ascii="Arial" w:hAnsi="Arial" w:cs="Arial"/>
          <w:spacing w:val="-11"/>
          <w:sz w:val="20"/>
        </w:rPr>
        <w:t xml:space="preserve"> </w:t>
      </w:r>
      <w:r w:rsidRPr="00202CD2">
        <w:rPr>
          <w:rFonts w:ascii="Arial" w:hAnsi="Arial" w:cs="Arial"/>
          <w:sz w:val="20"/>
        </w:rPr>
        <w:t>(PLB),</w:t>
      </w:r>
      <w:r w:rsidRPr="00202CD2">
        <w:rPr>
          <w:rFonts w:ascii="Arial" w:hAnsi="Arial" w:cs="Arial"/>
          <w:spacing w:val="-10"/>
          <w:sz w:val="20"/>
        </w:rPr>
        <w:t xml:space="preserve"> </w:t>
      </w:r>
      <w:r w:rsidRPr="00202CD2">
        <w:rPr>
          <w:rFonts w:ascii="Arial" w:hAnsi="Arial" w:cs="Arial"/>
          <w:sz w:val="20"/>
        </w:rPr>
        <w:t>carried</w:t>
      </w:r>
      <w:r w:rsidRPr="00202CD2">
        <w:rPr>
          <w:rFonts w:ascii="Arial" w:hAnsi="Arial" w:cs="Arial"/>
          <w:spacing w:val="-8"/>
          <w:sz w:val="20"/>
        </w:rPr>
        <w:t xml:space="preserve"> </w:t>
      </w:r>
      <w:r w:rsidRPr="00202CD2">
        <w:rPr>
          <w:rFonts w:ascii="Arial" w:hAnsi="Arial" w:cs="Arial"/>
          <w:sz w:val="20"/>
        </w:rPr>
        <w:t>by</w:t>
      </w:r>
      <w:r w:rsidRPr="00202CD2">
        <w:rPr>
          <w:rFonts w:ascii="Arial" w:hAnsi="Arial" w:cs="Arial"/>
          <w:spacing w:val="-7"/>
          <w:sz w:val="20"/>
        </w:rPr>
        <w:t xml:space="preserve"> </w:t>
      </w:r>
      <w:r w:rsidRPr="00202CD2">
        <w:rPr>
          <w:rFonts w:ascii="Arial" w:hAnsi="Arial" w:cs="Arial"/>
          <w:sz w:val="20"/>
        </w:rPr>
        <w:t>a</w:t>
      </w:r>
      <w:r w:rsidRPr="00202CD2">
        <w:rPr>
          <w:rFonts w:ascii="Arial" w:hAnsi="Arial" w:cs="Arial"/>
          <w:spacing w:val="-8"/>
          <w:sz w:val="20"/>
        </w:rPr>
        <w:t xml:space="preserve"> </w:t>
      </w:r>
      <w:r w:rsidRPr="00202CD2">
        <w:rPr>
          <w:rFonts w:ascii="Arial" w:hAnsi="Arial" w:cs="Arial"/>
          <w:sz w:val="20"/>
        </w:rPr>
        <w:t>crew</w:t>
      </w:r>
      <w:r w:rsidRPr="00202CD2">
        <w:rPr>
          <w:rFonts w:ascii="Arial" w:hAnsi="Arial" w:cs="Arial"/>
          <w:spacing w:val="-9"/>
          <w:sz w:val="20"/>
        </w:rPr>
        <w:t xml:space="preserve"> </w:t>
      </w:r>
      <w:r w:rsidRPr="00202CD2">
        <w:rPr>
          <w:rFonts w:ascii="Arial" w:hAnsi="Arial" w:cs="Arial"/>
          <w:sz w:val="20"/>
        </w:rPr>
        <w:t>member</w:t>
      </w:r>
      <w:r w:rsidRPr="00202CD2">
        <w:rPr>
          <w:rFonts w:ascii="Arial" w:hAnsi="Arial" w:cs="Arial"/>
          <w:spacing w:val="-10"/>
          <w:sz w:val="20"/>
        </w:rPr>
        <w:t xml:space="preserve"> </w:t>
      </w:r>
      <w:r w:rsidRPr="00202CD2">
        <w:rPr>
          <w:rFonts w:ascii="Arial" w:hAnsi="Arial" w:cs="Arial"/>
          <w:sz w:val="20"/>
        </w:rPr>
        <w:t>or</w:t>
      </w:r>
      <w:r w:rsidRPr="00202CD2">
        <w:rPr>
          <w:rFonts w:ascii="Arial" w:hAnsi="Arial" w:cs="Arial"/>
          <w:spacing w:val="-11"/>
          <w:sz w:val="20"/>
        </w:rPr>
        <w:t xml:space="preserve"> </w:t>
      </w:r>
      <w:r w:rsidRPr="00202CD2">
        <w:rPr>
          <w:rFonts w:ascii="Arial" w:hAnsi="Arial" w:cs="Arial"/>
          <w:sz w:val="20"/>
        </w:rPr>
        <w:t>a</w:t>
      </w:r>
      <w:r w:rsidRPr="00202CD2">
        <w:rPr>
          <w:rFonts w:ascii="Arial" w:hAnsi="Arial" w:cs="Arial"/>
          <w:spacing w:val="-8"/>
          <w:sz w:val="20"/>
        </w:rPr>
        <w:t xml:space="preserve"> </w:t>
      </w:r>
      <w:r w:rsidRPr="00202CD2">
        <w:rPr>
          <w:rFonts w:ascii="Arial" w:hAnsi="Arial" w:cs="Arial"/>
          <w:sz w:val="20"/>
        </w:rPr>
        <w:t>passenger,</w:t>
      </w:r>
      <w:r w:rsidRPr="00202CD2">
        <w:rPr>
          <w:rFonts w:ascii="Arial" w:hAnsi="Arial" w:cs="Arial"/>
          <w:spacing w:val="-8"/>
          <w:sz w:val="20"/>
        </w:rPr>
        <w:t xml:space="preserve"> </w:t>
      </w:r>
      <w:r w:rsidRPr="00202CD2">
        <w:rPr>
          <w:rFonts w:ascii="Arial" w:hAnsi="Arial" w:cs="Arial"/>
          <w:sz w:val="20"/>
        </w:rPr>
        <w:t>capable</w:t>
      </w:r>
      <w:r w:rsidRPr="00202CD2">
        <w:rPr>
          <w:rFonts w:ascii="Arial" w:hAnsi="Arial" w:cs="Arial"/>
          <w:spacing w:val="-9"/>
          <w:sz w:val="20"/>
        </w:rPr>
        <w:t xml:space="preserve"> </w:t>
      </w:r>
      <w:r w:rsidRPr="00202CD2">
        <w:rPr>
          <w:rFonts w:ascii="Arial" w:hAnsi="Arial" w:cs="Arial"/>
          <w:sz w:val="20"/>
        </w:rPr>
        <w:t>of</w:t>
      </w:r>
      <w:r w:rsidRPr="00202CD2">
        <w:rPr>
          <w:rFonts w:ascii="Arial" w:hAnsi="Arial" w:cs="Arial"/>
          <w:spacing w:val="-8"/>
          <w:sz w:val="20"/>
        </w:rPr>
        <w:t xml:space="preserve"> </w:t>
      </w:r>
      <w:r w:rsidRPr="00202CD2">
        <w:rPr>
          <w:rFonts w:ascii="Arial" w:hAnsi="Arial" w:cs="Arial"/>
          <w:sz w:val="20"/>
        </w:rPr>
        <w:t>transmitting</w:t>
      </w:r>
      <w:r w:rsidRPr="00202CD2">
        <w:rPr>
          <w:rFonts w:ascii="Arial" w:hAnsi="Arial" w:cs="Arial"/>
          <w:spacing w:val="-9"/>
          <w:sz w:val="20"/>
        </w:rPr>
        <w:t xml:space="preserve"> </w:t>
      </w:r>
      <w:r w:rsidRPr="00202CD2">
        <w:rPr>
          <w:rFonts w:ascii="Arial" w:hAnsi="Arial" w:cs="Arial"/>
          <w:sz w:val="20"/>
        </w:rPr>
        <w:t>simultaneously</w:t>
      </w:r>
      <w:r w:rsidRPr="00202CD2">
        <w:rPr>
          <w:rFonts w:ascii="Arial" w:hAnsi="Arial" w:cs="Arial"/>
          <w:spacing w:val="-47"/>
          <w:sz w:val="20"/>
        </w:rPr>
        <w:t xml:space="preserve"> </w:t>
      </w:r>
      <w:r w:rsidRPr="00202CD2">
        <w:rPr>
          <w:rFonts w:ascii="Arial" w:hAnsi="Arial" w:cs="Arial"/>
          <w:sz w:val="20"/>
        </w:rPr>
        <w:t>on</w:t>
      </w:r>
      <w:r w:rsidRPr="00202CD2">
        <w:rPr>
          <w:rFonts w:ascii="Arial" w:hAnsi="Arial" w:cs="Arial"/>
          <w:spacing w:val="-1"/>
          <w:sz w:val="20"/>
        </w:rPr>
        <w:t xml:space="preserve"> </w:t>
      </w:r>
      <w:r w:rsidRPr="00202CD2">
        <w:rPr>
          <w:rFonts w:ascii="Arial" w:hAnsi="Arial" w:cs="Arial"/>
          <w:sz w:val="20"/>
        </w:rPr>
        <w:t>121.5</w:t>
      </w:r>
      <w:r w:rsidRPr="00202CD2">
        <w:rPr>
          <w:rFonts w:ascii="Arial" w:hAnsi="Arial" w:cs="Arial"/>
          <w:spacing w:val="-1"/>
          <w:sz w:val="20"/>
        </w:rPr>
        <w:t xml:space="preserve"> </w:t>
      </w:r>
      <w:r w:rsidRPr="00202CD2">
        <w:rPr>
          <w:rFonts w:ascii="Arial" w:hAnsi="Arial" w:cs="Arial"/>
          <w:sz w:val="20"/>
        </w:rPr>
        <w:t>and</w:t>
      </w:r>
      <w:r w:rsidRPr="00202CD2">
        <w:rPr>
          <w:rFonts w:ascii="Arial" w:hAnsi="Arial" w:cs="Arial"/>
          <w:spacing w:val="-3"/>
          <w:sz w:val="20"/>
        </w:rPr>
        <w:t xml:space="preserve"> </w:t>
      </w:r>
      <w:r w:rsidRPr="00202CD2">
        <w:rPr>
          <w:rFonts w:ascii="Arial" w:hAnsi="Arial" w:cs="Arial"/>
          <w:sz w:val="20"/>
        </w:rPr>
        <w:t>406</w:t>
      </w:r>
      <w:r w:rsidRPr="00202CD2">
        <w:rPr>
          <w:rFonts w:ascii="Arial" w:hAnsi="Arial" w:cs="Arial"/>
          <w:spacing w:val="-2"/>
          <w:sz w:val="20"/>
        </w:rPr>
        <w:t xml:space="preserve"> </w:t>
      </w:r>
      <w:r w:rsidRPr="00202CD2">
        <w:rPr>
          <w:rFonts w:ascii="Arial" w:hAnsi="Arial" w:cs="Arial"/>
          <w:sz w:val="20"/>
        </w:rPr>
        <w:t>MHz;</w:t>
      </w:r>
    </w:p>
    <w:p w14:paraId="1E6CC1DD" w14:textId="77777777" w:rsidR="00202CD2" w:rsidRPr="00202CD2" w:rsidRDefault="00202CD2" w:rsidP="008C14FE">
      <w:pPr>
        <w:pStyle w:val="ListParagraph"/>
        <w:numPr>
          <w:ilvl w:val="0"/>
          <w:numId w:val="71"/>
        </w:numPr>
        <w:tabs>
          <w:tab w:val="left" w:pos="707"/>
        </w:tabs>
        <w:spacing w:before="121" w:line="276" w:lineRule="auto"/>
        <w:ind w:right="44"/>
        <w:jc w:val="both"/>
        <w:rPr>
          <w:rFonts w:ascii="Arial" w:hAnsi="Arial" w:cs="Arial"/>
          <w:sz w:val="20"/>
        </w:rPr>
      </w:pPr>
      <w:r w:rsidRPr="00202CD2">
        <w:rPr>
          <w:rFonts w:ascii="Arial" w:hAnsi="Arial" w:cs="Arial"/>
          <w:sz w:val="20"/>
        </w:rPr>
        <w:t>when carrying more than six persons, an ELT capable of transmitting simultaneously on 121.5</w:t>
      </w:r>
      <w:r w:rsidRPr="00202CD2">
        <w:rPr>
          <w:rFonts w:ascii="Arial" w:hAnsi="Arial" w:cs="Arial"/>
          <w:spacing w:val="1"/>
          <w:sz w:val="20"/>
        </w:rPr>
        <w:t xml:space="preserve"> </w:t>
      </w:r>
      <w:r w:rsidRPr="00202CD2">
        <w:rPr>
          <w:rFonts w:ascii="Arial" w:hAnsi="Arial" w:cs="Arial"/>
          <w:sz w:val="20"/>
        </w:rPr>
        <w:t>and</w:t>
      </w:r>
      <w:r w:rsidRPr="00202CD2">
        <w:rPr>
          <w:rFonts w:ascii="Arial" w:hAnsi="Arial" w:cs="Arial"/>
          <w:spacing w:val="-1"/>
          <w:sz w:val="20"/>
        </w:rPr>
        <w:t xml:space="preserve"> </w:t>
      </w:r>
      <w:r w:rsidRPr="00202CD2">
        <w:rPr>
          <w:rFonts w:ascii="Arial" w:hAnsi="Arial" w:cs="Arial"/>
          <w:sz w:val="20"/>
        </w:rPr>
        <w:t>406</w:t>
      </w:r>
      <w:r w:rsidRPr="00202CD2">
        <w:rPr>
          <w:rFonts w:ascii="Arial" w:hAnsi="Arial" w:cs="Arial"/>
          <w:spacing w:val="-2"/>
          <w:sz w:val="20"/>
        </w:rPr>
        <w:t xml:space="preserve"> </w:t>
      </w:r>
      <w:r w:rsidRPr="00202CD2">
        <w:rPr>
          <w:rFonts w:ascii="Arial" w:hAnsi="Arial" w:cs="Arial"/>
          <w:sz w:val="20"/>
        </w:rPr>
        <w:t>MHz; and</w:t>
      </w:r>
    </w:p>
    <w:p w14:paraId="78D1912D" w14:textId="450648DC" w:rsidR="00202CD2" w:rsidRPr="00943DEA" w:rsidRDefault="00202CD2" w:rsidP="008C14FE">
      <w:pPr>
        <w:pStyle w:val="ListParagraph"/>
        <w:numPr>
          <w:ilvl w:val="0"/>
          <w:numId w:val="71"/>
        </w:numPr>
        <w:spacing w:before="121" w:line="276" w:lineRule="auto"/>
        <w:ind w:right="44"/>
        <w:jc w:val="both"/>
        <w:rPr>
          <w:rFonts w:ascii="Arial" w:hAnsi="Arial" w:cs="Arial"/>
          <w:sz w:val="20"/>
        </w:rPr>
      </w:pPr>
      <w:r w:rsidRPr="00202CD2">
        <w:rPr>
          <w:rFonts w:ascii="Arial" w:hAnsi="Arial" w:cs="Arial"/>
          <w:sz w:val="20"/>
        </w:rPr>
        <w:t>signalling</w:t>
      </w:r>
      <w:r w:rsidRPr="00202CD2">
        <w:rPr>
          <w:rFonts w:ascii="Arial" w:hAnsi="Arial" w:cs="Arial"/>
          <w:spacing w:val="-3"/>
          <w:sz w:val="20"/>
        </w:rPr>
        <w:t xml:space="preserve"> </w:t>
      </w:r>
      <w:r w:rsidRPr="00202CD2">
        <w:rPr>
          <w:rFonts w:ascii="Arial" w:hAnsi="Arial" w:cs="Arial"/>
          <w:sz w:val="20"/>
        </w:rPr>
        <w:t>equipment</w:t>
      </w:r>
      <w:r w:rsidRPr="00202CD2">
        <w:rPr>
          <w:rFonts w:ascii="Arial" w:hAnsi="Arial" w:cs="Arial"/>
          <w:spacing w:val="-2"/>
          <w:sz w:val="20"/>
        </w:rPr>
        <w:t xml:space="preserve"> </w:t>
      </w:r>
      <w:r w:rsidRPr="00202CD2">
        <w:rPr>
          <w:rFonts w:ascii="Arial" w:hAnsi="Arial" w:cs="Arial"/>
          <w:sz w:val="20"/>
        </w:rPr>
        <w:t>for</w:t>
      </w:r>
      <w:r w:rsidRPr="00202CD2">
        <w:rPr>
          <w:rFonts w:ascii="Arial" w:hAnsi="Arial" w:cs="Arial"/>
          <w:spacing w:val="-4"/>
          <w:sz w:val="20"/>
        </w:rPr>
        <w:t xml:space="preserve"> </w:t>
      </w:r>
      <w:r w:rsidRPr="00202CD2">
        <w:rPr>
          <w:rFonts w:ascii="Arial" w:hAnsi="Arial" w:cs="Arial"/>
          <w:sz w:val="20"/>
        </w:rPr>
        <w:t>making</w:t>
      </w:r>
      <w:r w:rsidRPr="00202CD2">
        <w:rPr>
          <w:rFonts w:ascii="Arial" w:hAnsi="Arial" w:cs="Arial"/>
          <w:spacing w:val="-3"/>
          <w:sz w:val="20"/>
        </w:rPr>
        <w:t xml:space="preserve"> </w:t>
      </w:r>
      <w:r w:rsidRPr="00202CD2">
        <w:rPr>
          <w:rFonts w:ascii="Arial" w:hAnsi="Arial" w:cs="Arial"/>
          <w:sz w:val="20"/>
        </w:rPr>
        <w:t>distress</w:t>
      </w:r>
      <w:r w:rsidRPr="00202CD2">
        <w:rPr>
          <w:rFonts w:ascii="Arial" w:hAnsi="Arial" w:cs="Arial"/>
          <w:spacing w:val="-5"/>
          <w:sz w:val="20"/>
        </w:rPr>
        <w:t xml:space="preserve"> </w:t>
      </w:r>
      <w:r w:rsidRPr="00202CD2">
        <w:rPr>
          <w:rFonts w:ascii="Arial" w:hAnsi="Arial" w:cs="Arial"/>
          <w:sz w:val="20"/>
        </w:rPr>
        <w:t>signals.</w:t>
      </w:r>
    </w:p>
    <w:p w14:paraId="1ABB5EF7" w14:textId="77777777" w:rsidR="00BD7C1A" w:rsidRPr="00BD7C1A" w:rsidRDefault="00BD7C1A" w:rsidP="009601C2">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296" w:name="AMC3_BOP.BAS.340_Life-saving_and_signall"/>
      <w:bookmarkStart w:id="297" w:name="_bookmark127"/>
      <w:bookmarkStart w:id="298" w:name="_Toc153137292"/>
      <w:bookmarkEnd w:id="296"/>
      <w:bookmarkEnd w:id="297"/>
      <w:r w:rsidRPr="00BD7C1A">
        <w:rPr>
          <w:rFonts w:ascii="Arial" w:eastAsia="Times New Roman" w:hAnsi="Arial" w:cs="Times New Roman"/>
          <w:b/>
          <w:color w:val="FFFFFF"/>
          <w:sz w:val="24"/>
        </w:rPr>
        <w:t>AMC3 BOP.BAS.340 Life-saving and signalling equipment – Flights over water</w:t>
      </w:r>
      <w:bookmarkEnd w:id="298"/>
    </w:p>
    <w:p w14:paraId="2136E7B3" w14:textId="77777777" w:rsidR="00BD7C1A" w:rsidRPr="00276D5E" w:rsidRDefault="00BD7C1A" w:rsidP="009601C2">
      <w:pPr>
        <w:spacing w:line="276" w:lineRule="auto"/>
        <w:jc w:val="both"/>
        <w:rPr>
          <w:rFonts w:ascii="Arial" w:hAnsi="Arial" w:cs="Arial"/>
          <w:b/>
          <w:sz w:val="20"/>
        </w:rPr>
      </w:pPr>
      <w:r w:rsidRPr="00276D5E">
        <w:rPr>
          <w:rFonts w:ascii="Arial" w:hAnsi="Arial" w:cs="Arial"/>
          <w:b/>
          <w:sz w:val="20"/>
        </w:rPr>
        <w:t>BRIEFING</w:t>
      </w:r>
      <w:r w:rsidRPr="00276D5E">
        <w:rPr>
          <w:rFonts w:ascii="Arial" w:hAnsi="Arial" w:cs="Arial"/>
          <w:b/>
          <w:spacing w:val="-3"/>
          <w:sz w:val="20"/>
        </w:rPr>
        <w:t xml:space="preserve"> </w:t>
      </w:r>
      <w:r w:rsidRPr="00276D5E">
        <w:rPr>
          <w:rFonts w:ascii="Arial" w:hAnsi="Arial" w:cs="Arial"/>
          <w:b/>
          <w:sz w:val="20"/>
        </w:rPr>
        <w:t>ON</w:t>
      </w:r>
      <w:r w:rsidRPr="00276D5E">
        <w:rPr>
          <w:rFonts w:ascii="Arial" w:hAnsi="Arial" w:cs="Arial"/>
          <w:b/>
          <w:spacing w:val="-2"/>
          <w:sz w:val="20"/>
        </w:rPr>
        <w:t xml:space="preserve"> </w:t>
      </w:r>
      <w:r w:rsidRPr="00276D5E">
        <w:rPr>
          <w:rFonts w:ascii="Arial" w:hAnsi="Arial" w:cs="Arial"/>
          <w:b/>
          <w:sz w:val="20"/>
        </w:rPr>
        <w:t>PLB</w:t>
      </w:r>
      <w:r w:rsidRPr="00276D5E">
        <w:rPr>
          <w:rFonts w:ascii="Arial" w:hAnsi="Arial" w:cs="Arial"/>
          <w:b/>
          <w:spacing w:val="-2"/>
          <w:sz w:val="20"/>
        </w:rPr>
        <w:t xml:space="preserve"> </w:t>
      </w:r>
      <w:r w:rsidRPr="00276D5E">
        <w:rPr>
          <w:rFonts w:ascii="Arial" w:hAnsi="Arial" w:cs="Arial"/>
          <w:b/>
          <w:sz w:val="20"/>
        </w:rPr>
        <w:t>USE</w:t>
      </w:r>
    </w:p>
    <w:p w14:paraId="4D45452E" w14:textId="1D260454" w:rsidR="00D97443" w:rsidRDefault="00BD7C1A" w:rsidP="009601C2">
      <w:pPr>
        <w:pStyle w:val="BodyText"/>
        <w:spacing w:before="119" w:line="276" w:lineRule="auto"/>
        <w:ind w:right="196"/>
        <w:jc w:val="both"/>
        <w:rPr>
          <w:rFonts w:ascii="Arial" w:hAnsi="Arial" w:cs="Arial"/>
          <w:sz w:val="20"/>
        </w:rPr>
      </w:pPr>
      <w:r w:rsidRPr="00BD7C1A">
        <w:rPr>
          <w:rFonts w:ascii="Arial" w:hAnsi="Arial" w:cs="Arial"/>
          <w:sz w:val="20"/>
        </w:rPr>
        <w:t>When</w:t>
      </w:r>
      <w:r w:rsidRPr="00BD7C1A">
        <w:rPr>
          <w:rFonts w:ascii="Arial" w:hAnsi="Arial" w:cs="Arial"/>
          <w:spacing w:val="-6"/>
          <w:sz w:val="20"/>
        </w:rPr>
        <w:t xml:space="preserve"> </w:t>
      </w:r>
      <w:r w:rsidRPr="00BD7C1A">
        <w:rPr>
          <w:rFonts w:ascii="Arial" w:hAnsi="Arial" w:cs="Arial"/>
          <w:sz w:val="20"/>
        </w:rPr>
        <w:t>a</w:t>
      </w:r>
      <w:r w:rsidRPr="00BD7C1A">
        <w:rPr>
          <w:rFonts w:ascii="Arial" w:hAnsi="Arial" w:cs="Arial"/>
          <w:spacing w:val="-5"/>
          <w:sz w:val="20"/>
        </w:rPr>
        <w:t xml:space="preserve"> </w:t>
      </w:r>
      <w:r w:rsidRPr="00BD7C1A">
        <w:rPr>
          <w:rFonts w:ascii="Arial" w:hAnsi="Arial" w:cs="Arial"/>
          <w:sz w:val="20"/>
        </w:rPr>
        <w:t>PLB</w:t>
      </w:r>
      <w:r w:rsidRPr="00BD7C1A">
        <w:rPr>
          <w:rFonts w:ascii="Arial" w:hAnsi="Arial" w:cs="Arial"/>
          <w:spacing w:val="-5"/>
          <w:sz w:val="20"/>
        </w:rPr>
        <w:t xml:space="preserve"> </w:t>
      </w:r>
      <w:r w:rsidRPr="00BD7C1A">
        <w:rPr>
          <w:rFonts w:ascii="Arial" w:hAnsi="Arial" w:cs="Arial"/>
          <w:sz w:val="20"/>
        </w:rPr>
        <w:t>is</w:t>
      </w:r>
      <w:r w:rsidRPr="00BD7C1A">
        <w:rPr>
          <w:rFonts w:ascii="Arial" w:hAnsi="Arial" w:cs="Arial"/>
          <w:spacing w:val="-5"/>
          <w:sz w:val="20"/>
        </w:rPr>
        <w:t xml:space="preserve"> </w:t>
      </w:r>
      <w:r w:rsidRPr="00BD7C1A">
        <w:rPr>
          <w:rFonts w:ascii="Arial" w:hAnsi="Arial" w:cs="Arial"/>
          <w:sz w:val="20"/>
        </w:rPr>
        <w:t>carried</w:t>
      </w:r>
      <w:r w:rsidRPr="00BD7C1A">
        <w:rPr>
          <w:rFonts w:ascii="Arial" w:hAnsi="Arial" w:cs="Arial"/>
          <w:spacing w:val="-6"/>
          <w:sz w:val="20"/>
        </w:rPr>
        <w:t xml:space="preserve"> </w:t>
      </w:r>
      <w:r w:rsidRPr="00BD7C1A">
        <w:rPr>
          <w:rFonts w:ascii="Arial" w:hAnsi="Arial" w:cs="Arial"/>
          <w:sz w:val="20"/>
        </w:rPr>
        <w:t>by</w:t>
      </w:r>
      <w:r w:rsidRPr="00BD7C1A">
        <w:rPr>
          <w:rFonts w:ascii="Arial" w:hAnsi="Arial" w:cs="Arial"/>
          <w:spacing w:val="-4"/>
          <w:sz w:val="20"/>
        </w:rPr>
        <w:t xml:space="preserve"> </w:t>
      </w:r>
      <w:r w:rsidRPr="00BD7C1A">
        <w:rPr>
          <w:rFonts w:ascii="Arial" w:hAnsi="Arial" w:cs="Arial"/>
          <w:sz w:val="20"/>
        </w:rPr>
        <w:t>a</w:t>
      </w:r>
      <w:r w:rsidRPr="00BD7C1A">
        <w:rPr>
          <w:rFonts w:ascii="Arial" w:hAnsi="Arial" w:cs="Arial"/>
          <w:spacing w:val="-7"/>
          <w:sz w:val="20"/>
        </w:rPr>
        <w:t xml:space="preserve"> </w:t>
      </w:r>
      <w:r w:rsidRPr="00BD7C1A">
        <w:rPr>
          <w:rFonts w:ascii="Arial" w:hAnsi="Arial" w:cs="Arial"/>
          <w:sz w:val="20"/>
        </w:rPr>
        <w:t>passenger,</w:t>
      </w:r>
      <w:r w:rsidRPr="00BD7C1A">
        <w:rPr>
          <w:rFonts w:ascii="Arial" w:hAnsi="Arial" w:cs="Arial"/>
          <w:spacing w:val="-4"/>
          <w:sz w:val="20"/>
        </w:rPr>
        <w:t xml:space="preserve"> </w:t>
      </w:r>
      <w:r w:rsidRPr="00BD7C1A">
        <w:rPr>
          <w:rFonts w:ascii="Arial" w:hAnsi="Arial" w:cs="Arial"/>
          <w:sz w:val="20"/>
        </w:rPr>
        <w:t>he</w:t>
      </w:r>
      <w:r w:rsidRPr="00BD7C1A">
        <w:rPr>
          <w:rFonts w:ascii="Arial" w:hAnsi="Arial" w:cs="Arial"/>
          <w:spacing w:val="-4"/>
          <w:sz w:val="20"/>
        </w:rPr>
        <w:t xml:space="preserve"> </w:t>
      </w:r>
      <w:r w:rsidRPr="00BD7C1A">
        <w:rPr>
          <w:rFonts w:ascii="Arial" w:hAnsi="Arial" w:cs="Arial"/>
          <w:sz w:val="20"/>
        </w:rPr>
        <w:t>or</w:t>
      </w:r>
      <w:r w:rsidRPr="00BD7C1A">
        <w:rPr>
          <w:rFonts w:ascii="Arial" w:hAnsi="Arial" w:cs="Arial"/>
          <w:spacing w:val="-6"/>
          <w:sz w:val="20"/>
        </w:rPr>
        <w:t xml:space="preserve"> </w:t>
      </w:r>
      <w:r w:rsidRPr="00BD7C1A">
        <w:rPr>
          <w:rFonts w:ascii="Arial" w:hAnsi="Arial" w:cs="Arial"/>
          <w:sz w:val="20"/>
        </w:rPr>
        <w:t>she</w:t>
      </w:r>
      <w:r w:rsidRPr="00BD7C1A">
        <w:rPr>
          <w:rFonts w:ascii="Arial" w:hAnsi="Arial" w:cs="Arial"/>
          <w:spacing w:val="-4"/>
          <w:sz w:val="20"/>
        </w:rPr>
        <w:t xml:space="preserve"> </w:t>
      </w:r>
      <w:r w:rsidRPr="00BD7C1A">
        <w:rPr>
          <w:rFonts w:ascii="Arial" w:hAnsi="Arial" w:cs="Arial"/>
          <w:sz w:val="20"/>
        </w:rPr>
        <w:t>should</w:t>
      </w:r>
      <w:r w:rsidRPr="00BD7C1A">
        <w:rPr>
          <w:rFonts w:ascii="Arial" w:hAnsi="Arial" w:cs="Arial"/>
          <w:spacing w:val="-5"/>
          <w:sz w:val="20"/>
        </w:rPr>
        <w:t xml:space="preserve"> </w:t>
      </w:r>
      <w:r w:rsidRPr="00BD7C1A">
        <w:rPr>
          <w:rFonts w:ascii="Arial" w:hAnsi="Arial" w:cs="Arial"/>
          <w:sz w:val="20"/>
        </w:rPr>
        <w:t>be</w:t>
      </w:r>
      <w:r w:rsidRPr="00BD7C1A">
        <w:rPr>
          <w:rFonts w:ascii="Arial" w:hAnsi="Arial" w:cs="Arial"/>
          <w:spacing w:val="-4"/>
          <w:sz w:val="20"/>
        </w:rPr>
        <w:t xml:space="preserve"> </w:t>
      </w:r>
      <w:r w:rsidRPr="00BD7C1A">
        <w:rPr>
          <w:rFonts w:ascii="Arial" w:hAnsi="Arial" w:cs="Arial"/>
          <w:sz w:val="20"/>
        </w:rPr>
        <w:t>briefed</w:t>
      </w:r>
      <w:r w:rsidRPr="00BD7C1A">
        <w:rPr>
          <w:rFonts w:ascii="Arial" w:hAnsi="Arial" w:cs="Arial"/>
          <w:spacing w:val="-6"/>
          <w:sz w:val="20"/>
        </w:rPr>
        <w:t xml:space="preserve"> </w:t>
      </w:r>
      <w:r w:rsidRPr="00BD7C1A">
        <w:rPr>
          <w:rFonts w:ascii="Arial" w:hAnsi="Arial" w:cs="Arial"/>
          <w:sz w:val="20"/>
        </w:rPr>
        <w:t>on</w:t>
      </w:r>
      <w:r w:rsidRPr="00BD7C1A">
        <w:rPr>
          <w:rFonts w:ascii="Arial" w:hAnsi="Arial" w:cs="Arial"/>
          <w:spacing w:val="-5"/>
          <w:sz w:val="20"/>
        </w:rPr>
        <w:t xml:space="preserve"> </w:t>
      </w:r>
      <w:r w:rsidRPr="00BD7C1A">
        <w:rPr>
          <w:rFonts w:ascii="Arial" w:hAnsi="Arial" w:cs="Arial"/>
          <w:sz w:val="20"/>
        </w:rPr>
        <w:t>its</w:t>
      </w:r>
      <w:r w:rsidRPr="00BD7C1A">
        <w:rPr>
          <w:rFonts w:ascii="Arial" w:hAnsi="Arial" w:cs="Arial"/>
          <w:spacing w:val="-4"/>
          <w:sz w:val="20"/>
        </w:rPr>
        <w:t xml:space="preserve"> </w:t>
      </w:r>
      <w:r w:rsidRPr="00BD7C1A">
        <w:rPr>
          <w:rFonts w:ascii="Arial" w:hAnsi="Arial" w:cs="Arial"/>
          <w:sz w:val="20"/>
        </w:rPr>
        <w:t>characteristics</w:t>
      </w:r>
      <w:r w:rsidRPr="00BD7C1A">
        <w:rPr>
          <w:rFonts w:ascii="Arial" w:hAnsi="Arial" w:cs="Arial"/>
          <w:spacing w:val="-5"/>
          <w:sz w:val="20"/>
        </w:rPr>
        <w:t xml:space="preserve"> </w:t>
      </w:r>
      <w:r w:rsidRPr="00BD7C1A">
        <w:rPr>
          <w:rFonts w:ascii="Arial" w:hAnsi="Arial" w:cs="Arial"/>
          <w:sz w:val="20"/>
        </w:rPr>
        <w:t>and</w:t>
      </w:r>
      <w:r w:rsidRPr="00BD7C1A">
        <w:rPr>
          <w:rFonts w:ascii="Arial" w:hAnsi="Arial" w:cs="Arial"/>
          <w:spacing w:val="-5"/>
          <w:sz w:val="20"/>
        </w:rPr>
        <w:t xml:space="preserve"> </w:t>
      </w:r>
      <w:r w:rsidRPr="00BD7C1A">
        <w:rPr>
          <w:rFonts w:ascii="Arial" w:hAnsi="Arial" w:cs="Arial"/>
          <w:sz w:val="20"/>
        </w:rPr>
        <w:t>use</w:t>
      </w:r>
      <w:r w:rsidRPr="00BD7C1A">
        <w:rPr>
          <w:rFonts w:ascii="Arial" w:hAnsi="Arial" w:cs="Arial"/>
          <w:spacing w:val="-5"/>
          <w:sz w:val="20"/>
        </w:rPr>
        <w:t xml:space="preserve"> </w:t>
      </w:r>
      <w:r w:rsidRPr="00BD7C1A">
        <w:rPr>
          <w:rFonts w:ascii="Arial" w:hAnsi="Arial" w:cs="Arial"/>
          <w:sz w:val="20"/>
        </w:rPr>
        <w:t>by</w:t>
      </w:r>
      <w:r w:rsidRPr="00BD7C1A">
        <w:rPr>
          <w:rFonts w:ascii="Arial" w:hAnsi="Arial" w:cs="Arial"/>
          <w:spacing w:val="-4"/>
          <w:sz w:val="20"/>
        </w:rPr>
        <w:t xml:space="preserve"> </w:t>
      </w:r>
      <w:r w:rsidRPr="00BD7C1A">
        <w:rPr>
          <w:rFonts w:ascii="Arial" w:hAnsi="Arial" w:cs="Arial"/>
          <w:sz w:val="20"/>
        </w:rPr>
        <w:t>the</w:t>
      </w:r>
      <w:r w:rsidRPr="00BD7C1A">
        <w:rPr>
          <w:rFonts w:ascii="Arial" w:hAnsi="Arial" w:cs="Arial"/>
          <w:spacing w:val="-47"/>
          <w:sz w:val="20"/>
        </w:rPr>
        <w:t xml:space="preserve"> </w:t>
      </w:r>
      <w:r w:rsidRPr="00BD7C1A">
        <w:rPr>
          <w:rFonts w:ascii="Arial" w:hAnsi="Arial" w:cs="Arial"/>
          <w:sz w:val="20"/>
        </w:rPr>
        <w:t>pilot-in-command</w:t>
      </w:r>
      <w:r w:rsidRPr="00BD7C1A">
        <w:rPr>
          <w:rFonts w:ascii="Arial" w:hAnsi="Arial" w:cs="Arial"/>
          <w:spacing w:val="-2"/>
          <w:sz w:val="20"/>
        </w:rPr>
        <w:t xml:space="preserve"> </w:t>
      </w:r>
      <w:r w:rsidRPr="00BD7C1A">
        <w:rPr>
          <w:rFonts w:ascii="Arial" w:hAnsi="Arial" w:cs="Arial"/>
          <w:sz w:val="20"/>
        </w:rPr>
        <w:t>before</w:t>
      </w:r>
      <w:r w:rsidRPr="00BD7C1A">
        <w:rPr>
          <w:rFonts w:ascii="Arial" w:hAnsi="Arial" w:cs="Arial"/>
          <w:spacing w:val="-2"/>
          <w:sz w:val="20"/>
        </w:rPr>
        <w:t xml:space="preserve"> </w:t>
      </w:r>
      <w:r w:rsidRPr="00BD7C1A">
        <w:rPr>
          <w:rFonts w:ascii="Arial" w:hAnsi="Arial" w:cs="Arial"/>
          <w:sz w:val="20"/>
        </w:rPr>
        <w:t>the</w:t>
      </w:r>
      <w:r w:rsidRPr="00BD7C1A">
        <w:rPr>
          <w:rFonts w:ascii="Arial" w:hAnsi="Arial" w:cs="Arial"/>
          <w:spacing w:val="1"/>
          <w:sz w:val="20"/>
        </w:rPr>
        <w:t xml:space="preserve"> </w:t>
      </w:r>
      <w:r w:rsidRPr="00BD7C1A">
        <w:rPr>
          <w:rFonts w:ascii="Arial" w:hAnsi="Arial" w:cs="Arial"/>
          <w:sz w:val="20"/>
        </w:rPr>
        <w:t>flight.</w:t>
      </w:r>
    </w:p>
    <w:p w14:paraId="757BD205" w14:textId="77777777" w:rsidR="00D97443" w:rsidRPr="00D97443" w:rsidRDefault="00D97443" w:rsidP="009601C2">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299" w:name="AMC4_BOP.BAS.340_Life-saving_and_signall"/>
      <w:bookmarkStart w:id="300" w:name="_bookmark128"/>
      <w:bookmarkStart w:id="301" w:name="_Toc153137293"/>
      <w:bookmarkEnd w:id="299"/>
      <w:bookmarkEnd w:id="300"/>
      <w:r w:rsidRPr="00D97443">
        <w:rPr>
          <w:rFonts w:ascii="Arial" w:eastAsia="Times New Roman" w:hAnsi="Arial" w:cs="Times New Roman"/>
          <w:b/>
          <w:color w:val="FFFFFF"/>
          <w:sz w:val="24"/>
        </w:rPr>
        <w:t>AMC4 BOP.BAS.340 Life-saving and signalling equipment – Flights over water</w:t>
      </w:r>
      <w:bookmarkEnd w:id="301"/>
    </w:p>
    <w:p w14:paraId="2A3501A1" w14:textId="77777777" w:rsidR="00D97443" w:rsidRPr="00276D5E" w:rsidRDefault="00D97443" w:rsidP="009601C2">
      <w:pPr>
        <w:spacing w:line="276" w:lineRule="auto"/>
        <w:jc w:val="both"/>
        <w:rPr>
          <w:rFonts w:ascii="Arial" w:hAnsi="Arial" w:cs="Arial"/>
          <w:b/>
          <w:sz w:val="20"/>
        </w:rPr>
      </w:pPr>
      <w:r w:rsidRPr="00276D5E">
        <w:rPr>
          <w:rFonts w:ascii="Arial" w:hAnsi="Arial" w:cs="Arial"/>
          <w:b/>
          <w:sz w:val="20"/>
        </w:rPr>
        <w:t>ELT</w:t>
      </w:r>
      <w:r w:rsidRPr="00276D5E">
        <w:rPr>
          <w:rFonts w:ascii="Arial" w:hAnsi="Arial" w:cs="Arial"/>
          <w:b/>
          <w:spacing w:val="-5"/>
          <w:sz w:val="20"/>
        </w:rPr>
        <w:t xml:space="preserve"> </w:t>
      </w:r>
      <w:r w:rsidRPr="00276D5E">
        <w:rPr>
          <w:rFonts w:ascii="Arial" w:hAnsi="Arial" w:cs="Arial"/>
          <w:b/>
          <w:sz w:val="20"/>
        </w:rPr>
        <w:t>AND</w:t>
      </w:r>
      <w:r w:rsidRPr="00276D5E">
        <w:rPr>
          <w:rFonts w:ascii="Arial" w:hAnsi="Arial" w:cs="Arial"/>
          <w:b/>
          <w:spacing w:val="-4"/>
          <w:sz w:val="20"/>
        </w:rPr>
        <w:t xml:space="preserve"> </w:t>
      </w:r>
      <w:r w:rsidRPr="00276D5E">
        <w:rPr>
          <w:rFonts w:ascii="Arial" w:hAnsi="Arial" w:cs="Arial"/>
          <w:b/>
          <w:sz w:val="20"/>
        </w:rPr>
        <w:t>PLB</w:t>
      </w:r>
      <w:r w:rsidRPr="00276D5E">
        <w:rPr>
          <w:rFonts w:ascii="Arial" w:hAnsi="Arial" w:cs="Arial"/>
          <w:b/>
          <w:spacing w:val="-4"/>
          <w:sz w:val="20"/>
        </w:rPr>
        <w:t xml:space="preserve"> </w:t>
      </w:r>
      <w:r w:rsidRPr="00276D5E">
        <w:rPr>
          <w:rFonts w:ascii="Arial" w:hAnsi="Arial" w:cs="Arial"/>
          <w:b/>
          <w:sz w:val="20"/>
        </w:rPr>
        <w:t>REGISTRATION</w:t>
      </w:r>
      <w:r w:rsidRPr="00276D5E">
        <w:rPr>
          <w:rFonts w:ascii="Arial" w:hAnsi="Arial" w:cs="Arial"/>
          <w:b/>
          <w:spacing w:val="-3"/>
          <w:sz w:val="20"/>
        </w:rPr>
        <w:t xml:space="preserve"> </w:t>
      </w:r>
      <w:r w:rsidRPr="00276D5E">
        <w:rPr>
          <w:rFonts w:ascii="Arial" w:hAnsi="Arial" w:cs="Arial"/>
          <w:b/>
          <w:sz w:val="20"/>
        </w:rPr>
        <w:t>AND</w:t>
      </w:r>
      <w:r w:rsidRPr="00276D5E">
        <w:rPr>
          <w:rFonts w:ascii="Arial" w:hAnsi="Arial" w:cs="Arial"/>
          <w:b/>
          <w:spacing w:val="-5"/>
          <w:sz w:val="20"/>
        </w:rPr>
        <w:t xml:space="preserve"> </w:t>
      </w:r>
      <w:r w:rsidRPr="00276D5E">
        <w:rPr>
          <w:rFonts w:ascii="Arial" w:hAnsi="Arial" w:cs="Arial"/>
          <w:b/>
          <w:sz w:val="20"/>
        </w:rPr>
        <w:t>OPERATION</w:t>
      </w:r>
      <w:r w:rsidRPr="00276D5E">
        <w:rPr>
          <w:rFonts w:ascii="Arial" w:hAnsi="Arial" w:cs="Arial"/>
          <w:b/>
          <w:spacing w:val="-3"/>
          <w:sz w:val="20"/>
        </w:rPr>
        <w:t xml:space="preserve"> </w:t>
      </w:r>
      <w:r w:rsidRPr="00276D5E">
        <w:rPr>
          <w:rFonts w:ascii="Arial" w:hAnsi="Arial" w:cs="Arial"/>
          <w:b/>
          <w:sz w:val="20"/>
        </w:rPr>
        <w:t>PROVISIONS</w:t>
      </w:r>
    </w:p>
    <w:p w14:paraId="4E8C420C" w14:textId="77777777" w:rsidR="00D97443" w:rsidRPr="00D97443" w:rsidRDefault="00D97443" w:rsidP="009601C2">
      <w:pPr>
        <w:numPr>
          <w:ilvl w:val="0"/>
          <w:numId w:val="72"/>
        </w:numPr>
        <w:tabs>
          <w:tab w:val="left" w:pos="706"/>
          <w:tab w:val="left" w:pos="707"/>
        </w:tabs>
        <w:spacing w:before="121" w:line="276" w:lineRule="auto"/>
        <w:ind w:right="194"/>
        <w:jc w:val="both"/>
        <w:rPr>
          <w:rFonts w:ascii="Arial" w:hAnsi="Arial" w:cs="Arial"/>
          <w:sz w:val="20"/>
        </w:rPr>
      </w:pPr>
      <w:r w:rsidRPr="00D97443">
        <w:rPr>
          <w:rFonts w:ascii="Arial" w:hAnsi="Arial" w:cs="Arial"/>
          <w:sz w:val="20"/>
        </w:rPr>
        <w:t>Any ELT and PLB carried should be registered with the national agency responsible for initiating search and rescue, or another nominated agency.</w:t>
      </w:r>
    </w:p>
    <w:p w14:paraId="75CEA7EA" w14:textId="77777777" w:rsidR="00D97443" w:rsidRPr="00D97443" w:rsidRDefault="00D97443" w:rsidP="009601C2">
      <w:pPr>
        <w:numPr>
          <w:ilvl w:val="0"/>
          <w:numId w:val="72"/>
        </w:numPr>
        <w:tabs>
          <w:tab w:val="left" w:pos="706"/>
          <w:tab w:val="left" w:pos="707"/>
        </w:tabs>
        <w:spacing w:before="121" w:line="276" w:lineRule="auto"/>
        <w:ind w:right="194"/>
        <w:jc w:val="both"/>
        <w:rPr>
          <w:rFonts w:ascii="Arial" w:hAnsi="Arial" w:cs="Arial"/>
          <w:sz w:val="20"/>
        </w:rPr>
      </w:pPr>
      <w:r w:rsidRPr="00D97443">
        <w:rPr>
          <w:rFonts w:ascii="Arial" w:hAnsi="Arial" w:cs="Arial"/>
          <w:sz w:val="20"/>
        </w:rPr>
        <w:t>Any ELT carried should operate in accordance with the relevant provisions of Volume III of ICAO Annex 10 to the Chicago Convention, ‘Aeronautical telecommunications’.</w:t>
      </w:r>
    </w:p>
    <w:p w14:paraId="140CA8E2" w14:textId="77777777" w:rsidR="00CC6159" w:rsidRPr="00CC6159" w:rsidRDefault="00CC6159" w:rsidP="009601C2">
      <w:pPr>
        <w:keepNext/>
        <w:keepLines/>
        <w:widowControl/>
        <w:shd w:val="clear" w:color="auto" w:fill="339966"/>
        <w:autoSpaceDE/>
        <w:autoSpaceDN/>
        <w:spacing w:before="160" w:after="120" w:line="276" w:lineRule="auto"/>
        <w:jc w:val="both"/>
        <w:outlineLvl w:val="4"/>
        <w:rPr>
          <w:rFonts w:ascii="Arial" w:eastAsia="Times New Roman" w:hAnsi="Arial" w:cs="Times New Roman"/>
          <w:b/>
          <w:color w:val="FFFFFF"/>
          <w:sz w:val="24"/>
        </w:rPr>
      </w:pPr>
      <w:bookmarkStart w:id="302" w:name="GM1_BOP.BAS.340_Life-saving_and_signalli"/>
      <w:bookmarkStart w:id="303" w:name="_bookmark129"/>
      <w:bookmarkStart w:id="304" w:name="_Toc153137294"/>
      <w:bookmarkEnd w:id="302"/>
      <w:bookmarkEnd w:id="303"/>
      <w:r w:rsidRPr="00CC6159">
        <w:rPr>
          <w:rFonts w:ascii="Arial" w:eastAsia="Times New Roman" w:hAnsi="Arial" w:cs="Times New Roman"/>
          <w:b/>
          <w:color w:val="FFFFFF"/>
          <w:sz w:val="24"/>
        </w:rPr>
        <w:t>GM1 BOP.BAS.340 Life-saving and signalling equipment – Flights over water</w:t>
      </w:r>
      <w:bookmarkEnd w:id="304"/>
    </w:p>
    <w:p w14:paraId="44B796BB" w14:textId="77777777" w:rsidR="00CC6159" w:rsidRPr="00276D5E" w:rsidRDefault="00CC6159" w:rsidP="009601C2">
      <w:pPr>
        <w:spacing w:line="276" w:lineRule="auto"/>
        <w:jc w:val="both"/>
        <w:rPr>
          <w:rFonts w:ascii="Arial" w:hAnsi="Arial" w:cs="Arial"/>
          <w:b/>
          <w:sz w:val="20"/>
        </w:rPr>
      </w:pPr>
      <w:r w:rsidRPr="00276D5E">
        <w:rPr>
          <w:rFonts w:ascii="Arial" w:hAnsi="Arial" w:cs="Arial"/>
          <w:b/>
          <w:sz w:val="20"/>
        </w:rPr>
        <w:t>TERMINOLOGY</w:t>
      </w:r>
    </w:p>
    <w:p w14:paraId="521E595A" w14:textId="77777777" w:rsidR="00CC6159" w:rsidRPr="00CC6159" w:rsidRDefault="00CC6159" w:rsidP="009601C2">
      <w:pPr>
        <w:pStyle w:val="ListParagraph"/>
        <w:numPr>
          <w:ilvl w:val="0"/>
          <w:numId w:val="73"/>
        </w:numPr>
        <w:tabs>
          <w:tab w:val="left" w:pos="707"/>
        </w:tabs>
        <w:spacing w:before="116" w:line="276" w:lineRule="auto"/>
        <w:ind w:right="196"/>
        <w:jc w:val="both"/>
        <w:rPr>
          <w:rFonts w:ascii="Arial" w:hAnsi="Arial" w:cs="Arial"/>
          <w:sz w:val="20"/>
        </w:rPr>
      </w:pPr>
      <w:r w:rsidRPr="00CC6159">
        <w:rPr>
          <w:rFonts w:ascii="Arial" w:hAnsi="Arial" w:cs="Arial"/>
          <w:sz w:val="20"/>
        </w:rPr>
        <w:t>An</w:t>
      </w:r>
      <w:r w:rsidRPr="00CC6159">
        <w:rPr>
          <w:rFonts w:ascii="Arial" w:hAnsi="Arial" w:cs="Arial"/>
          <w:spacing w:val="-6"/>
          <w:sz w:val="20"/>
        </w:rPr>
        <w:t xml:space="preserve"> </w:t>
      </w:r>
      <w:r w:rsidRPr="00CC6159">
        <w:rPr>
          <w:rFonts w:ascii="Arial" w:hAnsi="Arial" w:cs="Arial"/>
          <w:sz w:val="20"/>
        </w:rPr>
        <w:t>ELT</w:t>
      </w:r>
      <w:r w:rsidRPr="00CC6159">
        <w:rPr>
          <w:rFonts w:ascii="Arial" w:hAnsi="Arial" w:cs="Arial"/>
          <w:spacing w:val="-4"/>
          <w:sz w:val="20"/>
        </w:rPr>
        <w:t xml:space="preserve"> </w:t>
      </w:r>
      <w:r w:rsidRPr="00CC6159">
        <w:rPr>
          <w:rFonts w:ascii="Arial" w:hAnsi="Arial" w:cs="Arial"/>
          <w:sz w:val="20"/>
        </w:rPr>
        <w:t>is</w:t>
      </w:r>
      <w:r w:rsidRPr="00CC6159">
        <w:rPr>
          <w:rFonts w:ascii="Arial" w:hAnsi="Arial" w:cs="Arial"/>
          <w:spacing w:val="-6"/>
          <w:sz w:val="20"/>
        </w:rPr>
        <w:t xml:space="preserve"> </w:t>
      </w:r>
      <w:r w:rsidRPr="00CC6159">
        <w:rPr>
          <w:rFonts w:ascii="Arial" w:hAnsi="Arial" w:cs="Arial"/>
          <w:sz w:val="20"/>
        </w:rPr>
        <w:t>a</w:t>
      </w:r>
      <w:r w:rsidRPr="00CC6159">
        <w:rPr>
          <w:rFonts w:ascii="Arial" w:hAnsi="Arial" w:cs="Arial"/>
          <w:spacing w:val="-7"/>
          <w:sz w:val="20"/>
        </w:rPr>
        <w:t xml:space="preserve"> </w:t>
      </w:r>
      <w:r w:rsidRPr="00CC6159">
        <w:rPr>
          <w:rFonts w:ascii="Arial" w:hAnsi="Arial" w:cs="Arial"/>
          <w:sz w:val="20"/>
        </w:rPr>
        <w:t>generic</w:t>
      </w:r>
      <w:r w:rsidRPr="00CC6159">
        <w:rPr>
          <w:rFonts w:ascii="Arial" w:hAnsi="Arial" w:cs="Arial"/>
          <w:spacing w:val="-5"/>
          <w:sz w:val="20"/>
        </w:rPr>
        <w:t xml:space="preserve"> </w:t>
      </w:r>
      <w:r w:rsidRPr="00CC6159">
        <w:rPr>
          <w:rFonts w:ascii="Arial" w:hAnsi="Arial" w:cs="Arial"/>
          <w:sz w:val="20"/>
        </w:rPr>
        <w:t>term</w:t>
      </w:r>
      <w:r w:rsidRPr="00CC6159">
        <w:rPr>
          <w:rFonts w:ascii="Arial" w:hAnsi="Arial" w:cs="Arial"/>
          <w:spacing w:val="-3"/>
          <w:sz w:val="20"/>
        </w:rPr>
        <w:t xml:space="preserve"> </w:t>
      </w:r>
      <w:r w:rsidRPr="00CC6159">
        <w:rPr>
          <w:rFonts w:ascii="Arial" w:hAnsi="Arial" w:cs="Arial"/>
          <w:sz w:val="20"/>
        </w:rPr>
        <w:t>describing</w:t>
      </w:r>
      <w:r w:rsidRPr="00CC6159">
        <w:rPr>
          <w:rFonts w:ascii="Arial" w:hAnsi="Arial" w:cs="Arial"/>
          <w:spacing w:val="-4"/>
          <w:sz w:val="20"/>
        </w:rPr>
        <w:t xml:space="preserve"> </w:t>
      </w:r>
      <w:r w:rsidRPr="00CC6159">
        <w:rPr>
          <w:rFonts w:ascii="Arial" w:hAnsi="Arial" w:cs="Arial"/>
          <w:sz w:val="20"/>
        </w:rPr>
        <w:t>equipment</w:t>
      </w:r>
      <w:r w:rsidRPr="00CC6159">
        <w:rPr>
          <w:rFonts w:ascii="Arial" w:hAnsi="Arial" w:cs="Arial"/>
          <w:spacing w:val="-6"/>
          <w:sz w:val="20"/>
        </w:rPr>
        <w:t xml:space="preserve"> </w:t>
      </w:r>
      <w:r w:rsidRPr="00CC6159">
        <w:rPr>
          <w:rFonts w:ascii="Arial" w:hAnsi="Arial" w:cs="Arial"/>
          <w:sz w:val="20"/>
        </w:rPr>
        <w:t>that</w:t>
      </w:r>
      <w:r w:rsidRPr="00CC6159">
        <w:rPr>
          <w:rFonts w:ascii="Arial" w:hAnsi="Arial" w:cs="Arial"/>
          <w:spacing w:val="-7"/>
          <w:sz w:val="20"/>
        </w:rPr>
        <w:t xml:space="preserve"> </w:t>
      </w:r>
      <w:r w:rsidRPr="00CC6159">
        <w:rPr>
          <w:rFonts w:ascii="Arial" w:hAnsi="Arial" w:cs="Arial"/>
          <w:sz w:val="20"/>
        </w:rPr>
        <w:t>broadcasts</w:t>
      </w:r>
      <w:r w:rsidRPr="00CC6159">
        <w:rPr>
          <w:rFonts w:ascii="Arial" w:hAnsi="Arial" w:cs="Arial"/>
          <w:spacing w:val="-5"/>
          <w:sz w:val="20"/>
        </w:rPr>
        <w:t xml:space="preserve"> </w:t>
      </w:r>
      <w:r w:rsidRPr="00CC6159">
        <w:rPr>
          <w:rFonts w:ascii="Arial" w:hAnsi="Arial" w:cs="Arial"/>
          <w:sz w:val="20"/>
        </w:rPr>
        <w:t>distinctive</w:t>
      </w:r>
      <w:r w:rsidRPr="00CC6159">
        <w:rPr>
          <w:rFonts w:ascii="Arial" w:hAnsi="Arial" w:cs="Arial"/>
          <w:spacing w:val="-6"/>
          <w:sz w:val="20"/>
        </w:rPr>
        <w:t xml:space="preserve"> </w:t>
      </w:r>
      <w:r w:rsidRPr="00CC6159">
        <w:rPr>
          <w:rFonts w:ascii="Arial" w:hAnsi="Arial" w:cs="Arial"/>
          <w:sz w:val="20"/>
        </w:rPr>
        <w:t>signals</w:t>
      </w:r>
      <w:r w:rsidRPr="00CC6159">
        <w:rPr>
          <w:rFonts w:ascii="Arial" w:hAnsi="Arial" w:cs="Arial"/>
          <w:spacing w:val="-6"/>
          <w:sz w:val="20"/>
        </w:rPr>
        <w:t xml:space="preserve"> </w:t>
      </w:r>
      <w:r w:rsidRPr="00CC6159">
        <w:rPr>
          <w:rFonts w:ascii="Arial" w:hAnsi="Arial" w:cs="Arial"/>
          <w:sz w:val="20"/>
        </w:rPr>
        <w:t>on</w:t>
      </w:r>
      <w:r w:rsidRPr="00CC6159">
        <w:rPr>
          <w:rFonts w:ascii="Arial" w:hAnsi="Arial" w:cs="Arial"/>
          <w:spacing w:val="-5"/>
          <w:sz w:val="20"/>
        </w:rPr>
        <w:t xml:space="preserve"> </w:t>
      </w:r>
      <w:r w:rsidRPr="00CC6159">
        <w:rPr>
          <w:rFonts w:ascii="Arial" w:hAnsi="Arial" w:cs="Arial"/>
          <w:sz w:val="20"/>
        </w:rPr>
        <w:t>designated</w:t>
      </w:r>
      <w:r w:rsidRPr="00CC6159">
        <w:rPr>
          <w:rFonts w:ascii="Arial" w:hAnsi="Arial" w:cs="Arial"/>
          <w:spacing w:val="-47"/>
          <w:sz w:val="20"/>
        </w:rPr>
        <w:t xml:space="preserve"> </w:t>
      </w:r>
      <w:r w:rsidRPr="00CC6159">
        <w:rPr>
          <w:rFonts w:ascii="Arial" w:hAnsi="Arial" w:cs="Arial"/>
          <w:sz w:val="20"/>
        </w:rPr>
        <w:t>frequencies and, depending on application, may be activated by impact or may be manually</w:t>
      </w:r>
      <w:r w:rsidRPr="00CC6159">
        <w:rPr>
          <w:rFonts w:ascii="Arial" w:hAnsi="Arial" w:cs="Arial"/>
          <w:spacing w:val="1"/>
          <w:sz w:val="20"/>
        </w:rPr>
        <w:t xml:space="preserve"> </w:t>
      </w:r>
      <w:r w:rsidRPr="00CC6159">
        <w:rPr>
          <w:rFonts w:ascii="Arial" w:hAnsi="Arial" w:cs="Arial"/>
          <w:sz w:val="20"/>
        </w:rPr>
        <w:t>activated.</w:t>
      </w:r>
    </w:p>
    <w:p w14:paraId="7156AE3B" w14:textId="0E673518" w:rsidR="00CC6159" w:rsidRDefault="00CC6159" w:rsidP="009601C2">
      <w:pPr>
        <w:pStyle w:val="ListParagraph"/>
        <w:numPr>
          <w:ilvl w:val="0"/>
          <w:numId w:val="73"/>
        </w:numPr>
        <w:tabs>
          <w:tab w:val="left" w:pos="707"/>
        </w:tabs>
        <w:spacing w:before="121" w:line="276" w:lineRule="auto"/>
        <w:ind w:right="198"/>
        <w:jc w:val="both"/>
        <w:rPr>
          <w:rFonts w:ascii="Arial" w:hAnsi="Arial" w:cs="Arial"/>
          <w:sz w:val="20"/>
        </w:rPr>
      </w:pPr>
      <w:r w:rsidRPr="00CC6159">
        <w:rPr>
          <w:rFonts w:ascii="Arial" w:hAnsi="Arial" w:cs="Arial"/>
          <w:sz w:val="20"/>
        </w:rPr>
        <w:t>A</w:t>
      </w:r>
      <w:r w:rsidRPr="00CC6159">
        <w:rPr>
          <w:rFonts w:ascii="Arial" w:hAnsi="Arial" w:cs="Arial"/>
          <w:spacing w:val="1"/>
          <w:sz w:val="20"/>
        </w:rPr>
        <w:t xml:space="preserve"> </w:t>
      </w:r>
      <w:r w:rsidRPr="00CC6159">
        <w:rPr>
          <w:rFonts w:ascii="Arial" w:hAnsi="Arial" w:cs="Arial"/>
          <w:sz w:val="20"/>
        </w:rPr>
        <w:t>PLB</w:t>
      </w:r>
      <w:r w:rsidRPr="00CC6159">
        <w:rPr>
          <w:rFonts w:ascii="Arial" w:hAnsi="Arial" w:cs="Arial"/>
          <w:spacing w:val="1"/>
          <w:sz w:val="20"/>
        </w:rPr>
        <w:t xml:space="preserve"> </w:t>
      </w:r>
      <w:r w:rsidRPr="00CC6159">
        <w:rPr>
          <w:rFonts w:ascii="Arial" w:hAnsi="Arial" w:cs="Arial"/>
          <w:sz w:val="20"/>
        </w:rPr>
        <w:t>is</w:t>
      </w:r>
      <w:r w:rsidRPr="00CC6159">
        <w:rPr>
          <w:rFonts w:ascii="Arial" w:hAnsi="Arial" w:cs="Arial"/>
          <w:spacing w:val="1"/>
          <w:sz w:val="20"/>
        </w:rPr>
        <w:t xml:space="preserve"> </w:t>
      </w:r>
      <w:r w:rsidRPr="00CC6159">
        <w:rPr>
          <w:rFonts w:ascii="Arial" w:hAnsi="Arial" w:cs="Arial"/>
          <w:sz w:val="20"/>
        </w:rPr>
        <w:t>an</w:t>
      </w:r>
      <w:r w:rsidRPr="00CC6159">
        <w:rPr>
          <w:rFonts w:ascii="Arial" w:hAnsi="Arial" w:cs="Arial"/>
          <w:spacing w:val="1"/>
          <w:sz w:val="20"/>
        </w:rPr>
        <w:t xml:space="preserve"> </w:t>
      </w:r>
      <w:r w:rsidRPr="00CC6159">
        <w:rPr>
          <w:rFonts w:ascii="Arial" w:hAnsi="Arial" w:cs="Arial"/>
          <w:sz w:val="20"/>
        </w:rPr>
        <w:t>emergency</w:t>
      </w:r>
      <w:r w:rsidRPr="00CC6159">
        <w:rPr>
          <w:rFonts w:ascii="Arial" w:hAnsi="Arial" w:cs="Arial"/>
          <w:spacing w:val="1"/>
          <w:sz w:val="20"/>
        </w:rPr>
        <w:t xml:space="preserve"> </w:t>
      </w:r>
      <w:r w:rsidRPr="00CC6159">
        <w:rPr>
          <w:rFonts w:ascii="Arial" w:hAnsi="Arial" w:cs="Arial"/>
          <w:sz w:val="20"/>
        </w:rPr>
        <w:t>beacon,</w:t>
      </w:r>
      <w:r w:rsidRPr="00CC6159">
        <w:rPr>
          <w:rFonts w:ascii="Arial" w:hAnsi="Arial" w:cs="Arial"/>
          <w:spacing w:val="1"/>
          <w:sz w:val="20"/>
        </w:rPr>
        <w:t xml:space="preserve"> </w:t>
      </w:r>
      <w:r w:rsidRPr="00CC6159">
        <w:rPr>
          <w:rFonts w:ascii="Arial" w:hAnsi="Arial" w:cs="Arial"/>
          <w:sz w:val="20"/>
        </w:rPr>
        <w:t>other</w:t>
      </w:r>
      <w:r w:rsidRPr="00CC6159">
        <w:rPr>
          <w:rFonts w:ascii="Arial" w:hAnsi="Arial" w:cs="Arial"/>
          <w:spacing w:val="1"/>
          <w:sz w:val="20"/>
        </w:rPr>
        <w:t xml:space="preserve"> </w:t>
      </w:r>
      <w:r w:rsidRPr="00CC6159">
        <w:rPr>
          <w:rFonts w:ascii="Arial" w:hAnsi="Arial" w:cs="Arial"/>
          <w:sz w:val="20"/>
        </w:rPr>
        <w:t>than</w:t>
      </w:r>
      <w:r w:rsidRPr="00CC6159">
        <w:rPr>
          <w:rFonts w:ascii="Arial" w:hAnsi="Arial" w:cs="Arial"/>
          <w:spacing w:val="1"/>
          <w:sz w:val="20"/>
        </w:rPr>
        <w:t xml:space="preserve"> </w:t>
      </w:r>
      <w:r w:rsidRPr="00CC6159">
        <w:rPr>
          <w:rFonts w:ascii="Arial" w:hAnsi="Arial" w:cs="Arial"/>
          <w:sz w:val="20"/>
        </w:rPr>
        <w:t>an</w:t>
      </w:r>
      <w:r w:rsidRPr="00CC6159">
        <w:rPr>
          <w:rFonts w:ascii="Arial" w:hAnsi="Arial" w:cs="Arial"/>
          <w:spacing w:val="1"/>
          <w:sz w:val="20"/>
        </w:rPr>
        <w:t xml:space="preserve"> </w:t>
      </w:r>
      <w:r w:rsidRPr="00CC6159">
        <w:rPr>
          <w:rFonts w:ascii="Arial" w:hAnsi="Arial" w:cs="Arial"/>
          <w:sz w:val="20"/>
        </w:rPr>
        <w:t>ELT,</w:t>
      </w:r>
      <w:r w:rsidRPr="00CC6159">
        <w:rPr>
          <w:rFonts w:ascii="Arial" w:hAnsi="Arial" w:cs="Arial"/>
          <w:spacing w:val="1"/>
          <w:sz w:val="20"/>
        </w:rPr>
        <w:t xml:space="preserve"> </w:t>
      </w:r>
      <w:r w:rsidRPr="00CC6159">
        <w:rPr>
          <w:rFonts w:ascii="Arial" w:hAnsi="Arial" w:cs="Arial"/>
          <w:sz w:val="20"/>
        </w:rPr>
        <w:t>that</w:t>
      </w:r>
      <w:r w:rsidRPr="00CC6159">
        <w:rPr>
          <w:rFonts w:ascii="Arial" w:hAnsi="Arial" w:cs="Arial"/>
          <w:spacing w:val="1"/>
          <w:sz w:val="20"/>
        </w:rPr>
        <w:t xml:space="preserve"> </w:t>
      </w:r>
      <w:r w:rsidRPr="00CC6159">
        <w:rPr>
          <w:rFonts w:ascii="Arial" w:hAnsi="Arial" w:cs="Arial"/>
          <w:sz w:val="20"/>
        </w:rPr>
        <w:t>broadcasts</w:t>
      </w:r>
      <w:r w:rsidRPr="00CC6159">
        <w:rPr>
          <w:rFonts w:ascii="Arial" w:hAnsi="Arial" w:cs="Arial"/>
          <w:spacing w:val="1"/>
          <w:sz w:val="20"/>
        </w:rPr>
        <w:t xml:space="preserve"> </w:t>
      </w:r>
      <w:r w:rsidRPr="00CC6159">
        <w:rPr>
          <w:rFonts w:ascii="Arial" w:hAnsi="Arial" w:cs="Arial"/>
          <w:sz w:val="20"/>
        </w:rPr>
        <w:t>distinctive</w:t>
      </w:r>
      <w:r w:rsidRPr="00CC6159">
        <w:rPr>
          <w:rFonts w:ascii="Arial" w:hAnsi="Arial" w:cs="Arial"/>
          <w:spacing w:val="1"/>
          <w:sz w:val="20"/>
        </w:rPr>
        <w:t xml:space="preserve"> </w:t>
      </w:r>
      <w:r w:rsidRPr="00CC6159">
        <w:rPr>
          <w:rFonts w:ascii="Arial" w:hAnsi="Arial" w:cs="Arial"/>
          <w:sz w:val="20"/>
        </w:rPr>
        <w:t>signals</w:t>
      </w:r>
      <w:r w:rsidRPr="00CC6159">
        <w:rPr>
          <w:rFonts w:ascii="Arial" w:hAnsi="Arial" w:cs="Arial"/>
          <w:spacing w:val="1"/>
          <w:sz w:val="20"/>
        </w:rPr>
        <w:t xml:space="preserve"> </w:t>
      </w:r>
      <w:r w:rsidRPr="00CC6159">
        <w:rPr>
          <w:rFonts w:ascii="Arial" w:hAnsi="Arial" w:cs="Arial"/>
          <w:sz w:val="20"/>
        </w:rPr>
        <w:t>at</w:t>
      </w:r>
      <w:r w:rsidRPr="00CC6159">
        <w:rPr>
          <w:rFonts w:ascii="Arial" w:hAnsi="Arial" w:cs="Arial"/>
          <w:spacing w:val="-47"/>
          <w:sz w:val="20"/>
        </w:rPr>
        <w:t xml:space="preserve"> </w:t>
      </w:r>
      <w:r w:rsidRPr="00CC6159">
        <w:rPr>
          <w:rFonts w:ascii="Arial" w:hAnsi="Arial" w:cs="Arial"/>
          <w:sz w:val="20"/>
        </w:rPr>
        <w:t>designated</w:t>
      </w:r>
      <w:r w:rsidRPr="00CC6159">
        <w:rPr>
          <w:rFonts w:ascii="Arial" w:hAnsi="Arial" w:cs="Arial"/>
          <w:spacing w:val="-2"/>
          <w:sz w:val="20"/>
        </w:rPr>
        <w:t xml:space="preserve"> </w:t>
      </w:r>
      <w:r w:rsidRPr="00CC6159">
        <w:rPr>
          <w:rFonts w:ascii="Arial" w:hAnsi="Arial" w:cs="Arial"/>
          <w:sz w:val="20"/>
        </w:rPr>
        <w:t>frequencies, is</w:t>
      </w:r>
      <w:r w:rsidRPr="00CC6159">
        <w:rPr>
          <w:rFonts w:ascii="Arial" w:hAnsi="Arial" w:cs="Arial"/>
          <w:spacing w:val="-6"/>
          <w:sz w:val="20"/>
        </w:rPr>
        <w:t xml:space="preserve"> </w:t>
      </w:r>
      <w:r w:rsidRPr="00CC6159">
        <w:rPr>
          <w:rFonts w:ascii="Arial" w:hAnsi="Arial" w:cs="Arial"/>
          <w:sz w:val="20"/>
        </w:rPr>
        <w:t>stand-alone, portable, and</w:t>
      </w:r>
      <w:r w:rsidRPr="00CC6159">
        <w:rPr>
          <w:rFonts w:ascii="Arial" w:hAnsi="Arial" w:cs="Arial"/>
          <w:spacing w:val="-3"/>
          <w:sz w:val="20"/>
        </w:rPr>
        <w:t xml:space="preserve"> </w:t>
      </w:r>
      <w:r w:rsidRPr="00CC6159">
        <w:rPr>
          <w:rFonts w:ascii="Arial" w:hAnsi="Arial" w:cs="Arial"/>
          <w:sz w:val="20"/>
        </w:rPr>
        <w:t>is</w:t>
      </w:r>
      <w:r w:rsidRPr="00CC6159">
        <w:rPr>
          <w:rFonts w:ascii="Arial" w:hAnsi="Arial" w:cs="Arial"/>
          <w:spacing w:val="-1"/>
          <w:sz w:val="20"/>
        </w:rPr>
        <w:t xml:space="preserve"> </w:t>
      </w:r>
      <w:r w:rsidRPr="00CC6159">
        <w:rPr>
          <w:rFonts w:ascii="Arial" w:hAnsi="Arial" w:cs="Arial"/>
          <w:sz w:val="20"/>
        </w:rPr>
        <w:t>manually</w:t>
      </w:r>
      <w:r w:rsidRPr="00CC6159">
        <w:rPr>
          <w:rFonts w:ascii="Arial" w:hAnsi="Arial" w:cs="Arial"/>
          <w:spacing w:val="-3"/>
          <w:sz w:val="20"/>
        </w:rPr>
        <w:t xml:space="preserve"> </w:t>
      </w:r>
      <w:r w:rsidRPr="00CC6159">
        <w:rPr>
          <w:rFonts w:ascii="Arial" w:hAnsi="Arial" w:cs="Arial"/>
          <w:sz w:val="20"/>
        </w:rPr>
        <w:t>activated</w:t>
      </w:r>
      <w:r w:rsidRPr="00CC6159">
        <w:rPr>
          <w:rFonts w:ascii="Arial" w:hAnsi="Arial" w:cs="Arial"/>
          <w:spacing w:val="-1"/>
          <w:sz w:val="20"/>
        </w:rPr>
        <w:t xml:space="preserve"> </w:t>
      </w:r>
      <w:r w:rsidRPr="00CC6159">
        <w:rPr>
          <w:rFonts w:ascii="Arial" w:hAnsi="Arial" w:cs="Arial"/>
          <w:sz w:val="20"/>
        </w:rPr>
        <w:t>by</w:t>
      </w:r>
      <w:r w:rsidRPr="00CC6159">
        <w:rPr>
          <w:rFonts w:ascii="Arial" w:hAnsi="Arial" w:cs="Arial"/>
          <w:spacing w:val="-3"/>
          <w:sz w:val="20"/>
        </w:rPr>
        <w:t xml:space="preserve"> </w:t>
      </w:r>
      <w:r w:rsidRPr="00CC6159">
        <w:rPr>
          <w:rFonts w:ascii="Arial" w:hAnsi="Arial" w:cs="Arial"/>
          <w:sz w:val="20"/>
        </w:rPr>
        <w:t>the</w:t>
      </w:r>
      <w:r w:rsidRPr="00CC6159">
        <w:rPr>
          <w:rFonts w:ascii="Arial" w:hAnsi="Arial" w:cs="Arial"/>
          <w:spacing w:val="-1"/>
          <w:sz w:val="20"/>
        </w:rPr>
        <w:t xml:space="preserve"> </w:t>
      </w:r>
      <w:r w:rsidRPr="00CC6159">
        <w:rPr>
          <w:rFonts w:ascii="Arial" w:hAnsi="Arial" w:cs="Arial"/>
          <w:sz w:val="20"/>
        </w:rPr>
        <w:t>survivors.</w:t>
      </w:r>
    </w:p>
    <w:p w14:paraId="286C94D7" w14:textId="77777777" w:rsidR="00F0624C" w:rsidRDefault="00F0624C" w:rsidP="00F0624C">
      <w:pPr>
        <w:pStyle w:val="ListParagraph"/>
        <w:tabs>
          <w:tab w:val="left" w:pos="707"/>
        </w:tabs>
        <w:spacing w:before="121" w:line="276" w:lineRule="auto"/>
        <w:ind w:right="198" w:firstLine="0"/>
        <w:jc w:val="both"/>
        <w:rPr>
          <w:rFonts w:ascii="Arial" w:hAnsi="Arial" w:cs="Arial"/>
          <w:sz w:val="20"/>
        </w:rPr>
      </w:pPr>
    </w:p>
    <w:p w14:paraId="2566F3CA" w14:textId="77777777" w:rsidR="00CC6159" w:rsidRPr="00CC6159" w:rsidRDefault="00CC6159"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305" w:name="BOP.BAS.345_Life-saving_and_signalling_e"/>
      <w:bookmarkStart w:id="306" w:name="_bookmark130"/>
      <w:bookmarkStart w:id="307" w:name="_Toc153137295"/>
      <w:bookmarkEnd w:id="305"/>
      <w:bookmarkEnd w:id="306"/>
      <w:r w:rsidRPr="00CC6159">
        <w:rPr>
          <w:rFonts w:ascii="Arial" w:eastAsia="Times New Roman" w:hAnsi="Arial" w:cs="Times New Roman"/>
          <w:b/>
          <w:iCs/>
          <w:color w:val="FFFFFF"/>
          <w:sz w:val="24"/>
        </w:rPr>
        <w:lastRenderedPageBreak/>
        <w:t>BOP.BAS.345 Life-saving and signalling equipment – Search and rescue difficulties</w:t>
      </w:r>
      <w:bookmarkEnd w:id="307"/>
    </w:p>
    <w:p w14:paraId="79A344A7" w14:textId="77777777" w:rsidR="00CC6159" w:rsidRPr="00CC6159" w:rsidRDefault="00CC6159" w:rsidP="009601C2">
      <w:pPr>
        <w:pStyle w:val="BodyText"/>
        <w:spacing w:before="117" w:line="276" w:lineRule="auto"/>
        <w:jc w:val="both"/>
        <w:rPr>
          <w:rFonts w:ascii="Arial" w:hAnsi="Arial" w:cs="Arial"/>
          <w:sz w:val="20"/>
        </w:rPr>
      </w:pPr>
      <w:r w:rsidRPr="00CC6159">
        <w:rPr>
          <w:rFonts w:ascii="Arial" w:hAnsi="Arial" w:cs="Arial"/>
          <w:sz w:val="20"/>
        </w:rPr>
        <w:t>Balloons</w:t>
      </w:r>
      <w:r w:rsidRPr="00CC6159">
        <w:rPr>
          <w:rFonts w:ascii="Arial" w:hAnsi="Arial" w:cs="Arial"/>
          <w:spacing w:val="6"/>
          <w:sz w:val="20"/>
        </w:rPr>
        <w:t xml:space="preserve"> </w:t>
      </w:r>
      <w:r w:rsidRPr="00CC6159">
        <w:rPr>
          <w:rFonts w:ascii="Arial" w:hAnsi="Arial" w:cs="Arial"/>
          <w:sz w:val="20"/>
        </w:rPr>
        <w:t>operated</w:t>
      </w:r>
      <w:r w:rsidRPr="00CC6159">
        <w:rPr>
          <w:rFonts w:ascii="Arial" w:hAnsi="Arial" w:cs="Arial"/>
          <w:spacing w:val="6"/>
          <w:sz w:val="20"/>
        </w:rPr>
        <w:t xml:space="preserve"> </w:t>
      </w:r>
      <w:r w:rsidRPr="00CC6159">
        <w:rPr>
          <w:rFonts w:ascii="Arial" w:hAnsi="Arial" w:cs="Arial"/>
          <w:sz w:val="20"/>
        </w:rPr>
        <w:t>over</w:t>
      </w:r>
      <w:r w:rsidRPr="00CC6159">
        <w:rPr>
          <w:rFonts w:ascii="Arial" w:hAnsi="Arial" w:cs="Arial"/>
          <w:spacing w:val="9"/>
          <w:sz w:val="20"/>
        </w:rPr>
        <w:t xml:space="preserve"> </w:t>
      </w:r>
      <w:r w:rsidRPr="00CC6159">
        <w:rPr>
          <w:rFonts w:ascii="Arial" w:hAnsi="Arial" w:cs="Arial"/>
          <w:sz w:val="20"/>
        </w:rPr>
        <w:t>areas</w:t>
      </w:r>
      <w:r w:rsidRPr="00CC6159">
        <w:rPr>
          <w:rFonts w:ascii="Arial" w:hAnsi="Arial" w:cs="Arial"/>
          <w:spacing w:val="9"/>
          <w:sz w:val="20"/>
        </w:rPr>
        <w:t xml:space="preserve"> </w:t>
      </w:r>
      <w:r w:rsidRPr="00CC6159">
        <w:rPr>
          <w:rFonts w:ascii="Arial" w:hAnsi="Arial" w:cs="Arial"/>
          <w:sz w:val="20"/>
        </w:rPr>
        <w:t>in</w:t>
      </w:r>
      <w:r w:rsidRPr="00CC6159">
        <w:rPr>
          <w:rFonts w:ascii="Arial" w:hAnsi="Arial" w:cs="Arial"/>
          <w:spacing w:val="8"/>
          <w:sz w:val="20"/>
        </w:rPr>
        <w:t xml:space="preserve"> </w:t>
      </w:r>
      <w:r w:rsidRPr="00CC6159">
        <w:rPr>
          <w:rFonts w:ascii="Arial" w:hAnsi="Arial" w:cs="Arial"/>
          <w:sz w:val="20"/>
        </w:rPr>
        <w:t>which</w:t>
      </w:r>
      <w:r w:rsidRPr="00CC6159">
        <w:rPr>
          <w:rFonts w:ascii="Arial" w:hAnsi="Arial" w:cs="Arial"/>
          <w:spacing w:val="9"/>
          <w:sz w:val="20"/>
        </w:rPr>
        <w:t xml:space="preserve"> </w:t>
      </w:r>
      <w:r w:rsidRPr="00CC6159">
        <w:rPr>
          <w:rFonts w:ascii="Arial" w:hAnsi="Arial" w:cs="Arial"/>
          <w:sz w:val="20"/>
        </w:rPr>
        <w:t>search</w:t>
      </w:r>
      <w:r w:rsidRPr="00CC6159">
        <w:rPr>
          <w:rFonts w:ascii="Arial" w:hAnsi="Arial" w:cs="Arial"/>
          <w:spacing w:val="8"/>
          <w:sz w:val="20"/>
        </w:rPr>
        <w:t xml:space="preserve"> </w:t>
      </w:r>
      <w:r w:rsidRPr="00CC6159">
        <w:rPr>
          <w:rFonts w:ascii="Arial" w:hAnsi="Arial" w:cs="Arial"/>
          <w:sz w:val="20"/>
        </w:rPr>
        <w:t>and</w:t>
      </w:r>
      <w:r w:rsidRPr="00CC6159">
        <w:rPr>
          <w:rFonts w:ascii="Arial" w:hAnsi="Arial" w:cs="Arial"/>
          <w:spacing w:val="9"/>
          <w:sz w:val="20"/>
        </w:rPr>
        <w:t xml:space="preserve"> </w:t>
      </w:r>
      <w:r w:rsidRPr="00CC6159">
        <w:rPr>
          <w:rFonts w:ascii="Arial" w:hAnsi="Arial" w:cs="Arial"/>
          <w:sz w:val="20"/>
        </w:rPr>
        <w:t>rescue</w:t>
      </w:r>
      <w:r w:rsidRPr="00CC6159">
        <w:rPr>
          <w:rFonts w:ascii="Arial" w:hAnsi="Arial" w:cs="Arial"/>
          <w:spacing w:val="8"/>
          <w:sz w:val="20"/>
        </w:rPr>
        <w:t xml:space="preserve"> </w:t>
      </w:r>
      <w:r w:rsidRPr="00CC6159">
        <w:rPr>
          <w:rFonts w:ascii="Arial" w:hAnsi="Arial" w:cs="Arial"/>
          <w:sz w:val="20"/>
        </w:rPr>
        <w:t>(SAR)</w:t>
      </w:r>
      <w:r w:rsidRPr="00CC6159">
        <w:rPr>
          <w:rFonts w:ascii="Arial" w:hAnsi="Arial" w:cs="Arial"/>
          <w:spacing w:val="10"/>
          <w:sz w:val="20"/>
        </w:rPr>
        <w:t xml:space="preserve"> </w:t>
      </w:r>
      <w:r w:rsidRPr="00CC6159">
        <w:rPr>
          <w:rFonts w:ascii="Arial" w:hAnsi="Arial" w:cs="Arial"/>
          <w:sz w:val="20"/>
        </w:rPr>
        <w:t>would</w:t>
      </w:r>
      <w:r w:rsidRPr="00CC6159">
        <w:rPr>
          <w:rFonts w:ascii="Arial" w:hAnsi="Arial" w:cs="Arial"/>
          <w:spacing w:val="8"/>
          <w:sz w:val="20"/>
        </w:rPr>
        <w:t xml:space="preserve"> </w:t>
      </w:r>
      <w:r w:rsidRPr="00CC6159">
        <w:rPr>
          <w:rFonts w:ascii="Arial" w:hAnsi="Arial" w:cs="Arial"/>
          <w:sz w:val="20"/>
        </w:rPr>
        <w:t>be</w:t>
      </w:r>
      <w:r w:rsidRPr="00CC6159">
        <w:rPr>
          <w:rFonts w:ascii="Arial" w:hAnsi="Arial" w:cs="Arial"/>
          <w:spacing w:val="10"/>
          <w:sz w:val="20"/>
        </w:rPr>
        <w:t xml:space="preserve"> </w:t>
      </w:r>
      <w:r w:rsidRPr="00CC6159">
        <w:rPr>
          <w:rFonts w:ascii="Arial" w:hAnsi="Arial" w:cs="Arial"/>
          <w:sz w:val="20"/>
        </w:rPr>
        <w:t>especially</w:t>
      </w:r>
      <w:r w:rsidRPr="00CC6159">
        <w:rPr>
          <w:rFonts w:ascii="Arial" w:hAnsi="Arial" w:cs="Arial"/>
          <w:spacing w:val="9"/>
          <w:sz w:val="20"/>
        </w:rPr>
        <w:t xml:space="preserve"> </w:t>
      </w:r>
      <w:r w:rsidRPr="00CC6159">
        <w:rPr>
          <w:rFonts w:ascii="Arial" w:hAnsi="Arial" w:cs="Arial"/>
          <w:sz w:val="20"/>
        </w:rPr>
        <w:t>difficult</w:t>
      </w:r>
      <w:r w:rsidRPr="00CC6159">
        <w:rPr>
          <w:rFonts w:ascii="Arial" w:hAnsi="Arial" w:cs="Arial"/>
          <w:spacing w:val="10"/>
          <w:sz w:val="20"/>
        </w:rPr>
        <w:t xml:space="preserve"> </w:t>
      </w:r>
      <w:r w:rsidRPr="00CC6159">
        <w:rPr>
          <w:rFonts w:ascii="Arial" w:hAnsi="Arial" w:cs="Arial"/>
          <w:sz w:val="20"/>
        </w:rPr>
        <w:t>shall</w:t>
      </w:r>
      <w:r w:rsidRPr="00CC6159">
        <w:rPr>
          <w:rFonts w:ascii="Arial" w:hAnsi="Arial" w:cs="Arial"/>
          <w:spacing w:val="8"/>
          <w:sz w:val="20"/>
        </w:rPr>
        <w:t xml:space="preserve"> </w:t>
      </w:r>
      <w:r w:rsidRPr="00CC6159">
        <w:rPr>
          <w:rFonts w:ascii="Arial" w:hAnsi="Arial" w:cs="Arial"/>
          <w:sz w:val="20"/>
        </w:rPr>
        <w:t>be</w:t>
      </w:r>
      <w:r w:rsidRPr="00CC6159">
        <w:rPr>
          <w:rFonts w:ascii="Arial" w:hAnsi="Arial" w:cs="Arial"/>
          <w:spacing w:val="-46"/>
          <w:sz w:val="20"/>
        </w:rPr>
        <w:t xml:space="preserve"> </w:t>
      </w:r>
      <w:r w:rsidRPr="00CC6159">
        <w:rPr>
          <w:rFonts w:ascii="Arial" w:hAnsi="Arial" w:cs="Arial"/>
          <w:sz w:val="20"/>
        </w:rPr>
        <w:t>equipped</w:t>
      </w:r>
      <w:r w:rsidRPr="00CC6159">
        <w:rPr>
          <w:rFonts w:ascii="Arial" w:hAnsi="Arial" w:cs="Arial"/>
          <w:spacing w:val="-1"/>
          <w:sz w:val="20"/>
        </w:rPr>
        <w:t xml:space="preserve"> </w:t>
      </w:r>
      <w:r w:rsidRPr="00CC6159">
        <w:rPr>
          <w:rFonts w:ascii="Arial" w:hAnsi="Arial" w:cs="Arial"/>
          <w:sz w:val="20"/>
        </w:rPr>
        <w:t>with</w:t>
      </w:r>
      <w:r w:rsidRPr="00CC6159">
        <w:rPr>
          <w:rFonts w:ascii="Arial" w:hAnsi="Arial" w:cs="Arial"/>
          <w:spacing w:val="-2"/>
          <w:sz w:val="20"/>
        </w:rPr>
        <w:t xml:space="preserve"> </w:t>
      </w:r>
      <w:r w:rsidRPr="00CC6159">
        <w:rPr>
          <w:rFonts w:ascii="Arial" w:hAnsi="Arial" w:cs="Arial"/>
          <w:sz w:val="20"/>
        </w:rPr>
        <w:t>such</w:t>
      </w:r>
      <w:r w:rsidRPr="00CC6159">
        <w:rPr>
          <w:rFonts w:ascii="Arial" w:hAnsi="Arial" w:cs="Arial"/>
          <w:spacing w:val="-1"/>
          <w:sz w:val="20"/>
        </w:rPr>
        <w:t xml:space="preserve"> </w:t>
      </w:r>
      <w:r w:rsidRPr="00CC6159">
        <w:rPr>
          <w:rFonts w:ascii="Arial" w:hAnsi="Arial" w:cs="Arial"/>
          <w:sz w:val="20"/>
        </w:rPr>
        <w:t>life-saving</w:t>
      </w:r>
      <w:r w:rsidRPr="00CC6159">
        <w:rPr>
          <w:rFonts w:ascii="Arial" w:hAnsi="Arial" w:cs="Arial"/>
          <w:spacing w:val="-2"/>
          <w:sz w:val="20"/>
        </w:rPr>
        <w:t xml:space="preserve"> </w:t>
      </w:r>
      <w:r w:rsidRPr="00CC6159">
        <w:rPr>
          <w:rFonts w:ascii="Arial" w:hAnsi="Arial" w:cs="Arial"/>
          <w:sz w:val="20"/>
        </w:rPr>
        <w:t>and</w:t>
      </w:r>
      <w:r w:rsidRPr="00CC6159">
        <w:rPr>
          <w:rFonts w:ascii="Arial" w:hAnsi="Arial" w:cs="Arial"/>
          <w:spacing w:val="-2"/>
          <w:sz w:val="20"/>
        </w:rPr>
        <w:t xml:space="preserve"> </w:t>
      </w:r>
      <w:r w:rsidRPr="00CC6159">
        <w:rPr>
          <w:rFonts w:ascii="Arial" w:hAnsi="Arial" w:cs="Arial"/>
          <w:sz w:val="20"/>
        </w:rPr>
        <w:t>signalling</w:t>
      </w:r>
      <w:r w:rsidRPr="00CC6159">
        <w:rPr>
          <w:rFonts w:ascii="Arial" w:hAnsi="Arial" w:cs="Arial"/>
          <w:spacing w:val="-1"/>
          <w:sz w:val="20"/>
        </w:rPr>
        <w:t xml:space="preserve"> </w:t>
      </w:r>
      <w:r w:rsidRPr="00CC6159">
        <w:rPr>
          <w:rFonts w:ascii="Arial" w:hAnsi="Arial" w:cs="Arial"/>
          <w:sz w:val="20"/>
        </w:rPr>
        <w:t>equipment</w:t>
      </w:r>
      <w:r w:rsidRPr="00CC6159">
        <w:rPr>
          <w:rFonts w:ascii="Arial" w:hAnsi="Arial" w:cs="Arial"/>
          <w:spacing w:val="-1"/>
          <w:sz w:val="20"/>
        </w:rPr>
        <w:t xml:space="preserve"> </w:t>
      </w:r>
      <w:r w:rsidRPr="00CC6159">
        <w:rPr>
          <w:rFonts w:ascii="Arial" w:hAnsi="Arial" w:cs="Arial"/>
          <w:sz w:val="20"/>
        </w:rPr>
        <w:t>as</w:t>
      </w:r>
      <w:r w:rsidRPr="00CC6159">
        <w:rPr>
          <w:rFonts w:ascii="Arial" w:hAnsi="Arial" w:cs="Arial"/>
          <w:spacing w:val="-1"/>
          <w:sz w:val="20"/>
        </w:rPr>
        <w:t xml:space="preserve"> </w:t>
      </w:r>
      <w:r w:rsidRPr="00CC6159">
        <w:rPr>
          <w:rFonts w:ascii="Arial" w:hAnsi="Arial" w:cs="Arial"/>
          <w:sz w:val="20"/>
        </w:rPr>
        <w:t>appropriate</w:t>
      </w:r>
      <w:r w:rsidRPr="00CC6159">
        <w:rPr>
          <w:rFonts w:ascii="Arial" w:hAnsi="Arial" w:cs="Arial"/>
          <w:spacing w:val="-2"/>
          <w:sz w:val="20"/>
        </w:rPr>
        <w:t xml:space="preserve"> </w:t>
      </w:r>
      <w:r w:rsidRPr="00CC6159">
        <w:rPr>
          <w:rFonts w:ascii="Arial" w:hAnsi="Arial" w:cs="Arial"/>
          <w:sz w:val="20"/>
        </w:rPr>
        <w:t>to</w:t>
      </w:r>
      <w:r w:rsidRPr="00CC6159">
        <w:rPr>
          <w:rFonts w:ascii="Arial" w:hAnsi="Arial" w:cs="Arial"/>
          <w:spacing w:val="-2"/>
          <w:sz w:val="20"/>
        </w:rPr>
        <w:t xml:space="preserve"> </w:t>
      </w:r>
      <w:r w:rsidRPr="00CC6159">
        <w:rPr>
          <w:rFonts w:ascii="Arial" w:hAnsi="Arial" w:cs="Arial"/>
          <w:sz w:val="20"/>
        </w:rPr>
        <w:t>the</w:t>
      </w:r>
      <w:r w:rsidRPr="00CC6159">
        <w:rPr>
          <w:rFonts w:ascii="Arial" w:hAnsi="Arial" w:cs="Arial"/>
          <w:spacing w:val="-1"/>
          <w:sz w:val="20"/>
        </w:rPr>
        <w:t xml:space="preserve"> </w:t>
      </w:r>
      <w:r w:rsidRPr="00CC6159">
        <w:rPr>
          <w:rFonts w:ascii="Arial" w:hAnsi="Arial" w:cs="Arial"/>
          <w:sz w:val="20"/>
        </w:rPr>
        <w:t>area</w:t>
      </w:r>
      <w:r w:rsidRPr="00CC6159">
        <w:rPr>
          <w:rFonts w:ascii="Arial" w:hAnsi="Arial" w:cs="Arial"/>
          <w:spacing w:val="1"/>
          <w:sz w:val="20"/>
        </w:rPr>
        <w:t xml:space="preserve"> </w:t>
      </w:r>
      <w:r w:rsidRPr="00CC6159">
        <w:rPr>
          <w:rFonts w:ascii="Arial" w:hAnsi="Arial" w:cs="Arial"/>
          <w:sz w:val="20"/>
        </w:rPr>
        <w:t>overflown.</w:t>
      </w:r>
    </w:p>
    <w:p w14:paraId="078DA452" w14:textId="77777777" w:rsidR="00D21E38" w:rsidRPr="00D21E38" w:rsidRDefault="00D21E38" w:rsidP="009601C2">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308" w:name="AMC1_BOP.BAS.345_Life-saving_and_signall"/>
      <w:bookmarkStart w:id="309" w:name="_bookmark131"/>
      <w:bookmarkStart w:id="310" w:name="_Toc153137296"/>
      <w:bookmarkEnd w:id="308"/>
      <w:bookmarkEnd w:id="309"/>
      <w:r w:rsidRPr="00D21E38">
        <w:rPr>
          <w:rFonts w:ascii="Arial" w:eastAsia="Times New Roman" w:hAnsi="Arial" w:cs="Times New Roman"/>
          <w:b/>
          <w:color w:val="FFFFFF"/>
          <w:sz w:val="24"/>
        </w:rPr>
        <w:t>AMC1 BOP.BAS.345 Life-saving and signalling equipment – Search and rescue difficulties</w:t>
      </w:r>
      <w:bookmarkEnd w:id="310"/>
    </w:p>
    <w:p w14:paraId="5FE595C2" w14:textId="77777777" w:rsidR="00D21E38" w:rsidRPr="00276D5E" w:rsidRDefault="00D21E38" w:rsidP="009601C2">
      <w:pPr>
        <w:spacing w:line="276" w:lineRule="auto"/>
        <w:jc w:val="both"/>
        <w:rPr>
          <w:rFonts w:ascii="Arial" w:hAnsi="Arial" w:cs="Arial"/>
          <w:b/>
          <w:sz w:val="20"/>
        </w:rPr>
      </w:pPr>
      <w:r w:rsidRPr="00276D5E">
        <w:rPr>
          <w:rFonts w:ascii="Arial" w:hAnsi="Arial" w:cs="Arial"/>
          <w:b/>
          <w:sz w:val="20"/>
        </w:rPr>
        <w:t>GENERAL</w:t>
      </w:r>
    </w:p>
    <w:p w14:paraId="05AF279F" w14:textId="77777777" w:rsidR="00D21E38" w:rsidRPr="00D21E38" w:rsidRDefault="00D21E38" w:rsidP="009601C2">
      <w:pPr>
        <w:tabs>
          <w:tab w:val="left" w:pos="706"/>
          <w:tab w:val="left" w:pos="707"/>
        </w:tabs>
        <w:spacing w:before="121" w:line="276" w:lineRule="auto"/>
        <w:ind w:right="194"/>
        <w:jc w:val="both"/>
        <w:rPr>
          <w:rFonts w:ascii="Arial" w:hAnsi="Arial" w:cs="Arial"/>
          <w:sz w:val="20"/>
        </w:rPr>
      </w:pPr>
      <w:r w:rsidRPr="00D21E38">
        <w:rPr>
          <w:rFonts w:ascii="Arial" w:hAnsi="Arial" w:cs="Arial"/>
          <w:sz w:val="20"/>
        </w:rPr>
        <w:t>Balloons operated across land areas in which search and rescue would be especially difficult should be equipped with the following:</w:t>
      </w:r>
    </w:p>
    <w:p w14:paraId="2B8FA0B5" w14:textId="77777777" w:rsidR="00D21E38" w:rsidRPr="00D21E38" w:rsidRDefault="00D21E38" w:rsidP="009601C2">
      <w:pPr>
        <w:numPr>
          <w:ilvl w:val="0"/>
          <w:numId w:val="74"/>
        </w:numPr>
        <w:tabs>
          <w:tab w:val="left" w:pos="706"/>
          <w:tab w:val="left" w:pos="707"/>
        </w:tabs>
        <w:spacing w:before="121" w:line="276" w:lineRule="auto"/>
        <w:ind w:right="194"/>
        <w:jc w:val="both"/>
        <w:rPr>
          <w:rFonts w:ascii="Arial" w:hAnsi="Arial" w:cs="Arial"/>
          <w:sz w:val="20"/>
        </w:rPr>
      </w:pPr>
      <w:r w:rsidRPr="00D21E38">
        <w:rPr>
          <w:rFonts w:ascii="Arial" w:hAnsi="Arial" w:cs="Arial"/>
          <w:sz w:val="20"/>
        </w:rPr>
        <w:t>at least one ELT or a PLB;</w:t>
      </w:r>
    </w:p>
    <w:p w14:paraId="4014FE18" w14:textId="77777777" w:rsidR="00D21E38" w:rsidRPr="00D21E38" w:rsidRDefault="00D21E38" w:rsidP="009601C2">
      <w:pPr>
        <w:numPr>
          <w:ilvl w:val="0"/>
          <w:numId w:val="74"/>
        </w:numPr>
        <w:tabs>
          <w:tab w:val="left" w:pos="706"/>
          <w:tab w:val="left" w:pos="707"/>
        </w:tabs>
        <w:spacing w:before="121" w:line="276" w:lineRule="auto"/>
        <w:ind w:right="194"/>
        <w:jc w:val="both"/>
        <w:rPr>
          <w:rFonts w:ascii="Arial" w:hAnsi="Arial" w:cs="Arial"/>
          <w:sz w:val="20"/>
        </w:rPr>
      </w:pPr>
      <w:r w:rsidRPr="00D21E38">
        <w:rPr>
          <w:rFonts w:ascii="Arial" w:hAnsi="Arial" w:cs="Arial"/>
          <w:sz w:val="20"/>
        </w:rPr>
        <w:t>signalling equipment for making distress signals; and</w:t>
      </w:r>
    </w:p>
    <w:p w14:paraId="0064BD5B" w14:textId="77777777" w:rsidR="00D21E38" w:rsidRPr="00D21E38" w:rsidRDefault="00D21E38" w:rsidP="009601C2">
      <w:pPr>
        <w:numPr>
          <w:ilvl w:val="0"/>
          <w:numId w:val="74"/>
        </w:numPr>
        <w:tabs>
          <w:tab w:val="left" w:pos="706"/>
          <w:tab w:val="left" w:pos="707"/>
        </w:tabs>
        <w:spacing w:before="121" w:line="276" w:lineRule="auto"/>
        <w:ind w:right="194"/>
        <w:jc w:val="both"/>
        <w:rPr>
          <w:rFonts w:ascii="Arial" w:hAnsi="Arial" w:cs="Arial"/>
          <w:sz w:val="20"/>
        </w:rPr>
      </w:pPr>
      <w:r w:rsidRPr="00D21E38">
        <w:rPr>
          <w:rFonts w:ascii="Arial" w:hAnsi="Arial" w:cs="Arial"/>
          <w:sz w:val="20"/>
        </w:rPr>
        <w:t>additional survival equipment adequate for the route to be flown taking account of the number of persons on board.</w:t>
      </w:r>
    </w:p>
    <w:p w14:paraId="33C10F58" w14:textId="77777777" w:rsidR="004F3CAA" w:rsidRPr="004F3CAA" w:rsidRDefault="004F3CAA" w:rsidP="009601C2">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311" w:name="AMC2_BOP.BAS.345_Life-saving_and_signall"/>
      <w:bookmarkStart w:id="312" w:name="_bookmark132"/>
      <w:bookmarkStart w:id="313" w:name="_Toc153137297"/>
      <w:bookmarkEnd w:id="311"/>
      <w:bookmarkEnd w:id="312"/>
      <w:r w:rsidRPr="004F3CAA">
        <w:rPr>
          <w:rFonts w:ascii="Arial" w:eastAsia="Times New Roman" w:hAnsi="Arial" w:cs="Times New Roman"/>
          <w:b/>
          <w:color w:val="FFFFFF"/>
          <w:sz w:val="24"/>
        </w:rPr>
        <w:t>AMC2 BOP.BAS.345 Life-saving and signalling equipment – Search and rescue difficulties</w:t>
      </w:r>
      <w:bookmarkEnd w:id="313"/>
    </w:p>
    <w:p w14:paraId="10768129" w14:textId="77777777" w:rsidR="004F3CAA" w:rsidRPr="00276D5E" w:rsidRDefault="004F3CAA" w:rsidP="009601C2">
      <w:pPr>
        <w:spacing w:before="120" w:line="276" w:lineRule="auto"/>
        <w:jc w:val="both"/>
        <w:rPr>
          <w:rFonts w:ascii="Arial" w:hAnsi="Arial" w:cs="Arial"/>
          <w:b/>
          <w:sz w:val="20"/>
        </w:rPr>
      </w:pPr>
      <w:r w:rsidRPr="00276D5E">
        <w:rPr>
          <w:rFonts w:ascii="Arial" w:hAnsi="Arial" w:cs="Arial"/>
          <w:b/>
          <w:sz w:val="20"/>
        </w:rPr>
        <w:t>ADDITIONAL</w:t>
      </w:r>
      <w:r w:rsidRPr="00276D5E">
        <w:rPr>
          <w:rFonts w:ascii="Arial" w:hAnsi="Arial" w:cs="Arial"/>
          <w:b/>
          <w:spacing w:val="-6"/>
          <w:sz w:val="20"/>
        </w:rPr>
        <w:t xml:space="preserve"> </w:t>
      </w:r>
      <w:r w:rsidRPr="00276D5E">
        <w:rPr>
          <w:rFonts w:ascii="Arial" w:hAnsi="Arial" w:cs="Arial"/>
          <w:b/>
          <w:sz w:val="20"/>
        </w:rPr>
        <w:t>SURVIVAL</w:t>
      </w:r>
      <w:r w:rsidRPr="00276D5E">
        <w:rPr>
          <w:rFonts w:ascii="Arial" w:hAnsi="Arial" w:cs="Arial"/>
          <w:b/>
          <w:spacing w:val="-4"/>
          <w:sz w:val="20"/>
        </w:rPr>
        <w:t xml:space="preserve"> </w:t>
      </w:r>
      <w:r w:rsidRPr="00276D5E">
        <w:rPr>
          <w:rFonts w:ascii="Arial" w:hAnsi="Arial" w:cs="Arial"/>
          <w:b/>
          <w:sz w:val="20"/>
        </w:rPr>
        <w:t>EQUIPMENT</w:t>
      </w:r>
    </w:p>
    <w:p w14:paraId="2D45A9C2" w14:textId="77777777" w:rsidR="004F3CAA" w:rsidRPr="004F3CAA" w:rsidRDefault="004F3CAA" w:rsidP="009601C2">
      <w:pPr>
        <w:pStyle w:val="ListParagraph"/>
        <w:numPr>
          <w:ilvl w:val="0"/>
          <w:numId w:val="75"/>
        </w:numPr>
        <w:tabs>
          <w:tab w:val="left" w:pos="706"/>
          <w:tab w:val="left" w:pos="707"/>
        </w:tabs>
        <w:spacing w:before="118" w:line="276" w:lineRule="auto"/>
        <w:jc w:val="both"/>
        <w:rPr>
          <w:rFonts w:ascii="Arial" w:hAnsi="Arial" w:cs="Arial"/>
          <w:sz w:val="20"/>
          <w:szCs w:val="20"/>
        </w:rPr>
      </w:pPr>
      <w:r w:rsidRPr="004F3CAA">
        <w:rPr>
          <w:rFonts w:ascii="Arial" w:hAnsi="Arial" w:cs="Arial"/>
          <w:sz w:val="20"/>
          <w:szCs w:val="20"/>
        </w:rPr>
        <w:t>The</w:t>
      </w:r>
      <w:r w:rsidRPr="004F3CAA">
        <w:rPr>
          <w:rFonts w:ascii="Arial" w:hAnsi="Arial" w:cs="Arial"/>
          <w:spacing w:val="-1"/>
          <w:sz w:val="20"/>
          <w:szCs w:val="20"/>
        </w:rPr>
        <w:t xml:space="preserve"> </w:t>
      </w:r>
      <w:r w:rsidRPr="004F3CAA">
        <w:rPr>
          <w:rFonts w:ascii="Arial" w:hAnsi="Arial" w:cs="Arial"/>
          <w:sz w:val="20"/>
          <w:szCs w:val="20"/>
        </w:rPr>
        <w:t>following</w:t>
      </w:r>
      <w:r w:rsidRPr="004F3CAA">
        <w:rPr>
          <w:rFonts w:ascii="Arial" w:hAnsi="Arial" w:cs="Arial"/>
          <w:spacing w:val="-3"/>
          <w:sz w:val="20"/>
          <w:szCs w:val="20"/>
        </w:rPr>
        <w:t xml:space="preserve"> </w:t>
      </w:r>
      <w:r w:rsidRPr="004F3CAA">
        <w:rPr>
          <w:rFonts w:ascii="Arial" w:hAnsi="Arial" w:cs="Arial"/>
          <w:sz w:val="20"/>
          <w:szCs w:val="20"/>
        </w:rPr>
        <w:t>additional</w:t>
      </w:r>
      <w:r w:rsidRPr="004F3CAA">
        <w:rPr>
          <w:rFonts w:ascii="Arial" w:hAnsi="Arial" w:cs="Arial"/>
          <w:spacing w:val="-1"/>
          <w:sz w:val="20"/>
          <w:szCs w:val="20"/>
        </w:rPr>
        <w:t xml:space="preserve"> </w:t>
      </w:r>
      <w:r w:rsidRPr="004F3CAA">
        <w:rPr>
          <w:rFonts w:ascii="Arial" w:hAnsi="Arial" w:cs="Arial"/>
          <w:sz w:val="20"/>
          <w:szCs w:val="20"/>
        </w:rPr>
        <w:t>survival</w:t>
      </w:r>
      <w:r w:rsidRPr="004F3CAA">
        <w:rPr>
          <w:rFonts w:ascii="Arial" w:hAnsi="Arial" w:cs="Arial"/>
          <w:spacing w:val="-4"/>
          <w:sz w:val="20"/>
          <w:szCs w:val="20"/>
        </w:rPr>
        <w:t xml:space="preserve"> </w:t>
      </w:r>
      <w:r w:rsidRPr="004F3CAA">
        <w:rPr>
          <w:rFonts w:ascii="Arial" w:hAnsi="Arial" w:cs="Arial"/>
          <w:sz w:val="20"/>
          <w:szCs w:val="20"/>
        </w:rPr>
        <w:t>equipment</w:t>
      </w:r>
      <w:r w:rsidRPr="004F3CAA">
        <w:rPr>
          <w:rFonts w:ascii="Arial" w:hAnsi="Arial" w:cs="Arial"/>
          <w:spacing w:val="-1"/>
          <w:sz w:val="20"/>
          <w:szCs w:val="20"/>
        </w:rPr>
        <w:t xml:space="preserve"> </w:t>
      </w:r>
      <w:r w:rsidRPr="004F3CAA">
        <w:rPr>
          <w:rFonts w:ascii="Arial" w:hAnsi="Arial" w:cs="Arial"/>
          <w:sz w:val="20"/>
          <w:szCs w:val="20"/>
        </w:rPr>
        <w:t>should</w:t>
      </w:r>
      <w:r w:rsidRPr="004F3CAA">
        <w:rPr>
          <w:rFonts w:ascii="Arial" w:hAnsi="Arial" w:cs="Arial"/>
          <w:spacing w:val="-2"/>
          <w:sz w:val="20"/>
          <w:szCs w:val="20"/>
        </w:rPr>
        <w:t xml:space="preserve"> </w:t>
      </w:r>
      <w:r w:rsidRPr="004F3CAA">
        <w:rPr>
          <w:rFonts w:ascii="Arial" w:hAnsi="Arial" w:cs="Arial"/>
          <w:sz w:val="20"/>
          <w:szCs w:val="20"/>
        </w:rPr>
        <w:t>be</w:t>
      </w:r>
      <w:r w:rsidRPr="004F3CAA">
        <w:rPr>
          <w:rFonts w:ascii="Arial" w:hAnsi="Arial" w:cs="Arial"/>
          <w:spacing w:val="-4"/>
          <w:sz w:val="20"/>
          <w:szCs w:val="20"/>
        </w:rPr>
        <w:t xml:space="preserve"> </w:t>
      </w:r>
      <w:r w:rsidRPr="004F3CAA">
        <w:rPr>
          <w:rFonts w:ascii="Arial" w:hAnsi="Arial" w:cs="Arial"/>
          <w:sz w:val="20"/>
          <w:szCs w:val="20"/>
        </w:rPr>
        <w:t>carried:</w:t>
      </w:r>
    </w:p>
    <w:p w14:paraId="648E433A" w14:textId="77777777" w:rsidR="004F3CAA" w:rsidRPr="004F3CAA" w:rsidRDefault="004F3CAA" w:rsidP="009601C2">
      <w:pPr>
        <w:pStyle w:val="ListParagraph"/>
        <w:numPr>
          <w:ilvl w:val="1"/>
          <w:numId w:val="75"/>
        </w:numPr>
        <w:tabs>
          <w:tab w:val="left" w:pos="1273"/>
          <w:tab w:val="left" w:pos="1274"/>
        </w:tabs>
        <w:spacing w:before="118" w:line="276" w:lineRule="auto"/>
        <w:ind w:hanging="568"/>
        <w:jc w:val="both"/>
        <w:rPr>
          <w:rFonts w:ascii="Arial" w:hAnsi="Arial" w:cs="Arial"/>
          <w:sz w:val="20"/>
          <w:szCs w:val="20"/>
        </w:rPr>
      </w:pPr>
      <w:r w:rsidRPr="004F3CAA">
        <w:rPr>
          <w:rFonts w:ascii="Arial" w:hAnsi="Arial" w:cs="Arial"/>
          <w:sz w:val="20"/>
          <w:szCs w:val="20"/>
        </w:rPr>
        <w:t>500</w:t>
      </w:r>
      <w:r w:rsidRPr="004F3CAA">
        <w:rPr>
          <w:rFonts w:ascii="Arial" w:hAnsi="Arial" w:cs="Arial"/>
          <w:spacing w:val="-3"/>
          <w:sz w:val="20"/>
          <w:szCs w:val="20"/>
        </w:rPr>
        <w:t xml:space="preserve"> </w:t>
      </w:r>
      <w:r w:rsidRPr="004F3CAA">
        <w:rPr>
          <w:rFonts w:ascii="Arial" w:hAnsi="Arial" w:cs="Arial"/>
          <w:sz w:val="20"/>
          <w:szCs w:val="20"/>
        </w:rPr>
        <w:t>ml</w:t>
      </w:r>
      <w:r w:rsidRPr="004F3CAA">
        <w:rPr>
          <w:rFonts w:ascii="Arial" w:hAnsi="Arial" w:cs="Arial"/>
          <w:spacing w:val="-3"/>
          <w:sz w:val="20"/>
          <w:szCs w:val="20"/>
        </w:rPr>
        <w:t xml:space="preserve"> </w:t>
      </w:r>
      <w:r w:rsidRPr="004F3CAA">
        <w:rPr>
          <w:rFonts w:ascii="Arial" w:hAnsi="Arial" w:cs="Arial"/>
          <w:sz w:val="20"/>
          <w:szCs w:val="20"/>
        </w:rPr>
        <w:t>of water</w:t>
      </w:r>
      <w:r w:rsidRPr="004F3CAA">
        <w:rPr>
          <w:rFonts w:ascii="Arial" w:hAnsi="Arial" w:cs="Arial"/>
          <w:spacing w:val="-1"/>
          <w:sz w:val="20"/>
          <w:szCs w:val="20"/>
        </w:rPr>
        <w:t xml:space="preserve"> </w:t>
      </w:r>
      <w:r w:rsidRPr="004F3CAA">
        <w:rPr>
          <w:rFonts w:ascii="Arial" w:hAnsi="Arial" w:cs="Arial"/>
          <w:sz w:val="20"/>
          <w:szCs w:val="20"/>
        </w:rPr>
        <w:t>for</w:t>
      </w:r>
      <w:r w:rsidRPr="004F3CAA">
        <w:rPr>
          <w:rFonts w:ascii="Arial" w:hAnsi="Arial" w:cs="Arial"/>
          <w:spacing w:val="-2"/>
          <w:sz w:val="20"/>
          <w:szCs w:val="20"/>
        </w:rPr>
        <w:t xml:space="preserve"> </w:t>
      </w:r>
      <w:r w:rsidRPr="004F3CAA">
        <w:rPr>
          <w:rFonts w:ascii="Arial" w:hAnsi="Arial" w:cs="Arial"/>
          <w:sz w:val="20"/>
          <w:szCs w:val="20"/>
        </w:rPr>
        <w:t>each</w:t>
      </w:r>
      <w:r w:rsidRPr="004F3CAA">
        <w:rPr>
          <w:rFonts w:ascii="Arial" w:hAnsi="Arial" w:cs="Arial"/>
          <w:spacing w:val="-1"/>
          <w:sz w:val="20"/>
          <w:szCs w:val="20"/>
        </w:rPr>
        <w:t xml:space="preserve"> </w:t>
      </w:r>
      <w:r w:rsidRPr="004F3CAA">
        <w:rPr>
          <w:rFonts w:ascii="Arial" w:hAnsi="Arial" w:cs="Arial"/>
          <w:sz w:val="20"/>
          <w:szCs w:val="20"/>
        </w:rPr>
        <w:t>four,</w:t>
      </w:r>
      <w:r w:rsidRPr="004F3CAA">
        <w:rPr>
          <w:rFonts w:ascii="Arial" w:hAnsi="Arial" w:cs="Arial"/>
          <w:spacing w:val="-1"/>
          <w:sz w:val="20"/>
          <w:szCs w:val="20"/>
        </w:rPr>
        <w:t xml:space="preserve"> </w:t>
      </w:r>
      <w:r w:rsidRPr="004F3CAA">
        <w:rPr>
          <w:rFonts w:ascii="Arial" w:hAnsi="Arial" w:cs="Arial"/>
          <w:sz w:val="20"/>
          <w:szCs w:val="20"/>
        </w:rPr>
        <w:t>or fraction</w:t>
      </w:r>
      <w:r w:rsidRPr="004F3CAA">
        <w:rPr>
          <w:rFonts w:ascii="Arial" w:hAnsi="Arial" w:cs="Arial"/>
          <w:spacing w:val="-2"/>
          <w:sz w:val="20"/>
          <w:szCs w:val="20"/>
        </w:rPr>
        <w:t xml:space="preserve"> </w:t>
      </w:r>
      <w:r w:rsidRPr="004F3CAA">
        <w:rPr>
          <w:rFonts w:ascii="Arial" w:hAnsi="Arial" w:cs="Arial"/>
          <w:sz w:val="20"/>
          <w:szCs w:val="20"/>
        </w:rPr>
        <w:t>of</w:t>
      </w:r>
      <w:r w:rsidRPr="004F3CAA">
        <w:rPr>
          <w:rFonts w:ascii="Arial" w:hAnsi="Arial" w:cs="Arial"/>
          <w:spacing w:val="-3"/>
          <w:sz w:val="20"/>
          <w:szCs w:val="20"/>
        </w:rPr>
        <w:t xml:space="preserve"> </w:t>
      </w:r>
      <w:r w:rsidRPr="004F3CAA">
        <w:rPr>
          <w:rFonts w:ascii="Arial" w:hAnsi="Arial" w:cs="Arial"/>
          <w:sz w:val="20"/>
          <w:szCs w:val="20"/>
        </w:rPr>
        <w:t>four,</w:t>
      </w:r>
      <w:r w:rsidRPr="004F3CAA">
        <w:rPr>
          <w:rFonts w:ascii="Arial" w:hAnsi="Arial" w:cs="Arial"/>
          <w:spacing w:val="-4"/>
          <w:sz w:val="20"/>
          <w:szCs w:val="20"/>
        </w:rPr>
        <w:t xml:space="preserve"> </w:t>
      </w:r>
      <w:r w:rsidRPr="004F3CAA">
        <w:rPr>
          <w:rFonts w:ascii="Arial" w:hAnsi="Arial" w:cs="Arial"/>
          <w:sz w:val="20"/>
          <w:szCs w:val="20"/>
        </w:rPr>
        <w:t>persons</w:t>
      </w:r>
      <w:r w:rsidRPr="004F3CAA">
        <w:rPr>
          <w:rFonts w:ascii="Arial" w:hAnsi="Arial" w:cs="Arial"/>
          <w:spacing w:val="-2"/>
          <w:sz w:val="20"/>
          <w:szCs w:val="20"/>
        </w:rPr>
        <w:t xml:space="preserve"> </w:t>
      </w:r>
      <w:r w:rsidRPr="004F3CAA">
        <w:rPr>
          <w:rFonts w:ascii="Arial" w:hAnsi="Arial" w:cs="Arial"/>
          <w:sz w:val="20"/>
          <w:szCs w:val="20"/>
        </w:rPr>
        <w:t>on</w:t>
      </w:r>
      <w:r w:rsidRPr="004F3CAA">
        <w:rPr>
          <w:rFonts w:ascii="Arial" w:hAnsi="Arial" w:cs="Arial"/>
          <w:spacing w:val="-2"/>
          <w:sz w:val="20"/>
          <w:szCs w:val="20"/>
        </w:rPr>
        <w:t xml:space="preserve"> </w:t>
      </w:r>
      <w:r w:rsidRPr="004F3CAA">
        <w:rPr>
          <w:rFonts w:ascii="Arial" w:hAnsi="Arial" w:cs="Arial"/>
          <w:sz w:val="20"/>
          <w:szCs w:val="20"/>
        </w:rPr>
        <w:t>board;</w:t>
      </w:r>
    </w:p>
    <w:p w14:paraId="40B5FA69" w14:textId="77777777" w:rsidR="004F3CAA" w:rsidRPr="004F3CAA" w:rsidRDefault="004F3CAA" w:rsidP="009601C2">
      <w:pPr>
        <w:pStyle w:val="ListParagraph"/>
        <w:numPr>
          <w:ilvl w:val="1"/>
          <w:numId w:val="75"/>
        </w:numPr>
        <w:tabs>
          <w:tab w:val="left" w:pos="1273"/>
          <w:tab w:val="left" w:pos="1274"/>
        </w:tabs>
        <w:spacing w:before="121" w:line="276" w:lineRule="auto"/>
        <w:ind w:hanging="568"/>
        <w:jc w:val="both"/>
        <w:rPr>
          <w:rFonts w:ascii="Arial" w:hAnsi="Arial" w:cs="Arial"/>
          <w:sz w:val="20"/>
          <w:szCs w:val="20"/>
        </w:rPr>
      </w:pPr>
      <w:r w:rsidRPr="004F3CAA">
        <w:rPr>
          <w:rFonts w:ascii="Arial" w:hAnsi="Arial" w:cs="Arial"/>
          <w:sz w:val="20"/>
          <w:szCs w:val="20"/>
        </w:rPr>
        <w:t>one knife;</w:t>
      </w:r>
      <w:r w:rsidRPr="004F3CAA">
        <w:rPr>
          <w:rFonts w:ascii="Arial" w:hAnsi="Arial" w:cs="Arial"/>
          <w:spacing w:val="-1"/>
          <w:sz w:val="20"/>
          <w:szCs w:val="20"/>
        </w:rPr>
        <w:t xml:space="preserve"> </w:t>
      </w:r>
      <w:r w:rsidRPr="004F3CAA">
        <w:rPr>
          <w:rFonts w:ascii="Arial" w:hAnsi="Arial" w:cs="Arial"/>
          <w:sz w:val="20"/>
          <w:szCs w:val="20"/>
        </w:rPr>
        <w:t>and</w:t>
      </w:r>
    </w:p>
    <w:p w14:paraId="20546F07" w14:textId="77777777" w:rsidR="004F3CAA" w:rsidRPr="004F3CAA" w:rsidRDefault="004F3CAA" w:rsidP="009601C2">
      <w:pPr>
        <w:pStyle w:val="ListParagraph"/>
        <w:numPr>
          <w:ilvl w:val="1"/>
          <w:numId w:val="75"/>
        </w:numPr>
        <w:tabs>
          <w:tab w:val="left" w:pos="1273"/>
          <w:tab w:val="left" w:pos="1274"/>
        </w:tabs>
        <w:spacing w:line="276" w:lineRule="auto"/>
        <w:ind w:hanging="568"/>
        <w:jc w:val="both"/>
        <w:rPr>
          <w:rFonts w:ascii="Arial" w:hAnsi="Arial" w:cs="Arial"/>
          <w:sz w:val="20"/>
          <w:szCs w:val="20"/>
        </w:rPr>
      </w:pPr>
      <w:r w:rsidRPr="004F3CAA">
        <w:rPr>
          <w:rFonts w:ascii="Arial" w:hAnsi="Arial" w:cs="Arial"/>
          <w:sz w:val="20"/>
          <w:szCs w:val="20"/>
        </w:rPr>
        <w:t>first-aid</w:t>
      </w:r>
      <w:r w:rsidRPr="004F3CAA">
        <w:rPr>
          <w:rFonts w:ascii="Arial" w:hAnsi="Arial" w:cs="Arial"/>
          <w:spacing w:val="-4"/>
          <w:sz w:val="20"/>
          <w:szCs w:val="20"/>
        </w:rPr>
        <w:t xml:space="preserve"> </w:t>
      </w:r>
      <w:r w:rsidRPr="004F3CAA">
        <w:rPr>
          <w:rFonts w:ascii="Arial" w:hAnsi="Arial" w:cs="Arial"/>
          <w:sz w:val="20"/>
          <w:szCs w:val="20"/>
        </w:rPr>
        <w:t>equipment.</w:t>
      </w:r>
    </w:p>
    <w:p w14:paraId="07BE1F76" w14:textId="5033B211" w:rsidR="00D97443" w:rsidRPr="00943DEA" w:rsidRDefault="004F3CAA" w:rsidP="00943DEA">
      <w:pPr>
        <w:pStyle w:val="ListParagraph"/>
        <w:numPr>
          <w:ilvl w:val="0"/>
          <w:numId w:val="75"/>
        </w:numPr>
        <w:tabs>
          <w:tab w:val="left" w:pos="706"/>
          <w:tab w:val="left" w:pos="707"/>
        </w:tabs>
        <w:spacing w:line="276" w:lineRule="auto"/>
        <w:ind w:right="198"/>
        <w:jc w:val="both"/>
        <w:rPr>
          <w:rFonts w:ascii="Arial" w:hAnsi="Arial" w:cs="Arial"/>
          <w:sz w:val="20"/>
          <w:szCs w:val="20"/>
        </w:rPr>
      </w:pPr>
      <w:r w:rsidRPr="004F3CAA">
        <w:rPr>
          <w:rFonts w:ascii="Arial" w:hAnsi="Arial" w:cs="Arial"/>
          <w:sz w:val="20"/>
          <w:szCs w:val="20"/>
        </w:rPr>
        <w:t>If</w:t>
      </w:r>
      <w:r w:rsidRPr="004F3CAA">
        <w:rPr>
          <w:rFonts w:ascii="Arial" w:hAnsi="Arial" w:cs="Arial"/>
          <w:spacing w:val="20"/>
          <w:sz w:val="20"/>
          <w:szCs w:val="20"/>
        </w:rPr>
        <w:t xml:space="preserve"> </w:t>
      </w:r>
      <w:r w:rsidRPr="004F3CAA">
        <w:rPr>
          <w:rFonts w:ascii="Arial" w:hAnsi="Arial" w:cs="Arial"/>
          <w:sz w:val="20"/>
          <w:szCs w:val="20"/>
        </w:rPr>
        <w:t>any</w:t>
      </w:r>
      <w:r w:rsidRPr="004F3CAA">
        <w:rPr>
          <w:rFonts w:ascii="Arial" w:hAnsi="Arial" w:cs="Arial"/>
          <w:spacing w:val="19"/>
          <w:sz w:val="20"/>
          <w:szCs w:val="20"/>
        </w:rPr>
        <w:t xml:space="preserve"> </w:t>
      </w:r>
      <w:r w:rsidRPr="004F3CAA">
        <w:rPr>
          <w:rFonts w:ascii="Arial" w:hAnsi="Arial" w:cs="Arial"/>
          <w:sz w:val="20"/>
          <w:szCs w:val="20"/>
        </w:rPr>
        <w:t>item</w:t>
      </w:r>
      <w:r w:rsidRPr="004F3CAA">
        <w:rPr>
          <w:rFonts w:ascii="Arial" w:hAnsi="Arial" w:cs="Arial"/>
          <w:spacing w:val="18"/>
          <w:sz w:val="20"/>
          <w:szCs w:val="20"/>
        </w:rPr>
        <w:t xml:space="preserve"> </w:t>
      </w:r>
      <w:r w:rsidRPr="004F3CAA">
        <w:rPr>
          <w:rFonts w:ascii="Arial" w:hAnsi="Arial" w:cs="Arial"/>
          <w:sz w:val="20"/>
          <w:szCs w:val="20"/>
        </w:rPr>
        <w:t>of</w:t>
      </w:r>
      <w:r w:rsidRPr="004F3CAA">
        <w:rPr>
          <w:rFonts w:ascii="Arial" w:hAnsi="Arial" w:cs="Arial"/>
          <w:spacing w:val="18"/>
          <w:sz w:val="20"/>
          <w:szCs w:val="20"/>
        </w:rPr>
        <w:t xml:space="preserve"> </w:t>
      </w:r>
      <w:r w:rsidRPr="004F3CAA">
        <w:rPr>
          <w:rFonts w:ascii="Arial" w:hAnsi="Arial" w:cs="Arial"/>
          <w:sz w:val="20"/>
          <w:szCs w:val="20"/>
        </w:rPr>
        <w:t>equipment</w:t>
      </w:r>
      <w:r w:rsidRPr="004F3CAA">
        <w:rPr>
          <w:rFonts w:ascii="Arial" w:hAnsi="Arial" w:cs="Arial"/>
          <w:spacing w:val="21"/>
          <w:sz w:val="20"/>
          <w:szCs w:val="20"/>
        </w:rPr>
        <w:t xml:space="preserve"> </w:t>
      </w:r>
      <w:r w:rsidRPr="004F3CAA">
        <w:rPr>
          <w:rFonts w:ascii="Arial" w:hAnsi="Arial" w:cs="Arial"/>
          <w:sz w:val="20"/>
          <w:szCs w:val="20"/>
        </w:rPr>
        <w:t>in</w:t>
      </w:r>
      <w:r w:rsidRPr="004F3CAA">
        <w:rPr>
          <w:rFonts w:ascii="Arial" w:hAnsi="Arial" w:cs="Arial"/>
          <w:spacing w:val="17"/>
          <w:sz w:val="20"/>
          <w:szCs w:val="20"/>
        </w:rPr>
        <w:t xml:space="preserve"> </w:t>
      </w:r>
      <w:r w:rsidRPr="004F3CAA">
        <w:rPr>
          <w:rFonts w:ascii="Arial" w:hAnsi="Arial" w:cs="Arial"/>
          <w:sz w:val="20"/>
          <w:szCs w:val="20"/>
        </w:rPr>
        <w:t>(a)</w:t>
      </w:r>
      <w:r w:rsidRPr="004F3CAA">
        <w:rPr>
          <w:rFonts w:ascii="Arial" w:hAnsi="Arial" w:cs="Arial"/>
          <w:spacing w:val="19"/>
          <w:sz w:val="20"/>
          <w:szCs w:val="20"/>
        </w:rPr>
        <w:t xml:space="preserve"> </w:t>
      </w:r>
      <w:r w:rsidRPr="004F3CAA">
        <w:rPr>
          <w:rFonts w:ascii="Arial" w:hAnsi="Arial" w:cs="Arial"/>
          <w:sz w:val="20"/>
          <w:szCs w:val="20"/>
        </w:rPr>
        <w:t>is</w:t>
      </w:r>
      <w:r w:rsidRPr="004F3CAA">
        <w:rPr>
          <w:rFonts w:ascii="Arial" w:hAnsi="Arial" w:cs="Arial"/>
          <w:spacing w:val="18"/>
          <w:sz w:val="20"/>
          <w:szCs w:val="20"/>
        </w:rPr>
        <w:t xml:space="preserve"> </w:t>
      </w:r>
      <w:r w:rsidRPr="004F3CAA">
        <w:rPr>
          <w:rFonts w:ascii="Arial" w:hAnsi="Arial" w:cs="Arial"/>
          <w:sz w:val="20"/>
          <w:szCs w:val="20"/>
        </w:rPr>
        <w:t>already</w:t>
      </w:r>
      <w:r w:rsidRPr="004F3CAA">
        <w:rPr>
          <w:rFonts w:ascii="Arial" w:hAnsi="Arial" w:cs="Arial"/>
          <w:spacing w:val="19"/>
          <w:sz w:val="20"/>
          <w:szCs w:val="20"/>
        </w:rPr>
        <w:t xml:space="preserve"> </w:t>
      </w:r>
      <w:r w:rsidRPr="004F3CAA">
        <w:rPr>
          <w:rFonts w:ascii="Arial" w:hAnsi="Arial" w:cs="Arial"/>
          <w:sz w:val="20"/>
          <w:szCs w:val="20"/>
        </w:rPr>
        <w:t>carried</w:t>
      </w:r>
      <w:r w:rsidRPr="004F3CAA">
        <w:rPr>
          <w:rFonts w:ascii="Arial" w:hAnsi="Arial" w:cs="Arial"/>
          <w:spacing w:val="20"/>
          <w:sz w:val="20"/>
          <w:szCs w:val="20"/>
        </w:rPr>
        <w:t xml:space="preserve"> </w:t>
      </w:r>
      <w:r w:rsidRPr="004F3CAA">
        <w:rPr>
          <w:rFonts w:ascii="Arial" w:hAnsi="Arial" w:cs="Arial"/>
          <w:sz w:val="20"/>
          <w:szCs w:val="20"/>
        </w:rPr>
        <w:t>on</w:t>
      </w:r>
      <w:r w:rsidRPr="004F3CAA">
        <w:rPr>
          <w:rFonts w:ascii="Arial" w:hAnsi="Arial" w:cs="Arial"/>
          <w:spacing w:val="18"/>
          <w:sz w:val="20"/>
          <w:szCs w:val="20"/>
        </w:rPr>
        <w:t xml:space="preserve"> </w:t>
      </w:r>
      <w:r w:rsidRPr="004F3CAA">
        <w:rPr>
          <w:rFonts w:ascii="Arial" w:hAnsi="Arial" w:cs="Arial"/>
          <w:sz w:val="20"/>
          <w:szCs w:val="20"/>
        </w:rPr>
        <w:t>board</w:t>
      </w:r>
      <w:r w:rsidRPr="004F3CAA">
        <w:rPr>
          <w:rFonts w:ascii="Arial" w:hAnsi="Arial" w:cs="Arial"/>
          <w:spacing w:val="17"/>
          <w:sz w:val="20"/>
          <w:szCs w:val="20"/>
        </w:rPr>
        <w:t xml:space="preserve"> </w:t>
      </w:r>
      <w:r w:rsidRPr="004F3CAA">
        <w:rPr>
          <w:rFonts w:ascii="Arial" w:hAnsi="Arial" w:cs="Arial"/>
          <w:sz w:val="20"/>
          <w:szCs w:val="20"/>
        </w:rPr>
        <w:t>in</w:t>
      </w:r>
      <w:r w:rsidRPr="004F3CAA">
        <w:rPr>
          <w:rFonts w:ascii="Arial" w:hAnsi="Arial" w:cs="Arial"/>
          <w:spacing w:val="17"/>
          <w:sz w:val="20"/>
          <w:szCs w:val="20"/>
        </w:rPr>
        <w:t xml:space="preserve"> </w:t>
      </w:r>
      <w:r w:rsidRPr="004F3CAA">
        <w:rPr>
          <w:rFonts w:ascii="Arial" w:hAnsi="Arial" w:cs="Arial"/>
          <w:sz w:val="20"/>
          <w:szCs w:val="20"/>
        </w:rPr>
        <w:t>accordance</w:t>
      </w:r>
      <w:r w:rsidRPr="004F3CAA">
        <w:rPr>
          <w:rFonts w:ascii="Arial" w:hAnsi="Arial" w:cs="Arial"/>
          <w:spacing w:val="19"/>
          <w:sz w:val="20"/>
          <w:szCs w:val="20"/>
        </w:rPr>
        <w:t xml:space="preserve"> </w:t>
      </w:r>
      <w:r w:rsidRPr="004F3CAA">
        <w:rPr>
          <w:rFonts w:ascii="Arial" w:hAnsi="Arial" w:cs="Arial"/>
          <w:sz w:val="20"/>
          <w:szCs w:val="20"/>
        </w:rPr>
        <w:t>with</w:t>
      </w:r>
      <w:r w:rsidRPr="004F3CAA">
        <w:rPr>
          <w:rFonts w:ascii="Arial" w:hAnsi="Arial" w:cs="Arial"/>
          <w:spacing w:val="18"/>
          <w:sz w:val="20"/>
          <w:szCs w:val="20"/>
        </w:rPr>
        <w:t xml:space="preserve"> </w:t>
      </w:r>
      <w:r w:rsidRPr="004F3CAA">
        <w:rPr>
          <w:rFonts w:ascii="Arial" w:hAnsi="Arial" w:cs="Arial"/>
          <w:sz w:val="20"/>
          <w:szCs w:val="20"/>
        </w:rPr>
        <w:t>other</w:t>
      </w:r>
      <w:r w:rsidRPr="004F3CAA">
        <w:rPr>
          <w:rFonts w:ascii="Arial" w:hAnsi="Arial" w:cs="Arial"/>
          <w:spacing w:val="-47"/>
          <w:sz w:val="20"/>
          <w:szCs w:val="20"/>
        </w:rPr>
        <w:t xml:space="preserve"> </w:t>
      </w:r>
      <w:r w:rsidRPr="004F3CAA">
        <w:rPr>
          <w:rFonts w:ascii="Arial" w:hAnsi="Arial" w:cs="Arial"/>
          <w:sz w:val="20"/>
          <w:szCs w:val="20"/>
        </w:rPr>
        <w:t>requirements,</w:t>
      </w:r>
      <w:r w:rsidRPr="004F3CAA">
        <w:rPr>
          <w:rFonts w:ascii="Arial" w:hAnsi="Arial" w:cs="Arial"/>
          <w:spacing w:val="-3"/>
          <w:sz w:val="20"/>
          <w:szCs w:val="20"/>
        </w:rPr>
        <w:t xml:space="preserve"> </w:t>
      </w:r>
      <w:r w:rsidRPr="004F3CAA">
        <w:rPr>
          <w:rFonts w:ascii="Arial" w:hAnsi="Arial" w:cs="Arial"/>
          <w:sz w:val="20"/>
          <w:szCs w:val="20"/>
        </w:rPr>
        <w:t>the carriage</w:t>
      </w:r>
      <w:r w:rsidRPr="004F3CAA">
        <w:rPr>
          <w:rFonts w:ascii="Arial" w:hAnsi="Arial" w:cs="Arial"/>
          <w:spacing w:val="-2"/>
          <w:sz w:val="20"/>
          <w:szCs w:val="20"/>
        </w:rPr>
        <w:t xml:space="preserve"> </w:t>
      </w:r>
      <w:r w:rsidRPr="004F3CAA">
        <w:rPr>
          <w:rFonts w:ascii="Arial" w:hAnsi="Arial" w:cs="Arial"/>
          <w:sz w:val="20"/>
          <w:szCs w:val="20"/>
        </w:rPr>
        <w:t>does</w:t>
      </w:r>
      <w:r w:rsidRPr="004F3CAA">
        <w:rPr>
          <w:rFonts w:ascii="Arial" w:hAnsi="Arial" w:cs="Arial"/>
          <w:spacing w:val="1"/>
          <w:sz w:val="20"/>
          <w:szCs w:val="20"/>
        </w:rPr>
        <w:t xml:space="preserve"> </w:t>
      </w:r>
      <w:r w:rsidRPr="004F3CAA">
        <w:rPr>
          <w:rFonts w:ascii="Arial" w:hAnsi="Arial" w:cs="Arial"/>
          <w:sz w:val="20"/>
          <w:szCs w:val="20"/>
        </w:rPr>
        <w:t>not need</w:t>
      </w:r>
      <w:r w:rsidRPr="004F3CAA">
        <w:rPr>
          <w:rFonts w:ascii="Arial" w:hAnsi="Arial" w:cs="Arial"/>
          <w:spacing w:val="-1"/>
          <w:sz w:val="20"/>
          <w:szCs w:val="20"/>
        </w:rPr>
        <w:t xml:space="preserve"> </w:t>
      </w:r>
      <w:r w:rsidRPr="004F3CAA">
        <w:rPr>
          <w:rFonts w:ascii="Arial" w:hAnsi="Arial" w:cs="Arial"/>
          <w:sz w:val="20"/>
          <w:szCs w:val="20"/>
        </w:rPr>
        <w:t>to</w:t>
      </w:r>
      <w:r w:rsidRPr="004F3CAA">
        <w:rPr>
          <w:rFonts w:ascii="Arial" w:hAnsi="Arial" w:cs="Arial"/>
          <w:spacing w:val="1"/>
          <w:sz w:val="20"/>
          <w:szCs w:val="20"/>
        </w:rPr>
        <w:t xml:space="preserve"> </w:t>
      </w:r>
      <w:r w:rsidRPr="004F3CAA">
        <w:rPr>
          <w:rFonts w:ascii="Arial" w:hAnsi="Arial" w:cs="Arial"/>
          <w:sz w:val="20"/>
          <w:szCs w:val="20"/>
        </w:rPr>
        <w:t>be</w:t>
      </w:r>
      <w:r w:rsidRPr="004F3CAA">
        <w:rPr>
          <w:rFonts w:ascii="Arial" w:hAnsi="Arial" w:cs="Arial"/>
          <w:spacing w:val="1"/>
          <w:sz w:val="20"/>
          <w:szCs w:val="20"/>
        </w:rPr>
        <w:t xml:space="preserve"> </w:t>
      </w:r>
      <w:r w:rsidRPr="004F3CAA">
        <w:rPr>
          <w:rFonts w:ascii="Arial" w:hAnsi="Arial" w:cs="Arial"/>
          <w:sz w:val="20"/>
          <w:szCs w:val="20"/>
        </w:rPr>
        <w:t>duplicated.</w:t>
      </w:r>
    </w:p>
    <w:p w14:paraId="23C99696" w14:textId="77777777" w:rsidR="00EF4B4C" w:rsidRPr="00EF4B4C" w:rsidRDefault="00EF4B4C" w:rsidP="009601C2">
      <w:pPr>
        <w:keepNext/>
        <w:keepLines/>
        <w:widowControl/>
        <w:shd w:val="clear" w:color="auto" w:fill="339966"/>
        <w:autoSpaceDE/>
        <w:autoSpaceDN/>
        <w:spacing w:before="160" w:after="120" w:line="276" w:lineRule="auto"/>
        <w:jc w:val="both"/>
        <w:outlineLvl w:val="4"/>
        <w:rPr>
          <w:rFonts w:ascii="Arial" w:eastAsia="Times New Roman" w:hAnsi="Arial" w:cs="Times New Roman"/>
          <w:b/>
          <w:color w:val="FFFFFF"/>
          <w:sz w:val="24"/>
        </w:rPr>
      </w:pPr>
      <w:bookmarkStart w:id="314" w:name="GM1_BOP.BAS.345_Life-saving_and_signalli"/>
      <w:bookmarkStart w:id="315" w:name="_bookmark133"/>
      <w:bookmarkStart w:id="316" w:name="_Toc153137298"/>
      <w:bookmarkEnd w:id="314"/>
      <w:bookmarkEnd w:id="315"/>
      <w:r w:rsidRPr="00EF4B4C">
        <w:rPr>
          <w:rFonts w:ascii="Arial" w:eastAsia="Times New Roman" w:hAnsi="Arial" w:cs="Times New Roman"/>
          <w:b/>
          <w:color w:val="FFFFFF"/>
          <w:sz w:val="24"/>
        </w:rPr>
        <w:t>GM1 BOP.BAS.345 Life-saving and signalling equipment – Search and rescue difficulties</w:t>
      </w:r>
      <w:bookmarkEnd w:id="316"/>
    </w:p>
    <w:p w14:paraId="07A2AC1F" w14:textId="77777777" w:rsidR="00EF4B4C" w:rsidRPr="00EF4B4C" w:rsidRDefault="00EF4B4C" w:rsidP="009601C2">
      <w:pPr>
        <w:tabs>
          <w:tab w:val="left" w:pos="706"/>
          <w:tab w:val="left" w:pos="707"/>
        </w:tabs>
        <w:spacing w:before="121" w:line="276" w:lineRule="auto"/>
        <w:ind w:right="194"/>
        <w:jc w:val="both"/>
        <w:rPr>
          <w:rFonts w:ascii="Arial" w:hAnsi="Arial" w:cs="Arial"/>
          <w:b/>
          <w:sz w:val="20"/>
        </w:rPr>
      </w:pPr>
      <w:r w:rsidRPr="00EF4B4C">
        <w:rPr>
          <w:rFonts w:ascii="Arial" w:hAnsi="Arial" w:cs="Arial"/>
          <w:b/>
          <w:sz w:val="20"/>
        </w:rPr>
        <w:t>SIGNALS</w:t>
      </w:r>
    </w:p>
    <w:p w14:paraId="06B1DA83" w14:textId="1C769DD6" w:rsidR="004F3CAA" w:rsidRDefault="00EF4B4C" w:rsidP="009601C2">
      <w:pPr>
        <w:tabs>
          <w:tab w:val="left" w:pos="706"/>
          <w:tab w:val="left" w:pos="707"/>
        </w:tabs>
        <w:spacing w:before="121" w:line="276" w:lineRule="auto"/>
        <w:ind w:right="194"/>
        <w:jc w:val="both"/>
        <w:rPr>
          <w:rFonts w:ascii="Arial" w:hAnsi="Arial" w:cs="Arial"/>
          <w:sz w:val="20"/>
        </w:rPr>
      </w:pPr>
      <w:r w:rsidRPr="00EF4B4C">
        <w:rPr>
          <w:rFonts w:ascii="Arial" w:hAnsi="Arial" w:cs="Arial"/>
          <w:sz w:val="20"/>
        </w:rPr>
        <w:t xml:space="preserve">The distress signals are described in </w:t>
      </w:r>
      <w:r w:rsidR="00761442" w:rsidRPr="00D22D23">
        <w:rPr>
          <w:rFonts w:ascii="Arial" w:hAnsi="Arial" w:cs="Arial"/>
          <w:sz w:val="20"/>
        </w:rPr>
        <w:t>to</w:t>
      </w:r>
      <w:r w:rsidR="00D22D23" w:rsidRPr="00D22D23">
        <w:rPr>
          <w:rFonts w:ascii="Arial" w:hAnsi="Arial" w:cs="Arial"/>
          <w:sz w:val="20"/>
        </w:rPr>
        <w:t xml:space="preserve"> the decision </w:t>
      </w:r>
      <w:hyperlink r:id="rId52" w:history="1">
        <w:r w:rsidR="00D22D23" w:rsidRPr="00D22D23">
          <w:rPr>
            <w:rStyle w:val="Hyperlink"/>
            <w:rFonts w:ascii="Arial" w:hAnsi="Arial" w:cs="Arial"/>
            <w:sz w:val="20"/>
          </w:rPr>
          <w:t>N 737-N of the Government of the Republic of Armenia, dated 06.06.2007</w:t>
        </w:r>
      </w:hyperlink>
      <w:r w:rsidR="00D22D23" w:rsidRPr="00D22D23">
        <w:rPr>
          <w:rFonts w:ascii="Arial" w:hAnsi="Arial" w:cs="Arial"/>
          <w:sz w:val="20"/>
        </w:rPr>
        <w:t>.</w:t>
      </w:r>
    </w:p>
    <w:p w14:paraId="70187E5F" w14:textId="77777777" w:rsidR="00EF4B4C" w:rsidRPr="00EF4B4C" w:rsidRDefault="00EF4B4C" w:rsidP="009601C2">
      <w:pPr>
        <w:keepNext/>
        <w:keepLines/>
        <w:widowControl/>
        <w:shd w:val="clear" w:color="auto" w:fill="339966"/>
        <w:autoSpaceDE/>
        <w:autoSpaceDN/>
        <w:spacing w:before="160" w:after="120" w:line="276" w:lineRule="auto"/>
        <w:jc w:val="both"/>
        <w:outlineLvl w:val="4"/>
        <w:rPr>
          <w:rFonts w:ascii="Arial" w:eastAsia="Times New Roman" w:hAnsi="Arial" w:cs="Times New Roman"/>
          <w:b/>
          <w:color w:val="FFFFFF"/>
          <w:sz w:val="24"/>
        </w:rPr>
      </w:pPr>
      <w:bookmarkStart w:id="317" w:name="GM2_BOP.BAS.345_Life-saving_and_signalli"/>
      <w:bookmarkStart w:id="318" w:name="_bookmark134"/>
      <w:bookmarkStart w:id="319" w:name="_Toc153137299"/>
      <w:bookmarkEnd w:id="317"/>
      <w:bookmarkEnd w:id="318"/>
      <w:r w:rsidRPr="00EF4B4C">
        <w:rPr>
          <w:rFonts w:ascii="Arial" w:eastAsia="Times New Roman" w:hAnsi="Arial" w:cs="Times New Roman"/>
          <w:b/>
          <w:color w:val="FFFFFF"/>
          <w:sz w:val="24"/>
        </w:rPr>
        <w:t>GM2 BOP.BAS.345 Life-saving and signalling equipment – Search and rescue difficulties</w:t>
      </w:r>
      <w:bookmarkEnd w:id="319"/>
    </w:p>
    <w:p w14:paraId="76B4F7D9" w14:textId="77777777" w:rsidR="00EF4B4C" w:rsidRPr="00276D5E" w:rsidRDefault="00EF4B4C" w:rsidP="009601C2">
      <w:pPr>
        <w:spacing w:line="276" w:lineRule="auto"/>
        <w:jc w:val="both"/>
        <w:rPr>
          <w:rFonts w:ascii="Arial" w:hAnsi="Arial" w:cs="Arial"/>
          <w:b/>
          <w:sz w:val="20"/>
        </w:rPr>
      </w:pPr>
      <w:r w:rsidRPr="00276D5E">
        <w:rPr>
          <w:rFonts w:ascii="Arial" w:hAnsi="Arial" w:cs="Arial"/>
          <w:b/>
          <w:sz w:val="20"/>
        </w:rPr>
        <w:t>AREAS</w:t>
      </w:r>
      <w:r w:rsidRPr="00276D5E">
        <w:rPr>
          <w:rFonts w:ascii="Arial" w:hAnsi="Arial" w:cs="Arial"/>
          <w:b/>
          <w:spacing w:val="-3"/>
          <w:sz w:val="20"/>
        </w:rPr>
        <w:t xml:space="preserve"> </w:t>
      </w:r>
      <w:r w:rsidRPr="00276D5E">
        <w:rPr>
          <w:rFonts w:ascii="Arial" w:hAnsi="Arial" w:cs="Arial"/>
          <w:b/>
          <w:sz w:val="20"/>
        </w:rPr>
        <w:t>IN</w:t>
      </w:r>
      <w:r w:rsidRPr="00276D5E">
        <w:rPr>
          <w:rFonts w:ascii="Arial" w:hAnsi="Arial" w:cs="Arial"/>
          <w:b/>
          <w:spacing w:val="-2"/>
          <w:sz w:val="20"/>
        </w:rPr>
        <w:t xml:space="preserve"> </w:t>
      </w:r>
      <w:r w:rsidRPr="00276D5E">
        <w:rPr>
          <w:rFonts w:ascii="Arial" w:hAnsi="Arial" w:cs="Arial"/>
          <w:b/>
          <w:sz w:val="20"/>
        </w:rPr>
        <w:t>WHICH</w:t>
      </w:r>
      <w:r w:rsidRPr="00276D5E">
        <w:rPr>
          <w:rFonts w:ascii="Arial" w:hAnsi="Arial" w:cs="Arial"/>
          <w:b/>
          <w:spacing w:val="-2"/>
          <w:sz w:val="20"/>
        </w:rPr>
        <w:t xml:space="preserve"> </w:t>
      </w:r>
      <w:r w:rsidRPr="00276D5E">
        <w:rPr>
          <w:rFonts w:ascii="Arial" w:hAnsi="Arial" w:cs="Arial"/>
          <w:b/>
          <w:sz w:val="20"/>
        </w:rPr>
        <w:t>SEARCH</w:t>
      </w:r>
      <w:r w:rsidRPr="00276D5E">
        <w:rPr>
          <w:rFonts w:ascii="Arial" w:hAnsi="Arial" w:cs="Arial"/>
          <w:b/>
          <w:spacing w:val="-3"/>
          <w:sz w:val="20"/>
        </w:rPr>
        <w:t xml:space="preserve"> </w:t>
      </w:r>
      <w:r w:rsidRPr="00276D5E">
        <w:rPr>
          <w:rFonts w:ascii="Arial" w:hAnsi="Arial" w:cs="Arial"/>
          <w:b/>
          <w:sz w:val="20"/>
        </w:rPr>
        <w:t>AND</w:t>
      </w:r>
      <w:r w:rsidRPr="00276D5E">
        <w:rPr>
          <w:rFonts w:ascii="Arial" w:hAnsi="Arial" w:cs="Arial"/>
          <w:b/>
          <w:spacing w:val="-2"/>
          <w:sz w:val="20"/>
        </w:rPr>
        <w:t xml:space="preserve"> </w:t>
      </w:r>
      <w:r w:rsidRPr="00276D5E">
        <w:rPr>
          <w:rFonts w:ascii="Arial" w:hAnsi="Arial" w:cs="Arial"/>
          <w:b/>
          <w:sz w:val="20"/>
        </w:rPr>
        <w:t>RESCUE</w:t>
      </w:r>
      <w:r w:rsidRPr="00276D5E">
        <w:rPr>
          <w:rFonts w:ascii="Arial" w:hAnsi="Arial" w:cs="Arial"/>
          <w:b/>
          <w:spacing w:val="-3"/>
          <w:sz w:val="20"/>
        </w:rPr>
        <w:t xml:space="preserve"> </w:t>
      </w:r>
      <w:r w:rsidRPr="00276D5E">
        <w:rPr>
          <w:rFonts w:ascii="Arial" w:hAnsi="Arial" w:cs="Arial"/>
          <w:b/>
          <w:sz w:val="20"/>
        </w:rPr>
        <w:t>WOULD</w:t>
      </w:r>
      <w:r w:rsidRPr="00276D5E">
        <w:rPr>
          <w:rFonts w:ascii="Arial" w:hAnsi="Arial" w:cs="Arial"/>
          <w:b/>
          <w:spacing w:val="-3"/>
          <w:sz w:val="20"/>
        </w:rPr>
        <w:t xml:space="preserve"> </w:t>
      </w:r>
      <w:r w:rsidRPr="00276D5E">
        <w:rPr>
          <w:rFonts w:ascii="Arial" w:hAnsi="Arial" w:cs="Arial"/>
          <w:b/>
          <w:sz w:val="20"/>
        </w:rPr>
        <w:t>BE</w:t>
      </w:r>
      <w:r w:rsidRPr="00276D5E">
        <w:rPr>
          <w:rFonts w:ascii="Arial" w:hAnsi="Arial" w:cs="Arial"/>
          <w:b/>
          <w:spacing w:val="-3"/>
          <w:sz w:val="20"/>
        </w:rPr>
        <w:t xml:space="preserve"> </w:t>
      </w:r>
      <w:r w:rsidRPr="00276D5E">
        <w:rPr>
          <w:rFonts w:ascii="Arial" w:hAnsi="Arial" w:cs="Arial"/>
          <w:b/>
          <w:sz w:val="20"/>
        </w:rPr>
        <w:t>ESPECIALLY</w:t>
      </w:r>
      <w:r w:rsidRPr="00276D5E">
        <w:rPr>
          <w:rFonts w:ascii="Arial" w:hAnsi="Arial" w:cs="Arial"/>
          <w:b/>
          <w:spacing w:val="-1"/>
          <w:sz w:val="20"/>
        </w:rPr>
        <w:t xml:space="preserve"> </w:t>
      </w:r>
      <w:r w:rsidRPr="00276D5E">
        <w:rPr>
          <w:rFonts w:ascii="Arial" w:hAnsi="Arial" w:cs="Arial"/>
          <w:b/>
          <w:sz w:val="20"/>
        </w:rPr>
        <w:t>DIFFICULT</w:t>
      </w:r>
    </w:p>
    <w:p w14:paraId="17952B0F" w14:textId="77777777" w:rsidR="00EF4B4C" w:rsidRPr="00EF4B4C" w:rsidRDefault="00EF4B4C" w:rsidP="009601C2">
      <w:pPr>
        <w:pStyle w:val="BodyText"/>
        <w:spacing w:before="119" w:line="276" w:lineRule="auto"/>
        <w:ind w:left="140"/>
        <w:jc w:val="both"/>
        <w:rPr>
          <w:rFonts w:ascii="Arial" w:hAnsi="Arial" w:cs="Arial"/>
          <w:sz w:val="20"/>
        </w:rPr>
      </w:pPr>
      <w:r w:rsidRPr="00EF4B4C">
        <w:rPr>
          <w:rFonts w:ascii="Arial" w:hAnsi="Arial" w:cs="Arial"/>
          <w:sz w:val="20"/>
        </w:rPr>
        <w:t>The</w:t>
      </w:r>
      <w:r w:rsidRPr="00EF4B4C">
        <w:rPr>
          <w:rFonts w:ascii="Arial" w:hAnsi="Arial" w:cs="Arial"/>
          <w:spacing w:val="-2"/>
          <w:sz w:val="20"/>
        </w:rPr>
        <w:t xml:space="preserve"> </w:t>
      </w:r>
      <w:r w:rsidRPr="00EF4B4C">
        <w:rPr>
          <w:rFonts w:ascii="Arial" w:hAnsi="Arial" w:cs="Arial"/>
          <w:sz w:val="20"/>
        </w:rPr>
        <w:t>expression</w:t>
      </w:r>
      <w:r w:rsidRPr="00EF4B4C">
        <w:rPr>
          <w:rFonts w:ascii="Arial" w:hAnsi="Arial" w:cs="Arial"/>
          <w:spacing w:val="-2"/>
          <w:sz w:val="20"/>
        </w:rPr>
        <w:t xml:space="preserve"> </w:t>
      </w:r>
      <w:r w:rsidRPr="00EF4B4C">
        <w:rPr>
          <w:rFonts w:ascii="Arial" w:hAnsi="Arial" w:cs="Arial"/>
          <w:sz w:val="20"/>
        </w:rPr>
        <w:t>‘areas</w:t>
      </w:r>
      <w:r w:rsidRPr="00EF4B4C">
        <w:rPr>
          <w:rFonts w:ascii="Arial" w:hAnsi="Arial" w:cs="Arial"/>
          <w:spacing w:val="-1"/>
          <w:sz w:val="20"/>
        </w:rPr>
        <w:t xml:space="preserve"> </w:t>
      </w:r>
      <w:r w:rsidRPr="00EF4B4C">
        <w:rPr>
          <w:rFonts w:ascii="Arial" w:hAnsi="Arial" w:cs="Arial"/>
          <w:sz w:val="20"/>
        </w:rPr>
        <w:t>in</w:t>
      </w:r>
      <w:r w:rsidRPr="00EF4B4C">
        <w:rPr>
          <w:rFonts w:ascii="Arial" w:hAnsi="Arial" w:cs="Arial"/>
          <w:spacing w:val="-3"/>
          <w:sz w:val="20"/>
        </w:rPr>
        <w:t xml:space="preserve"> </w:t>
      </w:r>
      <w:r w:rsidRPr="00EF4B4C">
        <w:rPr>
          <w:rFonts w:ascii="Arial" w:hAnsi="Arial" w:cs="Arial"/>
          <w:sz w:val="20"/>
        </w:rPr>
        <w:t>which</w:t>
      </w:r>
      <w:r w:rsidRPr="00EF4B4C">
        <w:rPr>
          <w:rFonts w:ascii="Arial" w:hAnsi="Arial" w:cs="Arial"/>
          <w:spacing w:val="-2"/>
          <w:sz w:val="20"/>
        </w:rPr>
        <w:t xml:space="preserve"> </w:t>
      </w:r>
      <w:r w:rsidRPr="00EF4B4C">
        <w:rPr>
          <w:rFonts w:ascii="Arial" w:hAnsi="Arial" w:cs="Arial"/>
          <w:sz w:val="20"/>
        </w:rPr>
        <w:t>search</w:t>
      </w:r>
      <w:r w:rsidRPr="00EF4B4C">
        <w:rPr>
          <w:rFonts w:ascii="Arial" w:hAnsi="Arial" w:cs="Arial"/>
          <w:spacing w:val="-2"/>
          <w:sz w:val="20"/>
        </w:rPr>
        <w:t xml:space="preserve"> </w:t>
      </w:r>
      <w:r w:rsidRPr="00EF4B4C">
        <w:rPr>
          <w:rFonts w:ascii="Arial" w:hAnsi="Arial" w:cs="Arial"/>
          <w:sz w:val="20"/>
        </w:rPr>
        <w:t>and</w:t>
      </w:r>
      <w:r w:rsidRPr="00EF4B4C">
        <w:rPr>
          <w:rFonts w:ascii="Arial" w:hAnsi="Arial" w:cs="Arial"/>
          <w:spacing w:val="-2"/>
          <w:sz w:val="20"/>
        </w:rPr>
        <w:t xml:space="preserve"> </w:t>
      </w:r>
      <w:r w:rsidRPr="00EF4B4C">
        <w:rPr>
          <w:rFonts w:ascii="Arial" w:hAnsi="Arial" w:cs="Arial"/>
          <w:sz w:val="20"/>
        </w:rPr>
        <w:t>rescue</w:t>
      </w:r>
      <w:r w:rsidRPr="00EF4B4C">
        <w:rPr>
          <w:rFonts w:ascii="Arial" w:hAnsi="Arial" w:cs="Arial"/>
          <w:spacing w:val="-4"/>
          <w:sz w:val="20"/>
        </w:rPr>
        <w:t xml:space="preserve"> </w:t>
      </w:r>
      <w:r w:rsidRPr="00EF4B4C">
        <w:rPr>
          <w:rFonts w:ascii="Arial" w:hAnsi="Arial" w:cs="Arial"/>
          <w:sz w:val="20"/>
        </w:rPr>
        <w:t>would</w:t>
      </w:r>
      <w:r w:rsidRPr="00EF4B4C">
        <w:rPr>
          <w:rFonts w:ascii="Arial" w:hAnsi="Arial" w:cs="Arial"/>
          <w:spacing w:val="-2"/>
          <w:sz w:val="20"/>
        </w:rPr>
        <w:t xml:space="preserve"> </w:t>
      </w:r>
      <w:r w:rsidRPr="00EF4B4C">
        <w:rPr>
          <w:rFonts w:ascii="Arial" w:hAnsi="Arial" w:cs="Arial"/>
          <w:sz w:val="20"/>
        </w:rPr>
        <w:t>be</w:t>
      </w:r>
      <w:r w:rsidRPr="00EF4B4C">
        <w:rPr>
          <w:rFonts w:ascii="Arial" w:hAnsi="Arial" w:cs="Arial"/>
          <w:spacing w:val="-1"/>
          <w:sz w:val="20"/>
        </w:rPr>
        <w:t xml:space="preserve"> </w:t>
      </w:r>
      <w:r w:rsidRPr="00EF4B4C">
        <w:rPr>
          <w:rFonts w:ascii="Arial" w:hAnsi="Arial" w:cs="Arial"/>
          <w:sz w:val="20"/>
        </w:rPr>
        <w:t>especially</w:t>
      </w:r>
      <w:r w:rsidRPr="00EF4B4C">
        <w:rPr>
          <w:rFonts w:ascii="Arial" w:hAnsi="Arial" w:cs="Arial"/>
          <w:spacing w:val="-2"/>
          <w:sz w:val="20"/>
        </w:rPr>
        <w:t xml:space="preserve"> </w:t>
      </w:r>
      <w:r w:rsidRPr="00EF4B4C">
        <w:rPr>
          <w:rFonts w:ascii="Arial" w:hAnsi="Arial" w:cs="Arial"/>
          <w:sz w:val="20"/>
        </w:rPr>
        <w:t>difficult’</w:t>
      </w:r>
      <w:r w:rsidRPr="00EF4B4C">
        <w:rPr>
          <w:rFonts w:ascii="Arial" w:hAnsi="Arial" w:cs="Arial"/>
          <w:spacing w:val="-6"/>
          <w:sz w:val="20"/>
        </w:rPr>
        <w:t xml:space="preserve"> </w:t>
      </w:r>
      <w:r w:rsidRPr="00EF4B4C">
        <w:rPr>
          <w:rFonts w:ascii="Arial" w:hAnsi="Arial" w:cs="Arial"/>
          <w:sz w:val="20"/>
        </w:rPr>
        <w:t>means:</w:t>
      </w:r>
    </w:p>
    <w:p w14:paraId="50A18F3A" w14:textId="77777777" w:rsidR="00EF4B4C" w:rsidRPr="00EF4B4C" w:rsidRDefault="00EF4B4C" w:rsidP="009601C2">
      <w:pPr>
        <w:pStyle w:val="ListParagraph"/>
        <w:numPr>
          <w:ilvl w:val="0"/>
          <w:numId w:val="76"/>
        </w:numPr>
        <w:tabs>
          <w:tab w:val="left" w:pos="706"/>
          <w:tab w:val="left" w:pos="707"/>
        </w:tabs>
        <w:spacing w:line="276" w:lineRule="auto"/>
        <w:jc w:val="both"/>
        <w:rPr>
          <w:rFonts w:ascii="Arial" w:hAnsi="Arial" w:cs="Arial"/>
          <w:sz w:val="20"/>
        </w:rPr>
      </w:pPr>
      <w:r w:rsidRPr="00EF4B4C">
        <w:rPr>
          <w:rFonts w:ascii="Arial" w:hAnsi="Arial" w:cs="Arial"/>
          <w:sz w:val="20"/>
        </w:rPr>
        <w:t>areas</w:t>
      </w:r>
      <w:r w:rsidRPr="00EF4B4C">
        <w:rPr>
          <w:rFonts w:ascii="Arial" w:hAnsi="Arial" w:cs="Arial"/>
          <w:spacing w:val="-1"/>
          <w:sz w:val="20"/>
        </w:rPr>
        <w:t xml:space="preserve"> </w:t>
      </w:r>
      <w:r w:rsidRPr="00EF4B4C">
        <w:rPr>
          <w:rFonts w:ascii="Arial" w:hAnsi="Arial" w:cs="Arial"/>
          <w:sz w:val="20"/>
        </w:rPr>
        <w:t>so designated</w:t>
      </w:r>
      <w:r w:rsidRPr="00EF4B4C">
        <w:rPr>
          <w:rFonts w:ascii="Arial" w:hAnsi="Arial" w:cs="Arial"/>
          <w:spacing w:val="-1"/>
          <w:sz w:val="20"/>
        </w:rPr>
        <w:t xml:space="preserve"> </w:t>
      </w:r>
      <w:r w:rsidRPr="00EF4B4C">
        <w:rPr>
          <w:rFonts w:ascii="Arial" w:hAnsi="Arial" w:cs="Arial"/>
          <w:sz w:val="20"/>
        </w:rPr>
        <w:t>by</w:t>
      </w:r>
      <w:r w:rsidRPr="00EF4B4C">
        <w:rPr>
          <w:rFonts w:ascii="Arial" w:hAnsi="Arial" w:cs="Arial"/>
          <w:spacing w:val="-2"/>
          <w:sz w:val="20"/>
        </w:rPr>
        <w:t xml:space="preserve"> </w:t>
      </w:r>
      <w:r w:rsidRPr="00EF4B4C">
        <w:rPr>
          <w:rFonts w:ascii="Arial" w:hAnsi="Arial" w:cs="Arial"/>
          <w:sz w:val="20"/>
        </w:rPr>
        <w:t>the</w:t>
      </w:r>
      <w:r w:rsidRPr="00EF4B4C">
        <w:rPr>
          <w:rFonts w:ascii="Arial" w:hAnsi="Arial" w:cs="Arial"/>
          <w:spacing w:val="-2"/>
          <w:sz w:val="20"/>
        </w:rPr>
        <w:t xml:space="preserve"> </w:t>
      </w:r>
      <w:r w:rsidRPr="00EF4B4C">
        <w:rPr>
          <w:rFonts w:ascii="Arial" w:hAnsi="Arial" w:cs="Arial"/>
          <w:sz w:val="20"/>
        </w:rPr>
        <w:t>authority</w:t>
      </w:r>
      <w:r w:rsidRPr="00EF4B4C">
        <w:rPr>
          <w:rFonts w:ascii="Arial" w:hAnsi="Arial" w:cs="Arial"/>
          <w:spacing w:val="-1"/>
          <w:sz w:val="20"/>
        </w:rPr>
        <w:t xml:space="preserve"> </w:t>
      </w:r>
      <w:r w:rsidRPr="00EF4B4C">
        <w:rPr>
          <w:rFonts w:ascii="Arial" w:hAnsi="Arial" w:cs="Arial"/>
          <w:sz w:val="20"/>
        </w:rPr>
        <w:t>responsible</w:t>
      </w:r>
      <w:r w:rsidRPr="00EF4B4C">
        <w:rPr>
          <w:rFonts w:ascii="Arial" w:hAnsi="Arial" w:cs="Arial"/>
          <w:spacing w:val="-1"/>
          <w:sz w:val="20"/>
        </w:rPr>
        <w:t xml:space="preserve"> </w:t>
      </w:r>
      <w:r w:rsidRPr="00EF4B4C">
        <w:rPr>
          <w:rFonts w:ascii="Arial" w:hAnsi="Arial" w:cs="Arial"/>
          <w:sz w:val="20"/>
        </w:rPr>
        <w:t>for</w:t>
      </w:r>
      <w:r w:rsidRPr="00EF4B4C">
        <w:rPr>
          <w:rFonts w:ascii="Arial" w:hAnsi="Arial" w:cs="Arial"/>
          <w:spacing w:val="-3"/>
          <w:sz w:val="20"/>
        </w:rPr>
        <w:t xml:space="preserve"> </w:t>
      </w:r>
      <w:r w:rsidRPr="00EF4B4C">
        <w:rPr>
          <w:rFonts w:ascii="Arial" w:hAnsi="Arial" w:cs="Arial"/>
          <w:sz w:val="20"/>
        </w:rPr>
        <w:t>managing</w:t>
      </w:r>
      <w:r w:rsidRPr="00EF4B4C">
        <w:rPr>
          <w:rFonts w:ascii="Arial" w:hAnsi="Arial" w:cs="Arial"/>
          <w:spacing w:val="-2"/>
          <w:sz w:val="20"/>
        </w:rPr>
        <w:t xml:space="preserve"> </w:t>
      </w:r>
      <w:r w:rsidRPr="00EF4B4C">
        <w:rPr>
          <w:rFonts w:ascii="Arial" w:hAnsi="Arial" w:cs="Arial"/>
          <w:sz w:val="20"/>
        </w:rPr>
        <w:t>search</w:t>
      </w:r>
      <w:r w:rsidRPr="00EF4B4C">
        <w:rPr>
          <w:rFonts w:ascii="Arial" w:hAnsi="Arial" w:cs="Arial"/>
          <w:spacing w:val="-1"/>
          <w:sz w:val="20"/>
        </w:rPr>
        <w:t xml:space="preserve"> </w:t>
      </w:r>
      <w:r w:rsidRPr="00EF4B4C">
        <w:rPr>
          <w:rFonts w:ascii="Arial" w:hAnsi="Arial" w:cs="Arial"/>
          <w:sz w:val="20"/>
        </w:rPr>
        <w:t>and</w:t>
      </w:r>
      <w:r w:rsidRPr="00EF4B4C">
        <w:rPr>
          <w:rFonts w:ascii="Arial" w:hAnsi="Arial" w:cs="Arial"/>
          <w:spacing w:val="-2"/>
          <w:sz w:val="20"/>
        </w:rPr>
        <w:t xml:space="preserve"> </w:t>
      </w:r>
      <w:r w:rsidRPr="00EF4B4C">
        <w:rPr>
          <w:rFonts w:ascii="Arial" w:hAnsi="Arial" w:cs="Arial"/>
          <w:sz w:val="20"/>
        </w:rPr>
        <w:t>rescue;</w:t>
      </w:r>
      <w:r w:rsidRPr="00EF4B4C">
        <w:rPr>
          <w:rFonts w:ascii="Arial" w:hAnsi="Arial" w:cs="Arial"/>
          <w:spacing w:val="-3"/>
          <w:sz w:val="20"/>
        </w:rPr>
        <w:t xml:space="preserve"> </w:t>
      </w:r>
      <w:r w:rsidRPr="00EF4B4C">
        <w:rPr>
          <w:rFonts w:ascii="Arial" w:hAnsi="Arial" w:cs="Arial"/>
          <w:sz w:val="20"/>
        </w:rPr>
        <w:t>or</w:t>
      </w:r>
    </w:p>
    <w:p w14:paraId="6100876C" w14:textId="77777777" w:rsidR="00EF4B4C" w:rsidRPr="00EF4B4C" w:rsidRDefault="00EF4B4C" w:rsidP="009601C2">
      <w:pPr>
        <w:pStyle w:val="ListParagraph"/>
        <w:numPr>
          <w:ilvl w:val="0"/>
          <w:numId w:val="76"/>
        </w:numPr>
        <w:tabs>
          <w:tab w:val="left" w:pos="706"/>
          <w:tab w:val="left" w:pos="707"/>
        </w:tabs>
        <w:spacing w:line="276" w:lineRule="auto"/>
        <w:jc w:val="both"/>
        <w:rPr>
          <w:rFonts w:ascii="Arial" w:hAnsi="Arial" w:cs="Arial"/>
          <w:sz w:val="20"/>
        </w:rPr>
      </w:pPr>
      <w:r w:rsidRPr="00EF4B4C">
        <w:rPr>
          <w:rFonts w:ascii="Arial" w:hAnsi="Arial" w:cs="Arial"/>
          <w:sz w:val="20"/>
        </w:rPr>
        <w:t>areas</w:t>
      </w:r>
      <w:r w:rsidRPr="00EF4B4C">
        <w:rPr>
          <w:rFonts w:ascii="Arial" w:hAnsi="Arial" w:cs="Arial"/>
          <w:spacing w:val="-1"/>
          <w:sz w:val="20"/>
        </w:rPr>
        <w:t xml:space="preserve"> </w:t>
      </w:r>
      <w:r w:rsidRPr="00EF4B4C">
        <w:rPr>
          <w:rFonts w:ascii="Arial" w:hAnsi="Arial" w:cs="Arial"/>
          <w:sz w:val="20"/>
        </w:rPr>
        <w:t>that are</w:t>
      </w:r>
      <w:r w:rsidRPr="00EF4B4C">
        <w:rPr>
          <w:rFonts w:ascii="Arial" w:hAnsi="Arial" w:cs="Arial"/>
          <w:spacing w:val="-4"/>
          <w:sz w:val="20"/>
        </w:rPr>
        <w:t xml:space="preserve"> </w:t>
      </w:r>
      <w:r w:rsidRPr="00EF4B4C">
        <w:rPr>
          <w:rFonts w:ascii="Arial" w:hAnsi="Arial" w:cs="Arial"/>
          <w:sz w:val="20"/>
        </w:rPr>
        <w:t>largely</w:t>
      </w:r>
      <w:r w:rsidRPr="00EF4B4C">
        <w:rPr>
          <w:rFonts w:ascii="Arial" w:hAnsi="Arial" w:cs="Arial"/>
          <w:spacing w:val="-2"/>
          <w:sz w:val="20"/>
        </w:rPr>
        <w:t xml:space="preserve"> </w:t>
      </w:r>
      <w:r w:rsidRPr="00EF4B4C">
        <w:rPr>
          <w:rFonts w:ascii="Arial" w:hAnsi="Arial" w:cs="Arial"/>
          <w:sz w:val="20"/>
        </w:rPr>
        <w:t>uninhabited</w:t>
      </w:r>
      <w:r w:rsidRPr="00EF4B4C">
        <w:rPr>
          <w:rFonts w:ascii="Arial" w:hAnsi="Arial" w:cs="Arial"/>
          <w:spacing w:val="-1"/>
          <w:sz w:val="20"/>
        </w:rPr>
        <w:t xml:space="preserve"> </w:t>
      </w:r>
      <w:r w:rsidRPr="00EF4B4C">
        <w:rPr>
          <w:rFonts w:ascii="Arial" w:hAnsi="Arial" w:cs="Arial"/>
          <w:sz w:val="20"/>
        </w:rPr>
        <w:t>and</w:t>
      </w:r>
      <w:r w:rsidRPr="00EF4B4C">
        <w:rPr>
          <w:rFonts w:ascii="Arial" w:hAnsi="Arial" w:cs="Arial"/>
          <w:spacing w:val="-2"/>
          <w:sz w:val="20"/>
        </w:rPr>
        <w:t xml:space="preserve"> </w:t>
      </w:r>
      <w:r w:rsidRPr="00EF4B4C">
        <w:rPr>
          <w:rFonts w:ascii="Arial" w:hAnsi="Arial" w:cs="Arial"/>
          <w:sz w:val="20"/>
        </w:rPr>
        <w:t>where the</w:t>
      </w:r>
      <w:r w:rsidRPr="00EF4B4C">
        <w:rPr>
          <w:rFonts w:ascii="Arial" w:hAnsi="Arial" w:cs="Arial"/>
          <w:spacing w:val="1"/>
          <w:sz w:val="20"/>
        </w:rPr>
        <w:t xml:space="preserve"> </w:t>
      </w:r>
      <w:r w:rsidRPr="00EF4B4C">
        <w:rPr>
          <w:rFonts w:ascii="Arial" w:hAnsi="Arial" w:cs="Arial"/>
          <w:sz w:val="20"/>
        </w:rPr>
        <w:t>authority</w:t>
      </w:r>
      <w:r w:rsidRPr="00EF4B4C">
        <w:rPr>
          <w:rFonts w:ascii="Arial" w:hAnsi="Arial" w:cs="Arial"/>
          <w:spacing w:val="-3"/>
          <w:sz w:val="20"/>
        </w:rPr>
        <w:t xml:space="preserve"> </w:t>
      </w:r>
      <w:r w:rsidRPr="00EF4B4C">
        <w:rPr>
          <w:rFonts w:ascii="Arial" w:hAnsi="Arial" w:cs="Arial"/>
          <w:sz w:val="20"/>
        </w:rPr>
        <w:t>referred to in</w:t>
      </w:r>
      <w:r w:rsidRPr="00EF4B4C">
        <w:rPr>
          <w:rFonts w:ascii="Arial" w:hAnsi="Arial" w:cs="Arial"/>
          <w:spacing w:val="-3"/>
          <w:sz w:val="20"/>
        </w:rPr>
        <w:t xml:space="preserve"> </w:t>
      </w:r>
      <w:r w:rsidRPr="00EF4B4C">
        <w:rPr>
          <w:rFonts w:ascii="Arial" w:hAnsi="Arial" w:cs="Arial"/>
          <w:sz w:val="20"/>
        </w:rPr>
        <w:t>(a):</w:t>
      </w:r>
    </w:p>
    <w:p w14:paraId="6C5834E4" w14:textId="77777777" w:rsidR="00EF4B4C" w:rsidRPr="00EF4B4C" w:rsidRDefault="00EF4B4C" w:rsidP="009601C2">
      <w:pPr>
        <w:pStyle w:val="ListParagraph"/>
        <w:numPr>
          <w:ilvl w:val="1"/>
          <w:numId w:val="76"/>
        </w:numPr>
        <w:tabs>
          <w:tab w:val="left" w:pos="1273"/>
          <w:tab w:val="left" w:pos="1274"/>
        </w:tabs>
        <w:spacing w:before="121" w:line="276" w:lineRule="auto"/>
        <w:ind w:right="198"/>
        <w:jc w:val="both"/>
        <w:rPr>
          <w:rFonts w:ascii="Arial" w:hAnsi="Arial" w:cs="Arial"/>
          <w:sz w:val="20"/>
        </w:rPr>
      </w:pPr>
      <w:r w:rsidRPr="00EF4B4C">
        <w:rPr>
          <w:rFonts w:ascii="Arial" w:hAnsi="Arial" w:cs="Arial"/>
          <w:sz w:val="20"/>
        </w:rPr>
        <w:t>has</w:t>
      </w:r>
      <w:r w:rsidRPr="00EF4B4C">
        <w:rPr>
          <w:rFonts w:ascii="Arial" w:hAnsi="Arial" w:cs="Arial"/>
          <w:spacing w:val="17"/>
          <w:sz w:val="20"/>
        </w:rPr>
        <w:t xml:space="preserve"> </w:t>
      </w:r>
      <w:r w:rsidRPr="00EF4B4C">
        <w:rPr>
          <w:rFonts w:ascii="Arial" w:hAnsi="Arial" w:cs="Arial"/>
          <w:sz w:val="20"/>
        </w:rPr>
        <w:t>not</w:t>
      </w:r>
      <w:r w:rsidRPr="00EF4B4C">
        <w:rPr>
          <w:rFonts w:ascii="Arial" w:hAnsi="Arial" w:cs="Arial"/>
          <w:spacing w:val="16"/>
          <w:sz w:val="20"/>
        </w:rPr>
        <w:t xml:space="preserve"> </w:t>
      </w:r>
      <w:r w:rsidRPr="00EF4B4C">
        <w:rPr>
          <w:rFonts w:ascii="Arial" w:hAnsi="Arial" w:cs="Arial"/>
          <w:sz w:val="20"/>
        </w:rPr>
        <w:t>published</w:t>
      </w:r>
      <w:r w:rsidRPr="00EF4B4C">
        <w:rPr>
          <w:rFonts w:ascii="Arial" w:hAnsi="Arial" w:cs="Arial"/>
          <w:spacing w:val="16"/>
          <w:sz w:val="20"/>
        </w:rPr>
        <w:t xml:space="preserve"> </w:t>
      </w:r>
      <w:r w:rsidRPr="00EF4B4C">
        <w:rPr>
          <w:rFonts w:ascii="Arial" w:hAnsi="Arial" w:cs="Arial"/>
          <w:sz w:val="20"/>
        </w:rPr>
        <w:t>any</w:t>
      </w:r>
      <w:r w:rsidRPr="00EF4B4C">
        <w:rPr>
          <w:rFonts w:ascii="Arial" w:hAnsi="Arial" w:cs="Arial"/>
          <w:spacing w:val="19"/>
          <w:sz w:val="20"/>
        </w:rPr>
        <w:t xml:space="preserve"> </w:t>
      </w:r>
      <w:r w:rsidRPr="00EF4B4C">
        <w:rPr>
          <w:rFonts w:ascii="Arial" w:hAnsi="Arial" w:cs="Arial"/>
          <w:sz w:val="20"/>
        </w:rPr>
        <w:t>information</w:t>
      </w:r>
      <w:r w:rsidRPr="00EF4B4C">
        <w:rPr>
          <w:rFonts w:ascii="Arial" w:hAnsi="Arial" w:cs="Arial"/>
          <w:spacing w:val="16"/>
          <w:sz w:val="20"/>
        </w:rPr>
        <w:t xml:space="preserve"> </w:t>
      </w:r>
      <w:r w:rsidRPr="00EF4B4C">
        <w:rPr>
          <w:rFonts w:ascii="Arial" w:hAnsi="Arial" w:cs="Arial"/>
          <w:sz w:val="20"/>
        </w:rPr>
        <w:t>to</w:t>
      </w:r>
      <w:r w:rsidRPr="00EF4B4C">
        <w:rPr>
          <w:rFonts w:ascii="Arial" w:hAnsi="Arial" w:cs="Arial"/>
          <w:spacing w:val="17"/>
          <w:sz w:val="20"/>
        </w:rPr>
        <w:t xml:space="preserve"> </w:t>
      </w:r>
      <w:r w:rsidRPr="00EF4B4C">
        <w:rPr>
          <w:rFonts w:ascii="Arial" w:hAnsi="Arial" w:cs="Arial"/>
          <w:sz w:val="20"/>
        </w:rPr>
        <w:t>confirm</w:t>
      </w:r>
      <w:r w:rsidRPr="00EF4B4C">
        <w:rPr>
          <w:rFonts w:ascii="Arial" w:hAnsi="Arial" w:cs="Arial"/>
          <w:spacing w:val="16"/>
          <w:sz w:val="20"/>
        </w:rPr>
        <w:t xml:space="preserve"> </w:t>
      </w:r>
      <w:r w:rsidRPr="00EF4B4C">
        <w:rPr>
          <w:rFonts w:ascii="Arial" w:hAnsi="Arial" w:cs="Arial"/>
          <w:sz w:val="20"/>
        </w:rPr>
        <w:t>whether</w:t>
      </w:r>
      <w:r w:rsidRPr="00EF4B4C">
        <w:rPr>
          <w:rFonts w:ascii="Arial" w:hAnsi="Arial" w:cs="Arial"/>
          <w:spacing w:val="19"/>
          <w:sz w:val="20"/>
        </w:rPr>
        <w:t xml:space="preserve"> </w:t>
      </w:r>
      <w:r w:rsidRPr="00EF4B4C">
        <w:rPr>
          <w:rFonts w:ascii="Arial" w:hAnsi="Arial" w:cs="Arial"/>
          <w:sz w:val="20"/>
        </w:rPr>
        <w:t>search</w:t>
      </w:r>
      <w:r w:rsidRPr="00EF4B4C">
        <w:rPr>
          <w:rFonts w:ascii="Arial" w:hAnsi="Arial" w:cs="Arial"/>
          <w:spacing w:val="17"/>
          <w:sz w:val="20"/>
        </w:rPr>
        <w:t xml:space="preserve"> </w:t>
      </w:r>
      <w:r w:rsidRPr="00EF4B4C">
        <w:rPr>
          <w:rFonts w:ascii="Arial" w:hAnsi="Arial" w:cs="Arial"/>
          <w:sz w:val="20"/>
        </w:rPr>
        <w:t>and</w:t>
      </w:r>
      <w:r w:rsidRPr="00EF4B4C">
        <w:rPr>
          <w:rFonts w:ascii="Arial" w:hAnsi="Arial" w:cs="Arial"/>
          <w:spacing w:val="17"/>
          <w:sz w:val="20"/>
        </w:rPr>
        <w:t xml:space="preserve"> </w:t>
      </w:r>
      <w:r w:rsidRPr="00EF4B4C">
        <w:rPr>
          <w:rFonts w:ascii="Arial" w:hAnsi="Arial" w:cs="Arial"/>
          <w:sz w:val="20"/>
        </w:rPr>
        <w:t>rescue</w:t>
      </w:r>
      <w:r w:rsidRPr="00EF4B4C">
        <w:rPr>
          <w:rFonts w:ascii="Arial" w:hAnsi="Arial" w:cs="Arial"/>
          <w:spacing w:val="16"/>
          <w:sz w:val="20"/>
        </w:rPr>
        <w:t xml:space="preserve"> </w:t>
      </w:r>
      <w:r w:rsidRPr="00EF4B4C">
        <w:rPr>
          <w:rFonts w:ascii="Arial" w:hAnsi="Arial" w:cs="Arial"/>
          <w:sz w:val="20"/>
        </w:rPr>
        <w:t>would</w:t>
      </w:r>
      <w:r w:rsidRPr="00EF4B4C">
        <w:rPr>
          <w:rFonts w:ascii="Arial" w:hAnsi="Arial" w:cs="Arial"/>
          <w:spacing w:val="16"/>
          <w:sz w:val="20"/>
        </w:rPr>
        <w:t xml:space="preserve"> </w:t>
      </w:r>
      <w:r w:rsidRPr="00EF4B4C">
        <w:rPr>
          <w:rFonts w:ascii="Arial" w:hAnsi="Arial" w:cs="Arial"/>
          <w:sz w:val="20"/>
        </w:rPr>
        <w:t>be</w:t>
      </w:r>
      <w:r w:rsidRPr="00EF4B4C">
        <w:rPr>
          <w:rFonts w:ascii="Arial" w:hAnsi="Arial" w:cs="Arial"/>
          <w:spacing w:val="19"/>
          <w:sz w:val="20"/>
        </w:rPr>
        <w:t xml:space="preserve"> </w:t>
      </w:r>
      <w:r w:rsidRPr="00EF4B4C">
        <w:rPr>
          <w:rFonts w:ascii="Arial" w:hAnsi="Arial" w:cs="Arial"/>
          <w:sz w:val="20"/>
        </w:rPr>
        <w:t>or</w:t>
      </w:r>
      <w:r w:rsidRPr="00EF4B4C">
        <w:rPr>
          <w:rFonts w:ascii="Arial" w:hAnsi="Arial" w:cs="Arial"/>
          <w:spacing w:val="-47"/>
          <w:sz w:val="20"/>
        </w:rPr>
        <w:t xml:space="preserve"> </w:t>
      </w:r>
      <w:r w:rsidRPr="00EF4B4C">
        <w:rPr>
          <w:rFonts w:ascii="Arial" w:hAnsi="Arial" w:cs="Arial"/>
          <w:sz w:val="20"/>
        </w:rPr>
        <w:t>would</w:t>
      </w:r>
      <w:r w:rsidRPr="00EF4B4C">
        <w:rPr>
          <w:rFonts w:ascii="Arial" w:hAnsi="Arial" w:cs="Arial"/>
          <w:spacing w:val="-2"/>
          <w:sz w:val="20"/>
        </w:rPr>
        <w:t xml:space="preserve"> </w:t>
      </w:r>
      <w:r w:rsidRPr="00EF4B4C">
        <w:rPr>
          <w:rFonts w:ascii="Arial" w:hAnsi="Arial" w:cs="Arial"/>
          <w:sz w:val="20"/>
        </w:rPr>
        <w:t>not be</w:t>
      </w:r>
      <w:r w:rsidRPr="00EF4B4C">
        <w:rPr>
          <w:rFonts w:ascii="Arial" w:hAnsi="Arial" w:cs="Arial"/>
          <w:spacing w:val="-2"/>
          <w:sz w:val="20"/>
        </w:rPr>
        <w:t xml:space="preserve"> </w:t>
      </w:r>
      <w:r w:rsidRPr="00EF4B4C">
        <w:rPr>
          <w:rFonts w:ascii="Arial" w:hAnsi="Arial" w:cs="Arial"/>
          <w:sz w:val="20"/>
        </w:rPr>
        <w:t>especially</w:t>
      </w:r>
      <w:r w:rsidRPr="00EF4B4C">
        <w:rPr>
          <w:rFonts w:ascii="Arial" w:hAnsi="Arial" w:cs="Arial"/>
          <w:spacing w:val="1"/>
          <w:sz w:val="20"/>
        </w:rPr>
        <w:t xml:space="preserve"> </w:t>
      </w:r>
      <w:r w:rsidRPr="00EF4B4C">
        <w:rPr>
          <w:rFonts w:ascii="Arial" w:hAnsi="Arial" w:cs="Arial"/>
          <w:sz w:val="20"/>
        </w:rPr>
        <w:t>difficult; and</w:t>
      </w:r>
    </w:p>
    <w:p w14:paraId="0EF1F5EF" w14:textId="77777777" w:rsidR="00EF4B4C" w:rsidRPr="00EF4B4C" w:rsidRDefault="00EF4B4C" w:rsidP="009601C2">
      <w:pPr>
        <w:pStyle w:val="ListParagraph"/>
        <w:numPr>
          <w:ilvl w:val="1"/>
          <w:numId w:val="76"/>
        </w:numPr>
        <w:tabs>
          <w:tab w:val="left" w:pos="1273"/>
          <w:tab w:val="left" w:pos="1274"/>
        </w:tabs>
        <w:spacing w:line="276" w:lineRule="auto"/>
        <w:ind w:right="197"/>
        <w:jc w:val="both"/>
        <w:rPr>
          <w:rFonts w:ascii="Arial" w:hAnsi="Arial" w:cs="Arial"/>
          <w:sz w:val="20"/>
        </w:rPr>
      </w:pPr>
      <w:r w:rsidRPr="00EF4B4C">
        <w:rPr>
          <w:rFonts w:ascii="Arial" w:hAnsi="Arial" w:cs="Arial"/>
          <w:sz w:val="20"/>
        </w:rPr>
        <w:t>does</w:t>
      </w:r>
      <w:r w:rsidRPr="00EF4B4C">
        <w:rPr>
          <w:rFonts w:ascii="Arial" w:hAnsi="Arial" w:cs="Arial"/>
          <w:spacing w:val="-7"/>
          <w:sz w:val="20"/>
        </w:rPr>
        <w:t xml:space="preserve"> </w:t>
      </w:r>
      <w:r w:rsidRPr="00EF4B4C">
        <w:rPr>
          <w:rFonts w:ascii="Arial" w:hAnsi="Arial" w:cs="Arial"/>
          <w:sz w:val="20"/>
        </w:rPr>
        <w:t>not,</w:t>
      </w:r>
      <w:r w:rsidRPr="00EF4B4C">
        <w:rPr>
          <w:rFonts w:ascii="Arial" w:hAnsi="Arial" w:cs="Arial"/>
          <w:spacing w:val="-6"/>
          <w:sz w:val="20"/>
        </w:rPr>
        <w:t xml:space="preserve"> </w:t>
      </w:r>
      <w:r w:rsidRPr="00EF4B4C">
        <w:rPr>
          <w:rFonts w:ascii="Arial" w:hAnsi="Arial" w:cs="Arial"/>
          <w:sz w:val="20"/>
        </w:rPr>
        <w:t>as</w:t>
      </w:r>
      <w:r w:rsidRPr="00EF4B4C">
        <w:rPr>
          <w:rFonts w:ascii="Arial" w:hAnsi="Arial" w:cs="Arial"/>
          <w:spacing w:val="-7"/>
          <w:sz w:val="20"/>
        </w:rPr>
        <w:t xml:space="preserve"> </w:t>
      </w:r>
      <w:r w:rsidRPr="00EF4B4C">
        <w:rPr>
          <w:rFonts w:ascii="Arial" w:hAnsi="Arial" w:cs="Arial"/>
          <w:sz w:val="20"/>
        </w:rPr>
        <w:t>a</w:t>
      </w:r>
      <w:r w:rsidRPr="00EF4B4C">
        <w:rPr>
          <w:rFonts w:ascii="Arial" w:hAnsi="Arial" w:cs="Arial"/>
          <w:spacing w:val="-7"/>
          <w:sz w:val="20"/>
        </w:rPr>
        <w:t xml:space="preserve"> </w:t>
      </w:r>
      <w:r w:rsidRPr="00EF4B4C">
        <w:rPr>
          <w:rFonts w:ascii="Arial" w:hAnsi="Arial" w:cs="Arial"/>
          <w:sz w:val="20"/>
        </w:rPr>
        <w:t>matter</w:t>
      </w:r>
      <w:r w:rsidRPr="00EF4B4C">
        <w:rPr>
          <w:rFonts w:ascii="Arial" w:hAnsi="Arial" w:cs="Arial"/>
          <w:spacing w:val="-10"/>
          <w:sz w:val="20"/>
        </w:rPr>
        <w:t xml:space="preserve"> </w:t>
      </w:r>
      <w:r w:rsidRPr="00EF4B4C">
        <w:rPr>
          <w:rFonts w:ascii="Arial" w:hAnsi="Arial" w:cs="Arial"/>
          <w:sz w:val="20"/>
        </w:rPr>
        <w:t>of</w:t>
      </w:r>
      <w:r w:rsidRPr="00EF4B4C">
        <w:rPr>
          <w:rFonts w:ascii="Arial" w:hAnsi="Arial" w:cs="Arial"/>
          <w:spacing w:val="-7"/>
          <w:sz w:val="20"/>
        </w:rPr>
        <w:t xml:space="preserve"> </w:t>
      </w:r>
      <w:r w:rsidRPr="00EF4B4C">
        <w:rPr>
          <w:rFonts w:ascii="Arial" w:hAnsi="Arial" w:cs="Arial"/>
          <w:sz w:val="20"/>
        </w:rPr>
        <w:t>policy,</w:t>
      </w:r>
      <w:r w:rsidRPr="00EF4B4C">
        <w:rPr>
          <w:rFonts w:ascii="Arial" w:hAnsi="Arial" w:cs="Arial"/>
          <w:spacing w:val="-6"/>
          <w:sz w:val="20"/>
        </w:rPr>
        <w:t xml:space="preserve"> </w:t>
      </w:r>
      <w:r w:rsidRPr="00EF4B4C">
        <w:rPr>
          <w:rFonts w:ascii="Arial" w:hAnsi="Arial" w:cs="Arial"/>
          <w:sz w:val="20"/>
        </w:rPr>
        <w:t>designate</w:t>
      </w:r>
      <w:r w:rsidRPr="00EF4B4C">
        <w:rPr>
          <w:rFonts w:ascii="Arial" w:hAnsi="Arial" w:cs="Arial"/>
          <w:spacing w:val="-7"/>
          <w:sz w:val="20"/>
        </w:rPr>
        <w:t xml:space="preserve"> </w:t>
      </w:r>
      <w:r w:rsidRPr="00EF4B4C">
        <w:rPr>
          <w:rFonts w:ascii="Arial" w:hAnsi="Arial" w:cs="Arial"/>
          <w:sz w:val="20"/>
        </w:rPr>
        <w:t>areas</w:t>
      </w:r>
      <w:r w:rsidRPr="00EF4B4C">
        <w:rPr>
          <w:rFonts w:ascii="Arial" w:hAnsi="Arial" w:cs="Arial"/>
          <w:spacing w:val="-8"/>
          <w:sz w:val="20"/>
        </w:rPr>
        <w:t xml:space="preserve"> </w:t>
      </w:r>
      <w:r w:rsidRPr="00EF4B4C">
        <w:rPr>
          <w:rFonts w:ascii="Arial" w:hAnsi="Arial" w:cs="Arial"/>
          <w:sz w:val="20"/>
        </w:rPr>
        <w:t>as</w:t>
      </w:r>
      <w:r w:rsidRPr="00EF4B4C">
        <w:rPr>
          <w:rFonts w:ascii="Arial" w:hAnsi="Arial" w:cs="Arial"/>
          <w:spacing w:val="-7"/>
          <w:sz w:val="20"/>
        </w:rPr>
        <w:t xml:space="preserve"> </w:t>
      </w:r>
      <w:r w:rsidRPr="00EF4B4C">
        <w:rPr>
          <w:rFonts w:ascii="Arial" w:hAnsi="Arial" w:cs="Arial"/>
          <w:sz w:val="20"/>
        </w:rPr>
        <w:t>being</w:t>
      </w:r>
      <w:r w:rsidRPr="00EF4B4C">
        <w:rPr>
          <w:rFonts w:ascii="Arial" w:hAnsi="Arial" w:cs="Arial"/>
          <w:spacing w:val="-8"/>
          <w:sz w:val="20"/>
        </w:rPr>
        <w:t xml:space="preserve"> </w:t>
      </w:r>
      <w:r w:rsidRPr="00EF4B4C">
        <w:rPr>
          <w:rFonts w:ascii="Arial" w:hAnsi="Arial" w:cs="Arial"/>
          <w:sz w:val="20"/>
        </w:rPr>
        <w:t>especially</w:t>
      </w:r>
      <w:r w:rsidRPr="00EF4B4C">
        <w:rPr>
          <w:rFonts w:ascii="Arial" w:hAnsi="Arial" w:cs="Arial"/>
          <w:spacing w:val="-6"/>
          <w:sz w:val="20"/>
        </w:rPr>
        <w:t xml:space="preserve"> </w:t>
      </w:r>
      <w:r w:rsidRPr="00EF4B4C">
        <w:rPr>
          <w:rFonts w:ascii="Arial" w:hAnsi="Arial" w:cs="Arial"/>
          <w:sz w:val="20"/>
        </w:rPr>
        <w:t>difficult</w:t>
      </w:r>
      <w:r w:rsidRPr="00EF4B4C">
        <w:rPr>
          <w:rFonts w:ascii="Arial" w:hAnsi="Arial" w:cs="Arial"/>
          <w:spacing w:val="-8"/>
          <w:sz w:val="20"/>
        </w:rPr>
        <w:t xml:space="preserve"> </w:t>
      </w:r>
      <w:r w:rsidRPr="00EF4B4C">
        <w:rPr>
          <w:rFonts w:ascii="Arial" w:hAnsi="Arial" w:cs="Arial"/>
          <w:sz w:val="20"/>
        </w:rPr>
        <w:t>for</w:t>
      </w:r>
      <w:r w:rsidRPr="00EF4B4C">
        <w:rPr>
          <w:rFonts w:ascii="Arial" w:hAnsi="Arial" w:cs="Arial"/>
          <w:spacing w:val="-7"/>
          <w:sz w:val="20"/>
        </w:rPr>
        <w:t xml:space="preserve"> </w:t>
      </w:r>
      <w:r w:rsidRPr="00EF4B4C">
        <w:rPr>
          <w:rFonts w:ascii="Arial" w:hAnsi="Arial" w:cs="Arial"/>
          <w:sz w:val="20"/>
        </w:rPr>
        <w:t>search</w:t>
      </w:r>
      <w:r w:rsidRPr="00EF4B4C">
        <w:rPr>
          <w:rFonts w:ascii="Arial" w:hAnsi="Arial" w:cs="Arial"/>
          <w:spacing w:val="-8"/>
          <w:sz w:val="20"/>
        </w:rPr>
        <w:t xml:space="preserve"> </w:t>
      </w:r>
      <w:r w:rsidRPr="00EF4B4C">
        <w:rPr>
          <w:rFonts w:ascii="Arial" w:hAnsi="Arial" w:cs="Arial"/>
          <w:sz w:val="20"/>
        </w:rPr>
        <w:t>and</w:t>
      </w:r>
      <w:r w:rsidRPr="00EF4B4C">
        <w:rPr>
          <w:rFonts w:ascii="Arial" w:hAnsi="Arial" w:cs="Arial"/>
          <w:spacing w:val="-47"/>
          <w:sz w:val="20"/>
        </w:rPr>
        <w:t xml:space="preserve"> </w:t>
      </w:r>
      <w:r w:rsidRPr="00EF4B4C">
        <w:rPr>
          <w:rFonts w:ascii="Arial" w:hAnsi="Arial" w:cs="Arial"/>
          <w:sz w:val="20"/>
        </w:rPr>
        <w:t>rescue.</w:t>
      </w:r>
    </w:p>
    <w:p w14:paraId="737482E6" w14:textId="77777777" w:rsidR="0008605D" w:rsidRPr="0008605D" w:rsidRDefault="0008605D"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320" w:name="BOP.BAS.350_Miscellaneous_equipment"/>
      <w:bookmarkStart w:id="321" w:name="_bookmark135"/>
      <w:bookmarkStart w:id="322" w:name="_Toc153137300"/>
      <w:bookmarkEnd w:id="320"/>
      <w:bookmarkEnd w:id="321"/>
      <w:r>
        <w:rPr>
          <w:rFonts w:ascii="Arial" w:eastAsia="Times New Roman" w:hAnsi="Arial" w:cs="Times New Roman"/>
          <w:b/>
          <w:iCs/>
          <w:color w:val="FFFFFF"/>
          <w:sz w:val="24"/>
        </w:rPr>
        <w:t>BO</w:t>
      </w:r>
      <w:r w:rsidRPr="0008605D">
        <w:rPr>
          <w:rFonts w:ascii="Arial" w:eastAsia="Times New Roman" w:hAnsi="Arial" w:cs="Times New Roman"/>
          <w:b/>
          <w:iCs/>
          <w:color w:val="FFFFFF"/>
          <w:sz w:val="24"/>
        </w:rPr>
        <w:t>P.BAS.350 Miscellaneous equipment</w:t>
      </w:r>
      <w:bookmarkEnd w:id="322"/>
    </w:p>
    <w:p w14:paraId="267C6C8A" w14:textId="4BAC3F99" w:rsidR="005366B2" w:rsidRDefault="0008605D" w:rsidP="008C14FE">
      <w:pPr>
        <w:pStyle w:val="ListParagraph"/>
        <w:numPr>
          <w:ilvl w:val="0"/>
          <w:numId w:val="78"/>
        </w:numPr>
        <w:tabs>
          <w:tab w:val="left" w:pos="706"/>
          <w:tab w:val="left" w:pos="707"/>
        </w:tabs>
        <w:spacing w:line="276" w:lineRule="auto"/>
        <w:jc w:val="both"/>
        <w:rPr>
          <w:rFonts w:ascii="Arial" w:hAnsi="Arial" w:cs="Arial"/>
          <w:sz w:val="20"/>
          <w:szCs w:val="20"/>
        </w:rPr>
      </w:pPr>
      <w:r w:rsidRPr="0008605D">
        <w:rPr>
          <w:rFonts w:ascii="Arial" w:hAnsi="Arial" w:cs="Arial"/>
          <w:sz w:val="20"/>
          <w:szCs w:val="20"/>
        </w:rPr>
        <w:t>Balloons shall be equipped with protective gloves for each crew member.</w:t>
      </w:r>
    </w:p>
    <w:p w14:paraId="2A10A94C" w14:textId="77777777" w:rsidR="00F0624C" w:rsidRPr="00F0624C" w:rsidRDefault="00F0624C" w:rsidP="00F0624C">
      <w:pPr>
        <w:tabs>
          <w:tab w:val="left" w:pos="706"/>
          <w:tab w:val="left" w:pos="707"/>
        </w:tabs>
        <w:spacing w:line="276" w:lineRule="auto"/>
        <w:ind w:left="139"/>
        <w:jc w:val="both"/>
        <w:rPr>
          <w:rFonts w:ascii="Arial" w:hAnsi="Arial" w:cs="Arial"/>
          <w:sz w:val="20"/>
          <w:szCs w:val="20"/>
        </w:rPr>
      </w:pPr>
    </w:p>
    <w:p w14:paraId="2F60D2FB" w14:textId="77777777" w:rsidR="0008605D" w:rsidRPr="0008605D" w:rsidRDefault="0008605D" w:rsidP="009601C2">
      <w:pPr>
        <w:pStyle w:val="ListParagraph"/>
        <w:numPr>
          <w:ilvl w:val="0"/>
          <w:numId w:val="78"/>
        </w:numPr>
        <w:tabs>
          <w:tab w:val="left" w:pos="706"/>
          <w:tab w:val="left" w:pos="707"/>
        </w:tabs>
        <w:spacing w:line="276" w:lineRule="auto"/>
        <w:jc w:val="both"/>
        <w:rPr>
          <w:rFonts w:ascii="Arial" w:hAnsi="Arial" w:cs="Arial"/>
          <w:sz w:val="20"/>
          <w:szCs w:val="20"/>
        </w:rPr>
      </w:pPr>
      <w:r w:rsidRPr="0008605D">
        <w:rPr>
          <w:rFonts w:ascii="Arial" w:hAnsi="Arial" w:cs="Arial"/>
          <w:sz w:val="20"/>
          <w:szCs w:val="20"/>
        </w:rPr>
        <w:lastRenderedPageBreak/>
        <w:t>Mixed balloons, hot-air balloons and hot-air airships shall be equipped with all of the following:</w:t>
      </w:r>
    </w:p>
    <w:p w14:paraId="308AB75C" w14:textId="77777777" w:rsidR="0008605D" w:rsidRPr="0008605D" w:rsidRDefault="0008605D" w:rsidP="009601C2">
      <w:pPr>
        <w:pStyle w:val="ListParagraph"/>
        <w:numPr>
          <w:ilvl w:val="1"/>
          <w:numId w:val="77"/>
        </w:numPr>
        <w:tabs>
          <w:tab w:val="left" w:pos="1273"/>
          <w:tab w:val="left" w:pos="1274"/>
        </w:tabs>
        <w:spacing w:line="276" w:lineRule="auto"/>
        <w:ind w:hanging="568"/>
        <w:jc w:val="both"/>
        <w:rPr>
          <w:rFonts w:ascii="Arial" w:hAnsi="Arial" w:cs="Arial"/>
          <w:sz w:val="20"/>
          <w:szCs w:val="20"/>
        </w:rPr>
      </w:pPr>
      <w:r w:rsidRPr="0008605D">
        <w:rPr>
          <w:rFonts w:ascii="Arial" w:hAnsi="Arial" w:cs="Arial"/>
          <w:sz w:val="20"/>
          <w:szCs w:val="20"/>
        </w:rPr>
        <w:t>an</w:t>
      </w:r>
      <w:r w:rsidRPr="0008605D">
        <w:rPr>
          <w:rFonts w:ascii="Arial" w:hAnsi="Arial" w:cs="Arial"/>
          <w:spacing w:val="-2"/>
          <w:sz w:val="20"/>
          <w:szCs w:val="20"/>
        </w:rPr>
        <w:t xml:space="preserve"> </w:t>
      </w:r>
      <w:r w:rsidRPr="0008605D">
        <w:rPr>
          <w:rFonts w:ascii="Arial" w:hAnsi="Arial" w:cs="Arial"/>
          <w:sz w:val="20"/>
          <w:szCs w:val="20"/>
        </w:rPr>
        <w:t>alternative and</w:t>
      </w:r>
      <w:r w:rsidRPr="0008605D">
        <w:rPr>
          <w:rFonts w:ascii="Arial" w:hAnsi="Arial" w:cs="Arial"/>
          <w:spacing w:val="-2"/>
          <w:sz w:val="20"/>
          <w:szCs w:val="20"/>
        </w:rPr>
        <w:t xml:space="preserve"> </w:t>
      </w:r>
      <w:r w:rsidRPr="0008605D">
        <w:rPr>
          <w:rFonts w:ascii="Arial" w:hAnsi="Arial" w:cs="Arial"/>
          <w:sz w:val="20"/>
          <w:szCs w:val="20"/>
        </w:rPr>
        <w:t>independent</w:t>
      </w:r>
      <w:r w:rsidRPr="0008605D">
        <w:rPr>
          <w:rFonts w:ascii="Arial" w:hAnsi="Arial" w:cs="Arial"/>
          <w:spacing w:val="-1"/>
          <w:sz w:val="20"/>
          <w:szCs w:val="20"/>
        </w:rPr>
        <w:t xml:space="preserve"> </w:t>
      </w:r>
      <w:r w:rsidRPr="0008605D">
        <w:rPr>
          <w:rFonts w:ascii="Arial" w:hAnsi="Arial" w:cs="Arial"/>
          <w:sz w:val="20"/>
          <w:szCs w:val="20"/>
        </w:rPr>
        <w:t>source</w:t>
      </w:r>
      <w:r w:rsidRPr="0008605D">
        <w:rPr>
          <w:rFonts w:ascii="Arial" w:hAnsi="Arial" w:cs="Arial"/>
          <w:spacing w:val="-2"/>
          <w:sz w:val="20"/>
          <w:szCs w:val="20"/>
        </w:rPr>
        <w:t xml:space="preserve"> </w:t>
      </w:r>
      <w:r w:rsidRPr="0008605D">
        <w:rPr>
          <w:rFonts w:ascii="Arial" w:hAnsi="Arial" w:cs="Arial"/>
          <w:sz w:val="20"/>
          <w:szCs w:val="20"/>
        </w:rPr>
        <w:t>of</w:t>
      </w:r>
      <w:r w:rsidRPr="0008605D">
        <w:rPr>
          <w:rFonts w:ascii="Arial" w:hAnsi="Arial" w:cs="Arial"/>
          <w:spacing w:val="-1"/>
          <w:sz w:val="20"/>
          <w:szCs w:val="20"/>
        </w:rPr>
        <w:t xml:space="preserve"> </w:t>
      </w:r>
      <w:r w:rsidRPr="0008605D">
        <w:rPr>
          <w:rFonts w:ascii="Arial" w:hAnsi="Arial" w:cs="Arial"/>
          <w:sz w:val="20"/>
          <w:szCs w:val="20"/>
        </w:rPr>
        <w:t>ignition;</w:t>
      </w:r>
    </w:p>
    <w:p w14:paraId="54A90589" w14:textId="77777777" w:rsidR="0008605D" w:rsidRPr="0008605D" w:rsidRDefault="0008605D" w:rsidP="009601C2">
      <w:pPr>
        <w:pStyle w:val="ListParagraph"/>
        <w:numPr>
          <w:ilvl w:val="1"/>
          <w:numId w:val="77"/>
        </w:numPr>
        <w:tabs>
          <w:tab w:val="left" w:pos="1273"/>
          <w:tab w:val="left" w:pos="1274"/>
        </w:tabs>
        <w:spacing w:before="121" w:line="276" w:lineRule="auto"/>
        <w:ind w:hanging="568"/>
        <w:jc w:val="both"/>
        <w:rPr>
          <w:rFonts w:ascii="Arial" w:hAnsi="Arial" w:cs="Arial"/>
          <w:sz w:val="20"/>
          <w:szCs w:val="20"/>
        </w:rPr>
      </w:pPr>
      <w:r w:rsidRPr="0008605D">
        <w:rPr>
          <w:rFonts w:ascii="Arial" w:hAnsi="Arial" w:cs="Arial"/>
          <w:sz w:val="20"/>
          <w:szCs w:val="20"/>
        </w:rPr>
        <w:t>a</w:t>
      </w:r>
      <w:r w:rsidRPr="0008605D">
        <w:rPr>
          <w:rFonts w:ascii="Arial" w:hAnsi="Arial" w:cs="Arial"/>
          <w:spacing w:val="-1"/>
          <w:sz w:val="20"/>
          <w:szCs w:val="20"/>
        </w:rPr>
        <w:t xml:space="preserve"> </w:t>
      </w:r>
      <w:r w:rsidRPr="0008605D">
        <w:rPr>
          <w:rFonts w:ascii="Arial" w:hAnsi="Arial" w:cs="Arial"/>
          <w:sz w:val="20"/>
          <w:szCs w:val="20"/>
        </w:rPr>
        <w:t>means</w:t>
      </w:r>
      <w:r w:rsidRPr="0008605D">
        <w:rPr>
          <w:rFonts w:ascii="Arial" w:hAnsi="Arial" w:cs="Arial"/>
          <w:spacing w:val="-2"/>
          <w:sz w:val="20"/>
          <w:szCs w:val="20"/>
        </w:rPr>
        <w:t xml:space="preserve"> </w:t>
      </w:r>
      <w:r w:rsidRPr="0008605D">
        <w:rPr>
          <w:rFonts w:ascii="Arial" w:hAnsi="Arial" w:cs="Arial"/>
          <w:sz w:val="20"/>
          <w:szCs w:val="20"/>
        </w:rPr>
        <w:t>of</w:t>
      </w:r>
      <w:r w:rsidRPr="0008605D">
        <w:rPr>
          <w:rFonts w:ascii="Arial" w:hAnsi="Arial" w:cs="Arial"/>
          <w:spacing w:val="-2"/>
          <w:sz w:val="20"/>
          <w:szCs w:val="20"/>
        </w:rPr>
        <w:t xml:space="preserve"> </w:t>
      </w:r>
      <w:r w:rsidRPr="0008605D">
        <w:rPr>
          <w:rFonts w:ascii="Arial" w:hAnsi="Arial" w:cs="Arial"/>
          <w:sz w:val="20"/>
          <w:szCs w:val="20"/>
        </w:rPr>
        <w:t>measuring</w:t>
      </w:r>
      <w:r w:rsidRPr="0008605D">
        <w:rPr>
          <w:rFonts w:ascii="Arial" w:hAnsi="Arial" w:cs="Arial"/>
          <w:spacing w:val="-1"/>
          <w:sz w:val="20"/>
          <w:szCs w:val="20"/>
        </w:rPr>
        <w:t xml:space="preserve"> </w:t>
      </w:r>
      <w:r w:rsidRPr="0008605D">
        <w:rPr>
          <w:rFonts w:ascii="Arial" w:hAnsi="Arial" w:cs="Arial"/>
          <w:sz w:val="20"/>
          <w:szCs w:val="20"/>
        </w:rPr>
        <w:t>and</w:t>
      </w:r>
      <w:r w:rsidRPr="0008605D">
        <w:rPr>
          <w:rFonts w:ascii="Arial" w:hAnsi="Arial" w:cs="Arial"/>
          <w:spacing w:val="-2"/>
          <w:sz w:val="20"/>
          <w:szCs w:val="20"/>
        </w:rPr>
        <w:t xml:space="preserve"> </w:t>
      </w:r>
      <w:r w:rsidRPr="0008605D">
        <w:rPr>
          <w:rFonts w:ascii="Arial" w:hAnsi="Arial" w:cs="Arial"/>
          <w:sz w:val="20"/>
          <w:szCs w:val="20"/>
        </w:rPr>
        <w:t>indicating</w:t>
      </w:r>
      <w:r w:rsidRPr="0008605D">
        <w:rPr>
          <w:rFonts w:ascii="Arial" w:hAnsi="Arial" w:cs="Arial"/>
          <w:spacing w:val="-1"/>
          <w:sz w:val="20"/>
          <w:szCs w:val="20"/>
        </w:rPr>
        <w:t xml:space="preserve"> </w:t>
      </w:r>
      <w:r w:rsidRPr="0008605D">
        <w:rPr>
          <w:rFonts w:ascii="Arial" w:hAnsi="Arial" w:cs="Arial"/>
          <w:sz w:val="20"/>
          <w:szCs w:val="20"/>
        </w:rPr>
        <w:t>fuel quantity;</w:t>
      </w:r>
    </w:p>
    <w:p w14:paraId="73462CB0" w14:textId="77777777" w:rsidR="0008605D" w:rsidRPr="0008605D" w:rsidRDefault="0008605D" w:rsidP="009601C2">
      <w:pPr>
        <w:pStyle w:val="ListParagraph"/>
        <w:numPr>
          <w:ilvl w:val="1"/>
          <w:numId w:val="77"/>
        </w:numPr>
        <w:tabs>
          <w:tab w:val="left" w:pos="1273"/>
          <w:tab w:val="left" w:pos="1274"/>
        </w:tabs>
        <w:spacing w:line="276" w:lineRule="auto"/>
        <w:ind w:hanging="568"/>
        <w:jc w:val="both"/>
        <w:rPr>
          <w:rFonts w:ascii="Arial" w:hAnsi="Arial" w:cs="Arial"/>
          <w:sz w:val="20"/>
          <w:szCs w:val="20"/>
        </w:rPr>
      </w:pPr>
      <w:r w:rsidRPr="0008605D">
        <w:rPr>
          <w:rFonts w:ascii="Arial" w:hAnsi="Arial" w:cs="Arial"/>
          <w:sz w:val="20"/>
          <w:szCs w:val="20"/>
        </w:rPr>
        <w:t>a</w:t>
      </w:r>
      <w:r w:rsidRPr="0008605D">
        <w:rPr>
          <w:rFonts w:ascii="Arial" w:hAnsi="Arial" w:cs="Arial"/>
          <w:spacing w:val="-3"/>
          <w:sz w:val="20"/>
          <w:szCs w:val="20"/>
        </w:rPr>
        <w:t xml:space="preserve"> </w:t>
      </w:r>
      <w:r w:rsidRPr="0008605D">
        <w:rPr>
          <w:rFonts w:ascii="Arial" w:hAnsi="Arial" w:cs="Arial"/>
          <w:sz w:val="20"/>
          <w:szCs w:val="20"/>
        </w:rPr>
        <w:t>fire</w:t>
      </w:r>
      <w:r w:rsidRPr="0008605D">
        <w:rPr>
          <w:rFonts w:ascii="Arial" w:hAnsi="Arial" w:cs="Arial"/>
          <w:spacing w:val="-2"/>
          <w:sz w:val="20"/>
          <w:szCs w:val="20"/>
        </w:rPr>
        <w:t xml:space="preserve"> </w:t>
      </w:r>
      <w:r w:rsidRPr="0008605D">
        <w:rPr>
          <w:rFonts w:ascii="Arial" w:hAnsi="Arial" w:cs="Arial"/>
          <w:sz w:val="20"/>
          <w:szCs w:val="20"/>
        </w:rPr>
        <w:t>blanket</w:t>
      </w:r>
      <w:r w:rsidRPr="0008605D">
        <w:rPr>
          <w:rFonts w:ascii="Arial" w:hAnsi="Arial" w:cs="Arial"/>
          <w:spacing w:val="-4"/>
          <w:sz w:val="20"/>
          <w:szCs w:val="20"/>
        </w:rPr>
        <w:t xml:space="preserve"> </w:t>
      </w:r>
      <w:r w:rsidRPr="0008605D">
        <w:rPr>
          <w:rFonts w:ascii="Arial" w:hAnsi="Arial" w:cs="Arial"/>
          <w:sz w:val="20"/>
          <w:szCs w:val="20"/>
        </w:rPr>
        <w:t>or</w:t>
      </w:r>
      <w:r w:rsidRPr="0008605D">
        <w:rPr>
          <w:rFonts w:ascii="Arial" w:hAnsi="Arial" w:cs="Arial"/>
          <w:spacing w:val="-2"/>
          <w:sz w:val="20"/>
          <w:szCs w:val="20"/>
        </w:rPr>
        <w:t xml:space="preserve"> </w:t>
      </w:r>
      <w:r w:rsidRPr="0008605D">
        <w:rPr>
          <w:rFonts w:ascii="Arial" w:hAnsi="Arial" w:cs="Arial"/>
          <w:sz w:val="20"/>
          <w:szCs w:val="20"/>
        </w:rPr>
        <w:t>fire-resistant</w:t>
      </w:r>
      <w:r w:rsidRPr="0008605D">
        <w:rPr>
          <w:rFonts w:ascii="Arial" w:hAnsi="Arial" w:cs="Arial"/>
          <w:spacing w:val="-2"/>
          <w:sz w:val="20"/>
          <w:szCs w:val="20"/>
        </w:rPr>
        <w:t xml:space="preserve"> </w:t>
      </w:r>
      <w:r w:rsidRPr="0008605D">
        <w:rPr>
          <w:rFonts w:ascii="Arial" w:hAnsi="Arial" w:cs="Arial"/>
          <w:sz w:val="20"/>
          <w:szCs w:val="20"/>
        </w:rPr>
        <w:t>cover;</w:t>
      </w:r>
    </w:p>
    <w:p w14:paraId="662D468F" w14:textId="77777777" w:rsidR="0008605D" w:rsidRPr="0008605D" w:rsidRDefault="0008605D" w:rsidP="009601C2">
      <w:pPr>
        <w:pStyle w:val="ListParagraph"/>
        <w:numPr>
          <w:ilvl w:val="1"/>
          <w:numId w:val="77"/>
        </w:numPr>
        <w:tabs>
          <w:tab w:val="left" w:pos="1273"/>
          <w:tab w:val="left" w:pos="1274"/>
        </w:tabs>
        <w:spacing w:line="276" w:lineRule="auto"/>
        <w:ind w:hanging="568"/>
        <w:jc w:val="both"/>
        <w:rPr>
          <w:rFonts w:ascii="Arial" w:hAnsi="Arial" w:cs="Arial"/>
          <w:sz w:val="20"/>
          <w:szCs w:val="20"/>
        </w:rPr>
      </w:pPr>
      <w:r w:rsidRPr="0008605D">
        <w:rPr>
          <w:rFonts w:ascii="Arial" w:hAnsi="Arial" w:cs="Arial"/>
          <w:sz w:val="20"/>
          <w:szCs w:val="20"/>
        </w:rPr>
        <w:t>a</w:t>
      </w:r>
      <w:r w:rsidRPr="0008605D">
        <w:rPr>
          <w:rFonts w:ascii="Arial" w:hAnsi="Arial" w:cs="Arial"/>
          <w:spacing w:val="-1"/>
          <w:sz w:val="20"/>
          <w:szCs w:val="20"/>
        </w:rPr>
        <w:t xml:space="preserve"> </w:t>
      </w:r>
      <w:r w:rsidRPr="0008605D">
        <w:rPr>
          <w:rFonts w:ascii="Arial" w:hAnsi="Arial" w:cs="Arial"/>
          <w:sz w:val="20"/>
          <w:szCs w:val="20"/>
        </w:rPr>
        <w:t>drop line</w:t>
      </w:r>
      <w:r w:rsidRPr="0008605D">
        <w:rPr>
          <w:rFonts w:ascii="Arial" w:hAnsi="Arial" w:cs="Arial"/>
          <w:spacing w:val="-2"/>
          <w:sz w:val="20"/>
          <w:szCs w:val="20"/>
        </w:rPr>
        <w:t xml:space="preserve"> </w:t>
      </w:r>
      <w:r w:rsidRPr="0008605D">
        <w:rPr>
          <w:rFonts w:ascii="Arial" w:hAnsi="Arial" w:cs="Arial"/>
          <w:sz w:val="20"/>
          <w:szCs w:val="20"/>
        </w:rPr>
        <w:t>of at least</w:t>
      </w:r>
      <w:r w:rsidRPr="0008605D">
        <w:rPr>
          <w:rFonts w:ascii="Arial" w:hAnsi="Arial" w:cs="Arial"/>
          <w:spacing w:val="-2"/>
          <w:sz w:val="20"/>
          <w:szCs w:val="20"/>
        </w:rPr>
        <w:t xml:space="preserve"> </w:t>
      </w:r>
      <w:r w:rsidRPr="0008605D">
        <w:rPr>
          <w:rFonts w:ascii="Arial" w:hAnsi="Arial" w:cs="Arial"/>
          <w:sz w:val="20"/>
          <w:szCs w:val="20"/>
        </w:rPr>
        <w:t>25</w:t>
      </w:r>
      <w:r w:rsidRPr="0008605D">
        <w:rPr>
          <w:rFonts w:ascii="Arial" w:hAnsi="Arial" w:cs="Arial"/>
          <w:spacing w:val="-2"/>
          <w:sz w:val="20"/>
          <w:szCs w:val="20"/>
        </w:rPr>
        <w:t xml:space="preserve"> </w:t>
      </w:r>
      <w:r w:rsidRPr="0008605D">
        <w:rPr>
          <w:rFonts w:ascii="Arial" w:hAnsi="Arial" w:cs="Arial"/>
          <w:sz w:val="20"/>
          <w:szCs w:val="20"/>
        </w:rPr>
        <w:t>m</w:t>
      </w:r>
      <w:r w:rsidRPr="0008605D">
        <w:rPr>
          <w:rFonts w:ascii="Arial" w:hAnsi="Arial" w:cs="Arial"/>
          <w:spacing w:val="-3"/>
          <w:sz w:val="20"/>
          <w:szCs w:val="20"/>
        </w:rPr>
        <w:t xml:space="preserve"> </w:t>
      </w:r>
      <w:r w:rsidRPr="0008605D">
        <w:rPr>
          <w:rFonts w:ascii="Arial" w:hAnsi="Arial" w:cs="Arial"/>
          <w:sz w:val="20"/>
          <w:szCs w:val="20"/>
        </w:rPr>
        <w:t>in</w:t>
      </w:r>
      <w:r w:rsidRPr="0008605D">
        <w:rPr>
          <w:rFonts w:ascii="Arial" w:hAnsi="Arial" w:cs="Arial"/>
          <w:spacing w:val="-1"/>
          <w:sz w:val="20"/>
          <w:szCs w:val="20"/>
        </w:rPr>
        <w:t xml:space="preserve"> </w:t>
      </w:r>
      <w:r w:rsidRPr="0008605D">
        <w:rPr>
          <w:rFonts w:ascii="Arial" w:hAnsi="Arial" w:cs="Arial"/>
          <w:sz w:val="20"/>
          <w:szCs w:val="20"/>
        </w:rPr>
        <w:t>length.</w:t>
      </w:r>
    </w:p>
    <w:p w14:paraId="71F8C811" w14:textId="77777777" w:rsidR="0008605D" w:rsidRPr="0008605D" w:rsidRDefault="0008605D" w:rsidP="009601C2">
      <w:pPr>
        <w:pStyle w:val="ListParagraph"/>
        <w:numPr>
          <w:ilvl w:val="0"/>
          <w:numId w:val="78"/>
        </w:numPr>
        <w:tabs>
          <w:tab w:val="left" w:pos="706"/>
          <w:tab w:val="left" w:pos="707"/>
        </w:tabs>
        <w:spacing w:line="276" w:lineRule="auto"/>
        <w:jc w:val="both"/>
        <w:rPr>
          <w:rFonts w:ascii="Arial" w:hAnsi="Arial" w:cs="Arial"/>
          <w:sz w:val="20"/>
          <w:szCs w:val="20"/>
        </w:rPr>
      </w:pPr>
      <w:r w:rsidRPr="0008605D">
        <w:rPr>
          <w:rFonts w:ascii="Arial" w:hAnsi="Arial" w:cs="Arial"/>
          <w:sz w:val="20"/>
          <w:szCs w:val="20"/>
        </w:rPr>
        <w:t>Gas</w:t>
      </w:r>
      <w:r w:rsidRPr="0008605D">
        <w:rPr>
          <w:rFonts w:ascii="Arial" w:hAnsi="Arial" w:cs="Arial"/>
          <w:spacing w:val="-2"/>
          <w:sz w:val="20"/>
          <w:szCs w:val="20"/>
        </w:rPr>
        <w:t xml:space="preserve"> </w:t>
      </w:r>
      <w:r w:rsidRPr="0008605D">
        <w:rPr>
          <w:rFonts w:ascii="Arial" w:hAnsi="Arial" w:cs="Arial"/>
          <w:sz w:val="20"/>
          <w:szCs w:val="20"/>
        </w:rPr>
        <w:t>balloons</w:t>
      </w:r>
      <w:r w:rsidRPr="0008605D">
        <w:rPr>
          <w:rFonts w:ascii="Arial" w:hAnsi="Arial" w:cs="Arial"/>
          <w:spacing w:val="-2"/>
          <w:sz w:val="20"/>
          <w:szCs w:val="20"/>
        </w:rPr>
        <w:t xml:space="preserve"> </w:t>
      </w:r>
      <w:r w:rsidRPr="0008605D">
        <w:rPr>
          <w:rFonts w:ascii="Arial" w:hAnsi="Arial" w:cs="Arial"/>
          <w:sz w:val="20"/>
          <w:szCs w:val="20"/>
        </w:rPr>
        <w:t>shall</w:t>
      </w:r>
      <w:r w:rsidRPr="0008605D">
        <w:rPr>
          <w:rFonts w:ascii="Arial" w:hAnsi="Arial" w:cs="Arial"/>
          <w:spacing w:val="-2"/>
          <w:sz w:val="20"/>
          <w:szCs w:val="20"/>
        </w:rPr>
        <w:t xml:space="preserve"> </w:t>
      </w:r>
      <w:r w:rsidRPr="0008605D">
        <w:rPr>
          <w:rFonts w:ascii="Arial" w:hAnsi="Arial" w:cs="Arial"/>
          <w:sz w:val="20"/>
          <w:szCs w:val="20"/>
        </w:rPr>
        <w:t>be</w:t>
      </w:r>
      <w:r w:rsidRPr="0008605D">
        <w:rPr>
          <w:rFonts w:ascii="Arial" w:hAnsi="Arial" w:cs="Arial"/>
          <w:spacing w:val="-1"/>
          <w:sz w:val="20"/>
          <w:szCs w:val="20"/>
        </w:rPr>
        <w:t xml:space="preserve"> </w:t>
      </w:r>
      <w:r w:rsidRPr="0008605D">
        <w:rPr>
          <w:rFonts w:ascii="Arial" w:hAnsi="Arial" w:cs="Arial"/>
          <w:sz w:val="20"/>
          <w:szCs w:val="20"/>
        </w:rPr>
        <w:t>equipped</w:t>
      </w:r>
      <w:r w:rsidRPr="0008605D">
        <w:rPr>
          <w:rFonts w:ascii="Arial" w:hAnsi="Arial" w:cs="Arial"/>
          <w:spacing w:val="-1"/>
          <w:sz w:val="20"/>
          <w:szCs w:val="20"/>
        </w:rPr>
        <w:t xml:space="preserve"> </w:t>
      </w:r>
      <w:r w:rsidRPr="0008605D">
        <w:rPr>
          <w:rFonts w:ascii="Arial" w:hAnsi="Arial" w:cs="Arial"/>
          <w:sz w:val="20"/>
          <w:szCs w:val="20"/>
        </w:rPr>
        <w:t>with</w:t>
      </w:r>
      <w:r w:rsidRPr="0008605D">
        <w:rPr>
          <w:rFonts w:ascii="Arial" w:hAnsi="Arial" w:cs="Arial"/>
          <w:spacing w:val="-3"/>
          <w:sz w:val="20"/>
          <w:szCs w:val="20"/>
        </w:rPr>
        <w:t xml:space="preserve"> </w:t>
      </w:r>
      <w:r w:rsidRPr="0008605D">
        <w:rPr>
          <w:rFonts w:ascii="Arial" w:hAnsi="Arial" w:cs="Arial"/>
          <w:sz w:val="20"/>
          <w:szCs w:val="20"/>
        </w:rPr>
        <w:t>both</w:t>
      </w:r>
      <w:r w:rsidRPr="0008605D">
        <w:rPr>
          <w:rFonts w:ascii="Arial" w:hAnsi="Arial" w:cs="Arial"/>
          <w:spacing w:val="-4"/>
          <w:sz w:val="20"/>
          <w:szCs w:val="20"/>
        </w:rPr>
        <w:t xml:space="preserve"> </w:t>
      </w:r>
      <w:r w:rsidRPr="0008605D">
        <w:rPr>
          <w:rFonts w:ascii="Arial" w:hAnsi="Arial" w:cs="Arial"/>
          <w:sz w:val="20"/>
          <w:szCs w:val="20"/>
        </w:rPr>
        <w:t>of</w:t>
      </w:r>
      <w:r w:rsidRPr="0008605D">
        <w:rPr>
          <w:rFonts w:ascii="Arial" w:hAnsi="Arial" w:cs="Arial"/>
          <w:spacing w:val="-1"/>
          <w:sz w:val="20"/>
          <w:szCs w:val="20"/>
        </w:rPr>
        <w:t xml:space="preserve"> </w:t>
      </w:r>
      <w:r w:rsidRPr="0008605D">
        <w:rPr>
          <w:rFonts w:ascii="Arial" w:hAnsi="Arial" w:cs="Arial"/>
          <w:sz w:val="20"/>
          <w:szCs w:val="20"/>
        </w:rPr>
        <w:t>the</w:t>
      </w:r>
      <w:r w:rsidRPr="0008605D">
        <w:rPr>
          <w:rFonts w:ascii="Arial" w:hAnsi="Arial" w:cs="Arial"/>
          <w:spacing w:val="-1"/>
          <w:sz w:val="20"/>
          <w:szCs w:val="20"/>
        </w:rPr>
        <w:t xml:space="preserve"> </w:t>
      </w:r>
      <w:r w:rsidRPr="0008605D">
        <w:rPr>
          <w:rFonts w:ascii="Arial" w:hAnsi="Arial" w:cs="Arial"/>
          <w:sz w:val="20"/>
          <w:szCs w:val="20"/>
        </w:rPr>
        <w:t>following:</w:t>
      </w:r>
    </w:p>
    <w:p w14:paraId="7020387F" w14:textId="77777777" w:rsidR="0008605D" w:rsidRPr="0008605D" w:rsidRDefault="0008605D" w:rsidP="009601C2">
      <w:pPr>
        <w:pStyle w:val="ListParagraph"/>
        <w:numPr>
          <w:ilvl w:val="0"/>
          <w:numId w:val="79"/>
        </w:numPr>
        <w:tabs>
          <w:tab w:val="left" w:pos="1273"/>
          <w:tab w:val="left" w:pos="1274"/>
        </w:tabs>
        <w:spacing w:before="121" w:line="276" w:lineRule="auto"/>
        <w:jc w:val="both"/>
        <w:rPr>
          <w:rFonts w:ascii="Arial" w:hAnsi="Arial" w:cs="Arial"/>
          <w:sz w:val="20"/>
          <w:szCs w:val="20"/>
        </w:rPr>
      </w:pPr>
      <w:r w:rsidRPr="0008605D">
        <w:rPr>
          <w:rFonts w:ascii="Arial" w:hAnsi="Arial" w:cs="Arial"/>
          <w:sz w:val="20"/>
          <w:szCs w:val="20"/>
        </w:rPr>
        <w:t>a knife;</w:t>
      </w:r>
    </w:p>
    <w:p w14:paraId="1F2457F3" w14:textId="77777777" w:rsidR="0008605D" w:rsidRPr="0008605D" w:rsidRDefault="0008605D" w:rsidP="009601C2">
      <w:pPr>
        <w:pStyle w:val="ListParagraph"/>
        <w:numPr>
          <w:ilvl w:val="0"/>
          <w:numId w:val="79"/>
        </w:numPr>
        <w:tabs>
          <w:tab w:val="left" w:pos="1273"/>
          <w:tab w:val="left" w:pos="1274"/>
        </w:tabs>
        <w:spacing w:before="122" w:line="276" w:lineRule="auto"/>
        <w:ind w:right="200"/>
        <w:jc w:val="both"/>
        <w:rPr>
          <w:rFonts w:ascii="Arial" w:hAnsi="Arial" w:cs="Arial"/>
          <w:sz w:val="20"/>
          <w:szCs w:val="20"/>
        </w:rPr>
      </w:pPr>
      <w:r w:rsidRPr="0008605D">
        <w:rPr>
          <w:rFonts w:ascii="Arial" w:hAnsi="Arial" w:cs="Arial"/>
          <w:sz w:val="20"/>
          <w:szCs w:val="20"/>
        </w:rPr>
        <w:t>a</w:t>
      </w:r>
      <w:r w:rsidRPr="0008605D">
        <w:rPr>
          <w:rFonts w:ascii="Arial" w:hAnsi="Arial" w:cs="Arial"/>
          <w:spacing w:val="11"/>
          <w:sz w:val="20"/>
          <w:szCs w:val="20"/>
        </w:rPr>
        <w:t xml:space="preserve"> </w:t>
      </w:r>
      <w:r w:rsidRPr="0008605D">
        <w:rPr>
          <w:rFonts w:ascii="Arial" w:hAnsi="Arial" w:cs="Arial"/>
          <w:sz w:val="20"/>
          <w:szCs w:val="20"/>
        </w:rPr>
        <w:t>trail</w:t>
      </w:r>
      <w:r w:rsidRPr="0008605D">
        <w:rPr>
          <w:rFonts w:ascii="Arial" w:hAnsi="Arial" w:cs="Arial"/>
          <w:spacing w:val="11"/>
          <w:sz w:val="20"/>
          <w:szCs w:val="20"/>
        </w:rPr>
        <w:t xml:space="preserve"> </w:t>
      </w:r>
      <w:r w:rsidRPr="0008605D">
        <w:rPr>
          <w:rFonts w:ascii="Arial" w:hAnsi="Arial" w:cs="Arial"/>
          <w:sz w:val="20"/>
          <w:szCs w:val="20"/>
        </w:rPr>
        <w:t>rope</w:t>
      </w:r>
      <w:r w:rsidRPr="0008605D">
        <w:rPr>
          <w:rFonts w:ascii="Arial" w:hAnsi="Arial" w:cs="Arial"/>
          <w:spacing w:val="9"/>
          <w:sz w:val="20"/>
          <w:szCs w:val="20"/>
        </w:rPr>
        <w:t xml:space="preserve"> </w:t>
      </w:r>
      <w:r w:rsidRPr="0008605D">
        <w:rPr>
          <w:rFonts w:ascii="Arial" w:hAnsi="Arial" w:cs="Arial"/>
          <w:sz w:val="20"/>
          <w:szCs w:val="20"/>
        </w:rPr>
        <w:t>of</w:t>
      </w:r>
      <w:r w:rsidRPr="0008605D">
        <w:rPr>
          <w:rFonts w:ascii="Arial" w:hAnsi="Arial" w:cs="Arial"/>
          <w:spacing w:val="12"/>
          <w:sz w:val="20"/>
          <w:szCs w:val="20"/>
        </w:rPr>
        <w:t xml:space="preserve"> </w:t>
      </w:r>
      <w:r w:rsidRPr="0008605D">
        <w:rPr>
          <w:rFonts w:ascii="Arial" w:hAnsi="Arial" w:cs="Arial"/>
          <w:sz w:val="20"/>
          <w:szCs w:val="20"/>
        </w:rPr>
        <w:t>at</w:t>
      </w:r>
      <w:r w:rsidRPr="0008605D">
        <w:rPr>
          <w:rFonts w:ascii="Arial" w:hAnsi="Arial" w:cs="Arial"/>
          <w:spacing w:val="11"/>
          <w:sz w:val="20"/>
          <w:szCs w:val="20"/>
        </w:rPr>
        <w:t xml:space="preserve"> </w:t>
      </w:r>
      <w:r w:rsidRPr="0008605D">
        <w:rPr>
          <w:rFonts w:ascii="Arial" w:hAnsi="Arial" w:cs="Arial"/>
          <w:sz w:val="20"/>
          <w:szCs w:val="20"/>
        </w:rPr>
        <w:t>least</w:t>
      </w:r>
      <w:r w:rsidRPr="0008605D">
        <w:rPr>
          <w:rFonts w:ascii="Arial" w:hAnsi="Arial" w:cs="Arial"/>
          <w:spacing w:val="10"/>
          <w:sz w:val="20"/>
          <w:szCs w:val="20"/>
        </w:rPr>
        <w:t xml:space="preserve"> </w:t>
      </w:r>
      <w:r w:rsidRPr="0008605D">
        <w:rPr>
          <w:rFonts w:ascii="Arial" w:hAnsi="Arial" w:cs="Arial"/>
          <w:sz w:val="20"/>
          <w:szCs w:val="20"/>
        </w:rPr>
        <w:t>20</w:t>
      </w:r>
      <w:r w:rsidRPr="0008605D">
        <w:rPr>
          <w:rFonts w:ascii="Arial" w:hAnsi="Arial" w:cs="Arial"/>
          <w:spacing w:val="9"/>
          <w:sz w:val="20"/>
          <w:szCs w:val="20"/>
        </w:rPr>
        <w:t xml:space="preserve"> </w:t>
      </w:r>
      <w:r w:rsidRPr="0008605D">
        <w:rPr>
          <w:rFonts w:ascii="Arial" w:hAnsi="Arial" w:cs="Arial"/>
          <w:sz w:val="20"/>
          <w:szCs w:val="20"/>
        </w:rPr>
        <w:t>m</w:t>
      </w:r>
      <w:r w:rsidRPr="0008605D">
        <w:rPr>
          <w:rFonts w:ascii="Arial" w:hAnsi="Arial" w:cs="Arial"/>
          <w:spacing w:val="13"/>
          <w:sz w:val="20"/>
          <w:szCs w:val="20"/>
        </w:rPr>
        <w:t xml:space="preserve"> </w:t>
      </w:r>
      <w:r w:rsidRPr="0008605D">
        <w:rPr>
          <w:rFonts w:ascii="Arial" w:hAnsi="Arial" w:cs="Arial"/>
          <w:sz w:val="20"/>
          <w:szCs w:val="20"/>
        </w:rPr>
        <w:t>in</w:t>
      </w:r>
      <w:r w:rsidRPr="0008605D">
        <w:rPr>
          <w:rFonts w:ascii="Arial" w:hAnsi="Arial" w:cs="Arial"/>
          <w:spacing w:val="10"/>
          <w:sz w:val="20"/>
          <w:szCs w:val="20"/>
        </w:rPr>
        <w:t xml:space="preserve"> </w:t>
      </w:r>
      <w:r w:rsidRPr="0008605D">
        <w:rPr>
          <w:rFonts w:ascii="Arial" w:hAnsi="Arial" w:cs="Arial"/>
          <w:sz w:val="20"/>
          <w:szCs w:val="20"/>
        </w:rPr>
        <w:t>length</w:t>
      </w:r>
      <w:r w:rsidRPr="0008605D">
        <w:rPr>
          <w:rFonts w:ascii="Arial" w:hAnsi="Arial" w:cs="Arial"/>
          <w:spacing w:val="12"/>
          <w:sz w:val="20"/>
          <w:szCs w:val="20"/>
        </w:rPr>
        <w:t xml:space="preserve"> </w:t>
      </w:r>
      <w:r w:rsidRPr="0008605D">
        <w:rPr>
          <w:rFonts w:ascii="Arial" w:hAnsi="Arial" w:cs="Arial"/>
          <w:sz w:val="20"/>
          <w:szCs w:val="20"/>
        </w:rPr>
        <w:t>made</w:t>
      </w:r>
      <w:r w:rsidRPr="0008605D">
        <w:rPr>
          <w:rFonts w:ascii="Arial" w:hAnsi="Arial" w:cs="Arial"/>
          <w:spacing w:val="12"/>
          <w:sz w:val="20"/>
          <w:szCs w:val="20"/>
        </w:rPr>
        <w:t xml:space="preserve"> </w:t>
      </w:r>
      <w:r w:rsidRPr="0008605D">
        <w:rPr>
          <w:rFonts w:ascii="Arial" w:hAnsi="Arial" w:cs="Arial"/>
          <w:sz w:val="20"/>
          <w:szCs w:val="20"/>
        </w:rPr>
        <w:t>of</w:t>
      </w:r>
      <w:r w:rsidRPr="0008605D">
        <w:rPr>
          <w:rFonts w:ascii="Arial" w:hAnsi="Arial" w:cs="Arial"/>
          <w:spacing w:val="12"/>
          <w:sz w:val="20"/>
          <w:szCs w:val="20"/>
        </w:rPr>
        <w:t xml:space="preserve"> </w:t>
      </w:r>
      <w:r w:rsidRPr="0008605D">
        <w:rPr>
          <w:rFonts w:ascii="Arial" w:hAnsi="Arial" w:cs="Arial"/>
          <w:sz w:val="20"/>
          <w:szCs w:val="20"/>
        </w:rPr>
        <w:t>natural</w:t>
      </w:r>
      <w:r w:rsidRPr="0008605D">
        <w:rPr>
          <w:rFonts w:ascii="Arial" w:hAnsi="Arial" w:cs="Arial"/>
          <w:spacing w:val="11"/>
          <w:sz w:val="20"/>
          <w:szCs w:val="20"/>
        </w:rPr>
        <w:t xml:space="preserve"> </w:t>
      </w:r>
      <w:r w:rsidRPr="0008605D">
        <w:rPr>
          <w:rFonts w:ascii="Arial" w:hAnsi="Arial" w:cs="Arial"/>
          <w:sz w:val="20"/>
          <w:szCs w:val="20"/>
        </w:rPr>
        <w:t>fibre</w:t>
      </w:r>
      <w:r w:rsidRPr="0008605D">
        <w:rPr>
          <w:rFonts w:ascii="Arial" w:hAnsi="Arial" w:cs="Arial"/>
          <w:spacing w:val="12"/>
          <w:sz w:val="20"/>
          <w:szCs w:val="20"/>
        </w:rPr>
        <w:t xml:space="preserve"> </w:t>
      </w:r>
      <w:r w:rsidRPr="0008605D">
        <w:rPr>
          <w:rFonts w:ascii="Arial" w:hAnsi="Arial" w:cs="Arial"/>
          <w:sz w:val="20"/>
          <w:szCs w:val="20"/>
        </w:rPr>
        <w:t>or</w:t>
      </w:r>
      <w:r w:rsidRPr="0008605D">
        <w:rPr>
          <w:rFonts w:ascii="Arial" w:hAnsi="Arial" w:cs="Arial"/>
          <w:spacing w:val="11"/>
          <w:sz w:val="20"/>
          <w:szCs w:val="20"/>
        </w:rPr>
        <w:t xml:space="preserve"> </w:t>
      </w:r>
      <w:r w:rsidRPr="0008605D">
        <w:rPr>
          <w:rFonts w:ascii="Arial" w:hAnsi="Arial" w:cs="Arial"/>
          <w:sz w:val="20"/>
          <w:szCs w:val="20"/>
        </w:rPr>
        <w:t>electrostatic,</w:t>
      </w:r>
      <w:r w:rsidRPr="0008605D">
        <w:rPr>
          <w:rFonts w:ascii="Arial" w:hAnsi="Arial" w:cs="Arial"/>
          <w:spacing w:val="12"/>
          <w:sz w:val="20"/>
          <w:szCs w:val="20"/>
        </w:rPr>
        <w:t xml:space="preserve"> </w:t>
      </w:r>
      <w:r w:rsidRPr="0008605D">
        <w:rPr>
          <w:rFonts w:ascii="Arial" w:hAnsi="Arial" w:cs="Arial"/>
          <w:sz w:val="20"/>
          <w:szCs w:val="20"/>
        </w:rPr>
        <w:t>conductive</w:t>
      </w:r>
      <w:r w:rsidRPr="0008605D">
        <w:rPr>
          <w:rFonts w:ascii="Arial" w:hAnsi="Arial" w:cs="Arial"/>
          <w:spacing w:val="-47"/>
          <w:sz w:val="20"/>
          <w:szCs w:val="20"/>
        </w:rPr>
        <w:t xml:space="preserve"> </w:t>
      </w:r>
      <w:r w:rsidRPr="0008605D">
        <w:rPr>
          <w:rFonts w:ascii="Arial" w:hAnsi="Arial" w:cs="Arial"/>
          <w:sz w:val="20"/>
          <w:szCs w:val="20"/>
        </w:rPr>
        <w:t>material.</w:t>
      </w:r>
      <w:bookmarkStart w:id="323" w:name="AMC1_BOP.BAS.350(b)(3)_Miscellaneous_equ"/>
      <w:bookmarkStart w:id="324" w:name="_bookmark136"/>
      <w:bookmarkEnd w:id="323"/>
      <w:bookmarkEnd w:id="324"/>
      <w:r w:rsidRPr="0008605D">
        <w:rPr>
          <w:b/>
          <w:color w:val="FFFFFF"/>
          <w:sz w:val="32"/>
        </w:rPr>
        <w:t>AMC1</w:t>
      </w:r>
      <w:r w:rsidRPr="0008605D">
        <w:rPr>
          <w:b/>
          <w:color w:val="FFFFFF"/>
          <w:spacing w:val="-8"/>
          <w:sz w:val="32"/>
        </w:rPr>
        <w:t xml:space="preserve"> </w:t>
      </w:r>
      <w:r w:rsidRPr="0008605D">
        <w:rPr>
          <w:b/>
          <w:color w:val="FFFFFF"/>
          <w:sz w:val="32"/>
        </w:rPr>
        <w:t>BOP.BAS.350(b)(3)</w:t>
      </w:r>
      <w:r w:rsidRPr="0008605D">
        <w:rPr>
          <w:b/>
          <w:color w:val="FFFFFF"/>
          <w:spacing w:val="-6"/>
          <w:sz w:val="32"/>
        </w:rPr>
        <w:t xml:space="preserve"> </w:t>
      </w:r>
      <w:r w:rsidRPr="0008605D">
        <w:rPr>
          <w:b/>
          <w:color w:val="FFFFFF"/>
          <w:sz w:val="32"/>
        </w:rPr>
        <w:t>Miscellaneous</w:t>
      </w:r>
      <w:r w:rsidRPr="0008605D">
        <w:rPr>
          <w:b/>
          <w:color w:val="FFFFFF"/>
          <w:spacing w:val="-6"/>
          <w:sz w:val="32"/>
        </w:rPr>
        <w:t xml:space="preserve"> </w:t>
      </w:r>
      <w:r>
        <w:rPr>
          <w:b/>
          <w:color w:val="FFFFFF"/>
          <w:sz w:val="32"/>
        </w:rPr>
        <w:t>e</w:t>
      </w:r>
    </w:p>
    <w:p w14:paraId="504EC9D6" w14:textId="77777777" w:rsidR="0008605D" w:rsidRPr="0008605D" w:rsidRDefault="0008605D" w:rsidP="009601C2">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325" w:name="_Toc153137301"/>
      <w:r w:rsidRPr="0008605D">
        <w:rPr>
          <w:rFonts w:ascii="Arial" w:eastAsia="Times New Roman" w:hAnsi="Arial" w:cs="Times New Roman"/>
          <w:b/>
          <w:color w:val="FFFFFF"/>
          <w:sz w:val="24"/>
        </w:rPr>
        <w:t>AMC1 BOP.BAS.350(b)(3) Miscellaneous equipment</w:t>
      </w:r>
      <w:bookmarkEnd w:id="325"/>
    </w:p>
    <w:p w14:paraId="79A1F84C" w14:textId="77777777" w:rsidR="0008605D" w:rsidRPr="00276D5E" w:rsidRDefault="0008605D" w:rsidP="009601C2">
      <w:pPr>
        <w:spacing w:line="276" w:lineRule="auto"/>
        <w:jc w:val="both"/>
        <w:rPr>
          <w:rFonts w:ascii="Arial" w:hAnsi="Arial" w:cs="Arial"/>
          <w:b/>
          <w:sz w:val="20"/>
        </w:rPr>
      </w:pPr>
      <w:r w:rsidRPr="00276D5E">
        <w:rPr>
          <w:rFonts w:ascii="Arial" w:hAnsi="Arial" w:cs="Arial"/>
          <w:b/>
          <w:sz w:val="20"/>
        </w:rPr>
        <w:t>FIRE</w:t>
      </w:r>
      <w:r w:rsidRPr="00276D5E">
        <w:rPr>
          <w:rFonts w:ascii="Arial" w:hAnsi="Arial" w:cs="Arial"/>
          <w:b/>
          <w:spacing w:val="-4"/>
          <w:sz w:val="20"/>
        </w:rPr>
        <w:t xml:space="preserve"> </w:t>
      </w:r>
      <w:r w:rsidRPr="00276D5E">
        <w:rPr>
          <w:rFonts w:ascii="Arial" w:hAnsi="Arial" w:cs="Arial"/>
          <w:b/>
          <w:sz w:val="20"/>
        </w:rPr>
        <w:t>BLANKET</w:t>
      </w:r>
    </w:p>
    <w:p w14:paraId="55BF687B" w14:textId="77777777" w:rsidR="0008605D" w:rsidRPr="0008605D" w:rsidRDefault="0008605D" w:rsidP="005366B2">
      <w:pPr>
        <w:tabs>
          <w:tab w:val="left" w:pos="1273"/>
          <w:tab w:val="left" w:pos="1274"/>
        </w:tabs>
        <w:spacing w:before="122" w:line="276" w:lineRule="auto"/>
        <w:ind w:right="44"/>
        <w:jc w:val="both"/>
        <w:rPr>
          <w:rFonts w:ascii="Arial" w:hAnsi="Arial" w:cs="Arial"/>
          <w:sz w:val="20"/>
          <w:szCs w:val="20"/>
        </w:rPr>
      </w:pPr>
      <w:r w:rsidRPr="0008605D">
        <w:rPr>
          <w:rFonts w:ascii="Arial" w:hAnsi="Arial" w:cs="Arial"/>
          <w:sz w:val="20"/>
          <w:szCs w:val="20"/>
        </w:rPr>
        <w:t>A fire blanket should comply with the European Norm EN 1869 or equivalent. The size should be at least 1.5 m × 1.8 m. Smaller sizes are not recommended as they cannot sufficiently cover the source of developing propane fire.</w:t>
      </w:r>
    </w:p>
    <w:p w14:paraId="2B180DAD" w14:textId="77777777" w:rsidR="0008605D" w:rsidRPr="0008605D" w:rsidRDefault="0008605D" w:rsidP="009601C2">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326" w:name="AMC1_BOP.BAS.350(c)(1)_Miscellaneous_equ"/>
      <w:bookmarkStart w:id="327" w:name="_bookmark137"/>
      <w:bookmarkStart w:id="328" w:name="_Toc153137302"/>
      <w:bookmarkEnd w:id="326"/>
      <w:bookmarkEnd w:id="327"/>
      <w:r w:rsidRPr="0008605D">
        <w:rPr>
          <w:rFonts w:ascii="Arial" w:eastAsia="Times New Roman" w:hAnsi="Arial" w:cs="Times New Roman"/>
          <w:b/>
          <w:color w:val="FFFFFF"/>
          <w:sz w:val="24"/>
        </w:rPr>
        <w:t>AMC1 BOP.BAS.350(c)(1) Miscellaneous equipment</w:t>
      </w:r>
      <w:bookmarkEnd w:id="328"/>
    </w:p>
    <w:p w14:paraId="54D17B44" w14:textId="77777777" w:rsidR="0008605D" w:rsidRPr="00276D5E" w:rsidRDefault="0008605D" w:rsidP="009601C2">
      <w:pPr>
        <w:spacing w:before="1" w:line="276" w:lineRule="auto"/>
        <w:jc w:val="both"/>
        <w:rPr>
          <w:rFonts w:ascii="Arial" w:hAnsi="Arial" w:cs="Arial"/>
          <w:b/>
          <w:sz w:val="20"/>
        </w:rPr>
      </w:pPr>
      <w:r w:rsidRPr="00276D5E">
        <w:rPr>
          <w:rFonts w:ascii="Arial" w:hAnsi="Arial" w:cs="Arial"/>
          <w:b/>
          <w:sz w:val="20"/>
        </w:rPr>
        <w:t>KNIFE</w:t>
      </w:r>
    </w:p>
    <w:p w14:paraId="0372BC3E" w14:textId="77777777" w:rsidR="000C5DF5" w:rsidRPr="000C5DF5" w:rsidRDefault="000C5DF5" w:rsidP="005366B2">
      <w:pPr>
        <w:tabs>
          <w:tab w:val="left" w:pos="1273"/>
          <w:tab w:val="left" w:pos="1274"/>
        </w:tabs>
        <w:spacing w:before="122" w:line="276" w:lineRule="auto"/>
        <w:ind w:right="44"/>
        <w:jc w:val="both"/>
        <w:rPr>
          <w:rFonts w:ascii="Arial" w:hAnsi="Arial" w:cs="Arial"/>
          <w:sz w:val="20"/>
          <w:szCs w:val="20"/>
        </w:rPr>
      </w:pPr>
      <w:r w:rsidRPr="000C5DF5">
        <w:rPr>
          <w:rFonts w:ascii="Arial" w:hAnsi="Arial" w:cs="Arial"/>
          <w:sz w:val="20"/>
          <w:szCs w:val="20"/>
        </w:rPr>
        <w:t>The knife, hook knife or equivalent, should be capable of cutting any control line or handling rope that is accessible to the pilot-in-command or a crew member from the basket.</w:t>
      </w:r>
    </w:p>
    <w:p w14:paraId="63AC5683" w14:textId="77777777" w:rsidR="000C5DF5" w:rsidRPr="000C5DF5" w:rsidRDefault="000C5DF5"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329" w:name="BOP.BAS.355_Radio_communication_equipmen"/>
      <w:bookmarkStart w:id="330" w:name="_bookmark138"/>
      <w:bookmarkStart w:id="331" w:name="_Toc153137303"/>
      <w:bookmarkEnd w:id="329"/>
      <w:bookmarkEnd w:id="330"/>
      <w:r w:rsidRPr="000C5DF5">
        <w:rPr>
          <w:rFonts w:ascii="Arial" w:eastAsia="Times New Roman" w:hAnsi="Arial" w:cs="Times New Roman"/>
          <w:b/>
          <w:iCs/>
          <w:color w:val="FFFFFF"/>
          <w:sz w:val="24"/>
        </w:rPr>
        <w:t>BOP.BAS.355 Radio communication equipment</w:t>
      </w:r>
      <w:bookmarkEnd w:id="331"/>
    </w:p>
    <w:p w14:paraId="657FBE13" w14:textId="644637BF" w:rsidR="000C5DF5" w:rsidRPr="000C5DF5" w:rsidRDefault="000C5DF5" w:rsidP="005366B2">
      <w:pPr>
        <w:numPr>
          <w:ilvl w:val="0"/>
          <w:numId w:val="80"/>
        </w:numPr>
        <w:tabs>
          <w:tab w:val="left" w:pos="1273"/>
          <w:tab w:val="left" w:pos="1274"/>
        </w:tabs>
        <w:spacing w:before="122" w:line="276" w:lineRule="auto"/>
        <w:ind w:right="44"/>
        <w:jc w:val="both"/>
        <w:rPr>
          <w:rFonts w:ascii="Arial" w:hAnsi="Arial" w:cs="Arial"/>
          <w:sz w:val="20"/>
          <w:szCs w:val="20"/>
        </w:rPr>
      </w:pPr>
      <w:r w:rsidRPr="000C5DF5">
        <w:rPr>
          <w:rFonts w:ascii="Arial" w:hAnsi="Arial" w:cs="Arial"/>
          <w:sz w:val="20"/>
          <w:szCs w:val="20"/>
        </w:rPr>
        <w:t xml:space="preserve">Balloons shall have radio communication equipment to allow for the communication required in accordance with appendix 4 to the Annex to </w:t>
      </w:r>
      <w:r w:rsidR="00755DAC">
        <w:rPr>
          <w:rFonts w:ascii="Arial" w:hAnsi="Arial" w:cs="Arial"/>
          <w:sz w:val="20"/>
        </w:rPr>
        <w:t xml:space="preserve">to </w:t>
      </w:r>
      <w:hyperlink r:id="rId53" w:history="1">
        <w:r w:rsidR="00755DAC">
          <w:rPr>
            <w:rStyle w:val="Hyperlink"/>
            <w:rFonts w:ascii="Arial" w:hAnsi="Arial" w:cs="Arial"/>
            <w:sz w:val="20"/>
          </w:rPr>
          <w:t>the decision N 737-N of the Government of the Republic of Armenia, dated 06.06.2007</w:t>
        </w:r>
      </w:hyperlink>
      <w:r w:rsidR="00755DAC">
        <w:rPr>
          <w:rFonts w:ascii="Arial" w:hAnsi="Arial" w:cs="Arial"/>
          <w:sz w:val="20"/>
          <w:lang w:val="hy-AM"/>
        </w:rPr>
        <w:t xml:space="preserve"> </w:t>
      </w:r>
      <w:r w:rsidRPr="000C5DF5">
        <w:rPr>
          <w:rFonts w:ascii="Arial" w:hAnsi="Arial" w:cs="Arial"/>
          <w:sz w:val="20"/>
          <w:szCs w:val="20"/>
        </w:rPr>
        <w:t>and, if the flight takes place in the airspace of a third country, the law of that third country.</w:t>
      </w:r>
    </w:p>
    <w:p w14:paraId="70ABBA9D" w14:textId="77777777" w:rsidR="0008605D" w:rsidRPr="00B86F3B" w:rsidRDefault="000C5DF5" w:rsidP="005366B2">
      <w:pPr>
        <w:numPr>
          <w:ilvl w:val="0"/>
          <w:numId w:val="80"/>
        </w:numPr>
        <w:tabs>
          <w:tab w:val="left" w:pos="1273"/>
          <w:tab w:val="left" w:pos="1274"/>
        </w:tabs>
        <w:spacing w:before="122" w:line="276" w:lineRule="auto"/>
        <w:ind w:right="44"/>
        <w:jc w:val="both"/>
        <w:rPr>
          <w:rFonts w:ascii="Arial" w:hAnsi="Arial" w:cs="Arial"/>
          <w:sz w:val="20"/>
          <w:szCs w:val="20"/>
        </w:rPr>
      </w:pPr>
      <w:r w:rsidRPr="000C5DF5">
        <w:rPr>
          <w:rFonts w:ascii="Arial" w:hAnsi="Arial" w:cs="Arial"/>
          <w:sz w:val="20"/>
          <w:szCs w:val="20"/>
        </w:rPr>
        <w:t>The radio communication equipment shall provide for communication on the aeronautical emergency frequency 121,5 MHz.</w:t>
      </w:r>
    </w:p>
    <w:p w14:paraId="0722FF77" w14:textId="77777777" w:rsidR="00B86F3B" w:rsidRPr="00B86F3B" w:rsidRDefault="00B86F3B" w:rsidP="009601C2">
      <w:pPr>
        <w:keepNext/>
        <w:keepLines/>
        <w:widowControl/>
        <w:shd w:val="clear" w:color="auto" w:fill="339966"/>
        <w:autoSpaceDE/>
        <w:autoSpaceDN/>
        <w:spacing w:before="160" w:after="120" w:line="276" w:lineRule="auto"/>
        <w:jc w:val="both"/>
        <w:outlineLvl w:val="4"/>
        <w:rPr>
          <w:rFonts w:ascii="Arial" w:eastAsia="Times New Roman" w:hAnsi="Arial" w:cs="Times New Roman"/>
          <w:b/>
          <w:color w:val="FFFFFF"/>
          <w:sz w:val="24"/>
        </w:rPr>
      </w:pPr>
      <w:bookmarkStart w:id="332" w:name="GM1_BOP.BAS.355_Radio_communication_equi"/>
      <w:bookmarkStart w:id="333" w:name="_bookmark139"/>
      <w:bookmarkStart w:id="334" w:name="_Toc153137304"/>
      <w:bookmarkEnd w:id="332"/>
      <w:bookmarkEnd w:id="333"/>
      <w:r w:rsidRPr="00B86F3B">
        <w:rPr>
          <w:rFonts w:ascii="Arial" w:eastAsia="Times New Roman" w:hAnsi="Arial" w:cs="Times New Roman"/>
          <w:b/>
          <w:color w:val="FFFFFF"/>
          <w:sz w:val="24"/>
        </w:rPr>
        <w:t>GM1 BOP.BAS.355 Radio communication equipment</w:t>
      </w:r>
      <w:bookmarkEnd w:id="334"/>
    </w:p>
    <w:p w14:paraId="64AF3765" w14:textId="77777777" w:rsidR="00B86F3B" w:rsidRPr="00B86F3B" w:rsidRDefault="00B86F3B" w:rsidP="009601C2">
      <w:pPr>
        <w:tabs>
          <w:tab w:val="left" w:pos="1273"/>
          <w:tab w:val="left" w:pos="1274"/>
        </w:tabs>
        <w:spacing w:before="122" w:line="276" w:lineRule="auto"/>
        <w:ind w:right="200"/>
        <w:jc w:val="both"/>
        <w:rPr>
          <w:rFonts w:ascii="Arial" w:hAnsi="Arial" w:cs="Arial"/>
          <w:b/>
          <w:sz w:val="20"/>
          <w:szCs w:val="20"/>
        </w:rPr>
      </w:pPr>
      <w:r w:rsidRPr="00B86F3B">
        <w:rPr>
          <w:rFonts w:ascii="Arial" w:hAnsi="Arial" w:cs="Arial"/>
          <w:b/>
          <w:sz w:val="20"/>
          <w:szCs w:val="20"/>
        </w:rPr>
        <w:t>APPLICABLE AIRSPACE REQUIREMENTS</w:t>
      </w:r>
    </w:p>
    <w:p w14:paraId="30ECFC41" w14:textId="77777777" w:rsidR="00B86F3B" w:rsidRPr="00B86F3B" w:rsidRDefault="00B86F3B" w:rsidP="009601C2">
      <w:pPr>
        <w:tabs>
          <w:tab w:val="left" w:pos="1273"/>
          <w:tab w:val="left" w:pos="1274"/>
        </w:tabs>
        <w:spacing w:before="122" w:line="276" w:lineRule="auto"/>
        <w:ind w:right="200"/>
        <w:jc w:val="both"/>
        <w:rPr>
          <w:rFonts w:ascii="Arial" w:hAnsi="Arial" w:cs="Arial"/>
          <w:sz w:val="20"/>
          <w:szCs w:val="20"/>
        </w:rPr>
      </w:pPr>
      <w:r w:rsidRPr="00B86F3B">
        <w:rPr>
          <w:rFonts w:ascii="Arial" w:hAnsi="Arial" w:cs="Arial"/>
          <w:sz w:val="20"/>
          <w:szCs w:val="20"/>
        </w:rPr>
        <w:t>For balloons being operated under European air traffic control, the applicable airspace requirements include the single European sky legislation.</w:t>
      </w:r>
    </w:p>
    <w:p w14:paraId="0E9605EF" w14:textId="77777777" w:rsidR="00B86F3B" w:rsidRPr="00B86F3B" w:rsidRDefault="00B86F3B"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335" w:name="BOP.BAS.360_Transponder"/>
      <w:bookmarkStart w:id="336" w:name="_bookmark140"/>
      <w:bookmarkStart w:id="337" w:name="_Toc153137305"/>
      <w:bookmarkEnd w:id="335"/>
      <w:bookmarkEnd w:id="336"/>
      <w:r w:rsidRPr="00B86F3B">
        <w:rPr>
          <w:rFonts w:ascii="Arial" w:eastAsia="Times New Roman" w:hAnsi="Arial" w:cs="Times New Roman"/>
          <w:b/>
          <w:iCs/>
          <w:color w:val="FFFFFF"/>
          <w:sz w:val="24"/>
        </w:rPr>
        <w:t>BOP.BAS.360 Transponder</w:t>
      </w:r>
      <w:bookmarkEnd w:id="337"/>
    </w:p>
    <w:p w14:paraId="2C6E5DC5" w14:textId="350F6250" w:rsidR="00B86F3B" w:rsidRPr="00986869" w:rsidRDefault="00B86F3B" w:rsidP="005366B2">
      <w:pPr>
        <w:pStyle w:val="BodyText"/>
        <w:spacing w:line="276" w:lineRule="auto"/>
        <w:ind w:right="44"/>
        <w:jc w:val="both"/>
        <w:rPr>
          <w:rFonts w:ascii="Arial" w:hAnsi="Arial" w:cs="Arial"/>
          <w:sz w:val="20"/>
        </w:rPr>
      </w:pPr>
      <w:r w:rsidRPr="00B86F3B">
        <w:rPr>
          <w:rFonts w:ascii="Arial" w:hAnsi="Arial" w:cs="Arial"/>
          <w:sz w:val="20"/>
        </w:rPr>
        <w:t>Balloons</w:t>
      </w:r>
      <w:r w:rsidRPr="00B86F3B">
        <w:rPr>
          <w:rFonts w:ascii="Arial" w:hAnsi="Arial" w:cs="Arial"/>
          <w:spacing w:val="-6"/>
          <w:sz w:val="20"/>
        </w:rPr>
        <w:t xml:space="preserve"> </w:t>
      </w:r>
      <w:r w:rsidRPr="00B86F3B">
        <w:rPr>
          <w:rFonts w:ascii="Arial" w:hAnsi="Arial" w:cs="Arial"/>
          <w:sz w:val="20"/>
        </w:rPr>
        <w:t>shall</w:t>
      </w:r>
      <w:r w:rsidRPr="00B86F3B">
        <w:rPr>
          <w:rFonts w:ascii="Arial" w:hAnsi="Arial" w:cs="Arial"/>
          <w:spacing w:val="-4"/>
          <w:sz w:val="20"/>
        </w:rPr>
        <w:t xml:space="preserve"> </w:t>
      </w:r>
      <w:r w:rsidRPr="00B86F3B">
        <w:rPr>
          <w:rFonts w:ascii="Arial" w:hAnsi="Arial" w:cs="Arial"/>
          <w:sz w:val="20"/>
        </w:rPr>
        <w:t>have</w:t>
      </w:r>
      <w:r w:rsidRPr="00B86F3B">
        <w:rPr>
          <w:rFonts w:ascii="Arial" w:hAnsi="Arial" w:cs="Arial"/>
          <w:spacing w:val="-3"/>
          <w:sz w:val="20"/>
        </w:rPr>
        <w:t xml:space="preserve"> </w:t>
      </w:r>
      <w:r w:rsidRPr="00B86F3B">
        <w:rPr>
          <w:rFonts w:ascii="Arial" w:hAnsi="Arial" w:cs="Arial"/>
          <w:sz w:val="20"/>
        </w:rPr>
        <w:t>a</w:t>
      </w:r>
      <w:r w:rsidRPr="00B86F3B">
        <w:rPr>
          <w:rFonts w:ascii="Arial" w:hAnsi="Arial" w:cs="Arial"/>
          <w:spacing w:val="-2"/>
          <w:sz w:val="20"/>
        </w:rPr>
        <w:t xml:space="preserve"> </w:t>
      </w:r>
      <w:r w:rsidRPr="00B86F3B">
        <w:rPr>
          <w:rFonts w:ascii="Arial" w:hAnsi="Arial" w:cs="Arial"/>
          <w:sz w:val="20"/>
        </w:rPr>
        <w:t>secondary</w:t>
      </w:r>
      <w:r w:rsidRPr="00B86F3B">
        <w:rPr>
          <w:rFonts w:ascii="Arial" w:hAnsi="Arial" w:cs="Arial"/>
          <w:spacing w:val="-3"/>
          <w:sz w:val="20"/>
        </w:rPr>
        <w:t xml:space="preserve"> </w:t>
      </w:r>
      <w:r w:rsidRPr="00B86F3B">
        <w:rPr>
          <w:rFonts w:ascii="Arial" w:hAnsi="Arial" w:cs="Arial"/>
          <w:sz w:val="20"/>
        </w:rPr>
        <w:t>surveillance</w:t>
      </w:r>
      <w:r w:rsidRPr="00B86F3B">
        <w:rPr>
          <w:rFonts w:ascii="Arial" w:hAnsi="Arial" w:cs="Arial"/>
          <w:spacing w:val="-3"/>
          <w:sz w:val="20"/>
        </w:rPr>
        <w:t xml:space="preserve"> </w:t>
      </w:r>
      <w:r w:rsidRPr="00B86F3B">
        <w:rPr>
          <w:rFonts w:ascii="Arial" w:hAnsi="Arial" w:cs="Arial"/>
          <w:sz w:val="20"/>
        </w:rPr>
        <w:t>radar</w:t>
      </w:r>
      <w:r w:rsidRPr="00B86F3B">
        <w:rPr>
          <w:rFonts w:ascii="Arial" w:hAnsi="Arial" w:cs="Arial"/>
          <w:spacing w:val="-4"/>
          <w:sz w:val="20"/>
        </w:rPr>
        <w:t xml:space="preserve"> </w:t>
      </w:r>
      <w:r w:rsidRPr="00B86F3B">
        <w:rPr>
          <w:rFonts w:ascii="Arial" w:hAnsi="Arial" w:cs="Arial"/>
          <w:sz w:val="20"/>
        </w:rPr>
        <w:t>(SSR)</w:t>
      </w:r>
      <w:r w:rsidRPr="00B86F3B">
        <w:rPr>
          <w:rFonts w:ascii="Arial" w:hAnsi="Arial" w:cs="Arial"/>
          <w:spacing w:val="-3"/>
          <w:sz w:val="20"/>
        </w:rPr>
        <w:t xml:space="preserve"> </w:t>
      </w:r>
      <w:r w:rsidRPr="00B86F3B">
        <w:rPr>
          <w:rFonts w:ascii="Arial" w:hAnsi="Arial" w:cs="Arial"/>
          <w:sz w:val="20"/>
        </w:rPr>
        <w:t>transponder</w:t>
      </w:r>
      <w:r w:rsidRPr="00B86F3B">
        <w:rPr>
          <w:rFonts w:ascii="Arial" w:hAnsi="Arial" w:cs="Arial"/>
          <w:spacing w:val="-4"/>
          <w:sz w:val="20"/>
        </w:rPr>
        <w:t xml:space="preserve"> </w:t>
      </w:r>
      <w:r w:rsidRPr="00B86F3B">
        <w:rPr>
          <w:rFonts w:ascii="Arial" w:hAnsi="Arial" w:cs="Arial"/>
          <w:sz w:val="20"/>
        </w:rPr>
        <w:t>with</w:t>
      </w:r>
      <w:r w:rsidRPr="00B86F3B">
        <w:rPr>
          <w:rFonts w:ascii="Arial" w:hAnsi="Arial" w:cs="Arial"/>
          <w:spacing w:val="-3"/>
          <w:sz w:val="20"/>
        </w:rPr>
        <w:t xml:space="preserve"> </w:t>
      </w:r>
      <w:r w:rsidRPr="00B86F3B">
        <w:rPr>
          <w:rFonts w:ascii="Arial" w:hAnsi="Arial" w:cs="Arial"/>
          <w:sz w:val="20"/>
        </w:rPr>
        <w:t>all</w:t>
      </w:r>
      <w:r w:rsidRPr="00B86F3B">
        <w:rPr>
          <w:rFonts w:ascii="Arial" w:hAnsi="Arial" w:cs="Arial"/>
          <w:spacing w:val="-4"/>
          <w:sz w:val="20"/>
        </w:rPr>
        <w:t xml:space="preserve"> </w:t>
      </w:r>
      <w:r w:rsidRPr="00B86F3B">
        <w:rPr>
          <w:rFonts w:ascii="Arial" w:hAnsi="Arial" w:cs="Arial"/>
          <w:sz w:val="20"/>
        </w:rPr>
        <w:t>the</w:t>
      </w:r>
      <w:r w:rsidRPr="00B86F3B">
        <w:rPr>
          <w:rFonts w:ascii="Arial" w:hAnsi="Arial" w:cs="Arial"/>
          <w:spacing w:val="-6"/>
          <w:sz w:val="20"/>
        </w:rPr>
        <w:t xml:space="preserve"> </w:t>
      </w:r>
      <w:r w:rsidRPr="00B86F3B">
        <w:rPr>
          <w:rFonts w:ascii="Arial" w:hAnsi="Arial" w:cs="Arial"/>
          <w:sz w:val="20"/>
        </w:rPr>
        <w:t>capabilities</w:t>
      </w:r>
      <w:r w:rsidRPr="00B86F3B">
        <w:rPr>
          <w:rFonts w:ascii="Arial" w:hAnsi="Arial" w:cs="Arial"/>
          <w:spacing w:val="-2"/>
          <w:sz w:val="20"/>
        </w:rPr>
        <w:t xml:space="preserve"> </w:t>
      </w:r>
      <w:r w:rsidRPr="00B86F3B">
        <w:rPr>
          <w:rFonts w:ascii="Arial" w:hAnsi="Arial" w:cs="Arial"/>
          <w:sz w:val="20"/>
        </w:rPr>
        <w:t>required</w:t>
      </w:r>
      <w:r w:rsidRPr="00B86F3B">
        <w:rPr>
          <w:rFonts w:ascii="Arial" w:hAnsi="Arial" w:cs="Arial"/>
          <w:spacing w:val="-48"/>
          <w:sz w:val="20"/>
        </w:rPr>
        <w:t xml:space="preserve"> </w:t>
      </w:r>
      <w:r w:rsidRPr="00B86F3B">
        <w:rPr>
          <w:rFonts w:ascii="Arial" w:hAnsi="Arial" w:cs="Arial"/>
          <w:sz w:val="20"/>
        </w:rPr>
        <w:t>in</w:t>
      </w:r>
      <w:r w:rsidRPr="00B86F3B">
        <w:rPr>
          <w:rFonts w:ascii="Arial" w:hAnsi="Arial" w:cs="Arial"/>
          <w:spacing w:val="1"/>
          <w:sz w:val="20"/>
        </w:rPr>
        <w:t xml:space="preserve"> </w:t>
      </w:r>
      <w:r w:rsidRPr="00B86F3B">
        <w:rPr>
          <w:rFonts w:ascii="Arial" w:hAnsi="Arial" w:cs="Arial"/>
          <w:sz w:val="20"/>
        </w:rPr>
        <w:t>accordance with</w:t>
      </w:r>
      <w:r w:rsidRPr="00B86F3B">
        <w:rPr>
          <w:rFonts w:ascii="Arial" w:hAnsi="Arial" w:cs="Arial"/>
          <w:spacing w:val="1"/>
          <w:sz w:val="20"/>
        </w:rPr>
        <w:t xml:space="preserve"> </w:t>
      </w:r>
      <w:r w:rsidRPr="00B86F3B">
        <w:rPr>
          <w:rFonts w:ascii="Arial" w:hAnsi="Arial" w:cs="Arial"/>
          <w:sz w:val="20"/>
        </w:rPr>
        <w:t>point (b)</w:t>
      </w:r>
      <w:r w:rsidRPr="00B86F3B">
        <w:rPr>
          <w:rFonts w:ascii="Arial" w:hAnsi="Arial" w:cs="Arial"/>
          <w:spacing w:val="1"/>
          <w:sz w:val="20"/>
        </w:rPr>
        <w:t xml:space="preserve"> </w:t>
      </w:r>
      <w:r w:rsidRPr="00B86F3B">
        <w:rPr>
          <w:rFonts w:ascii="Arial" w:hAnsi="Arial" w:cs="Arial"/>
          <w:sz w:val="20"/>
        </w:rPr>
        <w:t>of</w:t>
      </w:r>
      <w:r w:rsidRPr="00B86F3B">
        <w:rPr>
          <w:rFonts w:ascii="Arial" w:hAnsi="Arial" w:cs="Arial"/>
          <w:spacing w:val="49"/>
          <w:sz w:val="20"/>
        </w:rPr>
        <w:t xml:space="preserve"> </w:t>
      </w:r>
      <w:r w:rsidRPr="00B86F3B">
        <w:rPr>
          <w:rFonts w:ascii="Arial" w:hAnsi="Arial" w:cs="Arial"/>
          <w:sz w:val="20"/>
        </w:rPr>
        <w:t>point</w:t>
      </w:r>
      <w:r w:rsidRPr="00B86F3B">
        <w:rPr>
          <w:rFonts w:ascii="Arial" w:hAnsi="Arial" w:cs="Arial"/>
          <w:spacing w:val="50"/>
          <w:sz w:val="20"/>
        </w:rPr>
        <w:t xml:space="preserve"> </w:t>
      </w:r>
      <w:r w:rsidRPr="00B86F3B">
        <w:rPr>
          <w:rFonts w:ascii="Arial" w:hAnsi="Arial" w:cs="Arial"/>
          <w:sz w:val="20"/>
        </w:rPr>
        <w:t>SERA.6005 of the</w:t>
      </w:r>
      <w:r w:rsidRPr="00B86F3B">
        <w:rPr>
          <w:rFonts w:ascii="Arial" w:hAnsi="Arial" w:cs="Arial"/>
          <w:spacing w:val="50"/>
          <w:sz w:val="20"/>
        </w:rPr>
        <w:t xml:space="preserve"> </w:t>
      </w:r>
      <w:r w:rsidRPr="00B86F3B">
        <w:rPr>
          <w:rFonts w:ascii="Arial" w:hAnsi="Arial" w:cs="Arial"/>
          <w:sz w:val="20"/>
        </w:rPr>
        <w:t>Annex</w:t>
      </w:r>
      <w:r w:rsidRPr="00B86F3B">
        <w:rPr>
          <w:rFonts w:ascii="Arial" w:hAnsi="Arial" w:cs="Arial"/>
          <w:spacing w:val="49"/>
          <w:sz w:val="20"/>
        </w:rPr>
        <w:t xml:space="preserve"> </w:t>
      </w:r>
      <w:r w:rsidRPr="00B86F3B">
        <w:rPr>
          <w:rFonts w:ascii="Arial" w:hAnsi="Arial" w:cs="Arial"/>
          <w:sz w:val="20"/>
        </w:rPr>
        <w:t>to</w:t>
      </w:r>
      <w:r w:rsidR="00755DAC">
        <w:rPr>
          <w:rFonts w:ascii="Arial" w:hAnsi="Arial" w:cs="Arial"/>
          <w:sz w:val="20"/>
          <w:lang w:val="hy-AM"/>
        </w:rPr>
        <w:t xml:space="preserve"> </w:t>
      </w:r>
      <w:hyperlink r:id="rId54" w:history="1">
        <w:r w:rsidR="00755DAC">
          <w:rPr>
            <w:rStyle w:val="Hyperlink"/>
            <w:rFonts w:ascii="Arial" w:hAnsi="Arial" w:cs="Arial"/>
            <w:sz w:val="20"/>
          </w:rPr>
          <w:t>the decision N 737-N of the Government of the Republic of Armenia, dated 06.06.2007</w:t>
        </w:r>
      </w:hyperlink>
      <w:r w:rsidR="00755DAC">
        <w:rPr>
          <w:rFonts w:ascii="Arial" w:hAnsi="Arial" w:cs="Arial"/>
          <w:sz w:val="20"/>
          <w:lang w:val="hy-AM"/>
        </w:rPr>
        <w:t xml:space="preserve"> </w:t>
      </w:r>
      <w:r w:rsidRPr="00B86F3B">
        <w:rPr>
          <w:rFonts w:ascii="Arial" w:hAnsi="Arial" w:cs="Arial"/>
          <w:sz w:val="20"/>
        </w:rPr>
        <w:t>and,</w:t>
      </w:r>
      <w:r w:rsidRPr="00B86F3B">
        <w:rPr>
          <w:rFonts w:ascii="Arial" w:hAnsi="Arial" w:cs="Arial"/>
          <w:spacing w:val="-3"/>
          <w:sz w:val="20"/>
        </w:rPr>
        <w:t xml:space="preserve"> </w:t>
      </w:r>
      <w:r w:rsidRPr="00B86F3B">
        <w:rPr>
          <w:rFonts w:ascii="Arial" w:hAnsi="Arial" w:cs="Arial"/>
          <w:sz w:val="20"/>
        </w:rPr>
        <w:t>if</w:t>
      </w:r>
      <w:r w:rsidRPr="00B86F3B">
        <w:rPr>
          <w:rFonts w:ascii="Arial" w:hAnsi="Arial" w:cs="Arial"/>
          <w:spacing w:val="-6"/>
          <w:sz w:val="20"/>
        </w:rPr>
        <w:t xml:space="preserve"> </w:t>
      </w:r>
      <w:r w:rsidRPr="00B86F3B">
        <w:rPr>
          <w:rFonts w:ascii="Arial" w:hAnsi="Arial" w:cs="Arial"/>
          <w:sz w:val="20"/>
        </w:rPr>
        <w:t>the</w:t>
      </w:r>
      <w:r w:rsidRPr="00B86F3B">
        <w:rPr>
          <w:rFonts w:ascii="Arial" w:hAnsi="Arial" w:cs="Arial"/>
          <w:spacing w:val="-3"/>
          <w:sz w:val="20"/>
        </w:rPr>
        <w:t xml:space="preserve"> </w:t>
      </w:r>
      <w:r w:rsidRPr="00B86F3B">
        <w:rPr>
          <w:rFonts w:ascii="Arial" w:hAnsi="Arial" w:cs="Arial"/>
          <w:sz w:val="20"/>
        </w:rPr>
        <w:t>flight</w:t>
      </w:r>
      <w:r w:rsidRPr="00B86F3B">
        <w:rPr>
          <w:rFonts w:ascii="Arial" w:hAnsi="Arial" w:cs="Arial"/>
          <w:spacing w:val="-3"/>
          <w:sz w:val="20"/>
        </w:rPr>
        <w:t xml:space="preserve"> </w:t>
      </w:r>
      <w:r w:rsidRPr="00B86F3B">
        <w:rPr>
          <w:rFonts w:ascii="Arial" w:hAnsi="Arial" w:cs="Arial"/>
          <w:sz w:val="20"/>
        </w:rPr>
        <w:t>takes</w:t>
      </w:r>
      <w:r w:rsidRPr="00B86F3B">
        <w:rPr>
          <w:rFonts w:ascii="Arial" w:hAnsi="Arial" w:cs="Arial"/>
          <w:spacing w:val="-6"/>
          <w:sz w:val="20"/>
        </w:rPr>
        <w:t xml:space="preserve"> </w:t>
      </w:r>
      <w:r w:rsidRPr="00B86F3B">
        <w:rPr>
          <w:rFonts w:ascii="Arial" w:hAnsi="Arial" w:cs="Arial"/>
          <w:sz w:val="20"/>
        </w:rPr>
        <w:t>places</w:t>
      </w:r>
      <w:r w:rsidRPr="00B86F3B">
        <w:rPr>
          <w:rFonts w:ascii="Arial" w:hAnsi="Arial" w:cs="Arial"/>
          <w:spacing w:val="-5"/>
          <w:sz w:val="20"/>
        </w:rPr>
        <w:t xml:space="preserve"> </w:t>
      </w:r>
      <w:r w:rsidRPr="00B86F3B">
        <w:rPr>
          <w:rFonts w:ascii="Arial" w:hAnsi="Arial" w:cs="Arial"/>
          <w:sz w:val="20"/>
        </w:rPr>
        <w:t>in</w:t>
      </w:r>
      <w:r w:rsidRPr="00B86F3B">
        <w:rPr>
          <w:rFonts w:ascii="Arial" w:hAnsi="Arial" w:cs="Arial"/>
          <w:spacing w:val="-7"/>
          <w:sz w:val="20"/>
        </w:rPr>
        <w:t xml:space="preserve"> </w:t>
      </w:r>
      <w:r w:rsidRPr="00B86F3B">
        <w:rPr>
          <w:rFonts w:ascii="Arial" w:hAnsi="Arial" w:cs="Arial"/>
          <w:sz w:val="20"/>
        </w:rPr>
        <w:t>airspace</w:t>
      </w:r>
      <w:r w:rsidRPr="00B86F3B">
        <w:rPr>
          <w:rFonts w:ascii="Arial" w:hAnsi="Arial" w:cs="Arial"/>
          <w:spacing w:val="-7"/>
          <w:sz w:val="20"/>
        </w:rPr>
        <w:t xml:space="preserve"> </w:t>
      </w:r>
      <w:r w:rsidRPr="00B86F3B">
        <w:rPr>
          <w:rFonts w:ascii="Arial" w:hAnsi="Arial" w:cs="Arial"/>
          <w:sz w:val="20"/>
        </w:rPr>
        <w:t>of</w:t>
      </w:r>
      <w:r w:rsidRPr="00B86F3B">
        <w:rPr>
          <w:rFonts w:ascii="Arial" w:hAnsi="Arial" w:cs="Arial"/>
          <w:spacing w:val="-3"/>
          <w:sz w:val="20"/>
        </w:rPr>
        <w:t xml:space="preserve"> </w:t>
      </w:r>
      <w:r w:rsidRPr="00B86F3B">
        <w:rPr>
          <w:rFonts w:ascii="Arial" w:hAnsi="Arial" w:cs="Arial"/>
          <w:sz w:val="20"/>
        </w:rPr>
        <w:t>a</w:t>
      </w:r>
      <w:r w:rsidRPr="00B86F3B">
        <w:rPr>
          <w:rFonts w:ascii="Arial" w:hAnsi="Arial" w:cs="Arial"/>
          <w:spacing w:val="-6"/>
          <w:sz w:val="20"/>
        </w:rPr>
        <w:t xml:space="preserve"> </w:t>
      </w:r>
      <w:r w:rsidRPr="00B86F3B">
        <w:rPr>
          <w:rFonts w:ascii="Arial" w:hAnsi="Arial" w:cs="Arial"/>
          <w:sz w:val="20"/>
        </w:rPr>
        <w:t>third</w:t>
      </w:r>
      <w:r w:rsidRPr="00B86F3B">
        <w:rPr>
          <w:rFonts w:ascii="Arial" w:hAnsi="Arial" w:cs="Arial"/>
          <w:spacing w:val="-6"/>
          <w:sz w:val="20"/>
        </w:rPr>
        <w:t xml:space="preserve"> </w:t>
      </w:r>
      <w:r w:rsidRPr="00B86F3B">
        <w:rPr>
          <w:rFonts w:ascii="Arial" w:hAnsi="Arial" w:cs="Arial"/>
          <w:sz w:val="20"/>
        </w:rPr>
        <w:t>country,</w:t>
      </w:r>
      <w:r w:rsidRPr="00B86F3B">
        <w:rPr>
          <w:rFonts w:ascii="Arial" w:hAnsi="Arial" w:cs="Arial"/>
          <w:spacing w:val="-6"/>
          <w:sz w:val="20"/>
        </w:rPr>
        <w:t xml:space="preserve"> </w:t>
      </w:r>
      <w:r w:rsidRPr="00B86F3B">
        <w:rPr>
          <w:rFonts w:ascii="Arial" w:hAnsi="Arial" w:cs="Arial"/>
          <w:sz w:val="20"/>
        </w:rPr>
        <w:t>the</w:t>
      </w:r>
      <w:r w:rsidRPr="00B86F3B">
        <w:rPr>
          <w:rFonts w:ascii="Arial" w:hAnsi="Arial" w:cs="Arial"/>
          <w:spacing w:val="-3"/>
          <w:sz w:val="20"/>
        </w:rPr>
        <w:t xml:space="preserve"> </w:t>
      </w:r>
      <w:r w:rsidRPr="00B86F3B">
        <w:rPr>
          <w:rFonts w:ascii="Arial" w:hAnsi="Arial" w:cs="Arial"/>
          <w:sz w:val="20"/>
        </w:rPr>
        <w:t>law</w:t>
      </w:r>
      <w:r w:rsidRPr="00B86F3B">
        <w:rPr>
          <w:rFonts w:ascii="Arial" w:hAnsi="Arial" w:cs="Arial"/>
          <w:spacing w:val="-5"/>
          <w:sz w:val="20"/>
        </w:rPr>
        <w:t xml:space="preserve"> </w:t>
      </w:r>
      <w:r w:rsidRPr="00B86F3B">
        <w:rPr>
          <w:rFonts w:ascii="Arial" w:hAnsi="Arial" w:cs="Arial"/>
          <w:sz w:val="20"/>
        </w:rPr>
        <w:t>of</w:t>
      </w:r>
      <w:r w:rsidRPr="00B86F3B">
        <w:rPr>
          <w:rFonts w:ascii="Arial" w:hAnsi="Arial" w:cs="Arial"/>
          <w:spacing w:val="-6"/>
          <w:sz w:val="20"/>
        </w:rPr>
        <w:t xml:space="preserve"> </w:t>
      </w:r>
      <w:r w:rsidRPr="00B86F3B">
        <w:rPr>
          <w:rFonts w:ascii="Arial" w:hAnsi="Arial" w:cs="Arial"/>
          <w:sz w:val="20"/>
        </w:rPr>
        <w:t>that</w:t>
      </w:r>
      <w:r w:rsidRPr="00B86F3B">
        <w:rPr>
          <w:rFonts w:ascii="Arial" w:hAnsi="Arial" w:cs="Arial"/>
          <w:spacing w:val="-6"/>
          <w:sz w:val="20"/>
        </w:rPr>
        <w:t xml:space="preserve"> </w:t>
      </w:r>
      <w:r w:rsidRPr="00B86F3B">
        <w:rPr>
          <w:rFonts w:ascii="Arial" w:hAnsi="Arial" w:cs="Arial"/>
          <w:sz w:val="20"/>
        </w:rPr>
        <w:t>third</w:t>
      </w:r>
      <w:r w:rsidRPr="00B86F3B">
        <w:rPr>
          <w:rFonts w:ascii="Arial" w:hAnsi="Arial" w:cs="Arial"/>
          <w:spacing w:val="-4"/>
          <w:sz w:val="20"/>
        </w:rPr>
        <w:t xml:space="preserve"> </w:t>
      </w:r>
      <w:r w:rsidRPr="00B86F3B">
        <w:rPr>
          <w:rFonts w:ascii="Arial" w:hAnsi="Arial" w:cs="Arial"/>
          <w:sz w:val="20"/>
        </w:rPr>
        <w:t>country.</w:t>
      </w:r>
      <w:r w:rsidR="00986869">
        <w:rPr>
          <w:rFonts w:ascii="Arial" w:hAnsi="Arial" w:cs="Arial"/>
          <w:sz w:val="20"/>
          <w:lang w:val="hy-AM"/>
        </w:rPr>
        <w:t xml:space="preserve"> </w:t>
      </w:r>
      <w:r w:rsidR="00986869" w:rsidRPr="00986869">
        <w:rPr>
          <w:rFonts w:ascii="Arial" w:hAnsi="Arial" w:cs="Arial"/>
          <w:sz w:val="20"/>
        </w:rPr>
        <w:t>Transponders are not mandatory in Class G airspace except during en-route flights.</w:t>
      </w:r>
    </w:p>
    <w:p w14:paraId="21100E08" w14:textId="77777777" w:rsidR="00B86F3B" w:rsidRPr="00B86F3B" w:rsidRDefault="00B86F3B" w:rsidP="009601C2">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338" w:name="AMC1_BOP.BAS.360_Transponder"/>
      <w:bookmarkStart w:id="339" w:name="_bookmark141"/>
      <w:bookmarkStart w:id="340" w:name="_Toc153137306"/>
      <w:bookmarkEnd w:id="338"/>
      <w:bookmarkEnd w:id="339"/>
      <w:r w:rsidRPr="00B86F3B">
        <w:rPr>
          <w:rFonts w:ascii="Arial" w:eastAsia="Times New Roman" w:hAnsi="Arial" w:cs="Times New Roman"/>
          <w:b/>
          <w:color w:val="FFFFFF"/>
          <w:sz w:val="24"/>
        </w:rPr>
        <w:t>AMC1 BOP.BAS.360 Transponder</w:t>
      </w:r>
      <w:bookmarkEnd w:id="340"/>
    </w:p>
    <w:p w14:paraId="7FF71CF9" w14:textId="77777777" w:rsidR="00B86F3B" w:rsidRPr="00276D5E" w:rsidRDefault="00B86F3B" w:rsidP="009601C2">
      <w:pPr>
        <w:spacing w:line="276" w:lineRule="auto"/>
        <w:jc w:val="both"/>
        <w:rPr>
          <w:rFonts w:ascii="Arial" w:hAnsi="Arial" w:cs="Arial"/>
          <w:b/>
          <w:sz w:val="20"/>
        </w:rPr>
      </w:pPr>
      <w:r w:rsidRPr="00276D5E">
        <w:rPr>
          <w:rFonts w:ascii="Arial" w:hAnsi="Arial" w:cs="Arial"/>
          <w:b/>
          <w:sz w:val="20"/>
        </w:rPr>
        <w:t>GENERAL</w:t>
      </w:r>
    </w:p>
    <w:p w14:paraId="461F7504" w14:textId="77777777" w:rsidR="00B86F3B" w:rsidRPr="00B86F3B" w:rsidRDefault="00B86F3B" w:rsidP="005366B2">
      <w:pPr>
        <w:numPr>
          <w:ilvl w:val="0"/>
          <w:numId w:val="81"/>
        </w:numPr>
        <w:tabs>
          <w:tab w:val="left" w:pos="1273"/>
          <w:tab w:val="left" w:pos="1274"/>
        </w:tabs>
        <w:spacing w:before="122" w:line="276" w:lineRule="auto"/>
        <w:ind w:right="44"/>
        <w:jc w:val="both"/>
        <w:rPr>
          <w:rFonts w:ascii="Arial" w:hAnsi="Arial" w:cs="Arial"/>
          <w:sz w:val="20"/>
          <w:szCs w:val="20"/>
        </w:rPr>
      </w:pPr>
      <w:r w:rsidRPr="00B86F3B">
        <w:rPr>
          <w:rFonts w:ascii="Arial" w:hAnsi="Arial" w:cs="Arial"/>
          <w:sz w:val="20"/>
          <w:szCs w:val="20"/>
        </w:rPr>
        <w:t>The secondary surveillance radar (SSR) transponders of balloons being operated under European air traffic control should comply with any applicable single European sky legislation.</w:t>
      </w:r>
    </w:p>
    <w:p w14:paraId="3FD8FE55" w14:textId="77777777" w:rsidR="00B86F3B" w:rsidRPr="00B86F3B" w:rsidRDefault="00B86F3B" w:rsidP="005366B2">
      <w:pPr>
        <w:numPr>
          <w:ilvl w:val="0"/>
          <w:numId w:val="81"/>
        </w:numPr>
        <w:tabs>
          <w:tab w:val="left" w:pos="1273"/>
          <w:tab w:val="left" w:pos="1274"/>
        </w:tabs>
        <w:spacing w:before="122" w:line="276" w:lineRule="auto"/>
        <w:ind w:right="44"/>
        <w:jc w:val="both"/>
        <w:rPr>
          <w:rFonts w:ascii="Arial" w:hAnsi="Arial" w:cs="Arial"/>
          <w:sz w:val="20"/>
          <w:szCs w:val="20"/>
        </w:rPr>
      </w:pPr>
      <w:r w:rsidRPr="00B86F3B">
        <w:rPr>
          <w:rFonts w:ascii="Arial" w:hAnsi="Arial" w:cs="Arial"/>
          <w:sz w:val="20"/>
          <w:szCs w:val="20"/>
        </w:rPr>
        <w:t xml:space="preserve">If the single European sky legislation is not applicable, the SSR transponders should operate in </w:t>
      </w:r>
      <w:r w:rsidRPr="00B86F3B">
        <w:rPr>
          <w:rFonts w:ascii="Arial" w:hAnsi="Arial" w:cs="Arial"/>
          <w:sz w:val="20"/>
          <w:szCs w:val="20"/>
        </w:rPr>
        <w:lastRenderedPageBreak/>
        <w:t>accordance with the relevant provisions of Volume IV of ICAO Annex 10 to the Chicago Convention, ‘Aeronautical telecommunications’.</w:t>
      </w:r>
    </w:p>
    <w:p w14:paraId="4B90B033" w14:textId="77777777" w:rsidR="008B51F3" w:rsidRDefault="008B51F3" w:rsidP="009601C2">
      <w:pPr>
        <w:tabs>
          <w:tab w:val="left" w:pos="1273"/>
          <w:tab w:val="left" w:pos="1274"/>
        </w:tabs>
        <w:spacing w:before="122" w:line="276" w:lineRule="auto"/>
        <w:ind w:right="200"/>
        <w:rPr>
          <w:rFonts w:ascii="Arial" w:hAnsi="Arial" w:cs="Arial"/>
          <w:sz w:val="20"/>
          <w:szCs w:val="20"/>
        </w:rPr>
      </w:pPr>
    </w:p>
    <w:p w14:paraId="08C464B4" w14:textId="77777777" w:rsidR="008B51F3" w:rsidRPr="00FA7754" w:rsidRDefault="008B51F3" w:rsidP="009601C2">
      <w:pPr>
        <w:keepNext/>
        <w:keepLines/>
        <w:widowControl/>
        <w:autoSpaceDE/>
        <w:autoSpaceDN/>
        <w:spacing w:before="40" w:line="276" w:lineRule="auto"/>
        <w:jc w:val="center"/>
        <w:outlineLvl w:val="2"/>
        <w:rPr>
          <w:rFonts w:ascii="Arial" w:eastAsiaTheme="majorEastAsia" w:hAnsi="Arial" w:cs="Arial"/>
          <w:b/>
          <w:color w:val="00B0F0"/>
          <w:sz w:val="24"/>
          <w:szCs w:val="24"/>
        </w:rPr>
      </w:pPr>
      <w:bookmarkStart w:id="341" w:name="_Toc153137307"/>
      <w:r w:rsidRPr="00FA7754">
        <w:rPr>
          <w:rFonts w:ascii="Arial" w:eastAsiaTheme="majorEastAsia" w:hAnsi="Arial" w:cs="Arial"/>
          <w:b/>
          <w:color w:val="00B0F0"/>
          <w:sz w:val="24"/>
          <w:szCs w:val="24"/>
        </w:rPr>
        <w:t>SUBPART ADD — ADDITIONAL REQUIREMENTS FOR COMMERCIAL OPERATIONS</w:t>
      </w:r>
      <w:bookmarkEnd w:id="341"/>
    </w:p>
    <w:p w14:paraId="71580E80" w14:textId="77777777" w:rsidR="008B51F3" w:rsidRPr="00FA7754" w:rsidRDefault="008B51F3" w:rsidP="009601C2">
      <w:pPr>
        <w:keepNext/>
        <w:keepLines/>
        <w:spacing w:before="40" w:line="276" w:lineRule="auto"/>
        <w:jc w:val="center"/>
        <w:outlineLvl w:val="3"/>
        <w:rPr>
          <w:rFonts w:ascii="Arial" w:eastAsiaTheme="majorEastAsia" w:hAnsi="Arial" w:cs="Arial"/>
          <w:b/>
          <w:iCs/>
          <w:color w:val="2E74B5" w:themeColor="accent1" w:themeShade="BF"/>
          <w:sz w:val="24"/>
          <w:szCs w:val="24"/>
        </w:rPr>
      </w:pPr>
      <w:bookmarkStart w:id="342" w:name="_Toc153137308"/>
      <w:r w:rsidRPr="00FA7754">
        <w:rPr>
          <w:rFonts w:ascii="Arial" w:eastAsiaTheme="majorEastAsia" w:hAnsi="Arial" w:cs="Arial"/>
          <w:b/>
          <w:iCs/>
          <w:color w:val="2E74B5" w:themeColor="accent1" w:themeShade="BF"/>
          <w:sz w:val="24"/>
          <w:szCs w:val="24"/>
        </w:rPr>
        <w:t>SECTION 1 – GENERAL ORGANISATION REQUIREMENTS</w:t>
      </w:r>
      <w:bookmarkEnd w:id="342"/>
    </w:p>
    <w:p w14:paraId="5A313EC8" w14:textId="77777777" w:rsidR="008B51F3" w:rsidRPr="008B51F3" w:rsidRDefault="008B51F3"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343" w:name="BOP.ADD.001_Scope"/>
      <w:bookmarkStart w:id="344" w:name="_bookmark144"/>
      <w:bookmarkStart w:id="345" w:name="_Toc153137309"/>
      <w:bookmarkEnd w:id="343"/>
      <w:bookmarkEnd w:id="344"/>
      <w:r w:rsidRPr="008B51F3">
        <w:rPr>
          <w:rFonts w:ascii="Arial" w:eastAsia="Times New Roman" w:hAnsi="Arial" w:cs="Times New Roman"/>
          <w:b/>
          <w:iCs/>
          <w:color w:val="FFFFFF"/>
          <w:sz w:val="24"/>
        </w:rPr>
        <w:t>BOP.ADD.001 Scope</w:t>
      </w:r>
      <w:bookmarkEnd w:id="345"/>
    </w:p>
    <w:p w14:paraId="2E426948" w14:textId="1905F3C1" w:rsidR="008B51F3" w:rsidRDefault="008B51F3" w:rsidP="0009045D">
      <w:pPr>
        <w:tabs>
          <w:tab w:val="left" w:pos="1273"/>
          <w:tab w:val="left" w:pos="1274"/>
        </w:tabs>
        <w:spacing w:before="122" w:line="276" w:lineRule="auto"/>
        <w:ind w:right="44"/>
        <w:jc w:val="both"/>
        <w:rPr>
          <w:rFonts w:ascii="Arial" w:hAnsi="Arial" w:cs="Arial"/>
          <w:sz w:val="20"/>
          <w:szCs w:val="20"/>
        </w:rPr>
      </w:pPr>
      <w:r w:rsidRPr="008B51F3">
        <w:rPr>
          <w:rFonts w:ascii="Arial" w:hAnsi="Arial" w:cs="Arial"/>
          <w:sz w:val="20"/>
          <w:szCs w:val="20"/>
        </w:rPr>
        <w:t xml:space="preserve">In accordance with </w:t>
      </w:r>
      <w:r w:rsidRPr="00C9350E">
        <w:rPr>
          <w:rFonts w:ascii="Arial" w:hAnsi="Arial" w:cs="Arial"/>
          <w:sz w:val="20"/>
          <w:szCs w:val="20"/>
        </w:rPr>
        <w:t xml:space="preserve">Article 3, </w:t>
      </w:r>
      <w:r w:rsidRPr="008B51F3">
        <w:rPr>
          <w:rFonts w:ascii="Arial" w:hAnsi="Arial" w:cs="Arial"/>
          <w:sz w:val="20"/>
          <w:szCs w:val="20"/>
        </w:rPr>
        <w:t xml:space="preserve">this Subpart establishes the requirements to be met, in addition to the requirements of Subpart BAS, by any operator engaged in commercial operations with balloons, other than the operators referred to in the last subparagraph </w:t>
      </w:r>
      <w:r w:rsidRPr="00C9350E">
        <w:rPr>
          <w:rFonts w:ascii="Arial" w:hAnsi="Arial" w:cs="Arial"/>
          <w:sz w:val="20"/>
          <w:szCs w:val="20"/>
        </w:rPr>
        <w:t>Article 3(2).</w:t>
      </w:r>
    </w:p>
    <w:p w14:paraId="44CDB4D7" w14:textId="77777777" w:rsidR="008B51F3" w:rsidRPr="008B51F3" w:rsidRDefault="008B51F3"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346" w:name="BOP.ADD.005_Responsibilities_of_the_oper"/>
      <w:bookmarkStart w:id="347" w:name="_bookmark145"/>
      <w:bookmarkStart w:id="348" w:name="_Toc153137310"/>
      <w:bookmarkEnd w:id="346"/>
      <w:bookmarkEnd w:id="347"/>
      <w:r w:rsidRPr="008B51F3">
        <w:rPr>
          <w:rFonts w:ascii="Arial" w:eastAsia="Times New Roman" w:hAnsi="Arial" w:cs="Times New Roman"/>
          <w:b/>
          <w:iCs/>
          <w:color w:val="FFFFFF"/>
          <w:sz w:val="24"/>
        </w:rPr>
        <w:t>BOP.ADD.005 Responsibilities of the operator</w:t>
      </w:r>
      <w:bookmarkEnd w:id="348"/>
    </w:p>
    <w:p w14:paraId="229F7319" w14:textId="7BBC16A8" w:rsidR="008B51F3" w:rsidRPr="008B51F3" w:rsidRDefault="008B51F3" w:rsidP="0009045D">
      <w:pPr>
        <w:numPr>
          <w:ilvl w:val="0"/>
          <w:numId w:val="82"/>
        </w:numPr>
        <w:tabs>
          <w:tab w:val="left" w:pos="1273"/>
          <w:tab w:val="left" w:pos="1274"/>
        </w:tabs>
        <w:spacing w:before="122" w:line="276" w:lineRule="auto"/>
        <w:ind w:right="44"/>
        <w:jc w:val="both"/>
        <w:rPr>
          <w:rFonts w:ascii="Arial" w:hAnsi="Arial" w:cs="Arial"/>
          <w:sz w:val="20"/>
          <w:szCs w:val="20"/>
        </w:rPr>
      </w:pPr>
      <w:r w:rsidRPr="008B51F3">
        <w:rPr>
          <w:rFonts w:ascii="Arial" w:hAnsi="Arial" w:cs="Arial"/>
          <w:sz w:val="20"/>
          <w:szCs w:val="20"/>
        </w:rPr>
        <w:t xml:space="preserve">The operator shall be responsible for the operation of the balloon in accordance with the essential requirements set out in </w:t>
      </w:r>
      <w:hyperlink r:id="rId55" w:history="1">
        <w:r w:rsidR="005C2A3C" w:rsidRPr="004073D2">
          <w:rPr>
            <w:rStyle w:val="Hyperlink"/>
            <w:rFonts w:ascii="Arial" w:hAnsi="Arial" w:cs="Arial"/>
            <w:sz w:val="20"/>
            <w:szCs w:val="20"/>
          </w:rPr>
          <w:t>Law on Aviation of the Republic of Armenia</w:t>
        </w:r>
      </w:hyperlink>
      <w:r w:rsidRPr="008B51F3">
        <w:rPr>
          <w:rFonts w:ascii="Arial" w:hAnsi="Arial" w:cs="Arial"/>
          <w:sz w:val="20"/>
          <w:szCs w:val="20"/>
        </w:rPr>
        <w:t>, with the requirements of this Subpart and with its declaration.</w:t>
      </w:r>
    </w:p>
    <w:p w14:paraId="5A0F5B80" w14:textId="77777777" w:rsidR="008B51F3" w:rsidRPr="008B51F3" w:rsidRDefault="008B51F3" w:rsidP="0009045D">
      <w:pPr>
        <w:numPr>
          <w:ilvl w:val="0"/>
          <w:numId w:val="82"/>
        </w:numPr>
        <w:tabs>
          <w:tab w:val="left" w:pos="1273"/>
          <w:tab w:val="left" w:pos="1274"/>
        </w:tabs>
        <w:spacing w:before="122" w:line="276" w:lineRule="auto"/>
        <w:ind w:right="44"/>
        <w:jc w:val="both"/>
        <w:rPr>
          <w:rFonts w:ascii="Arial" w:hAnsi="Arial" w:cs="Arial"/>
          <w:sz w:val="20"/>
          <w:szCs w:val="20"/>
        </w:rPr>
      </w:pPr>
      <w:r w:rsidRPr="008B51F3">
        <w:rPr>
          <w:rFonts w:ascii="Arial" w:hAnsi="Arial" w:cs="Arial"/>
          <w:sz w:val="20"/>
          <w:szCs w:val="20"/>
        </w:rPr>
        <w:t>Every flight shall be conducted in accordance with the provisions of the operations manual.</w:t>
      </w:r>
    </w:p>
    <w:p w14:paraId="1A361A0A" w14:textId="77777777" w:rsidR="008B51F3" w:rsidRPr="008B51F3" w:rsidRDefault="008B51F3" w:rsidP="0009045D">
      <w:pPr>
        <w:numPr>
          <w:ilvl w:val="0"/>
          <w:numId w:val="82"/>
        </w:numPr>
        <w:tabs>
          <w:tab w:val="left" w:pos="1273"/>
          <w:tab w:val="left" w:pos="1274"/>
        </w:tabs>
        <w:spacing w:before="122" w:line="276" w:lineRule="auto"/>
        <w:ind w:right="44"/>
        <w:jc w:val="both"/>
        <w:rPr>
          <w:rFonts w:ascii="Arial" w:hAnsi="Arial" w:cs="Arial"/>
          <w:sz w:val="20"/>
          <w:szCs w:val="20"/>
        </w:rPr>
      </w:pPr>
      <w:r w:rsidRPr="008B51F3">
        <w:rPr>
          <w:rFonts w:ascii="Arial" w:hAnsi="Arial" w:cs="Arial"/>
          <w:sz w:val="20"/>
          <w:szCs w:val="20"/>
        </w:rPr>
        <w:t>The operator shall ensure that the balloon is equipped and all crew members are qualified as required for the area and type of operation.</w:t>
      </w:r>
    </w:p>
    <w:p w14:paraId="2891B1A0" w14:textId="77777777" w:rsidR="008B51F3" w:rsidRPr="008B51F3" w:rsidRDefault="008B51F3" w:rsidP="0009045D">
      <w:pPr>
        <w:numPr>
          <w:ilvl w:val="0"/>
          <w:numId w:val="82"/>
        </w:numPr>
        <w:tabs>
          <w:tab w:val="left" w:pos="1273"/>
          <w:tab w:val="left" w:pos="1274"/>
        </w:tabs>
        <w:spacing w:before="122" w:line="276" w:lineRule="auto"/>
        <w:ind w:right="44"/>
        <w:jc w:val="both"/>
        <w:rPr>
          <w:rFonts w:ascii="Arial" w:hAnsi="Arial" w:cs="Arial"/>
          <w:sz w:val="20"/>
          <w:szCs w:val="20"/>
        </w:rPr>
      </w:pPr>
      <w:r w:rsidRPr="008B51F3">
        <w:rPr>
          <w:rFonts w:ascii="Arial" w:hAnsi="Arial" w:cs="Arial"/>
          <w:sz w:val="20"/>
          <w:szCs w:val="20"/>
        </w:rPr>
        <w:t>The operator shall ensure that all crew members assigned to, or directly involved in, flight operations comply with all of the following conditions:</w:t>
      </w:r>
    </w:p>
    <w:p w14:paraId="7857FF3E" w14:textId="77777777" w:rsidR="008B51F3" w:rsidRPr="008B51F3" w:rsidRDefault="008B51F3" w:rsidP="0009045D">
      <w:pPr>
        <w:numPr>
          <w:ilvl w:val="1"/>
          <w:numId w:val="82"/>
        </w:numPr>
        <w:spacing w:before="122" w:line="276" w:lineRule="auto"/>
        <w:ind w:right="44"/>
        <w:jc w:val="both"/>
        <w:rPr>
          <w:rFonts w:ascii="Arial" w:hAnsi="Arial" w:cs="Arial"/>
          <w:sz w:val="20"/>
          <w:szCs w:val="20"/>
        </w:rPr>
      </w:pPr>
      <w:r w:rsidRPr="008B51F3">
        <w:rPr>
          <w:rFonts w:ascii="Arial" w:hAnsi="Arial" w:cs="Arial"/>
          <w:sz w:val="20"/>
          <w:szCs w:val="20"/>
        </w:rPr>
        <w:t>they are properly trained and instructed;</w:t>
      </w:r>
    </w:p>
    <w:p w14:paraId="62E7EF99" w14:textId="77777777" w:rsidR="008B51F3" w:rsidRPr="008B51F3" w:rsidRDefault="008B51F3" w:rsidP="0009045D">
      <w:pPr>
        <w:numPr>
          <w:ilvl w:val="1"/>
          <w:numId w:val="82"/>
        </w:numPr>
        <w:spacing w:before="122" w:line="276" w:lineRule="auto"/>
        <w:ind w:right="44"/>
        <w:jc w:val="both"/>
        <w:rPr>
          <w:rFonts w:ascii="Arial" w:hAnsi="Arial" w:cs="Arial"/>
          <w:sz w:val="20"/>
          <w:szCs w:val="20"/>
        </w:rPr>
      </w:pPr>
      <w:r w:rsidRPr="008B51F3">
        <w:rPr>
          <w:rFonts w:ascii="Arial" w:hAnsi="Arial" w:cs="Arial"/>
          <w:sz w:val="20"/>
          <w:szCs w:val="20"/>
        </w:rPr>
        <w:t>they are aware of the rules and procedures relevant to their particular duties;</w:t>
      </w:r>
    </w:p>
    <w:p w14:paraId="76DFA702" w14:textId="77777777" w:rsidR="008B51F3" w:rsidRPr="008B51F3" w:rsidRDefault="008B51F3" w:rsidP="0009045D">
      <w:pPr>
        <w:numPr>
          <w:ilvl w:val="1"/>
          <w:numId w:val="82"/>
        </w:numPr>
        <w:spacing w:before="122" w:line="276" w:lineRule="auto"/>
        <w:ind w:right="44"/>
        <w:jc w:val="both"/>
        <w:rPr>
          <w:rFonts w:ascii="Arial" w:hAnsi="Arial" w:cs="Arial"/>
          <w:sz w:val="20"/>
          <w:szCs w:val="20"/>
        </w:rPr>
      </w:pPr>
      <w:r w:rsidRPr="008B51F3">
        <w:rPr>
          <w:rFonts w:ascii="Arial" w:hAnsi="Arial" w:cs="Arial"/>
          <w:sz w:val="20"/>
          <w:szCs w:val="20"/>
        </w:rPr>
        <w:t>they have demonstrated their abilities in their particular duties;</w:t>
      </w:r>
    </w:p>
    <w:p w14:paraId="7D16DD2D" w14:textId="77777777" w:rsidR="008B51F3" w:rsidRPr="008B51F3" w:rsidRDefault="008B51F3" w:rsidP="0009045D">
      <w:pPr>
        <w:numPr>
          <w:ilvl w:val="1"/>
          <w:numId w:val="82"/>
        </w:numPr>
        <w:spacing w:before="122" w:line="276" w:lineRule="auto"/>
        <w:ind w:right="44"/>
        <w:jc w:val="both"/>
        <w:rPr>
          <w:rFonts w:ascii="Arial" w:hAnsi="Arial" w:cs="Arial"/>
          <w:sz w:val="20"/>
          <w:szCs w:val="20"/>
        </w:rPr>
      </w:pPr>
      <w:r w:rsidRPr="008B51F3">
        <w:rPr>
          <w:rFonts w:ascii="Arial" w:hAnsi="Arial" w:cs="Arial"/>
          <w:sz w:val="20"/>
          <w:szCs w:val="20"/>
        </w:rPr>
        <w:t>they are aware of their responsibilities and the relationship of such duties to the operation of the balloon as a whole.</w:t>
      </w:r>
    </w:p>
    <w:p w14:paraId="71300573" w14:textId="77777777" w:rsidR="008B51F3" w:rsidRPr="008B51F3" w:rsidRDefault="008B51F3" w:rsidP="0009045D">
      <w:pPr>
        <w:numPr>
          <w:ilvl w:val="0"/>
          <w:numId w:val="82"/>
        </w:numPr>
        <w:tabs>
          <w:tab w:val="left" w:pos="1273"/>
          <w:tab w:val="left" w:pos="1274"/>
        </w:tabs>
        <w:spacing w:before="122" w:line="276" w:lineRule="auto"/>
        <w:ind w:right="44"/>
        <w:jc w:val="both"/>
        <w:rPr>
          <w:rFonts w:ascii="Arial" w:hAnsi="Arial" w:cs="Arial"/>
          <w:sz w:val="20"/>
          <w:szCs w:val="20"/>
        </w:rPr>
      </w:pPr>
      <w:r w:rsidRPr="008B51F3">
        <w:rPr>
          <w:rFonts w:ascii="Arial" w:hAnsi="Arial" w:cs="Arial"/>
          <w:sz w:val="20"/>
          <w:szCs w:val="20"/>
        </w:rPr>
        <w:t>The operator shall establish procedures and instructions for the safe operation of each balloon type, containing duties and responsibilities of the crew members, for all types of operations. Those procedures and instructions shall not require crew members to perform any activity during critical phases of flight other than those required for the safe operation of the balloon.</w:t>
      </w:r>
    </w:p>
    <w:p w14:paraId="5A4E0197" w14:textId="77777777" w:rsidR="008B51F3" w:rsidRPr="008B51F3" w:rsidRDefault="008B51F3" w:rsidP="0009045D">
      <w:pPr>
        <w:numPr>
          <w:ilvl w:val="0"/>
          <w:numId w:val="82"/>
        </w:numPr>
        <w:tabs>
          <w:tab w:val="left" w:pos="1273"/>
          <w:tab w:val="left" w:pos="1274"/>
        </w:tabs>
        <w:spacing w:before="122" w:line="276" w:lineRule="auto"/>
        <w:ind w:right="44"/>
        <w:jc w:val="both"/>
        <w:rPr>
          <w:rFonts w:ascii="Arial" w:hAnsi="Arial" w:cs="Arial"/>
          <w:sz w:val="20"/>
          <w:szCs w:val="20"/>
        </w:rPr>
      </w:pPr>
      <w:r w:rsidRPr="008B51F3">
        <w:rPr>
          <w:rFonts w:ascii="Arial" w:hAnsi="Arial" w:cs="Arial"/>
          <w:sz w:val="20"/>
          <w:szCs w:val="20"/>
        </w:rPr>
        <w:t>The operator shall make arrangements for the supervision of crew members and personnel involved in the operation of the balloon by individuals with adequate experience and skills in order to ensure the attainment of the standards specified in the operations manual.</w:t>
      </w:r>
    </w:p>
    <w:p w14:paraId="7D9FDE96" w14:textId="77777777" w:rsidR="008B51F3" w:rsidRPr="008B51F3" w:rsidRDefault="008B51F3" w:rsidP="0009045D">
      <w:pPr>
        <w:numPr>
          <w:ilvl w:val="0"/>
          <w:numId w:val="82"/>
        </w:numPr>
        <w:tabs>
          <w:tab w:val="left" w:pos="1273"/>
          <w:tab w:val="left" w:pos="1274"/>
        </w:tabs>
        <w:spacing w:before="122" w:line="276" w:lineRule="auto"/>
        <w:ind w:right="44"/>
        <w:jc w:val="both"/>
        <w:rPr>
          <w:rFonts w:ascii="Arial" w:hAnsi="Arial" w:cs="Arial"/>
          <w:sz w:val="20"/>
          <w:szCs w:val="20"/>
        </w:rPr>
      </w:pPr>
      <w:r w:rsidRPr="008B51F3">
        <w:rPr>
          <w:rFonts w:ascii="Arial" w:hAnsi="Arial" w:cs="Arial"/>
          <w:sz w:val="20"/>
          <w:szCs w:val="20"/>
        </w:rPr>
        <w:t>The operator shall ensure that all crew members and personnel involved in the operation of the balloon are made aware that they are to comply with the laws, regulations and procedures of the States in which operations are conducted that are pertinent to the performance of their duties.</w:t>
      </w:r>
    </w:p>
    <w:p w14:paraId="792B0D6F" w14:textId="77777777" w:rsidR="008B51F3" w:rsidRPr="00276D5E" w:rsidRDefault="008B51F3" w:rsidP="0009045D">
      <w:pPr>
        <w:pStyle w:val="ListParagraph"/>
        <w:numPr>
          <w:ilvl w:val="0"/>
          <w:numId w:val="82"/>
        </w:numPr>
        <w:tabs>
          <w:tab w:val="left" w:pos="707"/>
        </w:tabs>
        <w:spacing w:line="276" w:lineRule="auto"/>
        <w:ind w:right="44"/>
        <w:jc w:val="both"/>
        <w:rPr>
          <w:rFonts w:ascii="Arial" w:hAnsi="Arial" w:cs="Arial"/>
        </w:rPr>
      </w:pPr>
      <w:r w:rsidRPr="008B51F3">
        <w:rPr>
          <w:rFonts w:ascii="Arial" w:hAnsi="Arial" w:cs="Arial"/>
          <w:sz w:val="20"/>
          <w:szCs w:val="20"/>
        </w:rPr>
        <w:t>The operator shall specify flight planning procedures to provide for the safe conduct of the flight, based on considerations of balloon performance, other operating limitations and relevant expected conditions on the route to be followed and at the operating sites</w:t>
      </w:r>
      <w:r>
        <w:rPr>
          <w:rFonts w:ascii="Arial" w:hAnsi="Arial" w:cs="Arial"/>
          <w:sz w:val="20"/>
          <w:szCs w:val="20"/>
        </w:rPr>
        <w:t xml:space="preserve"> </w:t>
      </w:r>
      <w:r w:rsidRPr="008B51F3">
        <w:rPr>
          <w:rFonts w:ascii="Arial" w:hAnsi="Arial" w:cs="Arial"/>
          <w:sz w:val="20"/>
          <w:szCs w:val="20"/>
        </w:rPr>
        <w:t>concerned. Those procedures shall be included in the operations manual.</w:t>
      </w:r>
    </w:p>
    <w:p w14:paraId="03AF5FBA" w14:textId="77777777" w:rsidR="008B51F3" w:rsidRPr="008B51F3" w:rsidRDefault="008B51F3"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349" w:name="BOP.ADD.010_Notification_of_alternative_"/>
      <w:bookmarkStart w:id="350" w:name="_bookmark146"/>
      <w:bookmarkStart w:id="351" w:name="_Toc153137311"/>
      <w:bookmarkEnd w:id="349"/>
      <w:bookmarkEnd w:id="350"/>
      <w:r w:rsidRPr="008B51F3">
        <w:rPr>
          <w:rFonts w:ascii="Arial" w:eastAsia="Times New Roman" w:hAnsi="Arial" w:cs="Times New Roman"/>
          <w:b/>
          <w:iCs/>
          <w:color w:val="FFFFFF"/>
          <w:sz w:val="24"/>
        </w:rPr>
        <w:t>BOP.ADD.010 Notification of alternative means of compliance</w:t>
      </w:r>
      <w:bookmarkEnd w:id="351"/>
    </w:p>
    <w:p w14:paraId="3D391E9E" w14:textId="30E334DB" w:rsidR="000C00BE" w:rsidRDefault="008B51F3" w:rsidP="0009045D">
      <w:pPr>
        <w:tabs>
          <w:tab w:val="left" w:pos="1273"/>
          <w:tab w:val="left" w:pos="1274"/>
        </w:tabs>
        <w:spacing w:before="122" w:line="276" w:lineRule="auto"/>
        <w:ind w:right="44"/>
        <w:jc w:val="both"/>
        <w:rPr>
          <w:rFonts w:ascii="Arial" w:hAnsi="Arial" w:cs="Arial"/>
          <w:sz w:val="20"/>
          <w:szCs w:val="20"/>
        </w:rPr>
      </w:pPr>
      <w:r w:rsidRPr="008B51F3">
        <w:rPr>
          <w:rFonts w:ascii="Arial" w:hAnsi="Arial" w:cs="Arial"/>
          <w:sz w:val="20"/>
          <w:szCs w:val="20"/>
        </w:rPr>
        <w:t xml:space="preserve">The operator shall, when making the declaration in accordance with point </w:t>
      </w:r>
      <w:r w:rsidRPr="00C9350E">
        <w:rPr>
          <w:rFonts w:ascii="Arial" w:hAnsi="Arial" w:cs="Arial"/>
          <w:sz w:val="20"/>
          <w:szCs w:val="20"/>
        </w:rPr>
        <w:t>BOP.ADD.100</w:t>
      </w:r>
      <w:r w:rsidRPr="008B51F3">
        <w:rPr>
          <w:rFonts w:ascii="Arial" w:hAnsi="Arial" w:cs="Arial"/>
          <w:sz w:val="20"/>
          <w:szCs w:val="20"/>
        </w:rPr>
        <w:t xml:space="preserve">, notify to the </w:t>
      </w:r>
      <w:r w:rsidR="002C3FB9">
        <w:rPr>
          <w:rFonts w:ascii="Arial" w:hAnsi="Arial" w:cs="Arial"/>
          <w:sz w:val="20"/>
          <w:szCs w:val="20"/>
        </w:rPr>
        <w:t>CAC RA</w:t>
      </w:r>
      <w:r w:rsidR="002C3FB9" w:rsidRPr="004A51D5">
        <w:rPr>
          <w:rFonts w:ascii="Arial" w:hAnsi="Arial" w:cs="Arial"/>
          <w:spacing w:val="1"/>
          <w:sz w:val="20"/>
          <w:szCs w:val="20"/>
        </w:rPr>
        <w:t xml:space="preserve"> </w:t>
      </w:r>
      <w:r w:rsidRPr="008B51F3">
        <w:rPr>
          <w:rFonts w:ascii="Arial" w:hAnsi="Arial" w:cs="Arial"/>
          <w:sz w:val="20"/>
          <w:szCs w:val="20"/>
        </w:rPr>
        <w:t xml:space="preserve">the list of alternative means of compliance (AltMoC), where it intends to use AltMoC to demonstrate compliance when so requested in accordance with point </w:t>
      </w:r>
      <w:r w:rsidRPr="00C9350E">
        <w:rPr>
          <w:rFonts w:ascii="Arial" w:hAnsi="Arial" w:cs="Arial"/>
          <w:sz w:val="20"/>
          <w:szCs w:val="20"/>
        </w:rPr>
        <w:t>BOP.BAS.010</w:t>
      </w:r>
      <w:r w:rsidRPr="008B51F3">
        <w:rPr>
          <w:rFonts w:ascii="Arial" w:hAnsi="Arial" w:cs="Arial"/>
          <w:sz w:val="20"/>
          <w:szCs w:val="20"/>
        </w:rPr>
        <w:t xml:space="preserve">. That list shall </w:t>
      </w:r>
      <w:r w:rsidRPr="008B51F3">
        <w:rPr>
          <w:rFonts w:ascii="Arial" w:hAnsi="Arial" w:cs="Arial"/>
          <w:sz w:val="20"/>
          <w:szCs w:val="20"/>
        </w:rPr>
        <w:lastRenderedPageBreak/>
        <w:t>contain references to the acceptable means of compliance (AMC) which they replace in case associated AMC have been adopted by the Agency.</w:t>
      </w:r>
    </w:p>
    <w:p w14:paraId="535872A2" w14:textId="77777777" w:rsidR="00C316DB" w:rsidRPr="00C316DB" w:rsidRDefault="00C316DB" w:rsidP="009601C2">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352" w:name="AMC1_BOP.ADD.010_Notification_of_alterna"/>
      <w:bookmarkStart w:id="353" w:name="_bookmark147"/>
      <w:bookmarkStart w:id="354" w:name="_Toc153137312"/>
      <w:bookmarkEnd w:id="352"/>
      <w:bookmarkEnd w:id="353"/>
      <w:r w:rsidRPr="00C316DB">
        <w:rPr>
          <w:rFonts w:ascii="Arial" w:eastAsia="Times New Roman" w:hAnsi="Arial" w:cs="Times New Roman"/>
          <w:b/>
          <w:color w:val="FFFFFF"/>
          <w:sz w:val="24"/>
        </w:rPr>
        <w:t>AMC1 BOP.ADD.010 Notification of alternative means of compliance</w:t>
      </w:r>
      <w:bookmarkEnd w:id="354"/>
    </w:p>
    <w:p w14:paraId="03328586" w14:textId="77777777" w:rsidR="00C316DB" w:rsidRPr="00276D5E" w:rsidRDefault="00C316DB" w:rsidP="009601C2">
      <w:pPr>
        <w:spacing w:line="276" w:lineRule="auto"/>
        <w:jc w:val="both"/>
        <w:rPr>
          <w:rFonts w:ascii="Arial" w:hAnsi="Arial" w:cs="Arial"/>
          <w:b/>
          <w:sz w:val="20"/>
        </w:rPr>
      </w:pPr>
      <w:r w:rsidRPr="00276D5E">
        <w:rPr>
          <w:rFonts w:ascii="Arial" w:hAnsi="Arial" w:cs="Arial"/>
          <w:b/>
          <w:sz w:val="20"/>
        </w:rPr>
        <w:t>DEMONSTRATION</w:t>
      </w:r>
      <w:r w:rsidRPr="00276D5E">
        <w:rPr>
          <w:rFonts w:ascii="Arial" w:hAnsi="Arial" w:cs="Arial"/>
          <w:b/>
          <w:spacing w:val="-7"/>
          <w:sz w:val="20"/>
        </w:rPr>
        <w:t xml:space="preserve"> </w:t>
      </w:r>
      <w:r w:rsidRPr="00276D5E">
        <w:rPr>
          <w:rFonts w:ascii="Arial" w:hAnsi="Arial" w:cs="Arial"/>
          <w:b/>
          <w:sz w:val="20"/>
        </w:rPr>
        <w:t>OF</w:t>
      </w:r>
      <w:r w:rsidRPr="00276D5E">
        <w:rPr>
          <w:rFonts w:ascii="Arial" w:hAnsi="Arial" w:cs="Arial"/>
          <w:b/>
          <w:spacing w:val="-7"/>
          <w:sz w:val="20"/>
        </w:rPr>
        <w:t xml:space="preserve"> </w:t>
      </w:r>
      <w:r w:rsidRPr="00276D5E">
        <w:rPr>
          <w:rFonts w:ascii="Arial" w:hAnsi="Arial" w:cs="Arial"/>
          <w:b/>
          <w:sz w:val="20"/>
        </w:rPr>
        <w:t>COMPLIANCE</w:t>
      </w:r>
    </w:p>
    <w:p w14:paraId="443922E5" w14:textId="77777777" w:rsidR="00C316DB" w:rsidRDefault="00AE3F84" w:rsidP="0009045D">
      <w:pPr>
        <w:tabs>
          <w:tab w:val="left" w:pos="1273"/>
          <w:tab w:val="left" w:pos="1274"/>
        </w:tabs>
        <w:spacing w:before="122" w:line="276" w:lineRule="auto"/>
        <w:ind w:right="44"/>
        <w:jc w:val="both"/>
        <w:rPr>
          <w:rFonts w:ascii="Arial" w:hAnsi="Arial" w:cs="Arial"/>
          <w:sz w:val="20"/>
          <w:szCs w:val="20"/>
        </w:rPr>
      </w:pPr>
      <w:r w:rsidRPr="00AE3F84">
        <w:rPr>
          <w:rFonts w:ascii="Arial" w:hAnsi="Arial" w:cs="Arial"/>
          <w:sz w:val="20"/>
          <w:szCs w:val="20"/>
        </w:rPr>
        <w:t>Whenever alternative means of compliance are used, a risk assessment should be completed and documented. The result of this risk assessment should demonstrate that an equivalent level of safety to that establ</w:t>
      </w:r>
      <w:r w:rsidR="00FC2B2D">
        <w:rPr>
          <w:rFonts w:ascii="Arial" w:hAnsi="Arial" w:cs="Arial"/>
          <w:sz w:val="20"/>
          <w:szCs w:val="20"/>
        </w:rPr>
        <w:t>ished by the AMC adopted by CAC RA</w:t>
      </w:r>
      <w:r w:rsidRPr="00AE3F84">
        <w:rPr>
          <w:rFonts w:ascii="Arial" w:hAnsi="Arial" w:cs="Arial"/>
          <w:sz w:val="20"/>
          <w:szCs w:val="20"/>
        </w:rPr>
        <w:t xml:space="preserve"> is reached</w:t>
      </w:r>
      <w:r w:rsidR="00757889">
        <w:rPr>
          <w:rFonts w:ascii="Arial" w:hAnsi="Arial" w:cs="Arial"/>
          <w:sz w:val="20"/>
          <w:szCs w:val="20"/>
        </w:rPr>
        <w:t>.</w:t>
      </w:r>
    </w:p>
    <w:p w14:paraId="5EFC9464" w14:textId="77777777" w:rsidR="00757889" w:rsidRPr="00757889" w:rsidRDefault="00757889"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355" w:name="BOP.ADD.015_Access"/>
      <w:bookmarkStart w:id="356" w:name="_bookmark148"/>
      <w:bookmarkStart w:id="357" w:name="_Toc153137313"/>
      <w:bookmarkEnd w:id="355"/>
      <w:bookmarkEnd w:id="356"/>
      <w:r w:rsidRPr="00757889">
        <w:rPr>
          <w:rFonts w:ascii="Arial" w:eastAsia="Times New Roman" w:hAnsi="Arial" w:cs="Times New Roman"/>
          <w:b/>
          <w:iCs/>
          <w:color w:val="FFFFFF"/>
          <w:sz w:val="24"/>
        </w:rPr>
        <w:t>BOP.ADD.015 Access</w:t>
      </w:r>
      <w:bookmarkEnd w:id="357"/>
    </w:p>
    <w:p w14:paraId="1AD5B212" w14:textId="649AADCD" w:rsidR="00757889" w:rsidRPr="00757889" w:rsidRDefault="00757889" w:rsidP="0009045D">
      <w:pPr>
        <w:numPr>
          <w:ilvl w:val="0"/>
          <w:numId w:val="83"/>
        </w:numPr>
        <w:tabs>
          <w:tab w:val="left" w:pos="1273"/>
          <w:tab w:val="left" w:pos="1274"/>
        </w:tabs>
        <w:spacing w:before="122" w:line="276" w:lineRule="auto"/>
        <w:ind w:right="44"/>
        <w:jc w:val="both"/>
        <w:rPr>
          <w:rFonts w:ascii="Arial" w:hAnsi="Arial" w:cs="Arial"/>
          <w:sz w:val="20"/>
          <w:szCs w:val="20"/>
        </w:rPr>
      </w:pPr>
      <w:r w:rsidRPr="00757889">
        <w:rPr>
          <w:rFonts w:ascii="Arial" w:hAnsi="Arial" w:cs="Arial"/>
          <w:sz w:val="20"/>
          <w:szCs w:val="20"/>
        </w:rPr>
        <w:t xml:space="preserve">For the purpose of determining compliance with the essential requirements set out in </w:t>
      </w:r>
      <w:hyperlink r:id="rId56" w:history="1">
        <w:r w:rsidR="005C2A3C" w:rsidRPr="004073D2">
          <w:rPr>
            <w:rStyle w:val="Hyperlink"/>
            <w:rFonts w:ascii="Arial" w:hAnsi="Arial" w:cs="Arial"/>
            <w:sz w:val="20"/>
            <w:szCs w:val="20"/>
          </w:rPr>
          <w:t>Law on Aviation of the Republic of Armenia</w:t>
        </w:r>
      </w:hyperlink>
      <w:r w:rsidR="005C2A3C">
        <w:rPr>
          <w:rFonts w:ascii="Arial" w:hAnsi="Arial" w:cs="Arial"/>
          <w:sz w:val="20"/>
          <w:szCs w:val="20"/>
        </w:rPr>
        <w:t xml:space="preserve"> </w:t>
      </w:r>
      <w:r w:rsidRPr="00757889">
        <w:rPr>
          <w:rFonts w:ascii="Arial" w:hAnsi="Arial" w:cs="Arial"/>
          <w:sz w:val="20"/>
          <w:szCs w:val="20"/>
        </w:rPr>
        <w:t xml:space="preserve">and with the requirements of this Regulation, the operator shall grant access to any person authorised by the </w:t>
      </w:r>
      <w:r w:rsidR="00A804D2">
        <w:rPr>
          <w:rFonts w:ascii="Arial" w:hAnsi="Arial" w:cs="Arial"/>
          <w:sz w:val="20"/>
          <w:szCs w:val="20"/>
        </w:rPr>
        <w:t xml:space="preserve">CAC RA </w:t>
      </w:r>
      <w:r w:rsidRPr="00757889">
        <w:rPr>
          <w:rFonts w:ascii="Arial" w:hAnsi="Arial" w:cs="Arial"/>
          <w:sz w:val="20"/>
          <w:szCs w:val="20"/>
        </w:rPr>
        <w:t>at any time to any facility, balloon, document, records, data, procedures or any other material relevant to the operator’s activity that falls within the scope of this Regulation, irrespective of whether or not the activity is contracted.</w:t>
      </w:r>
    </w:p>
    <w:p w14:paraId="131D2C0B" w14:textId="77777777" w:rsidR="00757889" w:rsidRPr="00757889" w:rsidRDefault="00757889" w:rsidP="0009045D">
      <w:pPr>
        <w:numPr>
          <w:ilvl w:val="0"/>
          <w:numId w:val="83"/>
        </w:numPr>
        <w:tabs>
          <w:tab w:val="left" w:pos="1273"/>
          <w:tab w:val="left" w:pos="1274"/>
        </w:tabs>
        <w:spacing w:before="122" w:line="276" w:lineRule="auto"/>
        <w:ind w:right="44"/>
        <w:jc w:val="both"/>
        <w:rPr>
          <w:rFonts w:ascii="Arial" w:hAnsi="Arial" w:cs="Arial"/>
          <w:sz w:val="20"/>
          <w:szCs w:val="20"/>
        </w:rPr>
      </w:pPr>
      <w:r w:rsidRPr="00757889">
        <w:rPr>
          <w:rFonts w:ascii="Arial" w:hAnsi="Arial" w:cs="Arial"/>
          <w:sz w:val="20"/>
          <w:szCs w:val="20"/>
        </w:rPr>
        <w:t>Access to the balloon shall, in the case of commercial passenger ballooning, include the possibility to enter and remain in the balloon during flight operations, unless to do so would endanger the flight.</w:t>
      </w:r>
    </w:p>
    <w:p w14:paraId="612F4AC1" w14:textId="77777777" w:rsidR="00B65727" w:rsidRPr="00B65727" w:rsidRDefault="00B65727"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358" w:name="BOP.ADD.020_Findings"/>
      <w:bookmarkStart w:id="359" w:name="_bookmark149"/>
      <w:bookmarkStart w:id="360" w:name="_Toc153137314"/>
      <w:bookmarkEnd w:id="358"/>
      <w:bookmarkEnd w:id="359"/>
      <w:r w:rsidRPr="00B65727">
        <w:rPr>
          <w:rFonts w:ascii="Arial" w:eastAsia="Times New Roman" w:hAnsi="Arial" w:cs="Times New Roman"/>
          <w:b/>
          <w:iCs/>
          <w:color w:val="FFFFFF"/>
          <w:sz w:val="24"/>
        </w:rPr>
        <w:t>BOP.ADD.020 Findings</w:t>
      </w:r>
      <w:bookmarkEnd w:id="360"/>
    </w:p>
    <w:p w14:paraId="6E53C71F" w14:textId="1490FDBB" w:rsidR="00B65727" w:rsidRPr="00B65727" w:rsidRDefault="00B65727" w:rsidP="0009045D">
      <w:pPr>
        <w:tabs>
          <w:tab w:val="left" w:pos="1273"/>
          <w:tab w:val="left" w:pos="1274"/>
        </w:tabs>
        <w:spacing w:before="122" w:line="276" w:lineRule="auto"/>
        <w:ind w:right="44"/>
        <w:jc w:val="both"/>
        <w:rPr>
          <w:rFonts w:ascii="Arial" w:hAnsi="Arial" w:cs="Arial"/>
          <w:sz w:val="20"/>
          <w:szCs w:val="20"/>
        </w:rPr>
      </w:pPr>
      <w:r w:rsidRPr="00B65727">
        <w:rPr>
          <w:rFonts w:ascii="Arial" w:hAnsi="Arial" w:cs="Arial"/>
          <w:sz w:val="20"/>
          <w:szCs w:val="20"/>
        </w:rPr>
        <w:t xml:space="preserve">After receipt of the notification of findings raised by the </w:t>
      </w:r>
      <w:r w:rsidR="00A804D2">
        <w:rPr>
          <w:rFonts w:ascii="Arial" w:hAnsi="Arial" w:cs="Arial"/>
          <w:sz w:val="20"/>
          <w:szCs w:val="20"/>
        </w:rPr>
        <w:t xml:space="preserve">CAC RA </w:t>
      </w:r>
      <w:r w:rsidRPr="00B65727">
        <w:rPr>
          <w:rFonts w:ascii="Arial" w:hAnsi="Arial" w:cs="Arial"/>
          <w:sz w:val="20"/>
          <w:szCs w:val="20"/>
        </w:rPr>
        <w:t>in accordance with points ARO.GEN.350, ARO.GEN.355 and ARO.GEN.360 of Annex II to</w:t>
      </w:r>
      <w:r w:rsidR="00C9350E">
        <w:rPr>
          <w:rFonts w:ascii="Arial" w:hAnsi="Arial" w:cs="Arial"/>
          <w:sz w:val="20"/>
          <w:szCs w:val="20"/>
          <w:lang w:val="hy-AM"/>
        </w:rPr>
        <w:t xml:space="preserve"> </w:t>
      </w:r>
      <w:hyperlink r:id="rId57" w:history="1">
        <w:r w:rsidR="00C9350E">
          <w:rPr>
            <w:rStyle w:val="Hyperlink"/>
            <w:rFonts w:ascii="Arial" w:hAnsi="Arial" w:cs="Arial"/>
            <w:sz w:val="20"/>
          </w:rPr>
          <w:t>the order N 2-N of the minister of Territorial Administration and Infrastructure of RA, dated 11.02.2022</w:t>
        </w:r>
      </w:hyperlink>
      <w:r w:rsidR="00C9350E" w:rsidRPr="00C9350E">
        <w:rPr>
          <w:rFonts w:ascii="Arial" w:hAnsi="Arial" w:cs="Arial"/>
          <w:sz w:val="20"/>
          <w:szCs w:val="20"/>
        </w:rPr>
        <w:t>,</w:t>
      </w:r>
      <w:r w:rsidRPr="00B65727">
        <w:rPr>
          <w:rFonts w:ascii="Arial" w:hAnsi="Arial" w:cs="Arial"/>
          <w:sz w:val="20"/>
          <w:szCs w:val="20"/>
        </w:rPr>
        <w:t xml:space="preserve"> the operator shall do all of the following:</w:t>
      </w:r>
    </w:p>
    <w:p w14:paraId="1F0AD784" w14:textId="77777777" w:rsidR="00B65727" w:rsidRPr="00B65727" w:rsidRDefault="00B65727" w:rsidP="0009045D">
      <w:pPr>
        <w:numPr>
          <w:ilvl w:val="0"/>
          <w:numId w:val="84"/>
        </w:numPr>
        <w:tabs>
          <w:tab w:val="left" w:pos="1273"/>
          <w:tab w:val="left" w:pos="1274"/>
        </w:tabs>
        <w:spacing w:before="122" w:line="276" w:lineRule="auto"/>
        <w:ind w:right="44"/>
        <w:jc w:val="both"/>
        <w:rPr>
          <w:rFonts w:ascii="Arial" w:hAnsi="Arial" w:cs="Arial"/>
          <w:sz w:val="20"/>
          <w:szCs w:val="20"/>
        </w:rPr>
      </w:pPr>
      <w:r w:rsidRPr="00B65727">
        <w:rPr>
          <w:rFonts w:ascii="Arial" w:hAnsi="Arial" w:cs="Arial"/>
          <w:sz w:val="20"/>
          <w:szCs w:val="20"/>
        </w:rPr>
        <w:t>identify the root cause of the non-compliance;</w:t>
      </w:r>
    </w:p>
    <w:p w14:paraId="7DFAA21D" w14:textId="77777777" w:rsidR="00B65727" w:rsidRPr="00B65727" w:rsidRDefault="00B65727" w:rsidP="0009045D">
      <w:pPr>
        <w:numPr>
          <w:ilvl w:val="0"/>
          <w:numId w:val="84"/>
        </w:numPr>
        <w:tabs>
          <w:tab w:val="left" w:pos="1273"/>
          <w:tab w:val="left" w:pos="1274"/>
        </w:tabs>
        <w:spacing w:before="122" w:line="276" w:lineRule="auto"/>
        <w:ind w:right="44"/>
        <w:jc w:val="both"/>
        <w:rPr>
          <w:rFonts w:ascii="Arial" w:hAnsi="Arial" w:cs="Arial"/>
          <w:sz w:val="20"/>
          <w:szCs w:val="20"/>
        </w:rPr>
      </w:pPr>
      <w:r w:rsidRPr="00B65727">
        <w:rPr>
          <w:rFonts w:ascii="Arial" w:hAnsi="Arial" w:cs="Arial"/>
          <w:sz w:val="20"/>
          <w:szCs w:val="20"/>
        </w:rPr>
        <w:t>define a corrective action plan;</w:t>
      </w:r>
    </w:p>
    <w:p w14:paraId="132A3776" w14:textId="7773A090" w:rsidR="00B65727" w:rsidRPr="00B65727" w:rsidRDefault="00B65727" w:rsidP="0009045D">
      <w:pPr>
        <w:numPr>
          <w:ilvl w:val="0"/>
          <w:numId w:val="84"/>
        </w:numPr>
        <w:tabs>
          <w:tab w:val="left" w:pos="1273"/>
          <w:tab w:val="left" w:pos="1274"/>
        </w:tabs>
        <w:spacing w:before="122" w:line="276" w:lineRule="auto"/>
        <w:ind w:right="44"/>
        <w:jc w:val="both"/>
        <w:rPr>
          <w:rFonts w:ascii="Arial" w:hAnsi="Arial" w:cs="Arial"/>
          <w:sz w:val="20"/>
          <w:szCs w:val="20"/>
        </w:rPr>
      </w:pPr>
      <w:r w:rsidRPr="00B65727">
        <w:rPr>
          <w:rFonts w:ascii="Arial" w:hAnsi="Arial" w:cs="Arial"/>
          <w:sz w:val="20"/>
          <w:szCs w:val="20"/>
        </w:rPr>
        <w:t xml:space="preserve">demonstrate implementation of the corrective action plan to the satisfaction of the </w:t>
      </w:r>
      <w:r w:rsidR="00A804D2">
        <w:rPr>
          <w:rFonts w:ascii="Arial" w:hAnsi="Arial" w:cs="Arial"/>
          <w:sz w:val="20"/>
          <w:szCs w:val="20"/>
        </w:rPr>
        <w:t xml:space="preserve">CAC RA </w:t>
      </w:r>
      <w:r w:rsidRPr="00B65727">
        <w:rPr>
          <w:rFonts w:ascii="Arial" w:hAnsi="Arial" w:cs="Arial"/>
          <w:sz w:val="20"/>
          <w:szCs w:val="20"/>
        </w:rPr>
        <w:t xml:space="preserve">within the time period specified by that authority in accordance with point ARO.GEN.350 of Annex II to </w:t>
      </w:r>
      <w:hyperlink r:id="rId58" w:history="1">
        <w:r w:rsidR="00C9350E">
          <w:rPr>
            <w:rStyle w:val="Hyperlink"/>
            <w:rFonts w:ascii="Arial" w:hAnsi="Arial" w:cs="Arial"/>
            <w:sz w:val="20"/>
          </w:rPr>
          <w:t>the order N 2-N of the minister of Territorial Administration and Infrastructure of RA, dated 11.02.2022</w:t>
        </w:r>
      </w:hyperlink>
      <w:r w:rsidR="00C9350E">
        <w:rPr>
          <w:rFonts w:ascii="Cambria Math" w:hAnsi="Cambria Math" w:cs="Arial"/>
          <w:sz w:val="20"/>
          <w:lang w:val="hy-AM"/>
        </w:rPr>
        <w:t>․</w:t>
      </w:r>
    </w:p>
    <w:p w14:paraId="559E6655" w14:textId="77777777" w:rsidR="00B26A35" w:rsidRPr="00B26A35" w:rsidRDefault="00B26A35" w:rsidP="009601C2">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361" w:name="AMC1_BOP.ADD.020(b)_Findings"/>
      <w:bookmarkStart w:id="362" w:name="_bookmark150"/>
      <w:bookmarkStart w:id="363" w:name="_Toc153137315"/>
      <w:bookmarkEnd w:id="361"/>
      <w:bookmarkEnd w:id="362"/>
      <w:r w:rsidRPr="00B26A35">
        <w:rPr>
          <w:rFonts w:ascii="Arial" w:eastAsia="Times New Roman" w:hAnsi="Arial" w:cs="Times New Roman"/>
          <w:b/>
          <w:color w:val="FFFFFF"/>
          <w:sz w:val="24"/>
        </w:rPr>
        <w:t>AMC1 BOP.ADD.020(b) Findings</w:t>
      </w:r>
      <w:bookmarkEnd w:id="363"/>
    </w:p>
    <w:p w14:paraId="38C8BB1F" w14:textId="77777777" w:rsidR="00B26A35" w:rsidRPr="00276D5E" w:rsidRDefault="00B26A35" w:rsidP="009601C2">
      <w:pPr>
        <w:spacing w:line="276" w:lineRule="auto"/>
        <w:jc w:val="both"/>
        <w:rPr>
          <w:rFonts w:ascii="Arial" w:hAnsi="Arial" w:cs="Arial"/>
          <w:b/>
          <w:sz w:val="20"/>
        </w:rPr>
      </w:pPr>
      <w:r w:rsidRPr="00276D5E">
        <w:rPr>
          <w:rFonts w:ascii="Arial" w:hAnsi="Arial" w:cs="Arial"/>
          <w:b/>
          <w:sz w:val="20"/>
        </w:rPr>
        <w:t>CORRECTIVE</w:t>
      </w:r>
      <w:r w:rsidRPr="00276D5E">
        <w:rPr>
          <w:rFonts w:ascii="Arial" w:hAnsi="Arial" w:cs="Arial"/>
          <w:b/>
          <w:spacing w:val="-5"/>
          <w:sz w:val="20"/>
        </w:rPr>
        <w:t xml:space="preserve"> </w:t>
      </w:r>
      <w:r w:rsidRPr="00276D5E">
        <w:rPr>
          <w:rFonts w:ascii="Arial" w:hAnsi="Arial" w:cs="Arial"/>
          <w:b/>
          <w:sz w:val="20"/>
        </w:rPr>
        <w:t>ACTION</w:t>
      </w:r>
      <w:r w:rsidRPr="00276D5E">
        <w:rPr>
          <w:rFonts w:ascii="Arial" w:hAnsi="Arial" w:cs="Arial"/>
          <w:b/>
          <w:spacing w:val="-5"/>
          <w:sz w:val="20"/>
        </w:rPr>
        <w:t xml:space="preserve"> </w:t>
      </w:r>
      <w:r w:rsidRPr="00276D5E">
        <w:rPr>
          <w:rFonts w:ascii="Arial" w:hAnsi="Arial" w:cs="Arial"/>
          <w:b/>
          <w:sz w:val="20"/>
        </w:rPr>
        <w:t>PLAN</w:t>
      </w:r>
    </w:p>
    <w:p w14:paraId="07BF71DA" w14:textId="77777777" w:rsidR="00B26A35" w:rsidRPr="00B26A35" w:rsidRDefault="00B26A35" w:rsidP="0009045D">
      <w:pPr>
        <w:pStyle w:val="BodyText"/>
        <w:spacing w:before="116" w:line="276" w:lineRule="auto"/>
        <w:ind w:right="44"/>
        <w:jc w:val="both"/>
        <w:rPr>
          <w:rFonts w:ascii="Arial" w:hAnsi="Arial" w:cs="Arial"/>
          <w:sz w:val="20"/>
        </w:rPr>
      </w:pPr>
      <w:r w:rsidRPr="00B26A35">
        <w:rPr>
          <w:rFonts w:ascii="Arial" w:hAnsi="Arial" w:cs="Arial"/>
          <w:sz w:val="20"/>
        </w:rPr>
        <w:t>The</w:t>
      </w:r>
      <w:r w:rsidRPr="00B26A35">
        <w:rPr>
          <w:rFonts w:ascii="Arial" w:hAnsi="Arial" w:cs="Arial"/>
          <w:spacing w:val="6"/>
          <w:sz w:val="20"/>
        </w:rPr>
        <w:t xml:space="preserve"> </w:t>
      </w:r>
      <w:r w:rsidRPr="00B26A35">
        <w:rPr>
          <w:rFonts w:ascii="Arial" w:hAnsi="Arial" w:cs="Arial"/>
          <w:sz w:val="20"/>
        </w:rPr>
        <w:t>corrective</w:t>
      </w:r>
      <w:r w:rsidRPr="00B26A35">
        <w:rPr>
          <w:rFonts w:ascii="Arial" w:hAnsi="Arial" w:cs="Arial"/>
          <w:spacing w:val="7"/>
          <w:sz w:val="20"/>
        </w:rPr>
        <w:t xml:space="preserve"> </w:t>
      </w:r>
      <w:r w:rsidRPr="00B26A35">
        <w:rPr>
          <w:rFonts w:ascii="Arial" w:hAnsi="Arial" w:cs="Arial"/>
          <w:sz w:val="20"/>
        </w:rPr>
        <w:t>action</w:t>
      </w:r>
      <w:r w:rsidRPr="00B26A35">
        <w:rPr>
          <w:rFonts w:ascii="Arial" w:hAnsi="Arial" w:cs="Arial"/>
          <w:spacing w:val="6"/>
          <w:sz w:val="20"/>
        </w:rPr>
        <w:t xml:space="preserve"> </w:t>
      </w:r>
      <w:r w:rsidRPr="00B26A35">
        <w:rPr>
          <w:rFonts w:ascii="Arial" w:hAnsi="Arial" w:cs="Arial"/>
          <w:sz w:val="20"/>
        </w:rPr>
        <w:t>plan</w:t>
      </w:r>
      <w:r w:rsidRPr="00B26A35">
        <w:rPr>
          <w:rFonts w:ascii="Arial" w:hAnsi="Arial" w:cs="Arial"/>
          <w:spacing w:val="3"/>
          <w:sz w:val="20"/>
        </w:rPr>
        <w:t xml:space="preserve"> </w:t>
      </w:r>
      <w:r w:rsidRPr="00B26A35">
        <w:rPr>
          <w:rFonts w:ascii="Arial" w:hAnsi="Arial" w:cs="Arial"/>
          <w:sz w:val="20"/>
        </w:rPr>
        <w:t>defined</w:t>
      </w:r>
      <w:r w:rsidRPr="00B26A35">
        <w:rPr>
          <w:rFonts w:ascii="Arial" w:hAnsi="Arial" w:cs="Arial"/>
          <w:spacing w:val="6"/>
          <w:sz w:val="20"/>
        </w:rPr>
        <w:t xml:space="preserve"> </w:t>
      </w:r>
      <w:r w:rsidRPr="00B26A35">
        <w:rPr>
          <w:rFonts w:ascii="Arial" w:hAnsi="Arial" w:cs="Arial"/>
          <w:sz w:val="20"/>
        </w:rPr>
        <w:t>by</w:t>
      </w:r>
      <w:r w:rsidRPr="00B26A35">
        <w:rPr>
          <w:rFonts w:ascii="Arial" w:hAnsi="Arial" w:cs="Arial"/>
          <w:spacing w:val="8"/>
          <w:sz w:val="20"/>
        </w:rPr>
        <w:t xml:space="preserve"> </w:t>
      </w:r>
      <w:r w:rsidRPr="00B26A35">
        <w:rPr>
          <w:rFonts w:ascii="Arial" w:hAnsi="Arial" w:cs="Arial"/>
          <w:sz w:val="20"/>
        </w:rPr>
        <w:t>the</w:t>
      </w:r>
      <w:r w:rsidRPr="00B26A35">
        <w:rPr>
          <w:rFonts w:ascii="Arial" w:hAnsi="Arial" w:cs="Arial"/>
          <w:spacing w:val="5"/>
          <w:sz w:val="20"/>
        </w:rPr>
        <w:t xml:space="preserve"> </w:t>
      </w:r>
      <w:r w:rsidRPr="00B26A35">
        <w:rPr>
          <w:rFonts w:ascii="Arial" w:hAnsi="Arial" w:cs="Arial"/>
          <w:sz w:val="20"/>
        </w:rPr>
        <w:t>operator</w:t>
      </w:r>
      <w:r w:rsidRPr="00B26A35">
        <w:rPr>
          <w:rFonts w:ascii="Arial" w:hAnsi="Arial" w:cs="Arial"/>
          <w:spacing w:val="7"/>
          <w:sz w:val="20"/>
        </w:rPr>
        <w:t xml:space="preserve"> </w:t>
      </w:r>
      <w:r w:rsidRPr="00B26A35">
        <w:rPr>
          <w:rFonts w:ascii="Arial" w:hAnsi="Arial" w:cs="Arial"/>
          <w:sz w:val="20"/>
        </w:rPr>
        <w:t>should</w:t>
      </w:r>
      <w:r w:rsidRPr="00B26A35">
        <w:rPr>
          <w:rFonts w:ascii="Arial" w:hAnsi="Arial" w:cs="Arial"/>
          <w:spacing w:val="5"/>
          <w:sz w:val="20"/>
        </w:rPr>
        <w:t xml:space="preserve"> </w:t>
      </w:r>
      <w:r w:rsidRPr="00B26A35">
        <w:rPr>
          <w:rFonts w:ascii="Arial" w:hAnsi="Arial" w:cs="Arial"/>
          <w:sz w:val="20"/>
        </w:rPr>
        <w:t>address</w:t>
      </w:r>
      <w:r w:rsidRPr="00B26A35">
        <w:rPr>
          <w:rFonts w:ascii="Arial" w:hAnsi="Arial" w:cs="Arial"/>
          <w:spacing w:val="7"/>
          <w:sz w:val="20"/>
        </w:rPr>
        <w:t xml:space="preserve"> </w:t>
      </w:r>
      <w:r w:rsidRPr="00B26A35">
        <w:rPr>
          <w:rFonts w:ascii="Arial" w:hAnsi="Arial" w:cs="Arial"/>
          <w:sz w:val="20"/>
        </w:rPr>
        <w:t>the</w:t>
      </w:r>
      <w:r w:rsidRPr="00B26A35">
        <w:rPr>
          <w:rFonts w:ascii="Arial" w:hAnsi="Arial" w:cs="Arial"/>
          <w:spacing w:val="8"/>
          <w:sz w:val="20"/>
        </w:rPr>
        <w:t xml:space="preserve"> </w:t>
      </w:r>
      <w:r w:rsidRPr="00B26A35">
        <w:rPr>
          <w:rFonts w:ascii="Arial" w:hAnsi="Arial" w:cs="Arial"/>
          <w:sz w:val="20"/>
        </w:rPr>
        <w:t>effects</w:t>
      </w:r>
      <w:r w:rsidRPr="00B26A35">
        <w:rPr>
          <w:rFonts w:ascii="Arial" w:hAnsi="Arial" w:cs="Arial"/>
          <w:spacing w:val="4"/>
          <w:sz w:val="20"/>
        </w:rPr>
        <w:t xml:space="preserve"> </w:t>
      </w:r>
      <w:r w:rsidRPr="00B26A35">
        <w:rPr>
          <w:rFonts w:ascii="Arial" w:hAnsi="Arial" w:cs="Arial"/>
          <w:sz w:val="20"/>
        </w:rPr>
        <w:t>of</w:t>
      </w:r>
      <w:r w:rsidRPr="00B26A35">
        <w:rPr>
          <w:rFonts w:ascii="Arial" w:hAnsi="Arial" w:cs="Arial"/>
          <w:spacing w:val="3"/>
          <w:sz w:val="20"/>
        </w:rPr>
        <w:t xml:space="preserve"> </w:t>
      </w:r>
      <w:r w:rsidRPr="00B26A35">
        <w:rPr>
          <w:rFonts w:ascii="Arial" w:hAnsi="Arial" w:cs="Arial"/>
          <w:sz w:val="20"/>
        </w:rPr>
        <w:t>non-compliance,</w:t>
      </w:r>
      <w:r w:rsidRPr="00B26A35">
        <w:rPr>
          <w:rFonts w:ascii="Arial" w:hAnsi="Arial" w:cs="Arial"/>
          <w:spacing w:val="7"/>
          <w:sz w:val="20"/>
        </w:rPr>
        <w:t xml:space="preserve"> </w:t>
      </w:r>
      <w:r w:rsidRPr="00B26A35">
        <w:rPr>
          <w:rFonts w:ascii="Arial" w:hAnsi="Arial" w:cs="Arial"/>
          <w:sz w:val="20"/>
        </w:rPr>
        <w:t>as</w:t>
      </w:r>
      <w:r w:rsidRPr="00B26A35">
        <w:rPr>
          <w:rFonts w:ascii="Arial" w:hAnsi="Arial" w:cs="Arial"/>
          <w:spacing w:val="-47"/>
          <w:sz w:val="20"/>
        </w:rPr>
        <w:t xml:space="preserve"> </w:t>
      </w:r>
      <w:r w:rsidRPr="00B26A35">
        <w:rPr>
          <w:rFonts w:ascii="Arial" w:hAnsi="Arial" w:cs="Arial"/>
          <w:sz w:val="20"/>
        </w:rPr>
        <w:t>well</w:t>
      </w:r>
      <w:r w:rsidRPr="00B26A35">
        <w:rPr>
          <w:rFonts w:ascii="Arial" w:hAnsi="Arial" w:cs="Arial"/>
          <w:spacing w:val="-2"/>
          <w:sz w:val="20"/>
        </w:rPr>
        <w:t xml:space="preserve"> </w:t>
      </w:r>
      <w:r w:rsidRPr="00B26A35">
        <w:rPr>
          <w:rFonts w:ascii="Arial" w:hAnsi="Arial" w:cs="Arial"/>
          <w:sz w:val="20"/>
        </w:rPr>
        <w:t>as</w:t>
      </w:r>
      <w:r w:rsidRPr="00B26A35">
        <w:rPr>
          <w:rFonts w:ascii="Arial" w:hAnsi="Arial" w:cs="Arial"/>
          <w:spacing w:val="-2"/>
          <w:sz w:val="20"/>
        </w:rPr>
        <w:t xml:space="preserve"> </w:t>
      </w:r>
      <w:r w:rsidRPr="00B26A35">
        <w:rPr>
          <w:rFonts w:ascii="Arial" w:hAnsi="Arial" w:cs="Arial"/>
          <w:sz w:val="20"/>
        </w:rPr>
        <w:t>its</w:t>
      </w:r>
      <w:r w:rsidRPr="00B26A35">
        <w:rPr>
          <w:rFonts w:ascii="Arial" w:hAnsi="Arial" w:cs="Arial"/>
          <w:spacing w:val="1"/>
          <w:sz w:val="20"/>
        </w:rPr>
        <w:t xml:space="preserve"> </w:t>
      </w:r>
      <w:r w:rsidRPr="00B26A35">
        <w:rPr>
          <w:rFonts w:ascii="Arial" w:hAnsi="Arial" w:cs="Arial"/>
          <w:sz w:val="20"/>
        </w:rPr>
        <w:t>root cause.</w:t>
      </w:r>
    </w:p>
    <w:p w14:paraId="567F66A6" w14:textId="77777777" w:rsidR="00B26A35" w:rsidRPr="00B26A35" w:rsidRDefault="00B26A35" w:rsidP="009601C2">
      <w:pPr>
        <w:keepNext/>
        <w:keepLines/>
        <w:widowControl/>
        <w:shd w:val="clear" w:color="auto" w:fill="339966"/>
        <w:autoSpaceDE/>
        <w:autoSpaceDN/>
        <w:spacing w:before="160" w:after="120" w:line="276" w:lineRule="auto"/>
        <w:jc w:val="both"/>
        <w:outlineLvl w:val="4"/>
        <w:rPr>
          <w:rFonts w:ascii="Arial" w:eastAsia="Times New Roman" w:hAnsi="Arial" w:cs="Times New Roman"/>
          <w:b/>
          <w:color w:val="FFFFFF"/>
          <w:sz w:val="24"/>
        </w:rPr>
      </w:pPr>
      <w:bookmarkStart w:id="364" w:name="GM1_BOP.ADD.020(b);(c)_Findings"/>
      <w:bookmarkStart w:id="365" w:name="_bookmark151"/>
      <w:bookmarkStart w:id="366" w:name="_Toc153137316"/>
      <w:bookmarkEnd w:id="364"/>
      <w:bookmarkEnd w:id="365"/>
      <w:r w:rsidRPr="00B26A35">
        <w:rPr>
          <w:rFonts w:ascii="Arial" w:eastAsia="Times New Roman" w:hAnsi="Arial" w:cs="Times New Roman"/>
          <w:b/>
          <w:color w:val="FFFFFF"/>
          <w:sz w:val="24"/>
        </w:rPr>
        <w:t>GM1 BOP.ADD.020(b);(c) Findings</w:t>
      </w:r>
      <w:bookmarkEnd w:id="366"/>
    </w:p>
    <w:p w14:paraId="7091DFD2" w14:textId="77777777" w:rsidR="00B26A35" w:rsidRPr="00276D5E" w:rsidRDefault="00B26A35" w:rsidP="009601C2">
      <w:pPr>
        <w:spacing w:line="276" w:lineRule="auto"/>
        <w:jc w:val="both"/>
        <w:rPr>
          <w:rFonts w:ascii="Arial" w:hAnsi="Arial" w:cs="Arial"/>
          <w:b/>
          <w:sz w:val="20"/>
        </w:rPr>
      </w:pPr>
      <w:r w:rsidRPr="00276D5E">
        <w:rPr>
          <w:rFonts w:ascii="Arial" w:hAnsi="Arial" w:cs="Arial"/>
          <w:b/>
          <w:sz w:val="20"/>
        </w:rPr>
        <w:t>CORRECTIVE</w:t>
      </w:r>
      <w:r w:rsidRPr="00276D5E">
        <w:rPr>
          <w:rFonts w:ascii="Arial" w:hAnsi="Arial" w:cs="Arial"/>
          <w:b/>
          <w:spacing w:val="-7"/>
          <w:sz w:val="20"/>
        </w:rPr>
        <w:t xml:space="preserve"> </w:t>
      </w:r>
      <w:r w:rsidRPr="00276D5E">
        <w:rPr>
          <w:rFonts w:ascii="Arial" w:hAnsi="Arial" w:cs="Arial"/>
          <w:b/>
          <w:sz w:val="20"/>
        </w:rPr>
        <w:t>ACTION</w:t>
      </w:r>
    </w:p>
    <w:p w14:paraId="27445C40" w14:textId="6D41520B" w:rsidR="00B26A35" w:rsidRPr="00B26A35" w:rsidRDefault="00B26A35" w:rsidP="0009045D">
      <w:pPr>
        <w:pStyle w:val="BodyText"/>
        <w:spacing w:before="119" w:line="276" w:lineRule="auto"/>
        <w:ind w:right="44"/>
        <w:jc w:val="both"/>
        <w:rPr>
          <w:rFonts w:ascii="Arial" w:hAnsi="Arial" w:cs="Arial"/>
          <w:sz w:val="20"/>
        </w:rPr>
      </w:pPr>
      <w:r w:rsidRPr="00B26A35">
        <w:rPr>
          <w:rFonts w:ascii="Arial" w:hAnsi="Arial" w:cs="Arial"/>
          <w:sz w:val="20"/>
        </w:rPr>
        <w:t>‘Corrective</w:t>
      </w:r>
      <w:r w:rsidRPr="00B26A35">
        <w:rPr>
          <w:rFonts w:ascii="Arial" w:hAnsi="Arial" w:cs="Arial"/>
          <w:spacing w:val="-7"/>
          <w:sz w:val="20"/>
        </w:rPr>
        <w:t xml:space="preserve"> </w:t>
      </w:r>
      <w:r w:rsidRPr="00B26A35">
        <w:rPr>
          <w:rFonts w:ascii="Arial" w:hAnsi="Arial" w:cs="Arial"/>
          <w:sz w:val="20"/>
        </w:rPr>
        <w:t>action’</w:t>
      </w:r>
      <w:r w:rsidRPr="00B26A35">
        <w:rPr>
          <w:rFonts w:ascii="Arial" w:hAnsi="Arial" w:cs="Arial"/>
          <w:spacing w:val="-10"/>
          <w:sz w:val="20"/>
        </w:rPr>
        <w:t xml:space="preserve"> </w:t>
      </w:r>
      <w:r w:rsidRPr="00B26A35">
        <w:rPr>
          <w:rFonts w:ascii="Arial" w:hAnsi="Arial" w:cs="Arial"/>
          <w:sz w:val="20"/>
        </w:rPr>
        <w:t>means</w:t>
      </w:r>
      <w:r w:rsidRPr="00B26A35">
        <w:rPr>
          <w:rFonts w:ascii="Arial" w:hAnsi="Arial" w:cs="Arial"/>
          <w:spacing w:val="-7"/>
          <w:sz w:val="20"/>
        </w:rPr>
        <w:t xml:space="preserve"> </w:t>
      </w:r>
      <w:r w:rsidRPr="00B26A35">
        <w:rPr>
          <w:rFonts w:ascii="Arial" w:hAnsi="Arial" w:cs="Arial"/>
          <w:sz w:val="20"/>
        </w:rPr>
        <w:t>the</w:t>
      </w:r>
      <w:r w:rsidRPr="00B26A35">
        <w:rPr>
          <w:rFonts w:ascii="Arial" w:hAnsi="Arial" w:cs="Arial"/>
          <w:spacing w:val="-7"/>
          <w:sz w:val="20"/>
        </w:rPr>
        <w:t xml:space="preserve"> </w:t>
      </w:r>
      <w:r w:rsidRPr="00B26A35">
        <w:rPr>
          <w:rFonts w:ascii="Arial" w:hAnsi="Arial" w:cs="Arial"/>
          <w:sz w:val="20"/>
        </w:rPr>
        <w:t>action</w:t>
      </w:r>
      <w:r w:rsidRPr="00B26A35">
        <w:rPr>
          <w:rFonts w:ascii="Arial" w:hAnsi="Arial" w:cs="Arial"/>
          <w:spacing w:val="-8"/>
          <w:sz w:val="20"/>
        </w:rPr>
        <w:t xml:space="preserve"> </w:t>
      </w:r>
      <w:r w:rsidRPr="00B26A35">
        <w:rPr>
          <w:rFonts w:ascii="Arial" w:hAnsi="Arial" w:cs="Arial"/>
          <w:sz w:val="20"/>
        </w:rPr>
        <w:t>to</w:t>
      </w:r>
      <w:r w:rsidRPr="00B26A35">
        <w:rPr>
          <w:rFonts w:ascii="Arial" w:hAnsi="Arial" w:cs="Arial"/>
          <w:spacing w:val="-7"/>
          <w:sz w:val="20"/>
        </w:rPr>
        <w:t xml:space="preserve"> </w:t>
      </w:r>
      <w:r w:rsidRPr="00B26A35">
        <w:rPr>
          <w:rFonts w:ascii="Arial" w:hAnsi="Arial" w:cs="Arial"/>
          <w:sz w:val="20"/>
        </w:rPr>
        <w:t>eliminate</w:t>
      </w:r>
      <w:r w:rsidRPr="00B26A35">
        <w:rPr>
          <w:rFonts w:ascii="Arial" w:hAnsi="Arial" w:cs="Arial"/>
          <w:spacing w:val="-7"/>
          <w:sz w:val="20"/>
        </w:rPr>
        <w:t xml:space="preserve"> </w:t>
      </w:r>
      <w:r w:rsidRPr="00B26A35">
        <w:rPr>
          <w:rFonts w:ascii="Arial" w:hAnsi="Arial" w:cs="Arial"/>
          <w:sz w:val="20"/>
        </w:rPr>
        <w:t>or</w:t>
      </w:r>
      <w:r w:rsidRPr="00B26A35">
        <w:rPr>
          <w:rFonts w:ascii="Arial" w:hAnsi="Arial" w:cs="Arial"/>
          <w:spacing w:val="-9"/>
          <w:sz w:val="20"/>
        </w:rPr>
        <w:t xml:space="preserve"> </w:t>
      </w:r>
      <w:r w:rsidRPr="00B26A35">
        <w:rPr>
          <w:rFonts w:ascii="Arial" w:hAnsi="Arial" w:cs="Arial"/>
          <w:sz w:val="20"/>
        </w:rPr>
        <w:t>mitigate</w:t>
      </w:r>
      <w:r w:rsidRPr="00B26A35">
        <w:rPr>
          <w:rFonts w:ascii="Arial" w:hAnsi="Arial" w:cs="Arial"/>
          <w:spacing w:val="-8"/>
          <w:sz w:val="20"/>
        </w:rPr>
        <w:t xml:space="preserve"> </w:t>
      </w:r>
      <w:r w:rsidRPr="00B26A35">
        <w:rPr>
          <w:rFonts w:ascii="Arial" w:hAnsi="Arial" w:cs="Arial"/>
          <w:sz w:val="20"/>
        </w:rPr>
        <w:t>the</w:t>
      </w:r>
      <w:r w:rsidRPr="00B26A35">
        <w:rPr>
          <w:rFonts w:ascii="Arial" w:hAnsi="Arial" w:cs="Arial"/>
          <w:spacing w:val="-7"/>
          <w:sz w:val="20"/>
        </w:rPr>
        <w:t xml:space="preserve"> </w:t>
      </w:r>
      <w:r w:rsidRPr="00B26A35">
        <w:rPr>
          <w:rFonts w:ascii="Arial" w:hAnsi="Arial" w:cs="Arial"/>
          <w:sz w:val="20"/>
        </w:rPr>
        <w:t>root</w:t>
      </w:r>
      <w:r w:rsidRPr="00B26A35">
        <w:rPr>
          <w:rFonts w:ascii="Arial" w:hAnsi="Arial" w:cs="Arial"/>
          <w:spacing w:val="-7"/>
          <w:sz w:val="20"/>
        </w:rPr>
        <w:t xml:space="preserve"> </w:t>
      </w:r>
      <w:r w:rsidRPr="00B26A35">
        <w:rPr>
          <w:rFonts w:ascii="Arial" w:hAnsi="Arial" w:cs="Arial"/>
          <w:sz w:val="20"/>
        </w:rPr>
        <w:t>cause(s)</w:t>
      </w:r>
      <w:r w:rsidRPr="00B26A35">
        <w:rPr>
          <w:rFonts w:ascii="Arial" w:hAnsi="Arial" w:cs="Arial"/>
          <w:spacing w:val="-7"/>
          <w:sz w:val="20"/>
        </w:rPr>
        <w:t xml:space="preserve"> </w:t>
      </w:r>
      <w:r w:rsidRPr="00B26A35">
        <w:rPr>
          <w:rFonts w:ascii="Arial" w:hAnsi="Arial" w:cs="Arial"/>
          <w:sz w:val="20"/>
        </w:rPr>
        <w:t>and</w:t>
      </w:r>
      <w:r w:rsidRPr="00B26A35">
        <w:rPr>
          <w:rFonts w:ascii="Arial" w:hAnsi="Arial" w:cs="Arial"/>
          <w:spacing w:val="-11"/>
          <w:sz w:val="20"/>
        </w:rPr>
        <w:t xml:space="preserve"> </w:t>
      </w:r>
      <w:r w:rsidRPr="00B26A35">
        <w:rPr>
          <w:rFonts w:ascii="Arial" w:hAnsi="Arial" w:cs="Arial"/>
          <w:sz w:val="20"/>
        </w:rPr>
        <w:t>prevent</w:t>
      </w:r>
      <w:r w:rsidRPr="00B26A35">
        <w:rPr>
          <w:rFonts w:ascii="Arial" w:hAnsi="Arial" w:cs="Arial"/>
          <w:spacing w:val="-7"/>
          <w:sz w:val="20"/>
        </w:rPr>
        <w:t xml:space="preserve"> </w:t>
      </w:r>
      <w:r w:rsidRPr="00B26A35">
        <w:rPr>
          <w:rFonts w:ascii="Arial" w:hAnsi="Arial" w:cs="Arial"/>
          <w:sz w:val="20"/>
        </w:rPr>
        <w:t>recurrence</w:t>
      </w:r>
      <w:r w:rsidRPr="00B26A35">
        <w:rPr>
          <w:rFonts w:ascii="Arial" w:hAnsi="Arial" w:cs="Arial"/>
          <w:spacing w:val="-48"/>
          <w:sz w:val="20"/>
        </w:rPr>
        <w:t xml:space="preserve"> </w:t>
      </w:r>
      <w:r w:rsidR="0009045D">
        <w:rPr>
          <w:rFonts w:ascii="Arial" w:hAnsi="Arial" w:cs="Arial"/>
          <w:spacing w:val="-48"/>
          <w:sz w:val="20"/>
        </w:rPr>
        <w:t xml:space="preserve"> </w:t>
      </w:r>
      <w:r w:rsidRPr="00B26A35">
        <w:rPr>
          <w:rFonts w:ascii="Arial" w:hAnsi="Arial" w:cs="Arial"/>
          <w:sz w:val="20"/>
        </w:rPr>
        <w:t>of</w:t>
      </w:r>
      <w:r w:rsidRPr="00B26A35">
        <w:rPr>
          <w:rFonts w:ascii="Arial" w:hAnsi="Arial" w:cs="Arial"/>
          <w:spacing w:val="1"/>
          <w:sz w:val="20"/>
        </w:rPr>
        <w:t xml:space="preserve"> </w:t>
      </w:r>
      <w:r w:rsidRPr="00B26A35">
        <w:rPr>
          <w:rFonts w:ascii="Arial" w:hAnsi="Arial" w:cs="Arial"/>
          <w:sz w:val="20"/>
        </w:rPr>
        <w:t>an</w:t>
      </w:r>
      <w:r w:rsidRPr="00B26A35">
        <w:rPr>
          <w:rFonts w:ascii="Arial" w:hAnsi="Arial" w:cs="Arial"/>
          <w:spacing w:val="1"/>
          <w:sz w:val="20"/>
        </w:rPr>
        <w:t xml:space="preserve"> </w:t>
      </w:r>
      <w:r w:rsidRPr="00B26A35">
        <w:rPr>
          <w:rFonts w:ascii="Arial" w:hAnsi="Arial" w:cs="Arial"/>
          <w:sz w:val="20"/>
        </w:rPr>
        <w:t>existing</w:t>
      </w:r>
      <w:r w:rsidRPr="00B26A35">
        <w:rPr>
          <w:rFonts w:ascii="Arial" w:hAnsi="Arial" w:cs="Arial"/>
          <w:spacing w:val="1"/>
          <w:sz w:val="20"/>
        </w:rPr>
        <w:t xml:space="preserve"> </w:t>
      </w:r>
      <w:r w:rsidRPr="00B26A35">
        <w:rPr>
          <w:rFonts w:ascii="Arial" w:hAnsi="Arial" w:cs="Arial"/>
          <w:sz w:val="20"/>
        </w:rPr>
        <w:t>detected</w:t>
      </w:r>
      <w:r w:rsidRPr="00B26A35">
        <w:rPr>
          <w:rFonts w:ascii="Arial" w:hAnsi="Arial" w:cs="Arial"/>
          <w:spacing w:val="1"/>
          <w:sz w:val="20"/>
        </w:rPr>
        <w:t xml:space="preserve"> </w:t>
      </w:r>
      <w:r w:rsidRPr="00B26A35">
        <w:rPr>
          <w:rFonts w:ascii="Arial" w:hAnsi="Arial" w:cs="Arial"/>
          <w:sz w:val="20"/>
        </w:rPr>
        <w:t>non-compliance</w:t>
      </w:r>
      <w:r w:rsidRPr="00B26A35">
        <w:rPr>
          <w:rFonts w:ascii="Arial" w:hAnsi="Arial" w:cs="Arial"/>
          <w:spacing w:val="1"/>
          <w:sz w:val="20"/>
        </w:rPr>
        <w:t xml:space="preserve"> </w:t>
      </w:r>
      <w:r w:rsidRPr="00B26A35">
        <w:rPr>
          <w:rFonts w:ascii="Arial" w:hAnsi="Arial" w:cs="Arial"/>
          <w:sz w:val="20"/>
        </w:rPr>
        <w:t>or</w:t>
      </w:r>
      <w:r w:rsidRPr="00B26A35">
        <w:rPr>
          <w:rFonts w:ascii="Arial" w:hAnsi="Arial" w:cs="Arial"/>
          <w:spacing w:val="1"/>
          <w:sz w:val="20"/>
        </w:rPr>
        <w:t xml:space="preserve"> </w:t>
      </w:r>
      <w:r w:rsidRPr="00B26A35">
        <w:rPr>
          <w:rFonts w:ascii="Arial" w:hAnsi="Arial" w:cs="Arial"/>
          <w:sz w:val="20"/>
        </w:rPr>
        <w:t>other</w:t>
      </w:r>
      <w:r w:rsidRPr="00B26A35">
        <w:rPr>
          <w:rFonts w:ascii="Arial" w:hAnsi="Arial" w:cs="Arial"/>
          <w:spacing w:val="1"/>
          <w:sz w:val="20"/>
        </w:rPr>
        <w:t xml:space="preserve"> </w:t>
      </w:r>
      <w:r w:rsidRPr="00B26A35">
        <w:rPr>
          <w:rFonts w:ascii="Arial" w:hAnsi="Arial" w:cs="Arial"/>
          <w:sz w:val="20"/>
        </w:rPr>
        <w:t>undesirable</w:t>
      </w:r>
      <w:r w:rsidRPr="00B26A35">
        <w:rPr>
          <w:rFonts w:ascii="Arial" w:hAnsi="Arial" w:cs="Arial"/>
          <w:spacing w:val="1"/>
          <w:sz w:val="20"/>
        </w:rPr>
        <w:t xml:space="preserve"> </w:t>
      </w:r>
      <w:r w:rsidRPr="00B26A35">
        <w:rPr>
          <w:rFonts w:ascii="Arial" w:hAnsi="Arial" w:cs="Arial"/>
          <w:sz w:val="20"/>
        </w:rPr>
        <w:t>condition</w:t>
      </w:r>
      <w:r w:rsidRPr="00B26A35">
        <w:rPr>
          <w:rFonts w:ascii="Arial" w:hAnsi="Arial" w:cs="Arial"/>
          <w:spacing w:val="1"/>
          <w:sz w:val="20"/>
        </w:rPr>
        <w:t xml:space="preserve"> </w:t>
      </w:r>
      <w:r w:rsidRPr="00B26A35">
        <w:rPr>
          <w:rFonts w:ascii="Arial" w:hAnsi="Arial" w:cs="Arial"/>
          <w:sz w:val="20"/>
        </w:rPr>
        <w:t>or</w:t>
      </w:r>
      <w:r w:rsidRPr="00B26A35">
        <w:rPr>
          <w:rFonts w:ascii="Arial" w:hAnsi="Arial" w:cs="Arial"/>
          <w:spacing w:val="1"/>
          <w:sz w:val="20"/>
        </w:rPr>
        <w:t xml:space="preserve"> </w:t>
      </w:r>
      <w:r w:rsidRPr="00B26A35">
        <w:rPr>
          <w:rFonts w:ascii="Arial" w:hAnsi="Arial" w:cs="Arial"/>
          <w:sz w:val="20"/>
        </w:rPr>
        <w:t>situation.</w:t>
      </w:r>
      <w:r w:rsidRPr="00B26A35">
        <w:rPr>
          <w:rFonts w:ascii="Arial" w:hAnsi="Arial" w:cs="Arial"/>
          <w:spacing w:val="1"/>
          <w:sz w:val="20"/>
        </w:rPr>
        <w:t xml:space="preserve"> </w:t>
      </w:r>
      <w:r w:rsidRPr="00B26A35">
        <w:rPr>
          <w:rFonts w:ascii="Arial" w:hAnsi="Arial" w:cs="Arial"/>
          <w:sz w:val="20"/>
        </w:rPr>
        <w:t>Proper</w:t>
      </w:r>
      <w:r w:rsidRPr="00B26A35">
        <w:rPr>
          <w:rFonts w:ascii="Arial" w:hAnsi="Arial" w:cs="Arial"/>
          <w:spacing w:val="1"/>
          <w:sz w:val="20"/>
        </w:rPr>
        <w:t xml:space="preserve"> </w:t>
      </w:r>
      <w:r w:rsidRPr="00B26A35">
        <w:rPr>
          <w:rFonts w:ascii="Arial" w:hAnsi="Arial" w:cs="Arial"/>
          <w:sz w:val="20"/>
        </w:rPr>
        <w:t>determination of the root cause(s) is crucial for defining effective corrective actions to prevent</w:t>
      </w:r>
      <w:r w:rsidRPr="00B26A35">
        <w:rPr>
          <w:rFonts w:ascii="Arial" w:hAnsi="Arial" w:cs="Arial"/>
          <w:spacing w:val="1"/>
          <w:sz w:val="20"/>
        </w:rPr>
        <w:t xml:space="preserve"> </w:t>
      </w:r>
      <w:r w:rsidRPr="00B26A35">
        <w:rPr>
          <w:rFonts w:ascii="Arial" w:hAnsi="Arial" w:cs="Arial"/>
          <w:sz w:val="20"/>
        </w:rPr>
        <w:t>reoccurrence.</w:t>
      </w:r>
    </w:p>
    <w:p w14:paraId="0493B887" w14:textId="77777777" w:rsidR="00B26A35" w:rsidRPr="00B26A35" w:rsidRDefault="00B26A35"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367" w:name="BOP.ADD.025_Occurrence_reporting"/>
      <w:bookmarkStart w:id="368" w:name="_bookmark152"/>
      <w:bookmarkStart w:id="369" w:name="_Toc153137317"/>
      <w:bookmarkEnd w:id="367"/>
      <w:bookmarkEnd w:id="368"/>
      <w:r w:rsidRPr="00B26A35">
        <w:rPr>
          <w:rFonts w:ascii="Arial" w:eastAsia="Times New Roman" w:hAnsi="Arial" w:cs="Times New Roman"/>
          <w:b/>
          <w:iCs/>
          <w:color w:val="FFFFFF"/>
          <w:sz w:val="24"/>
        </w:rPr>
        <w:t>BOP.ADD.025 Occurrence reporting</w:t>
      </w:r>
      <w:bookmarkEnd w:id="369"/>
    </w:p>
    <w:p w14:paraId="321ACC24" w14:textId="3326B155" w:rsidR="003E26B5" w:rsidRPr="003E26B5" w:rsidRDefault="00B26A35" w:rsidP="008522CD">
      <w:pPr>
        <w:pStyle w:val="ListParagraph"/>
        <w:numPr>
          <w:ilvl w:val="0"/>
          <w:numId w:val="85"/>
        </w:numPr>
        <w:tabs>
          <w:tab w:val="left" w:pos="707"/>
        </w:tabs>
        <w:spacing w:before="121" w:line="276" w:lineRule="auto"/>
        <w:ind w:right="44"/>
        <w:jc w:val="both"/>
        <w:rPr>
          <w:rFonts w:ascii="Arial" w:hAnsi="Arial" w:cs="Arial"/>
          <w:spacing w:val="1"/>
          <w:sz w:val="20"/>
        </w:rPr>
      </w:pPr>
      <w:r w:rsidRPr="003E26B5">
        <w:rPr>
          <w:rFonts w:ascii="Arial" w:hAnsi="Arial" w:cs="Arial"/>
          <w:sz w:val="20"/>
        </w:rPr>
        <w:t>The operator shall implement, as part of its management system, an occurrence reporting</w:t>
      </w:r>
      <w:r w:rsidRPr="003E26B5">
        <w:rPr>
          <w:rFonts w:ascii="Arial" w:hAnsi="Arial" w:cs="Arial"/>
          <w:spacing w:val="1"/>
          <w:sz w:val="20"/>
        </w:rPr>
        <w:t xml:space="preserve"> </w:t>
      </w:r>
      <w:r w:rsidRPr="003E26B5">
        <w:rPr>
          <w:rFonts w:ascii="Arial" w:hAnsi="Arial" w:cs="Arial"/>
          <w:sz w:val="20"/>
        </w:rPr>
        <w:t>scheme</w:t>
      </w:r>
      <w:r w:rsidRPr="003E26B5">
        <w:rPr>
          <w:rFonts w:ascii="Arial" w:hAnsi="Arial" w:cs="Arial"/>
          <w:spacing w:val="1"/>
          <w:sz w:val="20"/>
        </w:rPr>
        <w:t xml:space="preserve"> </w:t>
      </w:r>
      <w:r w:rsidRPr="003E26B5">
        <w:rPr>
          <w:rFonts w:ascii="Arial" w:hAnsi="Arial" w:cs="Arial"/>
          <w:sz w:val="20"/>
        </w:rPr>
        <w:t>which</w:t>
      </w:r>
      <w:r w:rsidRPr="003E26B5">
        <w:rPr>
          <w:rFonts w:ascii="Arial" w:hAnsi="Arial" w:cs="Arial"/>
          <w:spacing w:val="1"/>
          <w:sz w:val="20"/>
        </w:rPr>
        <w:t xml:space="preserve"> </w:t>
      </w:r>
      <w:r w:rsidRPr="003E26B5">
        <w:rPr>
          <w:rFonts w:ascii="Arial" w:hAnsi="Arial" w:cs="Arial"/>
          <w:sz w:val="20"/>
        </w:rPr>
        <w:t>is</w:t>
      </w:r>
      <w:r w:rsidRPr="003E26B5">
        <w:rPr>
          <w:rFonts w:ascii="Arial" w:hAnsi="Arial" w:cs="Arial"/>
          <w:spacing w:val="1"/>
          <w:sz w:val="20"/>
        </w:rPr>
        <w:t xml:space="preserve"> </w:t>
      </w:r>
      <w:r w:rsidRPr="003E26B5">
        <w:rPr>
          <w:rFonts w:ascii="Arial" w:hAnsi="Arial" w:cs="Arial"/>
          <w:sz w:val="20"/>
        </w:rPr>
        <w:t>to</w:t>
      </w:r>
      <w:r w:rsidRPr="003E26B5">
        <w:rPr>
          <w:rFonts w:ascii="Arial" w:hAnsi="Arial" w:cs="Arial"/>
          <w:spacing w:val="1"/>
          <w:sz w:val="20"/>
        </w:rPr>
        <w:t xml:space="preserve"> </w:t>
      </w:r>
      <w:r w:rsidRPr="003E26B5">
        <w:rPr>
          <w:rFonts w:ascii="Arial" w:hAnsi="Arial" w:cs="Arial"/>
          <w:sz w:val="20"/>
        </w:rPr>
        <w:t>provide</w:t>
      </w:r>
      <w:r w:rsidRPr="003E26B5">
        <w:rPr>
          <w:rFonts w:ascii="Arial" w:hAnsi="Arial" w:cs="Arial"/>
          <w:spacing w:val="1"/>
          <w:sz w:val="20"/>
        </w:rPr>
        <w:t xml:space="preserve"> </w:t>
      </w:r>
      <w:r w:rsidRPr="003E26B5">
        <w:rPr>
          <w:rFonts w:ascii="Arial" w:hAnsi="Arial" w:cs="Arial"/>
          <w:sz w:val="20"/>
        </w:rPr>
        <w:t>for</w:t>
      </w:r>
      <w:r w:rsidRPr="003E26B5">
        <w:rPr>
          <w:rFonts w:ascii="Arial" w:hAnsi="Arial" w:cs="Arial"/>
          <w:spacing w:val="1"/>
          <w:sz w:val="20"/>
        </w:rPr>
        <w:t xml:space="preserve"> </w:t>
      </w:r>
      <w:r w:rsidRPr="003E26B5">
        <w:rPr>
          <w:rFonts w:ascii="Arial" w:hAnsi="Arial" w:cs="Arial"/>
          <w:sz w:val="20"/>
        </w:rPr>
        <w:t>mandatory</w:t>
      </w:r>
      <w:r w:rsidRPr="003E26B5">
        <w:rPr>
          <w:rFonts w:ascii="Arial" w:hAnsi="Arial" w:cs="Arial"/>
          <w:spacing w:val="1"/>
          <w:sz w:val="20"/>
        </w:rPr>
        <w:t xml:space="preserve"> </w:t>
      </w:r>
      <w:r w:rsidRPr="003E26B5">
        <w:rPr>
          <w:rFonts w:ascii="Arial" w:hAnsi="Arial" w:cs="Arial"/>
          <w:sz w:val="20"/>
        </w:rPr>
        <w:t>and</w:t>
      </w:r>
      <w:r w:rsidRPr="003E26B5">
        <w:rPr>
          <w:rFonts w:ascii="Arial" w:hAnsi="Arial" w:cs="Arial"/>
          <w:spacing w:val="1"/>
          <w:sz w:val="20"/>
        </w:rPr>
        <w:t xml:space="preserve"> </w:t>
      </w:r>
      <w:r w:rsidRPr="003E26B5">
        <w:rPr>
          <w:rFonts w:ascii="Arial" w:hAnsi="Arial" w:cs="Arial"/>
          <w:sz w:val="20"/>
        </w:rPr>
        <w:t>voluntary</w:t>
      </w:r>
      <w:r w:rsidRPr="003E26B5">
        <w:rPr>
          <w:rFonts w:ascii="Arial" w:hAnsi="Arial" w:cs="Arial"/>
          <w:spacing w:val="1"/>
          <w:sz w:val="20"/>
        </w:rPr>
        <w:t xml:space="preserve"> </w:t>
      </w:r>
      <w:r w:rsidRPr="003E26B5">
        <w:rPr>
          <w:rFonts w:ascii="Arial" w:hAnsi="Arial" w:cs="Arial"/>
          <w:sz w:val="20"/>
        </w:rPr>
        <w:t>reporting</w:t>
      </w:r>
      <w:r w:rsidRPr="003E26B5">
        <w:rPr>
          <w:rFonts w:ascii="Arial" w:hAnsi="Arial" w:cs="Arial"/>
          <w:spacing w:val="1"/>
          <w:sz w:val="20"/>
        </w:rPr>
        <w:t xml:space="preserve"> </w:t>
      </w:r>
      <w:r w:rsidRPr="003E26B5">
        <w:rPr>
          <w:rFonts w:ascii="Arial" w:hAnsi="Arial" w:cs="Arial"/>
          <w:sz w:val="20"/>
        </w:rPr>
        <w:t>in</w:t>
      </w:r>
      <w:r w:rsidRPr="003E26B5">
        <w:rPr>
          <w:rFonts w:ascii="Arial" w:hAnsi="Arial" w:cs="Arial"/>
          <w:spacing w:val="1"/>
          <w:sz w:val="20"/>
        </w:rPr>
        <w:t xml:space="preserve"> </w:t>
      </w:r>
      <w:r w:rsidRPr="003E26B5">
        <w:rPr>
          <w:rFonts w:ascii="Arial" w:hAnsi="Arial" w:cs="Arial"/>
          <w:sz w:val="20"/>
        </w:rPr>
        <w:t>accordance</w:t>
      </w:r>
      <w:r w:rsidRPr="003E26B5">
        <w:rPr>
          <w:rFonts w:ascii="Arial" w:hAnsi="Arial" w:cs="Arial"/>
          <w:spacing w:val="1"/>
          <w:sz w:val="20"/>
        </w:rPr>
        <w:t xml:space="preserve"> </w:t>
      </w:r>
      <w:r w:rsidRPr="003E26B5">
        <w:rPr>
          <w:rFonts w:ascii="Arial" w:hAnsi="Arial" w:cs="Arial"/>
          <w:sz w:val="20"/>
        </w:rPr>
        <w:t>with</w:t>
      </w:r>
      <w:r w:rsidRPr="003E26B5">
        <w:rPr>
          <w:rFonts w:ascii="Arial" w:hAnsi="Arial" w:cs="Arial"/>
          <w:color w:val="0000FF"/>
          <w:spacing w:val="1"/>
          <w:sz w:val="20"/>
        </w:rPr>
        <w:t xml:space="preserve"> </w:t>
      </w:r>
      <w:r w:rsidR="003E26B5" w:rsidRPr="003E26B5">
        <w:rPr>
          <w:rFonts w:ascii="Arial" w:hAnsi="Arial" w:cs="Arial"/>
          <w:spacing w:val="1"/>
          <w:sz w:val="20"/>
        </w:rPr>
        <w:t xml:space="preserve">with </w:t>
      </w:r>
      <w:r w:rsidR="00DD3398">
        <w:rPr>
          <w:rFonts w:ascii="Arial" w:hAnsi="Arial" w:cs="Arial"/>
          <w:sz w:val="20"/>
        </w:rPr>
        <w:t xml:space="preserve">the </w:t>
      </w:r>
      <w:hyperlink r:id="rId59" w:history="1">
        <w:r w:rsidR="00DD3398" w:rsidRPr="00DD3398">
          <w:rPr>
            <w:rStyle w:val="Hyperlink"/>
            <w:rFonts w:ascii="Arial" w:hAnsi="Arial" w:cs="Arial"/>
            <w:sz w:val="20"/>
          </w:rPr>
          <w:t xml:space="preserve">order N </w:t>
        </w:r>
        <w:r w:rsidR="001C193F" w:rsidRPr="00DD3398">
          <w:rPr>
            <w:rStyle w:val="Hyperlink"/>
            <w:rFonts w:ascii="Arial" w:hAnsi="Arial" w:cs="Arial"/>
            <w:sz w:val="20"/>
          </w:rPr>
          <w:t>14-Լ</w:t>
        </w:r>
        <w:r w:rsidR="005D0DB1" w:rsidRPr="00DD3398">
          <w:rPr>
            <w:rStyle w:val="Hyperlink"/>
            <w:rFonts w:ascii="Arial" w:hAnsi="Arial" w:cs="Arial"/>
            <w:sz w:val="20"/>
          </w:rPr>
          <w:t xml:space="preserve"> of the M</w:t>
        </w:r>
        <w:r w:rsidR="001C193F" w:rsidRPr="00DD3398">
          <w:rPr>
            <w:rStyle w:val="Hyperlink"/>
            <w:rFonts w:ascii="Arial" w:hAnsi="Arial" w:cs="Arial"/>
            <w:sz w:val="20"/>
          </w:rPr>
          <w:t>inister of Territorial Administration and Infrastructure of RA, dated 26.02.2021</w:t>
        </w:r>
      </w:hyperlink>
      <w:r w:rsidR="001C193F">
        <w:rPr>
          <w:rFonts w:ascii="Arial" w:hAnsi="Arial" w:cs="Arial"/>
          <w:sz w:val="20"/>
          <w:szCs w:val="20"/>
          <w:lang w:val="hy-AM"/>
        </w:rPr>
        <w:t>,</w:t>
      </w:r>
    </w:p>
    <w:p w14:paraId="4916444A" w14:textId="02A52BC2" w:rsidR="00B26A35" w:rsidRPr="003E26B5" w:rsidRDefault="00B26A35" w:rsidP="008522CD">
      <w:pPr>
        <w:pStyle w:val="ListParagraph"/>
        <w:numPr>
          <w:ilvl w:val="0"/>
          <w:numId w:val="85"/>
        </w:numPr>
        <w:tabs>
          <w:tab w:val="left" w:pos="707"/>
        </w:tabs>
        <w:spacing w:before="121" w:line="276" w:lineRule="auto"/>
        <w:ind w:right="44"/>
        <w:jc w:val="both"/>
        <w:rPr>
          <w:rFonts w:ascii="Arial" w:hAnsi="Arial" w:cs="Arial"/>
          <w:sz w:val="20"/>
        </w:rPr>
      </w:pPr>
      <w:r w:rsidRPr="003E26B5">
        <w:rPr>
          <w:rFonts w:ascii="Arial" w:hAnsi="Arial" w:cs="Arial"/>
          <w:sz w:val="20"/>
        </w:rPr>
        <w:t xml:space="preserve">Without prejudice to point (a), the operator shall report to the </w:t>
      </w:r>
      <w:r w:rsidR="00A804D2">
        <w:rPr>
          <w:rFonts w:ascii="Arial" w:hAnsi="Arial" w:cs="Arial"/>
          <w:sz w:val="20"/>
          <w:szCs w:val="20"/>
        </w:rPr>
        <w:t xml:space="preserve">CAC RA </w:t>
      </w:r>
      <w:r w:rsidRPr="003E26B5">
        <w:rPr>
          <w:rFonts w:ascii="Arial" w:hAnsi="Arial" w:cs="Arial"/>
          <w:sz w:val="20"/>
        </w:rPr>
        <w:t>and to the</w:t>
      </w:r>
      <w:r w:rsidRPr="003E26B5">
        <w:rPr>
          <w:rFonts w:ascii="Arial" w:hAnsi="Arial" w:cs="Arial"/>
          <w:spacing w:val="-48"/>
          <w:sz w:val="20"/>
        </w:rPr>
        <w:t xml:space="preserve"> </w:t>
      </w:r>
      <w:r w:rsidRPr="003E26B5">
        <w:rPr>
          <w:rFonts w:ascii="Arial" w:hAnsi="Arial" w:cs="Arial"/>
          <w:sz w:val="20"/>
        </w:rPr>
        <w:t>organisation</w:t>
      </w:r>
      <w:r w:rsidRPr="003E26B5">
        <w:rPr>
          <w:rFonts w:ascii="Arial" w:hAnsi="Arial" w:cs="Arial"/>
          <w:spacing w:val="1"/>
          <w:sz w:val="20"/>
        </w:rPr>
        <w:t xml:space="preserve"> </w:t>
      </w:r>
      <w:r w:rsidRPr="003E26B5">
        <w:rPr>
          <w:rFonts w:ascii="Arial" w:hAnsi="Arial" w:cs="Arial"/>
          <w:sz w:val="20"/>
        </w:rPr>
        <w:lastRenderedPageBreak/>
        <w:t>responsible</w:t>
      </w:r>
      <w:r w:rsidRPr="003E26B5">
        <w:rPr>
          <w:rFonts w:ascii="Arial" w:hAnsi="Arial" w:cs="Arial"/>
          <w:spacing w:val="1"/>
          <w:sz w:val="20"/>
        </w:rPr>
        <w:t xml:space="preserve"> </w:t>
      </w:r>
      <w:r w:rsidRPr="003E26B5">
        <w:rPr>
          <w:rFonts w:ascii="Arial" w:hAnsi="Arial" w:cs="Arial"/>
          <w:sz w:val="20"/>
        </w:rPr>
        <w:t>for</w:t>
      </w:r>
      <w:r w:rsidRPr="003E26B5">
        <w:rPr>
          <w:rFonts w:ascii="Arial" w:hAnsi="Arial" w:cs="Arial"/>
          <w:spacing w:val="1"/>
          <w:sz w:val="20"/>
        </w:rPr>
        <w:t xml:space="preserve"> </w:t>
      </w:r>
      <w:r w:rsidRPr="003E26B5">
        <w:rPr>
          <w:rFonts w:ascii="Arial" w:hAnsi="Arial" w:cs="Arial"/>
          <w:sz w:val="20"/>
        </w:rPr>
        <w:t>the</w:t>
      </w:r>
      <w:r w:rsidRPr="003E26B5">
        <w:rPr>
          <w:rFonts w:ascii="Arial" w:hAnsi="Arial" w:cs="Arial"/>
          <w:spacing w:val="1"/>
          <w:sz w:val="20"/>
        </w:rPr>
        <w:t xml:space="preserve"> </w:t>
      </w:r>
      <w:r w:rsidRPr="003E26B5">
        <w:rPr>
          <w:rFonts w:ascii="Arial" w:hAnsi="Arial" w:cs="Arial"/>
          <w:sz w:val="20"/>
        </w:rPr>
        <w:t>design</w:t>
      </w:r>
      <w:r w:rsidRPr="003E26B5">
        <w:rPr>
          <w:rFonts w:ascii="Arial" w:hAnsi="Arial" w:cs="Arial"/>
          <w:spacing w:val="1"/>
          <w:sz w:val="20"/>
        </w:rPr>
        <w:t xml:space="preserve"> </w:t>
      </w:r>
      <w:r w:rsidRPr="003E26B5">
        <w:rPr>
          <w:rFonts w:ascii="Arial" w:hAnsi="Arial" w:cs="Arial"/>
          <w:sz w:val="20"/>
        </w:rPr>
        <w:t>of</w:t>
      </w:r>
      <w:r w:rsidRPr="003E26B5">
        <w:rPr>
          <w:rFonts w:ascii="Arial" w:hAnsi="Arial" w:cs="Arial"/>
          <w:spacing w:val="1"/>
          <w:sz w:val="20"/>
        </w:rPr>
        <w:t xml:space="preserve"> </w:t>
      </w:r>
      <w:r w:rsidRPr="003E26B5">
        <w:rPr>
          <w:rFonts w:ascii="Arial" w:hAnsi="Arial" w:cs="Arial"/>
          <w:sz w:val="20"/>
        </w:rPr>
        <w:t>the</w:t>
      </w:r>
      <w:r w:rsidRPr="003E26B5">
        <w:rPr>
          <w:rFonts w:ascii="Arial" w:hAnsi="Arial" w:cs="Arial"/>
          <w:spacing w:val="1"/>
          <w:sz w:val="20"/>
        </w:rPr>
        <w:t xml:space="preserve"> </w:t>
      </w:r>
      <w:r w:rsidRPr="003E26B5">
        <w:rPr>
          <w:rFonts w:ascii="Arial" w:hAnsi="Arial" w:cs="Arial"/>
          <w:sz w:val="20"/>
        </w:rPr>
        <w:t>balloon</w:t>
      </w:r>
      <w:r w:rsidRPr="003E26B5">
        <w:rPr>
          <w:rFonts w:ascii="Arial" w:hAnsi="Arial" w:cs="Arial"/>
          <w:spacing w:val="1"/>
          <w:sz w:val="20"/>
        </w:rPr>
        <w:t xml:space="preserve"> </w:t>
      </w:r>
      <w:r w:rsidRPr="003E26B5">
        <w:rPr>
          <w:rFonts w:ascii="Arial" w:hAnsi="Arial" w:cs="Arial"/>
          <w:sz w:val="20"/>
        </w:rPr>
        <w:t>any</w:t>
      </w:r>
      <w:r w:rsidRPr="003E26B5">
        <w:rPr>
          <w:rFonts w:ascii="Arial" w:hAnsi="Arial" w:cs="Arial"/>
          <w:spacing w:val="1"/>
          <w:sz w:val="20"/>
        </w:rPr>
        <w:t xml:space="preserve"> </w:t>
      </w:r>
      <w:r w:rsidRPr="003E26B5">
        <w:rPr>
          <w:rFonts w:ascii="Arial" w:hAnsi="Arial" w:cs="Arial"/>
          <w:sz w:val="20"/>
        </w:rPr>
        <w:t>malfunction,</w:t>
      </w:r>
      <w:r w:rsidRPr="003E26B5">
        <w:rPr>
          <w:rFonts w:ascii="Arial" w:hAnsi="Arial" w:cs="Arial"/>
          <w:spacing w:val="1"/>
          <w:sz w:val="20"/>
        </w:rPr>
        <w:t xml:space="preserve"> </w:t>
      </w:r>
      <w:r w:rsidRPr="003E26B5">
        <w:rPr>
          <w:rFonts w:ascii="Arial" w:hAnsi="Arial" w:cs="Arial"/>
          <w:sz w:val="20"/>
        </w:rPr>
        <w:t>technical</w:t>
      </w:r>
      <w:r w:rsidRPr="003E26B5">
        <w:rPr>
          <w:rFonts w:ascii="Arial" w:hAnsi="Arial" w:cs="Arial"/>
          <w:spacing w:val="1"/>
          <w:sz w:val="20"/>
        </w:rPr>
        <w:t xml:space="preserve"> </w:t>
      </w:r>
      <w:r w:rsidRPr="003E26B5">
        <w:rPr>
          <w:rFonts w:ascii="Arial" w:hAnsi="Arial" w:cs="Arial"/>
          <w:sz w:val="20"/>
        </w:rPr>
        <w:t>defect,</w:t>
      </w:r>
      <w:r w:rsidRPr="003E26B5">
        <w:rPr>
          <w:rFonts w:ascii="Arial" w:hAnsi="Arial" w:cs="Arial"/>
          <w:spacing w:val="1"/>
          <w:sz w:val="20"/>
        </w:rPr>
        <w:t xml:space="preserve"> </w:t>
      </w:r>
      <w:r w:rsidRPr="003E26B5">
        <w:rPr>
          <w:rFonts w:ascii="Arial" w:hAnsi="Arial" w:cs="Arial"/>
          <w:sz w:val="20"/>
        </w:rPr>
        <w:t>exceeding</w:t>
      </w:r>
      <w:r w:rsidRPr="003E26B5">
        <w:rPr>
          <w:rFonts w:ascii="Arial" w:hAnsi="Arial" w:cs="Arial"/>
          <w:spacing w:val="-3"/>
          <w:sz w:val="20"/>
        </w:rPr>
        <w:t xml:space="preserve"> </w:t>
      </w:r>
      <w:r w:rsidRPr="003E26B5">
        <w:rPr>
          <w:rFonts w:ascii="Arial" w:hAnsi="Arial" w:cs="Arial"/>
          <w:sz w:val="20"/>
        </w:rPr>
        <w:t>of</w:t>
      </w:r>
      <w:r w:rsidRPr="003E26B5">
        <w:rPr>
          <w:rFonts w:ascii="Arial" w:hAnsi="Arial" w:cs="Arial"/>
          <w:spacing w:val="-2"/>
          <w:sz w:val="20"/>
        </w:rPr>
        <w:t xml:space="preserve"> </w:t>
      </w:r>
      <w:r w:rsidRPr="003E26B5">
        <w:rPr>
          <w:rFonts w:ascii="Arial" w:hAnsi="Arial" w:cs="Arial"/>
          <w:sz w:val="20"/>
        </w:rPr>
        <w:t>technical</w:t>
      </w:r>
      <w:r w:rsidRPr="003E26B5">
        <w:rPr>
          <w:rFonts w:ascii="Arial" w:hAnsi="Arial" w:cs="Arial"/>
          <w:spacing w:val="-2"/>
          <w:sz w:val="20"/>
        </w:rPr>
        <w:t xml:space="preserve"> </w:t>
      </w:r>
      <w:r w:rsidRPr="003E26B5">
        <w:rPr>
          <w:rFonts w:ascii="Arial" w:hAnsi="Arial" w:cs="Arial"/>
          <w:sz w:val="20"/>
        </w:rPr>
        <w:t>limitations</w:t>
      </w:r>
      <w:r w:rsidRPr="003E26B5">
        <w:rPr>
          <w:rFonts w:ascii="Arial" w:hAnsi="Arial" w:cs="Arial"/>
          <w:spacing w:val="-5"/>
          <w:sz w:val="20"/>
        </w:rPr>
        <w:t xml:space="preserve"> </w:t>
      </w:r>
      <w:r w:rsidRPr="003E26B5">
        <w:rPr>
          <w:rFonts w:ascii="Arial" w:hAnsi="Arial" w:cs="Arial"/>
          <w:sz w:val="20"/>
        </w:rPr>
        <w:t>or</w:t>
      </w:r>
      <w:r w:rsidRPr="003E26B5">
        <w:rPr>
          <w:rFonts w:ascii="Arial" w:hAnsi="Arial" w:cs="Arial"/>
          <w:spacing w:val="-2"/>
          <w:sz w:val="20"/>
        </w:rPr>
        <w:t xml:space="preserve"> </w:t>
      </w:r>
      <w:r w:rsidRPr="003E26B5">
        <w:rPr>
          <w:rFonts w:ascii="Arial" w:hAnsi="Arial" w:cs="Arial"/>
          <w:sz w:val="20"/>
        </w:rPr>
        <w:t>occurrence</w:t>
      </w:r>
      <w:r w:rsidRPr="003E26B5">
        <w:rPr>
          <w:rFonts w:ascii="Arial" w:hAnsi="Arial" w:cs="Arial"/>
          <w:spacing w:val="-3"/>
          <w:sz w:val="20"/>
        </w:rPr>
        <w:t xml:space="preserve"> </w:t>
      </w:r>
      <w:r w:rsidRPr="003E26B5">
        <w:rPr>
          <w:rFonts w:ascii="Arial" w:hAnsi="Arial" w:cs="Arial"/>
          <w:sz w:val="20"/>
        </w:rPr>
        <w:t>that</w:t>
      </w:r>
      <w:r w:rsidRPr="003E26B5">
        <w:rPr>
          <w:rFonts w:ascii="Arial" w:hAnsi="Arial" w:cs="Arial"/>
          <w:spacing w:val="-5"/>
          <w:sz w:val="20"/>
        </w:rPr>
        <w:t xml:space="preserve"> </w:t>
      </w:r>
      <w:r w:rsidRPr="003E26B5">
        <w:rPr>
          <w:rFonts w:ascii="Arial" w:hAnsi="Arial" w:cs="Arial"/>
          <w:sz w:val="20"/>
        </w:rPr>
        <w:t>would</w:t>
      </w:r>
      <w:r w:rsidRPr="003E26B5">
        <w:rPr>
          <w:rFonts w:ascii="Arial" w:hAnsi="Arial" w:cs="Arial"/>
          <w:spacing w:val="-3"/>
          <w:sz w:val="20"/>
        </w:rPr>
        <w:t xml:space="preserve"> </w:t>
      </w:r>
      <w:r w:rsidRPr="003E26B5">
        <w:rPr>
          <w:rFonts w:ascii="Arial" w:hAnsi="Arial" w:cs="Arial"/>
          <w:sz w:val="20"/>
        </w:rPr>
        <w:t>highlight</w:t>
      </w:r>
      <w:r w:rsidRPr="003E26B5">
        <w:rPr>
          <w:rFonts w:ascii="Arial" w:hAnsi="Arial" w:cs="Arial"/>
          <w:spacing w:val="-1"/>
          <w:sz w:val="20"/>
        </w:rPr>
        <w:t xml:space="preserve"> </w:t>
      </w:r>
      <w:r w:rsidRPr="003E26B5">
        <w:rPr>
          <w:rFonts w:ascii="Arial" w:hAnsi="Arial" w:cs="Arial"/>
          <w:sz w:val="20"/>
        </w:rPr>
        <w:t>inaccurate,</w:t>
      </w:r>
      <w:r w:rsidRPr="003E26B5">
        <w:rPr>
          <w:rFonts w:ascii="Arial" w:hAnsi="Arial" w:cs="Arial"/>
          <w:spacing w:val="-5"/>
          <w:sz w:val="20"/>
        </w:rPr>
        <w:t xml:space="preserve"> </w:t>
      </w:r>
      <w:r w:rsidRPr="003E26B5">
        <w:rPr>
          <w:rFonts w:ascii="Arial" w:hAnsi="Arial" w:cs="Arial"/>
          <w:sz w:val="20"/>
        </w:rPr>
        <w:t>incomplete</w:t>
      </w:r>
      <w:r w:rsidRPr="003E26B5">
        <w:rPr>
          <w:rFonts w:ascii="Arial" w:hAnsi="Arial" w:cs="Arial"/>
          <w:spacing w:val="-4"/>
          <w:sz w:val="20"/>
        </w:rPr>
        <w:t xml:space="preserve"> </w:t>
      </w:r>
      <w:r w:rsidRPr="003E26B5">
        <w:rPr>
          <w:rFonts w:ascii="Arial" w:hAnsi="Arial" w:cs="Arial"/>
          <w:sz w:val="20"/>
        </w:rPr>
        <w:t>or</w:t>
      </w:r>
      <w:r w:rsidRPr="003E26B5">
        <w:rPr>
          <w:rFonts w:ascii="Arial" w:hAnsi="Arial" w:cs="Arial"/>
          <w:spacing w:val="-47"/>
          <w:sz w:val="20"/>
        </w:rPr>
        <w:t xml:space="preserve"> </w:t>
      </w:r>
      <w:r w:rsidRPr="003E26B5">
        <w:rPr>
          <w:rFonts w:ascii="Arial" w:hAnsi="Arial" w:cs="Arial"/>
          <w:sz w:val="20"/>
        </w:rPr>
        <w:t>ambiguous</w:t>
      </w:r>
      <w:r w:rsidRPr="003E26B5">
        <w:rPr>
          <w:rFonts w:ascii="Arial" w:hAnsi="Arial" w:cs="Arial"/>
          <w:spacing w:val="-3"/>
          <w:sz w:val="20"/>
        </w:rPr>
        <w:t xml:space="preserve"> </w:t>
      </w:r>
      <w:r w:rsidRPr="003E26B5">
        <w:rPr>
          <w:rFonts w:ascii="Arial" w:hAnsi="Arial" w:cs="Arial"/>
          <w:sz w:val="20"/>
        </w:rPr>
        <w:t>information</w:t>
      </w:r>
      <w:r w:rsidRPr="003E26B5">
        <w:rPr>
          <w:rFonts w:ascii="Arial" w:hAnsi="Arial" w:cs="Arial"/>
          <w:spacing w:val="-3"/>
          <w:sz w:val="20"/>
        </w:rPr>
        <w:t xml:space="preserve"> </w:t>
      </w:r>
      <w:r w:rsidRPr="003E26B5">
        <w:rPr>
          <w:rFonts w:ascii="Arial" w:hAnsi="Arial" w:cs="Arial"/>
          <w:sz w:val="20"/>
        </w:rPr>
        <w:t>contained</w:t>
      </w:r>
      <w:r w:rsidRPr="003E26B5">
        <w:rPr>
          <w:rFonts w:ascii="Arial" w:hAnsi="Arial" w:cs="Arial"/>
          <w:spacing w:val="-2"/>
          <w:sz w:val="20"/>
        </w:rPr>
        <w:t xml:space="preserve"> </w:t>
      </w:r>
      <w:r w:rsidRPr="003E26B5">
        <w:rPr>
          <w:rFonts w:ascii="Arial" w:hAnsi="Arial" w:cs="Arial"/>
          <w:sz w:val="20"/>
        </w:rPr>
        <w:t>in</w:t>
      </w:r>
      <w:r w:rsidRPr="003E26B5">
        <w:rPr>
          <w:rFonts w:ascii="Arial" w:hAnsi="Arial" w:cs="Arial"/>
          <w:spacing w:val="-3"/>
          <w:sz w:val="20"/>
        </w:rPr>
        <w:t xml:space="preserve"> </w:t>
      </w:r>
      <w:r w:rsidRPr="003E26B5">
        <w:rPr>
          <w:rFonts w:ascii="Arial" w:hAnsi="Arial" w:cs="Arial"/>
          <w:sz w:val="20"/>
        </w:rPr>
        <w:t>data</w:t>
      </w:r>
      <w:r w:rsidRPr="003E26B5">
        <w:rPr>
          <w:rFonts w:ascii="Arial" w:hAnsi="Arial" w:cs="Arial"/>
          <w:spacing w:val="-2"/>
          <w:sz w:val="20"/>
        </w:rPr>
        <w:t xml:space="preserve"> </w:t>
      </w:r>
      <w:r w:rsidRPr="003E26B5">
        <w:rPr>
          <w:rFonts w:ascii="Arial" w:hAnsi="Arial" w:cs="Arial"/>
          <w:sz w:val="20"/>
        </w:rPr>
        <w:t>established</w:t>
      </w:r>
      <w:r w:rsidRPr="003E26B5">
        <w:rPr>
          <w:rFonts w:ascii="Arial" w:hAnsi="Arial" w:cs="Arial"/>
          <w:spacing w:val="-6"/>
          <w:sz w:val="20"/>
        </w:rPr>
        <w:t xml:space="preserve"> </w:t>
      </w:r>
      <w:r w:rsidRPr="003E26B5">
        <w:rPr>
          <w:rFonts w:ascii="Arial" w:hAnsi="Arial" w:cs="Arial"/>
          <w:sz w:val="20"/>
        </w:rPr>
        <w:t>in</w:t>
      </w:r>
      <w:r w:rsidRPr="003E26B5">
        <w:rPr>
          <w:rFonts w:ascii="Arial" w:hAnsi="Arial" w:cs="Arial"/>
          <w:spacing w:val="-3"/>
          <w:sz w:val="20"/>
        </w:rPr>
        <w:t xml:space="preserve"> </w:t>
      </w:r>
      <w:r w:rsidRPr="003E26B5">
        <w:rPr>
          <w:rFonts w:ascii="Arial" w:hAnsi="Arial" w:cs="Arial"/>
          <w:sz w:val="20"/>
        </w:rPr>
        <w:t>accordance</w:t>
      </w:r>
      <w:r w:rsidRPr="003E26B5">
        <w:rPr>
          <w:rFonts w:ascii="Arial" w:hAnsi="Arial" w:cs="Arial"/>
          <w:spacing w:val="-4"/>
          <w:sz w:val="20"/>
        </w:rPr>
        <w:t xml:space="preserve"> </w:t>
      </w:r>
      <w:r w:rsidRPr="003E26B5">
        <w:rPr>
          <w:rFonts w:ascii="Arial" w:hAnsi="Arial" w:cs="Arial"/>
          <w:sz w:val="20"/>
        </w:rPr>
        <w:t>with</w:t>
      </w:r>
      <w:r w:rsidRPr="003E26B5">
        <w:rPr>
          <w:rFonts w:ascii="Arial" w:hAnsi="Arial" w:cs="Arial"/>
          <w:spacing w:val="-2"/>
          <w:sz w:val="20"/>
        </w:rPr>
        <w:t xml:space="preserve"> </w:t>
      </w:r>
      <w:r w:rsidRPr="003E26B5">
        <w:rPr>
          <w:rFonts w:ascii="Arial" w:hAnsi="Arial" w:cs="Arial"/>
          <w:sz w:val="20"/>
        </w:rPr>
        <w:t>Annex</w:t>
      </w:r>
      <w:r w:rsidRPr="003E26B5">
        <w:rPr>
          <w:rFonts w:ascii="Arial" w:hAnsi="Arial" w:cs="Arial"/>
          <w:spacing w:val="-3"/>
          <w:sz w:val="20"/>
        </w:rPr>
        <w:t xml:space="preserve"> </w:t>
      </w:r>
      <w:r w:rsidRPr="003E26B5">
        <w:rPr>
          <w:rFonts w:ascii="Arial" w:hAnsi="Arial" w:cs="Arial"/>
          <w:sz w:val="20"/>
        </w:rPr>
        <w:t>I</w:t>
      </w:r>
      <w:r w:rsidRPr="003E26B5">
        <w:rPr>
          <w:rFonts w:ascii="Arial" w:hAnsi="Arial" w:cs="Arial"/>
          <w:spacing w:val="-5"/>
          <w:sz w:val="20"/>
        </w:rPr>
        <w:t xml:space="preserve"> </w:t>
      </w:r>
      <w:r w:rsidRPr="003E26B5">
        <w:rPr>
          <w:rFonts w:ascii="Arial" w:hAnsi="Arial" w:cs="Arial"/>
          <w:sz w:val="20"/>
        </w:rPr>
        <w:t>to</w:t>
      </w:r>
      <w:r w:rsidR="005C72E6">
        <w:rPr>
          <w:rFonts w:ascii="Arial" w:hAnsi="Arial" w:cs="Arial"/>
          <w:color w:val="0000FF"/>
          <w:sz w:val="20"/>
        </w:rPr>
        <w:t xml:space="preserve"> </w:t>
      </w:r>
      <w:hyperlink r:id="rId60" w:history="1">
        <w:r w:rsidR="001036B3">
          <w:rPr>
            <w:rStyle w:val="Hyperlink"/>
            <w:rFonts w:ascii="Arial" w:hAnsi="Arial" w:cs="Arial"/>
            <w:sz w:val="20"/>
          </w:rPr>
          <w:t>the order N 20-N of the Minister of Territorial Administration and Infrastructure of RA, dated 18.11.2022</w:t>
        </w:r>
      </w:hyperlink>
      <w:r w:rsidR="00FC2B2D" w:rsidRPr="003E26B5">
        <w:rPr>
          <w:rFonts w:ascii="Arial" w:hAnsi="Arial" w:cs="Arial"/>
          <w:sz w:val="20"/>
        </w:rPr>
        <w:t xml:space="preserve"> </w:t>
      </w:r>
      <w:r w:rsidRPr="003E26B5">
        <w:rPr>
          <w:rFonts w:ascii="Arial" w:hAnsi="Arial" w:cs="Arial"/>
          <w:sz w:val="20"/>
        </w:rPr>
        <w:t>and any other occurrence which constitutes an incident but not an accident</w:t>
      </w:r>
      <w:r w:rsidRPr="003E26B5">
        <w:rPr>
          <w:rFonts w:ascii="Arial" w:hAnsi="Arial" w:cs="Arial"/>
          <w:spacing w:val="1"/>
          <w:sz w:val="20"/>
        </w:rPr>
        <w:t xml:space="preserve"> </w:t>
      </w:r>
      <w:r w:rsidRPr="003E26B5">
        <w:rPr>
          <w:rFonts w:ascii="Arial" w:hAnsi="Arial" w:cs="Arial"/>
          <w:sz w:val="20"/>
        </w:rPr>
        <w:t>or</w:t>
      </w:r>
      <w:r w:rsidRPr="003E26B5">
        <w:rPr>
          <w:rFonts w:ascii="Arial" w:hAnsi="Arial" w:cs="Arial"/>
          <w:spacing w:val="-1"/>
          <w:sz w:val="20"/>
        </w:rPr>
        <w:t xml:space="preserve"> </w:t>
      </w:r>
      <w:r w:rsidRPr="003E26B5">
        <w:rPr>
          <w:rFonts w:ascii="Arial" w:hAnsi="Arial" w:cs="Arial"/>
          <w:sz w:val="20"/>
        </w:rPr>
        <w:t>serious incident.</w:t>
      </w:r>
    </w:p>
    <w:p w14:paraId="7646A219" w14:textId="6CC0D644" w:rsidR="00B26A35" w:rsidRPr="00B26A35" w:rsidRDefault="00B26A35" w:rsidP="008522CD">
      <w:pPr>
        <w:pStyle w:val="ListParagraph"/>
        <w:numPr>
          <w:ilvl w:val="0"/>
          <w:numId w:val="85"/>
        </w:numPr>
        <w:tabs>
          <w:tab w:val="left" w:pos="707"/>
        </w:tabs>
        <w:spacing w:before="122" w:line="276" w:lineRule="auto"/>
        <w:ind w:right="44"/>
        <w:jc w:val="both"/>
        <w:rPr>
          <w:rFonts w:ascii="Arial" w:hAnsi="Arial" w:cs="Arial"/>
          <w:sz w:val="20"/>
        </w:rPr>
      </w:pPr>
      <w:r w:rsidRPr="00B26A35">
        <w:rPr>
          <w:rFonts w:ascii="Arial" w:hAnsi="Arial" w:cs="Arial"/>
          <w:sz w:val="20"/>
        </w:rPr>
        <w:t>The</w:t>
      </w:r>
      <w:r w:rsidRPr="00B26A35">
        <w:rPr>
          <w:rFonts w:ascii="Arial" w:hAnsi="Arial" w:cs="Arial"/>
          <w:spacing w:val="1"/>
          <w:sz w:val="20"/>
        </w:rPr>
        <w:t xml:space="preserve"> </w:t>
      </w:r>
      <w:r w:rsidRPr="00B26A35">
        <w:rPr>
          <w:rFonts w:ascii="Arial" w:hAnsi="Arial" w:cs="Arial"/>
          <w:sz w:val="20"/>
        </w:rPr>
        <w:t>operator</w:t>
      </w:r>
      <w:r w:rsidRPr="00B26A35">
        <w:rPr>
          <w:rFonts w:ascii="Arial" w:hAnsi="Arial" w:cs="Arial"/>
          <w:spacing w:val="1"/>
          <w:sz w:val="20"/>
        </w:rPr>
        <w:t xml:space="preserve"> </w:t>
      </w:r>
      <w:r w:rsidRPr="00B26A35">
        <w:rPr>
          <w:rFonts w:ascii="Arial" w:hAnsi="Arial" w:cs="Arial"/>
          <w:sz w:val="20"/>
        </w:rPr>
        <w:t>shall</w:t>
      </w:r>
      <w:r w:rsidRPr="00B26A35">
        <w:rPr>
          <w:rFonts w:ascii="Arial" w:hAnsi="Arial" w:cs="Arial"/>
          <w:spacing w:val="1"/>
          <w:sz w:val="20"/>
        </w:rPr>
        <w:t xml:space="preserve"> </w:t>
      </w:r>
      <w:r w:rsidRPr="00B26A35">
        <w:rPr>
          <w:rFonts w:ascii="Arial" w:hAnsi="Arial" w:cs="Arial"/>
          <w:sz w:val="20"/>
        </w:rPr>
        <w:t>take</w:t>
      </w:r>
      <w:r w:rsidRPr="00B26A35">
        <w:rPr>
          <w:rFonts w:ascii="Arial" w:hAnsi="Arial" w:cs="Arial"/>
          <w:spacing w:val="1"/>
          <w:sz w:val="20"/>
        </w:rPr>
        <w:t xml:space="preserve"> </w:t>
      </w:r>
      <w:r w:rsidRPr="00B26A35">
        <w:rPr>
          <w:rFonts w:ascii="Arial" w:hAnsi="Arial" w:cs="Arial"/>
          <w:sz w:val="20"/>
        </w:rPr>
        <w:t>the</w:t>
      </w:r>
      <w:r w:rsidRPr="00B26A35">
        <w:rPr>
          <w:rFonts w:ascii="Arial" w:hAnsi="Arial" w:cs="Arial"/>
          <w:spacing w:val="1"/>
          <w:sz w:val="20"/>
        </w:rPr>
        <w:t xml:space="preserve"> </w:t>
      </w:r>
      <w:r w:rsidRPr="00B26A35">
        <w:rPr>
          <w:rFonts w:ascii="Arial" w:hAnsi="Arial" w:cs="Arial"/>
          <w:sz w:val="20"/>
        </w:rPr>
        <w:t>necessary</w:t>
      </w:r>
      <w:r w:rsidRPr="00B26A35">
        <w:rPr>
          <w:rFonts w:ascii="Arial" w:hAnsi="Arial" w:cs="Arial"/>
          <w:spacing w:val="1"/>
          <w:sz w:val="20"/>
        </w:rPr>
        <w:t xml:space="preserve"> </w:t>
      </w:r>
      <w:r w:rsidRPr="00B26A35">
        <w:rPr>
          <w:rFonts w:ascii="Arial" w:hAnsi="Arial" w:cs="Arial"/>
          <w:sz w:val="20"/>
        </w:rPr>
        <w:t>measures</w:t>
      </w:r>
      <w:r w:rsidRPr="00B26A35">
        <w:rPr>
          <w:rFonts w:ascii="Arial" w:hAnsi="Arial" w:cs="Arial"/>
          <w:spacing w:val="1"/>
          <w:sz w:val="20"/>
        </w:rPr>
        <w:t xml:space="preserve"> </w:t>
      </w:r>
      <w:r w:rsidRPr="00B26A35">
        <w:rPr>
          <w:rFonts w:ascii="Arial" w:hAnsi="Arial" w:cs="Arial"/>
          <w:sz w:val="20"/>
        </w:rPr>
        <w:t>to</w:t>
      </w:r>
      <w:r w:rsidRPr="00B26A35">
        <w:rPr>
          <w:rFonts w:ascii="Arial" w:hAnsi="Arial" w:cs="Arial"/>
          <w:spacing w:val="1"/>
          <w:sz w:val="20"/>
        </w:rPr>
        <w:t xml:space="preserve"> </w:t>
      </w:r>
      <w:r w:rsidRPr="00B26A35">
        <w:rPr>
          <w:rFonts w:ascii="Arial" w:hAnsi="Arial" w:cs="Arial"/>
          <w:sz w:val="20"/>
        </w:rPr>
        <w:t>ensure</w:t>
      </w:r>
      <w:r w:rsidRPr="00B26A35">
        <w:rPr>
          <w:rFonts w:ascii="Arial" w:hAnsi="Arial" w:cs="Arial"/>
          <w:spacing w:val="1"/>
          <w:sz w:val="20"/>
        </w:rPr>
        <w:t xml:space="preserve"> </w:t>
      </w:r>
      <w:r w:rsidRPr="00B26A35">
        <w:rPr>
          <w:rFonts w:ascii="Arial" w:hAnsi="Arial" w:cs="Arial"/>
          <w:sz w:val="20"/>
        </w:rPr>
        <w:t>compliance</w:t>
      </w:r>
      <w:r w:rsidRPr="00B26A35">
        <w:rPr>
          <w:rFonts w:ascii="Arial" w:hAnsi="Arial" w:cs="Arial"/>
          <w:spacing w:val="1"/>
          <w:sz w:val="20"/>
        </w:rPr>
        <w:t xml:space="preserve"> </w:t>
      </w:r>
      <w:r w:rsidRPr="00B26A35">
        <w:rPr>
          <w:rFonts w:ascii="Arial" w:hAnsi="Arial" w:cs="Arial"/>
          <w:sz w:val="20"/>
        </w:rPr>
        <w:t>with</w:t>
      </w:r>
      <w:r w:rsidRPr="00B26A35">
        <w:rPr>
          <w:rFonts w:ascii="Arial" w:hAnsi="Arial" w:cs="Arial"/>
          <w:spacing w:val="1"/>
          <w:sz w:val="20"/>
        </w:rPr>
        <w:t xml:space="preserve"> </w:t>
      </w:r>
      <w:hyperlink r:id="rId61" w:history="1">
        <w:r w:rsidR="00685CE2" w:rsidRPr="00685CE2">
          <w:rPr>
            <w:rStyle w:val="Hyperlink"/>
            <w:rFonts w:ascii="Arial" w:hAnsi="Arial" w:cs="Arial"/>
            <w:sz w:val="20"/>
          </w:rPr>
          <w:t>the decision N 1777-N of the Government of the Republic of Armenia, dated 11.12.2003</w:t>
        </w:r>
      </w:hyperlink>
      <w:r w:rsidR="00685CE2">
        <w:rPr>
          <w:rFonts w:ascii="Arial" w:hAnsi="Arial" w:cs="Arial"/>
          <w:sz w:val="20"/>
        </w:rPr>
        <w:t xml:space="preserve"> </w:t>
      </w:r>
      <w:r w:rsidRPr="00B26A35">
        <w:rPr>
          <w:rFonts w:ascii="Arial" w:hAnsi="Arial" w:cs="Arial"/>
          <w:sz w:val="20"/>
        </w:rPr>
        <w:t>by the pilot-in-command, any other crew member and all its personnel in respect of any serious incident or</w:t>
      </w:r>
      <w:r w:rsidRPr="00B26A35">
        <w:rPr>
          <w:rFonts w:ascii="Arial" w:hAnsi="Arial" w:cs="Arial"/>
          <w:spacing w:val="1"/>
          <w:sz w:val="20"/>
        </w:rPr>
        <w:t xml:space="preserve"> </w:t>
      </w:r>
      <w:r w:rsidRPr="00B26A35">
        <w:rPr>
          <w:rFonts w:ascii="Arial" w:hAnsi="Arial" w:cs="Arial"/>
          <w:sz w:val="20"/>
        </w:rPr>
        <w:t>accident</w:t>
      </w:r>
      <w:r w:rsidRPr="00B26A35">
        <w:rPr>
          <w:rFonts w:ascii="Arial" w:hAnsi="Arial" w:cs="Arial"/>
          <w:spacing w:val="-1"/>
          <w:sz w:val="20"/>
        </w:rPr>
        <w:t xml:space="preserve"> </w:t>
      </w:r>
      <w:r w:rsidRPr="00B26A35">
        <w:rPr>
          <w:rFonts w:ascii="Arial" w:hAnsi="Arial" w:cs="Arial"/>
          <w:sz w:val="20"/>
        </w:rPr>
        <w:t>associated</w:t>
      </w:r>
      <w:r w:rsidRPr="00B26A35">
        <w:rPr>
          <w:rFonts w:ascii="Arial" w:hAnsi="Arial" w:cs="Arial"/>
          <w:spacing w:val="-3"/>
          <w:sz w:val="20"/>
        </w:rPr>
        <w:t xml:space="preserve"> </w:t>
      </w:r>
      <w:r w:rsidRPr="00B26A35">
        <w:rPr>
          <w:rFonts w:ascii="Arial" w:hAnsi="Arial" w:cs="Arial"/>
          <w:sz w:val="20"/>
        </w:rPr>
        <w:t>with the</w:t>
      </w:r>
      <w:r w:rsidRPr="00B26A35">
        <w:rPr>
          <w:rFonts w:ascii="Arial" w:hAnsi="Arial" w:cs="Arial"/>
          <w:spacing w:val="1"/>
          <w:sz w:val="20"/>
        </w:rPr>
        <w:t xml:space="preserve"> </w:t>
      </w:r>
      <w:r w:rsidRPr="00B26A35">
        <w:rPr>
          <w:rFonts w:ascii="Arial" w:hAnsi="Arial" w:cs="Arial"/>
          <w:sz w:val="20"/>
        </w:rPr>
        <w:t>operation</w:t>
      </w:r>
      <w:r w:rsidRPr="00B26A35">
        <w:rPr>
          <w:rFonts w:ascii="Arial" w:hAnsi="Arial" w:cs="Arial"/>
          <w:spacing w:val="-1"/>
          <w:sz w:val="20"/>
        </w:rPr>
        <w:t xml:space="preserve"> </w:t>
      </w:r>
      <w:r w:rsidRPr="00B26A35">
        <w:rPr>
          <w:rFonts w:ascii="Arial" w:hAnsi="Arial" w:cs="Arial"/>
          <w:sz w:val="20"/>
        </w:rPr>
        <w:t>of</w:t>
      </w:r>
      <w:r w:rsidRPr="00B26A35">
        <w:rPr>
          <w:rFonts w:ascii="Arial" w:hAnsi="Arial" w:cs="Arial"/>
          <w:spacing w:val="-3"/>
          <w:sz w:val="20"/>
        </w:rPr>
        <w:t xml:space="preserve"> </w:t>
      </w:r>
      <w:r w:rsidRPr="00B26A35">
        <w:rPr>
          <w:rFonts w:ascii="Arial" w:hAnsi="Arial" w:cs="Arial"/>
          <w:sz w:val="20"/>
        </w:rPr>
        <w:t>a balloon.</w:t>
      </w:r>
    </w:p>
    <w:p w14:paraId="0EC58369" w14:textId="77777777" w:rsidR="005968E2" w:rsidRPr="005968E2" w:rsidRDefault="005968E2" w:rsidP="009601C2">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370" w:name="AMC1_BOP.ADD.025(a)_Occurrence_reporting"/>
      <w:bookmarkStart w:id="371" w:name="_bookmark153"/>
      <w:bookmarkStart w:id="372" w:name="_Toc153137318"/>
      <w:bookmarkEnd w:id="370"/>
      <w:bookmarkEnd w:id="371"/>
      <w:r w:rsidRPr="005968E2">
        <w:rPr>
          <w:rFonts w:ascii="Arial" w:eastAsia="Times New Roman" w:hAnsi="Arial" w:cs="Times New Roman"/>
          <w:b/>
          <w:color w:val="FFFFFF"/>
          <w:sz w:val="24"/>
        </w:rPr>
        <w:t>AMC1 BOP.ADD.025(a) Occurrence reporting</w:t>
      </w:r>
      <w:bookmarkEnd w:id="372"/>
    </w:p>
    <w:p w14:paraId="4A4EFD07" w14:textId="77777777" w:rsidR="005968E2" w:rsidRPr="00276D5E" w:rsidRDefault="005968E2" w:rsidP="009601C2">
      <w:pPr>
        <w:spacing w:line="276" w:lineRule="auto"/>
        <w:jc w:val="both"/>
        <w:rPr>
          <w:rFonts w:ascii="Arial" w:hAnsi="Arial" w:cs="Arial"/>
          <w:b/>
          <w:sz w:val="20"/>
        </w:rPr>
      </w:pPr>
      <w:r w:rsidRPr="00276D5E">
        <w:rPr>
          <w:rFonts w:ascii="Arial" w:hAnsi="Arial" w:cs="Arial"/>
          <w:b/>
          <w:sz w:val="20"/>
        </w:rPr>
        <w:t>GENERAL</w:t>
      </w:r>
    </w:p>
    <w:p w14:paraId="534DE3FD" w14:textId="2B396829" w:rsidR="005968E2" w:rsidRPr="00FA5D2A" w:rsidRDefault="005968E2" w:rsidP="00FA5D2A">
      <w:pPr>
        <w:pStyle w:val="BodyText"/>
        <w:spacing w:before="116" w:line="276" w:lineRule="auto"/>
        <w:ind w:right="44"/>
        <w:jc w:val="both"/>
      </w:pPr>
      <w:r w:rsidRPr="005968E2">
        <w:rPr>
          <w:rFonts w:ascii="Arial" w:hAnsi="Arial" w:cs="Arial"/>
          <w:sz w:val="20"/>
        </w:rPr>
        <w:t>Additionally</w:t>
      </w:r>
      <w:r w:rsidRPr="005968E2">
        <w:rPr>
          <w:rFonts w:ascii="Arial" w:hAnsi="Arial" w:cs="Arial"/>
          <w:spacing w:val="30"/>
          <w:sz w:val="20"/>
        </w:rPr>
        <w:t xml:space="preserve"> </w:t>
      </w:r>
      <w:r w:rsidRPr="005968E2">
        <w:rPr>
          <w:rFonts w:ascii="Arial" w:hAnsi="Arial" w:cs="Arial"/>
          <w:sz w:val="20"/>
        </w:rPr>
        <w:t>to</w:t>
      </w:r>
      <w:r w:rsidRPr="005968E2">
        <w:rPr>
          <w:rFonts w:ascii="Arial" w:hAnsi="Arial" w:cs="Arial"/>
          <w:spacing w:val="32"/>
          <w:sz w:val="20"/>
        </w:rPr>
        <w:t xml:space="preserve"> </w:t>
      </w:r>
      <w:r w:rsidRPr="005968E2">
        <w:rPr>
          <w:rFonts w:ascii="Arial" w:hAnsi="Arial" w:cs="Arial"/>
          <w:sz w:val="20"/>
        </w:rPr>
        <w:t>reporting</w:t>
      </w:r>
      <w:r w:rsidRPr="005968E2">
        <w:rPr>
          <w:rFonts w:ascii="Arial" w:hAnsi="Arial" w:cs="Arial"/>
          <w:spacing w:val="30"/>
          <w:sz w:val="20"/>
        </w:rPr>
        <w:t xml:space="preserve"> </w:t>
      </w:r>
      <w:r w:rsidRPr="005968E2">
        <w:rPr>
          <w:rFonts w:ascii="Arial" w:hAnsi="Arial" w:cs="Arial"/>
          <w:sz w:val="20"/>
        </w:rPr>
        <w:t>all</w:t>
      </w:r>
      <w:r w:rsidRPr="005968E2">
        <w:rPr>
          <w:rFonts w:ascii="Arial" w:hAnsi="Arial" w:cs="Arial"/>
          <w:spacing w:val="30"/>
          <w:sz w:val="20"/>
        </w:rPr>
        <w:t xml:space="preserve"> </w:t>
      </w:r>
      <w:r w:rsidRPr="005968E2">
        <w:rPr>
          <w:rFonts w:ascii="Arial" w:hAnsi="Arial" w:cs="Arial"/>
          <w:sz w:val="20"/>
        </w:rPr>
        <w:t>occurrences</w:t>
      </w:r>
      <w:r w:rsidRPr="005968E2">
        <w:rPr>
          <w:rFonts w:ascii="Arial" w:hAnsi="Arial" w:cs="Arial"/>
          <w:spacing w:val="30"/>
          <w:sz w:val="20"/>
        </w:rPr>
        <w:t xml:space="preserve"> </w:t>
      </w:r>
      <w:r w:rsidRPr="005968E2">
        <w:rPr>
          <w:rFonts w:ascii="Arial" w:hAnsi="Arial" w:cs="Arial"/>
          <w:sz w:val="20"/>
        </w:rPr>
        <w:t>required</w:t>
      </w:r>
      <w:r w:rsidRPr="005968E2">
        <w:rPr>
          <w:rFonts w:ascii="Arial" w:hAnsi="Arial" w:cs="Arial"/>
          <w:spacing w:val="30"/>
          <w:sz w:val="20"/>
        </w:rPr>
        <w:t xml:space="preserve"> </w:t>
      </w:r>
      <w:r w:rsidRPr="005968E2">
        <w:rPr>
          <w:rFonts w:ascii="Arial" w:hAnsi="Arial" w:cs="Arial"/>
          <w:sz w:val="20"/>
        </w:rPr>
        <w:t>by</w:t>
      </w:r>
      <w:r w:rsidR="005C72E6">
        <w:rPr>
          <w:rFonts w:ascii="Arial" w:hAnsi="Arial" w:cs="Arial"/>
          <w:sz w:val="20"/>
        </w:rPr>
        <w:t xml:space="preserve"> </w:t>
      </w:r>
      <w:r w:rsidR="005C72E6" w:rsidRPr="005C72E6">
        <w:rPr>
          <w:rFonts w:ascii="Arial" w:hAnsi="Arial" w:cs="Arial"/>
          <w:sz w:val="20"/>
        </w:rPr>
        <w:t>Occurrence reporting regulations</w:t>
      </w:r>
      <w:r w:rsidRPr="005C72E6">
        <w:rPr>
          <w:rFonts w:ascii="Arial" w:hAnsi="Arial" w:cs="Arial"/>
          <w:sz w:val="20"/>
        </w:rPr>
        <w:t>,</w:t>
      </w:r>
      <w:r w:rsidRPr="005968E2">
        <w:rPr>
          <w:rFonts w:ascii="Arial" w:hAnsi="Arial" w:cs="Arial"/>
          <w:spacing w:val="31"/>
          <w:sz w:val="20"/>
        </w:rPr>
        <w:t xml:space="preserve"> </w:t>
      </w:r>
      <w:r w:rsidRPr="005968E2">
        <w:rPr>
          <w:rFonts w:ascii="Arial" w:hAnsi="Arial" w:cs="Arial"/>
          <w:sz w:val="20"/>
        </w:rPr>
        <w:t>the</w:t>
      </w:r>
      <w:r w:rsidRPr="005968E2">
        <w:rPr>
          <w:rFonts w:ascii="Arial" w:hAnsi="Arial" w:cs="Arial"/>
          <w:spacing w:val="31"/>
          <w:sz w:val="20"/>
        </w:rPr>
        <w:t xml:space="preserve"> </w:t>
      </w:r>
      <w:r w:rsidRPr="005968E2">
        <w:rPr>
          <w:rFonts w:ascii="Arial" w:hAnsi="Arial" w:cs="Arial"/>
          <w:sz w:val="20"/>
        </w:rPr>
        <w:t>operator</w:t>
      </w:r>
      <w:r w:rsidR="005C72E6">
        <w:rPr>
          <w:rFonts w:ascii="Arial" w:hAnsi="Arial" w:cs="Arial"/>
          <w:sz w:val="20"/>
        </w:rPr>
        <w:t xml:space="preserve"> </w:t>
      </w:r>
      <w:r w:rsidRPr="005968E2">
        <w:rPr>
          <w:rFonts w:ascii="Arial" w:hAnsi="Arial" w:cs="Arial"/>
          <w:sz w:val="20"/>
        </w:rPr>
        <w:t>should</w:t>
      </w:r>
      <w:r w:rsidRPr="005968E2">
        <w:rPr>
          <w:rFonts w:ascii="Arial" w:hAnsi="Arial" w:cs="Arial"/>
          <w:spacing w:val="-3"/>
          <w:sz w:val="20"/>
        </w:rPr>
        <w:t xml:space="preserve"> </w:t>
      </w:r>
      <w:r w:rsidRPr="005968E2">
        <w:rPr>
          <w:rFonts w:ascii="Arial" w:hAnsi="Arial" w:cs="Arial"/>
          <w:sz w:val="20"/>
        </w:rPr>
        <w:t>also</w:t>
      </w:r>
      <w:r w:rsidRPr="005968E2">
        <w:rPr>
          <w:rFonts w:ascii="Arial" w:hAnsi="Arial" w:cs="Arial"/>
          <w:spacing w:val="-1"/>
          <w:sz w:val="20"/>
        </w:rPr>
        <w:t xml:space="preserve"> </w:t>
      </w:r>
      <w:r w:rsidRPr="005968E2">
        <w:rPr>
          <w:rFonts w:ascii="Arial" w:hAnsi="Arial" w:cs="Arial"/>
          <w:sz w:val="20"/>
        </w:rPr>
        <w:t>report those</w:t>
      </w:r>
      <w:r w:rsidRPr="005968E2">
        <w:rPr>
          <w:rFonts w:ascii="Arial" w:hAnsi="Arial" w:cs="Arial"/>
          <w:spacing w:val="1"/>
          <w:sz w:val="20"/>
        </w:rPr>
        <w:t xml:space="preserve"> </w:t>
      </w:r>
      <w:r w:rsidRPr="005968E2">
        <w:rPr>
          <w:rFonts w:ascii="Arial" w:hAnsi="Arial" w:cs="Arial"/>
          <w:sz w:val="20"/>
        </w:rPr>
        <w:t xml:space="preserve">specified </w:t>
      </w:r>
      <w:r w:rsidRPr="00FA5D2A">
        <w:rPr>
          <w:rFonts w:ascii="Arial" w:hAnsi="Arial" w:cs="Arial"/>
          <w:spacing w:val="1"/>
          <w:sz w:val="20"/>
        </w:rPr>
        <w:t xml:space="preserve">in </w:t>
      </w:r>
      <w:hyperlink r:id="rId62" w:history="1">
        <w:r w:rsidR="00FA5D2A" w:rsidRPr="00FA5D2A">
          <w:rPr>
            <w:rStyle w:val="Hyperlink"/>
            <w:rFonts w:ascii="Arial" w:hAnsi="Arial" w:cs="Arial"/>
            <w:spacing w:val="1"/>
            <w:sz w:val="20"/>
          </w:rPr>
          <w:t>the order N 451-L of the Chair of Civil Aviation Committee of the Republic of Armenia, dated 22.09.2022</w:t>
        </w:r>
      </w:hyperlink>
      <w:r w:rsidR="00FA5D2A">
        <w:rPr>
          <w:rFonts w:ascii="Arial" w:hAnsi="Arial" w:cs="Arial"/>
          <w:spacing w:val="1"/>
          <w:sz w:val="20"/>
        </w:rPr>
        <w:t>.</w:t>
      </w:r>
      <w:r w:rsidR="00FA5D2A" w:rsidRPr="00FA5D2A">
        <w:t xml:space="preserve">  </w:t>
      </w:r>
    </w:p>
    <w:p w14:paraId="6E3030B5" w14:textId="77777777" w:rsidR="005968E2" w:rsidRPr="005968E2" w:rsidRDefault="005968E2"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373" w:name="BOP.ADD.030_Management_system"/>
      <w:bookmarkStart w:id="374" w:name="_bookmark154"/>
      <w:bookmarkStart w:id="375" w:name="_Toc153137319"/>
      <w:bookmarkEnd w:id="373"/>
      <w:bookmarkEnd w:id="374"/>
      <w:r w:rsidRPr="005968E2">
        <w:rPr>
          <w:rFonts w:ascii="Arial" w:eastAsia="Times New Roman" w:hAnsi="Arial" w:cs="Times New Roman"/>
          <w:b/>
          <w:iCs/>
          <w:color w:val="FFFFFF"/>
          <w:sz w:val="24"/>
        </w:rPr>
        <w:t>BOP.ADD.030 Management system</w:t>
      </w:r>
      <w:bookmarkEnd w:id="375"/>
    </w:p>
    <w:p w14:paraId="49C97AC0" w14:textId="77777777" w:rsidR="005968E2" w:rsidRPr="005968E2" w:rsidRDefault="005968E2" w:rsidP="008522CD">
      <w:pPr>
        <w:numPr>
          <w:ilvl w:val="0"/>
          <w:numId w:val="86"/>
        </w:numPr>
        <w:tabs>
          <w:tab w:val="left" w:pos="1273"/>
          <w:tab w:val="left" w:pos="1274"/>
        </w:tabs>
        <w:spacing w:before="122" w:line="276" w:lineRule="auto"/>
        <w:ind w:right="44"/>
        <w:jc w:val="both"/>
        <w:rPr>
          <w:rFonts w:ascii="Arial" w:hAnsi="Arial" w:cs="Arial"/>
          <w:sz w:val="20"/>
          <w:szCs w:val="20"/>
        </w:rPr>
      </w:pPr>
      <w:r w:rsidRPr="005968E2">
        <w:rPr>
          <w:rFonts w:ascii="Arial" w:hAnsi="Arial" w:cs="Arial"/>
          <w:sz w:val="20"/>
          <w:szCs w:val="20"/>
        </w:rPr>
        <w:t>The operator shall establish, implement and maintain a management system that includes all of the following:</w:t>
      </w:r>
    </w:p>
    <w:p w14:paraId="51770046" w14:textId="77777777" w:rsidR="005968E2" w:rsidRPr="005968E2" w:rsidRDefault="005968E2" w:rsidP="008522CD">
      <w:pPr>
        <w:numPr>
          <w:ilvl w:val="1"/>
          <w:numId w:val="86"/>
        </w:numPr>
        <w:tabs>
          <w:tab w:val="left" w:pos="1274"/>
        </w:tabs>
        <w:spacing w:before="122" w:line="276" w:lineRule="auto"/>
        <w:ind w:right="44"/>
        <w:jc w:val="both"/>
        <w:rPr>
          <w:rFonts w:ascii="Arial" w:hAnsi="Arial" w:cs="Arial"/>
          <w:sz w:val="20"/>
          <w:szCs w:val="20"/>
        </w:rPr>
      </w:pPr>
      <w:r w:rsidRPr="005968E2">
        <w:rPr>
          <w:rFonts w:ascii="Arial" w:hAnsi="Arial" w:cs="Arial"/>
          <w:sz w:val="20"/>
          <w:szCs w:val="20"/>
        </w:rPr>
        <w:t>clearly defined lines of responsibility and accountability throughout the organisation of the operator, including a direct safety accountability of the accountable manager;</w:t>
      </w:r>
    </w:p>
    <w:p w14:paraId="5D52662E" w14:textId="77777777" w:rsidR="005968E2" w:rsidRPr="005968E2" w:rsidRDefault="005968E2" w:rsidP="008522CD">
      <w:pPr>
        <w:numPr>
          <w:ilvl w:val="1"/>
          <w:numId w:val="86"/>
        </w:numPr>
        <w:tabs>
          <w:tab w:val="left" w:pos="1274"/>
        </w:tabs>
        <w:spacing w:before="122" w:line="276" w:lineRule="auto"/>
        <w:ind w:right="44"/>
        <w:jc w:val="both"/>
        <w:rPr>
          <w:rFonts w:ascii="Arial" w:hAnsi="Arial" w:cs="Arial"/>
          <w:sz w:val="20"/>
          <w:szCs w:val="20"/>
        </w:rPr>
      </w:pPr>
      <w:r w:rsidRPr="005968E2">
        <w:rPr>
          <w:rFonts w:ascii="Arial" w:hAnsi="Arial" w:cs="Arial"/>
          <w:sz w:val="20"/>
          <w:szCs w:val="20"/>
        </w:rPr>
        <w:t>a description of the overall philosophies and principles of the operator with regard to safety, which shall be known as the safety policy;</w:t>
      </w:r>
    </w:p>
    <w:p w14:paraId="3D26CA01" w14:textId="77777777" w:rsidR="005968E2" w:rsidRPr="005968E2" w:rsidRDefault="005968E2" w:rsidP="008522CD">
      <w:pPr>
        <w:numPr>
          <w:ilvl w:val="1"/>
          <w:numId w:val="86"/>
        </w:numPr>
        <w:tabs>
          <w:tab w:val="left" w:pos="1274"/>
        </w:tabs>
        <w:spacing w:before="122" w:line="276" w:lineRule="auto"/>
        <w:ind w:right="44"/>
        <w:jc w:val="both"/>
        <w:rPr>
          <w:rFonts w:ascii="Arial" w:hAnsi="Arial" w:cs="Arial"/>
          <w:sz w:val="20"/>
          <w:szCs w:val="20"/>
        </w:rPr>
      </w:pPr>
      <w:r w:rsidRPr="005968E2">
        <w:rPr>
          <w:rFonts w:ascii="Arial" w:hAnsi="Arial" w:cs="Arial"/>
          <w:sz w:val="20"/>
          <w:szCs w:val="20"/>
        </w:rPr>
        <w:t>the identification of aviation safety hazards entailed by the activities of the operator, the evaluation of those hazards and the management of associated risks, including by taking actions to mitigate those risks where necessary and verifying the effectiveness of those actions;</w:t>
      </w:r>
    </w:p>
    <w:p w14:paraId="1420534B" w14:textId="77777777" w:rsidR="005968E2" w:rsidRPr="005968E2" w:rsidRDefault="005968E2" w:rsidP="008522CD">
      <w:pPr>
        <w:numPr>
          <w:ilvl w:val="1"/>
          <w:numId w:val="86"/>
        </w:numPr>
        <w:tabs>
          <w:tab w:val="left" w:pos="1274"/>
        </w:tabs>
        <w:spacing w:before="122" w:line="276" w:lineRule="auto"/>
        <w:ind w:right="44"/>
        <w:jc w:val="both"/>
        <w:rPr>
          <w:rFonts w:ascii="Arial" w:hAnsi="Arial" w:cs="Arial"/>
          <w:sz w:val="20"/>
          <w:szCs w:val="20"/>
        </w:rPr>
      </w:pPr>
      <w:r w:rsidRPr="005968E2">
        <w:rPr>
          <w:rFonts w:ascii="Arial" w:hAnsi="Arial" w:cs="Arial"/>
          <w:sz w:val="20"/>
          <w:szCs w:val="20"/>
        </w:rPr>
        <w:t>maintaining personnel trained and competent to perform their tasks;</w:t>
      </w:r>
    </w:p>
    <w:p w14:paraId="3728304D" w14:textId="77777777" w:rsidR="005968E2" w:rsidRPr="005968E2" w:rsidRDefault="005968E2" w:rsidP="008522CD">
      <w:pPr>
        <w:numPr>
          <w:ilvl w:val="1"/>
          <w:numId w:val="86"/>
        </w:numPr>
        <w:tabs>
          <w:tab w:val="left" w:pos="1274"/>
        </w:tabs>
        <w:spacing w:before="122" w:line="276" w:lineRule="auto"/>
        <w:ind w:right="44"/>
        <w:jc w:val="both"/>
        <w:rPr>
          <w:rFonts w:ascii="Arial" w:hAnsi="Arial" w:cs="Arial"/>
          <w:sz w:val="20"/>
          <w:szCs w:val="20"/>
        </w:rPr>
      </w:pPr>
      <w:r w:rsidRPr="005968E2">
        <w:rPr>
          <w:rFonts w:ascii="Arial" w:hAnsi="Arial" w:cs="Arial"/>
          <w:sz w:val="20"/>
          <w:szCs w:val="20"/>
        </w:rPr>
        <w:t>documentation of all key processes of the management system, including a process for making personnel aware of their responsibilities and the procedure for amending that documentation;</w:t>
      </w:r>
    </w:p>
    <w:p w14:paraId="68A32221" w14:textId="77777777" w:rsidR="005C72E6" w:rsidRDefault="005968E2" w:rsidP="008522CD">
      <w:pPr>
        <w:numPr>
          <w:ilvl w:val="1"/>
          <w:numId w:val="86"/>
        </w:numPr>
        <w:tabs>
          <w:tab w:val="left" w:pos="1274"/>
        </w:tabs>
        <w:spacing w:before="122" w:line="276" w:lineRule="auto"/>
        <w:ind w:right="44"/>
        <w:jc w:val="both"/>
        <w:rPr>
          <w:rFonts w:ascii="Arial" w:hAnsi="Arial" w:cs="Arial"/>
          <w:sz w:val="20"/>
          <w:szCs w:val="20"/>
        </w:rPr>
      </w:pPr>
      <w:r w:rsidRPr="005968E2">
        <w:rPr>
          <w:rFonts w:ascii="Arial" w:hAnsi="Arial" w:cs="Arial"/>
          <w:sz w:val="20"/>
          <w:szCs w:val="20"/>
        </w:rPr>
        <w:t>a function to monitor compliance of the operator with the requirements of this Annex. Such compliance monitoring shall include a feedback system of findings to the accountable manager of the operator to ensure effective implementation of corrective actions as necessary;</w:t>
      </w:r>
    </w:p>
    <w:p w14:paraId="58116E44" w14:textId="1E888B4A" w:rsidR="005968E2" w:rsidRPr="005C72E6" w:rsidRDefault="005968E2" w:rsidP="008522CD">
      <w:pPr>
        <w:numPr>
          <w:ilvl w:val="1"/>
          <w:numId w:val="86"/>
        </w:numPr>
        <w:tabs>
          <w:tab w:val="left" w:pos="1274"/>
        </w:tabs>
        <w:spacing w:before="122" w:line="276" w:lineRule="auto"/>
        <w:ind w:right="44"/>
        <w:jc w:val="both"/>
        <w:rPr>
          <w:rFonts w:ascii="Arial" w:hAnsi="Arial" w:cs="Arial"/>
          <w:sz w:val="20"/>
          <w:szCs w:val="20"/>
        </w:rPr>
      </w:pPr>
      <w:r w:rsidRPr="005C72E6">
        <w:rPr>
          <w:rFonts w:ascii="Arial" w:hAnsi="Arial" w:cs="Arial"/>
          <w:sz w:val="20"/>
          <w:szCs w:val="20"/>
        </w:rPr>
        <w:t xml:space="preserve">the processes necessary to ensure compliance with the requirements of Articles 4, 5, 6 and 13 of </w:t>
      </w:r>
      <w:r w:rsidR="005C72E6" w:rsidRPr="005C72E6">
        <w:rPr>
          <w:rFonts w:ascii="Arial" w:hAnsi="Arial" w:cs="Arial"/>
          <w:sz w:val="20"/>
          <w:szCs w:val="20"/>
        </w:rPr>
        <w:t>Occurrence reporting regulations</w:t>
      </w:r>
      <w:r w:rsidR="005C72E6">
        <w:rPr>
          <w:rFonts w:ascii="Arial" w:hAnsi="Arial" w:cs="Arial"/>
          <w:sz w:val="20"/>
          <w:szCs w:val="20"/>
        </w:rPr>
        <w:t>.</w:t>
      </w:r>
    </w:p>
    <w:p w14:paraId="2FBFFCB9" w14:textId="77777777" w:rsidR="005968E2" w:rsidRPr="005968E2" w:rsidRDefault="005968E2" w:rsidP="008522CD">
      <w:pPr>
        <w:numPr>
          <w:ilvl w:val="0"/>
          <w:numId w:val="86"/>
        </w:numPr>
        <w:tabs>
          <w:tab w:val="left" w:pos="1273"/>
          <w:tab w:val="left" w:pos="1274"/>
        </w:tabs>
        <w:spacing w:before="122" w:line="276" w:lineRule="auto"/>
        <w:ind w:right="44"/>
        <w:jc w:val="both"/>
        <w:rPr>
          <w:rFonts w:ascii="Arial" w:hAnsi="Arial" w:cs="Arial"/>
          <w:sz w:val="20"/>
          <w:szCs w:val="20"/>
        </w:rPr>
      </w:pPr>
      <w:r w:rsidRPr="005968E2">
        <w:rPr>
          <w:rFonts w:ascii="Arial" w:hAnsi="Arial" w:cs="Arial"/>
          <w:sz w:val="20"/>
          <w:szCs w:val="20"/>
        </w:rPr>
        <w:t>The management system shall correspond to the size of the operator and the nature and complexity of its activities, taking into account the hazards and associated risks of those activities.</w:t>
      </w:r>
    </w:p>
    <w:p w14:paraId="734F0CC3" w14:textId="77777777" w:rsidR="003D79E8" w:rsidRPr="003D79E8" w:rsidRDefault="003D79E8" w:rsidP="009601C2">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376" w:name="AMC1_BOP.ADD.030(a)(2)_Management_system"/>
      <w:bookmarkStart w:id="377" w:name="_bookmark155"/>
      <w:bookmarkStart w:id="378" w:name="_Toc153137320"/>
      <w:bookmarkEnd w:id="376"/>
      <w:bookmarkEnd w:id="377"/>
      <w:r w:rsidRPr="003D79E8">
        <w:rPr>
          <w:rFonts w:ascii="Arial" w:eastAsia="Times New Roman" w:hAnsi="Arial" w:cs="Times New Roman"/>
          <w:b/>
          <w:color w:val="FFFFFF"/>
          <w:sz w:val="24"/>
        </w:rPr>
        <w:t>AMC1 BOP.ADD.030(a)(2) Management system</w:t>
      </w:r>
      <w:bookmarkEnd w:id="378"/>
    </w:p>
    <w:p w14:paraId="3AA98096" w14:textId="77777777" w:rsidR="003D79E8" w:rsidRPr="00276D5E" w:rsidRDefault="003D79E8" w:rsidP="009601C2">
      <w:pPr>
        <w:spacing w:line="276" w:lineRule="auto"/>
        <w:jc w:val="both"/>
        <w:rPr>
          <w:rFonts w:ascii="Arial" w:hAnsi="Arial" w:cs="Arial"/>
          <w:b/>
          <w:sz w:val="20"/>
        </w:rPr>
      </w:pPr>
      <w:r w:rsidRPr="00276D5E">
        <w:rPr>
          <w:rFonts w:ascii="Arial" w:hAnsi="Arial" w:cs="Arial"/>
          <w:b/>
          <w:sz w:val="20"/>
        </w:rPr>
        <w:t>SAFETY</w:t>
      </w:r>
      <w:r w:rsidRPr="00276D5E">
        <w:rPr>
          <w:rFonts w:ascii="Arial" w:hAnsi="Arial" w:cs="Arial"/>
          <w:b/>
          <w:spacing w:val="-4"/>
          <w:sz w:val="20"/>
        </w:rPr>
        <w:t xml:space="preserve"> </w:t>
      </w:r>
      <w:r w:rsidRPr="00276D5E">
        <w:rPr>
          <w:rFonts w:ascii="Arial" w:hAnsi="Arial" w:cs="Arial"/>
          <w:b/>
          <w:sz w:val="20"/>
        </w:rPr>
        <w:t>POLICY</w:t>
      </w:r>
    </w:p>
    <w:p w14:paraId="13B6DC20" w14:textId="77777777" w:rsidR="003D79E8" w:rsidRPr="003D79E8" w:rsidRDefault="003D79E8" w:rsidP="008522CD">
      <w:pPr>
        <w:tabs>
          <w:tab w:val="left" w:pos="1273"/>
          <w:tab w:val="left" w:pos="1274"/>
        </w:tabs>
        <w:spacing w:before="122" w:line="276" w:lineRule="auto"/>
        <w:ind w:right="44"/>
        <w:jc w:val="both"/>
        <w:rPr>
          <w:rFonts w:ascii="Arial" w:hAnsi="Arial" w:cs="Arial"/>
          <w:sz w:val="20"/>
          <w:szCs w:val="20"/>
        </w:rPr>
      </w:pPr>
      <w:r w:rsidRPr="003D79E8">
        <w:rPr>
          <w:rFonts w:ascii="Arial" w:hAnsi="Arial" w:cs="Arial"/>
          <w:sz w:val="20"/>
          <w:szCs w:val="20"/>
        </w:rPr>
        <w:t>The safety policy should include a commitment to improve towards the highest safety standards, comply with all applicable legal requirements, meet all applicable standards, consider best practices, and provide appropriate resources.</w:t>
      </w:r>
    </w:p>
    <w:p w14:paraId="69278519" w14:textId="77777777" w:rsidR="003D79E8" w:rsidRPr="003D79E8" w:rsidRDefault="003D79E8" w:rsidP="009601C2">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379" w:name="AMC1_BOP.ADD.030(a)(3)_Management_system"/>
      <w:bookmarkStart w:id="380" w:name="_bookmark156"/>
      <w:bookmarkStart w:id="381" w:name="_Toc153137321"/>
      <w:bookmarkEnd w:id="379"/>
      <w:bookmarkEnd w:id="380"/>
      <w:r w:rsidRPr="003D79E8">
        <w:rPr>
          <w:rFonts w:ascii="Arial" w:eastAsia="Times New Roman" w:hAnsi="Arial" w:cs="Times New Roman"/>
          <w:b/>
          <w:color w:val="FFFFFF"/>
          <w:sz w:val="24"/>
        </w:rPr>
        <w:t>AMC1 BOP.ADD.030(a)(3) Management system</w:t>
      </w:r>
      <w:bookmarkEnd w:id="381"/>
    </w:p>
    <w:p w14:paraId="2C2A093E" w14:textId="77777777" w:rsidR="003D79E8" w:rsidRPr="003D79E8" w:rsidRDefault="003D79E8" w:rsidP="009601C2">
      <w:pPr>
        <w:tabs>
          <w:tab w:val="left" w:pos="1273"/>
          <w:tab w:val="left" w:pos="1274"/>
        </w:tabs>
        <w:spacing w:before="122" w:line="276" w:lineRule="auto"/>
        <w:ind w:right="200"/>
        <w:jc w:val="both"/>
        <w:rPr>
          <w:rFonts w:ascii="Arial" w:hAnsi="Arial" w:cs="Arial"/>
          <w:b/>
          <w:sz w:val="20"/>
          <w:szCs w:val="20"/>
        </w:rPr>
      </w:pPr>
      <w:r w:rsidRPr="003D79E8">
        <w:rPr>
          <w:rFonts w:ascii="Arial" w:hAnsi="Arial" w:cs="Arial"/>
          <w:b/>
          <w:sz w:val="20"/>
          <w:szCs w:val="20"/>
        </w:rPr>
        <w:t>SAFETY RISK MANAGEMENT</w:t>
      </w:r>
    </w:p>
    <w:p w14:paraId="63B15E59" w14:textId="77777777" w:rsidR="003D79E8" w:rsidRPr="003D79E8" w:rsidRDefault="003D79E8" w:rsidP="009601C2">
      <w:pPr>
        <w:tabs>
          <w:tab w:val="left" w:pos="1273"/>
          <w:tab w:val="left" w:pos="1274"/>
        </w:tabs>
        <w:spacing w:before="122" w:line="276" w:lineRule="auto"/>
        <w:ind w:right="200"/>
        <w:jc w:val="both"/>
        <w:rPr>
          <w:rFonts w:ascii="Arial" w:hAnsi="Arial" w:cs="Arial"/>
          <w:sz w:val="20"/>
          <w:szCs w:val="20"/>
        </w:rPr>
      </w:pPr>
      <w:r w:rsidRPr="003D79E8">
        <w:rPr>
          <w:rFonts w:ascii="Arial" w:hAnsi="Arial" w:cs="Arial"/>
          <w:sz w:val="20"/>
          <w:szCs w:val="20"/>
        </w:rPr>
        <w:lastRenderedPageBreak/>
        <w:t>Hazard identification and safety risk management should:</w:t>
      </w:r>
    </w:p>
    <w:p w14:paraId="267D5978" w14:textId="77777777" w:rsidR="003D79E8" w:rsidRPr="003D79E8" w:rsidRDefault="003D79E8" w:rsidP="009601C2">
      <w:pPr>
        <w:numPr>
          <w:ilvl w:val="0"/>
          <w:numId w:val="87"/>
        </w:numPr>
        <w:tabs>
          <w:tab w:val="left" w:pos="1273"/>
          <w:tab w:val="left" w:pos="1274"/>
        </w:tabs>
        <w:spacing w:before="122" w:line="276" w:lineRule="auto"/>
        <w:ind w:right="200"/>
        <w:jc w:val="both"/>
        <w:rPr>
          <w:rFonts w:ascii="Arial" w:hAnsi="Arial" w:cs="Arial"/>
          <w:sz w:val="20"/>
          <w:szCs w:val="20"/>
        </w:rPr>
      </w:pPr>
      <w:r w:rsidRPr="003D79E8">
        <w:rPr>
          <w:rFonts w:ascii="Arial" w:hAnsi="Arial" w:cs="Arial"/>
          <w:sz w:val="20"/>
          <w:szCs w:val="20"/>
        </w:rPr>
        <w:t>be performed using internal safety or occurrence reports, hazard checklists, risk registers or similar risk management tools or processes, integrated into the activities of the operator;</w:t>
      </w:r>
    </w:p>
    <w:p w14:paraId="31DE21F8" w14:textId="77777777" w:rsidR="003D79E8" w:rsidRPr="003D79E8" w:rsidRDefault="003D79E8" w:rsidP="008522CD">
      <w:pPr>
        <w:numPr>
          <w:ilvl w:val="0"/>
          <w:numId w:val="87"/>
        </w:numPr>
        <w:tabs>
          <w:tab w:val="left" w:pos="1273"/>
          <w:tab w:val="left" w:pos="1274"/>
        </w:tabs>
        <w:spacing w:before="122" w:line="276" w:lineRule="auto"/>
        <w:ind w:right="44"/>
        <w:jc w:val="both"/>
        <w:rPr>
          <w:rFonts w:ascii="Arial" w:hAnsi="Arial" w:cs="Arial"/>
          <w:sz w:val="20"/>
          <w:szCs w:val="20"/>
        </w:rPr>
      </w:pPr>
      <w:r w:rsidRPr="003D79E8">
        <w:rPr>
          <w:rFonts w:ascii="Arial" w:hAnsi="Arial" w:cs="Arial"/>
          <w:sz w:val="20"/>
          <w:szCs w:val="20"/>
        </w:rPr>
        <w:t>in particular address safety risks related to a change; by making use of the existing hazard identification, risk assessment and mitigation tools or processes; and</w:t>
      </w:r>
    </w:p>
    <w:p w14:paraId="31C9E49C" w14:textId="77777777" w:rsidR="003D79E8" w:rsidRPr="003D79E8" w:rsidRDefault="003D79E8" w:rsidP="008522CD">
      <w:pPr>
        <w:numPr>
          <w:ilvl w:val="0"/>
          <w:numId w:val="87"/>
        </w:numPr>
        <w:tabs>
          <w:tab w:val="left" w:pos="1273"/>
          <w:tab w:val="left" w:pos="1274"/>
        </w:tabs>
        <w:spacing w:before="122" w:line="276" w:lineRule="auto"/>
        <w:ind w:right="44"/>
        <w:jc w:val="both"/>
        <w:rPr>
          <w:rFonts w:ascii="Arial" w:hAnsi="Arial" w:cs="Arial"/>
          <w:sz w:val="20"/>
          <w:szCs w:val="20"/>
        </w:rPr>
      </w:pPr>
      <w:r w:rsidRPr="003D79E8">
        <w:rPr>
          <w:rFonts w:ascii="Arial" w:hAnsi="Arial" w:cs="Arial"/>
          <w:sz w:val="20"/>
          <w:szCs w:val="20"/>
        </w:rPr>
        <w:t>include provisions for emergency response or a formal emergency response plan (ERP) to define the actions to be taken by the operator or specified individuals in an emergency.</w:t>
      </w:r>
    </w:p>
    <w:p w14:paraId="29541362" w14:textId="77777777" w:rsidR="00AA3FA1" w:rsidRPr="00AA3FA1" w:rsidRDefault="00AA3FA1" w:rsidP="009601C2">
      <w:pPr>
        <w:keepNext/>
        <w:keepLines/>
        <w:widowControl/>
        <w:shd w:val="clear" w:color="auto" w:fill="339966"/>
        <w:autoSpaceDE/>
        <w:autoSpaceDN/>
        <w:spacing w:before="160" w:after="120" w:line="276" w:lineRule="auto"/>
        <w:jc w:val="both"/>
        <w:outlineLvl w:val="4"/>
        <w:rPr>
          <w:rFonts w:ascii="Arial" w:eastAsia="Times New Roman" w:hAnsi="Arial" w:cs="Times New Roman"/>
          <w:b/>
          <w:color w:val="FFFFFF"/>
          <w:sz w:val="24"/>
        </w:rPr>
      </w:pPr>
      <w:bookmarkStart w:id="382" w:name="GM1_BOP.ADD.030(a)(4)_Management_system"/>
      <w:bookmarkStart w:id="383" w:name="_bookmark157"/>
      <w:bookmarkStart w:id="384" w:name="_Toc153137322"/>
      <w:bookmarkEnd w:id="382"/>
      <w:bookmarkEnd w:id="383"/>
      <w:r w:rsidRPr="00AA3FA1">
        <w:rPr>
          <w:rFonts w:ascii="Arial" w:eastAsia="Times New Roman" w:hAnsi="Arial" w:cs="Times New Roman"/>
          <w:b/>
          <w:color w:val="FFFFFF"/>
          <w:sz w:val="24"/>
        </w:rPr>
        <w:t>GM1 BOP.ADD.030(a)(4) Management system</w:t>
      </w:r>
      <w:bookmarkEnd w:id="384"/>
    </w:p>
    <w:p w14:paraId="197860DC" w14:textId="77777777" w:rsidR="00AA3FA1" w:rsidRPr="00AA3FA1" w:rsidRDefault="00AA3FA1" w:rsidP="009601C2">
      <w:pPr>
        <w:tabs>
          <w:tab w:val="left" w:pos="1273"/>
          <w:tab w:val="left" w:pos="1274"/>
        </w:tabs>
        <w:spacing w:before="122" w:line="276" w:lineRule="auto"/>
        <w:ind w:right="200"/>
        <w:jc w:val="both"/>
        <w:rPr>
          <w:rFonts w:ascii="Arial" w:hAnsi="Arial" w:cs="Arial"/>
          <w:b/>
          <w:sz w:val="20"/>
          <w:szCs w:val="20"/>
        </w:rPr>
      </w:pPr>
      <w:r w:rsidRPr="00AA3FA1">
        <w:rPr>
          <w:rFonts w:ascii="Arial" w:hAnsi="Arial" w:cs="Arial"/>
          <w:b/>
          <w:sz w:val="20"/>
          <w:szCs w:val="20"/>
        </w:rPr>
        <w:t>TRAINING ON SAFETY</w:t>
      </w:r>
    </w:p>
    <w:p w14:paraId="40813957" w14:textId="7AA797EA" w:rsidR="00757889" w:rsidRDefault="00AA3FA1" w:rsidP="008522CD">
      <w:pPr>
        <w:tabs>
          <w:tab w:val="left" w:pos="1273"/>
          <w:tab w:val="left" w:pos="1274"/>
        </w:tabs>
        <w:spacing w:before="122" w:line="276" w:lineRule="auto"/>
        <w:ind w:right="44"/>
        <w:jc w:val="both"/>
        <w:rPr>
          <w:rFonts w:ascii="Arial" w:hAnsi="Arial" w:cs="Arial"/>
          <w:sz w:val="20"/>
          <w:szCs w:val="20"/>
        </w:rPr>
      </w:pPr>
      <w:r w:rsidRPr="00AA3FA1">
        <w:rPr>
          <w:rFonts w:ascii="Arial" w:hAnsi="Arial" w:cs="Arial"/>
          <w:sz w:val="20"/>
          <w:szCs w:val="20"/>
        </w:rPr>
        <w:t>The safety training programme may consist of self-instruction via the media (newsletters, flight safety magazines, etc), classroom training, e-learning or similar training provided</w:t>
      </w:r>
      <w:r w:rsidR="001036B3">
        <w:rPr>
          <w:rFonts w:ascii="Arial" w:hAnsi="Arial" w:cs="Arial"/>
          <w:sz w:val="20"/>
          <w:szCs w:val="20"/>
        </w:rPr>
        <w:t xml:space="preserve"> by training service providers.</w:t>
      </w:r>
    </w:p>
    <w:p w14:paraId="38818BA2" w14:textId="77777777" w:rsidR="008E5B20" w:rsidRPr="008E5B20" w:rsidRDefault="008E5B20" w:rsidP="009601C2">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385" w:name="AMC1_BOP.ADD.030(a)(5)_Management_system"/>
      <w:bookmarkStart w:id="386" w:name="_bookmark158"/>
      <w:bookmarkStart w:id="387" w:name="_Toc153137323"/>
      <w:bookmarkEnd w:id="385"/>
      <w:bookmarkEnd w:id="386"/>
      <w:r w:rsidRPr="008E5B20">
        <w:rPr>
          <w:rFonts w:ascii="Arial" w:eastAsia="Times New Roman" w:hAnsi="Arial" w:cs="Times New Roman"/>
          <w:b/>
          <w:color w:val="FFFFFF"/>
          <w:sz w:val="24"/>
        </w:rPr>
        <w:t>AMC1 BOP.ADD.030(a)(5) Management system</w:t>
      </w:r>
      <w:bookmarkEnd w:id="387"/>
    </w:p>
    <w:p w14:paraId="5CD69533" w14:textId="77777777" w:rsidR="008E5B20" w:rsidRPr="008E5B20" w:rsidRDefault="008E5B20" w:rsidP="008522CD">
      <w:pPr>
        <w:tabs>
          <w:tab w:val="left" w:pos="1273"/>
          <w:tab w:val="left" w:pos="1274"/>
        </w:tabs>
        <w:spacing w:before="122" w:line="276" w:lineRule="auto"/>
        <w:ind w:right="44"/>
        <w:jc w:val="both"/>
        <w:rPr>
          <w:rFonts w:ascii="Arial" w:hAnsi="Arial" w:cs="Arial"/>
          <w:b/>
          <w:sz w:val="20"/>
          <w:szCs w:val="20"/>
        </w:rPr>
      </w:pPr>
      <w:r w:rsidRPr="008E5B20">
        <w:rPr>
          <w:rFonts w:ascii="Arial" w:hAnsi="Arial" w:cs="Arial"/>
          <w:b/>
          <w:sz w:val="20"/>
          <w:szCs w:val="20"/>
        </w:rPr>
        <w:t>MANAGEMENT SYSTEM DOCUMENTATION</w:t>
      </w:r>
    </w:p>
    <w:p w14:paraId="2F26AD14" w14:textId="77777777" w:rsidR="008E5B20" w:rsidRPr="008E5B20" w:rsidRDefault="008E5B20" w:rsidP="008522CD">
      <w:pPr>
        <w:numPr>
          <w:ilvl w:val="0"/>
          <w:numId w:val="88"/>
        </w:numPr>
        <w:tabs>
          <w:tab w:val="left" w:pos="1273"/>
          <w:tab w:val="left" w:pos="1274"/>
        </w:tabs>
        <w:spacing w:before="122" w:line="276" w:lineRule="auto"/>
        <w:ind w:right="44"/>
        <w:jc w:val="both"/>
        <w:rPr>
          <w:rFonts w:ascii="Arial" w:hAnsi="Arial" w:cs="Arial"/>
          <w:sz w:val="20"/>
          <w:szCs w:val="20"/>
        </w:rPr>
      </w:pPr>
      <w:r w:rsidRPr="008E5B20">
        <w:rPr>
          <w:rFonts w:ascii="Arial" w:hAnsi="Arial" w:cs="Arial"/>
          <w:sz w:val="20"/>
          <w:szCs w:val="20"/>
        </w:rPr>
        <w:t>The operator’s management system documentation should at least include the following information:</w:t>
      </w:r>
    </w:p>
    <w:p w14:paraId="79CAB327" w14:textId="77777777" w:rsidR="008E5B20" w:rsidRPr="008E5B20" w:rsidRDefault="008E5B20" w:rsidP="008522CD">
      <w:pPr>
        <w:numPr>
          <w:ilvl w:val="1"/>
          <w:numId w:val="88"/>
        </w:numPr>
        <w:tabs>
          <w:tab w:val="left" w:pos="1274"/>
        </w:tabs>
        <w:spacing w:before="122" w:line="276" w:lineRule="auto"/>
        <w:ind w:right="44"/>
        <w:jc w:val="both"/>
        <w:rPr>
          <w:rFonts w:ascii="Arial" w:hAnsi="Arial" w:cs="Arial"/>
          <w:sz w:val="20"/>
          <w:szCs w:val="20"/>
        </w:rPr>
      </w:pPr>
      <w:r w:rsidRPr="008E5B20">
        <w:rPr>
          <w:rFonts w:ascii="Arial" w:hAnsi="Arial" w:cs="Arial"/>
          <w:sz w:val="20"/>
          <w:szCs w:val="20"/>
        </w:rPr>
        <w:t>a statement signed by the accountable manager to confirm that the operator will continuously work in accordance with the applicable requirements and the operator’s documentation, as required by this Annex;</w:t>
      </w:r>
    </w:p>
    <w:p w14:paraId="7047C5AB" w14:textId="77777777" w:rsidR="008E5B20" w:rsidRPr="008E5B20" w:rsidRDefault="008E5B20" w:rsidP="008522CD">
      <w:pPr>
        <w:numPr>
          <w:ilvl w:val="1"/>
          <w:numId w:val="88"/>
        </w:numPr>
        <w:tabs>
          <w:tab w:val="left" w:pos="1274"/>
        </w:tabs>
        <w:spacing w:before="122" w:line="276" w:lineRule="auto"/>
        <w:ind w:right="44"/>
        <w:jc w:val="both"/>
        <w:rPr>
          <w:rFonts w:ascii="Arial" w:hAnsi="Arial" w:cs="Arial"/>
          <w:sz w:val="20"/>
          <w:szCs w:val="20"/>
        </w:rPr>
      </w:pPr>
      <w:r w:rsidRPr="008E5B20">
        <w:rPr>
          <w:rFonts w:ascii="Arial" w:hAnsi="Arial" w:cs="Arial"/>
          <w:sz w:val="20"/>
          <w:szCs w:val="20"/>
        </w:rPr>
        <w:t>the operator’s scope of activities;</w:t>
      </w:r>
    </w:p>
    <w:p w14:paraId="0C771D8C" w14:textId="2B62B389" w:rsidR="008E5B20" w:rsidRPr="008E5B20" w:rsidRDefault="008E5B20" w:rsidP="008522CD">
      <w:pPr>
        <w:numPr>
          <w:ilvl w:val="1"/>
          <w:numId w:val="88"/>
        </w:numPr>
        <w:tabs>
          <w:tab w:val="left" w:pos="1274"/>
        </w:tabs>
        <w:spacing w:before="122" w:line="276" w:lineRule="auto"/>
        <w:ind w:right="44"/>
        <w:jc w:val="both"/>
        <w:rPr>
          <w:rFonts w:ascii="Arial" w:hAnsi="Arial" w:cs="Arial"/>
          <w:sz w:val="20"/>
          <w:szCs w:val="20"/>
        </w:rPr>
      </w:pPr>
      <w:r w:rsidRPr="008E5B20">
        <w:rPr>
          <w:rFonts w:ascii="Arial" w:hAnsi="Arial" w:cs="Arial"/>
          <w:sz w:val="20"/>
          <w:szCs w:val="20"/>
        </w:rPr>
        <w:t xml:space="preserve">the titles and names of persons referred to in </w:t>
      </w:r>
      <w:r w:rsidRPr="001036B3">
        <w:rPr>
          <w:rFonts w:ascii="Arial" w:hAnsi="Arial" w:cs="Arial"/>
          <w:sz w:val="20"/>
          <w:szCs w:val="20"/>
        </w:rPr>
        <w:t>BOP.ADD.040(a) and (c)</w:t>
      </w:r>
      <w:r w:rsidRPr="008E5B20">
        <w:rPr>
          <w:rFonts w:ascii="Arial" w:hAnsi="Arial" w:cs="Arial"/>
          <w:sz w:val="20"/>
          <w:szCs w:val="20"/>
        </w:rPr>
        <w:t>;</w:t>
      </w:r>
    </w:p>
    <w:p w14:paraId="50B5310A" w14:textId="07C30106" w:rsidR="008E5B20" w:rsidRPr="008E5B20" w:rsidRDefault="008E5B20" w:rsidP="008522CD">
      <w:pPr>
        <w:numPr>
          <w:ilvl w:val="1"/>
          <w:numId w:val="88"/>
        </w:numPr>
        <w:tabs>
          <w:tab w:val="left" w:pos="1274"/>
        </w:tabs>
        <w:spacing w:before="122" w:line="276" w:lineRule="auto"/>
        <w:ind w:right="44"/>
        <w:jc w:val="both"/>
        <w:rPr>
          <w:rFonts w:ascii="Arial" w:hAnsi="Arial" w:cs="Arial"/>
          <w:sz w:val="20"/>
          <w:szCs w:val="20"/>
        </w:rPr>
      </w:pPr>
      <w:r w:rsidRPr="008E5B20">
        <w:rPr>
          <w:rFonts w:ascii="Arial" w:hAnsi="Arial" w:cs="Arial"/>
          <w:sz w:val="20"/>
          <w:szCs w:val="20"/>
        </w:rPr>
        <w:t xml:space="preserve">an organisation chart showing the lines of responsibility among the persons referred to in </w:t>
      </w:r>
      <w:r w:rsidRPr="001036B3">
        <w:rPr>
          <w:rFonts w:ascii="Arial" w:hAnsi="Arial" w:cs="Arial"/>
          <w:sz w:val="20"/>
          <w:szCs w:val="20"/>
        </w:rPr>
        <w:t>BOP.ADD.040</w:t>
      </w:r>
      <w:r w:rsidRPr="008E5B20">
        <w:rPr>
          <w:rFonts w:ascii="Arial" w:hAnsi="Arial" w:cs="Arial"/>
          <w:sz w:val="20"/>
          <w:szCs w:val="20"/>
        </w:rPr>
        <w:t>;</w:t>
      </w:r>
    </w:p>
    <w:p w14:paraId="52273AC7" w14:textId="1D6FC894" w:rsidR="008E5B20" w:rsidRPr="008E5B20" w:rsidRDefault="008E5B20" w:rsidP="008522CD">
      <w:pPr>
        <w:numPr>
          <w:ilvl w:val="1"/>
          <w:numId w:val="88"/>
        </w:numPr>
        <w:tabs>
          <w:tab w:val="left" w:pos="1273"/>
          <w:tab w:val="left" w:pos="1274"/>
        </w:tabs>
        <w:spacing w:before="122" w:line="276" w:lineRule="auto"/>
        <w:ind w:right="44"/>
        <w:jc w:val="both"/>
        <w:rPr>
          <w:rFonts w:ascii="Arial" w:hAnsi="Arial" w:cs="Arial"/>
          <w:sz w:val="20"/>
          <w:szCs w:val="20"/>
        </w:rPr>
      </w:pPr>
      <w:r w:rsidRPr="008E5B20">
        <w:rPr>
          <w:rFonts w:ascii="Arial" w:hAnsi="Arial" w:cs="Arial"/>
          <w:sz w:val="20"/>
          <w:szCs w:val="20"/>
        </w:rPr>
        <w:t xml:space="preserve">a general description and location of the facilities referred to in </w:t>
      </w:r>
      <w:r w:rsidRPr="001036B3">
        <w:rPr>
          <w:rFonts w:ascii="Arial" w:hAnsi="Arial" w:cs="Arial"/>
          <w:sz w:val="20"/>
          <w:szCs w:val="20"/>
        </w:rPr>
        <w:t>BOP.ADD.045</w:t>
      </w:r>
      <w:r w:rsidRPr="008E5B20">
        <w:rPr>
          <w:rFonts w:ascii="Arial" w:hAnsi="Arial" w:cs="Arial"/>
          <w:sz w:val="20"/>
          <w:szCs w:val="20"/>
        </w:rPr>
        <w:t>;</w:t>
      </w:r>
    </w:p>
    <w:p w14:paraId="4606BE95" w14:textId="77777777" w:rsidR="008E5B20" w:rsidRDefault="008E5B20" w:rsidP="008522CD">
      <w:pPr>
        <w:numPr>
          <w:ilvl w:val="1"/>
          <w:numId w:val="88"/>
        </w:numPr>
        <w:tabs>
          <w:tab w:val="left" w:pos="1274"/>
          <w:tab w:val="left" w:pos="1274"/>
        </w:tabs>
        <w:spacing w:before="122" w:line="276" w:lineRule="auto"/>
        <w:ind w:right="44"/>
        <w:jc w:val="both"/>
        <w:rPr>
          <w:rFonts w:ascii="Arial" w:hAnsi="Arial" w:cs="Arial"/>
          <w:sz w:val="20"/>
          <w:szCs w:val="20"/>
        </w:rPr>
      </w:pPr>
      <w:r w:rsidRPr="008E5B20">
        <w:rPr>
          <w:rFonts w:ascii="Arial" w:hAnsi="Arial" w:cs="Arial"/>
          <w:sz w:val="20"/>
          <w:szCs w:val="20"/>
        </w:rPr>
        <w:t>procedures specifying how the operator ensures compliance with the applicable requirements;</w:t>
      </w:r>
    </w:p>
    <w:p w14:paraId="0BCA2F40" w14:textId="77777777" w:rsidR="008E5B20" w:rsidRPr="008E5B20" w:rsidRDefault="008E5B20" w:rsidP="008522CD">
      <w:pPr>
        <w:numPr>
          <w:ilvl w:val="1"/>
          <w:numId w:val="88"/>
        </w:numPr>
        <w:tabs>
          <w:tab w:val="left" w:pos="1274"/>
          <w:tab w:val="left" w:pos="1274"/>
        </w:tabs>
        <w:spacing w:before="122" w:line="276" w:lineRule="auto"/>
        <w:ind w:right="44"/>
        <w:jc w:val="both"/>
        <w:rPr>
          <w:rFonts w:ascii="Arial" w:hAnsi="Arial" w:cs="Arial"/>
          <w:sz w:val="20"/>
          <w:szCs w:val="20"/>
        </w:rPr>
      </w:pPr>
      <w:r w:rsidRPr="008E5B20">
        <w:rPr>
          <w:rFonts w:ascii="Arial" w:hAnsi="Arial" w:cs="Arial"/>
          <w:sz w:val="20"/>
          <w:szCs w:val="20"/>
        </w:rPr>
        <w:t>the amendment procedure for the operator’s management system documentation.</w:t>
      </w:r>
    </w:p>
    <w:p w14:paraId="5AA9637B" w14:textId="2D3027C9" w:rsidR="008D147D" w:rsidRPr="008522CD" w:rsidRDefault="008E5B20" w:rsidP="008522CD">
      <w:pPr>
        <w:numPr>
          <w:ilvl w:val="0"/>
          <w:numId w:val="88"/>
        </w:numPr>
        <w:tabs>
          <w:tab w:val="left" w:pos="1273"/>
          <w:tab w:val="left" w:pos="1274"/>
        </w:tabs>
        <w:spacing w:before="122" w:line="276" w:lineRule="auto"/>
        <w:ind w:right="44" w:hanging="526"/>
        <w:jc w:val="both"/>
        <w:rPr>
          <w:rFonts w:ascii="Arial" w:hAnsi="Arial" w:cs="Arial"/>
          <w:sz w:val="20"/>
          <w:szCs w:val="20"/>
        </w:rPr>
      </w:pPr>
      <w:r w:rsidRPr="008E5B20">
        <w:rPr>
          <w:rFonts w:ascii="Arial" w:hAnsi="Arial" w:cs="Arial"/>
          <w:sz w:val="20"/>
          <w:szCs w:val="20"/>
        </w:rPr>
        <w:t>The operator’s management system documentatio</w:t>
      </w:r>
      <w:r>
        <w:rPr>
          <w:rFonts w:ascii="Arial" w:hAnsi="Arial" w:cs="Arial"/>
          <w:sz w:val="20"/>
          <w:szCs w:val="20"/>
        </w:rPr>
        <w:t xml:space="preserve">n may be included in a separate </w:t>
      </w:r>
      <w:r w:rsidRPr="008E5B20">
        <w:rPr>
          <w:rFonts w:ascii="Arial" w:hAnsi="Arial" w:cs="Arial"/>
          <w:sz w:val="20"/>
          <w:szCs w:val="20"/>
        </w:rPr>
        <w:t>manual, or in (one of) the manual(s) required in this Annex. A cross reference should be included.</w:t>
      </w:r>
    </w:p>
    <w:p w14:paraId="2F5A42AC" w14:textId="77777777" w:rsidR="008D147D" w:rsidRPr="008D147D" w:rsidRDefault="008D147D" w:rsidP="009601C2">
      <w:pPr>
        <w:keepNext/>
        <w:keepLines/>
        <w:widowControl/>
        <w:shd w:val="clear" w:color="auto" w:fill="ED7D31"/>
        <w:autoSpaceDE/>
        <w:autoSpaceDN/>
        <w:spacing w:before="160" w:after="120" w:line="276" w:lineRule="auto"/>
        <w:outlineLvl w:val="4"/>
        <w:rPr>
          <w:rFonts w:ascii="Arial" w:eastAsia="Times New Roman" w:hAnsi="Arial" w:cs="Times New Roman"/>
          <w:b/>
          <w:color w:val="FFFFFF"/>
          <w:sz w:val="24"/>
        </w:rPr>
      </w:pPr>
      <w:bookmarkStart w:id="388" w:name="_Toc153137324"/>
      <w:r w:rsidRPr="008D147D">
        <w:rPr>
          <w:rFonts w:ascii="Arial" w:eastAsia="Times New Roman" w:hAnsi="Arial" w:cs="Times New Roman"/>
          <w:b/>
          <w:color w:val="FFFFFF"/>
          <w:sz w:val="24"/>
        </w:rPr>
        <w:t>AMC1 BOP.ADD.030(a)(6) Management system</w:t>
      </w:r>
      <w:bookmarkEnd w:id="388"/>
      <w:r w:rsidRPr="008D147D">
        <w:rPr>
          <w:rFonts w:ascii="Arial" w:eastAsia="Times New Roman" w:hAnsi="Arial" w:cs="Times New Roman"/>
          <w:b/>
          <w:color w:val="FFFFFF"/>
          <w:sz w:val="24"/>
        </w:rPr>
        <w:tab/>
      </w:r>
    </w:p>
    <w:p w14:paraId="34BC83EC" w14:textId="77777777" w:rsidR="008D147D" w:rsidRPr="00276D5E" w:rsidRDefault="008D147D" w:rsidP="008522CD">
      <w:pPr>
        <w:spacing w:before="120" w:line="276" w:lineRule="auto"/>
        <w:ind w:right="44"/>
        <w:rPr>
          <w:rFonts w:ascii="Arial" w:hAnsi="Arial" w:cs="Arial"/>
          <w:b/>
          <w:sz w:val="20"/>
        </w:rPr>
      </w:pPr>
      <w:r w:rsidRPr="00276D5E">
        <w:rPr>
          <w:rFonts w:ascii="Arial" w:hAnsi="Arial" w:cs="Arial"/>
          <w:b/>
          <w:sz w:val="20"/>
        </w:rPr>
        <w:t>COMPLIANCE</w:t>
      </w:r>
      <w:r w:rsidRPr="00276D5E">
        <w:rPr>
          <w:rFonts w:ascii="Arial" w:hAnsi="Arial" w:cs="Arial"/>
          <w:b/>
          <w:spacing w:val="-7"/>
          <w:sz w:val="20"/>
        </w:rPr>
        <w:t xml:space="preserve"> </w:t>
      </w:r>
      <w:r w:rsidRPr="00276D5E">
        <w:rPr>
          <w:rFonts w:ascii="Arial" w:hAnsi="Arial" w:cs="Arial"/>
          <w:b/>
          <w:sz w:val="20"/>
        </w:rPr>
        <w:t>MONITORING —</w:t>
      </w:r>
      <w:r w:rsidRPr="00276D5E">
        <w:rPr>
          <w:rFonts w:ascii="Arial" w:hAnsi="Arial" w:cs="Arial"/>
          <w:b/>
          <w:spacing w:val="-4"/>
          <w:sz w:val="20"/>
        </w:rPr>
        <w:t xml:space="preserve"> </w:t>
      </w:r>
      <w:r w:rsidRPr="00276D5E">
        <w:rPr>
          <w:rFonts w:ascii="Arial" w:hAnsi="Arial" w:cs="Arial"/>
          <w:b/>
          <w:sz w:val="20"/>
        </w:rPr>
        <w:t>AUDIT</w:t>
      </w:r>
      <w:r w:rsidRPr="00276D5E">
        <w:rPr>
          <w:rFonts w:ascii="Arial" w:hAnsi="Arial" w:cs="Arial"/>
          <w:b/>
          <w:spacing w:val="-3"/>
          <w:sz w:val="20"/>
        </w:rPr>
        <w:t xml:space="preserve"> </w:t>
      </w:r>
      <w:r w:rsidRPr="00276D5E">
        <w:rPr>
          <w:rFonts w:ascii="Arial" w:hAnsi="Arial" w:cs="Arial"/>
          <w:b/>
          <w:sz w:val="20"/>
        </w:rPr>
        <w:t>AND</w:t>
      </w:r>
      <w:r w:rsidRPr="00276D5E">
        <w:rPr>
          <w:rFonts w:ascii="Arial" w:hAnsi="Arial" w:cs="Arial"/>
          <w:b/>
          <w:spacing w:val="-5"/>
          <w:sz w:val="20"/>
        </w:rPr>
        <w:t xml:space="preserve"> </w:t>
      </w:r>
      <w:r w:rsidRPr="00276D5E">
        <w:rPr>
          <w:rFonts w:ascii="Arial" w:hAnsi="Arial" w:cs="Arial"/>
          <w:b/>
          <w:sz w:val="20"/>
        </w:rPr>
        <w:t>ORGANISATIONAL</w:t>
      </w:r>
      <w:r w:rsidRPr="00276D5E">
        <w:rPr>
          <w:rFonts w:ascii="Arial" w:hAnsi="Arial" w:cs="Arial"/>
          <w:b/>
          <w:spacing w:val="-4"/>
          <w:sz w:val="20"/>
        </w:rPr>
        <w:t xml:space="preserve"> </w:t>
      </w:r>
      <w:r w:rsidRPr="00276D5E">
        <w:rPr>
          <w:rFonts w:ascii="Arial" w:hAnsi="Arial" w:cs="Arial"/>
          <w:b/>
          <w:sz w:val="20"/>
        </w:rPr>
        <w:t>REVIEW</w:t>
      </w:r>
    </w:p>
    <w:p w14:paraId="3F1DBA7E" w14:textId="77777777" w:rsidR="008D147D" w:rsidRPr="008D147D" w:rsidRDefault="008D147D" w:rsidP="008522CD">
      <w:pPr>
        <w:numPr>
          <w:ilvl w:val="0"/>
          <w:numId w:val="89"/>
        </w:numPr>
        <w:tabs>
          <w:tab w:val="left" w:pos="1273"/>
          <w:tab w:val="left" w:pos="1274"/>
        </w:tabs>
        <w:spacing w:before="122" w:line="276" w:lineRule="auto"/>
        <w:ind w:right="44"/>
        <w:jc w:val="both"/>
        <w:rPr>
          <w:rFonts w:ascii="Arial" w:hAnsi="Arial" w:cs="Arial"/>
          <w:sz w:val="20"/>
          <w:szCs w:val="20"/>
        </w:rPr>
      </w:pPr>
      <w:r w:rsidRPr="008D147D">
        <w:rPr>
          <w:rFonts w:ascii="Arial" w:hAnsi="Arial" w:cs="Arial"/>
          <w:sz w:val="20"/>
          <w:szCs w:val="20"/>
        </w:rPr>
        <w:t>Methodology</w:t>
      </w:r>
    </w:p>
    <w:p w14:paraId="728851BB" w14:textId="77777777" w:rsidR="008D147D" w:rsidRPr="008D147D" w:rsidRDefault="008D147D" w:rsidP="008522CD">
      <w:pPr>
        <w:numPr>
          <w:ilvl w:val="1"/>
          <w:numId w:val="89"/>
        </w:numPr>
        <w:tabs>
          <w:tab w:val="left" w:pos="1274"/>
        </w:tabs>
        <w:spacing w:before="122" w:line="276" w:lineRule="auto"/>
        <w:ind w:right="44"/>
        <w:jc w:val="both"/>
        <w:rPr>
          <w:rFonts w:ascii="Arial" w:hAnsi="Arial" w:cs="Arial"/>
          <w:sz w:val="20"/>
          <w:szCs w:val="20"/>
        </w:rPr>
      </w:pPr>
      <w:r w:rsidRPr="008D147D">
        <w:rPr>
          <w:rFonts w:ascii="Arial" w:hAnsi="Arial" w:cs="Arial"/>
          <w:sz w:val="20"/>
          <w:szCs w:val="20"/>
        </w:rPr>
        <w:t>The operator should accomplish the compliance monitoring by means of internal auditing.</w:t>
      </w:r>
    </w:p>
    <w:p w14:paraId="72B46A97" w14:textId="77777777" w:rsidR="008D147D" w:rsidRPr="008D147D" w:rsidRDefault="008D147D" w:rsidP="008522CD">
      <w:pPr>
        <w:numPr>
          <w:ilvl w:val="1"/>
          <w:numId w:val="89"/>
        </w:numPr>
        <w:tabs>
          <w:tab w:val="left" w:pos="1274"/>
        </w:tabs>
        <w:spacing w:before="122" w:line="276" w:lineRule="auto"/>
        <w:ind w:right="44"/>
        <w:jc w:val="both"/>
        <w:rPr>
          <w:rFonts w:ascii="Arial" w:hAnsi="Arial" w:cs="Arial"/>
          <w:sz w:val="20"/>
          <w:szCs w:val="20"/>
        </w:rPr>
      </w:pPr>
      <w:r w:rsidRPr="008D147D">
        <w:rPr>
          <w:rFonts w:ascii="Arial" w:hAnsi="Arial" w:cs="Arial"/>
          <w:sz w:val="20"/>
          <w:szCs w:val="20"/>
        </w:rPr>
        <w:t>Notwithstanding (1), an operator with five or less full-time equivalents (FTEs), involved in the activity subject to this Subpart, may choose to accomplish compliance monitoring through an organisational review.</w:t>
      </w:r>
    </w:p>
    <w:p w14:paraId="0E6A2635" w14:textId="77777777" w:rsidR="008D147D" w:rsidRPr="008D147D" w:rsidRDefault="008D147D" w:rsidP="008522CD">
      <w:pPr>
        <w:numPr>
          <w:ilvl w:val="0"/>
          <w:numId w:val="89"/>
        </w:numPr>
        <w:tabs>
          <w:tab w:val="left" w:pos="1273"/>
          <w:tab w:val="left" w:pos="1274"/>
        </w:tabs>
        <w:spacing w:before="122" w:line="276" w:lineRule="auto"/>
        <w:ind w:right="44"/>
        <w:jc w:val="both"/>
        <w:rPr>
          <w:rFonts w:ascii="Arial" w:hAnsi="Arial" w:cs="Arial"/>
          <w:sz w:val="20"/>
          <w:szCs w:val="20"/>
        </w:rPr>
      </w:pPr>
      <w:r w:rsidRPr="008D147D">
        <w:rPr>
          <w:rFonts w:ascii="Arial" w:hAnsi="Arial" w:cs="Arial"/>
          <w:sz w:val="20"/>
          <w:szCs w:val="20"/>
        </w:rPr>
        <w:t>General provisions for compliance monitoring</w:t>
      </w:r>
    </w:p>
    <w:p w14:paraId="194882C4" w14:textId="77777777" w:rsidR="008D147D" w:rsidRPr="008D147D" w:rsidRDefault="008D147D" w:rsidP="008522CD">
      <w:pPr>
        <w:numPr>
          <w:ilvl w:val="1"/>
          <w:numId w:val="89"/>
        </w:numPr>
        <w:tabs>
          <w:tab w:val="left" w:pos="1274"/>
        </w:tabs>
        <w:spacing w:before="122" w:line="276" w:lineRule="auto"/>
        <w:ind w:right="44"/>
        <w:jc w:val="both"/>
        <w:rPr>
          <w:rFonts w:ascii="Arial" w:hAnsi="Arial" w:cs="Arial"/>
          <w:sz w:val="20"/>
          <w:szCs w:val="20"/>
        </w:rPr>
      </w:pPr>
      <w:r w:rsidRPr="008D147D">
        <w:rPr>
          <w:rFonts w:ascii="Arial" w:hAnsi="Arial" w:cs="Arial"/>
          <w:sz w:val="20"/>
          <w:szCs w:val="20"/>
        </w:rPr>
        <w:t>The operator should specify the basic structure of the compliance monitoring function applicable to the activities conducted.</w:t>
      </w:r>
    </w:p>
    <w:p w14:paraId="0DCD65EF" w14:textId="77777777" w:rsidR="008D147D" w:rsidRPr="008D147D" w:rsidRDefault="008D147D" w:rsidP="008522CD">
      <w:pPr>
        <w:numPr>
          <w:ilvl w:val="1"/>
          <w:numId w:val="89"/>
        </w:numPr>
        <w:tabs>
          <w:tab w:val="left" w:pos="1274"/>
        </w:tabs>
        <w:spacing w:before="122" w:line="276" w:lineRule="auto"/>
        <w:ind w:right="44"/>
        <w:jc w:val="both"/>
        <w:rPr>
          <w:rFonts w:ascii="Arial" w:hAnsi="Arial" w:cs="Arial"/>
          <w:sz w:val="20"/>
          <w:szCs w:val="20"/>
        </w:rPr>
      </w:pPr>
      <w:r w:rsidRPr="008D147D">
        <w:rPr>
          <w:rFonts w:ascii="Arial" w:hAnsi="Arial" w:cs="Arial"/>
          <w:sz w:val="20"/>
          <w:szCs w:val="20"/>
        </w:rPr>
        <w:t>The operator should ensure that personnel performing an audit or an organisational review, either internal to the operator or external, have relevant knowledge, background and experience as appropriate to the activities being audited or reviewed, including knowledge and experience in compliance monitoring.</w:t>
      </w:r>
    </w:p>
    <w:p w14:paraId="1BCC354D" w14:textId="77777777" w:rsidR="008D147D" w:rsidRPr="008D147D" w:rsidRDefault="008D147D" w:rsidP="008522CD">
      <w:pPr>
        <w:numPr>
          <w:ilvl w:val="1"/>
          <w:numId w:val="89"/>
        </w:numPr>
        <w:tabs>
          <w:tab w:val="left" w:pos="1274"/>
        </w:tabs>
        <w:spacing w:before="122" w:line="276" w:lineRule="auto"/>
        <w:ind w:right="44"/>
        <w:jc w:val="both"/>
        <w:rPr>
          <w:rFonts w:ascii="Arial" w:hAnsi="Arial" w:cs="Arial"/>
          <w:sz w:val="20"/>
          <w:szCs w:val="20"/>
        </w:rPr>
      </w:pPr>
      <w:r w:rsidRPr="008D147D">
        <w:rPr>
          <w:rFonts w:ascii="Arial" w:hAnsi="Arial" w:cs="Arial"/>
          <w:sz w:val="20"/>
          <w:szCs w:val="20"/>
        </w:rPr>
        <w:t xml:space="preserve">The operator should monitor compliance with the procedures it has designed to ensure </w:t>
      </w:r>
      <w:r w:rsidRPr="008D147D">
        <w:rPr>
          <w:rFonts w:ascii="Arial" w:hAnsi="Arial" w:cs="Arial"/>
          <w:sz w:val="20"/>
          <w:szCs w:val="20"/>
        </w:rPr>
        <w:lastRenderedPageBreak/>
        <w:t>safe activities. In doing so, the operator should as a minimum, and where appropriate, monitor compliance with:</w:t>
      </w:r>
    </w:p>
    <w:p w14:paraId="04259CA6" w14:textId="77777777" w:rsidR="008D147D" w:rsidRPr="008D147D" w:rsidRDefault="008D147D" w:rsidP="009601C2">
      <w:pPr>
        <w:numPr>
          <w:ilvl w:val="2"/>
          <w:numId w:val="89"/>
        </w:numPr>
        <w:tabs>
          <w:tab w:val="left" w:pos="1273"/>
          <w:tab w:val="left" w:pos="1274"/>
        </w:tabs>
        <w:spacing w:before="122" w:line="276" w:lineRule="auto"/>
        <w:ind w:right="200"/>
        <w:jc w:val="both"/>
        <w:rPr>
          <w:rFonts w:ascii="Arial" w:hAnsi="Arial" w:cs="Arial"/>
          <w:sz w:val="20"/>
          <w:szCs w:val="20"/>
        </w:rPr>
      </w:pPr>
      <w:r w:rsidRPr="008D147D">
        <w:rPr>
          <w:rFonts w:ascii="Arial" w:hAnsi="Arial" w:cs="Arial"/>
          <w:sz w:val="20"/>
          <w:szCs w:val="20"/>
        </w:rPr>
        <w:t>all activities for which the declaration is required;</w:t>
      </w:r>
    </w:p>
    <w:p w14:paraId="31F73F55" w14:textId="77777777" w:rsidR="008D147D" w:rsidRPr="008D147D" w:rsidRDefault="008D147D" w:rsidP="008522CD">
      <w:pPr>
        <w:numPr>
          <w:ilvl w:val="2"/>
          <w:numId w:val="89"/>
        </w:numPr>
        <w:tabs>
          <w:tab w:val="left" w:pos="1273"/>
          <w:tab w:val="left" w:pos="1274"/>
        </w:tabs>
        <w:spacing w:before="122" w:line="276" w:lineRule="auto"/>
        <w:ind w:right="44"/>
        <w:jc w:val="both"/>
        <w:rPr>
          <w:rFonts w:ascii="Arial" w:hAnsi="Arial" w:cs="Arial"/>
          <w:sz w:val="20"/>
          <w:szCs w:val="20"/>
        </w:rPr>
      </w:pPr>
      <w:r w:rsidRPr="008D147D">
        <w:rPr>
          <w:rFonts w:ascii="Arial" w:hAnsi="Arial" w:cs="Arial"/>
          <w:sz w:val="20"/>
          <w:szCs w:val="20"/>
        </w:rPr>
        <w:t>manuals, logs and records;</w:t>
      </w:r>
    </w:p>
    <w:p w14:paraId="75456E1A" w14:textId="77777777" w:rsidR="008D147D" w:rsidRPr="008D147D" w:rsidRDefault="008D147D" w:rsidP="008522CD">
      <w:pPr>
        <w:numPr>
          <w:ilvl w:val="2"/>
          <w:numId w:val="89"/>
        </w:numPr>
        <w:tabs>
          <w:tab w:val="left" w:pos="1273"/>
          <w:tab w:val="left" w:pos="1274"/>
        </w:tabs>
        <w:spacing w:before="122" w:line="276" w:lineRule="auto"/>
        <w:ind w:right="44"/>
        <w:jc w:val="both"/>
        <w:rPr>
          <w:rFonts w:ascii="Arial" w:hAnsi="Arial" w:cs="Arial"/>
          <w:sz w:val="20"/>
          <w:szCs w:val="20"/>
        </w:rPr>
      </w:pPr>
      <w:r w:rsidRPr="008D147D">
        <w:rPr>
          <w:rFonts w:ascii="Arial" w:hAnsi="Arial" w:cs="Arial"/>
          <w:sz w:val="20"/>
          <w:szCs w:val="20"/>
        </w:rPr>
        <w:t>training standards;</w:t>
      </w:r>
    </w:p>
    <w:p w14:paraId="039DCD91" w14:textId="77777777" w:rsidR="008D147D" w:rsidRPr="008D147D" w:rsidRDefault="008D147D" w:rsidP="008522CD">
      <w:pPr>
        <w:numPr>
          <w:ilvl w:val="2"/>
          <w:numId w:val="89"/>
        </w:numPr>
        <w:tabs>
          <w:tab w:val="left" w:pos="1273"/>
          <w:tab w:val="left" w:pos="1274"/>
        </w:tabs>
        <w:spacing w:before="122" w:line="276" w:lineRule="auto"/>
        <w:ind w:right="44"/>
        <w:jc w:val="both"/>
        <w:rPr>
          <w:rFonts w:ascii="Arial" w:hAnsi="Arial" w:cs="Arial"/>
          <w:sz w:val="20"/>
          <w:szCs w:val="20"/>
        </w:rPr>
      </w:pPr>
      <w:r w:rsidRPr="008D147D">
        <w:rPr>
          <w:rFonts w:ascii="Arial" w:hAnsi="Arial" w:cs="Arial"/>
          <w:sz w:val="20"/>
          <w:szCs w:val="20"/>
        </w:rPr>
        <w:t>management system procedures; and</w:t>
      </w:r>
    </w:p>
    <w:p w14:paraId="57E3D95D" w14:textId="77777777" w:rsidR="008D147D" w:rsidRPr="008D147D" w:rsidRDefault="008D147D" w:rsidP="008522CD">
      <w:pPr>
        <w:numPr>
          <w:ilvl w:val="2"/>
          <w:numId w:val="89"/>
        </w:numPr>
        <w:tabs>
          <w:tab w:val="left" w:pos="1273"/>
          <w:tab w:val="left" w:pos="1274"/>
        </w:tabs>
        <w:spacing w:before="122" w:line="276" w:lineRule="auto"/>
        <w:ind w:right="44"/>
        <w:jc w:val="both"/>
        <w:rPr>
          <w:rFonts w:ascii="Arial" w:hAnsi="Arial" w:cs="Arial"/>
          <w:sz w:val="20"/>
          <w:szCs w:val="20"/>
        </w:rPr>
      </w:pPr>
      <w:r w:rsidRPr="008D147D">
        <w:rPr>
          <w:rFonts w:ascii="Arial" w:hAnsi="Arial" w:cs="Arial"/>
          <w:sz w:val="20"/>
          <w:szCs w:val="20"/>
        </w:rPr>
        <w:t>standard operating procedures (SOPs).</w:t>
      </w:r>
    </w:p>
    <w:p w14:paraId="5B16ACA2" w14:textId="77777777" w:rsidR="008D147D" w:rsidRPr="008D147D" w:rsidRDefault="008D147D" w:rsidP="008522CD">
      <w:pPr>
        <w:numPr>
          <w:ilvl w:val="1"/>
          <w:numId w:val="89"/>
        </w:numPr>
        <w:tabs>
          <w:tab w:val="left" w:pos="1274"/>
        </w:tabs>
        <w:spacing w:before="122" w:line="276" w:lineRule="auto"/>
        <w:ind w:right="44"/>
        <w:jc w:val="both"/>
        <w:rPr>
          <w:rFonts w:ascii="Arial" w:hAnsi="Arial" w:cs="Arial"/>
          <w:sz w:val="20"/>
          <w:szCs w:val="20"/>
        </w:rPr>
      </w:pPr>
      <w:r w:rsidRPr="008D147D">
        <w:rPr>
          <w:rFonts w:ascii="Arial" w:hAnsi="Arial" w:cs="Arial"/>
          <w:sz w:val="20"/>
          <w:szCs w:val="20"/>
        </w:rPr>
        <w:t>The operator should ensure that the status of all corrective and preventive actions is monitored and that these actions are implemented within a specified time frame. Action closure should be recorded along with a summary of the action taken.</w:t>
      </w:r>
    </w:p>
    <w:p w14:paraId="0FE9B99E" w14:textId="77777777" w:rsidR="008D147D" w:rsidRPr="008D147D" w:rsidRDefault="008D147D" w:rsidP="008522CD">
      <w:pPr>
        <w:numPr>
          <w:ilvl w:val="1"/>
          <w:numId w:val="89"/>
        </w:numPr>
        <w:tabs>
          <w:tab w:val="left" w:pos="1274"/>
        </w:tabs>
        <w:spacing w:before="122" w:line="276" w:lineRule="auto"/>
        <w:ind w:right="44"/>
        <w:jc w:val="both"/>
        <w:rPr>
          <w:rFonts w:ascii="Arial" w:hAnsi="Arial" w:cs="Arial"/>
          <w:sz w:val="20"/>
          <w:szCs w:val="20"/>
        </w:rPr>
      </w:pPr>
      <w:r w:rsidRPr="008D147D">
        <w:rPr>
          <w:rFonts w:ascii="Arial" w:hAnsi="Arial" w:cs="Arial"/>
          <w:sz w:val="20"/>
          <w:szCs w:val="20"/>
        </w:rPr>
        <w:t>Based on the results of the audit or the organisational review, the accountable manager should determine the need for and initiate, as appropriate, further actions to address deficiencies or to further improve the operator’s management system.</w:t>
      </w:r>
    </w:p>
    <w:p w14:paraId="1482920E" w14:textId="77777777" w:rsidR="008D147D" w:rsidRPr="008D147D" w:rsidRDefault="008D147D" w:rsidP="008522CD">
      <w:pPr>
        <w:numPr>
          <w:ilvl w:val="0"/>
          <w:numId w:val="89"/>
        </w:numPr>
        <w:tabs>
          <w:tab w:val="left" w:pos="1273"/>
          <w:tab w:val="left" w:pos="1274"/>
        </w:tabs>
        <w:spacing w:before="122" w:line="276" w:lineRule="auto"/>
        <w:ind w:right="44"/>
        <w:jc w:val="both"/>
        <w:rPr>
          <w:rFonts w:ascii="Arial" w:hAnsi="Arial" w:cs="Arial"/>
          <w:sz w:val="20"/>
          <w:szCs w:val="20"/>
        </w:rPr>
      </w:pPr>
      <w:r w:rsidRPr="008D147D">
        <w:rPr>
          <w:rFonts w:ascii="Arial" w:hAnsi="Arial" w:cs="Arial"/>
          <w:sz w:val="20"/>
          <w:szCs w:val="20"/>
        </w:rPr>
        <w:t>Provisions, in addition to (b), for auditing</w:t>
      </w:r>
    </w:p>
    <w:p w14:paraId="7029EAA4" w14:textId="77777777" w:rsidR="008D147D" w:rsidRPr="008D147D" w:rsidRDefault="008D147D" w:rsidP="008522CD">
      <w:pPr>
        <w:numPr>
          <w:ilvl w:val="1"/>
          <w:numId w:val="89"/>
        </w:numPr>
        <w:tabs>
          <w:tab w:val="left" w:pos="1274"/>
        </w:tabs>
        <w:spacing w:before="122" w:line="276" w:lineRule="auto"/>
        <w:ind w:right="44"/>
        <w:jc w:val="both"/>
        <w:rPr>
          <w:rFonts w:ascii="Arial" w:hAnsi="Arial" w:cs="Arial"/>
          <w:sz w:val="20"/>
          <w:szCs w:val="20"/>
        </w:rPr>
      </w:pPr>
      <w:r w:rsidRPr="008D147D">
        <w:rPr>
          <w:rFonts w:ascii="Arial" w:hAnsi="Arial" w:cs="Arial"/>
          <w:sz w:val="20"/>
          <w:szCs w:val="20"/>
        </w:rPr>
        <w:t>The independence of the audit function should be ensured, in particular in cases where those performing the audit are also responsible for other functions for the operator.</w:t>
      </w:r>
    </w:p>
    <w:p w14:paraId="131B8154" w14:textId="77777777" w:rsidR="008D147D" w:rsidRPr="008D147D" w:rsidRDefault="008D147D" w:rsidP="008522CD">
      <w:pPr>
        <w:numPr>
          <w:ilvl w:val="1"/>
          <w:numId w:val="89"/>
        </w:numPr>
        <w:tabs>
          <w:tab w:val="left" w:pos="1274"/>
        </w:tabs>
        <w:spacing w:before="122" w:line="276" w:lineRule="auto"/>
        <w:ind w:right="44"/>
        <w:jc w:val="both"/>
        <w:rPr>
          <w:rFonts w:ascii="Arial" w:hAnsi="Arial" w:cs="Arial"/>
          <w:sz w:val="20"/>
          <w:szCs w:val="20"/>
        </w:rPr>
      </w:pPr>
      <w:r w:rsidRPr="008D147D">
        <w:rPr>
          <w:rFonts w:ascii="Arial" w:hAnsi="Arial" w:cs="Arial"/>
          <w:sz w:val="20"/>
          <w:szCs w:val="20"/>
        </w:rPr>
        <w:t>The operator should establish a compliance monitoring programme, defining a calendar for the audits to be performed. The frequency and depth of such audits should be determined with due regard to:</w:t>
      </w:r>
    </w:p>
    <w:p w14:paraId="213D2EC9" w14:textId="77777777" w:rsidR="008D147D" w:rsidRPr="008D147D" w:rsidRDefault="008D147D" w:rsidP="008522CD">
      <w:pPr>
        <w:numPr>
          <w:ilvl w:val="2"/>
          <w:numId w:val="89"/>
        </w:numPr>
        <w:tabs>
          <w:tab w:val="left" w:pos="1273"/>
          <w:tab w:val="left" w:pos="1274"/>
        </w:tabs>
        <w:spacing w:before="122" w:line="276" w:lineRule="auto"/>
        <w:ind w:right="44"/>
        <w:jc w:val="both"/>
        <w:rPr>
          <w:rFonts w:ascii="Arial" w:hAnsi="Arial" w:cs="Arial"/>
          <w:sz w:val="20"/>
          <w:szCs w:val="20"/>
        </w:rPr>
      </w:pPr>
      <w:r w:rsidRPr="008D147D">
        <w:rPr>
          <w:rFonts w:ascii="Arial" w:hAnsi="Arial" w:cs="Arial"/>
          <w:sz w:val="20"/>
          <w:szCs w:val="20"/>
        </w:rPr>
        <w:t>the volume and complexity of operations;</w:t>
      </w:r>
    </w:p>
    <w:p w14:paraId="4338A27F" w14:textId="77777777" w:rsidR="008D147D" w:rsidRPr="008D147D" w:rsidRDefault="008D147D" w:rsidP="008522CD">
      <w:pPr>
        <w:numPr>
          <w:ilvl w:val="2"/>
          <w:numId w:val="89"/>
        </w:numPr>
        <w:tabs>
          <w:tab w:val="left" w:pos="1273"/>
          <w:tab w:val="left" w:pos="1274"/>
        </w:tabs>
        <w:spacing w:before="122" w:line="276" w:lineRule="auto"/>
        <w:ind w:right="44"/>
        <w:jc w:val="both"/>
        <w:rPr>
          <w:rFonts w:ascii="Arial" w:hAnsi="Arial" w:cs="Arial"/>
          <w:sz w:val="20"/>
          <w:szCs w:val="20"/>
        </w:rPr>
      </w:pPr>
      <w:r w:rsidRPr="008D147D">
        <w:rPr>
          <w:rFonts w:ascii="Arial" w:hAnsi="Arial" w:cs="Arial"/>
          <w:sz w:val="20"/>
          <w:szCs w:val="20"/>
        </w:rPr>
        <w:t>results of the safety risk management processes;</w:t>
      </w:r>
    </w:p>
    <w:p w14:paraId="6EBEB4EE" w14:textId="77777777" w:rsidR="008D147D" w:rsidRPr="008D147D" w:rsidRDefault="008D147D" w:rsidP="008522CD">
      <w:pPr>
        <w:numPr>
          <w:ilvl w:val="2"/>
          <w:numId w:val="89"/>
        </w:numPr>
        <w:tabs>
          <w:tab w:val="left" w:pos="1273"/>
          <w:tab w:val="left" w:pos="1274"/>
        </w:tabs>
        <w:spacing w:before="122" w:line="276" w:lineRule="auto"/>
        <w:ind w:right="44"/>
        <w:jc w:val="both"/>
        <w:rPr>
          <w:rFonts w:ascii="Arial" w:hAnsi="Arial" w:cs="Arial"/>
          <w:sz w:val="20"/>
          <w:szCs w:val="20"/>
        </w:rPr>
      </w:pPr>
      <w:r w:rsidRPr="008D147D">
        <w:rPr>
          <w:rFonts w:ascii="Arial" w:hAnsi="Arial" w:cs="Arial"/>
          <w:sz w:val="20"/>
          <w:szCs w:val="20"/>
        </w:rPr>
        <w:t>results of past compliance monitoring;</w:t>
      </w:r>
    </w:p>
    <w:p w14:paraId="253003A7" w14:textId="066F5FF7" w:rsidR="008D147D" w:rsidRPr="008D147D" w:rsidRDefault="008D147D" w:rsidP="008522CD">
      <w:pPr>
        <w:numPr>
          <w:ilvl w:val="2"/>
          <w:numId w:val="89"/>
        </w:numPr>
        <w:tabs>
          <w:tab w:val="left" w:pos="1273"/>
          <w:tab w:val="left" w:pos="1274"/>
        </w:tabs>
        <w:spacing w:before="122" w:line="276" w:lineRule="auto"/>
        <w:ind w:right="44"/>
        <w:jc w:val="both"/>
        <w:rPr>
          <w:rFonts w:ascii="Arial" w:hAnsi="Arial" w:cs="Arial"/>
          <w:sz w:val="20"/>
          <w:szCs w:val="20"/>
        </w:rPr>
      </w:pPr>
      <w:r w:rsidRPr="008D147D">
        <w:rPr>
          <w:rFonts w:ascii="Arial" w:hAnsi="Arial" w:cs="Arial"/>
          <w:sz w:val="20"/>
          <w:szCs w:val="20"/>
        </w:rPr>
        <w:t xml:space="preserve">findings raised by the </w:t>
      </w:r>
      <w:r w:rsidR="00A804D2">
        <w:rPr>
          <w:rFonts w:ascii="Arial" w:hAnsi="Arial" w:cs="Arial"/>
          <w:sz w:val="20"/>
          <w:szCs w:val="20"/>
        </w:rPr>
        <w:t>CAC RA</w:t>
      </w:r>
      <w:r w:rsidRPr="008D147D">
        <w:rPr>
          <w:rFonts w:ascii="Arial" w:hAnsi="Arial" w:cs="Arial"/>
          <w:sz w:val="20"/>
          <w:szCs w:val="20"/>
        </w:rPr>
        <w:t>; and</w:t>
      </w:r>
    </w:p>
    <w:p w14:paraId="3E08D471" w14:textId="66DD6F4F" w:rsidR="008D147D" w:rsidRPr="008D147D" w:rsidRDefault="008D147D" w:rsidP="008522CD">
      <w:pPr>
        <w:numPr>
          <w:ilvl w:val="2"/>
          <w:numId w:val="89"/>
        </w:numPr>
        <w:tabs>
          <w:tab w:val="left" w:pos="1273"/>
          <w:tab w:val="left" w:pos="1274"/>
        </w:tabs>
        <w:spacing w:before="122" w:line="276" w:lineRule="auto"/>
        <w:ind w:right="44"/>
        <w:jc w:val="both"/>
        <w:rPr>
          <w:rFonts w:ascii="Arial" w:hAnsi="Arial" w:cs="Arial"/>
          <w:sz w:val="20"/>
          <w:szCs w:val="20"/>
        </w:rPr>
      </w:pPr>
      <w:r w:rsidRPr="008D147D">
        <w:rPr>
          <w:rFonts w:ascii="Arial" w:hAnsi="Arial" w:cs="Arial"/>
          <w:sz w:val="20"/>
          <w:szCs w:val="20"/>
        </w:rPr>
        <w:t>the scope of changes not requiring prior</w:t>
      </w:r>
      <w:r w:rsidR="00A804D2" w:rsidRPr="00A804D2">
        <w:rPr>
          <w:rFonts w:ascii="Arial" w:hAnsi="Arial" w:cs="Arial"/>
          <w:sz w:val="20"/>
          <w:szCs w:val="20"/>
        </w:rPr>
        <w:t xml:space="preserve"> </w:t>
      </w:r>
      <w:r w:rsidR="00A804D2">
        <w:rPr>
          <w:rFonts w:ascii="Arial" w:hAnsi="Arial" w:cs="Arial"/>
          <w:sz w:val="20"/>
          <w:szCs w:val="20"/>
        </w:rPr>
        <w:t xml:space="preserve">CAC RA </w:t>
      </w:r>
      <w:r w:rsidRPr="008D147D">
        <w:rPr>
          <w:rFonts w:ascii="Arial" w:hAnsi="Arial" w:cs="Arial"/>
          <w:sz w:val="20"/>
          <w:szCs w:val="20"/>
        </w:rPr>
        <w:t>approval.</w:t>
      </w:r>
      <w:r w:rsidR="00A804D2">
        <w:rPr>
          <w:rFonts w:ascii="Arial" w:hAnsi="Arial" w:cs="Arial"/>
          <w:sz w:val="20"/>
          <w:szCs w:val="20"/>
        </w:rPr>
        <w:t xml:space="preserve"> </w:t>
      </w:r>
    </w:p>
    <w:p w14:paraId="73CAC46C" w14:textId="77777777" w:rsidR="008D147D" w:rsidRPr="008D147D" w:rsidRDefault="008D147D" w:rsidP="008522CD">
      <w:pPr>
        <w:numPr>
          <w:ilvl w:val="0"/>
          <w:numId w:val="89"/>
        </w:numPr>
        <w:tabs>
          <w:tab w:val="left" w:pos="1273"/>
          <w:tab w:val="left" w:pos="1274"/>
        </w:tabs>
        <w:spacing w:before="122" w:line="276" w:lineRule="auto"/>
        <w:ind w:right="44"/>
        <w:jc w:val="both"/>
        <w:rPr>
          <w:rFonts w:ascii="Arial" w:hAnsi="Arial" w:cs="Arial"/>
          <w:sz w:val="20"/>
          <w:szCs w:val="20"/>
        </w:rPr>
      </w:pPr>
      <w:r w:rsidRPr="008D147D">
        <w:rPr>
          <w:rFonts w:ascii="Arial" w:hAnsi="Arial" w:cs="Arial"/>
          <w:sz w:val="20"/>
          <w:szCs w:val="20"/>
        </w:rPr>
        <w:t>Provisions, in addition to (b), for the organisational review</w:t>
      </w:r>
    </w:p>
    <w:p w14:paraId="44DE471D" w14:textId="77777777" w:rsidR="008D147D" w:rsidRPr="008D147D" w:rsidRDefault="008D147D" w:rsidP="008522CD">
      <w:pPr>
        <w:numPr>
          <w:ilvl w:val="1"/>
          <w:numId w:val="89"/>
        </w:numPr>
        <w:tabs>
          <w:tab w:val="left" w:pos="1273"/>
          <w:tab w:val="left" w:pos="1274"/>
        </w:tabs>
        <w:spacing w:before="122" w:line="276" w:lineRule="auto"/>
        <w:ind w:right="44"/>
        <w:jc w:val="both"/>
        <w:rPr>
          <w:rFonts w:ascii="Arial" w:hAnsi="Arial" w:cs="Arial"/>
          <w:sz w:val="20"/>
          <w:szCs w:val="20"/>
        </w:rPr>
      </w:pPr>
      <w:r w:rsidRPr="008D147D">
        <w:rPr>
          <w:rFonts w:ascii="Arial" w:hAnsi="Arial" w:cs="Arial"/>
          <w:sz w:val="20"/>
          <w:szCs w:val="20"/>
        </w:rPr>
        <w:t>The organisational review should be performed at intervals not exceeding 12 months.</w:t>
      </w:r>
    </w:p>
    <w:p w14:paraId="1E5B0252" w14:textId="77777777" w:rsidR="008D147D" w:rsidRPr="008D147D" w:rsidRDefault="008D147D" w:rsidP="008522CD">
      <w:pPr>
        <w:numPr>
          <w:ilvl w:val="1"/>
          <w:numId w:val="89"/>
        </w:numPr>
        <w:tabs>
          <w:tab w:val="left" w:pos="1273"/>
          <w:tab w:val="left" w:pos="1274"/>
        </w:tabs>
        <w:spacing w:before="122" w:line="276" w:lineRule="auto"/>
        <w:ind w:right="44"/>
        <w:jc w:val="both"/>
        <w:rPr>
          <w:rFonts w:ascii="Arial" w:hAnsi="Arial" w:cs="Arial"/>
          <w:sz w:val="20"/>
          <w:szCs w:val="20"/>
        </w:rPr>
      </w:pPr>
      <w:r w:rsidRPr="008D147D">
        <w:rPr>
          <w:rFonts w:ascii="Arial" w:hAnsi="Arial" w:cs="Arial"/>
          <w:sz w:val="20"/>
          <w:szCs w:val="20"/>
        </w:rPr>
        <w:t>As part of the management system documentation, the operator should describe the organisational review programme and related responsibilities.</w:t>
      </w:r>
    </w:p>
    <w:p w14:paraId="2474D503" w14:textId="77777777" w:rsidR="008D147D" w:rsidRPr="008D147D" w:rsidRDefault="008D147D" w:rsidP="008522CD">
      <w:pPr>
        <w:numPr>
          <w:ilvl w:val="1"/>
          <w:numId w:val="89"/>
        </w:numPr>
        <w:tabs>
          <w:tab w:val="left" w:pos="1273"/>
          <w:tab w:val="left" w:pos="1274"/>
        </w:tabs>
        <w:spacing w:before="122" w:line="276" w:lineRule="auto"/>
        <w:ind w:right="44"/>
        <w:jc w:val="both"/>
        <w:rPr>
          <w:rFonts w:ascii="Arial" w:hAnsi="Arial" w:cs="Arial"/>
          <w:sz w:val="20"/>
          <w:szCs w:val="20"/>
        </w:rPr>
      </w:pPr>
      <w:r w:rsidRPr="008D147D">
        <w:rPr>
          <w:rFonts w:ascii="Arial" w:hAnsi="Arial" w:cs="Arial"/>
          <w:sz w:val="20"/>
          <w:szCs w:val="20"/>
        </w:rPr>
        <w:t>The organisational review programme may consist of:</w:t>
      </w:r>
    </w:p>
    <w:p w14:paraId="311CAA09" w14:textId="77777777" w:rsidR="008D147D" w:rsidRPr="008D147D" w:rsidRDefault="008D147D" w:rsidP="008522CD">
      <w:pPr>
        <w:numPr>
          <w:ilvl w:val="2"/>
          <w:numId w:val="89"/>
        </w:numPr>
        <w:tabs>
          <w:tab w:val="left" w:pos="1273"/>
          <w:tab w:val="left" w:pos="1274"/>
        </w:tabs>
        <w:spacing w:before="122" w:line="276" w:lineRule="auto"/>
        <w:ind w:right="44"/>
        <w:jc w:val="both"/>
        <w:rPr>
          <w:rFonts w:ascii="Arial" w:hAnsi="Arial" w:cs="Arial"/>
          <w:sz w:val="20"/>
          <w:szCs w:val="20"/>
        </w:rPr>
      </w:pPr>
      <w:r w:rsidRPr="008D147D">
        <w:rPr>
          <w:rFonts w:ascii="Arial" w:hAnsi="Arial" w:cs="Arial"/>
          <w:sz w:val="20"/>
          <w:szCs w:val="20"/>
        </w:rPr>
        <w:t>checklist(s) covering all items necessary to be addressed in order to demonstrate that the operator ensures effective compliance with the applicable requirements; and</w:t>
      </w:r>
    </w:p>
    <w:p w14:paraId="33B3DBDC" w14:textId="77777777" w:rsidR="008D147D" w:rsidRPr="008D147D" w:rsidRDefault="008D147D" w:rsidP="008522CD">
      <w:pPr>
        <w:numPr>
          <w:ilvl w:val="2"/>
          <w:numId w:val="89"/>
        </w:numPr>
        <w:tabs>
          <w:tab w:val="left" w:pos="1273"/>
          <w:tab w:val="left" w:pos="1274"/>
        </w:tabs>
        <w:spacing w:before="122" w:line="276" w:lineRule="auto"/>
        <w:ind w:right="44"/>
        <w:jc w:val="both"/>
        <w:rPr>
          <w:rFonts w:ascii="Arial" w:hAnsi="Arial" w:cs="Arial"/>
          <w:sz w:val="20"/>
          <w:szCs w:val="20"/>
        </w:rPr>
      </w:pPr>
      <w:r w:rsidRPr="008D147D">
        <w:rPr>
          <w:rFonts w:ascii="Arial" w:hAnsi="Arial" w:cs="Arial"/>
          <w:sz w:val="20"/>
          <w:szCs w:val="20"/>
        </w:rPr>
        <w:t>a schedule for the accomplishment of the different checklist items, where each item should be checked at least at intervals not exceeding 12 months.</w:t>
      </w:r>
    </w:p>
    <w:p w14:paraId="1606506E" w14:textId="77777777" w:rsidR="00995584" w:rsidRPr="00995584" w:rsidRDefault="00995584" w:rsidP="009601C2">
      <w:pPr>
        <w:keepNext/>
        <w:keepLines/>
        <w:widowControl/>
        <w:shd w:val="clear" w:color="auto" w:fill="339966"/>
        <w:autoSpaceDE/>
        <w:autoSpaceDN/>
        <w:spacing w:before="160" w:after="120" w:line="276" w:lineRule="auto"/>
        <w:jc w:val="both"/>
        <w:outlineLvl w:val="4"/>
        <w:rPr>
          <w:rFonts w:ascii="Arial" w:eastAsia="Times New Roman" w:hAnsi="Arial" w:cs="Times New Roman"/>
          <w:b/>
          <w:color w:val="FFFFFF"/>
          <w:sz w:val="24"/>
        </w:rPr>
      </w:pPr>
      <w:bookmarkStart w:id="389" w:name="GM1_BOP.ADD.030(a)(6)_Management_system"/>
      <w:bookmarkStart w:id="390" w:name="_bookmark160"/>
      <w:bookmarkStart w:id="391" w:name="_Toc153137325"/>
      <w:bookmarkEnd w:id="389"/>
      <w:bookmarkEnd w:id="390"/>
      <w:r w:rsidRPr="00995584">
        <w:rPr>
          <w:rFonts w:ascii="Arial" w:eastAsia="Times New Roman" w:hAnsi="Arial" w:cs="Times New Roman"/>
          <w:b/>
          <w:color w:val="FFFFFF"/>
          <w:sz w:val="24"/>
        </w:rPr>
        <w:t>GM1 BOP.ADD.030(a)(6) Management system</w:t>
      </w:r>
      <w:bookmarkEnd w:id="391"/>
    </w:p>
    <w:p w14:paraId="0B4846B5" w14:textId="77777777" w:rsidR="00995584" w:rsidRPr="00276D5E" w:rsidRDefault="00995584" w:rsidP="009601C2">
      <w:pPr>
        <w:spacing w:line="276" w:lineRule="auto"/>
        <w:rPr>
          <w:rFonts w:ascii="Arial" w:hAnsi="Arial" w:cs="Arial"/>
          <w:b/>
          <w:sz w:val="20"/>
        </w:rPr>
      </w:pPr>
      <w:r w:rsidRPr="00276D5E">
        <w:rPr>
          <w:rFonts w:ascii="Arial" w:hAnsi="Arial" w:cs="Arial"/>
          <w:b/>
          <w:sz w:val="20"/>
        </w:rPr>
        <w:t>COMPLIANCE</w:t>
      </w:r>
      <w:r w:rsidRPr="00276D5E">
        <w:rPr>
          <w:rFonts w:ascii="Arial" w:hAnsi="Arial" w:cs="Arial"/>
          <w:b/>
          <w:spacing w:val="-7"/>
          <w:sz w:val="20"/>
        </w:rPr>
        <w:t xml:space="preserve"> </w:t>
      </w:r>
      <w:r w:rsidRPr="00276D5E">
        <w:rPr>
          <w:rFonts w:ascii="Arial" w:hAnsi="Arial" w:cs="Arial"/>
          <w:b/>
          <w:sz w:val="20"/>
        </w:rPr>
        <w:t>MONITORING —</w:t>
      </w:r>
      <w:r w:rsidRPr="00276D5E">
        <w:rPr>
          <w:rFonts w:ascii="Arial" w:hAnsi="Arial" w:cs="Arial"/>
          <w:b/>
          <w:spacing w:val="-4"/>
          <w:sz w:val="20"/>
        </w:rPr>
        <w:t xml:space="preserve"> </w:t>
      </w:r>
      <w:r w:rsidRPr="00276D5E">
        <w:rPr>
          <w:rFonts w:ascii="Arial" w:hAnsi="Arial" w:cs="Arial"/>
          <w:b/>
          <w:sz w:val="20"/>
        </w:rPr>
        <w:t>AUDIT</w:t>
      </w:r>
      <w:r w:rsidRPr="00276D5E">
        <w:rPr>
          <w:rFonts w:ascii="Arial" w:hAnsi="Arial" w:cs="Arial"/>
          <w:b/>
          <w:spacing w:val="-3"/>
          <w:sz w:val="20"/>
        </w:rPr>
        <w:t xml:space="preserve"> </w:t>
      </w:r>
      <w:r w:rsidRPr="00276D5E">
        <w:rPr>
          <w:rFonts w:ascii="Arial" w:hAnsi="Arial" w:cs="Arial"/>
          <w:b/>
          <w:sz w:val="20"/>
        </w:rPr>
        <w:t>AND</w:t>
      </w:r>
      <w:r w:rsidRPr="00276D5E">
        <w:rPr>
          <w:rFonts w:ascii="Arial" w:hAnsi="Arial" w:cs="Arial"/>
          <w:b/>
          <w:spacing w:val="-6"/>
          <w:sz w:val="20"/>
        </w:rPr>
        <w:t xml:space="preserve"> </w:t>
      </w:r>
      <w:r w:rsidRPr="00276D5E">
        <w:rPr>
          <w:rFonts w:ascii="Arial" w:hAnsi="Arial" w:cs="Arial"/>
          <w:b/>
          <w:sz w:val="20"/>
        </w:rPr>
        <w:t>ORGANISATIONAL</w:t>
      </w:r>
      <w:r w:rsidRPr="00276D5E">
        <w:rPr>
          <w:rFonts w:ascii="Arial" w:hAnsi="Arial" w:cs="Arial"/>
          <w:b/>
          <w:spacing w:val="-5"/>
          <w:sz w:val="20"/>
        </w:rPr>
        <w:t xml:space="preserve"> </w:t>
      </w:r>
      <w:r w:rsidRPr="00276D5E">
        <w:rPr>
          <w:rFonts w:ascii="Arial" w:hAnsi="Arial" w:cs="Arial"/>
          <w:b/>
          <w:sz w:val="20"/>
        </w:rPr>
        <w:t>REVIEW</w:t>
      </w:r>
    </w:p>
    <w:p w14:paraId="6ECD50D0" w14:textId="77777777" w:rsidR="00995584" w:rsidRPr="00995584" w:rsidRDefault="00995584" w:rsidP="008522CD">
      <w:pPr>
        <w:numPr>
          <w:ilvl w:val="0"/>
          <w:numId w:val="90"/>
        </w:numPr>
        <w:tabs>
          <w:tab w:val="left" w:pos="1273"/>
          <w:tab w:val="left" w:pos="1274"/>
        </w:tabs>
        <w:spacing w:before="122" w:line="276" w:lineRule="auto"/>
        <w:ind w:right="44"/>
        <w:jc w:val="both"/>
        <w:rPr>
          <w:rFonts w:ascii="Arial" w:hAnsi="Arial" w:cs="Arial"/>
          <w:sz w:val="20"/>
          <w:szCs w:val="20"/>
        </w:rPr>
      </w:pPr>
      <w:r w:rsidRPr="00995584">
        <w:rPr>
          <w:rFonts w:ascii="Arial" w:hAnsi="Arial" w:cs="Arial"/>
          <w:sz w:val="20"/>
          <w:szCs w:val="20"/>
        </w:rPr>
        <w:t>‘audit’ means a systematic, independent and documented process for obtaining evidence and evaluating it objectively to determine the extent to which requirements are complied with.</w:t>
      </w:r>
    </w:p>
    <w:p w14:paraId="55A22B34" w14:textId="77777777" w:rsidR="00995584" w:rsidRPr="00995584" w:rsidRDefault="00995584" w:rsidP="008522CD">
      <w:pPr>
        <w:numPr>
          <w:ilvl w:val="0"/>
          <w:numId w:val="90"/>
        </w:numPr>
        <w:tabs>
          <w:tab w:val="left" w:pos="1273"/>
          <w:tab w:val="left" w:pos="1274"/>
        </w:tabs>
        <w:spacing w:before="122" w:line="276" w:lineRule="auto"/>
        <w:ind w:right="44"/>
        <w:jc w:val="both"/>
        <w:rPr>
          <w:rFonts w:ascii="Arial" w:hAnsi="Arial" w:cs="Arial"/>
          <w:sz w:val="20"/>
          <w:szCs w:val="20"/>
        </w:rPr>
      </w:pPr>
      <w:r w:rsidRPr="00995584">
        <w:rPr>
          <w:rFonts w:ascii="Arial" w:hAnsi="Arial" w:cs="Arial"/>
          <w:sz w:val="20"/>
          <w:szCs w:val="20"/>
        </w:rPr>
        <w:t>‘organisational review’ means a systematic and documented process for obtaining evidence and evaluating it to determine the extent to which requirements are complied with.</w:t>
      </w:r>
    </w:p>
    <w:p w14:paraId="49605C9B" w14:textId="77777777" w:rsidR="00E60D05" w:rsidRPr="00E60D05" w:rsidRDefault="00E60D05" w:rsidP="009601C2">
      <w:pPr>
        <w:keepNext/>
        <w:keepLines/>
        <w:widowControl/>
        <w:shd w:val="clear" w:color="auto" w:fill="339966"/>
        <w:autoSpaceDE/>
        <w:autoSpaceDN/>
        <w:spacing w:before="160" w:after="120" w:line="276" w:lineRule="auto"/>
        <w:outlineLvl w:val="4"/>
        <w:rPr>
          <w:rFonts w:ascii="Arial" w:eastAsia="Times New Roman" w:hAnsi="Arial" w:cs="Times New Roman"/>
          <w:b/>
          <w:color w:val="FFFFFF"/>
          <w:sz w:val="24"/>
        </w:rPr>
      </w:pPr>
      <w:bookmarkStart w:id="392" w:name="GM2_BOP.ADD.030(a)(6)_Management_system"/>
      <w:bookmarkStart w:id="393" w:name="_bookmark161"/>
      <w:bookmarkStart w:id="394" w:name="_Toc153137326"/>
      <w:bookmarkEnd w:id="392"/>
      <w:bookmarkEnd w:id="393"/>
      <w:r w:rsidRPr="00E60D05">
        <w:rPr>
          <w:rFonts w:ascii="Arial" w:eastAsia="Times New Roman" w:hAnsi="Arial" w:cs="Times New Roman"/>
          <w:b/>
          <w:color w:val="FFFFFF"/>
          <w:sz w:val="24"/>
        </w:rPr>
        <w:t>GM2 BOP.ADD.030(a)(6) Management system</w:t>
      </w:r>
      <w:bookmarkEnd w:id="394"/>
    </w:p>
    <w:p w14:paraId="10CD83AC" w14:textId="77777777" w:rsidR="00E60D05" w:rsidRPr="00276D5E" w:rsidRDefault="00E60D05" w:rsidP="009601C2">
      <w:pPr>
        <w:spacing w:line="276" w:lineRule="auto"/>
        <w:rPr>
          <w:rFonts w:ascii="Arial" w:hAnsi="Arial" w:cs="Arial"/>
          <w:b/>
          <w:sz w:val="20"/>
        </w:rPr>
      </w:pPr>
      <w:r w:rsidRPr="00276D5E">
        <w:rPr>
          <w:rFonts w:ascii="Arial" w:hAnsi="Arial" w:cs="Arial"/>
          <w:b/>
          <w:sz w:val="20"/>
        </w:rPr>
        <w:t>COMPLIANCE</w:t>
      </w:r>
      <w:r w:rsidRPr="00276D5E">
        <w:rPr>
          <w:rFonts w:ascii="Arial" w:hAnsi="Arial" w:cs="Arial"/>
          <w:b/>
          <w:spacing w:val="-10"/>
          <w:sz w:val="20"/>
        </w:rPr>
        <w:t xml:space="preserve"> </w:t>
      </w:r>
      <w:r w:rsidRPr="00276D5E">
        <w:rPr>
          <w:rFonts w:ascii="Arial" w:hAnsi="Arial" w:cs="Arial"/>
          <w:b/>
          <w:sz w:val="20"/>
        </w:rPr>
        <w:t>MONITORING</w:t>
      </w:r>
      <w:r w:rsidRPr="00276D5E">
        <w:rPr>
          <w:rFonts w:ascii="Arial" w:hAnsi="Arial" w:cs="Arial"/>
          <w:b/>
          <w:spacing w:val="-4"/>
          <w:sz w:val="20"/>
        </w:rPr>
        <w:t xml:space="preserve"> </w:t>
      </w:r>
      <w:r w:rsidRPr="00276D5E">
        <w:rPr>
          <w:rFonts w:ascii="Arial" w:hAnsi="Arial" w:cs="Arial"/>
          <w:b/>
          <w:sz w:val="20"/>
        </w:rPr>
        <w:t>CHECKLIST</w:t>
      </w:r>
    </w:p>
    <w:p w14:paraId="37411D66" w14:textId="77777777" w:rsidR="00E60D05" w:rsidRPr="00E60D05" w:rsidRDefault="00E60D05" w:rsidP="008522CD">
      <w:pPr>
        <w:numPr>
          <w:ilvl w:val="0"/>
          <w:numId w:val="91"/>
        </w:numPr>
        <w:tabs>
          <w:tab w:val="left" w:pos="1273"/>
          <w:tab w:val="left" w:pos="1274"/>
        </w:tabs>
        <w:spacing w:before="122" w:line="276" w:lineRule="auto"/>
        <w:ind w:right="44"/>
        <w:jc w:val="both"/>
        <w:rPr>
          <w:rFonts w:ascii="Arial" w:hAnsi="Arial" w:cs="Arial"/>
          <w:sz w:val="20"/>
          <w:szCs w:val="20"/>
        </w:rPr>
      </w:pPr>
      <w:r w:rsidRPr="00E60D05">
        <w:rPr>
          <w:rFonts w:ascii="Arial" w:hAnsi="Arial" w:cs="Arial"/>
          <w:sz w:val="20"/>
          <w:szCs w:val="20"/>
        </w:rPr>
        <w:lastRenderedPageBreak/>
        <w:t>Compliance monitoring audits or organisational reviews may be documented using a compliance monitoring checklist. The following provides a basic checklist, to be adapted as necessary to address the particular type of operations and to cover all relevant procedures described in the management system documentation and operations manual.</w:t>
      </w:r>
    </w:p>
    <w:p w14:paraId="5811A992" w14:textId="77777777" w:rsidR="00E60D05" w:rsidRPr="00E60D05" w:rsidRDefault="00E60D05" w:rsidP="008522CD">
      <w:pPr>
        <w:numPr>
          <w:ilvl w:val="0"/>
          <w:numId w:val="91"/>
        </w:numPr>
        <w:tabs>
          <w:tab w:val="left" w:pos="1273"/>
          <w:tab w:val="left" w:pos="1274"/>
        </w:tabs>
        <w:spacing w:before="122" w:line="276" w:lineRule="auto"/>
        <w:ind w:right="44"/>
        <w:jc w:val="both"/>
        <w:rPr>
          <w:rFonts w:ascii="Arial" w:hAnsi="Arial" w:cs="Arial"/>
          <w:sz w:val="20"/>
          <w:szCs w:val="20"/>
        </w:rPr>
      </w:pPr>
      <w:r w:rsidRPr="00E60D05">
        <w:rPr>
          <w:rFonts w:ascii="Arial" w:hAnsi="Arial" w:cs="Arial"/>
          <w:sz w:val="20"/>
          <w:szCs w:val="20"/>
        </w:rPr>
        <w:t>Each checklist item may be addressed using an appropriate combination of:</w:t>
      </w:r>
    </w:p>
    <w:p w14:paraId="38A325E0" w14:textId="77777777" w:rsidR="00E60D05" w:rsidRPr="00E60D05" w:rsidRDefault="00E60D05" w:rsidP="008522CD">
      <w:pPr>
        <w:numPr>
          <w:ilvl w:val="1"/>
          <w:numId w:val="91"/>
        </w:numPr>
        <w:tabs>
          <w:tab w:val="left" w:pos="1273"/>
          <w:tab w:val="left" w:pos="1274"/>
        </w:tabs>
        <w:spacing w:before="122" w:line="276" w:lineRule="auto"/>
        <w:ind w:right="44"/>
        <w:jc w:val="both"/>
        <w:rPr>
          <w:rFonts w:ascii="Arial" w:hAnsi="Arial" w:cs="Arial"/>
          <w:sz w:val="20"/>
          <w:szCs w:val="20"/>
        </w:rPr>
      </w:pPr>
      <w:r w:rsidRPr="00E60D05">
        <w:rPr>
          <w:rFonts w:ascii="Arial" w:hAnsi="Arial" w:cs="Arial"/>
          <w:sz w:val="20"/>
          <w:szCs w:val="20"/>
        </w:rPr>
        <w:t>review of records and documentation;</w:t>
      </w:r>
    </w:p>
    <w:p w14:paraId="65F0C210" w14:textId="77777777" w:rsidR="00E60D05" w:rsidRPr="00E60D05" w:rsidRDefault="00E60D05" w:rsidP="008522CD">
      <w:pPr>
        <w:numPr>
          <w:ilvl w:val="1"/>
          <w:numId w:val="91"/>
        </w:numPr>
        <w:tabs>
          <w:tab w:val="left" w:pos="1273"/>
          <w:tab w:val="left" w:pos="1274"/>
        </w:tabs>
        <w:spacing w:before="122" w:line="276" w:lineRule="auto"/>
        <w:ind w:right="44"/>
        <w:jc w:val="both"/>
        <w:rPr>
          <w:rFonts w:ascii="Arial" w:hAnsi="Arial" w:cs="Arial"/>
          <w:sz w:val="20"/>
          <w:szCs w:val="20"/>
        </w:rPr>
      </w:pPr>
      <w:r w:rsidRPr="00E60D05">
        <w:rPr>
          <w:rFonts w:ascii="Arial" w:hAnsi="Arial" w:cs="Arial"/>
          <w:sz w:val="20"/>
          <w:szCs w:val="20"/>
        </w:rPr>
        <w:t>interview of the personnel involved; and</w:t>
      </w:r>
    </w:p>
    <w:p w14:paraId="45CD6392" w14:textId="17E60C52" w:rsidR="00E60D05" w:rsidRPr="001036B3" w:rsidRDefault="00E60D05" w:rsidP="008522CD">
      <w:pPr>
        <w:numPr>
          <w:ilvl w:val="1"/>
          <w:numId w:val="91"/>
        </w:numPr>
        <w:tabs>
          <w:tab w:val="left" w:pos="1273"/>
          <w:tab w:val="left" w:pos="1274"/>
        </w:tabs>
        <w:spacing w:before="122" w:line="276" w:lineRule="auto"/>
        <w:ind w:right="44"/>
        <w:jc w:val="both"/>
        <w:rPr>
          <w:rFonts w:ascii="Arial" w:hAnsi="Arial" w:cs="Arial"/>
          <w:sz w:val="20"/>
          <w:szCs w:val="20"/>
        </w:rPr>
      </w:pPr>
      <w:r w:rsidRPr="00E60D05">
        <w:rPr>
          <w:rFonts w:ascii="Arial" w:hAnsi="Arial" w:cs="Arial"/>
          <w:sz w:val="20"/>
          <w:szCs w:val="20"/>
        </w:rPr>
        <w:t>feedback provided by contractors.</w:t>
      </w:r>
    </w:p>
    <w:p w14:paraId="7371C19C" w14:textId="423FCF3E" w:rsidR="00E60D05" w:rsidRDefault="00E60D05" w:rsidP="009601C2">
      <w:pPr>
        <w:tabs>
          <w:tab w:val="left" w:pos="1273"/>
          <w:tab w:val="left" w:pos="1274"/>
        </w:tabs>
        <w:spacing w:before="122" w:line="276" w:lineRule="auto"/>
        <w:ind w:right="200"/>
        <w:rPr>
          <w:rFonts w:ascii="Arial" w:hAnsi="Arial" w:cs="Arial"/>
          <w:sz w:val="20"/>
          <w:szCs w:val="20"/>
        </w:rPr>
      </w:pPr>
    </w:p>
    <w:p w14:paraId="24FE5C62" w14:textId="4D2AF3CB" w:rsidR="00C142FA" w:rsidRDefault="00C142FA" w:rsidP="009601C2">
      <w:pPr>
        <w:tabs>
          <w:tab w:val="left" w:pos="1273"/>
          <w:tab w:val="left" w:pos="1274"/>
        </w:tabs>
        <w:spacing w:before="122" w:line="276" w:lineRule="auto"/>
        <w:ind w:right="200"/>
        <w:rPr>
          <w:rFonts w:ascii="Arial" w:hAnsi="Arial" w:cs="Arial"/>
          <w:sz w:val="20"/>
          <w:szCs w:val="20"/>
        </w:rPr>
      </w:pPr>
    </w:p>
    <w:p w14:paraId="03D78492" w14:textId="7E059600" w:rsidR="00C142FA" w:rsidRDefault="00C142FA" w:rsidP="009601C2">
      <w:pPr>
        <w:tabs>
          <w:tab w:val="left" w:pos="1273"/>
          <w:tab w:val="left" w:pos="1274"/>
        </w:tabs>
        <w:spacing w:before="122" w:line="276" w:lineRule="auto"/>
        <w:ind w:right="200"/>
        <w:rPr>
          <w:rFonts w:ascii="Arial" w:hAnsi="Arial" w:cs="Arial"/>
          <w:sz w:val="20"/>
          <w:szCs w:val="20"/>
        </w:rPr>
      </w:pPr>
    </w:p>
    <w:p w14:paraId="37586A59" w14:textId="55F4A4FC" w:rsidR="00C142FA" w:rsidRDefault="00C142FA" w:rsidP="009601C2">
      <w:pPr>
        <w:tabs>
          <w:tab w:val="left" w:pos="1273"/>
          <w:tab w:val="left" w:pos="1274"/>
        </w:tabs>
        <w:spacing w:before="122" w:line="276" w:lineRule="auto"/>
        <w:ind w:right="200"/>
        <w:rPr>
          <w:rFonts w:ascii="Arial" w:hAnsi="Arial" w:cs="Arial"/>
          <w:sz w:val="20"/>
          <w:szCs w:val="20"/>
        </w:rPr>
      </w:pPr>
    </w:p>
    <w:p w14:paraId="256A2A6B" w14:textId="74EA20A9" w:rsidR="00C142FA" w:rsidRDefault="00C142FA" w:rsidP="009601C2">
      <w:pPr>
        <w:tabs>
          <w:tab w:val="left" w:pos="1273"/>
          <w:tab w:val="left" w:pos="1274"/>
        </w:tabs>
        <w:spacing w:before="122" w:line="276" w:lineRule="auto"/>
        <w:ind w:right="200"/>
        <w:rPr>
          <w:rFonts w:ascii="Arial" w:hAnsi="Arial" w:cs="Arial"/>
          <w:sz w:val="20"/>
          <w:szCs w:val="20"/>
        </w:rPr>
      </w:pPr>
    </w:p>
    <w:p w14:paraId="54F3F2C6" w14:textId="2DB567AE" w:rsidR="00C142FA" w:rsidRDefault="00C142FA" w:rsidP="009601C2">
      <w:pPr>
        <w:tabs>
          <w:tab w:val="left" w:pos="1273"/>
          <w:tab w:val="left" w:pos="1274"/>
        </w:tabs>
        <w:spacing w:before="122" w:line="276" w:lineRule="auto"/>
        <w:ind w:right="200"/>
        <w:rPr>
          <w:rFonts w:ascii="Arial" w:hAnsi="Arial" w:cs="Arial"/>
          <w:sz w:val="20"/>
          <w:szCs w:val="20"/>
        </w:rPr>
      </w:pPr>
    </w:p>
    <w:p w14:paraId="23573835" w14:textId="6414135B" w:rsidR="00C142FA" w:rsidRDefault="00C142FA" w:rsidP="009601C2">
      <w:pPr>
        <w:tabs>
          <w:tab w:val="left" w:pos="1273"/>
          <w:tab w:val="left" w:pos="1274"/>
        </w:tabs>
        <w:spacing w:before="122" w:line="276" w:lineRule="auto"/>
        <w:ind w:right="200"/>
        <w:rPr>
          <w:rFonts w:ascii="Arial" w:hAnsi="Arial" w:cs="Arial"/>
          <w:sz w:val="20"/>
          <w:szCs w:val="20"/>
        </w:rPr>
      </w:pPr>
    </w:p>
    <w:p w14:paraId="71377C8C" w14:textId="78B1F5AD" w:rsidR="00C142FA" w:rsidRDefault="00C142FA" w:rsidP="009601C2">
      <w:pPr>
        <w:tabs>
          <w:tab w:val="left" w:pos="1273"/>
          <w:tab w:val="left" w:pos="1274"/>
        </w:tabs>
        <w:spacing w:before="122" w:line="276" w:lineRule="auto"/>
        <w:ind w:right="200"/>
        <w:rPr>
          <w:rFonts w:ascii="Arial" w:hAnsi="Arial" w:cs="Arial"/>
          <w:sz w:val="20"/>
          <w:szCs w:val="20"/>
        </w:rPr>
      </w:pPr>
    </w:p>
    <w:p w14:paraId="5E2AE090" w14:textId="2DF5D1C0" w:rsidR="00C142FA" w:rsidRDefault="00C142FA" w:rsidP="009601C2">
      <w:pPr>
        <w:tabs>
          <w:tab w:val="left" w:pos="1273"/>
          <w:tab w:val="left" w:pos="1274"/>
        </w:tabs>
        <w:spacing w:before="122" w:line="276" w:lineRule="auto"/>
        <w:ind w:right="200"/>
        <w:rPr>
          <w:rFonts w:ascii="Arial" w:hAnsi="Arial" w:cs="Arial"/>
          <w:sz w:val="20"/>
          <w:szCs w:val="20"/>
        </w:rPr>
      </w:pPr>
    </w:p>
    <w:p w14:paraId="4A7C79A2" w14:textId="24530F40" w:rsidR="00C142FA" w:rsidRDefault="00C142FA" w:rsidP="009601C2">
      <w:pPr>
        <w:tabs>
          <w:tab w:val="left" w:pos="1273"/>
          <w:tab w:val="left" w:pos="1274"/>
        </w:tabs>
        <w:spacing w:before="122" w:line="276" w:lineRule="auto"/>
        <w:ind w:right="200"/>
        <w:rPr>
          <w:rFonts w:ascii="Arial" w:hAnsi="Arial" w:cs="Arial"/>
          <w:sz w:val="20"/>
          <w:szCs w:val="20"/>
        </w:rPr>
      </w:pPr>
    </w:p>
    <w:p w14:paraId="217CC419" w14:textId="4A7BAF40" w:rsidR="00C142FA" w:rsidRDefault="00C142FA" w:rsidP="009601C2">
      <w:pPr>
        <w:tabs>
          <w:tab w:val="left" w:pos="1273"/>
          <w:tab w:val="left" w:pos="1274"/>
        </w:tabs>
        <w:spacing w:before="122" w:line="276" w:lineRule="auto"/>
        <w:ind w:right="200"/>
        <w:rPr>
          <w:rFonts w:ascii="Arial" w:hAnsi="Arial" w:cs="Arial"/>
          <w:sz w:val="20"/>
          <w:szCs w:val="20"/>
        </w:rPr>
      </w:pPr>
    </w:p>
    <w:p w14:paraId="05FEFEA0" w14:textId="227AE178" w:rsidR="00C142FA" w:rsidRDefault="00C142FA" w:rsidP="009601C2">
      <w:pPr>
        <w:tabs>
          <w:tab w:val="left" w:pos="1273"/>
          <w:tab w:val="left" w:pos="1274"/>
        </w:tabs>
        <w:spacing w:before="122" w:line="276" w:lineRule="auto"/>
        <w:ind w:right="200"/>
        <w:rPr>
          <w:rFonts w:ascii="Arial" w:hAnsi="Arial" w:cs="Arial"/>
          <w:sz w:val="20"/>
          <w:szCs w:val="20"/>
        </w:rPr>
      </w:pPr>
    </w:p>
    <w:p w14:paraId="5F288BEA" w14:textId="318C6940" w:rsidR="00C142FA" w:rsidRDefault="00C142FA" w:rsidP="009601C2">
      <w:pPr>
        <w:tabs>
          <w:tab w:val="left" w:pos="1273"/>
          <w:tab w:val="left" w:pos="1274"/>
        </w:tabs>
        <w:spacing w:before="122" w:line="276" w:lineRule="auto"/>
        <w:ind w:right="200"/>
        <w:rPr>
          <w:rFonts w:ascii="Arial" w:hAnsi="Arial" w:cs="Arial"/>
          <w:sz w:val="20"/>
          <w:szCs w:val="20"/>
        </w:rPr>
      </w:pPr>
    </w:p>
    <w:p w14:paraId="72AE7C89" w14:textId="2AEC8E21" w:rsidR="00C142FA" w:rsidRDefault="00C142FA" w:rsidP="009601C2">
      <w:pPr>
        <w:tabs>
          <w:tab w:val="left" w:pos="1273"/>
          <w:tab w:val="left" w:pos="1274"/>
        </w:tabs>
        <w:spacing w:before="122" w:line="276" w:lineRule="auto"/>
        <w:ind w:right="200"/>
        <w:rPr>
          <w:rFonts w:ascii="Arial" w:hAnsi="Arial" w:cs="Arial"/>
          <w:sz w:val="20"/>
          <w:szCs w:val="20"/>
        </w:rPr>
      </w:pPr>
    </w:p>
    <w:p w14:paraId="5015534A" w14:textId="5D292CC6" w:rsidR="00C142FA" w:rsidRDefault="00C142FA" w:rsidP="009601C2">
      <w:pPr>
        <w:tabs>
          <w:tab w:val="left" w:pos="1273"/>
          <w:tab w:val="left" w:pos="1274"/>
        </w:tabs>
        <w:spacing w:before="122" w:line="276" w:lineRule="auto"/>
        <w:ind w:right="200"/>
        <w:rPr>
          <w:rFonts w:ascii="Arial" w:hAnsi="Arial" w:cs="Arial"/>
          <w:sz w:val="20"/>
          <w:szCs w:val="20"/>
        </w:rPr>
      </w:pPr>
    </w:p>
    <w:p w14:paraId="0FA7A18B" w14:textId="2CECFD68" w:rsidR="00C142FA" w:rsidRDefault="00C142FA" w:rsidP="009601C2">
      <w:pPr>
        <w:tabs>
          <w:tab w:val="left" w:pos="1273"/>
          <w:tab w:val="left" w:pos="1274"/>
        </w:tabs>
        <w:spacing w:before="122" w:line="276" w:lineRule="auto"/>
        <w:ind w:right="200"/>
        <w:rPr>
          <w:rFonts w:ascii="Arial" w:hAnsi="Arial" w:cs="Arial"/>
          <w:sz w:val="20"/>
          <w:szCs w:val="20"/>
        </w:rPr>
      </w:pPr>
    </w:p>
    <w:p w14:paraId="1AC24332" w14:textId="2998826C" w:rsidR="00C142FA" w:rsidRDefault="00C142FA" w:rsidP="009601C2">
      <w:pPr>
        <w:tabs>
          <w:tab w:val="left" w:pos="1273"/>
          <w:tab w:val="left" w:pos="1274"/>
        </w:tabs>
        <w:spacing w:before="122" w:line="276" w:lineRule="auto"/>
        <w:ind w:right="200"/>
        <w:rPr>
          <w:rFonts w:ascii="Arial" w:hAnsi="Arial" w:cs="Arial"/>
          <w:sz w:val="20"/>
          <w:szCs w:val="20"/>
        </w:rPr>
      </w:pPr>
    </w:p>
    <w:p w14:paraId="5AD037FC" w14:textId="010094B8" w:rsidR="00C142FA" w:rsidRDefault="00C142FA" w:rsidP="009601C2">
      <w:pPr>
        <w:tabs>
          <w:tab w:val="left" w:pos="1273"/>
          <w:tab w:val="left" w:pos="1274"/>
        </w:tabs>
        <w:spacing w:before="122" w:line="276" w:lineRule="auto"/>
        <w:ind w:right="200"/>
        <w:rPr>
          <w:rFonts w:ascii="Arial" w:hAnsi="Arial" w:cs="Arial"/>
          <w:sz w:val="20"/>
          <w:szCs w:val="20"/>
        </w:rPr>
      </w:pPr>
    </w:p>
    <w:p w14:paraId="0E5605FA" w14:textId="153004F7" w:rsidR="00C142FA" w:rsidRDefault="00C142FA" w:rsidP="009601C2">
      <w:pPr>
        <w:tabs>
          <w:tab w:val="left" w:pos="1273"/>
          <w:tab w:val="left" w:pos="1274"/>
        </w:tabs>
        <w:spacing w:before="122" w:line="276" w:lineRule="auto"/>
        <w:ind w:right="200"/>
        <w:rPr>
          <w:rFonts w:ascii="Arial" w:hAnsi="Arial" w:cs="Arial"/>
          <w:sz w:val="20"/>
          <w:szCs w:val="20"/>
        </w:rPr>
      </w:pPr>
    </w:p>
    <w:p w14:paraId="6E3B3F19" w14:textId="71F08F96" w:rsidR="00C142FA" w:rsidRDefault="00C142FA" w:rsidP="009601C2">
      <w:pPr>
        <w:tabs>
          <w:tab w:val="left" w:pos="1273"/>
          <w:tab w:val="left" w:pos="1274"/>
        </w:tabs>
        <w:spacing w:before="122" w:line="276" w:lineRule="auto"/>
        <w:ind w:right="200"/>
        <w:rPr>
          <w:rFonts w:ascii="Arial" w:hAnsi="Arial" w:cs="Arial"/>
          <w:sz w:val="20"/>
          <w:szCs w:val="20"/>
        </w:rPr>
      </w:pPr>
    </w:p>
    <w:p w14:paraId="34C16C7F" w14:textId="7B6C197A" w:rsidR="00C142FA" w:rsidRDefault="00C142FA" w:rsidP="009601C2">
      <w:pPr>
        <w:tabs>
          <w:tab w:val="left" w:pos="1273"/>
          <w:tab w:val="left" w:pos="1274"/>
        </w:tabs>
        <w:spacing w:before="122" w:line="276" w:lineRule="auto"/>
        <w:ind w:right="200"/>
        <w:rPr>
          <w:rFonts w:ascii="Arial" w:hAnsi="Arial" w:cs="Arial"/>
          <w:sz w:val="20"/>
          <w:szCs w:val="20"/>
        </w:rPr>
      </w:pPr>
    </w:p>
    <w:p w14:paraId="7D1A5940" w14:textId="76DED6DF" w:rsidR="00C142FA" w:rsidRDefault="00C142FA" w:rsidP="009601C2">
      <w:pPr>
        <w:tabs>
          <w:tab w:val="left" w:pos="1273"/>
          <w:tab w:val="left" w:pos="1274"/>
        </w:tabs>
        <w:spacing w:before="122" w:line="276" w:lineRule="auto"/>
        <w:ind w:right="200"/>
        <w:rPr>
          <w:rFonts w:ascii="Arial" w:hAnsi="Arial" w:cs="Arial"/>
          <w:sz w:val="20"/>
          <w:szCs w:val="20"/>
        </w:rPr>
      </w:pPr>
    </w:p>
    <w:p w14:paraId="5DE61522" w14:textId="5A003A38" w:rsidR="00C142FA" w:rsidRDefault="00C142FA" w:rsidP="009601C2">
      <w:pPr>
        <w:tabs>
          <w:tab w:val="left" w:pos="1273"/>
          <w:tab w:val="left" w:pos="1274"/>
        </w:tabs>
        <w:spacing w:before="122" w:line="276" w:lineRule="auto"/>
        <w:ind w:right="200"/>
        <w:rPr>
          <w:rFonts w:ascii="Arial" w:hAnsi="Arial" w:cs="Arial"/>
          <w:sz w:val="20"/>
          <w:szCs w:val="20"/>
        </w:rPr>
      </w:pPr>
    </w:p>
    <w:p w14:paraId="55C66097" w14:textId="4D2BE8D7" w:rsidR="00A92450" w:rsidRDefault="00A92450" w:rsidP="009601C2">
      <w:pPr>
        <w:tabs>
          <w:tab w:val="left" w:pos="1273"/>
          <w:tab w:val="left" w:pos="1274"/>
        </w:tabs>
        <w:spacing w:before="122" w:line="276" w:lineRule="auto"/>
        <w:ind w:right="200"/>
        <w:rPr>
          <w:rFonts w:ascii="Arial" w:hAnsi="Arial" w:cs="Arial"/>
          <w:sz w:val="20"/>
          <w:szCs w:val="20"/>
        </w:rPr>
      </w:pPr>
    </w:p>
    <w:p w14:paraId="28905108" w14:textId="73647D69" w:rsidR="00A92450" w:rsidRDefault="00A92450" w:rsidP="009601C2">
      <w:pPr>
        <w:tabs>
          <w:tab w:val="left" w:pos="1273"/>
          <w:tab w:val="left" w:pos="1274"/>
        </w:tabs>
        <w:spacing w:before="122" w:line="276" w:lineRule="auto"/>
        <w:ind w:right="200"/>
        <w:rPr>
          <w:rFonts w:ascii="Arial" w:hAnsi="Arial" w:cs="Arial"/>
          <w:sz w:val="20"/>
          <w:szCs w:val="20"/>
        </w:rPr>
      </w:pPr>
    </w:p>
    <w:p w14:paraId="712C2173" w14:textId="007DCF17" w:rsidR="00A92450" w:rsidRDefault="00A92450" w:rsidP="009601C2">
      <w:pPr>
        <w:tabs>
          <w:tab w:val="left" w:pos="1273"/>
          <w:tab w:val="left" w:pos="1274"/>
        </w:tabs>
        <w:spacing w:before="122" w:line="276" w:lineRule="auto"/>
        <w:ind w:right="200"/>
        <w:rPr>
          <w:rFonts w:ascii="Arial" w:hAnsi="Arial" w:cs="Arial"/>
          <w:sz w:val="20"/>
          <w:szCs w:val="20"/>
        </w:rPr>
      </w:pPr>
    </w:p>
    <w:p w14:paraId="4637A888" w14:textId="792F0E6C" w:rsidR="00A92450" w:rsidRDefault="00A92450" w:rsidP="009601C2">
      <w:pPr>
        <w:tabs>
          <w:tab w:val="left" w:pos="1273"/>
          <w:tab w:val="left" w:pos="1274"/>
        </w:tabs>
        <w:spacing w:before="122" w:line="276" w:lineRule="auto"/>
        <w:ind w:right="200"/>
        <w:rPr>
          <w:rFonts w:ascii="Arial" w:hAnsi="Arial" w:cs="Arial"/>
          <w:sz w:val="20"/>
          <w:szCs w:val="20"/>
        </w:rPr>
      </w:pPr>
    </w:p>
    <w:p w14:paraId="5D4D893B" w14:textId="0296753A" w:rsidR="00C142FA" w:rsidRDefault="00C142FA" w:rsidP="009601C2">
      <w:pPr>
        <w:tabs>
          <w:tab w:val="left" w:pos="1273"/>
          <w:tab w:val="left" w:pos="1274"/>
        </w:tabs>
        <w:spacing w:before="122" w:line="276" w:lineRule="auto"/>
        <w:ind w:right="200"/>
        <w:rPr>
          <w:rFonts w:ascii="Arial" w:hAnsi="Arial" w:cs="Arial"/>
          <w:sz w:val="20"/>
          <w:szCs w:val="20"/>
        </w:rPr>
      </w:pPr>
    </w:p>
    <w:p w14:paraId="611BEEE9" w14:textId="07A94D5F" w:rsidR="00C142FA" w:rsidRDefault="00C142FA" w:rsidP="009601C2">
      <w:pPr>
        <w:tabs>
          <w:tab w:val="left" w:pos="1273"/>
          <w:tab w:val="left" w:pos="1274"/>
        </w:tabs>
        <w:spacing w:before="122" w:line="276" w:lineRule="auto"/>
        <w:ind w:right="200"/>
        <w:rPr>
          <w:rFonts w:ascii="Arial" w:hAnsi="Arial" w:cs="Arial"/>
          <w:sz w:val="20"/>
          <w:szCs w:val="20"/>
        </w:rPr>
      </w:pPr>
    </w:p>
    <w:p w14:paraId="0509EF23" w14:textId="6927B8FA" w:rsidR="00C142FA" w:rsidRDefault="00C142FA" w:rsidP="009601C2">
      <w:pPr>
        <w:tabs>
          <w:tab w:val="left" w:pos="1273"/>
          <w:tab w:val="left" w:pos="1274"/>
        </w:tabs>
        <w:spacing w:before="122" w:line="276" w:lineRule="auto"/>
        <w:ind w:right="200"/>
        <w:rPr>
          <w:rFonts w:ascii="Arial" w:hAnsi="Arial" w:cs="Arial"/>
          <w:sz w:val="20"/>
          <w:szCs w:val="20"/>
        </w:rPr>
      </w:pPr>
    </w:p>
    <w:p w14:paraId="0A744670" w14:textId="77777777" w:rsidR="00C142FA" w:rsidRDefault="00C142FA" w:rsidP="009601C2">
      <w:pPr>
        <w:tabs>
          <w:tab w:val="left" w:pos="1273"/>
          <w:tab w:val="left" w:pos="1274"/>
        </w:tabs>
        <w:spacing w:before="122" w:line="276" w:lineRule="auto"/>
        <w:ind w:right="200"/>
        <w:rPr>
          <w:rFonts w:ascii="Arial" w:hAnsi="Arial" w:cs="Arial"/>
          <w:sz w:val="20"/>
          <w:szCs w:val="20"/>
        </w:rPr>
      </w:pPr>
    </w:p>
    <w:tbl>
      <w:tblPr>
        <w:tblW w:w="9298"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8"/>
        <w:gridCol w:w="1217"/>
        <w:gridCol w:w="1118"/>
        <w:gridCol w:w="2395"/>
      </w:tblGrid>
      <w:tr w:rsidR="00E60D05" w:rsidRPr="00276D5E" w14:paraId="476A47A7" w14:textId="77777777" w:rsidTr="00E60D05">
        <w:trPr>
          <w:trHeight w:val="487"/>
        </w:trPr>
        <w:tc>
          <w:tcPr>
            <w:tcW w:w="9298" w:type="dxa"/>
            <w:gridSpan w:val="4"/>
          </w:tcPr>
          <w:p w14:paraId="6E1D7B40" w14:textId="77777777" w:rsidR="00E60D05" w:rsidRPr="00276D5E" w:rsidRDefault="00E60D05" w:rsidP="009601C2">
            <w:pPr>
              <w:pStyle w:val="TableParagraph"/>
              <w:spacing w:line="276" w:lineRule="auto"/>
              <w:ind w:left="57"/>
              <w:rPr>
                <w:rFonts w:ascii="Arial" w:hAnsi="Arial" w:cs="Arial"/>
                <w:b/>
                <w:sz w:val="20"/>
              </w:rPr>
            </w:pPr>
            <w:r w:rsidRPr="00276D5E">
              <w:rPr>
                <w:rFonts w:ascii="Arial" w:hAnsi="Arial" w:cs="Arial"/>
                <w:b/>
                <w:sz w:val="20"/>
              </w:rPr>
              <w:lastRenderedPageBreak/>
              <w:t>COMPLIANCE</w:t>
            </w:r>
            <w:r w:rsidRPr="00276D5E">
              <w:rPr>
                <w:rFonts w:ascii="Arial" w:hAnsi="Arial" w:cs="Arial"/>
                <w:b/>
                <w:spacing w:val="-9"/>
                <w:sz w:val="20"/>
              </w:rPr>
              <w:t xml:space="preserve"> </w:t>
            </w:r>
            <w:r w:rsidRPr="00276D5E">
              <w:rPr>
                <w:rFonts w:ascii="Arial" w:hAnsi="Arial" w:cs="Arial"/>
                <w:b/>
                <w:sz w:val="20"/>
              </w:rPr>
              <w:t>MONITORING</w:t>
            </w:r>
            <w:r w:rsidRPr="00276D5E">
              <w:rPr>
                <w:rFonts w:ascii="Arial" w:hAnsi="Arial" w:cs="Arial"/>
                <w:b/>
                <w:spacing w:val="-5"/>
                <w:sz w:val="20"/>
              </w:rPr>
              <w:t xml:space="preserve"> </w:t>
            </w:r>
            <w:r w:rsidRPr="00276D5E">
              <w:rPr>
                <w:rFonts w:ascii="Arial" w:hAnsi="Arial" w:cs="Arial"/>
                <w:b/>
                <w:sz w:val="20"/>
              </w:rPr>
              <w:t>CHECKLIST</w:t>
            </w:r>
          </w:p>
          <w:p w14:paraId="7C0E3092"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Year:</w:t>
            </w:r>
          </w:p>
        </w:tc>
      </w:tr>
      <w:tr w:rsidR="00E60D05" w:rsidRPr="00276D5E" w14:paraId="62738682" w14:textId="77777777" w:rsidTr="00E60D05">
        <w:trPr>
          <w:trHeight w:val="489"/>
        </w:trPr>
        <w:tc>
          <w:tcPr>
            <w:tcW w:w="4568" w:type="dxa"/>
          </w:tcPr>
          <w:p w14:paraId="534B99D3" w14:textId="77777777" w:rsidR="00E60D05" w:rsidRPr="00276D5E" w:rsidRDefault="00E60D05" w:rsidP="009601C2">
            <w:pPr>
              <w:pStyle w:val="TableParagraph"/>
              <w:spacing w:before="121" w:line="276" w:lineRule="auto"/>
              <w:ind w:left="57"/>
              <w:rPr>
                <w:rFonts w:ascii="Arial" w:hAnsi="Arial" w:cs="Arial"/>
                <w:sz w:val="20"/>
              </w:rPr>
            </w:pPr>
            <w:r w:rsidRPr="00276D5E">
              <w:rPr>
                <w:rFonts w:ascii="Arial" w:hAnsi="Arial" w:cs="Arial"/>
                <w:sz w:val="20"/>
              </w:rPr>
              <w:t>Subject</w:t>
            </w:r>
          </w:p>
        </w:tc>
        <w:tc>
          <w:tcPr>
            <w:tcW w:w="1217" w:type="dxa"/>
          </w:tcPr>
          <w:p w14:paraId="16590A6C" w14:textId="77777777" w:rsidR="00E60D05" w:rsidRPr="00276D5E" w:rsidRDefault="00E60D05" w:rsidP="009601C2">
            <w:pPr>
              <w:pStyle w:val="TableParagraph"/>
              <w:spacing w:before="121" w:line="276" w:lineRule="auto"/>
              <w:ind w:left="54"/>
              <w:rPr>
                <w:rFonts w:ascii="Arial" w:hAnsi="Arial" w:cs="Arial"/>
                <w:sz w:val="20"/>
              </w:rPr>
            </w:pPr>
            <w:r w:rsidRPr="00276D5E">
              <w:rPr>
                <w:rFonts w:ascii="Arial" w:hAnsi="Arial" w:cs="Arial"/>
                <w:sz w:val="20"/>
              </w:rPr>
              <w:t>Date</w:t>
            </w:r>
            <w:r w:rsidRPr="00276D5E">
              <w:rPr>
                <w:rFonts w:ascii="Arial" w:hAnsi="Arial" w:cs="Arial"/>
                <w:spacing w:val="-4"/>
                <w:sz w:val="20"/>
              </w:rPr>
              <w:t xml:space="preserve"> </w:t>
            </w:r>
            <w:r w:rsidRPr="00276D5E">
              <w:rPr>
                <w:rFonts w:ascii="Arial" w:hAnsi="Arial" w:cs="Arial"/>
                <w:sz w:val="20"/>
              </w:rPr>
              <w:t>checked</w:t>
            </w:r>
          </w:p>
        </w:tc>
        <w:tc>
          <w:tcPr>
            <w:tcW w:w="1118" w:type="dxa"/>
          </w:tcPr>
          <w:p w14:paraId="70F191BF" w14:textId="77777777" w:rsidR="00E60D05" w:rsidRPr="00276D5E" w:rsidRDefault="00E60D05" w:rsidP="009601C2">
            <w:pPr>
              <w:pStyle w:val="TableParagraph"/>
              <w:spacing w:before="121" w:line="276" w:lineRule="auto"/>
              <w:ind w:left="57"/>
              <w:rPr>
                <w:rFonts w:ascii="Arial" w:hAnsi="Arial" w:cs="Arial"/>
                <w:sz w:val="20"/>
              </w:rPr>
            </w:pPr>
            <w:r w:rsidRPr="00276D5E">
              <w:rPr>
                <w:rFonts w:ascii="Arial" w:hAnsi="Arial" w:cs="Arial"/>
                <w:sz w:val="20"/>
              </w:rPr>
              <w:t>Checked</w:t>
            </w:r>
            <w:r w:rsidRPr="00276D5E">
              <w:rPr>
                <w:rFonts w:ascii="Arial" w:hAnsi="Arial" w:cs="Arial"/>
                <w:spacing w:val="-3"/>
                <w:sz w:val="20"/>
              </w:rPr>
              <w:t xml:space="preserve"> </w:t>
            </w:r>
            <w:r w:rsidRPr="00276D5E">
              <w:rPr>
                <w:rFonts w:ascii="Arial" w:hAnsi="Arial" w:cs="Arial"/>
                <w:sz w:val="20"/>
              </w:rPr>
              <w:t>by</w:t>
            </w:r>
          </w:p>
        </w:tc>
        <w:tc>
          <w:tcPr>
            <w:tcW w:w="2395" w:type="dxa"/>
          </w:tcPr>
          <w:p w14:paraId="7E713548"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Comments/non-compliance</w:t>
            </w:r>
          </w:p>
          <w:p w14:paraId="581616BF"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Report</w:t>
            </w:r>
            <w:r w:rsidRPr="00276D5E">
              <w:rPr>
                <w:rFonts w:ascii="Arial" w:hAnsi="Arial" w:cs="Arial"/>
                <w:spacing w:val="-2"/>
                <w:sz w:val="20"/>
              </w:rPr>
              <w:t xml:space="preserve"> </w:t>
            </w:r>
            <w:r w:rsidRPr="00276D5E">
              <w:rPr>
                <w:rFonts w:ascii="Arial" w:hAnsi="Arial" w:cs="Arial"/>
                <w:sz w:val="20"/>
              </w:rPr>
              <w:t>No</w:t>
            </w:r>
          </w:p>
        </w:tc>
      </w:tr>
      <w:tr w:rsidR="00E60D05" w:rsidRPr="00276D5E" w14:paraId="57E55D1B" w14:textId="77777777" w:rsidTr="00E60D05">
        <w:trPr>
          <w:trHeight w:val="244"/>
        </w:trPr>
        <w:tc>
          <w:tcPr>
            <w:tcW w:w="9298" w:type="dxa"/>
            <w:gridSpan w:val="4"/>
          </w:tcPr>
          <w:p w14:paraId="04FC235D" w14:textId="77777777" w:rsidR="00E60D05" w:rsidRPr="00276D5E" w:rsidRDefault="00E60D05" w:rsidP="009601C2">
            <w:pPr>
              <w:pStyle w:val="TableParagraph"/>
              <w:spacing w:line="276" w:lineRule="auto"/>
              <w:ind w:left="57"/>
              <w:rPr>
                <w:rFonts w:ascii="Arial" w:hAnsi="Arial" w:cs="Arial"/>
                <w:b/>
                <w:sz w:val="20"/>
              </w:rPr>
            </w:pPr>
            <w:r w:rsidRPr="00276D5E">
              <w:rPr>
                <w:rFonts w:ascii="Arial" w:hAnsi="Arial" w:cs="Arial"/>
                <w:b/>
                <w:sz w:val="20"/>
              </w:rPr>
              <w:t>Declaration</w:t>
            </w:r>
            <w:r w:rsidRPr="00276D5E">
              <w:rPr>
                <w:rFonts w:ascii="Arial" w:hAnsi="Arial" w:cs="Arial"/>
                <w:b/>
                <w:spacing w:val="-1"/>
                <w:sz w:val="20"/>
              </w:rPr>
              <w:t xml:space="preserve"> </w:t>
            </w:r>
            <w:r w:rsidRPr="00276D5E">
              <w:rPr>
                <w:rFonts w:ascii="Arial" w:hAnsi="Arial" w:cs="Arial"/>
                <w:b/>
                <w:sz w:val="20"/>
              </w:rPr>
              <w:t>change</w:t>
            </w:r>
            <w:r w:rsidRPr="00276D5E">
              <w:rPr>
                <w:rFonts w:ascii="Arial" w:hAnsi="Arial" w:cs="Arial"/>
                <w:b/>
                <w:spacing w:val="-1"/>
                <w:sz w:val="20"/>
              </w:rPr>
              <w:t xml:space="preserve"> </w:t>
            </w:r>
            <w:r w:rsidRPr="00276D5E">
              <w:rPr>
                <w:rFonts w:ascii="Arial" w:hAnsi="Arial" w:cs="Arial"/>
                <w:b/>
                <w:sz w:val="20"/>
              </w:rPr>
              <w:t>management</w:t>
            </w:r>
          </w:p>
        </w:tc>
      </w:tr>
      <w:tr w:rsidR="00E60D05" w:rsidRPr="00276D5E" w14:paraId="2872CEA9" w14:textId="77777777" w:rsidTr="00E60D05">
        <w:trPr>
          <w:trHeight w:val="486"/>
        </w:trPr>
        <w:tc>
          <w:tcPr>
            <w:tcW w:w="4568" w:type="dxa"/>
          </w:tcPr>
          <w:p w14:paraId="1531C91A"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Operations</w:t>
            </w:r>
            <w:r w:rsidRPr="00276D5E">
              <w:rPr>
                <w:rFonts w:ascii="Arial" w:hAnsi="Arial" w:cs="Arial"/>
                <w:spacing w:val="-5"/>
                <w:sz w:val="20"/>
              </w:rPr>
              <w:t xml:space="preserve"> </w:t>
            </w:r>
            <w:r w:rsidRPr="00276D5E">
              <w:rPr>
                <w:rFonts w:ascii="Arial" w:hAnsi="Arial" w:cs="Arial"/>
                <w:sz w:val="20"/>
              </w:rPr>
              <w:t>have</w:t>
            </w:r>
            <w:r w:rsidRPr="00276D5E">
              <w:rPr>
                <w:rFonts w:ascii="Arial" w:hAnsi="Arial" w:cs="Arial"/>
                <w:spacing w:val="-3"/>
                <w:sz w:val="20"/>
              </w:rPr>
              <w:t xml:space="preserve"> </w:t>
            </w:r>
            <w:r w:rsidRPr="00276D5E">
              <w:rPr>
                <w:rFonts w:ascii="Arial" w:hAnsi="Arial" w:cs="Arial"/>
                <w:sz w:val="20"/>
              </w:rPr>
              <w:t>been</w:t>
            </w:r>
            <w:r w:rsidRPr="00276D5E">
              <w:rPr>
                <w:rFonts w:ascii="Arial" w:hAnsi="Arial" w:cs="Arial"/>
                <w:spacing w:val="-2"/>
                <w:sz w:val="20"/>
              </w:rPr>
              <w:t xml:space="preserve"> </w:t>
            </w:r>
            <w:r w:rsidRPr="00276D5E">
              <w:rPr>
                <w:rFonts w:ascii="Arial" w:hAnsi="Arial" w:cs="Arial"/>
                <w:sz w:val="20"/>
              </w:rPr>
              <w:t>performed</w:t>
            </w:r>
            <w:r w:rsidRPr="00276D5E">
              <w:rPr>
                <w:rFonts w:ascii="Arial" w:hAnsi="Arial" w:cs="Arial"/>
                <w:spacing w:val="-2"/>
                <w:sz w:val="20"/>
              </w:rPr>
              <w:t xml:space="preserve"> </w:t>
            </w:r>
            <w:r w:rsidRPr="00276D5E">
              <w:rPr>
                <w:rFonts w:ascii="Arial" w:hAnsi="Arial" w:cs="Arial"/>
                <w:sz w:val="20"/>
              </w:rPr>
              <w:t>in</w:t>
            </w:r>
            <w:r w:rsidRPr="00276D5E">
              <w:rPr>
                <w:rFonts w:ascii="Arial" w:hAnsi="Arial" w:cs="Arial"/>
                <w:spacing w:val="-1"/>
                <w:sz w:val="20"/>
              </w:rPr>
              <w:t xml:space="preserve"> </w:t>
            </w:r>
            <w:r w:rsidRPr="00276D5E">
              <w:rPr>
                <w:rFonts w:ascii="Arial" w:hAnsi="Arial" w:cs="Arial"/>
                <w:sz w:val="20"/>
              </w:rPr>
              <w:t>accordance</w:t>
            </w:r>
          </w:p>
          <w:p w14:paraId="31FC9A53"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with</w:t>
            </w:r>
            <w:r w:rsidRPr="00276D5E">
              <w:rPr>
                <w:rFonts w:ascii="Arial" w:hAnsi="Arial" w:cs="Arial"/>
                <w:spacing w:val="-3"/>
                <w:sz w:val="20"/>
              </w:rPr>
              <w:t xml:space="preserve"> </w:t>
            </w:r>
            <w:r w:rsidRPr="00276D5E">
              <w:rPr>
                <w:rFonts w:ascii="Arial" w:hAnsi="Arial" w:cs="Arial"/>
                <w:sz w:val="20"/>
              </w:rPr>
              <w:t>the</w:t>
            </w:r>
            <w:r w:rsidRPr="00276D5E">
              <w:rPr>
                <w:rFonts w:ascii="Arial" w:hAnsi="Arial" w:cs="Arial"/>
                <w:spacing w:val="-3"/>
                <w:sz w:val="20"/>
              </w:rPr>
              <w:t xml:space="preserve"> </w:t>
            </w:r>
            <w:r w:rsidRPr="00276D5E">
              <w:rPr>
                <w:rFonts w:ascii="Arial" w:hAnsi="Arial" w:cs="Arial"/>
                <w:sz w:val="20"/>
              </w:rPr>
              <w:t>declaration</w:t>
            </w:r>
          </w:p>
        </w:tc>
        <w:tc>
          <w:tcPr>
            <w:tcW w:w="1217" w:type="dxa"/>
          </w:tcPr>
          <w:p w14:paraId="42B93E9D" w14:textId="77777777" w:rsidR="00E60D05" w:rsidRPr="00276D5E" w:rsidRDefault="00E60D05" w:rsidP="009601C2">
            <w:pPr>
              <w:pStyle w:val="TableParagraph"/>
              <w:spacing w:line="276" w:lineRule="auto"/>
              <w:ind w:left="0"/>
              <w:rPr>
                <w:rFonts w:ascii="Arial" w:hAnsi="Arial" w:cs="Arial"/>
                <w:sz w:val="18"/>
              </w:rPr>
            </w:pPr>
          </w:p>
        </w:tc>
        <w:tc>
          <w:tcPr>
            <w:tcW w:w="1118" w:type="dxa"/>
          </w:tcPr>
          <w:p w14:paraId="57A3EC6B" w14:textId="77777777" w:rsidR="00E60D05" w:rsidRPr="00276D5E" w:rsidRDefault="00E60D05" w:rsidP="009601C2">
            <w:pPr>
              <w:pStyle w:val="TableParagraph"/>
              <w:spacing w:line="276" w:lineRule="auto"/>
              <w:ind w:left="0"/>
              <w:rPr>
                <w:rFonts w:ascii="Arial" w:hAnsi="Arial" w:cs="Arial"/>
                <w:sz w:val="18"/>
              </w:rPr>
            </w:pPr>
          </w:p>
        </w:tc>
        <w:tc>
          <w:tcPr>
            <w:tcW w:w="2395" w:type="dxa"/>
          </w:tcPr>
          <w:p w14:paraId="46B1A77A" w14:textId="77777777" w:rsidR="00E60D05" w:rsidRPr="00276D5E" w:rsidRDefault="00E60D05" w:rsidP="009601C2">
            <w:pPr>
              <w:pStyle w:val="TableParagraph"/>
              <w:spacing w:line="276" w:lineRule="auto"/>
              <w:ind w:left="0"/>
              <w:rPr>
                <w:rFonts w:ascii="Arial" w:hAnsi="Arial" w:cs="Arial"/>
                <w:sz w:val="18"/>
              </w:rPr>
            </w:pPr>
          </w:p>
        </w:tc>
      </w:tr>
      <w:tr w:rsidR="00E60D05" w:rsidRPr="00276D5E" w14:paraId="45A6647D" w14:textId="77777777" w:rsidTr="00E60D05">
        <w:trPr>
          <w:trHeight w:val="489"/>
        </w:trPr>
        <w:tc>
          <w:tcPr>
            <w:tcW w:w="4568" w:type="dxa"/>
          </w:tcPr>
          <w:p w14:paraId="576EECFB" w14:textId="77777777" w:rsidR="00E60D05" w:rsidRPr="00276D5E" w:rsidRDefault="00E60D05" w:rsidP="009601C2">
            <w:pPr>
              <w:pStyle w:val="TableParagraph"/>
              <w:spacing w:before="1" w:line="276" w:lineRule="auto"/>
              <w:ind w:left="57"/>
              <w:rPr>
                <w:rFonts w:ascii="Arial" w:hAnsi="Arial" w:cs="Arial"/>
                <w:sz w:val="20"/>
              </w:rPr>
            </w:pPr>
            <w:r w:rsidRPr="00276D5E">
              <w:rPr>
                <w:rFonts w:ascii="Arial" w:hAnsi="Arial" w:cs="Arial"/>
                <w:sz w:val="20"/>
              </w:rPr>
              <w:t>Changes</w:t>
            </w:r>
            <w:r w:rsidRPr="00276D5E">
              <w:rPr>
                <w:rFonts w:ascii="Arial" w:hAnsi="Arial" w:cs="Arial"/>
                <w:spacing w:val="-5"/>
                <w:sz w:val="20"/>
              </w:rPr>
              <w:t xml:space="preserve"> </w:t>
            </w:r>
            <w:r w:rsidRPr="00276D5E">
              <w:rPr>
                <w:rFonts w:ascii="Arial" w:hAnsi="Arial" w:cs="Arial"/>
                <w:sz w:val="20"/>
              </w:rPr>
              <w:t>have</w:t>
            </w:r>
            <w:r w:rsidRPr="00276D5E">
              <w:rPr>
                <w:rFonts w:ascii="Arial" w:hAnsi="Arial" w:cs="Arial"/>
                <w:spacing w:val="-3"/>
                <w:sz w:val="20"/>
              </w:rPr>
              <w:t xml:space="preserve"> </w:t>
            </w:r>
            <w:r w:rsidRPr="00276D5E">
              <w:rPr>
                <w:rFonts w:ascii="Arial" w:hAnsi="Arial" w:cs="Arial"/>
                <w:sz w:val="20"/>
              </w:rPr>
              <w:t>been</w:t>
            </w:r>
            <w:r w:rsidRPr="00276D5E">
              <w:rPr>
                <w:rFonts w:ascii="Arial" w:hAnsi="Arial" w:cs="Arial"/>
                <w:spacing w:val="-2"/>
                <w:sz w:val="20"/>
              </w:rPr>
              <w:t xml:space="preserve"> </w:t>
            </w:r>
            <w:r w:rsidRPr="00276D5E">
              <w:rPr>
                <w:rFonts w:ascii="Arial" w:hAnsi="Arial" w:cs="Arial"/>
                <w:sz w:val="20"/>
              </w:rPr>
              <w:t>properly</w:t>
            </w:r>
            <w:r w:rsidRPr="00276D5E">
              <w:rPr>
                <w:rFonts w:ascii="Arial" w:hAnsi="Arial" w:cs="Arial"/>
                <w:spacing w:val="1"/>
                <w:sz w:val="20"/>
              </w:rPr>
              <w:t xml:space="preserve"> </w:t>
            </w:r>
            <w:r w:rsidRPr="00276D5E">
              <w:rPr>
                <w:rFonts w:ascii="Arial" w:hAnsi="Arial" w:cs="Arial"/>
                <w:sz w:val="20"/>
              </w:rPr>
              <w:t>managed</w:t>
            </w:r>
            <w:r w:rsidRPr="00276D5E">
              <w:rPr>
                <w:rFonts w:ascii="Arial" w:hAnsi="Arial" w:cs="Arial"/>
                <w:spacing w:val="-3"/>
                <w:sz w:val="20"/>
              </w:rPr>
              <w:t xml:space="preserve"> </w:t>
            </w:r>
            <w:r w:rsidRPr="00276D5E">
              <w:rPr>
                <w:rFonts w:ascii="Arial" w:hAnsi="Arial" w:cs="Arial"/>
                <w:sz w:val="20"/>
              </w:rPr>
              <w:t>in</w:t>
            </w:r>
          </w:p>
          <w:p w14:paraId="55862CE1"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accordance</w:t>
            </w:r>
            <w:r w:rsidRPr="00276D5E">
              <w:rPr>
                <w:rFonts w:ascii="Arial" w:hAnsi="Arial" w:cs="Arial"/>
                <w:spacing w:val="-4"/>
                <w:sz w:val="20"/>
              </w:rPr>
              <w:t xml:space="preserve"> </w:t>
            </w:r>
            <w:r w:rsidRPr="00276D5E">
              <w:rPr>
                <w:rFonts w:ascii="Arial" w:hAnsi="Arial" w:cs="Arial"/>
                <w:sz w:val="20"/>
              </w:rPr>
              <w:t>with</w:t>
            </w:r>
            <w:r w:rsidRPr="00276D5E">
              <w:rPr>
                <w:rFonts w:ascii="Arial" w:hAnsi="Arial" w:cs="Arial"/>
                <w:spacing w:val="-1"/>
                <w:sz w:val="20"/>
              </w:rPr>
              <w:t xml:space="preserve"> </w:t>
            </w:r>
            <w:r w:rsidRPr="00276D5E">
              <w:rPr>
                <w:rFonts w:ascii="Arial" w:hAnsi="Arial" w:cs="Arial"/>
                <w:sz w:val="20"/>
              </w:rPr>
              <w:t>the</w:t>
            </w:r>
            <w:r w:rsidRPr="00276D5E">
              <w:rPr>
                <w:rFonts w:ascii="Arial" w:hAnsi="Arial" w:cs="Arial"/>
                <w:spacing w:val="-3"/>
                <w:sz w:val="20"/>
              </w:rPr>
              <w:t xml:space="preserve"> </w:t>
            </w:r>
            <w:r w:rsidRPr="00276D5E">
              <w:rPr>
                <w:rFonts w:ascii="Arial" w:hAnsi="Arial" w:cs="Arial"/>
                <w:sz w:val="20"/>
              </w:rPr>
              <w:t>defined</w:t>
            </w:r>
            <w:r w:rsidRPr="00276D5E">
              <w:rPr>
                <w:rFonts w:ascii="Arial" w:hAnsi="Arial" w:cs="Arial"/>
                <w:spacing w:val="-1"/>
                <w:sz w:val="20"/>
              </w:rPr>
              <w:t xml:space="preserve"> </w:t>
            </w:r>
            <w:r w:rsidRPr="00276D5E">
              <w:rPr>
                <w:rFonts w:ascii="Arial" w:hAnsi="Arial" w:cs="Arial"/>
                <w:sz w:val="20"/>
              </w:rPr>
              <w:t>process</w:t>
            </w:r>
          </w:p>
        </w:tc>
        <w:tc>
          <w:tcPr>
            <w:tcW w:w="1217" w:type="dxa"/>
          </w:tcPr>
          <w:p w14:paraId="17748976" w14:textId="77777777" w:rsidR="00E60D05" w:rsidRPr="00276D5E" w:rsidRDefault="00E60D05" w:rsidP="009601C2">
            <w:pPr>
              <w:pStyle w:val="TableParagraph"/>
              <w:spacing w:line="276" w:lineRule="auto"/>
              <w:ind w:left="0"/>
              <w:rPr>
                <w:rFonts w:ascii="Arial" w:hAnsi="Arial" w:cs="Arial"/>
                <w:sz w:val="18"/>
              </w:rPr>
            </w:pPr>
          </w:p>
        </w:tc>
        <w:tc>
          <w:tcPr>
            <w:tcW w:w="1118" w:type="dxa"/>
          </w:tcPr>
          <w:p w14:paraId="6CCA1F8C" w14:textId="77777777" w:rsidR="00E60D05" w:rsidRPr="00276D5E" w:rsidRDefault="00E60D05" w:rsidP="009601C2">
            <w:pPr>
              <w:pStyle w:val="TableParagraph"/>
              <w:spacing w:line="276" w:lineRule="auto"/>
              <w:ind w:left="0"/>
              <w:rPr>
                <w:rFonts w:ascii="Arial" w:hAnsi="Arial" w:cs="Arial"/>
                <w:sz w:val="18"/>
              </w:rPr>
            </w:pPr>
          </w:p>
        </w:tc>
        <w:tc>
          <w:tcPr>
            <w:tcW w:w="2395" w:type="dxa"/>
          </w:tcPr>
          <w:p w14:paraId="21293A18" w14:textId="77777777" w:rsidR="00E60D05" w:rsidRPr="00276D5E" w:rsidRDefault="00E60D05" w:rsidP="009601C2">
            <w:pPr>
              <w:pStyle w:val="TableParagraph"/>
              <w:spacing w:line="276" w:lineRule="auto"/>
              <w:ind w:left="0"/>
              <w:rPr>
                <w:rFonts w:ascii="Arial" w:hAnsi="Arial" w:cs="Arial"/>
                <w:sz w:val="18"/>
              </w:rPr>
            </w:pPr>
          </w:p>
        </w:tc>
      </w:tr>
      <w:tr w:rsidR="00E60D05" w:rsidRPr="00276D5E" w14:paraId="49682AF2" w14:textId="77777777" w:rsidTr="00E60D05">
        <w:trPr>
          <w:trHeight w:val="244"/>
        </w:trPr>
        <w:tc>
          <w:tcPr>
            <w:tcW w:w="9298" w:type="dxa"/>
            <w:gridSpan w:val="4"/>
          </w:tcPr>
          <w:p w14:paraId="1B69EAFA" w14:textId="77777777" w:rsidR="00E60D05" w:rsidRPr="00276D5E" w:rsidRDefault="00E60D05" w:rsidP="009601C2">
            <w:pPr>
              <w:pStyle w:val="TableParagraph"/>
              <w:spacing w:line="276" w:lineRule="auto"/>
              <w:ind w:left="57"/>
              <w:rPr>
                <w:rFonts w:ascii="Arial" w:hAnsi="Arial" w:cs="Arial"/>
                <w:b/>
                <w:sz w:val="20"/>
              </w:rPr>
            </w:pPr>
            <w:r w:rsidRPr="00276D5E">
              <w:rPr>
                <w:rFonts w:ascii="Arial" w:hAnsi="Arial" w:cs="Arial"/>
                <w:b/>
                <w:sz w:val="20"/>
              </w:rPr>
              <w:t>Flight</w:t>
            </w:r>
            <w:r w:rsidRPr="00276D5E">
              <w:rPr>
                <w:rFonts w:ascii="Arial" w:hAnsi="Arial" w:cs="Arial"/>
                <w:b/>
                <w:spacing w:val="-3"/>
                <w:sz w:val="20"/>
              </w:rPr>
              <w:t xml:space="preserve"> </w:t>
            </w:r>
            <w:r w:rsidRPr="00276D5E">
              <w:rPr>
                <w:rFonts w:ascii="Arial" w:hAnsi="Arial" w:cs="Arial"/>
                <w:b/>
                <w:sz w:val="20"/>
              </w:rPr>
              <w:t>operations</w:t>
            </w:r>
          </w:p>
        </w:tc>
      </w:tr>
      <w:tr w:rsidR="00E60D05" w:rsidRPr="00276D5E" w14:paraId="23CC1320" w14:textId="77777777" w:rsidTr="00E60D05">
        <w:trPr>
          <w:trHeight w:val="244"/>
        </w:trPr>
        <w:tc>
          <w:tcPr>
            <w:tcW w:w="4568" w:type="dxa"/>
          </w:tcPr>
          <w:p w14:paraId="3C44739C"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Balloon</w:t>
            </w:r>
            <w:r w:rsidRPr="00276D5E">
              <w:rPr>
                <w:rFonts w:ascii="Arial" w:hAnsi="Arial" w:cs="Arial"/>
                <w:spacing w:val="-2"/>
                <w:sz w:val="20"/>
              </w:rPr>
              <w:t xml:space="preserve"> </w:t>
            </w:r>
            <w:r w:rsidRPr="00276D5E">
              <w:rPr>
                <w:rFonts w:ascii="Arial" w:hAnsi="Arial" w:cs="Arial"/>
                <w:sz w:val="20"/>
              </w:rPr>
              <w:t>checklists</w:t>
            </w:r>
            <w:r w:rsidRPr="00276D5E">
              <w:rPr>
                <w:rFonts w:ascii="Arial" w:hAnsi="Arial" w:cs="Arial"/>
                <w:spacing w:val="-4"/>
                <w:sz w:val="20"/>
              </w:rPr>
              <w:t xml:space="preserve"> </w:t>
            </w:r>
            <w:r w:rsidRPr="00276D5E">
              <w:rPr>
                <w:rFonts w:ascii="Arial" w:hAnsi="Arial" w:cs="Arial"/>
                <w:sz w:val="20"/>
              </w:rPr>
              <w:t>checked</w:t>
            </w:r>
            <w:r w:rsidRPr="00276D5E">
              <w:rPr>
                <w:rFonts w:ascii="Arial" w:hAnsi="Arial" w:cs="Arial"/>
                <w:spacing w:val="-1"/>
                <w:sz w:val="20"/>
              </w:rPr>
              <w:t xml:space="preserve"> </w:t>
            </w:r>
            <w:r w:rsidRPr="00276D5E">
              <w:rPr>
                <w:rFonts w:ascii="Arial" w:hAnsi="Arial" w:cs="Arial"/>
                <w:sz w:val="20"/>
              </w:rPr>
              <w:t>for accuracy</w:t>
            </w:r>
            <w:r w:rsidRPr="00276D5E">
              <w:rPr>
                <w:rFonts w:ascii="Arial" w:hAnsi="Arial" w:cs="Arial"/>
                <w:spacing w:val="-1"/>
                <w:sz w:val="20"/>
              </w:rPr>
              <w:t xml:space="preserve"> </w:t>
            </w:r>
            <w:r w:rsidRPr="00276D5E">
              <w:rPr>
                <w:rFonts w:ascii="Arial" w:hAnsi="Arial" w:cs="Arial"/>
                <w:sz w:val="20"/>
              </w:rPr>
              <w:t>and</w:t>
            </w:r>
            <w:r w:rsidRPr="00276D5E">
              <w:rPr>
                <w:rFonts w:ascii="Arial" w:hAnsi="Arial" w:cs="Arial"/>
                <w:spacing w:val="-2"/>
                <w:sz w:val="20"/>
              </w:rPr>
              <w:t xml:space="preserve"> </w:t>
            </w:r>
            <w:r w:rsidRPr="00276D5E">
              <w:rPr>
                <w:rFonts w:ascii="Arial" w:hAnsi="Arial" w:cs="Arial"/>
                <w:sz w:val="20"/>
              </w:rPr>
              <w:t>validity</w:t>
            </w:r>
          </w:p>
        </w:tc>
        <w:tc>
          <w:tcPr>
            <w:tcW w:w="1217" w:type="dxa"/>
          </w:tcPr>
          <w:p w14:paraId="2913FE84" w14:textId="77777777" w:rsidR="00E60D05" w:rsidRPr="00276D5E" w:rsidRDefault="00E60D05" w:rsidP="009601C2">
            <w:pPr>
              <w:pStyle w:val="TableParagraph"/>
              <w:spacing w:line="276" w:lineRule="auto"/>
              <w:ind w:left="0"/>
              <w:rPr>
                <w:rFonts w:ascii="Arial" w:hAnsi="Arial" w:cs="Arial"/>
                <w:sz w:val="16"/>
              </w:rPr>
            </w:pPr>
          </w:p>
        </w:tc>
        <w:tc>
          <w:tcPr>
            <w:tcW w:w="1118" w:type="dxa"/>
          </w:tcPr>
          <w:p w14:paraId="7F17D56E" w14:textId="77777777" w:rsidR="00E60D05" w:rsidRPr="00276D5E" w:rsidRDefault="00E60D05" w:rsidP="009601C2">
            <w:pPr>
              <w:pStyle w:val="TableParagraph"/>
              <w:spacing w:line="276" w:lineRule="auto"/>
              <w:ind w:left="0"/>
              <w:rPr>
                <w:rFonts w:ascii="Arial" w:hAnsi="Arial" w:cs="Arial"/>
                <w:sz w:val="16"/>
              </w:rPr>
            </w:pPr>
          </w:p>
        </w:tc>
        <w:tc>
          <w:tcPr>
            <w:tcW w:w="2395" w:type="dxa"/>
          </w:tcPr>
          <w:p w14:paraId="5063E81A" w14:textId="77777777" w:rsidR="00E60D05" w:rsidRPr="00276D5E" w:rsidRDefault="00E60D05" w:rsidP="009601C2">
            <w:pPr>
              <w:pStyle w:val="TableParagraph"/>
              <w:spacing w:line="276" w:lineRule="auto"/>
              <w:ind w:left="0"/>
              <w:rPr>
                <w:rFonts w:ascii="Arial" w:hAnsi="Arial" w:cs="Arial"/>
                <w:sz w:val="16"/>
              </w:rPr>
            </w:pPr>
          </w:p>
        </w:tc>
      </w:tr>
      <w:tr w:rsidR="00E60D05" w:rsidRPr="00276D5E" w14:paraId="38F37AB6" w14:textId="77777777" w:rsidTr="00E60D05">
        <w:trPr>
          <w:trHeight w:val="486"/>
        </w:trPr>
        <w:tc>
          <w:tcPr>
            <w:tcW w:w="4568" w:type="dxa"/>
          </w:tcPr>
          <w:p w14:paraId="670678C1"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Flight</w:t>
            </w:r>
            <w:r w:rsidRPr="00276D5E">
              <w:rPr>
                <w:rFonts w:ascii="Arial" w:hAnsi="Arial" w:cs="Arial"/>
                <w:spacing w:val="-3"/>
                <w:sz w:val="20"/>
              </w:rPr>
              <w:t xml:space="preserve"> </w:t>
            </w:r>
            <w:r w:rsidRPr="00276D5E">
              <w:rPr>
                <w:rFonts w:ascii="Arial" w:hAnsi="Arial" w:cs="Arial"/>
                <w:sz w:val="20"/>
              </w:rPr>
              <w:t>plans</w:t>
            </w:r>
            <w:r w:rsidRPr="00276D5E">
              <w:rPr>
                <w:rFonts w:ascii="Arial" w:hAnsi="Arial" w:cs="Arial"/>
                <w:spacing w:val="-4"/>
                <w:sz w:val="20"/>
              </w:rPr>
              <w:t xml:space="preserve"> </w:t>
            </w:r>
            <w:r w:rsidRPr="00276D5E">
              <w:rPr>
                <w:rFonts w:ascii="Arial" w:hAnsi="Arial" w:cs="Arial"/>
                <w:sz w:val="20"/>
              </w:rPr>
              <w:t>checked</w:t>
            </w:r>
            <w:r w:rsidRPr="00276D5E">
              <w:rPr>
                <w:rFonts w:ascii="Arial" w:hAnsi="Arial" w:cs="Arial"/>
                <w:spacing w:val="1"/>
                <w:sz w:val="20"/>
              </w:rPr>
              <w:t xml:space="preserve"> </w:t>
            </w:r>
            <w:r w:rsidRPr="00276D5E">
              <w:rPr>
                <w:rFonts w:ascii="Arial" w:hAnsi="Arial" w:cs="Arial"/>
                <w:sz w:val="20"/>
              </w:rPr>
              <w:t>for</w:t>
            </w:r>
            <w:r w:rsidRPr="00276D5E">
              <w:rPr>
                <w:rFonts w:ascii="Arial" w:hAnsi="Arial" w:cs="Arial"/>
                <w:spacing w:val="-2"/>
                <w:sz w:val="20"/>
              </w:rPr>
              <w:t xml:space="preserve"> </w:t>
            </w:r>
            <w:r w:rsidRPr="00276D5E">
              <w:rPr>
                <w:rFonts w:ascii="Arial" w:hAnsi="Arial" w:cs="Arial"/>
                <w:sz w:val="20"/>
              </w:rPr>
              <w:t>proper</w:t>
            </w:r>
            <w:r w:rsidRPr="00276D5E">
              <w:rPr>
                <w:rFonts w:ascii="Arial" w:hAnsi="Arial" w:cs="Arial"/>
                <w:spacing w:val="-2"/>
                <w:sz w:val="20"/>
              </w:rPr>
              <w:t xml:space="preserve"> </w:t>
            </w:r>
            <w:r w:rsidRPr="00276D5E">
              <w:rPr>
                <w:rFonts w:ascii="Arial" w:hAnsi="Arial" w:cs="Arial"/>
                <w:sz w:val="20"/>
              </w:rPr>
              <w:t>and</w:t>
            </w:r>
            <w:r w:rsidRPr="00276D5E">
              <w:rPr>
                <w:rFonts w:ascii="Arial" w:hAnsi="Arial" w:cs="Arial"/>
                <w:spacing w:val="-2"/>
                <w:sz w:val="20"/>
              </w:rPr>
              <w:t xml:space="preserve"> </w:t>
            </w:r>
            <w:r w:rsidRPr="00276D5E">
              <w:rPr>
                <w:rFonts w:ascii="Arial" w:hAnsi="Arial" w:cs="Arial"/>
                <w:sz w:val="20"/>
              </w:rPr>
              <w:t>correct</w:t>
            </w:r>
          </w:p>
          <w:p w14:paraId="7E5384E9"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information</w:t>
            </w:r>
          </w:p>
        </w:tc>
        <w:tc>
          <w:tcPr>
            <w:tcW w:w="1217" w:type="dxa"/>
          </w:tcPr>
          <w:p w14:paraId="651EE810" w14:textId="77777777" w:rsidR="00E60D05" w:rsidRPr="00276D5E" w:rsidRDefault="00E60D05" w:rsidP="009601C2">
            <w:pPr>
              <w:pStyle w:val="TableParagraph"/>
              <w:spacing w:line="276" w:lineRule="auto"/>
              <w:ind w:left="0"/>
              <w:rPr>
                <w:rFonts w:ascii="Arial" w:hAnsi="Arial" w:cs="Arial"/>
                <w:sz w:val="18"/>
              </w:rPr>
            </w:pPr>
          </w:p>
        </w:tc>
        <w:tc>
          <w:tcPr>
            <w:tcW w:w="1118" w:type="dxa"/>
          </w:tcPr>
          <w:p w14:paraId="6DB98CBF" w14:textId="77777777" w:rsidR="00E60D05" w:rsidRPr="00276D5E" w:rsidRDefault="00E60D05" w:rsidP="009601C2">
            <w:pPr>
              <w:pStyle w:val="TableParagraph"/>
              <w:spacing w:line="276" w:lineRule="auto"/>
              <w:ind w:left="0"/>
              <w:rPr>
                <w:rFonts w:ascii="Arial" w:hAnsi="Arial" w:cs="Arial"/>
                <w:sz w:val="18"/>
              </w:rPr>
            </w:pPr>
          </w:p>
        </w:tc>
        <w:tc>
          <w:tcPr>
            <w:tcW w:w="2395" w:type="dxa"/>
          </w:tcPr>
          <w:p w14:paraId="02595A8D" w14:textId="77777777" w:rsidR="00E60D05" w:rsidRPr="00276D5E" w:rsidRDefault="00E60D05" w:rsidP="009601C2">
            <w:pPr>
              <w:pStyle w:val="TableParagraph"/>
              <w:spacing w:line="276" w:lineRule="auto"/>
              <w:ind w:left="0"/>
              <w:rPr>
                <w:rFonts w:ascii="Arial" w:hAnsi="Arial" w:cs="Arial"/>
                <w:sz w:val="18"/>
              </w:rPr>
            </w:pPr>
          </w:p>
        </w:tc>
      </w:tr>
      <w:tr w:rsidR="00E60D05" w:rsidRPr="00276D5E" w14:paraId="6A065EE9" w14:textId="77777777" w:rsidTr="00E60D05">
        <w:trPr>
          <w:trHeight w:val="244"/>
        </w:trPr>
        <w:tc>
          <w:tcPr>
            <w:tcW w:w="9298" w:type="dxa"/>
            <w:gridSpan w:val="4"/>
          </w:tcPr>
          <w:p w14:paraId="6FB76764" w14:textId="77777777" w:rsidR="00E60D05" w:rsidRPr="00276D5E" w:rsidRDefault="00E60D05" w:rsidP="009601C2">
            <w:pPr>
              <w:pStyle w:val="TableParagraph"/>
              <w:spacing w:before="1" w:line="276" w:lineRule="auto"/>
              <w:ind w:left="57"/>
              <w:rPr>
                <w:rFonts w:ascii="Arial" w:hAnsi="Arial" w:cs="Arial"/>
                <w:b/>
                <w:sz w:val="20"/>
              </w:rPr>
            </w:pPr>
            <w:r w:rsidRPr="00276D5E">
              <w:rPr>
                <w:rFonts w:ascii="Arial" w:hAnsi="Arial" w:cs="Arial"/>
                <w:b/>
                <w:sz w:val="20"/>
              </w:rPr>
              <w:t>Ground</w:t>
            </w:r>
            <w:r w:rsidRPr="00276D5E">
              <w:rPr>
                <w:rFonts w:ascii="Arial" w:hAnsi="Arial" w:cs="Arial"/>
                <w:b/>
                <w:spacing w:val="-5"/>
                <w:sz w:val="20"/>
              </w:rPr>
              <w:t xml:space="preserve"> </w:t>
            </w:r>
            <w:r w:rsidRPr="00276D5E">
              <w:rPr>
                <w:rFonts w:ascii="Arial" w:hAnsi="Arial" w:cs="Arial"/>
                <w:b/>
                <w:sz w:val="20"/>
              </w:rPr>
              <w:t>handling</w:t>
            </w:r>
          </w:p>
        </w:tc>
      </w:tr>
      <w:tr w:rsidR="00E60D05" w:rsidRPr="00276D5E" w14:paraId="19D19FAC" w14:textId="77777777" w:rsidTr="00E60D05">
        <w:trPr>
          <w:trHeight w:val="244"/>
        </w:trPr>
        <w:tc>
          <w:tcPr>
            <w:tcW w:w="4568" w:type="dxa"/>
          </w:tcPr>
          <w:p w14:paraId="11740CF4" w14:textId="77777777" w:rsidR="00E60D05" w:rsidRPr="00276D5E" w:rsidRDefault="00E60D05" w:rsidP="009601C2">
            <w:pPr>
              <w:pStyle w:val="TableParagraph"/>
              <w:spacing w:before="1" w:line="276" w:lineRule="auto"/>
              <w:ind w:left="57"/>
              <w:rPr>
                <w:rFonts w:ascii="Arial" w:hAnsi="Arial" w:cs="Arial"/>
                <w:sz w:val="20"/>
              </w:rPr>
            </w:pPr>
            <w:r w:rsidRPr="00276D5E">
              <w:rPr>
                <w:rFonts w:ascii="Arial" w:hAnsi="Arial" w:cs="Arial"/>
                <w:sz w:val="20"/>
              </w:rPr>
              <w:t>Instructions</w:t>
            </w:r>
            <w:r w:rsidRPr="00276D5E">
              <w:rPr>
                <w:rFonts w:ascii="Arial" w:hAnsi="Arial" w:cs="Arial"/>
                <w:spacing w:val="-5"/>
                <w:sz w:val="20"/>
              </w:rPr>
              <w:t xml:space="preserve"> </w:t>
            </w:r>
            <w:r w:rsidRPr="00276D5E">
              <w:rPr>
                <w:rFonts w:ascii="Arial" w:hAnsi="Arial" w:cs="Arial"/>
                <w:sz w:val="20"/>
              </w:rPr>
              <w:t>regarding</w:t>
            </w:r>
            <w:r w:rsidRPr="00276D5E">
              <w:rPr>
                <w:rFonts w:ascii="Arial" w:hAnsi="Arial" w:cs="Arial"/>
                <w:spacing w:val="-1"/>
                <w:sz w:val="20"/>
              </w:rPr>
              <w:t xml:space="preserve"> </w:t>
            </w:r>
            <w:r w:rsidRPr="00276D5E">
              <w:rPr>
                <w:rFonts w:ascii="Arial" w:hAnsi="Arial" w:cs="Arial"/>
                <w:sz w:val="20"/>
              </w:rPr>
              <w:t>fuelling,</w:t>
            </w:r>
            <w:r w:rsidRPr="00276D5E">
              <w:rPr>
                <w:rFonts w:ascii="Arial" w:hAnsi="Arial" w:cs="Arial"/>
                <w:spacing w:val="-2"/>
                <w:sz w:val="20"/>
              </w:rPr>
              <w:t xml:space="preserve"> </w:t>
            </w:r>
            <w:r w:rsidRPr="00276D5E">
              <w:rPr>
                <w:rFonts w:ascii="Arial" w:hAnsi="Arial" w:cs="Arial"/>
                <w:sz w:val="20"/>
              </w:rPr>
              <w:t>if</w:t>
            </w:r>
            <w:r w:rsidRPr="00276D5E">
              <w:rPr>
                <w:rFonts w:ascii="Arial" w:hAnsi="Arial" w:cs="Arial"/>
                <w:spacing w:val="-3"/>
                <w:sz w:val="20"/>
              </w:rPr>
              <w:t xml:space="preserve"> </w:t>
            </w:r>
            <w:r w:rsidRPr="00276D5E">
              <w:rPr>
                <w:rFonts w:ascii="Arial" w:hAnsi="Arial" w:cs="Arial"/>
                <w:sz w:val="20"/>
              </w:rPr>
              <w:t>applicable</w:t>
            </w:r>
          </w:p>
        </w:tc>
        <w:tc>
          <w:tcPr>
            <w:tcW w:w="1217" w:type="dxa"/>
          </w:tcPr>
          <w:p w14:paraId="2C21AD3B" w14:textId="77777777" w:rsidR="00E60D05" w:rsidRPr="00276D5E" w:rsidRDefault="00E60D05" w:rsidP="009601C2">
            <w:pPr>
              <w:pStyle w:val="TableParagraph"/>
              <w:spacing w:line="276" w:lineRule="auto"/>
              <w:ind w:left="0"/>
              <w:rPr>
                <w:rFonts w:ascii="Arial" w:hAnsi="Arial" w:cs="Arial"/>
                <w:sz w:val="16"/>
              </w:rPr>
            </w:pPr>
          </w:p>
        </w:tc>
        <w:tc>
          <w:tcPr>
            <w:tcW w:w="1118" w:type="dxa"/>
          </w:tcPr>
          <w:p w14:paraId="22FF79F1" w14:textId="77777777" w:rsidR="00E60D05" w:rsidRPr="00276D5E" w:rsidRDefault="00E60D05" w:rsidP="009601C2">
            <w:pPr>
              <w:pStyle w:val="TableParagraph"/>
              <w:spacing w:line="276" w:lineRule="auto"/>
              <w:ind w:left="0"/>
              <w:rPr>
                <w:rFonts w:ascii="Arial" w:hAnsi="Arial" w:cs="Arial"/>
                <w:sz w:val="16"/>
              </w:rPr>
            </w:pPr>
          </w:p>
        </w:tc>
        <w:tc>
          <w:tcPr>
            <w:tcW w:w="2395" w:type="dxa"/>
          </w:tcPr>
          <w:p w14:paraId="3DF5CD4C" w14:textId="77777777" w:rsidR="00E60D05" w:rsidRPr="00276D5E" w:rsidRDefault="00E60D05" w:rsidP="009601C2">
            <w:pPr>
              <w:pStyle w:val="TableParagraph"/>
              <w:spacing w:line="276" w:lineRule="auto"/>
              <w:ind w:left="0"/>
              <w:rPr>
                <w:rFonts w:ascii="Arial" w:hAnsi="Arial" w:cs="Arial"/>
                <w:sz w:val="16"/>
              </w:rPr>
            </w:pPr>
          </w:p>
        </w:tc>
      </w:tr>
      <w:tr w:rsidR="00E60D05" w:rsidRPr="00276D5E" w14:paraId="5AA61A85" w14:textId="77777777" w:rsidTr="00E60D05">
        <w:trPr>
          <w:trHeight w:val="489"/>
        </w:trPr>
        <w:tc>
          <w:tcPr>
            <w:tcW w:w="4568" w:type="dxa"/>
          </w:tcPr>
          <w:p w14:paraId="19E752C4"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Instructions</w:t>
            </w:r>
            <w:r w:rsidRPr="00276D5E">
              <w:rPr>
                <w:rFonts w:ascii="Arial" w:hAnsi="Arial" w:cs="Arial"/>
                <w:spacing w:val="-5"/>
                <w:sz w:val="20"/>
              </w:rPr>
              <w:t xml:space="preserve"> </w:t>
            </w:r>
            <w:r w:rsidRPr="00276D5E">
              <w:rPr>
                <w:rFonts w:ascii="Arial" w:hAnsi="Arial" w:cs="Arial"/>
                <w:sz w:val="20"/>
              </w:rPr>
              <w:t>regarding</w:t>
            </w:r>
            <w:r w:rsidRPr="00276D5E">
              <w:rPr>
                <w:rFonts w:ascii="Arial" w:hAnsi="Arial" w:cs="Arial"/>
                <w:spacing w:val="-3"/>
                <w:sz w:val="20"/>
              </w:rPr>
              <w:t xml:space="preserve"> </w:t>
            </w:r>
            <w:r w:rsidRPr="00276D5E">
              <w:rPr>
                <w:rFonts w:ascii="Arial" w:hAnsi="Arial" w:cs="Arial"/>
                <w:sz w:val="20"/>
              </w:rPr>
              <w:t>dangerous</w:t>
            </w:r>
            <w:r w:rsidRPr="00276D5E">
              <w:rPr>
                <w:rFonts w:ascii="Arial" w:hAnsi="Arial" w:cs="Arial"/>
                <w:spacing w:val="-4"/>
                <w:sz w:val="20"/>
              </w:rPr>
              <w:t xml:space="preserve"> </w:t>
            </w:r>
            <w:r w:rsidRPr="00276D5E">
              <w:rPr>
                <w:rFonts w:ascii="Arial" w:hAnsi="Arial" w:cs="Arial"/>
                <w:sz w:val="20"/>
              </w:rPr>
              <w:t>goods</w:t>
            </w:r>
            <w:r w:rsidRPr="00276D5E">
              <w:rPr>
                <w:rFonts w:ascii="Arial" w:hAnsi="Arial" w:cs="Arial"/>
                <w:spacing w:val="-4"/>
                <w:sz w:val="20"/>
              </w:rPr>
              <w:t xml:space="preserve"> </w:t>
            </w:r>
            <w:r w:rsidRPr="00276D5E">
              <w:rPr>
                <w:rFonts w:ascii="Arial" w:hAnsi="Arial" w:cs="Arial"/>
                <w:sz w:val="20"/>
              </w:rPr>
              <w:t>issued</w:t>
            </w:r>
            <w:r w:rsidRPr="00276D5E">
              <w:rPr>
                <w:rFonts w:ascii="Arial" w:hAnsi="Arial" w:cs="Arial"/>
                <w:spacing w:val="-2"/>
                <w:sz w:val="20"/>
              </w:rPr>
              <w:t xml:space="preserve"> </w:t>
            </w:r>
            <w:r w:rsidRPr="00276D5E">
              <w:rPr>
                <w:rFonts w:ascii="Arial" w:hAnsi="Arial" w:cs="Arial"/>
                <w:sz w:val="20"/>
              </w:rPr>
              <w:t>and</w:t>
            </w:r>
          </w:p>
          <w:p w14:paraId="5A5EF567"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known</w:t>
            </w:r>
            <w:r w:rsidRPr="00276D5E">
              <w:rPr>
                <w:rFonts w:ascii="Arial" w:hAnsi="Arial" w:cs="Arial"/>
                <w:spacing w:val="-2"/>
                <w:sz w:val="20"/>
              </w:rPr>
              <w:t xml:space="preserve"> </w:t>
            </w:r>
            <w:r w:rsidRPr="00276D5E">
              <w:rPr>
                <w:rFonts w:ascii="Arial" w:hAnsi="Arial" w:cs="Arial"/>
                <w:sz w:val="20"/>
              </w:rPr>
              <w:t>by</w:t>
            </w:r>
            <w:r w:rsidRPr="00276D5E">
              <w:rPr>
                <w:rFonts w:ascii="Arial" w:hAnsi="Arial" w:cs="Arial"/>
                <w:spacing w:val="-2"/>
                <w:sz w:val="20"/>
              </w:rPr>
              <w:t xml:space="preserve"> </w:t>
            </w:r>
            <w:r w:rsidRPr="00276D5E">
              <w:rPr>
                <w:rFonts w:ascii="Arial" w:hAnsi="Arial" w:cs="Arial"/>
                <w:sz w:val="20"/>
              </w:rPr>
              <w:t>all</w:t>
            </w:r>
            <w:r w:rsidRPr="00276D5E">
              <w:rPr>
                <w:rFonts w:ascii="Arial" w:hAnsi="Arial" w:cs="Arial"/>
                <w:spacing w:val="-2"/>
                <w:sz w:val="20"/>
              </w:rPr>
              <w:t xml:space="preserve"> </w:t>
            </w:r>
            <w:r w:rsidRPr="00276D5E">
              <w:rPr>
                <w:rFonts w:ascii="Arial" w:hAnsi="Arial" w:cs="Arial"/>
                <w:sz w:val="20"/>
              </w:rPr>
              <w:t>relevant</w:t>
            </w:r>
            <w:r w:rsidRPr="00276D5E">
              <w:rPr>
                <w:rFonts w:ascii="Arial" w:hAnsi="Arial" w:cs="Arial"/>
                <w:spacing w:val="-2"/>
                <w:sz w:val="20"/>
              </w:rPr>
              <w:t xml:space="preserve"> </w:t>
            </w:r>
            <w:r w:rsidRPr="00276D5E">
              <w:rPr>
                <w:rFonts w:ascii="Arial" w:hAnsi="Arial" w:cs="Arial"/>
                <w:sz w:val="20"/>
              </w:rPr>
              <w:t>personnel,</w:t>
            </w:r>
            <w:r w:rsidRPr="00276D5E">
              <w:rPr>
                <w:rFonts w:ascii="Arial" w:hAnsi="Arial" w:cs="Arial"/>
                <w:spacing w:val="-2"/>
                <w:sz w:val="20"/>
              </w:rPr>
              <w:t xml:space="preserve"> </w:t>
            </w:r>
            <w:r w:rsidRPr="00276D5E">
              <w:rPr>
                <w:rFonts w:ascii="Arial" w:hAnsi="Arial" w:cs="Arial"/>
                <w:sz w:val="20"/>
              </w:rPr>
              <w:t>if</w:t>
            </w:r>
            <w:r w:rsidRPr="00276D5E">
              <w:rPr>
                <w:rFonts w:ascii="Arial" w:hAnsi="Arial" w:cs="Arial"/>
                <w:spacing w:val="-3"/>
                <w:sz w:val="20"/>
              </w:rPr>
              <w:t xml:space="preserve"> </w:t>
            </w:r>
            <w:r w:rsidRPr="00276D5E">
              <w:rPr>
                <w:rFonts w:ascii="Arial" w:hAnsi="Arial" w:cs="Arial"/>
                <w:sz w:val="20"/>
              </w:rPr>
              <w:t>applicable</w:t>
            </w:r>
          </w:p>
        </w:tc>
        <w:tc>
          <w:tcPr>
            <w:tcW w:w="1217" w:type="dxa"/>
          </w:tcPr>
          <w:p w14:paraId="07F96636" w14:textId="77777777" w:rsidR="00E60D05" w:rsidRPr="00276D5E" w:rsidRDefault="00E60D05" w:rsidP="009601C2">
            <w:pPr>
              <w:pStyle w:val="TableParagraph"/>
              <w:spacing w:line="276" w:lineRule="auto"/>
              <w:ind w:left="0"/>
              <w:rPr>
                <w:rFonts w:ascii="Arial" w:hAnsi="Arial" w:cs="Arial"/>
                <w:sz w:val="18"/>
              </w:rPr>
            </w:pPr>
          </w:p>
        </w:tc>
        <w:tc>
          <w:tcPr>
            <w:tcW w:w="1118" w:type="dxa"/>
          </w:tcPr>
          <w:p w14:paraId="05D2C76A" w14:textId="77777777" w:rsidR="00E60D05" w:rsidRPr="00276D5E" w:rsidRDefault="00E60D05" w:rsidP="009601C2">
            <w:pPr>
              <w:pStyle w:val="TableParagraph"/>
              <w:spacing w:line="276" w:lineRule="auto"/>
              <w:ind w:left="0"/>
              <w:rPr>
                <w:rFonts w:ascii="Arial" w:hAnsi="Arial" w:cs="Arial"/>
                <w:sz w:val="18"/>
              </w:rPr>
            </w:pPr>
          </w:p>
        </w:tc>
        <w:tc>
          <w:tcPr>
            <w:tcW w:w="2395" w:type="dxa"/>
          </w:tcPr>
          <w:p w14:paraId="0238DDEA" w14:textId="77777777" w:rsidR="00E60D05" w:rsidRPr="00276D5E" w:rsidRDefault="00E60D05" w:rsidP="009601C2">
            <w:pPr>
              <w:pStyle w:val="TableParagraph"/>
              <w:spacing w:line="276" w:lineRule="auto"/>
              <w:ind w:left="0"/>
              <w:rPr>
                <w:rFonts w:ascii="Arial" w:hAnsi="Arial" w:cs="Arial"/>
                <w:sz w:val="18"/>
              </w:rPr>
            </w:pPr>
          </w:p>
        </w:tc>
      </w:tr>
      <w:tr w:rsidR="00E60D05" w:rsidRPr="00276D5E" w14:paraId="0989BF37" w14:textId="77777777" w:rsidTr="00E60D05">
        <w:trPr>
          <w:trHeight w:val="244"/>
        </w:trPr>
        <w:tc>
          <w:tcPr>
            <w:tcW w:w="9298" w:type="dxa"/>
            <w:gridSpan w:val="4"/>
          </w:tcPr>
          <w:p w14:paraId="31544938" w14:textId="77777777" w:rsidR="00E60D05" w:rsidRPr="00276D5E" w:rsidRDefault="00E60D05" w:rsidP="009601C2">
            <w:pPr>
              <w:pStyle w:val="TableParagraph"/>
              <w:spacing w:line="276" w:lineRule="auto"/>
              <w:ind w:left="57"/>
              <w:rPr>
                <w:rFonts w:ascii="Arial" w:hAnsi="Arial" w:cs="Arial"/>
                <w:b/>
                <w:sz w:val="20"/>
              </w:rPr>
            </w:pPr>
            <w:r w:rsidRPr="00276D5E">
              <w:rPr>
                <w:rFonts w:ascii="Arial" w:hAnsi="Arial" w:cs="Arial"/>
                <w:b/>
                <w:sz w:val="20"/>
              </w:rPr>
              <w:t>Mass</w:t>
            </w:r>
          </w:p>
        </w:tc>
      </w:tr>
      <w:tr w:rsidR="00E60D05" w:rsidRPr="00276D5E" w14:paraId="68FC7FA6" w14:textId="77777777" w:rsidTr="00E60D05">
        <w:trPr>
          <w:trHeight w:val="486"/>
        </w:trPr>
        <w:tc>
          <w:tcPr>
            <w:tcW w:w="4568" w:type="dxa"/>
          </w:tcPr>
          <w:p w14:paraId="04795A9B"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Load</w:t>
            </w:r>
            <w:r w:rsidRPr="00276D5E">
              <w:rPr>
                <w:rFonts w:ascii="Arial" w:hAnsi="Arial" w:cs="Arial"/>
                <w:spacing w:val="-2"/>
                <w:sz w:val="20"/>
              </w:rPr>
              <w:t xml:space="preserve"> </w:t>
            </w:r>
            <w:r w:rsidRPr="00276D5E">
              <w:rPr>
                <w:rFonts w:ascii="Arial" w:hAnsi="Arial" w:cs="Arial"/>
                <w:sz w:val="20"/>
              </w:rPr>
              <w:t>sheets</w:t>
            </w:r>
            <w:r w:rsidRPr="00276D5E">
              <w:rPr>
                <w:rFonts w:ascii="Arial" w:hAnsi="Arial" w:cs="Arial"/>
                <w:spacing w:val="-3"/>
                <w:sz w:val="20"/>
              </w:rPr>
              <w:t xml:space="preserve"> </w:t>
            </w:r>
            <w:r w:rsidRPr="00276D5E">
              <w:rPr>
                <w:rFonts w:ascii="Arial" w:hAnsi="Arial" w:cs="Arial"/>
                <w:sz w:val="20"/>
              </w:rPr>
              <w:t>checked</w:t>
            </w:r>
            <w:r w:rsidRPr="00276D5E">
              <w:rPr>
                <w:rFonts w:ascii="Arial" w:hAnsi="Arial" w:cs="Arial"/>
                <w:spacing w:val="-2"/>
                <w:sz w:val="20"/>
              </w:rPr>
              <w:t xml:space="preserve"> </w:t>
            </w:r>
            <w:r w:rsidRPr="00276D5E">
              <w:rPr>
                <w:rFonts w:ascii="Arial" w:hAnsi="Arial" w:cs="Arial"/>
                <w:sz w:val="20"/>
              </w:rPr>
              <w:t>for</w:t>
            </w:r>
            <w:r w:rsidRPr="00276D5E">
              <w:rPr>
                <w:rFonts w:ascii="Arial" w:hAnsi="Arial" w:cs="Arial"/>
                <w:spacing w:val="-2"/>
                <w:sz w:val="20"/>
              </w:rPr>
              <w:t xml:space="preserve"> </w:t>
            </w:r>
            <w:r w:rsidRPr="00276D5E">
              <w:rPr>
                <w:rFonts w:ascii="Arial" w:hAnsi="Arial" w:cs="Arial"/>
                <w:sz w:val="20"/>
              </w:rPr>
              <w:t>proper</w:t>
            </w:r>
            <w:r w:rsidRPr="00276D5E">
              <w:rPr>
                <w:rFonts w:ascii="Arial" w:hAnsi="Arial" w:cs="Arial"/>
                <w:spacing w:val="-2"/>
                <w:sz w:val="20"/>
              </w:rPr>
              <w:t xml:space="preserve"> </w:t>
            </w:r>
            <w:r w:rsidRPr="00276D5E">
              <w:rPr>
                <w:rFonts w:ascii="Arial" w:hAnsi="Arial" w:cs="Arial"/>
                <w:sz w:val="20"/>
              </w:rPr>
              <w:t>and</w:t>
            </w:r>
            <w:r w:rsidRPr="00276D5E">
              <w:rPr>
                <w:rFonts w:ascii="Arial" w:hAnsi="Arial" w:cs="Arial"/>
                <w:spacing w:val="-2"/>
                <w:sz w:val="20"/>
              </w:rPr>
              <w:t xml:space="preserve"> </w:t>
            </w:r>
            <w:r w:rsidRPr="00276D5E">
              <w:rPr>
                <w:rFonts w:ascii="Arial" w:hAnsi="Arial" w:cs="Arial"/>
                <w:sz w:val="20"/>
              </w:rPr>
              <w:t>correct</w:t>
            </w:r>
          </w:p>
          <w:p w14:paraId="3E959392"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information,</w:t>
            </w:r>
            <w:r w:rsidRPr="00276D5E">
              <w:rPr>
                <w:rFonts w:ascii="Arial" w:hAnsi="Arial" w:cs="Arial"/>
                <w:spacing w:val="-3"/>
                <w:sz w:val="20"/>
              </w:rPr>
              <w:t xml:space="preserve"> </w:t>
            </w:r>
            <w:r w:rsidRPr="00276D5E">
              <w:rPr>
                <w:rFonts w:ascii="Arial" w:hAnsi="Arial" w:cs="Arial"/>
                <w:sz w:val="20"/>
              </w:rPr>
              <w:t>if</w:t>
            </w:r>
            <w:r w:rsidRPr="00276D5E">
              <w:rPr>
                <w:rFonts w:ascii="Arial" w:hAnsi="Arial" w:cs="Arial"/>
                <w:spacing w:val="-3"/>
                <w:sz w:val="20"/>
              </w:rPr>
              <w:t xml:space="preserve"> </w:t>
            </w:r>
            <w:r w:rsidRPr="00276D5E">
              <w:rPr>
                <w:rFonts w:ascii="Arial" w:hAnsi="Arial" w:cs="Arial"/>
                <w:sz w:val="20"/>
              </w:rPr>
              <w:t>applicable</w:t>
            </w:r>
          </w:p>
        </w:tc>
        <w:tc>
          <w:tcPr>
            <w:tcW w:w="1217" w:type="dxa"/>
          </w:tcPr>
          <w:p w14:paraId="0B4B28C6" w14:textId="77777777" w:rsidR="00E60D05" w:rsidRPr="00276D5E" w:rsidRDefault="00E60D05" w:rsidP="009601C2">
            <w:pPr>
              <w:pStyle w:val="TableParagraph"/>
              <w:spacing w:line="276" w:lineRule="auto"/>
              <w:ind w:left="0"/>
              <w:rPr>
                <w:rFonts w:ascii="Arial" w:hAnsi="Arial" w:cs="Arial"/>
                <w:sz w:val="18"/>
              </w:rPr>
            </w:pPr>
          </w:p>
        </w:tc>
        <w:tc>
          <w:tcPr>
            <w:tcW w:w="1118" w:type="dxa"/>
          </w:tcPr>
          <w:p w14:paraId="5D67FA83" w14:textId="77777777" w:rsidR="00E60D05" w:rsidRPr="00276D5E" w:rsidRDefault="00E60D05" w:rsidP="009601C2">
            <w:pPr>
              <w:pStyle w:val="TableParagraph"/>
              <w:spacing w:line="276" w:lineRule="auto"/>
              <w:ind w:left="0"/>
              <w:rPr>
                <w:rFonts w:ascii="Arial" w:hAnsi="Arial" w:cs="Arial"/>
                <w:sz w:val="18"/>
              </w:rPr>
            </w:pPr>
          </w:p>
        </w:tc>
        <w:tc>
          <w:tcPr>
            <w:tcW w:w="2395" w:type="dxa"/>
          </w:tcPr>
          <w:p w14:paraId="79025179" w14:textId="77777777" w:rsidR="00E60D05" w:rsidRPr="00276D5E" w:rsidRDefault="00E60D05" w:rsidP="009601C2">
            <w:pPr>
              <w:pStyle w:val="TableParagraph"/>
              <w:spacing w:line="276" w:lineRule="auto"/>
              <w:ind w:left="0"/>
              <w:rPr>
                <w:rFonts w:ascii="Arial" w:hAnsi="Arial" w:cs="Arial"/>
                <w:sz w:val="18"/>
              </w:rPr>
            </w:pPr>
          </w:p>
        </w:tc>
      </w:tr>
      <w:tr w:rsidR="00E60D05" w:rsidRPr="00276D5E" w14:paraId="2B7999B3" w14:textId="77777777" w:rsidTr="00E60D05">
        <w:trPr>
          <w:trHeight w:val="244"/>
        </w:trPr>
        <w:tc>
          <w:tcPr>
            <w:tcW w:w="9298" w:type="dxa"/>
            <w:gridSpan w:val="4"/>
          </w:tcPr>
          <w:p w14:paraId="39B9E456" w14:textId="77777777" w:rsidR="00E60D05" w:rsidRPr="00276D5E" w:rsidRDefault="00E60D05" w:rsidP="009601C2">
            <w:pPr>
              <w:pStyle w:val="TableParagraph"/>
              <w:spacing w:before="1" w:line="276" w:lineRule="auto"/>
              <w:ind w:left="57"/>
              <w:rPr>
                <w:rFonts w:ascii="Arial" w:hAnsi="Arial" w:cs="Arial"/>
                <w:b/>
                <w:sz w:val="20"/>
              </w:rPr>
            </w:pPr>
            <w:r w:rsidRPr="00276D5E">
              <w:rPr>
                <w:rFonts w:ascii="Arial" w:hAnsi="Arial" w:cs="Arial"/>
                <w:b/>
                <w:sz w:val="20"/>
              </w:rPr>
              <w:t>Pilot</w:t>
            </w:r>
            <w:r w:rsidRPr="00276D5E">
              <w:rPr>
                <w:rFonts w:ascii="Arial" w:hAnsi="Arial" w:cs="Arial"/>
                <w:b/>
                <w:spacing w:val="-4"/>
                <w:sz w:val="20"/>
              </w:rPr>
              <w:t xml:space="preserve"> </w:t>
            </w:r>
            <w:r w:rsidRPr="00276D5E">
              <w:rPr>
                <w:rFonts w:ascii="Arial" w:hAnsi="Arial" w:cs="Arial"/>
                <w:b/>
                <w:sz w:val="20"/>
              </w:rPr>
              <w:t>training</w:t>
            </w:r>
          </w:p>
        </w:tc>
      </w:tr>
      <w:tr w:rsidR="00E60D05" w:rsidRPr="00276D5E" w14:paraId="5AA8BFAF" w14:textId="77777777" w:rsidTr="00E60D05">
        <w:trPr>
          <w:trHeight w:val="244"/>
        </w:trPr>
        <w:tc>
          <w:tcPr>
            <w:tcW w:w="4568" w:type="dxa"/>
          </w:tcPr>
          <w:p w14:paraId="730A356D"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Updated</w:t>
            </w:r>
            <w:r w:rsidRPr="00276D5E">
              <w:rPr>
                <w:rFonts w:ascii="Arial" w:hAnsi="Arial" w:cs="Arial"/>
                <w:spacing w:val="-3"/>
                <w:sz w:val="20"/>
              </w:rPr>
              <w:t xml:space="preserve"> </w:t>
            </w:r>
            <w:r w:rsidRPr="00276D5E">
              <w:rPr>
                <w:rFonts w:ascii="Arial" w:hAnsi="Arial" w:cs="Arial"/>
                <w:sz w:val="20"/>
              </w:rPr>
              <w:t>and</w:t>
            </w:r>
            <w:r w:rsidRPr="00276D5E">
              <w:rPr>
                <w:rFonts w:ascii="Arial" w:hAnsi="Arial" w:cs="Arial"/>
                <w:spacing w:val="-2"/>
                <w:sz w:val="20"/>
              </w:rPr>
              <w:t xml:space="preserve"> </w:t>
            </w:r>
            <w:r w:rsidRPr="00276D5E">
              <w:rPr>
                <w:rFonts w:ascii="Arial" w:hAnsi="Arial" w:cs="Arial"/>
                <w:sz w:val="20"/>
              </w:rPr>
              <w:t>accurate</w:t>
            </w:r>
            <w:r w:rsidRPr="00276D5E">
              <w:rPr>
                <w:rFonts w:ascii="Arial" w:hAnsi="Arial" w:cs="Arial"/>
                <w:spacing w:val="-4"/>
                <w:sz w:val="20"/>
              </w:rPr>
              <w:t xml:space="preserve"> </w:t>
            </w:r>
            <w:r w:rsidRPr="00276D5E">
              <w:rPr>
                <w:rFonts w:ascii="Arial" w:hAnsi="Arial" w:cs="Arial"/>
                <w:sz w:val="20"/>
              </w:rPr>
              <w:t>training</w:t>
            </w:r>
            <w:r w:rsidRPr="00276D5E">
              <w:rPr>
                <w:rFonts w:ascii="Arial" w:hAnsi="Arial" w:cs="Arial"/>
                <w:spacing w:val="-3"/>
                <w:sz w:val="20"/>
              </w:rPr>
              <w:t xml:space="preserve"> </w:t>
            </w:r>
            <w:r w:rsidRPr="00276D5E">
              <w:rPr>
                <w:rFonts w:ascii="Arial" w:hAnsi="Arial" w:cs="Arial"/>
                <w:sz w:val="20"/>
              </w:rPr>
              <w:t>records</w:t>
            </w:r>
          </w:p>
        </w:tc>
        <w:tc>
          <w:tcPr>
            <w:tcW w:w="1217" w:type="dxa"/>
          </w:tcPr>
          <w:p w14:paraId="69B088C9" w14:textId="77777777" w:rsidR="00E60D05" w:rsidRPr="00276D5E" w:rsidRDefault="00E60D05" w:rsidP="009601C2">
            <w:pPr>
              <w:pStyle w:val="TableParagraph"/>
              <w:spacing w:line="276" w:lineRule="auto"/>
              <w:ind w:left="0"/>
              <w:rPr>
                <w:rFonts w:ascii="Arial" w:hAnsi="Arial" w:cs="Arial"/>
                <w:sz w:val="16"/>
              </w:rPr>
            </w:pPr>
          </w:p>
        </w:tc>
        <w:tc>
          <w:tcPr>
            <w:tcW w:w="1118" w:type="dxa"/>
          </w:tcPr>
          <w:p w14:paraId="347C8054" w14:textId="77777777" w:rsidR="00E60D05" w:rsidRPr="00276D5E" w:rsidRDefault="00E60D05" w:rsidP="009601C2">
            <w:pPr>
              <w:pStyle w:val="TableParagraph"/>
              <w:spacing w:line="276" w:lineRule="auto"/>
              <w:ind w:left="0"/>
              <w:rPr>
                <w:rFonts w:ascii="Arial" w:hAnsi="Arial" w:cs="Arial"/>
                <w:sz w:val="16"/>
              </w:rPr>
            </w:pPr>
          </w:p>
        </w:tc>
        <w:tc>
          <w:tcPr>
            <w:tcW w:w="2395" w:type="dxa"/>
          </w:tcPr>
          <w:p w14:paraId="2753F347" w14:textId="77777777" w:rsidR="00E60D05" w:rsidRPr="00276D5E" w:rsidRDefault="00E60D05" w:rsidP="009601C2">
            <w:pPr>
              <w:pStyle w:val="TableParagraph"/>
              <w:spacing w:line="276" w:lineRule="auto"/>
              <w:ind w:left="0"/>
              <w:rPr>
                <w:rFonts w:ascii="Arial" w:hAnsi="Arial" w:cs="Arial"/>
                <w:sz w:val="16"/>
              </w:rPr>
            </w:pPr>
          </w:p>
        </w:tc>
      </w:tr>
      <w:tr w:rsidR="00E60D05" w:rsidRPr="00276D5E" w14:paraId="2AE251E0" w14:textId="77777777" w:rsidTr="00E60D05">
        <w:trPr>
          <w:trHeight w:val="489"/>
        </w:trPr>
        <w:tc>
          <w:tcPr>
            <w:tcW w:w="4568" w:type="dxa"/>
          </w:tcPr>
          <w:p w14:paraId="16CE9510"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Pilot</w:t>
            </w:r>
            <w:r w:rsidRPr="00276D5E">
              <w:rPr>
                <w:rFonts w:ascii="Arial" w:hAnsi="Arial" w:cs="Arial"/>
                <w:spacing w:val="-2"/>
                <w:sz w:val="20"/>
              </w:rPr>
              <w:t xml:space="preserve"> </w:t>
            </w:r>
            <w:r w:rsidRPr="00276D5E">
              <w:rPr>
                <w:rFonts w:ascii="Arial" w:hAnsi="Arial" w:cs="Arial"/>
                <w:sz w:val="20"/>
              </w:rPr>
              <w:t>licences</w:t>
            </w:r>
            <w:r w:rsidRPr="00276D5E">
              <w:rPr>
                <w:rFonts w:ascii="Arial" w:hAnsi="Arial" w:cs="Arial"/>
                <w:spacing w:val="-4"/>
                <w:sz w:val="20"/>
              </w:rPr>
              <w:t xml:space="preserve"> </w:t>
            </w:r>
            <w:r w:rsidRPr="00276D5E">
              <w:rPr>
                <w:rFonts w:ascii="Arial" w:hAnsi="Arial" w:cs="Arial"/>
                <w:sz w:val="20"/>
              </w:rPr>
              <w:t>current,</w:t>
            </w:r>
            <w:r w:rsidRPr="00276D5E">
              <w:rPr>
                <w:rFonts w:ascii="Arial" w:hAnsi="Arial" w:cs="Arial"/>
                <w:spacing w:val="-1"/>
                <w:sz w:val="20"/>
              </w:rPr>
              <w:t xml:space="preserve"> </w:t>
            </w:r>
            <w:r w:rsidRPr="00276D5E">
              <w:rPr>
                <w:rFonts w:ascii="Arial" w:hAnsi="Arial" w:cs="Arial"/>
                <w:sz w:val="20"/>
              </w:rPr>
              <w:t>correct ratings</w:t>
            </w:r>
            <w:r w:rsidRPr="00276D5E">
              <w:rPr>
                <w:rFonts w:ascii="Arial" w:hAnsi="Arial" w:cs="Arial"/>
                <w:spacing w:val="-3"/>
                <w:sz w:val="20"/>
              </w:rPr>
              <w:t xml:space="preserve"> </w:t>
            </w:r>
            <w:r w:rsidRPr="00276D5E">
              <w:rPr>
                <w:rFonts w:ascii="Arial" w:hAnsi="Arial" w:cs="Arial"/>
                <w:sz w:val="20"/>
              </w:rPr>
              <w:t>and</w:t>
            </w:r>
            <w:r w:rsidRPr="00276D5E">
              <w:rPr>
                <w:rFonts w:ascii="Arial" w:hAnsi="Arial" w:cs="Arial"/>
                <w:spacing w:val="-2"/>
                <w:sz w:val="20"/>
              </w:rPr>
              <w:t xml:space="preserve"> </w:t>
            </w:r>
            <w:r w:rsidRPr="00276D5E">
              <w:rPr>
                <w:rFonts w:ascii="Arial" w:hAnsi="Arial" w:cs="Arial"/>
                <w:sz w:val="20"/>
              </w:rPr>
              <w:t>valid</w:t>
            </w:r>
          </w:p>
          <w:p w14:paraId="0E393D4A"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medical</w:t>
            </w:r>
            <w:r w:rsidRPr="00276D5E">
              <w:rPr>
                <w:rFonts w:ascii="Arial" w:hAnsi="Arial" w:cs="Arial"/>
                <w:spacing w:val="-3"/>
                <w:sz w:val="20"/>
              </w:rPr>
              <w:t xml:space="preserve"> </w:t>
            </w:r>
            <w:r w:rsidRPr="00276D5E">
              <w:rPr>
                <w:rFonts w:ascii="Arial" w:hAnsi="Arial" w:cs="Arial"/>
                <w:sz w:val="20"/>
              </w:rPr>
              <w:t>certificates</w:t>
            </w:r>
          </w:p>
        </w:tc>
        <w:tc>
          <w:tcPr>
            <w:tcW w:w="1217" w:type="dxa"/>
          </w:tcPr>
          <w:p w14:paraId="44F0F562" w14:textId="77777777" w:rsidR="00E60D05" w:rsidRPr="00276D5E" w:rsidRDefault="00E60D05" w:rsidP="009601C2">
            <w:pPr>
              <w:pStyle w:val="TableParagraph"/>
              <w:spacing w:line="276" w:lineRule="auto"/>
              <w:ind w:left="0"/>
              <w:rPr>
                <w:rFonts w:ascii="Arial" w:hAnsi="Arial" w:cs="Arial"/>
                <w:sz w:val="18"/>
              </w:rPr>
            </w:pPr>
          </w:p>
        </w:tc>
        <w:tc>
          <w:tcPr>
            <w:tcW w:w="1118" w:type="dxa"/>
          </w:tcPr>
          <w:p w14:paraId="6B027E9A" w14:textId="77777777" w:rsidR="00E60D05" w:rsidRPr="00276D5E" w:rsidRDefault="00E60D05" w:rsidP="009601C2">
            <w:pPr>
              <w:pStyle w:val="TableParagraph"/>
              <w:spacing w:line="276" w:lineRule="auto"/>
              <w:ind w:left="0"/>
              <w:rPr>
                <w:rFonts w:ascii="Arial" w:hAnsi="Arial" w:cs="Arial"/>
                <w:sz w:val="18"/>
              </w:rPr>
            </w:pPr>
          </w:p>
        </w:tc>
        <w:tc>
          <w:tcPr>
            <w:tcW w:w="2395" w:type="dxa"/>
          </w:tcPr>
          <w:p w14:paraId="59BFB728" w14:textId="77777777" w:rsidR="00E60D05" w:rsidRPr="00276D5E" w:rsidRDefault="00E60D05" w:rsidP="009601C2">
            <w:pPr>
              <w:pStyle w:val="TableParagraph"/>
              <w:spacing w:line="276" w:lineRule="auto"/>
              <w:ind w:left="0"/>
              <w:rPr>
                <w:rFonts w:ascii="Arial" w:hAnsi="Arial" w:cs="Arial"/>
                <w:sz w:val="18"/>
              </w:rPr>
            </w:pPr>
          </w:p>
        </w:tc>
      </w:tr>
      <w:tr w:rsidR="00E60D05" w:rsidRPr="00276D5E" w14:paraId="67B1ADD3" w14:textId="77777777" w:rsidTr="00E60D05">
        <w:trPr>
          <w:trHeight w:val="244"/>
        </w:trPr>
        <w:tc>
          <w:tcPr>
            <w:tcW w:w="4568" w:type="dxa"/>
          </w:tcPr>
          <w:p w14:paraId="476BB7C5"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Pilots</w:t>
            </w:r>
            <w:r w:rsidRPr="00276D5E">
              <w:rPr>
                <w:rFonts w:ascii="Arial" w:hAnsi="Arial" w:cs="Arial"/>
                <w:spacing w:val="-5"/>
                <w:sz w:val="20"/>
              </w:rPr>
              <w:t xml:space="preserve"> </w:t>
            </w:r>
            <w:r w:rsidRPr="00276D5E">
              <w:rPr>
                <w:rFonts w:ascii="Arial" w:hAnsi="Arial" w:cs="Arial"/>
                <w:sz w:val="20"/>
              </w:rPr>
              <w:t>received</w:t>
            </w:r>
            <w:r w:rsidRPr="00276D5E">
              <w:rPr>
                <w:rFonts w:ascii="Arial" w:hAnsi="Arial" w:cs="Arial"/>
                <w:spacing w:val="-2"/>
                <w:sz w:val="20"/>
              </w:rPr>
              <w:t xml:space="preserve"> </w:t>
            </w:r>
            <w:r w:rsidRPr="00276D5E">
              <w:rPr>
                <w:rFonts w:ascii="Arial" w:hAnsi="Arial" w:cs="Arial"/>
                <w:sz w:val="20"/>
              </w:rPr>
              <w:t>recurrent</w:t>
            </w:r>
            <w:r w:rsidRPr="00276D5E">
              <w:rPr>
                <w:rFonts w:ascii="Arial" w:hAnsi="Arial" w:cs="Arial"/>
                <w:spacing w:val="-2"/>
                <w:sz w:val="20"/>
              </w:rPr>
              <w:t xml:space="preserve"> </w:t>
            </w:r>
            <w:r w:rsidRPr="00276D5E">
              <w:rPr>
                <w:rFonts w:ascii="Arial" w:hAnsi="Arial" w:cs="Arial"/>
                <w:sz w:val="20"/>
              </w:rPr>
              <w:t>training</w:t>
            </w:r>
          </w:p>
        </w:tc>
        <w:tc>
          <w:tcPr>
            <w:tcW w:w="1217" w:type="dxa"/>
          </w:tcPr>
          <w:p w14:paraId="0A75DFA7" w14:textId="77777777" w:rsidR="00E60D05" w:rsidRPr="00276D5E" w:rsidRDefault="00E60D05" w:rsidP="009601C2">
            <w:pPr>
              <w:pStyle w:val="TableParagraph"/>
              <w:spacing w:line="276" w:lineRule="auto"/>
              <w:ind w:left="0"/>
              <w:rPr>
                <w:rFonts w:ascii="Arial" w:hAnsi="Arial" w:cs="Arial"/>
                <w:sz w:val="16"/>
              </w:rPr>
            </w:pPr>
          </w:p>
        </w:tc>
        <w:tc>
          <w:tcPr>
            <w:tcW w:w="1118" w:type="dxa"/>
          </w:tcPr>
          <w:p w14:paraId="6711D066" w14:textId="77777777" w:rsidR="00E60D05" w:rsidRPr="00276D5E" w:rsidRDefault="00E60D05" w:rsidP="009601C2">
            <w:pPr>
              <w:pStyle w:val="TableParagraph"/>
              <w:spacing w:line="276" w:lineRule="auto"/>
              <w:ind w:left="0"/>
              <w:rPr>
                <w:rFonts w:ascii="Arial" w:hAnsi="Arial" w:cs="Arial"/>
                <w:sz w:val="16"/>
              </w:rPr>
            </w:pPr>
          </w:p>
        </w:tc>
        <w:tc>
          <w:tcPr>
            <w:tcW w:w="2395" w:type="dxa"/>
          </w:tcPr>
          <w:p w14:paraId="3174C4E1" w14:textId="77777777" w:rsidR="00E60D05" w:rsidRPr="00276D5E" w:rsidRDefault="00E60D05" w:rsidP="009601C2">
            <w:pPr>
              <w:pStyle w:val="TableParagraph"/>
              <w:spacing w:line="276" w:lineRule="auto"/>
              <w:ind w:left="0"/>
              <w:rPr>
                <w:rFonts w:ascii="Arial" w:hAnsi="Arial" w:cs="Arial"/>
                <w:sz w:val="16"/>
              </w:rPr>
            </w:pPr>
          </w:p>
        </w:tc>
      </w:tr>
      <w:tr w:rsidR="00E60D05" w:rsidRPr="00276D5E" w14:paraId="21FFB5D5" w14:textId="77777777" w:rsidTr="00E60D05">
        <w:trPr>
          <w:trHeight w:val="244"/>
        </w:trPr>
        <w:tc>
          <w:tcPr>
            <w:tcW w:w="4568" w:type="dxa"/>
          </w:tcPr>
          <w:p w14:paraId="26665970"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Training</w:t>
            </w:r>
            <w:r w:rsidRPr="00276D5E">
              <w:rPr>
                <w:rFonts w:ascii="Arial" w:hAnsi="Arial" w:cs="Arial"/>
                <w:spacing w:val="-5"/>
                <w:sz w:val="20"/>
              </w:rPr>
              <w:t xml:space="preserve"> </w:t>
            </w:r>
            <w:r w:rsidRPr="00276D5E">
              <w:rPr>
                <w:rFonts w:ascii="Arial" w:hAnsi="Arial" w:cs="Arial"/>
                <w:sz w:val="20"/>
              </w:rPr>
              <w:t>facilities</w:t>
            </w:r>
            <w:r w:rsidRPr="00276D5E">
              <w:rPr>
                <w:rFonts w:ascii="Arial" w:hAnsi="Arial" w:cs="Arial"/>
                <w:spacing w:val="-5"/>
                <w:sz w:val="20"/>
              </w:rPr>
              <w:t xml:space="preserve"> </w:t>
            </w:r>
            <w:r w:rsidRPr="00276D5E">
              <w:rPr>
                <w:rFonts w:ascii="Arial" w:hAnsi="Arial" w:cs="Arial"/>
                <w:sz w:val="20"/>
              </w:rPr>
              <w:t>and</w:t>
            </w:r>
            <w:r w:rsidRPr="00276D5E">
              <w:rPr>
                <w:rFonts w:ascii="Arial" w:hAnsi="Arial" w:cs="Arial"/>
                <w:spacing w:val="-4"/>
                <w:sz w:val="20"/>
              </w:rPr>
              <w:t xml:space="preserve"> </w:t>
            </w:r>
            <w:r w:rsidRPr="00276D5E">
              <w:rPr>
                <w:rFonts w:ascii="Arial" w:hAnsi="Arial" w:cs="Arial"/>
                <w:sz w:val="20"/>
              </w:rPr>
              <w:t>instructors</w:t>
            </w:r>
            <w:r w:rsidRPr="00276D5E">
              <w:rPr>
                <w:rFonts w:ascii="Arial" w:hAnsi="Arial" w:cs="Arial"/>
                <w:spacing w:val="-5"/>
                <w:sz w:val="20"/>
              </w:rPr>
              <w:t xml:space="preserve"> </w:t>
            </w:r>
            <w:r w:rsidRPr="00276D5E">
              <w:rPr>
                <w:rFonts w:ascii="Arial" w:hAnsi="Arial" w:cs="Arial"/>
                <w:sz w:val="20"/>
              </w:rPr>
              <w:t>approved</w:t>
            </w:r>
          </w:p>
        </w:tc>
        <w:tc>
          <w:tcPr>
            <w:tcW w:w="1217" w:type="dxa"/>
          </w:tcPr>
          <w:p w14:paraId="3F81D2BD" w14:textId="77777777" w:rsidR="00E60D05" w:rsidRPr="00276D5E" w:rsidRDefault="00E60D05" w:rsidP="009601C2">
            <w:pPr>
              <w:pStyle w:val="TableParagraph"/>
              <w:spacing w:line="276" w:lineRule="auto"/>
              <w:ind w:left="0"/>
              <w:rPr>
                <w:rFonts w:ascii="Arial" w:hAnsi="Arial" w:cs="Arial"/>
                <w:sz w:val="16"/>
              </w:rPr>
            </w:pPr>
          </w:p>
        </w:tc>
        <w:tc>
          <w:tcPr>
            <w:tcW w:w="1118" w:type="dxa"/>
          </w:tcPr>
          <w:p w14:paraId="727E6736" w14:textId="77777777" w:rsidR="00E60D05" w:rsidRPr="00276D5E" w:rsidRDefault="00E60D05" w:rsidP="009601C2">
            <w:pPr>
              <w:pStyle w:val="TableParagraph"/>
              <w:spacing w:line="276" w:lineRule="auto"/>
              <w:ind w:left="0"/>
              <w:rPr>
                <w:rFonts w:ascii="Arial" w:hAnsi="Arial" w:cs="Arial"/>
                <w:sz w:val="16"/>
              </w:rPr>
            </w:pPr>
          </w:p>
        </w:tc>
        <w:tc>
          <w:tcPr>
            <w:tcW w:w="2395" w:type="dxa"/>
          </w:tcPr>
          <w:p w14:paraId="764A788D" w14:textId="77777777" w:rsidR="00E60D05" w:rsidRPr="00276D5E" w:rsidRDefault="00E60D05" w:rsidP="009601C2">
            <w:pPr>
              <w:pStyle w:val="TableParagraph"/>
              <w:spacing w:line="276" w:lineRule="auto"/>
              <w:ind w:left="0"/>
              <w:rPr>
                <w:rFonts w:ascii="Arial" w:hAnsi="Arial" w:cs="Arial"/>
                <w:sz w:val="16"/>
              </w:rPr>
            </w:pPr>
          </w:p>
        </w:tc>
      </w:tr>
      <w:tr w:rsidR="00E60D05" w:rsidRPr="00276D5E" w14:paraId="2A97EF62" w14:textId="77777777" w:rsidTr="00E60D05">
        <w:trPr>
          <w:trHeight w:val="486"/>
        </w:trPr>
        <w:tc>
          <w:tcPr>
            <w:tcW w:w="4568" w:type="dxa"/>
          </w:tcPr>
          <w:p w14:paraId="69EF628D"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Pilots</w:t>
            </w:r>
            <w:r w:rsidRPr="00276D5E">
              <w:rPr>
                <w:rFonts w:ascii="Arial" w:hAnsi="Arial" w:cs="Arial"/>
                <w:spacing w:val="-4"/>
                <w:sz w:val="20"/>
              </w:rPr>
              <w:t xml:space="preserve"> </w:t>
            </w:r>
            <w:r w:rsidRPr="00276D5E">
              <w:rPr>
                <w:rFonts w:ascii="Arial" w:hAnsi="Arial" w:cs="Arial"/>
                <w:sz w:val="20"/>
              </w:rPr>
              <w:t>received</w:t>
            </w:r>
            <w:r w:rsidRPr="00276D5E">
              <w:rPr>
                <w:rFonts w:ascii="Arial" w:hAnsi="Arial" w:cs="Arial"/>
                <w:spacing w:val="-2"/>
                <w:sz w:val="20"/>
              </w:rPr>
              <w:t xml:space="preserve"> </w:t>
            </w:r>
            <w:r w:rsidRPr="00276D5E">
              <w:rPr>
                <w:rFonts w:ascii="Arial" w:hAnsi="Arial" w:cs="Arial"/>
                <w:sz w:val="20"/>
              </w:rPr>
              <w:t>pre-flight</w:t>
            </w:r>
            <w:r w:rsidRPr="00276D5E">
              <w:rPr>
                <w:rFonts w:ascii="Arial" w:hAnsi="Arial" w:cs="Arial"/>
                <w:spacing w:val="-3"/>
                <w:sz w:val="20"/>
              </w:rPr>
              <w:t xml:space="preserve"> </w:t>
            </w:r>
            <w:r w:rsidRPr="00276D5E">
              <w:rPr>
                <w:rFonts w:ascii="Arial" w:hAnsi="Arial" w:cs="Arial"/>
                <w:sz w:val="20"/>
              </w:rPr>
              <w:t>inspection</w:t>
            </w:r>
            <w:r w:rsidRPr="00276D5E">
              <w:rPr>
                <w:rFonts w:ascii="Arial" w:hAnsi="Arial" w:cs="Arial"/>
                <w:spacing w:val="-2"/>
                <w:sz w:val="20"/>
              </w:rPr>
              <w:t xml:space="preserve"> </w:t>
            </w:r>
            <w:r w:rsidRPr="00276D5E">
              <w:rPr>
                <w:rFonts w:ascii="Arial" w:hAnsi="Arial" w:cs="Arial"/>
                <w:sz w:val="20"/>
              </w:rPr>
              <w:t>training,</w:t>
            </w:r>
            <w:r w:rsidRPr="00276D5E">
              <w:rPr>
                <w:rFonts w:ascii="Arial" w:hAnsi="Arial" w:cs="Arial"/>
                <w:spacing w:val="-2"/>
                <w:sz w:val="20"/>
              </w:rPr>
              <w:t xml:space="preserve"> </w:t>
            </w:r>
            <w:r w:rsidRPr="00276D5E">
              <w:rPr>
                <w:rFonts w:ascii="Arial" w:hAnsi="Arial" w:cs="Arial"/>
                <w:sz w:val="20"/>
              </w:rPr>
              <w:t>as</w:t>
            </w:r>
          </w:p>
          <w:p w14:paraId="1FA4A194"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applicable</w:t>
            </w:r>
          </w:p>
        </w:tc>
        <w:tc>
          <w:tcPr>
            <w:tcW w:w="1217" w:type="dxa"/>
          </w:tcPr>
          <w:p w14:paraId="09D762E4" w14:textId="77777777" w:rsidR="00E60D05" w:rsidRPr="00276D5E" w:rsidRDefault="00E60D05" w:rsidP="009601C2">
            <w:pPr>
              <w:pStyle w:val="TableParagraph"/>
              <w:spacing w:line="276" w:lineRule="auto"/>
              <w:ind w:left="0"/>
              <w:rPr>
                <w:rFonts w:ascii="Arial" w:hAnsi="Arial" w:cs="Arial"/>
                <w:sz w:val="18"/>
              </w:rPr>
            </w:pPr>
          </w:p>
        </w:tc>
        <w:tc>
          <w:tcPr>
            <w:tcW w:w="1118" w:type="dxa"/>
          </w:tcPr>
          <w:p w14:paraId="26F97A2E" w14:textId="77777777" w:rsidR="00E60D05" w:rsidRPr="00276D5E" w:rsidRDefault="00E60D05" w:rsidP="009601C2">
            <w:pPr>
              <w:pStyle w:val="TableParagraph"/>
              <w:spacing w:line="276" w:lineRule="auto"/>
              <w:ind w:left="0"/>
              <w:rPr>
                <w:rFonts w:ascii="Arial" w:hAnsi="Arial" w:cs="Arial"/>
                <w:sz w:val="18"/>
              </w:rPr>
            </w:pPr>
          </w:p>
        </w:tc>
        <w:tc>
          <w:tcPr>
            <w:tcW w:w="2395" w:type="dxa"/>
          </w:tcPr>
          <w:p w14:paraId="4BD0F6C6" w14:textId="77777777" w:rsidR="00E60D05" w:rsidRPr="00276D5E" w:rsidRDefault="00E60D05" w:rsidP="009601C2">
            <w:pPr>
              <w:pStyle w:val="TableParagraph"/>
              <w:spacing w:line="276" w:lineRule="auto"/>
              <w:ind w:left="0"/>
              <w:rPr>
                <w:rFonts w:ascii="Arial" w:hAnsi="Arial" w:cs="Arial"/>
                <w:sz w:val="18"/>
              </w:rPr>
            </w:pPr>
          </w:p>
        </w:tc>
      </w:tr>
      <w:tr w:rsidR="00E60D05" w:rsidRPr="00276D5E" w14:paraId="77DBF099" w14:textId="77777777" w:rsidTr="00E60D05">
        <w:trPr>
          <w:trHeight w:val="244"/>
        </w:trPr>
        <w:tc>
          <w:tcPr>
            <w:tcW w:w="9298" w:type="dxa"/>
            <w:gridSpan w:val="4"/>
          </w:tcPr>
          <w:p w14:paraId="21C75A32" w14:textId="77777777" w:rsidR="00E60D05" w:rsidRPr="00276D5E" w:rsidRDefault="00E60D05" w:rsidP="009601C2">
            <w:pPr>
              <w:pStyle w:val="TableParagraph"/>
              <w:spacing w:line="276" w:lineRule="auto"/>
              <w:ind w:left="57"/>
              <w:rPr>
                <w:rFonts w:ascii="Arial" w:hAnsi="Arial" w:cs="Arial"/>
                <w:b/>
                <w:sz w:val="20"/>
              </w:rPr>
            </w:pPr>
            <w:r w:rsidRPr="00276D5E">
              <w:rPr>
                <w:rFonts w:ascii="Arial" w:hAnsi="Arial" w:cs="Arial"/>
                <w:b/>
                <w:sz w:val="20"/>
              </w:rPr>
              <w:t>Documentation</w:t>
            </w:r>
            <w:r w:rsidRPr="00276D5E">
              <w:rPr>
                <w:rFonts w:ascii="Arial" w:hAnsi="Arial" w:cs="Arial"/>
                <w:b/>
                <w:spacing w:val="-4"/>
                <w:sz w:val="20"/>
              </w:rPr>
              <w:t xml:space="preserve"> </w:t>
            </w:r>
            <w:r w:rsidRPr="00276D5E">
              <w:rPr>
                <w:rFonts w:ascii="Arial" w:hAnsi="Arial" w:cs="Arial"/>
                <w:b/>
                <w:sz w:val="20"/>
              </w:rPr>
              <w:t>related</w:t>
            </w:r>
            <w:r w:rsidRPr="00276D5E">
              <w:rPr>
                <w:rFonts w:ascii="Arial" w:hAnsi="Arial" w:cs="Arial"/>
                <w:b/>
                <w:spacing w:val="-4"/>
                <w:sz w:val="20"/>
              </w:rPr>
              <w:t xml:space="preserve"> </w:t>
            </w:r>
            <w:r w:rsidRPr="00276D5E">
              <w:rPr>
                <w:rFonts w:ascii="Arial" w:hAnsi="Arial" w:cs="Arial"/>
                <w:b/>
                <w:sz w:val="20"/>
              </w:rPr>
              <w:t>to</w:t>
            </w:r>
            <w:r w:rsidRPr="00276D5E">
              <w:rPr>
                <w:rFonts w:ascii="Arial" w:hAnsi="Arial" w:cs="Arial"/>
                <w:b/>
                <w:spacing w:val="-3"/>
                <w:sz w:val="20"/>
              </w:rPr>
              <w:t xml:space="preserve"> </w:t>
            </w:r>
            <w:r w:rsidRPr="00276D5E">
              <w:rPr>
                <w:rFonts w:ascii="Arial" w:hAnsi="Arial" w:cs="Arial"/>
                <w:b/>
                <w:sz w:val="20"/>
              </w:rPr>
              <w:t>operations</w:t>
            </w:r>
          </w:p>
        </w:tc>
      </w:tr>
      <w:tr w:rsidR="00E60D05" w:rsidRPr="00276D5E" w14:paraId="311C4C5A" w14:textId="77777777" w:rsidTr="00E60D05">
        <w:trPr>
          <w:trHeight w:val="489"/>
        </w:trPr>
        <w:tc>
          <w:tcPr>
            <w:tcW w:w="4568" w:type="dxa"/>
          </w:tcPr>
          <w:p w14:paraId="4BAA25E0"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Operations</w:t>
            </w:r>
            <w:r w:rsidRPr="00276D5E">
              <w:rPr>
                <w:rFonts w:ascii="Arial" w:hAnsi="Arial" w:cs="Arial"/>
                <w:spacing w:val="-5"/>
                <w:sz w:val="20"/>
              </w:rPr>
              <w:t xml:space="preserve"> </w:t>
            </w:r>
            <w:r w:rsidRPr="00276D5E">
              <w:rPr>
                <w:rFonts w:ascii="Arial" w:hAnsi="Arial" w:cs="Arial"/>
                <w:sz w:val="20"/>
              </w:rPr>
              <w:t>manual</w:t>
            </w:r>
            <w:r w:rsidRPr="00276D5E">
              <w:rPr>
                <w:rFonts w:ascii="Arial" w:hAnsi="Arial" w:cs="Arial"/>
                <w:spacing w:val="-2"/>
                <w:sz w:val="20"/>
              </w:rPr>
              <w:t xml:space="preserve"> </w:t>
            </w:r>
            <w:r w:rsidRPr="00276D5E">
              <w:rPr>
                <w:rFonts w:ascii="Arial" w:hAnsi="Arial" w:cs="Arial"/>
                <w:sz w:val="20"/>
              </w:rPr>
              <w:t>checked</w:t>
            </w:r>
            <w:r w:rsidRPr="00276D5E">
              <w:rPr>
                <w:rFonts w:ascii="Arial" w:hAnsi="Arial" w:cs="Arial"/>
                <w:spacing w:val="-2"/>
                <w:sz w:val="20"/>
              </w:rPr>
              <w:t xml:space="preserve"> </w:t>
            </w:r>
            <w:r w:rsidRPr="00276D5E">
              <w:rPr>
                <w:rFonts w:ascii="Arial" w:hAnsi="Arial" w:cs="Arial"/>
                <w:sz w:val="20"/>
              </w:rPr>
              <w:t>for</w:t>
            </w:r>
            <w:r w:rsidRPr="00276D5E">
              <w:rPr>
                <w:rFonts w:ascii="Arial" w:hAnsi="Arial" w:cs="Arial"/>
                <w:spacing w:val="-2"/>
                <w:sz w:val="20"/>
              </w:rPr>
              <w:t xml:space="preserve"> </w:t>
            </w:r>
            <w:r w:rsidRPr="00276D5E">
              <w:rPr>
                <w:rFonts w:ascii="Arial" w:hAnsi="Arial" w:cs="Arial"/>
                <w:sz w:val="20"/>
              </w:rPr>
              <w:t>correct</w:t>
            </w:r>
          </w:p>
          <w:p w14:paraId="597BEBCC" w14:textId="77777777" w:rsidR="00E60D05" w:rsidRPr="00276D5E" w:rsidRDefault="00E60D05" w:rsidP="009601C2">
            <w:pPr>
              <w:pStyle w:val="TableParagraph"/>
              <w:spacing w:before="1" w:line="276" w:lineRule="auto"/>
              <w:ind w:left="57"/>
              <w:rPr>
                <w:rFonts w:ascii="Arial" w:hAnsi="Arial" w:cs="Arial"/>
                <w:sz w:val="20"/>
              </w:rPr>
            </w:pPr>
            <w:r w:rsidRPr="00276D5E">
              <w:rPr>
                <w:rFonts w:ascii="Arial" w:hAnsi="Arial" w:cs="Arial"/>
                <w:sz w:val="20"/>
              </w:rPr>
              <w:t>amendment</w:t>
            </w:r>
            <w:r w:rsidRPr="00276D5E">
              <w:rPr>
                <w:rFonts w:ascii="Arial" w:hAnsi="Arial" w:cs="Arial"/>
                <w:spacing w:val="-4"/>
                <w:sz w:val="20"/>
              </w:rPr>
              <w:t xml:space="preserve"> </w:t>
            </w:r>
            <w:r w:rsidRPr="00276D5E">
              <w:rPr>
                <w:rFonts w:ascii="Arial" w:hAnsi="Arial" w:cs="Arial"/>
                <w:sz w:val="20"/>
              </w:rPr>
              <w:t>status</w:t>
            </w:r>
          </w:p>
        </w:tc>
        <w:tc>
          <w:tcPr>
            <w:tcW w:w="1217" w:type="dxa"/>
          </w:tcPr>
          <w:p w14:paraId="0211E0C2" w14:textId="77777777" w:rsidR="00E60D05" w:rsidRPr="00276D5E" w:rsidRDefault="00E60D05" w:rsidP="009601C2">
            <w:pPr>
              <w:pStyle w:val="TableParagraph"/>
              <w:spacing w:line="276" w:lineRule="auto"/>
              <w:ind w:left="0"/>
              <w:rPr>
                <w:rFonts w:ascii="Arial" w:hAnsi="Arial" w:cs="Arial"/>
                <w:sz w:val="18"/>
              </w:rPr>
            </w:pPr>
          </w:p>
        </w:tc>
        <w:tc>
          <w:tcPr>
            <w:tcW w:w="1118" w:type="dxa"/>
          </w:tcPr>
          <w:p w14:paraId="02E81852" w14:textId="77777777" w:rsidR="00E60D05" w:rsidRPr="00276D5E" w:rsidRDefault="00E60D05" w:rsidP="009601C2">
            <w:pPr>
              <w:pStyle w:val="TableParagraph"/>
              <w:spacing w:line="276" w:lineRule="auto"/>
              <w:ind w:left="0"/>
              <w:rPr>
                <w:rFonts w:ascii="Arial" w:hAnsi="Arial" w:cs="Arial"/>
                <w:sz w:val="18"/>
              </w:rPr>
            </w:pPr>
          </w:p>
        </w:tc>
        <w:tc>
          <w:tcPr>
            <w:tcW w:w="2395" w:type="dxa"/>
          </w:tcPr>
          <w:p w14:paraId="1CF9AADB" w14:textId="77777777" w:rsidR="00E60D05" w:rsidRPr="00276D5E" w:rsidRDefault="00E60D05" w:rsidP="009601C2">
            <w:pPr>
              <w:pStyle w:val="TableParagraph"/>
              <w:spacing w:line="276" w:lineRule="auto"/>
              <w:ind w:left="0"/>
              <w:rPr>
                <w:rFonts w:ascii="Arial" w:hAnsi="Arial" w:cs="Arial"/>
                <w:sz w:val="18"/>
              </w:rPr>
            </w:pPr>
          </w:p>
        </w:tc>
      </w:tr>
      <w:tr w:rsidR="00E60D05" w:rsidRPr="00276D5E" w14:paraId="586A6198" w14:textId="77777777" w:rsidTr="00E60D05">
        <w:trPr>
          <w:trHeight w:val="244"/>
        </w:trPr>
        <w:tc>
          <w:tcPr>
            <w:tcW w:w="4568" w:type="dxa"/>
          </w:tcPr>
          <w:p w14:paraId="25A9DEC1"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Flight</w:t>
            </w:r>
            <w:r w:rsidRPr="00276D5E">
              <w:rPr>
                <w:rFonts w:ascii="Arial" w:hAnsi="Arial" w:cs="Arial"/>
                <w:spacing w:val="-3"/>
                <w:sz w:val="20"/>
              </w:rPr>
              <w:t xml:space="preserve"> </w:t>
            </w:r>
            <w:r w:rsidRPr="00276D5E">
              <w:rPr>
                <w:rFonts w:ascii="Arial" w:hAnsi="Arial" w:cs="Arial"/>
                <w:sz w:val="20"/>
              </w:rPr>
              <w:t>documents</w:t>
            </w:r>
            <w:r w:rsidRPr="00276D5E">
              <w:rPr>
                <w:rFonts w:ascii="Arial" w:hAnsi="Arial" w:cs="Arial"/>
                <w:spacing w:val="-3"/>
                <w:sz w:val="20"/>
              </w:rPr>
              <w:t xml:space="preserve"> </w:t>
            </w:r>
            <w:r w:rsidRPr="00276D5E">
              <w:rPr>
                <w:rFonts w:ascii="Arial" w:hAnsi="Arial" w:cs="Arial"/>
                <w:sz w:val="20"/>
              </w:rPr>
              <w:t>record</w:t>
            </w:r>
            <w:r w:rsidRPr="00276D5E">
              <w:rPr>
                <w:rFonts w:ascii="Arial" w:hAnsi="Arial" w:cs="Arial"/>
                <w:spacing w:val="-2"/>
                <w:sz w:val="20"/>
              </w:rPr>
              <w:t xml:space="preserve"> </w:t>
            </w:r>
            <w:r w:rsidRPr="00276D5E">
              <w:rPr>
                <w:rFonts w:ascii="Arial" w:hAnsi="Arial" w:cs="Arial"/>
                <w:sz w:val="20"/>
              </w:rPr>
              <w:t>checked</w:t>
            </w:r>
            <w:r w:rsidRPr="00276D5E">
              <w:rPr>
                <w:rFonts w:ascii="Arial" w:hAnsi="Arial" w:cs="Arial"/>
                <w:spacing w:val="-2"/>
                <w:sz w:val="20"/>
              </w:rPr>
              <w:t xml:space="preserve"> </w:t>
            </w:r>
            <w:r w:rsidRPr="00276D5E">
              <w:rPr>
                <w:rFonts w:ascii="Arial" w:hAnsi="Arial" w:cs="Arial"/>
                <w:sz w:val="20"/>
              </w:rPr>
              <w:t>and</w:t>
            </w:r>
            <w:r w:rsidRPr="00276D5E">
              <w:rPr>
                <w:rFonts w:ascii="Arial" w:hAnsi="Arial" w:cs="Arial"/>
                <w:spacing w:val="-2"/>
                <w:sz w:val="20"/>
              </w:rPr>
              <w:t xml:space="preserve"> </w:t>
            </w:r>
            <w:r w:rsidRPr="00276D5E">
              <w:rPr>
                <w:rFonts w:ascii="Arial" w:hAnsi="Arial" w:cs="Arial"/>
                <w:sz w:val="20"/>
              </w:rPr>
              <w:t>updated</w:t>
            </w:r>
          </w:p>
        </w:tc>
        <w:tc>
          <w:tcPr>
            <w:tcW w:w="1217" w:type="dxa"/>
          </w:tcPr>
          <w:p w14:paraId="00D36596" w14:textId="77777777" w:rsidR="00E60D05" w:rsidRPr="00276D5E" w:rsidRDefault="00E60D05" w:rsidP="009601C2">
            <w:pPr>
              <w:pStyle w:val="TableParagraph"/>
              <w:spacing w:line="276" w:lineRule="auto"/>
              <w:ind w:left="0"/>
              <w:rPr>
                <w:rFonts w:ascii="Arial" w:hAnsi="Arial" w:cs="Arial"/>
                <w:sz w:val="16"/>
              </w:rPr>
            </w:pPr>
          </w:p>
        </w:tc>
        <w:tc>
          <w:tcPr>
            <w:tcW w:w="1118" w:type="dxa"/>
          </w:tcPr>
          <w:p w14:paraId="48ECEC4E" w14:textId="77777777" w:rsidR="00E60D05" w:rsidRPr="00276D5E" w:rsidRDefault="00E60D05" w:rsidP="009601C2">
            <w:pPr>
              <w:pStyle w:val="TableParagraph"/>
              <w:spacing w:line="276" w:lineRule="auto"/>
              <w:ind w:left="0"/>
              <w:rPr>
                <w:rFonts w:ascii="Arial" w:hAnsi="Arial" w:cs="Arial"/>
                <w:sz w:val="16"/>
              </w:rPr>
            </w:pPr>
          </w:p>
        </w:tc>
        <w:tc>
          <w:tcPr>
            <w:tcW w:w="2395" w:type="dxa"/>
          </w:tcPr>
          <w:p w14:paraId="44324ABF" w14:textId="77777777" w:rsidR="00E60D05" w:rsidRPr="00276D5E" w:rsidRDefault="00E60D05" w:rsidP="009601C2">
            <w:pPr>
              <w:pStyle w:val="TableParagraph"/>
              <w:spacing w:line="276" w:lineRule="auto"/>
              <w:ind w:left="0"/>
              <w:rPr>
                <w:rFonts w:ascii="Arial" w:hAnsi="Arial" w:cs="Arial"/>
                <w:sz w:val="16"/>
              </w:rPr>
            </w:pPr>
          </w:p>
        </w:tc>
      </w:tr>
      <w:tr w:rsidR="00E60D05" w:rsidRPr="00276D5E" w14:paraId="1657281F" w14:textId="77777777" w:rsidTr="00E60D05">
        <w:trPr>
          <w:trHeight w:val="242"/>
        </w:trPr>
        <w:tc>
          <w:tcPr>
            <w:tcW w:w="9298" w:type="dxa"/>
            <w:gridSpan w:val="4"/>
          </w:tcPr>
          <w:p w14:paraId="042EE6C1" w14:textId="77777777" w:rsidR="00E60D05" w:rsidRPr="00276D5E" w:rsidRDefault="00E60D05" w:rsidP="009601C2">
            <w:pPr>
              <w:pStyle w:val="TableParagraph"/>
              <w:spacing w:line="276" w:lineRule="auto"/>
              <w:ind w:left="57"/>
              <w:rPr>
                <w:rFonts w:ascii="Arial" w:hAnsi="Arial" w:cs="Arial"/>
                <w:b/>
                <w:sz w:val="20"/>
              </w:rPr>
            </w:pPr>
            <w:r w:rsidRPr="00276D5E">
              <w:rPr>
                <w:rFonts w:ascii="Arial" w:hAnsi="Arial" w:cs="Arial"/>
                <w:b/>
                <w:sz w:val="20"/>
              </w:rPr>
              <w:t>Personnel</w:t>
            </w:r>
          </w:p>
        </w:tc>
      </w:tr>
      <w:tr w:rsidR="00E60D05" w:rsidRPr="00276D5E" w14:paraId="19E960B8" w14:textId="77777777" w:rsidTr="00E60D05">
        <w:trPr>
          <w:trHeight w:val="489"/>
        </w:trPr>
        <w:tc>
          <w:tcPr>
            <w:tcW w:w="4568" w:type="dxa"/>
          </w:tcPr>
          <w:p w14:paraId="28AAF4F8" w14:textId="77777777" w:rsidR="00E60D05" w:rsidRPr="00276D5E" w:rsidRDefault="00E60D05" w:rsidP="009601C2">
            <w:pPr>
              <w:pStyle w:val="TableParagraph"/>
              <w:spacing w:before="1" w:line="276" w:lineRule="auto"/>
              <w:ind w:left="57"/>
              <w:rPr>
                <w:rFonts w:ascii="Arial" w:hAnsi="Arial" w:cs="Arial"/>
                <w:sz w:val="20"/>
              </w:rPr>
            </w:pPr>
            <w:r w:rsidRPr="00276D5E">
              <w:rPr>
                <w:rFonts w:ascii="Arial" w:hAnsi="Arial" w:cs="Arial"/>
                <w:sz w:val="20"/>
              </w:rPr>
              <w:t>Correctly</w:t>
            </w:r>
            <w:r w:rsidRPr="00276D5E">
              <w:rPr>
                <w:rFonts w:ascii="Arial" w:hAnsi="Arial" w:cs="Arial"/>
                <w:spacing w:val="-4"/>
                <w:sz w:val="20"/>
              </w:rPr>
              <w:t xml:space="preserve"> </w:t>
            </w:r>
            <w:r w:rsidRPr="00276D5E">
              <w:rPr>
                <w:rFonts w:ascii="Arial" w:hAnsi="Arial" w:cs="Arial"/>
                <w:sz w:val="20"/>
              </w:rPr>
              <w:t>identified</w:t>
            </w:r>
            <w:r w:rsidRPr="00276D5E">
              <w:rPr>
                <w:rFonts w:ascii="Arial" w:hAnsi="Arial" w:cs="Arial"/>
                <w:spacing w:val="-3"/>
                <w:sz w:val="20"/>
              </w:rPr>
              <w:t xml:space="preserve"> </w:t>
            </w:r>
            <w:r w:rsidRPr="00276D5E">
              <w:rPr>
                <w:rFonts w:ascii="Arial" w:hAnsi="Arial" w:cs="Arial"/>
                <w:sz w:val="20"/>
              </w:rPr>
              <w:t>current</w:t>
            </w:r>
            <w:r w:rsidRPr="00276D5E">
              <w:rPr>
                <w:rFonts w:ascii="Arial" w:hAnsi="Arial" w:cs="Arial"/>
                <w:spacing w:val="-3"/>
                <w:sz w:val="20"/>
              </w:rPr>
              <w:t xml:space="preserve"> </w:t>
            </w:r>
            <w:r w:rsidRPr="00276D5E">
              <w:rPr>
                <w:rFonts w:ascii="Arial" w:hAnsi="Arial" w:cs="Arial"/>
                <w:sz w:val="20"/>
              </w:rPr>
              <w:t>accountable</w:t>
            </w:r>
            <w:r w:rsidRPr="00276D5E">
              <w:rPr>
                <w:rFonts w:ascii="Arial" w:hAnsi="Arial" w:cs="Arial"/>
                <w:spacing w:val="-2"/>
                <w:sz w:val="20"/>
              </w:rPr>
              <w:t xml:space="preserve"> </w:t>
            </w:r>
            <w:r w:rsidRPr="00276D5E">
              <w:rPr>
                <w:rFonts w:ascii="Arial" w:hAnsi="Arial" w:cs="Arial"/>
                <w:sz w:val="20"/>
              </w:rPr>
              <w:t>manager</w:t>
            </w:r>
          </w:p>
          <w:p w14:paraId="4184A16A"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and</w:t>
            </w:r>
            <w:r w:rsidRPr="00276D5E">
              <w:rPr>
                <w:rFonts w:ascii="Arial" w:hAnsi="Arial" w:cs="Arial"/>
                <w:spacing w:val="-3"/>
                <w:sz w:val="20"/>
              </w:rPr>
              <w:t xml:space="preserve"> </w:t>
            </w:r>
            <w:r w:rsidRPr="00276D5E">
              <w:rPr>
                <w:rFonts w:ascii="Arial" w:hAnsi="Arial" w:cs="Arial"/>
                <w:sz w:val="20"/>
              </w:rPr>
              <w:t>other</w:t>
            </w:r>
            <w:r w:rsidRPr="00276D5E">
              <w:rPr>
                <w:rFonts w:ascii="Arial" w:hAnsi="Arial" w:cs="Arial"/>
                <w:spacing w:val="-2"/>
                <w:sz w:val="20"/>
              </w:rPr>
              <w:t xml:space="preserve"> </w:t>
            </w:r>
            <w:r w:rsidRPr="00276D5E">
              <w:rPr>
                <w:rFonts w:ascii="Arial" w:hAnsi="Arial" w:cs="Arial"/>
                <w:sz w:val="20"/>
              </w:rPr>
              <w:t>nominated</w:t>
            </w:r>
            <w:r w:rsidRPr="00276D5E">
              <w:rPr>
                <w:rFonts w:ascii="Arial" w:hAnsi="Arial" w:cs="Arial"/>
                <w:spacing w:val="-3"/>
                <w:sz w:val="20"/>
              </w:rPr>
              <w:t xml:space="preserve"> </w:t>
            </w:r>
            <w:r w:rsidRPr="00276D5E">
              <w:rPr>
                <w:rFonts w:ascii="Arial" w:hAnsi="Arial" w:cs="Arial"/>
                <w:sz w:val="20"/>
              </w:rPr>
              <w:t>persons</w:t>
            </w:r>
          </w:p>
        </w:tc>
        <w:tc>
          <w:tcPr>
            <w:tcW w:w="1217" w:type="dxa"/>
          </w:tcPr>
          <w:p w14:paraId="183138C0" w14:textId="77777777" w:rsidR="00E60D05" w:rsidRPr="00276D5E" w:rsidRDefault="00E60D05" w:rsidP="009601C2">
            <w:pPr>
              <w:pStyle w:val="TableParagraph"/>
              <w:spacing w:line="276" w:lineRule="auto"/>
              <w:ind w:left="0"/>
              <w:rPr>
                <w:rFonts w:ascii="Arial" w:hAnsi="Arial" w:cs="Arial"/>
                <w:sz w:val="18"/>
              </w:rPr>
            </w:pPr>
          </w:p>
        </w:tc>
        <w:tc>
          <w:tcPr>
            <w:tcW w:w="1118" w:type="dxa"/>
          </w:tcPr>
          <w:p w14:paraId="335ADE0A" w14:textId="77777777" w:rsidR="00E60D05" w:rsidRPr="00276D5E" w:rsidRDefault="00E60D05" w:rsidP="009601C2">
            <w:pPr>
              <w:pStyle w:val="TableParagraph"/>
              <w:spacing w:line="276" w:lineRule="auto"/>
              <w:ind w:left="0"/>
              <w:rPr>
                <w:rFonts w:ascii="Arial" w:hAnsi="Arial" w:cs="Arial"/>
                <w:sz w:val="18"/>
              </w:rPr>
            </w:pPr>
          </w:p>
        </w:tc>
        <w:tc>
          <w:tcPr>
            <w:tcW w:w="2395" w:type="dxa"/>
          </w:tcPr>
          <w:p w14:paraId="4004F9A1" w14:textId="77777777" w:rsidR="00E60D05" w:rsidRPr="00276D5E" w:rsidRDefault="00E60D05" w:rsidP="009601C2">
            <w:pPr>
              <w:pStyle w:val="TableParagraph"/>
              <w:spacing w:line="276" w:lineRule="auto"/>
              <w:ind w:left="0"/>
              <w:rPr>
                <w:rFonts w:ascii="Arial" w:hAnsi="Arial" w:cs="Arial"/>
                <w:sz w:val="18"/>
              </w:rPr>
            </w:pPr>
          </w:p>
        </w:tc>
      </w:tr>
      <w:tr w:rsidR="00E60D05" w:rsidRPr="00276D5E" w14:paraId="63E8C954" w14:textId="77777777" w:rsidTr="00E60D05">
        <w:trPr>
          <w:trHeight w:val="731"/>
        </w:trPr>
        <w:tc>
          <w:tcPr>
            <w:tcW w:w="4568" w:type="dxa"/>
          </w:tcPr>
          <w:p w14:paraId="29303468" w14:textId="77777777" w:rsidR="00E60D05" w:rsidRPr="00276D5E" w:rsidRDefault="00E60D05" w:rsidP="009601C2">
            <w:pPr>
              <w:pStyle w:val="TableParagraph"/>
              <w:spacing w:line="276" w:lineRule="auto"/>
              <w:ind w:left="57" w:right="137"/>
              <w:rPr>
                <w:rFonts w:ascii="Arial" w:hAnsi="Arial" w:cs="Arial"/>
                <w:sz w:val="20"/>
              </w:rPr>
            </w:pPr>
            <w:r w:rsidRPr="00276D5E">
              <w:rPr>
                <w:rFonts w:ascii="Arial" w:hAnsi="Arial" w:cs="Arial"/>
                <w:sz w:val="20"/>
              </w:rPr>
              <w:t>The</w:t>
            </w:r>
            <w:r w:rsidRPr="00276D5E">
              <w:rPr>
                <w:rFonts w:ascii="Arial" w:hAnsi="Arial" w:cs="Arial"/>
                <w:spacing w:val="-4"/>
                <w:sz w:val="20"/>
              </w:rPr>
              <w:t xml:space="preserve"> </w:t>
            </w:r>
            <w:r w:rsidRPr="00276D5E">
              <w:rPr>
                <w:rFonts w:ascii="Arial" w:hAnsi="Arial" w:cs="Arial"/>
                <w:sz w:val="20"/>
              </w:rPr>
              <w:t>organisation</w:t>
            </w:r>
            <w:r w:rsidRPr="00276D5E">
              <w:rPr>
                <w:rFonts w:ascii="Arial" w:hAnsi="Arial" w:cs="Arial"/>
                <w:spacing w:val="-1"/>
                <w:sz w:val="20"/>
              </w:rPr>
              <w:t xml:space="preserve"> </w:t>
            </w:r>
            <w:r w:rsidRPr="00276D5E">
              <w:rPr>
                <w:rFonts w:ascii="Arial" w:hAnsi="Arial" w:cs="Arial"/>
                <w:sz w:val="20"/>
              </w:rPr>
              <w:t>chart</w:t>
            </w:r>
            <w:r w:rsidRPr="00276D5E">
              <w:rPr>
                <w:rFonts w:ascii="Arial" w:hAnsi="Arial" w:cs="Arial"/>
                <w:spacing w:val="-2"/>
                <w:sz w:val="20"/>
              </w:rPr>
              <w:t xml:space="preserve"> </w:t>
            </w:r>
            <w:r w:rsidRPr="00276D5E">
              <w:rPr>
                <w:rFonts w:ascii="Arial" w:hAnsi="Arial" w:cs="Arial"/>
                <w:sz w:val="20"/>
              </w:rPr>
              <w:t>accurately</w:t>
            </w:r>
            <w:r w:rsidRPr="00276D5E">
              <w:rPr>
                <w:rFonts w:ascii="Arial" w:hAnsi="Arial" w:cs="Arial"/>
                <w:spacing w:val="-2"/>
                <w:sz w:val="20"/>
              </w:rPr>
              <w:t xml:space="preserve"> </w:t>
            </w:r>
            <w:r w:rsidRPr="00276D5E">
              <w:rPr>
                <w:rFonts w:ascii="Arial" w:hAnsi="Arial" w:cs="Arial"/>
                <w:sz w:val="20"/>
              </w:rPr>
              <w:t>indicates</w:t>
            </w:r>
            <w:r w:rsidRPr="00276D5E">
              <w:rPr>
                <w:rFonts w:ascii="Arial" w:hAnsi="Arial" w:cs="Arial"/>
                <w:spacing w:val="-4"/>
                <w:sz w:val="20"/>
              </w:rPr>
              <w:t xml:space="preserve"> </w:t>
            </w:r>
            <w:r w:rsidRPr="00276D5E">
              <w:rPr>
                <w:rFonts w:ascii="Arial" w:hAnsi="Arial" w:cs="Arial"/>
                <w:sz w:val="20"/>
              </w:rPr>
              <w:t>lines</w:t>
            </w:r>
            <w:r w:rsidRPr="00276D5E">
              <w:rPr>
                <w:rFonts w:ascii="Arial" w:hAnsi="Arial" w:cs="Arial"/>
                <w:spacing w:val="-4"/>
                <w:sz w:val="20"/>
              </w:rPr>
              <w:t xml:space="preserve"> </w:t>
            </w:r>
            <w:r w:rsidRPr="00276D5E">
              <w:rPr>
                <w:rFonts w:ascii="Arial" w:hAnsi="Arial" w:cs="Arial"/>
                <w:sz w:val="20"/>
              </w:rPr>
              <w:t>of</w:t>
            </w:r>
            <w:r w:rsidRPr="00276D5E">
              <w:rPr>
                <w:rFonts w:ascii="Arial" w:hAnsi="Arial" w:cs="Arial"/>
                <w:spacing w:val="-42"/>
                <w:sz w:val="20"/>
              </w:rPr>
              <w:t xml:space="preserve"> </w:t>
            </w:r>
            <w:r w:rsidRPr="00276D5E">
              <w:rPr>
                <w:rFonts w:ascii="Arial" w:hAnsi="Arial" w:cs="Arial"/>
                <w:sz w:val="20"/>
              </w:rPr>
              <w:t>responsibility</w:t>
            </w:r>
            <w:r w:rsidRPr="00276D5E">
              <w:rPr>
                <w:rFonts w:ascii="Arial" w:hAnsi="Arial" w:cs="Arial"/>
                <w:spacing w:val="-3"/>
                <w:sz w:val="20"/>
              </w:rPr>
              <w:t xml:space="preserve"> </w:t>
            </w:r>
            <w:r w:rsidRPr="00276D5E">
              <w:rPr>
                <w:rFonts w:ascii="Arial" w:hAnsi="Arial" w:cs="Arial"/>
                <w:sz w:val="20"/>
              </w:rPr>
              <w:t>and</w:t>
            </w:r>
            <w:r w:rsidRPr="00276D5E">
              <w:rPr>
                <w:rFonts w:ascii="Arial" w:hAnsi="Arial" w:cs="Arial"/>
                <w:spacing w:val="-2"/>
                <w:sz w:val="20"/>
              </w:rPr>
              <w:t xml:space="preserve"> </w:t>
            </w:r>
            <w:r w:rsidRPr="00276D5E">
              <w:rPr>
                <w:rFonts w:ascii="Arial" w:hAnsi="Arial" w:cs="Arial"/>
                <w:sz w:val="20"/>
              </w:rPr>
              <w:t>accountability</w:t>
            </w:r>
            <w:r w:rsidRPr="00276D5E">
              <w:rPr>
                <w:rFonts w:ascii="Arial" w:hAnsi="Arial" w:cs="Arial"/>
                <w:spacing w:val="-3"/>
                <w:sz w:val="20"/>
              </w:rPr>
              <w:t xml:space="preserve"> </w:t>
            </w:r>
            <w:r w:rsidRPr="00276D5E">
              <w:rPr>
                <w:rFonts w:ascii="Arial" w:hAnsi="Arial" w:cs="Arial"/>
                <w:sz w:val="20"/>
              </w:rPr>
              <w:t>throughout</w:t>
            </w:r>
            <w:r w:rsidRPr="00276D5E">
              <w:rPr>
                <w:rFonts w:ascii="Arial" w:hAnsi="Arial" w:cs="Arial"/>
                <w:spacing w:val="-2"/>
                <w:sz w:val="20"/>
              </w:rPr>
              <w:t xml:space="preserve"> </w:t>
            </w:r>
            <w:r w:rsidRPr="00276D5E">
              <w:rPr>
                <w:rFonts w:ascii="Arial" w:hAnsi="Arial" w:cs="Arial"/>
                <w:sz w:val="20"/>
              </w:rPr>
              <w:t>the</w:t>
            </w:r>
          </w:p>
          <w:p w14:paraId="39575126"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organisation</w:t>
            </w:r>
          </w:p>
        </w:tc>
        <w:tc>
          <w:tcPr>
            <w:tcW w:w="1217" w:type="dxa"/>
          </w:tcPr>
          <w:p w14:paraId="65D0F0B3" w14:textId="77777777" w:rsidR="00E60D05" w:rsidRPr="00276D5E" w:rsidRDefault="00E60D05" w:rsidP="009601C2">
            <w:pPr>
              <w:pStyle w:val="TableParagraph"/>
              <w:spacing w:line="276" w:lineRule="auto"/>
              <w:ind w:left="0"/>
              <w:rPr>
                <w:rFonts w:ascii="Arial" w:hAnsi="Arial" w:cs="Arial"/>
                <w:sz w:val="18"/>
              </w:rPr>
            </w:pPr>
          </w:p>
        </w:tc>
        <w:tc>
          <w:tcPr>
            <w:tcW w:w="1118" w:type="dxa"/>
          </w:tcPr>
          <w:p w14:paraId="1BAEF153" w14:textId="77777777" w:rsidR="00E60D05" w:rsidRPr="00276D5E" w:rsidRDefault="00E60D05" w:rsidP="009601C2">
            <w:pPr>
              <w:pStyle w:val="TableParagraph"/>
              <w:spacing w:line="276" w:lineRule="auto"/>
              <w:ind w:left="0"/>
              <w:rPr>
                <w:rFonts w:ascii="Arial" w:hAnsi="Arial" w:cs="Arial"/>
                <w:sz w:val="18"/>
              </w:rPr>
            </w:pPr>
          </w:p>
        </w:tc>
        <w:tc>
          <w:tcPr>
            <w:tcW w:w="2395" w:type="dxa"/>
          </w:tcPr>
          <w:p w14:paraId="216CBF04" w14:textId="77777777" w:rsidR="00E60D05" w:rsidRPr="00276D5E" w:rsidRDefault="00E60D05" w:rsidP="009601C2">
            <w:pPr>
              <w:pStyle w:val="TableParagraph"/>
              <w:spacing w:line="276" w:lineRule="auto"/>
              <w:ind w:left="0"/>
              <w:rPr>
                <w:rFonts w:ascii="Arial" w:hAnsi="Arial" w:cs="Arial"/>
                <w:sz w:val="18"/>
              </w:rPr>
            </w:pPr>
          </w:p>
        </w:tc>
      </w:tr>
      <w:tr w:rsidR="00E60D05" w:rsidRPr="00276D5E" w14:paraId="0957470A" w14:textId="77777777" w:rsidTr="00E60D05">
        <w:trPr>
          <w:trHeight w:val="733"/>
        </w:trPr>
        <w:tc>
          <w:tcPr>
            <w:tcW w:w="4568" w:type="dxa"/>
          </w:tcPr>
          <w:p w14:paraId="7480834A" w14:textId="77777777" w:rsidR="00E60D05" w:rsidRPr="00276D5E" w:rsidRDefault="00E60D05" w:rsidP="009601C2">
            <w:pPr>
              <w:pStyle w:val="TableParagraph"/>
              <w:spacing w:before="1" w:line="276" w:lineRule="auto"/>
              <w:ind w:left="57" w:right="302"/>
              <w:rPr>
                <w:rFonts w:ascii="Arial" w:hAnsi="Arial" w:cs="Arial"/>
                <w:sz w:val="20"/>
              </w:rPr>
            </w:pPr>
            <w:r w:rsidRPr="00276D5E">
              <w:rPr>
                <w:rFonts w:ascii="Arial" w:hAnsi="Arial" w:cs="Arial"/>
                <w:sz w:val="20"/>
              </w:rPr>
              <w:t>Qualifications</w:t>
            </w:r>
            <w:r w:rsidRPr="00276D5E">
              <w:rPr>
                <w:rFonts w:ascii="Arial" w:hAnsi="Arial" w:cs="Arial"/>
                <w:spacing w:val="-5"/>
                <w:sz w:val="20"/>
              </w:rPr>
              <w:t xml:space="preserve"> </w:t>
            </w:r>
            <w:r w:rsidRPr="00276D5E">
              <w:rPr>
                <w:rFonts w:ascii="Arial" w:hAnsi="Arial" w:cs="Arial"/>
                <w:sz w:val="20"/>
              </w:rPr>
              <w:t>of</w:t>
            </w:r>
            <w:r w:rsidRPr="00276D5E">
              <w:rPr>
                <w:rFonts w:ascii="Arial" w:hAnsi="Arial" w:cs="Arial"/>
                <w:spacing w:val="-4"/>
                <w:sz w:val="20"/>
              </w:rPr>
              <w:t xml:space="preserve"> </w:t>
            </w:r>
            <w:r w:rsidRPr="00276D5E">
              <w:rPr>
                <w:rFonts w:ascii="Arial" w:hAnsi="Arial" w:cs="Arial"/>
                <w:sz w:val="20"/>
              </w:rPr>
              <w:t>all</w:t>
            </w:r>
            <w:r w:rsidRPr="00276D5E">
              <w:rPr>
                <w:rFonts w:ascii="Arial" w:hAnsi="Arial" w:cs="Arial"/>
                <w:spacing w:val="-2"/>
                <w:sz w:val="20"/>
              </w:rPr>
              <w:t xml:space="preserve"> </w:t>
            </w:r>
            <w:r w:rsidRPr="00276D5E">
              <w:rPr>
                <w:rFonts w:ascii="Arial" w:hAnsi="Arial" w:cs="Arial"/>
                <w:sz w:val="20"/>
              </w:rPr>
              <w:t>new</w:t>
            </w:r>
            <w:r w:rsidRPr="00276D5E">
              <w:rPr>
                <w:rFonts w:ascii="Arial" w:hAnsi="Arial" w:cs="Arial"/>
                <w:spacing w:val="-4"/>
                <w:sz w:val="20"/>
              </w:rPr>
              <w:t xml:space="preserve"> </w:t>
            </w:r>
            <w:r w:rsidRPr="00276D5E">
              <w:rPr>
                <w:rFonts w:ascii="Arial" w:hAnsi="Arial" w:cs="Arial"/>
                <w:sz w:val="20"/>
              </w:rPr>
              <w:t>personnel</w:t>
            </w:r>
            <w:r w:rsidRPr="00276D5E">
              <w:rPr>
                <w:rFonts w:ascii="Arial" w:hAnsi="Arial" w:cs="Arial"/>
                <w:spacing w:val="-2"/>
                <w:sz w:val="20"/>
              </w:rPr>
              <w:t xml:space="preserve"> </w:t>
            </w:r>
            <w:r w:rsidRPr="00276D5E">
              <w:rPr>
                <w:rFonts w:ascii="Arial" w:hAnsi="Arial" w:cs="Arial"/>
                <w:sz w:val="20"/>
              </w:rPr>
              <w:t>(or</w:t>
            </w:r>
            <w:r w:rsidRPr="00276D5E">
              <w:rPr>
                <w:rFonts w:ascii="Arial" w:hAnsi="Arial" w:cs="Arial"/>
                <w:spacing w:val="-2"/>
                <w:sz w:val="20"/>
              </w:rPr>
              <w:t xml:space="preserve"> </w:t>
            </w:r>
            <w:r w:rsidRPr="00276D5E">
              <w:rPr>
                <w:rFonts w:ascii="Arial" w:hAnsi="Arial" w:cs="Arial"/>
                <w:sz w:val="20"/>
              </w:rPr>
              <w:t>personnel</w:t>
            </w:r>
            <w:r w:rsidRPr="00276D5E">
              <w:rPr>
                <w:rFonts w:ascii="Arial" w:hAnsi="Arial" w:cs="Arial"/>
                <w:spacing w:val="-43"/>
                <w:sz w:val="20"/>
              </w:rPr>
              <w:t xml:space="preserve"> </w:t>
            </w:r>
            <w:r w:rsidRPr="00276D5E">
              <w:rPr>
                <w:rFonts w:ascii="Arial" w:hAnsi="Arial" w:cs="Arial"/>
                <w:sz w:val="20"/>
              </w:rPr>
              <w:t>with</w:t>
            </w:r>
            <w:r w:rsidRPr="00276D5E">
              <w:rPr>
                <w:rFonts w:ascii="Arial" w:hAnsi="Arial" w:cs="Arial"/>
                <w:spacing w:val="-2"/>
                <w:sz w:val="20"/>
              </w:rPr>
              <w:t xml:space="preserve"> </w:t>
            </w:r>
            <w:r w:rsidRPr="00276D5E">
              <w:rPr>
                <w:rFonts w:ascii="Arial" w:hAnsi="Arial" w:cs="Arial"/>
                <w:sz w:val="20"/>
              </w:rPr>
              <w:t>new</w:t>
            </w:r>
            <w:r w:rsidRPr="00276D5E">
              <w:rPr>
                <w:rFonts w:ascii="Arial" w:hAnsi="Arial" w:cs="Arial"/>
                <w:spacing w:val="-2"/>
                <w:sz w:val="20"/>
              </w:rPr>
              <w:t xml:space="preserve"> </w:t>
            </w:r>
            <w:r w:rsidRPr="00276D5E">
              <w:rPr>
                <w:rFonts w:ascii="Arial" w:hAnsi="Arial" w:cs="Arial"/>
                <w:sz w:val="20"/>
              </w:rPr>
              <w:t>functions)</w:t>
            </w:r>
            <w:r w:rsidRPr="00276D5E">
              <w:rPr>
                <w:rFonts w:ascii="Arial" w:hAnsi="Arial" w:cs="Arial"/>
                <w:spacing w:val="-2"/>
                <w:sz w:val="20"/>
              </w:rPr>
              <w:t xml:space="preserve"> </w:t>
            </w:r>
            <w:r w:rsidRPr="00276D5E">
              <w:rPr>
                <w:rFonts w:ascii="Arial" w:hAnsi="Arial" w:cs="Arial"/>
                <w:sz w:val="20"/>
              </w:rPr>
              <w:t>have</w:t>
            </w:r>
            <w:r w:rsidRPr="00276D5E">
              <w:rPr>
                <w:rFonts w:ascii="Arial" w:hAnsi="Arial" w:cs="Arial"/>
                <w:spacing w:val="-2"/>
                <w:sz w:val="20"/>
              </w:rPr>
              <w:t xml:space="preserve"> </w:t>
            </w:r>
            <w:r w:rsidRPr="00276D5E">
              <w:rPr>
                <w:rFonts w:ascii="Arial" w:hAnsi="Arial" w:cs="Arial"/>
                <w:sz w:val="20"/>
              </w:rPr>
              <w:t>been</w:t>
            </w:r>
            <w:r w:rsidRPr="00276D5E">
              <w:rPr>
                <w:rFonts w:ascii="Arial" w:hAnsi="Arial" w:cs="Arial"/>
                <w:spacing w:val="-1"/>
                <w:sz w:val="20"/>
              </w:rPr>
              <w:t xml:space="preserve"> </w:t>
            </w:r>
            <w:r w:rsidRPr="00276D5E">
              <w:rPr>
                <w:rFonts w:ascii="Arial" w:hAnsi="Arial" w:cs="Arial"/>
                <w:sz w:val="20"/>
              </w:rPr>
              <w:t>appropriately</w:t>
            </w:r>
          </w:p>
          <w:p w14:paraId="01399DAE"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assessed</w:t>
            </w:r>
          </w:p>
        </w:tc>
        <w:tc>
          <w:tcPr>
            <w:tcW w:w="1217" w:type="dxa"/>
          </w:tcPr>
          <w:p w14:paraId="1A62CFFD" w14:textId="77777777" w:rsidR="00E60D05" w:rsidRPr="00276D5E" w:rsidRDefault="00E60D05" w:rsidP="009601C2">
            <w:pPr>
              <w:pStyle w:val="TableParagraph"/>
              <w:spacing w:line="276" w:lineRule="auto"/>
              <w:ind w:left="0"/>
              <w:rPr>
                <w:rFonts w:ascii="Arial" w:hAnsi="Arial" w:cs="Arial"/>
                <w:sz w:val="18"/>
              </w:rPr>
            </w:pPr>
          </w:p>
        </w:tc>
        <w:tc>
          <w:tcPr>
            <w:tcW w:w="1118" w:type="dxa"/>
          </w:tcPr>
          <w:p w14:paraId="5BD1E418" w14:textId="77777777" w:rsidR="00E60D05" w:rsidRPr="00276D5E" w:rsidRDefault="00E60D05" w:rsidP="009601C2">
            <w:pPr>
              <w:pStyle w:val="TableParagraph"/>
              <w:spacing w:line="276" w:lineRule="auto"/>
              <w:ind w:left="0"/>
              <w:rPr>
                <w:rFonts w:ascii="Arial" w:hAnsi="Arial" w:cs="Arial"/>
                <w:sz w:val="18"/>
              </w:rPr>
            </w:pPr>
          </w:p>
        </w:tc>
        <w:tc>
          <w:tcPr>
            <w:tcW w:w="2395" w:type="dxa"/>
          </w:tcPr>
          <w:p w14:paraId="1E284121" w14:textId="77777777" w:rsidR="00E60D05" w:rsidRPr="00276D5E" w:rsidRDefault="00E60D05" w:rsidP="009601C2">
            <w:pPr>
              <w:pStyle w:val="TableParagraph"/>
              <w:spacing w:line="276" w:lineRule="auto"/>
              <w:ind w:left="0"/>
              <w:rPr>
                <w:rFonts w:ascii="Arial" w:hAnsi="Arial" w:cs="Arial"/>
                <w:sz w:val="18"/>
              </w:rPr>
            </w:pPr>
          </w:p>
        </w:tc>
      </w:tr>
      <w:tr w:rsidR="00E60D05" w:rsidRPr="00276D5E" w14:paraId="31B69FB2" w14:textId="77777777" w:rsidTr="00E60D05">
        <w:trPr>
          <w:trHeight w:val="731"/>
        </w:trPr>
        <w:tc>
          <w:tcPr>
            <w:tcW w:w="4568" w:type="dxa"/>
          </w:tcPr>
          <w:p w14:paraId="744CF903" w14:textId="77777777" w:rsidR="00E60D05" w:rsidRPr="00276D5E" w:rsidRDefault="00E60D05" w:rsidP="009601C2">
            <w:pPr>
              <w:pStyle w:val="TableParagraph"/>
              <w:spacing w:line="276" w:lineRule="auto"/>
              <w:ind w:left="57" w:right="11"/>
              <w:rPr>
                <w:rFonts w:ascii="Arial" w:hAnsi="Arial" w:cs="Arial"/>
                <w:sz w:val="20"/>
              </w:rPr>
            </w:pPr>
            <w:r w:rsidRPr="00276D5E">
              <w:rPr>
                <w:rFonts w:ascii="Arial" w:hAnsi="Arial" w:cs="Arial"/>
                <w:sz w:val="20"/>
              </w:rPr>
              <w:t>Proper</w:t>
            </w:r>
            <w:r w:rsidRPr="00276D5E">
              <w:rPr>
                <w:rFonts w:ascii="Arial" w:hAnsi="Arial" w:cs="Arial"/>
                <w:spacing w:val="-3"/>
                <w:sz w:val="20"/>
              </w:rPr>
              <w:t xml:space="preserve"> </w:t>
            </w:r>
            <w:r w:rsidRPr="00276D5E">
              <w:rPr>
                <w:rFonts w:ascii="Arial" w:hAnsi="Arial" w:cs="Arial"/>
                <w:sz w:val="20"/>
              </w:rPr>
              <w:t>training</w:t>
            </w:r>
            <w:r w:rsidRPr="00276D5E">
              <w:rPr>
                <w:rFonts w:ascii="Arial" w:hAnsi="Arial" w:cs="Arial"/>
                <w:spacing w:val="-3"/>
                <w:sz w:val="20"/>
              </w:rPr>
              <w:t xml:space="preserve"> </w:t>
            </w:r>
            <w:r w:rsidRPr="00276D5E">
              <w:rPr>
                <w:rFonts w:ascii="Arial" w:hAnsi="Arial" w:cs="Arial"/>
                <w:sz w:val="20"/>
              </w:rPr>
              <w:t>has</w:t>
            </w:r>
            <w:r w:rsidRPr="00276D5E">
              <w:rPr>
                <w:rFonts w:ascii="Arial" w:hAnsi="Arial" w:cs="Arial"/>
                <w:spacing w:val="-4"/>
                <w:sz w:val="20"/>
              </w:rPr>
              <w:t xml:space="preserve"> </w:t>
            </w:r>
            <w:r w:rsidRPr="00276D5E">
              <w:rPr>
                <w:rFonts w:ascii="Arial" w:hAnsi="Arial" w:cs="Arial"/>
                <w:sz w:val="20"/>
              </w:rPr>
              <w:t>been</w:t>
            </w:r>
            <w:r w:rsidRPr="00276D5E">
              <w:rPr>
                <w:rFonts w:ascii="Arial" w:hAnsi="Arial" w:cs="Arial"/>
                <w:spacing w:val="-2"/>
                <w:sz w:val="20"/>
              </w:rPr>
              <w:t xml:space="preserve"> </w:t>
            </w:r>
            <w:r w:rsidRPr="00276D5E">
              <w:rPr>
                <w:rFonts w:ascii="Arial" w:hAnsi="Arial" w:cs="Arial"/>
                <w:sz w:val="20"/>
              </w:rPr>
              <w:t>provided</w:t>
            </w:r>
            <w:r w:rsidRPr="00276D5E">
              <w:rPr>
                <w:rFonts w:ascii="Arial" w:hAnsi="Arial" w:cs="Arial"/>
                <w:spacing w:val="-3"/>
                <w:sz w:val="20"/>
              </w:rPr>
              <w:t xml:space="preserve"> </w:t>
            </w:r>
            <w:r w:rsidRPr="00276D5E">
              <w:rPr>
                <w:rFonts w:ascii="Arial" w:hAnsi="Arial" w:cs="Arial"/>
                <w:sz w:val="20"/>
              </w:rPr>
              <w:t>to</w:t>
            </w:r>
            <w:r w:rsidRPr="00276D5E">
              <w:rPr>
                <w:rFonts w:ascii="Arial" w:hAnsi="Arial" w:cs="Arial"/>
                <w:spacing w:val="-2"/>
                <w:sz w:val="20"/>
              </w:rPr>
              <w:t xml:space="preserve"> </w:t>
            </w:r>
            <w:r w:rsidRPr="00276D5E">
              <w:rPr>
                <w:rFonts w:ascii="Arial" w:hAnsi="Arial" w:cs="Arial"/>
                <w:sz w:val="20"/>
              </w:rPr>
              <w:t>staff</w:t>
            </w:r>
            <w:r w:rsidRPr="00276D5E">
              <w:rPr>
                <w:rFonts w:ascii="Arial" w:hAnsi="Arial" w:cs="Arial"/>
                <w:spacing w:val="-5"/>
                <w:sz w:val="20"/>
              </w:rPr>
              <w:t xml:space="preserve"> </w:t>
            </w:r>
            <w:r w:rsidRPr="00276D5E">
              <w:rPr>
                <w:rFonts w:ascii="Arial" w:hAnsi="Arial" w:cs="Arial"/>
                <w:sz w:val="20"/>
              </w:rPr>
              <w:t>involved</w:t>
            </w:r>
            <w:r w:rsidRPr="00276D5E">
              <w:rPr>
                <w:rFonts w:ascii="Arial" w:hAnsi="Arial" w:cs="Arial"/>
                <w:spacing w:val="-42"/>
                <w:sz w:val="20"/>
              </w:rPr>
              <w:t xml:space="preserve"> </w:t>
            </w:r>
            <w:r w:rsidRPr="00276D5E">
              <w:rPr>
                <w:rFonts w:ascii="Arial" w:hAnsi="Arial" w:cs="Arial"/>
                <w:sz w:val="20"/>
              </w:rPr>
              <w:t>in</w:t>
            </w:r>
            <w:r w:rsidRPr="00276D5E">
              <w:rPr>
                <w:rFonts w:ascii="Arial" w:hAnsi="Arial" w:cs="Arial"/>
                <w:spacing w:val="-3"/>
                <w:sz w:val="20"/>
              </w:rPr>
              <w:t xml:space="preserve"> </w:t>
            </w:r>
            <w:r w:rsidRPr="00276D5E">
              <w:rPr>
                <w:rFonts w:ascii="Arial" w:hAnsi="Arial" w:cs="Arial"/>
                <w:sz w:val="20"/>
              </w:rPr>
              <w:t>any</w:t>
            </w:r>
            <w:r w:rsidRPr="00276D5E">
              <w:rPr>
                <w:rFonts w:ascii="Arial" w:hAnsi="Arial" w:cs="Arial"/>
                <w:spacing w:val="-2"/>
                <w:sz w:val="20"/>
              </w:rPr>
              <w:t xml:space="preserve"> </w:t>
            </w:r>
            <w:r w:rsidRPr="00276D5E">
              <w:rPr>
                <w:rFonts w:ascii="Arial" w:hAnsi="Arial" w:cs="Arial"/>
                <w:sz w:val="20"/>
              </w:rPr>
              <w:t>safety-management-related</w:t>
            </w:r>
            <w:r w:rsidRPr="00276D5E">
              <w:rPr>
                <w:rFonts w:ascii="Arial" w:hAnsi="Arial" w:cs="Arial"/>
                <w:spacing w:val="-2"/>
                <w:sz w:val="20"/>
              </w:rPr>
              <w:t xml:space="preserve"> </w:t>
            </w:r>
            <w:r w:rsidRPr="00276D5E">
              <w:rPr>
                <w:rFonts w:ascii="Arial" w:hAnsi="Arial" w:cs="Arial"/>
                <w:sz w:val="20"/>
              </w:rPr>
              <w:t>processes</w:t>
            </w:r>
            <w:r w:rsidRPr="00276D5E">
              <w:rPr>
                <w:rFonts w:ascii="Arial" w:hAnsi="Arial" w:cs="Arial"/>
                <w:spacing w:val="-4"/>
                <w:sz w:val="20"/>
              </w:rPr>
              <w:t xml:space="preserve"> </w:t>
            </w:r>
            <w:r w:rsidRPr="00276D5E">
              <w:rPr>
                <w:rFonts w:ascii="Arial" w:hAnsi="Arial" w:cs="Arial"/>
                <w:sz w:val="20"/>
              </w:rPr>
              <w:t>and</w:t>
            </w:r>
          </w:p>
          <w:p w14:paraId="47F9D2A3"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tasks</w:t>
            </w:r>
          </w:p>
        </w:tc>
        <w:tc>
          <w:tcPr>
            <w:tcW w:w="1217" w:type="dxa"/>
          </w:tcPr>
          <w:p w14:paraId="56129C71" w14:textId="77777777" w:rsidR="00E60D05" w:rsidRPr="00276D5E" w:rsidRDefault="00E60D05" w:rsidP="009601C2">
            <w:pPr>
              <w:pStyle w:val="TableParagraph"/>
              <w:spacing w:line="276" w:lineRule="auto"/>
              <w:ind w:left="0"/>
              <w:rPr>
                <w:rFonts w:ascii="Arial" w:hAnsi="Arial" w:cs="Arial"/>
                <w:sz w:val="18"/>
              </w:rPr>
            </w:pPr>
          </w:p>
        </w:tc>
        <w:tc>
          <w:tcPr>
            <w:tcW w:w="1118" w:type="dxa"/>
          </w:tcPr>
          <w:p w14:paraId="2308841A" w14:textId="77777777" w:rsidR="00E60D05" w:rsidRPr="00276D5E" w:rsidRDefault="00E60D05" w:rsidP="009601C2">
            <w:pPr>
              <w:pStyle w:val="TableParagraph"/>
              <w:spacing w:line="276" w:lineRule="auto"/>
              <w:ind w:left="0"/>
              <w:rPr>
                <w:rFonts w:ascii="Arial" w:hAnsi="Arial" w:cs="Arial"/>
                <w:sz w:val="18"/>
              </w:rPr>
            </w:pPr>
          </w:p>
        </w:tc>
        <w:tc>
          <w:tcPr>
            <w:tcW w:w="2395" w:type="dxa"/>
          </w:tcPr>
          <w:p w14:paraId="18C0A640" w14:textId="77777777" w:rsidR="00E60D05" w:rsidRPr="00276D5E" w:rsidRDefault="00E60D05" w:rsidP="009601C2">
            <w:pPr>
              <w:pStyle w:val="TableParagraph"/>
              <w:spacing w:line="276" w:lineRule="auto"/>
              <w:ind w:left="0"/>
              <w:rPr>
                <w:rFonts w:ascii="Arial" w:hAnsi="Arial" w:cs="Arial"/>
                <w:sz w:val="18"/>
              </w:rPr>
            </w:pPr>
          </w:p>
        </w:tc>
      </w:tr>
      <w:tr w:rsidR="00E60D05" w:rsidRPr="00276D5E" w14:paraId="29EAE0DA" w14:textId="77777777" w:rsidTr="00E60D05">
        <w:trPr>
          <w:trHeight w:val="732"/>
        </w:trPr>
        <w:tc>
          <w:tcPr>
            <w:tcW w:w="4568" w:type="dxa"/>
          </w:tcPr>
          <w:p w14:paraId="46193D37"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Proper</w:t>
            </w:r>
            <w:r w:rsidRPr="00276D5E">
              <w:rPr>
                <w:rFonts w:ascii="Arial" w:hAnsi="Arial" w:cs="Arial"/>
                <w:spacing w:val="-3"/>
                <w:sz w:val="20"/>
              </w:rPr>
              <w:t xml:space="preserve"> </w:t>
            </w:r>
            <w:r w:rsidRPr="00276D5E">
              <w:rPr>
                <w:rFonts w:ascii="Arial" w:hAnsi="Arial" w:cs="Arial"/>
                <w:sz w:val="20"/>
              </w:rPr>
              <w:t>training</w:t>
            </w:r>
            <w:r w:rsidRPr="00276D5E">
              <w:rPr>
                <w:rFonts w:ascii="Arial" w:hAnsi="Arial" w:cs="Arial"/>
                <w:spacing w:val="-3"/>
                <w:sz w:val="20"/>
              </w:rPr>
              <w:t xml:space="preserve"> </w:t>
            </w:r>
            <w:r w:rsidRPr="00276D5E">
              <w:rPr>
                <w:rFonts w:ascii="Arial" w:hAnsi="Arial" w:cs="Arial"/>
                <w:sz w:val="20"/>
              </w:rPr>
              <w:t>has</w:t>
            </w:r>
            <w:r w:rsidRPr="00276D5E">
              <w:rPr>
                <w:rFonts w:ascii="Arial" w:hAnsi="Arial" w:cs="Arial"/>
                <w:spacing w:val="-3"/>
                <w:sz w:val="20"/>
              </w:rPr>
              <w:t xml:space="preserve"> </w:t>
            </w:r>
            <w:r w:rsidRPr="00276D5E">
              <w:rPr>
                <w:rFonts w:ascii="Arial" w:hAnsi="Arial" w:cs="Arial"/>
                <w:sz w:val="20"/>
              </w:rPr>
              <w:t>been</w:t>
            </w:r>
            <w:r w:rsidRPr="00276D5E">
              <w:rPr>
                <w:rFonts w:ascii="Arial" w:hAnsi="Arial" w:cs="Arial"/>
                <w:spacing w:val="-2"/>
                <w:sz w:val="20"/>
              </w:rPr>
              <w:t xml:space="preserve"> </w:t>
            </w:r>
            <w:r w:rsidRPr="00276D5E">
              <w:rPr>
                <w:rFonts w:ascii="Arial" w:hAnsi="Arial" w:cs="Arial"/>
                <w:sz w:val="20"/>
              </w:rPr>
              <w:t>provided</w:t>
            </w:r>
            <w:r w:rsidRPr="00276D5E">
              <w:rPr>
                <w:rFonts w:ascii="Arial" w:hAnsi="Arial" w:cs="Arial"/>
                <w:spacing w:val="-2"/>
                <w:sz w:val="20"/>
              </w:rPr>
              <w:t xml:space="preserve"> </w:t>
            </w:r>
            <w:r w:rsidRPr="00276D5E">
              <w:rPr>
                <w:rFonts w:ascii="Arial" w:hAnsi="Arial" w:cs="Arial"/>
                <w:sz w:val="20"/>
              </w:rPr>
              <w:t>to</w:t>
            </w:r>
            <w:r w:rsidRPr="00276D5E">
              <w:rPr>
                <w:rFonts w:ascii="Arial" w:hAnsi="Arial" w:cs="Arial"/>
                <w:spacing w:val="-2"/>
                <w:sz w:val="20"/>
              </w:rPr>
              <w:t xml:space="preserve"> </w:t>
            </w:r>
            <w:r w:rsidRPr="00276D5E">
              <w:rPr>
                <w:rFonts w:ascii="Arial" w:hAnsi="Arial" w:cs="Arial"/>
                <w:sz w:val="20"/>
              </w:rPr>
              <w:t>staff</w:t>
            </w:r>
            <w:r w:rsidRPr="00276D5E">
              <w:rPr>
                <w:rFonts w:ascii="Arial" w:hAnsi="Arial" w:cs="Arial"/>
                <w:spacing w:val="-5"/>
                <w:sz w:val="20"/>
              </w:rPr>
              <w:t xml:space="preserve"> </w:t>
            </w:r>
            <w:r w:rsidRPr="00276D5E">
              <w:rPr>
                <w:rFonts w:ascii="Arial" w:hAnsi="Arial" w:cs="Arial"/>
                <w:sz w:val="20"/>
              </w:rPr>
              <w:t>involved</w:t>
            </w:r>
          </w:p>
          <w:p w14:paraId="514E40BE" w14:textId="77777777" w:rsidR="00E60D05" w:rsidRPr="00276D5E" w:rsidRDefault="00E60D05" w:rsidP="009601C2">
            <w:pPr>
              <w:pStyle w:val="TableParagraph"/>
              <w:spacing w:line="276" w:lineRule="auto"/>
              <w:ind w:left="57" w:right="334"/>
              <w:rPr>
                <w:rFonts w:ascii="Arial" w:hAnsi="Arial" w:cs="Arial"/>
                <w:sz w:val="20"/>
              </w:rPr>
            </w:pPr>
            <w:r w:rsidRPr="00276D5E">
              <w:rPr>
                <w:rFonts w:ascii="Arial" w:hAnsi="Arial" w:cs="Arial"/>
                <w:sz w:val="20"/>
              </w:rPr>
              <w:t>in</w:t>
            </w:r>
            <w:r w:rsidRPr="00276D5E">
              <w:rPr>
                <w:rFonts w:ascii="Arial" w:hAnsi="Arial" w:cs="Arial"/>
                <w:spacing w:val="-5"/>
                <w:sz w:val="20"/>
              </w:rPr>
              <w:t xml:space="preserve"> </w:t>
            </w:r>
            <w:r w:rsidRPr="00276D5E">
              <w:rPr>
                <w:rFonts w:ascii="Arial" w:hAnsi="Arial" w:cs="Arial"/>
                <w:sz w:val="20"/>
              </w:rPr>
              <w:t>any</w:t>
            </w:r>
            <w:r w:rsidRPr="00276D5E">
              <w:rPr>
                <w:rFonts w:ascii="Arial" w:hAnsi="Arial" w:cs="Arial"/>
                <w:spacing w:val="-5"/>
                <w:sz w:val="20"/>
              </w:rPr>
              <w:t xml:space="preserve"> </w:t>
            </w:r>
            <w:r w:rsidRPr="00276D5E">
              <w:rPr>
                <w:rFonts w:ascii="Arial" w:hAnsi="Arial" w:cs="Arial"/>
                <w:sz w:val="20"/>
              </w:rPr>
              <w:t>compliance-monitoring-related</w:t>
            </w:r>
            <w:r w:rsidRPr="00276D5E">
              <w:rPr>
                <w:rFonts w:ascii="Arial" w:hAnsi="Arial" w:cs="Arial"/>
                <w:spacing w:val="-5"/>
                <w:sz w:val="20"/>
              </w:rPr>
              <w:t xml:space="preserve"> </w:t>
            </w:r>
            <w:r w:rsidRPr="00276D5E">
              <w:rPr>
                <w:rFonts w:ascii="Arial" w:hAnsi="Arial" w:cs="Arial"/>
                <w:sz w:val="20"/>
              </w:rPr>
              <w:t>processes</w:t>
            </w:r>
            <w:r w:rsidRPr="00276D5E">
              <w:rPr>
                <w:rFonts w:ascii="Arial" w:hAnsi="Arial" w:cs="Arial"/>
                <w:spacing w:val="-42"/>
                <w:sz w:val="20"/>
              </w:rPr>
              <w:t xml:space="preserve"> </w:t>
            </w:r>
            <w:r w:rsidRPr="00276D5E">
              <w:rPr>
                <w:rFonts w:ascii="Arial" w:hAnsi="Arial" w:cs="Arial"/>
                <w:sz w:val="20"/>
              </w:rPr>
              <w:t>and</w:t>
            </w:r>
            <w:r w:rsidRPr="00276D5E">
              <w:rPr>
                <w:rFonts w:ascii="Arial" w:hAnsi="Arial" w:cs="Arial"/>
                <w:spacing w:val="-1"/>
                <w:sz w:val="20"/>
              </w:rPr>
              <w:t xml:space="preserve"> </w:t>
            </w:r>
            <w:r w:rsidRPr="00276D5E">
              <w:rPr>
                <w:rFonts w:ascii="Arial" w:hAnsi="Arial" w:cs="Arial"/>
                <w:sz w:val="20"/>
              </w:rPr>
              <w:t>tasks</w:t>
            </w:r>
          </w:p>
        </w:tc>
        <w:tc>
          <w:tcPr>
            <w:tcW w:w="1217" w:type="dxa"/>
          </w:tcPr>
          <w:p w14:paraId="4216AA17" w14:textId="77777777" w:rsidR="00E60D05" w:rsidRPr="00276D5E" w:rsidRDefault="00E60D05" w:rsidP="009601C2">
            <w:pPr>
              <w:pStyle w:val="TableParagraph"/>
              <w:spacing w:line="276" w:lineRule="auto"/>
              <w:ind w:left="0"/>
              <w:rPr>
                <w:rFonts w:ascii="Arial" w:hAnsi="Arial" w:cs="Arial"/>
                <w:sz w:val="18"/>
              </w:rPr>
            </w:pPr>
          </w:p>
        </w:tc>
        <w:tc>
          <w:tcPr>
            <w:tcW w:w="1118" w:type="dxa"/>
          </w:tcPr>
          <w:p w14:paraId="7A8811DD" w14:textId="77777777" w:rsidR="00E60D05" w:rsidRPr="00276D5E" w:rsidRDefault="00E60D05" w:rsidP="009601C2">
            <w:pPr>
              <w:pStyle w:val="TableParagraph"/>
              <w:spacing w:line="276" w:lineRule="auto"/>
              <w:ind w:left="0"/>
              <w:rPr>
                <w:rFonts w:ascii="Arial" w:hAnsi="Arial" w:cs="Arial"/>
                <w:sz w:val="18"/>
              </w:rPr>
            </w:pPr>
          </w:p>
        </w:tc>
        <w:tc>
          <w:tcPr>
            <w:tcW w:w="2395" w:type="dxa"/>
          </w:tcPr>
          <w:p w14:paraId="51223F80" w14:textId="77777777" w:rsidR="00E60D05" w:rsidRPr="00276D5E" w:rsidRDefault="00E60D05" w:rsidP="009601C2">
            <w:pPr>
              <w:pStyle w:val="TableParagraph"/>
              <w:spacing w:line="276" w:lineRule="auto"/>
              <w:ind w:left="0"/>
              <w:rPr>
                <w:rFonts w:ascii="Arial" w:hAnsi="Arial" w:cs="Arial"/>
                <w:sz w:val="18"/>
              </w:rPr>
            </w:pPr>
          </w:p>
        </w:tc>
      </w:tr>
      <w:tr w:rsidR="00E60D05" w:rsidRPr="00276D5E" w14:paraId="6BD77E10" w14:textId="77777777" w:rsidTr="00E60D05">
        <w:trPr>
          <w:trHeight w:val="978"/>
        </w:trPr>
        <w:tc>
          <w:tcPr>
            <w:tcW w:w="4568" w:type="dxa"/>
          </w:tcPr>
          <w:p w14:paraId="296DA67E" w14:textId="10C92AA0" w:rsidR="00E60D05" w:rsidRPr="00276D5E" w:rsidRDefault="00E60D05" w:rsidP="00A804D2">
            <w:pPr>
              <w:pStyle w:val="TableParagraph"/>
              <w:spacing w:before="1" w:line="276" w:lineRule="auto"/>
              <w:ind w:left="57"/>
              <w:rPr>
                <w:rFonts w:ascii="Arial" w:hAnsi="Arial" w:cs="Arial"/>
                <w:sz w:val="20"/>
              </w:rPr>
            </w:pPr>
            <w:r w:rsidRPr="00276D5E">
              <w:rPr>
                <w:rFonts w:ascii="Arial" w:hAnsi="Arial" w:cs="Arial"/>
                <w:sz w:val="20"/>
              </w:rPr>
              <w:t>Training</w:t>
            </w:r>
            <w:r w:rsidRPr="00276D5E">
              <w:rPr>
                <w:rFonts w:ascii="Arial" w:hAnsi="Arial" w:cs="Arial"/>
                <w:spacing w:val="-4"/>
                <w:sz w:val="20"/>
              </w:rPr>
              <w:t xml:space="preserve"> </w:t>
            </w:r>
            <w:r w:rsidRPr="00276D5E">
              <w:rPr>
                <w:rFonts w:ascii="Arial" w:hAnsi="Arial" w:cs="Arial"/>
                <w:sz w:val="20"/>
              </w:rPr>
              <w:t>provided</w:t>
            </w:r>
            <w:r w:rsidRPr="00276D5E">
              <w:rPr>
                <w:rFonts w:ascii="Arial" w:hAnsi="Arial" w:cs="Arial"/>
                <w:spacing w:val="-3"/>
                <w:sz w:val="20"/>
              </w:rPr>
              <w:t xml:space="preserve"> </w:t>
            </w:r>
            <w:r w:rsidRPr="00276D5E">
              <w:rPr>
                <w:rFonts w:ascii="Arial" w:hAnsi="Arial" w:cs="Arial"/>
                <w:sz w:val="20"/>
              </w:rPr>
              <w:t>to</w:t>
            </w:r>
            <w:r w:rsidRPr="00276D5E">
              <w:rPr>
                <w:rFonts w:ascii="Arial" w:hAnsi="Arial" w:cs="Arial"/>
                <w:spacing w:val="-3"/>
                <w:sz w:val="20"/>
              </w:rPr>
              <w:t xml:space="preserve"> </w:t>
            </w:r>
            <w:r w:rsidRPr="00276D5E">
              <w:rPr>
                <w:rFonts w:ascii="Arial" w:hAnsi="Arial" w:cs="Arial"/>
                <w:sz w:val="20"/>
              </w:rPr>
              <w:t>staff,</w:t>
            </w:r>
            <w:r w:rsidRPr="00276D5E">
              <w:rPr>
                <w:rFonts w:ascii="Arial" w:hAnsi="Arial" w:cs="Arial"/>
                <w:spacing w:val="-3"/>
                <w:sz w:val="20"/>
              </w:rPr>
              <w:t xml:space="preserve"> </w:t>
            </w:r>
            <w:r w:rsidRPr="00276D5E">
              <w:rPr>
                <w:rFonts w:ascii="Arial" w:hAnsi="Arial" w:cs="Arial"/>
                <w:sz w:val="20"/>
              </w:rPr>
              <w:t>as</w:t>
            </w:r>
            <w:r w:rsidRPr="00276D5E">
              <w:rPr>
                <w:rFonts w:ascii="Arial" w:hAnsi="Arial" w:cs="Arial"/>
                <w:spacing w:val="-2"/>
                <w:sz w:val="20"/>
              </w:rPr>
              <w:t xml:space="preserve"> </w:t>
            </w:r>
            <w:r w:rsidRPr="00276D5E">
              <w:rPr>
                <w:rFonts w:ascii="Arial" w:hAnsi="Arial" w:cs="Arial"/>
                <w:sz w:val="20"/>
              </w:rPr>
              <w:t>necessary,</w:t>
            </w:r>
            <w:r w:rsidRPr="00276D5E">
              <w:rPr>
                <w:rFonts w:ascii="Arial" w:hAnsi="Arial" w:cs="Arial"/>
                <w:spacing w:val="-3"/>
                <w:sz w:val="20"/>
              </w:rPr>
              <w:t xml:space="preserve"> </w:t>
            </w:r>
            <w:r w:rsidRPr="00276D5E">
              <w:rPr>
                <w:rFonts w:ascii="Arial" w:hAnsi="Arial" w:cs="Arial"/>
                <w:sz w:val="20"/>
              </w:rPr>
              <w:t>to</w:t>
            </w:r>
            <w:r w:rsidRPr="00276D5E">
              <w:rPr>
                <w:rFonts w:ascii="Arial" w:hAnsi="Arial" w:cs="Arial"/>
                <w:spacing w:val="-3"/>
                <w:sz w:val="20"/>
              </w:rPr>
              <w:t xml:space="preserve"> </w:t>
            </w:r>
            <w:r w:rsidRPr="00276D5E">
              <w:rPr>
                <w:rFonts w:ascii="Arial" w:hAnsi="Arial" w:cs="Arial"/>
                <w:sz w:val="20"/>
              </w:rPr>
              <w:t>cover</w:t>
            </w:r>
            <w:r w:rsidRPr="00276D5E">
              <w:rPr>
                <w:rFonts w:ascii="Arial" w:hAnsi="Arial" w:cs="Arial"/>
                <w:spacing w:val="-43"/>
                <w:sz w:val="20"/>
              </w:rPr>
              <w:t xml:space="preserve"> </w:t>
            </w:r>
            <w:r w:rsidRPr="00276D5E">
              <w:rPr>
                <w:rFonts w:ascii="Arial" w:hAnsi="Arial" w:cs="Arial"/>
                <w:sz w:val="20"/>
              </w:rPr>
              <w:t xml:space="preserve">changes in regulations, in </w:t>
            </w:r>
            <w:r w:rsidR="00A804D2">
              <w:rPr>
                <w:rFonts w:ascii="Arial" w:hAnsi="Arial" w:cs="Arial"/>
                <w:sz w:val="20"/>
                <w:szCs w:val="20"/>
              </w:rPr>
              <w:t xml:space="preserve">CAC RA </w:t>
            </w:r>
            <w:r w:rsidRPr="00276D5E">
              <w:rPr>
                <w:rFonts w:ascii="Arial" w:hAnsi="Arial" w:cs="Arial"/>
                <w:sz w:val="20"/>
              </w:rPr>
              <w:t>publications,</w:t>
            </w:r>
            <w:r w:rsidRPr="00276D5E">
              <w:rPr>
                <w:rFonts w:ascii="Arial" w:hAnsi="Arial" w:cs="Arial"/>
                <w:spacing w:val="-1"/>
                <w:sz w:val="20"/>
              </w:rPr>
              <w:t xml:space="preserve"> </w:t>
            </w:r>
            <w:r w:rsidRPr="00276D5E">
              <w:rPr>
                <w:rFonts w:ascii="Arial" w:hAnsi="Arial" w:cs="Arial"/>
                <w:sz w:val="20"/>
              </w:rPr>
              <w:t>in the</w:t>
            </w:r>
            <w:r w:rsidRPr="00276D5E">
              <w:rPr>
                <w:rFonts w:ascii="Arial" w:hAnsi="Arial" w:cs="Arial"/>
                <w:spacing w:val="-2"/>
                <w:sz w:val="20"/>
              </w:rPr>
              <w:t xml:space="preserve"> </w:t>
            </w:r>
            <w:r w:rsidRPr="00276D5E">
              <w:rPr>
                <w:rFonts w:ascii="Arial" w:hAnsi="Arial" w:cs="Arial"/>
                <w:sz w:val="20"/>
              </w:rPr>
              <w:t>management</w:t>
            </w:r>
            <w:r w:rsidRPr="00276D5E">
              <w:rPr>
                <w:rFonts w:ascii="Arial" w:hAnsi="Arial" w:cs="Arial"/>
                <w:spacing w:val="-1"/>
                <w:sz w:val="20"/>
              </w:rPr>
              <w:t xml:space="preserve"> </w:t>
            </w:r>
            <w:r w:rsidR="00A804D2">
              <w:rPr>
                <w:rFonts w:ascii="Arial" w:hAnsi="Arial" w:cs="Arial"/>
                <w:sz w:val="20"/>
              </w:rPr>
              <w:t xml:space="preserve">system </w:t>
            </w:r>
            <w:r w:rsidRPr="00276D5E">
              <w:rPr>
                <w:rFonts w:ascii="Arial" w:hAnsi="Arial" w:cs="Arial"/>
                <w:sz w:val="20"/>
              </w:rPr>
              <w:t>documentation</w:t>
            </w:r>
            <w:r w:rsidRPr="00276D5E">
              <w:rPr>
                <w:rFonts w:ascii="Arial" w:hAnsi="Arial" w:cs="Arial"/>
                <w:spacing w:val="-4"/>
                <w:sz w:val="20"/>
              </w:rPr>
              <w:t xml:space="preserve"> </w:t>
            </w:r>
            <w:r w:rsidRPr="00276D5E">
              <w:rPr>
                <w:rFonts w:ascii="Arial" w:hAnsi="Arial" w:cs="Arial"/>
                <w:sz w:val="20"/>
              </w:rPr>
              <w:t>and</w:t>
            </w:r>
            <w:r w:rsidRPr="00276D5E">
              <w:rPr>
                <w:rFonts w:ascii="Arial" w:hAnsi="Arial" w:cs="Arial"/>
                <w:spacing w:val="-3"/>
                <w:sz w:val="20"/>
              </w:rPr>
              <w:t xml:space="preserve"> </w:t>
            </w:r>
            <w:r w:rsidRPr="00276D5E">
              <w:rPr>
                <w:rFonts w:ascii="Arial" w:hAnsi="Arial" w:cs="Arial"/>
                <w:sz w:val="20"/>
              </w:rPr>
              <w:t>in</w:t>
            </w:r>
            <w:r w:rsidRPr="00276D5E">
              <w:rPr>
                <w:rFonts w:ascii="Arial" w:hAnsi="Arial" w:cs="Arial"/>
                <w:spacing w:val="-3"/>
                <w:sz w:val="20"/>
              </w:rPr>
              <w:t xml:space="preserve"> </w:t>
            </w:r>
            <w:r w:rsidRPr="00276D5E">
              <w:rPr>
                <w:rFonts w:ascii="Arial" w:hAnsi="Arial" w:cs="Arial"/>
                <w:sz w:val="20"/>
              </w:rPr>
              <w:t>associated</w:t>
            </w:r>
            <w:r w:rsidRPr="00276D5E">
              <w:rPr>
                <w:rFonts w:ascii="Arial" w:hAnsi="Arial" w:cs="Arial"/>
                <w:spacing w:val="-3"/>
                <w:sz w:val="20"/>
              </w:rPr>
              <w:t xml:space="preserve"> </w:t>
            </w:r>
            <w:r w:rsidRPr="00276D5E">
              <w:rPr>
                <w:rFonts w:ascii="Arial" w:hAnsi="Arial" w:cs="Arial"/>
                <w:sz w:val="20"/>
              </w:rPr>
              <w:t>procedures,</w:t>
            </w:r>
            <w:r w:rsidRPr="00276D5E">
              <w:rPr>
                <w:rFonts w:ascii="Arial" w:hAnsi="Arial" w:cs="Arial"/>
                <w:spacing w:val="-4"/>
                <w:sz w:val="20"/>
              </w:rPr>
              <w:t xml:space="preserve"> </w:t>
            </w:r>
            <w:r w:rsidRPr="00276D5E">
              <w:rPr>
                <w:rFonts w:ascii="Arial" w:hAnsi="Arial" w:cs="Arial"/>
                <w:sz w:val="20"/>
              </w:rPr>
              <w:t>etc.</w:t>
            </w:r>
          </w:p>
        </w:tc>
        <w:tc>
          <w:tcPr>
            <w:tcW w:w="1217" w:type="dxa"/>
          </w:tcPr>
          <w:p w14:paraId="6E98EFE9" w14:textId="77777777" w:rsidR="00E60D05" w:rsidRPr="00276D5E" w:rsidRDefault="00E60D05" w:rsidP="009601C2">
            <w:pPr>
              <w:pStyle w:val="TableParagraph"/>
              <w:spacing w:line="276" w:lineRule="auto"/>
              <w:ind w:left="0"/>
              <w:rPr>
                <w:rFonts w:ascii="Arial" w:hAnsi="Arial" w:cs="Arial"/>
                <w:sz w:val="18"/>
              </w:rPr>
            </w:pPr>
          </w:p>
        </w:tc>
        <w:tc>
          <w:tcPr>
            <w:tcW w:w="1118" w:type="dxa"/>
          </w:tcPr>
          <w:p w14:paraId="7C38AA10" w14:textId="77777777" w:rsidR="00E60D05" w:rsidRPr="00276D5E" w:rsidRDefault="00E60D05" w:rsidP="009601C2">
            <w:pPr>
              <w:pStyle w:val="TableParagraph"/>
              <w:spacing w:line="276" w:lineRule="auto"/>
              <w:ind w:left="0"/>
              <w:rPr>
                <w:rFonts w:ascii="Arial" w:hAnsi="Arial" w:cs="Arial"/>
                <w:sz w:val="18"/>
              </w:rPr>
            </w:pPr>
          </w:p>
        </w:tc>
        <w:tc>
          <w:tcPr>
            <w:tcW w:w="2395" w:type="dxa"/>
          </w:tcPr>
          <w:p w14:paraId="24E121B9" w14:textId="77777777" w:rsidR="00E60D05" w:rsidRPr="00276D5E" w:rsidRDefault="00E60D05" w:rsidP="009601C2">
            <w:pPr>
              <w:pStyle w:val="TableParagraph"/>
              <w:spacing w:line="276" w:lineRule="auto"/>
              <w:ind w:left="0"/>
              <w:rPr>
                <w:rFonts w:ascii="Arial" w:hAnsi="Arial" w:cs="Arial"/>
                <w:sz w:val="18"/>
              </w:rPr>
            </w:pPr>
          </w:p>
        </w:tc>
      </w:tr>
    </w:tbl>
    <w:p w14:paraId="4C660FCF" w14:textId="1DEB3516" w:rsidR="00A01CDF" w:rsidRDefault="00A01CDF" w:rsidP="009601C2">
      <w:pPr>
        <w:tabs>
          <w:tab w:val="left" w:pos="1273"/>
          <w:tab w:val="left" w:pos="1274"/>
        </w:tabs>
        <w:spacing w:before="122" w:line="276" w:lineRule="auto"/>
        <w:ind w:right="200"/>
        <w:rPr>
          <w:rFonts w:ascii="Arial" w:hAnsi="Arial" w:cs="Arial"/>
          <w:sz w:val="20"/>
          <w:szCs w:val="20"/>
        </w:rPr>
      </w:pPr>
    </w:p>
    <w:tbl>
      <w:tblPr>
        <w:tblW w:w="9298"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8"/>
        <w:gridCol w:w="1217"/>
        <w:gridCol w:w="1118"/>
        <w:gridCol w:w="2395"/>
      </w:tblGrid>
      <w:tr w:rsidR="00E60D05" w:rsidRPr="00276D5E" w14:paraId="458036DE" w14:textId="77777777" w:rsidTr="00E60D05">
        <w:trPr>
          <w:trHeight w:val="487"/>
        </w:trPr>
        <w:tc>
          <w:tcPr>
            <w:tcW w:w="9298" w:type="dxa"/>
            <w:gridSpan w:val="4"/>
          </w:tcPr>
          <w:p w14:paraId="3388A7DE" w14:textId="77777777" w:rsidR="00E60D05" w:rsidRPr="00276D5E" w:rsidRDefault="00E60D05" w:rsidP="009601C2">
            <w:pPr>
              <w:pStyle w:val="TableParagraph"/>
              <w:spacing w:line="276" w:lineRule="auto"/>
              <w:ind w:left="57"/>
              <w:rPr>
                <w:rFonts w:ascii="Arial" w:hAnsi="Arial" w:cs="Arial"/>
                <w:b/>
                <w:sz w:val="20"/>
              </w:rPr>
            </w:pPr>
            <w:r w:rsidRPr="00276D5E">
              <w:rPr>
                <w:rFonts w:ascii="Arial" w:hAnsi="Arial" w:cs="Arial"/>
                <w:b/>
                <w:sz w:val="20"/>
              </w:rPr>
              <w:t>COMPLIANCE</w:t>
            </w:r>
            <w:r w:rsidRPr="00276D5E">
              <w:rPr>
                <w:rFonts w:ascii="Arial" w:hAnsi="Arial" w:cs="Arial"/>
                <w:b/>
                <w:spacing w:val="-9"/>
                <w:sz w:val="20"/>
              </w:rPr>
              <w:t xml:space="preserve"> </w:t>
            </w:r>
            <w:r w:rsidRPr="00276D5E">
              <w:rPr>
                <w:rFonts w:ascii="Arial" w:hAnsi="Arial" w:cs="Arial"/>
                <w:b/>
                <w:sz w:val="20"/>
              </w:rPr>
              <w:t>MONITORING</w:t>
            </w:r>
            <w:r w:rsidRPr="00276D5E">
              <w:rPr>
                <w:rFonts w:ascii="Arial" w:hAnsi="Arial" w:cs="Arial"/>
                <w:b/>
                <w:spacing w:val="-5"/>
                <w:sz w:val="20"/>
              </w:rPr>
              <w:t xml:space="preserve"> </w:t>
            </w:r>
            <w:r w:rsidRPr="00276D5E">
              <w:rPr>
                <w:rFonts w:ascii="Arial" w:hAnsi="Arial" w:cs="Arial"/>
                <w:b/>
                <w:sz w:val="20"/>
              </w:rPr>
              <w:t>CHECKLIST</w:t>
            </w:r>
          </w:p>
          <w:p w14:paraId="1C9CC6B8"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Year:</w:t>
            </w:r>
          </w:p>
        </w:tc>
      </w:tr>
      <w:tr w:rsidR="00E60D05" w:rsidRPr="00276D5E" w14:paraId="7F364980" w14:textId="77777777" w:rsidTr="00E60D05">
        <w:trPr>
          <w:trHeight w:val="489"/>
        </w:trPr>
        <w:tc>
          <w:tcPr>
            <w:tcW w:w="4568" w:type="dxa"/>
          </w:tcPr>
          <w:p w14:paraId="62C5BB10" w14:textId="77777777" w:rsidR="00E60D05" w:rsidRPr="00276D5E" w:rsidRDefault="00E60D05" w:rsidP="009601C2">
            <w:pPr>
              <w:pStyle w:val="TableParagraph"/>
              <w:spacing w:before="121" w:line="276" w:lineRule="auto"/>
              <w:ind w:left="57"/>
              <w:rPr>
                <w:rFonts w:ascii="Arial" w:hAnsi="Arial" w:cs="Arial"/>
                <w:sz w:val="20"/>
              </w:rPr>
            </w:pPr>
            <w:r w:rsidRPr="00276D5E">
              <w:rPr>
                <w:rFonts w:ascii="Arial" w:hAnsi="Arial" w:cs="Arial"/>
                <w:sz w:val="20"/>
              </w:rPr>
              <w:t>Subject</w:t>
            </w:r>
          </w:p>
        </w:tc>
        <w:tc>
          <w:tcPr>
            <w:tcW w:w="1217" w:type="dxa"/>
          </w:tcPr>
          <w:p w14:paraId="56A63B8A" w14:textId="77777777" w:rsidR="00E60D05" w:rsidRPr="00276D5E" w:rsidRDefault="00E60D05" w:rsidP="009601C2">
            <w:pPr>
              <w:pStyle w:val="TableParagraph"/>
              <w:spacing w:before="121" w:line="276" w:lineRule="auto"/>
              <w:ind w:left="54"/>
              <w:rPr>
                <w:rFonts w:ascii="Arial" w:hAnsi="Arial" w:cs="Arial"/>
                <w:sz w:val="20"/>
              </w:rPr>
            </w:pPr>
            <w:r w:rsidRPr="00276D5E">
              <w:rPr>
                <w:rFonts w:ascii="Arial" w:hAnsi="Arial" w:cs="Arial"/>
                <w:sz w:val="20"/>
              </w:rPr>
              <w:t>Date</w:t>
            </w:r>
            <w:r w:rsidRPr="00276D5E">
              <w:rPr>
                <w:rFonts w:ascii="Arial" w:hAnsi="Arial" w:cs="Arial"/>
                <w:spacing w:val="-4"/>
                <w:sz w:val="20"/>
              </w:rPr>
              <w:t xml:space="preserve"> </w:t>
            </w:r>
            <w:r w:rsidRPr="00276D5E">
              <w:rPr>
                <w:rFonts w:ascii="Arial" w:hAnsi="Arial" w:cs="Arial"/>
                <w:sz w:val="20"/>
              </w:rPr>
              <w:t>checked</w:t>
            </w:r>
          </w:p>
        </w:tc>
        <w:tc>
          <w:tcPr>
            <w:tcW w:w="1118" w:type="dxa"/>
          </w:tcPr>
          <w:p w14:paraId="4246F819" w14:textId="77777777" w:rsidR="00E60D05" w:rsidRPr="00276D5E" w:rsidRDefault="00E60D05" w:rsidP="009601C2">
            <w:pPr>
              <w:pStyle w:val="TableParagraph"/>
              <w:spacing w:before="121" w:line="276" w:lineRule="auto"/>
              <w:ind w:left="57"/>
              <w:rPr>
                <w:rFonts w:ascii="Arial" w:hAnsi="Arial" w:cs="Arial"/>
                <w:sz w:val="20"/>
              </w:rPr>
            </w:pPr>
            <w:r w:rsidRPr="00276D5E">
              <w:rPr>
                <w:rFonts w:ascii="Arial" w:hAnsi="Arial" w:cs="Arial"/>
                <w:sz w:val="20"/>
              </w:rPr>
              <w:t>Checked</w:t>
            </w:r>
            <w:r w:rsidRPr="00276D5E">
              <w:rPr>
                <w:rFonts w:ascii="Arial" w:hAnsi="Arial" w:cs="Arial"/>
                <w:spacing w:val="-3"/>
                <w:sz w:val="20"/>
              </w:rPr>
              <w:t xml:space="preserve"> </w:t>
            </w:r>
            <w:r w:rsidRPr="00276D5E">
              <w:rPr>
                <w:rFonts w:ascii="Arial" w:hAnsi="Arial" w:cs="Arial"/>
                <w:sz w:val="20"/>
              </w:rPr>
              <w:t>by</w:t>
            </w:r>
          </w:p>
        </w:tc>
        <w:tc>
          <w:tcPr>
            <w:tcW w:w="2395" w:type="dxa"/>
          </w:tcPr>
          <w:p w14:paraId="37A89E31"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Comments/non-compliance</w:t>
            </w:r>
          </w:p>
          <w:p w14:paraId="5AC97FBD"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Report</w:t>
            </w:r>
            <w:r w:rsidRPr="00276D5E">
              <w:rPr>
                <w:rFonts w:ascii="Arial" w:hAnsi="Arial" w:cs="Arial"/>
                <w:spacing w:val="-2"/>
                <w:sz w:val="20"/>
              </w:rPr>
              <w:t xml:space="preserve"> </w:t>
            </w:r>
            <w:r w:rsidRPr="00276D5E">
              <w:rPr>
                <w:rFonts w:ascii="Arial" w:hAnsi="Arial" w:cs="Arial"/>
                <w:sz w:val="20"/>
              </w:rPr>
              <w:t>No</w:t>
            </w:r>
          </w:p>
        </w:tc>
      </w:tr>
      <w:tr w:rsidR="00E60D05" w:rsidRPr="00276D5E" w14:paraId="2AA96146" w14:textId="77777777" w:rsidTr="00E60D05">
        <w:trPr>
          <w:trHeight w:val="244"/>
        </w:trPr>
        <w:tc>
          <w:tcPr>
            <w:tcW w:w="9298" w:type="dxa"/>
            <w:gridSpan w:val="4"/>
          </w:tcPr>
          <w:p w14:paraId="60AEBD84" w14:textId="77777777" w:rsidR="00E60D05" w:rsidRPr="00276D5E" w:rsidRDefault="00E60D05" w:rsidP="009601C2">
            <w:pPr>
              <w:pStyle w:val="TableParagraph"/>
              <w:spacing w:line="276" w:lineRule="auto"/>
              <w:ind w:left="57"/>
              <w:rPr>
                <w:rFonts w:ascii="Arial" w:hAnsi="Arial" w:cs="Arial"/>
                <w:b/>
                <w:sz w:val="20"/>
              </w:rPr>
            </w:pPr>
            <w:r w:rsidRPr="00276D5E">
              <w:rPr>
                <w:rFonts w:ascii="Arial" w:hAnsi="Arial" w:cs="Arial"/>
                <w:b/>
                <w:sz w:val="20"/>
              </w:rPr>
              <w:t>Contracted</w:t>
            </w:r>
            <w:r w:rsidRPr="00276D5E">
              <w:rPr>
                <w:rFonts w:ascii="Arial" w:hAnsi="Arial" w:cs="Arial"/>
                <w:b/>
                <w:spacing w:val="-4"/>
                <w:sz w:val="20"/>
              </w:rPr>
              <w:t xml:space="preserve"> </w:t>
            </w:r>
            <w:r w:rsidRPr="00276D5E">
              <w:rPr>
                <w:rFonts w:ascii="Arial" w:hAnsi="Arial" w:cs="Arial"/>
                <w:b/>
                <w:sz w:val="20"/>
              </w:rPr>
              <w:t>activities</w:t>
            </w:r>
            <w:r w:rsidRPr="00276D5E">
              <w:rPr>
                <w:rFonts w:ascii="Arial" w:hAnsi="Arial" w:cs="Arial"/>
                <w:b/>
                <w:spacing w:val="-4"/>
                <w:sz w:val="20"/>
              </w:rPr>
              <w:t xml:space="preserve"> </w:t>
            </w:r>
            <w:r w:rsidRPr="00276D5E">
              <w:rPr>
                <w:rFonts w:ascii="Arial" w:hAnsi="Arial" w:cs="Arial"/>
                <w:b/>
                <w:sz w:val="20"/>
              </w:rPr>
              <w:t>(if</w:t>
            </w:r>
            <w:r w:rsidRPr="00276D5E">
              <w:rPr>
                <w:rFonts w:ascii="Arial" w:hAnsi="Arial" w:cs="Arial"/>
                <w:b/>
                <w:spacing w:val="-5"/>
                <w:sz w:val="20"/>
              </w:rPr>
              <w:t xml:space="preserve"> </w:t>
            </w:r>
            <w:r w:rsidRPr="00276D5E">
              <w:rPr>
                <w:rFonts w:ascii="Arial" w:hAnsi="Arial" w:cs="Arial"/>
                <w:b/>
                <w:sz w:val="20"/>
              </w:rPr>
              <w:t>applicable)</w:t>
            </w:r>
          </w:p>
        </w:tc>
      </w:tr>
      <w:tr w:rsidR="00E60D05" w:rsidRPr="00276D5E" w14:paraId="3EEB5447" w14:textId="77777777" w:rsidTr="00E60D05">
        <w:trPr>
          <w:trHeight w:val="486"/>
        </w:trPr>
        <w:tc>
          <w:tcPr>
            <w:tcW w:w="4568" w:type="dxa"/>
          </w:tcPr>
          <w:p w14:paraId="3F05789F"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Assessment</w:t>
            </w:r>
            <w:r w:rsidRPr="00276D5E">
              <w:rPr>
                <w:rFonts w:ascii="Arial" w:hAnsi="Arial" w:cs="Arial"/>
                <w:spacing w:val="-2"/>
                <w:sz w:val="20"/>
              </w:rPr>
              <w:t xml:space="preserve"> </w:t>
            </w:r>
            <w:r w:rsidRPr="00276D5E">
              <w:rPr>
                <w:rFonts w:ascii="Arial" w:hAnsi="Arial" w:cs="Arial"/>
                <w:sz w:val="20"/>
              </w:rPr>
              <w:t>of</w:t>
            </w:r>
            <w:r w:rsidRPr="00276D5E">
              <w:rPr>
                <w:rFonts w:ascii="Arial" w:hAnsi="Arial" w:cs="Arial"/>
                <w:spacing w:val="-4"/>
                <w:sz w:val="20"/>
              </w:rPr>
              <w:t xml:space="preserve"> </w:t>
            </w:r>
            <w:r w:rsidRPr="00276D5E">
              <w:rPr>
                <w:rFonts w:ascii="Arial" w:hAnsi="Arial" w:cs="Arial"/>
                <w:sz w:val="20"/>
              </w:rPr>
              <w:t>any</w:t>
            </w:r>
            <w:r w:rsidRPr="00276D5E">
              <w:rPr>
                <w:rFonts w:ascii="Arial" w:hAnsi="Arial" w:cs="Arial"/>
                <w:spacing w:val="-1"/>
                <w:sz w:val="20"/>
              </w:rPr>
              <w:t xml:space="preserve"> </w:t>
            </w:r>
            <w:r w:rsidRPr="00276D5E">
              <w:rPr>
                <w:rFonts w:ascii="Arial" w:hAnsi="Arial" w:cs="Arial"/>
                <w:sz w:val="20"/>
              </w:rPr>
              <w:t>new</w:t>
            </w:r>
            <w:r w:rsidRPr="00276D5E">
              <w:rPr>
                <w:rFonts w:ascii="Arial" w:hAnsi="Arial" w:cs="Arial"/>
                <w:spacing w:val="-3"/>
                <w:sz w:val="20"/>
              </w:rPr>
              <w:t xml:space="preserve"> </w:t>
            </w:r>
            <w:r w:rsidRPr="00276D5E">
              <w:rPr>
                <w:rFonts w:ascii="Arial" w:hAnsi="Arial" w:cs="Arial"/>
                <w:sz w:val="20"/>
              </w:rPr>
              <w:t>providers</w:t>
            </w:r>
            <w:r w:rsidRPr="00276D5E">
              <w:rPr>
                <w:rFonts w:ascii="Arial" w:hAnsi="Arial" w:cs="Arial"/>
                <w:spacing w:val="-3"/>
                <w:sz w:val="20"/>
              </w:rPr>
              <w:t xml:space="preserve"> </w:t>
            </w:r>
            <w:r w:rsidRPr="00276D5E">
              <w:rPr>
                <w:rFonts w:ascii="Arial" w:hAnsi="Arial" w:cs="Arial"/>
                <w:sz w:val="20"/>
              </w:rPr>
              <w:t>prior</w:t>
            </w:r>
            <w:r w:rsidRPr="00276D5E">
              <w:rPr>
                <w:rFonts w:ascii="Arial" w:hAnsi="Arial" w:cs="Arial"/>
                <w:spacing w:val="-2"/>
                <w:sz w:val="20"/>
              </w:rPr>
              <w:t xml:space="preserve"> </w:t>
            </w:r>
            <w:r w:rsidRPr="00276D5E">
              <w:rPr>
                <w:rFonts w:ascii="Arial" w:hAnsi="Arial" w:cs="Arial"/>
                <w:sz w:val="20"/>
              </w:rPr>
              <w:t>to</w:t>
            </w:r>
            <w:r w:rsidRPr="00276D5E">
              <w:rPr>
                <w:rFonts w:ascii="Arial" w:hAnsi="Arial" w:cs="Arial"/>
                <w:spacing w:val="-2"/>
                <w:sz w:val="20"/>
              </w:rPr>
              <w:t xml:space="preserve"> </w:t>
            </w:r>
            <w:r w:rsidRPr="00276D5E">
              <w:rPr>
                <w:rFonts w:ascii="Arial" w:hAnsi="Arial" w:cs="Arial"/>
                <w:sz w:val="20"/>
              </w:rPr>
              <w:t>the</w:t>
            </w:r>
          </w:p>
          <w:p w14:paraId="4FF13C75"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establishment</w:t>
            </w:r>
            <w:r w:rsidRPr="00276D5E">
              <w:rPr>
                <w:rFonts w:ascii="Arial" w:hAnsi="Arial" w:cs="Arial"/>
                <w:spacing w:val="-3"/>
                <w:sz w:val="20"/>
              </w:rPr>
              <w:t xml:space="preserve"> </w:t>
            </w:r>
            <w:r w:rsidRPr="00276D5E">
              <w:rPr>
                <w:rFonts w:ascii="Arial" w:hAnsi="Arial" w:cs="Arial"/>
                <w:sz w:val="20"/>
              </w:rPr>
              <w:t>of</w:t>
            </w:r>
            <w:r w:rsidRPr="00276D5E">
              <w:rPr>
                <w:rFonts w:ascii="Arial" w:hAnsi="Arial" w:cs="Arial"/>
                <w:spacing w:val="-5"/>
                <w:sz w:val="20"/>
              </w:rPr>
              <w:t xml:space="preserve"> </w:t>
            </w:r>
            <w:r w:rsidRPr="00276D5E">
              <w:rPr>
                <w:rFonts w:ascii="Arial" w:hAnsi="Arial" w:cs="Arial"/>
                <w:sz w:val="20"/>
              </w:rPr>
              <w:t>any</w:t>
            </w:r>
            <w:r w:rsidRPr="00276D5E">
              <w:rPr>
                <w:rFonts w:ascii="Arial" w:hAnsi="Arial" w:cs="Arial"/>
                <w:spacing w:val="-3"/>
                <w:sz w:val="20"/>
              </w:rPr>
              <w:t xml:space="preserve"> </w:t>
            </w:r>
            <w:r w:rsidRPr="00276D5E">
              <w:rPr>
                <w:rFonts w:ascii="Arial" w:hAnsi="Arial" w:cs="Arial"/>
                <w:sz w:val="20"/>
              </w:rPr>
              <w:t>contract</w:t>
            </w:r>
          </w:p>
        </w:tc>
        <w:tc>
          <w:tcPr>
            <w:tcW w:w="1217" w:type="dxa"/>
          </w:tcPr>
          <w:p w14:paraId="74A94664" w14:textId="77777777" w:rsidR="00E60D05" w:rsidRPr="00276D5E" w:rsidRDefault="00E60D05" w:rsidP="009601C2">
            <w:pPr>
              <w:pStyle w:val="TableParagraph"/>
              <w:spacing w:line="276" w:lineRule="auto"/>
              <w:ind w:left="0"/>
              <w:rPr>
                <w:rFonts w:ascii="Arial" w:hAnsi="Arial" w:cs="Arial"/>
                <w:sz w:val="20"/>
              </w:rPr>
            </w:pPr>
          </w:p>
        </w:tc>
        <w:tc>
          <w:tcPr>
            <w:tcW w:w="1118" w:type="dxa"/>
          </w:tcPr>
          <w:p w14:paraId="1CFE6E21" w14:textId="77777777" w:rsidR="00E60D05" w:rsidRPr="00276D5E" w:rsidRDefault="00E60D05" w:rsidP="009601C2">
            <w:pPr>
              <w:pStyle w:val="TableParagraph"/>
              <w:spacing w:line="276" w:lineRule="auto"/>
              <w:ind w:left="0"/>
              <w:rPr>
                <w:rFonts w:ascii="Arial" w:hAnsi="Arial" w:cs="Arial"/>
                <w:sz w:val="20"/>
              </w:rPr>
            </w:pPr>
          </w:p>
        </w:tc>
        <w:tc>
          <w:tcPr>
            <w:tcW w:w="2395" w:type="dxa"/>
          </w:tcPr>
          <w:p w14:paraId="67D3AEF1" w14:textId="77777777" w:rsidR="00E60D05" w:rsidRPr="00276D5E" w:rsidRDefault="00E60D05" w:rsidP="009601C2">
            <w:pPr>
              <w:pStyle w:val="TableParagraph"/>
              <w:spacing w:line="276" w:lineRule="auto"/>
              <w:ind w:left="0"/>
              <w:rPr>
                <w:rFonts w:ascii="Arial" w:hAnsi="Arial" w:cs="Arial"/>
                <w:sz w:val="20"/>
              </w:rPr>
            </w:pPr>
          </w:p>
        </w:tc>
      </w:tr>
      <w:tr w:rsidR="00E60D05" w:rsidRPr="00276D5E" w14:paraId="31B1472D" w14:textId="77777777" w:rsidTr="00E60D05">
        <w:trPr>
          <w:trHeight w:val="733"/>
        </w:trPr>
        <w:tc>
          <w:tcPr>
            <w:tcW w:w="4568" w:type="dxa"/>
          </w:tcPr>
          <w:p w14:paraId="650D03E1" w14:textId="77777777" w:rsidR="00E60D05" w:rsidRPr="00276D5E" w:rsidRDefault="00E60D05" w:rsidP="009601C2">
            <w:pPr>
              <w:pStyle w:val="TableParagraph"/>
              <w:spacing w:before="1" w:line="276" w:lineRule="auto"/>
              <w:ind w:left="57" w:right="158"/>
              <w:rPr>
                <w:rFonts w:ascii="Arial" w:hAnsi="Arial" w:cs="Arial"/>
                <w:sz w:val="20"/>
              </w:rPr>
            </w:pPr>
            <w:r w:rsidRPr="00276D5E">
              <w:rPr>
                <w:rFonts w:ascii="Arial" w:hAnsi="Arial" w:cs="Arial"/>
                <w:sz w:val="20"/>
              </w:rPr>
              <w:t>For existing providers: check that the service</w:t>
            </w:r>
            <w:r w:rsidRPr="00276D5E">
              <w:rPr>
                <w:rFonts w:ascii="Arial" w:hAnsi="Arial" w:cs="Arial"/>
                <w:spacing w:val="1"/>
                <w:sz w:val="20"/>
              </w:rPr>
              <w:t xml:space="preserve"> </w:t>
            </w:r>
            <w:r w:rsidRPr="00276D5E">
              <w:rPr>
                <w:rFonts w:ascii="Arial" w:hAnsi="Arial" w:cs="Arial"/>
                <w:sz w:val="20"/>
              </w:rPr>
              <w:t>provided</w:t>
            </w:r>
            <w:r w:rsidRPr="00276D5E">
              <w:rPr>
                <w:rFonts w:ascii="Arial" w:hAnsi="Arial" w:cs="Arial"/>
                <w:spacing w:val="-4"/>
                <w:sz w:val="20"/>
              </w:rPr>
              <w:t xml:space="preserve"> </w:t>
            </w:r>
            <w:r w:rsidRPr="00276D5E">
              <w:rPr>
                <w:rFonts w:ascii="Arial" w:hAnsi="Arial" w:cs="Arial"/>
                <w:sz w:val="20"/>
              </w:rPr>
              <w:t>conforms</w:t>
            </w:r>
            <w:r w:rsidRPr="00276D5E">
              <w:rPr>
                <w:rFonts w:ascii="Arial" w:hAnsi="Arial" w:cs="Arial"/>
                <w:spacing w:val="-5"/>
                <w:sz w:val="20"/>
              </w:rPr>
              <w:t xml:space="preserve"> </w:t>
            </w:r>
            <w:r w:rsidRPr="00276D5E">
              <w:rPr>
                <w:rFonts w:ascii="Arial" w:hAnsi="Arial" w:cs="Arial"/>
                <w:sz w:val="20"/>
              </w:rPr>
              <w:t>to</w:t>
            </w:r>
            <w:r w:rsidRPr="00276D5E">
              <w:rPr>
                <w:rFonts w:ascii="Arial" w:hAnsi="Arial" w:cs="Arial"/>
                <w:spacing w:val="-3"/>
                <w:sz w:val="20"/>
              </w:rPr>
              <w:t xml:space="preserve"> </w:t>
            </w:r>
            <w:r w:rsidRPr="00276D5E">
              <w:rPr>
                <w:rFonts w:ascii="Arial" w:hAnsi="Arial" w:cs="Arial"/>
                <w:sz w:val="20"/>
              </w:rPr>
              <w:t>the</w:t>
            </w:r>
            <w:r w:rsidRPr="00276D5E">
              <w:rPr>
                <w:rFonts w:ascii="Arial" w:hAnsi="Arial" w:cs="Arial"/>
                <w:spacing w:val="-4"/>
                <w:sz w:val="20"/>
              </w:rPr>
              <w:t xml:space="preserve"> </w:t>
            </w:r>
            <w:r w:rsidRPr="00276D5E">
              <w:rPr>
                <w:rFonts w:ascii="Arial" w:hAnsi="Arial" w:cs="Arial"/>
                <w:sz w:val="20"/>
              </w:rPr>
              <w:t>applicable</w:t>
            </w:r>
            <w:r w:rsidRPr="00276D5E">
              <w:rPr>
                <w:rFonts w:ascii="Arial" w:hAnsi="Arial" w:cs="Arial"/>
                <w:spacing w:val="-5"/>
                <w:sz w:val="20"/>
              </w:rPr>
              <w:t xml:space="preserve"> </w:t>
            </w:r>
            <w:r w:rsidRPr="00276D5E">
              <w:rPr>
                <w:rFonts w:ascii="Arial" w:hAnsi="Arial" w:cs="Arial"/>
                <w:sz w:val="20"/>
              </w:rPr>
              <w:t>requirements</w:t>
            </w:r>
          </w:p>
          <w:p w14:paraId="3F5AB1A5"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of</w:t>
            </w:r>
            <w:r w:rsidRPr="00276D5E">
              <w:rPr>
                <w:rFonts w:ascii="Arial" w:hAnsi="Arial" w:cs="Arial"/>
                <w:spacing w:val="-4"/>
                <w:sz w:val="20"/>
              </w:rPr>
              <w:t xml:space="preserve"> </w:t>
            </w:r>
            <w:r w:rsidRPr="00276D5E">
              <w:rPr>
                <w:rFonts w:ascii="Arial" w:hAnsi="Arial" w:cs="Arial"/>
                <w:sz w:val="20"/>
              </w:rPr>
              <w:t>this</w:t>
            </w:r>
            <w:r w:rsidRPr="00276D5E">
              <w:rPr>
                <w:rFonts w:ascii="Arial" w:hAnsi="Arial" w:cs="Arial"/>
                <w:spacing w:val="-3"/>
                <w:sz w:val="20"/>
              </w:rPr>
              <w:t xml:space="preserve"> </w:t>
            </w:r>
            <w:r w:rsidRPr="00276D5E">
              <w:rPr>
                <w:rFonts w:ascii="Arial" w:hAnsi="Arial" w:cs="Arial"/>
                <w:sz w:val="20"/>
              </w:rPr>
              <w:t>Annex</w:t>
            </w:r>
          </w:p>
        </w:tc>
        <w:tc>
          <w:tcPr>
            <w:tcW w:w="1217" w:type="dxa"/>
          </w:tcPr>
          <w:p w14:paraId="155DD7CB" w14:textId="77777777" w:rsidR="00E60D05" w:rsidRPr="00276D5E" w:rsidRDefault="00E60D05" w:rsidP="009601C2">
            <w:pPr>
              <w:pStyle w:val="TableParagraph"/>
              <w:spacing w:line="276" w:lineRule="auto"/>
              <w:ind w:left="0"/>
              <w:rPr>
                <w:rFonts w:ascii="Arial" w:hAnsi="Arial" w:cs="Arial"/>
                <w:sz w:val="20"/>
              </w:rPr>
            </w:pPr>
          </w:p>
        </w:tc>
        <w:tc>
          <w:tcPr>
            <w:tcW w:w="1118" w:type="dxa"/>
          </w:tcPr>
          <w:p w14:paraId="4C2C39D9" w14:textId="77777777" w:rsidR="00E60D05" w:rsidRPr="00276D5E" w:rsidRDefault="00E60D05" w:rsidP="009601C2">
            <w:pPr>
              <w:pStyle w:val="TableParagraph"/>
              <w:spacing w:line="276" w:lineRule="auto"/>
              <w:ind w:left="0"/>
              <w:rPr>
                <w:rFonts w:ascii="Arial" w:hAnsi="Arial" w:cs="Arial"/>
                <w:sz w:val="20"/>
              </w:rPr>
            </w:pPr>
          </w:p>
        </w:tc>
        <w:tc>
          <w:tcPr>
            <w:tcW w:w="2395" w:type="dxa"/>
          </w:tcPr>
          <w:p w14:paraId="57B40F06" w14:textId="77777777" w:rsidR="00E60D05" w:rsidRPr="00276D5E" w:rsidRDefault="00E60D05" w:rsidP="009601C2">
            <w:pPr>
              <w:pStyle w:val="TableParagraph"/>
              <w:spacing w:line="276" w:lineRule="auto"/>
              <w:ind w:left="0"/>
              <w:rPr>
                <w:rFonts w:ascii="Arial" w:hAnsi="Arial" w:cs="Arial"/>
                <w:sz w:val="20"/>
              </w:rPr>
            </w:pPr>
          </w:p>
        </w:tc>
      </w:tr>
      <w:tr w:rsidR="00E60D05" w:rsidRPr="00276D5E" w14:paraId="36589164" w14:textId="77777777" w:rsidTr="00E60D05">
        <w:trPr>
          <w:trHeight w:val="244"/>
        </w:trPr>
        <w:tc>
          <w:tcPr>
            <w:tcW w:w="9298" w:type="dxa"/>
            <w:gridSpan w:val="4"/>
          </w:tcPr>
          <w:p w14:paraId="790455B2" w14:textId="77777777" w:rsidR="00E60D05" w:rsidRPr="00276D5E" w:rsidRDefault="00E60D05" w:rsidP="009601C2">
            <w:pPr>
              <w:pStyle w:val="TableParagraph"/>
              <w:spacing w:line="276" w:lineRule="auto"/>
              <w:ind w:left="57"/>
              <w:rPr>
                <w:rFonts w:ascii="Arial" w:hAnsi="Arial" w:cs="Arial"/>
                <w:b/>
                <w:sz w:val="20"/>
              </w:rPr>
            </w:pPr>
            <w:r w:rsidRPr="00276D5E">
              <w:rPr>
                <w:rFonts w:ascii="Arial" w:hAnsi="Arial" w:cs="Arial"/>
                <w:b/>
                <w:sz w:val="20"/>
              </w:rPr>
              <w:t>Training</w:t>
            </w:r>
            <w:r w:rsidRPr="00276D5E">
              <w:rPr>
                <w:rFonts w:ascii="Arial" w:hAnsi="Arial" w:cs="Arial"/>
                <w:b/>
                <w:spacing w:val="-5"/>
                <w:sz w:val="20"/>
              </w:rPr>
              <w:t xml:space="preserve"> </w:t>
            </w:r>
            <w:r w:rsidRPr="00276D5E">
              <w:rPr>
                <w:rFonts w:ascii="Arial" w:hAnsi="Arial" w:cs="Arial"/>
                <w:b/>
                <w:sz w:val="20"/>
              </w:rPr>
              <w:t>and</w:t>
            </w:r>
            <w:r w:rsidRPr="00276D5E">
              <w:rPr>
                <w:rFonts w:ascii="Arial" w:hAnsi="Arial" w:cs="Arial"/>
                <w:b/>
                <w:spacing w:val="-3"/>
                <w:sz w:val="20"/>
              </w:rPr>
              <w:t xml:space="preserve"> </w:t>
            </w:r>
            <w:r w:rsidRPr="00276D5E">
              <w:rPr>
                <w:rFonts w:ascii="Arial" w:hAnsi="Arial" w:cs="Arial"/>
                <w:b/>
                <w:sz w:val="20"/>
              </w:rPr>
              <w:t>communication</w:t>
            </w:r>
            <w:r w:rsidRPr="00276D5E">
              <w:rPr>
                <w:rFonts w:ascii="Arial" w:hAnsi="Arial" w:cs="Arial"/>
                <w:b/>
                <w:spacing w:val="-3"/>
                <w:sz w:val="20"/>
              </w:rPr>
              <w:t xml:space="preserve"> </w:t>
            </w:r>
            <w:r w:rsidRPr="00276D5E">
              <w:rPr>
                <w:rFonts w:ascii="Arial" w:hAnsi="Arial" w:cs="Arial"/>
                <w:b/>
                <w:sz w:val="20"/>
              </w:rPr>
              <w:t>on</w:t>
            </w:r>
            <w:r w:rsidRPr="00276D5E">
              <w:rPr>
                <w:rFonts w:ascii="Arial" w:hAnsi="Arial" w:cs="Arial"/>
                <w:b/>
                <w:spacing w:val="-3"/>
                <w:sz w:val="20"/>
              </w:rPr>
              <w:t xml:space="preserve"> </w:t>
            </w:r>
            <w:r w:rsidRPr="00276D5E">
              <w:rPr>
                <w:rFonts w:ascii="Arial" w:hAnsi="Arial" w:cs="Arial"/>
                <w:b/>
                <w:sz w:val="20"/>
              </w:rPr>
              <w:t>safety</w:t>
            </w:r>
          </w:p>
        </w:tc>
      </w:tr>
      <w:tr w:rsidR="00E60D05" w:rsidRPr="00276D5E" w14:paraId="3A47B067" w14:textId="77777777" w:rsidTr="00E60D05">
        <w:trPr>
          <w:trHeight w:val="486"/>
        </w:trPr>
        <w:tc>
          <w:tcPr>
            <w:tcW w:w="4568" w:type="dxa"/>
          </w:tcPr>
          <w:p w14:paraId="7ECE6963"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All</w:t>
            </w:r>
            <w:r w:rsidRPr="00276D5E">
              <w:rPr>
                <w:rFonts w:ascii="Arial" w:hAnsi="Arial" w:cs="Arial"/>
                <w:spacing w:val="-3"/>
                <w:sz w:val="20"/>
              </w:rPr>
              <w:t xml:space="preserve"> </w:t>
            </w:r>
            <w:r w:rsidRPr="00276D5E">
              <w:rPr>
                <w:rFonts w:ascii="Arial" w:hAnsi="Arial" w:cs="Arial"/>
                <w:sz w:val="20"/>
              </w:rPr>
              <w:t>personnel</w:t>
            </w:r>
            <w:r w:rsidRPr="00276D5E">
              <w:rPr>
                <w:rFonts w:ascii="Arial" w:hAnsi="Arial" w:cs="Arial"/>
                <w:spacing w:val="-2"/>
                <w:sz w:val="20"/>
              </w:rPr>
              <w:t xml:space="preserve"> </w:t>
            </w:r>
            <w:r w:rsidRPr="00276D5E">
              <w:rPr>
                <w:rFonts w:ascii="Arial" w:hAnsi="Arial" w:cs="Arial"/>
                <w:sz w:val="20"/>
              </w:rPr>
              <w:t>are</w:t>
            </w:r>
            <w:r w:rsidRPr="00276D5E">
              <w:rPr>
                <w:rFonts w:ascii="Arial" w:hAnsi="Arial" w:cs="Arial"/>
                <w:spacing w:val="-3"/>
                <w:sz w:val="20"/>
              </w:rPr>
              <w:t xml:space="preserve"> </w:t>
            </w:r>
            <w:r w:rsidRPr="00276D5E">
              <w:rPr>
                <w:rFonts w:ascii="Arial" w:hAnsi="Arial" w:cs="Arial"/>
                <w:sz w:val="20"/>
              </w:rPr>
              <w:t>aware</w:t>
            </w:r>
            <w:r w:rsidRPr="00276D5E">
              <w:rPr>
                <w:rFonts w:ascii="Arial" w:hAnsi="Arial" w:cs="Arial"/>
                <w:spacing w:val="-2"/>
                <w:sz w:val="20"/>
              </w:rPr>
              <w:t xml:space="preserve"> </w:t>
            </w:r>
            <w:r w:rsidRPr="00276D5E">
              <w:rPr>
                <w:rFonts w:ascii="Arial" w:hAnsi="Arial" w:cs="Arial"/>
                <w:sz w:val="20"/>
              </w:rPr>
              <w:t>of</w:t>
            </w:r>
            <w:r w:rsidRPr="00276D5E">
              <w:rPr>
                <w:rFonts w:ascii="Arial" w:hAnsi="Arial" w:cs="Arial"/>
                <w:spacing w:val="-4"/>
                <w:sz w:val="20"/>
              </w:rPr>
              <w:t xml:space="preserve"> </w:t>
            </w:r>
            <w:r w:rsidRPr="00276D5E">
              <w:rPr>
                <w:rFonts w:ascii="Arial" w:hAnsi="Arial" w:cs="Arial"/>
                <w:sz w:val="20"/>
              </w:rPr>
              <w:t>safety</w:t>
            </w:r>
            <w:r w:rsidRPr="00276D5E">
              <w:rPr>
                <w:rFonts w:ascii="Arial" w:hAnsi="Arial" w:cs="Arial"/>
                <w:spacing w:val="-1"/>
                <w:sz w:val="20"/>
              </w:rPr>
              <w:t xml:space="preserve"> </w:t>
            </w:r>
            <w:r w:rsidRPr="00276D5E">
              <w:rPr>
                <w:rFonts w:ascii="Arial" w:hAnsi="Arial" w:cs="Arial"/>
                <w:sz w:val="20"/>
              </w:rPr>
              <w:t>management</w:t>
            </w:r>
          </w:p>
          <w:p w14:paraId="4FAE06C8"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policies,</w:t>
            </w:r>
            <w:r w:rsidRPr="00276D5E">
              <w:rPr>
                <w:rFonts w:ascii="Arial" w:hAnsi="Arial" w:cs="Arial"/>
                <w:spacing w:val="-3"/>
                <w:sz w:val="20"/>
              </w:rPr>
              <w:t xml:space="preserve"> </w:t>
            </w:r>
            <w:r w:rsidRPr="00276D5E">
              <w:rPr>
                <w:rFonts w:ascii="Arial" w:hAnsi="Arial" w:cs="Arial"/>
                <w:sz w:val="20"/>
              </w:rPr>
              <w:t>processes</w:t>
            </w:r>
            <w:r w:rsidRPr="00276D5E">
              <w:rPr>
                <w:rFonts w:ascii="Arial" w:hAnsi="Arial" w:cs="Arial"/>
                <w:spacing w:val="-4"/>
                <w:sz w:val="20"/>
              </w:rPr>
              <w:t xml:space="preserve"> </w:t>
            </w:r>
            <w:r w:rsidRPr="00276D5E">
              <w:rPr>
                <w:rFonts w:ascii="Arial" w:hAnsi="Arial" w:cs="Arial"/>
                <w:sz w:val="20"/>
              </w:rPr>
              <w:t>and</w:t>
            </w:r>
            <w:r w:rsidRPr="00276D5E">
              <w:rPr>
                <w:rFonts w:ascii="Arial" w:hAnsi="Arial" w:cs="Arial"/>
                <w:spacing w:val="-2"/>
                <w:sz w:val="20"/>
              </w:rPr>
              <w:t xml:space="preserve"> </w:t>
            </w:r>
            <w:r w:rsidRPr="00276D5E">
              <w:rPr>
                <w:rFonts w:ascii="Arial" w:hAnsi="Arial" w:cs="Arial"/>
                <w:sz w:val="20"/>
              </w:rPr>
              <w:t>tasks</w:t>
            </w:r>
          </w:p>
        </w:tc>
        <w:tc>
          <w:tcPr>
            <w:tcW w:w="1217" w:type="dxa"/>
          </w:tcPr>
          <w:p w14:paraId="6246FE65" w14:textId="77777777" w:rsidR="00E60D05" w:rsidRPr="00276D5E" w:rsidRDefault="00E60D05" w:rsidP="009601C2">
            <w:pPr>
              <w:pStyle w:val="TableParagraph"/>
              <w:spacing w:line="276" w:lineRule="auto"/>
              <w:ind w:left="0"/>
              <w:rPr>
                <w:rFonts w:ascii="Arial" w:hAnsi="Arial" w:cs="Arial"/>
                <w:sz w:val="20"/>
              </w:rPr>
            </w:pPr>
          </w:p>
        </w:tc>
        <w:tc>
          <w:tcPr>
            <w:tcW w:w="1118" w:type="dxa"/>
          </w:tcPr>
          <w:p w14:paraId="589A5D6E" w14:textId="77777777" w:rsidR="00E60D05" w:rsidRPr="00276D5E" w:rsidRDefault="00E60D05" w:rsidP="009601C2">
            <w:pPr>
              <w:pStyle w:val="TableParagraph"/>
              <w:spacing w:line="276" w:lineRule="auto"/>
              <w:ind w:left="0"/>
              <w:rPr>
                <w:rFonts w:ascii="Arial" w:hAnsi="Arial" w:cs="Arial"/>
                <w:sz w:val="20"/>
              </w:rPr>
            </w:pPr>
          </w:p>
        </w:tc>
        <w:tc>
          <w:tcPr>
            <w:tcW w:w="2395" w:type="dxa"/>
          </w:tcPr>
          <w:p w14:paraId="34FF1EA7" w14:textId="77777777" w:rsidR="00E60D05" w:rsidRPr="00276D5E" w:rsidRDefault="00E60D05" w:rsidP="009601C2">
            <w:pPr>
              <w:pStyle w:val="TableParagraph"/>
              <w:spacing w:line="276" w:lineRule="auto"/>
              <w:ind w:left="0"/>
              <w:rPr>
                <w:rFonts w:ascii="Arial" w:hAnsi="Arial" w:cs="Arial"/>
                <w:sz w:val="20"/>
              </w:rPr>
            </w:pPr>
          </w:p>
        </w:tc>
      </w:tr>
      <w:tr w:rsidR="00E60D05" w:rsidRPr="00276D5E" w14:paraId="195DFD87" w14:textId="77777777" w:rsidTr="00E60D05">
        <w:trPr>
          <w:trHeight w:val="489"/>
        </w:trPr>
        <w:tc>
          <w:tcPr>
            <w:tcW w:w="4568" w:type="dxa"/>
          </w:tcPr>
          <w:p w14:paraId="6B47410C"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Availability</w:t>
            </w:r>
            <w:r w:rsidRPr="00276D5E">
              <w:rPr>
                <w:rFonts w:ascii="Arial" w:hAnsi="Arial" w:cs="Arial"/>
                <w:spacing w:val="-2"/>
                <w:sz w:val="20"/>
              </w:rPr>
              <w:t xml:space="preserve"> </w:t>
            </w:r>
            <w:r w:rsidRPr="00276D5E">
              <w:rPr>
                <w:rFonts w:ascii="Arial" w:hAnsi="Arial" w:cs="Arial"/>
                <w:sz w:val="20"/>
              </w:rPr>
              <w:t>of</w:t>
            </w:r>
            <w:r w:rsidRPr="00276D5E">
              <w:rPr>
                <w:rFonts w:ascii="Arial" w:hAnsi="Arial" w:cs="Arial"/>
                <w:spacing w:val="-5"/>
                <w:sz w:val="20"/>
              </w:rPr>
              <w:t xml:space="preserve"> </w:t>
            </w:r>
            <w:r w:rsidRPr="00276D5E">
              <w:rPr>
                <w:rFonts w:ascii="Arial" w:hAnsi="Arial" w:cs="Arial"/>
                <w:sz w:val="20"/>
              </w:rPr>
              <w:t>safety-related</w:t>
            </w:r>
            <w:r w:rsidRPr="00276D5E">
              <w:rPr>
                <w:rFonts w:ascii="Arial" w:hAnsi="Arial" w:cs="Arial"/>
                <w:spacing w:val="-3"/>
                <w:sz w:val="20"/>
              </w:rPr>
              <w:t xml:space="preserve"> </w:t>
            </w:r>
            <w:r w:rsidRPr="00276D5E">
              <w:rPr>
                <w:rFonts w:ascii="Arial" w:hAnsi="Arial" w:cs="Arial"/>
                <w:sz w:val="20"/>
              </w:rPr>
              <w:t>documentation</w:t>
            </w:r>
            <w:r w:rsidRPr="00276D5E">
              <w:rPr>
                <w:rFonts w:ascii="Arial" w:hAnsi="Arial" w:cs="Arial"/>
                <w:spacing w:val="-3"/>
                <w:sz w:val="20"/>
              </w:rPr>
              <w:t xml:space="preserve"> </w:t>
            </w:r>
            <w:r w:rsidRPr="00276D5E">
              <w:rPr>
                <w:rFonts w:ascii="Arial" w:hAnsi="Arial" w:cs="Arial"/>
                <w:sz w:val="20"/>
              </w:rPr>
              <w:t>and</w:t>
            </w:r>
          </w:p>
          <w:p w14:paraId="27975D33"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publications</w:t>
            </w:r>
          </w:p>
        </w:tc>
        <w:tc>
          <w:tcPr>
            <w:tcW w:w="1217" w:type="dxa"/>
          </w:tcPr>
          <w:p w14:paraId="74DF4078" w14:textId="77777777" w:rsidR="00E60D05" w:rsidRPr="00276D5E" w:rsidRDefault="00E60D05" w:rsidP="009601C2">
            <w:pPr>
              <w:pStyle w:val="TableParagraph"/>
              <w:spacing w:line="276" w:lineRule="auto"/>
              <w:ind w:left="0"/>
              <w:rPr>
                <w:rFonts w:ascii="Arial" w:hAnsi="Arial" w:cs="Arial"/>
                <w:sz w:val="20"/>
              </w:rPr>
            </w:pPr>
          </w:p>
        </w:tc>
        <w:tc>
          <w:tcPr>
            <w:tcW w:w="1118" w:type="dxa"/>
          </w:tcPr>
          <w:p w14:paraId="33B93EB8" w14:textId="77777777" w:rsidR="00E60D05" w:rsidRPr="00276D5E" w:rsidRDefault="00E60D05" w:rsidP="009601C2">
            <w:pPr>
              <w:pStyle w:val="TableParagraph"/>
              <w:spacing w:line="276" w:lineRule="auto"/>
              <w:ind w:left="0"/>
              <w:rPr>
                <w:rFonts w:ascii="Arial" w:hAnsi="Arial" w:cs="Arial"/>
                <w:sz w:val="20"/>
              </w:rPr>
            </w:pPr>
          </w:p>
        </w:tc>
        <w:tc>
          <w:tcPr>
            <w:tcW w:w="2395" w:type="dxa"/>
          </w:tcPr>
          <w:p w14:paraId="64A7EDE3" w14:textId="77777777" w:rsidR="00E60D05" w:rsidRPr="00276D5E" w:rsidRDefault="00E60D05" w:rsidP="009601C2">
            <w:pPr>
              <w:pStyle w:val="TableParagraph"/>
              <w:spacing w:line="276" w:lineRule="auto"/>
              <w:ind w:left="0"/>
              <w:rPr>
                <w:rFonts w:ascii="Arial" w:hAnsi="Arial" w:cs="Arial"/>
                <w:sz w:val="20"/>
              </w:rPr>
            </w:pPr>
          </w:p>
        </w:tc>
      </w:tr>
      <w:tr w:rsidR="00E60D05" w:rsidRPr="00276D5E" w14:paraId="0A2FDBB0" w14:textId="77777777" w:rsidTr="00E60D05">
        <w:trPr>
          <w:trHeight w:val="976"/>
        </w:trPr>
        <w:tc>
          <w:tcPr>
            <w:tcW w:w="4568" w:type="dxa"/>
          </w:tcPr>
          <w:p w14:paraId="45D3D246" w14:textId="77777777" w:rsidR="00E60D05" w:rsidRPr="00276D5E" w:rsidRDefault="00E60D05" w:rsidP="009601C2">
            <w:pPr>
              <w:pStyle w:val="TableParagraph"/>
              <w:spacing w:line="276" w:lineRule="auto"/>
              <w:ind w:left="57" w:right="134"/>
              <w:rPr>
                <w:rFonts w:ascii="Arial" w:hAnsi="Arial" w:cs="Arial"/>
                <w:sz w:val="20"/>
              </w:rPr>
            </w:pPr>
            <w:r w:rsidRPr="00276D5E">
              <w:rPr>
                <w:rFonts w:ascii="Arial" w:hAnsi="Arial" w:cs="Arial"/>
                <w:sz w:val="20"/>
              </w:rPr>
              <w:t>Safety-critical information derived from internal</w:t>
            </w:r>
            <w:r w:rsidRPr="00276D5E">
              <w:rPr>
                <w:rFonts w:ascii="Arial" w:hAnsi="Arial" w:cs="Arial"/>
                <w:spacing w:val="1"/>
                <w:sz w:val="20"/>
              </w:rPr>
              <w:t xml:space="preserve"> </w:t>
            </w:r>
            <w:r w:rsidRPr="00276D5E">
              <w:rPr>
                <w:rFonts w:ascii="Arial" w:hAnsi="Arial" w:cs="Arial"/>
                <w:sz w:val="20"/>
              </w:rPr>
              <w:t>safety or occurrence reporting, hazard</w:t>
            </w:r>
            <w:r w:rsidRPr="00276D5E">
              <w:rPr>
                <w:rFonts w:ascii="Arial" w:hAnsi="Arial" w:cs="Arial"/>
                <w:spacing w:val="1"/>
                <w:sz w:val="20"/>
              </w:rPr>
              <w:t xml:space="preserve"> </w:t>
            </w:r>
            <w:r w:rsidRPr="00276D5E">
              <w:rPr>
                <w:rFonts w:ascii="Arial" w:hAnsi="Arial" w:cs="Arial"/>
                <w:sz w:val="20"/>
              </w:rPr>
              <w:t>identification</w:t>
            </w:r>
            <w:r w:rsidRPr="00276D5E">
              <w:rPr>
                <w:rFonts w:ascii="Arial" w:hAnsi="Arial" w:cs="Arial"/>
                <w:spacing w:val="-2"/>
                <w:sz w:val="20"/>
              </w:rPr>
              <w:t xml:space="preserve"> </w:t>
            </w:r>
            <w:r w:rsidRPr="00276D5E">
              <w:rPr>
                <w:rFonts w:ascii="Arial" w:hAnsi="Arial" w:cs="Arial"/>
                <w:sz w:val="20"/>
              </w:rPr>
              <w:t>or</w:t>
            </w:r>
            <w:r w:rsidRPr="00276D5E">
              <w:rPr>
                <w:rFonts w:ascii="Arial" w:hAnsi="Arial" w:cs="Arial"/>
                <w:spacing w:val="-2"/>
                <w:sz w:val="20"/>
              </w:rPr>
              <w:t xml:space="preserve"> </w:t>
            </w:r>
            <w:r w:rsidRPr="00276D5E">
              <w:rPr>
                <w:rFonts w:ascii="Arial" w:hAnsi="Arial" w:cs="Arial"/>
                <w:sz w:val="20"/>
              </w:rPr>
              <w:t>compliance</w:t>
            </w:r>
            <w:r w:rsidRPr="00276D5E">
              <w:rPr>
                <w:rFonts w:ascii="Arial" w:hAnsi="Arial" w:cs="Arial"/>
                <w:spacing w:val="-4"/>
                <w:sz w:val="20"/>
              </w:rPr>
              <w:t xml:space="preserve"> </w:t>
            </w:r>
            <w:r w:rsidRPr="00276D5E">
              <w:rPr>
                <w:rFonts w:ascii="Arial" w:hAnsi="Arial" w:cs="Arial"/>
                <w:sz w:val="20"/>
              </w:rPr>
              <w:t>monitoring</w:t>
            </w:r>
            <w:r w:rsidRPr="00276D5E">
              <w:rPr>
                <w:rFonts w:ascii="Arial" w:hAnsi="Arial" w:cs="Arial"/>
                <w:spacing w:val="-3"/>
                <w:sz w:val="20"/>
              </w:rPr>
              <w:t xml:space="preserve"> </w:t>
            </w:r>
            <w:r w:rsidRPr="00276D5E">
              <w:rPr>
                <w:rFonts w:ascii="Arial" w:hAnsi="Arial" w:cs="Arial"/>
                <w:sz w:val="20"/>
              </w:rPr>
              <w:t>have</w:t>
            </w:r>
            <w:r w:rsidRPr="00276D5E">
              <w:rPr>
                <w:rFonts w:ascii="Arial" w:hAnsi="Arial" w:cs="Arial"/>
                <w:spacing w:val="-3"/>
                <w:sz w:val="20"/>
              </w:rPr>
              <w:t xml:space="preserve"> </w:t>
            </w:r>
            <w:r w:rsidRPr="00276D5E">
              <w:rPr>
                <w:rFonts w:ascii="Arial" w:hAnsi="Arial" w:cs="Arial"/>
                <w:sz w:val="20"/>
              </w:rPr>
              <w:t>been</w:t>
            </w:r>
          </w:p>
          <w:p w14:paraId="6A36A40A"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timely</w:t>
            </w:r>
            <w:r w:rsidRPr="00276D5E">
              <w:rPr>
                <w:rFonts w:ascii="Arial" w:hAnsi="Arial" w:cs="Arial"/>
                <w:spacing w:val="-2"/>
                <w:sz w:val="20"/>
              </w:rPr>
              <w:t xml:space="preserve"> </w:t>
            </w:r>
            <w:r w:rsidRPr="00276D5E">
              <w:rPr>
                <w:rFonts w:ascii="Arial" w:hAnsi="Arial" w:cs="Arial"/>
                <w:sz w:val="20"/>
              </w:rPr>
              <w:t>communicated</w:t>
            </w:r>
            <w:r w:rsidRPr="00276D5E">
              <w:rPr>
                <w:rFonts w:ascii="Arial" w:hAnsi="Arial" w:cs="Arial"/>
                <w:spacing w:val="-2"/>
                <w:sz w:val="20"/>
              </w:rPr>
              <w:t xml:space="preserve"> </w:t>
            </w:r>
            <w:r w:rsidRPr="00276D5E">
              <w:rPr>
                <w:rFonts w:ascii="Arial" w:hAnsi="Arial" w:cs="Arial"/>
                <w:sz w:val="20"/>
              </w:rPr>
              <w:t>to</w:t>
            </w:r>
            <w:r w:rsidRPr="00276D5E">
              <w:rPr>
                <w:rFonts w:ascii="Arial" w:hAnsi="Arial" w:cs="Arial"/>
                <w:spacing w:val="-2"/>
                <w:sz w:val="20"/>
              </w:rPr>
              <w:t xml:space="preserve"> </w:t>
            </w:r>
            <w:r w:rsidRPr="00276D5E">
              <w:rPr>
                <w:rFonts w:ascii="Arial" w:hAnsi="Arial" w:cs="Arial"/>
                <w:sz w:val="20"/>
              </w:rPr>
              <w:t>all</w:t>
            </w:r>
            <w:r w:rsidRPr="00276D5E">
              <w:rPr>
                <w:rFonts w:ascii="Arial" w:hAnsi="Arial" w:cs="Arial"/>
                <w:spacing w:val="-2"/>
                <w:sz w:val="20"/>
              </w:rPr>
              <w:t xml:space="preserve"> </w:t>
            </w:r>
            <w:r w:rsidRPr="00276D5E">
              <w:rPr>
                <w:rFonts w:ascii="Arial" w:hAnsi="Arial" w:cs="Arial"/>
                <w:sz w:val="20"/>
              </w:rPr>
              <w:t>staff</w:t>
            </w:r>
            <w:r w:rsidRPr="00276D5E">
              <w:rPr>
                <w:rFonts w:ascii="Arial" w:hAnsi="Arial" w:cs="Arial"/>
                <w:spacing w:val="-4"/>
                <w:sz w:val="20"/>
              </w:rPr>
              <w:t xml:space="preserve"> </w:t>
            </w:r>
            <w:r w:rsidRPr="00276D5E">
              <w:rPr>
                <w:rFonts w:ascii="Arial" w:hAnsi="Arial" w:cs="Arial"/>
                <w:sz w:val="20"/>
              </w:rPr>
              <w:t>concerned</w:t>
            </w:r>
          </w:p>
        </w:tc>
        <w:tc>
          <w:tcPr>
            <w:tcW w:w="1217" w:type="dxa"/>
          </w:tcPr>
          <w:p w14:paraId="4D4000F4" w14:textId="77777777" w:rsidR="00E60D05" w:rsidRPr="00276D5E" w:rsidRDefault="00E60D05" w:rsidP="009601C2">
            <w:pPr>
              <w:pStyle w:val="TableParagraph"/>
              <w:spacing w:line="276" w:lineRule="auto"/>
              <w:ind w:left="0"/>
              <w:rPr>
                <w:rFonts w:ascii="Arial" w:hAnsi="Arial" w:cs="Arial"/>
                <w:sz w:val="20"/>
              </w:rPr>
            </w:pPr>
          </w:p>
        </w:tc>
        <w:tc>
          <w:tcPr>
            <w:tcW w:w="1118" w:type="dxa"/>
          </w:tcPr>
          <w:p w14:paraId="2B716B01" w14:textId="77777777" w:rsidR="00E60D05" w:rsidRPr="00276D5E" w:rsidRDefault="00E60D05" w:rsidP="009601C2">
            <w:pPr>
              <w:pStyle w:val="TableParagraph"/>
              <w:spacing w:line="276" w:lineRule="auto"/>
              <w:ind w:left="0"/>
              <w:rPr>
                <w:rFonts w:ascii="Arial" w:hAnsi="Arial" w:cs="Arial"/>
                <w:sz w:val="20"/>
              </w:rPr>
            </w:pPr>
          </w:p>
        </w:tc>
        <w:tc>
          <w:tcPr>
            <w:tcW w:w="2395" w:type="dxa"/>
          </w:tcPr>
          <w:p w14:paraId="3922E173" w14:textId="77777777" w:rsidR="00E60D05" w:rsidRPr="00276D5E" w:rsidRDefault="00E60D05" w:rsidP="009601C2">
            <w:pPr>
              <w:pStyle w:val="TableParagraph"/>
              <w:spacing w:line="276" w:lineRule="auto"/>
              <w:ind w:left="0"/>
              <w:rPr>
                <w:rFonts w:ascii="Arial" w:hAnsi="Arial" w:cs="Arial"/>
                <w:sz w:val="20"/>
              </w:rPr>
            </w:pPr>
          </w:p>
        </w:tc>
      </w:tr>
      <w:tr w:rsidR="00E60D05" w:rsidRPr="00276D5E" w14:paraId="7D099DB2" w14:textId="77777777" w:rsidTr="00E60D05">
        <w:trPr>
          <w:trHeight w:val="244"/>
        </w:trPr>
        <w:tc>
          <w:tcPr>
            <w:tcW w:w="9298" w:type="dxa"/>
            <w:gridSpan w:val="4"/>
          </w:tcPr>
          <w:p w14:paraId="690B996B" w14:textId="77777777" w:rsidR="00E60D05" w:rsidRPr="00276D5E" w:rsidRDefault="00E60D05" w:rsidP="009601C2">
            <w:pPr>
              <w:pStyle w:val="TableParagraph"/>
              <w:spacing w:line="276" w:lineRule="auto"/>
              <w:ind w:left="57"/>
              <w:rPr>
                <w:rFonts w:ascii="Arial" w:hAnsi="Arial" w:cs="Arial"/>
                <w:b/>
                <w:sz w:val="20"/>
              </w:rPr>
            </w:pPr>
            <w:r w:rsidRPr="00276D5E">
              <w:rPr>
                <w:rFonts w:ascii="Arial" w:hAnsi="Arial" w:cs="Arial"/>
                <w:b/>
                <w:sz w:val="20"/>
              </w:rPr>
              <w:t>Management</w:t>
            </w:r>
            <w:r w:rsidRPr="00276D5E">
              <w:rPr>
                <w:rFonts w:ascii="Arial" w:hAnsi="Arial" w:cs="Arial"/>
                <w:b/>
                <w:spacing w:val="-5"/>
                <w:sz w:val="20"/>
              </w:rPr>
              <w:t xml:space="preserve"> </w:t>
            </w:r>
            <w:r w:rsidRPr="00276D5E">
              <w:rPr>
                <w:rFonts w:ascii="Arial" w:hAnsi="Arial" w:cs="Arial"/>
                <w:b/>
                <w:sz w:val="20"/>
              </w:rPr>
              <w:t>system</w:t>
            </w:r>
            <w:r w:rsidRPr="00276D5E">
              <w:rPr>
                <w:rFonts w:ascii="Arial" w:hAnsi="Arial" w:cs="Arial"/>
                <w:b/>
                <w:spacing w:val="-5"/>
                <w:sz w:val="20"/>
              </w:rPr>
              <w:t xml:space="preserve"> </w:t>
            </w:r>
            <w:r w:rsidRPr="00276D5E">
              <w:rPr>
                <w:rFonts w:ascii="Arial" w:hAnsi="Arial" w:cs="Arial"/>
                <w:b/>
                <w:sz w:val="20"/>
              </w:rPr>
              <w:t>documentation</w:t>
            </w:r>
          </w:p>
        </w:tc>
      </w:tr>
      <w:tr w:rsidR="00E60D05" w:rsidRPr="00276D5E" w14:paraId="7AD6AC27" w14:textId="77777777" w:rsidTr="00E60D05">
        <w:trPr>
          <w:trHeight w:val="244"/>
        </w:trPr>
        <w:tc>
          <w:tcPr>
            <w:tcW w:w="4568" w:type="dxa"/>
          </w:tcPr>
          <w:p w14:paraId="74F3B138"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Adequate</w:t>
            </w:r>
            <w:r w:rsidRPr="00276D5E">
              <w:rPr>
                <w:rFonts w:ascii="Arial" w:hAnsi="Arial" w:cs="Arial"/>
                <w:spacing w:val="-5"/>
                <w:sz w:val="20"/>
              </w:rPr>
              <w:t xml:space="preserve"> </w:t>
            </w:r>
            <w:r w:rsidRPr="00276D5E">
              <w:rPr>
                <w:rFonts w:ascii="Arial" w:hAnsi="Arial" w:cs="Arial"/>
                <w:sz w:val="20"/>
              </w:rPr>
              <w:t>and</w:t>
            </w:r>
            <w:r w:rsidRPr="00276D5E">
              <w:rPr>
                <w:rFonts w:ascii="Arial" w:hAnsi="Arial" w:cs="Arial"/>
                <w:spacing w:val="-3"/>
                <w:sz w:val="20"/>
              </w:rPr>
              <w:t xml:space="preserve"> </w:t>
            </w:r>
            <w:r w:rsidRPr="00276D5E">
              <w:rPr>
                <w:rFonts w:ascii="Arial" w:hAnsi="Arial" w:cs="Arial"/>
                <w:sz w:val="20"/>
              </w:rPr>
              <w:t>updated</w:t>
            </w:r>
            <w:r w:rsidRPr="00276D5E">
              <w:rPr>
                <w:rFonts w:ascii="Arial" w:hAnsi="Arial" w:cs="Arial"/>
                <w:spacing w:val="-4"/>
                <w:sz w:val="20"/>
              </w:rPr>
              <w:t xml:space="preserve"> </w:t>
            </w:r>
            <w:r w:rsidRPr="00276D5E">
              <w:rPr>
                <w:rFonts w:ascii="Arial" w:hAnsi="Arial" w:cs="Arial"/>
                <w:sz w:val="20"/>
              </w:rPr>
              <w:t>documentation</w:t>
            </w:r>
          </w:p>
        </w:tc>
        <w:tc>
          <w:tcPr>
            <w:tcW w:w="1217" w:type="dxa"/>
          </w:tcPr>
          <w:p w14:paraId="43E29F6A" w14:textId="77777777" w:rsidR="00E60D05" w:rsidRPr="00276D5E" w:rsidRDefault="00E60D05" w:rsidP="009601C2">
            <w:pPr>
              <w:pStyle w:val="TableParagraph"/>
              <w:spacing w:line="276" w:lineRule="auto"/>
              <w:ind w:left="0"/>
              <w:rPr>
                <w:rFonts w:ascii="Arial" w:hAnsi="Arial" w:cs="Arial"/>
                <w:sz w:val="16"/>
              </w:rPr>
            </w:pPr>
          </w:p>
        </w:tc>
        <w:tc>
          <w:tcPr>
            <w:tcW w:w="1118" w:type="dxa"/>
          </w:tcPr>
          <w:p w14:paraId="680A78E7" w14:textId="77777777" w:rsidR="00E60D05" w:rsidRPr="00276D5E" w:rsidRDefault="00E60D05" w:rsidP="009601C2">
            <w:pPr>
              <w:pStyle w:val="TableParagraph"/>
              <w:spacing w:line="276" w:lineRule="auto"/>
              <w:ind w:left="0"/>
              <w:rPr>
                <w:rFonts w:ascii="Arial" w:hAnsi="Arial" w:cs="Arial"/>
                <w:sz w:val="16"/>
              </w:rPr>
            </w:pPr>
          </w:p>
        </w:tc>
        <w:tc>
          <w:tcPr>
            <w:tcW w:w="2395" w:type="dxa"/>
          </w:tcPr>
          <w:p w14:paraId="74CD161F" w14:textId="77777777" w:rsidR="00E60D05" w:rsidRPr="00276D5E" w:rsidRDefault="00E60D05" w:rsidP="009601C2">
            <w:pPr>
              <w:pStyle w:val="TableParagraph"/>
              <w:spacing w:line="276" w:lineRule="auto"/>
              <w:ind w:left="0"/>
              <w:rPr>
                <w:rFonts w:ascii="Arial" w:hAnsi="Arial" w:cs="Arial"/>
                <w:sz w:val="16"/>
              </w:rPr>
            </w:pPr>
          </w:p>
        </w:tc>
      </w:tr>
      <w:tr w:rsidR="00E60D05" w:rsidRPr="00276D5E" w14:paraId="4167AED7" w14:textId="77777777" w:rsidTr="00E60D05">
        <w:trPr>
          <w:trHeight w:val="486"/>
        </w:trPr>
        <w:tc>
          <w:tcPr>
            <w:tcW w:w="4568" w:type="dxa"/>
          </w:tcPr>
          <w:p w14:paraId="18974EFA"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Staff</w:t>
            </w:r>
            <w:r w:rsidRPr="00276D5E">
              <w:rPr>
                <w:rFonts w:ascii="Arial" w:hAnsi="Arial" w:cs="Arial"/>
                <w:spacing w:val="-5"/>
                <w:sz w:val="20"/>
              </w:rPr>
              <w:t xml:space="preserve"> </w:t>
            </w:r>
            <w:r w:rsidRPr="00276D5E">
              <w:rPr>
                <w:rFonts w:ascii="Arial" w:hAnsi="Arial" w:cs="Arial"/>
                <w:sz w:val="20"/>
              </w:rPr>
              <w:t>can</w:t>
            </w:r>
            <w:r w:rsidRPr="00276D5E">
              <w:rPr>
                <w:rFonts w:ascii="Arial" w:hAnsi="Arial" w:cs="Arial"/>
                <w:spacing w:val="-3"/>
                <w:sz w:val="20"/>
              </w:rPr>
              <w:t xml:space="preserve"> </w:t>
            </w:r>
            <w:r w:rsidRPr="00276D5E">
              <w:rPr>
                <w:rFonts w:ascii="Arial" w:hAnsi="Arial" w:cs="Arial"/>
                <w:sz w:val="20"/>
              </w:rPr>
              <w:t>easily</w:t>
            </w:r>
            <w:r w:rsidRPr="00276D5E">
              <w:rPr>
                <w:rFonts w:ascii="Arial" w:hAnsi="Arial" w:cs="Arial"/>
                <w:spacing w:val="-3"/>
                <w:sz w:val="20"/>
              </w:rPr>
              <w:t xml:space="preserve"> </w:t>
            </w:r>
            <w:r w:rsidRPr="00276D5E">
              <w:rPr>
                <w:rFonts w:ascii="Arial" w:hAnsi="Arial" w:cs="Arial"/>
                <w:sz w:val="20"/>
              </w:rPr>
              <w:t>access</w:t>
            </w:r>
            <w:r w:rsidRPr="00276D5E">
              <w:rPr>
                <w:rFonts w:ascii="Arial" w:hAnsi="Arial" w:cs="Arial"/>
                <w:spacing w:val="-2"/>
                <w:sz w:val="20"/>
              </w:rPr>
              <w:t xml:space="preserve"> </w:t>
            </w:r>
            <w:r w:rsidRPr="00276D5E">
              <w:rPr>
                <w:rFonts w:ascii="Arial" w:hAnsi="Arial" w:cs="Arial"/>
                <w:sz w:val="20"/>
              </w:rPr>
              <w:t>such</w:t>
            </w:r>
            <w:r w:rsidRPr="00276D5E">
              <w:rPr>
                <w:rFonts w:ascii="Arial" w:hAnsi="Arial" w:cs="Arial"/>
                <w:spacing w:val="-3"/>
                <w:sz w:val="20"/>
              </w:rPr>
              <w:t xml:space="preserve"> </w:t>
            </w:r>
            <w:r w:rsidRPr="00276D5E">
              <w:rPr>
                <w:rFonts w:ascii="Arial" w:hAnsi="Arial" w:cs="Arial"/>
                <w:sz w:val="20"/>
              </w:rPr>
              <w:t>documentation</w:t>
            </w:r>
            <w:r w:rsidRPr="00276D5E">
              <w:rPr>
                <w:rFonts w:ascii="Arial" w:hAnsi="Arial" w:cs="Arial"/>
                <w:spacing w:val="-3"/>
                <w:sz w:val="20"/>
              </w:rPr>
              <w:t xml:space="preserve"> </w:t>
            </w:r>
            <w:r w:rsidRPr="00276D5E">
              <w:rPr>
                <w:rFonts w:ascii="Arial" w:hAnsi="Arial" w:cs="Arial"/>
                <w:sz w:val="20"/>
              </w:rPr>
              <w:t>when</w:t>
            </w:r>
          </w:p>
          <w:p w14:paraId="7FBD9B91"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needed</w:t>
            </w:r>
          </w:p>
        </w:tc>
        <w:tc>
          <w:tcPr>
            <w:tcW w:w="1217" w:type="dxa"/>
          </w:tcPr>
          <w:p w14:paraId="28060635" w14:textId="77777777" w:rsidR="00E60D05" w:rsidRPr="00276D5E" w:rsidRDefault="00E60D05" w:rsidP="009601C2">
            <w:pPr>
              <w:pStyle w:val="TableParagraph"/>
              <w:spacing w:line="276" w:lineRule="auto"/>
              <w:ind w:left="0"/>
              <w:rPr>
                <w:rFonts w:ascii="Arial" w:hAnsi="Arial" w:cs="Arial"/>
                <w:sz w:val="20"/>
              </w:rPr>
            </w:pPr>
          </w:p>
        </w:tc>
        <w:tc>
          <w:tcPr>
            <w:tcW w:w="1118" w:type="dxa"/>
          </w:tcPr>
          <w:p w14:paraId="0A28F4E7" w14:textId="77777777" w:rsidR="00E60D05" w:rsidRPr="00276D5E" w:rsidRDefault="00E60D05" w:rsidP="009601C2">
            <w:pPr>
              <w:pStyle w:val="TableParagraph"/>
              <w:spacing w:line="276" w:lineRule="auto"/>
              <w:ind w:left="0"/>
              <w:rPr>
                <w:rFonts w:ascii="Arial" w:hAnsi="Arial" w:cs="Arial"/>
                <w:sz w:val="20"/>
              </w:rPr>
            </w:pPr>
          </w:p>
        </w:tc>
        <w:tc>
          <w:tcPr>
            <w:tcW w:w="2395" w:type="dxa"/>
          </w:tcPr>
          <w:p w14:paraId="6047E6A2" w14:textId="77777777" w:rsidR="00E60D05" w:rsidRPr="00276D5E" w:rsidRDefault="00E60D05" w:rsidP="009601C2">
            <w:pPr>
              <w:pStyle w:val="TableParagraph"/>
              <w:spacing w:line="276" w:lineRule="auto"/>
              <w:ind w:left="0"/>
              <w:rPr>
                <w:rFonts w:ascii="Arial" w:hAnsi="Arial" w:cs="Arial"/>
                <w:sz w:val="20"/>
              </w:rPr>
            </w:pPr>
          </w:p>
        </w:tc>
      </w:tr>
      <w:tr w:rsidR="00E60D05" w:rsidRPr="00276D5E" w14:paraId="63D136A0" w14:textId="77777777" w:rsidTr="00E60D05">
        <w:trPr>
          <w:trHeight w:val="244"/>
        </w:trPr>
        <w:tc>
          <w:tcPr>
            <w:tcW w:w="9298" w:type="dxa"/>
            <w:gridSpan w:val="4"/>
          </w:tcPr>
          <w:p w14:paraId="41AB4DB7" w14:textId="77777777" w:rsidR="00E60D05" w:rsidRPr="00276D5E" w:rsidRDefault="00E60D05" w:rsidP="009601C2">
            <w:pPr>
              <w:pStyle w:val="TableParagraph"/>
              <w:spacing w:before="1" w:line="276" w:lineRule="auto"/>
              <w:ind w:left="57"/>
              <w:rPr>
                <w:rFonts w:ascii="Arial" w:hAnsi="Arial" w:cs="Arial"/>
                <w:b/>
                <w:sz w:val="20"/>
              </w:rPr>
            </w:pPr>
            <w:r w:rsidRPr="00276D5E">
              <w:rPr>
                <w:rFonts w:ascii="Arial" w:hAnsi="Arial" w:cs="Arial"/>
                <w:b/>
                <w:sz w:val="20"/>
              </w:rPr>
              <w:t>Record-keeping</w:t>
            </w:r>
          </w:p>
        </w:tc>
      </w:tr>
      <w:tr w:rsidR="00E60D05" w:rsidRPr="00276D5E" w14:paraId="6A341589" w14:textId="77777777" w:rsidTr="00E60D05">
        <w:trPr>
          <w:trHeight w:val="489"/>
        </w:trPr>
        <w:tc>
          <w:tcPr>
            <w:tcW w:w="4568" w:type="dxa"/>
          </w:tcPr>
          <w:p w14:paraId="6C298D76"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The</w:t>
            </w:r>
            <w:r w:rsidRPr="00276D5E">
              <w:rPr>
                <w:rFonts w:ascii="Arial" w:hAnsi="Arial" w:cs="Arial"/>
                <w:spacing w:val="-2"/>
                <w:sz w:val="20"/>
              </w:rPr>
              <w:t xml:space="preserve"> </w:t>
            </w:r>
            <w:r w:rsidRPr="00276D5E">
              <w:rPr>
                <w:rFonts w:ascii="Arial" w:hAnsi="Arial" w:cs="Arial"/>
                <w:sz w:val="20"/>
              </w:rPr>
              <w:t>records</w:t>
            </w:r>
            <w:r w:rsidRPr="00276D5E">
              <w:rPr>
                <w:rFonts w:ascii="Arial" w:hAnsi="Arial" w:cs="Arial"/>
                <w:spacing w:val="-3"/>
                <w:sz w:val="20"/>
              </w:rPr>
              <w:t xml:space="preserve"> </w:t>
            </w:r>
            <w:r w:rsidRPr="00276D5E">
              <w:rPr>
                <w:rFonts w:ascii="Arial" w:hAnsi="Arial" w:cs="Arial"/>
                <w:sz w:val="20"/>
              </w:rPr>
              <w:t>cover</w:t>
            </w:r>
            <w:r w:rsidRPr="00276D5E">
              <w:rPr>
                <w:rFonts w:ascii="Arial" w:hAnsi="Arial" w:cs="Arial"/>
                <w:spacing w:val="-1"/>
                <w:sz w:val="20"/>
              </w:rPr>
              <w:t xml:space="preserve"> </w:t>
            </w:r>
            <w:r w:rsidRPr="00276D5E">
              <w:rPr>
                <w:rFonts w:ascii="Arial" w:hAnsi="Arial" w:cs="Arial"/>
                <w:sz w:val="20"/>
              </w:rPr>
              <w:t>all</w:t>
            </w:r>
            <w:r w:rsidRPr="00276D5E">
              <w:rPr>
                <w:rFonts w:ascii="Arial" w:hAnsi="Arial" w:cs="Arial"/>
                <w:spacing w:val="-1"/>
                <w:sz w:val="20"/>
              </w:rPr>
              <w:t xml:space="preserve"> </w:t>
            </w:r>
            <w:r w:rsidRPr="00276D5E">
              <w:rPr>
                <w:rFonts w:ascii="Arial" w:hAnsi="Arial" w:cs="Arial"/>
                <w:sz w:val="20"/>
              </w:rPr>
              <w:t>the</w:t>
            </w:r>
            <w:r w:rsidRPr="00276D5E">
              <w:rPr>
                <w:rFonts w:ascii="Arial" w:hAnsi="Arial" w:cs="Arial"/>
                <w:spacing w:val="-2"/>
                <w:sz w:val="20"/>
              </w:rPr>
              <w:t xml:space="preserve"> </w:t>
            </w:r>
            <w:r w:rsidRPr="00276D5E">
              <w:rPr>
                <w:rFonts w:ascii="Arial" w:hAnsi="Arial" w:cs="Arial"/>
                <w:sz w:val="20"/>
              </w:rPr>
              <w:t>activities</w:t>
            </w:r>
            <w:r w:rsidRPr="00276D5E">
              <w:rPr>
                <w:rFonts w:ascii="Arial" w:hAnsi="Arial" w:cs="Arial"/>
                <w:spacing w:val="-3"/>
                <w:sz w:val="20"/>
              </w:rPr>
              <w:t xml:space="preserve"> </w:t>
            </w:r>
            <w:r w:rsidRPr="00276D5E">
              <w:rPr>
                <w:rFonts w:ascii="Arial" w:hAnsi="Arial" w:cs="Arial"/>
                <w:sz w:val="20"/>
              </w:rPr>
              <w:t>and</w:t>
            </w:r>
          </w:p>
          <w:p w14:paraId="1124D2F1"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management</w:t>
            </w:r>
            <w:r w:rsidRPr="00276D5E">
              <w:rPr>
                <w:rFonts w:ascii="Arial" w:hAnsi="Arial" w:cs="Arial"/>
                <w:spacing w:val="-3"/>
                <w:sz w:val="20"/>
              </w:rPr>
              <w:t xml:space="preserve"> </w:t>
            </w:r>
            <w:r w:rsidRPr="00276D5E">
              <w:rPr>
                <w:rFonts w:ascii="Arial" w:hAnsi="Arial" w:cs="Arial"/>
                <w:sz w:val="20"/>
              </w:rPr>
              <w:t>system</w:t>
            </w:r>
            <w:r w:rsidRPr="00276D5E">
              <w:rPr>
                <w:rFonts w:ascii="Arial" w:hAnsi="Arial" w:cs="Arial"/>
                <w:spacing w:val="-4"/>
                <w:sz w:val="20"/>
              </w:rPr>
              <w:t xml:space="preserve"> </w:t>
            </w:r>
            <w:r w:rsidRPr="00276D5E">
              <w:rPr>
                <w:rFonts w:ascii="Arial" w:hAnsi="Arial" w:cs="Arial"/>
                <w:sz w:val="20"/>
              </w:rPr>
              <w:t>processes</w:t>
            </w:r>
          </w:p>
        </w:tc>
        <w:tc>
          <w:tcPr>
            <w:tcW w:w="1217" w:type="dxa"/>
          </w:tcPr>
          <w:p w14:paraId="4CBD30C1" w14:textId="77777777" w:rsidR="00E60D05" w:rsidRPr="00276D5E" w:rsidRDefault="00E60D05" w:rsidP="009601C2">
            <w:pPr>
              <w:pStyle w:val="TableParagraph"/>
              <w:spacing w:line="276" w:lineRule="auto"/>
              <w:ind w:left="0"/>
              <w:rPr>
                <w:rFonts w:ascii="Arial" w:hAnsi="Arial" w:cs="Arial"/>
                <w:sz w:val="20"/>
              </w:rPr>
            </w:pPr>
          </w:p>
        </w:tc>
        <w:tc>
          <w:tcPr>
            <w:tcW w:w="1118" w:type="dxa"/>
          </w:tcPr>
          <w:p w14:paraId="110447B7" w14:textId="77777777" w:rsidR="00E60D05" w:rsidRPr="00276D5E" w:rsidRDefault="00E60D05" w:rsidP="009601C2">
            <w:pPr>
              <w:pStyle w:val="TableParagraph"/>
              <w:spacing w:line="276" w:lineRule="auto"/>
              <w:ind w:left="0"/>
              <w:rPr>
                <w:rFonts w:ascii="Arial" w:hAnsi="Arial" w:cs="Arial"/>
                <w:sz w:val="20"/>
              </w:rPr>
            </w:pPr>
          </w:p>
        </w:tc>
        <w:tc>
          <w:tcPr>
            <w:tcW w:w="2395" w:type="dxa"/>
          </w:tcPr>
          <w:p w14:paraId="6C3FE4A9" w14:textId="77777777" w:rsidR="00E60D05" w:rsidRPr="00276D5E" w:rsidRDefault="00E60D05" w:rsidP="009601C2">
            <w:pPr>
              <w:pStyle w:val="TableParagraph"/>
              <w:spacing w:line="276" w:lineRule="auto"/>
              <w:ind w:left="0"/>
              <w:rPr>
                <w:rFonts w:ascii="Arial" w:hAnsi="Arial" w:cs="Arial"/>
                <w:sz w:val="20"/>
              </w:rPr>
            </w:pPr>
          </w:p>
        </w:tc>
      </w:tr>
      <w:tr w:rsidR="00E60D05" w:rsidRPr="00276D5E" w14:paraId="10B6E113" w14:textId="77777777" w:rsidTr="00E60D05">
        <w:trPr>
          <w:trHeight w:val="486"/>
        </w:trPr>
        <w:tc>
          <w:tcPr>
            <w:tcW w:w="4568" w:type="dxa"/>
          </w:tcPr>
          <w:p w14:paraId="6B2B2992"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Compliance</w:t>
            </w:r>
            <w:r w:rsidRPr="00276D5E">
              <w:rPr>
                <w:rFonts w:ascii="Arial" w:hAnsi="Arial" w:cs="Arial"/>
                <w:spacing w:val="-2"/>
                <w:sz w:val="20"/>
              </w:rPr>
              <w:t xml:space="preserve"> </w:t>
            </w:r>
            <w:r w:rsidRPr="00276D5E">
              <w:rPr>
                <w:rFonts w:ascii="Arial" w:hAnsi="Arial" w:cs="Arial"/>
                <w:sz w:val="20"/>
              </w:rPr>
              <w:t>with</w:t>
            </w:r>
            <w:r w:rsidRPr="00276D5E">
              <w:rPr>
                <w:rFonts w:ascii="Arial" w:hAnsi="Arial" w:cs="Arial"/>
                <w:spacing w:val="-2"/>
                <w:sz w:val="20"/>
              </w:rPr>
              <w:t xml:space="preserve"> </w:t>
            </w:r>
            <w:r w:rsidRPr="00276D5E">
              <w:rPr>
                <w:rFonts w:ascii="Arial" w:hAnsi="Arial" w:cs="Arial"/>
                <w:sz w:val="20"/>
              </w:rPr>
              <w:t>minimum</w:t>
            </w:r>
            <w:r w:rsidRPr="00276D5E">
              <w:rPr>
                <w:rFonts w:ascii="Arial" w:hAnsi="Arial" w:cs="Arial"/>
                <w:spacing w:val="-4"/>
                <w:sz w:val="20"/>
              </w:rPr>
              <w:t xml:space="preserve"> </w:t>
            </w:r>
            <w:r w:rsidRPr="00276D5E">
              <w:rPr>
                <w:rFonts w:ascii="Arial" w:hAnsi="Arial" w:cs="Arial"/>
                <w:sz w:val="20"/>
              </w:rPr>
              <w:t>record-keeping</w:t>
            </w:r>
            <w:r w:rsidRPr="00276D5E">
              <w:rPr>
                <w:rFonts w:ascii="Arial" w:hAnsi="Arial" w:cs="Arial"/>
                <w:spacing w:val="-3"/>
                <w:sz w:val="20"/>
              </w:rPr>
              <w:t xml:space="preserve"> </w:t>
            </w:r>
            <w:r w:rsidRPr="00276D5E">
              <w:rPr>
                <w:rFonts w:ascii="Arial" w:hAnsi="Arial" w:cs="Arial"/>
                <w:sz w:val="20"/>
              </w:rPr>
              <w:t>periods</w:t>
            </w:r>
          </w:p>
          <w:p w14:paraId="71E6A917"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(random</w:t>
            </w:r>
            <w:r w:rsidRPr="00276D5E">
              <w:rPr>
                <w:rFonts w:ascii="Arial" w:hAnsi="Arial" w:cs="Arial"/>
                <w:spacing w:val="-4"/>
                <w:sz w:val="20"/>
              </w:rPr>
              <w:t xml:space="preserve"> </w:t>
            </w:r>
            <w:r w:rsidRPr="00276D5E">
              <w:rPr>
                <w:rFonts w:ascii="Arial" w:hAnsi="Arial" w:cs="Arial"/>
                <w:sz w:val="20"/>
              </w:rPr>
              <w:t>checks)</w:t>
            </w:r>
          </w:p>
        </w:tc>
        <w:tc>
          <w:tcPr>
            <w:tcW w:w="1217" w:type="dxa"/>
          </w:tcPr>
          <w:p w14:paraId="38F1DCA7" w14:textId="77777777" w:rsidR="00E60D05" w:rsidRPr="00276D5E" w:rsidRDefault="00E60D05" w:rsidP="009601C2">
            <w:pPr>
              <w:pStyle w:val="TableParagraph"/>
              <w:spacing w:line="276" w:lineRule="auto"/>
              <w:ind w:left="0"/>
              <w:rPr>
                <w:rFonts w:ascii="Arial" w:hAnsi="Arial" w:cs="Arial"/>
                <w:sz w:val="20"/>
              </w:rPr>
            </w:pPr>
          </w:p>
        </w:tc>
        <w:tc>
          <w:tcPr>
            <w:tcW w:w="1118" w:type="dxa"/>
          </w:tcPr>
          <w:p w14:paraId="31AAD1E7" w14:textId="77777777" w:rsidR="00E60D05" w:rsidRPr="00276D5E" w:rsidRDefault="00E60D05" w:rsidP="009601C2">
            <w:pPr>
              <w:pStyle w:val="TableParagraph"/>
              <w:spacing w:line="276" w:lineRule="auto"/>
              <w:ind w:left="0"/>
              <w:rPr>
                <w:rFonts w:ascii="Arial" w:hAnsi="Arial" w:cs="Arial"/>
                <w:sz w:val="20"/>
              </w:rPr>
            </w:pPr>
          </w:p>
        </w:tc>
        <w:tc>
          <w:tcPr>
            <w:tcW w:w="2395" w:type="dxa"/>
          </w:tcPr>
          <w:p w14:paraId="01435F97" w14:textId="77777777" w:rsidR="00E60D05" w:rsidRPr="00276D5E" w:rsidRDefault="00E60D05" w:rsidP="009601C2">
            <w:pPr>
              <w:pStyle w:val="TableParagraph"/>
              <w:spacing w:line="276" w:lineRule="auto"/>
              <w:ind w:left="0"/>
              <w:rPr>
                <w:rFonts w:ascii="Arial" w:hAnsi="Arial" w:cs="Arial"/>
                <w:sz w:val="20"/>
              </w:rPr>
            </w:pPr>
          </w:p>
        </w:tc>
      </w:tr>
      <w:tr w:rsidR="00E60D05" w:rsidRPr="00276D5E" w14:paraId="438A30E6" w14:textId="77777777" w:rsidTr="00E60D05">
        <w:trPr>
          <w:trHeight w:val="244"/>
        </w:trPr>
        <w:tc>
          <w:tcPr>
            <w:tcW w:w="9298" w:type="dxa"/>
            <w:gridSpan w:val="4"/>
          </w:tcPr>
          <w:p w14:paraId="52E558BD" w14:textId="77777777" w:rsidR="00E60D05" w:rsidRPr="00276D5E" w:rsidRDefault="00E60D05" w:rsidP="009601C2">
            <w:pPr>
              <w:pStyle w:val="TableParagraph"/>
              <w:spacing w:before="1" w:line="276" w:lineRule="auto"/>
              <w:ind w:left="57"/>
              <w:rPr>
                <w:rFonts w:ascii="Arial" w:hAnsi="Arial" w:cs="Arial"/>
                <w:b/>
                <w:sz w:val="20"/>
              </w:rPr>
            </w:pPr>
            <w:r w:rsidRPr="00276D5E">
              <w:rPr>
                <w:rFonts w:ascii="Arial" w:hAnsi="Arial" w:cs="Arial"/>
                <w:b/>
                <w:sz w:val="20"/>
              </w:rPr>
              <w:t>Emergency</w:t>
            </w:r>
            <w:r w:rsidRPr="00276D5E">
              <w:rPr>
                <w:rFonts w:ascii="Arial" w:hAnsi="Arial" w:cs="Arial"/>
                <w:b/>
                <w:spacing w:val="-6"/>
                <w:sz w:val="20"/>
              </w:rPr>
              <w:t xml:space="preserve"> </w:t>
            </w:r>
            <w:r w:rsidRPr="00276D5E">
              <w:rPr>
                <w:rFonts w:ascii="Arial" w:hAnsi="Arial" w:cs="Arial"/>
                <w:b/>
                <w:sz w:val="20"/>
              </w:rPr>
              <w:t>response</w:t>
            </w:r>
            <w:r w:rsidRPr="00276D5E">
              <w:rPr>
                <w:rFonts w:ascii="Arial" w:hAnsi="Arial" w:cs="Arial"/>
                <w:b/>
                <w:spacing w:val="-4"/>
                <w:sz w:val="20"/>
              </w:rPr>
              <w:t xml:space="preserve"> </w:t>
            </w:r>
            <w:r w:rsidRPr="00276D5E">
              <w:rPr>
                <w:rFonts w:ascii="Arial" w:hAnsi="Arial" w:cs="Arial"/>
                <w:b/>
                <w:sz w:val="20"/>
              </w:rPr>
              <w:t>provisions</w:t>
            </w:r>
            <w:r w:rsidRPr="00276D5E">
              <w:rPr>
                <w:rFonts w:ascii="Arial" w:hAnsi="Arial" w:cs="Arial"/>
                <w:b/>
                <w:spacing w:val="-5"/>
                <w:sz w:val="20"/>
              </w:rPr>
              <w:t xml:space="preserve"> </w:t>
            </w:r>
            <w:r w:rsidRPr="00276D5E">
              <w:rPr>
                <w:rFonts w:ascii="Arial" w:hAnsi="Arial" w:cs="Arial"/>
                <w:b/>
                <w:sz w:val="20"/>
              </w:rPr>
              <w:t>or</w:t>
            </w:r>
            <w:r w:rsidRPr="00276D5E">
              <w:rPr>
                <w:rFonts w:ascii="Arial" w:hAnsi="Arial" w:cs="Arial"/>
                <w:b/>
                <w:spacing w:val="-4"/>
                <w:sz w:val="20"/>
              </w:rPr>
              <w:t xml:space="preserve"> </w:t>
            </w:r>
            <w:r w:rsidRPr="00276D5E">
              <w:rPr>
                <w:rFonts w:ascii="Arial" w:hAnsi="Arial" w:cs="Arial"/>
                <w:b/>
                <w:sz w:val="20"/>
              </w:rPr>
              <w:t>emergency</w:t>
            </w:r>
            <w:r w:rsidRPr="00276D5E">
              <w:rPr>
                <w:rFonts w:ascii="Arial" w:hAnsi="Arial" w:cs="Arial"/>
                <w:b/>
                <w:spacing w:val="-5"/>
                <w:sz w:val="20"/>
              </w:rPr>
              <w:t xml:space="preserve"> </w:t>
            </w:r>
            <w:r w:rsidRPr="00276D5E">
              <w:rPr>
                <w:rFonts w:ascii="Arial" w:hAnsi="Arial" w:cs="Arial"/>
                <w:b/>
                <w:sz w:val="20"/>
              </w:rPr>
              <w:t>response</w:t>
            </w:r>
            <w:r w:rsidRPr="00276D5E">
              <w:rPr>
                <w:rFonts w:ascii="Arial" w:hAnsi="Arial" w:cs="Arial"/>
                <w:b/>
                <w:spacing w:val="-5"/>
                <w:sz w:val="20"/>
              </w:rPr>
              <w:t xml:space="preserve"> </w:t>
            </w:r>
            <w:r w:rsidRPr="00276D5E">
              <w:rPr>
                <w:rFonts w:ascii="Arial" w:hAnsi="Arial" w:cs="Arial"/>
                <w:b/>
                <w:sz w:val="20"/>
              </w:rPr>
              <w:t>plan</w:t>
            </w:r>
            <w:r w:rsidRPr="00276D5E">
              <w:rPr>
                <w:rFonts w:ascii="Arial" w:hAnsi="Arial" w:cs="Arial"/>
                <w:b/>
                <w:spacing w:val="-4"/>
                <w:sz w:val="20"/>
              </w:rPr>
              <w:t xml:space="preserve"> </w:t>
            </w:r>
            <w:r w:rsidRPr="00276D5E">
              <w:rPr>
                <w:rFonts w:ascii="Arial" w:hAnsi="Arial" w:cs="Arial"/>
                <w:b/>
                <w:sz w:val="20"/>
              </w:rPr>
              <w:t>(ERP)</w:t>
            </w:r>
          </w:p>
        </w:tc>
      </w:tr>
      <w:tr w:rsidR="00E60D05" w:rsidRPr="00276D5E" w14:paraId="2E95F3C3" w14:textId="77777777" w:rsidTr="00E60D05">
        <w:trPr>
          <w:trHeight w:val="489"/>
        </w:trPr>
        <w:tc>
          <w:tcPr>
            <w:tcW w:w="4568" w:type="dxa"/>
          </w:tcPr>
          <w:p w14:paraId="2782CECF" w14:textId="77777777" w:rsidR="00E60D05" w:rsidRPr="00276D5E" w:rsidRDefault="00E60D05" w:rsidP="009601C2">
            <w:pPr>
              <w:pStyle w:val="TableParagraph"/>
              <w:spacing w:before="1" w:line="276" w:lineRule="auto"/>
              <w:ind w:left="57"/>
              <w:rPr>
                <w:rFonts w:ascii="Arial" w:hAnsi="Arial" w:cs="Arial"/>
                <w:sz w:val="20"/>
              </w:rPr>
            </w:pPr>
            <w:r w:rsidRPr="00276D5E">
              <w:rPr>
                <w:rFonts w:ascii="Arial" w:hAnsi="Arial" w:cs="Arial"/>
                <w:sz w:val="20"/>
              </w:rPr>
              <w:t>Emergency</w:t>
            </w:r>
            <w:r w:rsidRPr="00276D5E">
              <w:rPr>
                <w:rFonts w:ascii="Arial" w:hAnsi="Arial" w:cs="Arial"/>
                <w:spacing w:val="-3"/>
                <w:sz w:val="20"/>
              </w:rPr>
              <w:t xml:space="preserve"> </w:t>
            </w:r>
            <w:r w:rsidRPr="00276D5E">
              <w:rPr>
                <w:rFonts w:ascii="Arial" w:hAnsi="Arial" w:cs="Arial"/>
                <w:sz w:val="20"/>
              </w:rPr>
              <w:t>response</w:t>
            </w:r>
            <w:r w:rsidRPr="00276D5E">
              <w:rPr>
                <w:rFonts w:ascii="Arial" w:hAnsi="Arial" w:cs="Arial"/>
                <w:spacing w:val="-3"/>
                <w:sz w:val="20"/>
              </w:rPr>
              <w:t xml:space="preserve"> </w:t>
            </w:r>
            <w:r w:rsidRPr="00276D5E">
              <w:rPr>
                <w:rFonts w:ascii="Arial" w:hAnsi="Arial" w:cs="Arial"/>
                <w:sz w:val="20"/>
              </w:rPr>
              <w:t>information</w:t>
            </w:r>
            <w:r w:rsidRPr="00276D5E">
              <w:rPr>
                <w:rFonts w:ascii="Arial" w:hAnsi="Arial" w:cs="Arial"/>
                <w:spacing w:val="-1"/>
                <w:sz w:val="20"/>
              </w:rPr>
              <w:t xml:space="preserve"> </w:t>
            </w:r>
            <w:r w:rsidRPr="00276D5E">
              <w:rPr>
                <w:rFonts w:ascii="Arial" w:hAnsi="Arial" w:cs="Arial"/>
                <w:sz w:val="20"/>
              </w:rPr>
              <w:t>or</w:t>
            </w:r>
            <w:r w:rsidRPr="00276D5E">
              <w:rPr>
                <w:rFonts w:ascii="Arial" w:hAnsi="Arial" w:cs="Arial"/>
                <w:spacing w:val="-2"/>
                <w:sz w:val="20"/>
              </w:rPr>
              <w:t xml:space="preserve"> </w:t>
            </w:r>
            <w:r w:rsidRPr="00276D5E">
              <w:rPr>
                <w:rFonts w:ascii="Arial" w:hAnsi="Arial" w:cs="Arial"/>
                <w:sz w:val="20"/>
              </w:rPr>
              <w:t>ERP,</w:t>
            </w:r>
            <w:r w:rsidRPr="00276D5E">
              <w:rPr>
                <w:rFonts w:ascii="Arial" w:hAnsi="Arial" w:cs="Arial"/>
                <w:spacing w:val="-2"/>
                <w:sz w:val="20"/>
              </w:rPr>
              <w:t xml:space="preserve"> </w:t>
            </w:r>
            <w:r w:rsidRPr="00276D5E">
              <w:rPr>
                <w:rFonts w:ascii="Arial" w:hAnsi="Arial" w:cs="Arial"/>
                <w:sz w:val="20"/>
              </w:rPr>
              <w:t>as</w:t>
            </w:r>
          </w:p>
          <w:p w14:paraId="60449A36"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applicable,</w:t>
            </w:r>
            <w:r w:rsidRPr="00276D5E">
              <w:rPr>
                <w:rFonts w:ascii="Arial" w:hAnsi="Arial" w:cs="Arial"/>
                <w:spacing w:val="-2"/>
                <w:sz w:val="20"/>
              </w:rPr>
              <w:t xml:space="preserve"> </w:t>
            </w:r>
            <w:r w:rsidRPr="00276D5E">
              <w:rPr>
                <w:rFonts w:ascii="Arial" w:hAnsi="Arial" w:cs="Arial"/>
                <w:sz w:val="20"/>
              </w:rPr>
              <w:t>is</w:t>
            </w:r>
            <w:r w:rsidRPr="00276D5E">
              <w:rPr>
                <w:rFonts w:ascii="Arial" w:hAnsi="Arial" w:cs="Arial"/>
                <w:spacing w:val="-3"/>
                <w:sz w:val="20"/>
              </w:rPr>
              <w:t xml:space="preserve"> </w:t>
            </w:r>
            <w:r w:rsidRPr="00276D5E">
              <w:rPr>
                <w:rFonts w:ascii="Arial" w:hAnsi="Arial" w:cs="Arial"/>
                <w:sz w:val="20"/>
              </w:rPr>
              <w:t>up</w:t>
            </w:r>
            <w:r w:rsidRPr="00276D5E">
              <w:rPr>
                <w:rFonts w:ascii="Arial" w:hAnsi="Arial" w:cs="Arial"/>
                <w:spacing w:val="-1"/>
                <w:sz w:val="20"/>
              </w:rPr>
              <w:t xml:space="preserve"> </w:t>
            </w:r>
            <w:r w:rsidRPr="00276D5E">
              <w:rPr>
                <w:rFonts w:ascii="Arial" w:hAnsi="Arial" w:cs="Arial"/>
                <w:sz w:val="20"/>
              </w:rPr>
              <w:t>to</w:t>
            </w:r>
            <w:r w:rsidRPr="00276D5E">
              <w:rPr>
                <w:rFonts w:ascii="Arial" w:hAnsi="Arial" w:cs="Arial"/>
                <w:spacing w:val="-2"/>
                <w:sz w:val="20"/>
              </w:rPr>
              <w:t xml:space="preserve"> </w:t>
            </w:r>
            <w:r w:rsidRPr="00276D5E">
              <w:rPr>
                <w:rFonts w:ascii="Arial" w:hAnsi="Arial" w:cs="Arial"/>
                <w:sz w:val="20"/>
              </w:rPr>
              <w:t>date</w:t>
            </w:r>
            <w:r w:rsidRPr="00276D5E">
              <w:rPr>
                <w:rFonts w:ascii="Arial" w:hAnsi="Arial" w:cs="Arial"/>
                <w:spacing w:val="-2"/>
                <w:sz w:val="20"/>
              </w:rPr>
              <w:t xml:space="preserve"> </w:t>
            </w:r>
            <w:r w:rsidRPr="00276D5E">
              <w:rPr>
                <w:rFonts w:ascii="Arial" w:hAnsi="Arial" w:cs="Arial"/>
                <w:sz w:val="20"/>
              </w:rPr>
              <w:t>and</w:t>
            </w:r>
            <w:r w:rsidRPr="00276D5E">
              <w:rPr>
                <w:rFonts w:ascii="Arial" w:hAnsi="Arial" w:cs="Arial"/>
                <w:spacing w:val="-2"/>
                <w:sz w:val="20"/>
              </w:rPr>
              <w:t xml:space="preserve"> </w:t>
            </w:r>
            <w:r w:rsidRPr="00276D5E">
              <w:rPr>
                <w:rFonts w:ascii="Arial" w:hAnsi="Arial" w:cs="Arial"/>
                <w:sz w:val="20"/>
              </w:rPr>
              <w:t>readily available</w:t>
            </w:r>
          </w:p>
        </w:tc>
        <w:tc>
          <w:tcPr>
            <w:tcW w:w="1217" w:type="dxa"/>
          </w:tcPr>
          <w:p w14:paraId="42DD009A" w14:textId="77777777" w:rsidR="00E60D05" w:rsidRPr="00276D5E" w:rsidRDefault="00E60D05" w:rsidP="009601C2">
            <w:pPr>
              <w:pStyle w:val="TableParagraph"/>
              <w:spacing w:line="276" w:lineRule="auto"/>
              <w:ind w:left="0"/>
              <w:rPr>
                <w:rFonts w:ascii="Arial" w:hAnsi="Arial" w:cs="Arial"/>
                <w:sz w:val="20"/>
              </w:rPr>
            </w:pPr>
          </w:p>
        </w:tc>
        <w:tc>
          <w:tcPr>
            <w:tcW w:w="1118" w:type="dxa"/>
          </w:tcPr>
          <w:p w14:paraId="336CFEDE" w14:textId="77777777" w:rsidR="00E60D05" w:rsidRPr="00276D5E" w:rsidRDefault="00E60D05" w:rsidP="009601C2">
            <w:pPr>
              <w:pStyle w:val="TableParagraph"/>
              <w:spacing w:line="276" w:lineRule="auto"/>
              <w:ind w:left="0"/>
              <w:rPr>
                <w:rFonts w:ascii="Arial" w:hAnsi="Arial" w:cs="Arial"/>
                <w:sz w:val="20"/>
              </w:rPr>
            </w:pPr>
          </w:p>
        </w:tc>
        <w:tc>
          <w:tcPr>
            <w:tcW w:w="2395" w:type="dxa"/>
          </w:tcPr>
          <w:p w14:paraId="777A6C34" w14:textId="77777777" w:rsidR="00E60D05" w:rsidRPr="00276D5E" w:rsidRDefault="00E60D05" w:rsidP="009601C2">
            <w:pPr>
              <w:pStyle w:val="TableParagraph"/>
              <w:spacing w:line="276" w:lineRule="auto"/>
              <w:ind w:left="0"/>
              <w:rPr>
                <w:rFonts w:ascii="Arial" w:hAnsi="Arial" w:cs="Arial"/>
                <w:sz w:val="20"/>
              </w:rPr>
            </w:pPr>
          </w:p>
        </w:tc>
      </w:tr>
      <w:tr w:rsidR="00E60D05" w:rsidRPr="00276D5E" w14:paraId="2B31D4A6" w14:textId="77777777" w:rsidTr="00E60D05">
        <w:trPr>
          <w:trHeight w:val="489"/>
        </w:trPr>
        <w:tc>
          <w:tcPr>
            <w:tcW w:w="4568" w:type="dxa"/>
          </w:tcPr>
          <w:p w14:paraId="49B556D5"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All</w:t>
            </w:r>
            <w:r w:rsidRPr="00276D5E">
              <w:rPr>
                <w:rFonts w:ascii="Arial" w:hAnsi="Arial" w:cs="Arial"/>
                <w:spacing w:val="-3"/>
                <w:sz w:val="20"/>
              </w:rPr>
              <w:t xml:space="preserve"> </w:t>
            </w:r>
            <w:r w:rsidRPr="00276D5E">
              <w:rPr>
                <w:rFonts w:ascii="Arial" w:hAnsi="Arial" w:cs="Arial"/>
                <w:sz w:val="20"/>
              </w:rPr>
              <w:t>staff</w:t>
            </w:r>
            <w:r w:rsidRPr="00276D5E">
              <w:rPr>
                <w:rFonts w:ascii="Arial" w:hAnsi="Arial" w:cs="Arial"/>
                <w:spacing w:val="-3"/>
                <w:sz w:val="20"/>
              </w:rPr>
              <w:t xml:space="preserve"> </w:t>
            </w:r>
            <w:r w:rsidRPr="00276D5E">
              <w:rPr>
                <w:rFonts w:ascii="Arial" w:hAnsi="Arial" w:cs="Arial"/>
                <w:sz w:val="20"/>
              </w:rPr>
              <w:t>is</w:t>
            </w:r>
            <w:r w:rsidRPr="00276D5E">
              <w:rPr>
                <w:rFonts w:ascii="Arial" w:hAnsi="Arial" w:cs="Arial"/>
                <w:spacing w:val="-2"/>
                <w:sz w:val="20"/>
              </w:rPr>
              <w:t xml:space="preserve"> </w:t>
            </w:r>
            <w:r w:rsidRPr="00276D5E">
              <w:rPr>
                <w:rFonts w:ascii="Arial" w:hAnsi="Arial" w:cs="Arial"/>
                <w:sz w:val="20"/>
              </w:rPr>
              <w:t>aware</w:t>
            </w:r>
            <w:r w:rsidRPr="00276D5E">
              <w:rPr>
                <w:rFonts w:ascii="Arial" w:hAnsi="Arial" w:cs="Arial"/>
                <w:spacing w:val="-3"/>
                <w:sz w:val="20"/>
              </w:rPr>
              <w:t xml:space="preserve"> </w:t>
            </w:r>
            <w:r w:rsidRPr="00276D5E">
              <w:rPr>
                <w:rFonts w:ascii="Arial" w:hAnsi="Arial" w:cs="Arial"/>
                <w:sz w:val="20"/>
              </w:rPr>
              <w:t>of</w:t>
            </w:r>
            <w:r w:rsidRPr="00276D5E">
              <w:rPr>
                <w:rFonts w:ascii="Arial" w:hAnsi="Arial" w:cs="Arial"/>
                <w:spacing w:val="-3"/>
                <w:sz w:val="20"/>
              </w:rPr>
              <w:t xml:space="preserve"> </w:t>
            </w:r>
            <w:r w:rsidRPr="00276D5E">
              <w:rPr>
                <w:rFonts w:ascii="Arial" w:hAnsi="Arial" w:cs="Arial"/>
                <w:sz w:val="20"/>
              </w:rPr>
              <w:t>the</w:t>
            </w:r>
            <w:r w:rsidRPr="00276D5E">
              <w:rPr>
                <w:rFonts w:ascii="Arial" w:hAnsi="Arial" w:cs="Arial"/>
                <w:spacing w:val="-2"/>
                <w:sz w:val="20"/>
              </w:rPr>
              <w:t xml:space="preserve"> </w:t>
            </w:r>
            <w:r w:rsidRPr="00276D5E">
              <w:rPr>
                <w:rFonts w:ascii="Arial" w:hAnsi="Arial" w:cs="Arial"/>
                <w:sz w:val="20"/>
              </w:rPr>
              <w:t>emergency</w:t>
            </w:r>
            <w:r w:rsidRPr="00276D5E">
              <w:rPr>
                <w:rFonts w:ascii="Arial" w:hAnsi="Arial" w:cs="Arial"/>
                <w:spacing w:val="-2"/>
                <w:sz w:val="20"/>
              </w:rPr>
              <w:t xml:space="preserve"> </w:t>
            </w:r>
            <w:r w:rsidRPr="00276D5E">
              <w:rPr>
                <w:rFonts w:ascii="Arial" w:hAnsi="Arial" w:cs="Arial"/>
                <w:sz w:val="20"/>
              </w:rPr>
              <w:t>response</w:t>
            </w:r>
          </w:p>
          <w:p w14:paraId="4CD0FECC"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information</w:t>
            </w:r>
            <w:r w:rsidRPr="00276D5E">
              <w:rPr>
                <w:rFonts w:ascii="Arial" w:hAnsi="Arial" w:cs="Arial"/>
                <w:spacing w:val="-2"/>
                <w:sz w:val="20"/>
              </w:rPr>
              <w:t xml:space="preserve"> </w:t>
            </w:r>
            <w:r w:rsidRPr="00276D5E">
              <w:rPr>
                <w:rFonts w:ascii="Arial" w:hAnsi="Arial" w:cs="Arial"/>
                <w:sz w:val="20"/>
              </w:rPr>
              <w:t>or</w:t>
            </w:r>
            <w:r w:rsidRPr="00276D5E">
              <w:rPr>
                <w:rFonts w:ascii="Arial" w:hAnsi="Arial" w:cs="Arial"/>
                <w:spacing w:val="-2"/>
                <w:sz w:val="20"/>
              </w:rPr>
              <w:t xml:space="preserve"> </w:t>
            </w:r>
            <w:r w:rsidRPr="00276D5E">
              <w:rPr>
                <w:rFonts w:ascii="Arial" w:hAnsi="Arial" w:cs="Arial"/>
                <w:sz w:val="20"/>
              </w:rPr>
              <w:t>ERP</w:t>
            </w:r>
            <w:r w:rsidRPr="00276D5E">
              <w:rPr>
                <w:rFonts w:ascii="Arial" w:hAnsi="Arial" w:cs="Arial"/>
                <w:spacing w:val="-3"/>
                <w:sz w:val="20"/>
              </w:rPr>
              <w:t xml:space="preserve"> </w:t>
            </w:r>
            <w:r w:rsidRPr="00276D5E">
              <w:rPr>
                <w:rFonts w:ascii="Arial" w:hAnsi="Arial" w:cs="Arial"/>
                <w:sz w:val="20"/>
              </w:rPr>
              <w:t>(random</w:t>
            </w:r>
            <w:r w:rsidRPr="00276D5E">
              <w:rPr>
                <w:rFonts w:ascii="Arial" w:hAnsi="Arial" w:cs="Arial"/>
                <w:spacing w:val="-3"/>
                <w:sz w:val="20"/>
              </w:rPr>
              <w:t xml:space="preserve"> </w:t>
            </w:r>
            <w:r w:rsidRPr="00276D5E">
              <w:rPr>
                <w:rFonts w:ascii="Arial" w:hAnsi="Arial" w:cs="Arial"/>
                <w:sz w:val="20"/>
              </w:rPr>
              <w:t>checks)</w:t>
            </w:r>
          </w:p>
        </w:tc>
        <w:tc>
          <w:tcPr>
            <w:tcW w:w="1217" w:type="dxa"/>
          </w:tcPr>
          <w:p w14:paraId="08CBB4A6" w14:textId="77777777" w:rsidR="00E60D05" w:rsidRPr="00276D5E" w:rsidRDefault="00E60D05" w:rsidP="009601C2">
            <w:pPr>
              <w:pStyle w:val="TableParagraph"/>
              <w:spacing w:line="276" w:lineRule="auto"/>
              <w:ind w:left="0"/>
              <w:rPr>
                <w:rFonts w:ascii="Arial" w:hAnsi="Arial" w:cs="Arial"/>
                <w:sz w:val="20"/>
              </w:rPr>
            </w:pPr>
          </w:p>
        </w:tc>
        <w:tc>
          <w:tcPr>
            <w:tcW w:w="1118" w:type="dxa"/>
          </w:tcPr>
          <w:p w14:paraId="09DE044C" w14:textId="77777777" w:rsidR="00E60D05" w:rsidRPr="00276D5E" w:rsidRDefault="00E60D05" w:rsidP="009601C2">
            <w:pPr>
              <w:pStyle w:val="TableParagraph"/>
              <w:spacing w:line="276" w:lineRule="auto"/>
              <w:ind w:left="0"/>
              <w:rPr>
                <w:rFonts w:ascii="Arial" w:hAnsi="Arial" w:cs="Arial"/>
                <w:sz w:val="20"/>
              </w:rPr>
            </w:pPr>
          </w:p>
        </w:tc>
        <w:tc>
          <w:tcPr>
            <w:tcW w:w="2395" w:type="dxa"/>
          </w:tcPr>
          <w:p w14:paraId="25578FBC" w14:textId="77777777" w:rsidR="00E60D05" w:rsidRPr="00276D5E" w:rsidRDefault="00E60D05" w:rsidP="009601C2">
            <w:pPr>
              <w:pStyle w:val="TableParagraph"/>
              <w:spacing w:line="276" w:lineRule="auto"/>
              <w:ind w:left="0"/>
              <w:rPr>
                <w:rFonts w:ascii="Arial" w:hAnsi="Arial" w:cs="Arial"/>
                <w:sz w:val="20"/>
              </w:rPr>
            </w:pPr>
          </w:p>
        </w:tc>
      </w:tr>
      <w:tr w:rsidR="00E60D05" w:rsidRPr="00276D5E" w14:paraId="0BD8E6EB" w14:textId="77777777" w:rsidTr="00E60D05">
        <w:trPr>
          <w:trHeight w:val="244"/>
        </w:trPr>
        <w:tc>
          <w:tcPr>
            <w:tcW w:w="4568" w:type="dxa"/>
          </w:tcPr>
          <w:p w14:paraId="31B7A45F"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If</w:t>
            </w:r>
            <w:r w:rsidRPr="00276D5E">
              <w:rPr>
                <w:rFonts w:ascii="Arial" w:hAnsi="Arial" w:cs="Arial"/>
                <w:spacing w:val="-3"/>
                <w:sz w:val="20"/>
              </w:rPr>
              <w:t xml:space="preserve"> </w:t>
            </w:r>
            <w:r w:rsidRPr="00276D5E">
              <w:rPr>
                <w:rFonts w:ascii="Arial" w:hAnsi="Arial" w:cs="Arial"/>
                <w:sz w:val="20"/>
              </w:rPr>
              <w:t>an</w:t>
            </w:r>
            <w:r w:rsidRPr="00276D5E">
              <w:rPr>
                <w:rFonts w:ascii="Arial" w:hAnsi="Arial" w:cs="Arial"/>
                <w:spacing w:val="-2"/>
                <w:sz w:val="20"/>
              </w:rPr>
              <w:t xml:space="preserve"> </w:t>
            </w:r>
            <w:r w:rsidRPr="00276D5E">
              <w:rPr>
                <w:rFonts w:ascii="Arial" w:hAnsi="Arial" w:cs="Arial"/>
                <w:sz w:val="20"/>
              </w:rPr>
              <w:t>ERP</w:t>
            </w:r>
            <w:r w:rsidRPr="00276D5E">
              <w:rPr>
                <w:rFonts w:ascii="Arial" w:hAnsi="Arial" w:cs="Arial"/>
                <w:spacing w:val="-2"/>
                <w:sz w:val="20"/>
              </w:rPr>
              <w:t xml:space="preserve"> </w:t>
            </w:r>
            <w:r w:rsidRPr="00276D5E">
              <w:rPr>
                <w:rFonts w:ascii="Arial" w:hAnsi="Arial" w:cs="Arial"/>
                <w:sz w:val="20"/>
              </w:rPr>
              <w:t>has</w:t>
            </w:r>
            <w:r w:rsidRPr="00276D5E">
              <w:rPr>
                <w:rFonts w:ascii="Arial" w:hAnsi="Arial" w:cs="Arial"/>
                <w:spacing w:val="-2"/>
                <w:sz w:val="20"/>
              </w:rPr>
              <w:t xml:space="preserve"> </w:t>
            </w:r>
            <w:r w:rsidRPr="00276D5E">
              <w:rPr>
                <w:rFonts w:ascii="Arial" w:hAnsi="Arial" w:cs="Arial"/>
                <w:sz w:val="20"/>
              </w:rPr>
              <w:t>been</w:t>
            </w:r>
            <w:r w:rsidRPr="00276D5E">
              <w:rPr>
                <w:rFonts w:ascii="Arial" w:hAnsi="Arial" w:cs="Arial"/>
                <w:spacing w:val="-2"/>
                <w:sz w:val="20"/>
              </w:rPr>
              <w:t xml:space="preserve"> </w:t>
            </w:r>
            <w:r w:rsidRPr="00276D5E">
              <w:rPr>
                <w:rFonts w:ascii="Arial" w:hAnsi="Arial" w:cs="Arial"/>
                <w:sz w:val="20"/>
              </w:rPr>
              <w:t>activated,</w:t>
            </w:r>
            <w:r w:rsidRPr="00276D5E">
              <w:rPr>
                <w:rFonts w:ascii="Arial" w:hAnsi="Arial" w:cs="Arial"/>
                <w:spacing w:val="1"/>
                <w:sz w:val="20"/>
              </w:rPr>
              <w:t xml:space="preserve"> </w:t>
            </w:r>
            <w:r w:rsidRPr="00276D5E">
              <w:rPr>
                <w:rFonts w:ascii="Arial" w:hAnsi="Arial" w:cs="Arial"/>
                <w:sz w:val="20"/>
              </w:rPr>
              <w:t>how</w:t>
            </w:r>
            <w:r w:rsidRPr="00276D5E">
              <w:rPr>
                <w:rFonts w:ascii="Arial" w:hAnsi="Arial" w:cs="Arial"/>
                <w:spacing w:val="-2"/>
                <w:sz w:val="20"/>
              </w:rPr>
              <w:t xml:space="preserve"> </w:t>
            </w:r>
            <w:r w:rsidRPr="00276D5E">
              <w:rPr>
                <w:rFonts w:ascii="Arial" w:hAnsi="Arial" w:cs="Arial"/>
                <w:sz w:val="20"/>
              </w:rPr>
              <w:t>effective</w:t>
            </w:r>
            <w:r w:rsidRPr="00276D5E">
              <w:rPr>
                <w:rFonts w:ascii="Arial" w:hAnsi="Arial" w:cs="Arial"/>
                <w:spacing w:val="-1"/>
                <w:sz w:val="20"/>
              </w:rPr>
              <w:t xml:space="preserve"> </w:t>
            </w:r>
            <w:r w:rsidRPr="00276D5E">
              <w:rPr>
                <w:rFonts w:ascii="Arial" w:hAnsi="Arial" w:cs="Arial"/>
                <w:sz w:val="20"/>
              </w:rPr>
              <w:t>was</w:t>
            </w:r>
            <w:r w:rsidRPr="00276D5E">
              <w:rPr>
                <w:rFonts w:ascii="Arial" w:hAnsi="Arial" w:cs="Arial"/>
                <w:spacing w:val="-3"/>
                <w:sz w:val="20"/>
              </w:rPr>
              <w:t xml:space="preserve"> </w:t>
            </w:r>
            <w:r w:rsidRPr="00276D5E">
              <w:rPr>
                <w:rFonts w:ascii="Arial" w:hAnsi="Arial" w:cs="Arial"/>
                <w:sz w:val="20"/>
              </w:rPr>
              <w:t>it?</w:t>
            </w:r>
          </w:p>
        </w:tc>
        <w:tc>
          <w:tcPr>
            <w:tcW w:w="1217" w:type="dxa"/>
          </w:tcPr>
          <w:p w14:paraId="6D298F99" w14:textId="77777777" w:rsidR="00E60D05" w:rsidRPr="00276D5E" w:rsidRDefault="00E60D05" w:rsidP="009601C2">
            <w:pPr>
              <w:pStyle w:val="TableParagraph"/>
              <w:spacing w:line="276" w:lineRule="auto"/>
              <w:ind w:left="0"/>
              <w:rPr>
                <w:rFonts w:ascii="Arial" w:hAnsi="Arial" w:cs="Arial"/>
                <w:sz w:val="16"/>
              </w:rPr>
            </w:pPr>
          </w:p>
        </w:tc>
        <w:tc>
          <w:tcPr>
            <w:tcW w:w="1118" w:type="dxa"/>
          </w:tcPr>
          <w:p w14:paraId="6E76DE89" w14:textId="77777777" w:rsidR="00E60D05" w:rsidRPr="00276D5E" w:rsidRDefault="00E60D05" w:rsidP="009601C2">
            <w:pPr>
              <w:pStyle w:val="TableParagraph"/>
              <w:spacing w:line="276" w:lineRule="auto"/>
              <w:ind w:left="0"/>
              <w:rPr>
                <w:rFonts w:ascii="Arial" w:hAnsi="Arial" w:cs="Arial"/>
                <w:sz w:val="16"/>
              </w:rPr>
            </w:pPr>
          </w:p>
        </w:tc>
        <w:tc>
          <w:tcPr>
            <w:tcW w:w="2395" w:type="dxa"/>
          </w:tcPr>
          <w:p w14:paraId="614414A5" w14:textId="77777777" w:rsidR="00E60D05" w:rsidRPr="00276D5E" w:rsidRDefault="00E60D05" w:rsidP="009601C2">
            <w:pPr>
              <w:pStyle w:val="TableParagraph"/>
              <w:spacing w:line="276" w:lineRule="auto"/>
              <w:ind w:left="0"/>
              <w:rPr>
                <w:rFonts w:ascii="Arial" w:hAnsi="Arial" w:cs="Arial"/>
                <w:sz w:val="16"/>
              </w:rPr>
            </w:pPr>
          </w:p>
        </w:tc>
      </w:tr>
      <w:tr w:rsidR="00E60D05" w:rsidRPr="00276D5E" w14:paraId="242C2ED2" w14:textId="77777777" w:rsidTr="00E60D05">
        <w:trPr>
          <w:trHeight w:val="242"/>
        </w:trPr>
        <w:tc>
          <w:tcPr>
            <w:tcW w:w="9298" w:type="dxa"/>
            <w:gridSpan w:val="4"/>
          </w:tcPr>
          <w:p w14:paraId="1B1F8B35" w14:textId="77777777" w:rsidR="00E60D05" w:rsidRPr="00276D5E" w:rsidRDefault="00E60D05" w:rsidP="009601C2">
            <w:pPr>
              <w:pStyle w:val="TableParagraph"/>
              <w:spacing w:line="276" w:lineRule="auto"/>
              <w:ind w:left="57"/>
              <w:rPr>
                <w:rFonts w:ascii="Arial" w:hAnsi="Arial" w:cs="Arial"/>
                <w:b/>
                <w:sz w:val="20"/>
              </w:rPr>
            </w:pPr>
            <w:r w:rsidRPr="00276D5E">
              <w:rPr>
                <w:rFonts w:ascii="Arial" w:hAnsi="Arial" w:cs="Arial"/>
                <w:b/>
                <w:sz w:val="20"/>
              </w:rPr>
              <w:t>Internal</w:t>
            </w:r>
            <w:r w:rsidRPr="00276D5E">
              <w:rPr>
                <w:rFonts w:ascii="Arial" w:hAnsi="Arial" w:cs="Arial"/>
                <w:b/>
                <w:spacing w:val="-5"/>
                <w:sz w:val="20"/>
              </w:rPr>
              <w:t xml:space="preserve"> </w:t>
            </w:r>
            <w:r w:rsidRPr="00276D5E">
              <w:rPr>
                <w:rFonts w:ascii="Arial" w:hAnsi="Arial" w:cs="Arial"/>
                <w:b/>
                <w:sz w:val="20"/>
              </w:rPr>
              <w:t>safety</w:t>
            </w:r>
            <w:r w:rsidRPr="00276D5E">
              <w:rPr>
                <w:rFonts w:ascii="Arial" w:hAnsi="Arial" w:cs="Arial"/>
                <w:b/>
                <w:spacing w:val="-4"/>
                <w:sz w:val="20"/>
              </w:rPr>
              <w:t xml:space="preserve"> </w:t>
            </w:r>
            <w:r w:rsidRPr="00276D5E">
              <w:rPr>
                <w:rFonts w:ascii="Arial" w:hAnsi="Arial" w:cs="Arial"/>
                <w:b/>
                <w:sz w:val="20"/>
              </w:rPr>
              <w:t>reporting</w:t>
            </w:r>
            <w:r w:rsidRPr="00276D5E">
              <w:rPr>
                <w:rFonts w:ascii="Arial" w:hAnsi="Arial" w:cs="Arial"/>
                <w:b/>
                <w:spacing w:val="-3"/>
                <w:sz w:val="20"/>
              </w:rPr>
              <w:t xml:space="preserve"> </w:t>
            </w:r>
            <w:r w:rsidRPr="00276D5E">
              <w:rPr>
                <w:rFonts w:ascii="Arial" w:hAnsi="Arial" w:cs="Arial"/>
                <w:b/>
                <w:sz w:val="20"/>
              </w:rPr>
              <w:t>procedures</w:t>
            </w:r>
          </w:p>
        </w:tc>
      </w:tr>
      <w:tr w:rsidR="00E60D05" w:rsidRPr="00276D5E" w14:paraId="4D508C5E" w14:textId="77777777" w:rsidTr="00E60D05">
        <w:trPr>
          <w:trHeight w:val="489"/>
        </w:trPr>
        <w:tc>
          <w:tcPr>
            <w:tcW w:w="4568" w:type="dxa"/>
          </w:tcPr>
          <w:p w14:paraId="4E0CFB77" w14:textId="77777777" w:rsidR="00E60D05" w:rsidRPr="00276D5E" w:rsidRDefault="00E60D05" w:rsidP="009601C2">
            <w:pPr>
              <w:pStyle w:val="TableParagraph"/>
              <w:spacing w:before="1" w:line="276" w:lineRule="auto"/>
              <w:ind w:left="57"/>
              <w:rPr>
                <w:rFonts w:ascii="Arial" w:hAnsi="Arial" w:cs="Arial"/>
                <w:sz w:val="20"/>
              </w:rPr>
            </w:pPr>
            <w:r w:rsidRPr="00276D5E">
              <w:rPr>
                <w:rFonts w:ascii="Arial" w:hAnsi="Arial" w:cs="Arial"/>
                <w:sz w:val="20"/>
              </w:rPr>
              <w:t>Check</w:t>
            </w:r>
            <w:r w:rsidRPr="00276D5E">
              <w:rPr>
                <w:rFonts w:ascii="Arial" w:hAnsi="Arial" w:cs="Arial"/>
                <w:spacing w:val="-3"/>
                <w:sz w:val="20"/>
              </w:rPr>
              <w:t xml:space="preserve"> </w:t>
            </w:r>
            <w:r w:rsidRPr="00276D5E">
              <w:rPr>
                <w:rFonts w:ascii="Arial" w:hAnsi="Arial" w:cs="Arial"/>
                <w:sz w:val="20"/>
              </w:rPr>
              <w:t>the</w:t>
            </w:r>
            <w:r w:rsidRPr="00276D5E">
              <w:rPr>
                <w:rFonts w:ascii="Arial" w:hAnsi="Arial" w:cs="Arial"/>
                <w:spacing w:val="-3"/>
                <w:sz w:val="20"/>
              </w:rPr>
              <w:t xml:space="preserve"> </w:t>
            </w:r>
            <w:r w:rsidRPr="00276D5E">
              <w:rPr>
                <w:rFonts w:ascii="Arial" w:hAnsi="Arial" w:cs="Arial"/>
                <w:sz w:val="20"/>
              </w:rPr>
              <w:t>number</w:t>
            </w:r>
            <w:r w:rsidRPr="00276D5E">
              <w:rPr>
                <w:rFonts w:ascii="Arial" w:hAnsi="Arial" w:cs="Arial"/>
                <w:spacing w:val="-3"/>
                <w:sz w:val="20"/>
              </w:rPr>
              <w:t xml:space="preserve"> </w:t>
            </w:r>
            <w:r w:rsidRPr="00276D5E">
              <w:rPr>
                <w:rFonts w:ascii="Arial" w:hAnsi="Arial" w:cs="Arial"/>
                <w:sz w:val="20"/>
              </w:rPr>
              <w:t>of</w:t>
            </w:r>
            <w:r w:rsidRPr="00276D5E">
              <w:rPr>
                <w:rFonts w:ascii="Arial" w:hAnsi="Arial" w:cs="Arial"/>
                <w:spacing w:val="-4"/>
                <w:sz w:val="20"/>
              </w:rPr>
              <w:t xml:space="preserve"> </w:t>
            </w:r>
            <w:r w:rsidRPr="00276D5E">
              <w:rPr>
                <w:rFonts w:ascii="Arial" w:hAnsi="Arial" w:cs="Arial"/>
                <w:sz w:val="20"/>
              </w:rPr>
              <w:t>reports received since</w:t>
            </w:r>
            <w:r w:rsidRPr="00276D5E">
              <w:rPr>
                <w:rFonts w:ascii="Arial" w:hAnsi="Arial" w:cs="Arial"/>
                <w:spacing w:val="-4"/>
                <w:sz w:val="20"/>
              </w:rPr>
              <w:t xml:space="preserve"> </w:t>
            </w:r>
            <w:r w:rsidRPr="00276D5E">
              <w:rPr>
                <w:rFonts w:ascii="Arial" w:hAnsi="Arial" w:cs="Arial"/>
                <w:sz w:val="20"/>
              </w:rPr>
              <w:t>the</w:t>
            </w:r>
            <w:r w:rsidRPr="00276D5E">
              <w:rPr>
                <w:rFonts w:ascii="Arial" w:hAnsi="Arial" w:cs="Arial"/>
                <w:spacing w:val="-3"/>
                <w:sz w:val="20"/>
              </w:rPr>
              <w:t xml:space="preserve"> </w:t>
            </w:r>
            <w:r w:rsidRPr="00276D5E">
              <w:rPr>
                <w:rFonts w:ascii="Arial" w:hAnsi="Arial" w:cs="Arial"/>
                <w:sz w:val="20"/>
              </w:rPr>
              <w:t>last</w:t>
            </w:r>
          </w:p>
          <w:p w14:paraId="6317E184"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audit</w:t>
            </w:r>
            <w:r w:rsidRPr="00276D5E">
              <w:rPr>
                <w:rFonts w:ascii="Arial" w:hAnsi="Arial" w:cs="Arial"/>
                <w:spacing w:val="-3"/>
                <w:sz w:val="20"/>
              </w:rPr>
              <w:t xml:space="preserve"> </w:t>
            </w:r>
            <w:r w:rsidRPr="00276D5E">
              <w:rPr>
                <w:rFonts w:ascii="Arial" w:hAnsi="Arial" w:cs="Arial"/>
                <w:sz w:val="20"/>
              </w:rPr>
              <w:t>or</w:t>
            </w:r>
            <w:r w:rsidRPr="00276D5E">
              <w:rPr>
                <w:rFonts w:ascii="Arial" w:hAnsi="Arial" w:cs="Arial"/>
                <w:spacing w:val="-2"/>
                <w:sz w:val="20"/>
              </w:rPr>
              <w:t xml:space="preserve"> </w:t>
            </w:r>
            <w:r w:rsidRPr="00276D5E">
              <w:rPr>
                <w:rFonts w:ascii="Arial" w:hAnsi="Arial" w:cs="Arial"/>
                <w:sz w:val="20"/>
              </w:rPr>
              <w:t>organisational</w:t>
            </w:r>
            <w:r w:rsidRPr="00276D5E">
              <w:rPr>
                <w:rFonts w:ascii="Arial" w:hAnsi="Arial" w:cs="Arial"/>
                <w:spacing w:val="-2"/>
                <w:sz w:val="20"/>
              </w:rPr>
              <w:t xml:space="preserve"> </w:t>
            </w:r>
            <w:r w:rsidRPr="00276D5E">
              <w:rPr>
                <w:rFonts w:ascii="Arial" w:hAnsi="Arial" w:cs="Arial"/>
                <w:sz w:val="20"/>
              </w:rPr>
              <w:t>review</w:t>
            </w:r>
          </w:p>
        </w:tc>
        <w:tc>
          <w:tcPr>
            <w:tcW w:w="1217" w:type="dxa"/>
          </w:tcPr>
          <w:p w14:paraId="26336444" w14:textId="77777777" w:rsidR="00E60D05" w:rsidRPr="00276D5E" w:rsidRDefault="00E60D05" w:rsidP="009601C2">
            <w:pPr>
              <w:pStyle w:val="TableParagraph"/>
              <w:spacing w:line="276" w:lineRule="auto"/>
              <w:ind w:left="0"/>
              <w:rPr>
                <w:rFonts w:ascii="Arial" w:hAnsi="Arial" w:cs="Arial"/>
                <w:sz w:val="20"/>
              </w:rPr>
            </w:pPr>
          </w:p>
        </w:tc>
        <w:tc>
          <w:tcPr>
            <w:tcW w:w="1118" w:type="dxa"/>
          </w:tcPr>
          <w:p w14:paraId="1C9A39FB" w14:textId="77777777" w:rsidR="00E60D05" w:rsidRPr="00276D5E" w:rsidRDefault="00E60D05" w:rsidP="009601C2">
            <w:pPr>
              <w:pStyle w:val="TableParagraph"/>
              <w:spacing w:line="276" w:lineRule="auto"/>
              <w:ind w:left="0"/>
              <w:rPr>
                <w:rFonts w:ascii="Arial" w:hAnsi="Arial" w:cs="Arial"/>
                <w:sz w:val="20"/>
              </w:rPr>
            </w:pPr>
          </w:p>
        </w:tc>
        <w:tc>
          <w:tcPr>
            <w:tcW w:w="2395" w:type="dxa"/>
          </w:tcPr>
          <w:p w14:paraId="63AF0B47" w14:textId="77777777" w:rsidR="00E60D05" w:rsidRPr="00276D5E" w:rsidRDefault="00E60D05" w:rsidP="009601C2">
            <w:pPr>
              <w:pStyle w:val="TableParagraph"/>
              <w:spacing w:line="276" w:lineRule="auto"/>
              <w:ind w:left="0"/>
              <w:rPr>
                <w:rFonts w:ascii="Arial" w:hAnsi="Arial" w:cs="Arial"/>
                <w:sz w:val="20"/>
              </w:rPr>
            </w:pPr>
          </w:p>
        </w:tc>
      </w:tr>
      <w:tr w:rsidR="00E60D05" w:rsidRPr="00276D5E" w14:paraId="6D227480" w14:textId="77777777" w:rsidTr="00E60D05">
        <w:trPr>
          <w:trHeight w:val="489"/>
        </w:trPr>
        <w:tc>
          <w:tcPr>
            <w:tcW w:w="4568" w:type="dxa"/>
          </w:tcPr>
          <w:p w14:paraId="2625C95E"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Internal</w:t>
            </w:r>
            <w:r w:rsidRPr="00276D5E">
              <w:rPr>
                <w:rFonts w:ascii="Arial" w:hAnsi="Arial" w:cs="Arial"/>
                <w:spacing w:val="-3"/>
                <w:sz w:val="20"/>
              </w:rPr>
              <w:t xml:space="preserve"> </w:t>
            </w:r>
            <w:r w:rsidRPr="00276D5E">
              <w:rPr>
                <w:rFonts w:ascii="Arial" w:hAnsi="Arial" w:cs="Arial"/>
                <w:sz w:val="20"/>
              </w:rPr>
              <w:t>reporting</w:t>
            </w:r>
            <w:r w:rsidRPr="00276D5E">
              <w:rPr>
                <w:rFonts w:ascii="Arial" w:hAnsi="Arial" w:cs="Arial"/>
                <w:spacing w:val="-3"/>
                <w:sz w:val="20"/>
              </w:rPr>
              <w:t xml:space="preserve"> </w:t>
            </w:r>
            <w:r w:rsidRPr="00276D5E">
              <w:rPr>
                <w:rFonts w:ascii="Arial" w:hAnsi="Arial" w:cs="Arial"/>
                <w:sz w:val="20"/>
              </w:rPr>
              <w:t>and</w:t>
            </w:r>
            <w:r w:rsidRPr="00276D5E">
              <w:rPr>
                <w:rFonts w:ascii="Arial" w:hAnsi="Arial" w:cs="Arial"/>
                <w:spacing w:val="-3"/>
                <w:sz w:val="20"/>
              </w:rPr>
              <w:t xml:space="preserve"> </w:t>
            </w:r>
            <w:r w:rsidRPr="00276D5E">
              <w:rPr>
                <w:rFonts w:ascii="Arial" w:hAnsi="Arial" w:cs="Arial"/>
                <w:sz w:val="20"/>
              </w:rPr>
              <w:t>external</w:t>
            </w:r>
            <w:r w:rsidRPr="00276D5E">
              <w:rPr>
                <w:rFonts w:ascii="Arial" w:hAnsi="Arial" w:cs="Arial"/>
                <w:spacing w:val="-2"/>
                <w:sz w:val="20"/>
              </w:rPr>
              <w:t xml:space="preserve"> </w:t>
            </w:r>
            <w:r w:rsidRPr="00276D5E">
              <w:rPr>
                <w:rFonts w:ascii="Arial" w:hAnsi="Arial" w:cs="Arial"/>
                <w:sz w:val="20"/>
              </w:rPr>
              <w:t>occurrence</w:t>
            </w:r>
          </w:p>
          <w:p w14:paraId="12AADF1D"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reporting</w:t>
            </w:r>
            <w:r w:rsidRPr="00276D5E">
              <w:rPr>
                <w:rFonts w:ascii="Arial" w:hAnsi="Arial" w:cs="Arial"/>
                <w:spacing w:val="-4"/>
                <w:sz w:val="20"/>
              </w:rPr>
              <w:t xml:space="preserve"> </w:t>
            </w:r>
            <w:r w:rsidRPr="00276D5E">
              <w:rPr>
                <w:rFonts w:ascii="Arial" w:hAnsi="Arial" w:cs="Arial"/>
                <w:sz w:val="20"/>
              </w:rPr>
              <w:t>are</w:t>
            </w:r>
            <w:r w:rsidRPr="00276D5E">
              <w:rPr>
                <w:rFonts w:ascii="Arial" w:hAnsi="Arial" w:cs="Arial"/>
                <w:spacing w:val="-3"/>
                <w:sz w:val="20"/>
              </w:rPr>
              <w:t xml:space="preserve"> </w:t>
            </w:r>
            <w:r w:rsidRPr="00276D5E">
              <w:rPr>
                <w:rFonts w:ascii="Arial" w:hAnsi="Arial" w:cs="Arial"/>
                <w:sz w:val="20"/>
              </w:rPr>
              <w:t>properly</w:t>
            </w:r>
            <w:r w:rsidRPr="00276D5E">
              <w:rPr>
                <w:rFonts w:ascii="Arial" w:hAnsi="Arial" w:cs="Arial"/>
                <w:spacing w:val="-3"/>
                <w:sz w:val="20"/>
              </w:rPr>
              <w:t xml:space="preserve"> </w:t>
            </w:r>
            <w:r w:rsidRPr="00276D5E">
              <w:rPr>
                <w:rFonts w:ascii="Arial" w:hAnsi="Arial" w:cs="Arial"/>
                <w:sz w:val="20"/>
              </w:rPr>
              <w:t>performed</w:t>
            </w:r>
          </w:p>
        </w:tc>
        <w:tc>
          <w:tcPr>
            <w:tcW w:w="1217" w:type="dxa"/>
          </w:tcPr>
          <w:p w14:paraId="403E0558" w14:textId="77777777" w:rsidR="00E60D05" w:rsidRPr="00276D5E" w:rsidRDefault="00E60D05" w:rsidP="009601C2">
            <w:pPr>
              <w:pStyle w:val="TableParagraph"/>
              <w:spacing w:line="276" w:lineRule="auto"/>
              <w:ind w:left="0"/>
              <w:rPr>
                <w:rFonts w:ascii="Arial" w:hAnsi="Arial" w:cs="Arial"/>
                <w:sz w:val="20"/>
              </w:rPr>
            </w:pPr>
          </w:p>
        </w:tc>
        <w:tc>
          <w:tcPr>
            <w:tcW w:w="1118" w:type="dxa"/>
          </w:tcPr>
          <w:p w14:paraId="265FE872" w14:textId="77777777" w:rsidR="00E60D05" w:rsidRPr="00276D5E" w:rsidRDefault="00E60D05" w:rsidP="009601C2">
            <w:pPr>
              <w:pStyle w:val="TableParagraph"/>
              <w:spacing w:line="276" w:lineRule="auto"/>
              <w:ind w:left="0"/>
              <w:rPr>
                <w:rFonts w:ascii="Arial" w:hAnsi="Arial" w:cs="Arial"/>
                <w:sz w:val="20"/>
              </w:rPr>
            </w:pPr>
          </w:p>
        </w:tc>
        <w:tc>
          <w:tcPr>
            <w:tcW w:w="2395" w:type="dxa"/>
          </w:tcPr>
          <w:p w14:paraId="48653155" w14:textId="77777777" w:rsidR="00E60D05" w:rsidRPr="00276D5E" w:rsidRDefault="00E60D05" w:rsidP="009601C2">
            <w:pPr>
              <w:pStyle w:val="TableParagraph"/>
              <w:spacing w:line="276" w:lineRule="auto"/>
              <w:ind w:left="0"/>
              <w:rPr>
                <w:rFonts w:ascii="Arial" w:hAnsi="Arial" w:cs="Arial"/>
                <w:sz w:val="20"/>
              </w:rPr>
            </w:pPr>
          </w:p>
        </w:tc>
      </w:tr>
      <w:tr w:rsidR="00E60D05" w:rsidRPr="00276D5E" w14:paraId="069091CD" w14:textId="77777777" w:rsidTr="00E60D05">
        <w:trPr>
          <w:trHeight w:val="244"/>
        </w:trPr>
        <w:tc>
          <w:tcPr>
            <w:tcW w:w="4568" w:type="dxa"/>
          </w:tcPr>
          <w:p w14:paraId="5DDC3E8C"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The</w:t>
            </w:r>
            <w:r w:rsidRPr="00276D5E">
              <w:rPr>
                <w:rFonts w:ascii="Arial" w:hAnsi="Arial" w:cs="Arial"/>
                <w:spacing w:val="-4"/>
                <w:sz w:val="20"/>
              </w:rPr>
              <w:t xml:space="preserve"> </w:t>
            </w:r>
            <w:r w:rsidRPr="00276D5E">
              <w:rPr>
                <w:rFonts w:ascii="Arial" w:hAnsi="Arial" w:cs="Arial"/>
                <w:sz w:val="20"/>
              </w:rPr>
              <w:t>safety</w:t>
            </w:r>
            <w:r w:rsidRPr="00276D5E">
              <w:rPr>
                <w:rFonts w:ascii="Arial" w:hAnsi="Arial" w:cs="Arial"/>
                <w:spacing w:val="-1"/>
                <w:sz w:val="20"/>
              </w:rPr>
              <w:t xml:space="preserve"> </w:t>
            </w:r>
            <w:r w:rsidRPr="00276D5E">
              <w:rPr>
                <w:rFonts w:ascii="Arial" w:hAnsi="Arial" w:cs="Arial"/>
                <w:sz w:val="20"/>
              </w:rPr>
              <w:t>or</w:t>
            </w:r>
            <w:r w:rsidRPr="00276D5E">
              <w:rPr>
                <w:rFonts w:ascii="Arial" w:hAnsi="Arial" w:cs="Arial"/>
                <w:spacing w:val="-2"/>
                <w:sz w:val="20"/>
              </w:rPr>
              <w:t xml:space="preserve"> </w:t>
            </w:r>
            <w:r w:rsidRPr="00276D5E">
              <w:rPr>
                <w:rFonts w:ascii="Arial" w:hAnsi="Arial" w:cs="Arial"/>
                <w:sz w:val="20"/>
              </w:rPr>
              <w:t>occurrence</w:t>
            </w:r>
            <w:r w:rsidRPr="00276D5E">
              <w:rPr>
                <w:rFonts w:ascii="Arial" w:hAnsi="Arial" w:cs="Arial"/>
                <w:spacing w:val="-3"/>
                <w:sz w:val="20"/>
              </w:rPr>
              <w:t xml:space="preserve"> </w:t>
            </w:r>
            <w:r w:rsidRPr="00276D5E">
              <w:rPr>
                <w:rFonts w:ascii="Arial" w:hAnsi="Arial" w:cs="Arial"/>
                <w:sz w:val="20"/>
              </w:rPr>
              <w:t>reports</w:t>
            </w:r>
            <w:r w:rsidRPr="00276D5E">
              <w:rPr>
                <w:rFonts w:ascii="Arial" w:hAnsi="Arial" w:cs="Arial"/>
                <w:spacing w:val="-3"/>
                <w:sz w:val="20"/>
              </w:rPr>
              <w:t xml:space="preserve"> </w:t>
            </w:r>
            <w:r w:rsidRPr="00276D5E">
              <w:rPr>
                <w:rFonts w:ascii="Arial" w:hAnsi="Arial" w:cs="Arial"/>
                <w:sz w:val="20"/>
              </w:rPr>
              <w:t>are</w:t>
            </w:r>
            <w:r w:rsidRPr="00276D5E">
              <w:rPr>
                <w:rFonts w:ascii="Arial" w:hAnsi="Arial" w:cs="Arial"/>
                <w:spacing w:val="-3"/>
                <w:sz w:val="20"/>
              </w:rPr>
              <w:t xml:space="preserve"> </w:t>
            </w:r>
            <w:r w:rsidRPr="00276D5E">
              <w:rPr>
                <w:rFonts w:ascii="Arial" w:hAnsi="Arial" w:cs="Arial"/>
                <w:sz w:val="20"/>
              </w:rPr>
              <w:t>analysed</w:t>
            </w:r>
          </w:p>
        </w:tc>
        <w:tc>
          <w:tcPr>
            <w:tcW w:w="1217" w:type="dxa"/>
          </w:tcPr>
          <w:p w14:paraId="65585800" w14:textId="77777777" w:rsidR="00E60D05" w:rsidRPr="00276D5E" w:rsidRDefault="00E60D05" w:rsidP="009601C2">
            <w:pPr>
              <w:pStyle w:val="TableParagraph"/>
              <w:spacing w:line="276" w:lineRule="auto"/>
              <w:ind w:left="0"/>
              <w:rPr>
                <w:rFonts w:ascii="Arial" w:hAnsi="Arial" w:cs="Arial"/>
                <w:sz w:val="16"/>
              </w:rPr>
            </w:pPr>
          </w:p>
        </w:tc>
        <w:tc>
          <w:tcPr>
            <w:tcW w:w="1118" w:type="dxa"/>
          </w:tcPr>
          <w:p w14:paraId="0934DB5C" w14:textId="77777777" w:rsidR="00E60D05" w:rsidRPr="00276D5E" w:rsidRDefault="00E60D05" w:rsidP="009601C2">
            <w:pPr>
              <w:pStyle w:val="TableParagraph"/>
              <w:spacing w:line="276" w:lineRule="auto"/>
              <w:ind w:left="0"/>
              <w:rPr>
                <w:rFonts w:ascii="Arial" w:hAnsi="Arial" w:cs="Arial"/>
                <w:sz w:val="16"/>
              </w:rPr>
            </w:pPr>
          </w:p>
        </w:tc>
        <w:tc>
          <w:tcPr>
            <w:tcW w:w="2395" w:type="dxa"/>
          </w:tcPr>
          <w:p w14:paraId="4BD0065A" w14:textId="77777777" w:rsidR="00E60D05" w:rsidRPr="00276D5E" w:rsidRDefault="00E60D05" w:rsidP="009601C2">
            <w:pPr>
              <w:pStyle w:val="TableParagraph"/>
              <w:spacing w:line="276" w:lineRule="auto"/>
              <w:ind w:left="0"/>
              <w:rPr>
                <w:rFonts w:ascii="Arial" w:hAnsi="Arial" w:cs="Arial"/>
                <w:sz w:val="16"/>
              </w:rPr>
            </w:pPr>
          </w:p>
        </w:tc>
      </w:tr>
      <w:tr w:rsidR="00E60D05" w:rsidRPr="00276D5E" w14:paraId="5BDD39ED" w14:textId="77777777" w:rsidTr="00E60D05">
        <w:trPr>
          <w:trHeight w:val="244"/>
        </w:trPr>
        <w:tc>
          <w:tcPr>
            <w:tcW w:w="4568" w:type="dxa"/>
          </w:tcPr>
          <w:p w14:paraId="7336168C" w14:textId="77777777" w:rsidR="00E60D05" w:rsidRPr="00276D5E" w:rsidRDefault="00E60D05" w:rsidP="009601C2">
            <w:pPr>
              <w:pStyle w:val="TableParagraph"/>
              <w:spacing w:line="276" w:lineRule="auto"/>
              <w:ind w:left="57"/>
              <w:rPr>
                <w:rFonts w:ascii="Arial" w:hAnsi="Arial" w:cs="Arial"/>
                <w:sz w:val="20"/>
              </w:rPr>
            </w:pPr>
            <w:r w:rsidRPr="00276D5E">
              <w:rPr>
                <w:rFonts w:ascii="Arial" w:hAnsi="Arial" w:cs="Arial"/>
                <w:sz w:val="20"/>
              </w:rPr>
              <w:t>Feedback</w:t>
            </w:r>
            <w:r w:rsidRPr="00276D5E">
              <w:rPr>
                <w:rFonts w:ascii="Arial" w:hAnsi="Arial" w:cs="Arial"/>
                <w:spacing w:val="-3"/>
                <w:sz w:val="20"/>
              </w:rPr>
              <w:t xml:space="preserve"> </w:t>
            </w:r>
            <w:r w:rsidRPr="00276D5E">
              <w:rPr>
                <w:rFonts w:ascii="Arial" w:hAnsi="Arial" w:cs="Arial"/>
                <w:sz w:val="20"/>
              </w:rPr>
              <w:t>is</w:t>
            </w:r>
            <w:r w:rsidRPr="00276D5E">
              <w:rPr>
                <w:rFonts w:ascii="Arial" w:hAnsi="Arial" w:cs="Arial"/>
                <w:spacing w:val="-3"/>
                <w:sz w:val="20"/>
              </w:rPr>
              <w:t xml:space="preserve"> </w:t>
            </w:r>
            <w:r w:rsidRPr="00276D5E">
              <w:rPr>
                <w:rFonts w:ascii="Arial" w:hAnsi="Arial" w:cs="Arial"/>
                <w:sz w:val="20"/>
              </w:rPr>
              <w:t>provided</w:t>
            </w:r>
            <w:r w:rsidRPr="00276D5E">
              <w:rPr>
                <w:rFonts w:ascii="Arial" w:hAnsi="Arial" w:cs="Arial"/>
                <w:spacing w:val="-2"/>
                <w:sz w:val="20"/>
              </w:rPr>
              <w:t xml:space="preserve"> </w:t>
            </w:r>
            <w:r w:rsidRPr="00276D5E">
              <w:rPr>
                <w:rFonts w:ascii="Arial" w:hAnsi="Arial" w:cs="Arial"/>
                <w:sz w:val="20"/>
              </w:rPr>
              <w:t>to</w:t>
            </w:r>
            <w:r w:rsidRPr="00276D5E">
              <w:rPr>
                <w:rFonts w:ascii="Arial" w:hAnsi="Arial" w:cs="Arial"/>
                <w:spacing w:val="-2"/>
                <w:sz w:val="20"/>
              </w:rPr>
              <w:t xml:space="preserve"> </w:t>
            </w:r>
            <w:r w:rsidRPr="00276D5E">
              <w:rPr>
                <w:rFonts w:ascii="Arial" w:hAnsi="Arial" w:cs="Arial"/>
                <w:sz w:val="20"/>
              </w:rPr>
              <w:t>reporters</w:t>
            </w:r>
          </w:p>
        </w:tc>
        <w:tc>
          <w:tcPr>
            <w:tcW w:w="1217" w:type="dxa"/>
          </w:tcPr>
          <w:p w14:paraId="7D0BF816" w14:textId="77777777" w:rsidR="00E60D05" w:rsidRPr="00276D5E" w:rsidRDefault="00E60D05" w:rsidP="009601C2">
            <w:pPr>
              <w:pStyle w:val="TableParagraph"/>
              <w:spacing w:line="276" w:lineRule="auto"/>
              <w:ind w:left="0"/>
              <w:rPr>
                <w:rFonts w:ascii="Arial" w:hAnsi="Arial" w:cs="Arial"/>
                <w:sz w:val="16"/>
              </w:rPr>
            </w:pPr>
          </w:p>
        </w:tc>
        <w:tc>
          <w:tcPr>
            <w:tcW w:w="1118" w:type="dxa"/>
          </w:tcPr>
          <w:p w14:paraId="4F394E51" w14:textId="77777777" w:rsidR="00E60D05" w:rsidRPr="00276D5E" w:rsidRDefault="00E60D05" w:rsidP="009601C2">
            <w:pPr>
              <w:pStyle w:val="TableParagraph"/>
              <w:spacing w:line="276" w:lineRule="auto"/>
              <w:ind w:left="0"/>
              <w:rPr>
                <w:rFonts w:ascii="Arial" w:hAnsi="Arial" w:cs="Arial"/>
                <w:sz w:val="16"/>
              </w:rPr>
            </w:pPr>
          </w:p>
        </w:tc>
        <w:tc>
          <w:tcPr>
            <w:tcW w:w="2395" w:type="dxa"/>
          </w:tcPr>
          <w:p w14:paraId="647E49AC" w14:textId="77777777" w:rsidR="00E60D05" w:rsidRPr="00276D5E" w:rsidRDefault="00E60D05" w:rsidP="009601C2">
            <w:pPr>
              <w:pStyle w:val="TableParagraph"/>
              <w:spacing w:line="276" w:lineRule="auto"/>
              <w:ind w:left="0"/>
              <w:rPr>
                <w:rFonts w:ascii="Arial" w:hAnsi="Arial" w:cs="Arial"/>
                <w:sz w:val="16"/>
              </w:rPr>
            </w:pPr>
          </w:p>
        </w:tc>
      </w:tr>
    </w:tbl>
    <w:p w14:paraId="51042F42" w14:textId="44C7517F" w:rsidR="00E60D05" w:rsidRDefault="00E60D05" w:rsidP="009601C2">
      <w:pPr>
        <w:tabs>
          <w:tab w:val="left" w:pos="1273"/>
          <w:tab w:val="left" w:pos="1274"/>
        </w:tabs>
        <w:spacing w:before="122" w:line="276" w:lineRule="auto"/>
        <w:ind w:right="200"/>
        <w:rPr>
          <w:rFonts w:ascii="Arial" w:hAnsi="Arial" w:cs="Arial"/>
          <w:sz w:val="20"/>
          <w:szCs w:val="20"/>
        </w:rPr>
      </w:pPr>
    </w:p>
    <w:p w14:paraId="2895E1FA" w14:textId="77777777" w:rsidR="00E60D05" w:rsidRPr="00E60D05" w:rsidRDefault="00E60D05"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395" w:name="_Toc153137327"/>
      <w:r w:rsidRPr="00E60D05">
        <w:rPr>
          <w:rFonts w:ascii="Arial" w:eastAsia="Times New Roman" w:hAnsi="Arial" w:cs="Times New Roman"/>
          <w:b/>
          <w:iCs/>
          <w:color w:val="FFFFFF"/>
          <w:sz w:val="24"/>
        </w:rPr>
        <w:t>BOP.ADD.035 Contracted activities</w:t>
      </w:r>
      <w:bookmarkEnd w:id="395"/>
      <w:r w:rsidRPr="00E60D05">
        <w:rPr>
          <w:rFonts w:ascii="Arial" w:eastAsia="Times New Roman" w:hAnsi="Arial" w:cs="Times New Roman"/>
          <w:b/>
          <w:iCs/>
          <w:color w:val="FFFFFF"/>
          <w:sz w:val="24"/>
        </w:rPr>
        <w:tab/>
      </w:r>
    </w:p>
    <w:p w14:paraId="190AF5FC" w14:textId="6F7D0818" w:rsidR="00E60D05" w:rsidRPr="00E60D05" w:rsidRDefault="00E60D05" w:rsidP="004D38C2">
      <w:pPr>
        <w:tabs>
          <w:tab w:val="left" w:pos="1273"/>
          <w:tab w:val="left" w:pos="1274"/>
        </w:tabs>
        <w:spacing w:before="122" w:line="276" w:lineRule="auto"/>
        <w:ind w:right="68"/>
        <w:jc w:val="both"/>
        <w:rPr>
          <w:rFonts w:ascii="Arial" w:hAnsi="Arial" w:cs="Arial"/>
          <w:sz w:val="20"/>
          <w:szCs w:val="20"/>
        </w:rPr>
      </w:pPr>
      <w:r w:rsidRPr="00E60D05">
        <w:rPr>
          <w:rFonts w:ascii="Arial" w:hAnsi="Arial" w:cs="Arial"/>
          <w:sz w:val="20"/>
          <w:szCs w:val="20"/>
        </w:rPr>
        <w:t xml:space="preserve">When contracting any part of its activity that falls within the scope of this Regulation, the operator shall be responsible for ensuring that the contracted organisation carries out the activity in accordance with the essential requirements set out in </w:t>
      </w:r>
      <w:hyperlink r:id="rId63" w:history="1">
        <w:r w:rsidR="005C2A3C" w:rsidRPr="004073D2">
          <w:rPr>
            <w:rStyle w:val="Hyperlink"/>
            <w:rFonts w:ascii="Arial" w:hAnsi="Arial" w:cs="Arial"/>
            <w:sz w:val="20"/>
            <w:szCs w:val="20"/>
          </w:rPr>
          <w:t>Law on Aviation of the Republic of Armenia</w:t>
        </w:r>
      </w:hyperlink>
      <w:r w:rsidRPr="00E60D05">
        <w:rPr>
          <w:rFonts w:ascii="Arial" w:hAnsi="Arial" w:cs="Arial"/>
          <w:sz w:val="20"/>
          <w:szCs w:val="20"/>
        </w:rPr>
        <w:t xml:space="preserve"> and with the </w:t>
      </w:r>
      <w:r w:rsidRPr="00E60D05">
        <w:rPr>
          <w:rFonts w:ascii="Arial" w:hAnsi="Arial" w:cs="Arial"/>
          <w:sz w:val="20"/>
          <w:szCs w:val="20"/>
        </w:rPr>
        <w:lastRenderedPageBreak/>
        <w:t xml:space="preserve">requirements of this Regulation. The operator shall also ensure that the </w:t>
      </w:r>
      <w:r w:rsidR="00A804D2">
        <w:rPr>
          <w:rFonts w:ascii="Arial" w:hAnsi="Arial" w:cs="Arial"/>
          <w:sz w:val="20"/>
          <w:szCs w:val="20"/>
        </w:rPr>
        <w:t xml:space="preserve">CAC RA </w:t>
      </w:r>
      <w:r w:rsidRPr="00E60D05">
        <w:rPr>
          <w:rFonts w:ascii="Arial" w:hAnsi="Arial" w:cs="Arial"/>
          <w:sz w:val="20"/>
          <w:szCs w:val="20"/>
        </w:rPr>
        <w:t>is given access to the contracted organisation in order to determine that the operator complies with those requirements.</w:t>
      </w:r>
    </w:p>
    <w:p w14:paraId="548B86EF" w14:textId="77777777" w:rsidR="00E60D05" w:rsidRPr="00E60D05" w:rsidRDefault="00E60D05" w:rsidP="009601C2">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396" w:name="AMC1_BOP.ADD.035_Contracted_activities"/>
      <w:bookmarkStart w:id="397" w:name="_bookmark163"/>
      <w:bookmarkStart w:id="398" w:name="_Toc153137328"/>
      <w:bookmarkEnd w:id="396"/>
      <w:bookmarkEnd w:id="397"/>
      <w:r w:rsidRPr="00E60D05">
        <w:rPr>
          <w:rFonts w:ascii="Arial" w:eastAsia="Times New Roman" w:hAnsi="Arial" w:cs="Times New Roman"/>
          <w:b/>
          <w:color w:val="FFFFFF"/>
          <w:sz w:val="24"/>
        </w:rPr>
        <w:t>AMC1 BOP.ADD.035 Contracted activities</w:t>
      </w:r>
      <w:bookmarkEnd w:id="398"/>
    </w:p>
    <w:p w14:paraId="07C4561F" w14:textId="77777777" w:rsidR="00E60D05" w:rsidRPr="00276D5E" w:rsidRDefault="00E60D05" w:rsidP="009601C2">
      <w:pPr>
        <w:spacing w:line="276" w:lineRule="auto"/>
        <w:jc w:val="both"/>
        <w:rPr>
          <w:rFonts w:ascii="Arial" w:hAnsi="Arial" w:cs="Arial"/>
          <w:b/>
          <w:sz w:val="20"/>
        </w:rPr>
      </w:pPr>
      <w:r w:rsidRPr="00276D5E">
        <w:rPr>
          <w:rFonts w:ascii="Arial" w:hAnsi="Arial" w:cs="Arial"/>
          <w:b/>
          <w:sz w:val="20"/>
        </w:rPr>
        <w:t>RESPONSIBILITY</w:t>
      </w:r>
      <w:r w:rsidRPr="00276D5E">
        <w:rPr>
          <w:rFonts w:ascii="Arial" w:hAnsi="Arial" w:cs="Arial"/>
          <w:b/>
          <w:spacing w:val="-7"/>
          <w:sz w:val="20"/>
        </w:rPr>
        <w:t xml:space="preserve"> </w:t>
      </w:r>
      <w:r w:rsidRPr="00276D5E">
        <w:rPr>
          <w:rFonts w:ascii="Arial" w:hAnsi="Arial" w:cs="Arial"/>
          <w:b/>
          <w:sz w:val="20"/>
        </w:rPr>
        <w:t>WHEN</w:t>
      </w:r>
      <w:r w:rsidRPr="00276D5E">
        <w:rPr>
          <w:rFonts w:ascii="Arial" w:hAnsi="Arial" w:cs="Arial"/>
          <w:b/>
          <w:spacing w:val="-6"/>
          <w:sz w:val="20"/>
        </w:rPr>
        <w:t xml:space="preserve"> </w:t>
      </w:r>
      <w:r w:rsidRPr="00276D5E">
        <w:rPr>
          <w:rFonts w:ascii="Arial" w:hAnsi="Arial" w:cs="Arial"/>
          <w:b/>
          <w:sz w:val="20"/>
        </w:rPr>
        <w:t>CONTRACTING</w:t>
      </w:r>
      <w:r w:rsidRPr="00276D5E">
        <w:rPr>
          <w:rFonts w:ascii="Arial" w:hAnsi="Arial" w:cs="Arial"/>
          <w:b/>
          <w:spacing w:val="-7"/>
          <w:sz w:val="20"/>
        </w:rPr>
        <w:t xml:space="preserve"> </w:t>
      </w:r>
      <w:r w:rsidRPr="00276D5E">
        <w:rPr>
          <w:rFonts w:ascii="Arial" w:hAnsi="Arial" w:cs="Arial"/>
          <w:b/>
          <w:sz w:val="20"/>
        </w:rPr>
        <w:t>ACTIVITIES</w:t>
      </w:r>
    </w:p>
    <w:p w14:paraId="122887D4" w14:textId="77777777" w:rsidR="00920C73" w:rsidRPr="00920C73" w:rsidRDefault="00920C73" w:rsidP="004D38C2">
      <w:pPr>
        <w:numPr>
          <w:ilvl w:val="0"/>
          <w:numId w:val="92"/>
        </w:numPr>
        <w:tabs>
          <w:tab w:val="left" w:pos="1273"/>
          <w:tab w:val="left" w:pos="1274"/>
        </w:tabs>
        <w:spacing w:before="122" w:line="276" w:lineRule="auto"/>
        <w:ind w:right="68"/>
        <w:jc w:val="both"/>
        <w:rPr>
          <w:rFonts w:ascii="Arial" w:hAnsi="Arial" w:cs="Arial"/>
          <w:sz w:val="20"/>
          <w:szCs w:val="20"/>
        </w:rPr>
      </w:pPr>
      <w:r w:rsidRPr="00920C73">
        <w:rPr>
          <w:rFonts w:ascii="Arial" w:hAnsi="Arial" w:cs="Arial"/>
          <w:sz w:val="20"/>
          <w:szCs w:val="20"/>
        </w:rPr>
        <w:t>The operator may decide to contract certain activities to external organisations.</w:t>
      </w:r>
    </w:p>
    <w:p w14:paraId="37EF9C12" w14:textId="77777777" w:rsidR="00920C73" w:rsidRPr="00920C73" w:rsidRDefault="00920C73" w:rsidP="004D38C2">
      <w:pPr>
        <w:numPr>
          <w:ilvl w:val="0"/>
          <w:numId w:val="92"/>
        </w:numPr>
        <w:tabs>
          <w:tab w:val="left" w:pos="1273"/>
          <w:tab w:val="left" w:pos="1274"/>
        </w:tabs>
        <w:spacing w:before="122" w:line="276" w:lineRule="auto"/>
        <w:ind w:right="68"/>
        <w:jc w:val="both"/>
        <w:rPr>
          <w:rFonts w:ascii="Arial" w:hAnsi="Arial" w:cs="Arial"/>
          <w:sz w:val="20"/>
          <w:szCs w:val="20"/>
        </w:rPr>
      </w:pPr>
      <w:r w:rsidRPr="00920C73">
        <w:rPr>
          <w:rFonts w:ascii="Arial" w:hAnsi="Arial" w:cs="Arial"/>
          <w:sz w:val="20"/>
          <w:szCs w:val="20"/>
        </w:rPr>
        <w:t>A written agreement should exist between the operator and the contracted organisation clearly defining the contracted activities and the applicable requirements.</w:t>
      </w:r>
    </w:p>
    <w:p w14:paraId="7E432006" w14:textId="77777777" w:rsidR="00920C73" w:rsidRPr="00920C73" w:rsidRDefault="00920C73" w:rsidP="004D38C2">
      <w:pPr>
        <w:numPr>
          <w:ilvl w:val="0"/>
          <w:numId w:val="92"/>
        </w:numPr>
        <w:tabs>
          <w:tab w:val="left" w:pos="1273"/>
          <w:tab w:val="left" w:pos="1274"/>
        </w:tabs>
        <w:spacing w:before="122" w:line="276" w:lineRule="auto"/>
        <w:ind w:right="68"/>
        <w:jc w:val="both"/>
        <w:rPr>
          <w:rFonts w:ascii="Arial" w:hAnsi="Arial" w:cs="Arial"/>
          <w:sz w:val="20"/>
          <w:szCs w:val="20"/>
        </w:rPr>
      </w:pPr>
      <w:r w:rsidRPr="00920C73">
        <w:rPr>
          <w:rFonts w:ascii="Arial" w:hAnsi="Arial" w:cs="Arial"/>
          <w:sz w:val="20"/>
          <w:szCs w:val="20"/>
        </w:rPr>
        <w:t>The contracted, safety-related activities relevant to the agreement should be included in the operator’s safety management and compliance monitoring programmes.</w:t>
      </w:r>
    </w:p>
    <w:p w14:paraId="70307CF0" w14:textId="77777777" w:rsidR="00920C73" w:rsidRPr="00920C73" w:rsidRDefault="00920C73" w:rsidP="004D38C2">
      <w:pPr>
        <w:numPr>
          <w:ilvl w:val="0"/>
          <w:numId w:val="92"/>
        </w:numPr>
        <w:tabs>
          <w:tab w:val="left" w:pos="1273"/>
          <w:tab w:val="left" w:pos="1274"/>
        </w:tabs>
        <w:spacing w:before="122" w:line="276" w:lineRule="auto"/>
        <w:ind w:right="68"/>
        <w:jc w:val="both"/>
        <w:rPr>
          <w:rFonts w:ascii="Arial" w:hAnsi="Arial" w:cs="Arial"/>
          <w:sz w:val="20"/>
          <w:szCs w:val="20"/>
        </w:rPr>
      </w:pPr>
      <w:r w:rsidRPr="00920C73">
        <w:rPr>
          <w:rFonts w:ascii="Arial" w:hAnsi="Arial" w:cs="Arial"/>
          <w:sz w:val="20"/>
          <w:szCs w:val="20"/>
        </w:rPr>
        <w:t>The operator should ensure that the contracted organisation has the necessary resources and competence to undertake the task.</w:t>
      </w:r>
    </w:p>
    <w:p w14:paraId="0F35FFA6" w14:textId="77777777" w:rsidR="00920C73" w:rsidRPr="00920C73" w:rsidRDefault="00920C73" w:rsidP="009601C2">
      <w:pPr>
        <w:keepNext/>
        <w:keepLines/>
        <w:widowControl/>
        <w:shd w:val="clear" w:color="auto" w:fill="339966"/>
        <w:autoSpaceDE/>
        <w:autoSpaceDN/>
        <w:spacing w:before="160" w:after="120" w:line="276" w:lineRule="auto"/>
        <w:jc w:val="both"/>
        <w:outlineLvl w:val="4"/>
        <w:rPr>
          <w:rFonts w:ascii="Arial" w:eastAsia="Times New Roman" w:hAnsi="Arial" w:cs="Times New Roman"/>
          <w:b/>
          <w:color w:val="FFFFFF"/>
          <w:sz w:val="24"/>
        </w:rPr>
      </w:pPr>
      <w:bookmarkStart w:id="399" w:name="GM1_BOP.ADD.035_Contracted_activities"/>
      <w:bookmarkStart w:id="400" w:name="_bookmark164"/>
      <w:bookmarkStart w:id="401" w:name="_Toc153137329"/>
      <w:bookmarkEnd w:id="399"/>
      <w:bookmarkEnd w:id="400"/>
      <w:r w:rsidRPr="00920C73">
        <w:rPr>
          <w:rFonts w:ascii="Arial" w:eastAsia="Times New Roman" w:hAnsi="Arial" w:cs="Times New Roman"/>
          <w:b/>
          <w:color w:val="FFFFFF"/>
          <w:sz w:val="24"/>
        </w:rPr>
        <w:t>GM1 BOP.ADD.035 Contracted activities</w:t>
      </w:r>
      <w:bookmarkEnd w:id="401"/>
    </w:p>
    <w:p w14:paraId="259D2B8B" w14:textId="77777777" w:rsidR="00920C73" w:rsidRPr="00920C73" w:rsidRDefault="00920C73" w:rsidP="009601C2">
      <w:pPr>
        <w:tabs>
          <w:tab w:val="left" w:pos="1273"/>
          <w:tab w:val="left" w:pos="1274"/>
        </w:tabs>
        <w:spacing w:before="122" w:line="276" w:lineRule="auto"/>
        <w:ind w:right="200"/>
        <w:jc w:val="both"/>
        <w:rPr>
          <w:rFonts w:ascii="Arial" w:hAnsi="Arial" w:cs="Arial"/>
          <w:b/>
          <w:sz w:val="20"/>
          <w:szCs w:val="20"/>
        </w:rPr>
      </w:pPr>
      <w:r w:rsidRPr="00920C73">
        <w:rPr>
          <w:rFonts w:ascii="Arial" w:hAnsi="Arial" w:cs="Arial"/>
          <w:b/>
          <w:sz w:val="20"/>
          <w:szCs w:val="20"/>
        </w:rPr>
        <w:t>CONTRACTING — GENERAL</w:t>
      </w:r>
    </w:p>
    <w:p w14:paraId="199C3BBB" w14:textId="77777777" w:rsidR="00920C73" w:rsidRPr="00920C73" w:rsidRDefault="00920C73" w:rsidP="004D38C2">
      <w:pPr>
        <w:numPr>
          <w:ilvl w:val="0"/>
          <w:numId w:val="93"/>
        </w:numPr>
        <w:tabs>
          <w:tab w:val="left" w:pos="1273"/>
          <w:tab w:val="left" w:pos="1274"/>
        </w:tabs>
        <w:spacing w:before="122" w:line="276" w:lineRule="auto"/>
        <w:ind w:right="68"/>
        <w:jc w:val="both"/>
        <w:rPr>
          <w:rFonts w:ascii="Arial" w:hAnsi="Arial" w:cs="Arial"/>
          <w:sz w:val="20"/>
          <w:szCs w:val="20"/>
        </w:rPr>
      </w:pPr>
      <w:r w:rsidRPr="00920C73">
        <w:rPr>
          <w:rFonts w:ascii="Arial" w:hAnsi="Arial" w:cs="Arial"/>
          <w:sz w:val="20"/>
          <w:szCs w:val="20"/>
        </w:rPr>
        <w:t>Operators may decide to contract certain activities to external organisations for the provision of services related to areas such as:</w:t>
      </w:r>
    </w:p>
    <w:p w14:paraId="19AC2C4F" w14:textId="77777777" w:rsidR="00920C73" w:rsidRPr="00920C73" w:rsidRDefault="00920C73" w:rsidP="004D38C2">
      <w:pPr>
        <w:numPr>
          <w:ilvl w:val="1"/>
          <w:numId w:val="93"/>
        </w:numPr>
        <w:tabs>
          <w:tab w:val="left" w:pos="1273"/>
          <w:tab w:val="left" w:pos="1274"/>
        </w:tabs>
        <w:spacing w:before="122" w:line="276" w:lineRule="auto"/>
        <w:ind w:right="68"/>
        <w:jc w:val="both"/>
        <w:rPr>
          <w:rFonts w:ascii="Arial" w:hAnsi="Arial" w:cs="Arial"/>
          <w:sz w:val="20"/>
          <w:szCs w:val="20"/>
        </w:rPr>
      </w:pPr>
      <w:r w:rsidRPr="00920C73">
        <w:rPr>
          <w:rFonts w:ascii="Arial" w:hAnsi="Arial" w:cs="Arial"/>
          <w:sz w:val="20"/>
          <w:szCs w:val="20"/>
        </w:rPr>
        <w:t>ground handling;</w:t>
      </w:r>
    </w:p>
    <w:p w14:paraId="7D2C8F17" w14:textId="77777777" w:rsidR="00920C73" w:rsidRPr="00920C73" w:rsidRDefault="00920C73" w:rsidP="004D38C2">
      <w:pPr>
        <w:numPr>
          <w:ilvl w:val="1"/>
          <w:numId w:val="93"/>
        </w:numPr>
        <w:tabs>
          <w:tab w:val="left" w:pos="1273"/>
          <w:tab w:val="left" w:pos="1274"/>
        </w:tabs>
        <w:spacing w:before="122" w:line="276" w:lineRule="auto"/>
        <w:ind w:right="68"/>
        <w:jc w:val="both"/>
        <w:rPr>
          <w:rFonts w:ascii="Arial" w:hAnsi="Arial" w:cs="Arial"/>
          <w:sz w:val="20"/>
          <w:szCs w:val="20"/>
        </w:rPr>
      </w:pPr>
      <w:r w:rsidRPr="00920C73">
        <w:rPr>
          <w:rFonts w:ascii="Arial" w:hAnsi="Arial" w:cs="Arial"/>
          <w:sz w:val="20"/>
          <w:szCs w:val="20"/>
        </w:rPr>
        <w:t>flight support;</w:t>
      </w:r>
    </w:p>
    <w:p w14:paraId="317A4EA2" w14:textId="77777777" w:rsidR="00920C73" w:rsidRPr="00920C73" w:rsidRDefault="00920C73" w:rsidP="004D38C2">
      <w:pPr>
        <w:numPr>
          <w:ilvl w:val="1"/>
          <w:numId w:val="93"/>
        </w:numPr>
        <w:tabs>
          <w:tab w:val="left" w:pos="1273"/>
          <w:tab w:val="left" w:pos="1274"/>
        </w:tabs>
        <w:spacing w:before="122" w:line="276" w:lineRule="auto"/>
        <w:ind w:right="68"/>
        <w:jc w:val="both"/>
        <w:rPr>
          <w:rFonts w:ascii="Arial" w:hAnsi="Arial" w:cs="Arial"/>
          <w:sz w:val="20"/>
          <w:szCs w:val="20"/>
        </w:rPr>
      </w:pPr>
      <w:r w:rsidRPr="00920C73">
        <w:rPr>
          <w:rFonts w:ascii="Arial" w:hAnsi="Arial" w:cs="Arial"/>
          <w:sz w:val="20"/>
          <w:szCs w:val="20"/>
        </w:rPr>
        <w:t>training; and</w:t>
      </w:r>
    </w:p>
    <w:p w14:paraId="3C275845" w14:textId="77777777" w:rsidR="00920C73" w:rsidRPr="00920C73" w:rsidRDefault="00920C73" w:rsidP="004D38C2">
      <w:pPr>
        <w:numPr>
          <w:ilvl w:val="1"/>
          <w:numId w:val="93"/>
        </w:numPr>
        <w:tabs>
          <w:tab w:val="left" w:pos="1273"/>
          <w:tab w:val="left" w:pos="1274"/>
        </w:tabs>
        <w:spacing w:before="122" w:line="276" w:lineRule="auto"/>
        <w:ind w:right="68"/>
        <w:jc w:val="both"/>
        <w:rPr>
          <w:rFonts w:ascii="Arial" w:hAnsi="Arial" w:cs="Arial"/>
          <w:sz w:val="20"/>
          <w:szCs w:val="20"/>
        </w:rPr>
      </w:pPr>
      <w:r w:rsidRPr="00920C73">
        <w:rPr>
          <w:rFonts w:ascii="Arial" w:hAnsi="Arial" w:cs="Arial"/>
          <w:sz w:val="20"/>
          <w:szCs w:val="20"/>
        </w:rPr>
        <w:t>manual preparation.</w:t>
      </w:r>
    </w:p>
    <w:p w14:paraId="4C722A7A" w14:textId="77777777" w:rsidR="00920C73" w:rsidRPr="00920C73" w:rsidRDefault="00920C73" w:rsidP="004D38C2">
      <w:pPr>
        <w:numPr>
          <w:ilvl w:val="0"/>
          <w:numId w:val="93"/>
        </w:numPr>
        <w:tabs>
          <w:tab w:val="left" w:pos="1273"/>
          <w:tab w:val="left" w:pos="1274"/>
        </w:tabs>
        <w:spacing w:before="122" w:line="276" w:lineRule="auto"/>
        <w:ind w:right="68"/>
        <w:jc w:val="both"/>
        <w:rPr>
          <w:rFonts w:ascii="Arial" w:hAnsi="Arial" w:cs="Arial"/>
          <w:sz w:val="20"/>
          <w:szCs w:val="20"/>
        </w:rPr>
      </w:pPr>
      <w:r w:rsidRPr="00920C73">
        <w:rPr>
          <w:rFonts w:ascii="Arial" w:hAnsi="Arial" w:cs="Arial"/>
          <w:sz w:val="20"/>
          <w:szCs w:val="20"/>
        </w:rPr>
        <w:t>Contracted activities include all activities that are performed by another organisation either itself declared or certified to carry out such activities or, if not declared or certified, working under the operator’s declaration.</w:t>
      </w:r>
    </w:p>
    <w:p w14:paraId="52D47B3D" w14:textId="77777777" w:rsidR="00E60D05" w:rsidRPr="005E6455" w:rsidRDefault="00920C73" w:rsidP="004D38C2">
      <w:pPr>
        <w:numPr>
          <w:ilvl w:val="0"/>
          <w:numId w:val="93"/>
        </w:numPr>
        <w:tabs>
          <w:tab w:val="left" w:pos="1273"/>
          <w:tab w:val="left" w:pos="1274"/>
        </w:tabs>
        <w:spacing w:before="122" w:line="276" w:lineRule="auto"/>
        <w:ind w:right="68"/>
        <w:jc w:val="both"/>
        <w:rPr>
          <w:rFonts w:ascii="Arial" w:hAnsi="Arial" w:cs="Arial"/>
          <w:sz w:val="20"/>
          <w:szCs w:val="20"/>
        </w:rPr>
      </w:pPr>
      <w:r w:rsidRPr="00920C73">
        <w:rPr>
          <w:rFonts w:ascii="Arial" w:hAnsi="Arial" w:cs="Arial"/>
          <w:sz w:val="20"/>
          <w:szCs w:val="20"/>
        </w:rPr>
        <w:t>The ultimate responsibility for the product or service provided by external organisations always remains with the operator.</w:t>
      </w:r>
    </w:p>
    <w:p w14:paraId="3C88A2BC" w14:textId="77777777" w:rsidR="005E6455" w:rsidRPr="005E6455" w:rsidRDefault="005E6455" w:rsidP="009601C2">
      <w:pPr>
        <w:keepNext/>
        <w:keepLines/>
        <w:widowControl/>
        <w:shd w:val="clear" w:color="auto" w:fill="339966"/>
        <w:autoSpaceDE/>
        <w:autoSpaceDN/>
        <w:spacing w:before="160" w:after="120" w:line="276" w:lineRule="auto"/>
        <w:jc w:val="both"/>
        <w:outlineLvl w:val="4"/>
        <w:rPr>
          <w:rFonts w:ascii="Arial" w:eastAsia="Times New Roman" w:hAnsi="Arial" w:cs="Times New Roman"/>
          <w:b/>
          <w:color w:val="FFFFFF"/>
          <w:sz w:val="24"/>
        </w:rPr>
      </w:pPr>
      <w:bookmarkStart w:id="402" w:name="GM2_BOP.ADD.035_Contracted_activities"/>
      <w:bookmarkStart w:id="403" w:name="_bookmark165"/>
      <w:bookmarkStart w:id="404" w:name="_Toc153137330"/>
      <w:bookmarkEnd w:id="402"/>
      <w:bookmarkEnd w:id="403"/>
      <w:r w:rsidRPr="005E6455">
        <w:rPr>
          <w:rFonts w:ascii="Arial" w:eastAsia="Times New Roman" w:hAnsi="Arial" w:cs="Times New Roman"/>
          <w:b/>
          <w:color w:val="FFFFFF"/>
          <w:sz w:val="24"/>
        </w:rPr>
        <w:t>GM2 BOP.ADD.035 Contracted activities</w:t>
      </w:r>
      <w:bookmarkEnd w:id="404"/>
    </w:p>
    <w:p w14:paraId="60D7DC63" w14:textId="77777777" w:rsidR="005E6455" w:rsidRPr="005E6455" w:rsidRDefault="005E6455" w:rsidP="009601C2">
      <w:pPr>
        <w:tabs>
          <w:tab w:val="left" w:pos="1273"/>
          <w:tab w:val="left" w:pos="1274"/>
        </w:tabs>
        <w:spacing w:before="122" w:line="276" w:lineRule="auto"/>
        <w:ind w:right="200"/>
        <w:jc w:val="both"/>
        <w:rPr>
          <w:rFonts w:ascii="Arial" w:hAnsi="Arial" w:cs="Arial"/>
          <w:b/>
          <w:sz w:val="20"/>
          <w:szCs w:val="20"/>
        </w:rPr>
      </w:pPr>
      <w:r w:rsidRPr="005E6455">
        <w:rPr>
          <w:rFonts w:ascii="Arial" w:hAnsi="Arial" w:cs="Arial"/>
          <w:b/>
          <w:sz w:val="20"/>
          <w:szCs w:val="20"/>
        </w:rPr>
        <w:t>RESPONSIBILITY WHEN CONTRACTING ACTIVITIES</w:t>
      </w:r>
    </w:p>
    <w:p w14:paraId="542EB6DA" w14:textId="59FBB41E" w:rsidR="005E6455" w:rsidRPr="005E6455" w:rsidRDefault="005E6455" w:rsidP="004D38C2">
      <w:pPr>
        <w:numPr>
          <w:ilvl w:val="0"/>
          <w:numId w:val="94"/>
        </w:numPr>
        <w:tabs>
          <w:tab w:val="left" w:pos="1273"/>
          <w:tab w:val="left" w:pos="1274"/>
        </w:tabs>
        <w:spacing w:before="122" w:line="276" w:lineRule="auto"/>
        <w:ind w:right="68"/>
        <w:jc w:val="both"/>
        <w:rPr>
          <w:rFonts w:ascii="Arial" w:hAnsi="Arial" w:cs="Arial"/>
          <w:sz w:val="20"/>
          <w:szCs w:val="20"/>
        </w:rPr>
      </w:pPr>
      <w:r w:rsidRPr="005E6455">
        <w:rPr>
          <w:rFonts w:ascii="Arial" w:hAnsi="Arial" w:cs="Arial"/>
          <w:sz w:val="20"/>
          <w:szCs w:val="20"/>
        </w:rPr>
        <w:t xml:space="preserve">Regardless of the status of the contracted organisation, the contracting operator is responsible for ensuring that all contracted activities are subject to hazard identification and risk management as required by </w:t>
      </w:r>
      <w:r w:rsidRPr="001036B3">
        <w:rPr>
          <w:rFonts w:ascii="Arial" w:hAnsi="Arial" w:cs="Arial"/>
          <w:sz w:val="20"/>
          <w:szCs w:val="20"/>
        </w:rPr>
        <w:t>BOP.ADD.030(a)(3)</w:t>
      </w:r>
      <w:r w:rsidRPr="005E6455">
        <w:rPr>
          <w:rFonts w:ascii="Arial" w:hAnsi="Arial" w:cs="Arial"/>
          <w:sz w:val="20"/>
          <w:szCs w:val="20"/>
        </w:rPr>
        <w:t xml:space="preserve">, and to compliance monitoring as required by </w:t>
      </w:r>
      <w:r w:rsidRPr="001036B3">
        <w:rPr>
          <w:rFonts w:ascii="Arial" w:hAnsi="Arial" w:cs="Arial"/>
          <w:sz w:val="20"/>
          <w:szCs w:val="20"/>
        </w:rPr>
        <w:t>BOP.ADD.030(a)(6).</w:t>
      </w:r>
    </w:p>
    <w:p w14:paraId="1F29B0D3" w14:textId="77777777" w:rsidR="005E6455" w:rsidRPr="005E6455" w:rsidRDefault="005E6455" w:rsidP="004D38C2">
      <w:pPr>
        <w:numPr>
          <w:ilvl w:val="0"/>
          <w:numId w:val="94"/>
        </w:numPr>
        <w:tabs>
          <w:tab w:val="left" w:pos="1273"/>
          <w:tab w:val="left" w:pos="1274"/>
        </w:tabs>
        <w:spacing w:before="122" w:line="276" w:lineRule="auto"/>
        <w:ind w:right="68"/>
        <w:jc w:val="both"/>
        <w:rPr>
          <w:rFonts w:ascii="Arial" w:hAnsi="Arial" w:cs="Arial"/>
          <w:sz w:val="20"/>
          <w:szCs w:val="20"/>
        </w:rPr>
      </w:pPr>
      <w:r w:rsidRPr="005E6455">
        <w:rPr>
          <w:rFonts w:ascii="Arial" w:hAnsi="Arial" w:cs="Arial"/>
          <w:sz w:val="20"/>
          <w:szCs w:val="20"/>
        </w:rPr>
        <w:t>When the contracted organisation is itself declared or certified to carry out the contracted activities, the operator’s compliance monitoring at least checks that the declaration effectively covers the contracted activities.</w:t>
      </w:r>
    </w:p>
    <w:p w14:paraId="1D714A26" w14:textId="77777777" w:rsidR="00874E18" w:rsidRPr="00874E18" w:rsidRDefault="00874E18"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405" w:name="BOP.ADD.040_Personnel_requirements"/>
      <w:bookmarkStart w:id="406" w:name="_bookmark166"/>
      <w:bookmarkStart w:id="407" w:name="_Toc153137331"/>
      <w:bookmarkEnd w:id="405"/>
      <w:bookmarkEnd w:id="406"/>
      <w:r w:rsidRPr="00874E18">
        <w:rPr>
          <w:rFonts w:ascii="Arial" w:eastAsia="Times New Roman" w:hAnsi="Arial" w:cs="Times New Roman"/>
          <w:b/>
          <w:iCs/>
          <w:color w:val="FFFFFF"/>
          <w:sz w:val="24"/>
        </w:rPr>
        <w:t>BOP.ADD.040 Personnel requirements</w:t>
      </w:r>
      <w:bookmarkEnd w:id="407"/>
    </w:p>
    <w:p w14:paraId="1E364FD3" w14:textId="7DD4F8D7" w:rsidR="00874E18" w:rsidRPr="00874E18" w:rsidRDefault="00874E18" w:rsidP="009601C2">
      <w:pPr>
        <w:numPr>
          <w:ilvl w:val="0"/>
          <w:numId w:val="95"/>
        </w:numPr>
        <w:tabs>
          <w:tab w:val="left" w:pos="1273"/>
          <w:tab w:val="left" w:pos="1274"/>
        </w:tabs>
        <w:spacing w:before="122" w:line="276" w:lineRule="auto"/>
        <w:ind w:right="200"/>
        <w:jc w:val="both"/>
        <w:rPr>
          <w:rFonts w:ascii="Arial" w:hAnsi="Arial" w:cs="Arial"/>
          <w:sz w:val="20"/>
          <w:szCs w:val="20"/>
        </w:rPr>
      </w:pPr>
      <w:r w:rsidRPr="00874E18">
        <w:rPr>
          <w:rFonts w:ascii="Arial" w:hAnsi="Arial" w:cs="Arial"/>
          <w:sz w:val="20"/>
          <w:szCs w:val="20"/>
        </w:rPr>
        <w:t xml:space="preserve">The operator shall appoint an accountable manager who has the authority to ensure that all activities that fall within the scope of this Regulation can be financed and carried out in accordance with the essential requirements set out in </w:t>
      </w:r>
      <w:hyperlink r:id="rId64" w:history="1">
        <w:r w:rsidR="005C2A3C" w:rsidRPr="004073D2">
          <w:rPr>
            <w:rStyle w:val="Hyperlink"/>
            <w:rFonts w:ascii="Arial" w:hAnsi="Arial" w:cs="Arial"/>
            <w:sz w:val="20"/>
            <w:szCs w:val="20"/>
          </w:rPr>
          <w:t>Law on Aviation of the Republic of Armenia</w:t>
        </w:r>
      </w:hyperlink>
      <w:r w:rsidR="005C2A3C">
        <w:rPr>
          <w:rFonts w:ascii="Arial" w:hAnsi="Arial" w:cs="Arial"/>
          <w:sz w:val="20"/>
          <w:szCs w:val="20"/>
        </w:rPr>
        <w:t xml:space="preserve"> </w:t>
      </w:r>
      <w:r w:rsidRPr="00874E18">
        <w:rPr>
          <w:rFonts w:ascii="Arial" w:hAnsi="Arial" w:cs="Arial"/>
          <w:sz w:val="20"/>
          <w:szCs w:val="20"/>
        </w:rPr>
        <w:t>and with the requirements of this Regulation. The accountable manager shall be responsible for establishing and maintaining an effective management system.</w:t>
      </w:r>
    </w:p>
    <w:p w14:paraId="24A11816" w14:textId="77777777" w:rsidR="00874E18" w:rsidRPr="00874E18" w:rsidRDefault="00874E18" w:rsidP="009601C2">
      <w:pPr>
        <w:numPr>
          <w:ilvl w:val="0"/>
          <w:numId w:val="95"/>
        </w:numPr>
        <w:tabs>
          <w:tab w:val="left" w:pos="1273"/>
          <w:tab w:val="left" w:pos="1274"/>
        </w:tabs>
        <w:spacing w:before="122" w:line="276" w:lineRule="auto"/>
        <w:ind w:right="200"/>
        <w:jc w:val="both"/>
        <w:rPr>
          <w:rFonts w:ascii="Arial" w:hAnsi="Arial" w:cs="Arial"/>
          <w:sz w:val="20"/>
          <w:szCs w:val="20"/>
        </w:rPr>
      </w:pPr>
      <w:r w:rsidRPr="00874E18">
        <w:rPr>
          <w:rFonts w:ascii="Arial" w:hAnsi="Arial" w:cs="Arial"/>
          <w:sz w:val="20"/>
          <w:szCs w:val="20"/>
        </w:rPr>
        <w:t>The operator shall:</w:t>
      </w:r>
    </w:p>
    <w:p w14:paraId="5325D3F1" w14:textId="77777777" w:rsidR="00874E18" w:rsidRPr="00874E18" w:rsidRDefault="00874E18" w:rsidP="009601C2">
      <w:pPr>
        <w:numPr>
          <w:ilvl w:val="1"/>
          <w:numId w:val="95"/>
        </w:numPr>
        <w:tabs>
          <w:tab w:val="left" w:pos="1273"/>
          <w:tab w:val="left" w:pos="1274"/>
        </w:tabs>
        <w:spacing w:before="122" w:line="276" w:lineRule="auto"/>
        <w:ind w:right="200"/>
        <w:jc w:val="both"/>
        <w:rPr>
          <w:rFonts w:ascii="Arial" w:hAnsi="Arial" w:cs="Arial"/>
          <w:sz w:val="20"/>
          <w:szCs w:val="20"/>
        </w:rPr>
      </w:pPr>
      <w:r w:rsidRPr="00874E18">
        <w:rPr>
          <w:rFonts w:ascii="Arial" w:hAnsi="Arial" w:cs="Arial"/>
          <w:sz w:val="20"/>
          <w:szCs w:val="20"/>
        </w:rPr>
        <w:t>identify the responsibilities of its personnel for all tasks and activities to be performed;</w:t>
      </w:r>
    </w:p>
    <w:p w14:paraId="6D40971F" w14:textId="77777777" w:rsidR="00874E18" w:rsidRPr="00874E18" w:rsidRDefault="00874E18" w:rsidP="009601C2">
      <w:pPr>
        <w:numPr>
          <w:ilvl w:val="1"/>
          <w:numId w:val="95"/>
        </w:numPr>
        <w:tabs>
          <w:tab w:val="left" w:pos="1273"/>
          <w:tab w:val="left" w:pos="1274"/>
        </w:tabs>
        <w:spacing w:before="122" w:line="276" w:lineRule="auto"/>
        <w:ind w:right="200"/>
        <w:jc w:val="both"/>
        <w:rPr>
          <w:rFonts w:ascii="Arial" w:hAnsi="Arial" w:cs="Arial"/>
          <w:sz w:val="20"/>
          <w:szCs w:val="20"/>
        </w:rPr>
      </w:pPr>
      <w:r w:rsidRPr="00874E18">
        <w:rPr>
          <w:rFonts w:ascii="Arial" w:hAnsi="Arial" w:cs="Arial"/>
          <w:sz w:val="20"/>
          <w:szCs w:val="20"/>
        </w:rPr>
        <w:t>have sufficient qualified personnel to carry out those tasks and activities; and</w:t>
      </w:r>
    </w:p>
    <w:p w14:paraId="61F2608B" w14:textId="77777777" w:rsidR="00874E18" w:rsidRPr="00874E18" w:rsidRDefault="00874E18" w:rsidP="00E7557A">
      <w:pPr>
        <w:numPr>
          <w:ilvl w:val="1"/>
          <w:numId w:val="95"/>
        </w:numPr>
        <w:tabs>
          <w:tab w:val="left" w:pos="1273"/>
          <w:tab w:val="left" w:pos="1274"/>
        </w:tabs>
        <w:spacing w:before="122" w:line="276" w:lineRule="auto"/>
        <w:ind w:right="68"/>
        <w:jc w:val="both"/>
        <w:rPr>
          <w:rFonts w:ascii="Arial" w:hAnsi="Arial" w:cs="Arial"/>
          <w:sz w:val="20"/>
          <w:szCs w:val="20"/>
        </w:rPr>
      </w:pPr>
      <w:r w:rsidRPr="00874E18">
        <w:rPr>
          <w:rFonts w:ascii="Arial" w:hAnsi="Arial" w:cs="Arial"/>
          <w:sz w:val="20"/>
          <w:szCs w:val="20"/>
        </w:rPr>
        <w:lastRenderedPageBreak/>
        <w:t>maintain appropriate experience, qualification and training records of its personnel.</w:t>
      </w:r>
    </w:p>
    <w:p w14:paraId="2A6E9E12" w14:textId="77777777" w:rsidR="00874E18" w:rsidRPr="00874E18" w:rsidRDefault="00874E18" w:rsidP="00E7557A">
      <w:pPr>
        <w:numPr>
          <w:ilvl w:val="0"/>
          <w:numId w:val="95"/>
        </w:numPr>
        <w:tabs>
          <w:tab w:val="left" w:pos="1273"/>
          <w:tab w:val="left" w:pos="1274"/>
        </w:tabs>
        <w:spacing w:before="122" w:line="276" w:lineRule="auto"/>
        <w:ind w:right="68"/>
        <w:jc w:val="both"/>
        <w:rPr>
          <w:rFonts w:ascii="Arial" w:hAnsi="Arial" w:cs="Arial"/>
          <w:sz w:val="20"/>
          <w:szCs w:val="20"/>
        </w:rPr>
      </w:pPr>
      <w:r w:rsidRPr="00874E18">
        <w:rPr>
          <w:rFonts w:ascii="Arial" w:hAnsi="Arial" w:cs="Arial"/>
          <w:sz w:val="20"/>
          <w:szCs w:val="20"/>
        </w:rPr>
        <w:t>The operator shall nominate one or more persons responsible for the management and supervision of all of the following areas:</w:t>
      </w:r>
    </w:p>
    <w:p w14:paraId="70B2EFC1" w14:textId="77777777" w:rsidR="00874E18" w:rsidRPr="00874E18" w:rsidRDefault="00874E18" w:rsidP="00E7557A">
      <w:pPr>
        <w:numPr>
          <w:ilvl w:val="1"/>
          <w:numId w:val="95"/>
        </w:numPr>
        <w:tabs>
          <w:tab w:val="left" w:pos="1273"/>
          <w:tab w:val="left" w:pos="1274"/>
        </w:tabs>
        <w:spacing w:before="122" w:line="276" w:lineRule="auto"/>
        <w:ind w:right="68"/>
        <w:jc w:val="both"/>
        <w:rPr>
          <w:rFonts w:ascii="Arial" w:hAnsi="Arial" w:cs="Arial"/>
          <w:sz w:val="20"/>
          <w:szCs w:val="20"/>
        </w:rPr>
      </w:pPr>
      <w:r w:rsidRPr="00874E18">
        <w:rPr>
          <w:rFonts w:ascii="Arial" w:hAnsi="Arial" w:cs="Arial"/>
          <w:sz w:val="20"/>
          <w:szCs w:val="20"/>
        </w:rPr>
        <w:t>flight operations;</w:t>
      </w:r>
    </w:p>
    <w:p w14:paraId="1BA4A970" w14:textId="77777777" w:rsidR="00874E18" w:rsidRPr="00874E18" w:rsidRDefault="00874E18" w:rsidP="00E7557A">
      <w:pPr>
        <w:numPr>
          <w:ilvl w:val="1"/>
          <w:numId w:val="95"/>
        </w:numPr>
        <w:tabs>
          <w:tab w:val="left" w:pos="1273"/>
          <w:tab w:val="left" w:pos="1274"/>
        </w:tabs>
        <w:spacing w:before="122" w:line="276" w:lineRule="auto"/>
        <w:ind w:right="68"/>
        <w:jc w:val="both"/>
        <w:rPr>
          <w:rFonts w:ascii="Arial" w:hAnsi="Arial" w:cs="Arial"/>
          <w:sz w:val="20"/>
          <w:szCs w:val="20"/>
        </w:rPr>
      </w:pPr>
      <w:r w:rsidRPr="00874E18">
        <w:rPr>
          <w:rFonts w:ascii="Arial" w:hAnsi="Arial" w:cs="Arial"/>
          <w:sz w:val="20"/>
          <w:szCs w:val="20"/>
        </w:rPr>
        <w:t>ground operations;</w:t>
      </w:r>
    </w:p>
    <w:p w14:paraId="40F4AB61" w14:textId="6682414C" w:rsidR="00CE13DE" w:rsidRPr="00CE13DE" w:rsidRDefault="00874E18" w:rsidP="00E7557A">
      <w:pPr>
        <w:numPr>
          <w:ilvl w:val="1"/>
          <w:numId w:val="95"/>
        </w:numPr>
        <w:tabs>
          <w:tab w:val="left" w:pos="1273"/>
          <w:tab w:val="left" w:pos="1274"/>
        </w:tabs>
        <w:spacing w:before="122" w:line="276" w:lineRule="auto"/>
        <w:ind w:right="68"/>
        <w:jc w:val="both"/>
        <w:rPr>
          <w:rFonts w:ascii="Arial" w:hAnsi="Arial" w:cs="Arial"/>
          <w:sz w:val="20"/>
          <w:szCs w:val="20"/>
        </w:rPr>
      </w:pPr>
      <w:r w:rsidRPr="00874E18">
        <w:rPr>
          <w:rFonts w:ascii="Arial" w:hAnsi="Arial" w:cs="Arial"/>
          <w:sz w:val="20"/>
          <w:szCs w:val="20"/>
        </w:rPr>
        <w:t xml:space="preserve">continuing airworthiness, in accordance with </w:t>
      </w:r>
      <w:hyperlink r:id="rId65" w:history="1">
        <w:r w:rsidR="004F7844">
          <w:rPr>
            <w:rStyle w:val="Hyperlink"/>
            <w:rFonts w:ascii="Arial" w:hAnsi="Arial" w:cs="Arial"/>
            <w:sz w:val="20"/>
            <w:szCs w:val="20"/>
          </w:rPr>
          <w:t>the order N 10-N of the Minister of Territorial Administration and Infrastructure of RA, dated 01.06.2022</w:t>
        </w:r>
      </w:hyperlink>
      <w:r w:rsidR="00CE13DE" w:rsidRPr="00CE13DE">
        <w:rPr>
          <w:rFonts w:ascii="Cambria Math" w:hAnsi="Cambria Math" w:cs="Cambria Math"/>
          <w:sz w:val="20"/>
          <w:szCs w:val="20"/>
        </w:rPr>
        <w:t>․</w:t>
      </w:r>
    </w:p>
    <w:p w14:paraId="1704FDF0" w14:textId="038AA2B1" w:rsidR="00495C0A" w:rsidRPr="00CE13DE" w:rsidRDefault="00CE13DE" w:rsidP="00CE13DE">
      <w:pPr>
        <w:keepNext/>
        <w:keepLines/>
        <w:widowControl/>
        <w:shd w:val="clear" w:color="auto" w:fill="339966"/>
        <w:autoSpaceDE/>
        <w:autoSpaceDN/>
        <w:spacing w:before="160" w:after="120" w:line="276" w:lineRule="auto"/>
        <w:jc w:val="both"/>
        <w:outlineLvl w:val="4"/>
        <w:rPr>
          <w:rFonts w:ascii="Arial" w:eastAsia="Times New Roman" w:hAnsi="Arial" w:cs="Times New Roman"/>
          <w:b/>
          <w:color w:val="FFFFFF"/>
          <w:sz w:val="24"/>
        </w:rPr>
      </w:pPr>
      <w:bookmarkStart w:id="408" w:name="_Toc153137332"/>
      <w:r w:rsidRPr="00CE13DE">
        <w:rPr>
          <w:rFonts w:ascii="Arial" w:eastAsia="Times New Roman" w:hAnsi="Arial" w:cs="Times New Roman"/>
          <w:b/>
          <w:color w:val="FFFFFF"/>
          <w:sz w:val="24"/>
        </w:rPr>
        <w:t>GM</w:t>
      </w:r>
      <w:r w:rsidR="00495C0A" w:rsidRPr="00CE13DE">
        <w:rPr>
          <w:rFonts w:ascii="Arial" w:eastAsia="Times New Roman" w:hAnsi="Arial" w:cs="Times New Roman"/>
          <w:b/>
          <w:color w:val="FFFFFF"/>
          <w:sz w:val="24"/>
        </w:rPr>
        <w:t>1 BOP.ADD.040 Personnel requirements</w:t>
      </w:r>
      <w:bookmarkEnd w:id="408"/>
    </w:p>
    <w:p w14:paraId="358EA845" w14:textId="77777777" w:rsidR="00495C0A" w:rsidRPr="00276D5E" w:rsidRDefault="00495C0A" w:rsidP="009601C2">
      <w:pPr>
        <w:spacing w:line="276" w:lineRule="auto"/>
        <w:jc w:val="both"/>
        <w:rPr>
          <w:rFonts w:ascii="Arial" w:hAnsi="Arial" w:cs="Arial"/>
          <w:b/>
          <w:sz w:val="20"/>
        </w:rPr>
      </w:pPr>
      <w:r w:rsidRPr="00276D5E">
        <w:rPr>
          <w:rFonts w:ascii="Arial" w:hAnsi="Arial" w:cs="Arial"/>
          <w:b/>
          <w:sz w:val="20"/>
        </w:rPr>
        <w:t>SMALLEST</w:t>
      </w:r>
      <w:r w:rsidRPr="00276D5E">
        <w:rPr>
          <w:rFonts w:ascii="Arial" w:hAnsi="Arial" w:cs="Arial"/>
          <w:b/>
          <w:spacing w:val="-7"/>
          <w:sz w:val="20"/>
        </w:rPr>
        <w:t xml:space="preserve"> </w:t>
      </w:r>
      <w:r w:rsidRPr="00276D5E">
        <w:rPr>
          <w:rFonts w:ascii="Arial" w:hAnsi="Arial" w:cs="Arial"/>
          <w:b/>
          <w:sz w:val="20"/>
        </w:rPr>
        <w:t>OPERATOR</w:t>
      </w:r>
    </w:p>
    <w:p w14:paraId="3CDA2EDE" w14:textId="77777777" w:rsidR="00495C0A" w:rsidRPr="00495C0A" w:rsidRDefault="00495C0A" w:rsidP="00E7557A">
      <w:pPr>
        <w:tabs>
          <w:tab w:val="left" w:pos="1273"/>
          <w:tab w:val="left" w:pos="1274"/>
        </w:tabs>
        <w:spacing w:before="122" w:line="276" w:lineRule="auto"/>
        <w:ind w:right="68"/>
        <w:jc w:val="both"/>
        <w:rPr>
          <w:rFonts w:ascii="Arial" w:hAnsi="Arial" w:cs="Arial"/>
          <w:sz w:val="20"/>
          <w:szCs w:val="20"/>
        </w:rPr>
      </w:pPr>
      <w:r w:rsidRPr="00495C0A">
        <w:rPr>
          <w:rFonts w:ascii="Arial" w:hAnsi="Arial" w:cs="Arial"/>
          <w:sz w:val="20"/>
          <w:szCs w:val="20"/>
        </w:rPr>
        <w:t>The smallest operator that can be considered is the one-person operator where all of the nominated posts are filled by the accountable manager.</w:t>
      </w:r>
    </w:p>
    <w:p w14:paraId="1944BF49" w14:textId="77777777" w:rsidR="00495C0A" w:rsidRPr="00495C0A" w:rsidRDefault="00495C0A" w:rsidP="009601C2">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409" w:name="AMC1_BOP.ADD.040(c)_Personnel_requiremen"/>
      <w:bookmarkStart w:id="410" w:name="_bookmark168"/>
      <w:bookmarkStart w:id="411" w:name="_Toc153137333"/>
      <w:bookmarkEnd w:id="409"/>
      <w:bookmarkEnd w:id="410"/>
      <w:r w:rsidRPr="00495C0A">
        <w:rPr>
          <w:rFonts w:ascii="Arial" w:eastAsia="Times New Roman" w:hAnsi="Arial" w:cs="Times New Roman"/>
          <w:b/>
          <w:color w:val="FFFFFF"/>
          <w:sz w:val="24"/>
        </w:rPr>
        <w:t>AMC1 BOP.ADD.040(c) Personnel requirements</w:t>
      </w:r>
      <w:bookmarkEnd w:id="411"/>
    </w:p>
    <w:p w14:paraId="7D6B15AE" w14:textId="77777777" w:rsidR="00495C0A" w:rsidRPr="00276D5E" w:rsidRDefault="00495C0A" w:rsidP="009601C2">
      <w:pPr>
        <w:spacing w:line="276" w:lineRule="auto"/>
        <w:jc w:val="both"/>
        <w:rPr>
          <w:rFonts w:ascii="Arial" w:hAnsi="Arial" w:cs="Arial"/>
          <w:b/>
          <w:sz w:val="20"/>
        </w:rPr>
      </w:pPr>
      <w:r w:rsidRPr="00276D5E">
        <w:rPr>
          <w:rFonts w:ascii="Arial" w:hAnsi="Arial" w:cs="Arial"/>
          <w:b/>
          <w:sz w:val="20"/>
        </w:rPr>
        <w:t>NOMINATED</w:t>
      </w:r>
      <w:r w:rsidRPr="00276D5E">
        <w:rPr>
          <w:rFonts w:ascii="Arial" w:hAnsi="Arial" w:cs="Arial"/>
          <w:b/>
          <w:spacing w:val="-7"/>
          <w:sz w:val="20"/>
        </w:rPr>
        <w:t xml:space="preserve"> </w:t>
      </w:r>
      <w:r w:rsidRPr="00276D5E">
        <w:rPr>
          <w:rFonts w:ascii="Arial" w:hAnsi="Arial" w:cs="Arial"/>
          <w:b/>
          <w:sz w:val="20"/>
        </w:rPr>
        <w:t>PERSONS</w:t>
      </w:r>
    </w:p>
    <w:p w14:paraId="102B9CF7" w14:textId="77777777" w:rsidR="00495C0A" w:rsidRPr="00495C0A" w:rsidRDefault="00495C0A" w:rsidP="00E7557A">
      <w:pPr>
        <w:numPr>
          <w:ilvl w:val="0"/>
          <w:numId w:val="96"/>
        </w:numPr>
        <w:tabs>
          <w:tab w:val="left" w:pos="1273"/>
          <w:tab w:val="left" w:pos="1274"/>
        </w:tabs>
        <w:spacing w:before="122" w:line="276" w:lineRule="auto"/>
        <w:ind w:right="68"/>
        <w:jc w:val="both"/>
        <w:rPr>
          <w:rFonts w:ascii="Arial" w:hAnsi="Arial" w:cs="Arial"/>
          <w:sz w:val="20"/>
          <w:szCs w:val="20"/>
        </w:rPr>
      </w:pPr>
      <w:r w:rsidRPr="00495C0A">
        <w:rPr>
          <w:rFonts w:ascii="Arial" w:hAnsi="Arial" w:cs="Arial"/>
          <w:sz w:val="20"/>
          <w:szCs w:val="20"/>
        </w:rPr>
        <w:t>A description of the functions and the responsibilities of the nominated persons, including their names, should be contained in the operations manual.</w:t>
      </w:r>
    </w:p>
    <w:p w14:paraId="743160CE" w14:textId="77777777" w:rsidR="00495C0A" w:rsidRPr="00495C0A" w:rsidRDefault="00495C0A" w:rsidP="00E7557A">
      <w:pPr>
        <w:numPr>
          <w:ilvl w:val="0"/>
          <w:numId w:val="96"/>
        </w:numPr>
        <w:tabs>
          <w:tab w:val="left" w:pos="1273"/>
          <w:tab w:val="left" w:pos="1274"/>
        </w:tabs>
        <w:spacing w:before="122" w:line="276" w:lineRule="auto"/>
        <w:ind w:right="68"/>
        <w:jc w:val="both"/>
        <w:rPr>
          <w:rFonts w:ascii="Arial" w:hAnsi="Arial" w:cs="Arial"/>
          <w:sz w:val="20"/>
          <w:szCs w:val="20"/>
        </w:rPr>
      </w:pPr>
      <w:r w:rsidRPr="00495C0A">
        <w:rPr>
          <w:rFonts w:ascii="Arial" w:hAnsi="Arial" w:cs="Arial"/>
          <w:sz w:val="20"/>
          <w:szCs w:val="20"/>
        </w:rPr>
        <w:t>The operator should make arrangements to ensure continuity of supervision in the absence of nominated persons.</w:t>
      </w:r>
    </w:p>
    <w:p w14:paraId="255BBE11" w14:textId="2DEB8245" w:rsidR="00495C0A" w:rsidRPr="00495C0A" w:rsidRDefault="00495C0A" w:rsidP="00E7557A">
      <w:pPr>
        <w:numPr>
          <w:ilvl w:val="0"/>
          <w:numId w:val="96"/>
        </w:numPr>
        <w:tabs>
          <w:tab w:val="left" w:pos="1273"/>
          <w:tab w:val="left" w:pos="1274"/>
        </w:tabs>
        <w:spacing w:before="122" w:line="276" w:lineRule="auto"/>
        <w:ind w:right="68"/>
        <w:jc w:val="both"/>
        <w:rPr>
          <w:rFonts w:ascii="Arial" w:hAnsi="Arial" w:cs="Arial"/>
          <w:sz w:val="20"/>
          <w:szCs w:val="20"/>
        </w:rPr>
      </w:pPr>
      <w:r w:rsidRPr="00495C0A">
        <w:rPr>
          <w:rFonts w:ascii="Arial" w:hAnsi="Arial" w:cs="Arial"/>
          <w:sz w:val="20"/>
          <w:szCs w:val="20"/>
        </w:rPr>
        <w:t xml:space="preserve">A person nominated by the operator, who has already been nominated by another operator, may be acceptable subject to the agreement of the </w:t>
      </w:r>
      <w:r w:rsidR="00A804D2">
        <w:rPr>
          <w:rFonts w:ascii="Arial" w:hAnsi="Arial" w:cs="Arial"/>
          <w:sz w:val="20"/>
          <w:szCs w:val="20"/>
        </w:rPr>
        <w:t xml:space="preserve">CAC RA </w:t>
      </w:r>
      <w:r w:rsidRPr="00495C0A">
        <w:rPr>
          <w:rFonts w:ascii="Arial" w:hAnsi="Arial" w:cs="Arial"/>
          <w:sz w:val="20"/>
          <w:szCs w:val="20"/>
        </w:rPr>
        <w:t>concerned.</w:t>
      </w:r>
    </w:p>
    <w:p w14:paraId="4B975623" w14:textId="77777777" w:rsidR="00495C0A" w:rsidRPr="00495C0A" w:rsidRDefault="00495C0A" w:rsidP="00E7557A">
      <w:pPr>
        <w:numPr>
          <w:ilvl w:val="0"/>
          <w:numId w:val="96"/>
        </w:numPr>
        <w:tabs>
          <w:tab w:val="left" w:pos="1273"/>
          <w:tab w:val="left" w:pos="1274"/>
        </w:tabs>
        <w:spacing w:before="122" w:line="276" w:lineRule="auto"/>
        <w:ind w:right="68"/>
        <w:jc w:val="both"/>
        <w:rPr>
          <w:rFonts w:ascii="Arial" w:hAnsi="Arial" w:cs="Arial"/>
          <w:sz w:val="20"/>
          <w:szCs w:val="20"/>
        </w:rPr>
      </w:pPr>
      <w:r w:rsidRPr="00495C0A">
        <w:rPr>
          <w:rFonts w:ascii="Arial" w:hAnsi="Arial" w:cs="Arial"/>
          <w:sz w:val="20"/>
          <w:szCs w:val="20"/>
        </w:rPr>
        <w:t>Nominated persons should work sufficient hours to fulfil the management functions associated with the scale and scope of the operation.</w:t>
      </w:r>
    </w:p>
    <w:p w14:paraId="07D04CE4" w14:textId="77777777" w:rsidR="00495C0A" w:rsidRPr="00495C0A" w:rsidRDefault="00495C0A" w:rsidP="00E7557A">
      <w:pPr>
        <w:numPr>
          <w:ilvl w:val="0"/>
          <w:numId w:val="96"/>
        </w:numPr>
        <w:tabs>
          <w:tab w:val="left" w:pos="1273"/>
          <w:tab w:val="left" w:pos="1274"/>
        </w:tabs>
        <w:spacing w:before="122" w:line="276" w:lineRule="auto"/>
        <w:ind w:right="68"/>
        <w:jc w:val="both"/>
        <w:rPr>
          <w:rFonts w:ascii="Arial" w:hAnsi="Arial" w:cs="Arial"/>
          <w:sz w:val="20"/>
          <w:szCs w:val="20"/>
        </w:rPr>
      </w:pPr>
      <w:r w:rsidRPr="00495C0A">
        <w:rPr>
          <w:rFonts w:ascii="Arial" w:hAnsi="Arial" w:cs="Arial"/>
          <w:sz w:val="20"/>
          <w:szCs w:val="20"/>
        </w:rPr>
        <w:t>One person may hold more than one of the nominated posts if such an arrangement is considered suitable and properly matched to the scale and scope of the operation.</w:t>
      </w:r>
    </w:p>
    <w:p w14:paraId="5D2287F0" w14:textId="77777777" w:rsidR="00495C0A" w:rsidRPr="00495C0A" w:rsidRDefault="00495C0A" w:rsidP="00E7557A">
      <w:pPr>
        <w:numPr>
          <w:ilvl w:val="0"/>
          <w:numId w:val="96"/>
        </w:numPr>
        <w:tabs>
          <w:tab w:val="left" w:pos="1273"/>
          <w:tab w:val="left" w:pos="1274"/>
        </w:tabs>
        <w:spacing w:before="122" w:line="276" w:lineRule="auto"/>
        <w:ind w:right="68"/>
        <w:jc w:val="both"/>
        <w:rPr>
          <w:rFonts w:ascii="Arial" w:hAnsi="Arial" w:cs="Arial"/>
          <w:sz w:val="20"/>
          <w:szCs w:val="20"/>
        </w:rPr>
      </w:pPr>
      <w:r w:rsidRPr="00495C0A">
        <w:rPr>
          <w:rFonts w:ascii="Arial" w:hAnsi="Arial" w:cs="Arial"/>
          <w:sz w:val="20"/>
          <w:szCs w:val="20"/>
        </w:rPr>
        <w:t>The acceptability of a single person holding several posts, possibly in combination with being the accountable manager, should depend upon the nature and scale of the operation. The two main areas of concern should be competence and the individual’s capacity to meet his or her responsibilities.</w:t>
      </w:r>
    </w:p>
    <w:p w14:paraId="10C5FC79" w14:textId="77777777" w:rsidR="00495C0A" w:rsidRPr="00495C0A" w:rsidRDefault="00495C0A" w:rsidP="00E7557A">
      <w:pPr>
        <w:numPr>
          <w:ilvl w:val="0"/>
          <w:numId w:val="96"/>
        </w:numPr>
        <w:tabs>
          <w:tab w:val="left" w:pos="1273"/>
          <w:tab w:val="left" w:pos="1274"/>
        </w:tabs>
        <w:spacing w:before="122" w:line="276" w:lineRule="auto"/>
        <w:ind w:right="68"/>
        <w:jc w:val="both"/>
        <w:rPr>
          <w:rFonts w:ascii="Arial" w:hAnsi="Arial" w:cs="Arial"/>
          <w:sz w:val="20"/>
          <w:szCs w:val="20"/>
        </w:rPr>
      </w:pPr>
      <w:r w:rsidRPr="00495C0A">
        <w:rPr>
          <w:rFonts w:ascii="Arial" w:hAnsi="Arial" w:cs="Arial"/>
          <w:sz w:val="20"/>
          <w:szCs w:val="20"/>
        </w:rPr>
        <w:t>As regards competence in different areas of responsibility, there should not be any difference from the requirements applicable to persons holding only one post.</w:t>
      </w:r>
    </w:p>
    <w:p w14:paraId="16737238" w14:textId="77777777" w:rsidR="00495C0A" w:rsidRPr="00495C0A" w:rsidRDefault="00495C0A" w:rsidP="00E7557A">
      <w:pPr>
        <w:numPr>
          <w:ilvl w:val="0"/>
          <w:numId w:val="96"/>
        </w:numPr>
        <w:tabs>
          <w:tab w:val="left" w:pos="1273"/>
          <w:tab w:val="left" w:pos="1274"/>
        </w:tabs>
        <w:spacing w:before="122" w:line="276" w:lineRule="auto"/>
        <w:ind w:right="68"/>
        <w:jc w:val="both"/>
        <w:rPr>
          <w:rFonts w:ascii="Arial" w:hAnsi="Arial" w:cs="Arial"/>
          <w:sz w:val="20"/>
          <w:szCs w:val="20"/>
        </w:rPr>
      </w:pPr>
      <w:r w:rsidRPr="00495C0A">
        <w:rPr>
          <w:rFonts w:ascii="Arial" w:hAnsi="Arial" w:cs="Arial"/>
          <w:sz w:val="20"/>
          <w:szCs w:val="20"/>
        </w:rPr>
        <w:t>The capacity of an individual to meet his or her responsibilities should primarily be dependent upon the scale of the operation. However, the complexity of the organisation or of the operation may prevent, or limit, combinations of posts which may be acceptable in other circumstances.</w:t>
      </w:r>
    </w:p>
    <w:p w14:paraId="65F19406" w14:textId="77777777" w:rsidR="00AE4B21" w:rsidRPr="00AE4B21" w:rsidRDefault="00AE4B21" w:rsidP="009601C2">
      <w:pPr>
        <w:keepNext/>
        <w:keepLines/>
        <w:widowControl/>
        <w:shd w:val="clear" w:color="auto" w:fill="339966"/>
        <w:autoSpaceDE/>
        <w:autoSpaceDN/>
        <w:spacing w:before="160" w:after="120" w:line="276" w:lineRule="auto"/>
        <w:outlineLvl w:val="4"/>
        <w:rPr>
          <w:rFonts w:ascii="Arial" w:eastAsia="Times New Roman" w:hAnsi="Arial" w:cs="Times New Roman"/>
          <w:b/>
          <w:color w:val="FFFFFF"/>
          <w:sz w:val="24"/>
        </w:rPr>
      </w:pPr>
      <w:bookmarkStart w:id="412" w:name="_Toc153137334"/>
      <w:r w:rsidRPr="00AE4B21">
        <w:rPr>
          <w:rFonts w:ascii="Arial" w:eastAsia="Times New Roman" w:hAnsi="Arial" w:cs="Times New Roman"/>
          <w:b/>
          <w:color w:val="FFFFFF"/>
          <w:sz w:val="24"/>
        </w:rPr>
        <w:t>GM1 BOP.ADD.040(c) Personnel requirements</w:t>
      </w:r>
      <w:bookmarkEnd w:id="412"/>
      <w:r w:rsidRPr="00AE4B21">
        <w:rPr>
          <w:rFonts w:ascii="Arial" w:eastAsia="Times New Roman" w:hAnsi="Arial" w:cs="Times New Roman"/>
          <w:b/>
          <w:color w:val="FFFFFF"/>
          <w:sz w:val="24"/>
        </w:rPr>
        <w:tab/>
      </w:r>
    </w:p>
    <w:p w14:paraId="7FC8A788" w14:textId="77777777" w:rsidR="00AE4B21" w:rsidRPr="00276D5E" w:rsidRDefault="00AE4B21" w:rsidP="009601C2">
      <w:pPr>
        <w:spacing w:before="120" w:line="276" w:lineRule="auto"/>
        <w:jc w:val="both"/>
        <w:rPr>
          <w:rFonts w:ascii="Arial" w:hAnsi="Arial" w:cs="Arial"/>
          <w:b/>
          <w:sz w:val="20"/>
        </w:rPr>
      </w:pPr>
      <w:r w:rsidRPr="00276D5E">
        <w:rPr>
          <w:rFonts w:ascii="Arial" w:hAnsi="Arial" w:cs="Arial"/>
          <w:b/>
          <w:sz w:val="20"/>
        </w:rPr>
        <w:t>COMPETENCE</w:t>
      </w:r>
      <w:r w:rsidRPr="00276D5E">
        <w:rPr>
          <w:rFonts w:ascii="Arial" w:hAnsi="Arial" w:cs="Arial"/>
          <w:b/>
          <w:spacing w:val="-7"/>
          <w:sz w:val="20"/>
        </w:rPr>
        <w:t xml:space="preserve"> </w:t>
      </w:r>
      <w:r w:rsidRPr="00276D5E">
        <w:rPr>
          <w:rFonts w:ascii="Arial" w:hAnsi="Arial" w:cs="Arial"/>
          <w:b/>
          <w:sz w:val="20"/>
        </w:rPr>
        <w:t>OF</w:t>
      </w:r>
      <w:r w:rsidRPr="00276D5E">
        <w:rPr>
          <w:rFonts w:ascii="Arial" w:hAnsi="Arial" w:cs="Arial"/>
          <w:b/>
          <w:spacing w:val="-4"/>
          <w:sz w:val="20"/>
        </w:rPr>
        <w:t xml:space="preserve"> </w:t>
      </w:r>
      <w:r w:rsidRPr="00276D5E">
        <w:rPr>
          <w:rFonts w:ascii="Arial" w:hAnsi="Arial" w:cs="Arial"/>
          <w:b/>
          <w:sz w:val="20"/>
        </w:rPr>
        <w:t>NOMINATED</w:t>
      </w:r>
      <w:r w:rsidRPr="00276D5E">
        <w:rPr>
          <w:rFonts w:ascii="Arial" w:hAnsi="Arial" w:cs="Arial"/>
          <w:b/>
          <w:spacing w:val="-6"/>
          <w:sz w:val="20"/>
        </w:rPr>
        <w:t xml:space="preserve"> </w:t>
      </w:r>
      <w:r w:rsidRPr="00276D5E">
        <w:rPr>
          <w:rFonts w:ascii="Arial" w:hAnsi="Arial" w:cs="Arial"/>
          <w:b/>
          <w:sz w:val="20"/>
        </w:rPr>
        <w:t>PERSONS</w:t>
      </w:r>
    </w:p>
    <w:p w14:paraId="4FD00830" w14:textId="126E897E" w:rsidR="00AE4B21" w:rsidRPr="00AE4B21" w:rsidRDefault="00AE4B21" w:rsidP="00E7557A">
      <w:pPr>
        <w:numPr>
          <w:ilvl w:val="0"/>
          <w:numId w:val="97"/>
        </w:numPr>
        <w:tabs>
          <w:tab w:val="left" w:pos="1273"/>
          <w:tab w:val="left" w:pos="1274"/>
        </w:tabs>
        <w:spacing w:before="122" w:line="276" w:lineRule="auto"/>
        <w:ind w:right="68"/>
        <w:jc w:val="both"/>
        <w:rPr>
          <w:rFonts w:ascii="Arial" w:hAnsi="Arial" w:cs="Arial"/>
          <w:sz w:val="20"/>
          <w:szCs w:val="20"/>
        </w:rPr>
      </w:pPr>
      <w:r w:rsidRPr="00AE4B21">
        <w:rPr>
          <w:rFonts w:ascii="Arial" w:hAnsi="Arial" w:cs="Arial"/>
          <w:sz w:val="20"/>
          <w:szCs w:val="20"/>
        </w:rPr>
        <w:t xml:space="preserve">Nominated persons in accordance with </w:t>
      </w:r>
      <w:r w:rsidRPr="004F7844">
        <w:rPr>
          <w:rFonts w:ascii="Arial" w:hAnsi="Arial" w:cs="Arial"/>
          <w:sz w:val="20"/>
          <w:szCs w:val="20"/>
        </w:rPr>
        <w:t>BOP.ADD.040</w:t>
      </w:r>
      <w:r w:rsidRPr="00AE4B21">
        <w:rPr>
          <w:rFonts w:ascii="Arial" w:hAnsi="Arial" w:cs="Arial"/>
          <w:sz w:val="20"/>
          <w:szCs w:val="20"/>
        </w:rPr>
        <w:t xml:space="preserve"> possess the experience and meet the licensing provisions that are listed below in (b) to (e). Exceptionally, in particular cases, the </w:t>
      </w:r>
      <w:r w:rsidR="00A804D2">
        <w:rPr>
          <w:rFonts w:ascii="Arial" w:hAnsi="Arial" w:cs="Arial"/>
          <w:sz w:val="20"/>
          <w:szCs w:val="20"/>
        </w:rPr>
        <w:t xml:space="preserve">CAC RA </w:t>
      </w:r>
      <w:r w:rsidRPr="00AE4B21">
        <w:rPr>
          <w:rFonts w:ascii="Arial" w:hAnsi="Arial" w:cs="Arial"/>
          <w:sz w:val="20"/>
          <w:szCs w:val="20"/>
        </w:rPr>
        <w:t>may accept a nomination that does not meet these provisions in full. In that case, the nominee has comparable experience and also the ability to perform effectively the functions associated with the post and with the scale of the operation.</w:t>
      </w:r>
    </w:p>
    <w:p w14:paraId="7AD6F5F8" w14:textId="77777777" w:rsidR="00AE4B21" w:rsidRPr="00AE4B21" w:rsidRDefault="00AE4B21" w:rsidP="00E7557A">
      <w:pPr>
        <w:numPr>
          <w:ilvl w:val="0"/>
          <w:numId w:val="97"/>
        </w:numPr>
        <w:tabs>
          <w:tab w:val="left" w:pos="1273"/>
          <w:tab w:val="left" w:pos="1274"/>
        </w:tabs>
        <w:spacing w:before="122" w:line="276" w:lineRule="auto"/>
        <w:ind w:right="68"/>
        <w:jc w:val="both"/>
        <w:rPr>
          <w:rFonts w:ascii="Arial" w:hAnsi="Arial" w:cs="Arial"/>
          <w:sz w:val="20"/>
          <w:szCs w:val="20"/>
        </w:rPr>
      </w:pPr>
      <w:r w:rsidRPr="00AE4B21">
        <w:rPr>
          <w:rFonts w:ascii="Arial" w:hAnsi="Arial" w:cs="Arial"/>
          <w:sz w:val="20"/>
          <w:szCs w:val="20"/>
        </w:rPr>
        <w:t>Nominated persons have:</w:t>
      </w:r>
    </w:p>
    <w:p w14:paraId="23A737D0" w14:textId="77777777" w:rsidR="00AE4B21" w:rsidRPr="00AE4B21" w:rsidRDefault="00AE4B21" w:rsidP="00E7557A">
      <w:pPr>
        <w:numPr>
          <w:ilvl w:val="1"/>
          <w:numId w:val="97"/>
        </w:numPr>
        <w:tabs>
          <w:tab w:val="left" w:pos="1274"/>
        </w:tabs>
        <w:spacing w:before="122" w:line="276" w:lineRule="auto"/>
        <w:ind w:right="68"/>
        <w:jc w:val="both"/>
        <w:rPr>
          <w:rFonts w:ascii="Arial" w:hAnsi="Arial" w:cs="Arial"/>
          <w:sz w:val="20"/>
          <w:szCs w:val="20"/>
        </w:rPr>
      </w:pPr>
      <w:r w:rsidRPr="00AE4B21">
        <w:rPr>
          <w:rFonts w:ascii="Arial" w:hAnsi="Arial" w:cs="Arial"/>
          <w:sz w:val="20"/>
          <w:szCs w:val="20"/>
        </w:rPr>
        <w:t>practical experience and expertise in the application of aviation safety standards and safe operating practices;</w:t>
      </w:r>
    </w:p>
    <w:p w14:paraId="6114DED5" w14:textId="77777777" w:rsidR="00AE4B21" w:rsidRPr="00AE4B21" w:rsidRDefault="00AE4B21" w:rsidP="00E7557A">
      <w:pPr>
        <w:numPr>
          <w:ilvl w:val="1"/>
          <w:numId w:val="97"/>
        </w:numPr>
        <w:tabs>
          <w:tab w:val="left" w:pos="1274"/>
        </w:tabs>
        <w:spacing w:before="122" w:line="276" w:lineRule="auto"/>
        <w:ind w:right="68"/>
        <w:jc w:val="both"/>
        <w:rPr>
          <w:rFonts w:ascii="Arial" w:hAnsi="Arial" w:cs="Arial"/>
          <w:sz w:val="20"/>
          <w:szCs w:val="20"/>
        </w:rPr>
      </w:pPr>
      <w:r w:rsidRPr="00AE4B21">
        <w:rPr>
          <w:rFonts w:ascii="Arial" w:hAnsi="Arial" w:cs="Arial"/>
          <w:sz w:val="20"/>
          <w:szCs w:val="20"/>
        </w:rPr>
        <w:t>comprehensive knowledge of:</w:t>
      </w:r>
    </w:p>
    <w:p w14:paraId="78B57B06" w14:textId="77777777" w:rsidR="00AE4B21" w:rsidRPr="00AE4B21" w:rsidRDefault="00AE4B21" w:rsidP="00E7557A">
      <w:pPr>
        <w:numPr>
          <w:ilvl w:val="2"/>
          <w:numId w:val="97"/>
        </w:numPr>
        <w:tabs>
          <w:tab w:val="left" w:pos="1273"/>
          <w:tab w:val="left" w:pos="1274"/>
        </w:tabs>
        <w:spacing w:before="122" w:line="276" w:lineRule="auto"/>
        <w:ind w:right="68"/>
        <w:jc w:val="both"/>
        <w:rPr>
          <w:rFonts w:ascii="Arial" w:hAnsi="Arial" w:cs="Arial"/>
          <w:sz w:val="20"/>
          <w:szCs w:val="20"/>
        </w:rPr>
      </w:pPr>
      <w:r w:rsidRPr="00AE4B21">
        <w:rPr>
          <w:rFonts w:ascii="Arial" w:hAnsi="Arial" w:cs="Arial"/>
          <w:sz w:val="20"/>
          <w:szCs w:val="20"/>
        </w:rPr>
        <w:t xml:space="preserve">the applicable EU safety regulations and any associated requirements and </w:t>
      </w:r>
      <w:r w:rsidRPr="00AE4B21">
        <w:rPr>
          <w:rFonts w:ascii="Arial" w:hAnsi="Arial" w:cs="Arial"/>
          <w:sz w:val="20"/>
          <w:szCs w:val="20"/>
        </w:rPr>
        <w:lastRenderedPageBreak/>
        <w:t>procedures; and</w:t>
      </w:r>
    </w:p>
    <w:p w14:paraId="653D99BA" w14:textId="77777777" w:rsidR="00AE4B21" w:rsidRPr="00AE4B21" w:rsidRDefault="00AE4B21" w:rsidP="009601C2">
      <w:pPr>
        <w:numPr>
          <w:ilvl w:val="2"/>
          <w:numId w:val="97"/>
        </w:numPr>
        <w:tabs>
          <w:tab w:val="left" w:pos="1273"/>
          <w:tab w:val="left" w:pos="1274"/>
        </w:tabs>
        <w:spacing w:before="122" w:line="276" w:lineRule="auto"/>
        <w:ind w:right="200"/>
        <w:jc w:val="both"/>
        <w:rPr>
          <w:rFonts w:ascii="Arial" w:hAnsi="Arial" w:cs="Arial"/>
          <w:sz w:val="20"/>
          <w:szCs w:val="20"/>
        </w:rPr>
      </w:pPr>
      <w:r w:rsidRPr="00AE4B21">
        <w:rPr>
          <w:rFonts w:ascii="Arial" w:hAnsi="Arial" w:cs="Arial"/>
          <w:sz w:val="20"/>
          <w:szCs w:val="20"/>
        </w:rPr>
        <w:t>the need for, and content of, the relevant parts of the operations manual; and</w:t>
      </w:r>
    </w:p>
    <w:p w14:paraId="073F5ADA" w14:textId="77777777" w:rsidR="00AE4B21" w:rsidRPr="00AE4B21" w:rsidRDefault="00AE4B21" w:rsidP="009601C2">
      <w:pPr>
        <w:numPr>
          <w:ilvl w:val="1"/>
          <w:numId w:val="97"/>
        </w:numPr>
        <w:tabs>
          <w:tab w:val="left" w:pos="1274"/>
        </w:tabs>
        <w:spacing w:before="122" w:line="276" w:lineRule="auto"/>
        <w:ind w:right="200"/>
        <w:jc w:val="both"/>
        <w:rPr>
          <w:rFonts w:ascii="Arial" w:hAnsi="Arial" w:cs="Arial"/>
          <w:sz w:val="20"/>
          <w:szCs w:val="20"/>
        </w:rPr>
      </w:pPr>
      <w:r w:rsidRPr="00AE4B21">
        <w:rPr>
          <w:rFonts w:ascii="Arial" w:hAnsi="Arial" w:cs="Arial"/>
          <w:sz w:val="20"/>
          <w:szCs w:val="20"/>
        </w:rPr>
        <w:t>3 years of relevant work experience.</w:t>
      </w:r>
    </w:p>
    <w:p w14:paraId="248D0E5A" w14:textId="77777777" w:rsidR="00AE4B21" w:rsidRPr="00AE4B21" w:rsidRDefault="00AE4B21" w:rsidP="009601C2">
      <w:pPr>
        <w:numPr>
          <w:ilvl w:val="0"/>
          <w:numId w:val="97"/>
        </w:numPr>
        <w:tabs>
          <w:tab w:val="left" w:pos="1273"/>
          <w:tab w:val="left" w:pos="1274"/>
        </w:tabs>
        <w:spacing w:before="122" w:line="276" w:lineRule="auto"/>
        <w:ind w:right="200"/>
        <w:jc w:val="both"/>
        <w:rPr>
          <w:rFonts w:ascii="Arial" w:hAnsi="Arial" w:cs="Arial"/>
          <w:sz w:val="20"/>
          <w:szCs w:val="20"/>
        </w:rPr>
      </w:pPr>
      <w:r w:rsidRPr="00AE4B21">
        <w:rPr>
          <w:rFonts w:ascii="Arial" w:hAnsi="Arial" w:cs="Arial"/>
          <w:sz w:val="20"/>
          <w:szCs w:val="20"/>
        </w:rPr>
        <w:t>Flight operations</w:t>
      </w:r>
    </w:p>
    <w:p w14:paraId="526C4C2A" w14:textId="77777777" w:rsidR="00AE4B21" w:rsidRPr="00AE4B21" w:rsidRDefault="00AE4B21" w:rsidP="009601C2">
      <w:pPr>
        <w:tabs>
          <w:tab w:val="left" w:pos="1273"/>
          <w:tab w:val="left" w:pos="1274"/>
        </w:tabs>
        <w:spacing w:before="122" w:line="276" w:lineRule="auto"/>
        <w:ind w:right="200"/>
        <w:jc w:val="both"/>
        <w:rPr>
          <w:rFonts w:ascii="Arial" w:hAnsi="Arial" w:cs="Arial"/>
          <w:sz w:val="20"/>
          <w:szCs w:val="20"/>
        </w:rPr>
      </w:pPr>
      <w:r w:rsidRPr="00AE4B21">
        <w:rPr>
          <w:rFonts w:ascii="Arial" w:hAnsi="Arial" w:cs="Arial"/>
          <w:sz w:val="20"/>
          <w:szCs w:val="20"/>
        </w:rPr>
        <w:t>The nominated person:</w:t>
      </w:r>
    </w:p>
    <w:p w14:paraId="1FB2CD50" w14:textId="77777777" w:rsidR="00AE4B21" w:rsidRPr="00AE4B21" w:rsidRDefault="00AE4B21" w:rsidP="009601C2">
      <w:pPr>
        <w:numPr>
          <w:ilvl w:val="1"/>
          <w:numId w:val="97"/>
        </w:numPr>
        <w:tabs>
          <w:tab w:val="left" w:pos="1274"/>
        </w:tabs>
        <w:spacing w:before="122" w:line="276" w:lineRule="auto"/>
        <w:ind w:right="200"/>
        <w:jc w:val="both"/>
        <w:rPr>
          <w:rFonts w:ascii="Arial" w:hAnsi="Arial" w:cs="Arial"/>
          <w:sz w:val="20"/>
          <w:szCs w:val="20"/>
        </w:rPr>
      </w:pPr>
      <w:r w:rsidRPr="00AE4B21">
        <w:rPr>
          <w:rFonts w:ascii="Arial" w:hAnsi="Arial" w:cs="Arial"/>
          <w:sz w:val="20"/>
          <w:szCs w:val="20"/>
        </w:rPr>
        <w:t>holds or has held a valid flight crew licence and the associated ratings appropriate to the relevant type of operation; or</w:t>
      </w:r>
    </w:p>
    <w:p w14:paraId="297B38AD" w14:textId="77777777" w:rsidR="00AE4B21" w:rsidRPr="00AE4B21" w:rsidRDefault="00AE4B21" w:rsidP="009601C2">
      <w:pPr>
        <w:numPr>
          <w:ilvl w:val="1"/>
          <w:numId w:val="97"/>
        </w:numPr>
        <w:tabs>
          <w:tab w:val="left" w:pos="1274"/>
        </w:tabs>
        <w:spacing w:before="122" w:line="276" w:lineRule="auto"/>
        <w:ind w:right="200"/>
        <w:jc w:val="both"/>
        <w:rPr>
          <w:rFonts w:ascii="Arial" w:hAnsi="Arial" w:cs="Arial"/>
          <w:sz w:val="20"/>
          <w:szCs w:val="20"/>
        </w:rPr>
      </w:pPr>
      <w:r w:rsidRPr="00AE4B21">
        <w:rPr>
          <w:rFonts w:ascii="Arial" w:hAnsi="Arial" w:cs="Arial"/>
          <w:sz w:val="20"/>
          <w:szCs w:val="20"/>
        </w:rPr>
        <w:t>has demonstrated in another manner thorough knowledge of the relevant flight operations.</w:t>
      </w:r>
    </w:p>
    <w:p w14:paraId="773A0AAE" w14:textId="77777777" w:rsidR="00AE4B21" w:rsidRPr="00AE4B21" w:rsidRDefault="00AE4B21" w:rsidP="009601C2">
      <w:pPr>
        <w:numPr>
          <w:ilvl w:val="0"/>
          <w:numId w:val="97"/>
        </w:numPr>
        <w:tabs>
          <w:tab w:val="left" w:pos="1273"/>
          <w:tab w:val="left" w:pos="1274"/>
        </w:tabs>
        <w:spacing w:before="122" w:line="276" w:lineRule="auto"/>
        <w:ind w:right="200"/>
        <w:jc w:val="both"/>
        <w:rPr>
          <w:rFonts w:ascii="Arial" w:hAnsi="Arial" w:cs="Arial"/>
          <w:sz w:val="20"/>
          <w:szCs w:val="20"/>
        </w:rPr>
      </w:pPr>
      <w:r w:rsidRPr="00AE4B21">
        <w:rPr>
          <w:rFonts w:ascii="Arial" w:hAnsi="Arial" w:cs="Arial"/>
          <w:sz w:val="20"/>
          <w:szCs w:val="20"/>
        </w:rPr>
        <w:t>Ground operations</w:t>
      </w:r>
    </w:p>
    <w:p w14:paraId="08B89A25" w14:textId="77777777" w:rsidR="00AE4B21" w:rsidRPr="00AE4B21" w:rsidRDefault="00AE4B21" w:rsidP="009601C2">
      <w:pPr>
        <w:tabs>
          <w:tab w:val="left" w:pos="1273"/>
          <w:tab w:val="left" w:pos="1274"/>
        </w:tabs>
        <w:spacing w:before="122" w:line="276" w:lineRule="auto"/>
        <w:ind w:right="200"/>
        <w:jc w:val="both"/>
        <w:rPr>
          <w:rFonts w:ascii="Arial" w:hAnsi="Arial" w:cs="Arial"/>
          <w:sz w:val="20"/>
          <w:szCs w:val="20"/>
        </w:rPr>
      </w:pPr>
      <w:r w:rsidRPr="00AE4B21">
        <w:rPr>
          <w:rFonts w:ascii="Arial" w:hAnsi="Arial" w:cs="Arial"/>
          <w:sz w:val="20"/>
          <w:szCs w:val="20"/>
        </w:rPr>
        <w:t>The nominated person has a thorough knowledge of the operator’s ground operations concept.</w:t>
      </w:r>
    </w:p>
    <w:p w14:paraId="2CFE2455" w14:textId="77777777" w:rsidR="00AE4B21" w:rsidRPr="00AE4B21" w:rsidRDefault="00AE4B21" w:rsidP="009601C2">
      <w:pPr>
        <w:numPr>
          <w:ilvl w:val="0"/>
          <w:numId w:val="97"/>
        </w:numPr>
        <w:tabs>
          <w:tab w:val="left" w:pos="1273"/>
          <w:tab w:val="left" w:pos="1274"/>
        </w:tabs>
        <w:spacing w:before="122" w:line="276" w:lineRule="auto"/>
        <w:ind w:right="200"/>
        <w:jc w:val="both"/>
        <w:rPr>
          <w:rFonts w:ascii="Arial" w:hAnsi="Arial" w:cs="Arial"/>
          <w:sz w:val="20"/>
          <w:szCs w:val="20"/>
        </w:rPr>
      </w:pPr>
      <w:r w:rsidRPr="00AE4B21">
        <w:rPr>
          <w:rFonts w:ascii="Arial" w:hAnsi="Arial" w:cs="Arial"/>
          <w:sz w:val="20"/>
          <w:szCs w:val="20"/>
        </w:rPr>
        <w:t>Continuing airworthiness</w:t>
      </w:r>
    </w:p>
    <w:p w14:paraId="2CC48EC5" w14:textId="7842F5E7" w:rsidR="00AE4B21" w:rsidRPr="00AE4B21" w:rsidRDefault="00AE4B21" w:rsidP="009601C2">
      <w:pPr>
        <w:tabs>
          <w:tab w:val="left" w:pos="1273"/>
          <w:tab w:val="left" w:pos="1274"/>
        </w:tabs>
        <w:spacing w:before="122" w:line="276" w:lineRule="auto"/>
        <w:ind w:right="200"/>
        <w:jc w:val="both"/>
        <w:rPr>
          <w:rFonts w:ascii="Arial" w:hAnsi="Arial" w:cs="Arial"/>
          <w:sz w:val="20"/>
          <w:szCs w:val="20"/>
        </w:rPr>
      </w:pPr>
      <w:r w:rsidRPr="00AE4B21">
        <w:rPr>
          <w:rFonts w:ascii="Arial" w:hAnsi="Arial" w:cs="Arial"/>
          <w:sz w:val="20"/>
          <w:szCs w:val="20"/>
        </w:rPr>
        <w:t xml:space="preserve">The nominated person has the relevant knowledge and meets the appropriate experience requirements related to balloon continuing airworthiness as detailed in </w:t>
      </w:r>
      <w:hyperlink r:id="rId66" w:history="1">
        <w:r w:rsidR="004F7844">
          <w:rPr>
            <w:rStyle w:val="Hyperlink"/>
            <w:rFonts w:ascii="Arial" w:hAnsi="Arial" w:cs="Arial"/>
            <w:sz w:val="20"/>
            <w:szCs w:val="20"/>
          </w:rPr>
          <w:t>the order N 10-N of the Minister of Territorial Administration and Infrastructure of RA, dated 01.06.2022</w:t>
        </w:r>
      </w:hyperlink>
    </w:p>
    <w:p w14:paraId="0BA5F6C2" w14:textId="77777777" w:rsidR="00AE4B21" w:rsidRPr="00AE4B21" w:rsidRDefault="00AE4B21"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413" w:name="_Toc153137335"/>
      <w:r w:rsidRPr="00AE4B21">
        <w:rPr>
          <w:rFonts w:ascii="Arial" w:eastAsia="Times New Roman" w:hAnsi="Arial" w:cs="Times New Roman"/>
          <w:b/>
          <w:iCs/>
          <w:color w:val="FFFFFF"/>
          <w:sz w:val="24"/>
        </w:rPr>
        <w:t>BOP.ADD.045 Facility requirements</w:t>
      </w:r>
      <w:bookmarkEnd w:id="413"/>
      <w:r w:rsidRPr="00AE4B21">
        <w:rPr>
          <w:rFonts w:ascii="Arial" w:eastAsia="Times New Roman" w:hAnsi="Arial" w:cs="Times New Roman"/>
          <w:b/>
          <w:iCs/>
          <w:color w:val="FFFFFF"/>
          <w:sz w:val="24"/>
        </w:rPr>
        <w:tab/>
      </w:r>
    </w:p>
    <w:p w14:paraId="78F8261F" w14:textId="0E68C644" w:rsidR="005E6455" w:rsidRDefault="00AE4B21" w:rsidP="00E7557A">
      <w:pPr>
        <w:tabs>
          <w:tab w:val="left" w:pos="1273"/>
          <w:tab w:val="left" w:pos="1274"/>
        </w:tabs>
        <w:spacing w:before="122" w:line="276" w:lineRule="auto"/>
        <w:ind w:right="68"/>
        <w:jc w:val="both"/>
        <w:rPr>
          <w:rFonts w:ascii="Arial" w:hAnsi="Arial" w:cs="Arial"/>
          <w:sz w:val="20"/>
          <w:szCs w:val="20"/>
        </w:rPr>
      </w:pPr>
      <w:r w:rsidRPr="00AE4B21">
        <w:rPr>
          <w:rFonts w:ascii="Arial" w:hAnsi="Arial" w:cs="Arial"/>
          <w:sz w:val="20"/>
          <w:szCs w:val="20"/>
        </w:rPr>
        <w:t xml:space="preserve">The operator shall have facilities that are sufficient to allow the performance and management of all tasks and activities required to ensure compliance with the essential requirements set out in </w:t>
      </w:r>
      <w:hyperlink r:id="rId67" w:history="1">
        <w:r w:rsidR="005C2A3C" w:rsidRPr="004073D2">
          <w:rPr>
            <w:rStyle w:val="Hyperlink"/>
            <w:rFonts w:ascii="Arial" w:hAnsi="Arial" w:cs="Arial"/>
            <w:sz w:val="20"/>
            <w:szCs w:val="20"/>
          </w:rPr>
          <w:t>Law on Aviation of the Republic of Armenia</w:t>
        </w:r>
      </w:hyperlink>
      <w:r w:rsidRPr="00AE4B21">
        <w:rPr>
          <w:rFonts w:ascii="Arial" w:hAnsi="Arial" w:cs="Arial"/>
          <w:sz w:val="20"/>
          <w:szCs w:val="20"/>
        </w:rPr>
        <w:t xml:space="preserve"> and with the requirements of this Regulation</w:t>
      </w:r>
      <w:r w:rsidR="00624F46">
        <w:rPr>
          <w:rFonts w:ascii="Arial" w:hAnsi="Arial" w:cs="Arial"/>
          <w:sz w:val="20"/>
          <w:szCs w:val="20"/>
        </w:rPr>
        <w:t>.</w:t>
      </w:r>
    </w:p>
    <w:p w14:paraId="62DB758F" w14:textId="77777777" w:rsidR="005F1AA1" w:rsidRDefault="005F1AA1" w:rsidP="009601C2">
      <w:pPr>
        <w:tabs>
          <w:tab w:val="left" w:pos="1273"/>
          <w:tab w:val="left" w:pos="1274"/>
        </w:tabs>
        <w:spacing w:before="122" w:line="276" w:lineRule="auto"/>
        <w:ind w:right="200"/>
        <w:rPr>
          <w:rFonts w:ascii="Arial" w:hAnsi="Arial" w:cs="Arial"/>
          <w:sz w:val="20"/>
          <w:szCs w:val="20"/>
        </w:rPr>
      </w:pPr>
    </w:p>
    <w:p w14:paraId="1839EA5C" w14:textId="77777777" w:rsidR="005F1AA1" w:rsidRDefault="005F1AA1" w:rsidP="009601C2">
      <w:pPr>
        <w:tabs>
          <w:tab w:val="left" w:pos="1273"/>
          <w:tab w:val="left" w:pos="1274"/>
        </w:tabs>
        <w:spacing w:before="122" w:line="276" w:lineRule="auto"/>
        <w:ind w:right="200"/>
        <w:rPr>
          <w:rFonts w:ascii="Arial" w:hAnsi="Arial" w:cs="Arial"/>
          <w:sz w:val="20"/>
          <w:szCs w:val="20"/>
        </w:rPr>
      </w:pPr>
    </w:p>
    <w:p w14:paraId="00E0851F" w14:textId="1A417958" w:rsidR="005F1AA1" w:rsidRDefault="005F1AA1" w:rsidP="009601C2">
      <w:pPr>
        <w:tabs>
          <w:tab w:val="left" w:pos="1273"/>
          <w:tab w:val="left" w:pos="1274"/>
        </w:tabs>
        <w:spacing w:before="122" w:line="276" w:lineRule="auto"/>
        <w:ind w:right="200"/>
        <w:rPr>
          <w:rFonts w:ascii="Arial" w:hAnsi="Arial" w:cs="Arial"/>
          <w:sz w:val="20"/>
          <w:szCs w:val="20"/>
        </w:rPr>
      </w:pPr>
    </w:p>
    <w:p w14:paraId="5CD8D419" w14:textId="054DA697" w:rsidR="00E7557A" w:rsidRDefault="00E7557A" w:rsidP="009601C2">
      <w:pPr>
        <w:tabs>
          <w:tab w:val="left" w:pos="1273"/>
          <w:tab w:val="left" w:pos="1274"/>
        </w:tabs>
        <w:spacing w:before="122" w:line="276" w:lineRule="auto"/>
        <w:ind w:right="200"/>
        <w:rPr>
          <w:rFonts w:ascii="Arial" w:hAnsi="Arial" w:cs="Arial"/>
          <w:sz w:val="20"/>
          <w:szCs w:val="20"/>
        </w:rPr>
      </w:pPr>
    </w:p>
    <w:p w14:paraId="0EFCAABA" w14:textId="0E2E5A12" w:rsidR="00E7557A" w:rsidRDefault="00E7557A" w:rsidP="009601C2">
      <w:pPr>
        <w:tabs>
          <w:tab w:val="left" w:pos="1273"/>
          <w:tab w:val="left" w:pos="1274"/>
        </w:tabs>
        <w:spacing w:before="122" w:line="276" w:lineRule="auto"/>
        <w:ind w:right="200"/>
        <w:rPr>
          <w:rFonts w:ascii="Arial" w:hAnsi="Arial" w:cs="Arial"/>
          <w:sz w:val="20"/>
          <w:szCs w:val="20"/>
        </w:rPr>
      </w:pPr>
    </w:p>
    <w:p w14:paraId="2342165E" w14:textId="3960E5F9" w:rsidR="00E7557A" w:rsidRDefault="00E7557A" w:rsidP="009601C2">
      <w:pPr>
        <w:tabs>
          <w:tab w:val="left" w:pos="1273"/>
          <w:tab w:val="left" w:pos="1274"/>
        </w:tabs>
        <w:spacing w:before="122" w:line="276" w:lineRule="auto"/>
        <w:ind w:right="200"/>
        <w:rPr>
          <w:rFonts w:ascii="Arial" w:hAnsi="Arial" w:cs="Arial"/>
          <w:sz w:val="20"/>
          <w:szCs w:val="20"/>
        </w:rPr>
      </w:pPr>
    </w:p>
    <w:p w14:paraId="5563426B" w14:textId="5BF7EF37" w:rsidR="00E7557A" w:rsidRDefault="00E7557A" w:rsidP="009601C2">
      <w:pPr>
        <w:tabs>
          <w:tab w:val="left" w:pos="1273"/>
          <w:tab w:val="left" w:pos="1274"/>
        </w:tabs>
        <w:spacing w:before="122" w:line="276" w:lineRule="auto"/>
        <w:ind w:right="200"/>
        <w:rPr>
          <w:rFonts w:ascii="Arial" w:hAnsi="Arial" w:cs="Arial"/>
          <w:sz w:val="20"/>
          <w:szCs w:val="20"/>
        </w:rPr>
      </w:pPr>
    </w:p>
    <w:p w14:paraId="51A103D8" w14:textId="291D60C5" w:rsidR="00E7557A" w:rsidRDefault="00E7557A" w:rsidP="009601C2">
      <w:pPr>
        <w:tabs>
          <w:tab w:val="left" w:pos="1273"/>
          <w:tab w:val="left" w:pos="1274"/>
        </w:tabs>
        <w:spacing w:before="122" w:line="276" w:lineRule="auto"/>
        <w:ind w:right="200"/>
        <w:rPr>
          <w:rFonts w:ascii="Arial" w:hAnsi="Arial" w:cs="Arial"/>
          <w:sz w:val="20"/>
          <w:szCs w:val="20"/>
        </w:rPr>
      </w:pPr>
    </w:p>
    <w:p w14:paraId="67161D3C" w14:textId="566C856D" w:rsidR="00E7557A" w:rsidRDefault="00E7557A" w:rsidP="009601C2">
      <w:pPr>
        <w:tabs>
          <w:tab w:val="left" w:pos="1273"/>
          <w:tab w:val="left" w:pos="1274"/>
        </w:tabs>
        <w:spacing w:before="122" w:line="276" w:lineRule="auto"/>
        <w:ind w:right="200"/>
        <w:rPr>
          <w:rFonts w:ascii="Arial" w:hAnsi="Arial" w:cs="Arial"/>
          <w:sz w:val="20"/>
          <w:szCs w:val="20"/>
        </w:rPr>
      </w:pPr>
    </w:p>
    <w:p w14:paraId="1C477F64" w14:textId="7DEEDC2B" w:rsidR="00E7557A" w:rsidRDefault="00E7557A" w:rsidP="009601C2">
      <w:pPr>
        <w:tabs>
          <w:tab w:val="left" w:pos="1273"/>
          <w:tab w:val="left" w:pos="1274"/>
        </w:tabs>
        <w:spacing w:before="122" w:line="276" w:lineRule="auto"/>
        <w:ind w:right="200"/>
        <w:rPr>
          <w:rFonts w:ascii="Arial" w:hAnsi="Arial" w:cs="Arial"/>
          <w:sz w:val="20"/>
          <w:szCs w:val="20"/>
        </w:rPr>
      </w:pPr>
    </w:p>
    <w:p w14:paraId="4F814A57" w14:textId="2E0DDB06" w:rsidR="00E7557A" w:rsidRDefault="00E7557A" w:rsidP="009601C2">
      <w:pPr>
        <w:tabs>
          <w:tab w:val="left" w:pos="1273"/>
          <w:tab w:val="left" w:pos="1274"/>
        </w:tabs>
        <w:spacing w:before="122" w:line="276" w:lineRule="auto"/>
        <w:ind w:right="200"/>
        <w:rPr>
          <w:rFonts w:ascii="Arial" w:hAnsi="Arial" w:cs="Arial"/>
          <w:sz w:val="20"/>
          <w:szCs w:val="20"/>
        </w:rPr>
      </w:pPr>
    </w:p>
    <w:p w14:paraId="649852D7" w14:textId="42AEDDE5" w:rsidR="00E7557A" w:rsidRDefault="00E7557A" w:rsidP="009601C2">
      <w:pPr>
        <w:tabs>
          <w:tab w:val="left" w:pos="1273"/>
          <w:tab w:val="left" w:pos="1274"/>
        </w:tabs>
        <w:spacing w:before="122" w:line="276" w:lineRule="auto"/>
        <w:ind w:right="200"/>
        <w:rPr>
          <w:rFonts w:ascii="Arial" w:hAnsi="Arial" w:cs="Arial"/>
          <w:sz w:val="20"/>
          <w:szCs w:val="20"/>
        </w:rPr>
      </w:pPr>
    </w:p>
    <w:p w14:paraId="49836139" w14:textId="5035A90A" w:rsidR="00E7557A" w:rsidRDefault="00E7557A" w:rsidP="009601C2">
      <w:pPr>
        <w:tabs>
          <w:tab w:val="left" w:pos="1273"/>
          <w:tab w:val="left" w:pos="1274"/>
        </w:tabs>
        <w:spacing w:before="122" w:line="276" w:lineRule="auto"/>
        <w:ind w:right="200"/>
        <w:rPr>
          <w:rFonts w:ascii="Arial" w:hAnsi="Arial" w:cs="Arial"/>
          <w:sz w:val="20"/>
          <w:szCs w:val="20"/>
        </w:rPr>
      </w:pPr>
    </w:p>
    <w:p w14:paraId="35A2BC99" w14:textId="3F2A1CDD" w:rsidR="00E7557A" w:rsidRDefault="00E7557A" w:rsidP="009601C2">
      <w:pPr>
        <w:tabs>
          <w:tab w:val="left" w:pos="1273"/>
          <w:tab w:val="left" w:pos="1274"/>
        </w:tabs>
        <w:spacing w:before="122" w:line="276" w:lineRule="auto"/>
        <w:ind w:right="200"/>
        <w:rPr>
          <w:rFonts w:ascii="Arial" w:hAnsi="Arial" w:cs="Arial"/>
          <w:sz w:val="20"/>
          <w:szCs w:val="20"/>
        </w:rPr>
      </w:pPr>
    </w:p>
    <w:p w14:paraId="4DA2179C" w14:textId="5E70A6E5" w:rsidR="00E7557A" w:rsidRDefault="00E7557A" w:rsidP="009601C2">
      <w:pPr>
        <w:tabs>
          <w:tab w:val="left" w:pos="1273"/>
          <w:tab w:val="left" w:pos="1274"/>
        </w:tabs>
        <w:spacing w:before="122" w:line="276" w:lineRule="auto"/>
        <w:ind w:right="200"/>
        <w:rPr>
          <w:rFonts w:ascii="Arial" w:hAnsi="Arial" w:cs="Arial"/>
          <w:sz w:val="20"/>
          <w:szCs w:val="20"/>
        </w:rPr>
      </w:pPr>
    </w:p>
    <w:p w14:paraId="22BF7643" w14:textId="26289E5D" w:rsidR="00E7557A" w:rsidRDefault="00E7557A" w:rsidP="009601C2">
      <w:pPr>
        <w:tabs>
          <w:tab w:val="left" w:pos="1273"/>
          <w:tab w:val="left" w:pos="1274"/>
        </w:tabs>
        <w:spacing w:before="122" w:line="276" w:lineRule="auto"/>
        <w:ind w:right="200"/>
        <w:rPr>
          <w:rFonts w:ascii="Arial" w:hAnsi="Arial" w:cs="Arial"/>
          <w:sz w:val="20"/>
          <w:szCs w:val="20"/>
        </w:rPr>
      </w:pPr>
    </w:p>
    <w:p w14:paraId="7F502E32" w14:textId="77777777" w:rsidR="00E7557A" w:rsidRDefault="00E7557A" w:rsidP="009601C2">
      <w:pPr>
        <w:tabs>
          <w:tab w:val="left" w:pos="1273"/>
          <w:tab w:val="left" w:pos="1274"/>
        </w:tabs>
        <w:spacing w:before="122" w:line="276" w:lineRule="auto"/>
        <w:ind w:right="200"/>
        <w:rPr>
          <w:rFonts w:ascii="Arial" w:hAnsi="Arial" w:cs="Arial"/>
          <w:sz w:val="20"/>
          <w:szCs w:val="20"/>
        </w:rPr>
      </w:pPr>
    </w:p>
    <w:p w14:paraId="4ECB832A" w14:textId="77777777" w:rsidR="005F1AA1" w:rsidRDefault="005F1AA1" w:rsidP="009601C2">
      <w:pPr>
        <w:tabs>
          <w:tab w:val="left" w:pos="1273"/>
          <w:tab w:val="left" w:pos="1274"/>
        </w:tabs>
        <w:spacing w:before="122" w:line="276" w:lineRule="auto"/>
        <w:ind w:right="200"/>
        <w:rPr>
          <w:rFonts w:ascii="Arial" w:hAnsi="Arial" w:cs="Arial"/>
          <w:sz w:val="20"/>
          <w:szCs w:val="20"/>
        </w:rPr>
      </w:pPr>
    </w:p>
    <w:p w14:paraId="7073CB4E" w14:textId="77777777" w:rsidR="005F1AA1" w:rsidRPr="00FA7754" w:rsidRDefault="005F1AA1" w:rsidP="009601C2">
      <w:pPr>
        <w:keepNext/>
        <w:keepLines/>
        <w:spacing w:before="40" w:line="276" w:lineRule="auto"/>
        <w:jc w:val="center"/>
        <w:outlineLvl w:val="3"/>
        <w:rPr>
          <w:rFonts w:ascii="Arial" w:eastAsiaTheme="majorEastAsia" w:hAnsi="Arial" w:cs="Arial"/>
          <w:b/>
          <w:iCs/>
          <w:color w:val="2E74B5" w:themeColor="accent1" w:themeShade="BF"/>
          <w:sz w:val="24"/>
          <w:szCs w:val="24"/>
        </w:rPr>
      </w:pPr>
      <w:bookmarkStart w:id="414" w:name="_Toc153137336"/>
      <w:r w:rsidRPr="00FA7754">
        <w:rPr>
          <w:rFonts w:ascii="Arial" w:eastAsiaTheme="majorEastAsia" w:hAnsi="Arial" w:cs="Arial"/>
          <w:b/>
          <w:iCs/>
          <w:color w:val="2E74B5" w:themeColor="accent1" w:themeShade="BF"/>
          <w:sz w:val="24"/>
          <w:szCs w:val="24"/>
        </w:rPr>
        <w:lastRenderedPageBreak/>
        <w:t>SECTION 2 – DECLARATION, AIRWORTHINESS AND WET AND DRY LEASE</w:t>
      </w:r>
      <w:bookmarkEnd w:id="414"/>
    </w:p>
    <w:p w14:paraId="254B6281" w14:textId="77777777" w:rsidR="005F1AA1" w:rsidRPr="00624F46" w:rsidRDefault="005F1AA1"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415" w:name="BOP.ADD.100_Declaration"/>
      <w:bookmarkStart w:id="416" w:name="_bookmark172"/>
      <w:bookmarkStart w:id="417" w:name="_Toc153137337"/>
      <w:bookmarkEnd w:id="415"/>
      <w:bookmarkEnd w:id="416"/>
      <w:r w:rsidRPr="00624F46">
        <w:rPr>
          <w:rFonts w:ascii="Arial" w:eastAsia="Times New Roman" w:hAnsi="Arial" w:cs="Times New Roman"/>
          <w:b/>
          <w:iCs/>
          <w:color w:val="FFFFFF"/>
          <w:sz w:val="24"/>
        </w:rPr>
        <w:t>BOP.ADD.100 Declaration</w:t>
      </w:r>
      <w:bookmarkEnd w:id="417"/>
    </w:p>
    <w:p w14:paraId="580EA962" w14:textId="29349E10" w:rsidR="005F1AA1" w:rsidRPr="00CE13DE" w:rsidRDefault="005F1AA1" w:rsidP="00534ACB">
      <w:pPr>
        <w:numPr>
          <w:ilvl w:val="0"/>
          <w:numId w:val="98"/>
        </w:numPr>
        <w:tabs>
          <w:tab w:val="left" w:pos="1273"/>
          <w:tab w:val="left" w:pos="1274"/>
        </w:tabs>
        <w:spacing w:before="122" w:line="276" w:lineRule="auto"/>
        <w:ind w:right="68"/>
        <w:jc w:val="both"/>
        <w:rPr>
          <w:rFonts w:ascii="Arial" w:hAnsi="Arial" w:cs="Arial"/>
          <w:sz w:val="20"/>
          <w:szCs w:val="20"/>
        </w:rPr>
      </w:pPr>
      <w:r w:rsidRPr="00624F46">
        <w:rPr>
          <w:rFonts w:ascii="Arial" w:hAnsi="Arial" w:cs="Arial"/>
          <w:sz w:val="20"/>
          <w:szCs w:val="20"/>
        </w:rPr>
        <w:t xml:space="preserve">In the declaration referred to in the second subparagraph of </w:t>
      </w:r>
      <w:r w:rsidRPr="008653D3">
        <w:rPr>
          <w:rFonts w:ascii="Arial" w:hAnsi="Arial" w:cs="Arial"/>
          <w:sz w:val="20"/>
          <w:szCs w:val="20"/>
        </w:rPr>
        <w:t>Article 3(2)</w:t>
      </w:r>
      <w:r w:rsidRPr="00624F46">
        <w:rPr>
          <w:rFonts w:ascii="Arial" w:hAnsi="Arial" w:cs="Arial"/>
          <w:sz w:val="20"/>
          <w:szCs w:val="20"/>
        </w:rPr>
        <w:t xml:space="preserve">, the operator shall confirm that it complies and will continue to comply with the essential requirements set out in </w:t>
      </w:r>
      <w:hyperlink r:id="rId68" w:history="1">
        <w:r w:rsidR="005C2A3C" w:rsidRPr="004073D2">
          <w:rPr>
            <w:rStyle w:val="Hyperlink"/>
            <w:rFonts w:ascii="Arial" w:hAnsi="Arial" w:cs="Arial"/>
            <w:sz w:val="20"/>
            <w:szCs w:val="20"/>
          </w:rPr>
          <w:t>Law on Aviation of the Republic of Armenia</w:t>
        </w:r>
      </w:hyperlink>
      <w:r w:rsidR="005C2A3C">
        <w:rPr>
          <w:rFonts w:ascii="Arial" w:hAnsi="Arial" w:cs="Arial"/>
          <w:sz w:val="20"/>
          <w:szCs w:val="20"/>
        </w:rPr>
        <w:t xml:space="preserve"> </w:t>
      </w:r>
      <w:r w:rsidRPr="00CE13DE">
        <w:rPr>
          <w:rFonts w:ascii="Arial" w:hAnsi="Arial" w:cs="Arial"/>
          <w:sz w:val="20"/>
          <w:szCs w:val="20"/>
        </w:rPr>
        <w:t>and with the requirements of this Regulation.</w:t>
      </w:r>
    </w:p>
    <w:p w14:paraId="4584E91F" w14:textId="77777777" w:rsidR="005F1AA1" w:rsidRPr="00624F46" w:rsidRDefault="005F1AA1" w:rsidP="00534ACB">
      <w:pPr>
        <w:numPr>
          <w:ilvl w:val="0"/>
          <w:numId w:val="98"/>
        </w:numPr>
        <w:tabs>
          <w:tab w:val="left" w:pos="1273"/>
          <w:tab w:val="left" w:pos="1274"/>
        </w:tabs>
        <w:spacing w:before="122" w:line="276" w:lineRule="auto"/>
        <w:ind w:right="68"/>
        <w:jc w:val="both"/>
        <w:rPr>
          <w:rFonts w:ascii="Arial" w:hAnsi="Arial" w:cs="Arial"/>
          <w:sz w:val="20"/>
          <w:szCs w:val="20"/>
        </w:rPr>
      </w:pPr>
      <w:r w:rsidRPr="00624F46">
        <w:rPr>
          <w:rFonts w:ascii="Arial" w:hAnsi="Arial" w:cs="Arial"/>
          <w:sz w:val="20"/>
          <w:szCs w:val="20"/>
        </w:rPr>
        <w:t>The operator shall include in the declaration all of the following information:</w:t>
      </w:r>
    </w:p>
    <w:p w14:paraId="16F01FE8" w14:textId="77777777" w:rsidR="005F1AA1" w:rsidRPr="00624F46" w:rsidRDefault="005F1AA1" w:rsidP="00534ACB">
      <w:pPr>
        <w:numPr>
          <w:ilvl w:val="1"/>
          <w:numId w:val="98"/>
        </w:numPr>
        <w:tabs>
          <w:tab w:val="left" w:pos="1273"/>
          <w:tab w:val="left" w:pos="1274"/>
        </w:tabs>
        <w:spacing w:before="122" w:line="276" w:lineRule="auto"/>
        <w:ind w:right="68"/>
        <w:jc w:val="both"/>
        <w:rPr>
          <w:rFonts w:ascii="Arial" w:hAnsi="Arial" w:cs="Arial"/>
          <w:sz w:val="20"/>
          <w:szCs w:val="20"/>
        </w:rPr>
      </w:pPr>
      <w:r w:rsidRPr="00624F46">
        <w:rPr>
          <w:rFonts w:ascii="Arial" w:hAnsi="Arial" w:cs="Arial"/>
          <w:sz w:val="20"/>
          <w:szCs w:val="20"/>
        </w:rPr>
        <w:t>the name of the operator;</w:t>
      </w:r>
    </w:p>
    <w:p w14:paraId="1504D25D" w14:textId="77777777" w:rsidR="005F1AA1" w:rsidRPr="00624F46" w:rsidRDefault="005F1AA1" w:rsidP="00534ACB">
      <w:pPr>
        <w:numPr>
          <w:ilvl w:val="1"/>
          <w:numId w:val="98"/>
        </w:numPr>
        <w:tabs>
          <w:tab w:val="left" w:pos="1273"/>
          <w:tab w:val="left" w:pos="1274"/>
        </w:tabs>
        <w:spacing w:before="122" w:line="276" w:lineRule="auto"/>
        <w:ind w:right="68"/>
        <w:jc w:val="both"/>
        <w:rPr>
          <w:rFonts w:ascii="Arial" w:hAnsi="Arial" w:cs="Arial"/>
          <w:sz w:val="20"/>
          <w:szCs w:val="20"/>
        </w:rPr>
      </w:pPr>
      <w:r w:rsidRPr="00624F46">
        <w:rPr>
          <w:rFonts w:ascii="Arial" w:hAnsi="Arial" w:cs="Arial"/>
          <w:sz w:val="20"/>
          <w:szCs w:val="20"/>
        </w:rPr>
        <w:t>the place where the operator has its principal place of business;</w:t>
      </w:r>
    </w:p>
    <w:p w14:paraId="7506ED68" w14:textId="77777777" w:rsidR="005F1AA1" w:rsidRPr="00624F46" w:rsidRDefault="005F1AA1" w:rsidP="00534ACB">
      <w:pPr>
        <w:numPr>
          <w:ilvl w:val="1"/>
          <w:numId w:val="98"/>
        </w:numPr>
        <w:tabs>
          <w:tab w:val="left" w:pos="1273"/>
          <w:tab w:val="left" w:pos="1274"/>
        </w:tabs>
        <w:spacing w:before="122" w:line="276" w:lineRule="auto"/>
        <w:ind w:right="68"/>
        <w:jc w:val="both"/>
        <w:rPr>
          <w:rFonts w:ascii="Arial" w:hAnsi="Arial" w:cs="Arial"/>
          <w:sz w:val="20"/>
          <w:szCs w:val="20"/>
        </w:rPr>
      </w:pPr>
      <w:r w:rsidRPr="00624F46">
        <w:rPr>
          <w:rFonts w:ascii="Arial" w:hAnsi="Arial" w:cs="Arial"/>
          <w:sz w:val="20"/>
          <w:szCs w:val="20"/>
        </w:rPr>
        <w:t>the name and contact details of the accountable manager of the operator;</w:t>
      </w:r>
    </w:p>
    <w:p w14:paraId="25CEB4C1" w14:textId="77777777" w:rsidR="005F1AA1" w:rsidRPr="00624F46" w:rsidRDefault="005F1AA1" w:rsidP="00534ACB">
      <w:pPr>
        <w:numPr>
          <w:ilvl w:val="1"/>
          <w:numId w:val="98"/>
        </w:numPr>
        <w:tabs>
          <w:tab w:val="left" w:pos="1274"/>
        </w:tabs>
        <w:spacing w:before="122" w:line="276" w:lineRule="auto"/>
        <w:ind w:right="68"/>
        <w:jc w:val="both"/>
        <w:rPr>
          <w:rFonts w:ascii="Arial" w:hAnsi="Arial" w:cs="Arial"/>
          <w:sz w:val="20"/>
          <w:szCs w:val="20"/>
        </w:rPr>
      </w:pPr>
      <w:r w:rsidRPr="00624F46">
        <w:rPr>
          <w:rFonts w:ascii="Arial" w:hAnsi="Arial" w:cs="Arial"/>
          <w:sz w:val="20"/>
          <w:szCs w:val="20"/>
        </w:rPr>
        <w:t>the starting date of the commercial operation and, where relevant, the date at which the change to an existing commercial operation takes effect;</w:t>
      </w:r>
    </w:p>
    <w:p w14:paraId="05F92144" w14:textId="77777777" w:rsidR="005F1AA1" w:rsidRPr="00624F46" w:rsidRDefault="005F1AA1" w:rsidP="00534ACB">
      <w:pPr>
        <w:numPr>
          <w:ilvl w:val="1"/>
          <w:numId w:val="98"/>
        </w:numPr>
        <w:tabs>
          <w:tab w:val="left" w:pos="1274"/>
        </w:tabs>
        <w:spacing w:before="122" w:line="276" w:lineRule="auto"/>
        <w:ind w:right="68"/>
        <w:jc w:val="both"/>
        <w:rPr>
          <w:rFonts w:ascii="Arial" w:hAnsi="Arial" w:cs="Arial"/>
          <w:sz w:val="20"/>
          <w:szCs w:val="20"/>
        </w:rPr>
      </w:pPr>
      <w:r w:rsidRPr="00624F46">
        <w:rPr>
          <w:rFonts w:ascii="Arial" w:hAnsi="Arial" w:cs="Arial"/>
          <w:sz w:val="20"/>
          <w:szCs w:val="20"/>
        </w:rPr>
        <w:t>in respect of all balloons used for the commercial operation, the balloon type, registration, main base, type of operation and continuing airworthiness management organisation.</w:t>
      </w:r>
    </w:p>
    <w:p w14:paraId="417DD651" w14:textId="53D2A8EB" w:rsidR="005F1AA1" w:rsidRPr="00624F46" w:rsidRDefault="005F1AA1" w:rsidP="00534ACB">
      <w:pPr>
        <w:numPr>
          <w:ilvl w:val="0"/>
          <w:numId w:val="98"/>
        </w:numPr>
        <w:tabs>
          <w:tab w:val="left" w:pos="1273"/>
          <w:tab w:val="left" w:pos="1274"/>
        </w:tabs>
        <w:spacing w:before="122" w:line="276" w:lineRule="auto"/>
        <w:ind w:right="68"/>
        <w:jc w:val="both"/>
        <w:rPr>
          <w:rFonts w:ascii="Arial" w:hAnsi="Arial" w:cs="Arial"/>
          <w:sz w:val="20"/>
          <w:szCs w:val="20"/>
        </w:rPr>
      </w:pPr>
      <w:r w:rsidRPr="00624F46">
        <w:rPr>
          <w:rFonts w:ascii="Arial" w:hAnsi="Arial" w:cs="Arial"/>
          <w:sz w:val="20"/>
          <w:szCs w:val="20"/>
        </w:rPr>
        <w:t xml:space="preserve">Where applicable, the operator shall annex to the declaration the list of alternative means of compliance (AltMoC), in accordance with point </w:t>
      </w:r>
      <w:r w:rsidRPr="008653D3">
        <w:rPr>
          <w:rFonts w:ascii="Arial" w:hAnsi="Arial" w:cs="Arial"/>
          <w:sz w:val="20"/>
          <w:szCs w:val="20"/>
        </w:rPr>
        <w:t>BOP.ADD.010</w:t>
      </w:r>
      <w:r w:rsidRPr="00624F46">
        <w:rPr>
          <w:rFonts w:ascii="Arial" w:hAnsi="Arial" w:cs="Arial"/>
          <w:sz w:val="20"/>
          <w:szCs w:val="20"/>
        </w:rPr>
        <w:t>.</w:t>
      </w:r>
    </w:p>
    <w:p w14:paraId="1393A623" w14:textId="66F645B2" w:rsidR="005F1AA1" w:rsidRPr="005F1AA1" w:rsidRDefault="005F1AA1" w:rsidP="00534ACB">
      <w:pPr>
        <w:numPr>
          <w:ilvl w:val="0"/>
          <w:numId w:val="98"/>
        </w:numPr>
        <w:tabs>
          <w:tab w:val="left" w:pos="1273"/>
          <w:tab w:val="left" w:pos="1274"/>
        </w:tabs>
        <w:spacing w:before="122" w:line="276" w:lineRule="auto"/>
        <w:ind w:right="68"/>
        <w:jc w:val="both"/>
        <w:rPr>
          <w:rFonts w:ascii="Arial" w:hAnsi="Arial" w:cs="Arial"/>
          <w:sz w:val="20"/>
          <w:szCs w:val="20"/>
        </w:rPr>
      </w:pPr>
      <w:r w:rsidRPr="00624F46">
        <w:rPr>
          <w:rFonts w:ascii="Arial" w:hAnsi="Arial" w:cs="Arial"/>
          <w:sz w:val="20"/>
          <w:szCs w:val="20"/>
        </w:rPr>
        <w:t xml:space="preserve">When making the declaration, the operator shall use the form contained in the </w:t>
      </w:r>
      <w:r w:rsidRPr="008653D3">
        <w:rPr>
          <w:rFonts w:ascii="Arial" w:hAnsi="Arial" w:cs="Arial"/>
          <w:sz w:val="20"/>
          <w:szCs w:val="20"/>
        </w:rPr>
        <w:t xml:space="preserve">Appendix </w:t>
      </w:r>
      <w:r w:rsidRPr="00624F46">
        <w:rPr>
          <w:rFonts w:ascii="Arial" w:hAnsi="Arial" w:cs="Arial"/>
          <w:sz w:val="20"/>
          <w:szCs w:val="20"/>
        </w:rPr>
        <w:t>to this Annex.</w:t>
      </w:r>
    </w:p>
    <w:p w14:paraId="225955D9" w14:textId="77777777" w:rsidR="0007612E" w:rsidRPr="0007612E" w:rsidRDefault="0007612E" w:rsidP="009601C2">
      <w:pPr>
        <w:keepNext/>
        <w:keepLines/>
        <w:widowControl/>
        <w:shd w:val="clear" w:color="auto" w:fill="339966"/>
        <w:autoSpaceDE/>
        <w:autoSpaceDN/>
        <w:spacing w:before="160" w:after="120" w:line="276" w:lineRule="auto"/>
        <w:jc w:val="both"/>
        <w:outlineLvl w:val="4"/>
        <w:rPr>
          <w:rFonts w:ascii="Arial" w:eastAsia="Times New Roman" w:hAnsi="Arial" w:cs="Times New Roman"/>
          <w:b/>
          <w:color w:val="FFFFFF"/>
          <w:sz w:val="24"/>
        </w:rPr>
      </w:pPr>
      <w:bookmarkStart w:id="418" w:name="_Toc153137338"/>
      <w:r w:rsidRPr="0007612E">
        <w:rPr>
          <w:rFonts w:ascii="Arial" w:eastAsia="Times New Roman" w:hAnsi="Arial" w:cs="Times New Roman"/>
          <w:b/>
          <w:color w:val="FFFFFF"/>
          <w:sz w:val="24"/>
        </w:rPr>
        <w:t>GM1 BOP.ADD.100 Declaration</w:t>
      </w:r>
      <w:bookmarkEnd w:id="418"/>
    </w:p>
    <w:p w14:paraId="583F2419" w14:textId="77777777" w:rsidR="0007612E" w:rsidRPr="00276D5E" w:rsidRDefault="0007612E" w:rsidP="009601C2">
      <w:pPr>
        <w:spacing w:before="120" w:line="276" w:lineRule="auto"/>
        <w:jc w:val="both"/>
        <w:rPr>
          <w:rFonts w:ascii="Arial" w:hAnsi="Arial" w:cs="Arial"/>
          <w:b/>
          <w:sz w:val="20"/>
        </w:rPr>
      </w:pPr>
      <w:r w:rsidRPr="00276D5E">
        <w:rPr>
          <w:rFonts w:ascii="Arial" w:hAnsi="Arial" w:cs="Arial"/>
          <w:b/>
          <w:sz w:val="20"/>
        </w:rPr>
        <w:t>GENERAL</w:t>
      </w:r>
    </w:p>
    <w:p w14:paraId="0958AAC0" w14:textId="77777777" w:rsidR="0007612E" w:rsidRPr="0007612E" w:rsidRDefault="0007612E" w:rsidP="00534ACB">
      <w:pPr>
        <w:tabs>
          <w:tab w:val="left" w:pos="1273"/>
          <w:tab w:val="left" w:pos="1274"/>
          <w:tab w:val="left" w:pos="8931"/>
        </w:tabs>
        <w:spacing w:before="122" w:line="276" w:lineRule="auto"/>
        <w:ind w:right="200"/>
        <w:jc w:val="both"/>
        <w:rPr>
          <w:rFonts w:ascii="Arial" w:hAnsi="Arial" w:cs="Arial"/>
          <w:sz w:val="20"/>
          <w:szCs w:val="20"/>
        </w:rPr>
      </w:pPr>
      <w:r w:rsidRPr="0007612E">
        <w:rPr>
          <w:rFonts w:ascii="Arial" w:hAnsi="Arial" w:cs="Arial"/>
          <w:sz w:val="20"/>
          <w:szCs w:val="20"/>
        </w:rPr>
        <w:t>The intent of the declaration is to:</w:t>
      </w:r>
    </w:p>
    <w:p w14:paraId="299B4F29" w14:textId="77777777" w:rsidR="0007612E" w:rsidRPr="0007612E" w:rsidRDefault="0007612E" w:rsidP="00534ACB">
      <w:pPr>
        <w:numPr>
          <w:ilvl w:val="0"/>
          <w:numId w:val="99"/>
        </w:numPr>
        <w:tabs>
          <w:tab w:val="left" w:pos="1273"/>
          <w:tab w:val="left" w:pos="1274"/>
          <w:tab w:val="left" w:pos="8931"/>
        </w:tabs>
        <w:spacing w:before="122" w:line="276" w:lineRule="auto"/>
        <w:ind w:right="200"/>
        <w:jc w:val="both"/>
        <w:rPr>
          <w:rFonts w:ascii="Arial" w:hAnsi="Arial" w:cs="Arial"/>
          <w:sz w:val="20"/>
          <w:szCs w:val="20"/>
        </w:rPr>
      </w:pPr>
      <w:r w:rsidRPr="0007612E">
        <w:rPr>
          <w:rFonts w:ascii="Arial" w:hAnsi="Arial" w:cs="Arial"/>
          <w:sz w:val="20"/>
          <w:szCs w:val="20"/>
        </w:rPr>
        <w:t>have the operator acknowledge its responsibilities under the applicable safety regulations and that it holds all necessary approvals;</w:t>
      </w:r>
    </w:p>
    <w:p w14:paraId="46388F57" w14:textId="6BAD08D8" w:rsidR="0007612E" w:rsidRPr="0007612E" w:rsidRDefault="0007612E" w:rsidP="00534ACB">
      <w:pPr>
        <w:numPr>
          <w:ilvl w:val="0"/>
          <w:numId w:val="99"/>
        </w:numPr>
        <w:tabs>
          <w:tab w:val="left" w:pos="1273"/>
          <w:tab w:val="left" w:pos="1274"/>
          <w:tab w:val="left" w:pos="8931"/>
        </w:tabs>
        <w:spacing w:before="122" w:line="276" w:lineRule="auto"/>
        <w:ind w:right="200"/>
        <w:jc w:val="both"/>
        <w:rPr>
          <w:rFonts w:ascii="Arial" w:hAnsi="Arial" w:cs="Arial"/>
          <w:sz w:val="20"/>
          <w:szCs w:val="20"/>
        </w:rPr>
      </w:pPr>
      <w:r w:rsidRPr="0007612E">
        <w:rPr>
          <w:rFonts w:ascii="Arial" w:hAnsi="Arial" w:cs="Arial"/>
          <w:sz w:val="20"/>
          <w:szCs w:val="20"/>
        </w:rPr>
        <w:t xml:space="preserve">inform the </w:t>
      </w:r>
      <w:r w:rsidR="00A804D2">
        <w:rPr>
          <w:rFonts w:ascii="Arial" w:hAnsi="Arial" w:cs="Arial"/>
          <w:sz w:val="20"/>
          <w:szCs w:val="20"/>
        </w:rPr>
        <w:t xml:space="preserve">CAC RA </w:t>
      </w:r>
      <w:r w:rsidRPr="0007612E">
        <w:rPr>
          <w:rFonts w:ascii="Arial" w:hAnsi="Arial" w:cs="Arial"/>
          <w:sz w:val="20"/>
          <w:szCs w:val="20"/>
        </w:rPr>
        <w:t>of the existence of an operator; and</w:t>
      </w:r>
    </w:p>
    <w:p w14:paraId="02DFE655" w14:textId="3528DF3B" w:rsidR="00624F46" w:rsidRPr="00B55151" w:rsidRDefault="0007612E" w:rsidP="00534ACB">
      <w:pPr>
        <w:numPr>
          <w:ilvl w:val="0"/>
          <w:numId w:val="99"/>
        </w:numPr>
        <w:tabs>
          <w:tab w:val="left" w:pos="1273"/>
          <w:tab w:val="left" w:pos="1274"/>
          <w:tab w:val="left" w:pos="8931"/>
        </w:tabs>
        <w:spacing w:before="122" w:line="276" w:lineRule="auto"/>
        <w:ind w:right="200"/>
        <w:jc w:val="both"/>
        <w:rPr>
          <w:rFonts w:ascii="Arial" w:hAnsi="Arial" w:cs="Arial"/>
          <w:sz w:val="20"/>
          <w:szCs w:val="20"/>
        </w:rPr>
      </w:pPr>
      <w:r w:rsidRPr="0007612E">
        <w:rPr>
          <w:rFonts w:ascii="Arial" w:hAnsi="Arial" w:cs="Arial"/>
          <w:sz w:val="20"/>
          <w:szCs w:val="20"/>
        </w:rPr>
        <w:t xml:space="preserve">enable the </w:t>
      </w:r>
      <w:r w:rsidR="00A804D2">
        <w:rPr>
          <w:rFonts w:ascii="Arial" w:hAnsi="Arial" w:cs="Arial"/>
          <w:sz w:val="20"/>
          <w:szCs w:val="20"/>
        </w:rPr>
        <w:t xml:space="preserve">CAC RA </w:t>
      </w:r>
      <w:r w:rsidRPr="0007612E">
        <w:rPr>
          <w:rFonts w:ascii="Arial" w:hAnsi="Arial" w:cs="Arial"/>
          <w:sz w:val="20"/>
          <w:szCs w:val="20"/>
        </w:rPr>
        <w:t>to fulfil its oversight responsibilities.</w:t>
      </w:r>
    </w:p>
    <w:p w14:paraId="629409AB" w14:textId="77777777" w:rsidR="00B55151" w:rsidRPr="00B55151" w:rsidRDefault="00B55151"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419" w:name="BOP.ADD.105_Changes_to_the_declaration_a"/>
      <w:bookmarkStart w:id="420" w:name="_bookmark174"/>
      <w:bookmarkStart w:id="421" w:name="_Toc153137339"/>
      <w:bookmarkEnd w:id="419"/>
      <w:bookmarkEnd w:id="420"/>
      <w:r w:rsidRPr="00B55151">
        <w:rPr>
          <w:rFonts w:ascii="Arial" w:eastAsia="Times New Roman" w:hAnsi="Arial" w:cs="Times New Roman"/>
          <w:b/>
          <w:iCs/>
          <w:color w:val="FFFFFF"/>
          <w:sz w:val="24"/>
        </w:rPr>
        <w:t>BOP.ADD.105 Changes to the declaration and cessation of commercial operations</w:t>
      </w:r>
      <w:bookmarkEnd w:id="421"/>
    </w:p>
    <w:p w14:paraId="6443C734" w14:textId="2BF077E3" w:rsidR="00B55151" w:rsidRDefault="00B55151" w:rsidP="00534ACB">
      <w:pPr>
        <w:numPr>
          <w:ilvl w:val="0"/>
          <w:numId w:val="100"/>
        </w:numPr>
        <w:tabs>
          <w:tab w:val="left" w:pos="1273"/>
          <w:tab w:val="left" w:pos="1274"/>
          <w:tab w:val="left" w:pos="8931"/>
        </w:tabs>
        <w:spacing w:before="122" w:line="276" w:lineRule="auto"/>
        <w:ind w:right="200"/>
        <w:jc w:val="both"/>
        <w:rPr>
          <w:rFonts w:ascii="Arial" w:hAnsi="Arial" w:cs="Arial"/>
          <w:sz w:val="20"/>
          <w:szCs w:val="20"/>
        </w:rPr>
      </w:pPr>
      <w:r w:rsidRPr="00B55151">
        <w:rPr>
          <w:rFonts w:ascii="Arial" w:hAnsi="Arial" w:cs="Arial"/>
          <w:sz w:val="20"/>
          <w:szCs w:val="20"/>
        </w:rPr>
        <w:t xml:space="preserve">The operator shall notify the </w:t>
      </w:r>
      <w:r w:rsidR="00A804D2">
        <w:rPr>
          <w:rFonts w:ascii="Arial" w:hAnsi="Arial" w:cs="Arial"/>
          <w:sz w:val="20"/>
          <w:szCs w:val="20"/>
        </w:rPr>
        <w:t xml:space="preserve">CAC RA </w:t>
      </w:r>
      <w:r w:rsidRPr="00B55151">
        <w:rPr>
          <w:rFonts w:ascii="Arial" w:hAnsi="Arial" w:cs="Arial"/>
          <w:sz w:val="20"/>
          <w:szCs w:val="20"/>
        </w:rPr>
        <w:t xml:space="preserve">without delay of any changes in circumstances affecting its compliance with the essential requirements set out in </w:t>
      </w:r>
      <w:hyperlink r:id="rId69" w:history="1">
        <w:r w:rsidR="005C2A3C" w:rsidRPr="004073D2">
          <w:rPr>
            <w:rStyle w:val="Hyperlink"/>
            <w:rFonts w:ascii="Arial" w:hAnsi="Arial" w:cs="Arial"/>
            <w:sz w:val="20"/>
            <w:szCs w:val="20"/>
          </w:rPr>
          <w:t>Law on Aviation of the Republic of Armenia</w:t>
        </w:r>
      </w:hyperlink>
      <w:r w:rsidR="00CE13DE" w:rsidRPr="00CE13DE">
        <w:rPr>
          <w:rFonts w:ascii="Arial" w:hAnsi="Arial" w:cs="Arial"/>
          <w:sz w:val="20"/>
          <w:szCs w:val="20"/>
        </w:rPr>
        <w:t xml:space="preserve"> </w:t>
      </w:r>
      <w:r w:rsidRPr="00B55151">
        <w:rPr>
          <w:rFonts w:ascii="Arial" w:hAnsi="Arial" w:cs="Arial"/>
          <w:sz w:val="20"/>
          <w:szCs w:val="20"/>
        </w:rPr>
        <w:t xml:space="preserve">and with the requirements of this Regulation, as declared to the </w:t>
      </w:r>
      <w:r w:rsidR="00A804D2">
        <w:rPr>
          <w:rFonts w:ascii="Arial" w:hAnsi="Arial" w:cs="Arial"/>
          <w:sz w:val="20"/>
          <w:szCs w:val="20"/>
        </w:rPr>
        <w:t>CAC RA</w:t>
      </w:r>
      <w:r w:rsidRPr="00B55151">
        <w:rPr>
          <w:rFonts w:ascii="Arial" w:hAnsi="Arial" w:cs="Arial"/>
          <w:sz w:val="20"/>
          <w:szCs w:val="20"/>
        </w:rPr>
        <w:t xml:space="preserve">, and of any changes in respect of the information referred to in point </w:t>
      </w:r>
      <w:r w:rsidRPr="00DF6C0F">
        <w:rPr>
          <w:rFonts w:ascii="Arial" w:hAnsi="Arial" w:cs="Arial"/>
          <w:sz w:val="20"/>
          <w:szCs w:val="20"/>
        </w:rPr>
        <w:t xml:space="preserve">BOP.ADD.100(b) </w:t>
      </w:r>
      <w:r w:rsidRPr="00B55151">
        <w:rPr>
          <w:rFonts w:ascii="Arial" w:hAnsi="Arial" w:cs="Arial"/>
          <w:sz w:val="20"/>
          <w:szCs w:val="20"/>
        </w:rPr>
        <w:t xml:space="preserve">and the list of AltMoCs referred to in point </w:t>
      </w:r>
      <w:r w:rsidRPr="00DF6C0F">
        <w:rPr>
          <w:rFonts w:ascii="Arial" w:hAnsi="Arial" w:cs="Arial"/>
          <w:sz w:val="20"/>
          <w:szCs w:val="20"/>
        </w:rPr>
        <w:t>BOP.ADD.100(c)</w:t>
      </w:r>
      <w:r w:rsidRPr="00B55151">
        <w:rPr>
          <w:rFonts w:ascii="Arial" w:hAnsi="Arial" w:cs="Arial"/>
          <w:sz w:val="20"/>
          <w:szCs w:val="20"/>
        </w:rPr>
        <w:t>, as included in or annexed to the declaration.</w:t>
      </w:r>
    </w:p>
    <w:p w14:paraId="173DFDD2" w14:textId="4F75A795" w:rsidR="00B55151" w:rsidRPr="00276D5E" w:rsidRDefault="00B55151" w:rsidP="00534ACB">
      <w:pPr>
        <w:pStyle w:val="ListParagraph"/>
        <w:numPr>
          <w:ilvl w:val="0"/>
          <w:numId w:val="100"/>
        </w:numPr>
        <w:tabs>
          <w:tab w:val="left" w:pos="706"/>
          <w:tab w:val="left" w:pos="707"/>
          <w:tab w:val="left" w:pos="8931"/>
        </w:tabs>
        <w:spacing w:before="57" w:line="276" w:lineRule="auto"/>
        <w:ind w:right="195"/>
        <w:jc w:val="both"/>
        <w:rPr>
          <w:rFonts w:ascii="Arial" w:hAnsi="Arial" w:cs="Arial"/>
        </w:rPr>
      </w:pPr>
      <w:r w:rsidRPr="00B55151">
        <w:rPr>
          <w:rFonts w:ascii="Arial" w:hAnsi="Arial" w:cs="Arial"/>
          <w:sz w:val="20"/>
        </w:rPr>
        <w:t>The</w:t>
      </w:r>
      <w:r w:rsidRPr="00B55151">
        <w:rPr>
          <w:rFonts w:ascii="Arial" w:hAnsi="Arial" w:cs="Arial"/>
          <w:spacing w:val="4"/>
          <w:sz w:val="20"/>
        </w:rPr>
        <w:t xml:space="preserve"> </w:t>
      </w:r>
      <w:r w:rsidRPr="00B55151">
        <w:rPr>
          <w:rFonts w:ascii="Arial" w:hAnsi="Arial" w:cs="Arial"/>
          <w:sz w:val="20"/>
        </w:rPr>
        <w:t>operator</w:t>
      </w:r>
      <w:r w:rsidRPr="00B55151">
        <w:rPr>
          <w:rFonts w:ascii="Arial" w:hAnsi="Arial" w:cs="Arial"/>
          <w:spacing w:val="5"/>
          <w:sz w:val="20"/>
        </w:rPr>
        <w:t xml:space="preserve"> </w:t>
      </w:r>
      <w:r w:rsidRPr="00B55151">
        <w:rPr>
          <w:rFonts w:ascii="Arial" w:hAnsi="Arial" w:cs="Arial"/>
          <w:sz w:val="20"/>
        </w:rPr>
        <w:t>shall</w:t>
      </w:r>
      <w:r w:rsidRPr="00B55151">
        <w:rPr>
          <w:rFonts w:ascii="Arial" w:hAnsi="Arial" w:cs="Arial"/>
          <w:spacing w:val="6"/>
          <w:sz w:val="20"/>
        </w:rPr>
        <w:t xml:space="preserve"> </w:t>
      </w:r>
      <w:r w:rsidRPr="00B55151">
        <w:rPr>
          <w:rFonts w:ascii="Arial" w:hAnsi="Arial" w:cs="Arial"/>
          <w:sz w:val="20"/>
        </w:rPr>
        <w:t>notify</w:t>
      </w:r>
      <w:r w:rsidRPr="00B55151">
        <w:rPr>
          <w:rFonts w:ascii="Arial" w:hAnsi="Arial" w:cs="Arial"/>
          <w:spacing w:val="5"/>
          <w:sz w:val="20"/>
        </w:rPr>
        <w:t xml:space="preserve"> </w:t>
      </w:r>
      <w:r w:rsidRPr="00B55151">
        <w:rPr>
          <w:rFonts w:ascii="Arial" w:hAnsi="Arial" w:cs="Arial"/>
          <w:sz w:val="20"/>
        </w:rPr>
        <w:t>the</w:t>
      </w:r>
      <w:r w:rsidRPr="00B55151">
        <w:rPr>
          <w:rFonts w:ascii="Arial" w:hAnsi="Arial" w:cs="Arial"/>
          <w:spacing w:val="8"/>
          <w:sz w:val="20"/>
        </w:rPr>
        <w:t xml:space="preserve"> </w:t>
      </w:r>
      <w:r w:rsidR="00A804D2">
        <w:rPr>
          <w:rFonts w:ascii="Arial" w:hAnsi="Arial" w:cs="Arial"/>
          <w:sz w:val="20"/>
          <w:szCs w:val="20"/>
        </w:rPr>
        <w:t>CAC RA</w:t>
      </w:r>
      <w:r w:rsidRPr="00B55151">
        <w:rPr>
          <w:rFonts w:ascii="Arial" w:hAnsi="Arial" w:cs="Arial"/>
          <w:spacing w:val="5"/>
          <w:sz w:val="20"/>
        </w:rPr>
        <w:t xml:space="preserve"> </w:t>
      </w:r>
      <w:r w:rsidRPr="00B55151">
        <w:rPr>
          <w:rFonts w:ascii="Arial" w:hAnsi="Arial" w:cs="Arial"/>
          <w:sz w:val="20"/>
        </w:rPr>
        <w:t>without</w:t>
      </w:r>
      <w:r w:rsidRPr="00B55151">
        <w:rPr>
          <w:rFonts w:ascii="Arial" w:hAnsi="Arial" w:cs="Arial"/>
          <w:spacing w:val="8"/>
          <w:sz w:val="20"/>
        </w:rPr>
        <w:t xml:space="preserve"> </w:t>
      </w:r>
      <w:r w:rsidRPr="00B55151">
        <w:rPr>
          <w:rFonts w:ascii="Arial" w:hAnsi="Arial" w:cs="Arial"/>
          <w:sz w:val="20"/>
        </w:rPr>
        <w:t>delay</w:t>
      </w:r>
      <w:r w:rsidRPr="00B55151">
        <w:rPr>
          <w:rFonts w:ascii="Arial" w:hAnsi="Arial" w:cs="Arial"/>
          <w:spacing w:val="5"/>
          <w:sz w:val="20"/>
        </w:rPr>
        <w:t xml:space="preserve"> </w:t>
      </w:r>
      <w:r w:rsidRPr="00B55151">
        <w:rPr>
          <w:rFonts w:ascii="Arial" w:hAnsi="Arial" w:cs="Arial"/>
          <w:sz w:val="20"/>
        </w:rPr>
        <w:t>when</w:t>
      </w:r>
      <w:r w:rsidRPr="00B55151">
        <w:rPr>
          <w:rFonts w:ascii="Arial" w:hAnsi="Arial" w:cs="Arial"/>
          <w:spacing w:val="4"/>
          <w:sz w:val="20"/>
        </w:rPr>
        <w:t xml:space="preserve"> </w:t>
      </w:r>
      <w:r w:rsidRPr="00B55151">
        <w:rPr>
          <w:rFonts w:ascii="Arial" w:hAnsi="Arial" w:cs="Arial"/>
          <w:sz w:val="20"/>
        </w:rPr>
        <w:t>it</w:t>
      </w:r>
      <w:r w:rsidRPr="00B55151">
        <w:rPr>
          <w:rFonts w:ascii="Arial" w:hAnsi="Arial" w:cs="Arial"/>
          <w:spacing w:val="7"/>
          <w:sz w:val="20"/>
        </w:rPr>
        <w:t xml:space="preserve"> </w:t>
      </w:r>
      <w:r w:rsidRPr="00B55151">
        <w:rPr>
          <w:rFonts w:ascii="Arial" w:hAnsi="Arial" w:cs="Arial"/>
          <w:sz w:val="20"/>
        </w:rPr>
        <w:t>is</w:t>
      </w:r>
      <w:r w:rsidRPr="00B55151">
        <w:rPr>
          <w:rFonts w:ascii="Arial" w:hAnsi="Arial" w:cs="Arial"/>
          <w:spacing w:val="4"/>
          <w:sz w:val="20"/>
        </w:rPr>
        <w:t xml:space="preserve"> </w:t>
      </w:r>
      <w:r w:rsidRPr="00B55151">
        <w:rPr>
          <w:rFonts w:ascii="Arial" w:hAnsi="Arial" w:cs="Arial"/>
          <w:sz w:val="20"/>
        </w:rPr>
        <w:t>no</w:t>
      </w:r>
      <w:r w:rsidRPr="00B55151">
        <w:rPr>
          <w:rFonts w:ascii="Arial" w:hAnsi="Arial" w:cs="Arial"/>
          <w:spacing w:val="6"/>
          <w:sz w:val="20"/>
        </w:rPr>
        <w:t xml:space="preserve"> </w:t>
      </w:r>
      <w:r w:rsidRPr="00B55151">
        <w:rPr>
          <w:rFonts w:ascii="Arial" w:hAnsi="Arial" w:cs="Arial"/>
          <w:sz w:val="20"/>
        </w:rPr>
        <w:t>longer</w:t>
      </w:r>
      <w:r w:rsidRPr="00B55151">
        <w:rPr>
          <w:rFonts w:ascii="Arial" w:hAnsi="Arial" w:cs="Arial"/>
          <w:spacing w:val="5"/>
          <w:sz w:val="20"/>
        </w:rPr>
        <w:t xml:space="preserve"> </w:t>
      </w:r>
      <w:r w:rsidRPr="00B55151">
        <w:rPr>
          <w:rFonts w:ascii="Arial" w:hAnsi="Arial" w:cs="Arial"/>
          <w:sz w:val="20"/>
        </w:rPr>
        <w:t>engaged</w:t>
      </w:r>
      <w:r w:rsidRPr="00B55151">
        <w:rPr>
          <w:rFonts w:ascii="Arial" w:hAnsi="Arial" w:cs="Arial"/>
          <w:spacing w:val="-47"/>
          <w:sz w:val="20"/>
        </w:rPr>
        <w:t xml:space="preserve"> </w:t>
      </w:r>
      <w:r w:rsidRPr="00B55151">
        <w:rPr>
          <w:rFonts w:ascii="Arial" w:hAnsi="Arial" w:cs="Arial"/>
          <w:sz w:val="20"/>
        </w:rPr>
        <w:t>in</w:t>
      </w:r>
      <w:r w:rsidRPr="00B55151">
        <w:rPr>
          <w:rFonts w:ascii="Arial" w:hAnsi="Arial" w:cs="Arial"/>
          <w:spacing w:val="-2"/>
          <w:sz w:val="20"/>
        </w:rPr>
        <w:t xml:space="preserve"> </w:t>
      </w:r>
      <w:r w:rsidRPr="00B55151">
        <w:rPr>
          <w:rFonts w:ascii="Arial" w:hAnsi="Arial" w:cs="Arial"/>
          <w:sz w:val="20"/>
        </w:rPr>
        <w:t>commercial</w:t>
      </w:r>
      <w:r w:rsidRPr="00B55151">
        <w:rPr>
          <w:rFonts w:ascii="Arial" w:hAnsi="Arial" w:cs="Arial"/>
          <w:spacing w:val="-3"/>
          <w:sz w:val="20"/>
        </w:rPr>
        <w:t xml:space="preserve"> </w:t>
      </w:r>
      <w:r w:rsidRPr="00B55151">
        <w:rPr>
          <w:rFonts w:ascii="Arial" w:hAnsi="Arial" w:cs="Arial"/>
          <w:sz w:val="20"/>
        </w:rPr>
        <w:t>operations</w:t>
      </w:r>
      <w:r w:rsidRPr="00B55151">
        <w:rPr>
          <w:rFonts w:ascii="Arial" w:hAnsi="Arial" w:cs="Arial"/>
          <w:spacing w:val="-5"/>
          <w:sz w:val="20"/>
        </w:rPr>
        <w:t xml:space="preserve"> </w:t>
      </w:r>
      <w:r w:rsidRPr="00B55151">
        <w:rPr>
          <w:rFonts w:ascii="Arial" w:hAnsi="Arial" w:cs="Arial"/>
          <w:sz w:val="20"/>
        </w:rPr>
        <w:t>with balloons</w:t>
      </w:r>
      <w:r w:rsidRPr="00276D5E">
        <w:rPr>
          <w:rFonts w:ascii="Arial" w:hAnsi="Arial" w:cs="Arial"/>
        </w:rPr>
        <w:t>.</w:t>
      </w:r>
    </w:p>
    <w:p w14:paraId="403F124B" w14:textId="77777777" w:rsidR="0040248E" w:rsidRPr="0040248E" w:rsidRDefault="0040248E" w:rsidP="009601C2">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422" w:name="AMC1_BOP.ADD.105(a)_Changes_to_the_decla"/>
      <w:bookmarkStart w:id="423" w:name="_bookmark175"/>
      <w:bookmarkStart w:id="424" w:name="_Toc153137340"/>
      <w:bookmarkEnd w:id="422"/>
      <w:bookmarkEnd w:id="423"/>
      <w:r w:rsidRPr="0040248E">
        <w:rPr>
          <w:rFonts w:ascii="Arial" w:eastAsia="Times New Roman" w:hAnsi="Arial" w:cs="Times New Roman"/>
          <w:b/>
          <w:color w:val="FFFFFF"/>
          <w:sz w:val="24"/>
        </w:rPr>
        <w:t>AMC1 BOP.ADD.105(a) Changes to the declaration and cessation of commercial operations</w:t>
      </w:r>
      <w:bookmarkEnd w:id="424"/>
    </w:p>
    <w:p w14:paraId="4EAD9924" w14:textId="77777777" w:rsidR="0040248E" w:rsidRPr="00276D5E" w:rsidRDefault="0040248E" w:rsidP="009601C2">
      <w:pPr>
        <w:spacing w:line="276" w:lineRule="auto"/>
        <w:jc w:val="both"/>
        <w:rPr>
          <w:rFonts w:ascii="Arial" w:hAnsi="Arial" w:cs="Arial"/>
          <w:b/>
          <w:sz w:val="20"/>
        </w:rPr>
      </w:pPr>
      <w:r w:rsidRPr="00276D5E">
        <w:rPr>
          <w:rFonts w:ascii="Arial" w:hAnsi="Arial" w:cs="Arial"/>
          <w:b/>
          <w:sz w:val="20"/>
        </w:rPr>
        <w:t>NOTIFICATION</w:t>
      </w:r>
      <w:r w:rsidRPr="00276D5E">
        <w:rPr>
          <w:rFonts w:ascii="Arial" w:hAnsi="Arial" w:cs="Arial"/>
          <w:b/>
          <w:spacing w:val="-5"/>
          <w:sz w:val="20"/>
        </w:rPr>
        <w:t xml:space="preserve"> </w:t>
      </w:r>
      <w:r w:rsidRPr="00276D5E">
        <w:rPr>
          <w:rFonts w:ascii="Arial" w:hAnsi="Arial" w:cs="Arial"/>
          <w:b/>
          <w:sz w:val="20"/>
        </w:rPr>
        <w:t>OF</w:t>
      </w:r>
      <w:r w:rsidRPr="00276D5E">
        <w:rPr>
          <w:rFonts w:ascii="Arial" w:hAnsi="Arial" w:cs="Arial"/>
          <w:b/>
          <w:spacing w:val="-5"/>
          <w:sz w:val="20"/>
        </w:rPr>
        <w:t xml:space="preserve"> </w:t>
      </w:r>
      <w:r w:rsidRPr="00276D5E">
        <w:rPr>
          <w:rFonts w:ascii="Arial" w:hAnsi="Arial" w:cs="Arial"/>
          <w:b/>
          <w:sz w:val="20"/>
        </w:rPr>
        <w:t>CHANGES</w:t>
      </w:r>
    </w:p>
    <w:p w14:paraId="74D8E85F" w14:textId="77777777" w:rsidR="0040248E" w:rsidRPr="0040248E" w:rsidRDefault="0040248E" w:rsidP="00534ACB">
      <w:pPr>
        <w:tabs>
          <w:tab w:val="left" w:pos="1273"/>
          <w:tab w:val="left" w:pos="1274"/>
        </w:tabs>
        <w:spacing w:before="122" w:line="276" w:lineRule="auto"/>
        <w:ind w:right="68"/>
        <w:jc w:val="both"/>
        <w:rPr>
          <w:rFonts w:ascii="Arial" w:hAnsi="Arial" w:cs="Arial"/>
          <w:sz w:val="20"/>
          <w:szCs w:val="20"/>
        </w:rPr>
      </w:pPr>
      <w:r w:rsidRPr="0040248E">
        <w:rPr>
          <w:rFonts w:ascii="Arial" w:hAnsi="Arial" w:cs="Arial"/>
          <w:sz w:val="20"/>
          <w:szCs w:val="20"/>
        </w:rPr>
        <w:t>The new declaration should be submitted before the change becomes effective, indicating the date as of which the change would apply.</w:t>
      </w:r>
    </w:p>
    <w:p w14:paraId="40576CBD" w14:textId="77777777" w:rsidR="005F1AA1" w:rsidRPr="005F1AA1" w:rsidRDefault="005F1AA1"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425" w:name="_Toc153137341"/>
      <w:r w:rsidRPr="005F1AA1">
        <w:rPr>
          <w:rFonts w:ascii="Arial" w:eastAsia="Times New Roman" w:hAnsi="Arial" w:cs="Times New Roman"/>
          <w:b/>
          <w:iCs/>
          <w:color w:val="FFFFFF"/>
          <w:sz w:val="24"/>
        </w:rPr>
        <w:t>BOP.ADD.110 Airworthiness requirements</w:t>
      </w:r>
      <w:bookmarkEnd w:id="425"/>
      <w:r w:rsidRPr="005F1AA1">
        <w:rPr>
          <w:rFonts w:ascii="Arial" w:eastAsia="Times New Roman" w:hAnsi="Arial" w:cs="Times New Roman"/>
          <w:b/>
          <w:iCs/>
          <w:color w:val="FFFFFF"/>
          <w:sz w:val="24"/>
        </w:rPr>
        <w:tab/>
      </w:r>
    </w:p>
    <w:p w14:paraId="370E5E6B" w14:textId="0B45E92C" w:rsidR="00B55151" w:rsidRPr="00B55151" w:rsidRDefault="005F1AA1" w:rsidP="00354181">
      <w:pPr>
        <w:tabs>
          <w:tab w:val="left" w:pos="1273"/>
          <w:tab w:val="left" w:pos="1274"/>
        </w:tabs>
        <w:spacing w:before="122" w:line="276" w:lineRule="auto"/>
        <w:ind w:right="68"/>
        <w:jc w:val="both"/>
        <w:rPr>
          <w:rFonts w:ascii="Arial" w:hAnsi="Arial" w:cs="Arial"/>
          <w:sz w:val="20"/>
          <w:szCs w:val="20"/>
        </w:rPr>
      </w:pPr>
      <w:r w:rsidRPr="005F1AA1">
        <w:rPr>
          <w:rFonts w:ascii="Arial" w:hAnsi="Arial" w:cs="Arial"/>
          <w:sz w:val="20"/>
          <w:szCs w:val="20"/>
        </w:rPr>
        <w:t xml:space="preserve">Balloons shall have a certificate of airworthiness issued in accordance with </w:t>
      </w:r>
      <w:hyperlink r:id="rId70" w:history="1">
        <w:r w:rsidR="008653D3">
          <w:rPr>
            <w:rStyle w:val="Hyperlink"/>
            <w:rFonts w:ascii="Arial" w:hAnsi="Arial" w:cs="Arial"/>
            <w:sz w:val="20"/>
            <w:szCs w:val="20"/>
          </w:rPr>
          <w:t xml:space="preserve">the order N 20-N of the </w:t>
        </w:r>
        <w:r w:rsidR="008653D3">
          <w:rPr>
            <w:rStyle w:val="Hyperlink"/>
            <w:rFonts w:ascii="Arial" w:hAnsi="Arial" w:cs="Arial"/>
            <w:sz w:val="20"/>
            <w:szCs w:val="20"/>
          </w:rPr>
          <w:lastRenderedPageBreak/>
          <w:t>Minister of Territorial Administration and Infrastructure of RA, dated 18.11.2022</w:t>
        </w:r>
      </w:hyperlink>
      <w:r w:rsidR="00FC2B2D" w:rsidRPr="00FC2B2D">
        <w:rPr>
          <w:rFonts w:ascii="Arial" w:hAnsi="Arial" w:cs="Arial"/>
          <w:sz w:val="20"/>
          <w:szCs w:val="20"/>
        </w:rPr>
        <w:t xml:space="preserve"> </w:t>
      </w:r>
      <w:r w:rsidRPr="005F1AA1">
        <w:rPr>
          <w:rFonts w:ascii="Arial" w:hAnsi="Arial" w:cs="Arial"/>
          <w:sz w:val="20"/>
          <w:szCs w:val="20"/>
        </w:rPr>
        <w:t xml:space="preserve">or, in the case of a balloon registered in a third country, shall be subject to either a wet lease agreement or a dry lease agreement in accordance with point </w:t>
      </w:r>
      <w:r w:rsidRPr="00DF6C0F">
        <w:rPr>
          <w:rFonts w:ascii="Arial" w:hAnsi="Arial" w:cs="Arial"/>
          <w:sz w:val="20"/>
          <w:szCs w:val="20"/>
        </w:rPr>
        <w:t>BOP.ADD.115.</w:t>
      </w:r>
      <w:r w:rsidR="008653D3">
        <w:rPr>
          <w:rFonts w:ascii="Arial" w:hAnsi="Arial" w:cs="Arial"/>
          <w:sz w:val="20"/>
          <w:szCs w:val="20"/>
        </w:rPr>
        <w:tab/>
      </w:r>
    </w:p>
    <w:p w14:paraId="3D48F455" w14:textId="77777777" w:rsidR="00624F46" w:rsidRPr="00A96189" w:rsidRDefault="00A96189"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426" w:name="BOP.ADD.115_Wet_lease_and_dry_lease_of_a"/>
      <w:bookmarkStart w:id="427" w:name="_bookmark177"/>
      <w:bookmarkStart w:id="428" w:name="_Toc153137342"/>
      <w:bookmarkEnd w:id="426"/>
      <w:bookmarkEnd w:id="427"/>
      <w:r w:rsidRPr="00A96189">
        <w:rPr>
          <w:rFonts w:ascii="Arial" w:eastAsia="Times New Roman" w:hAnsi="Arial" w:cs="Times New Roman"/>
          <w:b/>
          <w:iCs/>
          <w:color w:val="FFFFFF"/>
          <w:sz w:val="24"/>
        </w:rPr>
        <w:t>BOP.ADD.115 Wet lease and dry lease of a balloon registered in a third country</w:t>
      </w:r>
      <w:bookmarkEnd w:id="428"/>
    </w:p>
    <w:p w14:paraId="32D222F7" w14:textId="62886468" w:rsidR="00A96189" w:rsidRPr="00A96189" w:rsidRDefault="00A96189" w:rsidP="00354181">
      <w:pPr>
        <w:numPr>
          <w:ilvl w:val="0"/>
          <w:numId w:val="101"/>
        </w:numPr>
        <w:tabs>
          <w:tab w:val="left" w:pos="1273"/>
          <w:tab w:val="left" w:pos="1274"/>
        </w:tabs>
        <w:spacing w:before="122" w:line="276" w:lineRule="auto"/>
        <w:ind w:right="68"/>
        <w:jc w:val="both"/>
        <w:rPr>
          <w:rFonts w:ascii="Arial" w:hAnsi="Arial" w:cs="Arial"/>
          <w:sz w:val="20"/>
          <w:szCs w:val="20"/>
        </w:rPr>
      </w:pPr>
      <w:r w:rsidRPr="00A96189">
        <w:rPr>
          <w:rFonts w:ascii="Arial" w:hAnsi="Arial" w:cs="Arial"/>
          <w:sz w:val="20"/>
          <w:szCs w:val="20"/>
        </w:rPr>
        <w:t xml:space="preserve">The operator shall notify to the </w:t>
      </w:r>
      <w:r w:rsidR="00A804D2">
        <w:rPr>
          <w:rFonts w:ascii="Arial" w:hAnsi="Arial" w:cs="Arial"/>
          <w:sz w:val="20"/>
          <w:szCs w:val="20"/>
        </w:rPr>
        <w:t xml:space="preserve">CAC RA </w:t>
      </w:r>
      <w:r w:rsidRPr="00A96189">
        <w:rPr>
          <w:rFonts w:ascii="Arial" w:hAnsi="Arial" w:cs="Arial"/>
          <w:sz w:val="20"/>
          <w:szCs w:val="20"/>
        </w:rPr>
        <w:t>any wet lease agreement or dry lease agreement concerning a balloon registered in a third country.</w:t>
      </w:r>
    </w:p>
    <w:p w14:paraId="42943F83" w14:textId="6793F07A" w:rsidR="00A96189" w:rsidRPr="00A96189" w:rsidRDefault="00A96189" w:rsidP="00354181">
      <w:pPr>
        <w:numPr>
          <w:ilvl w:val="0"/>
          <w:numId w:val="101"/>
        </w:numPr>
        <w:tabs>
          <w:tab w:val="left" w:pos="1273"/>
          <w:tab w:val="left" w:pos="1274"/>
        </w:tabs>
        <w:spacing w:before="122" w:line="276" w:lineRule="auto"/>
        <w:ind w:right="68"/>
        <w:jc w:val="both"/>
        <w:rPr>
          <w:rFonts w:ascii="Arial" w:hAnsi="Arial" w:cs="Arial"/>
          <w:sz w:val="20"/>
          <w:szCs w:val="20"/>
        </w:rPr>
      </w:pPr>
      <w:r w:rsidRPr="00A96189">
        <w:rPr>
          <w:rFonts w:ascii="Arial" w:hAnsi="Arial" w:cs="Arial"/>
          <w:sz w:val="20"/>
          <w:szCs w:val="20"/>
        </w:rPr>
        <w:t>Where a balloon registered in a third country is subject to a wet lease agreement, the operator shall ensure that the level of safety resulting from the application of the safety standards with regard to continuing airworthiness and air operations to which the third country operator of the balloon is subject, is at least equivalent to that resulting from the application of the requirements of Annex I to</w:t>
      </w:r>
      <w:r w:rsidR="00550407">
        <w:rPr>
          <w:rFonts w:ascii="Arial" w:hAnsi="Arial" w:cs="Arial"/>
          <w:sz w:val="20"/>
          <w:szCs w:val="20"/>
        </w:rPr>
        <w:t xml:space="preserve"> </w:t>
      </w:r>
      <w:hyperlink r:id="rId71" w:history="1">
        <w:r w:rsidR="00550407">
          <w:rPr>
            <w:rStyle w:val="Hyperlink"/>
            <w:rFonts w:ascii="Arial" w:hAnsi="Arial" w:cs="Arial"/>
            <w:sz w:val="20"/>
          </w:rPr>
          <w:t>the order N 10-N of the Minister of Territorial Administration and Infrastructure of RA, dated 01.06.2022</w:t>
        </w:r>
      </w:hyperlink>
      <w:r w:rsidR="00550407">
        <w:rPr>
          <w:rFonts w:ascii="Arial" w:hAnsi="Arial" w:cs="Arial"/>
          <w:sz w:val="20"/>
        </w:rPr>
        <w:t xml:space="preserve"> </w:t>
      </w:r>
      <w:r w:rsidR="00DF6C0F">
        <w:rPr>
          <w:rFonts w:ascii="Arial" w:hAnsi="Arial" w:cs="Arial"/>
          <w:sz w:val="20"/>
          <w:szCs w:val="20"/>
        </w:rPr>
        <w:t>and of this Regulation.</w:t>
      </w:r>
    </w:p>
    <w:p w14:paraId="4C556000" w14:textId="3D48414D" w:rsidR="00A96189" w:rsidRPr="00DF6C0F" w:rsidRDefault="00A96189" w:rsidP="00354181">
      <w:pPr>
        <w:numPr>
          <w:ilvl w:val="0"/>
          <w:numId w:val="101"/>
        </w:numPr>
        <w:tabs>
          <w:tab w:val="left" w:pos="1274"/>
          <w:tab w:val="left" w:pos="1274"/>
        </w:tabs>
        <w:spacing w:before="122" w:line="276" w:lineRule="auto"/>
        <w:ind w:right="68"/>
        <w:jc w:val="both"/>
        <w:rPr>
          <w:rFonts w:ascii="Arial" w:hAnsi="Arial" w:cs="Arial"/>
          <w:sz w:val="20"/>
          <w:szCs w:val="20"/>
        </w:rPr>
      </w:pPr>
      <w:r w:rsidRPr="00A96189">
        <w:rPr>
          <w:rFonts w:ascii="Arial" w:hAnsi="Arial" w:cs="Arial"/>
          <w:sz w:val="20"/>
          <w:szCs w:val="20"/>
        </w:rPr>
        <w:t xml:space="preserve">Where a balloon registered in a third country is subject to a dry lease agreement, the operator of such balloon shall ensure compliance with the essential requirements relating to continuing airworthiness set out in </w:t>
      </w:r>
      <w:hyperlink r:id="rId72" w:history="1">
        <w:r w:rsidR="005C2A3C" w:rsidRPr="004073D2">
          <w:rPr>
            <w:rStyle w:val="Hyperlink"/>
            <w:rFonts w:ascii="Arial" w:hAnsi="Arial" w:cs="Arial"/>
            <w:sz w:val="20"/>
            <w:szCs w:val="20"/>
          </w:rPr>
          <w:t>Law on Aviation of the Republic of Armenia</w:t>
        </w:r>
      </w:hyperlink>
      <w:r w:rsidR="005C2A3C">
        <w:rPr>
          <w:rFonts w:ascii="Arial" w:hAnsi="Arial" w:cs="Arial"/>
          <w:sz w:val="20"/>
          <w:szCs w:val="20"/>
        </w:rPr>
        <w:t xml:space="preserve"> </w:t>
      </w:r>
      <w:r w:rsidR="00DF6C0F" w:rsidRPr="00DF6C0F">
        <w:rPr>
          <w:rFonts w:ascii="Arial" w:hAnsi="Arial" w:cs="Arial"/>
          <w:sz w:val="20"/>
          <w:szCs w:val="20"/>
        </w:rPr>
        <w:t>and with the requirements of this Regulation.</w:t>
      </w:r>
    </w:p>
    <w:p w14:paraId="0250D0EC" w14:textId="77777777" w:rsidR="00E16E08" w:rsidRPr="00E16E08" w:rsidRDefault="00E16E08" w:rsidP="009601C2">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429" w:name="AMC1_BOP.ADD.115_Wet_lease_and_dry_lease"/>
      <w:bookmarkStart w:id="430" w:name="_bookmark178"/>
      <w:bookmarkStart w:id="431" w:name="_Toc153137343"/>
      <w:bookmarkEnd w:id="429"/>
      <w:bookmarkEnd w:id="430"/>
      <w:r w:rsidRPr="00E16E08">
        <w:rPr>
          <w:rFonts w:ascii="Arial" w:eastAsia="Times New Roman" w:hAnsi="Arial" w:cs="Times New Roman"/>
          <w:b/>
          <w:color w:val="FFFFFF"/>
          <w:sz w:val="24"/>
        </w:rPr>
        <w:t>AMC1 BOP.ADD.115 Wet lease and dry lease of a balloon registered in a third country</w:t>
      </w:r>
      <w:bookmarkEnd w:id="431"/>
    </w:p>
    <w:p w14:paraId="716B96F1" w14:textId="77777777" w:rsidR="00E16E08" w:rsidRPr="00E16E08" w:rsidRDefault="00E16E08" w:rsidP="009601C2">
      <w:pPr>
        <w:tabs>
          <w:tab w:val="left" w:pos="1273"/>
          <w:tab w:val="left" w:pos="1274"/>
        </w:tabs>
        <w:spacing w:before="122" w:line="276" w:lineRule="auto"/>
        <w:ind w:right="200"/>
        <w:rPr>
          <w:rFonts w:ascii="Arial" w:hAnsi="Arial" w:cs="Arial"/>
          <w:b/>
          <w:sz w:val="20"/>
          <w:szCs w:val="20"/>
        </w:rPr>
      </w:pPr>
      <w:r w:rsidRPr="00E16E08">
        <w:rPr>
          <w:rFonts w:ascii="Arial" w:hAnsi="Arial" w:cs="Arial"/>
          <w:b/>
          <w:sz w:val="20"/>
          <w:szCs w:val="20"/>
        </w:rPr>
        <w:t>GENERAL</w:t>
      </w:r>
    </w:p>
    <w:p w14:paraId="478A9802" w14:textId="4E5C1EF5" w:rsidR="00E16E08" w:rsidRPr="00E16E08" w:rsidRDefault="00E16E08" w:rsidP="00354181">
      <w:pPr>
        <w:numPr>
          <w:ilvl w:val="0"/>
          <w:numId w:val="102"/>
        </w:numPr>
        <w:tabs>
          <w:tab w:val="left" w:pos="1273"/>
          <w:tab w:val="left" w:pos="1274"/>
        </w:tabs>
        <w:spacing w:before="122" w:line="276" w:lineRule="auto"/>
        <w:ind w:right="68"/>
        <w:rPr>
          <w:rFonts w:ascii="Arial" w:hAnsi="Arial" w:cs="Arial"/>
          <w:sz w:val="20"/>
          <w:szCs w:val="20"/>
        </w:rPr>
      </w:pPr>
      <w:r w:rsidRPr="00E16E08">
        <w:rPr>
          <w:rFonts w:ascii="Arial" w:hAnsi="Arial" w:cs="Arial"/>
          <w:sz w:val="20"/>
          <w:szCs w:val="20"/>
        </w:rPr>
        <w:t xml:space="preserve">The operator intending to lease-in a third-country balloon should provide the </w:t>
      </w:r>
      <w:r w:rsidR="00A804D2">
        <w:rPr>
          <w:rFonts w:ascii="Arial" w:hAnsi="Arial" w:cs="Arial"/>
          <w:sz w:val="20"/>
          <w:szCs w:val="20"/>
        </w:rPr>
        <w:t xml:space="preserve">CAC RA </w:t>
      </w:r>
      <w:r w:rsidRPr="00E16E08">
        <w:rPr>
          <w:rFonts w:ascii="Arial" w:hAnsi="Arial" w:cs="Arial"/>
          <w:sz w:val="20"/>
          <w:szCs w:val="20"/>
        </w:rPr>
        <w:t>with the following information:</w:t>
      </w:r>
    </w:p>
    <w:p w14:paraId="2AF66A42" w14:textId="77777777" w:rsidR="00E16E08" w:rsidRPr="00E16E08" w:rsidRDefault="00E16E08" w:rsidP="00354181">
      <w:pPr>
        <w:numPr>
          <w:ilvl w:val="1"/>
          <w:numId w:val="102"/>
        </w:numPr>
        <w:tabs>
          <w:tab w:val="left" w:pos="1273"/>
          <w:tab w:val="left" w:pos="1274"/>
        </w:tabs>
        <w:spacing w:before="122" w:line="276" w:lineRule="auto"/>
        <w:ind w:right="200"/>
        <w:rPr>
          <w:rFonts w:ascii="Arial" w:hAnsi="Arial" w:cs="Arial"/>
          <w:sz w:val="20"/>
          <w:szCs w:val="20"/>
        </w:rPr>
      </w:pPr>
      <w:r w:rsidRPr="00E16E08">
        <w:rPr>
          <w:rFonts w:ascii="Arial" w:hAnsi="Arial" w:cs="Arial"/>
          <w:sz w:val="20"/>
          <w:szCs w:val="20"/>
        </w:rPr>
        <w:t>the name and address of the registered owner;</w:t>
      </w:r>
    </w:p>
    <w:p w14:paraId="4A571E2C" w14:textId="77777777" w:rsidR="00E16E08" w:rsidRPr="00E16E08" w:rsidRDefault="00E16E08" w:rsidP="00354181">
      <w:pPr>
        <w:numPr>
          <w:ilvl w:val="1"/>
          <w:numId w:val="102"/>
        </w:numPr>
        <w:tabs>
          <w:tab w:val="left" w:pos="1273"/>
          <w:tab w:val="left" w:pos="1274"/>
        </w:tabs>
        <w:spacing w:before="122" w:line="276" w:lineRule="auto"/>
        <w:ind w:right="200"/>
        <w:rPr>
          <w:rFonts w:ascii="Arial" w:hAnsi="Arial" w:cs="Arial"/>
          <w:sz w:val="20"/>
          <w:szCs w:val="20"/>
        </w:rPr>
      </w:pPr>
      <w:r w:rsidRPr="00E16E08">
        <w:rPr>
          <w:rFonts w:ascii="Arial" w:hAnsi="Arial" w:cs="Arial"/>
          <w:sz w:val="20"/>
          <w:szCs w:val="20"/>
        </w:rPr>
        <w:t>a copy of the valid certificate of airworthiness;</w:t>
      </w:r>
    </w:p>
    <w:p w14:paraId="0B2D60AB" w14:textId="77777777" w:rsidR="00E16E08" w:rsidRPr="00E16E08" w:rsidRDefault="00E16E08" w:rsidP="00354181">
      <w:pPr>
        <w:numPr>
          <w:ilvl w:val="1"/>
          <w:numId w:val="102"/>
        </w:numPr>
        <w:tabs>
          <w:tab w:val="left" w:pos="1273"/>
          <w:tab w:val="left" w:pos="1274"/>
        </w:tabs>
        <w:spacing w:before="122" w:line="276" w:lineRule="auto"/>
        <w:ind w:right="200"/>
        <w:rPr>
          <w:rFonts w:ascii="Arial" w:hAnsi="Arial" w:cs="Arial"/>
          <w:sz w:val="20"/>
          <w:szCs w:val="20"/>
        </w:rPr>
      </w:pPr>
      <w:r w:rsidRPr="00E16E08">
        <w:rPr>
          <w:rFonts w:ascii="Arial" w:hAnsi="Arial" w:cs="Arial"/>
          <w:sz w:val="20"/>
          <w:szCs w:val="20"/>
        </w:rPr>
        <w:t>a copy of the lease agreement or description of the lease provisions, except financial arrangements; and</w:t>
      </w:r>
    </w:p>
    <w:p w14:paraId="66E23C10" w14:textId="77777777" w:rsidR="00E16E08" w:rsidRPr="00E16E08" w:rsidRDefault="00E16E08" w:rsidP="00354181">
      <w:pPr>
        <w:numPr>
          <w:ilvl w:val="1"/>
          <w:numId w:val="102"/>
        </w:numPr>
        <w:tabs>
          <w:tab w:val="left" w:pos="1274"/>
        </w:tabs>
        <w:spacing w:before="122" w:line="276" w:lineRule="auto"/>
        <w:ind w:right="200"/>
        <w:rPr>
          <w:rFonts w:ascii="Arial" w:hAnsi="Arial" w:cs="Arial"/>
          <w:sz w:val="20"/>
          <w:szCs w:val="20"/>
        </w:rPr>
      </w:pPr>
      <w:r w:rsidRPr="00E16E08">
        <w:rPr>
          <w:rFonts w:ascii="Arial" w:hAnsi="Arial" w:cs="Arial"/>
          <w:sz w:val="20"/>
          <w:szCs w:val="20"/>
        </w:rPr>
        <w:t>duration of the lease.</w:t>
      </w:r>
    </w:p>
    <w:p w14:paraId="102717A5" w14:textId="77777777" w:rsidR="00624F46" w:rsidRPr="00E16E08" w:rsidRDefault="00E16E08" w:rsidP="00354181">
      <w:pPr>
        <w:numPr>
          <w:ilvl w:val="0"/>
          <w:numId w:val="102"/>
        </w:numPr>
        <w:tabs>
          <w:tab w:val="left" w:pos="1273"/>
          <w:tab w:val="left" w:pos="1274"/>
        </w:tabs>
        <w:spacing w:before="122" w:line="276" w:lineRule="auto"/>
        <w:ind w:right="200"/>
        <w:rPr>
          <w:rFonts w:ascii="Arial" w:hAnsi="Arial" w:cs="Arial"/>
          <w:sz w:val="20"/>
          <w:szCs w:val="20"/>
        </w:rPr>
      </w:pPr>
      <w:r w:rsidRPr="00E16E08">
        <w:rPr>
          <w:rFonts w:ascii="Arial" w:hAnsi="Arial" w:cs="Arial"/>
          <w:sz w:val="20"/>
          <w:szCs w:val="20"/>
        </w:rPr>
        <w:t>The information mentioned above should be accompanied by a statement signed by the lessee that the parties to the lease agreement fully understand their respective responsibilities under the applicable regulations.</w:t>
      </w:r>
    </w:p>
    <w:p w14:paraId="46C2C2A6" w14:textId="77777777" w:rsidR="00E16E08" w:rsidRPr="00E16E08" w:rsidRDefault="00E16E08" w:rsidP="009601C2">
      <w:pPr>
        <w:keepNext/>
        <w:keepLines/>
        <w:widowControl/>
        <w:shd w:val="clear" w:color="auto" w:fill="339966"/>
        <w:autoSpaceDE/>
        <w:autoSpaceDN/>
        <w:spacing w:before="160" w:after="120" w:line="276" w:lineRule="auto"/>
        <w:jc w:val="both"/>
        <w:outlineLvl w:val="4"/>
        <w:rPr>
          <w:rFonts w:ascii="Arial" w:eastAsia="Times New Roman" w:hAnsi="Arial" w:cs="Times New Roman"/>
          <w:b/>
          <w:color w:val="FFFFFF"/>
          <w:sz w:val="24"/>
        </w:rPr>
      </w:pPr>
      <w:bookmarkStart w:id="432" w:name="GM1_BOP.ADD.115(a)_Wet_lease_and_dry_lea"/>
      <w:bookmarkStart w:id="433" w:name="_bookmark179"/>
      <w:bookmarkStart w:id="434" w:name="_Toc153137344"/>
      <w:bookmarkEnd w:id="432"/>
      <w:bookmarkEnd w:id="433"/>
      <w:r w:rsidRPr="00E16E08">
        <w:rPr>
          <w:rFonts w:ascii="Arial" w:eastAsia="Times New Roman" w:hAnsi="Arial" w:cs="Times New Roman"/>
          <w:b/>
          <w:color w:val="FFFFFF"/>
          <w:sz w:val="24"/>
        </w:rPr>
        <w:t>GM1 BOP.ADD.115(a) Wet lease and dry lease of a balloon registered in a third country</w:t>
      </w:r>
      <w:bookmarkEnd w:id="434"/>
    </w:p>
    <w:p w14:paraId="1F838AF1" w14:textId="0AE6066A" w:rsidR="005F5690" w:rsidRDefault="00E16E08" w:rsidP="005F5690">
      <w:pPr>
        <w:tabs>
          <w:tab w:val="left" w:pos="1273"/>
          <w:tab w:val="left" w:pos="1274"/>
        </w:tabs>
        <w:spacing w:before="122" w:line="276" w:lineRule="auto"/>
        <w:ind w:right="-130"/>
        <w:rPr>
          <w:rFonts w:ascii="Arial" w:hAnsi="Arial" w:cs="Arial"/>
          <w:sz w:val="20"/>
          <w:szCs w:val="20"/>
        </w:rPr>
      </w:pPr>
      <w:r w:rsidRPr="00E16E08">
        <w:rPr>
          <w:rFonts w:ascii="Arial" w:hAnsi="Arial" w:cs="Arial"/>
          <w:b/>
          <w:sz w:val="20"/>
          <w:szCs w:val="20"/>
        </w:rPr>
        <w:t xml:space="preserve">LEASE-IN AGREEMENT BETWEEN OPERATORS REGISTERED IN </w:t>
      </w:r>
      <w:r w:rsidR="005F5690" w:rsidRPr="005F5690">
        <w:rPr>
          <w:rFonts w:ascii="Arial" w:hAnsi="Arial" w:cs="Arial"/>
          <w:b/>
          <w:sz w:val="20"/>
          <w:szCs w:val="20"/>
        </w:rPr>
        <w:t>THE REPUBLIC OF ARMENIA</w:t>
      </w:r>
      <w:r w:rsidR="005F5690" w:rsidRPr="00E16E08">
        <w:rPr>
          <w:rFonts w:ascii="Arial" w:hAnsi="Arial" w:cs="Arial"/>
          <w:sz w:val="20"/>
          <w:szCs w:val="20"/>
        </w:rPr>
        <w:t xml:space="preserve"> </w:t>
      </w:r>
    </w:p>
    <w:p w14:paraId="26620E4E" w14:textId="16989244" w:rsidR="00E16E08" w:rsidRPr="00E16E08" w:rsidRDefault="00E16E08" w:rsidP="005F5690">
      <w:pPr>
        <w:tabs>
          <w:tab w:val="left" w:pos="1273"/>
          <w:tab w:val="left" w:pos="1274"/>
        </w:tabs>
        <w:spacing w:before="122" w:line="276" w:lineRule="auto"/>
        <w:ind w:right="200"/>
        <w:rPr>
          <w:rFonts w:ascii="Arial" w:hAnsi="Arial" w:cs="Arial"/>
          <w:sz w:val="20"/>
          <w:szCs w:val="20"/>
        </w:rPr>
      </w:pPr>
      <w:r w:rsidRPr="00E16E08">
        <w:rPr>
          <w:rFonts w:ascii="Arial" w:hAnsi="Arial" w:cs="Arial"/>
          <w:sz w:val="20"/>
          <w:szCs w:val="20"/>
        </w:rPr>
        <w:t xml:space="preserve">The lessee notifies to the </w:t>
      </w:r>
      <w:r w:rsidR="00A804D2">
        <w:rPr>
          <w:rFonts w:ascii="Arial" w:hAnsi="Arial" w:cs="Arial"/>
          <w:sz w:val="20"/>
          <w:szCs w:val="20"/>
        </w:rPr>
        <w:t xml:space="preserve">CAC RA </w:t>
      </w:r>
      <w:r w:rsidRPr="00E16E08">
        <w:rPr>
          <w:rFonts w:ascii="Arial" w:hAnsi="Arial" w:cs="Arial"/>
          <w:sz w:val="20"/>
          <w:szCs w:val="20"/>
        </w:rPr>
        <w:t>any lease agreement between operators having their principal p</w:t>
      </w:r>
      <w:r w:rsidR="00547762">
        <w:rPr>
          <w:rFonts w:ascii="Arial" w:hAnsi="Arial" w:cs="Arial"/>
          <w:sz w:val="20"/>
          <w:szCs w:val="20"/>
        </w:rPr>
        <w:t xml:space="preserve">lace of business in </w:t>
      </w:r>
      <w:r w:rsidR="005F5690" w:rsidRPr="00C1366B">
        <w:rPr>
          <w:rFonts w:ascii="Arial" w:hAnsi="Arial" w:cs="Arial"/>
          <w:sz w:val="20"/>
        </w:rPr>
        <w:t>the Republic of Armenia</w:t>
      </w:r>
      <w:r w:rsidRPr="00E16E08">
        <w:rPr>
          <w:rFonts w:ascii="Arial" w:hAnsi="Arial" w:cs="Arial"/>
          <w:sz w:val="20"/>
          <w:szCs w:val="20"/>
        </w:rPr>
        <w:t>.</w:t>
      </w:r>
    </w:p>
    <w:p w14:paraId="1ACB9E14" w14:textId="77777777" w:rsidR="00624F46" w:rsidRDefault="00624F46" w:rsidP="009601C2">
      <w:pPr>
        <w:tabs>
          <w:tab w:val="left" w:pos="1273"/>
          <w:tab w:val="left" w:pos="1274"/>
        </w:tabs>
        <w:spacing w:before="122" w:line="276" w:lineRule="auto"/>
        <w:ind w:right="200"/>
        <w:rPr>
          <w:rFonts w:ascii="Arial" w:hAnsi="Arial" w:cs="Arial"/>
          <w:sz w:val="20"/>
          <w:szCs w:val="20"/>
        </w:rPr>
      </w:pPr>
    </w:p>
    <w:p w14:paraId="107C33A5" w14:textId="77777777" w:rsidR="00624F46" w:rsidRDefault="00624F46" w:rsidP="009601C2">
      <w:pPr>
        <w:tabs>
          <w:tab w:val="left" w:pos="1273"/>
          <w:tab w:val="left" w:pos="1274"/>
        </w:tabs>
        <w:spacing w:before="122" w:line="276" w:lineRule="auto"/>
        <w:ind w:right="200"/>
        <w:rPr>
          <w:rFonts w:ascii="Arial" w:hAnsi="Arial" w:cs="Arial"/>
          <w:sz w:val="20"/>
          <w:szCs w:val="20"/>
        </w:rPr>
      </w:pPr>
    </w:p>
    <w:p w14:paraId="07D5F445" w14:textId="77777777" w:rsidR="00624F46" w:rsidRDefault="00624F46" w:rsidP="009601C2">
      <w:pPr>
        <w:tabs>
          <w:tab w:val="left" w:pos="1273"/>
          <w:tab w:val="left" w:pos="1274"/>
        </w:tabs>
        <w:spacing w:before="122" w:line="276" w:lineRule="auto"/>
        <w:ind w:right="200"/>
        <w:rPr>
          <w:rFonts w:ascii="Arial" w:hAnsi="Arial" w:cs="Arial"/>
          <w:sz w:val="20"/>
          <w:szCs w:val="20"/>
        </w:rPr>
      </w:pPr>
    </w:p>
    <w:p w14:paraId="3608BECD" w14:textId="77777777" w:rsidR="00E16E08" w:rsidRDefault="00E16E08" w:rsidP="009601C2">
      <w:pPr>
        <w:tabs>
          <w:tab w:val="left" w:pos="1273"/>
          <w:tab w:val="left" w:pos="1274"/>
        </w:tabs>
        <w:spacing w:before="122" w:line="276" w:lineRule="auto"/>
        <w:ind w:right="200"/>
        <w:rPr>
          <w:rFonts w:ascii="Arial" w:hAnsi="Arial" w:cs="Arial"/>
          <w:sz w:val="20"/>
          <w:szCs w:val="20"/>
        </w:rPr>
      </w:pPr>
    </w:p>
    <w:p w14:paraId="04901C8E" w14:textId="5CF429CD" w:rsidR="00E16E08" w:rsidRDefault="00E16E08" w:rsidP="009601C2">
      <w:pPr>
        <w:tabs>
          <w:tab w:val="left" w:pos="1273"/>
          <w:tab w:val="left" w:pos="1274"/>
        </w:tabs>
        <w:spacing w:before="122" w:line="276" w:lineRule="auto"/>
        <w:ind w:right="200"/>
        <w:rPr>
          <w:rFonts w:ascii="Arial" w:hAnsi="Arial" w:cs="Arial"/>
          <w:sz w:val="20"/>
          <w:szCs w:val="20"/>
        </w:rPr>
      </w:pPr>
    </w:p>
    <w:p w14:paraId="27A41F45" w14:textId="77777777" w:rsidR="00E16E08" w:rsidRDefault="00E16E08" w:rsidP="009601C2">
      <w:pPr>
        <w:tabs>
          <w:tab w:val="left" w:pos="1273"/>
          <w:tab w:val="left" w:pos="1274"/>
        </w:tabs>
        <w:spacing w:before="122" w:line="276" w:lineRule="auto"/>
        <w:ind w:right="200"/>
        <w:rPr>
          <w:rFonts w:ascii="Arial" w:hAnsi="Arial" w:cs="Arial"/>
          <w:sz w:val="20"/>
          <w:szCs w:val="20"/>
        </w:rPr>
      </w:pPr>
    </w:p>
    <w:p w14:paraId="5E506FEF" w14:textId="77777777" w:rsidR="00E16E08" w:rsidRDefault="00E16E08" w:rsidP="009601C2">
      <w:pPr>
        <w:tabs>
          <w:tab w:val="left" w:pos="1273"/>
          <w:tab w:val="left" w:pos="1274"/>
        </w:tabs>
        <w:spacing w:before="122" w:line="276" w:lineRule="auto"/>
        <w:ind w:right="200"/>
        <w:rPr>
          <w:rFonts w:ascii="Arial" w:hAnsi="Arial" w:cs="Arial"/>
          <w:sz w:val="20"/>
          <w:szCs w:val="20"/>
        </w:rPr>
      </w:pPr>
    </w:p>
    <w:p w14:paraId="4EE303CF" w14:textId="77777777" w:rsidR="00E16E08" w:rsidRPr="00FA7754" w:rsidRDefault="00E16E08" w:rsidP="009601C2">
      <w:pPr>
        <w:keepNext/>
        <w:keepLines/>
        <w:spacing w:before="40" w:line="276" w:lineRule="auto"/>
        <w:jc w:val="center"/>
        <w:outlineLvl w:val="3"/>
        <w:rPr>
          <w:rFonts w:ascii="Arial" w:eastAsiaTheme="majorEastAsia" w:hAnsi="Arial" w:cs="Arial"/>
          <w:b/>
          <w:iCs/>
          <w:color w:val="2E74B5" w:themeColor="accent1" w:themeShade="BF"/>
          <w:sz w:val="24"/>
          <w:szCs w:val="24"/>
        </w:rPr>
      </w:pPr>
      <w:bookmarkStart w:id="435" w:name="_Toc153137345"/>
      <w:r w:rsidRPr="00FA7754">
        <w:rPr>
          <w:rFonts w:ascii="Arial" w:eastAsiaTheme="majorEastAsia" w:hAnsi="Arial" w:cs="Arial"/>
          <w:b/>
          <w:iCs/>
          <w:color w:val="2E74B5" w:themeColor="accent1" w:themeShade="BF"/>
          <w:sz w:val="24"/>
          <w:szCs w:val="24"/>
        </w:rPr>
        <w:lastRenderedPageBreak/>
        <w:t>SECTION 3 – MANUALS AND RECORDS</w:t>
      </w:r>
      <w:bookmarkEnd w:id="435"/>
    </w:p>
    <w:p w14:paraId="7615E9D2" w14:textId="77777777" w:rsidR="00666239" w:rsidRPr="00666239" w:rsidRDefault="00666239"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436" w:name="BOP.ADD.200_Operations_manual"/>
      <w:bookmarkStart w:id="437" w:name="_bookmark181"/>
      <w:bookmarkStart w:id="438" w:name="_Toc153137346"/>
      <w:bookmarkEnd w:id="436"/>
      <w:bookmarkEnd w:id="437"/>
      <w:r w:rsidRPr="00666239">
        <w:rPr>
          <w:rFonts w:ascii="Arial" w:eastAsia="Times New Roman" w:hAnsi="Arial" w:cs="Times New Roman"/>
          <w:b/>
          <w:iCs/>
          <w:color w:val="FFFFFF"/>
          <w:sz w:val="24"/>
        </w:rPr>
        <w:t>BOP.ADD.200 Operations manual</w:t>
      </w:r>
      <w:bookmarkEnd w:id="438"/>
    </w:p>
    <w:p w14:paraId="41B82463" w14:textId="77777777" w:rsidR="00666239" w:rsidRPr="00666239" w:rsidRDefault="00666239" w:rsidP="009B00C9">
      <w:pPr>
        <w:numPr>
          <w:ilvl w:val="0"/>
          <w:numId w:val="103"/>
        </w:numPr>
        <w:tabs>
          <w:tab w:val="left" w:pos="1273"/>
          <w:tab w:val="left" w:pos="1274"/>
        </w:tabs>
        <w:spacing w:before="122" w:line="276" w:lineRule="auto"/>
        <w:ind w:right="68"/>
        <w:jc w:val="both"/>
        <w:rPr>
          <w:rFonts w:ascii="Arial" w:hAnsi="Arial" w:cs="Arial"/>
          <w:sz w:val="20"/>
          <w:szCs w:val="20"/>
        </w:rPr>
      </w:pPr>
      <w:r w:rsidRPr="00666239">
        <w:rPr>
          <w:rFonts w:ascii="Arial" w:hAnsi="Arial" w:cs="Arial"/>
          <w:sz w:val="20"/>
          <w:szCs w:val="20"/>
        </w:rPr>
        <w:t>The operator shall establish an operations manual.</w:t>
      </w:r>
    </w:p>
    <w:p w14:paraId="5058B09F" w14:textId="77777777" w:rsidR="00666239" w:rsidRPr="00666239" w:rsidRDefault="00666239" w:rsidP="009B00C9">
      <w:pPr>
        <w:pStyle w:val="ListParagraph"/>
        <w:numPr>
          <w:ilvl w:val="0"/>
          <w:numId w:val="103"/>
        </w:numPr>
        <w:tabs>
          <w:tab w:val="left" w:pos="707"/>
        </w:tabs>
        <w:spacing w:line="276" w:lineRule="auto"/>
        <w:ind w:right="68"/>
        <w:jc w:val="both"/>
        <w:rPr>
          <w:rFonts w:ascii="Arial" w:hAnsi="Arial" w:cs="Arial"/>
          <w:sz w:val="20"/>
          <w:szCs w:val="20"/>
        </w:rPr>
      </w:pPr>
      <w:r w:rsidRPr="00666239">
        <w:rPr>
          <w:rFonts w:ascii="Arial" w:hAnsi="Arial" w:cs="Arial"/>
          <w:sz w:val="20"/>
          <w:szCs w:val="20"/>
        </w:rPr>
        <w:t>The content of the operations manual shall reflect the requirements set out in this Annex and</w:t>
      </w:r>
      <w:r w:rsidRPr="00666239">
        <w:rPr>
          <w:rFonts w:ascii="Arial" w:hAnsi="Arial" w:cs="Arial"/>
          <w:spacing w:val="1"/>
          <w:sz w:val="20"/>
          <w:szCs w:val="20"/>
        </w:rPr>
        <w:t xml:space="preserve"> </w:t>
      </w:r>
      <w:r w:rsidRPr="00666239">
        <w:rPr>
          <w:rFonts w:ascii="Arial" w:hAnsi="Arial" w:cs="Arial"/>
          <w:sz w:val="20"/>
          <w:szCs w:val="20"/>
        </w:rPr>
        <w:t>shall</w:t>
      </w:r>
      <w:r w:rsidRPr="00666239">
        <w:rPr>
          <w:rFonts w:ascii="Arial" w:hAnsi="Arial" w:cs="Arial"/>
          <w:spacing w:val="-2"/>
          <w:sz w:val="20"/>
          <w:szCs w:val="20"/>
        </w:rPr>
        <w:t xml:space="preserve"> </w:t>
      </w:r>
      <w:r w:rsidRPr="00666239">
        <w:rPr>
          <w:rFonts w:ascii="Arial" w:hAnsi="Arial" w:cs="Arial"/>
          <w:sz w:val="20"/>
          <w:szCs w:val="20"/>
        </w:rPr>
        <w:t>not</w:t>
      </w:r>
      <w:r w:rsidRPr="00666239">
        <w:rPr>
          <w:rFonts w:ascii="Arial" w:hAnsi="Arial" w:cs="Arial"/>
          <w:spacing w:val="-2"/>
          <w:sz w:val="20"/>
          <w:szCs w:val="20"/>
        </w:rPr>
        <w:t xml:space="preserve"> </w:t>
      </w:r>
      <w:r w:rsidRPr="00666239">
        <w:rPr>
          <w:rFonts w:ascii="Arial" w:hAnsi="Arial" w:cs="Arial"/>
          <w:sz w:val="20"/>
          <w:szCs w:val="20"/>
        </w:rPr>
        <w:t>contravene</w:t>
      </w:r>
      <w:r w:rsidRPr="00666239">
        <w:rPr>
          <w:rFonts w:ascii="Arial" w:hAnsi="Arial" w:cs="Arial"/>
          <w:spacing w:val="1"/>
          <w:sz w:val="20"/>
          <w:szCs w:val="20"/>
        </w:rPr>
        <w:t xml:space="preserve"> </w:t>
      </w:r>
      <w:r w:rsidRPr="00666239">
        <w:rPr>
          <w:rFonts w:ascii="Arial" w:hAnsi="Arial" w:cs="Arial"/>
          <w:sz w:val="20"/>
          <w:szCs w:val="20"/>
        </w:rPr>
        <w:t>any</w:t>
      </w:r>
      <w:r w:rsidRPr="00666239">
        <w:rPr>
          <w:rFonts w:ascii="Arial" w:hAnsi="Arial" w:cs="Arial"/>
          <w:spacing w:val="-2"/>
          <w:sz w:val="20"/>
          <w:szCs w:val="20"/>
        </w:rPr>
        <w:t xml:space="preserve"> </w:t>
      </w:r>
      <w:r w:rsidRPr="00666239">
        <w:rPr>
          <w:rFonts w:ascii="Arial" w:hAnsi="Arial" w:cs="Arial"/>
          <w:sz w:val="20"/>
          <w:szCs w:val="20"/>
        </w:rPr>
        <w:t>information</w:t>
      </w:r>
      <w:r w:rsidRPr="00666239">
        <w:rPr>
          <w:rFonts w:ascii="Arial" w:hAnsi="Arial" w:cs="Arial"/>
          <w:spacing w:val="-5"/>
          <w:sz w:val="20"/>
          <w:szCs w:val="20"/>
        </w:rPr>
        <w:t xml:space="preserve"> </w:t>
      </w:r>
      <w:r w:rsidRPr="00666239">
        <w:rPr>
          <w:rFonts w:ascii="Arial" w:hAnsi="Arial" w:cs="Arial"/>
          <w:sz w:val="20"/>
          <w:szCs w:val="20"/>
        </w:rPr>
        <w:t>contained in</w:t>
      </w:r>
      <w:r w:rsidRPr="00666239">
        <w:rPr>
          <w:rFonts w:ascii="Arial" w:hAnsi="Arial" w:cs="Arial"/>
          <w:spacing w:val="-1"/>
          <w:sz w:val="20"/>
          <w:szCs w:val="20"/>
        </w:rPr>
        <w:t xml:space="preserve"> </w:t>
      </w:r>
      <w:r w:rsidRPr="00666239">
        <w:rPr>
          <w:rFonts w:ascii="Arial" w:hAnsi="Arial" w:cs="Arial"/>
          <w:sz w:val="20"/>
          <w:szCs w:val="20"/>
        </w:rPr>
        <w:t>the</w:t>
      </w:r>
      <w:r w:rsidRPr="00666239">
        <w:rPr>
          <w:rFonts w:ascii="Arial" w:hAnsi="Arial" w:cs="Arial"/>
          <w:spacing w:val="-2"/>
          <w:sz w:val="20"/>
          <w:szCs w:val="20"/>
        </w:rPr>
        <w:t xml:space="preserve"> </w:t>
      </w:r>
      <w:r w:rsidRPr="00666239">
        <w:rPr>
          <w:rFonts w:ascii="Arial" w:hAnsi="Arial" w:cs="Arial"/>
          <w:sz w:val="20"/>
          <w:szCs w:val="20"/>
        </w:rPr>
        <w:t>operator's declaration.</w:t>
      </w:r>
    </w:p>
    <w:p w14:paraId="757CA89D" w14:textId="77777777" w:rsidR="00666239" w:rsidRPr="00666239" w:rsidRDefault="00666239" w:rsidP="009B00C9">
      <w:pPr>
        <w:pStyle w:val="ListParagraph"/>
        <w:numPr>
          <w:ilvl w:val="0"/>
          <w:numId w:val="103"/>
        </w:numPr>
        <w:tabs>
          <w:tab w:val="left" w:pos="707"/>
        </w:tabs>
        <w:spacing w:before="121" w:line="276" w:lineRule="auto"/>
        <w:ind w:right="68"/>
        <w:jc w:val="both"/>
        <w:rPr>
          <w:rFonts w:ascii="Arial" w:hAnsi="Arial" w:cs="Arial"/>
          <w:sz w:val="20"/>
          <w:szCs w:val="20"/>
        </w:rPr>
      </w:pPr>
      <w:r w:rsidRPr="00666239">
        <w:rPr>
          <w:rFonts w:ascii="Arial" w:hAnsi="Arial" w:cs="Arial"/>
          <w:sz w:val="20"/>
          <w:szCs w:val="20"/>
        </w:rPr>
        <w:t>The</w:t>
      </w:r>
      <w:r w:rsidRPr="00666239">
        <w:rPr>
          <w:rFonts w:ascii="Arial" w:hAnsi="Arial" w:cs="Arial"/>
          <w:spacing w:val="-2"/>
          <w:sz w:val="20"/>
          <w:szCs w:val="20"/>
        </w:rPr>
        <w:t xml:space="preserve"> </w:t>
      </w:r>
      <w:r w:rsidRPr="00666239">
        <w:rPr>
          <w:rFonts w:ascii="Arial" w:hAnsi="Arial" w:cs="Arial"/>
          <w:sz w:val="20"/>
          <w:szCs w:val="20"/>
        </w:rPr>
        <w:t>operations</w:t>
      </w:r>
      <w:r w:rsidRPr="00666239">
        <w:rPr>
          <w:rFonts w:ascii="Arial" w:hAnsi="Arial" w:cs="Arial"/>
          <w:spacing w:val="-2"/>
          <w:sz w:val="20"/>
          <w:szCs w:val="20"/>
        </w:rPr>
        <w:t xml:space="preserve"> </w:t>
      </w:r>
      <w:r w:rsidRPr="00666239">
        <w:rPr>
          <w:rFonts w:ascii="Arial" w:hAnsi="Arial" w:cs="Arial"/>
          <w:sz w:val="20"/>
          <w:szCs w:val="20"/>
        </w:rPr>
        <w:t>manual</w:t>
      </w:r>
      <w:r w:rsidRPr="00666239">
        <w:rPr>
          <w:rFonts w:ascii="Arial" w:hAnsi="Arial" w:cs="Arial"/>
          <w:spacing w:val="-3"/>
          <w:sz w:val="20"/>
          <w:szCs w:val="20"/>
        </w:rPr>
        <w:t xml:space="preserve"> </w:t>
      </w:r>
      <w:r w:rsidRPr="00666239">
        <w:rPr>
          <w:rFonts w:ascii="Arial" w:hAnsi="Arial" w:cs="Arial"/>
          <w:sz w:val="20"/>
          <w:szCs w:val="20"/>
        </w:rPr>
        <w:t>may</w:t>
      </w:r>
      <w:r w:rsidRPr="00666239">
        <w:rPr>
          <w:rFonts w:ascii="Arial" w:hAnsi="Arial" w:cs="Arial"/>
          <w:spacing w:val="-1"/>
          <w:sz w:val="20"/>
          <w:szCs w:val="20"/>
        </w:rPr>
        <w:t xml:space="preserve"> </w:t>
      </w:r>
      <w:r w:rsidRPr="00666239">
        <w:rPr>
          <w:rFonts w:ascii="Arial" w:hAnsi="Arial" w:cs="Arial"/>
          <w:sz w:val="20"/>
          <w:szCs w:val="20"/>
        </w:rPr>
        <w:t>be</w:t>
      </w:r>
      <w:r w:rsidRPr="00666239">
        <w:rPr>
          <w:rFonts w:ascii="Arial" w:hAnsi="Arial" w:cs="Arial"/>
          <w:spacing w:val="-3"/>
          <w:sz w:val="20"/>
          <w:szCs w:val="20"/>
        </w:rPr>
        <w:t xml:space="preserve"> </w:t>
      </w:r>
      <w:r w:rsidRPr="00666239">
        <w:rPr>
          <w:rFonts w:ascii="Arial" w:hAnsi="Arial" w:cs="Arial"/>
          <w:sz w:val="20"/>
          <w:szCs w:val="20"/>
        </w:rPr>
        <w:t>established</w:t>
      </w:r>
      <w:r w:rsidRPr="00666239">
        <w:rPr>
          <w:rFonts w:ascii="Arial" w:hAnsi="Arial" w:cs="Arial"/>
          <w:spacing w:val="-4"/>
          <w:sz w:val="20"/>
          <w:szCs w:val="20"/>
        </w:rPr>
        <w:t xml:space="preserve"> </w:t>
      </w:r>
      <w:r w:rsidRPr="00666239">
        <w:rPr>
          <w:rFonts w:ascii="Arial" w:hAnsi="Arial" w:cs="Arial"/>
          <w:sz w:val="20"/>
          <w:szCs w:val="20"/>
        </w:rPr>
        <w:t>as</w:t>
      </w:r>
      <w:r w:rsidRPr="00666239">
        <w:rPr>
          <w:rFonts w:ascii="Arial" w:hAnsi="Arial" w:cs="Arial"/>
          <w:spacing w:val="-1"/>
          <w:sz w:val="20"/>
          <w:szCs w:val="20"/>
        </w:rPr>
        <w:t xml:space="preserve"> </w:t>
      </w:r>
      <w:r w:rsidRPr="00666239">
        <w:rPr>
          <w:rFonts w:ascii="Arial" w:hAnsi="Arial" w:cs="Arial"/>
          <w:sz w:val="20"/>
          <w:szCs w:val="20"/>
        </w:rPr>
        <w:t>separate</w:t>
      </w:r>
      <w:r w:rsidRPr="00666239">
        <w:rPr>
          <w:rFonts w:ascii="Arial" w:hAnsi="Arial" w:cs="Arial"/>
          <w:spacing w:val="-1"/>
          <w:sz w:val="20"/>
          <w:szCs w:val="20"/>
        </w:rPr>
        <w:t xml:space="preserve"> </w:t>
      </w:r>
      <w:r w:rsidRPr="00666239">
        <w:rPr>
          <w:rFonts w:ascii="Arial" w:hAnsi="Arial" w:cs="Arial"/>
          <w:sz w:val="20"/>
          <w:szCs w:val="20"/>
        </w:rPr>
        <w:t>parts.</w:t>
      </w:r>
    </w:p>
    <w:p w14:paraId="4A5D7B9B" w14:textId="77777777" w:rsidR="00666239" w:rsidRPr="00666239" w:rsidRDefault="00666239" w:rsidP="009B00C9">
      <w:pPr>
        <w:pStyle w:val="ListParagraph"/>
        <w:numPr>
          <w:ilvl w:val="0"/>
          <w:numId w:val="103"/>
        </w:numPr>
        <w:tabs>
          <w:tab w:val="left" w:pos="707"/>
        </w:tabs>
        <w:spacing w:line="276" w:lineRule="auto"/>
        <w:ind w:right="68"/>
        <w:jc w:val="both"/>
        <w:rPr>
          <w:rFonts w:ascii="Arial" w:hAnsi="Arial" w:cs="Arial"/>
          <w:sz w:val="20"/>
          <w:szCs w:val="20"/>
        </w:rPr>
      </w:pPr>
      <w:r w:rsidRPr="00666239">
        <w:rPr>
          <w:rFonts w:ascii="Arial" w:hAnsi="Arial" w:cs="Arial"/>
          <w:sz w:val="20"/>
          <w:szCs w:val="20"/>
        </w:rPr>
        <w:t>All personnel of the operator shall have easy access to the portions of the operations manual</w:t>
      </w:r>
      <w:r w:rsidRPr="00666239">
        <w:rPr>
          <w:rFonts w:ascii="Arial" w:hAnsi="Arial" w:cs="Arial"/>
          <w:spacing w:val="1"/>
          <w:sz w:val="20"/>
          <w:szCs w:val="20"/>
        </w:rPr>
        <w:t xml:space="preserve"> </w:t>
      </w:r>
      <w:r w:rsidRPr="00666239">
        <w:rPr>
          <w:rFonts w:ascii="Arial" w:hAnsi="Arial" w:cs="Arial"/>
          <w:sz w:val="20"/>
          <w:szCs w:val="20"/>
        </w:rPr>
        <w:t>that are</w:t>
      </w:r>
      <w:r w:rsidRPr="00666239">
        <w:rPr>
          <w:rFonts w:ascii="Arial" w:hAnsi="Arial" w:cs="Arial"/>
          <w:spacing w:val="-2"/>
          <w:sz w:val="20"/>
          <w:szCs w:val="20"/>
        </w:rPr>
        <w:t xml:space="preserve"> </w:t>
      </w:r>
      <w:r w:rsidRPr="00666239">
        <w:rPr>
          <w:rFonts w:ascii="Arial" w:hAnsi="Arial" w:cs="Arial"/>
          <w:sz w:val="20"/>
          <w:szCs w:val="20"/>
        </w:rPr>
        <w:t>relevant</w:t>
      </w:r>
      <w:r w:rsidRPr="00666239">
        <w:rPr>
          <w:rFonts w:ascii="Arial" w:hAnsi="Arial" w:cs="Arial"/>
          <w:spacing w:val="-2"/>
          <w:sz w:val="20"/>
          <w:szCs w:val="20"/>
        </w:rPr>
        <w:t xml:space="preserve"> </w:t>
      </w:r>
      <w:r w:rsidRPr="00666239">
        <w:rPr>
          <w:rFonts w:ascii="Arial" w:hAnsi="Arial" w:cs="Arial"/>
          <w:sz w:val="20"/>
          <w:szCs w:val="20"/>
        </w:rPr>
        <w:t>to</w:t>
      </w:r>
      <w:r w:rsidRPr="00666239">
        <w:rPr>
          <w:rFonts w:ascii="Arial" w:hAnsi="Arial" w:cs="Arial"/>
          <w:spacing w:val="-1"/>
          <w:sz w:val="20"/>
          <w:szCs w:val="20"/>
        </w:rPr>
        <w:t xml:space="preserve"> </w:t>
      </w:r>
      <w:r w:rsidRPr="00666239">
        <w:rPr>
          <w:rFonts w:ascii="Arial" w:hAnsi="Arial" w:cs="Arial"/>
          <w:sz w:val="20"/>
          <w:szCs w:val="20"/>
        </w:rPr>
        <w:t>their duties.</w:t>
      </w:r>
    </w:p>
    <w:p w14:paraId="7F5BCAC9" w14:textId="77777777" w:rsidR="00666239" w:rsidRPr="00666239" w:rsidRDefault="00666239" w:rsidP="009B00C9">
      <w:pPr>
        <w:pStyle w:val="ListParagraph"/>
        <w:numPr>
          <w:ilvl w:val="0"/>
          <w:numId w:val="103"/>
        </w:numPr>
        <w:tabs>
          <w:tab w:val="left" w:pos="707"/>
        </w:tabs>
        <w:spacing w:line="276" w:lineRule="auto"/>
        <w:ind w:right="68"/>
        <w:jc w:val="both"/>
        <w:rPr>
          <w:rFonts w:ascii="Arial" w:hAnsi="Arial" w:cs="Arial"/>
          <w:sz w:val="20"/>
          <w:szCs w:val="20"/>
        </w:rPr>
      </w:pPr>
      <w:r w:rsidRPr="00666239">
        <w:rPr>
          <w:rFonts w:ascii="Arial" w:hAnsi="Arial" w:cs="Arial"/>
          <w:sz w:val="20"/>
          <w:szCs w:val="20"/>
        </w:rPr>
        <w:t>The operations manual shall be kept up-to-date. All personnel of the operator shall be made</w:t>
      </w:r>
      <w:r w:rsidRPr="00666239">
        <w:rPr>
          <w:rFonts w:ascii="Arial" w:hAnsi="Arial" w:cs="Arial"/>
          <w:spacing w:val="1"/>
          <w:sz w:val="20"/>
          <w:szCs w:val="20"/>
        </w:rPr>
        <w:t xml:space="preserve"> </w:t>
      </w:r>
      <w:r w:rsidRPr="00666239">
        <w:rPr>
          <w:rFonts w:ascii="Arial" w:hAnsi="Arial" w:cs="Arial"/>
          <w:sz w:val="20"/>
          <w:szCs w:val="20"/>
        </w:rPr>
        <w:t>aware of any amendment of the operations manual that are relevant to the performance of</w:t>
      </w:r>
      <w:r w:rsidRPr="00666239">
        <w:rPr>
          <w:rFonts w:ascii="Arial" w:hAnsi="Arial" w:cs="Arial"/>
          <w:spacing w:val="1"/>
          <w:sz w:val="20"/>
          <w:szCs w:val="20"/>
        </w:rPr>
        <w:t xml:space="preserve"> </w:t>
      </w:r>
      <w:r w:rsidRPr="00666239">
        <w:rPr>
          <w:rFonts w:ascii="Arial" w:hAnsi="Arial" w:cs="Arial"/>
          <w:sz w:val="20"/>
          <w:szCs w:val="20"/>
        </w:rPr>
        <w:t>their duties.</w:t>
      </w:r>
    </w:p>
    <w:p w14:paraId="7F7F8D48" w14:textId="77777777" w:rsidR="00666239" w:rsidRPr="00666239" w:rsidRDefault="00666239" w:rsidP="009B00C9">
      <w:pPr>
        <w:pStyle w:val="ListParagraph"/>
        <w:numPr>
          <w:ilvl w:val="0"/>
          <w:numId w:val="103"/>
        </w:numPr>
        <w:tabs>
          <w:tab w:val="left" w:pos="707"/>
        </w:tabs>
        <w:spacing w:before="119" w:line="276" w:lineRule="auto"/>
        <w:ind w:right="68"/>
        <w:jc w:val="both"/>
        <w:rPr>
          <w:rFonts w:ascii="Arial" w:hAnsi="Arial" w:cs="Arial"/>
          <w:sz w:val="20"/>
          <w:szCs w:val="20"/>
        </w:rPr>
      </w:pPr>
      <w:r w:rsidRPr="00666239">
        <w:rPr>
          <w:rFonts w:ascii="Arial" w:hAnsi="Arial" w:cs="Arial"/>
          <w:sz w:val="20"/>
          <w:szCs w:val="20"/>
        </w:rPr>
        <w:t>The</w:t>
      </w:r>
      <w:r w:rsidRPr="00666239">
        <w:rPr>
          <w:rFonts w:ascii="Arial" w:hAnsi="Arial" w:cs="Arial"/>
          <w:spacing w:val="1"/>
          <w:sz w:val="20"/>
          <w:szCs w:val="20"/>
        </w:rPr>
        <w:t xml:space="preserve"> </w:t>
      </w:r>
      <w:r w:rsidRPr="00666239">
        <w:rPr>
          <w:rFonts w:ascii="Arial" w:hAnsi="Arial" w:cs="Arial"/>
          <w:sz w:val="20"/>
          <w:szCs w:val="20"/>
        </w:rPr>
        <w:t>operator</w:t>
      </w:r>
      <w:r w:rsidRPr="00666239">
        <w:rPr>
          <w:rFonts w:ascii="Arial" w:hAnsi="Arial" w:cs="Arial"/>
          <w:spacing w:val="1"/>
          <w:sz w:val="20"/>
          <w:szCs w:val="20"/>
        </w:rPr>
        <w:t xml:space="preserve"> </w:t>
      </w:r>
      <w:r w:rsidRPr="00666239">
        <w:rPr>
          <w:rFonts w:ascii="Arial" w:hAnsi="Arial" w:cs="Arial"/>
          <w:sz w:val="20"/>
          <w:szCs w:val="20"/>
        </w:rPr>
        <w:t>shall ensure that</w:t>
      </w:r>
      <w:r w:rsidRPr="00666239">
        <w:rPr>
          <w:rFonts w:ascii="Arial" w:hAnsi="Arial" w:cs="Arial"/>
          <w:spacing w:val="1"/>
          <w:sz w:val="20"/>
          <w:szCs w:val="20"/>
        </w:rPr>
        <w:t xml:space="preserve"> </w:t>
      </w:r>
      <w:r w:rsidRPr="00666239">
        <w:rPr>
          <w:rFonts w:ascii="Arial" w:hAnsi="Arial" w:cs="Arial"/>
          <w:sz w:val="20"/>
          <w:szCs w:val="20"/>
        </w:rPr>
        <w:t>any information</w:t>
      </w:r>
      <w:r w:rsidRPr="00666239">
        <w:rPr>
          <w:rFonts w:ascii="Arial" w:hAnsi="Arial" w:cs="Arial"/>
          <w:spacing w:val="1"/>
          <w:sz w:val="20"/>
          <w:szCs w:val="20"/>
        </w:rPr>
        <w:t xml:space="preserve"> </w:t>
      </w:r>
      <w:r w:rsidRPr="00666239">
        <w:rPr>
          <w:rFonts w:ascii="Arial" w:hAnsi="Arial" w:cs="Arial"/>
          <w:sz w:val="20"/>
          <w:szCs w:val="20"/>
        </w:rPr>
        <w:t>used</w:t>
      </w:r>
      <w:r w:rsidRPr="00666239">
        <w:rPr>
          <w:rFonts w:ascii="Arial" w:hAnsi="Arial" w:cs="Arial"/>
          <w:spacing w:val="1"/>
          <w:sz w:val="20"/>
          <w:szCs w:val="20"/>
        </w:rPr>
        <w:t xml:space="preserve"> </w:t>
      </w:r>
      <w:r w:rsidRPr="00666239">
        <w:rPr>
          <w:rFonts w:ascii="Arial" w:hAnsi="Arial" w:cs="Arial"/>
          <w:sz w:val="20"/>
          <w:szCs w:val="20"/>
        </w:rPr>
        <w:t>as</w:t>
      </w:r>
      <w:r w:rsidRPr="00666239">
        <w:rPr>
          <w:rFonts w:ascii="Arial" w:hAnsi="Arial" w:cs="Arial"/>
          <w:spacing w:val="1"/>
          <w:sz w:val="20"/>
          <w:szCs w:val="20"/>
        </w:rPr>
        <w:t xml:space="preserve"> </w:t>
      </w:r>
      <w:r w:rsidRPr="00666239">
        <w:rPr>
          <w:rFonts w:ascii="Arial" w:hAnsi="Arial" w:cs="Arial"/>
          <w:sz w:val="20"/>
          <w:szCs w:val="20"/>
        </w:rPr>
        <w:t>the</w:t>
      </w:r>
      <w:r w:rsidRPr="00666239">
        <w:rPr>
          <w:rFonts w:ascii="Arial" w:hAnsi="Arial" w:cs="Arial"/>
          <w:spacing w:val="1"/>
          <w:sz w:val="20"/>
          <w:szCs w:val="20"/>
        </w:rPr>
        <w:t xml:space="preserve"> </w:t>
      </w:r>
      <w:r w:rsidRPr="00666239">
        <w:rPr>
          <w:rFonts w:ascii="Arial" w:hAnsi="Arial" w:cs="Arial"/>
          <w:sz w:val="20"/>
          <w:szCs w:val="20"/>
        </w:rPr>
        <w:t>basis</w:t>
      </w:r>
      <w:r w:rsidRPr="00666239">
        <w:rPr>
          <w:rFonts w:ascii="Arial" w:hAnsi="Arial" w:cs="Arial"/>
          <w:spacing w:val="1"/>
          <w:sz w:val="20"/>
          <w:szCs w:val="20"/>
        </w:rPr>
        <w:t xml:space="preserve"> </w:t>
      </w:r>
      <w:r w:rsidRPr="00666239">
        <w:rPr>
          <w:rFonts w:ascii="Arial" w:hAnsi="Arial" w:cs="Arial"/>
          <w:sz w:val="20"/>
          <w:szCs w:val="20"/>
        </w:rPr>
        <w:t>for the content of</w:t>
      </w:r>
      <w:r w:rsidRPr="00666239">
        <w:rPr>
          <w:rFonts w:ascii="Arial" w:hAnsi="Arial" w:cs="Arial"/>
          <w:spacing w:val="1"/>
          <w:sz w:val="20"/>
          <w:szCs w:val="20"/>
        </w:rPr>
        <w:t xml:space="preserve"> </w:t>
      </w:r>
      <w:r w:rsidRPr="00666239">
        <w:rPr>
          <w:rFonts w:ascii="Arial" w:hAnsi="Arial" w:cs="Arial"/>
          <w:sz w:val="20"/>
          <w:szCs w:val="20"/>
        </w:rPr>
        <w:t>the</w:t>
      </w:r>
      <w:r w:rsidRPr="00666239">
        <w:rPr>
          <w:rFonts w:ascii="Arial" w:hAnsi="Arial" w:cs="Arial"/>
          <w:spacing w:val="1"/>
          <w:sz w:val="20"/>
          <w:szCs w:val="20"/>
        </w:rPr>
        <w:t xml:space="preserve"> </w:t>
      </w:r>
      <w:r w:rsidRPr="00666239">
        <w:rPr>
          <w:rFonts w:ascii="Arial" w:hAnsi="Arial" w:cs="Arial"/>
          <w:sz w:val="20"/>
          <w:szCs w:val="20"/>
        </w:rPr>
        <w:t>operations</w:t>
      </w:r>
      <w:r w:rsidRPr="00666239">
        <w:rPr>
          <w:rFonts w:ascii="Arial" w:hAnsi="Arial" w:cs="Arial"/>
          <w:spacing w:val="-9"/>
          <w:sz w:val="20"/>
          <w:szCs w:val="20"/>
        </w:rPr>
        <w:t xml:space="preserve"> </w:t>
      </w:r>
      <w:r w:rsidRPr="00666239">
        <w:rPr>
          <w:rFonts w:ascii="Arial" w:hAnsi="Arial" w:cs="Arial"/>
          <w:sz w:val="20"/>
          <w:szCs w:val="20"/>
        </w:rPr>
        <w:t>manual</w:t>
      </w:r>
      <w:r w:rsidRPr="00666239">
        <w:rPr>
          <w:rFonts w:ascii="Arial" w:hAnsi="Arial" w:cs="Arial"/>
          <w:spacing w:val="-9"/>
          <w:sz w:val="20"/>
          <w:szCs w:val="20"/>
        </w:rPr>
        <w:t xml:space="preserve"> </w:t>
      </w:r>
      <w:r w:rsidRPr="00666239">
        <w:rPr>
          <w:rFonts w:ascii="Arial" w:hAnsi="Arial" w:cs="Arial"/>
          <w:sz w:val="20"/>
          <w:szCs w:val="20"/>
        </w:rPr>
        <w:t>and</w:t>
      </w:r>
      <w:r w:rsidRPr="00666239">
        <w:rPr>
          <w:rFonts w:ascii="Arial" w:hAnsi="Arial" w:cs="Arial"/>
          <w:spacing w:val="-8"/>
          <w:sz w:val="20"/>
          <w:szCs w:val="20"/>
        </w:rPr>
        <w:t xml:space="preserve"> </w:t>
      </w:r>
      <w:r w:rsidRPr="00666239">
        <w:rPr>
          <w:rFonts w:ascii="Arial" w:hAnsi="Arial" w:cs="Arial"/>
          <w:sz w:val="20"/>
          <w:szCs w:val="20"/>
        </w:rPr>
        <w:t>any</w:t>
      </w:r>
      <w:r w:rsidRPr="00666239">
        <w:rPr>
          <w:rFonts w:ascii="Arial" w:hAnsi="Arial" w:cs="Arial"/>
          <w:spacing w:val="-6"/>
          <w:sz w:val="20"/>
          <w:szCs w:val="20"/>
        </w:rPr>
        <w:t xml:space="preserve"> </w:t>
      </w:r>
      <w:r w:rsidRPr="00666239">
        <w:rPr>
          <w:rFonts w:ascii="Arial" w:hAnsi="Arial" w:cs="Arial"/>
          <w:sz w:val="20"/>
          <w:szCs w:val="20"/>
        </w:rPr>
        <w:t>amendment</w:t>
      </w:r>
      <w:r w:rsidRPr="00666239">
        <w:rPr>
          <w:rFonts w:ascii="Arial" w:hAnsi="Arial" w:cs="Arial"/>
          <w:spacing w:val="-7"/>
          <w:sz w:val="20"/>
          <w:szCs w:val="20"/>
        </w:rPr>
        <w:t xml:space="preserve"> </w:t>
      </w:r>
      <w:r w:rsidRPr="00666239">
        <w:rPr>
          <w:rFonts w:ascii="Arial" w:hAnsi="Arial" w:cs="Arial"/>
          <w:sz w:val="20"/>
          <w:szCs w:val="20"/>
        </w:rPr>
        <w:t>thereof</w:t>
      </w:r>
      <w:r w:rsidRPr="00666239">
        <w:rPr>
          <w:rFonts w:ascii="Arial" w:hAnsi="Arial" w:cs="Arial"/>
          <w:spacing w:val="-7"/>
          <w:sz w:val="20"/>
          <w:szCs w:val="20"/>
        </w:rPr>
        <w:t xml:space="preserve"> </w:t>
      </w:r>
      <w:r w:rsidRPr="00666239">
        <w:rPr>
          <w:rFonts w:ascii="Arial" w:hAnsi="Arial" w:cs="Arial"/>
          <w:sz w:val="20"/>
          <w:szCs w:val="20"/>
        </w:rPr>
        <w:t>is</w:t>
      </w:r>
      <w:r w:rsidRPr="00666239">
        <w:rPr>
          <w:rFonts w:ascii="Arial" w:hAnsi="Arial" w:cs="Arial"/>
          <w:spacing w:val="-7"/>
          <w:sz w:val="20"/>
          <w:szCs w:val="20"/>
        </w:rPr>
        <w:t xml:space="preserve"> </w:t>
      </w:r>
      <w:r w:rsidRPr="00666239">
        <w:rPr>
          <w:rFonts w:ascii="Arial" w:hAnsi="Arial" w:cs="Arial"/>
          <w:sz w:val="20"/>
          <w:szCs w:val="20"/>
        </w:rPr>
        <w:t>correctly</w:t>
      </w:r>
      <w:r w:rsidRPr="00666239">
        <w:rPr>
          <w:rFonts w:ascii="Arial" w:hAnsi="Arial" w:cs="Arial"/>
          <w:spacing w:val="-7"/>
          <w:sz w:val="20"/>
          <w:szCs w:val="20"/>
        </w:rPr>
        <w:t xml:space="preserve"> </w:t>
      </w:r>
      <w:r w:rsidRPr="00666239">
        <w:rPr>
          <w:rFonts w:ascii="Arial" w:hAnsi="Arial" w:cs="Arial"/>
          <w:sz w:val="20"/>
          <w:szCs w:val="20"/>
        </w:rPr>
        <w:t>reflected</w:t>
      </w:r>
      <w:r w:rsidRPr="00666239">
        <w:rPr>
          <w:rFonts w:ascii="Arial" w:hAnsi="Arial" w:cs="Arial"/>
          <w:spacing w:val="-8"/>
          <w:sz w:val="20"/>
          <w:szCs w:val="20"/>
        </w:rPr>
        <w:t xml:space="preserve"> </w:t>
      </w:r>
      <w:r w:rsidRPr="00666239">
        <w:rPr>
          <w:rFonts w:ascii="Arial" w:hAnsi="Arial" w:cs="Arial"/>
          <w:sz w:val="20"/>
          <w:szCs w:val="20"/>
        </w:rPr>
        <w:t>in</w:t>
      </w:r>
      <w:r w:rsidRPr="00666239">
        <w:rPr>
          <w:rFonts w:ascii="Arial" w:hAnsi="Arial" w:cs="Arial"/>
          <w:spacing w:val="-8"/>
          <w:sz w:val="20"/>
          <w:szCs w:val="20"/>
        </w:rPr>
        <w:t xml:space="preserve"> </w:t>
      </w:r>
      <w:r w:rsidRPr="00666239">
        <w:rPr>
          <w:rFonts w:ascii="Arial" w:hAnsi="Arial" w:cs="Arial"/>
          <w:sz w:val="20"/>
          <w:szCs w:val="20"/>
        </w:rPr>
        <w:t>the</w:t>
      </w:r>
      <w:r w:rsidRPr="00666239">
        <w:rPr>
          <w:rFonts w:ascii="Arial" w:hAnsi="Arial" w:cs="Arial"/>
          <w:spacing w:val="-9"/>
          <w:sz w:val="20"/>
          <w:szCs w:val="20"/>
        </w:rPr>
        <w:t xml:space="preserve"> </w:t>
      </w:r>
      <w:r w:rsidRPr="00666239">
        <w:rPr>
          <w:rFonts w:ascii="Arial" w:hAnsi="Arial" w:cs="Arial"/>
          <w:sz w:val="20"/>
          <w:szCs w:val="20"/>
        </w:rPr>
        <w:t>operations</w:t>
      </w:r>
      <w:r w:rsidRPr="00666239">
        <w:rPr>
          <w:rFonts w:ascii="Arial" w:hAnsi="Arial" w:cs="Arial"/>
          <w:spacing w:val="-9"/>
          <w:sz w:val="20"/>
          <w:szCs w:val="20"/>
        </w:rPr>
        <w:t xml:space="preserve"> </w:t>
      </w:r>
      <w:r w:rsidRPr="00666239">
        <w:rPr>
          <w:rFonts w:ascii="Arial" w:hAnsi="Arial" w:cs="Arial"/>
          <w:sz w:val="20"/>
          <w:szCs w:val="20"/>
        </w:rPr>
        <w:t>manual.</w:t>
      </w:r>
    </w:p>
    <w:p w14:paraId="5B5C048E" w14:textId="77777777" w:rsidR="00666239" w:rsidRPr="00666239" w:rsidRDefault="00666239" w:rsidP="009B00C9">
      <w:pPr>
        <w:pStyle w:val="ListParagraph"/>
        <w:numPr>
          <w:ilvl w:val="0"/>
          <w:numId w:val="103"/>
        </w:numPr>
        <w:tabs>
          <w:tab w:val="left" w:pos="707"/>
        </w:tabs>
        <w:spacing w:before="121" w:line="276" w:lineRule="auto"/>
        <w:ind w:right="68"/>
        <w:jc w:val="both"/>
        <w:rPr>
          <w:rFonts w:ascii="Arial" w:hAnsi="Arial" w:cs="Arial"/>
          <w:sz w:val="20"/>
          <w:szCs w:val="20"/>
        </w:rPr>
      </w:pPr>
      <w:r w:rsidRPr="00666239">
        <w:rPr>
          <w:rFonts w:ascii="Arial" w:hAnsi="Arial" w:cs="Arial"/>
          <w:sz w:val="20"/>
          <w:szCs w:val="20"/>
        </w:rPr>
        <w:t>The</w:t>
      </w:r>
      <w:r w:rsidRPr="00666239">
        <w:rPr>
          <w:rFonts w:ascii="Arial" w:hAnsi="Arial" w:cs="Arial"/>
          <w:spacing w:val="-8"/>
          <w:sz w:val="20"/>
          <w:szCs w:val="20"/>
        </w:rPr>
        <w:t xml:space="preserve"> </w:t>
      </w:r>
      <w:r w:rsidRPr="00666239">
        <w:rPr>
          <w:rFonts w:ascii="Arial" w:hAnsi="Arial" w:cs="Arial"/>
          <w:sz w:val="20"/>
          <w:szCs w:val="20"/>
        </w:rPr>
        <w:t>operator</w:t>
      </w:r>
      <w:r w:rsidRPr="00666239">
        <w:rPr>
          <w:rFonts w:ascii="Arial" w:hAnsi="Arial" w:cs="Arial"/>
          <w:spacing w:val="-7"/>
          <w:sz w:val="20"/>
          <w:szCs w:val="20"/>
        </w:rPr>
        <w:t xml:space="preserve"> </w:t>
      </w:r>
      <w:r w:rsidRPr="00666239">
        <w:rPr>
          <w:rFonts w:ascii="Arial" w:hAnsi="Arial" w:cs="Arial"/>
          <w:sz w:val="20"/>
          <w:szCs w:val="20"/>
        </w:rPr>
        <w:t>shall</w:t>
      </w:r>
      <w:r w:rsidRPr="00666239">
        <w:rPr>
          <w:rFonts w:ascii="Arial" w:hAnsi="Arial" w:cs="Arial"/>
          <w:spacing w:val="-7"/>
          <w:sz w:val="20"/>
          <w:szCs w:val="20"/>
        </w:rPr>
        <w:t xml:space="preserve"> </w:t>
      </w:r>
      <w:r w:rsidRPr="00666239">
        <w:rPr>
          <w:rFonts w:ascii="Arial" w:hAnsi="Arial" w:cs="Arial"/>
          <w:sz w:val="20"/>
          <w:szCs w:val="20"/>
        </w:rPr>
        <w:t>ensure</w:t>
      </w:r>
      <w:r w:rsidRPr="00666239">
        <w:rPr>
          <w:rFonts w:ascii="Arial" w:hAnsi="Arial" w:cs="Arial"/>
          <w:spacing w:val="-8"/>
          <w:sz w:val="20"/>
          <w:szCs w:val="20"/>
        </w:rPr>
        <w:t xml:space="preserve"> </w:t>
      </w:r>
      <w:r w:rsidRPr="00666239">
        <w:rPr>
          <w:rFonts w:ascii="Arial" w:hAnsi="Arial" w:cs="Arial"/>
          <w:sz w:val="20"/>
          <w:szCs w:val="20"/>
        </w:rPr>
        <w:t>that</w:t>
      </w:r>
      <w:r w:rsidRPr="00666239">
        <w:rPr>
          <w:rFonts w:ascii="Arial" w:hAnsi="Arial" w:cs="Arial"/>
          <w:spacing w:val="-7"/>
          <w:sz w:val="20"/>
          <w:szCs w:val="20"/>
        </w:rPr>
        <w:t xml:space="preserve"> </w:t>
      </w:r>
      <w:r w:rsidRPr="00666239">
        <w:rPr>
          <w:rFonts w:ascii="Arial" w:hAnsi="Arial" w:cs="Arial"/>
          <w:sz w:val="20"/>
          <w:szCs w:val="20"/>
        </w:rPr>
        <w:t>all</w:t>
      </w:r>
      <w:r w:rsidRPr="00666239">
        <w:rPr>
          <w:rFonts w:ascii="Arial" w:hAnsi="Arial" w:cs="Arial"/>
          <w:spacing w:val="-8"/>
          <w:sz w:val="20"/>
          <w:szCs w:val="20"/>
        </w:rPr>
        <w:t xml:space="preserve"> </w:t>
      </w:r>
      <w:r w:rsidRPr="00666239">
        <w:rPr>
          <w:rFonts w:ascii="Arial" w:hAnsi="Arial" w:cs="Arial"/>
          <w:sz w:val="20"/>
          <w:szCs w:val="20"/>
        </w:rPr>
        <w:t>personnel</w:t>
      </w:r>
      <w:r w:rsidRPr="00666239">
        <w:rPr>
          <w:rFonts w:ascii="Arial" w:hAnsi="Arial" w:cs="Arial"/>
          <w:spacing w:val="-8"/>
          <w:sz w:val="20"/>
          <w:szCs w:val="20"/>
        </w:rPr>
        <w:t xml:space="preserve"> </w:t>
      </w:r>
      <w:r w:rsidRPr="00666239">
        <w:rPr>
          <w:rFonts w:ascii="Arial" w:hAnsi="Arial" w:cs="Arial"/>
          <w:sz w:val="20"/>
          <w:szCs w:val="20"/>
        </w:rPr>
        <w:t>are</w:t>
      </w:r>
      <w:r w:rsidRPr="00666239">
        <w:rPr>
          <w:rFonts w:ascii="Arial" w:hAnsi="Arial" w:cs="Arial"/>
          <w:spacing w:val="-6"/>
          <w:sz w:val="20"/>
          <w:szCs w:val="20"/>
        </w:rPr>
        <w:t xml:space="preserve"> </w:t>
      </w:r>
      <w:r w:rsidRPr="00666239">
        <w:rPr>
          <w:rFonts w:ascii="Arial" w:hAnsi="Arial" w:cs="Arial"/>
          <w:sz w:val="20"/>
          <w:szCs w:val="20"/>
        </w:rPr>
        <w:t>able</w:t>
      </w:r>
      <w:r w:rsidRPr="00666239">
        <w:rPr>
          <w:rFonts w:ascii="Arial" w:hAnsi="Arial" w:cs="Arial"/>
          <w:spacing w:val="-7"/>
          <w:sz w:val="20"/>
          <w:szCs w:val="20"/>
        </w:rPr>
        <w:t xml:space="preserve"> </w:t>
      </w:r>
      <w:r w:rsidRPr="00666239">
        <w:rPr>
          <w:rFonts w:ascii="Arial" w:hAnsi="Arial" w:cs="Arial"/>
          <w:sz w:val="20"/>
          <w:szCs w:val="20"/>
        </w:rPr>
        <w:t>to</w:t>
      </w:r>
      <w:r w:rsidRPr="00666239">
        <w:rPr>
          <w:rFonts w:ascii="Arial" w:hAnsi="Arial" w:cs="Arial"/>
          <w:spacing w:val="-6"/>
          <w:sz w:val="20"/>
          <w:szCs w:val="20"/>
        </w:rPr>
        <w:t xml:space="preserve"> </w:t>
      </w:r>
      <w:r w:rsidRPr="00666239">
        <w:rPr>
          <w:rFonts w:ascii="Arial" w:hAnsi="Arial" w:cs="Arial"/>
          <w:sz w:val="20"/>
          <w:szCs w:val="20"/>
        </w:rPr>
        <w:t>understand</w:t>
      </w:r>
      <w:r w:rsidRPr="00666239">
        <w:rPr>
          <w:rFonts w:ascii="Arial" w:hAnsi="Arial" w:cs="Arial"/>
          <w:spacing w:val="-9"/>
          <w:sz w:val="20"/>
          <w:szCs w:val="20"/>
        </w:rPr>
        <w:t xml:space="preserve"> </w:t>
      </w:r>
      <w:r w:rsidRPr="00666239">
        <w:rPr>
          <w:rFonts w:ascii="Arial" w:hAnsi="Arial" w:cs="Arial"/>
          <w:sz w:val="20"/>
          <w:szCs w:val="20"/>
        </w:rPr>
        <w:t>the</w:t>
      </w:r>
      <w:r w:rsidRPr="00666239">
        <w:rPr>
          <w:rFonts w:ascii="Arial" w:hAnsi="Arial" w:cs="Arial"/>
          <w:spacing w:val="-7"/>
          <w:sz w:val="20"/>
          <w:szCs w:val="20"/>
        </w:rPr>
        <w:t xml:space="preserve"> </w:t>
      </w:r>
      <w:r w:rsidRPr="00666239">
        <w:rPr>
          <w:rFonts w:ascii="Arial" w:hAnsi="Arial" w:cs="Arial"/>
          <w:sz w:val="20"/>
          <w:szCs w:val="20"/>
        </w:rPr>
        <w:t>language</w:t>
      </w:r>
      <w:r w:rsidRPr="00666239">
        <w:rPr>
          <w:rFonts w:ascii="Arial" w:hAnsi="Arial" w:cs="Arial"/>
          <w:spacing w:val="-9"/>
          <w:sz w:val="20"/>
          <w:szCs w:val="20"/>
        </w:rPr>
        <w:t xml:space="preserve"> </w:t>
      </w:r>
      <w:r w:rsidRPr="00666239">
        <w:rPr>
          <w:rFonts w:ascii="Arial" w:hAnsi="Arial" w:cs="Arial"/>
          <w:sz w:val="20"/>
          <w:szCs w:val="20"/>
        </w:rPr>
        <w:t>in</w:t>
      </w:r>
      <w:r w:rsidRPr="00666239">
        <w:rPr>
          <w:rFonts w:ascii="Arial" w:hAnsi="Arial" w:cs="Arial"/>
          <w:spacing w:val="-9"/>
          <w:sz w:val="20"/>
          <w:szCs w:val="20"/>
        </w:rPr>
        <w:t xml:space="preserve"> </w:t>
      </w:r>
      <w:r w:rsidRPr="00666239">
        <w:rPr>
          <w:rFonts w:ascii="Arial" w:hAnsi="Arial" w:cs="Arial"/>
          <w:sz w:val="20"/>
          <w:szCs w:val="20"/>
        </w:rPr>
        <w:t>which</w:t>
      </w:r>
      <w:r w:rsidRPr="00666239">
        <w:rPr>
          <w:rFonts w:ascii="Arial" w:hAnsi="Arial" w:cs="Arial"/>
          <w:spacing w:val="-8"/>
          <w:sz w:val="20"/>
          <w:szCs w:val="20"/>
        </w:rPr>
        <w:t xml:space="preserve"> </w:t>
      </w:r>
      <w:r w:rsidRPr="00666239">
        <w:rPr>
          <w:rFonts w:ascii="Arial" w:hAnsi="Arial" w:cs="Arial"/>
          <w:sz w:val="20"/>
          <w:szCs w:val="20"/>
        </w:rPr>
        <w:t>those</w:t>
      </w:r>
      <w:r w:rsidRPr="00666239">
        <w:rPr>
          <w:rFonts w:ascii="Arial" w:hAnsi="Arial" w:cs="Arial"/>
          <w:spacing w:val="-47"/>
          <w:sz w:val="20"/>
          <w:szCs w:val="20"/>
        </w:rPr>
        <w:t xml:space="preserve"> </w:t>
      </w:r>
      <w:r w:rsidRPr="00666239">
        <w:rPr>
          <w:rFonts w:ascii="Arial" w:hAnsi="Arial" w:cs="Arial"/>
          <w:sz w:val="20"/>
          <w:szCs w:val="20"/>
        </w:rPr>
        <w:t>parts of the operations manual which are relevant to their duties are written. The content of</w:t>
      </w:r>
      <w:r w:rsidRPr="00666239">
        <w:rPr>
          <w:rFonts w:ascii="Arial" w:hAnsi="Arial" w:cs="Arial"/>
          <w:spacing w:val="1"/>
          <w:sz w:val="20"/>
          <w:szCs w:val="20"/>
        </w:rPr>
        <w:t xml:space="preserve"> </w:t>
      </w:r>
      <w:r w:rsidRPr="00666239">
        <w:rPr>
          <w:rFonts w:ascii="Arial" w:hAnsi="Arial" w:cs="Arial"/>
          <w:sz w:val="20"/>
          <w:szCs w:val="20"/>
        </w:rPr>
        <w:t>the</w:t>
      </w:r>
      <w:r w:rsidRPr="00666239">
        <w:rPr>
          <w:rFonts w:ascii="Arial" w:hAnsi="Arial" w:cs="Arial"/>
          <w:spacing w:val="-1"/>
          <w:sz w:val="20"/>
          <w:szCs w:val="20"/>
        </w:rPr>
        <w:t xml:space="preserve"> </w:t>
      </w:r>
      <w:r w:rsidRPr="00666239">
        <w:rPr>
          <w:rFonts w:ascii="Arial" w:hAnsi="Arial" w:cs="Arial"/>
          <w:sz w:val="20"/>
          <w:szCs w:val="20"/>
        </w:rPr>
        <w:t>operations</w:t>
      </w:r>
      <w:r w:rsidRPr="00666239">
        <w:rPr>
          <w:rFonts w:ascii="Arial" w:hAnsi="Arial" w:cs="Arial"/>
          <w:spacing w:val="-2"/>
          <w:sz w:val="20"/>
          <w:szCs w:val="20"/>
        </w:rPr>
        <w:t xml:space="preserve"> </w:t>
      </w:r>
      <w:r w:rsidRPr="00666239">
        <w:rPr>
          <w:rFonts w:ascii="Arial" w:hAnsi="Arial" w:cs="Arial"/>
          <w:sz w:val="20"/>
          <w:szCs w:val="20"/>
        </w:rPr>
        <w:t>manual</w:t>
      </w:r>
      <w:r w:rsidRPr="00666239">
        <w:rPr>
          <w:rFonts w:ascii="Arial" w:hAnsi="Arial" w:cs="Arial"/>
          <w:spacing w:val="-1"/>
          <w:sz w:val="20"/>
          <w:szCs w:val="20"/>
        </w:rPr>
        <w:t xml:space="preserve"> </w:t>
      </w:r>
      <w:r w:rsidRPr="00666239">
        <w:rPr>
          <w:rFonts w:ascii="Arial" w:hAnsi="Arial" w:cs="Arial"/>
          <w:sz w:val="20"/>
          <w:szCs w:val="20"/>
        </w:rPr>
        <w:t>shall be presented</w:t>
      </w:r>
      <w:r w:rsidRPr="00666239">
        <w:rPr>
          <w:rFonts w:ascii="Arial" w:hAnsi="Arial" w:cs="Arial"/>
          <w:spacing w:val="-1"/>
          <w:sz w:val="20"/>
          <w:szCs w:val="20"/>
        </w:rPr>
        <w:t xml:space="preserve"> </w:t>
      </w:r>
      <w:r w:rsidRPr="00666239">
        <w:rPr>
          <w:rFonts w:ascii="Arial" w:hAnsi="Arial" w:cs="Arial"/>
          <w:sz w:val="20"/>
          <w:szCs w:val="20"/>
        </w:rPr>
        <w:t>in</w:t>
      </w:r>
      <w:r w:rsidRPr="00666239">
        <w:rPr>
          <w:rFonts w:ascii="Arial" w:hAnsi="Arial" w:cs="Arial"/>
          <w:spacing w:val="-1"/>
          <w:sz w:val="20"/>
          <w:szCs w:val="20"/>
        </w:rPr>
        <w:t xml:space="preserve"> </w:t>
      </w:r>
      <w:r w:rsidRPr="00666239">
        <w:rPr>
          <w:rFonts w:ascii="Arial" w:hAnsi="Arial" w:cs="Arial"/>
          <w:sz w:val="20"/>
          <w:szCs w:val="20"/>
        </w:rPr>
        <w:t>a</w:t>
      </w:r>
      <w:r w:rsidRPr="00666239">
        <w:rPr>
          <w:rFonts w:ascii="Arial" w:hAnsi="Arial" w:cs="Arial"/>
          <w:spacing w:val="-2"/>
          <w:sz w:val="20"/>
          <w:szCs w:val="20"/>
        </w:rPr>
        <w:t xml:space="preserve"> </w:t>
      </w:r>
      <w:r w:rsidRPr="00666239">
        <w:rPr>
          <w:rFonts w:ascii="Arial" w:hAnsi="Arial" w:cs="Arial"/>
          <w:sz w:val="20"/>
          <w:szCs w:val="20"/>
        </w:rPr>
        <w:t>form</w:t>
      </w:r>
      <w:r w:rsidRPr="00666239">
        <w:rPr>
          <w:rFonts w:ascii="Arial" w:hAnsi="Arial" w:cs="Arial"/>
          <w:spacing w:val="-2"/>
          <w:sz w:val="20"/>
          <w:szCs w:val="20"/>
        </w:rPr>
        <w:t xml:space="preserve"> </w:t>
      </w:r>
      <w:r w:rsidRPr="00666239">
        <w:rPr>
          <w:rFonts w:ascii="Arial" w:hAnsi="Arial" w:cs="Arial"/>
          <w:sz w:val="20"/>
          <w:szCs w:val="20"/>
        </w:rPr>
        <w:t>that can</w:t>
      </w:r>
      <w:r w:rsidRPr="00666239">
        <w:rPr>
          <w:rFonts w:ascii="Arial" w:hAnsi="Arial" w:cs="Arial"/>
          <w:spacing w:val="-1"/>
          <w:sz w:val="20"/>
          <w:szCs w:val="20"/>
        </w:rPr>
        <w:t xml:space="preserve"> </w:t>
      </w:r>
      <w:r w:rsidRPr="00666239">
        <w:rPr>
          <w:rFonts w:ascii="Arial" w:hAnsi="Arial" w:cs="Arial"/>
          <w:sz w:val="20"/>
          <w:szCs w:val="20"/>
        </w:rPr>
        <w:t>be</w:t>
      </w:r>
      <w:r w:rsidRPr="00666239">
        <w:rPr>
          <w:rFonts w:ascii="Arial" w:hAnsi="Arial" w:cs="Arial"/>
          <w:spacing w:val="-4"/>
          <w:sz w:val="20"/>
          <w:szCs w:val="20"/>
        </w:rPr>
        <w:t xml:space="preserve"> </w:t>
      </w:r>
      <w:r w:rsidRPr="00666239">
        <w:rPr>
          <w:rFonts w:ascii="Arial" w:hAnsi="Arial" w:cs="Arial"/>
          <w:sz w:val="20"/>
          <w:szCs w:val="20"/>
        </w:rPr>
        <w:t>used</w:t>
      </w:r>
      <w:r w:rsidRPr="00666239">
        <w:rPr>
          <w:rFonts w:ascii="Arial" w:hAnsi="Arial" w:cs="Arial"/>
          <w:spacing w:val="-3"/>
          <w:sz w:val="20"/>
          <w:szCs w:val="20"/>
        </w:rPr>
        <w:t xml:space="preserve"> </w:t>
      </w:r>
      <w:r w:rsidRPr="00666239">
        <w:rPr>
          <w:rFonts w:ascii="Arial" w:hAnsi="Arial" w:cs="Arial"/>
          <w:sz w:val="20"/>
          <w:szCs w:val="20"/>
        </w:rPr>
        <w:t>without</w:t>
      </w:r>
      <w:r w:rsidRPr="00666239">
        <w:rPr>
          <w:rFonts w:ascii="Arial" w:hAnsi="Arial" w:cs="Arial"/>
          <w:spacing w:val="-2"/>
          <w:sz w:val="20"/>
          <w:szCs w:val="20"/>
        </w:rPr>
        <w:t xml:space="preserve"> </w:t>
      </w:r>
      <w:r w:rsidRPr="00666239">
        <w:rPr>
          <w:rFonts w:ascii="Arial" w:hAnsi="Arial" w:cs="Arial"/>
          <w:sz w:val="20"/>
          <w:szCs w:val="20"/>
        </w:rPr>
        <w:t>difficulty.</w:t>
      </w:r>
    </w:p>
    <w:p w14:paraId="7427B019" w14:textId="77777777" w:rsidR="00666239" w:rsidRPr="00666239" w:rsidRDefault="00666239" w:rsidP="009601C2">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439" w:name="AMC1_BOP.ADD.200_Operations_manual"/>
      <w:bookmarkStart w:id="440" w:name="_bookmark182"/>
      <w:bookmarkStart w:id="441" w:name="_Toc153137347"/>
      <w:bookmarkEnd w:id="439"/>
      <w:bookmarkEnd w:id="440"/>
      <w:r w:rsidRPr="00666239">
        <w:rPr>
          <w:rFonts w:ascii="Arial" w:eastAsia="Times New Roman" w:hAnsi="Arial" w:cs="Times New Roman"/>
          <w:b/>
          <w:color w:val="FFFFFF"/>
          <w:sz w:val="24"/>
        </w:rPr>
        <w:t>AMC1 BOP.ADD.200 Operations manual</w:t>
      </w:r>
      <w:bookmarkEnd w:id="441"/>
    </w:p>
    <w:p w14:paraId="319B9A3B" w14:textId="77777777" w:rsidR="00666239" w:rsidRPr="00666239" w:rsidRDefault="00666239" w:rsidP="009601C2">
      <w:pPr>
        <w:tabs>
          <w:tab w:val="left" w:pos="1273"/>
          <w:tab w:val="left" w:pos="1274"/>
        </w:tabs>
        <w:spacing w:before="122" w:line="276" w:lineRule="auto"/>
        <w:ind w:right="200"/>
        <w:jc w:val="both"/>
        <w:rPr>
          <w:rFonts w:ascii="Arial" w:hAnsi="Arial" w:cs="Arial"/>
          <w:b/>
          <w:sz w:val="20"/>
          <w:szCs w:val="20"/>
        </w:rPr>
      </w:pPr>
      <w:r w:rsidRPr="00666239">
        <w:rPr>
          <w:rFonts w:ascii="Arial" w:hAnsi="Arial" w:cs="Arial"/>
          <w:b/>
          <w:sz w:val="20"/>
          <w:szCs w:val="20"/>
        </w:rPr>
        <w:t>GENERAL</w:t>
      </w:r>
    </w:p>
    <w:p w14:paraId="397899AF" w14:textId="77777777" w:rsidR="00666239" w:rsidRPr="00666239" w:rsidRDefault="00666239" w:rsidP="009B00C9">
      <w:pPr>
        <w:numPr>
          <w:ilvl w:val="0"/>
          <w:numId w:val="104"/>
        </w:numPr>
        <w:tabs>
          <w:tab w:val="left" w:pos="1273"/>
          <w:tab w:val="left" w:pos="1274"/>
        </w:tabs>
        <w:spacing w:before="122" w:line="276" w:lineRule="auto"/>
        <w:ind w:right="68"/>
        <w:jc w:val="both"/>
        <w:rPr>
          <w:rFonts w:ascii="Arial" w:hAnsi="Arial" w:cs="Arial"/>
          <w:sz w:val="20"/>
          <w:szCs w:val="20"/>
        </w:rPr>
      </w:pPr>
      <w:r w:rsidRPr="00666239">
        <w:rPr>
          <w:rFonts w:ascii="Arial" w:hAnsi="Arial" w:cs="Arial"/>
          <w:sz w:val="20"/>
          <w:szCs w:val="20"/>
        </w:rPr>
        <w:t>The operations manual may vary in detail according to the complexity of the operation and of the type of balloons operated.</w:t>
      </w:r>
    </w:p>
    <w:p w14:paraId="62AC96A7" w14:textId="77777777" w:rsidR="00666239" w:rsidRPr="00666239" w:rsidRDefault="00666239" w:rsidP="009B00C9">
      <w:pPr>
        <w:numPr>
          <w:ilvl w:val="0"/>
          <w:numId w:val="104"/>
        </w:numPr>
        <w:tabs>
          <w:tab w:val="left" w:pos="1273"/>
          <w:tab w:val="left" w:pos="1274"/>
        </w:tabs>
        <w:spacing w:before="122" w:line="276" w:lineRule="auto"/>
        <w:ind w:right="68"/>
        <w:jc w:val="both"/>
        <w:rPr>
          <w:rFonts w:ascii="Arial" w:hAnsi="Arial" w:cs="Arial"/>
          <w:sz w:val="20"/>
          <w:szCs w:val="20"/>
        </w:rPr>
      </w:pPr>
      <w:r w:rsidRPr="00666239">
        <w:rPr>
          <w:rFonts w:ascii="Arial" w:hAnsi="Arial" w:cs="Arial"/>
          <w:sz w:val="20"/>
          <w:szCs w:val="20"/>
        </w:rPr>
        <w:t>The operations manual, or parts thereof, may be presented in any form, including electronic form. In all cases, the accessibility, usability and reliability should be assured.</w:t>
      </w:r>
    </w:p>
    <w:p w14:paraId="121C7AD5" w14:textId="77777777" w:rsidR="00666239" w:rsidRPr="00666239" w:rsidRDefault="00666239" w:rsidP="009B00C9">
      <w:pPr>
        <w:numPr>
          <w:ilvl w:val="0"/>
          <w:numId w:val="104"/>
        </w:numPr>
        <w:tabs>
          <w:tab w:val="left" w:pos="1273"/>
          <w:tab w:val="left" w:pos="1274"/>
        </w:tabs>
        <w:spacing w:before="122" w:line="276" w:lineRule="auto"/>
        <w:ind w:right="68"/>
        <w:jc w:val="both"/>
        <w:rPr>
          <w:rFonts w:ascii="Arial" w:hAnsi="Arial" w:cs="Arial"/>
          <w:sz w:val="20"/>
          <w:szCs w:val="20"/>
        </w:rPr>
      </w:pPr>
      <w:r w:rsidRPr="00666239">
        <w:rPr>
          <w:rFonts w:ascii="Arial" w:hAnsi="Arial" w:cs="Arial"/>
          <w:sz w:val="20"/>
          <w:szCs w:val="20"/>
        </w:rPr>
        <w:t>The operations manual should be such that:</w:t>
      </w:r>
    </w:p>
    <w:p w14:paraId="69A10203" w14:textId="77777777" w:rsidR="00666239" w:rsidRPr="00666239" w:rsidRDefault="00666239" w:rsidP="009B00C9">
      <w:pPr>
        <w:numPr>
          <w:ilvl w:val="1"/>
          <w:numId w:val="104"/>
        </w:numPr>
        <w:tabs>
          <w:tab w:val="left" w:pos="1273"/>
          <w:tab w:val="left" w:pos="1274"/>
        </w:tabs>
        <w:spacing w:before="122" w:line="276" w:lineRule="auto"/>
        <w:ind w:right="68"/>
        <w:jc w:val="both"/>
        <w:rPr>
          <w:rFonts w:ascii="Arial" w:hAnsi="Arial" w:cs="Arial"/>
          <w:sz w:val="20"/>
          <w:szCs w:val="20"/>
        </w:rPr>
      </w:pPr>
      <w:r w:rsidRPr="00666239">
        <w:rPr>
          <w:rFonts w:ascii="Arial" w:hAnsi="Arial" w:cs="Arial"/>
          <w:sz w:val="20"/>
          <w:szCs w:val="20"/>
        </w:rPr>
        <w:t>all its parts are consistent and compatible in form and content;</w:t>
      </w:r>
    </w:p>
    <w:p w14:paraId="60D7159D" w14:textId="77777777" w:rsidR="00666239" w:rsidRPr="00666239" w:rsidRDefault="00666239" w:rsidP="009B00C9">
      <w:pPr>
        <w:numPr>
          <w:ilvl w:val="1"/>
          <w:numId w:val="104"/>
        </w:numPr>
        <w:tabs>
          <w:tab w:val="left" w:pos="1273"/>
          <w:tab w:val="left" w:pos="1274"/>
        </w:tabs>
        <w:spacing w:before="122" w:line="276" w:lineRule="auto"/>
        <w:ind w:right="68"/>
        <w:jc w:val="both"/>
        <w:rPr>
          <w:rFonts w:ascii="Arial" w:hAnsi="Arial" w:cs="Arial"/>
          <w:sz w:val="20"/>
          <w:szCs w:val="20"/>
        </w:rPr>
      </w:pPr>
      <w:r w:rsidRPr="00666239">
        <w:rPr>
          <w:rFonts w:ascii="Arial" w:hAnsi="Arial" w:cs="Arial"/>
          <w:sz w:val="20"/>
          <w:szCs w:val="20"/>
        </w:rPr>
        <w:t>it can be easily amended; and</w:t>
      </w:r>
    </w:p>
    <w:p w14:paraId="366510C9" w14:textId="77777777" w:rsidR="00666239" w:rsidRPr="00666239" w:rsidRDefault="00666239" w:rsidP="009B00C9">
      <w:pPr>
        <w:numPr>
          <w:ilvl w:val="1"/>
          <w:numId w:val="104"/>
        </w:numPr>
        <w:tabs>
          <w:tab w:val="left" w:pos="1273"/>
          <w:tab w:val="left" w:pos="1274"/>
        </w:tabs>
        <w:spacing w:before="122" w:line="276" w:lineRule="auto"/>
        <w:ind w:right="68"/>
        <w:jc w:val="both"/>
        <w:rPr>
          <w:rFonts w:ascii="Arial" w:hAnsi="Arial" w:cs="Arial"/>
          <w:sz w:val="20"/>
          <w:szCs w:val="20"/>
        </w:rPr>
      </w:pPr>
      <w:r w:rsidRPr="00666239">
        <w:rPr>
          <w:rFonts w:ascii="Arial" w:hAnsi="Arial" w:cs="Arial"/>
          <w:sz w:val="20"/>
          <w:szCs w:val="20"/>
        </w:rPr>
        <w:t>its content and amendment status is controlled and clearly indicated.</w:t>
      </w:r>
    </w:p>
    <w:p w14:paraId="5E41C64F" w14:textId="77777777" w:rsidR="00666239" w:rsidRPr="00666239" w:rsidRDefault="00666239" w:rsidP="009B00C9">
      <w:pPr>
        <w:numPr>
          <w:ilvl w:val="0"/>
          <w:numId w:val="104"/>
        </w:numPr>
        <w:tabs>
          <w:tab w:val="left" w:pos="1273"/>
          <w:tab w:val="left" w:pos="1274"/>
        </w:tabs>
        <w:spacing w:before="122" w:line="276" w:lineRule="auto"/>
        <w:ind w:right="68"/>
        <w:jc w:val="both"/>
        <w:rPr>
          <w:rFonts w:ascii="Arial" w:hAnsi="Arial" w:cs="Arial"/>
          <w:sz w:val="20"/>
          <w:szCs w:val="20"/>
        </w:rPr>
      </w:pPr>
      <w:r w:rsidRPr="00666239">
        <w:rPr>
          <w:rFonts w:ascii="Arial" w:hAnsi="Arial" w:cs="Arial"/>
          <w:sz w:val="20"/>
          <w:szCs w:val="20"/>
        </w:rPr>
        <w:t>The operations manual should include a description of its amendment and revision process specifying:</w:t>
      </w:r>
    </w:p>
    <w:p w14:paraId="1C61B5FE" w14:textId="77777777" w:rsidR="00666239" w:rsidRPr="00666239" w:rsidRDefault="00666239" w:rsidP="009B00C9">
      <w:pPr>
        <w:numPr>
          <w:ilvl w:val="1"/>
          <w:numId w:val="104"/>
        </w:numPr>
        <w:tabs>
          <w:tab w:val="left" w:pos="1273"/>
          <w:tab w:val="left" w:pos="1274"/>
        </w:tabs>
        <w:spacing w:before="122" w:line="276" w:lineRule="auto"/>
        <w:ind w:right="68"/>
        <w:jc w:val="both"/>
        <w:rPr>
          <w:rFonts w:ascii="Arial" w:hAnsi="Arial" w:cs="Arial"/>
          <w:sz w:val="20"/>
          <w:szCs w:val="20"/>
        </w:rPr>
      </w:pPr>
      <w:r w:rsidRPr="00666239">
        <w:rPr>
          <w:rFonts w:ascii="Arial" w:hAnsi="Arial" w:cs="Arial"/>
          <w:sz w:val="20"/>
          <w:szCs w:val="20"/>
        </w:rPr>
        <w:t>the person(s) who may approve amendments or revisions;</w:t>
      </w:r>
    </w:p>
    <w:p w14:paraId="6B8F9D53" w14:textId="77777777" w:rsidR="00666239" w:rsidRPr="00666239" w:rsidRDefault="00666239" w:rsidP="009B00C9">
      <w:pPr>
        <w:numPr>
          <w:ilvl w:val="1"/>
          <w:numId w:val="104"/>
        </w:numPr>
        <w:tabs>
          <w:tab w:val="left" w:pos="1273"/>
          <w:tab w:val="left" w:pos="1274"/>
        </w:tabs>
        <w:spacing w:before="122" w:line="276" w:lineRule="auto"/>
        <w:ind w:right="68"/>
        <w:jc w:val="both"/>
        <w:rPr>
          <w:rFonts w:ascii="Arial" w:hAnsi="Arial" w:cs="Arial"/>
          <w:sz w:val="20"/>
          <w:szCs w:val="20"/>
        </w:rPr>
      </w:pPr>
      <w:r w:rsidRPr="00666239">
        <w:rPr>
          <w:rFonts w:ascii="Arial" w:hAnsi="Arial" w:cs="Arial"/>
          <w:sz w:val="20"/>
          <w:szCs w:val="20"/>
        </w:rPr>
        <w:t>the conditions for amendments and revisions; and</w:t>
      </w:r>
    </w:p>
    <w:p w14:paraId="7F936100" w14:textId="77777777" w:rsidR="00666239" w:rsidRPr="00666239" w:rsidRDefault="00666239" w:rsidP="009B00C9">
      <w:pPr>
        <w:numPr>
          <w:ilvl w:val="1"/>
          <w:numId w:val="104"/>
        </w:numPr>
        <w:tabs>
          <w:tab w:val="left" w:pos="1273"/>
          <w:tab w:val="left" w:pos="1274"/>
        </w:tabs>
        <w:spacing w:before="122" w:line="276" w:lineRule="auto"/>
        <w:ind w:right="68"/>
        <w:jc w:val="both"/>
        <w:rPr>
          <w:rFonts w:ascii="Arial" w:hAnsi="Arial" w:cs="Arial"/>
          <w:sz w:val="20"/>
          <w:szCs w:val="20"/>
        </w:rPr>
      </w:pPr>
      <w:r w:rsidRPr="00666239">
        <w:rPr>
          <w:rFonts w:ascii="Arial" w:hAnsi="Arial" w:cs="Arial"/>
          <w:sz w:val="20"/>
          <w:szCs w:val="20"/>
        </w:rPr>
        <w:t>the methods by which operator personnel are advised of the changes.</w:t>
      </w:r>
    </w:p>
    <w:p w14:paraId="53FD33E9" w14:textId="77777777" w:rsidR="00666239" w:rsidRPr="00666239" w:rsidRDefault="00666239" w:rsidP="009B00C9">
      <w:pPr>
        <w:numPr>
          <w:ilvl w:val="0"/>
          <w:numId w:val="104"/>
        </w:numPr>
        <w:tabs>
          <w:tab w:val="left" w:pos="1273"/>
          <w:tab w:val="left" w:pos="1274"/>
        </w:tabs>
        <w:spacing w:before="122" w:line="276" w:lineRule="auto"/>
        <w:ind w:right="68"/>
        <w:jc w:val="both"/>
        <w:rPr>
          <w:rFonts w:ascii="Arial" w:hAnsi="Arial" w:cs="Arial"/>
          <w:sz w:val="20"/>
          <w:szCs w:val="20"/>
        </w:rPr>
      </w:pPr>
      <w:r w:rsidRPr="00666239">
        <w:rPr>
          <w:rFonts w:ascii="Arial" w:hAnsi="Arial" w:cs="Arial"/>
          <w:sz w:val="20"/>
          <w:szCs w:val="20"/>
        </w:rPr>
        <w:t>The operations manual content may be based on, or may refer to, industry codes of practice.</w:t>
      </w:r>
    </w:p>
    <w:p w14:paraId="33BD55AD" w14:textId="77777777" w:rsidR="008901D5" w:rsidRPr="00666239" w:rsidRDefault="00666239" w:rsidP="009B00C9">
      <w:pPr>
        <w:numPr>
          <w:ilvl w:val="0"/>
          <w:numId w:val="104"/>
        </w:numPr>
        <w:tabs>
          <w:tab w:val="left" w:pos="1273"/>
          <w:tab w:val="left" w:pos="1274"/>
        </w:tabs>
        <w:spacing w:before="122" w:line="276" w:lineRule="auto"/>
        <w:ind w:right="68"/>
        <w:jc w:val="both"/>
        <w:rPr>
          <w:rFonts w:ascii="Arial" w:hAnsi="Arial" w:cs="Arial"/>
          <w:sz w:val="20"/>
          <w:szCs w:val="20"/>
        </w:rPr>
      </w:pPr>
      <w:r w:rsidRPr="00666239">
        <w:rPr>
          <w:rFonts w:ascii="Arial" w:hAnsi="Arial" w:cs="Arial"/>
          <w:sz w:val="20"/>
          <w:szCs w:val="20"/>
        </w:rPr>
        <w:t xml:space="preserve">When compiling an operations manual, the operator may take advantage of the contents of other relevant documents. Material produced by the operator for the type-related part of the operations manual may be supplemented with, or substituted by, applicable parts of the AFM </w:t>
      </w:r>
      <w:r w:rsidR="008901D5" w:rsidRPr="00666239">
        <w:rPr>
          <w:rFonts w:ascii="Arial" w:hAnsi="Arial" w:cs="Arial"/>
          <w:sz w:val="20"/>
          <w:szCs w:val="20"/>
        </w:rPr>
        <w:t>or, where such a document exists, by an operating manual produced by the manufacturer of the balloon.</w:t>
      </w:r>
    </w:p>
    <w:p w14:paraId="018C9422" w14:textId="77777777" w:rsidR="00666239" w:rsidRPr="00666239" w:rsidRDefault="00666239" w:rsidP="009B00C9">
      <w:pPr>
        <w:numPr>
          <w:ilvl w:val="0"/>
          <w:numId w:val="104"/>
        </w:numPr>
        <w:tabs>
          <w:tab w:val="left" w:pos="1273"/>
          <w:tab w:val="left" w:pos="1274"/>
        </w:tabs>
        <w:spacing w:before="122" w:line="276" w:lineRule="auto"/>
        <w:ind w:right="68"/>
        <w:jc w:val="both"/>
        <w:rPr>
          <w:rFonts w:ascii="Arial" w:hAnsi="Arial" w:cs="Arial"/>
          <w:sz w:val="20"/>
          <w:szCs w:val="20"/>
        </w:rPr>
      </w:pPr>
      <w:r w:rsidRPr="00666239">
        <w:rPr>
          <w:rFonts w:ascii="Arial" w:hAnsi="Arial" w:cs="Arial"/>
          <w:sz w:val="20"/>
          <w:szCs w:val="20"/>
        </w:rPr>
        <w:t>If the operator chooses to use material from another source in the operations manual, either the applicable material should be copied and included directly in the relevant part of the operations manual, or the operations manual should contain a reference to the appropriate section of that applicable material. In the latter case the operator should make available the applicable material to the personnel.</w:t>
      </w:r>
    </w:p>
    <w:p w14:paraId="0397309A" w14:textId="65C9A94F" w:rsidR="00624F46" w:rsidRPr="009B00C9" w:rsidRDefault="00666239" w:rsidP="009B00C9">
      <w:pPr>
        <w:numPr>
          <w:ilvl w:val="0"/>
          <w:numId w:val="104"/>
        </w:numPr>
        <w:tabs>
          <w:tab w:val="left" w:pos="1273"/>
          <w:tab w:val="left" w:pos="1274"/>
        </w:tabs>
        <w:spacing w:before="122" w:line="276" w:lineRule="auto"/>
        <w:ind w:right="68"/>
        <w:jc w:val="both"/>
        <w:rPr>
          <w:rFonts w:ascii="Arial" w:hAnsi="Arial" w:cs="Arial"/>
          <w:sz w:val="20"/>
          <w:szCs w:val="20"/>
        </w:rPr>
      </w:pPr>
      <w:r w:rsidRPr="00666239">
        <w:rPr>
          <w:rFonts w:ascii="Arial" w:hAnsi="Arial" w:cs="Arial"/>
          <w:sz w:val="20"/>
          <w:szCs w:val="20"/>
        </w:rPr>
        <w:t xml:space="preserve">If the operator chooses to make use of material from another source (e.g. a route manual </w:t>
      </w:r>
      <w:r w:rsidRPr="00666239">
        <w:rPr>
          <w:rFonts w:ascii="Arial" w:hAnsi="Arial" w:cs="Arial"/>
          <w:sz w:val="20"/>
          <w:szCs w:val="20"/>
        </w:rPr>
        <w:lastRenderedPageBreak/>
        <w:t>producer, a balloon manufacturer or a training organisation), this does not absolve the operator from the responsibility of verifying the applicability and suitability of this material. Any material received from an external source should be given its status by a statement in the operations manual.</w:t>
      </w:r>
    </w:p>
    <w:p w14:paraId="5A30489E" w14:textId="77777777" w:rsidR="00453EF3" w:rsidRPr="00453EF3" w:rsidRDefault="00453EF3" w:rsidP="009601C2">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442" w:name="AMC2_BOP.ADD.200_Operations_manual"/>
      <w:bookmarkStart w:id="443" w:name="_bookmark183"/>
      <w:bookmarkStart w:id="444" w:name="_Toc153137348"/>
      <w:bookmarkEnd w:id="442"/>
      <w:bookmarkEnd w:id="443"/>
      <w:r w:rsidRPr="00453EF3">
        <w:rPr>
          <w:rFonts w:ascii="Arial" w:eastAsia="Times New Roman" w:hAnsi="Arial" w:cs="Times New Roman"/>
          <w:b/>
          <w:color w:val="FFFFFF"/>
          <w:sz w:val="24"/>
        </w:rPr>
        <w:t>AMC2 BOP.ADD.200 Operations manual</w:t>
      </w:r>
      <w:bookmarkEnd w:id="444"/>
    </w:p>
    <w:p w14:paraId="095EAE3B" w14:textId="77777777" w:rsidR="00453EF3" w:rsidRPr="00453EF3" w:rsidRDefault="00453EF3" w:rsidP="009601C2">
      <w:pPr>
        <w:tabs>
          <w:tab w:val="left" w:pos="1273"/>
          <w:tab w:val="left" w:pos="1274"/>
        </w:tabs>
        <w:spacing w:before="122" w:line="276" w:lineRule="auto"/>
        <w:ind w:right="200"/>
        <w:jc w:val="both"/>
        <w:rPr>
          <w:rFonts w:ascii="Arial" w:hAnsi="Arial" w:cs="Arial"/>
          <w:b/>
          <w:sz w:val="20"/>
          <w:szCs w:val="20"/>
        </w:rPr>
      </w:pPr>
      <w:r w:rsidRPr="00453EF3">
        <w:rPr>
          <w:rFonts w:ascii="Arial" w:hAnsi="Arial" w:cs="Arial"/>
          <w:b/>
          <w:sz w:val="20"/>
          <w:szCs w:val="20"/>
        </w:rPr>
        <w:t>CONTENT</w:t>
      </w:r>
    </w:p>
    <w:p w14:paraId="104EBA8B" w14:textId="77777777" w:rsidR="00453EF3" w:rsidRPr="00453EF3" w:rsidRDefault="00453EF3" w:rsidP="009B00C9">
      <w:pPr>
        <w:tabs>
          <w:tab w:val="left" w:pos="1273"/>
          <w:tab w:val="left" w:pos="1274"/>
        </w:tabs>
        <w:spacing w:before="122" w:line="276" w:lineRule="auto"/>
        <w:ind w:right="68"/>
        <w:jc w:val="both"/>
        <w:rPr>
          <w:rFonts w:ascii="Arial" w:hAnsi="Arial" w:cs="Arial"/>
          <w:sz w:val="20"/>
          <w:szCs w:val="20"/>
        </w:rPr>
      </w:pPr>
      <w:r w:rsidRPr="00453EF3">
        <w:rPr>
          <w:rFonts w:ascii="Arial" w:hAnsi="Arial" w:cs="Arial"/>
          <w:sz w:val="20"/>
          <w:szCs w:val="20"/>
        </w:rPr>
        <w:t>The operations manual should include the following information, as relevant for the area and the type of operation:</w:t>
      </w:r>
    </w:p>
    <w:p w14:paraId="3757274F" w14:textId="77777777" w:rsidR="00453EF3" w:rsidRPr="00453EF3" w:rsidRDefault="00453EF3" w:rsidP="009B00C9">
      <w:pPr>
        <w:numPr>
          <w:ilvl w:val="0"/>
          <w:numId w:val="105"/>
        </w:numPr>
        <w:tabs>
          <w:tab w:val="left" w:pos="1273"/>
          <w:tab w:val="left" w:pos="1274"/>
        </w:tabs>
        <w:spacing w:before="122" w:line="276" w:lineRule="auto"/>
        <w:ind w:right="68"/>
        <w:jc w:val="both"/>
        <w:rPr>
          <w:rFonts w:ascii="Arial" w:hAnsi="Arial" w:cs="Arial"/>
          <w:sz w:val="20"/>
          <w:szCs w:val="20"/>
        </w:rPr>
      </w:pPr>
      <w:r w:rsidRPr="00453EF3">
        <w:rPr>
          <w:rFonts w:ascii="Arial" w:hAnsi="Arial" w:cs="Arial"/>
          <w:sz w:val="20"/>
          <w:szCs w:val="20"/>
        </w:rPr>
        <w:t>table of contents;</w:t>
      </w:r>
    </w:p>
    <w:p w14:paraId="258BE01C" w14:textId="77777777" w:rsidR="00453EF3" w:rsidRPr="00453EF3" w:rsidRDefault="00453EF3" w:rsidP="009B00C9">
      <w:pPr>
        <w:numPr>
          <w:ilvl w:val="0"/>
          <w:numId w:val="105"/>
        </w:numPr>
        <w:tabs>
          <w:tab w:val="left" w:pos="1273"/>
          <w:tab w:val="left" w:pos="1274"/>
        </w:tabs>
        <w:spacing w:before="122" w:line="276" w:lineRule="auto"/>
        <w:ind w:right="68"/>
        <w:jc w:val="both"/>
        <w:rPr>
          <w:rFonts w:ascii="Arial" w:hAnsi="Arial" w:cs="Arial"/>
          <w:sz w:val="20"/>
          <w:szCs w:val="20"/>
        </w:rPr>
      </w:pPr>
      <w:r w:rsidRPr="00453EF3">
        <w:rPr>
          <w:rFonts w:ascii="Arial" w:hAnsi="Arial" w:cs="Arial"/>
          <w:sz w:val="20"/>
          <w:szCs w:val="20"/>
        </w:rPr>
        <w:t>amendment control status and list of effective pages or paragraphs, unless the entire manual is reissued and the manual has an effective date on it;</w:t>
      </w:r>
    </w:p>
    <w:p w14:paraId="022166EB" w14:textId="77777777" w:rsidR="00453EF3" w:rsidRPr="00453EF3" w:rsidRDefault="00453EF3" w:rsidP="009B00C9">
      <w:pPr>
        <w:numPr>
          <w:ilvl w:val="0"/>
          <w:numId w:val="105"/>
        </w:numPr>
        <w:tabs>
          <w:tab w:val="left" w:pos="1273"/>
          <w:tab w:val="left" w:pos="1274"/>
        </w:tabs>
        <w:spacing w:before="122" w:line="276" w:lineRule="auto"/>
        <w:ind w:right="68"/>
        <w:jc w:val="both"/>
        <w:rPr>
          <w:rFonts w:ascii="Arial" w:hAnsi="Arial" w:cs="Arial"/>
          <w:sz w:val="20"/>
          <w:szCs w:val="20"/>
        </w:rPr>
      </w:pPr>
      <w:r w:rsidRPr="00453EF3">
        <w:rPr>
          <w:rFonts w:ascii="Arial" w:hAnsi="Arial" w:cs="Arial"/>
          <w:sz w:val="20"/>
          <w:szCs w:val="20"/>
        </w:rPr>
        <w:t>duties, responsibilities, and succession of management and operating personnel;</w:t>
      </w:r>
    </w:p>
    <w:p w14:paraId="5676098E" w14:textId="77777777" w:rsidR="00453EF3" w:rsidRPr="00453EF3" w:rsidRDefault="00453EF3" w:rsidP="009B00C9">
      <w:pPr>
        <w:numPr>
          <w:ilvl w:val="0"/>
          <w:numId w:val="105"/>
        </w:numPr>
        <w:tabs>
          <w:tab w:val="left" w:pos="1273"/>
          <w:tab w:val="left" w:pos="1274"/>
        </w:tabs>
        <w:spacing w:before="122" w:line="276" w:lineRule="auto"/>
        <w:ind w:right="68"/>
        <w:jc w:val="both"/>
        <w:rPr>
          <w:rFonts w:ascii="Arial" w:hAnsi="Arial" w:cs="Arial"/>
          <w:sz w:val="20"/>
          <w:szCs w:val="20"/>
        </w:rPr>
      </w:pPr>
      <w:r w:rsidRPr="00453EF3">
        <w:rPr>
          <w:rFonts w:ascii="Arial" w:hAnsi="Arial" w:cs="Arial"/>
          <w:sz w:val="20"/>
          <w:szCs w:val="20"/>
        </w:rPr>
        <w:t>description of the management system;</w:t>
      </w:r>
    </w:p>
    <w:p w14:paraId="095971AC" w14:textId="77777777" w:rsidR="00453EF3" w:rsidRPr="00453EF3" w:rsidRDefault="00453EF3" w:rsidP="009B00C9">
      <w:pPr>
        <w:numPr>
          <w:ilvl w:val="0"/>
          <w:numId w:val="105"/>
        </w:numPr>
        <w:tabs>
          <w:tab w:val="left" w:pos="1273"/>
          <w:tab w:val="left" w:pos="1274"/>
        </w:tabs>
        <w:spacing w:before="122" w:line="276" w:lineRule="auto"/>
        <w:ind w:right="68"/>
        <w:jc w:val="both"/>
        <w:rPr>
          <w:rFonts w:ascii="Arial" w:hAnsi="Arial" w:cs="Arial"/>
          <w:sz w:val="20"/>
          <w:szCs w:val="20"/>
        </w:rPr>
      </w:pPr>
      <w:r w:rsidRPr="00453EF3">
        <w:rPr>
          <w:rFonts w:ascii="Arial" w:hAnsi="Arial" w:cs="Arial"/>
          <w:sz w:val="20"/>
          <w:szCs w:val="20"/>
        </w:rPr>
        <w:t>flight time limitations;</w:t>
      </w:r>
    </w:p>
    <w:p w14:paraId="476A78E0" w14:textId="77777777" w:rsidR="00453EF3" w:rsidRPr="00453EF3" w:rsidRDefault="00453EF3" w:rsidP="009B00C9">
      <w:pPr>
        <w:numPr>
          <w:ilvl w:val="0"/>
          <w:numId w:val="105"/>
        </w:numPr>
        <w:tabs>
          <w:tab w:val="left" w:pos="1273"/>
          <w:tab w:val="left" w:pos="1274"/>
        </w:tabs>
        <w:spacing w:before="122" w:line="276" w:lineRule="auto"/>
        <w:ind w:right="68"/>
        <w:jc w:val="both"/>
        <w:rPr>
          <w:rFonts w:ascii="Arial" w:hAnsi="Arial" w:cs="Arial"/>
          <w:sz w:val="20"/>
          <w:szCs w:val="20"/>
        </w:rPr>
      </w:pPr>
      <w:r w:rsidRPr="00453EF3">
        <w:rPr>
          <w:rFonts w:ascii="Arial" w:hAnsi="Arial" w:cs="Arial"/>
          <w:sz w:val="20"/>
          <w:szCs w:val="20"/>
        </w:rPr>
        <w:t>standard operating procedures;</w:t>
      </w:r>
    </w:p>
    <w:p w14:paraId="5AABF55A" w14:textId="77777777" w:rsidR="00453EF3" w:rsidRPr="00453EF3" w:rsidRDefault="00453EF3" w:rsidP="009B00C9">
      <w:pPr>
        <w:numPr>
          <w:ilvl w:val="0"/>
          <w:numId w:val="105"/>
        </w:numPr>
        <w:tabs>
          <w:tab w:val="left" w:pos="1273"/>
          <w:tab w:val="left" w:pos="1274"/>
        </w:tabs>
        <w:spacing w:before="122" w:line="276" w:lineRule="auto"/>
        <w:ind w:right="68"/>
        <w:jc w:val="both"/>
        <w:rPr>
          <w:rFonts w:ascii="Arial" w:hAnsi="Arial" w:cs="Arial"/>
          <w:sz w:val="20"/>
          <w:szCs w:val="20"/>
        </w:rPr>
      </w:pPr>
      <w:r w:rsidRPr="00453EF3">
        <w:rPr>
          <w:rFonts w:ascii="Arial" w:hAnsi="Arial" w:cs="Arial"/>
          <w:sz w:val="20"/>
          <w:szCs w:val="20"/>
        </w:rPr>
        <w:t>weather limitations;</w:t>
      </w:r>
    </w:p>
    <w:p w14:paraId="11F05E95" w14:textId="77777777" w:rsidR="00453EF3" w:rsidRPr="00453EF3" w:rsidRDefault="00453EF3" w:rsidP="009B00C9">
      <w:pPr>
        <w:numPr>
          <w:ilvl w:val="0"/>
          <w:numId w:val="105"/>
        </w:numPr>
        <w:tabs>
          <w:tab w:val="left" w:pos="1273"/>
          <w:tab w:val="left" w:pos="1274"/>
        </w:tabs>
        <w:spacing w:before="122" w:line="276" w:lineRule="auto"/>
        <w:ind w:right="68"/>
        <w:jc w:val="both"/>
        <w:rPr>
          <w:rFonts w:ascii="Arial" w:hAnsi="Arial" w:cs="Arial"/>
          <w:sz w:val="20"/>
          <w:szCs w:val="20"/>
        </w:rPr>
      </w:pPr>
      <w:r w:rsidRPr="00453EF3">
        <w:rPr>
          <w:rFonts w:ascii="Arial" w:hAnsi="Arial" w:cs="Arial"/>
          <w:sz w:val="20"/>
          <w:szCs w:val="20"/>
        </w:rPr>
        <w:t>emergency procedures;</w:t>
      </w:r>
    </w:p>
    <w:p w14:paraId="4D692849" w14:textId="77777777" w:rsidR="00453EF3" w:rsidRPr="00453EF3" w:rsidRDefault="00453EF3" w:rsidP="009B00C9">
      <w:pPr>
        <w:numPr>
          <w:ilvl w:val="0"/>
          <w:numId w:val="105"/>
        </w:numPr>
        <w:tabs>
          <w:tab w:val="left" w:pos="1273"/>
          <w:tab w:val="left" w:pos="1274"/>
        </w:tabs>
        <w:spacing w:before="122" w:line="276" w:lineRule="auto"/>
        <w:ind w:right="68"/>
        <w:jc w:val="both"/>
        <w:rPr>
          <w:rFonts w:ascii="Arial" w:hAnsi="Arial" w:cs="Arial"/>
          <w:sz w:val="20"/>
          <w:szCs w:val="20"/>
        </w:rPr>
      </w:pPr>
      <w:r w:rsidRPr="00453EF3">
        <w:rPr>
          <w:rFonts w:ascii="Arial" w:hAnsi="Arial" w:cs="Arial"/>
          <w:sz w:val="20"/>
          <w:szCs w:val="20"/>
        </w:rPr>
        <w:t>accident and incident considerations;</w:t>
      </w:r>
    </w:p>
    <w:p w14:paraId="563B4E29" w14:textId="77777777" w:rsidR="00453EF3" w:rsidRPr="00453EF3" w:rsidRDefault="00453EF3" w:rsidP="009B00C9">
      <w:pPr>
        <w:numPr>
          <w:ilvl w:val="0"/>
          <w:numId w:val="105"/>
        </w:numPr>
        <w:tabs>
          <w:tab w:val="left" w:pos="1273"/>
          <w:tab w:val="left" w:pos="1274"/>
        </w:tabs>
        <w:spacing w:before="122" w:line="276" w:lineRule="auto"/>
        <w:ind w:right="68"/>
        <w:jc w:val="both"/>
        <w:rPr>
          <w:rFonts w:ascii="Arial" w:hAnsi="Arial" w:cs="Arial"/>
          <w:sz w:val="20"/>
          <w:szCs w:val="20"/>
        </w:rPr>
      </w:pPr>
      <w:r w:rsidRPr="00453EF3">
        <w:rPr>
          <w:rFonts w:ascii="Arial" w:hAnsi="Arial" w:cs="Arial"/>
          <w:sz w:val="20"/>
          <w:szCs w:val="20"/>
        </w:rPr>
        <w:t>personnel qualifications and training;</w:t>
      </w:r>
    </w:p>
    <w:p w14:paraId="3C326C56" w14:textId="77777777" w:rsidR="00453EF3" w:rsidRPr="00453EF3" w:rsidRDefault="00453EF3" w:rsidP="009B00C9">
      <w:pPr>
        <w:numPr>
          <w:ilvl w:val="0"/>
          <w:numId w:val="105"/>
        </w:numPr>
        <w:tabs>
          <w:tab w:val="left" w:pos="1273"/>
          <w:tab w:val="left" w:pos="1274"/>
        </w:tabs>
        <w:spacing w:before="122" w:line="276" w:lineRule="auto"/>
        <w:ind w:right="68"/>
        <w:jc w:val="both"/>
        <w:rPr>
          <w:rFonts w:ascii="Arial" w:hAnsi="Arial" w:cs="Arial"/>
          <w:sz w:val="20"/>
          <w:szCs w:val="20"/>
        </w:rPr>
      </w:pPr>
      <w:r w:rsidRPr="00453EF3">
        <w:rPr>
          <w:rFonts w:ascii="Arial" w:hAnsi="Arial" w:cs="Arial"/>
          <w:sz w:val="20"/>
          <w:szCs w:val="20"/>
        </w:rPr>
        <w:t>record-keeping;</w:t>
      </w:r>
    </w:p>
    <w:p w14:paraId="7572F93A" w14:textId="77777777" w:rsidR="00453EF3" w:rsidRPr="00453EF3" w:rsidRDefault="00453EF3" w:rsidP="009B00C9">
      <w:pPr>
        <w:numPr>
          <w:ilvl w:val="0"/>
          <w:numId w:val="105"/>
        </w:numPr>
        <w:tabs>
          <w:tab w:val="left" w:pos="1273"/>
          <w:tab w:val="left" w:pos="1274"/>
        </w:tabs>
        <w:spacing w:before="122" w:line="276" w:lineRule="auto"/>
        <w:ind w:right="68"/>
        <w:jc w:val="both"/>
        <w:rPr>
          <w:rFonts w:ascii="Arial" w:hAnsi="Arial" w:cs="Arial"/>
          <w:sz w:val="20"/>
          <w:szCs w:val="20"/>
        </w:rPr>
      </w:pPr>
      <w:r w:rsidRPr="00453EF3">
        <w:rPr>
          <w:rFonts w:ascii="Arial" w:hAnsi="Arial" w:cs="Arial"/>
          <w:sz w:val="20"/>
          <w:szCs w:val="20"/>
        </w:rPr>
        <w:t>normal flight operations;</w:t>
      </w:r>
    </w:p>
    <w:p w14:paraId="56D02C0B" w14:textId="77777777" w:rsidR="00453EF3" w:rsidRPr="00453EF3" w:rsidRDefault="00453EF3" w:rsidP="009B00C9">
      <w:pPr>
        <w:numPr>
          <w:ilvl w:val="0"/>
          <w:numId w:val="105"/>
        </w:numPr>
        <w:tabs>
          <w:tab w:val="left" w:pos="1273"/>
          <w:tab w:val="left" w:pos="1274"/>
        </w:tabs>
        <w:spacing w:before="122" w:line="276" w:lineRule="auto"/>
        <w:ind w:right="68"/>
        <w:jc w:val="both"/>
        <w:rPr>
          <w:rFonts w:ascii="Arial" w:hAnsi="Arial" w:cs="Arial"/>
          <w:sz w:val="20"/>
          <w:szCs w:val="20"/>
        </w:rPr>
      </w:pPr>
      <w:r w:rsidRPr="00453EF3">
        <w:rPr>
          <w:rFonts w:ascii="Arial" w:hAnsi="Arial" w:cs="Arial"/>
          <w:sz w:val="20"/>
          <w:szCs w:val="20"/>
        </w:rPr>
        <w:t>performance operating limitations; and</w:t>
      </w:r>
    </w:p>
    <w:p w14:paraId="0B367326" w14:textId="77777777" w:rsidR="00624F46" w:rsidRPr="00596138" w:rsidRDefault="00453EF3" w:rsidP="009B00C9">
      <w:pPr>
        <w:numPr>
          <w:ilvl w:val="0"/>
          <w:numId w:val="105"/>
        </w:numPr>
        <w:tabs>
          <w:tab w:val="left" w:pos="1273"/>
          <w:tab w:val="left" w:pos="1274"/>
        </w:tabs>
        <w:spacing w:before="122" w:line="276" w:lineRule="auto"/>
        <w:ind w:right="68"/>
        <w:jc w:val="both"/>
        <w:rPr>
          <w:rFonts w:ascii="Arial" w:hAnsi="Arial" w:cs="Arial"/>
          <w:sz w:val="20"/>
          <w:szCs w:val="20"/>
        </w:rPr>
      </w:pPr>
      <w:r w:rsidRPr="00453EF3">
        <w:rPr>
          <w:rFonts w:ascii="Arial" w:hAnsi="Arial" w:cs="Arial"/>
          <w:sz w:val="20"/>
          <w:szCs w:val="20"/>
        </w:rPr>
        <w:t>handling of dangerous goods, if applicable.</w:t>
      </w:r>
    </w:p>
    <w:p w14:paraId="42EC216A" w14:textId="77777777" w:rsidR="00596138" w:rsidRPr="00596138" w:rsidRDefault="00596138" w:rsidP="009601C2">
      <w:pPr>
        <w:keepNext/>
        <w:keepLines/>
        <w:widowControl/>
        <w:shd w:val="clear" w:color="auto" w:fill="339966"/>
        <w:autoSpaceDE/>
        <w:autoSpaceDN/>
        <w:spacing w:before="160" w:after="120" w:line="276" w:lineRule="auto"/>
        <w:jc w:val="both"/>
        <w:outlineLvl w:val="4"/>
        <w:rPr>
          <w:rFonts w:ascii="Arial" w:eastAsia="Times New Roman" w:hAnsi="Arial" w:cs="Times New Roman"/>
          <w:b/>
          <w:color w:val="FFFFFF"/>
          <w:sz w:val="24"/>
        </w:rPr>
      </w:pPr>
      <w:bookmarkStart w:id="445" w:name="GM1_BOP.ADD.200_Operations_manual"/>
      <w:bookmarkStart w:id="446" w:name="_bookmark184"/>
      <w:bookmarkStart w:id="447" w:name="_Toc153137349"/>
      <w:bookmarkEnd w:id="445"/>
      <w:bookmarkEnd w:id="446"/>
      <w:r w:rsidRPr="00596138">
        <w:rPr>
          <w:rFonts w:ascii="Arial" w:eastAsia="Times New Roman" w:hAnsi="Arial" w:cs="Times New Roman"/>
          <w:b/>
          <w:color w:val="FFFFFF"/>
          <w:sz w:val="24"/>
        </w:rPr>
        <w:t>GM1 BOP.ADD.200 Operations manual</w:t>
      </w:r>
      <w:bookmarkEnd w:id="447"/>
    </w:p>
    <w:p w14:paraId="77CACA94" w14:textId="77777777" w:rsidR="00596138" w:rsidRPr="00596138" w:rsidRDefault="00596138" w:rsidP="009601C2">
      <w:pPr>
        <w:tabs>
          <w:tab w:val="left" w:pos="1273"/>
          <w:tab w:val="left" w:pos="1274"/>
        </w:tabs>
        <w:spacing w:before="122" w:line="276" w:lineRule="auto"/>
        <w:ind w:right="200"/>
        <w:jc w:val="both"/>
        <w:rPr>
          <w:rFonts w:ascii="Arial" w:hAnsi="Arial" w:cs="Arial"/>
          <w:b/>
          <w:sz w:val="20"/>
          <w:szCs w:val="20"/>
        </w:rPr>
      </w:pPr>
      <w:r w:rsidRPr="00596138">
        <w:rPr>
          <w:rFonts w:ascii="Arial" w:hAnsi="Arial" w:cs="Arial"/>
          <w:b/>
          <w:sz w:val="20"/>
          <w:szCs w:val="20"/>
        </w:rPr>
        <w:t>MORE CONSERVATIVE DATA AND PROCEDURES</w:t>
      </w:r>
    </w:p>
    <w:p w14:paraId="39CA7F42" w14:textId="77777777" w:rsidR="00624F46" w:rsidRDefault="00596138" w:rsidP="009B00C9">
      <w:pPr>
        <w:tabs>
          <w:tab w:val="left" w:pos="1273"/>
          <w:tab w:val="left" w:pos="1274"/>
        </w:tabs>
        <w:spacing w:before="122" w:line="276" w:lineRule="auto"/>
        <w:ind w:right="68"/>
        <w:jc w:val="both"/>
        <w:rPr>
          <w:rFonts w:ascii="Arial" w:hAnsi="Arial" w:cs="Arial"/>
          <w:sz w:val="20"/>
          <w:szCs w:val="20"/>
        </w:rPr>
      </w:pPr>
      <w:r w:rsidRPr="00596138">
        <w:rPr>
          <w:rFonts w:ascii="Arial" w:hAnsi="Arial" w:cs="Arial"/>
          <w:sz w:val="20"/>
          <w:szCs w:val="20"/>
        </w:rPr>
        <w:t>The operator may decide to publish data and procedures in the operations manual which are more conservative</w:t>
      </w:r>
    </w:p>
    <w:p w14:paraId="2880EB9B" w14:textId="77777777" w:rsidR="00596138" w:rsidRPr="00596138" w:rsidRDefault="00596138"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448" w:name="BOP.ADD.205_Record-keeping"/>
      <w:bookmarkStart w:id="449" w:name="_bookmark185"/>
      <w:bookmarkStart w:id="450" w:name="_Toc153137350"/>
      <w:bookmarkEnd w:id="448"/>
      <w:bookmarkEnd w:id="449"/>
      <w:r w:rsidRPr="00596138">
        <w:rPr>
          <w:rFonts w:ascii="Arial" w:eastAsia="Times New Roman" w:hAnsi="Arial" w:cs="Times New Roman"/>
          <w:b/>
          <w:iCs/>
          <w:color w:val="FFFFFF"/>
          <w:sz w:val="24"/>
        </w:rPr>
        <w:t>BOP.ADD.205 Record-keeping</w:t>
      </w:r>
      <w:bookmarkEnd w:id="450"/>
    </w:p>
    <w:p w14:paraId="74DB70F9" w14:textId="77777777" w:rsidR="00596138" w:rsidRPr="00596138" w:rsidRDefault="00596138" w:rsidP="009B00C9">
      <w:pPr>
        <w:numPr>
          <w:ilvl w:val="0"/>
          <w:numId w:val="106"/>
        </w:numPr>
        <w:tabs>
          <w:tab w:val="left" w:pos="1273"/>
          <w:tab w:val="left" w:pos="1274"/>
        </w:tabs>
        <w:spacing w:before="122" w:line="276" w:lineRule="auto"/>
        <w:ind w:right="68"/>
        <w:jc w:val="both"/>
        <w:rPr>
          <w:rFonts w:ascii="Arial" w:hAnsi="Arial" w:cs="Arial"/>
          <w:sz w:val="20"/>
          <w:szCs w:val="20"/>
        </w:rPr>
      </w:pPr>
      <w:r w:rsidRPr="00596138">
        <w:rPr>
          <w:rFonts w:ascii="Arial" w:hAnsi="Arial" w:cs="Arial"/>
          <w:sz w:val="20"/>
          <w:szCs w:val="20"/>
        </w:rPr>
        <w:t>The operator shall establish a system of record-keeping that allows adequate storage and reliable traceability of its activities.</w:t>
      </w:r>
    </w:p>
    <w:p w14:paraId="2189EE3B" w14:textId="77777777" w:rsidR="00596138" w:rsidRPr="00596138" w:rsidRDefault="00596138" w:rsidP="009B00C9">
      <w:pPr>
        <w:numPr>
          <w:ilvl w:val="0"/>
          <w:numId w:val="106"/>
        </w:numPr>
        <w:tabs>
          <w:tab w:val="left" w:pos="1273"/>
          <w:tab w:val="left" w:pos="1274"/>
        </w:tabs>
        <w:spacing w:before="122" w:line="276" w:lineRule="auto"/>
        <w:ind w:right="68"/>
        <w:jc w:val="both"/>
        <w:rPr>
          <w:rFonts w:ascii="Arial" w:hAnsi="Arial" w:cs="Arial"/>
          <w:sz w:val="20"/>
          <w:szCs w:val="20"/>
        </w:rPr>
      </w:pPr>
      <w:r w:rsidRPr="00596138">
        <w:rPr>
          <w:rFonts w:ascii="Arial" w:hAnsi="Arial" w:cs="Arial"/>
          <w:sz w:val="20"/>
          <w:szCs w:val="20"/>
        </w:rPr>
        <w:t>The format of the records shall be specified in the operator's procedures or manuals.</w:t>
      </w:r>
      <w:bookmarkStart w:id="451" w:name="AMC1_BOP.ADD.205_Record-keeping"/>
      <w:bookmarkStart w:id="452" w:name="_bookmark186"/>
      <w:bookmarkEnd w:id="451"/>
      <w:bookmarkEnd w:id="452"/>
    </w:p>
    <w:p w14:paraId="438504F5" w14:textId="77777777" w:rsidR="00596138" w:rsidRPr="00596138" w:rsidRDefault="00596138" w:rsidP="009601C2">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453" w:name="_Toc153137351"/>
      <w:r w:rsidRPr="00596138">
        <w:rPr>
          <w:rFonts w:ascii="Arial" w:eastAsia="Times New Roman" w:hAnsi="Arial" w:cs="Times New Roman"/>
          <w:b/>
          <w:color w:val="FFFFFF"/>
          <w:sz w:val="24"/>
        </w:rPr>
        <w:t>AMC1 BOP.ADD.205 Record-keeping</w:t>
      </w:r>
      <w:bookmarkEnd w:id="453"/>
    </w:p>
    <w:p w14:paraId="611BF555" w14:textId="77777777" w:rsidR="00596138" w:rsidRPr="00596138" w:rsidRDefault="00596138" w:rsidP="009601C2">
      <w:pPr>
        <w:tabs>
          <w:tab w:val="left" w:pos="1273"/>
          <w:tab w:val="left" w:pos="1274"/>
        </w:tabs>
        <w:spacing w:before="122" w:line="276" w:lineRule="auto"/>
        <w:ind w:right="200"/>
        <w:jc w:val="both"/>
        <w:rPr>
          <w:rFonts w:ascii="Arial" w:hAnsi="Arial" w:cs="Arial"/>
          <w:b/>
          <w:sz w:val="20"/>
          <w:szCs w:val="20"/>
        </w:rPr>
      </w:pPr>
      <w:r w:rsidRPr="00596138">
        <w:rPr>
          <w:rFonts w:ascii="Arial" w:hAnsi="Arial" w:cs="Arial"/>
          <w:b/>
          <w:sz w:val="20"/>
          <w:szCs w:val="20"/>
        </w:rPr>
        <w:t>GENERAL</w:t>
      </w:r>
    </w:p>
    <w:p w14:paraId="089F9EEA" w14:textId="77777777" w:rsidR="00596138" w:rsidRPr="00596138" w:rsidRDefault="00596138" w:rsidP="009B00C9">
      <w:pPr>
        <w:numPr>
          <w:ilvl w:val="0"/>
          <w:numId w:val="107"/>
        </w:numPr>
        <w:tabs>
          <w:tab w:val="left" w:pos="1273"/>
          <w:tab w:val="left" w:pos="1274"/>
        </w:tabs>
        <w:spacing w:before="122" w:line="276" w:lineRule="auto"/>
        <w:ind w:right="68"/>
        <w:jc w:val="both"/>
        <w:rPr>
          <w:rFonts w:ascii="Arial" w:hAnsi="Arial" w:cs="Arial"/>
          <w:sz w:val="20"/>
          <w:szCs w:val="20"/>
        </w:rPr>
      </w:pPr>
      <w:r w:rsidRPr="00596138">
        <w:rPr>
          <w:rFonts w:ascii="Arial" w:hAnsi="Arial" w:cs="Arial"/>
          <w:sz w:val="20"/>
          <w:szCs w:val="20"/>
        </w:rPr>
        <w:t>The record-keeping system should ensure that all records are accessible whenever needed within a reasonable time. These records should be organised in a way that ensures traceability and retrievability throughout the required retention period.</w:t>
      </w:r>
    </w:p>
    <w:p w14:paraId="6EA03319" w14:textId="77777777" w:rsidR="00596138" w:rsidRPr="00596138" w:rsidRDefault="00596138" w:rsidP="009B00C9">
      <w:pPr>
        <w:numPr>
          <w:ilvl w:val="0"/>
          <w:numId w:val="107"/>
        </w:numPr>
        <w:tabs>
          <w:tab w:val="left" w:pos="1273"/>
          <w:tab w:val="left" w:pos="1274"/>
        </w:tabs>
        <w:spacing w:before="122" w:line="276" w:lineRule="auto"/>
        <w:ind w:right="68"/>
        <w:jc w:val="both"/>
        <w:rPr>
          <w:rFonts w:ascii="Arial" w:hAnsi="Arial" w:cs="Arial"/>
          <w:sz w:val="20"/>
          <w:szCs w:val="20"/>
        </w:rPr>
      </w:pPr>
      <w:r w:rsidRPr="00596138">
        <w:rPr>
          <w:rFonts w:ascii="Arial" w:hAnsi="Arial" w:cs="Arial"/>
          <w:sz w:val="20"/>
          <w:szCs w:val="20"/>
        </w:rPr>
        <w:t>Records should be kept in paper form or in electronic format or a combination of both. Records stored on microfilm or optical disc format are also acceptable. The records should remain legible throughout the required retention period. The retention period starts when the record has been created or last amended.</w:t>
      </w:r>
    </w:p>
    <w:p w14:paraId="12D539D9" w14:textId="77777777" w:rsidR="00596138" w:rsidRPr="00596138" w:rsidRDefault="00596138" w:rsidP="009B00C9">
      <w:pPr>
        <w:numPr>
          <w:ilvl w:val="0"/>
          <w:numId w:val="107"/>
        </w:numPr>
        <w:tabs>
          <w:tab w:val="left" w:pos="1273"/>
          <w:tab w:val="left" w:pos="1274"/>
        </w:tabs>
        <w:spacing w:before="122" w:line="276" w:lineRule="auto"/>
        <w:ind w:right="68"/>
        <w:jc w:val="both"/>
        <w:rPr>
          <w:rFonts w:ascii="Arial" w:hAnsi="Arial" w:cs="Arial"/>
          <w:sz w:val="20"/>
          <w:szCs w:val="20"/>
        </w:rPr>
      </w:pPr>
      <w:r w:rsidRPr="00596138">
        <w:rPr>
          <w:rFonts w:ascii="Arial" w:hAnsi="Arial" w:cs="Arial"/>
          <w:sz w:val="20"/>
          <w:szCs w:val="20"/>
        </w:rPr>
        <w:t xml:space="preserve">Paper systems should use robust material which can withstand normal handling and filing. </w:t>
      </w:r>
      <w:r w:rsidRPr="00596138">
        <w:rPr>
          <w:rFonts w:ascii="Arial" w:hAnsi="Arial" w:cs="Arial"/>
          <w:sz w:val="20"/>
          <w:szCs w:val="20"/>
        </w:rPr>
        <w:lastRenderedPageBreak/>
        <w:t>Computer systems should have at least one backup system which should be updated within 24 hours of any new entry. Computer systems should include safeguards against the ability of unauthorised personnel to alter the data.</w:t>
      </w:r>
    </w:p>
    <w:p w14:paraId="78360B41" w14:textId="2C1DF3D8" w:rsidR="00624F46" w:rsidRPr="006F3028" w:rsidRDefault="00596138" w:rsidP="009B00C9">
      <w:pPr>
        <w:numPr>
          <w:ilvl w:val="0"/>
          <w:numId w:val="107"/>
        </w:numPr>
        <w:tabs>
          <w:tab w:val="left" w:pos="1273"/>
          <w:tab w:val="left" w:pos="1274"/>
        </w:tabs>
        <w:spacing w:before="122" w:line="276" w:lineRule="auto"/>
        <w:ind w:right="68"/>
        <w:jc w:val="both"/>
        <w:rPr>
          <w:rFonts w:ascii="Arial" w:hAnsi="Arial" w:cs="Arial"/>
          <w:sz w:val="20"/>
          <w:szCs w:val="20"/>
        </w:rPr>
      </w:pPr>
      <w:r w:rsidRPr="00596138">
        <w:rPr>
          <w:rFonts w:ascii="Arial" w:hAnsi="Arial" w:cs="Arial"/>
          <w:sz w:val="20"/>
          <w:szCs w:val="20"/>
        </w:rPr>
        <w:t>All computer hardware used to ensure data backup should be stored in a different location from that containing the working data and in an environment that ensures they remain in good condition. When hardware or software changes take place, special care should be taken that all necessary data remains accessible at least through the full retention period.</w:t>
      </w:r>
    </w:p>
    <w:p w14:paraId="4C5AB852" w14:textId="77777777" w:rsidR="00B0719C" w:rsidRPr="00B0719C" w:rsidRDefault="00B0719C" w:rsidP="009601C2">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454" w:name="AMC2_BOP.ADD.205_Record-keeping"/>
      <w:bookmarkStart w:id="455" w:name="_bookmark187"/>
      <w:bookmarkStart w:id="456" w:name="_Toc153137352"/>
      <w:bookmarkEnd w:id="454"/>
      <w:bookmarkEnd w:id="455"/>
      <w:r w:rsidRPr="00B0719C">
        <w:rPr>
          <w:rFonts w:ascii="Arial" w:eastAsia="Times New Roman" w:hAnsi="Arial" w:cs="Times New Roman"/>
          <w:b/>
          <w:color w:val="FFFFFF"/>
          <w:sz w:val="24"/>
        </w:rPr>
        <w:t>AMC2 BOP.ADD.205 Record-keeping</w:t>
      </w:r>
      <w:bookmarkEnd w:id="456"/>
    </w:p>
    <w:p w14:paraId="4F5DF76E" w14:textId="77777777" w:rsidR="00B0719C" w:rsidRPr="00276D5E" w:rsidRDefault="00B0719C" w:rsidP="009601C2">
      <w:pPr>
        <w:spacing w:before="120" w:line="276" w:lineRule="auto"/>
        <w:jc w:val="both"/>
        <w:rPr>
          <w:rFonts w:ascii="Arial" w:hAnsi="Arial" w:cs="Arial"/>
          <w:b/>
          <w:sz w:val="20"/>
        </w:rPr>
      </w:pPr>
      <w:r w:rsidRPr="00276D5E">
        <w:rPr>
          <w:rFonts w:ascii="Arial" w:hAnsi="Arial" w:cs="Arial"/>
          <w:b/>
          <w:sz w:val="20"/>
        </w:rPr>
        <w:t>STORAGE</w:t>
      </w:r>
      <w:r w:rsidRPr="00276D5E">
        <w:rPr>
          <w:rFonts w:ascii="Arial" w:hAnsi="Arial" w:cs="Arial"/>
          <w:b/>
          <w:spacing w:val="-7"/>
          <w:sz w:val="20"/>
        </w:rPr>
        <w:t xml:space="preserve"> </w:t>
      </w:r>
      <w:r w:rsidRPr="00276D5E">
        <w:rPr>
          <w:rFonts w:ascii="Arial" w:hAnsi="Arial" w:cs="Arial"/>
          <w:b/>
          <w:sz w:val="20"/>
        </w:rPr>
        <w:t>PERIODS</w:t>
      </w:r>
      <w:r w:rsidRPr="00276D5E">
        <w:rPr>
          <w:rFonts w:ascii="Arial" w:hAnsi="Arial" w:cs="Arial"/>
          <w:b/>
          <w:spacing w:val="-2"/>
          <w:sz w:val="20"/>
        </w:rPr>
        <w:t xml:space="preserve"> </w:t>
      </w:r>
      <w:r w:rsidRPr="00276D5E">
        <w:rPr>
          <w:rFonts w:ascii="Arial" w:hAnsi="Arial" w:cs="Arial"/>
          <w:b/>
          <w:sz w:val="20"/>
        </w:rPr>
        <w:t>AND</w:t>
      </w:r>
      <w:r w:rsidRPr="00276D5E">
        <w:rPr>
          <w:rFonts w:ascii="Arial" w:hAnsi="Arial" w:cs="Arial"/>
          <w:b/>
          <w:spacing w:val="-4"/>
          <w:sz w:val="20"/>
        </w:rPr>
        <w:t xml:space="preserve"> </w:t>
      </w:r>
      <w:r w:rsidRPr="00276D5E">
        <w:rPr>
          <w:rFonts w:ascii="Arial" w:hAnsi="Arial" w:cs="Arial"/>
          <w:b/>
          <w:sz w:val="20"/>
        </w:rPr>
        <w:t>AVAILABILITY</w:t>
      </w:r>
    </w:p>
    <w:p w14:paraId="62EA2867" w14:textId="77777777" w:rsidR="00624F46" w:rsidRPr="00B0719C" w:rsidRDefault="00B0719C" w:rsidP="00AD2F17">
      <w:pPr>
        <w:numPr>
          <w:ilvl w:val="0"/>
          <w:numId w:val="108"/>
        </w:numPr>
        <w:tabs>
          <w:tab w:val="left" w:pos="1273"/>
          <w:tab w:val="left" w:pos="1274"/>
        </w:tabs>
        <w:spacing w:before="122" w:line="276" w:lineRule="auto"/>
        <w:ind w:right="200"/>
        <w:jc w:val="both"/>
        <w:rPr>
          <w:rFonts w:ascii="Arial" w:hAnsi="Arial" w:cs="Arial"/>
          <w:sz w:val="20"/>
          <w:szCs w:val="20"/>
        </w:rPr>
      </w:pPr>
      <w:r w:rsidRPr="00B0719C">
        <w:rPr>
          <w:rFonts w:ascii="Arial" w:hAnsi="Arial" w:cs="Arial"/>
          <w:sz w:val="20"/>
          <w:szCs w:val="20"/>
        </w:rPr>
        <w:t>The following records should be stored for at least 5 years:</w:t>
      </w:r>
    </w:p>
    <w:p w14:paraId="4C1CD168" w14:textId="4EC79018" w:rsidR="00B0719C" w:rsidRPr="00B0719C" w:rsidRDefault="00B0719C" w:rsidP="00AD2F17">
      <w:pPr>
        <w:numPr>
          <w:ilvl w:val="1"/>
          <w:numId w:val="108"/>
        </w:numPr>
        <w:tabs>
          <w:tab w:val="left" w:pos="1273"/>
          <w:tab w:val="left" w:pos="1274"/>
        </w:tabs>
        <w:spacing w:before="122" w:line="276" w:lineRule="auto"/>
        <w:ind w:right="200"/>
        <w:jc w:val="both"/>
        <w:rPr>
          <w:rFonts w:ascii="Arial" w:hAnsi="Arial" w:cs="Arial"/>
          <w:sz w:val="20"/>
          <w:szCs w:val="20"/>
        </w:rPr>
      </w:pPr>
      <w:r w:rsidRPr="00B0719C">
        <w:rPr>
          <w:rFonts w:ascii="Arial" w:hAnsi="Arial" w:cs="Arial"/>
          <w:sz w:val="20"/>
          <w:szCs w:val="20"/>
        </w:rPr>
        <w:t xml:space="preserve">records of the activities referred to in </w:t>
      </w:r>
      <w:r w:rsidRPr="00880B32">
        <w:rPr>
          <w:rFonts w:ascii="Arial" w:hAnsi="Arial" w:cs="Arial"/>
          <w:sz w:val="20"/>
          <w:szCs w:val="20"/>
        </w:rPr>
        <w:t>BOP.ADD.030</w:t>
      </w:r>
      <w:r w:rsidRPr="00B0719C">
        <w:rPr>
          <w:rFonts w:ascii="Arial" w:hAnsi="Arial" w:cs="Arial"/>
          <w:sz w:val="20"/>
          <w:szCs w:val="20"/>
        </w:rPr>
        <w:t>;</w:t>
      </w:r>
    </w:p>
    <w:p w14:paraId="089A6265" w14:textId="77777777" w:rsidR="00B0719C" w:rsidRPr="00B0719C" w:rsidRDefault="00B0719C" w:rsidP="00AD2F17">
      <w:pPr>
        <w:numPr>
          <w:ilvl w:val="1"/>
          <w:numId w:val="108"/>
        </w:numPr>
        <w:tabs>
          <w:tab w:val="left" w:pos="1273"/>
          <w:tab w:val="left" w:pos="1274"/>
        </w:tabs>
        <w:spacing w:before="122" w:line="276" w:lineRule="auto"/>
        <w:ind w:right="200"/>
        <w:jc w:val="both"/>
        <w:rPr>
          <w:rFonts w:ascii="Arial" w:hAnsi="Arial" w:cs="Arial"/>
          <w:sz w:val="20"/>
          <w:szCs w:val="20"/>
        </w:rPr>
      </w:pPr>
      <w:r w:rsidRPr="00B0719C">
        <w:rPr>
          <w:rFonts w:ascii="Arial" w:hAnsi="Arial" w:cs="Arial"/>
          <w:sz w:val="20"/>
          <w:szCs w:val="20"/>
        </w:rPr>
        <w:t>a copy of the operator’s declaration;</w:t>
      </w:r>
    </w:p>
    <w:p w14:paraId="25BD677A" w14:textId="77777777" w:rsidR="00B0719C" w:rsidRPr="00B0719C" w:rsidRDefault="00B0719C" w:rsidP="00AD2F17">
      <w:pPr>
        <w:numPr>
          <w:ilvl w:val="1"/>
          <w:numId w:val="108"/>
        </w:numPr>
        <w:tabs>
          <w:tab w:val="left" w:pos="1273"/>
          <w:tab w:val="left" w:pos="1274"/>
        </w:tabs>
        <w:spacing w:before="122" w:line="276" w:lineRule="auto"/>
        <w:ind w:right="200"/>
        <w:jc w:val="both"/>
        <w:rPr>
          <w:rFonts w:ascii="Arial" w:hAnsi="Arial" w:cs="Arial"/>
          <w:sz w:val="20"/>
          <w:szCs w:val="20"/>
        </w:rPr>
      </w:pPr>
      <w:r w:rsidRPr="00B0719C">
        <w:rPr>
          <w:rFonts w:ascii="Arial" w:hAnsi="Arial" w:cs="Arial"/>
          <w:sz w:val="20"/>
          <w:szCs w:val="20"/>
        </w:rPr>
        <w:t>details of approvals held; and</w:t>
      </w:r>
    </w:p>
    <w:p w14:paraId="6E37824B" w14:textId="77777777" w:rsidR="00B0719C" w:rsidRPr="00B0719C" w:rsidRDefault="00B0719C" w:rsidP="00AD2F17">
      <w:pPr>
        <w:numPr>
          <w:ilvl w:val="1"/>
          <w:numId w:val="108"/>
        </w:numPr>
        <w:tabs>
          <w:tab w:val="left" w:pos="1273"/>
          <w:tab w:val="left" w:pos="1274"/>
        </w:tabs>
        <w:spacing w:before="122" w:line="276" w:lineRule="auto"/>
        <w:ind w:right="200"/>
        <w:jc w:val="both"/>
        <w:rPr>
          <w:rFonts w:ascii="Arial" w:hAnsi="Arial" w:cs="Arial"/>
          <w:sz w:val="20"/>
          <w:szCs w:val="20"/>
        </w:rPr>
      </w:pPr>
      <w:r w:rsidRPr="00B0719C">
        <w:rPr>
          <w:rFonts w:ascii="Arial" w:hAnsi="Arial" w:cs="Arial"/>
          <w:sz w:val="20"/>
          <w:szCs w:val="20"/>
        </w:rPr>
        <w:t>operations manual.</w:t>
      </w:r>
    </w:p>
    <w:p w14:paraId="628E6251" w14:textId="77777777" w:rsidR="00B0719C" w:rsidRPr="00B0719C" w:rsidRDefault="00B0719C" w:rsidP="00AD2F17">
      <w:pPr>
        <w:numPr>
          <w:ilvl w:val="0"/>
          <w:numId w:val="108"/>
        </w:numPr>
        <w:tabs>
          <w:tab w:val="left" w:pos="1273"/>
          <w:tab w:val="left" w:pos="1274"/>
        </w:tabs>
        <w:spacing w:before="122" w:line="276" w:lineRule="auto"/>
        <w:ind w:right="200"/>
        <w:jc w:val="both"/>
        <w:rPr>
          <w:rFonts w:ascii="Arial" w:hAnsi="Arial" w:cs="Arial"/>
          <w:sz w:val="20"/>
          <w:szCs w:val="20"/>
        </w:rPr>
      </w:pPr>
      <w:r w:rsidRPr="00B0719C">
        <w:rPr>
          <w:rFonts w:ascii="Arial" w:hAnsi="Arial" w:cs="Arial"/>
          <w:sz w:val="20"/>
          <w:szCs w:val="20"/>
        </w:rPr>
        <w:t>The following information used for the preparation and execution of a flight, and associated reports, should be stored for 3 months:</w:t>
      </w:r>
    </w:p>
    <w:p w14:paraId="0B5EACFF" w14:textId="77777777" w:rsidR="00B0719C" w:rsidRPr="00B0719C" w:rsidRDefault="00B0719C" w:rsidP="00AD2F17">
      <w:pPr>
        <w:numPr>
          <w:ilvl w:val="1"/>
          <w:numId w:val="108"/>
        </w:numPr>
        <w:tabs>
          <w:tab w:val="left" w:pos="1273"/>
          <w:tab w:val="left" w:pos="1274"/>
        </w:tabs>
        <w:spacing w:before="122" w:line="276" w:lineRule="auto"/>
        <w:ind w:right="200"/>
        <w:jc w:val="both"/>
        <w:rPr>
          <w:rFonts w:ascii="Arial" w:hAnsi="Arial" w:cs="Arial"/>
          <w:sz w:val="20"/>
          <w:szCs w:val="20"/>
        </w:rPr>
      </w:pPr>
      <w:r w:rsidRPr="00B0719C">
        <w:rPr>
          <w:rFonts w:ascii="Arial" w:hAnsi="Arial" w:cs="Arial"/>
          <w:sz w:val="20"/>
          <w:szCs w:val="20"/>
        </w:rPr>
        <w:t>the operational flight plan, if applicable;</w:t>
      </w:r>
    </w:p>
    <w:p w14:paraId="4A1F77DF" w14:textId="77777777" w:rsidR="00B0719C" w:rsidRPr="00B0719C" w:rsidRDefault="00B0719C" w:rsidP="00AD2F17">
      <w:pPr>
        <w:numPr>
          <w:ilvl w:val="1"/>
          <w:numId w:val="108"/>
        </w:numPr>
        <w:tabs>
          <w:tab w:val="left" w:pos="1273"/>
          <w:tab w:val="left" w:pos="1274"/>
        </w:tabs>
        <w:spacing w:before="122" w:line="276" w:lineRule="auto"/>
        <w:ind w:right="200"/>
        <w:jc w:val="both"/>
        <w:rPr>
          <w:rFonts w:ascii="Arial" w:hAnsi="Arial" w:cs="Arial"/>
          <w:sz w:val="20"/>
          <w:szCs w:val="20"/>
        </w:rPr>
      </w:pPr>
      <w:r w:rsidRPr="00B0719C">
        <w:rPr>
          <w:rFonts w:ascii="Arial" w:hAnsi="Arial" w:cs="Arial"/>
          <w:sz w:val="20"/>
          <w:szCs w:val="20"/>
        </w:rPr>
        <w:t>mass documentation;</w:t>
      </w:r>
    </w:p>
    <w:p w14:paraId="3446798F" w14:textId="77777777" w:rsidR="00624F46" w:rsidRPr="0006017F" w:rsidRDefault="00B0719C" w:rsidP="00AD2F17">
      <w:pPr>
        <w:numPr>
          <w:ilvl w:val="1"/>
          <w:numId w:val="108"/>
        </w:numPr>
        <w:tabs>
          <w:tab w:val="left" w:pos="1273"/>
          <w:tab w:val="left" w:pos="1274"/>
        </w:tabs>
        <w:spacing w:before="122" w:line="276" w:lineRule="auto"/>
        <w:ind w:right="200"/>
        <w:jc w:val="both"/>
        <w:rPr>
          <w:rFonts w:ascii="Arial" w:hAnsi="Arial" w:cs="Arial"/>
          <w:sz w:val="20"/>
          <w:szCs w:val="20"/>
        </w:rPr>
      </w:pPr>
      <w:r w:rsidRPr="00B0719C">
        <w:rPr>
          <w:rFonts w:ascii="Arial" w:hAnsi="Arial" w:cs="Arial"/>
          <w:sz w:val="20"/>
          <w:szCs w:val="20"/>
        </w:rPr>
        <w:t>notification of special loads, including written information to the pilot-in-command about dangerous goods, if applicable; and</w:t>
      </w:r>
    </w:p>
    <w:p w14:paraId="0EB22ABC" w14:textId="77777777" w:rsidR="0006017F" w:rsidRPr="0006017F" w:rsidRDefault="0006017F" w:rsidP="00AD2F17">
      <w:pPr>
        <w:numPr>
          <w:ilvl w:val="1"/>
          <w:numId w:val="108"/>
        </w:numPr>
        <w:tabs>
          <w:tab w:val="left" w:pos="1273"/>
          <w:tab w:val="left" w:pos="1274"/>
        </w:tabs>
        <w:spacing w:before="122" w:line="276" w:lineRule="auto"/>
        <w:ind w:right="200"/>
        <w:jc w:val="both"/>
        <w:rPr>
          <w:rFonts w:ascii="Arial" w:hAnsi="Arial" w:cs="Arial"/>
          <w:sz w:val="20"/>
          <w:szCs w:val="20"/>
        </w:rPr>
      </w:pPr>
      <w:r w:rsidRPr="0006017F">
        <w:rPr>
          <w:rFonts w:ascii="Arial" w:hAnsi="Arial" w:cs="Arial"/>
          <w:sz w:val="20"/>
          <w:szCs w:val="20"/>
        </w:rPr>
        <w:t>flight report(s) for recording details of any occurrence, or any event that the pilot-in- command deems necessary to report or record.</w:t>
      </w:r>
    </w:p>
    <w:p w14:paraId="641E2238" w14:textId="77777777" w:rsidR="0006017F" w:rsidRPr="0006017F" w:rsidRDefault="0006017F" w:rsidP="00AD2F17">
      <w:pPr>
        <w:numPr>
          <w:ilvl w:val="0"/>
          <w:numId w:val="108"/>
        </w:numPr>
        <w:tabs>
          <w:tab w:val="left" w:pos="1273"/>
          <w:tab w:val="left" w:pos="1274"/>
        </w:tabs>
        <w:spacing w:before="122" w:line="276" w:lineRule="auto"/>
        <w:ind w:right="200"/>
        <w:jc w:val="both"/>
        <w:rPr>
          <w:rFonts w:ascii="Arial" w:hAnsi="Arial" w:cs="Arial"/>
          <w:sz w:val="20"/>
          <w:szCs w:val="20"/>
        </w:rPr>
      </w:pPr>
      <w:r w:rsidRPr="0006017F">
        <w:rPr>
          <w:rFonts w:ascii="Arial" w:hAnsi="Arial" w:cs="Arial"/>
          <w:sz w:val="20"/>
          <w:szCs w:val="20"/>
        </w:rPr>
        <w:t>Flight crew records should be stored for the periods indicated below:</w:t>
      </w:r>
    </w:p>
    <w:p w14:paraId="7313B9D3" w14:textId="77777777" w:rsidR="0006017F" w:rsidRPr="0006017F" w:rsidRDefault="0006017F" w:rsidP="009601C2">
      <w:pPr>
        <w:tabs>
          <w:tab w:val="left" w:pos="1273"/>
          <w:tab w:val="left" w:pos="1274"/>
        </w:tabs>
        <w:spacing w:before="122" w:line="276" w:lineRule="auto"/>
        <w:ind w:right="200"/>
        <w:jc w:val="both"/>
        <w:rPr>
          <w:rFonts w:ascii="Arial" w:hAnsi="Arial" w:cs="Arial"/>
          <w:sz w:val="20"/>
          <w:szCs w:val="20"/>
        </w:rPr>
      </w:pPr>
    </w:p>
    <w:tbl>
      <w:tblPr>
        <w:tblStyle w:val="TableGrid31"/>
        <w:tblW w:w="0" w:type="auto"/>
        <w:tblLayout w:type="fixed"/>
        <w:tblLook w:val="01E0" w:firstRow="1" w:lastRow="1" w:firstColumn="1" w:lastColumn="1" w:noHBand="0" w:noVBand="0"/>
      </w:tblPr>
      <w:tblGrid>
        <w:gridCol w:w="3420"/>
        <w:gridCol w:w="5400"/>
      </w:tblGrid>
      <w:tr w:rsidR="0006017F" w:rsidRPr="0006017F" w14:paraId="500C776E" w14:textId="77777777" w:rsidTr="00483F9C">
        <w:trPr>
          <w:trHeight w:val="448"/>
        </w:trPr>
        <w:tc>
          <w:tcPr>
            <w:tcW w:w="3420" w:type="dxa"/>
            <w:shd w:val="clear" w:color="auto" w:fill="F2F2F2" w:themeFill="background1" w:themeFillShade="F2"/>
          </w:tcPr>
          <w:p w14:paraId="56CCBAAD" w14:textId="77777777" w:rsidR="0006017F" w:rsidRPr="0006017F" w:rsidRDefault="0006017F" w:rsidP="009601C2">
            <w:pPr>
              <w:tabs>
                <w:tab w:val="left" w:pos="1273"/>
                <w:tab w:val="left" w:pos="1274"/>
              </w:tabs>
              <w:spacing w:before="122" w:line="276" w:lineRule="auto"/>
              <w:ind w:right="200"/>
              <w:jc w:val="both"/>
              <w:rPr>
                <w:rFonts w:ascii="Arial" w:hAnsi="Arial" w:cs="Arial"/>
                <w:b/>
              </w:rPr>
            </w:pPr>
            <w:r w:rsidRPr="0006017F">
              <w:rPr>
                <w:rFonts w:ascii="Arial" w:hAnsi="Arial" w:cs="Arial"/>
                <w:b/>
              </w:rPr>
              <w:t>Flight crew licence</w:t>
            </w:r>
          </w:p>
        </w:tc>
        <w:tc>
          <w:tcPr>
            <w:tcW w:w="5400" w:type="dxa"/>
          </w:tcPr>
          <w:p w14:paraId="072275C3" w14:textId="77777777" w:rsidR="0006017F" w:rsidRPr="0006017F" w:rsidRDefault="0006017F" w:rsidP="009601C2">
            <w:pPr>
              <w:tabs>
                <w:tab w:val="left" w:pos="1273"/>
                <w:tab w:val="left" w:pos="1274"/>
              </w:tabs>
              <w:spacing w:before="122" w:line="276" w:lineRule="auto"/>
              <w:ind w:right="200"/>
              <w:jc w:val="both"/>
              <w:rPr>
                <w:rFonts w:ascii="Arial" w:hAnsi="Arial" w:cs="Arial"/>
              </w:rPr>
            </w:pPr>
            <w:r w:rsidRPr="0006017F">
              <w:rPr>
                <w:rFonts w:ascii="Arial" w:hAnsi="Arial" w:cs="Arial"/>
              </w:rPr>
              <w:t>As long as the crew member is exercising the privileges of the licence for the balloon operator</w:t>
            </w:r>
          </w:p>
        </w:tc>
      </w:tr>
      <w:tr w:rsidR="0006017F" w:rsidRPr="0006017F" w14:paraId="3ED3F18E" w14:textId="77777777" w:rsidTr="00483F9C">
        <w:trPr>
          <w:trHeight w:val="444"/>
        </w:trPr>
        <w:tc>
          <w:tcPr>
            <w:tcW w:w="3420" w:type="dxa"/>
            <w:shd w:val="clear" w:color="auto" w:fill="F2F2F2" w:themeFill="background1" w:themeFillShade="F2"/>
          </w:tcPr>
          <w:p w14:paraId="094E9CA4" w14:textId="77777777" w:rsidR="0006017F" w:rsidRPr="0006017F" w:rsidRDefault="0006017F" w:rsidP="009601C2">
            <w:pPr>
              <w:tabs>
                <w:tab w:val="left" w:pos="1273"/>
                <w:tab w:val="left" w:pos="1274"/>
              </w:tabs>
              <w:spacing w:before="122" w:line="276" w:lineRule="auto"/>
              <w:ind w:right="200"/>
              <w:jc w:val="both"/>
              <w:rPr>
                <w:rFonts w:ascii="Arial" w:hAnsi="Arial" w:cs="Arial"/>
                <w:b/>
              </w:rPr>
            </w:pPr>
            <w:r w:rsidRPr="0006017F">
              <w:rPr>
                <w:rFonts w:ascii="Arial" w:hAnsi="Arial" w:cs="Arial"/>
                <w:b/>
              </w:rPr>
              <w:t>Flight crew member training, checking</w:t>
            </w:r>
            <w:r>
              <w:rPr>
                <w:rFonts w:ascii="Arial" w:hAnsi="Arial" w:cs="Arial"/>
                <w:b/>
              </w:rPr>
              <w:t xml:space="preserve"> </w:t>
            </w:r>
            <w:r w:rsidRPr="0006017F">
              <w:rPr>
                <w:rFonts w:ascii="Arial" w:hAnsi="Arial" w:cs="Arial"/>
                <w:b/>
              </w:rPr>
              <w:t>and qualifications</w:t>
            </w:r>
          </w:p>
        </w:tc>
        <w:tc>
          <w:tcPr>
            <w:tcW w:w="5400" w:type="dxa"/>
          </w:tcPr>
          <w:p w14:paraId="27DC05B6" w14:textId="77777777" w:rsidR="0006017F" w:rsidRPr="0006017F" w:rsidRDefault="0006017F" w:rsidP="009601C2">
            <w:pPr>
              <w:tabs>
                <w:tab w:val="left" w:pos="1273"/>
                <w:tab w:val="left" w:pos="1274"/>
              </w:tabs>
              <w:spacing w:before="122" w:line="276" w:lineRule="auto"/>
              <w:ind w:right="200"/>
              <w:jc w:val="both"/>
              <w:rPr>
                <w:rFonts w:ascii="Arial" w:hAnsi="Arial" w:cs="Arial"/>
              </w:rPr>
            </w:pPr>
            <w:r w:rsidRPr="0006017F">
              <w:rPr>
                <w:rFonts w:ascii="Arial" w:hAnsi="Arial" w:cs="Arial"/>
              </w:rPr>
              <w:t>3 years</w:t>
            </w:r>
          </w:p>
        </w:tc>
      </w:tr>
      <w:tr w:rsidR="0006017F" w:rsidRPr="0006017F" w14:paraId="54E1DA02" w14:textId="77777777" w:rsidTr="00483F9C">
        <w:trPr>
          <w:trHeight w:val="445"/>
        </w:trPr>
        <w:tc>
          <w:tcPr>
            <w:tcW w:w="3420" w:type="dxa"/>
            <w:shd w:val="clear" w:color="auto" w:fill="F2F2F2" w:themeFill="background1" w:themeFillShade="F2"/>
          </w:tcPr>
          <w:p w14:paraId="63E6B7A4" w14:textId="77777777" w:rsidR="0006017F" w:rsidRPr="0006017F" w:rsidRDefault="0006017F" w:rsidP="009601C2">
            <w:pPr>
              <w:tabs>
                <w:tab w:val="left" w:pos="1273"/>
                <w:tab w:val="left" w:pos="1274"/>
              </w:tabs>
              <w:spacing w:before="122" w:line="276" w:lineRule="auto"/>
              <w:ind w:right="200"/>
              <w:jc w:val="both"/>
              <w:rPr>
                <w:rFonts w:ascii="Arial" w:hAnsi="Arial" w:cs="Arial"/>
                <w:b/>
              </w:rPr>
            </w:pPr>
            <w:r w:rsidRPr="0006017F">
              <w:rPr>
                <w:rFonts w:ascii="Arial" w:hAnsi="Arial" w:cs="Arial"/>
                <w:b/>
              </w:rPr>
              <w:t>Records on flight crew member recent</w:t>
            </w:r>
            <w:r>
              <w:rPr>
                <w:rFonts w:ascii="Arial" w:hAnsi="Arial" w:cs="Arial"/>
                <w:b/>
              </w:rPr>
              <w:t xml:space="preserve"> </w:t>
            </w:r>
            <w:r w:rsidRPr="0006017F">
              <w:rPr>
                <w:rFonts w:ascii="Arial" w:hAnsi="Arial" w:cs="Arial"/>
                <w:b/>
              </w:rPr>
              <w:t>experience</w:t>
            </w:r>
          </w:p>
        </w:tc>
        <w:tc>
          <w:tcPr>
            <w:tcW w:w="5400" w:type="dxa"/>
          </w:tcPr>
          <w:p w14:paraId="251FED5D" w14:textId="77777777" w:rsidR="0006017F" w:rsidRPr="0006017F" w:rsidRDefault="0006017F" w:rsidP="009601C2">
            <w:pPr>
              <w:tabs>
                <w:tab w:val="left" w:pos="1273"/>
                <w:tab w:val="left" w:pos="1274"/>
              </w:tabs>
              <w:spacing w:before="122" w:line="276" w:lineRule="auto"/>
              <w:ind w:right="200"/>
              <w:jc w:val="both"/>
              <w:rPr>
                <w:rFonts w:ascii="Arial" w:hAnsi="Arial" w:cs="Arial"/>
              </w:rPr>
            </w:pPr>
            <w:r w:rsidRPr="0006017F">
              <w:rPr>
                <w:rFonts w:ascii="Arial" w:hAnsi="Arial" w:cs="Arial"/>
              </w:rPr>
              <w:t>15 months</w:t>
            </w:r>
          </w:p>
        </w:tc>
      </w:tr>
    </w:tbl>
    <w:p w14:paraId="777554AB" w14:textId="77777777" w:rsidR="0006017F" w:rsidRPr="0006017F" w:rsidRDefault="0006017F" w:rsidP="009601C2">
      <w:pPr>
        <w:tabs>
          <w:tab w:val="left" w:pos="1273"/>
          <w:tab w:val="left" w:pos="1274"/>
        </w:tabs>
        <w:spacing w:before="122" w:line="276" w:lineRule="auto"/>
        <w:ind w:right="200"/>
        <w:jc w:val="both"/>
        <w:rPr>
          <w:rFonts w:ascii="Arial" w:hAnsi="Arial" w:cs="Arial"/>
          <w:sz w:val="20"/>
          <w:szCs w:val="20"/>
        </w:rPr>
      </w:pPr>
    </w:p>
    <w:p w14:paraId="6B3E0B12" w14:textId="77777777" w:rsidR="0006017F" w:rsidRPr="0006017F" w:rsidRDefault="0006017F" w:rsidP="00BC2917">
      <w:pPr>
        <w:numPr>
          <w:ilvl w:val="0"/>
          <w:numId w:val="108"/>
        </w:numPr>
        <w:tabs>
          <w:tab w:val="left" w:pos="1273"/>
          <w:tab w:val="left" w:pos="1274"/>
        </w:tabs>
        <w:spacing w:before="122" w:line="276" w:lineRule="auto"/>
        <w:ind w:right="68"/>
        <w:jc w:val="both"/>
        <w:rPr>
          <w:rFonts w:ascii="Arial" w:hAnsi="Arial" w:cs="Arial"/>
          <w:sz w:val="20"/>
          <w:szCs w:val="20"/>
        </w:rPr>
      </w:pPr>
      <w:r w:rsidRPr="0006017F">
        <w:rPr>
          <w:rFonts w:ascii="Arial" w:hAnsi="Arial" w:cs="Arial"/>
          <w:sz w:val="20"/>
          <w:szCs w:val="20"/>
        </w:rPr>
        <w:t>The operator should make such records available, on request, to the crew member concerned.</w:t>
      </w:r>
    </w:p>
    <w:p w14:paraId="463BA18F" w14:textId="77777777" w:rsidR="0006017F" w:rsidRPr="0006017F" w:rsidRDefault="0006017F" w:rsidP="00BC2917">
      <w:pPr>
        <w:numPr>
          <w:ilvl w:val="0"/>
          <w:numId w:val="108"/>
        </w:numPr>
        <w:tabs>
          <w:tab w:val="left" w:pos="1273"/>
          <w:tab w:val="left" w:pos="1274"/>
        </w:tabs>
        <w:spacing w:before="122" w:line="276" w:lineRule="auto"/>
        <w:ind w:right="68"/>
        <w:jc w:val="both"/>
        <w:rPr>
          <w:rFonts w:ascii="Arial" w:hAnsi="Arial" w:cs="Arial"/>
          <w:sz w:val="20"/>
          <w:szCs w:val="20"/>
        </w:rPr>
      </w:pPr>
      <w:r w:rsidRPr="0006017F">
        <w:rPr>
          <w:rFonts w:ascii="Arial" w:hAnsi="Arial" w:cs="Arial"/>
          <w:sz w:val="20"/>
          <w:szCs w:val="20"/>
        </w:rPr>
        <w:t>The operator should preserve the information used for the preparation and execution of a flight and personnel training records, even if the operator ceases to be the operator of that balloon or the employer of that crew member, provided this is within the timescales prescribed in (c).</w:t>
      </w:r>
    </w:p>
    <w:p w14:paraId="78B1B3B4" w14:textId="77777777" w:rsidR="0006017F" w:rsidRPr="0006017F" w:rsidRDefault="0006017F" w:rsidP="00BC2917">
      <w:pPr>
        <w:numPr>
          <w:ilvl w:val="0"/>
          <w:numId w:val="108"/>
        </w:numPr>
        <w:tabs>
          <w:tab w:val="left" w:pos="1273"/>
          <w:tab w:val="left" w:pos="1274"/>
        </w:tabs>
        <w:spacing w:before="122" w:line="276" w:lineRule="auto"/>
        <w:ind w:right="68"/>
        <w:jc w:val="both"/>
        <w:rPr>
          <w:rFonts w:ascii="Arial" w:hAnsi="Arial" w:cs="Arial"/>
          <w:sz w:val="20"/>
          <w:szCs w:val="20"/>
        </w:rPr>
      </w:pPr>
      <w:r w:rsidRPr="0006017F">
        <w:rPr>
          <w:rFonts w:ascii="Arial" w:hAnsi="Arial" w:cs="Arial"/>
          <w:sz w:val="20"/>
          <w:szCs w:val="20"/>
        </w:rPr>
        <w:t>If a crew member becomes a crew member for another operator, the former operator should make the crew member’s records available to the new operator, provided this is within the timescales prescribed in (c).</w:t>
      </w:r>
    </w:p>
    <w:p w14:paraId="204745E3" w14:textId="06929FDA" w:rsidR="005D6D10" w:rsidRPr="006F3028" w:rsidRDefault="0006017F" w:rsidP="00BC2917">
      <w:pPr>
        <w:numPr>
          <w:ilvl w:val="0"/>
          <w:numId w:val="108"/>
        </w:numPr>
        <w:tabs>
          <w:tab w:val="left" w:pos="1273"/>
          <w:tab w:val="left" w:pos="1274"/>
        </w:tabs>
        <w:spacing w:before="122" w:line="276" w:lineRule="auto"/>
        <w:ind w:right="68"/>
        <w:jc w:val="both"/>
        <w:rPr>
          <w:rFonts w:ascii="Arial" w:hAnsi="Arial" w:cs="Arial"/>
          <w:sz w:val="20"/>
          <w:szCs w:val="20"/>
        </w:rPr>
      </w:pPr>
      <w:r w:rsidRPr="0006017F">
        <w:rPr>
          <w:rFonts w:ascii="Arial" w:hAnsi="Arial" w:cs="Arial"/>
          <w:sz w:val="20"/>
          <w:szCs w:val="20"/>
        </w:rPr>
        <w:t>A summary of training should be maintained by the operator to show every crew member’s completion of each stage of training and checking.</w:t>
      </w:r>
    </w:p>
    <w:p w14:paraId="6950CF28" w14:textId="77777777" w:rsidR="005D6D10" w:rsidRDefault="005D6D10" w:rsidP="009601C2">
      <w:pPr>
        <w:tabs>
          <w:tab w:val="left" w:pos="1273"/>
          <w:tab w:val="left" w:pos="1274"/>
        </w:tabs>
        <w:spacing w:before="122" w:line="276" w:lineRule="auto"/>
        <w:ind w:right="200"/>
        <w:rPr>
          <w:rFonts w:ascii="Arial" w:hAnsi="Arial" w:cs="Arial"/>
          <w:sz w:val="20"/>
          <w:szCs w:val="20"/>
        </w:rPr>
      </w:pPr>
    </w:p>
    <w:p w14:paraId="5C282C7D" w14:textId="77777777" w:rsidR="005D6D10" w:rsidRDefault="005D6D10" w:rsidP="009601C2">
      <w:pPr>
        <w:tabs>
          <w:tab w:val="left" w:pos="1273"/>
          <w:tab w:val="left" w:pos="1274"/>
        </w:tabs>
        <w:spacing w:before="122" w:line="276" w:lineRule="auto"/>
        <w:ind w:right="200"/>
        <w:rPr>
          <w:rFonts w:ascii="Arial" w:hAnsi="Arial" w:cs="Arial"/>
          <w:sz w:val="20"/>
          <w:szCs w:val="20"/>
        </w:rPr>
      </w:pPr>
    </w:p>
    <w:p w14:paraId="0C3F9406" w14:textId="77777777" w:rsidR="00B0685D" w:rsidRPr="00FA7754" w:rsidRDefault="00B0685D" w:rsidP="009601C2">
      <w:pPr>
        <w:keepNext/>
        <w:keepLines/>
        <w:spacing w:before="40" w:line="276" w:lineRule="auto"/>
        <w:jc w:val="center"/>
        <w:outlineLvl w:val="3"/>
        <w:rPr>
          <w:rFonts w:ascii="Arial" w:eastAsiaTheme="majorEastAsia" w:hAnsi="Arial" w:cs="Arial"/>
          <w:b/>
          <w:iCs/>
          <w:color w:val="2E74B5" w:themeColor="accent1" w:themeShade="BF"/>
          <w:sz w:val="24"/>
          <w:szCs w:val="24"/>
        </w:rPr>
      </w:pPr>
      <w:bookmarkStart w:id="457" w:name="_Toc153137353"/>
      <w:r w:rsidRPr="00FA7754">
        <w:rPr>
          <w:rFonts w:ascii="Arial" w:eastAsiaTheme="majorEastAsia" w:hAnsi="Arial" w:cs="Arial"/>
          <w:b/>
          <w:iCs/>
          <w:color w:val="2E74B5" w:themeColor="accent1" w:themeShade="BF"/>
          <w:sz w:val="24"/>
          <w:szCs w:val="24"/>
        </w:rPr>
        <w:lastRenderedPageBreak/>
        <w:t>SECTION 4 – FLIGHT CREW</w:t>
      </w:r>
      <w:bookmarkEnd w:id="457"/>
    </w:p>
    <w:p w14:paraId="7E1E7122" w14:textId="77777777" w:rsidR="00B0685D" w:rsidRPr="00B0685D" w:rsidRDefault="00B0685D" w:rsidP="009601C2">
      <w:pPr>
        <w:keepNext/>
        <w:keepLines/>
        <w:widowControl/>
        <w:shd w:val="clear" w:color="auto" w:fill="2F5496"/>
        <w:autoSpaceDE/>
        <w:autoSpaceDN/>
        <w:spacing w:before="280" w:after="240" w:line="276" w:lineRule="auto"/>
        <w:outlineLvl w:val="3"/>
        <w:rPr>
          <w:rFonts w:ascii="Arial" w:eastAsia="Times New Roman" w:hAnsi="Arial" w:cs="Times New Roman"/>
          <w:b/>
          <w:iCs/>
          <w:color w:val="FFFFFF"/>
          <w:sz w:val="24"/>
        </w:rPr>
      </w:pPr>
      <w:bookmarkStart w:id="458" w:name="BOP.ADD.300_Composition_of_flight_crew"/>
      <w:bookmarkStart w:id="459" w:name="_bookmark189"/>
      <w:bookmarkStart w:id="460" w:name="_Toc153137354"/>
      <w:bookmarkEnd w:id="458"/>
      <w:bookmarkEnd w:id="459"/>
      <w:r w:rsidRPr="00B0685D">
        <w:rPr>
          <w:rFonts w:ascii="Arial" w:eastAsia="Times New Roman" w:hAnsi="Arial" w:cs="Times New Roman"/>
          <w:b/>
          <w:iCs/>
          <w:color w:val="FFFFFF"/>
          <w:sz w:val="24"/>
        </w:rPr>
        <w:t>BOP.ADD.300 Composition of flight crew</w:t>
      </w:r>
      <w:bookmarkEnd w:id="460"/>
    </w:p>
    <w:p w14:paraId="70E72613" w14:textId="77777777" w:rsidR="00B0685D" w:rsidRPr="00B0685D" w:rsidRDefault="00B0685D" w:rsidP="00136021">
      <w:pPr>
        <w:numPr>
          <w:ilvl w:val="0"/>
          <w:numId w:val="109"/>
        </w:numPr>
        <w:tabs>
          <w:tab w:val="left" w:pos="1273"/>
          <w:tab w:val="left" w:pos="1274"/>
        </w:tabs>
        <w:spacing w:before="122" w:line="276" w:lineRule="auto"/>
        <w:ind w:right="68"/>
        <w:jc w:val="both"/>
        <w:rPr>
          <w:rFonts w:ascii="Arial" w:hAnsi="Arial" w:cs="Arial"/>
          <w:sz w:val="20"/>
          <w:szCs w:val="20"/>
        </w:rPr>
      </w:pPr>
      <w:r w:rsidRPr="00B0685D">
        <w:rPr>
          <w:rFonts w:ascii="Arial" w:hAnsi="Arial" w:cs="Arial"/>
          <w:sz w:val="20"/>
          <w:szCs w:val="20"/>
        </w:rPr>
        <w:t>The composition of the flight crew shall be, as a minimum, as specified in the AFM or operating limitations prescribed for the balloon.</w:t>
      </w:r>
    </w:p>
    <w:p w14:paraId="6EACA980" w14:textId="77777777" w:rsidR="00B0685D" w:rsidRPr="00B0685D" w:rsidRDefault="00B0685D" w:rsidP="00136021">
      <w:pPr>
        <w:numPr>
          <w:ilvl w:val="0"/>
          <w:numId w:val="109"/>
        </w:numPr>
        <w:tabs>
          <w:tab w:val="left" w:pos="1273"/>
          <w:tab w:val="left" w:pos="1274"/>
        </w:tabs>
        <w:spacing w:before="122" w:line="276" w:lineRule="auto"/>
        <w:ind w:right="68"/>
        <w:jc w:val="both"/>
        <w:rPr>
          <w:rFonts w:ascii="Arial" w:hAnsi="Arial" w:cs="Arial"/>
          <w:sz w:val="20"/>
          <w:szCs w:val="20"/>
        </w:rPr>
      </w:pPr>
      <w:r w:rsidRPr="00B0685D">
        <w:rPr>
          <w:rFonts w:ascii="Arial" w:hAnsi="Arial" w:cs="Arial"/>
          <w:sz w:val="20"/>
          <w:szCs w:val="20"/>
        </w:rPr>
        <w:t>The flight crew shall include additional flight crew members when required by the type of operation. The number of the flight crew shall not be lower than the number specified in the operations manual.</w:t>
      </w:r>
    </w:p>
    <w:p w14:paraId="70EF846A" w14:textId="77777777" w:rsidR="00B0685D" w:rsidRPr="00B0685D" w:rsidRDefault="00B0685D" w:rsidP="00136021">
      <w:pPr>
        <w:numPr>
          <w:ilvl w:val="0"/>
          <w:numId w:val="109"/>
        </w:numPr>
        <w:tabs>
          <w:tab w:val="left" w:pos="1273"/>
          <w:tab w:val="left" w:pos="1274"/>
        </w:tabs>
        <w:spacing w:before="122" w:line="276" w:lineRule="auto"/>
        <w:ind w:right="68"/>
        <w:jc w:val="both"/>
        <w:rPr>
          <w:rFonts w:ascii="Arial" w:hAnsi="Arial" w:cs="Arial"/>
          <w:sz w:val="20"/>
          <w:szCs w:val="20"/>
        </w:rPr>
      </w:pPr>
      <w:r w:rsidRPr="00B0685D">
        <w:rPr>
          <w:rFonts w:ascii="Arial" w:hAnsi="Arial" w:cs="Arial"/>
          <w:sz w:val="20"/>
          <w:szCs w:val="20"/>
        </w:rPr>
        <w:t>All flight crew members shall hold a licence and ratings issued or accepted in accordance with Annex III to this Regulation and shall be appropriate to the duties assigned to them.</w:t>
      </w:r>
    </w:p>
    <w:p w14:paraId="2FB7CC85" w14:textId="77777777" w:rsidR="00B0685D" w:rsidRPr="00B0685D" w:rsidRDefault="00B0685D" w:rsidP="00136021">
      <w:pPr>
        <w:numPr>
          <w:ilvl w:val="0"/>
          <w:numId w:val="109"/>
        </w:numPr>
        <w:tabs>
          <w:tab w:val="left" w:pos="1273"/>
          <w:tab w:val="left" w:pos="1274"/>
        </w:tabs>
        <w:spacing w:before="122" w:line="276" w:lineRule="auto"/>
        <w:ind w:right="68"/>
        <w:jc w:val="both"/>
        <w:rPr>
          <w:rFonts w:ascii="Arial" w:hAnsi="Arial" w:cs="Arial"/>
          <w:sz w:val="20"/>
          <w:szCs w:val="20"/>
        </w:rPr>
      </w:pPr>
      <w:r w:rsidRPr="00B0685D">
        <w:rPr>
          <w:rFonts w:ascii="Arial" w:hAnsi="Arial" w:cs="Arial"/>
          <w:sz w:val="20"/>
          <w:szCs w:val="20"/>
        </w:rPr>
        <w:t>Flight crew members may be relieved during the flight of their duties at the controls by another suitably qualified flight crew member.</w:t>
      </w:r>
    </w:p>
    <w:p w14:paraId="392DE774" w14:textId="77777777" w:rsidR="00B0685D" w:rsidRPr="00B0685D" w:rsidRDefault="00B0685D" w:rsidP="00136021">
      <w:pPr>
        <w:numPr>
          <w:ilvl w:val="0"/>
          <w:numId w:val="109"/>
        </w:numPr>
        <w:tabs>
          <w:tab w:val="left" w:pos="1273"/>
          <w:tab w:val="left" w:pos="1274"/>
        </w:tabs>
        <w:spacing w:before="122" w:line="276" w:lineRule="auto"/>
        <w:ind w:right="68"/>
        <w:jc w:val="both"/>
        <w:rPr>
          <w:rFonts w:ascii="Arial" w:hAnsi="Arial" w:cs="Arial"/>
          <w:sz w:val="20"/>
          <w:szCs w:val="20"/>
        </w:rPr>
      </w:pPr>
      <w:r w:rsidRPr="00B0685D">
        <w:rPr>
          <w:rFonts w:ascii="Arial" w:hAnsi="Arial" w:cs="Arial"/>
          <w:sz w:val="20"/>
          <w:szCs w:val="20"/>
        </w:rPr>
        <w:t>When engaging the services of flight crew members who work on a freelance or part-time basis, the operator shall verify that all of the following requirements are complied with:</w:t>
      </w:r>
    </w:p>
    <w:p w14:paraId="31151E84" w14:textId="77777777" w:rsidR="00B0685D" w:rsidRPr="00B0685D" w:rsidRDefault="00B0685D" w:rsidP="00136021">
      <w:pPr>
        <w:numPr>
          <w:ilvl w:val="1"/>
          <w:numId w:val="109"/>
        </w:numPr>
        <w:tabs>
          <w:tab w:val="left" w:pos="1274"/>
        </w:tabs>
        <w:spacing w:before="122" w:line="276" w:lineRule="auto"/>
        <w:ind w:right="68"/>
        <w:jc w:val="both"/>
        <w:rPr>
          <w:rFonts w:ascii="Arial" w:hAnsi="Arial" w:cs="Arial"/>
          <w:sz w:val="20"/>
          <w:szCs w:val="20"/>
        </w:rPr>
      </w:pPr>
      <w:r w:rsidRPr="00B0685D">
        <w:rPr>
          <w:rFonts w:ascii="Arial" w:hAnsi="Arial" w:cs="Arial"/>
          <w:sz w:val="20"/>
          <w:szCs w:val="20"/>
        </w:rPr>
        <w:t>the requirements of this Subpart;</w:t>
      </w:r>
    </w:p>
    <w:p w14:paraId="12406B79" w14:textId="77777777" w:rsidR="00B0685D" w:rsidRDefault="00B0685D" w:rsidP="00136021">
      <w:pPr>
        <w:numPr>
          <w:ilvl w:val="1"/>
          <w:numId w:val="109"/>
        </w:numPr>
        <w:tabs>
          <w:tab w:val="left" w:pos="1274"/>
          <w:tab w:val="left" w:pos="1274"/>
        </w:tabs>
        <w:spacing w:before="122" w:line="276" w:lineRule="auto"/>
        <w:ind w:right="68"/>
        <w:jc w:val="both"/>
        <w:rPr>
          <w:rFonts w:ascii="Arial" w:hAnsi="Arial" w:cs="Arial"/>
          <w:sz w:val="20"/>
          <w:szCs w:val="20"/>
        </w:rPr>
      </w:pPr>
      <w:r w:rsidRPr="00B0685D">
        <w:rPr>
          <w:rFonts w:ascii="Arial" w:hAnsi="Arial" w:cs="Arial"/>
          <w:sz w:val="20"/>
          <w:szCs w:val="20"/>
        </w:rPr>
        <w:t>Annex III to this Regulation, including the requirements on recent experience;</w:t>
      </w:r>
    </w:p>
    <w:p w14:paraId="4C67B94D" w14:textId="3F0EB3D2" w:rsidR="005D6D10" w:rsidRPr="00B0685D" w:rsidRDefault="00B0685D" w:rsidP="00136021">
      <w:pPr>
        <w:numPr>
          <w:ilvl w:val="1"/>
          <w:numId w:val="109"/>
        </w:numPr>
        <w:tabs>
          <w:tab w:val="left" w:pos="1274"/>
          <w:tab w:val="left" w:pos="1274"/>
        </w:tabs>
        <w:spacing w:before="122" w:line="276" w:lineRule="auto"/>
        <w:ind w:right="68"/>
        <w:jc w:val="both"/>
        <w:rPr>
          <w:rFonts w:ascii="Arial" w:hAnsi="Arial" w:cs="Arial"/>
          <w:sz w:val="20"/>
          <w:szCs w:val="20"/>
        </w:rPr>
      </w:pPr>
      <w:r w:rsidRPr="00B0685D">
        <w:rPr>
          <w:rFonts w:ascii="Arial" w:hAnsi="Arial" w:cs="Arial"/>
          <w:sz w:val="20"/>
          <w:szCs w:val="20"/>
        </w:rPr>
        <w:t xml:space="preserve">the flight and duty time limitations and rest requirements in accordance with the national law of the </w:t>
      </w:r>
      <w:r w:rsidR="005F5690" w:rsidRPr="00C1366B">
        <w:rPr>
          <w:rFonts w:ascii="Arial" w:hAnsi="Arial" w:cs="Arial"/>
          <w:sz w:val="20"/>
        </w:rPr>
        <w:t>the Republic of Armenia</w:t>
      </w:r>
      <w:r w:rsidR="005F5690" w:rsidRPr="00B0685D">
        <w:rPr>
          <w:rFonts w:ascii="Arial" w:hAnsi="Arial" w:cs="Arial"/>
          <w:sz w:val="20"/>
          <w:szCs w:val="20"/>
        </w:rPr>
        <w:t xml:space="preserve"> </w:t>
      </w:r>
      <w:r w:rsidRPr="00B0685D">
        <w:rPr>
          <w:rFonts w:ascii="Arial" w:hAnsi="Arial" w:cs="Arial"/>
          <w:sz w:val="20"/>
          <w:szCs w:val="20"/>
        </w:rPr>
        <w:t>where the operator has its principal place of business, taking into account all services rendered by the flight crew member to other operators</w:t>
      </w:r>
    </w:p>
    <w:p w14:paraId="423CAF97" w14:textId="77777777" w:rsidR="00840666" w:rsidRPr="00840666" w:rsidRDefault="00840666"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461" w:name="BOP.ADD.305_Designation_as_pilot-in-comm"/>
      <w:bookmarkStart w:id="462" w:name="_bookmark190"/>
      <w:bookmarkStart w:id="463" w:name="_Toc153137355"/>
      <w:bookmarkEnd w:id="461"/>
      <w:bookmarkEnd w:id="462"/>
      <w:r>
        <w:rPr>
          <w:rFonts w:ascii="Arial" w:eastAsia="Times New Roman" w:hAnsi="Arial" w:cs="Times New Roman"/>
          <w:b/>
          <w:iCs/>
          <w:color w:val="FFFFFF"/>
          <w:sz w:val="24"/>
        </w:rPr>
        <w:t>BO</w:t>
      </w:r>
      <w:r w:rsidRPr="00840666">
        <w:rPr>
          <w:rFonts w:ascii="Arial" w:eastAsia="Times New Roman" w:hAnsi="Arial" w:cs="Times New Roman"/>
          <w:b/>
          <w:iCs/>
          <w:color w:val="FFFFFF"/>
          <w:sz w:val="24"/>
        </w:rPr>
        <w:t>P.ADD.305 Designation as pilot-in-command</w:t>
      </w:r>
      <w:bookmarkEnd w:id="463"/>
    </w:p>
    <w:p w14:paraId="2D290DEC" w14:textId="77777777" w:rsidR="00840666" w:rsidRPr="00840666" w:rsidRDefault="00840666" w:rsidP="00136021">
      <w:pPr>
        <w:numPr>
          <w:ilvl w:val="0"/>
          <w:numId w:val="110"/>
        </w:numPr>
        <w:tabs>
          <w:tab w:val="left" w:pos="1273"/>
          <w:tab w:val="left" w:pos="1274"/>
        </w:tabs>
        <w:spacing w:before="122" w:line="276" w:lineRule="auto"/>
        <w:ind w:right="68"/>
        <w:jc w:val="both"/>
        <w:rPr>
          <w:rFonts w:ascii="Arial" w:hAnsi="Arial" w:cs="Arial"/>
          <w:sz w:val="20"/>
          <w:szCs w:val="20"/>
        </w:rPr>
      </w:pPr>
      <w:r w:rsidRPr="00840666">
        <w:rPr>
          <w:rFonts w:ascii="Arial" w:hAnsi="Arial" w:cs="Arial"/>
          <w:sz w:val="20"/>
          <w:szCs w:val="20"/>
        </w:rPr>
        <w:t>The operator shall designate one pilot amongst the flight crew as pilot-in-command.</w:t>
      </w:r>
    </w:p>
    <w:p w14:paraId="1B07D6F3" w14:textId="77777777" w:rsidR="00840666" w:rsidRPr="00840666" w:rsidRDefault="00840666" w:rsidP="00136021">
      <w:pPr>
        <w:numPr>
          <w:ilvl w:val="0"/>
          <w:numId w:val="110"/>
        </w:numPr>
        <w:tabs>
          <w:tab w:val="left" w:pos="1273"/>
          <w:tab w:val="left" w:pos="1274"/>
        </w:tabs>
        <w:spacing w:before="122" w:line="276" w:lineRule="auto"/>
        <w:ind w:right="68"/>
        <w:jc w:val="both"/>
        <w:rPr>
          <w:rFonts w:ascii="Arial" w:hAnsi="Arial" w:cs="Arial"/>
          <w:sz w:val="20"/>
          <w:szCs w:val="20"/>
        </w:rPr>
      </w:pPr>
      <w:r w:rsidRPr="00840666">
        <w:rPr>
          <w:rFonts w:ascii="Arial" w:hAnsi="Arial" w:cs="Arial"/>
          <w:sz w:val="20"/>
          <w:szCs w:val="20"/>
        </w:rPr>
        <w:t>The operator shall only designate a pilot to act as pilot-in-command if he or she:</w:t>
      </w:r>
    </w:p>
    <w:p w14:paraId="16CDF54E" w14:textId="77777777" w:rsidR="00840666" w:rsidRPr="00840666" w:rsidRDefault="00840666" w:rsidP="00136021">
      <w:pPr>
        <w:numPr>
          <w:ilvl w:val="1"/>
          <w:numId w:val="110"/>
        </w:numPr>
        <w:tabs>
          <w:tab w:val="left" w:pos="1273"/>
          <w:tab w:val="left" w:pos="1274"/>
        </w:tabs>
        <w:spacing w:before="122" w:line="276" w:lineRule="auto"/>
        <w:ind w:right="68"/>
        <w:jc w:val="both"/>
        <w:rPr>
          <w:rFonts w:ascii="Arial" w:hAnsi="Arial" w:cs="Arial"/>
          <w:sz w:val="20"/>
          <w:szCs w:val="20"/>
        </w:rPr>
      </w:pPr>
      <w:r w:rsidRPr="00840666">
        <w:rPr>
          <w:rFonts w:ascii="Arial" w:hAnsi="Arial" w:cs="Arial"/>
          <w:sz w:val="20"/>
          <w:szCs w:val="20"/>
        </w:rPr>
        <w:t>is qualified to act as pilot-in-command in accordance with Annex III to this Regulation;</w:t>
      </w:r>
    </w:p>
    <w:p w14:paraId="764880AF" w14:textId="77777777" w:rsidR="00840666" w:rsidRPr="00840666" w:rsidRDefault="00840666" w:rsidP="00136021">
      <w:pPr>
        <w:numPr>
          <w:ilvl w:val="1"/>
          <w:numId w:val="110"/>
        </w:numPr>
        <w:tabs>
          <w:tab w:val="left" w:pos="1273"/>
          <w:tab w:val="left" w:pos="1274"/>
        </w:tabs>
        <w:spacing w:before="122" w:line="276" w:lineRule="auto"/>
        <w:ind w:right="68"/>
        <w:jc w:val="both"/>
        <w:rPr>
          <w:rFonts w:ascii="Arial" w:hAnsi="Arial" w:cs="Arial"/>
          <w:sz w:val="20"/>
          <w:szCs w:val="20"/>
        </w:rPr>
      </w:pPr>
      <w:r w:rsidRPr="00840666">
        <w:rPr>
          <w:rFonts w:ascii="Arial" w:hAnsi="Arial" w:cs="Arial"/>
          <w:sz w:val="20"/>
          <w:szCs w:val="20"/>
        </w:rPr>
        <w:t>has the minimum level of experience specified in the operations manual; and</w:t>
      </w:r>
    </w:p>
    <w:p w14:paraId="567DA120" w14:textId="77777777" w:rsidR="00624F46" w:rsidRPr="00840666" w:rsidRDefault="00840666" w:rsidP="00136021">
      <w:pPr>
        <w:numPr>
          <w:ilvl w:val="1"/>
          <w:numId w:val="110"/>
        </w:numPr>
        <w:tabs>
          <w:tab w:val="left" w:pos="1273"/>
          <w:tab w:val="left" w:pos="1274"/>
        </w:tabs>
        <w:spacing w:before="122" w:line="276" w:lineRule="auto"/>
        <w:ind w:right="68"/>
        <w:jc w:val="both"/>
        <w:rPr>
          <w:rFonts w:ascii="Arial" w:hAnsi="Arial" w:cs="Arial"/>
          <w:sz w:val="20"/>
          <w:szCs w:val="20"/>
        </w:rPr>
      </w:pPr>
      <w:r w:rsidRPr="00840666">
        <w:rPr>
          <w:rFonts w:ascii="Arial" w:hAnsi="Arial" w:cs="Arial"/>
          <w:sz w:val="20"/>
          <w:szCs w:val="20"/>
        </w:rPr>
        <w:t>has adequate knowledge of the area to be flown.</w:t>
      </w:r>
    </w:p>
    <w:p w14:paraId="2C9B23AA" w14:textId="77777777" w:rsidR="00840666" w:rsidRPr="00840666" w:rsidRDefault="00840666"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464" w:name="BOP.ADD.310_Provision_of_training_and_ch"/>
      <w:bookmarkStart w:id="465" w:name="_bookmark191"/>
      <w:bookmarkStart w:id="466" w:name="_Toc153137356"/>
      <w:bookmarkEnd w:id="464"/>
      <w:bookmarkEnd w:id="465"/>
      <w:r w:rsidRPr="00840666">
        <w:rPr>
          <w:rFonts w:ascii="Arial" w:eastAsia="Times New Roman" w:hAnsi="Arial" w:cs="Times New Roman"/>
          <w:b/>
          <w:iCs/>
          <w:color w:val="FFFFFF"/>
          <w:sz w:val="24"/>
        </w:rPr>
        <w:t>BOP.ADD.310 Provision of training and checking</w:t>
      </w:r>
      <w:bookmarkEnd w:id="466"/>
    </w:p>
    <w:p w14:paraId="56B3FED5" w14:textId="63DECF8A" w:rsidR="00840666" w:rsidRPr="00840666" w:rsidRDefault="00840666" w:rsidP="00136021">
      <w:pPr>
        <w:tabs>
          <w:tab w:val="left" w:pos="1273"/>
          <w:tab w:val="left" w:pos="1274"/>
        </w:tabs>
        <w:spacing w:before="122" w:line="276" w:lineRule="auto"/>
        <w:ind w:right="68"/>
        <w:jc w:val="both"/>
        <w:rPr>
          <w:rFonts w:ascii="Arial" w:hAnsi="Arial" w:cs="Arial"/>
          <w:sz w:val="20"/>
          <w:szCs w:val="20"/>
        </w:rPr>
      </w:pPr>
      <w:r w:rsidRPr="00840666">
        <w:rPr>
          <w:rFonts w:ascii="Arial" w:hAnsi="Arial" w:cs="Arial"/>
          <w:sz w:val="20"/>
          <w:szCs w:val="20"/>
        </w:rPr>
        <w:t xml:space="preserve">All training and checking of flight crew members required pursuant to point </w:t>
      </w:r>
      <w:r w:rsidRPr="00880B32">
        <w:rPr>
          <w:rFonts w:ascii="Arial" w:hAnsi="Arial" w:cs="Arial"/>
          <w:sz w:val="20"/>
          <w:szCs w:val="20"/>
        </w:rPr>
        <w:t xml:space="preserve">BOP.ADD.315 </w:t>
      </w:r>
      <w:r w:rsidRPr="00840666">
        <w:rPr>
          <w:rFonts w:ascii="Arial" w:hAnsi="Arial" w:cs="Arial"/>
          <w:sz w:val="20"/>
          <w:szCs w:val="20"/>
        </w:rPr>
        <w:t>shall be provided as follows:</w:t>
      </w:r>
    </w:p>
    <w:p w14:paraId="5244158F" w14:textId="77777777" w:rsidR="00840666" w:rsidRPr="00840666" w:rsidRDefault="00840666" w:rsidP="00136021">
      <w:pPr>
        <w:numPr>
          <w:ilvl w:val="0"/>
          <w:numId w:val="111"/>
        </w:numPr>
        <w:tabs>
          <w:tab w:val="left" w:pos="1273"/>
          <w:tab w:val="left" w:pos="1274"/>
        </w:tabs>
        <w:spacing w:before="122" w:line="276" w:lineRule="auto"/>
        <w:ind w:right="68"/>
        <w:jc w:val="both"/>
        <w:rPr>
          <w:rFonts w:ascii="Arial" w:hAnsi="Arial" w:cs="Arial"/>
          <w:sz w:val="20"/>
          <w:szCs w:val="20"/>
        </w:rPr>
      </w:pPr>
      <w:r w:rsidRPr="00840666">
        <w:rPr>
          <w:rFonts w:ascii="Arial" w:hAnsi="Arial" w:cs="Arial"/>
          <w:sz w:val="20"/>
          <w:szCs w:val="20"/>
        </w:rPr>
        <w:t>in accordance with the training programmes and syllabi established by the operator in the operations manual;</w:t>
      </w:r>
    </w:p>
    <w:p w14:paraId="18FBE32C" w14:textId="77777777" w:rsidR="00624F46" w:rsidRPr="00992D19" w:rsidRDefault="00840666" w:rsidP="00136021">
      <w:pPr>
        <w:numPr>
          <w:ilvl w:val="0"/>
          <w:numId w:val="111"/>
        </w:numPr>
        <w:tabs>
          <w:tab w:val="left" w:pos="1273"/>
          <w:tab w:val="left" w:pos="1274"/>
        </w:tabs>
        <w:spacing w:before="122" w:line="276" w:lineRule="auto"/>
        <w:ind w:right="68"/>
        <w:jc w:val="both"/>
        <w:rPr>
          <w:rFonts w:ascii="Arial" w:hAnsi="Arial" w:cs="Arial"/>
          <w:sz w:val="20"/>
          <w:szCs w:val="20"/>
        </w:rPr>
      </w:pPr>
      <w:r w:rsidRPr="00840666">
        <w:rPr>
          <w:rFonts w:ascii="Arial" w:hAnsi="Arial" w:cs="Arial"/>
          <w:sz w:val="20"/>
          <w:szCs w:val="20"/>
        </w:rPr>
        <w:t>by appropriately qualified persons and, as regards flight training and checking, by persons qualified in accordance with Annex III to this Regulation.</w:t>
      </w:r>
    </w:p>
    <w:p w14:paraId="1246C8C2" w14:textId="77777777" w:rsidR="00992D19" w:rsidRPr="00992D19" w:rsidRDefault="00992D19" w:rsidP="009601C2">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467" w:name="GM1_BOP.ADD.100_Declaration"/>
      <w:bookmarkStart w:id="468" w:name="_bookmark173"/>
      <w:bookmarkStart w:id="469" w:name="AMC1_BOP.ADD.310(a)_Provision_of_trainin"/>
      <w:bookmarkStart w:id="470" w:name="_bookmark192"/>
      <w:bookmarkStart w:id="471" w:name="_Toc153137357"/>
      <w:bookmarkEnd w:id="467"/>
      <w:bookmarkEnd w:id="468"/>
      <w:bookmarkEnd w:id="469"/>
      <w:bookmarkEnd w:id="470"/>
      <w:r w:rsidRPr="00992D19">
        <w:rPr>
          <w:rFonts w:ascii="Arial" w:eastAsia="Times New Roman" w:hAnsi="Arial" w:cs="Times New Roman"/>
          <w:b/>
          <w:color w:val="FFFFFF"/>
          <w:sz w:val="24"/>
        </w:rPr>
        <w:t>AMC1 BOP.ADD.310(a) Provision of training and checking</w:t>
      </w:r>
      <w:bookmarkEnd w:id="471"/>
    </w:p>
    <w:p w14:paraId="40906FAD" w14:textId="77777777" w:rsidR="00992D19" w:rsidRPr="00992D19" w:rsidRDefault="00992D19" w:rsidP="009601C2">
      <w:pPr>
        <w:spacing w:line="276" w:lineRule="auto"/>
        <w:jc w:val="both"/>
        <w:rPr>
          <w:rFonts w:ascii="Arial" w:hAnsi="Arial" w:cs="Arial"/>
          <w:b/>
          <w:sz w:val="20"/>
        </w:rPr>
      </w:pPr>
      <w:r w:rsidRPr="00992D19">
        <w:rPr>
          <w:rFonts w:ascii="Arial" w:hAnsi="Arial" w:cs="Arial"/>
          <w:b/>
          <w:sz w:val="20"/>
        </w:rPr>
        <w:t>ADDITIONAL</w:t>
      </w:r>
      <w:r w:rsidRPr="00992D19">
        <w:rPr>
          <w:rFonts w:ascii="Arial" w:hAnsi="Arial" w:cs="Arial"/>
          <w:b/>
          <w:spacing w:val="-6"/>
          <w:sz w:val="20"/>
        </w:rPr>
        <w:t xml:space="preserve"> </w:t>
      </w:r>
      <w:r w:rsidRPr="00992D19">
        <w:rPr>
          <w:rFonts w:ascii="Arial" w:hAnsi="Arial" w:cs="Arial"/>
          <w:b/>
          <w:sz w:val="20"/>
        </w:rPr>
        <w:t>TRAINING</w:t>
      </w:r>
      <w:r w:rsidRPr="00992D19">
        <w:rPr>
          <w:rFonts w:ascii="Arial" w:hAnsi="Arial" w:cs="Arial"/>
          <w:b/>
          <w:spacing w:val="-4"/>
          <w:sz w:val="20"/>
        </w:rPr>
        <w:t xml:space="preserve"> </w:t>
      </w:r>
      <w:r w:rsidRPr="00992D19">
        <w:rPr>
          <w:rFonts w:ascii="Arial" w:hAnsi="Arial" w:cs="Arial"/>
          <w:b/>
          <w:sz w:val="20"/>
        </w:rPr>
        <w:t>FOR</w:t>
      </w:r>
      <w:r w:rsidRPr="00992D19">
        <w:rPr>
          <w:rFonts w:ascii="Arial" w:hAnsi="Arial" w:cs="Arial"/>
          <w:b/>
          <w:spacing w:val="-4"/>
          <w:sz w:val="20"/>
        </w:rPr>
        <w:t xml:space="preserve"> </w:t>
      </w:r>
      <w:r w:rsidRPr="00992D19">
        <w:rPr>
          <w:rFonts w:ascii="Arial" w:hAnsi="Arial" w:cs="Arial"/>
          <w:b/>
          <w:sz w:val="20"/>
        </w:rPr>
        <w:t>THE</w:t>
      </w:r>
      <w:r w:rsidRPr="00992D19">
        <w:rPr>
          <w:rFonts w:ascii="Arial" w:hAnsi="Arial" w:cs="Arial"/>
          <w:b/>
          <w:spacing w:val="-3"/>
          <w:sz w:val="20"/>
        </w:rPr>
        <w:t xml:space="preserve"> </w:t>
      </w:r>
      <w:r w:rsidRPr="00992D19">
        <w:rPr>
          <w:rFonts w:ascii="Arial" w:hAnsi="Arial" w:cs="Arial"/>
          <w:b/>
          <w:sz w:val="20"/>
        </w:rPr>
        <w:t>PILOT-IN-COMMAND</w:t>
      </w:r>
    </w:p>
    <w:p w14:paraId="00191858" w14:textId="77777777" w:rsidR="00992D19" w:rsidRPr="00992D19" w:rsidRDefault="00992D19" w:rsidP="00136021">
      <w:pPr>
        <w:tabs>
          <w:tab w:val="left" w:pos="1273"/>
          <w:tab w:val="left" w:pos="1274"/>
        </w:tabs>
        <w:spacing w:before="122" w:line="276" w:lineRule="auto"/>
        <w:ind w:right="68"/>
        <w:jc w:val="both"/>
        <w:rPr>
          <w:rFonts w:ascii="Arial" w:hAnsi="Arial" w:cs="Arial"/>
          <w:sz w:val="20"/>
          <w:szCs w:val="20"/>
        </w:rPr>
      </w:pPr>
      <w:r w:rsidRPr="00992D19">
        <w:rPr>
          <w:rFonts w:ascii="Arial" w:hAnsi="Arial" w:cs="Arial"/>
          <w:sz w:val="20"/>
          <w:szCs w:val="20"/>
        </w:rPr>
        <w:t>The pilot-in-command should complete training in first-aid and in the use of the fire extinguisher, at intervals of maximum 36 months.</w:t>
      </w:r>
    </w:p>
    <w:p w14:paraId="5DC788F0" w14:textId="77777777" w:rsidR="00AE1EC3" w:rsidRPr="00AE1EC3" w:rsidRDefault="00AE1EC3"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472" w:name="BOP.ADD.315_Recurrent_training_and_check"/>
      <w:bookmarkStart w:id="473" w:name="_bookmark193"/>
      <w:bookmarkStart w:id="474" w:name="_Toc153137358"/>
      <w:bookmarkEnd w:id="472"/>
      <w:bookmarkEnd w:id="473"/>
      <w:r w:rsidRPr="00AE1EC3">
        <w:rPr>
          <w:rFonts w:ascii="Arial" w:eastAsia="Times New Roman" w:hAnsi="Arial" w:cs="Times New Roman"/>
          <w:b/>
          <w:iCs/>
          <w:color w:val="FFFFFF"/>
          <w:sz w:val="24"/>
        </w:rPr>
        <w:t>BOP.ADD.315 Recurrent training and checking</w:t>
      </w:r>
      <w:bookmarkEnd w:id="474"/>
    </w:p>
    <w:p w14:paraId="4ADD3608" w14:textId="77777777" w:rsidR="00AE1EC3" w:rsidRPr="00AE1EC3" w:rsidRDefault="00AE1EC3" w:rsidP="005C23C6">
      <w:pPr>
        <w:numPr>
          <w:ilvl w:val="0"/>
          <w:numId w:val="112"/>
        </w:numPr>
        <w:tabs>
          <w:tab w:val="left" w:pos="1273"/>
          <w:tab w:val="left" w:pos="1274"/>
        </w:tabs>
        <w:spacing w:before="122" w:line="276" w:lineRule="auto"/>
        <w:ind w:right="68"/>
        <w:jc w:val="both"/>
        <w:rPr>
          <w:rFonts w:ascii="Arial" w:hAnsi="Arial" w:cs="Arial"/>
          <w:sz w:val="20"/>
          <w:szCs w:val="20"/>
        </w:rPr>
      </w:pPr>
      <w:r w:rsidRPr="00AE1EC3">
        <w:rPr>
          <w:rFonts w:ascii="Arial" w:hAnsi="Arial" w:cs="Arial"/>
          <w:sz w:val="20"/>
          <w:szCs w:val="20"/>
        </w:rPr>
        <w:t>Each flight crew member shall complete every 2 years recurrent flight and ground training relevant to the class of balloon on which he or she operates, including training on the location and use of all emergency and safety equipment carried.</w:t>
      </w:r>
    </w:p>
    <w:p w14:paraId="236EA607" w14:textId="77777777" w:rsidR="00AE1EC3" w:rsidRPr="00AE1EC3" w:rsidRDefault="00AE1EC3" w:rsidP="005C23C6">
      <w:pPr>
        <w:numPr>
          <w:ilvl w:val="0"/>
          <w:numId w:val="112"/>
        </w:numPr>
        <w:tabs>
          <w:tab w:val="left" w:pos="1273"/>
          <w:tab w:val="left" w:pos="1274"/>
        </w:tabs>
        <w:spacing w:before="122" w:line="276" w:lineRule="auto"/>
        <w:ind w:right="68"/>
        <w:jc w:val="both"/>
        <w:rPr>
          <w:rFonts w:ascii="Arial" w:hAnsi="Arial" w:cs="Arial"/>
          <w:sz w:val="20"/>
          <w:szCs w:val="20"/>
        </w:rPr>
      </w:pPr>
      <w:r w:rsidRPr="00AE1EC3">
        <w:rPr>
          <w:rFonts w:ascii="Arial" w:hAnsi="Arial" w:cs="Arial"/>
          <w:sz w:val="20"/>
          <w:szCs w:val="20"/>
        </w:rPr>
        <w:lastRenderedPageBreak/>
        <w:t>Each flight crew member shall complete operator proficiency checks to demonstrate his or her competence in carrying out normal, abnormal and emergency procedures, covering the relevant aspects associated with the specialised tasks described in the operations manual. When carrying out those checks, due account shall be taken of crew members who undertake operations under VFR at night.</w:t>
      </w:r>
    </w:p>
    <w:p w14:paraId="66E41B34" w14:textId="77777777" w:rsidR="00AE1EC3" w:rsidRPr="00AE1EC3" w:rsidRDefault="00AE1EC3" w:rsidP="005C23C6">
      <w:pPr>
        <w:numPr>
          <w:ilvl w:val="0"/>
          <w:numId w:val="112"/>
        </w:numPr>
        <w:tabs>
          <w:tab w:val="left" w:pos="1273"/>
          <w:tab w:val="left" w:pos="1274"/>
        </w:tabs>
        <w:spacing w:before="122" w:line="276" w:lineRule="auto"/>
        <w:ind w:right="68"/>
        <w:jc w:val="both"/>
        <w:rPr>
          <w:rFonts w:ascii="Arial" w:hAnsi="Arial" w:cs="Arial"/>
          <w:sz w:val="20"/>
          <w:szCs w:val="20"/>
        </w:rPr>
      </w:pPr>
      <w:r w:rsidRPr="00AE1EC3">
        <w:rPr>
          <w:rFonts w:ascii="Arial" w:hAnsi="Arial" w:cs="Arial"/>
          <w:sz w:val="20"/>
          <w:szCs w:val="20"/>
        </w:rPr>
        <w:t>The operator proficiency check shall be valid for 24 calendar months, counting from the end of the month during which the check was carried out or, in case the check is carried out within the last 3 months of the validity period of the previous check, from the last day of the validity period of that previous check.</w:t>
      </w:r>
    </w:p>
    <w:p w14:paraId="57F490BA" w14:textId="77777777" w:rsidR="00D84832" w:rsidRPr="00D84832" w:rsidRDefault="00D84832" w:rsidP="009601C2">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475" w:name="AMC1_BOP.ADD.315(b);(c)_Recurrent_traini"/>
      <w:bookmarkStart w:id="476" w:name="_bookmark194"/>
      <w:bookmarkStart w:id="477" w:name="_Toc153137359"/>
      <w:bookmarkEnd w:id="475"/>
      <w:bookmarkEnd w:id="476"/>
      <w:r w:rsidRPr="00D84832">
        <w:rPr>
          <w:rFonts w:ascii="Arial" w:eastAsia="Times New Roman" w:hAnsi="Arial" w:cs="Times New Roman"/>
          <w:b/>
          <w:color w:val="FFFFFF"/>
          <w:sz w:val="24"/>
        </w:rPr>
        <w:t>AMC1 BOP.ADD.315(b);(c) Recurrent training and checking</w:t>
      </w:r>
      <w:bookmarkEnd w:id="477"/>
    </w:p>
    <w:p w14:paraId="5C610C8E" w14:textId="77777777" w:rsidR="00D84832" w:rsidRPr="00D84832" w:rsidRDefault="00D84832" w:rsidP="009601C2">
      <w:pPr>
        <w:tabs>
          <w:tab w:val="left" w:pos="1273"/>
          <w:tab w:val="left" w:pos="1274"/>
        </w:tabs>
        <w:spacing w:before="122" w:line="276" w:lineRule="auto"/>
        <w:ind w:right="200"/>
        <w:jc w:val="both"/>
        <w:rPr>
          <w:rFonts w:ascii="Arial" w:hAnsi="Arial" w:cs="Arial"/>
          <w:b/>
          <w:sz w:val="20"/>
          <w:szCs w:val="20"/>
        </w:rPr>
      </w:pPr>
      <w:r w:rsidRPr="00D84832">
        <w:rPr>
          <w:rFonts w:ascii="Arial" w:hAnsi="Arial" w:cs="Arial"/>
          <w:b/>
          <w:sz w:val="20"/>
          <w:szCs w:val="20"/>
        </w:rPr>
        <w:t>PROFICIENCY CHECK</w:t>
      </w:r>
    </w:p>
    <w:p w14:paraId="122B8D63" w14:textId="77777777" w:rsidR="00D84832" w:rsidRPr="00D84832" w:rsidRDefault="00D84832" w:rsidP="009601C2">
      <w:pPr>
        <w:tabs>
          <w:tab w:val="left" w:pos="1273"/>
          <w:tab w:val="left" w:pos="1274"/>
        </w:tabs>
        <w:spacing w:before="122" w:line="276" w:lineRule="auto"/>
        <w:ind w:right="200"/>
        <w:jc w:val="both"/>
        <w:rPr>
          <w:rFonts w:ascii="Arial" w:hAnsi="Arial" w:cs="Arial"/>
          <w:sz w:val="20"/>
          <w:szCs w:val="20"/>
        </w:rPr>
      </w:pPr>
      <w:r w:rsidRPr="00D84832">
        <w:rPr>
          <w:rFonts w:ascii="Arial" w:hAnsi="Arial" w:cs="Arial"/>
          <w:sz w:val="20"/>
          <w:szCs w:val="20"/>
        </w:rPr>
        <w:t>The operator proficiency check should be conducted by an examiner.</w:t>
      </w:r>
    </w:p>
    <w:p w14:paraId="2BDBD4BA" w14:textId="77777777" w:rsidR="00624F46" w:rsidRDefault="00624F46" w:rsidP="009601C2">
      <w:pPr>
        <w:tabs>
          <w:tab w:val="left" w:pos="1273"/>
          <w:tab w:val="left" w:pos="1274"/>
        </w:tabs>
        <w:spacing w:before="122" w:line="276" w:lineRule="auto"/>
        <w:ind w:right="200"/>
        <w:rPr>
          <w:rFonts w:ascii="Arial" w:hAnsi="Arial" w:cs="Arial"/>
          <w:sz w:val="20"/>
          <w:szCs w:val="20"/>
        </w:rPr>
      </w:pPr>
    </w:p>
    <w:p w14:paraId="2B7C9B2B" w14:textId="77777777" w:rsidR="00D84832" w:rsidRDefault="00D84832" w:rsidP="009601C2">
      <w:pPr>
        <w:tabs>
          <w:tab w:val="left" w:pos="1273"/>
          <w:tab w:val="left" w:pos="1274"/>
        </w:tabs>
        <w:spacing w:before="122" w:line="276" w:lineRule="auto"/>
        <w:ind w:right="200"/>
        <w:rPr>
          <w:rFonts w:ascii="Arial" w:hAnsi="Arial" w:cs="Arial"/>
          <w:sz w:val="20"/>
          <w:szCs w:val="20"/>
        </w:rPr>
      </w:pPr>
    </w:p>
    <w:p w14:paraId="665991EB" w14:textId="77777777" w:rsidR="00D84832" w:rsidRDefault="00D84832" w:rsidP="009601C2">
      <w:pPr>
        <w:tabs>
          <w:tab w:val="left" w:pos="1273"/>
          <w:tab w:val="left" w:pos="1274"/>
        </w:tabs>
        <w:spacing w:before="122" w:line="276" w:lineRule="auto"/>
        <w:ind w:right="200"/>
        <w:rPr>
          <w:rFonts w:ascii="Arial" w:hAnsi="Arial" w:cs="Arial"/>
          <w:sz w:val="20"/>
          <w:szCs w:val="20"/>
        </w:rPr>
      </w:pPr>
    </w:p>
    <w:p w14:paraId="153FC149" w14:textId="77777777" w:rsidR="00D84832" w:rsidRDefault="00D84832" w:rsidP="009601C2">
      <w:pPr>
        <w:tabs>
          <w:tab w:val="left" w:pos="1273"/>
          <w:tab w:val="left" w:pos="1274"/>
        </w:tabs>
        <w:spacing w:before="122" w:line="276" w:lineRule="auto"/>
        <w:ind w:right="200"/>
        <w:rPr>
          <w:rFonts w:ascii="Arial" w:hAnsi="Arial" w:cs="Arial"/>
          <w:sz w:val="20"/>
          <w:szCs w:val="20"/>
        </w:rPr>
      </w:pPr>
    </w:p>
    <w:p w14:paraId="49E6C9FD" w14:textId="77777777" w:rsidR="00D84832" w:rsidRDefault="00D84832" w:rsidP="009601C2">
      <w:pPr>
        <w:tabs>
          <w:tab w:val="left" w:pos="1273"/>
          <w:tab w:val="left" w:pos="1274"/>
        </w:tabs>
        <w:spacing w:before="122" w:line="276" w:lineRule="auto"/>
        <w:ind w:right="200"/>
        <w:rPr>
          <w:rFonts w:ascii="Arial" w:hAnsi="Arial" w:cs="Arial"/>
          <w:sz w:val="20"/>
          <w:szCs w:val="20"/>
        </w:rPr>
      </w:pPr>
    </w:p>
    <w:p w14:paraId="35DFB8CA" w14:textId="77777777" w:rsidR="00D84832" w:rsidRDefault="00D84832" w:rsidP="009601C2">
      <w:pPr>
        <w:tabs>
          <w:tab w:val="left" w:pos="1273"/>
          <w:tab w:val="left" w:pos="1274"/>
        </w:tabs>
        <w:spacing w:before="122" w:line="276" w:lineRule="auto"/>
        <w:ind w:right="200"/>
        <w:rPr>
          <w:rFonts w:ascii="Arial" w:hAnsi="Arial" w:cs="Arial"/>
          <w:sz w:val="20"/>
          <w:szCs w:val="20"/>
        </w:rPr>
      </w:pPr>
    </w:p>
    <w:p w14:paraId="62C0FAF7" w14:textId="77777777" w:rsidR="00D84832" w:rsidRDefault="00D84832" w:rsidP="009601C2">
      <w:pPr>
        <w:tabs>
          <w:tab w:val="left" w:pos="1273"/>
          <w:tab w:val="left" w:pos="1274"/>
        </w:tabs>
        <w:spacing w:before="122" w:line="276" w:lineRule="auto"/>
        <w:ind w:right="200"/>
        <w:rPr>
          <w:rFonts w:ascii="Arial" w:hAnsi="Arial" w:cs="Arial"/>
          <w:sz w:val="20"/>
          <w:szCs w:val="20"/>
        </w:rPr>
      </w:pPr>
    </w:p>
    <w:p w14:paraId="2068D0EA" w14:textId="77777777" w:rsidR="00D84832" w:rsidRDefault="00D84832" w:rsidP="009601C2">
      <w:pPr>
        <w:tabs>
          <w:tab w:val="left" w:pos="1273"/>
          <w:tab w:val="left" w:pos="1274"/>
        </w:tabs>
        <w:spacing w:before="122" w:line="276" w:lineRule="auto"/>
        <w:ind w:right="200"/>
        <w:rPr>
          <w:rFonts w:ascii="Arial" w:hAnsi="Arial" w:cs="Arial"/>
          <w:sz w:val="20"/>
          <w:szCs w:val="20"/>
        </w:rPr>
      </w:pPr>
    </w:p>
    <w:p w14:paraId="70236C29" w14:textId="77777777" w:rsidR="00D84832" w:rsidRDefault="00D84832" w:rsidP="009601C2">
      <w:pPr>
        <w:tabs>
          <w:tab w:val="left" w:pos="1273"/>
          <w:tab w:val="left" w:pos="1274"/>
        </w:tabs>
        <w:spacing w:before="122" w:line="276" w:lineRule="auto"/>
        <w:ind w:right="200"/>
        <w:rPr>
          <w:rFonts w:ascii="Arial" w:hAnsi="Arial" w:cs="Arial"/>
          <w:sz w:val="20"/>
          <w:szCs w:val="20"/>
        </w:rPr>
      </w:pPr>
    </w:p>
    <w:p w14:paraId="19F941DB" w14:textId="77777777" w:rsidR="00D84832" w:rsidRDefault="00D84832" w:rsidP="009601C2">
      <w:pPr>
        <w:tabs>
          <w:tab w:val="left" w:pos="1273"/>
          <w:tab w:val="left" w:pos="1274"/>
        </w:tabs>
        <w:spacing w:before="122" w:line="276" w:lineRule="auto"/>
        <w:ind w:right="200"/>
        <w:rPr>
          <w:rFonts w:ascii="Arial" w:hAnsi="Arial" w:cs="Arial"/>
          <w:sz w:val="20"/>
          <w:szCs w:val="20"/>
        </w:rPr>
      </w:pPr>
    </w:p>
    <w:p w14:paraId="0A6023D6" w14:textId="77777777" w:rsidR="00D84832" w:rsidRDefault="00D84832" w:rsidP="009601C2">
      <w:pPr>
        <w:tabs>
          <w:tab w:val="left" w:pos="1273"/>
          <w:tab w:val="left" w:pos="1274"/>
        </w:tabs>
        <w:spacing w:before="122" w:line="276" w:lineRule="auto"/>
        <w:ind w:right="200"/>
        <w:rPr>
          <w:rFonts w:ascii="Arial" w:hAnsi="Arial" w:cs="Arial"/>
          <w:sz w:val="20"/>
          <w:szCs w:val="20"/>
        </w:rPr>
      </w:pPr>
    </w:p>
    <w:p w14:paraId="254B81D7" w14:textId="77777777" w:rsidR="00D84832" w:rsidRDefault="00D84832" w:rsidP="009601C2">
      <w:pPr>
        <w:tabs>
          <w:tab w:val="left" w:pos="1273"/>
          <w:tab w:val="left" w:pos="1274"/>
        </w:tabs>
        <w:spacing w:before="122" w:line="276" w:lineRule="auto"/>
        <w:ind w:right="200"/>
        <w:rPr>
          <w:rFonts w:ascii="Arial" w:hAnsi="Arial" w:cs="Arial"/>
          <w:sz w:val="20"/>
          <w:szCs w:val="20"/>
        </w:rPr>
      </w:pPr>
    </w:p>
    <w:p w14:paraId="5CC0D851" w14:textId="77777777" w:rsidR="00D84832" w:rsidRDefault="00D84832" w:rsidP="009601C2">
      <w:pPr>
        <w:tabs>
          <w:tab w:val="left" w:pos="1273"/>
          <w:tab w:val="left" w:pos="1274"/>
        </w:tabs>
        <w:spacing w:before="122" w:line="276" w:lineRule="auto"/>
        <w:ind w:right="200"/>
        <w:rPr>
          <w:rFonts w:ascii="Arial" w:hAnsi="Arial" w:cs="Arial"/>
          <w:sz w:val="20"/>
          <w:szCs w:val="20"/>
        </w:rPr>
      </w:pPr>
    </w:p>
    <w:p w14:paraId="6D3772A4" w14:textId="77777777" w:rsidR="00D84832" w:rsidRDefault="00D84832" w:rsidP="009601C2">
      <w:pPr>
        <w:tabs>
          <w:tab w:val="left" w:pos="1273"/>
          <w:tab w:val="left" w:pos="1274"/>
        </w:tabs>
        <w:spacing w:before="122" w:line="276" w:lineRule="auto"/>
        <w:ind w:right="200"/>
        <w:rPr>
          <w:rFonts w:ascii="Arial" w:hAnsi="Arial" w:cs="Arial"/>
          <w:sz w:val="20"/>
          <w:szCs w:val="20"/>
        </w:rPr>
      </w:pPr>
    </w:p>
    <w:p w14:paraId="0335E7E8" w14:textId="77777777" w:rsidR="00D84832" w:rsidRDefault="00D84832" w:rsidP="009601C2">
      <w:pPr>
        <w:tabs>
          <w:tab w:val="left" w:pos="1273"/>
          <w:tab w:val="left" w:pos="1274"/>
        </w:tabs>
        <w:spacing w:before="122" w:line="276" w:lineRule="auto"/>
        <w:ind w:right="200"/>
        <w:rPr>
          <w:rFonts w:ascii="Arial" w:hAnsi="Arial" w:cs="Arial"/>
          <w:sz w:val="20"/>
          <w:szCs w:val="20"/>
        </w:rPr>
      </w:pPr>
    </w:p>
    <w:p w14:paraId="460E592B" w14:textId="77777777" w:rsidR="00D84832" w:rsidRDefault="00D84832" w:rsidP="009601C2">
      <w:pPr>
        <w:tabs>
          <w:tab w:val="left" w:pos="1273"/>
          <w:tab w:val="left" w:pos="1274"/>
        </w:tabs>
        <w:spacing w:before="122" w:line="276" w:lineRule="auto"/>
        <w:ind w:right="200"/>
        <w:rPr>
          <w:rFonts w:ascii="Arial" w:hAnsi="Arial" w:cs="Arial"/>
          <w:sz w:val="20"/>
          <w:szCs w:val="20"/>
        </w:rPr>
      </w:pPr>
    </w:p>
    <w:p w14:paraId="2F7F8EB5" w14:textId="77777777" w:rsidR="00D84832" w:rsidRDefault="00D84832" w:rsidP="009601C2">
      <w:pPr>
        <w:tabs>
          <w:tab w:val="left" w:pos="1273"/>
          <w:tab w:val="left" w:pos="1274"/>
        </w:tabs>
        <w:spacing w:before="122" w:line="276" w:lineRule="auto"/>
        <w:ind w:right="200"/>
        <w:rPr>
          <w:rFonts w:ascii="Arial" w:hAnsi="Arial" w:cs="Arial"/>
          <w:sz w:val="20"/>
          <w:szCs w:val="20"/>
        </w:rPr>
      </w:pPr>
    </w:p>
    <w:p w14:paraId="4B927631" w14:textId="77777777" w:rsidR="00D84832" w:rsidRDefault="00D84832" w:rsidP="009601C2">
      <w:pPr>
        <w:tabs>
          <w:tab w:val="left" w:pos="1273"/>
          <w:tab w:val="left" w:pos="1274"/>
        </w:tabs>
        <w:spacing w:before="122" w:line="276" w:lineRule="auto"/>
        <w:ind w:right="200"/>
        <w:rPr>
          <w:rFonts w:ascii="Arial" w:hAnsi="Arial" w:cs="Arial"/>
          <w:sz w:val="20"/>
          <w:szCs w:val="20"/>
        </w:rPr>
      </w:pPr>
    </w:p>
    <w:p w14:paraId="4CCD17BB" w14:textId="77777777" w:rsidR="00D84832" w:rsidRDefault="00D84832" w:rsidP="009601C2">
      <w:pPr>
        <w:tabs>
          <w:tab w:val="left" w:pos="1273"/>
          <w:tab w:val="left" w:pos="1274"/>
        </w:tabs>
        <w:spacing w:before="122" w:line="276" w:lineRule="auto"/>
        <w:ind w:right="200"/>
        <w:rPr>
          <w:rFonts w:ascii="Arial" w:hAnsi="Arial" w:cs="Arial"/>
          <w:sz w:val="20"/>
          <w:szCs w:val="20"/>
        </w:rPr>
      </w:pPr>
    </w:p>
    <w:p w14:paraId="73144A48" w14:textId="77777777" w:rsidR="00D84832" w:rsidRDefault="00D84832" w:rsidP="009601C2">
      <w:pPr>
        <w:tabs>
          <w:tab w:val="left" w:pos="1273"/>
          <w:tab w:val="left" w:pos="1274"/>
        </w:tabs>
        <w:spacing w:before="122" w:line="276" w:lineRule="auto"/>
        <w:ind w:right="200"/>
        <w:rPr>
          <w:rFonts w:ascii="Arial" w:hAnsi="Arial" w:cs="Arial"/>
          <w:sz w:val="20"/>
          <w:szCs w:val="20"/>
        </w:rPr>
      </w:pPr>
    </w:p>
    <w:p w14:paraId="6C7294D4" w14:textId="77777777" w:rsidR="00D84832" w:rsidRDefault="00D84832" w:rsidP="009601C2">
      <w:pPr>
        <w:tabs>
          <w:tab w:val="left" w:pos="1273"/>
          <w:tab w:val="left" w:pos="1274"/>
        </w:tabs>
        <w:spacing w:before="122" w:line="276" w:lineRule="auto"/>
        <w:ind w:right="200"/>
        <w:rPr>
          <w:rFonts w:ascii="Arial" w:hAnsi="Arial" w:cs="Arial"/>
          <w:sz w:val="20"/>
          <w:szCs w:val="20"/>
        </w:rPr>
      </w:pPr>
    </w:p>
    <w:p w14:paraId="02C47FC8" w14:textId="77777777" w:rsidR="00D84832" w:rsidRDefault="00D84832" w:rsidP="009601C2">
      <w:pPr>
        <w:tabs>
          <w:tab w:val="left" w:pos="1273"/>
          <w:tab w:val="left" w:pos="1274"/>
        </w:tabs>
        <w:spacing w:before="122" w:line="276" w:lineRule="auto"/>
        <w:ind w:right="200"/>
        <w:rPr>
          <w:rFonts w:ascii="Arial" w:hAnsi="Arial" w:cs="Arial"/>
          <w:sz w:val="20"/>
          <w:szCs w:val="20"/>
        </w:rPr>
      </w:pPr>
    </w:p>
    <w:p w14:paraId="4766CB63" w14:textId="77777777" w:rsidR="00D84832" w:rsidRDefault="00D84832" w:rsidP="009601C2">
      <w:pPr>
        <w:tabs>
          <w:tab w:val="left" w:pos="1273"/>
          <w:tab w:val="left" w:pos="1274"/>
        </w:tabs>
        <w:spacing w:before="122" w:line="276" w:lineRule="auto"/>
        <w:ind w:right="200"/>
        <w:rPr>
          <w:rFonts w:ascii="Arial" w:hAnsi="Arial" w:cs="Arial"/>
          <w:sz w:val="20"/>
          <w:szCs w:val="20"/>
        </w:rPr>
      </w:pPr>
    </w:p>
    <w:p w14:paraId="4D95637E" w14:textId="77777777" w:rsidR="00D84832" w:rsidRDefault="00D84832" w:rsidP="009601C2">
      <w:pPr>
        <w:tabs>
          <w:tab w:val="left" w:pos="1273"/>
          <w:tab w:val="left" w:pos="1274"/>
        </w:tabs>
        <w:spacing w:before="122" w:line="276" w:lineRule="auto"/>
        <w:ind w:right="200"/>
        <w:rPr>
          <w:rFonts w:ascii="Arial" w:hAnsi="Arial" w:cs="Arial"/>
          <w:sz w:val="20"/>
          <w:szCs w:val="20"/>
        </w:rPr>
      </w:pPr>
    </w:p>
    <w:p w14:paraId="7716B109" w14:textId="77777777" w:rsidR="00D84832" w:rsidRDefault="00D84832" w:rsidP="009601C2">
      <w:pPr>
        <w:tabs>
          <w:tab w:val="left" w:pos="1273"/>
          <w:tab w:val="left" w:pos="1274"/>
        </w:tabs>
        <w:spacing w:before="122" w:line="276" w:lineRule="auto"/>
        <w:ind w:right="200"/>
        <w:rPr>
          <w:rFonts w:ascii="Arial" w:hAnsi="Arial" w:cs="Arial"/>
          <w:sz w:val="20"/>
          <w:szCs w:val="20"/>
        </w:rPr>
      </w:pPr>
    </w:p>
    <w:p w14:paraId="3C92A56C" w14:textId="77777777" w:rsidR="00D84832" w:rsidRDefault="00D84832" w:rsidP="009601C2">
      <w:pPr>
        <w:tabs>
          <w:tab w:val="left" w:pos="1273"/>
          <w:tab w:val="left" w:pos="1274"/>
        </w:tabs>
        <w:spacing w:before="122" w:line="276" w:lineRule="auto"/>
        <w:ind w:right="200"/>
        <w:rPr>
          <w:rFonts w:ascii="Arial" w:hAnsi="Arial" w:cs="Arial"/>
          <w:sz w:val="20"/>
          <w:szCs w:val="20"/>
        </w:rPr>
      </w:pPr>
    </w:p>
    <w:p w14:paraId="3FC7AA47" w14:textId="77777777" w:rsidR="00D84832" w:rsidRDefault="00D84832" w:rsidP="009601C2">
      <w:pPr>
        <w:tabs>
          <w:tab w:val="left" w:pos="1273"/>
          <w:tab w:val="left" w:pos="1274"/>
        </w:tabs>
        <w:spacing w:before="122" w:line="276" w:lineRule="auto"/>
        <w:ind w:right="200"/>
        <w:rPr>
          <w:rFonts w:ascii="Arial" w:hAnsi="Arial" w:cs="Arial"/>
          <w:sz w:val="20"/>
          <w:szCs w:val="20"/>
        </w:rPr>
      </w:pPr>
    </w:p>
    <w:p w14:paraId="69DC2CE6" w14:textId="77777777" w:rsidR="00D84832" w:rsidRDefault="00D84832" w:rsidP="009601C2">
      <w:pPr>
        <w:tabs>
          <w:tab w:val="left" w:pos="1273"/>
          <w:tab w:val="left" w:pos="1274"/>
        </w:tabs>
        <w:spacing w:before="122" w:line="276" w:lineRule="auto"/>
        <w:ind w:right="200"/>
        <w:rPr>
          <w:rFonts w:ascii="Arial" w:hAnsi="Arial" w:cs="Arial"/>
          <w:sz w:val="20"/>
          <w:szCs w:val="20"/>
        </w:rPr>
      </w:pPr>
    </w:p>
    <w:p w14:paraId="3EB35BDB" w14:textId="77777777" w:rsidR="00D84832" w:rsidRPr="00FA7754" w:rsidRDefault="00D84832" w:rsidP="009601C2">
      <w:pPr>
        <w:keepNext/>
        <w:keepLines/>
        <w:spacing w:before="40" w:line="276" w:lineRule="auto"/>
        <w:jc w:val="center"/>
        <w:outlineLvl w:val="3"/>
        <w:rPr>
          <w:rFonts w:ascii="Arial" w:eastAsiaTheme="majorEastAsia" w:hAnsi="Arial" w:cs="Arial"/>
          <w:b/>
          <w:iCs/>
          <w:color w:val="2E74B5" w:themeColor="accent1" w:themeShade="BF"/>
          <w:sz w:val="24"/>
          <w:szCs w:val="24"/>
        </w:rPr>
      </w:pPr>
      <w:bookmarkStart w:id="478" w:name="_Toc153137360"/>
      <w:r w:rsidRPr="00FA7754">
        <w:rPr>
          <w:rFonts w:ascii="Arial" w:eastAsiaTheme="majorEastAsia" w:hAnsi="Arial" w:cs="Arial"/>
          <w:b/>
          <w:iCs/>
          <w:color w:val="2E74B5" w:themeColor="accent1" w:themeShade="BF"/>
          <w:sz w:val="24"/>
          <w:szCs w:val="24"/>
        </w:rPr>
        <w:lastRenderedPageBreak/>
        <w:t>SECTION 5 – GENERAL OPERATING REQUIREMENTS</w:t>
      </w:r>
      <w:bookmarkEnd w:id="478"/>
    </w:p>
    <w:p w14:paraId="01D7B468" w14:textId="77777777" w:rsidR="00D84832" w:rsidRPr="00D84832" w:rsidRDefault="00D84832"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479" w:name="BOP.ADD.400_Responsibilities_of_the_pilo"/>
      <w:bookmarkStart w:id="480" w:name="_bookmark196"/>
      <w:bookmarkStart w:id="481" w:name="_Toc153137361"/>
      <w:bookmarkEnd w:id="479"/>
      <w:bookmarkEnd w:id="480"/>
      <w:r w:rsidRPr="00D84832">
        <w:rPr>
          <w:rFonts w:ascii="Arial" w:eastAsia="Times New Roman" w:hAnsi="Arial" w:cs="Times New Roman"/>
          <w:b/>
          <w:iCs/>
          <w:color w:val="FFFFFF"/>
          <w:sz w:val="24"/>
        </w:rPr>
        <w:t>BOP.ADD.400 Responsibilities of the pilot-in-command</w:t>
      </w:r>
      <w:bookmarkEnd w:id="481"/>
    </w:p>
    <w:p w14:paraId="4B30B712" w14:textId="77777777" w:rsidR="00D84832" w:rsidRPr="00D84832" w:rsidRDefault="00D84832" w:rsidP="00F17F8A">
      <w:pPr>
        <w:tabs>
          <w:tab w:val="left" w:pos="1273"/>
          <w:tab w:val="left" w:pos="1274"/>
        </w:tabs>
        <w:spacing w:before="122" w:line="276" w:lineRule="auto"/>
        <w:ind w:right="68"/>
        <w:jc w:val="both"/>
        <w:rPr>
          <w:rFonts w:ascii="Arial" w:hAnsi="Arial" w:cs="Arial"/>
          <w:sz w:val="20"/>
          <w:szCs w:val="20"/>
        </w:rPr>
      </w:pPr>
      <w:r w:rsidRPr="00D84832">
        <w:rPr>
          <w:rFonts w:ascii="Arial" w:hAnsi="Arial" w:cs="Arial"/>
          <w:sz w:val="20"/>
          <w:szCs w:val="20"/>
        </w:rPr>
        <w:t>The pilot-in-command shall comply with both of the following:</w:t>
      </w:r>
    </w:p>
    <w:p w14:paraId="26EC1DB6" w14:textId="1636ADE3" w:rsidR="00D84832" w:rsidRPr="00D84832" w:rsidRDefault="00D84832" w:rsidP="00F17F8A">
      <w:pPr>
        <w:numPr>
          <w:ilvl w:val="0"/>
          <w:numId w:val="113"/>
        </w:numPr>
        <w:tabs>
          <w:tab w:val="left" w:pos="1273"/>
          <w:tab w:val="left" w:pos="1274"/>
        </w:tabs>
        <w:spacing w:before="122" w:line="276" w:lineRule="auto"/>
        <w:ind w:right="68"/>
        <w:jc w:val="both"/>
        <w:rPr>
          <w:rFonts w:ascii="Arial" w:hAnsi="Arial" w:cs="Arial"/>
          <w:sz w:val="20"/>
          <w:szCs w:val="20"/>
        </w:rPr>
      </w:pPr>
      <w:r w:rsidRPr="00D84832">
        <w:rPr>
          <w:rFonts w:ascii="Arial" w:hAnsi="Arial" w:cs="Arial"/>
          <w:sz w:val="20"/>
          <w:szCs w:val="20"/>
        </w:rPr>
        <w:t xml:space="preserve">the relevant requirements of the operator's occurrence reporting scheme referred to in point </w:t>
      </w:r>
      <w:r w:rsidRPr="00880B32">
        <w:rPr>
          <w:rFonts w:ascii="Arial" w:hAnsi="Arial" w:cs="Arial"/>
          <w:sz w:val="20"/>
          <w:szCs w:val="20"/>
        </w:rPr>
        <w:t>BOP.ADD.025</w:t>
      </w:r>
      <w:r w:rsidRPr="00D84832">
        <w:rPr>
          <w:rFonts w:ascii="Arial" w:hAnsi="Arial" w:cs="Arial"/>
          <w:sz w:val="20"/>
          <w:szCs w:val="20"/>
        </w:rPr>
        <w:t>;</w:t>
      </w:r>
    </w:p>
    <w:p w14:paraId="4B3C9660" w14:textId="1B8C4DE2" w:rsidR="00D84832" w:rsidRPr="00D84832" w:rsidRDefault="00D84832" w:rsidP="00F17F8A">
      <w:pPr>
        <w:numPr>
          <w:ilvl w:val="0"/>
          <w:numId w:val="113"/>
        </w:numPr>
        <w:tabs>
          <w:tab w:val="left" w:pos="1273"/>
          <w:tab w:val="left" w:pos="1274"/>
        </w:tabs>
        <w:spacing w:before="122" w:line="276" w:lineRule="auto"/>
        <w:ind w:right="68"/>
        <w:jc w:val="both"/>
        <w:rPr>
          <w:rFonts w:ascii="Arial" w:hAnsi="Arial" w:cs="Arial"/>
          <w:sz w:val="20"/>
          <w:szCs w:val="20"/>
        </w:rPr>
      </w:pPr>
      <w:r w:rsidRPr="00D84832">
        <w:rPr>
          <w:rFonts w:ascii="Arial" w:hAnsi="Arial" w:cs="Arial"/>
          <w:sz w:val="20"/>
          <w:szCs w:val="20"/>
        </w:rPr>
        <w:t xml:space="preserve">all flight and duty time limitations and rest requirements applicable to his or her activities in accordance with the national law of </w:t>
      </w:r>
      <w:r w:rsidR="005F5690" w:rsidRPr="00C1366B">
        <w:rPr>
          <w:rFonts w:ascii="Arial" w:hAnsi="Arial" w:cs="Arial"/>
          <w:sz w:val="20"/>
        </w:rPr>
        <w:t>the Republic of Armenia</w:t>
      </w:r>
      <w:r w:rsidR="005F5690" w:rsidRPr="00D84832">
        <w:rPr>
          <w:rFonts w:ascii="Arial" w:hAnsi="Arial" w:cs="Arial"/>
          <w:sz w:val="20"/>
          <w:szCs w:val="20"/>
        </w:rPr>
        <w:t xml:space="preserve"> </w:t>
      </w:r>
      <w:r w:rsidRPr="00D84832">
        <w:rPr>
          <w:rFonts w:ascii="Arial" w:hAnsi="Arial" w:cs="Arial"/>
          <w:sz w:val="20"/>
          <w:szCs w:val="20"/>
        </w:rPr>
        <w:t>where the operator has its principal place of business.</w:t>
      </w:r>
    </w:p>
    <w:p w14:paraId="6E61B0BF" w14:textId="77777777" w:rsidR="00433678" w:rsidRPr="00433678" w:rsidRDefault="00433678"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482" w:name="BOP.ADD.405_Authority_of_the_pilot-in-co"/>
      <w:bookmarkStart w:id="483" w:name="_bookmark197"/>
      <w:bookmarkStart w:id="484" w:name="_Toc153137362"/>
      <w:bookmarkEnd w:id="482"/>
      <w:bookmarkEnd w:id="483"/>
      <w:r w:rsidRPr="00433678">
        <w:rPr>
          <w:rFonts w:ascii="Arial" w:eastAsia="Times New Roman" w:hAnsi="Arial" w:cs="Times New Roman"/>
          <w:b/>
          <w:iCs/>
          <w:color w:val="FFFFFF"/>
          <w:sz w:val="24"/>
        </w:rPr>
        <w:t>BOP.ADD.405 Authority of the pilot-in-command</w:t>
      </w:r>
      <w:bookmarkEnd w:id="484"/>
    </w:p>
    <w:p w14:paraId="34C6815B" w14:textId="409B91A7" w:rsidR="00433678" w:rsidRPr="00433678" w:rsidRDefault="00433678" w:rsidP="00F17F8A">
      <w:pPr>
        <w:tabs>
          <w:tab w:val="left" w:pos="1273"/>
          <w:tab w:val="left" w:pos="1274"/>
        </w:tabs>
        <w:spacing w:before="122" w:line="276" w:lineRule="auto"/>
        <w:ind w:right="68"/>
        <w:jc w:val="both"/>
        <w:rPr>
          <w:rFonts w:ascii="Arial" w:hAnsi="Arial" w:cs="Arial"/>
          <w:sz w:val="20"/>
          <w:szCs w:val="20"/>
        </w:rPr>
      </w:pPr>
      <w:r w:rsidRPr="00433678">
        <w:rPr>
          <w:rFonts w:ascii="Arial" w:hAnsi="Arial" w:cs="Arial"/>
          <w:sz w:val="20"/>
          <w:szCs w:val="20"/>
        </w:rPr>
        <w:t xml:space="preserve">Notwithstanding point </w:t>
      </w:r>
      <w:r w:rsidRPr="00880B32">
        <w:rPr>
          <w:rFonts w:ascii="Arial" w:hAnsi="Arial" w:cs="Arial"/>
          <w:sz w:val="20"/>
          <w:szCs w:val="20"/>
        </w:rPr>
        <w:t>BOP.BAS.035</w:t>
      </w:r>
      <w:r w:rsidRPr="00433678">
        <w:rPr>
          <w:rFonts w:ascii="Arial" w:hAnsi="Arial" w:cs="Arial"/>
          <w:sz w:val="20"/>
          <w:szCs w:val="20"/>
        </w:rPr>
        <w:t>, the operator shall take all reasonable measures to ensure that all persons carried in the balloon obey all lawful commands given by the pilot-in-command for the purpose of ensuring the safety of the balloon, of any person or property carried therein or of any person or property on the ground.</w:t>
      </w:r>
    </w:p>
    <w:p w14:paraId="3E5D3E2D" w14:textId="77777777" w:rsidR="00606FCD" w:rsidRPr="00606FCD" w:rsidRDefault="00606FCD"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485" w:name="BOP.ADD.410_Additional_balloon_crew_memb"/>
      <w:bookmarkStart w:id="486" w:name="_bookmark198"/>
      <w:bookmarkStart w:id="487" w:name="_Toc153137363"/>
      <w:bookmarkEnd w:id="485"/>
      <w:bookmarkEnd w:id="486"/>
      <w:r w:rsidRPr="00606FCD">
        <w:rPr>
          <w:rFonts w:ascii="Arial" w:eastAsia="Times New Roman" w:hAnsi="Arial" w:cs="Times New Roman"/>
          <w:b/>
          <w:iCs/>
          <w:color w:val="FFFFFF"/>
          <w:sz w:val="24"/>
        </w:rPr>
        <w:t>BOP.ADD.410 Additional balloon crew member</w:t>
      </w:r>
      <w:bookmarkEnd w:id="487"/>
    </w:p>
    <w:p w14:paraId="1A270E14" w14:textId="1022E6D7" w:rsidR="00606FCD" w:rsidRPr="00606FCD" w:rsidRDefault="00606FCD" w:rsidP="00F17F8A">
      <w:pPr>
        <w:tabs>
          <w:tab w:val="left" w:pos="1273"/>
          <w:tab w:val="left" w:pos="1274"/>
        </w:tabs>
        <w:spacing w:before="122" w:line="276" w:lineRule="auto"/>
        <w:ind w:right="68"/>
        <w:jc w:val="both"/>
        <w:rPr>
          <w:rFonts w:ascii="Arial" w:hAnsi="Arial" w:cs="Arial"/>
          <w:sz w:val="20"/>
          <w:szCs w:val="20"/>
        </w:rPr>
      </w:pPr>
      <w:r w:rsidRPr="00606FCD">
        <w:rPr>
          <w:rFonts w:ascii="Arial" w:hAnsi="Arial" w:cs="Arial"/>
          <w:sz w:val="20"/>
          <w:szCs w:val="20"/>
        </w:rPr>
        <w:t xml:space="preserve">When a balloon carries more than 19 passengers, at least one additional crew member shall be present on board the balloon in addition to the flight crew as required pursuant to points (a) and (b) of point </w:t>
      </w:r>
      <w:r w:rsidRPr="00880B32">
        <w:rPr>
          <w:rFonts w:ascii="Arial" w:hAnsi="Arial" w:cs="Arial"/>
          <w:sz w:val="20"/>
          <w:szCs w:val="20"/>
        </w:rPr>
        <w:t>BOP.ADD.300</w:t>
      </w:r>
      <w:r w:rsidRPr="00606FCD">
        <w:rPr>
          <w:rFonts w:ascii="Arial" w:hAnsi="Arial" w:cs="Arial"/>
          <w:sz w:val="20"/>
          <w:szCs w:val="20"/>
        </w:rPr>
        <w:t xml:space="preserve"> to assist passengers in the event of an emergency. That additional crew member shall be appropriately experienced and trained.</w:t>
      </w:r>
    </w:p>
    <w:p w14:paraId="6753E4EA" w14:textId="77777777" w:rsidR="00684157" w:rsidRPr="00684157" w:rsidRDefault="00684157" w:rsidP="009601C2">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488" w:name="AMC1_BOP.ADD.410_Additional_balloon_crew"/>
      <w:bookmarkStart w:id="489" w:name="_bookmark199"/>
      <w:bookmarkStart w:id="490" w:name="_Toc153137364"/>
      <w:bookmarkEnd w:id="488"/>
      <w:bookmarkEnd w:id="489"/>
      <w:r w:rsidRPr="00684157">
        <w:rPr>
          <w:rFonts w:ascii="Arial" w:eastAsia="Times New Roman" w:hAnsi="Arial" w:cs="Times New Roman"/>
          <w:b/>
          <w:color w:val="FFFFFF"/>
          <w:sz w:val="24"/>
        </w:rPr>
        <w:t>AMC1 BOP.ADD.410 Additional balloon crew member</w:t>
      </w:r>
      <w:bookmarkEnd w:id="490"/>
    </w:p>
    <w:p w14:paraId="1881C212" w14:textId="77777777" w:rsidR="00684157" w:rsidRPr="00684157" w:rsidRDefault="00684157" w:rsidP="009601C2">
      <w:pPr>
        <w:tabs>
          <w:tab w:val="left" w:pos="1273"/>
          <w:tab w:val="left" w:pos="1274"/>
        </w:tabs>
        <w:spacing w:before="122" w:line="276" w:lineRule="auto"/>
        <w:ind w:right="200"/>
        <w:rPr>
          <w:rFonts w:ascii="Arial" w:hAnsi="Arial" w:cs="Arial"/>
          <w:b/>
          <w:sz w:val="20"/>
          <w:szCs w:val="20"/>
        </w:rPr>
      </w:pPr>
      <w:r w:rsidRPr="00684157">
        <w:rPr>
          <w:rFonts w:ascii="Arial" w:hAnsi="Arial" w:cs="Arial"/>
          <w:b/>
          <w:sz w:val="20"/>
          <w:szCs w:val="20"/>
        </w:rPr>
        <w:t>TRAINING AND RECENCY</w:t>
      </w:r>
    </w:p>
    <w:p w14:paraId="44FEF6F1" w14:textId="77777777" w:rsidR="00684157" w:rsidRPr="00684157" w:rsidRDefault="00684157" w:rsidP="00F17F8A">
      <w:pPr>
        <w:numPr>
          <w:ilvl w:val="0"/>
          <w:numId w:val="114"/>
        </w:numPr>
        <w:tabs>
          <w:tab w:val="left" w:pos="1273"/>
          <w:tab w:val="left" w:pos="1274"/>
        </w:tabs>
        <w:spacing w:before="122" w:line="276" w:lineRule="auto"/>
        <w:ind w:right="68"/>
        <w:jc w:val="both"/>
        <w:rPr>
          <w:rFonts w:ascii="Arial" w:hAnsi="Arial" w:cs="Arial"/>
          <w:sz w:val="20"/>
          <w:szCs w:val="20"/>
        </w:rPr>
      </w:pPr>
      <w:r w:rsidRPr="00684157">
        <w:rPr>
          <w:rFonts w:ascii="Arial" w:hAnsi="Arial" w:cs="Arial"/>
          <w:sz w:val="20"/>
          <w:szCs w:val="20"/>
        </w:rPr>
        <w:t>For training, the additional crew member should have participated in:</w:t>
      </w:r>
    </w:p>
    <w:p w14:paraId="0454638E" w14:textId="77777777" w:rsidR="00684157" w:rsidRPr="00684157" w:rsidRDefault="00684157" w:rsidP="00F17F8A">
      <w:pPr>
        <w:numPr>
          <w:ilvl w:val="1"/>
          <w:numId w:val="114"/>
        </w:numPr>
        <w:tabs>
          <w:tab w:val="left" w:pos="1274"/>
        </w:tabs>
        <w:spacing w:before="122" w:line="276" w:lineRule="auto"/>
        <w:ind w:right="68"/>
        <w:jc w:val="both"/>
        <w:rPr>
          <w:rFonts w:ascii="Arial" w:hAnsi="Arial" w:cs="Arial"/>
          <w:sz w:val="20"/>
          <w:szCs w:val="20"/>
        </w:rPr>
      </w:pPr>
      <w:r w:rsidRPr="00684157">
        <w:rPr>
          <w:rFonts w:ascii="Arial" w:hAnsi="Arial" w:cs="Arial"/>
          <w:sz w:val="20"/>
          <w:szCs w:val="20"/>
        </w:rPr>
        <w:t>three practical training inflations with subsequent flights on a balloon with a basket of a capacity of more than 19 passengers;</w:t>
      </w:r>
    </w:p>
    <w:p w14:paraId="347BF68F" w14:textId="77777777" w:rsidR="00684157" w:rsidRPr="00684157" w:rsidRDefault="00684157" w:rsidP="00F17F8A">
      <w:pPr>
        <w:numPr>
          <w:ilvl w:val="1"/>
          <w:numId w:val="114"/>
        </w:numPr>
        <w:tabs>
          <w:tab w:val="left" w:pos="1274"/>
        </w:tabs>
        <w:spacing w:before="122" w:line="276" w:lineRule="auto"/>
        <w:ind w:right="68"/>
        <w:jc w:val="both"/>
        <w:rPr>
          <w:rFonts w:ascii="Arial" w:hAnsi="Arial" w:cs="Arial"/>
          <w:sz w:val="20"/>
          <w:szCs w:val="20"/>
        </w:rPr>
      </w:pPr>
      <w:r w:rsidRPr="00684157">
        <w:rPr>
          <w:rFonts w:ascii="Arial" w:hAnsi="Arial" w:cs="Arial"/>
          <w:sz w:val="20"/>
          <w:szCs w:val="20"/>
        </w:rPr>
        <w:t>at least one landing under (1) with a ground speed of at least 8 kt; and</w:t>
      </w:r>
    </w:p>
    <w:p w14:paraId="12AE99BA" w14:textId="77777777" w:rsidR="00684157" w:rsidRPr="00684157" w:rsidRDefault="00684157" w:rsidP="00F17F8A">
      <w:pPr>
        <w:numPr>
          <w:ilvl w:val="1"/>
          <w:numId w:val="114"/>
        </w:numPr>
        <w:tabs>
          <w:tab w:val="left" w:pos="1274"/>
        </w:tabs>
        <w:spacing w:before="122" w:line="276" w:lineRule="auto"/>
        <w:ind w:right="68"/>
        <w:jc w:val="both"/>
        <w:rPr>
          <w:rFonts w:ascii="Arial" w:hAnsi="Arial" w:cs="Arial"/>
          <w:sz w:val="20"/>
          <w:szCs w:val="20"/>
        </w:rPr>
      </w:pPr>
      <w:r w:rsidRPr="00684157">
        <w:rPr>
          <w:rFonts w:ascii="Arial" w:hAnsi="Arial" w:cs="Arial"/>
          <w:sz w:val="20"/>
          <w:szCs w:val="20"/>
        </w:rPr>
        <w:t>training in first-aid and in the use of the fire extinguisher, at intervals of maximum 36 months.</w:t>
      </w:r>
    </w:p>
    <w:p w14:paraId="4F4C3CE0" w14:textId="77777777" w:rsidR="00D84832" w:rsidRPr="008901D5" w:rsidRDefault="00684157" w:rsidP="00F17F8A">
      <w:pPr>
        <w:numPr>
          <w:ilvl w:val="0"/>
          <w:numId w:val="114"/>
        </w:numPr>
        <w:tabs>
          <w:tab w:val="left" w:pos="1273"/>
          <w:tab w:val="left" w:pos="1274"/>
        </w:tabs>
        <w:spacing w:before="122" w:line="276" w:lineRule="auto"/>
        <w:ind w:right="68"/>
        <w:jc w:val="both"/>
        <w:rPr>
          <w:rFonts w:ascii="Arial" w:hAnsi="Arial" w:cs="Arial"/>
          <w:sz w:val="20"/>
          <w:szCs w:val="20"/>
        </w:rPr>
      </w:pPr>
      <w:r w:rsidRPr="00684157">
        <w:rPr>
          <w:rFonts w:ascii="Arial" w:hAnsi="Arial" w:cs="Arial"/>
          <w:sz w:val="20"/>
          <w:szCs w:val="20"/>
        </w:rPr>
        <w:t>For recency, the additional crew member should perform at least 2 flights in this function in any 12-month period. Otherwise, he or she should, before resuming as additional crew member, fulfil again the training requirements of points (a)(1) and (a)(2).</w:t>
      </w:r>
    </w:p>
    <w:p w14:paraId="3AC84214" w14:textId="77777777" w:rsidR="008901D5" w:rsidRPr="008901D5" w:rsidRDefault="008901D5"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491" w:name="BOP.ADD.415_Fitness_relating_to_deep_wat"/>
      <w:bookmarkStart w:id="492" w:name="_bookmark200"/>
      <w:bookmarkStart w:id="493" w:name="_Toc153137365"/>
      <w:bookmarkEnd w:id="491"/>
      <w:bookmarkEnd w:id="492"/>
      <w:r w:rsidRPr="008901D5">
        <w:rPr>
          <w:rFonts w:ascii="Arial" w:eastAsia="Times New Roman" w:hAnsi="Arial" w:cs="Times New Roman"/>
          <w:b/>
          <w:iCs/>
          <w:color w:val="FFFFFF"/>
          <w:sz w:val="24"/>
        </w:rPr>
        <w:t>BOP.ADD.415 Fitness relating to deep water diving and blood donation</w:t>
      </w:r>
      <w:bookmarkEnd w:id="493"/>
    </w:p>
    <w:p w14:paraId="2F9BD7E7" w14:textId="77777777" w:rsidR="008901D5" w:rsidRPr="008901D5" w:rsidRDefault="008901D5" w:rsidP="00F17F8A">
      <w:pPr>
        <w:tabs>
          <w:tab w:val="left" w:pos="1273"/>
          <w:tab w:val="left" w:pos="1274"/>
        </w:tabs>
        <w:spacing w:before="122" w:line="276" w:lineRule="auto"/>
        <w:ind w:right="68"/>
        <w:jc w:val="both"/>
        <w:rPr>
          <w:rFonts w:ascii="Arial" w:hAnsi="Arial" w:cs="Arial"/>
          <w:sz w:val="20"/>
          <w:szCs w:val="20"/>
        </w:rPr>
      </w:pPr>
      <w:r w:rsidRPr="008901D5">
        <w:rPr>
          <w:rFonts w:ascii="Arial" w:hAnsi="Arial" w:cs="Arial"/>
          <w:sz w:val="20"/>
          <w:szCs w:val="20"/>
        </w:rPr>
        <w:t>Crew members shall not perform any duties on the balloon where their fitness might be impaired after deep water diving or following blood donation.</w:t>
      </w:r>
    </w:p>
    <w:p w14:paraId="08B67C35" w14:textId="77777777" w:rsidR="008901D5" w:rsidRPr="008901D5" w:rsidRDefault="008901D5" w:rsidP="009601C2">
      <w:pPr>
        <w:keepNext/>
        <w:keepLines/>
        <w:widowControl/>
        <w:shd w:val="clear" w:color="auto" w:fill="339966"/>
        <w:autoSpaceDE/>
        <w:autoSpaceDN/>
        <w:spacing w:before="160" w:after="120" w:line="276" w:lineRule="auto"/>
        <w:outlineLvl w:val="4"/>
        <w:rPr>
          <w:rFonts w:ascii="Arial" w:eastAsia="Times New Roman" w:hAnsi="Arial" w:cs="Times New Roman"/>
          <w:b/>
          <w:color w:val="FFFFFF"/>
          <w:sz w:val="24"/>
        </w:rPr>
      </w:pPr>
      <w:bookmarkStart w:id="494" w:name="GM1_BOP.ADD.415_Fitness_relating_to_deep"/>
      <w:bookmarkStart w:id="495" w:name="_bookmark201"/>
      <w:bookmarkStart w:id="496" w:name="_Toc153137366"/>
      <w:bookmarkEnd w:id="494"/>
      <w:bookmarkEnd w:id="495"/>
      <w:r w:rsidRPr="008901D5">
        <w:rPr>
          <w:rFonts w:ascii="Arial" w:eastAsia="Times New Roman" w:hAnsi="Arial" w:cs="Times New Roman"/>
          <w:b/>
          <w:color w:val="FFFFFF"/>
          <w:sz w:val="24"/>
        </w:rPr>
        <w:t>GM1 BOP.ADD.415 Fitness relating to deep water diving and blood donation</w:t>
      </w:r>
      <w:bookmarkEnd w:id="496"/>
    </w:p>
    <w:p w14:paraId="5BC7B513" w14:textId="77777777" w:rsidR="008901D5" w:rsidRPr="008901D5" w:rsidRDefault="008901D5" w:rsidP="009601C2">
      <w:pPr>
        <w:tabs>
          <w:tab w:val="left" w:pos="1273"/>
          <w:tab w:val="left" w:pos="1274"/>
        </w:tabs>
        <w:spacing w:before="122" w:line="276" w:lineRule="auto"/>
        <w:ind w:right="200"/>
        <w:rPr>
          <w:rFonts w:ascii="Arial" w:hAnsi="Arial" w:cs="Arial"/>
          <w:b/>
          <w:sz w:val="20"/>
          <w:szCs w:val="20"/>
        </w:rPr>
      </w:pPr>
      <w:r w:rsidRPr="008901D5">
        <w:rPr>
          <w:rFonts w:ascii="Arial" w:hAnsi="Arial" w:cs="Arial"/>
          <w:b/>
          <w:sz w:val="20"/>
          <w:szCs w:val="20"/>
        </w:rPr>
        <w:t>ELAPSED TIME BEFORE RETURNING TO FLYING DUTY</w:t>
      </w:r>
    </w:p>
    <w:p w14:paraId="177A801B" w14:textId="77777777" w:rsidR="008901D5" w:rsidRPr="008901D5" w:rsidRDefault="008901D5" w:rsidP="00F17F8A">
      <w:pPr>
        <w:tabs>
          <w:tab w:val="left" w:pos="1273"/>
          <w:tab w:val="left" w:pos="1274"/>
        </w:tabs>
        <w:spacing w:before="122" w:line="276" w:lineRule="auto"/>
        <w:ind w:right="68"/>
        <w:jc w:val="both"/>
        <w:rPr>
          <w:rFonts w:ascii="Arial" w:hAnsi="Arial" w:cs="Arial"/>
          <w:sz w:val="20"/>
          <w:szCs w:val="20"/>
        </w:rPr>
      </w:pPr>
      <w:r w:rsidRPr="008901D5">
        <w:rPr>
          <w:rFonts w:ascii="Arial" w:hAnsi="Arial" w:cs="Arial"/>
          <w:sz w:val="20"/>
          <w:szCs w:val="20"/>
        </w:rPr>
        <w:t>24 hours is a suitable minimum length of time to allow after normal recreational (sport) diving or normal blood donation before a flight. This is considered by operators when determining a reasonable time period for the guidance of crew members.</w:t>
      </w:r>
    </w:p>
    <w:p w14:paraId="51915C5B" w14:textId="77777777" w:rsidR="00821380" w:rsidRPr="00821380" w:rsidRDefault="00821380"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497" w:name="BOP.ADD.420_Common_language"/>
      <w:bookmarkStart w:id="498" w:name="_bookmark202"/>
      <w:bookmarkStart w:id="499" w:name="_Toc153137367"/>
      <w:bookmarkEnd w:id="497"/>
      <w:bookmarkEnd w:id="498"/>
      <w:r w:rsidRPr="00821380">
        <w:rPr>
          <w:rFonts w:ascii="Arial" w:eastAsia="Times New Roman" w:hAnsi="Arial" w:cs="Times New Roman"/>
          <w:b/>
          <w:iCs/>
          <w:color w:val="FFFFFF"/>
          <w:sz w:val="24"/>
        </w:rPr>
        <w:t>BOP.ADD.420 Common language</w:t>
      </w:r>
      <w:bookmarkEnd w:id="499"/>
    </w:p>
    <w:p w14:paraId="5090F303" w14:textId="77777777" w:rsidR="00821380" w:rsidRPr="00821380" w:rsidRDefault="00821380" w:rsidP="00F17F8A">
      <w:pPr>
        <w:tabs>
          <w:tab w:val="left" w:pos="1273"/>
          <w:tab w:val="left" w:pos="1274"/>
        </w:tabs>
        <w:spacing w:before="122" w:line="276" w:lineRule="auto"/>
        <w:ind w:right="68"/>
        <w:jc w:val="both"/>
        <w:rPr>
          <w:rFonts w:ascii="Arial" w:hAnsi="Arial" w:cs="Arial"/>
          <w:sz w:val="20"/>
          <w:szCs w:val="20"/>
        </w:rPr>
      </w:pPr>
      <w:r w:rsidRPr="00821380">
        <w:rPr>
          <w:rFonts w:ascii="Arial" w:hAnsi="Arial" w:cs="Arial"/>
          <w:sz w:val="20"/>
          <w:szCs w:val="20"/>
        </w:rPr>
        <w:t xml:space="preserve">The operator shall ensure that all crew members can communicate with each other in a common </w:t>
      </w:r>
      <w:r w:rsidRPr="00821380">
        <w:rPr>
          <w:rFonts w:ascii="Arial" w:hAnsi="Arial" w:cs="Arial"/>
          <w:sz w:val="20"/>
          <w:szCs w:val="20"/>
        </w:rPr>
        <w:lastRenderedPageBreak/>
        <w:t>language.</w:t>
      </w:r>
    </w:p>
    <w:p w14:paraId="63C79FC4" w14:textId="77777777" w:rsidR="00821380" w:rsidRPr="00821380" w:rsidRDefault="00821380"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500" w:name="BOP.ADD.425_Psychoactive_substances"/>
      <w:bookmarkStart w:id="501" w:name="_bookmark203"/>
      <w:bookmarkStart w:id="502" w:name="_Toc153137368"/>
      <w:bookmarkEnd w:id="500"/>
      <w:bookmarkEnd w:id="501"/>
      <w:r w:rsidRPr="00821380">
        <w:rPr>
          <w:rFonts w:ascii="Arial" w:eastAsia="Times New Roman" w:hAnsi="Arial" w:cs="Times New Roman"/>
          <w:b/>
          <w:iCs/>
          <w:color w:val="FFFFFF"/>
          <w:sz w:val="24"/>
        </w:rPr>
        <w:t>BOP.ADD.425 Psychoactive substances</w:t>
      </w:r>
      <w:bookmarkEnd w:id="502"/>
    </w:p>
    <w:p w14:paraId="7C490EB2" w14:textId="77777777" w:rsidR="00821380" w:rsidRPr="00821380" w:rsidRDefault="00821380" w:rsidP="00652725">
      <w:pPr>
        <w:tabs>
          <w:tab w:val="left" w:pos="1273"/>
          <w:tab w:val="left" w:pos="1274"/>
        </w:tabs>
        <w:spacing w:before="122" w:line="276" w:lineRule="auto"/>
        <w:ind w:right="68"/>
        <w:jc w:val="both"/>
        <w:rPr>
          <w:rFonts w:ascii="Arial" w:hAnsi="Arial" w:cs="Arial"/>
          <w:sz w:val="20"/>
          <w:szCs w:val="20"/>
        </w:rPr>
      </w:pPr>
      <w:r w:rsidRPr="00821380">
        <w:rPr>
          <w:rFonts w:ascii="Arial" w:hAnsi="Arial" w:cs="Arial"/>
          <w:sz w:val="20"/>
          <w:szCs w:val="20"/>
        </w:rPr>
        <w:t>The operator shall take all reasonable measures to ensure that no person enters or is in a balloon when under the influence of psychoactive substances to the extent that the safety of the balloon, of any person or property carried therein or of any person or property on the ground is likely to be endangered by the presence of that person.</w:t>
      </w:r>
    </w:p>
    <w:p w14:paraId="19C5C378" w14:textId="77777777" w:rsidR="00821380" w:rsidRPr="00821380" w:rsidRDefault="00821380"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503" w:name="BOP.ADD.430_Endangering"/>
      <w:bookmarkStart w:id="504" w:name="_bookmark204"/>
      <w:bookmarkStart w:id="505" w:name="_Toc153137369"/>
      <w:bookmarkEnd w:id="503"/>
      <w:bookmarkEnd w:id="504"/>
      <w:r w:rsidRPr="00821380">
        <w:rPr>
          <w:rFonts w:ascii="Arial" w:eastAsia="Times New Roman" w:hAnsi="Arial" w:cs="Times New Roman"/>
          <w:b/>
          <w:iCs/>
          <w:color w:val="FFFFFF"/>
          <w:sz w:val="24"/>
        </w:rPr>
        <w:t>BOP.ADD.430 Endangering</w:t>
      </w:r>
      <w:bookmarkEnd w:id="505"/>
    </w:p>
    <w:p w14:paraId="52E88F5C" w14:textId="77777777" w:rsidR="00821380" w:rsidRPr="00821380" w:rsidRDefault="00821380" w:rsidP="00652725">
      <w:pPr>
        <w:tabs>
          <w:tab w:val="left" w:pos="1273"/>
          <w:tab w:val="left" w:pos="1274"/>
        </w:tabs>
        <w:spacing w:before="122" w:line="276" w:lineRule="auto"/>
        <w:ind w:right="68"/>
        <w:jc w:val="both"/>
        <w:rPr>
          <w:rFonts w:ascii="Arial" w:hAnsi="Arial" w:cs="Arial"/>
          <w:sz w:val="20"/>
          <w:szCs w:val="20"/>
        </w:rPr>
      </w:pPr>
      <w:r w:rsidRPr="00821380">
        <w:rPr>
          <w:rFonts w:ascii="Arial" w:hAnsi="Arial" w:cs="Arial"/>
          <w:sz w:val="20"/>
          <w:szCs w:val="20"/>
        </w:rPr>
        <w:t>The operator shall take all reasonable measures to ensure that no person, intentionally, recklessly or negligently, acts or omits to act with one of the following consequences:</w:t>
      </w:r>
    </w:p>
    <w:p w14:paraId="3ED0A22D" w14:textId="77777777" w:rsidR="00821380" w:rsidRPr="00821380" w:rsidRDefault="00821380" w:rsidP="00652725">
      <w:pPr>
        <w:numPr>
          <w:ilvl w:val="0"/>
          <w:numId w:val="115"/>
        </w:numPr>
        <w:tabs>
          <w:tab w:val="left" w:pos="1273"/>
          <w:tab w:val="left" w:pos="1274"/>
        </w:tabs>
        <w:spacing w:before="122" w:line="276" w:lineRule="auto"/>
        <w:ind w:right="68"/>
        <w:jc w:val="both"/>
        <w:rPr>
          <w:rFonts w:ascii="Arial" w:hAnsi="Arial" w:cs="Arial"/>
          <w:sz w:val="20"/>
          <w:szCs w:val="20"/>
        </w:rPr>
      </w:pPr>
      <w:r w:rsidRPr="00821380">
        <w:rPr>
          <w:rFonts w:ascii="Arial" w:hAnsi="Arial" w:cs="Arial"/>
          <w:sz w:val="20"/>
          <w:szCs w:val="20"/>
        </w:rPr>
        <w:t>endanger a balloon or person therein or on the ground;</w:t>
      </w:r>
    </w:p>
    <w:p w14:paraId="64EA6572" w14:textId="77777777" w:rsidR="00821380" w:rsidRPr="00821380" w:rsidRDefault="00821380" w:rsidP="00652725">
      <w:pPr>
        <w:numPr>
          <w:ilvl w:val="0"/>
          <w:numId w:val="115"/>
        </w:numPr>
        <w:tabs>
          <w:tab w:val="left" w:pos="1273"/>
          <w:tab w:val="left" w:pos="1274"/>
        </w:tabs>
        <w:spacing w:before="122" w:line="276" w:lineRule="auto"/>
        <w:ind w:right="68"/>
        <w:jc w:val="both"/>
        <w:rPr>
          <w:rFonts w:ascii="Arial" w:hAnsi="Arial" w:cs="Arial"/>
          <w:sz w:val="20"/>
          <w:szCs w:val="20"/>
        </w:rPr>
      </w:pPr>
      <w:r w:rsidRPr="00821380">
        <w:rPr>
          <w:rFonts w:ascii="Arial" w:hAnsi="Arial" w:cs="Arial"/>
          <w:sz w:val="20"/>
          <w:szCs w:val="20"/>
        </w:rPr>
        <w:t>cause or permit a balloon to endanger any person or property.</w:t>
      </w:r>
    </w:p>
    <w:p w14:paraId="0F42C319" w14:textId="77777777" w:rsidR="00821380" w:rsidRPr="00821380" w:rsidRDefault="00821380"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506" w:name="_Toc153137370"/>
      <w:r w:rsidRPr="00821380">
        <w:rPr>
          <w:rFonts w:ascii="Arial" w:eastAsia="Times New Roman" w:hAnsi="Arial" w:cs="Times New Roman"/>
          <w:b/>
          <w:iCs/>
          <w:color w:val="FFFFFF"/>
          <w:sz w:val="24"/>
        </w:rPr>
        <w:t>BOP.ADD.435 Documents, manuals and information to be carried</w:t>
      </w:r>
      <w:bookmarkEnd w:id="506"/>
      <w:r w:rsidRPr="00821380">
        <w:rPr>
          <w:rFonts w:ascii="Arial" w:eastAsia="Times New Roman" w:hAnsi="Arial" w:cs="Times New Roman"/>
          <w:b/>
          <w:iCs/>
          <w:color w:val="FFFFFF"/>
          <w:sz w:val="24"/>
        </w:rPr>
        <w:tab/>
      </w:r>
    </w:p>
    <w:p w14:paraId="0F435327" w14:textId="321568C1" w:rsidR="00821380" w:rsidRPr="00821380" w:rsidRDefault="00821380" w:rsidP="00652725">
      <w:pPr>
        <w:numPr>
          <w:ilvl w:val="0"/>
          <w:numId w:val="116"/>
        </w:numPr>
        <w:tabs>
          <w:tab w:val="left" w:pos="1273"/>
          <w:tab w:val="left" w:pos="1274"/>
        </w:tabs>
        <w:spacing w:before="122" w:line="276" w:lineRule="auto"/>
        <w:ind w:right="68"/>
        <w:jc w:val="both"/>
        <w:rPr>
          <w:rFonts w:ascii="Arial" w:hAnsi="Arial" w:cs="Arial"/>
          <w:sz w:val="20"/>
          <w:szCs w:val="20"/>
        </w:rPr>
      </w:pPr>
      <w:r w:rsidRPr="00821380">
        <w:rPr>
          <w:rFonts w:ascii="Arial" w:hAnsi="Arial" w:cs="Arial"/>
          <w:sz w:val="20"/>
          <w:szCs w:val="20"/>
        </w:rPr>
        <w:t>All of the following documents, manuals and information shall be carried on each flight as originals or copies</w:t>
      </w:r>
      <w:r w:rsidR="00574C47">
        <w:rPr>
          <w:rFonts w:ascii="Arial" w:hAnsi="Arial" w:cs="Arial"/>
          <w:sz w:val="20"/>
          <w:szCs w:val="20"/>
          <w:lang w:val="hy-AM"/>
        </w:rPr>
        <w:t xml:space="preserve"> </w:t>
      </w:r>
      <w:r w:rsidR="00574C47" w:rsidRPr="00574C47">
        <w:rPr>
          <w:rFonts w:ascii="Arial" w:hAnsi="Arial" w:cs="Arial"/>
          <w:sz w:val="20"/>
          <w:szCs w:val="20"/>
        </w:rPr>
        <w:t>(electronic copies are acceptable as well)</w:t>
      </w:r>
      <w:r w:rsidRPr="00821380">
        <w:rPr>
          <w:rFonts w:ascii="Arial" w:hAnsi="Arial" w:cs="Arial"/>
          <w:sz w:val="20"/>
          <w:szCs w:val="20"/>
        </w:rPr>
        <w:t>:</w:t>
      </w:r>
    </w:p>
    <w:p w14:paraId="24D9B412" w14:textId="77777777" w:rsidR="00821380" w:rsidRPr="00821380" w:rsidRDefault="00821380" w:rsidP="00652725">
      <w:pPr>
        <w:numPr>
          <w:ilvl w:val="1"/>
          <w:numId w:val="116"/>
        </w:numPr>
        <w:tabs>
          <w:tab w:val="left" w:pos="1273"/>
          <w:tab w:val="left" w:pos="1274"/>
        </w:tabs>
        <w:spacing w:before="122" w:line="276" w:lineRule="auto"/>
        <w:ind w:right="68"/>
        <w:jc w:val="both"/>
        <w:rPr>
          <w:rFonts w:ascii="Arial" w:hAnsi="Arial" w:cs="Arial"/>
          <w:sz w:val="20"/>
          <w:szCs w:val="20"/>
        </w:rPr>
      </w:pPr>
      <w:r w:rsidRPr="00821380">
        <w:rPr>
          <w:rFonts w:ascii="Arial" w:hAnsi="Arial" w:cs="Arial"/>
          <w:sz w:val="20"/>
          <w:szCs w:val="20"/>
        </w:rPr>
        <w:t>the declaration made by the operator;</w:t>
      </w:r>
    </w:p>
    <w:p w14:paraId="4EDDD328" w14:textId="77777777" w:rsidR="00821380" w:rsidRPr="00821380" w:rsidRDefault="00821380" w:rsidP="00652725">
      <w:pPr>
        <w:numPr>
          <w:ilvl w:val="1"/>
          <w:numId w:val="116"/>
        </w:numPr>
        <w:tabs>
          <w:tab w:val="left" w:pos="1273"/>
          <w:tab w:val="left" w:pos="1274"/>
        </w:tabs>
        <w:spacing w:before="122" w:line="276" w:lineRule="auto"/>
        <w:ind w:right="68"/>
        <w:jc w:val="both"/>
        <w:rPr>
          <w:rFonts w:ascii="Arial" w:hAnsi="Arial" w:cs="Arial"/>
          <w:sz w:val="20"/>
          <w:szCs w:val="20"/>
        </w:rPr>
      </w:pPr>
      <w:r w:rsidRPr="00821380">
        <w:rPr>
          <w:rFonts w:ascii="Arial" w:hAnsi="Arial" w:cs="Arial"/>
          <w:sz w:val="20"/>
          <w:szCs w:val="20"/>
        </w:rPr>
        <w:t>information concerning search and rescue services for the area of the intended flight;</w:t>
      </w:r>
    </w:p>
    <w:p w14:paraId="2EFA7D59" w14:textId="77777777" w:rsidR="00821380" w:rsidRPr="00821380" w:rsidRDefault="00821380" w:rsidP="00652725">
      <w:pPr>
        <w:numPr>
          <w:ilvl w:val="1"/>
          <w:numId w:val="116"/>
        </w:numPr>
        <w:tabs>
          <w:tab w:val="left" w:pos="1273"/>
          <w:tab w:val="left" w:pos="1274"/>
        </w:tabs>
        <w:spacing w:before="122" w:line="276" w:lineRule="auto"/>
        <w:ind w:right="68"/>
        <w:jc w:val="both"/>
        <w:rPr>
          <w:rFonts w:ascii="Arial" w:hAnsi="Arial" w:cs="Arial"/>
          <w:sz w:val="20"/>
          <w:szCs w:val="20"/>
        </w:rPr>
      </w:pPr>
      <w:r w:rsidRPr="00821380">
        <w:rPr>
          <w:rFonts w:ascii="Arial" w:hAnsi="Arial" w:cs="Arial"/>
          <w:sz w:val="20"/>
          <w:szCs w:val="20"/>
        </w:rPr>
        <w:t>the operational flight plan.</w:t>
      </w:r>
    </w:p>
    <w:p w14:paraId="5AA794AD" w14:textId="55E9F1D1" w:rsidR="00821380" w:rsidRPr="00821380" w:rsidRDefault="00821380" w:rsidP="00652725">
      <w:pPr>
        <w:numPr>
          <w:ilvl w:val="0"/>
          <w:numId w:val="116"/>
        </w:numPr>
        <w:tabs>
          <w:tab w:val="left" w:pos="1273"/>
          <w:tab w:val="left" w:pos="1274"/>
        </w:tabs>
        <w:spacing w:before="122" w:line="276" w:lineRule="auto"/>
        <w:ind w:right="68"/>
        <w:jc w:val="both"/>
        <w:rPr>
          <w:rFonts w:ascii="Arial" w:hAnsi="Arial" w:cs="Arial"/>
          <w:sz w:val="20"/>
          <w:szCs w:val="20"/>
        </w:rPr>
      </w:pPr>
      <w:r w:rsidRPr="00821380">
        <w:rPr>
          <w:rFonts w:ascii="Arial" w:hAnsi="Arial" w:cs="Arial"/>
          <w:sz w:val="20"/>
          <w:szCs w:val="20"/>
        </w:rPr>
        <w:t>All of the following documents, manuals and information shall be stowed at a safe place, not on board the balloon during a flight, as originals</w:t>
      </w:r>
      <w:r w:rsidR="00574C47">
        <w:rPr>
          <w:rFonts w:ascii="Arial" w:hAnsi="Arial" w:cs="Arial"/>
          <w:sz w:val="20"/>
          <w:szCs w:val="20"/>
          <w:lang w:val="hy-AM"/>
        </w:rPr>
        <w:t xml:space="preserve"> </w:t>
      </w:r>
      <w:r w:rsidR="00574C47" w:rsidRPr="00574C47">
        <w:rPr>
          <w:rFonts w:ascii="Arial" w:hAnsi="Arial" w:cs="Arial"/>
          <w:sz w:val="20"/>
          <w:szCs w:val="20"/>
        </w:rPr>
        <w:t>(electronic</w:t>
      </w:r>
      <w:r w:rsidR="00574C47">
        <w:rPr>
          <w:rFonts w:ascii="Arial" w:hAnsi="Arial" w:cs="Arial"/>
          <w:sz w:val="20"/>
          <w:szCs w:val="20"/>
        </w:rPr>
        <w:t xml:space="preserve"> copies are acceptable as well)</w:t>
      </w:r>
      <w:r w:rsidRPr="00821380">
        <w:rPr>
          <w:rFonts w:ascii="Arial" w:hAnsi="Arial" w:cs="Arial"/>
          <w:sz w:val="20"/>
          <w:szCs w:val="20"/>
        </w:rPr>
        <w:t>:</w:t>
      </w:r>
    </w:p>
    <w:p w14:paraId="69FF866A" w14:textId="77777777" w:rsidR="00821380" w:rsidRPr="00821380" w:rsidRDefault="00821380" w:rsidP="00652725">
      <w:pPr>
        <w:pStyle w:val="ListParagraph"/>
        <w:numPr>
          <w:ilvl w:val="1"/>
          <w:numId w:val="116"/>
        </w:numPr>
        <w:tabs>
          <w:tab w:val="left" w:pos="1273"/>
          <w:tab w:val="left" w:pos="1274"/>
        </w:tabs>
        <w:spacing w:before="118" w:line="276" w:lineRule="auto"/>
        <w:ind w:right="68"/>
        <w:jc w:val="both"/>
        <w:rPr>
          <w:rFonts w:ascii="Arial" w:hAnsi="Arial" w:cs="Arial"/>
          <w:sz w:val="20"/>
        </w:rPr>
      </w:pPr>
      <w:r w:rsidRPr="00821380">
        <w:rPr>
          <w:rFonts w:ascii="Arial" w:hAnsi="Arial" w:cs="Arial"/>
          <w:sz w:val="20"/>
        </w:rPr>
        <w:t>the</w:t>
      </w:r>
      <w:r w:rsidRPr="00821380">
        <w:rPr>
          <w:rFonts w:ascii="Arial" w:hAnsi="Arial" w:cs="Arial"/>
          <w:spacing w:val="15"/>
          <w:sz w:val="20"/>
        </w:rPr>
        <w:t xml:space="preserve"> </w:t>
      </w:r>
      <w:r w:rsidRPr="00821380">
        <w:rPr>
          <w:rFonts w:ascii="Arial" w:hAnsi="Arial" w:cs="Arial"/>
          <w:sz w:val="20"/>
        </w:rPr>
        <w:t>documents,</w:t>
      </w:r>
      <w:r w:rsidRPr="00821380">
        <w:rPr>
          <w:rFonts w:ascii="Arial" w:hAnsi="Arial" w:cs="Arial"/>
          <w:spacing w:val="11"/>
          <w:sz w:val="20"/>
        </w:rPr>
        <w:t xml:space="preserve"> </w:t>
      </w:r>
      <w:r w:rsidRPr="00821380">
        <w:rPr>
          <w:rFonts w:ascii="Arial" w:hAnsi="Arial" w:cs="Arial"/>
          <w:sz w:val="20"/>
        </w:rPr>
        <w:t>manuals</w:t>
      </w:r>
      <w:r w:rsidRPr="00821380">
        <w:rPr>
          <w:rFonts w:ascii="Arial" w:hAnsi="Arial" w:cs="Arial"/>
          <w:spacing w:val="13"/>
          <w:sz w:val="20"/>
        </w:rPr>
        <w:t xml:space="preserve"> </w:t>
      </w:r>
      <w:r w:rsidRPr="00821380">
        <w:rPr>
          <w:rFonts w:ascii="Arial" w:hAnsi="Arial" w:cs="Arial"/>
          <w:sz w:val="20"/>
        </w:rPr>
        <w:t>and</w:t>
      </w:r>
      <w:r w:rsidRPr="00821380">
        <w:rPr>
          <w:rFonts w:ascii="Arial" w:hAnsi="Arial" w:cs="Arial"/>
          <w:spacing w:val="15"/>
          <w:sz w:val="20"/>
        </w:rPr>
        <w:t xml:space="preserve"> </w:t>
      </w:r>
      <w:r w:rsidRPr="00821380">
        <w:rPr>
          <w:rFonts w:ascii="Arial" w:hAnsi="Arial" w:cs="Arial"/>
          <w:sz w:val="20"/>
        </w:rPr>
        <w:t>information</w:t>
      </w:r>
      <w:r w:rsidRPr="00821380">
        <w:rPr>
          <w:rFonts w:ascii="Arial" w:hAnsi="Arial" w:cs="Arial"/>
          <w:spacing w:val="14"/>
          <w:sz w:val="20"/>
        </w:rPr>
        <w:t xml:space="preserve"> </w:t>
      </w:r>
      <w:r w:rsidRPr="00821380">
        <w:rPr>
          <w:rFonts w:ascii="Arial" w:hAnsi="Arial" w:cs="Arial"/>
          <w:sz w:val="20"/>
        </w:rPr>
        <w:t>referred</w:t>
      </w:r>
      <w:r w:rsidRPr="00821380">
        <w:rPr>
          <w:rFonts w:ascii="Arial" w:hAnsi="Arial" w:cs="Arial"/>
          <w:spacing w:val="16"/>
          <w:sz w:val="20"/>
        </w:rPr>
        <w:t xml:space="preserve"> </w:t>
      </w:r>
      <w:r w:rsidRPr="00821380">
        <w:rPr>
          <w:rFonts w:ascii="Arial" w:hAnsi="Arial" w:cs="Arial"/>
          <w:sz w:val="20"/>
        </w:rPr>
        <w:t>to</w:t>
      </w:r>
      <w:r w:rsidRPr="00821380">
        <w:rPr>
          <w:rFonts w:ascii="Arial" w:hAnsi="Arial" w:cs="Arial"/>
          <w:spacing w:val="14"/>
          <w:sz w:val="20"/>
        </w:rPr>
        <w:t xml:space="preserve"> </w:t>
      </w:r>
      <w:r w:rsidRPr="00821380">
        <w:rPr>
          <w:rFonts w:ascii="Arial" w:hAnsi="Arial" w:cs="Arial"/>
          <w:sz w:val="20"/>
        </w:rPr>
        <w:t>in</w:t>
      </w:r>
      <w:r w:rsidRPr="00821380">
        <w:rPr>
          <w:rFonts w:ascii="Arial" w:hAnsi="Arial" w:cs="Arial"/>
          <w:spacing w:val="15"/>
          <w:sz w:val="20"/>
        </w:rPr>
        <w:t xml:space="preserve"> </w:t>
      </w:r>
      <w:r w:rsidRPr="00821380">
        <w:rPr>
          <w:rFonts w:ascii="Arial" w:hAnsi="Arial" w:cs="Arial"/>
          <w:sz w:val="20"/>
        </w:rPr>
        <w:t>point</w:t>
      </w:r>
      <w:r w:rsidRPr="00821380">
        <w:rPr>
          <w:rFonts w:ascii="Arial" w:hAnsi="Arial" w:cs="Arial"/>
          <w:spacing w:val="14"/>
          <w:sz w:val="20"/>
        </w:rPr>
        <w:t xml:space="preserve"> </w:t>
      </w:r>
      <w:r w:rsidRPr="00821380">
        <w:rPr>
          <w:rFonts w:ascii="Arial" w:hAnsi="Arial" w:cs="Arial"/>
          <w:sz w:val="20"/>
        </w:rPr>
        <w:t>(a),</w:t>
      </w:r>
      <w:r w:rsidRPr="00821380">
        <w:rPr>
          <w:rFonts w:ascii="Arial" w:hAnsi="Arial" w:cs="Arial"/>
          <w:spacing w:val="13"/>
          <w:sz w:val="20"/>
        </w:rPr>
        <w:t xml:space="preserve"> </w:t>
      </w:r>
      <w:r w:rsidRPr="00821380">
        <w:rPr>
          <w:rFonts w:ascii="Arial" w:hAnsi="Arial" w:cs="Arial"/>
          <w:sz w:val="20"/>
        </w:rPr>
        <w:t>when</w:t>
      </w:r>
      <w:r w:rsidRPr="00821380">
        <w:rPr>
          <w:rFonts w:ascii="Arial" w:hAnsi="Arial" w:cs="Arial"/>
          <w:spacing w:val="16"/>
          <w:sz w:val="20"/>
        </w:rPr>
        <w:t xml:space="preserve"> </w:t>
      </w:r>
      <w:r w:rsidRPr="00821380">
        <w:rPr>
          <w:rFonts w:ascii="Arial" w:hAnsi="Arial" w:cs="Arial"/>
          <w:sz w:val="20"/>
        </w:rPr>
        <w:t>copies</w:t>
      </w:r>
      <w:r w:rsidRPr="00821380">
        <w:rPr>
          <w:rFonts w:ascii="Arial" w:hAnsi="Arial" w:cs="Arial"/>
          <w:spacing w:val="11"/>
          <w:sz w:val="20"/>
        </w:rPr>
        <w:t xml:space="preserve"> </w:t>
      </w:r>
      <w:r w:rsidRPr="00821380">
        <w:rPr>
          <w:rFonts w:ascii="Arial" w:hAnsi="Arial" w:cs="Arial"/>
          <w:sz w:val="20"/>
        </w:rPr>
        <w:t>thereof</w:t>
      </w:r>
      <w:r w:rsidRPr="00821380">
        <w:rPr>
          <w:rFonts w:ascii="Arial" w:hAnsi="Arial" w:cs="Arial"/>
          <w:spacing w:val="-47"/>
          <w:sz w:val="20"/>
        </w:rPr>
        <w:t xml:space="preserve"> </w:t>
      </w:r>
      <w:r w:rsidRPr="00821380">
        <w:rPr>
          <w:rFonts w:ascii="Arial" w:hAnsi="Arial" w:cs="Arial"/>
          <w:sz w:val="20"/>
        </w:rPr>
        <w:t>are</w:t>
      </w:r>
      <w:r w:rsidRPr="00821380">
        <w:rPr>
          <w:rFonts w:ascii="Arial" w:hAnsi="Arial" w:cs="Arial"/>
          <w:spacing w:val="-1"/>
          <w:sz w:val="20"/>
        </w:rPr>
        <w:t xml:space="preserve"> </w:t>
      </w:r>
      <w:r w:rsidRPr="00821380">
        <w:rPr>
          <w:rFonts w:ascii="Arial" w:hAnsi="Arial" w:cs="Arial"/>
          <w:sz w:val="20"/>
        </w:rPr>
        <w:t>carried on board</w:t>
      </w:r>
      <w:r w:rsidRPr="00821380">
        <w:rPr>
          <w:rFonts w:ascii="Arial" w:hAnsi="Arial" w:cs="Arial"/>
          <w:spacing w:val="-1"/>
          <w:sz w:val="20"/>
        </w:rPr>
        <w:t xml:space="preserve"> </w:t>
      </w:r>
      <w:r w:rsidRPr="00821380">
        <w:rPr>
          <w:rFonts w:ascii="Arial" w:hAnsi="Arial" w:cs="Arial"/>
          <w:sz w:val="20"/>
        </w:rPr>
        <w:t>the</w:t>
      </w:r>
      <w:r w:rsidRPr="00821380">
        <w:rPr>
          <w:rFonts w:ascii="Arial" w:hAnsi="Arial" w:cs="Arial"/>
          <w:spacing w:val="1"/>
          <w:sz w:val="20"/>
        </w:rPr>
        <w:t xml:space="preserve"> </w:t>
      </w:r>
      <w:r w:rsidRPr="00821380">
        <w:rPr>
          <w:rFonts w:ascii="Arial" w:hAnsi="Arial" w:cs="Arial"/>
          <w:sz w:val="20"/>
        </w:rPr>
        <w:t>balloon</w:t>
      </w:r>
      <w:r w:rsidRPr="00821380">
        <w:rPr>
          <w:rFonts w:ascii="Arial" w:hAnsi="Arial" w:cs="Arial"/>
          <w:spacing w:val="-1"/>
          <w:sz w:val="20"/>
        </w:rPr>
        <w:t xml:space="preserve"> </w:t>
      </w:r>
      <w:r w:rsidRPr="00821380">
        <w:rPr>
          <w:rFonts w:ascii="Arial" w:hAnsi="Arial" w:cs="Arial"/>
          <w:sz w:val="20"/>
        </w:rPr>
        <w:t>during</w:t>
      </w:r>
      <w:r w:rsidRPr="00821380">
        <w:rPr>
          <w:rFonts w:ascii="Arial" w:hAnsi="Arial" w:cs="Arial"/>
          <w:spacing w:val="-1"/>
          <w:sz w:val="20"/>
        </w:rPr>
        <w:t xml:space="preserve"> </w:t>
      </w:r>
      <w:r w:rsidRPr="00821380">
        <w:rPr>
          <w:rFonts w:ascii="Arial" w:hAnsi="Arial" w:cs="Arial"/>
          <w:sz w:val="20"/>
        </w:rPr>
        <w:t>a flight;</w:t>
      </w:r>
    </w:p>
    <w:p w14:paraId="0AD47AFC" w14:textId="77777777" w:rsidR="00821380" w:rsidRPr="00821380" w:rsidRDefault="00821380" w:rsidP="00652725">
      <w:pPr>
        <w:pStyle w:val="ListParagraph"/>
        <w:numPr>
          <w:ilvl w:val="1"/>
          <w:numId w:val="116"/>
        </w:numPr>
        <w:tabs>
          <w:tab w:val="left" w:pos="1273"/>
          <w:tab w:val="left" w:pos="1274"/>
        </w:tabs>
        <w:spacing w:line="276" w:lineRule="auto"/>
        <w:ind w:right="68"/>
        <w:jc w:val="both"/>
        <w:rPr>
          <w:rFonts w:ascii="Arial" w:hAnsi="Arial" w:cs="Arial"/>
          <w:sz w:val="20"/>
        </w:rPr>
      </w:pPr>
      <w:r w:rsidRPr="00821380">
        <w:rPr>
          <w:rFonts w:ascii="Arial" w:hAnsi="Arial" w:cs="Arial"/>
          <w:sz w:val="20"/>
        </w:rPr>
        <w:t>the current parts of the operations manual or the standard operating procedures (SOPs)</w:t>
      </w:r>
      <w:r w:rsidRPr="00821380">
        <w:rPr>
          <w:rFonts w:ascii="Arial" w:hAnsi="Arial" w:cs="Arial"/>
          <w:spacing w:val="-47"/>
          <w:sz w:val="20"/>
        </w:rPr>
        <w:t xml:space="preserve"> </w:t>
      </w:r>
      <w:r w:rsidRPr="00821380">
        <w:rPr>
          <w:rFonts w:ascii="Arial" w:hAnsi="Arial" w:cs="Arial"/>
          <w:sz w:val="20"/>
        </w:rPr>
        <w:t>that</w:t>
      </w:r>
      <w:r w:rsidRPr="00821380">
        <w:rPr>
          <w:rFonts w:ascii="Arial" w:hAnsi="Arial" w:cs="Arial"/>
          <w:spacing w:val="-8"/>
          <w:sz w:val="20"/>
        </w:rPr>
        <w:t xml:space="preserve"> </w:t>
      </w:r>
      <w:r w:rsidRPr="00821380">
        <w:rPr>
          <w:rFonts w:ascii="Arial" w:hAnsi="Arial" w:cs="Arial"/>
          <w:sz w:val="20"/>
        </w:rPr>
        <w:t>are</w:t>
      </w:r>
      <w:r w:rsidRPr="00821380">
        <w:rPr>
          <w:rFonts w:ascii="Arial" w:hAnsi="Arial" w:cs="Arial"/>
          <w:spacing w:val="-8"/>
          <w:sz w:val="20"/>
        </w:rPr>
        <w:t xml:space="preserve"> </w:t>
      </w:r>
      <w:r w:rsidRPr="00821380">
        <w:rPr>
          <w:rFonts w:ascii="Arial" w:hAnsi="Arial" w:cs="Arial"/>
          <w:sz w:val="20"/>
        </w:rPr>
        <w:t>relevant</w:t>
      </w:r>
      <w:r w:rsidRPr="00821380">
        <w:rPr>
          <w:rFonts w:ascii="Arial" w:hAnsi="Arial" w:cs="Arial"/>
          <w:spacing w:val="-7"/>
          <w:sz w:val="20"/>
        </w:rPr>
        <w:t xml:space="preserve"> </w:t>
      </w:r>
      <w:r w:rsidRPr="00821380">
        <w:rPr>
          <w:rFonts w:ascii="Arial" w:hAnsi="Arial" w:cs="Arial"/>
          <w:sz w:val="20"/>
        </w:rPr>
        <w:t>to</w:t>
      </w:r>
      <w:r w:rsidRPr="00821380">
        <w:rPr>
          <w:rFonts w:ascii="Arial" w:hAnsi="Arial" w:cs="Arial"/>
          <w:spacing w:val="-8"/>
          <w:sz w:val="20"/>
        </w:rPr>
        <w:t xml:space="preserve"> </w:t>
      </w:r>
      <w:r w:rsidRPr="00821380">
        <w:rPr>
          <w:rFonts w:ascii="Arial" w:hAnsi="Arial" w:cs="Arial"/>
          <w:sz w:val="20"/>
        </w:rPr>
        <w:t>the</w:t>
      </w:r>
      <w:r w:rsidRPr="00821380">
        <w:rPr>
          <w:rFonts w:ascii="Arial" w:hAnsi="Arial" w:cs="Arial"/>
          <w:spacing w:val="-8"/>
          <w:sz w:val="20"/>
        </w:rPr>
        <w:t xml:space="preserve"> </w:t>
      </w:r>
      <w:r w:rsidRPr="00821380">
        <w:rPr>
          <w:rFonts w:ascii="Arial" w:hAnsi="Arial" w:cs="Arial"/>
          <w:sz w:val="20"/>
        </w:rPr>
        <w:t>duties</w:t>
      </w:r>
      <w:r w:rsidRPr="00821380">
        <w:rPr>
          <w:rFonts w:ascii="Arial" w:hAnsi="Arial" w:cs="Arial"/>
          <w:spacing w:val="-8"/>
          <w:sz w:val="20"/>
        </w:rPr>
        <w:t xml:space="preserve"> </w:t>
      </w:r>
      <w:r w:rsidRPr="00821380">
        <w:rPr>
          <w:rFonts w:ascii="Arial" w:hAnsi="Arial" w:cs="Arial"/>
          <w:sz w:val="20"/>
        </w:rPr>
        <w:t>of</w:t>
      </w:r>
      <w:r w:rsidRPr="00821380">
        <w:rPr>
          <w:rFonts w:ascii="Arial" w:hAnsi="Arial" w:cs="Arial"/>
          <w:spacing w:val="-10"/>
          <w:sz w:val="20"/>
        </w:rPr>
        <w:t xml:space="preserve"> </w:t>
      </w:r>
      <w:r w:rsidRPr="00821380">
        <w:rPr>
          <w:rFonts w:ascii="Arial" w:hAnsi="Arial" w:cs="Arial"/>
          <w:sz w:val="20"/>
        </w:rPr>
        <w:t>crew</w:t>
      </w:r>
      <w:r w:rsidRPr="00821380">
        <w:rPr>
          <w:rFonts w:ascii="Arial" w:hAnsi="Arial" w:cs="Arial"/>
          <w:spacing w:val="-10"/>
          <w:sz w:val="20"/>
        </w:rPr>
        <w:t xml:space="preserve"> </w:t>
      </w:r>
      <w:r w:rsidRPr="00821380">
        <w:rPr>
          <w:rFonts w:ascii="Arial" w:hAnsi="Arial" w:cs="Arial"/>
          <w:sz w:val="20"/>
        </w:rPr>
        <w:t>members,</w:t>
      </w:r>
      <w:r w:rsidRPr="00821380">
        <w:rPr>
          <w:rFonts w:ascii="Arial" w:hAnsi="Arial" w:cs="Arial"/>
          <w:spacing w:val="-10"/>
          <w:sz w:val="20"/>
        </w:rPr>
        <w:t xml:space="preserve"> </w:t>
      </w:r>
      <w:r w:rsidRPr="00821380">
        <w:rPr>
          <w:rFonts w:ascii="Arial" w:hAnsi="Arial" w:cs="Arial"/>
          <w:sz w:val="20"/>
        </w:rPr>
        <w:t>which</w:t>
      </w:r>
      <w:r w:rsidRPr="00821380">
        <w:rPr>
          <w:rFonts w:ascii="Arial" w:hAnsi="Arial" w:cs="Arial"/>
          <w:spacing w:val="-8"/>
          <w:sz w:val="20"/>
        </w:rPr>
        <w:t xml:space="preserve"> </w:t>
      </w:r>
      <w:r w:rsidRPr="00821380">
        <w:rPr>
          <w:rFonts w:ascii="Arial" w:hAnsi="Arial" w:cs="Arial"/>
          <w:sz w:val="20"/>
        </w:rPr>
        <w:t>shall</w:t>
      </w:r>
      <w:r w:rsidRPr="00821380">
        <w:rPr>
          <w:rFonts w:ascii="Arial" w:hAnsi="Arial" w:cs="Arial"/>
          <w:spacing w:val="-8"/>
          <w:sz w:val="20"/>
        </w:rPr>
        <w:t xml:space="preserve"> </w:t>
      </w:r>
      <w:r w:rsidRPr="00821380">
        <w:rPr>
          <w:rFonts w:ascii="Arial" w:hAnsi="Arial" w:cs="Arial"/>
          <w:sz w:val="20"/>
        </w:rPr>
        <w:t>be</w:t>
      </w:r>
      <w:r w:rsidRPr="00821380">
        <w:rPr>
          <w:rFonts w:ascii="Arial" w:hAnsi="Arial" w:cs="Arial"/>
          <w:spacing w:val="-7"/>
          <w:sz w:val="20"/>
        </w:rPr>
        <w:t xml:space="preserve"> </w:t>
      </w:r>
      <w:r w:rsidRPr="00821380">
        <w:rPr>
          <w:rFonts w:ascii="Arial" w:hAnsi="Arial" w:cs="Arial"/>
          <w:sz w:val="20"/>
        </w:rPr>
        <w:t>easily</w:t>
      </w:r>
      <w:r w:rsidRPr="00821380">
        <w:rPr>
          <w:rFonts w:ascii="Arial" w:hAnsi="Arial" w:cs="Arial"/>
          <w:spacing w:val="-6"/>
          <w:sz w:val="20"/>
        </w:rPr>
        <w:t xml:space="preserve"> </w:t>
      </w:r>
      <w:r w:rsidRPr="00821380">
        <w:rPr>
          <w:rFonts w:ascii="Arial" w:hAnsi="Arial" w:cs="Arial"/>
          <w:sz w:val="20"/>
        </w:rPr>
        <w:t>accessible</w:t>
      </w:r>
      <w:r w:rsidRPr="00821380">
        <w:rPr>
          <w:rFonts w:ascii="Arial" w:hAnsi="Arial" w:cs="Arial"/>
          <w:spacing w:val="-10"/>
          <w:sz w:val="20"/>
        </w:rPr>
        <w:t xml:space="preserve"> </w:t>
      </w:r>
      <w:r w:rsidRPr="00821380">
        <w:rPr>
          <w:rFonts w:ascii="Arial" w:hAnsi="Arial" w:cs="Arial"/>
          <w:sz w:val="20"/>
        </w:rPr>
        <w:t>to</w:t>
      </w:r>
      <w:r w:rsidRPr="00821380">
        <w:rPr>
          <w:rFonts w:ascii="Arial" w:hAnsi="Arial" w:cs="Arial"/>
          <w:spacing w:val="-7"/>
          <w:sz w:val="20"/>
        </w:rPr>
        <w:t xml:space="preserve"> </w:t>
      </w:r>
      <w:r w:rsidRPr="00821380">
        <w:rPr>
          <w:rFonts w:ascii="Arial" w:hAnsi="Arial" w:cs="Arial"/>
          <w:sz w:val="20"/>
        </w:rPr>
        <w:t>them;</w:t>
      </w:r>
    </w:p>
    <w:p w14:paraId="147ECD4C" w14:textId="77777777" w:rsidR="00821380" w:rsidRPr="00821380" w:rsidRDefault="00821380" w:rsidP="00652725">
      <w:pPr>
        <w:pStyle w:val="ListParagraph"/>
        <w:numPr>
          <w:ilvl w:val="1"/>
          <w:numId w:val="116"/>
        </w:numPr>
        <w:tabs>
          <w:tab w:val="left" w:pos="1273"/>
          <w:tab w:val="left" w:pos="1274"/>
        </w:tabs>
        <w:spacing w:before="121" w:line="276" w:lineRule="auto"/>
        <w:ind w:right="68" w:hanging="568"/>
        <w:jc w:val="both"/>
        <w:rPr>
          <w:rFonts w:ascii="Arial" w:hAnsi="Arial" w:cs="Arial"/>
          <w:sz w:val="20"/>
        </w:rPr>
      </w:pPr>
      <w:r w:rsidRPr="00821380">
        <w:rPr>
          <w:rFonts w:ascii="Arial" w:hAnsi="Arial" w:cs="Arial"/>
          <w:sz w:val="20"/>
        </w:rPr>
        <w:t>passenger</w:t>
      </w:r>
      <w:r w:rsidRPr="00821380">
        <w:rPr>
          <w:rFonts w:ascii="Arial" w:hAnsi="Arial" w:cs="Arial"/>
          <w:spacing w:val="-2"/>
          <w:sz w:val="20"/>
        </w:rPr>
        <w:t xml:space="preserve"> </w:t>
      </w:r>
      <w:r w:rsidRPr="00821380">
        <w:rPr>
          <w:rFonts w:ascii="Arial" w:hAnsi="Arial" w:cs="Arial"/>
          <w:sz w:val="20"/>
        </w:rPr>
        <w:t>lists,</w:t>
      </w:r>
      <w:r w:rsidRPr="00821380">
        <w:rPr>
          <w:rFonts w:ascii="Arial" w:hAnsi="Arial" w:cs="Arial"/>
          <w:spacing w:val="-2"/>
          <w:sz w:val="20"/>
        </w:rPr>
        <w:t xml:space="preserve"> </w:t>
      </w:r>
      <w:r w:rsidRPr="00821380">
        <w:rPr>
          <w:rFonts w:ascii="Arial" w:hAnsi="Arial" w:cs="Arial"/>
          <w:sz w:val="20"/>
        </w:rPr>
        <w:t>when</w:t>
      </w:r>
      <w:r w:rsidRPr="00821380">
        <w:rPr>
          <w:rFonts w:ascii="Arial" w:hAnsi="Arial" w:cs="Arial"/>
          <w:spacing w:val="-1"/>
          <w:sz w:val="20"/>
        </w:rPr>
        <w:t xml:space="preserve"> </w:t>
      </w:r>
      <w:r w:rsidRPr="00821380">
        <w:rPr>
          <w:rFonts w:ascii="Arial" w:hAnsi="Arial" w:cs="Arial"/>
          <w:sz w:val="20"/>
        </w:rPr>
        <w:t>passengers</w:t>
      </w:r>
      <w:r w:rsidRPr="00821380">
        <w:rPr>
          <w:rFonts w:ascii="Arial" w:hAnsi="Arial" w:cs="Arial"/>
          <w:spacing w:val="-2"/>
          <w:sz w:val="20"/>
        </w:rPr>
        <w:t xml:space="preserve"> </w:t>
      </w:r>
      <w:r w:rsidRPr="00821380">
        <w:rPr>
          <w:rFonts w:ascii="Arial" w:hAnsi="Arial" w:cs="Arial"/>
          <w:sz w:val="20"/>
        </w:rPr>
        <w:t>are</w:t>
      </w:r>
      <w:r w:rsidRPr="00821380">
        <w:rPr>
          <w:rFonts w:ascii="Arial" w:hAnsi="Arial" w:cs="Arial"/>
          <w:spacing w:val="-3"/>
          <w:sz w:val="20"/>
        </w:rPr>
        <w:t xml:space="preserve"> </w:t>
      </w:r>
      <w:r w:rsidRPr="00821380">
        <w:rPr>
          <w:rFonts w:ascii="Arial" w:hAnsi="Arial" w:cs="Arial"/>
          <w:sz w:val="20"/>
        </w:rPr>
        <w:t>carried;</w:t>
      </w:r>
    </w:p>
    <w:p w14:paraId="5F96957A" w14:textId="07AB8D29" w:rsidR="00821380" w:rsidRPr="00821380" w:rsidRDefault="00821380" w:rsidP="00652725">
      <w:pPr>
        <w:pStyle w:val="ListParagraph"/>
        <w:numPr>
          <w:ilvl w:val="1"/>
          <w:numId w:val="116"/>
        </w:numPr>
        <w:tabs>
          <w:tab w:val="left" w:pos="1273"/>
          <w:tab w:val="left" w:pos="1274"/>
        </w:tabs>
        <w:spacing w:line="276" w:lineRule="auto"/>
        <w:ind w:right="68" w:hanging="568"/>
        <w:jc w:val="both"/>
        <w:rPr>
          <w:rFonts w:ascii="Arial" w:hAnsi="Arial" w:cs="Arial"/>
          <w:sz w:val="20"/>
        </w:rPr>
      </w:pPr>
      <w:r w:rsidRPr="00821380">
        <w:rPr>
          <w:rFonts w:ascii="Arial" w:hAnsi="Arial" w:cs="Arial"/>
          <w:sz w:val="20"/>
        </w:rPr>
        <w:t>the</w:t>
      </w:r>
      <w:r w:rsidRPr="00821380">
        <w:rPr>
          <w:rFonts w:ascii="Arial" w:hAnsi="Arial" w:cs="Arial"/>
          <w:spacing w:val="-3"/>
          <w:sz w:val="20"/>
        </w:rPr>
        <w:t xml:space="preserve"> </w:t>
      </w:r>
      <w:r w:rsidRPr="00821380">
        <w:rPr>
          <w:rFonts w:ascii="Arial" w:hAnsi="Arial" w:cs="Arial"/>
          <w:sz w:val="20"/>
        </w:rPr>
        <w:t>mass documentation</w:t>
      </w:r>
      <w:r w:rsidRPr="00821380">
        <w:rPr>
          <w:rFonts w:ascii="Arial" w:hAnsi="Arial" w:cs="Arial"/>
          <w:spacing w:val="-1"/>
          <w:sz w:val="20"/>
        </w:rPr>
        <w:t xml:space="preserve"> </w:t>
      </w:r>
      <w:r w:rsidRPr="00821380">
        <w:rPr>
          <w:rFonts w:ascii="Arial" w:hAnsi="Arial" w:cs="Arial"/>
          <w:sz w:val="20"/>
        </w:rPr>
        <w:t>referred</w:t>
      </w:r>
      <w:r w:rsidRPr="00821380">
        <w:rPr>
          <w:rFonts w:ascii="Arial" w:hAnsi="Arial" w:cs="Arial"/>
          <w:spacing w:val="-4"/>
          <w:sz w:val="20"/>
        </w:rPr>
        <w:t xml:space="preserve"> </w:t>
      </w:r>
      <w:r w:rsidRPr="00821380">
        <w:rPr>
          <w:rFonts w:ascii="Arial" w:hAnsi="Arial" w:cs="Arial"/>
          <w:sz w:val="20"/>
        </w:rPr>
        <w:t>to</w:t>
      </w:r>
      <w:r w:rsidRPr="00821380">
        <w:rPr>
          <w:rFonts w:ascii="Arial" w:hAnsi="Arial" w:cs="Arial"/>
          <w:spacing w:val="-1"/>
          <w:sz w:val="20"/>
        </w:rPr>
        <w:t xml:space="preserve"> </w:t>
      </w:r>
      <w:r w:rsidRPr="00821380">
        <w:rPr>
          <w:rFonts w:ascii="Arial" w:hAnsi="Arial" w:cs="Arial"/>
          <w:sz w:val="20"/>
        </w:rPr>
        <w:t>in point</w:t>
      </w:r>
      <w:r w:rsidRPr="00821380">
        <w:rPr>
          <w:rFonts w:ascii="Arial" w:hAnsi="Arial" w:cs="Arial"/>
          <w:spacing w:val="-3"/>
          <w:sz w:val="20"/>
        </w:rPr>
        <w:t xml:space="preserve"> </w:t>
      </w:r>
      <w:r w:rsidRPr="00821380">
        <w:rPr>
          <w:rFonts w:ascii="Arial" w:hAnsi="Arial" w:cs="Arial"/>
          <w:sz w:val="20"/>
        </w:rPr>
        <w:t>(c)</w:t>
      </w:r>
      <w:r w:rsidRPr="00821380">
        <w:rPr>
          <w:rFonts w:ascii="Arial" w:hAnsi="Arial" w:cs="Arial"/>
          <w:spacing w:val="-2"/>
          <w:sz w:val="20"/>
        </w:rPr>
        <w:t xml:space="preserve"> </w:t>
      </w:r>
      <w:r w:rsidRPr="00821380">
        <w:rPr>
          <w:rFonts w:ascii="Arial" w:hAnsi="Arial" w:cs="Arial"/>
          <w:sz w:val="20"/>
        </w:rPr>
        <w:t>of point</w:t>
      </w:r>
      <w:r w:rsidRPr="00821380">
        <w:rPr>
          <w:rFonts w:ascii="Arial" w:hAnsi="Arial" w:cs="Arial"/>
          <w:color w:val="0000FF"/>
          <w:sz w:val="20"/>
        </w:rPr>
        <w:t xml:space="preserve"> </w:t>
      </w:r>
      <w:r w:rsidRPr="00880B32">
        <w:rPr>
          <w:rFonts w:ascii="Arial" w:hAnsi="Arial" w:cs="Arial"/>
          <w:sz w:val="20"/>
        </w:rPr>
        <w:t>BOP.ADD.600</w:t>
      </w:r>
      <w:r w:rsidRPr="00821380">
        <w:rPr>
          <w:rFonts w:ascii="Arial" w:hAnsi="Arial" w:cs="Arial"/>
          <w:sz w:val="20"/>
        </w:rPr>
        <w:t>.</w:t>
      </w:r>
    </w:p>
    <w:p w14:paraId="2EF1645B" w14:textId="13CA0EFB" w:rsidR="00821380" w:rsidRPr="00821380" w:rsidRDefault="00821380" w:rsidP="00652725">
      <w:pPr>
        <w:numPr>
          <w:ilvl w:val="0"/>
          <w:numId w:val="116"/>
        </w:numPr>
        <w:tabs>
          <w:tab w:val="left" w:pos="1273"/>
          <w:tab w:val="left" w:pos="1274"/>
        </w:tabs>
        <w:spacing w:before="122" w:line="276" w:lineRule="auto"/>
        <w:ind w:right="68"/>
        <w:jc w:val="both"/>
        <w:rPr>
          <w:rFonts w:ascii="Arial" w:hAnsi="Arial" w:cs="Arial"/>
          <w:sz w:val="20"/>
          <w:szCs w:val="20"/>
        </w:rPr>
      </w:pPr>
      <w:r w:rsidRPr="00821380">
        <w:rPr>
          <w:rFonts w:ascii="Arial" w:hAnsi="Arial" w:cs="Arial"/>
          <w:sz w:val="20"/>
          <w:szCs w:val="20"/>
        </w:rPr>
        <w:t xml:space="preserve">When requested by the </w:t>
      </w:r>
      <w:r w:rsidR="00A804D2">
        <w:rPr>
          <w:rFonts w:ascii="Arial" w:hAnsi="Arial" w:cs="Arial"/>
          <w:sz w:val="20"/>
          <w:szCs w:val="20"/>
        </w:rPr>
        <w:t>CAC RA</w:t>
      </w:r>
      <w:r w:rsidRPr="00821380">
        <w:rPr>
          <w:rFonts w:ascii="Arial" w:hAnsi="Arial" w:cs="Arial"/>
          <w:sz w:val="20"/>
          <w:szCs w:val="20"/>
        </w:rPr>
        <w:t xml:space="preserve">, the pilot-in-command or the operator shall make available to that authority the original documents, manuals and information </w:t>
      </w:r>
      <w:r w:rsidR="00574C47" w:rsidRPr="00574C47">
        <w:rPr>
          <w:rFonts w:ascii="Arial" w:hAnsi="Arial" w:cs="Arial"/>
          <w:sz w:val="20"/>
          <w:szCs w:val="20"/>
        </w:rPr>
        <w:t xml:space="preserve">(electronic copies are acceptable as well) </w:t>
      </w:r>
      <w:r w:rsidRPr="00821380">
        <w:rPr>
          <w:rFonts w:ascii="Arial" w:hAnsi="Arial" w:cs="Arial"/>
          <w:sz w:val="20"/>
          <w:szCs w:val="20"/>
        </w:rPr>
        <w:t>within the time period specified by the authority which shall not be less than 24 hours.</w:t>
      </w:r>
    </w:p>
    <w:p w14:paraId="7DA3B446" w14:textId="77777777" w:rsidR="00821380" w:rsidRPr="00821380" w:rsidRDefault="00821380" w:rsidP="009601C2">
      <w:pPr>
        <w:keepNext/>
        <w:keepLines/>
        <w:widowControl/>
        <w:shd w:val="clear" w:color="auto" w:fill="339966"/>
        <w:autoSpaceDE/>
        <w:autoSpaceDN/>
        <w:spacing w:before="160" w:after="120" w:line="276" w:lineRule="auto"/>
        <w:outlineLvl w:val="4"/>
        <w:rPr>
          <w:rFonts w:ascii="Arial" w:eastAsia="Times New Roman" w:hAnsi="Arial" w:cs="Times New Roman"/>
          <w:b/>
          <w:color w:val="FFFFFF"/>
          <w:sz w:val="24"/>
        </w:rPr>
      </w:pPr>
      <w:bookmarkStart w:id="507" w:name="GM1_BOP.ADD.435(a)(2)_Documents,_manuals"/>
      <w:bookmarkStart w:id="508" w:name="_bookmark206"/>
      <w:bookmarkStart w:id="509" w:name="_Toc153137371"/>
      <w:bookmarkEnd w:id="507"/>
      <w:bookmarkEnd w:id="508"/>
      <w:r w:rsidRPr="00821380">
        <w:rPr>
          <w:rFonts w:ascii="Arial" w:eastAsia="Times New Roman" w:hAnsi="Arial" w:cs="Times New Roman"/>
          <w:b/>
          <w:color w:val="FFFFFF"/>
          <w:sz w:val="24"/>
        </w:rPr>
        <w:t>GM1 BOP.ADD.435(a)(2) Documents, manuals and information to be carried</w:t>
      </w:r>
      <w:bookmarkEnd w:id="509"/>
    </w:p>
    <w:p w14:paraId="0C47CAA2" w14:textId="77777777" w:rsidR="00821380" w:rsidRPr="00821380" w:rsidRDefault="00821380" w:rsidP="009601C2">
      <w:pPr>
        <w:tabs>
          <w:tab w:val="left" w:pos="1273"/>
          <w:tab w:val="left" w:pos="1274"/>
        </w:tabs>
        <w:spacing w:before="122" w:line="276" w:lineRule="auto"/>
        <w:ind w:right="200"/>
        <w:rPr>
          <w:rFonts w:ascii="Arial" w:hAnsi="Arial" w:cs="Arial"/>
          <w:b/>
          <w:sz w:val="20"/>
          <w:szCs w:val="20"/>
        </w:rPr>
      </w:pPr>
      <w:r w:rsidRPr="00821380">
        <w:rPr>
          <w:rFonts w:ascii="Arial" w:hAnsi="Arial" w:cs="Arial"/>
          <w:b/>
          <w:sz w:val="20"/>
          <w:szCs w:val="20"/>
        </w:rPr>
        <w:t>SEARCH AND RESCUE INFORMATION</w:t>
      </w:r>
    </w:p>
    <w:p w14:paraId="39355D3A" w14:textId="77777777" w:rsidR="00821380" w:rsidRPr="00821380" w:rsidRDefault="00821380" w:rsidP="009601C2">
      <w:pPr>
        <w:tabs>
          <w:tab w:val="left" w:pos="1273"/>
          <w:tab w:val="left" w:pos="1274"/>
        </w:tabs>
        <w:spacing w:before="122" w:line="276" w:lineRule="auto"/>
        <w:ind w:right="200"/>
        <w:rPr>
          <w:rFonts w:ascii="Arial" w:hAnsi="Arial" w:cs="Arial"/>
          <w:sz w:val="20"/>
          <w:szCs w:val="20"/>
        </w:rPr>
      </w:pPr>
      <w:r w:rsidRPr="00821380">
        <w:rPr>
          <w:rFonts w:ascii="Arial" w:hAnsi="Arial" w:cs="Arial"/>
          <w:sz w:val="20"/>
          <w:szCs w:val="20"/>
        </w:rPr>
        <w:t>This information is usually found in the States’ aeronautical information publication.</w:t>
      </w:r>
    </w:p>
    <w:p w14:paraId="4F4652A3" w14:textId="77777777" w:rsidR="00821380" w:rsidRPr="00821380" w:rsidRDefault="00821380" w:rsidP="009601C2">
      <w:pPr>
        <w:keepNext/>
        <w:keepLines/>
        <w:widowControl/>
        <w:shd w:val="clear" w:color="auto" w:fill="339966"/>
        <w:autoSpaceDE/>
        <w:autoSpaceDN/>
        <w:spacing w:before="160" w:after="120" w:line="276" w:lineRule="auto"/>
        <w:outlineLvl w:val="4"/>
        <w:rPr>
          <w:rFonts w:ascii="Arial" w:eastAsia="Times New Roman" w:hAnsi="Arial" w:cs="Times New Roman"/>
          <w:b/>
          <w:color w:val="FFFFFF"/>
          <w:sz w:val="24"/>
        </w:rPr>
      </w:pPr>
      <w:bookmarkStart w:id="510" w:name="GM1_BOP.ADD.435(a)(3)_Documents,_manuals"/>
      <w:bookmarkStart w:id="511" w:name="_bookmark207"/>
      <w:bookmarkStart w:id="512" w:name="_Toc153137372"/>
      <w:bookmarkEnd w:id="510"/>
      <w:bookmarkEnd w:id="511"/>
      <w:r w:rsidRPr="00821380">
        <w:rPr>
          <w:rFonts w:ascii="Arial" w:eastAsia="Times New Roman" w:hAnsi="Arial" w:cs="Times New Roman"/>
          <w:b/>
          <w:color w:val="FFFFFF"/>
          <w:sz w:val="24"/>
        </w:rPr>
        <w:t>GM1 BOP.ADD.435(a)(3) Documents, manuals and information to be carried</w:t>
      </w:r>
      <w:bookmarkEnd w:id="512"/>
    </w:p>
    <w:p w14:paraId="57DD0584" w14:textId="77777777" w:rsidR="00821380" w:rsidRPr="00821380" w:rsidRDefault="00821380" w:rsidP="009601C2">
      <w:pPr>
        <w:tabs>
          <w:tab w:val="left" w:pos="1273"/>
          <w:tab w:val="left" w:pos="1274"/>
        </w:tabs>
        <w:spacing w:before="122" w:line="276" w:lineRule="auto"/>
        <w:ind w:right="200"/>
        <w:rPr>
          <w:rFonts w:ascii="Arial" w:hAnsi="Arial" w:cs="Arial"/>
          <w:b/>
          <w:sz w:val="20"/>
          <w:szCs w:val="20"/>
        </w:rPr>
      </w:pPr>
      <w:r w:rsidRPr="00821380">
        <w:rPr>
          <w:rFonts w:ascii="Arial" w:hAnsi="Arial" w:cs="Arial"/>
          <w:b/>
          <w:sz w:val="20"/>
          <w:szCs w:val="20"/>
        </w:rPr>
        <w:t>OPERATIONAL FLIGHT PLAN</w:t>
      </w:r>
    </w:p>
    <w:p w14:paraId="55296BAC" w14:textId="77777777" w:rsidR="00821380" w:rsidRPr="00821380" w:rsidRDefault="00821380" w:rsidP="00652725">
      <w:pPr>
        <w:numPr>
          <w:ilvl w:val="0"/>
          <w:numId w:val="117"/>
        </w:numPr>
        <w:tabs>
          <w:tab w:val="left" w:pos="1273"/>
          <w:tab w:val="left" w:pos="1274"/>
        </w:tabs>
        <w:spacing w:before="122" w:line="276" w:lineRule="auto"/>
        <w:ind w:right="68"/>
        <w:jc w:val="both"/>
        <w:rPr>
          <w:rFonts w:ascii="Arial" w:hAnsi="Arial" w:cs="Arial"/>
          <w:sz w:val="20"/>
          <w:szCs w:val="20"/>
        </w:rPr>
      </w:pPr>
      <w:r w:rsidRPr="00821380">
        <w:rPr>
          <w:rFonts w:ascii="Arial" w:hAnsi="Arial" w:cs="Arial"/>
          <w:sz w:val="20"/>
          <w:szCs w:val="20"/>
        </w:rPr>
        <w:t>The operational flight plan used and the entries made may contain the following items:</w:t>
      </w:r>
    </w:p>
    <w:p w14:paraId="311493B5" w14:textId="77777777" w:rsidR="00821380" w:rsidRPr="00821380" w:rsidRDefault="00821380" w:rsidP="00AD2F17">
      <w:pPr>
        <w:numPr>
          <w:ilvl w:val="1"/>
          <w:numId w:val="117"/>
        </w:numPr>
        <w:tabs>
          <w:tab w:val="left" w:pos="1273"/>
          <w:tab w:val="left" w:pos="1274"/>
        </w:tabs>
        <w:spacing w:before="122" w:line="276" w:lineRule="auto"/>
        <w:ind w:right="200"/>
        <w:jc w:val="both"/>
        <w:rPr>
          <w:rFonts w:ascii="Arial" w:hAnsi="Arial" w:cs="Arial"/>
          <w:sz w:val="20"/>
          <w:szCs w:val="20"/>
        </w:rPr>
      </w:pPr>
      <w:r w:rsidRPr="00821380">
        <w:rPr>
          <w:rFonts w:ascii="Arial" w:hAnsi="Arial" w:cs="Arial"/>
          <w:sz w:val="20"/>
          <w:szCs w:val="20"/>
        </w:rPr>
        <w:t>balloon registration;</w:t>
      </w:r>
    </w:p>
    <w:p w14:paraId="7D7341A5" w14:textId="77777777" w:rsidR="00821380" w:rsidRPr="00821380" w:rsidRDefault="00821380" w:rsidP="00AD2F17">
      <w:pPr>
        <w:numPr>
          <w:ilvl w:val="1"/>
          <w:numId w:val="117"/>
        </w:numPr>
        <w:tabs>
          <w:tab w:val="left" w:pos="1273"/>
          <w:tab w:val="left" w:pos="1274"/>
        </w:tabs>
        <w:spacing w:before="122" w:line="276" w:lineRule="auto"/>
        <w:ind w:right="200"/>
        <w:jc w:val="both"/>
        <w:rPr>
          <w:rFonts w:ascii="Arial" w:hAnsi="Arial" w:cs="Arial"/>
          <w:sz w:val="20"/>
          <w:szCs w:val="20"/>
        </w:rPr>
      </w:pPr>
      <w:r w:rsidRPr="00821380">
        <w:rPr>
          <w:rFonts w:ascii="Arial" w:hAnsi="Arial" w:cs="Arial"/>
          <w:sz w:val="20"/>
          <w:szCs w:val="20"/>
        </w:rPr>
        <w:t>date of flight;</w:t>
      </w:r>
    </w:p>
    <w:p w14:paraId="49AA4E4D" w14:textId="77777777" w:rsidR="00821380" w:rsidRPr="00821380" w:rsidRDefault="00821380" w:rsidP="00AD2F17">
      <w:pPr>
        <w:numPr>
          <w:ilvl w:val="1"/>
          <w:numId w:val="117"/>
        </w:numPr>
        <w:tabs>
          <w:tab w:val="left" w:pos="1273"/>
          <w:tab w:val="left" w:pos="1274"/>
        </w:tabs>
        <w:spacing w:before="122" w:line="276" w:lineRule="auto"/>
        <w:ind w:right="200"/>
        <w:jc w:val="both"/>
        <w:rPr>
          <w:rFonts w:ascii="Arial" w:hAnsi="Arial" w:cs="Arial"/>
          <w:sz w:val="20"/>
          <w:szCs w:val="20"/>
        </w:rPr>
      </w:pPr>
      <w:r w:rsidRPr="00821380">
        <w:rPr>
          <w:rFonts w:ascii="Arial" w:hAnsi="Arial" w:cs="Arial"/>
          <w:sz w:val="20"/>
          <w:szCs w:val="20"/>
        </w:rPr>
        <w:t>name of the pilot-in-command;</w:t>
      </w:r>
    </w:p>
    <w:p w14:paraId="258AC773" w14:textId="77777777" w:rsidR="00821380" w:rsidRPr="00821380" w:rsidRDefault="00821380" w:rsidP="00AD2F17">
      <w:pPr>
        <w:numPr>
          <w:ilvl w:val="1"/>
          <w:numId w:val="117"/>
        </w:numPr>
        <w:tabs>
          <w:tab w:val="left" w:pos="1273"/>
          <w:tab w:val="left" w:pos="1274"/>
        </w:tabs>
        <w:spacing w:before="122" w:line="276" w:lineRule="auto"/>
        <w:ind w:right="200"/>
        <w:jc w:val="both"/>
        <w:rPr>
          <w:rFonts w:ascii="Arial" w:hAnsi="Arial" w:cs="Arial"/>
          <w:sz w:val="20"/>
          <w:szCs w:val="20"/>
        </w:rPr>
      </w:pPr>
      <w:r w:rsidRPr="00821380">
        <w:rPr>
          <w:rFonts w:ascii="Arial" w:hAnsi="Arial" w:cs="Arial"/>
          <w:sz w:val="20"/>
          <w:szCs w:val="20"/>
        </w:rPr>
        <w:t>place of departure;</w:t>
      </w:r>
    </w:p>
    <w:p w14:paraId="58125AB2" w14:textId="77777777" w:rsidR="00821380" w:rsidRPr="00821380" w:rsidRDefault="00821380" w:rsidP="00652725">
      <w:pPr>
        <w:numPr>
          <w:ilvl w:val="1"/>
          <w:numId w:val="117"/>
        </w:numPr>
        <w:tabs>
          <w:tab w:val="left" w:pos="1273"/>
          <w:tab w:val="left" w:pos="1274"/>
        </w:tabs>
        <w:spacing w:before="122" w:line="276" w:lineRule="auto"/>
        <w:ind w:right="68"/>
        <w:jc w:val="both"/>
        <w:rPr>
          <w:rFonts w:ascii="Arial" w:hAnsi="Arial" w:cs="Arial"/>
          <w:sz w:val="20"/>
          <w:szCs w:val="20"/>
        </w:rPr>
      </w:pPr>
      <w:r w:rsidRPr="00821380">
        <w:rPr>
          <w:rFonts w:ascii="Arial" w:hAnsi="Arial" w:cs="Arial"/>
          <w:sz w:val="20"/>
          <w:szCs w:val="20"/>
        </w:rPr>
        <w:lastRenderedPageBreak/>
        <w:t>time of departure;</w:t>
      </w:r>
    </w:p>
    <w:p w14:paraId="532E4949" w14:textId="77777777" w:rsidR="00821380" w:rsidRPr="00821380" w:rsidRDefault="00821380" w:rsidP="00652725">
      <w:pPr>
        <w:numPr>
          <w:ilvl w:val="1"/>
          <w:numId w:val="117"/>
        </w:numPr>
        <w:tabs>
          <w:tab w:val="left" w:pos="1273"/>
          <w:tab w:val="left" w:pos="1274"/>
        </w:tabs>
        <w:spacing w:before="122" w:line="276" w:lineRule="auto"/>
        <w:ind w:right="68"/>
        <w:jc w:val="both"/>
        <w:rPr>
          <w:rFonts w:ascii="Arial" w:hAnsi="Arial" w:cs="Arial"/>
          <w:sz w:val="20"/>
          <w:szCs w:val="20"/>
        </w:rPr>
      </w:pPr>
      <w:r w:rsidRPr="00821380">
        <w:rPr>
          <w:rFonts w:ascii="Arial" w:hAnsi="Arial" w:cs="Arial"/>
          <w:sz w:val="20"/>
          <w:szCs w:val="20"/>
        </w:rPr>
        <w:t>type of operation</w:t>
      </w:r>
    </w:p>
    <w:p w14:paraId="31BE6191" w14:textId="77777777" w:rsidR="00821380" w:rsidRPr="00821380" w:rsidRDefault="00821380" w:rsidP="00652725">
      <w:pPr>
        <w:numPr>
          <w:ilvl w:val="1"/>
          <w:numId w:val="117"/>
        </w:numPr>
        <w:tabs>
          <w:tab w:val="left" w:pos="1273"/>
          <w:tab w:val="left" w:pos="1274"/>
        </w:tabs>
        <w:spacing w:before="122" w:line="276" w:lineRule="auto"/>
        <w:ind w:right="68"/>
        <w:jc w:val="both"/>
        <w:rPr>
          <w:rFonts w:ascii="Arial" w:hAnsi="Arial" w:cs="Arial"/>
          <w:sz w:val="20"/>
          <w:szCs w:val="20"/>
        </w:rPr>
      </w:pPr>
      <w:r w:rsidRPr="00821380">
        <w:rPr>
          <w:rFonts w:ascii="Arial" w:hAnsi="Arial" w:cs="Arial"/>
          <w:sz w:val="20"/>
          <w:szCs w:val="20"/>
        </w:rPr>
        <w:t>balloon type;</w:t>
      </w:r>
    </w:p>
    <w:p w14:paraId="6FB1CEAA" w14:textId="77777777" w:rsidR="00821380" w:rsidRPr="00821380" w:rsidRDefault="00821380" w:rsidP="00652725">
      <w:pPr>
        <w:numPr>
          <w:ilvl w:val="1"/>
          <w:numId w:val="117"/>
        </w:numPr>
        <w:tabs>
          <w:tab w:val="left" w:pos="1273"/>
          <w:tab w:val="left" w:pos="1274"/>
        </w:tabs>
        <w:spacing w:before="122" w:line="276" w:lineRule="auto"/>
        <w:ind w:right="68"/>
        <w:jc w:val="both"/>
        <w:rPr>
          <w:rFonts w:ascii="Arial" w:hAnsi="Arial" w:cs="Arial"/>
          <w:sz w:val="20"/>
          <w:szCs w:val="20"/>
        </w:rPr>
      </w:pPr>
      <w:r w:rsidRPr="00821380">
        <w:rPr>
          <w:rFonts w:ascii="Arial" w:hAnsi="Arial" w:cs="Arial"/>
          <w:sz w:val="20"/>
          <w:szCs w:val="20"/>
        </w:rPr>
        <w:t>balloon size;</w:t>
      </w:r>
    </w:p>
    <w:p w14:paraId="13524B8B" w14:textId="77777777" w:rsidR="00821380" w:rsidRPr="00821380" w:rsidRDefault="00821380" w:rsidP="00652725">
      <w:pPr>
        <w:numPr>
          <w:ilvl w:val="1"/>
          <w:numId w:val="117"/>
        </w:numPr>
        <w:tabs>
          <w:tab w:val="left" w:pos="1273"/>
          <w:tab w:val="left" w:pos="1274"/>
        </w:tabs>
        <w:spacing w:before="122" w:line="276" w:lineRule="auto"/>
        <w:ind w:right="68"/>
        <w:jc w:val="both"/>
        <w:rPr>
          <w:rFonts w:ascii="Arial" w:hAnsi="Arial" w:cs="Arial"/>
          <w:sz w:val="20"/>
          <w:szCs w:val="20"/>
        </w:rPr>
      </w:pPr>
      <w:r w:rsidRPr="00821380">
        <w:rPr>
          <w:rFonts w:ascii="Arial" w:hAnsi="Arial" w:cs="Arial"/>
          <w:sz w:val="20"/>
          <w:szCs w:val="20"/>
        </w:rPr>
        <w:t>balloon empty mass;</w:t>
      </w:r>
    </w:p>
    <w:p w14:paraId="5728C9AB" w14:textId="77777777" w:rsidR="00821380" w:rsidRPr="00821380" w:rsidRDefault="00821380" w:rsidP="00652725">
      <w:pPr>
        <w:numPr>
          <w:ilvl w:val="1"/>
          <w:numId w:val="117"/>
        </w:numPr>
        <w:tabs>
          <w:tab w:val="left" w:pos="1273"/>
          <w:tab w:val="left" w:pos="1274"/>
        </w:tabs>
        <w:spacing w:before="122" w:line="276" w:lineRule="auto"/>
        <w:ind w:right="68"/>
        <w:jc w:val="both"/>
        <w:rPr>
          <w:rFonts w:ascii="Arial" w:hAnsi="Arial" w:cs="Arial"/>
          <w:sz w:val="20"/>
          <w:szCs w:val="20"/>
        </w:rPr>
      </w:pPr>
      <w:r w:rsidRPr="00821380">
        <w:rPr>
          <w:rFonts w:ascii="Arial" w:hAnsi="Arial" w:cs="Arial"/>
          <w:sz w:val="20"/>
          <w:szCs w:val="20"/>
        </w:rPr>
        <w:t>mass of the traffic load;</w:t>
      </w:r>
    </w:p>
    <w:p w14:paraId="52CD8B79" w14:textId="77777777" w:rsidR="00821380" w:rsidRPr="00821380" w:rsidRDefault="00821380" w:rsidP="00652725">
      <w:pPr>
        <w:numPr>
          <w:ilvl w:val="1"/>
          <w:numId w:val="117"/>
        </w:numPr>
        <w:tabs>
          <w:tab w:val="left" w:pos="1273"/>
          <w:tab w:val="left" w:pos="1274"/>
        </w:tabs>
        <w:spacing w:before="122" w:line="276" w:lineRule="auto"/>
        <w:ind w:right="68"/>
        <w:jc w:val="both"/>
        <w:rPr>
          <w:rFonts w:ascii="Arial" w:hAnsi="Arial" w:cs="Arial"/>
          <w:sz w:val="20"/>
          <w:szCs w:val="20"/>
        </w:rPr>
      </w:pPr>
      <w:r w:rsidRPr="00821380">
        <w:rPr>
          <w:rFonts w:ascii="Arial" w:hAnsi="Arial" w:cs="Arial"/>
          <w:sz w:val="20"/>
          <w:szCs w:val="20"/>
        </w:rPr>
        <w:t>mass of the fuel or ballast load;</w:t>
      </w:r>
    </w:p>
    <w:p w14:paraId="326C7F71" w14:textId="77777777" w:rsidR="00821380" w:rsidRPr="00821380" w:rsidRDefault="00821380" w:rsidP="00652725">
      <w:pPr>
        <w:numPr>
          <w:ilvl w:val="1"/>
          <w:numId w:val="117"/>
        </w:numPr>
        <w:tabs>
          <w:tab w:val="left" w:pos="1273"/>
          <w:tab w:val="left" w:pos="1274"/>
        </w:tabs>
        <w:spacing w:before="122" w:line="276" w:lineRule="auto"/>
        <w:ind w:right="68"/>
        <w:jc w:val="both"/>
        <w:rPr>
          <w:rFonts w:ascii="Arial" w:hAnsi="Arial" w:cs="Arial"/>
          <w:sz w:val="20"/>
          <w:szCs w:val="20"/>
        </w:rPr>
      </w:pPr>
      <w:r w:rsidRPr="00821380">
        <w:rPr>
          <w:rFonts w:ascii="Arial" w:hAnsi="Arial" w:cs="Arial"/>
          <w:sz w:val="20"/>
          <w:szCs w:val="20"/>
        </w:rPr>
        <w:t>take-off mass;</w:t>
      </w:r>
    </w:p>
    <w:p w14:paraId="0761EDC4" w14:textId="77777777" w:rsidR="00821380" w:rsidRPr="00821380" w:rsidRDefault="00821380" w:rsidP="00652725">
      <w:pPr>
        <w:numPr>
          <w:ilvl w:val="1"/>
          <w:numId w:val="117"/>
        </w:numPr>
        <w:tabs>
          <w:tab w:val="left" w:pos="1273"/>
          <w:tab w:val="left" w:pos="1274"/>
        </w:tabs>
        <w:spacing w:before="122" w:line="276" w:lineRule="auto"/>
        <w:ind w:right="68"/>
        <w:jc w:val="both"/>
        <w:rPr>
          <w:rFonts w:ascii="Arial" w:hAnsi="Arial" w:cs="Arial"/>
          <w:sz w:val="20"/>
          <w:szCs w:val="20"/>
        </w:rPr>
      </w:pPr>
      <w:r w:rsidRPr="00821380">
        <w:rPr>
          <w:rFonts w:ascii="Arial" w:hAnsi="Arial" w:cs="Arial"/>
          <w:sz w:val="20"/>
          <w:szCs w:val="20"/>
        </w:rPr>
        <w:t>fuel or ballast calculation;</w:t>
      </w:r>
    </w:p>
    <w:p w14:paraId="52EB3844" w14:textId="77777777" w:rsidR="00821380" w:rsidRDefault="00821380" w:rsidP="00652725">
      <w:pPr>
        <w:numPr>
          <w:ilvl w:val="1"/>
          <w:numId w:val="117"/>
        </w:numPr>
        <w:tabs>
          <w:tab w:val="left" w:pos="1273"/>
          <w:tab w:val="left" w:pos="1274"/>
        </w:tabs>
        <w:spacing w:before="122" w:line="276" w:lineRule="auto"/>
        <w:ind w:right="68"/>
        <w:jc w:val="both"/>
        <w:rPr>
          <w:rFonts w:ascii="Arial" w:hAnsi="Arial" w:cs="Arial"/>
          <w:sz w:val="20"/>
          <w:szCs w:val="20"/>
        </w:rPr>
      </w:pPr>
      <w:r w:rsidRPr="00821380">
        <w:rPr>
          <w:rFonts w:ascii="Arial" w:hAnsi="Arial" w:cs="Arial"/>
          <w:sz w:val="20"/>
          <w:szCs w:val="20"/>
        </w:rPr>
        <w:t>relevant meteorological information; and</w:t>
      </w:r>
    </w:p>
    <w:p w14:paraId="24DA6E28" w14:textId="77777777" w:rsidR="00821380" w:rsidRPr="00821380" w:rsidRDefault="00821380" w:rsidP="00652725">
      <w:pPr>
        <w:numPr>
          <w:ilvl w:val="1"/>
          <w:numId w:val="117"/>
        </w:numPr>
        <w:tabs>
          <w:tab w:val="left" w:pos="1273"/>
          <w:tab w:val="left" w:pos="1274"/>
        </w:tabs>
        <w:spacing w:before="122" w:line="276" w:lineRule="auto"/>
        <w:ind w:right="68"/>
        <w:jc w:val="both"/>
        <w:rPr>
          <w:rFonts w:ascii="Arial" w:hAnsi="Arial" w:cs="Arial"/>
          <w:sz w:val="20"/>
          <w:szCs w:val="20"/>
        </w:rPr>
      </w:pPr>
      <w:r w:rsidRPr="00821380">
        <w:rPr>
          <w:rFonts w:ascii="Arial" w:hAnsi="Arial" w:cs="Arial"/>
          <w:sz w:val="20"/>
          <w:szCs w:val="20"/>
        </w:rPr>
        <w:t>special risk factors (e.g. power lines, wind turbines, airspace classification, etc.).</w:t>
      </w:r>
    </w:p>
    <w:p w14:paraId="6AC0CC1F" w14:textId="77777777" w:rsidR="00821380" w:rsidRPr="00821380" w:rsidRDefault="00821380" w:rsidP="00652725">
      <w:pPr>
        <w:numPr>
          <w:ilvl w:val="0"/>
          <w:numId w:val="117"/>
        </w:numPr>
        <w:tabs>
          <w:tab w:val="left" w:pos="1273"/>
          <w:tab w:val="left" w:pos="1274"/>
        </w:tabs>
        <w:spacing w:before="122" w:line="276" w:lineRule="auto"/>
        <w:ind w:right="68"/>
        <w:jc w:val="both"/>
        <w:rPr>
          <w:rFonts w:ascii="Arial" w:hAnsi="Arial" w:cs="Arial"/>
          <w:sz w:val="20"/>
          <w:szCs w:val="20"/>
        </w:rPr>
      </w:pPr>
      <w:r w:rsidRPr="00821380">
        <w:rPr>
          <w:rFonts w:ascii="Arial" w:hAnsi="Arial" w:cs="Arial"/>
          <w:sz w:val="20"/>
          <w:szCs w:val="20"/>
        </w:rPr>
        <w:t>Items that are readily available in other documentation or from another acceptable source or are irrelevant to the type of operation may be omitted from the operational flight plan.</w:t>
      </w:r>
    </w:p>
    <w:p w14:paraId="0163A811" w14:textId="77777777" w:rsidR="00821380" w:rsidRPr="00821380" w:rsidRDefault="00821380"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513" w:name="BOP.ADD.440_Dangerous_goods"/>
      <w:bookmarkStart w:id="514" w:name="_bookmark208"/>
      <w:bookmarkStart w:id="515" w:name="_Toc153137373"/>
      <w:bookmarkEnd w:id="513"/>
      <w:bookmarkEnd w:id="514"/>
      <w:r>
        <w:rPr>
          <w:rFonts w:ascii="Arial" w:eastAsia="Times New Roman" w:hAnsi="Arial" w:cs="Times New Roman"/>
          <w:b/>
          <w:iCs/>
          <w:color w:val="FFFFFF"/>
          <w:sz w:val="24"/>
        </w:rPr>
        <w:t>B</w:t>
      </w:r>
      <w:r w:rsidRPr="00821380">
        <w:rPr>
          <w:rFonts w:ascii="Arial" w:eastAsia="Times New Roman" w:hAnsi="Arial" w:cs="Times New Roman"/>
          <w:b/>
          <w:iCs/>
          <w:color w:val="FFFFFF"/>
          <w:sz w:val="24"/>
        </w:rPr>
        <w:t>OP.ADD.440 Dangerous goods</w:t>
      </w:r>
      <w:bookmarkEnd w:id="515"/>
    </w:p>
    <w:p w14:paraId="67334FBE" w14:textId="77777777" w:rsidR="00821380" w:rsidRPr="00821380" w:rsidRDefault="00821380" w:rsidP="009601C2">
      <w:pPr>
        <w:pStyle w:val="BodyText"/>
        <w:spacing w:before="0" w:line="276" w:lineRule="auto"/>
        <w:jc w:val="both"/>
        <w:rPr>
          <w:rFonts w:ascii="Arial" w:hAnsi="Arial" w:cs="Arial"/>
          <w:sz w:val="20"/>
        </w:rPr>
      </w:pPr>
      <w:r w:rsidRPr="00821380">
        <w:rPr>
          <w:rFonts w:ascii="Arial" w:hAnsi="Arial" w:cs="Arial"/>
          <w:sz w:val="20"/>
        </w:rPr>
        <w:t>The</w:t>
      </w:r>
      <w:r w:rsidRPr="00821380">
        <w:rPr>
          <w:rFonts w:ascii="Arial" w:hAnsi="Arial" w:cs="Arial"/>
          <w:spacing w:val="-3"/>
          <w:sz w:val="20"/>
        </w:rPr>
        <w:t xml:space="preserve"> </w:t>
      </w:r>
      <w:r w:rsidRPr="00821380">
        <w:rPr>
          <w:rFonts w:ascii="Arial" w:hAnsi="Arial" w:cs="Arial"/>
          <w:sz w:val="20"/>
        </w:rPr>
        <w:t>operator</w:t>
      </w:r>
      <w:r w:rsidRPr="00821380">
        <w:rPr>
          <w:rFonts w:ascii="Arial" w:hAnsi="Arial" w:cs="Arial"/>
          <w:spacing w:val="-2"/>
          <w:sz w:val="20"/>
        </w:rPr>
        <w:t xml:space="preserve"> </w:t>
      </w:r>
      <w:r w:rsidRPr="00821380">
        <w:rPr>
          <w:rFonts w:ascii="Arial" w:hAnsi="Arial" w:cs="Arial"/>
          <w:sz w:val="20"/>
        </w:rPr>
        <w:t>shall:</w:t>
      </w:r>
    </w:p>
    <w:p w14:paraId="36871560" w14:textId="77777777" w:rsidR="00821380" w:rsidRPr="00821380" w:rsidRDefault="00821380" w:rsidP="00AD2F17">
      <w:pPr>
        <w:numPr>
          <w:ilvl w:val="0"/>
          <w:numId w:val="118"/>
        </w:numPr>
        <w:tabs>
          <w:tab w:val="left" w:pos="1273"/>
          <w:tab w:val="left" w:pos="1274"/>
        </w:tabs>
        <w:spacing w:before="122" w:line="276" w:lineRule="auto"/>
        <w:ind w:right="200"/>
        <w:jc w:val="both"/>
        <w:rPr>
          <w:rFonts w:ascii="Arial" w:hAnsi="Arial" w:cs="Arial"/>
          <w:sz w:val="20"/>
          <w:szCs w:val="20"/>
        </w:rPr>
      </w:pPr>
      <w:r w:rsidRPr="00821380">
        <w:rPr>
          <w:rFonts w:ascii="Arial" w:hAnsi="Arial" w:cs="Arial"/>
          <w:sz w:val="20"/>
          <w:szCs w:val="20"/>
        </w:rPr>
        <w:t>establish procedures to ensure that all reasonable measures are taken to prevent dangerous goods from being carried on board the balloon inadvertently; and</w:t>
      </w:r>
    </w:p>
    <w:p w14:paraId="774BD1A6" w14:textId="77777777" w:rsidR="00821380" w:rsidRPr="00821380" w:rsidRDefault="00821380" w:rsidP="00AD2F17">
      <w:pPr>
        <w:numPr>
          <w:ilvl w:val="0"/>
          <w:numId w:val="118"/>
        </w:numPr>
        <w:tabs>
          <w:tab w:val="left" w:pos="1273"/>
          <w:tab w:val="left" w:pos="1274"/>
        </w:tabs>
        <w:spacing w:before="122" w:line="276" w:lineRule="auto"/>
        <w:ind w:right="200"/>
        <w:jc w:val="both"/>
        <w:rPr>
          <w:rFonts w:ascii="Arial" w:hAnsi="Arial" w:cs="Arial"/>
          <w:sz w:val="20"/>
          <w:szCs w:val="20"/>
        </w:rPr>
      </w:pPr>
      <w:r w:rsidRPr="00821380">
        <w:rPr>
          <w:rFonts w:ascii="Arial" w:hAnsi="Arial" w:cs="Arial"/>
          <w:sz w:val="20"/>
          <w:szCs w:val="20"/>
        </w:rPr>
        <w:t>provide crew members with the necessary information enabling them to adequately carry out their duties in respect of any dangerous goods carried or intended to be carried on board the balloon.</w:t>
      </w:r>
    </w:p>
    <w:p w14:paraId="32B6BBFA" w14:textId="77777777" w:rsidR="00821380" w:rsidRPr="00821380" w:rsidRDefault="00821380" w:rsidP="009601C2">
      <w:pPr>
        <w:keepNext/>
        <w:keepLines/>
        <w:widowControl/>
        <w:shd w:val="clear" w:color="auto" w:fill="339966"/>
        <w:autoSpaceDE/>
        <w:autoSpaceDN/>
        <w:spacing w:before="160" w:after="120" w:line="276" w:lineRule="auto"/>
        <w:jc w:val="both"/>
        <w:outlineLvl w:val="4"/>
        <w:rPr>
          <w:rFonts w:ascii="Arial" w:eastAsia="Times New Roman" w:hAnsi="Arial" w:cs="Times New Roman"/>
          <w:b/>
          <w:color w:val="FFFFFF"/>
          <w:sz w:val="24"/>
        </w:rPr>
      </w:pPr>
      <w:bookmarkStart w:id="516" w:name="GM1_BOP.ADD.440_Dangerous_goods"/>
      <w:bookmarkStart w:id="517" w:name="_bookmark209"/>
      <w:bookmarkStart w:id="518" w:name="_Toc153137374"/>
      <w:bookmarkEnd w:id="516"/>
      <w:bookmarkEnd w:id="517"/>
      <w:r w:rsidRPr="00821380">
        <w:rPr>
          <w:rFonts w:ascii="Arial" w:eastAsia="Times New Roman" w:hAnsi="Arial" w:cs="Times New Roman"/>
          <w:b/>
          <w:color w:val="FFFFFF"/>
          <w:sz w:val="24"/>
        </w:rPr>
        <w:t>GM1 BOP.ADD.440 Dangerous goods</w:t>
      </w:r>
      <w:bookmarkEnd w:id="518"/>
    </w:p>
    <w:p w14:paraId="2756243D" w14:textId="77777777" w:rsidR="00821380" w:rsidRPr="00821380" w:rsidRDefault="00821380" w:rsidP="009601C2">
      <w:pPr>
        <w:spacing w:line="276" w:lineRule="auto"/>
        <w:jc w:val="both"/>
        <w:rPr>
          <w:rFonts w:ascii="Arial" w:hAnsi="Arial" w:cs="Arial"/>
          <w:b/>
          <w:sz w:val="20"/>
        </w:rPr>
      </w:pPr>
      <w:r w:rsidRPr="00821380">
        <w:rPr>
          <w:rFonts w:ascii="Arial" w:hAnsi="Arial" w:cs="Arial"/>
          <w:b/>
          <w:sz w:val="20"/>
        </w:rPr>
        <w:t>PROCEDURES</w:t>
      </w:r>
      <w:r w:rsidRPr="00821380">
        <w:rPr>
          <w:rFonts w:ascii="Arial" w:hAnsi="Arial" w:cs="Arial"/>
          <w:b/>
          <w:spacing w:val="-2"/>
          <w:sz w:val="20"/>
        </w:rPr>
        <w:t xml:space="preserve"> </w:t>
      </w:r>
      <w:r w:rsidRPr="00821380">
        <w:rPr>
          <w:rFonts w:ascii="Arial" w:hAnsi="Arial" w:cs="Arial"/>
          <w:b/>
          <w:sz w:val="20"/>
        </w:rPr>
        <w:t>AND</w:t>
      </w:r>
      <w:r w:rsidRPr="00821380">
        <w:rPr>
          <w:rFonts w:ascii="Arial" w:hAnsi="Arial" w:cs="Arial"/>
          <w:b/>
          <w:spacing w:val="-5"/>
          <w:sz w:val="20"/>
        </w:rPr>
        <w:t xml:space="preserve"> </w:t>
      </w:r>
      <w:r w:rsidRPr="00821380">
        <w:rPr>
          <w:rFonts w:ascii="Arial" w:hAnsi="Arial" w:cs="Arial"/>
          <w:b/>
          <w:sz w:val="20"/>
        </w:rPr>
        <w:t>INFORMATION</w:t>
      </w:r>
      <w:r w:rsidRPr="00821380">
        <w:rPr>
          <w:rFonts w:ascii="Arial" w:hAnsi="Arial" w:cs="Arial"/>
          <w:b/>
          <w:spacing w:val="-4"/>
          <w:sz w:val="20"/>
        </w:rPr>
        <w:t xml:space="preserve"> </w:t>
      </w:r>
      <w:r w:rsidRPr="00821380">
        <w:rPr>
          <w:rFonts w:ascii="Arial" w:hAnsi="Arial" w:cs="Arial"/>
          <w:b/>
          <w:sz w:val="20"/>
        </w:rPr>
        <w:t>TO</w:t>
      </w:r>
      <w:r w:rsidRPr="00821380">
        <w:rPr>
          <w:rFonts w:ascii="Arial" w:hAnsi="Arial" w:cs="Arial"/>
          <w:b/>
          <w:spacing w:val="-4"/>
          <w:sz w:val="20"/>
        </w:rPr>
        <w:t xml:space="preserve"> </w:t>
      </w:r>
      <w:r w:rsidRPr="00821380">
        <w:rPr>
          <w:rFonts w:ascii="Arial" w:hAnsi="Arial" w:cs="Arial"/>
          <w:b/>
          <w:sz w:val="20"/>
        </w:rPr>
        <w:t>CREW</w:t>
      </w:r>
      <w:r w:rsidRPr="00821380">
        <w:rPr>
          <w:rFonts w:ascii="Arial" w:hAnsi="Arial" w:cs="Arial"/>
          <w:b/>
          <w:spacing w:val="-5"/>
          <w:sz w:val="20"/>
        </w:rPr>
        <w:t xml:space="preserve"> </w:t>
      </w:r>
      <w:r w:rsidRPr="00821380">
        <w:rPr>
          <w:rFonts w:ascii="Arial" w:hAnsi="Arial" w:cs="Arial"/>
          <w:b/>
          <w:sz w:val="20"/>
        </w:rPr>
        <w:t>MEMBERS</w:t>
      </w:r>
      <w:r w:rsidRPr="00821380">
        <w:rPr>
          <w:rFonts w:ascii="Arial" w:hAnsi="Arial" w:cs="Arial"/>
          <w:b/>
          <w:spacing w:val="-4"/>
          <w:sz w:val="20"/>
        </w:rPr>
        <w:t xml:space="preserve"> </w:t>
      </w:r>
      <w:r w:rsidRPr="00821380">
        <w:rPr>
          <w:rFonts w:ascii="Arial" w:hAnsi="Arial" w:cs="Arial"/>
          <w:b/>
          <w:sz w:val="20"/>
        </w:rPr>
        <w:t>AND</w:t>
      </w:r>
      <w:r w:rsidRPr="00821380">
        <w:rPr>
          <w:rFonts w:ascii="Arial" w:hAnsi="Arial" w:cs="Arial"/>
          <w:b/>
          <w:spacing w:val="-5"/>
          <w:sz w:val="20"/>
        </w:rPr>
        <w:t xml:space="preserve"> </w:t>
      </w:r>
      <w:r w:rsidRPr="00821380">
        <w:rPr>
          <w:rFonts w:ascii="Arial" w:hAnsi="Arial" w:cs="Arial"/>
          <w:b/>
          <w:sz w:val="20"/>
        </w:rPr>
        <w:t>PASSENGERS</w:t>
      </w:r>
    </w:p>
    <w:p w14:paraId="2EB8F767" w14:textId="77777777" w:rsidR="00821380" w:rsidRPr="00821380" w:rsidRDefault="00821380" w:rsidP="00652725">
      <w:pPr>
        <w:numPr>
          <w:ilvl w:val="0"/>
          <w:numId w:val="119"/>
        </w:numPr>
        <w:tabs>
          <w:tab w:val="left" w:pos="1273"/>
          <w:tab w:val="left" w:pos="1274"/>
        </w:tabs>
        <w:spacing w:before="122" w:line="276" w:lineRule="auto"/>
        <w:ind w:right="68"/>
        <w:jc w:val="both"/>
        <w:rPr>
          <w:rFonts w:ascii="Arial" w:hAnsi="Arial" w:cs="Arial"/>
          <w:sz w:val="20"/>
          <w:szCs w:val="20"/>
        </w:rPr>
      </w:pPr>
      <w:r w:rsidRPr="00821380">
        <w:rPr>
          <w:rFonts w:ascii="Arial" w:hAnsi="Arial" w:cs="Arial"/>
          <w:sz w:val="20"/>
          <w:szCs w:val="20"/>
        </w:rPr>
        <w:t>The operator provides information in the operations manual to enable the pilot-in-command and other crew members to identify which dangerous goods may be permitted on board.</w:t>
      </w:r>
    </w:p>
    <w:p w14:paraId="08F7E996" w14:textId="77777777" w:rsidR="00821380" w:rsidRPr="00821380" w:rsidRDefault="00821380" w:rsidP="00652725">
      <w:pPr>
        <w:numPr>
          <w:ilvl w:val="0"/>
          <w:numId w:val="119"/>
        </w:numPr>
        <w:tabs>
          <w:tab w:val="left" w:pos="1273"/>
          <w:tab w:val="left" w:pos="1274"/>
        </w:tabs>
        <w:spacing w:before="122" w:line="276" w:lineRule="auto"/>
        <w:ind w:right="68"/>
        <w:jc w:val="both"/>
        <w:rPr>
          <w:rFonts w:ascii="Arial" w:hAnsi="Arial" w:cs="Arial"/>
          <w:sz w:val="20"/>
          <w:szCs w:val="20"/>
        </w:rPr>
      </w:pPr>
      <w:r w:rsidRPr="00821380">
        <w:rPr>
          <w:rFonts w:ascii="Arial" w:hAnsi="Arial" w:cs="Arial"/>
          <w:sz w:val="20"/>
          <w:szCs w:val="20"/>
        </w:rPr>
        <w:t>Information should be given to the passengers as regards goods that are prohibited to take on board before the flight takes place. The crew may provide this information in a briefing before the flight.</w:t>
      </w:r>
    </w:p>
    <w:p w14:paraId="29C8D7B1" w14:textId="77777777" w:rsidR="00821380" w:rsidRPr="00821380" w:rsidRDefault="00821380" w:rsidP="00652725">
      <w:pPr>
        <w:numPr>
          <w:ilvl w:val="0"/>
          <w:numId w:val="119"/>
        </w:numPr>
        <w:tabs>
          <w:tab w:val="left" w:pos="1273"/>
          <w:tab w:val="left" w:pos="1274"/>
        </w:tabs>
        <w:spacing w:before="122" w:line="276" w:lineRule="auto"/>
        <w:ind w:right="68"/>
        <w:jc w:val="both"/>
        <w:rPr>
          <w:rFonts w:ascii="Arial" w:hAnsi="Arial" w:cs="Arial"/>
          <w:sz w:val="20"/>
          <w:szCs w:val="20"/>
        </w:rPr>
      </w:pPr>
      <w:r w:rsidRPr="00821380">
        <w:rPr>
          <w:rFonts w:ascii="Arial" w:hAnsi="Arial" w:cs="Arial"/>
          <w:sz w:val="20"/>
          <w:szCs w:val="20"/>
        </w:rPr>
        <w:t>Procedures are established and described in the operations manual to respond to accidents or incidents involving dangerous goods. The relevant crew members are familiar with these procedures.</w:t>
      </w:r>
    </w:p>
    <w:p w14:paraId="19075D9F" w14:textId="77777777" w:rsidR="00EF050E" w:rsidRDefault="00EF050E" w:rsidP="009601C2">
      <w:pPr>
        <w:tabs>
          <w:tab w:val="left" w:pos="1758"/>
        </w:tabs>
        <w:spacing w:line="276" w:lineRule="auto"/>
        <w:rPr>
          <w:rFonts w:ascii="Arial" w:eastAsia="Times New Roman" w:hAnsi="Arial" w:cs="Times New Roman"/>
          <w:sz w:val="24"/>
        </w:rPr>
      </w:pPr>
    </w:p>
    <w:p w14:paraId="4A9F58B4" w14:textId="77777777" w:rsidR="009D52D8" w:rsidRDefault="009D52D8" w:rsidP="009601C2">
      <w:pPr>
        <w:tabs>
          <w:tab w:val="left" w:pos="1758"/>
        </w:tabs>
        <w:spacing w:line="276" w:lineRule="auto"/>
        <w:rPr>
          <w:rFonts w:ascii="Arial" w:eastAsia="Times New Roman" w:hAnsi="Arial" w:cs="Times New Roman"/>
          <w:sz w:val="24"/>
        </w:rPr>
      </w:pPr>
    </w:p>
    <w:p w14:paraId="5E1AD737" w14:textId="77777777" w:rsidR="009D52D8" w:rsidRDefault="009D52D8" w:rsidP="009601C2">
      <w:pPr>
        <w:tabs>
          <w:tab w:val="left" w:pos="1758"/>
        </w:tabs>
        <w:spacing w:line="276" w:lineRule="auto"/>
        <w:rPr>
          <w:rFonts w:ascii="Arial" w:eastAsia="Times New Roman" w:hAnsi="Arial" w:cs="Times New Roman"/>
          <w:sz w:val="24"/>
        </w:rPr>
      </w:pPr>
    </w:p>
    <w:p w14:paraId="46BF536A" w14:textId="77777777" w:rsidR="009D52D8" w:rsidRDefault="009D52D8" w:rsidP="009601C2">
      <w:pPr>
        <w:tabs>
          <w:tab w:val="left" w:pos="1758"/>
        </w:tabs>
        <w:spacing w:line="276" w:lineRule="auto"/>
        <w:rPr>
          <w:rFonts w:ascii="Arial" w:eastAsia="Times New Roman" w:hAnsi="Arial" w:cs="Times New Roman"/>
          <w:sz w:val="24"/>
        </w:rPr>
      </w:pPr>
    </w:p>
    <w:p w14:paraId="34EFDBB5" w14:textId="10870456" w:rsidR="009D52D8" w:rsidRDefault="009D52D8" w:rsidP="009601C2">
      <w:pPr>
        <w:tabs>
          <w:tab w:val="left" w:pos="1758"/>
        </w:tabs>
        <w:spacing w:line="276" w:lineRule="auto"/>
        <w:rPr>
          <w:rFonts w:ascii="Arial" w:eastAsia="Times New Roman" w:hAnsi="Arial" w:cs="Times New Roman"/>
          <w:sz w:val="24"/>
        </w:rPr>
      </w:pPr>
    </w:p>
    <w:p w14:paraId="26BE1C8D" w14:textId="665A27BC" w:rsidR="00652725" w:rsidRDefault="00652725" w:rsidP="009601C2">
      <w:pPr>
        <w:tabs>
          <w:tab w:val="left" w:pos="1758"/>
        </w:tabs>
        <w:spacing w:line="276" w:lineRule="auto"/>
        <w:rPr>
          <w:rFonts w:ascii="Arial" w:eastAsia="Times New Roman" w:hAnsi="Arial" w:cs="Times New Roman"/>
          <w:sz w:val="24"/>
        </w:rPr>
      </w:pPr>
    </w:p>
    <w:p w14:paraId="2BB34152" w14:textId="77777777" w:rsidR="00652725" w:rsidRDefault="00652725" w:rsidP="009601C2">
      <w:pPr>
        <w:tabs>
          <w:tab w:val="left" w:pos="1758"/>
        </w:tabs>
        <w:spacing w:line="276" w:lineRule="auto"/>
        <w:rPr>
          <w:rFonts w:ascii="Arial" w:eastAsia="Times New Roman" w:hAnsi="Arial" w:cs="Times New Roman"/>
          <w:sz w:val="24"/>
        </w:rPr>
      </w:pPr>
    </w:p>
    <w:p w14:paraId="70CC6C31" w14:textId="77777777" w:rsidR="009D52D8" w:rsidRDefault="009D52D8" w:rsidP="009601C2">
      <w:pPr>
        <w:tabs>
          <w:tab w:val="left" w:pos="1758"/>
        </w:tabs>
        <w:spacing w:line="276" w:lineRule="auto"/>
        <w:rPr>
          <w:rFonts w:ascii="Arial" w:eastAsia="Times New Roman" w:hAnsi="Arial" w:cs="Times New Roman"/>
          <w:sz w:val="24"/>
        </w:rPr>
      </w:pPr>
    </w:p>
    <w:p w14:paraId="6D5F91E7" w14:textId="77777777" w:rsidR="009D52D8" w:rsidRDefault="009D52D8" w:rsidP="009601C2">
      <w:pPr>
        <w:tabs>
          <w:tab w:val="left" w:pos="1758"/>
        </w:tabs>
        <w:spacing w:line="276" w:lineRule="auto"/>
        <w:rPr>
          <w:rFonts w:ascii="Arial" w:eastAsia="Times New Roman" w:hAnsi="Arial" w:cs="Times New Roman"/>
          <w:sz w:val="24"/>
        </w:rPr>
      </w:pPr>
    </w:p>
    <w:p w14:paraId="7C6565D3" w14:textId="77777777" w:rsidR="009D52D8" w:rsidRDefault="009D52D8" w:rsidP="009601C2">
      <w:pPr>
        <w:tabs>
          <w:tab w:val="left" w:pos="1758"/>
        </w:tabs>
        <w:spacing w:line="276" w:lineRule="auto"/>
        <w:rPr>
          <w:rFonts w:ascii="Arial" w:eastAsia="Times New Roman" w:hAnsi="Arial" w:cs="Times New Roman"/>
          <w:sz w:val="24"/>
        </w:rPr>
      </w:pPr>
    </w:p>
    <w:p w14:paraId="59005061" w14:textId="77777777" w:rsidR="009D52D8" w:rsidRPr="00FA7754" w:rsidRDefault="009D52D8" w:rsidP="009601C2">
      <w:pPr>
        <w:keepNext/>
        <w:keepLines/>
        <w:spacing w:before="40" w:line="276" w:lineRule="auto"/>
        <w:jc w:val="center"/>
        <w:outlineLvl w:val="3"/>
        <w:rPr>
          <w:rFonts w:ascii="Arial" w:eastAsiaTheme="majorEastAsia" w:hAnsi="Arial" w:cs="Arial"/>
          <w:b/>
          <w:iCs/>
          <w:color w:val="2E74B5" w:themeColor="accent1" w:themeShade="BF"/>
          <w:sz w:val="24"/>
          <w:szCs w:val="24"/>
        </w:rPr>
      </w:pPr>
      <w:bookmarkStart w:id="519" w:name="_Toc153137375"/>
      <w:r w:rsidRPr="00FA7754">
        <w:rPr>
          <w:rFonts w:ascii="Arial" w:eastAsiaTheme="majorEastAsia" w:hAnsi="Arial" w:cs="Arial"/>
          <w:b/>
          <w:iCs/>
          <w:color w:val="2E74B5" w:themeColor="accent1" w:themeShade="BF"/>
          <w:sz w:val="24"/>
          <w:szCs w:val="24"/>
        </w:rPr>
        <w:lastRenderedPageBreak/>
        <w:t>SECTION 6 – OPERATING PROCEDURES</w:t>
      </w:r>
      <w:bookmarkEnd w:id="519"/>
    </w:p>
    <w:p w14:paraId="7C187579" w14:textId="77777777" w:rsidR="009D52D8" w:rsidRPr="009D52D8" w:rsidRDefault="009D52D8"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520" w:name="BOP.ADD.500_Fuel_or_ballast_calculations"/>
      <w:bookmarkStart w:id="521" w:name="_bookmark211"/>
      <w:bookmarkStart w:id="522" w:name="_Toc153137376"/>
      <w:bookmarkEnd w:id="520"/>
      <w:bookmarkEnd w:id="521"/>
      <w:r w:rsidRPr="009D52D8">
        <w:rPr>
          <w:rFonts w:ascii="Arial" w:eastAsia="Times New Roman" w:hAnsi="Arial" w:cs="Times New Roman"/>
          <w:b/>
          <w:iCs/>
          <w:color w:val="FFFFFF"/>
          <w:sz w:val="24"/>
        </w:rPr>
        <w:t>BOP.ADD.500 Fuel or ballast calculations</w:t>
      </w:r>
      <w:bookmarkEnd w:id="522"/>
    </w:p>
    <w:p w14:paraId="515F93CC" w14:textId="77777777" w:rsidR="009D52D8" w:rsidRPr="006D4619" w:rsidRDefault="009D52D8" w:rsidP="009601C2">
      <w:pPr>
        <w:tabs>
          <w:tab w:val="left" w:pos="1758"/>
        </w:tabs>
        <w:spacing w:line="276" w:lineRule="auto"/>
        <w:jc w:val="both"/>
        <w:rPr>
          <w:rFonts w:ascii="Arial" w:eastAsia="Times New Roman" w:hAnsi="Arial" w:cs="Times New Roman"/>
          <w:sz w:val="20"/>
        </w:rPr>
      </w:pPr>
      <w:r w:rsidRPr="006D4619">
        <w:rPr>
          <w:rFonts w:ascii="Arial" w:eastAsia="Times New Roman" w:hAnsi="Arial" w:cs="Times New Roman"/>
          <w:sz w:val="20"/>
        </w:rPr>
        <w:t>The operator shall ensure that the calculations as regards reserve fuel or ballast are documented in an operational flight plan.</w:t>
      </w:r>
    </w:p>
    <w:p w14:paraId="5AB5E83A" w14:textId="77777777" w:rsidR="006D4619" w:rsidRPr="006D4619" w:rsidRDefault="006D4619"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523" w:name="BOP.ADD.505_Carriage_of_special_categori"/>
      <w:bookmarkStart w:id="524" w:name="_bookmark212"/>
      <w:bookmarkStart w:id="525" w:name="_Toc153137377"/>
      <w:bookmarkEnd w:id="523"/>
      <w:bookmarkEnd w:id="524"/>
      <w:r w:rsidRPr="006D4619">
        <w:rPr>
          <w:rFonts w:ascii="Arial" w:eastAsia="Times New Roman" w:hAnsi="Arial" w:cs="Times New Roman"/>
          <w:b/>
          <w:iCs/>
          <w:color w:val="FFFFFF"/>
          <w:sz w:val="24"/>
        </w:rPr>
        <w:t>BOP.ADD.505 Carriage of special categories of passengers</w:t>
      </w:r>
      <w:bookmarkEnd w:id="525"/>
    </w:p>
    <w:p w14:paraId="0F9AE139" w14:textId="77777777" w:rsidR="009D52D8" w:rsidRPr="006D4619" w:rsidRDefault="006D4619" w:rsidP="009601C2">
      <w:pPr>
        <w:tabs>
          <w:tab w:val="left" w:pos="1758"/>
        </w:tabs>
        <w:spacing w:line="276" w:lineRule="auto"/>
        <w:jc w:val="both"/>
        <w:rPr>
          <w:rFonts w:ascii="Arial" w:eastAsia="Times New Roman" w:hAnsi="Arial" w:cs="Times New Roman"/>
          <w:sz w:val="20"/>
        </w:rPr>
      </w:pPr>
      <w:r w:rsidRPr="006D4619">
        <w:rPr>
          <w:rFonts w:ascii="Arial" w:eastAsia="Times New Roman" w:hAnsi="Arial" w:cs="Times New Roman"/>
          <w:sz w:val="20"/>
        </w:rPr>
        <w:t>The operator shall establish procedures for carrying persons requiring special conditions, assistance or devices when carried on board a balloon under conditions that ensure the safety of the balloon and of any person or property carried therein.</w:t>
      </w:r>
    </w:p>
    <w:p w14:paraId="43BF0D9D" w14:textId="77777777" w:rsidR="006D4619" w:rsidRPr="006D4619" w:rsidRDefault="006D4619"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526" w:name="BOP.ADD.510_Commercial_balloon_specialis"/>
      <w:bookmarkStart w:id="527" w:name="_bookmark213"/>
      <w:bookmarkStart w:id="528" w:name="_Toc153137378"/>
      <w:bookmarkEnd w:id="526"/>
      <w:bookmarkEnd w:id="527"/>
      <w:r w:rsidRPr="006D4619">
        <w:rPr>
          <w:rFonts w:ascii="Arial" w:eastAsia="Times New Roman" w:hAnsi="Arial" w:cs="Times New Roman"/>
          <w:b/>
          <w:iCs/>
          <w:color w:val="FFFFFF"/>
          <w:sz w:val="24"/>
        </w:rPr>
        <w:t>BOP.ADD.510 Commercial balloon specialised operations — Standard operating procedures</w:t>
      </w:r>
      <w:bookmarkEnd w:id="528"/>
    </w:p>
    <w:p w14:paraId="137A2BEF" w14:textId="731B20AD" w:rsidR="006D4619" w:rsidRPr="006D4619" w:rsidRDefault="006D4619" w:rsidP="009601C2">
      <w:pPr>
        <w:spacing w:line="276" w:lineRule="auto"/>
        <w:jc w:val="both"/>
        <w:rPr>
          <w:rFonts w:ascii="Arial" w:hAnsi="Arial" w:cs="Arial"/>
          <w:sz w:val="20"/>
        </w:rPr>
      </w:pPr>
      <w:r w:rsidRPr="006D4619">
        <w:rPr>
          <w:rFonts w:ascii="Arial" w:hAnsi="Arial" w:cs="Arial"/>
          <w:sz w:val="20"/>
        </w:rPr>
        <w:t>Notwithstanding</w:t>
      </w:r>
      <w:r w:rsidRPr="006D4619">
        <w:rPr>
          <w:rFonts w:ascii="Arial" w:hAnsi="Arial" w:cs="Arial"/>
          <w:spacing w:val="-5"/>
          <w:sz w:val="20"/>
        </w:rPr>
        <w:t xml:space="preserve"> </w:t>
      </w:r>
      <w:r w:rsidRPr="006D4619">
        <w:rPr>
          <w:rFonts w:ascii="Arial" w:hAnsi="Arial" w:cs="Arial"/>
          <w:sz w:val="20"/>
        </w:rPr>
        <w:t>point</w:t>
      </w:r>
      <w:r w:rsidRPr="006D4619">
        <w:rPr>
          <w:rFonts w:ascii="Arial" w:hAnsi="Arial" w:cs="Arial"/>
          <w:spacing w:val="-3"/>
          <w:sz w:val="20"/>
        </w:rPr>
        <w:t xml:space="preserve"> </w:t>
      </w:r>
      <w:r w:rsidRPr="00880B32">
        <w:rPr>
          <w:rFonts w:ascii="Arial" w:hAnsi="Arial" w:cs="Arial"/>
          <w:sz w:val="20"/>
          <w:szCs w:val="20"/>
        </w:rPr>
        <w:t>BOP.BAS.190:</w:t>
      </w:r>
    </w:p>
    <w:p w14:paraId="50F438E1" w14:textId="77777777" w:rsidR="006D4619" w:rsidRPr="006D4619" w:rsidRDefault="006D4619" w:rsidP="00652725">
      <w:pPr>
        <w:numPr>
          <w:ilvl w:val="0"/>
          <w:numId w:val="120"/>
        </w:numPr>
        <w:tabs>
          <w:tab w:val="left" w:pos="1273"/>
          <w:tab w:val="left" w:pos="1274"/>
        </w:tabs>
        <w:spacing w:before="122" w:line="276" w:lineRule="auto"/>
        <w:ind w:right="68"/>
        <w:jc w:val="both"/>
        <w:rPr>
          <w:rFonts w:ascii="Arial" w:hAnsi="Arial" w:cs="Arial"/>
          <w:sz w:val="20"/>
          <w:szCs w:val="20"/>
        </w:rPr>
      </w:pPr>
      <w:r w:rsidRPr="006D4619">
        <w:rPr>
          <w:rFonts w:ascii="Arial" w:hAnsi="Arial" w:cs="Arial"/>
          <w:sz w:val="20"/>
          <w:szCs w:val="20"/>
        </w:rPr>
        <w:t>Before commencing a commercial balloon specialised operation, the operator shall conduct a risk assessment, assessing the complexity of the intended operation in order to determine the hazards and associated risks of the operation and to establish mitigating measures where necessary.</w:t>
      </w:r>
    </w:p>
    <w:p w14:paraId="4436ED66" w14:textId="77777777" w:rsidR="006D4619" w:rsidRPr="006D4619" w:rsidRDefault="006D4619" w:rsidP="00652725">
      <w:pPr>
        <w:numPr>
          <w:ilvl w:val="0"/>
          <w:numId w:val="120"/>
        </w:numPr>
        <w:tabs>
          <w:tab w:val="left" w:pos="1273"/>
          <w:tab w:val="left" w:pos="1274"/>
        </w:tabs>
        <w:spacing w:before="122" w:line="276" w:lineRule="auto"/>
        <w:ind w:right="68"/>
        <w:jc w:val="both"/>
        <w:rPr>
          <w:rFonts w:ascii="Arial" w:hAnsi="Arial" w:cs="Arial"/>
          <w:sz w:val="20"/>
          <w:szCs w:val="20"/>
        </w:rPr>
      </w:pPr>
      <w:r w:rsidRPr="006D4619">
        <w:rPr>
          <w:rFonts w:ascii="Arial" w:hAnsi="Arial" w:cs="Arial"/>
          <w:sz w:val="20"/>
          <w:szCs w:val="20"/>
        </w:rPr>
        <w:t>Based on the risk assessment, the operator shall, before commencing the commercial balloon specialised operation, establish standard operating procedures (SOPs) appropriate to the intended operation and the balloon used. The SOPs shall either be part of the operations manual or be laid down in a separate document. The operator shall regularly review and update the SOPs where necessary in order to adequately take account of the risk assessment.</w:t>
      </w:r>
    </w:p>
    <w:p w14:paraId="0A3E3DD8" w14:textId="77777777" w:rsidR="006D4619" w:rsidRPr="006D4619" w:rsidRDefault="006D4619" w:rsidP="00652725">
      <w:pPr>
        <w:numPr>
          <w:ilvl w:val="0"/>
          <w:numId w:val="120"/>
        </w:numPr>
        <w:tabs>
          <w:tab w:val="left" w:pos="1273"/>
          <w:tab w:val="left" w:pos="1274"/>
        </w:tabs>
        <w:spacing w:before="122" w:line="276" w:lineRule="auto"/>
        <w:ind w:right="68"/>
        <w:jc w:val="both"/>
        <w:rPr>
          <w:rFonts w:ascii="Arial" w:hAnsi="Arial" w:cs="Arial"/>
          <w:sz w:val="20"/>
          <w:szCs w:val="20"/>
        </w:rPr>
      </w:pPr>
      <w:r w:rsidRPr="006D4619">
        <w:rPr>
          <w:rFonts w:ascii="Arial" w:hAnsi="Arial" w:cs="Arial"/>
          <w:sz w:val="20"/>
          <w:szCs w:val="20"/>
        </w:rPr>
        <w:t>The operator shall ensure that commercial balloon specialised operations are performed in accordance with the SOPs.</w:t>
      </w:r>
    </w:p>
    <w:p w14:paraId="10D74E81" w14:textId="77777777" w:rsidR="006D4619" w:rsidRDefault="006D4619" w:rsidP="009601C2">
      <w:pPr>
        <w:tabs>
          <w:tab w:val="left" w:pos="1758"/>
        </w:tabs>
        <w:spacing w:line="276" w:lineRule="auto"/>
        <w:rPr>
          <w:rFonts w:ascii="Arial" w:eastAsia="Times New Roman" w:hAnsi="Arial" w:cs="Times New Roman"/>
          <w:sz w:val="24"/>
        </w:rPr>
      </w:pPr>
    </w:p>
    <w:p w14:paraId="2EEB65D5" w14:textId="77777777" w:rsidR="00C31D61" w:rsidRPr="00C31D61" w:rsidRDefault="00C31D61" w:rsidP="009601C2">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529" w:name="AMC1_BOP.ADD.510_Commercial_balloon_spec"/>
      <w:bookmarkStart w:id="530" w:name="_bookmark214"/>
      <w:bookmarkStart w:id="531" w:name="_Toc153137379"/>
      <w:bookmarkEnd w:id="529"/>
      <w:bookmarkEnd w:id="530"/>
      <w:r w:rsidRPr="00C31D61">
        <w:rPr>
          <w:rFonts w:ascii="Arial" w:eastAsia="Times New Roman" w:hAnsi="Arial" w:cs="Times New Roman"/>
          <w:b/>
          <w:color w:val="FFFFFF"/>
          <w:sz w:val="24"/>
        </w:rPr>
        <w:t>AMC1 BOP.ADD.510 Commercial balloon specialised operations — Standard operating procedures</w:t>
      </w:r>
      <w:bookmarkEnd w:id="531"/>
    </w:p>
    <w:p w14:paraId="17AE7459" w14:textId="77777777" w:rsidR="00C31D61" w:rsidRPr="00C31D61" w:rsidRDefault="00C31D61" w:rsidP="009601C2">
      <w:pPr>
        <w:spacing w:line="276" w:lineRule="auto"/>
        <w:rPr>
          <w:rFonts w:ascii="Arial" w:hAnsi="Arial" w:cs="Arial"/>
          <w:b/>
          <w:sz w:val="20"/>
        </w:rPr>
      </w:pPr>
      <w:r w:rsidRPr="00C31D61">
        <w:rPr>
          <w:rFonts w:ascii="Arial" w:hAnsi="Arial" w:cs="Arial"/>
          <w:b/>
          <w:sz w:val="20"/>
        </w:rPr>
        <w:t>DEVELOPMENT</w:t>
      </w:r>
      <w:r w:rsidRPr="00C31D61">
        <w:rPr>
          <w:rFonts w:ascii="Arial" w:hAnsi="Arial" w:cs="Arial"/>
          <w:b/>
          <w:spacing w:val="-6"/>
          <w:sz w:val="20"/>
        </w:rPr>
        <w:t xml:space="preserve"> </w:t>
      </w:r>
      <w:r w:rsidRPr="00C31D61">
        <w:rPr>
          <w:rFonts w:ascii="Arial" w:hAnsi="Arial" w:cs="Arial"/>
          <w:b/>
          <w:sz w:val="20"/>
        </w:rPr>
        <w:t>OF</w:t>
      </w:r>
      <w:r w:rsidRPr="00C31D61">
        <w:rPr>
          <w:rFonts w:ascii="Arial" w:hAnsi="Arial" w:cs="Arial"/>
          <w:b/>
          <w:spacing w:val="-5"/>
          <w:sz w:val="20"/>
        </w:rPr>
        <w:t xml:space="preserve"> </w:t>
      </w:r>
      <w:r w:rsidRPr="00C31D61">
        <w:rPr>
          <w:rFonts w:ascii="Arial" w:hAnsi="Arial" w:cs="Arial"/>
          <w:b/>
          <w:sz w:val="20"/>
        </w:rPr>
        <w:t>STANDARD</w:t>
      </w:r>
      <w:r w:rsidRPr="00C31D61">
        <w:rPr>
          <w:rFonts w:ascii="Arial" w:hAnsi="Arial" w:cs="Arial"/>
          <w:b/>
          <w:spacing w:val="-5"/>
          <w:sz w:val="20"/>
        </w:rPr>
        <w:t xml:space="preserve"> </w:t>
      </w:r>
      <w:r w:rsidRPr="00C31D61">
        <w:rPr>
          <w:rFonts w:ascii="Arial" w:hAnsi="Arial" w:cs="Arial"/>
          <w:b/>
          <w:sz w:val="20"/>
        </w:rPr>
        <w:t>OPERATING</w:t>
      </w:r>
      <w:r w:rsidRPr="00C31D61">
        <w:rPr>
          <w:rFonts w:ascii="Arial" w:hAnsi="Arial" w:cs="Arial"/>
          <w:b/>
          <w:spacing w:val="-1"/>
          <w:sz w:val="20"/>
        </w:rPr>
        <w:t xml:space="preserve"> </w:t>
      </w:r>
      <w:r w:rsidRPr="00C31D61">
        <w:rPr>
          <w:rFonts w:ascii="Arial" w:hAnsi="Arial" w:cs="Arial"/>
          <w:b/>
          <w:sz w:val="20"/>
        </w:rPr>
        <w:t>PROCEDURES</w:t>
      </w:r>
    </w:p>
    <w:p w14:paraId="1AB23740" w14:textId="5748D5E7" w:rsidR="00C31D61" w:rsidRPr="00C31D61" w:rsidRDefault="00C31D61" w:rsidP="00652725">
      <w:pPr>
        <w:numPr>
          <w:ilvl w:val="0"/>
          <w:numId w:val="121"/>
        </w:numPr>
        <w:tabs>
          <w:tab w:val="left" w:pos="707"/>
        </w:tabs>
        <w:spacing w:before="119" w:line="276" w:lineRule="auto"/>
        <w:ind w:right="68"/>
        <w:jc w:val="both"/>
        <w:rPr>
          <w:rFonts w:ascii="Arial" w:hAnsi="Arial" w:cs="Arial"/>
          <w:sz w:val="20"/>
        </w:rPr>
      </w:pPr>
      <w:r w:rsidRPr="00C31D61">
        <w:rPr>
          <w:rFonts w:ascii="Arial" w:hAnsi="Arial" w:cs="Arial"/>
          <w:sz w:val="20"/>
        </w:rPr>
        <w:t>Standard</w:t>
      </w:r>
      <w:r w:rsidRPr="00C31D61">
        <w:rPr>
          <w:rFonts w:ascii="Arial" w:hAnsi="Arial" w:cs="Arial"/>
          <w:spacing w:val="-9"/>
          <w:sz w:val="20"/>
        </w:rPr>
        <w:t xml:space="preserve"> </w:t>
      </w:r>
      <w:r w:rsidRPr="00C31D61">
        <w:rPr>
          <w:rFonts w:ascii="Arial" w:hAnsi="Arial" w:cs="Arial"/>
          <w:sz w:val="20"/>
        </w:rPr>
        <w:t>operating</w:t>
      </w:r>
      <w:r w:rsidRPr="00C31D61">
        <w:rPr>
          <w:rFonts w:ascii="Arial" w:hAnsi="Arial" w:cs="Arial"/>
          <w:spacing w:val="-7"/>
          <w:sz w:val="20"/>
        </w:rPr>
        <w:t xml:space="preserve"> </w:t>
      </w:r>
      <w:r w:rsidRPr="00C31D61">
        <w:rPr>
          <w:rFonts w:ascii="Arial" w:hAnsi="Arial" w:cs="Arial"/>
          <w:sz w:val="20"/>
        </w:rPr>
        <w:t>procedures</w:t>
      </w:r>
      <w:r w:rsidRPr="00C31D61">
        <w:rPr>
          <w:rFonts w:ascii="Arial" w:hAnsi="Arial" w:cs="Arial"/>
          <w:spacing w:val="-6"/>
          <w:sz w:val="20"/>
        </w:rPr>
        <w:t xml:space="preserve"> </w:t>
      </w:r>
      <w:r w:rsidRPr="00C31D61">
        <w:rPr>
          <w:rFonts w:ascii="Arial" w:hAnsi="Arial" w:cs="Arial"/>
          <w:sz w:val="20"/>
        </w:rPr>
        <w:t>(SOPs)</w:t>
      </w:r>
      <w:r w:rsidRPr="00C31D61">
        <w:rPr>
          <w:rFonts w:ascii="Arial" w:hAnsi="Arial" w:cs="Arial"/>
          <w:spacing w:val="-9"/>
          <w:sz w:val="20"/>
        </w:rPr>
        <w:t xml:space="preserve"> </w:t>
      </w:r>
      <w:r w:rsidRPr="00C31D61">
        <w:rPr>
          <w:rFonts w:ascii="Arial" w:hAnsi="Arial" w:cs="Arial"/>
          <w:sz w:val="20"/>
        </w:rPr>
        <w:t>should</w:t>
      </w:r>
      <w:r w:rsidRPr="00C31D61">
        <w:rPr>
          <w:rFonts w:ascii="Arial" w:hAnsi="Arial" w:cs="Arial"/>
          <w:spacing w:val="-8"/>
          <w:sz w:val="20"/>
        </w:rPr>
        <w:t xml:space="preserve"> </w:t>
      </w:r>
      <w:r w:rsidRPr="00C31D61">
        <w:rPr>
          <w:rFonts w:ascii="Arial" w:hAnsi="Arial" w:cs="Arial"/>
          <w:sz w:val="20"/>
        </w:rPr>
        <w:t>be</w:t>
      </w:r>
      <w:r w:rsidRPr="00C31D61">
        <w:rPr>
          <w:rFonts w:ascii="Arial" w:hAnsi="Arial" w:cs="Arial"/>
          <w:spacing w:val="-6"/>
          <w:sz w:val="20"/>
        </w:rPr>
        <w:t xml:space="preserve"> </w:t>
      </w:r>
      <w:r w:rsidRPr="00C31D61">
        <w:rPr>
          <w:rFonts w:ascii="Arial" w:hAnsi="Arial" w:cs="Arial"/>
          <w:sz w:val="20"/>
        </w:rPr>
        <w:t>developed</w:t>
      </w:r>
      <w:r w:rsidRPr="00C31D61">
        <w:rPr>
          <w:rFonts w:ascii="Arial" w:hAnsi="Arial" w:cs="Arial"/>
          <w:spacing w:val="-9"/>
          <w:sz w:val="20"/>
        </w:rPr>
        <w:t xml:space="preserve"> </w:t>
      </w:r>
      <w:r w:rsidRPr="00C31D61">
        <w:rPr>
          <w:rFonts w:ascii="Arial" w:hAnsi="Arial" w:cs="Arial"/>
          <w:sz w:val="20"/>
        </w:rPr>
        <w:t>to</w:t>
      </w:r>
      <w:r w:rsidRPr="00C31D61">
        <w:rPr>
          <w:rFonts w:ascii="Arial" w:hAnsi="Arial" w:cs="Arial"/>
          <w:spacing w:val="-7"/>
          <w:sz w:val="20"/>
        </w:rPr>
        <w:t xml:space="preserve"> </w:t>
      </w:r>
      <w:r w:rsidRPr="00C31D61">
        <w:rPr>
          <w:rFonts w:ascii="Arial" w:hAnsi="Arial" w:cs="Arial"/>
          <w:sz w:val="20"/>
        </w:rPr>
        <w:t>a</w:t>
      </w:r>
      <w:r w:rsidRPr="00C31D61">
        <w:rPr>
          <w:rFonts w:ascii="Arial" w:hAnsi="Arial" w:cs="Arial"/>
          <w:spacing w:val="-9"/>
          <w:sz w:val="20"/>
        </w:rPr>
        <w:t xml:space="preserve"> </w:t>
      </w:r>
      <w:r w:rsidRPr="00C31D61">
        <w:rPr>
          <w:rFonts w:ascii="Arial" w:hAnsi="Arial" w:cs="Arial"/>
          <w:sz w:val="20"/>
        </w:rPr>
        <w:t>standard</w:t>
      </w:r>
      <w:r w:rsidRPr="00C31D61">
        <w:rPr>
          <w:rFonts w:ascii="Arial" w:hAnsi="Arial" w:cs="Arial"/>
          <w:spacing w:val="-8"/>
          <w:sz w:val="20"/>
        </w:rPr>
        <w:t xml:space="preserve"> </w:t>
      </w:r>
      <w:r w:rsidRPr="00C31D61">
        <w:rPr>
          <w:rFonts w:ascii="Arial" w:hAnsi="Arial" w:cs="Arial"/>
          <w:sz w:val="20"/>
        </w:rPr>
        <w:t>format</w:t>
      </w:r>
      <w:r w:rsidRPr="00C31D61">
        <w:rPr>
          <w:rFonts w:ascii="Arial" w:hAnsi="Arial" w:cs="Arial"/>
          <w:spacing w:val="-9"/>
          <w:sz w:val="20"/>
        </w:rPr>
        <w:t xml:space="preserve"> </w:t>
      </w:r>
      <w:r w:rsidRPr="00C31D61">
        <w:rPr>
          <w:rFonts w:ascii="Arial" w:hAnsi="Arial" w:cs="Arial"/>
          <w:sz w:val="20"/>
        </w:rPr>
        <w:t>in</w:t>
      </w:r>
      <w:r w:rsidRPr="00C31D61">
        <w:rPr>
          <w:rFonts w:ascii="Arial" w:hAnsi="Arial" w:cs="Arial"/>
          <w:spacing w:val="-7"/>
          <w:sz w:val="20"/>
        </w:rPr>
        <w:t xml:space="preserve"> </w:t>
      </w:r>
      <w:r w:rsidRPr="00C31D61">
        <w:rPr>
          <w:rFonts w:ascii="Arial" w:hAnsi="Arial" w:cs="Arial"/>
          <w:sz w:val="20"/>
        </w:rPr>
        <w:t>accordance</w:t>
      </w:r>
      <w:r w:rsidRPr="00C31D61">
        <w:rPr>
          <w:rFonts w:ascii="Arial" w:hAnsi="Arial" w:cs="Arial"/>
          <w:spacing w:val="-47"/>
          <w:sz w:val="20"/>
        </w:rPr>
        <w:t xml:space="preserve"> </w:t>
      </w:r>
      <w:r w:rsidRPr="00C31D61">
        <w:rPr>
          <w:rFonts w:ascii="Arial" w:hAnsi="Arial" w:cs="Arial"/>
          <w:sz w:val="20"/>
        </w:rPr>
        <w:t>with</w:t>
      </w:r>
      <w:r w:rsidRPr="00C31D61">
        <w:rPr>
          <w:rFonts w:ascii="Arial" w:hAnsi="Arial" w:cs="Arial"/>
          <w:color w:val="0000FF"/>
          <w:sz w:val="20"/>
        </w:rPr>
        <w:t xml:space="preserve"> </w:t>
      </w:r>
      <w:r w:rsidRPr="00880B32">
        <w:rPr>
          <w:rFonts w:ascii="Arial" w:hAnsi="Arial" w:cs="Arial"/>
          <w:sz w:val="20"/>
          <w:szCs w:val="20"/>
        </w:rPr>
        <w:t>AMC2 BOP.ADD.510</w:t>
      </w:r>
      <w:r w:rsidRPr="00C31D61">
        <w:rPr>
          <w:rFonts w:ascii="Arial" w:hAnsi="Arial" w:cs="Arial"/>
          <w:color w:val="0000FF"/>
          <w:sz w:val="20"/>
        </w:rPr>
        <w:t xml:space="preserve"> </w:t>
      </w:r>
      <w:r w:rsidRPr="00C31D61">
        <w:rPr>
          <w:rFonts w:ascii="Arial" w:hAnsi="Arial" w:cs="Arial"/>
          <w:sz w:val="20"/>
        </w:rPr>
        <w:t>and should take into account the results of the risk assessment</w:t>
      </w:r>
      <w:r w:rsidRPr="00C31D61">
        <w:rPr>
          <w:rFonts w:ascii="Arial" w:hAnsi="Arial" w:cs="Arial"/>
          <w:spacing w:val="1"/>
          <w:sz w:val="20"/>
        </w:rPr>
        <w:t xml:space="preserve"> </w:t>
      </w:r>
      <w:r w:rsidRPr="00C31D61">
        <w:rPr>
          <w:rFonts w:ascii="Arial" w:hAnsi="Arial" w:cs="Arial"/>
          <w:sz w:val="20"/>
        </w:rPr>
        <w:t>process.</w:t>
      </w:r>
    </w:p>
    <w:p w14:paraId="41FE5F94" w14:textId="77777777" w:rsidR="00C31D61" w:rsidRPr="00C31D61" w:rsidRDefault="00C31D61" w:rsidP="00652725">
      <w:pPr>
        <w:numPr>
          <w:ilvl w:val="0"/>
          <w:numId w:val="121"/>
        </w:numPr>
        <w:tabs>
          <w:tab w:val="left" w:pos="707"/>
        </w:tabs>
        <w:spacing w:before="121" w:line="276" w:lineRule="auto"/>
        <w:ind w:right="68"/>
        <w:jc w:val="both"/>
        <w:rPr>
          <w:rFonts w:ascii="Arial" w:hAnsi="Arial" w:cs="Arial"/>
          <w:sz w:val="20"/>
        </w:rPr>
      </w:pPr>
      <w:r w:rsidRPr="00C31D61">
        <w:rPr>
          <w:rFonts w:ascii="Arial" w:hAnsi="Arial" w:cs="Arial"/>
          <w:sz w:val="20"/>
        </w:rPr>
        <w:t>SOPs should be based on a systematic risk assessment to ensure that the risks associated with</w:t>
      </w:r>
      <w:r w:rsidRPr="00C31D61">
        <w:rPr>
          <w:rFonts w:ascii="Arial" w:hAnsi="Arial" w:cs="Arial"/>
          <w:spacing w:val="1"/>
          <w:sz w:val="20"/>
        </w:rPr>
        <w:t xml:space="preserve"> </w:t>
      </w:r>
      <w:r w:rsidRPr="00C31D61">
        <w:rPr>
          <w:rFonts w:ascii="Arial" w:hAnsi="Arial" w:cs="Arial"/>
          <w:sz w:val="20"/>
        </w:rPr>
        <w:t>the task are acceptable. The risk assessment should describe the activity in detail, identify the</w:t>
      </w:r>
      <w:r w:rsidRPr="00C31D61">
        <w:rPr>
          <w:rFonts w:ascii="Arial" w:hAnsi="Arial" w:cs="Arial"/>
          <w:spacing w:val="1"/>
          <w:sz w:val="20"/>
        </w:rPr>
        <w:t xml:space="preserve"> </w:t>
      </w:r>
      <w:r w:rsidRPr="00C31D61">
        <w:rPr>
          <w:rFonts w:ascii="Arial" w:hAnsi="Arial" w:cs="Arial"/>
          <w:sz w:val="20"/>
        </w:rPr>
        <w:t>relevant hazards, analyse the causes and consequences of accidental events, and establish</w:t>
      </w:r>
      <w:r w:rsidRPr="00C31D61">
        <w:rPr>
          <w:rFonts w:ascii="Arial" w:hAnsi="Arial" w:cs="Arial"/>
          <w:spacing w:val="1"/>
          <w:sz w:val="20"/>
        </w:rPr>
        <w:t xml:space="preserve"> </w:t>
      </w:r>
      <w:r w:rsidRPr="00C31D61">
        <w:rPr>
          <w:rFonts w:ascii="Arial" w:hAnsi="Arial" w:cs="Arial"/>
          <w:sz w:val="20"/>
        </w:rPr>
        <w:t>methods to</w:t>
      </w:r>
      <w:r w:rsidRPr="00C31D61">
        <w:rPr>
          <w:rFonts w:ascii="Arial" w:hAnsi="Arial" w:cs="Arial"/>
          <w:spacing w:val="-2"/>
          <w:sz w:val="20"/>
        </w:rPr>
        <w:t xml:space="preserve"> </w:t>
      </w:r>
      <w:r w:rsidRPr="00C31D61">
        <w:rPr>
          <w:rFonts w:ascii="Arial" w:hAnsi="Arial" w:cs="Arial"/>
          <w:sz w:val="20"/>
        </w:rPr>
        <w:t>treat the</w:t>
      </w:r>
      <w:r w:rsidRPr="00C31D61">
        <w:rPr>
          <w:rFonts w:ascii="Arial" w:hAnsi="Arial" w:cs="Arial"/>
          <w:spacing w:val="-3"/>
          <w:sz w:val="20"/>
        </w:rPr>
        <w:t xml:space="preserve"> </w:t>
      </w:r>
      <w:r w:rsidRPr="00C31D61">
        <w:rPr>
          <w:rFonts w:ascii="Arial" w:hAnsi="Arial" w:cs="Arial"/>
          <w:sz w:val="20"/>
        </w:rPr>
        <w:t>associated</w:t>
      </w:r>
      <w:r w:rsidRPr="00C31D61">
        <w:rPr>
          <w:rFonts w:ascii="Arial" w:hAnsi="Arial" w:cs="Arial"/>
          <w:spacing w:val="-1"/>
          <w:sz w:val="20"/>
        </w:rPr>
        <w:t xml:space="preserve"> </w:t>
      </w:r>
      <w:r w:rsidRPr="00C31D61">
        <w:rPr>
          <w:rFonts w:ascii="Arial" w:hAnsi="Arial" w:cs="Arial"/>
          <w:sz w:val="20"/>
        </w:rPr>
        <w:t>risk.</w:t>
      </w:r>
    </w:p>
    <w:p w14:paraId="56A575A0" w14:textId="77777777" w:rsidR="007F0771" w:rsidRPr="007F0771" w:rsidRDefault="007F0771" w:rsidP="009601C2">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532" w:name="AMC2_BOP.ADD.510_Commercial_balloon_spec"/>
      <w:bookmarkStart w:id="533" w:name="_bookmark215"/>
      <w:bookmarkStart w:id="534" w:name="_Toc153137380"/>
      <w:bookmarkEnd w:id="532"/>
      <w:bookmarkEnd w:id="533"/>
      <w:r w:rsidRPr="007F0771">
        <w:rPr>
          <w:rFonts w:ascii="Arial" w:eastAsia="Times New Roman" w:hAnsi="Arial" w:cs="Times New Roman"/>
          <w:b/>
          <w:color w:val="FFFFFF"/>
          <w:sz w:val="24"/>
        </w:rPr>
        <w:t>AMC2 BOP.ADD.510 Commercial balloon specialised operations — Standard operating procedures</w:t>
      </w:r>
      <w:bookmarkEnd w:id="534"/>
    </w:p>
    <w:p w14:paraId="249E5232" w14:textId="77777777" w:rsidR="007F0771" w:rsidRPr="007F0771" w:rsidRDefault="007F0771" w:rsidP="009601C2">
      <w:pPr>
        <w:spacing w:before="120" w:line="276" w:lineRule="auto"/>
        <w:rPr>
          <w:rFonts w:ascii="Arial" w:hAnsi="Arial" w:cs="Arial"/>
          <w:b/>
          <w:sz w:val="20"/>
        </w:rPr>
      </w:pPr>
      <w:r w:rsidRPr="007F0771">
        <w:rPr>
          <w:rFonts w:ascii="Arial" w:hAnsi="Arial" w:cs="Arial"/>
          <w:b/>
          <w:sz w:val="20"/>
        </w:rPr>
        <w:t>TEMPLATE</w:t>
      </w:r>
    </w:p>
    <w:p w14:paraId="68C3FE2F" w14:textId="77777777" w:rsidR="007F0771" w:rsidRPr="007F0771" w:rsidRDefault="007F0771" w:rsidP="00543D7A">
      <w:pPr>
        <w:numPr>
          <w:ilvl w:val="0"/>
          <w:numId w:val="122"/>
        </w:numPr>
        <w:tabs>
          <w:tab w:val="left" w:pos="706"/>
          <w:tab w:val="left" w:pos="707"/>
        </w:tabs>
        <w:spacing w:before="118" w:line="276" w:lineRule="auto"/>
        <w:ind w:right="68"/>
        <w:jc w:val="both"/>
        <w:rPr>
          <w:rFonts w:ascii="Arial" w:hAnsi="Arial" w:cs="Arial"/>
          <w:sz w:val="20"/>
        </w:rPr>
      </w:pPr>
      <w:r w:rsidRPr="007F0771">
        <w:rPr>
          <w:rFonts w:ascii="Arial" w:hAnsi="Arial" w:cs="Arial"/>
          <w:sz w:val="20"/>
        </w:rPr>
        <w:t>Nature and</w:t>
      </w:r>
      <w:r w:rsidRPr="007F0771">
        <w:rPr>
          <w:rFonts w:ascii="Arial" w:hAnsi="Arial" w:cs="Arial"/>
          <w:spacing w:val="-2"/>
          <w:sz w:val="20"/>
        </w:rPr>
        <w:t xml:space="preserve"> </w:t>
      </w:r>
      <w:r w:rsidRPr="007F0771">
        <w:rPr>
          <w:rFonts w:ascii="Arial" w:hAnsi="Arial" w:cs="Arial"/>
          <w:sz w:val="20"/>
        </w:rPr>
        <w:t>complexity</w:t>
      </w:r>
      <w:r w:rsidRPr="007F0771">
        <w:rPr>
          <w:rFonts w:ascii="Arial" w:hAnsi="Arial" w:cs="Arial"/>
          <w:spacing w:val="-3"/>
          <w:sz w:val="20"/>
        </w:rPr>
        <w:t xml:space="preserve"> </w:t>
      </w:r>
      <w:r w:rsidRPr="007F0771">
        <w:rPr>
          <w:rFonts w:ascii="Arial" w:hAnsi="Arial" w:cs="Arial"/>
          <w:sz w:val="20"/>
        </w:rPr>
        <w:t>of the activity</w:t>
      </w:r>
    </w:p>
    <w:p w14:paraId="41FB4FDA" w14:textId="77777777" w:rsidR="007F0771" w:rsidRPr="007F0771" w:rsidRDefault="007F0771" w:rsidP="00543D7A">
      <w:pPr>
        <w:numPr>
          <w:ilvl w:val="1"/>
          <w:numId w:val="122"/>
        </w:numPr>
        <w:tabs>
          <w:tab w:val="left" w:pos="1274"/>
        </w:tabs>
        <w:spacing w:before="120" w:line="276" w:lineRule="auto"/>
        <w:ind w:right="68"/>
        <w:jc w:val="both"/>
        <w:rPr>
          <w:rFonts w:ascii="Arial" w:hAnsi="Arial" w:cs="Arial"/>
          <w:sz w:val="20"/>
        </w:rPr>
      </w:pPr>
      <w:r w:rsidRPr="007F0771">
        <w:rPr>
          <w:rFonts w:ascii="Arial" w:hAnsi="Arial" w:cs="Arial"/>
          <w:sz w:val="20"/>
        </w:rPr>
        <w:t>The nature of the activity and exposure. The nature of the flight and the risk exposure</w:t>
      </w:r>
      <w:r w:rsidRPr="007F0771">
        <w:rPr>
          <w:rFonts w:ascii="Arial" w:hAnsi="Arial" w:cs="Arial"/>
          <w:spacing w:val="1"/>
          <w:sz w:val="20"/>
        </w:rPr>
        <w:t xml:space="preserve"> </w:t>
      </w:r>
      <w:r w:rsidRPr="007F0771">
        <w:rPr>
          <w:rFonts w:ascii="Arial" w:hAnsi="Arial" w:cs="Arial"/>
          <w:sz w:val="20"/>
        </w:rPr>
        <w:t>should</w:t>
      </w:r>
      <w:r w:rsidRPr="007F0771">
        <w:rPr>
          <w:rFonts w:ascii="Arial" w:hAnsi="Arial" w:cs="Arial"/>
          <w:spacing w:val="-3"/>
          <w:sz w:val="20"/>
        </w:rPr>
        <w:t xml:space="preserve"> </w:t>
      </w:r>
      <w:r w:rsidRPr="007F0771">
        <w:rPr>
          <w:rFonts w:ascii="Arial" w:hAnsi="Arial" w:cs="Arial"/>
          <w:sz w:val="20"/>
        </w:rPr>
        <w:t>be described.</w:t>
      </w:r>
    </w:p>
    <w:p w14:paraId="613344EC" w14:textId="77777777" w:rsidR="007F0771" w:rsidRPr="007F0771" w:rsidRDefault="007F0771" w:rsidP="00543D7A">
      <w:pPr>
        <w:numPr>
          <w:ilvl w:val="1"/>
          <w:numId w:val="122"/>
        </w:numPr>
        <w:tabs>
          <w:tab w:val="left" w:pos="1274"/>
        </w:tabs>
        <w:spacing w:before="121" w:line="276" w:lineRule="auto"/>
        <w:ind w:right="68"/>
        <w:jc w:val="both"/>
        <w:rPr>
          <w:rFonts w:ascii="Arial" w:hAnsi="Arial" w:cs="Arial"/>
          <w:sz w:val="20"/>
        </w:rPr>
      </w:pPr>
      <w:r w:rsidRPr="007F0771">
        <w:rPr>
          <w:rFonts w:ascii="Arial" w:hAnsi="Arial" w:cs="Arial"/>
          <w:sz w:val="20"/>
        </w:rPr>
        <w:t>The</w:t>
      </w:r>
      <w:r w:rsidRPr="007F0771">
        <w:rPr>
          <w:rFonts w:ascii="Arial" w:hAnsi="Arial" w:cs="Arial"/>
          <w:spacing w:val="-7"/>
          <w:sz w:val="20"/>
        </w:rPr>
        <w:t xml:space="preserve"> </w:t>
      </w:r>
      <w:r w:rsidRPr="007F0771">
        <w:rPr>
          <w:rFonts w:ascii="Arial" w:hAnsi="Arial" w:cs="Arial"/>
          <w:sz w:val="20"/>
        </w:rPr>
        <w:t>complexity</w:t>
      </w:r>
      <w:r w:rsidRPr="007F0771">
        <w:rPr>
          <w:rFonts w:ascii="Arial" w:hAnsi="Arial" w:cs="Arial"/>
          <w:spacing w:val="-7"/>
          <w:sz w:val="20"/>
        </w:rPr>
        <w:t xml:space="preserve"> </w:t>
      </w:r>
      <w:r w:rsidRPr="007F0771">
        <w:rPr>
          <w:rFonts w:ascii="Arial" w:hAnsi="Arial" w:cs="Arial"/>
          <w:sz w:val="20"/>
        </w:rPr>
        <w:t>of</w:t>
      </w:r>
      <w:r w:rsidRPr="007F0771">
        <w:rPr>
          <w:rFonts w:ascii="Arial" w:hAnsi="Arial" w:cs="Arial"/>
          <w:spacing w:val="-8"/>
          <w:sz w:val="20"/>
        </w:rPr>
        <w:t xml:space="preserve"> </w:t>
      </w:r>
      <w:r w:rsidRPr="007F0771">
        <w:rPr>
          <w:rFonts w:ascii="Arial" w:hAnsi="Arial" w:cs="Arial"/>
          <w:sz w:val="20"/>
        </w:rPr>
        <w:t>the</w:t>
      </w:r>
      <w:r w:rsidRPr="007F0771">
        <w:rPr>
          <w:rFonts w:ascii="Arial" w:hAnsi="Arial" w:cs="Arial"/>
          <w:spacing w:val="-6"/>
          <w:sz w:val="20"/>
        </w:rPr>
        <w:t xml:space="preserve"> </w:t>
      </w:r>
      <w:r w:rsidRPr="007F0771">
        <w:rPr>
          <w:rFonts w:ascii="Arial" w:hAnsi="Arial" w:cs="Arial"/>
          <w:sz w:val="20"/>
        </w:rPr>
        <w:t>activity.</w:t>
      </w:r>
      <w:r w:rsidRPr="007F0771">
        <w:rPr>
          <w:rFonts w:ascii="Arial" w:hAnsi="Arial" w:cs="Arial"/>
          <w:spacing w:val="-6"/>
          <w:sz w:val="20"/>
        </w:rPr>
        <w:t xml:space="preserve"> </w:t>
      </w:r>
      <w:r w:rsidRPr="007F0771">
        <w:rPr>
          <w:rFonts w:ascii="Arial" w:hAnsi="Arial" w:cs="Arial"/>
          <w:sz w:val="20"/>
        </w:rPr>
        <w:t>Details</w:t>
      </w:r>
      <w:r w:rsidRPr="007F0771">
        <w:rPr>
          <w:rFonts w:ascii="Arial" w:hAnsi="Arial" w:cs="Arial"/>
          <w:spacing w:val="-6"/>
          <w:sz w:val="20"/>
        </w:rPr>
        <w:t xml:space="preserve"> </w:t>
      </w:r>
      <w:r w:rsidRPr="007F0771">
        <w:rPr>
          <w:rFonts w:ascii="Arial" w:hAnsi="Arial" w:cs="Arial"/>
          <w:sz w:val="20"/>
        </w:rPr>
        <w:t>should</w:t>
      </w:r>
      <w:r w:rsidRPr="007F0771">
        <w:rPr>
          <w:rFonts w:ascii="Arial" w:hAnsi="Arial" w:cs="Arial"/>
          <w:spacing w:val="-7"/>
          <w:sz w:val="20"/>
        </w:rPr>
        <w:t xml:space="preserve"> </w:t>
      </w:r>
      <w:r w:rsidRPr="007F0771">
        <w:rPr>
          <w:rFonts w:ascii="Arial" w:hAnsi="Arial" w:cs="Arial"/>
          <w:sz w:val="20"/>
        </w:rPr>
        <w:t>be</w:t>
      </w:r>
      <w:r w:rsidRPr="007F0771">
        <w:rPr>
          <w:rFonts w:ascii="Arial" w:hAnsi="Arial" w:cs="Arial"/>
          <w:spacing w:val="-5"/>
          <w:sz w:val="20"/>
        </w:rPr>
        <w:t xml:space="preserve"> </w:t>
      </w:r>
      <w:r w:rsidRPr="007F0771">
        <w:rPr>
          <w:rFonts w:ascii="Arial" w:hAnsi="Arial" w:cs="Arial"/>
          <w:sz w:val="20"/>
        </w:rPr>
        <w:t>provided</w:t>
      </w:r>
      <w:r w:rsidRPr="007F0771">
        <w:rPr>
          <w:rFonts w:ascii="Arial" w:hAnsi="Arial" w:cs="Arial"/>
          <w:spacing w:val="-6"/>
          <w:sz w:val="20"/>
        </w:rPr>
        <w:t xml:space="preserve"> </w:t>
      </w:r>
      <w:r w:rsidRPr="007F0771">
        <w:rPr>
          <w:rFonts w:ascii="Arial" w:hAnsi="Arial" w:cs="Arial"/>
          <w:sz w:val="20"/>
        </w:rPr>
        <w:t>on</w:t>
      </w:r>
      <w:r w:rsidRPr="007F0771">
        <w:rPr>
          <w:rFonts w:ascii="Arial" w:hAnsi="Arial" w:cs="Arial"/>
          <w:spacing w:val="-7"/>
          <w:sz w:val="20"/>
        </w:rPr>
        <w:t xml:space="preserve"> </w:t>
      </w:r>
      <w:r w:rsidRPr="007F0771">
        <w:rPr>
          <w:rFonts w:ascii="Arial" w:hAnsi="Arial" w:cs="Arial"/>
          <w:sz w:val="20"/>
        </w:rPr>
        <w:t>how</w:t>
      </w:r>
      <w:r w:rsidRPr="007F0771">
        <w:rPr>
          <w:rFonts w:ascii="Arial" w:hAnsi="Arial" w:cs="Arial"/>
          <w:spacing w:val="-5"/>
          <w:sz w:val="20"/>
        </w:rPr>
        <w:t xml:space="preserve"> </w:t>
      </w:r>
      <w:r w:rsidRPr="007F0771">
        <w:rPr>
          <w:rFonts w:ascii="Arial" w:hAnsi="Arial" w:cs="Arial"/>
          <w:sz w:val="20"/>
        </w:rPr>
        <w:t>demanding</w:t>
      </w:r>
      <w:r w:rsidRPr="007F0771">
        <w:rPr>
          <w:rFonts w:ascii="Arial" w:hAnsi="Arial" w:cs="Arial"/>
          <w:spacing w:val="-6"/>
          <w:sz w:val="20"/>
        </w:rPr>
        <w:t xml:space="preserve"> </w:t>
      </w:r>
      <w:r w:rsidRPr="007F0771">
        <w:rPr>
          <w:rFonts w:ascii="Arial" w:hAnsi="Arial" w:cs="Arial"/>
          <w:sz w:val="20"/>
        </w:rPr>
        <w:t>the</w:t>
      </w:r>
      <w:r w:rsidRPr="007F0771">
        <w:rPr>
          <w:rFonts w:ascii="Arial" w:hAnsi="Arial" w:cs="Arial"/>
          <w:spacing w:val="-8"/>
          <w:sz w:val="20"/>
        </w:rPr>
        <w:t xml:space="preserve"> </w:t>
      </w:r>
      <w:r w:rsidRPr="007F0771">
        <w:rPr>
          <w:rFonts w:ascii="Arial" w:hAnsi="Arial" w:cs="Arial"/>
          <w:sz w:val="20"/>
        </w:rPr>
        <w:t>activity</w:t>
      </w:r>
      <w:r w:rsidRPr="007F0771">
        <w:rPr>
          <w:rFonts w:ascii="Arial" w:hAnsi="Arial" w:cs="Arial"/>
          <w:spacing w:val="-47"/>
          <w:sz w:val="20"/>
        </w:rPr>
        <w:t xml:space="preserve"> </w:t>
      </w:r>
      <w:r w:rsidRPr="007F0771">
        <w:rPr>
          <w:rFonts w:ascii="Arial" w:hAnsi="Arial" w:cs="Arial"/>
          <w:sz w:val="20"/>
        </w:rPr>
        <w:t>is</w:t>
      </w:r>
      <w:r w:rsidRPr="007F0771">
        <w:rPr>
          <w:rFonts w:ascii="Arial" w:hAnsi="Arial" w:cs="Arial"/>
          <w:spacing w:val="-8"/>
          <w:sz w:val="20"/>
        </w:rPr>
        <w:t xml:space="preserve"> </w:t>
      </w:r>
      <w:r w:rsidRPr="007F0771">
        <w:rPr>
          <w:rFonts w:ascii="Arial" w:hAnsi="Arial" w:cs="Arial"/>
          <w:sz w:val="20"/>
        </w:rPr>
        <w:t>with</w:t>
      </w:r>
      <w:r w:rsidRPr="007F0771">
        <w:rPr>
          <w:rFonts w:ascii="Arial" w:hAnsi="Arial" w:cs="Arial"/>
          <w:spacing w:val="-8"/>
          <w:sz w:val="20"/>
        </w:rPr>
        <w:t xml:space="preserve"> </w:t>
      </w:r>
      <w:r w:rsidRPr="007F0771">
        <w:rPr>
          <w:rFonts w:ascii="Arial" w:hAnsi="Arial" w:cs="Arial"/>
          <w:sz w:val="20"/>
        </w:rPr>
        <w:t>regard</w:t>
      </w:r>
      <w:r w:rsidRPr="007F0771">
        <w:rPr>
          <w:rFonts w:ascii="Arial" w:hAnsi="Arial" w:cs="Arial"/>
          <w:spacing w:val="-9"/>
          <w:sz w:val="20"/>
        </w:rPr>
        <w:t xml:space="preserve"> </w:t>
      </w:r>
      <w:r w:rsidRPr="007F0771">
        <w:rPr>
          <w:rFonts w:ascii="Arial" w:hAnsi="Arial" w:cs="Arial"/>
          <w:sz w:val="20"/>
        </w:rPr>
        <w:t>to</w:t>
      </w:r>
      <w:r w:rsidRPr="007F0771">
        <w:rPr>
          <w:rFonts w:ascii="Arial" w:hAnsi="Arial" w:cs="Arial"/>
          <w:spacing w:val="-7"/>
          <w:sz w:val="20"/>
        </w:rPr>
        <w:t xml:space="preserve"> </w:t>
      </w:r>
      <w:r w:rsidRPr="007F0771">
        <w:rPr>
          <w:rFonts w:ascii="Arial" w:hAnsi="Arial" w:cs="Arial"/>
          <w:sz w:val="20"/>
        </w:rPr>
        <w:t>the</w:t>
      </w:r>
      <w:r w:rsidRPr="007F0771">
        <w:rPr>
          <w:rFonts w:ascii="Arial" w:hAnsi="Arial" w:cs="Arial"/>
          <w:spacing w:val="-7"/>
          <w:sz w:val="20"/>
        </w:rPr>
        <w:t xml:space="preserve"> </w:t>
      </w:r>
      <w:r w:rsidRPr="007F0771">
        <w:rPr>
          <w:rFonts w:ascii="Arial" w:hAnsi="Arial" w:cs="Arial"/>
          <w:sz w:val="20"/>
        </w:rPr>
        <w:t>required</w:t>
      </w:r>
      <w:r w:rsidRPr="007F0771">
        <w:rPr>
          <w:rFonts w:ascii="Arial" w:hAnsi="Arial" w:cs="Arial"/>
          <w:spacing w:val="-8"/>
          <w:sz w:val="20"/>
        </w:rPr>
        <w:t xml:space="preserve"> </w:t>
      </w:r>
      <w:r w:rsidRPr="007F0771">
        <w:rPr>
          <w:rFonts w:ascii="Arial" w:hAnsi="Arial" w:cs="Arial"/>
          <w:sz w:val="20"/>
        </w:rPr>
        <w:t>piloting</w:t>
      </w:r>
      <w:r w:rsidRPr="007F0771">
        <w:rPr>
          <w:rFonts w:ascii="Arial" w:hAnsi="Arial" w:cs="Arial"/>
          <w:spacing w:val="-9"/>
          <w:sz w:val="20"/>
        </w:rPr>
        <w:t xml:space="preserve"> </w:t>
      </w:r>
      <w:r w:rsidRPr="007F0771">
        <w:rPr>
          <w:rFonts w:ascii="Arial" w:hAnsi="Arial" w:cs="Arial"/>
          <w:sz w:val="20"/>
        </w:rPr>
        <w:t>skills,</w:t>
      </w:r>
      <w:r w:rsidRPr="007F0771">
        <w:rPr>
          <w:rFonts w:ascii="Arial" w:hAnsi="Arial" w:cs="Arial"/>
          <w:spacing w:val="-7"/>
          <w:sz w:val="20"/>
        </w:rPr>
        <w:t xml:space="preserve"> </w:t>
      </w:r>
      <w:r w:rsidRPr="007F0771">
        <w:rPr>
          <w:rFonts w:ascii="Arial" w:hAnsi="Arial" w:cs="Arial"/>
          <w:sz w:val="20"/>
        </w:rPr>
        <w:t>the</w:t>
      </w:r>
      <w:r w:rsidRPr="007F0771">
        <w:rPr>
          <w:rFonts w:ascii="Arial" w:hAnsi="Arial" w:cs="Arial"/>
          <w:spacing w:val="-7"/>
          <w:sz w:val="20"/>
        </w:rPr>
        <w:t xml:space="preserve"> </w:t>
      </w:r>
      <w:r w:rsidRPr="007F0771">
        <w:rPr>
          <w:rFonts w:ascii="Arial" w:hAnsi="Arial" w:cs="Arial"/>
          <w:sz w:val="20"/>
        </w:rPr>
        <w:t>necessary</w:t>
      </w:r>
      <w:r w:rsidRPr="007F0771">
        <w:rPr>
          <w:rFonts w:ascii="Arial" w:hAnsi="Arial" w:cs="Arial"/>
          <w:spacing w:val="-8"/>
          <w:sz w:val="20"/>
        </w:rPr>
        <w:t xml:space="preserve"> </w:t>
      </w:r>
      <w:r w:rsidRPr="007F0771">
        <w:rPr>
          <w:rFonts w:ascii="Arial" w:hAnsi="Arial" w:cs="Arial"/>
          <w:sz w:val="20"/>
        </w:rPr>
        <w:t>level</w:t>
      </w:r>
      <w:r w:rsidRPr="007F0771">
        <w:rPr>
          <w:rFonts w:ascii="Arial" w:hAnsi="Arial" w:cs="Arial"/>
          <w:spacing w:val="-10"/>
          <w:sz w:val="20"/>
        </w:rPr>
        <w:t xml:space="preserve"> </w:t>
      </w:r>
      <w:r w:rsidRPr="007F0771">
        <w:rPr>
          <w:rFonts w:ascii="Arial" w:hAnsi="Arial" w:cs="Arial"/>
          <w:sz w:val="20"/>
        </w:rPr>
        <w:t>of</w:t>
      </w:r>
      <w:r w:rsidRPr="007F0771">
        <w:rPr>
          <w:rFonts w:ascii="Arial" w:hAnsi="Arial" w:cs="Arial"/>
          <w:spacing w:val="-11"/>
          <w:sz w:val="20"/>
        </w:rPr>
        <w:t xml:space="preserve"> </w:t>
      </w:r>
      <w:r w:rsidRPr="007F0771">
        <w:rPr>
          <w:rFonts w:ascii="Arial" w:hAnsi="Arial" w:cs="Arial"/>
          <w:sz w:val="20"/>
        </w:rPr>
        <w:t>experience,</w:t>
      </w:r>
      <w:r w:rsidRPr="007F0771">
        <w:rPr>
          <w:rFonts w:ascii="Arial" w:hAnsi="Arial" w:cs="Arial"/>
          <w:spacing w:val="-10"/>
          <w:sz w:val="20"/>
        </w:rPr>
        <w:t xml:space="preserve"> </w:t>
      </w:r>
      <w:r w:rsidRPr="007F0771">
        <w:rPr>
          <w:rFonts w:ascii="Arial" w:hAnsi="Arial" w:cs="Arial"/>
          <w:sz w:val="20"/>
        </w:rPr>
        <w:t>the</w:t>
      </w:r>
      <w:r w:rsidRPr="007F0771">
        <w:rPr>
          <w:rFonts w:ascii="Arial" w:hAnsi="Arial" w:cs="Arial"/>
          <w:spacing w:val="-9"/>
          <w:sz w:val="20"/>
        </w:rPr>
        <w:t xml:space="preserve"> </w:t>
      </w:r>
      <w:r w:rsidRPr="007F0771">
        <w:rPr>
          <w:rFonts w:ascii="Arial" w:hAnsi="Arial" w:cs="Arial"/>
          <w:sz w:val="20"/>
        </w:rPr>
        <w:t>ground</w:t>
      </w:r>
      <w:r w:rsidRPr="007F0771">
        <w:rPr>
          <w:rFonts w:ascii="Arial" w:hAnsi="Arial" w:cs="Arial"/>
          <w:spacing w:val="-48"/>
          <w:sz w:val="20"/>
        </w:rPr>
        <w:t xml:space="preserve"> </w:t>
      </w:r>
      <w:r w:rsidRPr="007F0771">
        <w:rPr>
          <w:rFonts w:ascii="Arial" w:hAnsi="Arial" w:cs="Arial"/>
          <w:sz w:val="20"/>
        </w:rPr>
        <w:t>support, safety and individual protective equipment that should be provided to persons</w:t>
      </w:r>
      <w:r w:rsidRPr="007F0771">
        <w:rPr>
          <w:rFonts w:ascii="Arial" w:hAnsi="Arial" w:cs="Arial"/>
          <w:spacing w:val="1"/>
          <w:sz w:val="20"/>
        </w:rPr>
        <w:t xml:space="preserve"> </w:t>
      </w:r>
      <w:r w:rsidRPr="007F0771">
        <w:rPr>
          <w:rFonts w:ascii="Arial" w:hAnsi="Arial" w:cs="Arial"/>
          <w:sz w:val="20"/>
        </w:rPr>
        <w:lastRenderedPageBreak/>
        <w:t>involved.</w:t>
      </w:r>
    </w:p>
    <w:p w14:paraId="06E7ECB3" w14:textId="77777777" w:rsidR="007F0771" w:rsidRPr="007F0771" w:rsidRDefault="007F0771" w:rsidP="00543D7A">
      <w:pPr>
        <w:numPr>
          <w:ilvl w:val="1"/>
          <w:numId w:val="122"/>
        </w:numPr>
        <w:tabs>
          <w:tab w:val="left" w:pos="1274"/>
        </w:tabs>
        <w:spacing w:before="119" w:line="276" w:lineRule="auto"/>
        <w:ind w:right="68"/>
        <w:jc w:val="both"/>
        <w:rPr>
          <w:rFonts w:ascii="Arial" w:hAnsi="Arial" w:cs="Arial"/>
          <w:sz w:val="20"/>
        </w:rPr>
      </w:pPr>
      <w:r w:rsidRPr="007F0771">
        <w:rPr>
          <w:rFonts w:ascii="Arial" w:hAnsi="Arial" w:cs="Arial"/>
          <w:sz w:val="20"/>
        </w:rPr>
        <w:t>The operational environment and geographical area. The operational environment and</w:t>
      </w:r>
      <w:r w:rsidRPr="007F0771">
        <w:rPr>
          <w:rFonts w:ascii="Arial" w:hAnsi="Arial" w:cs="Arial"/>
          <w:spacing w:val="1"/>
          <w:sz w:val="20"/>
        </w:rPr>
        <w:t xml:space="preserve"> </w:t>
      </w:r>
      <w:r w:rsidRPr="007F0771">
        <w:rPr>
          <w:rFonts w:ascii="Arial" w:hAnsi="Arial" w:cs="Arial"/>
          <w:sz w:val="20"/>
        </w:rPr>
        <w:t>geographical</w:t>
      </w:r>
      <w:r w:rsidRPr="007F0771">
        <w:rPr>
          <w:rFonts w:ascii="Arial" w:hAnsi="Arial" w:cs="Arial"/>
          <w:spacing w:val="-2"/>
          <w:sz w:val="20"/>
        </w:rPr>
        <w:t xml:space="preserve"> </w:t>
      </w:r>
      <w:r w:rsidRPr="007F0771">
        <w:rPr>
          <w:rFonts w:ascii="Arial" w:hAnsi="Arial" w:cs="Arial"/>
          <w:sz w:val="20"/>
        </w:rPr>
        <w:t>area</w:t>
      </w:r>
      <w:r w:rsidRPr="007F0771">
        <w:rPr>
          <w:rFonts w:ascii="Arial" w:hAnsi="Arial" w:cs="Arial"/>
          <w:spacing w:val="-2"/>
          <w:sz w:val="20"/>
        </w:rPr>
        <w:t xml:space="preserve"> </w:t>
      </w:r>
      <w:r w:rsidRPr="007F0771">
        <w:rPr>
          <w:rFonts w:ascii="Arial" w:hAnsi="Arial" w:cs="Arial"/>
          <w:sz w:val="20"/>
        </w:rPr>
        <w:t>over</w:t>
      </w:r>
      <w:r w:rsidRPr="007F0771">
        <w:rPr>
          <w:rFonts w:ascii="Arial" w:hAnsi="Arial" w:cs="Arial"/>
          <w:spacing w:val="-1"/>
          <w:sz w:val="20"/>
        </w:rPr>
        <w:t xml:space="preserve"> </w:t>
      </w:r>
      <w:r w:rsidRPr="007F0771">
        <w:rPr>
          <w:rFonts w:ascii="Arial" w:hAnsi="Arial" w:cs="Arial"/>
          <w:sz w:val="20"/>
        </w:rPr>
        <w:t>which the</w:t>
      </w:r>
      <w:r w:rsidRPr="007F0771">
        <w:rPr>
          <w:rFonts w:ascii="Arial" w:hAnsi="Arial" w:cs="Arial"/>
          <w:spacing w:val="-3"/>
          <w:sz w:val="20"/>
        </w:rPr>
        <w:t xml:space="preserve"> </w:t>
      </w:r>
      <w:r w:rsidRPr="007F0771">
        <w:rPr>
          <w:rFonts w:ascii="Arial" w:hAnsi="Arial" w:cs="Arial"/>
          <w:sz w:val="20"/>
        </w:rPr>
        <w:t>operation</w:t>
      </w:r>
      <w:r w:rsidRPr="007F0771">
        <w:rPr>
          <w:rFonts w:ascii="Arial" w:hAnsi="Arial" w:cs="Arial"/>
          <w:spacing w:val="-1"/>
          <w:sz w:val="20"/>
        </w:rPr>
        <w:t xml:space="preserve"> </w:t>
      </w:r>
      <w:r w:rsidRPr="007F0771">
        <w:rPr>
          <w:rFonts w:ascii="Arial" w:hAnsi="Arial" w:cs="Arial"/>
          <w:sz w:val="20"/>
        </w:rPr>
        <w:t>takes</w:t>
      </w:r>
      <w:r w:rsidRPr="007F0771">
        <w:rPr>
          <w:rFonts w:ascii="Arial" w:hAnsi="Arial" w:cs="Arial"/>
          <w:spacing w:val="-2"/>
          <w:sz w:val="20"/>
        </w:rPr>
        <w:t xml:space="preserve"> </w:t>
      </w:r>
      <w:r w:rsidRPr="007F0771">
        <w:rPr>
          <w:rFonts w:ascii="Arial" w:hAnsi="Arial" w:cs="Arial"/>
          <w:sz w:val="20"/>
        </w:rPr>
        <w:t>place should</w:t>
      </w:r>
      <w:r w:rsidRPr="007F0771">
        <w:rPr>
          <w:rFonts w:ascii="Arial" w:hAnsi="Arial" w:cs="Arial"/>
          <w:spacing w:val="-2"/>
          <w:sz w:val="20"/>
        </w:rPr>
        <w:t xml:space="preserve"> </w:t>
      </w:r>
      <w:r w:rsidRPr="007F0771">
        <w:rPr>
          <w:rFonts w:ascii="Arial" w:hAnsi="Arial" w:cs="Arial"/>
          <w:sz w:val="20"/>
        </w:rPr>
        <w:t>be</w:t>
      </w:r>
      <w:r w:rsidRPr="007F0771">
        <w:rPr>
          <w:rFonts w:ascii="Arial" w:hAnsi="Arial" w:cs="Arial"/>
          <w:spacing w:val="-3"/>
          <w:sz w:val="20"/>
        </w:rPr>
        <w:t xml:space="preserve"> </w:t>
      </w:r>
      <w:r w:rsidRPr="007F0771">
        <w:rPr>
          <w:rFonts w:ascii="Arial" w:hAnsi="Arial" w:cs="Arial"/>
          <w:sz w:val="20"/>
        </w:rPr>
        <w:t>described:</w:t>
      </w:r>
    </w:p>
    <w:p w14:paraId="0A705623" w14:textId="77777777" w:rsidR="007F0771" w:rsidRPr="007F0771" w:rsidRDefault="007F0771" w:rsidP="00543D7A">
      <w:pPr>
        <w:numPr>
          <w:ilvl w:val="2"/>
          <w:numId w:val="122"/>
        </w:numPr>
        <w:tabs>
          <w:tab w:val="left" w:pos="1841"/>
          <w:tab w:val="left" w:pos="1842"/>
        </w:tabs>
        <w:spacing w:before="120" w:line="276" w:lineRule="auto"/>
        <w:ind w:right="68"/>
        <w:jc w:val="both"/>
        <w:rPr>
          <w:rFonts w:ascii="Arial" w:hAnsi="Arial" w:cs="Arial"/>
          <w:sz w:val="20"/>
        </w:rPr>
      </w:pPr>
      <w:r w:rsidRPr="007F0771">
        <w:rPr>
          <w:rFonts w:ascii="Arial" w:hAnsi="Arial" w:cs="Arial"/>
          <w:sz w:val="20"/>
        </w:rPr>
        <w:t>congested</w:t>
      </w:r>
      <w:r w:rsidRPr="007F0771">
        <w:rPr>
          <w:rFonts w:ascii="Arial" w:hAnsi="Arial" w:cs="Arial"/>
          <w:spacing w:val="15"/>
          <w:sz w:val="20"/>
        </w:rPr>
        <w:t xml:space="preserve"> </w:t>
      </w:r>
      <w:r w:rsidRPr="007F0771">
        <w:rPr>
          <w:rFonts w:ascii="Arial" w:hAnsi="Arial" w:cs="Arial"/>
          <w:sz w:val="20"/>
        </w:rPr>
        <w:t>hostile</w:t>
      </w:r>
      <w:r w:rsidRPr="007F0771">
        <w:rPr>
          <w:rFonts w:ascii="Arial" w:hAnsi="Arial" w:cs="Arial"/>
          <w:spacing w:val="14"/>
          <w:sz w:val="20"/>
        </w:rPr>
        <w:t xml:space="preserve"> </w:t>
      </w:r>
      <w:r w:rsidRPr="007F0771">
        <w:rPr>
          <w:rFonts w:ascii="Arial" w:hAnsi="Arial" w:cs="Arial"/>
          <w:sz w:val="20"/>
        </w:rPr>
        <w:t>environment:</w:t>
      </w:r>
      <w:r w:rsidRPr="007F0771">
        <w:rPr>
          <w:rFonts w:ascii="Arial" w:hAnsi="Arial" w:cs="Arial"/>
          <w:spacing w:val="17"/>
          <w:sz w:val="20"/>
        </w:rPr>
        <w:t xml:space="preserve"> </w:t>
      </w:r>
      <w:r w:rsidRPr="007F0771">
        <w:rPr>
          <w:rFonts w:ascii="Arial" w:hAnsi="Arial" w:cs="Arial"/>
          <w:sz w:val="20"/>
        </w:rPr>
        <w:t>balloon</w:t>
      </w:r>
      <w:r w:rsidRPr="007F0771">
        <w:rPr>
          <w:rFonts w:ascii="Arial" w:hAnsi="Arial" w:cs="Arial"/>
          <w:spacing w:val="15"/>
          <w:sz w:val="20"/>
        </w:rPr>
        <w:t xml:space="preserve"> </w:t>
      </w:r>
      <w:r w:rsidRPr="007F0771">
        <w:rPr>
          <w:rFonts w:ascii="Arial" w:hAnsi="Arial" w:cs="Arial"/>
          <w:sz w:val="20"/>
        </w:rPr>
        <w:t>performance</w:t>
      </w:r>
      <w:r w:rsidRPr="007F0771">
        <w:rPr>
          <w:rFonts w:ascii="Arial" w:hAnsi="Arial" w:cs="Arial"/>
          <w:spacing w:val="16"/>
          <w:sz w:val="20"/>
        </w:rPr>
        <w:t xml:space="preserve"> </w:t>
      </w:r>
      <w:r w:rsidRPr="007F0771">
        <w:rPr>
          <w:rFonts w:ascii="Arial" w:hAnsi="Arial" w:cs="Arial"/>
          <w:sz w:val="20"/>
        </w:rPr>
        <w:t>standard,</w:t>
      </w:r>
      <w:r w:rsidRPr="007F0771">
        <w:rPr>
          <w:rFonts w:ascii="Arial" w:hAnsi="Arial" w:cs="Arial"/>
          <w:spacing w:val="16"/>
          <w:sz w:val="20"/>
        </w:rPr>
        <w:t xml:space="preserve"> </w:t>
      </w:r>
      <w:r w:rsidRPr="007F0771">
        <w:rPr>
          <w:rFonts w:ascii="Arial" w:hAnsi="Arial" w:cs="Arial"/>
          <w:sz w:val="20"/>
        </w:rPr>
        <w:t>compliance</w:t>
      </w:r>
      <w:r w:rsidRPr="007F0771">
        <w:rPr>
          <w:rFonts w:ascii="Arial" w:hAnsi="Arial" w:cs="Arial"/>
          <w:spacing w:val="14"/>
          <w:sz w:val="20"/>
        </w:rPr>
        <w:t xml:space="preserve"> </w:t>
      </w:r>
      <w:r w:rsidRPr="007F0771">
        <w:rPr>
          <w:rFonts w:ascii="Arial" w:hAnsi="Arial" w:cs="Arial"/>
          <w:sz w:val="20"/>
        </w:rPr>
        <w:t>with</w:t>
      </w:r>
      <w:r w:rsidRPr="007F0771">
        <w:rPr>
          <w:rFonts w:ascii="Arial" w:hAnsi="Arial" w:cs="Arial"/>
          <w:spacing w:val="-47"/>
          <w:sz w:val="20"/>
        </w:rPr>
        <w:t xml:space="preserve"> </w:t>
      </w:r>
      <w:r w:rsidRPr="007F0771">
        <w:rPr>
          <w:rFonts w:ascii="Arial" w:hAnsi="Arial" w:cs="Arial"/>
          <w:sz w:val="20"/>
        </w:rPr>
        <w:t>rules</w:t>
      </w:r>
      <w:r w:rsidRPr="007F0771">
        <w:rPr>
          <w:rFonts w:ascii="Arial" w:hAnsi="Arial" w:cs="Arial"/>
          <w:spacing w:val="-1"/>
          <w:sz w:val="20"/>
        </w:rPr>
        <w:t xml:space="preserve"> </w:t>
      </w:r>
      <w:r w:rsidRPr="007F0771">
        <w:rPr>
          <w:rFonts w:ascii="Arial" w:hAnsi="Arial" w:cs="Arial"/>
          <w:sz w:val="20"/>
        </w:rPr>
        <w:t>of</w:t>
      </w:r>
      <w:r w:rsidRPr="007F0771">
        <w:rPr>
          <w:rFonts w:ascii="Arial" w:hAnsi="Arial" w:cs="Arial"/>
          <w:spacing w:val="-3"/>
          <w:sz w:val="20"/>
        </w:rPr>
        <w:t xml:space="preserve"> </w:t>
      </w:r>
      <w:r w:rsidRPr="007F0771">
        <w:rPr>
          <w:rFonts w:ascii="Arial" w:hAnsi="Arial" w:cs="Arial"/>
          <w:sz w:val="20"/>
        </w:rPr>
        <w:t>the</w:t>
      </w:r>
      <w:r w:rsidRPr="007F0771">
        <w:rPr>
          <w:rFonts w:ascii="Arial" w:hAnsi="Arial" w:cs="Arial"/>
          <w:spacing w:val="1"/>
          <w:sz w:val="20"/>
        </w:rPr>
        <w:t xml:space="preserve"> </w:t>
      </w:r>
      <w:r w:rsidRPr="007F0771">
        <w:rPr>
          <w:rFonts w:ascii="Arial" w:hAnsi="Arial" w:cs="Arial"/>
          <w:sz w:val="20"/>
        </w:rPr>
        <w:t>air,</w:t>
      </w:r>
      <w:r w:rsidRPr="007F0771">
        <w:rPr>
          <w:rFonts w:ascii="Arial" w:hAnsi="Arial" w:cs="Arial"/>
          <w:spacing w:val="-2"/>
          <w:sz w:val="20"/>
        </w:rPr>
        <w:t xml:space="preserve"> </w:t>
      </w:r>
      <w:r w:rsidRPr="007F0771">
        <w:rPr>
          <w:rFonts w:ascii="Arial" w:hAnsi="Arial" w:cs="Arial"/>
          <w:sz w:val="20"/>
        </w:rPr>
        <w:t>mitigation</w:t>
      </w:r>
      <w:r w:rsidRPr="007F0771">
        <w:rPr>
          <w:rFonts w:ascii="Arial" w:hAnsi="Arial" w:cs="Arial"/>
          <w:spacing w:val="-3"/>
          <w:sz w:val="20"/>
        </w:rPr>
        <w:t xml:space="preserve"> </w:t>
      </w:r>
      <w:r w:rsidRPr="007F0771">
        <w:rPr>
          <w:rFonts w:ascii="Arial" w:hAnsi="Arial" w:cs="Arial"/>
          <w:sz w:val="20"/>
        </w:rPr>
        <w:t>of third-party risk;</w:t>
      </w:r>
    </w:p>
    <w:p w14:paraId="12A53EA8" w14:textId="77777777" w:rsidR="007F0771" w:rsidRPr="007F0771" w:rsidRDefault="007F0771" w:rsidP="00543D7A">
      <w:pPr>
        <w:numPr>
          <w:ilvl w:val="2"/>
          <w:numId w:val="122"/>
        </w:numPr>
        <w:tabs>
          <w:tab w:val="left" w:pos="1841"/>
          <w:tab w:val="left" w:pos="1842"/>
        </w:tabs>
        <w:spacing w:before="121" w:line="276" w:lineRule="auto"/>
        <w:ind w:right="68"/>
        <w:jc w:val="both"/>
        <w:rPr>
          <w:rFonts w:ascii="Arial" w:hAnsi="Arial" w:cs="Arial"/>
          <w:sz w:val="20"/>
        </w:rPr>
      </w:pPr>
      <w:r w:rsidRPr="007F0771">
        <w:rPr>
          <w:rFonts w:ascii="Arial" w:hAnsi="Arial" w:cs="Arial"/>
          <w:sz w:val="20"/>
        </w:rPr>
        <w:t>mountain</w:t>
      </w:r>
      <w:r w:rsidRPr="007F0771">
        <w:rPr>
          <w:rFonts w:ascii="Arial" w:hAnsi="Arial" w:cs="Arial"/>
          <w:spacing w:val="20"/>
          <w:sz w:val="20"/>
        </w:rPr>
        <w:t xml:space="preserve"> </w:t>
      </w:r>
      <w:r w:rsidRPr="007F0771">
        <w:rPr>
          <w:rFonts w:ascii="Arial" w:hAnsi="Arial" w:cs="Arial"/>
          <w:sz w:val="20"/>
        </w:rPr>
        <w:t>areas:</w:t>
      </w:r>
      <w:r w:rsidRPr="007F0771">
        <w:rPr>
          <w:rFonts w:ascii="Arial" w:hAnsi="Arial" w:cs="Arial"/>
          <w:spacing w:val="22"/>
          <w:sz w:val="20"/>
        </w:rPr>
        <w:t xml:space="preserve"> </w:t>
      </w:r>
      <w:r w:rsidRPr="007F0771">
        <w:rPr>
          <w:rFonts w:ascii="Arial" w:hAnsi="Arial" w:cs="Arial"/>
          <w:sz w:val="20"/>
        </w:rPr>
        <w:t>altitude,</w:t>
      </w:r>
      <w:r w:rsidRPr="007F0771">
        <w:rPr>
          <w:rFonts w:ascii="Arial" w:hAnsi="Arial" w:cs="Arial"/>
          <w:spacing w:val="19"/>
          <w:sz w:val="20"/>
        </w:rPr>
        <w:t xml:space="preserve"> </w:t>
      </w:r>
      <w:r w:rsidRPr="007F0771">
        <w:rPr>
          <w:rFonts w:ascii="Arial" w:hAnsi="Arial" w:cs="Arial"/>
          <w:sz w:val="20"/>
        </w:rPr>
        <w:t>performance,</w:t>
      </w:r>
      <w:r w:rsidRPr="007F0771">
        <w:rPr>
          <w:rFonts w:ascii="Arial" w:hAnsi="Arial" w:cs="Arial"/>
          <w:spacing w:val="19"/>
          <w:sz w:val="20"/>
        </w:rPr>
        <w:t xml:space="preserve"> </w:t>
      </w:r>
      <w:r w:rsidRPr="007F0771">
        <w:rPr>
          <w:rFonts w:ascii="Arial" w:hAnsi="Arial" w:cs="Arial"/>
          <w:sz w:val="20"/>
        </w:rPr>
        <w:t>the</w:t>
      </w:r>
      <w:r w:rsidRPr="007F0771">
        <w:rPr>
          <w:rFonts w:ascii="Arial" w:hAnsi="Arial" w:cs="Arial"/>
          <w:spacing w:val="21"/>
          <w:sz w:val="20"/>
        </w:rPr>
        <w:t xml:space="preserve"> </w:t>
      </w:r>
      <w:r w:rsidRPr="007F0771">
        <w:rPr>
          <w:rFonts w:ascii="Arial" w:hAnsi="Arial" w:cs="Arial"/>
          <w:sz w:val="20"/>
        </w:rPr>
        <w:t>use</w:t>
      </w:r>
      <w:r w:rsidRPr="007F0771">
        <w:rPr>
          <w:rFonts w:ascii="Arial" w:hAnsi="Arial" w:cs="Arial"/>
          <w:spacing w:val="19"/>
          <w:sz w:val="20"/>
        </w:rPr>
        <w:t xml:space="preserve"> </w:t>
      </w:r>
      <w:r w:rsidRPr="007F0771">
        <w:rPr>
          <w:rFonts w:ascii="Arial" w:hAnsi="Arial" w:cs="Arial"/>
          <w:sz w:val="20"/>
        </w:rPr>
        <w:t>or</w:t>
      </w:r>
      <w:r w:rsidRPr="007F0771">
        <w:rPr>
          <w:rFonts w:ascii="Arial" w:hAnsi="Arial" w:cs="Arial"/>
          <w:spacing w:val="21"/>
          <w:sz w:val="20"/>
        </w:rPr>
        <w:t xml:space="preserve"> </w:t>
      </w:r>
      <w:r w:rsidRPr="007F0771">
        <w:rPr>
          <w:rFonts w:ascii="Arial" w:hAnsi="Arial" w:cs="Arial"/>
          <w:sz w:val="20"/>
        </w:rPr>
        <w:t>non-use</w:t>
      </w:r>
      <w:r w:rsidRPr="007F0771">
        <w:rPr>
          <w:rFonts w:ascii="Arial" w:hAnsi="Arial" w:cs="Arial"/>
          <w:spacing w:val="21"/>
          <w:sz w:val="20"/>
        </w:rPr>
        <w:t xml:space="preserve"> </w:t>
      </w:r>
      <w:r w:rsidRPr="007F0771">
        <w:rPr>
          <w:rFonts w:ascii="Arial" w:hAnsi="Arial" w:cs="Arial"/>
          <w:sz w:val="20"/>
        </w:rPr>
        <w:t>of</w:t>
      </w:r>
      <w:r w:rsidRPr="007F0771">
        <w:rPr>
          <w:rFonts w:ascii="Arial" w:hAnsi="Arial" w:cs="Arial"/>
          <w:spacing w:val="18"/>
          <w:sz w:val="20"/>
        </w:rPr>
        <w:t xml:space="preserve"> </w:t>
      </w:r>
      <w:r w:rsidRPr="007F0771">
        <w:rPr>
          <w:rFonts w:ascii="Arial" w:hAnsi="Arial" w:cs="Arial"/>
          <w:sz w:val="20"/>
        </w:rPr>
        <w:t>oxygen</w:t>
      </w:r>
      <w:r w:rsidRPr="007F0771">
        <w:rPr>
          <w:rFonts w:ascii="Arial" w:hAnsi="Arial" w:cs="Arial"/>
          <w:spacing w:val="21"/>
          <w:sz w:val="20"/>
        </w:rPr>
        <w:t xml:space="preserve"> </w:t>
      </w:r>
      <w:r w:rsidRPr="007F0771">
        <w:rPr>
          <w:rFonts w:ascii="Arial" w:hAnsi="Arial" w:cs="Arial"/>
          <w:sz w:val="20"/>
        </w:rPr>
        <w:t>with</w:t>
      </w:r>
      <w:r w:rsidRPr="007F0771">
        <w:rPr>
          <w:rFonts w:ascii="Arial" w:hAnsi="Arial" w:cs="Arial"/>
          <w:spacing w:val="-47"/>
          <w:sz w:val="20"/>
        </w:rPr>
        <w:t xml:space="preserve"> </w:t>
      </w:r>
      <w:r w:rsidRPr="007F0771">
        <w:rPr>
          <w:rFonts w:ascii="Arial" w:hAnsi="Arial" w:cs="Arial"/>
          <w:sz w:val="20"/>
        </w:rPr>
        <w:t>mitigating</w:t>
      </w:r>
      <w:r w:rsidRPr="007F0771">
        <w:rPr>
          <w:rFonts w:ascii="Arial" w:hAnsi="Arial" w:cs="Arial"/>
          <w:spacing w:val="-2"/>
          <w:sz w:val="20"/>
        </w:rPr>
        <w:t xml:space="preserve"> </w:t>
      </w:r>
      <w:r w:rsidRPr="007F0771">
        <w:rPr>
          <w:rFonts w:ascii="Arial" w:hAnsi="Arial" w:cs="Arial"/>
          <w:sz w:val="20"/>
        </w:rPr>
        <w:t>procedures;</w:t>
      </w:r>
    </w:p>
    <w:p w14:paraId="68616083" w14:textId="77777777" w:rsidR="007F0771" w:rsidRPr="007F0771" w:rsidRDefault="007F0771" w:rsidP="00543D7A">
      <w:pPr>
        <w:numPr>
          <w:ilvl w:val="2"/>
          <w:numId w:val="122"/>
        </w:numPr>
        <w:tabs>
          <w:tab w:val="left" w:pos="1841"/>
          <w:tab w:val="left" w:pos="1842"/>
        </w:tabs>
        <w:spacing w:before="120" w:line="276" w:lineRule="auto"/>
        <w:ind w:right="68"/>
        <w:jc w:val="both"/>
        <w:rPr>
          <w:rFonts w:ascii="Arial" w:hAnsi="Arial" w:cs="Arial"/>
          <w:sz w:val="20"/>
        </w:rPr>
      </w:pPr>
      <w:r w:rsidRPr="007F0771">
        <w:rPr>
          <w:rFonts w:ascii="Arial" w:hAnsi="Arial" w:cs="Arial"/>
          <w:sz w:val="20"/>
        </w:rPr>
        <w:t>water</w:t>
      </w:r>
      <w:r w:rsidRPr="007F0771">
        <w:rPr>
          <w:rFonts w:ascii="Arial" w:hAnsi="Arial" w:cs="Arial"/>
          <w:spacing w:val="16"/>
          <w:sz w:val="20"/>
        </w:rPr>
        <w:t xml:space="preserve"> </w:t>
      </w:r>
      <w:r w:rsidRPr="007F0771">
        <w:rPr>
          <w:rFonts w:ascii="Arial" w:hAnsi="Arial" w:cs="Arial"/>
          <w:sz w:val="20"/>
        </w:rPr>
        <w:t>areas:</w:t>
      </w:r>
      <w:r w:rsidRPr="007F0771">
        <w:rPr>
          <w:rFonts w:ascii="Arial" w:hAnsi="Arial" w:cs="Arial"/>
          <w:spacing w:val="19"/>
          <w:sz w:val="20"/>
        </w:rPr>
        <w:t xml:space="preserve"> </w:t>
      </w:r>
      <w:r w:rsidRPr="007F0771">
        <w:rPr>
          <w:rFonts w:ascii="Arial" w:hAnsi="Arial" w:cs="Arial"/>
          <w:sz w:val="20"/>
        </w:rPr>
        <w:t>water</w:t>
      </w:r>
      <w:r w:rsidRPr="007F0771">
        <w:rPr>
          <w:rFonts w:ascii="Arial" w:hAnsi="Arial" w:cs="Arial"/>
          <w:spacing w:val="18"/>
          <w:sz w:val="20"/>
        </w:rPr>
        <w:t xml:space="preserve"> </w:t>
      </w:r>
      <w:r w:rsidRPr="007F0771">
        <w:rPr>
          <w:rFonts w:ascii="Arial" w:hAnsi="Arial" w:cs="Arial"/>
          <w:sz w:val="20"/>
        </w:rPr>
        <w:t>state</w:t>
      </w:r>
      <w:r w:rsidRPr="007F0771">
        <w:rPr>
          <w:rFonts w:ascii="Arial" w:hAnsi="Arial" w:cs="Arial"/>
          <w:spacing w:val="16"/>
          <w:sz w:val="20"/>
        </w:rPr>
        <w:t xml:space="preserve"> </w:t>
      </w:r>
      <w:r w:rsidRPr="007F0771">
        <w:rPr>
          <w:rFonts w:ascii="Arial" w:hAnsi="Arial" w:cs="Arial"/>
          <w:sz w:val="20"/>
        </w:rPr>
        <w:t>and</w:t>
      </w:r>
      <w:r w:rsidRPr="007F0771">
        <w:rPr>
          <w:rFonts w:ascii="Arial" w:hAnsi="Arial" w:cs="Arial"/>
          <w:spacing w:val="17"/>
          <w:sz w:val="20"/>
        </w:rPr>
        <w:t xml:space="preserve"> </w:t>
      </w:r>
      <w:r w:rsidRPr="007F0771">
        <w:rPr>
          <w:rFonts w:ascii="Arial" w:hAnsi="Arial" w:cs="Arial"/>
          <w:sz w:val="20"/>
        </w:rPr>
        <w:t>temperature,</w:t>
      </w:r>
      <w:r w:rsidRPr="007F0771">
        <w:rPr>
          <w:rFonts w:ascii="Arial" w:hAnsi="Arial" w:cs="Arial"/>
          <w:spacing w:val="18"/>
          <w:sz w:val="20"/>
        </w:rPr>
        <w:t xml:space="preserve"> </w:t>
      </w:r>
      <w:r w:rsidRPr="007F0771">
        <w:rPr>
          <w:rFonts w:ascii="Arial" w:hAnsi="Arial" w:cs="Arial"/>
          <w:sz w:val="20"/>
        </w:rPr>
        <w:t>risk</w:t>
      </w:r>
      <w:r w:rsidRPr="007F0771">
        <w:rPr>
          <w:rFonts w:ascii="Arial" w:hAnsi="Arial" w:cs="Arial"/>
          <w:spacing w:val="16"/>
          <w:sz w:val="20"/>
        </w:rPr>
        <w:t xml:space="preserve"> </w:t>
      </w:r>
      <w:r w:rsidRPr="007F0771">
        <w:rPr>
          <w:rFonts w:ascii="Arial" w:hAnsi="Arial" w:cs="Arial"/>
          <w:sz w:val="20"/>
        </w:rPr>
        <w:t>of</w:t>
      </w:r>
      <w:r w:rsidRPr="007F0771">
        <w:rPr>
          <w:rFonts w:ascii="Arial" w:hAnsi="Arial" w:cs="Arial"/>
          <w:spacing w:val="18"/>
          <w:sz w:val="20"/>
        </w:rPr>
        <w:t xml:space="preserve"> </w:t>
      </w:r>
      <w:r w:rsidRPr="007F0771">
        <w:rPr>
          <w:rFonts w:ascii="Arial" w:hAnsi="Arial" w:cs="Arial"/>
          <w:sz w:val="20"/>
        </w:rPr>
        <w:t>ditching,</w:t>
      </w:r>
      <w:r w:rsidRPr="007F0771">
        <w:rPr>
          <w:rFonts w:ascii="Arial" w:hAnsi="Arial" w:cs="Arial"/>
          <w:spacing w:val="18"/>
          <w:sz w:val="20"/>
        </w:rPr>
        <w:t xml:space="preserve"> </w:t>
      </w:r>
      <w:r w:rsidRPr="007F0771">
        <w:rPr>
          <w:rFonts w:ascii="Arial" w:hAnsi="Arial" w:cs="Arial"/>
          <w:sz w:val="20"/>
        </w:rPr>
        <w:t>availability</w:t>
      </w:r>
      <w:r w:rsidRPr="007F0771">
        <w:rPr>
          <w:rFonts w:ascii="Arial" w:hAnsi="Arial" w:cs="Arial"/>
          <w:spacing w:val="16"/>
          <w:sz w:val="20"/>
        </w:rPr>
        <w:t xml:space="preserve"> </w:t>
      </w:r>
      <w:r w:rsidRPr="007F0771">
        <w:rPr>
          <w:rFonts w:ascii="Arial" w:hAnsi="Arial" w:cs="Arial"/>
          <w:sz w:val="20"/>
        </w:rPr>
        <w:t>of</w:t>
      </w:r>
      <w:r w:rsidRPr="007F0771">
        <w:rPr>
          <w:rFonts w:ascii="Arial" w:hAnsi="Arial" w:cs="Arial"/>
          <w:spacing w:val="18"/>
          <w:sz w:val="20"/>
        </w:rPr>
        <w:t xml:space="preserve"> </w:t>
      </w:r>
      <w:r w:rsidRPr="007F0771">
        <w:rPr>
          <w:rFonts w:ascii="Arial" w:hAnsi="Arial" w:cs="Arial"/>
          <w:sz w:val="20"/>
        </w:rPr>
        <w:t>search</w:t>
      </w:r>
      <w:r w:rsidRPr="007F0771">
        <w:rPr>
          <w:rFonts w:ascii="Arial" w:hAnsi="Arial" w:cs="Arial"/>
          <w:spacing w:val="-47"/>
          <w:sz w:val="20"/>
        </w:rPr>
        <w:t xml:space="preserve"> </w:t>
      </w:r>
      <w:r w:rsidRPr="007F0771">
        <w:rPr>
          <w:rFonts w:ascii="Arial" w:hAnsi="Arial" w:cs="Arial"/>
          <w:sz w:val="20"/>
        </w:rPr>
        <w:t>and</w:t>
      </w:r>
      <w:r w:rsidRPr="007F0771">
        <w:rPr>
          <w:rFonts w:ascii="Arial" w:hAnsi="Arial" w:cs="Arial"/>
          <w:spacing w:val="-2"/>
          <w:sz w:val="20"/>
        </w:rPr>
        <w:t xml:space="preserve"> </w:t>
      </w:r>
      <w:r w:rsidRPr="007F0771">
        <w:rPr>
          <w:rFonts w:ascii="Arial" w:hAnsi="Arial" w:cs="Arial"/>
          <w:sz w:val="20"/>
        </w:rPr>
        <w:t>rescue,</w:t>
      </w:r>
      <w:r w:rsidRPr="007F0771">
        <w:rPr>
          <w:rFonts w:ascii="Arial" w:hAnsi="Arial" w:cs="Arial"/>
          <w:spacing w:val="-2"/>
          <w:sz w:val="20"/>
        </w:rPr>
        <w:t xml:space="preserve"> </w:t>
      </w:r>
      <w:r w:rsidRPr="007F0771">
        <w:rPr>
          <w:rFonts w:ascii="Arial" w:hAnsi="Arial" w:cs="Arial"/>
          <w:sz w:val="20"/>
        </w:rPr>
        <w:t>survivability,</w:t>
      </w:r>
      <w:r w:rsidRPr="007F0771">
        <w:rPr>
          <w:rFonts w:ascii="Arial" w:hAnsi="Arial" w:cs="Arial"/>
          <w:spacing w:val="-3"/>
          <w:sz w:val="20"/>
        </w:rPr>
        <w:t xml:space="preserve"> </w:t>
      </w:r>
      <w:r w:rsidRPr="007F0771">
        <w:rPr>
          <w:rFonts w:ascii="Arial" w:hAnsi="Arial" w:cs="Arial"/>
          <w:sz w:val="20"/>
        </w:rPr>
        <w:t>carriage</w:t>
      </w:r>
      <w:r w:rsidRPr="007F0771">
        <w:rPr>
          <w:rFonts w:ascii="Arial" w:hAnsi="Arial" w:cs="Arial"/>
          <w:spacing w:val="1"/>
          <w:sz w:val="20"/>
        </w:rPr>
        <w:t xml:space="preserve"> </w:t>
      </w:r>
      <w:r w:rsidRPr="007F0771">
        <w:rPr>
          <w:rFonts w:ascii="Arial" w:hAnsi="Arial" w:cs="Arial"/>
          <w:sz w:val="20"/>
        </w:rPr>
        <w:t>of</w:t>
      </w:r>
      <w:r w:rsidRPr="007F0771">
        <w:rPr>
          <w:rFonts w:ascii="Arial" w:hAnsi="Arial" w:cs="Arial"/>
          <w:spacing w:val="-3"/>
          <w:sz w:val="20"/>
        </w:rPr>
        <w:t xml:space="preserve"> </w:t>
      </w:r>
      <w:r w:rsidRPr="007F0771">
        <w:rPr>
          <w:rFonts w:ascii="Arial" w:hAnsi="Arial" w:cs="Arial"/>
          <w:sz w:val="20"/>
        </w:rPr>
        <w:t>safety</w:t>
      </w:r>
      <w:r w:rsidRPr="007F0771">
        <w:rPr>
          <w:rFonts w:ascii="Arial" w:hAnsi="Arial" w:cs="Arial"/>
          <w:spacing w:val="-2"/>
          <w:sz w:val="20"/>
        </w:rPr>
        <w:t xml:space="preserve"> </w:t>
      </w:r>
      <w:r w:rsidRPr="007F0771">
        <w:rPr>
          <w:rFonts w:ascii="Arial" w:hAnsi="Arial" w:cs="Arial"/>
          <w:sz w:val="20"/>
        </w:rPr>
        <w:t>equipment;</w:t>
      </w:r>
    </w:p>
    <w:p w14:paraId="7AC0653E" w14:textId="77777777" w:rsidR="007F0771" w:rsidRPr="007F0771" w:rsidRDefault="007F0771" w:rsidP="00543D7A">
      <w:pPr>
        <w:numPr>
          <w:ilvl w:val="2"/>
          <w:numId w:val="122"/>
        </w:numPr>
        <w:tabs>
          <w:tab w:val="left" w:pos="1841"/>
          <w:tab w:val="left" w:pos="1842"/>
        </w:tabs>
        <w:spacing w:before="121" w:line="276" w:lineRule="auto"/>
        <w:ind w:right="68"/>
        <w:jc w:val="both"/>
        <w:rPr>
          <w:rFonts w:ascii="Arial" w:hAnsi="Arial" w:cs="Arial"/>
          <w:sz w:val="20"/>
        </w:rPr>
      </w:pPr>
      <w:r w:rsidRPr="007F0771">
        <w:rPr>
          <w:rFonts w:ascii="Arial" w:hAnsi="Arial" w:cs="Arial"/>
          <w:sz w:val="20"/>
        </w:rPr>
        <w:t>desert</w:t>
      </w:r>
      <w:r w:rsidRPr="007F0771">
        <w:rPr>
          <w:rFonts w:ascii="Arial" w:hAnsi="Arial" w:cs="Arial"/>
          <w:spacing w:val="1"/>
          <w:sz w:val="20"/>
        </w:rPr>
        <w:t xml:space="preserve"> </w:t>
      </w:r>
      <w:r w:rsidRPr="007F0771">
        <w:rPr>
          <w:rFonts w:ascii="Arial" w:hAnsi="Arial" w:cs="Arial"/>
          <w:sz w:val="20"/>
        </w:rPr>
        <w:t>areas:</w:t>
      </w:r>
      <w:r w:rsidRPr="007F0771">
        <w:rPr>
          <w:rFonts w:ascii="Arial" w:hAnsi="Arial" w:cs="Arial"/>
          <w:spacing w:val="1"/>
          <w:sz w:val="20"/>
        </w:rPr>
        <w:t xml:space="preserve"> </w:t>
      </w:r>
      <w:r w:rsidRPr="007F0771">
        <w:rPr>
          <w:rFonts w:ascii="Arial" w:hAnsi="Arial" w:cs="Arial"/>
          <w:sz w:val="20"/>
        </w:rPr>
        <w:t>carriage</w:t>
      </w:r>
      <w:r w:rsidRPr="007F0771">
        <w:rPr>
          <w:rFonts w:ascii="Arial" w:hAnsi="Arial" w:cs="Arial"/>
          <w:spacing w:val="1"/>
          <w:sz w:val="20"/>
        </w:rPr>
        <w:t xml:space="preserve"> </w:t>
      </w:r>
      <w:r w:rsidRPr="007F0771">
        <w:rPr>
          <w:rFonts w:ascii="Arial" w:hAnsi="Arial" w:cs="Arial"/>
          <w:sz w:val="20"/>
        </w:rPr>
        <w:t>of</w:t>
      </w:r>
      <w:r w:rsidRPr="007F0771">
        <w:rPr>
          <w:rFonts w:ascii="Arial" w:hAnsi="Arial" w:cs="Arial"/>
          <w:spacing w:val="1"/>
          <w:sz w:val="20"/>
        </w:rPr>
        <w:t xml:space="preserve"> </w:t>
      </w:r>
      <w:r w:rsidRPr="007F0771">
        <w:rPr>
          <w:rFonts w:ascii="Arial" w:hAnsi="Arial" w:cs="Arial"/>
          <w:sz w:val="20"/>
        </w:rPr>
        <w:t>safety</w:t>
      </w:r>
      <w:r w:rsidRPr="007F0771">
        <w:rPr>
          <w:rFonts w:ascii="Arial" w:hAnsi="Arial" w:cs="Arial"/>
          <w:spacing w:val="1"/>
          <w:sz w:val="20"/>
        </w:rPr>
        <w:t xml:space="preserve"> </w:t>
      </w:r>
      <w:r w:rsidRPr="007F0771">
        <w:rPr>
          <w:rFonts w:ascii="Arial" w:hAnsi="Arial" w:cs="Arial"/>
          <w:sz w:val="20"/>
        </w:rPr>
        <w:t>equipment,</w:t>
      </w:r>
      <w:r w:rsidRPr="007F0771">
        <w:rPr>
          <w:rFonts w:ascii="Arial" w:hAnsi="Arial" w:cs="Arial"/>
          <w:spacing w:val="1"/>
          <w:sz w:val="20"/>
        </w:rPr>
        <w:t xml:space="preserve"> </w:t>
      </w:r>
      <w:r w:rsidRPr="007F0771">
        <w:rPr>
          <w:rFonts w:ascii="Arial" w:hAnsi="Arial" w:cs="Arial"/>
          <w:sz w:val="20"/>
        </w:rPr>
        <w:t>reporting</w:t>
      </w:r>
      <w:r w:rsidRPr="007F0771">
        <w:rPr>
          <w:rFonts w:ascii="Arial" w:hAnsi="Arial" w:cs="Arial"/>
          <w:spacing w:val="1"/>
          <w:sz w:val="20"/>
        </w:rPr>
        <w:t xml:space="preserve"> </w:t>
      </w:r>
      <w:r w:rsidRPr="007F0771">
        <w:rPr>
          <w:rFonts w:ascii="Arial" w:hAnsi="Arial" w:cs="Arial"/>
          <w:sz w:val="20"/>
        </w:rPr>
        <w:t>procedures,</w:t>
      </w:r>
      <w:r w:rsidRPr="007F0771">
        <w:rPr>
          <w:rFonts w:ascii="Arial" w:hAnsi="Arial" w:cs="Arial"/>
          <w:spacing w:val="1"/>
          <w:sz w:val="20"/>
        </w:rPr>
        <w:t xml:space="preserve"> </w:t>
      </w:r>
      <w:r w:rsidRPr="007F0771">
        <w:rPr>
          <w:rFonts w:ascii="Arial" w:hAnsi="Arial" w:cs="Arial"/>
          <w:sz w:val="20"/>
        </w:rPr>
        <w:t>search</w:t>
      </w:r>
      <w:r w:rsidRPr="007F0771">
        <w:rPr>
          <w:rFonts w:ascii="Arial" w:hAnsi="Arial" w:cs="Arial"/>
          <w:spacing w:val="1"/>
          <w:sz w:val="20"/>
        </w:rPr>
        <w:t xml:space="preserve"> </w:t>
      </w:r>
      <w:r w:rsidRPr="007F0771">
        <w:rPr>
          <w:rFonts w:ascii="Arial" w:hAnsi="Arial" w:cs="Arial"/>
          <w:sz w:val="20"/>
        </w:rPr>
        <w:t>and</w:t>
      </w:r>
      <w:r w:rsidRPr="007F0771">
        <w:rPr>
          <w:rFonts w:ascii="Arial" w:hAnsi="Arial" w:cs="Arial"/>
          <w:spacing w:val="-47"/>
          <w:sz w:val="20"/>
        </w:rPr>
        <w:t xml:space="preserve"> </w:t>
      </w:r>
      <w:r w:rsidRPr="007F0771">
        <w:rPr>
          <w:rFonts w:ascii="Arial" w:hAnsi="Arial" w:cs="Arial"/>
          <w:sz w:val="20"/>
        </w:rPr>
        <w:t>rescue</w:t>
      </w:r>
      <w:r w:rsidRPr="007F0771">
        <w:rPr>
          <w:rFonts w:ascii="Arial" w:hAnsi="Arial" w:cs="Arial"/>
          <w:spacing w:val="-1"/>
          <w:sz w:val="20"/>
        </w:rPr>
        <w:t xml:space="preserve"> </w:t>
      </w:r>
      <w:r w:rsidRPr="007F0771">
        <w:rPr>
          <w:rFonts w:ascii="Arial" w:hAnsi="Arial" w:cs="Arial"/>
          <w:sz w:val="20"/>
        </w:rPr>
        <w:t>information; and</w:t>
      </w:r>
    </w:p>
    <w:p w14:paraId="41F8EBB1" w14:textId="77777777" w:rsidR="007F0771" w:rsidRPr="007F0771" w:rsidRDefault="007F0771" w:rsidP="00543D7A">
      <w:pPr>
        <w:numPr>
          <w:ilvl w:val="2"/>
          <w:numId w:val="122"/>
        </w:numPr>
        <w:tabs>
          <w:tab w:val="left" w:pos="1841"/>
          <w:tab w:val="left" w:pos="1842"/>
        </w:tabs>
        <w:spacing w:before="118" w:line="276" w:lineRule="auto"/>
        <w:ind w:right="68"/>
        <w:jc w:val="both"/>
        <w:rPr>
          <w:rFonts w:ascii="Arial" w:hAnsi="Arial" w:cs="Arial"/>
          <w:sz w:val="20"/>
        </w:rPr>
      </w:pPr>
      <w:r w:rsidRPr="007F0771">
        <w:rPr>
          <w:rFonts w:ascii="Arial" w:hAnsi="Arial" w:cs="Arial"/>
          <w:sz w:val="20"/>
        </w:rPr>
        <w:t>other</w:t>
      </w:r>
      <w:r w:rsidRPr="007F0771">
        <w:rPr>
          <w:rFonts w:ascii="Arial" w:hAnsi="Arial" w:cs="Arial"/>
          <w:spacing w:val="-1"/>
          <w:sz w:val="20"/>
        </w:rPr>
        <w:t xml:space="preserve"> </w:t>
      </w:r>
      <w:r w:rsidRPr="007F0771">
        <w:rPr>
          <w:rFonts w:ascii="Arial" w:hAnsi="Arial" w:cs="Arial"/>
          <w:sz w:val="20"/>
        </w:rPr>
        <w:t>areas.</w:t>
      </w:r>
    </w:p>
    <w:p w14:paraId="0576BBFF" w14:textId="77777777" w:rsidR="007F0771" w:rsidRPr="007F0771" w:rsidRDefault="007F0771" w:rsidP="00543D7A">
      <w:pPr>
        <w:numPr>
          <w:ilvl w:val="0"/>
          <w:numId w:val="122"/>
        </w:numPr>
        <w:tabs>
          <w:tab w:val="left" w:pos="706"/>
          <w:tab w:val="left" w:pos="707"/>
        </w:tabs>
        <w:spacing w:before="120" w:line="276" w:lineRule="auto"/>
        <w:ind w:right="68"/>
        <w:jc w:val="both"/>
        <w:rPr>
          <w:rFonts w:ascii="Arial" w:hAnsi="Arial" w:cs="Arial"/>
          <w:sz w:val="20"/>
        </w:rPr>
      </w:pPr>
      <w:r w:rsidRPr="007F0771">
        <w:rPr>
          <w:rFonts w:ascii="Arial" w:hAnsi="Arial" w:cs="Arial"/>
          <w:sz w:val="20"/>
        </w:rPr>
        <w:t>Equipment</w:t>
      </w:r>
    </w:p>
    <w:p w14:paraId="037CD4BC" w14:textId="2C5F2A51" w:rsidR="007F0771" w:rsidRPr="007F0771" w:rsidRDefault="007F0771" w:rsidP="00543D7A">
      <w:pPr>
        <w:ind w:left="720" w:right="68"/>
        <w:jc w:val="both"/>
        <w:rPr>
          <w:rFonts w:ascii="Arial" w:hAnsi="Arial" w:cs="Arial"/>
          <w:sz w:val="20"/>
        </w:rPr>
      </w:pPr>
      <w:r w:rsidRPr="007F0771">
        <w:rPr>
          <w:rFonts w:ascii="Arial" w:hAnsi="Arial" w:cs="Arial"/>
          <w:sz w:val="20"/>
        </w:rPr>
        <w:t>All equipment required for the activity should be listed. This includes installed equipment</w:t>
      </w:r>
      <w:r w:rsidRPr="007F0771">
        <w:rPr>
          <w:rFonts w:ascii="Arial" w:hAnsi="Arial" w:cs="Arial"/>
          <w:spacing w:val="1"/>
          <w:sz w:val="20"/>
        </w:rPr>
        <w:t xml:space="preserve"> </w:t>
      </w:r>
      <w:r w:rsidRPr="007F0771">
        <w:rPr>
          <w:rFonts w:ascii="Arial" w:hAnsi="Arial" w:cs="Arial"/>
          <w:sz w:val="20"/>
        </w:rPr>
        <w:t xml:space="preserve">certified in accordance with Annex I (Part-21) to </w:t>
      </w:r>
      <w:hyperlink r:id="rId73" w:history="1">
        <w:r w:rsidR="00AF471A">
          <w:rPr>
            <w:rStyle w:val="Hyperlink"/>
            <w:rFonts w:ascii="Arial" w:hAnsi="Arial" w:cs="Arial"/>
            <w:sz w:val="20"/>
          </w:rPr>
          <w:t>the order N 20-N of the Minister of Territorial Administration and Infrastructure of RA, dated 18.11.2022</w:t>
        </w:r>
      </w:hyperlink>
      <w:r w:rsidR="00880B32">
        <w:rPr>
          <w:rFonts w:ascii="Arial" w:hAnsi="Arial" w:cs="Arial"/>
          <w:sz w:val="20"/>
        </w:rPr>
        <w:t xml:space="preserve"> </w:t>
      </w:r>
      <w:r w:rsidRPr="007F0771">
        <w:rPr>
          <w:rFonts w:ascii="Arial" w:hAnsi="Arial" w:cs="Arial"/>
          <w:sz w:val="20"/>
        </w:rPr>
        <w:t>as well as</w:t>
      </w:r>
      <w:r w:rsidRPr="007F0771">
        <w:rPr>
          <w:rFonts w:ascii="Arial" w:hAnsi="Arial" w:cs="Arial"/>
          <w:spacing w:val="1"/>
          <w:sz w:val="20"/>
        </w:rPr>
        <w:t xml:space="preserve"> </w:t>
      </w:r>
      <w:r w:rsidRPr="007F0771">
        <w:rPr>
          <w:rFonts w:ascii="Arial" w:hAnsi="Arial" w:cs="Arial"/>
          <w:sz w:val="20"/>
        </w:rPr>
        <w:t>equipment</w:t>
      </w:r>
      <w:r w:rsidRPr="007F0771">
        <w:rPr>
          <w:rFonts w:ascii="Arial" w:hAnsi="Arial" w:cs="Arial"/>
          <w:spacing w:val="-3"/>
          <w:sz w:val="20"/>
        </w:rPr>
        <w:t xml:space="preserve"> </w:t>
      </w:r>
      <w:r w:rsidRPr="007F0771">
        <w:rPr>
          <w:rFonts w:ascii="Arial" w:hAnsi="Arial" w:cs="Arial"/>
          <w:sz w:val="20"/>
        </w:rPr>
        <w:t>approved in</w:t>
      </w:r>
      <w:r w:rsidRPr="007F0771">
        <w:rPr>
          <w:rFonts w:ascii="Arial" w:hAnsi="Arial" w:cs="Arial"/>
          <w:spacing w:val="-1"/>
          <w:sz w:val="20"/>
        </w:rPr>
        <w:t xml:space="preserve"> </w:t>
      </w:r>
      <w:r w:rsidRPr="007F0771">
        <w:rPr>
          <w:rFonts w:ascii="Arial" w:hAnsi="Arial" w:cs="Arial"/>
          <w:sz w:val="20"/>
        </w:rPr>
        <w:t>accordance</w:t>
      </w:r>
      <w:r w:rsidRPr="007F0771">
        <w:rPr>
          <w:rFonts w:ascii="Arial" w:hAnsi="Arial" w:cs="Arial"/>
          <w:spacing w:val="-3"/>
          <w:sz w:val="20"/>
        </w:rPr>
        <w:t xml:space="preserve"> </w:t>
      </w:r>
      <w:r w:rsidRPr="007F0771">
        <w:rPr>
          <w:rFonts w:ascii="Arial" w:hAnsi="Arial" w:cs="Arial"/>
          <w:sz w:val="20"/>
        </w:rPr>
        <w:t>with</w:t>
      </w:r>
      <w:r w:rsidRPr="007F0771">
        <w:rPr>
          <w:rFonts w:ascii="Arial" w:hAnsi="Arial" w:cs="Arial"/>
          <w:spacing w:val="-2"/>
          <w:sz w:val="20"/>
        </w:rPr>
        <w:t xml:space="preserve"> </w:t>
      </w:r>
      <w:r w:rsidRPr="007F0771">
        <w:rPr>
          <w:rFonts w:ascii="Arial" w:hAnsi="Arial" w:cs="Arial"/>
          <w:sz w:val="20"/>
        </w:rPr>
        <w:t>other, officially</w:t>
      </w:r>
      <w:r w:rsidRPr="007F0771">
        <w:rPr>
          <w:rFonts w:ascii="Arial" w:hAnsi="Arial" w:cs="Arial"/>
          <w:spacing w:val="1"/>
          <w:sz w:val="20"/>
        </w:rPr>
        <w:t xml:space="preserve"> </w:t>
      </w:r>
      <w:r w:rsidRPr="007F0771">
        <w:rPr>
          <w:rFonts w:ascii="Arial" w:hAnsi="Arial" w:cs="Arial"/>
          <w:sz w:val="20"/>
        </w:rPr>
        <w:t>recognised</w:t>
      </w:r>
      <w:r w:rsidRPr="007F0771">
        <w:rPr>
          <w:rFonts w:ascii="Arial" w:hAnsi="Arial" w:cs="Arial"/>
          <w:spacing w:val="-1"/>
          <w:sz w:val="20"/>
        </w:rPr>
        <w:t xml:space="preserve"> </w:t>
      </w:r>
      <w:r w:rsidRPr="007F0771">
        <w:rPr>
          <w:rFonts w:ascii="Arial" w:hAnsi="Arial" w:cs="Arial"/>
          <w:sz w:val="20"/>
        </w:rPr>
        <w:t>standards.</w:t>
      </w:r>
    </w:p>
    <w:p w14:paraId="66F9EEC9" w14:textId="77777777" w:rsidR="007F0771" w:rsidRPr="007F0771" w:rsidRDefault="007F0771" w:rsidP="00543D7A">
      <w:pPr>
        <w:numPr>
          <w:ilvl w:val="0"/>
          <w:numId w:val="122"/>
        </w:numPr>
        <w:tabs>
          <w:tab w:val="left" w:pos="707"/>
        </w:tabs>
        <w:spacing w:before="121" w:line="276" w:lineRule="auto"/>
        <w:ind w:right="68"/>
        <w:jc w:val="both"/>
        <w:rPr>
          <w:rFonts w:ascii="Arial" w:hAnsi="Arial" w:cs="Arial"/>
          <w:sz w:val="20"/>
        </w:rPr>
      </w:pPr>
      <w:r w:rsidRPr="007F0771">
        <w:rPr>
          <w:rFonts w:ascii="Arial" w:hAnsi="Arial" w:cs="Arial"/>
          <w:sz w:val="20"/>
        </w:rPr>
        <w:t>Crew</w:t>
      </w:r>
      <w:r w:rsidRPr="007F0771">
        <w:rPr>
          <w:rFonts w:ascii="Arial" w:hAnsi="Arial" w:cs="Arial"/>
          <w:spacing w:val="-4"/>
          <w:sz w:val="20"/>
        </w:rPr>
        <w:t xml:space="preserve"> </w:t>
      </w:r>
      <w:r w:rsidRPr="007F0771">
        <w:rPr>
          <w:rFonts w:ascii="Arial" w:hAnsi="Arial" w:cs="Arial"/>
          <w:sz w:val="20"/>
        </w:rPr>
        <w:t>members</w:t>
      </w:r>
    </w:p>
    <w:p w14:paraId="1D4A8198" w14:textId="77777777" w:rsidR="007F0771" w:rsidRPr="007F0771" w:rsidRDefault="007F0771" w:rsidP="00543D7A">
      <w:pPr>
        <w:numPr>
          <w:ilvl w:val="1"/>
          <w:numId w:val="122"/>
        </w:numPr>
        <w:tabs>
          <w:tab w:val="left" w:pos="1274"/>
        </w:tabs>
        <w:spacing w:before="120" w:line="276" w:lineRule="auto"/>
        <w:ind w:right="68" w:hanging="568"/>
        <w:jc w:val="both"/>
        <w:rPr>
          <w:rFonts w:ascii="Arial" w:hAnsi="Arial" w:cs="Arial"/>
          <w:sz w:val="20"/>
        </w:rPr>
      </w:pPr>
      <w:r w:rsidRPr="007F0771">
        <w:rPr>
          <w:rFonts w:ascii="Arial" w:hAnsi="Arial" w:cs="Arial"/>
          <w:sz w:val="20"/>
        </w:rPr>
        <w:t>The</w:t>
      </w:r>
      <w:r w:rsidRPr="007F0771">
        <w:rPr>
          <w:rFonts w:ascii="Arial" w:hAnsi="Arial" w:cs="Arial"/>
          <w:spacing w:val="-2"/>
          <w:sz w:val="20"/>
        </w:rPr>
        <w:t xml:space="preserve"> </w:t>
      </w:r>
      <w:r w:rsidRPr="007F0771">
        <w:rPr>
          <w:rFonts w:ascii="Arial" w:hAnsi="Arial" w:cs="Arial"/>
          <w:sz w:val="20"/>
        </w:rPr>
        <w:t>crew</w:t>
      </w:r>
      <w:r w:rsidRPr="007F0771">
        <w:rPr>
          <w:rFonts w:ascii="Arial" w:hAnsi="Arial" w:cs="Arial"/>
          <w:spacing w:val="-1"/>
          <w:sz w:val="20"/>
        </w:rPr>
        <w:t xml:space="preserve"> </w:t>
      </w:r>
      <w:r w:rsidRPr="007F0771">
        <w:rPr>
          <w:rFonts w:ascii="Arial" w:hAnsi="Arial" w:cs="Arial"/>
          <w:sz w:val="20"/>
        </w:rPr>
        <w:t>composition</w:t>
      </w:r>
      <w:r w:rsidRPr="007F0771">
        <w:rPr>
          <w:rFonts w:ascii="Arial" w:hAnsi="Arial" w:cs="Arial"/>
          <w:spacing w:val="-5"/>
          <w:sz w:val="20"/>
        </w:rPr>
        <w:t xml:space="preserve"> </w:t>
      </w:r>
      <w:r w:rsidRPr="007F0771">
        <w:rPr>
          <w:rFonts w:ascii="Arial" w:hAnsi="Arial" w:cs="Arial"/>
          <w:sz w:val="20"/>
        </w:rPr>
        <w:t>and</w:t>
      </w:r>
      <w:r w:rsidRPr="007F0771">
        <w:rPr>
          <w:rFonts w:ascii="Arial" w:hAnsi="Arial" w:cs="Arial"/>
          <w:spacing w:val="-5"/>
          <w:sz w:val="20"/>
        </w:rPr>
        <w:t xml:space="preserve"> </w:t>
      </w:r>
      <w:r w:rsidRPr="007F0771">
        <w:rPr>
          <w:rFonts w:ascii="Arial" w:hAnsi="Arial" w:cs="Arial"/>
          <w:sz w:val="20"/>
        </w:rPr>
        <w:t>their</w:t>
      </w:r>
      <w:r w:rsidRPr="007F0771">
        <w:rPr>
          <w:rFonts w:ascii="Arial" w:hAnsi="Arial" w:cs="Arial"/>
          <w:spacing w:val="-2"/>
          <w:sz w:val="20"/>
        </w:rPr>
        <w:t xml:space="preserve"> </w:t>
      </w:r>
      <w:r w:rsidRPr="007F0771">
        <w:rPr>
          <w:rFonts w:ascii="Arial" w:hAnsi="Arial" w:cs="Arial"/>
          <w:sz w:val="20"/>
        </w:rPr>
        <w:t>duties</w:t>
      </w:r>
      <w:r w:rsidRPr="007F0771">
        <w:rPr>
          <w:rFonts w:ascii="Arial" w:hAnsi="Arial" w:cs="Arial"/>
          <w:spacing w:val="-3"/>
          <w:sz w:val="20"/>
        </w:rPr>
        <w:t xml:space="preserve"> </w:t>
      </w:r>
      <w:r w:rsidRPr="007F0771">
        <w:rPr>
          <w:rFonts w:ascii="Arial" w:hAnsi="Arial" w:cs="Arial"/>
          <w:sz w:val="20"/>
        </w:rPr>
        <w:t>should</w:t>
      </w:r>
      <w:r w:rsidRPr="007F0771">
        <w:rPr>
          <w:rFonts w:ascii="Arial" w:hAnsi="Arial" w:cs="Arial"/>
          <w:spacing w:val="-3"/>
          <w:sz w:val="20"/>
        </w:rPr>
        <w:t xml:space="preserve"> </w:t>
      </w:r>
      <w:r w:rsidRPr="007F0771">
        <w:rPr>
          <w:rFonts w:ascii="Arial" w:hAnsi="Arial" w:cs="Arial"/>
          <w:sz w:val="20"/>
        </w:rPr>
        <w:t>be</w:t>
      </w:r>
      <w:r w:rsidRPr="007F0771">
        <w:rPr>
          <w:rFonts w:ascii="Arial" w:hAnsi="Arial" w:cs="Arial"/>
          <w:spacing w:val="-4"/>
          <w:sz w:val="20"/>
        </w:rPr>
        <w:t xml:space="preserve"> </w:t>
      </w:r>
      <w:r w:rsidRPr="007F0771">
        <w:rPr>
          <w:rFonts w:ascii="Arial" w:hAnsi="Arial" w:cs="Arial"/>
          <w:sz w:val="20"/>
        </w:rPr>
        <w:t>specified.</w:t>
      </w:r>
    </w:p>
    <w:p w14:paraId="4E5A5F43" w14:textId="77777777" w:rsidR="007F0771" w:rsidRPr="007F0771" w:rsidRDefault="007F0771" w:rsidP="00543D7A">
      <w:pPr>
        <w:numPr>
          <w:ilvl w:val="1"/>
          <w:numId w:val="122"/>
        </w:numPr>
        <w:tabs>
          <w:tab w:val="left" w:pos="1274"/>
        </w:tabs>
        <w:spacing w:before="120" w:line="276" w:lineRule="auto"/>
        <w:ind w:right="68" w:hanging="568"/>
        <w:jc w:val="both"/>
        <w:rPr>
          <w:rFonts w:ascii="Arial" w:hAnsi="Arial" w:cs="Arial"/>
          <w:sz w:val="20"/>
        </w:rPr>
      </w:pPr>
      <w:r w:rsidRPr="007F0771">
        <w:rPr>
          <w:rFonts w:ascii="Arial" w:hAnsi="Arial" w:cs="Arial"/>
          <w:sz w:val="20"/>
        </w:rPr>
        <w:t>In</w:t>
      </w:r>
      <w:r w:rsidRPr="007F0771">
        <w:rPr>
          <w:rFonts w:ascii="Arial" w:hAnsi="Arial" w:cs="Arial"/>
          <w:spacing w:val="-2"/>
          <w:sz w:val="20"/>
        </w:rPr>
        <w:t xml:space="preserve"> </w:t>
      </w:r>
      <w:r w:rsidRPr="007F0771">
        <w:rPr>
          <w:rFonts w:ascii="Arial" w:hAnsi="Arial" w:cs="Arial"/>
          <w:sz w:val="20"/>
        </w:rPr>
        <w:t>addition,</w:t>
      </w:r>
      <w:r w:rsidRPr="007F0771">
        <w:rPr>
          <w:rFonts w:ascii="Arial" w:hAnsi="Arial" w:cs="Arial"/>
          <w:spacing w:val="-1"/>
          <w:sz w:val="20"/>
        </w:rPr>
        <w:t xml:space="preserve"> </w:t>
      </w:r>
      <w:r w:rsidRPr="007F0771">
        <w:rPr>
          <w:rFonts w:ascii="Arial" w:hAnsi="Arial" w:cs="Arial"/>
          <w:sz w:val="20"/>
        </w:rPr>
        <w:t>for</w:t>
      </w:r>
      <w:r w:rsidRPr="007F0771">
        <w:rPr>
          <w:rFonts w:ascii="Arial" w:hAnsi="Arial" w:cs="Arial"/>
          <w:spacing w:val="-1"/>
          <w:sz w:val="20"/>
        </w:rPr>
        <w:t xml:space="preserve"> </w:t>
      </w:r>
      <w:r w:rsidRPr="007F0771">
        <w:rPr>
          <w:rFonts w:ascii="Arial" w:hAnsi="Arial" w:cs="Arial"/>
          <w:sz w:val="20"/>
        </w:rPr>
        <w:t>flight crew</w:t>
      </w:r>
      <w:r w:rsidRPr="007F0771">
        <w:rPr>
          <w:rFonts w:ascii="Arial" w:hAnsi="Arial" w:cs="Arial"/>
          <w:spacing w:val="-3"/>
          <w:sz w:val="20"/>
        </w:rPr>
        <w:t xml:space="preserve"> </w:t>
      </w:r>
      <w:r w:rsidRPr="007F0771">
        <w:rPr>
          <w:rFonts w:ascii="Arial" w:hAnsi="Arial" w:cs="Arial"/>
          <w:sz w:val="20"/>
        </w:rPr>
        <w:t>members,</w:t>
      </w:r>
      <w:r w:rsidRPr="007F0771">
        <w:rPr>
          <w:rFonts w:ascii="Arial" w:hAnsi="Arial" w:cs="Arial"/>
          <w:spacing w:val="-3"/>
          <w:sz w:val="20"/>
        </w:rPr>
        <w:t xml:space="preserve"> </w:t>
      </w:r>
      <w:r w:rsidRPr="007F0771">
        <w:rPr>
          <w:rFonts w:ascii="Arial" w:hAnsi="Arial" w:cs="Arial"/>
          <w:sz w:val="20"/>
        </w:rPr>
        <w:t>the</w:t>
      </w:r>
      <w:r w:rsidRPr="007F0771">
        <w:rPr>
          <w:rFonts w:ascii="Arial" w:hAnsi="Arial" w:cs="Arial"/>
          <w:spacing w:val="-2"/>
          <w:sz w:val="20"/>
        </w:rPr>
        <w:t xml:space="preserve"> </w:t>
      </w:r>
      <w:r w:rsidRPr="007F0771">
        <w:rPr>
          <w:rFonts w:ascii="Arial" w:hAnsi="Arial" w:cs="Arial"/>
          <w:sz w:val="20"/>
        </w:rPr>
        <w:t>following</w:t>
      </w:r>
      <w:r w:rsidRPr="007F0771">
        <w:rPr>
          <w:rFonts w:ascii="Arial" w:hAnsi="Arial" w:cs="Arial"/>
          <w:spacing w:val="-2"/>
          <w:sz w:val="20"/>
        </w:rPr>
        <w:t xml:space="preserve"> </w:t>
      </w:r>
      <w:r w:rsidRPr="007F0771">
        <w:rPr>
          <w:rFonts w:ascii="Arial" w:hAnsi="Arial" w:cs="Arial"/>
          <w:sz w:val="20"/>
        </w:rPr>
        <w:t>should</w:t>
      </w:r>
      <w:r w:rsidRPr="007F0771">
        <w:rPr>
          <w:rFonts w:ascii="Arial" w:hAnsi="Arial" w:cs="Arial"/>
          <w:spacing w:val="-2"/>
          <w:sz w:val="20"/>
        </w:rPr>
        <w:t xml:space="preserve"> </w:t>
      </w:r>
      <w:r w:rsidRPr="007F0771">
        <w:rPr>
          <w:rFonts w:ascii="Arial" w:hAnsi="Arial" w:cs="Arial"/>
          <w:sz w:val="20"/>
        </w:rPr>
        <w:t>be specified:</w:t>
      </w:r>
    </w:p>
    <w:p w14:paraId="7C056C45" w14:textId="77777777" w:rsidR="007F0771" w:rsidRPr="007F0771" w:rsidRDefault="007F0771" w:rsidP="00543D7A">
      <w:pPr>
        <w:numPr>
          <w:ilvl w:val="2"/>
          <w:numId w:val="122"/>
        </w:numPr>
        <w:tabs>
          <w:tab w:val="left" w:pos="1842"/>
        </w:tabs>
        <w:spacing w:before="120" w:line="276" w:lineRule="auto"/>
        <w:ind w:right="68"/>
        <w:jc w:val="both"/>
        <w:rPr>
          <w:rFonts w:ascii="Arial" w:hAnsi="Arial" w:cs="Arial"/>
          <w:sz w:val="20"/>
        </w:rPr>
      </w:pPr>
      <w:r w:rsidRPr="007F0771">
        <w:rPr>
          <w:rFonts w:ascii="Arial" w:hAnsi="Arial" w:cs="Arial"/>
          <w:sz w:val="20"/>
        </w:rPr>
        <w:t>selection</w:t>
      </w:r>
      <w:r w:rsidRPr="007F0771">
        <w:rPr>
          <w:rFonts w:ascii="Arial" w:hAnsi="Arial" w:cs="Arial"/>
          <w:spacing w:val="-6"/>
          <w:sz w:val="20"/>
        </w:rPr>
        <w:t xml:space="preserve"> </w:t>
      </w:r>
      <w:r w:rsidRPr="007F0771">
        <w:rPr>
          <w:rFonts w:ascii="Arial" w:hAnsi="Arial" w:cs="Arial"/>
          <w:sz w:val="20"/>
        </w:rPr>
        <w:t>criteria</w:t>
      </w:r>
      <w:r w:rsidRPr="007F0771">
        <w:rPr>
          <w:rFonts w:ascii="Arial" w:hAnsi="Arial" w:cs="Arial"/>
          <w:spacing w:val="-4"/>
          <w:sz w:val="20"/>
        </w:rPr>
        <w:t xml:space="preserve"> </w:t>
      </w:r>
      <w:r w:rsidRPr="007F0771">
        <w:rPr>
          <w:rFonts w:ascii="Arial" w:hAnsi="Arial" w:cs="Arial"/>
          <w:sz w:val="20"/>
        </w:rPr>
        <w:t>(initial</w:t>
      </w:r>
      <w:r w:rsidRPr="007F0771">
        <w:rPr>
          <w:rFonts w:ascii="Arial" w:hAnsi="Arial" w:cs="Arial"/>
          <w:spacing w:val="-5"/>
          <w:sz w:val="20"/>
        </w:rPr>
        <w:t xml:space="preserve"> </w:t>
      </w:r>
      <w:r w:rsidRPr="007F0771">
        <w:rPr>
          <w:rFonts w:ascii="Arial" w:hAnsi="Arial" w:cs="Arial"/>
          <w:sz w:val="20"/>
        </w:rPr>
        <w:t>qualification,</w:t>
      </w:r>
      <w:r w:rsidRPr="007F0771">
        <w:rPr>
          <w:rFonts w:ascii="Arial" w:hAnsi="Arial" w:cs="Arial"/>
          <w:spacing w:val="-4"/>
          <w:sz w:val="20"/>
        </w:rPr>
        <w:t xml:space="preserve"> </w:t>
      </w:r>
      <w:r w:rsidRPr="007F0771">
        <w:rPr>
          <w:rFonts w:ascii="Arial" w:hAnsi="Arial" w:cs="Arial"/>
          <w:sz w:val="20"/>
        </w:rPr>
        <w:t>flight</w:t>
      </w:r>
      <w:r w:rsidRPr="007F0771">
        <w:rPr>
          <w:rFonts w:ascii="Arial" w:hAnsi="Arial" w:cs="Arial"/>
          <w:spacing w:val="-4"/>
          <w:sz w:val="20"/>
        </w:rPr>
        <w:t xml:space="preserve"> </w:t>
      </w:r>
      <w:r w:rsidRPr="007F0771">
        <w:rPr>
          <w:rFonts w:ascii="Arial" w:hAnsi="Arial" w:cs="Arial"/>
          <w:sz w:val="20"/>
        </w:rPr>
        <w:t>experience,</w:t>
      </w:r>
      <w:r w:rsidRPr="007F0771">
        <w:rPr>
          <w:rFonts w:ascii="Arial" w:hAnsi="Arial" w:cs="Arial"/>
          <w:spacing w:val="-5"/>
          <w:sz w:val="20"/>
        </w:rPr>
        <w:t xml:space="preserve"> </w:t>
      </w:r>
      <w:r w:rsidRPr="007F0771">
        <w:rPr>
          <w:rFonts w:ascii="Arial" w:hAnsi="Arial" w:cs="Arial"/>
          <w:sz w:val="20"/>
        </w:rPr>
        <w:t>experience</w:t>
      </w:r>
      <w:r w:rsidRPr="007F0771">
        <w:rPr>
          <w:rFonts w:ascii="Arial" w:hAnsi="Arial" w:cs="Arial"/>
          <w:spacing w:val="-4"/>
          <w:sz w:val="20"/>
        </w:rPr>
        <w:t xml:space="preserve"> </w:t>
      </w:r>
      <w:r w:rsidRPr="007F0771">
        <w:rPr>
          <w:rFonts w:ascii="Arial" w:hAnsi="Arial" w:cs="Arial"/>
          <w:sz w:val="20"/>
        </w:rPr>
        <w:t>in</w:t>
      </w:r>
      <w:r w:rsidRPr="007F0771">
        <w:rPr>
          <w:rFonts w:ascii="Arial" w:hAnsi="Arial" w:cs="Arial"/>
          <w:spacing w:val="-5"/>
          <w:sz w:val="20"/>
        </w:rPr>
        <w:t xml:space="preserve"> </w:t>
      </w:r>
      <w:r w:rsidRPr="007F0771">
        <w:rPr>
          <w:rFonts w:ascii="Arial" w:hAnsi="Arial" w:cs="Arial"/>
          <w:sz w:val="20"/>
        </w:rPr>
        <w:t>the</w:t>
      </w:r>
      <w:r w:rsidRPr="007F0771">
        <w:rPr>
          <w:rFonts w:ascii="Arial" w:hAnsi="Arial" w:cs="Arial"/>
          <w:spacing w:val="-4"/>
          <w:sz w:val="20"/>
        </w:rPr>
        <w:t xml:space="preserve"> </w:t>
      </w:r>
      <w:r w:rsidRPr="007F0771">
        <w:rPr>
          <w:rFonts w:ascii="Arial" w:hAnsi="Arial" w:cs="Arial"/>
          <w:sz w:val="20"/>
        </w:rPr>
        <w:t>activity);</w:t>
      </w:r>
    </w:p>
    <w:p w14:paraId="77179896" w14:textId="77777777" w:rsidR="007F0771" w:rsidRPr="007F0771" w:rsidRDefault="007F0771" w:rsidP="00543D7A">
      <w:pPr>
        <w:numPr>
          <w:ilvl w:val="2"/>
          <w:numId w:val="122"/>
        </w:numPr>
        <w:tabs>
          <w:tab w:val="left" w:pos="1842"/>
        </w:tabs>
        <w:spacing w:before="118" w:line="276" w:lineRule="auto"/>
        <w:ind w:right="68"/>
        <w:jc w:val="both"/>
        <w:rPr>
          <w:rFonts w:ascii="Arial" w:hAnsi="Arial" w:cs="Arial"/>
          <w:sz w:val="20"/>
        </w:rPr>
      </w:pPr>
      <w:r w:rsidRPr="007F0771">
        <w:rPr>
          <w:rFonts w:ascii="Arial" w:hAnsi="Arial" w:cs="Arial"/>
          <w:sz w:val="20"/>
        </w:rPr>
        <w:t>initial</w:t>
      </w:r>
      <w:r w:rsidRPr="007F0771">
        <w:rPr>
          <w:rFonts w:ascii="Arial" w:hAnsi="Arial" w:cs="Arial"/>
          <w:spacing w:val="-2"/>
          <w:sz w:val="20"/>
        </w:rPr>
        <w:t xml:space="preserve"> </w:t>
      </w:r>
      <w:r w:rsidRPr="007F0771">
        <w:rPr>
          <w:rFonts w:ascii="Arial" w:hAnsi="Arial" w:cs="Arial"/>
          <w:sz w:val="20"/>
        </w:rPr>
        <w:t>training</w:t>
      </w:r>
      <w:r w:rsidRPr="007F0771">
        <w:rPr>
          <w:rFonts w:ascii="Arial" w:hAnsi="Arial" w:cs="Arial"/>
          <w:spacing w:val="-2"/>
          <w:sz w:val="20"/>
        </w:rPr>
        <w:t xml:space="preserve"> </w:t>
      </w:r>
      <w:r w:rsidRPr="007F0771">
        <w:rPr>
          <w:rFonts w:ascii="Arial" w:hAnsi="Arial" w:cs="Arial"/>
          <w:sz w:val="20"/>
        </w:rPr>
        <w:t>(volume</w:t>
      </w:r>
      <w:r w:rsidRPr="007F0771">
        <w:rPr>
          <w:rFonts w:ascii="Arial" w:hAnsi="Arial" w:cs="Arial"/>
          <w:spacing w:val="1"/>
          <w:sz w:val="20"/>
        </w:rPr>
        <w:t xml:space="preserve"> </w:t>
      </w:r>
      <w:r w:rsidRPr="007F0771">
        <w:rPr>
          <w:rFonts w:ascii="Arial" w:hAnsi="Arial" w:cs="Arial"/>
          <w:sz w:val="20"/>
        </w:rPr>
        <w:t>and</w:t>
      </w:r>
      <w:r w:rsidRPr="007F0771">
        <w:rPr>
          <w:rFonts w:ascii="Arial" w:hAnsi="Arial" w:cs="Arial"/>
          <w:spacing w:val="-5"/>
          <w:sz w:val="20"/>
        </w:rPr>
        <w:t xml:space="preserve"> </w:t>
      </w:r>
      <w:r w:rsidRPr="007F0771">
        <w:rPr>
          <w:rFonts w:ascii="Arial" w:hAnsi="Arial" w:cs="Arial"/>
          <w:sz w:val="20"/>
        </w:rPr>
        <w:t>content</w:t>
      </w:r>
      <w:r w:rsidRPr="007F0771">
        <w:rPr>
          <w:rFonts w:ascii="Arial" w:hAnsi="Arial" w:cs="Arial"/>
          <w:spacing w:val="-2"/>
          <w:sz w:val="20"/>
        </w:rPr>
        <w:t xml:space="preserve"> </w:t>
      </w:r>
      <w:r w:rsidRPr="007F0771">
        <w:rPr>
          <w:rFonts w:ascii="Arial" w:hAnsi="Arial" w:cs="Arial"/>
          <w:sz w:val="20"/>
        </w:rPr>
        <w:t>of</w:t>
      </w:r>
      <w:r w:rsidRPr="007F0771">
        <w:rPr>
          <w:rFonts w:ascii="Arial" w:hAnsi="Arial" w:cs="Arial"/>
          <w:spacing w:val="-1"/>
          <w:sz w:val="20"/>
        </w:rPr>
        <w:t xml:space="preserve"> </w:t>
      </w:r>
      <w:r w:rsidRPr="007F0771">
        <w:rPr>
          <w:rFonts w:ascii="Arial" w:hAnsi="Arial" w:cs="Arial"/>
          <w:sz w:val="20"/>
        </w:rPr>
        <w:t>the</w:t>
      </w:r>
      <w:r w:rsidRPr="007F0771">
        <w:rPr>
          <w:rFonts w:ascii="Arial" w:hAnsi="Arial" w:cs="Arial"/>
          <w:spacing w:val="1"/>
          <w:sz w:val="20"/>
        </w:rPr>
        <w:t xml:space="preserve"> </w:t>
      </w:r>
      <w:r w:rsidRPr="007F0771">
        <w:rPr>
          <w:rFonts w:ascii="Arial" w:hAnsi="Arial" w:cs="Arial"/>
          <w:sz w:val="20"/>
        </w:rPr>
        <w:t>training);</w:t>
      </w:r>
      <w:r w:rsidRPr="007F0771">
        <w:rPr>
          <w:rFonts w:ascii="Arial" w:hAnsi="Arial" w:cs="Arial"/>
          <w:spacing w:val="-3"/>
          <w:sz w:val="20"/>
        </w:rPr>
        <w:t xml:space="preserve"> </w:t>
      </w:r>
      <w:r w:rsidRPr="007F0771">
        <w:rPr>
          <w:rFonts w:ascii="Arial" w:hAnsi="Arial" w:cs="Arial"/>
          <w:sz w:val="20"/>
        </w:rPr>
        <w:t>and</w:t>
      </w:r>
    </w:p>
    <w:p w14:paraId="5F45A6B4" w14:textId="77777777" w:rsidR="007F0771" w:rsidRPr="007F0771" w:rsidRDefault="007F0771" w:rsidP="00543D7A">
      <w:pPr>
        <w:numPr>
          <w:ilvl w:val="2"/>
          <w:numId w:val="122"/>
        </w:numPr>
        <w:tabs>
          <w:tab w:val="left" w:pos="1842"/>
        </w:tabs>
        <w:spacing w:before="121" w:line="276" w:lineRule="auto"/>
        <w:ind w:right="68"/>
        <w:jc w:val="both"/>
        <w:rPr>
          <w:rFonts w:ascii="Arial" w:hAnsi="Arial" w:cs="Arial"/>
          <w:sz w:val="20"/>
        </w:rPr>
      </w:pPr>
      <w:r w:rsidRPr="007F0771">
        <w:rPr>
          <w:rFonts w:ascii="Arial" w:hAnsi="Arial" w:cs="Arial"/>
          <w:sz w:val="20"/>
        </w:rPr>
        <w:t>recent experience requirement and recurrent training (volume and content of the</w:t>
      </w:r>
      <w:r w:rsidRPr="007F0771">
        <w:rPr>
          <w:rFonts w:ascii="Arial" w:hAnsi="Arial" w:cs="Arial"/>
          <w:spacing w:val="-47"/>
          <w:sz w:val="20"/>
        </w:rPr>
        <w:t xml:space="preserve"> </w:t>
      </w:r>
      <w:r w:rsidRPr="007F0771">
        <w:rPr>
          <w:rFonts w:ascii="Arial" w:hAnsi="Arial" w:cs="Arial"/>
          <w:sz w:val="20"/>
        </w:rPr>
        <w:t>training).</w:t>
      </w:r>
    </w:p>
    <w:p w14:paraId="0E193D1B" w14:textId="77777777" w:rsidR="007F0771" w:rsidRPr="007F0771" w:rsidRDefault="007F0771" w:rsidP="00543D7A">
      <w:pPr>
        <w:numPr>
          <w:ilvl w:val="1"/>
          <w:numId w:val="122"/>
        </w:numPr>
        <w:tabs>
          <w:tab w:val="left" w:pos="1274"/>
        </w:tabs>
        <w:spacing w:before="121" w:line="276" w:lineRule="auto"/>
        <w:ind w:right="68"/>
        <w:jc w:val="both"/>
        <w:rPr>
          <w:rFonts w:ascii="Arial" w:hAnsi="Arial" w:cs="Arial"/>
          <w:sz w:val="20"/>
        </w:rPr>
      </w:pPr>
      <w:r w:rsidRPr="007F0771">
        <w:rPr>
          <w:rFonts w:ascii="Arial" w:hAnsi="Arial" w:cs="Arial"/>
          <w:sz w:val="20"/>
        </w:rPr>
        <w:t>The criteria listed in (2) should take into account the operational environment and the</w:t>
      </w:r>
      <w:r w:rsidRPr="007F0771">
        <w:rPr>
          <w:rFonts w:ascii="Arial" w:hAnsi="Arial" w:cs="Arial"/>
          <w:spacing w:val="1"/>
          <w:sz w:val="20"/>
        </w:rPr>
        <w:t xml:space="preserve"> </w:t>
      </w:r>
      <w:r w:rsidRPr="007F0771">
        <w:rPr>
          <w:rFonts w:ascii="Arial" w:hAnsi="Arial" w:cs="Arial"/>
          <w:sz w:val="20"/>
        </w:rPr>
        <w:t>complexity</w:t>
      </w:r>
      <w:r w:rsidRPr="007F0771">
        <w:rPr>
          <w:rFonts w:ascii="Arial" w:hAnsi="Arial" w:cs="Arial"/>
          <w:spacing w:val="-3"/>
          <w:sz w:val="20"/>
        </w:rPr>
        <w:t xml:space="preserve"> </w:t>
      </w:r>
      <w:r w:rsidRPr="007F0771">
        <w:rPr>
          <w:rFonts w:ascii="Arial" w:hAnsi="Arial" w:cs="Arial"/>
          <w:sz w:val="20"/>
        </w:rPr>
        <w:t>of the activity,</w:t>
      </w:r>
      <w:r w:rsidRPr="007F0771">
        <w:rPr>
          <w:rFonts w:ascii="Arial" w:hAnsi="Arial" w:cs="Arial"/>
          <w:spacing w:val="-2"/>
          <w:sz w:val="20"/>
        </w:rPr>
        <w:t xml:space="preserve"> </w:t>
      </w:r>
      <w:r w:rsidRPr="007F0771">
        <w:rPr>
          <w:rFonts w:ascii="Arial" w:hAnsi="Arial" w:cs="Arial"/>
          <w:sz w:val="20"/>
        </w:rPr>
        <w:t>and</w:t>
      </w:r>
      <w:r w:rsidRPr="007F0771">
        <w:rPr>
          <w:rFonts w:ascii="Arial" w:hAnsi="Arial" w:cs="Arial"/>
          <w:spacing w:val="-1"/>
          <w:sz w:val="20"/>
        </w:rPr>
        <w:t xml:space="preserve"> </w:t>
      </w:r>
      <w:r w:rsidRPr="007F0771">
        <w:rPr>
          <w:rFonts w:ascii="Arial" w:hAnsi="Arial" w:cs="Arial"/>
          <w:sz w:val="20"/>
        </w:rPr>
        <w:t>should</w:t>
      </w:r>
      <w:r w:rsidRPr="007F0771">
        <w:rPr>
          <w:rFonts w:ascii="Arial" w:hAnsi="Arial" w:cs="Arial"/>
          <w:spacing w:val="-2"/>
          <w:sz w:val="20"/>
        </w:rPr>
        <w:t xml:space="preserve"> </w:t>
      </w:r>
      <w:r w:rsidRPr="007F0771">
        <w:rPr>
          <w:rFonts w:ascii="Arial" w:hAnsi="Arial" w:cs="Arial"/>
          <w:sz w:val="20"/>
        </w:rPr>
        <w:t>be detailed</w:t>
      </w:r>
      <w:r w:rsidRPr="007F0771">
        <w:rPr>
          <w:rFonts w:ascii="Arial" w:hAnsi="Arial" w:cs="Arial"/>
          <w:spacing w:val="-2"/>
          <w:sz w:val="20"/>
        </w:rPr>
        <w:t xml:space="preserve"> </w:t>
      </w:r>
      <w:r w:rsidRPr="007F0771">
        <w:rPr>
          <w:rFonts w:ascii="Arial" w:hAnsi="Arial" w:cs="Arial"/>
          <w:sz w:val="20"/>
        </w:rPr>
        <w:t>in the</w:t>
      </w:r>
      <w:r w:rsidRPr="007F0771">
        <w:rPr>
          <w:rFonts w:ascii="Arial" w:hAnsi="Arial" w:cs="Arial"/>
          <w:spacing w:val="1"/>
          <w:sz w:val="20"/>
        </w:rPr>
        <w:t xml:space="preserve"> </w:t>
      </w:r>
      <w:r w:rsidRPr="007F0771">
        <w:rPr>
          <w:rFonts w:ascii="Arial" w:hAnsi="Arial" w:cs="Arial"/>
          <w:sz w:val="20"/>
        </w:rPr>
        <w:t>training</w:t>
      </w:r>
      <w:r w:rsidRPr="007F0771">
        <w:rPr>
          <w:rFonts w:ascii="Arial" w:hAnsi="Arial" w:cs="Arial"/>
          <w:spacing w:val="-2"/>
          <w:sz w:val="20"/>
        </w:rPr>
        <w:t xml:space="preserve"> </w:t>
      </w:r>
      <w:r w:rsidRPr="007F0771">
        <w:rPr>
          <w:rFonts w:ascii="Arial" w:hAnsi="Arial" w:cs="Arial"/>
          <w:sz w:val="20"/>
        </w:rPr>
        <w:t>programmes.</w:t>
      </w:r>
    </w:p>
    <w:p w14:paraId="7949F5FE" w14:textId="77777777" w:rsidR="007F0771" w:rsidRPr="007F0771" w:rsidRDefault="007F0771" w:rsidP="00543D7A">
      <w:pPr>
        <w:numPr>
          <w:ilvl w:val="0"/>
          <w:numId w:val="122"/>
        </w:numPr>
        <w:tabs>
          <w:tab w:val="left" w:pos="707"/>
        </w:tabs>
        <w:spacing w:before="120" w:line="276" w:lineRule="auto"/>
        <w:ind w:right="68"/>
        <w:jc w:val="both"/>
        <w:rPr>
          <w:rFonts w:ascii="Arial" w:hAnsi="Arial" w:cs="Arial"/>
          <w:sz w:val="20"/>
        </w:rPr>
      </w:pPr>
      <w:r w:rsidRPr="007F0771">
        <w:rPr>
          <w:rFonts w:ascii="Arial" w:hAnsi="Arial" w:cs="Arial"/>
          <w:sz w:val="20"/>
        </w:rPr>
        <w:t>Performance</w:t>
      </w:r>
    </w:p>
    <w:p w14:paraId="256F1287" w14:textId="77777777" w:rsidR="007F0771" w:rsidRPr="007F0771" w:rsidRDefault="007F0771" w:rsidP="00543D7A">
      <w:pPr>
        <w:spacing w:before="120" w:line="276" w:lineRule="auto"/>
        <w:ind w:left="706" w:right="68"/>
        <w:jc w:val="both"/>
        <w:rPr>
          <w:rFonts w:ascii="Arial" w:hAnsi="Arial" w:cs="Arial"/>
          <w:sz w:val="20"/>
        </w:rPr>
      </w:pPr>
      <w:r w:rsidRPr="007F0771">
        <w:rPr>
          <w:rFonts w:ascii="Arial" w:hAnsi="Arial" w:cs="Arial"/>
          <w:sz w:val="20"/>
        </w:rPr>
        <w:t>Details</w:t>
      </w:r>
      <w:r w:rsidRPr="007F0771">
        <w:rPr>
          <w:rFonts w:ascii="Arial" w:hAnsi="Arial" w:cs="Arial"/>
          <w:spacing w:val="-5"/>
          <w:sz w:val="20"/>
        </w:rPr>
        <w:t xml:space="preserve"> </w:t>
      </w:r>
      <w:r w:rsidRPr="007F0771">
        <w:rPr>
          <w:rFonts w:ascii="Arial" w:hAnsi="Arial" w:cs="Arial"/>
          <w:sz w:val="20"/>
        </w:rPr>
        <w:t>on</w:t>
      </w:r>
      <w:r w:rsidRPr="007F0771">
        <w:rPr>
          <w:rFonts w:ascii="Arial" w:hAnsi="Arial" w:cs="Arial"/>
          <w:spacing w:val="-5"/>
          <w:sz w:val="20"/>
        </w:rPr>
        <w:t xml:space="preserve"> </w:t>
      </w:r>
      <w:r w:rsidRPr="007F0771">
        <w:rPr>
          <w:rFonts w:ascii="Arial" w:hAnsi="Arial" w:cs="Arial"/>
          <w:sz w:val="20"/>
        </w:rPr>
        <w:t>applicable,</w:t>
      </w:r>
      <w:r w:rsidRPr="007F0771">
        <w:rPr>
          <w:rFonts w:ascii="Arial" w:hAnsi="Arial" w:cs="Arial"/>
          <w:spacing w:val="-2"/>
          <w:sz w:val="20"/>
        </w:rPr>
        <w:t xml:space="preserve"> </w:t>
      </w:r>
      <w:r w:rsidRPr="007F0771">
        <w:rPr>
          <w:rFonts w:ascii="Arial" w:hAnsi="Arial" w:cs="Arial"/>
          <w:sz w:val="20"/>
        </w:rPr>
        <w:t>specific</w:t>
      </w:r>
      <w:r w:rsidRPr="007F0771">
        <w:rPr>
          <w:rFonts w:ascii="Arial" w:hAnsi="Arial" w:cs="Arial"/>
          <w:spacing w:val="-3"/>
          <w:sz w:val="20"/>
        </w:rPr>
        <w:t xml:space="preserve"> </w:t>
      </w:r>
      <w:r w:rsidRPr="007F0771">
        <w:rPr>
          <w:rFonts w:ascii="Arial" w:hAnsi="Arial" w:cs="Arial"/>
          <w:sz w:val="20"/>
        </w:rPr>
        <w:t>performance</w:t>
      </w:r>
      <w:r w:rsidRPr="007F0771">
        <w:rPr>
          <w:rFonts w:ascii="Arial" w:hAnsi="Arial" w:cs="Arial"/>
          <w:spacing w:val="-1"/>
          <w:sz w:val="20"/>
        </w:rPr>
        <w:t xml:space="preserve"> </w:t>
      </w:r>
      <w:r w:rsidRPr="007F0771">
        <w:rPr>
          <w:rFonts w:ascii="Arial" w:hAnsi="Arial" w:cs="Arial"/>
          <w:sz w:val="20"/>
        </w:rPr>
        <w:t>requirements</w:t>
      </w:r>
      <w:r w:rsidRPr="007F0771">
        <w:rPr>
          <w:rFonts w:ascii="Arial" w:hAnsi="Arial" w:cs="Arial"/>
          <w:spacing w:val="-1"/>
          <w:sz w:val="20"/>
        </w:rPr>
        <w:t xml:space="preserve"> </w:t>
      </w:r>
      <w:r w:rsidRPr="007F0771">
        <w:rPr>
          <w:rFonts w:ascii="Arial" w:hAnsi="Arial" w:cs="Arial"/>
          <w:sz w:val="20"/>
        </w:rPr>
        <w:t>should</w:t>
      </w:r>
      <w:r w:rsidRPr="007F0771">
        <w:rPr>
          <w:rFonts w:ascii="Arial" w:hAnsi="Arial" w:cs="Arial"/>
          <w:spacing w:val="-4"/>
          <w:sz w:val="20"/>
        </w:rPr>
        <w:t xml:space="preserve"> </w:t>
      </w:r>
      <w:r w:rsidRPr="007F0771">
        <w:rPr>
          <w:rFonts w:ascii="Arial" w:hAnsi="Arial" w:cs="Arial"/>
          <w:sz w:val="20"/>
        </w:rPr>
        <w:t>be</w:t>
      </w:r>
      <w:r w:rsidRPr="007F0771">
        <w:rPr>
          <w:rFonts w:ascii="Arial" w:hAnsi="Arial" w:cs="Arial"/>
          <w:spacing w:val="-5"/>
          <w:sz w:val="20"/>
        </w:rPr>
        <w:t xml:space="preserve"> </w:t>
      </w:r>
      <w:r w:rsidRPr="007F0771">
        <w:rPr>
          <w:rFonts w:ascii="Arial" w:hAnsi="Arial" w:cs="Arial"/>
          <w:sz w:val="20"/>
        </w:rPr>
        <w:t>provided.</w:t>
      </w:r>
    </w:p>
    <w:p w14:paraId="31268542" w14:textId="77777777" w:rsidR="007F0771" w:rsidRPr="007F0771" w:rsidRDefault="007F0771" w:rsidP="00543D7A">
      <w:pPr>
        <w:numPr>
          <w:ilvl w:val="0"/>
          <w:numId w:val="122"/>
        </w:numPr>
        <w:tabs>
          <w:tab w:val="left" w:pos="707"/>
        </w:tabs>
        <w:spacing w:before="57" w:line="276" w:lineRule="auto"/>
        <w:ind w:right="68"/>
        <w:jc w:val="both"/>
        <w:rPr>
          <w:rFonts w:ascii="Arial" w:hAnsi="Arial" w:cs="Arial"/>
          <w:sz w:val="20"/>
        </w:rPr>
      </w:pPr>
      <w:r w:rsidRPr="007F0771">
        <w:rPr>
          <w:rFonts w:ascii="Arial" w:hAnsi="Arial" w:cs="Arial"/>
          <w:sz w:val="20"/>
        </w:rPr>
        <w:t>Normal,</w:t>
      </w:r>
      <w:r w:rsidRPr="007F0771">
        <w:rPr>
          <w:rFonts w:ascii="Arial" w:hAnsi="Arial" w:cs="Arial"/>
          <w:spacing w:val="-3"/>
          <w:sz w:val="20"/>
        </w:rPr>
        <w:t xml:space="preserve"> </w:t>
      </w:r>
      <w:r w:rsidRPr="007F0771">
        <w:rPr>
          <w:rFonts w:ascii="Arial" w:hAnsi="Arial" w:cs="Arial"/>
          <w:sz w:val="20"/>
        </w:rPr>
        <w:t>abnormal and</w:t>
      </w:r>
      <w:r w:rsidRPr="007F0771">
        <w:rPr>
          <w:rFonts w:ascii="Arial" w:hAnsi="Arial" w:cs="Arial"/>
          <w:spacing w:val="-3"/>
          <w:sz w:val="20"/>
        </w:rPr>
        <w:t xml:space="preserve"> </w:t>
      </w:r>
      <w:r w:rsidRPr="007F0771">
        <w:rPr>
          <w:rFonts w:ascii="Arial" w:hAnsi="Arial" w:cs="Arial"/>
          <w:sz w:val="20"/>
        </w:rPr>
        <w:t>emergency</w:t>
      </w:r>
      <w:r w:rsidRPr="007F0771">
        <w:rPr>
          <w:rFonts w:ascii="Arial" w:hAnsi="Arial" w:cs="Arial"/>
          <w:spacing w:val="-2"/>
          <w:sz w:val="20"/>
        </w:rPr>
        <w:t xml:space="preserve"> </w:t>
      </w:r>
      <w:r w:rsidRPr="007F0771">
        <w:rPr>
          <w:rFonts w:ascii="Arial" w:hAnsi="Arial" w:cs="Arial"/>
          <w:sz w:val="20"/>
        </w:rPr>
        <w:t>procedures</w:t>
      </w:r>
    </w:p>
    <w:p w14:paraId="2DD30201" w14:textId="77777777" w:rsidR="007F0771" w:rsidRPr="007F0771" w:rsidRDefault="007F0771" w:rsidP="00543D7A">
      <w:pPr>
        <w:spacing w:before="122" w:line="276" w:lineRule="auto"/>
        <w:ind w:left="706" w:right="68"/>
        <w:jc w:val="both"/>
        <w:rPr>
          <w:rFonts w:ascii="Arial" w:hAnsi="Arial" w:cs="Arial"/>
          <w:sz w:val="20"/>
        </w:rPr>
      </w:pPr>
      <w:r w:rsidRPr="007F0771">
        <w:rPr>
          <w:rFonts w:ascii="Arial" w:hAnsi="Arial" w:cs="Arial"/>
          <w:sz w:val="20"/>
        </w:rPr>
        <w:t>The normal, abnormal and emergency procedures to be applied in flight and on the ground</w:t>
      </w:r>
      <w:r w:rsidRPr="007F0771">
        <w:rPr>
          <w:rFonts w:ascii="Arial" w:hAnsi="Arial" w:cs="Arial"/>
          <w:spacing w:val="1"/>
          <w:sz w:val="20"/>
        </w:rPr>
        <w:t xml:space="preserve"> </w:t>
      </w:r>
      <w:r w:rsidRPr="007F0771">
        <w:rPr>
          <w:rFonts w:ascii="Arial" w:hAnsi="Arial" w:cs="Arial"/>
          <w:sz w:val="20"/>
        </w:rPr>
        <w:t>should</w:t>
      </w:r>
      <w:r w:rsidRPr="007F0771">
        <w:rPr>
          <w:rFonts w:ascii="Arial" w:hAnsi="Arial" w:cs="Arial"/>
          <w:spacing w:val="-3"/>
          <w:sz w:val="20"/>
        </w:rPr>
        <w:t xml:space="preserve"> </w:t>
      </w:r>
      <w:r w:rsidRPr="007F0771">
        <w:rPr>
          <w:rFonts w:ascii="Arial" w:hAnsi="Arial" w:cs="Arial"/>
          <w:sz w:val="20"/>
        </w:rPr>
        <w:t>be described.</w:t>
      </w:r>
    </w:p>
    <w:p w14:paraId="1300AFB7" w14:textId="77777777" w:rsidR="007F0771" w:rsidRPr="007F0771" w:rsidRDefault="007F0771" w:rsidP="00543D7A">
      <w:pPr>
        <w:numPr>
          <w:ilvl w:val="0"/>
          <w:numId w:val="122"/>
        </w:numPr>
        <w:tabs>
          <w:tab w:val="left" w:pos="707"/>
        </w:tabs>
        <w:spacing w:before="121" w:line="276" w:lineRule="auto"/>
        <w:ind w:right="68"/>
        <w:jc w:val="both"/>
        <w:rPr>
          <w:rFonts w:ascii="Arial" w:hAnsi="Arial" w:cs="Arial"/>
          <w:sz w:val="20"/>
        </w:rPr>
      </w:pPr>
      <w:r w:rsidRPr="007F0771">
        <w:rPr>
          <w:rFonts w:ascii="Arial" w:hAnsi="Arial" w:cs="Arial"/>
          <w:sz w:val="20"/>
        </w:rPr>
        <w:t>Ground</w:t>
      </w:r>
      <w:r w:rsidRPr="007F0771">
        <w:rPr>
          <w:rFonts w:ascii="Arial" w:hAnsi="Arial" w:cs="Arial"/>
          <w:spacing w:val="-2"/>
          <w:sz w:val="20"/>
        </w:rPr>
        <w:t xml:space="preserve"> </w:t>
      </w:r>
      <w:r w:rsidRPr="007F0771">
        <w:rPr>
          <w:rFonts w:ascii="Arial" w:hAnsi="Arial" w:cs="Arial"/>
          <w:sz w:val="20"/>
        </w:rPr>
        <w:t>equipment</w:t>
      </w:r>
    </w:p>
    <w:p w14:paraId="1C61C0AC" w14:textId="77777777" w:rsidR="007F0771" w:rsidRPr="007F0771" w:rsidRDefault="007F0771" w:rsidP="00543D7A">
      <w:pPr>
        <w:spacing w:before="121" w:line="276" w:lineRule="auto"/>
        <w:ind w:left="706" w:right="68"/>
        <w:jc w:val="both"/>
        <w:rPr>
          <w:rFonts w:ascii="Arial" w:hAnsi="Arial" w:cs="Arial"/>
          <w:sz w:val="20"/>
        </w:rPr>
      </w:pPr>
      <w:r w:rsidRPr="007F0771">
        <w:rPr>
          <w:rFonts w:ascii="Arial" w:hAnsi="Arial" w:cs="Arial"/>
          <w:sz w:val="20"/>
        </w:rPr>
        <w:t>Details on the nature, number and location of ground equipment required for the activity</w:t>
      </w:r>
      <w:r w:rsidRPr="007F0771">
        <w:rPr>
          <w:rFonts w:ascii="Arial" w:hAnsi="Arial" w:cs="Arial"/>
          <w:spacing w:val="1"/>
          <w:sz w:val="20"/>
        </w:rPr>
        <w:t xml:space="preserve"> </w:t>
      </w:r>
      <w:r w:rsidRPr="007F0771">
        <w:rPr>
          <w:rFonts w:ascii="Arial" w:hAnsi="Arial" w:cs="Arial"/>
          <w:sz w:val="20"/>
        </w:rPr>
        <w:t>should</w:t>
      </w:r>
      <w:r w:rsidRPr="007F0771">
        <w:rPr>
          <w:rFonts w:ascii="Arial" w:hAnsi="Arial" w:cs="Arial"/>
          <w:spacing w:val="-3"/>
          <w:sz w:val="20"/>
        </w:rPr>
        <w:t xml:space="preserve"> </w:t>
      </w:r>
      <w:r w:rsidRPr="007F0771">
        <w:rPr>
          <w:rFonts w:ascii="Arial" w:hAnsi="Arial" w:cs="Arial"/>
          <w:sz w:val="20"/>
        </w:rPr>
        <w:t>be provided.</w:t>
      </w:r>
    </w:p>
    <w:p w14:paraId="6D293B02" w14:textId="77777777" w:rsidR="007F0771" w:rsidRPr="007F0771" w:rsidRDefault="007F0771" w:rsidP="00543D7A">
      <w:pPr>
        <w:numPr>
          <w:ilvl w:val="0"/>
          <w:numId w:val="122"/>
        </w:numPr>
        <w:tabs>
          <w:tab w:val="left" w:pos="707"/>
        </w:tabs>
        <w:spacing w:before="120" w:line="276" w:lineRule="auto"/>
        <w:ind w:right="68"/>
        <w:jc w:val="both"/>
        <w:rPr>
          <w:rFonts w:ascii="Arial" w:hAnsi="Arial" w:cs="Arial"/>
          <w:sz w:val="20"/>
        </w:rPr>
      </w:pPr>
      <w:r w:rsidRPr="007F0771">
        <w:rPr>
          <w:rFonts w:ascii="Arial" w:hAnsi="Arial" w:cs="Arial"/>
          <w:sz w:val="20"/>
        </w:rPr>
        <w:t>Records</w:t>
      </w:r>
    </w:p>
    <w:p w14:paraId="61C9A23A" w14:textId="77777777" w:rsidR="007F0771" w:rsidRPr="007F0771" w:rsidRDefault="007F0771" w:rsidP="00543D7A">
      <w:pPr>
        <w:spacing w:before="120" w:line="276" w:lineRule="auto"/>
        <w:ind w:left="706" w:right="68"/>
        <w:jc w:val="both"/>
        <w:rPr>
          <w:rFonts w:ascii="Arial" w:hAnsi="Arial" w:cs="Arial"/>
          <w:sz w:val="20"/>
        </w:rPr>
      </w:pPr>
      <w:r w:rsidRPr="007F0771">
        <w:rPr>
          <w:rFonts w:ascii="Arial" w:hAnsi="Arial" w:cs="Arial"/>
          <w:spacing w:val="-1"/>
          <w:sz w:val="20"/>
        </w:rPr>
        <w:t>It</w:t>
      </w:r>
      <w:r w:rsidRPr="007F0771">
        <w:rPr>
          <w:rFonts w:ascii="Arial" w:hAnsi="Arial" w:cs="Arial"/>
          <w:spacing w:val="-12"/>
          <w:sz w:val="20"/>
        </w:rPr>
        <w:t xml:space="preserve"> </w:t>
      </w:r>
      <w:r w:rsidRPr="007F0771">
        <w:rPr>
          <w:rFonts w:ascii="Arial" w:hAnsi="Arial" w:cs="Arial"/>
          <w:spacing w:val="-1"/>
          <w:sz w:val="20"/>
        </w:rPr>
        <w:t>should</w:t>
      </w:r>
      <w:r w:rsidRPr="007F0771">
        <w:rPr>
          <w:rFonts w:ascii="Arial" w:hAnsi="Arial" w:cs="Arial"/>
          <w:spacing w:val="-13"/>
          <w:sz w:val="20"/>
        </w:rPr>
        <w:t xml:space="preserve"> </w:t>
      </w:r>
      <w:r w:rsidRPr="007F0771">
        <w:rPr>
          <w:rFonts w:ascii="Arial" w:hAnsi="Arial" w:cs="Arial"/>
          <w:spacing w:val="-1"/>
          <w:sz w:val="20"/>
        </w:rPr>
        <w:t>be</w:t>
      </w:r>
      <w:r w:rsidRPr="007F0771">
        <w:rPr>
          <w:rFonts w:ascii="Arial" w:hAnsi="Arial" w:cs="Arial"/>
          <w:spacing w:val="-14"/>
          <w:sz w:val="20"/>
        </w:rPr>
        <w:t xml:space="preserve"> </w:t>
      </w:r>
      <w:r w:rsidRPr="007F0771">
        <w:rPr>
          <w:rFonts w:ascii="Arial" w:hAnsi="Arial" w:cs="Arial"/>
          <w:spacing w:val="-1"/>
          <w:sz w:val="20"/>
        </w:rPr>
        <w:t>determined</w:t>
      </w:r>
      <w:r w:rsidRPr="007F0771">
        <w:rPr>
          <w:rFonts w:ascii="Arial" w:hAnsi="Arial" w:cs="Arial"/>
          <w:spacing w:val="-14"/>
          <w:sz w:val="20"/>
        </w:rPr>
        <w:t xml:space="preserve"> </w:t>
      </w:r>
      <w:r w:rsidRPr="007F0771">
        <w:rPr>
          <w:rFonts w:ascii="Arial" w:hAnsi="Arial" w:cs="Arial"/>
          <w:sz w:val="20"/>
        </w:rPr>
        <w:t>which</w:t>
      </w:r>
      <w:r w:rsidRPr="007F0771">
        <w:rPr>
          <w:rFonts w:ascii="Arial" w:hAnsi="Arial" w:cs="Arial"/>
          <w:spacing w:val="-13"/>
          <w:sz w:val="20"/>
        </w:rPr>
        <w:t xml:space="preserve"> </w:t>
      </w:r>
      <w:r w:rsidRPr="007F0771">
        <w:rPr>
          <w:rFonts w:ascii="Arial" w:hAnsi="Arial" w:cs="Arial"/>
          <w:sz w:val="20"/>
        </w:rPr>
        <w:t>records</w:t>
      </w:r>
      <w:r w:rsidRPr="007F0771">
        <w:rPr>
          <w:rFonts w:ascii="Arial" w:hAnsi="Arial" w:cs="Arial"/>
          <w:spacing w:val="-12"/>
          <w:sz w:val="20"/>
        </w:rPr>
        <w:t xml:space="preserve"> </w:t>
      </w:r>
      <w:r w:rsidRPr="007F0771">
        <w:rPr>
          <w:rFonts w:ascii="Arial" w:hAnsi="Arial" w:cs="Arial"/>
          <w:sz w:val="20"/>
        </w:rPr>
        <w:t>specific</w:t>
      </w:r>
      <w:r w:rsidRPr="007F0771">
        <w:rPr>
          <w:rFonts w:ascii="Arial" w:hAnsi="Arial" w:cs="Arial"/>
          <w:spacing w:val="-12"/>
          <w:sz w:val="20"/>
        </w:rPr>
        <w:t xml:space="preserve"> </w:t>
      </w:r>
      <w:r w:rsidRPr="007F0771">
        <w:rPr>
          <w:rFonts w:ascii="Arial" w:hAnsi="Arial" w:cs="Arial"/>
          <w:sz w:val="20"/>
        </w:rPr>
        <w:t>to</w:t>
      </w:r>
      <w:r w:rsidRPr="007F0771">
        <w:rPr>
          <w:rFonts w:ascii="Arial" w:hAnsi="Arial" w:cs="Arial"/>
          <w:spacing w:val="-13"/>
          <w:sz w:val="20"/>
        </w:rPr>
        <w:t xml:space="preserve"> </w:t>
      </w:r>
      <w:r w:rsidRPr="007F0771">
        <w:rPr>
          <w:rFonts w:ascii="Arial" w:hAnsi="Arial" w:cs="Arial"/>
          <w:sz w:val="20"/>
        </w:rPr>
        <w:t>the</w:t>
      </w:r>
      <w:r w:rsidRPr="007F0771">
        <w:rPr>
          <w:rFonts w:ascii="Arial" w:hAnsi="Arial" w:cs="Arial"/>
          <w:spacing w:val="-12"/>
          <w:sz w:val="20"/>
        </w:rPr>
        <w:t xml:space="preserve"> </w:t>
      </w:r>
      <w:r w:rsidRPr="007F0771">
        <w:rPr>
          <w:rFonts w:ascii="Arial" w:hAnsi="Arial" w:cs="Arial"/>
          <w:sz w:val="20"/>
        </w:rPr>
        <w:t>flight(s)</w:t>
      </w:r>
      <w:r w:rsidRPr="007F0771">
        <w:rPr>
          <w:rFonts w:ascii="Arial" w:hAnsi="Arial" w:cs="Arial"/>
          <w:spacing w:val="-11"/>
          <w:sz w:val="20"/>
        </w:rPr>
        <w:t xml:space="preserve"> </w:t>
      </w:r>
      <w:r w:rsidRPr="007F0771">
        <w:rPr>
          <w:rFonts w:ascii="Arial" w:hAnsi="Arial" w:cs="Arial"/>
          <w:sz w:val="20"/>
        </w:rPr>
        <w:t>are</w:t>
      </w:r>
      <w:r w:rsidRPr="007F0771">
        <w:rPr>
          <w:rFonts w:ascii="Arial" w:hAnsi="Arial" w:cs="Arial"/>
          <w:spacing w:val="-14"/>
          <w:sz w:val="20"/>
        </w:rPr>
        <w:t xml:space="preserve"> </w:t>
      </w:r>
      <w:r w:rsidRPr="007F0771">
        <w:rPr>
          <w:rFonts w:ascii="Arial" w:hAnsi="Arial" w:cs="Arial"/>
          <w:sz w:val="20"/>
        </w:rPr>
        <w:t>to</w:t>
      </w:r>
      <w:r w:rsidRPr="007F0771">
        <w:rPr>
          <w:rFonts w:ascii="Arial" w:hAnsi="Arial" w:cs="Arial"/>
          <w:spacing w:val="-11"/>
          <w:sz w:val="20"/>
        </w:rPr>
        <w:t xml:space="preserve"> </w:t>
      </w:r>
      <w:r w:rsidRPr="007F0771">
        <w:rPr>
          <w:rFonts w:ascii="Arial" w:hAnsi="Arial" w:cs="Arial"/>
          <w:sz w:val="20"/>
        </w:rPr>
        <w:t>be</w:t>
      </w:r>
      <w:r w:rsidRPr="007F0771">
        <w:rPr>
          <w:rFonts w:ascii="Arial" w:hAnsi="Arial" w:cs="Arial"/>
          <w:spacing w:val="-13"/>
          <w:sz w:val="20"/>
        </w:rPr>
        <w:t xml:space="preserve"> </w:t>
      </w:r>
      <w:r w:rsidRPr="007F0771">
        <w:rPr>
          <w:rFonts w:ascii="Arial" w:hAnsi="Arial" w:cs="Arial"/>
          <w:sz w:val="20"/>
        </w:rPr>
        <w:t>kept,</w:t>
      </w:r>
      <w:r w:rsidRPr="007F0771">
        <w:rPr>
          <w:rFonts w:ascii="Arial" w:hAnsi="Arial" w:cs="Arial"/>
          <w:spacing w:val="-14"/>
          <w:sz w:val="20"/>
        </w:rPr>
        <w:t xml:space="preserve"> </w:t>
      </w:r>
      <w:r w:rsidRPr="007F0771">
        <w:rPr>
          <w:rFonts w:ascii="Arial" w:hAnsi="Arial" w:cs="Arial"/>
          <w:sz w:val="20"/>
        </w:rPr>
        <w:t>such</w:t>
      </w:r>
      <w:r w:rsidRPr="007F0771">
        <w:rPr>
          <w:rFonts w:ascii="Arial" w:hAnsi="Arial" w:cs="Arial"/>
          <w:spacing w:val="-13"/>
          <w:sz w:val="20"/>
        </w:rPr>
        <w:t xml:space="preserve"> </w:t>
      </w:r>
      <w:r w:rsidRPr="007F0771">
        <w:rPr>
          <w:rFonts w:ascii="Arial" w:hAnsi="Arial" w:cs="Arial"/>
          <w:sz w:val="20"/>
        </w:rPr>
        <w:t>as</w:t>
      </w:r>
      <w:r w:rsidRPr="007F0771">
        <w:rPr>
          <w:rFonts w:ascii="Arial" w:hAnsi="Arial" w:cs="Arial"/>
          <w:spacing w:val="-12"/>
          <w:sz w:val="20"/>
        </w:rPr>
        <w:t xml:space="preserve"> </w:t>
      </w:r>
      <w:r w:rsidRPr="007F0771">
        <w:rPr>
          <w:rFonts w:ascii="Arial" w:hAnsi="Arial" w:cs="Arial"/>
          <w:sz w:val="20"/>
        </w:rPr>
        <w:t>task</w:t>
      </w:r>
      <w:r w:rsidRPr="007F0771">
        <w:rPr>
          <w:rFonts w:ascii="Arial" w:hAnsi="Arial" w:cs="Arial"/>
          <w:spacing w:val="-14"/>
          <w:sz w:val="20"/>
        </w:rPr>
        <w:t xml:space="preserve"> </w:t>
      </w:r>
      <w:r w:rsidRPr="007F0771">
        <w:rPr>
          <w:rFonts w:ascii="Arial" w:hAnsi="Arial" w:cs="Arial"/>
          <w:sz w:val="20"/>
        </w:rPr>
        <w:t>details,</w:t>
      </w:r>
      <w:r w:rsidRPr="007F0771">
        <w:rPr>
          <w:rFonts w:ascii="Arial" w:hAnsi="Arial" w:cs="Arial"/>
          <w:spacing w:val="-47"/>
          <w:sz w:val="20"/>
        </w:rPr>
        <w:t xml:space="preserve"> </w:t>
      </w:r>
      <w:r w:rsidRPr="007F0771">
        <w:rPr>
          <w:rFonts w:ascii="Arial" w:hAnsi="Arial" w:cs="Arial"/>
          <w:sz w:val="20"/>
        </w:rPr>
        <w:t>balloon registration, pilot-in-command, flight times, weather and any remarks, including a</w:t>
      </w:r>
      <w:r w:rsidRPr="007F0771">
        <w:rPr>
          <w:rFonts w:ascii="Arial" w:hAnsi="Arial" w:cs="Arial"/>
          <w:spacing w:val="1"/>
          <w:sz w:val="20"/>
        </w:rPr>
        <w:t xml:space="preserve"> </w:t>
      </w:r>
      <w:r w:rsidRPr="007F0771">
        <w:rPr>
          <w:rFonts w:ascii="Arial" w:hAnsi="Arial" w:cs="Arial"/>
          <w:sz w:val="20"/>
        </w:rPr>
        <w:t>record</w:t>
      </w:r>
      <w:r w:rsidRPr="007F0771">
        <w:rPr>
          <w:rFonts w:ascii="Arial" w:hAnsi="Arial" w:cs="Arial"/>
          <w:spacing w:val="-9"/>
          <w:sz w:val="20"/>
        </w:rPr>
        <w:t xml:space="preserve"> </w:t>
      </w:r>
      <w:r w:rsidRPr="007F0771">
        <w:rPr>
          <w:rFonts w:ascii="Arial" w:hAnsi="Arial" w:cs="Arial"/>
          <w:sz w:val="20"/>
        </w:rPr>
        <w:t>of</w:t>
      </w:r>
      <w:r w:rsidRPr="007F0771">
        <w:rPr>
          <w:rFonts w:ascii="Arial" w:hAnsi="Arial" w:cs="Arial"/>
          <w:spacing w:val="-6"/>
          <w:sz w:val="20"/>
        </w:rPr>
        <w:t xml:space="preserve"> </w:t>
      </w:r>
      <w:r w:rsidRPr="007F0771">
        <w:rPr>
          <w:rFonts w:ascii="Arial" w:hAnsi="Arial" w:cs="Arial"/>
          <w:sz w:val="20"/>
        </w:rPr>
        <w:t>occurrences</w:t>
      </w:r>
      <w:r w:rsidRPr="007F0771">
        <w:rPr>
          <w:rFonts w:ascii="Arial" w:hAnsi="Arial" w:cs="Arial"/>
          <w:spacing w:val="-6"/>
          <w:sz w:val="20"/>
        </w:rPr>
        <w:t xml:space="preserve"> </w:t>
      </w:r>
      <w:r w:rsidRPr="007F0771">
        <w:rPr>
          <w:rFonts w:ascii="Arial" w:hAnsi="Arial" w:cs="Arial"/>
          <w:sz w:val="20"/>
        </w:rPr>
        <w:t>affecting</w:t>
      </w:r>
      <w:r w:rsidRPr="007F0771">
        <w:rPr>
          <w:rFonts w:ascii="Arial" w:hAnsi="Arial" w:cs="Arial"/>
          <w:spacing w:val="-5"/>
          <w:sz w:val="20"/>
        </w:rPr>
        <w:t xml:space="preserve"> </w:t>
      </w:r>
      <w:r w:rsidRPr="007F0771">
        <w:rPr>
          <w:rFonts w:ascii="Arial" w:hAnsi="Arial" w:cs="Arial"/>
          <w:sz w:val="20"/>
        </w:rPr>
        <w:t>flight</w:t>
      </w:r>
      <w:r w:rsidRPr="007F0771">
        <w:rPr>
          <w:rFonts w:ascii="Arial" w:hAnsi="Arial" w:cs="Arial"/>
          <w:spacing w:val="-5"/>
          <w:sz w:val="20"/>
        </w:rPr>
        <w:t xml:space="preserve"> </w:t>
      </w:r>
      <w:r w:rsidRPr="007F0771">
        <w:rPr>
          <w:rFonts w:ascii="Arial" w:hAnsi="Arial" w:cs="Arial"/>
          <w:sz w:val="20"/>
        </w:rPr>
        <w:t>safety</w:t>
      </w:r>
      <w:r w:rsidRPr="007F0771">
        <w:rPr>
          <w:rFonts w:ascii="Arial" w:hAnsi="Arial" w:cs="Arial"/>
          <w:spacing w:val="-4"/>
          <w:sz w:val="20"/>
        </w:rPr>
        <w:t xml:space="preserve"> </w:t>
      </w:r>
      <w:r w:rsidRPr="007F0771">
        <w:rPr>
          <w:rFonts w:ascii="Arial" w:hAnsi="Arial" w:cs="Arial"/>
          <w:sz w:val="20"/>
        </w:rPr>
        <w:t>or</w:t>
      </w:r>
      <w:r w:rsidRPr="007F0771">
        <w:rPr>
          <w:rFonts w:ascii="Arial" w:hAnsi="Arial" w:cs="Arial"/>
          <w:spacing w:val="-6"/>
          <w:sz w:val="20"/>
        </w:rPr>
        <w:t xml:space="preserve"> </w:t>
      </w:r>
      <w:r w:rsidRPr="007F0771">
        <w:rPr>
          <w:rFonts w:ascii="Arial" w:hAnsi="Arial" w:cs="Arial"/>
          <w:sz w:val="20"/>
        </w:rPr>
        <w:t>the</w:t>
      </w:r>
      <w:r w:rsidRPr="007F0771">
        <w:rPr>
          <w:rFonts w:ascii="Arial" w:hAnsi="Arial" w:cs="Arial"/>
          <w:spacing w:val="-5"/>
          <w:sz w:val="20"/>
        </w:rPr>
        <w:t xml:space="preserve"> </w:t>
      </w:r>
      <w:r w:rsidRPr="007F0771">
        <w:rPr>
          <w:rFonts w:ascii="Arial" w:hAnsi="Arial" w:cs="Arial"/>
          <w:sz w:val="20"/>
        </w:rPr>
        <w:t>safety</w:t>
      </w:r>
      <w:r w:rsidRPr="007F0771">
        <w:rPr>
          <w:rFonts w:ascii="Arial" w:hAnsi="Arial" w:cs="Arial"/>
          <w:spacing w:val="-5"/>
          <w:sz w:val="20"/>
        </w:rPr>
        <w:t xml:space="preserve"> </w:t>
      </w:r>
      <w:r w:rsidRPr="007F0771">
        <w:rPr>
          <w:rFonts w:ascii="Arial" w:hAnsi="Arial" w:cs="Arial"/>
          <w:sz w:val="20"/>
        </w:rPr>
        <w:t>of</w:t>
      </w:r>
      <w:r w:rsidRPr="007F0771">
        <w:rPr>
          <w:rFonts w:ascii="Arial" w:hAnsi="Arial" w:cs="Arial"/>
          <w:spacing w:val="-6"/>
          <w:sz w:val="20"/>
        </w:rPr>
        <w:t xml:space="preserve"> </w:t>
      </w:r>
      <w:r w:rsidRPr="007F0771">
        <w:rPr>
          <w:rFonts w:ascii="Arial" w:hAnsi="Arial" w:cs="Arial"/>
          <w:sz w:val="20"/>
        </w:rPr>
        <w:t>persons</w:t>
      </w:r>
      <w:r w:rsidRPr="007F0771">
        <w:rPr>
          <w:rFonts w:ascii="Arial" w:hAnsi="Arial" w:cs="Arial"/>
          <w:spacing w:val="-8"/>
          <w:sz w:val="20"/>
        </w:rPr>
        <w:t xml:space="preserve"> </w:t>
      </w:r>
      <w:r w:rsidRPr="007F0771">
        <w:rPr>
          <w:rFonts w:ascii="Arial" w:hAnsi="Arial" w:cs="Arial"/>
          <w:sz w:val="20"/>
        </w:rPr>
        <w:t>or</w:t>
      </w:r>
      <w:r w:rsidRPr="007F0771">
        <w:rPr>
          <w:rFonts w:ascii="Arial" w:hAnsi="Arial" w:cs="Arial"/>
          <w:spacing w:val="-5"/>
          <w:sz w:val="20"/>
        </w:rPr>
        <w:t xml:space="preserve"> </w:t>
      </w:r>
      <w:r w:rsidRPr="007F0771">
        <w:rPr>
          <w:rFonts w:ascii="Arial" w:hAnsi="Arial" w:cs="Arial"/>
          <w:sz w:val="20"/>
        </w:rPr>
        <w:t>property</w:t>
      </w:r>
      <w:r w:rsidRPr="007F0771">
        <w:rPr>
          <w:rFonts w:ascii="Arial" w:hAnsi="Arial" w:cs="Arial"/>
          <w:spacing w:val="-7"/>
          <w:sz w:val="20"/>
        </w:rPr>
        <w:t xml:space="preserve"> </w:t>
      </w:r>
      <w:r w:rsidRPr="007F0771">
        <w:rPr>
          <w:rFonts w:ascii="Arial" w:hAnsi="Arial" w:cs="Arial"/>
          <w:sz w:val="20"/>
        </w:rPr>
        <w:t>on</w:t>
      </w:r>
      <w:r w:rsidRPr="007F0771">
        <w:rPr>
          <w:rFonts w:ascii="Arial" w:hAnsi="Arial" w:cs="Arial"/>
          <w:spacing w:val="-6"/>
          <w:sz w:val="20"/>
        </w:rPr>
        <w:t xml:space="preserve"> </w:t>
      </w:r>
      <w:r w:rsidRPr="007F0771">
        <w:rPr>
          <w:rFonts w:ascii="Arial" w:hAnsi="Arial" w:cs="Arial"/>
          <w:sz w:val="20"/>
        </w:rPr>
        <w:t>the</w:t>
      </w:r>
      <w:r w:rsidRPr="007F0771">
        <w:rPr>
          <w:rFonts w:ascii="Arial" w:hAnsi="Arial" w:cs="Arial"/>
          <w:spacing w:val="-6"/>
          <w:sz w:val="20"/>
        </w:rPr>
        <w:t xml:space="preserve"> </w:t>
      </w:r>
      <w:r w:rsidRPr="007F0771">
        <w:rPr>
          <w:rFonts w:ascii="Arial" w:hAnsi="Arial" w:cs="Arial"/>
          <w:sz w:val="20"/>
        </w:rPr>
        <w:t>ground.</w:t>
      </w:r>
    </w:p>
    <w:p w14:paraId="0F61777F" w14:textId="77777777" w:rsidR="006D4619" w:rsidRDefault="006D4619" w:rsidP="00543D7A">
      <w:pPr>
        <w:tabs>
          <w:tab w:val="left" w:pos="1758"/>
        </w:tabs>
        <w:spacing w:line="276" w:lineRule="auto"/>
        <w:ind w:right="68"/>
        <w:jc w:val="both"/>
        <w:rPr>
          <w:rFonts w:ascii="Arial" w:eastAsia="Times New Roman" w:hAnsi="Arial" w:cs="Times New Roman"/>
          <w:sz w:val="24"/>
        </w:rPr>
      </w:pPr>
    </w:p>
    <w:p w14:paraId="2931F03F" w14:textId="77777777" w:rsidR="00DC65BA" w:rsidRDefault="00DC65BA" w:rsidP="009601C2">
      <w:pPr>
        <w:tabs>
          <w:tab w:val="left" w:pos="1758"/>
        </w:tabs>
        <w:spacing w:line="276" w:lineRule="auto"/>
        <w:rPr>
          <w:rFonts w:ascii="Arial" w:eastAsia="Times New Roman" w:hAnsi="Arial" w:cs="Times New Roman"/>
          <w:sz w:val="24"/>
        </w:rPr>
      </w:pPr>
    </w:p>
    <w:p w14:paraId="7BDA61B2" w14:textId="77777777" w:rsidR="00DC65BA" w:rsidRDefault="00DC65BA" w:rsidP="009601C2">
      <w:pPr>
        <w:tabs>
          <w:tab w:val="left" w:pos="1758"/>
        </w:tabs>
        <w:spacing w:line="276" w:lineRule="auto"/>
        <w:rPr>
          <w:rFonts w:ascii="Arial" w:eastAsia="Times New Roman" w:hAnsi="Arial" w:cs="Times New Roman"/>
          <w:sz w:val="24"/>
        </w:rPr>
      </w:pPr>
    </w:p>
    <w:p w14:paraId="03E2EE71" w14:textId="77777777" w:rsidR="00DC65BA" w:rsidRDefault="00DC65BA" w:rsidP="009601C2">
      <w:pPr>
        <w:tabs>
          <w:tab w:val="left" w:pos="1758"/>
        </w:tabs>
        <w:spacing w:line="276" w:lineRule="auto"/>
        <w:rPr>
          <w:rFonts w:ascii="Arial" w:eastAsia="Times New Roman" w:hAnsi="Arial" w:cs="Times New Roman"/>
          <w:sz w:val="24"/>
        </w:rPr>
      </w:pPr>
    </w:p>
    <w:p w14:paraId="5641B9AE" w14:textId="77777777" w:rsidR="00DC65BA" w:rsidRDefault="00DC65BA" w:rsidP="009601C2">
      <w:pPr>
        <w:tabs>
          <w:tab w:val="left" w:pos="1758"/>
        </w:tabs>
        <w:spacing w:line="276" w:lineRule="auto"/>
        <w:rPr>
          <w:rFonts w:ascii="Arial" w:eastAsia="Times New Roman" w:hAnsi="Arial" w:cs="Times New Roman"/>
          <w:sz w:val="24"/>
        </w:rPr>
      </w:pPr>
    </w:p>
    <w:p w14:paraId="327D2DAB" w14:textId="77777777" w:rsidR="00DC65BA" w:rsidRPr="00FA7754" w:rsidRDefault="00DC65BA" w:rsidP="009601C2">
      <w:pPr>
        <w:keepNext/>
        <w:keepLines/>
        <w:spacing w:before="40" w:line="276" w:lineRule="auto"/>
        <w:jc w:val="center"/>
        <w:outlineLvl w:val="3"/>
        <w:rPr>
          <w:rFonts w:ascii="Arial" w:eastAsiaTheme="majorEastAsia" w:hAnsi="Arial" w:cs="Arial"/>
          <w:b/>
          <w:iCs/>
          <w:color w:val="2E74B5" w:themeColor="accent1" w:themeShade="BF"/>
          <w:sz w:val="24"/>
          <w:szCs w:val="24"/>
        </w:rPr>
      </w:pPr>
      <w:bookmarkStart w:id="535" w:name="_Toc153137381"/>
      <w:r w:rsidRPr="00FA7754">
        <w:rPr>
          <w:rFonts w:ascii="Arial" w:eastAsiaTheme="majorEastAsia" w:hAnsi="Arial" w:cs="Arial"/>
          <w:b/>
          <w:iCs/>
          <w:color w:val="2E74B5" w:themeColor="accent1" w:themeShade="BF"/>
          <w:sz w:val="24"/>
          <w:szCs w:val="24"/>
        </w:rPr>
        <w:lastRenderedPageBreak/>
        <w:t>SECTION 7 – PERFORMANCE AND OPERATING LIMITATIONS</w:t>
      </w:r>
      <w:bookmarkEnd w:id="535"/>
    </w:p>
    <w:p w14:paraId="074DC15B" w14:textId="77777777" w:rsidR="0044639E" w:rsidRPr="0044639E" w:rsidRDefault="0044639E"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536" w:name="BOP.ADD.600_System_for_determining_the_m"/>
      <w:bookmarkStart w:id="537" w:name="_bookmark217"/>
      <w:bookmarkStart w:id="538" w:name="_Toc153137382"/>
      <w:bookmarkEnd w:id="536"/>
      <w:bookmarkEnd w:id="537"/>
      <w:r w:rsidRPr="0044639E">
        <w:rPr>
          <w:rFonts w:ascii="Arial" w:eastAsia="Times New Roman" w:hAnsi="Arial" w:cs="Times New Roman"/>
          <w:b/>
          <w:iCs/>
          <w:color w:val="FFFFFF"/>
          <w:sz w:val="24"/>
        </w:rPr>
        <w:t>BOP.ADD.600 System for determining the mass</w:t>
      </w:r>
      <w:bookmarkEnd w:id="538"/>
    </w:p>
    <w:p w14:paraId="4CFF776E" w14:textId="77777777" w:rsidR="00A407C0" w:rsidRPr="00A407C0" w:rsidRDefault="00A407C0" w:rsidP="008F3217">
      <w:pPr>
        <w:numPr>
          <w:ilvl w:val="0"/>
          <w:numId w:val="123"/>
        </w:numPr>
        <w:tabs>
          <w:tab w:val="left" w:pos="707"/>
        </w:tabs>
        <w:spacing w:before="117" w:line="276" w:lineRule="auto"/>
        <w:ind w:right="68"/>
        <w:jc w:val="both"/>
        <w:rPr>
          <w:rFonts w:ascii="Arial" w:hAnsi="Arial" w:cs="Arial"/>
          <w:sz w:val="20"/>
        </w:rPr>
      </w:pPr>
      <w:r w:rsidRPr="00A407C0">
        <w:rPr>
          <w:rFonts w:ascii="Arial" w:hAnsi="Arial" w:cs="Arial"/>
          <w:sz w:val="20"/>
        </w:rPr>
        <w:t>The operator shall establish a system specifying how all of the following items are accurately</w:t>
      </w:r>
      <w:r w:rsidRPr="00A407C0">
        <w:rPr>
          <w:rFonts w:ascii="Arial" w:hAnsi="Arial" w:cs="Arial"/>
          <w:spacing w:val="1"/>
          <w:sz w:val="20"/>
        </w:rPr>
        <w:t xml:space="preserve"> </w:t>
      </w:r>
      <w:r w:rsidRPr="00A407C0">
        <w:rPr>
          <w:rFonts w:ascii="Arial" w:hAnsi="Arial" w:cs="Arial"/>
          <w:sz w:val="20"/>
        </w:rPr>
        <w:t>determined for each flight, so as to enable the pilot-in-command to verify that the limitations</w:t>
      </w:r>
      <w:r w:rsidRPr="00A407C0">
        <w:rPr>
          <w:rFonts w:ascii="Arial" w:hAnsi="Arial" w:cs="Arial"/>
          <w:spacing w:val="1"/>
          <w:sz w:val="20"/>
        </w:rPr>
        <w:t xml:space="preserve"> </w:t>
      </w:r>
      <w:r w:rsidRPr="00A407C0">
        <w:rPr>
          <w:rFonts w:ascii="Arial" w:hAnsi="Arial" w:cs="Arial"/>
          <w:sz w:val="20"/>
        </w:rPr>
        <w:t>of the</w:t>
      </w:r>
      <w:r w:rsidRPr="00A407C0">
        <w:rPr>
          <w:rFonts w:ascii="Arial" w:hAnsi="Arial" w:cs="Arial"/>
          <w:spacing w:val="-3"/>
          <w:sz w:val="20"/>
        </w:rPr>
        <w:t xml:space="preserve"> </w:t>
      </w:r>
      <w:r w:rsidRPr="00A407C0">
        <w:rPr>
          <w:rFonts w:ascii="Arial" w:hAnsi="Arial" w:cs="Arial"/>
          <w:sz w:val="20"/>
        </w:rPr>
        <w:t>AFM</w:t>
      </w:r>
      <w:r w:rsidRPr="00A407C0">
        <w:rPr>
          <w:rFonts w:ascii="Arial" w:hAnsi="Arial" w:cs="Arial"/>
          <w:spacing w:val="-2"/>
          <w:sz w:val="20"/>
        </w:rPr>
        <w:t xml:space="preserve"> </w:t>
      </w:r>
      <w:r w:rsidRPr="00A407C0">
        <w:rPr>
          <w:rFonts w:ascii="Arial" w:hAnsi="Arial" w:cs="Arial"/>
          <w:sz w:val="20"/>
        </w:rPr>
        <w:t>are complied</w:t>
      </w:r>
      <w:r w:rsidRPr="00A407C0">
        <w:rPr>
          <w:rFonts w:ascii="Arial" w:hAnsi="Arial" w:cs="Arial"/>
          <w:spacing w:val="-2"/>
          <w:sz w:val="20"/>
        </w:rPr>
        <w:t xml:space="preserve"> </w:t>
      </w:r>
      <w:r w:rsidRPr="00A407C0">
        <w:rPr>
          <w:rFonts w:ascii="Arial" w:hAnsi="Arial" w:cs="Arial"/>
          <w:sz w:val="20"/>
        </w:rPr>
        <w:t>with:</w:t>
      </w:r>
    </w:p>
    <w:p w14:paraId="7F9599B6" w14:textId="77777777" w:rsidR="00A407C0" w:rsidRPr="00A407C0" w:rsidRDefault="00A407C0" w:rsidP="008F3217">
      <w:pPr>
        <w:numPr>
          <w:ilvl w:val="1"/>
          <w:numId w:val="123"/>
        </w:numPr>
        <w:tabs>
          <w:tab w:val="left" w:pos="1273"/>
          <w:tab w:val="left" w:pos="1274"/>
        </w:tabs>
        <w:spacing w:before="121" w:line="276" w:lineRule="auto"/>
        <w:ind w:right="68" w:hanging="568"/>
        <w:jc w:val="both"/>
        <w:rPr>
          <w:rFonts w:ascii="Arial" w:hAnsi="Arial" w:cs="Arial"/>
          <w:sz w:val="20"/>
        </w:rPr>
      </w:pPr>
      <w:r w:rsidRPr="00A407C0">
        <w:rPr>
          <w:rFonts w:ascii="Arial" w:hAnsi="Arial" w:cs="Arial"/>
          <w:sz w:val="20"/>
        </w:rPr>
        <w:t>balloon</w:t>
      </w:r>
      <w:r w:rsidRPr="00A407C0">
        <w:rPr>
          <w:rFonts w:ascii="Arial" w:hAnsi="Arial" w:cs="Arial"/>
          <w:spacing w:val="-3"/>
          <w:sz w:val="20"/>
        </w:rPr>
        <w:t xml:space="preserve"> </w:t>
      </w:r>
      <w:r w:rsidRPr="00A407C0">
        <w:rPr>
          <w:rFonts w:ascii="Arial" w:hAnsi="Arial" w:cs="Arial"/>
          <w:sz w:val="20"/>
        </w:rPr>
        <w:t>empty</w:t>
      </w:r>
      <w:r w:rsidRPr="00A407C0">
        <w:rPr>
          <w:rFonts w:ascii="Arial" w:hAnsi="Arial" w:cs="Arial"/>
          <w:spacing w:val="-1"/>
          <w:sz w:val="20"/>
        </w:rPr>
        <w:t xml:space="preserve"> </w:t>
      </w:r>
      <w:r w:rsidRPr="00A407C0">
        <w:rPr>
          <w:rFonts w:ascii="Arial" w:hAnsi="Arial" w:cs="Arial"/>
          <w:sz w:val="20"/>
        </w:rPr>
        <w:t>mass;</w:t>
      </w:r>
    </w:p>
    <w:p w14:paraId="2936EAC2" w14:textId="77777777" w:rsidR="00A407C0" w:rsidRPr="00A407C0" w:rsidRDefault="00A407C0" w:rsidP="008F3217">
      <w:pPr>
        <w:numPr>
          <w:ilvl w:val="1"/>
          <w:numId w:val="123"/>
        </w:numPr>
        <w:tabs>
          <w:tab w:val="left" w:pos="1273"/>
          <w:tab w:val="left" w:pos="1274"/>
        </w:tabs>
        <w:spacing w:before="120" w:line="276" w:lineRule="auto"/>
        <w:ind w:right="68" w:hanging="568"/>
        <w:jc w:val="both"/>
        <w:rPr>
          <w:rFonts w:ascii="Arial" w:hAnsi="Arial" w:cs="Arial"/>
          <w:sz w:val="20"/>
        </w:rPr>
      </w:pPr>
      <w:r w:rsidRPr="00A407C0">
        <w:rPr>
          <w:rFonts w:ascii="Arial" w:hAnsi="Arial" w:cs="Arial"/>
          <w:sz w:val="20"/>
        </w:rPr>
        <w:t>mass</w:t>
      </w:r>
      <w:r w:rsidRPr="00A407C0">
        <w:rPr>
          <w:rFonts w:ascii="Arial" w:hAnsi="Arial" w:cs="Arial"/>
          <w:spacing w:val="-2"/>
          <w:sz w:val="20"/>
        </w:rPr>
        <w:t xml:space="preserve"> </w:t>
      </w:r>
      <w:r w:rsidRPr="00A407C0">
        <w:rPr>
          <w:rFonts w:ascii="Arial" w:hAnsi="Arial" w:cs="Arial"/>
          <w:sz w:val="20"/>
        </w:rPr>
        <w:t>of</w:t>
      </w:r>
      <w:r w:rsidRPr="00A407C0">
        <w:rPr>
          <w:rFonts w:ascii="Arial" w:hAnsi="Arial" w:cs="Arial"/>
          <w:spacing w:val="-2"/>
          <w:sz w:val="20"/>
        </w:rPr>
        <w:t xml:space="preserve"> </w:t>
      </w:r>
      <w:r w:rsidRPr="00A407C0">
        <w:rPr>
          <w:rFonts w:ascii="Arial" w:hAnsi="Arial" w:cs="Arial"/>
          <w:sz w:val="20"/>
        </w:rPr>
        <w:t>the traffic load;</w:t>
      </w:r>
    </w:p>
    <w:p w14:paraId="3AD8CFE5" w14:textId="77777777" w:rsidR="00A407C0" w:rsidRPr="00A407C0" w:rsidRDefault="00A407C0" w:rsidP="008F3217">
      <w:pPr>
        <w:numPr>
          <w:ilvl w:val="1"/>
          <w:numId w:val="123"/>
        </w:numPr>
        <w:tabs>
          <w:tab w:val="left" w:pos="1273"/>
          <w:tab w:val="left" w:pos="1274"/>
        </w:tabs>
        <w:spacing w:before="121" w:line="276" w:lineRule="auto"/>
        <w:ind w:right="68" w:hanging="568"/>
        <w:jc w:val="both"/>
        <w:rPr>
          <w:rFonts w:ascii="Arial" w:hAnsi="Arial" w:cs="Arial"/>
          <w:sz w:val="20"/>
        </w:rPr>
      </w:pPr>
      <w:r w:rsidRPr="00A407C0">
        <w:rPr>
          <w:rFonts w:ascii="Arial" w:hAnsi="Arial" w:cs="Arial"/>
          <w:sz w:val="20"/>
        </w:rPr>
        <w:t>mass</w:t>
      </w:r>
      <w:r w:rsidRPr="00A407C0">
        <w:rPr>
          <w:rFonts w:ascii="Arial" w:hAnsi="Arial" w:cs="Arial"/>
          <w:spacing w:val="-2"/>
          <w:sz w:val="20"/>
        </w:rPr>
        <w:t xml:space="preserve"> </w:t>
      </w:r>
      <w:r w:rsidRPr="00A407C0">
        <w:rPr>
          <w:rFonts w:ascii="Arial" w:hAnsi="Arial" w:cs="Arial"/>
          <w:sz w:val="20"/>
        </w:rPr>
        <w:t>of</w:t>
      </w:r>
      <w:r w:rsidRPr="00A407C0">
        <w:rPr>
          <w:rFonts w:ascii="Arial" w:hAnsi="Arial" w:cs="Arial"/>
          <w:spacing w:val="-2"/>
          <w:sz w:val="20"/>
        </w:rPr>
        <w:t xml:space="preserve"> </w:t>
      </w:r>
      <w:r w:rsidRPr="00A407C0">
        <w:rPr>
          <w:rFonts w:ascii="Arial" w:hAnsi="Arial" w:cs="Arial"/>
          <w:sz w:val="20"/>
        </w:rPr>
        <w:t>the</w:t>
      </w:r>
      <w:r w:rsidRPr="00A407C0">
        <w:rPr>
          <w:rFonts w:ascii="Arial" w:hAnsi="Arial" w:cs="Arial"/>
          <w:spacing w:val="1"/>
          <w:sz w:val="20"/>
        </w:rPr>
        <w:t xml:space="preserve"> </w:t>
      </w:r>
      <w:r w:rsidRPr="00A407C0">
        <w:rPr>
          <w:rFonts w:ascii="Arial" w:hAnsi="Arial" w:cs="Arial"/>
          <w:sz w:val="20"/>
        </w:rPr>
        <w:t>fuel</w:t>
      </w:r>
      <w:r w:rsidRPr="00A407C0">
        <w:rPr>
          <w:rFonts w:ascii="Arial" w:hAnsi="Arial" w:cs="Arial"/>
          <w:spacing w:val="-3"/>
          <w:sz w:val="20"/>
        </w:rPr>
        <w:t xml:space="preserve"> </w:t>
      </w:r>
      <w:r w:rsidRPr="00A407C0">
        <w:rPr>
          <w:rFonts w:ascii="Arial" w:hAnsi="Arial" w:cs="Arial"/>
          <w:sz w:val="20"/>
        </w:rPr>
        <w:t>or</w:t>
      </w:r>
      <w:r w:rsidRPr="00A407C0">
        <w:rPr>
          <w:rFonts w:ascii="Arial" w:hAnsi="Arial" w:cs="Arial"/>
          <w:spacing w:val="-2"/>
          <w:sz w:val="20"/>
        </w:rPr>
        <w:t xml:space="preserve"> </w:t>
      </w:r>
      <w:r w:rsidRPr="00A407C0">
        <w:rPr>
          <w:rFonts w:ascii="Arial" w:hAnsi="Arial" w:cs="Arial"/>
          <w:sz w:val="20"/>
        </w:rPr>
        <w:t>ballast load;</w:t>
      </w:r>
    </w:p>
    <w:p w14:paraId="2AAC5F9B" w14:textId="77777777" w:rsidR="00A407C0" w:rsidRPr="00A407C0" w:rsidRDefault="00A407C0" w:rsidP="008F3217">
      <w:pPr>
        <w:numPr>
          <w:ilvl w:val="1"/>
          <w:numId w:val="123"/>
        </w:numPr>
        <w:tabs>
          <w:tab w:val="left" w:pos="1273"/>
          <w:tab w:val="left" w:pos="1274"/>
        </w:tabs>
        <w:spacing w:before="120" w:line="276" w:lineRule="auto"/>
        <w:ind w:right="68" w:hanging="568"/>
        <w:jc w:val="both"/>
        <w:rPr>
          <w:rFonts w:ascii="Arial" w:hAnsi="Arial" w:cs="Arial"/>
          <w:sz w:val="20"/>
        </w:rPr>
      </w:pPr>
      <w:r w:rsidRPr="00A407C0">
        <w:rPr>
          <w:rFonts w:ascii="Arial" w:hAnsi="Arial" w:cs="Arial"/>
          <w:sz w:val="20"/>
        </w:rPr>
        <w:t>take-off</w:t>
      </w:r>
      <w:r w:rsidRPr="00A407C0">
        <w:rPr>
          <w:rFonts w:ascii="Arial" w:hAnsi="Arial" w:cs="Arial"/>
          <w:spacing w:val="-4"/>
          <w:sz w:val="20"/>
        </w:rPr>
        <w:t xml:space="preserve"> </w:t>
      </w:r>
      <w:r w:rsidRPr="00A407C0">
        <w:rPr>
          <w:rFonts w:ascii="Arial" w:hAnsi="Arial" w:cs="Arial"/>
          <w:sz w:val="20"/>
        </w:rPr>
        <w:t>mass;</w:t>
      </w:r>
    </w:p>
    <w:p w14:paraId="31DC87DD" w14:textId="77777777" w:rsidR="00A407C0" w:rsidRPr="00A407C0" w:rsidRDefault="00A407C0" w:rsidP="008F3217">
      <w:pPr>
        <w:numPr>
          <w:ilvl w:val="1"/>
          <w:numId w:val="123"/>
        </w:numPr>
        <w:tabs>
          <w:tab w:val="left" w:pos="1273"/>
          <w:tab w:val="left" w:pos="1274"/>
        </w:tabs>
        <w:spacing w:before="121" w:line="276" w:lineRule="auto"/>
        <w:ind w:right="68"/>
        <w:jc w:val="both"/>
        <w:rPr>
          <w:rFonts w:ascii="Arial" w:hAnsi="Arial" w:cs="Arial"/>
          <w:sz w:val="20"/>
        </w:rPr>
      </w:pPr>
      <w:r w:rsidRPr="00A407C0">
        <w:rPr>
          <w:rFonts w:ascii="Arial" w:hAnsi="Arial" w:cs="Arial"/>
          <w:sz w:val="20"/>
        </w:rPr>
        <w:t>loading</w:t>
      </w:r>
      <w:r w:rsidRPr="00A407C0">
        <w:rPr>
          <w:rFonts w:ascii="Arial" w:hAnsi="Arial" w:cs="Arial"/>
          <w:spacing w:val="39"/>
          <w:sz w:val="20"/>
        </w:rPr>
        <w:t xml:space="preserve"> </w:t>
      </w:r>
      <w:r w:rsidRPr="00A407C0">
        <w:rPr>
          <w:rFonts w:ascii="Arial" w:hAnsi="Arial" w:cs="Arial"/>
          <w:sz w:val="20"/>
        </w:rPr>
        <w:t>of</w:t>
      </w:r>
      <w:r w:rsidRPr="00A407C0">
        <w:rPr>
          <w:rFonts w:ascii="Arial" w:hAnsi="Arial" w:cs="Arial"/>
          <w:spacing w:val="37"/>
          <w:sz w:val="20"/>
        </w:rPr>
        <w:t xml:space="preserve"> </w:t>
      </w:r>
      <w:r w:rsidRPr="00A407C0">
        <w:rPr>
          <w:rFonts w:ascii="Arial" w:hAnsi="Arial" w:cs="Arial"/>
          <w:sz w:val="20"/>
        </w:rPr>
        <w:t>the</w:t>
      </w:r>
      <w:r w:rsidRPr="00A407C0">
        <w:rPr>
          <w:rFonts w:ascii="Arial" w:hAnsi="Arial" w:cs="Arial"/>
          <w:spacing w:val="38"/>
          <w:sz w:val="20"/>
        </w:rPr>
        <w:t xml:space="preserve"> </w:t>
      </w:r>
      <w:r w:rsidRPr="00A407C0">
        <w:rPr>
          <w:rFonts w:ascii="Arial" w:hAnsi="Arial" w:cs="Arial"/>
          <w:sz w:val="20"/>
        </w:rPr>
        <w:t>balloon</w:t>
      </w:r>
      <w:r w:rsidRPr="00A407C0">
        <w:rPr>
          <w:rFonts w:ascii="Arial" w:hAnsi="Arial" w:cs="Arial"/>
          <w:spacing w:val="39"/>
          <w:sz w:val="20"/>
        </w:rPr>
        <w:t xml:space="preserve"> </w:t>
      </w:r>
      <w:r w:rsidRPr="00A407C0">
        <w:rPr>
          <w:rFonts w:ascii="Arial" w:hAnsi="Arial" w:cs="Arial"/>
          <w:sz w:val="20"/>
        </w:rPr>
        <w:t>performed</w:t>
      </w:r>
      <w:r w:rsidRPr="00A407C0">
        <w:rPr>
          <w:rFonts w:ascii="Arial" w:hAnsi="Arial" w:cs="Arial"/>
          <w:spacing w:val="40"/>
          <w:sz w:val="20"/>
        </w:rPr>
        <w:t xml:space="preserve"> </w:t>
      </w:r>
      <w:r w:rsidRPr="00A407C0">
        <w:rPr>
          <w:rFonts w:ascii="Arial" w:hAnsi="Arial" w:cs="Arial"/>
          <w:sz w:val="20"/>
        </w:rPr>
        <w:t>under</w:t>
      </w:r>
      <w:r w:rsidRPr="00A407C0">
        <w:rPr>
          <w:rFonts w:ascii="Arial" w:hAnsi="Arial" w:cs="Arial"/>
          <w:spacing w:val="38"/>
          <w:sz w:val="20"/>
        </w:rPr>
        <w:t xml:space="preserve"> </w:t>
      </w:r>
      <w:r w:rsidRPr="00A407C0">
        <w:rPr>
          <w:rFonts w:ascii="Arial" w:hAnsi="Arial" w:cs="Arial"/>
          <w:sz w:val="20"/>
        </w:rPr>
        <w:t>the</w:t>
      </w:r>
      <w:r w:rsidRPr="00A407C0">
        <w:rPr>
          <w:rFonts w:ascii="Arial" w:hAnsi="Arial" w:cs="Arial"/>
          <w:spacing w:val="38"/>
          <w:sz w:val="20"/>
        </w:rPr>
        <w:t xml:space="preserve"> </w:t>
      </w:r>
      <w:r w:rsidRPr="00A407C0">
        <w:rPr>
          <w:rFonts w:ascii="Arial" w:hAnsi="Arial" w:cs="Arial"/>
          <w:sz w:val="20"/>
        </w:rPr>
        <w:t>supervision</w:t>
      </w:r>
      <w:r w:rsidRPr="00A407C0">
        <w:rPr>
          <w:rFonts w:ascii="Arial" w:hAnsi="Arial" w:cs="Arial"/>
          <w:spacing w:val="37"/>
          <w:sz w:val="20"/>
        </w:rPr>
        <w:t xml:space="preserve"> </w:t>
      </w:r>
      <w:r w:rsidRPr="00A407C0">
        <w:rPr>
          <w:rFonts w:ascii="Arial" w:hAnsi="Arial" w:cs="Arial"/>
          <w:sz w:val="20"/>
        </w:rPr>
        <w:t>of</w:t>
      </w:r>
      <w:r w:rsidRPr="00A407C0">
        <w:rPr>
          <w:rFonts w:ascii="Arial" w:hAnsi="Arial" w:cs="Arial"/>
          <w:spacing w:val="38"/>
          <w:sz w:val="20"/>
        </w:rPr>
        <w:t xml:space="preserve"> </w:t>
      </w:r>
      <w:r w:rsidRPr="00A407C0">
        <w:rPr>
          <w:rFonts w:ascii="Arial" w:hAnsi="Arial" w:cs="Arial"/>
          <w:sz w:val="20"/>
        </w:rPr>
        <w:t>the</w:t>
      </w:r>
      <w:r w:rsidRPr="00A407C0">
        <w:rPr>
          <w:rFonts w:ascii="Arial" w:hAnsi="Arial" w:cs="Arial"/>
          <w:spacing w:val="40"/>
          <w:sz w:val="20"/>
        </w:rPr>
        <w:t xml:space="preserve"> </w:t>
      </w:r>
      <w:r w:rsidRPr="00A407C0">
        <w:rPr>
          <w:rFonts w:ascii="Arial" w:hAnsi="Arial" w:cs="Arial"/>
          <w:sz w:val="20"/>
        </w:rPr>
        <w:t>pilot-in-command</w:t>
      </w:r>
      <w:r w:rsidRPr="00A407C0">
        <w:rPr>
          <w:rFonts w:ascii="Arial" w:hAnsi="Arial" w:cs="Arial"/>
          <w:spacing w:val="39"/>
          <w:sz w:val="20"/>
        </w:rPr>
        <w:t xml:space="preserve"> </w:t>
      </w:r>
      <w:r w:rsidRPr="00A407C0">
        <w:rPr>
          <w:rFonts w:ascii="Arial" w:hAnsi="Arial" w:cs="Arial"/>
          <w:sz w:val="20"/>
        </w:rPr>
        <w:t>or</w:t>
      </w:r>
      <w:r w:rsidRPr="00A407C0">
        <w:rPr>
          <w:rFonts w:ascii="Arial" w:hAnsi="Arial" w:cs="Arial"/>
          <w:spacing w:val="-47"/>
          <w:sz w:val="20"/>
        </w:rPr>
        <w:t xml:space="preserve"> </w:t>
      </w:r>
      <w:r w:rsidRPr="00A407C0">
        <w:rPr>
          <w:rFonts w:ascii="Arial" w:hAnsi="Arial" w:cs="Arial"/>
          <w:sz w:val="20"/>
        </w:rPr>
        <w:t>qualified</w:t>
      </w:r>
      <w:r w:rsidRPr="00A407C0">
        <w:rPr>
          <w:rFonts w:ascii="Arial" w:hAnsi="Arial" w:cs="Arial"/>
          <w:spacing w:val="-2"/>
          <w:sz w:val="20"/>
        </w:rPr>
        <w:t xml:space="preserve"> </w:t>
      </w:r>
      <w:r w:rsidRPr="00A407C0">
        <w:rPr>
          <w:rFonts w:ascii="Arial" w:hAnsi="Arial" w:cs="Arial"/>
          <w:sz w:val="20"/>
        </w:rPr>
        <w:t>personnel;</w:t>
      </w:r>
    </w:p>
    <w:p w14:paraId="7454F8DB" w14:textId="77777777" w:rsidR="00A407C0" w:rsidRPr="00A407C0" w:rsidRDefault="00A407C0" w:rsidP="008F3217">
      <w:pPr>
        <w:numPr>
          <w:ilvl w:val="1"/>
          <w:numId w:val="123"/>
        </w:numPr>
        <w:tabs>
          <w:tab w:val="left" w:pos="1273"/>
          <w:tab w:val="left" w:pos="1274"/>
        </w:tabs>
        <w:spacing w:before="118" w:line="276" w:lineRule="auto"/>
        <w:ind w:right="68" w:hanging="568"/>
        <w:jc w:val="both"/>
        <w:rPr>
          <w:rFonts w:ascii="Arial" w:hAnsi="Arial" w:cs="Arial"/>
          <w:sz w:val="20"/>
        </w:rPr>
      </w:pPr>
      <w:r w:rsidRPr="00A407C0">
        <w:rPr>
          <w:rFonts w:ascii="Arial" w:hAnsi="Arial" w:cs="Arial"/>
          <w:sz w:val="20"/>
        </w:rPr>
        <w:t>preparation</w:t>
      </w:r>
      <w:r w:rsidRPr="00A407C0">
        <w:rPr>
          <w:rFonts w:ascii="Arial" w:hAnsi="Arial" w:cs="Arial"/>
          <w:spacing w:val="-3"/>
          <w:sz w:val="20"/>
        </w:rPr>
        <w:t xml:space="preserve"> </w:t>
      </w:r>
      <w:r w:rsidRPr="00A407C0">
        <w:rPr>
          <w:rFonts w:ascii="Arial" w:hAnsi="Arial" w:cs="Arial"/>
          <w:sz w:val="20"/>
        </w:rPr>
        <w:t>and</w:t>
      </w:r>
      <w:r w:rsidRPr="00A407C0">
        <w:rPr>
          <w:rFonts w:ascii="Arial" w:hAnsi="Arial" w:cs="Arial"/>
          <w:spacing w:val="-2"/>
          <w:sz w:val="20"/>
        </w:rPr>
        <w:t xml:space="preserve"> </w:t>
      </w:r>
      <w:r w:rsidRPr="00A407C0">
        <w:rPr>
          <w:rFonts w:ascii="Arial" w:hAnsi="Arial" w:cs="Arial"/>
          <w:sz w:val="20"/>
        </w:rPr>
        <w:t>disposition</w:t>
      </w:r>
      <w:r w:rsidRPr="00A407C0">
        <w:rPr>
          <w:rFonts w:ascii="Arial" w:hAnsi="Arial" w:cs="Arial"/>
          <w:spacing w:val="-2"/>
          <w:sz w:val="20"/>
        </w:rPr>
        <w:t xml:space="preserve"> </w:t>
      </w:r>
      <w:r w:rsidRPr="00A407C0">
        <w:rPr>
          <w:rFonts w:ascii="Arial" w:hAnsi="Arial" w:cs="Arial"/>
          <w:sz w:val="20"/>
        </w:rPr>
        <w:t>of</w:t>
      </w:r>
      <w:r w:rsidRPr="00A407C0">
        <w:rPr>
          <w:rFonts w:ascii="Arial" w:hAnsi="Arial" w:cs="Arial"/>
          <w:spacing w:val="-2"/>
          <w:sz w:val="20"/>
        </w:rPr>
        <w:t xml:space="preserve"> </w:t>
      </w:r>
      <w:r w:rsidRPr="00A407C0">
        <w:rPr>
          <w:rFonts w:ascii="Arial" w:hAnsi="Arial" w:cs="Arial"/>
          <w:sz w:val="20"/>
        </w:rPr>
        <w:t>all</w:t>
      </w:r>
      <w:r w:rsidRPr="00A407C0">
        <w:rPr>
          <w:rFonts w:ascii="Arial" w:hAnsi="Arial" w:cs="Arial"/>
          <w:spacing w:val="-1"/>
          <w:sz w:val="20"/>
        </w:rPr>
        <w:t xml:space="preserve"> </w:t>
      </w:r>
      <w:r w:rsidRPr="00A407C0">
        <w:rPr>
          <w:rFonts w:ascii="Arial" w:hAnsi="Arial" w:cs="Arial"/>
          <w:sz w:val="20"/>
        </w:rPr>
        <w:t>documentation.</w:t>
      </w:r>
    </w:p>
    <w:p w14:paraId="7ADBE603" w14:textId="77777777" w:rsidR="00A407C0" w:rsidRPr="00A407C0" w:rsidRDefault="00A407C0" w:rsidP="008F3217">
      <w:pPr>
        <w:numPr>
          <w:ilvl w:val="0"/>
          <w:numId w:val="123"/>
        </w:numPr>
        <w:tabs>
          <w:tab w:val="left" w:pos="706"/>
          <w:tab w:val="left" w:pos="707"/>
        </w:tabs>
        <w:spacing w:before="120" w:line="276" w:lineRule="auto"/>
        <w:ind w:right="68"/>
        <w:jc w:val="both"/>
        <w:rPr>
          <w:rFonts w:ascii="Arial" w:hAnsi="Arial" w:cs="Arial"/>
          <w:sz w:val="20"/>
        </w:rPr>
      </w:pPr>
      <w:r w:rsidRPr="00A407C0">
        <w:rPr>
          <w:rFonts w:ascii="Arial" w:hAnsi="Arial" w:cs="Arial"/>
          <w:sz w:val="20"/>
        </w:rPr>
        <w:t>The</w:t>
      </w:r>
      <w:r w:rsidRPr="00A407C0">
        <w:rPr>
          <w:rFonts w:ascii="Arial" w:hAnsi="Arial" w:cs="Arial"/>
          <w:spacing w:val="38"/>
          <w:sz w:val="20"/>
        </w:rPr>
        <w:t xml:space="preserve"> </w:t>
      </w:r>
      <w:r w:rsidRPr="00A407C0">
        <w:rPr>
          <w:rFonts w:ascii="Arial" w:hAnsi="Arial" w:cs="Arial"/>
          <w:sz w:val="20"/>
        </w:rPr>
        <w:t>mass</w:t>
      </w:r>
      <w:r w:rsidRPr="00A407C0">
        <w:rPr>
          <w:rFonts w:ascii="Arial" w:hAnsi="Arial" w:cs="Arial"/>
          <w:spacing w:val="39"/>
          <w:sz w:val="20"/>
        </w:rPr>
        <w:t xml:space="preserve"> </w:t>
      </w:r>
      <w:r w:rsidRPr="00A407C0">
        <w:rPr>
          <w:rFonts w:ascii="Arial" w:hAnsi="Arial" w:cs="Arial"/>
          <w:sz w:val="20"/>
        </w:rPr>
        <w:t>computation</w:t>
      </w:r>
      <w:r w:rsidRPr="00A407C0">
        <w:rPr>
          <w:rFonts w:ascii="Arial" w:hAnsi="Arial" w:cs="Arial"/>
          <w:spacing w:val="40"/>
          <w:sz w:val="20"/>
        </w:rPr>
        <w:t xml:space="preserve"> </w:t>
      </w:r>
      <w:r w:rsidRPr="00A407C0">
        <w:rPr>
          <w:rFonts w:ascii="Arial" w:hAnsi="Arial" w:cs="Arial"/>
          <w:sz w:val="20"/>
        </w:rPr>
        <w:t>based</w:t>
      </w:r>
      <w:r w:rsidRPr="00A407C0">
        <w:rPr>
          <w:rFonts w:ascii="Arial" w:hAnsi="Arial" w:cs="Arial"/>
          <w:spacing w:val="41"/>
          <w:sz w:val="20"/>
        </w:rPr>
        <w:t xml:space="preserve"> </w:t>
      </w:r>
      <w:r w:rsidRPr="00A407C0">
        <w:rPr>
          <w:rFonts w:ascii="Arial" w:hAnsi="Arial" w:cs="Arial"/>
          <w:sz w:val="20"/>
        </w:rPr>
        <w:t>on</w:t>
      </w:r>
      <w:r w:rsidRPr="00A407C0">
        <w:rPr>
          <w:rFonts w:ascii="Arial" w:hAnsi="Arial" w:cs="Arial"/>
          <w:spacing w:val="38"/>
          <w:sz w:val="20"/>
        </w:rPr>
        <w:t xml:space="preserve"> </w:t>
      </w:r>
      <w:r w:rsidRPr="00A407C0">
        <w:rPr>
          <w:rFonts w:ascii="Arial" w:hAnsi="Arial" w:cs="Arial"/>
          <w:sz w:val="20"/>
        </w:rPr>
        <w:t>electronic</w:t>
      </w:r>
      <w:r w:rsidRPr="00A407C0">
        <w:rPr>
          <w:rFonts w:ascii="Arial" w:hAnsi="Arial" w:cs="Arial"/>
          <w:spacing w:val="38"/>
          <w:sz w:val="20"/>
        </w:rPr>
        <w:t xml:space="preserve"> </w:t>
      </w:r>
      <w:r w:rsidRPr="00A407C0">
        <w:rPr>
          <w:rFonts w:ascii="Arial" w:hAnsi="Arial" w:cs="Arial"/>
          <w:sz w:val="20"/>
        </w:rPr>
        <w:t>calculations</w:t>
      </w:r>
      <w:r w:rsidRPr="00A407C0">
        <w:rPr>
          <w:rFonts w:ascii="Arial" w:hAnsi="Arial" w:cs="Arial"/>
          <w:spacing w:val="41"/>
          <w:sz w:val="20"/>
        </w:rPr>
        <w:t xml:space="preserve"> </w:t>
      </w:r>
      <w:r w:rsidRPr="00A407C0">
        <w:rPr>
          <w:rFonts w:ascii="Arial" w:hAnsi="Arial" w:cs="Arial"/>
          <w:sz w:val="20"/>
        </w:rPr>
        <w:t>shall</w:t>
      </w:r>
      <w:r w:rsidRPr="00A407C0">
        <w:rPr>
          <w:rFonts w:ascii="Arial" w:hAnsi="Arial" w:cs="Arial"/>
          <w:spacing w:val="40"/>
          <w:sz w:val="20"/>
        </w:rPr>
        <w:t xml:space="preserve"> </w:t>
      </w:r>
      <w:r w:rsidRPr="00A407C0">
        <w:rPr>
          <w:rFonts w:ascii="Arial" w:hAnsi="Arial" w:cs="Arial"/>
          <w:sz w:val="20"/>
        </w:rPr>
        <w:t>be</w:t>
      </w:r>
      <w:r w:rsidRPr="00A407C0">
        <w:rPr>
          <w:rFonts w:ascii="Arial" w:hAnsi="Arial" w:cs="Arial"/>
          <w:spacing w:val="39"/>
          <w:sz w:val="20"/>
        </w:rPr>
        <w:t xml:space="preserve"> </w:t>
      </w:r>
      <w:r w:rsidRPr="00A407C0">
        <w:rPr>
          <w:rFonts w:ascii="Arial" w:hAnsi="Arial" w:cs="Arial"/>
          <w:sz w:val="20"/>
        </w:rPr>
        <w:t>replicable</w:t>
      </w:r>
      <w:r w:rsidRPr="00A407C0">
        <w:rPr>
          <w:rFonts w:ascii="Arial" w:hAnsi="Arial" w:cs="Arial"/>
          <w:spacing w:val="39"/>
          <w:sz w:val="20"/>
        </w:rPr>
        <w:t xml:space="preserve"> </w:t>
      </w:r>
      <w:r w:rsidRPr="00A407C0">
        <w:rPr>
          <w:rFonts w:ascii="Arial" w:hAnsi="Arial" w:cs="Arial"/>
          <w:sz w:val="20"/>
        </w:rPr>
        <w:t>by</w:t>
      </w:r>
      <w:r w:rsidRPr="00A407C0">
        <w:rPr>
          <w:rFonts w:ascii="Arial" w:hAnsi="Arial" w:cs="Arial"/>
          <w:spacing w:val="39"/>
          <w:sz w:val="20"/>
        </w:rPr>
        <w:t xml:space="preserve"> </w:t>
      </w:r>
      <w:r w:rsidRPr="00A407C0">
        <w:rPr>
          <w:rFonts w:ascii="Arial" w:hAnsi="Arial" w:cs="Arial"/>
          <w:sz w:val="20"/>
        </w:rPr>
        <w:t>the</w:t>
      </w:r>
      <w:r w:rsidRPr="00A407C0">
        <w:rPr>
          <w:rFonts w:ascii="Arial" w:hAnsi="Arial" w:cs="Arial"/>
          <w:spacing w:val="41"/>
          <w:sz w:val="20"/>
        </w:rPr>
        <w:t xml:space="preserve"> </w:t>
      </w:r>
      <w:r w:rsidRPr="00A407C0">
        <w:rPr>
          <w:rFonts w:ascii="Arial" w:hAnsi="Arial" w:cs="Arial"/>
          <w:sz w:val="20"/>
        </w:rPr>
        <w:t>pilot-in-</w:t>
      </w:r>
      <w:r w:rsidRPr="00A407C0">
        <w:rPr>
          <w:rFonts w:ascii="Arial" w:hAnsi="Arial" w:cs="Arial"/>
          <w:spacing w:val="-47"/>
          <w:sz w:val="20"/>
        </w:rPr>
        <w:t xml:space="preserve"> </w:t>
      </w:r>
      <w:r w:rsidRPr="00A407C0">
        <w:rPr>
          <w:rFonts w:ascii="Arial" w:hAnsi="Arial" w:cs="Arial"/>
          <w:sz w:val="20"/>
        </w:rPr>
        <w:t>command.</w:t>
      </w:r>
    </w:p>
    <w:p w14:paraId="55D33F64" w14:textId="0CCFAD3C" w:rsidR="00DC65BA" w:rsidRPr="008F3217" w:rsidRDefault="00A407C0" w:rsidP="008F3217">
      <w:pPr>
        <w:numPr>
          <w:ilvl w:val="0"/>
          <w:numId w:val="123"/>
        </w:numPr>
        <w:tabs>
          <w:tab w:val="left" w:pos="706"/>
          <w:tab w:val="left" w:pos="707"/>
        </w:tabs>
        <w:spacing w:before="121" w:line="276" w:lineRule="auto"/>
        <w:ind w:right="68"/>
        <w:jc w:val="both"/>
        <w:rPr>
          <w:rFonts w:ascii="Arial" w:hAnsi="Arial" w:cs="Arial"/>
          <w:sz w:val="20"/>
        </w:rPr>
      </w:pPr>
      <w:r w:rsidRPr="00A407C0">
        <w:rPr>
          <w:rFonts w:ascii="Arial" w:hAnsi="Arial" w:cs="Arial"/>
          <w:sz w:val="20"/>
        </w:rPr>
        <w:t>The</w:t>
      </w:r>
      <w:r w:rsidRPr="00A407C0">
        <w:rPr>
          <w:rFonts w:ascii="Arial" w:hAnsi="Arial" w:cs="Arial"/>
          <w:spacing w:val="-10"/>
          <w:sz w:val="20"/>
        </w:rPr>
        <w:t xml:space="preserve"> </w:t>
      </w:r>
      <w:r w:rsidRPr="00A407C0">
        <w:rPr>
          <w:rFonts w:ascii="Arial" w:hAnsi="Arial" w:cs="Arial"/>
          <w:sz w:val="20"/>
        </w:rPr>
        <w:t>mass</w:t>
      </w:r>
      <w:r w:rsidRPr="00A407C0">
        <w:rPr>
          <w:rFonts w:ascii="Arial" w:hAnsi="Arial" w:cs="Arial"/>
          <w:spacing w:val="-8"/>
          <w:sz w:val="20"/>
        </w:rPr>
        <w:t xml:space="preserve"> </w:t>
      </w:r>
      <w:r w:rsidRPr="00A407C0">
        <w:rPr>
          <w:rFonts w:ascii="Arial" w:hAnsi="Arial" w:cs="Arial"/>
          <w:sz w:val="20"/>
        </w:rPr>
        <w:t>documentation,</w:t>
      </w:r>
      <w:r w:rsidRPr="00A407C0">
        <w:rPr>
          <w:rFonts w:ascii="Arial" w:hAnsi="Arial" w:cs="Arial"/>
          <w:spacing w:val="-9"/>
          <w:sz w:val="20"/>
        </w:rPr>
        <w:t xml:space="preserve"> </w:t>
      </w:r>
      <w:r w:rsidRPr="00A407C0">
        <w:rPr>
          <w:rFonts w:ascii="Arial" w:hAnsi="Arial" w:cs="Arial"/>
          <w:sz w:val="20"/>
        </w:rPr>
        <w:t>specifying</w:t>
      </w:r>
      <w:r w:rsidRPr="00A407C0">
        <w:rPr>
          <w:rFonts w:ascii="Arial" w:hAnsi="Arial" w:cs="Arial"/>
          <w:spacing w:val="-9"/>
          <w:sz w:val="20"/>
        </w:rPr>
        <w:t xml:space="preserve"> </w:t>
      </w:r>
      <w:r w:rsidRPr="00A407C0">
        <w:rPr>
          <w:rFonts w:ascii="Arial" w:hAnsi="Arial" w:cs="Arial"/>
          <w:sz w:val="20"/>
        </w:rPr>
        <w:t>the</w:t>
      </w:r>
      <w:r w:rsidRPr="00A407C0">
        <w:rPr>
          <w:rFonts w:ascii="Arial" w:hAnsi="Arial" w:cs="Arial"/>
          <w:spacing w:val="-9"/>
          <w:sz w:val="20"/>
        </w:rPr>
        <w:t xml:space="preserve"> </w:t>
      </w:r>
      <w:r w:rsidRPr="00A407C0">
        <w:rPr>
          <w:rFonts w:ascii="Arial" w:hAnsi="Arial" w:cs="Arial"/>
          <w:sz w:val="20"/>
        </w:rPr>
        <w:t>items</w:t>
      </w:r>
      <w:r w:rsidRPr="00A407C0">
        <w:rPr>
          <w:rFonts w:ascii="Arial" w:hAnsi="Arial" w:cs="Arial"/>
          <w:spacing w:val="-10"/>
          <w:sz w:val="20"/>
        </w:rPr>
        <w:t xml:space="preserve"> </w:t>
      </w:r>
      <w:r w:rsidRPr="00A407C0">
        <w:rPr>
          <w:rFonts w:ascii="Arial" w:hAnsi="Arial" w:cs="Arial"/>
          <w:sz w:val="20"/>
        </w:rPr>
        <w:t>listed</w:t>
      </w:r>
      <w:r w:rsidRPr="00A407C0">
        <w:rPr>
          <w:rFonts w:ascii="Arial" w:hAnsi="Arial" w:cs="Arial"/>
          <w:spacing w:val="-7"/>
          <w:sz w:val="20"/>
        </w:rPr>
        <w:t xml:space="preserve"> </w:t>
      </w:r>
      <w:r w:rsidRPr="00A407C0">
        <w:rPr>
          <w:rFonts w:ascii="Arial" w:hAnsi="Arial" w:cs="Arial"/>
          <w:sz w:val="20"/>
        </w:rPr>
        <w:t>in</w:t>
      </w:r>
      <w:r w:rsidRPr="00A407C0">
        <w:rPr>
          <w:rFonts w:ascii="Arial" w:hAnsi="Arial" w:cs="Arial"/>
          <w:spacing w:val="-11"/>
          <w:sz w:val="20"/>
        </w:rPr>
        <w:t xml:space="preserve"> </w:t>
      </w:r>
      <w:r w:rsidRPr="00A407C0">
        <w:rPr>
          <w:rFonts w:ascii="Arial" w:hAnsi="Arial" w:cs="Arial"/>
          <w:sz w:val="20"/>
        </w:rPr>
        <w:t>point</w:t>
      </w:r>
      <w:r w:rsidRPr="00A407C0">
        <w:rPr>
          <w:rFonts w:ascii="Arial" w:hAnsi="Arial" w:cs="Arial"/>
          <w:spacing w:val="-9"/>
          <w:sz w:val="20"/>
        </w:rPr>
        <w:t xml:space="preserve"> </w:t>
      </w:r>
      <w:r w:rsidRPr="00A407C0">
        <w:rPr>
          <w:rFonts w:ascii="Arial" w:hAnsi="Arial" w:cs="Arial"/>
          <w:sz w:val="20"/>
        </w:rPr>
        <w:t>(a),</w:t>
      </w:r>
      <w:r w:rsidRPr="00A407C0">
        <w:rPr>
          <w:rFonts w:ascii="Arial" w:hAnsi="Arial" w:cs="Arial"/>
          <w:spacing w:val="-8"/>
          <w:sz w:val="20"/>
        </w:rPr>
        <w:t xml:space="preserve"> </w:t>
      </w:r>
      <w:r w:rsidRPr="00A407C0">
        <w:rPr>
          <w:rFonts w:ascii="Arial" w:hAnsi="Arial" w:cs="Arial"/>
          <w:sz w:val="20"/>
        </w:rPr>
        <w:t>shall</w:t>
      </w:r>
      <w:r w:rsidRPr="00A407C0">
        <w:rPr>
          <w:rFonts w:ascii="Arial" w:hAnsi="Arial" w:cs="Arial"/>
          <w:spacing w:val="-10"/>
          <w:sz w:val="20"/>
        </w:rPr>
        <w:t xml:space="preserve"> </w:t>
      </w:r>
      <w:r w:rsidRPr="00A407C0">
        <w:rPr>
          <w:rFonts w:ascii="Arial" w:hAnsi="Arial" w:cs="Arial"/>
          <w:sz w:val="20"/>
        </w:rPr>
        <w:t>be</w:t>
      </w:r>
      <w:r w:rsidRPr="00A407C0">
        <w:rPr>
          <w:rFonts w:ascii="Arial" w:hAnsi="Arial" w:cs="Arial"/>
          <w:spacing w:val="-7"/>
          <w:sz w:val="20"/>
        </w:rPr>
        <w:t xml:space="preserve"> </w:t>
      </w:r>
      <w:r w:rsidRPr="00A407C0">
        <w:rPr>
          <w:rFonts w:ascii="Arial" w:hAnsi="Arial" w:cs="Arial"/>
          <w:sz w:val="20"/>
        </w:rPr>
        <w:t>prepared</w:t>
      </w:r>
      <w:r w:rsidRPr="00A407C0">
        <w:rPr>
          <w:rFonts w:ascii="Arial" w:hAnsi="Arial" w:cs="Arial"/>
          <w:spacing w:val="-10"/>
          <w:sz w:val="20"/>
        </w:rPr>
        <w:t xml:space="preserve"> </w:t>
      </w:r>
      <w:r w:rsidRPr="00A407C0">
        <w:rPr>
          <w:rFonts w:ascii="Arial" w:hAnsi="Arial" w:cs="Arial"/>
          <w:sz w:val="20"/>
        </w:rPr>
        <w:t>prior</w:t>
      </w:r>
      <w:r w:rsidRPr="00A407C0">
        <w:rPr>
          <w:rFonts w:ascii="Arial" w:hAnsi="Arial" w:cs="Arial"/>
          <w:spacing w:val="-10"/>
          <w:sz w:val="20"/>
        </w:rPr>
        <w:t xml:space="preserve"> </w:t>
      </w:r>
      <w:r w:rsidRPr="00A407C0">
        <w:rPr>
          <w:rFonts w:ascii="Arial" w:hAnsi="Arial" w:cs="Arial"/>
          <w:sz w:val="20"/>
        </w:rPr>
        <w:t>to</w:t>
      </w:r>
      <w:r w:rsidRPr="00A407C0">
        <w:rPr>
          <w:rFonts w:ascii="Arial" w:hAnsi="Arial" w:cs="Arial"/>
          <w:spacing w:val="-9"/>
          <w:sz w:val="20"/>
        </w:rPr>
        <w:t xml:space="preserve"> </w:t>
      </w:r>
      <w:r w:rsidRPr="00A407C0">
        <w:rPr>
          <w:rFonts w:ascii="Arial" w:hAnsi="Arial" w:cs="Arial"/>
          <w:sz w:val="20"/>
        </w:rPr>
        <w:t>each</w:t>
      </w:r>
      <w:r w:rsidRPr="00A407C0">
        <w:rPr>
          <w:rFonts w:ascii="Arial" w:hAnsi="Arial" w:cs="Arial"/>
          <w:spacing w:val="-46"/>
          <w:sz w:val="20"/>
        </w:rPr>
        <w:t xml:space="preserve"> </w:t>
      </w:r>
      <w:r w:rsidRPr="00A407C0">
        <w:rPr>
          <w:rFonts w:ascii="Arial" w:hAnsi="Arial" w:cs="Arial"/>
          <w:sz w:val="20"/>
        </w:rPr>
        <w:t>flight</w:t>
      </w:r>
      <w:r w:rsidRPr="00A407C0">
        <w:rPr>
          <w:rFonts w:ascii="Arial" w:hAnsi="Arial" w:cs="Arial"/>
          <w:spacing w:val="-1"/>
          <w:sz w:val="20"/>
        </w:rPr>
        <w:t xml:space="preserve"> </w:t>
      </w:r>
      <w:r w:rsidRPr="00A407C0">
        <w:rPr>
          <w:rFonts w:ascii="Arial" w:hAnsi="Arial" w:cs="Arial"/>
          <w:sz w:val="20"/>
        </w:rPr>
        <w:t>and</w:t>
      </w:r>
      <w:r w:rsidRPr="00A407C0">
        <w:rPr>
          <w:rFonts w:ascii="Arial" w:hAnsi="Arial" w:cs="Arial"/>
          <w:spacing w:val="-1"/>
          <w:sz w:val="20"/>
        </w:rPr>
        <w:t xml:space="preserve"> </w:t>
      </w:r>
      <w:r w:rsidRPr="00A407C0">
        <w:rPr>
          <w:rFonts w:ascii="Arial" w:hAnsi="Arial" w:cs="Arial"/>
          <w:sz w:val="20"/>
        </w:rPr>
        <w:t>documented</w:t>
      </w:r>
      <w:r w:rsidRPr="00A407C0">
        <w:rPr>
          <w:rFonts w:ascii="Arial" w:hAnsi="Arial" w:cs="Arial"/>
          <w:spacing w:val="-3"/>
          <w:sz w:val="20"/>
        </w:rPr>
        <w:t xml:space="preserve"> </w:t>
      </w:r>
      <w:r w:rsidRPr="00A407C0">
        <w:rPr>
          <w:rFonts w:ascii="Arial" w:hAnsi="Arial" w:cs="Arial"/>
          <w:sz w:val="20"/>
        </w:rPr>
        <w:t>in an</w:t>
      </w:r>
      <w:r w:rsidRPr="00A407C0">
        <w:rPr>
          <w:rFonts w:ascii="Arial" w:hAnsi="Arial" w:cs="Arial"/>
          <w:spacing w:val="-1"/>
          <w:sz w:val="20"/>
        </w:rPr>
        <w:t xml:space="preserve"> </w:t>
      </w:r>
      <w:r w:rsidRPr="00A407C0">
        <w:rPr>
          <w:rFonts w:ascii="Arial" w:hAnsi="Arial" w:cs="Arial"/>
          <w:sz w:val="20"/>
        </w:rPr>
        <w:t>operational flight plan.</w:t>
      </w:r>
    </w:p>
    <w:p w14:paraId="2433C409" w14:textId="77777777" w:rsidR="00A407C0" w:rsidRPr="00A407C0" w:rsidRDefault="00A407C0" w:rsidP="009601C2">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539" w:name="AMC1_BOP.ADD.600(a)(2)_System_for_determ"/>
      <w:bookmarkStart w:id="540" w:name="_bookmark218"/>
      <w:bookmarkStart w:id="541" w:name="_Toc153137383"/>
      <w:bookmarkEnd w:id="539"/>
      <w:bookmarkEnd w:id="540"/>
      <w:r w:rsidRPr="00A407C0">
        <w:rPr>
          <w:rFonts w:ascii="Arial" w:eastAsia="Times New Roman" w:hAnsi="Arial" w:cs="Times New Roman"/>
          <w:b/>
          <w:color w:val="FFFFFF"/>
          <w:sz w:val="24"/>
        </w:rPr>
        <w:t>AMC1 BOP.ADD.600(a)(2) System for determining the mass</w:t>
      </w:r>
      <w:bookmarkEnd w:id="541"/>
    </w:p>
    <w:p w14:paraId="70F4458A" w14:textId="77777777" w:rsidR="00A407C0" w:rsidRPr="00276D5E" w:rsidRDefault="00A407C0" w:rsidP="009601C2">
      <w:pPr>
        <w:spacing w:line="276" w:lineRule="auto"/>
        <w:rPr>
          <w:rFonts w:ascii="Arial" w:hAnsi="Arial" w:cs="Arial"/>
          <w:b/>
          <w:sz w:val="20"/>
        </w:rPr>
      </w:pPr>
      <w:r w:rsidRPr="00276D5E">
        <w:rPr>
          <w:rFonts w:ascii="Arial" w:hAnsi="Arial" w:cs="Arial"/>
          <w:b/>
          <w:sz w:val="20"/>
        </w:rPr>
        <w:t>TRAFFIC</w:t>
      </w:r>
      <w:r w:rsidRPr="00276D5E">
        <w:rPr>
          <w:rFonts w:ascii="Arial" w:hAnsi="Arial" w:cs="Arial"/>
          <w:b/>
          <w:spacing w:val="-3"/>
          <w:sz w:val="20"/>
        </w:rPr>
        <w:t xml:space="preserve"> </w:t>
      </w:r>
      <w:r w:rsidRPr="00276D5E">
        <w:rPr>
          <w:rFonts w:ascii="Arial" w:hAnsi="Arial" w:cs="Arial"/>
          <w:b/>
          <w:sz w:val="20"/>
        </w:rPr>
        <w:t>LOAD,</w:t>
      </w:r>
      <w:r w:rsidRPr="00276D5E">
        <w:rPr>
          <w:rFonts w:ascii="Arial" w:hAnsi="Arial" w:cs="Arial"/>
          <w:b/>
          <w:spacing w:val="-2"/>
          <w:sz w:val="20"/>
        </w:rPr>
        <w:t xml:space="preserve"> </w:t>
      </w:r>
      <w:r w:rsidRPr="00276D5E">
        <w:rPr>
          <w:rFonts w:ascii="Arial" w:hAnsi="Arial" w:cs="Arial"/>
          <w:b/>
          <w:sz w:val="20"/>
        </w:rPr>
        <w:t>AND</w:t>
      </w:r>
      <w:r w:rsidRPr="00276D5E">
        <w:rPr>
          <w:rFonts w:ascii="Arial" w:hAnsi="Arial" w:cs="Arial"/>
          <w:b/>
          <w:spacing w:val="-4"/>
          <w:sz w:val="20"/>
        </w:rPr>
        <w:t xml:space="preserve"> </w:t>
      </w:r>
      <w:r w:rsidRPr="00276D5E">
        <w:rPr>
          <w:rFonts w:ascii="Arial" w:hAnsi="Arial" w:cs="Arial"/>
          <w:b/>
          <w:sz w:val="20"/>
        </w:rPr>
        <w:t>MASS</w:t>
      </w:r>
      <w:r w:rsidRPr="00276D5E">
        <w:rPr>
          <w:rFonts w:ascii="Arial" w:hAnsi="Arial" w:cs="Arial"/>
          <w:b/>
          <w:spacing w:val="-3"/>
          <w:sz w:val="20"/>
        </w:rPr>
        <w:t xml:space="preserve"> </w:t>
      </w:r>
      <w:r w:rsidRPr="00276D5E">
        <w:rPr>
          <w:rFonts w:ascii="Arial" w:hAnsi="Arial" w:cs="Arial"/>
          <w:b/>
          <w:sz w:val="20"/>
        </w:rPr>
        <w:t>VALUES</w:t>
      </w:r>
      <w:r w:rsidRPr="00276D5E">
        <w:rPr>
          <w:rFonts w:ascii="Arial" w:hAnsi="Arial" w:cs="Arial"/>
          <w:b/>
          <w:spacing w:val="-4"/>
          <w:sz w:val="20"/>
        </w:rPr>
        <w:t xml:space="preserve"> </w:t>
      </w:r>
      <w:r w:rsidRPr="00276D5E">
        <w:rPr>
          <w:rFonts w:ascii="Arial" w:hAnsi="Arial" w:cs="Arial"/>
          <w:b/>
          <w:sz w:val="20"/>
        </w:rPr>
        <w:t>FOR</w:t>
      </w:r>
      <w:r w:rsidRPr="00276D5E">
        <w:rPr>
          <w:rFonts w:ascii="Arial" w:hAnsi="Arial" w:cs="Arial"/>
          <w:b/>
          <w:spacing w:val="-3"/>
          <w:sz w:val="20"/>
        </w:rPr>
        <w:t xml:space="preserve"> </w:t>
      </w:r>
      <w:r w:rsidRPr="00276D5E">
        <w:rPr>
          <w:rFonts w:ascii="Arial" w:hAnsi="Arial" w:cs="Arial"/>
          <w:b/>
          <w:sz w:val="20"/>
        </w:rPr>
        <w:t>PASSENGERS</w:t>
      </w:r>
      <w:r w:rsidRPr="00276D5E">
        <w:rPr>
          <w:rFonts w:ascii="Arial" w:hAnsi="Arial" w:cs="Arial"/>
          <w:b/>
          <w:spacing w:val="-3"/>
          <w:sz w:val="20"/>
        </w:rPr>
        <w:t xml:space="preserve"> </w:t>
      </w:r>
      <w:r w:rsidRPr="00276D5E">
        <w:rPr>
          <w:rFonts w:ascii="Arial" w:hAnsi="Arial" w:cs="Arial"/>
          <w:b/>
          <w:sz w:val="20"/>
        </w:rPr>
        <w:t>AND</w:t>
      </w:r>
      <w:r w:rsidRPr="00276D5E">
        <w:rPr>
          <w:rFonts w:ascii="Arial" w:hAnsi="Arial" w:cs="Arial"/>
          <w:b/>
          <w:spacing w:val="-4"/>
          <w:sz w:val="20"/>
        </w:rPr>
        <w:t xml:space="preserve"> </w:t>
      </w:r>
      <w:r w:rsidRPr="00276D5E">
        <w:rPr>
          <w:rFonts w:ascii="Arial" w:hAnsi="Arial" w:cs="Arial"/>
          <w:b/>
          <w:sz w:val="20"/>
        </w:rPr>
        <w:t>BAGGAGE</w:t>
      </w:r>
    </w:p>
    <w:p w14:paraId="661CA8C8" w14:textId="77777777" w:rsidR="00A407C0" w:rsidRPr="00A407C0" w:rsidRDefault="00A407C0" w:rsidP="008F3217">
      <w:pPr>
        <w:numPr>
          <w:ilvl w:val="0"/>
          <w:numId w:val="124"/>
        </w:numPr>
        <w:tabs>
          <w:tab w:val="left" w:pos="707"/>
        </w:tabs>
        <w:spacing w:before="119" w:line="276" w:lineRule="auto"/>
        <w:ind w:right="68"/>
        <w:jc w:val="both"/>
        <w:rPr>
          <w:rFonts w:ascii="Arial" w:hAnsi="Arial" w:cs="Arial"/>
          <w:sz w:val="20"/>
        </w:rPr>
      </w:pPr>
      <w:r w:rsidRPr="00A407C0">
        <w:rPr>
          <w:rFonts w:ascii="Arial" w:hAnsi="Arial" w:cs="Arial"/>
          <w:sz w:val="20"/>
        </w:rPr>
        <w:t>Traffic load should be determined by actual weighing, or by calculating masses for passengers,</w:t>
      </w:r>
      <w:r w:rsidRPr="00A407C0">
        <w:rPr>
          <w:rFonts w:ascii="Arial" w:hAnsi="Arial" w:cs="Arial"/>
          <w:spacing w:val="-47"/>
          <w:sz w:val="20"/>
        </w:rPr>
        <w:t xml:space="preserve"> </w:t>
      </w:r>
      <w:r w:rsidRPr="00A407C0">
        <w:rPr>
          <w:rFonts w:ascii="Arial" w:hAnsi="Arial" w:cs="Arial"/>
          <w:sz w:val="20"/>
        </w:rPr>
        <w:t>persons</w:t>
      </w:r>
      <w:r w:rsidRPr="00A407C0">
        <w:rPr>
          <w:rFonts w:ascii="Arial" w:hAnsi="Arial" w:cs="Arial"/>
          <w:spacing w:val="-3"/>
          <w:sz w:val="20"/>
        </w:rPr>
        <w:t xml:space="preserve"> </w:t>
      </w:r>
      <w:r w:rsidRPr="00A407C0">
        <w:rPr>
          <w:rFonts w:ascii="Arial" w:hAnsi="Arial" w:cs="Arial"/>
          <w:sz w:val="20"/>
        </w:rPr>
        <w:t>other than</w:t>
      </w:r>
      <w:r w:rsidRPr="00A407C0">
        <w:rPr>
          <w:rFonts w:ascii="Arial" w:hAnsi="Arial" w:cs="Arial"/>
          <w:spacing w:val="-1"/>
          <w:sz w:val="20"/>
        </w:rPr>
        <w:t xml:space="preserve"> </w:t>
      </w:r>
      <w:r w:rsidRPr="00A407C0">
        <w:rPr>
          <w:rFonts w:ascii="Arial" w:hAnsi="Arial" w:cs="Arial"/>
          <w:sz w:val="20"/>
        </w:rPr>
        <w:t>flight</w:t>
      </w:r>
      <w:r w:rsidRPr="00A407C0">
        <w:rPr>
          <w:rFonts w:ascii="Arial" w:hAnsi="Arial" w:cs="Arial"/>
          <w:spacing w:val="-2"/>
          <w:sz w:val="20"/>
        </w:rPr>
        <w:t xml:space="preserve"> </w:t>
      </w:r>
      <w:r w:rsidRPr="00A407C0">
        <w:rPr>
          <w:rFonts w:ascii="Arial" w:hAnsi="Arial" w:cs="Arial"/>
          <w:sz w:val="20"/>
        </w:rPr>
        <w:t>crew</w:t>
      </w:r>
      <w:r w:rsidRPr="00A407C0">
        <w:rPr>
          <w:rFonts w:ascii="Arial" w:hAnsi="Arial" w:cs="Arial"/>
          <w:spacing w:val="-2"/>
          <w:sz w:val="20"/>
        </w:rPr>
        <w:t xml:space="preserve"> </w:t>
      </w:r>
      <w:r w:rsidRPr="00A407C0">
        <w:rPr>
          <w:rFonts w:ascii="Arial" w:hAnsi="Arial" w:cs="Arial"/>
          <w:sz w:val="20"/>
        </w:rPr>
        <w:t>members</w:t>
      </w:r>
      <w:r w:rsidRPr="00A407C0">
        <w:rPr>
          <w:rFonts w:ascii="Arial" w:hAnsi="Arial" w:cs="Arial"/>
          <w:spacing w:val="-2"/>
          <w:sz w:val="20"/>
        </w:rPr>
        <w:t xml:space="preserve"> </w:t>
      </w:r>
      <w:r w:rsidRPr="00A407C0">
        <w:rPr>
          <w:rFonts w:ascii="Arial" w:hAnsi="Arial" w:cs="Arial"/>
          <w:sz w:val="20"/>
        </w:rPr>
        <w:t>and</w:t>
      </w:r>
      <w:r w:rsidRPr="00A407C0">
        <w:rPr>
          <w:rFonts w:ascii="Arial" w:hAnsi="Arial" w:cs="Arial"/>
          <w:spacing w:val="-1"/>
          <w:sz w:val="20"/>
        </w:rPr>
        <w:t xml:space="preserve"> </w:t>
      </w:r>
      <w:r w:rsidRPr="00A407C0">
        <w:rPr>
          <w:rFonts w:ascii="Arial" w:hAnsi="Arial" w:cs="Arial"/>
          <w:sz w:val="20"/>
        </w:rPr>
        <w:t>baggage</w:t>
      </w:r>
      <w:r w:rsidRPr="00A407C0">
        <w:rPr>
          <w:rFonts w:ascii="Arial" w:hAnsi="Arial" w:cs="Arial"/>
          <w:spacing w:val="-2"/>
          <w:sz w:val="20"/>
        </w:rPr>
        <w:t xml:space="preserve"> </w:t>
      </w:r>
      <w:r w:rsidRPr="00A407C0">
        <w:rPr>
          <w:rFonts w:ascii="Arial" w:hAnsi="Arial" w:cs="Arial"/>
          <w:sz w:val="20"/>
        </w:rPr>
        <w:t>as follows:</w:t>
      </w:r>
    </w:p>
    <w:p w14:paraId="7483DEFD" w14:textId="77777777" w:rsidR="00A407C0" w:rsidRPr="00A407C0" w:rsidRDefault="00A407C0" w:rsidP="008F3217">
      <w:pPr>
        <w:numPr>
          <w:ilvl w:val="1"/>
          <w:numId w:val="124"/>
        </w:numPr>
        <w:tabs>
          <w:tab w:val="left" w:pos="1274"/>
        </w:tabs>
        <w:spacing w:before="118" w:line="276" w:lineRule="auto"/>
        <w:ind w:right="68"/>
        <w:jc w:val="both"/>
        <w:rPr>
          <w:rFonts w:ascii="Arial" w:hAnsi="Arial" w:cs="Arial"/>
          <w:sz w:val="20"/>
        </w:rPr>
      </w:pPr>
      <w:r w:rsidRPr="00A407C0">
        <w:rPr>
          <w:rFonts w:ascii="Arial" w:hAnsi="Arial" w:cs="Arial"/>
          <w:sz w:val="20"/>
        </w:rPr>
        <w:t>Passenger mass may be calculated on the basis of a statement by, or on behalf of, each</w:t>
      </w:r>
      <w:r w:rsidRPr="00A407C0">
        <w:rPr>
          <w:rFonts w:ascii="Arial" w:hAnsi="Arial" w:cs="Arial"/>
          <w:spacing w:val="1"/>
          <w:sz w:val="20"/>
        </w:rPr>
        <w:t xml:space="preserve"> </w:t>
      </w:r>
      <w:r w:rsidRPr="00A407C0">
        <w:rPr>
          <w:rFonts w:ascii="Arial" w:hAnsi="Arial" w:cs="Arial"/>
          <w:sz w:val="20"/>
        </w:rPr>
        <w:t>passenger,</w:t>
      </w:r>
      <w:r w:rsidRPr="00A407C0">
        <w:rPr>
          <w:rFonts w:ascii="Arial" w:hAnsi="Arial" w:cs="Arial"/>
          <w:spacing w:val="-3"/>
          <w:sz w:val="20"/>
        </w:rPr>
        <w:t xml:space="preserve"> </w:t>
      </w:r>
      <w:r w:rsidRPr="00A407C0">
        <w:rPr>
          <w:rFonts w:ascii="Arial" w:hAnsi="Arial" w:cs="Arial"/>
          <w:sz w:val="20"/>
        </w:rPr>
        <w:t>adding</w:t>
      </w:r>
      <w:r w:rsidRPr="00A407C0">
        <w:rPr>
          <w:rFonts w:ascii="Arial" w:hAnsi="Arial" w:cs="Arial"/>
          <w:spacing w:val="-3"/>
          <w:sz w:val="20"/>
        </w:rPr>
        <w:t xml:space="preserve"> </w:t>
      </w:r>
      <w:r w:rsidRPr="00A407C0">
        <w:rPr>
          <w:rFonts w:ascii="Arial" w:hAnsi="Arial" w:cs="Arial"/>
          <w:sz w:val="20"/>
        </w:rPr>
        <w:t>to</w:t>
      </w:r>
      <w:r w:rsidRPr="00A407C0">
        <w:rPr>
          <w:rFonts w:ascii="Arial" w:hAnsi="Arial" w:cs="Arial"/>
          <w:spacing w:val="-2"/>
          <w:sz w:val="20"/>
        </w:rPr>
        <w:t xml:space="preserve"> </w:t>
      </w:r>
      <w:r w:rsidRPr="00A407C0">
        <w:rPr>
          <w:rFonts w:ascii="Arial" w:hAnsi="Arial" w:cs="Arial"/>
          <w:sz w:val="20"/>
        </w:rPr>
        <w:t>it</w:t>
      </w:r>
      <w:r w:rsidRPr="00A407C0">
        <w:rPr>
          <w:rFonts w:ascii="Arial" w:hAnsi="Arial" w:cs="Arial"/>
          <w:spacing w:val="-2"/>
          <w:sz w:val="20"/>
        </w:rPr>
        <w:t xml:space="preserve"> </w:t>
      </w:r>
      <w:r w:rsidRPr="00A407C0">
        <w:rPr>
          <w:rFonts w:ascii="Arial" w:hAnsi="Arial" w:cs="Arial"/>
          <w:sz w:val="20"/>
        </w:rPr>
        <w:t>a</w:t>
      </w:r>
      <w:r w:rsidRPr="00A407C0">
        <w:rPr>
          <w:rFonts w:ascii="Arial" w:hAnsi="Arial" w:cs="Arial"/>
          <w:spacing w:val="-3"/>
          <w:sz w:val="20"/>
        </w:rPr>
        <w:t xml:space="preserve"> </w:t>
      </w:r>
      <w:r w:rsidRPr="00A407C0">
        <w:rPr>
          <w:rFonts w:ascii="Arial" w:hAnsi="Arial" w:cs="Arial"/>
          <w:sz w:val="20"/>
        </w:rPr>
        <w:t>predetermined</w:t>
      </w:r>
      <w:r w:rsidRPr="00A407C0">
        <w:rPr>
          <w:rFonts w:ascii="Arial" w:hAnsi="Arial" w:cs="Arial"/>
          <w:spacing w:val="-5"/>
          <w:sz w:val="20"/>
        </w:rPr>
        <w:t xml:space="preserve"> </w:t>
      </w:r>
      <w:r w:rsidRPr="00A407C0">
        <w:rPr>
          <w:rFonts w:ascii="Arial" w:hAnsi="Arial" w:cs="Arial"/>
          <w:sz w:val="20"/>
        </w:rPr>
        <w:t>mass</w:t>
      </w:r>
      <w:r w:rsidRPr="00A407C0">
        <w:rPr>
          <w:rFonts w:ascii="Arial" w:hAnsi="Arial" w:cs="Arial"/>
          <w:spacing w:val="-3"/>
          <w:sz w:val="20"/>
        </w:rPr>
        <w:t xml:space="preserve"> </w:t>
      </w:r>
      <w:r w:rsidRPr="00A407C0">
        <w:rPr>
          <w:rFonts w:ascii="Arial" w:hAnsi="Arial" w:cs="Arial"/>
          <w:sz w:val="20"/>
        </w:rPr>
        <w:t>to</w:t>
      </w:r>
      <w:r w:rsidRPr="00A407C0">
        <w:rPr>
          <w:rFonts w:ascii="Arial" w:hAnsi="Arial" w:cs="Arial"/>
          <w:spacing w:val="-1"/>
          <w:sz w:val="20"/>
        </w:rPr>
        <w:t xml:space="preserve"> </w:t>
      </w:r>
      <w:r w:rsidRPr="00A407C0">
        <w:rPr>
          <w:rFonts w:ascii="Arial" w:hAnsi="Arial" w:cs="Arial"/>
          <w:sz w:val="20"/>
        </w:rPr>
        <w:t>account</w:t>
      </w:r>
      <w:r w:rsidRPr="00A407C0">
        <w:rPr>
          <w:rFonts w:ascii="Arial" w:hAnsi="Arial" w:cs="Arial"/>
          <w:spacing w:val="-3"/>
          <w:sz w:val="20"/>
        </w:rPr>
        <w:t xml:space="preserve"> </w:t>
      </w:r>
      <w:r w:rsidRPr="00A407C0">
        <w:rPr>
          <w:rFonts w:ascii="Arial" w:hAnsi="Arial" w:cs="Arial"/>
          <w:sz w:val="20"/>
        </w:rPr>
        <w:t>for</w:t>
      </w:r>
      <w:r w:rsidRPr="00A407C0">
        <w:rPr>
          <w:rFonts w:ascii="Arial" w:hAnsi="Arial" w:cs="Arial"/>
          <w:spacing w:val="-2"/>
          <w:sz w:val="20"/>
        </w:rPr>
        <w:t xml:space="preserve"> </w:t>
      </w:r>
      <w:r w:rsidRPr="00A407C0">
        <w:rPr>
          <w:rFonts w:ascii="Arial" w:hAnsi="Arial" w:cs="Arial"/>
          <w:sz w:val="20"/>
        </w:rPr>
        <w:t>hand</w:t>
      </w:r>
      <w:r w:rsidRPr="00A407C0">
        <w:rPr>
          <w:rFonts w:ascii="Arial" w:hAnsi="Arial" w:cs="Arial"/>
          <w:spacing w:val="-4"/>
          <w:sz w:val="20"/>
        </w:rPr>
        <w:t xml:space="preserve"> </w:t>
      </w:r>
      <w:r w:rsidRPr="00A407C0">
        <w:rPr>
          <w:rFonts w:ascii="Arial" w:hAnsi="Arial" w:cs="Arial"/>
          <w:sz w:val="20"/>
        </w:rPr>
        <w:t>baggage</w:t>
      </w:r>
      <w:r w:rsidRPr="00A407C0">
        <w:rPr>
          <w:rFonts w:ascii="Arial" w:hAnsi="Arial" w:cs="Arial"/>
          <w:spacing w:val="-2"/>
          <w:sz w:val="20"/>
        </w:rPr>
        <w:t xml:space="preserve"> </w:t>
      </w:r>
      <w:r w:rsidRPr="00A407C0">
        <w:rPr>
          <w:rFonts w:ascii="Arial" w:hAnsi="Arial" w:cs="Arial"/>
          <w:sz w:val="20"/>
        </w:rPr>
        <w:t>and</w:t>
      </w:r>
      <w:r w:rsidRPr="00A407C0">
        <w:rPr>
          <w:rFonts w:ascii="Arial" w:hAnsi="Arial" w:cs="Arial"/>
          <w:spacing w:val="-4"/>
          <w:sz w:val="20"/>
        </w:rPr>
        <w:t xml:space="preserve"> </w:t>
      </w:r>
      <w:r w:rsidRPr="00A407C0">
        <w:rPr>
          <w:rFonts w:ascii="Arial" w:hAnsi="Arial" w:cs="Arial"/>
          <w:sz w:val="20"/>
        </w:rPr>
        <w:t>clothing.</w:t>
      </w:r>
    </w:p>
    <w:p w14:paraId="020E840E" w14:textId="77777777" w:rsidR="00A407C0" w:rsidRPr="00A407C0" w:rsidRDefault="00A407C0" w:rsidP="008F3217">
      <w:pPr>
        <w:numPr>
          <w:ilvl w:val="1"/>
          <w:numId w:val="124"/>
        </w:numPr>
        <w:tabs>
          <w:tab w:val="left" w:pos="1274"/>
        </w:tabs>
        <w:spacing w:before="121" w:line="276" w:lineRule="auto"/>
        <w:ind w:right="68"/>
        <w:jc w:val="both"/>
        <w:rPr>
          <w:rFonts w:ascii="Arial" w:hAnsi="Arial" w:cs="Arial"/>
          <w:sz w:val="20"/>
        </w:rPr>
      </w:pPr>
      <w:r w:rsidRPr="00A407C0">
        <w:rPr>
          <w:rFonts w:ascii="Arial" w:hAnsi="Arial" w:cs="Arial"/>
          <w:sz w:val="20"/>
        </w:rPr>
        <w:t>The predetermined mass for hand baggage and clothing should be established by the</w:t>
      </w:r>
      <w:r w:rsidRPr="00A407C0">
        <w:rPr>
          <w:rFonts w:ascii="Arial" w:hAnsi="Arial" w:cs="Arial"/>
          <w:spacing w:val="1"/>
          <w:sz w:val="20"/>
        </w:rPr>
        <w:t xml:space="preserve"> </w:t>
      </w:r>
      <w:r w:rsidRPr="00A407C0">
        <w:rPr>
          <w:rFonts w:ascii="Arial" w:hAnsi="Arial" w:cs="Arial"/>
          <w:sz w:val="20"/>
        </w:rPr>
        <w:t>operator on the basis of experience relevant to its particular operation. In any case, it</w:t>
      </w:r>
      <w:r w:rsidRPr="00A407C0">
        <w:rPr>
          <w:rFonts w:ascii="Arial" w:hAnsi="Arial" w:cs="Arial"/>
          <w:spacing w:val="1"/>
          <w:sz w:val="20"/>
        </w:rPr>
        <w:t xml:space="preserve"> </w:t>
      </w:r>
      <w:r w:rsidRPr="00A407C0">
        <w:rPr>
          <w:rFonts w:ascii="Arial" w:hAnsi="Arial" w:cs="Arial"/>
          <w:sz w:val="20"/>
        </w:rPr>
        <w:t>should</w:t>
      </w:r>
      <w:r w:rsidRPr="00A407C0">
        <w:rPr>
          <w:rFonts w:ascii="Arial" w:hAnsi="Arial" w:cs="Arial"/>
          <w:spacing w:val="-3"/>
          <w:sz w:val="20"/>
        </w:rPr>
        <w:t xml:space="preserve"> </w:t>
      </w:r>
      <w:r w:rsidRPr="00A407C0">
        <w:rPr>
          <w:rFonts w:ascii="Arial" w:hAnsi="Arial" w:cs="Arial"/>
          <w:sz w:val="20"/>
        </w:rPr>
        <w:t>not</w:t>
      </w:r>
      <w:r w:rsidRPr="00A407C0">
        <w:rPr>
          <w:rFonts w:ascii="Arial" w:hAnsi="Arial" w:cs="Arial"/>
          <w:spacing w:val="-2"/>
          <w:sz w:val="20"/>
        </w:rPr>
        <w:t xml:space="preserve"> </w:t>
      </w:r>
      <w:r w:rsidRPr="00A407C0">
        <w:rPr>
          <w:rFonts w:ascii="Arial" w:hAnsi="Arial" w:cs="Arial"/>
          <w:sz w:val="20"/>
        </w:rPr>
        <w:t>be less than:</w:t>
      </w:r>
    </w:p>
    <w:p w14:paraId="01ECAF2F" w14:textId="77777777" w:rsidR="00A407C0" w:rsidRPr="00A407C0" w:rsidRDefault="00A407C0" w:rsidP="008F3217">
      <w:pPr>
        <w:numPr>
          <w:ilvl w:val="2"/>
          <w:numId w:val="124"/>
        </w:numPr>
        <w:tabs>
          <w:tab w:val="left" w:pos="1842"/>
        </w:tabs>
        <w:spacing w:before="120" w:line="276" w:lineRule="auto"/>
        <w:ind w:right="68"/>
        <w:jc w:val="both"/>
        <w:rPr>
          <w:rFonts w:ascii="Arial" w:hAnsi="Arial" w:cs="Arial"/>
          <w:sz w:val="20"/>
        </w:rPr>
      </w:pPr>
      <w:r w:rsidRPr="00A407C0">
        <w:rPr>
          <w:rFonts w:ascii="Arial" w:hAnsi="Arial" w:cs="Arial"/>
          <w:sz w:val="20"/>
        </w:rPr>
        <w:t>4</w:t>
      </w:r>
      <w:r w:rsidRPr="00A407C0">
        <w:rPr>
          <w:rFonts w:ascii="Arial" w:hAnsi="Arial" w:cs="Arial"/>
          <w:spacing w:val="-1"/>
          <w:sz w:val="20"/>
        </w:rPr>
        <w:t xml:space="preserve"> </w:t>
      </w:r>
      <w:r w:rsidRPr="00A407C0">
        <w:rPr>
          <w:rFonts w:ascii="Arial" w:hAnsi="Arial" w:cs="Arial"/>
          <w:sz w:val="20"/>
        </w:rPr>
        <w:t>kg</w:t>
      </w:r>
      <w:r w:rsidRPr="00A407C0">
        <w:rPr>
          <w:rFonts w:ascii="Arial" w:hAnsi="Arial" w:cs="Arial"/>
          <w:spacing w:val="-1"/>
          <w:sz w:val="20"/>
        </w:rPr>
        <w:t xml:space="preserve"> </w:t>
      </w:r>
      <w:r w:rsidRPr="00A407C0">
        <w:rPr>
          <w:rFonts w:ascii="Arial" w:hAnsi="Arial" w:cs="Arial"/>
          <w:sz w:val="20"/>
        </w:rPr>
        <w:t>for clothing;</w:t>
      </w:r>
      <w:r w:rsidRPr="00A407C0">
        <w:rPr>
          <w:rFonts w:ascii="Arial" w:hAnsi="Arial" w:cs="Arial"/>
          <w:spacing w:val="-2"/>
          <w:sz w:val="20"/>
        </w:rPr>
        <w:t xml:space="preserve"> </w:t>
      </w:r>
      <w:r w:rsidRPr="00A407C0">
        <w:rPr>
          <w:rFonts w:ascii="Arial" w:hAnsi="Arial" w:cs="Arial"/>
          <w:sz w:val="20"/>
        </w:rPr>
        <w:t>and</w:t>
      </w:r>
    </w:p>
    <w:p w14:paraId="700943FD" w14:textId="77777777" w:rsidR="00A407C0" w:rsidRPr="00A407C0" w:rsidRDefault="00A407C0" w:rsidP="008F3217">
      <w:pPr>
        <w:numPr>
          <w:ilvl w:val="2"/>
          <w:numId w:val="124"/>
        </w:numPr>
        <w:tabs>
          <w:tab w:val="left" w:pos="1842"/>
        </w:tabs>
        <w:spacing w:before="121" w:line="276" w:lineRule="auto"/>
        <w:ind w:right="68"/>
        <w:jc w:val="both"/>
        <w:rPr>
          <w:rFonts w:ascii="Arial" w:hAnsi="Arial" w:cs="Arial"/>
          <w:sz w:val="20"/>
        </w:rPr>
      </w:pPr>
      <w:r w:rsidRPr="00A407C0">
        <w:rPr>
          <w:rFonts w:ascii="Arial" w:hAnsi="Arial" w:cs="Arial"/>
          <w:sz w:val="20"/>
        </w:rPr>
        <w:t>3</w:t>
      </w:r>
      <w:r w:rsidRPr="00A407C0">
        <w:rPr>
          <w:rFonts w:ascii="Arial" w:hAnsi="Arial" w:cs="Arial"/>
          <w:spacing w:val="-1"/>
          <w:sz w:val="20"/>
        </w:rPr>
        <w:t xml:space="preserve"> </w:t>
      </w:r>
      <w:r w:rsidRPr="00A407C0">
        <w:rPr>
          <w:rFonts w:ascii="Arial" w:hAnsi="Arial" w:cs="Arial"/>
          <w:sz w:val="20"/>
        </w:rPr>
        <w:t>kg</w:t>
      </w:r>
      <w:r w:rsidRPr="00A407C0">
        <w:rPr>
          <w:rFonts w:ascii="Arial" w:hAnsi="Arial" w:cs="Arial"/>
          <w:spacing w:val="-2"/>
          <w:sz w:val="20"/>
        </w:rPr>
        <w:t xml:space="preserve"> </w:t>
      </w:r>
      <w:r w:rsidRPr="00A407C0">
        <w:rPr>
          <w:rFonts w:ascii="Arial" w:hAnsi="Arial" w:cs="Arial"/>
          <w:sz w:val="20"/>
        </w:rPr>
        <w:t>for</w:t>
      </w:r>
      <w:r w:rsidRPr="00A407C0">
        <w:rPr>
          <w:rFonts w:ascii="Arial" w:hAnsi="Arial" w:cs="Arial"/>
          <w:spacing w:val="-1"/>
          <w:sz w:val="20"/>
        </w:rPr>
        <w:t xml:space="preserve"> </w:t>
      </w:r>
      <w:r w:rsidRPr="00A407C0">
        <w:rPr>
          <w:rFonts w:ascii="Arial" w:hAnsi="Arial" w:cs="Arial"/>
          <w:sz w:val="20"/>
        </w:rPr>
        <w:t>hand</w:t>
      </w:r>
      <w:r w:rsidRPr="00A407C0">
        <w:rPr>
          <w:rFonts w:ascii="Arial" w:hAnsi="Arial" w:cs="Arial"/>
          <w:spacing w:val="-2"/>
          <w:sz w:val="20"/>
        </w:rPr>
        <w:t xml:space="preserve"> </w:t>
      </w:r>
      <w:r w:rsidRPr="00A407C0">
        <w:rPr>
          <w:rFonts w:ascii="Arial" w:hAnsi="Arial" w:cs="Arial"/>
          <w:sz w:val="20"/>
        </w:rPr>
        <w:t>baggage.</w:t>
      </w:r>
    </w:p>
    <w:p w14:paraId="2E822E4D" w14:textId="77777777" w:rsidR="00A407C0" w:rsidRPr="00A407C0" w:rsidRDefault="00A407C0" w:rsidP="008F3217">
      <w:pPr>
        <w:numPr>
          <w:ilvl w:val="0"/>
          <w:numId w:val="124"/>
        </w:numPr>
        <w:tabs>
          <w:tab w:val="left" w:pos="707"/>
        </w:tabs>
        <w:spacing w:before="120" w:line="276" w:lineRule="auto"/>
        <w:ind w:right="68"/>
        <w:jc w:val="both"/>
        <w:rPr>
          <w:rFonts w:ascii="Arial" w:hAnsi="Arial" w:cs="Arial"/>
          <w:sz w:val="20"/>
        </w:rPr>
      </w:pPr>
      <w:r w:rsidRPr="00A407C0">
        <w:rPr>
          <w:rFonts w:ascii="Arial" w:hAnsi="Arial" w:cs="Arial"/>
          <w:sz w:val="20"/>
        </w:rPr>
        <w:t>The passengers’ stated mass, the mass of passengers’ clothing and hand baggage should be</w:t>
      </w:r>
      <w:r w:rsidRPr="00A407C0">
        <w:rPr>
          <w:rFonts w:ascii="Arial" w:hAnsi="Arial" w:cs="Arial"/>
          <w:spacing w:val="1"/>
          <w:sz w:val="20"/>
        </w:rPr>
        <w:t xml:space="preserve"> </w:t>
      </w:r>
      <w:r w:rsidRPr="00A407C0">
        <w:rPr>
          <w:rFonts w:ascii="Arial" w:hAnsi="Arial" w:cs="Arial"/>
          <w:sz w:val="20"/>
        </w:rPr>
        <w:t>checked</w:t>
      </w:r>
      <w:r w:rsidRPr="00A407C0">
        <w:rPr>
          <w:rFonts w:ascii="Arial" w:hAnsi="Arial" w:cs="Arial"/>
          <w:spacing w:val="-5"/>
          <w:sz w:val="20"/>
        </w:rPr>
        <w:t xml:space="preserve"> </w:t>
      </w:r>
      <w:r w:rsidRPr="00A407C0">
        <w:rPr>
          <w:rFonts w:ascii="Arial" w:hAnsi="Arial" w:cs="Arial"/>
          <w:sz w:val="20"/>
        </w:rPr>
        <w:t>prior</w:t>
      </w:r>
      <w:r w:rsidRPr="00A407C0">
        <w:rPr>
          <w:rFonts w:ascii="Arial" w:hAnsi="Arial" w:cs="Arial"/>
          <w:spacing w:val="-2"/>
          <w:sz w:val="20"/>
        </w:rPr>
        <w:t xml:space="preserve"> </w:t>
      </w:r>
      <w:r w:rsidRPr="00A407C0">
        <w:rPr>
          <w:rFonts w:ascii="Arial" w:hAnsi="Arial" w:cs="Arial"/>
          <w:sz w:val="20"/>
        </w:rPr>
        <w:t>to</w:t>
      </w:r>
      <w:r w:rsidRPr="00A407C0">
        <w:rPr>
          <w:rFonts w:ascii="Arial" w:hAnsi="Arial" w:cs="Arial"/>
          <w:spacing w:val="-1"/>
          <w:sz w:val="20"/>
        </w:rPr>
        <w:t xml:space="preserve"> </w:t>
      </w:r>
      <w:r w:rsidRPr="00A407C0">
        <w:rPr>
          <w:rFonts w:ascii="Arial" w:hAnsi="Arial" w:cs="Arial"/>
          <w:sz w:val="20"/>
        </w:rPr>
        <w:t>boarding</w:t>
      </w:r>
      <w:r w:rsidRPr="00A407C0">
        <w:rPr>
          <w:rFonts w:ascii="Arial" w:hAnsi="Arial" w:cs="Arial"/>
          <w:spacing w:val="-3"/>
          <w:sz w:val="20"/>
        </w:rPr>
        <w:t xml:space="preserve"> </w:t>
      </w:r>
      <w:r w:rsidRPr="00A407C0">
        <w:rPr>
          <w:rFonts w:ascii="Arial" w:hAnsi="Arial" w:cs="Arial"/>
          <w:sz w:val="20"/>
        </w:rPr>
        <w:t>and</w:t>
      </w:r>
      <w:r w:rsidRPr="00A407C0">
        <w:rPr>
          <w:rFonts w:ascii="Arial" w:hAnsi="Arial" w:cs="Arial"/>
          <w:spacing w:val="-1"/>
          <w:sz w:val="20"/>
        </w:rPr>
        <w:t xml:space="preserve"> </w:t>
      </w:r>
      <w:r w:rsidRPr="00A407C0">
        <w:rPr>
          <w:rFonts w:ascii="Arial" w:hAnsi="Arial" w:cs="Arial"/>
          <w:sz w:val="20"/>
        </w:rPr>
        <w:t>adjusted, if necessary.</w:t>
      </w:r>
    </w:p>
    <w:p w14:paraId="03E6123D" w14:textId="01CDFB8E" w:rsidR="00A407C0" w:rsidRPr="008F3217" w:rsidRDefault="00A407C0" w:rsidP="009601C2">
      <w:pPr>
        <w:numPr>
          <w:ilvl w:val="0"/>
          <w:numId w:val="124"/>
        </w:numPr>
        <w:tabs>
          <w:tab w:val="left" w:pos="707"/>
        </w:tabs>
        <w:spacing w:before="123" w:line="276" w:lineRule="auto"/>
        <w:ind w:right="68"/>
        <w:jc w:val="both"/>
        <w:rPr>
          <w:rFonts w:ascii="Arial" w:hAnsi="Arial" w:cs="Arial"/>
          <w:sz w:val="20"/>
        </w:rPr>
      </w:pPr>
      <w:r w:rsidRPr="00A407C0">
        <w:rPr>
          <w:rFonts w:ascii="Arial" w:hAnsi="Arial" w:cs="Arial"/>
          <w:sz w:val="20"/>
        </w:rPr>
        <w:t>When determining the actual mass by weighing, passengers’ personal belongings and hand</w:t>
      </w:r>
      <w:r w:rsidRPr="00A407C0">
        <w:rPr>
          <w:rFonts w:ascii="Arial" w:hAnsi="Arial" w:cs="Arial"/>
          <w:spacing w:val="1"/>
          <w:sz w:val="20"/>
        </w:rPr>
        <w:t xml:space="preserve"> </w:t>
      </w:r>
      <w:r w:rsidRPr="00A407C0">
        <w:rPr>
          <w:rFonts w:ascii="Arial" w:hAnsi="Arial" w:cs="Arial"/>
          <w:sz w:val="20"/>
        </w:rPr>
        <w:t>baggage should</w:t>
      </w:r>
      <w:r w:rsidRPr="00A407C0">
        <w:rPr>
          <w:rFonts w:ascii="Arial" w:hAnsi="Arial" w:cs="Arial"/>
          <w:spacing w:val="-2"/>
          <w:sz w:val="20"/>
        </w:rPr>
        <w:t xml:space="preserve"> </w:t>
      </w:r>
      <w:r w:rsidRPr="00A407C0">
        <w:rPr>
          <w:rFonts w:ascii="Arial" w:hAnsi="Arial" w:cs="Arial"/>
          <w:sz w:val="20"/>
        </w:rPr>
        <w:t>be included.</w:t>
      </w:r>
    </w:p>
    <w:p w14:paraId="2C566130" w14:textId="77777777" w:rsidR="00A407C0" w:rsidRPr="00A407C0" w:rsidRDefault="00A407C0" w:rsidP="009601C2">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542" w:name="AMC1_BOP.ADD.600(a)(6)_System_for_determ"/>
      <w:bookmarkStart w:id="543" w:name="_bookmark219"/>
      <w:bookmarkStart w:id="544" w:name="_Toc153137384"/>
      <w:bookmarkEnd w:id="542"/>
      <w:bookmarkEnd w:id="543"/>
      <w:r w:rsidRPr="00A407C0">
        <w:rPr>
          <w:rFonts w:ascii="Arial" w:eastAsia="Times New Roman" w:hAnsi="Arial" w:cs="Times New Roman"/>
          <w:b/>
          <w:color w:val="FFFFFF"/>
          <w:sz w:val="24"/>
        </w:rPr>
        <w:t>AMC1 BOP.ADD.600(a)(6) System for determining the mass</w:t>
      </w:r>
      <w:bookmarkEnd w:id="544"/>
    </w:p>
    <w:p w14:paraId="08DB3CAB" w14:textId="77777777" w:rsidR="00A407C0" w:rsidRPr="00276D5E" w:rsidRDefault="00A407C0" w:rsidP="009601C2">
      <w:pPr>
        <w:spacing w:before="122" w:line="276" w:lineRule="auto"/>
        <w:rPr>
          <w:rFonts w:ascii="Arial" w:hAnsi="Arial" w:cs="Arial"/>
          <w:b/>
          <w:sz w:val="20"/>
        </w:rPr>
      </w:pPr>
      <w:r w:rsidRPr="00276D5E">
        <w:rPr>
          <w:rFonts w:ascii="Arial" w:hAnsi="Arial" w:cs="Arial"/>
          <w:b/>
          <w:sz w:val="20"/>
        </w:rPr>
        <w:t>DOCUMENTATION</w:t>
      </w:r>
    </w:p>
    <w:p w14:paraId="5DB31182" w14:textId="77777777" w:rsidR="00A407C0" w:rsidRPr="00A407C0" w:rsidRDefault="00A407C0" w:rsidP="008F3217">
      <w:pPr>
        <w:numPr>
          <w:ilvl w:val="0"/>
          <w:numId w:val="125"/>
        </w:numPr>
        <w:tabs>
          <w:tab w:val="left" w:pos="706"/>
          <w:tab w:val="left" w:pos="707"/>
        </w:tabs>
        <w:spacing w:before="116" w:line="276" w:lineRule="auto"/>
        <w:ind w:right="68"/>
        <w:jc w:val="both"/>
        <w:rPr>
          <w:rFonts w:ascii="Arial" w:hAnsi="Arial" w:cs="Arial"/>
          <w:sz w:val="20"/>
        </w:rPr>
      </w:pPr>
      <w:r w:rsidRPr="00A407C0">
        <w:rPr>
          <w:rFonts w:ascii="Arial" w:hAnsi="Arial" w:cs="Arial"/>
          <w:sz w:val="20"/>
        </w:rPr>
        <w:t>Mass</w:t>
      </w:r>
      <w:r w:rsidRPr="00A407C0">
        <w:rPr>
          <w:rFonts w:ascii="Arial" w:hAnsi="Arial" w:cs="Arial"/>
          <w:spacing w:val="-2"/>
          <w:sz w:val="20"/>
        </w:rPr>
        <w:t xml:space="preserve"> </w:t>
      </w:r>
      <w:r w:rsidRPr="00A407C0">
        <w:rPr>
          <w:rFonts w:ascii="Arial" w:hAnsi="Arial" w:cs="Arial"/>
          <w:sz w:val="20"/>
        </w:rPr>
        <w:t>documentation</w:t>
      </w:r>
      <w:r w:rsidRPr="00A407C0">
        <w:rPr>
          <w:rFonts w:ascii="Arial" w:hAnsi="Arial" w:cs="Arial"/>
          <w:spacing w:val="-2"/>
          <w:sz w:val="20"/>
        </w:rPr>
        <w:t xml:space="preserve"> </w:t>
      </w:r>
      <w:r w:rsidRPr="00A407C0">
        <w:rPr>
          <w:rFonts w:ascii="Arial" w:hAnsi="Arial" w:cs="Arial"/>
          <w:sz w:val="20"/>
        </w:rPr>
        <w:t>should</w:t>
      </w:r>
      <w:r w:rsidRPr="00A407C0">
        <w:rPr>
          <w:rFonts w:ascii="Arial" w:hAnsi="Arial" w:cs="Arial"/>
          <w:spacing w:val="-2"/>
          <w:sz w:val="20"/>
        </w:rPr>
        <w:t xml:space="preserve"> </w:t>
      </w:r>
      <w:r w:rsidRPr="00A407C0">
        <w:rPr>
          <w:rFonts w:ascii="Arial" w:hAnsi="Arial" w:cs="Arial"/>
          <w:sz w:val="20"/>
        </w:rPr>
        <w:t>include</w:t>
      </w:r>
      <w:r w:rsidRPr="00A407C0">
        <w:rPr>
          <w:rFonts w:ascii="Arial" w:hAnsi="Arial" w:cs="Arial"/>
          <w:spacing w:val="-1"/>
          <w:sz w:val="20"/>
        </w:rPr>
        <w:t xml:space="preserve"> </w:t>
      </w:r>
      <w:r w:rsidRPr="00A407C0">
        <w:rPr>
          <w:rFonts w:ascii="Arial" w:hAnsi="Arial" w:cs="Arial"/>
          <w:sz w:val="20"/>
        </w:rPr>
        <w:t>the</w:t>
      </w:r>
      <w:r w:rsidRPr="00A407C0">
        <w:rPr>
          <w:rFonts w:ascii="Arial" w:hAnsi="Arial" w:cs="Arial"/>
          <w:spacing w:val="-1"/>
          <w:sz w:val="20"/>
        </w:rPr>
        <w:t xml:space="preserve"> </w:t>
      </w:r>
      <w:r w:rsidRPr="00A407C0">
        <w:rPr>
          <w:rFonts w:ascii="Arial" w:hAnsi="Arial" w:cs="Arial"/>
          <w:sz w:val="20"/>
        </w:rPr>
        <w:t>following:</w:t>
      </w:r>
    </w:p>
    <w:p w14:paraId="39B39A91" w14:textId="77777777" w:rsidR="00A407C0" w:rsidRPr="00A407C0" w:rsidRDefault="00A407C0" w:rsidP="008F3217">
      <w:pPr>
        <w:numPr>
          <w:ilvl w:val="1"/>
          <w:numId w:val="125"/>
        </w:numPr>
        <w:tabs>
          <w:tab w:val="left" w:pos="1273"/>
          <w:tab w:val="left" w:pos="1274"/>
        </w:tabs>
        <w:spacing w:before="120" w:line="276" w:lineRule="auto"/>
        <w:ind w:right="68" w:hanging="568"/>
        <w:jc w:val="both"/>
        <w:rPr>
          <w:rFonts w:ascii="Arial" w:hAnsi="Arial" w:cs="Arial"/>
          <w:sz w:val="20"/>
        </w:rPr>
      </w:pPr>
      <w:r w:rsidRPr="00A407C0">
        <w:rPr>
          <w:rFonts w:ascii="Arial" w:hAnsi="Arial" w:cs="Arial"/>
          <w:sz w:val="20"/>
        </w:rPr>
        <w:t>balloon</w:t>
      </w:r>
      <w:r w:rsidRPr="00A407C0">
        <w:rPr>
          <w:rFonts w:ascii="Arial" w:hAnsi="Arial" w:cs="Arial"/>
          <w:spacing w:val="-3"/>
          <w:sz w:val="20"/>
        </w:rPr>
        <w:t xml:space="preserve"> </w:t>
      </w:r>
      <w:r w:rsidRPr="00A407C0">
        <w:rPr>
          <w:rFonts w:ascii="Arial" w:hAnsi="Arial" w:cs="Arial"/>
          <w:sz w:val="20"/>
        </w:rPr>
        <w:t>registration</w:t>
      </w:r>
      <w:r w:rsidRPr="00A407C0">
        <w:rPr>
          <w:rFonts w:ascii="Arial" w:hAnsi="Arial" w:cs="Arial"/>
          <w:spacing w:val="-3"/>
          <w:sz w:val="20"/>
        </w:rPr>
        <w:t xml:space="preserve"> </w:t>
      </w:r>
      <w:r w:rsidRPr="00A407C0">
        <w:rPr>
          <w:rFonts w:ascii="Arial" w:hAnsi="Arial" w:cs="Arial"/>
          <w:sz w:val="20"/>
        </w:rPr>
        <w:t>and</w:t>
      </w:r>
      <w:r w:rsidRPr="00A407C0">
        <w:rPr>
          <w:rFonts w:ascii="Arial" w:hAnsi="Arial" w:cs="Arial"/>
          <w:spacing w:val="-2"/>
          <w:sz w:val="20"/>
        </w:rPr>
        <w:t xml:space="preserve"> </w:t>
      </w:r>
      <w:r w:rsidRPr="00A407C0">
        <w:rPr>
          <w:rFonts w:ascii="Arial" w:hAnsi="Arial" w:cs="Arial"/>
          <w:sz w:val="20"/>
        </w:rPr>
        <w:t>type;</w:t>
      </w:r>
    </w:p>
    <w:p w14:paraId="3A3D8D8F" w14:textId="77777777" w:rsidR="00A407C0" w:rsidRPr="00A407C0" w:rsidRDefault="00A407C0" w:rsidP="008F3217">
      <w:pPr>
        <w:numPr>
          <w:ilvl w:val="1"/>
          <w:numId w:val="125"/>
        </w:numPr>
        <w:tabs>
          <w:tab w:val="left" w:pos="1273"/>
          <w:tab w:val="left" w:pos="1274"/>
        </w:tabs>
        <w:spacing w:before="121" w:line="276" w:lineRule="auto"/>
        <w:ind w:right="68" w:hanging="568"/>
        <w:jc w:val="both"/>
        <w:rPr>
          <w:rFonts w:ascii="Arial" w:hAnsi="Arial" w:cs="Arial"/>
          <w:sz w:val="20"/>
        </w:rPr>
      </w:pPr>
      <w:r w:rsidRPr="00A407C0">
        <w:rPr>
          <w:rFonts w:ascii="Arial" w:hAnsi="Arial" w:cs="Arial"/>
          <w:sz w:val="20"/>
        </w:rPr>
        <w:t>date</w:t>
      </w:r>
      <w:r w:rsidRPr="00A407C0">
        <w:rPr>
          <w:rFonts w:ascii="Arial" w:hAnsi="Arial" w:cs="Arial"/>
          <w:spacing w:val="-2"/>
          <w:sz w:val="20"/>
        </w:rPr>
        <w:t xml:space="preserve"> </w:t>
      </w:r>
      <w:r w:rsidRPr="00A407C0">
        <w:rPr>
          <w:rFonts w:ascii="Arial" w:hAnsi="Arial" w:cs="Arial"/>
          <w:sz w:val="20"/>
        </w:rPr>
        <w:t>and</w:t>
      </w:r>
      <w:r w:rsidRPr="00A407C0">
        <w:rPr>
          <w:rFonts w:ascii="Arial" w:hAnsi="Arial" w:cs="Arial"/>
          <w:spacing w:val="-3"/>
          <w:sz w:val="20"/>
        </w:rPr>
        <w:t xml:space="preserve"> </w:t>
      </w:r>
      <w:r w:rsidRPr="00A407C0">
        <w:rPr>
          <w:rFonts w:ascii="Arial" w:hAnsi="Arial" w:cs="Arial"/>
          <w:sz w:val="20"/>
        </w:rPr>
        <w:t>flight</w:t>
      </w:r>
      <w:r w:rsidRPr="00A407C0">
        <w:rPr>
          <w:rFonts w:ascii="Arial" w:hAnsi="Arial" w:cs="Arial"/>
          <w:spacing w:val="-2"/>
          <w:sz w:val="20"/>
        </w:rPr>
        <w:t xml:space="preserve"> </w:t>
      </w:r>
      <w:r w:rsidRPr="00A407C0">
        <w:rPr>
          <w:rFonts w:ascii="Arial" w:hAnsi="Arial" w:cs="Arial"/>
          <w:sz w:val="20"/>
        </w:rPr>
        <w:t>identification;</w:t>
      </w:r>
    </w:p>
    <w:p w14:paraId="666C7B77" w14:textId="77777777" w:rsidR="00A407C0" w:rsidRPr="00A407C0" w:rsidRDefault="00A407C0" w:rsidP="008F3217">
      <w:pPr>
        <w:numPr>
          <w:ilvl w:val="1"/>
          <w:numId w:val="125"/>
        </w:numPr>
        <w:tabs>
          <w:tab w:val="left" w:pos="1273"/>
          <w:tab w:val="left" w:pos="1274"/>
        </w:tabs>
        <w:spacing w:before="120" w:line="276" w:lineRule="auto"/>
        <w:ind w:right="68" w:hanging="568"/>
        <w:jc w:val="both"/>
        <w:rPr>
          <w:rFonts w:ascii="Arial" w:hAnsi="Arial" w:cs="Arial"/>
          <w:sz w:val="20"/>
        </w:rPr>
      </w:pPr>
      <w:r w:rsidRPr="00A407C0">
        <w:rPr>
          <w:rFonts w:ascii="Arial" w:hAnsi="Arial" w:cs="Arial"/>
          <w:sz w:val="20"/>
        </w:rPr>
        <w:t>name</w:t>
      </w:r>
      <w:r w:rsidRPr="00A407C0">
        <w:rPr>
          <w:rFonts w:ascii="Arial" w:hAnsi="Arial" w:cs="Arial"/>
          <w:spacing w:val="-4"/>
          <w:sz w:val="20"/>
        </w:rPr>
        <w:t xml:space="preserve"> </w:t>
      </w:r>
      <w:r w:rsidRPr="00A407C0">
        <w:rPr>
          <w:rFonts w:ascii="Arial" w:hAnsi="Arial" w:cs="Arial"/>
          <w:sz w:val="20"/>
        </w:rPr>
        <w:t>of</w:t>
      </w:r>
      <w:r w:rsidRPr="00A407C0">
        <w:rPr>
          <w:rFonts w:ascii="Arial" w:hAnsi="Arial" w:cs="Arial"/>
          <w:spacing w:val="-3"/>
          <w:sz w:val="20"/>
        </w:rPr>
        <w:t xml:space="preserve"> </w:t>
      </w:r>
      <w:r w:rsidRPr="00A407C0">
        <w:rPr>
          <w:rFonts w:ascii="Arial" w:hAnsi="Arial" w:cs="Arial"/>
          <w:sz w:val="20"/>
        </w:rPr>
        <w:t>the</w:t>
      </w:r>
      <w:r w:rsidRPr="00A407C0">
        <w:rPr>
          <w:rFonts w:ascii="Arial" w:hAnsi="Arial" w:cs="Arial"/>
          <w:spacing w:val="-1"/>
          <w:sz w:val="20"/>
        </w:rPr>
        <w:t xml:space="preserve"> </w:t>
      </w:r>
      <w:r w:rsidRPr="00A407C0">
        <w:rPr>
          <w:rFonts w:ascii="Arial" w:hAnsi="Arial" w:cs="Arial"/>
          <w:sz w:val="20"/>
        </w:rPr>
        <w:t>pilot-in-command;</w:t>
      </w:r>
    </w:p>
    <w:p w14:paraId="6AC9803C" w14:textId="77777777" w:rsidR="00A407C0" w:rsidRPr="00A407C0" w:rsidRDefault="00A407C0" w:rsidP="008F3217">
      <w:pPr>
        <w:numPr>
          <w:ilvl w:val="1"/>
          <w:numId w:val="125"/>
        </w:numPr>
        <w:tabs>
          <w:tab w:val="left" w:pos="1273"/>
          <w:tab w:val="left" w:pos="1274"/>
        </w:tabs>
        <w:spacing w:before="120" w:line="276" w:lineRule="auto"/>
        <w:ind w:right="68" w:hanging="568"/>
        <w:jc w:val="both"/>
        <w:rPr>
          <w:rFonts w:ascii="Arial" w:hAnsi="Arial" w:cs="Arial"/>
          <w:sz w:val="20"/>
        </w:rPr>
      </w:pPr>
      <w:r w:rsidRPr="00A407C0">
        <w:rPr>
          <w:rFonts w:ascii="Arial" w:hAnsi="Arial" w:cs="Arial"/>
          <w:sz w:val="20"/>
        </w:rPr>
        <w:t>name</w:t>
      </w:r>
      <w:r w:rsidRPr="00A407C0">
        <w:rPr>
          <w:rFonts w:ascii="Arial" w:hAnsi="Arial" w:cs="Arial"/>
          <w:spacing w:val="-3"/>
          <w:sz w:val="20"/>
        </w:rPr>
        <w:t xml:space="preserve"> </w:t>
      </w:r>
      <w:r w:rsidRPr="00A407C0">
        <w:rPr>
          <w:rFonts w:ascii="Arial" w:hAnsi="Arial" w:cs="Arial"/>
          <w:sz w:val="20"/>
        </w:rPr>
        <w:t>of</w:t>
      </w:r>
      <w:r w:rsidRPr="00A407C0">
        <w:rPr>
          <w:rFonts w:ascii="Arial" w:hAnsi="Arial" w:cs="Arial"/>
          <w:spacing w:val="-2"/>
          <w:sz w:val="20"/>
        </w:rPr>
        <w:t xml:space="preserve"> </w:t>
      </w:r>
      <w:r w:rsidRPr="00A407C0">
        <w:rPr>
          <w:rFonts w:ascii="Arial" w:hAnsi="Arial" w:cs="Arial"/>
          <w:sz w:val="20"/>
        </w:rPr>
        <w:t>the person</w:t>
      </w:r>
      <w:r w:rsidRPr="00A407C0">
        <w:rPr>
          <w:rFonts w:ascii="Arial" w:hAnsi="Arial" w:cs="Arial"/>
          <w:spacing w:val="-3"/>
          <w:sz w:val="20"/>
        </w:rPr>
        <w:t xml:space="preserve"> </w:t>
      </w:r>
      <w:r w:rsidRPr="00A407C0">
        <w:rPr>
          <w:rFonts w:ascii="Arial" w:hAnsi="Arial" w:cs="Arial"/>
          <w:sz w:val="20"/>
        </w:rPr>
        <w:t>who</w:t>
      </w:r>
      <w:r w:rsidRPr="00A407C0">
        <w:rPr>
          <w:rFonts w:ascii="Arial" w:hAnsi="Arial" w:cs="Arial"/>
          <w:spacing w:val="-3"/>
          <w:sz w:val="20"/>
        </w:rPr>
        <w:t xml:space="preserve"> </w:t>
      </w:r>
      <w:r w:rsidRPr="00A407C0">
        <w:rPr>
          <w:rFonts w:ascii="Arial" w:hAnsi="Arial" w:cs="Arial"/>
          <w:sz w:val="20"/>
        </w:rPr>
        <w:t>prepared</w:t>
      </w:r>
      <w:r w:rsidRPr="00A407C0">
        <w:rPr>
          <w:rFonts w:ascii="Arial" w:hAnsi="Arial" w:cs="Arial"/>
          <w:spacing w:val="-1"/>
          <w:sz w:val="20"/>
        </w:rPr>
        <w:t xml:space="preserve"> </w:t>
      </w:r>
      <w:r w:rsidRPr="00A407C0">
        <w:rPr>
          <w:rFonts w:ascii="Arial" w:hAnsi="Arial" w:cs="Arial"/>
          <w:sz w:val="20"/>
        </w:rPr>
        <w:t>the</w:t>
      </w:r>
      <w:r w:rsidRPr="00A407C0">
        <w:rPr>
          <w:rFonts w:ascii="Arial" w:hAnsi="Arial" w:cs="Arial"/>
          <w:spacing w:val="-2"/>
          <w:sz w:val="20"/>
        </w:rPr>
        <w:t xml:space="preserve"> </w:t>
      </w:r>
      <w:r w:rsidRPr="00A407C0">
        <w:rPr>
          <w:rFonts w:ascii="Arial" w:hAnsi="Arial" w:cs="Arial"/>
          <w:sz w:val="20"/>
        </w:rPr>
        <w:t>document;</w:t>
      </w:r>
    </w:p>
    <w:p w14:paraId="4F496F3D" w14:textId="77777777" w:rsidR="00A407C0" w:rsidRPr="00A407C0" w:rsidRDefault="00A407C0" w:rsidP="008F3217">
      <w:pPr>
        <w:numPr>
          <w:ilvl w:val="1"/>
          <w:numId w:val="125"/>
        </w:numPr>
        <w:tabs>
          <w:tab w:val="left" w:pos="1273"/>
          <w:tab w:val="left" w:pos="1274"/>
        </w:tabs>
        <w:spacing w:before="120" w:line="276" w:lineRule="auto"/>
        <w:ind w:right="68" w:hanging="568"/>
        <w:jc w:val="both"/>
        <w:rPr>
          <w:rFonts w:ascii="Arial" w:hAnsi="Arial" w:cs="Arial"/>
          <w:sz w:val="20"/>
        </w:rPr>
      </w:pPr>
      <w:r w:rsidRPr="00A407C0">
        <w:rPr>
          <w:rFonts w:ascii="Arial" w:hAnsi="Arial" w:cs="Arial"/>
          <w:sz w:val="20"/>
        </w:rPr>
        <w:t>empty</w:t>
      </w:r>
      <w:r w:rsidRPr="00A407C0">
        <w:rPr>
          <w:rFonts w:ascii="Arial" w:hAnsi="Arial" w:cs="Arial"/>
          <w:spacing w:val="-3"/>
          <w:sz w:val="20"/>
        </w:rPr>
        <w:t xml:space="preserve"> </w:t>
      </w:r>
      <w:r w:rsidRPr="00A407C0">
        <w:rPr>
          <w:rFonts w:ascii="Arial" w:hAnsi="Arial" w:cs="Arial"/>
          <w:sz w:val="20"/>
        </w:rPr>
        <w:t>mass;</w:t>
      </w:r>
    </w:p>
    <w:p w14:paraId="4F3D514C" w14:textId="77777777" w:rsidR="00A407C0" w:rsidRPr="00A407C0" w:rsidRDefault="00A407C0" w:rsidP="008F3217">
      <w:pPr>
        <w:numPr>
          <w:ilvl w:val="1"/>
          <w:numId w:val="125"/>
        </w:numPr>
        <w:tabs>
          <w:tab w:val="left" w:pos="1273"/>
          <w:tab w:val="left" w:pos="1274"/>
        </w:tabs>
        <w:spacing w:before="121" w:line="276" w:lineRule="auto"/>
        <w:ind w:right="68" w:hanging="568"/>
        <w:jc w:val="both"/>
        <w:rPr>
          <w:rFonts w:ascii="Arial" w:hAnsi="Arial" w:cs="Arial"/>
          <w:sz w:val="20"/>
        </w:rPr>
      </w:pPr>
      <w:r w:rsidRPr="00A407C0">
        <w:rPr>
          <w:rFonts w:ascii="Arial" w:hAnsi="Arial" w:cs="Arial"/>
          <w:sz w:val="20"/>
        </w:rPr>
        <w:t>mass</w:t>
      </w:r>
      <w:r w:rsidRPr="00A407C0">
        <w:rPr>
          <w:rFonts w:ascii="Arial" w:hAnsi="Arial" w:cs="Arial"/>
          <w:spacing w:val="-2"/>
          <w:sz w:val="20"/>
        </w:rPr>
        <w:t xml:space="preserve"> </w:t>
      </w:r>
      <w:r w:rsidRPr="00A407C0">
        <w:rPr>
          <w:rFonts w:ascii="Arial" w:hAnsi="Arial" w:cs="Arial"/>
          <w:sz w:val="20"/>
        </w:rPr>
        <w:t>of</w:t>
      </w:r>
      <w:r w:rsidRPr="00A407C0">
        <w:rPr>
          <w:rFonts w:ascii="Arial" w:hAnsi="Arial" w:cs="Arial"/>
          <w:spacing w:val="-2"/>
          <w:sz w:val="20"/>
        </w:rPr>
        <w:t xml:space="preserve"> </w:t>
      </w:r>
      <w:r w:rsidRPr="00A407C0">
        <w:rPr>
          <w:rFonts w:ascii="Arial" w:hAnsi="Arial" w:cs="Arial"/>
          <w:sz w:val="20"/>
        </w:rPr>
        <w:t>the fuel</w:t>
      </w:r>
      <w:r w:rsidRPr="00A407C0">
        <w:rPr>
          <w:rFonts w:ascii="Arial" w:hAnsi="Arial" w:cs="Arial"/>
          <w:spacing w:val="-3"/>
          <w:sz w:val="20"/>
        </w:rPr>
        <w:t xml:space="preserve"> </w:t>
      </w:r>
      <w:r w:rsidRPr="00A407C0">
        <w:rPr>
          <w:rFonts w:ascii="Arial" w:hAnsi="Arial" w:cs="Arial"/>
          <w:sz w:val="20"/>
        </w:rPr>
        <w:t>or</w:t>
      </w:r>
      <w:r w:rsidRPr="00A407C0">
        <w:rPr>
          <w:rFonts w:ascii="Arial" w:hAnsi="Arial" w:cs="Arial"/>
          <w:spacing w:val="-3"/>
          <w:sz w:val="20"/>
        </w:rPr>
        <w:t xml:space="preserve"> </w:t>
      </w:r>
      <w:r w:rsidRPr="00A407C0">
        <w:rPr>
          <w:rFonts w:ascii="Arial" w:hAnsi="Arial" w:cs="Arial"/>
          <w:sz w:val="20"/>
        </w:rPr>
        <w:t>ballast</w:t>
      </w:r>
      <w:r w:rsidRPr="00A407C0">
        <w:rPr>
          <w:rFonts w:ascii="Arial" w:hAnsi="Arial" w:cs="Arial"/>
          <w:spacing w:val="-2"/>
          <w:sz w:val="20"/>
        </w:rPr>
        <w:t xml:space="preserve"> </w:t>
      </w:r>
      <w:r w:rsidRPr="00A407C0">
        <w:rPr>
          <w:rFonts w:ascii="Arial" w:hAnsi="Arial" w:cs="Arial"/>
          <w:sz w:val="20"/>
        </w:rPr>
        <w:t>at take-off;</w:t>
      </w:r>
    </w:p>
    <w:p w14:paraId="7E64BE27" w14:textId="77777777" w:rsidR="00A407C0" w:rsidRPr="00A407C0" w:rsidRDefault="00A407C0" w:rsidP="008F3217">
      <w:pPr>
        <w:numPr>
          <w:ilvl w:val="1"/>
          <w:numId w:val="125"/>
        </w:numPr>
        <w:tabs>
          <w:tab w:val="left" w:pos="1273"/>
          <w:tab w:val="left" w:pos="1274"/>
        </w:tabs>
        <w:spacing w:before="120" w:line="276" w:lineRule="auto"/>
        <w:ind w:right="68" w:hanging="568"/>
        <w:jc w:val="both"/>
        <w:rPr>
          <w:rFonts w:ascii="Arial" w:hAnsi="Arial" w:cs="Arial"/>
          <w:sz w:val="20"/>
        </w:rPr>
      </w:pPr>
      <w:r w:rsidRPr="00A407C0">
        <w:rPr>
          <w:rFonts w:ascii="Arial" w:hAnsi="Arial" w:cs="Arial"/>
          <w:sz w:val="20"/>
        </w:rPr>
        <w:t>load</w:t>
      </w:r>
      <w:r w:rsidRPr="00A407C0">
        <w:rPr>
          <w:rFonts w:ascii="Arial" w:hAnsi="Arial" w:cs="Arial"/>
          <w:spacing w:val="-3"/>
          <w:sz w:val="20"/>
        </w:rPr>
        <w:t xml:space="preserve"> </w:t>
      </w:r>
      <w:r w:rsidRPr="00A407C0">
        <w:rPr>
          <w:rFonts w:ascii="Arial" w:hAnsi="Arial" w:cs="Arial"/>
          <w:sz w:val="20"/>
        </w:rPr>
        <w:t>components</w:t>
      </w:r>
      <w:r w:rsidRPr="00A407C0">
        <w:rPr>
          <w:rFonts w:ascii="Arial" w:hAnsi="Arial" w:cs="Arial"/>
          <w:spacing w:val="-4"/>
          <w:sz w:val="20"/>
        </w:rPr>
        <w:t xml:space="preserve"> </w:t>
      </w:r>
      <w:r w:rsidRPr="00A407C0">
        <w:rPr>
          <w:rFonts w:ascii="Arial" w:hAnsi="Arial" w:cs="Arial"/>
          <w:sz w:val="20"/>
        </w:rPr>
        <w:t>including</w:t>
      </w:r>
      <w:r w:rsidRPr="00A407C0">
        <w:rPr>
          <w:rFonts w:ascii="Arial" w:hAnsi="Arial" w:cs="Arial"/>
          <w:spacing w:val="-3"/>
          <w:sz w:val="20"/>
        </w:rPr>
        <w:t xml:space="preserve"> </w:t>
      </w:r>
      <w:r w:rsidRPr="00A407C0">
        <w:rPr>
          <w:rFonts w:ascii="Arial" w:hAnsi="Arial" w:cs="Arial"/>
          <w:sz w:val="20"/>
        </w:rPr>
        <w:t>passengers,</w:t>
      </w:r>
      <w:r w:rsidRPr="00A407C0">
        <w:rPr>
          <w:rFonts w:ascii="Arial" w:hAnsi="Arial" w:cs="Arial"/>
          <w:spacing w:val="-4"/>
          <w:sz w:val="20"/>
        </w:rPr>
        <w:t xml:space="preserve"> </w:t>
      </w:r>
      <w:r w:rsidRPr="00A407C0">
        <w:rPr>
          <w:rFonts w:ascii="Arial" w:hAnsi="Arial" w:cs="Arial"/>
          <w:sz w:val="20"/>
        </w:rPr>
        <w:t>baggage</w:t>
      </w:r>
      <w:r w:rsidRPr="00A407C0">
        <w:rPr>
          <w:rFonts w:ascii="Arial" w:hAnsi="Arial" w:cs="Arial"/>
          <w:spacing w:val="-1"/>
          <w:sz w:val="20"/>
        </w:rPr>
        <w:t xml:space="preserve"> </w:t>
      </w:r>
      <w:r w:rsidRPr="00A407C0">
        <w:rPr>
          <w:rFonts w:ascii="Arial" w:hAnsi="Arial" w:cs="Arial"/>
          <w:sz w:val="20"/>
        </w:rPr>
        <w:t>and,</w:t>
      </w:r>
      <w:r w:rsidRPr="00A407C0">
        <w:rPr>
          <w:rFonts w:ascii="Arial" w:hAnsi="Arial" w:cs="Arial"/>
          <w:spacing w:val="-2"/>
          <w:sz w:val="20"/>
        </w:rPr>
        <w:t xml:space="preserve"> </w:t>
      </w:r>
      <w:r w:rsidRPr="00A407C0">
        <w:rPr>
          <w:rFonts w:ascii="Arial" w:hAnsi="Arial" w:cs="Arial"/>
          <w:sz w:val="20"/>
        </w:rPr>
        <w:t>if</w:t>
      </w:r>
      <w:r w:rsidRPr="00A407C0">
        <w:rPr>
          <w:rFonts w:ascii="Arial" w:hAnsi="Arial" w:cs="Arial"/>
          <w:spacing w:val="-2"/>
          <w:sz w:val="20"/>
        </w:rPr>
        <w:t xml:space="preserve"> </w:t>
      </w:r>
      <w:r w:rsidRPr="00A407C0">
        <w:rPr>
          <w:rFonts w:ascii="Arial" w:hAnsi="Arial" w:cs="Arial"/>
          <w:sz w:val="20"/>
        </w:rPr>
        <w:t>applicable,</w:t>
      </w:r>
      <w:r w:rsidRPr="00A407C0">
        <w:rPr>
          <w:rFonts w:ascii="Arial" w:hAnsi="Arial" w:cs="Arial"/>
          <w:spacing w:val="-2"/>
          <w:sz w:val="20"/>
        </w:rPr>
        <w:t xml:space="preserve"> </w:t>
      </w:r>
      <w:r w:rsidRPr="00A407C0">
        <w:rPr>
          <w:rFonts w:ascii="Arial" w:hAnsi="Arial" w:cs="Arial"/>
          <w:sz w:val="20"/>
        </w:rPr>
        <w:t>freight;</w:t>
      </w:r>
    </w:p>
    <w:p w14:paraId="79DFCD6F" w14:textId="77777777" w:rsidR="00A407C0" w:rsidRPr="00A407C0" w:rsidRDefault="00A407C0" w:rsidP="008F3217">
      <w:pPr>
        <w:numPr>
          <w:ilvl w:val="1"/>
          <w:numId w:val="125"/>
        </w:numPr>
        <w:tabs>
          <w:tab w:val="left" w:pos="1273"/>
          <w:tab w:val="left" w:pos="1274"/>
        </w:tabs>
        <w:spacing w:before="121" w:line="276" w:lineRule="auto"/>
        <w:ind w:right="68" w:hanging="568"/>
        <w:jc w:val="both"/>
        <w:rPr>
          <w:rFonts w:ascii="Arial" w:hAnsi="Arial" w:cs="Arial"/>
          <w:sz w:val="20"/>
        </w:rPr>
      </w:pPr>
      <w:r w:rsidRPr="00A407C0">
        <w:rPr>
          <w:rFonts w:ascii="Arial" w:hAnsi="Arial" w:cs="Arial"/>
          <w:sz w:val="20"/>
        </w:rPr>
        <w:lastRenderedPageBreak/>
        <w:t>maximum</w:t>
      </w:r>
      <w:r w:rsidRPr="00A407C0">
        <w:rPr>
          <w:rFonts w:ascii="Arial" w:hAnsi="Arial" w:cs="Arial"/>
          <w:spacing w:val="-5"/>
          <w:sz w:val="20"/>
        </w:rPr>
        <w:t xml:space="preserve"> </w:t>
      </w:r>
      <w:r w:rsidRPr="00A407C0">
        <w:rPr>
          <w:rFonts w:ascii="Arial" w:hAnsi="Arial" w:cs="Arial"/>
          <w:sz w:val="20"/>
        </w:rPr>
        <w:t>take-off</w:t>
      </w:r>
      <w:r w:rsidRPr="00A407C0">
        <w:rPr>
          <w:rFonts w:ascii="Arial" w:hAnsi="Arial" w:cs="Arial"/>
          <w:spacing w:val="-6"/>
          <w:sz w:val="20"/>
        </w:rPr>
        <w:t xml:space="preserve"> </w:t>
      </w:r>
      <w:r w:rsidRPr="00A407C0">
        <w:rPr>
          <w:rFonts w:ascii="Arial" w:hAnsi="Arial" w:cs="Arial"/>
          <w:sz w:val="20"/>
        </w:rPr>
        <w:t>mass</w:t>
      </w:r>
      <w:r w:rsidRPr="00A407C0">
        <w:rPr>
          <w:rFonts w:ascii="Arial" w:hAnsi="Arial" w:cs="Arial"/>
          <w:spacing w:val="-2"/>
          <w:sz w:val="20"/>
        </w:rPr>
        <w:t xml:space="preserve"> </w:t>
      </w:r>
      <w:r w:rsidRPr="00A407C0">
        <w:rPr>
          <w:rFonts w:ascii="Arial" w:hAnsi="Arial" w:cs="Arial"/>
          <w:sz w:val="20"/>
        </w:rPr>
        <w:t>allowed</w:t>
      </w:r>
      <w:r w:rsidRPr="00A407C0">
        <w:rPr>
          <w:rFonts w:ascii="Arial" w:hAnsi="Arial" w:cs="Arial"/>
          <w:spacing w:val="-3"/>
          <w:sz w:val="20"/>
        </w:rPr>
        <w:t xml:space="preserve"> </w:t>
      </w:r>
      <w:r w:rsidRPr="00A407C0">
        <w:rPr>
          <w:rFonts w:ascii="Arial" w:hAnsi="Arial" w:cs="Arial"/>
          <w:sz w:val="20"/>
        </w:rPr>
        <w:t>by</w:t>
      </w:r>
      <w:r w:rsidRPr="00A407C0">
        <w:rPr>
          <w:rFonts w:ascii="Arial" w:hAnsi="Arial" w:cs="Arial"/>
          <w:spacing w:val="-2"/>
          <w:sz w:val="20"/>
        </w:rPr>
        <w:t xml:space="preserve"> </w:t>
      </w:r>
      <w:r w:rsidRPr="00A407C0">
        <w:rPr>
          <w:rFonts w:ascii="Arial" w:hAnsi="Arial" w:cs="Arial"/>
          <w:sz w:val="20"/>
        </w:rPr>
        <w:t>the</w:t>
      </w:r>
      <w:r w:rsidRPr="00A407C0">
        <w:rPr>
          <w:rFonts w:ascii="Arial" w:hAnsi="Arial" w:cs="Arial"/>
          <w:spacing w:val="-3"/>
          <w:sz w:val="20"/>
        </w:rPr>
        <w:t xml:space="preserve"> </w:t>
      </w:r>
      <w:r w:rsidRPr="00A407C0">
        <w:rPr>
          <w:rFonts w:ascii="Arial" w:hAnsi="Arial" w:cs="Arial"/>
          <w:sz w:val="20"/>
        </w:rPr>
        <w:t>AFM</w:t>
      </w:r>
      <w:r w:rsidRPr="00A407C0">
        <w:rPr>
          <w:rFonts w:ascii="Arial" w:hAnsi="Arial" w:cs="Arial"/>
          <w:spacing w:val="-2"/>
          <w:sz w:val="20"/>
        </w:rPr>
        <w:t xml:space="preserve"> </w:t>
      </w:r>
      <w:r w:rsidRPr="00A407C0">
        <w:rPr>
          <w:rFonts w:ascii="Arial" w:hAnsi="Arial" w:cs="Arial"/>
          <w:sz w:val="20"/>
        </w:rPr>
        <w:t>according</w:t>
      </w:r>
      <w:r w:rsidRPr="00A407C0">
        <w:rPr>
          <w:rFonts w:ascii="Arial" w:hAnsi="Arial" w:cs="Arial"/>
          <w:spacing w:val="-4"/>
          <w:sz w:val="20"/>
        </w:rPr>
        <w:t xml:space="preserve"> </w:t>
      </w:r>
      <w:r w:rsidRPr="00A407C0">
        <w:rPr>
          <w:rFonts w:ascii="Arial" w:hAnsi="Arial" w:cs="Arial"/>
          <w:sz w:val="20"/>
        </w:rPr>
        <w:t>to</w:t>
      </w:r>
      <w:r w:rsidRPr="00A407C0">
        <w:rPr>
          <w:rFonts w:ascii="Arial" w:hAnsi="Arial" w:cs="Arial"/>
          <w:spacing w:val="-1"/>
          <w:sz w:val="20"/>
        </w:rPr>
        <w:t xml:space="preserve"> </w:t>
      </w:r>
      <w:r w:rsidRPr="00A407C0">
        <w:rPr>
          <w:rFonts w:ascii="Arial" w:hAnsi="Arial" w:cs="Arial"/>
          <w:sz w:val="20"/>
        </w:rPr>
        <w:t>temperature</w:t>
      </w:r>
      <w:r w:rsidRPr="00A407C0">
        <w:rPr>
          <w:rFonts w:ascii="Arial" w:hAnsi="Arial" w:cs="Arial"/>
          <w:spacing w:val="-3"/>
          <w:sz w:val="20"/>
        </w:rPr>
        <w:t xml:space="preserve"> </w:t>
      </w:r>
      <w:r w:rsidRPr="00A407C0">
        <w:rPr>
          <w:rFonts w:ascii="Arial" w:hAnsi="Arial" w:cs="Arial"/>
          <w:sz w:val="20"/>
        </w:rPr>
        <w:t>and</w:t>
      </w:r>
      <w:r w:rsidRPr="00A407C0">
        <w:rPr>
          <w:rFonts w:ascii="Arial" w:hAnsi="Arial" w:cs="Arial"/>
          <w:spacing w:val="-3"/>
          <w:sz w:val="20"/>
        </w:rPr>
        <w:t xml:space="preserve"> </w:t>
      </w:r>
      <w:r w:rsidRPr="00A407C0">
        <w:rPr>
          <w:rFonts w:ascii="Arial" w:hAnsi="Arial" w:cs="Arial"/>
          <w:sz w:val="20"/>
        </w:rPr>
        <w:t>altitude;</w:t>
      </w:r>
      <w:r w:rsidRPr="00A407C0">
        <w:rPr>
          <w:rFonts w:ascii="Arial" w:hAnsi="Arial" w:cs="Arial"/>
          <w:spacing w:val="-2"/>
          <w:sz w:val="20"/>
        </w:rPr>
        <w:t xml:space="preserve"> </w:t>
      </w:r>
      <w:r w:rsidRPr="00A407C0">
        <w:rPr>
          <w:rFonts w:ascii="Arial" w:hAnsi="Arial" w:cs="Arial"/>
          <w:sz w:val="20"/>
        </w:rPr>
        <w:t>and</w:t>
      </w:r>
    </w:p>
    <w:p w14:paraId="19D9117D" w14:textId="77777777" w:rsidR="00A407C0" w:rsidRPr="00A407C0" w:rsidRDefault="00A407C0" w:rsidP="008F3217">
      <w:pPr>
        <w:numPr>
          <w:ilvl w:val="1"/>
          <w:numId w:val="125"/>
        </w:numPr>
        <w:tabs>
          <w:tab w:val="left" w:pos="1273"/>
          <w:tab w:val="left" w:pos="1274"/>
        </w:tabs>
        <w:spacing w:before="117" w:line="276" w:lineRule="auto"/>
        <w:ind w:right="68" w:hanging="568"/>
        <w:jc w:val="both"/>
        <w:rPr>
          <w:rFonts w:ascii="Arial" w:hAnsi="Arial" w:cs="Arial"/>
          <w:sz w:val="20"/>
        </w:rPr>
      </w:pPr>
      <w:r w:rsidRPr="00A407C0">
        <w:rPr>
          <w:rFonts w:ascii="Arial" w:hAnsi="Arial" w:cs="Arial"/>
          <w:sz w:val="20"/>
        </w:rPr>
        <w:t>limiting</w:t>
      </w:r>
      <w:r w:rsidRPr="00A407C0">
        <w:rPr>
          <w:rFonts w:ascii="Arial" w:hAnsi="Arial" w:cs="Arial"/>
          <w:spacing w:val="-3"/>
          <w:sz w:val="20"/>
        </w:rPr>
        <w:t xml:space="preserve"> </w:t>
      </w:r>
      <w:r w:rsidRPr="00A407C0">
        <w:rPr>
          <w:rFonts w:ascii="Arial" w:hAnsi="Arial" w:cs="Arial"/>
          <w:sz w:val="20"/>
        </w:rPr>
        <w:t>mass</w:t>
      </w:r>
      <w:r w:rsidRPr="00A407C0">
        <w:rPr>
          <w:rFonts w:ascii="Arial" w:hAnsi="Arial" w:cs="Arial"/>
          <w:spacing w:val="-1"/>
          <w:sz w:val="20"/>
        </w:rPr>
        <w:t xml:space="preserve"> </w:t>
      </w:r>
      <w:r w:rsidRPr="00A407C0">
        <w:rPr>
          <w:rFonts w:ascii="Arial" w:hAnsi="Arial" w:cs="Arial"/>
          <w:sz w:val="20"/>
        </w:rPr>
        <w:t>values.</w:t>
      </w:r>
    </w:p>
    <w:p w14:paraId="3780AD1F" w14:textId="77777777" w:rsidR="00A407C0" w:rsidRPr="00A407C0" w:rsidRDefault="00A407C0" w:rsidP="008F3217">
      <w:pPr>
        <w:numPr>
          <w:ilvl w:val="0"/>
          <w:numId w:val="125"/>
        </w:numPr>
        <w:tabs>
          <w:tab w:val="left" w:pos="707"/>
        </w:tabs>
        <w:spacing w:before="121" w:line="276" w:lineRule="auto"/>
        <w:ind w:right="68"/>
        <w:jc w:val="both"/>
        <w:rPr>
          <w:rFonts w:ascii="Arial" w:hAnsi="Arial" w:cs="Arial"/>
          <w:sz w:val="20"/>
        </w:rPr>
      </w:pPr>
      <w:r w:rsidRPr="00A407C0">
        <w:rPr>
          <w:rFonts w:ascii="Arial" w:hAnsi="Arial" w:cs="Arial"/>
          <w:sz w:val="20"/>
        </w:rPr>
        <w:t>The mass documentation should enable the pilot-in-command to determine that the load is</w:t>
      </w:r>
      <w:r w:rsidRPr="00A407C0">
        <w:rPr>
          <w:rFonts w:ascii="Arial" w:hAnsi="Arial" w:cs="Arial"/>
          <w:spacing w:val="1"/>
          <w:sz w:val="20"/>
        </w:rPr>
        <w:t xml:space="preserve"> </w:t>
      </w:r>
      <w:r w:rsidRPr="00A407C0">
        <w:rPr>
          <w:rFonts w:ascii="Arial" w:hAnsi="Arial" w:cs="Arial"/>
          <w:sz w:val="20"/>
        </w:rPr>
        <w:t>within</w:t>
      </w:r>
      <w:r w:rsidRPr="00A407C0">
        <w:rPr>
          <w:rFonts w:ascii="Arial" w:hAnsi="Arial" w:cs="Arial"/>
          <w:spacing w:val="-3"/>
          <w:sz w:val="20"/>
        </w:rPr>
        <w:t xml:space="preserve"> </w:t>
      </w:r>
      <w:r w:rsidRPr="00A407C0">
        <w:rPr>
          <w:rFonts w:ascii="Arial" w:hAnsi="Arial" w:cs="Arial"/>
          <w:sz w:val="20"/>
        </w:rPr>
        <w:t>the</w:t>
      </w:r>
      <w:r w:rsidRPr="00A407C0">
        <w:rPr>
          <w:rFonts w:ascii="Arial" w:hAnsi="Arial" w:cs="Arial"/>
          <w:spacing w:val="-2"/>
          <w:sz w:val="20"/>
        </w:rPr>
        <w:t xml:space="preserve"> </w:t>
      </w:r>
      <w:r w:rsidRPr="00A407C0">
        <w:rPr>
          <w:rFonts w:ascii="Arial" w:hAnsi="Arial" w:cs="Arial"/>
          <w:sz w:val="20"/>
        </w:rPr>
        <w:t>mass limits</w:t>
      </w:r>
      <w:r w:rsidRPr="00A407C0">
        <w:rPr>
          <w:rFonts w:ascii="Arial" w:hAnsi="Arial" w:cs="Arial"/>
          <w:spacing w:val="-2"/>
          <w:sz w:val="20"/>
        </w:rPr>
        <w:t xml:space="preserve"> </w:t>
      </w:r>
      <w:r w:rsidRPr="00A407C0">
        <w:rPr>
          <w:rFonts w:ascii="Arial" w:hAnsi="Arial" w:cs="Arial"/>
          <w:sz w:val="20"/>
        </w:rPr>
        <w:t>of the</w:t>
      </w:r>
      <w:r w:rsidRPr="00A407C0">
        <w:rPr>
          <w:rFonts w:ascii="Arial" w:hAnsi="Arial" w:cs="Arial"/>
          <w:spacing w:val="1"/>
          <w:sz w:val="20"/>
        </w:rPr>
        <w:t xml:space="preserve"> </w:t>
      </w:r>
      <w:r w:rsidRPr="00A407C0">
        <w:rPr>
          <w:rFonts w:ascii="Arial" w:hAnsi="Arial" w:cs="Arial"/>
          <w:sz w:val="20"/>
        </w:rPr>
        <w:t>balloon.</w:t>
      </w:r>
    </w:p>
    <w:p w14:paraId="5E7E4764" w14:textId="77777777" w:rsidR="00A407C0" w:rsidRPr="00A407C0" w:rsidRDefault="00A407C0" w:rsidP="008F3217">
      <w:pPr>
        <w:numPr>
          <w:ilvl w:val="0"/>
          <w:numId w:val="125"/>
        </w:numPr>
        <w:tabs>
          <w:tab w:val="left" w:pos="707"/>
        </w:tabs>
        <w:spacing w:before="120" w:line="276" w:lineRule="auto"/>
        <w:ind w:right="68"/>
        <w:jc w:val="both"/>
        <w:rPr>
          <w:rFonts w:ascii="Arial" w:hAnsi="Arial" w:cs="Arial"/>
          <w:sz w:val="20"/>
        </w:rPr>
      </w:pPr>
      <w:r w:rsidRPr="00A407C0">
        <w:rPr>
          <w:rFonts w:ascii="Arial" w:hAnsi="Arial" w:cs="Arial"/>
          <w:sz w:val="20"/>
        </w:rPr>
        <w:t>The information above may be available in flight planning documents, or other documents</w:t>
      </w:r>
      <w:r w:rsidRPr="00A407C0">
        <w:rPr>
          <w:rFonts w:ascii="Arial" w:hAnsi="Arial" w:cs="Arial"/>
          <w:spacing w:val="1"/>
          <w:sz w:val="20"/>
        </w:rPr>
        <w:t xml:space="preserve"> </w:t>
      </w:r>
      <w:r w:rsidRPr="00A407C0">
        <w:rPr>
          <w:rFonts w:ascii="Arial" w:hAnsi="Arial" w:cs="Arial"/>
          <w:sz w:val="20"/>
        </w:rPr>
        <w:t>readily</w:t>
      </w:r>
      <w:r w:rsidRPr="00A407C0">
        <w:rPr>
          <w:rFonts w:ascii="Arial" w:hAnsi="Arial" w:cs="Arial"/>
          <w:spacing w:val="-1"/>
          <w:sz w:val="20"/>
        </w:rPr>
        <w:t xml:space="preserve"> </w:t>
      </w:r>
      <w:r w:rsidRPr="00A407C0">
        <w:rPr>
          <w:rFonts w:ascii="Arial" w:hAnsi="Arial" w:cs="Arial"/>
          <w:sz w:val="20"/>
        </w:rPr>
        <w:t>available for use,</w:t>
      </w:r>
      <w:r w:rsidRPr="00A407C0">
        <w:rPr>
          <w:rFonts w:ascii="Arial" w:hAnsi="Arial" w:cs="Arial"/>
          <w:spacing w:val="-2"/>
          <w:sz w:val="20"/>
        </w:rPr>
        <w:t xml:space="preserve"> </w:t>
      </w:r>
      <w:r w:rsidRPr="00A407C0">
        <w:rPr>
          <w:rFonts w:ascii="Arial" w:hAnsi="Arial" w:cs="Arial"/>
          <w:sz w:val="20"/>
        </w:rPr>
        <w:t>or</w:t>
      </w:r>
      <w:r w:rsidRPr="00A407C0">
        <w:rPr>
          <w:rFonts w:ascii="Arial" w:hAnsi="Arial" w:cs="Arial"/>
          <w:spacing w:val="-3"/>
          <w:sz w:val="20"/>
        </w:rPr>
        <w:t xml:space="preserve"> </w:t>
      </w:r>
      <w:r w:rsidRPr="00A407C0">
        <w:rPr>
          <w:rFonts w:ascii="Arial" w:hAnsi="Arial" w:cs="Arial"/>
          <w:sz w:val="20"/>
        </w:rPr>
        <w:t>mass</w:t>
      </w:r>
      <w:r w:rsidRPr="00A407C0">
        <w:rPr>
          <w:rFonts w:ascii="Arial" w:hAnsi="Arial" w:cs="Arial"/>
          <w:spacing w:val="-3"/>
          <w:sz w:val="20"/>
        </w:rPr>
        <w:t xml:space="preserve"> </w:t>
      </w:r>
      <w:r w:rsidRPr="00A407C0">
        <w:rPr>
          <w:rFonts w:ascii="Arial" w:hAnsi="Arial" w:cs="Arial"/>
          <w:sz w:val="20"/>
        </w:rPr>
        <w:t>systems.</w:t>
      </w:r>
    </w:p>
    <w:p w14:paraId="2D85ABF5" w14:textId="77777777" w:rsidR="00A407C0" w:rsidRPr="00A407C0" w:rsidRDefault="00A407C0" w:rsidP="008F3217">
      <w:pPr>
        <w:numPr>
          <w:ilvl w:val="0"/>
          <w:numId w:val="125"/>
        </w:numPr>
        <w:tabs>
          <w:tab w:val="left" w:pos="707"/>
        </w:tabs>
        <w:spacing w:before="121" w:line="276" w:lineRule="auto"/>
        <w:ind w:right="68"/>
        <w:jc w:val="both"/>
        <w:rPr>
          <w:rFonts w:ascii="Arial" w:hAnsi="Arial" w:cs="Arial"/>
          <w:sz w:val="20"/>
        </w:rPr>
      </w:pPr>
      <w:r w:rsidRPr="00A407C0">
        <w:rPr>
          <w:rFonts w:ascii="Arial" w:hAnsi="Arial" w:cs="Arial"/>
          <w:sz w:val="20"/>
        </w:rPr>
        <w:t>Any</w:t>
      </w:r>
      <w:r w:rsidRPr="00A407C0">
        <w:rPr>
          <w:rFonts w:ascii="Arial" w:hAnsi="Arial" w:cs="Arial"/>
          <w:spacing w:val="1"/>
          <w:sz w:val="20"/>
        </w:rPr>
        <w:t xml:space="preserve"> </w:t>
      </w:r>
      <w:r w:rsidRPr="00A407C0">
        <w:rPr>
          <w:rFonts w:ascii="Arial" w:hAnsi="Arial" w:cs="Arial"/>
          <w:sz w:val="20"/>
        </w:rPr>
        <w:t>last-minute</w:t>
      </w:r>
      <w:r w:rsidRPr="00A407C0">
        <w:rPr>
          <w:rFonts w:ascii="Arial" w:hAnsi="Arial" w:cs="Arial"/>
          <w:spacing w:val="1"/>
          <w:sz w:val="20"/>
        </w:rPr>
        <w:t xml:space="preserve"> </w:t>
      </w:r>
      <w:r w:rsidRPr="00A407C0">
        <w:rPr>
          <w:rFonts w:ascii="Arial" w:hAnsi="Arial" w:cs="Arial"/>
          <w:sz w:val="20"/>
        </w:rPr>
        <w:t>change should</w:t>
      </w:r>
      <w:r w:rsidRPr="00A407C0">
        <w:rPr>
          <w:rFonts w:ascii="Arial" w:hAnsi="Arial" w:cs="Arial"/>
          <w:spacing w:val="1"/>
          <w:sz w:val="20"/>
        </w:rPr>
        <w:t xml:space="preserve"> </w:t>
      </w:r>
      <w:r w:rsidRPr="00A407C0">
        <w:rPr>
          <w:rFonts w:ascii="Arial" w:hAnsi="Arial" w:cs="Arial"/>
          <w:sz w:val="20"/>
        </w:rPr>
        <w:t>be</w:t>
      </w:r>
      <w:r w:rsidRPr="00A407C0">
        <w:rPr>
          <w:rFonts w:ascii="Arial" w:hAnsi="Arial" w:cs="Arial"/>
          <w:spacing w:val="1"/>
          <w:sz w:val="20"/>
        </w:rPr>
        <w:t xml:space="preserve"> </w:t>
      </w:r>
      <w:r w:rsidRPr="00A407C0">
        <w:rPr>
          <w:rFonts w:ascii="Arial" w:hAnsi="Arial" w:cs="Arial"/>
          <w:sz w:val="20"/>
        </w:rPr>
        <w:t>brought to</w:t>
      </w:r>
      <w:r w:rsidRPr="00A407C0">
        <w:rPr>
          <w:rFonts w:ascii="Arial" w:hAnsi="Arial" w:cs="Arial"/>
          <w:spacing w:val="1"/>
          <w:sz w:val="20"/>
        </w:rPr>
        <w:t xml:space="preserve"> </w:t>
      </w:r>
      <w:r w:rsidRPr="00A407C0">
        <w:rPr>
          <w:rFonts w:ascii="Arial" w:hAnsi="Arial" w:cs="Arial"/>
          <w:sz w:val="20"/>
        </w:rPr>
        <w:t>the attention of the pilot-in-command and</w:t>
      </w:r>
      <w:r w:rsidRPr="00A407C0">
        <w:rPr>
          <w:rFonts w:ascii="Arial" w:hAnsi="Arial" w:cs="Arial"/>
          <w:spacing w:val="1"/>
          <w:sz w:val="20"/>
        </w:rPr>
        <w:t xml:space="preserve"> </w:t>
      </w:r>
      <w:r w:rsidRPr="00A407C0">
        <w:rPr>
          <w:rFonts w:ascii="Arial" w:hAnsi="Arial" w:cs="Arial"/>
          <w:sz w:val="20"/>
        </w:rPr>
        <w:t>entered in the documents containing the mass information. The operator should specify the</w:t>
      </w:r>
      <w:r w:rsidRPr="00A407C0">
        <w:rPr>
          <w:rFonts w:ascii="Arial" w:hAnsi="Arial" w:cs="Arial"/>
          <w:spacing w:val="1"/>
          <w:sz w:val="20"/>
        </w:rPr>
        <w:t xml:space="preserve"> </w:t>
      </w:r>
      <w:r w:rsidRPr="00A407C0">
        <w:rPr>
          <w:rFonts w:ascii="Arial" w:hAnsi="Arial" w:cs="Arial"/>
          <w:sz w:val="20"/>
        </w:rPr>
        <w:t>maximum</w:t>
      </w:r>
      <w:r w:rsidRPr="00A407C0">
        <w:rPr>
          <w:rFonts w:ascii="Arial" w:hAnsi="Arial" w:cs="Arial"/>
          <w:spacing w:val="-8"/>
          <w:sz w:val="20"/>
        </w:rPr>
        <w:t xml:space="preserve"> </w:t>
      </w:r>
      <w:r w:rsidRPr="00A407C0">
        <w:rPr>
          <w:rFonts w:ascii="Arial" w:hAnsi="Arial" w:cs="Arial"/>
          <w:sz w:val="20"/>
        </w:rPr>
        <w:t>last-minute</w:t>
      </w:r>
      <w:r w:rsidRPr="00A407C0">
        <w:rPr>
          <w:rFonts w:ascii="Arial" w:hAnsi="Arial" w:cs="Arial"/>
          <w:spacing w:val="-8"/>
          <w:sz w:val="20"/>
        </w:rPr>
        <w:t xml:space="preserve"> </w:t>
      </w:r>
      <w:r w:rsidRPr="00A407C0">
        <w:rPr>
          <w:rFonts w:ascii="Arial" w:hAnsi="Arial" w:cs="Arial"/>
          <w:sz w:val="20"/>
        </w:rPr>
        <w:t>change</w:t>
      </w:r>
      <w:r w:rsidRPr="00A407C0">
        <w:rPr>
          <w:rFonts w:ascii="Arial" w:hAnsi="Arial" w:cs="Arial"/>
          <w:spacing w:val="-8"/>
          <w:sz w:val="20"/>
        </w:rPr>
        <w:t xml:space="preserve"> </w:t>
      </w:r>
      <w:r w:rsidRPr="00A407C0">
        <w:rPr>
          <w:rFonts w:ascii="Arial" w:hAnsi="Arial" w:cs="Arial"/>
          <w:sz w:val="20"/>
        </w:rPr>
        <w:t>allowed</w:t>
      </w:r>
      <w:r w:rsidRPr="00A407C0">
        <w:rPr>
          <w:rFonts w:ascii="Arial" w:hAnsi="Arial" w:cs="Arial"/>
          <w:spacing w:val="-8"/>
          <w:sz w:val="20"/>
        </w:rPr>
        <w:t xml:space="preserve"> </w:t>
      </w:r>
      <w:r w:rsidRPr="00A407C0">
        <w:rPr>
          <w:rFonts w:ascii="Arial" w:hAnsi="Arial" w:cs="Arial"/>
          <w:sz w:val="20"/>
        </w:rPr>
        <w:t>in</w:t>
      </w:r>
      <w:r w:rsidRPr="00A407C0">
        <w:rPr>
          <w:rFonts w:ascii="Arial" w:hAnsi="Arial" w:cs="Arial"/>
          <w:spacing w:val="-10"/>
          <w:sz w:val="20"/>
        </w:rPr>
        <w:t xml:space="preserve"> </w:t>
      </w:r>
      <w:r w:rsidRPr="00A407C0">
        <w:rPr>
          <w:rFonts w:ascii="Arial" w:hAnsi="Arial" w:cs="Arial"/>
          <w:sz w:val="20"/>
        </w:rPr>
        <w:t>passenger</w:t>
      </w:r>
      <w:r w:rsidRPr="00A407C0">
        <w:rPr>
          <w:rFonts w:ascii="Arial" w:hAnsi="Arial" w:cs="Arial"/>
          <w:spacing w:val="-8"/>
          <w:sz w:val="20"/>
        </w:rPr>
        <w:t xml:space="preserve"> </w:t>
      </w:r>
      <w:r w:rsidRPr="00A407C0">
        <w:rPr>
          <w:rFonts w:ascii="Arial" w:hAnsi="Arial" w:cs="Arial"/>
          <w:sz w:val="20"/>
        </w:rPr>
        <w:t>numbers.</w:t>
      </w:r>
      <w:r w:rsidRPr="00A407C0">
        <w:rPr>
          <w:rFonts w:ascii="Arial" w:hAnsi="Arial" w:cs="Arial"/>
          <w:spacing w:val="-9"/>
          <w:sz w:val="20"/>
        </w:rPr>
        <w:t xml:space="preserve"> </w:t>
      </w:r>
      <w:r w:rsidRPr="00A407C0">
        <w:rPr>
          <w:rFonts w:ascii="Arial" w:hAnsi="Arial" w:cs="Arial"/>
          <w:sz w:val="20"/>
        </w:rPr>
        <w:t>New</w:t>
      </w:r>
      <w:r w:rsidRPr="00A407C0">
        <w:rPr>
          <w:rFonts w:ascii="Arial" w:hAnsi="Arial" w:cs="Arial"/>
          <w:spacing w:val="-8"/>
          <w:sz w:val="20"/>
        </w:rPr>
        <w:t xml:space="preserve"> </w:t>
      </w:r>
      <w:r w:rsidRPr="00A407C0">
        <w:rPr>
          <w:rFonts w:ascii="Arial" w:hAnsi="Arial" w:cs="Arial"/>
          <w:sz w:val="20"/>
        </w:rPr>
        <w:t>mass</w:t>
      </w:r>
      <w:r w:rsidRPr="00A407C0">
        <w:rPr>
          <w:rFonts w:ascii="Arial" w:hAnsi="Arial" w:cs="Arial"/>
          <w:spacing w:val="-8"/>
          <w:sz w:val="20"/>
        </w:rPr>
        <w:t xml:space="preserve"> </w:t>
      </w:r>
      <w:r w:rsidRPr="00A407C0">
        <w:rPr>
          <w:rFonts w:ascii="Arial" w:hAnsi="Arial" w:cs="Arial"/>
          <w:sz w:val="20"/>
        </w:rPr>
        <w:t>documentation</w:t>
      </w:r>
      <w:r w:rsidRPr="00A407C0">
        <w:rPr>
          <w:rFonts w:ascii="Arial" w:hAnsi="Arial" w:cs="Arial"/>
          <w:spacing w:val="-10"/>
          <w:sz w:val="20"/>
        </w:rPr>
        <w:t xml:space="preserve"> </w:t>
      </w:r>
      <w:r w:rsidRPr="00A407C0">
        <w:rPr>
          <w:rFonts w:ascii="Arial" w:hAnsi="Arial" w:cs="Arial"/>
          <w:sz w:val="20"/>
        </w:rPr>
        <w:t>should</w:t>
      </w:r>
      <w:r w:rsidRPr="00A407C0">
        <w:rPr>
          <w:rFonts w:ascii="Arial" w:hAnsi="Arial" w:cs="Arial"/>
          <w:spacing w:val="-47"/>
          <w:sz w:val="20"/>
        </w:rPr>
        <w:t xml:space="preserve"> </w:t>
      </w:r>
      <w:r w:rsidRPr="00A407C0">
        <w:rPr>
          <w:rFonts w:ascii="Arial" w:hAnsi="Arial" w:cs="Arial"/>
          <w:sz w:val="20"/>
        </w:rPr>
        <w:t>be prepared if</w:t>
      </w:r>
      <w:r w:rsidRPr="00A407C0">
        <w:rPr>
          <w:rFonts w:ascii="Arial" w:hAnsi="Arial" w:cs="Arial"/>
          <w:spacing w:val="-3"/>
          <w:sz w:val="20"/>
        </w:rPr>
        <w:t xml:space="preserve"> </w:t>
      </w:r>
      <w:r w:rsidRPr="00A407C0">
        <w:rPr>
          <w:rFonts w:ascii="Arial" w:hAnsi="Arial" w:cs="Arial"/>
          <w:sz w:val="20"/>
        </w:rPr>
        <w:t>this</w:t>
      </w:r>
      <w:r w:rsidRPr="00A407C0">
        <w:rPr>
          <w:rFonts w:ascii="Arial" w:hAnsi="Arial" w:cs="Arial"/>
          <w:spacing w:val="-2"/>
          <w:sz w:val="20"/>
        </w:rPr>
        <w:t xml:space="preserve"> </w:t>
      </w:r>
      <w:r w:rsidRPr="00A407C0">
        <w:rPr>
          <w:rFonts w:ascii="Arial" w:hAnsi="Arial" w:cs="Arial"/>
          <w:sz w:val="20"/>
        </w:rPr>
        <w:t>maximum</w:t>
      </w:r>
      <w:r w:rsidRPr="00A407C0">
        <w:rPr>
          <w:rFonts w:ascii="Arial" w:hAnsi="Arial" w:cs="Arial"/>
          <w:spacing w:val="1"/>
          <w:sz w:val="20"/>
        </w:rPr>
        <w:t xml:space="preserve"> </w:t>
      </w:r>
      <w:r w:rsidRPr="00A407C0">
        <w:rPr>
          <w:rFonts w:ascii="Arial" w:hAnsi="Arial" w:cs="Arial"/>
          <w:sz w:val="20"/>
        </w:rPr>
        <w:t>number is</w:t>
      </w:r>
      <w:r w:rsidRPr="00A407C0">
        <w:rPr>
          <w:rFonts w:ascii="Arial" w:hAnsi="Arial" w:cs="Arial"/>
          <w:spacing w:val="-2"/>
          <w:sz w:val="20"/>
        </w:rPr>
        <w:t xml:space="preserve"> </w:t>
      </w:r>
      <w:r w:rsidRPr="00A407C0">
        <w:rPr>
          <w:rFonts w:ascii="Arial" w:hAnsi="Arial" w:cs="Arial"/>
          <w:sz w:val="20"/>
        </w:rPr>
        <w:t>exceeded.</w:t>
      </w:r>
    </w:p>
    <w:p w14:paraId="7C22ADAB" w14:textId="77777777" w:rsidR="00A407C0" w:rsidRPr="00A407C0" w:rsidRDefault="00A407C0" w:rsidP="008F3217">
      <w:pPr>
        <w:numPr>
          <w:ilvl w:val="0"/>
          <w:numId w:val="125"/>
        </w:numPr>
        <w:tabs>
          <w:tab w:val="left" w:pos="707"/>
        </w:tabs>
        <w:spacing w:before="123" w:line="276" w:lineRule="auto"/>
        <w:ind w:right="68"/>
        <w:jc w:val="both"/>
        <w:rPr>
          <w:rFonts w:ascii="Arial" w:hAnsi="Arial" w:cs="Arial"/>
          <w:sz w:val="20"/>
        </w:rPr>
      </w:pPr>
      <w:r w:rsidRPr="00A407C0">
        <w:rPr>
          <w:rFonts w:ascii="Arial" w:hAnsi="Arial" w:cs="Arial"/>
          <w:sz w:val="20"/>
        </w:rPr>
        <w:t>Where</w:t>
      </w:r>
      <w:r w:rsidRPr="00A407C0">
        <w:rPr>
          <w:rFonts w:ascii="Arial" w:hAnsi="Arial" w:cs="Arial"/>
          <w:spacing w:val="-6"/>
          <w:sz w:val="20"/>
        </w:rPr>
        <w:t xml:space="preserve"> </w:t>
      </w:r>
      <w:r w:rsidRPr="00A407C0">
        <w:rPr>
          <w:rFonts w:ascii="Arial" w:hAnsi="Arial" w:cs="Arial"/>
          <w:sz w:val="20"/>
        </w:rPr>
        <w:t>mass</w:t>
      </w:r>
      <w:r w:rsidRPr="00A407C0">
        <w:rPr>
          <w:rFonts w:ascii="Arial" w:hAnsi="Arial" w:cs="Arial"/>
          <w:spacing w:val="-5"/>
          <w:sz w:val="20"/>
        </w:rPr>
        <w:t xml:space="preserve"> </w:t>
      </w:r>
      <w:r w:rsidRPr="00A407C0">
        <w:rPr>
          <w:rFonts w:ascii="Arial" w:hAnsi="Arial" w:cs="Arial"/>
          <w:sz w:val="20"/>
        </w:rPr>
        <w:t>documentation</w:t>
      </w:r>
      <w:r w:rsidRPr="00A407C0">
        <w:rPr>
          <w:rFonts w:ascii="Arial" w:hAnsi="Arial" w:cs="Arial"/>
          <w:spacing w:val="-2"/>
          <w:sz w:val="20"/>
        </w:rPr>
        <w:t xml:space="preserve"> </w:t>
      </w:r>
      <w:r w:rsidRPr="00A407C0">
        <w:rPr>
          <w:rFonts w:ascii="Arial" w:hAnsi="Arial" w:cs="Arial"/>
          <w:sz w:val="20"/>
        </w:rPr>
        <w:t>is</w:t>
      </w:r>
      <w:r w:rsidRPr="00A407C0">
        <w:rPr>
          <w:rFonts w:ascii="Arial" w:hAnsi="Arial" w:cs="Arial"/>
          <w:spacing w:val="-2"/>
          <w:sz w:val="20"/>
        </w:rPr>
        <w:t xml:space="preserve"> </w:t>
      </w:r>
      <w:r w:rsidRPr="00A407C0">
        <w:rPr>
          <w:rFonts w:ascii="Arial" w:hAnsi="Arial" w:cs="Arial"/>
          <w:sz w:val="20"/>
        </w:rPr>
        <w:t>generated</w:t>
      </w:r>
      <w:r w:rsidRPr="00A407C0">
        <w:rPr>
          <w:rFonts w:ascii="Arial" w:hAnsi="Arial" w:cs="Arial"/>
          <w:spacing w:val="-1"/>
          <w:sz w:val="20"/>
        </w:rPr>
        <w:t xml:space="preserve"> </w:t>
      </w:r>
      <w:r w:rsidRPr="00A407C0">
        <w:rPr>
          <w:rFonts w:ascii="Arial" w:hAnsi="Arial" w:cs="Arial"/>
          <w:sz w:val="20"/>
        </w:rPr>
        <w:t>by</w:t>
      </w:r>
      <w:r w:rsidRPr="00A407C0">
        <w:rPr>
          <w:rFonts w:ascii="Arial" w:hAnsi="Arial" w:cs="Arial"/>
          <w:spacing w:val="-2"/>
          <w:sz w:val="20"/>
        </w:rPr>
        <w:t xml:space="preserve"> </w:t>
      </w:r>
      <w:r w:rsidRPr="00A407C0">
        <w:rPr>
          <w:rFonts w:ascii="Arial" w:hAnsi="Arial" w:cs="Arial"/>
          <w:sz w:val="20"/>
        </w:rPr>
        <w:t>a</w:t>
      </w:r>
      <w:r w:rsidRPr="00A407C0">
        <w:rPr>
          <w:rFonts w:ascii="Arial" w:hAnsi="Arial" w:cs="Arial"/>
          <w:spacing w:val="-4"/>
          <w:sz w:val="20"/>
        </w:rPr>
        <w:t xml:space="preserve"> </w:t>
      </w:r>
      <w:r w:rsidRPr="00A407C0">
        <w:rPr>
          <w:rFonts w:ascii="Arial" w:hAnsi="Arial" w:cs="Arial"/>
          <w:sz w:val="20"/>
        </w:rPr>
        <w:t>computerised</w:t>
      </w:r>
      <w:r w:rsidRPr="00A407C0">
        <w:rPr>
          <w:rFonts w:ascii="Arial" w:hAnsi="Arial" w:cs="Arial"/>
          <w:spacing w:val="-3"/>
          <w:sz w:val="20"/>
        </w:rPr>
        <w:t xml:space="preserve"> </w:t>
      </w:r>
      <w:r w:rsidRPr="00A407C0">
        <w:rPr>
          <w:rFonts w:ascii="Arial" w:hAnsi="Arial" w:cs="Arial"/>
          <w:sz w:val="20"/>
        </w:rPr>
        <w:t>mass</w:t>
      </w:r>
      <w:r w:rsidRPr="00A407C0">
        <w:rPr>
          <w:rFonts w:ascii="Arial" w:hAnsi="Arial" w:cs="Arial"/>
          <w:spacing w:val="-4"/>
          <w:sz w:val="20"/>
        </w:rPr>
        <w:t xml:space="preserve"> </w:t>
      </w:r>
      <w:r w:rsidRPr="00A407C0">
        <w:rPr>
          <w:rFonts w:ascii="Arial" w:hAnsi="Arial" w:cs="Arial"/>
          <w:sz w:val="20"/>
        </w:rPr>
        <w:t>system,</w:t>
      </w:r>
      <w:r w:rsidRPr="00A407C0">
        <w:rPr>
          <w:rFonts w:ascii="Arial" w:hAnsi="Arial" w:cs="Arial"/>
          <w:spacing w:val="-4"/>
          <w:sz w:val="20"/>
        </w:rPr>
        <w:t xml:space="preserve"> </w:t>
      </w:r>
      <w:r w:rsidRPr="00A407C0">
        <w:rPr>
          <w:rFonts w:ascii="Arial" w:hAnsi="Arial" w:cs="Arial"/>
          <w:sz w:val="20"/>
        </w:rPr>
        <w:t>the</w:t>
      </w:r>
      <w:r w:rsidRPr="00A407C0">
        <w:rPr>
          <w:rFonts w:ascii="Arial" w:hAnsi="Arial" w:cs="Arial"/>
          <w:spacing w:val="-4"/>
          <w:sz w:val="20"/>
        </w:rPr>
        <w:t xml:space="preserve"> </w:t>
      </w:r>
      <w:r w:rsidRPr="00A407C0">
        <w:rPr>
          <w:rFonts w:ascii="Arial" w:hAnsi="Arial" w:cs="Arial"/>
          <w:sz w:val="20"/>
        </w:rPr>
        <w:t>operator</w:t>
      </w:r>
      <w:r w:rsidRPr="00A407C0">
        <w:rPr>
          <w:rFonts w:ascii="Arial" w:hAnsi="Arial" w:cs="Arial"/>
          <w:spacing w:val="-2"/>
          <w:sz w:val="20"/>
        </w:rPr>
        <w:t xml:space="preserve"> </w:t>
      </w:r>
      <w:r w:rsidRPr="00A407C0">
        <w:rPr>
          <w:rFonts w:ascii="Arial" w:hAnsi="Arial" w:cs="Arial"/>
          <w:sz w:val="20"/>
        </w:rPr>
        <w:t>should</w:t>
      </w:r>
      <w:r w:rsidRPr="00A407C0">
        <w:rPr>
          <w:rFonts w:ascii="Arial" w:hAnsi="Arial" w:cs="Arial"/>
          <w:spacing w:val="-47"/>
          <w:sz w:val="20"/>
        </w:rPr>
        <w:t xml:space="preserve"> </w:t>
      </w:r>
      <w:r w:rsidRPr="00A407C0">
        <w:rPr>
          <w:rFonts w:ascii="Arial" w:hAnsi="Arial" w:cs="Arial"/>
          <w:sz w:val="20"/>
        </w:rPr>
        <w:t>verify</w:t>
      </w:r>
      <w:r w:rsidRPr="00A407C0">
        <w:rPr>
          <w:rFonts w:ascii="Arial" w:hAnsi="Arial" w:cs="Arial"/>
          <w:spacing w:val="-1"/>
          <w:sz w:val="20"/>
        </w:rPr>
        <w:t xml:space="preserve"> </w:t>
      </w:r>
      <w:r w:rsidRPr="00A407C0">
        <w:rPr>
          <w:rFonts w:ascii="Arial" w:hAnsi="Arial" w:cs="Arial"/>
          <w:sz w:val="20"/>
        </w:rPr>
        <w:t>the</w:t>
      </w:r>
      <w:r w:rsidRPr="00A407C0">
        <w:rPr>
          <w:rFonts w:ascii="Arial" w:hAnsi="Arial" w:cs="Arial"/>
          <w:spacing w:val="-2"/>
          <w:sz w:val="20"/>
        </w:rPr>
        <w:t xml:space="preserve"> </w:t>
      </w:r>
      <w:r w:rsidRPr="00A407C0">
        <w:rPr>
          <w:rFonts w:ascii="Arial" w:hAnsi="Arial" w:cs="Arial"/>
          <w:sz w:val="20"/>
        </w:rPr>
        <w:t>integrity</w:t>
      </w:r>
      <w:r w:rsidRPr="00A407C0">
        <w:rPr>
          <w:rFonts w:ascii="Arial" w:hAnsi="Arial" w:cs="Arial"/>
          <w:spacing w:val="-2"/>
          <w:sz w:val="20"/>
        </w:rPr>
        <w:t xml:space="preserve"> </w:t>
      </w:r>
      <w:r w:rsidRPr="00A407C0">
        <w:rPr>
          <w:rFonts w:ascii="Arial" w:hAnsi="Arial" w:cs="Arial"/>
          <w:sz w:val="20"/>
        </w:rPr>
        <w:t>of the</w:t>
      </w:r>
      <w:r w:rsidRPr="00A407C0">
        <w:rPr>
          <w:rFonts w:ascii="Arial" w:hAnsi="Arial" w:cs="Arial"/>
          <w:spacing w:val="-2"/>
          <w:sz w:val="20"/>
        </w:rPr>
        <w:t xml:space="preserve"> </w:t>
      </w:r>
      <w:r w:rsidRPr="00A407C0">
        <w:rPr>
          <w:rFonts w:ascii="Arial" w:hAnsi="Arial" w:cs="Arial"/>
          <w:sz w:val="20"/>
        </w:rPr>
        <w:t>output data at</w:t>
      </w:r>
      <w:r w:rsidRPr="00A407C0">
        <w:rPr>
          <w:rFonts w:ascii="Arial" w:hAnsi="Arial" w:cs="Arial"/>
          <w:spacing w:val="-2"/>
          <w:sz w:val="20"/>
        </w:rPr>
        <w:t xml:space="preserve"> </w:t>
      </w:r>
      <w:r w:rsidRPr="00A407C0">
        <w:rPr>
          <w:rFonts w:ascii="Arial" w:hAnsi="Arial" w:cs="Arial"/>
          <w:sz w:val="20"/>
        </w:rPr>
        <w:t>intervals not</w:t>
      </w:r>
      <w:r w:rsidRPr="00A407C0">
        <w:rPr>
          <w:rFonts w:ascii="Arial" w:hAnsi="Arial" w:cs="Arial"/>
          <w:spacing w:val="-2"/>
          <w:sz w:val="20"/>
        </w:rPr>
        <w:t xml:space="preserve"> </w:t>
      </w:r>
      <w:r w:rsidRPr="00A407C0">
        <w:rPr>
          <w:rFonts w:ascii="Arial" w:hAnsi="Arial" w:cs="Arial"/>
          <w:sz w:val="20"/>
        </w:rPr>
        <w:t>exceeding</w:t>
      </w:r>
      <w:r w:rsidRPr="00A407C0">
        <w:rPr>
          <w:rFonts w:ascii="Arial" w:hAnsi="Arial" w:cs="Arial"/>
          <w:spacing w:val="-1"/>
          <w:sz w:val="20"/>
        </w:rPr>
        <w:t xml:space="preserve"> </w:t>
      </w:r>
      <w:r w:rsidRPr="00A407C0">
        <w:rPr>
          <w:rFonts w:ascii="Arial" w:hAnsi="Arial" w:cs="Arial"/>
          <w:sz w:val="20"/>
        </w:rPr>
        <w:t>6</w:t>
      </w:r>
      <w:r w:rsidRPr="00A407C0">
        <w:rPr>
          <w:rFonts w:ascii="Arial" w:hAnsi="Arial" w:cs="Arial"/>
          <w:spacing w:val="-1"/>
          <w:sz w:val="20"/>
        </w:rPr>
        <w:t xml:space="preserve"> </w:t>
      </w:r>
      <w:r w:rsidRPr="00A407C0">
        <w:rPr>
          <w:rFonts w:ascii="Arial" w:hAnsi="Arial" w:cs="Arial"/>
          <w:sz w:val="20"/>
        </w:rPr>
        <w:t>months.</w:t>
      </w:r>
    </w:p>
    <w:p w14:paraId="551116B6" w14:textId="1F24B578" w:rsidR="00A407C0" w:rsidRPr="008F3217" w:rsidRDefault="00A407C0" w:rsidP="009601C2">
      <w:pPr>
        <w:numPr>
          <w:ilvl w:val="0"/>
          <w:numId w:val="125"/>
        </w:numPr>
        <w:tabs>
          <w:tab w:val="left" w:pos="707"/>
        </w:tabs>
        <w:spacing w:before="122" w:line="276" w:lineRule="auto"/>
        <w:ind w:right="68"/>
        <w:jc w:val="both"/>
        <w:rPr>
          <w:rFonts w:ascii="Arial" w:hAnsi="Arial" w:cs="Arial"/>
          <w:sz w:val="20"/>
        </w:rPr>
      </w:pPr>
      <w:r w:rsidRPr="00A407C0">
        <w:rPr>
          <w:rFonts w:ascii="Arial" w:hAnsi="Arial" w:cs="Arial"/>
          <w:sz w:val="20"/>
        </w:rPr>
        <w:t>A copy of the final mass documentation should be made available to the pilot-in-command for</w:t>
      </w:r>
      <w:r w:rsidRPr="00A407C0">
        <w:rPr>
          <w:rFonts w:ascii="Arial" w:hAnsi="Arial" w:cs="Arial"/>
          <w:spacing w:val="-47"/>
          <w:sz w:val="20"/>
        </w:rPr>
        <w:t xml:space="preserve"> </w:t>
      </w:r>
      <w:r w:rsidRPr="00A407C0">
        <w:rPr>
          <w:rFonts w:ascii="Arial" w:hAnsi="Arial" w:cs="Arial"/>
          <w:sz w:val="20"/>
        </w:rPr>
        <w:t>his or her</w:t>
      </w:r>
      <w:r w:rsidRPr="00A407C0">
        <w:rPr>
          <w:rFonts w:ascii="Arial" w:hAnsi="Arial" w:cs="Arial"/>
          <w:spacing w:val="-3"/>
          <w:sz w:val="20"/>
        </w:rPr>
        <w:t xml:space="preserve"> </w:t>
      </w:r>
      <w:r w:rsidRPr="00A407C0">
        <w:rPr>
          <w:rFonts w:ascii="Arial" w:hAnsi="Arial" w:cs="Arial"/>
          <w:sz w:val="20"/>
        </w:rPr>
        <w:t>acceptance.</w:t>
      </w:r>
    </w:p>
    <w:p w14:paraId="0BA134D0" w14:textId="77777777" w:rsidR="00A12436" w:rsidRPr="00A12436" w:rsidRDefault="00A12436" w:rsidP="009601C2">
      <w:pPr>
        <w:keepNext/>
        <w:keepLines/>
        <w:widowControl/>
        <w:shd w:val="clear" w:color="auto" w:fill="339966"/>
        <w:autoSpaceDE/>
        <w:autoSpaceDN/>
        <w:spacing w:before="160" w:after="120" w:line="276" w:lineRule="auto"/>
        <w:jc w:val="both"/>
        <w:outlineLvl w:val="4"/>
        <w:rPr>
          <w:rFonts w:ascii="Arial" w:eastAsia="Times New Roman" w:hAnsi="Arial" w:cs="Times New Roman"/>
          <w:b/>
          <w:color w:val="FFFFFF"/>
          <w:sz w:val="24"/>
        </w:rPr>
      </w:pPr>
      <w:bookmarkStart w:id="545" w:name="GM1_BOP.ADD.600(a)(6)_System_for_determi"/>
      <w:bookmarkStart w:id="546" w:name="_bookmark220"/>
      <w:bookmarkStart w:id="547" w:name="_Toc153137385"/>
      <w:bookmarkEnd w:id="545"/>
      <w:bookmarkEnd w:id="546"/>
      <w:r w:rsidRPr="00A12436">
        <w:rPr>
          <w:rFonts w:ascii="Arial" w:eastAsia="Times New Roman" w:hAnsi="Arial" w:cs="Times New Roman"/>
          <w:b/>
          <w:color w:val="FFFFFF"/>
          <w:sz w:val="24"/>
        </w:rPr>
        <w:t>GM1 BOP.ADD.600(a)(6) System for determining the mass</w:t>
      </w:r>
      <w:bookmarkEnd w:id="547"/>
    </w:p>
    <w:p w14:paraId="6F221BE3" w14:textId="5E528CD7" w:rsidR="00A12436" w:rsidRPr="00276D5E" w:rsidRDefault="00A12436" w:rsidP="009601C2">
      <w:pPr>
        <w:spacing w:line="276" w:lineRule="auto"/>
        <w:rPr>
          <w:rFonts w:ascii="Arial" w:hAnsi="Arial" w:cs="Arial"/>
          <w:b/>
          <w:sz w:val="20"/>
        </w:rPr>
      </w:pPr>
      <w:r w:rsidRPr="00276D5E">
        <w:rPr>
          <w:rFonts w:ascii="Arial" w:hAnsi="Arial" w:cs="Arial"/>
          <w:b/>
          <w:sz w:val="20"/>
        </w:rPr>
        <w:t>LIMITING</w:t>
      </w:r>
      <w:r w:rsidRPr="00276D5E">
        <w:rPr>
          <w:rFonts w:ascii="Arial" w:hAnsi="Arial" w:cs="Arial"/>
          <w:b/>
          <w:spacing w:val="-3"/>
          <w:sz w:val="20"/>
        </w:rPr>
        <w:t xml:space="preserve"> </w:t>
      </w:r>
      <w:r w:rsidRPr="00276D5E">
        <w:rPr>
          <w:rFonts w:ascii="Arial" w:hAnsi="Arial" w:cs="Arial"/>
          <w:b/>
          <w:sz w:val="20"/>
        </w:rPr>
        <w:t>MASS</w:t>
      </w:r>
      <w:r w:rsidRPr="00276D5E">
        <w:rPr>
          <w:rFonts w:ascii="Arial" w:hAnsi="Arial" w:cs="Arial"/>
          <w:b/>
          <w:spacing w:val="-4"/>
          <w:sz w:val="20"/>
        </w:rPr>
        <w:t xml:space="preserve"> </w:t>
      </w:r>
      <w:r w:rsidRPr="00276D5E">
        <w:rPr>
          <w:rFonts w:ascii="Arial" w:hAnsi="Arial" w:cs="Arial"/>
          <w:b/>
          <w:sz w:val="20"/>
        </w:rPr>
        <w:t>VALUES</w:t>
      </w:r>
    </w:p>
    <w:p w14:paraId="0A94C73C" w14:textId="77777777" w:rsidR="00A12436" w:rsidRPr="00A12436" w:rsidRDefault="00A12436" w:rsidP="009601C2">
      <w:pPr>
        <w:tabs>
          <w:tab w:val="left" w:pos="1758"/>
        </w:tabs>
        <w:spacing w:line="276" w:lineRule="auto"/>
        <w:rPr>
          <w:rFonts w:ascii="Arial" w:eastAsia="Times New Roman" w:hAnsi="Arial" w:cs="Times New Roman"/>
          <w:sz w:val="20"/>
        </w:rPr>
      </w:pPr>
      <w:r w:rsidRPr="00A12436">
        <w:rPr>
          <w:rFonts w:ascii="Arial" w:eastAsia="Times New Roman" w:hAnsi="Arial" w:cs="Times New Roman"/>
          <w:sz w:val="20"/>
        </w:rPr>
        <w:t>The limiting mass values contained in the mass documentation are those stipulated in the AFM.</w:t>
      </w:r>
    </w:p>
    <w:p w14:paraId="08ABEE57" w14:textId="77777777" w:rsidR="00A12436" w:rsidRDefault="00A12436" w:rsidP="009601C2">
      <w:pPr>
        <w:tabs>
          <w:tab w:val="left" w:pos="1758"/>
        </w:tabs>
        <w:spacing w:line="276" w:lineRule="auto"/>
        <w:rPr>
          <w:rFonts w:ascii="Arial" w:eastAsia="Times New Roman" w:hAnsi="Arial" w:cs="Times New Roman"/>
        </w:rPr>
      </w:pPr>
    </w:p>
    <w:p w14:paraId="46E33328" w14:textId="77777777" w:rsidR="000074E9" w:rsidRDefault="000074E9" w:rsidP="009601C2">
      <w:pPr>
        <w:tabs>
          <w:tab w:val="left" w:pos="1758"/>
        </w:tabs>
        <w:spacing w:line="276" w:lineRule="auto"/>
        <w:rPr>
          <w:rFonts w:ascii="Arial" w:eastAsia="Times New Roman" w:hAnsi="Arial" w:cs="Times New Roman"/>
        </w:rPr>
      </w:pPr>
    </w:p>
    <w:p w14:paraId="152E5E2D" w14:textId="77777777" w:rsidR="000074E9" w:rsidRDefault="000074E9" w:rsidP="009601C2">
      <w:pPr>
        <w:tabs>
          <w:tab w:val="left" w:pos="1758"/>
        </w:tabs>
        <w:spacing w:line="276" w:lineRule="auto"/>
        <w:rPr>
          <w:rFonts w:ascii="Arial" w:eastAsia="Times New Roman" w:hAnsi="Arial" w:cs="Times New Roman"/>
        </w:rPr>
      </w:pPr>
    </w:p>
    <w:p w14:paraId="2EDF9341" w14:textId="77777777" w:rsidR="000074E9" w:rsidRDefault="000074E9" w:rsidP="009601C2">
      <w:pPr>
        <w:tabs>
          <w:tab w:val="left" w:pos="1758"/>
        </w:tabs>
        <w:spacing w:line="276" w:lineRule="auto"/>
        <w:rPr>
          <w:rFonts w:ascii="Arial" w:eastAsia="Times New Roman" w:hAnsi="Arial" w:cs="Times New Roman"/>
        </w:rPr>
      </w:pPr>
    </w:p>
    <w:p w14:paraId="5220F336" w14:textId="77777777" w:rsidR="000074E9" w:rsidRDefault="000074E9" w:rsidP="009601C2">
      <w:pPr>
        <w:tabs>
          <w:tab w:val="left" w:pos="1758"/>
        </w:tabs>
        <w:spacing w:line="276" w:lineRule="auto"/>
        <w:rPr>
          <w:rFonts w:ascii="Arial" w:eastAsia="Times New Roman" w:hAnsi="Arial" w:cs="Times New Roman"/>
        </w:rPr>
      </w:pPr>
    </w:p>
    <w:p w14:paraId="551F4D36" w14:textId="77777777" w:rsidR="000074E9" w:rsidRDefault="000074E9" w:rsidP="009601C2">
      <w:pPr>
        <w:tabs>
          <w:tab w:val="left" w:pos="1758"/>
        </w:tabs>
        <w:spacing w:line="276" w:lineRule="auto"/>
        <w:rPr>
          <w:rFonts w:ascii="Arial" w:eastAsia="Times New Roman" w:hAnsi="Arial" w:cs="Times New Roman"/>
        </w:rPr>
      </w:pPr>
    </w:p>
    <w:p w14:paraId="2CE1EE5B" w14:textId="77777777" w:rsidR="000074E9" w:rsidRDefault="000074E9" w:rsidP="009601C2">
      <w:pPr>
        <w:tabs>
          <w:tab w:val="left" w:pos="1758"/>
        </w:tabs>
        <w:spacing w:line="276" w:lineRule="auto"/>
        <w:rPr>
          <w:rFonts w:ascii="Arial" w:eastAsia="Times New Roman" w:hAnsi="Arial" w:cs="Times New Roman"/>
        </w:rPr>
      </w:pPr>
    </w:p>
    <w:p w14:paraId="7281D573" w14:textId="77777777" w:rsidR="000074E9" w:rsidRDefault="000074E9" w:rsidP="009601C2">
      <w:pPr>
        <w:tabs>
          <w:tab w:val="left" w:pos="1758"/>
        </w:tabs>
        <w:spacing w:line="276" w:lineRule="auto"/>
        <w:rPr>
          <w:rFonts w:ascii="Arial" w:eastAsia="Times New Roman" w:hAnsi="Arial" w:cs="Times New Roman"/>
        </w:rPr>
      </w:pPr>
    </w:p>
    <w:p w14:paraId="79E6860C" w14:textId="77777777" w:rsidR="000074E9" w:rsidRDefault="000074E9" w:rsidP="009601C2">
      <w:pPr>
        <w:tabs>
          <w:tab w:val="left" w:pos="1758"/>
        </w:tabs>
        <w:spacing w:line="276" w:lineRule="auto"/>
        <w:rPr>
          <w:rFonts w:ascii="Arial" w:eastAsia="Times New Roman" w:hAnsi="Arial" w:cs="Times New Roman"/>
        </w:rPr>
      </w:pPr>
    </w:p>
    <w:p w14:paraId="1BB18282" w14:textId="77777777" w:rsidR="000074E9" w:rsidRDefault="000074E9" w:rsidP="009601C2">
      <w:pPr>
        <w:tabs>
          <w:tab w:val="left" w:pos="1758"/>
        </w:tabs>
        <w:spacing w:line="276" w:lineRule="auto"/>
        <w:rPr>
          <w:rFonts w:ascii="Arial" w:eastAsia="Times New Roman" w:hAnsi="Arial" w:cs="Times New Roman"/>
        </w:rPr>
      </w:pPr>
    </w:p>
    <w:p w14:paraId="03E86A5B" w14:textId="77777777" w:rsidR="000074E9" w:rsidRDefault="000074E9" w:rsidP="009601C2">
      <w:pPr>
        <w:tabs>
          <w:tab w:val="left" w:pos="1758"/>
        </w:tabs>
        <w:spacing w:line="276" w:lineRule="auto"/>
        <w:rPr>
          <w:rFonts w:ascii="Arial" w:eastAsia="Times New Roman" w:hAnsi="Arial" w:cs="Times New Roman"/>
        </w:rPr>
      </w:pPr>
    </w:p>
    <w:p w14:paraId="0644D039" w14:textId="77777777" w:rsidR="000074E9" w:rsidRDefault="000074E9" w:rsidP="009601C2">
      <w:pPr>
        <w:tabs>
          <w:tab w:val="left" w:pos="1758"/>
        </w:tabs>
        <w:spacing w:line="276" w:lineRule="auto"/>
        <w:rPr>
          <w:rFonts w:ascii="Arial" w:eastAsia="Times New Roman" w:hAnsi="Arial" w:cs="Times New Roman"/>
        </w:rPr>
      </w:pPr>
    </w:p>
    <w:p w14:paraId="18F4BFCD" w14:textId="77777777" w:rsidR="000074E9" w:rsidRDefault="000074E9" w:rsidP="009601C2">
      <w:pPr>
        <w:tabs>
          <w:tab w:val="left" w:pos="1758"/>
        </w:tabs>
        <w:spacing w:line="276" w:lineRule="auto"/>
        <w:rPr>
          <w:rFonts w:ascii="Arial" w:eastAsia="Times New Roman" w:hAnsi="Arial" w:cs="Times New Roman"/>
        </w:rPr>
      </w:pPr>
    </w:p>
    <w:p w14:paraId="006ECB95" w14:textId="77777777" w:rsidR="000074E9" w:rsidRDefault="000074E9" w:rsidP="009601C2">
      <w:pPr>
        <w:tabs>
          <w:tab w:val="left" w:pos="1758"/>
        </w:tabs>
        <w:spacing w:line="276" w:lineRule="auto"/>
        <w:rPr>
          <w:rFonts w:ascii="Arial" w:eastAsia="Times New Roman" w:hAnsi="Arial" w:cs="Times New Roman"/>
        </w:rPr>
      </w:pPr>
    </w:p>
    <w:p w14:paraId="3584B7C5" w14:textId="77777777" w:rsidR="000074E9" w:rsidRDefault="000074E9" w:rsidP="009601C2">
      <w:pPr>
        <w:tabs>
          <w:tab w:val="left" w:pos="1758"/>
        </w:tabs>
        <w:spacing w:line="276" w:lineRule="auto"/>
        <w:rPr>
          <w:rFonts w:ascii="Arial" w:eastAsia="Times New Roman" w:hAnsi="Arial" w:cs="Times New Roman"/>
        </w:rPr>
      </w:pPr>
    </w:p>
    <w:p w14:paraId="3F8AD397" w14:textId="77777777" w:rsidR="000074E9" w:rsidRDefault="000074E9" w:rsidP="009601C2">
      <w:pPr>
        <w:tabs>
          <w:tab w:val="left" w:pos="1758"/>
        </w:tabs>
        <w:spacing w:line="276" w:lineRule="auto"/>
        <w:rPr>
          <w:rFonts w:ascii="Arial" w:eastAsia="Times New Roman" w:hAnsi="Arial" w:cs="Times New Roman"/>
        </w:rPr>
      </w:pPr>
    </w:p>
    <w:p w14:paraId="4BE410AF" w14:textId="1FF2028D" w:rsidR="000074E9" w:rsidRDefault="000074E9" w:rsidP="009601C2">
      <w:pPr>
        <w:tabs>
          <w:tab w:val="left" w:pos="1758"/>
        </w:tabs>
        <w:spacing w:line="276" w:lineRule="auto"/>
        <w:rPr>
          <w:rFonts w:ascii="Arial" w:eastAsia="Times New Roman" w:hAnsi="Arial" w:cs="Times New Roman"/>
        </w:rPr>
      </w:pPr>
    </w:p>
    <w:p w14:paraId="2258AB06" w14:textId="3EA5C9D0" w:rsidR="008F3217" w:rsidRDefault="008F3217" w:rsidP="009601C2">
      <w:pPr>
        <w:tabs>
          <w:tab w:val="left" w:pos="1758"/>
        </w:tabs>
        <w:spacing w:line="276" w:lineRule="auto"/>
        <w:rPr>
          <w:rFonts w:ascii="Arial" w:eastAsia="Times New Roman" w:hAnsi="Arial" w:cs="Times New Roman"/>
        </w:rPr>
      </w:pPr>
    </w:p>
    <w:p w14:paraId="793C1916" w14:textId="119B49BF" w:rsidR="008F3217" w:rsidRDefault="008F3217" w:rsidP="009601C2">
      <w:pPr>
        <w:tabs>
          <w:tab w:val="left" w:pos="1758"/>
        </w:tabs>
        <w:spacing w:line="276" w:lineRule="auto"/>
        <w:rPr>
          <w:rFonts w:ascii="Arial" w:eastAsia="Times New Roman" w:hAnsi="Arial" w:cs="Times New Roman"/>
        </w:rPr>
      </w:pPr>
    </w:p>
    <w:p w14:paraId="0D68D578" w14:textId="09D20F19" w:rsidR="008F3217" w:rsidRDefault="008F3217" w:rsidP="009601C2">
      <w:pPr>
        <w:tabs>
          <w:tab w:val="left" w:pos="1758"/>
        </w:tabs>
        <w:spacing w:line="276" w:lineRule="auto"/>
        <w:rPr>
          <w:rFonts w:ascii="Arial" w:eastAsia="Times New Roman" w:hAnsi="Arial" w:cs="Times New Roman"/>
        </w:rPr>
      </w:pPr>
    </w:p>
    <w:p w14:paraId="5A99F5E4" w14:textId="5F7B146D" w:rsidR="008F3217" w:rsidRDefault="008F3217" w:rsidP="009601C2">
      <w:pPr>
        <w:tabs>
          <w:tab w:val="left" w:pos="1758"/>
        </w:tabs>
        <w:spacing w:line="276" w:lineRule="auto"/>
        <w:rPr>
          <w:rFonts w:ascii="Arial" w:eastAsia="Times New Roman" w:hAnsi="Arial" w:cs="Times New Roman"/>
        </w:rPr>
      </w:pPr>
    </w:p>
    <w:p w14:paraId="0FCB8952" w14:textId="77777777" w:rsidR="008F3217" w:rsidRDefault="008F3217" w:rsidP="009601C2">
      <w:pPr>
        <w:tabs>
          <w:tab w:val="left" w:pos="1758"/>
        </w:tabs>
        <w:spacing w:line="276" w:lineRule="auto"/>
        <w:rPr>
          <w:rFonts w:ascii="Arial" w:eastAsia="Times New Roman" w:hAnsi="Arial" w:cs="Times New Roman"/>
        </w:rPr>
      </w:pPr>
    </w:p>
    <w:p w14:paraId="0760F8B2" w14:textId="77777777" w:rsidR="000074E9" w:rsidRDefault="000074E9" w:rsidP="009601C2">
      <w:pPr>
        <w:tabs>
          <w:tab w:val="left" w:pos="1758"/>
        </w:tabs>
        <w:spacing w:line="276" w:lineRule="auto"/>
        <w:rPr>
          <w:rFonts w:ascii="Arial" w:eastAsia="Times New Roman" w:hAnsi="Arial" w:cs="Times New Roman"/>
        </w:rPr>
      </w:pPr>
    </w:p>
    <w:p w14:paraId="2E318674" w14:textId="77777777" w:rsidR="000074E9" w:rsidRDefault="000074E9" w:rsidP="009601C2">
      <w:pPr>
        <w:tabs>
          <w:tab w:val="left" w:pos="1758"/>
        </w:tabs>
        <w:spacing w:line="276" w:lineRule="auto"/>
        <w:rPr>
          <w:rFonts w:ascii="Arial" w:eastAsia="Times New Roman" w:hAnsi="Arial" w:cs="Times New Roman"/>
        </w:rPr>
      </w:pPr>
    </w:p>
    <w:p w14:paraId="3CFFD60D" w14:textId="77777777" w:rsidR="000074E9" w:rsidRDefault="000074E9" w:rsidP="009601C2">
      <w:pPr>
        <w:tabs>
          <w:tab w:val="left" w:pos="1758"/>
        </w:tabs>
        <w:spacing w:line="276" w:lineRule="auto"/>
        <w:rPr>
          <w:rFonts w:ascii="Arial" w:eastAsia="Times New Roman" w:hAnsi="Arial" w:cs="Times New Roman"/>
        </w:rPr>
      </w:pPr>
    </w:p>
    <w:p w14:paraId="3DC37642" w14:textId="77777777" w:rsidR="000074E9" w:rsidRDefault="000074E9" w:rsidP="009601C2">
      <w:pPr>
        <w:tabs>
          <w:tab w:val="left" w:pos="1758"/>
        </w:tabs>
        <w:spacing w:line="276" w:lineRule="auto"/>
        <w:rPr>
          <w:rFonts w:ascii="Arial" w:eastAsia="Times New Roman" w:hAnsi="Arial" w:cs="Times New Roman"/>
        </w:rPr>
      </w:pPr>
    </w:p>
    <w:p w14:paraId="0E9C8B09" w14:textId="77777777" w:rsidR="000074E9" w:rsidRDefault="000074E9" w:rsidP="009601C2">
      <w:pPr>
        <w:tabs>
          <w:tab w:val="left" w:pos="1758"/>
        </w:tabs>
        <w:spacing w:line="276" w:lineRule="auto"/>
        <w:rPr>
          <w:rFonts w:ascii="Arial" w:eastAsia="Times New Roman" w:hAnsi="Arial" w:cs="Times New Roman"/>
        </w:rPr>
      </w:pPr>
    </w:p>
    <w:p w14:paraId="268E8F92" w14:textId="77777777" w:rsidR="000074E9" w:rsidRDefault="000074E9" w:rsidP="009601C2">
      <w:pPr>
        <w:tabs>
          <w:tab w:val="left" w:pos="1758"/>
        </w:tabs>
        <w:spacing w:line="276" w:lineRule="auto"/>
        <w:rPr>
          <w:rFonts w:ascii="Arial" w:eastAsia="Times New Roman" w:hAnsi="Arial" w:cs="Times New Roman"/>
        </w:rPr>
      </w:pPr>
    </w:p>
    <w:p w14:paraId="7612EFB9" w14:textId="77777777" w:rsidR="000074E9" w:rsidRDefault="000074E9" w:rsidP="009601C2">
      <w:pPr>
        <w:tabs>
          <w:tab w:val="left" w:pos="1758"/>
        </w:tabs>
        <w:spacing w:line="276" w:lineRule="auto"/>
        <w:rPr>
          <w:rFonts w:ascii="Arial" w:eastAsia="Times New Roman" w:hAnsi="Arial" w:cs="Times New Roman"/>
        </w:rPr>
      </w:pPr>
    </w:p>
    <w:p w14:paraId="4F837302" w14:textId="77777777" w:rsidR="000074E9" w:rsidRDefault="000074E9"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548" w:name="_Toc153137386"/>
      <w:r w:rsidRPr="000074E9">
        <w:rPr>
          <w:rFonts w:ascii="Arial" w:eastAsia="Times New Roman" w:hAnsi="Arial" w:cs="Times New Roman"/>
          <w:b/>
          <w:iCs/>
          <w:color w:val="FFFFFF"/>
          <w:sz w:val="24"/>
        </w:rPr>
        <w:lastRenderedPageBreak/>
        <w:t>Appendix</w:t>
      </w:r>
      <w:bookmarkEnd w:id="548"/>
    </w:p>
    <w:p w14:paraId="00DFF5A9" w14:textId="77777777" w:rsidR="000074E9" w:rsidRPr="000074E9" w:rsidRDefault="000074E9" w:rsidP="009601C2">
      <w:pPr>
        <w:spacing w:line="276" w:lineRule="auto"/>
        <w:rPr>
          <w:rFonts w:ascii="Arial" w:eastAsia="Times New Roman" w:hAnsi="Arial" w:cs="Times New Roman"/>
          <w:sz w:val="24"/>
        </w:rPr>
      </w:pPr>
    </w:p>
    <w:tbl>
      <w:tblPr>
        <w:tblpPr w:leftFromText="180" w:rightFromText="180" w:vertAnchor="text" w:horzAnchor="margin" w:tblpY="32"/>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0"/>
        <w:gridCol w:w="1636"/>
        <w:gridCol w:w="1603"/>
        <w:gridCol w:w="1621"/>
        <w:gridCol w:w="2446"/>
      </w:tblGrid>
      <w:tr w:rsidR="000074E9" w:rsidRPr="00276D5E" w14:paraId="4FEEB11D" w14:textId="77777777" w:rsidTr="00B2309B">
        <w:trPr>
          <w:trHeight w:val="1004"/>
        </w:trPr>
        <w:tc>
          <w:tcPr>
            <w:tcW w:w="8926" w:type="dxa"/>
            <w:gridSpan w:val="5"/>
            <w:shd w:val="clear" w:color="auto" w:fill="F2F2F2" w:themeFill="background1" w:themeFillShade="F2"/>
          </w:tcPr>
          <w:p w14:paraId="2AE01762" w14:textId="77777777" w:rsidR="000074E9" w:rsidRPr="000074E9" w:rsidRDefault="000074E9" w:rsidP="009601C2">
            <w:pPr>
              <w:pStyle w:val="TableParagraph"/>
              <w:spacing w:before="11" w:line="276" w:lineRule="auto"/>
              <w:ind w:left="0"/>
              <w:rPr>
                <w:rFonts w:ascii="Arial" w:hAnsi="Arial" w:cs="Arial"/>
                <w:i/>
                <w:sz w:val="18"/>
              </w:rPr>
            </w:pPr>
          </w:p>
          <w:p w14:paraId="69C0609F" w14:textId="77777777" w:rsidR="000074E9" w:rsidRDefault="000074E9" w:rsidP="00EB6733">
            <w:pPr>
              <w:pStyle w:val="TableParagraph"/>
              <w:spacing w:before="1" w:line="276" w:lineRule="auto"/>
              <w:ind w:left="2156" w:right="2155"/>
              <w:jc w:val="center"/>
              <w:rPr>
                <w:rFonts w:ascii="Arial" w:hAnsi="Arial" w:cs="Arial"/>
                <w:b/>
                <w:sz w:val="18"/>
              </w:rPr>
            </w:pPr>
            <w:r w:rsidRPr="000074E9">
              <w:rPr>
                <w:rFonts w:ascii="Arial" w:hAnsi="Arial" w:cs="Arial"/>
                <w:b/>
                <w:sz w:val="18"/>
              </w:rPr>
              <w:t>DECLARATION</w:t>
            </w:r>
          </w:p>
          <w:p w14:paraId="4ADB08D5" w14:textId="761F4493" w:rsidR="00357B15" w:rsidRPr="00EB6733" w:rsidRDefault="00357B15" w:rsidP="00EB6733">
            <w:pPr>
              <w:pStyle w:val="TableParagraph"/>
              <w:spacing w:before="1" w:line="276" w:lineRule="auto"/>
              <w:ind w:left="2156" w:right="2155"/>
              <w:jc w:val="center"/>
              <w:rPr>
                <w:rFonts w:ascii="Arial" w:hAnsi="Arial" w:cs="Arial"/>
                <w:b/>
                <w:sz w:val="18"/>
              </w:rPr>
            </w:pPr>
            <w:r w:rsidRPr="000074E9">
              <w:rPr>
                <w:rFonts w:ascii="Arial" w:hAnsi="Arial" w:cs="Arial"/>
                <w:sz w:val="18"/>
              </w:rPr>
              <w:t>in</w:t>
            </w:r>
            <w:r w:rsidRPr="000074E9">
              <w:rPr>
                <w:rFonts w:ascii="Arial" w:hAnsi="Arial" w:cs="Arial"/>
                <w:spacing w:val="-3"/>
                <w:sz w:val="18"/>
              </w:rPr>
              <w:t xml:space="preserve"> </w:t>
            </w:r>
            <w:r w:rsidRPr="000074E9">
              <w:rPr>
                <w:rFonts w:ascii="Arial" w:hAnsi="Arial" w:cs="Arial"/>
                <w:sz w:val="18"/>
              </w:rPr>
              <w:t>accordance</w:t>
            </w:r>
            <w:r w:rsidRPr="000074E9">
              <w:rPr>
                <w:rFonts w:ascii="Arial" w:hAnsi="Arial" w:cs="Arial"/>
                <w:spacing w:val="-5"/>
                <w:sz w:val="18"/>
              </w:rPr>
              <w:t xml:space="preserve"> </w:t>
            </w:r>
            <w:r w:rsidRPr="000074E9">
              <w:rPr>
                <w:rFonts w:ascii="Arial" w:hAnsi="Arial" w:cs="Arial"/>
                <w:sz w:val="18"/>
              </w:rPr>
              <w:t>with</w:t>
            </w:r>
            <w:r w:rsidRPr="000074E9">
              <w:rPr>
                <w:rFonts w:ascii="Arial" w:hAnsi="Arial" w:cs="Arial"/>
                <w:spacing w:val="-1"/>
                <w:sz w:val="18"/>
              </w:rPr>
              <w:t xml:space="preserve"> </w:t>
            </w:r>
            <w:r>
              <w:rPr>
                <w:rFonts w:ascii="Arial" w:hAnsi="Arial" w:cs="Arial"/>
                <w:sz w:val="18"/>
              </w:rPr>
              <w:t xml:space="preserve"> Balloon Operations Regulation</w:t>
            </w:r>
          </w:p>
        </w:tc>
      </w:tr>
      <w:tr w:rsidR="000074E9" w:rsidRPr="00276D5E" w14:paraId="458D009B" w14:textId="77777777" w:rsidTr="000074E9">
        <w:trPr>
          <w:trHeight w:val="1189"/>
        </w:trPr>
        <w:tc>
          <w:tcPr>
            <w:tcW w:w="8926" w:type="dxa"/>
            <w:gridSpan w:val="5"/>
          </w:tcPr>
          <w:p w14:paraId="130D884B" w14:textId="77777777" w:rsidR="000074E9" w:rsidRPr="000074E9" w:rsidRDefault="000074E9" w:rsidP="009601C2">
            <w:pPr>
              <w:pStyle w:val="TableParagraph"/>
              <w:spacing w:before="51" w:line="276" w:lineRule="auto"/>
              <w:ind w:left="107"/>
              <w:rPr>
                <w:rFonts w:ascii="Arial" w:hAnsi="Arial" w:cs="Arial"/>
                <w:b/>
                <w:sz w:val="18"/>
              </w:rPr>
            </w:pPr>
            <w:r w:rsidRPr="000074E9">
              <w:rPr>
                <w:rFonts w:ascii="Arial" w:hAnsi="Arial" w:cs="Arial"/>
                <w:b/>
                <w:sz w:val="18"/>
              </w:rPr>
              <w:t>Operator</w:t>
            </w:r>
          </w:p>
          <w:p w14:paraId="09326829" w14:textId="37A22D59" w:rsidR="000074E9" w:rsidRPr="000074E9" w:rsidRDefault="000074E9" w:rsidP="009601C2">
            <w:pPr>
              <w:pStyle w:val="TableParagraph"/>
              <w:spacing w:line="276" w:lineRule="auto"/>
              <w:ind w:left="107"/>
              <w:rPr>
                <w:rFonts w:ascii="Arial" w:hAnsi="Arial" w:cs="Arial"/>
                <w:sz w:val="18"/>
              </w:rPr>
            </w:pPr>
            <w:r w:rsidRPr="000074E9">
              <w:rPr>
                <w:rFonts w:ascii="Arial" w:hAnsi="Arial" w:cs="Arial"/>
                <w:sz w:val="18"/>
              </w:rPr>
              <w:t>Name:</w:t>
            </w:r>
            <w:r w:rsidR="00EB6733">
              <w:rPr>
                <w:rFonts w:ascii="Arial" w:hAnsi="Arial" w:cs="Arial"/>
                <w:sz w:val="18"/>
              </w:rPr>
              <w:t xml:space="preserve"> </w:t>
            </w:r>
          </w:p>
          <w:p w14:paraId="6DD2A83C" w14:textId="77777777" w:rsidR="000074E9" w:rsidRPr="000074E9" w:rsidRDefault="000074E9" w:rsidP="009601C2">
            <w:pPr>
              <w:pStyle w:val="TableParagraph"/>
              <w:spacing w:before="1" w:line="276" w:lineRule="auto"/>
              <w:ind w:left="107" w:right="3633"/>
              <w:rPr>
                <w:rFonts w:ascii="Arial" w:hAnsi="Arial" w:cs="Arial"/>
                <w:sz w:val="18"/>
              </w:rPr>
            </w:pPr>
            <w:r w:rsidRPr="000074E9">
              <w:rPr>
                <w:rFonts w:ascii="Arial" w:hAnsi="Arial" w:cs="Arial"/>
                <w:sz w:val="18"/>
              </w:rPr>
              <w:t>Place</w:t>
            </w:r>
            <w:r w:rsidRPr="000074E9">
              <w:rPr>
                <w:rFonts w:ascii="Arial" w:hAnsi="Arial" w:cs="Arial"/>
                <w:spacing w:val="-3"/>
                <w:sz w:val="18"/>
              </w:rPr>
              <w:t xml:space="preserve"> </w:t>
            </w:r>
            <w:r w:rsidRPr="000074E9">
              <w:rPr>
                <w:rFonts w:ascii="Arial" w:hAnsi="Arial" w:cs="Arial"/>
                <w:sz w:val="18"/>
              </w:rPr>
              <w:t>where</w:t>
            </w:r>
            <w:r w:rsidRPr="000074E9">
              <w:rPr>
                <w:rFonts w:ascii="Arial" w:hAnsi="Arial" w:cs="Arial"/>
                <w:spacing w:val="-3"/>
                <w:sz w:val="18"/>
              </w:rPr>
              <w:t xml:space="preserve"> </w:t>
            </w:r>
            <w:r w:rsidRPr="000074E9">
              <w:rPr>
                <w:rFonts w:ascii="Arial" w:hAnsi="Arial" w:cs="Arial"/>
                <w:sz w:val="18"/>
              </w:rPr>
              <w:t>the</w:t>
            </w:r>
            <w:r w:rsidRPr="000074E9">
              <w:rPr>
                <w:rFonts w:ascii="Arial" w:hAnsi="Arial" w:cs="Arial"/>
                <w:spacing w:val="-2"/>
                <w:sz w:val="18"/>
              </w:rPr>
              <w:t xml:space="preserve"> </w:t>
            </w:r>
            <w:r w:rsidRPr="000074E9">
              <w:rPr>
                <w:rFonts w:ascii="Arial" w:hAnsi="Arial" w:cs="Arial"/>
                <w:sz w:val="18"/>
              </w:rPr>
              <w:t>operator</w:t>
            </w:r>
            <w:r w:rsidRPr="000074E9">
              <w:rPr>
                <w:rFonts w:ascii="Arial" w:hAnsi="Arial" w:cs="Arial"/>
                <w:spacing w:val="-2"/>
                <w:sz w:val="18"/>
              </w:rPr>
              <w:t xml:space="preserve"> </w:t>
            </w:r>
            <w:r w:rsidRPr="000074E9">
              <w:rPr>
                <w:rFonts w:ascii="Arial" w:hAnsi="Arial" w:cs="Arial"/>
                <w:sz w:val="18"/>
              </w:rPr>
              <w:t>has</w:t>
            </w:r>
            <w:r w:rsidRPr="000074E9">
              <w:rPr>
                <w:rFonts w:ascii="Arial" w:hAnsi="Arial" w:cs="Arial"/>
                <w:spacing w:val="1"/>
                <w:sz w:val="18"/>
              </w:rPr>
              <w:t xml:space="preserve"> </w:t>
            </w:r>
            <w:r w:rsidRPr="000074E9">
              <w:rPr>
                <w:rFonts w:ascii="Arial" w:hAnsi="Arial" w:cs="Arial"/>
                <w:sz w:val="18"/>
              </w:rPr>
              <w:t>its</w:t>
            </w:r>
            <w:r w:rsidRPr="000074E9">
              <w:rPr>
                <w:rFonts w:ascii="Arial" w:hAnsi="Arial" w:cs="Arial"/>
                <w:spacing w:val="-3"/>
                <w:sz w:val="18"/>
              </w:rPr>
              <w:t xml:space="preserve"> </w:t>
            </w:r>
            <w:r w:rsidRPr="000074E9">
              <w:rPr>
                <w:rFonts w:ascii="Arial" w:hAnsi="Arial" w:cs="Arial"/>
                <w:sz w:val="18"/>
              </w:rPr>
              <w:t>principal</w:t>
            </w:r>
            <w:r w:rsidRPr="000074E9">
              <w:rPr>
                <w:rFonts w:ascii="Arial" w:hAnsi="Arial" w:cs="Arial"/>
                <w:spacing w:val="-2"/>
                <w:sz w:val="18"/>
              </w:rPr>
              <w:t xml:space="preserve"> </w:t>
            </w:r>
            <w:r w:rsidRPr="000074E9">
              <w:rPr>
                <w:rFonts w:ascii="Arial" w:hAnsi="Arial" w:cs="Arial"/>
                <w:sz w:val="18"/>
              </w:rPr>
              <w:t>place</w:t>
            </w:r>
            <w:r w:rsidRPr="000074E9">
              <w:rPr>
                <w:rFonts w:ascii="Arial" w:hAnsi="Arial" w:cs="Arial"/>
                <w:spacing w:val="-2"/>
                <w:sz w:val="18"/>
              </w:rPr>
              <w:t xml:space="preserve"> </w:t>
            </w:r>
            <w:r w:rsidRPr="000074E9">
              <w:rPr>
                <w:rFonts w:ascii="Arial" w:hAnsi="Arial" w:cs="Arial"/>
                <w:sz w:val="18"/>
              </w:rPr>
              <w:t>of</w:t>
            </w:r>
            <w:r w:rsidRPr="000074E9">
              <w:rPr>
                <w:rFonts w:ascii="Arial" w:hAnsi="Arial" w:cs="Arial"/>
                <w:spacing w:val="-4"/>
                <w:sz w:val="18"/>
              </w:rPr>
              <w:t xml:space="preserve"> </w:t>
            </w:r>
            <w:r w:rsidRPr="000074E9">
              <w:rPr>
                <w:rFonts w:ascii="Arial" w:hAnsi="Arial" w:cs="Arial"/>
                <w:sz w:val="18"/>
              </w:rPr>
              <w:t>business:</w:t>
            </w:r>
            <w:r w:rsidRPr="000074E9">
              <w:rPr>
                <w:rFonts w:ascii="Arial" w:hAnsi="Arial" w:cs="Arial"/>
                <w:spacing w:val="-42"/>
                <w:sz w:val="18"/>
              </w:rPr>
              <w:t xml:space="preserve"> </w:t>
            </w:r>
            <w:r w:rsidRPr="000074E9">
              <w:rPr>
                <w:rFonts w:ascii="Arial" w:hAnsi="Arial" w:cs="Arial"/>
                <w:sz w:val="18"/>
              </w:rPr>
              <w:t>Name</w:t>
            </w:r>
            <w:r w:rsidRPr="000074E9">
              <w:rPr>
                <w:rFonts w:ascii="Arial" w:hAnsi="Arial" w:cs="Arial"/>
                <w:spacing w:val="-3"/>
                <w:sz w:val="18"/>
              </w:rPr>
              <w:t xml:space="preserve"> </w:t>
            </w:r>
            <w:r w:rsidRPr="000074E9">
              <w:rPr>
                <w:rFonts w:ascii="Arial" w:hAnsi="Arial" w:cs="Arial"/>
                <w:sz w:val="18"/>
              </w:rPr>
              <w:t>and</w:t>
            </w:r>
            <w:r w:rsidRPr="000074E9">
              <w:rPr>
                <w:rFonts w:ascii="Arial" w:hAnsi="Arial" w:cs="Arial"/>
                <w:spacing w:val="-1"/>
                <w:sz w:val="18"/>
              </w:rPr>
              <w:t xml:space="preserve"> </w:t>
            </w:r>
            <w:r w:rsidRPr="000074E9">
              <w:rPr>
                <w:rFonts w:ascii="Arial" w:hAnsi="Arial" w:cs="Arial"/>
                <w:sz w:val="18"/>
              </w:rPr>
              <w:t>contact details</w:t>
            </w:r>
            <w:r w:rsidRPr="000074E9">
              <w:rPr>
                <w:rFonts w:ascii="Arial" w:hAnsi="Arial" w:cs="Arial"/>
                <w:spacing w:val="-3"/>
                <w:sz w:val="18"/>
              </w:rPr>
              <w:t xml:space="preserve"> </w:t>
            </w:r>
            <w:r w:rsidRPr="000074E9">
              <w:rPr>
                <w:rFonts w:ascii="Arial" w:hAnsi="Arial" w:cs="Arial"/>
                <w:sz w:val="18"/>
              </w:rPr>
              <w:t>of</w:t>
            </w:r>
            <w:r w:rsidRPr="000074E9">
              <w:rPr>
                <w:rFonts w:ascii="Arial" w:hAnsi="Arial" w:cs="Arial"/>
                <w:spacing w:val="-3"/>
                <w:sz w:val="18"/>
              </w:rPr>
              <w:t xml:space="preserve"> </w:t>
            </w:r>
            <w:r w:rsidRPr="000074E9">
              <w:rPr>
                <w:rFonts w:ascii="Arial" w:hAnsi="Arial" w:cs="Arial"/>
                <w:sz w:val="18"/>
              </w:rPr>
              <w:t>the</w:t>
            </w:r>
            <w:r w:rsidRPr="000074E9">
              <w:rPr>
                <w:rFonts w:ascii="Arial" w:hAnsi="Arial" w:cs="Arial"/>
                <w:spacing w:val="-1"/>
                <w:sz w:val="18"/>
              </w:rPr>
              <w:t xml:space="preserve"> </w:t>
            </w:r>
            <w:r w:rsidRPr="000074E9">
              <w:rPr>
                <w:rFonts w:ascii="Arial" w:hAnsi="Arial" w:cs="Arial"/>
                <w:sz w:val="18"/>
              </w:rPr>
              <w:t>accountable</w:t>
            </w:r>
            <w:r w:rsidRPr="000074E9">
              <w:rPr>
                <w:rFonts w:ascii="Arial" w:hAnsi="Arial" w:cs="Arial"/>
                <w:spacing w:val="-3"/>
                <w:sz w:val="18"/>
              </w:rPr>
              <w:t xml:space="preserve"> </w:t>
            </w:r>
            <w:r w:rsidRPr="000074E9">
              <w:rPr>
                <w:rFonts w:ascii="Arial" w:hAnsi="Arial" w:cs="Arial"/>
                <w:sz w:val="18"/>
              </w:rPr>
              <w:t>manager:</w:t>
            </w:r>
          </w:p>
        </w:tc>
      </w:tr>
      <w:tr w:rsidR="000074E9" w:rsidRPr="00276D5E" w14:paraId="05315A9F" w14:textId="77777777" w:rsidTr="000074E9">
        <w:trPr>
          <w:trHeight w:val="342"/>
        </w:trPr>
        <w:tc>
          <w:tcPr>
            <w:tcW w:w="8926" w:type="dxa"/>
            <w:gridSpan w:val="5"/>
          </w:tcPr>
          <w:p w14:paraId="4D5D090F" w14:textId="77777777" w:rsidR="000074E9" w:rsidRPr="000074E9" w:rsidRDefault="000074E9" w:rsidP="009601C2">
            <w:pPr>
              <w:pStyle w:val="TableParagraph"/>
              <w:spacing w:before="32" w:line="276" w:lineRule="auto"/>
              <w:ind w:left="107"/>
              <w:rPr>
                <w:rFonts w:ascii="Arial" w:hAnsi="Arial" w:cs="Arial"/>
                <w:b/>
                <w:sz w:val="18"/>
              </w:rPr>
            </w:pPr>
            <w:r w:rsidRPr="000074E9">
              <w:rPr>
                <w:rFonts w:ascii="Arial" w:hAnsi="Arial" w:cs="Arial"/>
                <w:b/>
                <w:sz w:val="18"/>
              </w:rPr>
              <w:t>Balloon</w:t>
            </w:r>
            <w:r w:rsidRPr="000074E9">
              <w:rPr>
                <w:rFonts w:ascii="Arial" w:hAnsi="Arial" w:cs="Arial"/>
                <w:b/>
                <w:spacing w:val="-3"/>
                <w:sz w:val="18"/>
              </w:rPr>
              <w:t xml:space="preserve"> </w:t>
            </w:r>
            <w:r w:rsidRPr="000074E9">
              <w:rPr>
                <w:rFonts w:ascii="Arial" w:hAnsi="Arial" w:cs="Arial"/>
                <w:b/>
                <w:sz w:val="18"/>
              </w:rPr>
              <w:t>operation</w:t>
            </w:r>
          </w:p>
        </w:tc>
      </w:tr>
      <w:tr w:rsidR="000074E9" w:rsidRPr="00276D5E" w14:paraId="0BEFF256" w14:textId="77777777" w:rsidTr="000074E9">
        <w:trPr>
          <w:trHeight w:val="268"/>
        </w:trPr>
        <w:tc>
          <w:tcPr>
            <w:tcW w:w="8926" w:type="dxa"/>
            <w:gridSpan w:val="5"/>
          </w:tcPr>
          <w:p w14:paraId="516E34E4" w14:textId="77777777" w:rsidR="000074E9" w:rsidRPr="000074E9" w:rsidRDefault="000074E9" w:rsidP="009601C2">
            <w:pPr>
              <w:pStyle w:val="TableParagraph"/>
              <w:spacing w:line="276" w:lineRule="auto"/>
              <w:ind w:left="107"/>
              <w:rPr>
                <w:rFonts w:ascii="Arial" w:hAnsi="Arial" w:cs="Arial"/>
                <w:sz w:val="18"/>
              </w:rPr>
            </w:pPr>
            <w:r w:rsidRPr="000074E9">
              <w:rPr>
                <w:rFonts w:ascii="Arial" w:hAnsi="Arial" w:cs="Arial"/>
                <w:sz w:val="18"/>
              </w:rPr>
              <w:t>Starting</w:t>
            </w:r>
            <w:r w:rsidRPr="000074E9">
              <w:rPr>
                <w:rFonts w:ascii="Arial" w:hAnsi="Arial" w:cs="Arial"/>
                <w:spacing w:val="-5"/>
                <w:sz w:val="18"/>
              </w:rPr>
              <w:t xml:space="preserve"> </w:t>
            </w:r>
            <w:r w:rsidRPr="000074E9">
              <w:rPr>
                <w:rFonts w:ascii="Arial" w:hAnsi="Arial" w:cs="Arial"/>
                <w:sz w:val="18"/>
              </w:rPr>
              <w:t>date</w:t>
            </w:r>
            <w:r w:rsidRPr="000074E9">
              <w:rPr>
                <w:rFonts w:ascii="Arial" w:hAnsi="Arial" w:cs="Arial"/>
                <w:spacing w:val="-5"/>
                <w:sz w:val="18"/>
              </w:rPr>
              <w:t xml:space="preserve"> </w:t>
            </w:r>
            <w:r w:rsidRPr="000074E9">
              <w:rPr>
                <w:rFonts w:ascii="Arial" w:hAnsi="Arial" w:cs="Arial"/>
                <w:sz w:val="18"/>
              </w:rPr>
              <w:t>of</w:t>
            </w:r>
            <w:r w:rsidRPr="000074E9">
              <w:rPr>
                <w:rFonts w:ascii="Arial" w:hAnsi="Arial" w:cs="Arial"/>
                <w:spacing w:val="-5"/>
                <w:sz w:val="18"/>
              </w:rPr>
              <w:t xml:space="preserve"> </w:t>
            </w:r>
            <w:r w:rsidRPr="000074E9">
              <w:rPr>
                <w:rFonts w:ascii="Arial" w:hAnsi="Arial" w:cs="Arial"/>
                <w:sz w:val="18"/>
              </w:rPr>
              <w:t>commercial</w:t>
            </w:r>
            <w:r w:rsidRPr="000074E9">
              <w:rPr>
                <w:rFonts w:ascii="Arial" w:hAnsi="Arial" w:cs="Arial"/>
                <w:spacing w:val="-4"/>
                <w:sz w:val="18"/>
              </w:rPr>
              <w:t xml:space="preserve"> </w:t>
            </w:r>
            <w:r w:rsidRPr="000074E9">
              <w:rPr>
                <w:rFonts w:ascii="Arial" w:hAnsi="Arial" w:cs="Arial"/>
                <w:sz w:val="18"/>
              </w:rPr>
              <w:t>operation</w:t>
            </w:r>
            <w:r w:rsidRPr="000074E9">
              <w:rPr>
                <w:rFonts w:ascii="Arial" w:hAnsi="Arial" w:cs="Arial"/>
                <w:spacing w:val="-4"/>
                <w:sz w:val="18"/>
              </w:rPr>
              <w:t xml:space="preserve"> </w:t>
            </w:r>
            <w:r w:rsidRPr="000074E9">
              <w:rPr>
                <w:rFonts w:ascii="Arial" w:hAnsi="Arial" w:cs="Arial"/>
                <w:sz w:val="18"/>
              </w:rPr>
              <w:t>and,</w:t>
            </w:r>
            <w:r w:rsidRPr="000074E9">
              <w:rPr>
                <w:rFonts w:ascii="Arial" w:hAnsi="Arial" w:cs="Arial"/>
                <w:spacing w:val="-4"/>
                <w:sz w:val="18"/>
              </w:rPr>
              <w:t xml:space="preserve"> </w:t>
            </w:r>
            <w:r w:rsidRPr="000074E9">
              <w:rPr>
                <w:rFonts w:ascii="Arial" w:hAnsi="Arial" w:cs="Arial"/>
                <w:sz w:val="18"/>
              </w:rPr>
              <w:t>where</w:t>
            </w:r>
            <w:r w:rsidRPr="000074E9">
              <w:rPr>
                <w:rFonts w:ascii="Arial" w:hAnsi="Arial" w:cs="Arial"/>
                <w:spacing w:val="-5"/>
                <w:sz w:val="18"/>
              </w:rPr>
              <w:t xml:space="preserve"> </w:t>
            </w:r>
            <w:r w:rsidRPr="000074E9">
              <w:rPr>
                <w:rFonts w:ascii="Arial" w:hAnsi="Arial" w:cs="Arial"/>
                <w:sz w:val="18"/>
              </w:rPr>
              <w:t>relevant,</w:t>
            </w:r>
            <w:r w:rsidRPr="000074E9">
              <w:rPr>
                <w:rFonts w:ascii="Arial" w:hAnsi="Arial" w:cs="Arial"/>
                <w:spacing w:val="-4"/>
                <w:sz w:val="18"/>
              </w:rPr>
              <w:t xml:space="preserve"> </w:t>
            </w:r>
            <w:r w:rsidRPr="000074E9">
              <w:rPr>
                <w:rFonts w:ascii="Arial" w:hAnsi="Arial" w:cs="Arial"/>
                <w:sz w:val="18"/>
              </w:rPr>
              <w:t>date</w:t>
            </w:r>
            <w:r w:rsidRPr="000074E9">
              <w:rPr>
                <w:rFonts w:ascii="Arial" w:hAnsi="Arial" w:cs="Arial"/>
                <w:spacing w:val="-5"/>
                <w:sz w:val="18"/>
              </w:rPr>
              <w:t xml:space="preserve"> </w:t>
            </w:r>
            <w:r w:rsidRPr="000074E9">
              <w:rPr>
                <w:rFonts w:ascii="Arial" w:hAnsi="Arial" w:cs="Arial"/>
                <w:sz w:val="18"/>
              </w:rPr>
              <w:t>of</w:t>
            </w:r>
            <w:r w:rsidRPr="000074E9">
              <w:rPr>
                <w:rFonts w:ascii="Arial" w:hAnsi="Arial" w:cs="Arial"/>
                <w:spacing w:val="-5"/>
                <w:sz w:val="18"/>
              </w:rPr>
              <w:t xml:space="preserve"> </w:t>
            </w:r>
            <w:r w:rsidRPr="000074E9">
              <w:rPr>
                <w:rFonts w:ascii="Arial" w:hAnsi="Arial" w:cs="Arial"/>
                <w:sz w:val="18"/>
              </w:rPr>
              <w:t>change</w:t>
            </w:r>
            <w:r w:rsidRPr="000074E9">
              <w:rPr>
                <w:rFonts w:ascii="Arial" w:hAnsi="Arial" w:cs="Arial"/>
                <w:spacing w:val="-5"/>
                <w:sz w:val="18"/>
              </w:rPr>
              <w:t xml:space="preserve"> </w:t>
            </w:r>
            <w:r w:rsidRPr="000074E9">
              <w:rPr>
                <w:rFonts w:ascii="Arial" w:hAnsi="Arial" w:cs="Arial"/>
                <w:sz w:val="18"/>
              </w:rPr>
              <w:t>to</w:t>
            </w:r>
            <w:r w:rsidRPr="000074E9">
              <w:rPr>
                <w:rFonts w:ascii="Arial" w:hAnsi="Arial" w:cs="Arial"/>
                <w:spacing w:val="-2"/>
                <w:sz w:val="18"/>
              </w:rPr>
              <w:t xml:space="preserve"> </w:t>
            </w:r>
            <w:r w:rsidRPr="000074E9">
              <w:rPr>
                <w:rFonts w:ascii="Arial" w:hAnsi="Arial" w:cs="Arial"/>
                <w:sz w:val="18"/>
              </w:rPr>
              <w:t>existing</w:t>
            </w:r>
            <w:r w:rsidRPr="000074E9">
              <w:rPr>
                <w:rFonts w:ascii="Arial" w:hAnsi="Arial" w:cs="Arial"/>
                <w:spacing w:val="-3"/>
                <w:sz w:val="18"/>
              </w:rPr>
              <w:t xml:space="preserve"> </w:t>
            </w:r>
            <w:r w:rsidRPr="000074E9">
              <w:rPr>
                <w:rFonts w:ascii="Arial" w:hAnsi="Arial" w:cs="Arial"/>
                <w:sz w:val="18"/>
              </w:rPr>
              <w:t>commercial</w:t>
            </w:r>
            <w:r w:rsidRPr="000074E9">
              <w:rPr>
                <w:rFonts w:ascii="Arial" w:hAnsi="Arial" w:cs="Arial"/>
                <w:spacing w:val="-4"/>
                <w:sz w:val="18"/>
              </w:rPr>
              <w:t xml:space="preserve"> </w:t>
            </w:r>
            <w:r w:rsidRPr="000074E9">
              <w:rPr>
                <w:rFonts w:ascii="Arial" w:hAnsi="Arial" w:cs="Arial"/>
                <w:sz w:val="18"/>
              </w:rPr>
              <w:t>operation.</w:t>
            </w:r>
          </w:p>
        </w:tc>
      </w:tr>
      <w:tr w:rsidR="000074E9" w:rsidRPr="00276D5E" w14:paraId="5408D608" w14:textId="77777777" w:rsidTr="000074E9">
        <w:trPr>
          <w:trHeight w:val="268"/>
        </w:trPr>
        <w:tc>
          <w:tcPr>
            <w:tcW w:w="8926" w:type="dxa"/>
            <w:gridSpan w:val="5"/>
          </w:tcPr>
          <w:p w14:paraId="0F30891D" w14:textId="3C993749" w:rsidR="000074E9" w:rsidRPr="000074E9" w:rsidRDefault="000074E9" w:rsidP="009601C2">
            <w:pPr>
              <w:pStyle w:val="TableParagraph"/>
              <w:spacing w:line="276" w:lineRule="auto"/>
              <w:ind w:left="107"/>
              <w:rPr>
                <w:rFonts w:ascii="Arial" w:hAnsi="Arial" w:cs="Arial"/>
                <w:sz w:val="18"/>
              </w:rPr>
            </w:pPr>
            <w:r w:rsidRPr="000074E9">
              <w:rPr>
                <w:rFonts w:ascii="Arial" w:hAnsi="Arial" w:cs="Arial"/>
                <w:sz w:val="18"/>
              </w:rPr>
              <w:t>Information</w:t>
            </w:r>
            <w:r w:rsidRPr="000074E9">
              <w:rPr>
                <w:rFonts w:ascii="Arial" w:hAnsi="Arial" w:cs="Arial"/>
                <w:spacing w:val="-3"/>
                <w:sz w:val="18"/>
              </w:rPr>
              <w:t xml:space="preserve"> </w:t>
            </w:r>
            <w:r w:rsidRPr="000074E9">
              <w:rPr>
                <w:rFonts w:ascii="Arial" w:hAnsi="Arial" w:cs="Arial"/>
                <w:sz w:val="18"/>
              </w:rPr>
              <w:t>on</w:t>
            </w:r>
            <w:r w:rsidRPr="000074E9">
              <w:rPr>
                <w:rFonts w:ascii="Arial" w:hAnsi="Arial" w:cs="Arial"/>
                <w:spacing w:val="-3"/>
                <w:sz w:val="18"/>
              </w:rPr>
              <w:t xml:space="preserve"> </w:t>
            </w:r>
            <w:r w:rsidRPr="000074E9">
              <w:rPr>
                <w:rFonts w:ascii="Arial" w:hAnsi="Arial" w:cs="Arial"/>
                <w:sz w:val="18"/>
              </w:rPr>
              <w:t>balloon(s)</w:t>
            </w:r>
            <w:r w:rsidRPr="000074E9">
              <w:rPr>
                <w:rFonts w:ascii="Arial" w:hAnsi="Arial" w:cs="Arial"/>
                <w:spacing w:val="-4"/>
                <w:sz w:val="18"/>
              </w:rPr>
              <w:t xml:space="preserve"> </w:t>
            </w:r>
            <w:r w:rsidRPr="000074E9">
              <w:rPr>
                <w:rFonts w:ascii="Arial" w:hAnsi="Arial" w:cs="Arial"/>
                <w:sz w:val="18"/>
              </w:rPr>
              <w:t>used,</w:t>
            </w:r>
            <w:r w:rsidRPr="000074E9">
              <w:rPr>
                <w:rFonts w:ascii="Arial" w:hAnsi="Arial" w:cs="Arial"/>
                <w:spacing w:val="-3"/>
                <w:sz w:val="18"/>
              </w:rPr>
              <w:t xml:space="preserve"> </w:t>
            </w:r>
            <w:r w:rsidRPr="000074E9">
              <w:rPr>
                <w:rFonts w:ascii="Arial" w:hAnsi="Arial" w:cs="Arial"/>
                <w:sz w:val="18"/>
              </w:rPr>
              <w:t>commercial</w:t>
            </w:r>
            <w:r w:rsidRPr="000074E9">
              <w:rPr>
                <w:rFonts w:ascii="Arial" w:hAnsi="Arial" w:cs="Arial"/>
                <w:spacing w:val="-4"/>
                <w:sz w:val="18"/>
              </w:rPr>
              <w:t xml:space="preserve"> </w:t>
            </w:r>
            <w:r w:rsidRPr="000074E9">
              <w:rPr>
                <w:rFonts w:ascii="Arial" w:hAnsi="Arial" w:cs="Arial"/>
                <w:sz w:val="18"/>
              </w:rPr>
              <w:t>operation(s)</w:t>
            </w:r>
            <w:r w:rsidRPr="000074E9">
              <w:rPr>
                <w:rFonts w:ascii="Arial" w:hAnsi="Arial" w:cs="Arial"/>
                <w:spacing w:val="-4"/>
                <w:sz w:val="18"/>
              </w:rPr>
              <w:t xml:space="preserve"> </w:t>
            </w:r>
            <w:r w:rsidRPr="000074E9">
              <w:rPr>
                <w:rFonts w:ascii="Arial" w:hAnsi="Arial" w:cs="Arial"/>
                <w:sz w:val="18"/>
              </w:rPr>
              <w:t>and</w:t>
            </w:r>
            <w:r w:rsidRPr="000074E9">
              <w:rPr>
                <w:rFonts w:ascii="Arial" w:hAnsi="Arial" w:cs="Arial"/>
                <w:spacing w:val="-3"/>
                <w:sz w:val="18"/>
              </w:rPr>
              <w:t xml:space="preserve"> </w:t>
            </w:r>
            <w:r w:rsidRPr="000074E9">
              <w:rPr>
                <w:rFonts w:ascii="Arial" w:hAnsi="Arial" w:cs="Arial"/>
                <w:sz w:val="18"/>
              </w:rPr>
              <w:t>continuing</w:t>
            </w:r>
            <w:r w:rsidRPr="000074E9">
              <w:rPr>
                <w:rFonts w:ascii="Arial" w:hAnsi="Arial" w:cs="Arial"/>
                <w:spacing w:val="-4"/>
                <w:sz w:val="18"/>
              </w:rPr>
              <w:t xml:space="preserve"> </w:t>
            </w:r>
            <w:r w:rsidRPr="000074E9">
              <w:rPr>
                <w:rFonts w:ascii="Arial" w:hAnsi="Arial" w:cs="Arial"/>
                <w:sz w:val="18"/>
              </w:rPr>
              <w:t>airworthiness</w:t>
            </w:r>
            <w:r w:rsidRPr="000074E9">
              <w:rPr>
                <w:rFonts w:ascii="Arial" w:hAnsi="Arial" w:cs="Arial"/>
                <w:spacing w:val="-2"/>
                <w:sz w:val="18"/>
              </w:rPr>
              <w:t xml:space="preserve"> </w:t>
            </w:r>
            <w:r w:rsidRPr="000074E9">
              <w:rPr>
                <w:rFonts w:ascii="Arial" w:hAnsi="Arial" w:cs="Arial"/>
                <w:sz w:val="18"/>
              </w:rPr>
              <w:t>management:</w:t>
            </w:r>
          </w:p>
        </w:tc>
      </w:tr>
      <w:tr w:rsidR="000074E9" w:rsidRPr="00276D5E" w14:paraId="40B9FF32" w14:textId="77777777" w:rsidTr="00EB7AAC">
        <w:trPr>
          <w:trHeight w:val="536"/>
        </w:trPr>
        <w:tc>
          <w:tcPr>
            <w:tcW w:w="1620" w:type="dxa"/>
          </w:tcPr>
          <w:p w14:paraId="7207C918" w14:textId="77777777" w:rsidR="000074E9" w:rsidRPr="000074E9" w:rsidRDefault="000074E9" w:rsidP="009601C2">
            <w:pPr>
              <w:pStyle w:val="TableParagraph"/>
              <w:spacing w:before="122" w:line="276" w:lineRule="auto"/>
              <w:ind w:left="297"/>
              <w:rPr>
                <w:rFonts w:ascii="Arial" w:hAnsi="Arial" w:cs="Arial"/>
                <w:b/>
                <w:sz w:val="18"/>
              </w:rPr>
            </w:pPr>
            <w:r w:rsidRPr="000074E9">
              <w:rPr>
                <w:rFonts w:ascii="Arial" w:hAnsi="Arial" w:cs="Arial"/>
                <w:b/>
                <w:sz w:val="18"/>
              </w:rPr>
              <w:t>Balloon</w:t>
            </w:r>
            <w:r w:rsidRPr="000074E9">
              <w:rPr>
                <w:rFonts w:ascii="Arial" w:hAnsi="Arial" w:cs="Arial"/>
                <w:b/>
                <w:spacing w:val="-3"/>
                <w:sz w:val="18"/>
              </w:rPr>
              <w:t xml:space="preserve"> </w:t>
            </w:r>
            <w:r w:rsidRPr="000074E9">
              <w:rPr>
                <w:rFonts w:ascii="Arial" w:hAnsi="Arial" w:cs="Arial"/>
                <w:b/>
                <w:sz w:val="18"/>
              </w:rPr>
              <w:t>type</w:t>
            </w:r>
          </w:p>
        </w:tc>
        <w:tc>
          <w:tcPr>
            <w:tcW w:w="1636" w:type="dxa"/>
          </w:tcPr>
          <w:p w14:paraId="2FBA95E8" w14:textId="77777777" w:rsidR="000074E9" w:rsidRPr="000074E9" w:rsidRDefault="000074E9" w:rsidP="009601C2">
            <w:pPr>
              <w:pStyle w:val="TableParagraph"/>
              <w:spacing w:line="276" w:lineRule="auto"/>
              <w:ind w:left="315" w:right="309"/>
              <w:jc w:val="center"/>
              <w:rPr>
                <w:rFonts w:ascii="Arial" w:hAnsi="Arial" w:cs="Arial"/>
                <w:b/>
                <w:sz w:val="18"/>
              </w:rPr>
            </w:pPr>
            <w:r w:rsidRPr="000074E9">
              <w:rPr>
                <w:rFonts w:ascii="Arial" w:hAnsi="Arial" w:cs="Arial"/>
                <w:b/>
                <w:sz w:val="18"/>
              </w:rPr>
              <w:t>Balloon</w:t>
            </w:r>
          </w:p>
          <w:p w14:paraId="2415A63F" w14:textId="77777777" w:rsidR="000074E9" w:rsidRPr="000074E9" w:rsidRDefault="000074E9" w:rsidP="009601C2">
            <w:pPr>
              <w:pStyle w:val="TableParagraph"/>
              <w:spacing w:line="276" w:lineRule="auto"/>
              <w:ind w:left="317" w:right="309"/>
              <w:jc w:val="center"/>
              <w:rPr>
                <w:rFonts w:ascii="Arial" w:hAnsi="Arial" w:cs="Arial"/>
                <w:b/>
                <w:sz w:val="18"/>
              </w:rPr>
            </w:pPr>
            <w:r w:rsidRPr="000074E9">
              <w:rPr>
                <w:rFonts w:ascii="Arial" w:hAnsi="Arial" w:cs="Arial"/>
                <w:b/>
                <w:sz w:val="18"/>
              </w:rPr>
              <w:t>registration</w:t>
            </w:r>
          </w:p>
        </w:tc>
        <w:tc>
          <w:tcPr>
            <w:tcW w:w="1603" w:type="dxa"/>
          </w:tcPr>
          <w:p w14:paraId="6D9784DE" w14:textId="77777777" w:rsidR="000074E9" w:rsidRPr="000074E9" w:rsidRDefault="000074E9" w:rsidP="009601C2">
            <w:pPr>
              <w:pStyle w:val="TableParagraph"/>
              <w:spacing w:before="122" w:line="276" w:lineRule="auto"/>
              <w:ind w:left="390"/>
              <w:rPr>
                <w:rFonts w:ascii="Arial" w:hAnsi="Arial" w:cs="Arial"/>
                <w:b/>
                <w:sz w:val="18"/>
              </w:rPr>
            </w:pPr>
            <w:r w:rsidRPr="000074E9">
              <w:rPr>
                <w:rFonts w:ascii="Arial" w:hAnsi="Arial" w:cs="Arial"/>
                <w:b/>
                <w:sz w:val="18"/>
              </w:rPr>
              <w:t>Main</w:t>
            </w:r>
            <w:r w:rsidRPr="000074E9">
              <w:rPr>
                <w:rFonts w:ascii="Arial" w:hAnsi="Arial" w:cs="Arial"/>
                <w:b/>
                <w:spacing w:val="-1"/>
                <w:sz w:val="18"/>
              </w:rPr>
              <w:t xml:space="preserve"> </w:t>
            </w:r>
            <w:r w:rsidRPr="000074E9">
              <w:rPr>
                <w:rFonts w:ascii="Arial" w:hAnsi="Arial" w:cs="Arial"/>
                <w:b/>
                <w:sz w:val="18"/>
              </w:rPr>
              <w:t>base</w:t>
            </w:r>
          </w:p>
        </w:tc>
        <w:tc>
          <w:tcPr>
            <w:tcW w:w="1621" w:type="dxa"/>
          </w:tcPr>
          <w:p w14:paraId="68D12B83" w14:textId="77777777" w:rsidR="000074E9" w:rsidRPr="000074E9" w:rsidRDefault="000074E9" w:rsidP="009601C2">
            <w:pPr>
              <w:pStyle w:val="TableParagraph"/>
              <w:spacing w:line="276" w:lineRule="auto"/>
              <w:ind w:left="409"/>
              <w:rPr>
                <w:rFonts w:ascii="Arial" w:hAnsi="Arial" w:cs="Arial"/>
                <w:b/>
                <w:sz w:val="18"/>
              </w:rPr>
            </w:pPr>
            <w:r w:rsidRPr="000074E9">
              <w:rPr>
                <w:rFonts w:ascii="Arial" w:hAnsi="Arial" w:cs="Arial"/>
                <w:b/>
                <w:sz w:val="18"/>
              </w:rPr>
              <w:t>Type(s)</w:t>
            </w:r>
            <w:r w:rsidRPr="000074E9">
              <w:rPr>
                <w:rFonts w:ascii="Arial" w:hAnsi="Arial" w:cs="Arial"/>
                <w:b/>
                <w:spacing w:val="-7"/>
                <w:sz w:val="18"/>
              </w:rPr>
              <w:t xml:space="preserve"> </w:t>
            </w:r>
            <w:r w:rsidRPr="000074E9">
              <w:rPr>
                <w:rFonts w:ascii="Arial" w:hAnsi="Arial" w:cs="Arial"/>
                <w:b/>
                <w:sz w:val="18"/>
              </w:rPr>
              <w:t>of</w:t>
            </w:r>
          </w:p>
          <w:p w14:paraId="3B7F2BF6" w14:textId="5C52E17F" w:rsidR="000074E9" w:rsidRPr="000074E9" w:rsidRDefault="000074E9" w:rsidP="009601C2">
            <w:pPr>
              <w:pStyle w:val="TableParagraph"/>
              <w:spacing w:line="276" w:lineRule="auto"/>
              <w:ind w:left="378"/>
              <w:rPr>
                <w:rFonts w:ascii="Arial" w:hAnsi="Arial" w:cs="Arial"/>
                <w:sz w:val="18"/>
              </w:rPr>
            </w:pPr>
            <w:r w:rsidRPr="000074E9">
              <w:rPr>
                <w:rFonts w:ascii="Arial" w:hAnsi="Arial" w:cs="Arial"/>
                <w:b/>
                <w:sz w:val="18"/>
              </w:rPr>
              <w:t>operation</w:t>
            </w:r>
          </w:p>
        </w:tc>
        <w:tc>
          <w:tcPr>
            <w:tcW w:w="2446" w:type="dxa"/>
          </w:tcPr>
          <w:p w14:paraId="18C66160" w14:textId="77777777" w:rsidR="000074E9" w:rsidRPr="000074E9" w:rsidRDefault="000074E9" w:rsidP="009601C2">
            <w:pPr>
              <w:pStyle w:val="TableParagraph"/>
              <w:spacing w:line="276" w:lineRule="auto"/>
              <w:ind w:left="192"/>
              <w:rPr>
                <w:rFonts w:ascii="Arial" w:hAnsi="Arial" w:cs="Arial"/>
                <w:b/>
                <w:sz w:val="18"/>
              </w:rPr>
            </w:pPr>
            <w:r w:rsidRPr="000074E9">
              <w:rPr>
                <w:rFonts w:ascii="Arial" w:hAnsi="Arial" w:cs="Arial"/>
                <w:b/>
                <w:sz w:val="18"/>
              </w:rPr>
              <w:t>Continuing</w:t>
            </w:r>
            <w:r w:rsidRPr="000074E9">
              <w:rPr>
                <w:rFonts w:ascii="Arial" w:hAnsi="Arial" w:cs="Arial"/>
                <w:b/>
                <w:spacing w:val="-6"/>
                <w:sz w:val="18"/>
              </w:rPr>
              <w:t xml:space="preserve"> </w:t>
            </w:r>
            <w:r w:rsidRPr="000074E9">
              <w:rPr>
                <w:rFonts w:ascii="Arial" w:hAnsi="Arial" w:cs="Arial"/>
                <w:b/>
                <w:sz w:val="18"/>
              </w:rPr>
              <w:t>airworthiness</w:t>
            </w:r>
          </w:p>
          <w:p w14:paraId="0D924DA9" w14:textId="72A199E1" w:rsidR="000074E9" w:rsidRPr="000074E9" w:rsidRDefault="000074E9" w:rsidP="009601C2">
            <w:pPr>
              <w:pStyle w:val="TableParagraph"/>
              <w:spacing w:line="276" w:lineRule="auto"/>
              <w:ind w:left="111"/>
              <w:rPr>
                <w:rFonts w:ascii="Arial" w:hAnsi="Arial" w:cs="Arial"/>
                <w:sz w:val="18"/>
              </w:rPr>
            </w:pPr>
            <w:r w:rsidRPr="000074E9">
              <w:rPr>
                <w:rFonts w:ascii="Arial" w:hAnsi="Arial" w:cs="Arial"/>
                <w:b/>
                <w:sz w:val="18"/>
              </w:rPr>
              <w:t>management</w:t>
            </w:r>
            <w:r w:rsidRPr="000074E9">
              <w:rPr>
                <w:rFonts w:ascii="Arial" w:hAnsi="Arial" w:cs="Arial"/>
                <w:b/>
                <w:spacing w:val="-4"/>
                <w:sz w:val="18"/>
              </w:rPr>
              <w:t xml:space="preserve"> </w:t>
            </w:r>
            <w:r w:rsidRPr="000074E9">
              <w:rPr>
                <w:rFonts w:ascii="Arial" w:hAnsi="Arial" w:cs="Arial"/>
                <w:b/>
                <w:sz w:val="18"/>
              </w:rPr>
              <w:t>organisation</w:t>
            </w:r>
          </w:p>
        </w:tc>
      </w:tr>
      <w:tr w:rsidR="000074E9" w:rsidRPr="00276D5E" w14:paraId="6D0273A1" w14:textId="77777777" w:rsidTr="00EB7AAC">
        <w:trPr>
          <w:trHeight w:val="300"/>
        </w:trPr>
        <w:tc>
          <w:tcPr>
            <w:tcW w:w="1620" w:type="dxa"/>
          </w:tcPr>
          <w:p w14:paraId="3A8000D9" w14:textId="77777777" w:rsidR="000074E9" w:rsidRPr="000074E9" w:rsidRDefault="000074E9" w:rsidP="009601C2">
            <w:pPr>
              <w:pStyle w:val="TableParagraph"/>
              <w:spacing w:line="276" w:lineRule="auto"/>
              <w:ind w:left="0"/>
              <w:rPr>
                <w:rFonts w:ascii="Arial" w:hAnsi="Arial" w:cs="Arial"/>
                <w:sz w:val="18"/>
              </w:rPr>
            </w:pPr>
          </w:p>
        </w:tc>
        <w:tc>
          <w:tcPr>
            <w:tcW w:w="1636" w:type="dxa"/>
          </w:tcPr>
          <w:p w14:paraId="5BAD5CF2" w14:textId="77777777" w:rsidR="000074E9" w:rsidRPr="000074E9" w:rsidRDefault="000074E9" w:rsidP="009601C2">
            <w:pPr>
              <w:pStyle w:val="TableParagraph"/>
              <w:spacing w:line="276" w:lineRule="auto"/>
              <w:ind w:left="0"/>
              <w:rPr>
                <w:rFonts w:ascii="Arial" w:hAnsi="Arial" w:cs="Arial"/>
                <w:sz w:val="18"/>
              </w:rPr>
            </w:pPr>
          </w:p>
        </w:tc>
        <w:tc>
          <w:tcPr>
            <w:tcW w:w="1603" w:type="dxa"/>
          </w:tcPr>
          <w:p w14:paraId="24D3A122" w14:textId="77777777" w:rsidR="000074E9" w:rsidRPr="000074E9" w:rsidRDefault="000074E9" w:rsidP="009601C2">
            <w:pPr>
              <w:pStyle w:val="TableParagraph"/>
              <w:spacing w:line="276" w:lineRule="auto"/>
              <w:ind w:left="0"/>
              <w:rPr>
                <w:rFonts w:ascii="Arial" w:hAnsi="Arial" w:cs="Arial"/>
                <w:sz w:val="18"/>
              </w:rPr>
            </w:pPr>
          </w:p>
        </w:tc>
        <w:tc>
          <w:tcPr>
            <w:tcW w:w="1621" w:type="dxa"/>
          </w:tcPr>
          <w:p w14:paraId="65D95A6F" w14:textId="77777777" w:rsidR="000074E9" w:rsidRPr="000074E9" w:rsidRDefault="000074E9" w:rsidP="009601C2">
            <w:pPr>
              <w:pStyle w:val="TableParagraph"/>
              <w:spacing w:line="276" w:lineRule="auto"/>
              <w:ind w:left="0"/>
              <w:rPr>
                <w:rFonts w:ascii="Arial" w:hAnsi="Arial" w:cs="Arial"/>
                <w:sz w:val="18"/>
              </w:rPr>
            </w:pPr>
          </w:p>
        </w:tc>
        <w:tc>
          <w:tcPr>
            <w:tcW w:w="2446" w:type="dxa"/>
          </w:tcPr>
          <w:p w14:paraId="5E6F404B" w14:textId="77777777" w:rsidR="000074E9" w:rsidRPr="000074E9" w:rsidRDefault="000074E9" w:rsidP="009601C2">
            <w:pPr>
              <w:pStyle w:val="TableParagraph"/>
              <w:spacing w:line="276" w:lineRule="auto"/>
              <w:ind w:left="0"/>
              <w:rPr>
                <w:rFonts w:ascii="Arial" w:hAnsi="Arial" w:cs="Arial"/>
                <w:sz w:val="18"/>
              </w:rPr>
            </w:pPr>
          </w:p>
        </w:tc>
      </w:tr>
      <w:tr w:rsidR="000074E9" w:rsidRPr="00276D5E" w14:paraId="32C0529E" w14:textId="77777777" w:rsidTr="00EB7AAC">
        <w:trPr>
          <w:trHeight w:val="303"/>
        </w:trPr>
        <w:tc>
          <w:tcPr>
            <w:tcW w:w="1620" w:type="dxa"/>
          </w:tcPr>
          <w:p w14:paraId="121AE765" w14:textId="77777777" w:rsidR="000074E9" w:rsidRPr="000074E9" w:rsidRDefault="000074E9" w:rsidP="009601C2">
            <w:pPr>
              <w:pStyle w:val="TableParagraph"/>
              <w:spacing w:line="276" w:lineRule="auto"/>
              <w:ind w:left="0"/>
              <w:rPr>
                <w:rFonts w:ascii="Arial" w:hAnsi="Arial" w:cs="Arial"/>
                <w:sz w:val="18"/>
              </w:rPr>
            </w:pPr>
          </w:p>
        </w:tc>
        <w:tc>
          <w:tcPr>
            <w:tcW w:w="1636" w:type="dxa"/>
          </w:tcPr>
          <w:p w14:paraId="2D2BC391" w14:textId="77777777" w:rsidR="000074E9" w:rsidRPr="000074E9" w:rsidRDefault="000074E9" w:rsidP="009601C2">
            <w:pPr>
              <w:pStyle w:val="TableParagraph"/>
              <w:spacing w:line="276" w:lineRule="auto"/>
              <w:ind w:left="0"/>
              <w:rPr>
                <w:rFonts w:ascii="Arial" w:hAnsi="Arial" w:cs="Arial"/>
                <w:sz w:val="18"/>
              </w:rPr>
            </w:pPr>
          </w:p>
        </w:tc>
        <w:tc>
          <w:tcPr>
            <w:tcW w:w="1603" w:type="dxa"/>
          </w:tcPr>
          <w:p w14:paraId="02FA5C29" w14:textId="77777777" w:rsidR="000074E9" w:rsidRPr="000074E9" w:rsidRDefault="000074E9" w:rsidP="009601C2">
            <w:pPr>
              <w:pStyle w:val="TableParagraph"/>
              <w:spacing w:line="276" w:lineRule="auto"/>
              <w:ind w:left="0"/>
              <w:rPr>
                <w:rFonts w:ascii="Arial" w:hAnsi="Arial" w:cs="Arial"/>
                <w:sz w:val="18"/>
              </w:rPr>
            </w:pPr>
          </w:p>
        </w:tc>
        <w:tc>
          <w:tcPr>
            <w:tcW w:w="1621" w:type="dxa"/>
          </w:tcPr>
          <w:p w14:paraId="59AE3323" w14:textId="77777777" w:rsidR="000074E9" w:rsidRPr="000074E9" w:rsidRDefault="000074E9" w:rsidP="009601C2">
            <w:pPr>
              <w:pStyle w:val="TableParagraph"/>
              <w:spacing w:line="276" w:lineRule="auto"/>
              <w:ind w:left="0"/>
              <w:rPr>
                <w:rFonts w:ascii="Arial" w:hAnsi="Arial" w:cs="Arial"/>
                <w:sz w:val="18"/>
              </w:rPr>
            </w:pPr>
          </w:p>
        </w:tc>
        <w:tc>
          <w:tcPr>
            <w:tcW w:w="2446" w:type="dxa"/>
          </w:tcPr>
          <w:p w14:paraId="0AEC9FEF" w14:textId="77777777" w:rsidR="000074E9" w:rsidRPr="000074E9" w:rsidRDefault="000074E9" w:rsidP="009601C2">
            <w:pPr>
              <w:pStyle w:val="TableParagraph"/>
              <w:spacing w:line="276" w:lineRule="auto"/>
              <w:ind w:left="0"/>
              <w:rPr>
                <w:rFonts w:ascii="Arial" w:hAnsi="Arial" w:cs="Arial"/>
                <w:sz w:val="18"/>
              </w:rPr>
            </w:pPr>
          </w:p>
        </w:tc>
      </w:tr>
      <w:tr w:rsidR="000074E9" w:rsidRPr="00276D5E" w14:paraId="5AC6E616" w14:textId="77777777" w:rsidTr="00EB7AAC">
        <w:trPr>
          <w:trHeight w:val="300"/>
        </w:trPr>
        <w:tc>
          <w:tcPr>
            <w:tcW w:w="1620" w:type="dxa"/>
          </w:tcPr>
          <w:p w14:paraId="172E331E" w14:textId="77777777" w:rsidR="000074E9" w:rsidRPr="000074E9" w:rsidRDefault="000074E9" w:rsidP="009601C2">
            <w:pPr>
              <w:pStyle w:val="TableParagraph"/>
              <w:spacing w:line="276" w:lineRule="auto"/>
              <w:ind w:left="0"/>
              <w:rPr>
                <w:rFonts w:ascii="Arial" w:hAnsi="Arial" w:cs="Arial"/>
                <w:sz w:val="18"/>
              </w:rPr>
            </w:pPr>
          </w:p>
        </w:tc>
        <w:tc>
          <w:tcPr>
            <w:tcW w:w="1636" w:type="dxa"/>
          </w:tcPr>
          <w:p w14:paraId="626BD6D2" w14:textId="77777777" w:rsidR="000074E9" w:rsidRPr="000074E9" w:rsidRDefault="000074E9" w:rsidP="009601C2">
            <w:pPr>
              <w:pStyle w:val="TableParagraph"/>
              <w:spacing w:line="276" w:lineRule="auto"/>
              <w:ind w:left="0"/>
              <w:rPr>
                <w:rFonts w:ascii="Arial" w:hAnsi="Arial" w:cs="Arial"/>
                <w:sz w:val="18"/>
              </w:rPr>
            </w:pPr>
          </w:p>
        </w:tc>
        <w:tc>
          <w:tcPr>
            <w:tcW w:w="1603" w:type="dxa"/>
          </w:tcPr>
          <w:p w14:paraId="5E1D16B8" w14:textId="77777777" w:rsidR="000074E9" w:rsidRPr="000074E9" w:rsidRDefault="000074E9" w:rsidP="009601C2">
            <w:pPr>
              <w:pStyle w:val="TableParagraph"/>
              <w:spacing w:line="276" w:lineRule="auto"/>
              <w:ind w:left="0"/>
              <w:rPr>
                <w:rFonts w:ascii="Arial" w:hAnsi="Arial" w:cs="Arial"/>
                <w:sz w:val="18"/>
              </w:rPr>
            </w:pPr>
          </w:p>
        </w:tc>
        <w:tc>
          <w:tcPr>
            <w:tcW w:w="1621" w:type="dxa"/>
          </w:tcPr>
          <w:p w14:paraId="1CFD8848" w14:textId="77777777" w:rsidR="000074E9" w:rsidRPr="000074E9" w:rsidRDefault="000074E9" w:rsidP="009601C2">
            <w:pPr>
              <w:pStyle w:val="TableParagraph"/>
              <w:spacing w:line="276" w:lineRule="auto"/>
              <w:ind w:left="0"/>
              <w:rPr>
                <w:rFonts w:ascii="Arial" w:hAnsi="Arial" w:cs="Arial"/>
                <w:sz w:val="18"/>
              </w:rPr>
            </w:pPr>
          </w:p>
        </w:tc>
        <w:tc>
          <w:tcPr>
            <w:tcW w:w="2446" w:type="dxa"/>
          </w:tcPr>
          <w:p w14:paraId="4561FA2A" w14:textId="77777777" w:rsidR="000074E9" w:rsidRPr="000074E9" w:rsidRDefault="000074E9" w:rsidP="009601C2">
            <w:pPr>
              <w:pStyle w:val="TableParagraph"/>
              <w:spacing w:line="276" w:lineRule="auto"/>
              <w:ind w:left="0"/>
              <w:rPr>
                <w:rFonts w:ascii="Arial" w:hAnsi="Arial" w:cs="Arial"/>
                <w:sz w:val="18"/>
              </w:rPr>
            </w:pPr>
          </w:p>
        </w:tc>
      </w:tr>
      <w:tr w:rsidR="000074E9" w:rsidRPr="00276D5E" w14:paraId="5A9C16A0" w14:textId="77777777" w:rsidTr="00EB7AAC">
        <w:trPr>
          <w:trHeight w:val="300"/>
        </w:trPr>
        <w:tc>
          <w:tcPr>
            <w:tcW w:w="1620" w:type="dxa"/>
          </w:tcPr>
          <w:p w14:paraId="1B75C91D" w14:textId="77777777" w:rsidR="000074E9" w:rsidRPr="000074E9" w:rsidRDefault="000074E9" w:rsidP="009601C2">
            <w:pPr>
              <w:pStyle w:val="TableParagraph"/>
              <w:spacing w:line="276" w:lineRule="auto"/>
              <w:ind w:left="0"/>
              <w:rPr>
                <w:rFonts w:ascii="Arial" w:hAnsi="Arial" w:cs="Arial"/>
                <w:sz w:val="18"/>
              </w:rPr>
            </w:pPr>
          </w:p>
        </w:tc>
        <w:tc>
          <w:tcPr>
            <w:tcW w:w="1636" w:type="dxa"/>
          </w:tcPr>
          <w:p w14:paraId="10B11F53" w14:textId="77777777" w:rsidR="000074E9" w:rsidRPr="000074E9" w:rsidRDefault="000074E9" w:rsidP="009601C2">
            <w:pPr>
              <w:pStyle w:val="TableParagraph"/>
              <w:spacing w:line="276" w:lineRule="auto"/>
              <w:ind w:left="0"/>
              <w:rPr>
                <w:rFonts w:ascii="Arial" w:hAnsi="Arial" w:cs="Arial"/>
                <w:sz w:val="18"/>
              </w:rPr>
            </w:pPr>
          </w:p>
        </w:tc>
        <w:tc>
          <w:tcPr>
            <w:tcW w:w="1603" w:type="dxa"/>
          </w:tcPr>
          <w:p w14:paraId="760B790F" w14:textId="77777777" w:rsidR="000074E9" w:rsidRPr="000074E9" w:rsidRDefault="000074E9" w:rsidP="009601C2">
            <w:pPr>
              <w:pStyle w:val="TableParagraph"/>
              <w:spacing w:line="276" w:lineRule="auto"/>
              <w:ind w:left="0"/>
              <w:rPr>
                <w:rFonts w:ascii="Arial" w:hAnsi="Arial" w:cs="Arial"/>
                <w:sz w:val="18"/>
              </w:rPr>
            </w:pPr>
          </w:p>
        </w:tc>
        <w:tc>
          <w:tcPr>
            <w:tcW w:w="1621" w:type="dxa"/>
          </w:tcPr>
          <w:p w14:paraId="31302059" w14:textId="77777777" w:rsidR="000074E9" w:rsidRPr="000074E9" w:rsidRDefault="000074E9" w:rsidP="009601C2">
            <w:pPr>
              <w:pStyle w:val="TableParagraph"/>
              <w:spacing w:line="276" w:lineRule="auto"/>
              <w:ind w:left="0"/>
              <w:rPr>
                <w:rFonts w:ascii="Arial" w:hAnsi="Arial" w:cs="Arial"/>
                <w:sz w:val="18"/>
              </w:rPr>
            </w:pPr>
          </w:p>
        </w:tc>
        <w:tc>
          <w:tcPr>
            <w:tcW w:w="2446" w:type="dxa"/>
          </w:tcPr>
          <w:p w14:paraId="1E55BF64" w14:textId="77777777" w:rsidR="000074E9" w:rsidRPr="000074E9" w:rsidRDefault="000074E9" w:rsidP="009601C2">
            <w:pPr>
              <w:pStyle w:val="TableParagraph"/>
              <w:spacing w:line="276" w:lineRule="auto"/>
              <w:ind w:left="0"/>
              <w:rPr>
                <w:rFonts w:ascii="Arial" w:hAnsi="Arial" w:cs="Arial"/>
                <w:sz w:val="18"/>
              </w:rPr>
            </w:pPr>
          </w:p>
        </w:tc>
      </w:tr>
      <w:tr w:rsidR="000074E9" w:rsidRPr="00276D5E" w14:paraId="39FA7F0A" w14:textId="77777777" w:rsidTr="000074E9">
        <w:trPr>
          <w:trHeight w:val="342"/>
        </w:trPr>
        <w:tc>
          <w:tcPr>
            <w:tcW w:w="8926" w:type="dxa"/>
            <w:gridSpan w:val="5"/>
          </w:tcPr>
          <w:p w14:paraId="311CD3EA" w14:textId="77777777" w:rsidR="000074E9" w:rsidRPr="000074E9" w:rsidRDefault="000074E9" w:rsidP="009601C2">
            <w:pPr>
              <w:pStyle w:val="TableParagraph"/>
              <w:spacing w:before="35" w:line="276" w:lineRule="auto"/>
              <w:ind w:left="107"/>
              <w:rPr>
                <w:rFonts w:ascii="Arial" w:hAnsi="Arial" w:cs="Arial"/>
                <w:sz w:val="18"/>
              </w:rPr>
            </w:pPr>
            <w:r w:rsidRPr="000074E9">
              <w:rPr>
                <w:rFonts w:ascii="Arial" w:hAnsi="Arial" w:cs="Arial"/>
                <w:sz w:val="18"/>
              </w:rPr>
              <w:t>Where</w:t>
            </w:r>
            <w:r w:rsidRPr="000074E9">
              <w:rPr>
                <w:rFonts w:ascii="Arial" w:hAnsi="Arial" w:cs="Arial"/>
                <w:spacing w:val="-4"/>
                <w:sz w:val="18"/>
              </w:rPr>
              <w:t xml:space="preserve"> </w:t>
            </w:r>
            <w:r w:rsidRPr="000074E9">
              <w:rPr>
                <w:rFonts w:ascii="Arial" w:hAnsi="Arial" w:cs="Arial"/>
                <w:sz w:val="18"/>
              </w:rPr>
              <w:t>applicable,</w:t>
            </w:r>
            <w:r w:rsidRPr="000074E9">
              <w:rPr>
                <w:rFonts w:ascii="Arial" w:hAnsi="Arial" w:cs="Arial"/>
                <w:spacing w:val="-2"/>
                <w:sz w:val="18"/>
              </w:rPr>
              <w:t xml:space="preserve"> </w:t>
            </w:r>
            <w:r w:rsidRPr="000074E9">
              <w:rPr>
                <w:rFonts w:ascii="Arial" w:hAnsi="Arial" w:cs="Arial"/>
                <w:sz w:val="18"/>
              </w:rPr>
              <w:t>list</w:t>
            </w:r>
            <w:r w:rsidRPr="000074E9">
              <w:rPr>
                <w:rFonts w:ascii="Arial" w:hAnsi="Arial" w:cs="Arial"/>
                <w:spacing w:val="-2"/>
                <w:sz w:val="18"/>
              </w:rPr>
              <w:t xml:space="preserve"> </w:t>
            </w:r>
            <w:r w:rsidRPr="000074E9">
              <w:rPr>
                <w:rFonts w:ascii="Arial" w:hAnsi="Arial" w:cs="Arial"/>
                <w:sz w:val="18"/>
              </w:rPr>
              <w:t>of</w:t>
            </w:r>
            <w:r w:rsidRPr="000074E9">
              <w:rPr>
                <w:rFonts w:ascii="Arial" w:hAnsi="Arial" w:cs="Arial"/>
                <w:spacing w:val="-2"/>
                <w:sz w:val="18"/>
              </w:rPr>
              <w:t xml:space="preserve"> </w:t>
            </w:r>
            <w:r w:rsidRPr="000074E9">
              <w:rPr>
                <w:rFonts w:ascii="Arial" w:hAnsi="Arial" w:cs="Arial"/>
                <w:sz w:val="18"/>
              </w:rPr>
              <w:t>the</w:t>
            </w:r>
            <w:r w:rsidRPr="000074E9">
              <w:rPr>
                <w:rFonts w:ascii="Arial" w:hAnsi="Arial" w:cs="Arial"/>
                <w:spacing w:val="-3"/>
                <w:sz w:val="18"/>
              </w:rPr>
              <w:t xml:space="preserve"> </w:t>
            </w:r>
            <w:r w:rsidRPr="000074E9">
              <w:rPr>
                <w:rFonts w:ascii="Arial" w:hAnsi="Arial" w:cs="Arial"/>
                <w:sz w:val="18"/>
              </w:rPr>
              <w:t>AltMoCs</w:t>
            </w:r>
            <w:r w:rsidRPr="000074E9">
              <w:rPr>
                <w:rFonts w:ascii="Arial" w:hAnsi="Arial" w:cs="Arial"/>
                <w:spacing w:val="-1"/>
                <w:sz w:val="18"/>
              </w:rPr>
              <w:t xml:space="preserve"> </w:t>
            </w:r>
            <w:r w:rsidRPr="000074E9">
              <w:rPr>
                <w:rFonts w:ascii="Arial" w:hAnsi="Arial" w:cs="Arial"/>
                <w:sz w:val="18"/>
              </w:rPr>
              <w:t>with</w:t>
            </w:r>
            <w:r w:rsidRPr="000074E9">
              <w:rPr>
                <w:rFonts w:ascii="Arial" w:hAnsi="Arial" w:cs="Arial"/>
                <w:spacing w:val="-2"/>
                <w:sz w:val="18"/>
              </w:rPr>
              <w:t xml:space="preserve"> </w:t>
            </w:r>
            <w:r w:rsidRPr="000074E9">
              <w:rPr>
                <w:rFonts w:ascii="Arial" w:hAnsi="Arial" w:cs="Arial"/>
                <w:sz w:val="18"/>
              </w:rPr>
              <w:t>references</w:t>
            </w:r>
            <w:r w:rsidRPr="000074E9">
              <w:rPr>
                <w:rFonts w:ascii="Arial" w:hAnsi="Arial" w:cs="Arial"/>
                <w:spacing w:val="-4"/>
                <w:sz w:val="18"/>
              </w:rPr>
              <w:t xml:space="preserve"> </w:t>
            </w:r>
            <w:r w:rsidRPr="000074E9">
              <w:rPr>
                <w:rFonts w:ascii="Arial" w:hAnsi="Arial" w:cs="Arial"/>
                <w:sz w:val="18"/>
              </w:rPr>
              <w:t>to</w:t>
            </w:r>
            <w:r w:rsidRPr="000074E9">
              <w:rPr>
                <w:rFonts w:ascii="Arial" w:hAnsi="Arial" w:cs="Arial"/>
                <w:spacing w:val="-2"/>
                <w:sz w:val="18"/>
              </w:rPr>
              <w:t xml:space="preserve"> </w:t>
            </w:r>
            <w:r w:rsidRPr="000074E9">
              <w:rPr>
                <w:rFonts w:ascii="Arial" w:hAnsi="Arial" w:cs="Arial"/>
                <w:sz w:val="18"/>
              </w:rPr>
              <w:t>the</w:t>
            </w:r>
            <w:r w:rsidRPr="000074E9">
              <w:rPr>
                <w:rFonts w:ascii="Arial" w:hAnsi="Arial" w:cs="Arial"/>
                <w:spacing w:val="-1"/>
                <w:sz w:val="18"/>
              </w:rPr>
              <w:t xml:space="preserve"> </w:t>
            </w:r>
            <w:r w:rsidRPr="000074E9">
              <w:rPr>
                <w:rFonts w:ascii="Arial" w:hAnsi="Arial" w:cs="Arial"/>
                <w:sz w:val="18"/>
              </w:rPr>
              <w:t>associated</w:t>
            </w:r>
            <w:r w:rsidRPr="000074E9">
              <w:rPr>
                <w:rFonts w:ascii="Arial" w:hAnsi="Arial" w:cs="Arial"/>
                <w:spacing w:val="-2"/>
                <w:sz w:val="18"/>
              </w:rPr>
              <w:t xml:space="preserve"> </w:t>
            </w:r>
            <w:r w:rsidRPr="000074E9">
              <w:rPr>
                <w:rFonts w:ascii="Arial" w:hAnsi="Arial" w:cs="Arial"/>
                <w:sz w:val="18"/>
              </w:rPr>
              <w:t>AMC</w:t>
            </w:r>
            <w:r w:rsidRPr="000074E9">
              <w:rPr>
                <w:rFonts w:ascii="Arial" w:hAnsi="Arial" w:cs="Arial"/>
                <w:spacing w:val="-3"/>
                <w:sz w:val="18"/>
              </w:rPr>
              <w:t xml:space="preserve"> </w:t>
            </w:r>
            <w:r w:rsidRPr="000074E9">
              <w:rPr>
                <w:rFonts w:ascii="Arial" w:hAnsi="Arial" w:cs="Arial"/>
                <w:sz w:val="18"/>
              </w:rPr>
              <w:t>(annex</w:t>
            </w:r>
            <w:r w:rsidRPr="000074E9">
              <w:rPr>
                <w:rFonts w:ascii="Arial" w:hAnsi="Arial" w:cs="Arial"/>
                <w:spacing w:val="-2"/>
                <w:sz w:val="18"/>
              </w:rPr>
              <w:t xml:space="preserve"> </w:t>
            </w:r>
            <w:r w:rsidRPr="000074E9">
              <w:rPr>
                <w:rFonts w:ascii="Arial" w:hAnsi="Arial" w:cs="Arial"/>
                <w:sz w:val="18"/>
              </w:rPr>
              <w:t>to</w:t>
            </w:r>
            <w:r w:rsidRPr="000074E9">
              <w:rPr>
                <w:rFonts w:ascii="Arial" w:hAnsi="Arial" w:cs="Arial"/>
                <w:spacing w:val="-3"/>
                <w:sz w:val="18"/>
              </w:rPr>
              <w:t xml:space="preserve"> </w:t>
            </w:r>
            <w:r w:rsidRPr="000074E9">
              <w:rPr>
                <w:rFonts w:ascii="Arial" w:hAnsi="Arial" w:cs="Arial"/>
                <w:sz w:val="18"/>
              </w:rPr>
              <w:t>this</w:t>
            </w:r>
            <w:r w:rsidRPr="000074E9">
              <w:rPr>
                <w:rFonts w:ascii="Arial" w:hAnsi="Arial" w:cs="Arial"/>
                <w:spacing w:val="-4"/>
                <w:sz w:val="18"/>
              </w:rPr>
              <w:t xml:space="preserve"> </w:t>
            </w:r>
            <w:r w:rsidRPr="000074E9">
              <w:rPr>
                <w:rFonts w:ascii="Arial" w:hAnsi="Arial" w:cs="Arial"/>
                <w:sz w:val="18"/>
              </w:rPr>
              <w:t>declaration):</w:t>
            </w:r>
          </w:p>
        </w:tc>
      </w:tr>
      <w:tr w:rsidR="000074E9" w:rsidRPr="00276D5E" w14:paraId="481B72B2" w14:textId="77777777" w:rsidTr="000074E9">
        <w:trPr>
          <w:trHeight w:val="374"/>
        </w:trPr>
        <w:tc>
          <w:tcPr>
            <w:tcW w:w="8926" w:type="dxa"/>
            <w:gridSpan w:val="5"/>
          </w:tcPr>
          <w:p w14:paraId="59E883F7" w14:textId="77777777" w:rsidR="000074E9" w:rsidRPr="000074E9" w:rsidRDefault="000074E9" w:rsidP="009601C2">
            <w:pPr>
              <w:pStyle w:val="TableParagraph"/>
              <w:spacing w:before="47" w:line="276" w:lineRule="auto"/>
              <w:ind w:left="107"/>
              <w:rPr>
                <w:rFonts w:ascii="Arial" w:hAnsi="Arial" w:cs="Arial"/>
                <w:b/>
                <w:sz w:val="18"/>
              </w:rPr>
            </w:pPr>
            <w:r w:rsidRPr="000074E9">
              <w:rPr>
                <w:rFonts w:ascii="Arial" w:hAnsi="Arial" w:cs="Arial"/>
                <w:b/>
                <w:sz w:val="18"/>
              </w:rPr>
              <w:t>Statements</w:t>
            </w:r>
          </w:p>
        </w:tc>
      </w:tr>
      <w:tr w:rsidR="000074E9" w:rsidRPr="00276D5E" w14:paraId="70302FAA" w14:textId="77777777" w:rsidTr="000074E9">
        <w:trPr>
          <w:trHeight w:val="1075"/>
        </w:trPr>
        <w:tc>
          <w:tcPr>
            <w:tcW w:w="8926" w:type="dxa"/>
            <w:gridSpan w:val="5"/>
          </w:tcPr>
          <w:p w14:paraId="600BF9F1" w14:textId="3FF9C9D3" w:rsidR="000074E9" w:rsidRPr="000074E9" w:rsidRDefault="000074E9" w:rsidP="009601C2">
            <w:pPr>
              <w:pStyle w:val="TableParagraph"/>
              <w:spacing w:line="276" w:lineRule="auto"/>
              <w:ind w:left="300" w:right="48" w:hanging="193"/>
              <w:rPr>
                <w:rFonts w:ascii="Arial" w:hAnsi="Arial" w:cs="Arial"/>
                <w:sz w:val="18"/>
              </w:rPr>
            </w:pPr>
            <w:r w:rsidRPr="000074E9">
              <w:rPr>
                <w:rFonts w:ascii="Arial" w:hAnsi="Arial" w:cs="Arial"/>
                <w:w w:val="120"/>
                <w:sz w:val="18"/>
              </w:rPr>
              <w:t>□</w:t>
            </w:r>
            <w:r w:rsidRPr="000074E9">
              <w:rPr>
                <w:rFonts w:ascii="Arial" w:hAnsi="Arial" w:cs="Arial"/>
                <w:spacing w:val="9"/>
                <w:w w:val="120"/>
                <w:sz w:val="18"/>
              </w:rPr>
              <w:t xml:space="preserve"> </w:t>
            </w:r>
            <w:r w:rsidRPr="000074E9">
              <w:rPr>
                <w:rFonts w:ascii="Arial" w:hAnsi="Arial" w:cs="Arial"/>
                <w:sz w:val="18"/>
              </w:rPr>
              <w:t>The</w:t>
            </w:r>
            <w:r w:rsidRPr="000074E9">
              <w:rPr>
                <w:rFonts w:ascii="Arial" w:hAnsi="Arial" w:cs="Arial"/>
                <w:spacing w:val="9"/>
                <w:sz w:val="18"/>
              </w:rPr>
              <w:t xml:space="preserve"> </w:t>
            </w:r>
            <w:r w:rsidRPr="000074E9">
              <w:rPr>
                <w:rFonts w:ascii="Arial" w:hAnsi="Arial" w:cs="Arial"/>
                <w:sz w:val="18"/>
              </w:rPr>
              <w:t>operator</w:t>
            </w:r>
            <w:r w:rsidRPr="000074E9">
              <w:rPr>
                <w:rFonts w:ascii="Arial" w:hAnsi="Arial" w:cs="Arial"/>
                <w:spacing w:val="10"/>
                <w:sz w:val="18"/>
              </w:rPr>
              <w:t xml:space="preserve"> </w:t>
            </w:r>
            <w:r w:rsidRPr="000074E9">
              <w:rPr>
                <w:rFonts w:ascii="Arial" w:hAnsi="Arial" w:cs="Arial"/>
                <w:sz w:val="18"/>
              </w:rPr>
              <w:t>complies,</w:t>
            </w:r>
            <w:r w:rsidRPr="000074E9">
              <w:rPr>
                <w:rFonts w:ascii="Arial" w:hAnsi="Arial" w:cs="Arial"/>
                <w:spacing w:val="10"/>
                <w:sz w:val="18"/>
              </w:rPr>
              <w:t xml:space="preserve"> </w:t>
            </w:r>
            <w:r w:rsidRPr="000074E9">
              <w:rPr>
                <w:rFonts w:ascii="Arial" w:hAnsi="Arial" w:cs="Arial"/>
                <w:sz w:val="18"/>
              </w:rPr>
              <w:t>and</w:t>
            </w:r>
            <w:r w:rsidRPr="000074E9">
              <w:rPr>
                <w:rFonts w:ascii="Arial" w:hAnsi="Arial" w:cs="Arial"/>
                <w:spacing w:val="8"/>
                <w:sz w:val="18"/>
              </w:rPr>
              <w:t xml:space="preserve"> </w:t>
            </w:r>
            <w:r w:rsidRPr="000074E9">
              <w:rPr>
                <w:rFonts w:ascii="Arial" w:hAnsi="Arial" w:cs="Arial"/>
                <w:sz w:val="18"/>
              </w:rPr>
              <w:t>will</w:t>
            </w:r>
            <w:r w:rsidRPr="000074E9">
              <w:rPr>
                <w:rFonts w:ascii="Arial" w:hAnsi="Arial" w:cs="Arial"/>
                <w:spacing w:val="9"/>
                <w:sz w:val="18"/>
              </w:rPr>
              <w:t xml:space="preserve"> </w:t>
            </w:r>
            <w:r w:rsidRPr="000074E9">
              <w:rPr>
                <w:rFonts w:ascii="Arial" w:hAnsi="Arial" w:cs="Arial"/>
                <w:sz w:val="18"/>
              </w:rPr>
              <w:t>continue</w:t>
            </w:r>
            <w:r w:rsidRPr="000074E9">
              <w:rPr>
                <w:rFonts w:ascii="Arial" w:hAnsi="Arial" w:cs="Arial"/>
                <w:spacing w:val="9"/>
                <w:sz w:val="18"/>
              </w:rPr>
              <w:t xml:space="preserve"> </w:t>
            </w:r>
            <w:r w:rsidRPr="000074E9">
              <w:rPr>
                <w:rFonts w:ascii="Arial" w:hAnsi="Arial" w:cs="Arial"/>
                <w:sz w:val="18"/>
              </w:rPr>
              <w:t>to</w:t>
            </w:r>
            <w:r w:rsidRPr="000074E9">
              <w:rPr>
                <w:rFonts w:ascii="Arial" w:hAnsi="Arial" w:cs="Arial"/>
                <w:spacing w:val="11"/>
                <w:sz w:val="18"/>
              </w:rPr>
              <w:t xml:space="preserve"> </w:t>
            </w:r>
            <w:r w:rsidRPr="000074E9">
              <w:rPr>
                <w:rFonts w:ascii="Arial" w:hAnsi="Arial" w:cs="Arial"/>
                <w:sz w:val="18"/>
              </w:rPr>
              <w:t>comply,</w:t>
            </w:r>
            <w:r w:rsidRPr="000074E9">
              <w:rPr>
                <w:rFonts w:ascii="Arial" w:hAnsi="Arial" w:cs="Arial"/>
                <w:spacing w:val="10"/>
                <w:sz w:val="18"/>
              </w:rPr>
              <w:t xml:space="preserve"> </w:t>
            </w:r>
            <w:r w:rsidRPr="000074E9">
              <w:rPr>
                <w:rFonts w:ascii="Arial" w:hAnsi="Arial" w:cs="Arial"/>
                <w:sz w:val="18"/>
              </w:rPr>
              <w:t>with</w:t>
            </w:r>
            <w:r w:rsidRPr="000074E9">
              <w:rPr>
                <w:rFonts w:ascii="Arial" w:hAnsi="Arial" w:cs="Arial"/>
                <w:spacing w:val="8"/>
                <w:sz w:val="18"/>
              </w:rPr>
              <w:t xml:space="preserve"> </w:t>
            </w:r>
            <w:r w:rsidRPr="000074E9">
              <w:rPr>
                <w:rFonts w:ascii="Arial" w:hAnsi="Arial" w:cs="Arial"/>
                <w:sz w:val="18"/>
              </w:rPr>
              <w:t>the</w:t>
            </w:r>
            <w:r w:rsidRPr="000074E9">
              <w:rPr>
                <w:rFonts w:ascii="Arial" w:hAnsi="Arial" w:cs="Arial"/>
                <w:spacing w:val="9"/>
                <w:sz w:val="18"/>
              </w:rPr>
              <w:t xml:space="preserve"> </w:t>
            </w:r>
            <w:r w:rsidRPr="000074E9">
              <w:rPr>
                <w:rFonts w:ascii="Arial" w:hAnsi="Arial" w:cs="Arial"/>
                <w:sz w:val="18"/>
              </w:rPr>
              <w:t>essential</w:t>
            </w:r>
            <w:r w:rsidRPr="000074E9">
              <w:rPr>
                <w:rFonts w:ascii="Arial" w:hAnsi="Arial" w:cs="Arial"/>
                <w:spacing w:val="9"/>
                <w:sz w:val="18"/>
              </w:rPr>
              <w:t xml:space="preserve"> </w:t>
            </w:r>
            <w:r w:rsidRPr="000074E9">
              <w:rPr>
                <w:rFonts w:ascii="Arial" w:hAnsi="Arial" w:cs="Arial"/>
                <w:sz w:val="18"/>
              </w:rPr>
              <w:t>requirements</w:t>
            </w:r>
            <w:r w:rsidRPr="000074E9">
              <w:rPr>
                <w:rFonts w:ascii="Arial" w:hAnsi="Arial" w:cs="Arial"/>
                <w:spacing w:val="9"/>
                <w:sz w:val="18"/>
              </w:rPr>
              <w:t xml:space="preserve"> </w:t>
            </w:r>
            <w:r w:rsidRPr="000074E9">
              <w:rPr>
                <w:rFonts w:ascii="Arial" w:hAnsi="Arial" w:cs="Arial"/>
                <w:sz w:val="18"/>
              </w:rPr>
              <w:t>set</w:t>
            </w:r>
            <w:r w:rsidRPr="000074E9">
              <w:rPr>
                <w:rFonts w:ascii="Arial" w:hAnsi="Arial" w:cs="Arial"/>
                <w:spacing w:val="10"/>
                <w:sz w:val="18"/>
              </w:rPr>
              <w:t xml:space="preserve"> </w:t>
            </w:r>
            <w:r w:rsidRPr="000074E9">
              <w:rPr>
                <w:rFonts w:ascii="Arial" w:hAnsi="Arial" w:cs="Arial"/>
                <w:sz w:val="18"/>
              </w:rPr>
              <w:t>out</w:t>
            </w:r>
            <w:r w:rsidRPr="000074E9">
              <w:rPr>
                <w:rFonts w:ascii="Arial" w:hAnsi="Arial" w:cs="Arial"/>
                <w:spacing w:val="8"/>
                <w:sz w:val="18"/>
              </w:rPr>
              <w:t xml:space="preserve"> </w:t>
            </w:r>
            <w:r w:rsidRPr="000074E9">
              <w:rPr>
                <w:rFonts w:ascii="Arial" w:hAnsi="Arial" w:cs="Arial"/>
                <w:sz w:val="18"/>
              </w:rPr>
              <w:t>in</w:t>
            </w:r>
            <w:r w:rsidRPr="000074E9">
              <w:rPr>
                <w:rFonts w:ascii="Arial" w:hAnsi="Arial" w:cs="Arial"/>
                <w:spacing w:val="10"/>
                <w:sz w:val="18"/>
              </w:rPr>
              <w:t xml:space="preserve"> </w:t>
            </w:r>
            <w:hyperlink r:id="rId74" w:history="1">
              <w:r w:rsidR="005C2A3C" w:rsidRPr="005C2A3C">
                <w:rPr>
                  <w:rStyle w:val="Hyperlink"/>
                  <w:rFonts w:ascii="Arial" w:hAnsi="Arial" w:cs="Arial"/>
                  <w:sz w:val="18"/>
                  <w:szCs w:val="20"/>
                </w:rPr>
                <w:t>Law on Aviation of the Republic of Armenia</w:t>
              </w:r>
            </w:hyperlink>
            <w:r w:rsidR="005C2A3C">
              <w:rPr>
                <w:rFonts w:ascii="Arial" w:hAnsi="Arial" w:cs="Arial"/>
                <w:sz w:val="20"/>
                <w:szCs w:val="20"/>
              </w:rPr>
              <w:t xml:space="preserve"> </w:t>
            </w:r>
            <w:r w:rsidRPr="000074E9">
              <w:rPr>
                <w:rFonts w:ascii="Arial" w:hAnsi="Arial" w:cs="Arial"/>
                <w:sz w:val="18"/>
              </w:rPr>
              <w:t>and with</w:t>
            </w:r>
            <w:r w:rsidRPr="000074E9">
              <w:rPr>
                <w:rFonts w:ascii="Arial" w:hAnsi="Arial" w:cs="Arial"/>
                <w:spacing w:val="-1"/>
                <w:sz w:val="18"/>
              </w:rPr>
              <w:t xml:space="preserve"> </w:t>
            </w:r>
            <w:r w:rsidRPr="000074E9">
              <w:rPr>
                <w:rFonts w:ascii="Arial" w:hAnsi="Arial" w:cs="Arial"/>
                <w:sz w:val="18"/>
              </w:rPr>
              <w:t>the</w:t>
            </w:r>
            <w:r w:rsidRPr="000074E9">
              <w:rPr>
                <w:rFonts w:ascii="Arial" w:hAnsi="Arial" w:cs="Arial"/>
                <w:spacing w:val="-2"/>
                <w:sz w:val="18"/>
              </w:rPr>
              <w:t xml:space="preserve"> </w:t>
            </w:r>
            <w:r w:rsidRPr="000074E9">
              <w:rPr>
                <w:rFonts w:ascii="Arial" w:hAnsi="Arial" w:cs="Arial"/>
                <w:sz w:val="18"/>
              </w:rPr>
              <w:t>requirements</w:t>
            </w:r>
            <w:r w:rsidRPr="000074E9">
              <w:rPr>
                <w:rFonts w:ascii="Arial" w:hAnsi="Arial" w:cs="Arial"/>
                <w:spacing w:val="-2"/>
                <w:sz w:val="18"/>
              </w:rPr>
              <w:t xml:space="preserve"> </w:t>
            </w:r>
            <w:r w:rsidRPr="000074E9">
              <w:rPr>
                <w:rFonts w:ascii="Arial" w:hAnsi="Arial" w:cs="Arial"/>
                <w:sz w:val="18"/>
              </w:rPr>
              <w:t xml:space="preserve">of </w:t>
            </w:r>
            <w:r w:rsidR="00EB6733">
              <w:rPr>
                <w:rFonts w:ascii="Arial" w:hAnsi="Arial" w:cs="Arial"/>
                <w:sz w:val="18"/>
              </w:rPr>
              <w:t>Balloon Operations Regulation</w:t>
            </w:r>
            <w:r w:rsidRPr="00EB6733">
              <w:rPr>
                <w:rFonts w:ascii="Arial" w:hAnsi="Arial" w:cs="Arial"/>
                <w:sz w:val="18"/>
              </w:rPr>
              <w:t>.</w:t>
            </w:r>
          </w:p>
          <w:p w14:paraId="4680863D" w14:textId="77777777" w:rsidR="000074E9" w:rsidRPr="000074E9" w:rsidRDefault="000074E9" w:rsidP="009601C2">
            <w:pPr>
              <w:pStyle w:val="TableParagraph"/>
              <w:spacing w:line="276" w:lineRule="auto"/>
              <w:ind w:left="300" w:hanging="193"/>
              <w:rPr>
                <w:rFonts w:ascii="Arial" w:hAnsi="Arial" w:cs="Arial"/>
                <w:sz w:val="18"/>
              </w:rPr>
            </w:pPr>
            <w:r w:rsidRPr="000074E9">
              <w:rPr>
                <w:rFonts w:ascii="Arial" w:hAnsi="Arial" w:cs="Arial"/>
                <w:sz w:val="18"/>
              </w:rPr>
              <w:t>In</w:t>
            </w:r>
            <w:r w:rsidRPr="000074E9">
              <w:rPr>
                <w:rFonts w:ascii="Arial" w:hAnsi="Arial" w:cs="Arial"/>
                <w:spacing w:val="-6"/>
                <w:sz w:val="18"/>
              </w:rPr>
              <w:t xml:space="preserve"> </w:t>
            </w:r>
            <w:r w:rsidRPr="000074E9">
              <w:rPr>
                <w:rFonts w:ascii="Arial" w:hAnsi="Arial" w:cs="Arial"/>
                <w:sz w:val="18"/>
              </w:rPr>
              <w:t>particular,</w:t>
            </w:r>
            <w:r w:rsidRPr="000074E9">
              <w:rPr>
                <w:rFonts w:ascii="Arial" w:hAnsi="Arial" w:cs="Arial"/>
                <w:spacing w:val="-6"/>
                <w:sz w:val="18"/>
              </w:rPr>
              <w:t xml:space="preserve"> </w:t>
            </w:r>
            <w:r w:rsidRPr="000074E9">
              <w:rPr>
                <w:rFonts w:ascii="Arial" w:hAnsi="Arial" w:cs="Arial"/>
                <w:sz w:val="18"/>
              </w:rPr>
              <w:t>the</w:t>
            </w:r>
            <w:r w:rsidRPr="000074E9">
              <w:rPr>
                <w:rFonts w:ascii="Arial" w:hAnsi="Arial" w:cs="Arial"/>
                <w:spacing w:val="-8"/>
                <w:sz w:val="18"/>
              </w:rPr>
              <w:t xml:space="preserve"> </w:t>
            </w:r>
            <w:r w:rsidRPr="000074E9">
              <w:rPr>
                <w:rFonts w:ascii="Arial" w:hAnsi="Arial" w:cs="Arial"/>
                <w:sz w:val="18"/>
              </w:rPr>
              <w:t>operator</w:t>
            </w:r>
            <w:r w:rsidRPr="000074E9">
              <w:rPr>
                <w:rFonts w:ascii="Arial" w:hAnsi="Arial" w:cs="Arial"/>
                <w:spacing w:val="-6"/>
                <w:sz w:val="18"/>
              </w:rPr>
              <w:t xml:space="preserve"> </w:t>
            </w:r>
            <w:r w:rsidRPr="000074E9">
              <w:rPr>
                <w:rFonts w:ascii="Arial" w:hAnsi="Arial" w:cs="Arial"/>
                <w:sz w:val="18"/>
              </w:rPr>
              <w:t>conducts</w:t>
            </w:r>
            <w:r w:rsidRPr="000074E9">
              <w:rPr>
                <w:rFonts w:ascii="Arial" w:hAnsi="Arial" w:cs="Arial"/>
                <w:spacing w:val="-8"/>
                <w:sz w:val="18"/>
              </w:rPr>
              <w:t xml:space="preserve"> </w:t>
            </w:r>
            <w:r w:rsidRPr="000074E9">
              <w:rPr>
                <w:rFonts w:ascii="Arial" w:hAnsi="Arial" w:cs="Arial"/>
                <w:sz w:val="18"/>
              </w:rPr>
              <w:t>its</w:t>
            </w:r>
            <w:r w:rsidRPr="000074E9">
              <w:rPr>
                <w:rFonts w:ascii="Arial" w:hAnsi="Arial" w:cs="Arial"/>
                <w:spacing w:val="-8"/>
                <w:sz w:val="18"/>
              </w:rPr>
              <w:t xml:space="preserve"> </w:t>
            </w:r>
            <w:r w:rsidRPr="000074E9">
              <w:rPr>
                <w:rFonts w:ascii="Arial" w:hAnsi="Arial" w:cs="Arial"/>
                <w:sz w:val="18"/>
              </w:rPr>
              <w:t>commercial</w:t>
            </w:r>
            <w:r w:rsidRPr="000074E9">
              <w:rPr>
                <w:rFonts w:ascii="Arial" w:hAnsi="Arial" w:cs="Arial"/>
                <w:spacing w:val="-6"/>
                <w:sz w:val="18"/>
              </w:rPr>
              <w:t xml:space="preserve"> </w:t>
            </w:r>
            <w:r w:rsidRPr="000074E9">
              <w:rPr>
                <w:rFonts w:ascii="Arial" w:hAnsi="Arial" w:cs="Arial"/>
                <w:sz w:val="18"/>
              </w:rPr>
              <w:t>operations</w:t>
            </w:r>
            <w:r w:rsidRPr="000074E9">
              <w:rPr>
                <w:rFonts w:ascii="Arial" w:hAnsi="Arial" w:cs="Arial"/>
                <w:spacing w:val="-8"/>
                <w:sz w:val="18"/>
              </w:rPr>
              <w:t xml:space="preserve"> </w:t>
            </w:r>
            <w:r w:rsidRPr="000074E9">
              <w:rPr>
                <w:rFonts w:ascii="Arial" w:hAnsi="Arial" w:cs="Arial"/>
                <w:sz w:val="18"/>
              </w:rPr>
              <w:t>in</w:t>
            </w:r>
            <w:r w:rsidRPr="000074E9">
              <w:rPr>
                <w:rFonts w:ascii="Arial" w:hAnsi="Arial" w:cs="Arial"/>
                <w:spacing w:val="-2"/>
                <w:sz w:val="18"/>
              </w:rPr>
              <w:t xml:space="preserve"> </w:t>
            </w:r>
            <w:r w:rsidRPr="000074E9">
              <w:rPr>
                <w:rFonts w:ascii="Arial" w:hAnsi="Arial" w:cs="Arial"/>
                <w:sz w:val="18"/>
              </w:rPr>
              <w:t>accordance</w:t>
            </w:r>
            <w:r w:rsidRPr="000074E9">
              <w:rPr>
                <w:rFonts w:ascii="Arial" w:hAnsi="Arial" w:cs="Arial"/>
                <w:spacing w:val="-5"/>
                <w:sz w:val="18"/>
              </w:rPr>
              <w:t xml:space="preserve"> </w:t>
            </w:r>
            <w:r w:rsidRPr="000074E9">
              <w:rPr>
                <w:rFonts w:ascii="Arial" w:hAnsi="Arial" w:cs="Arial"/>
                <w:sz w:val="18"/>
              </w:rPr>
              <w:t>with</w:t>
            </w:r>
            <w:r w:rsidRPr="000074E9">
              <w:rPr>
                <w:rFonts w:ascii="Arial" w:hAnsi="Arial" w:cs="Arial"/>
                <w:spacing w:val="-6"/>
                <w:sz w:val="18"/>
              </w:rPr>
              <w:t xml:space="preserve"> </w:t>
            </w:r>
            <w:r w:rsidRPr="000074E9">
              <w:rPr>
                <w:rFonts w:ascii="Arial" w:hAnsi="Arial" w:cs="Arial"/>
                <w:sz w:val="18"/>
              </w:rPr>
              <w:t>the</w:t>
            </w:r>
            <w:r w:rsidRPr="000074E9">
              <w:rPr>
                <w:rFonts w:ascii="Arial" w:hAnsi="Arial" w:cs="Arial"/>
                <w:spacing w:val="-7"/>
                <w:sz w:val="18"/>
              </w:rPr>
              <w:t xml:space="preserve"> </w:t>
            </w:r>
            <w:r w:rsidRPr="000074E9">
              <w:rPr>
                <w:rFonts w:ascii="Arial" w:hAnsi="Arial" w:cs="Arial"/>
                <w:sz w:val="18"/>
              </w:rPr>
              <w:t>following</w:t>
            </w:r>
            <w:r w:rsidRPr="000074E9">
              <w:rPr>
                <w:rFonts w:ascii="Arial" w:hAnsi="Arial" w:cs="Arial"/>
                <w:spacing w:val="-7"/>
                <w:sz w:val="18"/>
              </w:rPr>
              <w:t xml:space="preserve"> </w:t>
            </w:r>
            <w:r w:rsidRPr="000074E9">
              <w:rPr>
                <w:rFonts w:ascii="Arial" w:hAnsi="Arial" w:cs="Arial"/>
                <w:sz w:val="18"/>
              </w:rPr>
              <w:t>requirements</w:t>
            </w:r>
          </w:p>
          <w:p w14:paraId="4BAABD62" w14:textId="7AB2CC5B" w:rsidR="000074E9" w:rsidRPr="000074E9" w:rsidRDefault="000074E9" w:rsidP="009601C2">
            <w:pPr>
              <w:pStyle w:val="TableParagraph"/>
              <w:spacing w:line="276" w:lineRule="auto"/>
              <w:ind w:left="300" w:hanging="193"/>
              <w:rPr>
                <w:rFonts w:ascii="Arial" w:hAnsi="Arial" w:cs="Arial"/>
                <w:sz w:val="18"/>
              </w:rPr>
            </w:pPr>
            <w:r w:rsidRPr="000074E9">
              <w:rPr>
                <w:rFonts w:ascii="Arial" w:hAnsi="Arial" w:cs="Arial"/>
                <w:sz w:val="18"/>
              </w:rPr>
              <w:t>of</w:t>
            </w:r>
            <w:r w:rsidRPr="000074E9">
              <w:rPr>
                <w:rFonts w:ascii="Arial" w:hAnsi="Arial" w:cs="Arial"/>
                <w:spacing w:val="-4"/>
                <w:sz w:val="18"/>
              </w:rPr>
              <w:t xml:space="preserve"> </w:t>
            </w:r>
            <w:r w:rsidRPr="000074E9">
              <w:rPr>
                <w:rFonts w:ascii="Arial" w:hAnsi="Arial" w:cs="Arial"/>
                <w:sz w:val="18"/>
              </w:rPr>
              <w:t>Subpart</w:t>
            </w:r>
            <w:r w:rsidRPr="000074E9">
              <w:rPr>
                <w:rFonts w:ascii="Arial" w:hAnsi="Arial" w:cs="Arial"/>
                <w:spacing w:val="-1"/>
                <w:sz w:val="18"/>
              </w:rPr>
              <w:t xml:space="preserve"> </w:t>
            </w:r>
            <w:r w:rsidRPr="000074E9">
              <w:rPr>
                <w:rFonts w:ascii="Arial" w:hAnsi="Arial" w:cs="Arial"/>
                <w:sz w:val="18"/>
              </w:rPr>
              <w:t>ADD</w:t>
            </w:r>
            <w:r w:rsidRPr="000074E9">
              <w:rPr>
                <w:rFonts w:ascii="Arial" w:hAnsi="Arial" w:cs="Arial"/>
                <w:spacing w:val="-3"/>
                <w:sz w:val="18"/>
              </w:rPr>
              <w:t xml:space="preserve"> </w:t>
            </w:r>
            <w:r w:rsidRPr="000074E9">
              <w:rPr>
                <w:rFonts w:ascii="Arial" w:hAnsi="Arial" w:cs="Arial"/>
                <w:sz w:val="18"/>
              </w:rPr>
              <w:t>of</w:t>
            </w:r>
            <w:r w:rsidRPr="000074E9">
              <w:rPr>
                <w:rFonts w:ascii="Arial" w:hAnsi="Arial" w:cs="Arial"/>
                <w:spacing w:val="-3"/>
                <w:sz w:val="18"/>
              </w:rPr>
              <w:t xml:space="preserve"> </w:t>
            </w:r>
            <w:r w:rsidRPr="000074E9">
              <w:rPr>
                <w:rFonts w:ascii="Arial" w:hAnsi="Arial" w:cs="Arial"/>
                <w:sz w:val="18"/>
              </w:rPr>
              <w:t>Annex</w:t>
            </w:r>
            <w:r w:rsidRPr="000074E9">
              <w:rPr>
                <w:rFonts w:ascii="Arial" w:hAnsi="Arial" w:cs="Arial"/>
                <w:spacing w:val="-2"/>
                <w:sz w:val="18"/>
              </w:rPr>
              <w:t xml:space="preserve"> </w:t>
            </w:r>
            <w:r w:rsidRPr="000074E9">
              <w:rPr>
                <w:rFonts w:ascii="Arial" w:hAnsi="Arial" w:cs="Arial"/>
                <w:sz w:val="18"/>
              </w:rPr>
              <w:t>II</w:t>
            </w:r>
            <w:r w:rsidRPr="000074E9">
              <w:rPr>
                <w:rFonts w:ascii="Arial" w:hAnsi="Arial" w:cs="Arial"/>
                <w:spacing w:val="-1"/>
                <w:sz w:val="18"/>
              </w:rPr>
              <w:t xml:space="preserve"> </w:t>
            </w:r>
            <w:r w:rsidRPr="000074E9">
              <w:rPr>
                <w:rFonts w:ascii="Arial" w:hAnsi="Arial" w:cs="Arial"/>
                <w:sz w:val="18"/>
              </w:rPr>
              <w:t>to</w:t>
            </w:r>
            <w:r w:rsidRPr="000074E9">
              <w:rPr>
                <w:rFonts w:ascii="Arial" w:hAnsi="Arial" w:cs="Arial"/>
                <w:spacing w:val="-2"/>
                <w:sz w:val="18"/>
              </w:rPr>
              <w:t xml:space="preserve"> </w:t>
            </w:r>
            <w:r w:rsidR="00EB6733" w:rsidRPr="00EB6733">
              <w:rPr>
                <w:rFonts w:ascii="Arial" w:hAnsi="Arial" w:cs="Arial"/>
                <w:sz w:val="18"/>
              </w:rPr>
              <w:t xml:space="preserve"> Balloon Operations Regulation</w:t>
            </w:r>
            <w:r w:rsidR="00EB6733">
              <w:rPr>
                <w:rFonts w:ascii="Arial" w:hAnsi="Arial" w:cs="Arial"/>
                <w:sz w:val="18"/>
              </w:rPr>
              <w:t>:</w:t>
            </w:r>
          </w:p>
        </w:tc>
      </w:tr>
      <w:tr w:rsidR="000074E9" w:rsidRPr="00276D5E" w14:paraId="680B46B7" w14:textId="77777777" w:rsidTr="000074E9">
        <w:trPr>
          <w:trHeight w:val="805"/>
        </w:trPr>
        <w:tc>
          <w:tcPr>
            <w:tcW w:w="8926" w:type="dxa"/>
            <w:gridSpan w:val="5"/>
          </w:tcPr>
          <w:p w14:paraId="03A18F83" w14:textId="77777777" w:rsidR="000074E9" w:rsidRPr="000074E9" w:rsidRDefault="000074E9" w:rsidP="009601C2">
            <w:pPr>
              <w:pStyle w:val="TableParagraph"/>
              <w:spacing w:line="276" w:lineRule="auto"/>
              <w:ind w:left="300" w:right="48" w:hanging="193"/>
              <w:rPr>
                <w:rFonts w:ascii="Arial" w:hAnsi="Arial" w:cs="Arial"/>
                <w:sz w:val="18"/>
              </w:rPr>
            </w:pPr>
            <w:r w:rsidRPr="000074E9">
              <w:rPr>
                <w:rFonts w:ascii="Arial" w:hAnsi="Arial" w:cs="Arial"/>
                <w:w w:val="120"/>
                <w:sz w:val="18"/>
              </w:rPr>
              <w:t>□</w:t>
            </w:r>
            <w:r w:rsidRPr="000074E9">
              <w:rPr>
                <w:rFonts w:ascii="Arial" w:hAnsi="Arial" w:cs="Arial"/>
                <w:spacing w:val="10"/>
                <w:w w:val="120"/>
                <w:sz w:val="18"/>
              </w:rPr>
              <w:t xml:space="preserve"> </w:t>
            </w:r>
            <w:r w:rsidRPr="000074E9">
              <w:rPr>
                <w:rFonts w:ascii="Arial" w:hAnsi="Arial" w:cs="Arial"/>
                <w:sz w:val="18"/>
              </w:rPr>
              <w:t>The</w:t>
            </w:r>
            <w:r w:rsidRPr="000074E9">
              <w:rPr>
                <w:rFonts w:ascii="Arial" w:hAnsi="Arial" w:cs="Arial"/>
                <w:spacing w:val="-10"/>
                <w:sz w:val="18"/>
              </w:rPr>
              <w:t xml:space="preserve"> </w:t>
            </w:r>
            <w:r w:rsidRPr="000074E9">
              <w:rPr>
                <w:rFonts w:ascii="Arial" w:hAnsi="Arial" w:cs="Arial"/>
                <w:sz w:val="18"/>
              </w:rPr>
              <w:t>management</w:t>
            </w:r>
            <w:r w:rsidRPr="000074E9">
              <w:rPr>
                <w:rFonts w:ascii="Arial" w:hAnsi="Arial" w:cs="Arial"/>
                <w:spacing w:val="-9"/>
                <w:sz w:val="18"/>
              </w:rPr>
              <w:t xml:space="preserve"> </w:t>
            </w:r>
            <w:r w:rsidRPr="000074E9">
              <w:rPr>
                <w:rFonts w:ascii="Arial" w:hAnsi="Arial" w:cs="Arial"/>
                <w:sz w:val="18"/>
              </w:rPr>
              <w:t>system</w:t>
            </w:r>
            <w:r w:rsidRPr="000074E9">
              <w:rPr>
                <w:rFonts w:ascii="Arial" w:hAnsi="Arial" w:cs="Arial"/>
                <w:spacing w:val="-9"/>
                <w:sz w:val="18"/>
              </w:rPr>
              <w:t xml:space="preserve"> </w:t>
            </w:r>
            <w:r w:rsidRPr="000074E9">
              <w:rPr>
                <w:rFonts w:ascii="Arial" w:hAnsi="Arial" w:cs="Arial"/>
                <w:sz w:val="18"/>
              </w:rPr>
              <w:t>documentation,</w:t>
            </w:r>
            <w:r w:rsidRPr="000074E9">
              <w:rPr>
                <w:rFonts w:ascii="Arial" w:hAnsi="Arial" w:cs="Arial"/>
                <w:spacing w:val="-9"/>
                <w:sz w:val="18"/>
              </w:rPr>
              <w:t xml:space="preserve"> </w:t>
            </w:r>
            <w:r w:rsidRPr="000074E9">
              <w:rPr>
                <w:rFonts w:ascii="Arial" w:hAnsi="Arial" w:cs="Arial"/>
                <w:sz w:val="18"/>
              </w:rPr>
              <w:t>including</w:t>
            </w:r>
            <w:r w:rsidRPr="000074E9">
              <w:rPr>
                <w:rFonts w:ascii="Arial" w:hAnsi="Arial" w:cs="Arial"/>
                <w:spacing w:val="-9"/>
                <w:sz w:val="18"/>
              </w:rPr>
              <w:t xml:space="preserve"> </w:t>
            </w:r>
            <w:r w:rsidRPr="000074E9">
              <w:rPr>
                <w:rFonts w:ascii="Arial" w:hAnsi="Arial" w:cs="Arial"/>
                <w:sz w:val="18"/>
              </w:rPr>
              <w:t>the</w:t>
            </w:r>
            <w:r w:rsidRPr="000074E9">
              <w:rPr>
                <w:rFonts w:ascii="Arial" w:hAnsi="Arial" w:cs="Arial"/>
                <w:spacing w:val="-10"/>
                <w:sz w:val="18"/>
              </w:rPr>
              <w:t xml:space="preserve"> </w:t>
            </w:r>
            <w:r w:rsidRPr="000074E9">
              <w:rPr>
                <w:rFonts w:ascii="Arial" w:hAnsi="Arial" w:cs="Arial"/>
                <w:sz w:val="18"/>
              </w:rPr>
              <w:t>operations</w:t>
            </w:r>
            <w:r w:rsidRPr="000074E9">
              <w:rPr>
                <w:rFonts w:ascii="Arial" w:hAnsi="Arial" w:cs="Arial"/>
                <w:spacing w:val="-10"/>
                <w:sz w:val="18"/>
              </w:rPr>
              <w:t xml:space="preserve"> </w:t>
            </w:r>
            <w:r w:rsidRPr="000074E9">
              <w:rPr>
                <w:rFonts w:ascii="Arial" w:hAnsi="Arial" w:cs="Arial"/>
                <w:sz w:val="18"/>
              </w:rPr>
              <w:t>manual,</w:t>
            </w:r>
            <w:r w:rsidRPr="000074E9">
              <w:rPr>
                <w:rFonts w:ascii="Arial" w:hAnsi="Arial" w:cs="Arial"/>
                <w:spacing w:val="-9"/>
                <w:sz w:val="18"/>
              </w:rPr>
              <w:t xml:space="preserve"> </w:t>
            </w:r>
            <w:r w:rsidRPr="000074E9">
              <w:rPr>
                <w:rFonts w:ascii="Arial" w:hAnsi="Arial" w:cs="Arial"/>
                <w:sz w:val="18"/>
              </w:rPr>
              <w:t>comply</w:t>
            </w:r>
            <w:r w:rsidRPr="000074E9">
              <w:rPr>
                <w:rFonts w:ascii="Arial" w:hAnsi="Arial" w:cs="Arial"/>
                <w:spacing w:val="-8"/>
                <w:sz w:val="18"/>
              </w:rPr>
              <w:t xml:space="preserve"> </w:t>
            </w:r>
            <w:r w:rsidRPr="000074E9">
              <w:rPr>
                <w:rFonts w:ascii="Arial" w:hAnsi="Arial" w:cs="Arial"/>
                <w:sz w:val="18"/>
              </w:rPr>
              <w:t>with</w:t>
            </w:r>
            <w:r w:rsidRPr="000074E9">
              <w:rPr>
                <w:rFonts w:ascii="Arial" w:hAnsi="Arial" w:cs="Arial"/>
                <w:spacing w:val="-9"/>
                <w:sz w:val="18"/>
              </w:rPr>
              <w:t xml:space="preserve"> </w:t>
            </w:r>
            <w:r w:rsidRPr="000074E9">
              <w:rPr>
                <w:rFonts w:ascii="Arial" w:hAnsi="Arial" w:cs="Arial"/>
                <w:sz w:val="18"/>
              </w:rPr>
              <w:t>the</w:t>
            </w:r>
            <w:r w:rsidRPr="000074E9">
              <w:rPr>
                <w:rFonts w:ascii="Arial" w:hAnsi="Arial" w:cs="Arial"/>
                <w:spacing w:val="-10"/>
                <w:sz w:val="18"/>
              </w:rPr>
              <w:t xml:space="preserve"> </w:t>
            </w:r>
            <w:r w:rsidRPr="000074E9">
              <w:rPr>
                <w:rFonts w:ascii="Arial" w:hAnsi="Arial" w:cs="Arial"/>
                <w:sz w:val="18"/>
              </w:rPr>
              <w:t>requirements</w:t>
            </w:r>
            <w:r w:rsidRPr="000074E9">
              <w:rPr>
                <w:rFonts w:ascii="Arial" w:hAnsi="Arial" w:cs="Arial"/>
                <w:spacing w:val="-43"/>
                <w:sz w:val="18"/>
              </w:rPr>
              <w:t xml:space="preserve"> </w:t>
            </w:r>
            <w:r w:rsidRPr="000074E9">
              <w:rPr>
                <w:rFonts w:ascii="Arial" w:hAnsi="Arial" w:cs="Arial"/>
                <w:sz w:val="18"/>
              </w:rPr>
              <w:t>of</w:t>
            </w:r>
            <w:r w:rsidRPr="000074E9">
              <w:rPr>
                <w:rFonts w:ascii="Arial" w:hAnsi="Arial" w:cs="Arial"/>
                <w:spacing w:val="21"/>
                <w:sz w:val="18"/>
              </w:rPr>
              <w:t xml:space="preserve"> </w:t>
            </w:r>
            <w:r w:rsidRPr="000074E9">
              <w:rPr>
                <w:rFonts w:ascii="Arial" w:hAnsi="Arial" w:cs="Arial"/>
                <w:sz w:val="18"/>
              </w:rPr>
              <w:t>Subpart</w:t>
            </w:r>
            <w:r w:rsidRPr="000074E9">
              <w:rPr>
                <w:rFonts w:ascii="Arial" w:hAnsi="Arial" w:cs="Arial"/>
                <w:spacing w:val="22"/>
                <w:sz w:val="18"/>
              </w:rPr>
              <w:t xml:space="preserve"> </w:t>
            </w:r>
            <w:r w:rsidRPr="000074E9">
              <w:rPr>
                <w:rFonts w:ascii="Arial" w:hAnsi="Arial" w:cs="Arial"/>
                <w:sz w:val="18"/>
              </w:rPr>
              <w:t>ADD</w:t>
            </w:r>
            <w:r w:rsidRPr="000074E9">
              <w:rPr>
                <w:rFonts w:ascii="Arial" w:hAnsi="Arial" w:cs="Arial"/>
                <w:spacing w:val="22"/>
                <w:sz w:val="18"/>
              </w:rPr>
              <w:t xml:space="preserve"> </w:t>
            </w:r>
            <w:r w:rsidRPr="000074E9">
              <w:rPr>
                <w:rFonts w:ascii="Arial" w:hAnsi="Arial" w:cs="Arial"/>
                <w:sz w:val="18"/>
              </w:rPr>
              <w:t>and</w:t>
            </w:r>
            <w:r w:rsidRPr="000074E9">
              <w:rPr>
                <w:rFonts w:ascii="Arial" w:hAnsi="Arial" w:cs="Arial"/>
                <w:spacing w:val="22"/>
                <w:sz w:val="18"/>
              </w:rPr>
              <w:t xml:space="preserve"> </w:t>
            </w:r>
            <w:r w:rsidRPr="000074E9">
              <w:rPr>
                <w:rFonts w:ascii="Arial" w:hAnsi="Arial" w:cs="Arial"/>
                <w:sz w:val="18"/>
              </w:rPr>
              <w:t>all</w:t>
            </w:r>
            <w:r w:rsidRPr="000074E9">
              <w:rPr>
                <w:rFonts w:ascii="Arial" w:hAnsi="Arial" w:cs="Arial"/>
                <w:spacing w:val="23"/>
                <w:sz w:val="18"/>
              </w:rPr>
              <w:t xml:space="preserve"> </w:t>
            </w:r>
            <w:r w:rsidRPr="000074E9">
              <w:rPr>
                <w:rFonts w:ascii="Arial" w:hAnsi="Arial" w:cs="Arial"/>
                <w:sz w:val="18"/>
              </w:rPr>
              <w:t>flights</w:t>
            </w:r>
            <w:r w:rsidRPr="000074E9">
              <w:rPr>
                <w:rFonts w:ascii="Arial" w:hAnsi="Arial" w:cs="Arial"/>
                <w:spacing w:val="21"/>
                <w:sz w:val="18"/>
              </w:rPr>
              <w:t xml:space="preserve"> </w:t>
            </w:r>
            <w:r w:rsidRPr="000074E9">
              <w:rPr>
                <w:rFonts w:ascii="Arial" w:hAnsi="Arial" w:cs="Arial"/>
                <w:sz w:val="18"/>
              </w:rPr>
              <w:t>will</w:t>
            </w:r>
            <w:r w:rsidRPr="000074E9">
              <w:rPr>
                <w:rFonts w:ascii="Arial" w:hAnsi="Arial" w:cs="Arial"/>
                <w:spacing w:val="22"/>
                <w:sz w:val="18"/>
              </w:rPr>
              <w:t xml:space="preserve"> </w:t>
            </w:r>
            <w:r w:rsidRPr="000074E9">
              <w:rPr>
                <w:rFonts w:ascii="Arial" w:hAnsi="Arial" w:cs="Arial"/>
                <w:sz w:val="18"/>
              </w:rPr>
              <w:t>be</w:t>
            </w:r>
            <w:r w:rsidRPr="000074E9">
              <w:rPr>
                <w:rFonts w:ascii="Arial" w:hAnsi="Arial" w:cs="Arial"/>
                <w:spacing w:val="21"/>
                <w:sz w:val="18"/>
              </w:rPr>
              <w:t xml:space="preserve"> </w:t>
            </w:r>
            <w:r w:rsidRPr="000074E9">
              <w:rPr>
                <w:rFonts w:ascii="Arial" w:hAnsi="Arial" w:cs="Arial"/>
                <w:sz w:val="18"/>
              </w:rPr>
              <w:t>carried</w:t>
            </w:r>
            <w:r w:rsidRPr="000074E9">
              <w:rPr>
                <w:rFonts w:ascii="Arial" w:hAnsi="Arial" w:cs="Arial"/>
                <w:spacing w:val="23"/>
                <w:sz w:val="18"/>
              </w:rPr>
              <w:t xml:space="preserve"> </w:t>
            </w:r>
            <w:r w:rsidRPr="000074E9">
              <w:rPr>
                <w:rFonts w:ascii="Arial" w:hAnsi="Arial" w:cs="Arial"/>
                <w:sz w:val="18"/>
              </w:rPr>
              <w:t>out</w:t>
            </w:r>
            <w:r w:rsidRPr="000074E9">
              <w:rPr>
                <w:rFonts w:ascii="Arial" w:hAnsi="Arial" w:cs="Arial"/>
                <w:spacing w:val="22"/>
                <w:sz w:val="18"/>
              </w:rPr>
              <w:t xml:space="preserve"> </w:t>
            </w:r>
            <w:r w:rsidRPr="000074E9">
              <w:rPr>
                <w:rFonts w:ascii="Arial" w:hAnsi="Arial" w:cs="Arial"/>
                <w:sz w:val="18"/>
              </w:rPr>
              <w:t>in</w:t>
            </w:r>
            <w:r w:rsidRPr="000074E9">
              <w:rPr>
                <w:rFonts w:ascii="Arial" w:hAnsi="Arial" w:cs="Arial"/>
                <w:spacing w:val="29"/>
                <w:sz w:val="18"/>
              </w:rPr>
              <w:t xml:space="preserve"> </w:t>
            </w:r>
            <w:r w:rsidRPr="000074E9">
              <w:rPr>
                <w:rFonts w:ascii="Arial" w:hAnsi="Arial" w:cs="Arial"/>
                <w:sz w:val="18"/>
              </w:rPr>
              <w:t>accordance</w:t>
            </w:r>
            <w:r w:rsidRPr="000074E9">
              <w:rPr>
                <w:rFonts w:ascii="Arial" w:hAnsi="Arial" w:cs="Arial"/>
                <w:spacing w:val="20"/>
                <w:sz w:val="18"/>
              </w:rPr>
              <w:t xml:space="preserve"> </w:t>
            </w:r>
            <w:r w:rsidRPr="000074E9">
              <w:rPr>
                <w:rFonts w:ascii="Arial" w:hAnsi="Arial" w:cs="Arial"/>
                <w:sz w:val="18"/>
              </w:rPr>
              <w:t>with</w:t>
            </w:r>
            <w:r w:rsidRPr="000074E9">
              <w:rPr>
                <w:rFonts w:ascii="Arial" w:hAnsi="Arial" w:cs="Arial"/>
                <w:spacing w:val="23"/>
                <w:sz w:val="18"/>
              </w:rPr>
              <w:t xml:space="preserve"> </w:t>
            </w:r>
            <w:r w:rsidRPr="000074E9">
              <w:rPr>
                <w:rFonts w:ascii="Arial" w:hAnsi="Arial" w:cs="Arial"/>
                <w:sz w:val="18"/>
              </w:rPr>
              <w:t>the</w:t>
            </w:r>
            <w:r w:rsidRPr="000074E9">
              <w:rPr>
                <w:rFonts w:ascii="Arial" w:hAnsi="Arial" w:cs="Arial"/>
                <w:spacing w:val="21"/>
                <w:sz w:val="18"/>
              </w:rPr>
              <w:t xml:space="preserve"> </w:t>
            </w:r>
            <w:r w:rsidRPr="000074E9">
              <w:rPr>
                <w:rFonts w:ascii="Arial" w:hAnsi="Arial" w:cs="Arial"/>
                <w:sz w:val="18"/>
              </w:rPr>
              <w:t>provisions</w:t>
            </w:r>
            <w:r w:rsidRPr="000074E9">
              <w:rPr>
                <w:rFonts w:ascii="Arial" w:hAnsi="Arial" w:cs="Arial"/>
                <w:spacing w:val="21"/>
                <w:sz w:val="18"/>
              </w:rPr>
              <w:t xml:space="preserve"> </w:t>
            </w:r>
            <w:r w:rsidRPr="000074E9">
              <w:rPr>
                <w:rFonts w:ascii="Arial" w:hAnsi="Arial" w:cs="Arial"/>
                <w:sz w:val="18"/>
              </w:rPr>
              <w:t>of</w:t>
            </w:r>
            <w:r w:rsidRPr="000074E9">
              <w:rPr>
                <w:rFonts w:ascii="Arial" w:hAnsi="Arial" w:cs="Arial"/>
                <w:spacing w:val="23"/>
                <w:sz w:val="18"/>
              </w:rPr>
              <w:t xml:space="preserve"> </w:t>
            </w:r>
            <w:r w:rsidRPr="000074E9">
              <w:rPr>
                <w:rFonts w:ascii="Arial" w:hAnsi="Arial" w:cs="Arial"/>
                <w:sz w:val="18"/>
              </w:rPr>
              <w:t>the</w:t>
            </w:r>
            <w:r w:rsidRPr="000074E9">
              <w:rPr>
                <w:rFonts w:ascii="Arial" w:hAnsi="Arial" w:cs="Arial"/>
                <w:spacing w:val="22"/>
                <w:sz w:val="18"/>
              </w:rPr>
              <w:t xml:space="preserve"> </w:t>
            </w:r>
            <w:r w:rsidRPr="000074E9">
              <w:rPr>
                <w:rFonts w:ascii="Arial" w:hAnsi="Arial" w:cs="Arial"/>
                <w:sz w:val="18"/>
              </w:rPr>
              <w:t>operations manual</w:t>
            </w:r>
            <w:r w:rsidRPr="000074E9">
              <w:rPr>
                <w:rFonts w:ascii="Arial" w:hAnsi="Arial" w:cs="Arial"/>
                <w:spacing w:val="-2"/>
                <w:sz w:val="18"/>
              </w:rPr>
              <w:t xml:space="preserve"> </w:t>
            </w:r>
            <w:r w:rsidRPr="000074E9">
              <w:rPr>
                <w:rFonts w:ascii="Arial" w:hAnsi="Arial" w:cs="Arial"/>
                <w:sz w:val="18"/>
              </w:rPr>
              <w:t>as</w:t>
            </w:r>
            <w:r w:rsidRPr="000074E9">
              <w:rPr>
                <w:rFonts w:ascii="Arial" w:hAnsi="Arial" w:cs="Arial"/>
                <w:spacing w:val="-3"/>
                <w:sz w:val="18"/>
              </w:rPr>
              <w:t xml:space="preserve"> </w:t>
            </w:r>
            <w:r w:rsidRPr="000074E9">
              <w:rPr>
                <w:rFonts w:ascii="Arial" w:hAnsi="Arial" w:cs="Arial"/>
                <w:sz w:val="18"/>
              </w:rPr>
              <w:t>required</w:t>
            </w:r>
            <w:r w:rsidRPr="000074E9">
              <w:rPr>
                <w:rFonts w:ascii="Arial" w:hAnsi="Arial" w:cs="Arial"/>
                <w:spacing w:val="-2"/>
                <w:sz w:val="18"/>
              </w:rPr>
              <w:t xml:space="preserve"> </w:t>
            </w:r>
            <w:r w:rsidRPr="000074E9">
              <w:rPr>
                <w:rFonts w:ascii="Arial" w:hAnsi="Arial" w:cs="Arial"/>
                <w:sz w:val="18"/>
              </w:rPr>
              <w:t>by</w:t>
            </w:r>
            <w:r w:rsidRPr="000074E9">
              <w:rPr>
                <w:rFonts w:ascii="Arial" w:hAnsi="Arial" w:cs="Arial"/>
                <w:spacing w:val="-2"/>
                <w:sz w:val="18"/>
              </w:rPr>
              <w:t xml:space="preserve"> </w:t>
            </w:r>
            <w:r w:rsidRPr="000074E9">
              <w:rPr>
                <w:rFonts w:ascii="Arial" w:hAnsi="Arial" w:cs="Arial"/>
                <w:sz w:val="18"/>
              </w:rPr>
              <w:t>point</w:t>
            </w:r>
            <w:r w:rsidRPr="000074E9">
              <w:rPr>
                <w:rFonts w:ascii="Arial" w:hAnsi="Arial" w:cs="Arial"/>
                <w:spacing w:val="1"/>
                <w:sz w:val="18"/>
              </w:rPr>
              <w:t xml:space="preserve"> </w:t>
            </w:r>
            <w:hyperlink w:anchor="_bookmark145" w:history="1">
              <w:r w:rsidRPr="000074E9">
                <w:rPr>
                  <w:rFonts w:ascii="Arial" w:hAnsi="Arial" w:cs="Arial"/>
                  <w:sz w:val="18"/>
                </w:rPr>
                <w:t>BOP.ADD.005(b)</w:t>
              </w:r>
              <w:r w:rsidRPr="000074E9">
                <w:rPr>
                  <w:rFonts w:ascii="Arial" w:hAnsi="Arial" w:cs="Arial"/>
                  <w:spacing w:val="-2"/>
                  <w:sz w:val="18"/>
                </w:rPr>
                <w:t xml:space="preserve"> </w:t>
              </w:r>
            </w:hyperlink>
            <w:r w:rsidRPr="000074E9">
              <w:rPr>
                <w:rFonts w:ascii="Arial" w:hAnsi="Arial" w:cs="Arial"/>
                <w:sz w:val="18"/>
              </w:rPr>
              <w:t>of</w:t>
            </w:r>
            <w:r w:rsidRPr="000074E9">
              <w:rPr>
                <w:rFonts w:ascii="Arial" w:hAnsi="Arial" w:cs="Arial"/>
                <w:spacing w:val="-4"/>
                <w:sz w:val="18"/>
              </w:rPr>
              <w:t xml:space="preserve"> </w:t>
            </w:r>
            <w:r w:rsidRPr="000074E9">
              <w:rPr>
                <w:rFonts w:ascii="Arial" w:hAnsi="Arial" w:cs="Arial"/>
                <w:sz w:val="18"/>
              </w:rPr>
              <w:t>Subpart</w:t>
            </w:r>
            <w:r w:rsidRPr="000074E9">
              <w:rPr>
                <w:rFonts w:ascii="Arial" w:hAnsi="Arial" w:cs="Arial"/>
                <w:spacing w:val="-1"/>
                <w:sz w:val="18"/>
              </w:rPr>
              <w:t xml:space="preserve"> </w:t>
            </w:r>
            <w:r w:rsidRPr="000074E9">
              <w:rPr>
                <w:rFonts w:ascii="Arial" w:hAnsi="Arial" w:cs="Arial"/>
                <w:sz w:val="18"/>
              </w:rPr>
              <w:t>ADD.</w:t>
            </w:r>
          </w:p>
        </w:tc>
      </w:tr>
      <w:tr w:rsidR="000074E9" w:rsidRPr="00276D5E" w14:paraId="33A03D31" w14:textId="77777777" w:rsidTr="000074E9">
        <w:trPr>
          <w:trHeight w:val="1075"/>
        </w:trPr>
        <w:tc>
          <w:tcPr>
            <w:tcW w:w="8926" w:type="dxa"/>
            <w:gridSpan w:val="5"/>
          </w:tcPr>
          <w:p w14:paraId="13A4C82E" w14:textId="6E301BC1" w:rsidR="000074E9" w:rsidRPr="000074E9" w:rsidRDefault="000074E9" w:rsidP="00E17066">
            <w:pPr>
              <w:pStyle w:val="TableParagraph"/>
              <w:spacing w:line="276" w:lineRule="auto"/>
              <w:ind w:left="300" w:right="99" w:hanging="193"/>
              <w:jc w:val="both"/>
              <w:rPr>
                <w:rFonts w:ascii="Arial" w:hAnsi="Arial" w:cs="Arial"/>
                <w:sz w:val="18"/>
              </w:rPr>
            </w:pPr>
            <w:r w:rsidRPr="000074E9">
              <w:rPr>
                <w:rFonts w:ascii="Arial" w:hAnsi="Arial" w:cs="Arial"/>
                <w:w w:val="120"/>
                <w:sz w:val="18"/>
              </w:rPr>
              <w:t>□</w:t>
            </w:r>
            <w:r w:rsidRPr="000074E9">
              <w:rPr>
                <w:rFonts w:ascii="Arial" w:hAnsi="Arial" w:cs="Arial"/>
                <w:spacing w:val="1"/>
                <w:w w:val="120"/>
                <w:sz w:val="18"/>
              </w:rPr>
              <w:t xml:space="preserve"> </w:t>
            </w:r>
            <w:r w:rsidRPr="000074E9">
              <w:rPr>
                <w:rFonts w:ascii="Arial" w:hAnsi="Arial" w:cs="Arial"/>
                <w:sz w:val="18"/>
              </w:rPr>
              <w:t>All balloons operated either have a certificate of airworthi</w:t>
            </w:r>
            <w:r w:rsidR="00031C05">
              <w:rPr>
                <w:rFonts w:ascii="Arial" w:hAnsi="Arial" w:cs="Arial"/>
                <w:sz w:val="18"/>
              </w:rPr>
              <w:t xml:space="preserve">ness issued in accordance with </w:t>
            </w:r>
            <w:hyperlink r:id="rId75" w:history="1">
              <w:r w:rsidR="0080155D">
                <w:rPr>
                  <w:rStyle w:val="Hyperlink"/>
                  <w:rFonts w:ascii="Arial" w:hAnsi="Arial" w:cs="Arial"/>
                  <w:sz w:val="18"/>
                </w:rPr>
                <w:t>the order N 20-N of the Minister of Territorial Administration and Infrastructure of RA, dated 18.11.2022</w:t>
              </w:r>
            </w:hyperlink>
            <w:r w:rsidRPr="000074E9">
              <w:rPr>
                <w:rFonts w:ascii="Arial" w:hAnsi="Arial" w:cs="Arial"/>
                <w:sz w:val="18"/>
              </w:rPr>
              <w:t xml:space="preserve"> or meet the specific airworthiness requirements applicable to balloons that are registered</w:t>
            </w:r>
            <w:r w:rsidRPr="000074E9">
              <w:rPr>
                <w:rFonts w:ascii="Arial" w:hAnsi="Arial" w:cs="Arial"/>
                <w:spacing w:val="1"/>
                <w:sz w:val="18"/>
              </w:rPr>
              <w:t xml:space="preserve"> </w:t>
            </w:r>
            <w:r w:rsidRPr="000074E9">
              <w:rPr>
                <w:rFonts w:ascii="Arial" w:hAnsi="Arial" w:cs="Arial"/>
                <w:spacing w:val="-1"/>
                <w:sz w:val="18"/>
              </w:rPr>
              <w:t>in</w:t>
            </w:r>
            <w:r w:rsidRPr="000074E9">
              <w:rPr>
                <w:rFonts w:ascii="Arial" w:hAnsi="Arial" w:cs="Arial"/>
                <w:spacing w:val="-10"/>
                <w:sz w:val="18"/>
              </w:rPr>
              <w:t xml:space="preserve"> </w:t>
            </w:r>
            <w:r w:rsidRPr="000074E9">
              <w:rPr>
                <w:rFonts w:ascii="Arial" w:hAnsi="Arial" w:cs="Arial"/>
                <w:spacing w:val="-1"/>
                <w:sz w:val="18"/>
              </w:rPr>
              <w:t>a</w:t>
            </w:r>
            <w:r w:rsidRPr="000074E9">
              <w:rPr>
                <w:rFonts w:ascii="Arial" w:hAnsi="Arial" w:cs="Arial"/>
                <w:spacing w:val="-9"/>
                <w:sz w:val="18"/>
              </w:rPr>
              <w:t xml:space="preserve"> </w:t>
            </w:r>
            <w:r w:rsidRPr="000074E9">
              <w:rPr>
                <w:rFonts w:ascii="Arial" w:hAnsi="Arial" w:cs="Arial"/>
                <w:spacing w:val="-1"/>
                <w:sz w:val="18"/>
              </w:rPr>
              <w:t>third</w:t>
            </w:r>
            <w:r w:rsidRPr="000074E9">
              <w:rPr>
                <w:rFonts w:ascii="Arial" w:hAnsi="Arial" w:cs="Arial"/>
                <w:spacing w:val="-10"/>
                <w:sz w:val="18"/>
              </w:rPr>
              <w:t xml:space="preserve"> </w:t>
            </w:r>
            <w:r w:rsidRPr="000074E9">
              <w:rPr>
                <w:rFonts w:ascii="Arial" w:hAnsi="Arial" w:cs="Arial"/>
                <w:sz w:val="18"/>
              </w:rPr>
              <w:t>country</w:t>
            </w:r>
            <w:r w:rsidRPr="000074E9">
              <w:rPr>
                <w:rFonts w:ascii="Arial" w:hAnsi="Arial" w:cs="Arial"/>
                <w:spacing w:val="-8"/>
                <w:sz w:val="18"/>
              </w:rPr>
              <w:t xml:space="preserve"> </w:t>
            </w:r>
            <w:r w:rsidRPr="000074E9">
              <w:rPr>
                <w:rFonts w:ascii="Arial" w:hAnsi="Arial" w:cs="Arial"/>
                <w:sz w:val="18"/>
              </w:rPr>
              <w:t>and</w:t>
            </w:r>
            <w:r w:rsidRPr="000074E9">
              <w:rPr>
                <w:rFonts w:ascii="Arial" w:hAnsi="Arial" w:cs="Arial"/>
                <w:spacing w:val="-11"/>
                <w:sz w:val="18"/>
              </w:rPr>
              <w:t xml:space="preserve"> </w:t>
            </w:r>
            <w:r w:rsidRPr="000074E9">
              <w:rPr>
                <w:rFonts w:ascii="Arial" w:hAnsi="Arial" w:cs="Arial"/>
                <w:sz w:val="18"/>
              </w:rPr>
              <w:t>are</w:t>
            </w:r>
            <w:r w:rsidRPr="000074E9">
              <w:rPr>
                <w:rFonts w:ascii="Arial" w:hAnsi="Arial" w:cs="Arial"/>
                <w:spacing w:val="-10"/>
                <w:sz w:val="18"/>
              </w:rPr>
              <w:t xml:space="preserve"> </w:t>
            </w:r>
            <w:r w:rsidRPr="000074E9">
              <w:rPr>
                <w:rFonts w:ascii="Arial" w:hAnsi="Arial" w:cs="Arial"/>
                <w:sz w:val="18"/>
              </w:rPr>
              <w:t>subject</w:t>
            </w:r>
            <w:r w:rsidRPr="000074E9">
              <w:rPr>
                <w:rFonts w:ascii="Arial" w:hAnsi="Arial" w:cs="Arial"/>
                <w:spacing w:val="-10"/>
                <w:sz w:val="18"/>
              </w:rPr>
              <w:t xml:space="preserve"> </w:t>
            </w:r>
            <w:r w:rsidRPr="000074E9">
              <w:rPr>
                <w:rFonts w:ascii="Arial" w:hAnsi="Arial" w:cs="Arial"/>
                <w:sz w:val="18"/>
              </w:rPr>
              <w:t>to</w:t>
            </w:r>
            <w:r w:rsidRPr="000074E9">
              <w:rPr>
                <w:rFonts w:ascii="Arial" w:hAnsi="Arial" w:cs="Arial"/>
                <w:spacing w:val="-8"/>
                <w:sz w:val="18"/>
              </w:rPr>
              <w:t xml:space="preserve"> </w:t>
            </w:r>
            <w:r w:rsidRPr="000074E9">
              <w:rPr>
                <w:rFonts w:ascii="Arial" w:hAnsi="Arial" w:cs="Arial"/>
                <w:sz w:val="18"/>
              </w:rPr>
              <w:t>a</w:t>
            </w:r>
            <w:r w:rsidRPr="000074E9">
              <w:rPr>
                <w:rFonts w:ascii="Arial" w:hAnsi="Arial" w:cs="Arial"/>
                <w:spacing w:val="-10"/>
                <w:sz w:val="18"/>
              </w:rPr>
              <w:t xml:space="preserve"> </w:t>
            </w:r>
            <w:r w:rsidRPr="000074E9">
              <w:rPr>
                <w:rFonts w:ascii="Arial" w:hAnsi="Arial" w:cs="Arial"/>
                <w:sz w:val="18"/>
              </w:rPr>
              <w:t>wet</w:t>
            </w:r>
            <w:r w:rsidRPr="000074E9">
              <w:rPr>
                <w:rFonts w:ascii="Arial" w:hAnsi="Arial" w:cs="Arial"/>
                <w:spacing w:val="-9"/>
                <w:sz w:val="18"/>
              </w:rPr>
              <w:t xml:space="preserve"> </w:t>
            </w:r>
            <w:r w:rsidRPr="000074E9">
              <w:rPr>
                <w:rFonts w:ascii="Arial" w:hAnsi="Arial" w:cs="Arial"/>
                <w:sz w:val="18"/>
              </w:rPr>
              <w:t>lease</w:t>
            </w:r>
            <w:r w:rsidRPr="000074E9">
              <w:rPr>
                <w:rFonts w:ascii="Arial" w:hAnsi="Arial" w:cs="Arial"/>
                <w:spacing w:val="-11"/>
                <w:sz w:val="18"/>
              </w:rPr>
              <w:t xml:space="preserve"> </w:t>
            </w:r>
            <w:r w:rsidRPr="000074E9">
              <w:rPr>
                <w:rFonts w:ascii="Arial" w:hAnsi="Arial" w:cs="Arial"/>
                <w:sz w:val="18"/>
              </w:rPr>
              <w:t>agreement</w:t>
            </w:r>
            <w:r w:rsidRPr="000074E9">
              <w:rPr>
                <w:rFonts w:ascii="Arial" w:hAnsi="Arial" w:cs="Arial"/>
                <w:spacing w:val="-9"/>
                <w:sz w:val="18"/>
              </w:rPr>
              <w:t xml:space="preserve"> </w:t>
            </w:r>
            <w:r w:rsidRPr="000074E9">
              <w:rPr>
                <w:rFonts w:ascii="Arial" w:hAnsi="Arial" w:cs="Arial"/>
                <w:sz w:val="18"/>
              </w:rPr>
              <w:t>or</w:t>
            </w:r>
            <w:r w:rsidRPr="000074E9">
              <w:rPr>
                <w:rFonts w:ascii="Arial" w:hAnsi="Arial" w:cs="Arial"/>
                <w:spacing w:val="-10"/>
                <w:sz w:val="18"/>
              </w:rPr>
              <w:t xml:space="preserve"> </w:t>
            </w:r>
            <w:r w:rsidRPr="000074E9">
              <w:rPr>
                <w:rFonts w:ascii="Arial" w:hAnsi="Arial" w:cs="Arial"/>
                <w:sz w:val="18"/>
              </w:rPr>
              <w:t>a</w:t>
            </w:r>
            <w:r w:rsidRPr="000074E9">
              <w:rPr>
                <w:rFonts w:ascii="Arial" w:hAnsi="Arial" w:cs="Arial"/>
                <w:spacing w:val="-9"/>
                <w:sz w:val="18"/>
              </w:rPr>
              <w:t xml:space="preserve"> </w:t>
            </w:r>
            <w:r w:rsidRPr="000074E9">
              <w:rPr>
                <w:rFonts w:ascii="Arial" w:hAnsi="Arial" w:cs="Arial"/>
                <w:sz w:val="18"/>
              </w:rPr>
              <w:t>dry</w:t>
            </w:r>
            <w:r w:rsidRPr="000074E9">
              <w:rPr>
                <w:rFonts w:ascii="Arial" w:hAnsi="Arial" w:cs="Arial"/>
                <w:spacing w:val="-8"/>
                <w:sz w:val="18"/>
              </w:rPr>
              <w:t xml:space="preserve"> </w:t>
            </w:r>
            <w:r w:rsidRPr="000074E9">
              <w:rPr>
                <w:rFonts w:ascii="Arial" w:hAnsi="Arial" w:cs="Arial"/>
                <w:sz w:val="18"/>
              </w:rPr>
              <w:t>lease</w:t>
            </w:r>
            <w:r w:rsidRPr="000074E9">
              <w:rPr>
                <w:rFonts w:ascii="Arial" w:hAnsi="Arial" w:cs="Arial"/>
                <w:spacing w:val="-12"/>
                <w:sz w:val="18"/>
              </w:rPr>
              <w:t xml:space="preserve"> </w:t>
            </w:r>
            <w:r w:rsidRPr="000074E9">
              <w:rPr>
                <w:rFonts w:ascii="Arial" w:hAnsi="Arial" w:cs="Arial"/>
                <w:sz w:val="18"/>
              </w:rPr>
              <w:t>agreement,</w:t>
            </w:r>
            <w:r w:rsidRPr="000074E9">
              <w:rPr>
                <w:rFonts w:ascii="Arial" w:hAnsi="Arial" w:cs="Arial"/>
                <w:spacing w:val="-8"/>
                <w:sz w:val="18"/>
              </w:rPr>
              <w:t xml:space="preserve"> </w:t>
            </w:r>
            <w:r w:rsidRPr="000074E9">
              <w:rPr>
                <w:rFonts w:ascii="Arial" w:hAnsi="Arial" w:cs="Arial"/>
                <w:sz w:val="18"/>
              </w:rPr>
              <w:t>as</w:t>
            </w:r>
            <w:r w:rsidRPr="000074E9">
              <w:rPr>
                <w:rFonts w:ascii="Arial" w:hAnsi="Arial" w:cs="Arial"/>
                <w:spacing w:val="-10"/>
                <w:sz w:val="18"/>
              </w:rPr>
              <w:t xml:space="preserve"> </w:t>
            </w:r>
            <w:r w:rsidRPr="000074E9">
              <w:rPr>
                <w:rFonts w:ascii="Arial" w:hAnsi="Arial" w:cs="Arial"/>
                <w:sz w:val="18"/>
              </w:rPr>
              <w:t>required</w:t>
            </w:r>
            <w:r w:rsidRPr="000074E9">
              <w:rPr>
                <w:rFonts w:ascii="Arial" w:hAnsi="Arial" w:cs="Arial"/>
                <w:spacing w:val="-10"/>
                <w:sz w:val="18"/>
              </w:rPr>
              <w:t xml:space="preserve"> </w:t>
            </w:r>
            <w:r w:rsidRPr="000074E9">
              <w:rPr>
                <w:rFonts w:ascii="Arial" w:hAnsi="Arial" w:cs="Arial"/>
                <w:sz w:val="18"/>
              </w:rPr>
              <w:t>by</w:t>
            </w:r>
            <w:r w:rsidRPr="000074E9">
              <w:rPr>
                <w:rFonts w:ascii="Arial" w:hAnsi="Arial" w:cs="Arial"/>
                <w:spacing w:val="-8"/>
                <w:sz w:val="18"/>
              </w:rPr>
              <w:t xml:space="preserve"> </w:t>
            </w:r>
            <w:r w:rsidRPr="000074E9">
              <w:rPr>
                <w:rFonts w:ascii="Arial" w:hAnsi="Arial" w:cs="Arial"/>
                <w:sz w:val="18"/>
              </w:rPr>
              <w:t xml:space="preserve">points </w:t>
            </w:r>
            <w:hyperlink w:anchor="_bookmark176" w:history="1">
              <w:r w:rsidRPr="000074E9">
                <w:rPr>
                  <w:rFonts w:ascii="Arial" w:hAnsi="Arial" w:cs="Arial"/>
                  <w:sz w:val="18"/>
                </w:rPr>
                <w:t>BOP.ADD.110</w:t>
              </w:r>
              <w:r w:rsidRPr="000074E9">
                <w:rPr>
                  <w:rFonts w:ascii="Arial" w:hAnsi="Arial" w:cs="Arial"/>
                  <w:spacing w:val="-4"/>
                  <w:sz w:val="18"/>
                </w:rPr>
                <w:t xml:space="preserve"> </w:t>
              </w:r>
            </w:hyperlink>
            <w:r w:rsidRPr="000074E9">
              <w:rPr>
                <w:rFonts w:ascii="Arial" w:hAnsi="Arial" w:cs="Arial"/>
                <w:sz w:val="18"/>
              </w:rPr>
              <w:t>and</w:t>
            </w:r>
            <w:r w:rsidRPr="000074E9">
              <w:rPr>
                <w:rFonts w:ascii="Arial" w:hAnsi="Arial" w:cs="Arial"/>
                <w:spacing w:val="-1"/>
                <w:sz w:val="18"/>
              </w:rPr>
              <w:t xml:space="preserve"> </w:t>
            </w:r>
            <w:hyperlink w:anchor="_bookmark177" w:history="1">
              <w:r w:rsidRPr="000074E9">
                <w:rPr>
                  <w:rFonts w:ascii="Arial" w:hAnsi="Arial" w:cs="Arial"/>
                  <w:sz w:val="18"/>
                </w:rPr>
                <w:t>BOP.ADD.115(b)</w:t>
              </w:r>
              <w:r w:rsidRPr="000074E9">
                <w:rPr>
                  <w:rFonts w:ascii="Arial" w:hAnsi="Arial" w:cs="Arial"/>
                  <w:spacing w:val="-4"/>
                  <w:sz w:val="18"/>
                </w:rPr>
                <w:t xml:space="preserve"> </w:t>
              </w:r>
              <w:r w:rsidRPr="000074E9">
                <w:rPr>
                  <w:rFonts w:ascii="Arial" w:hAnsi="Arial" w:cs="Arial"/>
                  <w:sz w:val="18"/>
                </w:rPr>
                <w:t>and</w:t>
              </w:r>
              <w:r w:rsidRPr="000074E9">
                <w:rPr>
                  <w:rFonts w:ascii="Arial" w:hAnsi="Arial" w:cs="Arial"/>
                  <w:spacing w:val="-2"/>
                  <w:sz w:val="18"/>
                </w:rPr>
                <w:t xml:space="preserve"> </w:t>
              </w:r>
              <w:r w:rsidRPr="000074E9">
                <w:rPr>
                  <w:rFonts w:ascii="Arial" w:hAnsi="Arial" w:cs="Arial"/>
                  <w:sz w:val="18"/>
                </w:rPr>
                <w:t>(c)</w:t>
              </w:r>
              <w:r w:rsidRPr="000074E9">
                <w:rPr>
                  <w:rFonts w:ascii="Arial" w:hAnsi="Arial" w:cs="Arial"/>
                  <w:spacing w:val="-2"/>
                  <w:sz w:val="18"/>
                </w:rPr>
                <w:t xml:space="preserve"> </w:t>
              </w:r>
            </w:hyperlink>
            <w:r w:rsidRPr="000074E9">
              <w:rPr>
                <w:rFonts w:ascii="Arial" w:hAnsi="Arial" w:cs="Arial"/>
                <w:sz w:val="18"/>
              </w:rPr>
              <w:t>and</w:t>
            </w:r>
            <w:r w:rsidRPr="000074E9">
              <w:rPr>
                <w:rFonts w:ascii="Arial" w:hAnsi="Arial" w:cs="Arial"/>
                <w:spacing w:val="-2"/>
                <w:sz w:val="18"/>
              </w:rPr>
              <w:t xml:space="preserve"> </w:t>
            </w:r>
            <w:r w:rsidRPr="000074E9">
              <w:rPr>
                <w:rFonts w:ascii="Arial" w:hAnsi="Arial" w:cs="Arial"/>
                <w:sz w:val="18"/>
              </w:rPr>
              <w:t>(c)</w:t>
            </w:r>
            <w:r w:rsidRPr="000074E9">
              <w:rPr>
                <w:rFonts w:ascii="Arial" w:hAnsi="Arial" w:cs="Arial"/>
                <w:spacing w:val="-4"/>
                <w:sz w:val="18"/>
              </w:rPr>
              <w:t xml:space="preserve"> </w:t>
            </w:r>
            <w:r w:rsidRPr="000074E9">
              <w:rPr>
                <w:rFonts w:ascii="Arial" w:hAnsi="Arial" w:cs="Arial"/>
                <w:sz w:val="18"/>
              </w:rPr>
              <w:t>of</w:t>
            </w:r>
            <w:r w:rsidRPr="000074E9">
              <w:rPr>
                <w:rFonts w:ascii="Arial" w:hAnsi="Arial" w:cs="Arial"/>
                <w:spacing w:val="-4"/>
                <w:sz w:val="18"/>
              </w:rPr>
              <w:t xml:space="preserve"> </w:t>
            </w:r>
            <w:r w:rsidRPr="000074E9">
              <w:rPr>
                <w:rFonts w:ascii="Arial" w:hAnsi="Arial" w:cs="Arial"/>
                <w:sz w:val="18"/>
              </w:rPr>
              <w:t>Subpart</w:t>
            </w:r>
            <w:r w:rsidRPr="000074E9">
              <w:rPr>
                <w:rFonts w:ascii="Arial" w:hAnsi="Arial" w:cs="Arial"/>
                <w:spacing w:val="-3"/>
                <w:sz w:val="18"/>
              </w:rPr>
              <w:t xml:space="preserve"> </w:t>
            </w:r>
            <w:r w:rsidRPr="000074E9">
              <w:rPr>
                <w:rFonts w:ascii="Arial" w:hAnsi="Arial" w:cs="Arial"/>
                <w:sz w:val="18"/>
              </w:rPr>
              <w:t>ADD.</w:t>
            </w:r>
          </w:p>
        </w:tc>
      </w:tr>
      <w:tr w:rsidR="000074E9" w:rsidRPr="00276D5E" w14:paraId="46D9D6EF" w14:textId="77777777" w:rsidTr="000074E9">
        <w:trPr>
          <w:trHeight w:val="538"/>
        </w:trPr>
        <w:tc>
          <w:tcPr>
            <w:tcW w:w="8926" w:type="dxa"/>
            <w:gridSpan w:val="5"/>
          </w:tcPr>
          <w:p w14:paraId="25584849" w14:textId="65AB1A14" w:rsidR="000074E9" w:rsidRPr="000074E9" w:rsidRDefault="000074E9" w:rsidP="009601C2">
            <w:pPr>
              <w:pStyle w:val="TableParagraph"/>
              <w:spacing w:line="276" w:lineRule="auto"/>
              <w:ind w:left="300" w:hanging="193"/>
              <w:rPr>
                <w:rFonts w:ascii="Arial" w:hAnsi="Arial" w:cs="Arial"/>
                <w:sz w:val="18"/>
              </w:rPr>
            </w:pPr>
            <w:r w:rsidRPr="000074E9">
              <w:rPr>
                <w:rFonts w:ascii="Arial" w:hAnsi="Arial" w:cs="Arial"/>
                <w:w w:val="120"/>
                <w:sz w:val="18"/>
              </w:rPr>
              <w:t>□</w:t>
            </w:r>
            <w:r w:rsidRPr="000074E9">
              <w:rPr>
                <w:rFonts w:ascii="Arial" w:hAnsi="Arial" w:cs="Arial"/>
                <w:spacing w:val="5"/>
                <w:w w:val="125"/>
                <w:sz w:val="18"/>
              </w:rPr>
              <w:t xml:space="preserve"> </w:t>
            </w:r>
            <w:r w:rsidRPr="000074E9">
              <w:rPr>
                <w:rFonts w:ascii="Arial" w:hAnsi="Arial" w:cs="Arial"/>
                <w:sz w:val="18"/>
              </w:rPr>
              <w:t>All</w:t>
            </w:r>
            <w:r w:rsidRPr="000074E9">
              <w:rPr>
                <w:rFonts w:ascii="Arial" w:hAnsi="Arial" w:cs="Arial"/>
                <w:spacing w:val="21"/>
                <w:sz w:val="18"/>
              </w:rPr>
              <w:t xml:space="preserve"> </w:t>
            </w:r>
            <w:r w:rsidRPr="000074E9">
              <w:rPr>
                <w:rFonts w:ascii="Arial" w:hAnsi="Arial" w:cs="Arial"/>
                <w:sz w:val="18"/>
              </w:rPr>
              <w:t>flight</w:t>
            </w:r>
            <w:r w:rsidRPr="000074E9">
              <w:rPr>
                <w:rFonts w:ascii="Arial" w:hAnsi="Arial" w:cs="Arial"/>
                <w:spacing w:val="22"/>
                <w:sz w:val="18"/>
              </w:rPr>
              <w:t xml:space="preserve"> </w:t>
            </w:r>
            <w:r w:rsidRPr="000074E9">
              <w:rPr>
                <w:rFonts w:ascii="Arial" w:hAnsi="Arial" w:cs="Arial"/>
                <w:sz w:val="18"/>
              </w:rPr>
              <w:t>crew</w:t>
            </w:r>
            <w:r w:rsidRPr="000074E9">
              <w:rPr>
                <w:rFonts w:ascii="Arial" w:hAnsi="Arial" w:cs="Arial"/>
                <w:spacing w:val="24"/>
                <w:sz w:val="18"/>
              </w:rPr>
              <w:t xml:space="preserve"> </w:t>
            </w:r>
            <w:r w:rsidRPr="000074E9">
              <w:rPr>
                <w:rFonts w:ascii="Arial" w:hAnsi="Arial" w:cs="Arial"/>
                <w:sz w:val="18"/>
              </w:rPr>
              <w:t>members</w:t>
            </w:r>
            <w:r w:rsidRPr="000074E9">
              <w:rPr>
                <w:rFonts w:ascii="Arial" w:hAnsi="Arial" w:cs="Arial"/>
                <w:spacing w:val="20"/>
                <w:sz w:val="18"/>
              </w:rPr>
              <w:t xml:space="preserve"> </w:t>
            </w:r>
            <w:r w:rsidRPr="000074E9">
              <w:rPr>
                <w:rFonts w:ascii="Arial" w:hAnsi="Arial" w:cs="Arial"/>
                <w:sz w:val="18"/>
              </w:rPr>
              <w:t>hold</w:t>
            </w:r>
            <w:r w:rsidRPr="000074E9">
              <w:rPr>
                <w:rFonts w:ascii="Arial" w:hAnsi="Arial" w:cs="Arial"/>
                <w:spacing w:val="23"/>
                <w:sz w:val="18"/>
              </w:rPr>
              <w:t xml:space="preserve"> </w:t>
            </w:r>
            <w:r w:rsidRPr="000074E9">
              <w:rPr>
                <w:rFonts w:ascii="Arial" w:hAnsi="Arial" w:cs="Arial"/>
                <w:sz w:val="18"/>
              </w:rPr>
              <w:t>a</w:t>
            </w:r>
            <w:r w:rsidRPr="000074E9">
              <w:rPr>
                <w:rFonts w:ascii="Arial" w:hAnsi="Arial" w:cs="Arial"/>
                <w:spacing w:val="22"/>
                <w:sz w:val="18"/>
              </w:rPr>
              <w:t xml:space="preserve"> </w:t>
            </w:r>
            <w:r w:rsidRPr="000074E9">
              <w:rPr>
                <w:rFonts w:ascii="Arial" w:hAnsi="Arial" w:cs="Arial"/>
                <w:sz w:val="18"/>
              </w:rPr>
              <w:t>licence</w:t>
            </w:r>
            <w:r w:rsidRPr="000074E9">
              <w:rPr>
                <w:rFonts w:ascii="Arial" w:hAnsi="Arial" w:cs="Arial"/>
                <w:spacing w:val="20"/>
                <w:sz w:val="18"/>
              </w:rPr>
              <w:t xml:space="preserve"> </w:t>
            </w:r>
            <w:r w:rsidRPr="000074E9">
              <w:rPr>
                <w:rFonts w:ascii="Arial" w:hAnsi="Arial" w:cs="Arial"/>
                <w:sz w:val="18"/>
              </w:rPr>
              <w:t>and</w:t>
            </w:r>
            <w:r w:rsidRPr="000074E9">
              <w:rPr>
                <w:rFonts w:ascii="Arial" w:hAnsi="Arial" w:cs="Arial"/>
                <w:spacing w:val="23"/>
                <w:sz w:val="18"/>
              </w:rPr>
              <w:t xml:space="preserve"> </w:t>
            </w:r>
            <w:r w:rsidRPr="000074E9">
              <w:rPr>
                <w:rFonts w:ascii="Arial" w:hAnsi="Arial" w:cs="Arial"/>
                <w:sz w:val="18"/>
              </w:rPr>
              <w:t>ratings</w:t>
            </w:r>
            <w:r w:rsidRPr="000074E9">
              <w:rPr>
                <w:rFonts w:ascii="Arial" w:hAnsi="Arial" w:cs="Arial"/>
                <w:spacing w:val="20"/>
                <w:sz w:val="18"/>
              </w:rPr>
              <w:t xml:space="preserve"> </w:t>
            </w:r>
            <w:r w:rsidRPr="000074E9">
              <w:rPr>
                <w:rFonts w:ascii="Arial" w:hAnsi="Arial" w:cs="Arial"/>
                <w:sz w:val="18"/>
              </w:rPr>
              <w:t>issued</w:t>
            </w:r>
            <w:r w:rsidRPr="000074E9">
              <w:rPr>
                <w:rFonts w:ascii="Arial" w:hAnsi="Arial" w:cs="Arial"/>
                <w:spacing w:val="22"/>
                <w:sz w:val="18"/>
              </w:rPr>
              <w:t xml:space="preserve"> </w:t>
            </w:r>
            <w:r w:rsidRPr="000074E9">
              <w:rPr>
                <w:rFonts w:ascii="Arial" w:hAnsi="Arial" w:cs="Arial"/>
                <w:sz w:val="18"/>
              </w:rPr>
              <w:t>or</w:t>
            </w:r>
            <w:r w:rsidRPr="000074E9">
              <w:rPr>
                <w:rFonts w:ascii="Arial" w:hAnsi="Arial" w:cs="Arial"/>
                <w:spacing w:val="23"/>
                <w:sz w:val="18"/>
              </w:rPr>
              <w:t xml:space="preserve"> </w:t>
            </w:r>
            <w:r w:rsidRPr="000074E9">
              <w:rPr>
                <w:rFonts w:ascii="Arial" w:hAnsi="Arial" w:cs="Arial"/>
                <w:sz w:val="18"/>
              </w:rPr>
              <w:t>accepted</w:t>
            </w:r>
            <w:r w:rsidRPr="000074E9">
              <w:rPr>
                <w:rFonts w:ascii="Arial" w:hAnsi="Arial" w:cs="Arial"/>
                <w:spacing w:val="22"/>
                <w:sz w:val="18"/>
              </w:rPr>
              <w:t xml:space="preserve"> </w:t>
            </w:r>
            <w:r w:rsidRPr="000074E9">
              <w:rPr>
                <w:rFonts w:ascii="Arial" w:hAnsi="Arial" w:cs="Arial"/>
                <w:sz w:val="18"/>
              </w:rPr>
              <w:t>in</w:t>
            </w:r>
            <w:r w:rsidRPr="000074E9">
              <w:rPr>
                <w:rFonts w:ascii="Arial" w:hAnsi="Arial" w:cs="Arial"/>
                <w:spacing w:val="23"/>
                <w:sz w:val="18"/>
              </w:rPr>
              <w:t xml:space="preserve"> </w:t>
            </w:r>
            <w:r w:rsidRPr="000074E9">
              <w:rPr>
                <w:rFonts w:ascii="Arial" w:hAnsi="Arial" w:cs="Arial"/>
                <w:sz w:val="18"/>
              </w:rPr>
              <w:t>accordance</w:t>
            </w:r>
            <w:r w:rsidRPr="000074E9">
              <w:rPr>
                <w:rFonts w:ascii="Arial" w:hAnsi="Arial" w:cs="Arial"/>
                <w:spacing w:val="20"/>
                <w:sz w:val="18"/>
              </w:rPr>
              <w:t xml:space="preserve"> </w:t>
            </w:r>
            <w:r w:rsidRPr="000074E9">
              <w:rPr>
                <w:rFonts w:ascii="Arial" w:hAnsi="Arial" w:cs="Arial"/>
                <w:sz w:val="18"/>
              </w:rPr>
              <w:t>with</w:t>
            </w:r>
            <w:r w:rsidRPr="000074E9">
              <w:rPr>
                <w:rFonts w:ascii="Arial" w:hAnsi="Arial" w:cs="Arial"/>
                <w:spacing w:val="22"/>
                <w:sz w:val="18"/>
              </w:rPr>
              <w:t xml:space="preserve"> </w:t>
            </w:r>
            <w:r w:rsidRPr="000074E9">
              <w:rPr>
                <w:rFonts w:ascii="Arial" w:hAnsi="Arial" w:cs="Arial"/>
                <w:sz w:val="18"/>
              </w:rPr>
              <w:t>Annex</w:t>
            </w:r>
            <w:r w:rsidRPr="000074E9">
              <w:rPr>
                <w:rFonts w:ascii="Arial" w:hAnsi="Arial" w:cs="Arial"/>
                <w:spacing w:val="22"/>
                <w:sz w:val="18"/>
              </w:rPr>
              <w:t xml:space="preserve"> </w:t>
            </w:r>
            <w:r w:rsidRPr="000074E9">
              <w:rPr>
                <w:rFonts w:ascii="Arial" w:hAnsi="Arial" w:cs="Arial"/>
                <w:sz w:val="18"/>
              </w:rPr>
              <w:t>III</w:t>
            </w:r>
            <w:r w:rsidRPr="000074E9">
              <w:rPr>
                <w:rFonts w:ascii="Arial" w:hAnsi="Arial" w:cs="Arial"/>
                <w:spacing w:val="22"/>
                <w:sz w:val="18"/>
              </w:rPr>
              <w:t xml:space="preserve"> </w:t>
            </w:r>
            <w:r w:rsidRPr="000074E9">
              <w:rPr>
                <w:rFonts w:ascii="Arial" w:hAnsi="Arial" w:cs="Arial"/>
                <w:sz w:val="18"/>
              </w:rPr>
              <w:t xml:space="preserve">to </w:t>
            </w:r>
            <w:r w:rsidR="00357B15">
              <w:rPr>
                <w:rFonts w:ascii="Arial" w:hAnsi="Arial" w:cs="Arial"/>
                <w:sz w:val="18"/>
              </w:rPr>
              <w:t xml:space="preserve"> Balloon Operations Regulation</w:t>
            </w:r>
            <w:r w:rsidRPr="000074E9">
              <w:rPr>
                <w:rFonts w:ascii="Arial" w:hAnsi="Arial" w:cs="Arial"/>
                <w:sz w:val="18"/>
              </w:rPr>
              <w:t>,</w:t>
            </w:r>
            <w:r w:rsidRPr="000074E9">
              <w:rPr>
                <w:rFonts w:ascii="Arial" w:hAnsi="Arial" w:cs="Arial"/>
                <w:spacing w:val="-2"/>
                <w:sz w:val="18"/>
              </w:rPr>
              <w:t xml:space="preserve"> </w:t>
            </w:r>
            <w:r w:rsidRPr="000074E9">
              <w:rPr>
                <w:rFonts w:ascii="Arial" w:hAnsi="Arial" w:cs="Arial"/>
                <w:sz w:val="18"/>
              </w:rPr>
              <w:t>as required</w:t>
            </w:r>
            <w:r w:rsidRPr="000074E9">
              <w:rPr>
                <w:rFonts w:ascii="Arial" w:hAnsi="Arial" w:cs="Arial"/>
                <w:spacing w:val="-2"/>
                <w:sz w:val="18"/>
              </w:rPr>
              <w:t xml:space="preserve"> </w:t>
            </w:r>
            <w:r w:rsidRPr="000074E9">
              <w:rPr>
                <w:rFonts w:ascii="Arial" w:hAnsi="Arial" w:cs="Arial"/>
                <w:sz w:val="18"/>
              </w:rPr>
              <w:t>by</w:t>
            </w:r>
            <w:r w:rsidRPr="000074E9">
              <w:rPr>
                <w:rFonts w:ascii="Arial" w:hAnsi="Arial" w:cs="Arial"/>
                <w:spacing w:val="-2"/>
                <w:sz w:val="18"/>
              </w:rPr>
              <w:t xml:space="preserve"> </w:t>
            </w:r>
            <w:r w:rsidRPr="000074E9">
              <w:rPr>
                <w:rFonts w:ascii="Arial" w:hAnsi="Arial" w:cs="Arial"/>
                <w:sz w:val="18"/>
              </w:rPr>
              <w:t>point</w:t>
            </w:r>
            <w:r w:rsidRPr="000074E9">
              <w:rPr>
                <w:rFonts w:ascii="Arial" w:hAnsi="Arial" w:cs="Arial"/>
                <w:spacing w:val="1"/>
                <w:sz w:val="18"/>
              </w:rPr>
              <w:t xml:space="preserve"> </w:t>
            </w:r>
            <w:hyperlink w:anchor="_bookmark189" w:history="1">
              <w:r w:rsidRPr="000074E9">
                <w:rPr>
                  <w:rFonts w:ascii="Arial" w:hAnsi="Arial" w:cs="Arial"/>
                  <w:sz w:val="18"/>
                </w:rPr>
                <w:t>BOP.ADD.300(c)</w:t>
              </w:r>
              <w:r w:rsidRPr="000074E9">
                <w:rPr>
                  <w:rFonts w:ascii="Arial" w:hAnsi="Arial" w:cs="Arial"/>
                  <w:spacing w:val="-2"/>
                  <w:sz w:val="18"/>
                </w:rPr>
                <w:t xml:space="preserve"> </w:t>
              </w:r>
            </w:hyperlink>
            <w:r w:rsidRPr="000074E9">
              <w:rPr>
                <w:rFonts w:ascii="Arial" w:hAnsi="Arial" w:cs="Arial"/>
                <w:sz w:val="18"/>
              </w:rPr>
              <w:t>of</w:t>
            </w:r>
            <w:r w:rsidRPr="000074E9">
              <w:rPr>
                <w:rFonts w:ascii="Arial" w:hAnsi="Arial" w:cs="Arial"/>
                <w:spacing w:val="-1"/>
                <w:sz w:val="18"/>
              </w:rPr>
              <w:t xml:space="preserve"> </w:t>
            </w:r>
            <w:r w:rsidRPr="000074E9">
              <w:rPr>
                <w:rFonts w:ascii="Arial" w:hAnsi="Arial" w:cs="Arial"/>
                <w:sz w:val="18"/>
              </w:rPr>
              <w:t>Subpart</w:t>
            </w:r>
            <w:r w:rsidRPr="000074E9">
              <w:rPr>
                <w:rFonts w:ascii="Arial" w:hAnsi="Arial" w:cs="Arial"/>
                <w:spacing w:val="-2"/>
                <w:sz w:val="18"/>
              </w:rPr>
              <w:t xml:space="preserve"> </w:t>
            </w:r>
            <w:r w:rsidRPr="000074E9">
              <w:rPr>
                <w:rFonts w:ascii="Arial" w:hAnsi="Arial" w:cs="Arial"/>
                <w:sz w:val="18"/>
              </w:rPr>
              <w:t>ADD.</w:t>
            </w:r>
          </w:p>
        </w:tc>
      </w:tr>
      <w:tr w:rsidR="000074E9" w:rsidRPr="00276D5E" w14:paraId="54DA5F20" w14:textId="77777777" w:rsidTr="000074E9">
        <w:trPr>
          <w:trHeight w:val="1345"/>
        </w:trPr>
        <w:tc>
          <w:tcPr>
            <w:tcW w:w="8926" w:type="dxa"/>
            <w:gridSpan w:val="5"/>
          </w:tcPr>
          <w:p w14:paraId="2E17746E" w14:textId="5F0C1FCC" w:rsidR="000074E9" w:rsidRPr="000074E9" w:rsidRDefault="000074E9" w:rsidP="002C3FB9">
            <w:pPr>
              <w:pStyle w:val="TableParagraph"/>
              <w:spacing w:line="276" w:lineRule="auto"/>
              <w:ind w:left="300" w:right="99" w:hanging="193"/>
              <w:jc w:val="both"/>
              <w:rPr>
                <w:rFonts w:ascii="Arial" w:hAnsi="Arial" w:cs="Arial"/>
                <w:sz w:val="18"/>
              </w:rPr>
            </w:pPr>
            <w:r w:rsidRPr="000074E9">
              <w:rPr>
                <w:rFonts w:ascii="Arial" w:hAnsi="Arial" w:cs="Arial"/>
                <w:w w:val="120"/>
                <w:sz w:val="18"/>
              </w:rPr>
              <w:t>□</w:t>
            </w:r>
            <w:r w:rsidRPr="000074E9">
              <w:rPr>
                <w:rFonts w:ascii="Arial" w:hAnsi="Arial" w:cs="Arial"/>
                <w:spacing w:val="11"/>
                <w:w w:val="120"/>
                <w:sz w:val="18"/>
              </w:rPr>
              <w:t xml:space="preserve"> </w:t>
            </w:r>
            <w:r w:rsidRPr="000074E9">
              <w:rPr>
                <w:rFonts w:ascii="Arial" w:hAnsi="Arial" w:cs="Arial"/>
                <w:sz w:val="18"/>
              </w:rPr>
              <w:t>The</w:t>
            </w:r>
            <w:r w:rsidRPr="000074E9">
              <w:rPr>
                <w:rFonts w:ascii="Arial" w:hAnsi="Arial" w:cs="Arial"/>
                <w:spacing w:val="-6"/>
                <w:sz w:val="18"/>
              </w:rPr>
              <w:t xml:space="preserve"> </w:t>
            </w:r>
            <w:r w:rsidRPr="000074E9">
              <w:rPr>
                <w:rFonts w:ascii="Arial" w:hAnsi="Arial" w:cs="Arial"/>
                <w:sz w:val="18"/>
              </w:rPr>
              <w:t>operator</w:t>
            </w:r>
            <w:r w:rsidRPr="000074E9">
              <w:rPr>
                <w:rFonts w:ascii="Arial" w:hAnsi="Arial" w:cs="Arial"/>
                <w:spacing w:val="-4"/>
                <w:sz w:val="18"/>
              </w:rPr>
              <w:t xml:space="preserve"> </w:t>
            </w:r>
            <w:r w:rsidRPr="000074E9">
              <w:rPr>
                <w:rFonts w:ascii="Arial" w:hAnsi="Arial" w:cs="Arial"/>
                <w:sz w:val="18"/>
              </w:rPr>
              <w:t>will</w:t>
            </w:r>
            <w:r w:rsidRPr="000074E9">
              <w:rPr>
                <w:rFonts w:ascii="Arial" w:hAnsi="Arial" w:cs="Arial"/>
                <w:spacing w:val="-4"/>
                <w:sz w:val="18"/>
              </w:rPr>
              <w:t xml:space="preserve"> </w:t>
            </w:r>
            <w:r w:rsidRPr="000074E9">
              <w:rPr>
                <w:rFonts w:ascii="Arial" w:hAnsi="Arial" w:cs="Arial"/>
                <w:sz w:val="18"/>
              </w:rPr>
              <w:t>notify</w:t>
            </w:r>
            <w:r w:rsidRPr="000074E9">
              <w:rPr>
                <w:rFonts w:ascii="Arial" w:hAnsi="Arial" w:cs="Arial"/>
                <w:spacing w:val="-3"/>
                <w:sz w:val="18"/>
              </w:rPr>
              <w:t xml:space="preserve"> </w:t>
            </w:r>
            <w:r w:rsidRPr="000074E9">
              <w:rPr>
                <w:rFonts w:ascii="Arial" w:hAnsi="Arial" w:cs="Arial"/>
                <w:sz w:val="18"/>
              </w:rPr>
              <w:t>the</w:t>
            </w:r>
            <w:r w:rsidRPr="000074E9">
              <w:rPr>
                <w:rFonts w:ascii="Arial" w:hAnsi="Arial" w:cs="Arial"/>
                <w:spacing w:val="-3"/>
                <w:sz w:val="18"/>
              </w:rPr>
              <w:t xml:space="preserve"> </w:t>
            </w:r>
            <w:r w:rsidR="00A804D2">
              <w:rPr>
                <w:rFonts w:ascii="Arial" w:hAnsi="Arial" w:cs="Arial"/>
                <w:sz w:val="20"/>
                <w:szCs w:val="20"/>
              </w:rPr>
              <w:t xml:space="preserve"> </w:t>
            </w:r>
            <w:r w:rsidR="00A804D2" w:rsidRPr="00A804D2">
              <w:rPr>
                <w:rFonts w:ascii="Arial" w:hAnsi="Arial" w:cs="Arial"/>
                <w:sz w:val="18"/>
              </w:rPr>
              <w:t xml:space="preserve">CAC RA </w:t>
            </w:r>
            <w:r w:rsidRPr="000074E9">
              <w:rPr>
                <w:rFonts w:ascii="Arial" w:hAnsi="Arial" w:cs="Arial"/>
                <w:sz w:val="18"/>
              </w:rPr>
              <w:t>of</w:t>
            </w:r>
            <w:r w:rsidRPr="000074E9">
              <w:rPr>
                <w:rFonts w:ascii="Arial" w:hAnsi="Arial" w:cs="Arial"/>
                <w:spacing w:val="-5"/>
                <w:sz w:val="18"/>
              </w:rPr>
              <w:t xml:space="preserve"> </w:t>
            </w:r>
            <w:r w:rsidRPr="000074E9">
              <w:rPr>
                <w:rFonts w:ascii="Arial" w:hAnsi="Arial" w:cs="Arial"/>
                <w:sz w:val="18"/>
              </w:rPr>
              <w:t>any</w:t>
            </w:r>
            <w:r w:rsidRPr="000074E9">
              <w:rPr>
                <w:rFonts w:ascii="Arial" w:hAnsi="Arial" w:cs="Arial"/>
                <w:spacing w:val="-4"/>
                <w:sz w:val="18"/>
              </w:rPr>
              <w:t xml:space="preserve"> </w:t>
            </w:r>
            <w:r w:rsidRPr="000074E9">
              <w:rPr>
                <w:rFonts w:ascii="Arial" w:hAnsi="Arial" w:cs="Arial"/>
                <w:sz w:val="18"/>
              </w:rPr>
              <w:t>changes</w:t>
            </w:r>
            <w:r w:rsidRPr="000074E9">
              <w:rPr>
                <w:rFonts w:ascii="Arial" w:hAnsi="Arial" w:cs="Arial"/>
                <w:spacing w:val="-5"/>
                <w:sz w:val="18"/>
              </w:rPr>
              <w:t xml:space="preserve"> </w:t>
            </w:r>
            <w:r w:rsidRPr="000074E9">
              <w:rPr>
                <w:rFonts w:ascii="Arial" w:hAnsi="Arial" w:cs="Arial"/>
                <w:sz w:val="18"/>
              </w:rPr>
              <w:t>in</w:t>
            </w:r>
            <w:r w:rsidRPr="000074E9">
              <w:rPr>
                <w:rFonts w:ascii="Arial" w:hAnsi="Arial" w:cs="Arial"/>
                <w:spacing w:val="-3"/>
                <w:sz w:val="18"/>
              </w:rPr>
              <w:t xml:space="preserve"> </w:t>
            </w:r>
            <w:r w:rsidRPr="000074E9">
              <w:rPr>
                <w:rFonts w:ascii="Arial" w:hAnsi="Arial" w:cs="Arial"/>
                <w:sz w:val="18"/>
              </w:rPr>
              <w:t>circumstances</w:t>
            </w:r>
            <w:r w:rsidRPr="000074E9">
              <w:rPr>
                <w:rFonts w:ascii="Arial" w:hAnsi="Arial" w:cs="Arial"/>
                <w:spacing w:val="-5"/>
                <w:sz w:val="18"/>
              </w:rPr>
              <w:t xml:space="preserve"> </w:t>
            </w:r>
            <w:r w:rsidRPr="000074E9">
              <w:rPr>
                <w:rFonts w:ascii="Arial" w:hAnsi="Arial" w:cs="Arial"/>
                <w:sz w:val="18"/>
              </w:rPr>
              <w:t>affecting</w:t>
            </w:r>
            <w:r w:rsidRPr="000074E9">
              <w:rPr>
                <w:rFonts w:ascii="Arial" w:hAnsi="Arial" w:cs="Arial"/>
                <w:spacing w:val="-5"/>
                <w:sz w:val="18"/>
              </w:rPr>
              <w:t xml:space="preserve"> </w:t>
            </w:r>
            <w:r w:rsidRPr="000074E9">
              <w:rPr>
                <w:rFonts w:ascii="Arial" w:hAnsi="Arial" w:cs="Arial"/>
                <w:sz w:val="18"/>
              </w:rPr>
              <w:t>its</w:t>
            </w:r>
            <w:r w:rsidRPr="000074E9">
              <w:rPr>
                <w:rFonts w:ascii="Arial" w:hAnsi="Arial" w:cs="Arial"/>
                <w:spacing w:val="-5"/>
                <w:sz w:val="18"/>
              </w:rPr>
              <w:t xml:space="preserve"> </w:t>
            </w:r>
            <w:r w:rsidRPr="000074E9">
              <w:rPr>
                <w:rFonts w:ascii="Arial" w:hAnsi="Arial" w:cs="Arial"/>
                <w:sz w:val="18"/>
              </w:rPr>
              <w:t>compliance</w:t>
            </w:r>
            <w:r w:rsidRPr="000074E9">
              <w:rPr>
                <w:rFonts w:ascii="Arial" w:hAnsi="Arial" w:cs="Arial"/>
                <w:spacing w:val="-43"/>
                <w:sz w:val="18"/>
              </w:rPr>
              <w:t xml:space="preserve"> </w:t>
            </w:r>
            <w:r w:rsidRPr="000074E9">
              <w:rPr>
                <w:rFonts w:ascii="Arial" w:hAnsi="Arial" w:cs="Arial"/>
                <w:sz w:val="18"/>
              </w:rPr>
              <w:t>with</w:t>
            </w:r>
            <w:r w:rsidRPr="000074E9">
              <w:rPr>
                <w:rFonts w:ascii="Arial" w:hAnsi="Arial" w:cs="Arial"/>
                <w:spacing w:val="1"/>
                <w:sz w:val="18"/>
              </w:rPr>
              <w:t xml:space="preserve"> </w:t>
            </w:r>
            <w:r w:rsidRPr="000074E9">
              <w:rPr>
                <w:rFonts w:ascii="Arial" w:hAnsi="Arial" w:cs="Arial"/>
                <w:sz w:val="18"/>
              </w:rPr>
              <w:t>the</w:t>
            </w:r>
            <w:r w:rsidRPr="000074E9">
              <w:rPr>
                <w:rFonts w:ascii="Arial" w:hAnsi="Arial" w:cs="Arial"/>
                <w:spacing w:val="1"/>
                <w:sz w:val="18"/>
              </w:rPr>
              <w:t xml:space="preserve"> </w:t>
            </w:r>
            <w:r w:rsidRPr="000074E9">
              <w:rPr>
                <w:rFonts w:ascii="Arial" w:hAnsi="Arial" w:cs="Arial"/>
                <w:sz w:val="18"/>
              </w:rPr>
              <w:t>essential</w:t>
            </w:r>
            <w:r w:rsidRPr="000074E9">
              <w:rPr>
                <w:rFonts w:ascii="Arial" w:hAnsi="Arial" w:cs="Arial"/>
                <w:spacing w:val="1"/>
                <w:sz w:val="18"/>
              </w:rPr>
              <w:t xml:space="preserve"> </w:t>
            </w:r>
            <w:r w:rsidRPr="000074E9">
              <w:rPr>
                <w:rFonts w:ascii="Arial" w:hAnsi="Arial" w:cs="Arial"/>
                <w:sz w:val="18"/>
              </w:rPr>
              <w:t>requirements</w:t>
            </w:r>
            <w:r w:rsidRPr="000074E9">
              <w:rPr>
                <w:rFonts w:ascii="Arial" w:hAnsi="Arial" w:cs="Arial"/>
                <w:spacing w:val="1"/>
                <w:sz w:val="18"/>
              </w:rPr>
              <w:t xml:space="preserve"> </w:t>
            </w:r>
            <w:r w:rsidRPr="000074E9">
              <w:rPr>
                <w:rFonts w:ascii="Arial" w:hAnsi="Arial" w:cs="Arial"/>
                <w:sz w:val="18"/>
              </w:rPr>
              <w:t>set</w:t>
            </w:r>
            <w:r w:rsidRPr="000074E9">
              <w:rPr>
                <w:rFonts w:ascii="Arial" w:hAnsi="Arial" w:cs="Arial"/>
                <w:spacing w:val="1"/>
                <w:sz w:val="18"/>
              </w:rPr>
              <w:t xml:space="preserve"> </w:t>
            </w:r>
            <w:r w:rsidRPr="000074E9">
              <w:rPr>
                <w:rFonts w:ascii="Arial" w:hAnsi="Arial" w:cs="Arial"/>
                <w:sz w:val="18"/>
              </w:rPr>
              <w:t>out</w:t>
            </w:r>
            <w:r w:rsidRPr="000074E9">
              <w:rPr>
                <w:rFonts w:ascii="Arial" w:hAnsi="Arial" w:cs="Arial"/>
                <w:spacing w:val="1"/>
                <w:sz w:val="18"/>
              </w:rPr>
              <w:t xml:space="preserve"> </w:t>
            </w:r>
            <w:r w:rsidRPr="000074E9">
              <w:rPr>
                <w:rFonts w:ascii="Arial" w:hAnsi="Arial" w:cs="Arial"/>
                <w:sz w:val="18"/>
              </w:rPr>
              <w:t>in</w:t>
            </w:r>
            <w:r w:rsidRPr="000074E9">
              <w:rPr>
                <w:rFonts w:ascii="Arial" w:hAnsi="Arial" w:cs="Arial"/>
                <w:spacing w:val="1"/>
                <w:sz w:val="18"/>
              </w:rPr>
              <w:t xml:space="preserve"> </w:t>
            </w:r>
            <w:hyperlink r:id="rId76" w:history="1">
              <w:r w:rsidR="005C2A3C" w:rsidRPr="005C2A3C">
                <w:rPr>
                  <w:rStyle w:val="Hyperlink"/>
                  <w:rFonts w:ascii="Arial" w:hAnsi="Arial" w:cs="Arial"/>
                  <w:sz w:val="18"/>
                  <w:szCs w:val="18"/>
                </w:rPr>
                <w:t>Law on Aviation of the Republic of Armenia</w:t>
              </w:r>
            </w:hyperlink>
            <w:r w:rsidR="005C2A3C">
              <w:rPr>
                <w:rFonts w:ascii="Arial" w:hAnsi="Arial" w:cs="Arial"/>
                <w:sz w:val="18"/>
                <w:szCs w:val="18"/>
              </w:rPr>
              <w:t xml:space="preserve"> </w:t>
            </w:r>
            <w:r w:rsidRPr="005C2A3C">
              <w:rPr>
                <w:rFonts w:ascii="Arial" w:hAnsi="Arial" w:cs="Arial"/>
                <w:sz w:val="18"/>
                <w:szCs w:val="18"/>
              </w:rPr>
              <w:t>an</w:t>
            </w:r>
            <w:r w:rsidRPr="000074E9">
              <w:rPr>
                <w:rFonts w:ascii="Arial" w:hAnsi="Arial" w:cs="Arial"/>
                <w:sz w:val="18"/>
              </w:rPr>
              <w:t>d</w:t>
            </w:r>
            <w:r w:rsidRPr="000074E9">
              <w:rPr>
                <w:rFonts w:ascii="Arial" w:hAnsi="Arial" w:cs="Arial"/>
                <w:spacing w:val="1"/>
                <w:sz w:val="18"/>
              </w:rPr>
              <w:t xml:space="preserve"> </w:t>
            </w:r>
            <w:r w:rsidRPr="000074E9">
              <w:rPr>
                <w:rFonts w:ascii="Arial" w:hAnsi="Arial" w:cs="Arial"/>
                <w:sz w:val="18"/>
              </w:rPr>
              <w:t>with</w:t>
            </w:r>
            <w:r w:rsidRPr="000074E9">
              <w:rPr>
                <w:rFonts w:ascii="Arial" w:hAnsi="Arial" w:cs="Arial"/>
                <w:spacing w:val="1"/>
                <w:sz w:val="18"/>
              </w:rPr>
              <w:t xml:space="preserve"> </w:t>
            </w:r>
            <w:r w:rsidRPr="000074E9">
              <w:rPr>
                <w:rFonts w:ascii="Arial" w:hAnsi="Arial" w:cs="Arial"/>
                <w:sz w:val="18"/>
              </w:rPr>
              <w:t>the</w:t>
            </w:r>
            <w:r w:rsidRPr="000074E9">
              <w:rPr>
                <w:rFonts w:ascii="Arial" w:hAnsi="Arial" w:cs="Arial"/>
                <w:spacing w:val="1"/>
                <w:sz w:val="18"/>
              </w:rPr>
              <w:t xml:space="preserve"> </w:t>
            </w:r>
            <w:r w:rsidRPr="000074E9">
              <w:rPr>
                <w:rFonts w:ascii="Arial" w:hAnsi="Arial" w:cs="Arial"/>
                <w:sz w:val="18"/>
              </w:rPr>
              <w:t>requirements</w:t>
            </w:r>
            <w:r w:rsidRPr="000074E9">
              <w:rPr>
                <w:rFonts w:ascii="Arial" w:hAnsi="Arial" w:cs="Arial"/>
                <w:spacing w:val="1"/>
                <w:sz w:val="18"/>
              </w:rPr>
              <w:t xml:space="preserve"> </w:t>
            </w:r>
            <w:r w:rsidRPr="000074E9">
              <w:rPr>
                <w:rFonts w:ascii="Arial" w:hAnsi="Arial" w:cs="Arial"/>
                <w:sz w:val="18"/>
              </w:rPr>
              <w:t>of</w:t>
            </w:r>
            <w:r w:rsidRPr="000074E9">
              <w:rPr>
                <w:rFonts w:ascii="Arial" w:hAnsi="Arial" w:cs="Arial"/>
                <w:spacing w:val="1"/>
                <w:sz w:val="18"/>
              </w:rPr>
              <w:t xml:space="preserve"> </w:t>
            </w:r>
            <w:r w:rsidR="00357B15" w:rsidRPr="00357B15">
              <w:rPr>
                <w:rFonts w:ascii="Arial" w:hAnsi="Arial" w:cs="Arial"/>
                <w:sz w:val="18"/>
              </w:rPr>
              <w:t xml:space="preserve"> Balloon Operations Regulation </w:t>
            </w:r>
            <w:r w:rsidRPr="000074E9">
              <w:rPr>
                <w:rFonts w:ascii="Arial" w:hAnsi="Arial" w:cs="Arial"/>
                <w:sz w:val="18"/>
              </w:rPr>
              <w:t>as</w:t>
            </w:r>
            <w:r w:rsidRPr="000074E9">
              <w:rPr>
                <w:rFonts w:ascii="Arial" w:hAnsi="Arial" w:cs="Arial"/>
                <w:spacing w:val="1"/>
                <w:sz w:val="18"/>
              </w:rPr>
              <w:t xml:space="preserve"> </w:t>
            </w:r>
            <w:r w:rsidRPr="000074E9">
              <w:rPr>
                <w:rFonts w:ascii="Arial" w:hAnsi="Arial" w:cs="Arial"/>
                <w:sz w:val="18"/>
              </w:rPr>
              <w:t>declared</w:t>
            </w:r>
            <w:r w:rsidRPr="000074E9">
              <w:rPr>
                <w:rFonts w:ascii="Arial" w:hAnsi="Arial" w:cs="Arial"/>
                <w:spacing w:val="1"/>
                <w:sz w:val="18"/>
              </w:rPr>
              <w:t xml:space="preserve"> </w:t>
            </w:r>
            <w:r w:rsidRPr="000074E9">
              <w:rPr>
                <w:rFonts w:ascii="Arial" w:hAnsi="Arial" w:cs="Arial"/>
                <w:sz w:val="18"/>
              </w:rPr>
              <w:t>to</w:t>
            </w:r>
            <w:r w:rsidRPr="000074E9">
              <w:rPr>
                <w:rFonts w:ascii="Arial" w:hAnsi="Arial" w:cs="Arial"/>
                <w:spacing w:val="1"/>
                <w:sz w:val="18"/>
              </w:rPr>
              <w:t xml:space="preserve"> </w:t>
            </w:r>
            <w:r w:rsidRPr="000074E9">
              <w:rPr>
                <w:rFonts w:ascii="Arial" w:hAnsi="Arial" w:cs="Arial"/>
                <w:sz w:val="18"/>
              </w:rPr>
              <w:t>the</w:t>
            </w:r>
            <w:r w:rsidRPr="000074E9">
              <w:rPr>
                <w:rFonts w:ascii="Arial" w:hAnsi="Arial" w:cs="Arial"/>
                <w:spacing w:val="1"/>
                <w:sz w:val="18"/>
              </w:rPr>
              <w:t xml:space="preserve"> </w:t>
            </w:r>
            <w:r w:rsidR="002C3FB9">
              <w:rPr>
                <w:rFonts w:ascii="Arial" w:hAnsi="Arial" w:cs="Arial"/>
                <w:sz w:val="20"/>
                <w:szCs w:val="20"/>
              </w:rPr>
              <w:t xml:space="preserve"> </w:t>
            </w:r>
            <w:r w:rsidR="002C3FB9" w:rsidRPr="002C3FB9">
              <w:rPr>
                <w:rFonts w:ascii="Arial" w:hAnsi="Arial" w:cs="Arial"/>
                <w:sz w:val="18"/>
                <w:szCs w:val="18"/>
              </w:rPr>
              <w:t>CAC RA</w:t>
            </w:r>
            <w:r w:rsidR="002C3FB9" w:rsidRPr="004A51D5">
              <w:rPr>
                <w:rFonts w:ascii="Arial" w:hAnsi="Arial" w:cs="Arial"/>
                <w:spacing w:val="1"/>
                <w:sz w:val="20"/>
                <w:szCs w:val="20"/>
              </w:rPr>
              <w:t xml:space="preserve"> </w:t>
            </w:r>
            <w:r w:rsidRPr="000074E9">
              <w:rPr>
                <w:rFonts w:ascii="Arial" w:hAnsi="Arial" w:cs="Arial"/>
                <w:sz w:val="18"/>
              </w:rPr>
              <w:t>through</w:t>
            </w:r>
            <w:r w:rsidRPr="000074E9">
              <w:rPr>
                <w:rFonts w:ascii="Arial" w:hAnsi="Arial" w:cs="Arial"/>
                <w:spacing w:val="1"/>
                <w:sz w:val="18"/>
              </w:rPr>
              <w:t xml:space="preserve"> </w:t>
            </w:r>
            <w:r w:rsidRPr="000074E9">
              <w:rPr>
                <w:rFonts w:ascii="Arial" w:hAnsi="Arial" w:cs="Arial"/>
                <w:sz w:val="18"/>
              </w:rPr>
              <w:t>this</w:t>
            </w:r>
            <w:r w:rsidRPr="000074E9">
              <w:rPr>
                <w:rFonts w:ascii="Arial" w:hAnsi="Arial" w:cs="Arial"/>
                <w:spacing w:val="1"/>
                <w:sz w:val="18"/>
              </w:rPr>
              <w:t xml:space="preserve"> </w:t>
            </w:r>
            <w:r w:rsidRPr="000074E9">
              <w:rPr>
                <w:rFonts w:ascii="Arial" w:hAnsi="Arial" w:cs="Arial"/>
                <w:sz w:val="18"/>
              </w:rPr>
              <w:t>declaration</w:t>
            </w:r>
            <w:r w:rsidRPr="000074E9">
              <w:rPr>
                <w:rFonts w:ascii="Arial" w:hAnsi="Arial" w:cs="Arial"/>
                <w:spacing w:val="25"/>
                <w:sz w:val="18"/>
              </w:rPr>
              <w:t xml:space="preserve"> </w:t>
            </w:r>
            <w:r w:rsidRPr="000074E9">
              <w:rPr>
                <w:rFonts w:ascii="Arial" w:hAnsi="Arial" w:cs="Arial"/>
                <w:sz w:val="18"/>
              </w:rPr>
              <w:t>and</w:t>
            </w:r>
            <w:r w:rsidRPr="000074E9">
              <w:rPr>
                <w:rFonts w:ascii="Arial" w:hAnsi="Arial" w:cs="Arial"/>
                <w:spacing w:val="25"/>
                <w:sz w:val="18"/>
              </w:rPr>
              <w:t xml:space="preserve"> </w:t>
            </w:r>
            <w:r w:rsidRPr="000074E9">
              <w:rPr>
                <w:rFonts w:ascii="Arial" w:hAnsi="Arial" w:cs="Arial"/>
                <w:sz w:val="18"/>
              </w:rPr>
              <w:t>any</w:t>
            </w:r>
            <w:r w:rsidRPr="000074E9">
              <w:rPr>
                <w:rFonts w:ascii="Arial" w:hAnsi="Arial" w:cs="Arial"/>
                <w:spacing w:val="25"/>
                <w:sz w:val="18"/>
              </w:rPr>
              <w:t xml:space="preserve"> </w:t>
            </w:r>
            <w:r w:rsidRPr="000074E9">
              <w:rPr>
                <w:rFonts w:ascii="Arial" w:hAnsi="Arial" w:cs="Arial"/>
                <w:sz w:val="18"/>
              </w:rPr>
              <w:t>changes</w:t>
            </w:r>
            <w:r w:rsidRPr="000074E9">
              <w:rPr>
                <w:rFonts w:ascii="Arial" w:hAnsi="Arial" w:cs="Arial"/>
                <w:spacing w:val="23"/>
                <w:sz w:val="18"/>
              </w:rPr>
              <w:t xml:space="preserve"> </w:t>
            </w:r>
            <w:r w:rsidRPr="000074E9">
              <w:rPr>
                <w:rFonts w:ascii="Arial" w:hAnsi="Arial" w:cs="Arial"/>
                <w:sz w:val="18"/>
              </w:rPr>
              <w:t>to</w:t>
            </w:r>
            <w:r w:rsidRPr="000074E9">
              <w:rPr>
                <w:rFonts w:ascii="Arial" w:hAnsi="Arial" w:cs="Arial"/>
                <w:spacing w:val="25"/>
                <w:sz w:val="18"/>
              </w:rPr>
              <w:t xml:space="preserve"> </w:t>
            </w:r>
            <w:r w:rsidRPr="000074E9">
              <w:rPr>
                <w:rFonts w:ascii="Arial" w:hAnsi="Arial" w:cs="Arial"/>
                <w:sz w:val="18"/>
              </w:rPr>
              <w:t>the</w:t>
            </w:r>
            <w:r w:rsidRPr="000074E9">
              <w:rPr>
                <w:rFonts w:ascii="Arial" w:hAnsi="Arial" w:cs="Arial"/>
                <w:spacing w:val="24"/>
                <w:sz w:val="18"/>
              </w:rPr>
              <w:t xml:space="preserve"> </w:t>
            </w:r>
            <w:r w:rsidRPr="000074E9">
              <w:rPr>
                <w:rFonts w:ascii="Arial" w:hAnsi="Arial" w:cs="Arial"/>
                <w:sz w:val="18"/>
              </w:rPr>
              <w:t>information</w:t>
            </w:r>
            <w:r w:rsidRPr="000074E9">
              <w:rPr>
                <w:rFonts w:ascii="Arial" w:hAnsi="Arial" w:cs="Arial"/>
                <w:spacing w:val="25"/>
                <w:sz w:val="18"/>
              </w:rPr>
              <w:t xml:space="preserve"> </w:t>
            </w:r>
            <w:r w:rsidRPr="000074E9">
              <w:rPr>
                <w:rFonts w:ascii="Arial" w:hAnsi="Arial" w:cs="Arial"/>
                <w:sz w:val="18"/>
              </w:rPr>
              <w:t>and</w:t>
            </w:r>
            <w:r w:rsidRPr="000074E9">
              <w:rPr>
                <w:rFonts w:ascii="Arial" w:hAnsi="Arial" w:cs="Arial"/>
                <w:spacing w:val="22"/>
                <w:sz w:val="18"/>
              </w:rPr>
              <w:t xml:space="preserve"> </w:t>
            </w:r>
            <w:r w:rsidRPr="000074E9">
              <w:rPr>
                <w:rFonts w:ascii="Arial" w:hAnsi="Arial" w:cs="Arial"/>
                <w:sz w:val="18"/>
              </w:rPr>
              <w:t>lists</w:t>
            </w:r>
            <w:r w:rsidRPr="000074E9">
              <w:rPr>
                <w:rFonts w:ascii="Arial" w:hAnsi="Arial" w:cs="Arial"/>
                <w:spacing w:val="25"/>
                <w:sz w:val="18"/>
              </w:rPr>
              <w:t xml:space="preserve"> </w:t>
            </w:r>
            <w:r w:rsidRPr="000074E9">
              <w:rPr>
                <w:rFonts w:ascii="Arial" w:hAnsi="Arial" w:cs="Arial"/>
                <w:sz w:val="18"/>
              </w:rPr>
              <w:t>of</w:t>
            </w:r>
            <w:r w:rsidRPr="000074E9">
              <w:rPr>
                <w:rFonts w:ascii="Arial" w:hAnsi="Arial" w:cs="Arial"/>
                <w:spacing w:val="23"/>
                <w:sz w:val="18"/>
              </w:rPr>
              <w:t xml:space="preserve"> </w:t>
            </w:r>
            <w:r w:rsidRPr="000074E9">
              <w:rPr>
                <w:rFonts w:ascii="Arial" w:hAnsi="Arial" w:cs="Arial"/>
                <w:sz w:val="18"/>
              </w:rPr>
              <w:t>AltMoCs</w:t>
            </w:r>
            <w:r w:rsidRPr="000074E9">
              <w:rPr>
                <w:rFonts w:ascii="Arial" w:hAnsi="Arial" w:cs="Arial"/>
                <w:spacing w:val="22"/>
                <w:sz w:val="18"/>
              </w:rPr>
              <w:t xml:space="preserve"> </w:t>
            </w:r>
            <w:r w:rsidRPr="000074E9">
              <w:rPr>
                <w:rFonts w:ascii="Arial" w:hAnsi="Arial" w:cs="Arial"/>
                <w:sz w:val="18"/>
              </w:rPr>
              <w:t>included</w:t>
            </w:r>
            <w:r w:rsidRPr="000074E9">
              <w:rPr>
                <w:rFonts w:ascii="Arial" w:hAnsi="Arial" w:cs="Arial"/>
                <w:spacing w:val="26"/>
                <w:sz w:val="18"/>
              </w:rPr>
              <w:t xml:space="preserve"> </w:t>
            </w:r>
            <w:r w:rsidRPr="000074E9">
              <w:rPr>
                <w:rFonts w:ascii="Arial" w:hAnsi="Arial" w:cs="Arial"/>
                <w:sz w:val="18"/>
              </w:rPr>
              <w:t>in</w:t>
            </w:r>
            <w:r w:rsidRPr="000074E9">
              <w:rPr>
                <w:rFonts w:ascii="Arial" w:hAnsi="Arial" w:cs="Arial"/>
                <w:spacing w:val="24"/>
                <w:sz w:val="18"/>
              </w:rPr>
              <w:t xml:space="preserve"> </w:t>
            </w:r>
            <w:r w:rsidRPr="000074E9">
              <w:rPr>
                <w:rFonts w:ascii="Arial" w:hAnsi="Arial" w:cs="Arial"/>
                <w:sz w:val="18"/>
              </w:rPr>
              <w:t>and</w:t>
            </w:r>
            <w:r w:rsidRPr="000074E9">
              <w:rPr>
                <w:rFonts w:ascii="Arial" w:hAnsi="Arial" w:cs="Arial"/>
                <w:spacing w:val="22"/>
                <w:sz w:val="18"/>
              </w:rPr>
              <w:t xml:space="preserve"> </w:t>
            </w:r>
            <w:r w:rsidRPr="000074E9">
              <w:rPr>
                <w:rFonts w:ascii="Arial" w:hAnsi="Arial" w:cs="Arial"/>
                <w:sz w:val="18"/>
              </w:rPr>
              <w:t>annexed</w:t>
            </w:r>
            <w:r w:rsidRPr="000074E9">
              <w:rPr>
                <w:rFonts w:ascii="Arial" w:hAnsi="Arial" w:cs="Arial"/>
                <w:spacing w:val="25"/>
                <w:sz w:val="18"/>
              </w:rPr>
              <w:t xml:space="preserve"> </w:t>
            </w:r>
            <w:r w:rsidRPr="000074E9">
              <w:rPr>
                <w:rFonts w:ascii="Arial" w:hAnsi="Arial" w:cs="Arial"/>
                <w:sz w:val="18"/>
              </w:rPr>
              <w:t>to</w:t>
            </w:r>
            <w:r w:rsidRPr="000074E9">
              <w:rPr>
                <w:rFonts w:ascii="Arial" w:hAnsi="Arial" w:cs="Arial"/>
                <w:spacing w:val="25"/>
                <w:sz w:val="18"/>
              </w:rPr>
              <w:t xml:space="preserve"> </w:t>
            </w:r>
            <w:r w:rsidRPr="000074E9">
              <w:rPr>
                <w:rFonts w:ascii="Arial" w:hAnsi="Arial" w:cs="Arial"/>
                <w:sz w:val="18"/>
              </w:rPr>
              <w:t>this declaration,</w:t>
            </w:r>
            <w:r w:rsidRPr="000074E9">
              <w:rPr>
                <w:rFonts w:ascii="Arial" w:hAnsi="Arial" w:cs="Arial"/>
                <w:spacing w:val="-3"/>
                <w:sz w:val="18"/>
              </w:rPr>
              <w:t xml:space="preserve"> </w:t>
            </w:r>
            <w:r w:rsidRPr="000074E9">
              <w:rPr>
                <w:rFonts w:ascii="Arial" w:hAnsi="Arial" w:cs="Arial"/>
                <w:sz w:val="18"/>
              </w:rPr>
              <w:t>as</w:t>
            </w:r>
            <w:r w:rsidRPr="000074E9">
              <w:rPr>
                <w:rFonts w:ascii="Arial" w:hAnsi="Arial" w:cs="Arial"/>
                <w:spacing w:val="-4"/>
                <w:sz w:val="18"/>
              </w:rPr>
              <w:t xml:space="preserve"> </w:t>
            </w:r>
            <w:r w:rsidRPr="000074E9">
              <w:rPr>
                <w:rFonts w:ascii="Arial" w:hAnsi="Arial" w:cs="Arial"/>
                <w:sz w:val="18"/>
              </w:rPr>
              <w:t>required</w:t>
            </w:r>
            <w:r w:rsidRPr="000074E9">
              <w:rPr>
                <w:rFonts w:ascii="Arial" w:hAnsi="Arial" w:cs="Arial"/>
                <w:spacing w:val="-2"/>
                <w:sz w:val="18"/>
              </w:rPr>
              <w:t xml:space="preserve"> </w:t>
            </w:r>
            <w:r w:rsidRPr="000074E9">
              <w:rPr>
                <w:rFonts w:ascii="Arial" w:hAnsi="Arial" w:cs="Arial"/>
                <w:sz w:val="18"/>
              </w:rPr>
              <w:t>by</w:t>
            </w:r>
            <w:r w:rsidRPr="000074E9">
              <w:rPr>
                <w:rFonts w:ascii="Arial" w:hAnsi="Arial" w:cs="Arial"/>
                <w:spacing w:val="-2"/>
                <w:sz w:val="18"/>
              </w:rPr>
              <w:t xml:space="preserve"> </w:t>
            </w:r>
            <w:r w:rsidRPr="000074E9">
              <w:rPr>
                <w:rFonts w:ascii="Arial" w:hAnsi="Arial" w:cs="Arial"/>
                <w:sz w:val="18"/>
              </w:rPr>
              <w:t>point</w:t>
            </w:r>
            <w:r w:rsidRPr="000074E9">
              <w:rPr>
                <w:rFonts w:ascii="Arial" w:hAnsi="Arial" w:cs="Arial"/>
                <w:spacing w:val="2"/>
                <w:sz w:val="18"/>
              </w:rPr>
              <w:t xml:space="preserve"> </w:t>
            </w:r>
            <w:hyperlink w:anchor="_bookmark174" w:history="1">
              <w:r w:rsidRPr="000074E9">
                <w:rPr>
                  <w:rFonts w:ascii="Arial" w:hAnsi="Arial" w:cs="Arial"/>
                  <w:sz w:val="18"/>
                </w:rPr>
                <w:t>BOP.ADD.105(a)</w:t>
              </w:r>
              <w:r w:rsidRPr="000074E9">
                <w:rPr>
                  <w:rFonts w:ascii="Arial" w:hAnsi="Arial" w:cs="Arial"/>
                  <w:spacing w:val="-2"/>
                  <w:sz w:val="18"/>
                </w:rPr>
                <w:t xml:space="preserve"> </w:t>
              </w:r>
            </w:hyperlink>
            <w:r w:rsidRPr="000074E9">
              <w:rPr>
                <w:rFonts w:ascii="Arial" w:hAnsi="Arial" w:cs="Arial"/>
                <w:sz w:val="18"/>
              </w:rPr>
              <w:t>of</w:t>
            </w:r>
            <w:r w:rsidRPr="000074E9">
              <w:rPr>
                <w:rFonts w:ascii="Arial" w:hAnsi="Arial" w:cs="Arial"/>
                <w:spacing w:val="-1"/>
                <w:sz w:val="18"/>
              </w:rPr>
              <w:t xml:space="preserve"> </w:t>
            </w:r>
            <w:r w:rsidRPr="000074E9">
              <w:rPr>
                <w:rFonts w:ascii="Arial" w:hAnsi="Arial" w:cs="Arial"/>
                <w:sz w:val="18"/>
              </w:rPr>
              <w:t>Subpart</w:t>
            </w:r>
            <w:r w:rsidRPr="000074E9">
              <w:rPr>
                <w:rFonts w:ascii="Arial" w:hAnsi="Arial" w:cs="Arial"/>
                <w:spacing w:val="-2"/>
                <w:sz w:val="18"/>
              </w:rPr>
              <w:t xml:space="preserve"> </w:t>
            </w:r>
            <w:r w:rsidRPr="000074E9">
              <w:rPr>
                <w:rFonts w:ascii="Arial" w:hAnsi="Arial" w:cs="Arial"/>
                <w:sz w:val="18"/>
              </w:rPr>
              <w:t>ADD.</w:t>
            </w:r>
          </w:p>
        </w:tc>
      </w:tr>
      <w:tr w:rsidR="000074E9" w:rsidRPr="00276D5E" w14:paraId="485246C1" w14:textId="77777777" w:rsidTr="000074E9">
        <w:trPr>
          <w:trHeight w:val="535"/>
        </w:trPr>
        <w:tc>
          <w:tcPr>
            <w:tcW w:w="8926" w:type="dxa"/>
            <w:gridSpan w:val="5"/>
          </w:tcPr>
          <w:p w14:paraId="58802D2F" w14:textId="77777777" w:rsidR="000074E9" w:rsidRPr="000074E9" w:rsidRDefault="000074E9" w:rsidP="009601C2">
            <w:pPr>
              <w:pStyle w:val="TableParagraph"/>
              <w:spacing w:line="276" w:lineRule="auto"/>
              <w:ind w:left="300" w:hanging="193"/>
              <w:rPr>
                <w:rFonts w:ascii="Arial" w:hAnsi="Arial" w:cs="Arial"/>
                <w:sz w:val="18"/>
              </w:rPr>
            </w:pPr>
            <w:r w:rsidRPr="000074E9">
              <w:rPr>
                <w:rFonts w:ascii="Arial" w:hAnsi="Arial" w:cs="Arial"/>
                <w:w w:val="120"/>
                <w:sz w:val="18"/>
              </w:rPr>
              <w:t>□</w:t>
            </w:r>
            <w:r w:rsidRPr="000074E9">
              <w:rPr>
                <w:rFonts w:ascii="Arial" w:hAnsi="Arial" w:cs="Arial"/>
                <w:spacing w:val="30"/>
                <w:sz w:val="18"/>
              </w:rPr>
              <w:t xml:space="preserve"> </w:t>
            </w:r>
            <w:r w:rsidRPr="000074E9">
              <w:rPr>
                <w:rFonts w:ascii="Arial" w:hAnsi="Arial" w:cs="Arial"/>
                <w:sz w:val="18"/>
              </w:rPr>
              <w:t>The</w:t>
            </w:r>
            <w:r w:rsidRPr="000074E9">
              <w:rPr>
                <w:rFonts w:ascii="Arial" w:hAnsi="Arial" w:cs="Arial"/>
                <w:spacing w:val="2"/>
                <w:sz w:val="18"/>
              </w:rPr>
              <w:t xml:space="preserve"> </w:t>
            </w:r>
            <w:r w:rsidRPr="000074E9">
              <w:rPr>
                <w:rFonts w:ascii="Arial" w:hAnsi="Arial" w:cs="Arial"/>
                <w:sz w:val="18"/>
              </w:rPr>
              <w:t>operator</w:t>
            </w:r>
            <w:r w:rsidRPr="000074E9">
              <w:rPr>
                <w:rFonts w:ascii="Arial" w:hAnsi="Arial" w:cs="Arial"/>
                <w:spacing w:val="4"/>
                <w:sz w:val="18"/>
              </w:rPr>
              <w:t xml:space="preserve"> </w:t>
            </w:r>
            <w:r w:rsidRPr="000074E9">
              <w:rPr>
                <w:rFonts w:ascii="Arial" w:hAnsi="Arial" w:cs="Arial"/>
                <w:sz w:val="18"/>
              </w:rPr>
              <w:t>confirms</w:t>
            </w:r>
            <w:r w:rsidRPr="000074E9">
              <w:rPr>
                <w:rFonts w:ascii="Arial" w:hAnsi="Arial" w:cs="Arial"/>
                <w:spacing w:val="3"/>
                <w:sz w:val="18"/>
              </w:rPr>
              <w:t xml:space="preserve"> </w:t>
            </w:r>
            <w:r w:rsidRPr="000074E9">
              <w:rPr>
                <w:rFonts w:ascii="Arial" w:hAnsi="Arial" w:cs="Arial"/>
                <w:sz w:val="18"/>
              </w:rPr>
              <w:t>that</w:t>
            </w:r>
            <w:r w:rsidRPr="000074E9">
              <w:rPr>
                <w:rFonts w:ascii="Arial" w:hAnsi="Arial" w:cs="Arial"/>
                <w:spacing w:val="5"/>
                <w:sz w:val="18"/>
              </w:rPr>
              <w:t xml:space="preserve"> </w:t>
            </w:r>
            <w:r w:rsidRPr="000074E9">
              <w:rPr>
                <w:rFonts w:ascii="Arial" w:hAnsi="Arial" w:cs="Arial"/>
                <w:sz w:val="18"/>
              </w:rPr>
              <w:t>all</w:t>
            </w:r>
            <w:r w:rsidRPr="000074E9">
              <w:rPr>
                <w:rFonts w:ascii="Arial" w:hAnsi="Arial" w:cs="Arial"/>
                <w:spacing w:val="1"/>
                <w:sz w:val="18"/>
              </w:rPr>
              <w:t xml:space="preserve"> </w:t>
            </w:r>
            <w:r w:rsidRPr="000074E9">
              <w:rPr>
                <w:rFonts w:ascii="Arial" w:hAnsi="Arial" w:cs="Arial"/>
                <w:sz w:val="18"/>
              </w:rPr>
              <w:t>information</w:t>
            </w:r>
            <w:r w:rsidRPr="000074E9">
              <w:rPr>
                <w:rFonts w:ascii="Arial" w:hAnsi="Arial" w:cs="Arial"/>
                <w:spacing w:val="5"/>
                <w:sz w:val="18"/>
              </w:rPr>
              <w:t xml:space="preserve"> </w:t>
            </w:r>
            <w:r w:rsidRPr="000074E9">
              <w:rPr>
                <w:rFonts w:ascii="Arial" w:hAnsi="Arial" w:cs="Arial"/>
                <w:sz w:val="18"/>
              </w:rPr>
              <w:t>included</w:t>
            </w:r>
            <w:r w:rsidRPr="000074E9">
              <w:rPr>
                <w:rFonts w:ascii="Arial" w:hAnsi="Arial" w:cs="Arial"/>
                <w:spacing w:val="5"/>
                <w:sz w:val="18"/>
              </w:rPr>
              <w:t xml:space="preserve"> </w:t>
            </w:r>
            <w:r w:rsidRPr="000074E9">
              <w:rPr>
                <w:rFonts w:ascii="Arial" w:hAnsi="Arial" w:cs="Arial"/>
                <w:sz w:val="18"/>
              </w:rPr>
              <w:t>in</w:t>
            </w:r>
            <w:r w:rsidRPr="000074E9">
              <w:rPr>
                <w:rFonts w:ascii="Arial" w:hAnsi="Arial" w:cs="Arial"/>
                <w:spacing w:val="3"/>
                <w:sz w:val="18"/>
              </w:rPr>
              <w:t xml:space="preserve"> </w:t>
            </w:r>
            <w:r w:rsidRPr="000074E9">
              <w:rPr>
                <w:rFonts w:ascii="Arial" w:hAnsi="Arial" w:cs="Arial"/>
                <w:sz w:val="18"/>
              </w:rPr>
              <w:t>this</w:t>
            </w:r>
            <w:r w:rsidRPr="000074E9">
              <w:rPr>
                <w:rFonts w:ascii="Arial" w:hAnsi="Arial" w:cs="Arial"/>
                <w:spacing w:val="3"/>
                <w:sz w:val="18"/>
              </w:rPr>
              <w:t xml:space="preserve"> </w:t>
            </w:r>
            <w:r w:rsidRPr="000074E9">
              <w:rPr>
                <w:rFonts w:ascii="Arial" w:hAnsi="Arial" w:cs="Arial"/>
                <w:sz w:val="18"/>
              </w:rPr>
              <w:t>declaration,</w:t>
            </w:r>
            <w:r w:rsidRPr="000074E9">
              <w:rPr>
                <w:rFonts w:ascii="Arial" w:hAnsi="Arial" w:cs="Arial"/>
                <w:spacing w:val="5"/>
                <w:sz w:val="18"/>
              </w:rPr>
              <w:t xml:space="preserve"> </w:t>
            </w:r>
            <w:r w:rsidRPr="000074E9">
              <w:rPr>
                <w:rFonts w:ascii="Arial" w:hAnsi="Arial" w:cs="Arial"/>
                <w:sz w:val="18"/>
              </w:rPr>
              <w:t>including</w:t>
            </w:r>
            <w:r w:rsidRPr="000074E9">
              <w:rPr>
                <w:rFonts w:ascii="Arial" w:hAnsi="Arial" w:cs="Arial"/>
                <w:spacing w:val="3"/>
                <w:sz w:val="18"/>
              </w:rPr>
              <w:t xml:space="preserve"> </w:t>
            </w:r>
            <w:r w:rsidRPr="000074E9">
              <w:rPr>
                <w:rFonts w:ascii="Arial" w:hAnsi="Arial" w:cs="Arial"/>
                <w:sz w:val="18"/>
              </w:rPr>
              <w:t>its</w:t>
            </w:r>
            <w:r w:rsidRPr="000074E9">
              <w:rPr>
                <w:rFonts w:ascii="Arial" w:hAnsi="Arial" w:cs="Arial"/>
                <w:spacing w:val="3"/>
                <w:sz w:val="18"/>
              </w:rPr>
              <w:t xml:space="preserve"> </w:t>
            </w:r>
            <w:r w:rsidRPr="000074E9">
              <w:rPr>
                <w:rFonts w:ascii="Arial" w:hAnsi="Arial" w:cs="Arial"/>
                <w:sz w:val="18"/>
              </w:rPr>
              <w:t>annexes,</w:t>
            </w:r>
            <w:r w:rsidRPr="000074E9">
              <w:rPr>
                <w:rFonts w:ascii="Arial" w:hAnsi="Arial" w:cs="Arial"/>
                <w:spacing w:val="5"/>
                <w:sz w:val="18"/>
              </w:rPr>
              <w:t xml:space="preserve"> </w:t>
            </w:r>
            <w:r w:rsidRPr="000074E9">
              <w:rPr>
                <w:rFonts w:ascii="Arial" w:hAnsi="Arial" w:cs="Arial"/>
                <w:sz w:val="18"/>
              </w:rPr>
              <w:t>is</w:t>
            </w:r>
            <w:r w:rsidRPr="000074E9">
              <w:rPr>
                <w:rFonts w:ascii="Arial" w:hAnsi="Arial" w:cs="Arial"/>
                <w:spacing w:val="3"/>
                <w:sz w:val="18"/>
              </w:rPr>
              <w:t xml:space="preserve"> </w:t>
            </w:r>
            <w:r w:rsidRPr="000074E9">
              <w:rPr>
                <w:rFonts w:ascii="Arial" w:hAnsi="Arial" w:cs="Arial"/>
                <w:sz w:val="18"/>
              </w:rPr>
              <w:t>complete and</w:t>
            </w:r>
            <w:r w:rsidRPr="000074E9">
              <w:rPr>
                <w:rFonts w:ascii="Arial" w:hAnsi="Arial" w:cs="Arial"/>
                <w:spacing w:val="-2"/>
                <w:sz w:val="18"/>
              </w:rPr>
              <w:t xml:space="preserve"> </w:t>
            </w:r>
            <w:r w:rsidRPr="000074E9">
              <w:rPr>
                <w:rFonts w:ascii="Arial" w:hAnsi="Arial" w:cs="Arial"/>
                <w:sz w:val="18"/>
              </w:rPr>
              <w:t>correct.</w:t>
            </w:r>
          </w:p>
        </w:tc>
      </w:tr>
      <w:tr w:rsidR="000074E9" w:rsidRPr="00276D5E" w14:paraId="6E27BAB2" w14:textId="77777777" w:rsidTr="000074E9">
        <w:trPr>
          <w:trHeight w:val="588"/>
        </w:trPr>
        <w:tc>
          <w:tcPr>
            <w:tcW w:w="8926" w:type="dxa"/>
            <w:gridSpan w:val="5"/>
          </w:tcPr>
          <w:p w14:paraId="17713C6C" w14:textId="77777777" w:rsidR="000074E9" w:rsidRPr="000074E9" w:rsidRDefault="000074E9" w:rsidP="009601C2">
            <w:pPr>
              <w:pStyle w:val="TableParagraph"/>
              <w:spacing w:line="276" w:lineRule="auto"/>
              <w:ind w:left="300" w:hanging="193"/>
              <w:rPr>
                <w:rFonts w:ascii="Arial" w:hAnsi="Arial" w:cs="Arial"/>
                <w:sz w:val="18"/>
              </w:rPr>
            </w:pPr>
            <w:r w:rsidRPr="000074E9">
              <w:rPr>
                <w:rFonts w:ascii="Arial" w:hAnsi="Arial" w:cs="Arial"/>
                <w:sz w:val="18"/>
              </w:rPr>
              <w:t>Date,</w:t>
            </w:r>
            <w:r w:rsidRPr="000074E9">
              <w:rPr>
                <w:rFonts w:ascii="Arial" w:hAnsi="Arial" w:cs="Arial"/>
                <w:spacing w:val="-2"/>
                <w:sz w:val="18"/>
              </w:rPr>
              <w:t xml:space="preserve"> </w:t>
            </w:r>
            <w:r w:rsidRPr="000074E9">
              <w:rPr>
                <w:rFonts w:ascii="Arial" w:hAnsi="Arial" w:cs="Arial"/>
                <w:sz w:val="18"/>
              </w:rPr>
              <w:t>name</w:t>
            </w:r>
            <w:r w:rsidRPr="000074E9">
              <w:rPr>
                <w:rFonts w:ascii="Arial" w:hAnsi="Arial" w:cs="Arial"/>
                <w:spacing w:val="-3"/>
                <w:sz w:val="18"/>
              </w:rPr>
              <w:t xml:space="preserve"> </w:t>
            </w:r>
            <w:r w:rsidRPr="000074E9">
              <w:rPr>
                <w:rFonts w:ascii="Arial" w:hAnsi="Arial" w:cs="Arial"/>
                <w:sz w:val="18"/>
              </w:rPr>
              <w:t>and</w:t>
            </w:r>
            <w:r w:rsidRPr="000074E9">
              <w:rPr>
                <w:rFonts w:ascii="Arial" w:hAnsi="Arial" w:cs="Arial"/>
                <w:spacing w:val="-2"/>
                <w:sz w:val="18"/>
              </w:rPr>
              <w:t xml:space="preserve"> </w:t>
            </w:r>
            <w:r w:rsidRPr="000074E9">
              <w:rPr>
                <w:rFonts w:ascii="Arial" w:hAnsi="Arial" w:cs="Arial"/>
                <w:sz w:val="18"/>
              </w:rPr>
              <w:t>signature</w:t>
            </w:r>
            <w:r w:rsidRPr="000074E9">
              <w:rPr>
                <w:rFonts w:ascii="Arial" w:hAnsi="Arial" w:cs="Arial"/>
                <w:spacing w:val="-2"/>
                <w:sz w:val="18"/>
              </w:rPr>
              <w:t xml:space="preserve"> </w:t>
            </w:r>
            <w:r w:rsidRPr="000074E9">
              <w:rPr>
                <w:rFonts w:ascii="Arial" w:hAnsi="Arial" w:cs="Arial"/>
                <w:sz w:val="18"/>
              </w:rPr>
              <w:t>of</w:t>
            </w:r>
            <w:r w:rsidRPr="000074E9">
              <w:rPr>
                <w:rFonts w:ascii="Arial" w:hAnsi="Arial" w:cs="Arial"/>
                <w:spacing w:val="-3"/>
                <w:sz w:val="18"/>
              </w:rPr>
              <w:t xml:space="preserve"> </w:t>
            </w:r>
            <w:r w:rsidRPr="000074E9">
              <w:rPr>
                <w:rFonts w:ascii="Arial" w:hAnsi="Arial" w:cs="Arial"/>
                <w:sz w:val="18"/>
              </w:rPr>
              <w:t>the</w:t>
            </w:r>
            <w:r w:rsidRPr="000074E9">
              <w:rPr>
                <w:rFonts w:ascii="Arial" w:hAnsi="Arial" w:cs="Arial"/>
                <w:spacing w:val="-3"/>
                <w:sz w:val="18"/>
              </w:rPr>
              <w:t xml:space="preserve"> </w:t>
            </w:r>
            <w:r w:rsidRPr="000074E9">
              <w:rPr>
                <w:rFonts w:ascii="Arial" w:hAnsi="Arial" w:cs="Arial"/>
                <w:sz w:val="18"/>
              </w:rPr>
              <w:t>accountable</w:t>
            </w:r>
            <w:r w:rsidRPr="000074E9">
              <w:rPr>
                <w:rFonts w:ascii="Arial" w:hAnsi="Arial" w:cs="Arial"/>
                <w:spacing w:val="-3"/>
                <w:sz w:val="18"/>
              </w:rPr>
              <w:t xml:space="preserve"> </w:t>
            </w:r>
            <w:r w:rsidRPr="000074E9">
              <w:rPr>
                <w:rFonts w:ascii="Arial" w:hAnsi="Arial" w:cs="Arial"/>
                <w:sz w:val="18"/>
              </w:rPr>
              <w:t>manager</w:t>
            </w:r>
          </w:p>
        </w:tc>
      </w:tr>
    </w:tbl>
    <w:p w14:paraId="0532391A" w14:textId="77777777" w:rsidR="000074E9" w:rsidRPr="000074E9" w:rsidRDefault="000074E9" w:rsidP="009601C2">
      <w:pPr>
        <w:spacing w:line="276" w:lineRule="auto"/>
        <w:rPr>
          <w:rFonts w:ascii="Arial" w:eastAsia="Times New Roman" w:hAnsi="Arial" w:cs="Times New Roman"/>
          <w:sz w:val="24"/>
        </w:rPr>
      </w:pPr>
    </w:p>
    <w:p w14:paraId="72C5466D" w14:textId="2C2EAA89" w:rsidR="00F95819" w:rsidRDefault="00F95819">
      <w:pPr>
        <w:widowControl/>
        <w:autoSpaceDE/>
        <w:autoSpaceDN/>
        <w:spacing w:after="160" w:line="259" w:lineRule="auto"/>
        <w:rPr>
          <w:rFonts w:ascii="Arial" w:eastAsia="Times New Roman" w:hAnsi="Arial" w:cs="Times New Roman"/>
          <w:sz w:val="24"/>
        </w:rPr>
      </w:pPr>
      <w:r>
        <w:rPr>
          <w:rFonts w:ascii="Arial" w:eastAsia="Times New Roman" w:hAnsi="Arial" w:cs="Times New Roman"/>
          <w:sz w:val="24"/>
        </w:rPr>
        <w:br w:type="page"/>
      </w:r>
    </w:p>
    <w:p w14:paraId="3EF51722" w14:textId="77777777" w:rsidR="00F95819" w:rsidRDefault="00F95819" w:rsidP="009601C2">
      <w:pPr>
        <w:spacing w:line="276" w:lineRule="auto"/>
        <w:rPr>
          <w:rFonts w:ascii="Arial" w:eastAsia="Times New Roman" w:hAnsi="Arial" w:cs="Times New Roman"/>
          <w:sz w:val="24"/>
        </w:rPr>
        <w:sectPr w:rsidR="00F95819" w:rsidSect="008304B0">
          <w:headerReference w:type="default" r:id="rId77"/>
          <w:pgSz w:w="11906" w:h="16838" w:code="9"/>
          <w:pgMar w:top="450" w:right="1416" w:bottom="900" w:left="1350" w:header="284" w:footer="0" w:gutter="0"/>
          <w:cols w:space="720"/>
          <w:docGrid w:linePitch="360"/>
        </w:sectPr>
      </w:pPr>
    </w:p>
    <w:p w14:paraId="2FFFAAC3" w14:textId="77777777" w:rsidR="000074E9" w:rsidRPr="007C6679" w:rsidRDefault="00274B70" w:rsidP="009601C2">
      <w:pPr>
        <w:keepNext/>
        <w:keepLines/>
        <w:widowControl/>
        <w:autoSpaceDE/>
        <w:autoSpaceDN/>
        <w:spacing w:before="280" w:after="240" w:line="276" w:lineRule="auto"/>
        <w:jc w:val="center"/>
        <w:outlineLvl w:val="1"/>
        <w:rPr>
          <w:rFonts w:ascii="Arial" w:eastAsiaTheme="majorEastAsia" w:hAnsi="Arial" w:cs="Arial"/>
          <w:b/>
          <w:color w:val="2E74B5" w:themeColor="accent1" w:themeShade="BF"/>
          <w:sz w:val="28"/>
          <w:szCs w:val="26"/>
          <w14:textOutline w14:w="9525" w14:cap="rnd" w14:cmpd="sng" w14:algn="ctr">
            <w14:noFill/>
            <w14:prstDash w14:val="solid"/>
            <w14:bevel/>
          </w14:textOutline>
        </w:rPr>
      </w:pPr>
      <w:bookmarkStart w:id="549" w:name="_Toc153137387"/>
      <w:r w:rsidRPr="009E458A">
        <w:rPr>
          <w:rFonts w:ascii="Arial" w:eastAsiaTheme="majorEastAsia" w:hAnsi="Arial" w:cs="Arial"/>
          <w:b/>
          <w:color w:val="2E74B5" w:themeColor="accent1" w:themeShade="BF"/>
          <w:sz w:val="28"/>
          <w:szCs w:val="26"/>
          <w14:textOutline w14:w="9525" w14:cap="rnd" w14:cmpd="sng" w14:algn="ctr">
            <w14:noFill/>
            <w14:prstDash w14:val="solid"/>
            <w14:bevel/>
          </w14:textOutline>
        </w:rPr>
        <w:lastRenderedPageBreak/>
        <w:t>ANNEX III — REQUIREMENTS FOR BALLOONS FLIGHT CREW LICENSING (PART-BFCL)</w:t>
      </w:r>
      <w:bookmarkEnd w:id="549"/>
    </w:p>
    <w:p w14:paraId="7E46BAAD" w14:textId="77777777" w:rsidR="00D022F7" w:rsidRDefault="00274B70" w:rsidP="009601C2">
      <w:pPr>
        <w:keepNext/>
        <w:keepLines/>
        <w:widowControl/>
        <w:autoSpaceDE/>
        <w:autoSpaceDN/>
        <w:spacing w:before="40" w:line="276" w:lineRule="auto"/>
        <w:jc w:val="center"/>
        <w:outlineLvl w:val="2"/>
        <w:rPr>
          <w:rFonts w:ascii="Arial" w:eastAsiaTheme="majorEastAsia" w:hAnsi="Arial" w:cs="Arial"/>
          <w:b/>
          <w:color w:val="00B0F0"/>
          <w:sz w:val="24"/>
          <w:szCs w:val="24"/>
        </w:rPr>
      </w:pPr>
      <w:bookmarkStart w:id="550" w:name="_Toc153137388"/>
      <w:r w:rsidRPr="009E458A">
        <w:rPr>
          <w:rFonts w:ascii="Arial" w:eastAsiaTheme="majorEastAsia" w:hAnsi="Arial" w:cs="Arial"/>
          <w:b/>
          <w:color w:val="00B0F0"/>
          <w:sz w:val="24"/>
          <w:szCs w:val="24"/>
        </w:rPr>
        <w:t>SUBPART GEN — GENERAL REQUIREMENTS</w:t>
      </w:r>
      <w:bookmarkEnd w:id="550"/>
    </w:p>
    <w:p w14:paraId="7A7475C1" w14:textId="77777777" w:rsidR="00D022F7" w:rsidRPr="00D022F7" w:rsidRDefault="00D022F7" w:rsidP="009601C2">
      <w:pPr>
        <w:keepNext/>
        <w:keepLines/>
        <w:widowControl/>
        <w:shd w:val="clear" w:color="auto" w:fill="2F5496"/>
        <w:autoSpaceDE/>
        <w:autoSpaceDN/>
        <w:spacing w:before="280" w:after="240" w:line="276" w:lineRule="auto"/>
        <w:outlineLvl w:val="3"/>
        <w:rPr>
          <w:rFonts w:ascii="Arial" w:eastAsia="Times New Roman" w:hAnsi="Arial" w:cs="Times New Roman"/>
          <w:b/>
          <w:iCs/>
          <w:color w:val="FFFFFF"/>
          <w:sz w:val="24"/>
        </w:rPr>
      </w:pPr>
      <w:bookmarkStart w:id="551" w:name="BFCL.001__Scope"/>
      <w:bookmarkStart w:id="552" w:name="_bookmark224"/>
      <w:bookmarkStart w:id="553" w:name="_Toc153137389"/>
      <w:bookmarkEnd w:id="551"/>
      <w:bookmarkEnd w:id="552"/>
      <w:r w:rsidRPr="00D022F7">
        <w:rPr>
          <w:rFonts w:ascii="Arial" w:eastAsia="Times New Roman" w:hAnsi="Arial" w:cs="Times New Roman"/>
          <w:b/>
          <w:iCs/>
          <w:color w:val="FFFFFF"/>
          <w:sz w:val="24"/>
        </w:rPr>
        <w:t>BFCL.001 Scope</w:t>
      </w:r>
      <w:bookmarkEnd w:id="553"/>
    </w:p>
    <w:p w14:paraId="60D67781" w14:textId="77777777" w:rsidR="00D022F7" w:rsidRPr="00D022F7" w:rsidRDefault="00D022F7" w:rsidP="009601C2">
      <w:pPr>
        <w:spacing w:before="117" w:line="276" w:lineRule="auto"/>
        <w:jc w:val="both"/>
        <w:rPr>
          <w:rFonts w:ascii="Arial" w:hAnsi="Arial" w:cs="Arial"/>
          <w:sz w:val="20"/>
        </w:rPr>
      </w:pPr>
      <w:r w:rsidRPr="00D022F7">
        <w:rPr>
          <w:rFonts w:ascii="Arial" w:hAnsi="Arial" w:cs="Arial"/>
          <w:sz w:val="20"/>
        </w:rPr>
        <w:t>This</w:t>
      </w:r>
      <w:r w:rsidRPr="00D022F7">
        <w:rPr>
          <w:rFonts w:ascii="Arial" w:hAnsi="Arial" w:cs="Arial"/>
          <w:spacing w:val="-6"/>
          <w:sz w:val="20"/>
        </w:rPr>
        <w:t xml:space="preserve"> </w:t>
      </w:r>
      <w:r w:rsidRPr="00D022F7">
        <w:rPr>
          <w:rFonts w:ascii="Arial" w:hAnsi="Arial" w:cs="Arial"/>
          <w:sz w:val="20"/>
        </w:rPr>
        <w:t>Annex</w:t>
      </w:r>
      <w:r w:rsidRPr="00D022F7">
        <w:rPr>
          <w:rFonts w:ascii="Arial" w:hAnsi="Arial" w:cs="Arial"/>
          <w:spacing w:val="-4"/>
          <w:sz w:val="20"/>
        </w:rPr>
        <w:t xml:space="preserve"> </w:t>
      </w:r>
      <w:r w:rsidRPr="00D022F7">
        <w:rPr>
          <w:rFonts w:ascii="Arial" w:hAnsi="Arial" w:cs="Arial"/>
          <w:sz w:val="20"/>
        </w:rPr>
        <w:t>establishes</w:t>
      </w:r>
      <w:r w:rsidRPr="00D022F7">
        <w:rPr>
          <w:rFonts w:ascii="Arial" w:hAnsi="Arial" w:cs="Arial"/>
          <w:spacing w:val="-8"/>
          <w:sz w:val="20"/>
        </w:rPr>
        <w:t xml:space="preserve"> </w:t>
      </w:r>
      <w:r w:rsidRPr="00D022F7">
        <w:rPr>
          <w:rFonts w:ascii="Arial" w:hAnsi="Arial" w:cs="Arial"/>
          <w:sz w:val="20"/>
        </w:rPr>
        <w:t>the</w:t>
      </w:r>
      <w:r w:rsidRPr="00D022F7">
        <w:rPr>
          <w:rFonts w:ascii="Arial" w:hAnsi="Arial" w:cs="Arial"/>
          <w:spacing w:val="-7"/>
          <w:sz w:val="20"/>
        </w:rPr>
        <w:t xml:space="preserve"> </w:t>
      </w:r>
      <w:r w:rsidRPr="00D022F7">
        <w:rPr>
          <w:rFonts w:ascii="Arial" w:hAnsi="Arial" w:cs="Arial"/>
          <w:sz w:val="20"/>
        </w:rPr>
        <w:t>requirements</w:t>
      </w:r>
      <w:r w:rsidRPr="00D022F7">
        <w:rPr>
          <w:rFonts w:ascii="Arial" w:hAnsi="Arial" w:cs="Arial"/>
          <w:spacing w:val="-4"/>
          <w:sz w:val="20"/>
        </w:rPr>
        <w:t xml:space="preserve"> </w:t>
      </w:r>
      <w:r w:rsidRPr="00D022F7">
        <w:rPr>
          <w:rFonts w:ascii="Arial" w:hAnsi="Arial" w:cs="Arial"/>
          <w:sz w:val="20"/>
        </w:rPr>
        <w:t>for</w:t>
      </w:r>
      <w:r w:rsidRPr="00D022F7">
        <w:rPr>
          <w:rFonts w:ascii="Arial" w:hAnsi="Arial" w:cs="Arial"/>
          <w:spacing w:val="-8"/>
          <w:sz w:val="20"/>
        </w:rPr>
        <w:t xml:space="preserve"> </w:t>
      </w:r>
      <w:r w:rsidRPr="00D022F7">
        <w:rPr>
          <w:rFonts w:ascii="Arial" w:hAnsi="Arial" w:cs="Arial"/>
          <w:sz w:val="20"/>
        </w:rPr>
        <w:t>the</w:t>
      </w:r>
      <w:r w:rsidRPr="00D022F7">
        <w:rPr>
          <w:rFonts w:ascii="Arial" w:hAnsi="Arial" w:cs="Arial"/>
          <w:spacing w:val="-5"/>
          <w:sz w:val="20"/>
        </w:rPr>
        <w:t xml:space="preserve"> </w:t>
      </w:r>
      <w:r w:rsidRPr="00D022F7">
        <w:rPr>
          <w:rFonts w:ascii="Arial" w:hAnsi="Arial" w:cs="Arial"/>
          <w:sz w:val="20"/>
        </w:rPr>
        <w:t>issue</w:t>
      </w:r>
      <w:r w:rsidRPr="00D022F7">
        <w:rPr>
          <w:rFonts w:ascii="Arial" w:hAnsi="Arial" w:cs="Arial"/>
          <w:spacing w:val="-6"/>
          <w:sz w:val="20"/>
        </w:rPr>
        <w:t xml:space="preserve"> </w:t>
      </w:r>
      <w:r w:rsidRPr="00D022F7">
        <w:rPr>
          <w:rFonts w:ascii="Arial" w:hAnsi="Arial" w:cs="Arial"/>
          <w:sz w:val="20"/>
        </w:rPr>
        <w:t>of</w:t>
      </w:r>
      <w:r w:rsidRPr="00D022F7">
        <w:rPr>
          <w:rFonts w:ascii="Arial" w:hAnsi="Arial" w:cs="Arial"/>
          <w:spacing w:val="-6"/>
          <w:sz w:val="20"/>
        </w:rPr>
        <w:t xml:space="preserve"> </w:t>
      </w:r>
      <w:r w:rsidRPr="00D022F7">
        <w:rPr>
          <w:rFonts w:ascii="Arial" w:hAnsi="Arial" w:cs="Arial"/>
          <w:sz w:val="20"/>
        </w:rPr>
        <w:t>a</w:t>
      </w:r>
      <w:r w:rsidRPr="00D022F7">
        <w:rPr>
          <w:rFonts w:ascii="Arial" w:hAnsi="Arial" w:cs="Arial"/>
          <w:spacing w:val="-5"/>
          <w:sz w:val="20"/>
        </w:rPr>
        <w:t xml:space="preserve"> </w:t>
      </w:r>
      <w:r w:rsidRPr="00D022F7">
        <w:rPr>
          <w:rFonts w:ascii="Arial" w:hAnsi="Arial" w:cs="Arial"/>
          <w:sz w:val="20"/>
        </w:rPr>
        <w:t>balloon</w:t>
      </w:r>
      <w:r w:rsidRPr="00D022F7">
        <w:rPr>
          <w:rFonts w:ascii="Arial" w:hAnsi="Arial" w:cs="Arial"/>
          <w:spacing w:val="-5"/>
          <w:sz w:val="20"/>
        </w:rPr>
        <w:t xml:space="preserve"> </w:t>
      </w:r>
      <w:r w:rsidRPr="00D022F7">
        <w:rPr>
          <w:rFonts w:ascii="Arial" w:hAnsi="Arial" w:cs="Arial"/>
          <w:sz w:val="20"/>
        </w:rPr>
        <w:t>pilot</w:t>
      </w:r>
      <w:r w:rsidRPr="00D022F7">
        <w:rPr>
          <w:rFonts w:ascii="Arial" w:hAnsi="Arial" w:cs="Arial"/>
          <w:spacing w:val="-5"/>
          <w:sz w:val="20"/>
        </w:rPr>
        <w:t xml:space="preserve"> </w:t>
      </w:r>
      <w:r w:rsidRPr="00D022F7">
        <w:rPr>
          <w:rFonts w:ascii="Arial" w:hAnsi="Arial" w:cs="Arial"/>
          <w:sz w:val="20"/>
        </w:rPr>
        <w:t>licence</w:t>
      </w:r>
      <w:r w:rsidRPr="00D022F7">
        <w:rPr>
          <w:rFonts w:ascii="Arial" w:hAnsi="Arial" w:cs="Arial"/>
          <w:spacing w:val="-4"/>
          <w:sz w:val="20"/>
        </w:rPr>
        <w:t xml:space="preserve"> </w:t>
      </w:r>
      <w:r w:rsidRPr="00D022F7">
        <w:rPr>
          <w:rFonts w:ascii="Arial" w:hAnsi="Arial" w:cs="Arial"/>
          <w:sz w:val="20"/>
        </w:rPr>
        <w:t>(“BPL”)</w:t>
      </w:r>
      <w:r w:rsidRPr="00D022F7">
        <w:rPr>
          <w:rFonts w:ascii="Arial" w:hAnsi="Arial" w:cs="Arial"/>
          <w:spacing w:val="-5"/>
          <w:sz w:val="20"/>
        </w:rPr>
        <w:t xml:space="preserve"> </w:t>
      </w:r>
      <w:r w:rsidRPr="00D022F7">
        <w:rPr>
          <w:rFonts w:ascii="Arial" w:hAnsi="Arial" w:cs="Arial"/>
          <w:sz w:val="20"/>
        </w:rPr>
        <w:t>and</w:t>
      </w:r>
      <w:r w:rsidRPr="00D022F7">
        <w:rPr>
          <w:rFonts w:ascii="Arial" w:hAnsi="Arial" w:cs="Arial"/>
          <w:spacing w:val="-5"/>
          <w:sz w:val="20"/>
        </w:rPr>
        <w:t xml:space="preserve"> </w:t>
      </w:r>
      <w:r w:rsidRPr="00D022F7">
        <w:rPr>
          <w:rFonts w:ascii="Arial" w:hAnsi="Arial" w:cs="Arial"/>
          <w:sz w:val="20"/>
        </w:rPr>
        <w:t>associated</w:t>
      </w:r>
      <w:r w:rsidRPr="00D022F7">
        <w:rPr>
          <w:rFonts w:ascii="Arial" w:hAnsi="Arial" w:cs="Arial"/>
          <w:spacing w:val="-47"/>
          <w:sz w:val="20"/>
        </w:rPr>
        <w:t xml:space="preserve"> </w:t>
      </w:r>
      <w:r w:rsidRPr="00D022F7">
        <w:rPr>
          <w:rFonts w:ascii="Arial" w:hAnsi="Arial" w:cs="Arial"/>
          <w:sz w:val="20"/>
        </w:rPr>
        <w:t>privileges,</w:t>
      </w:r>
      <w:r w:rsidRPr="00D022F7">
        <w:rPr>
          <w:rFonts w:ascii="Arial" w:hAnsi="Arial" w:cs="Arial"/>
          <w:spacing w:val="-3"/>
          <w:sz w:val="20"/>
        </w:rPr>
        <w:t xml:space="preserve"> </w:t>
      </w:r>
      <w:r w:rsidRPr="00D022F7">
        <w:rPr>
          <w:rFonts w:ascii="Arial" w:hAnsi="Arial" w:cs="Arial"/>
          <w:sz w:val="20"/>
        </w:rPr>
        <w:t>ratings and</w:t>
      </w:r>
      <w:r w:rsidRPr="00D022F7">
        <w:rPr>
          <w:rFonts w:ascii="Arial" w:hAnsi="Arial" w:cs="Arial"/>
          <w:spacing w:val="-1"/>
          <w:sz w:val="20"/>
        </w:rPr>
        <w:t xml:space="preserve"> </w:t>
      </w:r>
      <w:r w:rsidRPr="00D022F7">
        <w:rPr>
          <w:rFonts w:ascii="Arial" w:hAnsi="Arial" w:cs="Arial"/>
          <w:sz w:val="20"/>
        </w:rPr>
        <w:t>certificates,</w:t>
      </w:r>
      <w:r w:rsidRPr="00D022F7">
        <w:rPr>
          <w:rFonts w:ascii="Arial" w:hAnsi="Arial" w:cs="Arial"/>
          <w:spacing w:val="-2"/>
          <w:sz w:val="20"/>
        </w:rPr>
        <w:t xml:space="preserve"> </w:t>
      </w:r>
      <w:r w:rsidRPr="00D022F7">
        <w:rPr>
          <w:rFonts w:ascii="Arial" w:hAnsi="Arial" w:cs="Arial"/>
          <w:sz w:val="20"/>
        </w:rPr>
        <w:t>and</w:t>
      </w:r>
      <w:r w:rsidRPr="00D022F7">
        <w:rPr>
          <w:rFonts w:ascii="Arial" w:hAnsi="Arial" w:cs="Arial"/>
          <w:spacing w:val="-1"/>
          <w:sz w:val="20"/>
        </w:rPr>
        <w:t xml:space="preserve"> </w:t>
      </w:r>
      <w:r w:rsidRPr="00D022F7">
        <w:rPr>
          <w:rFonts w:ascii="Arial" w:hAnsi="Arial" w:cs="Arial"/>
          <w:sz w:val="20"/>
        </w:rPr>
        <w:t>the</w:t>
      </w:r>
      <w:r w:rsidRPr="00D022F7">
        <w:rPr>
          <w:rFonts w:ascii="Arial" w:hAnsi="Arial" w:cs="Arial"/>
          <w:spacing w:val="-3"/>
          <w:sz w:val="20"/>
        </w:rPr>
        <w:t xml:space="preserve"> </w:t>
      </w:r>
      <w:r w:rsidRPr="00D022F7">
        <w:rPr>
          <w:rFonts w:ascii="Arial" w:hAnsi="Arial" w:cs="Arial"/>
          <w:sz w:val="20"/>
        </w:rPr>
        <w:t>conditions</w:t>
      </w:r>
      <w:r w:rsidRPr="00D022F7">
        <w:rPr>
          <w:rFonts w:ascii="Arial" w:hAnsi="Arial" w:cs="Arial"/>
          <w:spacing w:val="-2"/>
          <w:sz w:val="20"/>
        </w:rPr>
        <w:t xml:space="preserve"> </w:t>
      </w:r>
      <w:r w:rsidRPr="00D022F7">
        <w:rPr>
          <w:rFonts w:ascii="Arial" w:hAnsi="Arial" w:cs="Arial"/>
          <w:sz w:val="20"/>
        </w:rPr>
        <w:t>for their validity and</w:t>
      </w:r>
      <w:r w:rsidRPr="00D022F7">
        <w:rPr>
          <w:rFonts w:ascii="Arial" w:hAnsi="Arial" w:cs="Arial"/>
          <w:spacing w:val="-2"/>
          <w:sz w:val="20"/>
        </w:rPr>
        <w:t xml:space="preserve"> </w:t>
      </w:r>
      <w:r w:rsidRPr="00D022F7">
        <w:rPr>
          <w:rFonts w:ascii="Arial" w:hAnsi="Arial" w:cs="Arial"/>
          <w:sz w:val="20"/>
        </w:rPr>
        <w:t>use.</w:t>
      </w:r>
    </w:p>
    <w:p w14:paraId="1EB37C96" w14:textId="77777777" w:rsidR="00D022F7" w:rsidRPr="00D022F7" w:rsidRDefault="00D022F7" w:rsidP="009601C2">
      <w:pPr>
        <w:keepNext/>
        <w:keepLines/>
        <w:widowControl/>
        <w:shd w:val="clear" w:color="auto" w:fill="2F5496"/>
        <w:autoSpaceDE/>
        <w:autoSpaceDN/>
        <w:spacing w:before="280" w:after="240" w:line="276" w:lineRule="auto"/>
        <w:outlineLvl w:val="3"/>
        <w:rPr>
          <w:rFonts w:ascii="Arial" w:eastAsia="Times New Roman" w:hAnsi="Arial" w:cs="Times New Roman"/>
          <w:b/>
          <w:iCs/>
          <w:color w:val="FFFFFF"/>
          <w:sz w:val="24"/>
        </w:rPr>
      </w:pPr>
      <w:bookmarkStart w:id="554" w:name="BFCL.005__Competent_authority"/>
      <w:bookmarkStart w:id="555" w:name="_bookmark225"/>
      <w:bookmarkStart w:id="556" w:name="_Toc153137390"/>
      <w:bookmarkEnd w:id="554"/>
      <w:bookmarkEnd w:id="555"/>
      <w:r w:rsidRPr="00D022F7">
        <w:rPr>
          <w:rFonts w:ascii="Arial" w:eastAsia="Times New Roman" w:hAnsi="Arial" w:cs="Times New Roman"/>
          <w:b/>
          <w:iCs/>
          <w:color w:val="FFFFFF"/>
          <w:sz w:val="24"/>
        </w:rPr>
        <w:t>BFCL.005 Competent authority</w:t>
      </w:r>
      <w:bookmarkEnd w:id="556"/>
    </w:p>
    <w:p w14:paraId="66BF4F78" w14:textId="6F3EC49D" w:rsidR="00D022F7" w:rsidRPr="00D022F7" w:rsidRDefault="00D022F7" w:rsidP="009601C2">
      <w:pPr>
        <w:spacing w:before="117" w:line="276" w:lineRule="auto"/>
        <w:jc w:val="both"/>
        <w:rPr>
          <w:rFonts w:ascii="Arial" w:hAnsi="Arial" w:cs="Arial"/>
          <w:sz w:val="20"/>
        </w:rPr>
      </w:pPr>
      <w:r w:rsidRPr="00D022F7">
        <w:rPr>
          <w:rFonts w:ascii="Arial" w:hAnsi="Arial" w:cs="Arial"/>
          <w:sz w:val="20"/>
        </w:rPr>
        <w:t xml:space="preserve">For the purpose of this Annex, the </w:t>
      </w:r>
      <w:r w:rsidR="00A804D2">
        <w:rPr>
          <w:rFonts w:ascii="Arial" w:hAnsi="Arial" w:cs="Arial"/>
          <w:sz w:val="20"/>
          <w:szCs w:val="20"/>
        </w:rPr>
        <w:t xml:space="preserve">CAC RA </w:t>
      </w:r>
      <w:r w:rsidRPr="00D022F7">
        <w:rPr>
          <w:rFonts w:ascii="Arial" w:hAnsi="Arial" w:cs="Arial"/>
          <w:sz w:val="20"/>
        </w:rPr>
        <w:t xml:space="preserve">shall be an authority designated by the </w:t>
      </w:r>
      <w:r w:rsidR="005F5690" w:rsidRPr="00C1366B">
        <w:rPr>
          <w:rFonts w:ascii="Arial" w:hAnsi="Arial" w:cs="Arial"/>
          <w:sz w:val="20"/>
        </w:rPr>
        <w:t>the Republic of Armenia</w:t>
      </w:r>
      <w:r w:rsidR="005F5690" w:rsidRPr="00D022F7">
        <w:rPr>
          <w:rFonts w:ascii="Arial" w:hAnsi="Arial" w:cs="Arial"/>
          <w:sz w:val="20"/>
        </w:rPr>
        <w:t xml:space="preserve"> </w:t>
      </w:r>
      <w:r w:rsidRPr="00D022F7">
        <w:rPr>
          <w:rFonts w:ascii="Arial" w:hAnsi="Arial" w:cs="Arial"/>
          <w:sz w:val="20"/>
        </w:rPr>
        <w:t>to which a person applies for the issue of a BPL or associated privileges, ratings or certificates.</w:t>
      </w:r>
    </w:p>
    <w:p w14:paraId="5458ABA6" w14:textId="77777777" w:rsidR="00D022F7" w:rsidRPr="00D022F7" w:rsidRDefault="00D022F7" w:rsidP="009601C2">
      <w:pPr>
        <w:keepNext/>
        <w:keepLines/>
        <w:widowControl/>
        <w:shd w:val="clear" w:color="auto" w:fill="2F5496"/>
        <w:autoSpaceDE/>
        <w:autoSpaceDN/>
        <w:spacing w:before="280" w:after="240" w:line="276" w:lineRule="auto"/>
        <w:outlineLvl w:val="3"/>
        <w:rPr>
          <w:rFonts w:ascii="Arial" w:eastAsia="Times New Roman" w:hAnsi="Arial" w:cs="Times New Roman"/>
          <w:b/>
          <w:iCs/>
          <w:color w:val="FFFFFF"/>
          <w:sz w:val="24"/>
        </w:rPr>
      </w:pPr>
      <w:bookmarkStart w:id="557" w:name="BFCL.010__Classes_and_groups_of_balloons"/>
      <w:bookmarkStart w:id="558" w:name="_bookmark226"/>
      <w:bookmarkStart w:id="559" w:name="_Toc153137391"/>
      <w:bookmarkEnd w:id="557"/>
      <w:bookmarkEnd w:id="558"/>
      <w:r w:rsidRPr="00D022F7">
        <w:rPr>
          <w:rFonts w:ascii="Arial" w:eastAsia="Times New Roman" w:hAnsi="Arial" w:cs="Times New Roman"/>
          <w:b/>
          <w:iCs/>
          <w:color w:val="FFFFFF"/>
          <w:sz w:val="24"/>
        </w:rPr>
        <w:t>BFCL.010 Classes and groups of balloons</w:t>
      </w:r>
      <w:bookmarkEnd w:id="559"/>
    </w:p>
    <w:p w14:paraId="68BDDF36" w14:textId="77777777" w:rsidR="00D022F7" w:rsidRPr="00D022F7" w:rsidRDefault="00D022F7" w:rsidP="009601C2">
      <w:pPr>
        <w:spacing w:before="120" w:line="276" w:lineRule="auto"/>
        <w:ind w:left="140"/>
        <w:jc w:val="both"/>
        <w:rPr>
          <w:rFonts w:ascii="Arial" w:hAnsi="Arial" w:cs="Arial"/>
          <w:sz w:val="20"/>
          <w:szCs w:val="20"/>
        </w:rPr>
      </w:pPr>
      <w:r w:rsidRPr="00D022F7">
        <w:rPr>
          <w:rFonts w:ascii="Arial" w:hAnsi="Arial" w:cs="Arial"/>
          <w:sz w:val="20"/>
          <w:szCs w:val="20"/>
        </w:rPr>
        <w:t>For</w:t>
      </w:r>
      <w:r w:rsidRPr="00D022F7">
        <w:rPr>
          <w:rFonts w:ascii="Arial" w:hAnsi="Arial" w:cs="Arial"/>
          <w:spacing w:val="-1"/>
          <w:sz w:val="20"/>
          <w:szCs w:val="20"/>
        </w:rPr>
        <w:t xml:space="preserve"> </w:t>
      </w:r>
      <w:r w:rsidRPr="00D022F7">
        <w:rPr>
          <w:rFonts w:ascii="Arial" w:hAnsi="Arial" w:cs="Arial"/>
          <w:sz w:val="20"/>
          <w:szCs w:val="20"/>
        </w:rPr>
        <w:t>the</w:t>
      </w:r>
      <w:r w:rsidRPr="00D022F7">
        <w:rPr>
          <w:rFonts w:ascii="Arial" w:hAnsi="Arial" w:cs="Arial"/>
          <w:spacing w:val="-3"/>
          <w:sz w:val="20"/>
          <w:szCs w:val="20"/>
        </w:rPr>
        <w:t xml:space="preserve"> </w:t>
      </w:r>
      <w:r w:rsidRPr="00D022F7">
        <w:rPr>
          <w:rFonts w:ascii="Arial" w:hAnsi="Arial" w:cs="Arial"/>
          <w:sz w:val="20"/>
          <w:szCs w:val="20"/>
        </w:rPr>
        <w:t>purpose</w:t>
      </w:r>
      <w:r w:rsidRPr="00D022F7">
        <w:rPr>
          <w:rFonts w:ascii="Arial" w:hAnsi="Arial" w:cs="Arial"/>
          <w:spacing w:val="-3"/>
          <w:sz w:val="20"/>
          <w:szCs w:val="20"/>
        </w:rPr>
        <w:t xml:space="preserve"> </w:t>
      </w:r>
      <w:r w:rsidRPr="00D022F7">
        <w:rPr>
          <w:rFonts w:ascii="Arial" w:hAnsi="Arial" w:cs="Arial"/>
          <w:sz w:val="20"/>
          <w:szCs w:val="20"/>
        </w:rPr>
        <w:t>of</w:t>
      </w:r>
      <w:r w:rsidRPr="00D022F7">
        <w:rPr>
          <w:rFonts w:ascii="Arial" w:hAnsi="Arial" w:cs="Arial"/>
          <w:spacing w:val="-4"/>
          <w:sz w:val="20"/>
          <w:szCs w:val="20"/>
        </w:rPr>
        <w:t xml:space="preserve"> </w:t>
      </w:r>
      <w:r w:rsidRPr="00D022F7">
        <w:rPr>
          <w:rFonts w:ascii="Arial" w:hAnsi="Arial" w:cs="Arial"/>
          <w:sz w:val="20"/>
          <w:szCs w:val="20"/>
        </w:rPr>
        <w:t>this</w:t>
      </w:r>
      <w:r w:rsidRPr="00D022F7">
        <w:rPr>
          <w:rFonts w:ascii="Arial" w:hAnsi="Arial" w:cs="Arial"/>
          <w:spacing w:val="-1"/>
          <w:sz w:val="20"/>
          <w:szCs w:val="20"/>
        </w:rPr>
        <w:t xml:space="preserve"> </w:t>
      </w:r>
      <w:r w:rsidRPr="00D022F7">
        <w:rPr>
          <w:rFonts w:ascii="Arial" w:hAnsi="Arial" w:cs="Arial"/>
          <w:sz w:val="20"/>
          <w:szCs w:val="20"/>
        </w:rPr>
        <w:t>Annex,</w:t>
      </w:r>
      <w:r w:rsidRPr="00D022F7">
        <w:rPr>
          <w:rFonts w:ascii="Arial" w:hAnsi="Arial" w:cs="Arial"/>
          <w:spacing w:val="-1"/>
          <w:sz w:val="20"/>
          <w:szCs w:val="20"/>
        </w:rPr>
        <w:t xml:space="preserve"> </w:t>
      </w:r>
      <w:r w:rsidRPr="00D022F7">
        <w:rPr>
          <w:rFonts w:ascii="Arial" w:hAnsi="Arial" w:cs="Arial"/>
          <w:sz w:val="20"/>
          <w:szCs w:val="20"/>
        </w:rPr>
        <w:t>balloons</w:t>
      </w:r>
      <w:r w:rsidRPr="00D022F7">
        <w:rPr>
          <w:rFonts w:ascii="Arial" w:hAnsi="Arial" w:cs="Arial"/>
          <w:spacing w:val="-3"/>
          <w:sz w:val="20"/>
          <w:szCs w:val="20"/>
        </w:rPr>
        <w:t xml:space="preserve"> </w:t>
      </w:r>
      <w:r w:rsidRPr="00D022F7">
        <w:rPr>
          <w:rFonts w:ascii="Arial" w:hAnsi="Arial" w:cs="Arial"/>
          <w:sz w:val="20"/>
          <w:szCs w:val="20"/>
        </w:rPr>
        <w:t>shall</w:t>
      </w:r>
      <w:r w:rsidRPr="00D022F7">
        <w:rPr>
          <w:rFonts w:ascii="Arial" w:hAnsi="Arial" w:cs="Arial"/>
          <w:spacing w:val="-2"/>
          <w:sz w:val="20"/>
          <w:szCs w:val="20"/>
        </w:rPr>
        <w:t xml:space="preserve"> </w:t>
      </w:r>
      <w:r w:rsidRPr="00D022F7">
        <w:rPr>
          <w:rFonts w:ascii="Arial" w:hAnsi="Arial" w:cs="Arial"/>
          <w:sz w:val="20"/>
          <w:szCs w:val="20"/>
        </w:rPr>
        <w:t>be</w:t>
      </w:r>
      <w:r w:rsidRPr="00D022F7">
        <w:rPr>
          <w:rFonts w:ascii="Arial" w:hAnsi="Arial" w:cs="Arial"/>
          <w:spacing w:val="-1"/>
          <w:sz w:val="20"/>
          <w:szCs w:val="20"/>
        </w:rPr>
        <w:t xml:space="preserve"> </w:t>
      </w:r>
      <w:r w:rsidRPr="00D022F7">
        <w:rPr>
          <w:rFonts w:ascii="Arial" w:hAnsi="Arial" w:cs="Arial"/>
          <w:sz w:val="20"/>
          <w:szCs w:val="20"/>
        </w:rPr>
        <w:t>categorised</w:t>
      </w:r>
      <w:r w:rsidRPr="00D022F7">
        <w:rPr>
          <w:rFonts w:ascii="Arial" w:hAnsi="Arial" w:cs="Arial"/>
          <w:spacing w:val="-2"/>
          <w:sz w:val="20"/>
          <w:szCs w:val="20"/>
        </w:rPr>
        <w:t xml:space="preserve"> </w:t>
      </w:r>
      <w:r w:rsidRPr="00D022F7">
        <w:rPr>
          <w:rFonts w:ascii="Arial" w:hAnsi="Arial" w:cs="Arial"/>
          <w:sz w:val="20"/>
          <w:szCs w:val="20"/>
        </w:rPr>
        <w:t>in</w:t>
      </w:r>
      <w:r w:rsidRPr="00D022F7">
        <w:rPr>
          <w:rFonts w:ascii="Arial" w:hAnsi="Arial" w:cs="Arial"/>
          <w:spacing w:val="-1"/>
          <w:sz w:val="20"/>
          <w:szCs w:val="20"/>
        </w:rPr>
        <w:t xml:space="preserve"> </w:t>
      </w:r>
      <w:r w:rsidRPr="00D022F7">
        <w:rPr>
          <w:rFonts w:ascii="Arial" w:hAnsi="Arial" w:cs="Arial"/>
          <w:sz w:val="20"/>
          <w:szCs w:val="20"/>
        </w:rPr>
        <w:t>the</w:t>
      </w:r>
      <w:r w:rsidRPr="00D022F7">
        <w:rPr>
          <w:rFonts w:ascii="Arial" w:hAnsi="Arial" w:cs="Arial"/>
          <w:spacing w:val="-4"/>
          <w:sz w:val="20"/>
          <w:szCs w:val="20"/>
        </w:rPr>
        <w:t xml:space="preserve"> </w:t>
      </w:r>
      <w:r w:rsidRPr="00D022F7">
        <w:rPr>
          <w:rFonts w:ascii="Arial" w:hAnsi="Arial" w:cs="Arial"/>
          <w:sz w:val="20"/>
          <w:szCs w:val="20"/>
        </w:rPr>
        <w:t>following</w:t>
      </w:r>
      <w:r w:rsidRPr="00D022F7">
        <w:rPr>
          <w:rFonts w:ascii="Arial" w:hAnsi="Arial" w:cs="Arial"/>
          <w:spacing w:val="-3"/>
          <w:sz w:val="20"/>
          <w:szCs w:val="20"/>
        </w:rPr>
        <w:t xml:space="preserve"> </w:t>
      </w:r>
      <w:r w:rsidRPr="00D022F7">
        <w:rPr>
          <w:rFonts w:ascii="Arial" w:hAnsi="Arial" w:cs="Arial"/>
          <w:sz w:val="20"/>
          <w:szCs w:val="20"/>
        </w:rPr>
        <w:t>classes and</w:t>
      </w:r>
      <w:r w:rsidRPr="00D022F7">
        <w:rPr>
          <w:rFonts w:ascii="Arial" w:hAnsi="Arial" w:cs="Arial"/>
          <w:spacing w:val="-2"/>
          <w:sz w:val="20"/>
          <w:szCs w:val="20"/>
        </w:rPr>
        <w:t xml:space="preserve"> </w:t>
      </w:r>
      <w:r w:rsidRPr="00D022F7">
        <w:rPr>
          <w:rFonts w:ascii="Arial" w:hAnsi="Arial" w:cs="Arial"/>
          <w:sz w:val="20"/>
          <w:szCs w:val="20"/>
        </w:rPr>
        <w:t>groups:</w:t>
      </w:r>
    </w:p>
    <w:p w14:paraId="572907A3" w14:textId="77777777" w:rsidR="00D022F7" w:rsidRPr="00D022F7" w:rsidRDefault="00D022F7" w:rsidP="00AD2F17">
      <w:pPr>
        <w:numPr>
          <w:ilvl w:val="0"/>
          <w:numId w:val="126"/>
        </w:numPr>
        <w:tabs>
          <w:tab w:val="left" w:pos="706"/>
          <w:tab w:val="left" w:pos="707"/>
        </w:tabs>
        <w:spacing w:before="118" w:line="276" w:lineRule="auto"/>
        <w:jc w:val="both"/>
        <w:rPr>
          <w:rFonts w:ascii="Arial" w:hAnsi="Arial" w:cs="Arial"/>
          <w:sz w:val="20"/>
          <w:szCs w:val="20"/>
        </w:rPr>
      </w:pPr>
      <w:r w:rsidRPr="00D022F7">
        <w:rPr>
          <w:rFonts w:ascii="Arial" w:hAnsi="Arial" w:cs="Arial"/>
          <w:sz w:val="20"/>
          <w:szCs w:val="20"/>
        </w:rPr>
        <w:t>“hot-air</w:t>
      </w:r>
      <w:r w:rsidRPr="00D022F7">
        <w:rPr>
          <w:rFonts w:ascii="Arial" w:hAnsi="Arial" w:cs="Arial"/>
          <w:spacing w:val="-5"/>
          <w:sz w:val="20"/>
          <w:szCs w:val="20"/>
        </w:rPr>
        <w:t xml:space="preserve"> </w:t>
      </w:r>
      <w:r w:rsidRPr="00D022F7">
        <w:rPr>
          <w:rFonts w:ascii="Arial" w:hAnsi="Arial" w:cs="Arial"/>
          <w:sz w:val="20"/>
          <w:szCs w:val="20"/>
        </w:rPr>
        <w:t>balloon”</w:t>
      </w:r>
      <w:r w:rsidRPr="00D022F7">
        <w:rPr>
          <w:rFonts w:ascii="Arial" w:hAnsi="Arial" w:cs="Arial"/>
          <w:spacing w:val="-2"/>
          <w:sz w:val="20"/>
          <w:szCs w:val="20"/>
        </w:rPr>
        <w:t xml:space="preserve"> </w:t>
      </w:r>
      <w:r w:rsidRPr="00D022F7">
        <w:rPr>
          <w:rFonts w:ascii="Arial" w:hAnsi="Arial" w:cs="Arial"/>
          <w:sz w:val="20"/>
          <w:szCs w:val="20"/>
        </w:rPr>
        <w:t>class:</w:t>
      </w:r>
    </w:p>
    <w:p w14:paraId="5C16DD11" w14:textId="77777777" w:rsidR="00D022F7" w:rsidRPr="00D022F7" w:rsidRDefault="00D022F7" w:rsidP="00AD2F17">
      <w:pPr>
        <w:numPr>
          <w:ilvl w:val="1"/>
          <w:numId w:val="126"/>
        </w:numPr>
        <w:tabs>
          <w:tab w:val="left" w:pos="1273"/>
          <w:tab w:val="left" w:pos="1274"/>
        </w:tabs>
        <w:spacing w:before="120" w:line="276" w:lineRule="auto"/>
        <w:ind w:hanging="568"/>
        <w:jc w:val="both"/>
        <w:rPr>
          <w:rFonts w:ascii="Arial" w:hAnsi="Arial" w:cs="Arial"/>
          <w:sz w:val="20"/>
          <w:szCs w:val="20"/>
        </w:rPr>
      </w:pPr>
      <w:r w:rsidRPr="00D022F7">
        <w:rPr>
          <w:rFonts w:ascii="Arial" w:hAnsi="Arial" w:cs="Arial"/>
          <w:sz w:val="20"/>
          <w:szCs w:val="20"/>
        </w:rPr>
        <w:t>group</w:t>
      </w:r>
      <w:r w:rsidRPr="00D022F7">
        <w:rPr>
          <w:rFonts w:ascii="Arial" w:hAnsi="Arial" w:cs="Arial"/>
          <w:spacing w:val="-2"/>
          <w:sz w:val="20"/>
          <w:szCs w:val="20"/>
        </w:rPr>
        <w:t xml:space="preserve"> </w:t>
      </w:r>
      <w:r w:rsidRPr="00D022F7">
        <w:rPr>
          <w:rFonts w:ascii="Arial" w:hAnsi="Arial" w:cs="Arial"/>
          <w:sz w:val="20"/>
          <w:szCs w:val="20"/>
        </w:rPr>
        <w:t>A:</w:t>
      </w:r>
      <w:r w:rsidRPr="00D022F7">
        <w:rPr>
          <w:rFonts w:ascii="Arial" w:hAnsi="Arial" w:cs="Arial"/>
          <w:spacing w:val="-2"/>
          <w:sz w:val="20"/>
          <w:szCs w:val="20"/>
        </w:rPr>
        <w:t xml:space="preserve"> </w:t>
      </w:r>
      <w:r w:rsidRPr="00D022F7">
        <w:rPr>
          <w:rFonts w:ascii="Arial" w:hAnsi="Arial" w:cs="Arial"/>
          <w:sz w:val="20"/>
          <w:szCs w:val="20"/>
        </w:rPr>
        <w:t>envelope</w:t>
      </w:r>
      <w:r w:rsidRPr="00D022F7">
        <w:rPr>
          <w:rFonts w:ascii="Arial" w:hAnsi="Arial" w:cs="Arial"/>
          <w:spacing w:val="-3"/>
          <w:sz w:val="20"/>
          <w:szCs w:val="20"/>
        </w:rPr>
        <w:t xml:space="preserve"> </w:t>
      </w:r>
      <w:r w:rsidRPr="00D022F7">
        <w:rPr>
          <w:rFonts w:ascii="Arial" w:hAnsi="Arial" w:cs="Arial"/>
          <w:sz w:val="20"/>
          <w:szCs w:val="20"/>
        </w:rPr>
        <w:t>capacity</w:t>
      </w:r>
      <w:r w:rsidRPr="00D022F7">
        <w:rPr>
          <w:rFonts w:ascii="Arial" w:hAnsi="Arial" w:cs="Arial"/>
          <w:spacing w:val="-2"/>
          <w:sz w:val="20"/>
          <w:szCs w:val="20"/>
        </w:rPr>
        <w:t xml:space="preserve"> </w:t>
      </w:r>
      <w:r w:rsidRPr="00D022F7">
        <w:rPr>
          <w:rFonts w:ascii="Arial" w:hAnsi="Arial" w:cs="Arial"/>
          <w:sz w:val="20"/>
          <w:szCs w:val="20"/>
        </w:rPr>
        <w:t>up</w:t>
      </w:r>
      <w:r w:rsidRPr="00D022F7">
        <w:rPr>
          <w:rFonts w:ascii="Arial" w:hAnsi="Arial" w:cs="Arial"/>
          <w:spacing w:val="-2"/>
          <w:sz w:val="20"/>
          <w:szCs w:val="20"/>
        </w:rPr>
        <w:t xml:space="preserve"> </w:t>
      </w:r>
      <w:r w:rsidRPr="00D022F7">
        <w:rPr>
          <w:rFonts w:ascii="Arial" w:hAnsi="Arial" w:cs="Arial"/>
          <w:sz w:val="20"/>
          <w:szCs w:val="20"/>
        </w:rPr>
        <w:t>to</w:t>
      </w:r>
      <w:r w:rsidRPr="00D022F7">
        <w:rPr>
          <w:rFonts w:ascii="Arial" w:hAnsi="Arial" w:cs="Arial"/>
          <w:spacing w:val="-1"/>
          <w:sz w:val="20"/>
          <w:szCs w:val="20"/>
        </w:rPr>
        <w:t xml:space="preserve"> </w:t>
      </w:r>
      <w:r w:rsidRPr="00D022F7">
        <w:rPr>
          <w:rFonts w:ascii="Arial" w:hAnsi="Arial" w:cs="Arial"/>
          <w:sz w:val="20"/>
          <w:szCs w:val="20"/>
        </w:rPr>
        <w:t>3 400</w:t>
      </w:r>
      <w:r w:rsidRPr="00D022F7">
        <w:rPr>
          <w:rFonts w:ascii="Arial" w:hAnsi="Arial" w:cs="Arial"/>
          <w:spacing w:val="-2"/>
          <w:sz w:val="20"/>
          <w:szCs w:val="20"/>
        </w:rPr>
        <w:t xml:space="preserve"> </w:t>
      </w:r>
      <w:r w:rsidRPr="00D022F7">
        <w:rPr>
          <w:rFonts w:ascii="Arial" w:hAnsi="Arial" w:cs="Arial"/>
          <w:sz w:val="20"/>
          <w:szCs w:val="20"/>
        </w:rPr>
        <w:t>m</w:t>
      </w:r>
      <w:r w:rsidRPr="00D022F7">
        <w:rPr>
          <w:rFonts w:ascii="Arial" w:hAnsi="Arial" w:cs="Arial"/>
          <w:sz w:val="20"/>
          <w:szCs w:val="20"/>
          <w:vertAlign w:val="superscript"/>
        </w:rPr>
        <w:t>3</w:t>
      </w:r>
      <w:r w:rsidRPr="00D022F7">
        <w:rPr>
          <w:rFonts w:ascii="Arial" w:hAnsi="Arial" w:cs="Arial"/>
          <w:spacing w:val="-2"/>
          <w:sz w:val="20"/>
          <w:szCs w:val="20"/>
        </w:rPr>
        <w:t xml:space="preserve"> </w:t>
      </w:r>
      <w:r w:rsidRPr="00D022F7">
        <w:rPr>
          <w:rFonts w:ascii="Arial" w:hAnsi="Arial" w:cs="Arial"/>
          <w:sz w:val="20"/>
          <w:szCs w:val="20"/>
        </w:rPr>
        <w:t>(120</w:t>
      </w:r>
      <w:r w:rsidRPr="00D022F7">
        <w:rPr>
          <w:rFonts w:ascii="Arial" w:hAnsi="Arial" w:cs="Arial"/>
          <w:spacing w:val="-1"/>
          <w:sz w:val="20"/>
          <w:szCs w:val="20"/>
        </w:rPr>
        <w:t xml:space="preserve"> </w:t>
      </w:r>
      <w:r w:rsidRPr="00D022F7">
        <w:rPr>
          <w:rFonts w:ascii="Arial" w:hAnsi="Arial" w:cs="Arial"/>
          <w:sz w:val="20"/>
          <w:szCs w:val="20"/>
        </w:rPr>
        <w:t>069</w:t>
      </w:r>
      <w:r w:rsidRPr="00D022F7">
        <w:rPr>
          <w:rFonts w:ascii="Arial" w:hAnsi="Arial" w:cs="Arial"/>
          <w:spacing w:val="-3"/>
          <w:sz w:val="20"/>
          <w:szCs w:val="20"/>
        </w:rPr>
        <w:t xml:space="preserve"> </w:t>
      </w:r>
      <w:r w:rsidRPr="00D022F7">
        <w:rPr>
          <w:rFonts w:ascii="Arial" w:hAnsi="Arial" w:cs="Arial"/>
          <w:sz w:val="20"/>
          <w:szCs w:val="20"/>
        </w:rPr>
        <w:t>ft</w:t>
      </w:r>
      <w:r w:rsidRPr="00D022F7">
        <w:rPr>
          <w:rFonts w:ascii="Arial" w:hAnsi="Arial" w:cs="Arial"/>
          <w:sz w:val="20"/>
          <w:szCs w:val="20"/>
          <w:vertAlign w:val="superscript"/>
        </w:rPr>
        <w:t>3</w:t>
      </w:r>
      <w:r w:rsidRPr="00D022F7">
        <w:rPr>
          <w:rFonts w:ascii="Arial" w:hAnsi="Arial" w:cs="Arial"/>
          <w:sz w:val="20"/>
          <w:szCs w:val="20"/>
        </w:rPr>
        <w:t>);</w:t>
      </w:r>
    </w:p>
    <w:p w14:paraId="742BC1BE" w14:textId="77777777" w:rsidR="00D022F7" w:rsidRPr="00D022F7" w:rsidRDefault="00D022F7" w:rsidP="00AD2F17">
      <w:pPr>
        <w:numPr>
          <w:ilvl w:val="1"/>
          <w:numId w:val="126"/>
        </w:numPr>
        <w:tabs>
          <w:tab w:val="left" w:pos="1273"/>
          <w:tab w:val="left" w:pos="1274"/>
        </w:tabs>
        <w:spacing w:before="121" w:line="276" w:lineRule="auto"/>
        <w:ind w:hanging="568"/>
        <w:jc w:val="both"/>
        <w:rPr>
          <w:rFonts w:ascii="Arial" w:hAnsi="Arial" w:cs="Arial"/>
          <w:sz w:val="20"/>
          <w:szCs w:val="20"/>
        </w:rPr>
      </w:pPr>
      <w:r w:rsidRPr="00D022F7">
        <w:rPr>
          <w:rFonts w:ascii="Arial" w:hAnsi="Arial" w:cs="Arial"/>
          <w:sz w:val="20"/>
          <w:szCs w:val="20"/>
        </w:rPr>
        <w:t>group</w:t>
      </w:r>
      <w:r w:rsidRPr="00D022F7">
        <w:rPr>
          <w:rFonts w:ascii="Arial" w:hAnsi="Arial" w:cs="Arial"/>
          <w:spacing w:val="-2"/>
          <w:sz w:val="20"/>
          <w:szCs w:val="20"/>
        </w:rPr>
        <w:t xml:space="preserve"> </w:t>
      </w:r>
      <w:r w:rsidRPr="00D022F7">
        <w:rPr>
          <w:rFonts w:ascii="Arial" w:hAnsi="Arial" w:cs="Arial"/>
          <w:sz w:val="20"/>
          <w:szCs w:val="20"/>
        </w:rPr>
        <w:t>B:</w:t>
      </w:r>
      <w:r w:rsidRPr="00D022F7">
        <w:rPr>
          <w:rFonts w:ascii="Arial" w:hAnsi="Arial" w:cs="Arial"/>
          <w:spacing w:val="-1"/>
          <w:sz w:val="20"/>
          <w:szCs w:val="20"/>
        </w:rPr>
        <w:t xml:space="preserve"> </w:t>
      </w:r>
      <w:r w:rsidRPr="00D022F7">
        <w:rPr>
          <w:rFonts w:ascii="Arial" w:hAnsi="Arial" w:cs="Arial"/>
          <w:sz w:val="20"/>
          <w:szCs w:val="20"/>
        </w:rPr>
        <w:t>envelope</w:t>
      </w:r>
      <w:r w:rsidRPr="00D022F7">
        <w:rPr>
          <w:rFonts w:ascii="Arial" w:hAnsi="Arial" w:cs="Arial"/>
          <w:spacing w:val="-3"/>
          <w:sz w:val="20"/>
          <w:szCs w:val="20"/>
        </w:rPr>
        <w:t xml:space="preserve"> </w:t>
      </w:r>
      <w:r w:rsidRPr="00D022F7">
        <w:rPr>
          <w:rFonts w:ascii="Arial" w:hAnsi="Arial" w:cs="Arial"/>
          <w:sz w:val="20"/>
          <w:szCs w:val="20"/>
        </w:rPr>
        <w:t>capacity</w:t>
      </w:r>
      <w:r w:rsidRPr="00D022F7">
        <w:rPr>
          <w:rFonts w:ascii="Arial" w:hAnsi="Arial" w:cs="Arial"/>
          <w:spacing w:val="-2"/>
          <w:sz w:val="20"/>
          <w:szCs w:val="20"/>
        </w:rPr>
        <w:t xml:space="preserve"> </w:t>
      </w:r>
      <w:r w:rsidRPr="00D022F7">
        <w:rPr>
          <w:rFonts w:ascii="Arial" w:hAnsi="Arial" w:cs="Arial"/>
          <w:sz w:val="20"/>
          <w:szCs w:val="20"/>
        </w:rPr>
        <w:t>between</w:t>
      </w:r>
      <w:r w:rsidRPr="00D022F7">
        <w:rPr>
          <w:rFonts w:ascii="Arial" w:hAnsi="Arial" w:cs="Arial"/>
          <w:spacing w:val="-4"/>
          <w:sz w:val="20"/>
          <w:szCs w:val="20"/>
        </w:rPr>
        <w:t xml:space="preserve"> </w:t>
      </w:r>
      <w:r w:rsidRPr="00D022F7">
        <w:rPr>
          <w:rFonts w:ascii="Arial" w:hAnsi="Arial" w:cs="Arial"/>
          <w:sz w:val="20"/>
          <w:szCs w:val="20"/>
        </w:rPr>
        <w:t>3</w:t>
      </w:r>
      <w:r w:rsidRPr="00D022F7">
        <w:rPr>
          <w:rFonts w:ascii="Arial" w:hAnsi="Arial" w:cs="Arial"/>
          <w:spacing w:val="2"/>
          <w:sz w:val="20"/>
          <w:szCs w:val="20"/>
        </w:rPr>
        <w:t xml:space="preserve"> </w:t>
      </w:r>
      <w:r w:rsidRPr="00D022F7">
        <w:rPr>
          <w:rFonts w:ascii="Arial" w:hAnsi="Arial" w:cs="Arial"/>
          <w:sz w:val="20"/>
          <w:szCs w:val="20"/>
        </w:rPr>
        <w:t>401</w:t>
      </w:r>
      <w:r w:rsidRPr="00D022F7">
        <w:rPr>
          <w:rFonts w:ascii="Arial" w:hAnsi="Arial" w:cs="Arial"/>
          <w:spacing w:val="-3"/>
          <w:sz w:val="20"/>
          <w:szCs w:val="20"/>
        </w:rPr>
        <w:t xml:space="preserve"> </w:t>
      </w:r>
      <w:r w:rsidRPr="00D022F7">
        <w:rPr>
          <w:rFonts w:ascii="Arial" w:hAnsi="Arial" w:cs="Arial"/>
          <w:sz w:val="20"/>
          <w:szCs w:val="20"/>
        </w:rPr>
        <w:t>m</w:t>
      </w:r>
      <w:r w:rsidRPr="00D022F7">
        <w:rPr>
          <w:rFonts w:ascii="Arial" w:hAnsi="Arial" w:cs="Arial"/>
          <w:sz w:val="20"/>
          <w:szCs w:val="20"/>
          <w:vertAlign w:val="superscript"/>
        </w:rPr>
        <w:t>3</w:t>
      </w:r>
      <w:r w:rsidRPr="00D022F7">
        <w:rPr>
          <w:rFonts w:ascii="Arial" w:hAnsi="Arial" w:cs="Arial"/>
          <w:sz w:val="20"/>
          <w:szCs w:val="20"/>
        </w:rPr>
        <w:t xml:space="preserve"> (120</w:t>
      </w:r>
      <w:r w:rsidRPr="00D022F7">
        <w:rPr>
          <w:rFonts w:ascii="Arial" w:hAnsi="Arial" w:cs="Arial"/>
          <w:spacing w:val="-2"/>
          <w:sz w:val="20"/>
          <w:szCs w:val="20"/>
        </w:rPr>
        <w:t xml:space="preserve"> </w:t>
      </w:r>
      <w:r w:rsidRPr="00D022F7">
        <w:rPr>
          <w:rFonts w:ascii="Arial" w:hAnsi="Arial" w:cs="Arial"/>
          <w:sz w:val="20"/>
          <w:szCs w:val="20"/>
        </w:rPr>
        <w:t>070 ft</w:t>
      </w:r>
      <w:r w:rsidRPr="00D022F7">
        <w:rPr>
          <w:rFonts w:ascii="Arial" w:hAnsi="Arial" w:cs="Arial"/>
          <w:sz w:val="20"/>
          <w:szCs w:val="20"/>
          <w:vertAlign w:val="superscript"/>
        </w:rPr>
        <w:t>3</w:t>
      </w:r>
      <w:r w:rsidRPr="00D022F7">
        <w:rPr>
          <w:rFonts w:ascii="Arial" w:hAnsi="Arial" w:cs="Arial"/>
          <w:sz w:val="20"/>
          <w:szCs w:val="20"/>
        </w:rPr>
        <w:t>)</w:t>
      </w:r>
      <w:r w:rsidRPr="00D022F7">
        <w:rPr>
          <w:rFonts w:ascii="Arial" w:hAnsi="Arial" w:cs="Arial"/>
          <w:spacing w:val="-1"/>
          <w:sz w:val="20"/>
          <w:szCs w:val="20"/>
        </w:rPr>
        <w:t xml:space="preserve"> </w:t>
      </w:r>
      <w:r w:rsidRPr="00D022F7">
        <w:rPr>
          <w:rFonts w:ascii="Arial" w:hAnsi="Arial" w:cs="Arial"/>
          <w:sz w:val="20"/>
          <w:szCs w:val="20"/>
        </w:rPr>
        <w:t>and</w:t>
      </w:r>
      <w:r w:rsidRPr="00D022F7">
        <w:rPr>
          <w:rFonts w:ascii="Arial" w:hAnsi="Arial" w:cs="Arial"/>
          <w:spacing w:val="-3"/>
          <w:sz w:val="20"/>
          <w:szCs w:val="20"/>
        </w:rPr>
        <w:t xml:space="preserve"> </w:t>
      </w:r>
      <w:r w:rsidRPr="00D022F7">
        <w:rPr>
          <w:rFonts w:ascii="Arial" w:hAnsi="Arial" w:cs="Arial"/>
          <w:sz w:val="20"/>
          <w:szCs w:val="20"/>
        </w:rPr>
        <w:t>6 000</w:t>
      </w:r>
      <w:r w:rsidRPr="00D022F7">
        <w:rPr>
          <w:rFonts w:ascii="Arial" w:hAnsi="Arial" w:cs="Arial"/>
          <w:spacing w:val="-4"/>
          <w:sz w:val="20"/>
          <w:szCs w:val="20"/>
        </w:rPr>
        <w:t xml:space="preserve"> </w:t>
      </w:r>
      <w:r w:rsidRPr="00D022F7">
        <w:rPr>
          <w:rFonts w:ascii="Arial" w:hAnsi="Arial" w:cs="Arial"/>
          <w:sz w:val="20"/>
          <w:szCs w:val="20"/>
        </w:rPr>
        <w:t>m</w:t>
      </w:r>
      <w:r w:rsidRPr="00D022F7">
        <w:rPr>
          <w:rFonts w:ascii="Arial" w:hAnsi="Arial" w:cs="Arial"/>
          <w:sz w:val="20"/>
          <w:szCs w:val="20"/>
          <w:vertAlign w:val="superscript"/>
        </w:rPr>
        <w:t>3</w:t>
      </w:r>
      <w:r w:rsidRPr="00D022F7">
        <w:rPr>
          <w:rFonts w:ascii="Arial" w:hAnsi="Arial" w:cs="Arial"/>
          <w:spacing w:val="-2"/>
          <w:sz w:val="20"/>
          <w:szCs w:val="20"/>
        </w:rPr>
        <w:t xml:space="preserve"> </w:t>
      </w:r>
      <w:r w:rsidRPr="00D022F7">
        <w:rPr>
          <w:rFonts w:ascii="Arial" w:hAnsi="Arial" w:cs="Arial"/>
          <w:sz w:val="20"/>
          <w:szCs w:val="20"/>
        </w:rPr>
        <w:t>(211 888</w:t>
      </w:r>
      <w:r w:rsidRPr="00D022F7">
        <w:rPr>
          <w:rFonts w:ascii="Arial" w:hAnsi="Arial" w:cs="Arial"/>
          <w:spacing w:val="-1"/>
          <w:sz w:val="20"/>
          <w:szCs w:val="20"/>
        </w:rPr>
        <w:t xml:space="preserve"> </w:t>
      </w:r>
      <w:r w:rsidRPr="00D022F7">
        <w:rPr>
          <w:rFonts w:ascii="Arial" w:hAnsi="Arial" w:cs="Arial"/>
          <w:sz w:val="20"/>
          <w:szCs w:val="20"/>
        </w:rPr>
        <w:t>ft</w:t>
      </w:r>
      <w:r w:rsidRPr="00D022F7">
        <w:rPr>
          <w:rFonts w:ascii="Arial" w:hAnsi="Arial" w:cs="Arial"/>
          <w:sz w:val="20"/>
          <w:szCs w:val="20"/>
          <w:vertAlign w:val="superscript"/>
        </w:rPr>
        <w:t>3</w:t>
      </w:r>
      <w:r w:rsidRPr="00D022F7">
        <w:rPr>
          <w:rFonts w:ascii="Arial" w:hAnsi="Arial" w:cs="Arial"/>
          <w:sz w:val="20"/>
          <w:szCs w:val="20"/>
        </w:rPr>
        <w:t>);</w:t>
      </w:r>
    </w:p>
    <w:p w14:paraId="4DB49DCB" w14:textId="77777777" w:rsidR="00D022F7" w:rsidRPr="00D022F7" w:rsidRDefault="00D022F7" w:rsidP="00AD2F17">
      <w:pPr>
        <w:numPr>
          <w:ilvl w:val="1"/>
          <w:numId w:val="126"/>
        </w:numPr>
        <w:tabs>
          <w:tab w:val="left" w:pos="1273"/>
          <w:tab w:val="left" w:pos="1274"/>
        </w:tabs>
        <w:spacing w:before="120" w:line="276" w:lineRule="auto"/>
        <w:ind w:hanging="568"/>
        <w:jc w:val="both"/>
        <w:rPr>
          <w:rFonts w:ascii="Arial" w:hAnsi="Arial" w:cs="Arial"/>
          <w:sz w:val="20"/>
          <w:szCs w:val="20"/>
        </w:rPr>
      </w:pPr>
      <w:r w:rsidRPr="00D022F7">
        <w:rPr>
          <w:rFonts w:ascii="Arial" w:hAnsi="Arial" w:cs="Arial"/>
          <w:sz w:val="20"/>
          <w:szCs w:val="20"/>
        </w:rPr>
        <w:t>group</w:t>
      </w:r>
      <w:r w:rsidRPr="00D022F7">
        <w:rPr>
          <w:rFonts w:ascii="Arial" w:hAnsi="Arial" w:cs="Arial"/>
          <w:spacing w:val="-2"/>
          <w:sz w:val="20"/>
          <w:szCs w:val="20"/>
        </w:rPr>
        <w:t xml:space="preserve"> </w:t>
      </w:r>
      <w:r w:rsidRPr="00D022F7">
        <w:rPr>
          <w:rFonts w:ascii="Arial" w:hAnsi="Arial" w:cs="Arial"/>
          <w:sz w:val="20"/>
          <w:szCs w:val="20"/>
        </w:rPr>
        <w:t>C:</w:t>
      </w:r>
      <w:r w:rsidRPr="00D022F7">
        <w:rPr>
          <w:rFonts w:ascii="Arial" w:hAnsi="Arial" w:cs="Arial"/>
          <w:spacing w:val="-2"/>
          <w:sz w:val="20"/>
          <w:szCs w:val="20"/>
        </w:rPr>
        <w:t xml:space="preserve"> </w:t>
      </w:r>
      <w:r w:rsidRPr="00D022F7">
        <w:rPr>
          <w:rFonts w:ascii="Arial" w:hAnsi="Arial" w:cs="Arial"/>
          <w:sz w:val="20"/>
          <w:szCs w:val="20"/>
        </w:rPr>
        <w:t>envelope</w:t>
      </w:r>
      <w:r w:rsidRPr="00D022F7">
        <w:rPr>
          <w:rFonts w:ascii="Arial" w:hAnsi="Arial" w:cs="Arial"/>
          <w:spacing w:val="-3"/>
          <w:sz w:val="20"/>
          <w:szCs w:val="20"/>
        </w:rPr>
        <w:t xml:space="preserve"> </w:t>
      </w:r>
      <w:r w:rsidRPr="00D022F7">
        <w:rPr>
          <w:rFonts w:ascii="Arial" w:hAnsi="Arial" w:cs="Arial"/>
          <w:sz w:val="20"/>
          <w:szCs w:val="20"/>
        </w:rPr>
        <w:t>capacity</w:t>
      </w:r>
      <w:r w:rsidRPr="00D022F7">
        <w:rPr>
          <w:rFonts w:ascii="Arial" w:hAnsi="Arial" w:cs="Arial"/>
          <w:spacing w:val="-3"/>
          <w:sz w:val="20"/>
          <w:szCs w:val="20"/>
        </w:rPr>
        <w:t xml:space="preserve"> </w:t>
      </w:r>
      <w:r w:rsidRPr="00D022F7">
        <w:rPr>
          <w:rFonts w:ascii="Arial" w:hAnsi="Arial" w:cs="Arial"/>
          <w:sz w:val="20"/>
          <w:szCs w:val="20"/>
        </w:rPr>
        <w:t>between</w:t>
      </w:r>
      <w:r w:rsidRPr="00D022F7">
        <w:rPr>
          <w:rFonts w:ascii="Arial" w:hAnsi="Arial" w:cs="Arial"/>
          <w:spacing w:val="-4"/>
          <w:sz w:val="20"/>
          <w:szCs w:val="20"/>
        </w:rPr>
        <w:t xml:space="preserve"> </w:t>
      </w:r>
      <w:r w:rsidRPr="00D022F7">
        <w:rPr>
          <w:rFonts w:ascii="Arial" w:hAnsi="Arial" w:cs="Arial"/>
          <w:sz w:val="20"/>
          <w:szCs w:val="20"/>
        </w:rPr>
        <w:t>6</w:t>
      </w:r>
      <w:r w:rsidRPr="00D022F7">
        <w:rPr>
          <w:rFonts w:ascii="Arial" w:hAnsi="Arial" w:cs="Arial"/>
          <w:spacing w:val="2"/>
          <w:sz w:val="20"/>
          <w:szCs w:val="20"/>
        </w:rPr>
        <w:t xml:space="preserve"> </w:t>
      </w:r>
      <w:r w:rsidRPr="00D022F7">
        <w:rPr>
          <w:rFonts w:ascii="Arial" w:hAnsi="Arial" w:cs="Arial"/>
          <w:sz w:val="20"/>
          <w:szCs w:val="20"/>
        </w:rPr>
        <w:t>001</w:t>
      </w:r>
      <w:r w:rsidRPr="00D022F7">
        <w:rPr>
          <w:rFonts w:ascii="Arial" w:hAnsi="Arial" w:cs="Arial"/>
          <w:spacing w:val="-3"/>
          <w:sz w:val="20"/>
          <w:szCs w:val="20"/>
        </w:rPr>
        <w:t xml:space="preserve"> </w:t>
      </w:r>
      <w:r w:rsidRPr="00D022F7">
        <w:rPr>
          <w:rFonts w:ascii="Arial" w:hAnsi="Arial" w:cs="Arial"/>
          <w:sz w:val="20"/>
          <w:szCs w:val="20"/>
        </w:rPr>
        <w:t>m</w:t>
      </w:r>
      <w:r w:rsidRPr="00D022F7">
        <w:rPr>
          <w:rFonts w:ascii="Arial" w:hAnsi="Arial" w:cs="Arial"/>
          <w:sz w:val="20"/>
          <w:szCs w:val="20"/>
          <w:vertAlign w:val="superscript"/>
        </w:rPr>
        <w:t>3</w:t>
      </w:r>
      <w:r w:rsidRPr="00D022F7">
        <w:rPr>
          <w:rFonts w:ascii="Arial" w:hAnsi="Arial" w:cs="Arial"/>
          <w:sz w:val="20"/>
          <w:szCs w:val="20"/>
        </w:rPr>
        <w:t xml:space="preserve"> (211</w:t>
      </w:r>
      <w:r w:rsidRPr="00D022F7">
        <w:rPr>
          <w:rFonts w:ascii="Arial" w:hAnsi="Arial" w:cs="Arial"/>
          <w:spacing w:val="-2"/>
          <w:sz w:val="20"/>
          <w:szCs w:val="20"/>
        </w:rPr>
        <w:t xml:space="preserve"> </w:t>
      </w:r>
      <w:r w:rsidRPr="00D022F7">
        <w:rPr>
          <w:rFonts w:ascii="Arial" w:hAnsi="Arial" w:cs="Arial"/>
          <w:sz w:val="20"/>
          <w:szCs w:val="20"/>
        </w:rPr>
        <w:t>889</w:t>
      </w:r>
      <w:r w:rsidRPr="00D022F7">
        <w:rPr>
          <w:rFonts w:ascii="Arial" w:hAnsi="Arial" w:cs="Arial"/>
          <w:spacing w:val="-1"/>
          <w:sz w:val="20"/>
          <w:szCs w:val="20"/>
        </w:rPr>
        <w:t xml:space="preserve"> </w:t>
      </w:r>
      <w:r w:rsidRPr="00D022F7">
        <w:rPr>
          <w:rFonts w:ascii="Arial" w:hAnsi="Arial" w:cs="Arial"/>
          <w:sz w:val="20"/>
          <w:szCs w:val="20"/>
        </w:rPr>
        <w:t>ft</w:t>
      </w:r>
      <w:r w:rsidRPr="00D022F7">
        <w:rPr>
          <w:rFonts w:ascii="Arial" w:hAnsi="Arial" w:cs="Arial"/>
          <w:sz w:val="20"/>
          <w:szCs w:val="20"/>
          <w:vertAlign w:val="superscript"/>
        </w:rPr>
        <w:t>3</w:t>
      </w:r>
      <w:r w:rsidRPr="00D022F7">
        <w:rPr>
          <w:rFonts w:ascii="Arial" w:hAnsi="Arial" w:cs="Arial"/>
          <w:sz w:val="20"/>
          <w:szCs w:val="20"/>
        </w:rPr>
        <w:t>)</w:t>
      </w:r>
      <w:r w:rsidRPr="00D022F7">
        <w:rPr>
          <w:rFonts w:ascii="Arial" w:hAnsi="Arial" w:cs="Arial"/>
          <w:spacing w:val="-1"/>
          <w:sz w:val="20"/>
          <w:szCs w:val="20"/>
        </w:rPr>
        <w:t xml:space="preserve"> </w:t>
      </w:r>
      <w:r w:rsidRPr="00D022F7">
        <w:rPr>
          <w:rFonts w:ascii="Arial" w:hAnsi="Arial" w:cs="Arial"/>
          <w:sz w:val="20"/>
          <w:szCs w:val="20"/>
        </w:rPr>
        <w:t>and</w:t>
      </w:r>
      <w:r w:rsidRPr="00D022F7">
        <w:rPr>
          <w:rFonts w:ascii="Arial" w:hAnsi="Arial" w:cs="Arial"/>
          <w:spacing w:val="-4"/>
          <w:sz w:val="20"/>
          <w:szCs w:val="20"/>
        </w:rPr>
        <w:t xml:space="preserve"> </w:t>
      </w:r>
      <w:r w:rsidRPr="00D022F7">
        <w:rPr>
          <w:rFonts w:ascii="Arial" w:hAnsi="Arial" w:cs="Arial"/>
          <w:sz w:val="20"/>
          <w:szCs w:val="20"/>
        </w:rPr>
        <w:t>10</w:t>
      </w:r>
      <w:r w:rsidRPr="00D022F7">
        <w:rPr>
          <w:rFonts w:ascii="Arial" w:hAnsi="Arial" w:cs="Arial"/>
          <w:spacing w:val="-2"/>
          <w:sz w:val="20"/>
          <w:szCs w:val="20"/>
        </w:rPr>
        <w:t xml:space="preserve"> </w:t>
      </w:r>
      <w:r w:rsidRPr="00D022F7">
        <w:rPr>
          <w:rFonts w:ascii="Arial" w:hAnsi="Arial" w:cs="Arial"/>
          <w:sz w:val="20"/>
          <w:szCs w:val="20"/>
        </w:rPr>
        <w:t>500</w:t>
      </w:r>
      <w:r w:rsidRPr="00D022F7">
        <w:rPr>
          <w:rFonts w:ascii="Arial" w:hAnsi="Arial" w:cs="Arial"/>
          <w:spacing w:val="-3"/>
          <w:sz w:val="20"/>
          <w:szCs w:val="20"/>
        </w:rPr>
        <w:t xml:space="preserve"> </w:t>
      </w:r>
      <w:r w:rsidRPr="00D022F7">
        <w:rPr>
          <w:rFonts w:ascii="Arial" w:hAnsi="Arial" w:cs="Arial"/>
          <w:sz w:val="20"/>
          <w:szCs w:val="20"/>
        </w:rPr>
        <w:t>m</w:t>
      </w:r>
      <w:r w:rsidRPr="00D022F7">
        <w:rPr>
          <w:rFonts w:ascii="Arial" w:hAnsi="Arial" w:cs="Arial"/>
          <w:sz w:val="20"/>
          <w:szCs w:val="20"/>
          <w:vertAlign w:val="superscript"/>
        </w:rPr>
        <w:t>3</w:t>
      </w:r>
      <w:r w:rsidRPr="00D022F7">
        <w:rPr>
          <w:rFonts w:ascii="Arial" w:hAnsi="Arial" w:cs="Arial"/>
          <w:spacing w:val="-2"/>
          <w:sz w:val="20"/>
          <w:szCs w:val="20"/>
        </w:rPr>
        <w:t xml:space="preserve"> </w:t>
      </w:r>
      <w:r w:rsidRPr="00D022F7">
        <w:rPr>
          <w:rFonts w:ascii="Arial" w:hAnsi="Arial" w:cs="Arial"/>
          <w:sz w:val="20"/>
          <w:szCs w:val="20"/>
        </w:rPr>
        <w:t>(370</w:t>
      </w:r>
      <w:r w:rsidRPr="00D022F7">
        <w:rPr>
          <w:rFonts w:ascii="Arial" w:hAnsi="Arial" w:cs="Arial"/>
          <w:spacing w:val="2"/>
          <w:sz w:val="20"/>
          <w:szCs w:val="20"/>
        </w:rPr>
        <w:t xml:space="preserve"> </w:t>
      </w:r>
      <w:r w:rsidRPr="00D022F7">
        <w:rPr>
          <w:rFonts w:ascii="Arial" w:hAnsi="Arial" w:cs="Arial"/>
          <w:sz w:val="20"/>
          <w:szCs w:val="20"/>
        </w:rPr>
        <w:t>804</w:t>
      </w:r>
      <w:r w:rsidRPr="00D022F7">
        <w:rPr>
          <w:rFonts w:ascii="Arial" w:hAnsi="Arial" w:cs="Arial"/>
          <w:spacing w:val="-1"/>
          <w:sz w:val="20"/>
          <w:szCs w:val="20"/>
        </w:rPr>
        <w:t xml:space="preserve"> </w:t>
      </w:r>
      <w:r w:rsidRPr="00D022F7">
        <w:rPr>
          <w:rFonts w:ascii="Arial" w:hAnsi="Arial" w:cs="Arial"/>
          <w:sz w:val="20"/>
          <w:szCs w:val="20"/>
        </w:rPr>
        <w:t>ft</w:t>
      </w:r>
      <w:r w:rsidRPr="00D022F7">
        <w:rPr>
          <w:rFonts w:ascii="Arial" w:hAnsi="Arial" w:cs="Arial"/>
          <w:sz w:val="20"/>
          <w:szCs w:val="20"/>
          <w:vertAlign w:val="superscript"/>
        </w:rPr>
        <w:t>3</w:t>
      </w:r>
      <w:r w:rsidRPr="00D022F7">
        <w:rPr>
          <w:rFonts w:ascii="Arial" w:hAnsi="Arial" w:cs="Arial"/>
          <w:sz w:val="20"/>
          <w:szCs w:val="20"/>
        </w:rPr>
        <w:t>);</w:t>
      </w:r>
    </w:p>
    <w:p w14:paraId="251653AF" w14:textId="77777777" w:rsidR="00D022F7" w:rsidRPr="00D022F7" w:rsidRDefault="00D022F7" w:rsidP="00AD2F17">
      <w:pPr>
        <w:numPr>
          <w:ilvl w:val="1"/>
          <w:numId w:val="126"/>
        </w:numPr>
        <w:tabs>
          <w:tab w:val="left" w:pos="1273"/>
          <w:tab w:val="left" w:pos="1274"/>
        </w:tabs>
        <w:spacing w:before="120" w:line="276" w:lineRule="auto"/>
        <w:ind w:hanging="568"/>
        <w:jc w:val="both"/>
        <w:rPr>
          <w:rFonts w:ascii="Arial" w:hAnsi="Arial" w:cs="Arial"/>
          <w:sz w:val="20"/>
          <w:szCs w:val="20"/>
        </w:rPr>
      </w:pPr>
      <w:r w:rsidRPr="00D022F7">
        <w:rPr>
          <w:rFonts w:ascii="Arial" w:hAnsi="Arial" w:cs="Arial"/>
          <w:sz w:val="20"/>
          <w:szCs w:val="20"/>
        </w:rPr>
        <w:t>group</w:t>
      </w:r>
      <w:r w:rsidRPr="00D022F7">
        <w:rPr>
          <w:rFonts w:ascii="Arial" w:hAnsi="Arial" w:cs="Arial"/>
          <w:spacing w:val="-2"/>
          <w:sz w:val="20"/>
          <w:szCs w:val="20"/>
        </w:rPr>
        <w:t xml:space="preserve"> </w:t>
      </w:r>
      <w:r w:rsidRPr="00D022F7">
        <w:rPr>
          <w:rFonts w:ascii="Arial" w:hAnsi="Arial" w:cs="Arial"/>
          <w:sz w:val="20"/>
          <w:szCs w:val="20"/>
        </w:rPr>
        <w:t>D:</w:t>
      </w:r>
      <w:r w:rsidRPr="00D022F7">
        <w:rPr>
          <w:rFonts w:ascii="Arial" w:hAnsi="Arial" w:cs="Arial"/>
          <w:spacing w:val="-1"/>
          <w:sz w:val="20"/>
          <w:szCs w:val="20"/>
        </w:rPr>
        <w:t xml:space="preserve"> </w:t>
      </w:r>
      <w:r w:rsidRPr="00D022F7">
        <w:rPr>
          <w:rFonts w:ascii="Arial" w:hAnsi="Arial" w:cs="Arial"/>
          <w:sz w:val="20"/>
          <w:szCs w:val="20"/>
        </w:rPr>
        <w:t>envelope</w:t>
      </w:r>
      <w:r w:rsidRPr="00D022F7">
        <w:rPr>
          <w:rFonts w:ascii="Arial" w:hAnsi="Arial" w:cs="Arial"/>
          <w:spacing w:val="1"/>
          <w:sz w:val="20"/>
          <w:szCs w:val="20"/>
        </w:rPr>
        <w:t xml:space="preserve"> </w:t>
      </w:r>
      <w:r w:rsidRPr="00D022F7">
        <w:rPr>
          <w:rFonts w:ascii="Arial" w:hAnsi="Arial" w:cs="Arial"/>
          <w:sz w:val="20"/>
          <w:szCs w:val="20"/>
        </w:rPr>
        <w:t>capacity</w:t>
      </w:r>
      <w:r w:rsidRPr="00D022F7">
        <w:rPr>
          <w:rFonts w:ascii="Arial" w:hAnsi="Arial" w:cs="Arial"/>
          <w:spacing w:val="-3"/>
          <w:sz w:val="20"/>
          <w:szCs w:val="20"/>
        </w:rPr>
        <w:t xml:space="preserve"> </w:t>
      </w:r>
      <w:r w:rsidRPr="00D022F7">
        <w:rPr>
          <w:rFonts w:ascii="Arial" w:hAnsi="Arial" w:cs="Arial"/>
          <w:sz w:val="20"/>
          <w:szCs w:val="20"/>
        </w:rPr>
        <w:t>of</w:t>
      </w:r>
      <w:r w:rsidRPr="00D022F7">
        <w:rPr>
          <w:rFonts w:ascii="Arial" w:hAnsi="Arial" w:cs="Arial"/>
          <w:spacing w:val="-2"/>
          <w:sz w:val="20"/>
          <w:szCs w:val="20"/>
        </w:rPr>
        <w:t xml:space="preserve"> </w:t>
      </w:r>
      <w:r w:rsidRPr="00D022F7">
        <w:rPr>
          <w:rFonts w:ascii="Arial" w:hAnsi="Arial" w:cs="Arial"/>
          <w:sz w:val="20"/>
          <w:szCs w:val="20"/>
        </w:rPr>
        <w:t>more</w:t>
      </w:r>
      <w:r w:rsidRPr="00D022F7">
        <w:rPr>
          <w:rFonts w:ascii="Arial" w:hAnsi="Arial" w:cs="Arial"/>
          <w:spacing w:val="-3"/>
          <w:sz w:val="20"/>
          <w:szCs w:val="20"/>
        </w:rPr>
        <w:t xml:space="preserve"> </w:t>
      </w:r>
      <w:r w:rsidRPr="00D022F7">
        <w:rPr>
          <w:rFonts w:ascii="Arial" w:hAnsi="Arial" w:cs="Arial"/>
          <w:sz w:val="20"/>
          <w:szCs w:val="20"/>
        </w:rPr>
        <w:t>than</w:t>
      </w:r>
      <w:r w:rsidRPr="00D022F7">
        <w:rPr>
          <w:rFonts w:ascii="Arial" w:hAnsi="Arial" w:cs="Arial"/>
          <w:spacing w:val="-2"/>
          <w:sz w:val="20"/>
          <w:szCs w:val="20"/>
        </w:rPr>
        <w:t xml:space="preserve"> </w:t>
      </w:r>
      <w:r w:rsidRPr="00D022F7">
        <w:rPr>
          <w:rFonts w:ascii="Arial" w:hAnsi="Arial" w:cs="Arial"/>
          <w:sz w:val="20"/>
          <w:szCs w:val="20"/>
        </w:rPr>
        <w:t>10 500</w:t>
      </w:r>
      <w:r w:rsidRPr="00D022F7">
        <w:rPr>
          <w:rFonts w:ascii="Arial" w:hAnsi="Arial" w:cs="Arial"/>
          <w:spacing w:val="-3"/>
          <w:sz w:val="20"/>
          <w:szCs w:val="20"/>
        </w:rPr>
        <w:t xml:space="preserve"> </w:t>
      </w:r>
      <w:r w:rsidRPr="00D022F7">
        <w:rPr>
          <w:rFonts w:ascii="Arial" w:hAnsi="Arial" w:cs="Arial"/>
          <w:sz w:val="20"/>
          <w:szCs w:val="20"/>
        </w:rPr>
        <w:t>m</w:t>
      </w:r>
      <w:r w:rsidRPr="00D022F7">
        <w:rPr>
          <w:rFonts w:ascii="Arial" w:hAnsi="Arial" w:cs="Arial"/>
          <w:sz w:val="20"/>
          <w:szCs w:val="20"/>
          <w:vertAlign w:val="superscript"/>
        </w:rPr>
        <w:t>3</w:t>
      </w:r>
      <w:r w:rsidRPr="00D022F7">
        <w:rPr>
          <w:rFonts w:ascii="Arial" w:hAnsi="Arial" w:cs="Arial"/>
          <w:spacing w:val="-1"/>
          <w:sz w:val="20"/>
          <w:szCs w:val="20"/>
        </w:rPr>
        <w:t xml:space="preserve"> </w:t>
      </w:r>
      <w:r w:rsidRPr="00D022F7">
        <w:rPr>
          <w:rFonts w:ascii="Arial" w:hAnsi="Arial" w:cs="Arial"/>
          <w:sz w:val="20"/>
          <w:szCs w:val="20"/>
        </w:rPr>
        <w:t>(370</w:t>
      </w:r>
      <w:r w:rsidRPr="00D022F7">
        <w:rPr>
          <w:rFonts w:ascii="Arial" w:hAnsi="Arial" w:cs="Arial"/>
          <w:spacing w:val="-2"/>
          <w:sz w:val="20"/>
          <w:szCs w:val="20"/>
        </w:rPr>
        <w:t xml:space="preserve"> </w:t>
      </w:r>
      <w:r w:rsidRPr="00D022F7">
        <w:rPr>
          <w:rFonts w:ascii="Arial" w:hAnsi="Arial" w:cs="Arial"/>
          <w:sz w:val="20"/>
          <w:szCs w:val="20"/>
        </w:rPr>
        <w:t>804</w:t>
      </w:r>
      <w:r w:rsidRPr="00D022F7">
        <w:rPr>
          <w:rFonts w:ascii="Arial" w:hAnsi="Arial" w:cs="Arial"/>
          <w:spacing w:val="-1"/>
          <w:sz w:val="20"/>
          <w:szCs w:val="20"/>
        </w:rPr>
        <w:t xml:space="preserve"> </w:t>
      </w:r>
      <w:r w:rsidRPr="00D022F7">
        <w:rPr>
          <w:rFonts w:ascii="Arial" w:hAnsi="Arial" w:cs="Arial"/>
          <w:sz w:val="20"/>
          <w:szCs w:val="20"/>
        </w:rPr>
        <w:t>ft</w:t>
      </w:r>
      <w:r w:rsidRPr="00D022F7">
        <w:rPr>
          <w:rFonts w:ascii="Arial" w:hAnsi="Arial" w:cs="Arial"/>
          <w:sz w:val="20"/>
          <w:szCs w:val="20"/>
          <w:vertAlign w:val="superscript"/>
        </w:rPr>
        <w:t>3</w:t>
      </w:r>
      <w:r w:rsidRPr="00D022F7">
        <w:rPr>
          <w:rFonts w:ascii="Arial" w:hAnsi="Arial" w:cs="Arial"/>
          <w:sz w:val="20"/>
          <w:szCs w:val="20"/>
        </w:rPr>
        <w:t>);</w:t>
      </w:r>
    </w:p>
    <w:p w14:paraId="6495195E" w14:textId="77777777" w:rsidR="00D022F7" w:rsidRPr="00D022F7" w:rsidRDefault="00D022F7" w:rsidP="00AD2F17">
      <w:pPr>
        <w:numPr>
          <w:ilvl w:val="0"/>
          <w:numId w:val="126"/>
        </w:numPr>
        <w:tabs>
          <w:tab w:val="left" w:pos="706"/>
          <w:tab w:val="left" w:pos="707"/>
        </w:tabs>
        <w:spacing w:before="120" w:line="276" w:lineRule="auto"/>
        <w:jc w:val="both"/>
        <w:rPr>
          <w:rFonts w:ascii="Arial" w:hAnsi="Arial" w:cs="Arial"/>
          <w:sz w:val="20"/>
          <w:szCs w:val="20"/>
        </w:rPr>
      </w:pPr>
      <w:r w:rsidRPr="00D022F7">
        <w:rPr>
          <w:rFonts w:ascii="Arial" w:hAnsi="Arial" w:cs="Arial"/>
          <w:sz w:val="20"/>
          <w:szCs w:val="20"/>
        </w:rPr>
        <w:t>“gas</w:t>
      </w:r>
      <w:r w:rsidRPr="00D022F7">
        <w:rPr>
          <w:rFonts w:ascii="Arial" w:hAnsi="Arial" w:cs="Arial"/>
          <w:spacing w:val="-2"/>
          <w:sz w:val="20"/>
          <w:szCs w:val="20"/>
        </w:rPr>
        <w:t xml:space="preserve"> </w:t>
      </w:r>
      <w:r w:rsidRPr="00D022F7">
        <w:rPr>
          <w:rFonts w:ascii="Arial" w:hAnsi="Arial" w:cs="Arial"/>
          <w:sz w:val="20"/>
          <w:szCs w:val="20"/>
        </w:rPr>
        <w:t>balloon” class;</w:t>
      </w:r>
    </w:p>
    <w:p w14:paraId="46FB1F36" w14:textId="77777777" w:rsidR="00D022F7" w:rsidRPr="00D022F7" w:rsidRDefault="00D022F7" w:rsidP="00AD2F17">
      <w:pPr>
        <w:numPr>
          <w:ilvl w:val="0"/>
          <w:numId w:val="126"/>
        </w:numPr>
        <w:tabs>
          <w:tab w:val="left" w:pos="706"/>
          <w:tab w:val="left" w:pos="707"/>
        </w:tabs>
        <w:spacing w:before="121" w:line="276" w:lineRule="auto"/>
        <w:jc w:val="both"/>
        <w:rPr>
          <w:rFonts w:ascii="Arial" w:hAnsi="Arial" w:cs="Arial"/>
          <w:sz w:val="20"/>
          <w:szCs w:val="20"/>
        </w:rPr>
      </w:pPr>
      <w:r w:rsidRPr="00D022F7">
        <w:rPr>
          <w:rFonts w:ascii="Arial" w:hAnsi="Arial" w:cs="Arial"/>
          <w:sz w:val="20"/>
          <w:szCs w:val="20"/>
        </w:rPr>
        <w:t>“mixed</w:t>
      </w:r>
      <w:r w:rsidRPr="00D022F7">
        <w:rPr>
          <w:rFonts w:ascii="Arial" w:hAnsi="Arial" w:cs="Arial"/>
          <w:spacing w:val="-6"/>
          <w:sz w:val="20"/>
          <w:szCs w:val="20"/>
        </w:rPr>
        <w:t xml:space="preserve"> </w:t>
      </w:r>
      <w:r w:rsidRPr="00D022F7">
        <w:rPr>
          <w:rFonts w:ascii="Arial" w:hAnsi="Arial" w:cs="Arial"/>
          <w:sz w:val="20"/>
          <w:szCs w:val="20"/>
        </w:rPr>
        <w:t>balloon”</w:t>
      </w:r>
      <w:r w:rsidRPr="00D022F7">
        <w:rPr>
          <w:rFonts w:ascii="Arial" w:hAnsi="Arial" w:cs="Arial"/>
          <w:spacing w:val="-4"/>
          <w:sz w:val="20"/>
          <w:szCs w:val="20"/>
        </w:rPr>
        <w:t xml:space="preserve"> </w:t>
      </w:r>
      <w:r w:rsidRPr="00D022F7">
        <w:rPr>
          <w:rFonts w:ascii="Arial" w:hAnsi="Arial" w:cs="Arial"/>
          <w:sz w:val="20"/>
          <w:szCs w:val="20"/>
        </w:rPr>
        <w:t>class;</w:t>
      </w:r>
    </w:p>
    <w:p w14:paraId="2AE94252" w14:textId="77777777" w:rsidR="00D022F7" w:rsidRPr="00D022F7" w:rsidRDefault="00D022F7" w:rsidP="00AD2F17">
      <w:pPr>
        <w:numPr>
          <w:ilvl w:val="0"/>
          <w:numId w:val="126"/>
        </w:numPr>
        <w:tabs>
          <w:tab w:val="left" w:pos="706"/>
          <w:tab w:val="left" w:pos="707"/>
        </w:tabs>
        <w:spacing w:before="120" w:line="276" w:lineRule="auto"/>
        <w:jc w:val="both"/>
        <w:rPr>
          <w:rFonts w:ascii="Arial" w:hAnsi="Arial" w:cs="Arial"/>
        </w:rPr>
      </w:pPr>
      <w:r w:rsidRPr="00D022F7">
        <w:rPr>
          <w:rFonts w:ascii="Arial" w:hAnsi="Arial" w:cs="Arial"/>
          <w:sz w:val="20"/>
          <w:szCs w:val="20"/>
        </w:rPr>
        <w:t>“hot-air</w:t>
      </w:r>
      <w:r w:rsidRPr="00D022F7">
        <w:rPr>
          <w:rFonts w:ascii="Arial" w:hAnsi="Arial" w:cs="Arial"/>
          <w:spacing w:val="-2"/>
          <w:sz w:val="20"/>
          <w:szCs w:val="20"/>
        </w:rPr>
        <w:t xml:space="preserve"> </w:t>
      </w:r>
      <w:r w:rsidRPr="00D022F7">
        <w:rPr>
          <w:rFonts w:ascii="Arial" w:hAnsi="Arial" w:cs="Arial"/>
          <w:sz w:val="20"/>
          <w:szCs w:val="20"/>
        </w:rPr>
        <w:t>airship” class</w:t>
      </w:r>
      <w:r w:rsidRPr="00D022F7">
        <w:rPr>
          <w:rFonts w:ascii="Arial" w:hAnsi="Arial" w:cs="Arial"/>
        </w:rPr>
        <w:t>.</w:t>
      </w:r>
    </w:p>
    <w:p w14:paraId="51A20640" w14:textId="77777777" w:rsidR="004E506A" w:rsidRPr="004E506A" w:rsidRDefault="004E506A" w:rsidP="009601C2">
      <w:pPr>
        <w:keepNext/>
        <w:keepLines/>
        <w:widowControl/>
        <w:shd w:val="clear" w:color="auto" w:fill="2F5496"/>
        <w:autoSpaceDE/>
        <w:autoSpaceDN/>
        <w:spacing w:before="280" w:after="240" w:line="276" w:lineRule="auto"/>
        <w:outlineLvl w:val="3"/>
        <w:rPr>
          <w:rFonts w:ascii="Arial" w:eastAsia="Times New Roman" w:hAnsi="Arial" w:cs="Times New Roman"/>
          <w:b/>
          <w:iCs/>
          <w:color w:val="FFFFFF"/>
          <w:sz w:val="24"/>
        </w:rPr>
      </w:pPr>
      <w:bookmarkStart w:id="560" w:name="BFCL.015__Application_for_and_issue,_rev"/>
      <w:bookmarkStart w:id="561" w:name="_bookmark227"/>
      <w:bookmarkStart w:id="562" w:name="_Toc153137392"/>
      <w:bookmarkEnd w:id="560"/>
      <w:bookmarkEnd w:id="561"/>
      <w:r w:rsidRPr="004E506A">
        <w:rPr>
          <w:rFonts w:ascii="Arial" w:eastAsia="Times New Roman" w:hAnsi="Arial" w:cs="Times New Roman"/>
          <w:b/>
          <w:iCs/>
          <w:color w:val="FFFFFF"/>
          <w:sz w:val="24"/>
        </w:rPr>
        <w:t>BFCL.015 Application for and issue, revalidation and renewal of a BPL as well as associated privileges, ratings and certificates</w:t>
      </w:r>
      <w:bookmarkEnd w:id="562"/>
    </w:p>
    <w:p w14:paraId="4FD6A382" w14:textId="656C4895" w:rsidR="004E506A" w:rsidRPr="004E506A" w:rsidRDefault="004E506A" w:rsidP="00AD2F17">
      <w:pPr>
        <w:numPr>
          <w:ilvl w:val="0"/>
          <w:numId w:val="127"/>
        </w:numPr>
        <w:tabs>
          <w:tab w:val="left" w:pos="706"/>
          <w:tab w:val="left" w:pos="707"/>
        </w:tabs>
        <w:spacing w:before="117" w:line="276" w:lineRule="auto"/>
        <w:ind w:right="196"/>
        <w:jc w:val="both"/>
        <w:rPr>
          <w:rFonts w:ascii="Arial" w:hAnsi="Arial" w:cs="Arial"/>
          <w:sz w:val="20"/>
          <w:szCs w:val="20"/>
        </w:rPr>
      </w:pPr>
      <w:r w:rsidRPr="004E506A">
        <w:rPr>
          <w:rFonts w:ascii="Arial" w:hAnsi="Arial" w:cs="Arial"/>
          <w:sz w:val="20"/>
          <w:szCs w:val="20"/>
        </w:rPr>
        <w:t>An</w:t>
      </w:r>
      <w:r w:rsidRPr="004E506A">
        <w:rPr>
          <w:rFonts w:ascii="Arial" w:hAnsi="Arial" w:cs="Arial"/>
          <w:spacing w:val="11"/>
          <w:sz w:val="20"/>
          <w:szCs w:val="20"/>
        </w:rPr>
        <w:t xml:space="preserve"> </w:t>
      </w:r>
      <w:r w:rsidRPr="004E506A">
        <w:rPr>
          <w:rFonts w:ascii="Arial" w:hAnsi="Arial" w:cs="Arial"/>
          <w:sz w:val="20"/>
          <w:szCs w:val="20"/>
        </w:rPr>
        <w:t>application</w:t>
      </w:r>
      <w:r w:rsidRPr="004E506A">
        <w:rPr>
          <w:rFonts w:ascii="Arial" w:hAnsi="Arial" w:cs="Arial"/>
          <w:spacing w:val="10"/>
          <w:sz w:val="20"/>
          <w:szCs w:val="20"/>
        </w:rPr>
        <w:t xml:space="preserve"> </w:t>
      </w:r>
      <w:r w:rsidRPr="004E506A">
        <w:rPr>
          <w:rFonts w:ascii="Arial" w:hAnsi="Arial" w:cs="Arial"/>
          <w:sz w:val="20"/>
          <w:szCs w:val="20"/>
        </w:rPr>
        <w:t>for</w:t>
      </w:r>
      <w:r w:rsidRPr="004E506A">
        <w:rPr>
          <w:rFonts w:ascii="Arial" w:hAnsi="Arial" w:cs="Arial"/>
          <w:spacing w:val="12"/>
          <w:sz w:val="20"/>
          <w:szCs w:val="20"/>
        </w:rPr>
        <w:t xml:space="preserve"> </w:t>
      </w:r>
      <w:r w:rsidRPr="004E506A">
        <w:rPr>
          <w:rFonts w:ascii="Arial" w:hAnsi="Arial" w:cs="Arial"/>
          <w:sz w:val="20"/>
          <w:szCs w:val="20"/>
        </w:rPr>
        <w:t>the</w:t>
      </w:r>
      <w:r w:rsidRPr="004E506A">
        <w:rPr>
          <w:rFonts w:ascii="Arial" w:hAnsi="Arial" w:cs="Arial"/>
          <w:spacing w:val="14"/>
          <w:sz w:val="20"/>
          <w:szCs w:val="20"/>
        </w:rPr>
        <w:t xml:space="preserve"> </w:t>
      </w:r>
      <w:r w:rsidRPr="004E506A">
        <w:rPr>
          <w:rFonts w:ascii="Arial" w:hAnsi="Arial" w:cs="Arial"/>
          <w:sz w:val="20"/>
          <w:szCs w:val="20"/>
        </w:rPr>
        <w:t>following</w:t>
      </w:r>
      <w:r w:rsidRPr="004E506A">
        <w:rPr>
          <w:rFonts w:ascii="Arial" w:hAnsi="Arial" w:cs="Arial"/>
          <w:spacing w:val="11"/>
          <w:sz w:val="20"/>
          <w:szCs w:val="20"/>
        </w:rPr>
        <w:t xml:space="preserve"> </w:t>
      </w:r>
      <w:r w:rsidRPr="004E506A">
        <w:rPr>
          <w:rFonts w:ascii="Arial" w:hAnsi="Arial" w:cs="Arial"/>
          <w:sz w:val="20"/>
          <w:szCs w:val="20"/>
        </w:rPr>
        <w:t>shall</w:t>
      </w:r>
      <w:r w:rsidRPr="004E506A">
        <w:rPr>
          <w:rFonts w:ascii="Arial" w:hAnsi="Arial" w:cs="Arial"/>
          <w:spacing w:val="15"/>
          <w:sz w:val="20"/>
          <w:szCs w:val="20"/>
        </w:rPr>
        <w:t xml:space="preserve"> </w:t>
      </w:r>
      <w:r w:rsidRPr="004E506A">
        <w:rPr>
          <w:rFonts w:ascii="Arial" w:hAnsi="Arial" w:cs="Arial"/>
          <w:sz w:val="20"/>
          <w:szCs w:val="20"/>
        </w:rPr>
        <w:t>be</w:t>
      </w:r>
      <w:r w:rsidRPr="004E506A">
        <w:rPr>
          <w:rFonts w:ascii="Arial" w:hAnsi="Arial" w:cs="Arial"/>
          <w:spacing w:val="13"/>
          <w:sz w:val="20"/>
          <w:szCs w:val="20"/>
        </w:rPr>
        <w:t xml:space="preserve"> </w:t>
      </w:r>
      <w:r w:rsidRPr="004E506A">
        <w:rPr>
          <w:rFonts w:ascii="Arial" w:hAnsi="Arial" w:cs="Arial"/>
          <w:sz w:val="20"/>
          <w:szCs w:val="20"/>
        </w:rPr>
        <w:t>submitted</w:t>
      </w:r>
      <w:r w:rsidRPr="004E506A">
        <w:rPr>
          <w:rFonts w:ascii="Arial" w:hAnsi="Arial" w:cs="Arial"/>
          <w:spacing w:val="11"/>
          <w:sz w:val="20"/>
          <w:szCs w:val="20"/>
        </w:rPr>
        <w:t xml:space="preserve"> </w:t>
      </w:r>
      <w:r w:rsidRPr="004E506A">
        <w:rPr>
          <w:rFonts w:ascii="Arial" w:hAnsi="Arial" w:cs="Arial"/>
          <w:sz w:val="20"/>
          <w:szCs w:val="20"/>
        </w:rPr>
        <w:t>to</w:t>
      </w:r>
      <w:r w:rsidRPr="004E506A">
        <w:rPr>
          <w:rFonts w:ascii="Arial" w:hAnsi="Arial" w:cs="Arial"/>
          <w:spacing w:val="12"/>
          <w:sz w:val="20"/>
          <w:szCs w:val="20"/>
        </w:rPr>
        <w:t xml:space="preserve"> </w:t>
      </w:r>
      <w:r w:rsidRPr="004E506A">
        <w:rPr>
          <w:rFonts w:ascii="Arial" w:hAnsi="Arial" w:cs="Arial"/>
          <w:sz w:val="20"/>
          <w:szCs w:val="20"/>
        </w:rPr>
        <w:t>the</w:t>
      </w:r>
      <w:r w:rsidRPr="004E506A">
        <w:rPr>
          <w:rFonts w:ascii="Arial" w:hAnsi="Arial" w:cs="Arial"/>
          <w:spacing w:val="11"/>
          <w:sz w:val="20"/>
          <w:szCs w:val="20"/>
        </w:rPr>
        <w:t xml:space="preserve"> </w:t>
      </w:r>
      <w:r w:rsidR="00A804D2">
        <w:rPr>
          <w:rFonts w:ascii="Arial" w:hAnsi="Arial" w:cs="Arial"/>
          <w:sz w:val="20"/>
          <w:szCs w:val="20"/>
        </w:rPr>
        <w:t>CAC RA</w:t>
      </w:r>
      <w:r w:rsidRPr="004E506A">
        <w:rPr>
          <w:rFonts w:ascii="Arial" w:hAnsi="Arial" w:cs="Arial"/>
          <w:spacing w:val="14"/>
          <w:sz w:val="20"/>
          <w:szCs w:val="20"/>
        </w:rPr>
        <w:t xml:space="preserve"> </w:t>
      </w:r>
      <w:r w:rsidRPr="004E506A">
        <w:rPr>
          <w:rFonts w:ascii="Arial" w:hAnsi="Arial" w:cs="Arial"/>
          <w:sz w:val="20"/>
          <w:szCs w:val="20"/>
        </w:rPr>
        <w:t>in</w:t>
      </w:r>
      <w:r w:rsidRPr="004E506A">
        <w:rPr>
          <w:rFonts w:ascii="Arial" w:hAnsi="Arial" w:cs="Arial"/>
          <w:spacing w:val="12"/>
          <w:sz w:val="20"/>
          <w:szCs w:val="20"/>
        </w:rPr>
        <w:t xml:space="preserve"> </w:t>
      </w:r>
      <w:r w:rsidRPr="004E506A">
        <w:rPr>
          <w:rFonts w:ascii="Arial" w:hAnsi="Arial" w:cs="Arial"/>
          <w:sz w:val="20"/>
          <w:szCs w:val="20"/>
        </w:rPr>
        <w:t>a</w:t>
      </w:r>
      <w:r w:rsidRPr="004E506A">
        <w:rPr>
          <w:rFonts w:ascii="Arial" w:hAnsi="Arial" w:cs="Arial"/>
          <w:spacing w:val="12"/>
          <w:sz w:val="20"/>
          <w:szCs w:val="20"/>
        </w:rPr>
        <w:t xml:space="preserve"> </w:t>
      </w:r>
      <w:r w:rsidRPr="004E506A">
        <w:rPr>
          <w:rFonts w:ascii="Arial" w:hAnsi="Arial" w:cs="Arial"/>
          <w:sz w:val="20"/>
          <w:szCs w:val="20"/>
        </w:rPr>
        <w:t>form</w:t>
      </w:r>
      <w:r w:rsidRPr="004E506A">
        <w:rPr>
          <w:rFonts w:ascii="Arial" w:hAnsi="Arial" w:cs="Arial"/>
          <w:spacing w:val="14"/>
          <w:sz w:val="20"/>
          <w:szCs w:val="20"/>
        </w:rPr>
        <w:t xml:space="preserve"> </w:t>
      </w:r>
      <w:r w:rsidRPr="004E506A">
        <w:rPr>
          <w:rFonts w:ascii="Arial" w:hAnsi="Arial" w:cs="Arial"/>
          <w:sz w:val="20"/>
          <w:szCs w:val="20"/>
        </w:rPr>
        <w:t>and</w:t>
      </w:r>
      <w:r w:rsidRPr="004E506A">
        <w:rPr>
          <w:rFonts w:ascii="Arial" w:hAnsi="Arial" w:cs="Arial"/>
          <w:spacing w:val="-47"/>
          <w:sz w:val="20"/>
          <w:szCs w:val="20"/>
        </w:rPr>
        <w:t xml:space="preserve"> </w:t>
      </w:r>
      <w:r w:rsidRPr="004E506A">
        <w:rPr>
          <w:rFonts w:ascii="Arial" w:hAnsi="Arial" w:cs="Arial"/>
          <w:sz w:val="20"/>
          <w:szCs w:val="20"/>
        </w:rPr>
        <w:t>manner</w:t>
      </w:r>
      <w:r w:rsidRPr="004E506A">
        <w:rPr>
          <w:rFonts w:ascii="Arial" w:hAnsi="Arial" w:cs="Arial"/>
          <w:spacing w:val="-3"/>
          <w:sz w:val="20"/>
          <w:szCs w:val="20"/>
        </w:rPr>
        <w:t xml:space="preserve"> </w:t>
      </w:r>
      <w:r w:rsidRPr="004E506A">
        <w:rPr>
          <w:rFonts w:ascii="Arial" w:hAnsi="Arial" w:cs="Arial"/>
          <w:sz w:val="20"/>
          <w:szCs w:val="20"/>
        </w:rPr>
        <w:t>established</w:t>
      </w:r>
      <w:r w:rsidRPr="004E506A">
        <w:rPr>
          <w:rFonts w:ascii="Arial" w:hAnsi="Arial" w:cs="Arial"/>
          <w:spacing w:val="-1"/>
          <w:sz w:val="20"/>
          <w:szCs w:val="20"/>
        </w:rPr>
        <w:t xml:space="preserve"> </w:t>
      </w:r>
      <w:r w:rsidRPr="004E506A">
        <w:rPr>
          <w:rFonts w:ascii="Arial" w:hAnsi="Arial" w:cs="Arial"/>
          <w:sz w:val="20"/>
          <w:szCs w:val="20"/>
        </w:rPr>
        <w:t>by that</w:t>
      </w:r>
      <w:r w:rsidRPr="004E506A">
        <w:rPr>
          <w:rFonts w:ascii="Arial" w:hAnsi="Arial" w:cs="Arial"/>
          <w:spacing w:val="-2"/>
          <w:sz w:val="20"/>
          <w:szCs w:val="20"/>
        </w:rPr>
        <w:t xml:space="preserve"> </w:t>
      </w:r>
      <w:r w:rsidR="00A804D2">
        <w:rPr>
          <w:rFonts w:ascii="Arial" w:hAnsi="Arial" w:cs="Arial"/>
          <w:sz w:val="20"/>
          <w:szCs w:val="20"/>
        </w:rPr>
        <w:t>CAC RA</w:t>
      </w:r>
      <w:r w:rsidRPr="004E506A">
        <w:rPr>
          <w:rFonts w:ascii="Arial" w:hAnsi="Arial" w:cs="Arial"/>
          <w:sz w:val="20"/>
          <w:szCs w:val="20"/>
        </w:rPr>
        <w:t>:</w:t>
      </w:r>
    </w:p>
    <w:p w14:paraId="784B9F65" w14:textId="77777777" w:rsidR="004E506A" w:rsidRPr="004E506A" w:rsidRDefault="004E506A" w:rsidP="00AD2F17">
      <w:pPr>
        <w:numPr>
          <w:ilvl w:val="1"/>
          <w:numId w:val="127"/>
        </w:numPr>
        <w:tabs>
          <w:tab w:val="left" w:pos="1273"/>
          <w:tab w:val="left" w:pos="1274"/>
        </w:tabs>
        <w:spacing w:before="122" w:line="276" w:lineRule="auto"/>
        <w:ind w:hanging="568"/>
        <w:jc w:val="both"/>
        <w:rPr>
          <w:rFonts w:ascii="Arial" w:hAnsi="Arial" w:cs="Arial"/>
          <w:sz w:val="20"/>
          <w:szCs w:val="20"/>
        </w:rPr>
      </w:pPr>
      <w:r w:rsidRPr="004E506A">
        <w:rPr>
          <w:rFonts w:ascii="Arial" w:hAnsi="Arial" w:cs="Arial"/>
          <w:sz w:val="20"/>
          <w:szCs w:val="20"/>
        </w:rPr>
        <w:t>the</w:t>
      </w:r>
      <w:r w:rsidRPr="004E506A">
        <w:rPr>
          <w:rFonts w:ascii="Arial" w:hAnsi="Arial" w:cs="Arial"/>
          <w:spacing w:val="-1"/>
          <w:sz w:val="20"/>
          <w:szCs w:val="20"/>
        </w:rPr>
        <w:t xml:space="preserve"> </w:t>
      </w:r>
      <w:r w:rsidRPr="004E506A">
        <w:rPr>
          <w:rFonts w:ascii="Arial" w:hAnsi="Arial" w:cs="Arial"/>
          <w:sz w:val="20"/>
          <w:szCs w:val="20"/>
        </w:rPr>
        <w:t>issue</w:t>
      </w:r>
      <w:r w:rsidRPr="004E506A">
        <w:rPr>
          <w:rFonts w:ascii="Arial" w:hAnsi="Arial" w:cs="Arial"/>
          <w:spacing w:val="-2"/>
          <w:sz w:val="20"/>
          <w:szCs w:val="20"/>
        </w:rPr>
        <w:t xml:space="preserve"> </w:t>
      </w:r>
      <w:r w:rsidRPr="004E506A">
        <w:rPr>
          <w:rFonts w:ascii="Arial" w:hAnsi="Arial" w:cs="Arial"/>
          <w:sz w:val="20"/>
          <w:szCs w:val="20"/>
        </w:rPr>
        <w:t>of</w:t>
      </w:r>
      <w:r w:rsidRPr="004E506A">
        <w:rPr>
          <w:rFonts w:ascii="Arial" w:hAnsi="Arial" w:cs="Arial"/>
          <w:spacing w:val="-2"/>
          <w:sz w:val="20"/>
          <w:szCs w:val="20"/>
        </w:rPr>
        <w:t xml:space="preserve"> </w:t>
      </w:r>
      <w:r w:rsidRPr="004E506A">
        <w:rPr>
          <w:rFonts w:ascii="Arial" w:hAnsi="Arial" w:cs="Arial"/>
          <w:sz w:val="20"/>
          <w:szCs w:val="20"/>
        </w:rPr>
        <w:t>a BPL and</w:t>
      </w:r>
      <w:r w:rsidRPr="004E506A">
        <w:rPr>
          <w:rFonts w:ascii="Arial" w:hAnsi="Arial" w:cs="Arial"/>
          <w:spacing w:val="-1"/>
          <w:sz w:val="20"/>
          <w:szCs w:val="20"/>
        </w:rPr>
        <w:t xml:space="preserve"> </w:t>
      </w:r>
      <w:r w:rsidRPr="004E506A">
        <w:rPr>
          <w:rFonts w:ascii="Arial" w:hAnsi="Arial" w:cs="Arial"/>
          <w:sz w:val="20"/>
          <w:szCs w:val="20"/>
        </w:rPr>
        <w:t>associated ratings;</w:t>
      </w:r>
    </w:p>
    <w:p w14:paraId="082ED87C" w14:textId="77777777" w:rsidR="004E506A" w:rsidRPr="004E506A" w:rsidRDefault="004E506A" w:rsidP="00AD2F17">
      <w:pPr>
        <w:numPr>
          <w:ilvl w:val="1"/>
          <w:numId w:val="127"/>
        </w:numPr>
        <w:tabs>
          <w:tab w:val="left" w:pos="1273"/>
          <w:tab w:val="left" w:pos="1274"/>
        </w:tabs>
        <w:spacing w:before="120" w:line="276" w:lineRule="auto"/>
        <w:ind w:hanging="568"/>
        <w:jc w:val="both"/>
        <w:rPr>
          <w:rFonts w:ascii="Arial" w:hAnsi="Arial" w:cs="Arial"/>
          <w:sz w:val="20"/>
          <w:szCs w:val="20"/>
        </w:rPr>
      </w:pPr>
      <w:r w:rsidRPr="004E506A">
        <w:rPr>
          <w:rFonts w:ascii="Arial" w:hAnsi="Arial" w:cs="Arial"/>
          <w:sz w:val="20"/>
          <w:szCs w:val="20"/>
        </w:rPr>
        <w:t>the</w:t>
      </w:r>
      <w:r w:rsidRPr="004E506A">
        <w:rPr>
          <w:rFonts w:ascii="Arial" w:hAnsi="Arial" w:cs="Arial"/>
          <w:spacing w:val="-1"/>
          <w:sz w:val="20"/>
          <w:szCs w:val="20"/>
        </w:rPr>
        <w:t xml:space="preserve"> </w:t>
      </w:r>
      <w:r w:rsidRPr="004E506A">
        <w:rPr>
          <w:rFonts w:ascii="Arial" w:hAnsi="Arial" w:cs="Arial"/>
          <w:sz w:val="20"/>
          <w:szCs w:val="20"/>
        </w:rPr>
        <w:t>extension</w:t>
      </w:r>
      <w:r w:rsidRPr="004E506A">
        <w:rPr>
          <w:rFonts w:ascii="Arial" w:hAnsi="Arial" w:cs="Arial"/>
          <w:spacing w:val="-4"/>
          <w:sz w:val="20"/>
          <w:szCs w:val="20"/>
        </w:rPr>
        <w:t xml:space="preserve"> </w:t>
      </w:r>
      <w:r w:rsidRPr="004E506A">
        <w:rPr>
          <w:rFonts w:ascii="Arial" w:hAnsi="Arial" w:cs="Arial"/>
          <w:sz w:val="20"/>
          <w:szCs w:val="20"/>
        </w:rPr>
        <w:t>of the</w:t>
      </w:r>
      <w:r w:rsidRPr="004E506A">
        <w:rPr>
          <w:rFonts w:ascii="Arial" w:hAnsi="Arial" w:cs="Arial"/>
          <w:spacing w:val="-3"/>
          <w:sz w:val="20"/>
          <w:szCs w:val="20"/>
        </w:rPr>
        <w:t xml:space="preserve"> </w:t>
      </w:r>
      <w:r w:rsidRPr="004E506A">
        <w:rPr>
          <w:rFonts w:ascii="Arial" w:hAnsi="Arial" w:cs="Arial"/>
          <w:sz w:val="20"/>
          <w:szCs w:val="20"/>
        </w:rPr>
        <w:t>privileges of</w:t>
      </w:r>
      <w:r w:rsidRPr="004E506A">
        <w:rPr>
          <w:rFonts w:ascii="Arial" w:hAnsi="Arial" w:cs="Arial"/>
          <w:spacing w:val="-3"/>
          <w:sz w:val="20"/>
          <w:szCs w:val="20"/>
        </w:rPr>
        <w:t xml:space="preserve"> </w:t>
      </w:r>
      <w:r w:rsidRPr="004E506A">
        <w:rPr>
          <w:rFonts w:ascii="Arial" w:hAnsi="Arial" w:cs="Arial"/>
          <w:sz w:val="20"/>
          <w:szCs w:val="20"/>
        </w:rPr>
        <w:t>a</w:t>
      </w:r>
      <w:r w:rsidRPr="004E506A">
        <w:rPr>
          <w:rFonts w:ascii="Arial" w:hAnsi="Arial" w:cs="Arial"/>
          <w:spacing w:val="-1"/>
          <w:sz w:val="20"/>
          <w:szCs w:val="20"/>
        </w:rPr>
        <w:t xml:space="preserve"> </w:t>
      </w:r>
      <w:r w:rsidRPr="004E506A">
        <w:rPr>
          <w:rFonts w:ascii="Arial" w:hAnsi="Arial" w:cs="Arial"/>
          <w:sz w:val="20"/>
          <w:szCs w:val="20"/>
        </w:rPr>
        <w:t>BPL;</w:t>
      </w:r>
    </w:p>
    <w:p w14:paraId="0833CB04" w14:textId="77777777" w:rsidR="004E506A" w:rsidRDefault="004E506A" w:rsidP="00AD2F17">
      <w:pPr>
        <w:numPr>
          <w:ilvl w:val="1"/>
          <w:numId w:val="127"/>
        </w:numPr>
        <w:tabs>
          <w:tab w:val="left" w:pos="1274"/>
        </w:tabs>
        <w:spacing w:before="120" w:line="276" w:lineRule="auto"/>
        <w:ind w:hanging="568"/>
        <w:jc w:val="both"/>
        <w:rPr>
          <w:rFonts w:ascii="Arial" w:hAnsi="Arial" w:cs="Arial"/>
          <w:sz w:val="20"/>
          <w:szCs w:val="20"/>
        </w:rPr>
      </w:pPr>
      <w:r w:rsidRPr="004E506A">
        <w:rPr>
          <w:rFonts w:ascii="Arial" w:hAnsi="Arial" w:cs="Arial"/>
          <w:sz w:val="20"/>
          <w:szCs w:val="20"/>
        </w:rPr>
        <w:t>the</w:t>
      </w:r>
      <w:r w:rsidRPr="004E506A">
        <w:rPr>
          <w:rFonts w:ascii="Arial" w:hAnsi="Arial" w:cs="Arial"/>
          <w:spacing w:val="-2"/>
          <w:sz w:val="20"/>
          <w:szCs w:val="20"/>
        </w:rPr>
        <w:t xml:space="preserve"> </w:t>
      </w:r>
      <w:r w:rsidRPr="004E506A">
        <w:rPr>
          <w:rFonts w:ascii="Arial" w:hAnsi="Arial" w:cs="Arial"/>
          <w:sz w:val="20"/>
          <w:szCs w:val="20"/>
        </w:rPr>
        <w:t>issue</w:t>
      </w:r>
      <w:r w:rsidRPr="004E506A">
        <w:rPr>
          <w:rFonts w:ascii="Arial" w:hAnsi="Arial" w:cs="Arial"/>
          <w:spacing w:val="-4"/>
          <w:sz w:val="20"/>
          <w:szCs w:val="20"/>
        </w:rPr>
        <w:t xml:space="preserve"> </w:t>
      </w:r>
      <w:r w:rsidRPr="004E506A">
        <w:rPr>
          <w:rFonts w:ascii="Arial" w:hAnsi="Arial" w:cs="Arial"/>
          <w:sz w:val="20"/>
          <w:szCs w:val="20"/>
        </w:rPr>
        <w:t>of</w:t>
      </w:r>
      <w:r w:rsidRPr="004E506A">
        <w:rPr>
          <w:rFonts w:ascii="Arial" w:hAnsi="Arial" w:cs="Arial"/>
          <w:spacing w:val="-3"/>
          <w:sz w:val="20"/>
          <w:szCs w:val="20"/>
        </w:rPr>
        <w:t xml:space="preserve"> </w:t>
      </w:r>
      <w:r w:rsidRPr="004E506A">
        <w:rPr>
          <w:rFonts w:ascii="Arial" w:hAnsi="Arial" w:cs="Arial"/>
          <w:sz w:val="20"/>
          <w:szCs w:val="20"/>
        </w:rPr>
        <w:t>a</w:t>
      </w:r>
      <w:r w:rsidRPr="004E506A">
        <w:rPr>
          <w:rFonts w:ascii="Arial" w:hAnsi="Arial" w:cs="Arial"/>
          <w:spacing w:val="-2"/>
          <w:sz w:val="20"/>
          <w:szCs w:val="20"/>
        </w:rPr>
        <w:t xml:space="preserve"> </w:t>
      </w:r>
      <w:r w:rsidRPr="004E506A">
        <w:rPr>
          <w:rFonts w:ascii="Arial" w:hAnsi="Arial" w:cs="Arial"/>
          <w:sz w:val="20"/>
          <w:szCs w:val="20"/>
        </w:rPr>
        <w:t>flight</w:t>
      </w:r>
      <w:r w:rsidRPr="004E506A">
        <w:rPr>
          <w:rFonts w:ascii="Arial" w:hAnsi="Arial" w:cs="Arial"/>
          <w:spacing w:val="-1"/>
          <w:sz w:val="20"/>
          <w:szCs w:val="20"/>
        </w:rPr>
        <w:t xml:space="preserve"> </w:t>
      </w:r>
      <w:r w:rsidRPr="004E506A">
        <w:rPr>
          <w:rFonts w:ascii="Arial" w:hAnsi="Arial" w:cs="Arial"/>
          <w:sz w:val="20"/>
          <w:szCs w:val="20"/>
        </w:rPr>
        <w:t>instructor</w:t>
      </w:r>
      <w:r w:rsidRPr="004E506A">
        <w:rPr>
          <w:rFonts w:ascii="Arial" w:hAnsi="Arial" w:cs="Arial"/>
          <w:spacing w:val="-2"/>
          <w:sz w:val="20"/>
          <w:szCs w:val="20"/>
        </w:rPr>
        <w:t xml:space="preserve"> </w:t>
      </w:r>
      <w:r w:rsidRPr="004E506A">
        <w:rPr>
          <w:rFonts w:ascii="Arial" w:hAnsi="Arial" w:cs="Arial"/>
          <w:sz w:val="20"/>
          <w:szCs w:val="20"/>
        </w:rPr>
        <w:t>(for</w:t>
      </w:r>
      <w:r w:rsidRPr="004E506A">
        <w:rPr>
          <w:rFonts w:ascii="Arial" w:hAnsi="Arial" w:cs="Arial"/>
          <w:spacing w:val="-1"/>
          <w:sz w:val="20"/>
          <w:szCs w:val="20"/>
        </w:rPr>
        <w:t xml:space="preserve"> </w:t>
      </w:r>
      <w:r w:rsidRPr="004E506A">
        <w:rPr>
          <w:rFonts w:ascii="Arial" w:hAnsi="Arial" w:cs="Arial"/>
          <w:sz w:val="20"/>
          <w:szCs w:val="20"/>
        </w:rPr>
        <w:t>balloons)</w:t>
      </w:r>
      <w:r w:rsidRPr="004E506A">
        <w:rPr>
          <w:rFonts w:ascii="Arial" w:hAnsi="Arial" w:cs="Arial"/>
          <w:spacing w:val="-2"/>
          <w:sz w:val="20"/>
          <w:szCs w:val="20"/>
        </w:rPr>
        <w:t xml:space="preserve"> </w:t>
      </w:r>
      <w:r w:rsidRPr="004E506A">
        <w:rPr>
          <w:rFonts w:ascii="Arial" w:hAnsi="Arial" w:cs="Arial"/>
          <w:sz w:val="20"/>
          <w:szCs w:val="20"/>
        </w:rPr>
        <w:t>(“FI(B)”)</w:t>
      </w:r>
      <w:r w:rsidRPr="004E506A">
        <w:rPr>
          <w:rFonts w:ascii="Arial" w:hAnsi="Arial" w:cs="Arial"/>
          <w:spacing w:val="-1"/>
          <w:sz w:val="20"/>
          <w:szCs w:val="20"/>
        </w:rPr>
        <w:t xml:space="preserve"> </w:t>
      </w:r>
      <w:r w:rsidRPr="004E506A">
        <w:rPr>
          <w:rFonts w:ascii="Arial" w:hAnsi="Arial" w:cs="Arial"/>
          <w:sz w:val="20"/>
          <w:szCs w:val="20"/>
        </w:rPr>
        <w:t>certificate;</w:t>
      </w:r>
    </w:p>
    <w:p w14:paraId="4600143F" w14:textId="77777777" w:rsidR="004E506A" w:rsidRDefault="004E506A" w:rsidP="00AD2F17">
      <w:pPr>
        <w:numPr>
          <w:ilvl w:val="1"/>
          <w:numId w:val="127"/>
        </w:numPr>
        <w:tabs>
          <w:tab w:val="left" w:pos="1274"/>
        </w:tabs>
        <w:spacing w:before="120" w:line="276" w:lineRule="auto"/>
        <w:ind w:hanging="568"/>
        <w:jc w:val="both"/>
        <w:rPr>
          <w:rFonts w:ascii="Arial" w:hAnsi="Arial" w:cs="Arial"/>
          <w:sz w:val="20"/>
          <w:szCs w:val="20"/>
        </w:rPr>
      </w:pPr>
      <w:r w:rsidRPr="004E506A">
        <w:rPr>
          <w:rFonts w:ascii="Arial" w:hAnsi="Arial" w:cs="Arial"/>
          <w:spacing w:val="-1"/>
          <w:sz w:val="20"/>
          <w:szCs w:val="20"/>
        </w:rPr>
        <w:t>the</w:t>
      </w:r>
      <w:r w:rsidRPr="004E506A">
        <w:rPr>
          <w:rFonts w:ascii="Arial" w:hAnsi="Arial" w:cs="Arial"/>
          <w:spacing w:val="-9"/>
          <w:sz w:val="20"/>
          <w:szCs w:val="20"/>
        </w:rPr>
        <w:t xml:space="preserve"> </w:t>
      </w:r>
      <w:r w:rsidRPr="004E506A">
        <w:rPr>
          <w:rFonts w:ascii="Arial" w:hAnsi="Arial" w:cs="Arial"/>
          <w:spacing w:val="-1"/>
          <w:sz w:val="20"/>
          <w:szCs w:val="20"/>
        </w:rPr>
        <w:t>issue,</w:t>
      </w:r>
      <w:r w:rsidRPr="004E506A">
        <w:rPr>
          <w:rFonts w:ascii="Arial" w:hAnsi="Arial" w:cs="Arial"/>
          <w:spacing w:val="-11"/>
          <w:sz w:val="20"/>
          <w:szCs w:val="20"/>
        </w:rPr>
        <w:t xml:space="preserve"> </w:t>
      </w:r>
      <w:r w:rsidRPr="004E506A">
        <w:rPr>
          <w:rFonts w:ascii="Arial" w:hAnsi="Arial" w:cs="Arial"/>
          <w:spacing w:val="-1"/>
          <w:sz w:val="20"/>
          <w:szCs w:val="20"/>
        </w:rPr>
        <w:t>revalidation</w:t>
      </w:r>
      <w:r w:rsidRPr="004E506A">
        <w:rPr>
          <w:rFonts w:ascii="Arial" w:hAnsi="Arial" w:cs="Arial"/>
          <w:spacing w:val="-9"/>
          <w:sz w:val="20"/>
          <w:szCs w:val="20"/>
        </w:rPr>
        <w:t xml:space="preserve"> </w:t>
      </w:r>
      <w:r w:rsidRPr="004E506A">
        <w:rPr>
          <w:rFonts w:ascii="Arial" w:hAnsi="Arial" w:cs="Arial"/>
          <w:sz w:val="20"/>
          <w:szCs w:val="20"/>
        </w:rPr>
        <w:t>and</w:t>
      </w:r>
      <w:r w:rsidRPr="004E506A">
        <w:rPr>
          <w:rFonts w:ascii="Arial" w:hAnsi="Arial" w:cs="Arial"/>
          <w:spacing w:val="-10"/>
          <w:sz w:val="20"/>
          <w:szCs w:val="20"/>
        </w:rPr>
        <w:t xml:space="preserve"> </w:t>
      </w:r>
      <w:r w:rsidRPr="004E506A">
        <w:rPr>
          <w:rFonts w:ascii="Arial" w:hAnsi="Arial" w:cs="Arial"/>
          <w:sz w:val="20"/>
          <w:szCs w:val="20"/>
        </w:rPr>
        <w:t>renewal</w:t>
      </w:r>
      <w:r w:rsidRPr="004E506A">
        <w:rPr>
          <w:rFonts w:ascii="Arial" w:hAnsi="Arial" w:cs="Arial"/>
          <w:spacing w:val="-12"/>
          <w:sz w:val="20"/>
          <w:szCs w:val="20"/>
        </w:rPr>
        <w:t xml:space="preserve"> </w:t>
      </w:r>
      <w:r w:rsidRPr="004E506A">
        <w:rPr>
          <w:rFonts w:ascii="Arial" w:hAnsi="Arial" w:cs="Arial"/>
          <w:sz w:val="20"/>
          <w:szCs w:val="20"/>
        </w:rPr>
        <w:t>of</w:t>
      </w:r>
      <w:r w:rsidRPr="004E506A">
        <w:rPr>
          <w:rFonts w:ascii="Arial" w:hAnsi="Arial" w:cs="Arial"/>
          <w:spacing w:val="-9"/>
          <w:sz w:val="20"/>
          <w:szCs w:val="20"/>
        </w:rPr>
        <w:t xml:space="preserve"> </w:t>
      </w:r>
      <w:r w:rsidRPr="004E506A">
        <w:rPr>
          <w:rFonts w:ascii="Arial" w:hAnsi="Arial" w:cs="Arial"/>
          <w:sz w:val="20"/>
          <w:szCs w:val="20"/>
        </w:rPr>
        <w:t>a</w:t>
      </w:r>
      <w:r w:rsidRPr="004E506A">
        <w:rPr>
          <w:rFonts w:ascii="Arial" w:hAnsi="Arial" w:cs="Arial"/>
          <w:spacing w:val="-10"/>
          <w:sz w:val="20"/>
          <w:szCs w:val="20"/>
        </w:rPr>
        <w:t xml:space="preserve"> </w:t>
      </w:r>
      <w:r w:rsidRPr="004E506A">
        <w:rPr>
          <w:rFonts w:ascii="Arial" w:hAnsi="Arial" w:cs="Arial"/>
          <w:sz w:val="20"/>
          <w:szCs w:val="20"/>
        </w:rPr>
        <w:t>flight</w:t>
      </w:r>
      <w:r w:rsidRPr="004E506A">
        <w:rPr>
          <w:rFonts w:ascii="Arial" w:hAnsi="Arial" w:cs="Arial"/>
          <w:spacing w:val="-10"/>
          <w:sz w:val="20"/>
          <w:szCs w:val="20"/>
        </w:rPr>
        <w:t xml:space="preserve"> </w:t>
      </w:r>
      <w:r w:rsidRPr="004E506A">
        <w:rPr>
          <w:rFonts w:ascii="Arial" w:hAnsi="Arial" w:cs="Arial"/>
          <w:sz w:val="20"/>
          <w:szCs w:val="20"/>
        </w:rPr>
        <w:t>examiner</w:t>
      </w:r>
      <w:r w:rsidRPr="004E506A">
        <w:rPr>
          <w:rFonts w:ascii="Arial" w:hAnsi="Arial" w:cs="Arial"/>
          <w:spacing w:val="-14"/>
          <w:sz w:val="20"/>
          <w:szCs w:val="20"/>
        </w:rPr>
        <w:t xml:space="preserve"> </w:t>
      </w:r>
      <w:r w:rsidRPr="004E506A">
        <w:rPr>
          <w:rFonts w:ascii="Arial" w:hAnsi="Arial" w:cs="Arial"/>
          <w:sz w:val="20"/>
          <w:szCs w:val="20"/>
        </w:rPr>
        <w:t>(for</w:t>
      </w:r>
      <w:r w:rsidRPr="004E506A">
        <w:rPr>
          <w:rFonts w:ascii="Arial" w:hAnsi="Arial" w:cs="Arial"/>
          <w:spacing w:val="-9"/>
          <w:sz w:val="20"/>
          <w:szCs w:val="20"/>
        </w:rPr>
        <w:t xml:space="preserve"> </w:t>
      </w:r>
      <w:r w:rsidRPr="004E506A">
        <w:rPr>
          <w:rFonts w:ascii="Arial" w:hAnsi="Arial" w:cs="Arial"/>
          <w:sz w:val="20"/>
          <w:szCs w:val="20"/>
        </w:rPr>
        <w:t>balloons)</w:t>
      </w:r>
      <w:r w:rsidRPr="004E506A">
        <w:rPr>
          <w:rFonts w:ascii="Arial" w:hAnsi="Arial" w:cs="Arial"/>
          <w:spacing w:val="-10"/>
          <w:sz w:val="20"/>
          <w:szCs w:val="20"/>
        </w:rPr>
        <w:t xml:space="preserve"> </w:t>
      </w:r>
      <w:r w:rsidRPr="004E506A">
        <w:rPr>
          <w:rFonts w:ascii="Arial" w:hAnsi="Arial" w:cs="Arial"/>
          <w:sz w:val="20"/>
          <w:szCs w:val="20"/>
        </w:rPr>
        <w:t>(“FE(B)”)</w:t>
      </w:r>
      <w:r w:rsidRPr="004E506A">
        <w:rPr>
          <w:rFonts w:ascii="Arial" w:hAnsi="Arial" w:cs="Arial"/>
          <w:spacing w:val="-9"/>
          <w:sz w:val="20"/>
          <w:szCs w:val="20"/>
        </w:rPr>
        <w:t xml:space="preserve"> </w:t>
      </w:r>
      <w:r w:rsidRPr="004E506A">
        <w:rPr>
          <w:rFonts w:ascii="Arial" w:hAnsi="Arial" w:cs="Arial"/>
          <w:sz w:val="20"/>
          <w:szCs w:val="20"/>
        </w:rPr>
        <w:t>certificate;</w:t>
      </w:r>
      <w:r w:rsidRPr="004E506A">
        <w:rPr>
          <w:rFonts w:ascii="Arial" w:hAnsi="Arial" w:cs="Arial"/>
          <w:spacing w:val="-47"/>
          <w:sz w:val="20"/>
          <w:szCs w:val="20"/>
        </w:rPr>
        <w:t xml:space="preserve"> </w:t>
      </w:r>
      <w:r w:rsidRPr="004E506A">
        <w:rPr>
          <w:rFonts w:ascii="Arial" w:hAnsi="Arial" w:cs="Arial"/>
          <w:sz w:val="20"/>
          <w:szCs w:val="20"/>
        </w:rPr>
        <w:t>and</w:t>
      </w:r>
    </w:p>
    <w:p w14:paraId="0C158CC8" w14:textId="77777777" w:rsidR="004E506A" w:rsidRPr="004E506A" w:rsidRDefault="004E506A" w:rsidP="00AD2F17">
      <w:pPr>
        <w:numPr>
          <w:ilvl w:val="1"/>
          <w:numId w:val="127"/>
        </w:numPr>
        <w:tabs>
          <w:tab w:val="left" w:pos="1274"/>
        </w:tabs>
        <w:spacing w:before="120" w:line="276" w:lineRule="auto"/>
        <w:ind w:hanging="568"/>
        <w:jc w:val="both"/>
        <w:rPr>
          <w:rFonts w:ascii="Arial" w:hAnsi="Arial" w:cs="Arial"/>
          <w:sz w:val="20"/>
          <w:szCs w:val="20"/>
        </w:rPr>
      </w:pPr>
      <w:r w:rsidRPr="004E506A">
        <w:rPr>
          <w:rFonts w:ascii="Arial" w:hAnsi="Arial" w:cs="Arial"/>
          <w:sz w:val="20"/>
          <w:szCs w:val="20"/>
        </w:rPr>
        <w:t>any</w:t>
      </w:r>
      <w:r w:rsidRPr="004E506A">
        <w:rPr>
          <w:rFonts w:ascii="Arial" w:hAnsi="Arial" w:cs="Arial"/>
          <w:spacing w:val="-1"/>
          <w:sz w:val="20"/>
          <w:szCs w:val="20"/>
        </w:rPr>
        <w:t xml:space="preserve"> </w:t>
      </w:r>
      <w:r w:rsidRPr="004E506A">
        <w:rPr>
          <w:rFonts w:ascii="Arial" w:hAnsi="Arial" w:cs="Arial"/>
          <w:sz w:val="20"/>
          <w:szCs w:val="20"/>
        </w:rPr>
        <w:t>amendments</w:t>
      </w:r>
      <w:r w:rsidRPr="004E506A">
        <w:rPr>
          <w:rFonts w:ascii="Arial" w:hAnsi="Arial" w:cs="Arial"/>
          <w:spacing w:val="-3"/>
          <w:sz w:val="20"/>
          <w:szCs w:val="20"/>
        </w:rPr>
        <w:t xml:space="preserve"> </w:t>
      </w:r>
      <w:r w:rsidRPr="004E506A">
        <w:rPr>
          <w:rFonts w:ascii="Arial" w:hAnsi="Arial" w:cs="Arial"/>
          <w:sz w:val="20"/>
          <w:szCs w:val="20"/>
        </w:rPr>
        <w:t>to</w:t>
      </w:r>
      <w:r w:rsidRPr="004E506A">
        <w:rPr>
          <w:rFonts w:ascii="Arial" w:hAnsi="Arial" w:cs="Arial"/>
          <w:spacing w:val="-1"/>
          <w:sz w:val="20"/>
          <w:szCs w:val="20"/>
        </w:rPr>
        <w:t xml:space="preserve"> </w:t>
      </w:r>
      <w:r w:rsidRPr="004E506A">
        <w:rPr>
          <w:rFonts w:ascii="Arial" w:hAnsi="Arial" w:cs="Arial"/>
          <w:sz w:val="20"/>
          <w:szCs w:val="20"/>
        </w:rPr>
        <w:t>the BPL</w:t>
      </w:r>
      <w:r w:rsidRPr="004E506A">
        <w:rPr>
          <w:rFonts w:ascii="Arial" w:hAnsi="Arial" w:cs="Arial"/>
          <w:spacing w:val="-1"/>
          <w:sz w:val="20"/>
          <w:szCs w:val="20"/>
        </w:rPr>
        <w:t xml:space="preserve"> </w:t>
      </w:r>
      <w:r w:rsidRPr="004E506A">
        <w:rPr>
          <w:rFonts w:ascii="Arial" w:hAnsi="Arial" w:cs="Arial"/>
          <w:sz w:val="20"/>
          <w:szCs w:val="20"/>
        </w:rPr>
        <w:t>and</w:t>
      </w:r>
      <w:r w:rsidRPr="004E506A">
        <w:rPr>
          <w:rFonts w:ascii="Arial" w:hAnsi="Arial" w:cs="Arial"/>
          <w:spacing w:val="-1"/>
          <w:sz w:val="20"/>
          <w:szCs w:val="20"/>
        </w:rPr>
        <w:t xml:space="preserve"> </w:t>
      </w:r>
      <w:r w:rsidRPr="004E506A">
        <w:rPr>
          <w:rFonts w:ascii="Arial" w:hAnsi="Arial" w:cs="Arial"/>
          <w:sz w:val="20"/>
          <w:szCs w:val="20"/>
        </w:rPr>
        <w:t>associated</w:t>
      </w:r>
      <w:r w:rsidRPr="004E506A">
        <w:rPr>
          <w:rFonts w:ascii="Arial" w:hAnsi="Arial" w:cs="Arial"/>
          <w:spacing w:val="-1"/>
          <w:sz w:val="20"/>
          <w:szCs w:val="20"/>
        </w:rPr>
        <w:t xml:space="preserve"> </w:t>
      </w:r>
      <w:r w:rsidRPr="004E506A">
        <w:rPr>
          <w:rFonts w:ascii="Arial" w:hAnsi="Arial" w:cs="Arial"/>
          <w:sz w:val="20"/>
          <w:szCs w:val="20"/>
        </w:rPr>
        <w:t>privileges,</w:t>
      </w:r>
      <w:r w:rsidRPr="004E506A">
        <w:rPr>
          <w:rFonts w:ascii="Arial" w:hAnsi="Arial" w:cs="Arial"/>
          <w:spacing w:val="-3"/>
          <w:sz w:val="20"/>
          <w:szCs w:val="20"/>
        </w:rPr>
        <w:t xml:space="preserve"> </w:t>
      </w:r>
      <w:r w:rsidRPr="004E506A">
        <w:rPr>
          <w:rFonts w:ascii="Arial" w:hAnsi="Arial" w:cs="Arial"/>
          <w:sz w:val="20"/>
          <w:szCs w:val="20"/>
        </w:rPr>
        <w:t>ratings certificates.</w:t>
      </w:r>
    </w:p>
    <w:p w14:paraId="31C68A9B" w14:textId="4A1DE1CC" w:rsidR="004E506A" w:rsidRPr="004E506A" w:rsidRDefault="004E506A" w:rsidP="00AD2F17">
      <w:pPr>
        <w:pStyle w:val="ListParagraph"/>
        <w:numPr>
          <w:ilvl w:val="0"/>
          <w:numId w:val="127"/>
        </w:numPr>
        <w:tabs>
          <w:tab w:val="left" w:pos="707"/>
        </w:tabs>
        <w:spacing w:line="276" w:lineRule="auto"/>
        <w:ind w:right="193"/>
        <w:jc w:val="both"/>
        <w:rPr>
          <w:rFonts w:ascii="Arial" w:hAnsi="Arial" w:cs="Arial"/>
          <w:sz w:val="20"/>
          <w:szCs w:val="20"/>
        </w:rPr>
      </w:pPr>
      <w:r w:rsidRPr="004E506A">
        <w:rPr>
          <w:rFonts w:ascii="Arial" w:hAnsi="Arial" w:cs="Arial"/>
          <w:sz w:val="20"/>
          <w:szCs w:val="20"/>
        </w:rPr>
        <w:t>An application specified in paragraph (a) shall be accompanied by evidence that the applicant</w:t>
      </w:r>
      <w:r w:rsidRPr="004E506A">
        <w:rPr>
          <w:rFonts w:ascii="Arial" w:hAnsi="Arial" w:cs="Arial"/>
          <w:spacing w:val="1"/>
          <w:sz w:val="20"/>
          <w:szCs w:val="20"/>
        </w:rPr>
        <w:t xml:space="preserve"> </w:t>
      </w:r>
      <w:r w:rsidRPr="004E506A">
        <w:rPr>
          <w:rFonts w:ascii="Arial" w:hAnsi="Arial" w:cs="Arial"/>
          <w:sz w:val="20"/>
          <w:szCs w:val="20"/>
        </w:rPr>
        <w:t>complies with the relevant requirements established in this Annex and in Annex IV (Part-MED)</w:t>
      </w:r>
      <w:r w:rsidRPr="004E506A">
        <w:rPr>
          <w:rFonts w:ascii="Arial" w:hAnsi="Arial" w:cs="Arial"/>
          <w:spacing w:val="1"/>
          <w:sz w:val="20"/>
          <w:szCs w:val="20"/>
        </w:rPr>
        <w:t xml:space="preserve"> </w:t>
      </w:r>
      <w:r w:rsidRPr="004E506A">
        <w:rPr>
          <w:rFonts w:ascii="Arial" w:hAnsi="Arial" w:cs="Arial"/>
          <w:sz w:val="20"/>
          <w:szCs w:val="20"/>
        </w:rPr>
        <w:t xml:space="preserve">to </w:t>
      </w:r>
      <w:hyperlink r:id="rId78" w:history="1">
        <w:r w:rsidR="005175A4" w:rsidRPr="005175A4">
          <w:rPr>
            <w:rStyle w:val="Hyperlink"/>
            <w:rFonts w:ascii="Arial" w:hAnsi="Arial" w:cs="Arial"/>
            <w:sz w:val="20"/>
            <w:szCs w:val="20"/>
          </w:rPr>
          <w:t>t</w:t>
        </w:r>
        <w:bookmarkStart w:id="563" w:name="_Hlk153043887"/>
        <w:r w:rsidR="005175A4" w:rsidRPr="005175A4">
          <w:rPr>
            <w:rStyle w:val="Hyperlink"/>
            <w:rFonts w:ascii="Arial" w:hAnsi="Arial" w:cs="Arial"/>
            <w:sz w:val="20"/>
            <w:szCs w:val="20"/>
          </w:rPr>
          <w:t>he order N 3-N of the Minister of Territorial Administration and Infrastructure of RA, dated 11.02.2022</w:t>
        </w:r>
        <w:bookmarkEnd w:id="563"/>
      </w:hyperlink>
      <w:r w:rsidRPr="004E506A">
        <w:rPr>
          <w:rFonts w:ascii="Arial" w:hAnsi="Arial" w:cs="Arial"/>
          <w:sz w:val="20"/>
          <w:szCs w:val="20"/>
        </w:rPr>
        <w:t>.</w:t>
      </w:r>
    </w:p>
    <w:p w14:paraId="28C02DC2" w14:textId="36C57244" w:rsidR="004E506A" w:rsidRPr="004E506A" w:rsidRDefault="004E506A" w:rsidP="00AD2F17">
      <w:pPr>
        <w:pStyle w:val="ListParagraph"/>
        <w:numPr>
          <w:ilvl w:val="0"/>
          <w:numId w:val="127"/>
        </w:numPr>
        <w:tabs>
          <w:tab w:val="left" w:pos="707"/>
        </w:tabs>
        <w:spacing w:before="121" w:line="276" w:lineRule="auto"/>
        <w:ind w:right="197"/>
        <w:jc w:val="both"/>
        <w:rPr>
          <w:rFonts w:ascii="Arial" w:hAnsi="Arial" w:cs="Arial"/>
          <w:sz w:val="20"/>
          <w:szCs w:val="20"/>
        </w:rPr>
      </w:pPr>
      <w:r w:rsidRPr="004E506A">
        <w:rPr>
          <w:rFonts w:ascii="Arial" w:hAnsi="Arial" w:cs="Arial"/>
          <w:sz w:val="20"/>
          <w:szCs w:val="20"/>
        </w:rPr>
        <w:t>Any limitation or extension of the privileges granted by a licence, rating or certificate shall be</w:t>
      </w:r>
      <w:r w:rsidRPr="004E506A">
        <w:rPr>
          <w:rFonts w:ascii="Arial" w:hAnsi="Arial" w:cs="Arial"/>
          <w:spacing w:val="1"/>
          <w:sz w:val="20"/>
          <w:szCs w:val="20"/>
        </w:rPr>
        <w:t xml:space="preserve"> </w:t>
      </w:r>
      <w:r w:rsidRPr="004E506A">
        <w:rPr>
          <w:rFonts w:ascii="Arial" w:hAnsi="Arial" w:cs="Arial"/>
          <w:sz w:val="20"/>
          <w:szCs w:val="20"/>
        </w:rPr>
        <w:t>endorsed</w:t>
      </w:r>
      <w:r w:rsidRPr="004E506A">
        <w:rPr>
          <w:rFonts w:ascii="Arial" w:hAnsi="Arial" w:cs="Arial"/>
          <w:spacing w:val="-4"/>
          <w:sz w:val="20"/>
          <w:szCs w:val="20"/>
        </w:rPr>
        <w:t xml:space="preserve"> </w:t>
      </w:r>
      <w:r w:rsidRPr="004E506A">
        <w:rPr>
          <w:rFonts w:ascii="Arial" w:hAnsi="Arial" w:cs="Arial"/>
          <w:sz w:val="20"/>
          <w:szCs w:val="20"/>
        </w:rPr>
        <w:t>on</w:t>
      </w:r>
      <w:r w:rsidRPr="004E506A">
        <w:rPr>
          <w:rFonts w:ascii="Arial" w:hAnsi="Arial" w:cs="Arial"/>
          <w:spacing w:val="-1"/>
          <w:sz w:val="20"/>
          <w:szCs w:val="20"/>
        </w:rPr>
        <w:t xml:space="preserve"> </w:t>
      </w:r>
      <w:r w:rsidRPr="004E506A">
        <w:rPr>
          <w:rFonts w:ascii="Arial" w:hAnsi="Arial" w:cs="Arial"/>
          <w:sz w:val="20"/>
          <w:szCs w:val="20"/>
        </w:rPr>
        <w:t>the</w:t>
      </w:r>
      <w:r w:rsidRPr="004E506A">
        <w:rPr>
          <w:rFonts w:ascii="Arial" w:hAnsi="Arial" w:cs="Arial"/>
          <w:spacing w:val="1"/>
          <w:sz w:val="20"/>
          <w:szCs w:val="20"/>
        </w:rPr>
        <w:t xml:space="preserve"> </w:t>
      </w:r>
      <w:r w:rsidRPr="004E506A">
        <w:rPr>
          <w:rFonts w:ascii="Arial" w:hAnsi="Arial" w:cs="Arial"/>
          <w:sz w:val="20"/>
          <w:szCs w:val="20"/>
        </w:rPr>
        <w:t>licence</w:t>
      </w:r>
      <w:r w:rsidRPr="004E506A">
        <w:rPr>
          <w:rFonts w:ascii="Arial" w:hAnsi="Arial" w:cs="Arial"/>
          <w:spacing w:val="-2"/>
          <w:sz w:val="20"/>
          <w:szCs w:val="20"/>
        </w:rPr>
        <w:t xml:space="preserve"> </w:t>
      </w:r>
      <w:r w:rsidRPr="004E506A">
        <w:rPr>
          <w:rFonts w:ascii="Arial" w:hAnsi="Arial" w:cs="Arial"/>
          <w:sz w:val="20"/>
          <w:szCs w:val="20"/>
        </w:rPr>
        <w:t>or</w:t>
      </w:r>
      <w:r w:rsidRPr="004E506A">
        <w:rPr>
          <w:rFonts w:ascii="Arial" w:hAnsi="Arial" w:cs="Arial"/>
          <w:spacing w:val="-2"/>
          <w:sz w:val="20"/>
          <w:szCs w:val="20"/>
        </w:rPr>
        <w:t xml:space="preserve"> </w:t>
      </w:r>
      <w:r w:rsidRPr="004E506A">
        <w:rPr>
          <w:rFonts w:ascii="Arial" w:hAnsi="Arial" w:cs="Arial"/>
          <w:sz w:val="20"/>
          <w:szCs w:val="20"/>
        </w:rPr>
        <w:t>certificate by the</w:t>
      </w:r>
      <w:r w:rsidRPr="004E506A">
        <w:rPr>
          <w:rFonts w:ascii="Arial" w:hAnsi="Arial" w:cs="Arial"/>
          <w:spacing w:val="-2"/>
          <w:sz w:val="20"/>
          <w:szCs w:val="20"/>
        </w:rPr>
        <w:t xml:space="preserve"> </w:t>
      </w:r>
      <w:r w:rsidR="00A804D2">
        <w:rPr>
          <w:rFonts w:ascii="Arial" w:hAnsi="Arial" w:cs="Arial"/>
          <w:sz w:val="20"/>
          <w:szCs w:val="20"/>
        </w:rPr>
        <w:t>CAC RA</w:t>
      </w:r>
      <w:r w:rsidRPr="004E506A">
        <w:rPr>
          <w:rFonts w:ascii="Arial" w:hAnsi="Arial" w:cs="Arial"/>
          <w:sz w:val="20"/>
          <w:szCs w:val="20"/>
        </w:rPr>
        <w:t>.</w:t>
      </w:r>
    </w:p>
    <w:p w14:paraId="6FA82FF5" w14:textId="77777777" w:rsidR="004E506A" w:rsidRPr="004E506A" w:rsidRDefault="004E506A" w:rsidP="00AD2F17">
      <w:pPr>
        <w:pStyle w:val="ListParagraph"/>
        <w:numPr>
          <w:ilvl w:val="0"/>
          <w:numId w:val="127"/>
        </w:numPr>
        <w:tabs>
          <w:tab w:val="left" w:pos="707"/>
        </w:tabs>
        <w:spacing w:before="118" w:line="276" w:lineRule="auto"/>
        <w:jc w:val="both"/>
        <w:rPr>
          <w:rFonts w:ascii="Arial" w:hAnsi="Arial" w:cs="Arial"/>
          <w:sz w:val="20"/>
          <w:szCs w:val="20"/>
        </w:rPr>
      </w:pPr>
      <w:r w:rsidRPr="004E506A">
        <w:rPr>
          <w:rFonts w:ascii="Arial" w:hAnsi="Arial" w:cs="Arial"/>
          <w:sz w:val="20"/>
          <w:szCs w:val="20"/>
        </w:rPr>
        <w:t>A</w:t>
      </w:r>
      <w:r w:rsidRPr="004E506A">
        <w:rPr>
          <w:rFonts w:ascii="Arial" w:hAnsi="Arial" w:cs="Arial"/>
          <w:spacing w:val="-1"/>
          <w:sz w:val="20"/>
          <w:szCs w:val="20"/>
        </w:rPr>
        <w:t xml:space="preserve"> </w:t>
      </w:r>
      <w:r w:rsidRPr="004E506A">
        <w:rPr>
          <w:rFonts w:ascii="Arial" w:hAnsi="Arial" w:cs="Arial"/>
          <w:sz w:val="20"/>
          <w:szCs w:val="20"/>
        </w:rPr>
        <w:t>person</w:t>
      </w:r>
      <w:r w:rsidRPr="004E506A">
        <w:rPr>
          <w:rFonts w:ascii="Arial" w:hAnsi="Arial" w:cs="Arial"/>
          <w:spacing w:val="-3"/>
          <w:sz w:val="20"/>
          <w:szCs w:val="20"/>
        </w:rPr>
        <w:t xml:space="preserve"> </w:t>
      </w:r>
      <w:r w:rsidRPr="004E506A">
        <w:rPr>
          <w:rFonts w:ascii="Arial" w:hAnsi="Arial" w:cs="Arial"/>
          <w:sz w:val="20"/>
          <w:szCs w:val="20"/>
        </w:rPr>
        <w:t>shall</w:t>
      </w:r>
      <w:r w:rsidRPr="004E506A">
        <w:rPr>
          <w:rFonts w:ascii="Arial" w:hAnsi="Arial" w:cs="Arial"/>
          <w:spacing w:val="-1"/>
          <w:sz w:val="20"/>
          <w:szCs w:val="20"/>
        </w:rPr>
        <w:t xml:space="preserve"> </w:t>
      </w:r>
      <w:r w:rsidRPr="004E506A">
        <w:rPr>
          <w:rFonts w:ascii="Arial" w:hAnsi="Arial" w:cs="Arial"/>
          <w:sz w:val="20"/>
          <w:szCs w:val="20"/>
        </w:rPr>
        <w:t>not</w:t>
      </w:r>
      <w:r w:rsidRPr="004E506A">
        <w:rPr>
          <w:rFonts w:ascii="Arial" w:hAnsi="Arial" w:cs="Arial"/>
          <w:spacing w:val="-3"/>
          <w:sz w:val="20"/>
          <w:szCs w:val="20"/>
        </w:rPr>
        <w:t xml:space="preserve"> </w:t>
      </w:r>
      <w:r w:rsidRPr="004E506A">
        <w:rPr>
          <w:rFonts w:ascii="Arial" w:hAnsi="Arial" w:cs="Arial"/>
          <w:sz w:val="20"/>
          <w:szCs w:val="20"/>
        </w:rPr>
        <w:t>hold</w:t>
      </w:r>
      <w:r w:rsidRPr="004E506A">
        <w:rPr>
          <w:rFonts w:ascii="Arial" w:hAnsi="Arial" w:cs="Arial"/>
          <w:spacing w:val="-1"/>
          <w:sz w:val="20"/>
          <w:szCs w:val="20"/>
        </w:rPr>
        <w:t xml:space="preserve"> </w:t>
      </w:r>
      <w:r w:rsidRPr="004E506A">
        <w:rPr>
          <w:rFonts w:ascii="Arial" w:hAnsi="Arial" w:cs="Arial"/>
          <w:sz w:val="20"/>
          <w:szCs w:val="20"/>
        </w:rPr>
        <w:t>at any</w:t>
      </w:r>
      <w:r w:rsidRPr="004E506A">
        <w:rPr>
          <w:rFonts w:ascii="Arial" w:hAnsi="Arial" w:cs="Arial"/>
          <w:spacing w:val="-1"/>
          <w:sz w:val="20"/>
          <w:szCs w:val="20"/>
        </w:rPr>
        <w:t xml:space="preserve"> </w:t>
      </w:r>
      <w:r w:rsidRPr="004E506A">
        <w:rPr>
          <w:rFonts w:ascii="Arial" w:hAnsi="Arial" w:cs="Arial"/>
          <w:sz w:val="20"/>
          <w:szCs w:val="20"/>
        </w:rPr>
        <w:t>time</w:t>
      </w:r>
      <w:r w:rsidRPr="004E506A">
        <w:rPr>
          <w:rFonts w:ascii="Arial" w:hAnsi="Arial" w:cs="Arial"/>
          <w:spacing w:val="-2"/>
          <w:sz w:val="20"/>
          <w:szCs w:val="20"/>
        </w:rPr>
        <w:t xml:space="preserve"> </w:t>
      </w:r>
      <w:r w:rsidRPr="004E506A">
        <w:rPr>
          <w:rFonts w:ascii="Arial" w:hAnsi="Arial" w:cs="Arial"/>
          <w:sz w:val="20"/>
          <w:szCs w:val="20"/>
        </w:rPr>
        <w:t>more</w:t>
      </w:r>
      <w:r w:rsidRPr="004E506A">
        <w:rPr>
          <w:rFonts w:ascii="Arial" w:hAnsi="Arial" w:cs="Arial"/>
          <w:spacing w:val="-2"/>
          <w:sz w:val="20"/>
          <w:szCs w:val="20"/>
        </w:rPr>
        <w:t xml:space="preserve"> </w:t>
      </w:r>
      <w:r w:rsidRPr="004E506A">
        <w:rPr>
          <w:rFonts w:ascii="Arial" w:hAnsi="Arial" w:cs="Arial"/>
          <w:sz w:val="20"/>
          <w:szCs w:val="20"/>
        </w:rPr>
        <w:t>than</w:t>
      </w:r>
      <w:r w:rsidRPr="004E506A">
        <w:rPr>
          <w:rFonts w:ascii="Arial" w:hAnsi="Arial" w:cs="Arial"/>
          <w:spacing w:val="-2"/>
          <w:sz w:val="20"/>
          <w:szCs w:val="20"/>
        </w:rPr>
        <w:t xml:space="preserve"> </w:t>
      </w:r>
      <w:r w:rsidRPr="004E506A">
        <w:rPr>
          <w:rFonts w:ascii="Arial" w:hAnsi="Arial" w:cs="Arial"/>
          <w:sz w:val="20"/>
          <w:szCs w:val="20"/>
        </w:rPr>
        <w:t>one</w:t>
      </w:r>
      <w:r w:rsidRPr="004E506A">
        <w:rPr>
          <w:rFonts w:ascii="Arial" w:hAnsi="Arial" w:cs="Arial"/>
          <w:spacing w:val="1"/>
          <w:sz w:val="20"/>
          <w:szCs w:val="20"/>
        </w:rPr>
        <w:t xml:space="preserve"> </w:t>
      </w:r>
      <w:r w:rsidRPr="004E506A">
        <w:rPr>
          <w:rFonts w:ascii="Arial" w:hAnsi="Arial" w:cs="Arial"/>
          <w:sz w:val="20"/>
          <w:szCs w:val="20"/>
        </w:rPr>
        <w:t>BPL</w:t>
      </w:r>
      <w:r w:rsidRPr="004E506A">
        <w:rPr>
          <w:rFonts w:ascii="Arial" w:hAnsi="Arial" w:cs="Arial"/>
          <w:spacing w:val="-2"/>
          <w:sz w:val="20"/>
          <w:szCs w:val="20"/>
        </w:rPr>
        <w:t xml:space="preserve"> </w:t>
      </w:r>
      <w:r w:rsidRPr="004E506A">
        <w:rPr>
          <w:rFonts w:ascii="Arial" w:hAnsi="Arial" w:cs="Arial"/>
          <w:sz w:val="20"/>
          <w:szCs w:val="20"/>
        </w:rPr>
        <w:t>issued in</w:t>
      </w:r>
      <w:r w:rsidRPr="004E506A">
        <w:rPr>
          <w:rFonts w:ascii="Arial" w:hAnsi="Arial" w:cs="Arial"/>
          <w:spacing w:val="-1"/>
          <w:sz w:val="20"/>
          <w:szCs w:val="20"/>
        </w:rPr>
        <w:t xml:space="preserve"> </w:t>
      </w:r>
      <w:r w:rsidRPr="004E506A">
        <w:rPr>
          <w:rFonts w:ascii="Arial" w:hAnsi="Arial" w:cs="Arial"/>
          <w:sz w:val="20"/>
          <w:szCs w:val="20"/>
        </w:rPr>
        <w:t>accordance</w:t>
      </w:r>
      <w:r w:rsidRPr="004E506A">
        <w:rPr>
          <w:rFonts w:ascii="Arial" w:hAnsi="Arial" w:cs="Arial"/>
          <w:spacing w:val="1"/>
          <w:sz w:val="20"/>
          <w:szCs w:val="20"/>
        </w:rPr>
        <w:t xml:space="preserve"> </w:t>
      </w:r>
      <w:r w:rsidRPr="004E506A">
        <w:rPr>
          <w:rFonts w:ascii="Arial" w:hAnsi="Arial" w:cs="Arial"/>
          <w:sz w:val="20"/>
          <w:szCs w:val="20"/>
        </w:rPr>
        <w:t>with</w:t>
      </w:r>
      <w:r w:rsidRPr="004E506A">
        <w:rPr>
          <w:rFonts w:ascii="Arial" w:hAnsi="Arial" w:cs="Arial"/>
          <w:spacing w:val="-4"/>
          <w:sz w:val="20"/>
          <w:szCs w:val="20"/>
        </w:rPr>
        <w:t xml:space="preserve"> </w:t>
      </w:r>
      <w:r w:rsidRPr="004E506A">
        <w:rPr>
          <w:rFonts w:ascii="Arial" w:hAnsi="Arial" w:cs="Arial"/>
          <w:sz w:val="20"/>
          <w:szCs w:val="20"/>
        </w:rPr>
        <w:t>this Annex.</w:t>
      </w:r>
    </w:p>
    <w:p w14:paraId="2244CAF5" w14:textId="73B1F7BD" w:rsidR="004E506A" w:rsidRPr="004E506A" w:rsidRDefault="004E506A" w:rsidP="00AD2F17">
      <w:pPr>
        <w:pStyle w:val="ListParagraph"/>
        <w:numPr>
          <w:ilvl w:val="0"/>
          <w:numId w:val="127"/>
        </w:numPr>
        <w:tabs>
          <w:tab w:val="left" w:pos="707"/>
        </w:tabs>
        <w:spacing w:line="276" w:lineRule="auto"/>
        <w:ind w:right="196"/>
        <w:jc w:val="both"/>
        <w:rPr>
          <w:rFonts w:ascii="Arial" w:hAnsi="Arial" w:cs="Arial"/>
          <w:sz w:val="20"/>
          <w:szCs w:val="20"/>
        </w:rPr>
      </w:pPr>
      <w:r w:rsidRPr="004E506A">
        <w:rPr>
          <w:rFonts w:ascii="Arial" w:hAnsi="Arial" w:cs="Arial"/>
          <w:sz w:val="20"/>
          <w:szCs w:val="20"/>
        </w:rPr>
        <w:lastRenderedPageBreak/>
        <w:t xml:space="preserve">A licence holder shall submit applications as specified in paragraph (a) to the </w:t>
      </w:r>
      <w:r w:rsidR="00A804D2">
        <w:rPr>
          <w:rFonts w:ascii="Arial" w:hAnsi="Arial" w:cs="Arial"/>
          <w:sz w:val="20"/>
          <w:szCs w:val="20"/>
        </w:rPr>
        <w:t xml:space="preserve">CAC RA </w:t>
      </w:r>
      <w:r w:rsidRPr="004E506A">
        <w:rPr>
          <w:rFonts w:ascii="Arial" w:hAnsi="Arial" w:cs="Arial"/>
          <w:sz w:val="20"/>
          <w:szCs w:val="20"/>
        </w:rPr>
        <w:t xml:space="preserve">designated by </w:t>
      </w:r>
      <w:r w:rsidR="005F5690" w:rsidRPr="00C1366B">
        <w:rPr>
          <w:rFonts w:ascii="Arial" w:hAnsi="Arial" w:cs="Arial"/>
          <w:sz w:val="20"/>
        </w:rPr>
        <w:t>the Republic of Armenia</w:t>
      </w:r>
      <w:r w:rsidR="005F5690" w:rsidRPr="004E506A">
        <w:rPr>
          <w:rFonts w:ascii="Arial" w:hAnsi="Arial" w:cs="Arial"/>
          <w:sz w:val="20"/>
          <w:szCs w:val="20"/>
        </w:rPr>
        <w:t xml:space="preserve"> </w:t>
      </w:r>
      <w:r w:rsidRPr="004E506A">
        <w:rPr>
          <w:rFonts w:ascii="Arial" w:hAnsi="Arial" w:cs="Arial"/>
          <w:sz w:val="20"/>
          <w:szCs w:val="20"/>
        </w:rPr>
        <w:t>in which any of his or her licences was issued in</w:t>
      </w:r>
      <w:r w:rsidRPr="004E506A">
        <w:rPr>
          <w:rFonts w:ascii="Arial" w:hAnsi="Arial" w:cs="Arial"/>
          <w:spacing w:val="1"/>
          <w:sz w:val="20"/>
          <w:szCs w:val="20"/>
        </w:rPr>
        <w:t xml:space="preserve"> </w:t>
      </w:r>
      <w:r w:rsidRPr="004E506A">
        <w:rPr>
          <w:rFonts w:ascii="Arial" w:hAnsi="Arial" w:cs="Arial"/>
          <w:sz w:val="20"/>
          <w:szCs w:val="20"/>
        </w:rPr>
        <w:t>accordance</w:t>
      </w:r>
      <w:r w:rsidRPr="004E506A">
        <w:rPr>
          <w:rFonts w:ascii="Arial" w:hAnsi="Arial" w:cs="Arial"/>
          <w:spacing w:val="-4"/>
          <w:sz w:val="20"/>
          <w:szCs w:val="20"/>
        </w:rPr>
        <w:t xml:space="preserve"> </w:t>
      </w:r>
      <w:r w:rsidRPr="004E506A">
        <w:rPr>
          <w:rFonts w:ascii="Arial" w:hAnsi="Arial" w:cs="Arial"/>
          <w:sz w:val="20"/>
          <w:szCs w:val="20"/>
        </w:rPr>
        <w:t>with</w:t>
      </w:r>
      <w:r w:rsidRPr="004E506A">
        <w:rPr>
          <w:rFonts w:ascii="Arial" w:hAnsi="Arial" w:cs="Arial"/>
          <w:spacing w:val="-4"/>
          <w:sz w:val="20"/>
          <w:szCs w:val="20"/>
        </w:rPr>
        <w:t xml:space="preserve"> </w:t>
      </w:r>
      <w:r w:rsidRPr="004E506A">
        <w:rPr>
          <w:rFonts w:ascii="Arial" w:hAnsi="Arial" w:cs="Arial"/>
          <w:sz w:val="20"/>
          <w:szCs w:val="20"/>
        </w:rPr>
        <w:t>this</w:t>
      </w:r>
      <w:r w:rsidRPr="004E506A">
        <w:rPr>
          <w:rFonts w:ascii="Arial" w:hAnsi="Arial" w:cs="Arial"/>
          <w:spacing w:val="-1"/>
          <w:sz w:val="20"/>
          <w:szCs w:val="20"/>
        </w:rPr>
        <w:t xml:space="preserve"> </w:t>
      </w:r>
      <w:r w:rsidRPr="004E506A">
        <w:rPr>
          <w:rFonts w:ascii="Arial" w:hAnsi="Arial" w:cs="Arial"/>
          <w:sz w:val="20"/>
          <w:szCs w:val="20"/>
        </w:rPr>
        <w:t>Annex</w:t>
      </w:r>
      <w:r w:rsidRPr="004E506A">
        <w:rPr>
          <w:rFonts w:ascii="Arial" w:hAnsi="Arial" w:cs="Arial"/>
          <w:spacing w:val="-3"/>
          <w:sz w:val="20"/>
          <w:szCs w:val="20"/>
        </w:rPr>
        <w:t xml:space="preserve"> </w:t>
      </w:r>
      <w:r w:rsidRPr="004E506A">
        <w:rPr>
          <w:rFonts w:ascii="Arial" w:hAnsi="Arial" w:cs="Arial"/>
          <w:sz w:val="20"/>
          <w:szCs w:val="20"/>
        </w:rPr>
        <w:t>(Part-BFCL),</w:t>
      </w:r>
      <w:r w:rsidRPr="004E506A">
        <w:rPr>
          <w:rFonts w:ascii="Arial" w:hAnsi="Arial" w:cs="Arial"/>
          <w:spacing w:val="-3"/>
          <w:sz w:val="20"/>
          <w:szCs w:val="20"/>
        </w:rPr>
        <w:t xml:space="preserve"> </w:t>
      </w:r>
      <w:r w:rsidRPr="004E506A">
        <w:rPr>
          <w:rFonts w:ascii="Arial" w:hAnsi="Arial" w:cs="Arial"/>
          <w:sz w:val="20"/>
          <w:szCs w:val="20"/>
        </w:rPr>
        <w:t>or</w:t>
      </w:r>
      <w:r w:rsidRPr="004E506A">
        <w:rPr>
          <w:rFonts w:ascii="Arial" w:hAnsi="Arial" w:cs="Arial"/>
          <w:spacing w:val="-5"/>
          <w:sz w:val="20"/>
          <w:szCs w:val="20"/>
        </w:rPr>
        <w:t xml:space="preserve"> </w:t>
      </w:r>
      <w:r w:rsidRPr="004E506A">
        <w:rPr>
          <w:rFonts w:ascii="Arial" w:hAnsi="Arial" w:cs="Arial"/>
          <w:sz w:val="20"/>
          <w:szCs w:val="20"/>
        </w:rPr>
        <w:t>Annex I</w:t>
      </w:r>
      <w:r w:rsidRPr="004E506A">
        <w:rPr>
          <w:rFonts w:ascii="Arial" w:hAnsi="Arial" w:cs="Arial"/>
          <w:spacing w:val="-4"/>
          <w:sz w:val="20"/>
          <w:szCs w:val="20"/>
        </w:rPr>
        <w:t xml:space="preserve"> </w:t>
      </w:r>
      <w:r w:rsidRPr="004E506A">
        <w:rPr>
          <w:rFonts w:ascii="Arial" w:hAnsi="Arial" w:cs="Arial"/>
          <w:sz w:val="20"/>
          <w:szCs w:val="20"/>
        </w:rPr>
        <w:t>(Part-FCL)</w:t>
      </w:r>
      <w:r w:rsidRPr="004E506A">
        <w:rPr>
          <w:rFonts w:ascii="Arial" w:hAnsi="Arial" w:cs="Arial"/>
          <w:spacing w:val="-3"/>
          <w:sz w:val="20"/>
          <w:szCs w:val="20"/>
        </w:rPr>
        <w:t xml:space="preserve"> </w:t>
      </w:r>
      <w:r w:rsidRPr="004E506A">
        <w:rPr>
          <w:rFonts w:ascii="Arial" w:hAnsi="Arial" w:cs="Arial"/>
          <w:sz w:val="20"/>
          <w:szCs w:val="20"/>
        </w:rPr>
        <w:t>to</w:t>
      </w:r>
      <w:r w:rsidR="009C70A8">
        <w:rPr>
          <w:rFonts w:ascii="Arial" w:hAnsi="Arial" w:cs="Arial"/>
          <w:sz w:val="20"/>
          <w:szCs w:val="20"/>
        </w:rPr>
        <w:t xml:space="preserve"> </w:t>
      </w:r>
      <w:r w:rsidR="009C70A8" w:rsidRPr="004E506A">
        <w:rPr>
          <w:rFonts w:ascii="Arial" w:hAnsi="Arial" w:cs="Arial"/>
          <w:sz w:val="20"/>
          <w:szCs w:val="20"/>
        </w:rPr>
        <w:t xml:space="preserve"> </w:t>
      </w:r>
      <w:hyperlink r:id="rId79" w:history="1">
        <w:r w:rsidR="009C70A8" w:rsidRPr="005175A4">
          <w:rPr>
            <w:rStyle w:val="Hyperlink"/>
            <w:rFonts w:ascii="Arial" w:hAnsi="Arial" w:cs="Arial"/>
            <w:sz w:val="20"/>
            <w:szCs w:val="20"/>
          </w:rPr>
          <w:t>the order N 3-N of the Minister of Territorial Administration and Infrastructure of RA, dated 11.02.2022</w:t>
        </w:r>
      </w:hyperlink>
      <w:r w:rsidRPr="00670F7B">
        <w:rPr>
          <w:rFonts w:ascii="Arial" w:hAnsi="Arial" w:cs="Arial"/>
          <w:sz w:val="20"/>
          <w:szCs w:val="20"/>
        </w:rPr>
        <w:t>, as</w:t>
      </w:r>
      <w:r w:rsidRPr="00670F7B">
        <w:rPr>
          <w:rFonts w:ascii="Arial" w:hAnsi="Arial" w:cs="Arial"/>
          <w:spacing w:val="-2"/>
          <w:sz w:val="20"/>
          <w:szCs w:val="20"/>
        </w:rPr>
        <w:t xml:space="preserve"> </w:t>
      </w:r>
      <w:r w:rsidRPr="00670F7B">
        <w:rPr>
          <w:rFonts w:ascii="Arial" w:hAnsi="Arial" w:cs="Arial"/>
          <w:sz w:val="20"/>
          <w:szCs w:val="20"/>
        </w:rPr>
        <w:t>applicable</w:t>
      </w:r>
      <w:r w:rsidRPr="004E506A">
        <w:rPr>
          <w:rFonts w:ascii="Arial" w:hAnsi="Arial" w:cs="Arial"/>
          <w:sz w:val="20"/>
          <w:szCs w:val="20"/>
        </w:rPr>
        <w:t>.</w:t>
      </w:r>
    </w:p>
    <w:p w14:paraId="442AE3B5" w14:textId="432D1BDE" w:rsidR="004E506A" w:rsidRPr="004E506A" w:rsidRDefault="004E506A" w:rsidP="00AD2F17">
      <w:pPr>
        <w:pStyle w:val="ListParagraph"/>
        <w:numPr>
          <w:ilvl w:val="0"/>
          <w:numId w:val="127"/>
        </w:numPr>
        <w:tabs>
          <w:tab w:val="left" w:pos="707"/>
        </w:tabs>
        <w:spacing w:before="122" w:line="276" w:lineRule="auto"/>
        <w:ind w:right="198"/>
        <w:jc w:val="both"/>
        <w:rPr>
          <w:rFonts w:ascii="Arial" w:hAnsi="Arial" w:cs="Arial"/>
          <w:sz w:val="20"/>
          <w:szCs w:val="20"/>
        </w:rPr>
      </w:pPr>
      <w:r w:rsidRPr="004E506A">
        <w:rPr>
          <w:rFonts w:ascii="Arial" w:hAnsi="Arial" w:cs="Arial"/>
          <w:sz w:val="20"/>
          <w:szCs w:val="20"/>
        </w:rPr>
        <w:t xml:space="preserve">A BPL holder may apply for a change to the </w:t>
      </w:r>
      <w:r w:rsidR="00A804D2">
        <w:rPr>
          <w:rFonts w:ascii="Arial" w:hAnsi="Arial" w:cs="Arial"/>
          <w:sz w:val="20"/>
          <w:szCs w:val="20"/>
        </w:rPr>
        <w:t xml:space="preserve">CAC RA </w:t>
      </w:r>
      <w:r w:rsidRPr="004E506A">
        <w:rPr>
          <w:rFonts w:ascii="Arial" w:hAnsi="Arial" w:cs="Arial"/>
          <w:sz w:val="20"/>
          <w:szCs w:val="20"/>
        </w:rPr>
        <w:t xml:space="preserve">designated by </w:t>
      </w:r>
      <w:r w:rsidR="005F5690" w:rsidRPr="00C1366B">
        <w:rPr>
          <w:rFonts w:ascii="Arial" w:hAnsi="Arial" w:cs="Arial"/>
          <w:sz w:val="20"/>
        </w:rPr>
        <w:t>the Republic of Armenia</w:t>
      </w:r>
      <w:r w:rsidR="005F5690" w:rsidRPr="004E506A">
        <w:rPr>
          <w:rFonts w:ascii="Arial" w:hAnsi="Arial" w:cs="Arial"/>
          <w:sz w:val="20"/>
          <w:szCs w:val="20"/>
        </w:rPr>
        <w:t xml:space="preserve"> </w:t>
      </w:r>
      <w:r w:rsidRPr="004E506A">
        <w:rPr>
          <w:rFonts w:ascii="Arial" w:hAnsi="Arial" w:cs="Arial"/>
          <w:sz w:val="20"/>
          <w:szCs w:val="20"/>
        </w:rPr>
        <w:t>but in such case the new competent authority shall be</w:t>
      </w:r>
      <w:r w:rsidRPr="004E506A">
        <w:rPr>
          <w:rFonts w:ascii="Arial" w:hAnsi="Arial" w:cs="Arial"/>
          <w:spacing w:val="1"/>
          <w:sz w:val="20"/>
          <w:szCs w:val="20"/>
        </w:rPr>
        <w:t xml:space="preserve"> </w:t>
      </w:r>
      <w:r w:rsidRPr="004E506A">
        <w:rPr>
          <w:rFonts w:ascii="Arial" w:hAnsi="Arial" w:cs="Arial"/>
          <w:sz w:val="20"/>
          <w:szCs w:val="20"/>
        </w:rPr>
        <w:t>the</w:t>
      </w:r>
      <w:r w:rsidRPr="004E506A">
        <w:rPr>
          <w:rFonts w:ascii="Arial" w:hAnsi="Arial" w:cs="Arial"/>
          <w:spacing w:val="-1"/>
          <w:sz w:val="20"/>
          <w:szCs w:val="20"/>
        </w:rPr>
        <w:t xml:space="preserve"> </w:t>
      </w:r>
      <w:r w:rsidRPr="004E506A">
        <w:rPr>
          <w:rFonts w:ascii="Arial" w:hAnsi="Arial" w:cs="Arial"/>
          <w:sz w:val="20"/>
          <w:szCs w:val="20"/>
        </w:rPr>
        <w:t>same</w:t>
      </w:r>
      <w:r w:rsidRPr="004E506A">
        <w:rPr>
          <w:rFonts w:ascii="Arial" w:hAnsi="Arial" w:cs="Arial"/>
          <w:spacing w:val="1"/>
          <w:sz w:val="20"/>
          <w:szCs w:val="20"/>
        </w:rPr>
        <w:t xml:space="preserve"> </w:t>
      </w:r>
      <w:r w:rsidRPr="004E506A">
        <w:rPr>
          <w:rFonts w:ascii="Arial" w:hAnsi="Arial" w:cs="Arial"/>
          <w:sz w:val="20"/>
          <w:szCs w:val="20"/>
        </w:rPr>
        <w:t>for</w:t>
      </w:r>
      <w:r w:rsidRPr="004E506A">
        <w:rPr>
          <w:rFonts w:ascii="Arial" w:hAnsi="Arial" w:cs="Arial"/>
          <w:spacing w:val="-2"/>
          <w:sz w:val="20"/>
          <w:szCs w:val="20"/>
        </w:rPr>
        <w:t xml:space="preserve"> </w:t>
      </w:r>
      <w:r w:rsidRPr="004E506A">
        <w:rPr>
          <w:rFonts w:ascii="Arial" w:hAnsi="Arial" w:cs="Arial"/>
          <w:sz w:val="20"/>
          <w:szCs w:val="20"/>
        </w:rPr>
        <w:t>all</w:t>
      </w:r>
      <w:r w:rsidRPr="004E506A">
        <w:rPr>
          <w:rFonts w:ascii="Arial" w:hAnsi="Arial" w:cs="Arial"/>
          <w:spacing w:val="-1"/>
          <w:sz w:val="20"/>
          <w:szCs w:val="20"/>
        </w:rPr>
        <w:t xml:space="preserve"> </w:t>
      </w:r>
      <w:r w:rsidRPr="004E506A">
        <w:rPr>
          <w:rFonts w:ascii="Arial" w:hAnsi="Arial" w:cs="Arial"/>
          <w:sz w:val="20"/>
          <w:szCs w:val="20"/>
        </w:rPr>
        <w:t>the</w:t>
      </w:r>
      <w:r w:rsidRPr="004E506A">
        <w:rPr>
          <w:rFonts w:ascii="Arial" w:hAnsi="Arial" w:cs="Arial"/>
          <w:spacing w:val="-2"/>
          <w:sz w:val="20"/>
          <w:szCs w:val="20"/>
        </w:rPr>
        <w:t xml:space="preserve"> </w:t>
      </w:r>
      <w:r w:rsidRPr="004E506A">
        <w:rPr>
          <w:rFonts w:ascii="Arial" w:hAnsi="Arial" w:cs="Arial"/>
          <w:sz w:val="20"/>
          <w:szCs w:val="20"/>
        </w:rPr>
        <w:t>licences held.</w:t>
      </w:r>
    </w:p>
    <w:p w14:paraId="3C6E7444" w14:textId="77777777" w:rsidR="004E506A" w:rsidRPr="004E506A" w:rsidRDefault="004E506A" w:rsidP="00AD2F17">
      <w:pPr>
        <w:pStyle w:val="ListParagraph"/>
        <w:numPr>
          <w:ilvl w:val="0"/>
          <w:numId w:val="127"/>
        </w:numPr>
        <w:tabs>
          <w:tab w:val="left" w:pos="707"/>
        </w:tabs>
        <w:spacing w:line="276" w:lineRule="auto"/>
        <w:ind w:right="196"/>
        <w:jc w:val="both"/>
        <w:rPr>
          <w:rFonts w:ascii="Arial" w:hAnsi="Arial" w:cs="Arial"/>
          <w:sz w:val="20"/>
          <w:szCs w:val="20"/>
        </w:rPr>
      </w:pPr>
      <w:r w:rsidRPr="004E506A">
        <w:rPr>
          <w:rFonts w:ascii="Arial" w:hAnsi="Arial" w:cs="Arial"/>
          <w:sz w:val="20"/>
          <w:szCs w:val="20"/>
        </w:rPr>
        <w:t>Applicants shall</w:t>
      </w:r>
      <w:r w:rsidRPr="004E506A">
        <w:rPr>
          <w:rFonts w:ascii="Arial" w:hAnsi="Arial" w:cs="Arial"/>
          <w:spacing w:val="-4"/>
          <w:sz w:val="20"/>
          <w:szCs w:val="20"/>
        </w:rPr>
        <w:t xml:space="preserve"> </w:t>
      </w:r>
      <w:r w:rsidRPr="004E506A">
        <w:rPr>
          <w:rFonts w:ascii="Arial" w:hAnsi="Arial" w:cs="Arial"/>
          <w:sz w:val="20"/>
          <w:szCs w:val="20"/>
        </w:rPr>
        <w:t>apply</w:t>
      </w:r>
      <w:r w:rsidRPr="004E506A">
        <w:rPr>
          <w:rFonts w:ascii="Arial" w:hAnsi="Arial" w:cs="Arial"/>
          <w:spacing w:val="-3"/>
          <w:sz w:val="20"/>
          <w:szCs w:val="20"/>
        </w:rPr>
        <w:t xml:space="preserve"> </w:t>
      </w:r>
      <w:r w:rsidRPr="004E506A">
        <w:rPr>
          <w:rFonts w:ascii="Arial" w:hAnsi="Arial" w:cs="Arial"/>
          <w:sz w:val="20"/>
          <w:szCs w:val="20"/>
        </w:rPr>
        <w:t>for</w:t>
      </w:r>
      <w:r w:rsidRPr="004E506A">
        <w:rPr>
          <w:rFonts w:ascii="Arial" w:hAnsi="Arial" w:cs="Arial"/>
          <w:spacing w:val="-4"/>
          <w:sz w:val="20"/>
          <w:szCs w:val="20"/>
        </w:rPr>
        <w:t xml:space="preserve"> </w:t>
      </w:r>
      <w:r w:rsidRPr="004E506A">
        <w:rPr>
          <w:rFonts w:ascii="Arial" w:hAnsi="Arial" w:cs="Arial"/>
          <w:sz w:val="20"/>
          <w:szCs w:val="20"/>
        </w:rPr>
        <w:t>the issue</w:t>
      </w:r>
      <w:r w:rsidRPr="004E506A">
        <w:rPr>
          <w:rFonts w:ascii="Arial" w:hAnsi="Arial" w:cs="Arial"/>
          <w:spacing w:val="-5"/>
          <w:sz w:val="20"/>
          <w:szCs w:val="20"/>
        </w:rPr>
        <w:t xml:space="preserve"> </w:t>
      </w:r>
      <w:r w:rsidRPr="004E506A">
        <w:rPr>
          <w:rFonts w:ascii="Arial" w:hAnsi="Arial" w:cs="Arial"/>
          <w:sz w:val="20"/>
          <w:szCs w:val="20"/>
        </w:rPr>
        <w:t>of</w:t>
      </w:r>
      <w:r w:rsidRPr="004E506A">
        <w:rPr>
          <w:rFonts w:ascii="Arial" w:hAnsi="Arial" w:cs="Arial"/>
          <w:spacing w:val="-4"/>
          <w:sz w:val="20"/>
          <w:szCs w:val="20"/>
        </w:rPr>
        <w:t xml:space="preserve"> </w:t>
      </w:r>
      <w:r w:rsidRPr="004E506A">
        <w:rPr>
          <w:rFonts w:ascii="Arial" w:hAnsi="Arial" w:cs="Arial"/>
          <w:sz w:val="20"/>
          <w:szCs w:val="20"/>
        </w:rPr>
        <w:t>a</w:t>
      </w:r>
      <w:r w:rsidRPr="004E506A">
        <w:rPr>
          <w:rFonts w:ascii="Arial" w:hAnsi="Arial" w:cs="Arial"/>
          <w:spacing w:val="-3"/>
          <w:sz w:val="20"/>
          <w:szCs w:val="20"/>
        </w:rPr>
        <w:t xml:space="preserve"> </w:t>
      </w:r>
      <w:r w:rsidRPr="004E506A">
        <w:rPr>
          <w:rFonts w:ascii="Arial" w:hAnsi="Arial" w:cs="Arial"/>
          <w:sz w:val="20"/>
          <w:szCs w:val="20"/>
        </w:rPr>
        <w:t>BPL</w:t>
      </w:r>
      <w:r w:rsidRPr="004E506A">
        <w:rPr>
          <w:rFonts w:ascii="Arial" w:hAnsi="Arial" w:cs="Arial"/>
          <w:spacing w:val="-2"/>
          <w:sz w:val="20"/>
          <w:szCs w:val="20"/>
        </w:rPr>
        <w:t xml:space="preserve"> </w:t>
      </w:r>
      <w:r w:rsidRPr="004E506A">
        <w:rPr>
          <w:rFonts w:ascii="Arial" w:hAnsi="Arial" w:cs="Arial"/>
          <w:sz w:val="20"/>
          <w:szCs w:val="20"/>
        </w:rPr>
        <w:t>and</w:t>
      </w:r>
      <w:r w:rsidRPr="004E506A">
        <w:rPr>
          <w:rFonts w:ascii="Arial" w:hAnsi="Arial" w:cs="Arial"/>
          <w:spacing w:val="-2"/>
          <w:sz w:val="20"/>
          <w:szCs w:val="20"/>
        </w:rPr>
        <w:t xml:space="preserve"> </w:t>
      </w:r>
      <w:r w:rsidRPr="004E506A">
        <w:rPr>
          <w:rFonts w:ascii="Arial" w:hAnsi="Arial" w:cs="Arial"/>
          <w:sz w:val="20"/>
          <w:szCs w:val="20"/>
        </w:rPr>
        <w:t>associated</w:t>
      </w:r>
      <w:r w:rsidRPr="004E506A">
        <w:rPr>
          <w:rFonts w:ascii="Arial" w:hAnsi="Arial" w:cs="Arial"/>
          <w:spacing w:val="-2"/>
          <w:sz w:val="20"/>
          <w:szCs w:val="20"/>
        </w:rPr>
        <w:t xml:space="preserve"> </w:t>
      </w:r>
      <w:r w:rsidRPr="004E506A">
        <w:rPr>
          <w:rFonts w:ascii="Arial" w:hAnsi="Arial" w:cs="Arial"/>
          <w:sz w:val="20"/>
          <w:szCs w:val="20"/>
        </w:rPr>
        <w:t>ratings,</w:t>
      </w:r>
      <w:r w:rsidRPr="004E506A">
        <w:rPr>
          <w:rFonts w:ascii="Arial" w:hAnsi="Arial" w:cs="Arial"/>
          <w:spacing w:val="-1"/>
          <w:sz w:val="20"/>
          <w:szCs w:val="20"/>
        </w:rPr>
        <w:t xml:space="preserve"> </w:t>
      </w:r>
      <w:r w:rsidRPr="004E506A">
        <w:rPr>
          <w:rFonts w:ascii="Arial" w:hAnsi="Arial" w:cs="Arial"/>
          <w:sz w:val="20"/>
          <w:szCs w:val="20"/>
        </w:rPr>
        <w:t>privileges</w:t>
      </w:r>
      <w:r w:rsidRPr="004E506A">
        <w:rPr>
          <w:rFonts w:ascii="Arial" w:hAnsi="Arial" w:cs="Arial"/>
          <w:spacing w:val="-3"/>
          <w:sz w:val="20"/>
          <w:szCs w:val="20"/>
        </w:rPr>
        <w:t xml:space="preserve"> </w:t>
      </w:r>
      <w:r w:rsidRPr="004E506A">
        <w:rPr>
          <w:rFonts w:ascii="Arial" w:hAnsi="Arial" w:cs="Arial"/>
          <w:sz w:val="20"/>
          <w:szCs w:val="20"/>
        </w:rPr>
        <w:t>or</w:t>
      </w:r>
      <w:r w:rsidRPr="004E506A">
        <w:rPr>
          <w:rFonts w:ascii="Arial" w:hAnsi="Arial" w:cs="Arial"/>
          <w:spacing w:val="-4"/>
          <w:sz w:val="20"/>
          <w:szCs w:val="20"/>
        </w:rPr>
        <w:t xml:space="preserve"> </w:t>
      </w:r>
      <w:r w:rsidRPr="004E506A">
        <w:rPr>
          <w:rFonts w:ascii="Arial" w:hAnsi="Arial" w:cs="Arial"/>
          <w:sz w:val="20"/>
          <w:szCs w:val="20"/>
        </w:rPr>
        <w:t>certificates</w:t>
      </w:r>
      <w:r w:rsidRPr="004E506A">
        <w:rPr>
          <w:rFonts w:ascii="Arial" w:hAnsi="Arial" w:cs="Arial"/>
          <w:spacing w:val="-3"/>
          <w:sz w:val="20"/>
          <w:szCs w:val="20"/>
        </w:rPr>
        <w:t xml:space="preserve"> </w:t>
      </w:r>
      <w:r w:rsidRPr="004E506A">
        <w:rPr>
          <w:rFonts w:ascii="Arial" w:hAnsi="Arial" w:cs="Arial"/>
          <w:sz w:val="20"/>
          <w:szCs w:val="20"/>
        </w:rPr>
        <w:t>not</w:t>
      </w:r>
      <w:r w:rsidRPr="004E506A">
        <w:rPr>
          <w:rFonts w:ascii="Arial" w:hAnsi="Arial" w:cs="Arial"/>
          <w:spacing w:val="-47"/>
          <w:sz w:val="20"/>
          <w:szCs w:val="20"/>
        </w:rPr>
        <w:t xml:space="preserve"> </w:t>
      </w:r>
      <w:r w:rsidRPr="004E506A">
        <w:rPr>
          <w:rFonts w:ascii="Arial" w:hAnsi="Arial" w:cs="Arial"/>
          <w:sz w:val="20"/>
          <w:szCs w:val="20"/>
        </w:rPr>
        <w:t>later</w:t>
      </w:r>
      <w:r w:rsidRPr="004E506A">
        <w:rPr>
          <w:rFonts w:ascii="Arial" w:hAnsi="Arial" w:cs="Arial"/>
          <w:spacing w:val="1"/>
          <w:sz w:val="20"/>
          <w:szCs w:val="20"/>
        </w:rPr>
        <w:t xml:space="preserve"> </w:t>
      </w:r>
      <w:r w:rsidRPr="004E506A">
        <w:rPr>
          <w:rFonts w:ascii="Arial" w:hAnsi="Arial" w:cs="Arial"/>
          <w:sz w:val="20"/>
          <w:szCs w:val="20"/>
        </w:rPr>
        <w:t>than</w:t>
      </w:r>
      <w:r w:rsidRPr="004E506A">
        <w:rPr>
          <w:rFonts w:ascii="Arial" w:hAnsi="Arial" w:cs="Arial"/>
          <w:spacing w:val="1"/>
          <w:sz w:val="20"/>
          <w:szCs w:val="20"/>
        </w:rPr>
        <w:t xml:space="preserve"> </w:t>
      </w:r>
      <w:r w:rsidRPr="004E506A">
        <w:rPr>
          <w:rFonts w:ascii="Arial" w:hAnsi="Arial" w:cs="Arial"/>
          <w:sz w:val="20"/>
          <w:szCs w:val="20"/>
        </w:rPr>
        <w:t>6</w:t>
      </w:r>
      <w:r w:rsidRPr="004E506A">
        <w:rPr>
          <w:rFonts w:ascii="Arial" w:hAnsi="Arial" w:cs="Arial"/>
          <w:spacing w:val="1"/>
          <w:sz w:val="20"/>
          <w:szCs w:val="20"/>
        </w:rPr>
        <w:t xml:space="preserve"> </w:t>
      </w:r>
      <w:r w:rsidRPr="004E506A">
        <w:rPr>
          <w:rFonts w:ascii="Arial" w:hAnsi="Arial" w:cs="Arial"/>
          <w:sz w:val="20"/>
          <w:szCs w:val="20"/>
        </w:rPr>
        <w:t>months</w:t>
      </w:r>
      <w:r w:rsidRPr="004E506A">
        <w:rPr>
          <w:rFonts w:ascii="Arial" w:hAnsi="Arial" w:cs="Arial"/>
          <w:spacing w:val="1"/>
          <w:sz w:val="20"/>
          <w:szCs w:val="20"/>
        </w:rPr>
        <w:t xml:space="preserve"> </w:t>
      </w:r>
      <w:r w:rsidRPr="004E506A">
        <w:rPr>
          <w:rFonts w:ascii="Arial" w:hAnsi="Arial" w:cs="Arial"/>
          <w:sz w:val="20"/>
          <w:szCs w:val="20"/>
        </w:rPr>
        <w:t>after</w:t>
      </w:r>
      <w:r w:rsidRPr="004E506A">
        <w:rPr>
          <w:rFonts w:ascii="Arial" w:hAnsi="Arial" w:cs="Arial"/>
          <w:spacing w:val="1"/>
          <w:sz w:val="20"/>
          <w:szCs w:val="20"/>
        </w:rPr>
        <w:t xml:space="preserve"> </w:t>
      </w:r>
      <w:r w:rsidRPr="004E506A">
        <w:rPr>
          <w:rFonts w:ascii="Arial" w:hAnsi="Arial" w:cs="Arial"/>
          <w:sz w:val="20"/>
          <w:szCs w:val="20"/>
        </w:rPr>
        <w:t>having</w:t>
      </w:r>
      <w:r w:rsidRPr="004E506A">
        <w:rPr>
          <w:rFonts w:ascii="Arial" w:hAnsi="Arial" w:cs="Arial"/>
          <w:spacing w:val="1"/>
          <w:sz w:val="20"/>
          <w:szCs w:val="20"/>
        </w:rPr>
        <w:t xml:space="preserve"> </w:t>
      </w:r>
      <w:r w:rsidRPr="004E506A">
        <w:rPr>
          <w:rFonts w:ascii="Arial" w:hAnsi="Arial" w:cs="Arial"/>
          <w:sz w:val="20"/>
          <w:szCs w:val="20"/>
        </w:rPr>
        <w:t>successfully</w:t>
      </w:r>
      <w:r w:rsidRPr="004E506A">
        <w:rPr>
          <w:rFonts w:ascii="Arial" w:hAnsi="Arial" w:cs="Arial"/>
          <w:spacing w:val="1"/>
          <w:sz w:val="20"/>
          <w:szCs w:val="20"/>
        </w:rPr>
        <w:t xml:space="preserve"> </w:t>
      </w:r>
      <w:r w:rsidRPr="004E506A">
        <w:rPr>
          <w:rFonts w:ascii="Arial" w:hAnsi="Arial" w:cs="Arial"/>
          <w:sz w:val="20"/>
          <w:szCs w:val="20"/>
        </w:rPr>
        <w:t>completed</w:t>
      </w:r>
      <w:r w:rsidRPr="004E506A">
        <w:rPr>
          <w:rFonts w:ascii="Arial" w:hAnsi="Arial" w:cs="Arial"/>
          <w:spacing w:val="1"/>
          <w:sz w:val="20"/>
          <w:szCs w:val="20"/>
        </w:rPr>
        <w:t xml:space="preserve"> </w:t>
      </w:r>
      <w:r w:rsidRPr="004E506A">
        <w:rPr>
          <w:rFonts w:ascii="Arial" w:hAnsi="Arial" w:cs="Arial"/>
          <w:sz w:val="20"/>
          <w:szCs w:val="20"/>
        </w:rPr>
        <w:t>the</w:t>
      </w:r>
      <w:r w:rsidRPr="004E506A">
        <w:rPr>
          <w:rFonts w:ascii="Arial" w:hAnsi="Arial" w:cs="Arial"/>
          <w:spacing w:val="1"/>
          <w:sz w:val="20"/>
          <w:szCs w:val="20"/>
        </w:rPr>
        <w:t xml:space="preserve"> </w:t>
      </w:r>
      <w:r w:rsidRPr="004E506A">
        <w:rPr>
          <w:rFonts w:ascii="Arial" w:hAnsi="Arial" w:cs="Arial"/>
          <w:sz w:val="20"/>
          <w:szCs w:val="20"/>
        </w:rPr>
        <w:t>skill</w:t>
      </w:r>
      <w:r w:rsidRPr="004E506A">
        <w:rPr>
          <w:rFonts w:ascii="Arial" w:hAnsi="Arial" w:cs="Arial"/>
          <w:spacing w:val="1"/>
          <w:sz w:val="20"/>
          <w:szCs w:val="20"/>
        </w:rPr>
        <w:t xml:space="preserve"> </w:t>
      </w:r>
      <w:r w:rsidRPr="004E506A">
        <w:rPr>
          <w:rFonts w:ascii="Arial" w:hAnsi="Arial" w:cs="Arial"/>
          <w:sz w:val="20"/>
          <w:szCs w:val="20"/>
        </w:rPr>
        <w:t>test</w:t>
      </w:r>
      <w:r w:rsidRPr="004E506A">
        <w:rPr>
          <w:rFonts w:ascii="Arial" w:hAnsi="Arial" w:cs="Arial"/>
          <w:spacing w:val="1"/>
          <w:sz w:val="20"/>
          <w:szCs w:val="20"/>
        </w:rPr>
        <w:t xml:space="preserve"> </w:t>
      </w:r>
      <w:r w:rsidRPr="004E506A">
        <w:rPr>
          <w:rFonts w:ascii="Arial" w:hAnsi="Arial" w:cs="Arial"/>
          <w:sz w:val="20"/>
          <w:szCs w:val="20"/>
        </w:rPr>
        <w:t>or</w:t>
      </w:r>
      <w:r w:rsidRPr="004E506A">
        <w:rPr>
          <w:rFonts w:ascii="Arial" w:hAnsi="Arial" w:cs="Arial"/>
          <w:spacing w:val="1"/>
          <w:sz w:val="20"/>
          <w:szCs w:val="20"/>
        </w:rPr>
        <w:t xml:space="preserve"> </w:t>
      </w:r>
      <w:r w:rsidRPr="004E506A">
        <w:rPr>
          <w:rFonts w:ascii="Arial" w:hAnsi="Arial" w:cs="Arial"/>
          <w:sz w:val="20"/>
          <w:szCs w:val="20"/>
        </w:rPr>
        <w:t>assessment</w:t>
      </w:r>
      <w:r w:rsidRPr="004E506A">
        <w:rPr>
          <w:rFonts w:ascii="Arial" w:hAnsi="Arial" w:cs="Arial"/>
          <w:spacing w:val="1"/>
          <w:sz w:val="20"/>
          <w:szCs w:val="20"/>
        </w:rPr>
        <w:t xml:space="preserve"> </w:t>
      </w:r>
      <w:r w:rsidRPr="004E506A">
        <w:rPr>
          <w:rFonts w:ascii="Arial" w:hAnsi="Arial" w:cs="Arial"/>
          <w:sz w:val="20"/>
          <w:szCs w:val="20"/>
        </w:rPr>
        <w:t>of</w:t>
      </w:r>
      <w:r w:rsidRPr="004E506A">
        <w:rPr>
          <w:rFonts w:ascii="Arial" w:hAnsi="Arial" w:cs="Arial"/>
          <w:spacing w:val="1"/>
          <w:sz w:val="20"/>
          <w:szCs w:val="20"/>
        </w:rPr>
        <w:t xml:space="preserve"> </w:t>
      </w:r>
      <w:r w:rsidRPr="004E506A">
        <w:rPr>
          <w:rFonts w:ascii="Arial" w:hAnsi="Arial" w:cs="Arial"/>
          <w:sz w:val="20"/>
          <w:szCs w:val="20"/>
        </w:rPr>
        <w:t>competence.</w:t>
      </w:r>
    </w:p>
    <w:p w14:paraId="746F228D" w14:textId="77777777" w:rsidR="0046444B" w:rsidRPr="0046444B" w:rsidRDefault="0046444B" w:rsidP="009601C2">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564" w:name="AMC1_BFCL.015__Application_for_and_issue"/>
      <w:bookmarkStart w:id="565" w:name="_bookmark228"/>
      <w:bookmarkStart w:id="566" w:name="_Toc153137393"/>
      <w:bookmarkEnd w:id="564"/>
      <w:bookmarkEnd w:id="565"/>
      <w:r w:rsidRPr="0046444B">
        <w:rPr>
          <w:rFonts w:ascii="Arial" w:eastAsia="Times New Roman" w:hAnsi="Arial" w:cs="Times New Roman"/>
          <w:b/>
          <w:color w:val="FFFFFF"/>
          <w:sz w:val="24"/>
        </w:rPr>
        <w:t>AMC1 BFCL.015 Application for and issue, revalidation and renewal of a BPL as well as associated privileges, ratings and certificates</w:t>
      </w:r>
      <w:bookmarkEnd w:id="566"/>
    </w:p>
    <w:p w14:paraId="668D70DC" w14:textId="77777777" w:rsidR="0046444B" w:rsidRPr="0046444B" w:rsidRDefault="0046444B" w:rsidP="009601C2">
      <w:pPr>
        <w:pStyle w:val="BodyText"/>
        <w:spacing w:line="276" w:lineRule="auto"/>
        <w:jc w:val="both"/>
        <w:rPr>
          <w:rFonts w:ascii="Arial" w:hAnsi="Arial" w:cs="Arial"/>
          <w:b/>
          <w:sz w:val="20"/>
        </w:rPr>
      </w:pPr>
      <w:r w:rsidRPr="0046444B">
        <w:rPr>
          <w:rFonts w:ascii="Arial" w:hAnsi="Arial" w:cs="Arial"/>
          <w:b/>
          <w:sz w:val="20"/>
        </w:rPr>
        <w:t>APPLICATION AND REPORT FORMS</w:t>
      </w:r>
    </w:p>
    <w:p w14:paraId="5B2F88A7" w14:textId="77777777" w:rsidR="0046444B" w:rsidRPr="0046444B" w:rsidRDefault="0046444B" w:rsidP="009601C2">
      <w:pPr>
        <w:spacing w:before="118" w:line="276" w:lineRule="auto"/>
        <w:ind w:left="140"/>
        <w:jc w:val="both"/>
        <w:rPr>
          <w:rFonts w:ascii="Arial" w:hAnsi="Arial" w:cs="Arial"/>
          <w:sz w:val="20"/>
        </w:rPr>
      </w:pPr>
      <w:r w:rsidRPr="0046444B">
        <w:rPr>
          <w:rFonts w:ascii="Arial" w:hAnsi="Arial" w:cs="Arial"/>
          <w:sz w:val="20"/>
        </w:rPr>
        <w:t>Application</w:t>
      </w:r>
      <w:r w:rsidRPr="0046444B">
        <w:rPr>
          <w:rFonts w:ascii="Arial" w:hAnsi="Arial" w:cs="Arial"/>
          <w:spacing w:val="-2"/>
          <w:sz w:val="20"/>
        </w:rPr>
        <w:t xml:space="preserve"> </w:t>
      </w:r>
      <w:r w:rsidRPr="0046444B">
        <w:rPr>
          <w:rFonts w:ascii="Arial" w:hAnsi="Arial" w:cs="Arial"/>
          <w:sz w:val="20"/>
        </w:rPr>
        <w:t>and</w:t>
      </w:r>
      <w:r w:rsidRPr="0046444B">
        <w:rPr>
          <w:rFonts w:ascii="Arial" w:hAnsi="Arial" w:cs="Arial"/>
          <w:spacing w:val="-2"/>
          <w:sz w:val="20"/>
        </w:rPr>
        <w:t xml:space="preserve"> </w:t>
      </w:r>
      <w:r w:rsidRPr="0046444B">
        <w:rPr>
          <w:rFonts w:ascii="Arial" w:hAnsi="Arial" w:cs="Arial"/>
          <w:sz w:val="20"/>
        </w:rPr>
        <w:t>report</w:t>
      </w:r>
      <w:r w:rsidRPr="0046444B">
        <w:rPr>
          <w:rFonts w:ascii="Arial" w:hAnsi="Arial" w:cs="Arial"/>
          <w:spacing w:val="-1"/>
          <w:sz w:val="20"/>
        </w:rPr>
        <w:t xml:space="preserve"> </w:t>
      </w:r>
      <w:r w:rsidRPr="0046444B">
        <w:rPr>
          <w:rFonts w:ascii="Arial" w:hAnsi="Arial" w:cs="Arial"/>
          <w:sz w:val="20"/>
        </w:rPr>
        <w:t>forms</w:t>
      </w:r>
      <w:r w:rsidRPr="0046444B">
        <w:rPr>
          <w:rFonts w:ascii="Arial" w:hAnsi="Arial" w:cs="Arial"/>
          <w:spacing w:val="-1"/>
          <w:sz w:val="20"/>
        </w:rPr>
        <w:t xml:space="preserve"> </w:t>
      </w:r>
      <w:r w:rsidRPr="0046444B">
        <w:rPr>
          <w:rFonts w:ascii="Arial" w:hAnsi="Arial" w:cs="Arial"/>
          <w:sz w:val="20"/>
        </w:rPr>
        <w:t>can</w:t>
      </w:r>
      <w:r w:rsidRPr="0046444B">
        <w:rPr>
          <w:rFonts w:ascii="Arial" w:hAnsi="Arial" w:cs="Arial"/>
          <w:spacing w:val="-2"/>
          <w:sz w:val="20"/>
        </w:rPr>
        <w:t xml:space="preserve"> </w:t>
      </w:r>
      <w:r w:rsidRPr="0046444B">
        <w:rPr>
          <w:rFonts w:ascii="Arial" w:hAnsi="Arial" w:cs="Arial"/>
          <w:sz w:val="20"/>
        </w:rPr>
        <w:t>be</w:t>
      </w:r>
      <w:r w:rsidRPr="0046444B">
        <w:rPr>
          <w:rFonts w:ascii="Arial" w:hAnsi="Arial" w:cs="Arial"/>
          <w:spacing w:val="-1"/>
          <w:sz w:val="20"/>
        </w:rPr>
        <w:t xml:space="preserve"> </w:t>
      </w:r>
      <w:r w:rsidRPr="0046444B">
        <w:rPr>
          <w:rFonts w:ascii="Arial" w:hAnsi="Arial" w:cs="Arial"/>
          <w:sz w:val="20"/>
        </w:rPr>
        <w:t>found</w:t>
      </w:r>
      <w:r w:rsidRPr="0046444B">
        <w:rPr>
          <w:rFonts w:ascii="Arial" w:hAnsi="Arial" w:cs="Arial"/>
          <w:spacing w:val="-2"/>
          <w:sz w:val="20"/>
        </w:rPr>
        <w:t xml:space="preserve"> </w:t>
      </w:r>
      <w:r w:rsidRPr="0046444B">
        <w:rPr>
          <w:rFonts w:ascii="Arial" w:hAnsi="Arial" w:cs="Arial"/>
          <w:sz w:val="20"/>
        </w:rPr>
        <w:t>as</w:t>
      </w:r>
      <w:r w:rsidRPr="0046444B">
        <w:rPr>
          <w:rFonts w:ascii="Arial" w:hAnsi="Arial" w:cs="Arial"/>
          <w:spacing w:val="-1"/>
          <w:sz w:val="20"/>
        </w:rPr>
        <w:t xml:space="preserve"> </w:t>
      </w:r>
      <w:r w:rsidRPr="0046444B">
        <w:rPr>
          <w:rFonts w:ascii="Arial" w:hAnsi="Arial" w:cs="Arial"/>
          <w:sz w:val="20"/>
        </w:rPr>
        <w:t>follows:</w:t>
      </w:r>
    </w:p>
    <w:p w14:paraId="499A5B9D" w14:textId="77777777" w:rsidR="0046444B" w:rsidRPr="0046444B" w:rsidRDefault="0046444B" w:rsidP="00AD2F17">
      <w:pPr>
        <w:numPr>
          <w:ilvl w:val="0"/>
          <w:numId w:val="128"/>
        </w:numPr>
        <w:tabs>
          <w:tab w:val="left" w:pos="706"/>
          <w:tab w:val="left" w:pos="707"/>
        </w:tabs>
        <w:spacing w:before="121" w:line="276" w:lineRule="auto"/>
        <w:ind w:right="195"/>
        <w:jc w:val="both"/>
        <w:rPr>
          <w:rFonts w:ascii="Arial" w:hAnsi="Arial" w:cs="Arial"/>
          <w:sz w:val="20"/>
        </w:rPr>
      </w:pPr>
      <w:r w:rsidRPr="0046444B">
        <w:rPr>
          <w:rFonts w:ascii="Arial" w:hAnsi="Arial" w:cs="Arial"/>
          <w:sz w:val="20"/>
        </w:rPr>
        <w:t>for</w:t>
      </w:r>
      <w:r w:rsidRPr="0046444B">
        <w:rPr>
          <w:rFonts w:ascii="Arial" w:hAnsi="Arial" w:cs="Arial"/>
          <w:spacing w:val="41"/>
          <w:sz w:val="20"/>
        </w:rPr>
        <w:t xml:space="preserve"> </w:t>
      </w:r>
      <w:r w:rsidRPr="0046444B">
        <w:rPr>
          <w:rFonts w:ascii="Arial" w:hAnsi="Arial" w:cs="Arial"/>
          <w:sz w:val="20"/>
        </w:rPr>
        <w:t>skill</w:t>
      </w:r>
      <w:r w:rsidRPr="0046444B">
        <w:rPr>
          <w:rFonts w:ascii="Arial" w:hAnsi="Arial" w:cs="Arial"/>
          <w:spacing w:val="39"/>
          <w:sz w:val="20"/>
        </w:rPr>
        <w:t xml:space="preserve"> </w:t>
      </w:r>
      <w:r w:rsidRPr="0046444B">
        <w:rPr>
          <w:rFonts w:ascii="Arial" w:hAnsi="Arial" w:cs="Arial"/>
          <w:sz w:val="20"/>
        </w:rPr>
        <w:t>tests</w:t>
      </w:r>
      <w:r w:rsidRPr="0046444B">
        <w:rPr>
          <w:rFonts w:ascii="Arial" w:hAnsi="Arial" w:cs="Arial"/>
          <w:spacing w:val="43"/>
          <w:sz w:val="20"/>
        </w:rPr>
        <w:t xml:space="preserve"> </w:t>
      </w:r>
      <w:r w:rsidRPr="0046444B">
        <w:rPr>
          <w:rFonts w:ascii="Arial" w:hAnsi="Arial" w:cs="Arial"/>
          <w:sz w:val="20"/>
        </w:rPr>
        <w:t>and</w:t>
      </w:r>
      <w:r w:rsidRPr="0046444B">
        <w:rPr>
          <w:rFonts w:ascii="Arial" w:hAnsi="Arial" w:cs="Arial"/>
          <w:spacing w:val="41"/>
          <w:sz w:val="20"/>
        </w:rPr>
        <w:t xml:space="preserve"> </w:t>
      </w:r>
      <w:r w:rsidRPr="0046444B">
        <w:rPr>
          <w:rFonts w:ascii="Arial" w:hAnsi="Arial" w:cs="Arial"/>
          <w:sz w:val="20"/>
        </w:rPr>
        <w:t>proficiency</w:t>
      </w:r>
      <w:r w:rsidRPr="0046444B">
        <w:rPr>
          <w:rFonts w:ascii="Arial" w:hAnsi="Arial" w:cs="Arial"/>
          <w:spacing w:val="43"/>
          <w:sz w:val="20"/>
        </w:rPr>
        <w:t xml:space="preserve"> </w:t>
      </w:r>
      <w:r w:rsidRPr="0046444B">
        <w:rPr>
          <w:rFonts w:ascii="Arial" w:hAnsi="Arial" w:cs="Arial"/>
          <w:sz w:val="20"/>
        </w:rPr>
        <w:t>checks</w:t>
      </w:r>
      <w:r w:rsidRPr="0046444B">
        <w:rPr>
          <w:rFonts w:ascii="Arial" w:hAnsi="Arial" w:cs="Arial"/>
          <w:spacing w:val="43"/>
          <w:sz w:val="20"/>
        </w:rPr>
        <w:t xml:space="preserve"> </w:t>
      </w:r>
      <w:r w:rsidRPr="0046444B">
        <w:rPr>
          <w:rFonts w:ascii="Arial" w:hAnsi="Arial" w:cs="Arial"/>
          <w:sz w:val="20"/>
        </w:rPr>
        <w:t>for</w:t>
      </w:r>
      <w:r w:rsidRPr="0046444B">
        <w:rPr>
          <w:rFonts w:ascii="Arial" w:hAnsi="Arial" w:cs="Arial"/>
          <w:spacing w:val="40"/>
          <w:sz w:val="20"/>
        </w:rPr>
        <w:t xml:space="preserve"> </w:t>
      </w:r>
      <w:r w:rsidRPr="0046444B">
        <w:rPr>
          <w:rFonts w:ascii="Arial" w:hAnsi="Arial" w:cs="Arial"/>
          <w:sz w:val="20"/>
        </w:rPr>
        <w:t>the</w:t>
      </w:r>
      <w:r w:rsidRPr="0046444B">
        <w:rPr>
          <w:rFonts w:ascii="Arial" w:hAnsi="Arial" w:cs="Arial"/>
          <w:spacing w:val="42"/>
          <w:sz w:val="20"/>
        </w:rPr>
        <w:t xml:space="preserve"> </w:t>
      </w:r>
      <w:r w:rsidRPr="0046444B">
        <w:rPr>
          <w:rFonts w:ascii="Arial" w:hAnsi="Arial" w:cs="Arial"/>
          <w:sz w:val="20"/>
        </w:rPr>
        <w:t>balloon</w:t>
      </w:r>
      <w:r w:rsidRPr="0046444B">
        <w:rPr>
          <w:rFonts w:ascii="Arial" w:hAnsi="Arial" w:cs="Arial"/>
          <w:spacing w:val="42"/>
          <w:sz w:val="20"/>
        </w:rPr>
        <w:t xml:space="preserve"> </w:t>
      </w:r>
      <w:r w:rsidRPr="0046444B">
        <w:rPr>
          <w:rFonts w:ascii="Arial" w:hAnsi="Arial" w:cs="Arial"/>
          <w:sz w:val="20"/>
        </w:rPr>
        <w:t>pilot</w:t>
      </w:r>
      <w:r w:rsidRPr="0046444B">
        <w:rPr>
          <w:rFonts w:ascii="Arial" w:hAnsi="Arial" w:cs="Arial"/>
          <w:spacing w:val="43"/>
          <w:sz w:val="20"/>
        </w:rPr>
        <w:t xml:space="preserve"> </w:t>
      </w:r>
      <w:r w:rsidRPr="0046444B">
        <w:rPr>
          <w:rFonts w:ascii="Arial" w:hAnsi="Arial" w:cs="Arial"/>
          <w:sz w:val="20"/>
        </w:rPr>
        <w:t>licence</w:t>
      </w:r>
      <w:r w:rsidRPr="0046444B">
        <w:rPr>
          <w:rFonts w:ascii="Arial" w:hAnsi="Arial" w:cs="Arial"/>
          <w:spacing w:val="40"/>
          <w:sz w:val="20"/>
        </w:rPr>
        <w:t xml:space="preserve"> </w:t>
      </w:r>
      <w:r w:rsidRPr="0046444B">
        <w:rPr>
          <w:rFonts w:ascii="Arial" w:hAnsi="Arial" w:cs="Arial"/>
          <w:sz w:val="20"/>
        </w:rPr>
        <w:t>(BPL)</w:t>
      </w:r>
      <w:r w:rsidRPr="0046444B">
        <w:rPr>
          <w:rFonts w:ascii="Arial" w:hAnsi="Arial" w:cs="Arial"/>
          <w:spacing w:val="43"/>
          <w:sz w:val="20"/>
        </w:rPr>
        <w:t xml:space="preserve"> </w:t>
      </w:r>
      <w:r w:rsidRPr="0046444B">
        <w:rPr>
          <w:rFonts w:ascii="Arial" w:hAnsi="Arial" w:cs="Arial"/>
          <w:sz w:val="20"/>
        </w:rPr>
        <w:t>as</w:t>
      </w:r>
      <w:r w:rsidRPr="0046444B">
        <w:rPr>
          <w:rFonts w:ascii="Arial" w:hAnsi="Arial" w:cs="Arial"/>
          <w:spacing w:val="40"/>
          <w:sz w:val="20"/>
        </w:rPr>
        <w:t xml:space="preserve"> </w:t>
      </w:r>
      <w:r w:rsidRPr="0046444B">
        <w:rPr>
          <w:rFonts w:ascii="Arial" w:hAnsi="Arial" w:cs="Arial"/>
          <w:sz w:val="20"/>
        </w:rPr>
        <w:t>well</w:t>
      </w:r>
      <w:r w:rsidRPr="0046444B">
        <w:rPr>
          <w:rFonts w:ascii="Arial" w:hAnsi="Arial" w:cs="Arial"/>
          <w:spacing w:val="42"/>
          <w:sz w:val="20"/>
        </w:rPr>
        <w:t xml:space="preserve"> </w:t>
      </w:r>
      <w:r w:rsidRPr="0046444B">
        <w:rPr>
          <w:rFonts w:ascii="Arial" w:hAnsi="Arial" w:cs="Arial"/>
          <w:sz w:val="20"/>
        </w:rPr>
        <w:t>as</w:t>
      </w:r>
      <w:r w:rsidRPr="0046444B">
        <w:rPr>
          <w:rFonts w:ascii="Arial" w:hAnsi="Arial" w:cs="Arial"/>
          <w:spacing w:val="41"/>
          <w:sz w:val="20"/>
        </w:rPr>
        <w:t xml:space="preserve"> </w:t>
      </w:r>
      <w:r w:rsidRPr="0046444B">
        <w:rPr>
          <w:rFonts w:ascii="Arial" w:hAnsi="Arial" w:cs="Arial"/>
          <w:sz w:val="20"/>
        </w:rPr>
        <w:t>for</w:t>
      </w:r>
      <w:r w:rsidRPr="0046444B">
        <w:rPr>
          <w:rFonts w:ascii="Arial" w:hAnsi="Arial" w:cs="Arial"/>
          <w:spacing w:val="42"/>
          <w:sz w:val="20"/>
        </w:rPr>
        <w:t xml:space="preserve"> </w:t>
      </w:r>
      <w:r w:rsidRPr="0046444B">
        <w:rPr>
          <w:rFonts w:ascii="Arial" w:hAnsi="Arial" w:cs="Arial"/>
          <w:sz w:val="20"/>
        </w:rPr>
        <w:t>the</w:t>
      </w:r>
      <w:r w:rsidRPr="0046444B">
        <w:rPr>
          <w:rFonts w:ascii="Arial" w:hAnsi="Arial" w:cs="Arial"/>
          <w:spacing w:val="-47"/>
          <w:sz w:val="20"/>
        </w:rPr>
        <w:t xml:space="preserve"> </w:t>
      </w:r>
      <w:r w:rsidRPr="0046444B">
        <w:rPr>
          <w:rFonts w:ascii="Arial" w:hAnsi="Arial" w:cs="Arial"/>
          <w:sz w:val="20"/>
        </w:rPr>
        <w:t>commercial</w:t>
      </w:r>
      <w:r w:rsidRPr="0046444B">
        <w:rPr>
          <w:rFonts w:ascii="Arial" w:hAnsi="Arial" w:cs="Arial"/>
          <w:spacing w:val="-4"/>
          <w:sz w:val="20"/>
        </w:rPr>
        <w:t xml:space="preserve"> </w:t>
      </w:r>
      <w:r w:rsidRPr="0046444B">
        <w:rPr>
          <w:rFonts w:ascii="Arial" w:hAnsi="Arial" w:cs="Arial"/>
          <w:sz w:val="20"/>
        </w:rPr>
        <w:t>operation</w:t>
      </w:r>
      <w:r w:rsidRPr="0046444B">
        <w:rPr>
          <w:rFonts w:ascii="Arial" w:hAnsi="Arial" w:cs="Arial"/>
          <w:spacing w:val="-1"/>
          <w:sz w:val="20"/>
        </w:rPr>
        <w:t xml:space="preserve"> </w:t>
      </w:r>
      <w:r w:rsidRPr="0046444B">
        <w:rPr>
          <w:rFonts w:ascii="Arial" w:hAnsi="Arial" w:cs="Arial"/>
          <w:sz w:val="20"/>
        </w:rPr>
        <w:t>rating, in AMC1 BFCL.410(b)(3);</w:t>
      </w:r>
      <w:r w:rsidRPr="0046444B">
        <w:rPr>
          <w:rFonts w:ascii="Arial" w:hAnsi="Arial" w:cs="Arial"/>
          <w:spacing w:val="-3"/>
          <w:sz w:val="20"/>
        </w:rPr>
        <w:t xml:space="preserve"> </w:t>
      </w:r>
      <w:r w:rsidRPr="0046444B">
        <w:rPr>
          <w:rFonts w:ascii="Arial" w:hAnsi="Arial" w:cs="Arial"/>
          <w:sz w:val="20"/>
        </w:rPr>
        <w:t>and</w:t>
      </w:r>
    </w:p>
    <w:p w14:paraId="41B973EC" w14:textId="77777777" w:rsidR="0046444B" w:rsidRPr="0046444B" w:rsidRDefault="0046444B" w:rsidP="00AD2F17">
      <w:pPr>
        <w:numPr>
          <w:ilvl w:val="0"/>
          <w:numId w:val="128"/>
        </w:numPr>
        <w:tabs>
          <w:tab w:val="left" w:pos="706"/>
          <w:tab w:val="left" w:pos="707"/>
        </w:tabs>
        <w:spacing w:before="118" w:line="276" w:lineRule="auto"/>
        <w:jc w:val="both"/>
        <w:rPr>
          <w:rFonts w:ascii="Arial" w:hAnsi="Arial" w:cs="Arial"/>
          <w:sz w:val="20"/>
        </w:rPr>
      </w:pPr>
      <w:r w:rsidRPr="0046444B">
        <w:rPr>
          <w:rFonts w:ascii="Arial" w:hAnsi="Arial" w:cs="Arial"/>
          <w:sz w:val="20"/>
        </w:rPr>
        <w:t>for</w:t>
      </w:r>
      <w:r w:rsidRPr="0046444B">
        <w:rPr>
          <w:rFonts w:ascii="Arial" w:hAnsi="Arial" w:cs="Arial"/>
          <w:spacing w:val="-2"/>
          <w:sz w:val="20"/>
        </w:rPr>
        <w:t xml:space="preserve"> </w:t>
      </w:r>
      <w:r w:rsidRPr="0046444B">
        <w:rPr>
          <w:rFonts w:ascii="Arial" w:hAnsi="Arial" w:cs="Arial"/>
          <w:sz w:val="20"/>
        </w:rPr>
        <w:t>the assessment</w:t>
      </w:r>
      <w:r w:rsidRPr="0046444B">
        <w:rPr>
          <w:rFonts w:ascii="Arial" w:hAnsi="Arial" w:cs="Arial"/>
          <w:spacing w:val="-3"/>
          <w:sz w:val="20"/>
        </w:rPr>
        <w:t xml:space="preserve"> </w:t>
      </w:r>
      <w:r w:rsidRPr="0046444B">
        <w:rPr>
          <w:rFonts w:ascii="Arial" w:hAnsi="Arial" w:cs="Arial"/>
          <w:sz w:val="20"/>
        </w:rPr>
        <w:t>of</w:t>
      </w:r>
      <w:r w:rsidRPr="0046444B">
        <w:rPr>
          <w:rFonts w:ascii="Arial" w:hAnsi="Arial" w:cs="Arial"/>
          <w:spacing w:val="-3"/>
          <w:sz w:val="20"/>
        </w:rPr>
        <w:t xml:space="preserve"> </w:t>
      </w:r>
      <w:r w:rsidRPr="0046444B">
        <w:rPr>
          <w:rFonts w:ascii="Arial" w:hAnsi="Arial" w:cs="Arial"/>
          <w:sz w:val="20"/>
        </w:rPr>
        <w:t>competence</w:t>
      </w:r>
      <w:r w:rsidRPr="0046444B">
        <w:rPr>
          <w:rFonts w:ascii="Arial" w:hAnsi="Arial" w:cs="Arial"/>
          <w:spacing w:val="-3"/>
          <w:sz w:val="20"/>
        </w:rPr>
        <w:t xml:space="preserve"> </w:t>
      </w:r>
      <w:r w:rsidRPr="0046444B">
        <w:rPr>
          <w:rFonts w:ascii="Arial" w:hAnsi="Arial" w:cs="Arial"/>
          <w:sz w:val="20"/>
        </w:rPr>
        <w:t>for</w:t>
      </w:r>
      <w:r w:rsidRPr="0046444B">
        <w:rPr>
          <w:rFonts w:ascii="Arial" w:hAnsi="Arial" w:cs="Arial"/>
          <w:spacing w:val="-4"/>
          <w:sz w:val="20"/>
        </w:rPr>
        <w:t xml:space="preserve"> </w:t>
      </w:r>
      <w:r w:rsidRPr="0046444B">
        <w:rPr>
          <w:rFonts w:ascii="Arial" w:hAnsi="Arial" w:cs="Arial"/>
          <w:sz w:val="20"/>
        </w:rPr>
        <w:t>the flight</w:t>
      </w:r>
      <w:r w:rsidRPr="0046444B">
        <w:rPr>
          <w:rFonts w:ascii="Arial" w:hAnsi="Arial" w:cs="Arial"/>
          <w:spacing w:val="-3"/>
          <w:sz w:val="20"/>
        </w:rPr>
        <w:t xml:space="preserve"> </w:t>
      </w:r>
      <w:r w:rsidRPr="0046444B">
        <w:rPr>
          <w:rFonts w:ascii="Arial" w:hAnsi="Arial" w:cs="Arial"/>
          <w:sz w:val="20"/>
        </w:rPr>
        <w:t>instructor</w:t>
      </w:r>
      <w:r w:rsidRPr="0046444B">
        <w:rPr>
          <w:rFonts w:ascii="Arial" w:hAnsi="Arial" w:cs="Arial"/>
          <w:spacing w:val="-3"/>
          <w:sz w:val="20"/>
        </w:rPr>
        <w:t xml:space="preserve"> </w:t>
      </w:r>
      <w:r w:rsidRPr="0046444B">
        <w:rPr>
          <w:rFonts w:ascii="Arial" w:hAnsi="Arial" w:cs="Arial"/>
          <w:sz w:val="20"/>
        </w:rPr>
        <w:t>(balloon)</w:t>
      </w:r>
      <w:r w:rsidRPr="0046444B">
        <w:rPr>
          <w:rFonts w:ascii="Arial" w:hAnsi="Arial" w:cs="Arial"/>
          <w:spacing w:val="-2"/>
          <w:sz w:val="20"/>
        </w:rPr>
        <w:t xml:space="preserve"> </w:t>
      </w:r>
      <w:r w:rsidRPr="0046444B">
        <w:rPr>
          <w:rFonts w:ascii="Arial" w:hAnsi="Arial" w:cs="Arial"/>
          <w:sz w:val="20"/>
        </w:rPr>
        <w:t>FI(B),</w:t>
      </w:r>
      <w:r w:rsidRPr="0046444B">
        <w:rPr>
          <w:rFonts w:ascii="Arial" w:hAnsi="Arial" w:cs="Arial"/>
          <w:spacing w:val="-3"/>
          <w:sz w:val="20"/>
        </w:rPr>
        <w:t xml:space="preserve"> </w:t>
      </w:r>
      <w:r w:rsidRPr="0046444B">
        <w:rPr>
          <w:rFonts w:ascii="Arial" w:hAnsi="Arial" w:cs="Arial"/>
          <w:sz w:val="20"/>
        </w:rPr>
        <w:t>in</w:t>
      </w:r>
      <w:r w:rsidRPr="0046444B">
        <w:rPr>
          <w:rFonts w:ascii="Arial" w:hAnsi="Arial" w:cs="Arial"/>
          <w:spacing w:val="-1"/>
          <w:sz w:val="20"/>
        </w:rPr>
        <w:t xml:space="preserve"> </w:t>
      </w:r>
      <w:r w:rsidRPr="0046444B">
        <w:rPr>
          <w:rFonts w:ascii="Arial" w:hAnsi="Arial" w:cs="Arial"/>
          <w:sz w:val="20"/>
        </w:rPr>
        <w:t>AMC3</w:t>
      </w:r>
      <w:r w:rsidRPr="0046444B">
        <w:rPr>
          <w:rFonts w:ascii="Arial" w:hAnsi="Arial" w:cs="Arial"/>
          <w:spacing w:val="-1"/>
          <w:sz w:val="20"/>
        </w:rPr>
        <w:t xml:space="preserve"> </w:t>
      </w:r>
      <w:r w:rsidRPr="0046444B">
        <w:rPr>
          <w:rFonts w:ascii="Arial" w:hAnsi="Arial" w:cs="Arial"/>
          <w:sz w:val="20"/>
        </w:rPr>
        <w:t>BFCL.345.</w:t>
      </w:r>
    </w:p>
    <w:p w14:paraId="02A0EF11" w14:textId="77777777" w:rsidR="00AA18F6" w:rsidRPr="00AA18F6" w:rsidRDefault="00AA18F6" w:rsidP="009601C2">
      <w:pPr>
        <w:keepNext/>
        <w:keepLines/>
        <w:widowControl/>
        <w:shd w:val="clear" w:color="auto" w:fill="339966"/>
        <w:autoSpaceDE/>
        <w:autoSpaceDN/>
        <w:spacing w:before="160" w:after="120" w:line="276" w:lineRule="auto"/>
        <w:jc w:val="both"/>
        <w:outlineLvl w:val="4"/>
        <w:rPr>
          <w:rFonts w:ascii="Arial" w:eastAsia="Times New Roman" w:hAnsi="Arial" w:cs="Times New Roman"/>
          <w:b/>
          <w:color w:val="FFFFFF"/>
          <w:sz w:val="24"/>
        </w:rPr>
      </w:pPr>
      <w:bookmarkStart w:id="567" w:name="GM1_BFCL.015(c)__Application_for_and_iss"/>
      <w:bookmarkStart w:id="568" w:name="_bookmark229"/>
      <w:bookmarkStart w:id="569" w:name="_Toc153137394"/>
      <w:bookmarkEnd w:id="567"/>
      <w:bookmarkEnd w:id="568"/>
      <w:r w:rsidRPr="00AA18F6">
        <w:rPr>
          <w:rFonts w:ascii="Arial" w:eastAsia="Times New Roman" w:hAnsi="Arial" w:cs="Times New Roman"/>
          <w:b/>
          <w:color w:val="FFFFFF"/>
          <w:sz w:val="24"/>
        </w:rPr>
        <w:t>GM1 BFCL.015(c) Application for and issue, revalidation and renewal of a BPL as well as associated privileges, ratings and certificates</w:t>
      </w:r>
      <w:bookmarkEnd w:id="569"/>
    </w:p>
    <w:p w14:paraId="730019D8" w14:textId="77777777" w:rsidR="00AA18F6" w:rsidRPr="00AA18F6" w:rsidRDefault="00AA18F6" w:rsidP="009601C2">
      <w:pPr>
        <w:spacing w:before="1" w:line="276" w:lineRule="auto"/>
        <w:rPr>
          <w:rFonts w:ascii="Arial" w:hAnsi="Arial" w:cs="Arial"/>
          <w:b/>
          <w:sz w:val="20"/>
        </w:rPr>
      </w:pPr>
      <w:r w:rsidRPr="00AA18F6">
        <w:rPr>
          <w:rFonts w:ascii="Arial" w:hAnsi="Arial" w:cs="Arial"/>
          <w:b/>
          <w:sz w:val="20"/>
        </w:rPr>
        <w:t>HOT-AIR</w:t>
      </w:r>
      <w:r w:rsidRPr="00AA18F6">
        <w:rPr>
          <w:rFonts w:ascii="Arial" w:hAnsi="Arial" w:cs="Arial"/>
          <w:b/>
          <w:spacing w:val="-4"/>
          <w:sz w:val="20"/>
        </w:rPr>
        <w:t xml:space="preserve"> </w:t>
      </w:r>
      <w:r w:rsidRPr="00AA18F6">
        <w:rPr>
          <w:rFonts w:ascii="Arial" w:hAnsi="Arial" w:cs="Arial"/>
          <w:b/>
          <w:sz w:val="20"/>
        </w:rPr>
        <w:t>BALLOON</w:t>
      </w:r>
      <w:r w:rsidRPr="00AA18F6">
        <w:rPr>
          <w:rFonts w:ascii="Arial" w:hAnsi="Arial" w:cs="Arial"/>
          <w:b/>
          <w:spacing w:val="-4"/>
          <w:sz w:val="20"/>
        </w:rPr>
        <w:t xml:space="preserve"> </w:t>
      </w:r>
      <w:r w:rsidRPr="00AA18F6">
        <w:rPr>
          <w:rFonts w:ascii="Arial" w:hAnsi="Arial" w:cs="Arial"/>
          <w:b/>
          <w:sz w:val="20"/>
        </w:rPr>
        <w:t>GROUP</w:t>
      </w:r>
      <w:r w:rsidRPr="00AA18F6">
        <w:rPr>
          <w:rFonts w:ascii="Arial" w:hAnsi="Arial" w:cs="Arial"/>
          <w:b/>
          <w:spacing w:val="-2"/>
          <w:sz w:val="20"/>
        </w:rPr>
        <w:t xml:space="preserve"> </w:t>
      </w:r>
      <w:r w:rsidRPr="00AA18F6">
        <w:rPr>
          <w:rFonts w:ascii="Arial" w:hAnsi="Arial" w:cs="Arial"/>
          <w:b/>
          <w:sz w:val="20"/>
        </w:rPr>
        <w:t>ENDORSEMENTS</w:t>
      </w:r>
      <w:r w:rsidRPr="00AA18F6">
        <w:rPr>
          <w:rFonts w:ascii="Arial" w:hAnsi="Arial" w:cs="Arial"/>
          <w:b/>
          <w:spacing w:val="-4"/>
          <w:sz w:val="20"/>
        </w:rPr>
        <w:t xml:space="preserve"> </w:t>
      </w:r>
      <w:r w:rsidRPr="00AA18F6">
        <w:rPr>
          <w:rFonts w:ascii="Arial" w:hAnsi="Arial" w:cs="Arial"/>
          <w:b/>
          <w:sz w:val="20"/>
        </w:rPr>
        <w:t>AND</w:t>
      </w:r>
      <w:r w:rsidRPr="00AA18F6">
        <w:rPr>
          <w:rFonts w:ascii="Arial" w:hAnsi="Arial" w:cs="Arial"/>
          <w:b/>
          <w:spacing w:val="-5"/>
          <w:sz w:val="20"/>
        </w:rPr>
        <w:t xml:space="preserve"> </w:t>
      </w:r>
      <w:r w:rsidRPr="00AA18F6">
        <w:rPr>
          <w:rFonts w:ascii="Arial" w:hAnsi="Arial" w:cs="Arial"/>
          <w:b/>
          <w:sz w:val="20"/>
        </w:rPr>
        <w:t>RECENCY</w:t>
      </w:r>
    </w:p>
    <w:p w14:paraId="65EC55ED" w14:textId="77777777" w:rsidR="00AA18F6" w:rsidRPr="00AA18F6" w:rsidRDefault="00AA18F6" w:rsidP="009601C2">
      <w:pPr>
        <w:spacing w:before="117" w:line="276" w:lineRule="auto"/>
        <w:jc w:val="both"/>
        <w:rPr>
          <w:rFonts w:ascii="Arial" w:hAnsi="Arial" w:cs="Arial"/>
          <w:sz w:val="20"/>
        </w:rPr>
      </w:pPr>
      <w:r w:rsidRPr="00AA18F6">
        <w:rPr>
          <w:rFonts w:ascii="Arial" w:hAnsi="Arial" w:cs="Arial"/>
          <w:sz w:val="20"/>
        </w:rPr>
        <w:t>When complying with recency requirements for the hot-air balloon class in a smaller balloon group, a licence endorsement related to privileges for a bigger balloon group does not need to be removed from the licence. Those privileges for the bigger group remain ‘inactive’ and can be exercised once the recency requirements are complied with in that bigger group.</w:t>
      </w:r>
    </w:p>
    <w:p w14:paraId="36A94994" w14:textId="77777777" w:rsidR="00154B96" w:rsidRDefault="00AA18F6" w:rsidP="009601C2">
      <w:pPr>
        <w:spacing w:before="117" w:line="276" w:lineRule="auto"/>
        <w:jc w:val="both"/>
        <w:rPr>
          <w:rFonts w:ascii="Arial" w:hAnsi="Arial" w:cs="Arial"/>
          <w:sz w:val="20"/>
        </w:rPr>
      </w:pPr>
      <w:r w:rsidRPr="00AA18F6">
        <w:rPr>
          <w:rFonts w:ascii="Arial" w:hAnsi="Arial" w:cs="Arial"/>
          <w:sz w:val="20"/>
        </w:rPr>
        <w:t>For example, if a BPL holder holds privileges for hot-air balloon groups A, B and C and completes the proficiency check in accordance with point BFCL.160 in a hot-air balloon</w:t>
      </w:r>
      <w:r>
        <w:rPr>
          <w:rFonts w:ascii="Arial" w:hAnsi="Arial" w:cs="Arial"/>
          <w:sz w:val="20"/>
        </w:rPr>
        <w:t xml:space="preserve"> that represents group B, it is </w:t>
      </w:r>
      <w:r w:rsidRPr="00AA18F6">
        <w:rPr>
          <w:rFonts w:ascii="Arial" w:hAnsi="Arial" w:cs="Arial"/>
          <w:sz w:val="20"/>
        </w:rPr>
        <w:t>not necessary for the BPL holder to have the licence reissued without an endorsement for group C. The privileges for group C can be exercised after complying with recency requirements in group C balloons.</w:t>
      </w:r>
    </w:p>
    <w:p w14:paraId="17787C7F" w14:textId="77777777" w:rsidR="00154B96" w:rsidRPr="00154B96" w:rsidRDefault="00154B96" w:rsidP="009601C2">
      <w:pPr>
        <w:keepNext/>
        <w:keepLines/>
        <w:widowControl/>
        <w:shd w:val="clear" w:color="auto" w:fill="2F5496"/>
        <w:autoSpaceDE/>
        <w:autoSpaceDN/>
        <w:spacing w:before="280" w:after="240" w:line="276" w:lineRule="auto"/>
        <w:outlineLvl w:val="3"/>
        <w:rPr>
          <w:rFonts w:ascii="Arial" w:eastAsia="Times New Roman" w:hAnsi="Arial" w:cs="Times New Roman"/>
          <w:b/>
          <w:iCs/>
          <w:color w:val="FFFFFF"/>
          <w:sz w:val="24"/>
        </w:rPr>
      </w:pPr>
      <w:bookmarkStart w:id="570" w:name="BFCL.030__Practical_skill_test"/>
      <w:bookmarkStart w:id="571" w:name="_bookmark230"/>
      <w:bookmarkStart w:id="572" w:name="_Toc153137395"/>
      <w:bookmarkEnd w:id="570"/>
      <w:bookmarkEnd w:id="571"/>
      <w:r w:rsidRPr="00154B96">
        <w:rPr>
          <w:rFonts w:ascii="Arial" w:eastAsia="Times New Roman" w:hAnsi="Arial" w:cs="Times New Roman"/>
          <w:b/>
          <w:iCs/>
          <w:color w:val="FFFFFF"/>
          <w:sz w:val="24"/>
        </w:rPr>
        <w:t>BFCL.030 Practical skill test</w:t>
      </w:r>
      <w:bookmarkEnd w:id="572"/>
    </w:p>
    <w:p w14:paraId="044CE3CA" w14:textId="77777777" w:rsidR="00154B96" w:rsidRPr="00154B96" w:rsidRDefault="00154B96" w:rsidP="009601C2">
      <w:pPr>
        <w:spacing w:before="117" w:line="276" w:lineRule="auto"/>
        <w:jc w:val="both"/>
        <w:rPr>
          <w:rFonts w:ascii="Arial" w:hAnsi="Arial" w:cs="Arial"/>
          <w:sz w:val="20"/>
        </w:rPr>
      </w:pPr>
      <w:r w:rsidRPr="00154B96">
        <w:rPr>
          <w:rFonts w:ascii="Arial" w:hAnsi="Arial" w:cs="Arial"/>
          <w:sz w:val="20"/>
        </w:rPr>
        <w:t>Except for the skill test for the commercial operation rating as specified in point BFCL.215, an applicant for a skill test shall be recommended for the test by the ATO or the DTO that is responsible for the training undertaken by the applicants, once the training is completed. The training records shall be made available to the examiner by the ATO or DTO.</w:t>
      </w:r>
    </w:p>
    <w:p w14:paraId="14CB7315" w14:textId="77777777" w:rsidR="00154B96" w:rsidRPr="00154B96" w:rsidRDefault="00154B96" w:rsidP="009601C2">
      <w:pPr>
        <w:keepNext/>
        <w:keepLines/>
        <w:widowControl/>
        <w:shd w:val="clear" w:color="auto" w:fill="2F5496"/>
        <w:autoSpaceDE/>
        <w:autoSpaceDN/>
        <w:spacing w:before="280" w:after="240" w:line="276" w:lineRule="auto"/>
        <w:outlineLvl w:val="3"/>
        <w:rPr>
          <w:rFonts w:ascii="Arial" w:eastAsia="Times New Roman" w:hAnsi="Arial" w:cs="Times New Roman"/>
          <w:b/>
          <w:iCs/>
          <w:color w:val="FFFFFF"/>
          <w:sz w:val="24"/>
        </w:rPr>
      </w:pPr>
      <w:bookmarkStart w:id="573" w:name="BFCL.035__Crediting_of_flight_time"/>
      <w:bookmarkStart w:id="574" w:name="_bookmark231"/>
      <w:bookmarkStart w:id="575" w:name="_Toc153137396"/>
      <w:bookmarkEnd w:id="573"/>
      <w:bookmarkEnd w:id="574"/>
      <w:r w:rsidRPr="00154B96">
        <w:rPr>
          <w:rFonts w:ascii="Arial" w:eastAsia="Times New Roman" w:hAnsi="Arial" w:cs="Times New Roman"/>
          <w:b/>
          <w:iCs/>
          <w:color w:val="FFFFFF"/>
          <w:sz w:val="24"/>
        </w:rPr>
        <w:t>BFCL.035 Crediting of flight time</w:t>
      </w:r>
      <w:bookmarkEnd w:id="575"/>
    </w:p>
    <w:p w14:paraId="5C0AB708" w14:textId="77777777" w:rsidR="00154B96" w:rsidRPr="00154B96" w:rsidRDefault="00154B96" w:rsidP="009601C2">
      <w:pPr>
        <w:spacing w:before="117" w:line="276" w:lineRule="auto"/>
        <w:jc w:val="both"/>
        <w:rPr>
          <w:rFonts w:ascii="Arial" w:hAnsi="Arial" w:cs="Arial"/>
          <w:sz w:val="20"/>
        </w:rPr>
      </w:pPr>
      <w:r w:rsidRPr="00154B96">
        <w:rPr>
          <w:rFonts w:ascii="Arial" w:hAnsi="Arial" w:cs="Arial"/>
          <w:sz w:val="20"/>
        </w:rPr>
        <w:t>Applicants for a BPL or an associated privilege, rating or certificate shall be fully credited with all solo, dual instruction or PIC flight time on balloons towards the requirement of a total flight time for the licence, privilege, rating or certificate.</w:t>
      </w:r>
    </w:p>
    <w:p w14:paraId="221C95E9" w14:textId="77777777" w:rsidR="00154B96" w:rsidRPr="00154B96" w:rsidRDefault="00154B96" w:rsidP="009601C2">
      <w:pPr>
        <w:keepNext/>
        <w:keepLines/>
        <w:widowControl/>
        <w:shd w:val="clear" w:color="auto" w:fill="2F5496"/>
        <w:autoSpaceDE/>
        <w:autoSpaceDN/>
        <w:spacing w:before="280" w:after="240" w:line="276" w:lineRule="auto"/>
        <w:outlineLvl w:val="3"/>
        <w:rPr>
          <w:rFonts w:ascii="Arial" w:eastAsia="Times New Roman" w:hAnsi="Arial" w:cs="Times New Roman"/>
          <w:b/>
          <w:iCs/>
          <w:color w:val="FFFFFF"/>
          <w:sz w:val="24"/>
        </w:rPr>
      </w:pPr>
      <w:bookmarkStart w:id="576" w:name="BFCL.045__Obligation_to_carry_and_presen"/>
      <w:bookmarkStart w:id="577" w:name="_bookmark232"/>
      <w:bookmarkStart w:id="578" w:name="_Toc153137397"/>
      <w:bookmarkEnd w:id="576"/>
      <w:bookmarkEnd w:id="577"/>
      <w:r w:rsidRPr="00154B96">
        <w:rPr>
          <w:rFonts w:ascii="Arial" w:eastAsia="Times New Roman" w:hAnsi="Arial" w:cs="Times New Roman"/>
          <w:b/>
          <w:iCs/>
          <w:color w:val="FFFFFF"/>
          <w:sz w:val="24"/>
        </w:rPr>
        <w:t>BFCL.045 Obligation to carry and present documents</w:t>
      </w:r>
      <w:bookmarkEnd w:id="578"/>
    </w:p>
    <w:p w14:paraId="3DAFC39E" w14:textId="77777777" w:rsidR="00154B96" w:rsidRPr="00154B96" w:rsidRDefault="00154B96" w:rsidP="00AD2F17">
      <w:pPr>
        <w:numPr>
          <w:ilvl w:val="0"/>
          <w:numId w:val="129"/>
        </w:numPr>
        <w:spacing w:before="117" w:line="276" w:lineRule="auto"/>
        <w:jc w:val="both"/>
        <w:rPr>
          <w:rFonts w:ascii="Arial" w:hAnsi="Arial" w:cs="Arial"/>
          <w:sz w:val="20"/>
        </w:rPr>
      </w:pPr>
      <w:r w:rsidRPr="00154B96">
        <w:rPr>
          <w:rFonts w:ascii="Arial" w:hAnsi="Arial" w:cs="Arial"/>
          <w:sz w:val="20"/>
        </w:rPr>
        <w:t>When exercising the privileges of BPL licence, BPL holders shall carry all of the following:</w:t>
      </w:r>
    </w:p>
    <w:p w14:paraId="1AF0522D" w14:textId="77777777" w:rsidR="00154B96" w:rsidRPr="00154B96" w:rsidRDefault="00154B96" w:rsidP="00AD2F17">
      <w:pPr>
        <w:numPr>
          <w:ilvl w:val="1"/>
          <w:numId w:val="129"/>
        </w:numPr>
        <w:spacing w:before="117" w:line="276" w:lineRule="auto"/>
        <w:jc w:val="both"/>
        <w:rPr>
          <w:rFonts w:ascii="Arial" w:hAnsi="Arial" w:cs="Arial"/>
          <w:sz w:val="20"/>
        </w:rPr>
      </w:pPr>
      <w:r w:rsidRPr="00154B96">
        <w:rPr>
          <w:rFonts w:ascii="Arial" w:hAnsi="Arial" w:cs="Arial"/>
          <w:sz w:val="20"/>
        </w:rPr>
        <w:t>a valid BPL;</w:t>
      </w:r>
    </w:p>
    <w:p w14:paraId="108D50A8" w14:textId="77777777" w:rsidR="00154B96" w:rsidRPr="00154B96" w:rsidRDefault="00154B96" w:rsidP="00AD2F17">
      <w:pPr>
        <w:numPr>
          <w:ilvl w:val="1"/>
          <w:numId w:val="129"/>
        </w:numPr>
        <w:spacing w:before="117" w:line="276" w:lineRule="auto"/>
        <w:jc w:val="both"/>
        <w:rPr>
          <w:rFonts w:ascii="Arial" w:hAnsi="Arial" w:cs="Arial"/>
          <w:sz w:val="20"/>
        </w:rPr>
      </w:pPr>
      <w:r w:rsidRPr="00154B96">
        <w:rPr>
          <w:rFonts w:ascii="Arial" w:hAnsi="Arial" w:cs="Arial"/>
          <w:sz w:val="20"/>
        </w:rPr>
        <w:t>a valid medical certificate;</w:t>
      </w:r>
    </w:p>
    <w:p w14:paraId="185BFB60" w14:textId="77777777" w:rsidR="00154B96" w:rsidRPr="00154B96" w:rsidRDefault="00154B96" w:rsidP="00AD2F17">
      <w:pPr>
        <w:numPr>
          <w:ilvl w:val="1"/>
          <w:numId w:val="129"/>
        </w:numPr>
        <w:spacing w:before="117" w:line="276" w:lineRule="auto"/>
        <w:jc w:val="both"/>
        <w:rPr>
          <w:rFonts w:ascii="Arial" w:hAnsi="Arial" w:cs="Arial"/>
          <w:sz w:val="20"/>
        </w:rPr>
      </w:pPr>
      <w:r w:rsidRPr="00154B96">
        <w:rPr>
          <w:rFonts w:ascii="Arial" w:hAnsi="Arial" w:cs="Arial"/>
          <w:sz w:val="20"/>
        </w:rPr>
        <w:t>a personal identification document containing his or her photo;</w:t>
      </w:r>
    </w:p>
    <w:p w14:paraId="1BC74A26" w14:textId="77777777" w:rsidR="00154B96" w:rsidRPr="00154B96" w:rsidRDefault="00154B96" w:rsidP="00AD2F17">
      <w:pPr>
        <w:numPr>
          <w:ilvl w:val="1"/>
          <w:numId w:val="129"/>
        </w:numPr>
        <w:spacing w:before="117" w:line="276" w:lineRule="auto"/>
        <w:jc w:val="both"/>
        <w:rPr>
          <w:rFonts w:ascii="Arial" w:hAnsi="Arial" w:cs="Arial"/>
          <w:sz w:val="20"/>
        </w:rPr>
      </w:pPr>
      <w:r w:rsidRPr="00154B96">
        <w:rPr>
          <w:rFonts w:ascii="Arial" w:hAnsi="Arial" w:cs="Arial"/>
          <w:sz w:val="20"/>
        </w:rPr>
        <w:lastRenderedPageBreak/>
        <w:t>sufficient logbook data to demonstrate compliance with the requirements of this Annex.</w:t>
      </w:r>
    </w:p>
    <w:p w14:paraId="47745717" w14:textId="77777777" w:rsidR="00154B96" w:rsidRPr="00154B96" w:rsidRDefault="00154B96" w:rsidP="00AD2F17">
      <w:pPr>
        <w:numPr>
          <w:ilvl w:val="0"/>
          <w:numId w:val="129"/>
        </w:numPr>
        <w:spacing w:before="117" w:line="276" w:lineRule="auto"/>
        <w:jc w:val="both"/>
        <w:rPr>
          <w:rFonts w:ascii="Arial" w:hAnsi="Arial" w:cs="Arial"/>
          <w:sz w:val="20"/>
        </w:rPr>
      </w:pPr>
      <w:r w:rsidRPr="00154B96">
        <w:rPr>
          <w:rFonts w:ascii="Arial" w:hAnsi="Arial" w:cs="Arial"/>
          <w:sz w:val="20"/>
        </w:rPr>
        <w:t>Student pilots shall carry on all solo flights:</w:t>
      </w:r>
    </w:p>
    <w:p w14:paraId="553DEB8A" w14:textId="77777777" w:rsidR="00154B96" w:rsidRPr="00154B96" w:rsidRDefault="00154B96" w:rsidP="00AD2F17">
      <w:pPr>
        <w:numPr>
          <w:ilvl w:val="1"/>
          <w:numId w:val="129"/>
        </w:numPr>
        <w:spacing w:before="117" w:line="276" w:lineRule="auto"/>
        <w:jc w:val="both"/>
        <w:rPr>
          <w:rFonts w:ascii="Arial" w:hAnsi="Arial" w:cs="Arial"/>
          <w:sz w:val="20"/>
        </w:rPr>
      </w:pPr>
      <w:r w:rsidRPr="00154B96">
        <w:rPr>
          <w:rFonts w:ascii="Arial" w:hAnsi="Arial" w:cs="Arial"/>
          <w:sz w:val="20"/>
        </w:rPr>
        <w:t>the documents as specified in paragraphs (a)(2) and (a)(3); and</w:t>
      </w:r>
    </w:p>
    <w:p w14:paraId="4381F356" w14:textId="77777777" w:rsidR="00154B96" w:rsidRPr="00154B96" w:rsidRDefault="00154B96" w:rsidP="00AD2F17">
      <w:pPr>
        <w:numPr>
          <w:ilvl w:val="1"/>
          <w:numId w:val="129"/>
        </w:numPr>
        <w:spacing w:before="117" w:line="276" w:lineRule="auto"/>
        <w:jc w:val="both"/>
        <w:rPr>
          <w:rFonts w:ascii="Arial" w:hAnsi="Arial" w:cs="Arial"/>
          <w:sz w:val="20"/>
        </w:rPr>
      </w:pPr>
      <w:r w:rsidRPr="00154B96">
        <w:rPr>
          <w:rFonts w:ascii="Arial" w:hAnsi="Arial" w:cs="Arial"/>
          <w:sz w:val="20"/>
        </w:rPr>
        <w:t>evidence of the authorisation required by point BFCL.125(a).</w:t>
      </w:r>
    </w:p>
    <w:p w14:paraId="0281FB57" w14:textId="63EBCAFA" w:rsidR="00154B96" w:rsidRPr="00CA2894" w:rsidRDefault="00154B96" w:rsidP="009601C2">
      <w:pPr>
        <w:numPr>
          <w:ilvl w:val="0"/>
          <w:numId w:val="129"/>
        </w:numPr>
        <w:spacing w:before="117" w:line="276" w:lineRule="auto"/>
        <w:jc w:val="both"/>
        <w:rPr>
          <w:rFonts w:ascii="Arial" w:hAnsi="Arial" w:cs="Arial"/>
          <w:sz w:val="20"/>
        </w:rPr>
      </w:pPr>
      <w:r w:rsidRPr="00154B96">
        <w:rPr>
          <w:rFonts w:ascii="Arial" w:hAnsi="Arial" w:cs="Arial"/>
          <w:sz w:val="20"/>
        </w:rPr>
        <w:t xml:space="preserve">BPL holders or student pilots shall without undue delay present the documents as specified in paragraph (a) or (b) for inspection upon request by an authorised representative of the </w:t>
      </w:r>
      <w:r w:rsidR="00A804D2">
        <w:rPr>
          <w:rFonts w:ascii="Arial" w:hAnsi="Arial" w:cs="Arial"/>
          <w:sz w:val="20"/>
          <w:szCs w:val="20"/>
        </w:rPr>
        <w:t>CAC RA</w:t>
      </w:r>
      <w:r w:rsidRPr="00154B96">
        <w:rPr>
          <w:rFonts w:ascii="Arial" w:hAnsi="Arial" w:cs="Arial"/>
          <w:sz w:val="20"/>
        </w:rPr>
        <w:t>.</w:t>
      </w:r>
    </w:p>
    <w:p w14:paraId="4F93F812" w14:textId="77777777" w:rsidR="00154B96" w:rsidRPr="00154B96" w:rsidRDefault="00154B96" w:rsidP="009601C2">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579" w:name="AMC1_BFCL.045(a)(4)__Obligation_to_carry"/>
      <w:bookmarkStart w:id="580" w:name="_bookmark233"/>
      <w:bookmarkStart w:id="581" w:name="_Toc153137398"/>
      <w:bookmarkEnd w:id="579"/>
      <w:bookmarkEnd w:id="580"/>
      <w:r w:rsidRPr="00154B96">
        <w:rPr>
          <w:rFonts w:ascii="Arial" w:eastAsia="Times New Roman" w:hAnsi="Arial" w:cs="Times New Roman"/>
          <w:b/>
          <w:color w:val="FFFFFF"/>
          <w:sz w:val="24"/>
        </w:rPr>
        <w:t>AMC1 BFCL.045(a)(4) Obligation to carry and present documents</w:t>
      </w:r>
      <w:bookmarkEnd w:id="581"/>
    </w:p>
    <w:p w14:paraId="7AA09E9C" w14:textId="77777777" w:rsidR="00154B96" w:rsidRPr="00154B96" w:rsidRDefault="00154B96" w:rsidP="009601C2">
      <w:pPr>
        <w:spacing w:before="1" w:line="276" w:lineRule="auto"/>
        <w:rPr>
          <w:rFonts w:ascii="Arial" w:hAnsi="Arial" w:cs="Arial"/>
          <w:b/>
          <w:sz w:val="20"/>
        </w:rPr>
      </w:pPr>
      <w:r w:rsidRPr="00154B96">
        <w:rPr>
          <w:rFonts w:ascii="Arial" w:hAnsi="Arial" w:cs="Arial"/>
          <w:b/>
          <w:sz w:val="20"/>
        </w:rPr>
        <w:t>SUFFICIENT LOGBOOK DATA</w:t>
      </w:r>
    </w:p>
    <w:p w14:paraId="7EF1AFDE" w14:textId="77777777" w:rsidR="00154B96" w:rsidRPr="00154B96" w:rsidRDefault="00154B96" w:rsidP="009601C2">
      <w:pPr>
        <w:spacing w:before="117" w:line="276" w:lineRule="auto"/>
        <w:jc w:val="both"/>
        <w:rPr>
          <w:rFonts w:ascii="Arial" w:hAnsi="Arial" w:cs="Arial"/>
          <w:sz w:val="20"/>
        </w:rPr>
      </w:pPr>
      <w:r w:rsidRPr="00154B96">
        <w:rPr>
          <w:rFonts w:ascii="Arial" w:hAnsi="Arial" w:cs="Arial"/>
          <w:sz w:val="20"/>
        </w:rPr>
        <w:t>In order to be able to demonstrate compliance with the requirements of Part-BFCL, a BPL holder should carry either the full logbook or at least excerpts or copies of those parts of the logbook (in paper or electronic format) in which compliance with the requirements that are related to the exercised privileges is documented.</w:t>
      </w:r>
    </w:p>
    <w:p w14:paraId="18F4D8C1" w14:textId="77777777" w:rsidR="00154B96" w:rsidRPr="00154B96" w:rsidRDefault="00154B96" w:rsidP="009601C2">
      <w:pPr>
        <w:keepNext/>
        <w:keepLines/>
        <w:widowControl/>
        <w:shd w:val="clear" w:color="auto" w:fill="2F5496"/>
        <w:autoSpaceDE/>
        <w:autoSpaceDN/>
        <w:spacing w:before="280" w:after="240" w:line="276" w:lineRule="auto"/>
        <w:outlineLvl w:val="3"/>
        <w:rPr>
          <w:rFonts w:ascii="Arial" w:eastAsia="Times New Roman" w:hAnsi="Arial" w:cs="Times New Roman"/>
          <w:b/>
          <w:iCs/>
          <w:color w:val="FFFFFF"/>
          <w:sz w:val="24"/>
        </w:rPr>
      </w:pPr>
      <w:bookmarkStart w:id="582" w:name="BFCL.050__Recording_of_flight_time"/>
      <w:bookmarkStart w:id="583" w:name="_bookmark234"/>
      <w:bookmarkStart w:id="584" w:name="_Toc153137399"/>
      <w:bookmarkEnd w:id="582"/>
      <w:bookmarkEnd w:id="583"/>
      <w:r w:rsidRPr="00154B96">
        <w:rPr>
          <w:rFonts w:ascii="Arial" w:eastAsia="Times New Roman" w:hAnsi="Arial" w:cs="Times New Roman"/>
          <w:b/>
          <w:iCs/>
          <w:color w:val="FFFFFF"/>
          <w:sz w:val="24"/>
        </w:rPr>
        <w:t>BFCL.050 Recording of flight time</w:t>
      </w:r>
      <w:bookmarkEnd w:id="584"/>
    </w:p>
    <w:p w14:paraId="042C1665" w14:textId="643BCBAF" w:rsidR="00154B96" w:rsidRPr="00154B96" w:rsidRDefault="00154B96" w:rsidP="009601C2">
      <w:pPr>
        <w:spacing w:before="117" w:line="276" w:lineRule="auto"/>
        <w:jc w:val="both"/>
        <w:rPr>
          <w:rFonts w:ascii="Arial" w:hAnsi="Arial" w:cs="Arial"/>
          <w:sz w:val="20"/>
        </w:rPr>
      </w:pPr>
      <w:r w:rsidRPr="00154B96">
        <w:rPr>
          <w:rFonts w:ascii="Arial" w:hAnsi="Arial" w:cs="Arial"/>
          <w:sz w:val="20"/>
        </w:rPr>
        <w:t xml:space="preserve">BPL holders and student pilots shall keep a reliable record of the details of all flights flown in a form and manner established by the </w:t>
      </w:r>
      <w:r w:rsidR="00A804D2">
        <w:rPr>
          <w:rFonts w:ascii="Arial" w:hAnsi="Arial" w:cs="Arial"/>
          <w:sz w:val="20"/>
          <w:szCs w:val="20"/>
        </w:rPr>
        <w:t>CAC RA</w:t>
      </w:r>
      <w:r w:rsidRPr="00154B96">
        <w:rPr>
          <w:rFonts w:ascii="Arial" w:hAnsi="Arial" w:cs="Arial"/>
          <w:sz w:val="20"/>
        </w:rPr>
        <w:t>.</w:t>
      </w:r>
    </w:p>
    <w:p w14:paraId="2A63CF99" w14:textId="77777777" w:rsidR="00E41D94" w:rsidRPr="00E41D94" w:rsidRDefault="00E41D94" w:rsidP="009601C2">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585" w:name="AMC1_BFCL.050__Recording_of_flight_time"/>
      <w:bookmarkStart w:id="586" w:name="_bookmark235"/>
      <w:bookmarkStart w:id="587" w:name="_Toc153137400"/>
      <w:bookmarkEnd w:id="585"/>
      <w:bookmarkEnd w:id="586"/>
      <w:r w:rsidRPr="00E41D94">
        <w:rPr>
          <w:rFonts w:ascii="Arial" w:eastAsia="Times New Roman" w:hAnsi="Arial" w:cs="Times New Roman"/>
          <w:b/>
          <w:color w:val="FFFFFF"/>
          <w:sz w:val="24"/>
        </w:rPr>
        <w:t>AMC1 BFCL.050 Recording of flight time</w:t>
      </w:r>
      <w:bookmarkEnd w:id="587"/>
    </w:p>
    <w:p w14:paraId="521FEF2E" w14:textId="77777777" w:rsidR="00E41D94" w:rsidRPr="00E41D94" w:rsidRDefault="00E41D94" w:rsidP="009601C2">
      <w:pPr>
        <w:spacing w:before="117" w:line="276" w:lineRule="auto"/>
        <w:jc w:val="both"/>
        <w:rPr>
          <w:rFonts w:ascii="Arial" w:hAnsi="Arial" w:cs="Arial"/>
          <w:b/>
          <w:sz w:val="20"/>
        </w:rPr>
      </w:pPr>
      <w:r w:rsidRPr="00E41D94">
        <w:rPr>
          <w:rFonts w:ascii="Arial" w:hAnsi="Arial" w:cs="Arial"/>
          <w:b/>
          <w:sz w:val="20"/>
        </w:rPr>
        <w:t>GENERAL</w:t>
      </w:r>
    </w:p>
    <w:p w14:paraId="2E27A64E" w14:textId="77777777" w:rsidR="00E41D94" w:rsidRPr="00E41D94" w:rsidRDefault="00E41D94" w:rsidP="00AD2F17">
      <w:pPr>
        <w:numPr>
          <w:ilvl w:val="0"/>
          <w:numId w:val="130"/>
        </w:numPr>
        <w:spacing w:before="117" w:line="276" w:lineRule="auto"/>
        <w:jc w:val="both"/>
        <w:rPr>
          <w:rFonts w:ascii="Arial" w:hAnsi="Arial" w:cs="Arial"/>
          <w:sz w:val="20"/>
        </w:rPr>
      </w:pPr>
      <w:r w:rsidRPr="00E41D94">
        <w:rPr>
          <w:rFonts w:ascii="Arial" w:hAnsi="Arial" w:cs="Arial"/>
          <w:sz w:val="20"/>
        </w:rPr>
        <w:t>The record of the flights flown should contain at least the following information:</w:t>
      </w:r>
    </w:p>
    <w:p w14:paraId="4223DC12" w14:textId="77777777" w:rsidR="00E41D94" w:rsidRPr="00E41D94" w:rsidRDefault="00E41D94" w:rsidP="00AD2F17">
      <w:pPr>
        <w:numPr>
          <w:ilvl w:val="1"/>
          <w:numId w:val="130"/>
        </w:numPr>
        <w:spacing w:before="117" w:line="276" w:lineRule="auto"/>
        <w:jc w:val="both"/>
        <w:rPr>
          <w:rFonts w:ascii="Arial" w:hAnsi="Arial" w:cs="Arial"/>
          <w:sz w:val="20"/>
        </w:rPr>
      </w:pPr>
      <w:r w:rsidRPr="00E41D94">
        <w:rPr>
          <w:rFonts w:ascii="Arial" w:hAnsi="Arial" w:cs="Arial"/>
          <w:sz w:val="20"/>
        </w:rPr>
        <w:t>personal details: name(s) and address of the pilot; and</w:t>
      </w:r>
    </w:p>
    <w:p w14:paraId="74BE814B" w14:textId="77777777" w:rsidR="00E41D94" w:rsidRPr="00E41D94" w:rsidRDefault="00E41D94" w:rsidP="00AD2F17">
      <w:pPr>
        <w:numPr>
          <w:ilvl w:val="1"/>
          <w:numId w:val="130"/>
        </w:numPr>
        <w:spacing w:before="117" w:line="276" w:lineRule="auto"/>
        <w:jc w:val="both"/>
        <w:rPr>
          <w:rFonts w:ascii="Arial" w:hAnsi="Arial" w:cs="Arial"/>
          <w:sz w:val="20"/>
        </w:rPr>
      </w:pPr>
      <w:r w:rsidRPr="00E41D94">
        <w:rPr>
          <w:rFonts w:ascii="Arial" w:hAnsi="Arial" w:cs="Arial"/>
          <w:sz w:val="20"/>
        </w:rPr>
        <w:t>for each flight:</w:t>
      </w:r>
    </w:p>
    <w:p w14:paraId="4B730385" w14:textId="77777777" w:rsidR="00E41D94" w:rsidRPr="00E41D94" w:rsidRDefault="00E41D94" w:rsidP="00AD2F17">
      <w:pPr>
        <w:numPr>
          <w:ilvl w:val="2"/>
          <w:numId w:val="130"/>
        </w:numPr>
        <w:spacing w:before="117" w:line="276" w:lineRule="auto"/>
        <w:jc w:val="both"/>
        <w:rPr>
          <w:rFonts w:ascii="Arial" w:hAnsi="Arial" w:cs="Arial"/>
          <w:sz w:val="20"/>
        </w:rPr>
      </w:pPr>
      <w:r w:rsidRPr="00E41D94">
        <w:rPr>
          <w:rFonts w:ascii="Arial" w:hAnsi="Arial" w:cs="Arial"/>
          <w:sz w:val="20"/>
        </w:rPr>
        <w:t>name(s) of pilot-in-command (PIC);</w:t>
      </w:r>
    </w:p>
    <w:p w14:paraId="165AE71A" w14:textId="77777777" w:rsidR="00E41D94" w:rsidRPr="00E41D94" w:rsidRDefault="00E41D94" w:rsidP="00AD2F17">
      <w:pPr>
        <w:numPr>
          <w:ilvl w:val="2"/>
          <w:numId w:val="130"/>
        </w:numPr>
        <w:spacing w:before="117" w:line="276" w:lineRule="auto"/>
        <w:jc w:val="both"/>
        <w:rPr>
          <w:rFonts w:ascii="Arial" w:hAnsi="Arial" w:cs="Arial"/>
          <w:sz w:val="20"/>
        </w:rPr>
      </w:pPr>
      <w:r w:rsidRPr="00E41D94">
        <w:rPr>
          <w:rFonts w:ascii="Arial" w:hAnsi="Arial" w:cs="Arial"/>
          <w:sz w:val="20"/>
        </w:rPr>
        <w:t>date of flight;</w:t>
      </w:r>
    </w:p>
    <w:p w14:paraId="3860857F" w14:textId="77777777" w:rsidR="00E41D94" w:rsidRPr="00E41D94" w:rsidRDefault="00E41D94" w:rsidP="00AD2F17">
      <w:pPr>
        <w:numPr>
          <w:ilvl w:val="2"/>
          <w:numId w:val="130"/>
        </w:numPr>
        <w:spacing w:before="117" w:line="276" w:lineRule="auto"/>
        <w:jc w:val="both"/>
        <w:rPr>
          <w:rFonts w:ascii="Arial" w:hAnsi="Arial" w:cs="Arial"/>
          <w:sz w:val="20"/>
        </w:rPr>
      </w:pPr>
      <w:r w:rsidRPr="00E41D94">
        <w:rPr>
          <w:rFonts w:ascii="Arial" w:hAnsi="Arial" w:cs="Arial"/>
          <w:sz w:val="20"/>
        </w:rPr>
        <w:t>place and time of departure and arrival;</w:t>
      </w:r>
    </w:p>
    <w:p w14:paraId="69EE23B0" w14:textId="77777777" w:rsidR="00E41D94" w:rsidRPr="00E41D94" w:rsidRDefault="00E41D94" w:rsidP="00AD2F17">
      <w:pPr>
        <w:numPr>
          <w:ilvl w:val="2"/>
          <w:numId w:val="130"/>
        </w:numPr>
        <w:spacing w:before="117" w:line="276" w:lineRule="auto"/>
        <w:jc w:val="both"/>
        <w:rPr>
          <w:rFonts w:ascii="Arial" w:hAnsi="Arial" w:cs="Arial"/>
          <w:sz w:val="20"/>
        </w:rPr>
      </w:pPr>
      <w:r w:rsidRPr="00E41D94">
        <w:rPr>
          <w:rFonts w:ascii="Arial" w:hAnsi="Arial" w:cs="Arial"/>
          <w:sz w:val="20"/>
        </w:rPr>
        <w:t>type, including make, model, and registration of the balloon;</w:t>
      </w:r>
    </w:p>
    <w:p w14:paraId="6FDC0CDF" w14:textId="77777777" w:rsidR="00E41D94" w:rsidRPr="00E41D94" w:rsidRDefault="00E41D94" w:rsidP="00AD2F17">
      <w:pPr>
        <w:numPr>
          <w:ilvl w:val="2"/>
          <w:numId w:val="130"/>
        </w:numPr>
        <w:spacing w:before="117" w:line="276" w:lineRule="auto"/>
        <w:jc w:val="both"/>
        <w:rPr>
          <w:rFonts w:ascii="Arial" w:hAnsi="Arial" w:cs="Arial"/>
          <w:sz w:val="20"/>
        </w:rPr>
      </w:pPr>
      <w:r w:rsidRPr="00E41D94">
        <w:rPr>
          <w:rFonts w:ascii="Arial" w:hAnsi="Arial" w:cs="Arial"/>
          <w:sz w:val="20"/>
        </w:rPr>
        <w:t>total time of flight;</w:t>
      </w:r>
    </w:p>
    <w:p w14:paraId="67E6C377" w14:textId="77777777" w:rsidR="00E41D94" w:rsidRDefault="00E41D94" w:rsidP="00AD2F17">
      <w:pPr>
        <w:numPr>
          <w:ilvl w:val="2"/>
          <w:numId w:val="130"/>
        </w:numPr>
        <w:spacing w:before="117" w:line="276" w:lineRule="auto"/>
        <w:jc w:val="both"/>
        <w:rPr>
          <w:rFonts w:ascii="Arial" w:hAnsi="Arial" w:cs="Arial"/>
          <w:sz w:val="20"/>
        </w:rPr>
      </w:pPr>
      <w:r w:rsidRPr="00E41D94">
        <w:rPr>
          <w:rFonts w:ascii="Arial" w:hAnsi="Arial" w:cs="Arial"/>
          <w:sz w:val="20"/>
        </w:rPr>
        <w:t>accumulated total time of flight;</w:t>
      </w:r>
    </w:p>
    <w:p w14:paraId="1AE5A132" w14:textId="77777777" w:rsidR="00E41D94" w:rsidRDefault="00E41D94" w:rsidP="00AD2F17">
      <w:pPr>
        <w:numPr>
          <w:ilvl w:val="2"/>
          <w:numId w:val="130"/>
        </w:numPr>
        <w:spacing w:before="117" w:line="276" w:lineRule="auto"/>
        <w:jc w:val="both"/>
        <w:rPr>
          <w:rFonts w:ascii="Arial" w:hAnsi="Arial" w:cs="Arial"/>
          <w:sz w:val="20"/>
        </w:rPr>
      </w:pPr>
      <w:r w:rsidRPr="00E41D94">
        <w:rPr>
          <w:rFonts w:ascii="Arial" w:hAnsi="Arial" w:cs="Arial"/>
          <w:sz w:val="20"/>
        </w:rPr>
        <w:t>details on pilot function, namely PIC, including solo, dual, FI(B) or flight examiner (balloon) FE(B); and</w:t>
      </w:r>
    </w:p>
    <w:p w14:paraId="7665C364" w14:textId="77777777" w:rsidR="00E41D94" w:rsidRPr="00E41D94" w:rsidRDefault="00E41D94" w:rsidP="00AD2F17">
      <w:pPr>
        <w:numPr>
          <w:ilvl w:val="2"/>
          <w:numId w:val="130"/>
        </w:numPr>
        <w:spacing w:before="117" w:line="276" w:lineRule="auto"/>
        <w:jc w:val="both"/>
        <w:rPr>
          <w:rFonts w:ascii="Arial" w:hAnsi="Arial" w:cs="Arial"/>
          <w:sz w:val="20"/>
        </w:rPr>
      </w:pPr>
      <w:r w:rsidRPr="00E41D94">
        <w:rPr>
          <w:rFonts w:ascii="Arial" w:hAnsi="Arial" w:cs="Arial"/>
          <w:sz w:val="20"/>
        </w:rPr>
        <w:t>operational conditions, namely if the operation takes place at day or night and whether it is a free flight or tethered flight.</w:t>
      </w:r>
    </w:p>
    <w:p w14:paraId="3905D76D" w14:textId="77777777" w:rsidR="00E41D94" w:rsidRPr="00E41D94" w:rsidRDefault="00E41D94" w:rsidP="00AD2F17">
      <w:pPr>
        <w:numPr>
          <w:ilvl w:val="0"/>
          <w:numId w:val="130"/>
        </w:numPr>
        <w:spacing w:before="117" w:line="276" w:lineRule="auto"/>
        <w:jc w:val="both"/>
        <w:rPr>
          <w:rFonts w:ascii="Arial" w:hAnsi="Arial" w:cs="Arial"/>
          <w:sz w:val="20"/>
        </w:rPr>
      </w:pPr>
      <w:r w:rsidRPr="00E41D94">
        <w:rPr>
          <w:rFonts w:ascii="Arial" w:hAnsi="Arial" w:cs="Arial"/>
          <w:sz w:val="20"/>
        </w:rPr>
        <w:t>Logging of time</w:t>
      </w:r>
    </w:p>
    <w:p w14:paraId="3026536E" w14:textId="77777777" w:rsidR="00E41D94" w:rsidRPr="00E41D94" w:rsidRDefault="00E41D94" w:rsidP="00AD2F17">
      <w:pPr>
        <w:numPr>
          <w:ilvl w:val="1"/>
          <w:numId w:val="130"/>
        </w:numPr>
        <w:spacing w:before="117" w:line="276" w:lineRule="auto"/>
        <w:jc w:val="both"/>
        <w:rPr>
          <w:rFonts w:ascii="Arial" w:hAnsi="Arial" w:cs="Arial"/>
          <w:sz w:val="20"/>
        </w:rPr>
      </w:pPr>
      <w:r w:rsidRPr="00E41D94">
        <w:rPr>
          <w:rFonts w:ascii="Arial" w:hAnsi="Arial" w:cs="Arial"/>
          <w:sz w:val="20"/>
        </w:rPr>
        <w:t>PIC flight time</w:t>
      </w:r>
    </w:p>
    <w:p w14:paraId="495B6CD7" w14:textId="77777777" w:rsidR="00E41D94" w:rsidRPr="00E41D94" w:rsidRDefault="00E41D94" w:rsidP="00AD2F17">
      <w:pPr>
        <w:numPr>
          <w:ilvl w:val="2"/>
          <w:numId w:val="130"/>
        </w:numPr>
        <w:spacing w:before="117" w:line="276" w:lineRule="auto"/>
        <w:jc w:val="both"/>
        <w:rPr>
          <w:rFonts w:ascii="Arial" w:hAnsi="Arial" w:cs="Arial"/>
          <w:sz w:val="20"/>
        </w:rPr>
      </w:pPr>
      <w:r w:rsidRPr="00E41D94">
        <w:rPr>
          <w:rFonts w:ascii="Arial" w:hAnsi="Arial" w:cs="Arial"/>
          <w:sz w:val="20"/>
        </w:rPr>
        <w:t>Holders of a licence may log as PIC time all of the flight time during which they are the PIC.</w:t>
      </w:r>
    </w:p>
    <w:p w14:paraId="536B51B1" w14:textId="77777777" w:rsidR="00E41D94" w:rsidRPr="00E41D94" w:rsidRDefault="00E41D94" w:rsidP="00AD2F17">
      <w:pPr>
        <w:numPr>
          <w:ilvl w:val="2"/>
          <w:numId w:val="130"/>
        </w:numPr>
        <w:spacing w:before="117" w:line="276" w:lineRule="auto"/>
        <w:jc w:val="both"/>
        <w:rPr>
          <w:rFonts w:ascii="Arial" w:hAnsi="Arial" w:cs="Arial"/>
          <w:sz w:val="20"/>
        </w:rPr>
      </w:pPr>
      <w:r w:rsidRPr="00E41D94">
        <w:rPr>
          <w:rFonts w:ascii="Arial" w:hAnsi="Arial" w:cs="Arial"/>
          <w:sz w:val="20"/>
        </w:rPr>
        <w:t>Applicants for or holders of a BPL may log as PIC time all supervised solo flight time as well as flight time of successfully completed skill tests and proficiency checks, provided that, in the case of supervised solo flight time, the logbook entry is signed by the supervising instructor.</w:t>
      </w:r>
    </w:p>
    <w:p w14:paraId="5729C81E" w14:textId="77777777" w:rsidR="00E41D94" w:rsidRPr="00E41D94" w:rsidRDefault="00E41D94" w:rsidP="00AD2F17">
      <w:pPr>
        <w:numPr>
          <w:ilvl w:val="2"/>
          <w:numId w:val="130"/>
        </w:numPr>
        <w:spacing w:before="117" w:line="276" w:lineRule="auto"/>
        <w:jc w:val="both"/>
        <w:rPr>
          <w:rFonts w:ascii="Arial" w:hAnsi="Arial" w:cs="Arial"/>
          <w:sz w:val="20"/>
        </w:rPr>
      </w:pPr>
      <w:r w:rsidRPr="00E41D94">
        <w:rPr>
          <w:rFonts w:ascii="Arial" w:hAnsi="Arial" w:cs="Arial"/>
          <w:sz w:val="20"/>
        </w:rPr>
        <w:t>Holders of an FI(B) certificate may log as PIC all flight time during which they act as an instructor in a balloon.</w:t>
      </w:r>
    </w:p>
    <w:p w14:paraId="78EF1869" w14:textId="77777777" w:rsidR="00E41D94" w:rsidRPr="00E41D94" w:rsidRDefault="00E41D94" w:rsidP="00AD2F17">
      <w:pPr>
        <w:numPr>
          <w:ilvl w:val="2"/>
          <w:numId w:val="130"/>
        </w:numPr>
        <w:spacing w:before="117" w:line="276" w:lineRule="auto"/>
        <w:jc w:val="both"/>
        <w:rPr>
          <w:rFonts w:ascii="Arial" w:hAnsi="Arial" w:cs="Arial"/>
          <w:sz w:val="20"/>
        </w:rPr>
      </w:pPr>
      <w:r w:rsidRPr="00E41D94">
        <w:rPr>
          <w:rFonts w:ascii="Arial" w:hAnsi="Arial" w:cs="Arial"/>
          <w:sz w:val="20"/>
        </w:rPr>
        <w:t xml:space="preserve">Holders of an FE(B) certificate may log as PIC all flight time during which they acts </w:t>
      </w:r>
      <w:r w:rsidRPr="00E41D94">
        <w:rPr>
          <w:rFonts w:ascii="Arial" w:hAnsi="Arial" w:cs="Arial"/>
          <w:sz w:val="20"/>
        </w:rPr>
        <w:lastRenderedPageBreak/>
        <w:t>as an examiner in a balloon.</w:t>
      </w:r>
    </w:p>
    <w:p w14:paraId="07887B78" w14:textId="77777777" w:rsidR="00E41D94" w:rsidRDefault="00E41D94" w:rsidP="00AD2F17">
      <w:pPr>
        <w:numPr>
          <w:ilvl w:val="1"/>
          <w:numId w:val="130"/>
        </w:numPr>
        <w:spacing w:before="117" w:line="276" w:lineRule="auto"/>
        <w:jc w:val="both"/>
        <w:rPr>
          <w:rFonts w:ascii="Arial" w:hAnsi="Arial" w:cs="Arial"/>
          <w:sz w:val="20"/>
        </w:rPr>
      </w:pPr>
      <w:r w:rsidRPr="00E41D94">
        <w:rPr>
          <w:rFonts w:ascii="Arial" w:hAnsi="Arial" w:cs="Arial"/>
          <w:sz w:val="20"/>
        </w:rPr>
        <w:t>Instruction time</w:t>
      </w:r>
    </w:p>
    <w:p w14:paraId="19F55FDF" w14:textId="77777777" w:rsidR="00E41D94" w:rsidRPr="00E41D94" w:rsidRDefault="00E41D94" w:rsidP="009601C2">
      <w:pPr>
        <w:spacing w:before="117" w:line="276" w:lineRule="auto"/>
        <w:ind w:left="1273"/>
        <w:jc w:val="both"/>
        <w:rPr>
          <w:rFonts w:ascii="Arial" w:hAnsi="Arial" w:cs="Arial"/>
          <w:sz w:val="20"/>
        </w:rPr>
      </w:pPr>
      <w:r w:rsidRPr="00E41D94">
        <w:rPr>
          <w:rFonts w:ascii="Arial" w:hAnsi="Arial" w:cs="Arial"/>
          <w:sz w:val="20"/>
        </w:rPr>
        <w:t>A summary of all time logged by an applicant for a licence or rating as flight instruction may be logged if certified by the appropriately rated or authorised instructor from whom it was received.</w:t>
      </w:r>
    </w:p>
    <w:p w14:paraId="756BA71B" w14:textId="77777777" w:rsidR="00E41D94" w:rsidRDefault="00E41D94" w:rsidP="00AD2F17">
      <w:pPr>
        <w:numPr>
          <w:ilvl w:val="0"/>
          <w:numId w:val="130"/>
        </w:numPr>
        <w:spacing w:before="117" w:line="276" w:lineRule="auto"/>
        <w:jc w:val="both"/>
        <w:rPr>
          <w:rFonts w:ascii="Arial" w:hAnsi="Arial" w:cs="Arial"/>
          <w:sz w:val="20"/>
        </w:rPr>
      </w:pPr>
      <w:r w:rsidRPr="00E41D94">
        <w:rPr>
          <w:rFonts w:ascii="Arial" w:hAnsi="Arial" w:cs="Arial"/>
          <w:sz w:val="20"/>
        </w:rPr>
        <w:t>Format of the record</w:t>
      </w:r>
    </w:p>
    <w:p w14:paraId="3DF6A062" w14:textId="77777777" w:rsidR="00E41D94" w:rsidRPr="00E41D94" w:rsidRDefault="00E41D94" w:rsidP="009601C2">
      <w:pPr>
        <w:spacing w:before="117" w:line="276" w:lineRule="auto"/>
        <w:ind w:left="706"/>
        <w:jc w:val="both"/>
        <w:rPr>
          <w:rFonts w:ascii="Arial" w:hAnsi="Arial" w:cs="Arial"/>
          <w:sz w:val="20"/>
        </w:rPr>
      </w:pPr>
      <w:r w:rsidRPr="00E41D94">
        <w:rPr>
          <w:rFonts w:ascii="Arial" w:hAnsi="Arial" w:cs="Arial"/>
          <w:sz w:val="20"/>
        </w:rPr>
        <w:t>A suitable format should be used that contains the relevant items mentioned in (a) and additional information specific to the type of operation.</w:t>
      </w:r>
    </w:p>
    <w:p w14:paraId="3973A6E5" w14:textId="77777777" w:rsidR="008002D2" w:rsidRPr="008002D2" w:rsidRDefault="008002D2"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588" w:name="BFCL.065__Curtailment_of_privileges_of_B"/>
      <w:bookmarkStart w:id="589" w:name="_bookmark236"/>
      <w:bookmarkStart w:id="590" w:name="_Toc153137401"/>
      <w:bookmarkEnd w:id="588"/>
      <w:bookmarkEnd w:id="589"/>
      <w:r w:rsidRPr="008002D2">
        <w:rPr>
          <w:rFonts w:ascii="Arial" w:eastAsia="Times New Roman" w:hAnsi="Arial" w:cs="Times New Roman"/>
          <w:b/>
          <w:iCs/>
          <w:color w:val="FFFFFF"/>
          <w:sz w:val="24"/>
        </w:rPr>
        <w:t>BFCL.065 Curtailment of privileges of BPL holders aged 70 years or older in commercial passenger ballooning</w:t>
      </w:r>
      <w:bookmarkEnd w:id="590"/>
    </w:p>
    <w:p w14:paraId="24D66A1F" w14:textId="77777777" w:rsidR="008002D2" w:rsidRPr="008002D2" w:rsidRDefault="008002D2" w:rsidP="009601C2">
      <w:pPr>
        <w:spacing w:before="117" w:line="276" w:lineRule="auto"/>
        <w:jc w:val="both"/>
        <w:rPr>
          <w:rFonts w:ascii="Arial" w:hAnsi="Arial" w:cs="Arial"/>
          <w:sz w:val="20"/>
        </w:rPr>
      </w:pPr>
      <w:r w:rsidRPr="008002D2">
        <w:rPr>
          <w:rFonts w:ascii="Arial" w:hAnsi="Arial" w:cs="Arial"/>
          <w:sz w:val="20"/>
        </w:rPr>
        <w:t>BPL holders who have attained the age of 70 years shall not act as pilots of a balloon engaged in commercial passenger balloon operations.</w:t>
      </w:r>
    </w:p>
    <w:p w14:paraId="50B1F350" w14:textId="77777777" w:rsidR="00BC0366" w:rsidRPr="00BC0366" w:rsidRDefault="00BC0366" w:rsidP="009601C2">
      <w:pPr>
        <w:keepNext/>
        <w:keepLines/>
        <w:widowControl/>
        <w:shd w:val="clear" w:color="auto" w:fill="339966"/>
        <w:autoSpaceDE/>
        <w:autoSpaceDN/>
        <w:spacing w:before="160" w:after="120" w:line="276" w:lineRule="auto"/>
        <w:jc w:val="both"/>
        <w:outlineLvl w:val="4"/>
        <w:rPr>
          <w:rFonts w:ascii="Arial" w:eastAsia="Times New Roman" w:hAnsi="Arial" w:cs="Times New Roman"/>
          <w:b/>
          <w:color w:val="FFFFFF"/>
          <w:sz w:val="24"/>
        </w:rPr>
      </w:pPr>
      <w:bookmarkStart w:id="591" w:name="GM1_BFCL.065__Curtailment_of_privileges_"/>
      <w:bookmarkStart w:id="592" w:name="_bookmark237"/>
      <w:bookmarkStart w:id="593" w:name="_Toc153137402"/>
      <w:bookmarkEnd w:id="591"/>
      <w:bookmarkEnd w:id="592"/>
      <w:r w:rsidRPr="00BC0366">
        <w:rPr>
          <w:rFonts w:ascii="Arial" w:eastAsia="Times New Roman" w:hAnsi="Arial" w:cs="Times New Roman"/>
          <w:b/>
          <w:color w:val="FFFFFF"/>
          <w:sz w:val="24"/>
        </w:rPr>
        <w:t>GM1 BFCL.065 Curtailment of privileges of BPL holders aged 70 years or older in commercial passenger ballooning</w:t>
      </w:r>
      <w:bookmarkEnd w:id="593"/>
    </w:p>
    <w:p w14:paraId="55D02BE9" w14:textId="77777777" w:rsidR="00BC0366" w:rsidRPr="00276D5E" w:rsidRDefault="00BC0366" w:rsidP="009601C2">
      <w:pPr>
        <w:spacing w:line="276" w:lineRule="auto"/>
        <w:jc w:val="both"/>
        <w:rPr>
          <w:rFonts w:ascii="Arial" w:hAnsi="Arial" w:cs="Arial"/>
          <w:b/>
          <w:sz w:val="20"/>
        </w:rPr>
      </w:pPr>
      <w:r w:rsidRPr="00276D5E">
        <w:rPr>
          <w:rFonts w:ascii="Arial" w:hAnsi="Arial" w:cs="Arial"/>
          <w:b/>
          <w:sz w:val="20"/>
        </w:rPr>
        <w:t>APPLICABILITY</w:t>
      </w:r>
      <w:r w:rsidRPr="00276D5E">
        <w:rPr>
          <w:rFonts w:ascii="Arial" w:hAnsi="Arial" w:cs="Arial"/>
          <w:b/>
          <w:spacing w:val="-5"/>
          <w:sz w:val="20"/>
        </w:rPr>
        <w:t xml:space="preserve"> </w:t>
      </w:r>
      <w:r w:rsidRPr="00276D5E">
        <w:rPr>
          <w:rFonts w:ascii="Arial" w:hAnsi="Arial" w:cs="Arial"/>
          <w:b/>
          <w:sz w:val="20"/>
        </w:rPr>
        <w:t>OF</w:t>
      </w:r>
      <w:r w:rsidRPr="00276D5E">
        <w:rPr>
          <w:rFonts w:ascii="Arial" w:hAnsi="Arial" w:cs="Arial"/>
          <w:b/>
          <w:spacing w:val="-4"/>
          <w:sz w:val="20"/>
        </w:rPr>
        <w:t xml:space="preserve"> </w:t>
      </w:r>
      <w:r w:rsidRPr="00276D5E">
        <w:rPr>
          <w:rFonts w:ascii="Arial" w:hAnsi="Arial" w:cs="Arial"/>
          <w:b/>
          <w:sz w:val="20"/>
        </w:rPr>
        <w:t>AGE</w:t>
      </w:r>
      <w:r w:rsidRPr="00276D5E">
        <w:rPr>
          <w:rFonts w:ascii="Arial" w:hAnsi="Arial" w:cs="Arial"/>
          <w:b/>
          <w:spacing w:val="-4"/>
          <w:sz w:val="20"/>
        </w:rPr>
        <w:t xml:space="preserve"> </w:t>
      </w:r>
      <w:r w:rsidRPr="00276D5E">
        <w:rPr>
          <w:rFonts w:ascii="Arial" w:hAnsi="Arial" w:cs="Arial"/>
          <w:b/>
          <w:sz w:val="20"/>
        </w:rPr>
        <w:t>LIMITATION</w:t>
      </w:r>
    </w:p>
    <w:p w14:paraId="2E318068" w14:textId="77777777" w:rsidR="00BC0366" w:rsidRPr="00BC0366" w:rsidRDefault="00BC0366" w:rsidP="009601C2">
      <w:pPr>
        <w:spacing w:before="117" w:line="276" w:lineRule="auto"/>
        <w:jc w:val="both"/>
        <w:rPr>
          <w:rFonts w:ascii="Arial" w:hAnsi="Arial" w:cs="Arial"/>
          <w:sz w:val="20"/>
        </w:rPr>
      </w:pPr>
      <w:r w:rsidRPr="00BC0366">
        <w:rPr>
          <w:rFonts w:ascii="Arial" w:hAnsi="Arial" w:cs="Arial"/>
          <w:sz w:val="20"/>
        </w:rPr>
        <w:t>‘Commercial passenger ballooning’ as per point BFCL.065 includes any flight during which fare-paying passengers are carried. This means that, for example, if during a competition or a promotion flight fare-paying passengers are carried, the age limitation of point BFCL.065 for the BPL holder applies.</w:t>
      </w:r>
    </w:p>
    <w:p w14:paraId="3C17EBCD" w14:textId="77777777" w:rsidR="00BC0366" w:rsidRPr="00BC0366" w:rsidRDefault="00BC0366" w:rsidP="009601C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594" w:name="BFCL.070__Limitation,_suspension_or_revo"/>
      <w:bookmarkStart w:id="595" w:name="_bookmark238"/>
      <w:bookmarkStart w:id="596" w:name="_Toc153137403"/>
      <w:bookmarkEnd w:id="594"/>
      <w:bookmarkEnd w:id="595"/>
      <w:r w:rsidRPr="00BC0366">
        <w:rPr>
          <w:rFonts w:ascii="Arial" w:eastAsia="Times New Roman" w:hAnsi="Arial" w:cs="Times New Roman"/>
          <w:b/>
          <w:iCs/>
          <w:color w:val="FFFFFF"/>
          <w:sz w:val="24"/>
        </w:rPr>
        <w:t>BFCL.070 Limitation, suspension or revocation of licences, privileges, ratings and certificates</w:t>
      </w:r>
      <w:bookmarkEnd w:id="596"/>
    </w:p>
    <w:p w14:paraId="7CBDDF07" w14:textId="6E6F1A8E" w:rsidR="00BC0366" w:rsidRPr="00BC0366" w:rsidRDefault="00BC0366" w:rsidP="00AD2F17">
      <w:pPr>
        <w:numPr>
          <w:ilvl w:val="0"/>
          <w:numId w:val="131"/>
        </w:numPr>
        <w:spacing w:before="117" w:line="276" w:lineRule="auto"/>
        <w:jc w:val="both"/>
        <w:rPr>
          <w:rFonts w:ascii="Arial" w:hAnsi="Arial" w:cs="Arial"/>
          <w:sz w:val="20"/>
        </w:rPr>
      </w:pPr>
      <w:r w:rsidRPr="00BC0366">
        <w:rPr>
          <w:rFonts w:ascii="Arial" w:hAnsi="Arial" w:cs="Arial"/>
          <w:sz w:val="20"/>
        </w:rPr>
        <w:t xml:space="preserve">A BPL as well as associated privileges, ratings and certificates issued in accordance with this Annex may be limited, suspended or revoked by the </w:t>
      </w:r>
      <w:r w:rsidR="00A804D2">
        <w:rPr>
          <w:rFonts w:ascii="Arial" w:hAnsi="Arial" w:cs="Arial"/>
          <w:sz w:val="20"/>
          <w:szCs w:val="20"/>
        </w:rPr>
        <w:t xml:space="preserve">CAC RA </w:t>
      </w:r>
      <w:r w:rsidRPr="00BC0366">
        <w:rPr>
          <w:rFonts w:ascii="Arial" w:hAnsi="Arial" w:cs="Arial"/>
          <w:sz w:val="20"/>
        </w:rPr>
        <w:t xml:space="preserve">in accordance with the conditions and procedures laid down in Annex VI (Part-ARA) to </w:t>
      </w:r>
      <w:r w:rsidR="00CA2894" w:rsidRPr="004E506A">
        <w:rPr>
          <w:rFonts w:ascii="Arial" w:hAnsi="Arial" w:cs="Arial"/>
          <w:sz w:val="20"/>
          <w:szCs w:val="20"/>
        </w:rPr>
        <w:t xml:space="preserve"> </w:t>
      </w:r>
      <w:hyperlink r:id="rId80" w:history="1">
        <w:r w:rsidR="00CA2894" w:rsidRPr="005175A4">
          <w:rPr>
            <w:rStyle w:val="Hyperlink"/>
            <w:rFonts w:ascii="Arial" w:hAnsi="Arial" w:cs="Arial"/>
            <w:sz w:val="20"/>
            <w:szCs w:val="20"/>
          </w:rPr>
          <w:t>the order N 3-N of the Minister of Territorial Administration and Infrastructure of RA, dated 11.02.2022</w:t>
        </w:r>
      </w:hyperlink>
      <w:r w:rsidR="00CA2894">
        <w:rPr>
          <w:rFonts w:ascii="Arial" w:hAnsi="Arial" w:cs="Arial"/>
          <w:sz w:val="20"/>
          <w:szCs w:val="20"/>
        </w:rPr>
        <w:t xml:space="preserve"> </w:t>
      </w:r>
      <w:r w:rsidRPr="00BC0366">
        <w:rPr>
          <w:rFonts w:ascii="Arial" w:hAnsi="Arial" w:cs="Arial"/>
          <w:sz w:val="20"/>
        </w:rPr>
        <w:t xml:space="preserve">if a BPL holder does not comply with the essential requirements set out in </w:t>
      </w:r>
      <w:hyperlink r:id="rId81" w:history="1">
        <w:r w:rsidR="005C2A3C" w:rsidRPr="004073D2">
          <w:rPr>
            <w:rStyle w:val="Hyperlink"/>
            <w:rFonts w:ascii="Arial" w:hAnsi="Arial" w:cs="Arial"/>
            <w:sz w:val="20"/>
            <w:szCs w:val="20"/>
          </w:rPr>
          <w:t>Law on Aviation of the Republic of Armenia</w:t>
        </w:r>
      </w:hyperlink>
      <w:r w:rsidR="005C2A3C">
        <w:rPr>
          <w:rFonts w:ascii="Arial" w:hAnsi="Arial" w:cs="Arial"/>
          <w:sz w:val="20"/>
          <w:szCs w:val="20"/>
        </w:rPr>
        <w:t xml:space="preserve"> </w:t>
      </w:r>
      <w:r w:rsidRPr="00BC0366">
        <w:rPr>
          <w:rFonts w:ascii="Arial" w:hAnsi="Arial" w:cs="Arial"/>
          <w:sz w:val="20"/>
        </w:rPr>
        <w:t xml:space="preserve">or with the requirements of this Annex as well as of Annex II (Part-BOP) to this Regulation or   of   Annex IV   (Part-MED)   to </w:t>
      </w:r>
      <w:r w:rsidR="00CA2894" w:rsidRPr="004E506A">
        <w:rPr>
          <w:rFonts w:ascii="Arial" w:hAnsi="Arial" w:cs="Arial"/>
          <w:sz w:val="20"/>
          <w:szCs w:val="20"/>
        </w:rPr>
        <w:t xml:space="preserve"> </w:t>
      </w:r>
      <w:hyperlink r:id="rId82" w:history="1">
        <w:r w:rsidR="00CA2894" w:rsidRPr="005175A4">
          <w:rPr>
            <w:rStyle w:val="Hyperlink"/>
            <w:rFonts w:ascii="Arial" w:hAnsi="Arial" w:cs="Arial"/>
            <w:sz w:val="20"/>
            <w:szCs w:val="20"/>
          </w:rPr>
          <w:t>the order N 3-N of the Minister of Territorial Administration and Infrastructure of RA, dated 11.02.2022</w:t>
        </w:r>
      </w:hyperlink>
      <w:r w:rsidRPr="00BC0366">
        <w:rPr>
          <w:rFonts w:ascii="Arial" w:hAnsi="Arial" w:cs="Arial"/>
          <w:sz w:val="20"/>
        </w:rPr>
        <w:t>.</w:t>
      </w:r>
    </w:p>
    <w:p w14:paraId="1B21FB4B" w14:textId="13B91F4F" w:rsidR="00BC0366" w:rsidRPr="00BC0366" w:rsidRDefault="00BC0366" w:rsidP="00AD2F17">
      <w:pPr>
        <w:numPr>
          <w:ilvl w:val="0"/>
          <w:numId w:val="131"/>
        </w:numPr>
        <w:spacing w:before="117" w:line="276" w:lineRule="auto"/>
        <w:jc w:val="both"/>
        <w:rPr>
          <w:rFonts w:ascii="Arial" w:hAnsi="Arial" w:cs="Arial"/>
          <w:sz w:val="20"/>
        </w:rPr>
      </w:pPr>
      <w:r w:rsidRPr="00BC0366">
        <w:rPr>
          <w:rFonts w:ascii="Arial" w:hAnsi="Arial" w:cs="Arial"/>
          <w:sz w:val="20"/>
        </w:rPr>
        <w:t xml:space="preserve">BPL holders shall immediately return the licence or certificate to the </w:t>
      </w:r>
      <w:r w:rsidR="003C6906">
        <w:rPr>
          <w:rFonts w:ascii="Arial" w:hAnsi="Arial" w:cs="Arial"/>
          <w:sz w:val="20"/>
          <w:szCs w:val="20"/>
        </w:rPr>
        <w:t xml:space="preserve">CAC RA </w:t>
      </w:r>
      <w:r w:rsidRPr="00BC0366">
        <w:rPr>
          <w:rFonts w:ascii="Arial" w:hAnsi="Arial" w:cs="Arial"/>
          <w:sz w:val="20"/>
        </w:rPr>
        <w:t>if their licence, privilege, rating or certificate has been limited, suspended or revoked.</w:t>
      </w:r>
    </w:p>
    <w:p w14:paraId="01B22785" w14:textId="77777777" w:rsidR="00154B96" w:rsidRDefault="00154B96" w:rsidP="009601C2">
      <w:pPr>
        <w:spacing w:before="117" w:line="276" w:lineRule="auto"/>
        <w:jc w:val="both"/>
        <w:rPr>
          <w:rFonts w:ascii="Arial" w:hAnsi="Arial" w:cs="Arial"/>
          <w:sz w:val="20"/>
        </w:rPr>
      </w:pPr>
    </w:p>
    <w:p w14:paraId="2AA2C06E" w14:textId="77777777" w:rsidR="009601C2" w:rsidRDefault="009601C2" w:rsidP="009601C2">
      <w:pPr>
        <w:spacing w:before="117" w:line="276" w:lineRule="auto"/>
        <w:jc w:val="both"/>
        <w:rPr>
          <w:rFonts w:ascii="Arial" w:hAnsi="Arial" w:cs="Arial"/>
          <w:sz w:val="20"/>
        </w:rPr>
      </w:pPr>
    </w:p>
    <w:p w14:paraId="40BD0EC2" w14:textId="77777777" w:rsidR="009601C2" w:rsidRDefault="009601C2" w:rsidP="009601C2">
      <w:pPr>
        <w:spacing w:before="117" w:line="276" w:lineRule="auto"/>
        <w:jc w:val="both"/>
        <w:rPr>
          <w:rFonts w:ascii="Arial" w:hAnsi="Arial" w:cs="Arial"/>
          <w:sz w:val="20"/>
        </w:rPr>
      </w:pPr>
    </w:p>
    <w:p w14:paraId="2FEC0E4E" w14:textId="77777777" w:rsidR="009601C2" w:rsidRDefault="009601C2" w:rsidP="009601C2">
      <w:pPr>
        <w:spacing w:before="117" w:line="276" w:lineRule="auto"/>
        <w:jc w:val="both"/>
        <w:rPr>
          <w:rFonts w:ascii="Arial" w:hAnsi="Arial" w:cs="Arial"/>
          <w:sz w:val="20"/>
        </w:rPr>
      </w:pPr>
    </w:p>
    <w:p w14:paraId="0DED9A69" w14:textId="77777777" w:rsidR="009601C2" w:rsidRDefault="009601C2" w:rsidP="009601C2">
      <w:pPr>
        <w:spacing w:before="117" w:line="276" w:lineRule="auto"/>
        <w:jc w:val="both"/>
        <w:rPr>
          <w:rFonts w:ascii="Arial" w:hAnsi="Arial" w:cs="Arial"/>
          <w:sz w:val="20"/>
        </w:rPr>
      </w:pPr>
    </w:p>
    <w:p w14:paraId="6F4959FA" w14:textId="77777777" w:rsidR="009601C2" w:rsidRDefault="009601C2" w:rsidP="009601C2">
      <w:pPr>
        <w:spacing w:before="117" w:line="276" w:lineRule="auto"/>
        <w:jc w:val="both"/>
        <w:rPr>
          <w:rFonts w:ascii="Arial" w:hAnsi="Arial" w:cs="Arial"/>
          <w:sz w:val="20"/>
        </w:rPr>
      </w:pPr>
    </w:p>
    <w:p w14:paraId="6C0DAF9F" w14:textId="77777777" w:rsidR="009601C2" w:rsidRDefault="009601C2" w:rsidP="009601C2">
      <w:pPr>
        <w:spacing w:before="117" w:line="276" w:lineRule="auto"/>
        <w:jc w:val="both"/>
        <w:rPr>
          <w:rFonts w:ascii="Arial" w:hAnsi="Arial" w:cs="Arial"/>
          <w:sz w:val="20"/>
        </w:rPr>
      </w:pPr>
    </w:p>
    <w:p w14:paraId="641764DD" w14:textId="77777777" w:rsidR="009601C2" w:rsidRDefault="009601C2" w:rsidP="009601C2">
      <w:pPr>
        <w:spacing w:before="117" w:line="276" w:lineRule="auto"/>
        <w:jc w:val="both"/>
        <w:rPr>
          <w:rFonts w:ascii="Arial" w:hAnsi="Arial" w:cs="Arial"/>
          <w:sz w:val="20"/>
        </w:rPr>
      </w:pPr>
    </w:p>
    <w:p w14:paraId="70856719" w14:textId="77777777" w:rsidR="009601C2" w:rsidRPr="009601C2" w:rsidRDefault="009601C2" w:rsidP="009601C2">
      <w:pPr>
        <w:keepNext/>
        <w:keepLines/>
        <w:widowControl/>
        <w:autoSpaceDE/>
        <w:autoSpaceDN/>
        <w:spacing w:before="40" w:line="276" w:lineRule="auto"/>
        <w:jc w:val="center"/>
        <w:outlineLvl w:val="2"/>
        <w:rPr>
          <w:rFonts w:ascii="Arial" w:eastAsiaTheme="majorEastAsia" w:hAnsi="Arial" w:cs="Arial"/>
          <w:b/>
          <w:color w:val="00B0F0"/>
          <w:sz w:val="24"/>
          <w:szCs w:val="24"/>
        </w:rPr>
      </w:pPr>
      <w:bookmarkStart w:id="597" w:name="_Toc153137404"/>
      <w:r w:rsidRPr="009601C2">
        <w:rPr>
          <w:rFonts w:ascii="Arial" w:eastAsiaTheme="majorEastAsia" w:hAnsi="Arial" w:cs="Arial"/>
          <w:b/>
          <w:color w:val="00B0F0"/>
          <w:sz w:val="24"/>
          <w:szCs w:val="24"/>
        </w:rPr>
        <w:lastRenderedPageBreak/>
        <w:t>SUBPART BPL — BALLOON PILOT LICENCE (“BPL”)</w:t>
      </w:r>
      <w:bookmarkEnd w:id="597"/>
    </w:p>
    <w:p w14:paraId="48D10ABD" w14:textId="77777777" w:rsidR="009601C2" w:rsidRPr="009601C2" w:rsidRDefault="009601C2" w:rsidP="009601C2">
      <w:pPr>
        <w:keepNext/>
        <w:keepLines/>
        <w:widowControl/>
        <w:shd w:val="clear" w:color="auto" w:fill="2F5496"/>
        <w:autoSpaceDE/>
        <w:autoSpaceDN/>
        <w:spacing w:before="280" w:after="240" w:line="276" w:lineRule="auto"/>
        <w:outlineLvl w:val="3"/>
        <w:rPr>
          <w:rFonts w:ascii="Arial" w:eastAsia="Times New Roman" w:hAnsi="Arial" w:cs="Times New Roman"/>
          <w:b/>
          <w:iCs/>
          <w:color w:val="FFFFFF"/>
          <w:sz w:val="24"/>
        </w:rPr>
      </w:pPr>
      <w:bookmarkStart w:id="598" w:name="BFCL.115__BPL_–_Privileges_and_condition"/>
      <w:bookmarkStart w:id="599" w:name="_bookmark240"/>
      <w:bookmarkStart w:id="600" w:name="_Toc153137405"/>
      <w:bookmarkEnd w:id="598"/>
      <w:bookmarkEnd w:id="599"/>
      <w:r w:rsidRPr="009601C2">
        <w:rPr>
          <w:rFonts w:ascii="Arial" w:eastAsia="Times New Roman" w:hAnsi="Arial" w:cs="Times New Roman"/>
          <w:b/>
          <w:iCs/>
          <w:color w:val="FFFFFF"/>
          <w:sz w:val="24"/>
        </w:rPr>
        <w:t>BFCL.115 BPL – Privileges and conditions</w:t>
      </w:r>
      <w:bookmarkEnd w:id="600"/>
    </w:p>
    <w:p w14:paraId="1695DACA" w14:textId="77777777" w:rsidR="009601C2" w:rsidRPr="009601C2" w:rsidRDefault="009601C2" w:rsidP="00AD2F17">
      <w:pPr>
        <w:numPr>
          <w:ilvl w:val="0"/>
          <w:numId w:val="132"/>
        </w:numPr>
        <w:spacing w:before="117" w:line="276" w:lineRule="auto"/>
        <w:jc w:val="both"/>
        <w:rPr>
          <w:rFonts w:ascii="Arial" w:hAnsi="Arial" w:cs="Arial"/>
          <w:sz w:val="20"/>
        </w:rPr>
      </w:pPr>
      <w:r w:rsidRPr="009601C2">
        <w:rPr>
          <w:rFonts w:ascii="Arial" w:hAnsi="Arial" w:cs="Arial"/>
          <w:sz w:val="20"/>
        </w:rPr>
        <w:t>The privileges of a BPL holder are to act as PIC in balloons:</w:t>
      </w:r>
    </w:p>
    <w:p w14:paraId="0DF740F7" w14:textId="77777777" w:rsidR="009601C2" w:rsidRPr="009601C2" w:rsidRDefault="009601C2" w:rsidP="00AD2F17">
      <w:pPr>
        <w:numPr>
          <w:ilvl w:val="1"/>
          <w:numId w:val="132"/>
        </w:numPr>
        <w:spacing w:before="117" w:line="276" w:lineRule="auto"/>
        <w:jc w:val="both"/>
        <w:rPr>
          <w:rFonts w:ascii="Arial" w:hAnsi="Arial" w:cs="Arial"/>
          <w:sz w:val="20"/>
        </w:rPr>
      </w:pPr>
      <w:r w:rsidRPr="009601C2">
        <w:rPr>
          <w:rFonts w:ascii="Arial" w:hAnsi="Arial" w:cs="Arial"/>
          <w:sz w:val="20"/>
        </w:rPr>
        <w:t>without remuneration in non-commercial operations;</w:t>
      </w:r>
    </w:p>
    <w:p w14:paraId="61840571" w14:textId="77777777" w:rsidR="009601C2" w:rsidRPr="009601C2" w:rsidRDefault="009601C2" w:rsidP="00AD2F17">
      <w:pPr>
        <w:numPr>
          <w:ilvl w:val="1"/>
          <w:numId w:val="132"/>
        </w:numPr>
        <w:spacing w:before="117" w:line="276" w:lineRule="auto"/>
        <w:jc w:val="both"/>
        <w:rPr>
          <w:rFonts w:ascii="Arial" w:hAnsi="Arial" w:cs="Arial"/>
          <w:sz w:val="20"/>
        </w:rPr>
      </w:pPr>
      <w:r w:rsidRPr="009601C2">
        <w:rPr>
          <w:rFonts w:ascii="Arial" w:hAnsi="Arial" w:cs="Arial"/>
          <w:sz w:val="20"/>
        </w:rPr>
        <w:t>in commercial operations if he or she holds a commercial operation rating in accordance with point BFCL.215 of Subpart ADD of this Annex.</w:t>
      </w:r>
    </w:p>
    <w:p w14:paraId="20D1A55B" w14:textId="77777777" w:rsidR="009601C2" w:rsidRPr="009601C2" w:rsidRDefault="009601C2" w:rsidP="00AD2F17">
      <w:pPr>
        <w:numPr>
          <w:ilvl w:val="0"/>
          <w:numId w:val="132"/>
        </w:numPr>
        <w:spacing w:before="117" w:line="276" w:lineRule="auto"/>
        <w:jc w:val="both"/>
        <w:rPr>
          <w:rFonts w:ascii="Arial" w:hAnsi="Arial" w:cs="Arial"/>
          <w:sz w:val="20"/>
        </w:rPr>
      </w:pPr>
      <w:r w:rsidRPr="009601C2">
        <w:rPr>
          <w:rFonts w:ascii="Arial" w:hAnsi="Arial" w:cs="Arial"/>
          <w:sz w:val="20"/>
        </w:rPr>
        <w:t>By way of derogation from paragraph (a)(1), a BPL holder who has instructor or examiner privileges may receive remuneration for:</w:t>
      </w:r>
    </w:p>
    <w:p w14:paraId="25C15DB7" w14:textId="77777777" w:rsidR="009601C2" w:rsidRPr="009601C2" w:rsidRDefault="009601C2" w:rsidP="00AD2F17">
      <w:pPr>
        <w:numPr>
          <w:ilvl w:val="1"/>
          <w:numId w:val="132"/>
        </w:numPr>
        <w:spacing w:before="117" w:line="276" w:lineRule="auto"/>
        <w:jc w:val="both"/>
        <w:rPr>
          <w:rFonts w:ascii="Arial" w:hAnsi="Arial" w:cs="Arial"/>
          <w:sz w:val="20"/>
        </w:rPr>
      </w:pPr>
      <w:r w:rsidRPr="009601C2">
        <w:rPr>
          <w:rFonts w:ascii="Arial" w:hAnsi="Arial" w:cs="Arial"/>
          <w:sz w:val="20"/>
        </w:rPr>
        <w:t>the provision of flight instruction for the BPL;</w:t>
      </w:r>
    </w:p>
    <w:p w14:paraId="0634FE2A" w14:textId="77777777" w:rsidR="009601C2" w:rsidRPr="009601C2" w:rsidRDefault="009601C2" w:rsidP="00AD2F17">
      <w:pPr>
        <w:numPr>
          <w:ilvl w:val="1"/>
          <w:numId w:val="132"/>
        </w:numPr>
        <w:spacing w:before="117" w:line="276" w:lineRule="auto"/>
        <w:jc w:val="both"/>
        <w:rPr>
          <w:rFonts w:ascii="Arial" w:hAnsi="Arial" w:cs="Arial"/>
          <w:sz w:val="20"/>
        </w:rPr>
      </w:pPr>
      <w:r w:rsidRPr="009601C2">
        <w:rPr>
          <w:rFonts w:ascii="Arial" w:hAnsi="Arial" w:cs="Arial"/>
          <w:sz w:val="20"/>
        </w:rPr>
        <w:t>the conduct of skill tests and proficiency checks for the BPL;</w:t>
      </w:r>
    </w:p>
    <w:p w14:paraId="3A074C14" w14:textId="77777777" w:rsidR="009601C2" w:rsidRPr="009601C2" w:rsidRDefault="009601C2" w:rsidP="00AD2F17">
      <w:pPr>
        <w:numPr>
          <w:ilvl w:val="1"/>
          <w:numId w:val="132"/>
        </w:numPr>
        <w:spacing w:before="117" w:line="276" w:lineRule="auto"/>
        <w:jc w:val="both"/>
        <w:rPr>
          <w:rFonts w:ascii="Arial" w:hAnsi="Arial" w:cs="Arial"/>
          <w:sz w:val="20"/>
        </w:rPr>
      </w:pPr>
      <w:r w:rsidRPr="009601C2">
        <w:rPr>
          <w:rFonts w:ascii="Arial" w:hAnsi="Arial" w:cs="Arial"/>
          <w:sz w:val="20"/>
        </w:rPr>
        <w:t>the training, testing and checking for the privileges, ratings and certificates attached to a BPL.</w:t>
      </w:r>
    </w:p>
    <w:p w14:paraId="44FE654B" w14:textId="77777777" w:rsidR="009601C2" w:rsidRPr="009601C2" w:rsidRDefault="009601C2" w:rsidP="00AD2F17">
      <w:pPr>
        <w:numPr>
          <w:ilvl w:val="0"/>
          <w:numId w:val="132"/>
        </w:numPr>
        <w:spacing w:before="117" w:line="276" w:lineRule="auto"/>
        <w:jc w:val="both"/>
        <w:rPr>
          <w:rFonts w:ascii="Arial" w:hAnsi="Arial" w:cs="Arial"/>
          <w:sz w:val="20"/>
        </w:rPr>
      </w:pPr>
      <w:r w:rsidRPr="009601C2">
        <w:rPr>
          <w:rFonts w:ascii="Arial" w:hAnsi="Arial" w:cs="Arial"/>
          <w:sz w:val="20"/>
        </w:rPr>
        <w:t>BPL holders shall exercise BPL privileges only if they comply with the applicable recency requirements and only if their medical certificate, appropriate to the privileges exercised, is valid.</w:t>
      </w:r>
    </w:p>
    <w:p w14:paraId="6E80D9C4" w14:textId="77777777" w:rsidR="008E2616" w:rsidRPr="009601C2" w:rsidRDefault="009601C2" w:rsidP="00A662CF">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601" w:name="BFCL.120__BPL_–_Minimum_age"/>
      <w:bookmarkStart w:id="602" w:name="_bookmark241"/>
      <w:bookmarkStart w:id="603" w:name="_Toc153137406"/>
      <w:bookmarkEnd w:id="601"/>
      <w:bookmarkEnd w:id="602"/>
      <w:r w:rsidRPr="009601C2">
        <w:rPr>
          <w:rFonts w:ascii="Arial" w:eastAsia="Times New Roman" w:hAnsi="Arial" w:cs="Times New Roman"/>
          <w:b/>
          <w:iCs/>
          <w:color w:val="FFFFFF"/>
          <w:sz w:val="24"/>
        </w:rPr>
        <w:t>BFCL.120 BPL – Minimum age</w:t>
      </w:r>
      <w:bookmarkEnd w:id="603"/>
    </w:p>
    <w:p w14:paraId="602F2724" w14:textId="77777777" w:rsidR="009601C2" w:rsidRPr="009601C2" w:rsidRDefault="009601C2" w:rsidP="00A662CF">
      <w:pPr>
        <w:spacing w:before="117" w:line="276" w:lineRule="auto"/>
        <w:jc w:val="both"/>
        <w:rPr>
          <w:rFonts w:ascii="Arial" w:hAnsi="Arial" w:cs="Arial"/>
          <w:sz w:val="20"/>
        </w:rPr>
      </w:pPr>
      <w:r w:rsidRPr="009601C2">
        <w:rPr>
          <w:rFonts w:ascii="Arial" w:hAnsi="Arial" w:cs="Arial"/>
          <w:sz w:val="20"/>
        </w:rPr>
        <w:t>Applicants for a BPL shall be at least 16 years of age.</w:t>
      </w:r>
    </w:p>
    <w:p w14:paraId="0BFD827F" w14:textId="77777777" w:rsidR="00A662CF" w:rsidRPr="00A662CF" w:rsidRDefault="00A662CF" w:rsidP="00A662CF">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604" w:name="BFCL.125__BPL_–_Student_pilot"/>
      <w:bookmarkStart w:id="605" w:name="_bookmark242"/>
      <w:bookmarkStart w:id="606" w:name="_Toc153137407"/>
      <w:bookmarkEnd w:id="604"/>
      <w:bookmarkEnd w:id="605"/>
      <w:r w:rsidRPr="00A662CF">
        <w:rPr>
          <w:rFonts w:ascii="Arial" w:eastAsia="Times New Roman" w:hAnsi="Arial" w:cs="Times New Roman"/>
          <w:b/>
          <w:iCs/>
          <w:color w:val="FFFFFF"/>
          <w:sz w:val="24"/>
        </w:rPr>
        <w:t>BFCL.125 BPL – Student pilot</w:t>
      </w:r>
      <w:bookmarkEnd w:id="606"/>
    </w:p>
    <w:p w14:paraId="178403A0" w14:textId="77777777" w:rsidR="00A662CF" w:rsidRPr="00A662CF" w:rsidRDefault="00A662CF" w:rsidP="00AD2F17">
      <w:pPr>
        <w:numPr>
          <w:ilvl w:val="0"/>
          <w:numId w:val="133"/>
        </w:numPr>
        <w:spacing w:before="117" w:line="276" w:lineRule="auto"/>
        <w:jc w:val="both"/>
        <w:rPr>
          <w:rFonts w:ascii="Arial" w:hAnsi="Arial" w:cs="Arial"/>
          <w:sz w:val="20"/>
        </w:rPr>
      </w:pPr>
      <w:r w:rsidRPr="00A662CF">
        <w:rPr>
          <w:rFonts w:ascii="Arial" w:hAnsi="Arial" w:cs="Arial"/>
          <w:sz w:val="20"/>
        </w:rPr>
        <w:t>Student pilots shall not fly solo unless authorised to do so and supervised by a flight instructor for balloons (FI(B)).</w:t>
      </w:r>
    </w:p>
    <w:p w14:paraId="3E8BE186" w14:textId="77777777" w:rsidR="00A662CF" w:rsidRPr="00A662CF" w:rsidRDefault="00A662CF" w:rsidP="00AD2F17">
      <w:pPr>
        <w:numPr>
          <w:ilvl w:val="0"/>
          <w:numId w:val="133"/>
        </w:numPr>
        <w:spacing w:before="117" w:line="276" w:lineRule="auto"/>
        <w:jc w:val="both"/>
        <w:rPr>
          <w:rFonts w:ascii="Arial" w:hAnsi="Arial" w:cs="Arial"/>
          <w:sz w:val="20"/>
        </w:rPr>
      </w:pPr>
      <w:r w:rsidRPr="00A662CF">
        <w:rPr>
          <w:rFonts w:ascii="Arial" w:hAnsi="Arial" w:cs="Arial"/>
          <w:sz w:val="20"/>
        </w:rPr>
        <w:t>Student pilots shall be at least 14 years of age to be allowed on solo flights.</w:t>
      </w:r>
    </w:p>
    <w:p w14:paraId="1757A7B3" w14:textId="77777777" w:rsidR="00A662CF" w:rsidRPr="00A662CF" w:rsidRDefault="00A662CF" w:rsidP="00A662CF">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607" w:name="BFCL.130__BPL_–_Training_course_and_expe"/>
      <w:bookmarkStart w:id="608" w:name="_bookmark243"/>
      <w:bookmarkStart w:id="609" w:name="_Toc153137408"/>
      <w:bookmarkEnd w:id="607"/>
      <w:bookmarkEnd w:id="608"/>
      <w:r w:rsidRPr="00A662CF">
        <w:rPr>
          <w:rFonts w:ascii="Arial" w:eastAsia="Times New Roman" w:hAnsi="Arial" w:cs="Times New Roman"/>
          <w:b/>
          <w:iCs/>
          <w:color w:val="FFFFFF"/>
          <w:sz w:val="24"/>
        </w:rPr>
        <w:t>BFCL.130 BPL – Training course and experience requirements</w:t>
      </w:r>
      <w:bookmarkEnd w:id="609"/>
    </w:p>
    <w:p w14:paraId="18C94596" w14:textId="77777777" w:rsidR="009C4E67" w:rsidRPr="009C4E67" w:rsidRDefault="009C4E67" w:rsidP="009C4E67">
      <w:pPr>
        <w:spacing w:before="117" w:line="276" w:lineRule="auto"/>
        <w:jc w:val="both"/>
        <w:rPr>
          <w:rFonts w:ascii="Arial" w:hAnsi="Arial" w:cs="Arial"/>
          <w:sz w:val="20"/>
        </w:rPr>
      </w:pPr>
      <w:r w:rsidRPr="009C4E67">
        <w:rPr>
          <w:rFonts w:ascii="Arial" w:hAnsi="Arial" w:cs="Arial"/>
          <w:sz w:val="20"/>
        </w:rPr>
        <w:t>Applicants for a BPL shall complete a training course at an ATO or a DTO. The course shall be tailored to the privileges sought and shall include:</w:t>
      </w:r>
    </w:p>
    <w:p w14:paraId="7C7F50DF" w14:textId="77777777" w:rsidR="009C4E67" w:rsidRPr="009C4E67" w:rsidRDefault="009C4E67" w:rsidP="00AD2F17">
      <w:pPr>
        <w:numPr>
          <w:ilvl w:val="0"/>
          <w:numId w:val="134"/>
        </w:numPr>
        <w:spacing w:before="117" w:line="276" w:lineRule="auto"/>
        <w:jc w:val="both"/>
        <w:rPr>
          <w:rFonts w:ascii="Arial" w:hAnsi="Arial" w:cs="Arial"/>
          <w:sz w:val="20"/>
        </w:rPr>
      </w:pPr>
      <w:r w:rsidRPr="009C4E67">
        <w:rPr>
          <w:rFonts w:ascii="Arial" w:hAnsi="Arial" w:cs="Arial"/>
          <w:sz w:val="20"/>
        </w:rPr>
        <w:t>theoretical knowledge as specified in point BFCL.135(a);</w:t>
      </w:r>
    </w:p>
    <w:p w14:paraId="3B4E82DB" w14:textId="77777777" w:rsidR="009C4E67" w:rsidRPr="009C4E67" w:rsidRDefault="009C4E67" w:rsidP="00AD2F17">
      <w:pPr>
        <w:numPr>
          <w:ilvl w:val="0"/>
          <w:numId w:val="134"/>
        </w:numPr>
        <w:spacing w:before="117" w:line="276" w:lineRule="auto"/>
        <w:jc w:val="both"/>
        <w:rPr>
          <w:rFonts w:ascii="Arial" w:hAnsi="Arial" w:cs="Arial"/>
          <w:sz w:val="20"/>
        </w:rPr>
      </w:pPr>
      <w:r w:rsidRPr="009C4E67">
        <w:rPr>
          <w:rFonts w:ascii="Arial" w:hAnsi="Arial" w:cs="Arial"/>
          <w:sz w:val="20"/>
        </w:rPr>
        <w:t>at least 16 hours of flight instruction in either hot-air balloons that represent group A of that class, or gas balloons, including at least:</w:t>
      </w:r>
    </w:p>
    <w:p w14:paraId="4DFEF189" w14:textId="77777777" w:rsidR="009C4E67" w:rsidRPr="009C4E67" w:rsidRDefault="009C4E67" w:rsidP="00AD2F17">
      <w:pPr>
        <w:numPr>
          <w:ilvl w:val="1"/>
          <w:numId w:val="134"/>
        </w:numPr>
        <w:spacing w:before="117" w:line="276" w:lineRule="auto"/>
        <w:jc w:val="both"/>
        <w:rPr>
          <w:rFonts w:ascii="Arial" w:hAnsi="Arial" w:cs="Arial"/>
          <w:sz w:val="20"/>
        </w:rPr>
      </w:pPr>
      <w:r w:rsidRPr="009C4E67">
        <w:rPr>
          <w:rFonts w:ascii="Arial" w:hAnsi="Arial" w:cs="Arial"/>
          <w:sz w:val="20"/>
        </w:rPr>
        <w:t>12 hours of dual flight instruction;</w:t>
      </w:r>
    </w:p>
    <w:p w14:paraId="4884F6C7" w14:textId="77777777" w:rsidR="009C4E67" w:rsidRPr="009C4E67" w:rsidRDefault="009C4E67" w:rsidP="00AD2F17">
      <w:pPr>
        <w:numPr>
          <w:ilvl w:val="1"/>
          <w:numId w:val="134"/>
        </w:numPr>
        <w:spacing w:before="117" w:line="276" w:lineRule="auto"/>
        <w:jc w:val="both"/>
        <w:rPr>
          <w:rFonts w:ascii="Arial" w:hAnsi="Arial" w:cs="Arial"/>
          <w:sz w:val="20"/>
        </w:rPr>
      </w:pPr>
      <w:r w:rsidRPr="009C4E67">
        <w:rPr>
          <w:rFonts w:ascii="Arial" w:hAnsi="Arial" w:cs="Arial"/>
          <w:sz w:val="20"/>
        </w:rPr>
        <w:t>10 inflations and 20 take-offs and landings; and</w:t>
      </w:r>
    </w:p>
    <w:p w14:paraId="2FFBFA40" w14:textId="77777777" w:rsidR="009C4E67" w:rsidRPr="009C4E67" w:rsidRDefault="009C4E67" w:rsidP="00AD2F17">
      <w:pPr>
        <w:numPr>
          <w:ilvl w:val="1"/>
          <w:numId w:val="134"/>
        </w:numPr>
        <w:spacing w:before="117" w:line="276" w:lineRule="auto"/>
        <w:jc w:val="both"/>
        <w:rPr>
          <w:rFonts w:ascii="Arial" w:hAnsi="Arial" w:cs="Arial"/>
          <w:sz w:val="20"/>
        </w:rPr>
      </w:pPr>
      <w:r w:rsidRPr="009C4E67">
        <w:rPr>
          <w:rFonts w:ascii="Arial" w:hAnsi="Arial" w:cs="Arial"/>
          <w:sz w:val="20"/>
        </w:rPr>
        <w:t>One supervised solo flight with a flight time of at least 30 minutes.</w:t>
      </w:r>
    </w:p>
    <w:p w14:paraId="70BC2770" w14:textId="77777777" w:rsidR="009C4E67" w:rsidRPr="009C4E67" w:rsidRDefault="009C4E67" w:rsidP="009C4E67">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610" w:name="AMC1_BFCL.130__BPL_–_Training_course_and"/>
      <w:bookmarkStart w:id="611" w:name="_bookmark244"/>
      <w:bookmarkStart w:id="612" w:name="_Toc153137409"/>
      <w:bookmarkEnd w:id="610"/>
      <w:bookmarkEnd w:id="611"/>
      <w:r w:rsidRPr="009C4E67">
        <w:rPr>
          <w:rFonts w:ascii="Arial" w:eastAsia="Times New Roman" w:hAnsi="Arial" w:cs="Times New Roman"/>
          <w:b/>
          <w:color w:val="FFFFFF"/>
          <w:sz w:val="24"/>
        </w:rPr>
        <w:t>AMC1 BFCL.130 BPL – Training course and experience requirements</w:t>
      </w:r>
      <w:bookmarkEnd w:id="612"/>
    </w:p>
    <w:p w14:paraId="7D41EABF" w14:textId="77777777" w:rsidR="009C4E67" w:rsidRPr="009C4E67" w:rsidRDefault="009C4E67" w:rsidP="009C4E67">
      <w:pPr>
        <w:spacing w:before="117" w:line="276" w:lineRule="auto"/>
        <w:jc w:val="both"/>
        <w:rPr>
          <w:rFonts w:ascii="Arial" w:hAnsi="Arial" w:cs="Arial"/>
          <w:b/>
          <w:sz w:val="20"/>
        </w:rPr>
      </w:pPr>
      <w:r w:rsidRPr="009C4E67">
        <w:rPr>
          <w:rFonts w:ascii="Arial" w:hAnsi="Arial" w:cs="Arial"/>
          <w:b/>
          <w:sz w:val="20"/>
        </w:rPr>
        <w:t>THEORETICAL KNOWLEDGE INSTRUCTION FOR THE BPL</w:t>
      </w:r>
    </w:p>
    <w:p w14:paraId="64D7935A" w14:textId="77777777" w:rsidR="009C4E67" w:rsidRPr="009C4E67" w:rsidRDefault="009C4E67" w:rsidP="00AD2F17">
      <w:pPr>
        <w:numPr>
          <w:ilvl w:val="0"/>
          <w:numId w:val="135"/>
        </w:numPr>
        <w:spacing w:before="117" w:line="276" w:lineRule="auto"/>
        <w:jc w:val="both"/>
        <w:rPr>
          <w:rFonts w:ascii="Arial" w:hAnsi="Arial" w:cs="Arial"/>
          <w:sz w:val="20"/>
        </w:rPr>
      </w:pPr>
      <w:r w:rsidRPr="009C4E67">
        <w:rPr>
          <w:rFonts w:ascii="Arial" w:hAnsi="Arial" w:cs="Arial"/>
          <w:sz w:val="20"/>
        </w:rPr>
        <w:t>General</w:t>
      </w:r>
    </w:p>
    <w:p w14:paraId="3D3CC82D" w14:textId="77777777" w:rsidR="009C4E67" w:rsidRPr="009C4E67" w:rsidRDefault="009C4E67" w:rsidP="009C4E67">
      <w:pPr>
        <w:spacing w:before="117" w:line="276" w:lineRule="auto"/>
        <w:ind w:left="706"/>
        <w:jc w:val="both"/>
        <w:rPr>
          <w:rFonts w:ascii="Arial" w:hAnsi="Arial" w:cs="Arial"/>
          <w:sz w:val="20"/>
        </w:rPr>
      </w:pPr>
      <w:r w:rsidRPr="009C4E67">
        <w:rPr>
          <w:rFonts w:ascii="Arial" w:hAnsi="Arial" w:cs="Arial"/>
          <w:sz w:val="20"/>
        </w:rPr>
        <w:t xml:space="preserve">The training should cover aspects related to non-technical skills in an integrated manner, taking into account the particular risks associated with the licence and the activity. The theoretical knowledge instruction provided by the declared training organisation (DTO) or approved training organisation (ATO) should include a certain element of formal classroom work but may also include other methods of delivery — for example, interactive video, slide or tape presentation, computer-based training and other media distance-learning courses. The training organisation </w:t>
      </w:r>
      <w:r w:rsidRPr="009C4E67">
        <w:rPr>
          <w:rFonts w:ascii="Arial" w:hAnsi="Arial" w:cs="Arial"/>
          <w:sz w:val="20"/>
        </w:rPr>
        <w:lastRenderedPageBreak/>
        <w:t>responsible for the training has to check whether all the appropriate elements of the training course of theoretical knowledge instruction have been completed to a satisfactory standard before recommending the applicant for the examination.</w:t>
      </w:r>
    </w:p>
    <w:p w14:paraId="5FD83013" w14:textId="77777777" w:rsidR="009C4E67" w:rsidRPr="009C4E67" w:rsidRDefault="009C4E67" w:rsidP="00AD2F17">
      <w:pPr>
        <w:numPr>
          <w:ilvl w:val="0"/>
          <w:numId w:val="135"/>
        </w:numPr>
        <w:spacing w:before="117" w:line="276" w:lineRule="auto"/>
        <w:jc w:val="both"/>
        <w:rPr>
          <w:rFonts w:ascii="Arial" w:hAnsi="Arial" w:cs="Arial"/>
          <w:sz w:val="20"/>
        </w:rPr>
      </w:pPr>
      <w:r w:rsidRPr="009C4E67">
        <w:rPr>
          <w:rFonts w:ascii="Arial" w:hAnsi="Arial" w:cs="Arial"/>
          <w:sz w:val="20"/>
        </w:rPr>
        <w:t>Syllabus</w:t>
      </w:r>
    </w:p>
    <w:p w14:paraId="03B93EEB" w14:textId="77777777" w:rsidR="009C4E67" w:rsidRPr="009C4E67" w:rsidRDefault="009C4E67" w:rsidP="009C4E67">
      <w:pPr>
        <w:spacing w:before="117" w:line="276" w:lineRule="auto"/>
        <w:ind w:left="706"/>
        <w:jc w:val="both"/>
        <w:rPr>
          <w:rFonts w:ascii="Arial" w:hAnsi="Arial" w:cs="Arial"/>
          <w:sz w:val="20"/>
        </w:rPr>
      </w:pPr>
      <w:r w:rsidRPr="009C4E67">
        <w:rPr>
          <w:rFonts w:ascii="Arial" w:hAnsi="Arial" w:cs="Arial"/>
          <w:sz w:val="20"/>
        </w:rPr>
        <w:t>The following table contains the syllabus for theoretical knowledge instruction for the BPL:</w:t>
      </w:r>
    </w:p>
    <w:p w14:paraId="74AF7411" w14:textId="77777777" w:rsidR="009C4E67" w:rsidRPr="00CE68A2" w:rsidRDefault="009C4E67" w:rsidP="009C4E67">
      <w:pPr>
        <w:spacing w:before="117" w:line="276" w:lineRule="auto"/>
        <w:ind w:left="706"/>
        <w:jc w:val="both"/>
        <w:rPr>
          <w:rFonts w:ascii="Arial" w:hAnsi="Arial" w:cs="Arial"/>
          <w:i/>
          <w:sz w:val="20"/>
        </w:rPr>
      </w:pPr>
      <w:r w:rsidRPr="00CE68A2">
        <w:rPr>
          <w:rFonts w:ascii="Arial" w:hAnsi="Arial" w:cs="Arial"/>
          <w:i/>
          <w:sz w:val="20"/>
        </w:rPr>
        <w:t>Note: The content of Subjects 5 (Principles of flight), 6 (Operational procedures), 7 (Flight performance and planning), and 8 (Aircraft general knowledge, envelope and systems and emergency equipment) should contain aspects as relevant for the class of balloon used for the training, unless a certain element is specifically marked as relevant for one particular class only.</w:t>
      </w:r>
    </w:p>
    <w:tbl>
      <w:tblPr>
        <w:tblStyle w:val="TableGrid31"/>
        <w:tblW w:w="8589" w:type="dxa"/>
        <w:tblInd w:w="562" w:type="dxa"/>
        <w:tblLayout w:type="fixed"/>
        <w:tblLook w:val="01E0" w:firstRow="1" w:lastRow="1" w:firstColumn="1" w:lastColumn="1" w:noHBand="0" w:noVBand="0"/>
      </w:tblPr>
      <w:tblGrid>
        <w:gridCol w:w="985"/>
        <w:gridCol w:w="7604"/>
      </w:tblGrid>
      <w:tr w:rsidR="000952F7" w:rsidRPr="000952F7" w14:paraId="6A73506D" w14:textId="77777777" w:rsidTr="004E579F">
        <w:trPr>
          <w:trHeight w:val="200"/>
        </w:trPr>
        <w:tc>
          <w:tcPr>
            <w:tcW w:w="985" w:type="dxa"/>
            <w:shd w:val="clear" w:color="auto" w:fill="F2F2F2" w:themeFill="background1" w:themeFillShade="F2"/>
          </w:tcPr>
          <w:p w14:paraId="0A04A0F2" w14:textId="77777777" w:rsidR="000952F7" w:rsidRPr="000952F7" w:rsidRDefault="000952F7" w:rsidP="000D1C0A">
            <w:pPr>
              <w:pStyle w:val="TableParagraph"/>
              <w:spacing w:before="1" w:line="222" w:lineRule="exact"/>
              <w:ind w:left="86"/>
              <w:rPr>
                <w:rFonts w:ascii="Arial" w:hAnsi="Arial" w:cs="Arial"/>
                <w:b/>
              </w:rPr>
            </w:pPr>
            <w:r w:rsidRPr="000952F7">
              <w:rPr>
                <w:rFonts w:ascii="Arial" w:hAnsi="Arial" w:cs="Arial"/>
                <w:b/>
              </w:rPr>
              <w:t>1.</w:t>
            </w:r>
          </w:p>
        </w:tc>
        <w:tc>
          <w:tcPr>
            <w:tcW w:w="7604" w:type="dxa"/>
            <w:shd w:val="clear" w:color="auto" w:fill="F2F2F2" w:themeFill="background1" w:themeFillShade="F2"/>
          </w:tcPr>
          <w:p w14:paraId="6E9F25A0" w14:textId="77777777" w:rsidR="000952F7" w:rsidRPr="000952F7" w:rsidRDefault="000952F7" w:rsidP="000D1C0A">
            <w:pPr>
              <w:pStyle w:val="TableParagraph"/>
              <w:spacing w:before="1" w:line="222" w:lineRule="exact"/>
              <w:rPr>
                <w:rFonts w:ascii="Arial" w:hAnsi="Arial" w:cs="Arial"/>
                <w:b/>
              </w:rPr>
            </w:pPr>
            <w:r w:rsidRPr="000952F7">
              <w:rPr>
                <w:rFonts w:ascii="Arial" w:hAnsi="Arial" w:cs="Arial"/>
                <w:b/>
              </w:rPr>
              <w:t>AIR</w:t>
            </w:r>
            <w:r w:rsidRPr="000952F7">
              <w:rPr>
                <w:rFonts w:ascii="Arial" w:hAnsi="Arial" w:cs="Arial"/>
                <w:b/>
                <w:spacing w:val="-3"/>
              </w:rPr>
              <w:t xml:space="preserve"> </w:t>
            </w:r>
            <w:r w:rsidRPr="000952F7">
              <w:rPr>
                <w:rFonts w:ascii="Arial" w:hAnsi="Arial" w:cs="Arial"/>
                <w:b/>
              </w:rPr>
              <w:t>LAW</w:t>
            </w:r>
            <w:r w:rsidRPr="000952F7">
              <w:rPr>
                <w:rFonts w:ascii="Arial" w:hAnsi="Arial" w:cs="Arial"/>
                <w:b/>
                <w:spacing w:val="-3"/>
              </w:rPr>
              <w:t xml:space="preserve"> </w:t>
            </w:r>
            <w:r w:rsidRPr="000952F7">
              <w:rPr>
                <w:rFonts w:ascii="Arial" w:hAnsi="Arial" w:cs="Arial"/>
                <w:b/>
              </w:rPr>
              <w:t>AND</w:t>
            </w:r>
            <w:r w:rsidRPr="000952F7">
              <w:rPr>
                <w:rFonts w:ascii="Arial" w:hAnsi="Arial" w:cs="Arial"/>
                <w:b/>
                <w:spacing w:val="-2"/>
              </w:rPr>
              <w:t xml:space="preserve"> </w:t>
            </w:r>
            <w:r w:rsidRPr="000952F7">
              <w:rPr>
                <w:rFonts w:ascii="Arial" w:hAnsi="Arial" w:cs="Arial"/>
                <w:b/>
              </w:rPr>
              <w:t>ATC</w:t>
            </w:r>
            <w:r w:rsidRPr="000952F7">
              <w:rPr>
                <w:rFonts w:ascii="Arial" w:hAnsi="Arial" w:cs="Arial"/>
                <w:b/>
                <w:spacing w:val="-3"/>
              </w:rPr>
              <w:t xml:space="preserve"> </w:t>
            </w:r>
            <w:r w:rsidRPr="000952F7">
              <w:rPr>
                <w:rFonts w:ascii="Arial" w:hAnsi="Arial" w:cs="Arial"/>
                <w:b/>
              </w:rPr>
              <w:t>PROCEDURES</w:t>
            </w:r>
          </w:p>
        </w:tc>
      </w:tr>
      <w:tr w:rsidR="000952F7" w:rsidRPr="000952F7" w14:paraId="5C7F7B72" w14:textId="77777777" w:rsidTr="004E579F">
        <w:trPr>
          <w:trHeight w:val="202"/>
        </w:trPr>
        <w:tc>
          <w:tcPr>
            <w:tcW w:w="985" w:type="dxa"/>
          </w:tcPr>
          <w:p w14:paraId="64E1559D" w14:textId="77777777" w:rsidR="000952F7" w:rsidRPr="000952F7" w:rsidRDefault="000952F7" w:rsidP="000D1C0A">
            <w:pPr>
              <w:pStyle w:val="TableParagraph"/>
              <w:spacing w:line="225" w:lineRule="exact"/>
              <w:ind w:left="86"/>
              <w:rPr>
                <w:rFonts w:ascii="Arial" w:hAnsi="Arial" w:cs="Arial"/>
              </w:rPr>
            </w:pPr>
            <w:r w:rsidRPr="000952F7">
              <w:rPr>
                <w:rFonts w:ascii="Arial" w:hAnsi="Arial" w:cs="Arial"/>
              </w:rPr>
              <w:t>1.1.</w:t>
            </w:r>
          </w:p>
        </w:tc>
        <w:tc>
          <w:tcPr>
            <w:tcW w:w="7604" w:type="dxa"/>
          </w:tcPr>
          <w:p w14:paraId="339E5714" w14:textId="77777777" w:rsidR="000952F7" w:rsidRPr="000952F7" w:rsidRDefault="000952F7" w:rsidP="000D1C0A">
            <w:pPr>
              <w:pStyle w:val="TableParagraph"/>
              <w:spacing w:line="225" w:lineRule="exact"/>
              <w:rPr>
                <w:rFonts w:ascii="Arial" w:hAnsi="Arial" w:cs="Arial"/>
              </w:rPr>
            </w:pPr>
            <w:r w:rsidRPr="000952F7">
              <w:rPr>
                <w:rFonts w:ascii="Arial" w:hAnsi="Arial" w:cs="Arial"/>
              </w:rPr>
              <w:t>International</w:t>
            </w:r>
            <w:r w:rsidRPr="000952F7">
              <w:rPr>
                <w:rFonts w:ascii="Arial" w:hAnsi="Arial" w:cs="Arial"/>
                <w:spacing w:val="-3"/>
              </w:rPr>
              <w:t xml:space="preserve"> </w:t>
            </w:r>
            <w:r w:rsidRPr="000952F7">
              <w:rPr>
                <w:rFonts w:ascii="Arial" w:hAnsi="Arial" w:cs="Arial"/>
              </w:rPr>
              <w:t>law:</w:t>
            </w:r>
            <w:r w:rsidRPr="000952F7">
              <w:rPr>
                <w:rFonts w:ascii="Arial" w:hAnsi="Arial" w:cs="Arial"/>
                <w:spacing w:val="-5"/>
              </w:rPr>
              <w:t xml:space="preserve"> </w:t>
            </w:r>
            <w:r w:rsidRPr="000952F7">
              <w:rPr>
                <w:rFonts w:ascii="Arial" w:hAnsi="Arial" w:cs="Arial"/>
              </w:rPr>
              <w:t>conventions,</w:t>
            </w:r>
            <w:r w:rsidRPr="000952F7">
              <w:rPr>
                <w:rFonts w:ascii="Arial" w:hAnsi="Arial" w:cs="Arial"/>
                <w:spacing w:val="-2"/>
              </w:rPr>
              <w:t xml:space="preserve"> </w:t>
            </w:r>
            <w:r w:rsidRPr="000952F7">
              <w:rPr>
                <w:rFonts w:ascii="Arial" w:hAnsi="Arial" w:cs="Arial"/>
              </w:rPr>
              <w:t>agreements</w:t>
            </w:r>
            <w:r w:rsidRPr="000952F7">
              <w:rPr>
                <w:rFonts w:ascii="Arial" w:hAnsi="Arial" w:cs="Arial"/>
                <w:spacing w:val="-5"/>
              </w:rPr>
              <w:t xml:space="preserve"> </w:t>
            </w:r>
            <w:r w:rsidRPr="000952F7">
              <w:rPr>
                <w:rFonts w:ascii="Arial" w:hAnsi="Arial" w:cs="Arial"/>
              </w:rPr>
              <w:t>and</w:t>
            </w:r>
            <w:r w:rsidRPr="000952F7">
              <w:rPr>
                <w:rFonts w:ascii="Arial" w:hAnsi="Arial" w:cs="Arial"/>
                <w:spacing w:val="-3"/>
              </w:rPr>
              <w:t xml:space="preserve"> </w:t>
            </w:r>
            <w:r w:rsidRPr="000952F7">
              <w:rPr>
                <w:rFonts w:ascii="Arial" w:hAnsi="Arial" w:cs="Arial"/>
              </w:rPr>
              <w:t>organisations</w:t>
            </w:r>
          </w:p>
        </w:tc>
      </w:tr>
      <w:tr w:rsidR="000952F7" w:rsidRPr="000952F7" w14:paraId="70D74BFF" w14:textId="77777777" w:rsidTr="004E579F">
        <w:trPr>
          <w:trHeight w:val="200"/>
        </w:trPr>
        <w:tc>
          <w:tcPr>
            <w:tcW w:w="985" w:type="dxa"/>
          </w:tcPr>
          <w:p w14:paraId="21AFB4CF" w14:textId="77777777" w:rsidR="000952F7" w:rsidRPr="000952F7" w:rsidRDefault="000952F7" w:rsidP="000D1C0A">
            <w:pPr>
              <w:pStyle w:val="TableParagraph"/>
              <w:spacing w:before="1" w:line="222" w:lineRule="exact"/>
              <w:ind w:left="86"/>
              <w:rPr>
                <w:rFonts w:ascii="Arial" w:hAnsi="Arial" w:cs="Arial"/>
              </w:rPr>
            </w:pPr>
            <w:r w:rsidRPr="000952F7">
              <w:rPr>
                <w:rFonts w:ascii="Arial" w:hAnsi="Arial" w:cs="Arial"/>
              </w:rPr>
              <w:t>1.2.</w:t>
            </w:r>
          </w:p>
        </w:tc>
        <w:tc>
          <w:tcPr>
            <w:tcW w:w="7604" w:type="dxa"/>
          </w:tcPr>
          <w:p w14:paraId="6CB82E5B" w14:textId="77777777" w:rsidR="000952F7" w:rsidRPr="000952F7" w:rsidRDefault="000952F7" w:rsidP="000D1C0A">
            <w:pPr>
              <w:pStyle w:val="TableParagraph"/>
              <w:spacing w:before="1" w:line="222" w:lineRule="exact"/>
              <w:rPr>
                <w:rFonts w:ascii="Arial" w:hAnsi="Arial" w:cs="Arial"/>
              </w:rPr>
            </w:pPr>
            <w:r w:rsidRPr="000952F7">
              <w:rPr>
                <w:rFonts w:ascii="Arial" w:hAnsi="Arial" w:cs="Arial"/>
              </w:rPr>
              <w:t>Airworthiness</w:t>
            </w:r>
            <w:r w:rsidRPr="000952F7">
              <w:rPr>
                <w:rFonts w:ascii="Arial" w:hAnsi="Arial" w:cs="Arial"/>
                <w:spacing w:val="-4"/>
              </w:rPr>
              <w:t xml:space="preserve"> </w:t>
            </w:r>
            <w:r w:rsidRPr="000952F7">
              <w:rPr>
                <w:rFonts w:ascii="Arial" w:hAnsi="Arial" w:cs="Arial"/>
              </w:rPr>
              <w:t>of</w:t>
            </w:r>
            <w:r w:rsidRPr="000952F7">
              <w:rPr>
                <w:rFonts w:ascii="Arial" w:hAnsi="Arial" w:cs="Arial"/>
                <w:spacing w:val="-4"/>
              </w:rPr>
              <w:t xml:space="preserve"> </w:t>
            </w:r>
            <w:r w:rsidRPr="000952F7">
              <w:rPr>
                <w:rFonts w:ascii="Arial" w:hAnsi="Arial" w:cs="Arial"/>
              </w:rPr>
              <w:t>aircraft</w:t>
            </w:r>
          </w:p>
        </w:tc>
      </w:tr>
      <w:tr w:rsidR="000952F7" w:rsidRPr="000952F7" w14:paraId="132391AD" w14:textId="77777777" w:rsidTr="004E579F">
        <w:trPr>
          <w:trHeight w:val="202"/>
        </w:trPr>
        <w:tc>
          <w:tcPr>
            <w:tcW w:w="985" w:type="dxa"/>
          </w:tcPr>
          <w:p w14:paraId="0E8B680E" w14:textId="77777777" w:rsidR="000952F7" w:rsidRPr="000952F7" w:rsidRDefault="000952F7" w:rsidP="000D1C0A">
            <w:pPr>
              <w:pStyle w:val="TableParagraph"/>
              <w:spacing w:line="225" w:lineRule="exact"/>
              <w:ind w:left="86"/>
              <w:rPr>
                <w:rFonts w:ascii="Arial" w:hAnsi="Arial" w:cs="Arial"/>
              </w:rPr>
            </w:pPr>
            <w:r w:rsidRPr="000952F7">
              <w:rPr>
                <w:rFonts w:ascii="Arial" w:hAnsi="Arial" w:cs="Arial"/>
              </w:rPr>
              <w:t>1.3.</w:t>
            </w:r>
          </w:p>
        </w:tc>
        <w:tc>
          <w:tcPr>
            <w:tcW w:w="7604" w:type="dxa"/>
          </w:tcPr>
          <w:p w14:paraId="1523A2A7" w14:textId="77777777" w:rsidR="000952F7" w:rsidRPr="000952F7" w:rsidRDefault="000952F7" w:rsidP="000D1C0A">
            <w:pPr>
              <w:pStyle w:val="TableParagraph"/>
              <w:spacing w:line="225" w:lineRule="exact"/>
              <w:rPr>
                <w:rFonts w:ascii="Arial" w:hAnsi="Arial" w:cs="Arial"/>
              </w:rPr>
            </w:pPr>
            <w:r w:rsidRPr="000952F7">
              <w:rPr>
                <w:rFonts w:ascii="Arial" w:hAnsi="Arial" w:cs="Arial"/>
              </w:rPr>
              <w:t>Aircraft</w:t>
            </w:r>
            <w:r w:rsidRPr="000952F7">
              <w:rPr>
                <w:rFonts w:ascii="Arial" w:hAnsi="Arial" w:cs="Arial"/>
                <w:spacing w:val="-3"/>
              </w:rPr>
              <w:t xml:space="preserve"> </w:t>
            </w:r>
            <w:r w:rsidRPr="000952F7">
              <w:rPr>
                <w:rFonts w:ascii="Arial" w:hAnsi="Arial" w:cs="Arial"/>
              </w:rPr>
              <w:t>nationality</w:t>
            </w:r>
            <w:r w:rsidRPr="000952F7">
              <w:rPr>
                <w:rFonts w:ascii="Arial" w:hAnsi="Arial" w:cs="Arial"/>
                <w:spacing w:val="-2"/>
              </w:rPr>
              <w:t xml:space="preserve"> </w:t>
            </w:r>
            <w:r w:rsidRPr="000952F7">
              <w:rPr>
                <w:rFonts w:ascii="Arial" w:hAnsi="Arial" w:cs="Arial"/>
              </w:rPr>
              <w:t>and</w:t>
            </w:r>
            <w:r w:rsidRPr="000952F7">
              <w:rPr>
                <w:rFonts w:ascii="Arial" w:hAnsi="Arial" w:cs="Arial"/>
                <w:spacing w:val="-2"/>
              </w:rPr>
              <w:t xml:space="preserve"> </w:t>
            </w:r>
            <w:r w:rsidRPr="000952F7">
              <w:rPr>
                <w:rFonts w:ascii="Arial" w:hAnsi="Arial" w:cs="Arial"/>
              </w:rPr>
              <w:t>registration</w:t>
            </w:r>
            <w:r w:rsidRPr="000952F7">
              <w:rPr>
                <w:rFonts w:ascii="Arial" w:hAnsi="Arial" w:cs="Arial"/>
                <w:spacing w:val="-1"/>
              </w:rPr>
              <w:t xml:space="preserve"> </w:t>
            </w:r>
            <w:r w:rsidRPr="000952F7">
              <w:rPr>
                <w:rFonts w:ascii="Arial" w:hAnsi="Arial" w:cs="Arial"/>
              </w:rPr>
              <w:t>marks</w:t>
            </w:r>
          </w:p>
        </w:tc>
      </w:tr>
      <w:tr w:rsidR="000952F7" w:rsidRPr="000952F7" w14:paraId="6B44B1A1" w14:textId="77777777" w:rsidTr="004E579F">
        <w:trPr>
          <w:trHeight w:val="199"/>
        </w:trPr>
        <w:tc>
          <w:tcPr>
            <w:tcW w:w="985" w:type="dxa"/>
          </w:tcPr>
          <w:p w14:paraId="56984561" w14:textId="77777777" w:rsidR="000952F7" w:rsidRPr="000952F7" w:rsidRDefault="000952F7" w:rsidP="000D1C0A">
            <w:pPr>
              <w:pStyle w:val="TableParagraph"/>
              <w:spacing w:line="222" w:lineRule="exact"/>
              <w:ind w:left="86"/>
              <w:rPr>
                <w:rFonts w:ascii="Arial" w:hAnsi="Arial" w:cs="Arial"/>
              </w:rPr>
            </w:pPr>
            <w:r w:rsidRPr="000952F7">
              <w:rPr>
                <w:rFonts w:ascii="Arial" w:hAnsi="Arial" w:cs="Arial"/>
              </w:rPr>
              <w:t>1.4.</w:t>
            </w:r>
          </w:p>
        </w:tc>
        <w:tc>
          <w:tcPr>
            <w:tcW w:w="7604" w:type="dxa"/>
          </w:tcPr>
          <w:p w14:paraId="2AAA8889" w14:textId="77777777" w:rsidR="000952F7" w:rsidRPr="000952F7" w:rsidRDefault="000952F7" w:rsidP="000D1C0A">
            <w:pPr>
              <w:pStyle w:val="TableParagraph"/>
              <w:spacing w:line="222" w:lineRule="exact"/>
              <w:rPr>
                <w:rFonts w:ascii="Arial" w:hAnsi="Arial" w:cs="Arial"/>
              </w:rPr>
            </w:pPr>
            <w:r w:rsidRPr="000952F7">
              <w:rPr>
                <w:rFonts w:ascii="Arial" w:hAnsi="Arial" w:cs="Arial"/>
              </w:rPr>
              <w:t>Personnel</w:t>
            </w:r>
            <w:r w:rsidRPr="000952F7">
              <w:rPr>
                <w:rFonts w:ascii="Arial" w:hAnsi="Arial" w:cs="Arial"/>
                <w:spacing w:val="-3"/>
              </w:rPr>
              <w:t xml:space="preserve"> </w:t>
            </w:r>
            <w:r w:rsidRPr="000952F7">
              <w:rPr>
                <w:rFonts w:ascii="Arial" w:hAnsi="Arial" w:cs="Arial"/>
              </w:rPr>
              <w:t>licensing</w:t>
            </w:r>
          </w:p>
        </w:tc>
      </w:tr>
      <w:tr w:rsidR="000952F7" w:rsidRPr="000952F7" w14:paraId="083C8A82" w14:textId="77777777" w:rsidTr="004E579F">
        <w:trPr>
          <w:trHeight w:val="202"/>
        </w:trPr>
        <w:tc>
          <w:tcPr>
            <w:tcW w:w="985" w:type="dxa"/>
          </w:tcPr>
          <w:p w14:paraId="455F60BA" w14:textId="77777777" w:rsidR="000952F7" w:rsidRPr="000952F7" w:rsidRDefault="000952F7" w:rsidP="000D1C0A">
            <w:pPr>
              <w:pStyle w:val="TableParagraph"/>
              <w:spacing w:line="225" w:lineRule="exact"/>
              <w:ind w:left="86"/>
              <w:rPr>
                <w:rFonts w:ascii="Arial" w:hAnsi="Arial" w:cs="Arial"/>
              </w:rPr>
            </w:pPr>
            <w:r w:rsidRPr="000952F7">
              <w:rPr>
                <w:rFonts w:ascii="Arial" w:hAnsi="Arial" w:cs="Arial"/>
              </w:rPr>
              <w:t>1.5.</w:t>
            </w:r>
          </w:p>
        </w:tc>
        <w:tc>
          <w:tcPr>
            <w:tcW w:w="7604" w:type="dxa"/>
          </w:tcPr>
          <w:p w14:paraId="770EA77E" w14:textId="77777777" w:rsidR="000952F7" w:rsidRPr="000952F7" w:rsidRDefault="000952F7" w:rsidP="000D1C0A">
            <w:pPr>
              <w:pStyle w:val="TableParagraph"/>
              <w:spacing w:line="225" w:lineRule="exact"/>
              <w:rPr>
                <w:rFonts w:ascii="Arial" w:hAnsi="Arial" w:cs="Arial"/>
              </w:rPr>
            </w:pPr>
            <w:r w:rsidRPr="000952F7">
              <w:rPr>
                <w:rFonts w:ascii="Arial" w:hAnsi="Arial" w:cs="Arial"/>
              </w:rPr>
              <w:t>Rules</w:t>
            </w:r>
            <w:r w:rsidRPr="000952F7">
              <w:rPr>
                <w:rFonts w:ascii="Arial" w:hAnsi="Arial" w:cs="Arial"/>
                <w:spacing w:val="-3"/>
              </w:rPr>
              <w:t xml:space="preserve"> </w:t>
            </w:r>
            <w:r w:rsidRPr="000952F7">
              <w:rPr>
                <w:rFonts w:ascii="Arial" w:hAnsi="Arial" w:cs="Arial"/>
              </w:rPr>
              <w:t>of</w:t>
            </w:r>
            <w:r w:rsidRPr="000952F7">
              <w:rPr>
                <w:rFonts w:ascii="Arial" w:hAnsi="Arial" w:cs="Arial"/>
                <w:spacing w:val="-3"/>
              </w:rPr>
              <w:t xml:space="preserve"> </w:t>
            </w:r>
            <w:r w:rsidRPr="000952F7">
              <w:rPr>
                <w:rFonts w:ascii="Arial" w:hAnsi="Arial" w:cs="Arial"/>
              </w:rPr>
              <w:t>the</w:t>
            </w:r>
            <w:r w:rsidRPr="000952F7">
              <w:rPr>
                <w:rFonts w:ascii="Arial" w:hAnsi="Arial" w:cs="Arial"/>
                <w:spacing w:val="-2"/>
              </w:rPr>
              <w:t xml:space="preserve"> </w:t>
            </w:r>
            <w:r w:rsidRPr="000952F7">
              <w:rPr>
                <w:rFonts w:ascii="Arial" w:hAnsi="Arial" w:cs="Arial"/>
              </w:rPr>
              <w:t>air</w:t>
            </w:r>
          </w:p>
        </w:tc>
      </w:tr>
      <w:tr w:rsidR="000952F7" w:rsidRPr="000952F7" w14:paraId="2743C993" w14:textId="77777777" w:rsidTr="004E579F">
        <w:trPr>
          <w:trHeight w:val="200"/>
        </w:trPr>
        <w:tc>
          <w:tcPr>
            <w:tcW w:w="985" w:type="dxa"/>
          </w:tcPr>
          <w:p w14:paraId="159A48EA" w14:textId="77777777" w:rsidR="000952F7" w:rsidRPr="000952F7" w:rsidRDefault="000952F7" w:rsidP="000D1C0A">
            <w:pPr>
              <w:pStyle w:val="TableParagraph"/>
              <w:spacing w:line="222" w:lineRule="exact"/>
              <w:ind w:left="86"/>
              <w:rPr>
                <w:rFonts w:ascii="Arial" w:hAnsi="Arial" w:cs="Arial"/>
              </w:rPr>
            </w:pPr>
            <w:r w:rsidRPr="000952F7">
              <w:rPr>
                <w:rFonts w:ascii="Arial" w:hAnsi="Arial" w:cs="Arial"/>
              </w:rPr>
              <w:t>1.6.</w:t>
            </w:r>
          </w:p>
        </w:tc>
        <w:tc>
          <w:tcPr>
            <w:tcW w:w="7604" w:type="dxa"/>
          </w:tcPr>
          <w:p w14:paraId="5AEBE883" w14:textId="77777777" w:rsidR="000952F7" w:rsidRPr="000952F7" w:rsidRDefault="000952F7" w:rsidP="000D1C0A">
            <w:pPr>
              <w:pStyle w:val="TableParagraph"/>
              <w:spacing w:line="222" w:lineRule="exact"/>
              <w:rPr>
                <w:rFonts w:ascii="Arial" w:hAnsi="Arial" w:cs="Arial"/>
              </w:rPr>
            </w:pPr>
            <w:r w:rsidRPr="000952F7">
              <w:rPr>
                <w:rFonts w:ascii="Arial" w:hAnsi="Arial" w:cs="Arial"/>
              </w:rPr>
              <w:t>Procedures</w:t>
            </w:r>
            <w:r w:rsidRPr="000952F7">
              <w:rPr>
                <w:rFonts w:ascii="Arial" w:hAnsi="Arial" w:cs="Arial"/>
                <w:spacing w:val="-3"/>
              </w:rPr>
              <w:t xml:space="preserve"> </w:t>
            </w:r>
            <w:r w:rsidRPr="000952F7">
              <w:rPr>
                <w:rFonts w:ascii="Arial" w:hAnsi="Arial" w:cs="Arial"/>
              </w:rPr>
              <w:t>for</w:t>
            </w:r>
            <w:r w:rsidRPr="000952F7">
              <w:rPr>
                <w:rFonts w:ascii="Arial" w:hAnsi="Arial" w:cs="Arial"/>
                <w:spacing w:val="-3"/>
              </w:rPr>
              <w:t xml:space="preserve"> </w:t>
            </w:r>
            <w:r w:rsidRPr="000952F7">
              <w:rPr>
                <w:rFonts w:ascii="Arial" w:hAnsi="Arial" w:cs="Arial"/>
              </w:rPr>
              <w:t>air</w:t>
            </w:r>
            <w:r w:rsidRPr="000952F7">
              <w:rPr>
                <w:rFonts w:ascii="Arial" w:hAnsi="Arial" w:cs="Arial"/>
                <w:spacing w:val="-3"/>
              </w:rPr>
              <w:t xml:space="preserve"> </w:t>
            </w:r>
            <w:r w:rsidRPr="000952F7">
              <w:rPr>
                <w:rFonts w:ascii="Arial" w:hAnsi="Arial" w:cs="Arial"/>
              </w:rPr>
              <w:t>navigation:</w:t>
            </w:r>
            <w:r w:rsidRPr="000952F7">
              <w:rPr>
                <w:rFonts w:ascii="Arial" w:hAnsi="Arial" w:cs="Arial"/>
                <w:spacing w:val="-1"/>
              </w:rPr>
              <w:t xml:space="preserve"> </w:t>
            </w:r>
            <w:r w:rsidRPr="000952F7">
              <w:rPr>
                <w:rFonts w:ascii="Arial" w:hAnsi="Arial" w:cs="Arial"/>
              </w:rPr>
              <w:t>aircraft</w:t>
            </w:r>
            <w:r w:rsidRPr="000952F7">
              <w:rPr>
                <w:rFonts w:ascii="Arial" w:hAnsi="Arial" w:cs="Arial"/>
                <w:spacing w:val="-3"/>
              </w:rPr>
              <w:t xml:space="preserve"> </w:t>
            </w:r>
            <w:r w:rsidRPr="000952F7">
              <w:rPr>
                <w:rFonts w:ascii="Arial" w:hAnsi="Arial" w:cs="Arial"/>
              </w:rPr>
              <w:t>operations</w:t>
            </w:r>
          </w:p>
        </w:tc>
      </w:tr>
      <w:tr w:rsidR="000952F7" w:rsidRPr="000952F7" w14:paraId="5549AD73" w14:textId="77777777" w:rsidTr="004E579F">
        <w:trPr>
          <w:trHeight w:val="202"/>
        </w:trPr>
        <w:tc>
          <w:tcPr>
            <w:tcW w:w="985" w:type="dxa"/>
          </w:tcPr>
          <w:p w14:paraId="6E98DA07" w14:textId="77777777" w:rsidR="000952F7" w:rsidRPr="000952F7" w:rsidRDefault="000952F7" w:rsidP="000D1C0A">
            <w:pPr>
              <w:pStyle w:val="TableParagraph"/>
              <w:spacing w:line="225" w:lineRule="exact"/>
              <w:ind w:left="86"/>
              <w:rPr>
                <w:rFonts w:ascii="Arial" w:hAnsi="Arial" w:cs="Arial"/>
              </w:rPr>
            </w:pPr>
            <w:r w:rsidRPr="000952F7">
              <w:rPr>
                <w:rFonts w:ascii="Arial" w:hAnsi="Arial" w:cs="Arial"/>
              </w:rPr>
              <w:t>1.7.</w:t>
            </w:r>
          </w:p>
        </w:tc>
        <w:tc>
          <w:tcPr>
            <w:tcW w:w="7604" w:type="dxa"/>
          </w:tcPr>
          <w:p w14:paraId="78F11F46" w14:textId="77777777" w:rsidR="000952F7" w:rsidRPr="000952F7" w:rsidRDefault="000952F7" w:rsidP="000D1C0A">
            <w:pPr>
              <w:pStyle w:val="TableParagraph"/>
              <w:spacing w:line="225" w:lineRule="exact"/>
              <w:rPr>
                <w:rFonts w:ascii="Arial" w:hAnsi="Arial" w:cs="Arial"/>
              </w:rPr>
            </w:pPr>
            <w:r w:rsidRPr="000952F7">
              <w:rPr>
                <w:rFonts w:ascii="Arial" w:hAnsi="Arial" w:cs="Arial"/>
              </w:rPr>
              <w:t>Air</w:t>
            </w:r>
            <w:r w:rsidRPr="000952F7">
              <w:rPr>
                <w:rFonts w:ascii="Arial" w:hAnsi="Arial" w:cs="Arial"/>
                <w:spacing w:val="-4"/>
              </w:rPr>
              <w:t xml:space="preserve"> </w:t>
            </w:r>
            <w:r w:rsidRPr="000952F7">
              <w:rPr>
                <w:rFonts w:ascii="Arial" w:hAnsi="Arial" w:cs="Arial"/>
              </w:rPr>
              <w:t>traffic</w:t>
            </w:r>
            <w:r w:rsidRPr="000952F7">
              <w:rPr>
                <w:rFonts w:ascii="Arial" w:hAnsi="Arial" w:cs="Arial"/>
                <w:spacing w:val="-3"/>
              </w:rPr>
              <w:t xml:space="preserve"> </w:t>
            </w:r>
            <w:r w:rsidRPr="000952F7">
              <w:rPr>
                <w:rFonts w:ascii="Arial" w:hAnsi="Arial" w:cs="Arial"/>
              </w:rPr>
              <w:t>regulations:</w:t>
            </w:r>
            <w:r w:rsidRPr="000952F7">
              <w:rPr>
                <w:rFonts w:ascii="Arial" w:hAnsi="Arial" w:cs="Arial"/>
                <w:spacing w:val="-3"/>
              </w:rPr>
              <w:t xml:space="preserve"> </w:t>
            </w:r>
            <w:r w:rsidRPr="000952F7">
              <w:rPr>
                <w:rFonts w:ascii="Arial" w:hAnsi="Arial" w:cs="Arial"/>
              </w:rPr>
              <w:t>airspace</w:t>
            </w:r>
            <w:r w:rsidRPr="000952F7">
              <w:rPr>
                <w:rFonts w:ascii="Arial" w:hAnsi="Arial" w:cs="Arial"/>
                <w:spacing w:val="-4"/>
              </w:rPr>
              <w:t xml:space="preserve"> </w:t>
            </w:r>
            <w:r w:rsidRPr="000952F7">
              <w:rPr>
                <w:rFonts w:ascii="Arial" w:hAnsi="Arial" w:cs="Arial"/>
              </w:rPr>
              <w:t>structure</w:t>
            </w:r>
          </w:p>
        </w:tc>
      </w:tr>
      <w:tr w:rsidR="000952F7" w:rsidRPr="000952F7" w14:paraId="1E98C4C0" w14:textId="77777777" w:rsidTr="004E579F">
        <w:trPr>
          <w:trHeight w:val="200"/>
        </w:trPr>
        <w:tc>
          <w:tcPr>
            <w:tcW w:w="985" w:type="dxa"/>
          </w:tcPr>
          <w:p w14:paraId="068FF9B6" w14:textId="77777777" w:rsidR="000952F7" w:rsidRPr="000952F7" w:rsidRDefault="000952F7" w:rsidP="000D1C0A">
            <w:pPr>
              <w:pStyle w:val="TableParagraph"/>
              <w:spacing w:line="222" w:lineRule="exact"/>
              <w:ind w:left="86"/>
              <w:rPr>
                <w:rFonts w:ascii="Arial" w:hAnsi="Arial" w:cs="Arial"/>
              </w:rPr>
            </w:pPr>
            <w:r w:rsidRPr="000952F7">
              <w:rPr>
                <w:rFonts w:ascii="Arial" w:hAnsi="Arial" w:cs="Arial"/>
              </w:rPr>
              <w:t>1.8.</w:t>
            </w:r>
          </w:p>
        </w:tc>
        <w:tc>
          <w:tcPr>
            <w:tcW w:w="7604" w:type="dxa"/>
          </w:tcPr>
          <w:p w14:paraId="5C6B61EE" w14:textId="77777777" w:rsidR="000952F7" w:rsidRPr="000952F7" w:rsidRDefault="000952F7" w:rsidP="000D1C0A">
            <w:pPr>
              <w:pStyle w:val="TableParagraph"/>
              <w:spacing w:line="222" w:lineRule="exact"/>
              <w:rPr>
                <w:rFonts w:ascii="Arial" w:hAnsi="Arial" w:cs="Arial"/>
              </w:rPr>
            </w:pPr>
            <w:r w:rsidRPr="000952F7">
              <w:rPr>
                <w:rFonts w:ascii="Arial" w:hAnsi="Arial" w:cs="Arial"/>
              </w:rPr>
              <w:t>Air</w:t>
            </w:r>
            <w:r w:rsidRPr="000952F7">
              <w:rPr>
                <w:rFonts w:ascii="Arial" w:hAnsi="Arial" w:cs="Arial"/>
                <w:spacing w:val="-4"/>
              </w:rPr>
              <w:t xml:space="preserve"> </w:t>
            </w:r>
            <w:r w:rsidRPr="000952F7">
              <w:rPr>
                <w:rFonts w:ascii="Arial" w:hAnsi="Arial" w:cs="Arial"/>
              </w:rPr>
              <w:t>traffic</w:t>
            </w:r>
            <w:r w:rsidRPr="000952F7">
              <w:rPr>
                <w:rFonts w:ascii="Arial" w:hAnsi="Arial" w:cs="Arial"/>
                <w:spacing w:val="-1"/>
              </w:rPr>
              <w:t xml:space="preserve"> </w:t>
            </w:r>
            <w:r w:rsidRPr="000952F7">
              <w:rPr>
                <w:rFonts w:ascii="Arial" w:hAnsi="Arial" w:cs="Arial"/>
              </w:rPr>
              <w:t>services</w:t>
            </w:r>
            <w:r w:rsidRPr="000952F7">
              <w:rPr>
                <w:rFonts w:ascii="Arial" w:hAnsi="Arial" w:cs="Arial"/>
                <w:spacing w:val="-2"/>
              </w:rPr>
              <w:t xml:space="preserve"> </w:t>
            </w:r>
            <w:r w:rsidRPr="000952F7">
              <w:rPr>
                <w:rFonts w:ascii="Arial" w:hAnsi="Arial" w:cs="Arial"/>
              </w:rPr>
              <w:t>(ATS)</w:t>
            </w:r>
            <w:r w:rsidRPr="000952F7">
              <w:rPr>
                <w:rFonts w:ascii="Arial" w:hAnsi="Arial" w:cs="Arial"/>
                <w:spacing w:val="-4"/>
              </w:rPr>
              <w:t xml:space="preserve"> </w:t>
            </w:r>
            <w:r w:rsidRPr="000952F7">
              <w:rPr>
                <w:rFonts w:ascii="Arial" w:hAnsi="Arial" w:cs="Arial"/>
              </w:rPr>
              <w:t>and</w:t>
            </w:r>
            <w:r w:rsidRPr="000952F7">
              <w:rPr>
                <w:rFonts w:ascii="Arial" w:hAnsi="Arial" w:cs="Arial"/>
                <w:spacing w:val="-3"/>
              </w:rPr>
              <w:t xml:space="preserve"> </w:t>
            </w:r>
            <w:r w:rsidRPr="000952F7">
              <w:rPr>
                <w:rFonts w:ascii="Arial" w:hAnsi="Arial" w:cs="Arial"/>
              </w:rPr>
              <w:t>air</w:t>
            </w:r>
            <w:r w:rsidRPr="000952F7">
              <w:rPr>
                <w:rFonts w:ascii="Arial" w:hAnsi="Arial" w:cs="Arial"/>
                <w:spacing w:val="-3"/>
              </w:rPr>
              <w:t xml:space="preserve"> </w:t>
            </w:r>
            <w:r w:rsidRPr="000952F7">
              <w:rPr>
                <w:rFonts w:ascii="Arial" w:hAnsi="Arial" w:cs="Arial"/>
              </w:rPr>
              <w:t>traffic</w:t>
            </w:r>
            <w:r w:rsidRPr="000952F7">
              <w:rPr>
                <w:rFonts w:ascii="Arial" w:hAnsi="Arial" w:cs="Arial"/>
                <w:spacing w:val="-1"/>
              </w:rPr>
              <w:t xml:space="preserve"> </w:t>
            </w:r>
            <w:r w:rsidRPr="000952F7">
              <w:rPr>
                <w:rFonts w:ascii="Arial" w:hAnsi="Arial" w:cs="Arial"/>
              </w:rPr>
              <w:t>management</w:t>
            </w:r>
            <w:r w:rsidRPr="000952F7">
              <w:rPr>
                <w:rFonts w:ascii="Arial" w:hAnsi="Arial" w:cs="Arial"/>
                <w:spacing w:val="1"/>
              </w:rPr>
              <w:t xml:space="preserve"> </w:t>
            </w:r>
            <w:r w:rsidRPr="000952F7">
              <w:rPr>
                <w:rFonts w:ascii="Arial" w:hAnsi="Arial" w:cs="Arial"/>
              </w:rPr>
              <w:t>(ATM)</w:t>
            </w:r>
          </w:p>
        </w:tc>
      </w:tr>
      <w:tr w:rsidR="000952F7" w:rsidRPr="000952F7" w14:paraId="4C5A936E" w14:textId="77777777" w:rsidTr="004E579F">
        <w:trPr>
          <w:trHeight w:val="202"/>
        </w:trPr>
        <w:tc>
          <w:tcPr>
            <w:tcW w:w="985" w:type="dxa"/>
          </w:tcPr>
          <w:p w14:paraId="65C0B2B2" w14:textId="77777777" w:rsidR="000952F7" w:rsidRPr="000952F7" w:rsidRDefault="000952F7" w:rsidP="000D1C0A">
            <w:pPr>
              <w:pStyle w:val="TableParagraph"/>
              <w:spacing w:line="225" w:lineRule="exact"/>
              <w:ind w:left="86"/>
              <w:rPr>
                <w:rFonts w:ascii="Arial" w:hAnsi="Arial" w:cs="Arial"/>
              </w:rPr>
            </w:pPr>
            <w:r w:rsidRPr="000952F7">
              <w:rPr>
                <w:rFonts w:ascii="Arial" w:hAnsi="Arial" w:cs="Arial"/>
              </w:rPr>
              <w:t>1.9.</w:t>
            </w:r>
          </w:p>
        </w:tc>
        <w:tc>
          <w:tcPr>
            <w:tcW w:w="7604" w:type="dxa"/>
          </w:tcPr>
          <w:p w14:paraId="2C94324E" w14:textId="77777777" w:rsidR="000952F7" w:rsidRPr="000952F7" w:rsidRDefault="000952F7" w:rsidP="000D1C0A">
            <w:pPr>
              <w:pStyle w:val="TableParagraph"/>
              <w:spacing w:line="225" w:lineRule="exact"/>
              <w:rPr>
                <w:rFonts w:ascii="Arial" w:hAnsi="Arial" w:cs="Arial"/>
              </w:rPr>
            </w:pPr>
            <w:r w:rsidRPr="000952F7">
              <w:rPr>
                <w:rFonts w:ascii="Arial" w:hAnsi="Arial" w:cs="Arial"/>
              </w:rPr>
              <w:t>Aeronautical</w:t>
            </w:r>
            <w:r w:rsidRPr="000952F7">
              <w:rPr>
                <w:rFonts w:ascii="Arial" w:hAnsi="Arial" w:cs="Arial"/>
                <w:spacing w:val="-4"/>
              </w:rPr>
              <w:t xml:space="preserve"> </w:t>
            </w:r>
            <w:r w:rsidRPr="000952F7">
              <w:rPr>
                <w:rFonts w:ascii="Arial" w:hAnsi="Arial" w:cs="Arial"/>
              </w:rPr>
              <w:t>information</w:t>
            </w:r>
            <w:r w:rsidRPr="000952F7">
              <w:rPr>
                <w:rFonts w:ascii="Arial" w:hAnsi="Arial" w:cs="Arial"/>
                <w:spacing w:val="-4"/>
              </w:rPr>
              <w:t xml:space="preserve"> </w:t>
            </w:r>
            <w:r w:rsidRPr="000952F7">
              <w:rPr>
                <w:rFonts w:ascii="Arial" w:hAnsi="Arial" w:cs="Arial"/>
              </w:rPr>
              <w:t>services</w:t>
            </w:r>
            <w:r w:rsidRPr="000952F7">
              <w:rPr>
                <w:rFonts w:ascii="Arial" w:hAnsi="Arial" w:cs="Arial"/>
                <w:spacing w:val="-3"/>
              </w:rPr>
              <w:t xml:space="preserve"> </w:t>
            </w:r>
            <w:r w:rsidRPr="000952F7">
              <w:rPr>
                <w:rFonts w:ascii="Arial" w:hAnsi="Arial" w:cs="Arial"/>
              </w:rPr>
              <w:t>(AIS)</w:t>
            </w:r>
          </w:p>
        </w:tc>
      </w:tr>
      <w:tr w:rsidR="000952F7" w:rsidRPr="000952F7" w14:paraId="2C87FFDF" w14:textId="77777777" w:rsidTr="004E579F">
        <w:trPr>
          <w:trHeight w:val="199"/>
        </w:trPr>
        <w:tc>
          <w:tcPr>
            <w:tcW w:w="985" w:type="dxa"/>
          </w:tcPr>
          <w:p w14:paraId="49D6CC89" w14:textId="77777777" w:rsidR="000952F7" w:rsidRPr="000952F7" w:rsidRDefault="000952F7" w:rsidP="000D1C0A">
            <w:pPr>
              <w:pStyle w:val="TableParagraph"/>
              <w:spacing w:line="223" w:lineRule="exact"/>
              <w:ind w:left="86"/>
              <w:rPr>
                <w:rFonts w:ascii="Arial" w:hAnsi="Arial" w:cs="Arial"/>
              </w:rPr>
            </w:pPr>
            <w:r w:rsidRPr="000952F7">
              <w:rPr>
                <w:rFonts w:ascii="Arial" w:hAnsi="Arial" w:cs="Arial"/>
              </w:rPr>
              <w:t>1.10.</w:t>
            </w:r>
          </w:p>
        </w:tc>
        <w:tc>
          <w:tcPr>
            <w:tcW w:w="7604" w:type="dxa"/>
          </w:tcPr>
          <w:p w14:paraId="50717AFC" w14:textId="77777777" w:rsidR="000952F7" w:rsidRPr="000952F7" w:rsidRDefault="000952F7" w:rsidP="000D1C0A">
            <w:pPr>
              <w:pStyle w:val="TableParagraph"/>
              <w:spacing w:line="223" w:lineRule="exact"/>
              <w:rPr>
                <w:rFonts w:ascii="Arial" w:hAnsi="Arial" w:cs="Arial"/>
              </w:rPr>
            </w:pPr>
            <w:r w:rsidRPr="000952F7">
              <w:rPr>
                <w:rFonts w:ascii="Arial" w:hAnsi="Arial" w:cs="Arial"/>
              </w:rPr>
              <w:t>Aerodromes,</w:t>
            </w:r>
            <w:r w:rsidRPr="000952F7">
              <w:rPr>
                <w:rFonts w:ascii="Arial" w:hAnsi="Arial" w:cs="Arial"/>
                <w:spacing w:val="-3"/>
              </w:rPr>
              <w:t xml:space="preserve"> </w:t>
            </w:r>
            <w:r w:rsidRPr="000952F7">
              <w:rPr>
                <w:rFonts w:ascii="Arial" w:hAnsi="Arial" w:cs="Arial"/>
              </w:rPr>
              <w:t>external</w:t>
            </w:r>
            <w:r w:rsidRPr="000952F7">
              <w:rPr>
                <w:rFonts w:ascii="Arial" w:hAnsi="Arial" w:cs="Arial"/>
                <w:spacing w:val="-2"/>
              </w:rPr>
              <w:t xml:space="preserve"> </w:t>
            </w:r>
            <w:r w:rsidRPr="000952F7">
              <w:rPr>
                <w:rFonts w:ascii="Arial" w:hAnsi="Arial" w:cs="Arial"/>
              </w:rPr>
              <w:t>take-off</w:t>
            </w:r>
            <w:r w:rsidRPr="000952F7">
              <w:rPr>
                <w:rFonts w:ascii="Arial" w:hAnsi="Arial" w:cs="Arial"/>
                <w:spacing w:val="-4"/>
              </w:rPr>
              <w:t xml:space="preserve"> </w:t>
            </w:r>
            <w:r w:rsidRPr="000952F7">
              <w:rPr>
                <w:rFonts w:ascii="Arial" w:hAnsi="Arial" w:cs="Arial"/>
              </w:rPr>
              <w:t>sites</w:t>
            </w:r>
          </w:p>
        </w:tc>
      </w:tr>
      <w:tr w:rsidR="000952F7" w:rsidRPr="000952F7" w14:paraId="30082D38" w14:textId="77777777" w:rsidTr="004E579F">
        <w:trPr>
          <w:trHeight w:val="202"/>
        </w:trPr>
        <w:tc>
          <w:tcPr>
            <w:tcW w:w="985" w:type="dxa"/>
          </w:tcPr>
          <w:p w14:paraId="786FDE2F" w14:textId="77777777" w:rsidR="000952F7" w:rsidRPr="000952F7" w:rsidRDefault="000952F7" w:rsidP="000D1C0A">
            <w:pPr>
              <w:pStyle w:val="TableParagraph"/>
              <w:spacing w:line="225" w:lineRule="exact"/>
              <w:ind w:left="86"/>
              <w:rPr>
                <w:rFonts w:ascii="Arial" w:hAnsi="Arial" w:cs="Arial"/>
              </w:rPr>
            </w:pPr>
            <w:r w:rsidRPr="000952F7">
              <w:rPr>
                <w:rFonts w:ascii="Arial" w:hAnsi="Arial" w:cs="Arial"/>
              </w:rPr>
              <w:t>1.11.</w:t>
            </w:r>
          </w:p>
        </w:tc>
        <w:tc>
          <w:tcPr>
            <w:tcW w:w="7604" w:type="dxa"/>
          </w:tcPr>
          <w:p w14:paraId="76AB988C" w14:textId="77777777" w:rsidR="000952F7" w:rsidRPr="000952F7" w:rsidRDefault="000952F7" w:rsidP="000D1C0A">
            <w:pPr>
              <w:pStyle w:val="TableParagraph"/>
              <w:spacing w:line="225" w:lineRule="exact"/>
              <w:rPr>
                <w:rFonts w:ascii="Arial" w:hAnsi="Arial" w:cs="Arial"/>
              </w:rPr>
            </w:pPr>
            <w:r w:rsidRPr="000952F7">
              <w:rPr>
                <w:rFonts w:ascii="Arial" w:hAnsi="Arial" w:cs="Arial"/>
              </w:rPr>
              <w:t>Search</w:t>
            </w:r>
            <w:r w:rsidRPr="000952F7">
              <w:rPr>
                <w:rFonts w:ascii="Arial" w:hAnsi="Arial" w:cs="Arial"/>
                <w:spacing w:val="-3"/>
              </w:rPr>
              <w:t xml:space="preserve"> </w:t>
            </w:r>
            <w:r w:rsidRPr="000952F7">
              <w:rPr>
                <w:rFonts w:ascii="Arial" w:hAnsi="Arial" w:cs="Arial"/>
              </w:rPr>
              <w:t>and</w:t>
            </w:r>
            <w:r w:rsidRPr="000952F7">
              <w:rPr>
                <w:rFonts w:ascii="Arial" w:hAnsi="Arial" w:cs="Arial"/>
                <w:spacing w:val="-2"/>
              </w:rPr>
              <w:t xml:space="preserve"> </w:t>
            </w:r>
            <w:r w:rsidRPr="000952F7">
              <w:rPr>
                <w:rFonts w:ascii="Arial" w:hAnsi="Arial" w:cs="Arial"/>
              </w:rPr>
              <w:t>rescue</w:t>
            </w:r>
          </w:p>
        </w:tc>
      </w:tr>
      <w:tr w:rsidR="000952F7" w:rsidRPr="000952F7" w14:paraId="7170B4FC" w14:textId="77777777" w:rsidTr="004E579F">
        <w:trPr>
          <w:trHeight w:val="200"/>
        </w:trPr>
        <w:tc>
          <w:tcPr>
            <w:tcW w:w="985" w:type="dxa"/>
          </w:tcPr>
          <w:p w14:paraId="44BB88A6" w14:textId="77777777" w:rsidR="000952F7" w:rsidRPr="000952F7" w:rsidRDefault="000952F7" w:rsidP="000D1C0A">
            <w:pPr>
              <w:pStyle w:val="TableParagraph"/>
              <w:spacing w:line="223" w:lineRule="exact"/>
              <w:ind w:left="86"/>
              <w:rPr>
                <w:rFonts w:ascii="Arial" w:hAnsi="Arial" w:cs="Arial"/>
              </w:rPr>
            </w:pPr>
            <w:r w:rsidRPr="000952F7">
              <w:rPr>
                <w:rFonts w:ascii="Arial" w:hAnsi="Arial" w:cs="Arial"/>
              </w:rPr>
              <w:t>1.12.</w:t>
            </w:r>
          </w:p>
        </w:tc>
        <w:tc>
          <w:tcPr>
            <w:tcW w:w="7604" w:type="dxa"/>
          </w:tcPr>
          <w:p w14:paraId="697610D5" w14:textId="77777777" w:rsidR="000952F7" w:rsidRPr="000952F7" w:rsidRDefault="000952F7" w:rsidP="000D1C0A">
            <w:pPr>
              <w:pStyle w:val="TableParagraph"/>
              <w:spacing w:line="223" w:lineRule="exact"/>
              <w:rPr>
                <w:rFonts w:ascii="Arial" w:hAnsi="Arial" w:cs="Arial"/>
              </w:rPr>
            </w:pPr>
            <w:r w:rsidRPr="000952F7">
              <w:rPr>
                <w:rFonts w:ascii="Arial" w:hAnsi="Arial" w:cs="Arial"/>
              </w:rPr>
              <w:t>Security</w:t>
            </w:r>
          </w:p>
        </w:tc>
      </w:tr>
      <w:tr w:rsidR="000952F7" w:rsidRPr="000952F7" w14:paraId="15867B69" w14:textId="77777777" w:rsidTr="004E579F">
        <w:trPr>
          <w:trHeight w:val="202"/>
        </w:trPr>
        <w:tc>
          <w:tcPr>
            <w:tcW w:w="985" w:type="dxa"/>
          </w:tcPr>
          <w:p w14:paraId="0BDC202F" w14:textId="77777777" w:rsidR="000952F7" w:rsidRPr="000952F7" w:rsidRDefault="000952F7" w:rsidP="000D1C0A">
            <w:pPr>
              <w:pStyle w:val="TableParagraph"/>
              <w:spacing w:line="225" w:lineRule="exact"/>
              <w:ind w:left="86"/>
              <w:rPr>
                <w:rFonts w:ascii="Arial" w:hAnsi="Arial" w:cs="Arial"/>
              </w:rPr>
            </w:pPr>
            <w:r w:rsidRPr="000952F7">
              <w:rPr>
                <w:rFonts w:ascii="Arial" w:hAnsi="Arial" w:cs="Arial"/>
              </w:rPr>
              <w:t>1.13.</w:t>
            </w:r>
          </w:p>
        </w:tc>
        <w:tc>
          <w:tcPr>
            <w:tcW w:w="7604" w:type="dxa"/>
          </w:tcPr>
          <w:p w14:paraId="16CB6FA3" w14:textId="77777777" w:rsidR="000952F7" w:rsidRPr="000952F7" w:rsidRDefault="000952F7" w:rsidP="000D1C0A">
            <w:pPr>
              <w:pStyle w:val="TableParagraph"/>
              <w:spacing w:line="225" w:lineRule="exact"/>
              <w:rPr>
                <w:rFonts w:ascii="Arial" w:hAnsi="Arial" w:cs="Arial"/>
              </w:rPr>
            </w:pPr>
            <w:r w:rsidRPr="000952F7">
              <w:rPr>
                <w:rFonts w:ascii="Arial" w:hAnsi="Arial" w:cs="Arial"/>
              </w:rPr>
              <w:t>Accident</w:t>
            </w:r>
            <w:r w:rsidRPr="000952F7">
              <w:rPr>
                <w:rFonts w:ascii="Arial" w:hAnsi="Arial" w:cs="Arial"/>
                <w:spacing w:val="-4"/>
              </w:rPr>
              <w:t xml:space="preserve"> </w:t>
            </w:r>
            <w:r w:rsidRPr="000952F7">
              <w:rPr>
                <w:rFonts w:ascii="Arial" w:hAnsi="Arial" w:cs="Arial"/>
              </w:rPr>
              <w:t>reporting</w:t>
            </w:r>
          </w:p>
        </w:tc>
      </w:tr>
      <w:tr w:rsidR="000952F7" w:rsidRPr="000952F7" w14:paraId="46C70AF1" w14:textId="77777777" w:rsidTr="004E579F">
        <w:trPr>
          <w:trHeight w:val="200"/>
        </w:trPr>
        <w:tc>
          <w:tcPr>
            <w:tcW w:w="985" w:type="dxa"/>
          </w:tcPr>
          <w:p w14:paraId="633931A6" w14:textId="77777777" w:rsidR="000952F7" w:rsidRPr="000952F7" w:rsidRDefault="000952F7" w:rsidP="000D1C0A">
            <w:pPr>
              <w:pStyle w:val="TableParagraph"/>
              <w:spacing w:line="223" w:lineRule="exact"/>
              <w:ind w:left="86"/>
              <w:rPr>
                <w:rFonts w:ascii="Arial" w:hAnsi="Arial" w:cs="Arial"/>
              </w:rPr>
            </w:pPr>
            <w:r w:rsidRPr="000952F7">
              <w:rPr>
                <w:rFonts w:ascii="Arial" w:hAnsi="Arial" w:cs="Arial"/>
              </w:rPr>
              <w:t>1.14.</w:t>
            </w:r>
          </w:p>
        </w:tc>
        <w:tc>
          <w:tcPr>
            <w:tcW w:w="7604" w:type="dxa"/>
          </w:tcPr>
          <w:p w14:paraId="2432AA96" w14:textId="77777777" w:rsidR="000952F7" w:rsidRPr="000952F7" w:rsidRDefault="000952F7" w:rsidP="000D1C0A">
            <w:pPr>
              <w:pStyle w:val="TableParagraph"/>
              <w:spacing w:line="223" w:lineRule="exact"/>
              <w:rPr>
                <w:rFonts w:ascii="Arial" w:hAnsi="Arial" w:cs="Arial"/>
              </w:rPr>
            </w:pPr>
            <w:r w:rsidRPr="000952F7">
              <w:rPr>
                <w:rFonts w:ascii="Arial" w:hAnsi="Arial" w:cs="Arial"/>
              </w:rPr>
              <w:t>National</w:t>
            </w:r>
            <w:r w:rsidRPr="000952F7">
              <w:rPr>
                <w:rFonts w:ascii="Arial" w:hAnsi="Arial" w:cs="Arial"/>
                <w:spacing w:val="-2"/>
              </w:rPr>
              <w:t xml:space="preserve"> </w:t>
            </w:r>
            <w:r w:rsidRPr="000952F7">
              <w:rPr>
                <w:rFonts w:ascii="Arial" w:hAnsi="Arial" w:cs="Arial"/>
              </w:rPr>
              <w:t>law</w:t>
            </w:r>
          </w:p>
        </w:tc>
      </w:tr>
      <w:tr w:rsidR="000952F7" w:rsidRPr="000952F7" w14:paraId="30427471" w14:textId="77777777" w:rsidTr="004E579F">
        <w:trPr>
          <w:trHeight w:val="202"/>
        </w:trPr>
        <w:tc>
          <w:tcPr>
            <w:tcW w:w="985" w:type="dxa"/>
            <w:shd w:val="clear" w:color="auto" w:fill="F2F2F2" w:themeFill="background1" w:themeFillShade="F2"/>
          </w:tcPr>
          <w:p w14:paraId="5CFBA035" w14:textId="77777777" w:rsidR="000952F7" w:rsidRPr="000952F7" w:rsidRDefault="000952F7" w:rsidP="004E579F">
            <w:pPr>
              <w:pStyle w:val="TableParagraph"/>
              <w:spacing w:before="1" w:line="222" w:lineRule="exact"/>
              <w:ind w:left="86"/>
              <w:rPr>
                <w:rFonts w:ascii="Arial" w:hAnsi="Arial" w:cs="Arial"/>
                <w:b/>
              </w:rPr>
            </w:pPr>
            <w:r w:rsidRPr="000952F7">
              <w:rPr>
                <w:rFonts w:ascii="Arial" w:hAnsi="Arial" w:cs="Arial"/>
                <w:b/>
              </w:rPr>
              <w:t>2.</w:t>
            </w:r>
          </w:p>
        </w:tc>
        <w:tc>
          <w:tcPr>
            <w:tcW w:w="7604" w:type="dxa"/>
            <w:shd w:val="clear" w:color="auto" w:fill="F2F2F2" w:themeFill="background1" w:themeFillShade="F2"/>
          </w:tcPr>
          <w:p w14:paraId="3C3DF73B" w14:textId="77777777" w:rsidR="000952F7" w:rsidRPr="000952F7" w:rsidRDefault="000952F7" w:rsidP="004E579F">
            <w:pPr>
              <w:pStyle w:val="TableParagraph"/>
              <w:spacing w:before="1" w:line="222" w:lineRule="exact"/>
              <w:rPr>
                <w:rFonts w:ascii="Arial" w:hAnsi="Arial" w:cs="Arial"/>
                <w:b/>
              </w:rPr>
            </w:pPr>
            <w:r w:rsidRPr="000952F7">
              <w:rPr>
                <w:rFonts w:ascii="Arial" w:hAnsi="Arial" w:cs="Arial"/>
                <w:b/>
              </w:rPr>
              <w:t>HUMAN</w:t>
            </w:r>
            <w:r w:rsidRPr="004E579F">
              <w:rPr>
                <w:rFonts w:ascii="Arial" w:hAnsi="Arial" w:cs="Arial"/>
                <w:b/>
              </w:rPr>
              <w:t xml:space="preserve"> </w:t>
            </w:r>
            <w:r w:rsidRPr="000952F7">
              <w:rPr>
                <w:rFonts w:ascii="Arial" w:hAnsi="Arial" w:cs="Arial"/>
                <w:b/>
              </w:rPr>
              <w:t>PERFORMANCE</w:t>
            </w:r>
          </w:p>
        </w:tc>
      </w:tr>
      <w:tr w:rsidR="000952F7" w:rsidRPr="000952F7" w14:paraId="19402F13" w14:textId="77777777" w:rsidTr="004E579F">
        <w:trPr>
          <w:trHeight w:val="200"/>
        </w:trPr>
        <w:tc>
          <w:tcPr>
            <w:tcW w:w="985" w:type="dxa"/>
          </w:tcPr>
          <w:p w14:paraId="0079DD02" w14:textId="77777777" w:rsidR="000952F7" w:rsidRPr="000952F7" w:rsidRDefault="000952F7" w:rsidP="000D1C0A">
            <w:pPr>
              <w:pStyle w:val="TableParagraph"/>
              <w:spacing w:line="223" w:lineRule="exact"/>
              <w:ind w:left="86"/>
              <w:rPr>
                <w:rFonts w:ascii="Arial" w:hAnsi="Arial" w:cs="Arial"/>
              </w:rPr>
            </w:pPr>
            <w:r w:rsidRPr="000952F7">
              <w:rPr>
                <w:rFonts w:ascii="Arial" w:hAnsi="Arial" w:cs="Arial"/>
              </w:rPr>
              <w:t>2.1.</w:t>
            </w:r>
          </w:p>
        </w:tc>
        <w:tc>
          <w:tcPr>
            <w:tcW w:w="7604" w:type="dxa"/>
          </w:tcPr>
          <w:p w14:paraId="5E2053EA" w14:textId="77777777" w:rsidR="000952F7" w:rsidRPr="000952F7" w:rsidRDefault="000952F7" w:rsidP="000D1C0A">
            <w:pPr>
              <w:pStyle w:val="TableParagraph"/>
              <w:spacing w:line="223" w:lineRule="exact"/>
              <w:rPr>
                <w:rFonts w:ascii="Arial" w:hAnsi="Arial" w:cs="Arial"/>
              </w:rPr>
            </w:pPr>
            <w:r w:rsidRPr="000952F7">
              <w:rPr>
                <w:rFonts w:ascii="Arial" w:hAnsi="Arial" w:cs="Arial"/>
              </w:rPr>
              <w:t>Human</w:t>
            </w:r>
            <w:r w:rsidRPr="000952F7">
              <w:rPr>
                <w:rFonts w:ascii="Arial" w:hAnsi="Arial" w:cs="Arial"/>
                <w:spacing w:val="-2"/>
              </w:rPr>
              <w:t xml:space="preserve"> </w:t>
            </w:r>
            <w:r w:rsidRPr="000952F7">
              <w:rPr>
                <w:rFonts w:ascii="Arial" w:hAnsi="Arial" w:cs="Arial"/>
              </w:rPr>
              <w:t>factors:</w:t>
            </w:r>
            <w:r w:rsidRPr="000952F7">
              <w:rPr>
                <w:rFonts w:ascii="Arial" w:hAnsi="Arial" w:cs="Arial"/>
                <w:spacing w:val="-4"/>
              </w:rPr>
              <w:t xml:space="preserve"> </w:t>
            </w:r>
            <w:r w:rsidRPr="000952F7">
              <w:rPr>
                <w:rFonts w:ascii="Arial" w:hAnsi="Arial" w:cs="Arial"/>
              </w:rPr>
              <w:t>basic</w:t>
            </w:r>
            <w:r w:rsidRPr="000952F7">
              <w:rPr>
                <w:rFonts w:ascii="Arial" w:hAnsi="Arial" w:cs="Arial"/>
                <w:spacing w:val="-2"/>
              </w:rPr>
              <w:t xml:space="preserve"> </w:t>
            </w:r>
            <w:r w:rsidRPr="000952F7">
              <w:rPr>
                <w:rFonts w:ascii="Arial" w:hAnsi="Arial" w:cs="Arial"/>
              </w:rPr>
              <w:t>concepts</w:t>
            </w:r>
          </w:p>
        </w:tc>
      </w:tr>
      <w:tr w:rsidR="000952F7" w:rsidRPr="000952F7" w14:paraId="32919531" w14:textId="77777777" w:rsidTr="004E579F">
        <w:trPr>
          <w:trHeight w:val="202"/>
        </w:trPr>
        <w:tc>
          <w:tcPr>
            <w:tcW w:w="985" w:type="dxa"/>
          </w:tcPr>
          <w:p w14:paraId="4E5A9C88" w14:textId="77777777" w:rsidR="000952F7" w:rsidRPr="000952F7" w:rsidRDefault="000952F7" w:rsidP="000D1C0A">
            <w:pPr>
              <w:pStyle w:val="TableParagraph"/>
              <w:spacing w:line="225" w:lineRule="exact"/>
              <w:ind w:left="86"/>
              <w:rPr>
                <w:rFonts w:ascii="Arial" w:hAnsi="Arial" w:cs="Arial"/>
              </w:rPr>
            </w:pPr>
            <w:r w:rsidRPr="000952F7">
              <w:rPr>
                <w:rFonts w:ascii="Arial" w:hAnsi="Arial" w:cs="Arial"/>
              </w:rPr>
              <w:t>2.2.</w:t>
            </w:r>
          </w:p>
        </w:tc>
        <w:tc>
          <w:tcPr>
            <w:tcW w:w="7604" w:type="dxa"/>
          </w:tcPr>
          <w:p w14:paraId="0533E2D4" w14:textId="77777777" w:rsidR="000952F7" w:rsidRPr="000952F7" w:rsidRDefault="000952F7" w:rsidP="000D1C0A">
            <w:pPr>
              <w:pStyle w:val="TableParagraph"/>
              <w:spacing w:line="225" w:lineRule="exact"/>
              <w:rPr>
                <w:rFonts w:ascii="Arial" w:hAnsi="Arial" w:cs="Arial"/>
              </w:rPr>
            </w:pPr>
            <w:r w:rsidRPr="000952F7">
              <w:rPr>
                <w:rFonts w:ascii="Arial" w:hAnsi="Arial" w:cs="Arial"/>
              </w:rPr>
              <w:t>Basic</w:t>
            </w:r>
            <w:r w:rsidRPr="000952F7">
              <w:rPr>
                <w:rFonts w:ascii="Arial" w:hAnsi="Arial" w:cs="Arial"/>
                <w:spacing w:val="-3"/>
              </w:rPr>
              <w:t xml:space="preserve"> </w:t>
            </w:r>
            <w:r w:rsidRPr="000952F7">
              <w:rPr>
                <w:rFonts w:ascii="Arial" w:hAnsi="Arial" w:cs="Arial"/>
              </w:rPr>
              <w:t>aviation</w:t>
            </w:r>
            <w:r w:rsidRPr="000952F7">
              <w:rPr>
                <w:rFonts w:ascii="Arial" w:hAnsi="Arial" w:cs="Arial"/>
                <w:spacing w:val="-1"/>
              </w:rPr>
              <w:t xml:space="preserve"> </w:t>
            </w:r>
            <w:r w:rsidRPr="000952F7">
              <w:rPr>
                <w:rFonts w:ascii="Arial" w:hAnsi="Arial" w:cs="Arial"/>
              </w:rPr>
              <w:t>physiology</w:t>
            </w:r>
            <w:r w:rsidRPr="000952F7">
              <w:rPr>
                <w:rFonts w:ascii="Arial" w:hAnsi="Arial" w:cs="Arial"/>
                <w:spacing w:val="-3"/>
              </w:rPr>
              <w:t xml:space="preserve"> </w:t>
            </w:r>
            <w:r w:rsidRPr="000952F7">
              <w:rPr>
                <w:rFonts w:ascii="Arial" w:hAnsi="Arial" w:cs="Arial"/>
              </w:rPr>
              <w:t>and</w:t>
            </w:r>
            <w:r w:rsidRPr="000952F7">
              <w:rPr>
                <w:rFonts w:ascii="Arial" w:hAnsi="Arial" w:cs="Arial"/>
                <w:spacing w:val="-4"/>
              </w:rPr>
              <w:t xml:space="preserve"> </w:t>
            </w:r>
            <w:r w:rsidRPr="000952F7">
              <w:rPr>
                <w:rFonts w:ascii="Arial" w:hAnsi="Arial" w:cs="Arial"/>
              </w:rPr>
              <w:t>health</w:t>
            </w:r>
            <w:r w:rsidRPr="000952F7">
              <w:rPr>
                <w:rFonts w:ascii="Arial" w:hAnsi="Arial" w:cs="Arial"/>
                <w:spacing w:val="-2"/>
              </w:rPr>
              <w:t xml:space="preserve"> </w:t>
            </w:r>
            <w:r w:rsidRPr="000952F7">
              <w:rPr>
                <w:rFonts w:ascii="Arial" w:hAnsi="Arial" w:cs="Arial"/>
              </w:rPr>
              <w:t>maintenance</w:t>
            </w:r>
          </w:p>
        </w:tc>
      </w:tr>
      <w:tr w:rsidR="000952F7" w:rsidRPr="000952F7" w14:paraId="2A0CCF5D" w14:textId="77777777" w:rsidTr="004E579F">
        <w:trPr>
          <w:trHeight w:val="200"/>
        </w:trPr>
        <w:tc>
          <w:tcPr>
            <w:tcW w:w="985" w:type="dxa"/>
          </w:tcPr>
          <w:p w14:paraId="161538CB" w14:textId="77777777" w:rsidR="000952F7" w:rsidRPr="000952F7" w:rsidRDefault="000952F7" w:rsidP="000D1C0A">
            <w:pPr>
              <w:pStyle w:val="TableParagraph"/>
              <w:spacing w:line="223" w:lineRule="exact"/>
              <w:ind w:left="86"/>
              <w:rPr>
                <w:rFonts w:ascii="Arial" w:hAnsi="Arial" w:cs="Arial"/>
              </w:rPr>
            </w:pPr>
            <w:r w:rsidRPr="000952F7">
              <w:rPr>
                <w:rFonts w:ascii="Arial" w:hAnsi="Arial" w:cs="Arial"/>
              </w:rPr>
              <w:t>2.3.</w:t>
            </w:r>
          </w:p>
        </w:tc>
        <w:tc>
          <w:tcPr>
            <w:tcW w:w="7604" w:type="dxa"/>
          </w:tcPr>
          <w:p w14:paraId="47307BDE" w14:textId="77777777" w:rsidR="000952F7" w:rsidRPr="000952F7" w:rsidRDefault="000952F7" w:rsidP="000D1C0A">
            <w:pPr>
              <w:pStyle w:val="TableParagraph"/>
              <w:spacing w:line="223" w:lineRule="exact"/>
              <w:rPr>
                <w:rFonts w:ascii="Arial" w:hAnsi="Arial" w:cs="Arial"/>
              </w:rPr>
            </w:pPr>
            <w:r w:rsidRPr="000952F7">
              <w:rPr>
                <w:rFonts w:ascii="Arial" w:hAnsi="Arial" w:cs="Arial"/>
              </w:rPr>
              <w:t>Basic</w:t>
            </w:r>
            <w:r w:rsidRPr="000952F7">
              <w:rPr>
                <w:rFonts w:ascii="Arial" w:hAnsi="Arial" w:cs="Arial"/>
                <w:spacing w:val="-3"/>
              </w:rPr>
              <w:t xml:space="preserve"> </w:t>
            </w:r>
            <w:r w:rsidRPr="000952F7">
              <w:rPr>
                <w:rFonts w:ascii="Arial" w:hAnsi="Arial" w:cs="Arial"/>
              </w:rPr>
              <w:t>aviation</w:t>
            </w:r>
            <w:r w:rsidRPr="000952F7">
              <w:rPr>
                <w:rFonts w:ascii="Arial" w:hAnsi="Arial" w:cs="Arial"/>
                <w:spacing w:val="-2"/>
              </w:rPr>
              <w:t xml:space="preserve"> </w:t>
            </w:r>
            <w:r w:rsidRPr="000952F7">
              <w:rPr>
                <w:rFonts w:ascii="Arial" w:hAnsi="Arial" w:cs="Arial"/>
              </w:rPr>
              <w:t>psychology</w:t>
            </w:r>
          </w:p>
        </w:tc>
      </w:tr>
      <w:tr w:rsidR="000952F7" w:rsidRPr="000952F7" w14:paraId="3571BC1D" w14:textId="77777777" w:rsidTr="004E579F">
        <w:trPr>
          <w:trHeight w:val="199"/>
        </w:trPr>
        <w:tc>
          <w:tcPr>
            <w:tcW w:w="985" w:type="dxa"/>
          </w:tcPr>
          <w:p w14:paraId="487BE2D9" w14:textId="77777777" w:rsidR="000952F7" w:rsidRPr="000952F7" w:rsidRDefault="000952F7" w:rsidP="000D1C0A">
            <w:pPr>
              <w:pStyle w:val="TableParagraph"/>
              <w:spacing w:line="222" w:lineRule="exact"/>
              <w:ind w:left="86"/>
              <w:rPr>
                <w:rFonts w:ascii="Arial" w:hAnsi="Arial" w:cs="Arial"/>
              </w:rPr>
            </w:pPr>
            <w:r w:rsidRPr="000952F7">
              <w:rPr>
                <w:rFonts w:ascii="Arial" w:hAnsi="Arial" w:cs="Arial"/>
              </w:rPr>
              <w:t>2.4.</w:t>
            </w:r>
          </w:p>
        </w:tc>
        <w:tc>
          <w:tcPr>
            <w:tcW w:w="7604" w:type="dxa"/>
          </w:tcPr>
          <w:p w14:paraId="53BA8449" w14:textId="77777777" w:rsidR="000952F7" w:rsidRPr="000952F7" w:rsidRDefault="000952F7" w:rsidP="000D1C0A">
            <w:pPr>
              <w:pStyle w:val="TableParagraph"/>
              <w:spacing w:line="222" w:lineRule="exact"/>
              <w:rPr>
                <w:rFonts w:ascii="Arial" w:hAnsi="Arial" w:cs="Arial"/>
              </w:rPr>
            </w:pPr>
            <w:r w:rsidRPr="000952F7">
              <w:rPr>
                <w:rFonts w:ascii="Arial" w:hAnsi="Arial" w:cs="Arial"/>
              </w:rPr>
              <w:t>Use</w:t>
            </w:r>
            <w:r w:rsidRPr="000952F7">
              <w:rPr>
                <w:rFonts w:ascii="Arial" w:hAnsi="Arial" w:cs="Arial"/>
                <w:spacing w:val="-3"/>
              </w:rPr>
              <w:t xml:space="preserve"> </w:t>
            </w:r>
            <w:r w:rsidRPr="000952F7">
              <w:rPr>
                <w:rFonts w:ascii="Arial" w:hAnsi="Arial" w:cs="Arial"/>
              </w:rPr>
              <w:t>of</w:t>
            </w:r>
            <w:r w:rsidRPr="000952F7">
              <w:rPr>
                <w:rFonts w:ascii="Arial" w:hAnsi="Arial" w:cs="Arial"/>
                <w:spacing w:val="-4"/>
              </w:rPr>
              <w:t xml:space="preserve"> </w:t>
            </w:r>
            <w:r w:rsidRPr="000952F7">
              <w:rPr>
                <w:rFonts w:ascii="Arial" w:hAnsi="Arial" w:cs="Arial"/>
              </w:rPr>
              <w:t>oxygen</w:t>
            </w:r>
          </w:p>
        </w:tc>
      </w:tr>
      <w:tr w:rsidR="000952F7" w:rsidRPr="000952F7" w14:paraId="11006D51" w14:textId="77777777" w:rsidTr="004E579F">
        <w:trPr>
          <w:trHeight w:val="202"/>
        </w:trPr>
        <w:tc>
          <w:tcPr>
            <w:tcW w:w="985" w:type="dxa"/>
            <w:shd w:val="clear" w:color="auto" w:fill="F2F2F2" w:themeFill="background1" w:themeFillShade="F2"/>
          </w:tcPr>
          <w:p w14:paraId="674A64F9" w14:textId="77777777" w:rsidR="000952F7" w:rsidRPr="000952F7" w:rsidRDefault="000952F7" w:rsidP="000D1C0A">
            <w:pPr>
              <w:pStyle w:val="TableParagraph"/>
              <w:spacing w:line="225" w:lineRule="exact"/>
              <w:ind w:left="86"/>
              <w:rPr>
                <w:rFonts w:ascii="Arial" w:hAnsi="Arial" w:cs="Arial"/>
                <w:b/>
              </w:rPr>
            </w:pPr>
            <w:r w:rsidRPr="000952F7">
              <w:rPr>
                <w:rFonts w:ascii="Arial" w:hAnsi="Arial" w:cs="Arial"/>
                <w:b/>
              </w:rPr>
              <w:t>3.</w:t>
            </w:r>
          </w:p>
        </w:tc>
        <w:tc>
          <w:tcPr>
            <w:tcW w:w="7604" w:type="dxa"/>
            <w:shd w:val="clear" w:color="auto" w:fill="F2F2F2" w:themeFill="background1" w:themeFillShade="F2"/>
          </w:tcPr>
          <w:p w14:paraId="2C108664" w14:textId="77777777" w:rsidR="000952F7" w:rsidRPr="000952F7" w:rsidRDefault="000952F7" w:rsidP="000D1C0A">
            <w:pPr>
              <w:pStyle w:val="TableParagraph"/>
              <w:spacing w:line="225" w:lineRule="exact"/>
              <w:rPr>
                <w:rFonts w:ascii="Arial" w:hAnsi="Arial" w:cs="Arial"/>
                <w:b/>
              </w:rPr>
            </w:pPr>
            <w:r w:rsidRPr="000952F7">
              <w:rPr>
                <w:rFonts w:ascii="Arial" w:hAnsi="Arial" w:cs="Arial"/>
                <w:b/>
              </w:rPr>
              <w:t>METEOROLOGY</w:t>
            </w:r>
          </w:p>
        </w:tc>
      </w:tr>
      <w:tr w:rsidR="000952F7" w:rsidRPr="000952F7" w14:paraId="17F6DA99" w14:textId="77777777" w:rsidTr="004E579F">
        <w:trPr>
          <w:trHeight w:val="200"/>
        </w:trPr>
        <w:tc>
          <w:tcPr>
            <w:tcW w:w="985" w:type="dxa"/>
          </w:tcPr>
          <w:p w14:paraId="586E7EBC" w14:textId="77777777" w:rsidR="000952F7" w:rsidRPr="000952F7" w:rsidRDefault="000952F7" w:rsidP="000D1C0A">
            <w:pPr>
              <w:pStyle w:val="TableParagraph"/>
              <w:spacing w:line="223" w:lineRule="exact"/>
              <w:ind w:left="86"/>
              <w:rPr>
                <w:rFonts w:ascii="Arial" w:hAnsi="Arial" w:cs="Arial"/>
              </w:rPr>
            </w:pPr>
            <w:r w:rsidRPr="000952F7">
              <w:rPr>
                <w:rFonts w:ascii="Arial" w:hAnsi="Arial" w:cs="Arial"/>
              </w:rPr>
              <w:t>3.1.</w:t>
            </w:r>
          </w:p>
        </w:tc>
        <w:tc>
          <w:tcPr>
            <w:tcW w:w="7604" w:type="dxa"/>
          </w:tcPr>
          <w:p w14:paraId="2200E8FC" w14:textId="77777777" w:rsidR="000952F7" w:rsidRPr="000952F7" w:rsidRDefault="000952F7" w:rsidP="000D1C0A">
            <w:pPr>
              <w:pStyle w:val="TableParagraph"/>
              <w:spacing w:line="223" w:lineRule="exact"/>
              <w:rPr>
                <w:rFonts w:ascii="Arial" w:hAnsi="Arial" w:cs="Arial"/>
              </w:rPr>
            </w:pPr>
            <w:r w:rsidRPr="000952F7">
              <w:rPr>
                <w:rFonts w:ascii="Arial" w:hAnsi="Arial" w:cs="Arial"/>
              </w:rPr>
              <w:t>The</w:t>
            </w:r>
            <w:r w:rsidRPr="000952F7">
              <w:rPr>
                <w:rFonts w:ascii="Arial" w:hAnsi="Arial" w:cs="Arial"/>
                <w:spacing w:val="-4"/>
              </w:rPr>
              <w:t xml:space="preserve"> </w:t>
            </w:r>
            <w:r w:rsidRPr="000952F7">
              <w:rPr>
                <w:rFonts w:ascii="Arial" w:hAnsi="Arial" w:cs="Arial"/>
              </w:rPr>
              <w:t>atmosphere</w:t>
            </w:r>
          </w:p>
        </w:tc>
      </w:tr>
      <w:tr w:rsidR="000952F7" w:rsidRPr="000952F7" w14:paraId="0AE0F16A" w14:textId="77777777" w:rsidTr="004E579F">
        <w:trPr>
          <w:trHeight w:val="200"/>
        </w:trPr>
        <w:tc>
          <w:tcPr>
            <w:tcW w:w="985" w:type="dxa"/>
          </w:tcPr>
          <w:p w14:paraId="742CEB42" w14:textId="77777777" w:rsidR="000952F7" w:rsidRPr="000952F7" w:rsidRDefault="000952F7" w:rsidP="000952F7">
            <w:pPr>
              <w:pStyle w:val="TableParagraph"/>
              <w:spacing w:line="223" w:lineRule="exact"/>
              <w:ind w:left="86"/>
              <w:rPr>
                <w:rFonts w:ascii="Arial" w:hAnsi="Arial" w:cs="Arial"/>
              </w:rPr>
            </w:pPr>
            <w:r w:rsidRPr="000952F7">
              <w:rPr>
                <w:rFonts w:ascii="Arial" w:hAnsi="Arial" w:cs="Arial"/>
              </w:rPr>
              <w:t>3.2.</w:t>
            </w:r>
          </w:p>
        </w:tc>
        <w:tc>
          <w:tcPr>
            <w:tcW w:w="7604" w:type="dxa"/>
          </w:tcPr>
          <w:p w14:paraId="7A4A2E58" w14:textId="77777777" w:rsidR="000952F7" w:rsidRPr="000952F7" w:rsidRDefault="000952F7" w:rsidP="000952F7">
            <w:pPr>
              <w:pStyle w:val="TableParagraph"/>
              <w:spacing w:line="223" w:lineRule="exact"/>
              <w:rPr>
                <w:rFonts w:ascii="Arial" w:hAnsi="Arial" w:cs="Arial"/>
              </w:rPr>
            </w:pPr>
            <w:r w:rsidRPr="000952F7">
              <w:rPr>
                <w:rFonts w:ascii="Arial" w:hAnsi="Arial" w:cs="Arial"/>
              </w:rPr>
              <w:t>Wind</w:t>
            </w:r>
          </w:p>
        </w:tc>
      </w:tr>
      <w:tr w:rsidR="000952F7" w:rsidRPr="000952F7" w14:paraId="63A582C3" w14:textId="77777777" w:rsidTr="004E579F">
        <w:trPr>
          <w:trHeight w:val="200"/>
        </w:trPr>
        <w:tc>
          <w:tcPr>
            <w:tcW w:w="985" w:type="dxa"/>
          </w:tcPr>
          <w:p w14:paraId="729A2454" w14:textId="77777777" w:rsidR="000952F7" w:rsidRPr="000952F7" w:rsidRDefault="000952F7" w:rsidP="000D1C0A">
            <w:pPr>
              <w:pStyle w:val="TableParagraph"/>
              <w:spacing w:line="223" w:lineRule="exact"/>
              <w:ind w:left="86"/>
              <w:rPr>
                <w:rFonts w:ascii="Arial" w:hAnsi="Arial" w:cs="Arial"/>
              </w:rPr>
            </w:pPr>
            <w:r w:rsidRPr="000952F7">
              <w:rPr>
                <w:rFonts w:ascii="Arial" w:hAnsi="Arial" w:cs="Arial"/>
              </w:rPr>
              <w:t>3.3.</w:t>
            </w:r>
          </w:p>
        </w:tc>
        <w:tc>
          <w:tcPr>
            <w:tcW w:w="7604" w:type="dxa"/>
          </w:tcPr>
          <w:p w14:paraId="1E70ACE5" w14:textId="77777777" w:rsidR="000952F7" w:rsidRPr="000952F7" w:rsidRDefault="000952F7" w:rsidP="000D1C0A">
            <w:pPr>
              <w:pStyle w:val="TableParagraph"/>
              <w:spacing w:line="223" w:lineRule="exact"/>
              <w:rPr>
                <w:rFonts w:ascii="Arial" w:hAnsi="Arial" w:cs="Arial"/>
              </w:rPr>
            </w:pPr>
            <w:r w:rsidRPr="000952F7">
              <w:rPr>
                <w:rFonts w:ascii="Arial" w:hAnsi="Arial" w:cs="Arial"/>
              </w:rPr>
              <w:t>Thermodynamics</w:t>
            </w:r>
          </w:p>
        </w:tc>
      </w:tr>
      <w:tr w:rsidR="000952F7" w:rsidRPr="000952F7" w14:paraId="02381C9F" w14:textId="77777777" w:rsidTr="004E579F">
        <w:trPr>
          <w:trHeight w:val="200"/>
        </w:trPr>
        <w:tc>
          <w:tcPr>
            <w:tcW w:w="985" w:type="dxa"/>
          </w:tcPr>
          <w:p w14:paraId="5F966E2C" w14:textId="77777777" w:rsidR="000952F7" w:rsidRPr="000952F7" w:rsidRDefault="000952F7" w:rsidP="000952F7">
            <w:pPr>
              <w:pStyle w:val="TableParagraph"/>
              <w:spacing w:line="223" w:lineRule="exact"/>
              <w:ind w:left="86"/>
              <w:rPr>
                <w:rFonts w:ascii="Arial" w:hAnsi="Arial" w:cs="Arial"/>
              </w:rPr>
            </w:pPr>
            <w:r w:rsidRPr="000952F7">
              <w:rPr>
                <w:rFonts w:ascii="Arial" w:hAnsi="Arial" w:cs="Arial"/>
              </w:rPr>
              <w:t>3.4.</w:t>
            </w:r>
          </w:p>
        </w:tc>
        <w:tc>
          <w:tcPr>
            <w:tcW w:w="7604" w:type="dxa"/>
          </w:tcPr>
          <w:p w14:paraId="290D6713" w14:textId="77777777" w:rsidR="000952F7" w:rsidRPr="000952F7" w:rsidRDefault="000952F7" w:rsidP="000952F7">
            <w:pPr>
              <w:pStyle w:val="TableParagraph"/>
              <w:spacing w:line="223" w:lineRule="exact"/>
              <w:rPr>
                <w:rFonts w:ascii="Arial" w:hAnsi="Arial" w:cs="Arial"/>
              </w:rPr>
            </w:pPr>
            <w:r w:rsidRPr="000952F7">
              <w:rPr>
                <w:rFonts w:ascii="Arial" w:hAnsi="Arial" w:cs="Arial"/>
              </w:rPr>
              <w:t>Clouds and fog</w:t>
            </w:r>
          </w:p>
        </w:tc>
      </w:tr>
      <w:tr w:rsidR="000952F7" w:rsidRPr="000952F7" w14:paraId="72A3A445" w14:textId="77777777" w:rsidTr="004E579F">
        <w:trPr>
          <w:trHeight w:val="200"/>
        </w:trPr>
        <w:tc>
          <w:tcPr>
            <w:tcW w:w="985" w:type="dxa"/>
          </w:tcPr>
          <w:p w14:paraId="3DAEB5A3" w14:textId="77777777" w:rsidR="000952F7" w:rsidRPr="000952F7" w:rsidRDefault="000952F7" w:rsidP="000D1C0A">
            <w:pPr>
              <w:pStyle w:val="TableParagraph"/>
              <w:spacing w:line="223" w:lineRule="exact"/>
              <w:ind w:left="86"/>
              <w:rPr>
                <w:rFonts w:ascii="Arial" w:hAnsi="Arial" w:cs="Arial"/>
              </w:rPr>
            </w:pPr>
            <w:r w:rsidRPr="000952F7">
              <w:rPr>
                <w:rFonts w:ascii="Arial" w:hAnsi="Arial" w:cs="Arial"/>
              </w:rPr>
              <w:t>3.5.</w:t>
            </w:r>
          </w:p>
        </w:tc>
        <w:tc>
          <w:tcPr>
            <w:tcW w:w="7604" w:type="dxa"/>
          </w:tcPr>
          <w:p w14:paraId="727AF8B1" w14:textId="77777777" w:rsidR="000952F7" w:rsidRPr="000952F7" w:rsidRDefault="000952F7" w:rsidP="000D1C0A">
            <w:pPr>
              <w:pStyle w:val="TableParagraph"/>
              <w:spacing w:line="223" w:lineRule="exact"/>
              <w:rPr>
                <w:rFonts w:ascii="Arial" w:hAnsi="Arial" w:cs="Arial"/>
              </w:rPr>
            </w:pPr>
            <w:r w:rsidRPr="000952F7">
              <w:rPr>
                <w:rFonts w:ascii="Arial" w:hAnsi="Arial" w:cs="Arial"/>
              </w:rPr>
              <w:t>Precipitation</w:t>
            </w:r>
          </w:p>
        </w:tc>
      </w:tr>
      <w:tr w:rsidR="000952F7" w:rsidRPr="000952F7" w14:paraId="157E1B9B" w14:textId="77777777" w:rsidTr="004E579F">
        <w:trPr>
          <w:trHeight w:val="200"/>
        </w:trPr>
        <w:tc>
          <w:tcPr>
            <w:tcW w:w="985" w:type="dxa"/>
          </w:tcPr>
          <w:p w14:paraId="0AE1E295" w14:textId="77777777" w:rsidR="000952F7" w:rsidRPr="000952F7" w:rsidRDefault="000952F7" w:rsidP="000952F7">
            <w:pPr>
              <w:pStyle w:val="TableParagraph"/>
              <w:spacing w:line="223" w:lineRule="exact"/>
              <w:ind w:left="86"/>
              <w:rPr>
                <w:rFonts w:ascii="Arial" w:hAnsi="Arial" w:cs="Arial"/>
              </w:rPr>
            </w:pPr>
            <w:r w:rsidRPr="000952F7">
              <w:rPr>
                <w:rFonts w:ascii="Arial" w:hAnsi="Arial" w:cs="Arial"/>
              </w:rPr>
              <w:t>3.6.</w:t>
            </w:r>
          </w:p>
        </w:tc>
        <w:tc>
          <w:tcPr>
            <w:tcW w:w="7604" w:type="dxa"/>
          </w:tcPr>
          <w:p w14:paraId="16BE16D1" w14:textId="77777777" w:rsidR="000952F7" w:rsidRPr="000952F7" w:rsidRDefault="000952F7" w:rsidP="000952F7">
            <w:pPr>
              <w:pStyle w:val="TableParagraph"/>
              <w:spacing w:line="223" w:lineRule="exact"/>
              <w:rPr>
                <w:rFonts w:ascii="Arial" w:hAnsi="Arial" w:cs="Arial"/>
              </w:rPr>
            </w:pPr>
            <w:r w:rsidRPr="000952F7">
              <w:rPr>
                <w:rFonts w:ascii="Arial" w:hAnsi="Arial" w:cs="Arial"/>
              </w:rPr>
              <w:t>Air masses and fronts</w:t>
            </w:r>
          </w:p>
        </w:tc>
      </w:tr>
      <w:tr w:rsidR="000952F7" w:rsidRPr="000952F7" w14:paraId="7F79F61A" w14:textId="77777777" w:rsidTr="004E579F">
        <w:trPr>
          <w:trHeight w:val="200"/>
        </w:trPr>
        <w:tc>
          <w:tcPr>
            <w:tcW w:w="985" w:type="dxa"/>
          </w:tcPr>
          <w:p w14:paraId="21F5CE52" w14:textId="77777777" w:rsidR="000952F7" w:rsidRPr="000952F7" w:rsidRDefault="000952F7" w:rsidP="000D1C0A">
            <w:pPr>
              <w:pStyle w:val="TableParagraph"/>
              <w:spacing w:line="223" w:lineRule="exact"/>
              <w:ind w:left="86"/>
              <w:rPr>
                <w:rFonts w:ascii="Arial" w:hAnsi="Arial" w:cs="Arial"/>
              </w:rPr>
            </w:pPr>
            <w:r w:rsidRPr="000952F7">
              <w:rPr>
                <w:rFonts w:ascii="Arial" w:hAnsi="Arial" w:cs="Arial"/>
              </w:rPr>
              <w:t>3.7</w:t>
            </w:r>
          </w:p>
        </w:tc>
        <w:tc>
          <w:tcPr>
            <w:tcW w:w="7604" w:type="dxa"/>
          </w:tcPr>
          <w:p w14:paraId="6DF8DE6D" w14:textId="77777777" w:rsidR="000952F7" w:rsidRPr="000952F7" w:rsidRDefault="000952F7" w:rsidP="000D1C0A">
            <w:pPr>
              <w:pStyle w:val="TableParagraph"/>
              <w:spacing w:line="223" w:lineRule="exact"/>
              <w:rPr>
                <w:rFonts w:ascii="Arial" w:hAnsi="Arial" w:cs="Arial"/>
              </w:rPr>
            </w:pPr>
            <w:r w:rsidRPr="000952F7">
              <w:rPr>
                <w:rFonts w:ascii="Arial" w:hAnsi="Arial" w:cs="Arial"/>
              </w:rPr>
              <w:t>Pressure systems</w:t>
            </w:r>
          </w:p>
        </w:tc>
      </w:tr>
      <w:tr w:rsidR="000952F7" w:rsidRPr="000952F7" w14:paraId="39DFC8F5" w14:textId="77777777" w:rsidTr="004E579F">
        <w:trPr>
          <w:trHeight w:val="200"/>
        </w:trPr>
        <w:tc>
          <w:tcPr>
            <w:tcW w:w="985" w:type="dxa"/>
          </w:tcPr>
          <w:p w14:paraId="04E3430D" w14:textId="77777777" w:rsidR="000952F7" w:rsidRPr="000952F7" w:rsidRDefault="000952F7" w:rsidP="000952F7">
            <w:pPr>
              <w:pStyle w:val="TableParagraph"/>
              <w:spacing w:line="223" w:lineRule="exact"/>
              <w:ind w:left="86"/>
              <w:rPr>
                <w:rFonts w:ascii="Arial" w:hAnsi="Arial" w:cs="Arial"/>
              </w:rPr>
            </w:pPr>
            <w:r w:rsidRPr="000952F7">
              <w:rPr>
                <w:rFonts w:ascii="Arial" w:hAnsi="Arial" w:cs="Arial"/>
              </w:rPr>
              <w:t>3.8.</w:t>
            </w:r>
          </w:p>
        </w:tc>
        <w:tc>
          <w:tcPr>
            <w:tcW w:w="7604" w:type="dxa"/>
          </w:tcPr>
          <w:p w14:paraId="1D900A17" w14:textId="77777777" w:rsidR="000952F7" w:rsidRPr="000952F7" w:rsidRDefault="000952F7" w:rsidP="000952F7">
            <w:pPr>
              <w:pStyle w:val="TableParagraph"/>
              <w:spacing w:line="223" w:lineRule="exact"/>
              <w:rPr>
                <w:rFonts w:ascii="Arial" w:hAnsi="Arial" w:cs="Arial"/>
              </w:rPr>
            </w:pPr>
            <w:r w:rsidRPr="000952F7">
              <w:rPr>
                <w:rFonts w:ascii="Arial" w:hAnsi="Arial" w:cs="Arial"/>
              </w:rPr>
              <w:t>Climatology</w:t>
            </w:r>
          </w:p>
        </w:tc>
      </w:tr>
      <w:tr w:rsidR="000952F7" w:rsidRPr="000952F7" w14:paraId="2DB23DCE" w14:textId="77777777" w:rsidTr="004E579F">
        <w:trPr>
          <w:trHeight w:val="200"/>
        </w:trPr>
        <w:tc>
          <w:tcPr>
            <w:tcW w:w="985" w:type="dxa"/>
          </w:tcPr>
          <w:p w14:paraId="592D261C" w14:textId="77777777" w:rsidR="000952F7" w:rsidRPr="000952F7" w:rsidRDefault="000952F7" w:rsidP="000D1C0A">
            <w:pPr>
              <w:pStyle w:val="TableParagraph"/>
              <w:spacing w:line="223" w:lineRule="exact"/>
              <w:ind w:left="86"/>
              <w:rPr>
                <w:rFonts w:ascii="Arial" w:hAnsi="Arial" w:cs="Arial"/>
              </w:rPr>
            </w:pPr>
            <w:r w:rsidRPr="000952F7">
              <w:rPr>
                <w:rFonts w:ascii="Arial" w:hAnsi="Arial" w:cs="Arial"/>
              </w:rPr>
              <w:t>3.9.</w:t>
            </w:r>
          </w:p>
        </w:tc>
        <w:tc>
          <w:tcPr>
            <w:tcW w:w="7604" w:type="dxa"/>
          </w:tcPr>
          <w:p w14:paraId="341BE879" w14:textId="77777777" w:rsidR="000952F7" w:rsidRPr="000952F7" w:rsidRDefault="000952F7" w:rsidP="000D1C0A">
            <w:pPr>
              <w:pStyle w:val="TableParagraph"/>
              <w:spacing w:line="223" w:lineRule="exact"/>
              <w:rPr>
                <w:rFonts w:ascii="Arial" w:hAnsi="Arial" w:cs="Arial"/>
              </w:rPr>
            </w:pPr>
            <w:r w:rsidRPr="000952F7">
              <w:rPr>
                <w:rFonts w:ascii="Arial" w:hAnsi="Arial" w:cs="Arial"/>
              </w:rPr>
              <w:t>Flight hazards</w:t>
            </w:r>
          </w:p>
        </w:tc>
      </w:tr>
      <w:tr w:rsidR="000952F7" w:rsidRPr="000952F7" w14:paraId="68EADE5C" w14:textId="77777777" w:rsidTr="004E579F">
        <w:trPr>
          <w:trHeight w:val="200"/>
        </w:trPr>
        <w:tc>
          <w:tcPr>
            <w:tcW w:w="985" w:type="dxa"/>
          </w:tcPr>
          <w:p w14:paraId="29F9C521" w14:textId="77777777" w:rsidR="000952F7" w:rsidRPr="000952F7" w:rsidRDefault="000952F7" w:rsidP="000952F7">
            <w:pPr>
              <w:pStyle w:val="TableParagraph"/>
              <w:spacing w:line="223" w:lineRule="exact"/>
              <w:ind w:left="86"/>
              <w:rPr>
                <w:rFonts w:ascii="Arial" w:hAnsi="Arial" w:cs="Arial"/>
              </w:rPr>
            </w:pPr>
            <w:r w:rsidRPr="000952F7">
              <w:rPr>
                <w:rFonts w:ascii="Arial" w:hAnsi="Arial" w:cs="Arial"/>
              </w:rPr>
              <w:t>3.10.</w:t>
            </w:r>
          </w:p>
        </w:tc>
        <w:tc>
          <w:tcPr>
            <w:tcW w:w="7604" w:type="dxa"/>
          </w:tcPr>
          <w:p w14:paraId="6E0C4CCA" w14:textId="77777777" w:rsidR="000952F7" w:rsidRPr="000952F7" w:rsidRDefault="000952F7" w:rsidP="000952F7">
            <w:pPr>
              <w:pStyle w:val="TableParagraph"/>
              <w:spacing w:line="223" w:lineRule="exact"/>
              <w:rPr>
                <w:rFonts w:ascii="Arial" w:hAnsi="Arial" w:cs="Arial"/>
              </w:rPr>
            </w:pPr>
            <w:r w:rsidRPr="000952F7">
              <w:rPr>
                <w:rFonts w:ascii="Arial" w:hAnsi="Arial" w:cs="Arial"/>
              </w:rPr>
              <w:t>Meteorological information</w:t>
            </w:r>
          </w:p>
        </w:tc>
      </w:tr>
      <w:tr w:rsidR="000952F7" w:rsidRPr="000952F7" w14:paraId="4BD15ACF" w14:textId="77777777" w:rsidTr="004E579F">
        <w:trPr>
          <w:trHeight w:val="200"/>
        </w:trPr>
        <w:tc>
          <w:tcPr>
            <w:tcW w:w="985" w:type="dxa"/>
            <w:shd w:val="clear" w:color="auto" w:fill="F2F2F2" w:themeFill="background1" w:themeFillShade="F2"/>
          </w:tcPr>
          <w:p w14:paraId="15616EBA" w14:textId="77777777" w:rsidR="000952F7" w:rsidRPr="000952F7" w:rsidRDefault="000952F7" w:rsidP="000D1C0A">
            <w:pPr>
              <w:pStyle w:val="TableParagraph"/>
              <w:spacing w:line="223" w:lineRule="exact"/>
              <w:ind w:left="86"/>
              <w:rPr>
                <w:rFonts w:ascii="Arial" w:hAnsi="Arial" w:cs="Arial"/>
                <w:b/>
              </w:rPr>
            </w:pPr>
            <w:r w:rsidRPr="000952F7">
              <w:rPr>
                <w:rFonts w:ascii="Arial" w:hAnsi="Arial" w:cs="Arial"/>
                <w:b/>
              </w:rPr>
              <w:t>4.</w:t>
            </w:r>
          </w:p>
        </w:tc>
        <w:tc>
          <w:tcPr>
            <w:tcW w:w="7604" w:type="dxa"/>
            <w:shd w:val="clear" w:color="auto" w:fill="F2F2F2" w:themeFill="background1" w:themeFillShade="F2"/>
          </w:tcPr>
          <w:p w14:paraId="55E1A059" w14:textId="77777777" w:rsidR="000952F7" w:rsidRPr="000952F7" w:rsidRDefault="000952F7" w:rsidP="000D1C0A">
            <w:pPr>
              <w:pStyle w:val="TableParagraph"/>
              <w:spacing w:line="223" w:lineRule="exact"/>
              <w:rPr>
                <w:rFonts w:ascii="Arial" w:hAnsi="Arial" w:cs="Arial"/>
                <w:b/>
              </w:rPr>
            </w:pPr>
            <w:r w:rsidRPr="000952F7">
              <w:rPr>
                <w:rFonts w:ascii="Arial" w:hAnsi="Arial" w:cs="Arial"/>
                <w:b/>
              </w:rPr>
              <w:t>COMMUNICATIONS</w:t>
            </w:r>
          </w:p>
        </w:tc>
      </w:tr>
      <w:tr w:rsidR="000952F7" w:rsidRPr="000952F7" w14:paraId="507EA940" w14:textId="77777777" w:rsidTr="004E579F">
        <w:trPr>
          <w:trHeight w:val="200"/>
        </w:trPr>
        <w:tc>
          <w:tcPr>
            <w:tcW w:w="985" w:type="dxa"/>
          </w:tcPr>
          <w:p w14:paraId="3995A74B" w14:textId="77777777" w:rsidR="000952F7" w:rsidRPr="000952F7" w:rsidRDefault="000952F7" w:rsidP="000952F7">
            <w:pPr>
              <w:pStyle w:val="TableParagraph"/>
              <w:spacing w:line="223" w:lineRule="exact"/>
              <w:ind w:left="86"/>
              <w:rPr>
                <w:rFonts w:ascii="Arial" w:hAnsi="Arial" w:cs="Arial"/>
              </w:rPr>
            </w:pPr>
            <w:r w:rsidRPr="000952F7">
              <w:rPr>
                <w:rFonts w:ascii="Arial" w:hAnsi="Arial" w:cs="Arial"/>
              </w:rPr>
              <w:t>4.1.</w:t>
            </w:r>
          </w:p>
        </w:tc>
        <w:tc>
          <w:tcPr>
            <w:tcW w:w="7604" w:type="dxa"/>
          </w:tcPr>
          <w:p w14:paraId="3D3FB7E5" w14:textId="77777777" w:rsidR="000952F7" w:rsidRPr="000952F7" w:rsidRDefault="000952F7" w:rsidP="000952F7">
            <w:pPr>
              <w:pStyle w:val="TableParagraph"/>
              <w:spacing w:line="223" w:lineRule="exact"/>
              <w:rPr>
                <w:rFonts w:ascii="Arial" w:hAnsi="Arial" w:cs="Arial"/>
              </w:rPr>
            </w:pPr>
            <w:r w:rsidRPr="000952F7">
              <w:rPr>
                <w:rFonts w:ascii="Arial" w:hAnsi="Arial" w:cs="Arial"/>
              </w:rPr>
              <w:t>Definitions</w:t>
            </w:r>
          </w:p>
        </w:tc>
      </w:tr>
      <w:tr w:rsidR="000952F7" w:rsidRPr="000952F7" w14:paraId="20C6327A" w14:textId="77777777" w:rsidTr="004E579F">
        <w:trPr>
          <w:trHeight w:val="200"/>
        </w:trPr>
        <w:tc>
          <w:tcPr>
            <w:tcW w:w="985" w:type="dxa"/>
          </w:tcPr>
          <w:p w14:paraId="262FED05" w14:textId="77777777" w:rsidR="000952F7" w:rsidRPr="000952F7" w:rsidRDefault="000952F7" w:rsidP="000952F7">
            <w:pPr>
              <w:pStyle w:val="TableParagraph"/>
              <w:spacing w:line="223" w:lineRule="exact"/>
              <w:ind w:left="86"/>
              <w:rPr>
                <w:rFonts w:ascii="Arial" w:hAnsi="Arial" w:cs="Arial"/>
              </w:rPr>
            </w:pPr>
            <w:r w:rsidRPr="000952F7">
              <w:rPr>
                <w:rFonts w:ascii="Arial" w:hAnsi="Arial" w:cs="Arial"/>
              </w:rPr>
              <w:t>4.2.</w:t>
            </w:r>
          </w:p>
        </w:tc>
        <w:tc>
          <w:tcPr>
            <w:tcW w:w="7604" w:type="dxa"/>
          </w:tcPr>
          <w:p w14:paraId="17A49A75" w14:textId="77777777" w:rsidR="000952F7" w:rsidRPr="000952F7" w:rsidRDefault="000952F7" w:rsidP="000952F7">
            <w:pPr>
              <w:pStyle w:val="TableParagraph"/>
              <w:spacing w:line="223" w:lineRule="exact"/>
              <w:rPr>
                <w:rFonts w:ascii="Arial" w:hAnsi="Arial" w:cs="Arial"/>
              </w:rPr>
            </w:pPr>
            <w:r w:rsidRPr="000952F7">
              <w:rPr>
                <w:rFonts w:ascii="Arial" w:hAnsi="Arial" w:cs="Arial"/>
              </w:rPr>
              <w:t>VFR communications</w:t>
            </w:r>
          </w:p>
        </w:tc>
      </w:tr>
      <w:tr w:rsidR="000952F7" w:rsidRPr="000952F7" w14:paraId="3DBC05BE" w14:textId="77777777" w:rsidTr="004E579F">
        <w:trPr>
          <w:trHeight w:val="200"/>
        </w:trPr>
        <w:tc>
          <w:tcPr>
            <w:tcW w:w="985" w:type="dxa"/>
          </w:tcPr>
          <w:p w14:paraId="6E8B4018" w14:textId="77777777" w:rsidR="000952F7" w:rsidRPr="000952F7" w:rsidRDefault="000952F7" w:rsidP="000952F7">
            <w:pPr>
              <w:pStyle w:val="TableParagraph"/>
              <w:spacing w:line="223" w:lineRule="exact"/>
              <w:ind w:left="86"/>
              <w:rPr>
                <w:rFonts w:ascii="Arial" w:hAnsi="Arial" w:cs="Arial"/>
              </w:rPr>
            </w:pPr>
            <w:r w:rsidRPr="000952F7">
              <w:rPr>
                <w:rFonts w:ascii="Arial" w:hAnsi="Arial" w:cs="Arial"/>
              </w:rPr>
              <w:t>4.2.1</w:t>
            </w:r>
          </w:p>
        </w:tc>
        <w:tc>
          <w:tcPr>
            <w:tcW w:w="7604" w:type="dxa"/>
          </w:tcPr>
          <w:p w14:paraId="6F26C763" w14:textId="77777777" w:rsidR="000952F7" w:rsidRPr="000952F7" w:rsidRDefault="000952F7" w:rsidP="000952F7">
            <w:pPr>
              <w:pStyle w:val="TableParagraph"/>
              <w:spacing w:line="223" w:lineRule="exact"/>
              <w:rPr>
                <w:rFonts w:ascii="Arial" w:hAnsi="Arial" w:cs="Arial"/>
              </w:rPr>
            </w:pPr>
            <w:r w:rsidRPr="000952F7">
              <w:rPr>
                <w:rFonts w:ascii="Arial" w:hAnsi="Arial" w:cs="Arial"/>
              </w:rPr>
              <w:t>VFR communication at uncontrolled airfields</w:t>
            </w:r>
          </w:p>
        </w:tc>
      </w:tr>
      <w:tr w:rsidR="000952F7" w:rsidRPr="000952F7" w14:paraId="1660391F" w14:textId="77777777" w:rsidTr="004E579F">
        <w:trPr>
          <w:trHeight w:val="200"/>
        </w:trPr>
        <w:tc>
          <w:tcPr>
            <w:tcW w:w="985" w:type="dxa"/>
          </w:tcPr>
          <w:p w14:paraId="71352FB3" w14:textId="77777777" w:rsidR="000952F7" w:rsidRPr="000952F7" w:rsidRDefault="000952F7" w:rsidP="000952F7">
            <w:pPr>
              <w:pStyle w:val="TableParagraph"/>
              <w:spacing w:line="223" w:lineRule="exact"/>
              <w:ind w:left="86"/>
              <w:rPr>
                <w:rFonts w:ascii="Arial" w:hAnsi="Arial" w:cs="Arial"/>
              </w:rPr>
            </w:pPr>
            <w:r w:rsidRPr="000952F7">
              <w:rPr>
                <w:rFonts w:ascii="Arial" w:hAnsi="Arial" w:cs="Arial"/>
              </w:rPr>
              <w:t>4.2.2.</w:t>
            </w:r>
          </w:p>
        </w:tc>
        <w:tc>
          <w:tcPr>
            <w:tcW w:w="7604" w:type="dxa"/>
          </w:tcPr>
          <w:p w14:paraId="2073D287" w14:textId="77777777" w:rsidR="000952F7" w:rsidRPr="000952F7" w:rsidRDefault="000952F7" w:rsidP="000952F7">
            <w:pPr>
              <w:pStyle w:val="TableParagraph"/>
              <w:spacing w:line="223" w:lineRule="exact"/>
              <w:rPr>
                <w:rFonts w:ascii="Arial" w:hAnsi="Arial" w:cs="Arial"/>
              </w:rPr>
            </w:pPr>
            <w:r w:rsidRPr="000952F7">
              <w:rPr>
                <w:rFonts w:ascii="Arial" w:hAnsi="Arial" w:cs="Arial"/>
              </w:rPr>
              <w:t>VFR communication at controlled airfields</w:t>
            </w:r>
          </w:p>
        </w:tc>
      </w:tr>
      <w:tr w:rsidR="000952F7" w:rsidRPr="000952F7" w14:paraId="5E37BFD2" w14:textId="77777777" w:rsidTr="004E579F">
        <w:trPr>
          <w:trHeight w:val="200"/>
        </w:trPr>
        <w:tc>
          <w:tcPr>
            <w:tcW w:w="985" w:type="dxa"/>
          </w:tcPr>
          <w:p w14:paraId="047C16F5" w14:textId="77777777" w:rsidR="000952F7" w:rsidRPr="000952F7" w:rsidRDefault="000952F7" w:rsidP="000952F7">
            <w:pPr>
              <w:pStyle w:val="TableParagraph"/>
              <w:spacing w:line="223" w:lineRule="exact"/>
              <w:ind w:left="86"/>
              <w:rPr>
                <w:rFonts w:ascii="Arial" w:hAnsi="Arial" w:cs="Arial"/>
              </w:rPr>
            </w:pPr>
            <w:r w:rsidRPr="000952F7">
              <w:rPr>
                <w:rFonts w:ascii="Arial" w:hAnsi="Arial" w:cs="Arial"/>
              </w:rPr>
              <w:lastRenderedPageBreak/>
              <w:t>4.2.3.</w:t>
            </w:r>
          </w:p>
        </w:tc>
        <w:tc>
          <w:tcPr>
            <w:tcW w:w="7604" w:type="dxa"/>
          </w:tcPr>
          <w:p w14:paraId="27896D6D" w14:textId="77777777" w:rsidR="000952F7" w:rsidRPr="000952F7" w:rsidRDefault="000952F7" w:rsidP="000952F7">
            <w:pPr>
              <w:pStyle w:val="TableParagraph"/>
              <w:spacing w:line="223" w:lineRule="exact"/>
              <w:rPr>
                <w:rFonts w:ascii="Arial" w:hAnsi="Arial" w:cs="Arial"/>
              </w:rPr>
            </w:pPr>
            <w:r w:rsidRPr="000952F7">
              <w:rPr>
                <w:rFonts w:ascii="Arial" w:hAnsi="Arial" w:cs="Arial"/>
              </w:rPr>
              <w:t>VFR communication with ATC (en-route)</w:t>
            </w:r>
          </w:p>
        </w:tc>
      </w:tr>
      <w:tr w:rsidR="000952F7" w:rsidRPr="000952F7" w14:paraId="3AE39E78" w14:textId="77777777" w:rsidTr="004E579F">
        <w:trPr>
          <w:trHeight w:val="200"/>
        </w:trPr>
        <w:tc>
          <w:tcPr>
            <w:tcW w:w="985" w:type="dxa"/>
          </w:tcPr>
          <w:p w14:paraId="1BC6B13C" w14:textId="77777777" w:rsidR="000952F7" w:rsidRPr="000952F7" w:rsidRDefault="000952F7" w:rsidP="000952F7">
            <w:pPr>
              <w:pStyle w:val="TableParagraph"/>
              <w:spacing w:line="223" w:lineRule="exact"/>
              <w:ind w:left="86"/>
              <w:rPr>
                <w:rFonts w:ascii="Arial" w:hAnsi="Arial" w:cs="Arial"/>
              </w:rPr>
            </w:pPr>
            <w:r w:rsidRPr="000952F7">
              <w:rPr>
                <w:rFonts w:ascii="Arial" w:hAnsi="Arial" w:cs="Arial"/>
              </w:rPr>
              <w:t>4.3.</w:t>
            </w:r>
          </w:p>
        </w:tc>
        <w:tc>
          <w:tcPr>
            <w:tcW w:w="7604" w:type="dxa"/>
          </w:tcPr>
          <w:p w14:paraId="308A0B63" w14:textId="77777777" w:rsidR="000952F7" w:rsidRPr="000952F7" w:rsidRDefault="000952F7" w:rsidP="000952F7">
            <w:pPr>
              <w:pStyle w:val="TableParagraph"/>
              <w:spacing w:line="223" w:lineRule="exact"/>
              <w:rPr>
                <w:rFonts w:ascii="Arial" w:hAnsi="Arial" w:cs="Arial"/>
              </w:rPr>
            </w:pPr>
            <w:r w:rsidRPr="000952F7">
              <w:rPr>
                <w:rFonts w:ascii="Arial" w:hAnsi="Arial" w:cs="Arial"/>
              </w:rPr>
              <w:t>General operating procedures</w:t>
            </w:r>
          </w:p>
        </w:tc>
      </w:tr>
      <w:tr w:rsidR="000952F7" w:rsidRPr="000952F7" w14:paraId="49FE496C" w14:textId="77777777" w:rsidTr="004E579F">
        <w:trPr>
          <w:trHeight w:val="200"/>
        </w:trPr>
        <w:tc>
          <w:tcPr>
            <w:tcW w:w="985" w:type="dxa"/>
          </w:tcPr>
          <w:p w14:paraId="494342B3" w14:textId="77777777" w:rsidR="000952F7" w:rsidRPr="000952F7" w:rsidRDefault="000952F7" w:rsidP="000952F7">
            <w:pPr>
              <w:pStyle w:val="TableParagraph"/>
              <w:spacing w:line="223" w:lineRule="exact"/>
              <w:ind w:left="86"/>
              <w:rPr>
                <w:rFonts w:ascii="Arial" w:hAnsi="Arial" w:cs="Arial"/>
              </w:rPr>
            </w:pPr>
            <w:r w:rsidRPr="000952F7">
              <w:rPr>
                <w:rFonts w:ascii="Arial" w:hAnsi="Arial" w:cs="Arial"/>
              </w:rPr>
              <w:t>4.4.</w:t>
            </w:r>
          </w:p>
        </w:tc>
        <w:tc>
          <w:tcPr>
            <w:tcW w:w="7604" w:type="dxa"/>
          </w:tcPr>
          <w:p w14:paraId="3462B674" w14:textId="77777777" w:rsidR="000952F7" w:rsidRPr="000952F7" w:rsidRDefault="000952F7" w:rsidP="000952F7">
            <w:pPr>
              <w:pStyle w:val="TableParagraph"/>
              <w:spacing w:line="223" w:lineRule="exact"/>
              <w:rPr>
                <w:rFonts w:ascii="Arial" w:hAnsi="Arial" w:cs="Arial"/>
              </w:rPr>
            </w:pPr>
            <w:r w:rsidRPr="000952F7">
              <w:rPr>
                <w:rFonts w:ascii="Arial" w:hAnsi="Arial" w:cs="Arial"/>
              </w:rPr>
              <w:t>Relevant weather information terms (VFR)</w:t>
            </w:r>
          </w:p>
        </w:tc>
      </w:tr>
      <w:tr w:rsidR="000952F7" w:rsidRPr="000952F7" w14:paraId="1370D8B2" w14:textId="77777777" w:rsidTr="004E579F">
        <w:trPr>
          <w:trHeight w:val="200"/>
        </w:trPr>
        <w:tc>
          <w:tcPr>
            <w:tcW w:w="985" w:type="dxa"/>
          </w:tcPr>
          <w:p w14:paraId="3B538070" w14:textId="77777777" w:rsidR="000952F7" w:rsidRPr="000952F7" w:rsidRDefault="000952F7" w:rsidP="000952F7">
            <w:pPr>
              <w:pStyle w:val="TableParagraph"/>
              <w:spacing w:line="223" w:lineRule="exact"/>
              <w:ind w:left="86"/>
              <w:rPr>
                <w:rFonts w:ascii="Arial" w:hAnsi="Arial" w:cs="Arial"/>
              </w:rPr>
            </w:pPr>
            <w:r w:rsidRPr="000952F7">
              <w:rPr>
                <w:rFonts w:ascii="Arial" w:hAnsi="Arial" w:cs="Arial"/>
              </w:rPr>
              <w:t>4.5.</w:t>
            </w:r>
          </w:p>
        </w:tc>
        <w:tc>
          <w:tcPr>
            <w:tcW w:w="7604" w:type="dxa"/>
          </w:tcPr>
          <w:p w14:paraId="0D73181D" w14:textId="77777777" w:rsidR="000952F7" w:rsidRPr="000952F7" w:rsidRDefault="000952F7" w:rsidP="000952F7">
            <w:pPr>
              <w:pStyle w:val="TableParagraph"/>
              <w:spacing w:line="223" w:lineRule="exact"/>
              <w:rPr>
                <w:rFonts w:ascii="Arial" w:hAnsi="Arial" w:cs="Arial"/>
              </w:rPr>
            </w:pPr>
            <w:r w:rsidRPr="000952F7">
              <w:rPr>
                <w:rFonts w:ascii="Arial" w:hAnsi="Arial" w:cs="Arial"/>
              </w:rPr>
              <w:t>Action required to be taken in case of communication failure</w:t>
            </w:r>
          </w:p>
        </w:tc>
      </w:tr>
      <w:tr w:rsidR="000952F7" w:rsidRPr="000952F7" w14:paraId="1142DFB3" w14:textId="77777777" w:rsidTr="004E579F">
        <w:trPr>
          <w:trHeight w:val="200"/>
        </w:trPr>
        <w:tc>
          <w:tcPr>
            <w:tcW w:w="985" w:type="dxa"/>
          </w:tcPr>
          <w:p w14:paraId="6B35D511" w14:textId="77777777" w:rsidR="000952F7" w:rsidRPr="000952F7" w:rsidRDefault="000952F7" w:rsidP="000952F7">
            <w:pPr>
              <w:pStyle w:val="TableParagraph"/>
              <w:spacing w:line="223" w:lineRule="exact"/>
              <w:ind w:left="86"/>
              <w:rPr>
                <w:rFonts w:ascii="Arial" w:hAnsi="Arial" w:cs="Arial"/>
              </w:rPr>
            </w:pPr>
            <w:r w:rsidRPr="000952F7">
              <w:rPr>
                <w:rFonts w:ascii="Arial" w:hAnsi="Arial" w:cs="Arial"/>
              </w:rPr>
              <w:t>4.6.</w:t>
            </w:r>
          </w:p>
        </w:tc>
        <w:tc>
          <w:tcPr>
            <w:tcW w:w="7604" w:type="dxa"/>
          </w:tcPr>
          <w:p w14:paraId="0B3BD40E" w14:textId="77777777" w:rsidR="000952F7" w:rsidRPr="000952F7" w:rsidRDefault="000952F7" w:rsidP="000952F7">
            <w:pPr>
              <w:pStyle w:val="TableParagraph"/>
              <w:spacing w:line="223" w:lineRule="exact"/>
              <w:rPr>
                <w:rFonts w:ascii="Arial" w:hAnsi="Arial" w:cs="Arial"/>
              </w:rPr>
            </w:pPr>
            <w:r w:rsidRPr="000952F7">
              <w:rPr>
                <w:rFonts w:ascii="Arial" w:hAnsi="Arial" w:cs="Arial"/>
              </w:rPr>
              <w:t>Distress and urgency procedures</w:t>
            </w:r>
          </w:p>
        </w:tc>
      </w:tr>
      <w:tr w:rsidR="000952F7" w:rsidRPr="000952F7" w14:paraId="20531760" w14:textId="77777777" w:rsidTr="004E579F">
        <w:trPr>
          <w:trHeight w:val="200"/>
        </w:trPr>
        <w:tc>
          <w:tcPr>
            <w:tcW w:w="985" w:type="dxa"/>
          </w:tcPr>
          <w:p w14:paraId="4D8C9BDC" w14:textId="77777777" w:rsidR="000952F7" w:rsidRPr="000952F7" w:rsidRDefault="000952F7" w:rsidP="000952F7">
            <w:pPr>
              <w:pStyle w:val="TableParagraph"/>
              <w:spacing w:line="223" w:lineRule="exact"/>
              <w:ind w:left="86"/>
              <w:rPr>
                <w:rFonts w:ascii="Arial" w:hAnsi="Arial" w:cs="Arial"/>
              </w:rPr>
            </w:pPr>
            <w:r w:rsidRPr="000952F7">
              <w:rPr>
                <w:rFonts w:ascii="Arial" w:hAnsi="Arial" w:cs="Arial"/>
              </w:rPr>
              <w:t>4.7.</w:t>
            </w:r>
          </w:p>
        </w:tc>
        <w:tc>
          <w:tcPr>
            <w:tcW w:w="7604" w:type="dxa"/>
          </w:tcPr>
          <w:p w14:paraId="26442BDA" w14:textId="77777777" w:rsidR="000952F7" w:rsidRPr="000952F7" w:rsidRDefault="000952F7" w:rsidP="000952F7">
            <w:pPr>
              <w:pStyle w:val="TableParagraph"/>
              <w:spacing w:line="223" w:lineRule="exact"/>
              <w:rPr>
                <w:rFonts w:ascii="Arial" w:hAnsi="Arial" w:cs="Arial"/>
              </w:rPr>
            </w:pPr>
            <w:r w:rsidRPr="000952F7">
              <w:rPr>
                <w:rFonts w:ascii="Arial" w:hAnsi="Arial" w:cs="Arial"/>
              </w:rPr>
              <w:t>General principles of VHF propagation and allocation of frequencies</w:t>
            </w:r>
          </w:p>
        </w:tc>
      </w:tr>
      <w:tr w:rsidR="000952F7" w:rsidRPr="000952F7" w14:paraId="5DFE0582" w14:textId="77777777" w:rsidTr="004E579F">
        <w:trPr>
          <w:trHeight w:val="200"/>
        </w:trPr>
        <w:tc>
          <w:tcPr>
            <w:tcW w:w="985" w:type="dxa"/>
            <w:shd w:val="clear" w:color="auto" w:fill="F2F2F2" w:themeFill="background1" w:themeFillShade="F2"/>
          </w:tcPr>
          <w:p w14:paraId="2EB474CC" w14:textId="77777777" w:rsidR="000952F7" w:rsidRPr="000952F7" w:rsidRDefault="000952F7" w:rsidP="000D1C0A">
            <w:pPr>
              <w:pStyle w:val="TableParagraph"/>
              <w:spacing w:line="223" w:lineRule="exact"/>
              <w:ind w:left="86"/>
              <w:rPr>
                <w:rFonts w:ascii="Arial" w:hAnsi="Arial" w:cs="Arial"/>
                <w:b/>
              </w:rPr>
            </w:pPr>
            <w:r w:rsidRPr="000952F7">
              <w:rPr>
                <w:rFonts w:ascii="Arial" w:hAnsi="Arial" w:cs="Arial"/>
                <w:b/>
              </w:rPr>
              <w:t>5.</w:t>
            </w:r>
          </w:p>
        </w:tc>
        <w:tc>
          <w:tcPr>
            <w:tcW w:w="7604" w:type="dxa"/>
            <w:shd w:val="clear" w:color="auto" w:fill="F2F2F2" w:themeFill="background1" w:themeFillShade="F2"/>
          </w:tcPr>
          <w:p w14:paraId="5BF1956B" w14:textId="77777777" w:rsidR="000952F7" w:rsidRPr="000952F7" w:rsidRDefault="000952F7" w:rsidP="000D1C0A">
            <w:pPr>
              <w:pStyle w:val="TableParagraph"/>
              <w:spacing w:line="223" w:lineRule="exact"/>
              <w:rPr>
                <w:rFonts w:ascii="Arial" w:hAnsi="Arial" w:cs="Arial"/>
                <w:b/>
              </w:rPr>
            </w:pPr>
            <w:r w:rsidRPr="000952F7">
              <w:rPr>
                <w:rFonts w:ascii="Arial" w:hAnsi="Arial" w:cs="Arial"/>
                <w:b/>
              </w:rPr>
              <w:t>PRINCIPLES OF FLIGHT</w:t>
            </w:r>
          </w:p>
        </w:tc>
      </w:tr>
      <w:tr w:rsidR="000952F7" w:rsidRPr="000952F7" w14:paraId="0533031A" w14:textId="77777777" w:rsidTr="004E579F">
        <w:trPr>
          <w:trHeight w:val="200"/>
        </w:trPr>
        <w:tc>
          <w:tcPr>
            <w:tcW w:w="985" w:type="dxa"/>
          </w:tcPr>
          <w:p w14:paraId="75262BAF" w14:textId="77777777" w:rsidR="000952F7" w:rsidRPr="000952F7" w:rsidRDefault="000952F7" w:rsidP="000952F7">
            <w:pPr>
              <w:pStyle w:val="TableParagraph"/>
              <w:spacing w:line="223" w:lineRule="exact"/>
              <w:ind w:left="86"/>
              <w:rPr>
                <w:rFonts w:ascii="Arial" w:hAnsi="Arial" w:cs="Arial"/>
              </w:rPr>
            </w:pPr>
            <w:r w:rsidRPr="000952F7">
              <w:rPr>
                <w:rFonts w:ascii="Arial" w:hAnsi="Arial" w:cs="Arial"/>
              </w:rPr>
              <w:t>5.1.</w:t>
            </w:r>
          </w:p>
        </w:tc>
        <w:tc>
          <w:tcPr>
            <w:tcW w:w="7604" w:type="dxa"/>
          </w:tcPr>
          <w:p w14:paraId="5466C226" w14:textId="77777777" w:rsidR="000952F7" w:rsidRPr="000952F7" w:rsidRDefault="000952F7" w:rsidP="000952F7">
            <w:pPr>
              <w:pStyle w:val="TableParagraph"/>
              <w:spacing w:line="223" w:lineRule="exact"/>
              <w:rPr>
                <w:rFonts w:ascii="Arial" w:hAnsi="Arial" w:cs="Arial"/>
              </w:rPr>
            </w:pPr>
            <w:r w:rsidRPr="000952F7">
              <w:rPr>
                <w:rFonts w:ascii="Arial" w:hAnsi="Arial" w:cs="Arial"/>
              </w:rPr>
              <w:t>Principles of flight</w:t>
            </w:r>
          </w:p>
        </w:tc>
      </w:tr>
      <w:tr w:rsidR="000952F7" w:rsidRPr="000952F7" w14:paraId="3F7198EE" w14:textId="77777777" w:rsidTr="004E579F">
        <w:trPr>
          <w:trHeight w:val="200"/>
        </w:trPr>
        <w:tc>
          <w:tcPr>
            <w:tcW w:w="985" w:type="dxa"/>
          </w:tcPr>
          <w:p w14:paraId="110AA103" w14:textId="77777777" w:rsidR="000952F7" w:rsidRPr="000952F7" w:rsidRDefault="000952F7" w:rsidP="000D1C0A">
            <w:pPr>
              <w:pStyle w:val="TableParagraph"/>
              <w:spacing w:line="223" w:lineRule="exact"/>
              <w:ind w:left="86"/>
              <w:rPr>
                <w:rFonts w:ascii="Arial" w:hAnsi="Arial" w:cs="Arial"/>
              </w:rPr>
            </w:pPr>
            <w:r w:rsidRPr="000952F7">
              <w:rPr>
                <w:rFonts w:ascii="Arial" w:hAnsi="Arial" w:cs="Arial"/>
              </w:rPr>
              <w:t>5.2.</w:t>
            </w:r>
          </w:p>
        </w:tc>
        <w:tc>
          <w:tcPr>
            <w:tcW w:w="7604" w:type="dxa"/>
          </w:tcPr>
          <w:p w14:paraId="5FCFBC24" w14:textId="77777777" w:rsidR="000952F7" w:rsidRPr="000952F7" w:rsidRDefault="000952F7" w:rsidP="000D1C0A">
            <w:pPr>
              <w:pStyle w:val="TableParagraph"/>
              <w:spacing w:line="223" w:lineRule="exact"/>
              <w:rPr>
                <w:rFonts w:ascii="Arial" w:hAnsi="Arial" w:cs="Arial"/>
              </w:rPr>
            </w:pPr>
            <w:r w:rsidRPr="000952F7">
              <w:rPr>
                <w:rFonts w:ascii="Arial" w:hAnsi="Arial" w:cs="Arial"/>
              </w:rPr>
              <w:t>Aerostatics</w:t>
            </w:r>
          </w:p>
        </w:tc>
      </w:tr>
      <w:tr w:rsidR="000952F7" w:rsidRPr="000952F7" w14:paraId="345C201C" w14:textId="77777777" w:rsidTr="004E579F">
        <w:trPr>
          <w:trHeight w:val="200"/>
        </w:trPr>
        <w:tc>
          <w:tcPr>
            <w:tcW w:w="985" w:type="dxa"/>
          </w:tcPr>
          <w:p w14:paraId="0404B2DD" w14:textId="77777777" w:rsidR="000952F7" w:rsidRPr="000952F7" w:rsidRDefault="000952F7" w:rsidP="000952F7">
            <w:pPr>
              <w:pStyle w:val="TableParagraph"/>
              <w:spacing w:line="223" w:lineRule="exact"/>
              <w:ind w:left="86"/>
              <w:rPr>
                <w:rFonts w:ascii="Arial" w:hAnsi="Arial" w:cs="Arial"/>
              </w:rPr>
            </w:pPr>
            <w:r w:rsidRPr="000952F7">
              <w:rPr>
                <w:rFonts w:ascii="Arial" w:hAnsi="Arial" w:cs="Arial"/>
              </w:rPr>
              <w:t>5.3.</w:t>
            </w:r>
          </w:p>
        </w:tc>
        <w:tc>
          <w:tcPr>
            <w:tcW w:w="7604" w:type="dxa"/>
          </w:tcPr>
          <w:p w14:paraId="434E77F1" w14:textId="77777777" w:rsidR="000952F7" w:rsidRPr="000952F7" w:rsidRDefault="000952F7" w:rsidP="000952F7">
            <w:pPr>
              <w:pStyle w:val="TableParagraph"/>
              <w:spacing w:line="223" w:lineRule="exact"/>
              <w:rPr>
                <w:rFonts w:ascii="Arial" w:hAnsi="Arial" w:cs="Arial"/>
              </w:rPr>
            </w:pPr>
            <w:r w:rsidRPr="000952F7">
              <w:rPr>
                <w:rFonts w:ascii="Arial" w:hAnsi="Arial" w:cs="Arial"/>
              </w:rPr>
              <w:t>Loading limitations</w:t>
            </w:r>
          </w:p>
        </w:tc>
      </w:tr>
      <w:tr w:rsidR="000952F7" w:rsidRPr="000952F7" w14:paraId="7707E613" w14:textId="77777777" w:rsidTr="004E579F">
        <w:trPr>
          <w:trHeight w:val="200"/>
        </w:trPr>
        <w:tc>
          <w:tcPr>
            <w:tcW w:w="985" w:type="dxa"/>
          </w:tcPr>
          <w:p w14:paraId="4D48978E" w14:textId="77777777" w:rsidR="000952F7" w:rsidRPr="000952F7" w:rsidRDefault="000952F7" w:rsidP="000D1C0A">
            <w:pPr>
              <w:pStyle w:val="TableParagraph"/>
              <w:spacing w:line="223" w:lineRule="exact"/>
              <w:ind w:left="86"/>
              <w:rPr>
                <w:rFonts w:ascii="Arial" w:hAnsi="Arial" w:cs="Arial"/>
              </w:rPr>
            </w:pPr>
            <w:r w:rsidRPr="000952F7">
              <w:rPr>
                <w:rFonts w:ascii="Arial" w:hAnsi="Arial" w:cs="Arial"/>
              </w:rPr>
              <w:t>5.4.</w:t>
            </w:r>
          </w:p>
        </w:tc>
        <w:tc>
          <w:tcPr>
            <w:tcW w:w="7604" w:type="dxa"/>
          </w:tcPr>
          <w:p w14:paraId="74EB0411" w14:textId="77777777" w:rsidR="000952F7" w:rsidRPr="000952F7" w:rsidRDefault="000952F7" w:rsidP="000D1C0A">
            <w:pPr>
              <w:pStyle w:val="TableParagraph"/>
              <w:spacing w:line="223" w:lineRule="exact"/>
              <w:rPr>
                <w:rFonts w:ascii="Arial" w:hAnsi="Arial" w:cs="Arial"/>
              </w:rPr>
            </w:pPr>
            <w:r w:rsidRPr="000952F7">
              <w:rPr>
                <w:rFonts w:ascii="Arial" w:hAnsi="Arial" w:cs="Arial"/>
              </w:rPr>
              <w:t>Operational limitations</w:t>
            </w:r>
          </w:p>
        </w:tc>
      </w:tr>
      <w:tr w:rsidR="000952F7" w:rsidRPr="000952F7" w14:paraId="3FF4EE32" w14:textId="77777777" w:rsidTr="004E579F">
        <w:trPr>
          <w:trHeight w:val="200"/>
        </w:trPr>
        <w:tc>
          <w:tcPr>
            <w:tcW w:w="985" w:type="dxa"/>
            <w:shd w:val="clear" w:color="auto" w:fill="F2F2F2" w:themeFill="background1" w:themeFillShade="F2"/>
          </w:tcPr>
          <w:p w14:paraId="0512684F" w14:textId="77777777" w:rsidR="000952F7" w:rsidRPr="000952F7" w:rsidRDefault="000952F7" w:rsidP="000952F7">
            <w:pPr>
              <w:pStyle w:val="TableParagraph"/>
              <w:spacing w:line="223" w:lineRule="exact"/>
              <w:ind w:left="86"/>
              <w:rPr>
                <w:rFonts w:ascii="Arial" w:hAnsi="Arial" w:cs="Arial"/>
                <w:b/>
              </w:rPr>
            </w:pPr>
            <w:r w:rsidRPr="000952F7">
              <w:rPr>
                <w:rFonts w:ascii="Arial" w:hAnsi="Arial" w:cs="Arial"/>
                <w:b/>
              </w:rPr>
              <w:t>6.</w:t>
            </w:r>
          </w:p>
        </w:tc>
        <w:tc>
          <w:tcPr>
            <w:tcW w:w="7604" w:type="dxa"/>
            <w:shd w:val="clear" w:color="auto" w:fill="F2F2F2" w:themeFill="background1" w:themeFillShade="F2"/>
          </w:tcPr>
          <w:p w14:paraId="2E38467D" w14:textId="77777777" w:rsidR="000952F7" w:rsidRPr="000952F7" w:rsidRDefault="000952F7" w:rsidP="000952F7">
            <w:pPr>
              <w:pStyle w:val="TableParagraph"/>
              <w:spacing w:line="223" w:lineRule="exact"/>
              <w:rPr>
                <w:rFonts w:ascii="Arial" w:hAnsi="Arial" w:cs="Arial"/>
                <w:b/>
              </w:rPr>
            </w:pPr>
            <w:r w:rsidRPr="000952F7">
              <w:rPr>
                <w:rFonts w:ascii="Arial" w:hAnsi="Arial" w:cs="Arial"/>
                <w:b/>
              </w:rPr>
              <w:t>OPERATIONAL PROCEDURES</w:t>
            </w:r>
          </w:p>
        </w:tc>
      </w:tr>
      <w:tr w:rsidR="000952F7" w:rsidRPr="000952F7" w14:paraId="0F7C42E0" w14:textId="77777777" w:rsidTr="004E579F">
        <w:trPr>
          <w:trHeight w:val="200"/>
        </w:trPr>
        <w:tc>
          <w:tcPr>
            <w:tcW w:w="985" w:type="dxa"/>
          </w:tcPr>
          <w:p w14:paraId="3262C443" w14:textId="77777777" w:rsidR="000952F7" w:rsidRPr="000952F7" w:rsidRDefault="000952F7" w:rsidP="000D1C0A">
            <w:pPr>
              <w:pStyle w:val="TableParagraph"/>
              <w:spacing w:line="223" w:lineRule="exact"/>
              <w:ind w:left="86"/>
              <w:rPr>
                <w:rFonts w:ascii="Arial" w:hAnsi="Arial" w:cs="Arial"/>
              </w:rPr>
            </w:pPr>
            <w:r w:rsidRPr="000952F7">
              <w:rPr>
                <w:rFonts w:ascii="Arial" w:hAnsi="Arial" w:cs="Arial"/>
              </w:rPr>
              <w:t>6.1.</w:t>
            </w:r>
          </w:p>
        </w:tc>
        <w:tc>
          <w:tcPr>
            <w:tcW w:w="7604" w:type="dxa"/>
          </w:tcPr>
          <w:p w14:paraId="12101EDA" w14:textId="77777777" w:rsidR="000952F7" w:rsidRPr="000952F7" w:rsidRDefault="000952F7" w:rsidP="000D1C0A">
            <w:pPr>
              <w:pStyle w:val="TableParagraph"/>
              <w:spacing w:line="223" w:lineRule="exact"/>
              <w:rPr>
                <w:rFonts w:ascii="Arial" w:hAnsi="Arial" w:cs="Arial"/>
              </w:rPr>
            </w:pPr>
            <w:r w:rsidRPr="000952F7">
              <w:rPr>
                <w:rFonts w:ascii="Arial" w:hAnsi="Arial" w:cs="Arial"/>
              </w:rPr>
              <w:t>General requirements</w:t>
            </w:r>
          </w:p>
        </w:tc>
      </w:tr>
      <w:tr w:rsidR="000952F7" w:rsidRPr="000952F7" w14:paraId="13DD6E19" w14:textId="77777777" w:rsidTr="004E579F">
        <w:trPr>
          <w:trHeight w:val="200"/>
        </w:trPr>
        <w:tc>
          <w:tcPr>
            <w:tcW w:w="985" w:type="dxa"/>
          </w:tcPr>
          <w:p w14:paraId="2D1E4F43" w14:textId="77777777" w:rsidR="000952F7" w:rsidRPr="000952F7" w:rsidRDefault="000952F7" w:rsidP="000952F7">
            <w:pPr>
              <w:pStyle w:val="TableParagraph"/>
              <w:spacing w:line="223" w:lineRule="exact"/>
              <w:ind w:left="86"/>
              <w:rPr>
                <w:rFonts w:ascii="Arial" w:hAnsi="Arial" w:cs="Arial"/>
              </w:rPr>
            </w:pPr>
            <w:r w:rsidRPr="000952F7">
              <w:rPr>
                <w:rFonts w:ascii="Arial" w:hAnsi="Arial" w:cs="Arial"/>
              </w:rPr>
              <w:t>6.2.</w:t>
            </w:r>
          </w:p>
        </w:tc>
        <w:tc>
          <w:tcPr>
            <w:tcW w:w="7604" w:type="dxa"/>
          </w:tcPr>
          <w:p w14:paraId="7ED3868B" w14:textId="77777777" w:rsidR="000952F7" w:rsidRPr="000952F7" w:rsidRDefault="000952F7" w:rsidP="000952F7">
            <w:pPr>
              <w:pStyle w:val="TableParagraph"/>
              <w:spacing w:line="223" w:lineRule="exact"/>
              <w:rPr>
                <w:rFonts w:ascii="Arial" w:hAnsi="Arial" w:cs="Arial"/>
              </w:rPr>
            </w:pPr>
            <w:r w:rsidRPr="000952F7">
              <w:rPr>
                <w:rFonts w:ascii="Arial" w:hAnsi="Arial" w:cs="Arial"/>
              </w:rPr>
              <w:t>Special operational procedures and hazards (general aspects)</w:t>
            </w:r>
          </w:p>
        </w:tc>
      </w:tr>
      <w:tr w:rsidR="000952F7" w:rsidRPr="000952F7" w14:paraId="5A2B7956" w14:textId="77777777" w:rsidTr="004E579F">
        <w:trPr>
          <w:trHeight w:val="200"/>
        </w:trPr>
        <w:tc>
          <w:tcPr>
            <w:tcW w:w="985" w:type="dxa"/>
          </w:tcPr>
          <w:p w14:paraId="30D56244" w14:textId="77777777" w:rsidR="000952F7" w:rsidRPr="000952F7" w:rsidRDefault="000952F7" w:rsidP="000D1C0A">
            <w:pPr>
              <w:pStyle w:val="TableParagraph"/>
              <w:spacing w:line="223" w:lineRule="exact"/>
              <w:ind w:left="86"/>
              <w:rPr>
                <w:rFonts w:ascii="Arial" w:hAnsi="Arial" w:cs="Arial"/>
              </w:rPr>
            </w:pPr>
            <w:r w:rsidRPr="000952F7">
              <w:rPr>
                <w:rFonts w:ascii="Arial" w:hAnsi="Arial" w:cs="Arial"/>
              </w:rPr>
              <w:t>6.3.</w:t>
            </w:r>
          </w:p>
        </w:tc>
        <w:tc>
          <w:tcPr>
            <w:tcW w:w="7604" w:type="dxa"/>
          </w:tcPr>
          <w:p w14:paraId="0527927D" w14:textId="77777777" w:rsidR="000952F7" w:rsidRPr="000952F7" w:rsidRDefault="000952F7" w:rsidP="000D1C0A">
            <w:pPr>
              <w:pStyle w:val="TableParagraph"/>
              <w:spacing w:line="223" w:lineRule="exact"/>
              <w:rPr>
                <w:rFonts w:ascii="Arial" w:hAnsi="Arial" w:cs="Arial"/>
              </w:rPr>
            </w:pPr>
            <w:r w:rsidRPr="000952F7">
              <w:rPr>
                <w:rFonts w:ascii="Arial" w:hAnsi="Arial" w:cs="Arial"/>
              </w:rPr>
              <w:t>Emergency procedures</w:t>
            </w:r>
          </w:p>
        </w:tc>
      </w:tr>
      <w:tr w:rsidR="000952F7" w:rsidRPr="000952F7" w14:paraId="6A5AD140" w14:textId="77777777" w:rsidTr="004E579F">
        <w:trPr>
          <w:trHeight w:val="200"/>
        </w:trPr>
        <w:tc>
          <w:tcPr>
            <w:tcW w:w="985" w:type="dxa"/>
            <w:shd w:val="clear" w:color="auto" w:fill="F2F2F2" w:themeFill="background1" w:themeFillShade="F2"/>
          </w:tcPr>
          <w:p w14:paraId="50DAAD5C" w14:textId="77777777" w:rsidR="000952F7" w:rsidRPr="000952F7" w:rsidRDefault="000952F7" w:rsidP="000952F7">
            <w:pPr>
              <w:pStyle w:val="TableParagraph"/>
              <w:spacing w:line="223" w:lineRule="exact"/>
              <w:ind w:left="86"/>
              <w:rPr>
                <w:rFonts w:ascii="Arial" w:hAnsi="Arial" w:cs="Arial"/>
                <w:b/>
              </w:rPr>
            </w:pPr>
            <w:r w:rsidRPr="000952F7">
              <w:rPr>
                <w:rFonts w:ascii="Arial" w:hAnsi="Arial" w:cs="Arial"/>
                <w:b/>
              </w:rPr>
              <w:t>7.</w:t>
            </w:r>
          </w:p>
        </w:tc>
        <w:tc>
          <w:tcPr>
            <w:tcW w:w="7604" w:type="dxa"/>
            <w:shd w:val="clear" w:color="auto" w:fill="F2F2F2" w:themeFill="background1" w:themeFillShade="F2"/>
          </w:tcPr>
          <w:p w14:paraId="70398972" w14:textId="77777777" w:rsidR="000952F7" w:rsidRPr="000952F7" w:rsidRDefault="000952F7" w:rsidP="000952F7">
            <w:pPr>
              <w:pStyle w:val="TableParagraph"/>
              <w:spacing w:line="223" w:lineRule="exact"/>
              <w:rPr>
                <w:rFonts w:ascii="Arial" w:hAnsi="Arial" w:cs="Arial"/>
                <w:b/>
              </w:rPr>
            </w:pPr>
            <w:r w:rsidRPr="000952F7">
              <w:rPr>
                <w:rFonts w:ascii="Arial" w:hAnsi="Arial" w:cs="Arial"/>
                <w:b/>
              </w:rPr>
              <w:t>FLIGHT PERFORMANCE AND PLANNING</w:t>
            </w:r>
          </w:p>
        </w:tc>
      </w:tr>
      <w:tr w:rsidR="000952F7" w:rsidRPr="000952F7" w14:paraId="3D429B1F" w14:textId="77777777" w:rsidTr="004E579F">
        <w:trPr>
          <w:trHeight w:val="200"/>
        </w:trPr>
        <w:tc>
          <w:tcPr>
            <w:tcW w:w="985" w:type="dxa"/>
          </w:tcPr>
          <w:p w14:paraId="391A6163" w14:textId="77777777" w:rsidR="000952F7" w:rsidRPr="000952F7" w:rsidRDefault="000952F7" w:rsidP="000952F7">
            <w:pPr>
              <w:pStyle w:val="TableParagraph"/>
              <w:spacing w:line="223" w:lineRule="exact"/>
              <w:ind w:left="86"/>
              <w:rPr>
                <w:rFonts w:ascii="Arial" w:hAnsi="Arial" w:cs="Arial"/>
              </w:rPr>
            </w:pPr>
            <w:r w:rsidRPr="000952F7">
              <w:rPr>
                <w:rFonts w:ascii="Arial" w:hAnsi="Arial" w:cs="Arial"/>
              </w:rPr>
              <w:t>7.1.</w:t>
            </w:r>
          </w:p>
        </w:tc>
        <w:tc>
          <w:tcPr>
            <w:tcW w:w="7604" w:type="dxa"/>
          </w:tcPr>
          <w:p w14:paraId="4416E456" w14:textId="77777777" w:rsidR="000952F7" w:rsidRPr="000952F7" w:rsidRDefault="000952F7" w:rsidP="000952F7">
            <w:pPr>
              <w:pStyle w:val="TableParagraph"/>
              <w:spacing w:line="223" w:lineRule="exact"/>
              <w:rPr>
                <w:rFonts w:ascii="Arial" w:hAnsi="Arial" w:cs="Arial"/>
              </w:rPr>
            </w:pPr>
            <w:r w:rsidRPr="000952F7">
              <w:rPr>
                <w:rFonts w:ascii="Arial" w:hAnsi="Arial" w:cs="Arial"/>
              </w:rPr>
              <w:t>Mass</w:t>
            </w:r>
          </w:p>
        </w:tc>
      </w:tr>
      <w:tr w:rsidR="000952F7" w:rsidRPr="000952F7" w14:paraId="5413742E" w14:textId="77777777" w:rsidTr="004E579F">
        <w:trPr>
          <w:trHeight w:val="200"/>
        </w:trPr>
        <w:tc>
          <w:tcPr>
            <w:tcW w:w="985" w:type="dxa"/>
          </w:tcPr>
          <w:p w14:paraId="3F45D2F9" w14:textId="77777777" w:rsidR="000952F7" w:rsidRPr="000952F7" w:rsidRDefault="000952F7" w:rsidP="000952F7">
            <w:pPr>
              <w:pStyle w:val="TableParagraph"/>
              <w:spacing w:line="223" w:lineRule="exact"/>
              <w:ind w:left="86"/>
              <w:rPr>
                <w:rFonts w:ascii="Arial" w:hAnsi="Arial" w:cs="Arial"/>
              </w:rPr>
            </w:pPr>
            <w:r w:rsidRPr="000952F7">
              <w:rPr>
                <w:rFonts w:ascii="Arial" w:hAnsi="Arial" w:cs="Arial"/>
              </w:rPr>
              <w:t>7.1.1.</w:t>
            </w:r>
          </w:p>
        </w:tc>
        <w:tc>
          <w:tcPr>
            <w:tcW w:w="7604" w:type="dxa"/>
          </w:tcPr>
          <w:p w14:paraId="74BB64B5" w14:textId="77777777" w:rsidR="000952F7" w:rsidRPr="000952F7" w:rsidRDefault="000952F7" w:rsidP="000952F7">
            <w:pPr>
              <w:pStyle w:val="TableParagraph"/>
              <w:spacing w:line="223" w:lineRule="exact"/>
              <w:rPr>
                <w:rFonts w:ascii="Arial" w:hAnsi="Arial" w:cs="Arial"/>
              </w:rPr>
            </w:pPr>
            <w:r w:rsidRPr="000952F7">
              <w:rPr>
                <w:rFonts w:ascii="Arial" w:hAnsi="Arial" w:cs="Arial"/>
              </w:rPr>
              <w:t>Purpose of mass considerations</w:t>
            </w:r>
          </w:p>
        </w:tc>
      </w:tr>
      <w:tr w:rsidR="000952F7" w:rsidRPr="000952F7" w14:paraId="2286ABC7" w14:textId="77777777" w:rsidTr="004E579F">
        <w:trPr>
          <w:trHeight w:val="200"/>
        </w:trPr>
        <w:tc>
          <w:tcPr>
            <w:tcW w:w="985" w:type="dxa"/>
          </w:tcPr>
          <w:p w14:paraId="095CEF71" w14:textId="77777777" w:rsidR="000952F7" w:rsidRPr="000952F7" w:rsidRDefault="000952F7" w:rsidP="000952F7">
            <w:pPr>
              <w:pStyle w:val="TableParagraph"/>
              <w:spacing w:line="223" w:lineRule="exact"/>
              <w:ind w:left="86"/>
              <w:rPr>
                <w:rFonts w:ascii="Arial" w:hAnsi="Arial" w:cs="Arial"/>
              </w:rPr>
            </w:pPr>
            <w:r w:rsidRPr="000952F7">
              <w:rPr>
                <w:rFonts w:ascii="Arial" w:hAnsi="Arial" w:cs="Arial"/>
              </w:rPr>
              <w:t>7.1.2.</w:t>
            </w:r>
          </w:p>
        </w:tc>
        <w:tc>
          <w:tcPr>
            <w:tcW w:w="7604" w:type="dxa"/>
          </w:tcPr>
          <w:p w14:paraId="4D5A76A6" w14:textId="77777777" w:rsidR="000952F7" w:rsidRPr="000952F7" w:rsidRDefault="000952F7" w:rsidP="000952F7">
            <w:pPr>
              <w:pStyle w:val="TableParagraph"/>
              <w:spacing w:line="223" w:lineRule="exact"/>
              <w:rPr>
                <w:rFonts w:ascii="Arial" w:hAnsi="Arial" w:cs="Arial"/>
              </w:rPr>
            </w:pPr>
            <w:r w:rsidRPr="000952F7">
              <w:rPr>
                <w:rFonts w:ascii="Arial" w:hAnsi="Arial" w:cs="Arial"/>
              </w:rPr>
              <w:t>Loading</w:t>
            </w:r>
          </w:p>
        </w:tc>
      </w:tr>
      <w:tr w:rsidR="000952F7" w:rsidRPr="000952F7" w14:paraId="2C443173" w14:textId="77777777" w:rsidTr="004E579F">
        <w:trPr>
          <w:trHeight w:val="200"/>
        </w:trPr>
        <w:tc>
          <w:tcPr>
            <w:tcW w:w="985" w:type="dxa"/>
          </w:tcPr>
          <w:p w14:paraId="2378B33B" w14:textId="77777777" w:rsidR="000952F7" w:rsidRPr="000952F7" w:rsidRDefault="000952F7" w:rsidP="000952F7">
            <w:pPr>
              <w:pStyle w:val="TableParagraph"/>
              <w:spacing w:line="223" w:lineRule="exact"/>
              <w:ind w:left="86"/>
              <w:rPr>
                <w:rFonts w:ascii="Arial" w:hAnsi="Arial" w:cs="Arial"/>
              </w:rPr>
            </w:pPr>
            <w:r w:rsidRPr="000952F7">
              <w:rPr>
                <w:rFonts w:ascii="Arial" w:hAnsi="Arial" w:cs="Arial"/>
              </w:rPr>
              <w:t>7.2.</w:t>
            </w:r>
          </w:p>
        </w:tc>
        <w:tc>
          <w:tcPr>
            <w:tcW w:w="7604" w:type="dxa"/>
          </w:tcPr>
          <w:p w14:paraId="6880B247" w14:textId="77777777" w:rsidR="000952F7" w:rsidRPr="000952F7" w:rsidRDefault="000952F7" w:rsidP="000952F7">
            <w:pPr>
              <w:pStyle w:val="TableParagraph"/>
              <w:spacing w:line="223" w:lineRule="exact"/>
              <w:rPr>
                <w:rFonts w:ascii="Arial" w:hAnsi="Arial" w:cs="Arial"/>
              </w:rPr>
            </w:pPr>
            <w:r w:rsidRPr="000952F7">
              <w:rPr>
                <w:rFonts w:ascii="Arial" w:hAnsi="Arial" w:cs="Arial"/>
              </w:rPr>
              <w:t>Performance</w:t>
            </w:r>
          </w:p>
        </w:tc>
      </w:tr>
      <w:tr w:rsidR="000952F7" w:rsidRPr="000952F7" w14:paraId="650B9C53" w14:textId="77777777" w:rsidTr="004E579F">
        <w:trPr>
          <w:trHeight w:val="200"/>
        </w:trPr>
        <w:tc>
          <w:tcPr>
            <w:tcW w:w="985" w:type="dxa"/>
          </w:tcPr>
          <w:p w14:paraId="4F29D295" w14:textId="77777777" w:rsidR="000952F7" w:rsidRPr="000952F7" w:rsidRDefault="000952F7" w:rsidP="000952F7">
            <w:pPr>
              <w:pStyle w:val="TableParagraph"/>
              <w:spacing w:line="223" w:lineRule="exact"/>
              <w:ind w:left="86"/>
              <w:rPr>
                <w:rFonts w:ascii="Arial" w:hAnsi="Arial" w:cs="Arial"/>
              </w:rPr>
            </w:pPr>
            <w:r w:rsidRPr="000952F7">
              <w:rPr>
                <w:rFonts w:ascii="Arial" w:hAnsi="Arial" w:cs="Arial"/>
              </w:rPr>
              <w:t>7.2.1.</w:t>
            </w:r>
          </w:p>
        </w:tc>
        <w:tc>
          <w:tcPr>
            <w:tcW w:w="7604" w:type="dxa"/>
          </w:tcPr>
          <w:p w14:paraId="128074C0" w14:textId="77777777" w:rsidR="000952F7" w:rsidRPr="000952F7" w:rsidRDefault="000952F7" w:rsidP="000952F7">
            <w:pPr>
              <w:pStyle w:val="TableParagraph"/>
              <w:spacing w:line="223" w:lineRule="exact"/>
              <w:rPr>
                <w:rFonts w:ascii="Arial" w:hAnsi="Arial" w:cs="Arial"/>
              </w:rPr>
            </w:pPr>
            <w:r w:rsidRPr="000952F7">
              <w:rPr>
                <w:rFonts w:ascii="Arial" w:hAnsi="Arial" w:cs="Arial"/>
              </w:rPr>
              <w:t>Performance: general</w:t>
            </w:r>
          </w:p>
        </w:tc>
      </w:tr>
      <w:tr w:rsidR="000952F7" w:rsidRPr="000952F7" w14:paraId="0976DB4E" w14:textId="77777777" w:rsidTr="004E579F">
        <w:trPr>
          <w:trHeight w:val="200"/>
        </w:trPr>
        <w:tc>
          <w:tcPr>
            <w:tcW w:w="985" w:type="dxa"/>
          </w:tcPr>
          <w:p w14:paraId="09790D4C" w14:textId="77777777" w:rsidR="000952F7" w:rsidRPr="000952F7" w:rsidRDefault="000952F7" w:rsidP="000952F7">
            <w:pPr>
              <w:pStyle w:val="TableParagraph"/>
              <w:spacing w:line="223" w:lineRule="exact"/>
              <w:ind w:left="86"/>
              <w:rPr>
                <w:rFonts w:ascii="Arial" w:hAnsi="Arial" w:cs="Arial"/>
              </w:rPr>
            </w:pPr>
            <w:r w:rsidRPr="000952F7">
              <w:rPr>
                <w:rFonts w:ascii="Arial" w:hAnsi="Arial" w:cs="Arial"/>
              </w:rPr>
              <w:t>7.3.</w:t>
            </w:r>
          </w:p>
        </w:tc>
        <w:tc>
          <w:tcPr>
            <w:tcW w:w="7604" w:type="dxa"/>
          </w:tcPr>
          <w:p w14:paraId="03FFDABB" w14:textId="77777777" w:rsidR="000952F7" w:rsidRPr="000952F7" w:rsidRDefault="000952F7" w:rsidP="000952F7">
            <w:pPr>
              <w:pStyle w:val="TableParagraph"/>
              <w:spacing w:line="223" w:lineRule="exact"/>
              <w:rPr>
                <w:rFonts w:ascii="Arial" w:hAnsi="Arial" w:cs="Arial"/>
              </w:rPr>
            </w:pPr>
            <w:r w:rsidRPr="000952F7">
              <w:rPr>
                <w:rFonts w:ascii="Arial" w:hAnsi="Arial" w:cs="Arial"/>
              </w:rPr>
              <w:t>Flight planning and flight monitoring</w:t>
            </w:r>
          </w:p>
        </w:tc>
      </w:tr>
      <w:tr w:rsidR="000952F7" w:rsidRPr="000952F7" w14:paraId="1BDD810F" w14:textId="77777777" w:rsidTr="004E579F">
        <w:trPr>
          <w:trHeight w:val="200"/>
        </w:trPr>
        <w:tc>
          <w:tcPr>
            <w:tcW w:w="985" w:type="dxa"/>
          </w:tcPr>
          <w:p w14:paraId="2FC7E89F" w14:textId="77777777" w:rsidR="000952F7" w:rsidRPr="000952F7" w:rsidRDefault="000952F7" w:rsidP="000952F7">
            <w:pPr>
              <w:pStyle w:val="TableParagraph"/>
              <w:spacing w:line="223" w:lineRule="exact"/>
              <w:ind w:left="86"/>
              <w:rPr>
                <w:rFonts w:ascii="Arial" w:hAnsi="Arial" w:cs="Arial"/>
              </w:rPr>
            </w:pPr>
            <w:r w:rsidRPr="000952F7">
              <w:rPr>
                <w:rFonts w:ascii="Arial" w:hAnsi="Arial" w:cs="Arial"/>
              </w:rPr>
              <w:t>7.3.1.</w:t>
            </w:r>
          </w:p>
        </w:tc>
        <w:tc>
          <w:tcPr>
            <w:tcW w:w="7604" w:type="dxa"/>
          </w:tcPr>
          <w:p w14:paraId="2333F8D3" w14:textId="77777777" w:rsidR="000952F7" w:rsidRPr="000952F7" w:rsidRDefault="000952F7" w:rsidP="000952F7">
            <w:pPr>
              <w:pStyle w:val="TableParagraph"/>
              <w:spacing w:line="223" w:lineRule="exact"/>
              <w:rPr>
                <w:rFonts w:ascii="Arial" w:hAnsi="Arial" w:cs="Arial"/>
              </w:rPr>
            </w:pPr>
            <w:r w:rsidRPr="000952F7">
              <w:rPr>
                <w:rFonts w:ascii="Arial" w:hAnsi="Arial" w:cs="Arial"/>
              </w:rPr>
              <w:t>Flight planning: general</w:t>
            </w:r>
          </w:p>
        </w:tc>
      </w:tr>
      <w:tr w:rsidR="000952F7" w:rsidRPr="000952F7" w14:paraId="52D4F44A" w14:textId="77777777" w:rsidTr="004E579F">
        <w:trPr>
          <w:trHeight w:val="200"/>
        </w:trPr>
        <w:tc>
          <w:tcPr>
            <w:tcW w:w="985" w:type="dxa"/>
          </w:tcPr>
          <w:p w14:paraId="1BACDE17" w14:textId="77777777" w:rsidR="000952F7" w:rsidRPr="000952F7" w:rsidRDefault="000952F7" w:rsidP="000952F7">
            <w:pPr>
              <w:pStyle w:val="TableParagraph"/>
              <w:spacing w:line="223" w:lineRule="exact"/>
              <w:ind w:left="86"/>
              <w:rPr>
                <w:rFonts w:ascii="Arial" w:hAnsi="Arial" w:cs="Arial"/>
              </w:rPr>
            </w:pPr>
            <w:r w:rsidRPr="000952F7">
              <w:rPr>
                <w:rFonts w:ascii="Arial" w:hAnsi="Arial" w:cs="Arial"/>
              </w:rPr>
              <w:t>7.3.2.1.</w:t>
            </w:r>
          </w:p>
        </w:tc>
        <w:tc>
          <w:tcPr>
            <w:tcW w:w="7604" w:type="dxa"/>
          </w:tcPr>
          <w:p w14:paraId="51D0D053" w14:textId="77777777" w:rsidR="000952F7" w:rsidRPr="000952F7" w:rsidRDefault="000952F7" w:rsidP="000952F7">
            <w:pPr>
              <w:pStyle w:val="TableParagraph"/>
              <w:spacing w:line="223" w:lineRule="exact"/>
              <w:rPr>
                <w:rFonts w:ascii="Arial" w:hAnsi="Arial" w:cs="Arial"/>
              </w:rPr>
            </w:pPr>
            <w:r w:rsidRPr="000952F7">
              <w:rPr>
                <w:rFonts w:ascii="Arial" w:hAnsi="Arial" w:cs="Arial"/>
              </w:rPr>
              <w:t>Fuel planning (hot-air balloons only)</w:t>
            </w:r>
          </w:p>
        </w:tc>
      </w:tr>
      <w:tr w:rsidR="000952F7" w:rsidRPr="000952F7" w14:paraId="589FE4BB" w14:textId="77777777" w:rsidTr="004E579F">
        <w:trPr>
          <w:trHeight w:val="200"/>
        </w:trPr>
        <w:tc>
          <w:tcPr>
            <w:tcW w:w="985" w:type="dxa"/>
          </w:tcPr>
          <w:p w14:paraId="4EACA98D" w14:textId="77777777" w:rsidR="000952F7" w:rsidRPr="000952F7" w:rsidRDefault="000952F7" w:rsidP="000952F7">
            <w:pPr>
              <w:pStyle w:val="TableParagraph"/>
              <w:spacing w:line="223" w:lineRule="exact"/>
              <w:ind w:left="86"/>
              <w:rPr>
                <w:rFonts w:ascii="Arial" w:hAnsi="Arial" w:cs="Arial"/>
              </w:rPr>
            </w:pPr>
            <w:r w:rsidRPr="000952F7">
              <w:rPr>
                <w:rFonts w:ascii="Arial" w:hAnsi="Arial" w:cs="Arial"/>
              </w:rPr>
              <w:t>7.3.2.2.</w:t>
            </w:r>
          </w:p>
        </w:tc>
        <w:tc>
          <w:tcPr>
            <w:tcW w:w="7604" w:type="dxa"/>
          </w:tcPr>
          <w:p w14:paraId="50F16AED" w14:textId="77777777" w:rsidR="000952F7" w:rsidRPr="000952F7" w:rsidRDefault="000952F7" w:rsidP="000952F7">
            <w:pPr>
              <w:pStyle w:val="TableParagraph"/>
              <w:spacing w:line="223" w:lineRule="exact"/>
              <w:rPr>
                <w:rFonts w:ascii="Arial" w:hAnsi="Arial" w:cs="Arial"/>
              </w:rPr>
            </w:pPr>
            <w:r w:rsidRPr="000952F7">
              <w:rPr>
                <w:rFonts w:ascii="Arial" w:hAnsi="Arial" w:cs="Arial"/>
              </w:rPr>
              <w:t>Ballast planning (gas balloons only)</w:t>
            </w:r>
          </w:p>
        </w:tc>
      </w:tr>
      <w:tr w:rsidR="000952F7" w:rsidRPr="000952F7" w14:paraId="1E242844" w14:textId="77777777" w:rsidTr="004E579F">
        <w:trPr>
          <w:trHeight w:val="200"/>
        </w:trPr>
        <w:tc>
          <w:tcPr>
            <w:tcW w:w="985" w:type="dxa"/>
          </w:tcPr>
          <w:p w14:paraId="0916C396" w14:textId="77777777" w:rsidR="000952F7" w:rsidRPr="000952F7" w:rsidRDefault="000952F7" w:rsidP="000952F7">
            <w:pPr>
              <w:pStyle w:val="TableParagraph"/>
              <w:spacing w:line="223" w:lineRule="exact"/>
              <w:ind w:left="86"/>
              <w:rPr>
                <w:rFonts w:ascii="Arial" w:hAnsi="Arial" w:cs="Arial"/>
              </w:rPr>
            </w:pPr>
            <w:r w:rsidRPr="000952F7">
              <w:rPr>
                <w:rFonts w:ascii="Arial" w:hAnsi="Arial" w:cs="Arial"/>
              </w:rPr>
              <w:t>7.3.3.</w:t>
            </w:r>
          </w:p>
        </w:tc>
        <w:tc>
          <w:tcPr>
            <w:tcW w:w="7604" w:type="dxa"/>
          </w:tcPr>
          <w:p w14:paraId="495A0950" w14:textId="77777777" w:rsidR="000952F7" w:rsidRPr="000952F7" w:rsidRDefault="000952F7" w:rsidP="000952F7">
            <w:pPr>
              <w:pStyle w:val="TableParagraph"/>
              <w:spacing w:line="223" w:lineRule="exact"/>
              <w:rPr>
                <w:rFonts w:ascii="Arial" w:hAnsi="Arial" w:cs="Arial"/>
              </w:rPr>
            </w:pPr>
            <w:r w:rsidRPr="000952F7">
              <w:rPr>
                <w:rFonts w:ascii="Arial" w:hAnsi="Arial" w:cs="Arial"/>
              </w:rPr>
              <w:t>Pre-flight preparation</w:t>
            </w:r>
          </w:p>
        </w:tc>
      </w:tr>
      <w:tr w:rsidR="000952F7" w:rsidRPr="000952F7" w14:paraId="1642F0B9" w14:textId="77777777" w:rsidTr="004E579F">
        <w:trPr>
          <w:trHeight w:val="200"/>
        </w:trPr>
        <w:tc>
          <w:tcPr>
            <w:tcW w:w="985" w:type="dxa"/>
          </w:tcPr>
          <w:p w14:paraId="6C298940" w14:textId="77777777" w:rsidR="000952F7" w:rsidRPr="000952F7" w:rsidRDefault="000952F7" w:rsidP="000952F7">
            <w:pPr>
              <w:pStyle w:val="TableParagraph"/>
              <w:spacing w:line="223" w:lineRule="exact"/>
              <w:ind w:left="86"/>
              <w:rPr>
                <w:rFonts w:ascii="Arial" w:hAnsi="Arial" w:cs="Arial"/>
              </w:rPr>
            </w:pPr>
            <w:r w:rsidRPr="000952F7">
              <w:rPr>
                <w:rFonts w:ascii="Arial" w:hAnsi="Arial" w:cs="Arial"/>
              </w:rPr>
              <w:t>7.3.4.</w:t>
            </w:r>
          </w:p>
        </w:tc>
        <w:tc>
          <w:tcPr>
            <w:tcW w:w="7604" w:type="dxa"/>
          </w:tcPr>
          <w:p w14:paraId="10834035" w14:textId="77777777" w:rsidR="000952F7" w:rsidRPr="000952F7" w:rsidRDefault="000952F7" w:rsidP="000952F7">
            <w:pPr>
              <w:pStyle w:val="TableParagraph"/>
              <w:spacing w:line="223" w:lineRule="exact"/>
              <w:rPr>
                <w:rFonts w:ascii="Arial" w:hAnsi="Arial" w:cs="Arial"/>
              </w:rPr>
            </w:pPr>
            <w:r w:rsidRPr="000952F7">
              <w:rPr>
                <w:rFonts w:ascii="Arial" w:hAnsi="Arial" w:cs="Arial"/>
              </w:rPr>
              <w:t>ICAO flight plan (ATS flight plan)</w:t>
            </w:r>
          </w:p>
        </w:tc>
      </w:tr>
      <w:tr w:rsidR="000952F7" w:rsidRPr="000952F7" w14:paraId="6200EBB1" w14:textId="77777777" w:rsidTr="004E579F">
        <w:trPr>
          <w:trHeight w:val="200"/>
        </w:trPr>
        <w:tc>
          <w:tcPr>
            <w:tcW w:w="985" w:type="dxa"/>
          </w:tcPr>
          <w:p w14:paraId="211996EA" w14:textId="77777777" w:rsidR="000952F7" w:rsidRPr="000952F7" w:rsidRDefault="000952F7" w:rsidP="000D1C0A">
            <w:pPr>
              <w:pStyle w:val="TableParagraph"/>
              <w:spacing w:line="223" w:lineRule="exact"/>
              <w:ind w:left="86"/>
              <w:rPr>
                <w:rFonts w:ascii="Arial" w:hAnsi="Arial" w:cs="Arial"/>
              </w:rPr>
            </w:pPr>
            <w:r w:rsidRPr="000952F7">
              <w:rPr>
                <w:rFonts w:ascii="Arial" w:hAnsi="Arial" w:cs="Arial"/>
              </w:rPr>
              <w:t>7.3.5.</w:t>
            </w:r>
          </w:p>
        </w:tc>
        <w:tc>
          <w:tcPr>
            <w:tcW w:w="7604" w:type="dxa"/>
          </w:tcPr>
          <w:p w14:paraId="6DBF6134" w14:textId="77777777" w:rsidR="000952F7" w:rsidRPr="000952F7" w:rsidRDefault="000952F7" w:rsidP="000D1C0A">
            <w:pPr>
              <w:pStyle w:val="TableParagraph"/>
              <w:spacing w:line="223" w:lineRule="exact"/>
              <w:rPr>
                <w:rFonts w:ascii="Arial" w:hAnsi="Arial" w:cs="Arial"/>
              </w:rPr>
            </w:pPr>
            <w:r w:rsidRPr="000952F7">
              <w:rPr>
                <w:rFonts w:ascii="Arial" w:hAnsi="Arial" w:cs="Arial"/>
              </w:rPr>
              <w:t>Flight monitoring and in-flight re-planning</w:t>
            </w:r>
          </w:p>
        </w:tc>
      </w:tr>
      <w:tr w:rsidR="000952F7" w:rsidRPr="000952F7" w14:paraId="78526738" w14:textId="77777777" w:rsidTr="004E579F">
        <w:trPr>
          <w:trHeight w:val="200"/>
        </w:trPr>
        <w:tc>
          <w:tcPr>
            <w:tcW w:w="985" w:type="dxa"/>
            <w:shd w:val="clear" w:color="auto" w:fill="F2F2F2" w:themeFill="background1" w:themeFillShade="F2"/>
          </w:tcPr>
          <w:p w14:paraId="585EE367" w14:textId="77777777" w:rsidR="000952F7" w:rsidRPr="000952F7" w:rsidRDefault="000952F7" w:rsidP="000952F7">
            <w:pPr>
              <w:pStyle w:val="TableParagraph"/>
              <w:spacing w:line="223" w:lineRule="exact"/>
              <w:ind w:left="86"/>
              <w:rPr>
                <w:rFonts w:ascii="Arial" w:hAnsi="Arial" w:cs="Arial"/>
                <w:b/>
              </w:rPr>
            </w:pPr>
            <w:r w:rsidRPr="000952F7">
              <w:rPr>
                <w:rFonts w:ascii="Arial" w:hAnsi="Arial" w:cs="Arial"/>
                <w:b/>
              </w:rPr>
              <w:t>8.</w:t>
            </w:r>
          </w:p>
        </w:tc>
        <w:tc>
          <w:tcPr>
            <w:tcW w:w="7604" w:type="dxa"/>
            <w:shd w:val="clear" w:color="auto" w:fill="F2F2F2" w:themeFill="background1" w:themeFillShade="F2"/>
          </w:tcPr>
          <w:p w14:paraId="4B46DB28" w14:textId="77777777" w:rsidR="000952F7" w:rsidRPr="000952F7" w:rsidRDefault="000952F7" w:rsidP="000952F7">
            <w:pPr>
              <w:pStyle w:val="TableParagraph"/>
              <w:spacing w:line="223" w:lineRule="exact"/>
              <w:rPr>
                <w:rFonts w:ascii="Arial" w:hAnsi="Arial" w:cs="Arial"/>
                <w:b/>
              </w:rPr>
            </w:pPr>
            <w:r w:rsidRPr="000952F7">
              <w:rPr>
                <w:rFonts w:ascii="Arial" w:hAnsi="Arial" w:cs="Arial"/>
                <w:b/>
              </w:rPr>
              <w:t>AIRCRAFT GENERAL KNOWLEDGE, ENVELOPE AND SYSTEMS AND EMERGENCY EQUIPMENT</w:t>
            </w:r>
          </w:p>
        </w:tc>
      </w:tr>
      <w:tr w:rsidR="000952F7" w:rsidRPr="000952F7" w14:paraId="313FD80D" w14:textId="77777777" w:rsidTr="004E579F">
        <w:trPr>
          <w:trHeight w:val="200"/>
        </w:trPr>
        <w:tc>
          <w:tcPr>
            <w:tcW w:w="985" w:type="dxa"/>
          </w:tcPr>
          <w:p w14:paraId="0C4EB972" w14:textId="77777777" w:rsidR="000952F7" w:rsidRPr="000952F7" w:rsidRDefault="000952F7" w:rsidP="000952F7">
            <w:pPr>
              <w:pStyle w:val="TableParagraph"/>
              <w:spacing w:line="223" w:lineRule="exact"/>
              <w:ind w:left="86"/>
              <w:rPr>
                <w:rFonts w:ascii="Arial" w:hAnsi="Arial" w:cs="Arial"/>
              </w:rPr>
            </w:pPr>
            <w:r w:rsidRPr="000952F7">
              <w:rPr>
                <w:rFonts w:ascii="Arial" w:hAnsi="Arial" w:cs="Arial"/>
              </w:rPr>
              <w:t>8.1.</w:t>
            </w:r>
          </w:p>
        </w:tc>
        <w:tc>
          <w:tcPr>
            <w:tcW w:w="7604" w:type="dxa"/>
          </w:tcPr>
          <w:p w14:paraId="432D05AF" w14:textId="77777777" w:rsidR="000952F7" w:rsidRPr="000952F7" w:rsidRDefault="000952F7" w:rsidP="000952F7">
            <w:pPr>
              <w:pStyle w:val="TableParagraph"/>
              <w:spacing w:line="223" w:lineRule="exact"/>
              <w:rPr>
                <w:rFonts w:ascii="Arial" w:hAnsi="Arial" w:cs="Arial"/>
              </w:rPr>
            </w:pPr>
            <w:r w:rsidRPr="000952F7">
              <w:rPr>
                <w:rFonts w:ascii="Arial" w:hAnsi="Arial" w:cs="Arial"/>
              </w:rPr>
              <w:t>System design, loads, stresses and maintenance</w:t>
            </w:r>
          </w:p>
        </w:tc>
      </w:tr>
      <w:tr w:rsidR="000952F7" w:rsidRPr="000952F7" w14:paraId="520DD037" w14:textId="77777777" w:rsidTr="004E579F">
        <w:trPr>
          <w:trHeight w:val="200"/>
        </w:trPr>
        <w:tc>
          <w:tcPr>
            <w:tcW w:w="985" w:type="dxa"/>
          </w:tcPr>
          <w:p w14:paraId="79503D84" w14:textId="77777777" w:rsidR="000952F7" w:rsidRPr="000952F7" w:rsidRDefault="000952F7" w:rsidP="000952F7">
            <w:pPr>
              <w:pStyle w:val="TableParagraph"/>
              <w:spacing w:line="223" w:lineRule="exact"/>
              <w:ind w:left="86"/>
              <w:rPr>
                <w:rFonts w:ascii="Arial" w:hAnsi="Arial" w:cs="Arial"/>
              </w:rPr>
            </w:pPr>
            <w:r w:rsidRPr="000952F7">
              <w:rPr>
                <w:rFonts w:ascii="Arial" w:hAnsi="Arial" w:cs="Arial"/>
              </w:rPr>
              <w:t>8.2.</w:t>
            </w:r>
          </w:p>
        </w:tc>
        <w:tc>
          <w:tcPr>
            <w:tcW w:w="7604" w:type="dxa"/>
          </w:tcPr>
          <w:p w14:paraId="1654E625" w14:textId="77777777" w:rsidR="000952F7" w:rsidRPr="000952F7" w:rsidRDefault="000952F7" w:rsidP="000952F7">
            <w:pPr>
              <w:pStyle w:val="TableParagraph"/>
              <w:spacing w:line="223" w:lineRule="exact"/>
              <w:rPr>
                <w:rFonts w:ascii="Arial" w:hAnsi="Arial" w:cs="Arial"/>
              </w:rPr>
            </w:pPr>
            <w:r w:rsidRPr="000952F7">
              <w:rPr>
                <w:rFonts w:ascii="Arial" w:hAnsi="Arial" w:cs="Arial"/>
              </w:rPr>
              <w:t>Envelope</w:t>
            </w:r>
          </w:p>
        </w:tc>
      </w:tr>
      <w:tr w:rsidR="000952F7" w:rsidRPr="000952F7" w14:paraId="33589D30" w14:textId="77777777" w:rsidTr="004E579F">
        <w:trPr>
          <w:trHeight w:val="200"/>
        </w:trPr>
        <w:tc>
          <w:tcPr>
            <w:tcW w:w="985" w:type="dxa"/>
          </w:tcPr>
          <w:p w14:paraId="76F99F59" w14:textId="77777777" w:rsidR="000952F7" w:rsidRPr="000952F7" w:rsidRDefault="000952F7" w:rsidP="000D1C0A">
            <w:pPr>
              <w:pStyle w:val="TableParagraph"/>
              <w:spacing w:line="223" w:lineRule="exact"/>
              <w:ind w:left="86"/>
              <w:rPr>
                <w:rFonts w:ascii="Arial" w:hAnsi="Arial" w:cs="Arial"/>
              </w:rPr>
            </w:pPr>
            <w:r w:rsidRPr="000952F7">
              <w:rPr>
                <w:rFonts w:ascii="Arial" w:hAnsi="Arial" w:cs="Arial"/>
              </w:rPr>
              <w:t>8.3.1.</w:t>
            </w:r>
          </w:p>
        </w:tc>
        <w:tc>
          <w:tcPr>
            <w:tcW w:w="7604" w:type="dxa"/>
          </w:tcPr>
          <w:p w14:paraId="61632393" w14:textId="77777777" w:rsidR="000952F7" w:rsidRPr="000952F7" w:rsidRDefault="000952F7" w:rsidP="000D1C0A">
            <w:pPr>
              <w:pStyle w:val="TableParagraph"/>
              <w:spacing w:line="223" w:lineRule="exact"/>
              <w:rPr>
                <w:rFonts w:ascii="Arial" w:hAnsi="Arial" w:cs="Arial"/>
              </w:rPr>
            </w:pPr>
            <w:r w:rsidRPr="000952F7">
              <w:rPr>
                <w:rFonts w:ascii="Arial" w:hAnsi="Arial" w:cs="Arial"/>
              </w:rPr>
              <w:t>Burner (hot-air balloon only)</w:t>
            </w:r>
          </w:p>
        </w:tc>
      </w:tr>
      <w:tr w:rsidR="000952F7" w:rsidRPr="000952F7" w14:paraId="4A9F5231" w14:textId="77777777" w:rsidTr="004E579F">
        <w:trPr>
          <w:trHeight w:val="200"/>
        </w:trPr>
        <w:tc>
          <w:tcPr>
            <w:tcW w:w="985" w:type="dxa"/>
          </w:tcPr>
          <w:p w14:paraId="69930BA8" w14:textId="77777777" w:rsidR="000952F7" w:rsidRPr="000952F7" w:rsidRDefault="000952F7" w:rsidP="000952F7">
            <w:pPr>
              <w:pStyle w:val="TableParagraph"/>
              <w:spacing w:line="223" w:lineRule="exact"/>
              <w:ind w:left="86"/>
              <w:rPr>
                <w:rFonts w:ascii="Arial" w:hAnsi="Arial" w:cs="Arial"/>
              </w:rPr>
            </w:pPr>
            <w:r w:rsidRPr="000952F7">
              <w:rPr>
                <w:rFonts w:ascii="Arial" w:hAnsi="Arial" w:cs="Arial"/>
              </w:rPr>
              <w:t>8.3.2.</w:t>
            </w:r>
          </w:p>
        </w:tc>
        <w:tc>
          <w:tcPr>
            <w:tcW w:w="7604" w:type="dxa"/>
          </w:tcPr>
          <w:p w14:paraId="49332856" w14:textId="77777777" w:rsidR="000952F7" w:rsidRPr="000952F7" w:rsidRDefault="000952F7" w:rsidP="000952F7">
            <w:pPr>
              <w:pStyle w:val="TableParagraph"/>
              <w:spacing w:line="223" w:lineRule="exact"/>
              <w:rPr>
                <w:rFonts w:ascii="Arial" w:hAnsi="Arial" w:cs="Arial"/>
              </w:rPr>
            </w:pPr>
            <w:r w:rsidRPr="000952F7">
              <w:rPr>
                <w:rFonts w:ascii="Arial" w:hAnsi="Arial" w:cs="Arial"/>
              </w:rPr>
              <w:t>Basket</w:t>
            </w:r>
          </w:p>
        </w:tc>
      </w:tr>
      <w:tr w:rsidR="000952F7" w:rsidRPr="000952F7" w14:paraId="66BBD07E" w14:textId="77777777" w:rsidTr="004E579F">
        <w:trPr>
          <w:trHeight w:val="200"/>
        </w:trPr>
        <w:tc>
          <w:tcPr>
            <w:tcW w:w="985" w:type="dxa"/>
          </w:tcPr>
          <w:p w14:paraId="5D2111AB" w14:textId="77777777" w:rsidR="000952F7" w:rsidRPr="000952F7" w:rsidRDefault="000952F7" w:rsidP="000D1C0A">
            <w:pPr>
              <w:pStyle w:val="TableParagraph"/>
              <w:spacing w:line="223" w:lineRule="exact"/>
              <w:ind w:left="86"/>
              <w:rPr>
                <w:rFonts w:ascii="Arial" w:hAnsi="Arial" w:cs="Arial"/>
              </w:rPr>
            </w:pPr>
            <w:r w:rsidRPr="000952F7">
              <w:rPr>
                <w:rFonts w:ascii="Arial" w:hAnsi="Arial" w:cs="Arial"/>
              </w:rPr>
              <w:t>8.4.1</w:t>
            </w:r>
          </w:p>
        </w:tc>
        <w:tc>
          <w:tcPr>
            <w:tcW w:w="7604" w:type="dxa"/>
          </w:tcPr>
          <w:p w14:paraId="58AFAE3A" w14:textId="77777777" w:rsidR="000952F7" w:rsidRPr="000952F7" w:rsidRDefault="000952F7" w:rsidP="000D1C0A">
            <w:pPr>
              <w:pStyle w:val="TableParagraph"/>
              <w:spacing w:line="223" w:lineRule="exact"/>
              <w:rPr>
                <w:rFonts w:ascii="Arial" w:hAnsi="Arial" w:cs="Arial"/>
              </w:rPr>
            </w:pPr>
            <w:r w:rsidRPr="000952F7">
              <w:rPr>
                <w:rFonts w:ascii="Arial" w:hAnsi="Arial" w:cs="Arial"/>
              </w:rPr>
              <w:t>Fuel cylinders (hot-air balloons only)</w:t>
            </w:r>
          </w:p>
        </w:tc>
      </w:tr>
      <w:tr w:rsidR="000952F7" w:rsidRPr="000952F7" w14:paraId="209A3254" w14:textId="77777777" w:rsidTr="004E579F">
        <w:trPr>
          <w:trHeight w:val="200"/>
        </w:trPr>
        <w:tc>
          <w:tcPr>
            <w:tcW w:w="985" w:type="dxa"/>
          </w:tcPr>
          <w:p w14:paraId="4E3A616B" w14:textId="77777777" w:rsidR="000952F7" w:rsidRPr="000952F7" w:rsidRDefault="000952F7" w:rsidP="000952F7">
            <w:pPr>
              <w:pStyle w:val="TableParagraph"/>
              <w:spacing w:line="223" w:lineRule="exact"/>
              <w:ind w:left="86"/>
              <w:rPr>
                <w:rFonts w:ascii="Arial" w:hAnsi="Arial" w:cs="Arial"/>
              </w:rPr>
            </w:pPr>
            <w:r w:rsidRPr="000952F7">
              <w:rPr>
                <w:rFonts w:ascii="Arial" w:hAnsi="Arial" w:cs="Arial"/>
              </w:rPr>
              <w:t>8.4.2.</w:t>
            </w:r>
          </w:p>
        </w:tc>
        <w:tc>
          <w:tcPr>
            <w:tcW w:w="7604" w:type="dxa"/>
          </w:tcPr>
          <w:p w14:paraId="30B81213" w14:textId="77777777" w:rsidR="000952F7" w:rsidRPr="000952F7" w:rsidRDefault="000952F7" w:rsidP="000952F7">
            <w:pPr>
              <w:pStyle w:val="TableParagraph"/>
              <w:spacing w:line="223" w:lineRule="exact"/>
              <w:rPr>
                <w:rFonts w:ascii="Arial" w:hAnsi="Arial" w:cs="Arial"/>
              </w:rPr>
            </w:pPr>
            <w:r w:rsidRPr="000952F7">
              <w:rPr>
                <w:rFonts w:ascii="Arial" w:hAnsi="Arial" w:cs="Arial"/>
              </w:rPr>
              <w:t>Lifting gas (gas balloons only)</w:t>
            </w:r>
          </w:p>
        </w:tc>
      </w:tr>
      <w:tr w:rsidR="000952F7" w:rsidRPr="000952F7" w14:paraId="26CF4F21" w14:textId="77777777" w:rsidTr="004E579F">
        <w:trPr>
          <w:trHeight w:val="200"/>
        </w:trPr>
        <w:tc>
          <w:tcPr>
            <w:tcW w:w="985" w:type="dxa"/>
          </w:tcPr>
          <w:p w14:paraId="568988AC" w14:textId="77777777" w:rsidR="000952F7" w:rsidRPr="000952F7" w:rsidRDefault="000952F7" w:rsidP="000D1C0A">
            <w:pPr>
              <w:pStyle w:val="TableParagraph"/>
              <w:spacing w:line="223" w:lineRule="exact"/>
              <w:ind w:left="86"/>
              <w:rPr>
                <w:rFonts w:ascii="Arial" w:hAnsi="Arial" w:cs="Arial"/>
              </w:rPr>
            </w:pPr>
            <w:r w:rsidRPr="000952F7">
              <w:rPr>
                <w:rFonts w:ascii="Arial" w:hAnsi="Arial" w:cs="Arial"/>
              </w:rPr>
              <w:t>8.5.</w:t>
            </w:r>
          </w:p>
        </w:tc>
        <w:tc>
          <w:tcPr>
            <w:tcW w:w="7604" w:type="dxa"/>
          </w:tcPr>
          <w:p w14:paraId="754D0540" w14:textId="77777777" w:rsidR="000952F7" w:rsidRPr="000952F7" w:rsidRDefault="000952F7" w:rsidP="000D1C0A">
            <w:pPr>
              <w:pStyle w:val="TableParagraph"/>
              <w:spacing w:line="223" w:lineRule="exact"/>
              <w:rPr>
                <w:rFonts w:ascii="Arial" w:hAnsi="Arial" w:cs="Arial"/>
              </w:rPr>
            </w:pPr>
            <w:r w:rsidRPr="000952F7">
              <w:rPr>
                <w:rFonts w:ascii="Arial" w:hAnsi="Arial" w:cs="Arial"/>
              </w:rPr>
              <w:t>Ballast (gas balloons only)</w:t>
            </w:r>
          </w:p>
        </w:tc>
      </w:tr>
      <w:tr w:rsidR="000952F7" w:rsidRPr="000952F7" w14:paraId="3CF56B39" w14:textId="77777777" w:rsidTr="004E579F">
        <w:trPr>
          <w:trHeight w:val="200"/>
        </w:trPr>
        <w:tc>
          <w:tcPr>
            <w:tcW w:w="985" w:type="dxa"/>
          </w:tcPr>
          <w:p w14:paraId="7A1B6799" w14:textId="77777777" w:rsidR="000952F7" w:rsidRPr="000952F7" w:rsidRDefault="000952F7" w:rsidP="000952F7">
            <w:pPr>
              <w:pStyle w:val="TableParagraph"/>
              <w:spacing w:line="223" w:lineRule="exact"/>
              <w:ind w:left="86"/>
              <w:rPr>
                <w:rFonts w:ascii="Arial" w:hAnsi="Arial" w:cs="Arial"/>
              </w:rPr>
            </w:pPr>
            <w:r w:rsidRPr="000952F7">
              <w:rPr>
                <w:rFonts w:ascii="Arial" w:hAnsi="Arial" w:cs="Arial"/>
              </w:rPr>
              <w:t>8.6.</w:t>
            </w:r>
          </w:p>
        </w:tc>
        <w:tc>
          <w:tcPr>
            <w:tcW w:w="7604" w:type="dxa"/>
          </w:tcPr>
          <w:p w14:paraId="086244C8" w14:textId="77777777" w:rsidR="000952F7" w:rsidRPr="000952F7" w:rsidRDefault="000952F7" w:rsidP="000952F7">
            <w:pPr>
              <w:pStyle w:val="TableParagraph"/>
              <w:spacing w:line="223" w:lineRule="exact"/>
              <w:rPr>
                <w:rFonts w:ascii="Arial" w:hAnsi="Arial" w:cs="Arial"/>
              </w:rPr>
            </w:pPr>
            <w:r w:rsidRPr="000952F7">
              <w:rPr>
                <w:rFonts w:ascii="Arial" w:hAnsi="Arial" w:cs="Arial"/>
              </w:rPr>
              <w:t>Fuel (hot-air balloons only)</w:t>
            </w:r>
          </w:p>
        </w:tc>
      </w:tr>
      <w:tr w:rsidR="000952F7" w:rsidRPr="000952F7" w14:paraId="76370A45" w14:textId="77777777" w:rsidTr="004E579F">
        <w:trPr>
          <w:trHeight w:val="200"/>
        </w:trPr>
        <w:tc>
          <w:tcPr>
            <w:tcW w:w="985" w:type="dxa"/>
          </w:tcPr>
          <w:p w14:paraId="2E1F36E2" w14:textId="77777777" w:rsidR="000952F7" w:rsidRPr="000952F7" w:rsidRDefault="000952F7" w:rsidP="000D1C0A">
            <w:pPr>
              <w:pStyle w:val="TableParagraph"/>
              <w:spacing w:line="223" w:lineRule="exact"/>
              <w:ind w:left="86"/>
              <w:rPr>
                <w:rFonts w:ascii="Arial" w:hAnsi="Arial" w:cs="Arial"/>
              </w:rPr>
            </w:pPr>
            <w:r w:rsidRPr="000952F7">
              <w:rPr>
                <w:rFonts w:ascii="Arial" w:hAnsi="Arial" w:cs="Arial"/>
              </w:rPr>
              <w:t>8.7.</w:t>
            </w:r>
          </w:p>
        </w:tc>
        <w:tc>
          <w:tcPr>
            <w:tcW w:w="7604" w:type="dxa"/>
          </w:tcPr>
          <w:p w14:paraId="7E895962" w14:textId="77777777" w:rsidR="000952F7" w:rsidRPr="000952F7" w:rsidRDefault="000952F7" w:rsidP="000D1C0A">
            <w:pPr>
              <w:pStyle w:val="TableParagraph"/>
              <w:spacing w:line="223" w:lineRule="exact"/>
              <w:rPr>
                <w:rFonts w:ascii="Arial" w:hAnsi="Arial" w:cs="Arial"/>
              </w:rPr>
            </w:pPr>
            <w:r w:rsidRPr="000952F7">
              <w:rPr>
                <w:rFonts w:ascii="Arial" w:hAnsi="Arial" w:cs="Arial"/>
              </w:rPr>
              <w:t>Instruments</w:t>
            </w:r>
          </w:p>
        </w:tc>
      </w:tr>
      <w:tr w:rsidR="000952F7" w:rsidRPr="000952F7" w14:paraId="2F91024C" w14:textId="77777777" w:rsidTr="004E579F">
        <w:trPr>
          <w:trHeight w:val="200"/>
        </w:trPr>
        <w:tc>
          <w:tcPr>
            <w:tcW w:w="985" w:type="dxa"/>
          </w:tcPr>
          <w:p w14:paraId="3891FB11" w14:textId="77777777" w:rsidR="000952F7" w:rsidRPr="000952F7" w:rsidRDefault="000952F7" w:rsidP="000952F7">
            <w:pPr>
              <w:pStyle w:val="TableParagraph"/>
              <w:spacing w:line="223" w:lineRule="exact"/>
              <w:ind w:left="86"/>
              <w:rPr>
                <w:rFonts w:ascii="Arial" w:hAnsi="Arial" w:cs="Arial"/>
              </w:rPr>
            </w:pPr>
            <w:r w:rsidRPr="000952F7">
              <w:rPr>
                <w:rFonts w:ascii="Arial" w:hAnsi="Arial" w:cs="Arial"/>
              </w:rPr>
              <w:t>8.8.</w:t>
            </w:r>
          </w:p>
        </w:tc>
        <w:tc>
          <w:tcPr>
            <w:tcW w:w="7604" w:type="dxa"/>
          </w:tcPr>
          <w:p w14:paraId="53599AB5" w14:textId="77777777" w:rsidR="000952F7" w:rsidRPr="000952F7" w:rsidRDefault="000952F7" w:rsidP="000952F7">
            <w:pPr>
              <w:pStyle w:val="TableParagraph"/>
              <w:spacing w:line="223" w:lineRule="exact"/>
              <w:rPr>
                <w:rFonts w:ascii="Arial" w:hAnsi="Arial" w:cs="Arial"/>
              </w:rPr>
            </w:pPr>
            <w:r w:rsidRPr="000952F7">
              <w:rPr>
                <w:rFonts w:ascii="Arial" w:hAnsi="Arial" w:cs="Arial"/>
              </w:rPr>
              <w:t>Emergency equipment</w:t>
            </w:r>
          </w:p>
        </w:tc>
      </w:tr>
      <w:tr w:rsidR="000952F7" w:rsidRPr="000952F7" w14:paraId="31AB8302" w14:textId="77777777" w:rsidTr="004E579F">
        <w:trPr>
          <w:trHeight w:val="200"/>
        </w:trPr>
        <w:tc>
          <w:tcPr>
            <w:tcW w:w="985" w:type="dxa"/>
            <w:shd w:val="clear" w:color="auto" w:fill="F2F2F2" w:themeFill="background1" w:themeFillShade="F2"/>
          </w:tcPr>
          <w:p w14:paraId="6911F0B4" w14:textId="77777777" w:rsidR="000952F7" w:rsidRPr="000952F7" w:rsidRDefault="000952F7" w:rsidP="000D1C0A">
            <w:pPr>
              <w:pStyle w:val="TableParagraph"/>
              <w:spacing w:line="223" w:lineRule="exact"/>
              <w:ind w:left="86"/>
              <w:rPr>
                <w:rFonts w:ascii="Arial" w:hAnsi="Arial" w:cs="Arial"/>
                <w:b/>
              </w:rPr>
            </w:pPr>
            <w:r w:rsidRPr="000952F7">
              <w:rPr>
                <w:rFonts w:ascii="Arial" w:hAnsi="Arial" w:cs="Arial"/>
                <w:b/>
              </w:rPr>
              <w:t>9.</w:t>
            </w:r>
          </w:p>
        </w:tc>
        <w:tc>
          <w:tcPr>
            <w:tcW w:w="7604" w:type="dxa"/>
            <w:shd w:val="clear" w:color="auto" w:fill="F2F2F2" w:themeFill="background1" w:themeFillShade="F2"/>
          </w:tcPr>
          <w:p w14:paraId="704C1416" w14:textId="77777777" w:rsidR="000952F7" w:rsidRPr="000952F7" w:rsidRDefault="000952F7" w:rsidP="000D1C0A">
            <w:pPr>
              <w:pStyle w:val="TableParagraph"/>
              <w:spacing w:line="223" w:lineRule="exact"/>
              <w:rPr>
                <w:rFonts w:ascii="Arial" w:hAnsi="Arial" w:cs="Arial"/>
                <w:b/>
              </w:rPr>
            </w:pPr>
            <w:r w:rsidRPr="000952F7">
              <w:rPr>
                <w:rFonts w:ascii="Arial" w:hAnsi="Arial" w:cs="Arial"/>
                <w:b/>
              </w:rPr>
              <w:t>NAVIGATION</w:t>
            </w:r>
          </w:p>
        </w:tc>
      </w:tr>
      <w:tr w:rsidR="000952F7" w:rsidRPr="000952F7" w14:paraId="323362C8" w14:textId="77777777" w:rsidTr="004E579F">
        <w:trPr>
          <w:trHeight w:val="200"/>
        </w:trPr>
        <w:tc>
          <w:tcPr>
            <w:tcW w:w="985" w:type="dxa"/>
          </w:tcPr>
          <w:p w14:paraId="1BCDB6AD" w14:textId="77777777" w:rsidR="000952F7" w:rsidRPr="000952F7" w:rsidRDefault="000952F7" w:rsidP="000952F7">
            <w:pPr>
              <w:pStyle w:val="TableParagraph"/>
              <w:spacing w:line="223" w:lineRule="exact"/>
              <w:ind w:left="86"/>
              <w:rPr>
                <w:rFonts w:ascii="Arial" w:hAnsi="Arial" w:cs="Arial"/>
              </w:rPr>
            </w:pPr>
            <w:r w:rsidRPr="000952F7">
              <w:rPr>
                <w:rFonts w:ascii="Arial" w:hAnsi="Arial" w:cs="Arial"/>
              </w:rPr>
              <w:t>9.1.</w:t>
            </w:r>
          </w:p>
        </w:tc>
        <w:tc>
          <w:tcPr>
            <w:tcW w:w="7604" w:type="dxa"/>
          </w:tcPr>
          <w:p w14:paraId="3DE5C13F" w14:textId="77777777" w:rsidR="000952F7" w:rsidRPr="000952F7" w:rsidRDefault="000952F7" w:rsidP="000952F7">
            <w:pPr>
              <w:pStyle w:val="TableParagraph"/>
              <w:spacing w:line="223" w:lineRule="exact"/>
              <w:rPr>
                <w:rFonts w:ascii="Arial" w:hAnsi="Arial" w:cs="Arial"/>
              </w:rPr>
            </w:pPr>
            <w:r w:rsidRPr="000952F7">
              <w:rPr>
                <w:rFonts w:ascii="Arial" w:hAnsi="Arial" w:cs="Arial"/>
              </w:rPr>
              <w:t>General navigation</w:t>
            </w:r>
          </w:p>
        </w:tc>
      </w:tr>
      <w:tr w:rsidR="000952F7" w:rsidRPr="000952F7" w14:paraId="56D8E4ED" w14:textId="77777777" w:rsidTr="004E579F">
        <w:trPr>
          <w:trHeight w:val="200"/>
        </w:trPr>
        <w:tc>
          <w:tcPr>
            <w:tcW w:w="985" w:type="dxa"/>
          </w:tcPr>
          <w:p w14:paraId="786164C6" w14:textId="77777777" w:rsidR="000952F7" w:rsidRPr="000952F7" w:rsidRDefault="000952F7" w:rsidP="000952F7">
            <w:pPr>
              <w:pStyle w:val="TableParagraph"/>
              <w:spacing w:line="223" w:lineRule="exact"/>
              <w:ind w:left="86"/>
              <w:rPr>
                <w:rFonts w:ascii="Arial" w:hAnsi="Arial" w:cs="Arial"/>
              </w:rPr>
            </w:pPr>
            <w:r w:rsidRPr="000952F7">
              <w:rPr>
                <w:rFonts w:ascii="Arial" w:hAnsi="Arial" w:cs="Arial"/>
              </w:rPr>
              <w:t>9.2.</w:t>
            </w:r>
          </w:p>
        </w:tc>
        <w:tc>
          <w:tcPr>
            <w:tcW w:w="7604" w:type="dxa"/>
          </w:tcPr>
          <w:p w14:paraId="4B640321" w14:textId="77777777" w:rsidR="000952F7" w:rsidRPr="000952F7" w:rsidRDefault="000952F7" w:rsidP="000952F7">
            <w:pPr>
              <w:pStyle w:val="TableParagraph"/>
              <w:spacing w:line="223" w:lineRule="exact"/>
              <w:rPr>
                <w:rFonts w:ascii="Arial" w:hAnsi="Arial" w:cs="Arial"/>
              </w:rPr>
            </w:pPr>
            <w:r w:rsidRPr="000952F7">
              <w:rPr>
                <w:rFonts w:ascii="Arial" w:hAnsi="Arial" w:cs="Arial"/>
              </w:rPr>
              <w:t>Basics of navigation</w:t>
            </w:r>
          </w:p>
        </w:tc>
      </w:tr>
      <w:tr w:rsidR="000952F7" w:rsidRPr="000952F7" w14:paraId="3AB40F6B" w14:textId="77777777" w:rsidTr="004E579F">
        <w:trPr>
          <w:trHeight w:val="200"/>
        </w:trPr>
        <w:tc>
          <w:tcPr>
            <w:tcW w:w="985" w:type="dxa"/>
          </w:tcPr>
          <w:p w14:paraId="59D32D11" w14:textId="77777777" w:rsidR="000952F7" w:rsidRPr="000952F7" w:rsidRDefault="000952F7" w:rsidP="000952F7">
            <w:pPr>
              <w:pStyle w:val="TableParagraph"/>
              <w:spacing w:line="223" w:lineRule="exact"/>
              <w:ind w:left="86"/>
              <w:rPr>
                <w:rFonts w:ascii="Arial" w:hAnsi="Arial" w:cs="Arial"/>
              </w:rPr>
            </w:pPr>
            <w:r w:rsidRPr="000952F7">
              <w:rPr>
                <w:rFonts w:ascii="Arial" w:hAnsi="Arial" w:cs="Arial"/>
              </w:rPr>
              <w:t>9.3.</w:t>
            </w:r>
          </w:p>
        </w:tc>
        <w:tc>
          <w:tcPr>
            <w:tcW w:w="7604" w:type="dxa"/>
          </w:tcPr>
          <w:p w14:paraId="1574BE45" w14:textId="77777777" w:rsidR="000952F7" w:rsidRPr="000952F7" w:rsidRDefault="000952F7" w:rsidP="000952F7">
            <w:pPr>
              <w:pStyle w:val="TableParagraph"/>
              <w:spacing w:line="223" w:lineRule="exact"/>
              <w:rPr>
                <w:rFonts w:ascii="Arial" w:hAnsi="Arial" w:cs="Arial"/>
              </w:rPr>
            </w:pPr>
            <w:r w:rsidRPr="000952F7">
              <w:rPr>
                <w:rFonts w:ascii="Arial" w:hAnsi="Arial" w:cs="Arial"/>
              </w:rPr>
              <w:t>Magnetism and compasses</w:t>
            </w:r>
          </w:p>
        </w:tc>
      </w:tr>
      <w:tr w:rsidR="000952F7" w:rsidRPr="000952F7" w14:paraId="1DB67347" w14:textId="77777777" w:rsidTr="004E579F">
        <w:trPr>
          <w:trHeight w:val="200"/>
        </w:trPr>
        <w:tc>
          <w:tcPr>
            <w:tcW w:w="985" w:type="dxa"/>
          </w:tcPr>
          <w:p w14:paraId="28C0581C" w14:textId="77777777" w:rsidR="000952F7" w:rsidRPr="000952F7" w:rsidRDefault="000952F7" w:rsidP="000952F7">
            <w:pPr>
              <w:pStyle w:val="TableParagraph"/>
              <w:spacing w:line="223" w:lineRule="exact"/>
              <w:ind w:left="86"/>
              <w:rPr>
                <w:rFonts w:ascii="Arial" w:hAnsi="Arial" w:cs="Arial"/>
              </w:rPr>
            </w:pPr>
            <w:r w:rsidRPr="000952F7">
              <w:rPr>
                <w:rFonts w:ascii="Arial" w:hAnsi="Arial" w:cs="Arial"/>
              </w:rPr>
              <w:lastRenderedPageBreak/>
              <w:t>9.4.</w:t>
            </w:r>
          </w:p>
        </w:tc>
        <w:tc>
          <w:tcPr>
            <w:tcW w:w="7604" w:type="dxa"/>
          </w:tcPr>
          <w:p w14:paraId="7600F4A6" w14:textId="77777777" w:rsidR="000952F7" w:rsidRPr="000952F7" w:rsidRDefault="000952F7" w:rsidP="000952F7">
            <w:pPr>
              <w:pStyle w:val="TableParagraph"/>
              <w:spacing w:line="223" w:lineRule="exact"/>
              <w:rPr>
                <w:rFonts w:ascii="Arial" w:hAnsi="Arial" w:cs="Arial"/>
              </w:rPr>
            </w:pPr>
            <w:r w:rsidRPr="000952F7">
              <w:rPr>
                <w:rFonts w:ascii="Arial" w:hAnsi="Arial" w:cs="Arial"/>
              </w:rPr>
              <w:t>Charts</w:t>
            </w:r>
          </w:p>
        </w:tc>
      </w:tr>
      <w:tr w:rsidR="000952F7" w:rsidRPr="000952F7" w14:paraId="491FBD65" w14:textId="77777777" w:rsidTr="004E579F">
        <w:trPr>
          <w:trHeight w:val="200"/>
        </w:trPr>
        <w:tc>
          <w:tcPr>
            <w:tcW w:w="985" w:type="dxa"/>
          </w:tcPr>
          <w:p w14:paraId="7B711EB7" w14:textId="77777777" w:rsidR="000952F7" w:rsidRPr="000952F7" w:rsidRDefault="000952F7" w:rsidP="000D1C0A">
            <w:pPr>
              <w:pStyle w:val="TableParagraph"/>
              <w:spacing w:line="223" w:lineRule="exact"/>
              <w:ind w:left="86"/>
              <w:rPr>
                <w:rFonts w:ascii="Arial" w:hAnsi="Arial" w:cs="Arial"/>
              </w:rPr>
            </w:pPr>
            <w:r w:rsidRPr="000952F7">
              <w:rPr>
                <w:rFonts w:ascii="Arial" w:hAnsi="Arial" w:cs="Arial"/>
              </w:rPr>
              <w:t>9.5.</w:t>
            </w:r>
          </w:p>
        </w:tc>
        <w:tc>
          <w:tcPr>
            <w:tcW w:w="7604" w:type="dxa"/>
          </w:tcPr>
          <w:p w14:paraId="3DB44DF6" w14:textId="77777777" w:rsidR="000952F7" w:rsidRPr="000952F7" w:rsidRDefault="000952F7" w:rsidP="000D1C0A">
            <w:pPr>
              <w:pStyle w:val="TableParagraph"/>
              <w:spacing w:line="223" w:lineRule="exact"/>
              <w:rPr>
                <w:rFonts w:ascii="Arial" w:hAnsi="Arial" w:cs="Arial"/>
              </w:rPr>
            </w:pPr>
            <w:r w:rsidRPr="000952F7">
              <w:rPr>
                <w:rFonts w:ascii="Arial" w:hAnsi="Arial" w:cs="Arial"/>
              </w:rPr>
              <w:t>Dead reckoning navigation</w:t>
            </w:r>
          </w:p>
        </w:tc>
      </w:tr>
      <w:tr w:rsidR="000952F7" w:rsidRPr="000952F7" w14:paraId="019B3854" w14:textId="77777777" w:rsidTr="004E579F">
        <w:trPr>
          <w:trHeight w:val="200"/>
        </w:trPr>
        <w:tc>
          <w:tcPr>
            <w:tcW w:w="985" w:type="dxa"/>
          </w:tcPr>
          <w:p w14:paraId="61B19C2A" w14:textId="77777777" w:rsidR="000952F7" w:rsidRPr="000952F7" w:rsidRDefault="000952F7" w:rsidP="000952F7">
            <w:pPr>
              <w:pStyle w:val="TableParagraph"/>
              <w:spacing w:line="223" w:lineRule="exact"/>
              <w:ind w:left="86"/>
              <w:rPr>
                <w:rFonts w:ascii="Arial" w:hAnsi="Arial" w:cs="Arial"/>
              </w:rPr>
            </w:pPr>
            <w:r w:rsidRPr="000952F7">
              <w:rPr>
                <w:rFonts w:ascii="Arial" w:hAnsi="Arial" w:cs="Arial"/>
              </w:rPr>
              <w:t>9.6.</w:t>
            </w:r>
          </w:p>
        </w:tc>
        <w:tc>
          <w:tcPr>
            <w:tcW w:w="7604" w:type="dxa"/>
          </w:tcPr>
          <w:p w14:paraId="75C0D43E" w14:textId="77777777" w:rsidR="000952F7" w:rsidRPr="000952F7" w:rsidRDefault="000952F7" w:rsidP="000952F7">
            <w:pPr>
              <w:pStyle w:val="TableParagraph"/>
              <w:spacing w:line="223" w:lineRule="exact"/>
              <w:rPr>
                <w:rFonts w:ascii="Arial" w:hAnsi="Arial" w:cs="Arial"/>
              </w:rPr>
            </w:pPr>
            <w:r w:rsidRPr="000952F7">
              <w:rPr>
                <w:rFonts w:ascii="Arial" w:hAnsi="Arial" w:cs="Arial"/>
              </w:rPr>
              <w:t>In-flight navigation</w:t>
            </w:r>
          </w:p>
        </w:tc>
      </w:tr>
      <w:tr w:rsidR="000952F7" w:rsidRPr="000952F7" w14:paraId="74E37411" w14:textId="77777777" w:rsidTr="004E579F">
        <w:trPr>
          <w:trHeight w:val="200"/>
        </w:trPr>
        <w:tc>
          <w:tcPr>
            <w:tcW w:w="985" w:type="dxa"/>
          </w:tcPr>
          <w:p w14:paraId="3ACC8DE9" w14:textId="77777777" w:rsidR="000952F7" w:rsidRPr="000952F7" w:rsidRDefault="000952F7" w:rsidP="000D1C0A">
            <w:pPr>
              <w:pStyle w:val="TableParagraph"/>
              <w:spacing w:line="223" w:lineRule="exact"/>
              <w:ind w:left="86"/>
              <w:rPr>
                <w:rFonts w:ascii="Arial" w:hAnsi="Arial" w:cs="Arial"/>
              </w:rPr>
            </w:pPr>
            <w:r w:rsidRPr="000952F7">
              <w:rPr>
                <w:rFonts w:ascii="Arial" w:hAnsi="Arial" w:cs="Arial"/>
              </w:rPr>
              <w:t>9.7.</w:t>
            </w:r>
          </w:p>
        </w:tc>
        <w:tc>
          <w:tcPr>
            <w:tcW w:w="7604" w:type="dxa"/>
          </w:tcPr>
          <w:p w14:paraId="546D019B" w14:textId="77777777" w:rsidR="000952F7" w:rsidRPr="000952F7" w:rsidRDefault="000952F7" w:rsidP="000D1C0A">
            <w:pPr>
              <w:pStyle w:val="TableParagraph"/>
              <w:spacing w:line="223" w:lineRule="exact"/>
              <w:rPr>
                <w:rFonts w:ascii="Arial" w:hAnsi="Arial" w:cs="Arial"/>
              </w:rPr>
            </w:pPr>
            <w:r w:rsidRPr="000952F7">
              <w:rPr>
                <w:rFonts w:ascii="Arial" w:hAnsi="Arial" w:cs="Arial"/>
              </w:rPr>
              <w:t>Use of GNSS</w:t>
            </w:r>
          </w:p>
        </w:tc>
      </w:tr>
      <w:tr w:rsidR="000952F7" w:rsidRPr="000952F7" w14:paraId="59F9391F" w14:textId="77777777" w:rsidTr="004E579F">
        <w:trPr>
          <w:trHeight w:val="200"/>
        </w:trPr>
        <w:tc>
          <w:tcPr>
            <w:tcW w:w="985" w:type="dxa"/>
          </w:tcPr>
          <w:p w14:paraId="54E8AB6F" w14:textId="77777777" w:rsidR="000952F7" w:rsidRPr="000952F7" w:rsidRDefault="000952F7" w:rsidP="000952F7">
            <w:pPr>
              <w:pStyle w:val="TableParagraph"/>
              <w:spacing w:line="223" w:lineRule="exact"/>
              <w:ind w:left="86"/>
              <w:rPr>
                <w:rFonts w:ascii="Arial" w:hAnsi="Arial" w:cs="Arial"/>
              </w:rPr>
            </w:pPr>
            <w:r w:rsidRPr="000952F7">
              <w:rPr>
                <w:rFonts w:ascii="Arial" w:hAnsi="Arial" w:cs="Arial"/>
              </w:rPr>
              <w:t>9.8.</w:t>
            </w:r>
          </w:p>
        </w:tc>
        <w:tc>
          <w:tcPr>
            <w:tcW w:w="7604" w:type="dxa"/>
          </w:tcPr>
          <w:p w14:paraId="7D059384" w14:textId="77777777" w:rsidR="000952F7" w:rsidRPr="000952F7" w:rsidRDefault="000952F7" w:rsidP="000952F7">
            <w:pPr>
              <w:pStyle w:val="TableParagraph"/>
              <w:spacing w:line="223" w:lineRule="exact"/>
              <w:rPr>
                <w:rFonts w:ascii="Arial" w:hAnsi="Arial" w:cs="Arial"/>
              </w:rPr>
            </w:pPr>
            <w:r w:rsidRPr="000952F7">
              <w:rPr>
                <w:rFonts w:ascii="Arial" w:hAnsi="Arial" w:cs="Arial"/>
              </w:rPr>
              <w:t>Use of ATS</w:t>
            </w:r>
          </w:p>
        </w:tc>
      </w:tr>
    </w:tbl>
    <w:p w14:paraId="49113201" w14:textId="77777777" w:rsidR="008E2616" w:rsidRDefault="008E2616" w:rsidP="009601C2">
      <w:pPr>
        <w:spacing w:before="117" w:line="276" w:lineRule="auto"/>
        <w:jc w:val="both"/>
        <w:rPr>
          <w:rFonts w:ascii="Arial" w:hAnsi="Arial" w:cs="Arial"/>
          <w:sz w:val="20"/>
        </w:rPr>
      </w:pPr>
    </w:p>
    <w:p w14:paraId="33B81EBD" w14:textId="77777777" w:rsidR="00612D3B" w:rsidRPr="00612D3B" w:rsidRDefault="00612D3B" w:rsidP="00612D3B">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613" w:name="_Toc153137410"/>
      <w:r w:rsidRPr="00612D3B">
        <w:rPr>
          <w:rFonts w:ascii="Arial" w:eastAsia="Times New Roman" w:hAnsi="Arial" w:cs="Times New Roman"/>
          <w:b/>
          <w:color w:val="FFFFFF"/>
          <w:sz w:val="24"/>
        </w:rPr>
        <w:t>AMC2 BFCL.130 BPL – Training course and experience requirements</w:t>
      </w:r>
      <w:bookmarkEnd w:id="613"/>
      <w:r w:rsidRPr="00612D3B">
        <w:rPr>
          <w:rFonts w:ascii="Arial" w:eastAsia="Times New Roman" w:hAnsi="Arial" w:cs="Times New Roman"/>
          <w:b/>
          <w:color w:val="FFFFFF"/>
          <w:sz w:val="24"/>
        </w:rPr>
        <w:t xml:space="preserve"> </w:t>
      </w:r>
    </w:p>
    <w:p w14:paraId="3980125A" w14:textId="77777777" w:rsidR="000D1C0A" w:rsidRPr="00276D5E" w:rsidRDefault="000D1C0A" w:rsidP="000D1C0A">
      <w:pPr>
        <w:spacing w:before="117" w:line="276" w:lineRule="auto"/>
        <w:jc w:val="both"/>
        <w:rPr>
          <w:rFonts w:ascii="Arial" w:hAnsi="Arial" w:cs="Arial"/>
          <w:b/>
          <w:sz w:val="20"/>
        </w:rPr>
      </w:pPr>
      <w:r w:rsidRPr="00276D5E">
        <w:rPr>
          <w:rFonts w:ascii="Arial" w:hAnsi="Arial" w:cs="Arial"/>
          <w:b/>
          <w:sz w:val="20"/>
        </w:rPr>
        <w:t>FLIGHT</w:t>
      </w:r>
      <w:r w:rsidRPr="000D1C0A">
        <w:rPr>
          <w:rFonts w:ascii="Arial" w:hAnsi="Arial" w:cs="Arial"/>
          <w:b/>
          <w:sz w:val="20"/>
        </w:rPr>
        <w:t xml:space="preserve"> </w:t>
      </w:r>
      <w:r w:rsidRPr="00276D5E">
        <w:rPr>
          <w:rFonts w:ascii="Arial" w:hAnsi="Arial" w:cs="Arial"/>
          <w:b/>
          <w:sz w:val="20"/>
        </w:rPr>
        <w:t>INSTRUCTION</w:t>
      </w:r>
      <w:r w:rsidRPr="000D1C0A">
        <w:rPr>
          <w:rFonts w:ascii="Arial" w:hAnsi="Arial" w:cs="Arial"/>
          <w:b/>
          <w:sz w:val="20"/>
        </w:rPr>
        <w:t xml:space="preserve"> </w:t>
      </w:r>
      <w:r w:rsidRPr="00276D5E">
        <w:rPr>
          <w:rFonts w:ascii="Arial" w:hAnsi="Arial" w:cs="Arial"/>
          <w:b/>
          <w:sz w:val="20"/>
        </w:rPr>
        <w:t>FOR</w:t>
      </w:r>
      <w:r w:rsidRPr="000D1C0A">
        <w:rPr>
          <w:rFonts w:ascii="Arial" w:hAnsi="Arial" w:cs="Arial"/>
          <w:b/>
          <w:sz w:val="20"/>
        </w:rPr>
        <w:t xml:space="preserve"> </w:t>
      </w:r>
      <w:r w:rsidRPr="00276D5E">
        <w:rPr>
          <w:rFonts w:ascii="Arial" w:hAnsi="Arial" w:cs="Arial"/>
          <w:b/>
          <w:sz w:val="20"/>
        </w:rPr>
        <w:t>THE</w:t>
      </w:r>
      <w:r w:rsidRPr="000D1C0A">
        <w:rPr>
          <w:rFonts w:ascii="Arial" w:hAnsi="Arial" w:cs="Arial"/>
          <w:b/>
          <w:sz w:val="20"/>
        </w:rPr>
        <w:t xml:space="preserve"> </w:t>
      </w:r>
      <w:r w:rsidRPr="00276D5E">
        <w:rPr>
          <w:rFonts w:ascii="Arial" w:hAnsi="Arial" w:cs="Arial"/>
          <w:b/>
          <w:sz w:val="20"/>
        </w:rPr>
        <w:t>BPL</w:t>
      </w:r>
    </w:p>
    <w:p w14:paraId="014CCA6F" w14:textId="77777777" w:rsidR="000D1C0A" w:rsidRPr="000D1C0A" w:rsidRDefault="000D1C0A" w:rsidP="00756D59">
      <w:pPr>
        <w:numPr>
          <w:ilvl w:val="0"/>
          <w:numId w:val="136"/>
        </w:numPr>
        <w:spacing w:before="117" w:line="276" w:lineRule="auto"/>
        <w:jc w:val="both"/>
        <w:rPr>
          <w:rFonts w:ascii="Arial" w:hAnsi="Arial" w:cs="Arial"/>
          <w:sz w:val="20"/>
        </w:rPr>
      </w:pPr>
      <w:r w:rsidRPr="000D1C0A">
        <w:rPr>
          <w:rFonts w:ascii="Arial" w:hAnsi="Arial" w:cs="Arial"/>
          <w:sz w:val="20"/>
        </w:rPr>
        <w:t>Entry to training</w:t>
      </w:r>
    </w:p>
    <w:p w14:paraId="79FEBF97" w14:textId="77777777" w:rsidR="000D1C0A" w:rsidRPr="000D1C0A" w:rsidRDefault="000D1C0A" w:rsidP="00756D59">
      <w:pPr>
        <w:spacing w:before="117" w:line="276" w:lineRule="auto"/>
        <w:jc w:val="both"/>
        <w:rPr>
          <w:rFonts w:ascii="Arial" w:hAnsi="Arial" w:cs="Arial"/>
          <w:sz w:val="20"/>
        </w:rPr>
      </w:pPr>
      <w:r w:rsidRPr="000D1C0A">
        <w:rPr>
          <w:rFonts w:ascii="Arial" w:hAnsi="Arial" w:cs="Arial"/>
          <w:sz w:val="20"/>
        </w:rPr>
        <w:t>Before being accepted for training, an applicant should be informed that the appropriate medical certificate must be obtained before solo flying is permitted.</w:t>
      </w:r>
    </w:p>
    <w:p w14:paraId="3D08F7B2" w14:textId="77777777" w:rsidR="000D1C0A" w:rsidRPr="000D1C0A" w:rsidRDefault="000D1C0A" w:rsidP="00756D59">
      <w:pPr>
        <w:numPr>
          <w:ilvl w:val="0"/>
          <w:numId w:val="136"/>
        </w:numPr>
        <w:spacing w:before="117" w:line="276" w:lineRule="auto"/>
        <w:jc w:val="both"/>
        <w:rPr>
          <w:rFonts w:ascii="Arial" w:hAnsi="Arial" w:cs="Arial"/>
          <w:sz w:val="20"/>
        </w:rPr>
      </w:pPr>
      <w:r w:rsidRPr="000D1C0A">
        <w:rPr>
          <w:rFonts w:ascii="Arial" w:hAnsi="Arial" w:cs="Arial"/>
          <w:sz w:val="20"/>
        </w:rPr>
        <w:t>Flight instruction — general</w:t>
      </w:r>
    </w:p>
    <w:p w14:paraId="1C134600" w14:textId="77777777" w:rsidR="000D1C0A" w:rsidRPr="000D1C0A" w:rsidRDefault="000D1C0A" w:rsidP="00756D59">
      <w:pPr>
        <w:numPr>
          <w:ilvl w:val="1"/>
          <w:numId w:val="136"/>
        </w:numPr>
        <w:spacing w:before="117" w:line="276" w:lineRule="auto"/>
        <w:jc w:val="both"/>
        <w:rPr>
          <w:rFonts w:ascii="Arial" w:hAnsi="Arial" w:cs="Arial"/>
          <w:sz w:val="20"/>
        </w:rPr>
      </w:pPr>
      <w:r w:rsidRPr="000D1C0A">
        <w:rPr>
          <w:rFonts w:ascii="Arial" w:hAnsi="Arial" w:cs="Arial"/>
          <w:sz w:val="20"/>
        </w:rPr>
        <w:t>The BPL flight instruction syllabus should take into account the principles of threat and error management (TEM) and also cover:</w:t>
      </w:r>
    </w:p>
    <w:p w14:paraId="2A713BC7" w14:textId="77777777" w:rsidR="000D1C0A" w:rsidRPr="000D1C0A" w:rsidRDefault="000D1C0A" w:rsidP="00756D59">
      <w:pPr>
        <w:numPr>
          <w:ilvl w:val="2"/>
          <w:numId w:val="136"/>
        </w:numPr>
        <w:spacing w:before="117" w:line="276" w:lineRule="auto"/>
        <w:jc w:val="both"/>
        <w:rPr>
          <w:rFonts w:ascii="Arial" w:hAnsi="Arial" w:cs="Arial"/>
          <w:sz w:val="20"/>
        </w:rPr>
      </w:pPr>
      <w:r w:rsidRPr="000D1C0A">
        <w:rPr>
          <w:rFonts w:ascii="Arial" w:hAnsi="Arial" w:cs="Arial"/>
          <w:sz w:val="20"/>
        </w:rPr>
        <w:t>pre-flight operations, including load calculations, balloon inspection and servicing;</w:t>
      </w:r>
    </w:p>
    <w:p w14:paraId="550F0999" w14:textId="77777777" w:rsidR="000D1C0A" w:rsidRPr="000D1C0A" w:rsidRDefault="000D1C0A" w:rsidP="00756D59">
      <w:pPr>
        <w:numPr>
          <w:ilvl w:val="2"/>
          <w:numId w:val="136"/>
        </w:numPr>
        <w:spacing w:before="117" w:line="276" w:lineRule="auto"/>
        <w:jc w:val="both"/>
        <w:rPr>
          <w:rFonts w:ascii="Arial" w:hAnsi="Arial" w:cs="Arial"/>
          <w:sz w:val="20"/>
        </w:rPr>
      </w:pPr>
      <w:r w:rsidRPr="000D1C0A">
        <w:rPr>
          <w:rFonts w:ascii="Arial" w:hAnsi="Arial" w:cs="Arial"/>
          <w:sz w:val="20"/>
        </w:rPr>
        <w:t>crew and passenger briefings;</w:t>
      </w:r>
    </w:p>
    <w:p w14:paraId="3CF01749" w14:textId="77777777" w:rsidR="000D1C0A" w:rsidRPr="000D1C0A" w:rsidRDefault="000D1C0A" w:rsidP="00756D59">
      <w:pPr>
        <w:numPr>
          <w:ilvl w:val="2"/>
          <w:numId w:val="136"/>
        </w:numPr>
        <w:spacing w:before="117" w:line="276" w:lineRule="auto"/>
        <w:jc w:val="both"/>
        <w:rPr>
          <w:rFonts w:ascii="Arial" w:hAnsi="Arial" w:cs="Arial"/>
          <w:sz w:val="20"/>
        </w:rPr>
      </w:pPr>
      <w:r w:rsidRPr="000D1C0A">
        <w:rPr>
          <w:rFonts w:ascii="Arial" w:hAnsi="Arial" w:cs="Arial"/>
          <w:sz w:val="20"/>
        </w:rPr>
        <w:t>inflation and crowd control;</w:t>
      </w:r>
    </w:p>
    <w:p w14:paraId="61BA2A27" w14:textId="77777777" w:rsidR="000D1C0A" w:rsidRPr="000D1C0A" w:rsidRDefault="000D1C0A" w:rsidP="00756D59">
      <w:pPr>
        <w:numPr>
          <w:ilvl w:val="2"/>
          <w:numId w:val="136"/>
        </w:numPr>
        <w:spacing w:before="117" w:line="276" w:lineRule="auto"/>
        <w:jc w:val="both"/>
        <w:rPr>
          <w:rFonts w:ascii="Arial" w:hAnsi="Arial" w:cs="Arial"/>
          <w:sz w:val="20"/>
        </w:rPr>
      </w:pPr>
      <w:r w:rsidRPr="000D1C0A">
        <w:rPr>
          <w:rFonts w:ascii="Arial" w:hAnsi="Arial" w:cs="Arial"/>
          <w:sz w:val="20"/>
        </w:rPr>
        <w:t>control of the balloon by external visual reference;</w:t>
      </w:r>
    </w:p>
    <w:p w14:paraId="3DF003D1" w14:textId="77777777" w:rsidR="000D1C0A" w:rsidRPr="000D1C0A" w:rsidRDefault="000D1C0A" w:rsidP="00756D59">
      <w:pPr>
        <w:numPr>
          <w:ilvl w:val="2"/>
          <w:numId w:val="136"/>
        </w:numPr>
        <w:spacing w:before="117" w:line="276" w:lineRule="auto"/>
        <w:jc w:val="both"/>
        <w:rPr>
          <w:rFonts w:ascii="Arial" w:hAnsi="Arial" w:cs="Arial"/>
          <w:sz w:val="20"/>
        </w:rPr>
      </w:pPr>
      <w:r w:rsidRPr="000D1C0A">
        <w:rPr>
          <w:rFonts w:ascii="Arial" w:hAnsi="Arial" w:cs="Arial"/>
          <w:sz w:val="20"/>
        </w:rPr>
        <w:t>take-off in different wind conditions;</w:t>
      </w:r>
    </w:p>
    <w:p w14:paraId="3BCF471C" w14:textId="77777777" w:rsidR="000D1C0A" w:rsidRPr="000D1C0A" w:rsidRDefault="000D1C0A" w:rsidP="00756D59">
      <w:pPr>
        <w:numPr>
          <w:ilvl w:val="2"/>
          <w:numId w:val="136"/>
        </w:numPr>
        <w:spacing w:before="117" w:line="276" w:lineRule="auto"/>
        <w:jc w:val="both"/>
        <w:rPr>
          <w:rFonts w:ascii="Arial" w:hAnsi="Arial" w:cs="Arial"/>
          <w:sz w:val="20"/>
        </w:rPr>
      </w:pPr>
      <w:r w:rsidRPr="000D1C0A">
        <w:rPr>
          <w:rFonts w:ascii="Arial" w:hAnsi="Arial" w:cs="Arial"/>
          <w:sz w:val="20"/>
        </w:rPr>
        <w:t>approach from low and high level;</w:t>
      </w:r>
    </w:p>
    <w:p w14:paraId="19E7E360" w14:textId="77777777" w:rsidR="000D1C0A" w:rsidRPr="000D1C0A" w:rsidRDefault="000D1C0A" w:rsidP="00756D59">
      <w:pPr>
        <w:numPr>
          <w:ilvl w:val="2"/>
          <w:numId w:val="136"/>
        </w:numPr>
        <w:spacing w:before="117" w:line="276" w:lineRule="auto"/>
        <w:jc w:val="both"/>
        <w:rPr>
          <w:rFonts w:ascii="Arial" w:hAnsi="Arial" w:cs="Arial"/>
          <w:sz w:val="20"/>
        </w:rPr>
      </w:pPr>
      <w:r w:rsidRPr="000D1C0A">
        <w:rPr>
          <w:rFonts w:ascii="Arial" w:hAnsi="Arial" w:cs="Arial"/>
          <w:sz w:val="20"/>
        </w:rPr>
        <w:t>landings in different surface wind conditions;</w:t>
      </w:r>
    </w:p>
    <w:p w14:paraId="700AAA6C" w14:textId="77777777" w:rsidR="000D1C0A" w:rsidRPr="000D1C0A" w:rsidRDefault="000D1C0A" w:rsidP="00756D59">
      <w:pPr>
        <w:numPr>
          <w:ilvl w:val="2"/>
          <w:numId w:val="136"/>
        </w:numPr>
        <w:spacing w:before="117" w:line="276" w:lineRule="auto"/>
        <w:jc w:val="both"/>
        <w:rPr>
          <w:rFonts w:ascii="Arial" w:hAnsi="Arial" w:cs="Arial"/>
          <w:sz w:val="20"/>
        </w:rPr>
      </w:pPr>
      <w:r w:rsidRPr="000D1C0A">
        <w:rPr>
          <w:rFonts w:ascii="Arial" w:hAnsi="Arial" w:cs="Arial"/>
          <w:sz w:val="20"/>
        </w:rPr>
        <w:t>cross-country flying using visual reference and dead reckoning;</w:t>
      </w:r>
    </w:p>
    <w:p w14:paraId="6438D530" w14:textId="77777777" w:rsidR="000D1C0A" w:rsidRPr="000D1C0A" w:rsidRDefault="000D1C0A" w:rsidP="00756D59">
      <w:pPr>
        <w:numPr>
          <w:ilvl w:val="2"/>
          <w:numId w:val="136"/>
        </w:numPr>
        <w:spacing w:before="117" w:line="276" w:lineRule="auto"/>
        <w:jc w:val="both"/>
        <w:rPr>
          <w:rFonts w:ascii="Arial" w:hAnsi="Arial" w:cs="Arial"/>
          <w:sz w:val="20"/>
        </w:rPr>
      </w:pPr>
      <w:r w:rsidRPr="000D1C0A">
        <w:rPr>
          <w:rFonts w:ascii="Arial" w:hAnsi="Arial" w:cs="Arial"/>
          <w:sz w:val="20"/>
        </w:rPr>
        <w:t>emergency operations, including simulated balloon equipment malfunctions;</w:t>
      </w:r>
    </w:p>
    <w:p w14:paraId="73577843" w14:textId="77777777" w:rsidR="000D1C0A" w:rsidRPr="000D1C0A" w:rsidRDefault="000D1C0A" w:rsidP="00756D59">
      <w:pPr>
        <w:numPr>
          <w:ilvl w:val="2"/>
          <w:numId w:val="136"/>
        </w:numPr>
        <w:spacing w:before="117" w:line="276" w:lineRule="auto"/>
        <w:jc w:val="both"/>
        <w:rPr>
          <w:rFonts w:ascii="Arial" w:hAnsi="Arial" w:cs="Arial"/>
          <w:sz w:val="20"/>
        </w:rPr>
      </w:pPr>
      <w:r w:rsidRPr="000D1C0A">
        <w:rPr>
          <w:rFonts w:ascii="Arial" w:hAnsi="Arial" w:cs="Arial"/>
          <w:sz w:val="20"/>
        </w:rPr>
        <w:t>compliance with air traffic services procedures and communication procedures;</w:t>
      </w:r>
    </w:p>
    <w:p w14:paraId="7DAD9CC5" w14:textId="77777777" w:rsidR="000D1C0A" w:rsidRPr="000D1C0A" w:rsidRDefault="000D1C0A" w:rsidP="00756D59">
      <w:pPr>
        <w:numPr>
          <w:ilvl w:val="2"/>
          <w:numId w:val="136"/>
        </w:numPr>
        <w:spacing w:before="117" w:line="276" w:lineRule="auto"/>
        <w:jc w:val="both"/>
        <w:rPr>
          <w:rFonts w:ascii="Arial" w:hAnsi="Arial" w:cs="Arial"/>
          <w:sz w:val="20"/>
        </w:rPr>
      </w:pPr>
      <w:r w:rsidRPr="000D1C0A">
        <w:rPr>
          <w:rFonts w:ascii="Arial" w:hAnsi="Arial" w:cs="Arial"/>
          <w:sz w:val="20"/>
        </w:rPr>
        <w:t>avoidance of nature protection areas; and</w:t>
      </w:r>
    </w:p>
    <w:p w14:paraId="08642A48" w14:textId="77777777" w:rsidR="000D1C0A" w:rsidRPr="000D1C0A" w:rsidRDefault="000D1C0A" w:rsidP="00756D59">
      <w:pPr>
        <w:numPr>
          <w:ilvl w:val="2"/>
          <w:numId w:val="136"/>
        </w:numPr>
        <w:spacing w:before="117" w:line="276" w:lineRule="auto"/>
        <w:jc w:val="both"/>
        <w:rPr>
          <w:rFonts w:ascii="Arial" w:hAnsi="Arial" w:cs="Arial"/>
          <w:sz w:val="20"/>
        </w:rPr>
      </w:pPr>
      <w:r w:rsidRPr="000D1C0A">
        <w:rPr>
          <w:rFonts w:ascii="Arial" w:hAnsi="Arial" w:cs="Arial"/>
          <w:sz w:val="20"/>
        </w:rPr>
        <w:t>landowner relations.</w:t>
      </w:r>
    </w:p>
    <w:p w14:paraId="05B6B140" w14:textId="77777777" w:rsidR="000D1C0A" w:rsidRPr="000D1C0A" w:rsidRDefault="000D1C0A" w:rsidP="00756D59">
      <w:pPr>
        <w:numPr>
          <w:ilvl w:val="1"/>
          <w:numId w:val="136"/>
        </w:numPr>
        <w:spacing w:before="117" w:line="276" w:lineRule="auto"/>
        <w:jc w:val="both"/>
        <w:rPr>
          <w:rFonts w:ascii="Arial" w:hAnsi="Arial" w:cs="Arial"/>
          <w:sz w:val="20"/>
        </w:rPr>
      </w:pPr>
      <w:r w:rsidRPr="000D1C0A">
        <w:rPr>
          <w:rFonts w:ascii="Arial" w:hAnsi="Arial" w:cs="Arial"/>
          <w:sz w:val="20"/>
        </w:rPr>
        <w:t>Before allowing applicants to undertake their first solo flight, the FI should ensure that they can operate the required systems and equipment.</w:t>
      </w:r>
    </w:p>
    <w:p w14:paraId="4CBA945B" w14:textId="77777777" w:rsidR="000D1C0A" w:rsidRPr="000D1C0A" w:rsidRDefault="000D1C0A" w:rsidP="00756D59">
      <w:pPr>
        <w:numPr>
          <w:ilvl w:val="0"/>
          <w:numId w:val="136"/>
        </w:numPr>
        <w:spacing w:before="117" w:line="276" w:lineRule="auto"/>
        <w:jc w:val="both"/>
        <w:rPr>
          <w:rFonts w:ascii="Arial" w:hAnsi="Arial" w:cs="Arial"/>
          <w:sz w:val="20"/>
        </w:rPr>
      </w:pPr>
      <w:r w:rsidRPr="000D1C0A">
        <w:rPr>
          <w:rFonts w:ascii="Arial" w:hAnsi="Arial" w:cs="Arial"/>
          <w:sz w:val="20"/>
        </w:rPr>
        <w:t>Syllabus of flight instruction (hot-air balloon)</w:t>
      </w:r>
    </w:p>
    <w:p w14:paraId="2CDA3210" w14:textId="77777777" w:rsidR="000D1C0A" w:rsidRPr="000D1C0A" w:rsidRDefault="000D1C0A" w:rsidP="00756D59">
      <w:pPr>
        <w:numPr>
          <w:ilvl w:val="1"/>
          <w:numId w:val="136"/>
        </w:numPr>
        <w:spacing w:before="117" w:line="276" w:lineRule="auto"/>
        <w:jc w:val="both"/>
        <w:rPr>
          <w:rFonts w:ascii="Arial" w:hAnsi="Arial" w:cs="Arial"/>
          <w:sz w:val="20"/>
        </w:rPr>
      </w:pPr>
      <w:r w:rsidRPr="000D1C0A">
        <w:rPr>
          <w:rFonts w:ascii="Arial" w:hAnsi="Arial" w:cs="Arial"/>
          <w:sz w:val="20"/>
        </w:rPr>
        <w:t>The numbering of exercises should be used primarily as an exercise reference list and as a broad instructional sequencing guide; therefore, the demonstrations and practices need not necessarily be given in the order listed. The actual order and content will depend upon the following interrelated factors:</w:t>
      </w:r>
    </w:p>
    <w:p w14:paraId="49BF62D5" w14:textId="77777777" w:rsidR="000D1C0A" w:rsidRPr="000D1C0A" w:rsidRDefault="000D1C0A" w:rsidP="00756D59">
      <w:pPr>
        <w:numPr>
          <w:ilvl w:val="2"/>
          <w:numId w:val="136"/>
        </w:numPr>
        <w:spacing w:before="117" w:line="276" w:lineRule="auto"/>
        <w:jc w:val="both"/>
        <w:rPr>
          <w:rFonts w:ascii="Arial" w:hAnsi="Arial" w:cs="Arial"/>
          <w:sz w:val="20"/>
        </w:rPr>
      </w:pPr>
      <w:r w:rsidRPr="000D1C0A">
        <w:rPr>
          <w:rFonts w:ascii="Arial" w:hAnsi="Arial" w:cs="Arial"/>
          <w:sz w:val="20"/>
        </w:rPr>
        <w:t>the applicant’s progress and ability;</w:t>
      </w:r>
    </w:p>
    <w:p w14:paraId="4E3F691C" w14:textId="77777777" w:rsidR="000D1C0A" w:rsidRPr="000D1C0A" w:rsidRDefault="000D1C0A" w:rsidP="00756D59">
      <w:pPr>
        <w:numPr>
          <w:ilvl w:val="2"/>
          <w:numId w:val="136"/>
        </w:numPr>
        <w:spacing w:before="117" w:line="276" w:lineRule="auto"/>
        <w:jc w:val="both"/>
        <w:rPr>
          <w:rFonts w:ascii="Arial" w:hAnsi="Arial" w:cs="Arial"/>
          <w:sz w:val="20"/>
        </w:rPr>
      </w:pPr>
      <w:r w:rsidRPr="000D1C0A">
        <w:rPr>
          <w:rFonts w:ascii="Arial" w:hAnsi="Arial" w:cs="Arial"/>
          <w:sz w:val="20"/>
        </w:rPr>
        <w:t>the weather conditions affecting the flight;</w:t>
      </w:r>
    </w:p>
    <w:p w14:paraId="71B027F1" w14:textId="77777777" w:rsidR="000D1C0A" w:rsidRPr="000D1C0A" w:rsidRDefault="000D1C0A" w:rsidP="00756D59">
      <w:pPr>
        <w:numPr>
          <w:ilvl w:val="2"/>
          <w:numId w:val="136"/>
        </w:numPr>
        <w:spacing w:before="117" w:line="276" w:lineRule="auto"/>
        <w:jc w:val="both"/>
        <w:rPr>
          <w:rFonts w:ascii="Arial" w:hAnsi="Arial" w:cs="Arial"/>
          <w:sz w:val="20"/>
        </w:rPr>
      </w:pPr>
      <w:r w:rsidRPr="000D1C0A">
        <w:rPr>
          <w:rFonts w:ascii="Arial" w:hAnsi="Arial" w:cs="Arial"/>
          <w:sz w:val="20"/>
        </w:rPr>
        <w:t>the flight time available;</w:t>
      </w:r>
    </w:p>
    <w:p w14:paraId="0DF9416A" w14:textId="77777777" w:rsidR="000D1C0A" w:rsidRPr="000D1C0A" w:rsidRDefault="000D1C0A" w:rsidP="00756D59">
      <w:pPr>
        <w:numPr>
          <w:ilvl w:val="2"/>
          <w:numId w:val="136"/>
        </w:numPr>
        <w:spacing w:before="117" w:line="276" w:lineRule="auto"/>
        <w:jc w:val="both"/>
        <w:rPr>
          <w:rFonts w:ascii="Arial" w:hAnsi="Arial" w:cs="Arial"/>
          <w:sz w:val="20"/>
        </w:rPr>
      </w:pPr>
      <w:r w:rsidRPr="000D1C0A">
        <w:rPr>
          <w:rFonts w:ascii="Arial" w:hAnsi="Arial" w:cs="Arial"/>
          <w:sz w:val="20"/>
        </w:rPr>
        <w:t>the instructional technique considerations;</w:t>
      </w:r>
    </w:p>
    <w:p w14:paraId="2E4F3289" w14:textId="77777777" w:rsidR="000D1C0A" w:rsidRPr="000D1C0A" w:rsidRDefault="000D1C0A" w:rsidP="00756D59">
      <w:pPr>
        <w:numPr>
          <w:ilvl w:val="2"/>
          <w:numId w:val="136"/>
        </w:numPr>
        <w:spacing w:before="117" w:line="276" w:lineRule="auto"/>
        <w:jc w:val="both"/>
        <w:rPr>
          <w:rFonts w:ascii="Arial" w:hAnsi="Arial" w:cs="Arial"/>
          <w:sz w:val="20"/>
        </w:rPr>
      </w:pPr>
      <w:r w:rsidRPr="000D1C0A">
        <w:rPr>
          <w:rFonts w:ascii="Arial" w:hAnsi="Arial" w:cs="Arial"/>
          <w:sz w:val="20"/>
        </w:rPr>
        <w:t>the local operating environment; and</w:t>
      </w:r>
    </w:p>
    <w:p w14:paraId="2F527FFF" w14:textId="77777777" w:rsidR="000D1C0A" w:rsidRPr="000D1C0A" w:rsidRDefault="000D1C0A" w:rsidP="00756D59">
      <w:pPr>
        <w:numPr>
          <w:ilvl w:val="2"/>
          <w:numId w:val="136"/>
        </w:numPr>
        <w:spacing w:before="117" w:line="276" w:lineRule="auto"/>
        <w:jc w:val="both"/>
        <w:rPr>
          <w:rFonts w:ascii="Arial" w:hAnsi="Arial" w:cs="Arial"/>
          <w:sz w:val="20"/>
        </w:rPr>
      </w:pPr>
      <w:r w:rsidRPr="000D1C0A">
        <w:rPr>
          <w:rFonts w:ascii="Arial" w:hAnsi="Arial" w:cs="Arial"/>
          <w:sz w:val="20"/>
        </w:rPr>
        <w:t>the applicability of the exercises to the balloon type.</w:t>
      </w:r>
    </w:p>
    <w:p w14:paraId="0B052565" w14:textId="77777777" w:rsidR="000D1C0A" w:rsidRPr="000D1C0A" w:rsidRDefault="000D1C0A" w:rsidP="00756D59">
      <w:pPr>
        <w:numPr>
          <w:ilvl w:val="1"/>
          <w:numId w:val="136"/>
        </w:numPr>
        <w:spacing w:before="117" w:line="276" w:lineRule="auto"/>
        <w:jc w:val="both"/>
        <w:rPr>
          <w:rFonts w:ascii="Arial" w:hAnsi="Arial" w:cs="Arial"/>
          <w:sz w:val="20"/>
        </w:rPr>
      </w:pPr>
      <w:r w:rsidRPr="000D1C0A">
        <w:rPr>
          <w:rFonts w:ascii="Arial" w:hAnsi="Arial" w:cs="Arial"/>
          <w:sz w:val="20"/>
        </w:rPr>
        <w:t>Each of the exercises requires the applicant to be aware of the need for as well as the principles of good airmanship and look-out, which should be emphasised at all times.</w:t>
      </w:r>
    </w:p>
    <w:p w14:paraId="5F78394E" w14:textId="77777777" w:rsidR="000D1C0A" w:rsidRPr="000D1C0A" w:rsidRDefault="000D1C0A" w:rsidP="00756D59">
      <w:pPr>
        <w:numPr>
          <w:ilvl w:val="1"/>
          <w:numId w:val="136"/>
        </w:numPr>
        <w:spacing w:before="117" w:line="276" w:lineRule="auto"/>
        <w:jc w:val="both"/>
        <w:rPr>
          <w:rFonts w:ascii="Arial" w:hAnsi="Arial" w:cs="Arial"/>
          <w:sz w:val="20"/>
        </w:rPr>
      </w:pPr>
      <w:r w:rsidRPr="000D1C0A">
        <w:rPr>
          <w:rFonts w:ascii="Arial" w:hAnsi="Arial" w:cs="Arial"/>
          <w:sz w:val="20"/>
        </w:rPr>
        <w:lastRenderedPageBreak/>
        <w:t>List of exercises</w:t>
      </w:r>
    </w:p>
    <w:p w14:paraId="223B4638" w14:textId="77777777" w:rsidR="000D1C0A" w:rsidRPr="000D1C0A" w:rsidRDefault="000D1C0A" w:rsidP="00756D59">
      <w:pPr>
        <w:spacing w:before="117" w:line="276" w:lineRule="auto"/>
        <w:jc w:val="both"/>
        <w:rPr>
          <w:rFonts w:ascii="Arial" w:hAnsi="Arial" w:cs="Arial"/>
          <w:b/>
          <w:bCs/>
          <w:sz w:val="20"/>
        </w:rPr>
      </w:pPr>
      <w:r w:rsidRPr="000D1C0A">
        <w:rPr>
          <w:rFonts w:ascii="Arial" w:hAnsi="Arial" w:cs="Arial"/>
          <w:b/>
          <w:bCs/>
          <w:sz w:val="20"/>
        </w:rPr>
        <w:t>Exercise 1: Familiarisation with the balloon</w:t>
      </w:r>
    </w:p>
    <w:p w14:paraId="5701A6DD" w14:textId="77777777" w:rsidR="000D1C0A" w:rsidRPr="000D1C0A" w:rsidRDefault="000D1C0A" w:rsidP="00756D59">
      <w:pPr>
        <w:numPr>
          <w:ilvl w:val="2"/>
          <w:numId w:val="136"/>
        </w:numPr>
        <w:spacing w:before="117" w:line="276" w:lineRule="auto"/>
        <w:jc w:val="both"/>
        <w:rPr>
          <w:rFonts w:ascii="Arial" w:hAnsi="Arial" w:cs="Arial"/>
          <w:sz w:val="20"/>
        </w:rPr>
      </w:pPr>
      <w:r w:rsidRPr="000D1C0A">
        <w:rPr>
          <w:rFonts w:ascii="Arial" w:hAnsi="Arial" w:cs="Arial"/>
          <w:sz w:val="20"/>
        </w:rPr>
        <w:t>characteristics of the balloon;</w:t>
      </w:r>
    </w:p>
    <w:p w14:paraId="756B41ED" w14:textId="77777777" w:rsidR="000D1C0A" w:rsidRPr="000D1C0A" w:rsidRDefault="000D1C0A" w:rsidP="00756D59">
      <w:pPr>
        <w:numPr>
          <w:ilvl w:val="2"/>
          <w:numId w:val="136"/>
        </w:numPr>
        <w:spacing w:before="117" w:line="276" w:lineRule="auto"/>
        <w:jc w:val="both"/>
        <w:rPr>
          <w:rFonts w:ascii="Arial" w:hAnsi="Arial" w:cs="Arial"/>
          <w:sz w:val="20"/>
        </w:rPr>
      </w:pPr>
      <w:r w:rsidRPr="000D1C0A">
        <w:rPr>
          <w:rFonts w:ascii="Arial" w:hAnsi="Arial" w:cs="Arial"/>
          <w:sz w:val="20"/>
        </w:rPr>
        <w:t>the components or systems;</w:t>
      </w:r>
    </w:p>
    <w:p w14:paraId="2ECD128A" w14:textId="77777777" w:rsidR="000D1C0A" w:rsidRPr="000D1C0A" w:rsidRDefault="000D1C0A" w:rsidP="00756D59">
      <w:pPr>
        <w:numPr>
          <w:ilvl w:val="2"/>
          <w:numId w:val="136"/>
        </w:numPr>
        <w:spacing w:before="117" w:line="276" w:lineRule="auto"/>
        <w:jc w:val="both"/>
        <w:rPr>
          <w:rFonts w:ascii="Arial" w:hAnsi="Arial" w:cs="Arial"/>
          <w:sz w:val="20"/>
        </w:rPr>
      </w:pPr>
      <w:r w:rsidRPr="000D1C0A">
        <w:rPr>
          <w:rFonts w:ascii="Arial" w:hAnsi="Arial" w:cs="Arial"/>
          <w:sz w:val="20"/>
        </w:rPr>
        <w:t>refuelling of the cylinders;</w:t>
      </w:r>
    </w:p>
    <w:p w14:paraId="0C4D1246" w14:textId="77777777" w:rsidR="000D1C0A" w:rsidRPr="000D1C0A" w:rsidRDefault="000D1C0A" w:rsidP="00756D59">
      <w:pPr>
        <w:numPr>
          <w:ilvl w:val="2"/>
          <w:numId w:val="136"/>
        </w:numPr>
        <w:spacing w:before="117" w:line="276" w:lineRule="auto"/>
        <w:jc w:val="both"/>
        <w:rPr>
          <w:rFonts w:ascii="Arial" w:hAnsi="Arial" w:cs="Arial"/>
          <w:sz w:val="20"/>
        </w:rPr>
      </w:pPr>
      <w:r w:rsidRPr="000D1C0A">
        <w:rPr>
          <w:rFonts w:ascii="Arial" w:hAnsi="Arial" w:cs="Arial"/>
          <w:sz w:val="20"/>
        </w:rPr>
        <w:t>instruments and equipment; and</w:t>
      </w:r>
    </w:p>
    <w:p w14:paraId="03C2CE9E" w14:textId="77777777" w:rsidR="000D1C0A" w:rsidRPr="000D1C0A" w:rsidRDefault="000D1C0A" w:rsidP="00756D59">
      <w:pPr>
        <w:numPr>
          <w:ilvl w:val="2"/>
          <w:numId w:val="136"/>
        </w:numPr>
        <w:spacing w:before="117" w:line="276" w:lineRule="auto"/>
        <w:jc w:val="both"/>
        <w:rPr>
          <w:rFonts w:ascii="Arial" w:hAnsi="Arial" w:cs="Arial"/>
          <w:sz w:val="20"/>
        </w:rPr>
      </w:pPr>
      <w:r w:rsidRPr="000D1C0A">
        <w:rPr>
          <w:rFonts w:ascii="Arial" w:hAnsi="Arial" w:cs="Arial"/>
          <w:sz w:val="20"/>
        </w:rPr>
        <w:t>use of checklist(s) and procedures.</w:t>
      </w:r>
    </w:p>
    <w:p w14:paraId="637D25F0" w14:textId="77777777" w:rsidR="000D1C0A" w:rsidRPr="000D1C0A" w:rsidRDefault="000D1C0A" w:rsidP="00756D59">
      <w:pPr>
        <w:spacing w:before="117" w:line="276" w:lineRule="auto"/>
        <w:jc w:val="both"/>
        <w:rPr>
          <w:rFonts w:ascii="Arial" w:hAnsi="Arial" w:cs="Arial"/>
          <w:b/>
          <w:bCs/>
          <w:sz w:val="20"/>
        </w:rPr>
      </w:pPr>
      <w:r w:rsidRPr="000D1C0A">
        <w:rPr>
          <w:rFonts w:ascii="Arial" w:hAnsi="Arial" w:cs="Arial"/>
          <w:b/>
          <w:bCs/>
          <w:sz w:val="20"/>
        </w:rPr>
        <w:t>Exercise 2: Preparation for flight</w:t>
      </w:r>
    </w:p>
    <w:p w14:paraId="53255E46" w14:textId="77777777" w:rsidR="000D1C0A" w:rsidRPr="000D1C0A" w:rsidRDefault="000D1C0A" w:rsidP="00756D59">
      <w:pPr>
        <w:numPr>
          <w:ilvl w:val="0"/>
          <w:numId w:val="137"/>
        </w:numPr>
        <w:spacing w:before="117" w:line="276" w:lineRule="auto"/>
        <w:jc w:val="both"/>
        <w:rPr>
          <w:rFonts w:ascii="Arial" w:hAnsi="Arial" w:cs="Arial"/>
          <w:sz w:val="20"/>
        </w:rPr>
      </w:pPr>
      <w:r w:rsidRPr="000D1C0A">
        <w:rPr>
          <w:rFonts w:ascii="Arial" w:hAnsi="Arial" w:cs="Arial"/>
          <w:sz w:val="20"/>
        </w:rPr>
        <w:t>documentation and equipment;</w:t>
      </w:r>
    </w:p>
    <w:p w14:paraId="5B9E8775" w14:textId="77777777" w:rsidR="000D1C0A" w:rsidRPr="000D1C0A" w:rsidRDefault="000D1C0A" w:rsidP="00756D59">
      <w:pPr>
        <w:numPr>
          <w:ilvl w:val="0"/>
          <w:numId w:val="137"/>
        </w:numPr>
        <w:spacing w:before="117" w:line="276" w:lineRule="auto"/>
        <w:jc w:val="both"/>
        <w:rPr>
          <w:rFonts w:ascii="Arial" w:hAnsi="Arial" w:cs="Arial"/>
          <w:sz w:val="20"/>
        </w:rPr>
      </w:pPr>
      <w:r w:rsidRPr="000D1C0A">
        <w:rPr>
          <w:rFonts w:ascii="Arial" w:hAnsi="Arial" w:cs="Arial"/>
          <w:sz w:val="20"/>
        </w:rPr>
        <w:t>weather forecast and actuals;</w:t>
      </w:r>
    </w:p>
    <w:p w14:paraId="6BBF8026" w14:textId="77777777" w:rsidR="000D1C0A" w:rsidRPr="000D1C0A" w:rsidRDefault="000D1C0A" w:rsidP="00756D59">
      <w:pPr>
        <w:numPr>
          <w:ilvl w:val="0"/>
          <w:numId w:val="137"/>
        </w:numPr>
        <w:spacing w:before="117" w:line="276" w:lineRule="auto"/>
        <w:jc w:val="both"/>
        <w:rPr>
          <w:rFonts w:ascii="Arial" w:hAnsi="Arial" w:cs="Arial"/>
          <w:sz w:val="20"/>
        </w:rPr>
      </w:pPr>
      <w:r w:rsidRPr="000D1C0A">
        <w:rPr>
          <w:rFonts w:ascii="Arial" w:hAnsi="Arial" w:cs="Arial"/>
          <w:sz w:val="20"/>
        </w:rPr>
        <w:t>flight planning:</w:t>
      </w:r>
    </w:p>
    <w:p w14:paraId="2CA41A2E" w14:textId="77777777" w:rsidR="000D1C0A" w:rsidRPr="000D1C0A" w:rsidRDefault="000D1C0A" w:rsidP="00756D59">
      <w:pPr>
        <w:numPr>
          <w:ilvl w:val="1"/>
          <w:numId w:val="137"/>
        </w:numPr>
        <w:spacing w:before="117" w:line="276" w:lineRule="auto"/>
        <w:jc w:val="both"/>
        <w:rPr>
          <w:rFonts w:ascii="Arial" w:hAnsi="Arial" w:cs="Arial"/>
          <w:sz w:val="20"/>
        </w:rPr>
      </w:pPr>
      <w:r w:rsidRPr="000D1C0A">
        <w:rPr>
          <w:rFonts w:ascii="Arial" w:hAnsi="Arial" w:cs="Arial"/>
          <w:sz w:val="20"/>
        </w:rPr>
        <w:t>notices to airmen (NOTAMs);</w:t>
      </w:r>
    </w:p>
    <w:p w14:paraId="2E8D319A" w14:textId="77777777" w:rsidR="000D1C0A" w:rsidRPr="000D1C0A" w:rsidRDefault="000D1C0A" w:rsidP="00756D59">
      <w:pPr>
        <w:numPr>
          <w:ilvl w:val="1"/>
          <w:numId w:val="137"/>
        </w:numPr>
        <w:spacing w:before="117" w:line="276" w:lineRule="auto"/>
        <w:jc w:val="both"/>
        <w:rPr>
          <w:rFonts w:ascii="Arial" w:hAnsi="Arial" w:cs="Arial"/>
          <w:sz w:val="20"/>
        </w:rPr>
      </w:pPr>
      <w:r w:rsidRPr="000D1C0A">
        <w:rPr>
          <w:rFonts w:ascii="Arial" w:hAnsi="Arial" w:cs="Arial"/>
          <w:sz w:val="20"/>
        </w:rPr>
        <w:t>airspace structure;</w:t>
      </w:r>
    </w:p>
    <w:p w14:paraId="79B4A115" w14:textId="77777777" w:rsidR="000D1C0A" w:rsidRPr="000D1C0A" w:rsidRDefault="000D1C0A" w:rsidP="00756D59">
      <w:pPr>
        <w:numPr>
          <w:ilvl w:val="1"/>
          <w:numId w:val="137"/>
        </w:numPr>
        <w:spacing w:before="117" w:line="276" w:lineRule="auto"/>
        <w:jc w:val="both"/>
        <w:rPr>
          <w:rFonts w:ascii="Arial" w:hAnsi="Arial" w:cs="Arial"/>
          <w:sz w:val="20"/>
        </w:rPr>
      </w:pPr>
      <w:r w:rsidRPr="000D1C0A">
        <w:rPr>
          <w:rFonts w:ascii="Arial" w:hAnsi="Arial" w:cs="Arial"/>
          <w:sz w:val="20"/>
        </w:rPr>
        <w:t>sensitive areas (for example, nature protection areas);</w:t>
      </w:r>
    </w:p>
    <w:p w14:paraId="21948F0D" w14:textId="77777777" w:rsidR="000D1C0A" w:rsidRPr="000D1C0A" w:rsidRDefault="000D1C0A" w:rsidP="00756D59">
      <w:pPr>
        <w:numPr>
          <w:ilvl w:val="1"/>
          <w:numId w:val="137"/>
        </w:numPr>
        <w:spacing w:before="117" w:line="276" w:lineRule="auto"/>
        <w:jc w:val="both"/>
        <w:rPr>
          <w:rFonts w:ascii="Arial" w:hAnsi="Arial" w:cs="Arial"/>
          <w:sz w:val="20"/>
        </w:rPr>
      </w:pPr>
      <w:r w:rsidRPr="000D1C0A">
        <w:rPr>
          <w:rFonts w:ascii="Arial" w:hAnsi="Arial" w:cs="Arial"/>
          <w:sz w:val="20"/>
        </w:rPr>
        <w:t>expected track and distance;</w:t>
      </w:r>
    </w:p>
    <w:p w14:paraId="5B40B944" w14:textId="77777777" w:rsidR="000D1C0A" w:rsidRPr="000D1C0A" w:rsidRDefault="000D1C0A" w:rsidP="00756D59">
      <w:pPr>
        <w:numPr>
          <w:ilvl w:val="1"/>
          <w:numId w:val="137"/>
        </w:numPr>
        <w:spacing w:before="117" w:line="276" w:lineRule="auto"/>
        <w:jc w:val="both"/>
        <w:rPr>
          <w:rFonts w:ascii="Arial" w:hAnsi="Arial" w:cs="Arial"/>
          <w:sz w:val="20"/>
        </w:rPr>
      </w:pPr>
      <w:r w:rsidRPr="000D1C0A">
        <w:rPr>
          <w:rFonts w:ascii="Arial" w:hAnsi="Arial" w:cs="Arial"/>
          <w:sz w:val="20"/>
        </w:rPr>
        <w:t>pre-flight picture; and</w:t>
      </w:r>
    </w:p>
    <w:p w14:paraId="5D1053D9" w14:textId="77777777" w:rsidR="000D1C0A" w:rsidRPr="000D1C0A" w:rsidRDefault="000D1C0A" w:rsidP="00756D59">
      <w:pPr>
        <w:numPr>
          <w:ilvl w:val="1"/>
          <w:numId w:val="137"/>
        </w:numPr>
        <w:spacing w:before="117" w:line="276" w:lineRule="auto"/>
        <w:jc w:val="both"/>
        <w:rPr>
          <w:rFonts w:ascii="Arial" w:hAnsi="Arial" w:cs="Arial"/>
          <w:sz w:val="20"/>
        </w:rPr>
      </w:pPr>
      <w:r w:rsidRPr="000D1C0A">
        <w:rPr>
          <w:rFonts w:ascii="Arial" w:hAnsi="Arial" w:cs="Arial"/>
          <w:sz w:val="20"/>
        </w:rPr>
        <w:t>possible landing fields.</w:t>
      </w:r>
    </w:p>
    <w:p w14:paraId="566D861F" w14:textId="77777777" w:rsidR="000D1C0A" w:rsidRPr="000D1C0A" w:rsidRDefault="000D1C0A" w:rsidP="00756D59">
      <w:pPr>
        <w:numPr>
          <w:ilvl w:val="0"/>
          <w:numId w:val="137"/>
        </w:numPr>
        <w:spacing w:before="117" w:line="276" w:lineRule="auto"/>
        <w:jc w:val="both"/>
        <w:rPr>
          <w:rFonts w:ascii="Arial" w:hAnsi="Arial" w:cs="Arial"/>
          <w:sz w:val="20"/>
        </w:rPr>
      </w:pPr>
      <w:r w:rsidRPr="000D1C0A">
        <w:rPr>
          <w:rFonts w:ascii="Arial" w:hAnsi="Arial" w:cs="Arial"/>
          <w:sz w:val="20"/>
        </w:rPr>
        <w:t>launch field:</w:t>
      </w:r>
    </w:p>
    <w:p w14:paraId="42BF2861" w14:textId="77777777" w:rsidR="000D1C0A" w:rsidRPr="000D1C0A" w:rsidRDefault="000D1C0A" w:rsidP="00756D59">
      <w:pPr>
        <w:numPr>
          <w:ilvl w:val="1"/>
          <w:numId w:val="137"/>
        </w:numPr>
        <w:spacing w:before="117" w:line="276" w:lineRule="auto"/>
        <w:jc w:val="both"/>
        <w:rPr>
          <w:rFonts w:ascii="Arial" w:hAnsi="Arial" w:cs="Arial"/>
          <w:sz w:val="20"/>
        </w:rPr>
      </w:pPr>
      <w:r w:rsidRPr="000D1C0A">
        <w:rPr>
          <w:rFonts w:ascii="Arial" w:hAnsi="Arial" w:cs="Arial"/>
          <w:sz w:val="20"/>
        </w:rPr>
        <w:t>permission;</w:t>
      </w:r>
    </w:p>
    <w:p w14:paraId="3A7CF844" w14:textId="77777777" w:rsidR="000D1C0A" w:rsidRPr="000D1C0A" w:rsidRDefault="000D1C0A" w:rsidP="00756D59">
      <w:pPr>
        <w:numPr>
          <w:ilvl w:val="1"/>
          <w:numId w:val="137"/>
        </w:numPr>
        <w:spacing w:before="117" w:line="276" w:lineRule="auto"/>
        <w:jc w:val="both"/>
        <w:rPr>
          <w:rFonts w:ascii="Arial" w:hAnsi="Arial" w:cs="Arial"/>
          <w:sz w:val="20"/>
        </w:rPr>
      </w:pPr>
      <w:r w:rsidRPr="000D1C0A">
        <w:rPr>
          <w:rFonts w:ascii="Arial" w:hAnsi="Arial" w:cs="Arial"/>
          <w:sz w:val="20"/>
        </w:rPr>
        <w:t>field selection;</w:t>
      </w:r>
    </w:p>
    <w:p w14:paraId="674D192D" w14:textId="77777777" w:rsidR="000D1C0A" w:rsidRPr="000D1C0A" w:rsidRDefault="000D1C0A" w:rsidP="00756D59">
      <w:pPr>
        <w:numPr>
          <w:ilvl w:val="1"/>
          <w:numId w:val="137"/>
        </w:numPr>
        <w:spacing w:before="117" w:line="276" w:lineRule="auto"/>
        <w:jc w:val="both"/>
        <w:rPr>
          <w:rFonts w:ascii="Arial" w:hAnsi="Arial" w:cs="Arial"/>
          <w:sz w:val="20"/>
        </w:rPr>
      </w:pPr>
      <w:r w:rsidRPr="000D1C0A">
        <w:rPr>
          <w:rFonts w:ascii="Arial" w:hAnsi="Arial" w:cs="Arial"/>
          <w:sz w:val="20"/>
        </w:rPr>
        <w:t>behaviour; and</w:t>
      </w:r>
    </w:p>
    <w:p w14:paraId="13CBB056" w14:textId="77777777" w:rsidR="000D1C0A" w:rsidRPr="000D1C0A" w:rsidRDefault="000D1C0A" w:rsidP="00756D59">
      <w:pPr>
        <w:numPr>
          <w:ilvl w:val="1"/>
          <w:numId w:val="137"/>
        </w:numPr>
        <w:spacing w:before="117" w:line="276" w:lineRule="auto"/>
        <w:jc w:val="both"/>
        <w:rPr>
          <w:rFonts w:ascii="Arial" w:hAnsi="Arial" w:cs="Arial"/>
          <w:sz w:val="20"/>
        </w:rPr>
      </w:pPr>
      <w:r w:rsidRPr="000D1C0A">
        <w:rPr>
          <w:rFonts w:ascii="Arial" w:hAnsi="Arial" w:cs="Arial"/>
          <w:sz w:val="20"/>
        </w:rPr>
        <w:t>adjacent fields; and</w:t>
      </w:r>
    </w:p>
    <w:p w14:paraId="083896AE" w14:textId="77777777" w:rsidR="000D1C0A" w:rsidRPr="000D1C0A" w:rsidRDefault="000D1C0A" w:rsidP="00756D59">
      <w:pPr>
        <w:numPr>
          <w:ilvl w:val="0"/>
          <w:numId w:val="137"/>
        </w:numPr>
        <w:spacing w:before="117" w:line="276" w:lineRule="auto"/>
        <w:jc w:val="both"/>
        <w:rPr>
          <w:rFonts w:ascii="Arial" w:hAnsi="Arial" w:cs="Arial"/>
          <w:sz w:val="20"/>
        </w:rPr>
      </w:pPr>
      <w:r w:rsidRPr="000D1C0A">
        <w:rPr>
          <w:rFonts w:ascii="Arial" w:hAnsi="Arial" w:cs="Arial"/>
          <w:sz w:val="20"/>
        </w:rPr>
        <w:t>load calculations.</w:t>
      </w:r>
    </w:p>
    <w:p w14:paraId="7DF956F7" w14:textId="77777777" w:rsidR="000D1C0A" w:rsidRPr="000D1C0A" w:rsidRDefault="000D1C0A" w:rsidP="00756D59">
      <w:pPr>
        <w:spacing w:before="117" w:line="276" w:lineRule="auto"/>
        <w:jc w:val="both"/>
        <w:rPr>
          <w:rFonts w:ascii="Arial" w:hAnsi="Arial" w:cs="Arial"/>
          <w:b/>
          <w:bCs/>
          <w:sz w:val="20"/>
        </w:rPr>
      </w:pPr>
      <w:r w:rsidRPr="000D1C0A">
        <w:rPr>
          <w:rFonts w:ascii="Arial" w:hAnsi="Arial" w:cs="Arial"/>
          <w:b/>
          <w:bCs/>
          <w:sz w:val="20"/>
        </w:rPr>
        <w:t>Exercise 3: Crew and passenger briefing</w:t>
      </w:r>
    </w:p>
    <w:p w14:paraId="618A460D" w14:textId="77777777" w:rsidR="000D1C0A" w:rsidRPr="000D1C0A" w:rsidRDefault="000D1C0A" w:rsidP="00756D59">
      <w:pPr>
        <w:numPr>
          <w:ilvl w:val="0"/>
          <w:numId w:val="141"/>
        </w:numPr>
        <w:spacing w:before="117" w:line="276" w:lineRule="auto"/>
        <w:jc w:val="both"/>
        <w:rPr>
          <w:rFonts w:ascii="Arial" w:hAnsi="Arial" w:cs="Arial"/>
          <w:sz w:val="20"/>
        </w:rPr>
      </w:pPr>
      <w:r w:rsidRPr="000D1C0A">
        <w:rPr>
          <w:rFonts w:ascii="Arial" w:hAnsi="Arial" w:cs="Arial"/>
          <w:sz w:val="20"/>
        </w:rPr>
        <w:t>clothing;</w:t>
      </w:r>
    </w:p>
    <w:p w14:paraId="10AE5889" w14:textId="77777777" w:rsidR="000D1C0A" w:rsidRPr="000D1C0A" w:rsidRDefault="000D1C0A" w:rsidP="00756D59">
      <w:pPr>
        <w:numPr>
          <w:ilvl w:val="0"/>
          <w:numId w:val="141"/>
        </w:numPr>
        <w:spacing w:before="117" w:line="276" w:lineRule="auto"/>
        <w:jc w:val="both"/>
        <w:rPr>
          <w:rFonts w:ascii="Arial" w:hAnsi="Arial" w:cs="Arial"/>
          <w:sz w:val="20"/>
        </w:rPr>
      </w:pPr>
      <w:r w:rsidRPr="000D1C0A">
        <w:rPr>
          <w:rFonts w:ascii="Arial" w:hAnsi="Arial" w:cs="Arial"/>
          <w:sz w:val="20"/>
        </w:rPr>
        <w:t>crew briefing; and</w:t>
      </w:r>
    </w:p>
    <w:p w14:paraId="0B874442" w14:textId="77777777" w:rsidR="000D1C0A" w:rsidRPr="000D1C0A" w:rsidRDefault="000D1C0A" w:rsidP="00756D59">
      <w:pPr>
        <w:numPr>
          <w:ilvl w:val="0"/>
          <w:numId w:val="141"/>
        </w:numPr>
        <w:spacing w:before="117" w:line="276" w:lineRule="auto"/>
        <w:jc w:val="both"/>
        <w:rPr>
          <w:rFonts w:ascii="Arial" w:hAnsi="Arial" w:cs="Arial"/>
          <w:sz w:val="20"/>
        </w:rPr>
      </w:pPr>
      <w:r w:rsidRPr="000D1C0A">
        <w:rPr>
          <w:rFonts w:ascii="Arial" w:hAnsi="Arial" w:cs="Arial"/>
          <w:sz w:val="20"/>
        </w:rPr>
        <w:t>passenger briefing.</w:t>
      </w:r>
    </w:p>
    <w:p w14:paraId="5F524C33" w14:textId="77777777" w:rsidR="000D1C0A" w:rsidRPr="000D1C0A" w:rsidRDefault="000D1C0A" w:rsidP="00756D59">
      <w:pPr>
        <w:spacing w:before="117" w:line="276" w:lineRule="auto"/>
        <w:jc w:val="both"/>
        <w:rPr>
          <w:rFonts w:ascii="Arial" w:hAnsi="Arial" w:cs="Arial"/>
          <w:b/>
          <w:bCs/>
          <w:sz w:val="20"/>
        </w:rPr>
      </w:pPr>
      <w:r w:rsidRPr="000D1C0A">
        <w:rPr>
          <w:rFonts w:ascii="Arial" w:hAnsi="Arial" w:cs="Arial"/>
          <w:b/>
          <w:bCs/>
          <w:sz w:val="20"/>
        </w:rPr>
        <w:t>Exercise 4: Assembly and layout</w:t>
      </w:r>
    </w:p>
    <w:p w14:paraId="73423184" w14:textId="77777777" w:rsidR="000D1C0A" w:rsidRPr="000D1C0A" w:rsidRDefault="000D1C0A" w:rsidP="00756D59">
      <w:pPr>
        <w:numPr>
          <w:ilvl w:val="0"/>
          <w:numId w:val="140"/>
        </w:numPr>
        <w:spacing w:before="117" w:line="276" w:lineRule="auto"/>
        <w:jc w:val="both"/>
        <w:rPr>
          <w:rFonts w:ascii="Arial" w:hAnsi="Arial" w:cs="Arial"/>
          <w:sz w:val="20"/>
        </w:rPr>
      </w:pPr>
      <w:r w:rsidRPr="000D1C0A">
        <w:rPr>
          <w:rFonts w:ascii="Arial" w:hAnsi="Arial" w:cs="Arial"/>
          <w:sz w:val="20"/>
        </w:rPr>
        <w:t>crowd control;</w:t>
      </w:r>
    </w:p>
    <w:p w14:paraId="4D7291DC" w14:textId="77777777" w:rsidR="000D1C0A" w:rsidRPr="000D1C0A" w:rsidRDefault="000D1C0A" w:rsidP="00756D59">
      <w:pPr>
        <w:numPr>
          <w:ilvl w:val="0"/>
          <w:numId w:val="140"/>
        </w:numPr>
        <w:spacing w:before="117" w:line="276" w:lineRule="auto"/>
        <w:jc w:val="both"/>
        <w:rPr>
          <w:rFonts w:ascii="Arial" w:hAnsi="Arial" w:cs="Arial"/>
          <w:sz w:val="20"/>
        </w:rPr>
      </w:pPr>
      <w:r w:rsidRPr="000D1C0A">
        <w:rPr>
          <w:rFonts w:ascii="Arial" w:hAnsi="Arial" w:cs="Arial"/>
          <w:sz w:val="20"/>
        </w:rPr>
        <w:t>rigging envelope, basket and burner;</w:t>
      </w:r>
    </w:p>
    <w:p w14:paraId="3F5276F8" w14:textId="77777777" w:rsidR="000D1C0A" w:rsidRPr="000D1C0A" w:rsidRDefault="000D1C0A" w:rsidP="00756D59">
      <w:pPr>
        <w:numPr>
          <w:ilvl w:val="0"/>
          <w:numId w:val="140"/>
        </w:numPr>
        <w:spacing w:before="117" w:line="276" w:lineRule="auto"/>
        <w:jc w:val="both"/>
        <w:rPr>
          <w:rFonts w:ascii="Arial" w:hAnsi="Arial" w:cs="Arial"/>
          <w:sz w:val="20"/>
        </w:rPr>
      </w:pPr>
      <w:r w:rsidRPr="000D1C0A">
        <w:rPr>
          <w:rFonts w:ascii="Arial" w:hAnsi="Arial" w:cs="Arial"/>
          <w:sz w:val="20"/>
        </w:rPr>
        <w:t>burner test;</w:t>
      </w:r>
    </w:p>
    <w:p w14:paraId="59AADDF6" w14:textId="77777777" w:rsidR="000D1C0A" w:rsidRPr="000D1C0A" w:rsidRDefault="000D1C0A" w:rsidP="00756D59">
      <w:pPr>
        <w:numPr>
          <w:ilvl w:val="0"/>
          <w:numId w:val="140"/>
        </w:numPr>
        <w:spacing w:before="117" w:line="276" w:lineRule="auto"/>
        <w:jc w:val="both"/>
        <w:rPr>
          <w:rFonts w:ascii="Arial" w:hAnsi="Arial" w:cs="Arial"/>
          <w:sz w:val="20"/>
        </w:rPr>
      </w:pPr>
      <w:r w:rsidRPr="000D1C0A">
        <w:rPr>
          <w:rFonts w:ascii="Arial" w:hAnsi="Arial" w:cs="Arial"/>
          <w:sz w:val="20"/>
        </w:rPr>
        <w:t>use of restraint line; and</w:t>
      </w:r>
    </w:p>
    <w:p w14:paraId="0B12065B" w14:textId="77777777" w:rsidR="000D1C0A" w:rsidRPr="000D1C0A" w:rsidRDefault="000D1C0A" w:rsidP="00756D59">
      <w:pPr>
        <w:numPr>
          <w:ilvl w:val="0"/>
          <w:numId w:val="140"/>
        </w:numPr>
        <w:spacing w:before="117" w:line="276" w:lineRule="auto"/>
        <w:jc w:val="both"/>
        <w:rPr>
          <w:rFonts w:ascii="Arial" w:hAnsi="Arial" w:cs="Arial"/>
          <w:sz w:val="20"/>
        </w:rPr>
      </w:pPr>
      <w:r w:rsidRPr="000D1C0A">
        <w:rPr>
          <w:rFonts w:ascii="Arial" w:hAnsi="Arial" w:cs="Arial"/>
          <w:sz w:val="20"/>
        </w:rPr>
        <w:t>pre-inflation checks.</w:t>
      </w:r>
    </w:p>
    <w:p w14:paraId="4D8A7852" w14:textId="77777777" w:rsidR="000D1C0A" w:rsidRPr="000D1C0A" w:rsidRDefault="000D1C0A" w:rsidP="00756D59">
      <w:pPr>
        <w:spacing w:before="117" w:line="276" w:lineRule="auto"/>
        <w:jc w:val="both"/>
        <w:rPr>
          <w:rFonts w:ascii="Arial" w:hAnsi="Arial" w:cs="Arial"/>
          <w:b/>
          <w:bCs/>
          <w:sz w:val="20"/>
        </w:rPr>
      </w:pPr>
      <w:r w:rsidRPr="000D1C0A">
        <w:rPr>
          <w:rFonts w:ascii="Arial" w:hAnsi="Arial" w:cs="Arial"/>
          <w:b/>
          <w:bCs/>
          <w:sz w:val="20"/>
        </w:rPr>
        <w:t>Exercise 5: Inflation</w:t>
      </w:r>
    </w:p>
    <w:p w14:paraId="5436C285" w14:textId="77777777" w:rsidR="000D1C0A" w:rsidRPr="000D1C0A" w:rsidRDefault="000D1C0A" w:rsidP="00756D59">
      <w:pPr>
        <w:numPr>
          <w:ilvl w:val="0"/>
          <w:numId w:val="139"/>
        </w:numPr>
        <w:spacing w:before="117" w:line="276" w:lineRule="auto"/>
        <w:jc w:val="both"/>
        <w:rPr>
          <w:rFonts w:ascii="Arial" w:hAnsi="Arial" w:cs="Arial"/>
          <w:sz w:val="20"/>
        </w:rPr>
      </w:pPr>
      <w:r w:rsidRPr="000D1C0A">
        <w:rPr>
          <w:rFonts w:ascii="Arial" w:hAnsi="Arial" w:cs="Arial"/>
          <w:sz w:val="20"/>
        </w:rPr>
        <w:t>crowd control;</w:t>
      </w:r>
    </w:p>
    <w:p w14:paraId="53D15543" w14:textId="77777777" w:rsidR="000D1C0A" w:rsidRPr="000D1C0A" w:rsidRDefault="000D1C0A" w:rsidP="00756D59">
      <w:pPr>
        <w:numPr>
          <w:ilvl w:val="0"/>
          <w:numId w:val="139"/>
        </w:numPr>
        <w:spacing w:before="117" w:line="276" w:lineRule="auto"/>
        <w:jc w:val="both"/>
        <w:rPr>
          <w:rFonts w:ascii="Arial" w:hAnsi="Arial" w:cs="Arial"/>
          <w:sz w:val="20"/>
        </w:rPr>
      </w:pPr>
      <w:r w:rsidRPr="000D1C0A">
        <w:rPr>
          <w:rFonts w:ascii="Arial" w:hAnsi="Arial" w:cs="Arial"/>
          <w:sz w:val="20"/>
        </w:rPr>
        <w:t>cold inflation;</w:t>
      </w:r>
    </w:p>
    <w:p w14:paraId="20C0C93A" w14:textId="77777777" w:rsidR="000D1C0A" w:rsidRPr="000D1C0A" w:rsidRDefault="000D1C0A" w:rsidP="00756D59">
      <w:pPr>
        <w:numPr>
          <w:ilvl w:val="0"/>
          <w:numId w:val="139"/>
        </w:numPr>
        <w:spacing w:before="117" w:line="276" w:lineRule="auto"/>
        <w:jc w:val="both"/>
        <w:rPr>
          <w:rFonts w:ascii="Arial" w:hAnsi="Arial" w:cs="Arial"/>
          <w:sz w:val="20"/>
        </w:rPr>
      </w:pPr>
      <w:r w:rsidRPr="000D1C0A">
        <w:rPr>
          <w:rFonts w:ascii="Arial" w:hAnsi="Arial" w:cs="Arial"/>
          <w:sz w:val="20"/>
        </w:rPr>
        <w:t>use of the inflation fan; and</w:t>
      </w:r>
    </w:p>
    <w:p w14:paraId="1EF48067" w14:textId="77777777" w:rsidR="000D1C0A" w:rsidRPr="000D1C0A" w:rsidRDefault="000D1C0A" w:rsidP="00756D59">
      <w:pPr>
        <w:numPr>
          <w:ilvl w:val="0"/>
          <w:numId w:val="139"/>
        </w:numPr>
        <w:spacing w:before="117" w:line="276" w:lineRule="auto"/>
        <w:jc w:val="both"/>
        <w:rPr>
          <w:rFonts w:ascii="Arial" w:hAnsi="Arial" w:cs="Arial"/>
          <w:sz w:val="20"/>
        </w:rPr>
      </w:pPr>
      <w:r w:rsidRPr="000D1C0A">
        <w:rPr>
          <w:rFonts w:ascii="Arial" w:hAnsi="Arial" w:cs="Arial"/>
          <w:sz w:val="20"/>
        </w:rPr>
        <w:t>hot inflation.</w:t>
      </w:r>
    </w:p>
    <w:p w14:paraId="24EEAA17" w14:textId="77777777" w:rsidR="000D1C0A" w:rsidRPr="000D1C0A" w:rsidRDefault="000D1C0A" w:rsidP="00756D59">
      <w:pPr>
        <w:spacing w:before="117" w:line="276" w:lineRule="auto"/>
        <w:jc w:val="both"/>
        <w:rPr>
          <w:rFonts w:ascii="Arial" w:hAnsi="Arial" w:cs="Arial"/>
          <w:b/>
          <w:bCs/>
          <w:sz w:val="20"/>
        </w:rPr>
      </w:pPr>
      <w:r w:rsidRPr="000D1C0A">
        <w:rPr>
          <w:rFonts w:ascii="Arial" w:hAnsi="Arial" w:cs="Arial"/>
          <w:b/>
          <w:bCs/>
          <w:sz w:val="20"/>
        </w:rPr>
        <w:lastRenderedPageBreak/>
        <w:t>Exercise 6: Take-off in different wind conditions</w:t>
      </w:r>
    </w:p>
    <w:p w14:paraId="72FFF072" w14:textId="77777777" w:rsidR="000D1C0A" w:rsidRPr="000D1C0A" w:rsidRDefault="000D1C0A" w:rsidP="00756D59">
      <w:pPr>
        <w:numPr>
          <w:ilvl w:val="0"/>
          <w:numId w:val="138"/>
        </w:numPr>
        <w:spacing w:before="117" w:line="276" w:lineRule="auto"/>
        <w:jc w:val="both"/>
        <w:rPr>
          <w:rFonts w:ascii="Arial" w:hAnsi="Arial" w:cs="Arial"/>
          <w:sz w:val="20"/>
        </w:rPr>
      </w:pPr>
      <w:r w:rsidRPr="000D1C0A">
        <w:rPr>
          <w:rFonts w:ascii="Arial" w:hAnsi="Arial" w:cs="Arial"/>
          <w:sz w:val="20"/>
        </w:rPr>
        <w:t>pre-take-off checks and briefings;</w:t>
      </w:r>
    </w:p>
    <w:p w14:paraId="5FB8392D" w14:textId="77777777" w:rsidR="000D1C0A" w:rsidRPr="000D1C0A" w:rsidRDefault="000D1C0A" w:rsidP="00756D59">
      <w:pPr>
        <w:numPr>
          <w:ilvl w:val="0"/>
          <w:numId w:val="138"/>
        </w:numPr>
        <w:spacing w:before="117" w:line="276" w:lineRule="auto"/>
        <w:jc w:val="both"/>
        <w:rPr>
          <w:rFonts w:ascii="Arial" w:hAnsi="Arial" w:cs="Arial"/>
          <w:sz w:val="20"/>
        </w:rPr>
      </w:pPr>
      <w:r w:rsidRPr="000D1C0A">
        <w:rPr>
          <w:rFonts w:ascii="Arial" w:hAnsi="Arial" w:cs="Arial"/>
          <w:sz w:val="20"/>
        </w:rPr>
        <w:t>heating for controlled climb;</w:t>
      </w:r>
    </w:p>
    <w:p w14:paraId="3976659D" w14:textId="77777777" w:rsidR="000D1C0A" w:rsidRPr="000D1C0A" w:rsidRDefault="000D1C0A" w:rsidP="00756D59">
      <w:pPr>
        <w:numPr>
          <w:ilvl w:val="0"/>
          <w:numId w:val="138"/>
        </w:numPr>
        <w:spacing w:before="117" w:line="276" w:lineRule="auto"/>
        <w:jc w:val="both"/>
        <w:rPr>
          <w:rFonts w:ascii="Arial" w:hAnsi="Arial" w:cs="Arial"/>
          <w:sz w:val="20"/>
        </w:rPr>
      </w:pPr>
      <w:r w:rsidRPr="000D1C0A">
        <w:rPr>
          <w:rFonts w:ascii="Arial" w:hAnsi="Arial" w:cs="Arial"/>
          <w:sz w:val="20"/>
        </w:rPr>
        <w:t>‘hands off and hands on' procedure for ground crew;</w:t>
      </w:r>
    </w:p>
    <w:p w14:paraId="0E2511F4" w14:textId="77777777" w:rsidR="000D1C0A" w:rsidRPr="000D1C0A" w:rsidRDefault="000D1C0A" w:rsidP="00756D59">
      <w:pPr>
        <w:numPr>
          <w:ilvl w:val="0"/>
          <w:numId w:val="138"/>
        </w:numPr>
        <w:spacing w:before="117" w:line="276" w:lineRule="auto"/>
        <w:jc w:val="both"/>
        <w:rPr>
          <w:rFonts w:ascii="Arial" w:hAnsi="Arial" w:cs="Arial"/>
          <w:sz w:val="20"/>
        </w:rPr>
      </w:pPr>
      <w:r w:rsidRPr="000D1C0A">
        <w:rPr>
          <w:rFonts w:ascii="Arial" w:hAnsi="Arial" w:cs="Arial"/>
          <w:sz w:val="20"/>
        </w:rPr>
        <w:t>assessment of lift;</w:t>
      </w:r>
    </w:p>
    <w:p w14:paraId="3F2E6FEB" w14:textId="77777777" w:rsidR="000D1C0A" w:rsidRPr="000D1C0A" w:rsidRDefault="000D1C0A" w:rsidP="00756D59">
      <w:pPr>
        <w:numPr>
          <w:ilvl w:val="0"/>
          <w:numId w:val="138"/>
        </w:numPr>
        <w:spacing w:before="117" w:line="276" w:lineRule="auto"/>
        <w:jc w:val="both"/>
        <w:rPr>
          <w:rFonts w:ascii="Arial" w:hAnsi="Arial" w:cs="Arial"/>
          <w:sz w:val="20"/>
        </w:rPr>
      </w:pPr>
      <w:r w:rsidRPr="000D1C0A">
        <w:rPr>
          <w:rFonts w:ascii="Arial" w:hAnsi="Arial" w:cs="Arial"/>
          <w:sz w:val="20"/>
        </w:rPr>
        <w:t>use of quick release;</w:t>
      </w:r>
    </w:p>
    <w:p w14:paraId="73885FA3" w14:textId="77777777" w:rsidR="000D1C0A" w:rsidRPr="000D1C0A" w:rsidRDefault="000D1C0A" w:rsidP="00756D59">
      <w:pPr>
        <w:numPr>
          <w:ilvl w:val="0"/>
          <w:numId w:val="138"/>
        </w:numPr>
        <w:spacing w:before="117" w:line="276" w:lineRule="auto"/>
        <w:jc w:val="both"/>
        <w:rPr>
          <w:rFonts w:ascii="Arial" w:hAnsi="Arial" w:cs="Arial"/>
          <w:sz w:val="20"/>
        </w:rPr>
      </w:pPr>
      <w:r w:rsidRPr="000D1C0A">
        <w:rPr>
          <w:rFonts w:ascii="Arial" w:hAnsi="Arial" w:cs="Arial"/>
          <w:sz w:val="20"/>
        </w:rPr>
        <w:t>assessment of wind and obstacles;</w:t>
      </w:r>
    </w:p>
    <w:p w14:paraId="51C9E52D" w14:textId="77777777" w:rsidR="000D1C0A" w:rsidRPr="000D1C0A" w:rsidRDefault="000D1C0A" w:rsidP="00756D59">
      <w:pPr>
        <w:numPr>
          <w:ilvl w:val="0"/>
          <w:numId w:val="138"/>
        </w:numPr>
        <w:spacing w:before="117" w:line="276" w:lineRule="auto"/>
        <w:jc w:val="both"/>
        <w:rPr>
          <w:rFonts w:ascii="Arial" w:hAnsi="Arial" w:cs="Arial"/>
          <w:sz w:val="20"/>
        </w:rPr>
      </w:pPr>
      <w:r w:rsidRPr="000D1C0A">
        <w:rPr>
          <w:rFonts w:ascii="Arial" w:hAnsi="Arial" w:cs="Arial"/>
          <w:sz w:val="20"/>
        </w:rPr>
        <w:t>take-off in wind of different speeds, with and without shelter; and</w:t>
      </w:r>
    </w:p>
    <w:p w14:paraId="4969DE04" w14:textId="77777777" w:rsidR="000D1C0A" w:rsidRPr="000D1C0A" w:rsidRDefault="000D1C0A" w:rsidP="00756D59">
      <w:pPr>
        <w:numPr>
          <w:ilvl w:val="0"/>
          <w:numId w:val="138"/>
        </w:numPr>
        <w:spacing w:before="117" w:line="276" w:lineRule="auto"/>
        <w:jc w:val="both"/>
        <w:rPr>
          <w:rFonts w:ascii="Arial" w:hAnsi="Arial" w:cs="Arial"/>
          <w:sz w:val="20"/>
        </w:rPr>
      </w:pPr>
      <w:r w:rsidRPr="000D1C0A">
        <w:rPr>
          <w:rFonts w:ascii="Arial" w:hAnsi="Arial" w:cs="Arial"/>
          <w:sz w:val="20"/>
        </w:rPr>
        <w:t>preparation for false lift.</w:t>
      </w:r>
    </w:p>
    <w:p w14:paraId="7D772427" w14:textId="77777777" w:rsidR="000D1C0A" w:rsidRPr="000D1C0A" w:rsidRDefault="000D1C0A" w:rsidP="00756D59">
      <w:pPr>
        <w:spacing w:before="117" w:line="276" w:lineRule="auto"/>
        <w:jc w:val="both"/>
        <w:rPr>
          <w:rFonts w:ascii="Arial" w:hAnsi="Arial" w:cs="Arial"/>
          <w:b/>
          <w:bCs/>
          <w:sz w:val="20"/>
        </w:rPr>
      </w:pPr>
      <w:r w:rsidRPr="000D1C0A">
        <w:rPr>
          <w:rFonts w:ascii="Arial" w:hAnsi="Arial" w:cs="Arial"/>
          <w:b/>
          <w:bCs/>
          <w:sz w:val="20"/>
        </w:rPr>
        <w:t>Exercise 7: Climb to level flight</w:t>
      </w:r>
    </w:p>
    <w:p w14:paraId="5EB2F12A" w14:textId="77777777" w:rsidR="000D1C0A" w:rsidRPr="000D1C0A" w:rsidRDefault="000D1C0A" w:rsidP="00756D59">
      <w:pPr>
        <w:numPr>
          <w:ilvl w:val="0"/>
          <w:numId w:val="146"/>
        </w:numPr>
        <w:spacing w:before="117" w:line="276" w:lineRule="auto"/>
        <w:jc w:val="both"/>
        <w:rPr>
          <w:rFonts w:ascii="Arial" w:hAnsi="Arial" w:cs="Arial"/>
          <w:sz w:val="20"/>
        </w:rPr>
      </w:pPr>
      <w:r w:rsidRPr="000D1C0A">
        <w:rPr>
          <w:rFonts w:ascii="Arial" w:hAnsi="Arial" w:cs="Arial"/>
          <w:sz w:val="20"/>
        </w:rPr>
        <w:t>climbing with a predetermined rate of climb;</w:t>
      </w:r>
    </w:p>
    <w:p w14:paraId="11DAC1FC" w14:textId="77777777" w:rsidR="000D1C0A" w:rsidRPr="000D1C0A" w:rsidRDefault="000D1C0A" w:rsidP="00756D59">
      <w:pPr>
        <w:numPr>
          <w:ilvl w:val="0"/>
          <w:numId w:val="146"/>
        </w:numPr>
        <w:spacing w:before="117" w:line="276" w:lineRule="auto"/>
        <w:jc w:val="both"/>
        <w:rPr>
          <w:rFonts w:ascii="Arial" w:hAnsi="Arial" w:cs="Arial"/>
          <w:sz w:val="20"/>
        </w:rPr>
      </w:pPr>
      <w:r w:rsidRPr="000D1C0A">
        <w:rPr>
          <w:rFonts w:ascii="Arial" w:hAnsi="Arial" w:cs="Arial"/>
          <w:sz w:val="20"/>
        </w:rPr>
        <w:t>look-out procedures;</w:t>
      </w:r>
    </w:p>
    <w:p w14:paraId="10509F57" w14:textId="77777777" w:rsidR="000D1C0A" w:rsidRPr="000D1C0A" w:rsidRDefault="000D1C0A" w:rsidP="00756D59">
      <w:pPr>
        <w:numPr>
          <w:ilvl w:val="0"/>
          <w:numId w:val="146"/>
        </w:numPr>
        <w:spacing w:before="117" w:line="276" w:lineRule="auto"/>
        <w:jc w:val="both"/>
        <w:rPr>
          <w:rFonts w:ascii="Arial" w:hAnsi="Arial" w:cs="Arial"/>
          <w:sz w:val="20"/>
        </w:rPr>
      </w:pPr>
      <w:r w:rsidRPr="000D1C0A">
        <w:rPr>
          <w:rFonts w:ascii="Arial" w:hAnsi="Arial" w:cs="Arial"/>
          <w:sz w:val="20"/>
        </w:rPr>
        <w:t>effect on envelope temperature;</w:t>
      </w:r>
    </w:p>
    <w:p w14:paraId="7FFD8852" w14:textId="77777777" w:rsidR="000D1C0A" w:rsidRPr="000D1C0A" w:rsidRDefault="000D1C0A" w:rsidP="00756D59">
      <w:pPr>
        <w:numPr>
          <w:ilvl w:val="0"/>
          <w:numId w:val="146"/>
        </w:numPr>
        <w:spacing w:before="117" w:line="276" w:lineRule="auto"/>
        <w:jc w:val="both"/>
        <w:rPr>
          <w:rFonts w:ascii="Arial" w:hAnsi="Arial" w:cs="Arial"/>
          <w:sz w:val="20"/>
        </w:rPr>
      </w:pPr>
      <w:r w:rsidRPr="000D1C0A">
        <w:rPr>
          <w:rFonts w:ascii="Arial" w:hAnsi="Arial" w:cs="Arial"/>
          <w:sz w:val="20"/>
        </w:rPr>
        <w:t>maximum rate of climb according to the manufacturer’s flight manual; and</w:t>
      </w:r>
    </w:p>
    <w:p w14:paraId="3C63A913" w14:textId="77777777" w:rsidR="000D1C0A" w:rsidRPr="000D1C0A" w:rsidRDefault="000D1C0A" w:rsidP="00756D59">
      <w:pPr>
        <w:numPr>
          <w:ilvl w:val="0"/>
          <w:numId w:val="146"/>
        </w:numPr>
        <w:spacing w:before="117" w:line="276" w:lineRule="auto"/>
        <w:jc w:val="both"/>
        <w:rPr>
          <w:rFonts w:ascii="Arial" w:hAnsi="Arial" w:cs="Arial"/>
          <w:sz w:val="20"/>
        </w:rPr>
      </w:pPr>
      <w:r w:rsidRPr="000D1C0A">
        <w:rPr>
          <w:rFonts w:ascii="Arial" w:hAnsi="Arial" w:cs="Arial"/>
          <w:sz w:val="20"/>
        </w:rPr>
        <w:t>levelling off at selected altitude.</w:t>
      </w:r>
    </w:p>
    <w:p w14:paraId="565A1E56" w14:textId="77777777" w:rsidR="000D1C0A" w:rsidRPr="000D1C0A" w:rsidRDefault="000D1C0A" w:rsidP="00756D59">
      <w:pPr>
        <w:spacing w:before="117" w:line="276" w:lineRule="auto"/>
        <w:jc w:val="both"/>
        <w:rPr>
          <w:rFonts w:ascii="Arial" w:hAnsi="Arial" w:cs="Arial"/>
          <w:b/>
          <w:bCs/>
          <w:sz w:val="20"/>
        </w:rPr>
      </w:pPr>
      <w:r w:rsidRPr="000D1C0A">
        <w:rPr>
          <w:rFonts w:ascii="Arial" w:hAnsi="Arial" w:cs="Arial"/>
          <w:b/>
          <w:bCs/>
          <w:sz w:val="20"/>
        </w:rPr>
        <w:t>Exercise 8: Level flight</w:t>
      </w:r>
    </w:p>
    <w:p w14:paraId="5A4A9A50" w14:textId="77777777" w:rsidR="000D1C0A" w:rsidRPr="000D1C0A" w:rsidRDefault="000D1C0A" w:rsidP="00756D59">
      <w:pPr>
        <w:numPr>
          <w:ilvl w:val="0"/>
          <w:numId w:val="145"/>
        </w:numPr>
        <w:spacing w:before="117" w:line="276" w:lineRule="auto"/>
        <w:jc w:val="both"/>
        <w:rPr>
          <w:rFonts w:ascii="Arial" w:hAnsi="Arial" w:cs="Arial"/>
          <w:sz w:val="20"/>
        </w:rPr>
      </w:pPr>
      <w:r w:rsidRPr="000D1C0A">
        <w:rPr>
          <w:rFonts w:ascii="Arial" w:hAnsi="Arial" w:cs="Arial"/>
          <w:sz w:val="20"/>
        </w:rPr>
        <w:t>maintaining level flight by:</w:t>
      </w:r>
    </w:p>
    <w:p w14:paraId="7B0EDD6E" w14:textId="77777777" w:rsidR="000D1C0A" w:rsidRPr="000D1C0A" w:rsidRDefault="000D1C0A" w:rsidP="00756D59">
      <w:pPr>
        <w:numPr>
          <w:ilvl w:val="1"/>
          <w:numId w:val="145"/>
        </w:numPr>
        <w:spacing w:before="117" w:line="276" w:lineRule="auto"/>
        <w:jc w:val="both"/>
        <w:rPr>
          <w:rFonts w:ascii="Arial" w:hAnsi="Arial" w:cs="Arial"/>
          <w:sz w:val="20"/>
        </w:rPr>
      </w:pPr>
      <w:r w:rsidRPr="000D1C0A">
        <w:rPr>
          <w:rFonts w:ascii="Arial" w:hAnsi="Arial" w:cs="Arial"/>
          <w:sz w:val="20"/>
        </w:rPr>
        <w:t>use of instruments only;</w:t>
      </w:r>
    </w:p>
    <w:p w14:paraId="0451B429" w14:textId="77777777" w:rsidR="000D1C0A" w:rsidRPr="000D1C0A" w:rsidRDefault="000D1C0A" w:rsidP="00756D59">
      <w:pPr>
        <w:numPr>
          <w:ilvl w:val="1"/>
          <w:numId w:val="145"/>
        </w:numPr>
        <w:spacing w:before="117" w:line="276" w:lineRule="auto"/>
        <w:jc w:val="both"/>
        <w:rPr>
          <w:rFonts w:ascii="Arial" w:hAnsi="Arial" w:cs="Arial"/>
          <w:sz w:val="20"/>
        </w:rPr>
      </w:pPr>
      <w:r w:rsidRPr="000D1C0A">
        <w:rPr>
          <w:rFonts w:ascii="Arial" w:hAnsi="Arial" w:cs="Arial"/>
          <w:sz w:val="20"/>
        </w:rPr>
        <w:t>use of visual references only; and</w:t>
      </w:r>
    </w:p>
    <w:p w14:paraId="4D792B49" w14:textId="77777777" w:rsidR="000D1C0A" w:rsidRPr="000D1C0A" w:rsidRDefault="000D1C0A" w:rsidP="00756D59">
      <w:pPr>
        <w:numPr>
          <w:ilvl w:val="1"/>
          <w:numId w:val="145"/>
        </w:numPr>
        <w:spacing w:before="117" w:line="276" w:lineRule="auto"/>
        <w:jc w:val="both"/>
        <w:rPr>
          <w:rFonts w:ascii="Arial" w:hAnsi="Arial" w:cs="Arial"/>
          <w:sz w:val="20"/>
        </w:rPr>
      </w:pPr>
      <w:r w:rsidRPr="000D1C0A">
        <w:rPr>
          <w:rFonts w:ascii="Arial" w:hAnsi="Arial" w:cs="Arial"/>
          <w:sz w:val="20"/>
        </w:rPr>
        <w:t>all available means; and</w:t>
      </w:r>
    </w:p>
    <w:p w14:paraId="3C7E77AC" w14:textId="77777777" w:rsidR="000D1C0A" w:rsidRPr="000D1C0A" w:rsidRDefault="000D1C0A" w:rsidP="00756D59">
      <w:pPr>
        <w:numPr>
          <w:ilvl w:val="0"/>
          <w:numId w:val="145"/>
        </w:numPr>
        <w:spacing w:before="117" w:line="276" w:lineRule="auto"/>
        <w:jc w:val="both"/>
        <w:rPr>
          <w:rFonts w:ascii="Arial" w:hAnsi="Arial" w:cs="Arial"/>
          <w:sz w:val="20"/>
        </w:rPr>
      </w:pPr>
      <w:r w:rsidRPr="000D1C0A">
        <w:rPr>
          <w:rFonts w:ascii="Arial" w:hAnsi="Arial" w:cs="Arial"/>
          <w:sz w:val="20"/>
        </w:rPr>
        <w:t>use of parachute and turning vents (if applicable).</w:t>
      </w:r>
    </w:p>
    <w:p w14:paraId="5AC1C764" w14:textId="77777777" w:rsidR="000D1C0A" w:rsidRPr="000D1C0A" w:rsidRDefault="000D1C0A" w:rsidP="00756D59">
      <w:pPr>
        <w:spacing w:before="117" w:line="276" w:lineRule="auto"/>
        <w:jc w:val="both"/>
        <w:rPr>
          <w:rFonts w:ascii="Arial" w:hAnsi="Arial" w:cs="Arial"/>
          <w:b/>
          <w:bCs/>
          <w:sz w:val="20"/>
        </w:rPr>
      </w:pPr>
      <w:r w:rsidRPr="000D1C0A">
        <w:rPr>
          <w:rFonts w:ascii="Arial" w:hAnsi="Arial" w:cs="Arial"/>
          <w:b/>
          <w:bCs/>
          <w:sz w:val="20"/>
        </w:rPr>
        <w:t>Exercise 9: Descent to level flight</w:t>
      </w:r>
    </w:p>
    <w:p w14:paraId="570B3339" w14:textId="77777777" w:rsidR="000D1C0A" w:rsidRPr="000D1C0A" w:rsidRDefault="000D1C0A" w:rsidP="00756D59">
      <w:pPr>
        <w:numPr>
          <w:ilvl w:val="0"/>
          <w:numId w:val="144"/>
        </w:numPr>
        <w:spacing w:before="117" w:line="276" w:lineRule="auto"/>
        <w:jc w:val="both"/>
        <w:rPr>
          <w:rFonts w:ascii="Arial" w:hAnsi="Arial" w:cs="Arial"/>
          <w:sz w:val="20"/>
        </w:rPr>
      </w:pPr>
      <w:r w:rsidRPr="000D1C0A">
        <w:rPr>
          <w:rFonts w:ascii="Arial" w:hAnsi="Arial" w:cs="Arial"/>
          <w:sz w:val="20"/>
        </w:rPr>
        <w:t>descent with a predetermined rate of descent;</w:t>
      </w:r>
    </w:p>
    <w:p w14:paraId="63B90120" w14:textId="77777777" w:rsidR="000D1C0A" w:rsidRPr="000D1C0A" w:rsidRDefault="000D1C0A" w:rsidP="00756D59">
      <w:pPr>
        <w:numPr>
          <w:ilvl w:val="0"/>
          <w:numId w:val="144"/>
        </w:numPr>
        <w:spacing w:before="117" w:line="276" w:lineRule="auto"/>
        <w:jc w:val="both"/>
        <w:rPr>
          <w:rFonts w:ascii="Arial" w:hAnsi="Arial" w:cs="Arial"/>
          <w:sz w:val="20"/>
        </w:rPr>
      </w:pPr>
      <w:r w:rsidRPr="000D1C0A">
        <w:rPr>
          <w:rFonts w:ascii="Arial" w:hAnsi="Arial" w:cs="Arial"/>
          <w:sz w:val="20"/>
        </w:rPr>
        <w:t>fast descent;</w:t>
      </w:r>
    </w:p>
    <w:p w14:paraId="4B6D0649" w14:textId="77777777" w:rsidR="000D1C0A" w:rsidRPr="000D1C0A" w:rsidRDefault="000D1C0A" w:rsidP="00756D59">
      <w:pPr>
        <w:numPr>
          <w:ilvl w:val="0"/>
          <w:numId w:val="144"/>
        </w:numPr>
        <w:spacing w:before="117" w:line="276" w:lineRule="auto"/>
        <w:jc w:val="both"/>
        <w:rPr>
          <w:rFonts w:ascii="Arial" w:hAnsi="Arial" w:cs="Arial"/>
          <w:sz w:val="20"/>
        </w:rPr>
      </w:pPr>
      <w:r w:rsidRPr="000D1C0A">
        <w:rPr>
          <w:rFonts w:ascii="Arial" w:hAnsi="Arial" w:cs="Arial"/>
          <w:sz w:val="20"/>
        </w:rPr>
        <w:t>look-out procedures;</w:t>
      </w:r>
    </w:p>
    <w:p w14:paraId="3096FA4F" w14:textId="77777777" w:rsidR="000D1C0A" w:rsidRPr="000D1C0A" w:rsidRDefault="000D1C0A" w:rsidP="00756D59">
      <w:pPr>
        <w:numPr>
          <w:ilvl w:val="0"/>
          <w:numId w:val="144"/>
        </w:numPr>
        <w:spacing w:before="117" w:line="276" w:lineRule="auto"/>
        <w:jc w:val="both"/>
        <w:rPr>
          <w:rFonts w:ascii="Arial" w:hAnsi="Arial" w:cs="Arial"/>
          <w:sz w:val="20"/>
        </w:rPr>
      </w:pPr>
      <w:r w:rsidRPr="000D1C0A">
        <w:rPr>
          <w:rFonts w:ascii="Arial" w:hAnsi="Arial" w:cs="Arial"/>
          <w:sz w:val="20"/>
        </w:rPr>
        <w:t>maximum rate of descent according to the manufacturer’s flight manual;</w:t>
      </w:r>
    </w:p>
    <w:p w14:paraId="2B0D6FBC" w14:textId="77777777" w:rsidR="000D1C0A" w:rsidRPr="000D1C0A" w:rsidRDefault="000D1C0A" w:rsidP="00756D59">
      <w:pPr>
        <w:numPr>
          <w:ilvl w:val="0"/>
          <w:numId w:val="144"/>
        </w:numPr>
        <w:spacing w:before="117" w:line="276" w:lineRule="auto"/>
        <w:jc w:val="both"/>
        <w:rPr>
          <w:rFonts w:ascii="Arial" w:hAnsi="Arial" w:cs="Arial"/>
          <w:sz w:val="20"/>
        </w:rPr>
      </w:pPr>
      <w:r w:rsidRPr="000D1C0A">
        <w:rPr>
          <w:rFonts w:ascii="Arial" w:hAnsi="Arial" w:cs="Arial"/>
          <w:sz w:val="20"/>
        </w:rPr>
        <w:t>use of parachute;</w:t>
      </w:r>
    </w:p>
    <w:p w14:paraId="3D843A44" w14:textId="77777777" w:rsidR="000D1C0A" w:rsidRPr="000D1C0A" w:rsidRDefault="000D1C0A" w:rsidP="00756D59">
      <w:pPr>
        <w:numPr>
          <w:ilvl w:val="0"/>
          <w:numId w:val="144"/>
        </w:numPr>
        <w:spacing w:before="117" w:line="276" w:lineRule="auto"/>
        <w:jc w:val="both"/>
        <w:rPr>
          <w:rFonts w:ascii="Arial" w:hAnsi="Arial" w:cs="Arial"/>
          <w:sz w:val="20"/>
        </w:rPr>
      </w:pPr>
      <w:r w:rsidRPr="000D1C0A">
        <w:rPr>
          <w:rFonts w:ascii="Arial" w:hAnsi="Arial" w:cs="Arial"/>
          <w:sz w:val="20"/>
        </w:rPr>
        <w:t>parachute stall;</w:t>
      </w:r>
    </w:p>
    <w:p w14:paraId="14BC1AAC" w14:textId="77777777" w:rsidR="000D1C0A" w:rsidRPr="000D1C0A" w:rsidRDefault="000D1C0A" w:rsidP="00756D59">
      <w:pPr>
        <w:numPr>
          <w:ilvl w:val="0"/>
          <w:numId w:val="144"/>
        </w:numPr>
        <w:spacing w:before="117" w:line="276" w:lineRule="auto"/>
        <w:jc w:val="both"/>
        <w:rPr>
          <w:rFonts w:ascii="Arial" w:hAnsi="Arial" w:cs="Arial"/>
          <w:sz w:val="20"/>
        </w:rPr>
      </w:pPr>
      <w:r w:rsidRPr="000D1C0A">
        <w:rPr>
          <w:rFonts w:ascii="Arial" w:hAnsi="Arial" w:cs="Arial"/>
          <w:sz w:val="20"/>
        </w:rPr>
        <w:t>cold descent; and</w:t>
      </w:r>
    </w:p>
    <w:p w14:paraId="0F57F568" w14:textId="77777777" w:rsidR="000D1C0A" w:rsidRPr="000D1C0A" w:rsidRDefault="000D1C0A" w:rsidP="00756D59">
      <w:pPr>
        <w:numPr>
          <w:ilvl w:val="0"/>
          <w:numId w:val="144"/>
        </w:numPr>
        <w:spacing w:before="117" w:line="276" w:lineRule="auto"/>
        <w:jc w:val="both"/>
        <w:rPr>
          <w:rFonts w:ascii="Arial" w:hAnsi="Arial" w:cs="Arial"/>
          <w:sz w:val="20"/>
        </w:rPr>
      </w:pPr>
      <w:r w:rsidRPr="000D1C0A">
        <w:rPr>
          <w:rFonts w:ascii="Arial" w:hAnsi="Arial" w:cs="Arial"/>
          <w:sz w:val="20"/>
        </w:rPr>
        <w:t>levelling off at selected altitude.</w:t>
      </w:r>
    </w:p>
    <w:p w14:paraId="3C6E3DBF" w14:textId="77777777" w:rsidR="000D1C0A" w:rsidRPr="000D1C0A" w:rsidRDefault="000D1C0A" w:rsidP="00756D59">
      <w:pPr>
        <w:spacing w:before="117" w:line="276" w:lineRule="auto"/>
        <w:jc w:val="both"/>
        <w:rPr>
          <w:rFonts w:ascii="Arial" w:hAnsi="Arial" w:cs="Arial"/>
          <w:b/>
          <w:bCs/>
          <w:sz w:val="20"/>
        </w:rPr>
      </w:pPr>
      <w:r w:rsidRPr="000D1C0A">
        <w:rPr>
          <w:rFonts w:ascii="Arial" w:hAnsi="Arial" w:cs="Arial"/>
          <w:b/>
          <w:bCs/>
          <w:sz w:val="20"/>
        </w:rPr>
        <w:t>Exercise 10A: Emergencies — systems</w:t>
      </w:r>
    </w:p>
    <w:p w14:paraId="6C438D3E" w14:textId="77777777" w:rsidR="000D1C0A" w:rsidRPr="000D1C0A" w:rsidRDefault="000D1C0A" w:rsidP="00756D59">
      <w:pPr>
        <w:numPr>
          <w:ilvl w:val="0"/>
          <w:numId w:val="143"/>
        </w:numPr>
        <w:spacing w:before="117" w:line="276" w:lineRule="auto"/>
        <w:jc w:val="both"/>
        <w:rPr>
          <w:rFonts w:ascii="Arial" w:hAnsi="Arial" w:cs="Arial"/>
          <w:sz w:val="20"/>
        </w:rPr>
      </w:pPr>
      <w:r w:rsidRPr="000D1C0A">
        <w:rPr>
          <w:rFonts w:ascii="Arial" w:hAnsi="Arial" w:cs="Arial"/>
          <w:sz w:val="20"/>
        </w:rPr>
        <w:t>pilot light failure;</w:t>
      </w:r>
    </w:p>
    <w:p w14:paraId="768E80F3" w14:textId="77777777" w:rsidR="000D1C0A" w:rsidRPr="000D1C0A" w:rsidRDefault="000D1C0A" w:rsidP="00756D59">
      <w:pPr>
        <w:numPr>
          <w:ilvl w:val="0"/>
          <w:numId w:val="143"/>
        </w:numPr>
        <w:spacing w:before="117" w:line="276" w:lineRule="auto"/>
        <w:jc w:val="both"/>
        <w:rPr>
          <w:rFonts w:ascii="Arial" w:hAnsi="Arial" w:cs="Arial"/>
          <w:sz w:val="20"/>
        </w:rPr>
      </w:pPr>
      <w:r w:rsidRPr="000D1C0A">
        <w:rPr>
          <w:rFonts w:ascii="Arial" w:hAnsi="Arial" w:cs="Arial"/>
          <w:sz w:val="20"/>
        </w:rPr>
        <w:t>burner failure, valve leaks, flame out and re-light;</w:t>
      </w:r>
    </w:p>
    <w:p w14:paraId="53F5ED2D" w14:textId="77777777" w:rsidR="000D1C0A" w:rsidRPr="000D1C0A" w:rsidRDefault="000D1C0A" w:rsidP="00756D59">
      <w:pPr>
        <w:numPr>
          <w:ilvl w:val="0"/>
          <w:numId w:val="143"/>
        </w:numPr>
        <w:spacing w:before="117" w:line="276" w:lineRule="auto"/>
        <w:jc w:val="both"/>
        <w:rPr>
          <w:rFonts w:ascii="Arial" w:hAnsi="Arial" w:cs="Arial"/>
          <w:sz w:val="20"/>
        </w:rPr>
      </w:pPr>
      <w:r w:rsidRPr="000D1C0A">
        <w:rPr>
          <w:rFonts w:ascii="Arial" w:hAnsi="Arial" w:cs="Arial"/>
          <w:sz w:val="20"/>
        </w:rPr>
        <w:t>gas leaks;</w:t>
      </w:r>
    </w:p>
    <w:p w14:paraId="1C98BDC7" w14:textId="77777777" w:rsidR="000D1C0A" w:rsidRPr="000D1C0A" w:rsidRDefault="000D1C0A" w:rsidP="00756D59">
      <w:pPr>
        <w:numPr>
          <w:ilvl w:val="0"/>
          <w:numId w:val="143"/>
        </w:numPr>
        <w:spacing w:before="117" w:line="276" w:lineRule="auto"/>
        <w:jc w:val="both"/>
        <w:rPr>
          <w:rFonts w:ascii="Arial" w:hAnsi="Arial" w:cs="Arial"/>
          <w:sz w:val="20"/>
        </w:rPr>
      </w:pPr>
      <w:r w:rsidRPr="000D1C0A">
        <w:rPr>
          <w:rFonts w:ascii="Arial" w:hAnsi="Arial" w:cs="Arial"/>
          <w:sz w:val="20"/>
        </w:rPr>
        <w:t>envelope over temperature;</w:t>
      </w:r>
    </w:p>
    <w:p w14:paraId="2AB53A62" w14:textId="77777777" w:rsidR="000D1C0A" w:rsidRPr="000D1C0A" w:rsidRDefault="000D1C0A" w:rsidP="00756D59">
      <w:pPr>
        <w:numPr>
          <w:ilvl w:val="0"/>
          <w:numId w:val="143"/>
        </w:numPr>
        <w:spacing w:before="117" w:line="276" w:lineRule="auto"/>
        <w:jc w:val="both"/>
        <w:rPr>
          <w:rFonts w:ascii="Arial" w:hAnsi="Arial" w:cs="Arial"/>
          <w:sz w:val="20"/>
        </w:rPr>
      </w:pPr>
      <w:r w:rsidRPr="000D1C0A">
        <w:rPr>
          <w:rFonts w:ascii="Arial" w:hAnsi="Arial" w:cs="Arial"/>
          <w:sz w:val="20"/>
        </w:rPr>
        <w:t>envelope damage in-flight; and</w:t>
      </w:r>
    </w:p>
    <w:p w14:paraId="058D9932" w14:textId="77777777" w:rsidR="000D1C0A" w:rsidRPr="000D1C0A" w:rsidRDefault="000D1C0A" w:rsidP="00756D59">
      <w:pPr>
        <w:numPr>
          <w:ilvl w:val="0"/>
          <w:numId w:val="143"/>
        </w:numPr>
        <w:spacing w:before="117" w:line="276" w:lineRule="auto"/>
        <w:jc w:val="both"/>
        <w:rPr>
          <w:rFonts w:ascii="Arial" w:hAnsi="Arial" w:cs="Arial"/>
          <w:sz w:val="20"/>
        </w:rPr>
      </w:pPr>
      <w:r w:rsidRPr="000D1C0A">
        <w:rPr>
          <w:rFonts w:ascii="Arial" w:hAnsi="Arial" w:cs="Arial"/>
          <w:sz w:val="20"/>
        </w:rPr>
        <w:t>parachute or rapid deflation system failure.</w:t>
      </w:r>
    </w:p>
    <w:p w14:paraId="243AD39B" w14:textId="77777777" w:rsidR="000D1C0A" w:rsidRPr="000D1C0A" w:rsidRDefault="000D1C0A" w:rsidP="00756D59">
      <w:pPr>
        <w:spacing w:before="117" w:line="276" w:lineRule="auto"/>
        <w:jc w:val="both"/>
        <w:rPr>
          <w:rFonts w:ascii="Arial" w:hAnsi="Arial" w:cs="Arial"/>
          <w:b/>
          <w:bCs/>
          <w:sz w:val="20"/>
        </w:rPr>
      </w:pPr>
      <w:r w:rsidRPr="000D1C0A">
        <w:rPr>
          <w:rFonts w:ascii="Arial" w:hAnsi="Arial" w:cs="Arial"/>
          <w:b/>
          <w:bCs/>
          <w:sz w:val="20"/>
        </w:rPr>
        <w:t>Exercise 10B: Other emergencies</w:t>
      </w:r>
    </w:p>
    <w:p w14:paraId="7FD49CDF" w14:textId="77777777" w:rsidR="000D1C0A" w:rsidRPr="000D1C0A" w:rsidRDefault="000D1C0A" w:rsidP="00756D59">
      <w:pPr>
        <w:numPr>
          <w:ilvl w:val="0"/>
          <w:numId w:val="142"/>
        </w:numPr>
        <w:spacing w:before="117" w:line="276" w:lineRule="auto"/>
        <w:jc w:val="both"/>
        <w:rPr>
          <w:rFonts w:ascii="Arial" w:hAnsi="Arial" w:cs="Arial"/>
          <w:sz w:val="20"/>
          <w:szCs w:val="20"/>
        </w:rPr>
      </w:pPr>
      <w:r w:rsidRPr="000D1C0A">
        <w:rPr>
          <w:rFonts w:ascii="Arial" w:hAnsi="Arial" w:cs="Arial"/>
          <w:sz w:val="20"/>
          <w:szCs w:val="20"/>
        </w:rPr>
        <w:lastRenderedPageBreak/>
        <w:t>fire extinguisher;</w:t>
      </w:r>
    </w:p>
    <w:p w14:paraId="1A9326BA" w14:textId="77777777" w:rsidR="000D1C0A" w:rsidRPr="000D1C0A" w:rsidRDefault="000D1C0A" w:rsidP="00756D59">
      <w:pPr>
        <w:numPr>
          <w:ilvl w:val="0"/>
          <w:numId w:val="142"/>
        </w:numPr>
        <w:spacing w:before="117" w:line="276" w:lineRule="auto"/>
        <w:jc w:val="both"/>
        <w:rPr>
          <w:rFonts w:ascii="Arial" w:hAnsi="Arial" w:cs="Arial"/>
          <w:sz w:val="20"/>
          <w:szCs w:val="20"/>
        </w:rPr>
      </w:pPr>
      <w:r w:rsidRPr="000D1C0A">
        <w:rPr>
          <w:rFonts w:ascii="Arial" w:hAnsi="Arial" w:cs="Arial"/>
          <w:sz w:val="20"/>
          <w:szCs w:val="20"/>
        </w:rPr>
        <w:t>fire on ground;</w:t>
      </w:r>
    </w:p>
    <w:p w14:paraId="1A417009" w14:textId="77777777" w:rsidR="000D1C0A" w:rsidRPr="000D1C0A" w:rsidRDefault="000D1C0A" w:rsidP="00756D59">
      <w:pPr>
        <w:pStyle w:val="ListParagraph"/>
        <w:numPr>
          <w:ilvl w:val="0"/>
          <w:numId w:val="142"/>
        </w:numPr>
        <w:tabs>
          <w:tab w:val="left" w:pos="2408"/>
          <w:tab w:val="left" w:pos="2409"/>
        </w:tabs>
        <w:spacing w:before="56"/>
        <w:jc w:val="both"/>
        <w:rPr>
          <w:rFonts w:ascii="Arial" w:hAnsi="Arial" w:cs="Arial"/>
          <w:sz w:val="20"/>
          <w:szCs w:val="20"/>
        </w:rPr>
      </w:pPr>
      <w:r w:rsidRPr="000D1C0A">
        <w:rPr>
          <w:rFonts w:ascii="Arial" w:hAnsi="Arial" w:cs="Arial"/>
          <w:sz w:val="20"/>
          <w:szCs w:val="20"/>
        </w:rPr>
        <w:t>fire in</w:t>
      </w:r>
      <w:r w:rsidRPr="000D1C0A">
        <w:rPr>
          <w:rFonts w:ascii="Arial" w:hAnsi="Arial" w:cs="Arial"/>
          <w:spacing w:val="-1"/>
          <w:sz w:val="20"/>
          <w:szCs w:val="20"/>
        </w:rPr>
        <w:t xml:space="preserve"> </w:t>
      </w:r>
      <w:r w:rsidRPr="000D1C0A">
        <w:rPr>
          <w:rFonts w:ascii="Arial" w:hAnsi="Arial" w:cs="Arial"/>
          <w:sz w:val="20"/>
          <w:szCs w:val="20"/>
        </w:rPr>
        <w:t>the</w:t>
      </w:r>
      <w:r w:rsidRPr="000D1C0A">
        <w:rPr>
          <w:rFonts w:ascii="Arial" w:hAnsi="Arial" w:cs="Arial"/>
          <w:spacing w:val="-2"/>
          <w:sz w:val="20"/>
          <w:szCs w:val="20"/>
        </w:rPr>
        <w:t xml:space="preserve"> </w:t>
      </w:r>
      <w:r w:rsidRPr="000D1C0A">
        <w:rPr>
          <w:rFonts w:ascii="Arial" w:hAnsi="Arial" w:cs="Arial"/>
          <w:sz w:val="20"/>
          <w:szCs w:val="20"/>
        </w:rPr>
        <w:t>air;</w:t>
      </w:r>
    </w:p>
    <w:p w14:paraId="5B73C12A" w14:textId="77777777" w:rsidR="000D1C0A" w:rsidRPr="000D1C0A" w:rsidRDefault="000D1C0A" w:rsidP="00756D59">
      <w:pPr>
        <w:pStyle w:val="ListParagraph"/>
        <w:numPr>
          <w:ilvl w:val="0"/>
          <w:numId w:val="142"/>
        </w:numPr>
        <w:tabs>
          <w:tab w:val="left" w:pos="2408"/>
          <w:tab w:val="left" w:pos="2409"/>
        </w:tabs>
        <w:jc w:val="both"/>
        <w:rPr>
          <w:rFonts w:ascii="Arial" w:hAnsi="Arial" w:cs="Arial"/>
          <w:sz w:val="20"/>
          <w:szCs w:val="20"/>
        </w:rPr>
      </w:pPr>
      <w:r w:rsidRPr="000D1C0A">
        <w:rPr>
          <w:rFonts w:ascii="Arial" w:hAnsi="Arial" w:cs="Arial"/>
          <w:sz w:val="20"/>
          <w:szCs w:val="20"/>
        </w:rPr>
        <w:t>contact</w:t>
      </w:r>
      <w:r w:rsidRPr="000D1C0A">
        <w:rPr>
          <w:rFonts w:ascii="Arial" w:hAnsi="Arial" w:cs="Arial"/>
          <w:spacing w:val="-1"/>
          <w:sz w:val="20"/>
          <w:szCs w:val="20"/>
        </w:rPr>
        <w:t xml:space="preserve"> </w:t>
      </w:r>
      <w:r w:rsidRPr="000D1C0A">
        <w:rPr>
          <w:rFonts w:ascii="Arial" w:hAnsi="Arial" w:cs="Arial"/>
          <w:sz w:val="20"/>
          <w:szCs w:val="20"/>
        </w:rPr>
        <w:t>with</w:t>
      </w:r>
      <w:r w:rsidRPr="000D1C0A">
        <w:rPr>
          <w:rFonts w:ascii="Arial" w:hAnsi="Arial" w:cs="Arial"/>
          <w:spacing w:val="-1"/>
          <w:sz w:val="20"/>
          <w:szCs w:val="20"/>
        </w:rPr>
        <w:t xml:space="preserve"> </w:t>
      </w:r>
      <w:r w:rsidRPr="000D1C0A">
        <w:rPr>
          <w:rFonts w:ascii="Arial" w:hAnsi="Arial" w:cs="Arial"/>
          <w:sz w:val="20"/>
          <w:szCs w:val="20"/>
        </w:rPr>
        <w:t>electrical</w:t>
      </w:r>
      <w:r w:rsidRPr="000D1C0A">
        <w:rPr>
          <w:rFonts w:ascii="Arial" w:hAnsi="Arial" w:cs="Arial"/>
          <w:spacing w:val="-3"/>
          <w:sz w:val="20"/>
          <w:szCs w:val="20"/>
        </w:rPr>
        <w:t xml:space="preserve"> </w:t>
      </w:r>
      <w:r w:rsidRPr="000D1C0A">
        <w:rPr>
          <w:rFonts w:ascii="Arial" w:hAnsi="Arial" w:cs="Arial"/>
          <w:sz w:val="20"/>
          <w:szCs w:val="20"/>
        </w:rPr>
        <w:t>power</w:t>
      </w:r>
      <w:r w:rsidRPr="000D1C0A">
        <w:rPr>
          <w:rFonts w:ascii="Arial" w:hAnsi="Arial" w:cs="Arial"/>
          <w:spacing w:val="-1"/>
          <w:sz w:val="20"/>
          <w:szCs w:val="20"/>
        </w:rPr>
        <w:t xml:space="preserve"> </w:t>
      </w:r>
      <w:r w:rsidRPr="000D1C0A">
        <w:rPr>
          <w:rFonts w:ascii="Arial" w:hAnsi="Arial" w:cs="Arial"/>
          <w:sz w:val="20"/>
          <w:szCs w:val="20"/>
        </w:rPr>
        <w:t>lines;</w:t>
      </w:r>
    </w:p>
    <w:p w14:paraId="02C6556F" w14:textId="77777777" w:rsidR="000D1C0A" w:rsidRPr="000D1C0A" w:rsidRDefault="000D1C0A" w:rsidP="00756D59">
      <w:pPr>
        <w:pStyle w:val="ListParagraph"/>
        <w:numPr>
          <w:ilvl w:val="0"/>
          <w:numId w:val="142"/>
        </w:numPr>
        <w:tabs>
          <w:tab w:val="left" w:pos="2408"/>
          <w:tab w:val="left" w:pos="2409"/>
        </w:tabs>
        <w:spacing w:before="121"/>
        <w:jc w:val="both"/>
        <w:rPr>
          <w:rFonts w:ascii="Arial" w:hAnsi="Arial" w:cs="Arial"/>
          <w:sz w:val="20"/>
          <w:szCs w:val="20"/>
        </w:rPr>
      </w:pPr>
      <w:r w:rsidRPr="000D1C0A">
        <w:rPr>
          <w:rFonts w:ascii="Arial" w:hAnsi="Arial" w:cs="Arial"/>
          <w:sz w:val="20"/>
          <w:szCs w:val="20"/>
        </w:rPr>
        <w:t>obstacle</w:t>
      </w:r>
      <w:r w:rsidRPr="000D1C0A">
        <w:rPr>
          <w:rFonts w:ascii="Arial" w:hAnsi="Arial" w:cs="Arial"/>
          <w:spacing w:val="-1"/>
          <w:sz w:val="20"/>
          <w:szCs w:val="20"/>
        </w:rPr>
        <w:t xml:space="preserve"> </w:t>
      </w:r>
      <w:r w:rsidRPr="000D1C0A">
        <w:rPr>
          <w:rFonts w:ascii="Arial" w:hAnsi="Arial" w:cs="Arial"/>
          <w:sz w:val="20"/>
          <w:szCs w:val="20"/>
        </w:rPr>
        <w:t>avoidance;</w:t>
      </w:r>
      <w:r w:rsidRPr="000D1C0A">
        <w:rPr>
          <w:rFonts w:ascii="Arial" w:hAnsi="Arial" w:cs="Arial"/>
          <w:spacing w:val="-1"/>
          <w:sz w:val="20"/>
          <w:szCs w:val="20"/>
        </w:rPr>
        <w:t xml:space="preserve"> </w:t>
      </w:r>
      <w:r w:rsidRPr="000D1C0A">
        <w:rPr>
          <w:rFonts w:ascii="Arial" w:hAnsi="Arial" w:cs="Arial"/>
          <w:sz w:val="20"/>
          <w:szCs w:val="20"/>
        </w:rPr>
        <w:t>and</w:t>
      </w:r>
    </w:p>
    <w:p w14:paraId="0DC82964" w14:textId="77777777" w:rsidR="000D1C0A" w:rsidRPr="000D1C0A" w:rsidRDefault="000D1C0A" w:rsidP="00756D59">
      <w:pPr>
        <w:pStyle w:val="ListParagraph"/>
        <w:numPr>
          <w:ilvl w:val="0"/>
          <w:numId w:val="142"/>
        </w:numPr>
        <w:tabs>
          <w:tab w:val="left" w:pos="2408"/>
          <w:tab w:val="left" w:pos="2409"/>
        </w:tabs>
        <w:jc w:val="both"/>
        <w:rPr>
          <w:rFonts w:ascii="Arial" w:hAnsi="Arial" w:cs="Arial"/>
          <w:sz w:val="20"/>
          <w:szCs w:val="20"/>
        </w:rPr>
      </w:pPr>
      <w:r w:rsidRPr="000D1C0A">
        <w:rPr>
          <w:rFonts w:ascii="Arial" w:hAnsi="Arial" w:cs="Arial"/>
          <w:sz w:val="20"/>
          <w:szCs w:val="20"/>
        </w:rPr>
        <w:t>escape drills,</w:t>
      </w:r>
      <w:r w:rsidRPr="000D1C0A">
        <w:rPr>
          <w:rFonts w:ascii="Arial" w:hAnsi="Arial" w:cs="Arial"/>
          <w:spacing w:val="-3"/>
          <w:sz w:val="20"/>
          <w:szCs w:val="20"/>
        </w:rPr>
        <w:t xml:space="preserve"> </w:t>
      </w:r>
      <w:r w:rsidRPr="000D1C0A">
        <w:rPr>
          <w:rFonts w:ascii="Arial" w:hAnsi="Arial" w:cs="Arial"/>
          <w:sz w:val="20"/>
          <w:szCs w:val="20"/>
        </w:rPr>
        <w:t>location</w:t>
      </w:r>
      <w:r w:rsidRPr="000D1C0A">
        <w:rPr>
          <w:rFonts w:ascii="Arial" w:hAnsi="Arial" w:cs="Arial"/>
          <w:spacing w:val="-1"/>
          <w:sz w:val="20"/>
          <w:szCs w:val="20"/>
        </w:rPr>
        <w:t xml:space="preserve"> </w:t>
      </w:r>
      <w:r w:rsidRPr="000D1C0A">
        <w:rPr>
          <w:rFonts w:ascii="Arial" w:hAnsi="Arial" w:cs="Arial"/>
          <w:sz w:val="20"/>
          <w:szCs w:val="20"/>
        </w:rPr>
        <w:t>and</w:t>
      </w:r>
      <w:r w:rsidRPr="000D1C0A">
        <w:rPr>
          <w:rFonts w:ascii="Arial" w:hAnsi="Arial" w:cs="Arial"/>
          <w:spacing w:val="-3"/>
          <w:sz w:val="20"/>
          <w:szCs w:val="20"/>
        </w:rPr>
        <w:t xml:space="preserve"> </w:t>
      </w:r>
      <w:r w:rsidRPr="000D1C0A">
        <w:rPr>
          <w:rFonts w:ascii="Arial" w:hAnsi="Arial" w:cs="Arial"/>
          <w:sz w:val="20"/>
          <w:szCs w:val="20"/>
        </w:rPr>
        <w:t>use of</w:t>
      </w:r>
      <w:r w:rsidRPr="000D1C0A">
        <w:rPr>
          <w:rFonts w:ascii="Arial" w:hAnsi="Arial" w:cs="Arial"/>
          <w:spacing w:val="-3"/>
          <w:sz w:val="20"/>
          <w:szCs w:val="20"/>
        </w:rPr>
        <w:t xml:space="preserve"> </w:t>
      </w:r>
      <w:r w:rsidRPr="000D1C0A">
        <w:rPr>
          <w:rFonts w:ascii="Arial" w:hAnsi="Arial" w:cs="Arial"/>
          <w:sz w:val="20"/>
          <w:szCs w:val="20"/>
        </w:rPr>
        <w:t>emergency</w:t>
      </w:r>
      <w:r w:rsidRPr="000D1C0A">
        <w:rPr>
          <w:rFonts w:ascii="Arial" w:hAnsi="Arial" w:cs="Arial"/>
          <w:spacing w:val="-2"/>
          <w:sz w:val="20"/>
          <w:szCs w:val="20"/>
        </w:rPr>
        <w:t xml:space="preserve"> </w:t>
      </w:r>
      <w:r w:rsidRPr="000D1C0A">
        <w:rPr>
          <w:rFonts w:ascii="Arial" w:hAnsi="Arial" w:cs="Arial"/>
          <w:sz w:val="20"/>
          <w:szCs w:val="20"/>
        </w:rPr>
        <w:t>equipment.</w:t>
      </w:r>
    </w:p>
    <w:p w14:paraId="52E89F4C" w14:textId="77777777" w:rsidR="000D1C0A" w:rsidRPr="000D1C0A" w:rsidRDefault="000D1C0A" w:rsidP="00756D59">
      <w:pPr>
        <w:spacing w:before="117" w:line="276" w:lineRule="auto"/>
        <w:jc w:val="both"/>
        <w:rPr>
          <w:rFonts w:ascii="Arial" w:hAnsi="Arial" w:cs="Arial"/>
          <w:b/>
          <w:bCs/>
          <w:sz w:val="20"/>
          <w:szCs w:val="20"/>
        </w:rPr>
      </w:pPr>
      <w:r w:rsidRPr="000D1C0A">
        <w:rPr>
          <w:rFonts w:ascii="Arial" w:hAnsi="Arial" w:cs="Arial"/>
          <w:b/>
          <w:bCs/>
          <w:sz w:val="20"/>
          <w:szCs w:val="20"/>
        </w:rPr>
        <w:t>Exercise 11: Navigation</w:t>
      </w:r>
    </w:p>
    <w:p w14:paraId="4133F968" w14:textId="77777777" w:rsidR="000D1C0A" w:rsidRPr="000D1C0A" w:rsidRDefault="000D1C0A" w:rsidP="00756D59">
      <w:pPr>
        <w:pStyle w:val="ListParagraph"/>
        <w:numPr>
          <w:ilvl w:val="0"/>
          <w:numId w:val="149"/>
        </w:numPr>
        <w:tabs>
          <w:tab w:val="left" w:pos="2408"/>
          <w:tab w:val="left" w:pos="2409"/>
        </w:tabs>
        <w:spacing w:before="118"/>
        <w:jc w:val="both"/>
        <w:rPr>
          <w:rFonts w:ascii="Arial" w:hAnsi="Arial" w:cs="Arial"/>
          <w:sz w:val="20"/>
          <w:szCs w:val="20"/>
        </w:rPr>
      </w:pPr>
      <w:r w:rsidRPr="000D1C0A">
        <w:rPr>
          <w:rFonts w:ascii="Arial" w:hAnsi="Arial" w:cs="Arial"/>
          <w:sz w:val="20"/>
          <w:szCs w:val="20"/>
        </w:rPr>
        <w:t>maps selection;</w:t>
      </w:r>
    </w:p>
    <w:p w14:paraId="01F3D99C" w14:textId="77777777" w:rsidR="000D1C0A" w:rsidRPr="000D1C0A" w:rsidRDefault="000D1C0A" w:rsidP="00756D59">
      <w:pPr>
        <w:pStyle w:val="ListParagraph"/>
        <w:numPr>
          <w:ilvl w:val="0"/>
          <w:numId w:val="149"/>
        </w:numPr>
        <w:tabs>
          <w:tab w:val="left" w:pos="2408"/>
          <w:tab w:val="left" w:pos="2409"/>
        </w:tabs>
        <w:jc w:val="both"/>
        <w:rPr>
          <w:rFonts w:ascii="Arial" w:hAnsi="Arial" w:cs="Arial"/>
          <w:sz w:val="20"/>
          <w:szCs w:val="20"/>
        </w:rPr>
      </w:pPr>
      <w:r w:rsidRPr="000D1C0A">
        <w:rPr>
          <w:rFonts w:ascii="Arial" w:hAnsi="Arial" w:cs="Arial"/>
          <w:sz w:val="20"/>
          <w:szCs w:val="20"/>
        </w:rPr>
        <w:t>plotting</w:t>
      </w:r>
      <w:r w:rsidRPr="000D1C0A">
        <w:rPr>
          <w:rFonts w:ascii="Arial" w:hAnsi="Arial" w:cs="Arial"/>
          <w:spacing w:val="-3"/>
          <w:sz w:val="20"/>
          <w:szCs w:val="20"/>
        </w:rPr>
        <w:t xml:space="preserve"> </w:t>
      </w:r>
      <w:r w:rsidRPr="000D1C0A">
        <w:rPr>
          <w:rFonts w:ascii="Arial" w:hAnsi="Arial" w:cs="Arial"/>
          <w:sz w:val="20"/>
          <w:szCs w:val="20"/>
        </w:rPr>
        <w:t>expected</w:t>
      </w:r>
      <w:r w:rsidRPr="000D1C0A">
        <w:rPr>
          <w:rFonts w:ascii="Arial" w:hAnsi="Arial" w:cs="Arial"/>
          <w:spacing w:val="-2"/>
          <w:sz w:val="20"/>
          <w:szCs w:val="20"/>
        </w:rPr>
        <w:t xml:space="preserve"> </w:t>
      </w:r>
      <w:r w:rsidRPr="000D1C0A">
        <w:rPr>
          <w:rFonts w:ascii="Arial" w:hAnsi="Arial" w:cs="Arial"/>
          <w:sz w:val="20"/>
          <w:szCs w:val="20"/>
        </w:rPr>
        <w:t>track;</w:t>
      </w:r>
    </w:p>
    <w:p w14:paraId="02EFEC73" w14:textId="77777777" w:rsidR="000D1C0A" w:rsidRPr="000D1C0A" w:rsidRDefault="000D1C0A" w:rsidP="00756D59">
      <w:pPr>
        <w:pStyle w:val="ListParagraph"/>
        <w:numPr>
          <w:ilvl w:val="0"/>
          <w:numId w:val="149"/>
        </w:numPr>
        <w:tabs>
          <w:tab w:val="left" w:pos="2408"/>
          <w:tab w:val="left" w:pos="2409"/>
        </w:tabs>
        <w:jc w:val="both"/>
        <w:rPr>
          <w:rFonts w:ascii="Arial" w:hAnsi="Arial" w:cs="Arial"/>
          <w:sz w:val="20"/>
          <w:szCs w:val="20"/>
        </w:rPr>
      </w:pPr>
      <w:r w:rsidRPr="000D1C0A">
        <w:rPr>
          <w:rFonts w:ascii="Arial" w:hAnsi="Arial" w:cs="Arial"/>
          <w:sz w:val="20"/>
          <w:szCs w:val="20"/>
        </w:rPr>
        <w:t>marking</w:t>
      </w:r>
      <w:r w:rsidRPr="000D1C0A">
        <w:rPr>
          <w:rFonts w:ascii="Arial" w:hAnsi="Arial" w:cs="Arial"/>
          <w:spacing w:val="-3"/>
          <w:sz w:val="20"/>
          <w:szCs w:val="20"/>
        </w:rPr>
        <w:t xml:space="preserve"> </w:t>
      </w:r>
      <w:r w:rsidRPr="000D1C0A">
        <w:rPr>
          <w:rFonts w:ascii="Arial" w:hAnsi="Arial" w:cs="Arial"/>
          <w:sz w:val="20"/>
          <w:szCs w:val="20"/>
        </w:rPr>
        <w:t>positions</w:t>
      </w:r>
      <w:r w:rsidRPr="000D1C0A">
        <w:rPr>
          <w:rFonts w:ascii="Arial" w:hAnsi="Arial" w:cs="Arial"/>
          <w:spacing w:val="-1"/>
          <w:sz w:val="20"/>
          <w:szCs w:val="20"/>
        </w:rPr>
        <w:t xml:space="preserve"> </w:t>
      </w:r>
      <w:r w:rsidRPr="000D1C0A">
        <w:rPr>
          <w:rFonts w:ascii="Arial" w:hAnsi="Arial" w:cs="Arial"/>
          <w:sz w:val="20"/>
          <w:szCs w:val="20"/>
        </w:rPr>
        <w:t>and</w:t>
      </w:r>
      <w:r w:rsidRPr="000D1C0A">
        <w:rPr>
          <w:rFonts w:ascii="Arial" w:hAnsi="Arial" w:cs="Arial"/>
          <w:spacing w:val="-3"/>
          <w:sz w:val="20"/>
          <w:szCs w:val="20"/>
        </w:rPr>
        <w:t xml:space="preserve"> </w:t>
      </w:r>
      <w:r w:rsidRPr="000D1C0A">
        <w:rPr>
          <w:rFonts w:ascii="Arial" w:hAnsi="Arial" w:cs="Arial"/>
          <w:sz w:val="20"/>
          <w:szCs w:val="20"/>
        </w:rPr>
        <w:t>time;</w:t>
      </w:r>
    </w:p>
    <w:p w14:paraId="494EA2CA" w14:textId="77777777" w:rsidR="000D1C0A" w:rsidRPr="000D1C0A" w:rsidRDefault="000D1C0A" w:rsidP="00756D59">
      <w:pPr>
        <w:pStyle w:val="ListParagraph"/>
        <w:numPr>
          <w:ilvl w:val="0"/>
          <w:numId w:val="149"/>
        </w:numPr>
        <w:tabs>
          <w:tab w:val="left" w:pos="2408"/>
          <w:tab w:val="left" w:pos="2409"/>
        </w:tabs>
        <w:spacing w:before="121"/>
        <w:jc w:val="both"/>
        <w:rPr>
          <w:rFonts w:ascii="Arial" w:hAnsi="Arial" w:cs="Arial"/>
          <w:sz w:val="20"/>
          <w:szCs w:val="20"/>
        </w:rPr>
      </w:pPr>
      <w:r w:rsidRPr="000D1C0A">
        <w:rPr>
          <w:rFonts w:ascii="Arial" w:hAnsi="Arial" w:cs="Arial"/>
          <w:sz w:val="20"/>
          <w:szCs w:val="20"/>
        </w:rPr>
        <w:t>calculation</w:t>
      </w:r>
      <w:r w:rsidRPr="000D1C0A">
        <w:rPr>
          <w:rFonts w:ascii="Arial" w:hAnsi="Arial" w:cs="Arial"/>
          <w:spacing w:val="-5"/>
          <w:sz w:val="20"/>
          <w:szCs w:val="20"/>
        </w:rPr>
        <w:t xml:space="preserve"> </w:t>
      </w:r>
      <w:r w:rsidRPr="000D1C0A">
        <w:rPr>
          <w:rFonts w:ascii="Arial" w:hAnsi="Arial" w:cs="Arial"/>
          <w:sz w:val="20"/>
          <w:szCs w:val="20"/>
        </w:rPr>
        <w:t>of</w:t>
      </w:r>
      <w:r w:rsidRPr="000D1C0A">
        <w:rPr>
          <w:rFonts w:ascii="Arial" w:hAnsi="Arial" w:cs="Arial"/>
          <w:spacing w:val="-1"/>
          <w:sz w:val="20"/>
          <w:szCs w:val="20"/>
        </w:rPr>
        <w:t xml:space="preserve"> </w:t>
      </w:r>
      <w:r w:rsidRPr="000D1C0A">
        <w:rPr>
          <w:rFonts w:ascii="Arial" w:hAnsi="Arial" w:cs="Arial"/>
          <w:sz w:val="20"/>
          <w:szCs w:val="20"/>
        </w:rPr>
        <w:t>distance,</w:t>
      </w:r>
      <w:r w:rsidRPr="000D1C0A">
        <w:rPr>
          <w:rFonts w:ascii="Arial" w:hAnsi="Arial" w:cs="Arial"/>
          <w:spacing w:val="-4"/>
          <w:sz w:val="20"/>
          <w:szCs w:val="20"/>
        </w:rPr>
        <w:t xml:space="preserve"> </w:t>
      </w:r>
      <w:r w:rsidRPr="000D1C0A">
        <w:rPr>
          <w:rFonts w:ascii="Arial" w:hAnsi="Arial" w:cs="Arial"/>
          <w:sz w:val="20"/>
          <w:szCs w:val="20"/>
        </w:rPr>
        <w:t>speed</w:t>
      </w:r>
      <w:r w:rsidRPr="000D1C0A">
        <w:rPr>
          <w:rFonts w:ascii="Arial" w:hAnsi="Arial" w:cs="Arial"/>
          <w:spacing w:val="-2"/>
          <w:sz w:val="20"/>
          <w:szCs w:val="20"/>
        </w:rPr>
        <w:t xml:space="preserve"> </w:t>
      </w:r>
      <w:r w:rsidRPr="000D1C0A">
        <w:rPr>
          <w:rFonts w:ascii="Arial" w:hAnsi="Arial" w:cs="Arial"/>
          <w:sz w:val="20"/>
          <w:szCs w:val="20"/>
        </w:rPr>
        <w:t>and</w:t>
      </w:r>
      <w:r w:rsidRPr="000D1C0A">
        <w:rPr>
          <w:rFonts w:ascii="Arial" w:hAnsi="Arial" w:cs="Arial"/>
          <w:spacing w:val="-3"/>
          <w:sz w:val="20"/>
          <w:szCs w:val="20"/>
        </w:rPr>
        <w:t xml:space="preserve"> </w:t>
      </w:r>
      <w:r w:rsidRPr="000D1C0A">
        <w:rPr>
          <w:rFonts w:ascii="Arial" w:hAnsi="Arial" w:cs="Arial"/>
          <w:sz w:val="20"/>
          <w:szCs w:val="20"/>
        </w:rPr>
        <w:t>fuel</w:t>
      </w:r>
      <w:r w:rsidRPr="000D1C0A">
        <w:rPr>
          <w:rFonts w:ascii="Arial" w:hAnsi="Arial" w:cs="Arial"/>
          <w:spacing w:val="-1"/>
          <w:sz w:val="20"/>
          <w:szCs w:val="20"/>
        </w:rPr>
        <w:t xml:space="preserve"> </w:t>
      </w:r>
      <w:r w:rsidRPr="000D1C0A">
        <w:rPr>
          <w:rFonts w:ascii="Arial" w:hAnsi="Arial" w:cs="Arial"/>
          <w:sz w:val="20"/>
          <w:szCs w:val="20"/>
        </w:rPr>
        <w:t>consumption;</w:t>
      </w:r>
    </w:p>
    <w:p w14:paraId="68C7F3E5" w14:textId="77777777" w:rsidR="000D1C0A" w:rsidRPr="000D1C0A" w:rsidRDefault="000D1C0A" w:rsidP="00756D59">
      <w:pPr>
        <w:pStyle w:val="ListParagraph"/>
        <w:numPr>
          <w:ilvl w:val="0"/>
          <w:numId w:val="149"/>
        </w:numPr>
        <w:tabs>
          <w:tab w:val="left" w:pos="2408"/>
          <w:tab w:val="left" w:pos="2409"/>
        </w:tabs>
        <w:jc w:val="both"/>
        <w:rPr>
          <w:rFonts w:ascii="Arial" w:hAnsi="Arial" w:cs="Arial"/>
          <w:sz w:val="20"/>
          <w:szCs w:val="20"/>
        </w:rPr>
      </w:pPr>
      <w:r w:rsidRPr="000D1C0A">
        <w:rPr>
          <w:rFonts w:ascii="Arial" w:hAnsi="Arial" w:cs="Arial"/>
          <w:sz w:val="20"/>
          <w:szCs w:val="20"/>
        </w:rPr>
        <w:t>ceiling</w:t>
      </w:r>
      <w:r w:rsidRPr="000D1C0A">
        <w:rPr>
          <w:rFonts w:ascii="Arial" w:hAnsi="Arial" w:cs="Arial"/>
          <w:spacing w:val="-2"/>
          <w:sz w:val="20"/>
          <w:szCs w:val="20"/>
        </w:rPr>
        <w:t xml:space="preserve"> </w:t>
      </w:r>
      <w:r w:rsidRPr="000D1C0A">
        <w:rPr>
          <w:rFonts w:ascii="Arial" w:hAnsi="Arial" w:cs="Arial"/>
          <w:sz w:val="20"/>
          <w:szCs w:val="20"/>
        </w:rPr>
        <w:t>limitations</w:t>
      </w:r>
      <w:r w:rsidRPr="000D1C0A">
        <w:rPr>
          <w:rFonts w:ascii="Arial" w:hAnsi="Arial" w:cs="Arial"/>
          <w:spacing w:val="-4"/>
          <w:sz w:val="20"/>
          <w:szCs w:val="20"/>
        </w:rPr>
        <w:t xml:space="preserve"> </w:t>
      </w:r>
      <w:r w:rsidRPr="000D1C0A">
        <w:rPr>
          <w:rFonts w:ascii="Arial" w:hAnsi="Arial" w:cs="Arial"/>
          <w:sz w:val="20"/>
          <w:szCs w:val="20"/>
        </w:rPr>
        <w:t>(ATC,</w:t>
      </w:r>
      <w:r w:rsidRPr="000D1C0A">
        <w:rPr>
          <w:rFonts w:ascii="Arial" w:hAnsi="Arial" w:cs="Arial"/>
          <w:spacing w:val="-4"/>
          <w:sz w:val="20"/>
          <w:szCs w:val="20"/>
        </w:rPr>
        <w:t xml:space="preserve"> </w:t>
      </w:r>
      <w:r w:rsidRPr="000D1C0A">
        <w:rPr>
          <w:rFonts w:ascii="Arial" w:hAnsi="Arial" w:cs="Arial"/>
          <w:sz w:val="20"/>
          <w:szCs w:val="20"/>
        </w:rPr>
        <w:t>weather</w:t>
      </w:r>
      <w:r w:rsidRPr="000D1C0A">
        <w:rPr>
          <w:rFonts w:ascii="Arial" w:hAnsi="Arial" w:cs="Arial"/>
          <w:spacing w:val="-1"/>
          <w:sz w:val="20"/>
          <w:szCs w:val="20"/>
        </w:rPr>
        <w:t xml:space="preserve"> </w:t>
      </w:r>
      <w:r w:rsidRPr="000D1C0A">
        <w:rPr>
          <w:rFonts w:ascii="Arial" w:hAnsi="Arial" w:cs="Arial"/>
          <w:sz w:val="20"/>
          <w:szCs w:val="20"/>
        </w:rPr>
        <w:t>and</w:t>
      </w:r>
      <w:r w:rsidRPr="000D1C0A">
        <w:rPr>
          <w:rFonts w:ascii="Arial" w:hAnsi="Arial" w:cs="Arial"/>
          <w:spacing w:val="-3"/>
          <w:sz w:val="20"/>
          <w:szCs w:val="20"/>
        </w:rPr>
        <w:t xml:space="preserve"> </w:t>
      </w:r>
      <w:r w:rsidRPr="000D1C0A">
        <w:rPr>
          <w:rFonts w:ascii="Arial" w:hAnsi="Arial" w:cs="Arial"/>
          <w:sz w:val="20"/>
          <w:szCs w:val="20"/>
        </w:rPr>
        <w:t>envelope</w:t>
      </w:r>
      <w:r w:rsidRPr="000D1C0A">
        <w:rPr>
          <w:rFonts w:ascii="Arial" w:hAnsi="Arial" w:cs="Arial"/>
          <w:spacing w:val="-3"/>
          <w:sz w:val="20"/>
          <w:szCs w:val="20"/>
        </w:rPr>
        <w:t xml:space="preserve"> </w:t>
      </w:r>
      <w:r w:rsidRPr="000D1C0A">
        <w:rPr>
          <w:rFonts w:ascii="Arial" w:hAnsi="Arial" w:cs="Arial"/>
          <w:sz w:val="20"/>
          <w:szCs w:val="20"/>
        </w:rPr>
        <w:t>temperature);</w:t>
      </w:r>
    </w:p>
    <w:p w14:paraId="59E48C8E" w14:textId="77777777" w:rsidR="000D1C0A" w:rsidRPr="000D1C0A" w:rsidRDefault="000D1C0A" w:rsidP="00756D59">
      <w:pPr>
        <w:pStyle w:val="ListParagraph"/>
        <w:numPr>
          <w:ilvl w:val="0"/>
          <w:numId w:val="149"/>
        </w:numPr>
        <w:tabs>
          <w:tab w:val="left" w:pos="2408"/>
          <w:tab w:val="left" w:pos="2409"/>
        </w:tabs>
        <w:spacing w:before="121"/>
        <w:jc w:val="both"/>
        <w:rPr>
          <w:rFonts w:ascii="Arial" w:hAnsi="Arial" w:cs="Arial"/>
          <w:sz w:val="20"/>
          <w:szCs w:val="20"/>
        </w:rPr>
      </w:pPr>
      <w:r w:rsidRPr="000D1C0A">
        <w:rPr>
          <w:rFonts w:ascii="Arial" w:hAnsi="Arial" w:cs="Arial"/>
          <w:sz w:val="20"/>
          <w:szCs w:val="20"/>
        </w:rPr>
        <w:t>planning</w:t>
      </w:r>
      <w:r w:rsidRPr="000D1C0A">
        <w:rPr>
          <w:rFonts w:ascii="Arial" w:hAnsi="Arial" w:cs="Arial"/>
          <w:spacing w:val="-2"/>
          <w:sz w:val="20"/>
          <w:szCs w:val="20"/>
        </w:rPr>
        <w:t xml:space="preserve"> </w:t>
      </w:r>
      <w:r w:rsidRPr="000D1C0A">
        <w:rPr>
          <w:rFonts w:ascii="Arial" w:hAnsi="Arial" w:cs="Arial"/>
          <w:sz w:val="20"/>
          <w:szCs w:val="20"/>
        </w:rPr>
        <w:t>ahead;</w:t>
      </w:r>
    </w:p>
    <w:p w14:paraId="2FF100CC" w14:textId="77777777" w:rsidR="000D1C0A" w:rsidRPr="000D1C0A" w:rsidRDefault="000D1C0A" w:rsidP="00756D59">
      <w:pPr>
        <w:pStyle w:val="ListParagraph"/>
        <w:numPr>
          <w:ilvl w:val="0"/>
          <w:numId w:val="149"/>
        </w:numPr>
        <w:tabs>
          <w:tab w:val="left" w:pos="2408"/>
          <w:tab w:val="left" w:pos="2409"/>
        </w:tabs>
        <w:jc w:val="both"/>
        <w:rPr>
          <w:rFonts w:ascii="Arial" w:hAnsi="Arial" w:cs="Arial"/>
          <w:sz w:val="20"/>
          <w:szCs w:val="20"/>
        </w:rPr>
      </w:pPr>
      <w:r w:rsidRPr="000D1C0A">
        <w:rPr>
          <w:rFonts w:ascii="Arial" w:hAnsi="Arial" w:cs="Arial"/>
          <w:sz w:val="20"/>
          <w:szCs w:val="20"/>
        </w:rPr>
        <w:t>monitoring</w:t>
      </w:r>
      <w:r w:rsidRPr="000D1C0A">
        <w:rPr>
          <w:rFonts w:ascii="Arial" w:hAnsi="Arial" w:cs="Arial"/>
          <w:spacing w:val="-5"/>
          <w:sz w:val="20"/>
          <w:szCs w:val="20"/>
        </w:rPr>
        <w:t xml:space="preserve"> </w:t>
      </w:r>
      <w:r w:rsidRPr="000D1C0A">
        <w:rPr>
          <w:rFonts w:ascii="Arial" w:hAnsi="Arial" w:cs="Arial"/>
          <w:sz w:val="20"/>
          <w:szCs w:val="20"/>
        </w:rPr>
        <w:t>of</w:t>
      </w:r>
      <w:r w:rsidRPr="000D1C0A">
        <w:rPr>
          <w:rFonts w:ascii="Arial" w:hAnsi="Arial" w:cs="Arial"/>
          <w:spacing w:val="-4"/>
          <w:sz w:val="20"/>
          <w:szCs w:val="20"/>
        </w:rPr>
        <w:t xml:space="preserve"> </w:t>
      </w:r>
      <w:r w:rsidRPr="000D1C0A">
        <w:rPr>
          <w:rFonts w:ascii="Arial" w:hAnsi="Arial" w:cs="Arial"/>
          <w:sz w:val="20"/>
          <w:szCs w:val="20"/>
        </w:rPr>
        <w:t>weather</w:t>
      </w:r>
      <w:r w:rsidRPr="000D1C0A">
        <w:rPr>
          <w:rFonts w:ascii="Arial" w:hAnsi="Arial" w:cs="Arial"/>
          <w:spacing w:val="-2"/>
          <w:sz w:val="20"/>
          <w:szCs w:val="20"/>
        </w:rPr>
        <w:t xml:space="preserve"> </w:t>
      </w:r>
      <w:r w:rsidRPr="000D1C0A">
        <w:rPr>
          <w:rFonts w:ascii="Arial" w:hAnsi="Arial" w:cs="Arial"/>
          <w:sz w:val="20"/>
          <w:szCs w:val="20"/>
        </w:rPr>
        <w:t>development</w:t>
      </w:r>
      <w:r w:rsidRPr="000D1C0A">
        <w:rPr>
          <w:rFonts w:ascii="Arial" w:hAnsi="Arial" w:cs="Arial"/>
          <w:spacing w:val="-2"/>
          <w:sz w:val="20"/>
          <w:szCs w:val="20"/>
        </w:rPr>
        <w:t xml:space="preserve"> </w:t>
      </w:r>
      <w:r w:rsidRPr="000D1C0A">
        <w:rPr>
          <w:rFonts w:ascii="Arial" w:hAnsi="Arial" w:cs="Arial"/>
          <w:sz w:val="20"/>
          <w:szCs w:val="20"/>
        </w:rPr>
        <w:t>and</w:t>
      </w:r>
      <w:r w:rsidRPr="000D1C0A">
        <w:rPr>
          <w:rFonts w:ascii="Arial" w:hAnsi="Arial" w:cs="Arial"/>
          <w:spacing w:val="-3"/>
          <w:sz w:val="20"/>
          <w:szCs w:val="20"/>
        </w:rPr>
        <w:t xml:space="preserve"> </w:t>
      </w:r>
      <w:r w:rsidRPr="000D1C0A">
        <w:rPr>
          <w:rFonts w:ascii="Arial" w:hAnsi="Arial" w:cs="Arial"/>
          <w:sz w:val="20"/>
          <w:szCs w:val="20"/>
        </w:rPr>
        <w:t>related</w:t>
      </w:r>
      <w:r w:rsidRPr="000D1C0A">
        <w:rPr>
          <w:rFonts w:ascii="Arial" w:hAnsi="Arial" w:cs="Arial"/>
          <w:spacing w:val="-2"/>
          <w:sz w:val="20"/>
          <w:szCs w:val="20"/>
        </w:rPr>
        <w:t xml:space="preserve"> </w:t>
      </w:r>
      <w:r w:rsidRPr="000D1C0A">
        <w:rPr>
          <w:rFonts w:ascii="Arial" w:hAnsi="Arial" w:cs="Arial"/>
          <w:sz w:val="20"/>
          <w:szCs w:val="20"/>
        </w:rPr>
        <w:t>decision-making/acting;</w:t>
      </w:r>
    </w:p>
    <w:p w14:paraId="4BB86A73" w14:textId="77777777" w:rsidR="000D1C0A" w:rsidRPr="000D1C0A" w:rsidRDefault="000D1C0A" w:rsidP="00756D59">
      <w:pPr>
        <w:pStyle w:val="ListParagraph"/>
        <w:numPr>
          <w:ilvl w:val="0"/>
          <w:numId w:val="149"/>
        </w:numPr>
        <w:tabs>
          <w:tab w:val="left" w:pos="2409"/>
        </w:tabs>
        <w:jc w:val="both"/>
        <w:rPr>
          <w:rFonts w:ascii="Arial" w:hAnsi="Arial" w:cs="Arial"/>
          <w:sz w:val="20"/>
          <w:szCs w:val="20"/>
        </w:rPr>
      </w:pPr>
      <w:r w:rsidRPr="000D1C0A">
        <w:rPr>
          <w:rFonts w:ascii="Arial" w:hAnsi="Arial" w:cs="Arial"/>
          <w:sz w:val="20"/>
          <w:szCs w:val="20"/>
        </w:rPr>
        <w:t>monitoring</w:t>
      </w:r>
      <w:r w:rsidRPr="000D1C0A">
        <w:rPr>
          <w:rFonts w:ascii="Arial" w:hAnsi="Arial" w:cs="Arial"/>
          <w:spacing w:val="-5"/>
          <w:sz w:val="20"/>
          <w:szCs w:val="20"/>
        </w:rPr>
        <w:t xml:space="preserve"> </w:t>
      </w:r>
      <w:r w:rsidRPr="000D1C0A">
        <w:rPr>
          <w:rFonts w:ascii="Arial" w:hAnsi="Arial" w:cs="Arial"/>
          <w:sz w:val="20"/>
          <w:szCs w:val="20"/>
        </w:rPr>
        <w:t>of</w:t>
      </w:r>
      <w:r w:rsidRPr="000D1C0A">
        <w:rPr>
          <w:rFonts w:ascii="Arial" w:hAnsi="Arial" w:cs="Arial"/>
          <w:spacing w:val="-1"/>
          <w:sz w:val="20"/>
          <w:szCs w:val="20"/>
        </w:rPr>
        <w:t xml:space="preserve"> </w:t>
      </w:r>
      <w:r w:rsidRPr="000D1C0A">
        <w:rPr>
          <w:rFonts w:ascii="Arial" w:hAnsi="Arial" w:cs="Arial"/>
          <w:sz w:val="20"/>
          <w:szCs w:val="20"/>
        </w:rPr>
        <w:t>fuel</w:t>
      </w:r>
      <w:r w:rsidRPr="000D1C0A">
        <w:rPr>
          <w:rFonts w:ascii="Arial" w:hAnsi="Arial" w:cs="Arial"/>
          <w:spacing w:val="-4"/>
          <w:sz w:val="20"/>
          <w:szCs w:val="20"/>
        </w:rPr>
        <w:t xml:space="preserve"> </w:t>
      </w:r>
      <w:r w:rsidRPr="000D1C0A">
        <w:rPr>
          <w:rFonts w:ascii="Arial" w:hAnsi="Arial" w:cs="Arial"/>
          <w:sz w:val="20"/>
          <w:szCs w:val="20"/>
        </w:rPr>
        <w:t>consumption</w:t>
      </w:r>
      <w:r w:rsidRPr="000D1C0A">
        <w:rPr>
          <w:rFonts w:ascii="Arial" w:hAnsi="Arial" w:cs="Arial"/>
          <w:spacing w:val="-2"/>
          <w:sz w:val="20"/>
          <w:szCs w:val="20"/>
        </w:rPr>
        <w:t xml:space="preserve"> </w:t>
      </w:r>
      <w:r w:rsidRPr="000D1C0A">
        <w:rPr>
          <w:rFonts w:ascii="Arial" w:hAnsi="Arial" w:cs="Arial"/>
          <w:sz w:val="20"/>
          <w:szCs w:val="20"/>
        </w:rPr>
        <w:t>and</w:t>
      </w:r>
      <w:r w:rsidRPr="000D1C0A">
        <w:rPr>
          <w:rFonts w:ascii="Arial" w:hAnsi="Arial" w:cs="Arial"/>
          <w:spacing w:val="-2"/>
          <w:sz w:val="20"/>
          <w:szCs w:val="20"/>
        </w:rPr>
        <w:t xml:space="preserve"> </w:t>
      </w:r>
      <w:r w:rsidRPr="000D1C0A">
        <w:rPr>
          <w:rFonts w:ascii="Arial" w:hAnsi="Arial" w:cs="Arial"/>
          <w:sz w:val="20"/>
          <w:szCs w:val="20"/>
        </w:rPr>
        <w:t>envelope</w:t>
      </w:r>
      <w:r w:rsidRPr="000D1C0A">
        <w:rPr>
          <w:rFonts w:ascii="Arial" w:hAnsi="Arial" w:cs="Arial"/>
          <w:spacing w:val="-3"/>
          <w:sz w:val="20"/>
          <w:szCs w:val="20"/>
        </w:rPr>
        <w:t xml:space="preserve"> </w:t>
      </w:r>
      <w:r w:rsidRPr="000D1C0A">
        <w:rPr>
          <w:rFonts w:ascii="Arial" w:hAnsi="Arial" w:cs="Arial"/>
          <w:sz w:val="20"/>
          <w:szCs w:val="20"/>
        </w:rPr>
        <w:t>temperature;</w:t>
      </w:r>
    </w:p>
    <w:p w14:paraId="7CD89D88" w14:textId="77777777" w:rsidR="000D1C0A" w:rsidRPr="000D1C0A" w:rsidRDefault="000D1C0A" w:rsidP="00756D59">
      <w:pPr>
        <w:pStyle w:val="ListParagraph"/>
        <w:numPr>
          <w:ilvl w:val="0"/>
          <w:numId w:val="149"/>
        </w:numPr>
        <w:tabs>
          <w:tab w:val="left" w:pos="2408"/>
          <w:tab w:val="left" w:pos="2409"/>
        </w:tabs>
        <w:jc w:val="both"/>
        <w:rPr>
          <w:rFonts w:ascii="Arial" w:hAnsi="Arial" w:cs="Arial"/>
          <w:sz w:val="20"/>
          <w:szCs w:val="20"/>
        </w:rPr>
      </w:pPr>
      <w:r w:rsidRPr="000D1C0A">
        <w:rPr>
          <w:rFonts w:ascii="Arial" w:hAnsi="Arial" w:cs="Arial"/>
          <w:sz w:val="20"/>
          <w:szCs w:val="20"/>
        </w:rPr>
        <w:t>ATC liaison</w:t>
      </w:r>
      <w:r w:rsidRPr="000D1C0A">
        <w:rPr>
          <w:rFonts w:ascii="Arial" w:hAnsi="Arial" w:cs="Arial"/>
          <w:spacing w:val="-4"/>
          <w:sz w:val="20"/>
          <w:szCs w:val="20"/>
        </w:rPr>
        <w:t xml:space="preserve"> </w:t>
      </w:r>
      <w:r w:rsidRPr="000D1C0A">
        <w:rPr>
          <w:rFonts w:ascii="Arial" w:hAnsi="Arial" w:cs="Arial"/>
          <w:sz w:val="20"/>
          <w:szCs w:val="20"/>
        </w:rPr>
        <w:t>(if applicable);</w:t>
      </w:r>
    </w:p>
    <w:p w14:paraId="1D206FDB" w14:textId="77777777" w:rsidR="000D1C0A" w:rsidRPr="000D1C0A" w:rsidRDefault="000D1C0A" w:rsidP="00756D59">
      <w:pPr>
        <w:pStyle w:val="ListParagraph"/>
        <w:numPr>
          <w:ilvl w:val="0"/>
          <w:numId w:val="149"/>
        </w:numPr>
        <w:tabs>
          <w:tab w:val="left" w:pos="2408"/>
          <w:tab w:val="left" w:pos="2409"/>
        </w:tabs>
        <w:spacing w:before="121"/>
        <w:jc w:val="both"/>
        <w:rPr>
          <w:rFonts w:ascii="Arial" w:hAnsi="Arial" w:cs="Arial"/>
          <w:sz w:val="20"/>
          <w:szCs w:val="20"/>
        </w:rPr>
      </w:pPr>
      <w:r w:rsidRPr="000D1C0A">
        <w:rPr>
          <w:rFonts w:ascii="Arial" w:hAnsi="Arial" w:cs="Arial"/>
          <w:sz w:val="20"/>
          <w:szCs w:val="20"/>
        </w:rPr>
        <w:t>communication</w:t>
      </w:r>
      <w:r w:rsidRPr="000D1C0A">
        <w:rPr>
          <w:rFonts w:ascii="Arial" w:hAnsi="Arial" w:cs="Arial"/>
          <w:spacing w:val="-4"/>
          <w:sz w:val="20"/>
          <w:szCs w:val="20"/>
        </w:rPr>
        <w:t xml:space="preserve"> </w:t>
      </w:r>
      <w:r w:rsidRPr="000D1C0A">
        <w:rPr>
          <w:rFonts w:ascii="Arial" w:hAnsi="Arial" w:cs="Arial"/>
          <w:sz w:val="20"/>
          <w:szCs w:val="20"/>
        </w:rPr>
        <w:t>with</w:t>
      </w:r>
      <w:r w:rsidRPr="000D1C0A">
        <w:rPr>
          <w:rFonts w:ascii="Arial" w:hAnsi="Arial" w:cs="Arial"/>
          <w:spacing w:val="-1"/>
          <w:sz w:val="20"/>
          <w:szCs w:val="20"/>
        </w:rPr>
        <w:t xml:space="preserve"> </w:t>
      </w:r>
      <w:r w:rsidRPr="000D1C0A">
        <w:rPr>
          <w:rFonts w:ascii="Arial" w:hAnsi="Arial" w:cs="Arial"/>
          <w:sz w:val="20"/>
          <w:szCs w:val="20"/>
        </w:rPr>
        <w:t>retrieve crew; and</w:t>
      </w:r>
    </w:p>
    <w:p w14:paraId="006FEB5F" w14:textId="77777777" w:rsidR="000D1C0A" w:rsidRPr="000D1C0A" w:rsidRDefault="000D1C0A" w:rsidP="00756D59">
      <w:pPr>
        <w:pStyle w:val="ListParagraph"/>
        <w:numPr>
          <w:ilvl w:val="0"/>
          <w:numId w:val="149"/>
        </w:numPr>
        <w:tabs>
          <w:tab w:val="left" w:pos="2408"/>
          <w:tab w:val="left" w:pos="2409"/>
        </w:tabs>
        <w:spacing w:before="117"/>
        <w:jc w:val="both"/>
        <w:rPr>
          <w:rFonts w:ascii="Arial" w:hAnsi="Arial" w:cs="Arial"/>
          <w:sz w:val="20"/>
          <w:szCs w:val="20"/>
        </w:rPr>
      </w:pPr>
      <w:r w:rsidRPr="000D1C0A">
        <w:rPr>
          <w:rFonts w:ascii="Arial" w:hAnsi="Arial" w:cs="Arial"/>
          <w:sz w:val="20"/>
          <w:szCs w:val="20"/>
        </w:rPr>
        <w:t>use</w:t>
      </w:r>
      <w:r w:rsidRPr="000D1C0A">
        <w:rPr>
          <w:rFonts w:ascii="Arial" w:hAnsi="Arial" w:cs="Arial"/>
          <w:spacing w:val="1"/>
          <w:sz w:val="20"/>
          <w:szCs w:val="20"/>
        </w:rPr>
        <w:t xml:space="preserve"> </w:t>
      </w:r>
      <w:r w:rsidRPr="000D1C0A">
        <w:rPr>
          <w:rFonts w:ascii="Arial" w:hAnsi="Arial" w:cs="Arial"/>
          <w:sz w:val="20"/>
          <w:szCs w:val="20"/>
        </w:rPr>
        <w:t>of</w:t>
      </w:r>
      <w:r w:rsidRPr="000D1C0A">
        <w:rPr>
          <w:rFonts w:ascii="Arial" w:hAnsi="Arial" w:cs="Arial"/>
          <w:spacing w:val="-3"/>
          <w:sz w:val="20"/>
          <w:szCs w:val="20"/>
        </w:rPr>
        <w:t xml:space="preserve"> </w:t>
      </w:r>
      <w:r w:rsidRPr="000D1C0A">
        <w:rPr>
          <w:rFonts w:ascii="Arial" w:hAnsi="Arial" w:cs="Arial"/>
          <w:sz w:val="20"/>
          <w:szCs w:val="20"/>
        </w:rPr>
        <w:t>GNSS</w:t>
      </w:r>
      <w:r w:rsidRPr="000D1C0A">
        <w:rPr>
          <w:rFonts w:ascii="Arial" w:hAnsi="Arial" w:cs="Arial"/>
          <w:spacing w:val="-2"/>
          <w:sz w:val="20"/>
          <w:szCs w:val="20"/>
        </w:rPr>
        <w:t xml:space="preserve"> </w:t>
      </w:r>
      <w:r w:rsidRPr="000D1C0A">
        <w:rPr>
          <w:rFonts w:ascii="Arial" w:hAnsi="Arial" w:cs="Arial"/>
          <w:sz w:val="20"/>
          <w:szCs w:val="20"/>
        </w:rPr>
        <w:t>(if applicable).</w:t>
      </w:r>
    </w:p>
    <w:p w14:paraId="60A54193" w14:textId="77777777" w:rsidR="000D1C0A" w:rsidRPr="000D1C0A" w:rsidRDefault="000D1C0A" w:rsidP="00756D59">
      <w:pPr>
        <w:spacing w:before="117" w:line="276" w:lineRule="auto"/>
        <w:jc w:val="both"/>
        <w:rPr>
          <w:rFonts w:ascii="Arial" w:hAnsi="Arial" w:cs="Arial"/>
          <w:b/>
          <w:bCs/>
          <w:sz w:val="20"/>
          <w:szCs w:val="20"/>
        </w:rPr>
      </w:pPr>
      <w:r w:rsidRPr="000D1C0A">
        <w:rPr>
          <w:rFonts w:ascii="Arial" w:hAnsi="Arial" w:cs="Arial"/>
          <w:b/>
          <w:bCs/>
          <w:sz w:val="20"/>
          <w:szCs w:val="20"/>
        </w:rPr>
        <w:t>Exercise 12: Fuel management</w:t>
      </w:r>
    </w:p>
    <w:p w14:paraId="3ED188BC" w14:textId="77777777" w:rsidR="000D1C0A" w:rsidRPr="000D1C0A" w:rsidRDefault="000D1C0A" w:rsidP="00756D59">
      <w:pPr>
        <w:pStyle w:val="ListParagraph"/>
        <w:numPr>
          <w:ilvl w:val="0"/>
          <w:numId w:val="148"/>
        </w:numPr>
        <w:tabs>
          <w:tab w:val="left" w:pos="2408"/>
          <w:tab w:val="left" w:pos="2409"/>
        </w:tabs>
        <w:spacing w:before="121"/>
        <w:jc w:val="both"/>
        <w:rPr>
          <w:rFonts w:ascii="Arial" w:hAnsi="Arial" w:cs="Arial"/>
          <w:sz w:val="20"/>
        </w:rPr>
      </w:pPr>
      <w:r w:rsidRPr="000D1C0A">
        <w:rPr>
          <w:rFonts w:ascii="Arial" w:hAnsi="Arial" w:cs="Arial"/>
          <w:sz w:val="20"/>
        </w:rPr>
        <w:t>cylinder</w:t>
      </w:r>
      <w:r w:rsidRPr="000D1C0A">
        <w:rPr>
          <w:rFonts w:ascii="Arial" w:hAnsi="Arial" w:cs="Arial"/>
          <w:spacing w:val="-2"/>
          <w:sz w:val="20"/>
        </w:rPr>
        <w:t xml:space="preserve"> </w:t>
      </w:r>
      <w:r w:rsidRPr="000D1C0A">
        <w:rPr>
          <w:rFonts w:ascii="Arial" w:hAnsi="Arial" w:cs="Arial"/>
          <w:sz w:val="20"/>
        </w:rPr>
        <w:t>arrangement</w:t>
      </w:r>
      <w:r w:rsidRPr="000D1C0A">
        <w:rPr>
          <w:rFonts w:ascii="Arial" w:hAnsi="Arial" w:cs="Arial"/>
          <w:spacing w:val="-1"/>
          <w:sz w:val="20"/>
        </w:rPr>
        <w:t xml:space="preserve"> </w:t>
      </w:r>
      <w:r w:rsidRPr="000D1C0A">
        <w:rPr>
          <w:rFonts w:ascii="Arial" w:hAnsi="Arial" w:cs="Arial"/>
          <w:sz w:val="20"/>
        </w:rPr>
        <w:t>and</w:t>
      </w:r>
      <w:r w:rsidRPr="000D1C0A">
        <w:rPr>
          <w:rFonts w:ascii="Arial" w:hAnsi="Arial" w:cs="Arial"/>
          <w:spacing w:val="-4"/>
          <w:sz w:val="20"/>
        </w:rPr>
        <w:t xml:space="preserve"> </w:t>
      </w:r>
      <w:r w:rsidRPr="000D1C0A">
        <w:rPr>
          <w:rFonts w:ascii="Arial" w:hAnsi="Arial" w:cs="Arial"/>
          <w:sz w:val="20"/>
        </w:rPr>
        <w:t>burner</w:t>
      </w:r>
      <w:r w:rsidRPr="000D1C0A">
        <w:rPr>
          <w:rFonts w:ascii="Arial" w:hAnsi="Arial" w:cs="Arial"/>
          <w:spacing w:val="-2"/>
          <w:sz w:val="20"/>
        </w:rPr>
        <w:t xml:space="preserve"> </w:t>
      </w:r>
      <w:r w:rsidRPr="000D1C0A">
        <w:rPr>
          <w:rFonts w:ascii="Arial" w:hAnsi="Arial" w:cs="Arial"/>
          <w:sz w:val="20"/>
        </w:rPr>
        <w:t>systems;</w:t>
      </w:r>
    </w:p>
    <w:p w14:paraId="07775B8F" w14:textId="77777777" w:rsidR="000D1C0A" w:rsidRPr="000D1C0A" w:rsidRDefault="000D1C0A" w:rsidP="00756D59">
      <w:pPr>
        <w:pStyle w:val="ListParagraph"/>
        <w:numPr>
          <w:ilvl w:val="0"/>
          <w:numId w:val="148"/>
        </w:numPr>
        <w:tabs>
          <w:tab w:val="left" w:pos="2408"/>
          <w:tab w:val="left" w:pos="2409"/>
        </w:tabs>
        <w:jc w:val="both"/>
        <w:rPr>
          <w:rFonts w:ascii="Arial" w:hAnsi="Arial" w:cs="Arial"/>
          <w:sz w:val="20"/>
        </w:rPr>
      </w:pPr>
      <w:r w:rsidRPr="000D1C0A">
        <w:rPr>
          <w:rFonts w:ascii="Arial" w:hAnsi="Arial" w:cs="Arial"/>
          <w:sz w:val="20"/>
        </w:rPr>
        <w:t>pilot</w:t>
      </w:r>
      <w:r w:rsidRPr="000D1C0A">
        <w:rPr>
          <w:rFonts w:ascii="Arial" w:hAnsi="Arial" w:cs="Arial"/>
          <w:spacing w:val="-2"/>
          <w:sz w:val="20"/>
        </w:rPr>
        <w:t xml:space="preserve"> </w:t>
      </w:r>
      <w:r w:rsidRPr="000D1C0A">
        <w:rPr>
          <w:rFonts w:ascii="Arial" w:hAnsi="Arial" w:cs="Arial"/>
          <w:sz w:val="20"/>
        </w:rPr>
        <w:t>light</w:t>
      </w:r>
      <w:r w:rsidRPr="000D1C0A">
        <w:rPr>
          <w:rFonts w:ascii="Arial" w:hAnsi="Arial" w:cs="Arial"/>
          <w:spacing w:val="-2"/>
          <w:sz w:val="20"/>
        </w:rPr>
        <w:t xml:space="preserve"> </w:t>
      </w:r>
      <w:r w:rsidRPr="000D1C0A">
        <w:rPr>
          <w:rFonts w:ascii="Arial" w:hAnsi="Arial" w:cs="Arial"/>
          <w:sz w:val="20"/>
        </w:rPr>
        <w:t>supply</w:t>
      </w:r>
      <w:r w:rsidRPr="000D1C0A">
        <w:rPr>
          <w:rFonts w:ascii="Arial" w:hAnsi="Arial" w:cs="Arial"/>
          <w:spacing w:val="-3"/>
          <w:sz w:val="20"/>
        </w:rPr>
        <w:t xml:space="preserve"> </w:t>
      </w:r>
      <w:r w:rsidRPr="000D1C0A">
        <w:rPr>
          <w:rFonts w:ascii="Arial" w:hAnsi="Arial" w:cs="Arial"/>
          <w:sz w:val="20"/>
        </w:rPr>
        <w:t>(vapour</w:t>
      </w:r>
      <w:r w:rsidRPr="000D1C0A">
        <w:rPr>
          <w:rFonts w:ascii="Arial" w:hAnsi="Arial" w:cs="Arial"/>
          <w:spacing w:val="-4"/>
          <w:sz w:val="20"/>
        </w:rPr>
        <w:t xml:space="preserve"> </w:t>
      </w:r>
      <w:r w:rsidRPr="000D1C0A">
        <w:rPr>
          <w:rFonts w:ascii="Arial" w:hAnsi="Arial" w:cs="Arial"/>
          <w:sz w:val="20"/>
        </w:rPr>
        <w:t>or</w:t>
      </w:r>
      <w:r w:rsidRPr="000D1C0A">
        <w:rPr>
          <w:rFonts w:ascii="Arial" w:hAnsi="Arial" w:cs="Arial"/>
          <w:spacing w:val="-2"/>
          <w:sz w:val="20"/>
        </w:rPr>
        <w:t xml:space="preserve"> </w:t>
      </w:r>
      <w:r w:rsidRPr="000D1C0A">
        <w:rPr>
          <w:rFonts w:ascii="Arial" w:hAnsi="Arial" w:cs="Arial"/>
          <w:sz w:val="20"/>
        </w:rPr>
        <w:t>liquid);</w:t>
      </w:r>
    </w:p>
    <w:p w14:paraId="09002677" w14:textId="77777777" w:rsidR="000D1C0A" w:rsidRPr="000D1C0A" w:rsidRDefault="000D1C0A" w:rsidP="00756D59">
      <w:pPr>
        <w:pStyle w:val="ListParagraph"/>
        <w:numPr>
          <w:ilvl w:val="0"/>
          <w:numId w:val="148"/>
        </w:numPr>
        <w:tabs>
          <w:tab w:val="left" w:pos="2408"/>
          <w:tab w:val="left" w:pos="2409"/>
        </w:tabs>
        <w:spacing w:before="121"/>
        <w:jc w:val="both"/>
        <w:rPr>
          <w:rFonts w:ascii="Arial" w:hAnsi="Arial" w:cs="Arial"/>
          <w:sz w:val="20"/>
        </w:rPr>
      </w:pPr>
      <w:r w:rsidRPr="000D1C0A">
        <w:rPr>
          <w:rFonts w:ascii="Arial" w:hAnsi="Arial" w:cs="Arial"/>
          <w:sz w:val="20"/>
        </w:rPr>
        <w:t>use of</w:t>
      </w:r>
      <w:r w:rsidRPr="000D1C0A">
        <w:rPr>
          <w:rFonts w:ascii="Arial" w:hAnsi="Arial" w:cs="Arial"/>
          <w:spacing w:val="-3"/>
          <w:sz w:val="20"/>
        </w:rPr>
        <w:t xml:space="preserve"> </w:t>
      </w:r>
      <w:r w:rsidRPr="000D1C0A">
        <w:rPr>
          <w:rFonts w:ascii="Arial" w:hAnsi="Arial" w:cs="Arial"/>
          <w:sz w:val="20"/>
        </w:rPr>
        <w:t>master</w:t>
      </w:r>
      <w:r w:rsidRPr="000D1C0A">
        <w:rPr>
          <w:rFonts w:ascii="Arial" w:hAnsi="Arial" w:cs="Arial"/>
          <w:spacing w:val="-3"/>
          <w:sz w:val="20"/>
        </w:rPr>
        <w:t xml:space="preserve"> </w:t>
      </w:r>
      <w:r w:rsidRPr="000D1C0A">
        <w:rPr>
          <w:rFonts w:ascii="Arial" w:hAnsi="Arial" w:cs="Arial"/>
          <w:sz w:val="20"/>
        </w:rPr>
        <w:t>cylinders</w:t>
      </w:r>
      <w:r w:rsidRPr="000D1C0A">
        <w:rPr>
          <w:rFonts w:ascii="Arial" w:hAnsi="Arial" w:cs="Arial"/>
          <w:spacing w:val="-2"/>
          <w:sz w:val="20"/>
        </w:rPr>
        <w:t xml:space="preserve"> </w:t>
      </w:r>
      <w:r w:rsidRPr="000D1C0A">
        <w:rPr>
          <w:rFonts w:ascii="Arial" w:hAnsi="Arial" w:cs="Arial"/>
          <w:sz w:val="20"/>
        </w:rPr>
        <w:t>(if</w:t>
      </w:r>
      <w:r w:rsidRPr="000D1C0A">
        <w:rPr>
          <w:rFonts w:ascii="Arial" w:hAnsi="Arial" w:cs="Arial"/>
          <w:spacing w:val="-3"/>
          <w:sz w:val="20"/>
        </w:rPr>
        <w:t xml:space="preserve"> </w:t>
      </w:r>
      <w:r w:rsidRPr="000D1C0A">
        <w:rPr>
          <w:rFonts w:ascii="Arial" w:hAnsi="Arial" w:cs="Arial"/>
          <w:sz w:val="20"/>
        </w:rPr>
        <w:t>applicable);</w:t>
      </w:r>
    </w:p>
    <w:p w14:paraId="65D04878" w14:textId="77777777" w:rsidR="000D1C0A" w:rsidRPr="000D1C0A" w:rsidRDefault="000D1C0A" w:rsidP="00756D59">
      <w:pPr>
        <w:pStyle w:val="ListParagraph"/>
        <w:numPr>
          <w:ilvl w:val="0"/>
          <w:numId w:val="148"/>
        </w:numPr>
        <w:tabs>
          <w:tab w:val="left" w:pos="2408"/>
          <w:tab w:val="left" w:pos="2409"/>
        </w:tabs>
        <w:jc w:val="both"/>
        <w:rPr>
          <w:rFonts w:ascii="Arial" w:hAnsi="Arial" w:cs="Arial"/>
          <w:sz w:val="20"/>
        </w:rPr>
      </w:pPr>
      <w:r w:rsidRPr="000D1C0A">
        <w:rPr>
          <w:rFonts w:ascii="Arial" w:hAnsi="Arial" w:cs="Arial"/>
          <w:sz w:val="20"/>
        </w:rPr>
        <w:t>fuel</w:t>
      </w:r>
      <w:r w:rsidRPr="000D1C0A">
        <w:rPr>
          <w:rFonts w:ascii="Arial" w:hAnsi="Arial" w:cs="Arial"/>
          <w:spacing w:val="-2"/>
          <w:sz w:val="20"/>
        </w:rPr>
        <w:t xml:space="preserve"> </w:t>
      </w:r>
      <w:r w:rsidRPr="000D1C0A">
        <w:rPr>
          <w:rFonts w:ascii="Arial" w:hAnsi="Arial" w:cs="Arial"/>
          <w:sz w:val="20"/>
        </w:rPr>
        <w:t>requirement</w:t>
      </w:r>
      <w:r w:rsidRPr="000D1C0A">
        <w:rPr>
          <w:rFonts w:ascii="Arial" w:hAnsi="Arial" w:cs="Arial"/>
          <w:spacing w:val="-3"/>
          <w:sz w:val="20"/>
        </w:rPr>
        <w:t xml:space="preserve"> </w:t>
      </w:r>
      <w:r w:rsidRPr="000D1C0A">
        <w:rPr>
          <w:rFonts w:ascii="Arial" w:hAnsi="Arial" w:cs="Arial"/>
          <w:sz w:val="20"/>
        </w:rPr>
        <w:t>and</w:t>
      </w:r>
      <w:r w:rsidRPr="000D1C0A">
        <w:rPr>
          <w:rFonts w:ascii="Arial" w:hAnsi="Arial" w:cs="Arial"/>
          <w:spacing w:val="-3"/>
          <w:sz w:val="20"/>
        </w:rPr>
        <w:t xml:space="preserve"> </w:t>
      </w:r>
      <w:r w:rsidRPr="000D1C0A">
        <w:rPr>
          <w:rFonts w:ascii="Arial" w:hAnsi="Arial" w:cs="Arial"/>
          <w:sz w:val="20"/>
        </w:rPr>
        <w:t>expected</w:t>
      </w:r>
      <w:r w:rsidRPr="000D1C0A">
        <w:rPr>
          <w:rFonts w:ascii="Arial" w:hAnsi="Arial" w:cs="Arial"/>
          <w:spacing w:val="-2"/>
          <w:sz w:val="20"/>
        </w:rPr>
        <w:t xml:space="preserve"> </w:t>
      </w:r>
      <w:r w:rsidRPr="000D1C0A">
        <w:rPr>
          <w:rFonts w:ascii="Arial" w:hAnsi="Arial" w:cs="Arial"/>
          <w:sz w:val="20"/>
        </w:rPr>
        <w:t>fuel</w:t>
      </w:r>
      <w:r w:rsidRPr="000D1C0A">
        <w:rPr>
          <w:rFonts w:ascii="Arial" w:hAnsi="Arial" w:cs="Arial"/>
          <w:spacing w:val="-4"/>
          <w:sz w:val="20"/>
        </w:rPr>
        <w:t xml:space="preserve"> </w:t>
      </w:r>
      <w:r w:rsidRPr="000D1C0A">
        <w:rPr>
          <w:rFonts w:ascii="Arial" w:hAnsi="Arial" w:cs="Arial"/>
          <w:sz w:val="20"/>
        </w:rPr>
        <w:t>consumption;</w:t>
      </w:r>
    </w:p>
    <w:p w14:paraId="02790800" w14:textId="77777777" w:rsidR="000D1C0A" w:rsidRPr="000D1C0A" w:rsidRDefault="000D1C0A" w:rsidP="00756D59">
      <w:pPr>
        <w:pStyle w:val="ListParagraph"/>
        <w:numPr>
          <w:ilvl w:val="0"/>
          <w:numId w:val="148"/>
        </w:numPr>
        <w:tabs>
          <w:tab w:val="left" w:pos="2408"/>
          <w:tab w:val="left" w:pos="2409"/>
        </w:tabs>
        <w:jc w:val="both"/>
        <w:rPr>
          <w:rFonts w:ascii="Arial" w:hAnsi="Arial" w:cs="Arial"/>
          <w:sz w:val="20"/>
        </w:rPr>
      </w:pPr>
      <w:r w:rsidRPr="000D1C0A">
        <w:rPr>
          <w:rFonts w:ascii="Arial" w:hAnsi="Arial" w:cs="Arial"/>
          <w:sz w:val="20"/>
        </w:rPr>
        <w:t>fuel</w:t>
      </w:r>
      <w:r w:rsidRPr="000D1C0A">
        <w:rPr>
          <w:rFonts w:ascii="Arial" w:hAnsi="Arial" w:cs="Arial"/>
          <w:spacing w:val="-2"/>
          <w:sz w:val="20"/>
        </w:rPr>
        <w:t xml:space="preserve"> </w:t>
      </w:r>
      <w:r w:rsidRPr="000D1C0A">
        <w:rPr>
          <w:rFonts w:ascii="Arial" w:hAnsi="Arial" w:cs="Arial"/>
          <w:sz w:val="20"/>
        </w:rPr>
        <w:t>state</w:t>
      </w:r>
      <w:r w:rsidRPr="000D1C0A">
        <w:rPr>
          <w:rFonts w:ascii="Arial" w:hAnsi="Arial" w:cs="Arial"/>
          <w:spacing w:val="-1"/>
          <w:sz w:val="20"/>
        </w:rPr>
        <w:t xml:space="preserve"> </w:t>
      </w:r>
      <w:r w:rsidRPr="000D1C0A">
        <w:rPr>
          <w:rFonts w:ascii="Arial" w:hAnsi="Arial" w:cs="Arial"/>
          <w:sz w:val="20"/>
        </w:rPr>
        <w:t>and</w:t>
      </w:r>
      <w:r w:rsidRPr="000D1C0A">
        <w:rPr>
          <w:rFonts w:ascii="Arial" w:hAnsi="Arial" w:cs="Arial"/>
          <w:spacing w:val="-3"/>
          <w:sz w:val="20"/>
        </w:rPr>
        <w:t xml:space="preserve"> </w:t>
      </w:r>
      <w:r w:rsidRPr="000D1C0A">
        <w:rPr>
          <w:rFonts w:ascii="Arial" w:hAnsi="Arial" w:cs="Arial"/>
          <w:sz w:val="20"/>
        </w:rPr>
        <w:t>pressure;</w:t>
      </w:r>
    </w:p>
    <w:p w14:paraId="7834AAC2" w14:textId="77777777" w:rsidR="000D1C0A" w:rsidRPr="000D1C0A" w:rsidRDefault="000D1C0A" w:rsidP="00756D59">
      <w:pPr>
        <w:pStyle w:val="ListParagraph"/>
        <w:numPr>
          <w:ilvl w:val="0"/>
          <w:numId w:val="148"/>
        </w:numPr>
        <w:tabs>
          <w:tab w:val="left" w:pos="2408"/>
          <w:tab w:val="left" w:pos="2409"/>
        </w:tabs>
        <w:spacing w:before="118"/>
        <w:jc w:val="both"/>
        <w:rPr>
          <w:rFonts w:ascii="Arial" w:hAnsi="Arial" w:cs="Arial"/>
          <w:sz w:val="20"/>
        </w:rPr>
      </w:pPr>
      <w:r w:rsidRPr="000D1C0A">
        <w:rPr>
          <w:rFonts w:ascii="Arial" w:hAnsi="Arial" w:cs="Arial"/>
          <w:sz w:val="20"/>
        </w:rPr>
        <w:t>fuel</w:t>
      </w:r>
      <w:r w:rsidRPr="000D1C0A">
        <w:rPr>
          <w:rFonts w:ascii="Arial" w:hAnsi="Arial" w:cs="Arial"/>
          <w:spacing w:val="-3"/>
          <w:sz w:val="20"/>
        </w:rPr>
        <w:t xml:space="preserve"> </w:t>
      </w:r>
      <w:r w:rsidRPr="000D1C0A">
        <w:rPr>
          <w:rFonts w:ascii="Arial" w:hAnsi="Arial" w:cs="Arial"/>
          <w:sz w:val="20"/>
        </w:rPr>
        <w:t>reserves;</w:t>
      </w:r>
    </w:p>
    <w:p w14:paraId="1787CE9D" w14:textId="77777777" w:rsidR="000D1C0A" w:rsidRPr="000D1C0A" w:rsidRDefault="000D1C0A" w:rsidP="00756D59">
      <w:pPr>
        <w:pStyle w:val="ListParagraph"/>
        <w:numPr>
          <w:ilvl w:val="0"/>
          <w:numId w:val="148"/>
        </w:numPr>
        <w:tabs>
          <w:tab w:val="left" w:pos="2408"/>
          <w:tab w:val="left" w:pos="2409"/>
        </w:tabs>
        <w:jc w:val="both"/>
        <w:rPr>
          <w:rFonts w:ascii="Arial" w:hAnsi="Arial" w:cs="Arial"/>
          <w:sz w:val="20"/>
        </w:rPr>
      </w:pPr>
      <w:r w:rsidRPr="000D1C0A">
        <w:rPr>
          <w:rFonts w:ascii="Arial" w:hAnsi="Arial" w:cs="Arial"/>
          <w:sz w:val="20"/>
        </w:rPr>
        <w:t>cylinder</w:t>
      </w:r>
      <w:r w:rsidRPr="000D1C0A">
        <w:rPr>
          <w:rFonts w:ascii="Arial" w:hAnsi="Arial" w:cs="Arial"/>
          <w:spacing w:val="-1"/>
          <w:sz w:val="20"/>
        </w:rPr>
        <w:t xml:space="preserve"> </w:t>
      </w:r>
      <w:r w:rsidRPr="000D1C0A">
        <w:rPr>
          <w:rFonts w:ascii="Arial" w:hAnsi="Arial" w:cs="Arial"/>
          <w:sz w:val="20"/>
        </w:rPr>
        <w:t>contents gauge and</w:t>
      </w:r>
      <w:r w:rsidRPr="000D1C0A">
        <w:rPr>
          <w:rFonts w:ascii="Arial" w:hAnsi="Arial" w:cs="Arial"/>
          <w:spacing w:val="-2"/>
          <w:sz w:val="20"/>
        </w:rPr>
        <w:t xml:space="preserve"> </w:t>
      </w:r>
      <w:r w:rsidRPr="000D1C0A">
        <w:rPr>
          <w:rFonts w:ascii="Arial" w:hAnsi="Arial" w:cs="Arial"/>
          <w:sz w:val="20"/>
        </w:rPr>
        <w:t>change procedure;</w:t>
      </w:r>
      <w:r w:rsidRPr="000D1C0A">
        <w:rPr>
          <w:rFonts w:ascii="Arial" w:hAnsi="Arial" w:cs="Arial"/>
          <w:spacing w:val="-3"/>
          <w:sz w:val="20"/>
        </w:rPr>
        <w:t xml:space="preserve"> </w:t>
      </w:r>
      <w:r w:rsidRPr="000D1C0A">
        <w:rPr>
          <w:rFonts w:ascii="Arial" w:hAnsi="Arial" w:cs="Arial"/>
          <w:sz w:val="20"/>
        </w:rPr>
        <w:t>and</w:t>
      </w:r>
    </w:p>
    <w:p w14:paraId="500E2A6F" w14:textId="77777777" w:rsidR="000D1C0A" w:rsidRPr="000D1C0A" w:rsidRDefault="000D1C0A" w:rsidP="00756D59">
      <w:pPr>
        <w:pStyle w:val="ListParagraph"/>
        <w:numPr>
          <w:ilvl w:val="0"/>
          <w:numId w:val="148"/>
        </w:numPr>
        <w:tabs>
          <w:tab w:val="left" w:pos="2409"/>
        </w:tabs>
        <w:jc w:val="both"/>
        <w:rPr>
          <w:rFonts w:ascii="Arial" w:hAnsi="Arial" w:cs="Arial"/>
          <w:sz w:val="20"/>
        </w:rPr>
      </w:pPr>
      <w:r w:rsidRPr="000D1C0A">
        <w:rPr>
          <w:rFonts w:ascii="Arial" w:hAnsi="Arial" w:cs="Arial"/>
          <w:sz w:val="20"/>
        </w:rPr>
        <w:t>use of</w:t>
      </w:r>
      <w:r w:rsidRPr="000D1C0A">
        <w:rPr>
          <w:rFonts w:ascii="Arial" w:hAnsi="Arial" w:cs="Arial"/>
          <w:spacing w:val="-3"/>
          <w:sz w:val="20"/>
        </w:rPr>
        <w:t xml:space="preserve"> </w:t>
      </w:r>
      <w:r w:rsidRPr="000D1C0A">
        <w:rPr>
          <w:rFonts w:ascii="Arial" w:hAnsi="Arial" w:cs="Arial"/>
          <w:sz w:val="20"/>
        </w:rPr>
        <w:t>cylinder</w:t>
      </w:r>
      <w:r w:rsidRPr="000D1C0A">
        <w:rPr>
          <w:rFonts w:ascii="Arial" w:hAnsi="Arial" w:cs="Arial"/>
          <w:spacing w:val="-2"/>
          <w:sz w:val="20"/>
        </w:rPr>
        <w:t xml:space="preserve"> </w:t>
      </w:r>
      <w:r w:rsidRPr="000D1C0A">
        <w:rPr>
          <w:rFonts w:ascii="Arial" w:hAnsi="Arial" w:cs="Arial"/>
          <w:sz w:val="20"/>
        </w:rPr>
        <w:t>manifolds.</w:t>
      </w:r>
    </w:p>
    <w:p w14:paraId="4A7ED684" w14:textId="77777777" w:rsidR="000D1C0A" w:rsidRPr="000D1C0A" w:rsidRDefault="000D1C0A" w:rsidP="00756D59">
      <w:pPr>
        <w:spacing w:before="117" w:line="276" w:lineRule="auto"/>
        <w:jc w:val="both"/>
        <w:rPr>
          <w:rFonts w:ascii="Arial" w:hAnsi="Arial" w:cs="Arial"/>
          <w:b/>
          <w:bCs/>
          <w:sz w:val="20"/>
          <w:szCs w:val="20"/>
        </w:rPr>
      </w:pPr>
      <w:r w:rsidRPr="000D1C0A">
        <w:rPr>
          <w:rFonts w:ascii="Arial" w:hAnsi="Arial" w:cs="Arial"/>
          <w:b/>
          <w:bCs/>
          <w:sz w:val="20"/>
          <w:szCs w:val="20"/>
        </w:rPr>
        <w:t>Exercise 13: Approach from low level</w:t>
      </w:r>
    </w:p>
    <w:p w14:paraId="7EF858E5" w14:textId="77777777" w:rsidR="000D1C0A" w:rsidRPr="000D1C0A" w:rsidRDefault="000D1C0A" w:rsidP="00756D59">
      <w:pPr>
        <w:pStyle w:val="ListParagraph"/>
        <w:numPr>
          <w:ilvl w:val="0"/>
          <w:numId w:val="147"/>
        </w:numPr>
        <w:tabs>
          <w:tab w:val="left" w:pos="2408"/>
          <w:tab w:val="left" w:pos="2409"/>
        </w:tabs>
        <w:spacing w:before="121"/>
        <w:jc w:val="both"/>
        <w:rPr>
          <w:rFonts w:ascii="Arial" w:hAnsi="Arial" w:cs="Arial"/>
          <w:sz w:val="20"/>
        </w:rPr>
      </w:pPr>
      <w:r w:rsidRPr="000D1C0A">
        <w:rPr>
          <w:rFonts w:ascii="Arial" w:hAnsi="Arial" w:cs="Arial"/>
          <w:sz w:val="20"/>
        </w:rPr>
        <w:t>pre-landing</w:t>
      </w:r>
      <w:r w:rsidRPr="000D1C0A">
        <w:rPr>
          <w:rFonts w:ascii="Arial" w:hAnsi="Arial" w:cs="Arial"/>
          <w:spacing w:val="-3"/>
          <w:sz w:val="20"/>
        </w:rPr>
        <w:t xml:space="preserve"> </w:t>
      </w:r>
      <w:r w:rsidRPr="000D1C0A">
        <w:rPr>
          <w:rFonts w:ascii="Arial" w:hAnsi="Arial" w:cs="Arial"/>
          <w:sz w:val="20"/>
        </w:rPr>
        <w:t>checks;</w:t>
      </w:r>
    </w:p>
    <w:p w14:paraId="18774C52" w14:textId="77777777" w:rsidR="000D1C0A" w:rsidRPr="000D1C0A" w:rsidRDefault="000D1C0A" w:rsidP="00756D59">
      <w:pPr>
        <w:pStyle w:val="ListParagraph"/>
        <w:numPr>
          <w:ilvl w:val="0"/>
          <w:numId w:val="147"/>
        </w:numPr>
        <w:tabs>
          <w:tab w:val="left" w:pos="2408"/>
          <w:tab w:val="left" w:pos="2409"/>
        </w:tabs>
        <w:spacing w:before="121"/>
        <w:jc w:val="both"/>
        <w:rPr>
          <w:rFonts w:ascii="Arial" w:hAnsi="Arial" w:cs="Arial"/>
          <w:sz w:val="20"/>
        </w:rPr>
      </w:pPr>
      <w:r w:rsidRPr="000D1C0A">
        <w:rPr>
          <w:rFonts w:ascii="Arial" w:hAnsi="Arial" w:cs="Arial"/>
          <w:sz w:val="20"/>
        </w:rPr>
        <w:t>passenger</w:t>
      </w:r>
      <w:r w:rsidRPr="000D1C0A">
        <w:rPr>
          <w:rFonts w:ascii="Arial" w:hAnsi="Arial" w:cs="Arial"/>
          <w:spacing w:val="-3"/>
          <w:sz w:val="20"/>
        </w:rPr>
        <w:t xml:space="preserve"> </w:t>
      </w:r>
      <w:r w:rsidRPr="000D1C0A">
        <w:rPr>
          <w:rFonts w:ascii="Arial" w:hAnsi="Arial" w:cs="Arial"/>
          <w:sz w:val="20"/>
        </w:rPr>
        <w:t>pre-landing</w:t>
      </w:r>
      <w:r w:rsidRPr="000D1C0A">
        <w:rPr>
          <w:rFonts w:ascii="Arial" w:hAnsi="Arial" w:cs="Arial"/>
          <w:spacing w:val="-3"/>
          <w:sz w:val="20"/>
        </w:rPr>
        <w:t xml:space="preserve"> </w:t>
      </w:r>
      <w:r w:rsidRPr="000D1C0A">
        <w:rPr>
          <w:rFonts w:ascii="Arial" w:hAnsi="Arial" w:cs="Arial"/>
          <w:sz w:val="20"/>
        </w:rPr>
        <w:t>briefing;</w:t>
      </w:r>
    </w:p>
    <w:p w14:paraId="33B79478" w14:textId="77777777" w:rsidR="000D1C0A" w:rsidRPr="000D1C0A" w:rsidRDefault="000D1C0A" w:rsidP="00756D59">
      <w:pPr>
        <w:pStyle w:val="ListParagraph"/>
        <w:numPr>
          <w:ilvl w:val="0"/>
          <w:numId w:val="147"/>
        </w:numPr>
        <w:tabs>
          <w:tab w:val="left" w:pos="2408"/>
          <w:tab w:val="left" w:pos="2409"/>
        </w:tabs>
        <w:jc w:val="both"/>
        <w:rPr>
          <w:rFonts w:ascii="Arial" w:hAnsi="Arial" w:cs="Arial"/>
          <w:sz w:val="20"/>
        </w:rPr>
      </w:pPr>
      <w:r w:rsidRPr="000D1C0A">
        <w:rPr>
          <w:rFonts w:ascii="Arial" w:hAnsi="Arial" w:cs="Arial"/>
          <w:sz w:val="20"/>
        </w:rPr>
        <w:t>selection</w:t>
      </w:r>
      <w:r w:rsidRPr="000D1C0A">
        <w:rPr>
          <w:rFonts w:ascii="Arial" w:hAnsi="Arial" w:cs="Arial"/>
          <w:spacing w:val="-6"/>
          <w:sz w:val="20"/>
        </w:rPr>
        <w:t xml:space="preserve"> </w:t>
      </w:r>
      <w:r w:rsidRPr="000D1C0A">
        <w:rPr>
          <w:rFonts w:ascii="Arial" w:hAnsi="Arial" w:cs="Arial"/>
          <w:sz w:val="20"/>
        </w:rPr>
        <w:t>of</w:t>
      </w:r>
      <w:r w:rsidRPr="000D1C0A">
        <w:rPr>
          <w:rFonts w:ascii="Arial" w:hAnsi="Arial" w:cs="Arial"/>
          <w:spacing w:val="-2"/>
          <w:sz w:val="20"/>
        </w:rPr>
        <w:t xml:space="preserve"> </w:t>
      </w:r>
      <w:r w:rsidRPr="000D1C0A">
        <w:rPr>
          <w:rFonts w:ascii="Arial" w:hAnsi="Arial" w:cs="Arial"/>
          <w:sz w:val="20"/>
        </w:rPr>
        <w:t>field;</w:t>
      </w:r>
    </w:p>
    <w:p w14:paraId="24C79FA7" w14:textId="77777777" w:rsidR="000D1C0A" w:rsidRPr="000D1C0A" w:rsidRDefault="000D1C0A" w:rsidP="00756D59">
      <w:pPr>
        <w:pStyle w:val="ListParagraph"/>
        <w:numPr>
          <w:ilvl w:val="0"/>
          <w:numId w:val="147"/>
        </w:numPr>
        <w:tabs>
          <w:tab w:val="left" w:pos="2408"/>
          <w:tab w:val="left" w:pos="2409"/>
        </w:tabs>
        <w:spacing w:before="118"/>
        <w:jc w:val="both"/>
        <w:rPr>
          <w:rFonts w:ascii="Arial" w:hAnsi="Arial" w:cs="Arial"/>
          <w:sz w:val="20"/>
        </w:rPr>
      </w:pPr>
      <w:r w:rsidRPr="000D1C0A">
        <w:rPr>
          <w:rFonts w:ascii="Arial" w:hAnsi="Arial" w:cs="Arial"/>
          <w:sz w:val="20"/>
        </w:rPr>
        <w:t>use of</w:t>
      </w:r>
      <w:r w:rsidRPr="000D1C0A">
        <w:rPr>
          <w:rFonts w:ascii="Arial" w:hAnsi="Arial" w:cs="Arial"/>
          <w:spacing w:val="-4"/>
          <w:sz w:val="20"/>
        </w:rPr>
        <w:t xml:space="preserve"> </w:t>
      </w:r>
      <w:r w:rsidRPr="000D1C0A">
        <w:rPr>
          <w:rFonts w:ascii="Arial" w:hAnsi="Arial" w:cs="Arial"/>
          <w:sz w:val="20"/>
        </w:rPr>
        <w:t>burner</w:t>
      </w:r>
      <w:r w:rsidRPr="000D1C0A">
        <w:rPr>
          <w:rFonts w:ascii="Arial" w:hAnsi="Arial" w:cs="Arial"/>
          <w:spacing w:val="-1"/>
          <w:sz w:val="20"/>
        </w:rPr>
        <w:t xml:space="preserve"> </w:t>
      </w:r>
      <w:r w:rsidRPr="000D1C0A">
        <w:rPr>
          <w:rFonts w:ascii="Arial" w:hAnsi="Arial" w:cs="Arial"/>
          <w:sz w:val="20"/>
        </w:rPr>
        <w:t>and</w:t>
      </w:r>
      <w:r w:rsidRPr="000D1C0A">
        <w:rPr>
          <w:rFonts w:ascii="Arial" w:hAnsi="Arial" w:cs="Arial"/>
          <w:spacing w:val="-2"/>
          <w:sz w:val="20"/>
        </w:rPr>
        <w:t xml:space="preserve"> </w:t>
      </w:r>
      <w:r w:rsidRPr="000D1C0A">
        <w:rPr>
          <w:rFonts w:ascii="Arial" w:hAnsi="Arial" w:cs="Arial"/>
          <w:sz w:val="20"/>
        </w:rPr>
        <w:t>parachute;</w:t>
      </w:r>
    </w:p>
    <w:p w14:paraId="19449E44" w14:textId="77777777" w:rsidR="000D1C0A" w:rsidRPr="000D1C0A" w:rsidRDefault="000D1C0A" w:rsidP="00756D59">
      <w:pPr>
        <w:pStyle w:val="ListParagraph"/>
        <w:numPr>
          <w:ilvl w:val="0"/>
          <w:numId w:val="147"/>
        </w:numPr>
        <w:tabs>
          <w:tab w:val="left" w:pos="2408"/>
          <w:tab w:val="left" w:pos="2409"/>
        </w:tabs>
        <w:jc w:val="both"/>
        <w:rPr>
          <w:rFonts w:ascii="Arial" w:hAnsi="Arial" w:cs="Arial"/>
          <w:sz w:val="20"/>
        </w:rPr>
      </w:pPr>
      <w:r w:rsidRPr="000D1C0A">
        <w:rPr>
          <w:rFonts w:ascii="Arial" w:hAnsi="Arial" w:cs="Arial"/>
          <w:sz w:val="20"/>
        </w:rPr>
        <w:t>look-out</w:t>
      </w:r>
      <w:r w:rsidRPr="000D1C0A">
        <w:rPr>
          <w:rFonts w:ascii="Arial" w:hAnsi="Arial" w:cs="Arial"/>
          <w:spacing w:val="-3"/>
          <w:sz w:val="20"/>
        </w:rPr>
        <w:t xml:space="preserve"> </w:t>
      </w:r>
      <w:r w:rsidRPr="000D1C0A">
        <w:rPr>
          <w:rFonts w:ascii="Arial" w:hAnsi="Arial" w:cs="Arial"/>
          <w:sz w:val="20"/>
        </w:rPr>
        <w:t>procedures;</w:t>
      </w:r>
      <w:r w:rsidRPr="000D1C0A">
        <w:rPr>
          <w:rFonts w:ascii="Arial" w:hAnsi="Arial" w:cs="Arial"/>
          <w:spacing w:val="-2"/>
          <w:sz w:val="20"/>
        </w:rPr>
        <w:t xml:space="preserve"> </w:t>
      </w:r>
      <w:r w:rsidRPr="000D1C0A">
        <w:rPr>
          <w:rFonts w:ascii="Arial" w:hAnsi="Arial" w:cs="Arial"/>
          <w:sz w:val="20"/>
        </w:rPr>
        <w:t>and</w:t>
      </w:r>
    </w:p>
    <w:p w14:paraId="78784CF3" w14:textId="77777777" w:rsidR="000D1C0A" w:rsidRPr="000D1C0A" w:rsidRDefault="000D1C0A" w:rsidP="00756D59">
      <w:pPr>
        <w:pStyle w:val="ListParagraph"/>
        <w:numPr>
          <w:ilvl w:val="0"/>
          <w:numId w:val="147"/>
        </w:numPr>
        <w:tabs>
          <w:tab w:val="left" w:pos="2408"/>
          <w:tab w:val="left" w:pos="2409"/>
        </w:tabs>
        <w:jc w:val="both"/>
        <w:rPr>
          <w:rFonts w:ascii="Arial" w:hAnsi="Arial" w:cs="Arial"/>
          <w:sz w:val="20"/>
        </w:rPr>
      </w:pPr>
      <w:r w:rsidRPr="000D1C0A">
        <w:rPr>
          <w:rFonts w:ascii="Arial" w:hAnsi="Arial" w:cs="Arial"/>
          <w:sz w:val="20"/>
        </w:rPr>
        <w:t>missed</w:t>
      </w:r>
      <w:r w:rsidRPr="000D1C0A">
        <w:rPr>
          <w:rFonts w:ascii="Arial" w:hAnsi="Arial" w:cs="Arial"/>
          <w:spacing w:val="-4"/>
          <w:sz w:val="20"/>
        </w:rPr>
        <w:t xml:space="preserve"> </w:t>
      </w:r>
      <w:r w:rsidRPr="000D1C0A">
        <w:rPr>
          <w:rFonts w:ascii="Arial" w:hAnsi="Arial" w:cs="Arial"/>
          <w:sz w:val="20"/>
        </w:rPr>
        <w:t>approach</w:t>
      </w:r>
      <w:r w:rsidRPr="000D1C0A">
        <w:rPr>
          <w:rFonts w:ascii="Arial" w:hAnsi="Arial" w:cs="Arial"/>
          <w:spacing w:val="-1"/>
          <w:sz w:val="20"/>
        </w:rPr>
        <w:t xml:space="preserve"> </w:t>
      </w:r>
      <w:r w:rsidRPr="000D1C0A">
        <w:rPr>
          <w:rFonts w:ascii="Arial" w:hAnsi="Arial" w:cs="Arial"/>
          <w:sz w:val="20"/>
        </w:rPr>
        <w:t>and</w:t>
      </w:r>
      <w:r w:rsidRPr="000D1C0A">
        <w:rPr>
          <w:rFonts w:ascii="Arial" w:hAnsi="Arial" w:cs="Arial"/>
          <w:spacing w:val="-1"/>
          <w:sz w:val="20"/>
        </w:rPr>
        <w:t xml:space="preserve"> </w:t>
      </w:r>
      <w:r w:rsidRPr="000D1C0A">
        <w:rPr>
          <w:rFonts w:ascii="Arial" w:hAnsi="Arial" w:cs="Arial"/>
          <w:sz w:val="20"/>
        </w:rPr>
        <w:t>fly</w:t>
      </w:r>
      <w:r w:rsidRPr="000D1C0A">
        <w:rPr>
          <w:rFonts w:ascii="Arial" w:hAnsi="Arial" w:cs="Arial"/>
          <w:spacing w:val="-2"/>
          <w:sz w:val="20"/>
        </w:rPr>
        <w:t xml:space="preserve"> </w:t>
      </w:r>
      <w:r w:rsidRPr="000D1C0A">
        <w:rPr>
          <w:rFonts w:ascii="Arial" w:hAnsi="Arial" w:cs="Arial"/>
          <w:sz w:val="20"/>
        </w:rPr>
        <w:t>on.</w:t>
      </w:r>
    </w:p>
    <w:p w14:paraId="3A2CF399" w14:textId="77777777" w:rsidR="00756D59" w:rsidRPr="00756D59" w:rsidRDefault="00756D59" w:rsidP="00756D59">
      <w:pPr>
        <w:spacing w:before="117" w:line="276" w:lineRule="auto"/>
        <w:jc w:val="both"/>
        <w:rPr>
          <w:rFonts w:ascii="Arial" w:hAnsi="Arial" w:cs="Arial"/>
          <w:b/>
          <w:bCs/>
          <w:sz w:val="20"/>
        </w:rPr>
      </w:pPr>
      <w:r w:rsidRPr="00756D59">
        <w:rPr>
          <w:rFonts w:ascii="Arial" w:hAnsi="Arial" w:cs="Arial"/>
          <w:b/>
          <w:bCs/>
          <w:sz w:val="20"/>
        </w:rPr>
        <w:t>Exercise 14: Approach from high level</w:t>
      </w:r>
    </w:p>
    <w:p w14:paraId="698A0F05" w14:textId="77777777" w:rsidR="00756D59" w:rsidRPr="00756D59" w:rsidRDefault="00756D59" w:rsidP="00756D59">
      <w:pPr>
        <w:numPr>
          <w:ilvl w:val="0"/>
          <w:numId w:val="153"/>
        </w:numPr>
        <w:spacing w:before="117" w:line="276" w:lineRule="auto"/>
        <w:jc w:val="both"/>
        <w:rPr>
          <w:rFonts w:ascii="Arial" w:hAnsi="Arial" w:cs="Arial"/>
          <w:sz w:val="20"/>
        </w:rPr>
      </w:pPr>
      <w:r w:rsidRPr="00756D59">
        <w:rPr>
          <w:rFonts w:ascii="Arial" w:hAnsi="Arial" w:cs="Arial"/>
          <w:sz w:val="20"/>
        </w:rPr>
        <w:t>pre-landing checks;</w:t>
      </w:r>
    </w:p>
    <w:p w14:paraId="706F15DE" w14:textId="77777777" w:rsidR="00756D59" w:rsidRPr="00756D59" w:rsidRDefault="00756D59" w:rsidP="00756D59">
      <w:pPr>
        <w:numPr>
          <w:ilvl w:val="0"/>
          <w:numId w:val="153"/>
        </w:numPr>
        <w:spacing w:before="117" w:line="276" w:lineRule="auto"/>
        <w:jc w:val="both"/>
        <w:rPr>
          <w:rFonts w:ascii="Arial" w:hAnsi="Arial" w:cs="Arial"/>
          <w:sz w:val="20"/>
        </w:rPr>
      </w:pPr>
      <w:r w:rsidRPr="00756D59">
        <w:rPr>
          <w:rFonts w:ascii="Arial" w:hAnsi="Arial" w:cs="Arial"/>
          <w:sz w:val="20"/>
        </w:rPr>
        <w:t>passenger pre-landing briefing;</w:t>
      </w:r>
    </w:p>
    <w:p w14:paraId="70A6EACB" w14:textId="77777777" w:rsidR="00756D59" w:rsidRPr="00756D59" w:rsidRDefault="00756D59" w:rsidP="00756D59">
      <w:pPr>
        <w:numPr>
          <w:ilvl w:val="0"/>
          <w:numId w:val="153"/>
        </w:numPr>
        <w:spacing w:before="117" w:line="276" w:lineRule="auto"/>
        <w:jc w:val="both"/>
        <w:rPr>
          <w:rFonts w:ascii="Arial" w:hAnsi="Arial" w:cs="Arial"/>
          <w:sz w:val="20"/>
        </w:rPr>
      </w:pPr>
      <w:r w:rsidRPr="00756D59">
        <w:rPr>
          <w:rFonts w:ascii="Arial" w:hAnsi="Arial" w:cs="Arial"/>
          <w:sz w:val="20"/>
        </w:rPr>
        <w:t>selection of field;</w:t>
      </w:r>
    </w:p>
    <w:p w14:paraId="4E8A6568" w14:textId="77777777" w:rsidR="00756D59" w:rsidRPr="00756D59" w:rsidRDefault="00756D59" w:rsidP="00756D59">
      <w:pPr>
        <w:numPr>
          <w:ilvl w:val="0"/>
          <w:numId w:val="153"/>
        </w:numPr>
        <w:spacing w:before="117" w:line="276" w:lineRule="auto"/>
        <w:jc w:val="both"/>
        <w:rPr>
          <w:rFonts w:ascii="Arial" w:hAnsi="Arial" w:cs="Arial"/>
          <w:sz w:val="20"/>
        </w:rPr>
      </w:pPr>
      <w:r w:rsidRPr="00756D59">
        <w:rPr>
          <w:rFonts w:ascii="Arial" w:hAnsi="Arial" w:cs="Arial"/>
          <w:sz w:val="20"/>
        </w:rPr>
        <w:t>rate of descent;</w:t>
      </w:r>
    </w:p>
    <w:p w14:paraId="2E6123C5" w14:textId="77777777" w:rsidR="00756D59" w:rsidRPr="00756D59" w:rsidRDefault="00756D59" w:rsidP="00756D59">
      <w:pPr>
        <w:numPr>
          <w:ilvl w:val="0"/>
          <w:numId w:val="153"/>
        </w:numPr>
        <w:spacing w:before="117" w:line="276" w:lineRule="auto"/>
        <w:jc w:val="both"/>
        <w:rPr>
          <w:rFonts w:ascii="Arial" w:hAnsi="Arial" w:cs="Arial"/>
          <w:sz w:val="20"/>
        </w:rPr>
      </w:pPr>
      <w:r w:rsidRPr="00756D59">
        <w:rPr>
          <w:rFonts w:ascii="Arial" w:hAnsi="Arial" w:cs="Arial"/>
          <w:sz w:val="20"/>
        </w:rPr>
        <w:t>use of burner and parachute;</w:t>
      </w:r>
    </w:p>
    <w:p w14:paraId="5FA60000" w14:textId="77777777" w:rsidR="00756D59" w:rsidRPr="00756D59" w:rsidRDefault="00756D59" w:rsidP="00756D59">
      <w:pPr>
        <w:numPr>
          <w:ilvl w:val="0"/>
          <w:numId w:val="153"/>
        </w:numPr>
        <w:spacing w:before="117" w:line="276" w:lineRule="auto"/>
        <w:jc w:val="both"/>
        <w:rPr>
          <w:rFonts w:ascii="Arial" w:hAnsi="Arial" w:cs="Arial"/>
          <w:sz w:val="20"/>
        </w:rPr>
      </w:pPr>
      <w:r w:rsidRPr="00756D59">
        <w:rPr>
          <w:rFonts w:ascii="Arial" w:hAnsi="Arial" w:cs="Arial"/>
          <w:sz w:val="20"/>
        </w:rPr>
        <w:t>look-out procedures; and</w:t>
      </w:r>
    </w:p>
    <w:p w14:paraId="7E5AEC1E" w14:textId="77777777" w:rsidR="00756D59" w:rsidRPr="00756D59" w:rsidRDefault="00756D59" w:rsidP="00756D59">
      <w:pPr>
        <w:numPr>
          <w:ilvl w:val="0"/>
          <w:numId w:val="153"/>
        </w:numPr>
        <w:spacing w:before="117" w:line="276" w:lineRule="auto"/>
        <w:jc w:val="both"/>
        <w:rPr>
          <w:rFonts w:ascii="Arial" w:hAnsi="Arial" w:cs="Arial"/>
          <w:sz w:val="20"/>
        </w:rPr>
      </w:pPr>
      <w:r w:rsidRPr="00756D59">
        <w:rPr>
          <w:rFonts w:ascii="Arial" w:hAnsi="Arial" w:cs="Arial"/>
          <w:sz w:val="20"/>
        </w:rPr>
        <w:lastRenderedPageBreak/>
        <w:t>missed approach and fly on.</w:t>
      </w:r>
    </w:p>
    <w:p w14:paraId="01213F3A" w14:textId="77777777" w:rsidR="00756D59" w:rsidRPr="00756D59" w:rsidRDefault="00756D59" w:rsidP="00756D59">
      <w:pPr>
        <w:spacing w:before="117" w:line="276" w:lineRule="auto"/>
        <w:jc w:val="both"/>
        <w:rPr>
          <w:rFonts w:ascii="Arial" w:hAnsi="Arial" w:cs="Arial"/>
          <w:b/>
          <w:bCs/>
          <w:sz w:val="20"/>
        </w:rPr>
      </w:pPr>
      <w:r w:rsidRPr="00756D59">
        <w:rPr>
          <w:rFonts w:ascii="Arial" w:hAnsi="Arial" w:cs="Arial"/>
          <w:b/>
          <w:bCs/>
          <w:sz w:val="20"/>
        </w:rPr>
        <w:t>Exercise 15: Operating at low level</w:t>
      </w:r>
    </w:p>
    <w:p w14:paraId="73833F27" w14:textId="77777777" w:rsidR="00756D59" w:rsidRPr="00756D59" w:rsidRDefault="00756D59" w:rsidP="00756D59">
      <w:pPr>
        <w:numPr>
          <w:ilvl w:val="0"/>
          <w:numId w:val="152"/>
        </w:numPr>
        <w:spacing w:before="117" w:line="276" w:lineRule="auto"/>
        <w:jc w:val="both"/>
        <w:rPr>
          <w:rFonts w:ascii="Arial" w:hAnsi="Arial" w:cs="Arial"/>
          <w:sz w:val="20"/>
        </w:rPr>
      </w:pPr>
      <w:r w:rsidRPr="00756D59">
        <w:rPr>
          <w:rFonts w:ascii="Arial" w:hAnsi="Arial" w:cs="Arial"/>
          <w:sz w:val="20"/>
        </w:rPr>
        <w:t>use of burner, whisper burner and parachute;</w:t>
      </w:r>
    </w:p>
    <w:p w14:paraId="0D1AA605" w14:textId="77777777" w:rsidR="00756D59" w:rsidRPr="00756D59" w:rsidRDefault="00756D59" w:rsidP="00756D59">
      <w:pPr>
        <w:numPr>
          <w:ilvl w:val="0"/>
          <w:numId w:val="152"/>
        </w:numPr>
        <w:spacing w:before="117" w:line="276" w:lineRule="auto"/>
        <w:jc w:val="both"/>
        <w:rPr>
          <w:rFonts w:ascii="Arial" w:hAnsi="Arial" w:cs="Arial"/>
          <w:sz w:val="20"/>
        </w:rPr>
      </w:pPr>
      <w:r w:rsidRPr="00756D59">
        <w:rPr>
          <w:rFonts w:ascii="Arial" w:hAnsi="Arial" w:cs="Arial"/>
          <w:sz w:val="20"/>
        </w:rPr>
        <w:t>look-out procedures;</w:t>
      </w:r>
    </w:p>
    <w:p w14:paraId="525FCD94" w14:textId="77777777" w:rsidR="00756D59" w:rsidRPr="00756D59" w:rsidRDefault="00756D59" w:rsidP="00756D59">
      <w:pPr>
        <w:numPr>
          <w:ilvl w:val="0"/>
          <w:numId w:val="152"/>
        </w:numPr>
        <w:spacing w:before="117" w:line="276" w:lineRule="auto"/>
        <w:jc w:val="both"/>
        <w:rPr>
          <w:rFonts w:ascii="Arial" w:hAnsi="Arial" w:cs="Arial"/>
          <w:sz w:val="20"/>
        </w:rPr>
      </w:pPr>
      <w:r w:rsidRPr="00756D59">
        <w:rPr>
          <w:rFonts w:ascii="Arial" w:hAnsi="Arial" w:cs="Arial"/>
          <w:sz w:val="20"/>
        </w:rPr>
        <w:t>avoidance of low-level obstacles;</w:t>
      </w:r>
    </w:p>
    <w:p w14:paraId="405E96B5" w14:textId="77777777" w:rsidR="00756D59" w:rsidRPr="00756D59" w:rsidRDefault="00756D59" w:rsidP="00756D59">
      <w:pPr>
        <w:numPr>
          <w:ilvl w:val="0"/>
          <w:numId w:val="152"/>
        </w:numPr>
        <w:spacing w:before="117" w:line="276" w:lineRule="auto"/>
        <w:jc w:val="both"/>
        <w:rPr>
          <w:rFonts w:ascii="Arial" w:hAnsi="Arial" w:cs="Arial"/>
          <w:sz w:val="20"/>
        </w:rPr>
      </w:pPr>
      <w:r w:rsidRPr="00756D59">
        <w:rPr>
          <w:rFonts w:ascii="Arial" w:hAnsi="Arial" w:cs="Arial"/>
          <w:sz w:val="20"/>
        </w:rPr>
        <w:t>avoidance of sensitive areas and nature protection areas; and</w:t>
      </w:r>
    </w:p>
    <w:p w14:paraId="07C885D5" w14:textId="77777777" w:rsidR="00756D59" w:rsidRPr="00756D59" w:rsidRDefault="00756D59" w:rsidP="00756D59">
      <w:pPr>
        <w:numPr>
          <w:ilvl w:val="0"/>
          <w:numId w:val="152"/>
        </w:numPr>
        <w:spacing w:before="117" w:line="276" w:lineRule="auto"/>
        <w:jc w:val="both"/>
        <w:rPr>
          <w:rFonts w:ascii="Arial" w:hAnsi="Arial" w:cs="Arial"/>
          <w:sz w:val="20"/>
        </w:rPr>
      </w:pPr>
      <w:r w:rsidRPr="00756D59">
        <w:rPr>
          <w:rFonts w:ascii="Arial" w:hAnsi="Arial" w:cs="Arial"/>
          <w:sz w:val="20"/>
        </w:rPr>
        <w:t>landowner relations.</w:t>
      </w:r>
    </w:p>
    <w:p w14:paraId="32C2FB52" w14:textId="77777777" w:rsidR="00756D59" w:rsidRPr="00756D59" w:rsidRDefault="00756D59" w:rsidP="00756D59">
      <w:pPr>
        <w:spacing w:before="117" w:line="276" w:lineRule="auto"/>
        <w:jc w:val="both"/>
        <w:rPr>
          <w:rFonts w:ascii="Arial" w:hAnsi="Arial" w:cs="Arial"/>
          <w:b/>
          <w:bCs/>
          <w:sz w:val="20"/>
        </w:rPr>
      </w:pPr>
      <w:r w:rsidRPr="00756D59">
        <w:rPr>
          <w:rFonts w:ascii="Arial" w:hAnsi="Arial" w:cs="Arial"/>
          <w:b/>
          <w:bCs/>
          <w:sz w:val="20"/>
        </w:rPr>
        <w:t>Exercise 16: Landing in different wind conditions</w:t>
      </w:r>
    </w:p>
    <w:p w14:paraId="7D304271" w14:textId="77777777" w:rsidR="00756D59" w:rsidRPr="00756D59" w:rsidRDefault="00756D59" w:rsidP="00756D59">
      <w:pPr>
        <w:numPr>
          <w:ilvl w:val="0"/>
          <w:numId w:val="151"/>
        </w:numPr>
        <w:spacing w:before="117" w:line="276" w:lineRule="auto"/>
        <w:jc w:val="both"/>
        <w:rPr>
          <w:rFonts w:ascii="Arial" w:hAnsi="Arial" w:cs="Arial"/>
          <w:sz w:val="20"/>
        </w:rPr>
      </w:pPr>
      <w:r w:rsidRPr="00756D59">
        <w:rPr>
          <w:rFonts w:ascii="Arial" w:hAnsi="Arial" w:cs="Arial"/>
          <w:sz w:val="20"/>
        </w:rPr>
        <w:t>pre-landing checks;</w:t>
      </w:r>
    </w:p>
    <w:p w14:paraId="3F71D818" w14:textId="77777777" w:rsidR="00756D59" w:rsidRPr="00756D59" w:rsidRDefault="00756D59" w:rsidP="00756D59">
      <w:pPr>
        <w:numPr>
          <w:ilvl w:val="0"/>
          <w:numId w:val="151"/>
        </w:numPr>
        <w:spacing w:before="117" w:line="276" w:lineRule="auto"/>
        <w:jc w:val="both"/>
        <w:rPr>
          <w:rFonts w:ascii="Arial" w:hAnsi="Arial" w:cs="Arial"/>
          <w:sz w:val="20"/>
        </w:rPr>
      </w:pPr>
      <w:r w:rsidRPr="00756D59">
        <w:rPr>
          <w:rFonts w:ascii="Arial" w:hAnsi="Arial" w:cs="Arial"/>
          <w:sz w:val="20"/>
        </w:rPr>
        <w:t>passenger pre-landing briefing;</w:t>
      </w:r>
    </w:p>
    <w:p w14:paraId="0D7BF20E" w14:textId="77777777" w:rsidR="00756D59" w:rsidRPr="00756D59" w:rsidRDefault="00756D59" w:rsidP="00756D59">
      <w:pPr>
        <w:numPr>
          <w:ilvl w:val="0"/>
          <w:numId w:val="151"/>
        </w:numPr>
        <w:spacing w:before="117" w:line="276" w:lineRule="auto"/>
        <w:jc w:val="both"/>
        <w:rPr>
          <w:rFonts w:ascii="Arial" w:hAnsi="Arial" w:cs="Arial"/>
          <w:sz w:val="20"/>
        </w:rPr>
      </w:pPr>
      <w:r w:rsidRPr="00756D59">
        <w:rPr>
          <w:rFonts w:ascii="Arial" w:hAnsi="Arial" w:cs="Arial"/>
          <w:sz w:val="20"/>
        </w:rPr>
        <w:t>selection of field;</w:t>
      </w:r>
    </w:p>
    <w:p w14:paraId="6701B4B0" w14:textId="77777777" w:rsidR="00756D59" w:rsidRPr="00756D59" w:rsidRDefault="00756D59" w:rsidP="00756D59">
      <w:pPr>
        <w:numPr>
          <w:ilvl w:val="0"/>
          <w:numId w:val="151"/>
        </w:numPr>
        <w:spacing w:before="117" w:line="276" w:lineRule="auto"/>
        <w:jc w:val="both"/>
        <w:rPr>
          <w:rFonts w:ascii="Arial" w:hAnsi="Arial" w:cs="Arial"/>
          <w:sz w:val="20"/>
        </w:rPr>
      </w:pPr>
      <w:r w:rsidRPr="00756D59">
        <w:rPr>
          <w:rFonts w:ascii="Arial" w:hAnsi="Arial" w:cs="Arial"/>
          <w:sz w:val="20"/>
        </w:rPr>
        <w:t>turbulence (in the case of landings with high wind speed only);</w:t>
      </w:r>
    </w:p>
    <w:p w14:paraId="477DA738" w14:textId="77777777" w:rsidR="00756D59" w:rsidRPr="00756D59" w:rsidRDefault="00756D59" w:rsidP="00756D59">
      <w:pPr>
        <w:numPr>
          <w:ilvl w:val="0"/>
          <w:numId w:val="151"/>
        </w:numPr>
        <w:spacing w:before="117" w:line="276" w:lineRule="auto"/>
        <w:jc w:val="both"/>
        <w:rPr>
          <w:rFonts w:ascii="Arial" w:hAnsi="Arial" w:cs="Arial"/>
          <w:sz w:val="20"/>
        </w:rPr>
      </w:pPr>
      <w:r w:rsidRPr="00756D59">
        <w:rPr>
          <w:rFonts w:ascii="Arial" w:hAnsi="Arial" w:cs="Arial"/>
          <w:sz w:val="20"/>
        </w:rPr>
        <w:t>use of burner and pilot lights;</w:t>
      </w:r>
    </w:p>
    <w:p w14:paraId="3A84DCAC" w14:textId="77777777" w:rsidR="00756D59" w:rsidRPr="00756D59" w:rsidRDefault="00756D59" w:rsidP="00756D59">
      <w:pPr>
        <w:numPr>
          <w:ilvl w:val="0"/>
          <w:numId w:val="151"/>
        </w:numPr>
        <w:spacing w:before="117" w:line="276" w:lineRule="auto"/>
        <w:jc w:val="both"/>
        <w:rPr>
          <w:rFonts w:ascii="Arial" w:hAnsi="Arial" w:cs="Arial"/>
          <w:sz w:val="20"/>
        </w:rPr>
      </w:pPr>
      <w:r w:rsidRPr="00756D59">
        <w:rPr>
          <w:rFonts w:ascii="Arial" w:hAnsi="Arial" w:cs="Arial"/>
          <w:sz w:val="20"/>
        </w:rPr>
        <w:t>use of parachute (or other deflation system) and turning vents (if applicable);</w:t>
      </w:r>
    </w:p>
    <w:p w14:paraId="16127759" w14:textId="77777777" w:rsidR="00756D59" w:rsidRPr="00756D59" w:rsidRDefault="00756D59" w:rsidP="00756D59">
      <w:pPr>
        <w:numPr>
          <w:ilvl w:val="0"/>
          <w:numId w:val="151"/>
        </w:numPr>
        <w:spacing w:before="117" w:line="276" w:lineRule="auto"/>
        <w:jc w:val="both"/>
        <w:rPr>
          <w:rFonts w:ascii="Arial" w:hAnsi="Arial" w:cs="Arial"/>
          <w:sz w:val="20"/>
        </w:rPr>
      </w:pPr>
      <w:r w:rsidRPr="00756D59">
        <w:rPr>
          <w:rFonts w:ascii="Arial" w:hAnsi="Arial" w:cs="Arial"/>
          <w:sz w:val="20"/>
        </w:rPr>
        <w:t>look-out procedures;</w:t>
      </w:r>
    </w:p>
    <w:p w14:paraId="5D794209" w14:textId="77777777" w:rsidR="00756D59" w:rsidRPr="00756D59" w:rsidRDefault="00756D59" w:rsidP="00756D59">
      <w:pPr>
        <w:numPr>
          <w:ilvl w:val="0"/>
          <w:numId w:val="151"/>
        </w:numPr>
        <w:spacing w:before="117" w:line="276" w:lineRule="auto"/>
        <w:jc w:val="both"/>
        <w:rPr>
          <w:rFonts w:ascii="Arial" w:hAnsi="Arial" w:cs="Arial"/>
          <w:sz w:val="20"/>
        </w:rPr>
      </w:pPr>
      <w:r w:rsidRPr="00756D59">
        <w:rPr>
          <w:rFonts w:ascii="Arial" w:hAnsi="Arial" w:cs="Arial"/>
          <w:sz w:val="20"/>
        </w:rPr>
        <w:t>dragging and deflation;</w:t>
      </w:r>
    </w:p>
    <w:p w14:paraId="0FE72FA9" w14:textId="77777777" w:rsidR="00756D59" w:rsidRPr="00756D59" w:rsidRDefault="00756D59" w:rsidP="00756D59">
      <w:pPr>
        <w:numPr>
          <w:ilvl w:val="0"/>
          <w:numId w:val="151"/>
        </w:numPr>
        <w:spacing w:before="117" w:line="276" w:lineRule="auto"/>
        <w:jc w:val="both"/>
        <w:rPr>
          <w:rFonts w:ascii="Arial" w:hAnsi="Arial" w:cs="Arial"/>
          <w:sz w:val="20"/>
        </w:rPr>
      </w:pPr>
      <w:r w:rsidRPr="00756D59">
        <w:rPr>
          <w:rFonts w:ascii="Arial" w:hAnsi="Arial" w:cs="Arial"/>
          <w:sz w:val="20"/>
        </w:rPr>
        <w:t>landowner relations; and</w:t>
      </w:r>
    </w:p>
    <w:p w14:paraId="331C1873" w14:textId="77777777" w:rsidR="00756D59" w:rsidRPr="00756D59" w:rsidRDefault="00756D59" w:rsidP="00756D59">
      <w:pPr>
        <w:numPr>
          <w:ilvl w:val="0"/>
          <w:numId w:val="151"/>
        </w:numPr>
        <w:spacing w:before="117" w:line="276" w:lineRule="auto"/>
        <w:jc w:val="both"/>
        <w:rPr>
          <w:rFonts w:ascii="Arial" w:hAnsi="Arial" w:cs="Arial"/>
          <w:sz w:val="20"/>
        </w:rPr>
      </w:pPr>
      <w:r w:rsidRPr="00756D59">
        <w:rPr>
          <w:rFonts w:ascii="Arial" w:hAnsi="Arial" w:cs="Arial"/>
          <w:sz w:val="20"/>
        </w:rPr>
        <w:t>airmanship.</w:t>
      </w:r>
    </w:p>
    <w:p w14:paraId="57E2B424" w14:textId="77777777" w:rsidR="00756D59" w:rsidRPr="00756D59" w:rsidRDefault="00756D59" w:rsidP="00756D59">
      <w:pPr>
        <w:spacing w:before="117" w:line="276" w:lineRule="auto"/>
        <w:jc w:val="both"/>
        <w:rPr>
          <w:rFonts w:ascii="Arial" w:hAnsi="Arial" w:cs="Arial"/>
          <w:b/>
          <w:bCs/>
          <w:sz w:val="20"/>
        </w:rPr>
      </w:pPr>
      <w:r w:rsidRPr="00756D59">
        <w:rPr>
          <w:rFonts w:ascii="Arial" w:hAnsi="Arial" w:cs="Arial"/>
          <w:b/>
          <w:bCs/>
          <w:sz w:val="20"/>
        </w:rPr>
        <w:t>Exercise 17: First solo flight</w:t>
      </w:r>
    </w:p>
    <w:p w14:paraId="2F25A40B" w14:textId="77777777" w:rsidR="00756D59" w:rsidRPr="00756D59" w:rsidRDefault="00756D59" w:rsidP="00756D59">
      <w:pPr>
        <w:numPr>
          <w:ilvl w:val="0"/>
          <w:numId w:val="150"/>
        </w:numPr>
        <w:spacing w:before="117" w:line="276" w:lineRule="auto"/>
        <w:jc w:val="both"/>
        <w:rPr>
          <w:rFonts w:ascii="Arial" w:hAnsi="Arial" w:cs="Arial"/>
          <w:sz w:val="20"/>
        </w:rPr>
      </w:pPr>
      <w:r w:rsidRPr="00756D59">
        <w:rPr>
          <w:rFonts w:ascii="Arial" w:hAnsi="Arial" w:cs="Arial"/>
          <w:sz w:val="20"/>
        </w:rPr>
        <w:t>supervised flight preparation; and</w:t>
      </w:r>
    </w:p>
    <w:p w14:paraId="5213011A" w14:textId="77777777" w:rsidR="00756D59" w:rsidRPr="00756D59" w:rsidRDefault="00756D59" w:rsidP="00756D59">
      <w:pPr>
        <w:numPr>
          <w:ilvl w:val="0"/>
          <w:numId w:val="150"/>
        </w:numPr>
        <w:spacing w:before="117" w:line="276" w:lineRule="auto"/>
        <w:jc w:val="both"/>
        <w:rPr>
          <w:rFonts w:ascii="Arial" w:hAnsi="Arial" w:cs="Arial"/>
          <w:sz w:val="20"/>
        </w:rPr>
      </w:pPr>
      <w:r w:rsidRPr="00756D59">
        <w:rPr>
          <w:rFonts w:ascii="Arial" w:hAnsi="Arial" w:cs="Arial"/>
          <w:sz w:val="20"/>
        </w:rPr>
        <w:t>instructor’s briefing, observation of flight and de-briefing.</w:t>
      </w:r>
    </w:p>
    <w:p w14:paraId="3E1E2ABF" w14:textId="77777777" w:rsidR="008E2616" w:rsidRPr="00CE68A2" w:rsidRDefault="00756D59" w:rsidP="009601C2">
      <w:pPr>
        <w:spacing w:before="117" w:line="276" w:lineRule="auto"/>
        <w:jc w:val="both"/>
        <w:rPr>
          <w:rFonts w:ascii="Arial" w:hAnsi="Arial" w:cs="Arial"/>
          <w:i/>
          <w:sz w:val="20"/>
        </w:rPr>
      </w:pPr>
      <w:r w:rsidRPr="00756D59">
        <w:rPr>
          <w:rFonts w:ascii="Arial" w:hAnsi="Arial" w:cs="Arial"/>
          <w:sz w:val="20"/>
        </w:rPr>
        <w:t>N</w:t>
      </w:r>
      <w:r w:rsidRPr="00CE68A2">
        <w:rPr>
          <w:rFonts w:ascii="Arial" w:hAnsi="Arial" w:cs="Arial"/>
          <w:i/>
          <w:sz w:val="20"/>
        </w:rPr>
        <w:t>ote: Exercises 1 to 16 must have been completed and the student must have achieved a sufficient level of competence to safely perform a flight before undertaking the first solo flight.</w:t>
      </w:r>
    </w:p>
    <w:p w14:paraId="265AB53C" w14:textId="77777777" w:rsidR="00756D59" w:rsidRPr="00756D59" w:rsidRDefault="00756D59" w:rsidP="00756D59">
      <w:pPr>
        <w:numPr>
          <w:ilvl w:val="0"/>
          <w:numId w:val="136"/>
        </w:numPr>
        <w:spacing w:before="117" w:line="276" w:lineRule="auto"/>
        <w:jc w:val="both"/>
        <w:rPr>
          <w:rFonts w:ascii="Arial" w:hAnsi="Arial" w:cs="Arial"/>
          <w:sz w:val="20"/>
        </w:rPr>
      </w:pPr>
      <w:r w:rsidRPr="00756D59">
        <w:rPr>
          <w:rFonts w:ascii="Arial" w:hAnsi="Arial" w:cs="Arial"/>
          <w:sz w:val="20"/>
        </w:rPr>
        <w:t>Syllabus of flight instruction (gas balloon)</w:t>
      </w:r>
    </w:p>
    <w:p w14:paraId="00E77C18" w14:textId="77777777" w:rsidR="00756D59" w:rsidRPr="00756D59" w:rsidRDefault="00756D59" w:rsidP="00756D59">
      <w:pPr>
        <w:numPr>
          <w:ilvl w:val="1"/>
          <w:numId w:val="136"/>
        </w:numPr>
        <w:spacing w:before="117" w:line="276" w:lineRule="auto"/>
        <w:jc w:val="both"/>
        <w:rPr>
          <w:rFonts w:ascii="Arial" w:hAnsi="Arial" w:cs="Arial"/>
          <w:sz w:val="20"/>
        </w:rPr>
      </w:pPr>
      <w:r w:rsidRPr="00756D59">
        <w:rPr>
          <w:rFonts w:ascii="Arial" w:hAnsi="Arial" w:cs="Arial"/>
          <w:sz w:val="20"/>
        </w:rPr>
        <w:t>The numbering of exercises should be used primarily as an exercise reference list and as a broad instructional sequencing guide; therefore, the demonstrations and practices need not necessarily be given in the order listed. The actual order and content will depend upon the following interrelated factors:</w:t>
      </w:r>
    </w:p>
    <w:p w14:paraId="4B904829" w14:textId="77777777" w:rsidR="00756D59" w:rsidRPr="00756D59" w:rsidRDefault="00756D59" w:rsidP="00756D59">
      <w:pPr>
        <w:numPr>
          <w:ilvl w:val="2"/>
          <w:numId w:val="136"/>
        </w:numPr>
        <w:spacing w:before="117" w:line="276" w:lineRule="auto"/>
        <w:jc w:val="both"/>
        <w:rPr>
          <w:rFonts w:ascii="Arial" w:hAnsi="Arial" w:cs="Arial"/>
          <w:sz w:val="20"/>
        </w:rPr>
      </w:pPr>
      <w:r w:rsidRPr="00756D59">
        <w:rPr>
          <w:rFonts w:ascii="Arial" w:hAnsi="Arial" w:cs="Arial"/>
          <w:sz w:val="20"/>
        </w:rPr>
        <w:t>the applicant’s progress and ability;</w:t>
      </w:r>
    </w:p>
    <w:p w14:paraId="792D2382" w14:textId="77777777" w:rsidR="00756D59" w:rsidRPr="00756D59" w:rsidRDefault="00756D59" w:rsidP="00756D59">
      <w:pPr>
        <w:numPr>
          <w:ilvl w:val="2"/>
          <w:numId w:val="136"/>
        </w:numPr>
        <w:spacing w:before="117" w:line="276" w:lineRule="auto"/>
        <w:jc w:val="both"/>
        <w:rPr>
          <w:rFonts w:ascii="Arial" w:hAnsi="Arial" w:cs="Arial"/>
          <w:sz w:val="20"/>
        </w:rPr>
      </w:pPr>
      <w:r w:rsidRPr="00756D59">
        <w:rPr>
          <w:rFonts w:ascii="Arial" w:hAnsi="Arial" w:cs="Arial"/>
          <w:sz w:val="20"/>
        </w:rPr>
        <w:t>the weather conditions affecting the flight;</w:t>
      </w:r>
    </w:p>
    <w:p w14:paraId="53B83CFE" w14:textId="77777777" w:rsidR="00756D59" w:rsidRPr="00756D59" w:rsidRDefault="00756D59" w:rsidP="00756D59">
      <w:pPr>
        <w:numPr>
          <w:ilvl w:val="2"/>
          <w:numId w:val="136"/>
        </w:numPr>
        <w:spacing w:before="117" w:line="276" w:lineRule="auto"/>
        <w:jc w:val="both"/>
        <w:rPr>
          <w:rFonts w:ascii="Arial" w:hAnsi="Arial" w:cs="Arial"/>
          <w:sz w:val="20"/>
        </w:rPr>
      </w:pPr>
      <w:r w:rsidRPr="00756D59">
        <w:rPr>
          <w:rFonts w:ascii="Arial" w:hAnsi="Arial" w:cs="Arial"/>
          <w:sz w:val="20"/>
        </w:rPr>
        <w:t>the flight time available;</w:t>
      </w:r>
    </w:p>
    <w:p w14:paraId="5E08C565" w14:textId="77777777" w:rsidR="00756D59" w:rsidRPr="00756D59" w:rsidRDefault="00756D59" w:rsidP="00756D59">
      <w:pPr>
        <w:numPr>
          <w:ilvl w:val="2"/>
          <w:numId w:val="136"/>
        </w:numPr>
        <w:spacing w:before="117" w:line="276" w:lineRule="auto"/>
        <w:jc w:val="both"/>
        <w:rPr>
          <w:rFonts w:ascii="Arial" w:hAnsi="Arial" w:cs="Arial"/>
          <w:sz w:val="20"/>
        </w:rPr>
      </w:pPr>
      <w:r w:rsidRPr="00756D59">
        <w:rPr>
          <w:rFonts w:ascii="Arial" w:hAnsi="Arial" w:cs="Arial"/>
          <w:sz w:val="20"/>
        </w:rPr>
        <w:t>the instructional technique considerations;</w:t>
      </w:r>
    </w:p>
    <w:p w14:paraId="1189ADD4" w14:textId="77777777" w:rsidR="00756D59" w:rsidRPr="00756D59" w:rsidRDefault="00756D59" w:rsidP="00756D59">
      <w:pPr>
        <w:numPr>
          <w:ilvl w:val="2"/>
          <w:numId w:val="136"/>
        </w:numPr>
        <w:spacing w:before="117" w:line="276" w:lineRule="auto"/>
        <w:jc w:val="both"/>
        <w:rPr>
          <w:rFonts w:ascii="Arial" w:hAnsi="Arial" w:cs="Arial"/>
          <w:sz w:val="20"/>
        </w:rPr>
      </w:pPr>
      <w:r w:rsidRPr="00756D59">
        <w:rPr>
          <w:rFonts w:ascii="Arial" w:hAnsi="Arial" w:cs="Arial"/>
          <w:sz w:val="20"/>
        </w:rPr>
        <w:t>the local operating environment; and</w:t>
      </w:r>
    </w:p>
    <w:p w14:paraId="69DE5456" w14:textId="77777777" w:rsidR="00756D59" w:rsidRPr="00756D59" w:rsidRDefault="00756D59" w:rsidP="00756D59">
      <w:pPr>
        <w:numPr>
          <w:ilvl w:val="2"/>
          <w:numId w:val="136"/>
        </w:numPr>
        <w:spacing w:before="117" w:line="276" w:lineRule="auto"/>
        <w:jc w:val="both"/>
        <w:rPr>
          <w:rFonts w:ascii="Arial" w:hAnsi="Arial" w:cs="Arial"/>
          <w:sz w:val="20"/>
        </w:rPr>
      </w:pPr>
      <w:r w:rsidRPr="00756D59">
        <w:rPr>
          <w:rFonts w:ascii="Arial" w:hAnsi="Arial" w:cs="Arial"/>
          <w:sz w:val="20"/>
        </w:rPr>
        <w:t>the applicability of the exercises to the balloon type.</w:t>
      </w:r>
    </w:p>
    <w:p w14:paraId="11565B89" w14:textId="77777777" w:rsidR="00756D59" w:rsidRPr="00756D59" w:rsidRDefault="00756D59" w:rsidP="00756D59">
      <w:pPr>
        <w:numPr>
          <w:ilvl w:val="1"/>
          <w:numId w:val="136"/>
        </w:numPr>
        <w:spacing w:before="117" w:line="276" w:lineRule="auto"/>
        <w:jc w:val="both"/>
        <w:rPr>
          <w:rFonts w:ascii="Arial" w:hAnsi="Arial" w:cs="Arial"/>
          <w:sz w:val="20"/>
        </w:rPr>
      </w:pPr>
      <w:r w:rsidRPr="00756D59">
        <w:rPr>
          <w:rFonts w:ascii="Arial" w:hAnsi="Arial" w:cs="Arial"/>
          <w:sz w:val="20"/>
        </w:rPr>
        <w:t>Each of the exercises involves the need for the pilot under training to be aware of the needs of good airmanship and look-out, which should be emphasised at all times.</w:t>
      </w:r>
    </w:p>
    <w:p w14:paraId="390246A6" w14:textId="77777777" w:rsidR="00756D59" w:rsidRPr="00756D59" w:rsidRDefault="00756D59" w:rsidP="00756D59">
      <w:pPr>
        <w:numPr>
          <w:ilvl w:val="1"/>
          <w:numId w:val="136"/>
        </w:numPr>
        <w:spacing w:before="117" w:line="276" w:lineRule="auto"/>
        <w:jc w:val="both"/>
        <w:rPr>
          <w:rFonts w:ascii="Arial" w:hAnsi="Arial" w:cs="Arial"/>
          <w:sz w:val="20"/>
        </w:rPr>
      </w:pPr>
      <w:r w:rsidRPr="00756D59">
        <w:rPr>
          <w:rFonts w:ascii="Arial" w:hAnsi="Arial" w:cs="Arial"/>
          <w:sz w:val="20"/>
        </w:rPr>
        <w:t>List of exercises</w:t>
      </w:r>
    </w:p>
    <w:p w14:paraId="275D2AC5" w14:textId="77777777" w:rsidR="00756D59" w:rsidRPr="00756D59" w:rsidRDefault="00756D59" w:rsidP="00756D59">
      <w:pPr>
        <w:spacing w:before="117" w:line="276" w:lineRule="auto"/>
        <w:jc w:val="both"/>
        <w:rPr>
          <w:rFonts w:ascii="Arial" w:hAnsi="Arial" w:cs="Arial"/>
          <w:b/>
          <w:bCs/>
          <w:sz w:val="20"/>
        </w:rPr>
      </w:pPr>
      <w:r w:rsidRPr="00756D59">
        <w:rPr>
          <w:rFonts w:ascii="Arial" w:hAnsi="Arial" w:cs="Arial"/>
          <w:b/>
          <w:bCs/>
          <w:sz w:val="20"/>
        </w:rPr>
        <w:t>Exercise 1: Familiarisation with the balloon</w:t>
      </w:r>
    </w:p>
    <w:p w14:paraId="3C3E8096" w14:textId="77777777" w:rsidR="00756D59" w:rsidRPr="00756D59" w:rsidRDefault="00756D59" w:rsidP="0079393D">
      <w:pPr>
        <w:numPr>
          <w:ilvl w:val="0"/>
          <w:numId w:val="161"/>
        </w:numPr>
        <w:spacing w:before="117" w:line="276" w:lineRule="auto"/>
        <w:jc w:val="both"/>
        <w:rPr>
          <w:rFonts w:ascii="Arial" w:hAnsi="Arial" w:cs="Arial"/>
          <w:sz w:val="20"/>
        </w:rPr>
      </w:pPr>
      <w:r w:rsidRPr="00756D59">
        <w:rPr>
          <w:rFonts w:ascii="Arial" w:hAnsi="Arial" w:cs="Arial"/>
          <w:sz w:val="20"/>
        </w:rPr>
        <w:t>characteristics of the balloon;</w:t>
      </w:r>
    </w:p>
    <w:p w14:paraId="44D7DD19" w14:textId="77777777" w:rsidR="00756D59" w:rsidRPr="00756D59" w:rsidRDefault="00756D59" w:rsidP="0079393D">
      <w:pPr>
        <w:numPr>
          <w:ilvl w:val="0"/>
          <w:numId w:val="161"/>
        </w:numPr>
        <w:spacing w:before="117" w:line="276" w:lineRule="auto"/>
        <w:jc w:val="both"/>
        <w:rPr>
          <w:rFonts w:ascii="Arial" w:hAnsi="Arial" w:cs="Arial"/>
          <w:sz w:val="20"/>
        </w:rPr>
      </w:pPr>
      <w:r w:rsidRPr="00756D59">
        <w:rPr>
          <w:rFonts w:ascii="Arial" w:hAnsi="Arial" w:cs="Arial"/>
          <w:sz w:val="20"/>
        </w:rPr>
        <w:t>the components or systems;</w:t>
      </w:r>
    </w:p>
    <w:p w14:paraId="2849E36C" w14:textId="77777777" w:rsidR="00756D59" w:rsidRPr="00756D59" w:rsidRDefault="00756D59" w:rsidP="0079393D">
      <w:pPr>
        <w:numPr>
          <w:ilvl w:val="0"/>
          <w:numId w:val="161"/>
        </w:numPr>
        <w:spacing w:before="117" w:line="276" w:lineRule="auto"/>
        <w:jc w:val="both"/>
        <w:rPr>
          <w:rFonts w:ascii="Arial" w:hAnsi="Arial" w:cs="Arial"/>
          <w:sz w:val="20"/>
        </w:rPr>
      </w:pPr>
      <w:r w:rsidRPr="00756D59">
        <w:rPr>
          <w:rFonts w:ascii="Arial" w:hAnsi="Arial" w:cs="Arial"/>
          <w:sz w:val="20"/>
        </w:rPr>
        <w:lastRenderedPageBreak/>
        <w:t>instruments and equipment; and</w:t>
      </w:r>
    </w:p>
    <w:p w14:paraId="35A669D2" w14:textId="77777777" w:rsidR="00756D59" w:rsidRPr="00756D59" w:rsidRDefault="00756D59" w:rsidP="0079393D">
      <w:pPr>
        <w:numPr>
          <w:ilvl w:val="0"/>
          <w:numId w:val="161"/>
        </w:numPr>
        <w:spacing w:before="117" w:line="276" w:lineRule="auto"/>
        <w:jc w:val="both"/>
        <w:rPr>
          <w:rFonts w:ascii="Arial" w:hAnsi="Arial" w:cs="Arial"/>
          <w:sz w:val="20"/>
        </w:rPr>
      </w:pPr>
      <w:r w:rsidRPr="00756D59">
        <w:rPr>
          <w:rFonts w:ascii="Arial" w:hAnsi="Arial" w:cs="Arial"/>
          <w:sz w:val="20"/>
        </w:rPr>
        <w:t>use of checklist(s) and procedures.</w:t>
      </w:r>
    </w:p>
    <w:p w14:paraId="4C3670FC" w14:textId="77777777" w:rsidR="00756D59" w:rsidRPr="00756D59" w:rsidRDefault="00756D59" w:rsidP="00756D59">
      <w:pPr>
        <w:spacing w:before="117" w:line="276" w:lineRule="auto"/>
        <w:jc w:val="both"/>
        <w:rPr>
          <w:rFonts w:ascii="Arial" w:hAnsi="Arial" w:cs="Arial"/>
          <w:b/>
          <w:bCs/>
          <w:sz w:val="20"/>
        </w:rPr>
      </w:pPr>
      <w:r w:rsidRPr="00756D59">
        <w:rPr>
          <w:rFonts w:ascii="Arial" w:hAnsi="Arial" w:cs="Arial"/>
          <w:b/>
          <w:bCs/>
          <w:sz w:val="20"/>
        </w:rPr>
        <w:t>Exercise 2: Preparation for flight</w:t>
      </w:r>
    </w:p>
    <w:p w14:paraId="5F994943" w14:textId="77777777" w:rsidR="00756D59" w:rsidRPr="00756D59" w:rsidRDefault="00756D59" w:rsidP="00756D59">
      <w:pPr>
        <w:numPr>
          <w:ilvl w:val="0"/>
          <w:numId w:val="154"/>
        </w:numPr>
        <w:spacing w:before="117" w:line="276" w:lineRule="auto"/>
        <w:jc w:val="both"/>
        <w:rPr>
          <w:rFonts w:ascii="Arial" w:hAnsi="Arial" w:cs="Arial"/>
          <w:sz w:val="20"/>
        </w:rPr>
      </w:pPr>
      <w:r w:rsidRPr="00756D59">
        <w:rPr>
          <w:rFonts w:ascii="Arial" w:hAnsi="Arial" w:cs="Arial"/>
          <w:sz w:val="20"/>
        </w:rPr>
        <w:t>documentation and equipment;</w:t>
      </w:r>
    </w:p>
    <w:p w14:paraId="169C87C1" w14:textId="77777777" w:rsidR="00756D59" w:rsidRPr="00756D59" w:rsidRDefault="00756D59" w:rsidP="00756D59">
      <w:pPr>
        <w:numPr>
          <w:ilvl w:val="0"/>
          <w:numId w:val="154"/>
        </w:numPr>
        <w:spacing w:before="117" w:line="276" w:lineRule="auto"/>
        <w:jc w:val="both"/>
        <w:rPr>
          <w:rFonts w:ascii="Arial" w:hAnsi="Arial" w:cs="Arial"/>
          <w:sz w:val="20"/>
        </w:rPr>
      </w:pPr>
      <w:r w:rsidRPr="00756D59">
        <w:rPr>
          <w:rFonts w:ascii="Arial" w:hAnsi="Arial" w:cs="Arial"/>
          <w:sz w:val="20"/>
        </w:rPr>
        <w:t>weather forecast and actuals;</w:t>
      </w:r>
    </w:p>
    <w:p w14:paraId="0E10A69F" w14:textId="77777777" w:rsidR="00756D59" w:rsidRPr="00756D59" w:rsidRDefault="00756D59" w:rsidP="00756D59">
      <w:pPr>
        <w:numPr>
          <w:ilvl w:val="0"/>
          <w:numId w:val="154"/>
        </w:numPr>
        <w:spacing w:before="117" w:line="276" w:lineRule="auto"/>
        <w:jc w:val="both"/>
        <w:rPr>
          <w:rFonts w:ascii="Arial" w:hAnsi="Arial" w:cs="Arial"/>
          <w:sz w:val="20"/>
        </w:rPr>
      </w:pPr>
      <w:r w:rsidRPr="00756D59">
        <w:rPr>
          <w:rFonts w:ascii="Arial" w:hAnsi="Arial" w:cs="Arial"/>
          <w:sz w:val="20"/>
        </w:rPr>
        <w:t>flight planning:</w:t>
      </w:r>
    </w:p>
    <w:p w14:paraId="2FD4DB62" w14:textId="77777777" w:rsidR="00756D59" w:rsidRPr="00756D59" w:rsidRDefault="00756D59" w:rsidP="00756D59">
      <w:pPr>
        <w:numPr>
          <w:ilvl w:val="1"/>
          <w:numId w:val="154"/>
        </w:numPr>
        <w:spacing w:before="117" w:line="276" w:lineRule="auto"/>
        <w:jc w:val="both"/>
        <w:rPr>
          <w:rFonts w:ascii="Arial" w:hAnsi="Arial" w:cs="Arial"/>
          <w:sz w:val="20"/>
        </w:rPr>
      </w:pPr>
      <w:r w:rsidRPr="00756D59">
        <w:rPr>
          <w:rFonts w:ascii="Arial" w:hAnsi="Arial" w:cs="Arial"/>
          <w:sz w:val="20"/>
        </w:rPr>
        <w:t>NOTAMs;</w:t>
      </w:r>
    </w:p>
    <w:p w14:paraId="13F10C3B" w14:textId="77777777" w:rsidR="00756D59" w:rsidRPr="00756D59" w:rsidRDefault="00756D59" w:rsidP="00756D59">
      <w:pPr>
        <w:numPr>
          <w:ilvl w:val="1"/>
          <w:numId w:val="154"/>
        </w:numPr>
        <w:spacing w:before="117" w:line="276" w:lineRule="auto"/>
        <w:jc w:val="both"/>
        <w:rPr>
          <w:rFonts w:ascii="Arial" w:hAnsi="Arial" w:cs="Arial"/>
          <w:sz w:val="20"/>
        </w:rPr>
      </w:pPr>
      <w:r w:rsidRPr="00756D59">
        <w:rPr>
          <w:rFonts w:ascii="Arial" w:hAnsi="Arial" w:cs="Arial"/>
          <w:sz w:val="20"/>
        </w:rPr>
        <w:t>airspace structure;</w:t>
      </w:r>
    </w:p>
    <w:p w14:paraId="216EEDCE" w14:textId="77777777" w:rsidR="00756D59" w:rsidRPr="00756D59" w:rsidRDefault="00756D59" w:rsidP="00756D59">
      <w:pPr>
        <w:numPr>
          <w:ilvl w:val="1"/>
          <w:numId w:val="154"/>
        </w:numPr>
        <w:spacing w:before="117" w:line="276" w:lineRule="auto"/>
        <w:jc w:val="both"/>
        <w:rPr>
          <w:rFonts w:ascii="Arial" w:hAnsi="Arial" w:cs="Arial"/>
          <w:sz w:val="20"/>
        </w:rPr>
      </w:pPr>
      <w:r w:rsidRPr="00756D59">
        <w:rPr>
          <w:rFonts w:ascii="Arial" w:hAnsi="Arial" w:cs="Arial"/>
          <w:sz w:val="20"/>
        </w:rPr>
        <w:t>sensitive areas (for example, nature protection areas);</w:t>
      </w:r>
    </w:p>
    <w:p w14:paraId="37A5BE6B" w14:textId="77777777" w:rsidR="00756D59" w:rsidRPr="00756D59" w:rsidRDefault="00756D59" w:rsidP="00756D59">
      <w:pPr>
        <w:numPr>
          <w:ilvl w:val="1"/>
          <w:numId w:val="154"/>
        </w:numPr>
        <w:spacing w:before="117" w:line="276" w:lineRule="auto"/>
        <w:jc w:val="both"/>
        <w:rPr>
          <w:rFonts w:ascii="Arial" w:hAnsi="Arial" w:cs="Arial"/>
          <w:sz w:val="20"/>
        </w:rPr>
      </w:pPr>
      <w:r w:rsidRPr="00756D59">
        <w:rPr>
          <w:rFonts w:ascii="Arial" w:hAnsi="Arial" w:cs="Arial"/>
          <w:sz w:val="20"/>
        </w:rPr>
        <w:t>expected track and distance;</w:t>
      </w:r>
    </w:p>
    <w:p w14:paraId="6C86ECC1" w14:textId="77777777" w:rsidR="00756D59" w:rsidRPr="00756D59" w:rsidRDefault="00756D59" w:rsidP="00756D59">
      <w:pPr>
        <w:numPr>
          <w:ilvl w:val="1"/>
          <w:numId w:val="154"/>
        </w:numPr>
        <w:spacing w:before="117" w:line="276" w:lineRule="auto"/>
        <w:jc w:val="both"/>
        <w:rPr>
          <w:rFonts w:ascii="Arial" w:hAnsi="Arial" w:cs="Arial"/>
          <w:sz w:val="20"/>
        </w:rPr>
      </w:pPr>
      <w:r w:rsidRPr="00756D59">
        <w:rPr>
          <w:rFonts w:ascii="Arial" w:hAnsi="Arial" w:cs="Arial"/>
          <w:sz w:val="20"/>
        </w:rPr>
        <w:t>pre-flight picture; and</w:t>
      </w:r>
    </w:p>
    <w:p w14:paraId="0F3598CF" w14:textId="77777777" w:rsidR="00756D59" w:rsidRPr="00756D59" w:rsidRDefault="00756D59" w:rsidP="00756D59">
      <w:pPr>
        <w:numPr>
          <w:ilvl w:val="1"/>
          <w:numId w:val="154"/>
        </w:numPr>
        <w:spacing w:before="117" w:line="276" w:lineRule="auto"/>
        <w:jc w:val="both"/>
        <w:rPr>
          <w:rFonts w:ascii="Arial" w:hAnsi="Arial" w:cs="Arial"/>
          <w:sz w:val="20"/>
        </w:rPr>
      </w:pPr>
      <w:r w:rsidRPr="00756D59">
        <w:rPr>
          <w:rFonts w:ascii="Arial" w:hAnsi="Arial" w:cs="Arial"/>
          <w:sz w:val="20"/>
        </w:rPr>
        <w:t>possible landing fields;</w:t>
      </w:r>
    </w:p>
    <w:p w14:paraId="1633F7DF" w14:textId="77777777" w:rsidR="00756D59" w:rsidRPr="00756D59" w:rsidRDefault="00756D59" w:rsidP="00756D59">
      <w:pPr>
        <w:numPr>
          <w:ilvl w:val="0"/>
          <w:numId w:val="154"/>
        </w:numPr>
        <w:spacing w:before="117" w:line="276" w:lineRule="auto"/>
        <w:jc w:val="both"/>
        <w:rPr>
          <w:rFonts w:ascii="Arial" w:hAnsi="Arial" w:cs="Arial"/>
          <w:sz w:val="20"/>
        </w:rPr>
      </w:pPr>
      <w:r w:rsidRPr="00756D59">
        <w:rPr>
          <w:rFonts w:ascii="Arial" w:hAnsi="Arial" w:cs="Arial"/>
          <w:sz w:val="20"/>
        </w:rPr>
        <w:t>launch field:</w:t>
      </w:r>
    </w:p>
    <w:p w14:paraId="62B8E21A" w14:textId="77777777" w:rsidR="00756D59" w:rsidRPr="00756D59" w:rsidRDefault="00756D59" w:rsidP="00756D59">
      <w:pPr>
        <w:numPr>
          <w:ilvl w:val="1"/>
          <w:numId w:val="154"/>
        </w:numPr>
        <w:spacing w:before="117" w:line="276" w:lineRule="auto"/>
        <w:jc w:val="both"/>
        <w:rPr>
          <w:rFonts w:ascii="Arial" w:hAnsi="Arial" w:cs="Arial"/>
          <w:sz w:val="20"/>
        </w:rPr>
      </w:pPr>
      <w:r w:rsidRPr="00756D59">
        <w:rPr>
          <w:rFonts w:ascii="Arial" w:hAnsi="Arial" w:cs="Arial"/>
          <w:sz w:val="20"/>
        </w:rPr>
        <w:t>permission;</w:t>
      </w:r>
    </w:p>
    <w:p w14:paraId="69C6F335" w14:textId="77777777" w:rsidR="00756D59" w:rsidRPr="00756D59" w:rsidRDefault="00756D59" w:rsidP="00756D59">
      <w:pPr>
        <w:numPr>
          <w:ilvl w:val="1"/>
          <w:numId w:val="154"/>
        </w:numPr>
        <w:spacing w:before="117" w:line="276" w:lineRule="auto"/>
        <w:jc w:val="both"/>
        <w:rPr>
          <w:rFonts w:ascii="Arial" w:hAnsi="Arial" w:cs="Arial"/>
          <w:sz w:val="20"/>
        </w:rPr>
      </w:pPr>
      <w:r w:rsidRPr="00756D59">
        <w:rPr>
          <w:rFonts w:ascii="Arial" w:hAnsi="Arial" w:cs="Arial"/>
          <w:sz w:val="20"/>
        </w:rPr>
        <w:t>behaviour; and</w:t>
      </w:r>
    </w:p>
    <w:p w14:paraId="106D2A73" w14:textId="77777777" w:rsidR="00756D59" w:rsidRPr="00756D59" w:rsidRDefault="00756D59" w:rsidP="00756D59">
      <w:pPr>
        <w:numPr>
          <w:ilvl w:val="1"/>
          <w:numId w:val="154"/>
        </w:numPr>
        <w:spacing w:before="117" w:line="276" w:lineRule="auto"/>
        <w:jc w:val="both"/>
        <w:rPr>
          <w:rFonts w:ascii="Arial" w:hAnsi="Arial" w:cs="Arial"/>
          <w:sz w:val="20"/>
        </w:rPr>
      </w:pPr>
      <w:r w:rsidRPr="00756D59">
        <w:rPr>
          <w:rFonts w:ascii="Arial" w:hAnsi="Arial" w:cs="Arial"/>
          <w:sz w:val="20"/>
        </w:rPr>
        <w:t>adjacent fields; and</w:t>
      </w:r>
    </w:p>
    <w:p w14:paraId="47022A5C" w14:textId="77777777" w:rsidR="00756D59" w:rsidRPr="00756D59" w:rsidRDefault="00756D59" w:rsidP="00756D59">
      <w:pPr>
        <w:numPr>
          <w:ilvl w:val="0"/>
          <w:numId w:val="154"/>
        </w:numPr>
        <w:spacing w:before="117" w:line="276" w:lineRule="auto"/>
        <w:jc w:val="both"/>
        <w:rPr>
          <w:rFonts w:ascii="Arial" w:hAnsi="Arial" w:cs="Arial"/>
          <w:sz w:val="20"/>
        </w:rPr>
      </w:pPr>
      <w:r w:rsidRPr="00756D59">
        <w:rPr>
          <w:rFonts w:ascii="Arial" w:hAnsi="Arial" w:cs="Arial"/>
          <w:sz w:val="20"/>
        </w:rPr>
        <w:t>load calculations.</w:t>
      </w:r>
    </w:p>
    <w:p w14:paraId="391FE82F" w14:textId="77777777" w:rsidR="008E2616" w:rsidRDefault="00923861" w:rsidP="009601C2">
      <w:pPr>
        <w:spacing w:before="117" w:line="276" w:lineRule="auto"/>
        <w:jc w:val="both"/>
        <w:rPr>
          <w:rFonts w:ascii="Arial" w:hAnsi="Arial" w:cs="Arial"/>
          <w:b/>
          <w:bCs/>
          <w:sz w:val="20"/>
        </w:rPr>
      </w:pPr>
      <w:r w:rsidRPr="00923861">
        <w:rPr>
          <w:rFonts w:ascii="Arial" w:hAnsi="Arial" w:cs="Arial"/>
          <w:b/>
          <w:bCs/>
          <w:sz w:val="20"/>
        </w:rPr>
        <w:t>Exercise 3: Crew and passenger briefing</w:t>
      </w:r>
    </w:p>
    <w:p w14:paraId="181B27F9" w14:textId="77777777" w:rsidR="00923861" w:rsidRPr="00923861" w:rsidRDefault="00923861" w:rsidP="0079393D">
      <w:pPr>
        <w:numPr>
          <w:ilvl w:val="0"/>
          <w:numId w:val="159"/>
        </w:numPr>
        <w:spacing w:before="117" w:line="276" w:lineRule="auto"/>
        <w:jc w:val="both"/>
        <w:rPr>
          <w:rFonts w:ascii="Arial" w:hAnsi="Arial" w:cs="Arial"/>
          <w:sz w:val="20"/>
        </w:rPr>
      </w:pPr>
      <w:r w:rsidRPr="00923861">
        <w:rPr>
          <w:rFonts w:ascii="Arial" w:hAnsi="Arial" w:cs="Arial"/>
          <w:sz w:val="20"/>
        </w:rPr>
        <w:t>clothing;</w:t>
      </w:r>
    </w:p>
    <w:p w14:paraId="64D92737" w14:textId="77777777" w:rsidR="00923861" w:rsidRPr="00923861" w:rsidRDefault="00923861" w:rsidP="0079393D">
      <w:pPr>
        <w:numPr>
          <w:ilvl w:val="0"/>
          <w:numId w:val="159"/>
        </w:numPr>
        <w:spacing w:before="117" w:line="276" w:lineRule="auto"/>
        <w:jc w:val="both"/>
        <w:rPr>
          <w:rFonts w:ascii="Arial" w:hAnsi="Arial" w:cs="Arial"/>
          <w:sz w:val="20"/>
        </w:rPr>
      </w:pPr>
      <w:r w:rsidRPr="00923861">
        <w:rPr>
          <w:rFonts w:ascii="Arial" w:hAnsi="Arial" w:cs="Arial"/>
          <w:sz w:val="20"/>
        </w:rPr>
        <w:t>crew briefing; and</w:t>
      </w:r>
    </w:p>
    <w:p w14:paraId="79C245D0" w14:textId="77777777" w:rsidR="00923861" w:rsidRDefault="00923861" w:rsidP="0079393D">
      <w:pPr>
        <w:numPr>
          <w:ilvl w:val="0"/>
          <w:numId w:val="159"/>
        </w:numPr>
        <w:spacing w:before="117" w:line="276" w:lineRule="auto"/>
        <w:jc w:val="both"/>
        <w:rPr>
          <w:rFonts w:ascii="Arial" w:hAnsi="Arial" w:cs="Arial"/>
          <w:sz w:val="20"/>
        </w:rPr>
      </w:pPr>
      <w:r w:rsidRPr="00923861">
        <w:rPr>
          <w:rFonts w:ascii="Arial" w:hAnsi="Arial" w:cs="Arial"/>
          <w:sz w:val="20"/>
        </w:rPr>
        <w:t>passenger briefing.</w:t>
      </w:r>
    </w:p>
    <w:p w14:paraId="2CFD3ECA" w14:textId="77777777" w:rsidR="00923861" w:rsidRDefault="00923861" w:rsidP="00923861">
      <w:pPr>
        <w:spacing w:before="117" w:line="276" w:lineRule="auto"/>
        <w:jc w:val="both"/>
        <w:rPr>
          <w:rFonts w:ascii="Arial" w:hAnsi="Arial" w:cs="Arial"/>
          <w:b/>
          <w:bCs/>
          <w:sz w:val="20"/>
        </w:rPr>
      </w:pPr>
      <w:r w:rsidRPr="00923861">
        <w:rPr>
          <w:rFonts w:ascii="Arial" w:hAnsi="Arial" w:cs="Arial"/>
          <w:b/>
          <w:bCs/>
          <w:sz w:val="20"/>
        </w:rPr>
        <w:t>Exercise 4: Assembly and layout</w:t>
      </w:r>
    </w:p>
    <w:p w14:paraId="0A5E9989" w14:textId="77777777" w:rsidR="00923861" w:rsidRPr="00923861" w:rsidRDefault="00923861" w:rsidP="0079393D">
      <w:pPr>
        <w:numPr>
          <w:ilvl w:val="0"/>
          <w:numId w:val="160"/>
        </w:numPr>
        <w:spacing w:before="117" w:line="276" w:lineRule="auto"/>
        <w:jc w:val="both"/>
        <w:rPr>
          <w:rFonts w:ascii="Arial" w:hAnsi="Arial" w:cs="Arial"/>
          <w:sz w:val="20"/>
        </w:rPr>
      </w:pPr>
      <w:r w:rsidRPr="00923861">
        <w:rPr>
          <w:rFonts w:ascii="Arial" w:hAnsi="Arial" w:cs="Arial"/>
          <w:sz w:val="20"/>
        </w:rPr>
        <w:t xml:space="preserve">crowd control; </w:t>
      </w:r>
    </w:p>
    <w:p w14:paraId="6A34E18D" w14:textId="77777777" w:rsidR="00923861" w:rsidRPr="00923861" w:rsidRDefault="00923861" w:rsidP="0079393D">
      <w:pPr>
        <w:numPr>
          <w:ilvl w:val="0"/>
          <w:numId w:val="160"/>
        </w:numPr>
        <w:spacing w:before="117" w:line="276" w:lineRule="auto"/>
        <w:jc w:val="both"/>
        <w:rPr>
          <w:rFonts w:ascii="Arial" w:hAnsi="Arial" w:cs="Arial"/>
          <w:sz w:val="20"/>
        </w:rPr>
      </w:pPr>
      <w:r w:rsidRPr="00923861">
        <w:rPr>
          <w:rFonts w:ascii="Arial" w:hAnsi="Arial" w:cs="Arial"/>
          <w:sz w:val="20"/>
        </w:rPr>
        <w:t>rigging envelope and basket (balloon with net);</w:t>
      </w:r>
    </w:p>
    <w:p w14:paraId="09BDD4B0" w14:textId="77777777" w:rsidR="00923861" w:rsidRPr="00923861" w:rsidRDefault="00923861" w:rsidP="0079393D">
      <w:pPr>
        <w:numPr>
          <w:ilvl w:val="0"/>
          <w:numId w:val="160"/>
        </w:numPr>
        <w:spacing w:before="117" w:line="276" w:lineRule="auto"/>
        <w:jc w:val="both"/>
        <w:rPr>
          <w:rFonts w:ascii="Arial" w:hAnsi="Arial" w:cs="Arial"/>
          <w:sz w:val="20"/>
        </w:rPr>
      </w:pPr>
      <w:r w:rsidRPr="00923861">
        <w:rPr>
          <w:rFonts w:ascii="Arial" w:hAnsi="Arial" w:cs="Arial"/>
          <w:sz w:val="20"/>
        </w:rPr>
        <w:t>rigging envelope and basket (netless balloon); and</w:t>
      </w:r>
    </w:p>
    <w:p w14:paraId="52951E15" w14:textId="77777777" w:rsidR="00923861" w:rsidRDefault="00923861" w:rsidP="0079393D">
      <w:pPr>
        <w:numPr>
          <w:ilvl w:val="0"/>
          <w:numId w:val="160"/>
        </w:numPr>
        <w:spacing w:before="117" w:line="276" w:lineRule="auto"/>
        <w:jc w:val="both"/>
        <w:rPr>
          <w:rFonts w:ascii="Arial" w:hAnsi="Arial" w:cs="Arial"/>
          <w:sz w:val="20"/>
        </w:rPr>
      </w:pPr>
      <w:r w:rsidRPr="00923861">
        <w:rPr>
          <w:rFonts w:ascii="Arial" w:hAnsi="Arial" w:cs="Arial"/>
          <w:sz w:val="20"/>
        </w:rPr>
        <w:t>ballast check</w:t>
      </w:r>
    </w:p>
    <w:p w14:paraId="3DAFE3AC" w14:textId="77777777" w:rsidR="00923861" w:rsidRDefault="00923861" w:rsidP="00923861">
      <w:pPr>
        <w:spacing w:before="117" w:line="276" w:lineRule="auto"/>
        <w:jc w:val="both"/>
        <w:rPr>
          <w:rFonts w:ascii="Arial" w:hAnsi="Arial" w:cs="Arial"/>
          <w:b/>
          <w:bCs/>
          <w:sz w:val="20"/>
        </w:rPr>
      </w:pPr>
      <w:r w:rsidRPr="00923861">
        <w:rPr>
          <w:rFonts w:ascii="Arial" w:hAnsi="Arial" w:cs="Arial"/>
          <w:b/>
          <w:bCs/>
          <w:sz w:val="20"/>
        </w:rPr>
        <w:t>Exercise 5: Inflation</w:t>
      </w:r>
    </w:p>
    <w:p w14:paraId="1FBE015F" w14:textId="77777777" w:rsidR="00D87BCF" w:rsidRPr="00D87BCF" w:rsidRDefault="00D87BCF" w:rsidP="0079393D">
      <w:pPr>
        <w:numPr>
          <w:ilvl w:val="0"/>
          <w:numId w:val="162"/>
        </w:numPr>
        <w:spacing w:before="117" w:line="276" w:lineRule="auto"/>
        <w:jc w:val="both"/>
        <w:rPr>
          <w:rFonts w:ascii="Arial" w:hAnsi="Arial" w:cs="Arial"/>
          <w:sz w:val="20"/>
        </w:rPr>
      </w:pPr>
      <w:r w:rsidRPr="00D87BCF">
        <w:rPr>
          <w:rFonts w:ascii="Arial" w:hAnsi="Arial" w:cs="Arial"/>
          <w:sz w:val="20"/>
        </w:rPr>
        <w:t>crowd control;</w:t>
      </w:r>
    </w:p>
    <w:p w14:paraId="574762B7" w14:textId="77777777" w:rsidR="00D87BCF" w:rsidRPr="00D87BCF" w:rsidRDefault="00D87BCF" w:rsidP="0079393D">
      <w:pPr>
        <w:numPr>
          <w:ilvl w:val="0"/>
          <w:numId w:val="162"/>
        </w:numPr>
        <w:spacing w:before="117" w:line="276" w:lineRule="auto"/>
        <w:jc w:val="both"/>
        <w:rPr>
          <w:rFonts w:ascii="Arial" w:hAnsi="Arial" w:cs="Arial"/>
          <w:sz w:val="20"/>
        </w:rPr>
      </w:pPr>
      <w:r w:rsidRPr="00D87BCF">
        <w:rPr>
          <w:rFonts w:ascii="Arial" w:hAnsi="Arial" w:cs="Arial"/>
          <w:sz w:val="20"/>
        </w:rPr>
        <w:t>inflation procedure according to the manufacturer’s flight manual; and</w:t>
      </w:r>
    </w:p>
    <w:p w14:paraId="68A2F213" w14:textId="77777777" w:rsidR="00D87BCF" w:rsidRDefault="00D87BCF" w:rsidP="0079393D">
      <w:pPr>
        <w:numPr>
          <w:ilvl w:val="0"/>
          <w:numId w:val="162"/>
        </w:numPr>
        <w:spacing w:before="117" w:line="276" w:lineRule="auto"/>
        <w:jc w:val="both"/>
        <w:rPr>
          <w:rFonts w:ascii="Arial" w:hAnsi="Arial" w:cs="Arial"/>
          <w:sz w:val="20"/>
        </w:rPr>
      </w:pPr>
      <w:r w:rsidRPr="00D87BCF">
        <w:rPr>
          <w:rFonts w:ascii="Arial" w:hAnsi="Arial" w:cs="Arial"/>
          <w:sz w:val="20"/>
        </w:rPr>
        <w:t>avoidance of electrostatic discharge.</w:t>
      </w:r>
    </w:p>
    <w:p w14:paraId="4E2DBCCF" w14:textId="77777777" w:rsidR="00D87BCF" w:rsidRPr="00D87BCF" w:rsidRDefault="00D87BCF" w:rsidP="00D87BCF">
      <w:pPr>
        <w:spacing w:before="117" w:line="276" w:lineRule="auto"/>
        <w:jc w:val="both"/>
        <w:rPr>
          <w:rFonts w:ascii="Arial" w:hAnsi="Arial" w:cs="Arial"/>
          <w:b/>
          <w:bCs/>
          <w:sz w:val="20"/>
        </w:rPr>
      </w:pPr>
      <w:r w:rsidRPr="00D87BCF">
        <w:rPr>
          <w:rFonts w:ascii="Arial" w:hAnsi="Arial" w:cs="Arial"/>
          <w:b/>
          <w:bCs/>
          <w:sz w:val="20"/>
        </w:rPr>
        <w:t>Exercise 6: Take-off in different wind conditions</w:t>
      </w:r>
      <w:r w:rsidRPr="00D87BCF">
        <w:rPr>
          <w:rFonts w:ascii="Arial" w:hAnsi="Arial" w:cs="Arial"/>
          <w:b/>
          <w:bCs/>
          <w:sz w:val="20"/>
        </w:rPr>
        <w:cr/>
        <w:t>pre-take-off checks and briefings;</w:t>
      </w:r>
    </w:p>
    <w:p w14:paraId="4BB13F58" w14:textId="77777777" w:rsidR="00D87BCF" w:rsidRPr="00D87BCF" w:rsidRDefault="00D87BCF" w:rsidP="0079393D">
      <w:pPr>
        <w:numPr>
          <w:ilvl w:val="0"/>
          <w:numId w:val="163"/>
        </w:numPr>
        <w:spacing w:before="117" w:line="276" w:lineRule="auto"/>
        <w:jc w:val="both"/>
        <w:rPr>
          <w:rFonts w:ascii="Arial" w:hAnsi="Arial" w:cs="Arial"/>
          <w:sz w:val="20"/>
        </w:rPr>
      </w:pPr>
      <w:r w:rsidRPr="00D87BCF">
        <w:rPr>
          <w:rFonts w:ascii="Arial" w:hAnsi="Arial" w:cs="Arial"/>
          <w:sz w:val="20"/>
        </w:rPr>
        <w:t>preparation for controlled climb;</w:t>
      </w:r>
    </w:p>
    <w:p w14:paraId="69D7ED41" w14:textId="77777777" w:rsidR="00D87BCF" w:rsidRPr="00D87BCF" w:rsidRDefault="00D87BCF" w:rsidP="0079393D">
      <w:pPr>
        <w:numPr>
          <w:ilvl w:val="0"/>
          <w:numId w:val="163"/>
        </w:numPr>
        <w:spacing w:before="117" w:line="276" w:lineRule="auto"/>
        <w:jc w:val="both"/>
        <w:rPr>
          <w:rFonts w:ascii="Arial" w:hAnsi="Arial" w:cs="Arial"/>
          <w:sz w:val="20"/>
        </w:rPr>
      </w:pPr>
      <w:r w:rsidRPr="00D87BCF">
        <w:rPr>
          <w:rFonts w:ascii="Arial" w:hAnsi="Arial" w:cs="Arial"/>
          <w:sz w:val="20"/>
        </w:rPr>
        <w:t>‘hands off and hands on’ procedure for ground crew;</w:t>
      </w:r>
    </w:p>
    <w:p w14:paraId="1BB5D219" w14:textId="77777777" w:rsidR="00D87BCF" w:rsidRPr="00D87BCF" w:rsidRDefault="00D87BCF" w:rsidP="0079393D">
      <w:pPr>
        <w:numPr>
          <w:ilvl w:val="0"/>
          <w:numId w:val="163"/>
        </w:numPr>
        <w:spacing w:before="117" w:line="276" w:lineRule="auto"/>
        <w:jc w:val="both"/>
        <w:rPr>
          <w:rFonts w:ascii="Arial" w:hAnsi="Arial" w:cs="Arial"/>
          <w:sz w:val="20"/>
        </w:rPr>
      </w:pPr>
      <w:r w:rsidRPr="00D87BCF">
        <w:rPr>
          <w:rFonts w:ascii="Arial" w:hAnsi="Arial" w:cs="Arial"/>
          <w:sz w:val="20"/>
        </w:rPr>
        <w:t xml:space="preserve">assessment of wind and obstacles; </w:t>
      </w:r>
    </w:p>
    <w:p w14:paraId="2949C9BF" w14:textId="77777777" w:rsidR="00D87BCF" w:rsidRPr="00D87BCF" w:rsidRDefault="00D87BCF" w:rsidP="0079393D">
      <w:pPr>
        <w:numPr>
          <w:ilvl w:val="0"/>
          <w:numId w:val="163"/>
        </w:numPr>
        <w:spacing w:before="117" w:line="276" w:lineRule="auto"/>
        <w:jc w:val="both"/>
        <w:rPr>
          <w:rFonts w:ascii="Arial" w:hAnsi="Arial" w:cs="Arial"/>
          <w:sz w:val="20"/>
        </w:rPr>
      </w:pPr>
      <w:r w:rsidRPr="00D87BCF">
        <w:rPr>
          <w:rFonts w:ascii="Arial" w:hAnsi="Arial" w:cs="Arial"/>
          <w:sz w:val="20"/>
        </w:rPr>
        <w:t>take-off in wind of different speeds, with and without shelter; and</w:t>
      </w:r>
    </w:p>
    <w:p w14:paraId="0ECD74DD" w14:textId="77777777" w:rsidR="00D87BCF" w:rsidRDefault="00D87BCF" w:rsidP="0079393D">
      <w:pPr>
        <w:numPr>
          <w:ilvl w:val="0"/>
          <w:numId w:val="163"/>
        </w:numPr>
        <w:spacing w:before="117" w:line="276" w:lineRule="auto"/>
        <w:jc w:val="both"/>
        <w:rPr>
          <w:rFonts w:ascii="Arial" w:hAnsi="Arial" w:cs="Arial"/>
          <w:sz w:val="20"/>
        </w:rPr>
      </w:pPr>
      <w:r w:rsidRPr="00D87BCF">
        <w:rPr>
          <w:rFonts w:ascii="Arial" w:hAnsi="Arial" w:cs="Arial"/>
          <w:sz w:val="20"/>
        </w:rPr>
        <w:t>preparation for false lift.</w:t>
      </w:r>
    </w:p>
    <w:p w14:paraId="7B08F8E8" w14:textId="77777777" w:rsidR="00D87BCF" w:rsidRDefault="00D87BCF" w:rsidP="00D87BCF">
      <w:pPr>
        <w:spacing w:before="117" w:line="276" w:lineRule="auto"/>
        <w:jc w:val="both"/>
        <w:rPr>
          <w:rFonts w:ascii="Arial" w:hAnsi="Arial" w:cs="Arial"/>
          <w:b/>
          <w:bCs/>
          <w:sz w:val="20"/>
        </w:rPr>
      </w:pPr>
      <w:r w:rsidRPr="00D87BCF">
        <w:rPr>
          <w:rFonts w:ascii="Arial" w:hAnsi="Arial" w:cs="Arial"/>
          <w:b/>
          <w:bCs/>
          <w:sz w:val="20"/>
        </w:rPr>
        <w:t>Exercise 7: Climb to level flight</w:t>
      </w:r>
    </w:p>
    <w:p w14:paraId="2241C615" w14:textId="77777777" w:rsidR="00D87BCF" w:rsidRPr="00D87BCF" w:rsidRDefault="00D87BCF" w:rsidP="0079393D">
      <w:pPr>
        <w:numPr>
          <w:ilvl w:val="0"/>
          <w:numId w:val="164"/>
        </w:numPr>
        <w:spacing w:before="117" w:line="276" w:lineRule="auto"/>
        <w:jc w:val="both"/>
        <w:rPr>
          <w:rFonts w:ascii="Arial" w:hAnsi="Arial" w:cs="Arial"/>
          <w:sz w:val="20"/>
        </w:rPr>
      </w:pPr>
      <w:r w:rsidRPr="00D87BCF">
        <w:rPr>
          <w:rFonts w:ascii="Arial" w:hAnsi="Arial" w:cs="Arial"/>
          <w:sz w:val="20"/>
        </w:rPr>
        <w:t>climb with a predetermined rate of climb;</w:t>
      </w:r>
    </w:p>
    <w:p w14:paraId="5058D963" w14:textId="77777777" w:rsidR="00D87BCF" w:rsidRPr="00D87BCF" w:rsidRDefault="00D87BCF" w:rsidP="0079393D">
      <w:pPr>
        <w:numPr>
          <w:ilvl w:val="0"/>
          <w:numId w:val="164"/>
        </w:numPr>
        <w:spacing w:before="117" w:line="276" w:lineRule="auto"/>
        <w:jc w:val="both"/>
        <w:rPr>
          <w:rFonts w:ascii="Arial" w:hAnsi="Arial" w:cs="Arial"/>
          <w:sz w:val="20"/>
        </w:rPr>
      </w:pPr>
      <w:r w:rsidRPr="00D87BCF">
        <w:rPr>
          <w:rFonts w:ascii="Arial" w:hAnsi="Arial" w:cs="Arial"/>
          <w:sz w:val="20"/>
        </w:rPr>
        <w:lastRenderedPageBreak/>
        <w:t>look-out procedures;</w:t>
      </w:r>
    </w:p>
    <w:p w14:paraId="7B9888EC" w14:textId="77777777" w:rsidR="00D87BCF" w:rsidRPr="00D87BCF" w:rsidRDefault="00D87BCF" w:rsidP="0079393D">
      <w:pPr>
        <w:numPr>
          <w:ilvl w:val="0"/>
          <w:numId w:val="164"/>
        </w:numPr>
        <w:spacing w:before="117" w:line="276" w:lineRule="auto"/>
        <w:jc w:val="both"/>
        <w:rPr>
          <w:rFonts w:ascii="Arial" w:hAnsi="Arial" w:cs="Arial"/>
          <w:sz w:val="20"/>
        </w:rPr>
      </w:pPr>
      <w:r w:rsidRPr="00D87BCF">
        <w:rPr>
          <w:rFonts w:ascii="Arial" w:hAnsi="Arial" w:cs="Arial"/>
          <w:sz w:val="20"/>
        </w:rPr>
        <w:t>maximum rate of climb according to the manufacturer’s flight manual; and</w:t>
      </w:r>
    </w:p>
    <w:p w14:paraId="25C9BD66" w14:textId="77777777" w:rsidR="00D87BCF" w:rsidRDefault="00D87BCF" w:rsidP="0079393D">
      <w:pPr>
        <w:numPr>
          <w:ilvl w:val="0"/>
          <w:numId w:val="164"/>
        </w:numPr>
        <w:spacing w:before="117" w:line="276" w:lineRule="auto"/>
        <w:jc w:val="both"/>
        <w:rPr>
          <w:rFonts w:ascii="Arial" w:hAnsi="Arial" w:cs="Arial"/>
          <w:sz w:val="20"/>
        </w:rPr>
      </w:pPr>
      <w:r w:rsidRPr="00D87BCF">
        <w:rPr>
          <w:rFonts w:ascii="Arial" w:hAnsi="Arial" w:cs="Arial"/>
          <w:sz w:val="20"/>
        </w:rPr>
        <w:t>levelling off at selected altitude.</w:t>
      </w:r>
    </w:p>
    <w:p w14:paraId="4773A8AD" w14:textId="77777777" w:rsidR="00D87BCF" w:rsidRDefault="00D87BCF" w:rsidP="00D87BCF">
      <w:pPr>
        <w:spacing w:before="117" w:line="276" w:lineRule="auto"/>
        <w:jc w:val="both"/>
        <w:rPr>
          <w:rFonts w:ascii="Arial" w:hAnsi="Arial" w:cs="Arial"/>
          <w:b/>
          <w:bCs/>
          <w:sz w:val="20"/>
        </w:rPr>
      </w:pPr>
      <w:r w:rsidRPr="00D87BCF">
        <w:rPr>
          <w:rFonts w:ascii="Arial" w:hAnsi="Arial" w:cs="Arial"/>
          <w:b/>
          <w:bCs/>
          <w:sz w:val="20"/>
        </w:rPr>
        <w:t>Exercise 8: Level flight</w:t>
      </w:r>
    </w:p>
    <w:p w14:paraId="3B1ADEA6" w14:textId="77777777" w:rsidR="00D87BCF" w:rsidRPr="00D87BCF" w:rsidRDefault="00D87BCF" w:rsidP="0079393D">
      <w:pPr>
        <w:numPr>
          <w:ilvl w:val="0"/>
          <w:numId w:val="165"/>
        </w:numPr>
        <w:spacing w:before="117" w:line="276" w:lineRule="auto"/>
        <w:jc w:val="both"/>
        <w:rPr>
          <w:rFonts w:ascii="Arial" w:hAnsi="Arial" w:cs="Arial"/>
          <w:sz w:val="20"/>
        </w:rPr>
      </w:pPr>
      <w:r w:rsidRPr="00D87BCF">
        <w:rPr>
          <w:rFonts w:ascii="Arial" w:hAnsi="Arial" w:cs="Arial"/>
          <w:sz w:val="20"/>
        </w:rPr>
        <w:t>maintaining level flight by:</w:t>
      </w:r>
    </w:p>
    <w:p w14:paraId="10DC4C11" w14:textId="77777777" w:rsidR="00D87BCF" w:rsidRPr="00D87BCF" w:rsidRDefault="00D87BCF" w:rsidP="00D87BCF">
      <w:pPr>
        <w:numPr>
          <w:ilvl w:val="1"/>
          <w:numId w:val="154"/>
        </w:numPr>
        <w:spacing w:before="117" w:line="276" w:lineRule="auto"/>
        <w:jc w:val="both"/>
        <w:rPr>
          <w:rFonts w:ascii="Arial" w:hAnsi="Arial" w:cs="Arial"/>
          <w:sz w:val="20"/>
        </w:rPr>
      </w:pPr>
      <w:r w:rsidRPr="00D87BCF">
        <w:rPr>
          <w:rFonts w:ascii="Arial" w:hAnsi="Arial" w:cs="Arial"/>
          <w:sz w:val="20"/>
        </w:rPr>
        <w:t>use of instruments only;</w:t>
      </w:r>
    </w:p>
    <w:p w14:paraId="6E5EDFC5" w14:textId="77777777" w:rsidR="00D87BCF" w:rsidRPr="00D87BCF" w:rsidRDefault="00D87BCF" w:rsidP="00D87BCF">
      <w:pPr>
        <w:numPr>
          <w:ilvl w:val="1"/>
          <w:numId w:val="154"/>
        </w:numPr>
        <w:spacing w:before="117" w:line="276" w:lineRule="auto"/>
        <w:jc w:val="both"/>
        <w:rPr>
          <w:rFonts w:ascii="Arial" w:hAnsi="Arial" w:cs="Arial"/>
          <w:sz w:val="20"/>
        </w:rPr>
      </w:pPr>
      <w:r w:rsidRPr="00D87BCF">
        <w:rPr>
          <w:rFonts w:ascii="Arial" w:hAnsi="Arial" w:cs="Arial"/>
          <w:sz w:val="20"/>
        </w:rPr>
        <w:t>use of visual references only; and</w:t>
      </w:r>
    </w:p>
    <w:p w14:paraId="48BB803A" w14:textId="77777777" w:rsidR="00D87BCF" w:rsidRDefault="00D87BCF" w:rsidP="00D87BCF">
      <w:pPr>
        <w:numPr>
          <w:ilvl w:val="1"/>
          <w:numId w:val="154"/>
        </w:numPr>
        <w:spacing w:before="117" w:line="276" w:lineRule="auto"/>
        <w:jc w:val="both"/>
        <w:rPr>
          <w:rFonts w:ascii="Arial" w:hAnsi="Arial" w:cs="Arial"/>
          <w:sz w:val="20"/>
        </w:rPr>
      </w:pPr>
      <w:r w:rsidRPr="00D87BCF">
        <w:rPr>
          <w:rFonts w:ascii="Arial" w:hAnsi="Arial" w:cs="Arial"/>
          <w:sz w:val="20"/>
        </w:rPr>
        <w:t>all available means; and</w:t>
      </w:r>
    </w:p>
    <w:p w14:paraId="5C330E0E" w14:textId="77777777" w:rsidR="00D87BCF" w:rsidRDefault="00D87BCF" w:rsidP="0079393D">
      <w:pPr>
        <w:numPr>
          <w:ilvl w:val="0"/>
          <w:numId w:val="165"/>
        </w:numPr>
        <w:spacing w:before="117" w:line="276" w:lineRule="auto"/>
        <w:jc w:val="both"/>
        <w:rPr>
          <w:rFonts w:ascii="Arial" w:hAnsi="Arial" w:cs="Arial"/>
          <w:sz w:val="20"/>
        </w:rPr>
      </w:pPr>
      <w:r w:rsidRPr="00D87BCF">
        <w:rPr>
          <w:rFonts w:ascii="Arial" w:hAnsi="Arial" w:cs="Arial"/>
          <w:sz w:val="20"/>
        </w:rPr>
        <w:t>use of parachute or valve.</w:t>
      </w:r>
    </w:p>
    <w:p w14:paraId="2DAF18E3" w14:textId="77777777" w:rsidR="003F3BE2" w:rsidRPr="003F3BE2" w:rsidRDefault="003F3BE2" w:rsidP="003F3BE2">
      <w:pPr>
        <w:spacing w:before="117" w:line="276" w:lineRule="auto"/>
        <w:jc w:val="both"/>
        <w:rPr>
          <w:rFonts w:ascii="Arial" w:hAnsi="Arial" w:cs="Arial"/>
          <w:b/>
          <w:bCs/>
          <w:sz w:val="20"/>
        </w:rPr>
      </w:pPr>
      <w:r w:rsidRPr="003F3BE2">
        <w:rPr>
          <w:rFonts w:ascii="Arial" w:hAnsi="Arial" w:cs="Arial"/>
          <w:b/>
          <w:bCs/>
          <w:sz w:val="20"/>
        </w:rPr>
        <w:t>Exercise 9: Descent to level flight</w:t>
      </w:r>
    </w:p>
    <w:p w14:paraId="315A8239" w14:textId="77777777" w:rsidR="003F3BE2" w:rsidRPr="003F3BE2" w:rsidRDefault="003F3BE2" w:rsidP="0079393D">
      <w:pPr>
        <w:numPr>
          <w:ilvl w:val="0"/>
          <w:numId w:val="158"/>
        </w:numPr>
        <w:spacing w:before="117" w:line="276" w:lineRule="auto"/>
        <w:jc w:val="both"/>
        <w:rPr>
          <w:rFonts w:ascii="Arial" w:hAnsi="Arial" w:cs="Arial"/>
          <w:sz w:val="20"/>
        </w:rPr>
      </w:pPr>
      <w:r w:rsidRPr="003F3BE2">
        <w:rPr>
          <w:rFonts w:ascii="Arial" w:hAnsi="Arial" w:cs="Arial"/>
          <w:sz w:val="20"/>
        </w:rPr>
        <w:t>descent with a predetermined rate of descent;</w:t>
      </w:r>
    </w:p>
    <w:p w14:paraId="7842A2AA" w14:textId="77777777" w:rsidR="003F3BE2" w:rsidRPr="003F3BE2" w:rsidRDefault="003F3BE2" w:rsidP="0079393D">
      <w:pPr>
        <w:numPr>
          <w:ilvl w:val="0"/>
          <w:numId w:val="158"/>
        </w:numPr>
        <w:spacing w:before="117" w:line="276" w:lineRule="auto"/>
        <w:jc w:val="both"/>
        <w:rPr>
          <w:rFonts w:ascii="Arial" w:hAnsi="Arial" w:cs="Arial"/>
          <w:sz w:val="20"/>
        </w:rPr>
      </w:pPr>
      <w:r w:rsidRPr="003F3BE2">
        <w:rPr>
          <w:rFonts w:ascii="Arial" w:hAnsi="Arial" w:cs="Arial"/>
          <w:sz w:val="20"/>
        </w:rPr>
        <w:t>fast descent;</w:t>
      </w:r>
    </w:p>
    <w:p w14:paraId="2F674B6B" w14:textId="77777777" w:rsidR="003F3BE2" w:rsidRPr="003F3BE2" w:rsidRDefault="003F3BE2" w:rsidP="0079393D">
      <w:pPr>
        <w:numPr>
          <w:ilvl w:val="0"/>
          <w:numId w:val="158"/>
        </w:numPr>
        <w:spacing w:before="117" w:line="276" w:lineRule="auto"/>
        <w:jc w:val="both"/>
        <w:rPr>
          <w:rFonts w:ascii="Arial" w:hAnsi="Arial" w:cs="Arial"/>
          <w:sz w:val="20"/>
        </w:rPr>
      </w:pPr>
      <w:r w:rsidRPr="003F3BE2">
        <w:rPr>
          <w:rFonts w:ascii="Arial" w:hAnsi="Arial" w:cs="Arial"/>
          <w:sz w:val="20"/>
        </w:rPr>
        <w:t>look-out procedures;</w:t>
      </w:r>
    </w:p>
    <w:p w14:paraId="28C524DC" w14:textId="77777777" w:rsidR="003F3BE2" w:rsidRPr="003F3BE2" w:rsidRDefault="003F3BE2" w:rsidP="0079393D">
      <w:pPr>
        <w:numPr>
          <w:ilvl w:val="0"/>
          <w:numId w:val="158"/>
        </w:numPr>
        <w:spacing w:before="117" w:line="276" w:lineRule="auto"/>
        <w:jc w:val="both"/>
        <w:rPr>
          <w:rFonts w:ascii="Arial" w:hAnsi="Arial" w:cs="Arial"/>
          <w:sz w:val="20"/>
        </w:rPr>
      </w:pPr>
      <w:r w:rsidRPr="003F3BE2">
        <w:rPr>
          <w:rFonts w:ascii="Arial" w:hAnsi="Arial" w:cs="Arial"/>
          <w:sz w:val="20"/>
        </w:rPr>
        <w:t>maximum rate of descent according to the manufacturer’s flight manual;</w:t>
      </w:r>
    </w:p>
    <w:p w14:paraId="2E23CF5C" w14:textId="77777777" w:rsidR="003F3BE2" w:rsidRPr="003F3BE2" w:rsidRDefault="003F3BE2" w:rsidP="0079393D">
      <w:pPr>
        <w:numPr>
          <w:ilvl w:val="0"/>
          <w:numId w:val="158"/>
        </w:numPr>
        <w:spacing w:before="117" w:line="276" w:lineRule="auto"/>
        <w:jc w:val="both"/>
        <w:rPr>
          <w:rFonts w:ascii="Arial" w:hAnsi="Arial" w:cs="Arial"/>
          <w:sz w:val="20"/>
        </w:rPr>
      </w:pPr>
      <w:r w:rsidRPr="003F3BE2">
        <w:rPr>
          <w:rFonts w:ascii="Arial" w:hAnsi="Arial" w:cs="Arial"/>
          <w:sz w:val="20"/>
        </w:rPr>
        <w:t>use of parachute or valve; and</w:t>
      </w:r>
    </w:p>
    <w:p w14:paraId="2ED6C22E" w14:textId="77777777" w:rsidR="003F3BE2" w:rsidRPr="003F3BE2" w:rsidRDefault="003F3BE2" w:rsidP="0079393D">
      <w:pPr>
        <w:numPr>
          <w:ilvl w:val="0"/>
          <w:numId w:val="158"/>
        </w:numPr>
        <w:spacing w:before="117" w:line="276" w:lineRule="auto"/>
        <w:jc w:val="both"/>
        <w:rPr>
          <w:rFonts w:ascii="Arial" w:hAnsi="Arial" w:cs="Arial"/>
          <w:sz w:val="20"/>
        </w:rPr>
      </w:pPr>
      <w:r w:rsidRPr="003F3BE2">
        <w:rPr>
          <w:rFonts w:ascii="Arial" w:hAnsi="Arial" w:cs="Arial"/>
          <w:sz w:val="20"/>
        </w:rPr>
        <w:t>levelling off at selected altitude.</w:t>
      </w:r>
    </w:p>
    <w:p w14:paraId="7FE43CAB" w14:textId="77777777" w:rsidR="003F3BE2" w:rsidRPr="003F3BE2" w:rsidRDefault="003F3BE2" w:rsidP="003F3BE2">
      <w:pPr>
        <w:spacing w:before="117" w:line="276" w:lineRule="auto"/>
        <w:jc w:val="both"/>
        <w:rPr>
          <w:rFonts w:ascii="Arial" w:hAnsi="Arial" w:cs="Arial"/>
          <w:b/>
          <w:bCs/>
          <w:sz w:val="20"/>
        </w:rPr>
      </w:pPr>
      <w:r w:rsidRPr="003F3BE2">
        <w:rPr>
          <w:rFonts w:ascii="Arial" w:hAnsi="Arial" w:cs="Arial"/>
          <w:b/>
          <w:bCs/>
          <w:sz w:val="20"/>
        </w:rPr>
        <w:t>Exercise 10: Emergencies</w:t>
      </w:r>
    </w:p>
    <w:p w14:paraId="71F863C7" w14:textId="77777777" w:rsidR="003F3BE2" w:rsidRPr="003F3BE2" w:rsidRDefault="003F3BE2" w:rsidP="0079393D">
      <w:pPr>
        <w:numPr>
          <w:ilvl w:val="0"/>
          <w:numId w:val="157"/>
        </w:numPr>
        <w:spacing w:before="117" w:line="276" w:lineRule="auto"/>
        <w:jc w:val="both"/>
        <w:rPr>
          <w:rFonts w:ascii="Arial" w:hAnsi="Arial" w:cs="Arial"/>
          <w:sz w:val="20"/>
        </w:rPr>
      </w:pPr>
      <w:r w:rsidRPr="003F3BE2">
        <w:rPr>
          <w:rFonts w:ascii="Arial" w:hAnsi="Arial" w:cs="Arial"/>
          <w:sz w:val="20"/>
        </w:rPr>
        <w:t>closed appendix during take-off and climb;</w:t>
      </w:r>
    </w:p>
    <w:p w14:paraId="6118CCA4" w14:textId="77777777" w:rsidR="003F3BE2" w:rsidRPr="003F3BE2" w:rsidRDefault="003F3BE2" w:rsidP="0079393D">
      <w:pPr>
        <w:numPr>
          <w:ilvl w:val="0"/>
          <w:numId w:val="157"/>
        </w:numPr>
        <w:spacing w:before="117" w:line="276" w:lineRule="auto"/>
        <w:jc w:val="both"/>
        <w:rPr>
          <w:rFonts w:ascii="Arial" w:hAnsi="Arial" w:cs="Arial"/>
          <w:sz w:val="20"/>
        </w:rPr>
      </w:pPr>
      <w:r w:rsidRPr="003F3BE2">
        <w:rPr>
          <w:rFonts w:ascii="Arial" w:hAnsi="Arial" w:cs="Arial"/>
          <w:sz w:val="20"/>
        </w:rPr>
        <w:t>envelope damage in-flight;</w:t>
      </w:r>
    </w:p>
    <w:p w14:paraId="0F6F9975" w14:textId="77777777" w:rsidR="003F3BE2" w:rsidRPr="003F3BE2" w:rsidRDefault="003F3BE2" w:rsidP="0079393D">
      <w:pPr>
        <w:numPr>
          <w:ilvl w:val="0"/>
          <w:numId w:val="157"/>
        </w:numPr>
        <w:spacing w:before="117" w:line="276" w:lineRule="auto"/>
        <w:jc w:val="both"/>
        <w:rPr>
          <w:rFonts w:ascii="Arial" w:hAnsi="Arial" w:cs="Arial"/>
          <w:sz w:val="20"/>
        </w:rPr>
      </w:pPr>
      <w:r w:rsidRPr="003F3BE2">
        <w:rPr>
          <w:rFonts w:ascii="Arial" w:hAnsi="Arial" w:cs="Arial"/>
          <w:sz w:val="20"/>
        </w:rPr>
        <w:t>parachute or valve failure;</w:t>
      </w:r>
    </w:p>
    <w:p w14:paraId="475EC3DE" w14:textId="77777777" w:rsidR="003F3BE2" w:rsidRPr="003F3BE2" w:rsidRDefault="003F3BE2" w:rsidP="0079393D">
      <w:pPr>
        <w:numPr>
          <w:ilvl w:val="0"/>
          <w:numId w:val="157"/>
        </w:numPr>
        <w:spacing w:before="117" w:line="276" w:lineRule="auto"/>
        <w:jc w:val="both"/>
        <w:rPr>
          <w:rFonts w:ascii="Arial" w:hAnsi="Arial" w:cs="Arial"/>
          <w:sz w:val="20"/>
        </w:rPr>
      </w:pPr>
      <w:r w:rsidRPr="003F3BE2">
        <w:rPr>
          <w:rFonts w:ascii="Arial" w:hAnsi="Arial" w:cs="Arial"/>
          <w:sz w:val="20"/>
        </w:rPr>
        <w:t>contact with electrical power lines;</w:t>
      </w:r>
    </w:p>
    <w:p w14:paraId="198CF57D" w14:textId="77777777" w:rsidR="003F3BE2" w:rsidRPr="003F3BE2" w:rsidRDefault="003F3BE2" w:rsidP="0079393D">
      <w:pPr>
        <w:numPr>
          <w:ilvl w:val="0"/>
          <w:numId w:val="157"/>
        </w:numPr>
        <w:spacing w:before="117" w:line="276" w:lineRule="auto"/>
        <w:jc w:val="both"/>
        <w:rPr>
          <w:rFonts w:ascii="Arial" w:hAnsi="Arial" w:cs="Arial"/>
          <w:sz w:val="20"/>
        </w:rPr>
      </w:pPr>
      <w:r w:rsidRPr="003F3BE2">
        <w:rPr>
          <w:rFonts w:ascii="Arial" w:hAnsi="Arial" w:cs="Arial"/>
          <w:sz w:val="20"/>
        </w:rPr>
        <w:t>obstacle avoidance; and</w:t>
      </w:r>
    </w:p>
    <w:p w14:paraId="4FB28E15" w14:textId="77777777" w:rsidR="003F3BE2" w:rsidRPr="003F3BE2" w:rsidRDefault="003F3BE2" w:rsidP="0079393D">
      <w:pPr>
        <w:numPr>
          <w:ilvl w:val="0"/>
          <w:numId w:val="157"/>
        </w:numPr>
        <w:spacing w:before="117" w:line="276" w:lineRule="auto"/>
        <w:jc w:val="both"/>
        <w:rPr>
          <w:rFonts w:ascii="Arial" w:hAnsi="Arial" w:cs="Arial"/>
          <w:sz w:val="20"/>
        </w:rPr>
      </w:pPr>
      <w:r w:rsidRPr="003F3BE2">
        <w:rPr>
          <w:rFonts w:ascii="Arial" w:hAnsi="Arial" w:cs="Arial"/>
          <w:sz w:val="20"/>
        </w:rPr>
        <w:t>escape drills, location and use of emergency equipment.</w:t>
      </w:r>
    </w:p>
    <w:p w14:paraId="10019506" w14:textId="77777777" w:rsidR="003F3BE2" w:rsidRPr="003F3BE2" w:rsidRDefault="003F3BE2" w:rsidP="003F3BE2">
      <w:pPr>
        <w:spacing w:before="117" w:line="276" w:lineRule="auto"/>
        <w:jc w:val="both"/>
        <w:rPr>
          <w:rFonts w:ascii="Arial" w:hAnsi="Arial" w:cs="Arial"/>
          <w:b/>
          <w:bCs/>
          <w:sz w:val="20"/>
        </w:rPr>
      </w:pPr>
      <w:r w:rsidRPr="003F3BE2">
        <w:rPr>
          <w:rFonts w:ascii="Arial" w:hAnsi="Arial" w:cs="Arial"/>
          <w:b/>
          <w:bCs/>
          <w:sz w:val="20"/>
        </w:rPr>
        <w:t>Exercise 11: Navigation</w:t>
      </w:r>
    </w:p>
    <w:p w14:paraId="27BEAF0B" w14:textId="77777777" w:rsidR="003F3BE2" w:rsidRPr="003F3BE2" w:rsidRDefault="003F3BE2" w:rsidP="0079393D">
      <w:pPr>
        <w:numPr>
          <w:ilvl w:val="0"/>
          <w:numId w:val="156"/>
        </w:numPr>
        <w:spacing w:before="117" w:line="276" w:lineRule="auto"/>
        <w:jc w:val="both"/>
        <w:rPr>
          <w:rFonts w:ascii="Arial" w:hAnsi="Arial" w:cs="Arial"/>
          <w:sz w:val="20"/>
        </w:rPr>
      </w:pPr>
      <w:r w:rsidRPr="003F3BE2">
        <w:rPr>
          <w:rFonts w:ascii="Arial" w:hAnsi="Arial" w:cs="Arial"/>
          <w:sz w:val="20"/>
        </w:rPr>
        <w:t>map selection;</w:t>
      </w:r>
    </w:p>
    <w:p w14:paraId="594E04BF" w14:textId="77777777" w:rsidR="003F3BE2" w:rsidRPr="003F3BE2" w:rsidRDefault="003F3BE2" w:rsidP="0079393D">
      <w:pPr>
        <w:numPr>
          <w:ilvl w:val="0"/>
          <w:numId w:val="156"/>
        </w:numPr>
        <w:spacing w:before="117" w:line="276" w:lineRule="auto"/>
        <w:jc w:val="both"/>
        <w:rPr>
          <w:rFonts w:ascii="Arial" w:hAnsi="Arial" w:cs="Arial"/>
          <w:sz w:val="20"/>
        </w:rPr>
      </w:pPr>
      <w:r w:rsidRPr="003F3BE2">
        <w:rPr>
          <w:rFonts w:ascii="Arial" w:hAnsi="Arial" w:cs="Arial"/>
          <w:sz w:val="20"/>
        </w:rPr>
        <w:t>plotting expected track;</w:t>
      </w:r>
    </w:p>
    <w:p w14:paraId="211905BB" w14:textId="77777777" w:rsidR="003F3BE2" w:rsidRPr="003F3BE2" w:rsidRDefault="003F3BE2" w:rsidP="0079393D">
      <w:pPr>
        <w:numPr>
          <w:ilvl w:val="0"/>
          <w:numId w:val="156"/>
        </w:numPr>
        <w:spacing w:before="117" w:line="276" w:lineRule="auto"/>
        <w:jc w:val="both"/>
        <w:rPr>
          <w:rFonts w:ascii="Arial" w:hAnsi="Arial" w:cs="Arial"/>
          <w:sz w:val="20"/>
        </w:rPr>
      </w:pPr>
      <w:r w:rsidRPr="003F3BE2">
        <w:rPr>
          <w:rFonts w:ascii="Arial" w:hAnsi="Arial" w:cs="Arial"/>
          <w:sz w:val="20"/>
        </w:rPr>
        <w:t>marking positions and time;</w:t>
      </w:r>
    </w:p>
    <w:p w14:paraId="57FD9174" w14:textId="77777777" w:rsidR="003F3BE2" w:rsidRPr="003F3BE2" w:rsidRDefault="003F3BE2" w:rsidP="0079393D">
      <w:pPr>
        <w:numPr>
          <w:ilvl w:val="0"/>
          <w:numId w:val="156"/>
        </w:numPr>
        <w:spacing w:before="117" w:line="276" w:lineRule="auto"/>
        <w:jc w:val="both"/>
        <w:rPr>
          <w:rFonts w:ascii="Arial" w:hAnsi="Arial" w:cs="Arial"/>
          <w:sz w:val="20"/>
        </w:rPr>
      </w:pPr>
      <w:r w:rsidRPr="003F3BE2">
        <w:rPr>
          <w:rFonts w:ascii="Arial" w:hAnsi="Arial" w:cs="Arial"/>
          <w:sz w:val="20"/>
        </w:rPr>
        <w:t>calculation of distance, speed and ballast consumption;</w:t>
      </w:r>
    </w:p>
    <w:p w14:paraId="35C1E3A9" w14:textId="77777777" w:rsidR="003F3BE2" w:rsidRPr="003F3BE2" w:rsidRDefault="003F3BE2" w:rsidP="0079393D">
      <w:pPr>
        <w:numPr>
          <w:ilvl w:val="0"/>
          <w:numId w:val="156"/>
        </w:numPr>
        <w:spacing w:before="117" w:line="276" w:lineRule="auto"/>
        <w:jc w:val="both"/>
        <w:rPr>
          <w:rFonts w:ascii="Arial" w:hAnsi="Arial" w:cs="Arial"/>
          <w:sz w:val="20"/>
        </w:rPr>
      </w:pPr>
      <w:r w:rsidRPr="003F3BE2">
        <w:rPr>
          <w:rFonts w:ascii="Arial" w:hAnsi="Arial" w:cs="Arial"/>
          <w:sz w:val="20"/>
        </w:rPr>
        <w:t>ceiling limitations (ATC, weather and ballast);</w:t>
      </w:r>
    </w:p>
    <w:p w14:paraId="6A47A009" w14:textId="77777777" w:rsidR="003F3BE2" w:rsidRPr="003F3BE2" w:rsidRDefault="003F3BE2" w:rsidP="0079393D">
      <w:pPr>
        <w:numPr>
          <w:ilvl w:val="0"/>
          <w:numId w:val="156"/>
        </w:numPr>
        <w:spacing w:before="117" w:line="276" w:lineRule="auto"/>
        <w:jc w:val="both"/>
        <w:rPr>
          <w:rFonts w:ascii="Arial" w:hAnsi="Arial" w:cs="Arial"/>
          <w:sz w:val="20"/>
        </w:rPr>
      </w:pPr>
      <w:r w:rsidRPr="003F3BE2">
        <w:rPr>
          <w:rFonts w:ascii="Arial" w:hAnsi="Arial" w:cs="Arial"/>
          <w:sz w:val="20"/>
        </w:rPr>
        <w:t>planning ahead;</w:t>
      </w:r>
    </w:p>
    <w:p w14:paraId="58D36AB6" w14:textId="77777777" w:rsidR="003F3BE2" w:rsidRPr="003F3BE2" w:rsidRDefault="003F3BE2" w:rsidP="0079393D">
      <w:pPr>
        <w:numPr>
          <w:ilvl w:val="0"/>
          <w:numId w:val="156"/>
        </w:numPr>
        <w:spacing w:before="117" w:line="276" w:lineRule="auto"/>
        <w:jc w:val="both"/>
        <w:rPr>
          <w:rFonts w:ascii="Arial" w:hAnsi="Arial" w:cs="Arial"/>
          <w:sz w:val="20"/>
        </w:rPr>
      </w:pPr>
      <w:r w:rsidRPr="003F3BE2">
        <w:rPr>
          <w:rFonts w:ascii="Arial" w:hAnsi="Arial" w:cs="Arial"/>
          <w:sz w:val="20"/>
        </w:rPr>
        <w:t>monitoring of weather development and acting so;</w:t>
      </w:r>
    </w:p>
    <w:p w14:paraId="41B1A21B" w14:textId="77777777" w:rsidR="003F3BE2" w:rsidRPr="003F3BE2" w:rsidRDefault="003F3BE2" w:rsidP="0079393D">
      <w:pPr>
        <w:numPr>
          <w:ilvl w:val="0"/>
          <w:numId w:val="156"/>
        </w:numPr>
        <w:spacing w:before="117" w:line="276" w:lineRule="auto"/>
        <w:jc w:val="both"/>
        <w:rPr>
          <w:rFonts w:ascii="Arial" w:hAnsi="Arial" w:cs="Arial"/>
          <w:sz w:val="20"/>
        </w:rPr>
      </w:pPr>
      <w:r w:rsidRPr="003F3BE2">
        <w:rPr>
          <w:rFonts w:ascii="Arial" w:hAnsi="Arial" w:cs="Arial"/>
          <w:sz w:val="20"/>
        </w:rPr>
        <w:t>monitoring of ballast consumption;</w:t>
      </w:r>
    </w:p>
    <w:p w14:paraId="56A4C56B" w14:textId="77777777" w:rsidR="003F3BE2" w:rsidRPr="003F3BE2" w:rsidRDefault="003F3BE2" w:rsidP="0079393D">
      <w:pPr>
        <w:numPr>
          <w:ilvl w:val="0"/>
          <w:numId w:val="156"/>
        </w:numPr>
        <w:spacing w:before="117" w:line="276" w:lineRule="auto"/>
        <w:jc w:val="both"/>
        <w:rPr>
          <w:rFonts w:ascii="Arial" w:hAnsi="Arial" w:cs="Arial"/>
          <w:sz w:val="20"/>
        </w:rPr>
      </w:pPr>
      <w:r w:rsidRPr="003F3BE2">
        <w:rPr>
          <w:rFonts w:ascii="Arial" w:hAnsi="Arial" w:cs="Arial"/>
          <w:sz w:val="20"/>
        </w:rPr>
        <w:t>ATC liaison (if applicable);</w:t>
      </w:r>
    </w:p>
    <w:p w14:paraId="0A366B06" w14:textId="77777777" w:rsidR="003F3BE2" w:rsidRPr="003F3BE2" w:rsidRDefault="003F3BE2" w:rsidP="0079393D">
      <w:pPr>
        <w:numPr>
          <w:ilvl w:val="0"/>
          <w:numId w:val="156"/>
        </w:numPr>
        <w:spacing w:before="117" w:line="276" w:lineRule="auto"/>
        <w:jc w:val="both"/>
        <w:rPr>
          <w:rFonts w:ascii="Arial" w:hAnsi="Arial" w:cs="Arial"/>
          <w:sz w:val="20"/>
        </w:rPr>
      </w:pPr>
      <w:r w:rsidRPr="003F3BE2">
        <w:rPr>
          <w:rFonts w:ascii="Arial" w:hAnsi="Arial" w:cs="Arial"/>
          <w:sz w:val="20"/>
        </w:rPr>
        <w:t>communication with retrieve crew; and</w:t>
      </w:r>
    </w:p>
    <w:p w14:paraId="64B46DCA" w14:textId="77777777" w:rsidR="003F3BE2" w:rsidRPr="003F3BE2" w:rsidRDefault="003F3BE2" w:rsidP="0079393D">
      <w:pPr>
        <w:numPr>
          <w:ilvl w:val="0"/>
          <w:numId w:val="156"/>
        </w:numPr>
        <w:spacing w:before="117" w:line="276" w:lineRule="auto"/>
        <w:jc w:val="both"/>
        <w:rPr>
          <w:rFonts w:ascii="Arial" w:hAnsi="Arial" w:cs="Arial"/>
          <w:sz w:val="20"/>
        </w:rPr>
      </w:pPr>
      <w:r w:rsidRPr="003F3BE2">
        <w:rPr>
          <w:rFonts w:ascii="Arial" w:hAnsi="Arial" w:cs="Arial"/>
          <w:sz w:val="20"/>
        </w:rPr>
        <w:t>use of GNSS (if applicable).</w:t>
      </w:r>
    </w:p>
    <w:p w14:paraId="78E4C974" w14:textId="77777777" w:rsidR="003F3BE2" w:rsidRPr="003F3BE2" w:rsidRDefault="003F3BE2" w:rsidP="003F3BE2">
      <w:pPr>
        <w:spacing w:before="117" w:line="276" w:lineRule="auto"/>
        <w:jc w:val="both"/>
        <w:rPr>
          <w:rFonts w:ascii="Arial" w:hAnsi="Arial" w:cs="Arial"/>
          <w:b/>
          <w:bCs/>
          <w:sz w:val="20"/>
        </w:rPr>
      </w:pPr>
      <w:r w:rsidRPr="003F3BE2">
        <w:rPr>
          <w:rFonts w:ascii="Arial" w:hAnsi="Arial" w:cs="Arial"/>
          <w:b/>
          <w:bCs/>
          <w:sz w:val="20"/>
        </w:rPr>
        <w:t>Exercise 12: Ballast management</w:t>
      </w:r>
    </w:p>
    <w:p w14:paraId="7C1156A1" w14:textId="77777777" w:rsidR="003F3BE2" w:rsidRPr="003F3BE2" w:rsidRDefault="003F3BE2" w:rsidP="0079393D">
      <w:pPr>
        <w:numPr>
          <w:ilvl w:val="0"/>
          <w:numId w:val="155"/>
        </w:numPr>
        <w:spacing w:before="117" w:line="276" w:lineRule="auto"/>
        <w:jc w:val="both"/>
        <w:rPr>
          <w:rFonts w:ascii="Arial" w:hAnsi="Arial" w:cs="Arial"/>
          <w:sz w:val="20"/>
        </w:rPr>
      </w:pPr>
      <w:r w:rsidRPr="003F3BE2">
        <w:rPr>
          <w:rFonts w:ascii="Arial" w:hAnsi="Arial" w:cs="Arial"/>
          <w:sz w:val="20"/>
        </w:rPr>
        <w:t>minimum ballast;</w:t>
      </w:r>
    </w:p>
    <w:p w14:paraId="4035697B" w14:textId="77777777" w:rsidR="003F3BE2" w:rsidRPr="003F3BE2" w:rsidRDefault="003F3BE2" w:rsidP="0079393D">
      <w:pPr>
        <w:numPr>
          <w:ilvl w:val="0"/>
          <w:numId w:val="155"/>
        </w:numPr>
        <w:spacing w:before="117" w:line="276" w:lineRule="auto"/>
        <w:jc w:val="both"/>
        <w:rPr>
          <w:rFonts w:ascii="Arial" w:hAnsi="Arial" w:cs="Arial"/>
          <w:sz w:val="20"/>
        </w:rPr>
      </w:pPr>
      <w:r w:rsidRPr="003F3BE2">
        <w:rPr>
          <w:rFonts w:ascii="Arial" w:hAnsi="Arial" w:cs="Arial"/>
          <w:sz w:val="20"/>
        </w:rPr>
        <w:t>arrangement and securing of ballast;</w:t>
      </w:r>
    </w:p>
    <w:p w14:paraId="5C1C6B6C" w14:textId="77777777" w:rsidR="003F3BE2" w:rsidRPr="003F3BE2" w:rsidRDefault="003F3BE2" w:rsidP="0079393D">
      <w:pPr>
        <w:numPr>
          <w:ilvl w:val="0"/>
          <w:numId w:val="155"/>
        </w:numPr>
        <w:spacing w:before="117" w:line="276" w:lineRule="auto"/>
        <w:jc w:val="both"/>
        <w:rPr>
          <w:rFonts w:ascii="Arial" w:hAnsi="Arial" w:cs="Arial"/>
          <w:sz w:val="20"/>
        </w:rPr>
      </w:pPr>
      <w:r w:rsidRPr="003F3BE2">
        <w:rPr>
          <w:rFonts w:ascii="Arial" w:hAnsi="Arial" w:cs="Arial"/>
          <w:sz w:val="20"/>
        </w:rPr>
        <w:lastRenderedPageBreak/>
        <w:t>ballast requirement and expected ballast consumption; and</w:t>
      </w:r>
    </w:p>
    <w:p w14:paraId="495202F9" w14:textId="77777777" w:rsidR="003F3BE2" w:rsidRPr="003F3BE2" w:rsidRDefault="003F3BE2" w:rsidP="0079393D">
      <w:pPr>
        <w:numPr>
          <w:ilvl w:val="0"/>
          <w:numId w:val="155"/>
        </w:numPr>
        <w:spacing w:before="117" w:line="276" w:lineRule="auto"/>
        <w:jc w:val="both"/>
        <w:rPr>
          <w:rFonts w:ascii="Arial" w:hAnsi="Arial" w:cs="Arial"/>
          <w:sz w:val="20"/>
        </w:rPr>
      </w:pPr>
      <w:r w:rsidRPr="003F3BE2">
        <w:rPr>
          <w:rFonts w:ascii="Arial" w:hAnsi="Arial" w:cs="Arial"/>
          <w:sz w:val="20"/>
        </w:rPr>
        <w:t>ballast reserves.</w:t>
      </w:r>
    </w:p>
    <w:p w14:paraId="6A48E425" w14:textId="77777777" w:rsidR="003F3BE2" w:rsidRPr="003F3BE2" w:rsidRDefault="003F3BE2" w:rsidP="003F3BE2">
      <w:pPr>
        <w:spacing w:before="117" w:line="276" w:lineRule="auto"/>
        <w:jc w:val="both"/>
        <w:rPr>
          <w:rFonts w:ascii="Arial" w:hAnsi="Arial" w:cs="Arial"/>
          <w:b/>
          <w:bCs/>
          <w:sz w:val="20"/>
        </w:rPr>
      </w:pPr>
      <w:r w:rsidRPr="003F3BE2">
        <w:rPr>
          <w:rFonts w:ascii="Arial" w:hAnsi="Arial" w:cs="Arial"/>
          <w:b/>
          <w:bCs/>
          <w:sz w:val="20"/>
        </w:rPr>
        <w:t>Exercise 13: Approach from low level</w:t>
      </w:r>
    </w:p>
    <w:p w14:paraId="0965498B" w14:textId="77777777" w:rsidR="003F3BE2" w:rsidRPr="003F3BE2" w:rsidRDefault="003F3BE2" w:rsidP="0079393D">
      <w:pPr>
        <w:numPr>
          <w:ilvl w:val="0"/>
          <w:numId w:val="169"/>
        </w:numPr>
        <w:spacing w:before="117" w:line="276" w:lineRule="auto"/>
        <w:jc w:val="both"/>
        <w:rPr>
          <w:rFonts w:ascii="Arial" w:hAnsi="Arial" w:cs="Arial"/>
          <w:sz w:val="20"/>
        </w:rPr>
      </w:pPr>
      <w:r w:rsidRPr="003F3BE2">
        <w:rPr>
          <w:rFonts w:ascii="Arial" w:hAnsi="Arial" w:cs="Arial"/>
          <w:sz w:val="20"/>
        </w:rPr>
        <w:t>pre-landing checks;</w:t>
      </w:r>
    </w:p>
    <w:p w14:paraId="0DC314C5" w14:textId="77777777" w:rsidR="003F3BE2" w:rsidRPr="003F3BE2" w:rsidRDefault="003F3BE2" w:rsidP="0079393D">
      <w:pPr>
        <w:numPr>
          <w:ilvl w:val="0"/>
          <w:numId w:val="169"/>
        </w:numPr>
        <w:spacing w:before="117" w:line="276" w:lineRule="auto"/>
        <w:jc w:val="both"/>
        <w:rPr>
          <w:rFonts w:ascii="Arial" w:hAnsi="Arial" w:cs="Arial"/>
          <w:sz w:val="20"/>
        </w:rPr>
      </w:pPr>
      <w:r w:rsidRPr="003F3BE2">
        <w:rPr>
          <w:rFonts w:ascii="Arial" w:hAnsi="Arial" w:cs="Arial"/>
          <w:sz w:val="20"/>
        </w:rPr>
        <w:t>passenger pre-landing checks;</w:t>
      </w:r>
    </w:p>
    <w:p w14:paraId="100070AF" w14:textId="77777777" w:rsidR="003F3BE2" w:rsidRPr="003F3BE2" w:rsidRDefault="003F3BE2" w:rsidP="0079393D">
      <w:pPr>
        <w:numPr>
          <w:ilvl w:val="0"/>
          <w:numId w:val="169"/>
        </w:numPr>
        <w:spacing w:before="117" w:line="276" w:lineRule="auto"/>
        <w:jc w:val="both"/>
        <w:rPr>
          <w:rFonts w:ascii="Arial" w:hAnsi="Arial" w:cs="Arial"/>
          <w:sz w:val="20"/>
        </w:rPr>
      </w:pPr>
      <w:r w:rsidRPr="003F3BE2">
        <w:rPr>
          <w:rFonts w:ascii="Arial" w:hAnsi="Arial" w:cs="Arial"/>
          <w:sz w:val="20"/>
        </w:rPr>
        <w:t>selection of field;</w:t>
      </w:r>
    </w:p>
    <w:p w14:paraId="7BEF9601" w14:textId="77777777" w:rsidR="003F3BE2" w:rsidRPr="003F3BE2" w:rsidRDefault="003F3BE2" w:rsidP="0079393D">
      <w:pPr>
        <w:numPr>
          <w:ilvl w:val="0"/>
          <w:numId w:val="169"/>
        </w:numPr>
        <w:spacing w:before="117" w:line="276" w:lineRule="auto"/>
        <w:jc w:val="both"/>
        <w:rPr>
          <w:rFonts w:ascii="Arial" w:hAnsi="Arial" w:cs="Arial"/>
          <w:sz w:val="20"/>
        </w:rPr>
      </w:pPr>
      <w:r w:rsidRPr="003F3BE2">
        <w:rPr>
          <w:rFonts w:ascii="Arial" w:hAnsi="Arial" w:cs="Arial"/>
          <w:sz w:val="20"/>
        </w:rPr>
        <w:t>use of ballast and parachute or valve;</w:t>
      </w:r>
    </w:p>
    <w:p w14:paraId="315A998D" w14:textId="77777777" w:rsidR="003F3BE2" w:rsidRPr="003F3BE2" w:rsidRDefault="003F3BE2" w:rsidP="0079393D">
      <w:pPr>
        <w:numPr>
          <w:ilvl w:val="0"/>
          <w:numId w:val="169"/>
        </w:numPr>
        <w:spacing w:before="117" w:line="276" w:lineRule="auto"/>
        <w:jc w:val="both"/>
        <w:rPr>
          <w:rFonts w:ascii="Arial" w:hAnsi="Arial" w:cs="Arial"/>
          <w:sz w:val="20"/>
        </w:rPr>
      </w:pPr>
      <w:r w:rsidRPr="003F3BE2">
        <w:rPr>
          <w:rFonts w:ascii="Arial" w:hAnsi="Arial" w:cs="Arial"/>
          <w:sz w:val="20"/>
        </w:rPr>
        <w:t>use of trail rope (if applicable);</w:t>
      </w:r>
    </w:p>
    <w:p w14:paraId="7BC1935B" w14:textId="77777777" w:rsidR="003F3BE2" w:rsidRPr="003F3BE2" w:rsidRDefault="003F3BE2" w:rsidP="0079393D">
      <w:pPr>
        <w:numPr>
          <w:ilvl w:val="0"/>
          <w:numId w:val="169"/>
        </w:numPr>
        <w:spacing w:before="117" w:line="276" w:lineRule="auto"/>
        <w:jc w:val="both"/>
        <w:rPr>
          <w:rFonts w:ascii="Arial" w:hAnsi="Arial" w:cs="Arial"/>
          <w:sz w:val="20"/>
        </w:rPr>
      </w:pPr>
      <w:r w:rsidRPr="003F3BE2">
        <w:rPr>
          <w:rFonts w:ascii="Arial" w:hAnsi="Arial" w:cs="Arial"/>
          <w:sz w:val="20"/>
        </w:rPr>
        <w:t>look-out procedures; and</w:t>
      </w:r>
    </w:p>
    <w:p w14:paraId="4C3F01CB" w14:textId="77777777" w:rsidR="003F3BE2" w:rsidRPr="003F3BE2" w:rsidRDefault="003F3BE2" w:rsidP="0079393D">
      <w:pPr>
        <w:numPr>
          <w:ilvl w:val="0"/>
          <w:numId w:val="169"/>
        </w:numPr>
        <w:spacing w:before="117" w:line="276" w:lineRule="auto"/>
        <w:jc w:val="both"/>
        <w:rPr>
          <w:rFonts w:ascii="Arial" w:hAnsi="Arial" w:cs="Arial"/>
          <w:sz w:val="20"/>
        </w:rPr>
      </w:pPr>
      <w:r w:rsidRPr="003F3BE2">
        <w:rPr>
          <w:rFonts w:ascii="Arial" w:hAnsi="Arial" w:cs="Arial"/>
          <w:sz w:val="20"/>
        </w:rPr>
        <w:t>missed approach and fly on.</w:t>
      </w:r>
    </w:p>
    <w:p w14:paraId="2834ACC7" w14:textId="77777777" w:rsidR="003F3BE2" w:rsidRPr="003F3BE2" w:rsidRDefault="003F3BE2" w:rsidP="003F3BE2">
      <w:pPr>
        <w:spacing w:before="117" w:line="276" w:lineRule="auto"/>
        <w:jc w:val="both"/>
        <w:rPr>
          <w:rFonts w:ascii="Arial" w:hAnsi="Arial" w:cs="Arial"/>
          <w:b/>
          <w:bCs/>
          <w:sz w:val="20"/>
        </w:rPr>
      </w:pPr>
      <w:r w:rsidRPr="003F3BE2">
        <w:rPr>
          <w:rFonts w:ascii="Arial" w:hAnsi="Arial" w:cs="Arial"/>
          <w:b/>
          <w:bCs/>
          <w:sz w:val="20"/>
        </w:rPr>
        <w:t>Exercise 14: Approach from high level</w:t>
      </w:r>
    </w:p>
    <w:p w14:paraId="07D51494" w14:textId="77777777" w:rsidR="003F3BE2" w:rsidRPr="003F3BE2" w:rsidRDefault="003F3BE2" w:rsidP="0079393D">
      <w:pPr>
        <w:numPr>
          <w:ilvl w:val="0"/>
          <w:numId w:val="168"/>
        </w:numPr>
        <w:spacing w:before="117" w:line="276" w:lineRule="auto"/>
        <w:jc w:val="both"/>
        <w:rPr>
          <w:rFonts w:ascii="Arial" w:hAnsi="Arial" w:cs="Arial"/>
          <w:sz w:val="20"/>
        </w:rPr>
      </w:pPr>
      <w:r w:rsidRPr="003F3BE2">
        <w:rPr>
          <w:rFonts w:ascii="Arial" w:hAnsi="Arial" w:cs="Arial"/>
          <w:sz w:val="20"/>
        </w:rPr>
        <w:t>pre-landing checks;</w:t>
      </w:r>
    </w:p>
    <w:p w14:paraId="148333C8" w14:textId="77777777" w:rsidR="003F3BE2" w:rsidRPr="003F3BE2" w:rsidRDefault="003F3BE2" w:rsidP="0079393D">
      <w:pPr>
        <w:numPr>
          <w:ilvl w:val="0"/>
          <w:numId w:val="168"/>
        </w:numPr>
        <w:spacing w:before="117" w:line="276" w:lineRule="auto"/>
        <w:jc w:val="both"/>
        <w:rPr>
          <w:rFonts w:ascii="Arial" w:hAnsi="Arial" w:cs="Arial"/>
          <w:sz w:val="20"/>
        </w:rPr>
      </w:pPr>
      <w:r w:rsidRPr="003F3BE2">
        <w:rPr>
          <w:rFonts w:ascii="Arial" w:hAnsi="Arial" w:cs="Arial"/>
          <w:sz w:val="20"/>
        </w:rPr>
        <w:t>passenger pre-landing checks;</w:t>
      </w:r>
    </w:p>
    <w:p w14:paraId="0866341C" w14:textId="77777777" w:rsidR="003F3BE2" w:rsidRPr="003F3BE2" w:rsidRDefault="003F3BE2" w:rsidP="0079393D">
      <w:pPr>
        <w:numPr>
          <w:ilvl w:val="0"/>
          <w:numId w:val="168"/>
        </w:numPr>
        <w:spacing w:before="117" w:line="276" w:lineRule="auto"/>
        <w:jc w:val="both"/>
        <w:rPr>
          <w:rFonts w:ascii="Arial" w:hAnsi="Arial" w:cs="Arial"/>
          <w:sz w:val="20"/>
        </w:rPr>
      </w:pPr>
      <w:r w:rsidRPr="003F3BE2">
        <w:rPr>
          <w:rFonts w:ascii="Arial" w:hAnsi="Arial" w:cs="Arial"/>
          <w:sz w:val="20"/>
        </w:rPr>
        <w:t>selection of field;</w:t>
      </w:r>
    </w:p>
    <w:p w14:paraId="53E9CF57" w14:textId="77777777" w:rsidR="003F3BE2" w:rsidRPr="003F3BE2" w:rsidRDefault="003F3BE2" w:rsidP="0079393D">
      <w:pPr>
        <w:numPr>
          <w:ilvl w:val="0"/>
          <w:numId w:val="168"/>
        </w:numPr>
        <w:spacing w:before="117" w:line="276" w:lineRule="auto"/>
        <w:jc w:val="both"/>
        <w:rPr>
          <w:rFonts w:ascii="Arial" w:hAnsi="Arial" w:cs="Arial"/>
          <w:sz w:val="20"/>
        </w:rPr>
      </w:pPr>
      <w:r w:rsidRPr="003F3BE2">
        <w:rPr>
          <w:rFonts w:ascii="Arial" w:hAnsi="Arial" w:cs="Arial"/>
          <w:sz w:val="20"/>
        </w:rPr>
        <w:t>rate of descent;</w:t>
      </w:r>
    </w:p>
    <w:p w14:paraId="4BC42D26" w14:textId="77777777" w:rsidR="003F3BE2" w:rsidRPr="003F3BE2" w:rsidRDefault="003F3BE2" w:rsidP="0079393D">
      <w:pPr>
        <w:numPr>
          <w:ilvl w:val="0"/>
          <w:numId w:val="168"/>
        </w:numPr>
        <w:spacing w:before="117" w:line="276" w:lineRule="auto"/>
        <w:jc w:val="both"/>
        <w:rPr>
          <w:rFonts w:ascii="Arial" w:hAnsi="Arial" w:cs="Arial"/>
          <w:sz w:val="20"/>
        </w:rPr>
      </w:pPr>
      <w:r w:rsidRPr="003F3BE2">
        <w:rPr>
          <w:rFonts w:ascii="Arial" w:hAnsi="Arial" w:cs="Arial"/>
          <w:sz w:val="20"/>
        </w:rPr>
        <w:t>use of ballast and parachute or valve;</w:t>
      </w:r>
    </w:p>
    <w:p w14:paraId="4004DDE7" w14:textId="77777777" w:rsidR="003F3BE2" w:rsidRPr="003F3BE2" w:rsidRDefault="003F3BE2" w:rsidP="0079393D">
      <w:pPr>
        <w:numPr>
          <w:ilvl w:val="0"/>
          <w:numId w:val="168"/>
        </w:numPr>
        <w:spacing w:before="117" w:line="276" w:lineRule="auto"/>
        <w:jc w:val="both"/>
        <w:rPr>
          <w:rFonts w:ascii="Arial" w:hAnsi="Arial" w:cs="Arial"/>
          <w:sz w:val="20"/>
        </w:rPr>
      </w:pPr>
      <w:r w:rsidRPr="003F3BE2">
        <w:rPr>
          <w:rFonts w:ascii="Arial" w:hAnsi="Arial" w:cs="Arial"/>
          <w:sz w:val="20"/>
        </w:rPr>
        <w:t>use of trail rope (if applicable);</w:t>
      </w:r>
    </w:p>
    <w:p w14:paraId="15C1AB41" w14:textId="77777777" w:rsidR="003F3BE2" w:rsidRPr="003F3BE2" w:rsidRDefault="003F3BE2" w:rsidP="0079393D">
      <w:pPr>
        <w:numPr>
          <w:ilvl w:val="0"/>
          <w:numId w:val="168"/>
        </w:numPr>
        <w:spacing w:before="117" w:line="276" w:lineRule="auto"/>
        <w:jc w:val="both"/>
        <w:rPr>
          <w:rFonts w:ascii="Arial" w:hAnsi="Arial" w:cs="Arial"/>
          <w:sz w:val="20"/>
        </w:rPr>
      </w:pPr>
      <w:r w:rsidRPr="003F3BE2">
        <w:rPr>
          <w:rFonts w:ascii="Arial" w:hAnsi="Arial" w:cs="Arial"/>
          <w:sz w:val="20"/>
        </w:rPr>
        <w:t>look-out procedures; and</w:t>
      </w:r>
    </w:p>
    <w:p w14:paraId="41D3A944" w14:textId="77777777" w:rsidR="003F3BE2" w:rsidRPr="003F3BE2" w:rsidRDefault="003F3BE2" w:rsidP="0079393D">
      <w:pPr>
        <w:numPr>
          <w:ilvl w:val="0"/>
          <w:numId w:val="168"/>
        </w:numPr>
        <w:spacing w:before="117" w:line="276" w:lineRule="auto"/>
        <w:jc w:val="both"/>
        <w:rPr>
          <w:rFonts w:ascii="Arial" w:hAnsi="Arial" w:cs="Arial"/>
          <w:sz w:val="20"/>
        </w:rPr>
      </w:pPr>
      <w:r w:rsidRPr="003F3BE2">
        <w:rPr>
          <w:rFonts w:ascii="Arial" w:hAnsi="Arial" w:cs="Arial"/>
          <w:sz w:val="20"/>
        </w:rPr>
        <w:t>missed approach and fly on.</w:t>
      </w:r>
    </w:p>
    <w:p w14:paraId="70116892" w14:textId="77777777" w:rsidR="003F3BE2" w:rsidRPr="003F3BE2" w:rsidRDefault="003F3BE2" w:rsidP="003F3BE2">
      <w:pPr>
        <w:spacing w:before="117" w:line="276" w:lineRule="auto"/>
        <w:jc w:val="both"/>
        <w:rPr>
          <w:rFonts w:ascii="Arial" w:hAnsi="Arial" w:cs="Arial"/>
          <w:b/>
          <w:bCs/>
          <w:sz w:val="20"/>
        </w:rPr>
      </w:pPr>
      <w:r w:rsidRPr="003F3BE2">
        <w:rPr>
          <w:rFonts w:ascii="Arial" w:hAnsi="Arial" w:cs="Arial"/>
          <w:b/>
          <w:bCs/>
          <w:sz w:val="20"/>
        </w:rPr>
        <w:t>Exercise 15: Operating at low level</w:t>
      </w:r>
    </w:p>
    <w:p w14:paraId="66E5A531" w14:textId="77777777" w:rsidR="003F3BE2" w:rsidRPr="003F3BE2" w:rsidRDefault="003F3BE2" w:rsidP="0079393D">
      <w:pPr>
        <w:numPr>
          <w:ilvl w:val="0"/>
          <w:numId w:val="167"/>
        </w:numPr>
        <w:spacing w:before="117" w:line="276" w:lineRule="auto"/>
        <w:jc w:val="both"/>
        <w:rPr>
          <w:rFonts w:ascii="Arial" w:hAnsi="Arial" w:cs="Arial"/>
          <w:sz w:val="20"/>
        </w:rPr>
      </w:pPr>
      <w:r w:rsidRPr="003F3BE2">
        <w:rPr>
          <w:rFonts w:ascii="Arial" w:hAnsi="Arial" w:cs="Arial"/>
          <w:sz w:val="20"/>
        </w:rPr>
        <w:t>use of ballast and parachute or valve;</w:t>
      </w:r>
    </w:p>
    <w:p w14:paraId="12FF4842" w14:textId="77777777" w:rsidR="003F3BE2" w:rsidRPr="003F3BE2" w:rsidRDefault="003F3BE2" w:rsidP="0079393D">
      <w:pPr>
        <w:numPr>
          <w:ilvl w:val="0"/>
          <w:numId w:val="167"/>
        </w:numPr>
        <w:spacing w:before="117" w:line="276" w:lineRule="auto"/>
        <w:jc w:val="both"/>
        <w:rPr>
          <w:rFonts w:ascii="Arial" w:hAnsi="Arial" w:cs="Arial"/>
          <w:sz w:val="20"/>
        </w:rPr>
      </w:pPr>
      <w:r w:rsidRPr="003F3BE2">
        <w:rPr>
          <w:rFonts w:ascii="Arial" w:hAnsi="Arial" w:cs="Arial"/>
          <w:sz w:val="20"/>
        </w:rPr>
        <w:t>look-out procedures;</w:t>
      </w:r>
    </w:p>
    <w:p w14:paraId="6683BE54" w14:textId="77777777" w:rsidR="003F3BE2" w:rsidRPr="003F3BE2" w:rsidRDefault="003F3BE2" w:rsidP="0079393D">
      <w:pPr>
        <w:numPr>
          <w:ilvl w:val="0"/>
          <w:numId w:val="167"/>
        </w:numPr>
        <w:spacing w:before="117" w:line="276" w:lineRule="auto"/>
        <w:jc w:val="both"/>
        <w:rPr>
          <w:rFonts w:ascii="Arial" w:hAnsi="Arial" w:cs="Arial"/>
          <w:sz w:val="20"/>
        </w:rPr>
      </w:pPr>
      <w:r w:rsidRPr="003F3BE2">
        <w:rPr>
          <w:rFonts w:ascii="Arial" w:hAnsi="Arial" w:cs="Arial"/>
          <w:sz w:val="20"/>
        </w:rPr>
        <w:t>avoidance of low-level obstacles;</w:t>
      </w:r>
    </w:p>
    <w:p w14:paraId="672978C0" w14:textId="77777777" w:rsidR="003F3BE2" w:rsidRPr="003F3BE2" w:rsidRDefault="003F3BE2" w:rsidP="0079393D">
      <w:pPr>
        <w:numPr>
          <w:ilvl w:val="0"/>
          <w:numId w:val="167"/>
        </w:numPr>
        <w:spacing w:before="117" w:line="276" w:lineRule="auto"/>
        <w:jc w:val="both"/>
        <w:rPr>
          <w:rFonts w:ascii="Arial" w:hAnsi="Arial" w:cs="Arial"/>
          <w:sz w:val="20"/>
        </w:rPr>
      </w:pPr>
      <w:r w:rsidRPr="003F3BE2">
        <w:rPr>
          <w:rFonts w:ascii="Arial" w:hAnsi="Arial" w:cs="Arial"/>
          <w:sz w:val="20"/>
        </w:rPr>
        <w:t>avoidance of sensitive areas and nature protection areas; and</w:t>
      </w:r>
    </w:p>
    <w:p w14:paraId="3D0A4E98" w14:textId="77777777" w:rsidR="003F3BE2" w:rsidRPr="003F3BE2" w:rsidRDefault="003F3BE2" w:rsidP="0079393D">
      <w:pPr>
        <w:numPr>
          <w:ilvl w:val="0"/>
          <w:numId w:val="167"/>
        </w:numPr>
        <w:spacing w:before="117" w:line="276" w:lineRule="auto"/>
        <w:jc w:val="both"/>
        <w:rPr>
          <w:rFonts w:ascii="Arial" w:hAnsi="Arial" w:cs="Arial"/>
          <w:sz w:val="20"/>
        </w:rPr>
      </w:pPr>
      <w:r w:rsidRPr="003F3BE2">
        <w:rPr>
          <w:rFonts w:ascii="Arial" w:hAnsi="Arial" w:cs="Arial"/>
          <w:sz w:val="20"/>
        </w:rPr>
        <w:t>landowner relations.</w:t>
      </w:r>
    </w:p>
    <w:p w14:paraId="4F75E5D3" w14:textId="77777777" w:rsidR="003F3BE2" w:rsidRPr="003F3BE2" w:rsidRDefault="003F3BE2" w:rsidP="003F3BE2">
      <w:pPr>
        <w:spacing w:before="117" w:line="276" w:lineRule="auto"/>
        <w:jc w:val="both"/>
        <w:rPr>
          <w:rFonts w:ascii="Arial" w:hAnsi="Arial" w:cs="Arial"/>
          <w:b/>
          <w:bCs/>
          <w:sz w:val="20"/>
        </w:rPr>
      </w:pPr>
      <w:r w:rsidRPr="003F3BE2">
        <w:rPr>
          <w:rFonts w:ascii="Arial" w:hAnsi="Arial" w:cs="Arial"/>
          <w:b/>
          <w:bCs/>
          <w:sz w:val="20"/>
        </w:rPr>
        <w:t>Exercise 16: Landing in different wind conditions</w:t>
      </w:r>
    </w:p>
    <w:p w14:paraId="78FEA9DD" w14:textId="77777777" w:rsidR="003F3BE2" w:rsidRPr="003F3BE2" w:rsidRDefault="003F3BE2" w:rsidP="0079393D">
      <w:pPr>
        <w:numPr>
          <w:ilvl w:val="0"/>
          <w:numId w:val="166"/>
        </w:numPr>
        <w:spacing w:before="117" w:line="276" w:lineRule="auto"/>
        <w:jc w:val="both"/>
        <w:rPr>
          <w:rFonts w:ascii="Arial" w:hAnsi="Arial" w:cs="Arial"/>
          <w:sz w:val="20"/>
        </w:rPr>
      </w:pPr>
      <w:r w:rsidRPr="003F3BE2">
        <w:rPr>
          <w:rFonts w:ascii="Arial" w:hAnsi="Arial" w:cs="Arial"/>
          <w:sz w:val="20"/>
        </w:rPr>
        <w:t>pre-landing checks;</w:t>
      </w:r>
    </w:p>
    <w:p w14:paraId="5CC777CC" w14:textId="77777777" w:rsidR="003F3BE2" w:rsidRPr="003F3BE2" w:rsidRDefault="003F3BE2" w:rsidP="0079393D">
      <w:pPr>
        <w:numPr>
          <w:ilvl w:val="0"/>
          <w:numId w:val="166"/>
        </w:numPr>
        <w:spacing w:before="117" w:line="276" w:lineRule="auto"/>
        <w:jc w:val="both"/>
        <w:rPr>
          <w:rFonts w:ascii="Arial" w:hAnsi="Arial" w:cs="Arial"/>
          <w:sz w:val="20"/>
        </w:rPr>
      </w:pPr>
      <w:r w:rsidRPr="003F3BE2">
        <w:rPr>
          <w:rFonts w:ascii="Arial" w:hAnsi="Arial" w:cs="Arial"/>
          <w:sz w:val="20"/>
        </w:rPr>
        <w:t>passenger pre-landing briefing;</w:t>
      </w:r>
    </w:p>
    <w:p w14:paraId="6B4BB854" w14:textId="77777777" w:rsidR="003F3BE2" w:rsidRPr="003F3BE2" w:rsidRDefault="003F3BE2" w:rsidP="0079393D">
      <w:pPr>
        <w:numPr>
          <w:ilvl w:val="0"/>
          <w:numId w:val="166"/>
        </w:numPr>
        <w:spacing w:before="117" w:line="276" w:lineRule="auto"/>
        <w:jc w:val="both"/>
        <w:rPr>
          <w:rFonts w:ascii="Arial" w:hAnsi="Arial" w:cs="Arial"/>
          <w:sz w:val="20"/>
        </w:rPr>
      </w:pPr>
      <w:r w:rsidRPr="003F3BE2">
        <w:rPr>
          <w:rFonts w:ascii="Arial" w:hAnsi="Arial" w:cs="Arial"/>
          <w:sz w:val="20"/>
        </w:rPr>
        <w:t>selection of field;</w:t>
      </w:r>
    </w:p>
    <w:p w14:paraId="52EB6BF2" w14:textId="77777777" w:rsidR="003F3BE2" w:rsidRPr="003F3BE2" w:rsidRDefault="003F3BE2" w:rsidP="0079393D">
      <w:pPr>
        <w:numPr>
          <w:ilvl w:val="0"/>
          <w:numId w:val="166"/>
        </w:numPr>
        <w:spacing w:before="117" w:line="276" w:lineRule="auto"/>
        <w:jc w:val="both"/>
        <w:rPr>
          <w:rFonts w:ascii="Arial" w:hAnsi="Arial" w:cs="Arial"/>
          <w:sz w:val="20"/>
        </w:rPr>
      </w:pPr>
      <w:r w:rsidRPr="003F3BE2">
        <w:rPr>
          <w:rFonts w:ascii="Arial" w:hAnsi="Arial" w:cs="Arial"/>
          <w:sz w:val="20"/>
        </w:rPr>
        <w:t>turbulence (in the case of landings with high wind speed only);</w:t>
      </w:r>
    </w:p>
    <w:p w14:paraId="2C98FF74" w14:textId="77777777" w:rsidR="003F3BE2" w:rsidRPr="003F3BE2" w:rsidRDefault="003F3BE2" w:rsidP="0079393D">
      <w:pPr>
        <w:numPr>
          <w:ilvl w:val="0"/>
          <w:numId w:val="166"/>
        </w:numPr>
        <w:spacing w:before="117" w:line="276" w:lineRule="auto"/>
        <w:jc w:val="both"/>
        <w:rPr>
          <w:rFonts w:ascii="Arial" w:hAnsi="Arial" w:cs="Arial"/>
          <w:sz w:val="20"/>
        </w:rPr>
      </w:pPr>
      <w:r w:rsidRPr="003F3BE2">
        <w:rPr>
          <w:rFonts w:ascii="Arial" w:hAnsi="Arial" w:cs="Arial"/>
          <w:sz w:val="20"/>
        </w:rPr>
        <w:t>use of ballast and parachute or valve;</w:t>
      </w:r>
    </w:p>
    <w:p w14:paraId="048CC522" w14:textId="77777777" w:rsidR="003F3BE2" w:rsidRPr="003F3BE2" w:rsidRDefault="003F3BE2" w:rsidP="0079393D">
      <w:pPr>
        <w:numPr>
          <w:ilvl w:val="0"/>
          <w:numId w:val="166"/>
        </w:numPr>
        <w:spacing w:before="117" w:line="276" w:lineRule="auto"/>
        <w:jc w:val="both"/>
        <w:rPr>
          <w:rFonts w:ascii="Arial" w:hAnsi="Arial" w:cs="Arial"/>
          <w:sz w:val="20"/>
        </w:rPr>
      </w:pPr>
      <w:r w:rsidRPr="003F3BE2">
        <w:rPr>
          <w:rFonts w:ascii="Arial" w:hAnsi="Arial" w:cs="Arial"/>
          <w:sz w:val="20"/>
        </w:rPr>
        <w:t>look-out procedures;</w:t>
      </w:r>
    </w:p>
    <w:p w14:paraId="2773617A" w14:textId="77777777" w:rsidR="003F3BE2" w:rsidRPr="003F3BE2" w:rsidRDefault="003F3BE2" w:rsidP="0079393D">
      <w:pPr>
        <w:numPr>
          <w:ilvl w:val="0"/>
          <w:numId w:val="166"/>
        </w:numPr>
        <w:spacing w:before="117" w:line="276" w:lineRule="auto"/>
        <w:jc w:val="both"/>
        <w:rPr>
          <w:rFonts w:ascii="Arial" w:hAnsi="Arial" w:cs="Arial"/>
          <w:sz w:val="20"/>
        </w:rPr>
      </w:pPr>
      <w:r w:rsidRPr="003F3BE2">
        <w:rPr>
          <w:rFonts w:ascii="Arial" w:hAnsi="Arial" w:cs="Arial"/>
          <w:sz w:val="20"/>
        </w:rPr>
        <w:t>use of rip panel;</w:t>
      </w:r>
    </w:p>
    <w:p w14:paraId="106F3AAC" w14:textId="77777777" w:rsidR="003F3BE2" w:rsidRPr="003F3BE2" w:rsidRDefault="003F3BE2" w:rsidP="0079393D">
      <w:pPr>
        <w:numPr>
          <w:ilvl w:val="0"/>
          <w:numId w:val="166"/>
        </w:numPr>
        <w:spacing w:before="117" w:line="276" w:lineRule="auto"/>
        <w:jc w:val="both"/>
        <w:rPr>
          <w:rFonts w:ascii="Arial" w:hAnsi="Arial" w:cs="Arial"/>
          <w:sz w:val="20"/>
        </w:rPr>
      </w:pPr>
      <w:r w:rsidRPr="003F3BE2">
        <w:rPr>
          <w:rFonts w:ascii="Arial" w:hAnsi="Arial" w:cs="Arial"/>
          <w:sz w:val="20"/>
        </w:rPr>
        <w:t>dragging;</w:t>
      </w:r>
    </w:p>
    <w:p w14:paraId="162A988D" w14:textId="77777777" w:rsidR="003F3BE2" w:rsidRPr="003F3BE2" w:rsidRDefault="003F3BE2" w:rsidP="0079393D">
      <w:pPr>
        <w:numPr>
          <w:ilvl w:val="0"/>
          <w:numId w:val="166"/>
        </w:numPr>
        <w:spacing w:before="117" w:line="276" w:lineRule="auto"/>
        <w:jc w:val="both"/>
        <w:rPr>
          <w:rFonts w:ascii="Arial" w:hAnsi="Arial" w:cs="Arial"/>
          <w:sz w:val="20"/>
        </w:rPr>
      </w:pPr>
      <w:r w:rsidRPr="003F3BE2">
        <w:rPr>
          <w:rFonts w:ascii="Arial" w:hAnsi="Arial" w:cs="Arial"/>
          <w:sz w:val="20"/>
        </w:rPr>
        <w:t>deflation;</w:t>
      </w:r>
    </w:p>
    <w:p w14:paraId="7B2B184F" w14:textId="77777777" w:rsidR="003F3BE2" w:rsidRPr="003F3BE2" w:rsidRDefault="003F3BE2" w:rsidP="0079393D">
      <w:pPr>
        <w:numPr>
          <w:ilvl w:val="0"/>
          <w:numId w:val="166"/>
        </w:numPr>
        <w:spacing w:before="117" w:line="276" w:lineRule="auto"/>
        <w:jc w:val="both"/>
        <w:rPr>
          <w:rFonts w:ascii="Arial" w:hAnsi="Arial" w:cs="Arial"/>
          <w:sz w:val="20"/>
        </w:rPr>
      </w:pPr>
      <w:r w:rsidRPr="003F3BE2">
        <w:rPr>
          <w:rFonts w:ascii="Arial" w:hAnsi="Arial" w:cs="Arial"/>
          <w:sz w:val="20"/>
        </w:rPr>
        <w:t>avoidance of electrostatic discharge; and</w:t>
      </w:r>
    </w:p>
    <w:p w14:paraId="3F508CA7" w14:textId="77777777" w:rsidR="003F3BE2" w:rsidRPr="003F3BE2" w:rsidRDefault="003F3BE2" w:rsidP="0079393D">
      <w:pPr>
        <w:numPr>
          <w:ilvl w:val="0"/>
          <w:numId w:val="166"/>
        </w:numPr>
        <w:spacing w:before="117" w:line="276" w:lineRule="auto"/>
        <w:jc w:val="both"/>
        <w:rPr>
          <w:rFonts w:ascii="Arial" w:hAnsi="Arial" w:cs="Arial"/>
          <w:sz w:val="20"/>
        </w:rPr>
      </w:pPr>
      <w:r w:rsidRPr="003F3BE2">
        <w:rPr>
          <w:rFonts w:ascii="Arial" w:hAnsi="Arial" w:cs="Arial"/>
          <w:sz w:val="20"/>
        </w:rPr>
        <w:t>landowner relations.</w:t>
      </w:r>
    </w:p>
    <w:p w14:paraId="1030C98C" w14:textId="77777777" w:rsidR="003F3BE2" w:rsidRPr="003F3BE2" w:rsidRDefault="003F3BE2" w:rsidP="003F3BE2">
      <w:pPr>
        <w:spacing w:before="117" w:line="276" w:lineRule="auto"/>
        <w:jc w:val="both"/>
        <w:rPr>
          <w:rFonts w:ascii="Arial" w:hAnsi="Arial" w:cs="Arial"/>
          <w:b/>
          <w:bCs/>
          <w:sz w:val="20"/>
        </w:rPr>
      </w:pPr>
      <w:r w:rsidRPr="003F3BE2">
        <w:rPr>
          <w:rFonts w:ascii="Arial" w:hAnsi="Arial" w:cs="Arial"/>
          <w:b/>
          <w:bCs/>
          <w:sz w:val="20"/>
        </w:rPr>
        <w:t>Exercise 17: First solo flight</w:t>
      </w:r>
    </w:p>
    <w:p w14:paraId="3AB0C265" w14:textId="77777777" w:rsidR="003F3BE2" w:rsidRPr="003F3BE2" w:rsidRDefault="003F3BE2" w:rsidP="0079393D">
      <w:pPr>
        <w:numPr>
          <w:ilvl w:val="0"/>
          <w:numId w:val="170"/>
        </w:numPr>
        <w:spacing w:before="117" w:line="276" w:lineRule="auto"/>
        <w:jc w:val="both"/>
        <w:rPr>
          <w:rFonts w:ascii="Arial" w:hAnsi="Arial" w:cs="Arial"/>
          <w:sz w:val="20"/>
        </w:rPr>
      </w:pPr>
      <w:r w:rsidRPr="003F3BE2">
        <w:rPr>
          <w:rFonts w:ascii="Arial" w:hAnsi="Arial" w:cs="Arial"/>
          <w:sz w:val="20"/>
        </w:rPr>
        <w:lastRenderedPageBreak/>
        <w:t>supervised flight preparation; and</w:t>
      </w:r>
    </w:p>
    <w:p w14:paraId="2A1E81EC" w14:textId="77777777" w:rsidR="003F3BE2" w:rsidRPr="003F3BE2" w:rsidRDefault="003F3BE2" w:rsidP="0079393D">
      <w:pPr>
        <w:numPr>
          <w:ilvl w:val="0"/>
          <w:numId w:val="170"/>
        </w:numPr>
        <w:spacing w:before="117" w:line="276" w:lineRule="auto"/>
        <w:jc w:val="both"/>
        <w:rPr>
          <w:rFonts w:ascii="Arial" w:hAnsi="Arial" w:cs="Arial"/>
          <w:sz w:val="20"/>
        </w:rPr>
      </w:pPr>
      <w:r w:rsidRPr="003F3BE2">
        <w:rPr>
          <w:rFonts w:ascii="Arial" w:hAnsi="Arial" w:cs="Arial"/>
          <w:sz w:val="20"/>
        </w:rPr>
        <w:t>instructor’s briefing, observation of flight and de-briefing.</w:t>
      </w:r>
    </w:p>
    <w:p w14:paraId="7CC76B26" w14:textId="0EA81E5D" w:rsidR="00853472" w:rsidRPr="000A45FF" w:rsidRDefault="003F3BE2" w:rsidP="003F3BE2">
      <w:pPr>
        <w:spacing w:before="117" w:line="276" w:lineRule="auto"/>
        <w:jc w:val="both"/>
        <w:rPr>
          <w:rFonts w:ascii="Arial" w:hAnsi="Arial" w:cs="Arial"/>
          <w:i/>
          <w:sz w:val="20"/>
        </w:rPr>
      </w:pPr>
      <w:r w:rsidRPr="00CE68A2">
        <w:rPr>
          <w:rFonts w:ascii="Arial" w:hAnsi="Arial" w:cs="Arial"/>
          <w:i/>
          <w:sz w:val="20"/>
        </w:rPr>
        <w:t>Note: Exercises 1 to 16 have to be completed and the student must have achieved a sufficient level of competence to safely perform a flight before undertaking the first solo flight.</w:t>
      </w:r>
    </w:p>
    <w:p w14:paraId="09668BC4" w14:textId="77777777" w:rsidR="00853472" w:rsidRDefault="00853472" w:rsidP="00853472">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614" w:name="_Toc153137411"/>
      <w:r w:rsidRPr="00853472">
        <w:rPr>
          <w:rFonts w:ascii="Arial" w:eastAsia="Times New Roman" w:hAnsi="Arial" w:cs="Times New Roman"/>
          <w:b/>
          <w:iCs/>
          <w:color w:val="FFFFFF"/>
          <w:sz w:val="24"/>
        </w:rPr>
        <w:t>BFCL.135 BPL – Theoretical knowledge examination</w:t>
      </w:r>
      <w:bookmarkEnd w:id="614"/>
    </w:p>
    <w:p w14:paraId="3E0C9487" w14:textId="77777777" w:rsidR="00853472" w:rsidRPr="00853472" w:rsidRDefault="00853472" w:rsidP="0079393D">
      <w:pPr>
        <w:numPr>
          <w:ilvl w:val="0"/>
          <w:numId w:val="171"/>
        </w:numPr>
        <w:tabs>
          <w:tab w:val="left" w:pos="706"/>
          <w:tab w:val="left" w:pos="707"/>
        </w:tabs>
        <w:spacing w:before="118"/>
        <w:jc w:val="both"/>
        <w:rPr>
          <w:rFonts w:ascii="Arial" w:hAnsi="Arial" w:cs="Arial"/>
          <w:sz w:val="20"/>
        </w:rPr>
      </w:pPr>
      <w:r w:rsidRPr="00853472">
        <w:rPr>
          <w:rFonts w:ascii="Arial" w:hAnsi="Arial" w:cs="Arial"/>
          <w:sz w:val="20"/>
        </w:rPr>
        <w:t>Theoretical</w:t>
      </w:r>
      <w:r w:rsidRPr="00853472">
        <w:rPr>
          <w:rFonts w:ascii="Arial" w:hAnsi="Arial" w:cs="Arial"/>
          <w:spacing w:val="-4"/>
          <w:sz w:val="20"/>
        </w:rPr>
        <w:t xml:space="preserve"> </w:t>
      </w:r>
      <w:r w:rsidRPr="00853472">
        <w:rPr>
          <w:rFonts w:ascii="Arial" w:hAnsi="Arial" w:cs="Arial"/>
          <w:sz w:val="20"/>
        </w:rPr>
        <w:t>knowledge</w:t>
      </w:r>
    </w:p>
    <w:p w14:paraId="03AACCF9" w14:textId="77777777" w:rsidR="00853472" w:rsidRPr="00853472" w:rsidRDefault="00853472" w:rsidP="00853472">
      <w:pPr>
        <w:spacing w:before="120"/>
        <w:ind w:left="706" w:right="199"/>
        <w:jc w:val="both"/>
        <w:rPr>
          <w:rFonts w:ascii="Arial" w:hAnsi="Arial" w:cs="Arial"/>
          <w:sz w:val="20"/>
        </w:rPr>
      </w:pPr>
      <w:r w:rsidRPr="00853472">
        <w:rPr>
          <w:rFonts w:ascii="Arial" w:hAnsi="Arial" w:cs="Arial"/>
          <w:sz w:val="20"/>
        </w:rPr>
        <w:t>Applicants</w:t>
      </w:r>
      <w:r w:rsidRPr="00853472">
        <w:rPr>
          <w:rFonts w:ascii="Arial" w:hAnsi="Arial" w:cs="Arial"/>
          <w:spacing w:val="11"/>
          <w:sz w:val="20"/>
        </w:rPr>
        <w:t xml:space="preserve"> </w:t>
      </w:r>
      <w:r w:rsidRPr="00853472">
        <w:rPr>
          <w:rFonts w:ascii="Arial" w:hAnsi="Arial" w:cs="Arial"/>
          <w:sz w:val="20"/>
        </w:rPr>
        <w:t>for</w:t>
      </w:r>
      <w:r w:rsidRPr="00853472">
        <w:rPr>
          <w:rFonts w:ascii="Arial" w:hAnsi="Arial" w:cs="Arial"/>
          <w:spacing w:val="8"/>
          <w:sz w:val="20"/>
        </w:rPr>
        <w:t xml:space="preserve"> </w:t>
      </w:r>
      <w:r w:rsidRPr="00853472">
        <w:rPr>
          <w:rFonts w:ascii="Arial" w:hAnsi="Arial" w:cs="Arial"/>
          <w:sz w:val="20"/>
        </w:rPr>
        <w:t>a</w:t>
      </w:r>
      <w:r w:rsidRPr="00853472">
        <w:rPr>
          <w:rFonts w:ascii="Arial" w:hAnsi="Arial" w:cs="Arial"/>
          <w:spacing w:val="8"/>
          <w:sz w:val="20"/>
        </w:rPr>
        <w:t xml:space="preserve"> </w:t>
      </w:r>
      <w:r w:rsidRPr="00853472">
        <w:rPr>
          <w:rFonts w:ascii="Arial" w:hAnsi="Arial" w:cs="Arial"/>
          <w:sz w:val="20"/>
        </w:rPr>
        <w:t>BPL</w:t>
      </w:r>
      <w:r w:rsidRPr="00853472">
        <w:rPr>
          <w:rFonts w:ascii="Arial" w:hAnsi="Arial" w:cs="Arial"/>
          <w:spacing w:val="10"/>
          <w:sz w:val="20"/>
        </w:rPr>
        <w:t xml:space="preserve"> </w:t>
      </w:r>
      <w:r w:rsidRPr="00853472">
        <w:rPr>
          <w:rFonts w:ascii="Arial" w:hAnsi="Arial" w:cs="Arial"/>
          <w:sz w:val="20"/>
        </w:rPr>
        <w:t>shall</w:t>
      </w:r>
      <w:r w:rsidRPr="00853472">
        <w:rPr>
          <w:rFonts w:ascii="Arial" w:hAnsi="Arial" w:cs="Arial"/>
          <w:spacing w:val="10"/>
          <w:sz w:val="20"/>
        </w:rPr>
        <w:t xml:space="preserve"> </w:t>
      </w:r>
      <w:r w:rsidRPr="00853472">
        <w:rPr>
          <w:rFonts w:ascii="Arial" w:hAnsi="Arial" w:cs="Arial"/>
          <w:sz w:val="20"/>
        </w:rPr>
        <w:t>demonstrate</w:t>
      </w:r>
      <w:r w:rsidRPr="00853472">
        <w:rPr>
          <w:rFonts w:ascii="Arial" w:hAnsi="Arial" w:cs="Arial"/>
          <w:spacing w:val="9"/>
          <w:sz w:val="20"/>
        </w:rPr>
        <w:t xml:space="preserve"> </w:t>
      </w:r>
      <w:r w:rsidRPr="00853472">
        <w:rPr>
          <w:rFonts w:ascii="Arial" w:hAnsi="Arial" w:cs="Arial"/>
          <w:sz w:val="20"/>
        </w:rPr>
        <w:t>a</w:t>
      </w:r>
      <w:r w:rsidRPr="00853472">
        <w:rPr>
          <w:rFonts w:ascii="Arial" w:hAnsi="Arial" w:cs="Arial"/>
          <w:spacing w:val="12"/>
          <w:sz w:val="20"/>
        </w:rPr>
        <w:t xml:space="preserve"> </w:t>
      </w:r>
      <w:r w:rsidRPr="00853472">
        <w:rPr>
          <w:rFonts w:ascii="Arial" w:hAnsi="Arial" w:cs="Arial"/>
          <w:sz w:val="20"/>
        </w:rPr>
        <w:t>level</w:t>
      </w:r>
      <w:r w:rsidRPr="00853472">
        <w:rPr>
          <w:rFonts w:ascii="Arial" w:hAnsi="Arial" w:cs="Arial"/>
          <w:spacing w:val="6"/>
          <w:sz w:val="20"/>
        </w:rPr>
        <w:t xml:space="preserve"> </w:t>
      </w:r>
      <w:r w:rsidRPr="00853472">
        <w:rPr>
          <w:rFonts w:ascii="Arial" w:hAnsi="Arial" w:cs="Arial"/>
          <w:sz w:val="20"/>
        </w:rPr>
        <w:t>of</w:t>
      </w:r>
      <w:r w:rsidRPr="00853472">
        <w:rPr>
          <w:rFonts w:ascii="Arial" w:hAnsi="Arial" w:cs="Arial"/>
          <w:spacing w:val="11"/>
          <w:sz w:val="20"/>
        </w:rPr>
        <w:t xml:space="preserve"> </w:t>
      </w:r>
      <w:r w:rsidRPr="00853472">
        <w:rPr>
          <w:rFonts w:ascii="Arial" w:hAnsi="Arial" w:cs="Arial"/>
          <w:sz w:val="20"/>
        </w:rPr>
        <w:t>theoretical</w:t>
      </w:r>
      <w:r w:rsidRPr="00853472">
        <w:rPr>
          <w:rFonts w:ascii="Arial" w:hAnsi="Arial" w:cs="Arial"/>
          <w:spacing w:val="9"/>
          <w:sz w:val="20"/>
        </w:rPr>
        <w:t xml:space="preserve"> </w:t>
      </w:r>
      <w:r w:rsidRPr="00853472">
        <w:rPr>
          <w:rFonts w:ascii="Arial" w:hAnsi="Arial" w:cs="Arial"/>
          <w:sz w:val="20"/>
        </w:rPr>
        <w:t>knowledge</w:t>
      </w:r>
      <w:r w:rsidRPr="00853472">
        <w:rPr>
          <w:rFonts w:ascii="Arial" w:hAnsi="Arial" w:cs="Arial"/>
          <w:spacing w:val="10"/>
          <w:sz w:val="20"/>
        </w:rPr>
        <w:t xml:space="preserve"> </w:t>
      </w:r>
      <w:r w:rsidRPr="00853472">
        <w:rPr>
          <w:rFonts w:ascii="Arial" w:hAnsi="Arial" w:cs="Arial"/>
          <w:sz w:val="20"/>
        </w:rPr>
        <w:t>that</w:t>
      </w:r>
      <w:r w:rsidRPr="00853472">
        <w:rPr>
          <w:rFonts w:ascii="Arial" w:hAnsi="Arial" w:cs="Arial"/>
          <w:spacing w:val="9"/>
          <w:sz w:val="20"/>
        </w:rPr>
        <w:t xml:space="preserve"> </w:t>
      </w:r>
      <w:r w:rsidRPr="00853472">
        <w:rPr>
          <w:rFonts w:ascii="Arial" w:hAnsi="Arial" w:cs="Arial"/>
          <w:sz w:val="20"/>
        </w:rPr>
        <w:t>is</w:t>
      </w:r>
      <w:r w:rsidRPr="00853472">
        <w:rPr>
          <w:rFonts w:ascii="Arial" w:hAnsi="Arial" w:cs="Arial"/>
          <w:spacing w:val="8"/>
          <w:sz w:val="20"/>
        </w:rPr>
        <w:t xml:space="preserve"> </w:t>
      </w:r>
      <w:r w:rsidRPr="00853472">
        <w:rPr>
          <w:rFonts w:ascii="Arial" w:hAnsi="Arial" w:cs="Arial"/>
          <w:sz w:val="20"/>
        </w:rPr>
        <w:t>appropriate</w:t>
      </w:r>
      <w:r w:rsidRPr="00853472">
        <w:rPr>
          <w:rFonts w:ascii="Arial" w:hAnsi="Arial" w:cs="Arial"/>
          <w:spacing w:val="11"/>
          <w:sz w:val="20"/>
        </w:rPr>
        <w:t xml:space="preserve"> </w:t>
      </w:r>
      <w:r w:rsidRPr="00853472">
        <w:rPr>
          <w:rFonts w:ascii="Arial" w:hAnsi="Arial" w:cs="Arial"/>
          <w:sz w:val="20"/>
        </w:rPr>
        <w:t>to</w:t>
      </w:r>
      <w:r w:rsidRPr="00853472">
        <w:rPr>
          <w:rFonts w:ascii="Arial" w:hAnsi="Arial" w:cs="Arial"/>
          <w:spacing w:val="-47"/>
          <w:sz w:val="20"/>
        </w:rPr>
        <w:t xml:space="preserve"> </w:t>
      </w:r>
      <w:r w:rsidRPr="00853472">
        <w:rPr>
          <w:rFonts w:ascii="Arial" w:hAnsi="Arial" w:cs="Arial"/>
          <w:sz w:val="20"/>
        </w:rPr>
        <w:t>the</w:t>
      </w:r>
      <w:r w:rsidRPr="00853472">
        <w:rPr>
          <w:rFonts w:ascii="Arial" w:hAnsi="Arial" w:cs="Arial"/>
          <w:spacing w:val="-1"/>
          <w:sz w:val="20"/>
        </w:rPr>
        <w:t xml:space="preserve"> </w:t>
      </w:r>
      <w:r w:rsidRPr="00853472">
        <w:rPr>
          <w:rFonts w:ascii="Arial" w:hAnsi="Arial" w:cs="Arial"/>
          <w:sz w:val="20"/>
        </w:rPr>
        <w:t>privileges sought through examinations</w:t>
      </w:r>
      <w:r w:rsidRPr="00853472">
        <w:rPr>
          <w:rFonts w:ascii="Arial" w:hAnsi="Arial" w:cs="Arial"/>
          <w:spacing w:val="-3"/>
          <w:sz w:val="20"/>
        </w:rPr>
        <w:t xml:space="preserve"> </w:t>
      </w:r>
      <w:r w:rsidRPr="00853472">
        <w:rPr>
          <w:rFonts w:ascii="Arial" w:hAnsi="Arial" w:cs="Arial"/>
          <w:sz w:val="20"/>
        </w:rPr>
        <w:t>on</w:t>
      </w:r>
      <w:r w:rsidRPr="00853472">
        <w:rPr>
          <w:rFonts w:ascii="Arial" w:hAnsi="Arial" w:cs="Arial"/>
          <w:spacing w:val="-3"/>
          <w:sz w:val="20"/>
        </w:rPr>
        <w:t xml:space="preserve"> </w:t>
      </w:r>
      <w:r w:rsidRPr="00853472">
        <w:rPr>
          <w:rFonts w:ascii="Arial" w:hAnsi="Arial" w:cs="Arial"/>
          <w:sz w:val="20"/>
        </w:rPr>
        <w:t>the following:</w:t>
      </w:r>
    </w:p>
    <w:p w14:paraId="4A861C56" w14:textId="77777777" w:rsidR="00853472" w:rsidRPr="00853472" w:rsidRDefault="00853472" w:rsidP="0079393D">
      <w:pPr>
        <w:numPr>
          <w:ilvl w:val="1"/>
          <w:numId w:val="171"/>
        </w:numPr>
        <w:tabs>
          <w:tab w:val="left" w:pos="1273"/>
          <w:tab w:val="left" w:pos="1274"/>
        </w:tabs>
        <w:spacing w:before="118"/>
        <w:ind w:hanging="568"/>
        <w:jc w:val="both"/>
        <w:rPr>
          <w:rFonts w:ascii="Arial" w:hAnsi="Arial" w:cs="Arial"/>
          <w:sz w:val="20"/>
        </w:rPr>
      </w:pPr>
      <w:r w:rsidRPr="00853472">
        <w:rPr>
          <w:rFonts w:ascii="Arial" w:hAnsi="Arial" w:cs="Arial"/>
          <w:sz w:val="20"/>
        </w:rPr>
        <w:t>common</w:t>
      </w:r>
      <w:r w:rsidRPr="00853472">
        <w:rPr>
          <w:rFonts w:ascii="Arial" w:hAnsi="Arial" w:cs="Arial"/>
          <w:spacing w:val="-4"/>
          <w:sz w:val="20"/>
        </w:rPr>
        <w:t xml:space="preserve"> </w:t>
      </w:r>
      <w:r w:rsidRPr="00853472">
        <w:rPr>
          <w:rFonts w:ascii="Arial" w:hAnsi="Arial" w:cs="Arial"/>
          <w:sz w:val="20"/>
        </w:rPr>
        <w:t>subjects:</w:t>
      </w:r>
    </w:p>
    <w:p w14:paraId="15F9EBB5" w14:textId="77777777" w:rsidR="00853472" w:rsidRPr="00853472" w:rsidRDefault="00853472" w:rsidP="0079393D">
      <w:pPr>
        <w:numPr>
          <w:ilvl w:val="2"/>
          <w:numId w:val="171"/>
        </w:numPr>
        <w:tabs>
          <w:tab w:val="left" w:pos="1841"/>
          <w:tab w:val="left" w:pos="1842"/>
        </w:tabs>
        <w:spacing w:before="120"/>
        <w:jc w:val="both"/>
        <w:rPr>
          <w:rFonts w:ascii="Arial" w:hAnsi="Arial" w:cs="Arial"/>
          <w:sz w:val="20"/>
        </w:rPr>
      </w:pPr>
      <w:r w:rsidRPr="00853472">
        <w:rPr>
          <w:rFonts w:ascii="Arial" w:hAnsi="Arial" w:cs="Arial"/>
          <w:sz w:val="20"/>
        </w:rPr>
        <w:t>air</w:t>
      </w:r>
      <w:r w:rsidRPr="00853472">
        <w:rPr>
          <w:rFonts w:ascii="Arial" w:hAnsi="Arial" w:cs="Arial"/>
          <w:spacing w:val="-1"/>
          <w:sz w:val="20"/>
        </w:rPr>
        <w:t xml:space="preserve"> </w:t>
      </w:r>
      <w:r w:rsidRPr="00853472">
        <w:rPr>
          <w:rFonts w:ascii="Arial" w:hAnsi="Arial" w:cs="Arial"/>
          <w:sz w:val="20"/>
        </w:rPr>
        <w:t>law;</w:t>
      </w:r>
    </w:p>
    <w:p w14:paraId="2FD437C7" w14:textId="77777777" w:rsidR="00853472" w:rsidRPr="00853472" w:rsidRDefault="00853472" w:rsidP="0079393D">
      <w:pPr>
        <w:numPr>
          <w:ilvl w:val="2"/>
          <w:numId w:val="171"/>
        </w:numPr>
        <w:tabs>
          <w:tab w:val="left" w:pos="1841"/>
          <w:tab w:val="left" w:pos="1842"/>
        </w:tabs>
        <w:spacing w:before="120"/>
        <w:jc w:val="both"/>
        <w:rPr>
          <w:rFonts w:ascii="Arial" w:hAnsi="Arial" w:cs="Arial"/>
          <w:sz w:val="20"/>
        </w:rPr>
      </w:pPr>
      <w:r w:rsidRPr="00853472">
        <w:rPr>
          <w:rFonts w:ascii="Arial" w:hAnsi="Arial" w:cs="Arial"/>
          <w:sz w:val="20"/>
        </w:rPr>
        <w:t>human</w:t>
      </w:r>
      <w:r w:rsidRPr="00853472">
        <w:rPr>
          <w:rFonts w:ascii="Arial" w:hAnsi="Arial" w:cs="Arial"/>
          <w:spacing w:val="-3"/>
          <w:sz w:val="20"/>
        </w:rPr>
        <w:t xml:space="preserve"> </w:t>
      </w:r>
      <w:r w:rsidRPr="00853472">
        <w:rPr>
          <w:rFonts w:ascii="Arial" w:hAnsi="Arial" w:cs="Arial"/>
          <w:sz w:val="20"/>
        </w:rPr>
        <w:t>performance;</w:t>
      </w:r>
    </w:p>
    <w:p w14:paraId="7B6C8988" w14:textId="77777777" w:rsidR="00853472" w:rsidRPr="00853472" w:rsidRDefault="00853472" w:rsidP="0079393D">
      <w:pPr>
        <w:numPr>
          <w:ilvl w:val="2"/>
          <w:numId w:val="171"/>
        </w:numPr>
        <w:tabs>
          <w:tab w:val="left" w:pos="1841"/>
          <w:tab w:val="left" w:pos="1842"/>
        </w:tabs>
        <w:spacing w:before="121"/>
        <w:jc w:val="both"/>
        <w:rPr>
          <w:rFonts w:ascii="Arial" w:hAnsi="Arial" w:cs="Arial"/>
          <w:sz w:val="20"/>
        </w:rPr>
      </w:pPr>
      <w:r w:rsidRPr="00853472">
        <w:rPr>
          <w:rFonts w:ascii="Arial" w:hAnsi="Arial" w:cs="Arial"/>
          <w:sz w:val="20"/>
        </w:rPr>
        <w:t>meteorology;</w:t>
      </w:r>
    </w:p>
    <w:p w14:paraId="0DE5281C" w14:textId="77777777" w:rsidR="00853472" w:rsidRPr="00853472" w:rsidRDefault="00853472" w:rsidP="0079393D">
      <w:pPr>
        <w:numPr>
          <w:ilvl w:val="2"/>
          <w:numId w:val="171"/>
        </w:numPr>
        <w:tabs>
          <w:tab w:val="left" w:pos="1841"/>
          <w:tab w:val="left" w:pos="1842"/>
        </w:tabs>
        <w:spacing w:before="120"/>
        <w:jc w:val="both"/>
        <w:rPr>
          <w:rFonts w:ascii="Arial" w:hAnsi="Arial" w:cs="Arial"/>
          <w:sz w:val="20"/>
        </w:rPr>
      </w:pPr>
      <w:r w:rsidRPr="00853472">
        <w:rPr>
          <w:rFonts w:ascii="Arial" w:hAnsi="Arial" w:cs="Arial"/>
          <w:sz w:val="20"/>
        </w:rPr>
        <w:t>communications;</w:t>
      </w:r>
      <w:r w:rsidRPr="00853472">
        <w:rPr>
          <w:rFonts w:ascii="Arial" w:hAnsi="Arial" w:cs="Arial"/>
          <w:spacing w:val="-1"/>
          <w:sz w:val="20"/>
        </w:rPr>
        <w:t xml:space="preserve"> </w:t>
      </w:r>
      <w:r w:rsidRPr="00853472">
        <w:rPr>
          <w:rFonts w:ascii="Arial" w:hAnsi="Arial" w:cs="Arial"/>
          <w:sz w:val="20"/>
        </w:rPr>
        <w:t>and</w:t>
      </w:r>
    </w:p>
    <w:p w14:paraId="2B407DD5" w14:textId="77777777" w:rsidR="00853472" w:rsidRPr="00853472" w:rsidRDefault="00853472" w:rsidP="0079393D">
      <w:pPr>
        <w:numPr>
          <w:ilvl w:val="1"/>
          <w:numId w:val="171"/>
        </w:numPr>
        <w:tabs>
          <w:tab w:val="left" w:pos="1273"/>
          <w:tab w:val="left" w:pos="1274"/>
        </w:tabs>
        <w:spacing w:before="120"/>
        <w:ind w:hanging="568"/>
        <w:jc w:val="both"/>
        <w:rPr>
          <w:rFonts w:ascii="Arial" w:hAnsi="Arial" w:cs="Arial"/>
          <w:sz w:val="20"/>
        </w:rPr>
      </w:pPr>
      <w:r w:rsidRPr="00853472">
        <w:rPr>
          <w:rFonts w:ascii="Arial" w:hAnsi="Arial" w:cs="Arial"/>
          <w:sz w:val="20"/>
        </w:rPr>
        <w:t>specific</w:t>
      </w:r>
      <w:r w:rsidRPr="00853472">
        <w:rPr>
          <w:rFonts w:ascii="Arial" w:hAnsi="Arial" w:cs="Arial"/>
          <w:spacing w:val="-4"/>
          <w:sz w:val="20"/>
        </w:rPr>
        <w:t xml:space="preserve"> </w:t>
      </w:r>
      <w:r w:rsidRPr="00853472">
        <w:rPr>
          <w:rFonts w:ascii="Arial" w:hAnsi="Arial" w:cs="Arial"/>
          <w:sz w:val="20"/>
        </w:rPr>
        <w:t>subjects</w:t>
      </w:r>
      <w:r w:rsidRPr="00853472">
        <w:rPr>
          <w:rFonts w:ascii="Arial" w:hAnsi="Arial" w:cs="Arial"/>
          <w:spacing w:val="-5"/>
          <w:sz w:val="20"/>
        </w:rPr>
        <w:t xml:space="preserve"> </w:t>
      </w:r>
      <w:r w:rsidRPr="00853472">
        <w:rPr>
          <w:rFonts w:ascii="Arial" w:hAnsi="Arial" w:cs="Arial"/>
          <w:sz w:val="20"/>
        </w:rPr>
        <w:t>concerning</w:t>
      </w:r>
      <w:r w:rsidRPr="00853472">
        <w:rPr>
          <w:rFonts w:ascii="Arial" w:hAnsi="Arial" w:cs="Arial"/>
          <w:spacing w:val="-4"/>
          <w:sz w:val="20"/>
        </w:rPr>
        <w:t xml:space="preserve"> </w:t>
      </w:r>
      <w:r w:rsidRPr="00853472">
        <w:rPr>
          <w:rFonts w:ascii="Arial" w:hAnsi="Arial" w:cs="Arial"/>
          <w:sz w:val="20"/>
        </w:rPr>
        <w:t>balloons:</w:t>
      </w:r>
    </w:p>
    <w:p w14:paraId="64282F0A" w14:textId="77777777" w:rsidR="00853472" w:rsidRPr="00853472" w:rsidRDefault="00853472" w:rsidP="0079393D">
      <w:pPr>
        <w:numPr>
          <w:ilvl w:val="2"/>
          <w:numId w:val="171"/>
        </w:numPr>
        <w:tabs>
          <w:tab w:val="left" w:pos="1841"/>
          <w:tab w:val="left" w:pos="1842"/>
        </w:tabs>
        <w:spacing w:before="121"/>
        <w:jc w:val="both"/>
        <w:rPr>
          <w:rFonts w:ascii="Arial" w:hAnsi="Arial" w:cs="Arial"/>
          <w:sz w:val="20"/>
        </w:rPr>
      </w:pPr>
      <w:r w:rsidRPr="00853472">
        <w:rPr>
          <w:rFonts w:ascii="Arial" w:hAnsi="Arial" w:cs="Arial"/>
          <w:sz w:val="20"/>
        </w:rPr>
        <w:t>principles</w:t>
      </w:r>
      <w:r w:rsidRPr="00853472">
        <w:rPr>
          <w:rFonts w:ascii="Arial" w:hAnsi="Arial" w:cs="Arial"/>
          <w:spacing w:val="-2"/>
          <w:sz w:val="20"/>
        </w:rPr>
        <w:t xml:space="preserve"> </w:t>
      </w:r>
      <w:r w:rsidRPr="00853472">
        <w:rPr>
          <w:rFonts w:ascii="Arial" w:hAnsi="Arial" w:cs="Arial"/>
          <w:sz w:val="20"/>
        </w:rPr>
        <w:t>of</w:t>
      </w:r>
      <w:r w:rsidRPr="00853472">
        <w:rPr>
          <w:rFonts w:ascii="Arial" w:hAnsi="Arial" w:cs="Arial"/>
          <w:spacing w:val="-2"/>
          <w:sz w:val="20"/>
        </w:rPr>
        <w:t xml:space="preserve"> </w:t>
      </w:r>
      <w:r w:rsidRPr="00853472">
        <w:rPr>
          <w:rFonts w:ascii="Arial" w:hAnsi="Arial" w:cs="Arial"/>
          <w:sz w:val="20"/>
        </w:rPr>
        <w:t>flight;</w:t>
      </w:r>
    </w:p>
    <w:p w14:paraId="74A18A97" w14:textId="77777777" w:rsidR="00853472" w:rsidRPr="00853472" w:rsidRDefault="00853472" w:rsidP="0079393D">
      <w:pPr>
        <w:numPr>
          <w:ilvl w:val="2"/>
          <w:numId w:val="171"/>
        </w:numPr>
        <w:tabs>
          <w:tab w:val="left" w:pos="1841"/>
          <w:tab w:val="left" w:pos="1842"/>
        </w:tabs>
        <w:spacing w:before="120"/>
        <w:jc w:val="both"/>
        <w:rPr>
          <w:rFonts w:ascii="Arial" w:hAnsi="Arial" w:cs="Arial"/>
          <w:sz w:val="20"/>
        </w:rPr>
      </w:pPr>
      <w:r w:rsidRPr="00853472">
        <w:rPr>
          <w:rFonts w:ascii="Arial" w:hAnsi="Arial" w:cs="Arial"/>
          <w:sz w:val="20"/>
        </w:rPr>
        <w:t>operational</w:t>
      </w:r>
      <w:r w:rsidRPr="00853472">
        <w:rPr>
          <w:rFonts w:ascii="Arial" w:hAnsi="Arial" w:cs="Arial"/>
          <w:spacing w:val="-1"/>
          <w:sz w:val="20"/>
        </w:rPr>
        <w:t xml:space="preserve"> </w:t>
      </w:r>
      <w:r w:rsidRPr="00853472">
        <w:rPr>
          <w:rFonts w:ascii="Arial" w:hAnsi="Arial" w:cs="Arial"/>
          <w:sz w:val="20"/>
        </w:rPr>
        <w:t>procedures;</w:t>
      </w:r>
    </w:p>
    <w:p w14:paraId="744EBBA3" w14:textId="77777777" w:rsidR="00853472" w:rsidRPr="00853472" w:rsidRDefault="00853472" w:rsidP="0079393D">
      <w:pPr>
        <w:numPr>
          <w:ilvl w:val="2"/>
          <w:numId w:val="171"/>
        </w:numPr>
        <w:tabs>
          <w:tab w:val="left" w:pos="1841"/>
          <w:tab w:val="left" w:pos="1842"/>
        </w:tabs>
        <w:spacing w:before="120"/>
        <w:jc w:val="both"/>
        <w:rPr>
          <w:rFonts w:ascii="Arial" w:hAnsi="Arial" w:cs="Arial"/>
          <w:sz w:val="20"/>
        </w:rPr>
      </w:pPr>
      <w:r w:rsidRPr="00853472">
        <w:rPr>
          <w:rFonts w:ascii="Arial" w:hAnsi="Arial" w:cs="Arial"/>
          <w:sz w:val="20"/>
        </w:rPr>
        <w:t>flight</w:t>
      </w:r>
      <w:r w:rsidRPr="00853472">
        <w:rPr>
          <w:rFonts w:ascii="Arial" w:hAnsi="Arial" w:cs="Arial"/>
          <w:spacing w:val="-2"/>
          <w:sz w:val="20"/>
        </w:rPr>
        <w:t xml:space="preserve"> </w:t>
      </w:r>
      <w:r w:rsidRPr="00853472">
        <w:rPr>
          <w:rFonts w:ascii="Arial" w:hAnsi="Arial" w:cs="Arial"/>
          <w:sz w:val="20"/>
        </w:rPr>
        <w:t>performance</w:t>
      </w:r>
      <w:r w:rsidRPr="00853472">
        <w:rPr>
          <w:rFonts w:ascii="Arial" w:hAnsi="Arial" w:cs="Arial"/>
          <w:spacing w:val="-4"/>
          <w:sz w:val="20"/>
        </w:rPr>
        <w:t xml:space="preserve"> </w:t>
      </w:r>
      <w:r w:rsidRPr="00853472">
        <w:rPr>
          <w:rFonts w:ascii="Arial" w:hAnsi="Arial" w:cs="Arial"/>
          <w:sz w:val="20"/>
        </w:rPr>
        <w:t>and</w:t>
      </w:r>
      <w:r w:rsidRPr="00853472">
        <w:rPr>
          <w:rFonts w:ascii="Arial" w:hAnsi="Arial" w:cs="Arial"/>
          <w:spacing w:val="-3"/>
          <w:sz w:val="20"/>
        </w:rPr>
        <w:t xml:space="preserve"> </w:t>
      </w:r>
      <w:r w:rsidRPr="00853472">
        <w:rPr>
          <w:rFonts w:ascii="Arial" w:hAnsi="Arial" w:cs="Arial"/>
          <w:sz w:val="20"/>
        </w:rPr>
        <w:t>planning;</w:t>
      </w:r>
    </w:p>
    <w:p w14:paraId="0B8154EE" w14:textId="77777777" w:rsidR="00853472" w:rsidRPr="00853472" w:rsidRDefault="00853472" w:rsidP="0079393D">
      <w:pPr>
        <w:numPr>
          <w:ilvl w:val="2"/>
          <w:numId w:val="171"/>
        </w:numPr>
        <w:tabs>
          <w:tab w:val="left" w:pos="1841"/>
          <w:tab w:val="left" w:pos="1842"/>
        </w:tabs>
        <w:spacing w:before="120"/>
        <w:jc w:val="both"/>
        <w:rPr>
          <w:rFonts w:ascii="Arial" w:hAnsi="Arial" w:cs="Arial"/>
          <w:sz w:val="20"/>
        </w:rPr>
      </w:pPr>
      <w:r w:rsidRPr="00853472">
        <w:rPr>
          <w:rFonts w:ascii="Arial" w:hAnsi="Arial" w:cs="Arial"/>
          <w:sz w:val="20"/>
        </w:rPr>
        <w:t>aircraft</w:t>
      </w:r>
      <w:r w:rsidRPr="00853472">
        <w:rPr>
          <w:rFonts w:ascii="Arial" w:hAnsi="Arial" w:cs="Arial"/>
          <w:spacing w:val="-1"/>
          <w:sz w:val="20"/>
        </w:rPr>
        <w:t xml:space="preserve"> </w:t>
      </w:r>
      <w:r w:rsidRPr="00853472">
        <w:rPr>
          <w:rFonts w:ascii="Arial" w:hAnsi="Arial" w:cs="Arial"/>
          <w:sz w:val="20"/>
        </w:rPr>
        <w:t>general</w:t>
      </w:r>
      <w:r w:rsidRPr="00853472">
        <w:rPr>
          <w:rFonts w:ascii="Arial" w:hAnsi="Arial" w:cs="Arial"/>
          <w:spacing w:val="-1"/>
          <w:sz w:val="20"/>
        </w:rPr>
        <w:t xml:space="preserve"> </w:t>
      </w:r>
      <w:r w:rsidRPr="00853472">
        <w:rPr>
          <w:rFonts w:ascii="Arial" w:hAnsi="Arial" w:cs="Arial"/>
          <w:sz w:val="20"/>
        </w:rPr>
        <w:t>knowledge</w:t>
      </w:r>
      <w:r w:rsidRPr="00853472">
        <w:rPr>
          <w:rFonts w:ascii="Arial" w:hAnsi="Arial" w:cs="Arial"/>
          <w:spacing w:val="-3"/>
          <w:sz w:val="20"/>
        </w:rPr>
        <w:t xml:space="preserve"> </w:t>
      </w:r>
      <w:r w:rsidRPr="00853472">
        <w:rPr>
          <w:rFonts w:ascii="Arial" w:hAnsi="Arial" w:cs="Arial"/>
          <w:sz w:val="20"/>
        </w:rPr>
        <w:t>related</w:t>
      </w:r>
      <w:r w:rsidRPr="00853472">
        <w:rPr>
          <w:rFonts w:ascii="Arial" w:hAnsi="Arial" w:cs="Arial"/>
          <w:spacing w:val="-2"/>
          <w:sz w:val="20"/>
        </w:rPr>
        <w:t xml:space="preserve"> </w:t>
      </w:r>
      <w:r w:rsidRPr="00853472">
        <w:rPr>
          <w:rFonts w:ascii="Arial" w:hAnsi="Arial" w:cs="Arial"/>
          <w:sz w:val="20"/>
        </w:rPr>
        <w:t>to balloons; and</w:t>
      </w:r>
    </w:p>
    <w:p w14:paraId="7BA3D38C" w14:textId="77777777" w:rsidR="00853472" w:rsidRPr="00853472" w:rsidRDefault="00853472" w:rsidP="0079393D">
      <w:pPr>
        <w:numPr>
          <w:ilvl w:val="2"/>
          <w:numId w:val="171"/>
        </w:numPr>
        <w:tabs>
          <w:tab w:val="left" w:pos="1841"/>
          <w:tab w:val="left" w:pos="1842"/>
        </w:tabs>
        <w:spacing w:before="118"/>
        <w:jc w:val="both"/>
        <w:rPr>
          <w:rFonts w:ascii="Arial" w:hAnsi="Arial" w:cs="Arial"/>
          <w:sz w:val="20"/>
        </w:rPr>
      </w:pPr>
      <w:r w:rsidRPr="00853472">
        <w:rPr>
          <w:rFonts w:ascii="Arial" w:hAnsi="Arial" w:cs="Arial"/>
          <w:sz w:val="20"/>
        </w:rPr>
        <w:t>navigation.</w:t>
      </w:r>
    </w:p>
    <w:p w14:paraId="56F79EB0" w14:textId="77777777" w:rsidR="00853472" w:rsidRPr="00853472" w:rsidRDefault="00853472" w:rsidP="0079393D">
      <w:pPr>
        <w:numPr>
          <w:ilvl w:val="0"/>
          <w:numId w:val="171"/>
        </w:numPr>
        <w:tabs>
          <w:tab w:val="left" w:pos="706"/>
          <w:tab w:val="left" w:pos="707"/>
        </w:tabs>
        <w:spacing w:before="121"/>
        <w:jc w:val="both"/>
        <w:rPr>
          <w:rFonts w:ascii="Arial" w:hAnsi="Arial" w:cs="Arial"/>
          <w:sz w:val="20"/>
          <w:szCs w:val="20"/>
        </w:rPr>
      </w:pPr>
      <w:r w:rsidRPr="00853472">
        <w:rPr>
          <w:rFonts w:ascii="Arial" w:hAnsi="Arial" w:cs="Arial"/>
          <w:sz w:val="20"/>
          <w:szCs w:val="20"/>
        </w:rPr>
        <w:t>Responsibilities</w:t>
      </w:r>
      <w:r w:rsidRPr="00853472">
        <w:rPr>
          <w:rFonts w:ascii="Arial" w:hAnsi="Arial" w:cs="Arial"/>
          <w:spacing w:val="-3"/>
          <w:sz w:val="20"/>
          <w:szCs w:val="20"/>
        </w:rPr>
        <w:t xml:space="preserve"> </w:t>
      </w:r>
      <w:r w:rsidRPr="00853472">
        <w:rPr>
          <w:rFonts w:ascii="Arial" w:hAnsi="Arial" w:cs="Arial"/>
          <w:sz w:val="20"/>
          <w:szCs w:val="20"/>
        </w:rPr>
        <w:t>of</w:t>
      </w:r>
      <w:r w:rsidRPr="00853472">
        <w:rPr>
          <w:rFonts w:ascii="Arial" w:hAnsi="Arial" w:cs="Arial"/>
          <w:spacing w:val="-1"/>
          <w:sz w:val="20"/>
          <w:szCs w:val="20"/>
        </w:rPr>
        <w:t xml:space="preserve"> </w:t>
      </w:r>
      <w:r w:rsidRPr="00853472">
        <w:rPr>
          <w:rFonts w:ascii="Arial" w:hAnsi="Arial" w:cs="Arial"/>
          <w:sz w:val="20"/>
          <w:szCs w:val="20"/>
        </w:rPr>
        <w:t>the</w:t>
      </w:r>
      <w:r w:rsidRPr="00853472">
        <w:rPr>
          <w:rFonts w:ascii="Arial" w:hAnsi="Arial" w:cs="Arial"/>
          <w:spacing w:val="-4"/>
          <w:sz w:val="20"/>
          <w:szCs w:val="20"/>
        </w:rPr>
        <w:t xml:space="preserve"> </w:t>
      </w:r>
      <w:r w:rsidRPr="00853472">
        <w:rPr>
          <w:rFonts w:ascii="Arial" w:hAnsi="Arial" w:cs="Arial"/>
          <w:sz w:val="20"/>
          <w:szCs w:val="20"/>
        </w:rPr>
        <w:t>applicant</w:t>
      </w:r>
    </w:p>
    <w:p w14:paraId="748FB773" w14:textId="2F1BDA78" w:rsidR="00853472" w:rsidRPr="00853472" w:rsidRDefault="00853472" w:rsidP="0079393D">
      <w:pPr>
        <w:numPr>
          <w:ilvl w:val="1"/>
          <w:numId w:val="171"/>
        </w:numPr>
        <w:tabs>
          <w:tab w:val="left" w:pos="1274"/>
        </w:tabs>
        <w:spacing w:before="120"/>
        <w:ind w:right="198"/>
        <w:jc w:val="both"/>
        <w:rPr>
          <w:rFonts w:ascii="Arial" w:hAnsi="Arial" w:cs="Arial"/>
          <w:sz w:val="20"/>
          <w:szCs w:val="20"/>
        </w:rPr>
      </w:pPr>
      <w:r w:rsidRPr="00853472">
        <w:rPr>
          <w:rFonts w:ascii="Arial" w:hAnsi="Arial" w:cs="Arial"/>
          <w:sz w:val="20"/>
          <w:szCs w:val="20"/>
        </w:rPr>
        <w:t>The</w:t>
      </w:r>
      <w:r w:rsidRPr="00853472">
        <w:rPr>
          <w:rFonts w:ascii="Arial" w:hAnsi="Arial" w:cs="Arial"/>
          <w:spacing w:val="-3"/>
          <w:sz w:val="20"/>
          <w:szCs w:val="20"/>
        </w:rPr>
        <w:t xml:space="preserve"> </w:t>
      </w:r>
      <w:r w:rsidRPr="00853472">
        <w:rPr>
          <w:rFonts w:ascii="Arial" w:hAnsi="Arial" w:cs="Arial"/>
          <w:sz w:val="20"/>
          <w:szCs w:val="20"/>
        </w:rPr>
        <w:t>applicant</w:t>
      </w:r>
      <w:r w:rsidRPr="00853472">
        <w:rPr>
          <w:rFonts w:ascii="Arial" w:hAnsi="Arial" w:cs="Arial"/>
          <w:spacing w:val="-2"/>
          <w:sz w:val="20"/>
          <w:szCs w:val="20"/>
        </w:rPr>
        <w:t xml:space="preserve"> </w:t>
      </w:r>
      <w:r w:rsidRPr="00853472">
        <w:rPr>
          <w:rFonts w:ascii="Arial" w:hAnsi="Arial" w:cs="Arial"/>
          <w:sz w:val="20"/>
          <w:szCs w:val="20"/>
        </w:rPr>
        <w:t>shall</w:t>
      </w:r>
      <w:r w:rsidRPr="00853472">
        <w:rPr>
          <w:rFonts w:ascii="Arial" w:hAnsi="Arial" w:cs="Arial"/>
          <w:spacing w:val="-6"/>
          <w:sz w:val="20"/>
          <w:szCs w:val="20"/>
        </w:rPr>
        <w:t xml:space="preserve"> </w:t>
      </w:r>
      <w:r w:rsidRPr="00853472">
        <w:rPr>
          <w:rFonts w:ascii="Arial" w:hAnsi="Arial" w:cs="Arial"/>
          <w:sz w:val="20"/>
          <w:szCs w:val="20"/>
        </w:rPr>
        <w:t>take</w:t>
      </w:r>
      <w:r w:rsidRPr="00853472">
        <w:rPr>
          <w:rFonts w:ascii="Arial" w:hAnsi="Arial" w:cs="Arial"/>
          <w:spacing w:val="-4"/>
          <w:sz w:val="20"/>
          <w:szCs w:val="20"/>
        </w:rPr>
        <w:t xml:space="preserve"> </w:t>
      </w:r>
      <w:r w:rsidRPr="00853472">
        <w:rPr>
          <w:rFonts w:ascii="Arial" w:hAnsi="Arial" w:cs="Arial"/>
          <w:sz w:val="20"/>
          <w:szCs w:val="20"/>
        </w:rPr>
        <w:t>the</w:t>
      </w:r>
      <w:r w:rsidRPr="00853472">
        <w:rPr>
          <w:rFonts w:ascii="Arial" w:hAnsi="Arial" w:cs="Arial"/>
          <w:spacing w:val="-6"/>
          <w:sz w:val="20"/>
          <w:szCs w:val="20"/>
        </w:rPr>
        <w:t xml:space="preserve"> </w:t>
      </w:r>
      <w:r w:rsidRPr="00853472">
        <w:rPr>
          <w:rFonts w:ascii="Arial" w:hAnsi="Arial" w:cs="Arial"/>
          <w:sz w:val="20"/>
          <w:szCs w:val="20"/>
        </w:rPr>
        <w:t>entire</w:t>
      </w:r>
      <w:r w:rsidRPr="00853472">
        <w:rPr>
          <w:rFonts w:ascii="Arial" w:hAnsi="Arial" w:cs="Arial"/>
          <w:spacing w:val="-5"/>
          <w:sz w:val="20"/>
          <w:szCs w:val="20"/>
        </w:rPr>
        <w:t xml:space="preserve"> </w:t>
      </w:r>
      <w:r w:rsidRPr="00853472">
        <w:rPr>
          <w:rFonts w:ascii="Arial" w:hAnsi="Arial" w:cs="Arial"/>
          <w:sz w:val="20"/>
          <w:szCs w:val="20"/>
        </w:rPr>
        <w:t>set</w:t>
      </w:r>
      <w:r w:rsidRPr="00853472">
        <w:rPr>
          <w:rFonts w:ascii="Arial" w:hAnsi="Arial" w:cs="Arial"/>
          <w:spacing w:val="-5"/>
          <w:sz w:val="20"/>
          <w:szCs w:val="20"/>
        </w:rPr>
        <w:t xml:space="preserve"> </w:t>
      </w:r>
      <w:r w:rsidRPr="00853472">
        <w:rPr>
          <w:rFonts w:ascii="Arial" w:hAnsi="Arial" w:cs="Arial"/>
          <w:sz w:val="20"/>
          <w:szCs w:val="20"/>
        </w:rPr>
        <w:t>of</w:t>
      </w:r>
      <w:r w:rsidRPr="00853472">
        <w:rPr>
          <w:rFonts w:ascii="Arial" w:hAnsi="Arial" w:cs="Arial"/>
          <w:spacing w:val="-5"/>
          <w:sz w:val="20"/>
          <w:szCs w:val="20"/>
        </w:rPr>
        <w:t xml:space="preserve"> </w:t>
      </w:r>
      <w:r w:rsidRPr="00853472">
        <w:rPr>
          <w:rFonts w:ascii="Arial" w:hAnsi="Arial" w:cs="Arial"/>
          <w:sz w:val="20"/>
          <w:szCs w:val="20"/>
        </w:rPr>
        <w:t>theoretical</w:t>
      </w:r>
      <w:r w:rsidRPr="00853472">
        <w:rPr>
          <w:rFonts w:ascii="Arial" w:hAnsi="Arial" w:cs="Arial"/>
          <w:spacing w:val="-4"/>
          <w:sz w:val="20"/>
          <w:szCs w:val="20"/>
        </w:rPr>
        <w:t xml:space="preserve"> </w:t>
      </w:r>
      <w:r w:rsidRPr="00853472">
        <w:rPr>
          <w:rFonts w:ascii="Arial" w:hAnsi="Arial" w:cs="Arial"/>
          <w:sz w:val="20"/>
          <w:szCs w:val="20"/>
        </w:rPr>
        <w:t>knowledge</w:t>
      </w:r>
      <w:r w:rsidRPr="00853472">
        <w:rPr>
          <w:rFonts w:ascii="Arial" w:hAnsi="Arial" w:cs="Arial"/>
          <w:spacing w:val="-2"/>
          <w:sz w:val="20"/>
          <w:szCs w:val="20"/>
        </w:rPr>
        <w:t xml:space="preserve"> </w:t>
      </w:r>
      <w:r w:rsidRPr="00853472">
        <w:rPr>
          <w:rFonts w:ascii="Arial" w:hAnsi="Arial" w:cs="Arial"/>
          <w:sz w:val="20"/>
          <w:szCs w:val="20"/>
        </w:rPr>
        <w:t>examinations</w:t>
      </w:r>
      <w:r w:rsidRPr="00853472">
        <w:rPr>
          <w:rFonts w:ascii="Arial" w:hAnsi="Arial" w:cs="Arial"/>
          <w:spacing w:val="-3"/>
          <w:sz w:val="20"/>
          <w:szCs w:val="20"/>
        </w:rPr>
        <w:t xml:space="preserve"> </w:t>
      </w:r>
      <w:r w:rsidRPr="00853472">
        <w:rPr>
          <w:rFonts w:ascii="Arial" w:hAnsi="Arial" w:cs="Arial"/>
          <w:sz w:val="20"/>
          <w:szCs w:val="20"/>
        </w:rPr>
        <w:t>for</w:t>
      </w:r>
      <w:r w:rsidRPr="00853472">
        <w:rPr>
          <w:rFonts w:ascii="Arial" w:hAnsi="Arial" w:cs="Arial"/>
          <w:spacing w:val="-5"/>
          <w:sz w:val="20"/>
          <w:szCs w:val="20"/>
        </w:rPr>
        <w:t xml:space="preserve"> </w:t>
      </w:r>
      <w:r w:rsidRPr="00853472">
        <w:rPr>
          <w:rFonts w:ascii="Arial" w:hAnsi="Arial" w:cs="Arial"/>
          <w:sz w:val="20"/>
          <w:szCs w:val="20"/>
        </w:rPr>
        <w:t>the</w:t>
      </w:r>
      <w:r w:rsidRPr="00853472">
        <w:rPr>
          <w:rFonts w:ascii="Arial" w:hAnsi="Arial" w:cs="Arial"/>
          <w:spacing w:val="-3"/>
          <w:sz w:val="20"/>
          <w:szCs w:val="20"/>
        </w:rPr>
        <w:t xml:space="preserve"> </w:t>
      </w:r>
      <w:r w:rsidRPr="00853472">
        <w:rPr>
          <w:rFonts w:ascii="Arial" w:hAnsi="Arial" w:cs="Arial"/>
          <w:sz w:val="20"/>
          <w:szCs w:val="20"/>
        </w:rPr>
        <w:t>BPL</w:t>
      </w:r>
      <w:r w:rsidRPr="00853472">
        <w:rPr>
          <w:rFonts w:ascii="Arial" w:hAnsi="Arial" w:cs="Arial"/>
          <w:spacing w:val="-47"/>
          <w:sz w:val="20"/>
          <w:szCs w:val="20"/>
        </w:rPr>
        <w:t xml:space="preserve"> </w:t>
      </w:r>
      <w:r w:rsidRPr="00853472">
        <w:rPr>
          <w:rFonts w:ascii="Arial" w:hAnsi="Arial" w:cs="Arial"/>
          <w:sz w:val="20"/>
          <w:szCs w:val="20"/>
        </w:rPr>
        <w:t>under</w:t>
      </w:r>
      <w:r w:rsidRPr="00853472">
        <w:rPr>
          <w:rFonts w:ascii="Arial" w:hAnsi="Arial" w:cs="Arial"/>
          <w:spacing w:val="-1"/>
          <w:sz w:val="20"/>
          <w:szCs w:val="20"/>
        </w:rPr>
        <w:t xml:space="preserve"> </w:t>
      </w:r>
      <w:r w:rsidRPr="00853472">
        <w:rPr>
          <w:rFonts w:ascii="Arial" w:hAnsi="Arial" w:cs="Arial"/>
          <w:sz w:val="20"/>
          <w:szCs w:val="20"/>
        </w:rPr>
        <w:t>the responsibility</w:t>
      </w:r>
      <w:r w:rsidRPr="00853472">
        <w:rPr>
          <w:rFonts w:ascii="Arial" w:hAnsi="Arial" w:cs="Arial"/>
          <w:spacing w:val="-1"/>
          <w:sz w:val="20"/>
          <w:szCs w:val="20"/>
        </w:rPr>
        <w:t xml:space="preserve"> </w:t>
      </w:r>
      <w:r w:rsidRPr="00853472">
        <w:rPr>
          <w:rFonts w:ascii="Arial" w:hAnsi="Arial" w:cs="Arial"/>
          <w:sz w:val="20"/>
          <w:szCs w:val="20"/>
        </w:rPr>
        <w:t>of</w:t>
      </w:r>
      <w:r w:rsidRPr="00853472">
        <w:rPr>
          <w:rFonts w:ascii="Arial" w:hAnsi="Arial" w:cs="Arial"/>
          <w:spacing w:val="-5"/>
          <w:sz w:val="20"/>
          <w:szCs w:val="20"/>
        </w:rPr>
        <w:t xml:space="preserve"> </w:t>
      </w:r>
      <w:r w:rsidR="005F5690" w:rsidRPr="00C1366B">
        <w:rPr>
          <w:rFonts w:ascii="Arial" w:hAnsi="Arial" w:cs="Arial"/>
          <w:sz w:val="20"/>
        </w:rPr>
        <w:t>the Republic of Armenia</w:t>
      </w:r>
      <w:r w:rsidRPr="00853472">
        <w:rPr>
          <w:rFonts w:ascii="Arial" w:hAnsi="Arial" w:cs="Arial"/>
          <w:sz w:val="20"/>
          <w:szCs w:val="20"/>
        </w:rPr>
        <w:t>.</w:t>
      </w:r>
    </w:p>
    <w:p w14:paraId="487DBE19" w14:textId="77777777" w:rsidR="00853472" w:rsidRPr="00853472" w:rsidRDefault="00853472" w:rsidP="0079393D">
      <w:pPr>
        <w:numPr>
          <w:ilvl w:val="1"/>
          <w:numId w:val="171"/>
        </w:numPr>
        <w:tabs>
          <w:tab w:val="left" w:pos="1274"/>
        </w:tabs>
        <w:spacing w:before="121"/>
        <w:ind w:right="195"/>
        <w:jc w:val="both"/>
        <w:rPr>
          <w:rFonts w:ascii="Arial" w:hAnsi="Arial" w:cs="Arial"/>
          <w:sz w:val="20"/>
          <w:szCs w:val="20"/>
        </w:rPr>
      </w:pPr>
      <w:r w:rsidRPr="00853472">
        <w:rPr>
          <w:rFonts w:ascii="Arial" w:hAnsi="Arial" w:cs="Arial"/>
          <w:sz w:val="20"/>
          <w:szCs w:val="20"/>
        </w:rPr>
        <w:t>The applicant shall take the theoretical knowledge examination only if recommended by</w:t>
      </w:r>
      <w:r w:rsidRPr="00853472">
        <w:rPr>
          <w:rFonts w:ascii="Arial" w:hAnsi="Arial" w:cs="Arial"/>
          <w:spacing w:val="-47"/>
          <w:sz w:val="20"/>
          <w:szCs w:val="20"/>
        </w:rPr>
        <w:t xml:space="preserve"> </w:t>
      </w:r>
      <w:r w:rsidRPr="00853472">
        <w:rPr>
          <w:rFonts w:ascii="Arial" w:hAnsi="Arial" w:cs="Arial"/>
          <w:sz w:val="20"/>
          <w:szCs w:val="20"/>
        </w:rPr>
        <w:t>the ATO or the DTO that is responsible for his or her training and once he or she has</w:t>
      </w:r>
      <w:r w:rsidRPr="00853472">
        <w:rPr>
          <w:rFonts w:ascii="Arial" w:hAnsi="Arial" w:cs="Arial"/>
          <w:spacing w:val="1"/>
          <w:sz w:val="20"/>
          <w:szCs w:val="20"/>
        </w:rPr>
        <w:t xml:space="preserve"> </w:t>
      </w:r>
      <w:r w:rsidRPr="00853472">
        <w:rPr>
          <w:rFonts w:ascii="Arial" w:hAnsi="Arial" w:cs="Arial"/>
          <w:sz w:val="20"/>
          <w:szCs w:val="20"/>
        </w:rPr>
        <w:t>completed the appropriate elements of the training course of theoretical knowledge</w:t>
      </w:r>
      <w:r w:rsidRPr="00853472">
        <w:rPr>
          <w:rFonts w:ascii="Arial" w:hAnsi="Arial" w:cs="Arial"/>
          <w:spacing w:val="1"/>
          <w:sz w:val="20"/>
          <w:szCs w:val="20"/>
        </w:rPr>
        <w:t xml:space="preserve"> </w:t>
      </w:r>
      <w:r w:rsidRPr="00853472">
        <w:rPr>
          <w:rFonts w:ascii="Arial" w:hAnsi="Arial" w:cs="Arial"/>
          <w:sz w:val="20"/>
          <w:szCs w:val="20"/>
        </w:rPr>
        <w:t>instruction</w:t>
      </w:r>
      <w:r w:rsidRPr="00853472">
        <w:rPr>
          <w:rFonts w:ascii="Arial" w:hAnsi="Arial" w:cs="Arial"/>
          <w:spacing w:val="-4"/>
          <w:sz w:val="20"/>
          <w:szCs w:val="20"/>
        </w:rPr>
        <w:t xml:space="preserve"> </w:t>
      </w:r>
      <w:r w:rsidRPr="00853472">
        <w:rPr>
          <w:rFonts w:ascii="Arial" w:hAnsi="Arial" w:cs="Arial"/>
          <w:sz w:val="20"/>
          <w:szCs w:val="20"/>
        </w:rPr>
        <w:t>to</w:t>
      </w:r>
      <w:r w:rsidRPr="00853472">
        <w:rPr>
          <w:rFonts w:ascii="Arial" w:hAnsi="Arial" w:cs="Arial"/>
          <w:spacing w:val="-1"/>
          <w:sz w:val="20"/>
          <w:szCs w:val="20"/>
        </w:rPr>
        <w:t xml:space="preserve"> </w:t>
      </w:r>
      <w:r w:rsidRPr="00853472">
        <w:rPr>
          <w:rFonts w:ascii="Arial" w:hAnsi="Arial" w:cs="Arial"/>
          <w:sz w:val="20"/>
          <w:szCs w:val="20"/>
        </w:rPr>
        <w:t>a satisfactory</w:t>
      </w:r>
      <w:r w:rsidRPr="00853472">
        <w:rPr>
          <w:rFonts w:ascii="Arial" w:hAnsi="Arial" w:cs="Arial"/>
          <w:spacing w:val="-2"/>
          <w:sz w:val="20"/>
          <w:szCs w:val="20"/>
        </w:rPr>
        <w:t xml:space="preserve"> </w:t>
      </w:r>
      <w:r w:rsidRPr="00853472">
        <w:rPr>
          <w:rFonts w:ascii="Arial" w:hAnsi="Arial" w:cs="Arial"/>
          <w:sz w:val="20"/>
          <w:szCs w:val="20"/>
        </w:rPr>
        <w:t>standard.</w:t>
      </w:r>
    </w:p>
    <w:p w14:paraId="1AF2A0B9" w14:textId="77777777" w:rsidR="00E50667" w:rsidRPr="00E50667" w:rsidRDefault="00E50667" w:rsidP="0079393D">
      <w:pPr>
        <w:pStyle w:val="ListParagraph"/>
        <w:numPr>
          <w:ilvl w:val="0"/>
          <w:numId w:val="172"/>
        </w:numPr>
        <w:tabs>
          <w:tab w:val="left" w:pos="1274"/>
        </w:tabs>
        <w:spacing w:before="56"/>
        <w:ind w:right="194"/>
        <w:jc w:val="both"/>
        <w:rPr>
          <w:rFonts w:ascii="Arial" w:hAnsi="Arial" w:cs="Arial"/>
          <w:sz w:val="20"/>
          <w:szCs w:val="20"/>
        </w:rPr>
      </w:pPr>
      <w:r w:rsidRPr="00E50667">
        <w:rPr>
          <w:rFonts w:ascii="Arial" w:hAnsi="Arial" w:cs="Arial"/>
          <w:sz w:val="20"/>
          <w:szCs w:val="20"/>
        </w:rPr>
        <w:t>The</w:t>
      </w:r>
      <w:r w:rsidRPr="00E50667">
        <w:rPr>
          <w:rFonts w:ascii="Arial" w:hAnsi="Arial" w:cs="Arial"/>
          <w:spacing w:val="-6"/>
          <w:sz w:val="20"/>
          <w:szCs w:val="20"/>
        </w:rPr>
        <w:t xml:space="preserve"> </w:t>
      </w:r>
      <w:r w:rsidRPr="00E50667">
        <w:rPr>
          <w:rFonts w:ascii="Arial" w:hAnsi="Arial" w:cs="Arial"/>
          <w:sz w:val="20"/>
          <w:szCs w:val="20"/>
        </w:rPr>
        <w:t>recommendation</w:t>
      </w:r>
      <w:r w:rsidRPr="00E50667">
        <w:rPr>
          <w:rFonts w:ascii="Arial" w:hAnsi="Arial" w:cs="Arial"/>
          <w:spacing w:val="-5"/>
          <w:sz w:val="20"/>
          <w:szCs w:val="20"/>
        </w:rPr>
        <w:t xml:space="preserve"> </w:t>
      </w:r>
      <w:r w:rsidRPr="00E50667">
        <w:rPr>
          <w:rFonts w:ascii="Arial" w:hAnsi="Arial" w:cs="Arial"/>
          <w:sz w:val="20"/>
          <w:szCs w:val="20"/>
        </w:rPr>
        <w:t>by</w:t>
      </w:r>
      <w:r w:rsidRPr="00E50667">
        <w:rPr>
          <w:rFonts w:ascii="Arial" w:hAnsi="Arial" w:cs="Arial"/>
          <w:spacing w:val="-7"/>
          <w:sz w:val="20"/>
          <w:szCs w:val="20"/>
        </w:rPr>
        <w:t xml:space="preserve"> </w:t>
      </w:r>
      <w:r w:rsidRPr="00E50667">
        <w:rPr>
          <w:rFonts w:ascii="Arial" w:hAnsi="Arial" w:cs="Arial"/>
          <w:sz w:val="20"/>
          <w:szCs w:val="20"/>
        </w:rPr>
        <w:t>the</w:t>
      </w:r>
      <w:r w:rsidRPr="00E50667">
        <w:rPr>
          <w:rFonts w:ascii="Arial" w:hAnsi="Arial" w:cs="Arial"/>
          <w:spacing w:val="-4"/>
          <w:sz w:val="20"/>
          <w:szCs w:val="20"/>
        </w:rPr>
        <w:t xml:space="preserve"> </w:t>
      </w:r>
      <w:r w:rsidRPr="00E50667">
        <w:rPr>
          <w:rFonts w:ascii="Arial" w:hAnsi="Arial" w:cs="Arial"/>
          <w:sz w:val="20"/>
          <w:szCs w:val="20"/>
        </w:rPr>
        <w:t>ATO</w:t>
      </w:r>
      <w:r w:rsidRPr="00E50667">
        <w:rPr>
          <w:rFonts w:ascii="Arial" w:hAnsi="Arial" w:cs="Arial"/>
          <w:spacing w:val="-8"/>
          <w:sz w:val="20"/>
          <w:szCs w:val="20"/>
        </w:rPr>
        <w:t xml:space="preserve"> </w:t>
      </w:r>
      <w:r w:rsidRPr="00E50667">
        <w:rPr>
          <w:rFonts w:ascii="Arial" w:hAnsi="Arial" w:cs="Arial"/>
          <w:sz w:val="20"/>
          <w:szCs w:val="20"/>
        </w:rPr>
        <w:t>or</w:t>
      </w:r>
      <w:r w:rsidRPr="00E50667">
        <w:rPr>
          <w:rFonts w:ascii="Arial" w:hAnsi="Arial" w:cs="Arial"/>
          <w:spacing w:val="-7"/>
          <w:sz w:val="20"/>
          <w:szCs w:val="20"/>
        </w:rPr>
        <w:t xml:space="preserve"> </w:t>
      </w:r>
      <w:r w:rsidRPr="00E50667">
        <w:rPr>
          <w:rFonts w:ascii="Arial" w:hAnsi="Arial" w:cs="Arial"/>
          <w:sz w:val="20"/>
          <w:szCs w:val="20"/>
        </w:rPr>
        <w:t>the</w:t>
      </w:r>
      <w:r w:rsidRPr="00E50667">
        <w:rPr>
          <w:rFonts w:ascii="Arial" w:hAnsi="Arial" w:cs="Arial"/>
          <w:spacing w:val="-8"/>
          <w:sz w:val="20"/>
          <w:szCs w:val="20"/>
        </w:rPr>
        <w:t xml:space="preserve"> </w:t>
      </w:r>
      <w:r w:rsidRPr="00E50667">
        <w:rPr>
          <w:rFonts w:ascii="Arial" w:hAnsi="Arial" w:cs="Arial"/>
          <w:sz w:val="20"/>
          <w:szCs w:val="20"/>
        </w:rPr>
        <w:t>DTO</w:t>
      </w:r>
      <w:r w:rsidRPr="00E50667">
        <w:rPr>
          <w:rFonts w:ascii="Arial" w:hAnsi="Arial" w:cs="Arial"/>
          <w:spacing w:val="-4"/>
          <w:sz w:val="20"/>
          <w:szCs w:val="20"/>
        </w:rPr>
        <w:t xml:space="preserve"> </w:t>
      </w:r>
      <w:r w:rsidRPr="00E50667">
        <w:rPr>
          <w:rFonts w:ascii="Arial" w:hAnsi="Arial" w:cs="Arial"/>
          <w:sz w:val="20"/>
          <w:szCs w:val="20"/>
        </w:rPr>
        <w:t>shall</w:t>
      </w:r>
      <w:r w:rsidRPr="00E50667">
        <w:rPr>
          <w:rFonts w:ascii="Arial" w:hAnsi="Arial" w:cs="Arial"/>
          <w:spacing w:val="-8"/>
          <w:sz w:val="20"/>
          <w:szCs w:val="20"/>
        </w:rPr>
        <w:t xml:space="preserve"> </w:t>
      </w:r>
      <w:r w:rsidRPr="00E50667">
        <w:rPr>
          <w:rFonts w:ascii="Arial" w:hAnsi="Arial" w:cs="Arial"/>
          <w:sz w:val="20"/>
          <w:szCs w:val="20"/>
        </w:rPr>
        <w:t>be</w:t>
      </w:r>
      <w:r w:rsidRPr="00E50667">
        <w:rPr>
          <w:rFonts w:ascii="Arial" w:hAnsi="Arial" w:cs="Arial"/>
          <w:spacing w:val="-6"/>
          <w:sz w:val="20"/>
          <w:szCs w:val="20"/>
        </w:rPr>
        <w:t xml:space="preserve"> </w:t>
      </w:r>
      <w:r w:rsidRPr="00E50667">
        <w:rPr>
          <w:rFonts w:ascii="Arial" w:hAnsi="Arial" w:cs="Arial"/>
          <w:sz w:val="20"/>
          <w:szCs w:val="20"/>
        </w:rPr>
        <w:t>valid</w:t>
      </w:r>
      <w:r w:rsidRPr="00E50667">
        <w:rPr>
          <w:rFonts w:ascii="Arial" w:hAnsi="Arial" w:cs="Arial"/>
          <w:spacing w:val="-6"/>
          <w:sz w:val="20"/>
          <w:szCs w:val="20"/>
        </w:rPr>
        <w:t xml:space="preserve"> </w:t>
      </w:r>
      <w:r w:rsidRPr="00E50667">
        <w:rPr>
          <w:rFonts w:ascii="Arial" w:hAnsi="Arial" w:cs="Arial"/>
          <w:sz w:val="20"/>
          <w:szCs w:val="20"/>
        </w:rPr>
        <w:t>for</w:t>
      </w:r>
      <w:r w:rsidRPr="00E50667">
        <w:rPr>
          <w:rFonts w:ascii="Arial" w:hAnsi="Arial" w:cs="Arial"/>
          <w:spacing w:val="-7"/>
          <w:sz w:val="20"/>
          <w:szCs w:val="20"/>
        </w:rPr>
        <w:t xml:space="preserve"> </w:t>
      </w:r>
      <w:r w:rsidRPr="00E50667">
        <w:rPr>
          <w:rFonts w:ascii="Arial" w:hAnsi="Arial" w:cs="Arial"/>
          <w:sz w:val="20"/>
          <w:szCs w:val="20"/>
        </w:rPr>
        <w:t>12</w:t>
      </w:r>
      <w:r w:rsidRPr="00E50667">
        <w:rPr>
          <w:rFonts w:ascii="Arial" w:hAnsi="Arial" w:cs="Arial"/>
          <w:spacing w:val="-7"/>
          <w:sz w:val="20"/>
          <w:szCs w:val="20"/>
        </w:rPr>
        <w:t xml:space="preserve"> </w:t>
      </w:r>
      <w:r w:rsidRPr="00E50667">
        <w:rPr>
          <w:rFonts w:ascii="Arial" w:hAnsi="Arial" w:cs="Arial"/>
          <w:sz w:val="20"/>
          <w:szCs w:val="20"/>
        </w:rPr>
        <w:t>months.</w:t>
      </w:r>
      <w:r w:rsidRPr="00E50667">
        <w:rPr>
          <w:rFonts w:ascii="Arial" w:hAnsi="Arial" w:cs="Arial"/>
          <w:spacing w:val="-5"/>
          <w:sz w:val="20"/>
          <w:szCs w:val="20"/>
        </w:rPr>
        <w:t xml:space="preserve"> </w:t>
      </w:r>
      <w:r w:rsidRPr="00E50667">
        <w:rPr>
          <w:rFonts w:ascii="Arial" w:hAnsi="Arial" w:cs="Arial"/>
          <w:sz w:val="20"/>
          <w:szCs w:val="20"/>
        </w:rPr>
        <w:t>If</w:t>
      </w:r>
      <w:r w:rsidRPr="00E50667">
        <w:rPr>
          <w:rFonts w:ascii="Arial" w:hAnsi="Arial" w:cs="Arial"/>
          <w:spacing w:val="-9"/>
          <w:sz w:val="20"/>
          <w:szCs w:val="20"/>
        </w:rPr>
        <w:t xml:space="preserve"> </w:t>
      </w:r>
      <w:r w:rsidRPr="00E50667">
        <w:rPr>
          <w:rFonts w:ascii="Arial" w:hAnsi="Arial" w:cs="Arial"/>
          <w:sz w:val="20"/>
          <w:szCs w:val="20"/>
        </w:rPr>
        <w:t>the</w:t>
      </w:r>
      <w:r w:rsidRPr="00E50667">
        <w:rPr>
          <w:rFonts w:ascii="Arial" w:hAnsi="Arial" w:cs="Arial"/>
          <w:spacing w:val="-7"/>
          <w:sz w:val="20"/>
          <w:szCs w:val="20"/>
        </w:rPr>
        <w:t xml:space="preserve"> </w:t>
      </w:r>
      <w:r w:rsidRPr="00E50667">
        <w:rPr>
          <w:rFonts w:ascii="Arial" w:hAnsi="Arial" w:cs="Arial"/>
          <w:sz w:val="20"/>
          <w:szCs w:val="20"/>
        </w:rPr>
        <w:t>applicant</w:t>
      </w:r>
      <w:r w:rsidRPr="00E50667">
        <w:rPr>
          <w:rFonts w:ascii="Arial" w:hAnsi="Arial" w:cs="Arial"/>
          <w:spacing w:val="-47"/>
          <w:sz w:val="20"/>
          <w:szCs w:val="20"/>
        </w:rPr>
        <w:t xml:space="preserve"> </w:t>
      </w:r>
      <w:r w:rsidRPr="00E50667">
        <w:rPr>
          <w:rFonts w:ascii="Arial" w:hAnsi="Arial" w:cs="Arial"/>
          <w:sz w:val="20"/>
          <w:szCs w:val="20"/>
        </w:rPr>
        <w:t>has failed to take at least one theoretical knowledge examination paper within this</w:t>
      </w:r>
      <w:r w:rsidRPr="00E50667">
        <w:rPr>
          <w:rFonts w:ascii="Arial" w:hAnsi="Arial" w:cs="Arial"/>
          <w:spacing w:val="1"/>
          <w:sz w:val="20"/>
          <w:szCs w:val="20"/>
        </w:rPr>
        <w:t xml:space="preserve"> </w:t>
      </w:r>
      <w:r w:rsidRPr="00E50667">
        <w:rPr>
          <w:rFonts w:ascii="Arial" w:hAnsi="Arial" w:cs="Arial"/>
          <w:sz w:val="20"/>
          <w:szCs w:val="20"/>
        </w:rPr>
        <w:t>validity period, the need for further training shall be determined by the ATO or the DTO,</w:t>
      </w:r>
      <w:r w:rsidRPr="00E50667">
        <w:rPr>
          <w:rFonts w:ascii="Arial" w:hAnsi="Arial" w:cs="Arial"/>
          <w:spacing w:val="-47"/>
          <w:sz w:val="20"/>
          <w:szCs w:val="20"/>
        </w:rPr>
        <w:t xml:space="preserve"> </w:t>
      </w:r>
      <w:r w:rsidRPr="00E50667">
        <w:rPr>
          <w:rFonts w:ascii="Arial" w:hAnsi="Arial" w:cs="Arial"/>
          <w:sz w:val="20"/>
          <w:szCs w:val="20"/>
        </w:rPr>
        <w:t>based on</w:t>
      </w:r>
      <w:r w:rsidRPr="00E50667">
        <w:rPr>
          <w:rFonts w:ascii="Arial" w:hAnsi="Arial" w:cs="Arial"/>
          <w:spacing w:val="-3"/>
          <w:sz w:val="20"/>
          <w:szCs w:val="20"/>
        </w:rPr>
        <w:t xml:space="preserve"> </w:t>
      </w:r>
      <w:r w:rsidRPr="00E50667">
        <w:rPr>
          <w:rFonts w:ascii="Arial" w:hAnsi="Arial" w:cs="Arial"/>
          <w:sz w:val="20"/>
          <w:szCs w:val="20"/>
        </w:rPr>
        <w:t>the needs</w:t>
      </w:r>
      <w:r w:rsidRPr="00E50667">
        <w:rPr>
          <w:rFonts w:ascii="Arial" w:hAnsi="Arial" w:cs="Arial"/>
          <w:spacing w:val="-2"/>
          <w:sz w:val="20"/>
          <w:szCs w:val="20"/>
        </w:rPr>
        <w:t xml:space="preserve"> </w:t>
      </w:r>
      <w:r w:rsidRPr="00E50667">
        <w:rPr>
          <w:rFonts w:ascii="Arial" w:hAnsi="Arial" w:cs="Arial"/>
          <w:sz w:val="20"/>
          <w:szCs w:val="20"/>
        </w:rPr>
        <w:t>of the</w:t>
      </w:r>
      <w:r w:rsidRPr="00E50667">
        <w:rPr>
          <w:rFonts w:ascii="Arial" w:hAnsi="Arial" w:cs="Arial"/>
          <w:spacing w:val="-4"/>
          <w:sz w:val="20"/>
          <w:szCs w:val="20"/>
        </w:rPr>
        <w:t xml:space="preserve"> </w:t>
      </w:r>
      <w:r w:rsidRPr="00E50667">
        <w:rPr>
          <w:rFonts w:ascii="Arial" w:hAnsi="Arial" w:cs="Arial"/>
          <w:sz w:val="20"/>
          <w:szCs w:val="20"/>
        </w:rPr>
        <w:t>applicant.</w:t>
      </w:r>
    </w:p>
    <w:p w14:paraId="690C924D" w14:textId="77777777" w:rsidR="00E50667" w:rsidRPr="00E50667" w:rsidRDefault="00E50667" w:rsidP="0079393D">
      <w:pPr>
        <w:pStyle w:val="ListParagraph"/>
        <w:numPr>
          <w:ilvl w:val="0"/>
          <w:numId w:val="171"/>
        </w:numPr>
        <w:tabs>
          <w:tab w:val="left" w:pos="707"/>
        </w:tabs>
        <w:spacing w:before="121"/>
        <w:jc w:val="both"/>
        <w:rPr>
          <w:rFonts w:ascii="Arial" w:hAnsi="Arial" w:cs="Arial"/>
          <w:sz w:val="20"/>
          <w:szCs w:val="20"/>
        </w:rPr>
      </w:pPr>
      <w:r w:rsidRPr="00E50667">
        <w:rPr>
          <w:rFonts w:ascii="Arial" w:hAnsi="Arial" w:cs="Arial"/>
          <w:sz w:val="20"/>
          <w:szCs w:val="20"/>
        </w:rPr>
        <w:t>Pass</w:t>
      </w:r>
      <w:r w:rsidRPr="00E50667">
        <w:rPr>
          <w:rFonts w:ascii="Arial" w:hAnsi="Arial" w:cs="Arial"/>
          <w:spacing w:val="-1"/>
          <w:sz w:val="20"/>
          <w:szCs w:val="20"/>
        </w:rPr>
        <w:t xml:space="preserve"> </w:t>
      </w:r>
      <w:r w:rsidRPr="00E50667">
        <w:rPr>
          <w:rFonts w:ascii="Arial" w:hAnsi="Arial" w:cs="Arial"/>
          <w:sz w:val="20"/>
          <w:szCs w:val="20"/>
        </w:rPr>
        <w:t>standards</w:t>
      </w:r>
    </w:p>
    <w:p w14:paraId="22557D8C" w14:textId="77777777" w:rsidR="00E50667" w:rsidRPr="00E50667" w:rsidRDefault="00E50667" w:rsidP="0079393D">
      <w:pPr>
        <w:pStyle w:val="ListParagraph"/>
        <w:numPr>
          <w:ilvl w:val="1"/>
          <w:numId w:val="171"/>
        </w:numPr>
        <w:tabs>
          <w:tab w:val="left" w:pos="1274"/>
        </w:tabs>
        <w:ind w:right="194"/>
        <w:jc w:val="both"/>
        <w:rPr>
          <w:rFonts w:ascii="Arial" w:hAnsi="Arial" w:cs="Arial"/>
          <w:sz w:val="20"/>
          <w:szCs w:val="20"/>
        </w:rPr>
      </w:pPr>
      <w:r w:rsidRPr="00E50667">
        <w:rPr>
          <w:rFonts w:ascii="Arial" w:hAnsi="Arial" w:cs="Arial"/>
          <w:sz w:val="20"/>
          <w:szCs w:val="20"/>
        </w:rPr>
        <w:t>A</w:t>
      </w:r>
      <w:r w:rsidRPr="00E50667">
        <w:rPr>
          <w:rFonts w:ascii="Arial" w:hAnsi="Arial" w:cs="Arial"/>
          <w:spacing w:val="-4"/>
          <w:sz w:val="20"/>
          <w:szCs w:val="20"/>
        </w:rPr>
        <w:t xml:space="preserve"> </w:t>
      </w:r>
      <w:r w:rsidRPr="00E50667">
        <w:rPr>
          <w:rFonts w:ascii="Arial" w:hAnsi="Arial" w:cs="Arial"/>
          <w:sz w:val="20"/>
          <w:szCs w:val="20"/>
        </w:rPr>
        <w:t>pass</w:t>
      </w:r>
      <w:r w:rsidRPr="00E50667">
        <w:rPr>
          <w:rFonts w:ascii="Arial" w:hAnsi="Arial" w:cs="Arial"/>
          <w:spacing w:val="-2"/>
          <w:sz w:val="20"/>
          <w:szCs w:val="20"/>
        </w:rPr>
        <w:t xml:space="preserve"> </w:t>
      </w:r>
      <w:r w:rsidRPr="00E50667">
        <w:rPr>
          <w:rFonts w:ascii="Arial" w:hAnsi="Arial" w:cs="Arial"/>
          <w:sz w:val="20"/>
          <w:szCs w:val="20"/>
        </w:rPr>
        <w:t>in</w:t>
      </w:r>
      <w:r w:rsidRPr="00E50667">
        <w:rPr>
          <w:rFonts w:ascii="Arial" w:hAnsi="Arial" w:cs="Arial"/>
          <w:spacing w:val="-4"/>
          <w:sz w:val="20"/>
          <w:szCs w:val="20"/>
        </w:rPr>
        <w:t xml:space="preserve"> </w:t>
      </w:r>
      <w:r w:rsidRPr="00E50667">
        <w:rPr>
          <w:rFonts w:ascii="Arial" w:hAnsi="Arial" w:cs="Arial"/>
          <w:sz w:val="20"/>
          <w:szCs w:val="20"/>
        </w:rPr>
        <w:t>a</w:t>
      </w:r>
      <w:r w:rsidRPr="00E50667">
        <w:rPr>
          <w:rFonts w:ascii="Arial" w:hAnsi="Arial" w:cs="Arial"/>
          <w:spacing w:val="-2"/>
          <w:sz w:val="20"/>
          <w:szCs w:val="20"/>
        </w:rPr>
        <w:t xml:space="preserve"> </w:t>
      </w:r>
      <w:r w:rsidRPr="00E50667">
        <w:rPr>
          <w:rFonts w:ascii="Arial" w:hAnsi="Arial" w:cs="Arial"/>
          <w:sz w:val="20"/>
          <w:szCs w:val="20"/>
        </w:rPr>
        <w:t>theoretical</w:t>
      </w:r>
      <w:r w:rsidRPr="00E50667">
        <w:rPr>
          <w:rFonts w:ascii="Arial" w:hAnsi="Arial" w:cs="Arial"/>
          <w:spacing w:val="-5"/>
          <w:sz w:val="20"/>
          <w:szCs w:val="20"/>
        </w:rPr>
        <w:t xml:space="preserve"> </w:t>
      </w:r>
      <w:r w:rsidRPr="00E50667">
        <w:rPr>
          <w:rFonts w:ascii="Arial" w:hAnsi="Arial" w:cs="Arial"/>
          <w:sz w:val="20"/>
          <w:szCs w:val="20"/>
        </w:rPr>
        <w:t>knowledge</w:t>
      </w:r>
      <w:r w:rsidRPr="00E50667">
        <w:rPr>
          <w:rFonts w:ascii="Arial" w:hAnsi="Arial" w:cs="Arial"/>
          <w:spacing w:val="-5"/>
          <w:sz w:val="20"/>
          <w:szCs w:val="20"/>
        </w:rPr>
        <w:t xml:space="preserve"> </w:t>
      </w:r>
      <w:r w:rsidRPr="00E50667">
        <w:rPr>
          <w:rFonts w:ascii="Arial" w:hAnsi="Arial" w:cs="Arial"/>
          <w:sz w:val="20"/>
          <w:szCs w:val="20"/>
        </w:rPr>
        <w:t>examination</w:t>
      </w:r>
      <w:r w:rsidRPr="00E50667">
        <w:rPr>
          <w:rFonts w:ascii="Arial" w:hAnsi="Arial" w:cs="Arial"/>
          <w:spacing w:val="-5"/>
          <w:sz w:val="20"/>
          <w:szCs w:val="20"/>
        </w:rPr>
        <w:t xml:space="preserve"> </w:t>
      </w:r>
      <w:r w:rsidRPr="00E50667">
        <w:rPr>
          <w:rFonts w:ascii="Arial" w:hAnsi="Arial" w:cs="Arial"/>
          <w:sz w:val="20"/>
          <w:szCs w:val="20"/>
        </w:rPr>
        <w:t>paper</w:t>
      </w:r>
      <w:r w:rsidRPr="00E50667">
        <w:rPr>
          <w:rFonts w:ascii="Arial" w:hAnsi="Arial" w:cs="Arial"/>
          <w:spacing w:val="-5"/>
          <w:sz w:val="20"/>
          <w:szCs w:val="20"/>
        </w:rPr>
        <w:t xml:space="preserve"> </w:t>
      </w:r>
      <w:r w:rsidRPr="00E50667">
        <w:rPr>
          <w:rFonts w:ascii="Arial" w:hAnsi="Arial" w:cs="Arial"/>
          <w:sz w:val="20"/>
          <w:szCs w:val="20"/>
        </w:rPr>
        <w:t>shall</w:t>
      </w:r>
      <w:r w:rsidRPr="00E50667">
        <w:rPr>
          <w:rFonts w:ascii="Arial" w:hAnsi="Arial" w:cs="Arial"/>
          <w:spacing w:val="-3"/>
          <w:sz w:val="20"/>
          <w:szCs w:val="20"/>
        </w:rPr>
        <w:t xml:space="preserve"> </w:t>
      </w:r>
      <w:r w:rsidRPr="00E50667">
        <w:rPr>
          <w:rFonts w:ascii="Arial" w:hAnsi="Arial" w:cs="Arial"/>
          <w:sz w:val="20"/>
          <w:szCs w:val="20"/>
        </w:rPr>
        <w:t>be</w:t>
      </w:r>
      <w:r w:rsidRPr="00E50667">
        <w:rPr>
          <w:rFonts w:ascii="Arial" w:hAnsi="Arial" w:cs="Arial"/>
          <w:spacing w:val="-2"/>
          <w:sz w:val="20"/>
          <w:szCs w:val="20"/>
        </w:rPr>
        <w:t xml:space="preserve"> </w:t>
      </w:r>
      <w:r w:rsidRPr="00E50667">
        <w:rPr>
          <w:rFonts w:ascii="Arial" w:hAnsi="Arial" w:cs="Arial"/>
          <w:sz w:val="20"/>
          <w:szCs w:val="20"/>
        </w:rPr>
        <w:t>awarded</w:t>
      </w:r>
      <w:r w:rsidRPr="00E50667">
        <w:rPr>
          <w:rFonts w:ascii="Arial" w:hAnsi="Arial" w:cs="Arial"/>
          <w:spacing w:val="-3"/>
          <w:sz w:val="20"/>
          <w:szCs w:val="20"/>
        </w:rPr>
        <w:t xml:space="preserve"> </w:t>
      </w:r>
      <w:r w:rsidRPr="00E50667">
        <w:rPr>
          <w:rFonts w:ascii="Arial" w:hAnsi="Arial" w:cs="Arial"/>
          <w:sz w:val="20"/>
          <w:szCs w:val="20"/>
        </w:rPr>
        <w:t>to</w:t>
      </w:r>
      <w:r w:rsidRPr="00E50667">
        <w:rPr>
          <w:rFonts w:ascii="Arial" w:hAnsi="Arial" w:cs="Arial"/>
          <w:spacing w:val="-1"/>
          <w:sz w:val="20"/>
          <w:szCs w:val="20"/>
        </w:rPr>
        <w:t xml:space="preserve"> </w:t>
      </w:r>
      <w:r w:rsidRPr="00E50667">
        <w:rPr>
          <w:rFonts w:ascii="Arial" w:hAnsi="Arial" w:cs="Arial"/>
          <w:sz w:val="20"/>
          <w:szCs w:val="20"/>
        </w:rPr>
        <w:t>the</w:t>
      </w:r>
      <w:r w:rsidRPr="00E50667">
        <w:rPr>
          <w:rFonts w:ascii="Arial" w:hAnsi="Arial" w:cs="Arial"/>
          <w:spacing w:val="-6"/>
          <w:sz w:val="20"/>
          <w:szCs w:val="20"/>
        </w:rPr>
        <w:t xml:space="preserve"> </w:t>
      </w:r>
      <w:r w:rsidRPr="00E50667">
        <w:rPr>
          <w:rFonts w:ascii="Arial" w:hAnsi="Arial" w:cs="Arial"/>
          <w:sz w:val="20"/>
          <w:szCs w:val="20"/>
        </w:rPr>
        <w:t>applicant</w:t>
      </w:r>
      <w:r w:rsidRPr="00E50667">
        <w:rPr>
          <w:rFonts w:ascii="Arial" w:hAnsi="Arial" w:cs="Arial"/>
          <w:spacing w:val="-2"/>
          <w:sz w:val="20"/>
          <w:szCs w:val="20"/>
        </w:rPr>
        <w:t xml:space="preserve"> </w:t>
      </w:r>
      <w:r w:rsidRPr="00E50667">
        <w:rPr>
          <w:rFonts w:ascii="Arial" w:hAnsi="Arial" w:cs="Arial"/>
          <w:sz w:val="20"/>
          <w:szCs w:val="20"/>
        </w:rPr>
        <w:t>if</w:t>
      </w:r>
      <w:r w:rsidRPr="00E50667">
        <w:rPr>
          <w:rFonts w:ascii="Arial" w:hAnsi="Arial" w:cs="Arial"/>
          <w:spacing w:val="-47"/>
          <w:sz w:val="20"/>
          <w:szCs w:val="20"/>
        </w:rPr>
        <w:t xml:space="preserve"> </w:t>
      </w:r>
      <w:r w:rsidRPr="00E50667">
        <w:rPr>
          <w:rFonts w:ascii="Arial" w:hAnsi="Arial" w:cs="Arial"/>
          <w:sz w:val="20"/>
          <w:szCs w:val="20"/>
        </w:rPr>
        <w:t>he or she has achieved at least 75 % of the marks allocated to that paper. No penalty</w:t>
      </w:r>
      <w:r w:rsidRPr="00E50667">
        <w:rPr>
          <w:rFonts w:ascii="Arial" w:hAnsi="Arial" w:cs="Arial"/>
          <w:spacing w:val="1"/>
          <w:sz w:val="20"/>
          <w:szCs w:val="20"/>
        </w:rPr>
        <w:t xml:space="preserve"> </w:t>
      </w:r>
      <w:r w:rsidRPr="00E50667">
        <w:rPr>
          <w:rFonts w:ascii="Arial" w:hAnsi="Arial" w:cs="Arial"/>
          <w:sz w:val="20"/>
          <w:szCs w:val="20"/>
        </w:rPr>
        <w:t>marking</w:t>
      </w:r>
      <w:r w:rsidRPr="00E50667">
        <w:rPr>
          <w:rFonts w:ascii="Arial" w:hAnsi="Arial" w:cs="Arial"/>
          <w:spacing w:val="-2"/>
          <w:sz w:val="20"/>
          <w:szCs w:val="20"/>
        </w:rPr>
        <w:t xml:space="preserve"> </w:t>
      </w:r>
      <w:r w:rsidRPr="00E50667">
        <w:rPr>
          <w:rFonts w:ascii="Arial" w:hAnsi="Arial" w:cs="Arial"/>
          <w:sz w:val="20"/>
          <w:szCs w:val="20"/>
        </w:rPr>
        <w:t>shall be</w:t>
      </w:r>
      <w:r w:rsidRPr="00E50667">
        <w:rPr>
          <w:rFonts w:ascii="Arial" w:hAnsi="Arial" w:cs="Arial"/>
          <w:spacing w:val="1"/>
          <w:sz w:val="20"/>
          <w:szCs w:val="20"/>
        </w:rPr>
        <w:t xml:space="preserve"> </w:t>
      </w:r>
      <w:r w:rsidRPr="00E50667">
        <w:rPr>
          <w:rFonts w:ascii="Arial" w:hAnsi="Arial" w:cs="Arial"/>
          <w:sz w:val="20"/>
          <w:szCs w:val="20"/>
        </w:rPr>
        <w:t>applied.</w:t>
      </w:r>
    </w:p>
    <w:p w14:paraId="44BE3B13" w14:textId="77777777" w:rsidR="00E50667" w:rsidRPr="00E50667" w:rsidRDefault="00E50667" w:rsidP="0079393D">
      <w:pPr>
        <w:pStyle w:val="ListParagraph"/>
        <w:numPr>
          <w:ilvl w:val="1"/>
          <w:numId w:val="171"/>
        </w:numPr>
        <w:tabs>
          <w:tab w:val="left" w:pos="1274"/>
        </w:tabs>
        <w:spacing w:before="119"/>
        <w:ind w:right="193"/>
        <w:jc w:val="both"/>
        <w:rPr>
          <w:rFonts w:ascii="Arial" w:hAnsi="Arial" w:cs="Arial"/>
          <w:sz w:val="20"/>
          <w:szCs w:val="20"/>
        </w:rPr>
      </w:pPr>
      <w:r w:rsidRPr="00E50667">
        <w:rPr>
          <w:rFonts w:ascii="Arial" w:hAnsi="Arial" w:cs="Arial"/>
          <w:sz w:val="20"/>
          <w:szCs w:val="20"/>
        </w:rPr>
        <w:t>Unless otherwise specified in this Annex, an applicant is considered to have successfully</w:t>
      </w:r>
      <w:r w:rsidRPr="00E50667">
        <w:rPr>
          <w:rFonts w:ascii="Arial" w:hAnsi="Arial" w:cs="Arial"/>
          <w:spacing w:val="1"/>
          <w:sz w:val="20"/>
          <w:szCs w:val="20"/>
        </w:rPr>
        <w:t xml:space="preserve"> </w:t>
      </w:r>
      <w:r w:rsidRPr="00E50667">
        <w:rPr>
          <w:rFonts w:ascii="Arial" w:hAnsi="Arial" w:cs="Arial"/>
          <w:sz w:val="20"/>
          <w:szCs w:val="20"/>
        </w:rPr>
        <w:t>completed the required theoretical knowledge examination for the BPL if he or she has</w:t>
      </w:r>
      <w:r w:rsidRPr="00E50667">
        <w:rPr>
          <w:rFonts w:ascii="Arial" w:hAnsi="Arial" w:cs="Arial"/>
          <w:spacing w:val="1"/>
          <w:sz w:val="20"/>
          <w:szCs w:val="20"/>
        </w:rPr>
        <w:t xml:space="preserve"> </w:t>
      </w:r>
      <w:r w:rsidRPr="00E50667">
        <w:rPr>
          <w:rFonts w:ascii="Arial" w:hAnsi="Arial" w:cs="Arial"/>
          <w:sz w:val="20"/>
          <w:szCs w:val="20"/>
        </w:rPr>
        <w:t>passed</w:t>
      </w:r>
      <w:r w:rsidRPr="00E50667">
        <w:rPr>
          <w:rFonts w:ascii="Arial" w:hAnsi="Arial" w:cs="Arial"/>
          <w:spacing w:val="31"/>
          <w:sz w:val="20"/>
          <w:szCs w:val="20"/>
        </w:rPr>
        <w:t xml:space="preserve"> </w:t>
      </w:r>
      <w:r w:rsidRPr="00E50667">
        <w:rPr>
          <w:rFonts w:ascii="Arial" w:hAnsi="Arial" w:cs="Arial"/>
          <w:sz w:val="20"/>
          <w:szCs w:val="20"/>
        </w:rPr>
        <w:t>all</w:t>
      </w:r>
      <w:r w:rsidRPr="00E50667">
        <w:rPr>
          <w:rFonts w:ascii="Arial" w:hAnsi="Arial" w:cs="Arial"/>
          <w:spacing w:val="31"/>
          <w:sz w:val="20"/>
          <w:szCs w:val="20"/>
        </w:rPr>
        <w:t xml:space="preserve"> </w:t>
      </w:r>
      <w:r w:rsidRPr="00E50667">
        <w:rPr>
          <w:rFonts w:ascii="Arial" w:hAnsi="Arial" w:cs="Arial"/>
          <w:sz w:val="20"/>
          <w:szCs w:val="20"/>
        </w:rPr>
        <w:t>the</w:t>
      </w:r>
      <w:r w:rsidRPr="00E50667">
        <w:rPr>
          <w:rFonts w:ascii="Arial" w:hAnsi="Arial" w:cs="Arial"/>
          <w:spacing w:val="30"/>
          <w:sz w:val="20"/>
          <w:szCs w:val="20"/>
        </w:rPr>
        <w:t xml:space="preserve"> </w:t>
      </w:r>
      <w:r w:rsidRPr="00E50667">
        <w:rPr>
          <w:rFonts w:ascii="Arial" w:hAnsi="Arial" w:cs="Arial"/>
          <w:sz w:val="20"/>
          <w:szCs w:val="20"/>
        </w:rPr>
        <w:t>required</w:t>
      </w:r>
      <w:r w:rsidRPr="00E50667">
        <w:rPr>
          <w:rFonts w:ascii="Arial" w:hAnsi="Arial" w:cs="Arial"/>
          <w:spacing w:val="28"/>
          <w:sz w:val="20"/>
          <w:szCs w:val="20"/>
        </w:rPr>
        <w:t xml:space="preserve"> </w:t>
      </w:r>
      <w:r w:rsidRPr="00E50667">
        <w:rPr>
          <w:rFonts w:ascii="Arial" w:hAnsi="Arial" w:cs="Arial"/>
          <w:sz w:val="20"/>
          <w:szCs w:val="20"/>
        </w:rPr>
        <w:t>theoretical</w:t>
      </w:r>
      <w:r w:rsidRPr="00E50667">
        <w:rPr>
          <w:rFonts w:ascii="Arial" w:hAnsi="Arial" w:cs="Arial"/>
          <w:spacing w:val="29"/>
          <w:sz w:val="20"/>
          <w:szCs w:val="20"/>
        </w:rPr>
        <w:t xml:space="preserve"> </w:t>
      </w:r>
      <w:r w:rsidRPr="00E50667">
        <w:rPr>
          <w:rFonts w:ascii="Arial" w:hAnsi="Arial" w:cs="Arial"/>
          <w:sz w:val="20"/>
          <w:szCs w:val="20"/>
        </w:rPr>
        <w:t>knowledge</w:t>
      </w:r>
      <w:r w:rsidRPr="00E50667">
        <w:rPr>
          <w:rFonts w:ascii="Arial" w:hAnsi="Arial" w:cs="Arial"/>
          <w:spacing w:val="31"/>
          <w:sz w:val="20"/>
          <w:szCs w:val="20"/>
        </w:rPr>
        <w:t xml:space="preserve"> </w:t>
      </w:r>
      <w:r w:rsidRPr="00E50667">
        <w:rPr>
          <w:rFonts w:ascii="Arial" w:hAnsi="Arial" w:cs="Arial"/>
          <w:sz w:val="20"/>
          <w:szCs w:val="20"/>
        </w:rPr>
        <w:t>examination</w:t>
      </w:r>
      <w:r w:rsidRPr="00E50667">
        <w:rPr>
          <w:rFonts w:ascii="Arial" w:hAnsi="Arial" w:cs="Arial"/>
          <w:spacing w:val="31"/>
          <w:sz w:val="20"/>
          <w:szCs w:val="20"/>
        </w:rPr>
        <w:t xml:space="preserve"> </w:t>
      </w:r>
      <w:r w:rsidRPr="00E50667">
        <w:rPr>
          <w:rFonts w:ascii="Arial" w:hAnsi="Arial" w:cs="Arial"/>
          <w:sz w:val="20"/>
          <w:szCs w:val="20"/>
        </w:rPr>
        <w:t>papers</w:t>
      </w:r>
      <w:r w:rsidRPr="00E50667">
        <w:rPr>
          <w:rFonts w:ascii="Arial" w:hAnsi="Arial" w:cs="Arial"/>
          <w:spacing w:val="30"/>
          <w:sz w:val="20"/>
          <w:szCs w:val="20"/>
        </w:rPr>
        <w:t xml:space="preserve"> </w:t>
      </w:r>
      <w:r w:rsidRPr="00E50667">
        <w:rPr>
          <w:rFonts w:ascii="Arial" w:hAnsi="Arial" w:cs="Arial"/>
          <w:sz w:val="20"/>
          <w:szCs w:val="20"/>
        </w:rPr>
        <w:t>within</w:t>
      </w:r>
      <w:r w:rsidRPr="00E50667">
        <w:rPr>
          <w:rFonts w:ascii="Arial" w:hAnsi="Arial" w:cs="Arial"/>
          <w:spacing w:val="30"/>
          <w:sz w:val="20"/>
          <w:szCs w:val="20"/>
        </w:rPr>
        <w:t xml:space="preserve"> </w:t>
      </w:r>
      <w:r w:rsidRPr="00E50667">
        <w:rPr>
          <w:rFonts w:ascii="Arial" w:hAnsi="Arial" w:cs="Arial"/>
          <w:sz w:val="20"/>
          <w:szCs w:val="20"/>
        </w:rPr>
        <w:t>a</w:t>
      </w:r>
      <w:r w:rsidRPr="00E50667">
        <w:rPr>
          <w:rFonts w:ascii="Arial" w:hAnsi="Arial" w:cs="Arial"/>
          <w:spacing w:val="32"/>
          <w:sz w:val="20"/>
          <w:szCs w:val="20"/>
        </w:rPr>
        <w:t xml:space="preserve"> </w:t>
      </w:r>
      <w:r w:rsidRPr="00E50667">
        <w:rPr>
          <w:rFonts w:ascii="Arial" w:hAnsi="Arial" w:cs="Arial"/>
          <w:sz w:val="20"/>
          <w:szCs w:val="20"/>
        </w:rPr>
        <w:t>period</w:t>
      </w:r>
      <w:r w:rsidRPr="00E50667">
        <w:rPr>
          <w:rFonts w:ascii="Arial" w:hAnsi="Arial" w:cs="Arial"/>
          <w:spacing w:val="31"/>
          <w:sz w:val="20"/>
          <w:szCs w:val="20"/>
        </w:rPr>
        <w:t xml:space="preserve"> </w:t>
      </w:r>
      <w:r w:rsidRPr="00E50667">
        <w:rPr>
          <w:rFonts w:ascii="Arial" w:hAnsi="Arial" w:cs="Arial"/>
          <w:sz w:val="20"/>
          <w:szCs w:val="20"/>
        </w:rPr>
        <w:t>of</w:t>
      </w:r>
      <w:r w:rsidRPr="00E50667">
        <w:rPr>
          <w:rFonts w:ascii="Arial" w:hAnsi="Arial" w:cs="Arial"/>
          <w:spacing w:val="-47"/>
          <w:sz w:val="20"/>
          <w:szCs w:val="20"/>
        </w:rPr>
        <w:t xml:space="preserve"> </w:t>
      </w:r>
      <w:r w:rsidRPr="00E50667">
        <w:rPr>
          <w:rFonts w:ascii="Arial" w:hAnsi="Arial" w:cs="Arial"/>
          <w:sz w:val="20"/>
          <w:szCs w:val="20"/>
        </w:rPr>
        <w:t>18 months</w:t>
      </w:r>
      <w:r w:rsidRPr="00E50667">
        <w:rPr>
          <w:rFonts w:ascii="Arial" w:hAnsi="Arial" w:cs="Arial"/>
          <w:spacing w:val="1"/>
          <w:sz w:val="20"/>
          <w:szCs w:val="20"/>
        </w:rPr>
        <w:t xml:space="preserve"> </w:t>
      </w:r>
      <w:r w:rsidRPr="00E50667">
        <w:rPr>
          <w:rFonts w:ascii="Arial" w:hAnsi="Arial" w:cs="Arial"/>
          <w:sz w:val="20"/>
          <w:szCs w:val="20"/>
        </w:rPr>
        <w:t>counted</w:t>
      </w:r>
      <w:r w:rsidRPr="00E50667">
        <w:rPr>
          <w:rFonts w:ascii="Arial" w:hAnsi="Arial" w:cs="Arial"/>
          <w:spacing w:val="1"/>
          <w:sz w:val="20"/>
          <w:szCs w:val="20"/>
        </w:rPr>
        <w:t xml:space="preserve"> </w:t>
      </w:r>
      <w:r w:rsidRPr="00E50667">
        <w:rPr>
          <w:rFonts w:ascii="Arial" w:hAnsi="Arial" w:cs="Arial"/>
          <w:sz w:val="20"/>
          <w:szCs w:val="20"/>
        </w:rPr>
        <w:t>from</w:t>
      </w:r>
      <w:r w:rsidRPr="00E50667">
        <w:rPr>
          <w:rFonts w:ascii="Arial" w:hAnsi="Arial" w:cs="Arial"/>
          <w:spacing w:val="1"/>
          <w:sz w:val="20"/>
          <w:szCs w:val="20"/>
        </w:rPr>
        <w:t xml:space="preserve"> </w:t>
      </w:r>
      <w:r w:rsidRPr="00E50667">
        <w:rPr>
          <w:rFonts w:ascii="Arial" w:hAnsi="Arial" w:cs="Arial"/>
          <w:sz w:val="20"/>
          <w:szCs w:val="20"/>
        </w:rPr>
        <w:t>the</w:t>
      </w:r>
      <w:r w:rsidRPr="00E50667">
        <w:rPr>
          <w:rFonts w:ascii="Arial" w:hAnsi="Arial" w:cs="Arial"/>
          <w:spacing w:val="1"/>
          <w:sz w:val="20"/>
          <w:szCs w:val="20"/>
        </w:rPr>
        <w:t xml:space="preserve"> </w:t>
      </w:r>
      <w:r w:rsidRPr="00E50667">
        <w:rPr>
          <w:rFonts w:ascii="Arial" w:hAnsi="Arial" w:cs="Arial"/>
          <w:sz w:val="20"/>
          <w:szCs w:val="20"/>
        </w:rPr>
        <w:t>end</w:t>
      </w:r>
      <w:r w:rsidRPr="00E50667">
        <w:rPr>
          <w:rFonts w:ascii="Arial" w:hAnsi="Arial" w:cs="Arial"/>
          <w:spacing w:val="1"/>
          <w:sz w:val="20"/>
          <w:szCs w:val="20"/>
        </w:rPr>
        <w:t xml:space="preserve"> </w:t>
      </w:r>
      <w:r w:rsidRPr="00E50667">
        <w:rPr>
          <w:rFonts w:ascii="Arial" w:hAnsi="Arial" w:cs="Arial"/>
          <w:sz w:val="20"/>
          <w:szCs w:val="20"/>
        </w:rPr>
        <w:t>of</w:t>
      </w:r>
      <w:r w:rsidRPr="00E50667">
        <w:rPr>
          <w:rFonts w:ascii="Arial" w:hAnsi="Arial" w:cs="Arial"/>
          <w:spacing w:val="1"/>
          <w:sz w:val="20"/>
          <w:szCs w:val="20"/>
        </w:rPr>
        <w:t xml:space="preserve"> </w:t>
      </w:r>
      <w:r w:rsidRPr="00E50667">
        <w:rPr>
          <w:rFonts w:ascii="Arial" w:hAnsi="Arial" w:cs="Arial"/>
          <w:sz w:val="20"/>
          <w:szCs w:val="20"/>
        </w:rPr>
        <w:t>the</w:t>
      </w:r>
      <w:r w:rsidRPr="00E50667">
        <w:rPr>
          <w:rFonts w:ascii="Arial" w:hAnsi="Arial" w:cs="Arial"/>
          <w:spacing w:val="1"/>
          <w:sz w:val="20"/>
          <w:szCs w:val="20"/>
        </w:rPr>
        <w:t xml:space="preserve"> </w:t>
      </w:r>
      <w:r w:rsidRPr="00E50667">
        <w:rPr>
          <w:rFonts w:ascii="Arial" w:hAnsi="Arial" w:cs="Arial"/>
          <w:sz w:val="20"/>
          <w:szCs w:val="20"/>
        </w:rPr>
        <w:t>calendar</w:t>
      </w:r>
      <w:r w:rsidRPr="00E50667">
        <w:rPr>
          <w:rFonts w:ascii="Arial" w:hAnsi="Arial" w:cs="Arial"/>
          <w:spacing w:val="1"/>
          <w:sz w:val="20"/>
          <w:szCs w:val="20"/>
        </w:rPr>
        <w:t xml:space="preserve"> </w:t>
      </w:r>
      <w:r w:rsidRPr="00E50667">
        <w:rPr>
          <w:rFonts w:ascii="Arial" w:hAnsi="Arial" w:cs="Arial"/>
          <w:sz w:val="20"/>
          <w:szCs w:val="20"/>
        </w:rPr>
        <w:t>month</w:t>
      </w:r>
      <w:r w:rsidRPr="00E50667">
        <w:rPr>
          <w:rFonts w:ascii="Arial" w:hAnsi="Arial" w:cs="Arial"/>
          <w:spacing w:val="1"/>
          <w:sz w:val="20"/>
          <w:szCs w:val="20"/>
        </w:rPr>
        <w:t xml:space="preserve"> </w:t>
      </w:r>
      <w:r w:rsidRPr="00E50667">
        <w:rPr>
          <w:rFonts w:ascii="Arial" w:hAnsi="Arial" w:cs="Arial"/>
          <w:sz w:val="20"/>
          <w:szCs w:val="20"/>
        </w:rPr>
        <w:t>when</w:t>
      </w:r>
      <w:r w:rsidRPr="00E50667">
        <w:rPr>
          <w:rFonts w:ascii="Arial" w:hAnsi="Arial" w:cs="Arial"/>
          <w:spacing w:val="1"/>
          <w:sz w:val="20"/>
          <w:szCs w:val="20"/>
        </w:rPr>
        <w:t xml:space="preserve"> </w:t>
      </w:r>
      <w:r w:rsidRPr="00E50667">
        <w:rPr>
          <w:rFonts w:ascii="Arial" w:hAnsi="Arial" w:cs="Arial"/>
          <w:sz w:val="20"/>
          <w:szCs w:val="20"/>
        </w:rPr>
        <w:t>the</w:t>
      </w:r>
      <w:r w:rsidRPr="00E50667">
        <w:rPr>
          <w:rFonts w:ascii="Arial" w:hAnsi="Arial" w:cs="Arial"/>
          <w:spacing w:val="1"/>
          <w:sz w:val="20"/>
          <w:szCs w:val="20"/>
        </w:rPr>
        <w:t xml:space="preserve"> </w:t>
      </w:r>
      <w:r w:rsidRPr="00E50667">
        <w:rPr>
          <w:rFonts w:ascii="Arial" w:hAnsi="Arial" w:cs="Arial"/>
          <w:sz w:val="20"/>
          <w:szCs w:val="20"/>
        </w:rPr>
        <w:t>applicant</w:t>
      </w:r>
      <w:r w:rsidRPr="00E50667">
        <w:rPr>
          <w:rFonts w:ascii="Arial" w:hAnsi="Arial" w:cs="Arial"/>
          <w:spacing w:val="1"/>
          <w:sz w:val="20"/>
          <w:szCs w:val="20"/>
        </w:rPr>
        <w:t xml:space="preserve"> </w:t>
      </w:r>
      <w:r w:rsidRPr="00E50667">
        <w:rPr>
          <w:rFonts w:ascii="Arial" w:hAnsi="Arial" w:cs="Arial"/>
          <w:sz w:val="20"/>
          <w:szCs w:val="20"/>
        </w:rPr>
        <w:t>first</w:t>
      </w:r>
      <w:r w:rsidRPr="00E50667">
        <w:rPr>
          <w:rFonts w:ascii="Arial" w:hAnsi="Arial" w:cs="Arial"/>
          <w:spacing w:val="1"/>
          <w:sz w:val="20"/>
          <w:szCs w:val="20"/>
        </w:rPr>
        <w:t xml:space="preserve"> </w:t>
      </w:r>
      <w:r w:rsidRPr="00E50667">
        <w:rPr>
          <w:rFonts w:ascii="Arial" w:hAnsi="Arial" w:cs="Arial"/>
          <w:sz w:val="20"/>
          <w:szCs w:val="20"/>
        </w:rPr>
        <w:t>attempted</w:t>
      </w:r>
      <w:r w:rsidRPr="00E50667">
        <w:rPr>
          <w:rFonts w:ascii="Arial" w:hAnsi="Arial" w:cs="Arial"/>
          <w:spacing w:val="-4"/>
          <w:sz w:val="20"/>
          <w:szCs w:val="20"/>
        </w:rPr>
        <w:t xml:space="preserve"> </w:t>
      </w:r>
      <w:r w:rsidRPr="00E50667">
        <w:rPr>
          <w:rFonts w:ascii="Arial" w:hAnsi="Arial" w:cs="Arial"/>
          <w:sz w:val="20"/>
          <w:szCs w:val="20"/>
        </w:rPr>
        <w:t>to</w:t>
      </w:r>
      <w:r w:rsidRPr="00E50667">
        <w:rPr>
          <w:rFonts w:ascii="Arial" w:hAnsi="Arial" w:cs="Arial"/>
          <w:spacing w:val="-1"/>
          <w:sz w:val="20"/>
          <w:szCs w:val="20"/>
        </w:rPr>
        <w:t xml:space="preserve"> </w:t>
      </w:r>
      <w:r w:rsidRPr="00E50667">
        <w:rPr>
          <w:rFonts w:ascii="Arial" w:hAnsi="Arial" w:cs="Arial"/>
          <w:sz w:val="20"/>
          <w:szCs w:val="20"/>
        </w:rPr>
        <w:t>take</w:t>
      </w:r>
      <w:r w:rsidRPr="00E50667">
        <w:rPr>
          <w:rFonts w:ascii="Arial" w:hAnsi="Arial" w:cs="Arial"/>
          <w:spacing w:val="1"/>
          <w:sz w:val="20"/>
          <w:szCs w:val="20"/>
        </w:rPr>
        <w:t xml:space="preserve"> </w:t>
      </w:r>
      <w:r w:rsidRPr="00E50667">
        <w:rPr>
          <w:rFonts w:ascii="Arial" w:hAnsi="Arial" w:cs="Arial"/>
          <w:sz w:val="20"/>
          <w:szCs w:val="20"/>
        </w:rPr>
        <w:t>the</w:t>
      </w:r>
      <w:r w:rsidRPr="00E50667">
        <w:rPr>
          <w:rFonts w:ascii="Arial" w:hAnsi="Arial" w:cs="Arial"/>
          <w:spacing w:val="1"/>
          <w:sz w:val="20"/>
          <w:szCs w:val="20"/>
        </w:rPr>
        <w:t xml:space="preserve"> </w:t>
      </w:r>
      <w:r w:rsidRPr="00E50667">
        <w:rPr>
          <w:rFonts w:ascii="Arial" w:hAnsi="Arial" w:cs="Arial"/>
          <w:sz w:val="20"/>
          <w:szCs w:val="20"/>
        </w:rPr>
        <w:t>examination.</w:t>
      </w:r>
    </w:p>
    <w:p w14:paraId="50ED323A" w14:textId="77777777" w:rsidR="00E50667" w:rsidRPr="00E50667" w:rsidRDefault="00E50667" w:rsidP="0079393D">
      <w:pPr>
        <w:pStyle w:val="ListParagraph"/>
        <w:numPr>
          <w:ilvl w:val="1"/>
          <w:numId w:val="171"/>
        </w:numPr>
        <w:tabs>
          <w:tab w:val="left" w:pos="1274"/>
        </w:tabs>
        <w:spacing w:before="122"/>
        <w:ind w:right="198"/>
        <w:jc w:val="both"/>
        <w:rPr>
          <w:rFonts w:ascii="Arial" w:hAnsi="Arial" w:cs="Arial"/>
          <w:sz w:val="20"/>
          <w:szCs w:val="20"/>
        </w:rPr>
      </w:pPr>
      <w:r w:rsidRPr="00E50667">
        <w:rPr>
          <w:rFonts w:ascii="Arial" w:hAnsi="Arial" w:cs="Arial"/>
          <w:sz w:val="20"/>
          <w:szCs w:val="20"/>
        </w:rPr>
        <w:t>If an applicant has failed to pass one of the theoretical knowledge examination papers</w:t>
      </w:r>
      <w:r w:rsidRPr="00E50667">
        <w:rPr>
          <w:rFonts w:ascii="Arial" w:hAnsi="Arial" w:cs="Arial"/>
          <w:spacing w:val="1"/>
          <w:sz w:val="20"/>
          <w:szCs w:val="20"/>
        </w:rPr>
        <w:t xml:space="preserve"> </w:t>
      </w:r>
      <w:r w:rsidRPr="00E50667">
        <w:rPr>
          <w:rFonts w:ascii="Arial" w:hAnsi="Arial" w:cs="Arial"/>
          <w:sz w:val="20"/>
          <w:szCs w:val="20"/>
        </w:rPr>
        <w:t>within four attempts or has failed to pass all papers within the period mentioned in</w:t>
      </w:r>
      <w:r w:rsidRPr="00E50667">
        <w:rPr>
          <w:rFonts w:ascii="Arial" w:hAnsi="Arial" w:cs="Arial"/>
          <w:spacing w:val="1"/>
          <w:sz w:val="20"/>
          <w:szCs w:val="20"/>
        </w:rPr>
        <w:t xml:space="preserve"> </w:t>
      </w:r>
      <w:r w:rsidRPr="00E50667">
        <w:rPr>
          <w:rFonts w:ascii="Arial" w:hAnsi="Arial" w:cs="Arial"/>
          <w:sz w:val="20"/>
          <w:szCs w:val="20"/>
        </w:rPr>
        <w:t>paragraph</w:t>
      </w:r>
      <w:r w:rsidRPr="00E50667">
        <w:rPr>
          <w:rFonts w:ascii="Arial" w:hAnsi="Arial" w:cs="Arial"/>
          <w:spacing w:val="1"/>
          <w:sz w:val="20"/>
          <w:szCs w:val="20"/>
        </w:rPr>
        <w:t xml:space="preserve"> </w:t>
      </w:r>
      <w:r w:rsidRPr="00E50667">
        <w:rPr>
          <w:rFonts w:ascii="Arial" w:hAnsi="Arial" w:cs="Arial"/>
          <w:sz w:val="20"/>
          <w:szCs w:val="20"/>
        </w:rPr>
        <w:t>(2),</w:t>
      </w:r>
      <w:r w:rsidRPr="00E50667">
        <w:rPr>
          <w:rFonts w:ascii="Arial" w:hAnsi="Arial" w:cs="Arial"/>
          <w:spacing w:val="1"/>
          <w:sz w:val="20"/>
          <w:szCs w:val="20"/>
        </w:rPr>
        <w:t xml:space="preserve"> </w:t>
      </w:r>
      <w:r w:rsidRPr="00E50667">
        <w:rPr>
          <w:rFonts w:ascii="Arial" w:hAnsi="Arial" w:cs="Arial"/>
          <w:sz w:val="20"/>
          <w:szCs w:val="20"/>
        </w:rPr>
        <w:t>he</w:t>
      </w:r>
      <w:r w:rsidRPr="00E50667">
        <w:rPr>
          <w:rFonts w:ascii="Arial" w:hAnsi="Arial" w:cs="Arial"/>
          <w:spacing w:val="1"/>
          <w:sz w:val="20"/>
          <w:szCs w:val="20"/>
        </w:rPr>
        <w:t xml:space="preserve"> </w:t>
      </w:r>
      <w:r w:rsidRPr="00E50667">
        <w:rPr>
          <w:rFonts w:ascii="Arial" w:hAnsi="Arial" w:cs="Arial"/>
          <w:sz w:val="20"/>
          <w:szCs w:val="20"/>
        </w:rPr>
        <w:t>or</w:t>
      </w:r>
      <w:r w:rsidRPr="00E50667">
        <w:rPr>
          <w:rFonts w:ascii="Arial" w:hAnsi="Arial" w:cs="Arial"/>
          <w:spacing w:val="1"/>
          <w:sz w:val="20"/>
          <w:szCs w:val="20"/>
        </w:rPr>
        <w:t xml:space="preserve"> </w:t>
      </w:r>
      <w:r w:rsidRPr="00E50667">
        <w:rPr>
          <w:rFonts w:ascii="Arial" w:hAnsi="Arial" w:cs="Arial"/>
          <w:sz w:val="20"/>
          <w:szCs w:val="20"/>
        </w:rPr>
        <w:t>she</w:t>
      </w:r>
      <w:r w:rsidRPr="00E50667">
        <w:rPr>
          <w:rFonts w:ascii="Arial" w:hAnsi="Arial" w:cs="Arial"/>
          <w:spacing w:val="1"/>
          <w:sz w:val="20"/>
          <w:szCs w:val="20"/>
        </w:rPr>
        <w:t xml:space="preserve"> </w:t>
      </w:r>
      <w:r w:rsidRPr="00E50667">
        <w:rPr>
          <w:rFonts w:ascii="Arial" w:hAnsi="Arial" w:cs="Arial"/>
          <w:sz w:val="20"/>
          <w:szCs w:val="20"/>
        </w:rPr>
        <w:t>shall</w:t>
      </w:r>
      <w:r w:rsidRPr="00E50667">
        <w:rPr>
          <w:rFonts w:ascii="Arial" w:hAnsi="Arial" w:cs="Arial"/>
          <w:spacing w:val="1"/>
          <w:sz w:val="20"/>
          <w:szCs w:val="20"/>
        </w:rPr>
        <w:t xml:space="preserve"> </w:t>
      </w:r>
      <w:r w:rsidRPr="00E50667">
        <w:rPr>
          <w:rFonts w:ascii="Arial" w:hAnsi="Arial" w:cs="Arial"/>
          <w:sz w:val="20"/>
          <w:szCs w:val="20"/>
        </w:rPr>
        <w:t>retake</w:t>
      </w:r>
      <w:r w:rsidRPr="00E50667">
        <w:rPr>
          <w:rFonts w:ascii="Arial" w:hAnsi="Arial" w:cs="Arial"/>
          <w:spacing w:val="1"/>
          <w:sz w:val="20"/>
          <w:szCs w:val="20"/>
        </w:rPr>
        <w:t xml:space="preserve"> </w:t>
      </w:r>
      <w:r w:rsidRPr="00E50667">
        <w:rPr>
          <w:rFonts w:ascii="Arial" w:hAnsi="Arial" w:cs="Arial"/>
          <w:sz w:val="20"/>
          <w:szCs w:val="20"/>
        </w:rPr>
        <w:t>the</w:t>
      </w:r>
      <w:r w:rsidRPr="00E50667">
        <w:rPr>
          <w:rFonts w:ascii="Arial" w:hAnsi="Arial" w:cs="Arial"/>
          <w:spacing w:val="1"/>
          <w:sz w:val="20"/>
          <w:szCs w:val="20"/>
        </w:rPr>
        <w:t xml:space="preserve"> </w:t>
      </w:r>
      <w:r w:rsidRPr="00E50667">
        <w:rPr>
          <w:rFonts w:ascii="Arial" w:hAnsi="Arial" w:cs="Arial"/>
          <w:sz w:val="20"/>
          <w:szCs w:val="20"/>
        </w:rPr>
        <w:t>complete</w:t>
      </w:r>
      <w:r w:rsidRPr="00E50667">
        <w:rPr>
          <w:rFonts w:ascii="Arial" w:hAnsi="Arial" w:cs="Arial"/>
          <w:spacing w:val="1"/>
          <w:sz w:val="20"/>
          <w:szCs w:val="20"/>
        </w:rPr>
        <w:t xml:space="preserve"> </w:t>
      </w:r>
      <w:r w:rsidRPr="00E50667">
        <w:rPr>
          <w:rFonts w:ascii="Arial" w:hAnsi="Arial" w:cs="Arial"/>
          <w:sz w:val="20"/>
          <w:szCs w:val="20"/>
        </w:rPr>
        <w:t>set</w:t>
      </w:r>
      <w:r w:rsidRPr="00E50667">
        <w:rPr>
          <w:rFonts w:ascii="Arial" w:hAnsi="Arial" w:cs="Arial"/>
          <w:spacing w:val="1"/>
          <w:sz w:val="20"/>
          <w:szCs w:val="20"/>
        </w:rPr>
        <w:t xml:space="preserve"> </w:t>
      </w:r>
      <w:r w:rsidRPr="00E50667">
        <w:rPr>
          <w:rFonts w:ascii="Arial" w:hAnsi="Arial" w:cs="Arial"/>
          <w:sz w:val="20"/>
          <w:szCs w:val="20"/>
        </w:rPr>
        <w:t>of</w:t>
      </w:r>
      <w:r w:rsidRPr="00E50667">
        <w:rPr>
          <w:rFonts w:ascii="Arial" w:hAnsi="Arial" w:cs="Arial"/>
          <w:spacing w:val="1"/>
          <w:sz w:val="20"/>
          <w:szCs w:val="20"/>
        </w:rPr>
        <w:t xml:space="preserve"> </w:t>
      </w:r>
      <w:r w:rsidRPr="00E50667">
        <w:rPr>
          <w:rFonts w:ascii="Arial" w:hAnsi="Arial" w:cs="Arial"/>
          <w:sz w:val="20"/>
          <w:szCs w:val="20"/>
        </w:rPr>
        <w:t>theoretical</w:t>
      </w:r>
      <w:r w:rsidRPr="00E50667">
        <w:rPr>
          <w:rFonts w:ascii="Arial" w:hAnsi="Arial" w:cs="Arial"/>
          <w:spacing w:val="1"/>
          <w:sz w:val="20"/>
          <w:szCs w:val="20"/>
        </w:rPr>
        <w:t xml:space="preserve"> </w:t>
      </w:r>
      <w:r w:rsidRPr="00E50667">
        <w:rPr>
          <w:rFonts w:ascii="Arial" w:hAnsi="Arial" w:cs="Arial"/>
          <w:sz w:val="20"/>
          <w:szCs w:val="20"/>
        </w:rPr>
        <w:t>knowledge</w:t>
      </w:r>
      <w:r w:rsidRPr="00E50667">
        <w:rPr>
          <w:rFonts w:ascii="Arial" w:hAnsi="Arial" w:cs="Arial"/>
          <w:spacing w:val="1"/>
          <w:sz w:val="20"/>
          <w:szCs w:val="20"/>
        </w:rPr>
        <w:t xml:space="preserve"> </w:t>
      </w:r>
      <w:r w:rsidRPr="00E50667">
        <w:rPr>
          <w:rFonts w:ascii="Arial" w:hAnsi="Arial" w:cs="Arial"/>
          <w:sz w:val="20"/>
          <w:szCs w:val="20"/>
        </w:rPr>
        <w:t>examination</w:t>
      </w:r>
      <w:r w:rsidRPr="00E50667">
        <w:rPr>
          <w:rFonts w:ascii="Arial" w:hAnsi="Arial" w:cs="Arial"/>
          <w:spacing w:val="-2"/>
          <w:sz w:val="20"/>
          <w:szCs w:val="20"/>
        </w:rPr>
        <w:t xml:space="preserve"> </w:t>
      </w:r>
      <w:r w:rsidRPr="00E50667">
        <w:rPr>
          <w:rFonts w:ascii="Arial" w:hAnsi="Arial" w:cs="Arial"/>
          <w:sz w:val="20"/>
          <w:szCs w:val="20"/>
        </w:rPr>
        <w:t>papers.</w:t>
      </w:r>
    </w:p>
    <w:p w14:paraId="36ACAB3F" w14:textId="77777777" w:rsidR="00E50667" w:rsidRPr="00E50667" w:rsidRDefault="00E50667" w:rsidP="0079393D">
      <w:pPr>
        <w:pStyle w:val="ListParagraph"/>
        <w:numPr>
          <w:ilvl w:val="1"/>
          <w:numId w:val="171"/>
        </w:numPr>
        <w:tabs>
          <w:tab w:val="left" w:pos="1274"/>
        </w:tabs>
        <w:spacing w:before="118"/>
        <w:ind w:right="194"/>
        <w:jc w:val="both"/>
        <w:rPr>
          <w:rFonts w:ascii="Arial" w:hAnsi="Arial" w:cs="Arial"/>
          <w:sz w:val="20"/>
          <w:szCs w:val="20"/>
        </w:rPr>
      </w:pPr>
      <w:r w:rsidRPr="00E50667">
        <w:rPr>
          <w:rFonts w:ascii="Arial" w:hAnsi="Arial" w:cs="Arial"/>
          <w:sz w:val="20"/>
          <w:szCs w:val="20"/>
        </w:rPr>
        <w:t>Before retaking the theoretical knowledge examinations, the applicant shall undertake</w:t>
      </w:r>
      <w:r w:rsidRPr="00E50667">
        <w:rPr>
          <w:rFonts w:ascii="Arial" w:hAnsi="Arial" w:cs="Arial"/>
          <w:spacing w:val="1"/>
          <w:sz w:val="20"/>
          <w:szCs w:val="20"/>
        </w:rPr>
        <w:t xml:space="preserve"> </w:t>
      </w:r>
      <w:r w:rsidRPr="00E50667">
        <w:rPr>
          <w:rFonts w:ascii="Arial" w:hAnsi="Arial" w:cs="Arial"/>
          <w:sz w:val="20"/>
          <w:szCs w:val="20"/>
        </w:rPr>
        <w:t>further training at an ATO or a DTO. The ATO or the DTO shall determine the extent and</w:t>
      </w:r>
      <w:r w:rsidRPr="00E50667">
        <w:rPr>
          <w:rFonts w:ascii="Arial" w:hAnsi="Arial" w:cs="Arial"/>
          <w:spacing w:val="1"/>
          <w:sz w:val="20"/>
          <w:szCs w:val="20"/>
        </w:rPr>
        <w:t xml:space="preserve"> </w:t>
      </w:r>
      <w:r w:rsidRPr="00E50667">
        <w:rPr>
          <w:rFonts w:ascii="Arial" w:hAnsi="Arial" w:cs="Arial"/>
          <w:sz w:val="20"/>
          <w:szCs w:val="20"/>
        </w:rPr>
        <w:t>scope</w:t>
      </w:r>
      <w:r w:rsidRPr="00E50667">
        <w:rPr>
          <w:rFonts w:ascii="Arial" w:hAnsi="Arial" w:cs="Arial"/>
          <w:spacing w:val="-3"/>
          <w:sz w:val="20"/>
          <w:szCs w:val="20"/>
        </w:rPr>
        <w:t xml:space="preserve"> </w:t>
      </w:r>
      <w:r w:rsidRPr="00E50667">
        <w:rPr>
          <w:rFonts w:ascii="Arial" w:hAnsi="Arial" w:cs="Arial"/>
          <w:sz w:val="20"/>
          <w:szCs w:val="20"/>
        </w:rPr>
        <w:t>of</w:t>
      </w:r>
      <w:r w:rsidRPr="00E50667">
        <w:rPr>
          <w:rFonts w:ascii="Arial" w:hAnsi="Arial" w:cs="Arial"/>
          <w:spacing w:val="-2"/>
          <w:sz w:val="20"/>
          <w:szCs w:val="20"/>
        </w:rPr>
        <w:t xml:space="preserve"> </w:t>
      </w:r>
      <w:r w:rsidRPr="00E50667">
        <w:rPr>
          <w:rFonts w:ascii="Arial" w:hAnsi="Arial" w:cs="Arial"/>
          <w:sz w:val="20"/>
          <w:szCs w:val="20"/>
        </w:rPr>
        <w:t>the</w:t>
      </w:r>
      <w:r w:rsidRPr="00E50667">
        <w:rPr>
          <w:rFonts w:ascii="Arial" w:hAnsi="Arial" w:cs="Arial"/>
          <w:spacing w:val="-2"/>
          <w:sz w:val="20"/>
          <w:szCs w:val="20"/>
        </w:rPr>
        <w:t xml:space="preserve"> </w:t>
      </w:r>
      <w:r w:rsidRPr="00E50667">
        <w:rPr>
          <w:rFonts w:ascii="Arial" w:hAnsi="Arial" w:cs="Arial"/>
          <w:sz w:val="20"/>
          <w:szCs w:val="20"/>
        </w:rPr>
        <w:t>training, based</w:t>
      </w:r>
      <w:r w:rsidRPr="00E50667">
        <w:rPr>
          <w:rFonts w:ascii="Arial" w:hAnsi="Arial" w:cs="Arial"/>
          <w:spacing w:val="-1"/>
          <w:sz w:val="20"/>
          <w:szCs w:val="20"/>
        </w:rPr>
        <w:t xml:space="preserve"> </w:t>
      </w:r>
      <w:r w:rsidRPr="00E50667">
        <w:rPr>
          <w:rFonts w:ascii="Arial" w:hAnsi="Arial" w:cs="Arial"/>
          <w:sz w:val="20"/>
          <w:szCs w:val="20"/>
        </w:rPr>
        <w:t>on</w:t>
      </w:r>
      <w:r w:rsidRPr="00E50667">
        <w:rPr>
          <w:rFonts w:ascii="Arial" w:hAnsi="Arial" w:cs="Arial"/>
          <w:spacing w:val="-1"/>
          <w:sz w:val="20"/>
          <w:szCs w:val="20"/>
        </w:rPr>
        <w:t xml:space="preserve"> </w:t>
      </w:r>
      <w:r w:rsidRPr="00E50667">
        <w:rPr>
          <w:rFonts w:ascii="Arial" w:hAnsi="Arial" w:cs="Arial"/>
          <w:sz w:val="20"/>
          <w:szCs w:val="20"/>
        </w:rPr>
        <w:t>the</w:t>
      </w:r>
      <w:r w:rsidRPr="00E50667">
        <w:rPr>
          <w:rFonts w:ascii="Arial" w:hAnsi="Arial" w:cs="Arial"/>
          <w:spacing w:val="-2"/>
          <w:sz w:val="20"/>
          <w:szCs w:val="20"/>
        </w:rPr>
        <w:t xml:space="preserve"> </w:t>
      </w:r>
      <w:r w:rsidRPr="00E50667">
        <w:rPr>
          <w:rFonts w:ascii="Arial" w:hAnsi="Arial" w:cs="Arial"/>
          <w:sz w:val="20"/>
          <w:szCs w:val="20"/>
        </w:rPr>
        <w:t>needs</w:t>
      </w:r>
      <w:r w:rsidRPr="00E50667">
        <w:rPr>
          <w:rFonts w:ascii="Arial" w:hAnsi="Arial" w:cs="Arial"/>
          <w:spacing w:val="-3"/>
          <w:sz w:val="20"/>
          <w:szCs w:val="20"/>
        </w:rPr>
        <w:t xml:space="preserve"> </w:t>
      </w:r>
      <w:r w:rsidRPr="00E50667">
        <w:rPr>
          <w:rFonts w:ascii="Arial" w:hAnsi="Arial" w:cs="Arial"/>
          <w:sz w:val="20"/>
          <w:szCs w:val="20"/>
        </w:rPr>
        <w:t>of</w:t>
      </w:r>
      <w:r w:rsidRPr="00E50667">
        <w:rPr>
          <w:rFonts w:ascii="Arial" w:hAnsi="Arial" w:cs="Arial"/>
          <w:spacing w:val="-2"/>
          <w:sz w:val="20"/>
          <w:szCs w:val="20"/>
        </w:rPr>
        <w:t xml:space="preserve"> </w:t>
      </w:r>
      <w:r w:rsidRPr="00E50667">
        <w:rPr>
          <w:rFonts w:ascii="Arial" w:hAnsi="Arial" w:cs="Arial"/>
          <w:sz w:val="20"/>
          <w:szCs w:val="20"/>
        </w:rPr>
        <w:t>the applicant.</w:t>
      </w:r>
    </w:p>
    <w:p w14:paraId="19325101" w14:textId="77777777" w:rsidR="00E50667" w:rsidRPr="00E50667" w:rsidRDefault="00E50667" w:rsidP="0079393D">
      <w:pPr>
        <w:pStyle w:val="ListParagraph"/>
        <w:numPr>
          <w:ilvl w:val="0"/>
          <w:numId w:val="171"/>
        </w:numPr>
        <w:tabs>
          <w:tab w:val="left" w:pos="707"/>
        </w:tabs>
        <w:spacing w:before="121"/>
        <w:jc w:val="both"/>
        <w:rPr>
          <w:rFonts w:ascii="Arial" w:hAnsi="Arial" w:cs="Arial"/>
          <w:sz w:val="20"/>
          <w:szCs w:val="20"/>
        </w:rPr>
      </w:pPr>
      <w:r w:rsidRPr="00E50667">
        <w:rPr>
          <w:rFonts w:ascii="Arial" w:hAnsi="Arial" w:cs="Arial"/>
          <w:sz w:val="20"/>
          <w:szCs w:val="20"/>
        </w:rPr>
        <w:t>Validity</w:t>
      </w:r>
      <w:r w:rsidRPr="00E50667">
        <w:rPr>
          <w:rFonts w:ascii="Arial" w:hAnsi="Arial" w:cs="Arial"/>
          <w:spacing w:val="-2"/>
          <w:sz w:val="20"/>
          <w:szCs w:val="20"/>
        </w:rPr>
        <w:t xml:space="preserve"> </w:t>
      </w:r>
      <w:r w:rsidRPr="00E50667">
        <w:rPr>
          <w:rFonts w:ascii="Arial" w:hAnsi="Arial" w:cs="Arial"/>
          <w:sz w:val="20"/>
          <w:szCs w:val="20"/>
        </w:rPr>
        <w:t>period</w:t>
      </w:r>
    </w:p>
    <w:p w14:paraId="3A5A40EC" w14:textId="77777777" w:rsidR="00E50667" w:rsidRPr="00E50667" w:rsidRDefault="00E50667" w:rsidP="00E50667">
      <w:pPr>
        <w:pStyle w:val="BodyText"/>
        <w:ind w:left="706" w:right="194"/>
        <w:jc w:val="both"/>
        <w:rPr>
          <w:rFonts w:ascii="Arial" w:hAnsi="Arial" w:cs="Arial"/>
          <w:sz w:val="20"/>
          <w:szCs w:val="20"/>
        </w:rPr>
      </w:pPr>
      <w:r w:rsidRPr="00E50667">
        <w:rPr>
          <w:rFonts w:ascii="Arial" w:hAnsi="Arial" w:cs="Arial"/>
          <w:sz w:val="20"/>
          <w:szCs w:val="20"/>
        </w:rPr>
        <w:t>The theoretical knowledge examination shall be valid for a period of 24 months counted from</w:t>
      </w:r>
      <w:r w:rsidRPr="00E50667">
        <w:rPr>
          <w:rFonts w:ascii="Arial" w:hAnsi="Arial" w:cs="Arial"/>
          <w:spacing w:val="1"/>
          <w:sz w:val="20"/>
          <w:szCs w:val="20"/>
        </w:rPr>
        <w:t xml:space="preserve"> </w:t>
      </w:r>
      <w:r w:rsidRPr="00E50667">
        <w:rPr>
          <w:rFonts w:ascii="Arial" w:hAnsi="Arial" w:cs="Arial"/>
          <w:sz w:val="20"/>
          <w:szCs w:val="20"/>
        </w:rPr>
        <w:lastRenderedPageBreak/>
        <w:t>the day when the applicant successfully completed the theoretical knowledge examination, in</w:t>
      </w:r>
      <w:r w:rsidRPr="00E50667">
        <w:rPr>
          <w:rFonts w:ascii="Arial" w:hAnsi="Arial" w:cs="Arial"/>
          <w:spacing w:val="1"/>
          <w:sz w:val="20"/>
          <w:szCs w:val="20"/>
        </w:rPr>
        <w:t xml:space="preserve"> </w:t>
      </w:r>
      <w:r w:rsidRPr="00E50667">
        <w:rPr>
          <w:rFonts w:ascii="Arial" w:hAnsi="Arial" w:cs="Arial"/>
          <w:sz w:val="20"/>
          <w:szCs w:val="20"/>
        </w:rPr>
        <w:t>accordance with paragraph</w:t>
      </w:r>
      <w:r w:rsidRPr="00E50667">
        <w:rPr>
          <w:rFonts w:ascii="Arial" w:hAnsi="Arial" w:cs="Arial"/>
          <w:spacing w:val="-1"/>
          <w:sz w:val="20"/>
          <w:szCs w:val="20"/>
        </w:rPr>
        <w:t xml:space="preserve"> </w:t>
      </w:r>
      <w:r w:rsidRPr="00E50667">
        <w:rPr>
          <w:rFonts w:ascii="Arial" w:hAnsi="Arial" w:cs="Arial"/>
          <w:sz w:val="20"/>
          <w:szCs w:val="20"/>
        </w:rPr>
        <w:t>(c)(2).</w:t>
      </w:r>
    </w:p>
    <w:p w14:paraId="337961FF" w14:textId="77777777" w:rsidR="00AB036E" w:rsidRPr="00AB036E" w:rsidRDefault="00AB036E" w:rsidP="00AB036E">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615" w:name="_Toc153137412"/>
      <w:r w:rsidRPr="00AB036E">
        <w:rPr>
          <w:rFonts w:ascii="Arial" w:eastAsia="Times New Roman" w:hAnsi="Arial" w:cs="Times New Roman"/>
          <w:b/>
          <w:color w:val="FFFFFF"/>
          <w:sz w:val="24"/>
        </w:rPr>
        <w:t>AMC1 BFCL.135 BPL – Theoretical knowledge examinations</w:t>
      </w:r>
      <w:bookmarkEnd w:id="615"/>
      <w:r w:rsidRPr="00AB036E">
        <w:rPr>
          <w:rFonts w:ascii="Arial" w:eastAsia="Times New Roman" w:hAnsi="Arial" w:cs="Times New Roman"/>
          <w:b/>
          <w:color w:val="FFFFFF"/>
          <w:sz w:val="24"/>
        </w:rPr>
        <w:tab/>
      </w:r>
    </w:p>
    <w:p w14:paraId="52B13952" w14:textId="77777777" w:rsidR="00AB036E" w:rsidRPr="00AB036E" w:rsidRDefault="00AB036E" w:rsidP="0079393D">
      <w:pPr>
        <w:numPr>
          <w:ilvl w:val="0"/>
          <w:numId w:val="173"/>
        </w:numPr>
        <w:jc w:val="both"/>
        <w:rPr>
          <w:rFonts w:ascii="Arial" w:eastAsia="Times New Roman" w:hAnsi="Arial" w:cs="Times New Roman"/>
          <w:sz w:val="20"/>
        </w:rPr>
      </w:pPr>
      <w:r w:rsidRPr="00AB036E">
        <w:rPr>
          <w:rFonts w:ascii="Arial" w:eastAsia="Times New Roman" w:hAnsi="Arial" w:cs="Times New Roman"/>
          <w:sz w:val="20"/>
        </w:rPr>
        <w:t>The theoretical knowledge examinations for the BPL follow the syllabus for theoretical knowledge instruction for the BPL set out in AMC1 BFCL.130.</w:t>
      </w:r>
    </w:p>
    <w:p w14:paraId="73F0D5C7" w14:textId="77777777" w:rsidR="00AB036E" w:rsidRPr="00AB036E" w:rsidRDefault="00AB036E" w:rsidP="0079393D">
      <w:pPr>
        <w:numPr>
          <w:ilvl w:val="0"/>
          <w:numId w:val="173"/>
        </w:numPr>
        <w:jc w:val="both"/>
        <w:rPr>
          <w:rFonts w:ascii="Arial" w:eastAsia="Times New Roman" w:hAnsi="Arial" w:cs="Times New Roman"/>
          <w:sz w:val="20"/>
        </w:rPr>
      </w:pPr>
      <w:r w:rsidRPr="00AB036E">
        <w:rPr>
          <w:rFonts w:ascii="Arial" w:eastAsia="Times New Roman" w:hAnsi="Arial" w:cs="Times New Roman"/>
          <w:sz w:val="20"/>
        </w:rPr>
        <w:t>The examinations should be in written form. However, for the subject Communications, practical classroom testing may be conducted.</w:t>
      </w:r>
    </w:p>
    <w:p w14:paraId="79462F12" w14:textId="77777777" w:rsidR="00AB036E" w:rsidRPr="00AB036E" w:rsidRDefault="00AB036E" w:rsidP="0079393D">
      <w:pPr>
        <w:numPr>
          <w:ilvl w:val="0"/>
          <w:numId w:val="173"/>
        </w:numPr>
        <w:jc w:val="both"/>
        <w:rPr>
          <w:rFonts w:ascii="Arial" w:eastAsia="Times New Roman" w:hAnsi="Arial" w:cs="Times New Roman"/>
          <w:sz w:val="20"/>
        </w:rPr>
      </w:pPr>
      <w:r w:rsidRPr="00AB036E">
        <w:rPr>
          <w:rFonts w:ascii="Arial" w:eastAsia="Times New Roman" w:hAnsi="Arial" w:cs="Times New Roman"/>
          <w:sz w:val="20"/>
        </w:rPr>
        <w:t>The examinations should comprise a total of 120 multiple-choice questions, covering all the subjects, with the following arrangements for questions and allocated time per subject:</w:t>
      </w:r>
    </w:p>
    <w:p w14:paraId="1488C871" w14:textId="77777777" w:rsidR="00853472" w:rsidRDefault="00853472" w:rsidP="00853472">
      <w:pPr>
        <w:jc w:val="both"/>
        <w:rPr>
          <w:rFonts w:ascii="Arial" w:eastAsia="Times New Roman" w:hAnsi="Arial" w:cs="Times New Roman"/>
        </w:rPr>
      </w:pPr>
    </w:p>
    <w:tbl>
      <w:tblPr>
        <w:tblStyle w:val="TableGrid31"/>
        <w:tblW w:w="0" w:type="auto"/>
        <w:tblInd w:w="562" w:type="dxa"/>
        <w:tblLayout w:type="fixed"/>
        <w:tblLook w:val="01E0" w:firstRow="1" w:lastRow="1" w:firstColumn="1" w:lastColumn="1" w:noHBand="0" w:noVBand="0"/>
      </w:tblPr>
      <w:tblGrid>
        <w:gridCol w:w="3118"/>
        <w:gridCol w:w="2698"/>
        <w:gridCol w:w="2679"/>
      </w:tblGrid>
      <w:tr w:rsidR="00AB036E" w:rsidRPr="00AB036E" w14:paraId="4437CA4D" w14:textId="77777777" w:rsidTr="00BA090D">
        <w:trPr>
          <w:trHeight w:val="203"/>
        </w:trPr>
        <w:tc>
          <w:tcPr>
            <w:tcW w:w="3118" w:type="dxa"/>
            <w:shd w:val="clear" w:color="auto" w:fill="F2F2F2" w:themeFill="background1" w:themeFillShade="F2"/>
          </w:tcPr>
          <w:p w14:paraId="5E7E571D" w14:textId="77777777" w:rsidR="00AB036E" w:rsidRPr="00AB036E" w:rsidRDefault="00AB036E" w:rsidP="00AB036E">
            <w:pPr>
              <w:pStyle w:val="TableParagraph"/>
              <w:tabs>
                <w:tab w:val="left" w:pos="1675"/>
              </w:tabs>
              <w:spacing w:before="1" w:line="225" w:lineRule="exact"/>
              <w:ind w:left="971" w:right="1232"/>
              <w:jc w:val="center"/>
              <w:rPr>
                <w:rFonts w:ascii="Arial" w:hAnsi="Arial" w:cs="Arial"/>
                <w:b/>
                <w:sz w:val="18"/>
                <w:szCs w:val="18"/>
              </w:rPr>
            </w:pPr>
            <w:r w:rsidRPr="00AB036E">
              <w:rPr>
                <w:rFonts w:ascii="Arial" w:hAnsi="Arial" w:cs="Arial"/>
                <w:b/>
                <w:sz w:val="18"/>
                <w:szCs w:val="18"/>
              </w:rPr>
              <w:t>Subject</w:t>
            </w:r>
          </w:p>
        </w:tc>
        <w:tc>
          <w:tcPr>
            <w:tcW w:w="2698" w:type="dxa"/>
            <w:shd w:val="clear" w:color="auto" w:fill="F2F2F2" w:themeFill="background1" w:themeFillShade="F2"/>
          </w:tcPr>
          <w:p w14:paraId="2FE0D8FD" w14:textId="77777777" w:rsidR="00AB036E" w:rsidRPr="00AB036E" w:rsidRDefault="00AB036E" w:rsidP="00AB036E">
            <w:pPr>
              <w:pStyle w:val="TableParagraph"/>
              <w:spacing w:before="1" w:line="225" w:lineRule="exact"/>
              <w:ind w:left="458" w:right="456" w:hanging="272"/>
              <w:jc w:val="center"/>
              <w:rPr>
                <w:rFonts w:ascii="Arial" w:hAnsi="Arial" w:cs="Arial"/>
                <w:b/>
                <w:sz w:val="18"/>
                <w:szCs w:val="18"/>
              </w:rPr>
            </w:pPr>
            <w:r w:rsidRPr="00AB036E">
              <w:rPr>
                <w:rFonts w:ascii="Arial" w:hAnsi="Arial" w:cs="Arial"/>
                <w:b/>
                <w:sz w:val="18"/>
                <w:szCs w:val="18"/>
              </w:rPr>
              <w:t>Number</w:t>
            </w:r>
            <w:r w:rsidRPr="00AB036E">
              <w:rPr>
                <w:rFonts w:ascii="Arial" w:hAnsi="Arial" w:cs="Arial"/>
                <w:b/>
                <w:spacing w:val="-5"/>
                <w:sz w:val="18"/>
                <w:szCs w:val="18"/>
              </w:rPr>
              <w:t xml:space="preserve"> </w:t>
            </w:r>
            <w:r w:rsidRPr="00AB036E">
              <w:rPr>
                <w:rFonts w:ascii="Arial" w:hAnsi="Arial" w:cs="Arial"/>
                <w:b/>
                <w:sz w:val="18"/>
                <w:szCs w:val="18"/>
              </w:rPr>
              <w:t>of</w:t>
            </w:r>
            <w:r w:rsidRPr="00AB036E">
              <w:rPr>
                <w:rFonts w:ascii="Arial" w:hAnsi="Arial" w:cs="Arial"/>
                <w:b/>
                <w:spacing w:val="-3"/>
                <w:sz w:val="18"/>
                <w:szCs w:val="18"/>
              </w:rPr>
              <w:t xml:space="preserve"> </w:t>
            </w:r>
            <w:r w:rsidRPr="00AB036E">
              <w:rPr>
                <w:rFonts w:ascii="Arial" w:hAnsi="Arial" w:cs="Arial"/>
                <w:b/>
                <w:sz w:val="18"/>
                <w:szCs w:val="18"/>
              </w:rPr>
              <w:t>questions</w:t>
            </w:r>
          </w:p>
        </w:tc>
        <w:tc>
          <w:tcPr>
            <w:tcW w:w="2679" w:type="dxa"/>
            <w:shd w:val="clear" w:color="auto" w:fill="F2F2F2" w:themeFill="background1" w:themeFillShade="F2"/>
          </w:tcPr>
          <w:p w14:paraId="5FF13980" w14:textId="77777777" w:rsidR="00AB036E" w:rsidRPr="00AB036E" w:rsidRDefault="00AB036E" w:rsidP="00AB036E">
            <w:pPr>
              <w:pStyle w:val="TableParagraph"/>
              <w:spacing w:before="1" w:line="225" w:lineRule="exact"/>
              <w:ind w:left="428" w:right="431" w:hanging="232"/>
              <w:jc w:val="center"/>
              <w:rPr>
                <w:rFonts w:ascii="Arial" w:hAnsi="Arial" w:cs="Arial"/>
                <w:b/>
                <w:sz w:val="18"/>
                <w:szCs w:val="18"/>
              </w:rPr>
            </w:pPr>
            <w:r w:rsidRPr="00AB036E">
              <w:rPr>
                <w:rFonts w:ascii="Arial" w:hAnsi="Arial" w:cs="Arial"/>
                <w:b/>
                <w:sz w:val="18"/>
                <w:szCs w:val="18"/>
              </w:rPr>
              <w:t>Duration</w:t>
            </w:r>
            <w:r w:rsidRPr="00AB036E">
              <w:rPr>
                <w:rFonts w:ascii="Arial" w:hAnsi="Arial" w:cs="Arial"/>
                <w:b/>
                <w:spacing w:val="-2"/>
                <w:sz w:val="18"/>
                <w:szCs w:val="18"/>
              </w:rPr>
              <w:t xml:space="preserve"> </w:t>
            </w:r>
            <w:r w:rsidRPr="00AB036E">
              <w:rPr>
                <w:rFonts w:ascii="Arial" w:hAnsi="Arial" w:cs="Arial"/>
                <w:b/>
                <w:sz w:val="18"/>
                <w:szCs w:val="18"/>
              </w:rPr>
              <w:t>(in</w:t>
            </w:r>
            <w:r w:rsidRPr="00AB036E">
              <w:rPr>
                <w:rFonts w:ascii="Arial" w:hAnsi="Arial" w:cs="Arial"/>
                <w:b/>
                <w:spacing w:val="-3"/>
                <w:sz w:val="18"/>
                <w:szCs w:val="18"/>
              </w:rPr>
              <w:t xml:space="preserve"> </w:t>
            </w:r>
            <w:r w:rsidRPr="00AB036E">
              <w:rPr>
                <w:rFonts w:ascii="Arial" w:hAnsi="Arial" w:cs="Arial"/>
                <w:b/>
                <w:sz w:val="18"/>
                <w:szCs w:val="18"/>
              </w:rPr>
              <w:t>minutes)</w:t>
            </w:r>
          </w:p>
        </w:tc>
      </w:tr>
      <w:tr w:rsidR="00AB036E" w:rsidRPr="00AB036E" w14:paraId="38156E90" w14:textId="77777777" w:rsidTr="000A45FF">
        <w:trPr>
          <w:trHeight w:val="200"/>
        </w:trPr>
        <w:tc>
          <w:tcPr>
            <w:tcW w:w="3118" w:type="dxa"/>
          </w:tcPr>
          <w:p w14:paraId="2B58CDE8" w14:textId="77777777" w:rsidR="00AB036E" w:rsidRPr="00AB036E" w:rsidRDefault="00AB036E" w:rsidP="00670AAB">
            <w:pPr>
              <w:pStyle w:val="TableParagraph"/>
              <w:spacing w:line="223" w:lineRule="exact"/>
              <w:ind w:left="86"/>
              <w:rPr>
                <w:rFonts w:ascii="Arial" w:hAnsi="Arial" w:cs="Arial"/>
                <w:sz w:val="18"/>
                <w:szCs w:val="18"/>
              </w:rPr>
            </w:pPr>
            <w:r w:rsidRPr="00AB036E">
              <w:rPr>
                <w:rFonts w:ascii="Arial" w:hAnsi="Arial" w:cs="Arial"/>
                <w:sz w:val="18"/>
                <w:szCs w:val="18"/>
              </w:rPr>
              <w:t>Air</w:t>
            </w:r>
            <w:r w:rsidRPr="00AB036E">
              <w:rPr>
                <w:rFonts w:ascii="Arial" w:hAnsi="Arial" w:cs="Arial"/>
                <w:spacing w:val="-2"/>
                <w:sz w:val="18"/>
                <w:szCs w:val="18"/>
              </w:rPr>
              <w:t xml:space="preserve"> </w:t>
            </w:r>
            <w:r w:rsidRPr="00AB036E">
              <w:rPr>
                <w:rFonts w:ascii="Arial" w:hAnsi="Arial" w:cs="Arial"/>
                <w:sz w:val="18"/>
                <w:szCs w:val="18"/>
              </w:rPr>
              <w:t>law</w:t>
            </w:r>
          </w:p>
        </w:tc>
        <w:tc>
          <w:tcPr>
            <w:tcW w:w="2698" w:type="dxa"/>
          </w:tcPr>
          <w:p w14:paraId="08E00045" w14:textId="77777777" w:rsidR="00AB036E" w:rsidRPr="00AB036E" w:rsidRDefault="00AB036E" w:rsidP="00670AAB">
            <w:pPr>
              <w:pStyle w:val="TableParagraph"/>
              <w:spacing w:line="223" w:lineRule="exact"/>
              <w:ind w:left="456" w:right="456"/>
              <w:jc w:val="center"/>
              <w:rPr>
                <w:rFonts w:ascii="Arial" w:hAnsi="Arial" w:cs="Arial"/>
                <w:sz w:val="18"/>
                <w:szCs w:val="18"/>
              </w:rPr>
            </w:pPr>
            <w:r w:rsidRPr="00AB036E">
              <w:rPr>
                <w:rFonts w:ascii="Arial" w:hAnsi="Arial" w:cs="Arial"/>
                <w:sz w:val="18"/>
                <w:szCs w:val="18"/>
              </w:rPr>
              <w:t>20</w:t>
            </w:r>
          </w:p>
        </w:tc>
        <w:tc>
          <w:tcPr>
            <w:tcW w:w="2679" w:type="dxa"/>
          </w:tcPr>
          <w:p w14:paraId="14771962" w14:textId="77777777" w:rsidR="00AB036E" w:rsidRPr="00AB036E" w:rsidRDefault="00AB036E" w:rsidP="00670AAB">
            <w:pPr>
              <w:pStyle w:val="TableParagraph"/>
              <w:spacing w:line="223" w:lineRule="exact"/>
              <w:ind w:left="428" w:right="429"/>
              <w:jc w:val="center"/>
              <w:rPr>
                <w:rFonts w:ascii="Arial" w:hAnsi="Arial" w:cs="Arial"/>
                <w:sz w:val="18"/>
                <w:szCs w:val="18"/>
              </w:rPr>
            </w:pPr>
            <w:r w:rsidRPr="00AB036E">
              <w:rPr>
                <w:rFonts w:ascii="Arial" w:hAnsi="Arial" w:cs="Arial"/>
                <w:sz w:val="18"/>
                <w:szCs w:val="18"/>
              </w:rPr>
              <w:t>40</w:t>
            </w:r>
          </w:p>
        </w:tc>
      </w:tr>
      <w:tr w:rsidR="00AB036E" w:rsidRPr="00AB036E" w14:paraId="2FE08B3D" w14:textId="77777777" w:rsidTr="000A45FF">
        <w:trPr>
          <w:trHeight w:val="202"/>
        </w:trPr>
        <w:tc>
          <w:tcPr>
            <w:tcW w:w="3118" w:type="dxa"/>
          </w:tcPr>
          <w:p w14:paraId="293F595D" w14:textId="77777777" w:rsidR="00AB036E" w:rsidRPr="00AB036E" w:rsidRDefault="00AB036E" w:rsidP="00670AAB">
            <w:pPr>
              <w:pStyle w:val="TableParagraph"/>
              <w:spacing w:line="225" w:lineRule="exact"/>
              <w:ind w:left="86"/>
              <w:rPr>
                <w:rFonts w:ascii="Arial" w:hAnsi="Arial" w:cs="Arial"/>
                <w:sz w:val="18"/>
                <w:szCs w:val="18"/>
              </w:rPr>
            </w:pPr>
            <w:r w:rsidRPr="00AB036E">
              <w:rPr>
                <w:rFonts w:ascii="Arial" w:hAnsi="Arial" w:cs="Arial"/>
                <w:sz w:val="18"/>
                <w:szCs w:val="18"/>
              </w:rPr>
              <w:t>Human</w:t>
            </w:r>
            <w:r w:rsidRPr="00AB036E">
              <w:rPr>
                <w:rFonts w:ascii="Arial" w:hAnsi="Arial" w:cs="Arial"/>
                <w:spacing w:val="-2"/>
                <w:sz w:val="18"/>
                <w:szCs w:val="18"/>
              </w:rPr>
              <w:t xml:space="preserve"> </w:t>
            </w:r>
            <w:r w:rsidRPr="00AB036E">
              <w:rPr>
                <w:rFonts w:ascii="Arial" w:hAnsi="Arial" w:cs="Arial"/>
                <w:sz w:val="18"/>
                <w:szCs w:val="18"/>
              </w:rPr>
              <w:t>performance</w:t>
            </w:r>
          </w:p>
        </w:tc>
        <w:tc>
          <w:tcPr>
            <w:tcW w:w="2698" w:type="dxa"/>
          </w:tcPr>
          <w:p w14:paraId="7E541076" w14:textId="77777777" w:rsidR="00AB036E" w:rsidRPr="00AB036E" w:rsidRDefault="00AB036E" w:rsidP="00670AAB">
            <w:pPr>
              <w:pStyle w:val="TableParagraph"/>
              <w:spacing w:line="225" w:lineRule="exact"/>
              <w:ind w:left="456" w:right="456"/>
              <w:jc w:val="center"/>
              <w:rPr>
                <w:rFonts w:ascii="Arial" w:hAnsi="Arial" w:cs="Arial"/>
                <w:sz w:val="18"/>
                <w:szCs w:val="18"/>
              </w:rPr>
            </w:pPr>
            <w:r w:rsidRPr="00AB036E">
              <w:rPr>
                <w:rFonts w:ascii="Arial" w:hAnsi="Arial" w:cs="Arial"/>
                <w:sz w:val="18"/>
                <w:szCs w:val="18"/>
              </w:rPr>
              <w:t>10</w:t>
            </w:r>
          </w:p>
        </w:tc>
        <w:tc>
          <w:tcPr>
            <w:tcW w:w="2679" w:type="dxa"/>
          </w:tcPr>
          <w:p w14:paraId="7A086A3C" w14:textId="77777777" w:rsidR="00AB036E" w:rsidRPr="00AB036E" w:rsidRDefault="00AB036E" w:rsidP="00670AAB">
            <w:pPr>
              <w:pStyle w:val="TableParagraph"/>
              <w:spacing w:line="225" w:lineRule="exact"/>
              <w:ind w:left="428" w:right="429"/>
              <w:jc w:val="center"/>
              <w:rPr>
                <w:rFonts w:ascii="Arial" w:hAnsi="Arial" w:cs="Arial"/>
                <w:sz w:val="18"/>
                <w:szCs w:val="18"/>
              </w:rPr>
            </w:pPr>
            <w:r w:rsidRPr="00AB036E">
              <w:rPr>
                <w:rFonts w:ascii="Arial" w:hAnsi="Arial" w:cs="Arial"/>
                <w:sz w:val="18"/>
                <w:szCs w:val="18"/>
              </w:rPr>
              <w:t>20</w:t>
            </w:r>
          </w:p>
        </w:tc>
      </w:tr>
      <w:tr w:rsidR="00AB036E" w:rsidRPr="00AB036E" w14:paraId="6FA7503F" w14:textId="77777777" w:rsidTr="000A45FF">
        <w:trPr>
          <w:trHeight w:val="199"/>
        </w:trPr>
        <w:tc>
          <w:tcPr>
            <w:tcW w:w="3118" w:type="dxa"/>
          </w:tcPr>
          <w:p w14:paraId="544A7E59" w14:textId="77777777" w:rsidR="00AB036E" w:rsidRPr="00AB036E" w:rsidRDefault="00AB036E" w:rsidP="00AB036E">
            <w:pPr>
              <w:pStyle w:val="TableParagraph"/>
              <w:spacing w:line="223" w:lineRule="exact"/>
              <w:ind w:left="71"/>
              <w:rPr>
                <w:rFonts w:ascii="Arial" w:hAnsi="Arial" w:cs="Arial"/>
                <w:sz w:val="18"/>
                <w:szCs w:val="18"/>
              </w:rPr>
            </w:pPr>
            <w:r w:rsidRPr="00AB036E">
              <w:rPr>
                <w:rFonts w:ascii="Arial" w:hAnsi="Arial" w:cs="Arial"/>
                <w:sz w:val="18"/>
                <w:szCs w:val="18"/>
              </w:rPr>
              <w:t>Meteorology</w:t>
            </w:r>
          </w:p>
        </w:tc>
        <w:tc>
          <w:tcPr>
            <w:tcW w:w="2698" w:type="dxa"/>
          </w:tcPr>
          <w:p w14:paraId="48DDF858" w14:textId="77777777" w:rsidR="00AB036E" w:rsidRPr="00AB036E" w:rsidRDefault="00AB036E" w:rsidP="00670AAB">
            <w:pPr>
              <w:pStyle w:val="TableParagraph"/>
              <w:spacing w:line="223" w:lineRule="exact"/>
              <w:ind w:left="456" w:right="456"/>
              <w:jc w:val="center"/>
              <w:rPr>
                <w:rFonts w:ascii="Arial" w:hAnsi="Arial" w:cs="Arial"/>
                <w:sz w:val="18"/>
                <w:szCs w:val="18"/>
              </w:rPr>
            </w:pPr>
            <w:r w:rsidRPr="00AB036E">
              <w:rPr>
                <w:rFonts w:ascii="Arial" w:hAnsi="Arial" w:cs="Arial"/>
                <w:sz w:val="18"/>
                <w:szCs w:val="18"/>
              </w:rPr>
              <w:t>20</w:t>
            </w:r>
          </w:p>
        </w:tc>
        <w:tc>
          <w:tcPr>
            <w:tcW w:w="2679" w:type="dxa"/>
          </w:tcPr>
          <w:p w14:paraId="068D23E9" w14:textId="77777777" w:rsidR="00AB036E" w:rsidRPr="00AB036E" w:rsidRDefault="00AB036E" w:rsidP="00670AAB">
            <w:pPr>
              <w:pStyle w:val="TableParagraph"/>
              <w:spacing w:line="223" w:lineRule="exact"/>
              <w:ind w:left="428" w:right="429"/>
              <w:jc w:val="center"/>
              <w:rPr>
                <w:rFonts w:ascii="Arial" w:hAnsi="Arial" w:cs="Arial"/>
                <w:sz w:val="18"/>
                <w:szCs w:val="18"/>
              </w:rPr>
            </w:pPr>
            <w:r w:rsidRPr="00AB036E">
              <w:rPr>
                <w:rFonts w:ascii="Arial" w:hAnsi="Arial" w:cs="Arial"/>
                <w:sz w:val="18"/>
                <w:szCs w:val="18"/>
              </w:rPr>
              <w:t>40</w:t>
            </w:r>
          </w:p>
        </w:tc>
      </w:tr>
      <w:tr w:rsidR="00AB036E" w:rsidRPr="00AB036E" w14:paraId="76000C69" w14:textId="77777777" w:rsidTr="000A45FF">
        <w:trPr>
          <w:trHeight w:val="202"/>
        </w:trPr>
        <w:tc>
          <w:tcPr>
            <w:tcW w:w="3118" w:type="dxa"/>
          </w:tcPr>
          <w:p w14:paraId="00BE8058" w14:textId="77777777" w:rsidR="00AB036E" w:rsidRPr="00AB036E" w:rsidRDefault="00AB036E" w:rsidP="00670AAB">
            <w:pPr>
              <w:pStyle w:val="TableParagraph"/>
              <w:spacing w:line="225" w:lineRule="exact"/>
              <w:ind w:left="86"/>
              <w:rPr>
                <w:rFonts w:ascii="Arial" w:hAnsi="Arial" w:cs="Arial"/>
                <w:sz w:val="18"/>
                <w:szCs w:val="18"/>
              </w:rPr>
            </w:pPr>
            <w:r w:rsidRPr="00AB036E">
              <w:rPr>
                <w:rFonts w:ascii="Arial" w:hAnsi="Arial" w:cs="Arial"/>
                <w:sz w:val="18"/>
                <w:szCs w:val="18"/>
              </w:rPr>
              <w:t>Communications</w:t>
            </w:r>
          </w:p>
        </w:tc>
        <w:tc>
          <w:tcPr>
            <w:tcW w:w="2698" w:type="dxa"/>
          </w:tcPr>
          <w:p w14:paraId="274E6266" w14:textId="77777777" w:rsidR="00AB036E" w:rsidRPr="00AB036E" w:rsidRDefault="00AB036E" w:rsidP="00670AAB">
            <w:pPr>
              <w:pStyle w:val="TableParagraph"/>
              <w:spacing w:line="225" w:lineRule="exact"/>
              <w:ind w:left="456" w:right="456"/>
              <w:jc w:val="center"/>
              <w:rPr>
                <w:rFonts w:ascii="Arial" w:hAnsi="Arial" w:cs="Arial"/>
                <w:sz w:val="18"/>
                <w:szCs w:val="18"/>
              </w:rPr>
            </w:pPr>
            <w:r w:rsidRPr="00AB036E">
              <w:rPr>
                <w:rFonts w:ascii="Arial" w:hAnsi="Arial" w:cs="Arial"/>
                <w:sz w:val="18"/>
                <w:szCs w:val="18"/>
              </w:rPr>
              <w:t>10</w:t>
            </w:r>
          </w:p>
        </w:tc>
        <w:tc>
          <w:tcPr>
            <w:tcW w:w="2679" w:type="dxa"/>
          </w:tcPr>
          <w:p w14:paraId="05219FE7" w14:textId="77777777" w:rsidR="00AB036E" w:rsidRPr="00AB036E" w:rsidRDefault="00AB036E" w:rsidP="00670AAB">
            <w:pPr>
              <w:pStyle w:val="TableParagraph"/>
              <w:spacing w:line="225" w:lineRule="exact"/>
              <w:ind w:left="428" w:right="429"/>
              <w:jc w:val="center"/>
              <w:rPr>
                <w:rFonts w:ascii="Arial" w:hAnsi="Arial" w:cs="Arial"/>
                <w:sz w:val="18"/>
                <w:szCs w:val="18"/>
              </w:rPr>
            </w:pPr>
            <w:r w:rsidRPr="00AB036E">
              <w:rPr>
                <w:rFonts w:ascii="Arial" w:hAnsi="Arial" w:cs="Arial"/>
                <w:sz w:val="18"/>
                <w:szCs w:val="18"/>
              </w:rPr>
              <w:t>20</w:t>
            </w:r>
          </w:p>
        </w:tc>
      </w:tr>
      <w:tr w:rsidR="00AB036E" w:rsidRPr="00AB036E" w14:paraId="2AF6142D" w14:textId="77777777" w:rsidTr="000A45FF">
        <w:trPr>
          <w:trHeight w:val="200"/>
        </w:trPr>
        <w:tc>
          <w:tcPr>
            <w:tcW w:w="3118" w:type="dxa"/>
          </w:tcPr>
          <w:p w14:paraId="7AE91622" w14:textId="77777777" w:rsidR="00AB036E" w:rsidRPr="00AB036E" w:rsidRDefault="00AB036E" w:rsidP="00670AAB">
            <w:pPr>
              <w:pStyle w:val="TableParagraph"/>
              <w:spacing w:line="223" w:lineRule="exact"/>
              <w:ind w:left="86"/>
              <w:rPr>
                <w:rFonts w:ascii="Arial" w:hAnsi="Arial" w:cs="Arial"/>
                <w:sz w:val="18"/>
                <w:szCs w:val="18"/>
              </w:rPr>
            </w:pPr>
            <w:r w:rsidRPr="00AB036E">
              <w:rPr>
                <w:rFonts w:ascii="Arial" w:hAnsi="Arial" w:cs="Arial"/>
                <w:sz w:val="18"/>
                <w:szCs w:val="18"/>
              </w:rPr>
              <w:t>Navigation</w:t>
            </w:r>
          </w:p>
        </w:tc>
        <w:tc>
          <w:tcPr>
            <w:tcW w:w="2698" w:type="dxa"/>
          </w:tcPr>
          <w:p w14:paraId="5B0313DB" w14:textId="77777777" w:rsidR="00AB036E" w:rsidRPr="00AB036E" w:rsidRDefault="00AB036E" w:rsidP="00670AAB">
            <w:pPr>
              <w:pStyle w:val="TableParagraph"/>
              <w:spacing w:line="223" w:lineRule="exact"/>
              <w:ind w:left="456" w:right="456"/>
              <w:jc w:val="center"/>
              <w:rPr>
                <w:rFonts w:ascii="Arial" w:hAnsi="Arial" w:cs="Arial"/>
                <w:sz w:val="18"/>
                <w:szCs w:val="18"/>
              </w:rPr>
            </w:pPr>
            <w:r w:rsidRPr="00AB036E">
              <w:rPr>
                <w:rFonts w:ascii="Arial" w:hAnsi="Arial" w:cs="Arial"/>
                <w:sz w:val="18"/>
                <w:szCs w:val="18"/>
              </w:rPr>
              <w:t>20</w:t>
            </w:r>
          </w:p>
        </w:tc>
        <w:tc>
          <w:tcPr>
            <w:tcW w:w="2679" w:type="dxa"/>
          </w:tcPr>
          <w:p w14:paraId="201D9BFE" w14:textId="77777777" w:rsidR="00AB036E" w:rsidRPr="00AB036E" w:rsidRDefault="00AB036E" w:rsidP="00670AAB">
            <w:pPr>
              <w:pStyle w:val="TableParagraph"/>
              <w:spacing w:line="223" w:lineRule="exact"/>
              <w:ind w:left="428" w:right="429"/>
              <w:jc w:val="center"/>
              <w:rPr>
                <w:rFonts w:ascii="Arial" w:hAnsi="Arial" w:cs="Arial"/>
                <w:sz w:val="18"/>
                <w:szCs w:val="18"/>
              </w:rPr>
            </w:pPr>
            <w:r w:rsidRPr="00AB036E">
              <w:rPr>
                <w:rFonts w:ascii="Arial" w:hAnsi="Arial" w:cs="Arial"/>
                <w:sz w:val="18"/>
                <w:szCs w:val="18"/>
              </w:rPr>
              <w:t>75</w:t>
            </w:r>
          </w:p>
        </w:tc>
      </w:tr>
      <w:tr w:rsidR="00AB036E" w:rsidRPr="00AB036E" w14:paraId="6AB4D975" w14:textId="77777777" w:rsidTr="000A45FF">
        <w:trPr>
          <w:trHeight w:val="199"/>
        </w:trPr>
        <w:tc>
          <w:tcPr>
            <w:tcW w:w="3118" w:type="dxa"/>
          </w:tcPr>
          <w:p w14:paraId="3D70BEF7" w14:textId="77777777" w:rsidR="00AB036E" w:rsidRPr="00AB036E" w:rsidRDefault="00AB036E" w:rsidP="00670AAB">
            <w:pPr>
              <w:pStyle w:val="TableParagraph"/>
              <w:spacing w:line="222" w:lineRule="exact"/>
              <w:ind w:left="86"/>
              <w:rPr>
                <w:rFonts w:ascii="Arial" w:hAnsi="Arial" w:cs="Arial"/>
                <w:sz w:val="18"/>
                <w:szCs w:val="18"/>
              </w:rPr>
            </w:pPr>
            <w:r w:rsidRPr="00AB036E">
              <w:rPr>
                <w:rFonts w:ascii="Arial" w:hAnsi="Arial" w:cs="Arial"/>
                <w:sz w:val="18"/>
                <w:szCs w:val="18"/>
              </w:rPr>
              <w:t>Principles</w:t>
            </w:r>
            <w:r w:rsidRPr="00AB036E">
              <w:rPr>
                <w:rFonts w:ascii="Arial" w:hAnsi="Arial" w:cs="Arial"/>
                <w:spacing w:val="-3"/>
                <w:sz w:val="18"/>
                <w:szCs w:val="18"/>
              </w:rPr>
              <w:t xml:space="preserve"> </w:t>
            </w:r>
            <w:r w:rsidRPr="00AB036E">
              <w:rPr>
                <w:rFonts w:ascii="Arial" w:hAnsi="Arial" w:cs="Arial"/>
                <w:sz w:val="18"/>
                <w:szCs w:val="18"/>
              </w:rPr>
              <w:t>of</w:t>
            </w:r>
            <w:r w:rsidRPr="00AB036E">
              <w:rPr>
                <w:rFonts w:ascii="Arial" w:hAnsi="Arial" w:cs="Arial"/>
                <w:spacing w:val="-3"/>
                <w:sz w:val="18"/>
                <w:szCs w:val="18"/>
              </w:rPr>
              <w:t xml:space="preserve"> </w:t>
            </w:r>
            <w:r w:rsidRPr="00AB036E">
              <w:rPr>
                <w:rFonts w:ascii="Arial" w:hAnsi="Arial" w:cs="Arial"/>
                <w:sz w:val="18"/>
                <w:szCs w:val="18"/>
              </w:rPr>
              <w:t>flight*</w:t>
            </w:r>
          </w:p>
        </w:tc>
        <w:tc>
          <w:tcPr>
            <w:tcW w:w="2698" w:type="dxa"/>
          </w:tcPr>
          <w:p w14:paraId="295AE18C" w14:textId="77777777" w:rsidR="00AB036E" w:rsidRPr="00AB036E" w:rsidRDefault="00AB036E" w:rsidP="00670AAB">
            <w:pPr>
              <w:pStyle w:val="TableParagraph"/>
              <w:spacing w:line="222" w:lineRule="exact"/>
              <w:ind w:left="456" w:right="456"/>
              <w:jc w:val="center"/>
              <w:rPr>
                <w:rFonts w:ascii="Arial" w:hAnsi="Arial" w:cs="Arial"/>
                <w:sz w:val="18"/>
                <w:szCs w:val="18"/>
              </w:rPr>
            </w:pPr>
            <w:r w:rsidRPr="00AB036E">
              <w:rPr>
                <w:rFonts w:ascii="Arial" w:hAnsi="Arial" w:cs="Arial"/>
                <w:sz w:val="18"/>
                <w:szCs w:val="18"/>
              </w:rPr>
              <w:t>10</w:t>
            </w:r>
          </w:p>
        </w:tc>
        <w:tc>
          <w:tcPr>
            <w:tcW w:w="2679" w:type="dxa"/>
          </w:tcPr>
          <w:p w14:paraId="1E8B8D34" w14:textId="77777777" w:rsidR="00AB036E" w:rsidRPr="00AB036E" w:rsidRDefault="00AB036E" w:rsidP="00670AAB">
            <w:pPr>
              <w:pStyle w:val="TableParagraph"/>
              <w:spacing w:line="222" w:lineRule="exact"/>
              <w:ind w:left="428" w:right="429"/>
              <w:jc w:val="center"/>
              <w:rPr>
                <w:rFonts w:ascii="Arial" w:hAnsi="Arial" w:cs="Arial"/>
                <w:sz w:val="18"/>
                <w:szCs w:val="18"/>
              </w:rPr>
            </w:pPr>
            <w:r w:rsidRPr="00AB036E">
              <w:rPr>
                <w:rFonts w:ascii="Arial" w:hAnsi="Arial" w:cs="Arial"/>
                <w:sz w:val="18"/>
                <w:szCs w:val="18"/>
              </w:rPr>
              <w:t>20</w:t>
            </w:r>
          </w:p>
        </w:tc>
      </w:tr>
      <w:tr w:rsidR="00AB036E" w:rsidRPr="00AB036E" w14:paraId="26439D56" w14:textId="77777777" w:rsidTr="000A45FF">
        <w:trPr>
          <w:trHeight w:val="202"/>
        </w:trPr>
        <w:tc>
          <w:tcPr>
            <w:tcW w:w="3118" w:type="dxa"/>
          </w:tcPr>
          <w:p w14:paraId="370747FA" w14:textId="77777777" w:rsidR="00AB036E" w:rsidRPr="00AB036E" w:rsidRDefault="00AB036E" w:rsidP="00670AAB">
            <w:pPr>
              <w:pStyle w:val="TableParagraph"/>
              <w:spacing w:line="225" w:lineRule="exact"/>
              <w:ind w:left="86"/>
              <w:rPr>
                <w:rFonts w:ascii="Arial" w:hAnsi="Arial" w:cs="Arial"/>
                <w:sz w:val="18"/>
                <w:szCs w:val="18"/>
              </w:rPr>
            </w:pPr>
            <w:r w:rsidRPr="00AB036E">
              <w:rPr>
                <w:rFonts w:ascii="Arial" w:hAnsi="Arial" w:cs="Arial"/>
                <w:sz w:val="18"/>
                <w:szCs w:val="18"/>
              </w:rPr>
              <w:t>Operational</w:t>
            </w:r>
            <w:r w:rsidRPr="00AB036E">
              <w:rPr>
                <w:rFonts w:ascii="Arial" w:hAnsi="Arial" w:cs="Arial"/>
                <w:spacing w:val="-5"/>
                <w:sz w:val="18"/>
                <w:szCs w:val="18"/>
              </w:rPr>
              <w:t xml:space="preserve"> </w:t>
            </w:r>
            <w:r w:rsidRPr="00AB036E">
              <w:rPr>
                <w:rFonts w:ascii="Arial" w:hAnsi="Arial" w:cs="Arial"/>
                <w:sz w:val="18"/>
                <w:szCs w:val="18"/>
              </w:rPr>
              <w:t>procedures*</w:t>
            </w:r>
          </w:p>
        </w:tc>
        <w:tc>
          <w:tcPr>
            <w:tcW w:w="2698" w:type="dxa"/>
          </w:tcPr>
          <w:p w14:paraId="2D611FEF" w14:textId="77777777" w:rsidR="00AB036E" w:rsidRPr="00AB036E" w:rsidRDefault="00AB036E" w:rsidP="00670AAB">
            <w:pPr>
              <w:pStyle w:val="TableParagraph"/>
              <w:spacing w:line="225" w:lineRule="exact"/>
              <w:ind w:left="456" w:right="456"/>
              <w:jc w:val="center"/>
              <w:rPr>
                <w:rFonts w:ascii="Arial" w:hAnsi="Arial" w:cs="Arial"/>
                <w:sz w:val="18"/>
                <w:szCs w:val="18"/>
              </w:rPr>
            </w:pPr>
            <w:r w:rsidRPr="00AB036E">
              <w:rPr>
                <w:rFonts w:ascii="Arial" w:hAnsi="Arial" w:cs="Arial"/>
                <w:sz w:val="18"/>
                <w:szCs w:val="18"/>
              </w:rPr>
              <w:t>10</w:t>
            </w:r>
          </w:p>
        </w:tc>
        <w:tc>
          <w:tcPr>
            <w:tcW w:w="2679" w:type="dxa"/>
          </w:tcPr>
          <w:p w14:paraId="0212CCB3" w14:textId="77777777" w:rsidR="00AB036E" w:rsidRPr="00AB036E" w:rsidRDefault="00AB036E" w:rsidP="00670AAB">
            <w:pPr>
              <w:pStyle w:val="TableParagraph"/>
              <w:spacing w:line="225" w:lineRule="exact"/>
              <w:ind w:left="428" w:right="429"/>
              <w:jc w:val="center"/>
              <w:rPr>
                <w:rFonts w:ascii="Arial" w:hAnsi="Arial" w:cs="Arial"/>
                <w:sz w:val="18"/>
                <w:szCs w:val="18"/>
              </w:rPr>
            </w:pPr>
            <w:r w:rsidRPr="00AB036E">
              <w:rPr>
                <w:rFonts w:ascii="Arial" w:hAnsi="Arial" w:cs="Arial"/>
                <w:sz w:val="18"/>
                <w:szCs w:val="18"/>
              </w:rPr>
              <w:t>20</w:t>
            </w:r>
          </w:p>
        </w:tc>
      </w:tr>
      <w:tr w:rsidR="00AB036E" w:rsidRPr="00AB036E" w14:paraId="31A4D0FD" w14:textId="77777777" w:rsidTr="000A45FF">
        <w:trPr>
          <w:trHeight w:val="200"/>
        </w:trPr>
        <w:tc>
          <w:tcPr>
            <w:tcW w:w="3118" w:type="dxa"/>
          </w:tcPr>
          <w:p w14:paraId="0AF7A977" w14:textId="77777777" w:rsidR="00AB036E" w:rsidRPr="00AB036E" w:rsidRDefault="00AB036E" w:rsidP="00670AAB">
            <w:pPr>
              <w:pStyle w:val="TableParagraph"/>
              <w:spacing w:line="223" w:lineRule="exact"/>
              <w:ind w:left="86"/>
              <w:rPr>
                <w:rFonts w:ascii="Arial" w:hAnsi="Arial" w:cs="Arial"/>
                <w:sz w:val="18"/>
                <w:szCs w:val="18"/>
              </w:rPr>
            </w:pPr>
            <w:r w:rsidRPr="00AB036E">
              <w:rPr>
                <w:rFonts w:ascii="Arial" w:hAnsi="Arial" w:cs="Arial"/>
                <w:sz w:val="18"/>
                <w:szCs w:val="18"/>
              </w:rPr>
              <w:t>Flight</w:t>
            </w:r>
            <w:r w:rsidRPr="00AB036E">
              <w:rPr>
                <w:rFonts w:ascii="Arial" w:hAnsi="Arial" w:cs="Arial"/>
                <w:spacing w:val="-3"/>
                <w:sz w:val="18"/>
                <w:szCs w:val="18"/>
              </w:rPr>
              <w:t xml:space="preserve"> </w:t>
            </w:r>
            <w:r w:rsidRPr="00AB036E">
              <w:rPr>
                <w:rFonts w:ascii="Arial" w:hAnsi="Arial" w:cs="Arial"/>
                <w:sz w:val="18"/>
                <w:szCs w:val="18"/>
              </w:rPr>
              <w:t>performance</w:t>
            </w:r>
            <w:r w:rsidRPr="00AB036E">
              <w:rPr>
                <w:rFonts w:ascii="Arial" w:hAnsi="Arial" w:cs="Arial"/>
                <w:spacing w:val="-4"/>
                <w:sz w:val="18"/>
                <w:szCs w:val="18"/>
              </w:rPr>
              <w:t xml:space="preserve"> </w:t>
            </w:r>
            <w:r w:rsidRPr="00AB036E">
              <w:rPr>
                <w:rFonts w:ascii="Arial" w:hAnsi="Arial" w:cs="Arial"/>
                <w:sz w:val="18"/>
                <w:szCs w:val="18"/>
              </w:rPr>
              <w:t>and</w:t>
            </w:r>
            <w:r w:rsidRPr="00AB036E">
              <w:rPr>
                <w:rFonts w:ascii="Arial" w:hAnsi="Arial" w:cs="Arial"/>
                <w:spacing w:val="-2"/>
                <w:sz w:val="18"/>
                <w:szCs w:val="18"/>
              </w:rPr>
              <w:t xml:space="preserve"> </w:t>
            </w:r>
            <w:r w:rsidRPr="00AB036E">
              <w:rPr>
                <w:rFonts w:ascii="Arial" w:hAnsi="Arial" w:cs="Arial"/>
                <w:sz w:val="18"/>
                <w:szCs w:val="18"/>
              </w:rPr>
              <w:t>planning*</w:t>
            </w:r>
          </w:p>
        </w:tc>
        <w:tc>
          <w:tcPr>
            <w:tcW w:w="2698" w:type="dxa"/>
          </w:tcPr>
          <w:p w14:paraId="5A2CEDB4" w14:textId="77777777" w:rsidR="00AB036E" w:rsidRPr="00AB036E" w:rsidRDefault="00AB036E" w:rsidP="00670AAB">
            <w:pPr>
              <w:pStyle w:val="TableParagraph"/>
              <w:spacing w:line="223" w:lineRule="exact"/>
              <w:ind w:left="456" w:right="456"/>
              <w:jc w:val="center"/>
              <w:rPr>
                <w:rFonts w:ascii="Arial" w:hAnsi="Arial" w:cs="Arial"/>
                <w:sz w:val="18"/>
                <w:szCs w:val="18"/>
              </w:rPr>
            </w:pPr>
            <w:r w:rsidRPr="00AB036E">
              <w:rPr>
                <w:rFonts w:ascii="Arial" w:hAnsi="Arial" w:cs="Arial"/>
                <w:sz w:val="18"/>
                <w:szCs w:val="18"/>
              </w:rPr>
              <w:t>10</w:t>
            </w:r>
          </w:p>
        </w:tc>
        <w:tc>
          <w:tcPr>
            <w:tcW w:w="2679" w:type="dxa"/>
          </w:tcPr>
          <w:p w14:paraId="08A80A6E" w14:textId="77777777" w:rsidR="00AB036E" w:rsidRPr="00AB036E" w:rsidRDefault="00AB036E" w:rsidP="00670AAB">
            <w:pPr>
              <w:pStyle w:val="TableParagraph"/>
              <w:spacing w:line="223" w:lineRule="exact"/>
              <w:ind w:left="428" w:right="429"/>
              <w:jc w:val="center"/>
              <w:rPr>
                <w:rFonts w:ascii="Arial" w:hAnsi="Arial" w:cs="Arial"/>
                <w:sz w:val="18"/>
                <w:szCs w:val="18"/>
              </w:rPr>
            </w:pPr>
            <w:r w:rsidRPr="00AB036E">
              <w:rPr>
                <w:rFonts w:ascii="Arial" w:hAnsi="Arial" w:cs="Arial"/>
                <w:sz w:val="18"/>
                <w:szCs w:val="18"/>
              </w:rPr>
              <w:t>20</w:t>
            </w:r>
          </w:p>
        </w:tc>
      </w:tr>
      <w:tr w:rsidR="00AB036E" w:rsidRPr="00AB036E" w14:paraId="36624EEC" w14:textId="77777777" w:rsidTr="000A45FF">
        <w:trPr>
          <w:trHeight w:val="200"/>
        </w:trPr>
        <w:tc>
          <w:tcPr>
            <w:tcW w:w="3118" w:type="dxa"/>
          </w:tcPr>
          <w:p w14:paraId="1AF24823" w14:textId="77777777" w:rsidR="00AB036E" w:rsidRPr="00AB036E" w:rsidRDefault="00AB036E" w:rsidP="00AB036E">
            <w:pPr>
              <w:pStyle w:val="TableParagraph"/>
              <w:spacing w:line="224" w:lineRule="exact"/>
              <w:ind w:left="86"/>
              <w:rPr>
                <w:rFonts w:ascii="Arial" w:hAnsi="Arial" w:cs="Arial"/>
                <w:sz w:val="18"/>
                <w:szCs w:val="18"/>
              </w:rPr>
            </w:pPr>
            <w:r w:rsidRPr="00AB036E">
              <w:rPr>
                <w:rFonts w:ascii="Arial" w:hAnsi="Arial" w:cs="Arial"/>
                <w:sz w:val="18"/>
                <w:szCs w:val="18"/>
              </w:rPr>
              <w:t>Aircraft</w:t>
            </w:r>
            <w:r w:rsidRPr="00AB036E">
              <w:rPr>
                <w:rFonts w:ascii="Arial" w:hAnsi="Arial" w:cs="Arial"/>
                <w:spacing w:val="-4"/>
                <w:sz w:val="18"/>
                <w:szCs w:val="18"/>
              </w:rPr>
              <w:t xml:space="preserve"> </w:t>
            </w:r>
            <w:r w:rsidRPr="00AB036E">
              <w:rPr>
                <w:rFonts w:ascii="Arial" w:hAnsi="Arial" w:cs="Arial"/>
                <w:sz w:val="18"/>
                <w:szCs w:val="18"/>
              </w:rPr>
              <w:t>general</w:t>
            </w:r>
            <w:r w:rsidRPr="00AB036E">
              <w:rPr>
                <w:rFonts w:ascii="Arial" w:hAnsi="Arial" w:cs="Arial"/>
                <w:spacing w:val="-3"/>
                <w:sz w:val="18"/>
                <w:szCs w:val="18"/>
              </w:rPr>
              <w:t xml:space="preserve"> </w:t>
            </w:r>
            <w:r w:rsidRPr="00AB036E">
              <w:rPr>
                <w:rFonts w:ascii="Arial" w:hAnsi="Arial" w:cs="Arial"/>
                <w:sz w:val="18"/>
                <w:szCs w:val="18"/>
              </w:rPr>
              <w:t>knowledge*</w:t>
            </w:r>
          </w:p>
        </w:tc>
        <w:tc>
          <w:tcPr>
            <w:tcW w:w="2698" w:type="dxa"/>
          </w:tcPr>
          <w:p w14:paraId="5BC63277" w14:textId="77777777" w:rsidR="00AB036E" w:rsidRPr="00AB036E" w:rsidRDefault="00AB036E" w:rsidP="00AB036E">
            <w:pPr>
              <w:pStyle w:val="TableParagraph"/>
              <w:spacing w:line="223" w:lineRule="exact"/>
              <w:ind w:left="456" w:right="456"/>
              <w:jc w:val="center"/>
              <w:rPr>
                <w:rFonts w:ascii="Arial" w:hAnsi="Arial" w:cs="Arial"/>
                <w:sz w:val="18"/>
                <w:szCs w:val="18"/>
              </w:rPr>
            </w:pPr>
            <w:r w:rsidRPr="00AB036E">
              <w:rPr>
                <w:rFonts w:ascii="Arial" w:hAnsi="Arial" w:cs="Arial"/>
                <w:sz w:val="18"/>
                <w:szCs w:val="18"/>
              </w:rPr>
              <w:t>10</w:t>
            </w:r>
          </w:p>
        </w:tc>
        <w:tc>
          <w:tcPr>
            <w:tcW w:w="2679" w:type="dxa"/>
          </w:tcPr>
          <w:p w14:paraId="5D8AF192" w14:textId="77777777" w:rsidR="00AB036E" w:rsidRPr="00AB036E" w:rsidRDefault="00AB036E" w:rsidP="00AB036E">
            <w:pPr>
              <w:pStyle w:val="TableParagraph"/>
              <w:spacing w:line="223" w:lineRule="exact"/>
              <w:ind w:left="428" w:right="429"/>
              <w:jc w:val="center"/>
              <w:rPr>
                <w:rFonts w:ascii="Arial" w:hAnsi="Arial" w:cs="Arial"/>
                <w:sz w:val="18"/>
                <w:szCs w:val="18"/>
              </w:rPr>
            </w:pPr>
            <w:r w:rsidRPr="00AB036E">
              <w:rPr>
                <w:rFonts w:ascii="Arial" w:hAnsi="Arial" w:cs="Arial"/>
                <w:sz w:val="18"/>
                <w:szCs w:val="18"/>
              </w:rPr>
              <w:t>20</w:t>
            </w:r>
          </w:p>
        </w:tc>
      </w:tr>
    </w:tbl>
    <w:p w14:paraId="2D096BBD" w14:textId="4B0EC860" w:rsidR="00BA090D" w:rsidRDefault="00AB036E" w:rsidP="00BA1962">
      <w:pPr>
        <w:spacing w:before="44" w:line="276" w:lineRule="auto"/>
        <w:ind w:left="795" w:right="244"/>
        <w:jc w:val="both"/>
        <w:rPr>
          <w:rFonts w:ascii="Arial" w:hAnsi="Arial" w:cs="Arial"/>
          <w:sz w:val="20"/>
        </w:rPr>
      </w:pPr>
      <w:r w:rsidRPr="00276D5E">
        <w:rPr>
          <w:rFonts w:ascii="Arial" w:hAnsi="Arial" w:cs="Arial"/>
          <w:sz w:val="20"/>
        </w:rPr>
        <w:t>* Content as relevant for either hot-air balloons or gas balloons, depending on the class privileges</w:t>
      </w:r>
      <w:r w:rsidRPr="00276D5E">
        <w:rPr>
          <w:rFonts w:ascii="Arial" w:hAnsi="Arial" w:cs="Arial"/>
          <w:spacing w:val="1"/>
          <w:sz w:val="20"/>
        </w:rPr>
        <w:t xml:space="preserve"> </w:t>
      </w:r>
      <w:r w:rsidRPr="00276D5E">
        <w:rPr>
          <w:rFonts w:ascii="Arial" w:hAnsi="Arial" w:cs="Arial"/>
          <w:sz w:val="20"/>
        </w:rPr>
        <w:t>sought.</w:t>
      </w:r>
      <w:r w:rsidRPr="00276D5E">
        <w:rPr>
          <w:rFonts w:ascii="Arial" w:hAnsi="Arial" w:cs="Arial"/>
          <w:spacing w:val="1"/>
          <w:sz w:val="20"/>
        </w:rPr>
        <w:t xml:space="preserve"> </w:t>
      </w:r>
      <w:r w:rsidRPr="00276D5E">
        <w:rPr>
          <w:rFonts w:ascii="Arial" w:hAnsi="Arial" w:cs="Arial"/>
          <w:sz w:val="20"/>
        </w:rPr>
        <w:t>These</w:t>
      </w:r>
      <w:r w:rsidRPr="00276D5E">
        <w:rPr>
          <w:rFonts w:ascii="Arial" w:hAnsi="Arial" w:cs="Arial"/>
          <w:spacing w:val="45"/>
          <w:sz w:val="20"/>
        </w:rPr>
        <w:t xml:space="preserve"> </w:t>
      </w:r>
      <w:r w:rsidRPr="00276D5E">
        <w:rPr>
          <w:rFonts w:ascii="Arial" w:hAnsi="Arial" w:cs="Arial"/>
          <w:sz w:val="20"/>
        </w:rPr>
        <w:t>four</w:t>
      </w:r>
      <w:r w:rsidRPr="00276D5E">
        <w:rPr>
          <w:rFonts w:ascii="Arial" w:hAnsi="Arial" w:cs="Arial"/>
          <w:spacing w:val="45"/>
          <w:sz w:val="20"/>
        </w:rPr>
        <w:t xml:space="preserve"> </w:t>
      </w:r>
      <w:r w:rsidRPr="00276D5E">
        <w:rPr>
          <w:rFonts w:ascii="Arial" w:hAnsi="Arial" w:cs="Arial"/>
          <w:sz w:val="20"/>
        </w:rPr>
        <w:t>subjects</w:t>
      </w:r>
      <w:r w:rsidRPr="00276D5E">
        <w:rPr>
          <w:rFonts w:ascii="Arial" w:hAnsi="Arial" w:cs="Arial"/>
          <w:spacing w:val="45"/>
          <w:sz w:val="20"/>
        </w:rPr>
        <w:t xml:space="preserve"> </w:t>
      </w:r>
      <w:r w:rsidRPr="00276D5E">
        <w:rPr>
          <w:rFonts w:ascii="Arial" w:hAnsi="Arial" w:cs="Arial"/>
          <w:sz w:val="20"/>
        </w:rPr>
        <w:t>may</w:t>
      </w:r>
      <w:r w:rsidRPr="00276D5E">
        <w:rPr>
          <w:rFonts w:ascii="Arial" w:hAnsi="Arial" w:cs="Arial"/>
          <w:spacing w:val="45"/>
          <w:sz w:val="20"/>
        </w:rPr>
        <w:t xml:space="preserve"> </w:t>
      </w:r>
      <w:r w:rsidRPr="00276D5E">
        <w:rPr>
          <w:rFonts w:ascii="Arial" w:hAnsi="Arial" w:cs="Arial"/>
          <w:sz w:val="20"/>
        </w:rPr>
        <w:t>be</w:t>
      </w:r>
      <w:r w:rsidRPr="00276D5E">
        <w:rPr>
          <w:rFonts w:ascii="Arial" w:hAnsi="Arial" w:cs="Arial"/>
          <w:spacing w:val="46"/>
          <w:sz w:val="20"/>
        </w:rPr>
        <w:t xml:space="preserve"> </w:t>
      </w:r>
      <w:r w:rsidRPr="00276D5E">
        <w:rPr>
          <w:rFonts w:ascii="Arial" w:hAnsi="Arial" w:cs="Arial"/>
          <w:sz w:val="20"/>
        </w:rPr>
        <w:t>combined</w:t>
      </w:r>
      <w:r w:rsidRPr="00276D5E">
        <w:rPr>
          <w:rFonts w:ascii="Arial" w:hAnsi="Arial" w:cs="Arial"/>
          <w:spacing w:val="45"/>
          <w:sz w:val="20"/>
        </w:rPr>
        <w:t xml:space="preserve"> </w:t>
      </w:r>
      <w:r w:rsidRPr="00276D5E">
        <w:rPr>
          <w:rFonts w:ascii="Arial" w:hAnsi="Arial" w:cs="Arial"/>
          <w:sz w:val="20"/>
        </w:rPr>
        <w:t>in</w:t>
      </w:r>
      <w:r w:rsidRPr="00276D5E">
        <w:rPr>
          <w:rFonts w:ascii="Arial" w:hAnsi="Arial" w:cs="Arial"/>
          <w:spacing w:val="45"/>
          <w:sz w:val="20"/>
        </w:rPr>
        <w:t xml:space="preserve"> </w:t>
      </w:r>
      <w:r w:rsidRPr="00276D5E">
        <w:rPr>
          <w:rFonts w:ascii="Arial" w:hAnsi="Arial" w:cs="Arial"/>
          <w:sz w:val="20"/>
        </w:rPr>
        <w:t>one</w:t>
      </w:r>
      <w:r w:rsidRPr="00276D5E">
        <w:rPr>
          <w:rFonts w:ascii="Arial" w:hAnsi="Arial" w:cs="Arial"/>
          <w:spacing w:val="45"/>
          <w:sz w:val="20"/>
        </w:rPr>
        <w:t xml:space="preserve"> </w:t>
      </w:r>
      <w:r w:rsidRPr="00276D5E">
        <w:rPr>
          <w:rFonts w:ascii="Arial" w:hAnsi="Arial" w:cs="Arial"/>
          <w:sz w:val="20"/>
        </w:rPr>
        <w:t>single</w:t>
      </w:r>
      <w:r w:rsidRPr="00276D5E">
        <w:rPr>
          <w:rFonts w:ascii="Arial" w:hAnsi="Arial" w:cs="Arial"/>
          <w:spacing w:val="45"/>
          <w:sz w:val="20"/>
        </w:rPr>
        <w:t xml:space="preserve"> </w:t>
      </w:r>
      <w:r w:rsidRPr="00276D5E">
        <w:rPr>
          <w:rFonts w:ascii="Arial" w:hAnsi="Arial" w:cs="Arial"/>
          <w:sz w:val="20"/>
        </w:rPr>
        <w:t>examination</w:t>
      </w:r>
      <w:r w:rsidRPr="00276D5E">
        <w:rPr>
          <w:rFonts w:ascii="Arial" w:hAnsi="Arial" w:cs="Arial"/>
          <w:spacing w:val="46"/>
          <w:sz w:val="20"/>
        </w:rPr>
        <w:t xml:space="preserve"> </w:t>
      </w:r>
      <w:r w:rsidRPr="00276D5E">
        <w:rPr>
          <w:rFonts w:ascii="Arial" w:hAnsi="Arial" w:cs="Arial"/>
          <w:sz w:val="20"/>
        </w:rPr>
        <w:t>paper</w:t>
      </w:r>
      <w:r w:rsidRPr="00276D5E">
        <w:rPr>
          <w:rFonts w:ascii="Arial" w:hAnsi="Arial" w:cs="Arial"/>
          <w:spacing w:val="45"/>
          <w:sz w:val="20"/>
        </w:rPr>
        <w:t xml:space="preserve"> </w:t>
      </w:r>
      <w:r w:rsidRPr="00276D5E">
        <w:rPr>
          <w:rFonts w:ascii="Arial" w:hAnsi="Arial" w:cs="Arial"/>
          <w:sz w:val="20"/>
        </w:rPr>
        <w:t>that</w:t>
      </w:r>
      <w:r w:rsidRPr="00276D5E">
        <w:rPr>
          <w:rFonts w:ascii="Arial" w:hAnsi="Arial" w:cs="Arial"/>
          <w:spacing w:val="45"/>
          <w:sz w:val="20"/>
        </w:rPr>
        <w:t xml:space="preserve"> </w:t>
      </w:r>
      <w:r w:rsidRPr="00276D5E">
        <w:rPr>
          <w:rFonts w:ascii="Arial" w:hAnsi="Arial" w:cs="Arial"/>
          <w:sz w:val="20"/>
        </w:rPr>
        <w:t>comprises</w:t>
      </w:r>
      <w:r w:rsidRPr="00276D5E">
        <w:rPr>
          <w:rFonts w:ascii="Arial" w:hAnsi="Arial" w:cs="Arial"/>
          <w:spacing w:val="1"/>
          <w:sz w:val="20"/>
        </w:rPr>
        <w:t xml:space="preserve"> </w:t>
      </w:r>
      <w:r w:rsidRPr="00276D5E">
        <w:rPr>
          <w:rFonts w:ascii="Arial" w:hAnsi="Arial" w:cs="Arial"/>
          <w:sz w:val="20"/>
        </w:rPr>
        <w:t>10</w:t>
      </w:r>
      <w:r w:rsidRPr="00276D5E">
        <w:rPr>
          <w:rFonts w:ascii="Arial" w:hAnsi="Arial" w:cs="Arial"/>
          <w:spacing w:val="-3"/>
          <w:sz w:val="20"/>
        </w:rPr>
        <w:t xml:space="preserve"> </w:t>
      </w:r>
      <w:r w:rsidRPr="00276D5E">
        <w:rPr>
          <w:rFonts w:ascii="Arial" w:hAnsi="Arial" w:cs="Arial"/>
          <w:sz w:val="20"/>
        </w:rPr>
        <w:t>questions</w:t>
      </w:r>
      <w:r w:rsidRPr="00276D5E">
        <w:rPr>
          <w:rFonts w:ascii="Arial" w:hAnsi="Arial" w:cs="Arial"/>
          <w:spacing w:val="-4"/>
          <w:sz w:val="20"/>
        </w:rPr>
        <w:t xml:space="preserve"> </w:t>
      </w:r>
      <w:r w:rsidRPr="00276D5E">
        <w:rPr>
          <w:rFonts w:ascii="Arial" w:hAnsi="Arial" w:cs="Arial"/>
          <w:sz w:val="20"/>
        </w:rPr>
        <w:t>per</w:t>
      </w:r>
      <w:r w:rsidRPr="00276D5E">
        <w:rPr>
          <w:rFonts w:ascii="Arial" w:hAnsi="Arial" w:cs="Arial"/>
          <w:spacing w:val="-4"/>
          <w:sz w:val="20"/>
        </w:rPr>
        <w:t xml:space="preserve"> </w:t>
      </w:r>
      <w:r w:rsidRPr="00276D5E">
        <w:rPr>
          <w:rFonts w:ascii="Arial" w:hAnsi="Arial" w:cs="Arial"/>
          <w:sz w:val="20"/>
        </w:rPr>
        <w:t>subject</w:t>
      </w:r>
      <w:r w:rsidRPr="00276D5E">
        <w:rPr>
          <w:rFonts w:ascii="Arial" w:hAnsi="Arial" w:cs="Arial"/>
          <w:spacing w:val="-4"/>
          <w:sz w:val="20"/>
        </w:rPr>
        <w:t xml:space="preserve"> </w:t>
      </w:r>
      <w:r w:rsidRPr="00276D5E">
        <w:rPr>
          <w:rFonts w:ascii="Arial" w:hAnsi="Arial" w:cs="Arial"/>
          <w:sz w:val="20"/>
        </w:rPr>
        <w:t>(40</w:t>
      </w:r>
      <w:r w:rsidRPr="00276D5E">
        <w:rPr>
          <w:rFonts w:ascii="Arial" w:hAnsi="Arial" w:cs="Arial"/>
          <w:spacing w:val="-5"/>
          <w:sz w:val="20"/>
        </w:rPr>
        <w:t xml:space="preserve"> </w:t>
      </w:r>
      <w:r w:rsidRPr="00276D5E">
        <w:rPr>
          <w:rFonts w:ascii="Arial" w:hAnsi="Arial" w:cs="Arial"/>
          <w:sz w:val="20"/>
        </w:rPr>
        <w:t>in</w:t>
      </w:r>
      <w:r w:rsidRPr="00276D5E">
        <w:rPr>
          <w:rFonts w:ascii="Arial" w:hAnsi="Arial" w:cs="Arial"/>
          <w:spacing w:val="-4"/>
          <w:sz w:val="20"/>
        </w:rPr>
        <w:t xml:space="preserve"> </w:t>
      </w:r>
      <w:r w:rsidRPr="00276D5E">
        <w:rPr>
          <w:rFonts w:ascii="Arial" w:hAnsi="Arial" w:cs="Arial"/>
          <w:sz w:val="20"/>
        </w:rPr>
        <w:t>total)</w:t>
      </w:r>
      <w:r w:rsidRPr="00276D5E">
        <w:rPr>
          <w:rFonts w:ascii="Arial" w:hAnsi="Arial" w:cs="Arial"/>
          <w:spacing w:val="-5"/>
          <w:sz w:val="20"/>
        </w:rPr>
        <w:t xml:space="preserve"> </w:t>
      </w:r>
      <w:r w:rsidRPr="00276D5E">
        <w:rPr>
          <w:rFonts w:ascii="Arial" w:hAnsi="Arial" w:cs="Arial"/>
          <w:sz w:val="20"/>
        </w:rPr>
        <w:t>and</w:t>
      </w:r>
      <w:r w:rsidRPr="00276D5E">
        <w:rPr>
          <w:rFonts w:ascii="Arial" w:hAnsi="Arial" w:cs="Arial"/>
          <w:spacing w:val="-6"/>
          <w:sz w:val="20"/>
        </w:rPr>
        <w:t xml:space="preserve"> </w:t>
      </w:r>
      <w:r w:rsidRPr="00276D5E">
        <w:rPr>
          <w:rFonts w:ascii="Arial" w:hAnsi="Arial" w:cs="Arial"/>
          <w:sz w:val="20"/>
        </w:rPr>
        <w:t>has</w:t>
      </w:r>
      <w:r w:rsidRPr="00276D5E">
        <w:rPr>
          <w:rFonts w:ascii="Arial" w:hAnsi="Arial" w:cs="Arial"/>
          <w:spacing w:val="-5"/>
          <w:sz w:val="20"/>
        </w:rPr>
        <w:t xml:space="preserve"> </w:t>
      </w:r>
      <w:r w:rsidRPr="00276D5E">
        <w:rPr>
          <w:rFonts w:ascii="Arial" w:hAnsi="Arial" w:cs="Arial"/>
          <w:sz w:val="20"/>
        </w:rPr>
        <w:t>a</w:t>
      </w:r>
      <w:r w:rsidRPr="00276D5E">
        <w:rPr>
          <w:rFonts w:ascii="Arial" w:hAnsi="Arial" w:cs="Arial"/>
          <w:spacing w:val="-5"/>
          <w:sz w:val="20"/>
        </w:rPr>
        <w:t xml:space="preserve"> </w:t>
      </w:r>
      <w:r w:rsidRPr="00276D5E">
        <w:rPr>
          <w:rFonts w:ascii="Arial" w:hAnsi="Arial" w:cs="Arial"/>
          <w:sz w:val="20"/>
        </w:rPr>
        <w:t>duration</w:t>
      </w:r>
      <w:r w:rsidRPr="00276D5E">
        <w:rPr>
          <w:rFonts w:ascii="Arial" w:hAnsi="Arial" w:cs="Arial"/>
          <w:spacing w:val="-6"/>
          <w:sz w:val="20"/>
        </w:rPr>
        <w:t xml:space="preserve"> </w:t>
      </w:r>
      <w:r w:rsidRPr="00276D5E">
        <w:rPr>
          <w:rFonts w:ascii="Arial" w:hAnsi="Arial" w:cs="Arial"/>
          <w:sz w:val="20"/>
        </w:rPr>
        <w:t>of</w:t>
      </w:r>
      <w:r w:rsidRPr="00276D5E">
        <w:rPr>
          <w:rFonts w:ascii="Arial" w:hAnsi="Arial" w:cs="Arial"/>
          <w:spacing w:val="-8"/>
          <w:sz w:val="20"/>
        </w:rPr>
        <w:t xml:space="preserve"> </w:t>
      </w:r>
      <w:r w:rsidRPr="00276D5E">
        <w:rPr>
          <w:rFonts w:ascii="Arial" w:hAnsi="Arial" w:cs="Arial"/>
          <w:sz w:val="20"/>
        </w:rPr>
        <w:t>80</w:t>
      </w:r>
      <w:r w:rsidRPr="00276D5E">
        <w:rPr>
          <w:rFonts w:ascii="Arial" w:hAnsi="Arial" w:cs="Arial"/>
          <w:spacing w:val="-5"/>
          <w:sz w:val="20"/>
        </w:rPr>
        <w:t xml:space="preserve"> </w:t>
      </w:r>
      <w:r w:rsidRPr="00276D5E">
        <w:rPr>
          <w:rFonts w:ascii="Arial" w:hAnsi="Arial" w:cs="Arial"/>
          <w:sz w:val="20"/>
        </w:rPr>
        <w:t>minutes.</w:t>
      </w:r>
      <w:r w:rsidRPr="00276D5E">
        <w:rPr>
          <w:rFonts w:ascii="Arial" w:hAnsi="Arial" w:cs="Arial"/>
          <w:spacing w:val="-4"/>
          <w:sz w:val="20"/>
        </w:rPr>
        <w:t xml:space="preserve"> </w:t>
      </w:r>
      <w:r w:rsidRPr="00276D5E">
        <w:rPr>
          <w:rFonts w:ascii="Arial" w:hAnsi="Arial" w:cs="Arial"/>
          <w:sz w:val="20"/>
        </w:rPr>
        <w:t>In</w:t>
      </w:r>
      <w:r w:rsidRPr="00276D5E">
        <w:rPr>
          <w:rFonts w:ascii="Arial" w:hAnsi="Arial" w:cs="Arial"/>
          <w:spacing w:val="-3"/>
          <w:sz w:val="20"/>
        </w:rPr>
        <w:t xml:space="preserve"> </w:t>
      </w:r>
      <w:r w:rsidRPr="00276D5E">
        <w:rPr>
          <w:rFonts w:ascii="Arial" w:hAnsi="Arial" w:cs="Arial"/>
          <w:sz w:val="20"/>
        </w:rPr>
        <w:t>any</w:t>
      </w:r>
      <w:r w:rsidRPr="00276D5E">
        <w:rPr>
          <w:rFonts w:ascii="Arial" w:hAnsi="Arial" w:cs="Arial"/>
          <w:spacing w:val="-4"/>
          <w:sz w:val="20"/>
        </w:rPr>
        <w:t xml:space="preserve"> </w:t>
      </w:r>
      <w:r w:rsidRPr="00276D5E">
        <w:rPr>
          <w:rFonts w:ascii="Arial" w:hAnsi="Arial" w:cs="Arial"/>
          <w:sz w:val="20"/>
        </w:rPr>
        <w:t>case,</w:t>
      </w:r>
      <w:r w:rsidRPr="00276D5E">
        <w:rPr>
          <w:rFonts w:ascii="Arial" w:hAnsi="Arial" w:cs="Arial"/>
          <w:spacing w:val="-4"/>
          <w:sz w:val="20"/>
        </w:rPr>
        <w:t xml:space="preserve"> </w:t>
      </w:r>
      <w:r w:rsidRPr="00276D5E">
        <w:rPr>
          <w:rFonts w:ascii="Arial" w:hAnsi="Arial" w:cs="Arial"/>
          <w:sz w:val="20"/>
        </w:rPr>
        <w:t>the</w:t>
      </w:r>
      <w:r w:rsidRPr="00276D5E">
        <w:rPr>
          <w:rFonts w:ascii="Arial" w:hAnsi="Arial" w:cs="Arial"/>
          <w:spacing w:val="-5"/>
          <w:sz w:val="20"/>
        </w:rPr>
        <w:t xml:space="preserve"> </w:t>
      </w:r>
      <w:r w:rsidRPr="00276D5E">
        <w:rPr>
          <w:rFonts w:ascii="Arial" w:hAnsi="Arial" w:cs="Arial"/>
          <w:sz w:val="20"/>
        </w:rPr>
        <w:t>pass</w:t>
      </w:r>
      <w:r w:rsidRPr="00276D5E">
        <w:rPr>
          <w:rFonts w:ascii="Arial" w:hAnsi="Arial" w:cs="Arial"/>
          <w:spacing w:val="-5"/>
          <w:sz w:val="20"/>
        </w:rPr>
        <w:t xml:space="preserve"> </w:t>
      </w:r>
      <w:r w:rsidRPr="00276D5E">
        <w:rPr>
          <w:rFonts w:ascii="Arial" w:hAnsi="Arial" w:cs="Arial"/>
          <w:sz w:val="20"/>
        </w:rPr>
        <w:t>rate</w:t>
      </w:r>
      <w:r w:rsidRPr="00276D5E">
        <w:rPr>
          <w:rFonts w:ascii="Arial" w:hAnsi="Arial" w:cs="Arial"/>
          <w:spacing w:val="-5"/>
          <w:sz w:val="20"/>
        </w:rPr>
        <w:t xml:space="preserve"> </w:t>
      </w:r>
      <w:r w:rsidRPr="00276D5E">
        <w:rPr>
          <w:rFonts w:ascii="Arial" w:hAnsi="Arial" w:cs="Arial"/>
          <w:sz w:val="20"/>
        </w:rPr>
        <w:t>as</w:t>
      </w:r>
      <w:r w:rsidRPr="00276D5E">
        <w:rPr>
          <w:rFonts w:ascii="Arial" w:hAnsi="Arial" w:cs="Arial"/>
          <w:spacing w:val="-5"/>
          <w:sz w:val="20"/>
        </w:rPr>
        <w:t xml:space="preserve"> </w:t>
      </w:r>
      <w:r w:rsidRPr="00276D5E">
        <w:rPr>
          <w:rFonts w:ascii="Arial" w:hAnsi="Arial" w:cs="Arial"/>
          <w:sz w:val="20"/>
        </w:rPr>
        <w:t>per</w:t>
      </w:r>
      <w:r w:rsidRPr="00276D5E">
        <w:rPr>
          <w:rFonts w:ascii="Arial" w:hAnsi="Arial" w:cs="Arial"/>
          <w:spacing w:val="1"/>
          <w:sz w:val="20"/>
        </w:rPr>
        <w:t xml:space="preserve"> </w:t>
      </w:r>
      <w:r w:rsidRPr="00276D5E">
        <w:rPr>
          <w:rFonts w:ascii="Arial" w:hAnsi="Arial" w:cs="Arial"/>
          <w:sz w:val="20"/>
        </w:rPr>
        <w:t>point</w:t>
      </w:r>
      <w:r w:rsidRPr="00276D5E">
        <w:rPr>
          <w:rFonts w:ascii="Arial" w:hAnsi="Arial" w:cs="Arial"/>
          <w:spacing w:val="-1"/>
          <w:sz w:val="20"/>
        </w:rPr>
        <w:t xml:space="preserve"> </w:t>
      </w:r>
      <w:r w:rsidRPr="00276D5E">
        <w:rPr>
          <w:rFonts w:ascii="Arial" w:hAnsi="Arial" w:cs="Arial"/>
          <w:sz w:val="20"/>
        </w:rPr>
        <w:t>BFCL.135(c)(1)</w:t>
      </w:r>
      <w:r w:rsidRPr="00276D5E">
        <w:rPr>
          <w:rFonts w:ascii="Arial" w:hAnsi="Arial" w:cs="Arial"/>
          <w:spacing w:val="-1"/>
          <w:sz w:val="20"/>
        </w:rPr>
        <w:t xml:space="preserve"> </w:t>
      </w:r>
      <w:r w:rsidRPr="00276D5E">
        <w:rPr>
          <w:rFonts w:ascii="Arial" w:hAnsi="Arial" w:cs="Arial"/>
          <w:sz w:val="20"/>
        </w:rPr>
        <w:t>needs</w:t>
      </w:r>
      <w:r w:rsidRPr="00276D5E">
        <w:rPr>
          <w:rFonts w:ascii="Arial" w:hAnsi="Arial" w:cs="Arial"/>
          <w:spacing w:val="-2"/>
          <w:sz w:val="20"/>
        </w:rPr>
        <w:t xml:space="preserve"> </w:t>
      </w:r>
      <w:r w:rsidRPr="00276D5E">
        <w:rPr>
          <w:rFonts w:ascii="Arial" w:hAnsi="Arial" w:cs="Arial"/>
          <w:sz w:val="20"/>
        </w:rPr>
        <w:t>to</w:t>
      </w:r>
      <w:r w:rsidRPr="00276D5E">
        <w:rPr>
          <w:rFonts w:ascii="Arial" w:hAnsi="Arial" w:cs="Arial"/>
          <w:spacing w:val="-1"/>
          <w:sz w:val="20"/>
        </w:rPr>
        <w:t xml:space="preserve"> </w:t>
      </w:r>
      <w:r w:rsidRPr="00276D5E">
        <w:rPr>
          <w:rFonts w:ascii="Arial" w:hAnsi="Arial" w:cs="Arial"/>
          <w:sz w:val="20"/>
        </w:rPr>
        <w:t>be</w:t>
      </w:r>
      <w:r w:rsidRPr="00276D5E">
        <w:rPr>
          <w:rFonts w:ascii="Arial" w:hAnsi="Arial" w:cs="Arial"/>
          <w:spacing w:val="-1"/>
          <w:sz w:val="20"/>
        </w:rPr>
        <w:t xml:space="preserve"> </w:t>
      </w:r>
      <w:r w:rsidRPr="00276D5E">
        <w:rPr>
          <w:rFonts w:ascii="Arial" w:hAnsi="Arial" w:cs="Arial"/>
          <w:sz w:val="20"/>
        </w:rPr>
        <w:t>achieved for each subject.</w:t>
      </w:r>
    </w:p>
    <w:p w14:paraId="1129DBCD" w14:textId="77777777" w:rsidR="005F4E8A" w:rsidRPr="00276D5E" w:rsidRDefault="005F4E8A" w:rsidP="00BA1962">
      <w:pPr>
        <w:spacing w:before="44" w:line="276" w:lineRule="auto"/>
        <w:ind w:left="795" w:right="244"/>
        <w:jc w:val="both"/>
        <w:rPr>
          <w:rFonts w:ascii="Arial" w:hAnsi="Arial" w:cs="Arial"/>
          <w:sz w:val="20"/>
        </w:rPr>
      </w:pPr>
    </w:p>
    <w:p w14:paraId="1BC9FB42" w14:textId="77777777" w:rsidR="00AB036E" w:rsidRPr="00AB036E" w:rsidRDefault="00AB036E" w:rsidP="00BA1962">
      <w:pPr>
        <w:numPr>
          <w:ilvl w:val="0"/>
          <w:numId w:val="173"/>
        </w:numPr>
        <w:spacing w:line="276" w:lineRule="auto"/>
        <w:jc w:val="both"/>
        <w:rPr>
          <w:rFonts w:ascii="Arial" w:eastAsia="Times New Roman" w:hAnsi="Arial" w:cs="Times New Roman"/>
          <w:sz w:val="20"/>
        </w:rPr>
      </w:pPr>
      <w:r w:rsidRPr="00AB036E">
        <w:rPr>
          <w:rFonts w:ascii="Arial" w:eastAsia="Times New Roman" w:hAnsi="Arial" w:cs="Times New Roman"/>
          <w:sz w:val="20"/>
        </w:rPr>
        <w:t>The period of 18 months mentioned in point BFCL.135(c)(2) should be counted from the end of the calendar month when the applicant first attempted an examination.</w:t>
      </w:r>
    </w:p>
    <w:p w14:paraId="2EB8DE22" w14:textId="4356CB8A" w:rsidR="00AB036E" w:rsidRPr="00AB036E" w:rsidRDefault="00AB036E" w:rsidP="00BA1962">
      <w:pPr>
        <w:numPr>
          <w:ilvl w:val="0"/>
          <w:numId w:val="173"/>
        </w:numPr>
        <w:spacing w:line="276" w:lineRule="auto"/>
        <w:jc w:val="both"/>
        <w:rPr>
          <w:rFonts w:ascii="Arial" w:eastAsia="Times New Roman" w:hAnsi="Arial" w:cs="Times New Roman"/>
          <w:sz w:val="20"/>
        </w:rPr>
      </w:pPr>
      <w:r w:rsidRPr="00AB036E">
        <w:rPr>
          <w:rFonts w:ascii="Arial" w:eastAsia="Times New Roman" w:hAnsi="Arial" w:cs="Times New Roman"/>
          <w:sz w:val="20"/>
        </w:rPr>
        <w:t xml:space="preserve">The </w:t>
      </w:r>
      <w:r w:rsidR="003C6906">
        <w:rPr>
          <w:rFonts w:ascii="Arial" w:hAnsi="Arial" w:cs="Arial"/>
          <w:sz w:val="20"/>
          <w:szCs w:val="20"/>
        </w:rPr>
        <w:t xml:space="preserve">CAC RA </w:t>
      </w:r>
      <w:r w:rsidRPr="00AB036E">
        <w:rPr>
          <w:rFonts w:ascii="Arial" w:eastAsia="Times New Roman" w:hAnsi="Arial" w:cs="Times New Roman"/>
          <w:sz w:val="20"/>
        </w:rPr>
        <w:t>should inform applicants of the language(s) in which the examination will be conducted.</w:t>
      </w:r>
    </w:p>
    <w:p w14:paraId="052E78F3" w14:textId="77777777" w:rsidR="008C4736" w:rsidRPr="008C4736" w:rsidRDefault="008C4736" w:rsidP="008C4736">
      <w:pPr>
        <w:keepNext/>
        <w:keepLines/>
        <w:widowControl/>
        <w:shd w:val="clear" w:color="auto" w:fill="339966"/>
        <w:autoSpaceDE/>
        <w:autoSpaceDN/>
        <w:spacing w:before="160" w:after="120" w:line="259" w:lineRule="auto"/>
        <w:outlineLvl w:val="4"/>
        <w:rPr>
          <w:rFonts w:ascii="Arial" w:eastAsia="Times New Roman" w:hAnsi="Arial" w:cs="Times New Roman"/>
          <w:b/>
          <w:color w:val="FFFFFF"/>
          <w:sz w:val="24"/>
        </w:rPr>
      </w:pPr>
      <w:bookmarkStart w:id="616" w:name="GM1_BFCL.135__BPL_–_Theoretical_knowledg"/>
      <w:bookmarkStart w:id="617" w:name="_bookmark248"/>
      <w:bookmarkStart w:id="618" w:name="_Toc153137413"/>
      <w:bookmarkEnd w:id="616"/>
      <w:bookmarkEnd w:id="617"/>
      <w:r w:rsidRPr="008C4736">
        <w:rPr>
          <w:rFonts w:ascii="Arial" w:eastAsia="Times New Roman" w:hAnsi="Arial" w:cs="Times New Roman"/>
          <w:b/>
          <w:color w:val="FFFFFF"/>
          <w:sz w:val="24"/>
        </w:rPr>
        <w:t>GM1 BFCL.135 BPL – Theoretical knowledge examinations</w:t>
      </w:r>
      <w:bookmarkEnd w:id="618"/>
    </w:p>
    <w:p w14:paraId="62E2B766" w14:textId="77777777" w:rsidR="00754FDA" w:rsidRPr="00754FDA" w:rsidRDefault="00754FDA" w:rsidP="00754FDA">
      <w:pPr>
        <w:widowControl/>
        <w:autoSpaceDE/>
        <w:autoSpaceDN/>
        <w:spacing w:before="240" w:after="160" w:line="264" w:lineRule="auto"/>
        <w:jc w:val="both"/>
        <w:rPr>
          <w:rFonts w:ascii="Arial" w:eastAsiaTheme="minorHAnsi" w:hAnsi="Arial" w:cs="Arial"/>
          <w:b/>
          <w:bCs/>
          <w:sz w:val="20"/>
          <w:szCs w:val="20"/>
        </w:rPr>
      </w:pPr>
      <w:r w:rsidRPr="00754FDA">
        <w:rPr>
          <w:rFonts w:ascii="Arial" w:eastAsiaTheme="minorHAnsi" w:hAnsi="Arial" w:cs="Arial"/>
          <w:b/>
          <w:bCs/>
          <w:sz w:val="20"/>
          <w:szCs w:val="20"/>
        </w:rPr>
        <w:t>TERMINOLOGY</w:t>
      </w:r>
    </w:p>
    <w:p w14:paraId="2EA2BBF1" w14:textId="77777777" w:rsidR="00754FDA" w:rsidRPr="00754FDA" w:rsidRDefault="00754FDA" w:rsidP="00754FDA">
      <w:pPr>
        <w:jc w:val="both"/>
        <w:rPr>
          <w:rFonts w:ascii="Arial" w:eastAsia="Times New Roman" w:hAnsi="Arial" w:cs="Times New Roman"/>
          <w:sz w:val="20"/>
        </w:rPr>
      </w:pPr>
      <w:r w:rsidRPr="00754FDA">
        <w:rPr>
          <w:rFonts w:ascii="Arial" w:eastAsia="Times New Roman" w:hAnsi="Arial" w:cs="Times New Roman"/>
          <w:sz w:val="20"/>
        </w:rPr>
        <w:t>The meaning of the following terms used in BFCL.135 is as follows:</w:t>
      </w:r>
    </w:p>
    <w:p w14:paraId="3410D801" w14:textId="77777777" w:rsidR="00754FDA" w:rsidRPr="00754FDA" w:rsidRDefault="00754FDA" w:rsidP="0079393D">
      <w:pPr>
        <w:numPr>
          <w:ilvl w:val="0"/>
          <w:numId w:val="174"/>
        </w:numPr>
        <w:jc w:val="both"/>
        <w:rPr>
          <w:rFonts w:ascii="Arial" w:eastAsia="Times New Roman" w:hAnsi="Arial" w:cs="Times New Roman"/>
          <w:sz w:val="20"/>
        </w:rPr>
      </w:pPr>
      <w:r w:rsidRPr="00754FDA">
        <w:rPr>
          <w:rFonts w:ascii="Arial" w:eastAsia="Times New Roman" w:hAnsi="Arial" w:cs="Times New Roman"/>
          <w:sz w:val="20"/>
        </w:rPr>
        <w:t>‘Entire set of examinations’: an examination in all subjects required by the licence level.</w:t>
      </w:r>
    </w:p>
    <w:p w14:paraId="053B74D6" w14:textId="77777777" w:rsidR="00754FDA" w:rsidRPr="00754FDA" w:rsidRDefault="00754FDA" w:rsidP="0079393D">
      <w:pPr>
        <w:numPr>
          <w:ilvl w:val="0"/>
          <w:numId w:val="174"/>
        </w:numPr>
        <w:jc w:val="both"/>
        <w:rPr>
          <w:rFonts w:ascii="Arial" w:eastAsia="Times New Roman" w:hAnsi="Arial" w:cs="Times New Roman"/>
          <w:sz w:val="20"/>
        </w:rPr>
      </w:pPr>
      <w:r w:rsidRPr="00754FDA">
        <w:rPr>
          <w:rFonts w:ascii="Arial" w:eastAsia="Times New Roman" w:hAnsi="Arial" w:cs="Times New Roman"/>
          <w:sz w:val="20"/>
        </w:rPr>
        <w:t>‘Examination’: the demonstration of knowledge in one or more examination papers.</w:t>
      </w:r>
    </w:p>
    <w:p w14:paraId="54FDDA62" w14:textId="77777777" w:rsidR="00754FDA" w:rsidRPr="00754FDA" w:rsidRDefault="00754FDA" w:rsidP="0079393D">
      <w:pPr>
        <w:numPr>
          <w:ilvl w:val="0"/>
          <w:numId w:val="174"/>
        </w:numPr>
        <w:jc w:val="both"/>
        <w:rPr>
          <w:rFonts w:ascii="Arial" w:eastAsia="Times New Roman" w:hAnsi="Arial" w:cs="Times New Roman"/>
          <w:sz w:val="20"/>
        </w:rPr>
      </w:pPr>
      <w:r w:rsidRPr="00754FDA">
        <w:rPr>
          <w:rFonts w:ascii="Arial" w:eastAsia="Times New Roman" w:hAnsi="Arial" w:cs="Times New Roman"/>
          <w:sz w:val="20"/>
        </w:rPr>
        <w:t>‘Examination paper’: a set of questions that covers one subject required by the licence level, to be answered by a candidate for examination.</w:t>
      </w:r>
    </w:p>
    <w:p w14:paraId="29AFB4A0" w14:textId="77777777" w:rsidR="00AB036E" w:rsidRPr="00754FDA" w:rsidRDefault="00754FDA" w:rsidP="0079393D">
      <w:pPr>
        <w:numPr>
          <w:ilvl w:val="0"/>
          <w:numId w:val="174"/>
        </w:numPr>
        <w:jc w:val="both"/>
        <w:rPr>
          <w:rFonts w:ascii="Arial" w:eastAsia="Times New Roman" w:hAnsi="Arial" w:cs="Times New Roman"/>
          <w:sz w:val="20"/>
        </w:rPr>
      </w:pPr>
      <w:r w:rsidRPr="00754FDA">
        <w:rPr>
          <w:rFonts w:ascii="Arial" w:eastAsia="Times New Roman" w:hAnsi="Arial" w:cs="Times New Roman"/>
          <w:sz w:val="20"/>
        </w:rPr>
        <w:t>‘Attempt’: a try to pass a specific examination paper.</w:t>
      </w:r>
    </w:p>
    <w:p w14:paraId="54B11B7E" w14:textId="77777777" w:rsidR="00754FDA" w:rsidRPr="00754FDA" w:rsidRDefault="00754FDA" w:rsidP="00754FDA">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619" w:name="BFCL.140__BPL_–_Crediting_of_theoretical"/>
      <w:bookmarkStart w:id="620" w:name="_bookmark249"/>
      <w:bookmarkStart w:id="621" w:name="_Toc153137414"/>
      <w:bookmarkEnd w:id="619"/>
      <w:bookmarkEnd w:id="620"/>
      <w:r w:rsidRPr="00754FDA">
        <w:rPr>
          <w:rFonts w:ascii="Arial" w:eastAsia="Times New Roman" w:hAnsi="Arial" w:cs="Times New Roman"/>
          <w:b/>
          <w:iCs/>
          <w:color w:val="FFFFFF"/>
          <w:sz w:val="24"/>
        </w:rPr>
        <w:t>BFCL.140 BPL – Crediting of theoretical knowledge</w:t>
      </w:r>
      <w:bookmarkEnd w:id="621"/>
    </w:p>
    <w:p w14:paraId="2978818C" w14:textId="77777777" w:rsidR="00754FDA" w:rsidRPr="00754FDA" w:rsidRDefault="00754FDA" w:rsidP="00754FDA">
      <w:pPr>
        <w:jc w:val="both"/>
        <w:rPr>
          <w:rFonts w:ascii="Arial" w:eastAsia="Times New Roman" w:hAnsi="Arial" w:cs="Times New Roman"/>
          <w:sz w:val="20"/>
          <w:szCs w:val="20"/>
        </w:rPr>
      </w:pPr>
      <w:r w:rsidRPr="00754FDA">
        <w:rPr>
          <w:rFonts w:ascii="Arial" w:eastAsia="Times New Roman" w:hAnsi="Arial" w:cs="Times New Roman"/>
          <w:sz w:val="20"/>
          <w:szCs w:val="20"/>
        </w:rPr>
        <w:t>Applicants for the issue of a BPL shall be credited towards the theoretical knowledge requirements for the common subjects as specified in point BFCL.135(a)(1) if they:</w:t>
      </w:r>
    </w:p>
    <w:p w14:paraId="0F0EAA5C" w14:textId="16E8C74E" w:rsidR="00754FDA" w:rsidRPr="00754FDA" w:rsidRDefault="00754FDA" w:rsidP="0079393D">
      <w:pPr>
        <w:numPr>
          <w:ilvl w:val="0"/>
          <w:numId w:val="175"/>
        </w:numPr>
        <w:jc w:val="both"/>
        <w:rPr>
          <w:rFonts w:ascii="Arial" w:eastAsia="Times New Roman" w:hAnsi="Arial" w:cs="Times New Roman"/>
          <w:sz w:val="20"/>
          <w:szCs w:val="20"/>
        </w:rPr>
      </w:pPr>
      <w:r w:rsidRPr="00754FDA">
        <w:rPr>
          <w:rFonts w:ascii="Arial" w:eastAsia="Times New Roman" w:hAnsi="Arial" w:cs="Times New Roman"/>
          <w:sz w:val="20"/>
          <w:szCs w:val="20"/>
        </w:rPr>
        <w:t xml:space="preserve">hold a licence in accordance with Annex I (Part-FCL) to </w:t>
      </w:r>
      <w:r w:rsidR="009D57B0" w:rsidRPr="004E506A">
        <w:rPr>
          <w:rFonts w:ascii="Arial" w:hAnsi="Arial" w:cs="Arial"/>
          <w:sz w:val="20"/>
          <w:szCs w:val="20"/>
        </w:rPr>
        <w:t xml:space="preserve"> </w:t>
      </w:r>
      <w:hyperlink r:id="rId83" w:history="1">
        <w:r w:rsidR="009D57B0" w:rsidRPr="005175A4">
          <w:rPr>
            <w:rStyle w:val="Hyperlink"/>
            <w:rFonts w:ascii="Arial" w:hAnsi="Arial" w:cs="Arial"/>
            <w:sz w:val="20"/>
            <w:szCs w:val="20"/>
          </w:rPr>
          <w:t>the order N 3-N of the Minister of Territorial Administration and Infrastructure of RA, dated 11.02.2022</w:t>
        </w:r>
      </w:hyperlink>
      <w:r w:rsidRPr="00670F7B">
        <w:rPr>
          <w:rFonts w:ascii="Arial" w:eastAsia="Times New Roman" w:hAnsi="Arial" w:cs="Times New Roman"/>
          <w:sz w:val="20"/>
          <w:szCs w:val="20"/>
        </w:rPr>
        <w:t>; or</w:t>
      </w:r>
    </w:p>
    <w:p w14:paraId="40AA3E60" w14:textId="77777777" w:rsidR="00754FDA" w:rsidRPr="00754FDA" w:rsidRDefault="00754FDA" w:rsidP="0079393D">
      <w:pPr>
        <w:numPr>
          <w:ilvl w:val="0"/>
          <w:numId w:val="175"/>
        </w:numPr>
        <w:jc w:val="both"/>
        <w:rPr>
          <w:rFonts w:ascii="Arial" w:eastAsia="Times New Roman" w:hAnsi="Arial" w:cs="Times New Roman"/>
          <w:sz w:val="20"/>
          <w:szCs w:val="20"/>
        </w:rPr>
      </w:pPr>
      <w:r w:rsidRPr="00754FDA">
        <w:rPr>
          <w:rFonts w:ascii="Arial" w:eastAsia="Times New Roman" w:hAnsi="Arial" w:cs="Times New Roman"/>
          <w:sz w:val="20"/>
          <w:szCs w:val="20"/>
        </w:rPr>
        <w:t>have passed the theoretical knowledge examinations for a licence as specified in paragraph (a), as long as this is done within the validity period specified in point BFCL.135(d).</w:t>
      </w:r>
    </w:p>
    <w:p w14:paraId="5E27B021" w14:textId="77777777" w:rsidR="00B25B70" w:rsidRPr="00B25B70" w:rsidRDefault="00B25B70" w:rsidP="00B25B70">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622" w:name="BFCL.145__BPL_–_Practical_skill_test"/>
      <w:bookmarkStart w:id="623" w:name="_bookmark250"/>
      <w:bookmarkStart w:id="624" w:name="_Toc153137415"/>
      <w:bookmarkEnd w:id="622"/>
      <w:bookmarkEnd w:id="623"/>
      <w:r w:rsidRPr="00B25B70">
        <w:rPr>
          <w:rFonts w:ascii="Arial" w:eastAsia="Times New Roman" w:hAnsi="Arial" w:cs="Times New Roman"/>
          <w:b/>
          <w:iCs/>
          <w:color w:val="FFFFFF"/>
          <w:sz w:val="24"/>
        </w:rPr>
        <w:t>BFCL.145 BPL – Practical skill test</w:t>
      </w:r>
      <w:bookmarkEnd w:id="624"/>
    </w:p>
    <w:p w14:paraId="339CD83A" w14:textId="77777777" w:rsidR="00B25B70" w:rsidRPr="00B25B70" w:rsidRDefault="00B25B70" w:rsidP="0079393D">
      <w:pPr>
        <w:numPr>
          <w:ilvl w:val="0"/>
          <w:numId w:val="176"/>
        </w:numPr>
        <w:jc w:val="both"/>
        <w:rPr>
          <w:rFonts w:ascii="Arial" w:eastAsia="Times New Roman" w:hAnsi="Arial" w:cs="Times New Roman"/>
          <w:sz w:val="20"/>
        </w:rPr>
      </w:pPr>
      <w:r w:rsidRPr="00B25B70">
        <w:rPr>
          <w:rFonts w:ascii="Arial" w:eastAsia="Times New Roman" w:hAnsi="Arial" w:cs="Times New Roman"/>
          <w:sz w:val="20"/>
        </w:rPr>
        <w:t>Applicants for a BPL shall demonstrate through the completion of a skill test the ability to perform, as PIC on a balloon, the relevant procedures and manoeuvres with competency appropriate to the privileges sought.</w:t>
      </w:r>
    </w:p>
    <w:p w14:paraId="231FF4AD" w14:textId="77777777" w:rsidR="00B25B70" w:rsidRPr="00B25B70" w:rsidRDefault="00B25B70" w:rsidP="0079393D">
      <w:pPr>
        <w:numPr>
          <w:ilvl w:val="0"/>
          <w:numId w:val="176"/>
        </w:numPr>
        <w:jc w:val="both"/>
        <w:rPr>
          <w:rFonts w:ascii="Arial" w:eastAsia="Times New Roman" w:hAnsi="Arial" w:cs="Times New Roman"/>
          <w:sz w:val="20"/>
        </w:rPr>
      </w:pPr>
      <w:r w:rsidRPr="00B25B70">
        <w:rPr>
          <w:rFonts w:ascii="Arial" w:eastAsia="Times New Roman" w:hAnsi="Arial" w:cs="Times New Roman"/>
          <w:sz w:val="20"/>
        </w:rPr>
        <w:lastRenderedPageBreak/>
        <w:t>Applicants shall complete the skill test in the same class of balloons in which the training course has been completed in accordance with point BFCL.130 and, in case of hot-air balloons, in a balloon that represents group A of that class.</w:t>
      </w:r>
    </w:p>
    <w:p w14:paraId="1BFA4EE4" w14:textId="77777777" w:rsidR="00B25B70" w:rsidRPr="00B25B70" w:rsidRDefault="00B25B70" w:rsidP="0079393D">
      <w:pPr>
        <w:numPr>
          <w:ilvl w:val="0"/>
          <w:numId w:val="176"/>
        </w:numPr>
        <w:jc w:val="both"/>
        <w:rPr>
          <w:rFonts w:ascii="Arial" w:eastAsia="Times New Roman" w:hAnsi="Arial" w:cs="Times New Roman"/>
          <w:sz w:val="20"/>
        </w:rPr>
      </w:pPr>
      <w:r w:rsidRPr="00B25B70">
        <w:rPr>
          <w:rFonts w:ascii="Arial" w:eastAsia="Times New Roman" w:hAnsi="Arial" w:cs="Times New Roman"/>
          <w:sz w:val="20"/>
        </w:rPr>
        <w:t>To take a skill test for the issue of a BPL, the applicant shall first pass the required theoretical knowledge examination.</w:t>
      </w:r>
    </w:p>
    <w:p w14:paraId="6CB14396" w14:textId="77777777" w:rsidR="00B25B70" w:rsidRPr="00B25B70" w:rsidRDefault="00B25B70" w:rsidP="0079393D">
      <w:pPr>
        <w:pStyle w:val="ListParagraph"/>
        <w:numPr>
          <w:ilvl w:val="0"/>
          <w:numId w:val="176"/>
        </w:numPr>
        <w:tabs>
          <w:tab w:val="left" w:pos="707"/>
        </w:tabs>
        <w:spacing w:before="56"/>
        <w:jc w:val="both"/>
        <w:rPr>
          <w:rFonts w:ascii="Arial" w:hAnsi="Arial" w:cs="Arial"/>
          <w:sz w:val="20"/>
        </w:rPr>
      </w:pPr>
      <w:r w:rsidRPr="00B25B70">
        <w:rPr>
          <w:rFonts w:ascii="Arial" w:hAnsi="Arial" w:cs="Arial"/>
          <w:sz w:val="20"/>
        </w:rPr>
        <w:t>Pass</w:t>
      </w:r>
      <w:r w:rsidRPr="00B25B70">
        <w:rPr>
          <w:rFonts w:ascii="Arial" w:hAnsi="Arial" w:cs="Arial"/>
          <w:spacing w:val="-1"/>
          <w:sz w:val="20"/>
        </w:rPr>
        <w:t xml:space="preserve"> </w:t>
      </w:r>
      <w:r w:rsidRPr="00B25B70">
        <w:rPr>
          <w:rFonts w:ascii="Arial" w:hAnsi="Arial" w:cs="Arial"/>
          <w:sz w:val="20"/>
        </w:rPr>
        <w:t>standards</w:t>
      </w:r>
    </w:p>
    <w:p w14:paraId="677ACBA0" w14:textId="77777777" w:rsidR="00B25B70" w:rsidRPr="00B25B70" w:rsidRDefault="00B25B70" w:rsidP="0079393D">
      <w:pPr>
        <w:pStyle w:val="ListParagraph"/>
        <w:numPr>
          <w:ilvl w:val="1"/>
          <w:numId w:val="177"/>
        </w:numPr>
        <w:tabs>
          <w:tab w:val="left" w:pos="1274"/>
        </w:tabs>
        <w:ind w:right="198"/>
        <w:jc w:val="both"/>
        <w:rPr>
          <w:rFonts w:ascii="Arial" w:hAnsi="Arial" w:cs="Arial"/>
          <w:sz w:val="20"/>
        </w:rPr>
      </w:pPr>
      <w:r w:rsidRPr="00B25B70">
        <w:rPr>
          <w:rFonts w:ascii="Arial" w:hAnsi="Arial" w:cs="Arial"/>
          <w:sz w:val="20"/>
        </w:rPr>
        <w:t>The</w:t>
      </w:r>
      <w:r w:rsidRPr="00B25B70">
        <w:rPr>
          <w:rFonts w:ascii="Arial" w:hAnsi="Arial" w:cs="Arial"/>
          <w:spacing w:val="-4"/>
          <w:sz w:val="20"/>
        </w:rPr>
        <w:t xml:space="preserve"> </w:t>
      </w:r>
      <w:r w:rsidRPr="00B25B70">
        <w:rPr>
          <w:rFonts w:ascii="Arial" w:hAnsi="Arial" w:cs="Arial"/>
          <w:sz w:val="20"/>
        </w:rPr>
        <w:t>skill</w:t>
      </w:r>
      <w:r w:rsidRPr="00B25B70">
        <w:rPr>
          <w:rFonts w:ascii="Arial" w:hAnsi="Arial" w:cs="Arial"/>
          <w:spacing w:val="-6"/>
          <w:sz w:val="20"/>
        </w:rPr>
        <w:t xml:space="preserve"> </w:t>
      </w:r>
      <w:r w:rsidRPr="00B25B70">
        <w:rPr>
          <w:rFonts w:ascii="Arial" w:hAnsi="Arial" w:cs="Arial"/>
          <w:sz w:val="20"/>
        </w:rPr>
        <w:t>test</w:t>
      </w:r>
      <w:r w:rsidRPr="00B25B70">
        <w:rPr>
          <w:rFonts w:ascii="Arial" w:hAnsi="Arial" w:cs="Arial"/>
          <w:spacing w:val="-4"/>
          <w:sz w:val="20"/>
        </w:rPr>
        <w:t xml:space="preserve"> </w:t>
      </w:r>
      <w:r w:rsidRPr="00B25B70">
        <w:rPr>
          <w:rFonts w:ascii="Arial" w:hAnsi="Arial" w:cs="Arial"/>
          <w:sz w:val="20"/>
        </w:rPr>
        <w:t>shall</w:t>
      </w:r>
      <w:r w:rsidRPr="00B25B70">
        <w:rPr>
          <w:rFonts w:ascii="Arial" w:hAnsi="Arial" w:cs="Arial"/>
          <w:spacing w:val="-4"/>
          <w:sz w:val="20"/>
        </w:rPr>
        <w:t xml:space="preserve"> </w:t>
      </w:r>
      <w:r w:rsidRPr="00B25B70">
        <w:rPr>
          <w:rFonts w:ascii="Arial" w:hAnsi="Arial" w:cs="Arial"/>
          <w:sz w:val="20"/>
        </w:rPr>
        <w:t>be</w:t>
      </w:r>
      <w:r w:rsidRPr="00B25B70">
        <w:rPr>
          <w:rFonts w:ascii="Arial" w:hAnsi="Arial" w:cs="Arial"/>
          <w:spacing w:val="-3"/>
          <w:sz w:val="20"/>
        </w:rPr>
        <w:t xml:space="preserve"> </w:t>
      </w:r>
      <w:r w:rsidRPr="00B25B70">
        <w:rPr>
          <w:rFonts w:ascii="Arial" w:hAnsi="Arial" w:cs="Arial"/>
          <w:sz w:val="20"/>
        </w:rPr>
        <w:t>divided</w:t>
      </w:r>
      <w:r w:rsidRPr="00B25B70">
        <w:rPr>
          <w:rFonts w:ascii="Arial" w:hAnsi="Arial" w:cs="Arial"/>
          <w:spacing w:val="-5"/>
          <w:sz w:val="20"/>
        </w:rPr>
        <w:t xml:space="preserve"> </w:t>
      </w:r>
      <w:r w:rsidRPr="00B25B70">
        <w:rPr>
          <w:rFonts w:ascii="Arial" w:hAnsi="Arial" w:cs="Arial"/>
          <w:sz w:val="20"/>
        </w:rPr>
        <w:t>into</w:t>
      </w:r>
      <w:r w:rsidRPr="00B25B70">
        <w:rPr>
          <w:rFonts w:ascii="Arial" w:hAnsi="Arial" w:cs="Arial"/>
          <w:spacing w:val="-2"/>
          <w:sz w:val="20"/>
        </w:rPr>
        <w:t xml:space="preserve"> </w:t>
      </w:r>
      <w:r w:rsidRPr="00B25B70">
        <w:rPr>
          <w:rFonts w:ascii="Arial" w:hAnsi="Arial" w:cs="Arial"/>
          <w:sz w:val="20"/>
        </w:rPr>
        <w:t>different</w:t>
      </w:r>
      <w:r w:rsidRPr="00B25B70">
        <w:rPr>
          <w:rFonts w:ascii="Arial" w:hAnsi="Arial" w:cs="Arial"/>
          <w:spacing w:val="-5"/>
          <w:sz w:val="20"/>
        </w:rPr>
        <w:t xml:space="preserve"> </w:t>
      </w:r>
      <w:r w:rsidRPr="00B25B70">
        <w:rPr>
          <w:rFonts w:ascii="Arial" w:hAnsi="Arial" w:cs="Arial"/>
          <w:sz w:val="20"/>
        </w:rPr>
        <w:t>sections,</w:t>
      </w:r>
      <w:r w:rsidRPr="00B25B70">
        <w:rPr>
          <w:rFonts w:ascii="Arial" w:hAnsi="Arial" w:cs="Arial"/>
          <w:spacing w:val="-7"/>
          <w:sz w:val="20"/>
        </w:rPr>
        <w:t xml:space="preserve"> </w:t>
      </w:r>
      <w:r w:rsidRPr="00B25B70">
        <w:rPr>
          <w:rFonts w:ascii="Arial" w:hAnsi="Arial" w:cs="Arial"/>
          <w:sz w:val="20"/>
        </w:rPr>
        <w:t>representing</w:t>
      </w:r>
      <w:r w:rsidRPr="00B25B70">
        <w:rPr>
          <w:rFonts w:ascii="Arial" w:hAnsi="Arial" w:cs="Arial"/>
          <w:spacing w:val="-4"/>
          <w:sz w:val="20"/>
        </w:rPr>
        <w:t xml:space="preserve"> </w:t>
      </w:r>
      <w:r w:rsidRPr="00B25B70">
        <w:rPr>
          <w:rFonts w:ascii="Arial" w:hAnsi="Arial" w:cs="Arial"/>
          <w:sz w:val="20"/>
        </w:rPr>
        <w:t>all</w:t>
      </w:r>
      <w:r w:rsidRPr="00B25B70">
        <w:rPr>
          <w:rFonts w:ascii="Arial" w:hAnsi="Arial" w:cs="Arial"/>
          <w:spacing w:val="-6"/>
          <w:sz w:val="20"/>
        </w:rPr>
        <w:t xml:space="preserve"> </w:t>
      </w:r>
      <w:r w:rsidRPr="00B25B70">
        <w:rPr>
          <w:rFonts w:ascii="Arial" w:hAnsi="Arial" w:cs="Arial"/>
          <w:sz w:val="20"/>
        </w:rPr>
        <w:t>the</w:t>
      </w:r>
      <w:r w:rsidRPr="00B25B70">
        <w:rPr>
          <w:rFonts w:ascii="Arial" w:hAnsi="Arial" w:cs="Arial"/>
          <w:spacing w:val="-4"/>
          <w:sz w:val="20"/>
        </w:rPr>
        <w:t xml:space="preserve"> </w:t>
      </w:r>
      <w:r w:rsidRPr="00B25B70">
        <w:rPr>
          <w:rFonts w:ascii="Arial" w:hAnsi="Arial" w:cs="Arial"/>
          <w:sz w:val="20"/>
        </w:rPr>
        <w:t>different</w:t>
      </w:r>
      <w:r w:rsidRPr="00B25B70">
        <w:rPr>
          <w:rFonts w:ascii="Arial" w:hAnsi="Arial" w:cs="Arial"/>
          <w:spacing w:val="-5"/>
          <w:sz w:val="20"/>
        </w:rPr>
        <w:t xml:space="preserve"> </w:t>
      </w:r>
      <w:r w:rsidRPr="00B25B70">
        <w:rPr>
          <w:rFonts w:ascii="Arial" w:hAnsi="Arial" w:cs="Arial"/>
          <w:sz w:val="20"/>
        </w:rPr>
        <w:t>phases</w:t>
      </w:r>
      <w:r w:rsidRPr="00B25B70">
        <w:rPr>
          <w:rFonts w:ascii="Arial" w:hAnsi="Arial" w:cs="Arial"/>
          <w:spacing w:val="-47"/>
          <w:sz w:val="20"/>
        </w:rPr>
        <w:t xml:space="preserve"> </w:t>
      </w:r>
      <w:r w:rsidRPr="00B25B70">
        <w:rPr>
          <w:rFonts w:ascii="Arial" w:hAnsi="Arial" w:cs="Arial"/>
          <w:sz w:val="20"/>
        </w:rPr>
        <w:t>of</w:t>
      </w:r>
      <w:r w:rsidRPr="00B25B70">
        <w:rPr>
          <w:rFonts w:ascii="Arial" w:hAnsi="Arial" w:cs="Arial"/>
          <w:spacing w:val="-1"/>
          <w:sz w:val="20"/>
        </w:rPr>
        <w:t xml:space="preserve"> </w:t>
      </w:r>
      <w:r w:rsidRPr="00B25B70">
        <w:rPr>
          <w:rFonts w:ascii="Arial" w:hAnsi="Arial" w:cs="Arial"/>
          <w:sz w:val="20"/>
        </w:rPr>
        <w:t>a balloon</w:t>
      </w:r>
      <w:r w:rsidRPr="00B25B70">
        <w:rPr>
          <w:rFonts w:ascii="Arial" w:hAnsi="Arial" w:cs="Arial"/>
          <w:spacing w:val="-4"/>
          <w:sz w:val="20"/>
        </w:rPr>
        <w:t xml:space="preserve"> </w:t>
      </w:r>
      <w:r w:rsidRPr="00B25B70">
        <w:rPr>
          <w:rFonts w:ascii="Arial" w:hAnsi="Arial" w:cs="Arial"/>
          <w:sz w:val="20"/>
        </w:rPr>
        <w:t>flight.</w:t>
      </w:r>
    </w:p>
    <w:p w14:paraId="6CE295F5" w14:textId="77777777" w:rsidR="00B25B70" w:rsidRPr="00B25B70" w:rsidRDefault="00B25B70" w:rsidP="0079393D">
      <w:pPr>
        <w:pStyle w:val="ListParagraph"/>
        <w:numPr>
          <w:ilvl w:val="1"/>
          <w:numId w:val="177"/>
        </w:numPr>
        <w:tabs>
          <w:tab w:val="left" w:pos="1274"/>
        </w:tabs>
        <w:spacing w:before="121"/>
        <w:ind w:right="197"/>
        <w:jc w:val="both"/>
        <w:rPr>
          <w:rFonts w:ascii="Arial" w:hAnsi="Arial" w:cs="Arial"/>
          <w:sz w:val="20"/>
        </w:rPr>
      </w:pPr>
      <w:r w:rsidRPr="00B25B70">
        <w:rPr>
          <w:rFonts w:ascii="Arial" w:hAnsi="Arial" w:cs="Arial"/>
          <w:sz w:val="20"/>
        </w:rPr>
        <w:t>Failure in any item of a section shall cause the applicant to fail the entire section. If the</w:t>
      </w:r>
      <w:r w:rsidRPr="00B25B70">
        <w:rPr>
          <w:rFonts w:ascii="Arial" w:hAnsi="Arial" w:cs="Arial"/>
          <w:spacing w:val="1"/>
          <w:sz w:val="20"/>
        </w:rPr>
        <w:t xml:space="preserve"> </w:t>
      </w:r>
      <w:r w:rsidRPr="00B25B70">
        <w:rPr>
          <w:rFonts w:ascii="Arial" w:hAnsi="Arial" w:cs="Arial"/>
          <w:sz w:val="20"/>
        </w:rPr>
        <w:t>applicant</w:t>
      </w:r>
      <w:r w:rsidRPr="00B25B70">
        <w:rPr>
          <w:rFonts w:ascii="Arial" w:hAnsi="Arial" w:cs="Arial"/>
          <w:spacing w:val="-7"/>
          <w:sz w:val="20"/>
        </w:rPr>
        <w:t xml:space="preserve"> </w:t>
      </w:r>
      <w:r w:rsidRPr="00B25B70">
        <w:rPr>
          <w:rFonts w:ascii="Arial" w:hAnsi="Arial" w:cs="Arial"/>
          <w:sz w:val="20"/>
        </w:rPr>
        <w:t>fails</w:t>
      </w:r>
      <w:r w:rsidRPr="00B25B70">
        <w:rPr>
          <w:rFonts w:ascii="Arial" w:hAnsi="Arial" w:cs="Arial"/>
          <w:spacing w:val="-8"/>
          <w:sz w:val="20"/>
        </w:rPr>
        <w:t xml:space="preserve"> </w:t>
      </w:r>
      <w:r w:rsidRPr="00B25B70">
        <w:rPr>
          <w:rFonts w:ascii="Arial" w:hAnsi="Arial" w:cs="Arial"/>
          <w:sz w:val="20"/>
        </w:rPr>
        <w:t>in</w:t>
      </w:r>
      <w:r w:rsidRPr="00B25B70">
        <w:rPr>
          <w:rFonts w:ascii="Arial" w:hAnsi="Arial" w:cs="Arial"/>
          <w:spacing w:val="-9"/>
          <w:sz w:val="20"/>
        </w:rPr>
        <w:t xml:space="preserve"> </w:t>
      </w:r>
      <w:r w:rsidRPr="00B25B70">
        <w:rPr>
          <w:rFonts w:ascii="Arial" w:hAnsi="Arial" w:cs="Arial"/>
          <w:sz w:val="20"/>
        </w:rPr>
        <w:t>only</w:t>
      </w:r>
      <w:r w:rsidRPr="00B25B70">
        <w:rPr>
          <w:rFonts w:ascii="Arial" w:hAnsi="Arial" w:cs="Arial"/>
          <w:spacing w:val="-9"/>
          <w:sz w:val="20"/>
        </w:rPr>
        <w:t xml:space="preserve"> </w:t>
      </w:r>
      <w:r w:rsidRPr="00B25B70">
        <w:rPr>
          <w:rFonts w:ascii="Arial" w:hAnsi="Arial" w:cs="Arial"/>
          <w:sz w:val="20"/>
        </w:rPr>
        <w:t>one</w:t>
      </w:r>
      <w:r w:rsidRPr="00B25B70">
        <w:rPr>
          <w:rFonts w:ascii="Arial" w:hAnsi="Arial" w:cs="Arial"/>
          <w:spacing w:val="-7"/>
          <w:sz w:val="20"/>
        </w:rPr>
        <w:t xml:space="preserve"> </w:t>
      </w:r>
      <w:r w:rsidRPr="00B25B70">
        <w:rPr>
          <w:rFonts w:ascii="Arial" w:hAnsi="Arial" w:cs="Arial"/>
          <w:sz w:val="20"/>
        </w:rPr>
        <w:t>section,</w:t>
      </w:r>
      <w:r w:rsidRPr="00B25B70">
        <w:rPr>
          <w:rFonts w:ascii="Arial" w:hAnsi="Arial" w:cs="Arial"/>
          <w:spacing w:val="-8"/>
          <w:sz w:val="20"/>
        </w:rPr>
        <w:t xml:space="preserve"> </w:t>
      </w:r>
      <w:r w:rsidRPr="00B25B70">
        <w:rPr>
          <w:rFonts w:ascii="Arial" w:hAnsi="Arial" w:cs="Arial"/>
          <w:sz w:val="20"/>
        </w:rPr>
        <w:t>he</w:t>
      </w:r>
      <w:r w:rsidRPr="00B25B70">
        <w:rPr>
          <w:rFonts w:ascii="Arial" w:hAnsi="Arial" w:cs="Arial"/>
          <w:spacing w:val="-6"/>
          <w:sz w:val="20"/>
        </w:rPr>
        <w:t xml:space="preserve"> </w:t>
      </w:r>
      <w:r w:rsidRPr="00B25B70">
        <w:rPr>
          <w:rFonts w:ascii="Arial" w:hAnsi="Arial" w:cs="Arial"/>
          <w:sz w:val="20"/>
        </w:rPr>
        <w:t>or</w:t>
      </w:r>
      <w:r w:rsidRPr="00B25B70">
        <w:rPr>
          <w:rFonts w:ascii="Arial" w:hAnsi="Arial" w:cs="Arial"/>
          <w:spacing w:val="-8"/>
          <w:sz w:val="20"/>
        </w:rPr>
        <w:t xml:space="preserve"> </w:t>
      </w:r>
      <w:r w:rsidRPr="00B25B70">
        <w:rPr>
          <w:rFonts w:ascii="Arial" w:hAnsi="Arial" w:cs="Arial"/>
          <w:sz w:val="20"/>
        </w:rPr>
        <w:t>she</w:t>
      </w:r>
      <w:r w:rsidRPr="00B25B70">
        <w:rPr>
          <w:rFonts w:ascii="Arial" w:hAnsi="Arial" w:cs="Arial"/>
          <w:spacing w:val="-8"/>
          <w:sz w:val="20"/>
        </w:rPr>
        <w:t xml:space="preserve"> </w:t>
      </w:r>
      <w:r w:rsidRPr="00B25B70">
        <w:rPr>
          <w:rFonts w:ascii="Arial" w:hAnsi="Arial" w:cs="Arial"/>
          <w:sz w:val="20"/>
        </w:rPr>
        <w:t>shall</w:t>
      </w:r>
      <w:r w:rsidRPr="00B25B70">
        <w:rPr>
          <w:rFonts w:ascii="Arial" w:hAnsi="Arial" w:cs="Arial"/>
          <w:spacing w:val="-8"/>
          <w:sz w:val="20"/>
        </w:rPr>
        <w:t xml:space="preserve"> </w:t>
      </w:r>
      <w:r w:rsidRPr="00B25B70">
        <w:rPr>
          <w:rFonts w:ascii="Arial" w:hAnsi="Arial" w:cs="Arial"/>
          <w:sz w:val="20"/>
        </w:rPr>
        <w:t>repeat</w:t>
      </w:r>
      <w:r w:rsidRPr="00B25B70">
        <w:rPr>
          <w:rFonts w:ascii="Arial" w:hAnsi="Arial" w:cs="Arial"/>
          <w:spacing w:val="-7"/>
          <w:sz w:val="20"/>
        </w:rPr>
        <w:t xml:space="preserve"> </w:t>
      </w:r>
      <w:r w:rsidRPr="00B25B70">
        <w:rPr>
          <w:rFonts w:ascii="Arial" w:hAnsi="Arial" w:cs="Arial"/>
          <w:sz w:val="20"/>
        </w:rPr>
        <w:t>only</w:t>
      </w:r>
      <w:r w:rsidRPr="00B25B70">
        <w:rPr>
          <w:rFonts w:ascii="Arial" w:hAnsi="Arial" w:cs="Arial"/>
          <w:spacing w:val="-10"/>
          <w:sz w:val="20"/>
        </w:rPr>
        <w:t xml:space="preserve"> </w:t>
      </w:r>
      <w:r w:rsidRPr="00B25B70">
        <w:rPr>
          <w:rFonts w:ascii="Arial" w:hAnsi="Arial" w:cs="Arial"/>
          <w:sz w:val="20"/>
        </w:rPr>
        <w:t>that</w:t>
      </w:r>
      <w:r w:rsidRPr="00B25B70">
        <w:rPr>
          <w:rFonts w:ascii="Arial" w:hAnsi="Arial" w:cs="Arial"/>
          <w:spacing w:val="-8"/>
          <w:sz w:val="20"/>
        </w:rPr>
        <w:t xml:space="preserve"> </w:t>
      </w:r>
      <w:r w:rsidRPr="00B25B70">
        <w:rPr>
          <w:rFonts w:ascii="Arial" w:hAnsi="Arial" w:cs="Arial"/>
          <w:sz w:val="20"/>
        </w:rPr>
        <w:t>section.</w:t>
      </w:r>
      <w:r w:rsidRPr="00B25B70">
        <w:rPr>
          <w:rFonts w:ascii="Arial" w:hAnsi="Arial" w:cs="Arial"/>
          <w:spacing w:val="-8"/>
          <w:sz w:val="20"/>
        </w:rPr>
        <w:t xml:space="preserve"> </w:t>
      </w:r>
      <w:r w:rsidRPr="00B25B70">
        <w:rPr>
          <w:rFonts w:ascii="Arial" w:hAnsi="Arial" w:cs="Arial"/>
          <w:sz w:val="20"/>
        </w:rPr>
        <w:t>Failure</w:t>
      </w:r>
      <w:r w:rsidRPr="00B25B70">
        <w:rPr>
          <w:rFonts w:ascii="Arial" w:hAnsi="Arial" w:cs="Arial"/>
          <w:spacing w:val="-10"/>
          <w:sz w:val="20"/>
        </w:rPr>
        <w:t xml:space="preserve"> </w:t>
      </w:r>
      <w:r w:rsidRPr="00B25B70">
        <w:rPr>
          <w:rFonts w:ascii="Arial" w:hAnsi="Arial" w:cs="Arial"/>
          <w:sz w:val="20"/>
        </w:rPr>
        <w:t>in</w:t>
      </w:r>
      <w:r w:rsidRPr="00B25B70">
        <w:rPr>
          <w:rFonts w:ascii="Arial" w:hAnsi="Arial" w:cs="Arial"/>
          <w:spacing w:val="-9"/>
          <w:sz w:val="20"/>
        </w:rPr>
        <w:t xml:space="preserve"> </w:t>
      </w:r>
      <w:r w:rsidRPr="00B25B70">
        <w:rPr>
          <w:rFonts w:ascii="Arial" w:hAnsi="Arial" w:cs="Arial"/>
          <w:sz w:val="20"/>
        </w:rPr>
        <w:t>more</w:t>
      </w:r>
      <w:r w:rsidRPr="00B25B70">
        <w:rPr>
          <w:rFonts w:ascii="Arial" w:hAnsi="Arial" w:cs="Arial"/>
          <w:spacing w:val="-47"/>
          <w:sz w:val="20"/>
        </w:rPr>
        <w:t xml:space="preserve"> </w:t>
      </w:r>
      <w:r w:rsidRPr="00B25B70">
        <w:rPr>
          <w:rFonts w:ascii="Arial" w:hAnsi="Arial" w:cs="Arial"/>
          <w:sz w:val="20"/>
        </w:rPr>
        <w:t>than</w:t>
      </w:r>
      <w:r w:rsidRPr="00B25B70">
        <w:rPr>
          <w:rFonts w:ascii="Arial" w:hAnsi="Arial" w:cs="Arial"/>
          <w:spacing w:val="-2"/>
          <w:sz w:val="20"/>
        </w:rPr>
        <w:t xml:space="preserve"> </w:t>
      </w:r>
      <w:r w:rsidRPr="00B25B70">
        <w:rPr>
          <w:rFonts w:ascii="Arial" w:hAnsi="Arial" w:cs="Arial"/>
          <w:sz w:val="20"/>
        </w:rPr>
        <w:t>one</w:t>
      </w:r>
      <w:r w:rsidRPr="00B25B70">
        <w:rPr>
          <w:rFonts w:ascii="Arial" w:hAnsi="Arial" w:cs="Arial"/>
          <w:spacing w:val="-2"/>
          <w:sz w:val="20"/>
        </w:rPr>
        <w:t xml:space="preserve"> </w:t>
      </w:r>
      <w:r w:rsidRPr="00B25B70">
        <w:rPr>
          <w:rFonts w:ascii="Arial" w:hAnsi="Arial" w:cs="Arial"/>
          <w:sz w:val="20"/>
        </w:rPr>
        <w:t>section</w:t>
      </w:r>
      <w:r w:rsidRPr="00B25B70">
        <w:rPr>
          <w:rFonts w:ascii="Arial" w:hAnsi="Arial" w:cs="Arial"/>
          <w:spacing w:val="-1"/>
          <w:sz w:val="20"/>
        </w:rPr>
        <w:t xml:space="preserve"> </w:t>
      </w:r>
      <w:r w:rsidRPr="00B25B70">
        <w:rPr>
          <w:rFonts w:ascii="Arial" w:hAnsi="Arial" w:cs="Arial"/>
          <w:sz w:val="20"/>
        </w:rPr>
        <w:t>shall</w:t>
      </w:r>
      <w:r w:rsidRPr="00B25B70">
        <w:rPr>
          <w:rFonts w:ascii="Arial" w:hAnsi="Arial" w:cs="Arial"/>
          <w:spacing w:val="-4"/>
          <w:sz w:val="20"/>
        </w:rPr>
        <w:t xml:space="preserve"> </w:t>
      </w:r>
      <w:r w:rsidRPr="00B25B70">
        <w:rPr>
          <w:rFonts w:ascii="Arial" w:hAnsi="Arial" w:cs="Arial"/>
          <w:sz w:val="20"/>
        </w:rPr>
        <w:t>require the</w:t>
      </w:r>
      <w:r w:rsidRPr="00B25B70">
        <w:rPr>
          <w:rFonts w:ascii="Arial" w:hAnsi="Arial" w:cs="Arial"/>
          <w:spacing w:val="-2"/>
          <w:sz w:val="20"/>
        </w:rPr>
        <w:t xml:space="preserve"> </w:t>
      </w:r>
      <w:r w:rsidRPr="00B25B70">
        <w:rPr>
          <w:rFonts w:ascii="Arial" w:hAnsi="Arial" w:cs="Arial"/>
          <w:sz w:val="20"/>
        </w:rPr>
        <w:t>applicant to retake</w:t>
      </w:r>
      <w:r w:rsidRPr="00B25B70">
        <w:rPr>
          <w:rFonts w:ascii="Arial" w:hAnsi="Arial" w:cs="Arial"/>
          <w:spacing w:val="1"/>
          <w:sz w:val="20"/>
        </w:rPr>
        <w:t xml:space="preserve"> </w:t>
      </w:r>
      <w:r w:rsidRPr="00B25B70">
        <w:rPr>
          <w:rFonts w:ascii="Arial" w:hAnsi="Arial" w:cs="Arial"/>
          <w:sz w:val="20"/>
        </w:rPr>
        <w:t>the</w:t>
      </w:r>
      <w:r w:rsidRPr="00B25B70">
        <w:rPr>
          <w:rFonts w:ascii="Arial" w:hAnsi="Arial" w:cs="Arial"/>
          <w:spacing w:val="1"/>
          <w:sz w:val="20"/>
        </w:rPr>
        <w:t xml:space="preserve"> </w:t>
      </w:r>
      <w:r w:rsidRPr="00B25B70">
        <w:rPr>
          <w:rFonts w:ascii="Arial" w:hAnsi="Arial" w:cs="Arial"/>
          <w:sz w:val="20"/>
        </w:rPr>
        <w:t>entire</w:t>
      </w:r>
      <w:r w:rsidRPr="00B25B70">
        <w:rPr>
          <w:rFonts w:ascii="Arial" w:hAnsi="Arial" w:cs="Arial"/>
          <w:spacing w:val="-3"/>
          <w:sz w:val="20"/>
        </w:rPr>
        <w:t xml:space="preserve"> </w:t>
      </w:r>
      <w:r w:rsidRPr="00B25B70">
        <w:rPr>
          <w:rFonts w:ascii="Arial" w:hAnsi="Arial" w:cs="Arial"/>
          <w:sz w:val="20"/>
        </w:rPr>
        <w:t>test.</w:t>
      </w:r>
    </w:p>
    <w:p w14:paraId="4B9FDA3B" w14:textId="77777777" w:rsidR="00B25B70" w:rsidRPr="00B25B70" w:rsidRDefault="00B25B70" w:rsidP="0079393D">
      <w:pPr>
        <w:pStyle w:val="ListParagraph"/>
        <w:numPr>
          <w:ilvl w:val="1"/>
          <w:numId w:val="177"/>
        </w:numPr>
        <w:tabs>
          <w:tab w:val="left" w:pos="1274"/>
        </w:tabs>
        <w:spacing w:before="121"/>
        <w:ind w:right="197"/>
        <w:jc w:val="both"/>
        <w:rPr>
          <w:rFonts w:ascii="Arial" w:hAnsi="Arial" w:cs="Arial"/>
          <w:sz w:val="20"/>
        </w:rPr>
      </w:pPr>
      <w:r w:rsidRPr="00B25B70">
        <w:rPr>
          <w:rFonts w:ascii="Arial" w:hAnsi="Arial" w:cs="Arial"/>
          <w:sz w:val="20"/>
        </w:rPr>
        <w:t>If</w:t>
      </w:r>
      <w:r w:rsidRPr="00B25B70">
        <w:rPr>
          <w:rFonts w:ascii="Arial" w:hAnsi="Arial" w:cs="Arial"/>
          <w:spacing w:val="-4"/>
          <w:sz w:val="20"/>
        </w:rPr>
        <w:t xml:space="preserve"> </w:t>
      </w:r>
      <w:r w:rsidRPr="00B25B70">
        <w:rPr>
          <w:rFonts w:ascii="Arial" w:hAnsi="Arial" w:cs="Arial"/>
          <w:sz w:val="20"/>
        </w:rPr>
        <w:t>the</w:t>
      </w:r>
      <w:r w:rsidRPr="00B25B70">
        <w:rPr>
          <w:rFonts w:ascii="Arial" w:hAnsi="Arial" w:cs="Arial"/>
          <w:spacing w:val="-2"/>
          <w:sz w:val="20"/>
        </w:rPr>
        <w:t xml:space="preserve"> </w:t>
      </w:r>
      <w:r w:rsidRPr="00B25B70">
        <w:rPr>
          <w:rFonts w:ascii="Arial" w:hAnsi="Arial" w:cs="Arial"/>
          <w:sz w:val="20"/>
        </w:rPr>
        <w:t>applicant</w:t>
      </w:r>
      <w:r w:rsidRPr="00B25B70">
        <w:rPr>
          <w:rFonts w:ascii="Arial" w:hAnsi="Arial" w:cs="Arial"/>
          <w:spacing w:val="-3"/>
          <w:sz w:val="20"/>
        </w:rPr>
        <w:t xml:space="preserve"> </w:t>
      </w:r>
      <w:r w:rsidRPr="00B25B70">
        <w:rPr>
          <w:rFonts w:ascii="Arial" w:hAnsi="Arial" w:cs="Arial"/>
          <w:sz w:val="20"/>
        </w:rPr>
        <w:t>needs</w:t>
      </w:r>
      <w:r w:rsidRPr="00B25B70">
        <w:rPr>
          <w:rFonts w:ascii="Arial" w:hAnsi="Arial" w:cs="Arial"/>
          <w:spacing w:val="-2"/>
          <w:sz w:val="20"/>
        </w:rPr>
        <w:t xml:space="preserve"> </w:t>
      </w:r>
      <w:r w:rsidRPr="00B25B70">
        <w:rPr>
          <w:rFonts w:ascii="Arial" w:hAnsi="Arial" w:cs="Arial"/>
          <w:sz w:val="20"/>
        </w:rPr>
        <w:t>to</w:t>
      </w:r>
      <w:r w:rsidRPr="00B25B70">
        <w:rPr>
          <w:rFonts w:ascii="Arial" w:hAnsi="Arial" w:cs="Arial"/>
          <w:spacing w:val="-2"/>
          <w:sz w:val="20"/>
        </w:rPr>
        <w:t xml:space="preserve"> </w:t>
      </w:r>
      <w:r w:rsidRPr="00B25B70">
        <w:rPr>
          <w:rFonts w:ascii="Arial" w:hAnsi="Arial" w:cs="Arial"/>
          <w:sz w:val="20"/>
        </w:rPr>
        <w:t>retake</w:t>
      </w:r>
      <w:r w:rsidRPr="00B25B70">
        <w:rPr>
          <w:rFonts w:ascii="Arial" w:hAnsi="Arial" w:cs="Arial"/>
          <w:spacing w:val="-2"/>
          <w:sz w:val="20"/>
        </w:rPr>
        <w:t xml:space="preserve"> </w:t>
      </w:r>
      <w:r w:rsidRPr="00B25B70">
        <w:rPr>
          <w:rFonts w:ascii="Arial" w:hAnsi="Arial" w:cs="Arial"/>
          <w:sz w:val="20"/>
        </w:rPr>
        <w:t>the</w:t>
      </w:r>
      <w:r w:rsidRPr="00B25B70">
        <w:rPr>
          <w:rFonts w:ascii="Arial" w:hAnsi="Arial" w:cs="Arial"/>
          <w:spacing w:val="-3"/>
          <w:sz w:val="20"/>
        </w:rPr>
        <w:t xml:space="preserve"> </w:t>
      </w:r>
      <w:r w:rsidRPr="00B25B70">
        <w:rPr>
          <w:rFonts w:ascii="Arial" w:hAnsi="Arial" w:cs="Arial"/>
          <w:sz w:val="20"/>
        </w:rPr>
        <w:t>test</w:t>
      </w:r>
      <w:r w:rsidRPr="00B25B70">
        <w:rPr>
          <w:rFonts w:ascii="Arial" w:hAnsi="Arial" w:cs="Arial"/>
          <w:spacing w:val="-2"/>
          <w:sz w:val="20"/>
        </w:rPr>
        <w:t xml:space="preserve"> </w:t>
      </w:r>
      <w:r w:rsidRPr="00B25B70">
        <w:rPr>
          <w:rFonts w:ascii="Arial" w:hAnsi="Arial" w:cs="Arial"/>
          <w:sz w:val="20"/>
        </w:rPr>
        <w:t>in</w:t>
      </w:r>
      <w:r w:rsidRPr="00B25B70">
        <w:rPr>
          <w:rFonts w:ascii="Arial" w:hAnsi="Arial" w:cs="Arial"/>
          <w:spacing w:val="-4"/>
          <w:sz w:val="20"/>
        </w:rPr>
        <w:t xml:space="preserve"> </w:t>
      </w:r>
      <w:r w:rsidRPr="00B25B70">
        <w:rPr>
          <w:rFonts w:ascii="Arial" w:hAnsi="Arial" w:cs="Arial"/>
          <w:sz w:val="20"/>
        </w:rPr>
        <w:t>accordance</w:t>
      </w:r>
      <w:r w:rsidRPr="00B25B70">
        <w:rPr>
          <w:rFonts w:ascii="Arial" w:hAnsi="Arial" w:cs="Arial"/>
          <w:spacing w:val="-4"/>
          <w:sz w:val="20"/>
        </w:rPr>
        <w:t xml:space="preserve"> </w:t>
      </w:r>
      <w:r w:rsidRPr="00B25B70">
        <w:rPr>
          <w:rFonts w:ascii="Arial" w:hAnsi="Arial" w:cs="Arial"/>
          <w:sz w:val="20"/>
        </w:rPr>
        <w:t>with</w:t>
      </w:r>
      <w:r w:rsidRPr="00B25B70">
        <w:rPr>
          <w:rFonts w:ascii="Arial" w:hAnsi="Arial" w:cs="Arial"/>
          <w:spacing w:val="-3"/>
          <w:sz w:val="20"/>
        </w:rPr>
        <w:t xml:space="preserve"> </w:t>
      </w:r>
      <w:r w:rsidRPr="00B25B70">
        <w:rPr>
          <w:rFonts w:ascii="Arial" w:hAnsi="Arial" w:cs="Arial"/>
          <w:sz w:val="20"/>
        </w:rPr>
        <w:t>paragraph</w:t>
      </w:r>
      <w:r w:rsidRPr="00B25B70">
        <w:rPr>
          <w:rFonts w:ascii="Arial" w:hAnsi="Arial" w:cs="Arial"/>
          <w:spacing w:val="-3"/>
          <w:sz w:val="20"/>
        </w:rPr>
        <w:t xml:space="preserve"> </w:t>
      </w:r>
      <w:r w:rsidRPr="00B25B70">
        <w:rPr>
          <w:rFonts w:ascii="Arial" w:hAnsi="Arial" w:cs="Arial"/>
          <w:sz w:val="20"/>
        </w:rPr>
        <w:t>(2)</w:t>
      </w:r>
      <w:r w:rsidRPr="00B25B70">
        <w:rPr>
          <w:rFonts w:ascii="Arial" w:hAnsi="Arial" w:cs="Arial"/>
          <w:spacing w:val="-3"/>
          <w:sz w:val="20"/>
        </w:rPr>
        <w:t xml:space="preserve"> </w:t>
      </w:r>
      <w:r w:rsidRPr="00B25B70">
        <w:rPr>
          <w:rFonts w:ascii="Arial" w:hAnsi="Arial" w:cs="Arial"/>
          <w:sz w:val="20"/>
        </w:rPr>
        <w:t>and</w:t>
      </w:r>
      <w:r w:rsidRPr="00B25B70">
        <w:rPr>
          <w:rFonts w:ascii="Arial" w:hAnsi="Arial" w:cs="Arial"/>
          <w:spacing w:val="-3"/>
          <w:sz w:val="20"/>
        </w:rPr>
        <w:t xml:space="preserve"> </w:t>
      </w:r>
      <w:r w:rsidRPr="00B25B70">
        <w:rPr>
          <w:rFonts w:ascii="Arial" w:hAnsi="Arial" w:cs="Arial"/>
          <w:sz w:val="20"/>
        </w:rPr>
        <w:t>fails</w:t>
      </w:r>
      <w:r w:rsidRPr="00B25B70">
        <w:rPr>
          <w:rFonts w:ascii="Arial" w:hAnsi="Arial" w:cs="Arial"/>
          <w:spacing w:val="-3"/>
          <w:sz w:val="20"/>
        </w:rPr>
        <w:t xml:space="preserve"> </w:t>
      </w:r>
      <w:r w:rsidRPr="00B25B70">
        <w:rPr>
          <w:rFonts w:ascii="Arial" w:hAnsi="Arial" w:cs="Arial"/>
          <w:sz w:val="20"/>
        </w:rPr>
        <w:t>in</w:t>
      </w:r>
      <w:r w:rsidRPr="00B25B70">
        <w:rPr>
          <w:rFonts w:ascii="Arial" w:hAnsi="Arial" w:cs="Arial"/>
          <w:spacing w:val="-3"/>
          <w:sz w:val="20"/>
        </w:rPr>
        <w:t xml:space="preserve"> </w:t>
      </w:r>
      <w:r w:rsidRPr="00B25B70">
        <w:rPr>
          <w:rFonts w:ascii="Arial" w:hAnsi="Arial" w:cs="Arial"/>
          <w:sz w:val="20"/>
        </w:rPr>
        <w:t>any</w:t>
      </w:r>
      <w:r w:rsidRPr="00B25B70">
        <w:rPr>
          <w:rFonts w:ascii="Arial" w:hAnsi="Arial" w:cs="Arial"/>
          <w:spacing w:val="-48"/>
          <w:sz w:val="20"/>
        </w:rPr>
        <w:t xml:space="preserve"> </w:t>
      </w:r>
      <w:r w:rsidRPr="00B25B70">
        <w:rPr>
          <w:rFonts w:ascii="Arial" w:hAnsi="Arial" w:cs="Arial"/>
          <w:sz w:val="20"/>
        </w:rPr>
        <w:t>section, including those sections that have been passed at a previous attempt, the</w:t>
      </w:r>
      <w:r w:rsidRPr="00B25B70">
        <w:rPr>
          <w:rFonts w:ascii="Arial" w:hAnsi="Arial" w:cs="Arial"/>
          <w:spacing w:val="1"/>
          <w:sz w:val="20"/>
        </w:rPr>
        <w:t xml:space="preserve"> </w:t>
      </w:r>
      <w:r w:rsidRPr="00B25B70">
        <w:rPr>
          <w:rFonts w:ascii="Arial" w:hAnsi="Arial" w:cs="Arial"/>
          <w:sz w:val="20"/>
        </w:rPr>
        <w:t>applicant</w:t>
      </w:r>
      <w:r w:rsidRPr="00B25B70">
        <w:rPr>
          <w:rFonts w:ascii="Arial" w:hAnsi="Arial" w:cs="Arial"/>
          <w:spacing w:val="-1"/>
          <w:sz w:val="20"/>
        </w:rPr>
        <w:t xml:space="preserve"> </w:t>
      </w:r>
      <w:r w:rsidRPr="00B25B70">
        <w:rPr>
          <w:rFonts w:ascii="Arial" w:hAnsi="Arial" w:cs="Arial"/>
          <w:sz w:val="20"/>
        </w:rPr>
        <w:t>shall</w:t>
      </w:r>
      <w:r w:rsidRPr="00B25B70">
        <w:rPr>
          <w:rFonts w:ascii="Arial" w:hAnsi="Arial" w:cs="Arial"/>
          <w:spacing w:val="-1"/>
          <w:sz w:val="20"/>
        </w:rPr>
        <w:t xml:space="preserve"> </w:t>
      </w:r>
      <w:r w:rsidRPr="00B25B70">
        <w:rPr>
          <w:rFonts w:ascii="Arial" w:hAnsi="Arial" w:cs="Arial"/>
          <w:sz w:val="20"/>
        </w:rPr>
        <w:t>retake</w:t>
      </w:r>
      <w:r w:rsidRPr="00B25B70">
        <w:rPr>
          <w:rFonts w:ascii="Arial" w:hAnsi="Arial" w:cs="Arial"/>
          <w:spacing w:val="-2"/>
          <w:sz w:val="20"/>
        </w:rPr>
        <w:t xml:space="preserve"> </w:t>
      </w:r>
      <w:r w:rsidRPr="00B25B70">
        <w:rPr>
          <w:rFonts w:ascii="Arial" w:hAnsi="Arial" w:cs="Arial"/>
          <w:sz w:val="20"/>
        </w:rPr>
        <w:t>the</w:t>
      </w:r>
      <w:r w:rsidRPr="00B25B70">
        <w:rPr>
          <w:rFonts w:ascii="Arial" w:hAnsi="Arial" w:cs="Arial"/>
          <w:spacing w:val="-2"/>
          <w:sz w:val="20"/>
        </w:rPr>
        <w:t xml:space="preserve"> </w:t>
      </w:r>
      <w:r w:rsidRPr="00B25B70">
        <w:rPr>
          <w:rFonts w:ascii="Arial" w:hAnsi="Arial" w:cs="Arial"/>
          <w:sz w:val="20"/>
        </w:rPr>
        <w:t>entire test.</w:t>
      </w:r>
    </w:p>
    <w:p w14:paraId="4E83D795" w14:textId="77777777" w:rsidR="00B25B70" w:rsidRPr="00B25B70" w:rsidRDefault="00B25B70" w:rsidP="0079393D">
      <w:pPr>
        <w:pStyle w:val="ListParagraph"/>
        <w:numPr>
          <w:ilvl w:val="0"/>
          <w:numId w:val="176"/>
        </w:numPr>
        <w:tabs>
          <w:tab w:val="left" w:pos="707"/>
        </w:tabs>
        <w:spacing w:before="118"/>
        <w:ind w:right="195"/>
        <w:jc w:val="both"/>
        <w:rPr>
          <w:rFonts w:ascii="Arial" w:hAnsi="Arial" w:cs="Arial"/>
          <w:sz w:val="20"/>
        </w:rPr>
      </w:pPr>
      <w:r w:rsidRPr="00B25B70">
        <w:rPr>
          <w:rFonts w:ascii="Arial" w:hAnsi="Arial" w:cs="Arial"/>
          <w:sz w:val="20"/>
        </w:rPr>
        <w:t>If the applicant fails to achieve a pass in all sections of the test within two attempts, he or she</w:t>
      </w:r>
      <w:r w:rsidRPr="00B25B70">
        <w:rPr>
          <w:rFonts w:ascii="Arial" w:hAnsi="Arial" w:cs="Arial"/>
          <w:spacing w:val="1"/>
          <w:sz w:val="20"/>
        </w:rPr>
        <w:t xml:space="preserve"> </w:t>
      </w:r>
      <w:r w:rsidRPr="00B25B70">
        <w:rPr>
          <w:rFonts w:ascii="Arial" w:hAnsi="Arial" w:cs="Arial"/>
          <w:sz w:val="20"/>
        </w:rPr>
        <w:t>shall</w:t>
      </w:r>
      <w:r w:rsidRPr="00B25B70">
        <w:rPr>
          <w:rFonts w:ascii="Arial" w:hAnsi="Arial" w:cs="Arial"/>
          <w:spacing w:val="-2"/>
          <w:sz w:val="20"/>
        </w:rPr>
        <w:t xml:space="preserve"> </w:t>
      </w:r>
      <w:r w:rsidRPr="00B25B70">
        <w:rPr>
          <w:rFonts w:ascii="Arial" w:hAnsi="Arial" w:cs="Arial"/>
          <w:sz w:val="20"/>
        </w:rPr>
        <w:t>receive</w:t>
      </w:r>
      <w:r w:rsidRPr="00B25B70">
        <w:rPr>
          <w:rFonts w:ascii="Arial" w:hAnsi="Arial" w:cs="Arial"/>
          <w:spacing w:val="-2"/>
          <w:sz w:val="20"/>
        </w:rPr>
        <w:t xml:space="preserve"> </w:t>
      </w:r>
      <w:r w:rsidRPr="00B25B70">
        <w:rPr>
          <w:rFonts w:ascii="Arial" w:hAnsi="Arial" w:cs="Arial"/>
          <w:sz w:val="20"/>
        </w:rPr>
        <w:t>further practical training.</w:t>
      </w:r>
    </w:p>
    <w:p w14:paraId="32F25A47" w14:textId="77777777" w:rsidR="00E0010A" w:rsidRPr="00E0010A" w:rsidRDefault="00E0010A" w:rsidP="00E0010A">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625" w:name="_Toc153137416"/>
      <w:r w:rsidRPr="00E0010A">
        <w:rPr>
          <w:rFonts w:ascii="Arial" w:eastAsia="Times New Roman" w:hAnsi="Arial" w:cs="Times New Roman"/>
          <w:b/>
          <w:color w:val="FFFFFF"/>
          <w:sz w:val="24"/>
        </w:rPr>
        <w:t>AMC1 BFCL.145 BPL – Practical skill test</w:t>
      </w:r>
      <w:bookmarkEnd w:id="625"/>
      <w:r w:rsidRPr="00E0010A">
        <w:rPr>
          <w:rFonts w:ascii="Arial" w:eastAsia="Times New Roman" w:hAnsi="Arial" w:cs="Times New Roman"/>
          <w:b/>
          <w:color w:val="FFFFFF"/>
          <w:sz w:val="24"/>
        </w:rPr>
        <w:tab/>
      </w:r>
    </w:p>
    <w:p w14:paraId="167E25E5" w14:textId="77777777" w:rsidR="00FE6A25" w:rsidRPr="00FE6A25" w:rsidRDefault="00FE6A25" w:rsidP="0079393D">
      <w:pPr>
        <w:numPr>
          <w:ilvl w:val="0"/>
          <w:numId w:val="178"/>
        </w:numPr>
        <w:tabs>
          <w:tab w:val="left" w:pos="706"/>
          <w:tab w:val="left" w:pos="707"/>
        </w:tabs>
        <w:spacing w:before="118"/>
        <w:jc w:val="both"/>
        <w:rPr>
          <w:rFonts w:ascii="Arial" w:hAnsi="Arial" w:cs="Arial"/>
          <w:sz w:val="20"/>
        </w:rPr>
      </w:pPr>
      <w:r w:rsidRPr="00FE6A25">
        <w:rPr>
          <w:rFonts w:ascii="Arial" w:hAnsi="Arial" w:cs="Arial"/>
          <w:sz w:val="20"/>
        </w:rPr>
        <w:t>GENERAL</w:t>
      </w:r>
    </w:p>
    <w:p w14:paraId="00807C57" w14:textId="77777777" w:rsidR="00FE6A25" w:rsidRPr="00FE6A25" w:rsidRDefault="00FE6A25" w:rsidP="0079393D">
      <w:pPr>
        <w:numPr>
          <w:ilvl w:val="1"/>
          <w:numId w:val="178"/>
        </w:numPr>
        <w:tabs>
          <w:tab w:val="left" w:pos="1274"/>
        </w:tabs>
        <w:spacing w:before="120"/>
        <w:ind w:right="195"/>
        <w:jc w:val="both"/>
        <w:rPr>
          <w:rFonts w:ascii="Arial" w:hAnsi="Arial" w:cs="Arial"/>
          <w:sz w:val="20"/>
        </w:rPr>
      </w:pPr>
      <w:r w:rsidRPr="00FE6A25">
        <w:rPr>
          <w:rFonts w:ascii="Arial" w:hAnsi="Arial" w:cs="Arial"/>
          <w:sz w:val="20"/>
        </w:rPr>
        <w:t>The</w:t>
      </w:r>
      <w:r w:rsidRPr="00FE6A25">
        <w:rPr>
          <w:rFonts w:ascii="Arial" w:hAnsi="Arial" w:cs="Arial"/>
          <w:spacing w:val="1"/>
          <w:sz w:val="20"/>
        </w:rPr>
        <w:t xml:space="preserve"> </w:t>
      </w:r>
      <w:r w:rsidRPr="00FE6A25">
        <w:rPr>
          <w:rFonts w:ascii="Arial" w:hAnsi="Arial" w:cs="Arial"/>
          <w:sz w:val="20"/>
        </w:rPr>
        <w:t>take-off</w:t>
      </w:r>
      <w:r w:rsidRPr="00FE6A25">
        <w:rPr>
          <w:rFonts w:ascii="Arial" w:hAnsi="Arial" w:cs="Arial"/>
          <w:spacing w:val="1"/>
          <w:sz w:val="20"/>
        </w:rPr>
        <w:t xml:space="preserve"> </w:t>
      </w:r>
      <w:r w:rsidRPr="00FE6A25">
        <w:rPr>
          <w:rFonts w:ascii="Arial" w:hAnsi="Arial" w:cs="Arial"/>
          <w:sz w:val="20"/>
        </w:rPr>
        <w:t>site</w:t>
      </w:r>
      <w:r w:rsidRPr="00FE6A25">
        <w:rPr>
          <w:rFonts w:ascii="Arial" w:hAnsi="Arial" w:cs="Arial"/>
          <w:spacing w:val="1"/>
          <w:sz w:val="20"/>
        </w:rPr>
        <w:t xml:space="preserve"> </w:t>
      </w:r>
      <w:r w:rsidRPr="00FE6A25">
        <w:rPr>
          <w:rFonts w:ascii="Arial" w:hAnsi="Arial" w:cs="Arial"/>
          <w:sz w:val="20"/>
        </w:rPr>
        <w:t>should</w:t>
      </w:r>
      <w:r w:rsidRPr="00FE6A25">
        <w:rPr>
          <w:rFonts w:ascii="Arial" w:hAnsi="Arial" w:cs="Arial"/>
          <w:spacing w:val="1"/>
          <w:sz w:val="20"/>
        </w:rPr>
        <w:t xml:space="preserve"> </w:t>
      </w:r>
      <w:r w:rsidRPr="00FE6A25">
        <w:rPr>
          <w:rFonts w:ascii="Arial" w:hAnsi="Arial" w:cs="Arial"/>
          <w:sz w:val="20"/>
        </w:rPr>
        <w:t>be</w:t>
      </w:r>
      <w:r w:rsidRPr="00FE6A25">
        <w:rPr>
          <w:rFonts w:ascii="Arial" w:hAnsi="Arial" w:cs="Arial"/>
          <w:spacing w:val="1"/>
          <w:sz w:val="20"/>
        </w:rPr>
        <w:t xml:space="preserve"> </w:t>
      </w:r>
      <w:r w:rsidRPr="00FE6A25">
        <w:rPr>
          <w:rFonts w:ascii="Arial" w:hAnsi="Arial" w:cs="Arial"/>
          <w:sz w:val="20"/>
        </w:rPr>
        <w:t>chosen</w:t>
      </w:r>
      <w:r w:rsidRPr="00FE6A25">
        <w:rPr>
          <w:rFonts w:ascii="Arial" w:hAnsi="Arial" w:cs="Arial"/>
          <w:spacing w:val="1"/>
          <w:sz w:val="20"/>
        </w:rPr>
        <w:t xml:space="preserve"> </w:t>
      </w:r>
      <w:r w:rsidRPr="00FE6A25">
        <w:rPr>
          <w:rFonts w:ascii="Arial" w:hAnsi="Arial" w:cs="Arial"/>
          <w:sz w:val="20"/>
        </w:rPr>
        <w:t>by</w:t>
      </w:r>
      <w:r w:rsidRPr="00FE6A25">
        <w:rPr>
          <w:rFonts w:ascii="Arial" w:hAnsi="Arial" w:cs="Arial"/>
          <w:spacing w:val="1"/>
          <w:sz w:val="20"/>
        </w:rPr>
        <w:t xml:space="preserve"> </w:t>
      </w:r>
      <w:r w:rsidRPr="00FE6A25">
        <w:rPr>
          <w:rFonts w:ascii="Arial" w:hAnsi="Arial" w:cs="Arial"/>
          <w:sz w:val="20"/>
        </w:rPr>
        <w:t>the</w:t>
      </w:r>
      <w:r w:rsidRPr="00FE6A25">
        <w:rPr>
          <w:rFonts w:ascii="Arial" w:hAnsi="Arial" w:cs="Arial"/>
          <w:spacing w:val="1"/>
          <w:sz w:val="20"/>
        </w:rPr>
        <w:t xml:space="preserve"> </w:t>
      </w:r>
      <w:r w:rsidRPr="00FE6A25">
        <w:rPr>
          <w:rFonts w:ascii="Arial" w:hAnsi="Arial" w:cs="Arial"/>
          <w:sz w:val="20"/>
        </w:rPr>
        <w:t>applicant</w:t>
      </w:r>
      <w:r w:rsidRPr="00FE6A25">
        <w:rPr>
          <w:rFonts w:ascii="Arial" w:hAnsi="Arial" w:cs="Arial"/>
          <w:spacing w:val="1"/>
          <w:sz w:val="20"/>
        </w:rPr>
        <w:t xml:space="preserve"> </w:t>
      </w:r>
      <w:r w:rsidRPr="00FE6A25">
        <w:rPr>
          <w:rFonts w:ascii="Arial" w:hAnsi="Arial" w:cs="Arial"/>
          <w:sz w:val="20"/>
        </w:rPr>
        <w:t>depending</w:t>
      </w:r>
      <w:r w:rsidRPr="00FE6A25">
        <w:rPr>
          <w:rFonts w:ascii="Arial" w:hAnsi="Arial" w:cs="Arial"/>
          <w:spacing w:val="1"/>
          <w:sz w:val="20"/>
        </w:rPr>
        <w:t xml:space="preserve"> </w:t>
      </w:r>
      <w:r w:rsidRPr="00FE6A25">
        <w:rPr>
          <w:rFonts w:ascii="Arial" w:hAnsi="Arial" w:cs="Arial"/>
          <w:sz w:val="20"/>
        </w:rPr>
        <w:t>on</w:t>
      </w:r>
      <w:r w:rsidRPr="00FE6A25">
        <w:rPr>
          <w:rFonts w:ascii="Arial" w:hAnsi="Arial" w:cs="Arial"/>
          <w:spacing w:val="1"/>
          <w:sz w:val="20"/>
        </w:rPr>
        <w:t xml:space="preserve"> </w:t>
      </w:r>
      <w:r w:rsidRPr="00FE6A25">
        <w:rPr>
          <w:rFonts w:ascii="Arial" w:hAnsi="Arial" w:cs="Arial"/>
          <w:sz w:val="20"/>
        </w:rPr>
        <w:t>the</w:t>
      </w:r>
      <w:r w:rsidRPr="00FE6A25">
        <w:rPr>
          <w:rFonts w:ascii="Arial" w:hAnsi="Arial" w:cs="Arial"/>
          <w:spacing w:val="1"/>
          <w:sz w:val="20"/>
        </w:rPr>
        <w:t xml:space="preserve"> </w:t>
      </w:r>
      <w:r w:rsidRPr="00FE6A25">
        <w:rPr>
          <w:rFonts w:ascii="Arial" w:hAnsi="Arial" w:cs="Arial"/>
          <w:sz w:val="20"/>
        </w:rPr>
        <w:t>actual</w:t>
      </w:r>
      <w:r w:rsidRPr="00FE6A25">
        <w:rPr>
          <w:rFonts w:ascii="Arial" w:hAnsi="Arial" w:cs="Arial"/>
          <w:spacing w:val="1"/>
          <w:sz w:val="20"/>
        </w:rPr>
        <w:t xml:space="preserve"> </w:t>
      </w:r>
      <w:r w:rsidRPr="00FE6A25">
        <w:rPr>
          <w:rFonts w:ascii="Arial" w:hAnsi="Arial" w:cs="Arial"/>
          <w:sz w:val="20"/>
        </w:rPr>
        <w:t>meteorological conditions, the area which has to be overflown, and the possible options</w:t>
      </w:r>
      <w:r w:rsidRPr="00FE6A25">
        <w:rPr>
          <w:rFonts w:ascii="Arial" w:hAnsi="Arial" w:cs="Arial"/>
          <w:spacing w:val="-47"/>
          <w:sz w:val="20"/>
        </w:rPr>
        <w:t xml:space="preserve"> </w:t>
      </w:r>
      <w:r w:rsidRPr="00FE6A25">
        <w:rPr>
          <w:rFonts w:ascii="Arial" w:hAnsi="Arial" w:cs="Arial"/>
          <w:sz w:val="20"/>
        </w:rPr>
        <w:t>for suitable landing sites. The applicant should be responsible for the flight planning and</w:t>
      </w:r>
      <w:r w:rsidRPr="00FE6A25">
        <w:rPr>
          <w:rFonts w:ascii="Arial" w:hAnsi="Arial" w:cs="Arial"/>
          <w:spacing w:val="-47"/>
          <w:sz w:val="20"/>
        </w:rPr>
        <w:t xml:space="preserve"> </w:t>
      </w:r>
      <w:r w:rsidRPr="00FE6A25">
        <w:rPr>
          <w:rFonts w:ascii="Arial" w:hAnsi="Arial" w:cs="Arial"/>
          <w:sz w:val="20"/>
        </w:rPr>
        <w:t>should ensure that all equipment and documentation for the execution of the flight are</w:t>
      </w:r>
      <w:r w:rsidRPr="00FE6A25">
        <w:rPr>
          <w:rFonts w:ascii="Arial" w:hAnsi="Arial" w:cs="Arial"/>
          <w:spacing w:val="1"/>
          <w:sz w:val="20"/>
        </w:rPr>
        <w:t xml:space="preserve"> </w:t>
      </w:r>
      <w:r w:rsidRPr="00FE6A25">
        <w:rPr>
          <w:rFonts w:ascii="Arial" w:hAnsi="Arial" w:cs="Arial"/>
          <w:sz w:val="20"/>
        </w:rPr>
        <w:t>on</w:t>
      </w:r>
      <w:r w:rsidRPr="00FE6A25">
        <w:rPr>
          <w:rFonts w:ascii="Arial" w:hAnsi="Arial" w:cs="Arial"/>
          <w:spacing w:val="-1"/>
          <w:sz w:val="20"/>
        </w:rPr>
        <w:t xml:space="preserve"> </w:t>
      </w:r>
      <w:r w:rsidRPr="00FE6A25">
        <w:rPr>
          <w:rFonts w:ascii="Arial" w:hAnsi="Arial" w:cs="Arial"/>
          <w:sz w:val="20"/>
        </w:rPr>
        <w:t>board.</w:t>
      </w:r>
    </w:p>
    <w:p w14:paraId="5C2EC748" w14:textId="77777777" w:rsidR="00FE6A25" w:rsidRPr="00FE6A25" w:rsidRDefault="00FE6A25" w:rsidP="0079393D">
      <w:pPr>
        <w:numPr>
          <w:ilvl w:val="1"/>
          <w:numId w:val="178"/>
        </w:numPr>
        <w:tabs>
          <w:tab w:val="left" w:pos="1274"/>
        </w:tabs>
        <w:spacing w:before="119"/>
        <w:ind w:right="196"/>
        <w:jc w:val="both"/>
        <w:rPr>
          <w:rFonts w:ascii="Arial" w:hAnsi="Arial" w:cs="Arial"/>
          <w:sz w:val="20"/>
        </w:rPr>
      </w:pPr>
      <w:r w:rsidRPr="00FE6A25">
        <w:rPr>
          <w:rFonts w:ascii="Arial" w:hAnsi="Arial" w:cs="Arial"/>
          <w:sz w:val="20"/>
        </w:rPr>
        <w:t>An applicant should indicate to the FE the checks and duties carried out. Checks should</w:t>
      </w:r>
      <w:r w:rsidRPr="00FE6A25">
        <w:rPr>
          <w:rFonts w:ascii="Arial" w:hAnsi="Arial" w:cs="Arial"/>
          <w:spacing w:val="1"/>
          <w:sz w:val="20"/>
        </w:rPr>
        <w:t xml:space="preserve"> </w:t>
      </w:r>
      <w:r w:rsidRPr="00FE6A25">
        <w:rPr>
          <w:rFonts w:ascii="Arial" w:hAnsi="Arial" w:cs="Arial"/>
          <w:sz w:val="20"/>
        </w:rPr>
        <w:t>be completed in accordance with the flight manual or the authorised checklist for the</w:t>
      </w:r>
      <w:r w:rsidRPr="00FE6A25">
        <w:rPr>
          <w:rFonts w:ascii="Arial" w:hAnsi="Arial" w:cs="Arial"/>
          <w:spacing w:val="1"/>
          <w:sz w:val="20"/>
        </w:rPr>
        <w:t xml:space="preserve"> </w:t>
      </w:r>
      <w:r w:rsidRPr="00FE6A25">
        <w:rPr>
          <w:rFonts w:ascii="Arial" w:hAnsi="Arial" w:cs="Arial"/>
          <w:sz w:val="20"/>
        </w:rPr>
        <w:t>balloon on which the test is being taken. During pre-flight preparation for the test, the</w:t>
      </w:r>
      <w:r w:rsidRPr="00FE6A25">
        <w:rPr>
          <w:rFonts w:ascii="Arial" w:hAnsi="Arial" w:cs="Arial"/>
          <w:spacing w:val="1"/>
          <w:sz w:val="20"/>
        </w:rPr>
        <w:t xml:space="preserve"> </w:t>
      </w:r>
      <w:r w:rsidRPr="00FE6A25">
        <w:rPr>
          <w:rFonts w:ascii="Arial" w:hAnsi="Arial" w:cs="Arial"/>
          <w:sz w:val="20"/>
        </w:rPr>
        <w:t>applicant should be required to perform crew and passenger briefings and demonstrate</w:t>
      </w:r>
      <w:r w:rsidRPr="00FE6A25">
        <w:rPr>
          <w:rFonts w:ascii="Arial" w:hAnsi="Arial" w:cs="Arial"/>
          <w:spacing w:val="1"/>
          <w:sz w:val="20"/>
        </w:rPr>
        <w:t xml:space="preserve"> </w:t>
      </w:r>
      <w:r w:rsidRPr="00FE6A25">
        <w:rPr>
          <w:rFonts w:ascii="Arial" w:hAnsi="Arial" w:cs="Arial"/>
          <w:sz w:val="20"/>
        </w:rPr>
        <w:t>crowd control. The load calculation should be performed by the applicant in compliance</w:t>
      </w:r>
      <w:r w:rsidRPr="00FE6A25">
        <w:rPr>
          <w:rFonts w:ascii="Arial" w:hAnsi="Arial" w:cs="Arial"/>
          <w:spacing w:val="-47"/>
          <w:sz w:val="20"/>
        </w:rPr>
        <w:t xml:space="preserve"> </w:t>
      </w:r>
      <w:r w:rsidRPr="00FE6A25">
        <w:rPr>
          <w:rFonts w:ascii="Arial" w:hAnsi="Arial" w:cs="Arial"/>
          <w:sz w:val="20"/>
        </w:rPr>
        <w:t>with</w:t>
      </w:r>
      <w:r w:rsidRPr="00FE6A25">
        <w:rPr>
          <w:rFonts w:ascii="Arial" w:hAnsi="Arial" w:cs="Arial"/>
          <w:spacing w:val="-1"/>
          <w:sz w:val="20"/>
        </w:rPr>
        <w:t xml:space="preserve"> </w:t>
      </w:r>
      <w:r w:rsidRPr="00FE6A25">
        <w:rPr>
          <w:rFonts w:ascii="Arial" w:hAnsi="Arial" w:cs="Arial"/>
          <w:sz w:val="20"/>
        </w:rPr>
        <w:t>the</w:t>
      </w:r>
      <w:r w:rsidRPr="00FE6A25">
        <w:rPr>
          <w:rFonts w:ascii="Arial" w:hAnsi="Arial" w:cs="Arial"/>
          <w:spacing w:val="-2"/>
          <w:sz w:val="20"/>
        </w:rPr>
        <w:t xml:space="preserve"> </w:t>
      </w:r>
      <w:r w:rsidRPr="00FE6A25">
        <w:rPr>
          <w:rFonts w:ascii="Arial" w:hAnsi="Arial" w:cs="Arial"/>
          <w:sz w:val="20"/>
        </w:rPr>
        <w:t>operations</w:t>
      </w:r>
      <w:r w:rsidRPr="00FE6A25">
        <w:rPr>
          <w:rFonts w:ascii="Arial" w:hAnsi="Arial" w:cs="Arial"/>
          <w:spacing w:val="-2"/>
          <w:sz w:val="20"/>
        </w:rPr>
        <w:t xml:space="preserve"> </w:t>
      </w:r>
      <w:r w:rsidRPr="00FE6A25">
        <w:rPr>
          <w:rFonts w:ascii="Arial" w:hAnsi="Arial" w:cs="Arial"/>
          <w:sz w:val="20"/>
        </w:rPr>
        <w:t>manual or flight</w:t>
      </w:r>
      <w:r w:rsidRPr="00FE6A25">
        <w:rPr>
          <w:rFonts w:ascii="Arial" w:hAnsi="Arial" w:cs="Arial"/>
          <w:spacing w:val="-2"/>
          <w:sz w:val="20"/>
        </w:rPr>
        <w:t xml:space="preserve"> </w:t>
      </w:r>
      <w:r w:rsidRPr="00FE6A25">
        <w:rPr>
          <w:rFonts w:ascii="Arial" w:hAnsi="Arial" w:cs="Arial"/>
          <w:sz w:val="20"/>
        </w:rPr>
        <w:t>manual for</w:t>
      </w:r>
      <w:r w:rsidRPr="00FE6A25">
        <w:rPr>
          <w:rFonts w:ascii="Arial" w:hAnsi="Arial" w:cs="Arial"/>
          <w:spacing w:val="-2"/>
          <w:sz w:val="20"/>
        </w:rPr>
        <w:t xml:space="preserve"> </w:t>
      </w:r>
      <w:r w:rsidRPr="00FE6A25">
        <w:rPr>
          <w:rFonts w:ascii="Arial" w:hAnsi="Arial" w:cs="Arial"/>
          <w:sz w:val="20"/>
        </w:rPr>
        <w:t>the balloon</w:t>
      </w:r>
      <w:r w:rsidRPr="00FE6A25">
        <w:rPr>
          <w:rFonts w:ascii="Arial" w:hAnsi="Arial" w:cs="Arial"/>
          <w:spacing w:val="-2"/>
          <w:sz w:val="20"/>
        </w:rPr>
        <w:t xml:space="preserve"> </w:t>
      </w:r>
      <w:r w:rsidRPr="00FE6A25">
        <w:rPr>
          <w:rFonts w:ascii="Arial" w:hAnsi="Arial" w:cs="Arial"/>
          <w:sz w:val="20"/>
        </w:rPr>
        <w:t>used.</w:t>
      </w:r>
    </w:p>
    <w:p w14:paraId="099FFF69" w14:textId="77777777" w:rsidR="00FE6A25" w:rsidRPr="00FE6A25" w:rsidRDefault="00FE6A25" w:rsidP="0079393D">
      <w:pPr>
        <w:numPr>
          <w:ilvl w:val="1"/>
          <w:numId w:val="178"/>
        </w:numPr>
        <w:tabs>
          <w:tab w:val="left" w:pos="1274"/>
        </w:tabs>
        <w:spacing w:before="122"/>
        <w:ind w:hanging="568"/>
        <w:jc w:val="both"/>
        <w:rPr>
          <w:rFonts w:ascii="Arial" w:hAnsi="Arial" w:cs="Arial"/>
          <w:sz w:val="20"/>
        </w:rPr>
      </w:pPr>
      <w:r w:rsidRPr="00FE6A25">
        <w:rPr>
          <w:rFonts w:ascii="Arial" w:hAnsi="Arial" w:cs="Arial"/>
          <w:sz w:val="20"/>
        </w:rPr>
        <w:t>The</w:t>
      </w:r>
      <w:r w:rsidRPr="00FE6A25">
        <w:rPr>
          <w:rFonts w:ascii="Arial" w:hAnsi="Arial" w:cs="Arial"/>
          <w:spacing w:val="-1"/>
          <w:sz w:val="20"/>
        </w:rPr>
        <w:t xml:space="preserve"> </w:t>
      </w:r>
      <w:r w:rsidRPr="00FE6A25">
        <w:rPr>
          <w:rFonts w:ascii="Arial" w:hAnsi="Arial" w:cs="Arial"/>
          <w:sz w:val="20"/>
        </w:rPr>
        <w:t>flight</w:t>
      </w:r>
      <w:r w:rsidRPr="00FE6A25">
        <w:rPr>
          <w:rFonts w:ascii="Arial" w:hAnsi="Arial" w:cs="Arial"/>
          <w:spacing w:val="-1"/>
          <w:sz w:val="20"/>
        </w:rPr>
        <w:t xml:space="preserve"> </w:t>
      </w:r>
      <w:r w:rsidRPr="00FE6A25">
        <w:rPr>
          <w:rFonts w:ascii="Arial" w:hAnsi="Arial" w:cs="Arial"/>
          <w:sz w:val="20"/>
        </w:rPr>
        <w:t>time</w:t>
      </w:r>
      <w:r w:rsidRPr="00FE6A25">
        <w:rPr>
          <w:rFonts w:ascii="Arial" w:hAnsi="Arial" w:cs="Arial"/>
          <w:spacing w:val="-4"/>
          <w:sz w:val="20"/>
        </w:rPr>
        <w:t xml:space="preserve"> </w:t>
      </w:r>
      <w:r w:rsidRPr="00FE6A25">
        <w:rPr>
          <w:rFonts w:ascii="Arial" w:hAnsi="Arial" w:cs="Arial"/>
          <w:sz w:val="20"/>
        </w:rPr>
        <w:t>of</w:t>
      </w:r>
      <w:r w:rsidRPr="00FE6A25">
        <w:rPr>
          <w:rFonts w:ascii="Arial" w:hAnsi="Arial" w:cs="Arial"/>
          <w:spacing w:val="-4"/>
          <w:sz w:val="20"/>
        </w:rPr>
        <w:t xml:space="preserve"> </w:t>
      </w:r>
      <w:r w:rsidRPr="00FE6A25">
        <w:rPr>
          <w:rFonts w:ascii="Arial" w:hAnsi="Arial" w:cs="Arial"/>
          <w:sz w:val="20"/>
        </w:rPr>
        <w:t>the</w:t>
      </w:r>
      <w:r w:rsidRPr="00FE6A25">
        <w:rPr>
          <w:rFonts w:ascii="Arial" w:hAnsi="Arial" w:cs="Arial"/>
          <w:spacing w:val="-3"/>
          <w:sz w:val="20"/>
        </w:rPr>
        <w:t xml:space="preserve"> </w:t>
      </w:r>
      <w:r w:rsidRPr="00FE6A25">
        <w:rPr>
          <w:rFonts w:ascii="Arial" w:hAnsi="Arial" w:cs="Arial"/>
          <w:sz w:val="20"/>
        </w:rPr>
        <w:t>skill</w:t>
      </w:r>
      <w:r w:rsidRPr="00FE6A25">
        <w:rPr>
          <w:rFonts w:ascii="Arial" w:hAnsi="Arial" w:cs="Arial"/>
          <w:spacing w:val="-3"/>
          <w:sz w:val="20"/>
        </w:rPr>
        <w:t xml:space="preserve"> </w:t>
      </w:r>
      <w:r w:rsidRPr="00FE6A25">
        <w:rPr>
          <w:rFonts w:ascii="Arial" w:hAnsi="Arial" w:cs="Arial"/>
          <w:sz w:val="20"/>
        </w:rPr>
        <w:t>test</w:t>
      </w:r>
      <w:r w:rsidRPr="00FE6A25">
        <w:rPr>
          <w:rFonts w:ascii="Arial" w:hAnsi="Arial" w:cs="Arial"/>
          <w:spacing w:val="-1"/>
          <w:sz w:val="20"/>
        </w:rPr>
        <w:t xml:space="preserve"> </w:t>
      </w:r>
      <w:r w:rsidRPr="00FE6A25">
        <w:rPr>
          <w:rFonts w:ascii="Arial" w:hAnsi="Arial" w:cs="Arial"/>
          <w:sz w:val="20"/>
        </w:rPr>
        <w:t>should</w:t>
      </w:r>
      <w:r w:rsidRPr="00FE6A25">
        <w:rPr>
          <w:rFonts w:ascii="Arial" w:hAnsi="Arial" w:cs="Arial"/>
          <w:spacing w:val="-2"/>
          <w:sz w:val="20"/>
        </w:rPr>
        <w:t xml:space="preserve"> </w:t>
      </w:r>
      <w:r w:rsidRPr="00FE6A25">
        <w:rPr>
          <w:rFonts w:ascii="Arial" w:hAnsi="Arial" w:cs="Arial"/>
          <w:sz w:val="20"/>
        </w:rPr>
        <w:t>be</w:t>
      </w:r>
      <w:r w:rsidRPr="00FE6A25">
        <w:rPr>
          <w:rFonts w:ascii="Arial" w:hAnsi="Arial" w:cs="Arial"/>
          <w:spacing w:val="-2"/>
          <w:sz w:val="20"/>
        </w:rPr>
        <w:t xml:space="preserve"> </w:t>
      </w:r>
      <w:r w:rsidRPr="00FE6A25">
        <w:rPr>
          <w:rFonts w:ascii="Arial" w:hAnsi="Arial" w:cs="Arial"/>
          <w:sz w:val="20"/>
        </w:rPr>
        <w:t>at</w:t>
      </w:r>
      <w:r w:rsidRPr="00FE6A25">
        <w:rPr>
          <w:rFonts w:ascii="Arial" w:hAnsi="Arial" w:cs="Arial"/>
          <w:spacing w:val="-1"/>
          <w:sz w:val="20"/>
        </w:rPr>
        <w:t xml:space="preserve"> </w:t>
      </w:r>
      <w:r w:rsidRPr="00FE6A25">
        <w:rPr>
          <w:rFonts w:ascii="Arial" w:hAnsi="Arial" w:cs="Arial"/>
          <w:sz w:val="20"/>
        </w:rPr>
        <w:t>least</w:t>
      </w:r>
      <w:r w:rsidRPr="00FE6A25">
        <w:rPr>
          <w:rFonts w:ascii="Arial" w:hAnsi="Arial" w:cs="Arial"/>
          <w:spacing w:val="-2"/>
          <w:sz w:val="20"/>
        </w:rPr>
        <w:t xml:space="preserve"> </w:t>
      </w:r>
      <w:r w:rsidRPr="00FE6A25">
        <w:rPr>
          <w:rFonts w:ascii="Arial" w:hAnsi="Arial" w:cs="Arial"/>
          <w:sz w:val="20"/>
        </w:rPr>
        <w:t>30</w:t>
      </w:r>
      <w:r w:rsidRPr="00FE6A25">
        <w:rPr>
          <w:rFonts w:ascii="Arial" w:hAnsi="Arial" w:cs="Arial"/>
          <w:spacing w:val="-3"/>
          <w:sz w:val="20"/>
        </w:rPr>
        <w:t xml:space="preserve"> </w:t>
      </w:r>
      <w:r w:rsidRPr="00FE6A25">
        <w:rPr>
          <w:rFonts w:ascii="Arial" w:hAnsi="Arial" w:cs="Arial"/>
          <w:sz w:val="20"/>
        </w:rPr>
        <w:t>minutes.</w:t>
      </w:r>
    </w:p>
    <w:p w14:paraId="5A160D73" w14:textId="77777777" w:rsidR="00FE6A25" w:rsidRPr="00FE6A25" w:rsidRDefault="00FE6A25" w:rsidP="0079393D">
      <w:pPr>
        <w:numPr>
          <w:ilvl w:val="0"/>
          <w:numId w:val="178"/>
        </w:numPr>
        <w:tabs>
          <w:tab w:val="left" w:pos="706"/>
          <w:tab w:val="left" w:pos="707"/>
        </w:tabs>
        <w:spacing w:before="120"/>
        <w:jc w:val="both"/>
        <w:rPr>
          <w:rFonts w:ascii="Arial" w:hAnsi="Arial" w:cs="Arial"/>
          <w:sz w:val="20"/>
        </w:rPr>
      </w:pPr>
      <w:r w:rsidRPr="00FE6A25">
        <w:rPr>
          <w:rFonts w:ascii="Arial" w:hAnsi="Arial" w:cs="Arial"/>
          <w:sz w:val="20"/>
        </w:rPr>
        <w:t>FLIGHT</w:t>
      </w:r>
      <w:r w:rsidRPr="00FE6A25">
        <w:rPr>
          <w:rFonts w:ascii="Arial" w:hAnsi="Arial" w:cs="Arial"/>
          <w:spacing w:val="-5"/>
          <w:sz w:val="20"/>
        </w:rPr>
        <w:t xml:space="preserve"> </w:t>
      </w:r>
      <w:r w:rsidRPr="00FE6A25">
        <w:rPr>
          <w:rFonts w:ascii="Arial" w:hAnsi="Arial" w:cs="Arial"/>
          <w:sz w:val="20"/>
        </w:rPr>
        <w:t>TEST</w:t>
      </w:r>
      <w:r w:rsidRPr="00FE6A25">
        <w:rPr>
          <w:rFonts w:ascii="Arial" w:hAnsi="Arial" w:cs="Arial"/>
          <w:spacing w:val="-4"/>
          <w:sz w:val="20"/>
        </w:rPr>
        <w:t xml:space="preserve"> </w:t>
      </w:r>
      <w:r w:rsidRPr="00FE6A25">
        <w:rPr>
          <w:rFonts w:ascii="Arial" w:hAnsi="Arial" w:cs="Arial"/>
          <w:sz w:val="20"/>
        </w:rPr>
        <w:t>TOLERANCE</w:t>
      </w:r>
    </w:p>
    <w:p w14:paraId="1B0ED85C" w14:textId="77777777" w:rsidR="00FE6A25" w:rsidRPr="00FE6A25" w:rsidRDefault="00FE6A25" w:rsidP="00FE6A25">
      <w:pPr>
        <w:spacing w:before="120"/>
        <w:ind w:left="706"/>
        <w:jc w:val="both"/>
        <w:rPr>
          <w:rFonts w:ascii="Arial" w:hAnsi="Arial" w:cs="Arial"/>
          <w:sz w:val="20"/>
        </w:rPr>
      </w:pPr>
      <w:r w:rsidRPr="00FE6A25">
        <w:rPr>
          <w:rFonts w:ascii="Arial" w:hAnsi="Arial" w:cs="Arial"/>
          <w:sz w:val="20"/>
        </w:rPr>
        <w:t>The</w:t>
      </w:r>
      <w:r w:rsidRPr="00FE6A25">
        <w:rPr>
          <w:rFonts w:ascii="Arial" w:hAnsi="Arial" w:cs="Arial"/>
          <w:spacing w:val="-2"/>
          <w:sz w:val="20"/>
        </w:rPr>
        <w:t xml:space="preserve"> </w:t>
      </w:r>
      <w:r w:rsidRPr="00FE6A25">
        <w:rPr>
          <w:rFonts w:ascii="Arial" w:hAnsi="Arial" w:cs="Arial"/>
          <w:sz w:val="20"/>
        </w:rPr>
        <w:t>applicant</w:t>
      </w:r>
      <w:r w:rsidRPr="00FE6A25">
        <w:rPr>
          <w:rFonts w:ascii="Arial" w:hAnsi="Arial" w:cs="Arial"/>
          <w:spacing w:val="-2"/>
          <w:sz w:val="20"/>
        </w:rPr>
        <w:t xml:space="preserve"> </w:t>
      </w:r>
      <w:r w:rsidRPr="00FE6A25">
        <w:rPr>
          <w:rFonts w:ascii="Arial" w:hAnsi="Arial" w:cs="Arial"/>
          <w:sz w:val="20"/>
        </w:rPr>
        <w:t>should</w:t>
      </w:r>
      <w:r w:rsidRPr="00FE6A25">
        <w:rPr>
          <w:rFonts w:ascii="Arial" w:hAnsi="Arial" w:cs="Arial"/>
          <w:spacing w:val="-3"/>
          <w:sz w:val="20"/>
        </w:rPr>
        <w:t xml:space="preserve"> </w:t>
      </w:r>
      <w:r w:rsidRPr="00FE6A25">
        <w:rPr>
          <w:rFonts w:ascii="Arial" w:hAnsi="Arial" w:cs="Arial"/>
          <w:sz w:val="20"/>
        </w:rPr>
        <w:t>demonstrate</w:t>
      </w:r>
      <w:r w:rsidRPr="00FE6A25">
        <w:rPr>
          <w:rFonts w:ascii="Arial" w:hAnsi="Arial" w:cs="Arial"/>
          <w:spacing w:val="-4"/>
          <w:sz w:val="20"/>
        </w:rPr>
        <w:t xml:space="preserve"> </w:t>
      </w:r>
      <w:r w:rsidRPr="00FE6A25">
        <w:rPr>
          <w:rFonts w:ascii="Arial" w:hAnsi="Arial" w:cs="Arial"/>
          <w:sz w:val="20"/>
        </w:rPr>
        <w:t>the</w:t>
      </w:r>
      <w:r w:rsidRPr="00FE6A25">
        <w:rPr>
          <w:rFonts w:ascii="Arial" w:hAnsi="Arial" w:cs="Arial"/>
          <w:spacing w:val="-2"/>
          <w:sz w:val="20"/>
        </w:rPr>
        <w:t xml:space="preserve"> </w:t>
      </w:r>
      <w:r w:rsidRPr="00FE6A25">
        <w:rPr>
          <w:rFonts w:ascii="Arial" w:hAnsi="Arial" w:cs="Arial"/>
          <w:sz w:val="20"/>
        </w:rPr>
        <w:t>ability</w:t>
      </w:r>
      <w:r w:rsidRPr="00FE6A25">
        <w:rPr>
          <w:rFonts w:ascii="Arial" w:hAnsi="Arial" w:cs="Arial"/>
          <w:spacing w:val="-2"/>
          <w:sz w:val="20"/>
        </w:rPr>
        <w:t xml:space="preserve"> </w:t>
      </w:r>
      <w:r w:rsidRPr="00FE6A25">
        <w:rPr>
          <w:rFonts w:ascii="Arial" w:hAnsi="Arial" w:cs="Arial"/>
          <w:sz w:val="20"/>
        </w:rPr>
        <w:t>to:</w:t>
      </w:r>
    </w:p>
    <w:p w14:paraId="238F0443" w14:textId="77777777" w:rsidR="00FE6A25" w:rsidRPr="00FE6A25" w:rsidRDefault="00FE6A25" w:rsidP="0079393D">
      <w:pPr>
        <w:numPr>
          <w:ilvl w:val="1"/>
          <w:numId w:val="178"/>
        </w:numPr>
        <w:tabs>
          <w:tab w:val="left" w:pos="1273"/>
          <w:tab w:val="left" w:pos="1274"/>
        </w:tabs>
        <w:spacing w:before="120"/>
        <w:ind w:hanging="568"/>
        <w:jc w:val="both"/>
        <w:rPr>
          <w:rFonts w:ascii="Arial" w:hAnsi="Arial" w:cs="Arial"/>
          <w:sz w:val="20"/>
        </w:rPr>
      </w:pPr>
      <w:r w:rsidRPr="00FE6A25">
        <w:rPr>
          <w:rFonts w:ascii="Arial" w:hAnsi="Arial" w:cs="Arial"/>
          <w:sz w:val="20"/>
        </w:rPr>
        <w:t>operate the</w:t>
      </w:r>
      <w:r w:rsidRPr="00FE6A25">
        <w:rPr>
          <w:rFonts w:ascii="Arial" w:hAnsi="Arial" w:cs="Arial"/>
          <w:spacing w:val="-4"/>
          <w:sz w:val="20"/>
        </w:rPr>
        <w:t xml:space="preserve"> </w:t>
      </w:r>
      <w:r w:rsidRPr="00FE6A25">
        <w:rPr>
          <w:rFonts w:ascii="Arial" w:hAnsi="Arial" w:cs="Arial"/>
          <w:sz w:val="20"/>
        </w:rPr>
        <w:t>balloon</w:t>
      </w:r>
      <w:r w:rsidRPr="00FE6A25">
        <w:rPr>
          <w:rFonts w:ascii="Arial" w:hAnsi="Arial" w:cs="Arial"/>
          <w:spacing w:val="-2"/>
          <w:sz w:val="20"/>
        </w:rPr>
        <w:t xml:space="preserve"> </w:t>
      </w:r>
      <w:r w:rsidRPr="00FE6A25">
        <w:rPr>
          <w:rFonts w:ascii="Arial" w:hAnsi="Arial" w:cs="Arial"/>
          <w:sz w:val="20"/>
        </w:rPr>
        <w:t>within</w:t>
      </w:r>
      <w:r w:rsidRPr="00FE6A25">
        <w:rPr>
          <w:rFonts w:ascii="Arial" w:hAnsi="Arial" w:cs="Arial"/>
          <w:spacing w:val="-3"/>
          <w:sz w:val="20"/>
        </w:rPr>
        <w:t xml:space="preserve"> </w:t>
      </w:r>
      <w:r w:rsidRPr="00FE6A25">
        <w:rPr>
          <w:rFonts w:ascii="Arial" w:hAnsi="Arial" w:cs="Arial"/>
          <w:sz w:val="20"/>
        </w:rPr>
        <w:t>its</w:t>
      </w:r>
      <w:r w:rsidRPr="00FE6A25">
        <w:rPr>
          <w:rFonts w:ascii="Arial" w:hAnsi="Arial" w:cs="Arial"/>
          <w:spacing w:val="-1"/>
          <w:sz w:val="20"/>
        </w:rPr>
        <w:t xml:space="preserve"> </w:t>
      </w:r>
      <w:r w:rsidRPr="00FE6A25">
        <w:rPr>
          <w:rFonts w:ascii="Arial" w:hAnsi="Arial" w:cs="Arial"/>
          <w:sz w:val="20"/>
        </w:rPr>
        <w:t>limitations;</w:t>
      </w:r>
    </w:p>
    <w:p w14:paraId="40A332B7" w14:textId="77777777" w:rsidR="00FE6A25" w:rsidRPr="00FE6A25" w:rsidRDefault="00FE6A25" w:rsidP="0079393D">
      <w:pPr>
        <w:numPr>
          <w:ilvl w:val="1"/>
          <w:numId w:val="178"/>
        </w:numPr>
        <w:tabs>
          <w:tab w:val="left" w:pos="1273"/>
          <w:tab w:val="left" w:pos="1274"/>
        </w:tabs>
        <w:spacing w:before="118"/>
        <w:ind w:hanging="568"/>
        <w:jc w:val="both"/>
        <w:rPr>
          <w:rFonts w:ascii="Arial" w:hAnsi="Arial" w:cs="Arial"/>
          <w:sz w:val="20"/>
        </w:rPr>
      </w:pPr>
      <w:r w:rsidRPr="00FE6A25">
        <w:rPr>
          <w:rFonts w:ascii="Arial" w:hAnsi="Arial" w:cs="Arial"/>
          <w:sz w:val="20"/>
        </w:rPr>
        <w:t>complete all</w:t>
      </w:r>
      <w:r w:rsidRPr="00FE6A25">
        <w:rPr>
          <w:rFonts w:ascii="Arial" w:hAnsi="Arial" w:cs="Arial"/>
          <w:spacing w:val="-4"/>
          <w:sz w:val="20"/>
        </w:rPr>
        <w:t xml:space="preserve"> </w:t>
      </w:r>
      <w:r w:rsidRPr="00FE6A25">
        <w:rPr>
          <w:rFonts w:ascii="Arial" w:hAnsi="Arial" w:cs="Arial"/>
          <w:sz w:val="20"/>
        </w:rPr>
        <w:t>manoeuvres</w:t>
      </w:r>
      <w:r w:rsidRPr="00FE6A25">
        <w:rPr>
          <w:rFonts w:ascii="Arial" w:hAnsi="Arial" w:cs="Arial"/>
          <w:spacing w:val="-1"/>
          <w:sz w:val="20"/>
        </w:rPr>
        <w:t xml:space="preserve"> </w:t>
      </w:r>
      <w:r w:rsidRPr="00FE6A25">
        <w:rPr>
          <w:rFonts w:ascii="Arial" w:hAnsi="Arial" w:cs="Arial"/>
          <w:sz w:val="20"/>
        </w:rPr>
        <w:t>with</w:t>
      </w:r>
      <w:r w:rsidRPr="00FE6A25">
        <w:rPr>
          <w:rFonts w:ascii="Arial" w:hAnsi="Arial" w:cs="Arial"/>
          <w:spacing w:val="-1"/>
          <w:sz w:val="20"/>
        </w:rPr>
        <w:t xml:space="preserve"> </w:t>
      </w:r>
      <w:r w:rsidRPr="00FE6A25">
        <w:rPr>
          <w:rFonts w:ascii="Arial" w:hAnsi="Arial" w:cs="Arial"/>
          <w:sz w:val="20"/>
        </w:rPr>
        <w:t>smoothness and</w:t>
      </w:r>
      <w:r w:rsidRPr="00FE6A25">
        <w:rPr>
          <w:rFonts w:ascii="Arial" w:hAnsi="Arial" w:cs="Arial"/>
          <w:spacing w:val="-2"/>
          <w:sz w:val="20"/>
        </w:rPr>
        <w:t xml:space="preserve"> </w:t>
      </w:r>
      <w:r w:rsidRPr="00FE6A25">
        <w:rPr>
          <w:rFonts w:ascii="Arial" w:hAnsi="Arial" w:cs="Arial"/>
          <w:sz w:val="20"/>
        </w:rPr>
        <w:t>accuracy;</w:t>
      </w:r>
    </w:p>
    <w:p w14:paraId="4FDD6F0C" w14:textId="77777777" w:rsidR="00FE6A25" w:rsidRPr="00FE6A25" w:rsidRDefault="00FE6A25" w:rsidP="0079393D">
      <w:pPr>
        <w:numPr>
          <w:ilvl w:val="1"/>
          <w:numId w:val="178"/>
        </w:numPr>
        <w:tabs>
          <w:tab w:val="left" w:pos="1273"/>
          <w:tab w:val="left" w:pos="1274"/>
        </w:tabs>
        <w:spacing w:before="121"/>
        <w:ind w:hanging="568"/>
        <w:jc w:val="both"/>
        <w:rPr>
          <w:rFonts w:ascii="Arial" w:hAnsi="Arial" w:cs="Arial"/>
          <w:sz w:val="20"/>
        </w:rPr>
      </w:pPr>
      <w:r w:rsidRPr="00FE6A25">
        <w:rPr>
          <w:rFonts w:ascii="Arial" w:hAnsi="Arial" w:cs="Arial"/>
          <w:sz w:val="20"/>
        </w:rPr>
        <w:t>exercise good</w:t>
      </w:r>
      <w:r w:rsidRPr="00FE6A25">
        <w:rPr>
          <w:rFonts w:ascii="Arial" w:hAnsi="Arial" w:cs="Arial"/>
          <w:spacing w:val="-2"/>
          <w:sz w:val="20"/>
        </w:rPr>
        <w:t xml:space="preserve"> </w:t>
      </w:r>
      <w:r w:rsidRPr="00FE6A25">
        <w:rPr>
          <w:rFonts w:ascii="Arial" w:hAnsi="Arial" w:cs="Arial"/>
          <w:sz w:val="20"/>
        </w:rPr>
        <w:t>judgment</w:t>
      </w:r>
      <w:r w:rsidRPr="00FE6A25">
        <w:rPr>
          <w:rFonts w:ascii="Arial" w:hAnsi="Arial" w:cs="Arial"/>
          <w:spacing w:val="-3"/>
          <w:sz w:val="20"/>
        </w:rPr>
        <w:t xml:space="preserve"> </w:t>
      </w:r>
      <w:r w:rsidRPr="00FE6A25">
        <w:rPr>
          <w:rFonts w:ascii="Arial" w:hAnsi="Arial" w:cs="Arial"/>
          <w:sz w:val="20"/>
        </w:rPr>
        <w:t>and</w:t>
      </w:r>
      <w:r w:rsidRPr="00FE6A25">
        <w:rPr>
          <w:rFonts w:ascii="Arial" w:hAnsi="Arial" w:cs="Arial"/>
          <w:spacing w:val="-2"/>
          <w:sz w:val="20"/>
        </w:rPr>
        <w:t xml:space="preserve"> </w:t>
      </w:r>
      <w:r w:rsidRPr="00FE6A25">
        <w:rPr>
          <w:rFonts w:ascii="Arial" w:hAnsi="Arial" w:cs="Arial"/>
          <w:sz w:val="20"/>
        </w:rPr>
        <w:t>airmanship;</w:t>
      </w:r>
    </w:p>
    <w:p w14:paraId="7CF9EDA8" w14:textId="77777777" w:rsidR="00FE6A25" w:rsidRPr="00FE6A25" w:rsidRDefault="00FE6A25" w:rsidP="0079393D">
      <w:pPr>
        <w:numPr>
          <w:ilvl w:val="1"/>
          <w:numId w:val="178"/>
        </w:numPr>
        <w:tabs>
          <w:tab w:val="left" w:pos="1273"/>
          <w:tab w:val="left" w:pos="1274"/>
        </w:tabs>
        <w:spacing w:before="120"/>
        <w:ind w:hanging="568"/>
        <w:jc w:val="both"/>
        <w:rPr>
          <w:rFonts w:ascii="Arial" w:hAnsi="Arial" w:cs="Arial"/>
          <w:sz w:val="20"/>
        </w:rPr>
      </w:pPr>
      <w:r w:rsidRPr="00FE6A25">
        <w:rPr>
          <w:rFonts w:ascii="Arial" w:hAnsi="Arial" w:cs="Arial"/>
          <w:sz w:val="20"/>
        </w:rPr>
        <w:t>apply aeronautical</w:t>
      </w:r>
      <w:r w:rsidRPr="00FE6A25">
        <w:rPr>
          <w:rFonts w:ascii="Arial" w:hAnsi="Arial" w:cs="Arial"/>
          <w:spacing w:val="-3"/>
          <w:sz w:val="20"/>
        </w:rPr>
        <w:t xml:space="preserve"> </w:t>
      </w:r>
      <w:r w:rsidRPr="00FE6A25">
        <w:rPr>
          <w:rFonts w:ascii="Arial" w:hAnsi="Arial" w:cs="Arial"/>
          <w:sz w:val="20"/>
        </w:rPr>
        <w:t>knowledge;</w:t>
      </w:r>
      <w:r w:rsidRPr="00FE6A25">
        <w:rPr>
          <w:rFonts w:ascii="Arial" w:hAnsi="Arial" w:cs="Arial"/>
          <w:spacing w:val="1"/>
          <w:sz w:val="20"/>
        </w:rPr>
        <w:t xml:space="preserve"> </w:t>
      </w:r>
      <w:r w:rsidRPr="00FE6A25">
        <w:rPr>
          <w:rFonts w:ascii="Arial" w:hAnsi="Arial" w:cs="Arial"/>
          <w:sz w:val="20"/>
        </w:rPr>
        <w:t>and</w:t>
      </w:r>
    </w:p>
    <w:p w14:paraId="1B1F3F1E" w14:textId="77777777" w:rsidR="00FE6A25" w:rsidRPr="00FE6A25" w:rsidRDefault="00FE6A25" w:rsidP="0079393D">
      <w:pPr>
        <w:numPr>
          <w:ilvl w:val="1"/>
          <w:numId w:val="178"/>
        </w:numPr>
        <w:tabs>
          <w:tab w:val="left" w:pos="1273"/>
          <w:tab w:val="left" w:pos="1274"/>
        </w:tabs>
        <w:spacing w:before="120"/>
        <w:ind w:right="195"/>
        <w:jc w:val="both"/>
        <w:rPr>
          <w:rFonts w:ascii="Arial" w:hAnsi="Arial" w:cs="Arial"/>
          <w:sz w:val="20"/>
        </w:rPr>
      </w:pPr>
      <w:r w:rsidRPr="00FE6A25">
        <w:rPr>
          <w:rFonts w:ascii="Arial" w:hAnsi="Arial" w:cs="Arial"/>
          <w:sz w:val="20"/>
        </w:rPr>
        <w:t>maintain</w:t>
      </w:r>
      <w:r w:rsidRPr="00FE6A25">
        <w:rPr>
          <w:rFonts w:ascii="Arial" w:hAnsi="Arial" w:cs="Arial"/>
          <w:spacing w:val="-6"/>
          <w:sz w:val="20"/>
        </w:rPr>
        <w:t xml:space="preserve"> </w:t>
      </w:r>
      <w:r w:rsidRPr="00FE6A25">
        <w:rPr>
          <w:rFonts w:ascii="Arial" w:hAnsi="Arial" w:cs="Arial"/>
          <w:sz w:val="20"/>
        </w:rPr>
        <w:t>control</w:t>
      </w:r>
      <w:r w:rsidRPr="00FE6A25">
        <w:rPr>
          <w:rFonts w:ascii="Arial" w:hAnsi="Arial" w:cs="Arial"/>
          <w:spacing w:val="-7"/>
          <w:sz w:val="20"/>
        </w:rPr>
        <w:t xml:space="preserve"> </w:t>
      </w:r>
      <w:r w:rsidRPr="00FE6A25">
        <w:rPr>
          <w:rFonts w:ascii="Arial" w:hAnsi="Arial" w:cs="Arial"/>
          <w:sz w:val="20"/>
        </w:rPr>
        <w:t>of</w:t>
      </w:r>
      <w:r w:rsidRPr="00FE6A25">
        <w:rPr>
          <w:rFonts w:ascii="Arial" w:hAnsi="Arial" w:cs="Arial"/>
          <w:spacing w:val="-6"/>
          <w:sz w:val="20"/>
        </w:rPr>
        <w:t xml:space="preserve"> </w:t>
      </w:r>
      <w:r w:rsidRPr="00FE6A25">
        <w:rPr>
          <w:rFonts w:ascii="Arial" w:hAnsi="Arial" w:cs="Arial"/>
          <w:sz w:val="20"/>
        </w:rPr>
        <w:t>the</w:t>
      </w:r>
      <w:r w:rsidRPr="00FE6A25">
        <w:rPr>
          <w:rFonts w:ascii="Arial" w:hAnsi="Arial" w:cs="Arial"/>
          <w:spacing w:val="-7"/>
          <w:sz w:val="20"/>
        </w:rPr>
        <w:t xml:space="preserve"> </w:t>
      </w:r>
      <w:r w:rsidRPr="00FE6A25">
        <w:rPr>
          <w:rFonts w:ascii="Arial" w:hAnsi="Arial" w:cs="Arial"/>
          <w:sz w:val="20"/>
        </w:rPr>
        <w:t>balloon</w:t>
      </w:r>
      <w:r w:rsidRPr="00FE6A25">
        <w:rPr>
          <w:rFonts w:ascii="Arial" w:hAnsi="Arial" w:cs="Arial"/>
          <w:spacing w:val="-6"/>
          <w:sz w:val="20"/>
        </w:rPr>
        <w:t xml:space="preserve"> </w:t>
      </w:r>
      <w:r w:rsidRPr="00FE6A25">
        <w:rPr>
          <w:rFonts w:ascii="Arial" w:hAnsi="Arial" w:cs="Arial"/>
          <w:sz w:val="20"/>
        </w:rPr>
        <w:t>at</w:t>
      </w:r>
      <w:r w:rsidRPr="00FE6A25">
        <w:rPr>
          <w:rFonts w:ascii="Arial" w:hAnsi="Arial" w:cs="Arial"/>
          <w:spacing w:val="-4"/>
          <w:sz w:val="20"/>
        </w:rPr>
        <w:t xml:space="preserve"> </w:t>
      </w:r>
      <w:r w:rsidRPr="00FE6A25">
        <w:rPr>
          <w:rFonts w:ascii="Arial" w:hAnsi="Arial" w:cs="Arial"/>
          <w:sz w:val="20"/>
        </w:rPr>
        <w:t>all</w:t>
      </w:r>
      <w:r w:rsidRPr="00FE6A25">
        <w:rPr>
          <w:rFonts w:ascii="Arial" w:hAnsi="Arial" w:cs="Arial"/>
          <w:spacing w:val="-6"/>
          <w:sz w:val="20"/>
        </w:rPr>
        <w:t xml:space="preserve"> </w:t>
      </w:r>
      <w:r w:rsidRPr="00FE6A25">
        <w:rPr>
          <w:rFonts w:ascii="Arial" w:hAnsi="Arial" w:cs="Arial"/>
          <w:sz w:val="20"/>
        </w:rPr>
        <w:t>times</w:t>
      </w:r>
      <w:r w:rsidRPr="00FE6A25">
        <w:rPr>
          <w:rFonts w:ascii="Arial" w:hAnsi="Arial" w:cs="Arial"/>
          <w:spacing w:val="-4"/>
          <w:sz w:val="20"/>
        </w:rPr>
        <w:t xml:space="preserve"> </w:t>
      </w:r>
      <w:r w:rsidRPr="00FE6A25">
        <w:rPr>
          <w:rFonts w:ascii="Arial" w:hAnsi="Arial" w:cs="Arial"/>
          <w:sz w:val="20"/>
        </w:rPr>
        <w:t>in</w:t>
      </w:r>
      <w:r w:rsidRPr="00FE6A25">
        <w:rPr>
          <w:rFonts w:ascii="Arial" w:hAnsi="Arial" w:cs="Arial"/>
          <w:spacing w:val="-6"/>
          <w:sz w:val="20"/>
        </w:rPr>
        <w:t xml:space="preserve"> </w:t>
      </w:r>
      <w:r w:rsidRPr="00FE6A25">
        <w:rPr>
          <w:rFonts w:ascii="Arial" w:hAnsi="Arial" w:cs="Arial"/>
          <w:sz w:val="20"/>
        </w:rPr>
        <w:t>such</w:t>
      </w:r>
      <w:r w:rsidRPr="00FE6A25">
        <w:rPr>
          <w:rFonts w:ascii="Arial" w:hAnsi="Arial" w:cs="Arial"/>
          <w:spacing w:val="-7"/>
          <w:sz w:val="20"/>
        </w:rPr>
        <w:t xml:space="preserve"> </w:t>
      </w:r>
      <w:r w:rsidRPr="00FE6A25">
        <w:rPr>
          <w:rFonts w:ascii="Arial" w:hAnsi="Arial" w:cs="Arial"/>
          <w:sz w:val="20"/>
        </w:rPr>
        <w:t>a</w:t>
      </w:r>
      <w:r w:rsidRPr="00FE6A25">
        <w:rPr>
          <w:rFonts w:ascii="Arial" w:hAnsi="Arial" w:cs="Arial"/>
          <w:spacing w:val="-7"/>
          <w:sz w:val="20"/>
        </w:rPr>
        <w:t xml:space="preserve"> </w:t>
      </w:r>
      <w:r w:rsidRPr="00FE6A25">
        <w:rPr>
          <w:rFonts w:ascii="Arial" w:hAnsi="Arial" w:cs="Arial"/>
          <w:sz w:val="20"/>
        </w:rPr>
        <w:t>manner</w:t>
      </w:r>
      <w:r w:rsidRPr="00FE6A25">
        <w:rPr>
          <w:rFonts w:ascii="Arial" w:hAnsi="Arial" w:cs="Arial"/>
          <w:spacing w:val="-5"/>
          <w:sz w:val="20"/>
        </w:rPr>
        <w:t xml:space="preserve"> </w:t>
      </w:r>
      <w:r w:rsidRPr="00FE6A25">
        <w:rPr>
          <w:rFonts w:ascii="Arial" w:hAnsi="Arial" w:cs="Arial"/>
          <w:sz w:val="20"/>
        </w:rPr>
        <w:t>that</w:t>
      </w:r>
      <w:r w:rsidRPr="00FE6A25">
        <w:rPr>
          <w:rFonts w:ascii="Arial" w:hAnsi="Arial" w:cs="Arial"/>
          <w:spacing w:val="-5"/>
          <w:sz w:val="20"/>
        </w:rPr>
        <w:t xml:space="preserve"> </w:t>
      </w:r>
      <w:r w:rsidRPr="00FE6A25">
        <w:rPr>
          <w:rFonts w:ascii="Arial" w:hAnsi="Arial" w:cs="Arial"/>
          <w:sz w:val="20"/>
        </w:rPr>
        <w:t>the</w:t>
      </w:r>
      <w:r w:rsidRPr="00FE6A25">
        <w:rPr>
          <w:rFonts w:ascii="Arial" w:hAnsi="Arial" w:cs="Arial"/>
          <w:spacing w:val="-5"/>
          <w:sz w:val="20"/>
        </w:rPr>
        <w:t xml:space="preserve"> </w:t>
      </w:r>
      <w:r w:rsidRPr="00FE6A25">
        <w:rPr>
          <w:rFonts w:ascii="Arial" w:hAnsi="Arial" w:cs="Arial"/>
          <w:sz w:val="20"/>
        </w:rPr>
        <w:t>successful</w:t>
      </w:r>
      <w:r w:rsidRPr="00FE6A25">
        <w:rPr>
          <w:rFonts w:ascii="Arial" w:hAnsi="Arial" w:cs="Arial"/>
          <w:spacing w:val="-8"/>
          <w:sz w:val="20"/>
        </w:rPr>
        <w:t xml:space="preserve"> </w:t>
      </w:r>
      <w:r w:rsidRPr="00FE6A25">
        <w:rPr>
          <w:rFonts w:ascii="Arial" w:hAnsi="Arial" w:cs="Arial"/>
          <w:sz w:val="20"/>
        </w:rPr>
        <w:t>outcome</w:t>
      </w:r>
      <w:r w:rsidRPr="00FE6A25">
        <w:rPr>
          <w:rFonts w:ascii="Arial" w:hAnsi="Arial" w:cs="Arial"/>
          <w:spacing w:val="-47"/>
          <w:sz w:val="20"/>
        </w:rPr>
        <w:t xml:space="preserve"> </w:t>
      </w:r>
      <w:r w:rsidRPr="00FE6A25">
        <w:rPr>
          <w:rFonts w:ascii="Arial" w:hAnsi="Arial" w:cs="Arial"/>
          <w:sz w:val="20"/>
        </w:rPr>
        <w:t>of</w:t>
      </w:r>
      <w:r w:rsidRPr="00FE6A25">
        <w:rPr>
          <w:rFonts w:ascii="Arial" w:hAnsi="Arial" w:cs="Arial"/>
          <w:spacing w:val="-1"/>
          <w:sz w:val="20"/>
        </w:rPr>
        <w:t xml:space="preserve"> </w:t>
      </w:r>
      <w:r w:rsidRPr="00FE6A25">
        <w:rPr>
          <w:rFonts w:ascii="Arial" w:hAnsi="Arial" w:cs="Arial"/>
          <w:sz w:val="20"/>
        </w:rPr>
        <w:t>a procedure</w:t>
      </w:r>
      <w:r w:rsidRPr="00FE6A25">
        <w:rPr>
          <w:rFonts w:ascii="Arial" w:hAnsi="Arial" w:cs="Arial"/>
          <w:spacing w:val="1"/>
          <w:sz w:val="20"/>
        </w:rPr>
        <w:t xml:space="preserve"> </w:t>
      </w:r>
      <w:r w:rsidRPr="00FE6A25">
        <w:rPr>
          <w:rFonts w:ascii="Arial" w:hAnsi="Arial" w:cs="Arial"/>
          <w:sz w:val="20"/>
        </w:rPr>
        <w:t>or</w:t>
      </w:r>
      <w:r w:rsidRPr="00FE6A25">
        <w:rPr>
          <w:rFonts w:ascii="Arial" w:hAnsi="Arial" w:cs="Arial"/>
          <w:spacing w:val="-2"/>
          <w:sz w:val="20"/>
        </w:rPr>
        <w:t xml:space="preserve"> </w:t>
      </w:r>
      <w:r w:rsidRPr="00FE6A25">
        <w:rPr>
          <w:rFonts w:ascii="Arial" w:hAnsi="Arial" w:cs="Arial"/>
          <w:sz w:val="20"/>
        </w:rPr>
        <w:t>manoeuvre is</w:t>
      </w:r>
      <w:r w:rsidRPr="00FE6A25">
        <w:rPr>
          <w:rFonts w:ascii="Arial" w:hAnsi="Arial" w:cs="Arial"/>
          <w:spacing w:val="-1"/>
          <w:sz w:val="20"/>
        </w:rPr>
        <w:t xml:space="preserve"> </w:t>
      </w:r>
      <w:r w:rsidRPr="00FE6A25">
        <w:rPr>
          <w:rFonts w:ascii="Arial" w:hAnsi="Arial" w:cs="Arial"/>
          <w:sz w:val="20"/>
        </w:rPr>
        <w:t>never</w:t>
      </w:r>
      <w:r w:rsidRPr="00FE6A25">
        <w:rPr>
          <w:rFonts w:ascii="Arial" w:hAnsi="Arial" w:cs="Arial"/>
          <w:spacing w:val="-2"/>
          <w:sz w:val="20"/>
        </w:rPr>
        <w:t xml:space="preserve"> </w:t>
      </w:r>
      <w:r w:rsidRPr="00FE6A25">
        <w:rPr>
          <w:rFonts w:ascii="Arial" w:hAnsi="Arial" w:cs="Arial"/>
          <w:sz w:val="20"/>
        </w:rPr>
        <w:t>seriously</w:t>
      </w:r>
      <w:r w:rsidRPr="00FE6A25">
        <w:rPr>
          <w:rFonts w:ascii="Arial" w:hAnsi="Arial" w:cs="Arial"/>
          <w:spacing w:val="-2"/>
          <w:sz w:val="20"/>
        </w:rPr>
        <w:t xml:space="preserve"> </w:t>
      </w:r>
      <w:r w:rsidRPr="00FE6A25">
        <w:rPr>
          <w:rFonts w:ascii="Arial" w:hAnsi="Arial" w:cs="Arial"/>
          <w:sz w:val="20"/>
        </w:rPr>
        <w:t>in doubt.</w:t>
      </w:r>
    </w:p>
    <w:p w14:paraId="18C529C2" w14:textId="77777777" w:rsidR="00FE6A25" w:rsidRPr="00FE6A25" w:rsidRDefault="00FE6A25" w:rsidP="0079393D">
      <w:pPr>
        <w:numPr>
          <w:ilvl w:val="0"/>
          <w:numId w:val="178"/>
        </w:numPr>
        <w:tabs>
          <w:tab w:val="left" w:pos="706"/>
          <w:tab w:val="left" w:pos="707"/>
        </w:tabs>
        <w:spacing w:before="121"/>
        <w:jc w:val="both"/>
        <w:rPr>
          <w:rFonts w:ascii="Arial" w:hAnsi="Arial" w:cs="Arial"/>
          <w:sz w:val="20"/>
        </w:rPr>
      </w:pPr>
      <w:r w:rsidRPr="00FE6A25">
        <w:rPr>
          <w:rFonts w:ascii="Arial" w:hAnsi="Arial" w:cs="Arial"/>
          <w:sz w:val="20"/>
        </w:rPr>
        <w:t>CONTENT</w:t>
      </w:r>
      <w:r w:rsidRPr="00FE6A25">
        <w:rPr>
          <w:rFonts w:ascii="Arial" w:hAnsi="Arial" w:cs="Arial"/>
          <w:spacing w:val="-4"/>
          <w:sz w:val="20"/>
        </w:rPr>
        <w:t xml:space="preserve"> </w:t>
      </w:r>
      <w:r w:rsidRPr="00FE6A25">
        <w:rPr>
          <w:rFonts w:ascii="Arial" w:hAnsi="Arial" w:cs="Arial"/>
          <w:sz w:val="20"/>
        </w:rPr>
        <w:t>OF</w:t>
      </w:r>
      <w:r w:rsidRPr="00FE6A25">
        <w:rPr>
          <w:rFonts w:ascii="Arial" w:hAnsi="Arial" w:cs="Arial"/>
          <w:spacing w:val="-1"/>
          <w:sz w:val="20"/>
        </w:rPr>
        <w:t xml:space="preserve"> </w:t>
      </w:r>
      <w:r w:rsidRPr="00FE6A25">
        <w:rPr>
          <w:rFonts w:ascii="Arial" w:hAnsi="Arial" w:cs="Arial"/>
          <w:sz w:val="20"/>
        </w:rPr>
        <w:t>THE</w:t>
      </w:r>
      <w:r w:rsidRPr="00FE6A25">
        <w:rPr>
          <w:rFonts w:ascii="Arial" w:hAnsi="Arial" w:cs="Arial"/>
          <w:spacing w:val="-1"/>
          <w:sz w:val="20"/>
        </w:rPr>
        <w:t xml:space="preserve"> </w:t>
      </w:r>
      <w:r w:rsidRPr="00FE6A25">
        <w:rPr>
          <w:rFonts w:ascii="Arial" w:hAnsi="Arial" w:cs="Arial"/>
          <w:sz w:val="20"/>
        </w:rPr>
        <w:t>SKILL</w:t>
      </w:r>
      <w:r w:rsidRPr="00FE6A25">
        <w:rPr>
          <w:rFonts w:ascii="Arial" w:hAnsi="Arial" w:cs="Arial"/>
          <w:spacing w:val="-3"/>
          <w:sz w:val="20"/>
        </w:rPr>
        <w:t xml:space="preserve"> </w:t>
      </w:r>
      <w:r w:rsidRPr="00FE6A25">
        <w:rPr>
          <w:rFonts w:ascii="Arial" w:hAnsi="Arial" w:cs="Arial"/>
          <w:sz w:val="20"/>
        </w:rPr>
        <w:t>TEST</w:t>
      </w:r>
    </w:p>
    <w:p w14:paraId="5EDFB25E" w14:textId="77777777" w:rsidR="00FE6A25" w:rsidRPr="00FE6A25" w:rsidRDefault="00FE6A25" w:rsidP="0079393D">
      <w:pPr>
        <w:numPr>
          <w:ilvl w:val="1"/>
          <w:numId w:val="178"/>
        </w:numPr>
        <w:tabs>
          <w:tab w:val="left" w:pos="1273"/>
          <w:tab w:val="left" w:pos="1274"/>
        </w:tabs>
        <w:spacing w:before="120"/>
        <w:ind w:right="202"/>
        <w:jc w:val="both"/>
        <w:rPr>
          <w:rFonts w:ascii="Arial" w:hAnsi="Arial" w:cs="Arial"/>
          <w:sz w:val="20"/>
        </w:rPr>
      </w:pPr>
      <w:r w:rsidRPr="00FE6A25">
        <w:rPr>
          <w:rFonts w:ascii="Arial" w:hAnsi="Arial" w:cs="Arial"/>
          <w:sz w:val="20"/>
        </w:rPr>
        <w:t>The</w:t>
      </w:r>
      <w:r w:rsidRPr="00FE6A25">
        <w:rPr>
          <w:rFonts w:ascii="Arial" w:hAnsi="Arial" w:cs="Arial"/>
          <w:spacing w:val="8"/>
          <w:sz w:val="20"/>
        </w:rPr>
        <w:t xml:space="preserve"> </w:t>
      </w:r>
      <w:r w:rsidRPr="00FE6A25">
        <w:rPr>
          <w:rFonts w:ascii="Arial" w:hAnsi="Arial" w:cs="Arial"/>
          <w:sz w:val="20"/>
        </w:rPr>
        <w:t>skill</w:t>
      </w:r>
      <w:r w:rsidRPr="00FE6A25">
        <w:rPr>
          <w:rFonts w:ascii="Arial" w:hAnsi="Arial" w:cs="Arial"/>
          <w:spacing w:val="5"/>
          <w:sz w:val="20"/>
        </w:rPr>
        <w:t xml:space="preserve"> </w:t>
      </w:r>
      <w:r w:rsidRPr="00FE6A25">
        <w:rPr>
          <w:rFonts w:ascii="Arial" w:hAnsi="Arial" w:cs="Arial"/>
          <w:sz w:val="20"/>
        </w:rPr>
        <w:t>test</w:t>
      </w:r>
      <w:r w:rsidRPr="00FE6A25">
        <w:rPr>
          <w:rFonts w:ascii="Arial" w:hAnsi="Arial" w:cs="Arial"/>
          <w:spacing w:val="7"/>
          <w:sz w:val="20"/>
        </w:rPr>
        <w:t xml:space="preserve"> </w:t>
      </w:r>
      <w:r w:rsidRPr="00FE6A25">
        <w:rPr>
          <w:rFonts w:ascii="Arial" w:hAnsi="Arial" w:cs="Arial"/>
          <w:sz w:val="20"/>
        </w:rPr>
        <w:t>contents</w:t>
      </w:r>
      <w:r w:rsidRPr="00FE6A25">
        <w:rPr>
          <w:rFonts w:ascii="Arial" w:hAnsi="Arial" w:cs="Arial"/>
          <w:spacing w:val="6"/>
          <w:sz w:val="20"/>
        </w:rPr>
        <w:t xml:space="preserve"> </w:t>
      </w:r>
      <w:r w:rsidRPr="00FE6A25">
        <w:rPr>
          <w:rFonts w:ascii="Arial" w:hAnsi="Arial" w:cs="Arial"/>
          <w:sz w:val="20"/>
        </w:rPr>
        <w:t>and</w:t>
      </w:r>
      <w:r w:rsidRPr="00FE6A25">
        <w:rPr>
          <w:rFonts w:ascii="Arial" w:hAnsi="Arial" w:cs="Arial"/>
          <w:spacing w:val="5"/>
          <w:sz w:val="20"/>
        </w:rPr>
        <w:t xml:space="preserve"> </w:t>
      </w:r>
      <w:r w:rsidRPr="00FE6A25">
        <w:rPr>
          <w:rFonts w:ascii="Arial" w:hAnsi="Arial" w:cs="Arial"/>
          <w:sz w:val="20"/>
        </w:rPr>
        <w:t>sections</w:t>
      </w:r>
      <w:r w:rsidRPr="00FE6A25">
        <w:rPr>
          <w:rFonts w:ascii="Arial" w:hAnsi="Arial" w:cs="Arial"/>
          <w:spacing w:val="9"/>
          <w:sz w:val="20"/>
        </w:rPr>
        <w:t xml:space="preserve"> </w:t>
      </w:r>
      <w:r w:rsidRPr="00FE6A25">
        <w:rPr>
          <w:rFonts w:ascii="Arial" w:hAnsi="Arial" w:cs="Arial"/>
          <w:sz w:val="20"/>
        </w:rPr>
        <w:t>set</w:t>
      </w:r>
      <w:r w:rsidRPr="00FE6A25">
        <w:rPr>
          <w:rFonts w:ascii="Arial" w:hAnsi="Arial" w:cs="Arial"/>
          <w:spacing w:val="7"/>
          <w:sz w:val="20"/>
        </w:rPr>
        <w:t xml:space="preserve"> </w:t>
      </w:r>
      <w:r w:rsidRPr="00FE6A25">
        <w:rPr>
          <w:rFonts w:ascii="Arial" w:hAnsi="Arial" w:cs="Arial"/>
          <w:sz w:val="20"/>
        </w:rPr>
        <w:t>out</w:t>
      </w:r>
      <w:r w:rsidRPr="00FE6A25">
        <w:rPr>
          <w:rFonts w:ascii="Arial" w:hAnsi="Arial" w:cs="Arial"/>
          <w:spacing w:val="7"/>
          <w:sz w:val="20"/>
        </w:rPr>
        <w:t xml:space="preserve"> </w:t>
      </w:r>
      <w:r w:rsidRPr="00FE6A25">
        <w:rPr>
          <w:rFonts w:ascii="Arial" w:hAnsi="Arial" w:cs="Arial"/>
          <w:sz w:val="20"/>
        </w:rPr>
        <w:t>in</w:t>
      </w:r>
      <w:r w:rsidRPr="00FE6A25">
        <w:rPr>
          <w:rFonts w:ascii="Arial" w:hAnsi="Arial" w:cs="Arial"/>
          <w:spacing w:val="8"/>
          <w:sz w:val="20"/>
        </w:rPr>
        <w:t xml:space="preserve"> </w:t>
      </w:r>
      <w:r w:rsidRPr="00FE6A25">
        <w:rPr>
          <w:rFonts w:ascii="Arial" w:hAnsi="Arial" w:cs="Arial"/>
          <w:sz w:val="20"/>
        </w:rPr>
        <w:t>this</w:t>
      </w:r>
      <w:r w:rsidRPr="00FE6A25">
        <w:rPr>
          <w:rFonts w:ascii="Arial" w:hAnsi="Arial" w:cs="Arial"/>
          <w:spacing w:val="6"/>
          <w:sz w:val="20"/>
        </w:rPr>
        <w:t xml:space="preserve"> </w:t>
      </w:r>
      <w:r w:rsidRPr="00FE6A25">
        <w:rPr>
          <w:rFonts w:ascii="Arial" w:hAnsi="Arial" w:cs="Arial"/>
          <w:sz w:val="20"/>
        </w:rPr>
        <w:t>point</w:t>
      </w:r>
      <w:r w:rsidRPr="00FE6A25">
        <w:rPr>
          <w:rFonts w:ascii="Arial" w:hAnsi="Arial" w:cs="Arial"/>
          <w:spacing w:val="9"/>
          <w:sz w:val="20"/>
        </w:rPr>
        <w:t xml:space="preserve"> </w:t>
      </w:r>
      <w:r w:rsidRPr="00FE6A25">
        <w:rPr>
          <w:rFonts w:ascii="Arial" w:hAnsi="Arial" w:cs="Arial"/>
          <w:sz w:val="20"/>
        </w:rPr>
        <w:t>should</w:t>
      </w:r>
      <w:r w:rsidRPr="00FE6A25">
        <w:rPr>
          <w:rFonts w:ascii="Arial" w:hAnsi="Arial" w:cs="Arial"/>
          <w:spacing w:val="7"/>
          <w:sz w:val="20"/>
        </w:rPr>
        <w:t xml:space="preserve"> </w:t>
      </w:r>
      <w:r w:rsidRPr="00FE6A25">
        <w:rPr>
          <w:rFonts w:ascii="Arial" w:hAnsi="Arial" w:cs="Arial"/>
          <w:sz w:val="20"/>
        </w:rPr>
        <w:t>be</w:t>
      </w:r>
      <w:r w:rsidRPr="00FE6A25">
        <w:rPr>
          <w:rFonts w:ascii="Arial" w:hAnsi="Arial" w:cs="Arial"/>
          <w:spacing w:val="9"/>
          <w:sz w:val="20"/>
        </w:rPr>
        <w:t xml:space="preserve"> </w:t>
      </w:r>
      <w:r w:rsidRPr="00FE6A25">
        <w:rPr>
          <w:rFonts w:ascii="Arial" w:hAnsi="Arial" w:cs="Arial"/>
          <w:sz w:val="20"/>
        </w:rPr>
        <w:t>used</w:t>
      </w:r>
      <w:r w:rsidRPr="00FE6A25">
        <w:rPr>
          <w:rFonts w:ascii="Arial" w:hAnsi="Arial" w:cs="Arial"/>
          <w:spacing w:val="6"/>
          <w:sz w:val="20"/>
        </w:rPr>
        <w:t xml:space="preserve"> </w:t>
      </w:r>
      <w:r w:rsidRPr="00FE6A25">
        <w:rPr>
          <w:rFonts w:ascii="Arial" w:hAnsi="Arial" w:cs="Arial"/>
          <w:sz w:val="20"/>
        </w:rPr>
        <w:t>for</w:t>
      </w:r>
      <w:r w:rsidRPr="00FE6A25">
        <w:rPr>
          <w:rFonts w:ascii="Arial" w:hAnsi="Arial" w:cs="Arial"/>
          <w:spacing w:val="5"/>
          <w:sz w:val="20"/>
        </w:rPr>
        <w:t xml:space="preserve"> </w:t>
      </w:r>
      <w:r w:rsidRPr="00FE6A25">
        <w:rPr>
          <w:rFonts w:ascii="Arial" w:hAnsi="Arial" w:cs="Arial"/>
          <w:sz w:val="20"/>
        </w:rPr>
        <w:t>the</w:t>
      </w:r>
      <w:r w:rsidRPr="00FE6A25">
        <w:rPr>
          <w:rFonts w:ascii="Arial" w:hAnsi="Arial" w:cs="Arial"/>
          <w:spacing w:val="6"/>
          <w:sz w:val="20"/>
        </w:rPr>
        <w:t xml:space="preserve"> </w:t>
      </w:r>
      <w:r w:rsidRPr="00FE6A25">
        <w:rPr>
          <w:rFonts w:ascii="Arial" w:hAnsi="Arial" w:cs="Arial"/>
          <w:sz w:val="20"/>
        </w:rPr>
        <w:t>skill</w:t>
      </w:r>
      <w:r w:rsidRPr="00FE6A25">
        <w:rPr>
          <w:rFonts w:ascii="Arial" w:hAnsi="Arial" w:cs="Arial"/>
          <w:spacing w:val="8"/>
          <w:sz w:val="20"/>
        </w:rPr>
        <w:t xml:space="preserve"> </w:t>
      </w:r>
      <w:r w:rsidRPr="00FE6A25">
        <w:rPr>
          <w:rFonts w:ascii="Arial" w:hAnsi="Arial" w:cs="Arial"/>
          <w:sz w:val="20"/>
        </w:rPr>
        <w:t>test</w:t>
      </w:r>
      <w:r w:rsidRPr="00FE6A25">
        <w:rPr>
          <w:rFonts w:ascii="Arial" w:hAnsi="Arial" w:cs="Arial"/>
          <w:spacing w:val="-46"/>
          <w:sz w:val="20"/>
        </w:rPr>
        <w:t xml:space="preserve"> </w:t>
      </w:r>
      <w:r w:rsidRPr="00FE6A25">
        <w:rPr>
          <w:rFonts w:ascii="Arial" w:hAnsi="Arial" w:cs="Arial"/>
          <w:sz w:val="20"/>
        </w:rPr>
        <w:t>for the</w:t>
      </w:r>
      <w:r w:rsidRPr="00FE6A25">
        <w:rPr>
          <w:rFonts w:ascii="Arial" w:hAnsi="Arial" w:cs="Arial"/>
          <w:spacing w:val="1"/>
          <w:sz w:val="20"/>
        </w:rPr>
        <w:t xml:space="preserve"> </w:t>
      </w:r>
      <w:r w:rsidRPr="00FE6A25">
        <w:rPr>
          <w:rFonts w:ascii="Arial" w:hAnsi="Arial" w:cs="Arial"/>
          <w:sz w:val="20"/>
        </w:rPr>
        <w:t>issue</w:t>
      </w:r>
      <w:r w:rsidRPr="00FE6A25">
        <w:rPr>
          <w:rFonts w:ascii="Arial" w:hAnsi="Arial" w:cs="Arial"/>
          <w:spacing w:val="-2"/>
          <w:sz w:val="20"/>
        </w:rPr>
        <w:t xml:space="preserve"> </w:t>
      </w:r>
      <w:r w:rsidRPr="00FE6A25">
        <w:rPr>
          <w:rFonts w:ascii="Arial" w:hAnsi="Arial" w:cs="Arial"/>
          <w:sz w:val="20"/>
        </w:rPr>
        <w:t>of</w:t>
      </w:r>
      <w:r w:rsidRPr="00FE6A25">
        <w:rPr>
          <w:rFonts w:ascii="Arial" w:hAnsi="Arial" w:cs="Arial"/>
          <w:spacing w:val="-2"/>
          <w:sz w:val="20"/>
        </w:rPr>
        <w:t xml:space="preserve"> </w:t>
      </w:r>
      <w:r w:rsidRPr="00FE6A25">
        <w:rPr>
          <w:rFonts w:ascii="Arial" w:hAnsi="Arial" w:cs="Arial"/>
          <w:sz w:val="20"/>
        </w:rPr>
        <w:t>a BPL</w:t>
      </w:r>
      <w:r w:rsidRPr="00FE6A25">
        <w:rPr>
          <w:rFonts w:ascii="Arial" w:hAnsi="Arial" w:cs="Arial"/>
          <w:spacing w:val="-2"/>
          <w:sz w:val="20"/>
        </w:rPr>
        <w:t xml:space="preserve"> </w:t>
      </w:r>
      <w:r w:rsidRPr="00FE6A25">
        <w:rPr>
          <w:rFonts w:ascii="Arial" w:hAnsi="Arial" w:cs="Arial"/>
          <w:sz w:val="20"/>
        </w:rPr>
        <w:t>with</w:t>
      </w:r>
      <w:r w:rsidRPr="00FE6A25">
        <w:rPr>
          <w:rFonts w:ascii="Arial" w:hAnsi="Arial" w:cs="Arial"/>
          <w:spacing w:val="-2"/>
          <w:sz w:val="20"/>
        </w:rPr>
        <w:t xml:space="preserve"> </w:t>
      </w:r>
      <w:r w:rsidRPr="00FE6A25">
        <w:rPr>
          <w:rFonts w:ascii="Arial" w:hAnsi="Arial" w:cs="Arial"/>
          <w:sz w:val="20"/>
        </w:rPr>
        <w:t>privileges</w:t>
      </w:r>
      <w:r w:rsidRPr="00FE6A25">
        <w:rPr>
          <w:rFonts w:ascii="Arial" w:hAnsi="Arial" w:cs="Arial"/>
          <w:spacing w:val="1"/>
          <w:sz w:val="20"/>
        </w:rPr>
        <w:t xml:space="preserve"> </w:t>
      </w:r>
      <w:r w:rsidRPr="00FE6A25">
        <w:rPr>
          <w:rFonts w:ascii="Arial" w:hAnsi="Arial" w:cs="Arial"/>
          <w:sz w:val="20"/>
        </w:rPr>
        <w:t>for</w:t>
      </w:r>
      <w:r w:rsidRPr="00FE6A25">
        <w:rPr>
          <w:rFonts w:ascii="Arial" w:hAnsi="Arial" w:cs="Arial"/>
          <w:spacing w:val="-2"/>
          <w:sz w:val="20"/>
        </w:rPr>
        <w:t xml:space="preserve"> </w:t>
      </w:r>
      <w:r w:rsidRPr="00FE6A25">
        <w:rPr>
          <w:rFonts w:ascii="Arial" w:hAnsi="Arial" w:cs="Arial"/>
          <w:sz w:val="20"/>
        </w:rPr>
        <w:t>the hot-air</w:t>
      </w:r>
      <w:r w:rsidRPr="00FE6A25">
        <w:rPr>
          <w:rFonts w:ascii="Arial" w:hAnsi="Arial" w:cs="Arial"/>
          <w:spacing w:val="-1"/>
          <w:sz w:val="20"/>
        </w:rPr>
        <w:t xml:space="preserve"> </w:t>
      </w:r>
      <w:r w:rsidRPr="00FE6A25">
        <w:rPr>
          <w:rFonts w:ascii="Arial" w:hAnsi="Arial" w:cs="Arial"/>
          <w:sz w:val="20"/>
        </w:rPr>
        <w:t>balloon</w:t>
      </w:r>
      <w:r w:rsidRPr="00FE6A25">
        <w:rPr>
          <w:rFonts w:ascii="Arial" w:hAnsi="Arial" w:cs="Arial"/>
          <w:spacing w:val="-3"/>
          <w:sz w:val="20"/>
        </w:rPr>
        <w:t xml:space="preserve"> </w:t>
      </w:r>
      <w:r w:rsidRPr="00FE6A25">
        <w:rPr>
          <w:rFonts w:ascii="Arial" w:hAnsi="Arial" w:cs="Arial"/>
          <w:sz w:val="20"/>
        </w:rPr>
        <w:t>class:</w:t>
      </w:r>
    </w:p>
    <w:p w14:paraId="46CAB782" w14:textId="7509630B" w:rsidR="00FE6A25" w:rsidRDefault="00FE6A25" w:rsidP="00CE68A2">
      <w:pPr>
        <w:spacing w:before="121"/>
        <w:ind w:left="1289" w:right="198" w:hanging="29"/>
        <w:jc w:val="both"/>
        <w:rPr>
          <w:rFonts w:ascii="Arial" w:hAnsi="Arial" w:cs="Arial"/>
          <w:sz w:val="20"/>
        </w:rPr>
      </w:pPr>
      <w:r w:rsidRPr="00CE68A2">
        <w:rPr>
          <w:rFonts w:ascii="Arial" w:hAnsi="Arial" w:cs="Arial"/>
          <w:i/>
          <w:sz w:val="20"/>
        </w:rPr>
        <w:t>Note:</w:t>
      </w:r>
      <w:r w:rsidRPr="00CE68A2">
        <w:rPr>
          <w:rFonts w:ascii="Arial" w:hAnsi="Arial" w:cs="Arial"/>
          <w:i/>
          <w:spacing w:val="16"/>
          <w:sz w:val="20"/>
        </w:rPr>
        <w:t xml:space="preserve"> </w:t>
      </w:r>
      <w:r w:rsidRPr="00CE68A2">
        <w:rPr>
          <w:rFonts w:ascii="Arial" w:hAnsi="Arial" w:cs="Arial"/>
          <w:i/>
          <w:sz w:val="20"/>
        </w:rPr>
        <w:t>Use</w:t>
      </w:r>
      <w:r w:rsidRPr="00CE68A2">
        <w:rPr>
          <w:rFonts w:ascii="Arial" w:hAnsi="Arial" w:cs="Arial"/>
          <w:i/>
          <w:spacing w:val="31"/>
          <w:sz w:val="20"/>
        </w:rPr>
        <w:t xml:space="preserve"> </w:t>
      </w:r>
      <w:r w:rsidRPr="00CE68A2">
        <w:rPr>
          <w:rFonts w:ascii="Arial" w:hAnsi="Arial" w:cs="Arial"/>
          <w:i/>
          <w:sz w:val="20"/>
        </w:rPr>
        <w:t>of</w:t>
      </w:r>
      <w:r w:rsidRPr="00CE68A2">
        <w:rPr>
          <w:rFonts w:ascii="Arial" w:hAnsi="Arial" w:cs="Arial"/>
          <w:i/>
          <w:spacing w:val="32"/>
          <w:sz w:val="20"/>
        </w:rPr>
        <w:t xml:space="preserve"> </w:t>
      </w:r>
      <w:r w:rsidRPr="00CE68A2">
        <w:rPr>
          <w:rFonts w:ascii="Arial" w:hAnsi="Arial" w:cs="Arial"/>
          <w:i/>
          <w:sz w:val="20"/>
        </w:rPr>
        <w:t>checklist(s),</w:t>
      </w:r>
      <w:r w:rsidRPr="00CE68A2">
        <w:rPr>
          <w:rFonts w:ascii="Arial" w:hAnsi="Arial" w:cs="Arial"/>
          <w:i/>
          <w:spacing w:val="32"/>
          <w:sz w:val="20"/>
        </w:rPr>
        <w:t xml:space="preserve"> </w:t>
      </w:r>
      <w:r w:rsidRPr="00CE68A2">
        <w:rPr>
          <w:rFonts w:ascii="Arial" w:hAnsi="Arial" w:cs="Arial"/>
          <w:i/>
          <w:sz w:val="20"/>
        </w:rPr>
        <w:t>airmanship,</w:t>
      </w:r>
      <w:r w:rsidRPr="00CE68A2">
        <w:rPr>
          <w:rFonts w:ascii="Arial" w:hAnsi="Arial" w:cs="Arial"/>
          <w:i/>
          <w:spacing w:val="33"/>
          <w:sz w:val="20"/>
        </w:rPr>
        <w:t xml:space="preserve"> </w:t>
      </w:r>
      <w:r w:rsidRPr="00CE68A2">
        <w:rPr>
          <w:rFonts w:ascii="Arial" w:hAnsi="Arial" w:cs="Arial"/>
          <w:i/>
          <w:sz w:val="20"/>
        </w:rPr>
        <w:t>control</w:t>
      </w:r>
      <w:r w:rsidRPr="00CE68A2">
        <w:rPr>
          <w:rFonts w:ascii="Arial" w:hAnsi="Arial" w:cs="Arial"/>
          <w:i/>
          <w:spacing w:val="29"/>
          <w:sz w:val="20"/>
        </w:rPr>
        <w:t xml:space="preserve"> </w:t>
      </w:r>
      <w:r w:rsidRPr="00CE68A2">
        <w:rPr>
          <w:rFonts w:ascii="Arial" w:hAnsi="Arial" w:cs="Arial"/>
          <w:i/>
          <w:sz w:val="20"/>
        </w:rPr>
        <w:t>of</w:t>
      </w:r>
      <w:r w:rsidRPr="00CE68A2">
        <w:rPr>
          <w:rFonts w:ascii="Arial" w:hAnsi="Arial" w:cs="Arial"/>
          <w:i/>
          <w:spacing w:val="32"/>
          <w:sz w:val="20"/>
        </w:rPr>
        <w:t xml:space="preserve"> </w:t>
      </w:r>
      <w:r w:rsidRPr="00CE68A2">
        <w:rPr>
          <w:rFonts w:ascii="Arial" w:hAnsi="Arial" w:cs="Arial"/>
          <w:i/>
          <w:sz w:val="20"/>
        </w:rPr>
        <w:t>balloon</w:t>
      </w:r>
      <w:r w:rsidRPr="00CE68A2">
        <w:rPr>
          <w:rFonts w:ascii="Arial" w:hAnsi="Arial" w:cs="Arial"/>
          <w:i/>
          <w:spacing w:val="30"/>
          <w:sz w:val="20"/>
        </w:rPr>
        <w:t xml:space="preserve"> </w:t>
      </w:r>
      <w:r w:rsidRPr="00CE68A2">
        <w:rPr>
          <w:rFonts w:ascii="Arial" w:hAnsi="Arial" w:cs="Arial"/>
          <w:i/>
          <w:sz w:val="20"/>
        </w:rPr>
        <w:t>by</w:t>
      </w:r>
      <w:r w:rsidRPr="00CE68A2">
        <w:rPr>
          <w:rFonts w:ascii="Arial" w:hAnsi="Arial" w:cs="Arial"/>
          <w:i/>
          <w:spacing w:val="32"/>
          <w:sz w:val="20"/>
        </w:rPr>
        <w:t xml:space="preserve"> </w:t>
      </w:r>
      <w:r w:rsidRPr="00CE68A2">
        <w:rPr>
          <w:rFonts w:ascii="Arial" w:hAnsi="Arial" w:cs="Arial"/>
          <w:i/>
          <w:sz w:val="20"/>
        </w:rPr>
        <w:t>external</w:t>
      </w:r>
      <w:r w:rsidRPr="00CE68A2">
        <w:rPr>
          <w:rFonts w:ascii="Arial" w:hAnsi="Arial" w:cs="Arial"/>
          <w:i/>
          <w:spacing w:val="30"/>
          <w:sz w:val="20"/>
        </w:rPr>
        <w:t xml:space="preserve"> </w:t>
      </w:r>
      <w:r w:rsidRPr="00CE68A2">
        <w:rPr>
          <w:rFonts w:ascii="Arial" w:hAnsi="Arial" w:cs="Arial"/>
          <w:i/>
          <w:sz w:val="20"/>
        </w:rPr>
        <w:t>visual</w:t>
      </w:r>
      <w:r w:rsidRPr="00CE68A2">
        <w:rPr>
          <w:rFonts w:ascii="Arial" w:hAnsi="Arial" w:cs="Arial"/>
          <w:i/>
          <w:spacing w:val="31"/>
          <w:sz w:val="20"/>
        </w:rPr>
        <w:t xml:space="preserve"> </w:t>
      </w:r>
      <w:r w:rsidRPr="00CE68A2">
        <w:rPr>
          <w:rFonts w:ascii="Arial" w:hAnsi="Arial" w:cs="Arial"/>
          <w:i/>
          <w:sz w:val="20"/>
        </w:rPr>
        <w:t>reference,</w:t>
      </w:r>
      <w:r w:rsidRPr="00CE68A2">
        <w:rPr>
          <w:rFonts w:ascii="Arial" w:hAnsi="Arial" w:cs="Arial"/>
          <w:i/>
          <w:spacing w:val="-47"/>
          <w:sz w:val="20"/>
        </w:rPr>
        <w:t xml:space="preserve"> </w:t>
      </w:r>
      <w:r w:rsidRPr="00CE68A2">
        <w:rPr>
          <w:rFonts w:ascii="Arial" w:hAnsi="Arial" w:cs="Arial"/>
          <w:i/>
          <w:sz w:val="20"/>
        </w:rPr>
        <w:t>look-out</w:t>
      </w:r>
      <w:r w:rsidRPr="00CE68A2">
        <w:rPr>
          <w:rFonts w:ascii="Arial" w:hAnsi="Arial" w:cs="Arial"/>
          <w:i/>
          <w:spacing w:val="-3"/>
          <w:sz w:val="20"/>
        </w:rPr>
        <w:t xml:space="preserve"> </w:t>
      </w:r>
      <w:r w:rsidRPr="00CE68A2">
        <w:rPr>
          <w:rFonts w:ascii="Arial" w:hAnsi="Arial" w:cs="Arial"/>
          <w:i/>
          <w:sz w:val="20"/>
        </w:rPr>
        <w:t>procedures,</w:t>
      </w:r>
      <w:r w:rsidRPr="00CE68A2">
        <w:rPr>
          <w:rFonts w:ascii="Arial" w:hAnsi="Arial" w:cs="Arial"/>
          <w:i/>
          <w:spacing w:val="-2"/>
          <w:sz w:val="20"/>
        </w:rPr>
        <w:t xml:space="preserve"> </w:t>
      </w:r>
      <w:r w:rsidRPr="00CE68A2">
        <w:rPr>
          <w:rFonts w:ascii="Arial" w:hAnsi="Arial" w:cs="Arial"/>
          <w:i/>
          <w:sz w:val="20"/>
        </w:rPr>
        <w:t>etc.</w:t>
      </w:r>
      <w:r w:rsidRPr="00CE68A2">
        <w:rPr>
          <w:rFonts w:ascii="Arial" w:hAnsi="Arial" w:cs="Arial"/>
          <w:i/>
          <w:spacing w:val="-2"/>
          <w:sz w:val="20"/>
        </w:rPr>
        <w:t xml:space="preserve"> </w:t>
      </w:r>
      <w:r w:rsidRPr="00CE68A2">
        <w:rPr>
          <w:rFonts w:ascii="Arial" w:hAnsi="Arial" w:cs="Arial"/>
          <w:i/>
          <w:sz w:val="20"/>
        </w:rPr>
        <w:t>apply</w:t>
      </w:r>
      <w:r w:rsidRPr="00CE68A2">
        <w:rPr>
          <w:rFonts w:ascii="Arial" w:hAnsi="Arial" w:cs="Arial"/>
          <w:i/>
          <w:spacing w:val="1"/>
          <w:sz w:val="20"/>
        </w:rPr>
        <w:t xml:space="preserve"> </w:t>
      </w:r>
      <w:r w:rsidRPr="00CE68A2">
        <w:rPr>
          <w:rFonts w:ascii="Arial" w:hAnsi="Arial" w:cs="Arial"/>
          <w:i/>
          <w:sz w:val="20"/>
        </w:rPr>
        <w:t>in</w:t>
      </w:r>
      <w:r w:rsidRPr="00CE68A2">
        <w:rPr>
          <w:rFonts w:ascii="Arial" w:hAnsi="Arial" w:cs="Arial"/>
          <w:i/>
          <w:spacing w:val="-1"/>
          <w:sz w:val="20"/>
        </w:rPr>
        <w:t xml:space="preserve"> </w:t>
      </w:r>
      <w:r w:rsidRPr="00CE68A2">
        <w:rPr>
          <w:rFonts w:ascii="Arial" w:hAnsi="Arial" w:cs="Arial"/>
          <w:i/>
          <w:sz w:val="20"/>
        </w:rPr>
        <w:t>all sections</w:t>
      </w:r>
      <w:r w:rsidRPr="00FE6A25">
        <w:rPr>
          <w:rFonts w:ascii="Arial" w:hAnsi="Arial" w:cs="Arial"/>
          <w:sz w:val="20"/>
        </w:rPr>
        <w:t>.</w:t>
      </w:r>
    </w:p>
    <w:p w14:paraId="04298C32" w14:textId="48F3FC8E" w:rsidR="005F4E8A" w:rsidRDefault="005F4E8A" w:rsidP="00CE68A2">
      <w:pPr>
        <w:spacing w:before="121"/>
        <w:ind w:left="1289" w:right="198" w:hanging="29"/>
        <w:jc w:val="both"/>
        <w:rPr>
          <w:rFonts w:ascii="Arial" w:hAnsi="Arial" w:cs="Arial"/>
          <w:sz w:val="20"/>
        </w:rPr>
      </w:pPr>
    </w:p>
    <w:p w14:paraId="532CBBBC" w14:textId="762B0791" w:rsidR="005F4E8A" w:rsidRDefault="005F4E8A" w:rsidP="00CE68A2">
      <w:pPr>
        <w:spacing w:before="121"/>
        <w:ind w:left="1289" w:right="198" w:hanging="29"/>
        <w:jc w:val="both"/>
        <w:rPr>
          <w:rFonts w:ascii="Arial" w:hAnsi="Arial" w:cs="Arial"/>
          <w:sz w:val="20"/>
        </w:rPr>
      </w:pPr>
    </w:p>
    <w:p w14:paraId="6BCE3192" w14:textId="60509D75" w:rsidR="005F4E8A" w:rsidRDefault="005F4E8A" w:rsidP="00CE68A2">
      <w:pPr>
        <w:spacing w:before="121"/>
        <w:ind w:left="1289" w:right="198" w:hanging="29"/>
        <w:jc w:val="both"/>
        <w:rPr>
          <w:rFonts w:ascii="Arial" w:hAnsi="Arial" w:cs="Arial"/>
          <w:sz w:val="20"/>
        </w:rPr>
      </w:pPr>
    </w:p>
    <w:p w14:paraId="0FB56F3E" w14:textId="3E7959EB" w:rsidR="005F4E8A" w:rsidRDefault="005F4E8A" w:rsidP="00CE68A2">
      <w:pPr>
        <w:spacing w:before="121"/>
        <w:ind w:left="1289" w:right="198" w:hanging="29"/>
        <w:jc w:val="both"/>
        <w:rPr>
          <w:rFonts w:ascii="Arial" w:hAnsi="Arial" w:cs="Arial"/>
          <w:sz w:val="20"/>
        </w:rPr>
      </w:pPr>
    </w:p>
    <w:p w14:paraId="507B4F48" w14:textId="259D5EDD" w:rsidR="005F4E8A" w:rsidRDefault="005F4E8A" w:rsidP="00CE68A2">
      <w:pPr>
        <w:spacing w:before="121"/>
        <w:ind w:left="1289" w:right="198" w:hanging="29"/>
        <w:jc w:val="both"/>
        <w:rPr>
          <w:rFonts w:ascii="Arial" w:hAnsi="Arial" w:cs="Arial"/>
          <w:sz w:val="20"/>
        </w:rPr>
      </w:pPr>
    </w:p>
    <w:p w14:paraId="214D18BB" w14:textId="77777777" w:rsidR="005F4E8A" w:rsidRPr="00FE6A25" w:rsidRDefault="005F4E8A" w:rsidP="00CE68A2">
      <w:pPr>
        <w:spacing w:before="121"/>
        <w:ind w:left="1289" w:right="198" w:hanging="29"/>
        <w:jc w:val="both"/>
        <w:rPr>
          <w:rFonts w:ascii="Arial" w:hAnsi="Arial" w:cs="Arial"/>
          <w:sz w:val="20"/>
        </w:rPr>
      </w:pPr>
    </w:p>
    <w:tbl>
      <w:tblPr>
        <w:tblStyle w:val="TableGrid31"/>
        <w:tblW w:w="0" w:type="auto"/>
        <w:tblInd w:w="988" w:type="dxa"/>
        <w:tblLayout w:type="fixed"/>
        <w:tblLook w:val="01E0" w:firstRow="1" w:lastRow="1" w:firstColumn="1" w:lastColumn="1" w:noHBand="0" w:noVBand="0"/>
      </w:tblPr>
      <w:tblGrid>
        <w:gridCol w:w="588"/>
        <w:gridCol w:w="7350"/>
      </w:tblGrid>
      <w:tr w:rsidR="00FE6A25" w:rsidRPr="00FE6A25" w14:paraId="0BB93671" w14:textId="77777777" w:rsidTr="00BA1962">
        <w:trPr>
          <w:trHeight w:val="203"/>
        </w:trPr>
        <w:tc>
          <w:tcPr>
            <w:tcW w:w="7938" w:type="dxa"/>
            <w:gridSpan w:val="2"/>
            <w:shd w:val="clear" w:color="auto" w:fill="F2F2F2" w:themeFill="background1" w:themeFillShade="F2"/>
          </w:tcPr>
          <w:p w14:paraId="69EEDDA0" w14:textId="77777777" w:rsidR="00FE6A25" w:rsidRPr="00FE6A25" w:rsidRDefault="00FE6A25" w:rsidP="00670AAB">
            <w:pPr>
              <w:pStyle w:val="TableParagraph"/>
              <w:spacing w:before="1" w:line="225" w:lineRule="exact"/>
              <w:ind w:left="86"/>
              <w:rPr>
                <w:rFonts w:ascii="Arial" w:hAnsi="Arial" w:cs="Arial"/>
                <w:b/>
                <w:sz w:val="18"/>
                <w:szCs w:val="18"/>
              </w:rPr>
            </w:pPr>
            <w:r w:rsidRPr="00FE6A25">
              <w:rPr>
                <w:rFonts w:ascii="Arial" w:hAnsi="Arial" w:cs="Arial"/>
                <w:b/>
                <w:sz w:val="18"/>
                <w:szCs w:val="18"/>
              </w:rPr>
              <w:t>SECTION</w:t>
            </w:r>
            <w:r w:rsidRPr="00FE6A25">
              <w:rPr>
                <w:rFonts w:ascii="Arial" w:hAnsi="Arial" w:cs="Arial"/>
                <w:b/>
                <w:spacing w:val="-3"/>
                <w:sz w:val="18"/>
                <w:szCs w:val="18"/>
              </w:rPr>
              <w:t xml:space="preserve"> </w:t>
            </w:r>
            <w:r w:rsidRPr="00FE6A25">
              <w:rPr>
                <w:rFonts w:ascii="Arial" w:hAnsi="Arial" w:cs="Arial"/>
                <w:b/>
                <w:sz w:val="18"/>
                <w:szCs w:val="18"/>
              </w:rPr>
              <w:t>1:</w:t>
            </w:r>
            <w:r w:rsidRPr="00FE6A25">
              <w:rPr>
                <w:rFonts w:ascii="Arial" w:hAnsi="Arial" w:cs="Arial"/>
                <w:b/>
                <w:spacing w:val="-3"/>
                <w:sz w:val="18"/>
                <w:szCs w:val="18"/>
              </w:rPr>
              <w:t xml:space="preserve"> </w:t>
            </w:r>
            <w:r w:rsidRPr="00FE6A25">
              <w:rPr>
                <w:rFonts w:ascii="Arial" w:hAnsi="Arial" w:cs="Arial"/>
                <w:b/>
                <w:sz w:val="18"/>
                <w:szCs w:val="18"/>
              </w:rPr>
              <w:t>PRE-FLIGHT</w:t>
            </w:r>
            <w:r w:rsidRPr="00FE6A25">
              <w:rPr>
                <w:rFonts w:ascii="Arial" w:hAnsi="Arial" w:cs="Arial"/>
                <w:b/>
                <w:spacing w:val="-4"/>
                <w:sz w:val="18"/>
                <w:szCs w:val="18"/>
              </w:rPr>
              <w:t xml:space="preserve"> </w:t>
            </w:r>
            <w:r w:rsidRPr="00FE6A25">
              <w:rPr>
                <w:rFonts w:ascii="Arial" w:hAnsi="Arial" w:cs="Arial"/>
                <w:b/>
                <w:sz w:val="18"/>
                <w:szCs w:val="18"/>
              </w:rPr>
              <w:t>OPERATIONS,</w:t>
            </w:r>
            <w:r w:rsidRPr="00FE6A25">
              <w:rPr>
                <w:rFonts w:ascii="Arial" w:hAnsi="Arial" w:cs="Arial"/>
                <w:b/>
                <w:spacing w:val="-5"/>
                <w:sz w:val="18"/>
                <w:szCs w:val="18"/>
              </w:rPr>
              <w:t xml:space="preserve"> </w:t>
            </w:r>
            <w:r w:rsidRPr="00FE6A25">
              <w:rPr>
                <w:rFonts w:ascii="Arial" w:hAnsi="Arial" w:cs="Arial"/>
                <w:b/>
                <w:sz w:val="18"/>
                <w:szCs w:val="18"/>
              </w:rPr>
              <w:t>INFLATION</w:t>
            </w:r>
            <w:r w:rsidRPr="00FE6A25">
              <w:rPr>
                <w:rFonts w:ascii="Arial" w:hAnsi="Arial" w:cs="Arial"/>
                <w:b/>
                <w:spacing w:val="-3"/>
                <w:sz w:val="18"/>
                <w:szCs w:val="18"/>
              </w:rPr>
              <w:t xml:space="preserve"> </w:t>
            </w:r>
            <w:r w:rsidRPr="00FE6A25">
              <w:rPr>
                <w:rFonts w:ascii="Arial" w:hAnsi="Arial" w:cs="Arial"/>
                <w:b/>
                <w:sz w:val="18"/>
                <w:szCs w:val="18"/>
              </w:rPr>
              <w:t>AND</w:t>
            </w:r>
            <w:r w:rsidRPr="00FE6A25">
              <w:rPr>
                <w:rFonts w:ascii="Arial" w:hAnsi="Arial" w:cs="Arial"/>
                <w:b/>
                <w:spacing w:val="-3"/>
                <w:sz w:val="18"/>
                <w:szCs w:val="18"/>
              </w:rPr>
              <w:t xml:space="preserve"> </w:t>
            </w:r>
            <w:r w:rsidRPr="00FE6A25">
              <w:rPr>
                <w:rFonts w:ascii="Arial" w:hAnsi="Arial" w:cs="Arial"/>
                <w:b/>
                <w:sz w:val="18"/>
                <w:szCs w:val="18"/>
              </w:rPr>
              <w:t>TAKE-OFF</w:t>
            </w:r>
          </w:p>
        </w:tc>
      </w:tr>
      <w:tr w:rsidR="00FE6A25" w:rsidRPr="00FE6A25" w14:paraId="3D1A5ECF" w14:textId="77777777" w:rsidTr="00BA1962">
        <w:trPr>
          <w:trHeight w:val="689"/>
        </w:trPr>
        <w:tc>
          <w:tcPr>
            <w:tcW w:w="588" w:type="dxa"/>
          </w:tcPr>
          <w:p w14:paraId="5B6A556E" w14:textId="77777777" w:rsidR="00FE6A25" w:rsidRPr="00FE6A25" w:rsidRDefault="00FE6A25" w:rsidP="00670AAB">
            <w:pPr>
              <w:pStyle w:val="TableParagraph"/>
              <w:spacing w:line="242" w:lineRule="exact"/>
              <w:ind w:left="86"/>
              <w:rPr>
                <w:rFonts w:ascii="Arial" w:hAnsi="Arial" w:cs="Arial"/>
                <w:sz w:val="18"/>
                <w:szCs w:val="18"/>
              </w:rPr>
            </w:pPr>
            <w:r w:rsidRPr="00FE6A25">
              <w:rPr>
                <w:rFonts w:ascii="Arial" w:hAnsi="Arial" w:cs="Arial"/>
                <w:w w:val="99"/>
                <w:sz w:val="18"/>
                <w:szCs w:val="18"/>
              </w:rPr>
              <w:lastRenderedPageBreak/>
              <w:t>a</w:t>
            </w:r>
          </w:p>
        </w:tc>
        <w:tc>
          <w:tcPr>
            <w:tcW w:w="7350" w:type="dxa"/>
          </w:tcPr>
          <w:p w14:paraId="045B495E" w14:textId="7B79D643" w:rsidR="00FE6A25" w:rsidRPr="00FE6A25" w:rsidRDefault="00FE6A25" w:rsidP="005F4E8A">
            <w:pPr>
              <w:pStyle w:val="TableParagraph"/>
              <w:rPr>
                <w:rFonts w:ascii="Arial" w:hAnsi="Arial" w:cs="Arial"/>
                <w:sz w:val="18"/>
                <w:szCs w:val="18"/>
              </w:rPr>
            </w:pPr>
            <w:r w:rsidRPr="00FE6A25">
              <w:rPr>
                <w:rFonts w:ascii="Arial" w:hAnsi="Arial" w:cs="Arial"/>
                <w:sz w:val="18"/>
                <w:szCs w:val="18"/>
              </w:rPr>
              <w:t>Pre-flight documentation (licence, medical certificate, permits to take off, insurance</w:t>
            </w:r>
            <w:r w:rsidRPr="00FE6A25">
              <w:rPr>
                <w:rFonts w:ascii="Arial" w:hAnsi="Arial" w:cs="Arial"/>
                <w:spacing w:val="1"/>
                <w:sz w:val="18"/>
                <w:szCs w:val="18"/>
              </w:rPr>
              <w:t xml:space="preserve"> </w:t>
            </w:r>
            <w:r w:rsidRPr="00FE6A25">
              <w:rPr>
                <w:rFonts w:ascii="Arial" w:hAnsi="Arial" w:cs="Arial"/>
                <w:sz w:val="18"/>
                <w:szCs w:val="18"/>
              </w:rPr>
              <w:t>certificate,</w:t>
            </w:r>
            <w:r w:rsidRPr="00FE6A25">
              <w:rPr>
                <w:rFonts w:ascii="Arial" w:hAnsi="Arial" w:cs="Arial"/>
                <w:spacing w:val="-3"/>
                <w:sz w:val="18"/>
                <w:szCs w:val="18"/>
              </w:rPr>
              <w:t xml:space="preserve"> </w:t>
            </w:r>
            <w:r w:rsidRPr="00FE6A25">
              <w:rPr>
                <w:rFonts w:ascii="Arial" w:hAnsi="Arial" w:cs="Arial"/>
                <w:sz w:val="18"/>
                <w:szCs w:val="18"/>
              </w:rPr>
              <w:t>aeronautical</w:t>
            </w:r>
            <w:r w:rsidRPr="00FE6A25">
              <w:rPr>
                <w:rFonts w:ascii="Arial" w:hAnsi="Arial" w:cs="Arial"/>
                <w:spacing w:val="-3"/>
                <w:sz w:val="18"/>
                <w:szCs w:val="18"/>
              </w:rPr>
              <w:t xml:space="preserve"> </w:t>
            </w:r>
            <w:r w:rsidRPr="00FE6A25">
              <w:rPr>
                <w:rFonts w:ascii="Arial" w:hAnsi="Arial" w:cs="Arial"/>
                <w:sz w:val="18"/>
                <w:szCs w:val="18"/>
              </w:rPr>
              <w:t>charts,</w:t>
            </w:r>
            <w:r w:rsidRPr="00FE6A25">
              <w:rPr>
                <w:rFonts w:ascii="Arial" w:hAnsi="Arial" w:cs="Arial"/>
                <w:spacing w:val="-2"/>
                <w:sz w:val="18"/>
                <w:szCs w:val="18"/>
              </w:rPr>
              <w:t xml:space="preserve"> </w:t>
            </w:r>
            <w:r w:rsidRPr="00FE6A25">
              <w:rPr>
                <w:rFonts w:ascii="Arial" w:hAnsi="Arial" w:cs="Arial"/>
                <w:sz w:val="18"/>
                <w:szCs w:val="18"/>
              </w:rPr>
              <w:t>aircraft</w:t>
            </w:r>
            <w:r w:rsidRPr="00FE6A25">
              <w:rPr>
                <w:rFonts w:ascii="Arial" w:hAnsi="Arial" w:cs="Arial"/>
                <w:spacing w:val="-3"/>
                <w:sz w:val="18"/>
                <w:szCs w:val="18"/>
              </w:rPr>
              <w:t xml:space="preserve"> </w:t>
            </w:r>
            <w:r w:rsidRPr="00FE6A25">
              <w:rPr>
                <w:rFonts w:ascii="Arial" w:hAnsi="Arial" w:cs="Arial"/>
                <w:sz w:val="18"/>
                <w:szCs w:val="18"/>
              </w:rPr>
              <w:t>flight</w:t>
            </w:r>
            <w:r w:rsidRPr="00FE6A25">
              <w:rPr>
                <w:rFonts w:ascii="Arial" w:hAnsi="Arial" w:cs="Arial"/>
                <w:spacing w:val="-2"/>
                <w:sz w:val="18"/>
                <w:szCs w:val="18"/>
              </w:rPr>
              <w:t xml:space="preserve"> </w:t>
            </w:r>
            <w:r w:rsidRPr="00FE6A25">
              <w:rPr>
                <w:rFonts w:ascii="Arial" w:hAnsi="Arial" w:cs="Arial"/>
                <w:sz w:val="18"/>
                <w:szCs w:val="18"/>
              </w:rPr>
              <w:t>manual</w:t>
            </w:r>
            <w:r w:rsidRPr="00FE6A25">
              <w:rPr>
                <w:rFonts w:ascii="Arial" w:hAnsi="Arial" w:cs="Arial"/>
                <w:spacing w:val="-3"/>
                <w:sz w:val="18"/>
                <w:szCs w:val="18"/>
              </w:rPr>
              <w:t xml:space="preserve"> </w:t>
            </w:r>
            <w:r w:rsidRPr="00FE6A25">
              <w:rPr>
                <w:rFonts w:ascii="Arial" w:hAnsi="Arial" w:cs="Arial"/>
                <w:sz w:val="18"/>
                <w:szCs w:val="18"/>
              </w:rPr>
              <w:t>(AFM),</w:t>
            </w:r>
            <w:r w:rsidRPr="00FE6A25">
              <w:rPr>
                <w:rFonts w:ascii="Arial" w:hAnsi="Arial" w:cs="Arial"/>
                <w:spacing w:val="-2"/>
                <w:sz w:val="18"/>
                <w:szCs w:val="18"/>
              </w:rPr>
              <w:t xml:space="preserve"> </w:t>
            </w:r>
            <w:r w:rsidRPr="00FE6A25">
              <w:rPr>
                <w:rFonts w:ascii="Arial" w:hAnsi="Arial" w:cs="Arial"/>
                <w:sz w:val="18"/>
                <w:szCs w:val="18"/>
              </w:rPr>
              <w:t>logbook,</w:t>
            </w:r>
            <w:r w:rsidRPr="00FE6A25">
              <w:rPr>
                <w:rFonts w:ascii="Arial" w:hAnsi="Arial" w:cs="Arial"/>
                <w:spacing w:val="-3"/>
                <w:sz w:val="18"/>
                <w:szCs w:val="18"/>
              </w:rPr>
              <w:t xml:space="preserve"> </w:t>
            </w:r>
            <w:r w:rsidRPr="00FE6A25">
              <w:rPr>
                <w:rFonts w:ascii="Arial" w:hAnsi="Arial" w:cs="Arial"/>
                <w:sz w:val="18"/>
                <w:szCs w:val="18"/>
              </w:rPr>
              <w:t>technical</w:t>
            </w:r>
            <w:r w:rsidRPr="00FE6A25">
              <w:rPr>
                <w:rFonts w:ascii="Arial" w:hAnsi="Arial" w:cs="Arial"/>
                <w:spacing w:val="-3"/>
                <w:sz w:val="18"/>
                <w:szCs w:val="18"/>
              </w:rPr>
              <w:t xml:space="preserve"> </w:t>
            </w:r>
            <w:r w:rsidRPr="00FE6A25">
              <w:rPr>
                <w:rFonts w:ascii="Arial" w:hAnsi="Arial" w:cs="Arial"/>
                <w:sz w:val="18"/>
                <w:szCs w:val="18"/>
              </w:rPr>
              <w:t>logbook,</w:t>
            </w:r>
            <w:r w:rsidR="005F4E8A">
              <w:rPr>
                <w:rFonts w:ascii="Arial" w:hAnsi="Arial" w:cs="Arial"/>
                <w:sz w:val="18"/>
                <w:szCs w:val="18"/>
              </w:rPr>
              <w:t xml:space="preserve"> </w:t>
            </w:r>
            <w:r w:rsidRPr="00FE6A25">
              <w:rPr>
                <w:rFonts w:ascii="Arial" w:hAnsi="Arial" w:cs="Arial"/>
                <w:sz w:val="18"/>
                <w:szCs w:val="18"/>
              </w:rPr>
              <w:t>checklists,</w:t>
            </w:r>
            <w:r w:rsidRPr="00FE6A25">
              <w:rPr>
                <w:rFonts w:ascii="Arial" w:hAnsi="Arial" w:cs="Arial"/>
                <w:spacing w:val="-4"/>
                <w:sz w:val="18"/>
                <w:szCs w:val="18"/>
              </w:rPr>
              <w:t xml:space="preserve"> </w:t>
            </w:r>
            <w:r w:rsidRPr="00FE6A25">
              <w:rPr>
                <w:rFonts w:ascii="Arial" w:hAnsi="Arial" w:cs="Arial"/>
                <w:sz w:val="18"/>
                <w:szCs w:val="18"/>
              </w:rPr>
              <w:t>etc.),</w:t>
            </w:r>
            <w:r w:rsidRPr="00FE6A25">
              <w:rPr>
                <w:rFonts w:ascii="Arial" w:hAnsi="Arial" w:cs="Arial"/>
                <w:spacing w:val="-3"/>
                <w:sz w:val="18"/>
                <w:szCs w:val="18"/>
              </w:rPr>
              <w:t xml:space="preserve"> </w:t>
            </w:r>
            <w:r w:rsidRPr="00FE6A25">
              <w:rPr>
                <w:rFonts w:ascii="Arial" w:hAnsi="Arial" w:cs="Arial"/>
                <w:sz w:val="18"/>
                <w:szCs w:val="18"/>
              </w:rPr>
              <w:t>flight</w:t>
            </w:r>
            <w:r w:rsidRPr="00FE6A25">
              <w:rPr>
                <w:rFonts w:ascii="Arial" w:hAnsi="Arial" w:cs="Arial"/>
                <w:spacing w:val="-3"/>
                <w:sz w:val="18"/>
                <w:szCs w:val="18"/>
              </w:rPr>
              <w:t xml:space="preserve"> </w:t>
            </w:r>
            <w:r w:rsidRPr="00FE6A25">
              <w:rPr>
                <w:rFonts w:ascii="Arial" w:hAnsi="Arial" w:cs="Arial"/>
                <w:sz w:val="18"/>
                <w:szCs w:val="18"/>
              </w:rPr>
              <w:t>planning,</w:t>
            </w:r>
            <w:r w:rsidRPr="00FE6A25">
              <w:rPr>
                <w:rFonts w:ascii="Arial" w:hAnsi="Arial" w:cs="Arial"/>
                <w:spacing w:val="-3"/>
                <w:sz w:val="18"/>
                <w:szCs w:val="18"/>
              </w:rPr>
              <w:t xml:space="preserve"> </w:t>
            </w:r>
            <w:r w:rsidRPr="00FE6A25">
              <w:rPr>
                <w:rFonts w:ascii="Arial" w:hAnsi="Arial" w:cs="Arial"/>
                <w:sz w:val="18"/>
                <w:szCs w:val="18"/>
              </w:rPr>
              <w:t>NOTAM(s)</w:t>
            </w:r>
            <w:r w:rsidRPr="00FE6A25">
              <w:rPr>
                <w:rFonts w:ascii="Arial" w:hAnsi="Arial" w:cs="Arial"/>
                <w:spacing w:val="-5"/>
                <w:sz w:val="18"/>
                <w:szCs w:val="18"/>
              </w:rPr>
              <w:t xml:space="preserve"> </w:t>
            </w:r>
            <w:r w:rsidRPr="00FE6A25">
              <w:rPr>
                <w:rFonts w:ascii="Arial" w:hAnsi="Arial" w:cs="Arial"/>
                <w:sz w:val="18"/>
                <w:szCs w:val="18"/>
              </w:rPr>
              <w:t>and</w:t>
            </w:r>
            <w:r w:rsidRPr="00FE6A25">
              <w:rPr>
                <w:rFonts w:ascii="Arial" w:hAnsi="Arial" w:cs="Arial"/>
                <w:spacing w:val="-3"/>
                <w:sz w:val="18"/>
                <w:szCs w:val="18"/>
              </w:rPr>
              <w:t xml:space="preserve"> </w:t>
            </w:r>
            <w:r w:rsidRPr="00FE6A25">
              <w:rPr>
                <w:rFonts w:ascii="Arial" w:hAnsi="Arial" w:cs="Arial"/>
                <w:sz w:val="18"/>
                <w:szCs w:val="18"/>
              </w:rPr>
              <w:t>weather</w:t>
            </w:r>
            <w:r w:rsidRPr="00FE6A25">
              <w:rPr>
                <w:rFonts w:ascii="Arial" w:hAnsi="Arial" w:cs="Arial"/>
                <w:spacing w:val="-3"/>
                <w:sz w:val="18"/>
                <w:szCs w:val="18"/>
              </w:rPr>
              <w:t xml:space="preserve"> </w:t>
            </w:r>
            <w:r w:rsidRPr="00FE6A25">
              <w:rPr>
                <w:rFonts w:ascii="Arial" w:hAnsi="Arial" w:cs="Arial"/>
                <w:sz w:val="18"/>
                <w:szCs w:val="18"/>
              </w:rPr>
              <w:t>briefing</w:t>
            </w:r>
          </w:p>
        </w:tc>
      </w:tr>
      <w:tr w:rsidR="00FE6A25" w:rsidRPr="00FE6A25" w14:paraId="2B617086" w14:textId="77777777" w:rsidTr="00BA1962">
        <w:trPr>
          <w:trHeight w:val="199"/>
        </w:trPr>
        <w:tc>
          <w:tcPr>
            <w:tcW w:w="588" w:type="dxa"/>
          </w:tcPr>
          <w:p w14:paraId="37B405DD" w14:textId="77777777" w:rsidR="00FE6A25" w:rsidRPr="00FE6A25" w:rsidRDefault="00FE6A25" w:rsidP="00670AAB">
            <w:pPr>
              <w:pStyle w:val="TableParagraph"/>
              <w:spacing w:line="223" w:lineRule="exact"/>
              <w:ind w:left="86"/>
              <w:rPr>
                <w:rFonts w:ascii="Arial" w:hAnsi="Arial" w:cs="Arial"/>
                <w:sz w:val="18"/>
                <w:szCs w:val="18"/>
              </w:rPr>
            </w:pPr>
            <w:r w:rsidRPr="00FE6A25">
              <w:rPr>
                <w:rFonts w:ascii="Arial" w:hAnsi="Arial" w:cs="Arial"/>
                <w:w w:val="99"/>
                <w:sz w:val="18"/>
                <w:szCs w:val="18"/>
              </w:rPr>
              <w:t>b</w:t>
            </w:r>
          </w:p>
        </w:tc>
        <w:tc>
          <w:tcPr>
            <w:tcW w:w="7350" w:type="dxa"/>
          </w:tcPr>
          <w:p w14:paraId="1051C0E3" w14:textId="77777777" w:rsidR="00FE6A25" w:rsidRPr="00FE6A25" w:rsidRDefault="00FE6A25" w:rsidP="00670AAB">
            <w:pPr>
              <w:pStyle w:val="TableParagraph"/>
              <w:spacing w:line="223" w:lineRule="exact"/>
              <w:rPr>
                <w:rFonts w:ascii="Arial" w:hAnsi="Arial" w:cs="Arial"/>
                <w:sz w:val="18"/>
                <w:szCs w:val="18"/>
              </w:rPr>
            </w:pPr>
            <w:r w:rsidRPr="00FE6A25">
              <w:rPr>
                <w:rFonts w:ascii="Arial" w:hAnsi="Arial" w:cs="Arial"/>
                <w:sz w:val="18"/>
                <w:szCs w:val="18"/>
              </w:rPr>
              <w:t>Balloon</w:t>
            </w:r>
            <w:r w:rsidRPr="00FE6A25">
              <w:rPr>
                <w:rFonts w:ascii="Arial" w:hAnsi="Arial" w:cs="Arial"/>
                <w:spacing w:val="-3"/>
                <w:sz w:val="18"/>
                <w:szCs w:val="18"/>
              </w:rPr>
              <w:t xml:space="preserve"> </w:t>
            </w:r>
            <w:r w:rsidRPr="00FE6A25">
              <w:rPr>
                <w:rFonts w:ascii="Arial" w:hAnsi="Arial" w:cs="Arial"/>
                <w:sz w:val="18"/>
                <w:szCs w:val="18"/>
              </w:rPr>
              <w:t>inspection</w:t>
            </w:r>
            <w:r w:rsidRPr="00FE6A25">
              <w:rPr>
                <w:rFonts w:ascii="Arial" w:hAnsi="Arial" w:cs="Arial"/>
                <w:spacing w:val="-3"/>
                <w:sz w:val="18"/>
                <w:szCs w:val="18"/>
              </w:rPr>
              <w:t xml:space="preserve"> </w:t>
            </w:r>
            <w:r w:rsidRPr="00FE6A25">
              <w:rPr>
                <w:rFonts w:ascii="Arial" w:hAnsi="Arial" w:cs="Arial"/>
                <w:sz w:val="18"/>
                <w:szCs w:val="18"/>
              </w:rPr>
              <w:t>and</w:t>
            </w:r>
            <w:r w:rsidRPr="00FE6A25">
              <w:rPr>
                <w:rFonts w:ascii="Arial" w:hAnsi="Arial" w:cs="Arial"/>
                <w:spacing w:val="-3"/>
                <w:sz w:val="18"/>
                <w:szCs w:val="18"/>
              </w:rPr>
              <w:t xml:space="preserve"> </w:t>
            </w:r>
            <w:r w:rsidRPr="00FE6A25">
              <w:rPr>
                <w:rFonts w:ascii="Arial" w:hAnsi="Arial" w:cs="Arial"/>
                <w:sz w:val="18"/>
                <w:szCs w:val="18"/>
              </w:rPr>
              <w:t>servicing</w:t>
            </w:r>
          </w:p>
        </w:tc>
      </w:tr>
      <w:tr w:rsidR="00FE6A25" w:rsidRPr="00FE6A25" w14:paraId="35E8D73C" w14:textId="77777777" w:rsidTr="00BA1962">
        <w:trPr>
          <w:trHeight w:val="202"/>
        </w:trPr>
        <w:tc>
          <w:tcPr>
            <w:tcW w:w="588" w:type="dxa"/>
          </w:tcPr>
          <w:p w14:paraId="54269706" w14:textId="77777777" w:rsidR="00FE6A25" w:rsidRPr="00FE6A25" w:rsidRDefault="00FE6A25" w:rsidP="00670AAB">
            <w:pPr>
              <w:pStyle w:val="TableParagraph"/>
              <w:spacing w:line="225" w:lineRule="exact"/>
              <w:ind w:left="86"/>
              <w:rPr>
                <w:rFonts w:ascii="Arial" w:hAnsi="Arial" w:cs="Arial"/>
                <w:sz w:val="18"/>
                <w:szCs w:val="18"/>
              </w:rPr>
            </w:pPr>
            <w:r w:rsidRPr="00FE6A25">
              <w:rPr>
                <w:rFonts w:ascii="Arial" w:hAnsi="Arial" w:cs="Arial"/>
                <w:w w:val="99"/>
                <w:sz w:val="18"/>
                <w:szCs w:val="18"/>
              </w:rPr>
              <w:t>c</w:t>
            </w:r>
          </w:p>
        </w:tc>
        <w:tc>
          <w:tcPr>
            <w:tcW w:w="7350" w:type="dxa"/>
          </w:tcPr>
          <w:p w14:paraId="677CB2EB" w14:textId="77777777" w:rsidR="00FE6A25" w:rsidRPr="00FE6A25" w:rsidRDefault="00FE6A25" w:rsidP="00670AAB">
            <w:pPr>
              <w:pStyle w:val="TableParagraph"/>
              <w:spacing w:line="225" w:lineRule="exact"/>
              <w:rPr>
                <w:rFonts w:ascii="Arial" w:hAnsi="Arial" w:cs="Arial"/>
                <w:sz w:val="18"/>
                <w:szCs w:val="18"/>
              </w:rPr>
            </w:pPr>
            <w:r w:rsidRPr="00FE6A25">
              <w:rPr>
                <w:rFonts w:ascii="Arial" w:hAnsi="Arial" w:cs="Arial"/>
                <w:sz w:val="18"/>
                <w:szCs w:val="18"/>
              </w:rPr>
              <w:t>Suitability</w:t>
            </w:r>
            <w:r w:rsidRPr="00FE6A25">
              <w:rPr>
                <w:rFonts w:ascii="Arial" w:hAnsi="Arial" w:cs="Arial"/>
                <w:spacing w:val="-2"/>
                <w:sz w:val="18"/>
                <w:szCs w:val="18"/>
              </w:rPr>
              <w:t xml:space="preserve"> </w:t>
            </w:r>
            <w:r w:rsidRPr="00FE6A25">
              <w:rPr>
                <w:rFonts w:ascii="Arial" w:hAnsi="Arial" w:cs="Arial"/>
                <w:sz w:val="18"/>
                <w:szCs w:val="18"/>
              </w:rPr>
              <w:t>of</w:t>
            </w:r>
            <w:r w:rsidRPr="00FE6A25">
              <w:rPr>
                <w:rFonts w:ascii="Arial" w:hAnsi="Arial" w:cs="Arial"/>
                <w:spacing w:val="-4"/>
                <w:sz w:val="18"/>
                <w:szCs w:val="18"/>
              </w:rPr>
              <w:t xml:space="preserve"> </w:t>
            </w:r>
            <w:r w:rsidRPr="00FE6A25">
              <w:rPr>
                <w:rFonts w:ascii="Arial" w:hAnsi="Arial" w:cs="Arial"/>
                <w:sz w:val="18"/>
                <w:szCs w:val="18"/>
              </w:rPr>
              <w:t>launch</w:t>
            </w:r>
            <w:r w:rsidRPr="00FE6A25">
              <w:rPr>
                <w:rFonts w:ascii="Arial" w:hAnsi="Arial" w:cs="Arial"/>
                <w:spacing w:val="-3"/>
                <w:sz w:val="18"/>
                <w:szCs w:val="18"/>
              </w:rPr>
              <w:t xml:space="preserve"> </w:t>
            </w:r>
            <w:r w:rsidRPr="00FE6A25">
              <w:rPr>
                <w:rFonts w:ascii="Arial" w:hAnsi="Arial" w:cs="Arial"/>
                <w:sz w:val="18"/>
                <w:szCs w:val="18"/>
              </w:rPr>
              <w:t>site</w:t>
            </w:r>
          </w:p>
        </w:tc>
      </w:tr>
      <w:tr w:rsidR="00FE6A25" w:rsidRPr="00FE6A25" w14:paraId="5CFA3F7D" w14:textId="77777777" w:rsidTr="00BA1962">
        <w:trPr>
          <w:trHeight w:val="199"/>
        </w:trPr>
        <w:tc>
          <w:tcPr>
            <w:tcW w:w="588" w:type="dxa"/>
          </w:tcPr>
          <w:p w14:paraId="4095E7EC" w14:textId="77777777" w:rsidR="00FE6A25" w:rsidRPr="00FE6A25" w:rsidRDefault="00FE6A25" w:rsidP="00670AAB">
            <w:pPr>
              <w:pStyle w:val="TableParagraph"/>
              <w:spacing w:line="223" w:lineRule="exact"/>
              <w:ind w:left="86"/>
              <w:rPr>
                <w:rFonts w:ascii="Arial" w:hAnsi="Arial" w:cs="Arial"/>
                <w:sz w:val="18"/>
                <w:szCs w:val="18"/>
              </w:rPr>
            </w:pPr>
            <w:r w:rsidRPr="00FE6A25">
              <w:rPr>
                <w:rFonts w:ascii="Arial" w:hAnsi="Arial" w:cs="Arial"/>
                <w:w w:val="99"/>
                <w:sz w:val="18"/>
                <w:szCs w:val="18"/>
              </w:rPr>
              <w:t>d</w:t>
            </w:r>
          </w:p>
        </w:tc>
        <w:tc>
          <w:tcPr>
            <w:tcW w:w="7350" w:type="dxa"/>
          </w:tcPr>
          <w:p w14:paraId="51EF1B61" w14:textId="77777777" w:rsidR="00FE6A25" w:rsidRPr="00FE6A25" w:rsidRDefault="00FE6A25" w:rsidP="00670AAB">
            <w:pPr>
              <w:pStyle w:val="TableParagraph"/>
              <w:spacing w:line="223" w:lineRule="exact"/>
              <w:rPr>
                <w:rFonts w:ascii="Arial" w:hAnsi="Arial" w:cs="Arial"/>
                <w:sz w:val="18"/>
                <w:szCs w:val="18"/>
              </w:rPr>
            </w:pPr>
            <w:r w:rsidRPr="00FE6A25">
              <w:rPr>
                <w:rFonts w:ascii="Arial" w:hAnsi="Arial" w:cs="Arial"/>
                <w:sz w:val="18"/>
                <w:szCs w:val="18"/>
              </w:rPr>
              <w:t>Load</w:t>
            </w:r>
            <w:r w:rsidRPr="00FE6A25">
              <w:rPr>
                <w:rFonts w:ascii="Arial" w:hAnsi="Arial" w:cs="Arial"/>
                <w:spacing w:val="-2"/>
                <w:sz w:val="18"/>
                <w:szCs w:val="18"/>
              </w:rPr>
              <w:t xml:space="preserve"> </w:t>
            </w:r>
            <w:r w:rsidRPr="00FE6A25">
              <w:rPr>
                <w:rFonts w:ascii="Arial" w:hAnsi="Arial" w:cs="Arial"/>
                <w:sz w:val="18"/>
                <w:szCs w:val="18"/>
              </w:rPr>
              <w:t>calculation</w:t>
            </w:r>
          </w:p>
        </w:tc>
      </w:tr>
      <w:tr w:rsidR="00FE6A25" w:rsidRPr="00FE6A25" w14:paraId="2307EA4A" w14:textId="77777777" w:rsidTr="00BA1962">
        <w:trPr>
          <w:trHeight w:val="202"/>
        </w:trPr>
        <w:tc>
          <w:tcPr>
            <w:tcW w:w="588" w:type="dxa"/>
          </w:tcPr>
          <w:p w14:paraId="076283CB" w14:textId="77777777" w:rsidR="00FE6A25" w:rsidRPr="00FE6A25" w:rsidRDefault="00FE6A25" w:rsidP="00670AAB">
            <w:pPr>
              <w:pStyle w:val="TableParagraph"/>
              <w:spacing w:line="225" w:lineRule="exact"/>
              <w:ind w:left="86"/>
              <w:rPr>
                <w:rFonts w:ascii="Arial" w:hAnsi="Arial" w:cs="Arial"/>
                <w:sz w:val="18"/>
                <w:szCs w:val="18"/>
              </w:rPr>
            </w:pPr>
            <w:r w:rsidRPr="00FE6A25">
              <w:rPr>
                <w:rFonts w:ascii="Arial" w:hAnsi="Arial" w:cs="Arial"/>
                <w:w w:val="99"/>
                <w:sz w:val="18"/>
                <w:szCs w:val="18"/>
              </w:rPr>
              <w:t>e</w:t>
            </w:r>
          </w:p>
        </w:tc>
        <w:tc>
          <w:tcPr>
            <w:tcW w:w="7350" w:type="dxa"/>
          </w:tcPr>
          <w:p w14:paraId="6966AD01" w14:textId="77777777" w:rsidR="00FE6A25" w:rsidRPr="00FE6A25" w:rsidRDefault="00FE6A25" w:rsidP="00670AAB">
            <w:pPr>
              <w:pStyle w:val="TableParagraph"/>
              <w:spacing w:line="225" w:lineRule="exact"/>
              <w:rPr>
                <w:rFonts w:ascii="Arial" w:hAnsi="Arial" w:cs="Arial"/>
                <w:sz w:val="18"/>
                <w:szCs w:val="18"/>
              </w:rPr>
            </w:pPr>
            <w:r w:rsidRPr="00FE6A25">
              <w:rPr>
                <w:rFonts w:ascii="Arial" w:hAnsi="Arial" w:cs="Arial"/>
                <w:sz w:val="18"/>
                <w:szCs w:val="18"/>
              </w:rPr>
              <w:t>Crowd</w:t>
            </w:r>
            <w:r w:rsidRPr="00FE6A25">
              <w:rPr>
                <w:rFonts w:ascii="Arial" w:hAnsi="Arial" w:cs="Arial"/>
                <w:spacing w:val="-3"/>
                <w:sz w:val="18"/>
                <w:szCs w:val="18"/>
              </w:rPr>
              <w:t xml:space="preserve"> </w:t>
            </w:r>
            <w:r w:rsidRPr="00FE6A25">
              <w:rPr>
                <w:rFonts w:ascii="Arial" w:hAnsi="Arial" w:cs="Arial"/>
                <w:sz w:val="18"/>
                <w:szCs w:val="18"/>
              </w:rPr>
              <w:t>control,</w:t>
            </w:r>
            <w:r w:rsidRPr="00FE6A25">
              <w:rPr>
                <w:rFonts w:ascii="Arial" w:hAnsi="Arial" w:cs="Arial"/>
                <w:spacing w:val="-2"/>
                <w:sz w:val="18"/>
                <w:szCs w:val="18"/>
              </w:rPr>
              <w:t xml:space="preserve"> </w:t>
            </w:r>
            <w:r w:rsidRPr="00FE6A25">
              <w:rPr>
                <w:rFonts w:ascii="Arial" w:hAnsi="Arial" w:cs="Arial"/>
                <w:sz w:val="18"/>
                <w:szCs w:val="18"/>
              </w:rPr>
              <w:t>crew</w:t>
            </w:r>
            <w:r w:rsidRPr="00FE6A25">
              <w:rPr>
                <w:rFonts w:ascii="Arial" w:hAnsi="Arial" w:cs="Arial"/>
                <w:spacing w:val="-4"/>
                <w:sz w:val="18"/>
                <w:szCs w:val="18"/>
              </w:rPr>
              <w:t xml:space="preserve"> </w:t>
            </w:r>
            <w:r w:rsidRPr="00FE6A25">
              <w:rPr>
                <w:rFonts w:ascii="Arial" w:hAnsi="Arial" w:cs="Arial"/>
                <w:sz w:val="18"/>
                <w:szCs w:val="18"/>
              </w:rPr>
              <w:t>and</w:t>
            </w:r>
            <w:r w:rsidRPr="00FE6A25">
              <w:rPr>
                <w:rFonts w:ascii="Arial" w:hAnsi="Arial" w:cs="Arial"/>
                <w:spacing w:val="-2"/>
                <w:sz w:val="18"/>
                <w:szCs w:val="18"/>
              </w:rPr>
              <w:t xml:space="preserve"> </w:t>
            </w:r>
            <w:r w:rsidRPr="00FE6A25">
              <w:rPr>
                <w:rFonts w:ascii="Arial" w:hAnsi="Arial" w:cs="Arial"/>
                <w:sz w:val="18"/>
                <w:szCs w:val="18"/>
              </w:rPr>
              <w:t>passenger</w:t>
            </w:r>
            <w:r w:rsidRPr="00FE6A25">
              <w:rPr>
                <w:rFonts w:ascii="Arial" w:hAnsi="Arial" w:cs="Arial"/>
                <w:spacing w:val="-3"/>
                <w:sz w:val="18"/>
                <w:szCs w:val="18"/>
              </w:rPr>
              <w:t xml:space="preserve"> </w:t>
            </w:r>
            <w:r w:rsidRPr="00FE6A25">
              <w:rPr>
                <w:rFonts w:ascii="Arial" w:hAnsi="Arial" w:cs="Arial"/>
                <w:sz w:val="18"/>
                <w:szCs w:val="18"/>
              </w:rPr>
              <w:t>briefings</w:t>
            </w:r>
          </w:p>
        </w:tc>
      </w:tr>
      <w:tr w:rsidR="00FE6A25" w:rsidRPr="00FE6A25" w14:paraId="0CD887DA" w14:textId="77777777" w:rsidTr="00BA1962">
        <w:trPr>
          <w:trHeight w:val="200"/>
        </w:trPr>
        <w:tc>
          <w:tcPr>
            <w:tcW w:w="588" w:type="dxa"/>
          </w:tcPr>
          <w:p w14:paraId="01B3D415" w14:textId="77777777" w:rsidR="00FE6A25" w:rsidRPr="00FE6A25" w:rsidRDefault="00FE6A25" w:rsidP="00670AAB">
            <w:pPr>
              <w:pStyle w:val="TableParagraph"/>
              <w:spacing w:line="223" w:lineRule="exact"/>
              <w:ind w:left="86"/>
              <w:rPr>
                <w:rFonts w:ascii="Arial" w:hAnsi="Arial" w:cs="Arial"/>
                <w:sz w:val="18"/>
                <w:szCs w:val="18"/>
              </w:rPr>
            </w:pPr>
            <w:r w:rsidRPr="00FE6A25">
              <w:rPr>
                <w:rFonts w:ascii="Arial" w:hAnsi="Arial" w:cs="Arial"/>
                <w:w w:val="99"/>
                <w:sz w:val="18"/>
                <w:szCs w:val="18"/>
              </w:rPr>
              <w:t>f</w:t>
            </w:r>
          </w:p>
        </w:tc>
        <w:tc>
          <w:tcPr>
            <w:tcW w:w="7350" w:type="dxa"/>
          </w:tcPr>
          <w:p w14:paraId="6ADBC9C5" w14:textId="77777777" w:rsidR="00FE6A25" w:rsidRPr="00FE6A25" w:rsidRDefault="00FE6A25" w:rsidP="00670AAB">
            <w:pPr>
              <w:pStyle w:val="TableParagraph"/>
              <w:spacing w:line="223" w:lineRule="exact"/>
              <w:rPr>
                <w:rFonts w:ascii="Arial" w:hAnsi="Arial" w:cs="Arial"/>
                <w:sz w:val="18"/>
                <w:szCs w:val="18"/>
              </w:rPr>
            </w:pPr>
            <w:r w:rsidRPr="00FE6A25">
              <w:rPr>
                <w:rFonts w:ascii="Arial" w:hAnsi="Arial" w:cs="Arial"/>
                <w:sz w:val="18"/>
                <w:szCs w:val="18"/>
              </w:rPr>
              <w:t>Assembly</w:t>
            </w:r>
            <w:r w:rsidRPr="00FE6A25">
              <w:rPr>
                <w:rFonts w:ascii="Arial" w:hAnsi="Arial" w:cs="Arial"/>
                <w:spacing w:val="-3"/>
                <w:sz w:val="18"/>
                <w:szCs w:val="18"/>
              </w:rPr>
              <w:t xml:space="preserve"> </w:t>
            </w:r>
            <w:r w:rsidRPr="00FE6A25">
              <w:rPr>
                <w:rFonts w:ascii="Arial" w:hAnsi="Arial" w:cs="Arial"/>
                <w:sz w:val="18"/>
                <w:szCs w:val="18"/>
              </w:rPr>
              <w:t>and</w:t>
            </w:r>
            <w:r w:rsidRPr="00FE6A25">
              <w:rPr>
                <w:rFonts w:ascii="Arial" w:hAnsi="Arial" w:cs="Arial"/>
                <w:spacing w:val="-2"/>
                <w:sz w:val="18"/>
                <w:szCs w:val="18"/>
              </w:rPr>
              <w:t xml:space="preserve"> </w:t>
            </w:r>
            <w:r w:rsidRPr="00FE6A25">
              <w:rPr>
                <w:rFonts w:ascii="Arial" w:hAnsi="Arial" w:cs="Arial"/>
                <w:sz w:val="18"/>
                <w:szCs w:val="18"/>
              </w:rPr>
              <w:t>layout</w:t>
            </w:r>
          </w:p>
        </w:tc>
      </w:tr>
      <w:tr w:rsidR="00FE6A25" w:rsidRPr="00FE6A25" w14:paraId="0B4807DE" w14:textId="77777777" w:rsidTr="00BA1962">
        <w:trPr>
          <w:trHeight w:val="200"/>
        </w:trPr>
        <w:tc>
          <w:tcPr>
            <w:tcW w:w="588" w:type="dxa"/>
          </w:tcPr>
          <w:p w14:paraId="69E0755C" w14:textId="77777777" w:rsidR="00FE6A25" w:rsidRPr="00FE6A25" w:rsidRDefault="00FE6A25" w:rsidP="00670AAB">
            <w:pPr>
              <w:pStyle w:val="TableParagraph"/>
              <w:spacing w:line="222" w:lineRule="exact"/>
              <w:ind w:left="86"/>
              <w:rPr>
                <w:rFonts w:ascii="Arial" w:hAnsi="Arial" w:cs="Arial"/>
                <w:sz w:val="18"/>
                <w:szCs w:val="18"/>
              </w:rPr>
            </w:pPr>
            <w:r w:rsidRPr="00FE6A25">
              <w:rPr>
                <w:rFonts w:ascii="Arial" w:hAnsi="Arial" w:cs="Arial"/>
                <w:w w:val="99"/>
                <w:sz w:val="18"/>
                <w:szCs w:val="18"/>
              </w:rPr>
              <w:t>g</w:t>
            </w:r>
          </w:p>
        </w:tc>
        <w:tc>
          <w:tcPr>
            <w:tcW w:w="7350" w:type="dxa"/>
          </w:tcPr>
          <w:p w14:paraId="630328FB" w14:textId="77777777" w:rsidR="00FE6A25" w:rsidRPr="00FE6A25" w:rsidRDefault="00FE6A25" w:rsidP="00670AAB">
            <w:pPr>
              <w:pStyle w:val="TableParagraph"/>
              <w:spacing w:line="222" w:lineRule="exact"/>
              <w:rPr>
                <w:rFonts w:ascii="Arial" w:hAnsi="Arial" w:cs="Arial"/>
                <w:sz w:val="18"/>
                <w:szCs w:val="18"/>
              </w:rPr>
            </w:pPr>
            <w:r w:rsidRPr="00FE6A25">
              <w:rPr>
                <w:rFonts w:ascii="Arial" w:hAnsi="Arial" w:cs="Arial"/>
                <w:sz w:val="18"/>
                <w:szCs w:val="18"/>
              </w:rPr>
              <w:t>Inflation</w:t>
            </w:r>
            <w:r w:rsidRPr="00FE6A25">
              <w:rPr>
                <w:rFonts w:ascii="Arial" w:hAnsi="Arial" w:cs="Arial"/>
                <w:spacing w:val="-2"/>
                <w:sz w:val="18"/>
                <w:szCs w:val="18"/>
              </w:rPr>
              <w:t xml:space="preserve"> </w:t>
            </w:r>
            <w:r w:rsidRPr="00FE6A25">
              <w:rPr>
                <w:rFonts w:ascii="Arial" w:hAnsi="Arial" w:cs="Arial"/>
                <w:sz w:val="18"/>
                <w:szCs w:val="18"/>
              </w:rPr>
              <w:t>and</w:t>
            </w:r>
            <w:r w:rsidRPr="00FE6A25">
              <w:rPr>
                <w:rFonts w:ascii="Arial" w:hAnsi="Arial" w:cs="Arial"/>
                <w:spacing w:val="-3"/>
                <w:sz w:val="18"/>
                <w:szCs w:val="18"/>
              </w:rPr>
              <w:t xml:space="preserve"> </w:t>
            </w:r>
            <w:r w:rsidRPr="00FE6A25">
              <w:rPr>
                <w:rFonts w:ascii="Arial" w:hAnsi="Arial" w:cs="Arial"/>
                <w:sz w:val="18"/>
                <w:szCs w:val="18"/>
              </w:rPr>
              <w:t>pre-take-off</w:t>
            </w:r>
            <w:r w:rsidRPr="00FE6A25">
              <w:rPr>
                <w:rFonts w:ascii="Arial" w:hAnsi="Arial" w:cs="Arial"/>
                <w:spacing w:val="-5"/>
                <w:sz w:val="18"/>
                <w:szCs w:val="18"/>
              </w:rPr>
              <w:t xml:space="preserve"> </w:t>
            </w:r>
            <w:r w:rsidRPr="00FE6A25">
              <w:rPr>
                <w:rFonts w:ascii="Arial" w:hAnsi="Arial" w:cs="Arial"/>
                <w:sz w:val="18"/>
                <w:szCs w:val="18"/>
              </w:rPr>
              <w:t>procedures</w:t>
            </w:r>
          </w:p>
        </w:tc>
      </w:tr>
      <w:tr w:rsidR="00FE6A25" w:rsidRPr="00FE6A25" w14:paraId="4CF0DEA5" w14:textId="77777777" w:rsidTr="00BA1962">
        <w:trPr>
          <w:trHeight w:val="202"/>
        </w:trPr>
        <w:tc>
          <w:tcPr>
            <w:tcW w:w="588" w:type="dxa"/>
          </w:tcPr>
          <w:p w14:paraId="65628B97" w14:textId="77777777" w:rsidR="00FE6A25" w:rsidRPr="00FE6A25" w:rsidRDefault="00FE6A25" w:rsidP="00670AAB">
            <w:pPr>
              <w:pStyle w:val="TableParagraph"/>
              <w:spacing w:line="225" w:lineRule="exact"/>
              <w:ind w:left="86"/>
              <w:rPr>
                <w:rFonts w:ascii="Arial" w:hAnsi="Arial" w:cs="Arial"/>
                <w:sz w:val="18"/>
                <w:szCs w:val="18"/>
              </w:rPr>
            </w:pPr>
            <w:r w:rsidRPr="00FE6A25">
              <w:rPr>
                <w:rFonts w:ascii="Arial" w:hAnsi="Arial" w:cs="Arial"/>
                <w:w w:val="99"/>
                <w:sz w:val="18"/>
                <w:szCs w:val="18"/>
              </w:rPr>
              <w:t>h</w:t>
            </w:r>
          </w:p>
        </w:tc>
        <w:tc>
          <w:tcPr>
            <w:tcW w:w="7350" w:type="dxa"/>
          </w:tcPr>
          <w:p w14:paraId="109205B0" w14:textId="77777777" w:rsidR="00FE6A25" w:rsidRPr="00FE6A25" w:rsidRDefault="00FE6A25" w:rsidP="00670AAB">
            <w:pPr>
              <w:pStyle w:val="TableParagraph"/>
              <w:spacing w:line="225" w:lineRule="exact"/>
              <w:rPr>
                <w:rFonts w:ascii="Arial" w:hAnsi="Arial" w:cs="Arial"/>
                <w:sz w:val="18"/>
                <w:szCs w:val="18"/>
              </w:rPr>
            </w:pPr>
            <w:r w:rsidRPr="00FE6A25">
              <w:rPr>
                <w:rFonts w:ascii="Arial" w:hAnsi="Arial" w:cs="Arial"/>
                <w:sz w:val="18"/>
                <w:szCs w:val="18"/>
              </w:rPr>
              <w:t>Take-off</w:t>
            </w:r>
          </w:p>
        </w:tc>
      </w:tr>
      <w:tr w:rsidR="00FE6A25" w:rsidRPr="00FE6A25" w14:paraId="46BE620F" w14:textId="77777777" w:rsidTr="00BA1962">
        <w:trPr>
          <w:trHeight w:val="199"/>
        </w:trPr>
        <w:tc>
          <w:tcPr>
            <w:tcW w:w="588" w:type="dxa"/>
          </w:tcPr>
          <w:p w14:paraId="4F9A3223" w14:textId="77777777" w:rsidR="00FE6A25" w:rsidRPr="00FE6A25" w:rsidRDefault="00FE6A25" w:rsidP="00670AAB">
            <w:pPr>
              <w:pStyle w:val="TableParagraph"/>
              <w:spacing w:line="222" w:lineRule="exact"/>
              <w:ind w:left="86"/>
              <w:rPr>
                <w:rFonts w:ascii="Arial" w:hAnsi="Arial" w:cs="Arial"/>
                <w:sz w:val="18"/>
                <w:szCs w:val="18"/>
              </w:rPr>
            </w:pPr>
            <w:r w:rsidRPr="00FE6A25">
              <w:rPr>
                <w:rFonts w:ascii="Arial" w:hAnsi="Arial" w:cs="Arial"/>
                <w:w w:val="99"/>
                <w:sz w:val="18"/>
                <w:szCs w:val="18"/>
              </w:rPr>
              <w:t>i</w:t>
            </w:r>
          </w:p>
        </w:tc>
        <w:tc>
          <w:tcPr>
            <w:tcW w:w="7350" w:type="dxa"/>
          </w:tcPr>
          <w:p w14:paraId="69824C84" w14:textId="77777777" w:rsidR="00FE6A25" w:rsidRPr="00FE6A25" w:rsidRDefault="00FE6A25" w:rsidP="00670AAB">
            <w:pPr>
              <w:pStyle w:val="TableParagraph"/>
              <w:spacing w:line="222" w:lineRule="exact"/>
              <w:rPr>
                <w:rFonts w:ascii="Arial" w:hAnsi="Arial" w:cs="Arial"/>
                <w:sz w:val="18"/>
                <w:szCs w:val="18"/>
              </w:rPr>
            </w:pPr>
            <w:r w:rsidRPr="00FE6A25">
              <w:rPr>
                <w:rFonts w:ascii="Arial" w:hAnsi="Arial" w:cs="Arial"/>
                <w:sz w:val="18"/>
                <w:szCs w:val="18"/>
              </w:rPr>
              <w:t>ATC</w:t>
            </w:r>
            <w:r w:rsidRPr="00FE6A25">
              <w:rPr>
                <w:rFonts w:ascii="Arial" w:hAnsi="Arial" w:cs="Arial"/>
                <w:spacing w:val="-3"/>
                <w:sz w:val="18"/>
                <w:szCs w:val="18"/>
              </w:rPr>
              <w:t xml:space="preserve"> </w:t>
            </w:r>
            <w:r w:rsidRPr="00FE6A25">
              <w:rPr>
                <w:rFonts w:ascii="Arial" w:hAnsi="Arial" w:cs="Arial"/>
                <w:sz w:val="18"/>
                <w:szCs w:val="18"/>
              </w:rPr>
              <w:t>compliance</w:t>
            </w:r>
            <w:r w:rsidRPr="00FE6A25">
              <w:rPr>
                <w:rFonts w:ascii="Arial" w:hAnsi="Arial" w:cs="Arial"/>
                <w:spacing w:val="-4"/>
                <w:sz w:val="18"/>
                <w:szCs w:val="18"/>
              </w:rPr>
              <w:t xml:space="preserve"> </w:t>
            </w:r>
            <w:r w:rsidRPr="00FE6A25">
              <w:rPr>
                <w:rFonts w:ascii="Arial" w:hAnsi="Arial" w:cs="Arial"/>
                <w:sz w:val="18"/>
                <w:szCs w:val="18"/>
              </w:rPr>
              <w:t>(if</w:t>
            </w:r>
            <w:r w:rsidRPr="00FE6A25">
              <w:rPr>
                <w:rFonts w:ascii="Arial" w:hAnsi="Arial" w:cs="Arial"/>
                <w:spacing w:val="-3"/>
                <w:sz w:val="18"/>
                <w:szCs w:val="18"/>
              </w:rPr>
              <w:t xml:space="preserve"> </w:t>
            </w:r>
            <w:r w:rsidRPr="00FE6A25">
              <w:rPr>
                <w:rFonts w:ascii="Arial" w:hAnsi="Arial" w:cs="Arial"/>
                <w:sz w:val="18"/>
                <w:szCs w:val="18"/>
              </w:rPr>
              <w:t>applicable)</w:t>
            </w:r>
          </w:p>
        </w:tc>
      </w:tr>
      <w:tr w:rsidR="00FE6A25" w:rsidRPr="00FE6A25" w14:paraId="63672357" w14:textId="77777777" w:rsidTr="00BA1962">
        <w:trPr>
          <w:trHeight w:val="203"/>
        </w:trPr>
        <w:tc>
          <w:tcPr>
            <w:tcW w:w="7938" w:type="dxa"/>
            <w:gridSpan w:val="2"/>
            <w:shd w:val="clear" w:color="auto" w:fill="F2F2F2" w:themeFill="background1" w:themeFillShade="F2"/>
          </w:tcPr>
          <w:p w14:paraId="10C4A7D4" w14:textId="77777777" w:rsidR="00FE6A25" w:rsidRPr="00FE6A25" w:rsidRDefault="00FE6A25" w:rsidP="00670AAB">
            <w:pPr>
              <w:pStyle w:val="TableParagraph"/>
              <w:spacing w:before="1" w:line="225" w:lineRule="exact"/>
              <w:ind w:left="86"/>
              <w:rPr>
                <w:rFonts w:ascii="Arial" w:hAnsi="Arial" w:cs="Arial"/>
                <w:b/>
                <w:sz w:val="18"/>
                <w:szCs w:val="18"/>
              </w:rPr>
            </w:pPr>
            <w:r w:rsidRPr="00FE6A25">
              <w:rPr>
                <w:rFonts w:ascii="Arial" w:hAnsi="Arial" w:cs="Arial"/>
                <w:b/>
                <w:sz w:val="18"/>
                <w:szCs w:val="18"/>
              </w:rPr>
              <w:t>SECTION</w:t>
            </w:r>
            <w:r w:rsidRPr="00FE6A25">
              <w:rPr>
                <w:rFonts w:ascii="Arial" w:hAnsi="Arial" w:cs="Arial"/>
                <w:b/>
                <w:spacing w:val="-3"/>
                <w:sz w:val="18"/>
                <w:szCs w:val="18"/>
              </w:rPr>
              <w:t xml:space="preserve"> </w:t>
            </w:r>
            <w:r w:rsidRPr="00FE6A25">
              <w:rPr>
                <w:rFonts w:ascii="Arial" w:hAnsi="Arial" w:cs="Arial"/>
                <w:b/>
                <w:sz w:val="18"/>
                <w:szCs w:val="18"/>
              </w:rPr>
              <w:t>2:</w:t>
            </w:r>
            <w:r w:rsidRPr="00FE6A25">
              <w:rPr>
                <w:rFonts w:ascii="Arial" w:hAnsi="Arial" w:cs="Arial"/>
                <w:b/>
                <w:spacing w:val="-3"/>
                <w:sz w:val="18"/>
                <w:szCs w:val="18"/>
              </w:rPr>
              <w:t xml:space="preserve"> </w:t>
            </w:r>
            <w:r w:rsidRPr="00FE6A25">
              <w:rPr>
                <w:rFonts w:ascii="Arial" w:hAnsi="Arial" w:cs="Arial"/>
                <w:b/>
                <w:sz w:val="18"/>
                <w:szCs w:val="18"/>
              </w:rPr>
              <w:t>GENERAL</w:t>
            </w:r>
            <w:r w:rsidRPr="00FE6A25">
              <w:rPr>
                <w:rFonts w:ascii="Arial" w:hAnsi="Arial" w:cs="Arial"/>
                <w:b/>
                <w:spacing w:val="-3"/>
                <w:sz w:val="18"/>
                <w:szCs w:val="18"/>
              </w:rPr>
              <w:t xml:space="preserve"> </w:t>
            </w:r>
            <w:r w:rsidRPr="00FE6A25">
              <w:rPr>
                <w:rFonts w:ascii="Arial" w:hAnsi="Arial" w:cs="Arial"/>
                <w:b/>
                <w:sz w:val="18"/>
                <w:szCs w:val="18"/>
              </w:rPr>
              <w:t>AIRWORK</w:t>
            </w:r>
          </w:p>
        </w:tc>
      </w:tr>
      <w:tr w:rsidR="00FE6A25" w:rsidRPr="00FE6A25" w14:paraId="7D2CBCA7" w14:textId="77777777" w:rsidTr="00BA1962">
        <w:trPr>
          <w:trHeight w:val="199"/>
        </w:trPr>
        <w:tc>
          <w:tcPr>
            <w:tcW w:w="588" w:type="dxa"/>
          </w:tcPr>
          <w:p w14:paraId="06C3AAB5" w14:textId="77777777" w:rsidR="00FE6A25" w:rsidRPr="00FE6A25" w:rsidRDefault="00FE6A25" w:rsidP="00670AAB">
            <w:pPr>
              <w:pStyle w:val="TableParagraph"/>
              <w:spacing w:line="222" w:lineRule="exact"/>
              <w:ind w:left="86"/>
              <w:rPr>
                <w:rFonts w:ascii="Arial" w:hAnsi="Arial" w:cs="Arial"/>
                <w:sz w:val="18"/>
                <w:szCs w:val="18"/>
              </w:rPr>
            </w:pPr>
            <w:r w:rsidRPr="00FE6A25">
              <w:rPr>
                <w:rFonts w:ascii="Arial" w:hAnsi="Arial" w:cs="Arial"/>
                <w:w w:val="99"/>
                <w:sz w:val="18"/>
                <w:szCs w:val="18"/>
              </w:rPr>
              <w:t>a</w:t>
            </w:r>
          </w:p>
        </w:tc>
        <w:tc>
          <w:tcPr>
            <w:tcW w:w="7350" w:type="dxa"/>
          </w:tcPr>
          <w:p w14:paraId="1B789D06" w14:textId="77777777" w:rsidR="00FE6A25" w:rsidRPr="00FE6A25" w:rsidRDefault="00FE6A25" w:rsidP="00670AAB">
            <w:pPr>
              <w:pStyle w:val="TableParagraph"/>
              <w:spacing w:line="222" w:lineRule="exact"/>
              <w:rPr>
                <w:rFonts w:ascii="Arial" w:hAnsi="Arial" w:cs="Arial"/>
                <w:sz w:val="18"/>
                <w:szCs w:val="18"/>
              </w:rPr>
            </w:pPr>
            <w:r w:rsidRPr="00FE6A25">
              <w:rPr>
                <w:rFonts w:ascii="Arial" w:hAnsi="Arial" w:cs="Arial"/>
                <w:sz w:val="18"/>
                <w:szCs w:val="18"/>
              </w:rPr>
              <w:t>Climb</w:t>
            </w:r>
            <w:r w:rsidRPr="00FE6A25">
              <w:rPr>
                <w:rFonts w:ascii="Arial" w:hAnsi="Arial" w:cs="Arial"/>
                <w:spacing w:val="-3"/>
                <w:sz w:val="18"/>
                <w:szCs w:val="18"/>
              </w:rPr>
              <w:t xml:space="preserve"> </w:t>
            </w:r>
            <w:r w:rsidRPr="00FE6A25">
              <w:rPr>
                <w:rFonts w:ascii="Arial" w:hAnsi="Arial" w:cs="Arial"/>
                <w:sz w:val="18"/>
                <w:szCs w:val="18"/>
              </w:rPr>
              <w:t>to</w:t>
            </w:r>
            <w:r w:rsidRPr="00FE6A25">
              <w:rPr>
                <w:rFonts w:ascii="Arial" w:hAnsi="Arial" w:cs="Arial"/>
                <w:spacing w:val="-3"/>
                <w:sz w:val="18"/>
                <w:szCs w:val="18"/>
              </w:rPr>
              <w:t xml:space="preserve"> </w:t>
            </w:r>
            <w:r w:rsidRPr="00FE6A25">
              <w:rPr>
                <w:rFonts w:ascii="Arial" w:hAnsi="Arial" w:cs="Arial"/>
                <w:sz w:val="18"/>
                <w:szCs w:val="18"/>
              </w:rPr>
              <w:t>level</w:t>
            </w:r>
            <w:r w:rsidRPr="00FE6A25">
              <w:rPr>
                <w:rFonts w:ascii="Arial" w:hAnsi="Arial" w:cs="Arial"/>
                <w:spacing w:val="-1"/>
                <w:sz w:val="18"/>
                <w:szCs w:val="18"/>
              </w:rPr>
              <w:t xml:space="preserve"> </w:t>
            </w:r>
            <w:r w:rsidRPr="00FE6A25">
              <w:rPr>
                <w:rFonts w:ascii="Arial" w:hAnsi="Arial" w:cs="Arial"/>
                <w:sz w:val="18"/>
                <w:szCs w:val="18"/>
              </w:rPr>
              <w:t>flight</w:t>
            </w:r>
          </w:p>
        </w:tc>
      </w:tr>
      <w:tr w:rsidR="00FE6A25" w:rsidRPr="00FE6A25" w14:paraId="100B3F1E" w14:textId="77777777" w:rsidTr="00BA1962">
        <w:trPr>
          <w:trHeight w:val="202"/>
        </w:trPr>
        <w:tc>
          <w:tcPr>
            <w:tcW w:w="588" w:type="dxa"/>
          </w:tcPr>
          <w:p w14:paraId="384E4BD4" w14:textId="77777777" w:rsidR="00FE6A25" w:rsidRPr="00FE6A25" w:rsidRDefault="00FE6A25" w:rsidP="00670AAB">
            <w:pPr>
              <w:pStyle w:val="TableParagraph"/>
              <w:spacing w:line="225" w:lineRule="exact"/>
              <w:ind w:left="86"/>
              <w:rPr>
                <w:rFonts w:ascii="Arial" w:hAnsi="Arial" w:cs="Arial"/>
                <w:sz w:val="18"/>
                <w:szCs w:val="18"/>
              </w:rPr>
            </w:pPr>
            <w:r w:rsidRPr="00FE6A25">
              <w:rPr>
                <w:rFonts w:ascii="Arial" w:hAnsi="Arial" w:cs="Arial"/>
                <w:w w:val="99"/>
                <w:sz w:val="18"/>
                <w:szCs w:val="18"/>
              </w:rPr>
              <w:t>b</w:t>
            </w:r>
          </w:p>
        </w:tc>
        <w:tc>
          <w:tcPr>
            <w:tcW w:w="7350" w:type="dxa"/>
          </w:tcPr>
          <w:p w14:paraId="2EBFD2EB" w14:textId="77777777" w:rsidR="00FE6A25" w:rsidRPr="00FE6A25" w:rsidRDefault="00FE6A25" w:rsidP="00670AAB">
            <w:pPr>
              <w:pStyle w:val="TableParagraph"/>
              <w:spacing w:line="225" w:lineRule="exact"/>
              <w:rPr>
                <w:rFonts w:ascii="Arial" w:hAnsi="Arial" w:cs="Arial"/>
                <w:sz w:val="18"/>
                <w:szCs w:val="18"/>
              </w:rPr>
            </w:pPr>
            <w:r w:rsidRPr="00FE6A25">
              <w:rPr>
                <w:rFonts w:ascii="Arial" w:hAnsi="Arial" w:cs="Arial"/>
                <w:sz w:val="18"/>
                <w:szCs w:val="18"/>
              </w:rPr>
              <w:t>Level</w:t>
            </w:r>
            <w:r w:rsidRPr="00FE6A25">
              <w:rPr>
                <w:rFonts w:ascii="Arial" w:hAnsi="Arial" w:cs="Arial"/>
                <w:spacing w:val="-4"/>
                <w:sz w:val="18"/>
                <w:szCs w:val="18"/>
              </w:rPr>
              <w:t xml:space="preserve"> </w:t>
            </w:r>
            <w:r w:rsidRPr="00FE6A25">
              <w:rPr>
                <w:rFonts w:ascii="Arial" w:hAnsi="Arial" w:cs="Arial"/>
                <w:sz w:val="18"/>
                <w:szCs w:val="18"/>
              </w:rPr>
              <w:t>flight</w:t>
            </w:r>
          </w:p>
        </w:tc>
      </w:tr>
      <w:tr w:rsidR="00FE6A25" w:rsidRPr="00FE6A25" w14:paraId="6660B79E" w14:textId="77777777" w:rsidTr="00BA1962">
        <w:trPr>
          <w:trHeight w:val="200"/>
        </w:trPr>
        <w:tc>
          <w:tcPr>
            <w:tcW w:w="588" w:type="dxa"/>
          </w:tcPr>
          <w:p w14:paraId="1A8108CA" w14:textId="77777777" w:rsidR="00FE6A25" w:rsidRPr="00FE6A25" w:rsidRDefault="00FE6A25" w:rsidP="00670AAB">
            <w:pPr>
              <w:pStyle w:val="TableParagraph"/>
              <w:spacing w:line="222" w:lineRule="exact"/>
              <w:ind w:left="86"/>
              <w:rPr>
                <w:rFonts w:ascii="Arial" w:hAnsi="Arial" w:cs="Arial"/>
                <w:sz w:val="18"/>
                <w:szCs w:val="18"/>
              </w:rPr>
            </w:pPr>
            <w:r w:rsidRPr="00FE6A25">
              <w:rPr>
                <w:rFonts w:ascii="Arial" w:hAnsi="Arial" w:cs="Arial"/>
                <w:w w:val="99"/>
                <w:sz w:val="18"/>
                <w:szCs w:val="18"/>
              </w:rPr>
              <w:t>c</w:t>
            </w:r>
          </w:p>
        </w:tc>
        <w:tc>
          <w:tcPr>
            <w:tcW w:w="7350" w:type="dxa"/>
          </w:tcPr>
          <w:p w14:paraId="633AEB46" w14:textId="77777777" w:rsidR="00FE6A25" w:rsidRPr="00FE6A25" w:rsidRDefault="00FE6A25" w:rsidP="00670AAB">
            <w:pPr>
              <w:pStyle w:val="TableParagraph"/>
              <w:spacing w:line="222" w:lineRule="exact"/>
              <w:rPr>
                <w:rFonts w:ascii="Arial" w:hAnsi="Arial" w:cs="Arial"/>
                <w:sz w:val="18"/>
                <w:szCs w:val="18"/>
              </w:rPr>
            </w:pPr>
            <w:r w:rsidRPr="00FE6A25">
              <w:rPr>
                <w:rFonts w:ascii="Arial" w:hAnsi="Arial" w:cs="Arial"/>
                <w:sz w:val="18"/>
                <w:szCs w:val="18"/>
              </w:rPr>
              <w:t>Descent</w:t>
            </w:r>
            <w:r w:rsidRPr="00FE6A25">
              <w:rPr>
                <w:rFonts w:ascii="Arial" w:hAnsi="Arial" w:cs="Arial"/>
                <w:spacing w:val="-3"/>
                <w:sz w:val="18"/>
                <w:szCs w:val="18"/>
              </w:rPr>
              <w:t xml:space="preserve"> </w:t>
            </w:r>
            <w:r w:rsidRPr="00FE6A25">
              <w:rPr>
                <w:rFonts w:ascii="Arial" w:hAnsi="Arial" w:cs="Arial"/>
                <w:sz w:val="18"/>
                <w:szCs w:val="18"/>
              </w:rPr>
              <w:t>to</w:t>
            </w:r>
            <w:r w:rsidRPr="00FE6A25">
              <w:rPr>
                <w:rFonts w:ascii="Arial" w:hAnsi="Arial" w:cs="Arial"/>
                <w:spacing w:val="-3"/>
                <w:sz w:val="18"/>
                <w:szCs w:val="18"/>
              </w:rPr>
              <w:t xml:space="preserve"> </w:t>
            </w:r>
            <w:r w:rsidRPr="00FE6A25">
              <w:rPr>
                <w:rFonts w:ascii="Arial" w:hAnsi="Arial" w:cs="Arial"/>
                <w:sz w:val="18"/>
                <w:szCs w:val="18"/>
              </w:rPr>
              <w:t>level</w:t>
            </w:r>
            <w:r w:rsidRPr="00FE6A25">
              <w:rPr>
                <w:rFonts w:ascii="Arial" w:hAnsi="Arial" w:cs="Arial"/>
                <w:spacing w:val="-2"/>
                <w:sz w:val="18"/>
                <w:szCs w:val="18"/>
              </w:rPr>
              <w:t xml:space="preserve"> </w:t>
            </w:r>
            <w:r w:rsidRPr="00FE6A25">
              <w:rPr>
                <w:rFonts w:ascii="Arial" w:hAnsi="Arial" w:cs="Arial"/>
                <w:sz w:val="18"/>
                <w:szCs w:val="18"/>
              </w:rPr>
              <w:t>flight</w:t>
            </w:r>
          </w:p>
        </w:tc>
      </w:tr>
      <w:tr w:rsidR="00FE6A25" w:rsidRPr="00FE6A25" w14:paraId="16B3569A" w14:textId="77777777" w:rsidTr="00BA1962">
        <w:trPr>
          <w:trHeight w:val="202"/>
        </w:trPr>
        <w:tc>
          <w:tcPr>
            <w:tcW w:w="588" w:type="dxa"/>
          </w:tcPr>
          <w:p w14:paraId="2771046A" w14:textId="77777777" w:rsidR="00FE6A25" w:rsidRPr="00FE6A25" w:rsidRDefault="00FE6A25" w:rsidP="00670AAB">
            <w:pPr>
              <w:pStyle w:val="TableParagraph"/>
              <w:spacing w:line="225" w:lineRule="exact"/>
              <w:ind w:left="86"/>
              <w:rPr>
                <w:rFonts w:ascii="Arial" w:hAnsi="Arial" w:cs="Arial"/>
                <w:sz w:val="18"/>
                <w:szCs w:val="18"/>
              </w:rPr>
            </w:pPr>
            <w:r w:rsidRPr="00FE6A25">
              <w:rPr>
                <w:rFonts w:ascii="Arial" w:hAnsi="Arial" w:cs="Arial"/>
                <w:w w:val="99"/>
                <w:sz w:val="18"/>
                <w:szCs w:val="18"/>
              </w:rPr>
              <w:t>d</w:t>
            </w:r>
          </w:p>
        </w:tc>
        <w:tc>
          <w:tcPr>
            <w:tcW w:w="7350" w:type="dxa"/>
          </w:tcPr>
          <w:p w14:paraId="35C30C15" w14:textId="77777777" w:rsidR="00FE6A25" w:rsidRPr="00FE6A25" w:rsidRDefault="00FE6A25" w:rsidP="00670AAB">
            <w:pPr>
              <w:pStyle w:val="TableParagraph"/>
              <w:spacing w:line="225" w:lineRule="exact"/>
              <w:rPr>
                <w:rFonts w:ascii="Arial" w:hAnsi="Arial" w:cs="Arial"/>
                <w:sz w:val="18"/>
                <w:szCs w:val="18"/>
              </w:rPr>
            </w:pPr>
            <w:r w:rsidRPr="00FE6A25">
              <w:rPr>
                <w:rFonts w:ascii="Arial" w:hAnsi="Arial" w:cs="Arial"/>
                <w:sz w:val="18"/>
                <w:szCs w:val="18"/>
              </w:rPr>
              <w:t>Operating</w:t>
            </w:r>
            <w:r w:rsidRPr="00FE6A25">
              <w:rPr>
                <w:rFonts w:ascii="Arial" w:hAnsi="Arial" w:cs="Arial"/>
                <w:spacing w:val="-4"/>
                <w:sz w:val="18"/>
                <w:szCs w:val="18"/>
              </w:rPr>
              <w:t xml:space="preserve"> </w:t>
            </w:r>
            <w:r w:rsidRPr="00FE6A25">
              <w:rPr>
                <w:rFonts w:ascii="Arial" w:hAnsi="Arial" w:cs="Arial"/>
                <w:sz w:val="18"/>
                <w:szCs w:val="18"/>
              </w:rPr>
              <w:t>at</w:t>
            </w:r>
            <w:r w:rsidRPr="00FE6A25">
              <w:rPr>
                <w:rFonts w:ascii="Arial" w:hAnsi="Arial" w:cs="Arial"/>
                <w:spacing w:val="-2"/>
                <w:sz w:val="18"/>
                <w:szCs w:val="18"/>
              </w:rPr>
              <w:t xml:space="preserve"> </w:t>
            </w:r>
            <w:r w:rsidRPr="00FE6A25">
              <w:rPr>
                <w:rFonts w:ascii="Arial" w:hAnsi="Arial" w:cs="Arial"/>
                <w:sz w:val="18"/>
                <w:szCs w:val="18"/>
              </w:rPr>
              <w:t>low</w:t>
            </w:r>
            <w:r w:rsidRPr="00FE6A25">
              <w:rPr>
                <w:rFonts w:ascii="Arial" w:hAnsi="Arial" w:cs="Arial"/>
                <w:spacing w:val="-2"/>
                <w:sz w:val="18"/>
                <w:szCs w:val="18"/>
              </w:rPr>
              <w:t xml:space="preserve"> </w:t>
            </w:r>
            <w:r w:rsidRPr="00FE6A25">
              <w:rPr>
                <w:rFonts w:ascii="Arial" w:hAnsi="Arial" w:cs="Arial"/>
                <w:sz w:val="18"/>
                <w:szCs w:val="18"/>
              </w:rPr>
              <w:t>level</w:t>
            </w:r>
          </w:p>
        </w:tc>
      </w:tr>
      <w:tr w:rsidR="00FE6A25" w:rsidRPr="00FE6A25" w14:paraId="14AB67C4" w14:textId="77777777" w:rsidTr="00BA1962">
        <w:trPr>
          <w:trHeight w:val="200"/>
        </w:trPr>
        <w:tc>
          <w:tcPr>
            <w:tcW w:w="588" w:type="dxa"/>
          </w:tcPr>
          <w:p w14:paraId="790E04AB" w14:textId="77777777" w:rsidR="00FE6A25" w:rsidRPr="00FE6A25" w:rsidRDefault="00FE6A25" w:rsidP="00670AAB">
            <w:pPr>
              <w:pStyle w:val="TableParagraph"/>
              <w:spacing w:line="222" w:lineRule="exact"/>
              <w:ind w:left="86"/>
              <w:rPr>
                <w:rFonts w:ascii="Arial" w:hAnsi="Arial" w:cs="Arial"/>
                <w:sz w:val="18"/>
                <w:szCs w:val="18"/>
              </w:rPr>
            </w:pPr>
            <w:r w:rsidRPr="00FE6A25">
              <w:rPr>
                <w:rFonts w:ascii="Arial" w:hAnsi="Arial" w:cs="Arial"/>
                <w:w w:val="99"/>
                <w:sz w:val="18"/>
                <w:szCs w:val="18"/>
              </w:rPr>
              <w:t>e</w:t>
            </w:r>
          </w:p>
        </w:tc>
        <w:tc>
          <w:tcPr>
            <w:tcW w:w="7350" w:type="dxa"/>
          </w:tcPr>
          <w:p w14:paraId="29D61333" w14:textId="77777777" w:rsidR="00FE6A25" w:rsidRPr="00FE6A25" w:rsidRDefault="00FE6A25" w:rsidP="00670AAB">
            <w:pPr>
              <w:pStyle w:val="TableParagraph"/>
              <w:spacing w:line="222" w:lineRule="exact"/>
              <w:rPr>
                <w:rFonts w:ascii="Arial" w:hAnsi="Arial" w:cs="Arial"/>
                <w:sz w:val="18"/>
                <w:szCs w:val="18"/>
              </w:rPr>
            </w:pPr>
            <w:r w:rsidRPr="00FE6A25">
              <w:rPr>
                <w:rFonts w:ascii="Arial" w:hAnsi="Arial" w:cs="Arial"/>
                <w:sz w:val="18"/>
                <w:szCs w:val="18"/>
              </w:rPr>
              <w:t>ATC</w:t>
            </w:r>
            <w:r w:rsidRPr="00FE6A25">
              <w:rPr>
                <w:rFonts w:ascii="Arial" w:hAnsi="Arial" w:cs="Arial"/>
                <w:spacing w:val="-3"/>
                <w:sz w:val="18"/>
                <w:szCs w:val="18"/>
              </w:rPr>
              <w:t xml:space="preserve"> </w:t>
            </w:r>
            <w:r w:rsidRPr="00FE6A25">
              <w:rPr>
                <w:rFonts w:ascii="Arial" w:hAnsi="Arial" w:cs="Arial"/>
                <w:sz w:val="18"/>
                <w:szCs w:val="18"/>
              </w:rPr>
              <w:t>compliance</w:t>
            </w:r>
            <w:r w:rsidRPr="00FE6A25">
              <w:rPr>
                <w:rFonts w:ascii="Arial" w:hAnsi="Arial" w:cs="Arial"/>
                <w:spacing w:val="-3"/>
                <w:sz w:val="18"/>
                <w:szCs w:val="18"/>
              </w:rPr>
              <w:t xml:space="preserve"> </w:t>
            </w:r>
            <w:r w:rsidRPr="00FE6A25">
              <w:rPr>
                <w:rFonts w:ascii="Arial" w:hAnsi="Arial" w:cs="Arial"/>
                <w:sz w:val="18"/>
                <w:szCs w:val="18"/>
              </w:rPr>
              <w:t>(if</w:t>
            </w:r>
            <w:r w:rsidRPr="00FE6A25">
              <w:rPr>
                <w:rFonts w:ascii="Arial" w:hAnsi="Arial" w:cs="Arial"/>
                <w:spacing w:val="-4"/>
                <w:sz w:val="18"/>
                <w:szCs w:val="18"/>
              </w:rPr>
              <w:t xml:space="preserve"> </w:t>
            </w:r>
            <w:r w:rsidRPr="00FE6A25">
              <w:rPr>
                <w:rFonts w:ascii="Arial" w:hAnsi="Arial" w:cs="Arial"/>
                <w:sz w:val="18"/>
                <w:szCs w:val="18"/>
              </w:rPr>
              <w:t>applicable)</w:t>
            </w:r>
          </w:p>
        </w:tc>
      </w:tr>
      <w:tr w:rsidR="00FE6A25" w:rsidRPr="00FE6A25" w14:paraId="5A2CC62E" w14:textId="77777777" w:rsidTr="00BA1962">
        <w:trPr>
          <w:trHeight w:val="202"/>
        </w:trPr>
        <w:tc>
          <w:tcPr>
            <w:tcW w:w="7938" w:type="dxa"/>
            <w:gridSpan w:val="2"/>
            <w:shd w:val="clear" w:color="auto" w:fill="F2F2F2" w:themeFill="background1" w:themeFillShade="F2"/>
          </w:tcPr>
          <w:p w14:paraId="0EB894AF" w14:textId="77777777" w:rsidR="00FE6A25" w:rsidRPr="00FE6A25" w:rsidRDefault="00FE6A25" w:rsidP="00670AAB">
            <w:pPr>
              <w:pStyle w:val="TableParagraph"/>
              <w:spacing w:line="225" w:lineRule="exact"/>
              <w:ind w:left="86"/>
              <w:rPr>
                <w:rFonts w:ascii="Arial" w:hAnsi="Arial" w:cs="Arial"/>
                <w:b/>
                <w:sz w:val="18"/>
                <w:szCs w:val="18"/>
              </w:rPr>
            </w:pPr>
            <w:r w:rsidRPr="00FE6A25">
              <w:rPr>
                <w:rFonts w:ascii="Arial" w:hAnsi="Arial" w:cs="Arial"/>
                <w:b/>
                <w:sz w:val="18"/>
                <w:szCs w:val="18"/>
              </w:rPr>
              <w:t>SECTION</w:t>
            </w:r>
            <w:r w:rsidRPr="00FE6A25">
              <w:rPr>
                <w:rFonts w:ascii="Arial" w:hAnsi="Arial" w:cs="Arial"/>
                <w:b/>
                <w:spacing w:val="-4"/>
                <w:sz w:val="18"/>
                <w:szCs w:val="18"/>
              </w:rPr>
              <w:t xml:space="preserve"> </w:t>
            </w:r>
            <w:r w:rsidRPr="00FE6A25">
              <w:rPr>
                <w:rFonts w:ascii="Arial" w:hAnsi="Arial" w:cs="Arial"/>
                <w:b/>
                <w:sz w:val="18"/>
                <w:szCs w:val="18"/>
              </w:rPr>
              <w:t>3:</w:t>
            </w:r>
            <w:r w:rsidRPr="00FE6A25">
              <w:rPr>
                <w:rFonts w:ascii="Arial" w:hAnsi="Arial" w:cs="Arial"/>
                <w:b/>
                <w:spacing w:val="-3"/>
                <w:sz w:val="18"/>
                <w:szCs w:val="18"/>
              </w:rPr>
              <w:t xml:space="preserve"> </w:t>
            </w:r>
            <w:r w:rsidRPr="00FE6A25">
              <w:rPr>
                <w:rFonts w:ascii="Arial" w:hAnsi="Arial" w:cs="Arial"/>
                <w:b/>
                <w:sz w:val="18"/>
                <w:szCs w:val="18"/>
              </w:rPr>
              <w:t>EN-ROUTE</w:t>
            </w:r>
            <w:r w:rsidRPr="00FE6A25">
              <w:rPr>
                <w:rFonts w:ascii="Arial" w:hAnsi="Arial" w:cs="Arial"/>
                <w:b/>
                <w:spacing w:val="-2"/>
                <w:sz w:val="18"/>
                <w:szCs w:val="18"/>
              </w:rPr>
              <w:t xml:space="preserve"> </w:t>
            </w:r>
            <w:r w:rsidRPr="00FE6A25">
              <w:rPr>
                <w:rFonts w:ascii="Arial" w:hAnsi="Arial" w:cs="Arial"/>
                <w:b/>
                <w:sz w:val="18"/>
                <w:szCs w:val="18"/>
              </w:rPr>
              <w:t>PROCEDURES</w:t>
            </w:r>
          </w:p>
        </w:tc>
      </w:tr>
      <w:tr w:rsidR="00FE6A25" w:rsidRPr="00FE6A25" w14:paraId="2F26320A" w14:textId="77777777" w:rsidTr="00BA1962">
        <w:trPr>
          <w:trHeight w:val="199"/>
        </w:trPr>
        <w:tc>
          <w:tcPr>
            <w:tcW w:w="588" w:type="dxa"/>
          </w:tcPr>
          <w:p w14:paraId="02BBACEE" w14:textId="77777777" w:rsidR="00FE6A25" w:rsidRPr="00FE6A25" w:rsidRDefault="00FE6A25" w:rsidP="00670AAB">
            <w:pPr>
              <w:pStyle w:val="TableParagraph"/>
              <w:spacing w:line="222" w:lineRule="exact"/>
              <w:ind w:left="86"/>
              <w:rPr>
                <w:rFonts w:ascii="Arial" w:hAnsi="Arial" w:cs="Arial"/>
                <w:sz w:val="18"/>
                <w:szCs w:val="18"/>
              </w:rPr>
            </w:pPr>
            <w:r w:rsidRPr="00FE6A25">
              <w:rPr>
                <w:rFonts w:ascii="Arial" w:hAnsi="Arial" w:cs="Arial"/>
                <w:w w:val="99"/>
                <w:sz w:val="18"/>
                <w:szCs w:val="18"/>
              </w:rPr>
              <w:t>a</w:t>
            </w:r>
          </w:p>
        </w:tc>
        <w:tc>
          <w:tcPr>
            <w:tcW w:w="7350" w:type="dxa"/>
          </w:tcPr>
          <w:p w14:paraId="74E5CE3F" w14:textId="77777777" w:rsidR="00FE6A25" w:rsidRPr="00FE6A25" w:rsidRDefault="00FE6A25" w:rsidP="00670AAB">
            <w:pPr>
              <w:pStyle w:val="TableParagraph"/>
              <w:spacing w:line="222" w:lineRule="exact"/>
              <w:rPr>
                <w:rFonts w:ascii="Arial" w:hAnsi="Arial" w:cs="Arial"/>
                <w:sz w:val="18"/>
                <w:szCs w:val="18"/>
              </w:rPr>
            </w:pPr>
            <w:r w:rsidRPr="00FE6A25">
              <w:rPr>
                <w:rFonts w:ascii="Arial" w:hAnsi="Arial" w:cs="Arial"/>
                <w:sz w:val="18"/>
                <w:szCs w:val="18"/>
              </w:rPr>
              <w:t>Dead</w:t>
            </w:r>
            <w:r w:rsidRPr="00FE6A25">
              <w:rPr>
                <w:rFonts w:ascii="Arial" w:hAnsi="Arial" w:cs="Arial"/>
                <w:spacing w:val="-2"/>
                <w:sz w:val="18"/>
                <w:szCs w:val="18"/>
              </w:rPr>
              <w:t xml:space="preserve"> </w:t>
            </w:r>
            <w:r w:rsidRPr="00FE6A25">
              <w:rPr>
                <w:rFonts w:ascii="Arial" w:hAnsi="Arial" w:cs="Arial"/>
                <w:sz w:val="18"/>
                <w:szCs w:val="18"/>
              </w:rPr>
              <w:t>reckoning</w:t>
            </w:r>
            <w:r w:rsidRPr="00FE6A25">
              <w:rPr>
                <w:rFonts w:ascii="Arial" w:hAnsi="Arial" w:cs="Arial"/>
                <w:spacing w:val="-4"/>
                <w:sz w:val="18"/>
                <w:szCs w:val="18"/>
              </w:rPr>
              <w:t xml:space="preserve"> </w:t>
            </w:r>
            <w:r w:rsidRPr="00FE6A25">
              <w:rPr>
                <w:rFonts w:ascii="Arial" w:hAnsi="Arial" w:cs="Arial"/>
                <w:sz w:val="18"/>
                <w:szCs w:val="18"/>
              </w:rPr>
              <w:t>and</w:t>
            </w:r>
            <w:r w:rsidRPr="00FE6A25">
              <w:rPr>
                <w:rFonts w:ascii="Arial" w:hAnsi="Arial" w:cs="Arial"/>
                <w:spacing w:val="-2"/>
                <w:sz w:val="18"/>
                <w:szCs w:val="18"/>
              </w:rPr>
              <w:t xml:space="preserve"> </w:t>
            </w:r>
            <w:r w:rsidRPr="00FE6A25">
              <w:rPr>
                <w:rFonts w:ascii="Arial" w:hAnsi="Arial" w:cs="Arial"/>
                <w:sz w:val="18"/>
                <w:szCs w:val="18"/>
              </w:rPr>
              <w:t>map</w:t>
            </w:r>
            <w:r w:rsidRPr="00FE6A25">
              <w:rPr>
                <w:rFonts w:ascii="Arial" w:hAnsi="Arial" w:cs="Arial"/>
                <w:spacing w:val="-2"/>
                <w:sz w:val="18"/>
                <w:szCs w:val="18"/>
              </w:rPr>
              <w:t xml:space="preserve"> </w:t>
            </w:r>
            <w:r w:rsidRPr="00FE6A25">
              <w:rPr>
                <w:rFonts w:ascii="Arial" w:hAnsi="Arial" w:cs="Arial"/>
                <w:sz w:val="18"/>
                <w:szCs w:val="18"/>
              </w:rPr>
              <w:t>reading</w:t>
            </w:r>
          </w:p>
        </w:tc>
      </w:tr>
      <w:tr w:rsidR="00FE6A25" w:rsidRPr="00FE6A25" w14:paraId="635EF465" w14:textId="77777777" w:rsidTr="00BA1962">
        <w:trPr>
          <w:trHeight w:val="202"/>
        </w:trPr>
        <w:tc>
          <w:tcPr>
            <w:tcW w:w="588" w:type="dxa"/>
          </w:tcPr>
          <w:p w14:paraId="675A6A72" w14:textId="77777777" w:rsidR="00FE6A25" w:rsidRPr="00FE6A25" w:rsidRDefault="00FE6A25" w:rsidP="00670AAB">
            <w:pPr>
              <w:pStyle w:val="TableParagraph"/>
              <w:spacing w:line="225" w:lineRule="exact"/>
              <w:ind w:left="86"/>
              <w:rPr>
                <w:rFonts w:ascii="Arial" w:hAnsi="Arial" w:cs="Arial"/>
                <w:sz w:val="18"/>
                <w:szCs w:val="18"/>
              </w:rPr>
            </w:pPr>
            <w:r w:rsidRPr="00FE6A25">
              <w:rPr>
                <w:rFonts w:ascii="Arial" w:hAnsi="Arial" w:cs="Arial"/>
                <w:w w:val="99"/>
                <w:sz w:val="18"/>
                <w:szCs w:val="18"/>
              </w:rPr>
              <w:t>b</w:t>
            </w:r>
          </w:p>
        </w:tc>
        <w:tc>
          <w:tcPr>
            <w:tcW w:w="7350" w:type="dxa"/>
          </w:tcPr>
          <w:p w14:paraId="12B275D4" w14:textId="77777777" w:rsidR="00FE6A25" w:rsidRPr="00FE6A25" w:rsidRDefault="00FE6A25" w:rsidP="00670AAB">
            <w:pPr>
              <w:pStyle w:val="TableParagraph"/>
              <w:spacing w:line="225" w:lineRule="exact"/>
              <w:rPr>
                <w:rFonts w:ascii="Arial" w:hAnsi="Arial" w:cs="Arial"/>
                <w:sz w:val="18"/>
                <w:szCs w:val="18"/>
              </w:rPr>
            </w:pPr>
            <w:r w:rsidRPr="00FE6A25">
              <w:rPr>
                <w:rFonts w:ascii="Arial" w:hAnsi="Arial" w:cs="Arial"/>
                <w:sz w:val="18"/>
                <w:szCs w:val="18"/>
              </w:rPr>
              <w:t>Marking</w:t>
            </w:r>
            <w:r w:rsidRPr="00FE6A25">
              <w:rPr>
                <w:rFonts w:ascii="Arial" w:hAnsi="Arial" w:cs="Arial"/>
                <w:spacing w:val="-4"/>
                <w:sz w:val="18"/>
                <w:szCs w:val="18"/>
              </w:rPr>
              <w:t xml:space="preserve"> </w:t>
            </w:r>
            <w:r w:rsidRPr="00FE6A25">
              <w:rPr>
                <w:rFonts w:ascii="Arial" w:hAnsi="Arial" w:cs="Arial"/>
                <w:sz w:val="18"/>
                <w:szCs w:val="18"/>
              </w:rPr>
              <w:t>positions</w:t>
            </w:r>
            <w:r w:rsidRPr="00FE6A25">
              <w:rPr>
                <w:rFonts w:ascii="Arial" w:hAnsi="Arial" w:cs="Arial"/>
                <w:spacing w:val="-4"/>
                <w:sz w:val="18"/>
                <w:szCs w:val="18"/>
              </w:rPr>
              <w:t xml:space="preserve"> </w:t>
            </w:r>
            <w:r w:rsidRPr="00FE6A25">
              <w:rPr>
                <w:rFonts w:ascii="Arial" w:hAnsi="Arial" w:cs="Arial"/>
                <w:sz w:val="18"/>
                <w:szCs w:val="18"/>
              </w:rPr>
              <w:t>and</w:t>
            </w:r>
            <w:r w:rsidRPr="00FE6A25">
              <w:rPr>
                <w:rFonts w:ascii="Arial" w:hAnsi="Arial" w:cs="Arial"/>
                <w:spacing w:val="-2"/>
                <w:sz w:val="18"/>
                <w:szCs w:val="18"/>
              </w:rPr>
              <w:t xml:space="preserve"> </w:t>
            </w:r>
            <w:r w:rsidRPr="00FE6A25">
              <w:rPr>
                <w:rFonts w:ascii="Arial" w:hAnsi="Arial" w:cs="Arial"/>
                <w:sz w:val="18"/>
                <w:szCs w:val="18"/>
              </w:rPr>
              <w:t>time</w:t>
            </w:r>
          </w:p>
        </w:tc>
      </w:tr>
      <w:tr w:rsidR="00FE6A25" w:rsidRPr="00FE6A25" w14:paraId="24873D46" w14:textId="77777777" w:rsidTr="00BA1962">
        <w:trPr>
          <w:trHeight w:val="199"/>
        </w:trPr>
        <w:tc>
          <w:tcPr>
            <w:tcW w:w="588" w:type="dxa"/>
          </w:tcPr>
          <w:p w14:paraId="4CD2B13D" w14:textId="77777777" w:rsidR="00FE6A25" w:rsidRPr="00FE6A25" w:rsidRDefault="00FE6A25" w:rsidP="00670AAB">
            <w:pPr>
              <w:pStyle w:val="TableParagraph"/>
              <w:spacing w:line="223" w:lineRule="exact"/>
              <w:ind w:left="86"/>
              <w:rPr>
                <w:rFonts w:ascii="Arial" w:hAnsi="Arial" w:cs="Arial"/>
                <w:sz w:val="18"/>
                <w:szCs w:val="18"/>
              </w:rPr>
            </w:pPr>
            <w:r w:rsidRPr="00FE6A25">
              <w:rPr>
                <w:rFonts w:ascii="Arial" w:hAnsi="Arial" w:cs="Arial"/>
                <w:w w:val="99"/>
                <w:sz w:val="18"/>
                <w:szCs w:val="18"/>
              </w:rPr>
              <w:t>c</w:t>
            </w:r>
          </w:p>
        </w:tc>
        <w:tc>
          <w:tcPr>
            <w:tcW w:w="7350" w:type="dxa"/>
          </w:tcPr>
          <w:p w14:paraId="49E6563D" w14:textId="77777777" w:rsidR="00FE6A25" w:rsidRPr="00FE6A25" w:rsidRDefault="00FE6A25" w:rsidP="00670AAB">
            <w:pPr>
              <w:pStyle w:val="TableParagraph"/>
              <w:spacing w:line="223" w:lineRule="exact"/>
              <w:rPr>
                <w:rFonts w:ascii="Arial" w:hAnsi="Arial" w:cs="Arial"/>
                <w:sz w:val="18"/>
                <w:szCs w:val="18"/>
              </w:rPr>
            </w:pPr>
            <w:r w:rsidRPr="00FE6A25">
              <w:rPr>
                <w:rFonts w:ascii="Arial" w:hAnsi="Arial" w:cs="Arial"/>
                <w:sz w:val="18"/>
                <w:szCs w:val="18"/>
              </w:rPr>
              <w:t>Orientation</w:t>
            </w:r>
            <w:r w:rsidRPr="00FE6A25">
              <w:rPr>
                <w:rFonts w:ascii="Arial" w:hAnsi="Arial" w:cs="Arial"/>
                <w:spacing w:val="-3"/>
                <w:sz w:val="18"/>
                <w:szCs w:val="18"/>
              </w:rPr>
              <w:t xml:space="preserve"> </w:t>
            </w:r>
            <w:r w:rsidRPr="00FE6A25">
              <w:rPr>
                <w:rFonts w:ascii="Arial" w:hAnsi="Arial" w:cs="Arial"/>
                <w:sz w:val="18"/>
                <w:szCs w:val="18"/>
              </w:rPr>
              <w:t>and</w:t>
            </w:r>
            <w:r w:rsidRPr="00FE6A25">
              <w:rPr>
                <w:rFonts w:ascii="Arial" w:hAnsi="Arial" w:cs="Arial"/>
                <w:spacing w:val="-3"/>
                <w:sz w:val="18"/>
                <w:szCs w:val="18"/>
              </w:rPr>
              <w:t xml:space="preserve"> </w:t>
            </w:r>
            <w:r w:rsidRPr="00FE6A25">
              <w:rPr>
                <w:rFonts w:ascii="Arial" w:hAnsi="Arial" w:cs="Arial"/>
                <w:sz w:val="18"/>
                <w:szCs w:val="18"/>
              </w:rPr>
              <w:t>airspace</w:t>
            </w:r>
            <w:r w:rsidRPr="00FE6A25">
              <w:rPr>
                <w:rFonts w:ascii="Arial" w:hAnsi="Arial" w:cs="Arial"/>
                <w:spacing w:val="-4"/>
                <w:sz w:val="18"/>
                <w:szCs w:val="18"/>
              </w:rPr>
              <w:t xml:space="preserve"> </w:t>
            </w:r>
            <w:r w:rsidRPr="00FE6A25">
              <w:rPr>
                <w:rFonts w:ascii="Arial" w:hAnsi="Arial" w:cs="Arial"/>
                <w:sz w:val="18"/>
                <w:szCs w:val="18"/>
              </w:rPr>
              <w:t>structure</w:t>
            </w:r>
          </w:p>
        </w:tc>
      </w:tr>
      <w:tr w:rsidR="00FE6A25" w:rsidRPr="00FE6A25" w14:paraId="5FC2BB32" w14:textId="77777777" w:rsidTr="00BA1962">
        <w:trPr>
          <w:trHeight w:val="202"/>
        </w:trPr>
        <w:tc>
          <w:tcPr>
            <w:tcW w:w="588" w:type="dxa"/>
          </w:tcPr>
          <w:p w14:paraId="73467B78" w14:textId="77777777" w:rsidR="00FE6A25" w:rsidRPr="00FE6A25" w:rsidRDefault="00FE6A25" w:rsidP="00670AAB">
            <w:pPr>
              <w:pStyle w:val="TableParagraph"/>
              <w:spacing w:line="225" w:lineRule="exact"/>
              <w:ind w:left="86"/>
              <w:rPr>
                <w:rFonts w:ascii="Arial" w:hAnsi="Arial" w:cs="Arial"/>
                <w:sz w:val="18"/>
                <w:szCs w:val="18"/>
              </w:rPr>
            </w:pPr>
            <w:r w:rsidRPr="00FE6A25">
              <w:rPr>
                <w:rFonts w:ascii="Arial" w:hAnsi="Arial" w:cs="Arial"/>
                <w:w w:val="99"/>
                <w:sz w:val="18"/>
                <w:szCs w:val="18"/>
              </w:rPr>
              <w:t>d</w:t>
            </w:r>
          </w:p>
        </w:tc>
        <w:tc>
          <w:tcPr>
            <w:tcW w:w="7350" w:type="dxa"/>
          </w:tcPr>
          <w:p w14:paraId="71FBB103" w14:textId="77777777" w:rsidR="00FE6A25" w:rsidRPr="00FE6A25" w:rsidRDefault="00FE6A25" w:rsidP="00670AAB">
            <w:pPr>
              <w:pStyle w:val="TableParagraph"/>
              <w:spacing w:line="225" w:lineRule="exact"/>
              <w:rPr>
                <w:rFonts w:ascii="Arial" w:hAnsi="Arial" w:cs="Arial"/>
                <w:sz w:val="18"/>
                <w:szCs w:val="18"/>
              </w:rPr>
            </w:pPr>
            <w:r w:rsidRPr="00FE6A25">
              <w:rPr>
                <w:rFonts w:ascii="Arial" w:hAnsi="Arial" w:cs="Arial"/>
                <w:sz w:val="18"/>
                <w:szCs w:val="18"/>
              </w:rPr>
              <w:t>Maintenance</w:t>
            </w:r>
            <w:r w:rsidRPr="00FE6A25">
              <w:rPr>
                <w:rFonts w:ascii="Arial" w:hAnsi="Arial" w:cs="Arial"/>
                <w:spacing w:val="-4"/>
                <w:sz w:val="18"/>
                <w:szCs w:val="18"/>
              </w:rPr>
              <w:t xml:space="preserve"> </w:t>
            </w:r>
            <w:r w:rsidRPr="00FE6A25">
              <w:rPr>
                <w:rFonts w:ascii="Arial" w:hAnsi="Arial" w:cs="Arial"/>
                <w:sz w:val="18"/>
                <w:szCs w:val="18"/>
              </w:rPr>
              <w:t>of</w:t>
            </w:r>
            <w:r w:rsidRPr="00FE6A25">
              <w:rPr>
                <w:rFonts w:ascii="Arial" w:hAnsi="Arial" w:cs="Arial"/>
                <w:spacing w:val="-3"/>
                <w:sz w:val="18"/>
                <w:szCs w:val="18"/>
              </w:rPr>
              <w:t xml:space="preserve"> </w:t>
            </w:r>
            <w:r w:rsidRPr="00FE6A25">
              <w:rPr>
                <w:rFonts w:ascii="Arial" w:hAnsi="Arial" w:cs="Arial"/>
                <w:sz w:val="18"/>
                <w:szCs w:val="18"/>
              </w:rPr>
              <w:t>altitude</w:t>
            </w:r>
          </w:p>
        </w:tc>
      </w:tr>
      <w:tr w:rsidR="00FE6A25" w:rsidRPr="00FE6A25" w14:paraId="6B07B12A" w14:textId="77777777" w:rsidTr="00BA1962">
        <w:trPr>
          <w:trHeight w:val="199"/>
        </w:trPr>
        <w:tc>
          <w:tcPr>
            <w:tcW w:w="588" w:type="dxa"/>
          </w:tcPr>
          <w:p w14:paraId="4C9457C9" w14:textId="77777777" w:rsidR="00FE6A25" w:rsidRPr="00FE6A25" w:rsidRDefault="00FE6A25" w:rsidP="00670AAB">
            <w:pPr>
              <w:pStyle w:val="TableParagraph"/>
              <w:spacing w:line="223" w:lineRule="exact"/>
              <w:ind w:left="86"/>
              <w:rPr>
                <w:rFonts w:ascii="Arial" w:hAnsi="Arial" w:cs="Arial"/>
                <w:sz w:val="18"/>
                <w:szCs w:val="18"/>
              </w:rPr>
            </w:pPr>
            <w:r w:rsidRPr="00FE6A25">
              <w:rPr>
                <w:rFonts w:ascii="Arial" w:hAnsi="Arial" w:cs="Arial"/>
                <w:w w:val="99"/>
                <w:sz w:val="18"/>
                <w:szCs w:val="18"/>
              </w:rPr>
              <w:t>e</w:t>
            </w:r>
          </w:p>
        </w:tc>
        <w:tc>
          <w:tcPr>
            <w:tcW w:w="7350" w:type="dxa"/>
          </w:tcPr>
          <w:p w14:paraId="71F8A610" w14:textId="77777777" w:rsidR="00FE6A25" w:rsidRPr="00FE6A25" w:rsidRDefault="00FE6A25" w:rsidP="00670AAB">
            <w:pPr>
              <w:pStyle w:val="TableParagraph"/>
              <w:spacing w:line="223" w:lineRule="exact"/>
              <w:rPr>
                <w:rFonts w:ascii="Arial" w:hAnsi="Arial" w:cs="Arial"/>
                <w:sz w:val="18"/>
                <w:szCs w:val="18"/>
              </w:rPr>
            </w:pPr>
            <w:r w:rsidRPr="00FE6A25">
              <w:rPr>
                <w:rFonts w:ascii="Arial" w:hAnsi="Arial" w:cs="Arial"/>
                <w:sz w:val="18"/>
                <w:szCs w:val="18"/>
              </w:rPr>
              <w:t>Fuel</w:t>
            </w:r>
            <w:r w:rsidRPr="00FE6A25">
              <w:rPr>
                <w:rFonts w:ascii="Arial" w:hAnsi="Arial" w:cs="Arial"/>
                <w:spacing w:val="-4"/>
                <w:sz w:val="18"/>
                <w:szCs w:val="18"/>
              </w:rPr>
              <w:t xml:space="preserve"> </w:t>
            </w:r>
            <w:r w:rsidRPr="00FE6A25">
              <w:rPr>
                <w:rFonts w:ascii="Arial" w:hAnsi="Arial" w:cs="Arial"/>
                <w:sz w:val="18"/>
                <w:szCs w:val="18"/>
              </w:rPr>
              <w:t>management</w:t>
            </w:r>
          </w:p>
        </w:tc>
      </w:tr>
      <w:tr w:rsidR="00FE6A25" w:rsidRPr="00FE6A25" w14:paraId="723841BB" w14:textId="77777777" w:rsidTr="00BA1962">
        <w:trPr>
          <w:trHeight w:val="202"/>
        </w:trPr>
        <w:tc>
          <w:tcPr>
            <w:tcW w:w="588" w:type="dxa"/>
          </w:tcPr>
          <w:p w14:paraId="2124941E" w14:textId="77777777" w:rsidR="00FE6A25" w:rsidRPr="00FE6A25" w:rsidRDefault="00FE6A25" w:rsidP="00670AAB">
            <w:pPr>
              <w:pStyle w:val="TableParagraph"/>
              <w:spacing w:line="225" w:lineRule="exact"/>
              <w:ind w:left="86"/>
              <w:rPr>
                <w:rFonts w:ascii="Arial" w:hAnsi="Arial" w:cs="Arial"/>
                <w:sz w:val="18"/>
                <w:szCs w:val="18"/>
              </w:rPr>
            </w:pPr>
            <w:r w:rsidRPr="00FE6A25">
              <w:rPr>
                <w:rFonts w:ascii="Arial" w:hAnsi="Arial" w:cs="Arial"/>
                <w:w w:val="99"/>
                <w:sz w:val="18"/>
                <w:szCs w:val="18"/>
              </w:rPr>
              <w:t>f</w:t>
            </w:r>
          </w:p>
        </w:tc>
        <w:tc>
          <w:tcPr>
            <w:tcW w:w="7350" w:type="dxa"/>
          </w:tcPr>
          <w:p w14:paraId="1353001E" w14:textId="77777777" w:rsidR="00FE6A25" w:rsidRPr="00FE6A25" w:rsidRDefault="00FE6A25" w:rsidP="00670AAB">
            <w:pPr>
              <w:pStyle w:val="TableParagraph"/>
              <w:spacing w:line="225" w:lineRule="exact"/>
              <w:rPr>
                <w:rFonts w:ascii="Arial" w:hAnsi="Arial" w:cs="Arial"/>
                <w:sz w:val="18"/>
                <w:szCs w:val="18"/>
              </w:rPr>
            </w:pPr>
            <w:r w:rsidRPr="00FE6A25">
              <w:rPr>
                <w:rFonts w:ascii="Arial" w:hAnsi="Arial" w:cs="Arial"/>
                <w:sz w:val="18"/>
                <w:szCs w:val="18"/>
              </w:rPr>
              <w:t>Communication</w:t>
            </w:r>
            <w:r w:rsidRPr="00FE6A25">
              <w:rPr>
                <w:rFonts w:ascii="Arial" w:hAnsi="Arial" w:cs="Arial"/>
                <w:spacing w:val="-4"/>
                <w:sz w:val="18"/>
                <w:szCs w:val="18"/>
              </w:rPr>
              <w:t xml:space="preserve"> </w:t>
            </w:r>
            <w:r w:rsidRPr="00FE6A25">
              <w:rPr>
                <w:rFonts w:ascii="Arial" w:hAnsi="Arial" w:cs="Arial"/>
                <w:sz w:val="18"/>
                <w:szCs w:val="18"/>
              </w:rPr>
              <w:t>with</w:t>
            </w:r>
            <w:r w:rsidRPr="00FE6A25">
              <w:rPr>
                <w:rFonts w:ascii="Arial" w:hAnsi="Arial" w:cs="Arial"/>
                <w:spacing w:val="-4"/>
                <w:sz w:val="18"/>
                <w:szCs w:val="18"/>
              </w:rPr>
              <w:t xml:space="preserve"> </w:t>
            </w:r>
            <w:r w:rsidRPr="00FE6A25">
              <w:rPr>
                <w:rFonts w:ascii="Arial" w:hAnsi="Arial" w:cs="Arial"/>
                <w:sz w:val="18"/>
                <w:szCs w:val="18"/>
              </w:rPr>
              <w:t>retrieve</w:t>
            </w:r>
            <w:r w:rsidRPr="00FE6A25">
              <w:rPr>
                <w:rFonts w:ascii="Arial" w:hAnsi="Arial" w:cs="Arial"/>
                <w:spacing w:val="-2"/>
                <w:sz w:val="18"/>
                <w:szCs w:val="18"/>
              </w:rPr>
              <w:t xml:space="preserve"> </w:t>
            </w:r>
            <w:r w:rsidRPr="00FE6A25">
              <w:rPr>
                <w:rFonts w:ascii="Arial" w:hAnsi="Arial" w:cs="Arial"/>
                <w:sz w:val="18"/>
                <w:szCs w:val="18"/>
              </w:rPr>
              <w:t>crew</w:t>
            </w:r>
          </w:p>
        </w:tc>
      </w:tr>
      <w:tr w:rsidR="00FE6A25" w:rsidRPr="00FE6A25" w14:paraId="21E050FD" w14:textId="77777777" w:rsidTr="00BA1962">
        <w:trPr>
          <w:trHeight w:val="200"/>
        </w:trPr>
        <w:tc>
          <w:tcPr>
            <w:tcW w:w="588" w:type="dxa"/>
          </w:tcPr>
          <w:p w14:paraId="733EA408" w14:textId="77777777" w:rsidR="00FE6A25" w:rsidRPr="00FE6A25" w:rsidRDefault="00FE6A25" w:rsidP="00670AAB">
            <w:pPr>
              <w:pStyle w:val="TableParagraph"/>
              <w:spacing w:line="223" w:lineRule="exact"/>
              <w:ind w:left="86"/>
              <w:rPr>
                <w:rFonts w:ascii="Arial" w:hAnsi="Arial" w:cs="Arial"/>
                <w:sz w:val="18"/>
                <w:szCs w:val="18"/>
              </w:rPr>
            </w:pPr>
            <w:r w:rsidRPr="00FE6A25">
              <w:rPr>
                <w:rFonts w:ascii="Arial" w:hAnsi="Arial" w:cs="Arial"/>
                <w:w w:val="99"/>
                <w:sz w:val="18"/>
                <w:szCs w:val="18"/>
              </w:rPr>
              <w:t>g</w:t>
            </w:r>
          </w:p>
        </w:tc>
        <w:tc>
          <w:tcPr>
            <w:tcW w:w="7350" w:type="dxa"/>
          </w:tcPr>
          <w:p w14:paraId="4527C5E9" w14:textId="77777777" w:rsidR="00FE6A25" w:rsidRPr="00FE6A25" w:rsidRDefault="00FE6A25" w:rsidP="00670AAB">
            <w:pPr>
              <w:pStyle w:val="TableParagraph"/>
              <w:spacing w:line="223" w:lineRule="exact"/>
              <w:rPr>
                <w:rFonts w:ascii="Arial" w:hAnsi="Arial" w:cs="Arial"/>
                <w:sz w:val="18"/>
                <w:szCs w:val="18"/>
              </w:rPr>
            </w:pPr>
            <w:r w:rsidRPr="00FE6A25">
              <w:rPr>
                <w:rFonts w:ascii="Arial" w:hAnsi="Arial" w:cs="Arial"/>
                <w:sz w:val="18"/>
                <w:szCs w:val="18"/>
              </w:rPr>
              <w:t>ATC</w:t>
            </w:r>
            <w:r w:rsidRPr="00FE6A25">
              <w:rPr>
                <w:rFonts w:ascii="Arial" w:hAnsi="Arial" w:cs="Arial"/>
                <w:spacing w:val="-3"/>
                <w:sz w:val="18"/>
                <w:szCs w:val="18"/>
              </w:rPr>
              <w:t xml:space="preserve"> </w:t>
            </w:r>
            <w:r w:rsidRPr="00FE6A25">
              <w:rPr>
                <w:rFonts w:ascii="Arial" w:hAnsi="Arial" w:cs="Arial"/>
                <w:sz w:val="18"/>
                <w:szCs w:val="18"/>
              </w:rPr>
              <w:t>compliance</w:t>
            </w:r>
            <w:r w:rsidRPr="00FE6A25">
              <w:rPr>
                <w:rFonts w:ascii="Arial" w:hAnsi="Arial" w:cs="Arial"/>
                <w:spacing w:val="-4"/>
                <w:sz w:val="18"/>
                <w:szCs w:val="18"/>
              </w:rPr>
              <w:t xml:space="preserve"> </w:t>
            </w:r>
            <w:r w:rsidRPr="00FE6A25">
              <w:rPr>
                <w:rFonts w:ascii="Arial" w:hAnsi="Arial" w:cs="Arial"/>
                <w:sz w:val="18"/>
                <w:szCs w:val="18"/>
              </w:rPr>
              <w:t>(if</w:t>
            </w:r>
            <w:r w:rsidRPr="00FE6A25">
              <w:rPr>
                <w:rFonts w:ascii="Arial" w:hAnsi="Arial" w:cs="Arial"/>
                <w:spacing w:val="-1"/>
                <w:sz w:val="18"/>
                <w:szCs w:val="18"/>
              </w:rPr>
              <w:t xml:space="preserve"> </w:t>
            </w:r>
            <w:r w:rsidRPr="00FE6A25">
              <w:rPr>
                <w:rFonts w:ascii="Arial" w:hAnsi="Arial" w:cs="Arial"/>
                <w:sz w:val="18"/>
                <w:szCs w:val="18"/>
              </w:rPr>
              <w:t>applicable)</w:t>
            </w:r>
          </w:p>
        </w:tc>
      </w:tr>
      <w:tr w:rsidR="00FE6A25" w:rsidRPr="00FE6A25" w14:paraId="691765CB" w14:textId="77777777" w:rsidTr="00BA1962">
        <w:trPr>
          <w:trHeight w:val="202"/>
        </w:trPr>
        <w:tc>
          <w:tcPr>
            <w:tcW w:w="7938" w:type="dxa"/>
            <w:gridSpan w:val="2"/>
            <w:shd w:val="clear" w:color="auto" w:fill="F2F2F2" w:themeFill="background1" w:themeFillShade="F2"/>
          </w:tcPr>
          <w:p w14:paraId="358FCF7B" w14:textId="77777777" w:rsidR="00FE6A25" w:rsidRPr="00FE6A25" w:rsidRDefault="00FE6A25" w:rsidP="00670AAB">
            <w:pPr>
              <w:pStyle w:val="TableParagraph"/>
              <w:spacing w:line="225" w:lineRule="exact"/>
              <w:ind w:left="86"/>
              <w:rPr>
                <w:rFonts w:ascii="Arial" w:hAnsi="Arial" w:cs="Arial"/>
                <w:b/>
                <w:sz w:val="18"/>
                <w:szCs w:val="18"/>
              </w:rPr>
            </w:pPr>
            <w:r w:rsidRPr="00FE6A25">
              <w:rPr>
                <w:rFonts w:ascii="Arial" w:hAnsi="Arial" w:cs="Arial"/>
                <w:b/>
                <w:sz w:val="18"/>
                <w:szCs w:val="18"/>
              </w:rPr>
              <w:t>SECTION</w:t>
            </w:r>
            <w:r w:rsidRPr="00FE6A25">
              <w:rPr>
                <w:rFonts w:ascii="Arial" w:hAnsi="Arial" w:cs="Arial"/>
                <w:b/>
                <w:spacing w:val="-4"/>
                <w:sz w:val="18"/>
                <w:szCs w:val="18"/>
              </w:rPr>
              <w:t xml:space="preserve"> </w:t>
            </w:r>
            <w:r w:rsidRPr="00FE6A25">
              <w:rPr>
                <w:rFonts w:ascii="Arial" w:hAnsi="Arial" w:cs="Arial"/>
                <w:b/>
                <w:sz w:val="18"/>
                <w:szCs w:val="18"/>
              </w:rPr>
              <w:t>4:</w:t>
            </w:r>
            <w:r w:rsidRPr="00FE6A25">
              <w:rPr>
                <w:rFonts w:ascii="Arial" w:hAnsi="Arial" w:cs="Arial"/>
                <w:b/>
                <w:spacing w:val="-4"/>
                <w:sz w:val="18"/>
                <w:szCs w:val="18"/>
              </w:rPr>
              <w:t xml:space="preserve"> </w:t>
            </w:r>
            <w:r w:rsidRPr="00FE6A25">
              <w:rPr>
                <w:rFonts w:ascii="Arial" w:hAnsi="Arial" w:cs="Arial"/>
                <w:b/>
                <w:sz w:val="18"/>
                <w:szCs w:val="18"/>
              </w:rPr>
              <w:t>APPROACH</w:t>
            </w:r>
            <w:r w:rsidRPr="00FE6A25">
              <w:rPr>
                <w:rFonts w:ascii="Arial" w:hAnsi="Arial" w:cs="Arial"/>
                <w:b/>
                <w:spacing w:val="-2"/>
                <w:sz w:val="18"/>
                <w:szCs w:val="18"/>
              </w:rPr>
              <w:t xml:space="preserve"> </w:t>
            </w:r>
            <w:r w:rsidRPr="00FE6A25">
              <w:rPr>
                <w:rFonts w:ascii="Arial" w:hAnsi="Arial" w:cs="Arial"/>
                <w:b/>
                <w:sz w:val="18"/>
                <w:szCs w:val="18"/>
              </w:rPr>
              <w:t>AND</w:t>
            </w:r>
            <w:r w:rsidRPr="00FE6A25">
              <w:rPr>
                <w:rFonts w:ascii="Arial" w:hAnsi="Arial" w:cs="Arial"/>
                <w:b/>
                <w:spacing w:val="-5"/>
                <w:sz w:val="18"/>
                <w:szCs w:val="18"/>
              </w:rPr>
              <w:t xml:space="preserve"> </w:t>
            </w:r>
            <w:r w:rsidRPr="00FE6A25">
              <w:rPr>
                <w:rFonts w:ascii="Arial" w:hAnsi="Arial" w:cs="Arial"/>
                <w:b/>
                <w:sz w:val="18"/>
                <w:szCs w:val="18"/>
              </w:rPr>
              <w:t>LANDING</w:t>
            </w:r>
            <w:r w:rsidRPr="00FE6A25">
              <w:rPr>
                <w:rFonts w:ascii="Arial" w:hAnsi="Arial" w:cs="Arial"/>
                <w:b/>
                <w:spacing w:val="-4"/>
                <w:sz w:val="18"/>
                <w:szCs w:val="18"/>
              </w:rPr>
              <w:t xml:space="preserve"> </w:t>
            </w:r>
            <w:r w:rsidRPr="00FE6A25">
              <w:rPr>
                <w:rFonts w:ascii="Arial" w:hAnsi="Arial" w:cs="Arial"/>
                <w:b/>
                <w:sz w:val="18"/>
                <w:szCs w:val="18"/>
              </w:rPr>
              <w:t>PROCEDURES</w:t>
            </w:r>
          </w:p>
        </w:tc>
      </w:tr>
      <w:tr w:rsidR="00FE6A25" w:rsidRPr="00FE6A25" w14:paraId="17227A6B" w14:textId="77777777" w:rsidTr="00BA1962">
        <w:trPr>
          <w:trHeight w:val="199"/>
        </w:trPr>
        <w:tc>
          <w:tcPr>
            <w:tcW w:w="588" w:type="dxa"/>
          </w:tcPr>
          <w:p w14:paraId="41A8FADB" w14:textId="77777777" w:rsidR="00FE6A25" w:rsidRPr="00FE6A25" w:rsidRDefault="00FE6A25" w:rsidP="00670AAB">
            <w:pPr>
              <w:pStyle w:val="TableParagraph"/>
              <w:spacing w:line="223" w:lineRule="exact"/>
              <w:ind w:left="86"/>
              <w:rPr>
                <w:rFonts w:ascii="Arial" w:hAnsi="Arial" w:cs="Arial"/>
                <w:sz w:val="18"/>
                <w:szCs w:val="18"/>
              </w:rPr>
            </w:pPr>
            <w:r w:rsidRPr="00FE6A25">
              <w:rPr>
                <w:rFonts w:ascii="Arial" w:hAnsi="Arial" w:cs="Arial"/>
                <w:w w:val="99"/>
                <w:sz w:val="18"/>
                <w:szCs w:val="18"/>
              </w:rPr>
              <w:t>a</w:t>
            </w:r>
          </w:p>
        </w:tc>
        <w:tc>
          <w:tcPr>
            <w:tcW w:w="7350" w:type="dxa"/>
          </w:tcPr>
          <w:p w14:paraId="0AAC82CC" w14:textId="77777777" w:rsidR="00FE6A25" w:rsidRPr="00FE6A25" w:rsidRDefault="00FE6A25" w:rsidP="00670AAB">
            <w:pPr>
              <w:pStyle w:val="TableParagraph"/>
              <w:spacing w:line="223" w:lineRule="exact"/>
              <w:rPr>
                <w:rFonts w:ascii="Arial" w:hAnsi="Arial" w:cs="Arial"/>
                <w:sz w:val="18"/>
                <w:szCs w:val="18"/>
              </w:rPr>
            </w:pPr>
            <w:r w:rsidRPr="00FE6A25">
              <w:rPr>
                <w:rFonts w:ascii="Arial" w:hAnsi="Arial" w:cs="Arial"/>
                <w:sz w:val="18"/>
                <w:szCs w:val="18"/>
              </w:rPr>
              <w:t>Approach</w:t>
            </w:r>
            <w:r w:rsidRPr="00FE6A25">
              <w:rPr>
                <w:rFonts w:ascii="Arial" w:hAnsi="Arial" w:cs="Arial"/>
                <w:spacing w:val="-2"/>
                <w:sz w:val="18"/>
                <w:szCs w:val="18"/>
              </w:rPr>
              <w:t xml:space="preserve"> </w:t>
            </w:r>
            <w:r w:rsidRPr="00FE6A25">
              <w:rPr>
                <w:rFonts w:ascii="Arial" w:hAnsi="Arial" w:cs="Arial"/>
                <w:sz w:val="18"/>
                <w:szCs w:val="18"/>
              </w:rPr>
              <w:t>from</w:t>
            </w:r>
            <w:r w:rsidRPr="00FE6A25">
              <w:rPr>
                <w:rFonts w:ascii="Arial" w:hAnsi="Arial" w:cs="Arial"/>
                <w:spacing w:val="-2"/>
                <w:sz w:val="18"/>
                <w:szCs w:val="18"/>
              </w:rPr>
              <w:t xml:space="preserve"> </w:t>
            </w:r>
            <w:r w:rsidRPr="00FE6A25">
              <w:rPr>
                <w:rFonts w:ascii="Arial" w:hAnsi="Arial" w:cs="Arial"/>
                <w:sz w:val="18"/>
                <w:szCs w:val="18"/>
              </w:rPr>
              <w:t>low</w:t>
            </w:r>
            <w:r w:rsidRPr="00FE6A25">
              <w:rPr>
                <w:rFonts w:ascii="Arial" w:hAnsi="Arial" w:cs="Arial"/>
                <w:spacing w:val="-3"/>
                <w:sz w:val="18"/>
                <w:szCs w:val="18"/>
              </w:rPr>
              <w:t xml:space="preserve"> </w:t>
            </w:r>
            <w:r w:rsidRPr="00FE6A25">
              <w:rPr>
                <w:rFonts w:ascii="Arial" w:hAnsi="Arial" w:cs="Arial"/>
                <w:sz w:val="18"/>
                <w:szCs w:val="18"/>
              </w:rPr>
              <w:t>level,</w:t>
            </w:r>
            <w:r w:rsidRPr="00FE6A25">
              <w:rPr>
                <w:rFonts w:ascii="Arial" w:hAnsi="Arial" w:cs="Arial"/>
                <w:spacing w:val="-2"/>
                <w:sz w:val="18"/>
                <w:szCs w:val="18"/>
              </w:rPr>
              <w:t xml:space="preserve"> </w:t>
            </w:r>
            <w:r w:rsidRPr="00FE6A25">
              <w:rPr>
                <w:rFonts w:ascii="Arial" w:hAnsi="Arial" w:cs="Arial"/>
                <w:sz w:val="18"/>
                <w:szCs w:val="18"/>
              </w:rPr>
              <w:t>missed</w:t>
            </w:r>
            <w:r w:rsidRPr="00FE6A25">
              <w:rPr>
                <w:rFonts w:ascii="Arial" w:hAnsi="Arial" w:cs="Arial"/>
                <w:spacing w:val="-2"/>
                <w:sz w:val="18"/>
                <w:szCs w:val="18"/>
              </w:rPr>
              <w:t xml:space="preserve"> </w:t>
            </w:r>
            <w:r w:rsidRPr="00FE6A25">
              <w:rPr>
                <w:rFonts w:ascii="Arial" w:hAnsi="Arial" w:cs="Arial"/>
                <w:sz w:val="18"/>
                <w:szCs w:val="18"/>
              </w:rPr>
              <w:t>approach</w:t>
            </w:r>
            <w:r w:rsidRPr="00FE6A25">
              <w:rPr>
                <w:rFonts w:ascii="Arial" w:hAnsi="Arial" w:cs="Arial"/>
                <w:spacing w:val="-1"/>
                <w:sz w:val="18"/>
                <w:szCs w:val="18"/>
              </w:rPr>
              <w:t xml:space="preserve"> </w:t>
            </w:r>
            <w:r w:rsidRPr="00FE6A25">
              <w:rPr>
                <w:rFonts w:ascii="Arial" w:hAnsi="Arial" w:cs="Arial"/>
                <w:sz w:val="18"/>
                <w:szCs w:val="18"/>
              </w:rPr>
              <w:t>and</w:t>
            </w:r>
            <w:r w:rsidRPr="00FE6A25">
              <w:rPr>
                <w:rFonts w:ascii="Arial" w:hAnsi="Arial" w:cs="Arial"/>
                <w:spacing w:val="-2"/>
                <w:sz w:val="18"/>
                <w:szCs w:val="18"/>
              </w:rPr>
              <w:t xml:space="preserve"> </w:t>
            </w:r>
            <w:r w:rsidRPr="00FE6A25">
              <w:rPr>
                <w:rFonts w:ascii="Arial" w:hAnsi="Arial" w:cs="Arial"/>
                <w:sz w:val="18"/>
                <w:szCs w:val="18"/>
              </w:rPr>
              <w:t>fly</w:t>
            </w:r>
            <w:r w:rsidRPr="00FE6A25">
              <w:rPr>
                <w:rFonts w:ascii="Arial" w:hAnsi="Arial" w:cs="Arial"/>
                <w:spacing w:val="-2"/>
                <w:sz w:val="18"/>
                <w:szCs w:val="18"/>
              </w:rPr>
              <w:t xml:space="preserve"> </w:t>
            </w:r>
            <w:r w:rsidRPr="00FE6A25">
              <w:rPr>
                <w:rFonts w:ascii="Arial" w:hAnsi="Arial" w:cs="Arial"/>
                <w:sz w:val="18"/>
                <w:szCs w:val="18"/>
              </w:rPr>
              <w:t>on</w:t>
            </w:r>
          </w:p>
        </w:tc>
      </w:tr>
      <w:tr w:rsidR="00FE6A25" w:rsidRPr="00FE6A25" w14:paraId="0A974B8B" w14:textId="77777777" w:rsidTr="00BA1962">
        <w:trPr>
          <w:trHeight w:val="202"/>
        </w:trPr>
        <w:tc>
          <w:tcPr>
            <w:tcW w:w="588" w:type="dxa"/>
          </w:tcPr>
          <w:p w14:paraId="20BF1817" w14:textId="77777777" w:rsidR="00FE6A25" w:rsidRPr="00FE6A25" w:rsidRDefault="00FE6A25" w:rsidP="00670AAB">
            <w:pPr>
              <w:pStyle w:val="TableParagraph"/>
              <w:spacing w:line="225" w:lineRule="exact"/>
              <w:ind w:left="86"/>
              <w:rPr>
                <w:rFonts w:ascii="Arial" w:hAnsi="Arial" w:cs="Arial"/>
                <w:sz w:val="18"/>
                <w:szCs w:val="18"/>
              </w:rPr>
            </w:pPr>
            <w:r w:rsidRPr="00FE6A25">
              <w:rPr>
                <w:rFonts w:ascii="Arial" w:hAnsi="Arial" w:cs="Arial"/>
                <w:w w:val="99"/>
                <w:sz w:val="18"/>
                <w:szCs w:val="18"/>
              </w:rPr>
              <w:t>b</w:t>
            </w:r>
          </w:p>
        </w:tc>
        <w:tc>
          <w:tcPr>
            <w:tcW w:w="7350" w:type="dxa"/>
          </w:tcPr>
          <w:p w14:paraId="5E0BED31" w14:textId="77777777" w:rsidR="00FE6A25" w:rsidRPr="00FE6A25" w:rsidRDefault="00FE6A25" w:rsidP="00670AAB">
            <w:pPr>
              <w:pStyle w:val="TableParagraph"/>
              <w:spacing w:line="225" w:lineRule="exact"/>
              <w:rPr>
                <w:rFonts w:ascii="Arial" w:hAnsi="Arial" w:cs="Arial"/>
                <w:sz w:val="18"/>
                <w:szCs w:val="18"/>
              </w:rPr>
            </w:pPr>
            <w:r w:rsidRPr="00FE6A25">
              <w:rPr>
                <w:rFonts w:ascii="Arial" w:hAnsi="Arial" w:cs="Arial"/>
                <w:sz w:val="18"/>
                <w:szCs w:val="18"/>
              </w:rPr>
              <w:t>Approach</w:t>
            </w:r>
            <w:r w:rsidRPr="00FE6A25">
              <w:rPr>
                <w:rFonts w:ascii="Arial" w:hAnsi="Arial" w:cs="Arial"/>
                <w:spacing w:val="-2"/>
                <w:sz w:val="18"/>
                <w:szCs w:val="18"/>
              </w:rPr>
              <w:t xml:space="preserve"> </w:t>
            </w:r>
            <w:r w:rsidRPr="00FE6A25">
              <w:rPr>
                <w:rFonts w:ascii="Arial" w:hAnsi="Arial" w:cs="Arial"/>
                <w:sz w:val="18"/>
                <w:szCs w:val="18"/>
              </w:rPr>
              <w:t>from</w:t>
            </w:r>
            <w:r w:rsidRPr="00FE6A25">
              <w:rPr>
                <w:rFonts w:ascii="Arial" w:hAnsi="Arial" w:cs="Arial"/>
                <w:spacing w:val="-3"/>
                <w:sz w:val="18"/>
                <w:szCs w:val="18"/>
              </w:rPr>
              <w:t xml:space="preserve"> </w:t>
            </w:r>
            <w:r w:rsidRPr="00FE6A25">
              <w:rPr>
                <w:rFonts w:ascii="Arial" w:hAnsi="Arial" w:cs="Arial"/>
                <w:sz w:val="18"/>
                <w:szCs w:val="18"/>
              </w:rPr>
              <w:t>high</w:t>
            </w:r>
            <w:r w:rsidRPr="00FE6A25">
              <w:rPr>
                <w:rFonts w:ascii="Arial" w:hAnsi="Arial" w:cs="Arial"/>
                <w:spacing w:val="-1"/>
                <w:sz w:val="18"/>
                <w:szCs w:val="18"/>
              </w:rPr>
              <w:t xml:space="preserve"> </w:t>
            </w:r>
            <w:r w:rsidRPr="00FE6A25">
              <w:rPr>
                <w:rFonts w:ascii="Arial" w:hAnsi="Arial" w:cs="Arial"/>
                <w:sz w:val="18"/>
                <w:szCs w:val="18"/>
              </w:rPr>
              <w:t>level,</w:t>
            </w:r>
            <w:r w:rsidRPr="00FE6A25">
              <w:rPr>
                <w:rFonts w:ascii="Arial" w:hAnsi="Arial" w:cs="Arial"/>
                <w:spacing w:val="-2"/>
                <w:sz w:val="18"/>
                <w:szCs w:val="18"/>
              </w:rPr>
              <w:t xml:space="preserve"> </w:t>
            </w:r>
            <w:r w:rsidRPr="00FE6A25">
              <w:rPr>
                <w:rFonts w:ascii="Arial" w:hAnsi="Arial" w:cs="Arial"/>
                <w:sz w:val="18"/>
                <w:szCs w:val="18"/>
              </w:rPr>
              <w:t>missed</w:t>
            </w:r>
            <w:r w:rsidRPr="00FE6A25">
              <w:rPr>
                <w:rFonts w:ascii="Arial" w:hAnsi="Arial" w:cs="Arial"/>
                <w:spacing w:val="-2"/>
                <w:sz w:val="18"/>
                <w:szCs w:val="18"/>
              </w:rPr>
              <w:t xml:space="preserve"> </w:t>
            </w:r>
            <w:r w:rsidRPr="00FE6A25">
              <w:rPr>
                <w:rFonts w:ascii="Arial" w:hAnsi="Arial" w:cs="Arial"/>
                <w:sz w:val="18"/>
                <w:szCs w:val="18"/>
              </w:rPr>
              <w:t>approach</w:t>
            </w:r>
            <w:r w:rsidRPr="00FE6A25">
              <w:rPr>
                <w:rFonts w:ascii="Arial" w:hAnsi="Arial" w:cs="Arial"/>
                <w:spacing w:val="-1"/>
                <w:sz w:val="18"/>
                <w:szCs w:val="18"/>
              </w:rPr>
              <w:t xml:space="preserve"> </w:t>
            </w:r>
            <w:r w:rsidRPr="00FE6A25">
              <w:rPr>
                <w:rFonts w:ascii="Arial" w:hAnsi="Arial" w:cs="Arial"/>
                <w:sz w:val="18"/>
                <w:szCs w:val="18"/>
              </w:rPr>
              <w:t>and</w:t>
            </w:r>
            <w:r w:rsidRPr="00FE6A25">
              <w:rPr>
                <w:rFonts w:ascii="Arial" w:hAnsi="Arial" w:cs="Arial"/>
                <w:spacing w:val="-2"/>
                <w:sz w:val="18"/>
                <w:szCs w:val="18"/>
              </w:rPr>
              <w:t xml:space="preserve"> </w:t>
            </w:r>
            <w:r w:rsidRPr="00FE6A25">
              <w:rPr>
                <w:rFonts w:ascii="Arial" w:hAnsi="Arial" w:cs="Arial"/>
                <w:sz w:val="18"/>
                <w:szCs w:val="18"/>
              </w:rPr>
              <w:t>fly</w:t>
            </w:r>
            <w:r w:rsidRPr="00FE6A25">
              <w:rPr>
                <w:rFonts w:ascii="Arial" w:hAnsi="Arial" w:cs="Arial"/>
                <w:spacing w:val="-2"/>
                <w:sz w:val="18"/>
                <w:szCs w:val="18"/>
              </w:rPr>
              <w:t xml:space="preserve"> </w:t>
            </w:r>
            <w:r w:rsidRPr="00FE6A25">
              <w:rPr>
                <w:rFonts w:ascii="Arial" w:hAnsi="Arial" w:cs="Arial"/>
                <w:sz w:val="18"/>
                <w:szCs w:val="18"/>
              </w:rPr>
              <w:t>on</w:t>
            </w:r>
          </w:p>
        </w:tc>
      </w:tr>
      <w:tr w:rsidR="00FE6A25" w:rsidRPr="00FE6A25" w14:paraId="1A31933D" w14:textId="77777777" w:rsidTr="00BA1962">
        <w:trPr>
          <w:trHeight w:val="199"/>
        </w:trPr>
        <w:tc>
          <w:tcPr>
            <w:tcW w:w="588" w:type="dxa"/>
          </w:tcPr>
          <w:p w14:paraId="6939C5B2" w14:textId="77777777" w:rsidR="00FE6A25" w:rsidRPr="00FE6A25" w:rsidRDefault="00FE6A25" w:rsidP="00670AAB">
            <w:pPr>
              <w:pStyle w:val="TableParagraph"/>
              <w:spacing w:line="223" w:lineRule="exact"/>
              <w:ind w:left="86"/>
              <w:rPr>
                <w:rFonts w:ascii="Arial" w:hAnsi="Arial" w:cs="Arial"/>
                <w:sz w:val="18"/>
                <w:szCs w:val="18"/>
              </w:rPr>
            </w:pPr>
            <w:r w:rsidRPr="00FE6A25">
              <w:rPr>
                <w:rFonts w:ascii="Arial" w:hAnsi="Arial" w:cs="Arial"/>
                <w:w w:val="99"/>
                <w:sz w:val="18"/>
                <w:szCs w:val="18"/>
              </w:rPr>
              <w:t>c</w:t>
            </w:r>
          </w:p>
        </w:tc>
        <w:tc>
          <w:tcPr>
            <w:tcW w:w="7350" w:type="dxa"/>
          </w:tcPr>
          <w:p w14:paraId="68623253" w14:textId="77777777" w:rsidR="00FE6A25" w:rsidRPr="00FE6A25" w:rsidRDefault="00FE6A25" w:rsidP="00670AAB">
            <w:pPr>
              <w:pStyle w:val="TableParagraph"/>
              <w:spacing w:line="223" w:lineRule="exact"/>
              <w:rPr>
                <w:rFonts w:ascii="Arial" w:hAnsi="Arial" w:cs="Arial"/>
                <w:sz w:val="18"/>
                <w:szCs w:val="18"/>
              </w:rPr>
            </w:pPr>
            <w:r w:rsidRPr="00FE6A25">
              <w:rPr>
                <w:rFonts w:ascii="Arial" w:hAnsi="Arial" w:cs="Arial"/>
                <w:sz w:val="18"/>
                <w:szCs w:val="18"/>
              </w:rPr>
              <w:t>Pre-landing</w:t>
            </w:r>
            <w:r w:rsidRPr="00FE6A25">
              <w:rPr>
                <w:rFonts w:ascii="Arial" w:hAnsi="Arial" w:cs="Arial"/>
                <w:spacing w:val="-3"/>
                <w:sz w:val="18"/>
                <w:szCs w:val="18"/>
              </w:rPr>
              <w:t xml:space="preserve"> </w:t>
            </w:r>
            <w:r w:rsidRPr="00FE6A25">
              <w:rPr>
                <w:rFonts w:ascii="Arial" w:hAnsi="Arial" w:cs="Arial"/>
                <w:sz w:val="18"/>
                <w:szCs w:val="18"/>
              </w:rPr>
              <w:t>checks</w:t>
            </w:r>
          </w:p>
        </w:tc>
      </w:tr>
      <w:tr w:rsidR="00FE6A25" w:rsidRPr="00FE6A25" w14:paraId="5D6B9443" w14:textId="77777777" w:rsidTr="00BA1962">
        <w:trPr>
          <w:trHeight w:val="200"/>
        </w:trPr>
        <w:tc>
          <w:tcPr>
            <w:tcW w:w="588" w:type="dxa"/>
          </w:tcPr>
          <w:p w14:paraId="7AEA5303" w14:textId="77777777" w:rsidR="00FE6A25" w:rsidRPr="00FE6A25" w:rsidRDefault="00FE6A25" w:rsidP="00670AAB">
            <w:pPr>
              <w:pStyle w:val="TableParagraph"/>
              <w:spacing w:line="222" w:lineRule="exact"/>
              <w:ind w:left="86"/>
              <w:rPr>
                <w:rFonts w:ascii="Arial" w:hAnsi="Arial" w:cs="Arial"/>
                <w:sz w:val="18"/>
                <w:szCs w:val="18"/>
              </w:rPr>
            </w:pPr>
            <w:r w:rsidRPr="00FE6A25">
              <w:rPr>
                <w:rFonts w:ascii="Arial" w:hAnsi="Arial" w:cs="Arial"/>
                <w:w w:val="99"/>
                <w:sz w:val="18"/>
                <w:szCs w:val="18"/>
              </w:rPr>
              <w:t>d</w:t>
            </w:r>
          </w:p>
        </w:tc>
        <w:tc>
          <w:tcPr>
            <w:tcW w:w="7350" w:type="dxa"/>
          </w:tcPr>
          <w:p w14:paraId="0A7FA1B7" w14:textId="77777777" w:rsidR="00FE6A25" w:rsidRPr="00FE6A25" w:rsidRDefault="00FE6A25" w:rsidP="00670AAB">
            <w:pPr>
              <w:pStyle w:val="TableParagraph"/>
              <w:spacing w:line="222" w:lineRule="exact"/>
              <w:rPr>
                <w:rFonts w:ascii="Arial" w:hAnsi="Arial" w:cs="Arial"/>
                <w:sz w:val="18"/>
                <w:szCs w:val="18"/>
              </w:rPr>
            </w:pPr>
            <w:r w:rsidRPr="00FE6A25">
              <w:rPr>
                <w:rFonts w:ascii="Arial" w:hAnsi="Arial" w:cs="Arial"/>
                <w:sz w:val="18"/>
                <w:szCs w:val="18"/>
              </w:rPr>
              <w:t>Passenger</w:t>
            </w:r>
            <w:r w:rsidRPr="00FE6A25">
              <w:rPr>
                <w:rFonts w:ascii="Arial" w:hAnsi="Arial" w:cs="Arial"/>
                <w:spacing w:val="-3"/>
                <w:sz w:val="18"/>
                <w:szCs w:val="18"/>
              </w:rPr>
              <w:t xml:space="preserve"> </w:t>
            </w:r>
            <w:r w:rsidRPr="00FE6A25">
              <w:rPr>
                <w:rFonts w:ascii="Arial" w:hAnsi="Arial" w:cs="Arial"/>
                <w:sz w:val="18"/>
                <w:szCs w:val="18"/>
              </w:rPr>
              <w:t>pre-landing</w:t>
            </w:r>
            <w:r w:rsidRPr="00FE6A25">
              <w:rPr>
                <w:rFonts w:ascii="Arial" w:hAnsi="Arial" w:cs="Arial"/>
                <w:spacing w:val="-3"/>
                <w:sz w:val="18"/>
                <w:szCs w:val="18"/>
              </w:rPr>
              <w:t xml:space="preserve"> </w:t>
            </w:r>
            <w:r w:rsidRPr="00FE6A25">
              <w:rPr>
                <w:rFonts w:ascii="Arial" w:hAnsi="Arial" w:cs="Arial"/>
                <w:sz w:val="18"/>
                <w:szCs w:val="18"/>
              </w:rPr>
              <w:t>briefing</w:t>
            </w:r>
          </w:p>
        </w:tc>
      </w:tr>
      <w:tr w:rsidR="00FE6A25" w:rsidRPr="00FE6A25" w14:paraId="17415CDF" w14:textId="77777777" w:rsidTr="00BA1962">
        <w:trPr>
          <w:trHeight w:val="202"/>
        </w:trPr>
        <w:tc>
          <w:tcPr>
            <w:tcW w:w="588" w:type="dxa"/>
          </w:tcPr>
          <w:p w14:paraId="0323C3AE" w14:textId="77777777" w:rsidR="00FE6A25" w:rsidRPr="00FE6A25" w:rsidRDefault="00FE6A25" w:rsidP="00670AAB">
            <w:pPr>
              <w:pStyle w:val="TableParagraph"/>
              <w:spacing w:line="225" w:lineRule="exact"/>
              <w:ind w:left="86"/>
              <w:rPr>
                <w:rFonts w:ascii="Arial" w:hAnsi="Arial" w:cs="Arial"/>
                <w:sz w:val="18"/>
                <w:szCs w:val="18"/>
              </w:rPr>
            </w:pPr>
            <w:r w:rsidRPr="00FE6A25">
              <w:rPr>
                <w:rFonts w:ascii="Arial" w:hAnsi="Arial" w:cs="Arial"/>
                <w:w w:val="99"/>
                <w:sz w:val="18"/>
                <w:szCs w:val="18"/>
              </w:rPr>
              <w:t>e</w:t>
            </w:r>
          </w:p>
        </w:tc>
        <w:tc>
          <w:tcPr>
            <w:tcW w:w="7350" w:type="dxa"/>
          </w:tcPr>
          <w:p w14:paraId="0E16AEEC" w14:textId="77777777" w:rsidR="00FE6A25" w:rsidRPr="00FE6A25" w:rsidRDefault="00FE6A25" w:rsidP="00670AAB">
            <w:pPr>
              <w:pStyle w:val="TableParagraph"/>
              <w:spacing w:line="225" w:lineRule="exact"/>
              <w:rPr>
                <w:rFonts w:ascii="Arial" w:hAnsi="Arial" w:cs="Arial"/>
                <w:sz w:val="18"/>
                <w:szCs w:val="18"/>
              </w:rPr>
            </w:pPr>
            <w:r w:rsidRPr="00FE6A25">
              <w:rPr>
                <w:rFonts w:ascii="Arial" w:hAnsi="Arial" w:cs="Arial"/>
                <w:sz w:val="18"/>
                <w:szCs w:val="18"/>
              </w:rPr>
              <w:t>Selection</w:t>
            </w:r>
            <w:r w:rsidRPr="00FE6A25">
              <w:rPr>
                <w:rFonts w:ascii="Arial" w:hAnsi="Arial" w:cs="Arial"/>
                <w:spacing w:val="-3"/>
                <w:sz w:val="18"/>
                <w:szCs w:val="18"/>
              </w:rPr>
              <w:t xml:space="preserve"> </w:t>
            </w:r>
            <w:r w:rsidRPr="00FE6A25">
              <w:rPr>
                <w:rFonts w:ascii="Arial" w:hAnsi="Arial" w:cs="Arial"/>
                <w:sz w:val="18"/>
                <w:szCs w:val="18"/>
              </w:rPr>
              <w:t>of</w:t>
            </w:r>
            <w:r w:rsidRPr="00FE6A25">
              <w:rPr>
                <w:rFonts w:ascii="Arial" w:hAnsi="Arial" w:cs="Arial"/>
                <w:spacing w:val="-4"/>
                <w:sz w:val="18"/>
                <w:szCs w:val="18"/>
              </w:rPr>
              <w:t xml:space="preserve"> </w:t>
            </w:r>
            <w:r w:rsidRPr="00FE6A25">
              <w:rPr>
                <w:rFonts w:ascii="Arial" w:hAnsi="Arial" w:cs="Arial"/>
                <w:sz w:val="18"/>
                <w:szCs w:val="18"/>
              </w:rPr>
              <w:t>landing</w:t>
            </w:r>
            <w:r w:rsidRPr="00FE6A25">
              <w:rPr>
                <w:rFonts w:ascii="Arial" w:hAnsi="Arial" w:cs="Arial"/>
                <w:spacing w:val="-3"/>
                <w:sz w:val="18"/>
                <w:szCs w:val="18"/>
              </w:rPr>
              <w:t xml:space="preserve"> </w:t>
            </w:r>
            <w:r w:rsidRPr="00FE6A25">
              <w:rPr>
                <w:rFonts w:ascii="Arial" w:hAnsi="Arial" w:cs="Arial"/>
                <w:sz w:val="18"/>
                <w:szCs w:val="18"/>
              </w:rPr>
              <w:t>field</w:t>
            </w:r>
          </w:p>
        </w:tc>
      </w:tr>
      <w:tr w:rsidR="00FE6A25" w:rsidRPr="00FE6A25" w14:paraId="7B2F56AF" w14:textId="77777777" w:rsidTr="00BA1962">
        <w:trPr>
          <w:trHeight w:val="200"/>
        </w:trPr>
        <w:tc>
          <w:tcPr>
            <w:tcW w:w="588" w:type="dxa"/>
          </w:tcPr>
          <w:p w14:paraId="419485EB" w14:textId="77777777" w:rsidR="00FE6A25" w:rsidRPr="00FE6A25" w:rsidRDefault="00FE6A25" w:rsidP="00670AAB">
            <w:pPr>
              <w:pStyle w:val="TableParagraph"/>
              <w:spacing w:line="222" w:lineRule="exact"/>
              <w:ind w:left="86"/>
              <w:rPr>
                <w:rFonts w:ascii="Arial" w:hAnsi="Arial" w:cs="Arial"/>
                <w:sz w:val="18"/>
                <w:szCs w:val="18"/>
              </w:rPr>
            </w:pPr>
            <w:r w:rsidRPr="00FE6A25">
              <w:rPr>
                <w:rFonts w:ascii="Arial" w:hAnsi="Arial" w:cs="Arial"/>
                <w:w w:val="99"/>
                <w:sz w:val="18"/>
                <w:szCs w:val="18"/>
              </w:rPr>
              <w:t>f</w:t>
            </w:r>
          </w:p>
        </w:tc>
        <w:tc>
          <w:tcPr>
            <w:tcW w:w="7350" w:type="dxa"/>
          </w:tcPr>
          <w:p w14:paraId="79E256F8" w14:textId="77777777" w:rsidR="00FE6A25" w:rsidRPr="00FE6A25" w:rsidRDefault="00FE6A25" w:rsidP="00670AAB">
            <w:pPr>
              <w:pStyle w:val="TableParagraph"/>
              <w:spacing w:line="222" w:lineRule="exact"/>
              <w:rPr>
                <w:rFonts w:ascii="Arial" w:hAnsi="Arial" w:cs="Arial"/>
                <w:sz w:val="18"/>
                <w:szCs w:val="18"/>
              </w:rPr>
            </w:pPr>
            <w:r w:rsidRPr="00FE6A25">
              <w:rPr>
                <w:rFonts w:ascii="Arial" w:hAnsi="Arial" w:cs="Arial"/>
                <w:sz w:val="18"/>
                <w:szCs w:val="18"/>
              </w:rPr>
              <w:t>Landing,</w:t>
            </w:r>
            <w:r w:rsidRPr="00FE6A25">
              <w:rPr>
                <w:rFonts w:ascii="Arial" w:hAnsi="Arial" w:cs="Arial"/>
                <w:spacing w:val="-3"/>
                <w:sz w:val="18"/>
                <w:szCs w:val="18"/>
              </w:rPr>
              <w:t xml:space="preserve"> </w:t>
            </w:r>
            <w:r w:rsidRPr="00FE6A25">
              <w:rPr>
                <w:rFonts w:ascii="Arial" w:hAnsi="Arial" w:cs="Arial"/>
                <w:sz w:val="18"/>
                <w:szCs w:val="18"/>
              </w:rPr>
              <w:t>dragging</w:t>
            </w:r>
            <w:r w:rsidRPr="00FE6A25">
              <w:rPr>
                <w:rFonts w:ascii="Arial" w:hAnsi="Arial" w:cs="Arial"/>
                <w:spacing w:val="-4"/>
                <w:sz w:val="18"/>
                <w:szCs w:val="18"/>
              </w:rPr>
              <w:t xml:space="preserve"> </w:t>
            </w:r>
            <w:r w:rsidRPr="00FE6A25">
              <w:rPr>
                <w:rFonts w:ascii="Arial" w:hAnsi="Arial" w:cs="Arial"/>
                <w:sz w:val="18"/>
                <w:szCs w:val="18"/>
              </w:rPr>
              <w:t>and</w:t>
            </w:r>
            <w:r w:rsidRPr="00FE6A25">
              <w:rPr>
                <w:rFonts w:ascii="Arial" w:hAnsi="Arial" w:cs="Arial"/>
                <w:spacing w:val="-3"/>
                <w:sz w:val="18"/>
                <w:szCs w:val="18"/>
              </w:rPr>
              <w:t xml:space="preserve"> </w:t>
            </w:r>
            <w:r w:rsidRPr="00FE6A25">
              <w:rPr>
                <w:rFonts w:ascii="Arial" w:hAnsi="Arial" w:cs="Arial"/>
                <w:sz w:val="18"/>
                <w:szCs w:val="18"/>
              </w:rPr>
              <w:t>deflation</w:t>
            </w:r>
          </w:p>
        </w:tc>
      </w:tr>
      <w:tr w:rsidR="00FE6A25" w:rsidRPr="00FE6A25" w14:paraId="472EE54E" w14:textId="77777777" w:rsidTr="00BA1962">
        <w:trPr>
          <w:trHeight w:val="202"/>
        </w:trPr>
        <w:tc>
          <w:tcPr>
            <w:tcW w:w="588" w:type="dxa"/>
          </w:tcPr>
          <w:p w14:paraId="621D7BAC" w14:textId="77777777" w:rsidR="00FE6A25" w:rsidRPr="00FE6A25" w:rsidRDefault="00FE6A25" w:rsidP="00670AAB">
            <w:pPr>
              <w:pStyle w:val="TableParagraph"/>
              <w:spacing w:line="225" w:lineRule="exact"/>
              <w:ind w:left="86"/>
              <w:rPr>
                <w:rFonts w:ascii="Arial" w:hAnsi="Arial" w:cs="Arial"/>
                <w:sz w:val="18"/>
                <w:szCs w:val="18"/>
              </w:rPr>
            </w:pPr>
            <w:r w:rsidRPr="00FE6A25">
              <w:rPr>
                <w:rFonts w:ascii="Arial" w:hAnsi="Arial" w:cs="Arial"/>
                <w:w w:val="99"/>
                <w:sz w:val="18"/>
                <w:szCs w:val="18"/>
              </w:rPr>
              <w:t>g</w:t>
            </w:r>
          </w:p>
        </w:tc>
        <w:tc>
          <w:tcPr>
            <w:tcW w:w="7350" w:type="dxa"/>
          </w:tcPr>
          <w:p w14:paraId="201E5851" w14:textId="77777777" w:rsidR="00FE6A25" w:rsidRPr="00FE6A25" w:rsidRDefault="00FE6A25" w:rsidP="00670AAB">
            <w:pPr>
              <w:pStyle w:val="TableParagraph"/>
              <w:spacing w:line="225" w:lineRule="exact"/>
              <w:rPr>
                <w:rFonts w:ascii="Arial" w:hAnsi="Arial" w:cs="Arial"/>
                <w:sz w:val="18"/>
                <w:szCs w:val="18"/>
              </w:rPr>
            </w:pPr>
            <w:r w:rsidRPr="00FE6A25">
              <w:rPr>
                <w:rFonts w:ascii="Arial" w:hAnsi="Arial" w:cs="Arial"/>
                <w:sz w:val="18"/>
                <w:szCs w:val="18"/>
              </w:rPr>
              <w:t>ATC</w:t>
            </w:r>
            <w:r w:rsidRPr="00FE6A25">
              <w:rPr>
                <w:rFonts w:ascii="Arial" w:hAnsi="Arial" w:cs="Arial"/>
                <w:spacing w:val="-3"/>
                <w:sz w:val="18"/>
                <w:szCs w:val="18"/>
              </w:rPr>
              <w:t xml:space="preserve"> </w:t>
            </w:r>
            <w:r w:rsidRPr="00FE6A25">
              <w:rPr>
                <w:rFonts w:ascii="Arial" w:hAnsi="Arial" w:cs="Arial"/>
                <w:sz w:val="18"/>
                <w:szCs w:val="18"/>
              </w:rPr>
              <w:t>compliance</w:t>
            </w:r>
            <w:r w:rsidRPr="00FE6A25">
              <w:rPr>
                <w:rFonts w:ascii="Arial" w:hAnsi="Arial" w:cs="Arial"/>
                <w:spacing w:val="-4"/>
                <w:sz w:val="18"/>
                <w:szCs w:val="18"/>
              </w:rPr>
              <w:t xml:space="preserve"> </w:t>
            </w:r>
            <w:r w:rsidRPr="00FE6A25">
              <w:rPr>
                <w:rFonts w:ascii="Arial" w:hAnsi="Arial" w:cs="Arial"/>
                <w:sz w:val="18"/>
                <w:szCs w:val="18"/>
              </w:rPr>
              <w:t>(if</w:t>
            </w:r>
            <w:r w:rsidRPr="00FE6A25">
              <w:rPr>
                <w:rFonts w:ascii="Arial" w:hAnsi="Arial" w:cs="Arial"/>
                <w:spacing w:val="-3"/>
                <w:sz w:val="18"/>
                <w:szCs w:val="18"/>
              </w:rPr>
              <w:t xml:space="preserve"> </w:t>
            </w:r>
            <w:r w:rsidRPr="00FE6A25">
              <w:rPr>
                <w:rFonts w:ascii="Arial" w:hAnsi="Arial" w:cs="Arial"/>
                <w:sz w:val="18"/>
                <w:szCs w:val="18"/>
              </w:rPr>
              <w:t>applicable)</w:t>
            </w:r>
          </w:p>
        </w:tc>
      </w:tr>
      <w:tr w:rsidR="00FE6A25" w:rsidRPr="00FE6A25" w14:paraId="4905B5B1" w14:textId="77777777" w:rsidTr="00BA1962">
        <w:trPr>
          <w:trHeight w:val="444"/>
        </w:trPr>
        <w:tc>
          <w:tcPr>
            <w:tcW w:w="588" w:type="dxa"/>
          </w:tcPr>
          <w:p w14:paraId="6D1FBEEB" w14:textId="77777777" w:rsidR="00FE6A25" w:rsidRPr="00FE6A25" w:rsidRDefault="00FE6A25" w:rsidP="00670AAB">
            <w:pPr>
              <w:pStyle w:val="TableParagraph"/>
              <w:ind w:left="86"/>
              <w:rPr>
                <w:rFonts w:ascii="Arial" w:hAnsi="Arial" w:cs="Arial"/>
                <w:sz w:val="18"/>
                <w:szCs w:val="18"/>
              </w:rPr>
            </w:pPr>
            <w:r w:rsidRPr="00FE6A25">
              <w:rPr>
                <w:rFonts w:ascii="Arial" w:hAnsi="Arial" w:cs="Arial"/>
                <w:w w:val="99"/>
                <w:sz w:val="18"/>
                <w:szCs w:val="18"/>
              </w:rPr>
              <w:t>h</w:t>
            </w:r>
          </w:p>
        </w:tc>
        <w:tc>
          <w:tcPr>
            <w:tcW w:w="7350" w:type="dxa"/>
          </w:tcPr>
          <w:p w14:paraId="75EC388D" w14:textId="77777777" w:rsidR="00FE6A25" w:rsidRPr="00FE6A25" w:rsidRDefault="00FE6A25" w:rsidP="00670AAB">
            <w:pPr>
              <w:pStyle w:val="TableParagraph"/>
              <w:spacing w:line="243" w:lineRule="exact"/>
              <w:rPr>
                <w:rFonts w:ascii="Arial" w:hAnsi="Arial" w:cs="Arial"/>
                <w:sz w:val="18"/>
                <w:szCs w:val="18"/>
              </w:rPr>
            </w:pPr>
            <w:r w:rsidRPr="00FE6A25">
              <w:rPr>
                <w:rFonts w:ascii="Arial" w:hAnsi="Arial" w:cs="Arial"/>
                <w:sz w:val="18"/>
                <w:szCs w:val="18"/>
              </w:rPr>
              <w:t>Actions</w:t>
            </w:r>
            <w:r w:rsidRPr="00FE6A25">
              <w:rPr>
                <w:rFonts w:ascii="Arial" w:hAnsi="Arial" w:cs="Arial"/>
                <w:spacing w:val="-5"/>
                <w:sz w:val="18"/>
                <w:szCs w:val="18"/>
              </w:rPr>
              <w:t xml:space="preserve"> </w:t>
            </w:r>
            <w:r w:rsidRPr="00FE6A25">
              <w:rPr>
                <w:rFonts w:ascii="Arial" w:hAnsi="Arial" w:cs="Arial"/>
                <w:sz w:val="18"/>
                <w:szCs w:val="18"/>
              </w:rPr>
              <w:t>after flight</w:t>
            </w:r>
            <w:r w:rsidRPr="00FE6A25">
              <w:rPr>
                <w:rFonts w:ascii="Arial" w:hAnsi="Arial" w:cs="Arial"/>
                <w:spacing w:val="-3"/>
                <w:sz w:val="18"/>
                <w:szCs w:val="18"/>
              </w:rPr>
              <w:t xml:space="preserve"> </w:t>
            </w:r>
            <w:r w:rsidRPr="00FE6A25">
              <w:rPr>
                <w:rFonts w:ascii="Arial" w:hAnsi="Arial" w:cs="Arial"/>
                <w:sz w:val="18"/>
                <w:szCs w:val="18"/>
              </w:rPr>
              <w:t>(recording of</w:t>
            </w:r>
            <w:r w:rsidRPr="00FE6A25">
              <w:rPr>
                <w:rFonts w:ascii="Arial" w:hAnsi="Arial" w:cs="Arial"/>
                <w:spacing w:val="-4"/>
                <w:sz w:val="18"/>
                <w:szCs w:val="18"/>
              </w:rPr>
              <w:t xml:space="preserve"> </w:t>
            </w:r>
            <w:r w:rsidRPr="00FE6A25">
              <w:rPr>
                <w:rFonts w:ascii="Arial" w:hAnsi="Arial" w:cs="Arial"/>
                <w:sz w:val="18"/>
                <w:szCs w:val="18"/>
              </w:rPr>
              <w:t>the</w:t>
            </w:r>
            <w:r w:rsidRPr="00FE6A25">
              <w:rPr>
                <w:rFonts w:ascii="Arial" w:hAnsi="Arial" w:cs="Arial"/>
                <w:spacing w:val="-4"/>
                <w:sz w:val="18"/>
                <w:szCs w:val="18"/>
              </w:rPr>
              <w:t xml:space="preserve"> </w:t>
            </w:r>
            <w:r w:rsidRPr="00FE6A25">
              <w:rPr>
                <w:rFonts w:ascii="Arial" w:hAnsi="Arial" w:cs="Arial"/>
                <w:sz w:val="18"/>
                <w:szCs w:val="18"/>
              </w:rPr>
              <w:t>flight,</w:t>
            </w:r>
            <w:r w:rsidRPr="00FE6A25">
              <w:rPr>
                <w:rFonts w:ascii="Arial" w:hAnsi="Arial" w:cs="Arial"/>
                <w:spacing w:val="-2"/>
                <w:sz w:val="18"/>
                <w:szCs w:val="18"/>
              </w:rPr>
              <w:t xml:space="preserve"> </w:t>
            </w:r>
            <w:r w:rsidRPr="00FE6A25">
              <w:rPr>
                <w:rFonts w:ascii="Arial" w:hAnsi="Arial" w:cs="Arial"/>
                <w:sz w:val="18"/>
                <w:szCs w:val="18"/>
              </w:rPr>
              <w:t>closing</w:t>
            </w:r>
            <w:r w:rsidRPr="00FE6A25">
              <w:rPr>
                <w:rFonts w:ascii="Arial" w:hAnsi="Arial" w:cs="Arial"/>
                <w:spacing w:val="-3"/>
                <w:sz w:val="18"/>
                <w:szCs w:val="18"/>
              </w:rPr>
              <w:t xml:space="preserve"> </w:t>
            </w:r>
            <w:r w:rsidRPr="00FE6A25">
              <w:rPr>
                <w:rFonts w:ascii="Arial" w:hAnsi="Arial" w:cs="Arial"/>
                <w:sz w:val="18"/>
                <w:szCs w:val="18"/>
              </w:rPr>
              <w:t>flight</w:t>
            </w:r>
            <w:r w:rsidRPr="00FE6A25">
              <w:rPr>
                <w:rFonts w:ascii="Arial" w:hAnsi="Arial" w:cs="Arial"/>
                <w:spacing w:val="-3"/>
                <w:sz w:val="18"/>
                <w:szCs w:val="18"/>
              </w:rPr>
              <w:t xml:space="preserve"> </w:t>
            </w:r>
            <w:r w:rsidRPr="00FE6A25">
              <w:rPr>
                <w:rFonts w:ascii="Arial" w:hAnsi="Arial" w:cs="Arial"/>
                <w:sz w:val="18"/>
                <w:szCs w:val="18"/>
              </w:rPr>
              <w:t>plan</w:t>
            </w:r>
            <w:r w:rsidRPr="00FE6A25">
              <w:rPr>
                <w:rFonts w:ascii="Arial" w:hAnsi="Arial" w:cs="Arial"/>
                <w:spacing w:val="-2"/>
                <w:sz w:val="18"/>
                <w:szCs w:val="18"/>
              </w:rPr>
              <w:t xml:space="preserve"> </w:t>
            </w:r>
            <w:r w:rsidRPr="00FE6A25">
              <w:rPr>
                <w:rFonts w:ascii="Arial" w:hAnsi="Arial" w:cs="Arial"/>
                <w:sz w:val="18"/>
                <w:szCs w:val="18"/>
              </w:rPr>
              <w:t>(if</w:t>
            </w:r>
            <w:r w:rsidRPr="00FE6A25">
              <w:rPr>
                <w:rFonts w:ascii="Arial" w:hAnsi="Arial" w:cs="Arial"/>
                <w:spacing w:val="-4"/>
                <w:sz w:val="18"/>
                <w:szCs w:val="18"/>
              </w:rPr>
              <w:t xml:space="preserve"> </w:t>
            </w:r>
            <w:r w:rsidRPr="00FE6A25">
              <w:rPr>
                <w:rFonts w:ascii="Arial" w:hAnsi="Arial" w:cs="Arial"/>
                <w:sz w:val="18"/>
                <w:szCs w:val="18"/>
              </w:rPr>
              <w:t>applicable),</w:t>
            </w:r>
            <w:r w:rsidRPr="00FE6A25">
              <w:rPr>
                <w:rFonts w:ascii="Arial" w:hAnsi="Arial" w:cs="Arial"/>
                <w:spacing w:val="-3"/>
                <w:sz w:val="18"/>
                <w:szCs w:val="18"/>
              </w:rPr>
              <w:t xml:space="preserve"> </w:t>
            </w:r>
            <w:r w:rsidRPr="00FE6A25">
              <w:rPr>
                <w:rFonts w:ascii="Arial" w:hAnsi="Arial" w:cs="Arial"/>
                <w:sz w:val="18"/>
                <w:szCs w:val="18"/>
              </w:rPr>
              <w:t>briefing</w:t>
            </w:r>
          </w:p>
          <w:p w14:paraId="02426ABE" w14:textId="77777777" w:rsidR="00FE6A25" w:rsidRPr="00FE6A25" w:rsidRDefault="00FE6A25" w:rsidP="00670AAB">
            <w:pPr>
              <w:pStyle w:val="TableParagraph"/>
              <w:spacing w:line="224" w:lineRule="exact"/>
              <w:rPr>
                <w:rFonts w:ascii="Arial" w:hAnsi="Arial" w:cs="Arial"/>
                <w:sz w:val="18"/>
                <w:szCs w:val="18"/>
              </w:rPr>
            </w:pPr>
            <w:r w:rsidRPr="00FE6A25">
              <w:rPr>
                <w:rFonts w:ascii="Arial" w:hAnsi="Arial" w:cs="Arial"/>
                <w:sz w:val="18"/>
                <w:szCs w:val="18"/>
              </w:rPr>
              <w:t>passengers</w:t>
            </w:r>
            <w:r w:rsidRPr="00FE6A25">
              <w:rPr>
                <w:rFonts w:ascii="Arial" w:hAnsi="Arial" w:cs="Arial"/>
                <w:spacing w:val="-2"/>
                <w:sz w:val="18"/>
                <w:szCs w:val="18"/>
              </w:rPr>
              <w:t xml:space="preserve"> </w:t>
            </w:r>
            <w:r w:rsidRPr="00FE6A25">
              <w:rPr>
                <w:rFonts w:ascii="Arial" w:hAnsi="Arial" w:cs="Arial"/>
                <w:sz w:val="18"/>
                <w:szCs w:val="18"/>
              </w:rPr>
              <w:t>for</w:t>
            </w:r>
            <w:r w:rsidRPr="00FE6A25">
              <w:rPr>
                <w:rFonts w:ascii="Arial" w:hAnsi="Arial" w:cs="Arial"/>
                <w:spacing w:val="-3"/>
                <w:sz w:val="18"/>
                <w:szCs w:val="18"/>
              </w:rPr>
              <w:t xml:space="preserve"> </w:t>
            </w:r>
            <w:r w:rsidRPr="00FE6A25">
              <w:rPr>
                <w:rFonts w:ascii="Arial" w:hAnsi="Arial" w:cs="Arial"/>
                <w:sz w:val="18"/>
                <w:szCs w:val="18"/>
              </w:rPr>
              <w:t>packing</w:t>
            </w:r>
            <w:r w:rsidRPr="00FE6A25">
              <w:rPr>
                <w:rFonts w:ascii="Arial" w:hAnsi="Arial" w:cs="Arial"/>
                <w:spacing w:val="-4"/>
                <w:sz w:val="18"/>
                <w:szCs w:val="18"/>
              </w:rPr>
              <w:t xml:space="preserve"> </w:t>
            </w:r>
            <w:r w:rsidRPr="00FE6A25">
              <w:rPr>
                <w:rFonts w:ascii="Arial" w:hAnsi="Arial" w:cs="Arial"/>
                <w:sz w:val="18"/>
                <w:szCs w:val="18"/>
              </w:rPr>
              <w:t>balloon,</w:t>
            </w:r>
            <w:r w:rsidRPr="00FE6A25">
              <w:rPr>
                <w:rFonts w:ascii="Arial" w:hAnsi="Arial" w:cs="Arial"/>
                <w:spacing w:val="-3"/>
                <w:sz w:val="18"/>
                <w:szCs w:val="18"/>
              </w:rPr>
              <w:t xml:space="preserve"> </w:t>
            </w:r>
            <w:r w:rsidRPr="00FE6A25">
              <w:rPr>
                <w:rFonts w:ascii="Arial" w:hAnsi="Arial" w:cs="Arial"/>
                <w:sz w:val="18"/>
                <w:szCs w:val="18"/>
              </w:rPr>
              <w:t>contact</w:t>
            </w:r>
            <w:r w:rsidRPr="00FE6A25">
              <w:rPr>
                <w:rFonts w:ascii="Arial" w:hAnsi="Arial" w:cs="Arial"/>
                <w:spacing w:val="-3"/>
                <w:sz w:val="18"/>
                <w:szCs w:val="18"/>
              </w:rPr>
              <w:t xml:space="preserve"> </w:t>
            </w:r>
            <w:r w:rsidRPr="00FE6A25">
              <w:rPr>
                <w:rFonts w:ascii="Arial" w:hAnsi="Arial" w:cs="Arial"/>
                <w:sz w:val="18"/>
                <w:szCs w:val="18"/>
              </w:rPr>
              <w:t>landowner)</w:t>
            </w:r>
          </w:p>
        </w:tc>
      </w:tr>
      <w:tr w:rsidR="00FE6A25" w:rsidRPr="00FE6A25" w14:paraId="6906DBE1" w14:textId="77777777" w:rsidTr="00BA1962">
        <w:trPr>
          <w:trHeight w:val="287"/>
        </w:trPr>
        <w:tc>
          <w:tcPr>
            <w:tcW w:w="7938" w:type="dxa"/>
            <w:gridSpan w:val="2"/>
            <w:shd w:val="clear" w:color="auto" w:fill="F2F2F2" w:themeFill="background1" w:themeFillShade="F2"/>
          </w:tcPr>
          <w:p w14:paraId="7B1829C1" w14:textId="77777777" w:rsidR="00FE6A25" w:rsidRPr="00FE6A25" w:rsidRDefault="00FE6A25" w:rsidP="00670AAB">
            <w:pPr>
              <w:pStyle w:val="TableParagraph"/>
              <w:spacing w:line="225" w:lineRule="exact"/>
              <w:ind w:left="86"/>
              <w:rPr>
                <w:rFonts w:ascii="Arial" w:hAnsi="Arial" w:cs="Arial"/>
                <w:b/>
                <w:sz w:val="18"/>
                <w:szCs w:val="18"/>
              </w:rPr>
            </w:pPr>
            <w:r w:rsidRPr="00FE6A25">
              <w:rPr>
                <w:rFonts w:ascii="Arial" w:hAnsi="Arial" w:cs="Arial"/>
                <w:b/>
                <w:sz w:val="18"/>
                <w:szCs w:val="18"/>
              </w:rPr>
              <w:t>SECTION</w:t>
            </w:r>
            <w:r w:rsidRPr="00FE6A25">
              <w:rPr>
                <w:rFonts w:ascii="Arial" w:hAnsi="Arial" w:cs="Arial"/>
                <w:b/>
                <w:spacing w:val="-4"/>
                <w:sz w:val="18"/>
                <w:szCs w:val="18"/>
              </w:rPr>
              <w:t xml:space="preserve"> </w:t>
            </w:r>
            <w:r w:rsidRPr="00FE6A25">
              <w:rPr>
                <w:rFonts w:ascii="Arial" w:hAnsi="Arial" w:cs="Arial"/>
                <w:b/>
                <w:sz w:val="18"/>
                <w:szCs w:val="18"/>
              </w:rPr>
              <w:t>5:</w:t>
            </w:r>
            <w:r w:rsidRPr="00FE6A25">
              <w:rPr>
                <w:rFonts w:ascii="Arial" w:hAnsi="Arial" w:cs="Arial"/>
                <w:b/>
                <w:spacing w:val="-3"/>
                <w:sz w:val="18"/>
                <w:szCs w:val="18"/>
              </w:rPr>
              <w:t xml:space="preserve"> </w:t>
            </w:r>
            <w:r w:rsidRPr="00FE6A25">
              <w:rPr>
                <w:rFonts w:ascii="Arial" w:hAnsi="Arial" w:cs="Arial"/>
                <w:b/>
                <w:sz w:val="18"/>
                <w:szCs w:val="18"/>
              </w:rPr>
              <w:t>ABNORMAL</w:t>
            </w:r>
            <w:r w:rsidRPr="00FE6A25">
              <w:rPr>
                <w:rFonts w:ascii="Arial" w:hAnsi="Arial" w:cs="Arial"/>
                <w:b/>
                <w:spacing w:val="-5"/>
                <w:sz w:val="18"/>
                <w:szCs w:val="18"/>
              </w:rPr>
              <w:t xml:space="preserve"> </w:t>
            </w:r>
            <w:r w:rsidRPr="00FE6A25">
              <w:rPr>
                <w:rFonts w:ascii="Arial" w:hAnsi="Arial" w:cs="Arial"/>
                <w:b/>
                <w:sz w:val="18"/>
                <w:szCs w:val="18"/>
              </w:rPr>
              <w:t>AND</w:t>
            </w:r>
            <w:r w:rsidRPr="00FE6A25">
              <w:rPr>
                <w:rFonts w:ascii="Arial" w:hAnsi="Arial" w:cs="Arial"/>
                <w:b/>
                <w:spacing w:val="-4"/>
                <w:sz w:val="18"/>
                <w:szCs w:val="18"/>
              </w:rPr>
              <w:t xml:space="preserve"> </w:t>
            </w:r>
            <w:r w:rsidRPr="00FE6A25">
              <w:rPr>
                <w:rFonts w:ascii="Arial" w:hAnsi="Arial" w:cs="Arial"/>
                <w:b/>
                <w:sz w:val="18"/>
                <w:szCs w:val="18"/>
              </w:rPr>
              <w:t>EMERGENCY</w:t>
            </w:r>
            <w:r w:rsidRPr="00FE6A25">
              <w:rPr>
                <w:rFonts w:ascii="Arial" w:hAnsi="Arial" w:cs="Arial"/>
                <w:b/>
                <w:spacing w:val="-4"/>
                <w:sz w:val="18"/>
                <w:szCs w:val="18"/>
              </w:rPr>
              <w:t xml:space="preserve"> </w:t>
            </w:r>
            <w:r w:rsidRPr="00FE6A25">
              <w:rPr>
                <w:rFonts w:ascii="Arial" w:hAnsi="Arial" w:cs="Arial"/>
                <w:b/>
                <w:sz w:val="18"/>
                <w:szCs w:val="18"/>
              </w:rPr>
              <w:t>PROCEDURES</w:t>
            </w:r>
          </w:p>
        </w:tc>
      </w:tr>
      <w:tr w:rsidR="00FE6A25" w:rsidRPr="00FE6A25" w14:paraId="51EF050E" w14:textId="77777777" w:rsidTr="00BA1962">
        <w:trPr>
          <w:trHeight w:val="200"/>
        </w:trPr>
        <w:tc>
          <w:tcPr>
            <w:tcW w:w="7938" w:type="dxa"/>
            <w:gridSpan w:val="2"/>
          </w:tcPr>
          <w:p w14:paraId="472E2FDD" w14:textId="77777777" w:rsidR="00FE6A25" w:rsidRPr="00FE6A25" w:rsidRDefault="00FE6A25" w:rsidP="00670AAB">
            <w:pPr>
              <w:pStyle w:val="TableParagraph"/>
              <w:spacing w:line="223" w:lineRule="exact"/>
              <w:ind w:left="86"/>
              <w:rPr>
                <w:rFonts w:ascii="Arial" w:hAnsi="Arial" w:cs="Arial"/>
                <w:sz w:val="18"/>
                <w:szCs w:val="18"/>
              </w:rPr>
            </w:pPr>
            <w:r w:rsidRPr="00FE6A25">
              <w:rPr>
                <w:rFonts w:ascii="Arial" w:hAnsi="Arial" w:cs="Arial"/>
                <w:sz w:val="18"/>
                <w:szCs w:val="18"/>
              </w:rPr>
              <w:t>This</w:t>
            </w:r>
            <w:r w:rsidRPr="00FE6A25">
              <w:rPr>
                <w:rFonts w:ascii="Arial" w:hAnsi="Arial" w:cs="Arial"/>
                <w:spacing w:val="-2"/>
                <w:sz w:val="18"/>
                <w:szCs w:val="18"/>
              </w:rPr>
              <w:t xml:space="preserve"> </w:t>
            </w:r>
            <w:r w:rsidRPr="00FE6A25">
              <w:rPr>
                <w:rFonts w:ascii="Arial" w:hAnsi="Arial" w:cs="Arial"/>
                <w:sz w:val="18"/>
                <w:szCs w:val="18"/>
              </w:rPr>
              <w:t>section</w:t>
            </w:r>
            <w:r w:rsidRPr="00FE6A25">
              <w:rPr>
                <w:rFonts w:ascii="Arial" w:hAnsi="Arial" w:cs="Arial"/>
                <w:spacing w:val="-2"/>
                <w:sz w:val="18"/>
                <w:szCs w:val="18"/>
              </w:rPr>
              <w:t xml:space="preserve"> </w:t>
            </w:r>
            <w:r w:rsidRPr="00FE6A25">
              <w:rPr>
                <w:rFonts w:ascii="Arial" w:hAnsi="Arial" w:cs="Arial"/>
                <w:sz w:val="18"/>
                <w:szCs w:val="18"/>
              </w:rPr>
              <w:t>may</w:t>
            </w:r>
            <w:r w:rsidRPr="00FE6A25">
              <w:rPr>
                <w:rFonts w:ascii="Arial" w:hAnsi="Arial" w:cs="Arial"/>
                <w:spacing w:val="-1"/>
                <w:sz w:val="18"/>
                <w:szCs w:val="18"/>
              </w:rPr>
              <w:t xml:space="preserve"> </w:t>
            </w:r>
            <w:r w:rsidRPr="00FE6A25">
              <w:rPr>
                <w:rFonts w:ascii="Arial" w:hAnsi="Arial" w:cs="Arial"/>
                <w:sz w:val="18"/>
                <w:szCs w:val="18"/>
              </w:rPr>
              <w:t>be</w:t>
            </w:r>
            <w:r w:rsidRPr="00FE6A25">
              <w:rPr>
                <w:rFonts w:ascii="Arial" w:hAnsi="Arial" w:cs="Arial"/>
                <w:spacing w:val="-3"/>
                <w:sz w:val="18"/>
                <w:szCs w:val="18"/>
              </w:rPr>
              <w:t xml:space="preserve"> </w:t>
            </w:r>
            <w:r w:rsidRPr="00FE6A25">
              <w:rPr>
                <w:rFonts w:ascii="Arial" w:hAnsi="Arial" w:cs="Arial"/>
                <w:sz w:val="18"/>
                <w:szCs w:val="18"/>
              </w:rPr>
              <w:t>combined with</w:t>
            </w:r>
            <w:r w:rsidRPr="00FE6A25">
              <w:rPr>
                <w:rFonts w:ascii="Arial" w:hAnsi="Arial" w:cs="Arial"/>
                <w:spacing w:val="-3"/>
                <w:sz w:val="18"/>
                <w:szCs w:val="18"/>
              </w:rPr>
              <w:t xml:space="preserve"> </w:t>
            </w:r>
            <w:r w:rsidRPr="00FE6A25">
              <w:rPr>
                <w:rFonts w:ascii="Arial" w:hAnsi="Arial" w:cs="Arial"/>
                <w:sz w:val="18"/>
                <w:szCs w:val="18"/>
              </w:rPr>
              <w:t>Sections</w:t>
            </w:r>
            <w:r w:rsidRPr="00FE6A25">
              <w:rPr>
                <w:rFonts w:ascii="Arial" w:hAnsi="Arial" w:cs="Arial"/>
                <w:spacing w:val="-1"/>
                <w:sz w:val="18"/>
                <w:szCs w:val="18"/>
              </w:rPr>
              <w:t xml:space="preserve"> </w:t>
            </w:r>
            <w:r w:rsidRPr="00FE6A25">
              <w:rPr>
                <w:rFonts w:ascii="Arial" w:hAnsi="Arial" w:cs="Arial"/>
                <w:sz w:val="18"/>
                <w:szCs w:val="18"/>
              </w:rPr>
              <w:t>1</w:t>
            </w:r>
            <w:r w:rsidRPr="00FE6A25">
              <w:rPr>
                <w:rFonts w:ascii="Arial" w:hAnsi="Arial" w:cs="Arial"/>
                <w:spacing w:val="-3"/>
                <w:sz w:val="18"/>
                <w:szCs w:val="18"/>
              </w:rPr>
              <w:t xml:space="preserve"> </w:t>
            </w:r>
            <w:r w:rsidRPr="00FE6A25">
              <w:rPr>
                <w:rFonts w:ascii="Arial" w:hAnsi="Arial" w:cs="Arial"/>
                <w:sz w:val="18"/>
                <w:szCs w:val="18"/>
              </w:rPr>
              <w:t>through</w:t>
            </w:r>
            <w:r w:rsidRPr="00FE6A25">
              <w:rPr>
                <w:rFonts w:ascii="Arial" w:hAnsi="Arial" w:cs="Arial"/>
                <w:spacing w:val="-2"/>
                <w:sz w:val="18"/>
                <w:szCs w:val="18"/>
              </w:rPr>
              <w:t xml:space="preserve"> </w:t>
            </w:r>
            <w:r w:rsidRPr="00FE6A25">
              <w:rPr>
                <w:rFonts w:ascii="Arial" w:hAnsi="Arial" w:cs="Arial"/>
                <w:sz w:val="18"/>
                <w:szCs w:val="18"/>
              </w:rPr>
              <w:t>4.</w:t>
            </w:r>
          </w:p>
        </w:tc>
      </w:tr>
      <w:tr w:rsidR="00FE6A25" w:rsidRPr="00FE6A25" w14:paraId="50C412CD" w14:textId="77777777" w:rsidTr="00BA1962">
        <w:trPr>
          <w:trHeight w:val="202"/>
        </w:trPr>
        <w:tc>
          <w:tcPr>
            <w:tcW w:w="588" w:type="dxa"/>
          </w:tcPr>
          <w:p w14:paraId="59A1C6C5" w14:textId="77777777" w:rsidR="00FE6A25" w:rsidRPr="00FE6A25" w:rsidRDefault="00FE6A25" w:rsidP="00670AAB">
            <w:pPr>
              <w:pStyle w:val="TableParagraph"/>
              <w:spacing w:line="225" w:lineRule="exact"/>
              <w:ind w:left="86"/>
              <w:rPr>
                <w:rFonts w:ascii="Arial" w:hAnsi="Arial" w:cs="Arial"/>
                <w:sz w:val="18"/>
                <w:szCs w:val="18"/>
              </w:rPr>
            </w:pPr>
            <w:r w:rsidRPr="00FE6A25">
              <w:rPr>
                <w:rFonts w:ascii="Arial" w:hAnsi="Arial" w:cs="Arial"/>
                <w:w w:val="99"/>
                <w:sz w:val="18"/>
                <w:szCs w:val="18"/>
              </w:rPr>
              <w:t>a</w:t>
            </w:r>
          </w:p>
        </w:tc>
        <w:tc>
          <w:tcPr>
            <w:tcW w:w="7350" w:type="dxa"/>
          </w:tcPr>
          <w:p w14:paraId="2E5367DB" w14:textId="77777777" w:rsidR="00FE6A25" w:rsidRPr="00FE6A25" w:rsidRDefault="00FE6A25" w:rsidP="00670AAB">
            <w:pPr>
              <w:pStyle w:val="TableParagraph"/>
              <w:spacing w:line="225" w:lineRule="exact"/>
              <w:rPr>
                <w:rFonts w:ascii="Arial" w:hAnsi="Arial" w:cs="Arial"/>
                <w:sz w:val="18"/>
                <w:szCs w:val="18"/>
              </w:rPr>
            </w:pPr>
            <w:r w:rsidRPr="00FE6A25">
              <w:rPr>
                <w:rFonts w:ascii="Arial" w:hAnsi="Arial" w:cs="Arial"/>
                <w:sz w:val="18"/>
                <w:szCs w:val="18"/>
              </w:rPr>
              <w:t>Simulated</w:t>
            </w:r>
            <w:r w:rsidRPr="00FE6A25">
              <w:rPr>
                <w:rFonts w:ascii="Arial" w:hAnsi="Arial" w:cs="Arial"/>
                <w:spacing w:val="-2"/>
                <w:sz w:val="18"/>
                <w:szCs w:val="18"/>
              </w:rPr>
              <w:t xml:space="preserve"> </w:t>
            </w:r>
            <w:r w:rsidRPr="00FE6A25">
              <w:rPr>
                <w:rFonts w:ascii="Arial" w:hAnsi="Arial" w:cs="Arial"/>
                <w:sz w:val="18"/>
                <w:szCs w:val="18"/>
              </w:rPr>
              <w:t>fire</w:t>
            </w:r>
            <w:r w:rsidRPr="00FE6A25">
              <w:rPr>
                <w:rFonts w:ascii="Arial" w:hAnsi="Arial" w:cs="Arial"/>
                <w:spacing w:val="-3"/>
                <w:sz w:val="18"/>
                <w:szCs w:val="18"/>
              </w:rPr>
              <w:t xml:space="preserve"> </w:t>
            </w:r>
            <w:r w:rsidRPr="00FE6A25">
              <w:rPr>
                <w:rFonts w:ascii="Arial" w:hAnsi="Arial" w:cs="Arial"/>
                <w:sz w:val="18"/>
                <w:szCs w:val="18"/>
              </w:rPr>
              <w:t>on</w:t>
            </w:r>
            <w:r w:rsidRPr="00FE6A25">
              <w:rPr>
                <w:rFonts w:ascii="Arial" w:hAnsi="Arial" w:cs="Arial"/>
                <w:spacing w:val="-2"/>
                <w:sz w:val="18"/>
                <w:szCs w:val="18"/>
              </w:rPr>
              <w:t xml:space="preserve"> </w:t>
            </w:r>
            <w:r w:rsidRPr="00FE6A25">
              <w:rPr>
                <w:rFonts w:ascii="Arial" w:hAnsi="Arial" w:cs="Arial"/>
                <w:sz w:val="18"/>
                <w:szCs w:val="18"/>
              </w:rPr>
              <w:t>the</w:t>
            </w:r>
            <w:r w:rsidRPr="00FE6A25">
              <w:rPr>
                <w:rFonts w:ascii="Arial" w:hAnsi="Arial" w:cs="Arial"/>
                <w:spacing w:val="-2"/>
                <w:sz w:val="18"/>
                <w:szCs w:val="18"/>
              </w:rPr>
              <w:t xml:space="preserve"> </w:t>
            </w:r>
            <w:r w:rsidRPr="00FE6A25">
              <w:rPr>
                <w:rFonts w:ascii="Arial" w:hAnsi="Arial" w:cs="Arial"/>
                <w:sz w:val="18"/>
                <w:szCs w:val="18"/>
              </w:rPr>
              <w:t>ground</w:t>
            </w:r>
            <w:r w:rsidRPr="00FE6A25">
              <w:rPr>
                <w:rFonts w:ascii="Arial" w:hAnsi="Arial" w:cs="Arial"/>
                <w:spacing w:val="-2"/>
                <w:sz w:val="18"/>
                <w:szCs w:val="18"/>
              </w:rPr>
              <w:t xml:space="preserve"> </w:t>
            </w:r>
            <w:r w:rsidRPr="00FE6A25">
              <w:rPr>
                <w:rFonts w:ascii="Arial" w:hAnsi="Arial" w:cs="Arial"/>
                <w:sz w:val="18"/>
                <w:szCs w:val="18"/>
              </w:rPr>
              <w:t>and</w:t>
            </w:r>
            <w:r w:rsidRPr="00FE6A25">
              <w:rPr>
                <w:rFonts w:ascii="Arial" w:hAnsi="Arial" w:cs="Arial"/>
                <w:spacing w:val="-2"/>
                <w:sz w:val="18"/>
                <w:szCs w:val="18"/>
              </w:rPr>
              <w:t xml:space="preserve"> </w:t>
            </w:r>
            <w:r w:rsidRPr="00FE6A25">
              <w:rPr>
                <w:rFonts w:ascii="Arial" w:hAnsi="Arial" w:cs="Arial"/>
                <w:sz w:val="18"/>
                <w:szCs w:val="18"/>
              </w:rPr>
              <w:t>in</w:t>
            </w:r>
            <w:r w:rsidRPr="00FE6A25">
              <w:rPr>
                <w:rFonts w:ascii="Arial" w:hAnsi="Arial" w:cs="Arial"/>
                <w:spacing w:val="-1"/>
                <w:sz w:val="18"/>
                <w:szCs w:val="18"/>
              </w:rPr>
              <w:t xml:space="preserve"> </w:t>
            </w:r>
            <w:r w:rsidRPr="00FE6A25">
              <w:rPr>
                <w:rFonts w:ascii="Arial" w:hAnsi="Arial" w:cs="Arial"/>
                <w:sz w:val="18"/>
                <w:szCs w:val="18"/>
              </w:rPr>
              <w:t>the</w:t>
            </w:r>
            <w:r w:rsidRPr="00FE6A25">
              <w:rPr>
                <w:rFonts w:ascii="Arial" w:hAnsi="Arial" w:cs="Arial"/>
                <w:spacing w:val="-2"/>
                <w:sz w:val="18"/>
                <w:szCs w:val="18"/>
              </w:rPr>
              <w:t xml:space="preserve"> </w:t>
            </w:r>
            <w:r w:rsidRPr="00FE6A25">
              <w:rPr>
                <w:rFonts w:ascii="Arial" w:hAnsi="Arial" w:cs="Arial"/>
                <w:sz w:val="18"/>
                <w:szCs w:val="18"/>
              </w:rPr>
              <w:t>air</w:t>
            </w:r>
          </w:p>
        </w:tc>
      </w:tr>
      <w:tr w:rsidR="00FE6A25" w:rsidRPr="00FE6A25" w14:paraId="3B4451DC" w14:textId="77777777" w:rsidTr="00BA1962">
        <w:trPr>
          <w:trHeight w:val="200"/>
        </w:trPr>
        <w:tc>
          <w:tcPr>
            <w:tcW w:w="588" w:type="dxa"/>
          </w:tcPr>
          <w:p w14:paraId="0D121EF0" w14:textId="77777777" w:rsidR="00FE6A25" w:rsidRPr="00FE6A25" w:rsidRDefault="00FE6A25" w:rsidP="00670AAB">
            <w:pPr>
              <w:pStyle w:val="TableParagraph"/>
              <w:spacing w:line="223" w:lineRule="exact"/>
              <w:ind w:left="86"/>
              <w:rPr>
                <w:rFonts w:ascii="Arial" w:hAnsi="Arial" w:cs="Arial"/>
                <w:sz w:val="18"/>
                <w:szCs w:val="18"/>
              </w:rPr>
            </w:pPr>
            <w:r w:rsidRPr="00FE6A25">
              <w:rPr>
                <w:rFonts w:ascii="Arial" w:hAnsi="Arial" w:cs="Arial"/>
                <w:w w:val="99"/>
                <w:sz w:val="18"/>
                <w:szCs w:val="18"/>
              </w:rPr>
              <w:t>b</w:t>
            </w:r>
          </w:p>
        </w:tc>
        <w:tc>
          <w:tcPr>
            <w:tcW w:w="7350" w:type="dxa"/>
          </w:tcPr>
          <w:p w14:paraId="0B399636" w14:textId="77777777" w:rsidR="00FE6A25" w:rsidRPr="00FE6A25" w:rsidRDefault="00FE6A25" w:rsidP="00670AAB">
            <w:pPr>
              <w:pStyle w:val="TableParagraph"/>
              <w:spacing w:line="223" w:lineRule="exact"/>
              <w:rPr>
                <w:rFonts w:ascii="Arial" w:hAnsi="Arial" w:cs="Arial"/>
                <w:sz w:val="18"/>
                <w:szCs w:val="18"/>
              </w:rPr>
            </w:pPr>
            <w:r w:rsidRPr="00FE6A25">
              <w:rPr>
                <w:rFonts w:ascii="Arial" w:hAnsi="Arial" w:cs="Arial"/>
                <w:sz w:val="18"/>
                <w:szCs w:val="18"/>
              </w:rPr>
              <w:t>Simulated</w:t>
            </w:r>
            <w:r w:rsidRPr="00FE6A25">
              <w:rPr>
                <w:rFonts w:ascii="Arial" w:hAnsi="Arial" w:cs="Arial"/>
                <w:spacing w:val="-3"/>
                <w:sz w:val="18"/>
                <w:szCs w:val="18"/>
              </w:rPr>
              <w:t xml:space="preserve"> </w:t>
            </w:r>
            <w:r w:rsidRPr="00FE6A25">
              <w:rPr>
                <w:rFonts w:ascii="Arial" w:hAnsi="Arial" w:cs="Arial"/>
                <w:sz w:val="18"/>
                <w:szCs w:val="18"/>
              </w:rPr>
              <w:t>pilot</w:t>
            </w:r>
            <w:r w:rsidRPr="00FE6A25">
              <w:rPr>
                <w:rFonts w:ascii="Arial" w:hAnsi="Arial" w:cs="Arial"/>
                <w:spacing w:val="-2"/>
                <w:sz w:val="18"/>
                <w:szCs w:val="18"/>
              </w:rPr>
              <w:t xml:space="preserve"> </w:t>
            </w:r>
            <w:r w:rsidRPr="00FE6A25">
              <w:rPr>
                <w:rFonts w:ascii="Arial" w:hAnsi="Arial" w:cs="Arial"/>
                <w:sz w:val="18"/>
                <w:szCs w:val="18"/>
              </w:rPr>
              <w:t>light</w:t>
            </w:r>
            <w:r w:rsidRPr="00FE6A25">
              <w:rPr>
                <w:rFonts w:ascii="Arial" w:hAnsi="Arial" w:cs="Arial"/>
                <w:spacing w:val="-3"/>
                <w:sz w:val="18"/>
                <w:szCs w:val="18"/>
              </w:rPr>
              <w:t xml:space="preserve"> </w:t>
            </w:r>
            <w:r w:rsidRPr="00FE6A25">
              <w:rPr>
                <w:rFonts w:ascii="Arial" w:hAnsi="Arial" w:cs="Arial"/>
                <w:sz w:val="18"/>
                <w:szCs w:val="18"/>
              </w:rPr>
              <w:t>and</w:t>
            </w:r>
            <w:r w:rsidRPr="00FE6A25">
              <w:rPr>
                <w:rFonts w:ascii="Arial" w:hAnsi="Arial" w:cs="Arial"/>
                <w:spacing w:val="-2"/>
                <w:sz w:val="18"/>
                <w:szCs w:val="18"/>
              </w:rPr>
              <w:t xml:space="preserve"> </w:t>
            </w:r>
            <w:r w:rsidRPr="00FE6A25">
              <w:rPr>
                <w:rFonts w:ascii="Arial" w:hAnsi="Arial" w:cs="Arial"/>
                <w:sz w:val="18"/>
                <w:szCs w:val="18"/>
              </w:rPr>
              <w:t>burner</w:t>
            </w:r>
            <w:r w:rsidRPr="00FE6A25">
              <w:rPr>
                <w:rFonts w:ascii="Arial" w:hAnsi="Arial" w:cs="Arial"/>
                <w:spacing w:val="-3"/>
                <w:sz w:val="18"/>
                <w:szCs w:val="18"/>
              </w:rPr>
              <w:t xml:space="preserve"> </w:t>
            </w:r>
            <w:r w:rsidRPr="00FE6A25">
              <w:rPr>
                <w:rFonts w:ascii="Arial" w:hAnsi="Arial" w:cs="Arial"/>
                <w:sz w:val="18"/>
                <w:szCs w:val="18"/>
              </w:rPr>
              <w:t>failures</w:t>
            </w:r>
          </w:p>
        </w:tc>
      </w:tr>
      <w:tr w:rsidR="00FE6A25" w:rsidRPr="00FE6A25" w14:paraId="384610CB" w14:textId="77777777" w:rsidTr="00BA1962">
        <w:trPr>
          <w:trHeight w:val="199"/>
        </w:trPr>
        <w:tc>
          <w:tcPr>
            <w:tcW w:w="588" w:type="dxa"/>
          </w:tcPr>
          <w:p w14:paraId="47054042" w14:textId="77777777" w:rsidR="00FE6A25" w:rsidRPr="00FE6A25" w:rsidRDefault="00FE6A25" w:rsidP="00670AAB">
            <w:pPr>
              <w:pStyle w:val="TableParagraph"/>
              <w:spacing w:line="222" w:lineRule="exact"/>
              <w:ind w:left="86"/>
              <w:rPr>
                <w:rFonts w:ascii="Arial" w:hAnsi="Arial" w:cs="Arial"/>
                <w:sz w:val="18"/>
                <w:szCs w:val="18"/>
              </w:rPr>
            </w:pPr>
            <w:r w:rsidRPr="00FE6A25">
              <w:rPr>
                <w:rFonts w:ascii="Arial" w:hAnsi="Arial" w:cs="Arial"/>
                <w:w w:val="99"/>
                <w:sz w:val="18"/>
                <w:szCs w:val="18"/>
              </w:rPr>
              <w:t>c</w:t>
            </w:r>
          </w:p>
        </w:tc>
        <w:tc>
          <w:tcPr>
            <w:tcW w:w="7350" w:type="dxa"/>
          </w:tcPr>
          <w:p w14:paraId="2F7F0DED" w14:textId="77777777" w:rsidR="00FE6A25" w:rsidRPr="00FE6A25" w:rsidRDefault="00FE6A25" w:rsidP="00670AAB">
            <w:pPr>
              <w:pStyle w:val="TableParagraph"/>
              <w:spacing w:line="222" w:lineRule="exact"/>
              <w:rPr>
                <w:rFonts w:ascii="Arial" w:hAnsi="Arial" w:cs="Arial"/>
                <w:sz w:val="18"/>
                <w:szCs w:val="18"/>
              </w:rPr>
            </w:pPr>
            <w:r w:rsidRPr="00FE6A25">
              <w:rPr>
                <w:rFonts w:ascii="Arial" w:hAnsi="Arial" w:cs="Arial"/>
                <w:sz w:val="18"/>
                <w:szCs w:val="18"/>
              </w:rPr>
              <w:t>Other</w:t>
            </w:r>
            <w:r w:rsidRPr="00FE6A25">
              <w:rPr>
                <w:rFonts w:ascii="Arial" w:hAnsi="Arial" w:cs="Arial"/>
                <w:spacing w:val="-2"/>
                <w:sz w:val="18"/>
                <w:szCs w:val="18"/>
              </w:rPr>
              <w:t xml:space="preserve"> </w:t>
            </w:r>
            <w:r w:rsidRPr="00FE6A25">
              <w:rPr>
                <w:rFonts w:ascii="Arial" w:hAnsi="Arial" w:cs="Arial"/>
                <w:sz w:val="18"/>
                <w:szCs w:val="18"/>
              </w:rPr>
              <w:t>abnormal</w:t>
            </w:r>
            <w:r w:rsidRPr="00FE6A25">
              <w:rPr>
                <w:rFonts w:ascii="Arial" w:hAnsi="Arial" w:cs="Arial"/>
                <w:spacing w:val="-2"/>
                <w:sz w:val="18"/>
                <w:szCs w:val="18"/>
              </w:rPr>
              <w:t xml:space="preserve"> </w:t>
            </w:r>
            <w:r w:rsidRPr="00FE6A25">
              <w:rPr>
                <w:rFonts w:ascii="Arial" w:hAnsi="Arial" w:cs="Arial"/>
                <w:sz w:val="18"/>
                <w:szCs w:val="18"/>
              </w:rPr>
              <w:t>and</w:t>
            </w:r>
            <w:r w:rsidRPr="00FE6A25">
              <w:rPr>
                <w:rFonts w:ascii="Arial" w:hAnsi="Arial" w:cs="Arial"/>
                <w:spacing w:val="-1"/>
                <w:sz w:val="18"/>
                <w:szCs w:val="18"/>
              </w:rPr>
              <w:t xml:space="preserve"> </w:t>
            </w:r>
            <w:r w:rsidRPr="00FE6A25">
              <w:rPr>
                <w:rFonts w:ascii="Arial" w:hAnsi="Arial" w:cs="Arial"/>
                <w:sz w:val="18"/>
                <w:szCs w:val="18"/>
              </w:rPr>
              <w:t>emergency</w:t>
            </w:r>
            <w:r w:rsidRPr="00FE6A25">
              <w:rPr>
                <w:rFonts w:ascii="Arial" w:hAnsi="Arial" w:cs="Arial"/>
                <w:spacing w:val="-2"/>
                <w:sz w:val="18"/>
                <w:szCs w:val="18"/>
              </w:rPr>
              <w:t xml:space="preserve"> </w:t>
            </w:r>
            <w:r w:rsidRPr="00FE6A25">
              <w:rPr>
                <w:rFonts w:ascii="Arial" w:hAnsi="Arial" w:cs="Arial"/>
                <w:sz w:val="18"/>
                <w:szCs w:val="18"/>
              </w:rPr>
              <w:t>procedures</w:t>
            </w:r>
            <w:r w:rsidRPr="00FE6A25">
              <w:rPr>
                <w:rFonts w:ascii="Arial" w:hAnsi="Arial" w:cs="Arial"/>
                <w:spacing w:val="-3"/>
                <w:sz w:val="18"/>
                <w:szCs w:val="18"/>
              </w:rPr>
              <w:t xml:space="preserve"> </w:t>
            </w:r>
            <w:r w:rsidRPr="00FE6A25">
              <w:rPr>
                <w:rFonts w:ascii="Arial" w:hAnsi="Arial" w:cs="Arial"/>
                <w:sz w:val="18"/>
                <w:szCs w:val="18"/>
              </w:rPr>
              <w:t>as</w:t>
            </w:r>
            <w:r w:rsidRPr="00FE6A25">
              <w:rPr>
                <w:rFonts w:ascii="Arial" w:hAnsi="Arial" w:cs="Arial"/>
                <w:spacing w:val="-3"/>
                <w:sz w:val="18"/>
                <w:szCs w:val="18"/>
              </w:rPr>
              <w:t xml:space="preserve"> </w:t>
            </w:r>
            <w:r w:rsidRPr="00FE6A25">
              <w:rPr>
                <w:rFonts w:ascii="Arial" w:hAnsi="Arial" w:cs="Arial"/>
                <w:sz w:val="18"/>
                <w:szCs w:val="18"/>
              </w:rPr>
              <w:t>outlined</w:t>
            </w:r>
            <w:r w:rsidRPr="00FE6A25">
              <w:rPr>
                <w:rFonts w:ascii="Arial" w:hAnsi="Arial" w:cs="Arial"/>
                <w:spacing w:val="-2"/>
                <w:sz w:val="18"/>
                <w:szCs w:val="18"/>
              </w:rPr>
              <w:t xml:space="preserve"> </w:t>
            </w:r>
            <w:r w:rsidRPr="00FE6A25">
              <w:rPr>
                <w:rFonts w:ascii="Arial" w:hAnsi="Arial" w:cs="Arial"/>
                <w:sz w:val="18"/>
                <w:szCs w:val="18"/>
              </w:rPr>
              <w:t>in the</w:t>
            </w:r>
            <w:r w:rsidRPr="00FE6A25">
              <w:rPr>
                <w:rFonts w:ascii="Arial" w:hAnsi="Arial" w:cs="Arial"/>
                <w:spacing w:val="-3"/>
                <w:sz w:val="18"/>
                <w:szCs w:val="18"/>
              </w:rPr>
              <w:t xml:space="preserve"> </w:t>
            </w:r>
            <w:r w:rsidRPr="00FE6A25">
              <w:rPr>
                <w:rFonts w:ascii="Arial" w:hAnsi="Arial" w:cs="Arial"/>
                <w:sz w:val="18"/>
                <w:szCs w:val="18"/>
              </w:rPr>
              <w:t>appropriate</w:t>
            </w:r>
            <w:r w:rsidRPr="00FE6A25">
              <w:rPr>
                <w:rFonts w:ascii="Arial" w:hAnsi="Arial" w:cs="Arial"/>
                <w:spacing w:val="-2"/>
                <w:sz w:val="18"/>
                <w:szCs w:val="18"/>
              </w:rPr>
              <w:t xml:space="preserve"> </w:t>
            </w:r>
            <w:r w:rsidRPr="00FE6A25">
              <w:rPr>
                <w:rFonts w:ascii="Arial" w:hAnsi="Arial" w:cs="Arial"/>
                <w:sz w:val="18"/>
                <w:szCs w:val="18"/>
              </w:rPr>
              <w:t>flight</w:t>
            </w:r>
            <w:r w:rsidRPr="00FE6A25">
              <w:rPr>
                <w:rFonts w:ascii="Arial" w:hAnsi="Arial" w:cs="Arial"/>
                <w:spacing w:val="-2"/>
                <w:sz w:val="18"/>
                <w:szCs w:val="18"/>
              </w:rPr>
              <w:t xml:space="preserve"> </w:t>
            </w:r>
            <w:r w:rsidRPr="00FE6A25">
              <w:rPr>
                <w:rFonts w:ascii="Arial" w:hAnsi="Arial" w:cs="Arial"/>
                <w:sz w:val="18"/>
                <w:szCs w:val="18"/>
              </w:rPr>
              <w:t>manual</w:t>
            </w:r>
          </w:p>
        </w:tc>
      </w:tr>
      <w:tr w:rsidR="00FE6A25" w:rsidRPr="00FE6A25" w14:paraId="4AD57DBC" w14:textId="77777777" w:rsidTr="00BA1962">
        <w:trPr>
          <w:trHeight w:val="202"/>
        </w:trPr>
        <w:tc>
          <w:tcPr>
            <w:tcW w:w="588" w:type="dxa"/>
          </w:tcPr>
          <w:p w14:paraId="72FF1176" w14:textId="77777777" w:rsidR="00FE6A25" w:rsidRPr="00FE6A25" w:rsidRDefault="00FE6A25" w:rsidP="00670AAB">
            <w:pPr>
              <w:pStyle w:val="TableParagraph"/>
              <w:spacing w:line="225" w:lineRule="exact"/>
              <w:ind w:left="86"/>
              <w:rPr>
                <w:rFonts w:ascii="Arial" w:hAnsi="Arial" w:cs="Arial"/>
                <w:sz w:val="18"/>
                <w:szCs w:val="18"/>
              </w:rPr>
            </w:pPr>
            <w:r w:rsidRPr="00FE6A25">
              <w:rPr>
                <w:rFonts w:ascii="Arial" w:hAnsi="Arial" w:cs="Arial"/>
                <w:w w:val="99"/>
                <w:sz w:val="18"/>
                <w:szCs w:val="18"/>
              </w:rPr>
              <w:t>d</w:t>
            </w:r>
          </w:p>
        </w:tc>
        <w:tc>
          <w:tcPr>
            <w:tcW w:w="7350" w:type="dxa"/>
          </w:tcPr>
          <w:p w14:paraId="3E4DD447" w14:textId="77777777" w:rsidR="00FE6A25" w:rsidRPr="00FE6A25" w:rsidRDefault="00FE6A25" w:rsidP="00670AAB">
            <w:pPr>
              <w:pStyle w:val="TableParagraph"/>
              <w:spacing w:line="225" w:lineRule="exact"/>
              <w:rPr>
                <w:rFonts w:ascii="Arial" w:hAnsi="Arial" w:cs="Arial"/>
                <w:sz w:val="18"/>
                <w:szCs w:val="18"/>
              </w:rPr>
            </w:pPr>
            <w:r w:rsidRPr="00FE6A25">
              <w:rPr>
                <w:rFonts w:ascii="Arial" w:hAnsi="Arial" w:cs="Arial"/>
                <w:sz w:val="18"/>
                <w:szCs w:val="18"/>
              </w:rPr>
              <w:t>Simulated</w:t>
            </w:r>
            <w:r w:rsidRPr="00FE6A25">
              <w:rPr>
                <w:rFonts w:ascii="Arial" w:hAnsi="Arial" w:cs="Arial"/>
                <w:spacing w:val="-4"/>
                <w:sz w:val="18"/>
                <w:szCs w:val="18"/>
              </w:rPr>
              <w:t xml:space="preserve"> </w:t>
            </w:r>
            <w:r w:rsidRPr="00FE6A25">
              <w:rPr>
                <w:rFonts w:ascii="Arial" w:hAnsi="Arial" w:cs="Arial"/>
                <w:sz w:val="18"/>
                <w:szCs w:val="18"/>
              </w:rPr>
              <w:t>passenger</w:t>
            </w:r>
            <w:r w:rsidRPr="00FE6A25">
              <w:rPr>
                <w:rFonts w:ascii="Arial" w:hAnsi="Arial" w:cs="Arial"/>
                <w:spacing w:val="-4"/>
                <w:sz w:val="18"/>
                <w:szCs w:val="18"/>
              </w:rPr>
              <w:t xml:space="preserve"> </w:t>
            </w:r>
            <w:r w:rsidRPr="00FE6A25">
              <w:rPr>
                <w:rFonts w:ascii="Arial" w:hAnsi="Arial" w:cs="Arial"/>
                <w:sz w:val="18"/>
                <w:szCs w:val="18"/>
              </w:rPr>
              <w:t>health</w:t>
            </w:r>
            <w:r w:rsidRPr="00FE6A25">
              <w:rPr>
                <w:rFonts w:ascii="Arial" w:hAnsi="Arial" w:cs="Arial"/>
                <w:spacing w:val="-4"/>
                <w:sz w:val="18"/>
                <w:szCs w:val="18"/>
              </w:rPr>
              <w:t xml:space="preserve"> </w:t>
            </w:r>
            <w:r w:rsidRPr="00FE6A25">
              <w:rPr>
                <w:rFonts w:ascii="Arial" w:hAnsi="Arial" w:cs="Arial"/>
                <w:sz w:val="18"/>
                <w:szCs w:val="18"/>
              </w:rPr>
              <w:t>problems</w:t>
            </w:r>
          </w:p>
        </w:tc>
      </w:tr>
      <w:tr w:rsidR="00FE6A25" w:rsidRPr="00FE6A25" w14:paraId="5EA5094B" w14:textId="77777777" w:rsidTr="00BA1962">
        <w:trPr>
          <w:trHeight w:val="200"/>
        </w:trPr>
        <w:tc>
          <w:tcPr>
            <w:tcW w:w="588" w:type="dxa"/>
          </w:tcPr>
          <w:p w14:paraId="7B457C3F" w14:textId="77777777" w:rsidR="00FE6A25" w:rsidRPr="00FE6A25" w:rsidRDefault="00FE6A25" w:rsidP="00670AAB">
            <w:pPr>
              <w:pStyle w:val="TableParagraph"/>
              <w:spacing w:line="223" w:lineRule="exact"/>
              <w:ind w:left="86"/>
              <w:rPr>
                <w:rFonts w:ascii="Arial" w:hAnsi="Arial" w:cs="Arial"/>
                <w:sz w:val="18"/>
                <w:szCs w:val="18"/>
              </w:rPr>
            </w:pPr>
            <w:r w:rsidRPr="00FE6A25">
              <w:rPr>
                <w:rFonts w:ascii="Arial" w:hAnsi="Arial" w:cs="Arial"/>
                <w:w w:val="99"/>
                <w:sz w:val="18"/>
                <w:szCs w:val="18"/>
              </w:rPr>
              <w:t>e</w:t>
            </w:r>
          </w:p>
        </w:tc>
        <w:tc>
          <w:tcPr>
            <w:tcW w:w="7350" w:type="dxa"/>
          </w:tcPr>
          <w:p w14:paraId="33BC6CC1" w14:textId="77777777" w:rsidR="00FE6A25" w:rsidRPr="00FE6A25" w:rsidRDefault="00FE6A25" w:rsidP="00670AAB">
            <w:pPr>
              <w:pStyle w:val="TableParagraph"/>
              <w:spacing w:line="223" w:lineRule="exact"/>
              <w:rPr>
                <w:rFonts w:ascii="Arial" w:hAnsi="Arial" w:cs="Arial"/>
                <w:sz w:val="18"/>
                <w:szCs w:val="18"/>
              </w:rPr>
            </w:pPr>
            <w:r w:rsidRPr="00FE6A25">
              <w:rPr>
                <w:rFonts w:ascii="Arial" w:hAnsi="Arial" w:cs="Arial"/>
                <w:sz w:val="18"/>
                <w:szCs w:val="18"/>
              </w:rPr>
              <w:t>Oral</w:t>
            </w:r>
            <w:r w:rsidRPr="00FE6A25">
              <w:rPr>
                <w:rFonts w:ascii="Arial" w:hAnsi="Arial" w:cs="Arial"/>
                <w:spacing w:val="-4"/>
                <w:sz w:val="18"/>
                <w:szCs w:val="18"/>
              </w:rPr>
              <w:t xml:space="preserve"> </w:t>
            </w:r>
            <w:r w:rsidRPr="00FE6A25">
              <w:rPr>
                <w:rFonts w:ascii="Arial" w:hAnsi="Arial" w:cs="Arial"/>
                <w:sz w:val="18"/>
                <w:szCs w:val="18"/>
              </w:rPr>
              <w:t>questions</w:t>
            </w:r>
          </w:p>
        </w:tc>
      </w:tr>
    </w:tbl>
    <w:p w14:paraId="7C6272A3" w14:textId="77777777" w:rsidR="00754FDA" w:rsidRDefault="00754FDA" w:rsidP="00853472">
      <w:pPr>
        <w:jc w:val="both"/>
        <w:rPr>
          <w:rFonts w:ascii="Arial" w:eastAsia="Times New Roman" w:hAnsi="Arial" w:cs="Times New Roman"/>
          <w:sz w:val="20"/>
        </w:rPr>
      </w:pPr>
    </w:p>
    <w:p w14:paraId="683F994F" w14:textId="3BFE4604" w:rsidR="00FE6A25" w:rsidRPr="005F4E8A" w:rsidRDefault="00FE6A25" w:rsidP="005F4E8A">
      <w:pPr>
        <w:numPr>
          <w:ilvl w:val="1"/>
          <w:numId w:val="178"/>
        </w:numPr>
        <w:jc w:val="both"/>
        <w:rPr>
          <w:rFonts w:ascii="Arial" w:eastAsia="Times New Roman" w:hAnsi="Arial" w:cs="Times New Roman"/>
          <w:sz w:val="20"/>
        </w:rPr>
      </w:pPr>
      <w:r w:rsidRPr="00FE6A25">
        <w:rPr>
          <w:rFonts w:ascii="Arial" w:eastAsia="Times New Roman" w:hAnsi="Arial" w:cs="Times New Roman"/>
          <w:sz w:val="20"/>
        </w:rPr>
        <w:t>The skill test contents and sections set out in this point should be used for the skill test for the issue of a BPL with privileges for the gas balloon class:</w:t>
      </w:r>
    </w:p>
    <w:p w14:paraId="7023C67C" w14:textId="145DF1DA" w:rsidR="00BA1962" w:rsidRPr="00CE68A2" w:rsidRDefault="00FE6A25" w:rsidP="005F4E8A">
      <w:pPr>
        <w:ind w:left="1273"/>
        <w:jc w:val="both"/>
        <w:rPr>
          <w:rFonts w:ascii="Arial" w:eastAsia="Times New Roman" w:hAnsi="Arial" w:cs="Times New Roman"/>
          <w:i/>
          <w:sz w:val="20"/>
        </w:rPr>
      </w:pPr>
      <w:r w:rsidRPr="00CE68A2">
        <w:rPr>
          <w:rFonts w:ascii="Arial" w:eastAsia="Times New Roman" w:hAnsi="Arial" w:cs="Times New Roman"/>
          <w:i/>
          <w:sz w:val="20"/>
        </w:rPr>
        <w:t>Note: Use of checklist(s), airmanship, control of balloon by external visual reference, look-</w:t>
      </w:r>
      <w:r w:rsidRPr="00CE68A2">
        <w:rPr>
          <w:rFonts w:ascii="Arial" w:eastAsia="Times New Roman" w:hAnsi="Arial" w:cs="Times New Roman"/>
          <w:i/>
          <w:sz w:val="20"/>
        </w:rPr>
        <w:lastRenderedPageBreak/>
        <w:t>out procedures, etc. apply in all sections.</w:t>
      </w:r>
    </w:p>
    <w:p w14:paraId="16D1FA9F" w14:textId="77777777" w:rsidR="000F5C26" w:rsidRPr="00FE6A25" w:rsidRDefault="000F5C26" w:rsidP="00FE6A25">
      <w:pPr>
        <w:ind w:left="1273"/>
        <w:jc w:val="both"/>
        <w:rPr>
          <w:rFonts w:ascii="Arial" w:eastAsia="Times New Roman" w:hAnsi="Arial" w:cs="Times New Roman"/>
          <w:sz w:val="20"/>
        </w:rPr>
      </w:pPr>
    </w:p>
    <w:tbl>
      <w:tblPr>
        <w:tblStyle w:val="TableGrid31"/>
        <w:tblW w:w="0" w:type="auto"/>
        <w:tblInd w:w="988" w:type="dxa"/>
        <w:tblLayout w:type="fixed"/>
        <w:tblLook w:val="01E0" w:firstRow="1" w:lastRow="1" w:firstColumn="1" w:lastColumn="1" w:noHBand="0" w:noVBand="0"/>
      </w:tblPr>
      <w:tblGrid>
        <w:gridCol w:w="590"/>
        <w:gridCol w:w="7359"/>
      </w:tblGrid>
      <w:tr w:rsidR="000F5C26" w:rsidRPr="000F5C26" w14:paraId="59B78C20" w14:textId="77777777" w:rsidTr="00BA1962">
        <w:trPr>
          <w:trHeight w:val="200"/>
        </w:trPr>
        <w:tc>
          <w:tcPr>
            <w:tcW w:w="7949" w:type="dxa"/>
            <w:gridSpan w:val="2"/>
            <w:shd w:val="clear" w:color="auto" w:fill="F2F2F2" w:themeFill="background1" w:themeFillShade="F2"/>
          </w:tcPr>
          <w:p w14:paraId="1088587E" w14:textId="77777777" w:rsidR="000F5C26" w:rsidRPr="000F5C26" w:rsidRDefault="000F5C26" w:rsidP="00670AAB">
            <w:pPr>
              <w:pStyle w:val="TableParagraph"/>
              <w:spacing w:before="1" w:line="222" w:lineRule="exact"/>
              <w:ind w:left="86"/>
              <w:rPr>
                <w:rFonts w:ascii="Arial" w:hAnsi="Arial" w:cs="Arial"/>
                <w:b/>
                <w:sz w:val="18"/>
                <w:szCs w:val="18"/>
              </w:rPr>
            </w:pPr>
            <w:r w:rsidRPr="000F5C26">
              <w:rPr>
                <w:rFonts w:ascii="Arial" w:hAnsi="Arial" w:cs="Arial"/>
                <w:b/>
                <w:sz w:val="18"/>
                <w:szCs w:val="18"/>
              </w:rPr>
              <w:t>SECTION</w:t>
            </w:r>
            <w:r w:rsidRPr="000F5C26">
              <w:rPr>
                <w:rFonts w:ascii="Arial" w:hAnsi="Arial" w:cs="Arial"/>
                <w:b/>
                <w:spacing w:val="-3"/>
                <w:sz w:val="18"/>
                <w:szCs w:val="18"/>
              </w:rPr>
              <w:t xml:space="preserve"> </w:t>
            </w:r>
            <w:r w:rsidRPr="000F5C26">
              <w:rPr>
                <w:rFonts w:ascii="Arial" w:hAnsi="Arial" w:cs="Arial"/>
                <w:b/>
                <w:sz w:val="18"/>
                <w:szCs w:val="18"/>
              </w:rPr>
              <w:t>1:</w:t>
            </w:r>
            <w:r w:rsidRPr="000F5C26">
              <w:rPr>
                <w:rFonts w:ascii="Arial" w:hAnsi="Arial" w:cs="Arial"/>
                <w:b/>
                <w:spacing w:val="-3"/>
                <w:sz w:val="18"/>
                <w:szCs w:val="18"/>
              </w:rPr>
              <w:t xml:space="preserve"> </w:t>
            </w:r>
            <w:r w:rsidRPr="000F5C26">
              <w:rPr>
                <w:rFonts w:ascii="Arial" w:hAnsi="Arial" w:cs="Arial"/>
                <w:b/>
                <w:sz w:val="18"/>
                <w:szCs w:val="18"/>
              </w:rPr>
              <w:t>PRE-FLIGHT</w:t>
            </w:r>
            <w:r w:rsidRPr="000F5C26">
              <w:rPr>
                <w:rFonts w:ascii="Arial" w:hAnsi="Arial" w:cs="Arial"/>
                <w:b/>
                <w:spacing w:val="-4"/>
                <w:sz w:val="18"/>
                <w:szCs w:val="18"/>
              </w:rPr>
              <w:t xml:space="preserve"> </w:t>
            </w:r>
            <w:r w:rsidRPr="000F5C26">
              <w:rPr>
                <w:rFonts w:ascii="Arial" w:hAnsi="Arial" w:cs="Arial"/>
                <w:b/>
                <w:sz w:val="18"/>
                <w:szCs w:val="18"/>
              </w:rPr>
              <w:t>OPERATIONS,</w:t>
            </w:r>
            <w:r w:rsidRPr="000F5C26">
              <w:rPr>
                <w:rFonts w:ascii="Arial" w:hAnsi="Arial" w:cs="Arial"/>
                <w:b/>
                <w:spacing w:val="-5"/>
                <w:sz w:val="18"/>
                <w:szCs w:val="18"/>
              </w:rPr>
              <w:t xml:space="preserve"> </w:t>
            </w:r>
            <w:r w:rsidRPr="000F5C26">
              <w:rPr>
                <w:rFonts w:ascii="Arial" w:hAnsi="Arial" w:cs="Arial"/>
                <w:b/>
                <w:sz w:val="18"/>
                <w:szCs w:val="18"/>
              </w:rPr>
              <w:t>INFLATION</w:t>
            </w:r>
            <w:r w:rsidRPr="000F5C26">
              <w:rPr>
                <w:rFonts w:ascii="Arial" w:hAnsi="Arial" w:cs="Arial"/>
                <w:b/>
                <w:spacing w:val="-3"/>
                <w:sz w:val="18"/>
                <w:szCs w:val="18"/>
              </w:rPr>
              <w:t xml:space="preserve"> </w:t>
            </w:r>
            <w:r w:rsidRPr="000F5C26">
              <w:rPr>
                <w:rFonts w:ascii="Arial" w:hAnsi="Arial" w:cs="Arial"/>
                <w:b/>
                <w:sz w:val="18"/>
                <w:szCs w:val="18"/>
              </w:rPr>
              <w:t>AND</w:t>
            </w:r>
            <w:r w:rsidRPr="000F5C26">
              <w:rPr>
                <w:rFonts w:ascii="Arial" w:hAnsi="Arial" w:cs="Arial"/>
                <w:b/>
                <w:spacing w:val="-3"/>
                <w:sz w:val="18"/>
                <w:szCs w:val="18"/>
              </w:rPr>
              <w:t xml:space="preserve"> </w:t>
            </w:r>
            <w:r w:rsidRPr="000F5C26">
              <w:rPr>
                <w:rFonts w:ascii="Arial" w:hAnsi="Arial" w:cs="Arial"/>
                <w:b/>
                <w:sz w:val="18"/>
                <w:szCs w:val="18"/>
              </w:rPr>
              <w:t>TAKE-OFF</w:t>
            </w:r>
          </w:p>
        </w:tc>
      </w:tr>
      <w:tr w:rsidR="000F5C26" w:rsidRPr="000F5C26" w14:paraId="37644AF6" w14:textId="77777777" w:rsidTr="00BA1962">
        <w:trPr>
          <w:trHeight w:val="689"/>
        </w:trPr>
        <w:tc>
          <w:tcPr>
            <w:tcW w:w="590" w:type="dxa"/>
          </w:tcPr>
          <w:p w14:paraId="718783DC" w14:textId="77777777" w:rsidR="000F5C26" w:rsidRPr="000F5C26" w:rsidRDefault="000F5C26" w:rsidP="00670AAB">
            <w:pPr>
              <w:pStyle w:val="TableParagraph"/>
              <w:ind w:left="86"/>
              <w:rPr>
                <w:rFonts w:ascii="Arial" w:hAnsi="Arial" w:cs="Arial"/>
                <w:sz w:val="18"/>
                <w:szCs w:val="18"/>
              </w:rPr>
            </w:pPr>
            <w:r w:rsidRPr="000F5C26">
              <w:rPr>
                <w:rFonts w:ascii="Arial" w:hAnsi="Arial" w:cs="Arial"/>
                <w:w w:val="99"/>
                <w:sz w:val="18"/>
                <w:szCs w:val="18"/>
              </w:rPr>
              <w:t>a</w:t>
            </w:r>
          </w:p>
        </w:tc>
        <w:tc>
          <w:tcPr>
            <w:tcW w:w="7359" w:type="dxa"/>
          </w:tcPr>
          <w:p w14:paraId="76DA7FC3" w14:textId="77777777" w:rsidR="000F5C26" w:rsidRPr="000F5C26" w:rsidRDefault="000F5C26" w:rsidP="00670AAB">
            <w:pPr>
              <w:pStyle w:val="TableParagraph"/>
              <w:spacing w:line="240" w:lineRule="atLeast"/>
              <w:rPr>
                <w:rFonts w:ascii="Arial" w:hAnsi="Arial" w:cs="Arial"/>
                <w:sz w:val="18"/>
                <w:szCs w:val="18"/>
              </w:rPr>
            </w:pPr>
            <w:r w:rsidRPr="000F5C26">
              <w:rPr>
                <w:rFonts w:ascii="Arial" w:hAnsi="Arial" w:cs="Arial"/>
                <w:sz w:val="18"/>
                <w:szCs w:val="18"/>
              </w:rPr>
              <w:t>Pre-flight documentation (licence, medical certificate, permits to take off, insurance</w:t>
            </w:r>
            <w:r w:rsidRPr="000F5C26">
              <w:rPr>
                <w:rFonts w:ascii="Arial" w:hAnsi="Arial" w:cs="Arial"/>
                <w:spacing w:val="1"/>
                <w:sz w:val="18"/>
                <w:szCs w:val="18"/>
              </w:rPr>
              <w:t xml:space="preserve"> </w:t>
            </w:r>
            <w:r w:rsidRPr="000F5C26">
              <w:rPr>
                <w:rFonts w:ascii="Arial" w:hAnsi="Arial" w:cs="Arial"/>
                <w:sz w:val="18"/>
                <w:szCs w:val="18"/>
              </w:rPr>
              <w:t>certificate, aeronautical charts, AFM, logbook, technical logbook, checklists, etc.), flight</w:t>
            </w:r>
            <w:r w:rsidRPr="000F5C26">
              <w:rPr>
                <w:rFonts w:ascii="Arial" w:hAnsi="Arial" w:cs="Arial"/>
                <w:spacing w:val="-43"/>
                <w:sz w:val="18"/>
                <w:szCs w:val="18"/>
              </w:rPr>
              <w:t xml:space="preserve"> </w:t>
            </w:r>
            <w:r w:rsidRPr="000F5C26">
              <w:rPr>
                <w:rFonts w:ascii="Arial" w:hAnsi="Arial" w:cs="Arial"/>
                <w:sz w:val="18"/>
                <w:szCs w:val="18"/>
              </w:rPr>
              <w:t>planning,</w:t>
            </w:r>
            <w:r w:rsidRPr="000F5C26">
              <w:rPr>
                <w:rFonts w:ascii="Arial" w:hAnsi="Arial" w:cs="Arial"/>
                <w:spacing w:val="-1"/>
                <w:sz w:val="18"/>
                <w:szCs w:val="18"/>
              </w:rPr>
              <w:t xml:space="preserve"> </w:t>
            </w:r>
            <w:r w:rsidRPr="000F5C26">
              <w:rPr>
                <w:rFonts w:ascii="Arial" w:hAnsi="Arial" w:cs="Arial"/>
                <w:sz w:val="18"/>
                <w:szCs w:val="18"/>
              </w:rPr>
              <w:t>NOTAM(s)</w:t>
            </w:r>
            <w:r w:rsidRPr="000F5C26">
              <w:rPr>
                <w:rFonts w:ascii="Arial" w:hAnsi="Arial" w:cs="Arial"/>
                <w:spacing w:val="-1"/>
                <w:sz w:val="18"/>
                <w:szCs w:val="18"/>
              </w:rPr>
              <w:t xml:space="preserve"> </w:t>
            </w:r>
            <w:r w:rsidRPr="000F5C26">
              <w:rPr>
                <w:rFonts w:ascii="Arial" w:hAnsi="Arial" w:cs="Arial"/>
                <w:sz w:val="18"/>
                <w:szCs w:val="18"/>
              </w:rPr>
              <w:t>and weather briefing</w:t>
            </w:r>
          </w:p>
        </w:tc>
      </w:tr>
      <w:tr w:rsidR="000F5C26" w:rsidRPr="000F5C26" w14:paraId="326B9B7A" w14:textId="77777777" w:rsidTr="00BA1962">
        <w:trPr>
          <w:trHeight w:val="202"/>
        </w:trPr>
        <w:tc>
          <w:tcPr>
            <w:tcW w:w="590" w:type="dxa"/>
          </w:tcPr>
          <w:p w14:paraId="1D9C813B" w14:textId="77777777" w:rsidR="000F5C26" w:rsidRPr="000F5C26" w:rsidRDefault="000F5C26" w:rsidP="00670AAB">
            <w:pPr>
              <w:pStyle w:val="TableParagraph"/>
              <w:spacing w:line="225" w:lineRule="exact"/>
              <w:ind w:left="86"/>
              <w:rPr>
                <w:rFonts w:ascii="Arial" w:hAnsi="Arial" w:cs="Arial"/>
                <w:sz w:val="18"/>
                <w:szCs w:val="18"/>
              </w:rPr>
            </w:pPr>
            <w:r w:rsidRPr="000F5C26">
              <w:rPr>
                <w:rFonts w:ascii="Arial" w:hAnsi="Arial" w:cs="Arial"/>
                <w:w w:val="99"/>
                <w:sz w:val="18"/>
                <w:szCs w:val="18"/>
              </w:rPr>
              <w:t>b</w:t>
            </w:r>
          </w:p>
        </w:tc>
        <w:tc>
          <w:tcPr>
            <w:tcW w:w="7359" w:type="dxa"/>
          </w:tcPr>
          <w:p w14:paraId="18168150" w14:textId="77777777" w:rsidR="000F5C26" w:rsidRPr="000F5C26" w:rsidRDefault="000F5C26" w:rsidP="00670AAB">
            <w:pPr>
              <w:pStyle w:val="TableParagraph"/>
              <w:spacing w:line="225" w:lineRule="exact"/>
              <w:rPr>
                <w:rFonts w:ascii="Arial" w:hAnsi="Arial" w:cs="Arial"/>
                <w:sz w:val="18"/>
                <w:szCs w:val="18"/>
              </w:rPr>
            </w:pPr>
            <w:r w:rsidRPr="000F5C26">
              <w:rPr>
                <w:rFonts w:ascii="Arial" w:hAnsi="Arial" w:cs="Arial"/>
                <w:sz w:val="18"/>
                <w:szCs w:val="18"/>
              </w:rPr>
              <w:t>Balloon</w:t>
            </w:r>
            <w:r w:rsidRPr="000F5C26">
              <w:rPr>
                <w:rFonts w:ascii="Arial" w:hAnsi="Arial" w:cs="Arial"/>
                <w:spacing w:val="-3"/>
                <w:sz w:val="18"/>
                <w:szCs w:val="18"/>
              </w:rPr>
              <w:t xml:space="preserve"> </w:t>
            </w:r>
            <w:r w:rsidRPr="000F5C26">
              <w:rPr>
                <w:rFonts w:ascii="Arial" w:hAnsi="Arial" w:cs="Arial"/>
                <w:sz w:val="18"/>
                <w:szCs w:val="18"/>
              </w:rPr>
              <w:t>inspection</w:t>
            </w:r>
            <w:r w:rsidRPr="000F5C26">
              <w:rPr>
                <w:rFonts w:ascii="Arial" w:hAnsi="Arial" w:cs="Arial"/>
                <w:spacing w:val="-3"/>
                <w:sz w:val="18"/>
                <w:szCs w:val="18"/>
              </w:rPr>
              <w:t xml:space="preserve"> </w:t>
            </w:r>
            <w:r w:rsidRPr="000F5C26">
              <w:rPr>
                <w:rFonts w:ascii="Arial" w:hAnsi="Arial" w:cs="Arial"/>
                <w:sz w:val="18"/>
                <w:szCs w:val="18"/>
              </w:rPr>
              <w:t>and</w:t>
            </w:r>
            <w:r w:rsidRPr="000F5C26">
              <w:rPr>
                <w:rFonts w:ascii="Arial" w:hAnsi="Arial" w:cs="Arial"/>
                <w:spacing w:val="-3"/>
                <w:sz w:val="18"/>
                <w:szCs w:val="18"/>
              </w:rPr>
              <w:t xml:space="preserve"> </w:t>
            </w:r>
            <w:r w:rsidRPr="000F5C26">
              <w:rPr>
                <w:rFonts w:ascii="Arial" w:hAnsi="Arial" w:cs="Arial"/>
                <w:sz w:val="18"/>
                <w:szCs w:val="18"/>
              </w:rPr>
              <w:t>servicing</w:t>
            </w:r>
          </w:p>
        </w:tc>
      </w:tr>
      <w:tr w:rsidR="000F5C26" w:rsidRPr="000F5C26" w14:paraId="5F0B1502" w14:textId="77777777" w:rsidTr="00BA1962">
        <w:trPr>
          <w:trHeight w:val="200"/>
        </w:trPr>
        <w:tc>
          <w:tcPr>
            <w:tcW w:w="590" w:type="dxa"/>
          </w:tcPr>
          <w:p w14:paraId="653860C0" w14:textId="77777777" w:rsidR="000F5C26" w:rsidRPr="000F5C26" w:rsidRDefault="000F5C26" w:rsidP="00670AAB">
            <w:pPr>
              <w:pStyle w:val="TableParagraph"/>
              <w:spacing w:line="223" w:lineRule="exact"/>
              <w:ind w:left="86"/>
              <w:rPr>
                <w:rFonts w:ascii="Arial" w:hAnsi="Arial" w:cs="Arial"/>
                <w:sz w:val="18"/>
                <w:szCs w:val="18"/>
              </w:rPr>
            </w:pPr>
            <w:r w:rsidRPr="000F5C26">
              <w:rPr>
                <w:rFonts w:ascii="Arial" w:hAnsi="Arial" w:cs="Arial"/>
                <w:w w:val="99"/>
                <w:sz w:val="18"/>
                <w:szCs w:val="18"/>
              </w:rPr>
              <w:t>c</w:t>
            </w:r>
          </w:p>
        </w:tc>
        <w:tc>
          <w:tcPr>
            <w:tcW w:w="7359" w:type="dxa"/>
          </w:tcPr>
          <w:p w14:paraId="3EE47FE4" w14:textId="77777777" w:rsidR="000F5C26" w:rsidRPr="000F5C26" w:rsidRDefault="000F5C26" w:rsidP="00670AAB">
            <w:pPr>
              <w:pStyle w:val="TableParagraph"/>
              <w:spacing w:line="223" w:lineRule="exact"/>
              <w:rPr>
                <w:rFonts w:ascii="Arial" w:hAnsi="Arial" w:cs="Arial"/>
                <w:sz w:val="18"/>
                <w:szCs w:val="18"/>
              </w:rPr>
            </w:pPr>
            <w:r w:rsidRPr="000F5C26">
              <w:rPr>
                <w:rFonts w:ascii="Arial" w:hAnsi="Arial" w:cs="Arial"/>
                <w:sz w:val="18"/>
                <w:szCs w:val="18"/>
              </w:rPr>
              <w:t>Suitability</w:t>
            </w:r>
            <w:r w:rsidRPr="000F5C26">
              <w:rPr>
                <w:rFonts w:ascii="Arial" w:hAnsi="Arial" w:cs="Arial"/>
                <w:spacing w:val="-2"/>
                <w:sz w:val="18"/>
                <w:szCs w:val="18"/>
              </w:rPr>
              <w:t xml:space="preserve"> </w:t>
            </w:r>
            <w:r w:rsidRPr="000F5C26">
              <w:rPr>
                <w:rFonts w:ascii="Arial" w:hAnsi="Arial" w:cs="Arial"/>
                <w:sz w:val="18"/>
                <w:szCs w:val="18"/>
              </w:rPr>
              <w:t>of</w:t>
            </w:r>
            <w:r w:rsidRPr="000F5C26">
              <w:rPr>
                <w:rFonts w:ascii="Arial" w:hAnsi="Arial" w:cs="Arial"/>
                <w:spacing w:val="-4"/>
                <w:sz w:val="18"/>
                <w:szCs w:val="18"/>
              </w:rPr>
              <w:t xml:space="preserve"> </w:t>
            </w:r>
            <w:r w:rsidRPr="000F5C26">
              <w:rPr>
                <w:rFonts w:ascii="Arial" w:hAnsi="Arial" w:cs="Arial"/>
                <w:sz w:val="18"/>
                <w:szCs w:val="18"/>
              </w:rPr>
              <w:t>launch</w:t>
            </w:r>
            <w:r w:rsidRPr="000F5C26">
              <w:rPr>
                <w:rFonts w:ascii="Arial" w:hAnsi="Arial" w:cs="Arial"/>
                <w:spacing w:val="-3"/>
                <w:sz w:val="18"/>
                <w:szCs w:val="18"/>
              </w:rPr>
              <w:t xml:space="preserve"> </w:t>
            </w:r>
            <w:r w:rsidRPr="000F5C26">
              <w:rPr>
                <w:rFonts w:ascii="Arial" w:hAnsi="Arial" w:cs="Arial"/>
                <w:sz w:val="18"/>
                <w:szCs w:val="18"/>
              </w:rPr>
              <w:t>site</w:t>
            </w:r>
          </w:p>
        </w:tc>
      </w:tr>
      <w:tr w:rsidR="000F5C26" w:rsidRPr="000F5C26" w14:paraId="69199773" w14:textId="77777777" w:rsidTr="00BA1962">
        <w:trPr>
          <w:trHeight w:val="202"/>
        </w:trPr>
        <w:tc>
          <w:tcPr>
            <w:tcW w:w="590" w:type="dxa"/>
          </w:tcPr>
          <w:p w14:paraId="4731DCFF" w14:textId="77777777" w:rsidR="000F5C26" w:rsidRPr="000F5C26" w:rsidRDefault="000F5C26" w:rsidP="00670AAB">
            <w:pPr>
              <w:pStyle w:val="TableParagraph"/>
              <w:spacing w:line="225" w:lineRule="exact"/>
              <w:ind w:left="86"/>
              <w:rPr>
                <w:rFonts w:ascii="Arial" w:hAnsi="Arial" w:cs="Arial"/>
                <w:sz w:val="18"/>
                <w:szCs w:val="18"/>
              </w:rPr>
            </w:pPr>
            <w:r w:rsidRPr="000F5C26">
              <w:rPr>
                <w:rFonts w:ascii="Arial" w:hAnsi="Arial" w:cs="Arial"/>
                <w:w w:val="99"/>
                <w:sz w:val="18"/>
                <w:szCs w:val="18"/>
              </w:rPr>
              <w:t>d</w:t>
            </w:r>
          </w:p>
        </w:tc>
        <w:tc>
          <w:tcPr>
            <w:tcW w:w="7359" w:type="dxa"/>
          </w:tcPr>
          <w:p w14:paraId="5EF7F25C" w14:textId="77777777" w:rsidR="000F5C26" w:rsidRPr="000F5C26" w:rsidRDefault="000F5C26" w:rsidP="00670AAB">
            <w:pPr>
              <w:pStyle w:val="TableParagraph"/>
              <w:spacing w:line="225" w:lineRule="exact"/>
              <w:rPr>
                <w:rFonts w:ascii="Arial" w:hAnsi="Arial" w:cs="Arial"/>
                <w:sz w:val="18"/>
                <w:szCs w:val="18"/>
              </w:rPr>
            </w:pPr>
            <w:r w:rsidRPr="000F5C26">
              <w:rPr>
                <w:rFonts w:ascii="Arial" w:hAnsi="Arial" w:cs="Arial"/>
                <w:sz w:val="18"/>
                <w:szCs w:val="18"/>
              </w:rPr>
              <w:t>Load</w:t>
            </w:r>
            <w:r w:rsidRPr="000F5C26">
              <w:rPr>
                <w:rFonts w:ascii="Arial" w:hAnsi="Arial" w:cs="Arial"/>
                <w:spacing w:val="-2"/>
                <w:sz w:val="18"/>
                <w:szCs w:val="18"/>
              </w:rPr>
              <w:t xml:space="preserve"> </w:t>
            </w:r>
            <w:r w:rsidRPr="000F5C26">
              <w:rPr>
                <w:rFonts w:ascii="Arial" w:hAnsi="Arial" w:cs="Arial"/>
                <w:sz w:val="18"/>
                <w:szCs w:val="18"/>
              </w:rPr>
              <w:t>calculation</w:t>
            </w:r>
          </w:p>
        </w:tc>
      </w:tr>
      <w:tr w:rsidR="000F5C26" w:rsidRPr="000F5C26" w14:paraId="2CCCF17D" w14:textId="77777777" w:rsidTr="00BA1962">
        <w:trPr>
          <w:trHeight w:val="200"/>
        </w:trPr>
        <w:tc>
          <w:tcPr>
            <w:tcW w:w="590" w:type="dxa"/>
          </w:tcPr>
          <w:p w14:paraId="15D4036D" w14:textId="77777777" w:rsidR="000F5C26" w:rsidRPr="000F5C26" w:rsidRDefault="000F5C26" w:rsidP="00670AAB">
            <w:pPr>
              <w:pStyle w:val="TableParagraph"/>
              <w:spacing w:line="223" w:lineRule="exact"/>
              <w:ind w:left="86"/>
              <w:rPr>
                <w:rFonts w:ascii="Arial" w:hAnsi="Arial" w:cs="Arial"/>
                <w:sz w:val="18"/>
                <w:szCs w:val="18"/>
              </w:rPr>
            </w:pPr>
            <w:r w:rsidRPr="000F5C26">
              <w:rPr>
                <w:rFonts w:ascii="Arial" w:hAnsi="Arial" w:cs="Arial"/>
                <w:w w:val="99"/>
                <w:sz w:val="18"/>
                <w:szCs w:val="18"/>
              </w:rPr>
              <w:t>e</w:t>
            </w:r>
          </w:p>
        </w:tc>
        <w:tc>
          <w:tcPr>
            <w:tcW w:w="7359" w:type="dxa"/>
          </w:tcPr>
          <w:p w14:paraId="01942E9D" w14:textId="77777777" w:rsidR="000F5C26" w:rsidRPr="000F5C26" w:rsidRDefault="000F5C26" w:rsidP="00670AAB">
            <w:pPr>
              <w:pStyle w:val="TableParagraph"/>
              <w:spacing w:line="223" w:lineRule="exact"/>
              <w:rPr>
                <w:rFonts w:ascii="Arial" w:hAnsi="Arial" w:cs="Arial"/>
                <w:sz w:val="18"/>
                <w:szCs w:val="18"/>
              </w:rPr>
            </w:pPr>
            <w:r w:rsidRPr="000F5C26">
              <w:rPr>
                <w:rFonts w:ascii="Arial" w:hAnsi="Arial" w:cs="Arial"/>
                <w:sz w:val="18"/>
                <w:szCs w:val="18"/>
              </w:rPr>
              <w:t>Crowd</w:t>
            </w:r>
            <w:r w:rsidRPr="000F5C26">
              <w:rPr>
                <w:rFonts w:ascii="Arial" w:hAnsi="Arial" w:cs="Arial"/>
                <w:spacing w:val="-3"/>
                <w:sz w:val="18"/>
                <w:szCs w:val="18"/>
              </w:rPr>
              <w:t xml:space="preserve"> </w:t>
            </w:r>
            <w:r w:rsidRPr="000F5C26">
              <w:rPr>
                <w:rFonts w:ascii="Arial" w:hAnsi="Arial" w:cs="Arial"/>
                <w:sz w:val="18"/>
                <w:szCs w:val="18"/>
              </w:rPr>
              <w:t>control,</w:t>
            </w:r>
            <w:r w:rsidRPr="000F5C26">
              <w:rPr>
                <w:rFonts w:ascii="Arial" w:hAnsi="Arial" w:cs="Arial"/>
                <w:spacing w:val="-2"/>
                <w:sz w:val="18"/>
                <w:szCs w:val="18"/>
              </w:rPr>
              <w:t xml:space="preserve"> </w:t>
            </w:r>
            <w:r w:rsidRPr="000F5C26">
              <w:rPr>
                <w:rFonts w:ascii="Arial" w:hAnsi="Arial" w:cs="Arial"/>
                <w:sz w:val="18"/>
                <w:szCs w:val="18"/>
              </w:rPr>
              <w:t>crew</w:t>
            </w:r>
            <w:r w:rsidRPr="000F5C26">
              <w:rPr>
                <w:rFonts w:ascii="Arial" w:hAnsi="Arial" w:cs="Arial"/>
                <w:spacing w:val="-3"/>
                <w:sz w:val="18"/>
                <w:szCs w:val="18"/>
              </w:rPr>
              <w:t xml:space="preserve"> </w:t>
            </w:r>
            <w:r w:rsidRPr="000F5C26">
              <w:rPr>
                <w:rFonts w:ascii="Arial" w:hAnsi="Arial" w:cs="Arial"/>
                <w:sz w:val="18"/>
                <w:szCs w:val="18"/>
              </w:rPr>
              <w:t>and</w:t>
            </w:r>
            <w:r w:rsidRPr="000F5C26">
              <w:rPr>
                <w:rFonts w:ascii="Arial" w:hAnsi="Arial" w:cs="Arial"/>
                <w:spacing w:val="-2"/>
                <w:sz w:val="18"/>
                <w:szCs w:val="18"/>
              </w:rPr>
              <w:t xml:space="preserve"> </w:t>
            </w:r>
            <w:r w:rsidRPr="000F5C26">
              <w:rPr>
                <w:rFonts w:ascii="Arial" w:hAnsi="Arial" w:cs="Arial"/>
                <w:sz w:val="18"/>
                <w:szCs w:val="18"/>
              </w:rPr>
              <w:t>passenger</w:t>
            </w:r>
            <w:r w:rsidRPr="000F5C26">
              <w:rPr>
                <w:rFonts w:ascii="Arial" w:hAnsi="Arial" w:cs="Arial"/>
                <w:spacing w:val="-2"/>
                <w:sz w:val="18"/>
                <w:szCs w:val="18"/>
              </w:rPr>
              <w:t xml:space="preserve"> </w:t>
            </w:r>
            <w:r w:rsidRPr="000F5C26">
              <w:rPr>
                <w:rFonts w:ascii="Arial" w:hAnsi="Arial" w:cs="Arial"/>
                <w:sz w:val="18"/>
                <w:szCs w:val="18"/>
              </w:rPr>
              <w:t>briefings</w:t>
            </w:r>
          </w:p>
        </w:tc>
      </w:tr>
      <w:tr w:rsidR="000F5C26" w:rsidRPr="000F5C26" w14:paraId="5EA694E7" w14:textId="77777777" w:rsidTr="00BA1962">
        <w:trPr>
          <w:trHeight w:val="202"/>
        </w:trPr>
        <w:tc>
          <w:tcPr>
            <w:tcW w:w="590" w:type="dxa"/>
          </w:tcPr>
          <w:p w14:paraId="4D590195" w14:textId="77777777" w:rsidR="000F5C26" w:rsidRPr="000F5C26" w:rsidRDefault="000F5C26" w:rsidP="00670AAB">
            <w:pPr>
              <w:pStyle w:val="TableParagraph"/>
              <w:spacing w:before="1" w:line="225" w:lineRule="exact"/>
              <w:ind w:left="86"/>
              <w:rPr>
                <w:rFonts w:ascii="Arial" w:hAnsi="Arial" w:cs="Arial"/>
                <w:sz w:val="18"/>
                <w:szCs w:val="18"/>
              </w:rPr>
            </w:pPr>
            <w:r w:rsidRPr="000F5C26">
              <w:rPr>
                <w:rFonts w:ascii="Arial" w:hAnsi="Arial" w:cs="Arial"/>
                <w:w w:val="99"/>
                <w:sz w:val="18"/>
                <w:szCs w:val="18"/>
              </w:rPr>
              <w:t>f</w:t>
            </w:r>
          </w:p>
        </w:tc>
        <w:tc>
          <w:tcPr>
            <w:tcW w:w="7359" w:type="dxa"/>
          </w:tcPr>
          <w:p w14:paraId="6A9E86CF" w14:textId="77777777" w:rsidR="000F5C26" w:rsidRPr="000F5C26" w:rsidRDefault="000F5C26" w:rsidP="00670AAB">
            <w:pPr>
              <w:pStyle w:val="TableParagraph"/>
              <w:spacing w:before="1" w:line="225" w:lineRule="exact"/>
              <w:rPr>
                <w:rFonts w:ascii="Arial" w:hAnsi="Arial" w:cs="Arial"/>
                <w:sz w:val="18"/>
                <w:szCs w:val="18"/>
              </w:rPr>
            </w:pPr>
            <w:r w:rsidRPr="000F5C26">
              <w:rPr>
                <w:rFonts w:ascii="Arial" w:hAnsi="Arial" w:cs="Arial"/>
                <w:sz w:val="18"/>
                <w:szCs w:val="18"/>
              </w:rPr>
              <w:t>Assembly</w:t>
            </w:r>
            <w:r w:rsidRPr="000F5C26">
              <w:rPr>
                <w:rFonts w:ascii="Arial" w:hAnsi="Arial" w:cs="Arial"/>
                <w:spacing w:val="-3"/>
                <w:sz w:val="18"/>
                <w:szCs w:val="18"/>
              </w:rPr>
              <w:t xml:space="preserve"> </w:t>
            </w:r>
            <w:r w:rsidRPr="000F5C26">
              <w:rPr>
                <w:rFonts w:ascii="Arial" w:hAnsi="Arial" w:cs="Arial"/>
                <w:sz w:val="18"/>
                <w:szCs w:val="18"/>
              </w:rPr>
              <w:t>and</w:t>
            </w:r>
            <w:r w:rsidRPr="000F5C26">
              <w:rPr>
                <w:rFonts w:ascii="Arial" w:hAnsi="Arial" w:cs="Arial"/>
                <w:spacing w:val="-2"/>
                <w:sz w:val="18"/>
                <w:szCs w:val="18"/>
              </w:rPr>
              <w:t xml:space="preserve"> </w:t>
            </w:r>
            <w:r w:rsidRPr="000F5C26">
              <w:rPr>
                <w:rFonts w:ascii="Arial" w:hAnsi="Arial" w:cs="Arial"/>
                <w:sz w:val="18"/>
                <w:szCs w:val="18"/>
              </w:rPr>
              <w:t>layout</w:t>
            </w:r>
          </w:p>
        </w:tc>
      </w:tr>
      <w:tr w:rsidR="000F5C26" w:rsidRPr="000F5C26" w14:paraId="5F28B216" w14:textId="77777777" w:rsidTr="00BA1962">
        <w:trPr>
          <w:trHeight w:val="200"/>
        </w:trPr>
        <w:tc>
          <w:tcPr>
            <w:tcW w:w="590" w:type="dxa"/>
          </w:tcPr>
          <w:p w14:paraId="37AB5CBA" w14:textId="77777777" w:rsidR="000F5C26" w:rsidRPr="000F5C26" w:rsidRDefault="000F5C26" w:rsidP="00670AAB">
            <w:pPr>
              <w:pStyle w:val="TableParagraph"/>
              <w:spacing w:line="223" w:lineRule="exact"/>
              <w:ind w:left="86"/>
              <w:rPr>
                <w:rFonts w:ascii="Arial" w:hAnsi="Arial" w:cs="Arial"/>
                <w:sz w:val="18"/>
                <w:szCs w:val="18"/>
              </w:rPr>
            </w:pPr>
            <w:r w:rsidRPr="000F5C26">
              <w:rPr>
                <w:rFonts w:ascii="Arial" w:hAnsi="Arial" w:cs="Arial"/>
                <w:w w:val="99"/>
                <w:sz w:val="18"/>
                <w:szCs w:val="18"/>
              </w:rPr>
              <w:t>g</w:t>
            </w:r>
          </w:p>
        </w:tc>
        <w:tc>
          <w:tcPr>
            <w:tcW w:w="7359" w:type="dxa"/>
          </w:tcPr>
          <w:p w14:paraId="44111A3F" w14:textId="77777777" w:rsidR="000F5C26" w:rsidRPr="000F5C26" w:rsidRDefault="000F5C26" w:rsidP="00670AAB">
            <w:pPr>
              <w:pStyle w:val="TableParagraph"/>
              <w:spacing w:line="223" w:lineRule="exact"/>
              <w:rPr>
                <w:rFonts w:ascii="Arial" w:hAnsi="Arial" w:cs="Arial"/>
                <w:sz w:val="18"/>
                <w:szCs w:val="18"/>
              </w:rPr>
            </w:pPr>
            <w:r w:rsidRPr="000F5C26">
              <w:rPr>
                <w:rFonts w:ascii="Arial" w:hAnsi="Arial" w:cs="Arial"/>
                <w:sz w:val="18"/>
                <w:szCs w:val="18"/>
              </w:rPr>
              <w:t>Inflation</w:t>
            </w:r>
            <w:r w:rsidRPr="000F5C26">
              <w:rPr>
                <w:rFonts w:ascii="Arial" w:hAnsi="Arial" w:cs="Arial"/>
                <w:spacing w:val="-2"/>
                <w:sz w:val="18"/>
                <w:szCs w:val="18"/>
              </w:rPr>
              <w:t xml:space="preserve"> </w:t>
            </w:r>
            <w:r w:rsidRPr="000F5C26">
              <w:rPr>
                <w:rFonts w:ascii="Arial" w:hAnsi="Arial" w:cs="Arial"/>
                <w:sz w:val="18"/>
                <w:szCs w:val="18"/>
              </w:rPr>
              <w:t>and</w:t>
            </w:r>
            <w:r w:rsidRPr="000F5C26">
              <w:rPr>
                <w:rFonts w:ascii="Arial" w:hAnsi="Arial" w:cs="Arial"/>
                <w:spacing w:val="-3"/>
                <w:sz w:val="18"/>
                <w:szCs w:val="18"/>
              </w:rPr>
              <w:t xml:space="preserve"> </w:t>
            </w:r>
            <w:r w:rsidRPr="000F5C26">
              <w:rPr>
                <w:rFonts w:ascii="Arial" w:hAnsi="Arial" w:cs="Arial"/>
                <w:sz w:val="18"/>
                <w:szCs w:val="18"/>
              </w:rPr>
              <w:t>pre-take-off</w:t>
            </w:r>
            <w:r w:rsidRPr="000F5C26">
              <w:rPr>
                <w:rFonts w:ascii="Arial" w:hAnsi="Arial" w:cs="Arial"/>
                <w:spacing w:val="-5"/>
                <w:sz w:val="18"/>
                <w:szCs w:val="18"/>
              </w:rPr>
              <w:t xml:space="preserve"> </w:t>
            </w:r>
            <w:r w:rsidRPr="000F5C26">
              <w:rPr>
                <w:rFonts w:ascii="Arial" w:hAnsi="Arial" w:cs="Arial"/>
                <w:sz w:val="18"/>
                <w:szCs w:val="18"/>
              </w:rPr>
              <w:t>procedures</w:t>
            </w:r>
          </w:p>
        </w:tc>
      </w:tr>
      <w:tr w:rsidR="000F5C26" w:rsidRPr="000F5C26" w14:paraId="7663BE70" w14:textId="77777777" w:rsidTr="00BA1962">
        <w:trPr>
          <w:trHeight w:val="202"/>
        </w:trPr>
        <w:tc>
          <w:tcPr>
            <w:tcW w:w="590" w:type="dxa"/>
          </w:tcPr>
          <w:p w14:paraId="3744CF9B" w14:textId="77777777" w:rsidR="000F5C26" w:rsidRPr="000F5C26" w:rsidRDefault="000F5C26" w:rsidP="00670AAB">
            <w:pPr>
              <w:pStyle w:val="TableParagraph"/>
              <w:spacing w:line="225" w:lineRule="exact"/>
              <w:ind w:left="86"/>
              <w:rPr>
                <w:rFonts w:ascii="Arial" w:hAnsi="Arial" w:cs="Arial"/>
                <w:sz w:val="18"/>
                <w:szCs w:val="18"/>
              </w:rPr>
            </w:pPr>
            <w:r w:rsidRPr="000F5C26">
              <w:rPr>
                <w:rFonts w:ascii="Arial" w:hAnsi="Arial" w:cs="Arial"/>
                <w:w w:val="99"/>
                <w:sz w:val="18"/>
                <w:szCs w:val="18"/>
              </w:rPr>
              <w:t>h</w:t>
            </w:r>
          </w:p>
        </w:tc>
        <w:tc>
          <w:tcPr>
            <w:tcW w:w="7359" w:type="dxa"/>
          </w:tcPr>
          <w:p w14:paraId="65DD5070" w14:textId="77777777" w:rsidR="000F5C26" w:rsidRPr="000F5C26" w:rsidRDefault="000F5C26" w:rsidP="00670AAB">
            <w:pPr>
              <w:pStyle w:val="TableParagraph"/>
              <w:spacing w:line="225" w:lineRule="exact"/>
              <w:rPr>
                <w:rFonts w:ascii="Arial" w:hAnsi="Arial" w:cs="Arial"/>
                <w:sz w:val="18"/>
                <w:szCs w:val="18"/>
              </w:rPr>
            </w:pPr>
            <w:r w:rsidRPr="000F5C26">
              <w:rPr>
                <w:rFonts w:ascii="Arial" w:hAnsi="Arial" w:cs="Arial"/>
                <w:sz w:val="18"/>
                <w:szCs w:val="18"/>
              </w:rPr>
              <w:t>Take-off</w:t>
            </w:r>
          </w:p>
        </w:tc>
      </w:tr>
      <w:tr w:rsidR="000F5C26" w:rsidRPr="000F5C26" w14:paraId="0F46E06D" w14:textId="77777777" w:rsidTr="00BA1962">
        <w:trPr>
          <w:trHeight w:val="200"/>
        </w:trPr>
        <w:tc>
          <w:tcPr>
            <w:tcW w:w="590" w:type="dxa"/>
          </w:tcPr>
          <w:p w14:paraId="6B8DC226" w14:textId="77777777" w:rsidR="000F5C26" w:rsidRPr="000F5C26" w:rsidRDefault="000F5C26" w:rsidP="00670AAB">
            <w:pPr>
              <w:pStyle w:val="TableParagraph"/>
              <w:spacing w:line="223" w:lineRule="exact"/>
              <w:ind w:left="86"/>
              <w:rPr>
                <w:rFonts w:ascii="Arial" w:hAnsi="Arial" w:cs="Arial"/>
                <w:sz w:val="18"/>
                <w:szCs w:val="18"/>
              </w:rPr>
            </w:pPr>
            <w:r w:rsidRPr="000F5C26">
              <w:rPr>
                <w:rFonts w:ascii="Arial" w:hAnsi="Arial" w:cs="Arial"/>
                <w:w w:val="99"/>
                <w:sz w:val="18"/>
                <w:szCs w:val="18"/>
              </w:rPr>
              <w:t>i</w:t>
            </w:r>
          </w:p>
        </w:tc>
        <w:tc>
          <w:tcPr>
            <w:tcW w:w="7359" w:type="dxa"/>
          </w:tcPr>
          <w:p w14:paraId="385E2890" w14:textId="77777777" w:rsidR="000F5C26" w:rsidRPr="000F5C26" w:rsidRDefault="000F5C26" w:rsidP="00670AAB">
            <w:pPr>
              <w:pStyle w:val="TableParagraph"/>
              <w:spacing w:line="223" w:lineRule="exact"/>
              <w:rPr>
                <w:rFonts w:ascii="Arial" w:hAnsi="Arial" w:cs="Arial"/>
                <w:sz w:val="18"/>
                <w:szCs w:val="18"/>
              </w:rPr>
            </w:pPr>
            <w:r w:rsidRPr="000F5C26">
              <w:rPr>
                <w:rFonts w:ascii="Arial" w:hAnsi="Arial" w:cs="Arial"/>
                <w:sz w:val="18"/>
                <w:szCs w:val="18"/>
              </w:rPr>
              <w:t>ATC</w:t>
            </w:r>
            <w:r w:rsidRPr="000F5C26">
              <w:rPr>
                <w:rFonts w:ascii="Arial" w:hAnsi="Arial" w:cs="Arial"/>
                <w:spacing w:val="-3"/>
                <w:sz w:val="18"/>
                <w:szCs w:val="18"/>
              </w:rPr>
              <w:t xml:space="preserve"> </w:t>
            </w:r>
            <w:r w:rsidRPr="000F5C26">
              <w:rPr>
                <w:rFonts w:ascii="Arial" w:hAnsi="Arial" w:cs="Arial"/>
                <w:sz w:val="18"/>
                <w:szCs w:val="18"/>
              </w:rPr>
              <w:t>compliance</w:t>
            </w:r>
            <w:r w:rsidRPr="000F5C26">
              <w:rPr>
                <w:rFonts w:ascii="Arial" w:hAnsi="Arial" w:cs="Arial"/>
                <w:spacing w:val="-4"/>
                <w:sz w:val="18"/>
                <w:szCs w:val="18"/>
              </w:rPr>
              <w:t xml:space="preserve"> </w:t>
            </w:r>
            <w:r w:rsidRPr="000F5C26">
              <w:rPr>
                <w:rFonts w:ascii="Arial" w:hAnsi="Arial" w:cs="Arial"/>
                <w:sz w:val="18"/>
                <w:szCs w:val="18"/>
              </w:rPr>
              <w:t>(if</w:t>
            </w:r>
            <w:r w:rsidRPr="000F5C26">
              <w:rPr>
                <w:rFonts w:ascii="Arial" w:hAnsi="Arial" w:cs="Arial"/>
                <w:spacing w:val="-3"/>
                <w:sz w:val="18"/>
                <w:szCs w:val="18"/>
              </w:rPr>
              <w:t xml:space="preserve"> </w:t>
            </w:r>
            <w:r w:rsidRPr="000F5C26">
              <w:rPr>
                <w:rFonts w:ascii="Arial" w:hAnsi="Arial" w:cs="Arial"/>
                <w:sz w:val="18"/>
                <w:szCs w:val="18"/>
              </w:rPr>
              <w:t>applicable)</w:t>
            </w:r>
          </w:p>
        </w:tc>
      </w:tr>
      <w:tr w:rsidR="000F5C26" w:rsidRPr="000F5C26" w14:paraId="369BA834" w14:textId="77777777" w:rsidTr="00BA1962">
        <w:trPr>
          <w:trHeight w:val="202"/>
        </w:trPr>
        <w:tc>
          <w:tcPr>
            <w:tcW w:w="7949" w:type="dxa"/>
            <w:gridSpan w:val="2"/>
            <w:shd w:val="clear" w:color="auto" w:fill="F2F2F2" w:themeFill="background1" w:themeFillShade="F2"/>
          </w:tcPr>
          <w:p w14:paraId="2D1C6D59" w14:textId="77777777" w:rsidR="000F5C26" w:rsidRPr="000F5C26" w:rsidRDefault="000F5C26" w:rsidP="00670AAB">
            <w:pPr>
              <w:pStyle w:val="TableParagraph"/>
              <w:spacing w:line="225" w:lineRule="exact"/>
              <w:ind w:left="86"/>
              <w:rPr>
                <w:rFonts w:ascii="Arial" w:hAnsi="Arial" w:cs="Arial"/>
                <w:b/>
                <w:sz w:val="18"/>
                <w:szCs w:val="18"/>
              </w:rPr>
            </w:pPr>
            <w:r w:rsidRPr="000F5C26">
              <w:rPr>
                <w:rFonts w:ascii="Arial" w:hAnsi="Arial" w:cs="Arial"/>
                <w:b/>
                <w:sz w:val="18"/>
                <w:szCs w:val="18"/>
              </w:rPr>
              <w:t>SECTION</w:t>
            </w:r>
            <w:r w:rsidRPr="000F5C26">
              <w:rPr>
                <w:rFonts w:ascii="Arial" w:hAnsi="Arial" w:cs="Arial"/>
                <w:b/>
                <w:spacing w:val="-3"/>
                <w:sz w:val="18"/>
                <w:szCs w:val="18"/>
              </w:rPr>
              <w:t xml:space="preserve"> </w:t>
            </w:r>
            <w:r w:rsidRPr="000F5C26">
              <w:rPr>
                <w:rFonts w:ascii="Arial" w:hAnsi="Arial" w:cs="Arial"/>
                <w:b/>
                <w:sz w:val="18"/>
                <w:szCs w:val="18"/>
              </w:rPr>
              <w:t>2:</w:t>
            </w:r>
            <w:r w:rsidRPr="000F5C26">
              <w:rPr>
                <w:rFonts w:ascii="Arial" w:hAnsi="Arial" w:cs="Arial"/>
                <w:b/>
                <w:spacing w:val="-3"/>
                <w:sz w:val="18"/>
                <w:szCs w:val="18"/>
              </w:rPr>
              <w:t xml:space="preserve"> </w:t>
            </w:r>
            <w:r w:rsidRPr="000F5C26">
              <w:rPr>
                <w:rFonts w:ascii="Arial" w:hAnsi="Arial" w:cs="Arial"/>
                <w:b/>
                <w:sz w:val="18"/>
                <w:szCs w:val="18"/>
              </w:rPr>
              <w:t>GENERAL</w:t>
            </w:r>
            <w:r w:rsidRPr="000F5C26">
              <w:rPr>
                <w:rFonts w:ascii="Arial" w:hAnsi="Arial" w:cs="Arial"/>
                <w:b/>
                <w:spacing w:val="-3"/>
                <w:sz w:val="18"/>
                <w:szCs w:val="18"/>
              </w:rPr>
              <w:t xml:space="preserve"> </w:t>
            </w:r>
            <w:r w:rsidRPr="000F5C26">
              <w:rPr>
                <w:rFonts w:ascii="Arial" w:hAnsi="Arial" w:cs="Arial"/>
                <w:b/>
                <w:sz w:val="18"/>
                <w:szCs w:val="18"/>
              </w:rPr>
              <w:t>AIRWORK</w:t>
            </w:r>
          </w:p>
        </w:tc>
      </w:tr>
      <w:tr w:rsidR="000F5C26" w:rsidRPr="000F5C26" w14:paraId="507CB03E" w14:textId="77777777" w:rsidTr="00BA1962">
        <w:trPr>
          <w:trHeight w:val="199"/>
        </w:trPr>
        <w:tc>
          <w:tcPr>
            <w:tcW w:w="590" w:type="dxa"/>
          </w:tcPr>
          <w:p w14:paraId="0C90A790" w14:textId="77777777" w:rsidR="000F5C26" w:rsidRPr="000F5C26" w:rsidRDefault="000F5C26" w:rsidP="00670AAB">
            <w:pPr>
              <w:pStyle w:val="TableParagraph"/>
              <w:spacing w:line="223" w:lineRule="exact"/>
              <w:ind w:left="86"/>
              <w:rPr>
                <w:rFonts w:ascii="Arial" w:hAnsi="Arial" w:cs="Arial"/>
                <w:sz w:val="18"/>
                <w:szCs w:val="18"/>
              </w:rPr>
            </w:pPr>
            <w:r w:rsidRPr="000F5C26">
              <w:rPr>
                <w:rFonts w:ascii="Arial" w:hAnsi="Arial" w:cs="Arial"/>
                <w:w w:val="99"/>
                <w:sz w:val="18"/>
                <w:szCs w:val="18"/>
              </w:rPr>
              <w:t>a</w:t>
            </w:r>
          </w:p>
        </w:tc>
        <w:tc>
          <w:tcPr>
            <w:tcW w:w="7359" w:type="dxa"/>
          </w:tcPr>
          <w:p w14:paraId="2478FC88" w14:textId="77777777" w:rsidR="000F5C26" w:rsidRPr="000F5C26" w:rsidRDefault="000F5C26" w:rsidP="00670AAB">
            <w:pPr>
              <w:pStyle w:val="TableParagraph"/>
              <w:spacing w:line="223" w:lineRule="exact"/>
              <w:rPr>
                <w:rFonts w:ascii="Arial" w:hAnsi="Arial" w:cs="Arial"/>
                <w:sz w:val="18"/>
                <w:szCs w:val="18"/>
              </w:rPr>
            </w:pPr>
            <w:r w:rsidRPr="000F5C26">
              <w:rPr>
                <w:rFonts w:ascii="Arial" w:hAnsi="Arial" w:cs="Arial"/>
                <w:sz w:val="18"/>
                <w:szCs w:val="18"/>
              </w:rPr>
              <w:t>Climb</w:t>
            </w:r>
            <w:r w:rsidRPr="000F5C26">
              <w:rPr>
                <w:rFonts w:ascii="Arial" w:hAnsi="Arial" w:cs="Arial"/>
                <w:spacing w:val="-3"/>
                <w:sz w:val="18"/>
                <w:szCs w:val="18"/>
              </w:rPr>
              <w:t xml:space="preserve"> </w:t>
            </w:r>
            <w:r w:rsidRPr="000F5C26">
              <w:rPr>
                <w:rFonts w:ascii="Arial" w:hAnsi="Arial" w:cs="Arial"/>
                <w:sz w:val="18"/>
                <w:szCs w:val="18"/>
              </w:rPr>
              <w:t>to</w:t>
            </w:r>
            <w:r w:rsidRPr="000F5C26">
              <w:rPr>
                <w:rFonts w:ascii="Arial" w:hAnsi="Arial" w:cs="Arial"/>
                <w:spacing w:val="-3"/>
                <w:sz w:val="18"/>
                <w:szCs w:val="18"/>
              </w:rPr>
              <w:t xml:space="preserve"> </w:t>
            </w:r>
            <w:r w:rsidRPr="000F5C26">
              <w:rPr>
                <w:rFonts w:ascii="Arial" w:hAnsi="Arial" w:cs="Arial"/>
                <w:sz w:val="18"/>
                <w:szCs w:val="18"/>
              </w:rPr>
              <w:t>level</w:t>
            </w:r>
            <w:r w:rsidRPr="000F5C26">
              <w:rPr>
                <w:rFonts w:ascii="Arial" w:hAnsi="Arial" w:cs="Arial"/>
                <w:spacing w:val="-1"/>
                <w:sz w:val="18"/>
                <w:szCs w:val="18"/>
              </w:rPr>
              <w:t xml:space="preserve"> </w:t>
            </w:r>
            <w:r w:rsidRPr="000F5C26">
              <w:rPr>
                <w:rFonts w:ascii="Arial" w:hAnsi="Arial" w:cs="Arial"/>
                <w:sz w:val="18"/>
                <w:szCs w:val="18"/>
              </w:rPr>
              <w:t>flight</w:t>
            </w:r>
          </w:p>
        </w:tc>
      </w:tr>
      <w:tr w:rsidR="000F5C26" w:rsidRPr="000F5C26" w14:paraId="1CAF2995" w14:textId="77777777" w:rsidTr="00BA1962">
        <w:trPr>
          <w:trHeight w:val="200"/>
        </w:trPr>
        <w:tc>
          <w:tcPr>
            <w:tcW w:w="590" w:type="dxa"/>
          </w:tcPr>
          <w:p w14:paraId="5A821543" w14:textId="77777777" w:rsidR="000F5C26" w:rsidRPr="000F5C26" w:rsidRDefault="000F5C26" w:rsidP="00670AAB">
            <w:pPr>
              <w:pStyle w:val="TableParagraph"/>
              <w:spacing w:line="222" w:lineRule="exact"/>
              <w:ind w:left="86"/>
              <w:rPr>
                <w:rFonts w:ascii="Arial" w:hAnsi="Arial" w:cs="Arial"/>
                <w:sz w:val="18"/>
                <w:szCs w:val="18"/>
              </w:rPr>
            </w:pPr>
            <w:r w:rsidRPr="000F5C26">
              <w:rPr>
                <w:rFonts w:ascii="Arial" w:hAnsi="Arial" w:cs="Arial"/>
                <w:w w:val="99"/>
                <w:sz w:val="18"/>
                <w:szCs w:val="18"/>
              </w:rPr>
              <w:t>b</w:t>
            </w:r>
          </w:p>
        </w:tc>
        <w:tc>
          <w:tcPr>
            <w:tcW w:w="7359" w:type="dxa"/>
          </w:tcPr>
          <w:p w14:paraId="4B7683E8" w14:textId="77777777" w:rsidR="000F5C26" w:rsidRPr="000F5C26" w:rsidRDefault="000F5C26" w:rsidP="00670AAB">
            <w:pPr>
              <w:pStyle w:val="TableParagraph"/>
              <w:spacing w:line="222" w:lineRule="exact"/>
              <w:rPr>
                <w:rFonts w:ascii="Arial" w:hAnsi="Arial" w:cs="Arial"/>
                <w:sz w:val="18"/>
                <w:szCs w:val="18"/>
              </w:rPr>
            </w:pPr>
            <w:r w:rsidRPr="000F5C26">
              <w:rPr>
                <w:rFonts w:ascii="Arial" w:hAnsi="Arial" w:cs="Arial"/>
                <w:sz w:val="18"/>
                <w:szCs w:val="18"/>
              </w:rPr>
              <w:t>Level</w:t>
            </w:r>
            <w:r w:rsidRPr="000F5C26">
              <w:rPr>
                <w:rFonts w:ascii="Arial" w:hAnsi="Arial" w:cs="Arial"/>
                <w:spacing w:val="-4"/>
                <w:sz w:val="18"/>
                <w:szCs w:val="18"/>
              </w:rPr>
              <w:t xml:space="preserve"> </w:t>
            </w:r>
            <w:r w:rsidRPr="000F5C26">
              <w:rPr>
                <w:rFonts w:ascii="Arial" w:hAnsi="Arial" w:cs="Arial"/>
                <w:sz w:val="18"/>
                <w:szCs w:val="18"/>
              </w:rPr>
              <w:t>flight</w:t>
            </w:r>
          </w:p>
        </w:tc>
      </w:tr>
      <w:tr w:rsidR="000F5C26" w:rsidRPr="000F5C26" w14:paraId="07BE3DFC" w14:textId="77777777" w:rsidTr="00BA1962">
        <w:trPr>
          <w:trHeight w:val="202"/>
        </w:trPr>
        <w:tc>
          <w:tcPr>
            <w:tcW w:w="590" w:type="dxa"/>
          </w:tcPr>
          <w:p w14:paraId="06DB0BDB" w14:textId="77777777" w:rsidR="000F5C26" w:rsidRPr="000F5C26" w:rsidRDefault="000F5C26" w:rsidP="00670AAB">
            <w:pPr>
              <w:pStyle w:val="TableParagraph"/>
              <w:spacing w:line="225" w:lineRule="exact"/>
              <w:ind w:left="86"/>
              <w:rPr>
                <w:rFonts w:ascii="Arial" w:hAnsi="Arial" w:cs="Arial"/>
                <w:sz w:val="18"/>
                <w:szCs w:val="18"/>
              </w:rPr>
            </w:pPr>
            <w:r w:rsidRPr="000F5C26">
              <w:rPr>
                <w:rFonts w:ascii="Arial" w:hAnsi="Arial" w:cs="Arial"/>
                <w:w w:val="99"/>
                <w:sz w:val="18"/>
                <w:szCs w:val="18"/>
              </w:rPr>
              <w:t>c</w:t>
            </w:r>
          </w:p>
        </w:tc>
        <w:tc>
          <w:tcPr>
            <w:tcW w:w="7359" w:type="dxa"/>
          </w:tcPr>
          <w:p w14:paraId="1C62720E" w14:textId="77777777" w:rsidR="000F5C26" w:rsidRPr="000F5C26" w:rsidRDefault="000F5C26" w:rsidP="00670AAB">
            <w:pPr>
              <w:pStyle w:val="TableParagraph"/>
              <w:spacing w:line="225" w:lineRule="exact"/>
              <w:rPr>
                <w:rFonts w:ascii="Arial" w:hAnsi="Arial" w:cs="Arial"/>
                <w:sz w:val="18"/>
                <w:szCs w:val="18"/>
              </w:rPr>
            </w:pPr>
            <w:r w:rsidRPr="000F5C26">
              <w:rPr>
                <w:rFonts w:ascii="Arial" w:hAnsi="Arial" w:cs="Arial"/>
                <w:sz w:val="18"/>
                <w:szCs w:val="18"/>
              </w:rPr>
              <w:t>Descent</w:t>
            </w:r>
            <w:r w:rsidRPr="000F5C26">
              <w:rPr>
                <w:rFonts w:ascii="Arial" w:hAnsi="Arial" w:cs="Arial"/>
                <w:spacing w:val="-3"/>
                <w:sz w:val="18"/>
                <w:szCs w:val="18"/>
              </w:rPr>
              <w:t xml:space="preserve"> </w:t>
            </w:r>
            <w:r w:rsidRPr="000F5C26">
              <w:rPr>
                <w:rFonts w:ascii="Arial" w:hAnsi="Arial" w:cs="Arial"/>
                <w:sz w:val="18"/>
                <w:szCs w:val="18"/>
              </w:rPr>
              <w:t>to</w:t>
            </w:r>
            <w:r w:rsidRPr="000F5C26">
              <w:rPr>
                <w:rFonts w:ascii="Arial" w:hAnsi="Arial" w:cs="Arial"/>
                <w:spacing w:val="-3"/>
                <w:sz w:val="18"/>
                <w:szCs w:val="18"/>
              </w:rPr>
              <w:t xml:space="preserve"> </w:t>
            </w:r>
            <w:r w:rsidRPr="000F5C26">
              <w:rPr>
                <w:rFonts w:ascii="Arial" w:hAnsi="Arial" w:cs="Arial"/>
                <w:sz w:val="18"/>
                <w:szCs w:val="18"/>
              </w:rPr>
              <w:t>level</w:t>
            </w:r>
            <w:r w:rsidRPr="000F5C26">
              <w:rPr>
                <w:rFonts w:ascii="Arial" w:hAnsi="Arial" w:cs="Arial"/>
                <w:spacing w:val="-2"/>
                <w:sz w:val="18"/>
                <w:szCs w:val="18"/>
              </w:rPr>
              <w:t xml:space="preserve"> </w:t>
            </w:r>
            <w:r w:rsidRPr="000F5C26">
              <w:rPr>
                <w:rFonts w:ascii="Arial" w:hAnsi="Arial" w:cs="Arial"/>
                <w:sz w:val="18"/>
                <w:szCs w:val="18"/>
              </w:rPr>
              <w:t>flight</w:t>
            </w:r>
          </w:p>
        </w:tc>
      </w:tr>
      <w:tr w:rsidR="000F5C26" w:rsidRPr="000F5C26" w14:paraId="16B7D07D" w14:textId="77777777" w:rsidTr="00BA1962">
        <w:trPr>
          <w:trHeight w:val="200"/>
        </w:trPr>
        <w:tc>
          <w:tcPr>
            <w:tcW w:w="590" w:type="dxa"/>
          </w:tcPr>
          <w:p w14:paraId="285C972F" w14:textId="77777777" w:rsidR="000F5C26" w:rsidRPr="000F5C26" w:rsidRDefault="000F5C26" w:rsidP="00670AAB">
            <w:pPr>
              <w:pStyle w:val="TableParagraph"/>
              <w:spacing w:line="222" w:lineRule="exact"/>
              <w:ind w:left="86"/>
              <w:rPr>
                <w:rFonts w:ascii="Arial" w:hAnsi="Arial" w:cs="Arial"/>
                <w:sz w:val="18"/>
                <w:szCs w:val="18"/>
              </w:rPr>
            </w:pPr>
            <w:r w:rsidRPr="000F5C26">
              <w:rPr>
                <w:rFonts w:ascii="Arial" w:hAnsi="Arial" w:cs="Arial"/>
                <w:w w:val="99"/>
                <w:sz w:val="18"/>
                <w:szCs w:val="18"/>
              </w:rPr>
              <w:t>d</w:t>
            </w:r>
          </w:p>
        </w:tc>
        <w:tc>
          <w:tcPr>
            <w:tcW w:w="7359" w:type="dxa"/>
          </w:tcPr>
          <w:p w14:paraId="0320A71E" w14:textId="77777777" w:rsidR="000F5C26" w:rsidRPr="000F5C26" w:rsidRDefault="000F5C26" w:rsidP="00670AAB">
            <w:pPr>
              <w:pStyle w:val="TableParagraph"/>
              <w:spacing w:line="222" w:lineRule="exact"/>
              <w:rPr>
                <w:rFonts w:ascii="Arial" w:hAnsi="Arial" w:cs="Arial"/>
                <w:sz w:val="18"/>
                <w:szCs w:val="18"/>
              </w:rPr>
            </w:pPr>
            <w:r w:rsidRPr="000F5C26">
              <w:rPr>
                <w:rFonts w:ascii="Arial" w:hAnsi="Arial" w:cs="Arial"/>
                <w:sz w:val="18"/>
                <w:szCs w:val="18"/>
              </w:rPr>
              <w:t>Operating</w:t>
            </w:r>
            <w:r w:rsidRPr="000F5C26">
              <w:rPr>
                <w:rFonts w:ascii="Arial" w:hAnsi="Arial" w:cs="Arial"/>
                <w:spacing w:val="-4"/>
                <w:sz w:val="18"/>
                <w:szCs w:val="18"/>
              </w:rPr>
              <w:t xml:space="preserve"> </w:t>
            </w:r>
            <w:r w:rsidRPr="000F5C26">
              <w:rPr>
                <w:rFonts w:ascii="Arial" w:hAnsi="Arial" w:cs="Arial"/>
                <w:sz w:val="18"/>
                <w:szCs w:val="18"/>
              </w:rPr>
              <w:t>at low</w:t>
            </w:r>
            <w:r w:rsidRPr="000F5C26">
              <w:rPr>
                <w:rFonts w:ascii="Arial" w:hAnsi="Arial" w:cs="Arial"/>
                <w:spacing w:val="-2"/>
                <w:sz w:val="18"/>
                <w:szCs w:val="18"/>
              </w:rPr>
              <w:t xml:space="preserve"> </w:t>
            </w:r>
            <w:r w:rsidRPr="000F5C26">
              <w:rPr>
                <w:rFonts w:ascii="Arial" w:hAnsi="Arial" w:cs="Arial"/>
                <w:sz w:val="18"/>
                <w:szCs w:val="18"/>
              </w:rPr>
              <w:t>level</w:t>
            </w:r>
          </w:p>
        </w:tc>
      </w:tr>
      <w:tr w:rsidR="000F5C26" w:rsidRPr="000F5C26" w14:paraId="2F0423E6" w14:textId="77777777" w:rsidTr="00BA1962">
        <w:trPr>
          <w:trHeight w:val="202"/>
        </w:trPr>
        <w:tc>
          <w:tcPr>
            <w:tcW w:w="590" w:type="dxa"/>
          </w:tcPr>
          <w:p w14:paraId="24C613CC" w14:textId="77777777" w:rsidR="000F5C26" w:rsidRPr="000F5C26" w:rsidRDefault="000F5C26" w:rsidP="00670AAB">
            <w:pPr>
              <w:pStyle w:val="TableParagraph"/>
              <w:spacing w:line="225" w:lineRule="exact"/>
              <w:ind w:left="86"/>
              <w:rPr>
                <w:rFonts w:ascii="Arial" w:hAnsi="Arial" w:cs="Arial"/>
                <w:sz w:val="18"/>
                <w:szCs w:val="18"/>
              </w:rPr>
            </w:pPr>
            <w:r w:rsidRPr="000F5C26">
              <w:rPr>
                <w:rFonts w:ascii="Arial" w:hAnsi="Arial" w:cs="Arial"/>
                <w:w w:val="99"/>
                <w:sz w:val="18"/>
                <w:szCs w:val="18"/>
              </w:rPr>
              <w:t>e</w:t>
            </w:r>
          </w:p>
        </w:tc>
        <w:tc>
          <w:tcPr>
            <w:tcW w:w="7359" w:type="dxa"/>
          </w:tcPr>
          <w:p w14:paraId="5DF22F0E" w14:textId="77777777" w:rsidR="000F5C26" w:rsidRPr="000F5C26" w:rsidRDefault="000F5C26" w:rsidP="00670AAB">
            <w:pPr>
              <w:pStyle w:val="TableParagraph"/>
              <w:spacing w:line="225" w:lineRule="exact"/>
              <w:rPr>
                <w:rFonts w:ascii="Arial" w:hAnsi="Arial" w:cs="Arial"/>
                <w:sz w:val="18"/>
                <w:szCs w:val="18"/>
              </w:rPr>
            </w:pPr>
            <w:r w:rsidRPr="000F5C26">
              <w:rPr>
                <w:rFonts w:ascii="Arial" w:hAnsi="Arial" w:cs="Arial"/>
                <w:sz w:val="18"/>
                <w:szCs w:val="18"/>
              </w:rPr>
              <w:t>ATC</w:t>
            </w:r>
            <w:r w:rsidRPr="000F5C26">
              <w:rPr>
                <w:rFonts w:ascii="Arial" w:hAnsi="Arial" w:cs="Arial"/>
                <w:spacing w:val="-3"/>
                <w:sz w:val="18"/>
                <w:szCs w:val="18"/>
              </w:rPr>
              <w:t xml:space="preserve"> </w:t>
            </w:r>
            <w:r w:rsidRPr="000F5C26">
              <w:rPr>
                <w:rFonts w:ascii="Arial" w:hAnsi="Arial" w:cs="Arial"/>
                <w:sz w:val="18"/>
                <w:szCs w:val="18"/>
              </w:rPr>
              <w:t>compliance</w:t>
            </w:r>
            <w:r w:rsidRPr="000F5C26">
              <w:rPr>
                <w:rFonts w:ascii="Arial" w:hAnsi="Arial" w:cs="Arial"/>
                <w:spacing w:val="-4"/>
                <w:sz w:val="18"/>
                <w:szCs w:val="18"/>
              </w:rPr>
              <w:t xml:space="preserve"> </w:t>
            </w:r>
            <w:r w:rsidRPr="000F5C26">
              <w:rPr>
                <w:rFonts w:ascii="Arial" w:hAnsi="Arial" w:cs="Arial"/>
                <w:sz w:val="18"/>
                <w:szCs w:val="18"/>
              </w:rPr>
              <w:t>(if</w:t>
            </w:r>
            <w:r w:rsidRPr="000F5C26">
              <w:rPr>
                <w:rFonts w:ascii="Arial" w:hAnsi="Arial" w:cs="Arial"/>
                <w:spacing w:val="-3"/>
                <w:sz w:val="18"/>
                <w:szCs w:val="18"/>
              </w:rPr>
              <w:t xml:space="preserve"> </w:t>
            </w:r>
            <w:r w:rsidRPr="000F5C26">
              <w:rPr>
                <w:rFonts w:ascii="Arial" w:hAnsi="Arial" w:cs="Arial"/>
                <w:sz w:val="18"/>
                <w:szCs w:val="18"/>
              </w:rPr>
              <w:t>applicable)</w:t>
            </w:r>
          </w:p>
        </w:tc>
      </w:tr>
      <w:tr w:rsidR="000F5C26" w:rsidRPr="000F5C26" w14:paraId="1335A139" w14:textId="77777777" w:rsidTr="00BA1962">
        <w:trPr>
          <w:trHeight w:val="199"/>
        </w:trPr>
        <w:tc>
          <w:tcPr>
            <w:tcW w:w="7949" w:type="dxa"/>
            <w:gridSpan w:val="2"/>
            <w:shd w:val="clear" w:color="auto" w:fill="F2F2F2" w:themeFill="background1" w:themeFillShade="F2"/>
          </w:tcPr>
          <w:p w14:paraId="4CE1F30A" w14:textId="77777777" w:rsidR="000F5C26" w:rsidRPr="000F5C26" w:rsidRDefault="000F5C26" w:rsidP="00670AAB">
            <w:pPr>
              <w:pStyle w:val="TableParagraph"/>
              <w:spacing w:line="222" w:lineRule="exact"/>
              <w:ind w:left="86"/>
              <w:rPr>
                <w:rFonts w:ascii="Arial" w:hAnsi="Arial" w:cs="Arial"/>
                <w:b/>
                <w:sz w:val="18"/>
                <w:szCs w:val="18"/>
              </w:rPr>
            </w:pPr>
            <w:r w:rsidRPr="000F5C26">
              <w:rPr>
                <w:rFonts w:ascii="Arial" w:hAnsi="Arial" w:cs="Arial"/>
                <w:b/>
                <w:sz w:val="18"/>
                <w:szCs w:val="18"/>
              </w:rPr>
              <w:t>SECTION</w:t>
            </w:r>
            <w:r w:rsidRPr="000F5C26">
              <w:rPr>
                <w:rFonts w:ascii="Arial" w:hAnsi="Arial" w:cs="Arial"/>
                <w:b/>
                <w:spacing w:val="-4"/>
                <w:sz w:val="18"/>
                <w:szCs w:val="18"/>
              </w:rPr>
              <w:t xml:space="preserve"> </w:t>
            </w:r>
            <w:r w:rsidRPr="000F5C26">
              <w:rPr>
                <w:rFonts w:ascii="Arial" w:hAnsi="Arial" w:cs="Arial"/>
                <w:b/>
                <w:sz w:val="18"/>
                <w:szCs w:val="18"/>
              </w:rPr>
              <w:t>3:</w:t>
            </w:r>
            <w:r w:rsidRPr="000F5C26">
              <w:rPr>
                <w:rFonts w:ascii="Arial" w:hAnsi="Arial" w:cs="Arial"/>
                <w:b/>
                <w:spacing w:val="-3"/>
                <w:sz w:val="18"/>
                <w:szCs w:val="18"/>
              </w:rPr>
              <w:t xml:space="preserve"> </w:t>
            </w:r>
            <w:r w:rsidRPr="000F5C26">
              <w:rPr>
                <w:rFonts w:ascii="Arial" w:hAnsi="Arial" w:cs="Arial"/>
                <w:b/>
                <w:sz w:val="18"/>
                <w:szCs w:val="18"/>
              </w:rPr>
              <w:t>EN-ROUTE</w:t>
            </w:r>
            <w:r w:rsidRPr="000F5C26">
              <w:rPr>
                <w:rFonts w:ascii="Arial" w:hAnsi="Arial" w:cs="Arial"/>
                <w:b/>
                <w:spacing w:val="-2"/>
                <w:sz w:val="18"/>
                <w:szCs w:val="18"/>
              </w:rPr>
              <w:t xml:space="preserve"> </w:t>
            </w:r>
            <w:r w:rsidRPr="000F5C26">
              <w:rPr>
                <w:rFonts w:ascii="Arial" w:hAnsi="Arial" w:cs="Arial"/>
                <w:b/>
                <w:sz w:val="18"/>
                <w:szCs w:val="18"/>
              </w:rPr>
              <w:t>PROCEDURES</w:t>
            </w:r>
          </w:p>
        </w:tc>
      </w:tr>
      <w:tr w:rsidR="000F5C26" w:rsidRPr="000F5C26" w14:paraId="2C4E07FE" w14:textId="77777777" w:rsidTr="00BA1962">
        <w:trPr>
          <w:trHeight w:val="202"/>
        </w:trPr>
        <w:tc>
          <w:tcPr>
            <w:tcW w:w="590" w:type="dxa"/>
          </w:tcPr>
          <w:p w14:paraId="0B76D257" w14:textId="77777777" w:rsidR="000F5C26" w:rsidRPr="000F5C26" w:rsidRDefault="000F5C26" w:rsidP="00670AAB">
            <w:pPr>
              <w:pStyle w:val="TableParagraph"/>
              <w:spacing w:line="225" w:lineRule="exact"/>
              <w:ind w:left="86"/>
              <w:rPr>
                <w:rFonts w:ascii="Arial" w:hAnsi="Arial" w:cs="Arial"/>
                <w:sz w:val="18"/>
                <w:szCs w:val="18"/>
              </w:rPr>
            </w:pPr>
            <w:r w:rsidRPr="000F5C26">
              <w:rPr>
                <w:rFonts w:ascii="Arial" w:hAnsi="Arial" w:cs="Arial"/>
                <w:w w:val="99"/>
                <w:sz w:val="18"/>
                <w:szCs w:val="18"/>
              </w:rPr>
              <w:t>a</w:t>
            </w:r>
          </w:p>
        </w:tc>
        <w:tc>
          <w:tcPr>
            <w:tcW w:w="7359" w:type="dxa"/>
          </w:tcPr>
          <w:p w14:paraId="687003C8" w14:textId="77777777" w:rsidR="000F5C26" w:rsidRPr="000F5C26" w:rsidRDefault="000F5C26" w:rsidP="00670AAB">
            <w:pPr>
              <w:pStyle w:val="TableParagraph"/>
              <w:spacing w:line="225" w:lineRule="exact"/>
              <w:rPr>
                <w:rFonts w:ascii="Arial" w:hAnsi="Arial" w:cs="Arial"/>
                <w:sz w:val="18"/>
                <w:szCs w:val="18"/>
              </w:rPr>
            </w:pPr>
            <w:r w:rsidRPr="000F5C26">
              <w:rPr>
                <w:rFonts w:ascii="Arial" w:hAnsi="Arial" w:cs="Arial"/>
                <w:sz w:val="18"/>
                <w:szCs w:val="18"/>
              </w:rPr>
              <w:t>Dead</w:t>
            </w:r>
            <w:r w:rsidRPr="000F5C26">
              <w:rPr>
                <w:rFonts w:ascii="Arial" w:hAnsi="Arial" w:cs="Arial"/>
                <w:spacing w:val="-2"/>
                <w:sz w:val="18"/>
                <w:szCs w:val="18"/>
              </w:rPr>
              <w:t xml:space="preserve"> </w:t>
            </w:r>
            <w:r w:rsidRPr="000F5C26">
              <w:rPr>
                <w:rFonts w:ascii="Arial" w:hAnsi="Arial" w:cs="Arial"/>
                <w:sz w:val="18"/>
                <w:szCs w:val="18"/>
              </w:rPr>
              <w:t>reckoning</w:t>
            </w:r>
            <w:r w:rsidRPr="000F5C26">
              <w:rPr>
                <w:rFonts w:ascii="Arial" w:hAnsi="Arial" w:cs="Arial"/>
                <w:spacing w:val="-4"/>
                <w:sz w:val="18"/>
                <w:szCs w:val="18"/>
              </w:rPr>
              <w:t xml:space="preserve"> </w:t>
            </w:r>
            <w:r w:rsidRPr="000F5C26">
              <w:rPr>
                <w:rFonts w:ascii="Arial" w:hAnsi="Arial" w:cs="Arial"/>
                <w:sz w:val="18"/>
                <w:szCs w:val="18"/>
              </w:rPr>
              <w:t>and</w:t>
            </w:r>
            <w:r w:rsidRPr="000F5C26">
              <w:rPr>
                <w:rFonts w:ascii="Arial" w:hAnsi="Arial" w:cs="Arial"/>
                <w:spacing w:val="-2"/>
                <w:sz w:val="18"/>
                <w:szCs w:val="18"/>
              </w:rPr>
              <w:t xml:space="preserve"> </w:t>
            </w:r>
            <w:r w:rsidRPr="000F5C26">
              <w:rPr>
                <w:rFonts w:ascii="Arial" w:hAnsi="Arial" w:cs="Arial"/>
                <w:sz w:val="18"/>
                <w:szCs w:val="18"/>
              </w:rPr>
              <w:t>map</w:t>
            </w:r>
            <w:r w:rsidRPr="000F5C26">
              <w:rPr>
                <w:rFonts w:ascii="Arial" w:hAnsi="Arial" w:cs="Arial"/>
                <w:spacing w:val="-2"/>
                <w:sz w:val="18"/>
                <w:szCs w:val="18"/>
              </w:rPr>
              <w:t xml:space="preserve"> </w:t>
            </w:r>
            <w:r w:rsidRPr="000F5C26">
              <w:rPr>
                <w:rFonts w:ascii="Arial" w:hAnsi="Arial" w:cs="Arial"/>
                <w:sz w:val="18"/>
                <w:szCs w:val="18"/>
              </w:rPr>
              <w:t>reading</w:t>
            </w:r>
          </w:p>
        </w:tc>
      </w:tr>
      <w:tr w:rsidR="000F5C26" w:rsidRPr="000F5C26" w14:paraId="381E859B" w14:textId="77777777" w:rsidTr="00BA1962">
        <w:trPr>
          <w:trHeight w:val="200"/>
        </w:trPr>
        <w:tc>
          <w:tcPr>
            <w:tcW w:w="590" w:type="dxa"/>
          </w:tcPr>
          <w:p w14:paraId="48956A2C" w14:textId="77777777" w:rsidR="000F5C26" w:rsidRPr="000F5C26" w:rsidRDefault="000F5C26" w:rsidP="00670AAB">
            <w:pPr>
              <w:pStyle w:val="TableParagraph"/>
              <w:spacing w:line="222" w:lineRule="exact"/>
              <w:ind w:left="86"/>
              <w:rPr>
                <w:rFonts w:ascii="Arial" w:hAnsi="Arial" w:cs="Arial"/>
                <w:sz w:val="18"/>
                <w:szCs w:val="18"/>
              </w:rPr>
            </w:pPr>
            <w:r w:rsidRPr="000F5C26">
              <w:rPr>
                <w:rFonts w:ascii="Arial" w:hAnsi="Arial" w:cs="Arial"/>
                <w:w w:val="99"/>
                <w:sz w:val="18"/>
                <w:szCs w:val="18"/>
              </w:rPr>
              <w:t>b</w:t>
            </w:r>
          </w:p>
        </w:tc>
        <w:tc>
          <w:tcPr>
            <w:tcW w:w="7359" w:type="dxa"/>
          </w:tcPr>
          <w:p w14:paraId="2716FE17" w14:textId="77777777" w:rsidR="000F5C26" w:rsidRPr="000F5C26" w:rsidRDefault="000F5C26" w:rsidP="00670AAB">
            <w:pPr>
              <w:pStyle w:val="TableParagraph"/>
              <w:spacing w:line="222" w:lineRule="exact"/>
              <w:rPr>
                <w:rFonts w:ascii="Arial" w:hAnsi="Arial" w:cs="Arial"/>
                <w:sz w:val="18"/>
                <w:szCs w:val="18"/>
              </w:rPr>
            </w:pPr>
            <w:r w:rsidRPr="000F5C26">
              <w:rPr>
                <w:rFonts w:ascii="Arial" w:hAnsi="Arial" w:cs="Arial"/>
                <w:sz w:val="18"/>
                <w:szCs w:val="18"/>
              </w:rPr>
              <w:t>Marking</w:t>
            </w:r>
            <w:r w:rsidRPr="000F5C26">
              <w:rPr>
                <w:rFonts w:ascii="Arial" w:hAnsi="Arial" w:cs="Arial"/>
                <w:spacing w:val="-4"/>
                <w:sz w:val="18"/>
                <w:szCs w:val="18"/>
              </w:rPr>
              <w:t xml:space="preserve"> </w:t>
            </w:r>
            <w:r w:rsidRPr="000F5C26">
              <w:rPr>
                <w:rFonts w:ascii="Arial" w:hAnsi="Arial" w:cs="Arial"/>
                <w:sz w:val="18"/>
                <w:szCs w:val="18"/>
              </w:rPr>
              <w:t>positions</w:t>
            </w:r>
            <w:r w:rsidRPr="000F5C26">
              <w:rPr>
                <w:rFonts w:ascii="Arial" w:hAnsi="Arial" w:cs="Arial"/>
                <w:spacing w:val="-4"/>
                <w:sz w:val="18"/>
                <w:szCs w:val="18"/>
              </w:rPr>
              <w:t xml:space="preserve"> </w:t>
            </w:r>
            <w:r w:rsidRPr="000F5C26">
              <w:rPr>
                <w:rFonts w:ascii="Arial" w:hAnsi="Arial" w:cs="Arial"/>
                <w:sz w:val="18"/>
                <w:szCs w:val="18"/>
              </w:rPr>
              <w:t>and</w:t>
            </w:r>
            <w:r w:rsidRPr="000F5C26">
              <w:rPr>
                <w:rFonts w:ascii="Arial" w:hAnsi="Arial" w:cs="Arial"/>
                <w:spacing w:val="-2"/>
                <w:sz w:val="18"/>
                <w:szCs w:val="18"/>
              </w:rPr>
              <w:t xml:space="preserve"> </w:t>
            </w:r>
            <w:r w:rsidRPr="000F5C26">
              <w:rPr>
                <w:rFonts w:ascii="Arial" w:hAnsi="Arial" w:cs="Arial"/>
                <w:sz w:val="18"/>
                <w:szCs w:val="18"/>
              </w:rPr>
              <w:t>time</w:t>
            </w:r>
          </w:p>
        </w:tc>
      </w:tr>
      <w:tr w:rsidR="000F5C26" w:rsidRPr="000F5C26" w14:paraId="7E1E8482" w14:textId="77777777" w:rsidTr="00BA1962">
        <w:trPr>
          <w:trHeight w:val="202"/>
        </w:trPr>
        <w:tc>
          <w:tcPr>
            <w:tcW w:w="590" w:type="dxa"/>
          </w:tcPr>
          <w:p w14:paraId="05F86F91" w14:textId="77777777" w:rsidR="000F5C26" w:rsidRPr="000F5C26" w:rsidRDefault="000F5C26" w:rsidP="00670AAB">
            <w:pPr>
              <w:pStyle w:val="TableParagraph"/>
              <w:spacing w:before="1" w:line="225" w:lineRule="exact"/>
              <w:ind w:left="86"/>
              <w:rPr>
                <w:rFonts w:ascii="Arial" w:hAnsi="Arial" w:cs="Arial"/>
                <w:sz w:val="18"/>
                <w:szCs w:val="18"/>
              </w:rPr>
            </w:pPr>
            <w:r w:rsidRPr="000F5C26">
              <w:rPr>
                <w:rFonts w:ascii="Arial" w:hAnsi="Arial" w:cs="Arial"/>
                <w:w w:val="99"/>
                <w:sz w:val="18"/>
                <w:szCs w:val="18"/>
              </w:rPr>
              <w:t>c</w:t>
            </w:r>
          </w:p>
        </w:tc>
        <w:tc>
          <w:tcPr>
            <w:tcW w:w="7359" w:type="dxa"/>
          </w:tcPr>
          <w:p w14:paraId="26DCC281" w14:textId="77777777" w:rsidR="000F5C26" w:rsidRPr="000F5C26" w:rsidRDefault="000F5C26" w:rsidP="00670AAB">
            <w:pPr>
              <w:pStyle w:val="TableParagraph"/>
              <w:spacing w:before="1" w:line="225" w:lineRule="exact"/>
              <w:rPr>
                <w:rFonts w:ascii="Arial" w:hAnsi="Arial" w:cs="Arial"/>
                <w:sz w:val="18"/>
                <w:szCs w:val="18"/>
              </w:rPr>
            </w:pPr>
            <w:r w:rsidRPr="000F5C26">
              <w:rPr>
                <w:rFonts w:ascii="Arial" w:hAnsi="Arial" w:cs="Arial"/>
                <w:sz w:val="18"/>
                <w:szCs w:val="18"/>
              </w:rPr>
              <w:t>Orientation</w:t>
            </w:r>
            <w:r w:rsidRPr="000F5C26">
              <w:rPr>
                <w:rFonts w:ascii="Arial" w:hAnsi="Arial" w:cs="Arial"/>
                <w:spacing w:val="-3"/>
                <w:sz w:val="18"/>
                <w:szCs w:val="18"/>
              </w:rPr>
              <w:t xml:space="preserve"> </w:t>
            </w:r>
            <w:r w:rsidRPr="000F5C26">
              <w:rPr>
                <w:rFonts w:ascii="Arial" w:hAnsi="Arial" w:cs="Arial"/>
                <w:sz w:val="18"/>
                <w:szCs w:val="18"/>
              </w:rPr>
              <w:t>and</w:t>
            </w:r>
            <w:r w:rsidRPr="000F5C26">
              <w:rPr>
                <w:rFonts w:ascii="Arial" w:hAnsi="Arial" w:cs="Arial"/>
                <w:spacing w:val="-3"/>
                <w:sz w:val="18"/>
                <w:szCs w:val="18"/>
              </w:rPr>
              <w:t xml:space="preserve"> </w:t>
            </w:r>
            <w:r w:rsidRPr="000F5C26">
              <w:rPr>
                <w:rFonts w:ascii="Arial" w:hAnsi="Arial" w:cs="Arial"/>
                <w:sz w:val="18"/>
                <w:szCs w:val="18"/>
              </w:rPr>
              <w:t>airspace</w:t>
            </w:r>
            <w:r w:rsidRPr="000F5C26">
              <w:rPr>
                <w:rFonts w:ascii="Arial" w:hAnsi="Arial" w:cs="Arial"/>
                <w:spacing w:val="-4"/>
                <w:sz w:val="18"/>
                <w:szCs w:val="18"/>
              </w:rPr>
              <w:t xml:space="preserve"> </w:t>
            </w:r>
            <w:r w:rsidRPr="000F5C26">
              <w:rPr>
                <w:rFonts w:ascii="Arial" w:hAnsi="Arial" w:cs="Arial"/>
                <w:sz w:val="18"/>
                <w:szCs w:val="18"/>
              </w:rPr>
              <w:t>structure</w:t>
            </w:r>
          </w:p>
        </w:tc>
      </w:tr>
      <w:tr w:rsidR="000F5C26" w:rsidRPr="000F5C26" w14:paraId="03F6B521" w14:textId="77777777" w:rsidTr="00BA1962">
        <w:trPr>
          <w:trHeight w:val="200"/>
        </w:trPr>
        <w:tc>
          <w:tcPr>
            <w:tcW w:w="590" w:type="dxa"/>
          </w:tcPr>
          <w:p w14:paraId="73CE7186" w14:textId="77777777" w:rsidR="000F5C26" w:rsidRPr="000F5C26" w:rsidRDefault="000F5C26" w:rsidP="00670AAB">
            <w:pPr>
              <w:pStyle w:val="TableParagraph"/>
              <w:spacing w:line="222" w:lineRule="exact"/>
              <w:ind w:left="86"/>
              <w:rPr>
                <w:rFonts w:ascii="Arial" w:hAnsi="Arial" w:cs="Arial"/>
                <w:sz w:val="18"/>
                <w:szCs w:val="18"/>
              </w:rPr>
            </w:pPr>
            <w:r w:rsidRPr="000F5C26">
              <w:rPr>
                <w:rFonts w:ascii="Arial" w:hAnsi="Arial" w:cs="Arial"/>
                <w:w w:val="99"/>
                <w:sz w:val="18"/>
                <w:szCs w:val="18"/>
              </w:rPr>
              <w:t>d</w:t>
            </w:r>
          </w:p>
        </w:tc>
        <w:tc>
          <w:tcPr>
            <w:tcW w:w="7359" w:type="dxa"/>
          </w:tcPr>
          <w:p w14:paraId="51E61D16" w14:textId="77777777" w:rsidR="000F5C26" w:rsidRPr="000F5C26" w:rsidRDefault="000F5C26" w:rsidP="00670AAB">
            <w:pPr>
              <w:pStyle w:val="TableParagraph"/>
              <w:spacing w:line="222" w:lineRule="exact"/>
              <w:rPr>
                <w:rFonts w:ascii="Arial" w:hAnsi="Arial" w:cs="Arial"/>
                <w:sz w:val="18"/>
                <w:szCs w:val="18"/>
              </w:rPr>
            </w:pPr>
            <w:r w:rsidRPr="000F5C26">
              <w:rPr>
                <w:rFonts w:ascii="Arial" w:hAnsi="Arial" w:cs="Arial"/>
                <w:sz w:val="18"/>
                <w:szCs w:val="18"/>
              </w:rPr>
              <w:t>Maintenance</w:t>
            </w:r>
            <w:r w:rsidRPr="000F5C26">
              <w:rPr>
                <w:rFonts w:ascii="Arial" w:hAnsi="Arial" w:cs="Arial"/>
                <w:spacing w:val="-4"/>
                <w:sz w:val="18"/>
                <w:szCs w:val="18"/>
              </w:rPr>
              <w:t xml:space="preserve"> </w:t>
            </w:r>
            <w:r w:rsidRPr="000F5C26">
              <w:rPr>
                <w:rFonts w:ascii="Arial" w:hAnsi="Arial" w:cs="Arial"/>
                <w:sz w:val="18"/>
                <w:szCs w:val="18"/>
              </w:rPr>
              <w:t>of</w:t>
            </w:r>
            <w:r w:rsidRPr="000F5C26">
              <w:rPr>
                <w:rFonts w:ascii="Arial" w:hAnsi="Arial" w:cs="Arial"/>
                <w:spacing w:val="-3"/>
                <w:sz w:val="18"/>
                <w:szCs w:val="18"/>
              </w:rPr>
              <w:t xml:space="preserve"> </w:t>
            </w:r>
            <w:r w:rsidRPr="000F5C26">
              <w:rPr>
                <w:rFonts w:ascii="Arial" w:hAnsi="Arial" w:cs="Arial"/>
                <w:sz w:val="18"/>
                <w:szCs w:val="18"/>
              </w:rPr>
              <w:t>altitude</w:t>
            </w:r>
          </w:p>
        </w:tc>
      </w:tr>
      <w:tr w:rsidR="000F5C26" w:rsidRPr="000F5C26" w14:paraId="4D2E5ECB" w14:textId="77777777" w:rsidTr="00BA1962">
        <w:trPr>
          <w:trHeight w:val="202"/>
        </w:trPr>
        <w:tc>
          <w:tcPr>
            <w:tcW w:w="590" w:type="dxa"/>
          </w:tcPr>
          <w:p w14:paraId="2A8F6830" w14:textId="77777777" w:rsidR="000F5C26" w:rsidRPr="000F5C26" w:rsidRDefault="000F5C26" w:rsidP="00670AAB">
            <w:pPr>
              <w:pStyle w:val="TableParagraph"/>
              <w:spacing w:line="225" w:lineRule="exact"/>
              <w:ind w:left="86"/>
              <w:rPr>
                <w:rFonts w:ascii="Arial" w:hAnsi="Arial" w:cs="Arial"/>
                <w:sz w:val="18"/>
                <w:szCs w:val="18"/>
              </w:rPr>
            </w:pPr>
            <w:r w:rsidRPr="000F5C26">
              <w:rPr>
                <w:rFonts w:ascii="Arial" w:hAnsi="Arial" w:cs="Arial"/>
                <w:w w:val="99"/>
                <w:sz w:val="18"/>
                <w:szCs w:val="18"/>
              </w:rPr>
              <w:t>e</w:t>
            </w:r>
          </w:p>
        </w:tc>
        <w:tc>
          <w:tcPr>
            <w:tcW w:w="7359" w:type="dxa"/>
          </w:tcPr>
          <w:p w14:paraId="5A9CD1ED" w14:textId="77777777" w:rsidR="000F5C26" w:rsidRPr="000F5C26" w:rsidRDefault="000F5C26" w:rsidP="00670AAB">
            <w:pPr>
              <w:pStyle w:val="TableParagraph"/>
              <w:spacing w:line="225" w:lineRule="exact"/>
              <w:rPr>
                <w:rFonts w:ascii="Arial" w:hAnsi="Arial" w:cs="Arial"/>
                <w:sz w:val="18"/>
                <w:szCs w:val="18"/>
              </w:rPr>
            </w:pPr>
            <w:r w:rsidRPr="000F5C26">
              <w:rPr>
                <w:rFonts w:ascii="Arial" w:hAnsi="Arial" w:cs="Arial"/>
                <w:sz w:val="18"/>
                <w:szCs w:val="18"/>
              </w:rPr>
              <w:t>Ballast</w:t>
            </w:r>
            <w:r w:rsidRPr="000F5C26">
              <w:rPr>
                <w:rFonts w:ascii="Arial" w:hAnsi="Arial" w:cs="Arial"/>
                <w:spacing w:val="-3"/>
                <w:sz w:val="18"/>
                <w:szCs w:val="18"/>
              </w:rPr>
              <w:t xml:space="preserve"> </w:t>
            </w:r>
            <w:r w:rsidRPr="000F5C26">
              <w:rPr>
                <w:rFonts w:ascii="Arial" w:hAnsi="Arial" w:cs="Arial"/>
                <w:sz w:val="18"/>
                <w:szCs w:val="18"/>
              </w:rPr>
              <w:t>management</w:t>
            </w:r>
          </w:p>
        </w:tc>
      </w:tr>
      <w:tr w:rsidR="000F5C26" w:rsidRPr="000F5C26" w14:paraId="706F3805" w14:textId="77777777" w:rsidTr="00BA1962">
        <w:trPr>
          <w:trHeight w:val="199"/>
        </w:trPr>
        <w:tc>
          <w:tcPr>
            <w:tcW w:w="590" w:type="dxa"/>
          </w:tcPr>
          <w:p w14:paraId="06F76897" w14:textId="77777777" w:rsidR="000F5C26" w:rsidRPr="000F5C26" w:rsidRDefault="000F5C26" w:rsidP="00670AAB">
            <w:pPr>
              <w:pStyle w:val="TableParagraph"/>
              <w:spacing w:line="223" w:lineRule="exact"/>
              <w:ind w:left="86"/>
              <w:rPr>
                <w:rFonts w:ascii="Arial" w:hAnsi="Arial" w:cs="Arial"/>
                <w:sz w:val="18"/>
                <w:szCs w:val="18"/>
              </w:rPr>
            </w:pPr>
            <w:r w:rsidRPr="000F5C26">
              <w:rPr>
                <w:rFonts w:ascii="Arial" w:hAnsi="Arial" w:cs="Arial"/>
                <w:w w:val="99"/>
                <w:sz w:val="18"/>
                <w:szCs w:val="18"/>
              </w:rPr>
              <w:t>f</w:t>
            </w:r>
          </w:p>
        </w:tc>
        <w:tc>
          <w:tcPr>
            <w:tcW w:w="7359" w:type="dxa"/>
          </w:tcPr>
          <w:p w14:paraId="5C743056" w14:textId="77777777" w:rsidR="000F5C26" w:rsidRPr="000F5C26" w:rsidRDefault="000F5C26" w:rsidP="00670AAB">
            <w:pPr>
              <w:pStyle w:val="TableParagraph"/>
              <w:spacing w:line="223" w:lineRule="exact"/>
              <w:rPr>
                <w:rFonts w:ascii="Arial" w:hAnsi="Arial" w:cs="Arial"/>
                <w:sz w:val="18"/>
                <w:szCs w:val="18"/>
              </w:rPr>
            </w:pPr>
            <w:r w:rsidRPr="000F5C26">
              <w:rPr>
                <w:rFonts w:ascii="Arial" w:hAnsi="Arial" w:cs="Arial"/>
                <w:sz w:val="18"/>
                <w:szCs w:val="18"/>
              </w:rPr>
              <w:t>Communication</w:t>
            </w:r>
            <w:r w:rsidRPr="000F5C26">
              <w:rPr>
                <w:rFonts w:ascii="Arial" w:hAnsi="Arial" w:cs="Arial"/>
                <w:spacing w:val="-3"/>
                <w:sz w:val="18"/>
                <w:szCs w:val="18"/>
              </w:rPr>
              <w:t xml:space="preserve"> </w:t>
            </w:r>
            <w:r w:rsidRPr="000F5C26">
              <w:rPr>
                <w:rFonts w:ascii="Arial" w:hAnsi="Arial" w:cs="Arial"/>
                <w:sz w:val="18"/>
                <w:szCs w:val="18"/>
              </w:rPr>
              <w:t>with</w:t>
            </w:r>
            <w:r w:rsidRPr="000F5C26">
              <w:rPr>
                <w:rFonts w:ascii="Arial" w:hAnsi="Arial" w:cs="Arial"/>
                <w:spacing w:val="-3"/>
                <w:sz w:val="18"/>
                <w:szCs w:val="18"/>
              </w:rPr>
              <w:t xml:space="preserve"> </w:t>
            </w:r>
            <w:r w:rsidRPr="000F5C26">
              <w:rPr>
                <w:rFonts w:ascii="Arial" w:hAnsi="Arial" w:cs="Arial"/>
                <w:sz w:val="18"/>
                <w:szCs w:val="18"/>
              </w:rPr>
              <w:t>retrieve</w:t>
            </w:r>
            <w:r w:rsidRPr="000F5C26">
              <w:rPr>
                <w:rFonts w:ascii="Arial" w:hAnsi="Arial" w:cs="Arial"/>
                <w:spacing w:val="-2"/>
                <w:sz w:val="18"/>
                <w:szCs w:val="18"/>
              </w:rPr>
              <w:t xml:space="preserve"> </w:t>
            </w:r>
            <w:r w:rsidRPr="000F5C26">
              <w:rPr>
                <w:rFonts w:ascii="Arial" w:hAnsi="Arial" w:cs="Arial"/>
                <w:sz w:val="18"/>
                <w:szCs w:val="18"/>
              </w:rPr>
              <w:t>crew</w:t>
            </w:r>
          </w:p>
        </w:tc>
      </w:tr>
      <w:tr w:rsidR="000F5C26" w:rsidRPr="000F5C26" w14:paraId="696642B0" w14:textId="77777777" w:rsidTr="00BA1962">
        <w:trPr>
          <w:trHeight w:val="202"/>
        </w:trPr>
        <w:tc>
          <w:tcPr>
            <w:tcW w:w="590" w:type="dxa"/>
          </w:tcPr>
          <w:p w14:paraId="75C4FD6B" w14:textId="77777777" w:rsidR="000F5C26" w:rsidRPr="000F5C26" w:rsidRDefault="000F5C26" w:rsidP="00670AAB">
            <w:pPr>
              <w:pStyle w:val="TableParagraph"/>
              <w:spacing w:line="225" w:lineRule="exact"/>
              <w:ind w:left="86"/>
              <w:rPr>
                <w:rFonts w:ascii="Arial" w:hAnsi="Arial" w:cs="Arial"/>
                <w:sz w:val="18"/>
                <w:szCs w:val="18"/>
              </w:rPr>
            </w:pPr>
            <w:r w:rsidRPr="000F5C26">
              <w:rPr>
                <w:rFonts w:ascii="Arial" w:hAnsi="Arial" w:cs="Arial"/>
                <w:w w:val="99"/>
                <w:sz w:val="18"/>
                <w:szCs w:val="18"/>
              </w:rPr>
              <w:t>g</w:t>
            </w:r>
          </w:p>
        </w:tc>
        <w:tc>
          <w:tcPr>
            <w:tcW w:w="7359" w:type="dxa"/>
          </w:tcPr>
          <w:p w14:paraId="213AD767" w14:textId="77777777" w:rsidR="000F5C26" w:rsidRPr="000F5C26" w:rsidRDefault="000F5C26" w:rsidP="00670AAB">
            <w:pPr>
              <w:pStyle w:val="TableParagraph"/>
              <w:spacing w:line="225" w:lineRule="exact"/>
              <w:rPr>
                <w:rFonts w:ascii="Arial" w:hAnsi="Arial" w:cs="Arial"/>
                <w:sz w:val="18"/>
                <w:szCs w:val="18"/>
              </w:rPr>
            </w:pPr>
            <w:r w:rsidRPr="000F5C26">
              <w:rPr>
                <w:rFonts w:ascii="Arial" w:hAnsi="Arial" w:cs="Arial"/>
                <w:sz w:val="18"/>
                <w:szCs w:val="18"/>
              </w:rPr>
              <w:t>ATC</w:t>
            </w:r>
            <w:r w:rsidRPr="000F5C26">
              <w:rPr>
                <w:rFonts w:ascii="Arial" w:hAnsi="Arial" w:cs="Arial"/>
                <w:spacing w:val="-3"/>
                <w:sz w:val="18"/>
                <w:szCs w:val="18"/>
              </w:rPr>
              <w:t xml:space="preserve"> </w:t>
            </w:r>
            <w:r w:rsidRPr="000F5C26">
              <w:rPr>
                <w:rFonts w:ascii="Arial" w:hAnsi="Arial" w:cs="Arial"/>
                <w:sz w:val="18"/>
                <w:szCs w:val="18"/>
              </w:rPr>
              <w:t>compliance</w:t>
            </w:r>
            <w:r w:rsidRPr="000F5C26">
              <w:rPr>
                <w:rFonts w:ascii="Arial" w:hAnsi="Arial" w:cs="Arial"/>
                <w:spacing w:val="-4"/>
                <w:sz w:val="18"/>
                <w:szCs w:val="18"/>
              </w:rPr>
              <w:t xml:space="preserve"> </w:t>
            </w:r>
            <w:r w:rsidRPr="000F5C26">
              <w:rPr>
                <w:rFonts w:ascii="Arial" w:hAnsi="Arial" w:cs="Arial"/>
                <w:sz w:val="18"/>
                <w:szCs w:val="18"/>
              </w:rPr>
              <w:t>(if</w:t>
            </w:r>
            <w:r w:rsidRPr="000F5C26">
              <w:rPr>
                <w:rFonts w:ascii="Arial" w:hAnsi="Arial" w:cs="Arial"/>
                <w:spacing w:val="-3"/>
                <w:sz w:val="18"/>
                <w:szCs w:val="18"/>
              </w:rPr>
              <w:t xml:space="preserve"> </w:t>
            </w:r>
            <w:r w:rsidRPr="000F5C26">
              <w:rPr>
                <w:rFonts w:ascii="Arial" w:hAnsi="Arial" w:cs="Arial"/>
                <w:sz w:val="18"/>
                <w:szCs w:val="18"/>
              </w:rPr>
              <w:t>applicable)</w:t>
            </w:r>
          </w:p>
        </w:tc>
      </w:tr>
      <w:tr w:rsidR="000F5C26" w:rsidRPr="000F5C26" w14:paraId="4B42AFAD" w14:textId="77777777" w:rsidTr="00BA1962">
        <w:trPr>
          <w:trHeight w:val="200"/>
        </w:trPr>
        <w:tc>
          <w:tcPr>
            <w:tcW w:w="7949" w:type="dxa"/>
            <w:gridSpan w:val="2"/>
            <w:shd w:val="clear" w:color="auto" w:fill="F2F2F2" w:themeFill="background1" w:themeFillShade="F2"/>
          </w:tcPr>
          <w:p w14:paraId="13194397" w14:textId="77777777" w:rsidR="000F5C26" w:rsidRPr="000F5C26" w:rsidRDefault="000F5C26" w:rsidP="00670AAB">
            <w:pPr>
              <w:pStyle w:val="TableParagraph"/>
              <w:spacing w:line="223" w:lineRule="exact"/>
              <w:ind w:left="86"/>
              <w:rPr>
                <w:rFonts w:ascii="Arial" w:hAnsi="Arial" w:cs="Arial"/>
                <w:b/>
                <w:sz w:val="18"/>
                <w:szCs w:val="18"/>
              </w:rPr>
            </w:pPr>
            <w:r w:rsidRPr="000F5C26">
              <w:rPr>
                <w:rFonts w:ascii="Arial" w:hAnsi="Arial" w:cs="Arial"/>
                <w:b/>
                <w:sz w:val="18"/>
                <w:szCs w:val="18"/>
              </w:rPr>
              <w:t>SECTION</w:t>
            </w:r>
            <w:r w:rsidRPr="000F5C26">
              <w:rPr>
                <w:rFonts w:ascii="Arial" w:hAnsi="Arial" w:cs="Arial"/>
                <w:b/>
                <w:spacing w:val="-4"/>
                <w:sz w:val="18"/>
                <w:szCs w:val="18"/>
              </w:rPr>
              <w:t xml:space="preserve"> </w:t>
            </w:r>
            <w:r w:rsidRPr="000F5C26">
              <w:rPr>
                <w:rFonts w:ascii="Arial" w:hAnsi="Arial" w:cs="Arial"/>
                <w:b/>
                <w:sz w:val="18"/>
                <w:szCs w:val="18"/>
              </w:rPr>
              <w:t>4:</w:t>
            </w:r>
            <w:r w:rsidRPr="000F5C26">
              <w:rPr>
                <w:rFonts w:ascii="Arial" w:hAnsi="Arial" w:cs="Arial"/>
                <w:b/>
                <w:spacing w:val="-4"/>
                <w:sz w:val="18"/>
                <w:szCs w:val="18"/>
              </w:rPr>
              <w:t xml:space="preserve"> </w:t>
            </w:r>
            <w:r w:rsidRPr="000F5C26">
              <w:rPr>
                <w:rFonts w:ascii="Arial" w:hAnsi="Arial" w:cs="Arial"/>
                <w:b/>
                <w:sz w:val="18"/>
                <w:szCs w:val="18"/>
              </w:rPr>
              <w:t>APPROACH</w:t>
            </w:r>
            <w:r w:rsidRPr="000F5C26">
              <w:rPr>
                <w:rFonts w:ascii="Arial" w:hAnsi="Arial" w:cs="Arial"/>
                <w:b/>
                <w:spacing w:val="-2"/>
                <w:sz w:val="18"/>
                <w:szCs w:val="18"/>
              </w:rPr>
              <w:t xml:space="preserve"> </w:t>
            </w:r>
            <w:r w:rsidRPr="000F5C26">
              <w:rPr>
                <w:rFonts w:ascii="Arial" w:hAnsi="Arial" w:cs="Arial"/>
                <w:b/>
                <w:sz w:val="18"/>
                <w:szCs w:val="18"/>
              </w:rPr>
              <w:t>AND</w:t>
            </w:r>
            <w:r w:rsidRPr="000F5C26">
              <w:rPr>
                <w:rFonts w:ascii="Arial" w:hAnsi="Arial" w:cs="Arial"/>
                <w:b/>
                <w:spacing w:val="-5"/>
                <w:sz w:val="18"/>
                <w:szCs w:val="18"/>
              </w:rPr>
              <w:t xml:space="preserve"> </w:t>
            </w:r>
            <w:r w:rsidRPr="000F5C26">
              <w:rPr>
                <w:rFonts w:ascii="Arial" w:hAnsi="Arial" w:cs="Arial"/>
                <w:b/>
                <w:sz w:val="18"/>
                <w:szCs w:val="18"/>
              </w:rPr>
              <w:t>LANDING</w:t>
            </w:r>
            <w:r w:rsidRPr="000F5C26">
              <w:rPr>
                <w:rFonts w:ascii="Arial" w:hAnsi="Arial" w:cs="Arial"/>
                <w:b/>
                <w:spacing w:val="-4"/>
                <w:sz w:val="18"/>
                <w:szCs w:val="18"/>
              </w:rPr>
              <w:t xml:space="preserve"> </w:t>
            </w:r>
            <w:r w:rsidRPr="000F5C26">
              <w:rPr>
                <w:rFonts w:ascii="Arial" w:hAnsi="Arial" w:cs="Arial"/>
                <w:b/>
                <w:sz w:val="18"/>
                <w:szCs w:val="18"/>
              </w:rPr>
              <w:t>PROCEDURES</w:t>
            </w:r>
          </w:p>
        </w:tc>
      </w:tr>
      <w:tr w:rsidR="000F5C26" w:rsidRPr="000F5C26" w14:paraId="56AE2805" w14:textId="77777777" w:rsidTr="00BA1962">
        <w:trPr>
          <w:trHeight w:val="202"/>
        </w:trPr>
        <w:tc>
          <w:tcPr>
            <w:tcW w:w="590" w:type="dxa"/>
          </w:tcPr>
          <w:p w14:paraId="585A660C" w14:textId="77777777" w:rsidR="000F5C26" w:rsidRPr="000F5C26" w:rsidRDefault="000F5C26" w:rsidP="00670AAB">
            <w:pPr>
              <w:pStyle w:val="TableParagraph"/>
              <w:spacing w:line="225" w:lineRule="exact"/>
              <w:ind w:left="86"/>
              <w:rPr>
                <w:rFonts w:ascii="Arial" w:hAnsi="Arial" w:cs="Arial"/>
                <w:sz w:val="18"/>
                <w:szCs w:val="18"/>
              </w:rPr>
            </w:pPr>
            <w:r w:rsidRPr="000F5C26">
              <w:rPr>
                <w:rFonts w:ascii="Arial" w:hAnsi="Arial" w:cs="Arial"/>
                <w:w w:val="99"/>
                <w:sz w:val="18"/>
                <w:szCs w:val="18"/>
              </w:rPr>
              <w:t>a</w:t>
            </w:r>
          </w:p>
        </w:tc>
        <w:tc>
          <w:tcPr>
            <w:tcW w:w="7359" w:type="dxa"/>
          </w:tcPr>
          <w:p w14:paraId="1F09D146" w14:textId="77777777" w:rsidR="000F5C26" w:rsidRPr="000F5C26" w:rsidRDefault="000F5C26" w:rsidP="00670AAB">
            <w:pPr>
              <w:pStyle w:val="TableParagraph"/>
              <w:spacing w:line="225" w:lineRule="exact"/>
              <w:rPr>
                <w:rFonts w:ascii="Arial" w:hAnsi="Arial" w:cs="Arial"/>
                <w:sz w:val="18"/>
                <w:szCs w:val="18"/>
              </w:rPr>
            </w:pPr>
            <w:r w:rsidRPr="000F5C26">
              <w:rPr>
                <w:rFonts w:ascii="Arial" w:hAnsi="Arial" w:cs="Arial"/>
                <w:sz w:val="18"/>
                <w:szCs w:val="18"/>
              </w:rPr>
              <w:t>Approach</w:t>
            </w:r>
            <w:r w:rsidRPr="000F5C26">
              <w:rPr>
                <w:rFonts w:ascii="Arial" w:hAnsi="Arial" w:cs="Arial"/>
                <w:spacing w:val="-2"/>
                <w:sz w:val="18"/>
                <w:szCs w:val="18"/>
              </w:rPr>
              <w:t xml:space="preserve"> </w:t>
            </w:r>
            <w:r w:rsidRPr="000F5C26">
              <w:rPr>
                <w:rFonts w:ascii="Arial" w:hAnsi="Arial" w:cs="Arial"/>
                <w:sz w:val="18"/>
                <w:szCs w:val="18"/>
              </w:rPr>
              <w:t>from</w:t>
            </w:r>
            <w:r w:rsidRPr="000F5C26">
              <w:rPr>
                <w:rFonts w:ascii="Arial" w:hAnsi="Arial" w:cs="Arial"/>
                <w:spacing w:val="-2"/>
                <w:sz w:val="18"/>
                <w:szCs w:val="18"/>
              </w:rPr>
              <w:t xml:space="preserve"> </w:t>
            </w:r>
            <w:r w:rsidRPr="000F5C26">
              <w:rPr>
                <w:rFonts w:ascii="Arial" w:hAnsi="Arial" w:cs="Arial"/>
                <w:sz w:val="18"/>
                <w:szCs w:val="18"/>
              </w:rPr>
              <w:t>low</w:t>
            </w:r>
            <w:r w:rsidRPr="000F5C26">
              <w:rPr>
                <w:rFonts w:ascii="Arial" w:hAnsi="Arial" w:cs="Arial"/>
                <w:spacing w:val="-3"/>
                <w:sz w:val="18"/>
                <w:szCs w:val="18"/>
              </w:rPr>
              <w:t xml:space="preserve"> </w:t>
            </w:r>
            <w:r w:rsidRPr="000F5C26">
              <w:rPr>
                <w:rFonts w:ascii="Arial" w:hAnsi="Arial" w:cs="Arial"/>
                <w:sz w:val="18"/>
                <w:szCs w:val="18"/>
              </w:rPr>
              <w:t>level,</w:t>
            </w:r>
            <w:r w:rsidRPr="000F5C26">
              <w:rPr>
                <w:rFonts w:ascii="Arial" w:hAnsi="Arial" w:cs="Arial"/>
                <w:spacing w:val="-2"/>
                <w:sz w:val="18"/>
                <w:szCs w:val="18"/>
              </w:rPr>
              <w:t xml:space="preserve"> </w:t>
            </w:r>
            <w:r w:rsidRPr="000F5C26">
              <w:rPr>
                <w:rFonts w:ascii="Arial" w:hAnsi="Arial" w:cs="Arial"/>
                <w:sz w:val="18"/>
                <w:szCs w:val="18"/>
              </w:rPr>
              <w:t>missed</w:t>
            </w:r>
            <w:r w:rsidRPr="000F5C26">
              <w:rPr>
                <w:rFonts w:ascii="Arial" w:hAnsi="Arial" w:cs="Arial"/>
                <w:spacing w:val="-2"/>
                <w:sz w:val="18"/>
                <w:szCs w:val="18"/>
              </w:rPr>
              <w:t xml:space="preserve"> </w:t>
            </w:r>
            <w:r w:rsidRPr="000F5C26">
              <w:rPr>
                <w:rFonts w:ascii="Arial" w:hAnsi="Arial" w:cs="Arial"/>
                <w:sz w:val="18"/>
                <w:szCs w:val="18"/>
              </w:rPr>
              <w:t>approach</w:t>
            </w:r>
            <w:r w:rsidRPr="000F5C26">
              <w:rPr>
                <w:rFonts w:ascii="Arial" w:hAnsi="Arial" w:cs="Arial"/>
                <w:spacing w:val="-1"/>
                <w:sz w:val="18"/>
                <w:szCs w:val="18"/>
              </w:rPr>
              <w:t xml:space="preserve"> </w:t>
            </w:r>
            <w:r w:rsidRPr="000F5C26">
              <w:rPr>
                <w:rFonts w:ascii="Arial" w:hAnsi="Arial" w:cs="Arial"/>
                <w:sz w:val="18"/>
                <w:szCs w:val="18"/>
              </w:rPr>
              <w:t>and</w:t>
            </w:r>
            <w:r w:rsidRPr="000F5C26">
              <w:rPr>
                <w:rFonts w:ascii="Arial" w:hAnsi="Arial" w:cs="Arial"/>
                <w:spacing w:val="-2"/>
                <w:sz w:val="18"/>
                <w:szCs w:val="18"/>
              </w:rPr>
              <w:t xml:space="preserve"> </w:t>
            </w:r>
            <w:r w:rsidRPr="000F5C26">
              <w:rPr>
                <w:rFonts w:ascii="Arial" w:hAnsi="Arial" w:cs="Arial"/>
                <w:sz w:val="18"/>
                <w:szCs w:val="18"/>
              </w:rPr>
              <w:t>fly</w:t>
            </w:r>
            <w:r w:rsidRPr="000F5C26">
              <w:rPr>
                <w:rFonts w:ascii="Arial" w:hAnsi="Arial" w:cs="Arial"/>
                <w:spacing w:val="-2"/>
                <w:sz w:val="18"/>
                <w:szCs w:val="18"/>
              </w:rPr>
              <w:t xml:space="preserve"> </w:t>
            </w:r>
            <w:r w:rsidRPr="000F5C26">
              <w:rPr>
                <w:rFonts w:ascii="Arial" w:hAnsi="Arial" w:cs="Arial"/>
                <w:sz w:val="18"/>
                <w:szCs w:val="18"/>
              </w:rPr>
              <w:t>on</w:t>
            </w:r>
          </w:p>
        </w:tc>
      </w:tr>
      <w:tr w:rsidR="000F5C26" w:rsidRPr="000F5C26" w14:paraId="52675C81" w14:textId="77777777" w:rsidTr="00BA1962">
        <w:trPr>
          <w:trHeight w:val="199"/>
        </w:trPr>
        <w:tc>
          <w:tcPr>
            <w:tcW w:w="590" w:type="dxa"/>
          </w:tcPr>
          <w:p w14:paraId="72422D7E" w14:textId="77777777" w:rsidR="000F5C26" w:rsidRPr="000F5C26" w:rsidRDefault="000F5C26" w:rsidP="00670AAB">
            <w:pPr>
              <w:pStyle w:val="TableParagraph"/>
              <w:spacing w:line="223" w:lineRule="exact"/>
              <w:ind w:left="86"/>
              <w:rPr>
                <w:rFonts w:ascii="Arial" w:hAnsi="Arial" w:cs="Arial"/>
                <w:sz w:val="18"/>
                <w:szCs w:val="18"/>
              </w:rPr>
            </w:pPr>
            <w:r w:rsidRPr="000F5C26">
              <w:rPr>
                <w:rFonts w:ascii="Arial" w:hAnsi="Arial" w:cs="Arial"/>
                <w:w w:val="99"/>
                <w:sz w:val="18"/>
                <w:szCs w:val="18"/>
              </w:rPr>
              <w:t>b</w:t>
            </w:r>
          </w:p>
        </w:tc>
        <w:tc>
          <w:tcPr>
            <w:tcW w:w="7359" w:type="dxa"/>
          </w:tcPr>
          <w:p w14:paraId="6FD82744" w14:textId="77777777" w:rsidR="000F5C26" w:rsidRPr="000F5C26" w:rsidRDefault="000F5C26" w:rsidP="00670AAB">
            <w:pPr>
              <w:pStyle w:val="TableParagraph"/>
              <w:spacing w:line="223" w:lineRule="exact"/>
              <w:rPr>
                <w:rFonts w:ascii="Arial" w:hAnsi="Arial" w:cs="Arial"/>
                <w:sz w:val="18"/>
                <w:szCs w:val="18"/>
              </w:rPr>
            </w:pPr>
            <w:r w:rsidRPr="000F5C26">
              <w:rPr>
                <w:rFonts w:ascii="Arial" w:hAnsi="Arial" w:cs="Arial"/>
                <w:sz w:val="18"/>
                <w:szCs w:val="18"/>
              </w:rPr>
              <w:t>Approach</w:t>
            </w:r>
            <w:r w:rsidRPr="000F5C26">
              <w:rPr>
                <w:rFonts w:ascii="Arial" w:hAnsi="Arial" w:cs="Arial"/>
                <w:spacing w:val="-2"/>
                <w:sz w:val="18"/>
                <w:szCs w:val="18"/>
              </w:rPr>
              <w:t xml:space="preserve"> </w:t>
            </w:r>
            <w:r w:rsidRPr="000F5C26">
              <w:rPr>
                <w:rFonts w:ascii="Arial" w:hAnsi="Arial" w:cs="Arial"/>
                <w:sz w:val="18"/>
                <w:szCs w:val="18"/>
              </w:rPr>
              <w:t>from</w:t>
            </w:r>
            <w:r w:rsidRPr="000F5C26">
              <w:rPr>
                <w:rFonts w:ascii="Arial" w:hAnsi="Arial" w:cs="Arial"/>
                <w:spacing w:val="-3"/>
                <w:sz w:val="18"/>
                <w:szCs w:val="18"/>
              </w:rPr>
              <w:t xml:space="preserve"> </w:t>
            </w:r>
            <w:r w:rsidRPr="000F5C26">
              <w:rPr>
                <w:rFonts w:ascii="Arial" w:hAnsi="Arial" w:cs="Arial"/>
                <w:sz w:val="18"/>
                <w:szCs w:val="18"/>
              </w:rPr>
              <w:t>high</w:t>
            </w:r>
            <w:r w:rsidRPr="000F5C26">
              <w:rPr>
                <w:rFonts w:ascii="Arial" w:hAnsi="Arial" w:cs="Arial"/>
                <w:spacing w:val="-1"/>
                <w:sz w:val="18"/>
                <w:szCs w:val="18"/>
              </w:rPr>
              <w:t xml:space="preserve"> </w:t>
            </w:r>
            <w:r w:rsidRPr="000F5C26">
              <w:rPr>
                <w:rFonts w:ascii="Arial" w:hAnsi="Arial" w:cs="Arial"/>
                <w:sz w:val="18"/>
                <w:szCs w:val="18"/>
              </w:rPr>
              <w:t>level,</w:t>
            </w:r>
            <w:r w:rsidRPr="000F5C26">
              <w:rPr>
                <w:rFonts w:ascii="Arial" w:hAnsi="Arial" w:cs="Arial"/>
                <w:spacing w:val="-2"/>
                <w:sz w:val="18"/>
                <w:szCs w:val="18"/>
              </w:rPr>
              <w:t xml:space="preserve"> </w:t>
            </w:r>
            <w:r w:rsidRPr="000F5C26">
              <w:rPr>
                <w:rFonts w:ascii="Arial" w:hAnsi="Arial" w:cs="Arial"/>
                <w:sz w:val="18"/>
                <w:szCs w:val="18"/>
              </w:rPr>
              <w:t>missed</w:t>
            </w:r>
            <w:r w:rsidRPr="000F5C26">
              <w:rPr>
                <w:rFonts w:ascii="Arial" w:hAnsi="Arial" w:cs="Arial"/>
                <w:spacing w:val="-2"/>
                <w:sz w:val="18"/>
                <w:szCs w:val="18"/>
              </w:rPr>
              <w:t xml:space="preserve"> </w:t>
            </w:r>
            <w:r w:rsidRPr="000F5C26">
              <w:rPr>
                <w:rFonts w:ascii="Arial" w:hAnsi="Arial" w:cs="Arial"/>
                <w:sz w:val="18"/>
                <w:szCs w:val="18"/>
              </w:rPr>
              <w:t>approach</w:t>
            </w:r>
            <w:r w:rsidRPr="000F5C26">
              <w:rPr>
                <w:rFonts w:ascii="Arial" w:hAnsi="Arial" w:cs="Arial"/>
                <w:spacing w:val="-1"/>
                <w:sz w:val="18"/>
                <w:szCs w:val="18"/>
              </w:rPr>
              <w:t xml:space="preserve"> </w:t>
            </w:r>
            <w:r w:rsidRPr="000F5C26">
              <w:rPr>
                <w:rFonts w:ascii="Arial" w:hAnsi="Arial" w:cs="Arial"/>
                <w:sz w:val="18"/>
                <w:szCs w:val="18"/>
              </w:rPr>
              <w:t>and</w:t>
            </w:r>
            <w:r w:rsidRPr="000F5C26">
              <w:rPr>
                <w:rFonts w:ascii="Arial" w:hAnsi="Arial" w:cs="Arial"/>
                <w:spacing w:val="-2"/>
                <w:sz w:val="18"/>
                <w:szCs w:val="18"/>
              </w:rPr>
              <w:t xml:space="preserve"> </w:t>
            </w:r>
            <w:r w:rsidRPr="000F5C26">
              <w:rPr>
                <w:rFonts w:ascii="Arial" w:hAnsi="Arial" w:cs="Arial"/>
                <w:sz w:val="18"/>
                <w:szCs w:val="18"/>
              </w:rPr>
              <w:t>fly</w:t>
            </w:r>
            <w:r w:rsidRPr="000F5C26">
              <w:rPr>
                <w:rFonts w:ascii="Arial" w:hAnsi="Arial" w:cs="Arial"/>
                <w:spacing w:val="-2"/>
                <w:sz w:val="18"/>
                <w:szCs w:val="18"/>
              </w:rPr>
              <w:t xml:space="preserve"> </w:t>
            </w:r>
            <w:r w:rsidRPr="000F5C26">
              <w:rPr>
                <w:rFonts w:ascii="Arial" w:hAnsi="Arial" w:cs="Arial"/>
                <w:sz w:val="18"/>
                <w:szCs w:val="18"/>
              </w:rPr>
              <w:t>on</w:t>
            </w:r>
          </w:p>
        </w:tc>
      </w:tr>
      <w:tr w:rsidR="000F5C26" w:rsidRPr="000F5C26" w14:paraId="5AE032A5" w14:textId="77777777" w:rsidTr="00BA1962">
        <w:trPr>
          <w:trHeight w:val="202"/>
        </w:trPr>
        <w:tc>
          <w:tcPr>
            <w:tcW w:w="590" w:type="dxa"/>
          </w:tcPr>
          <w:p w14:paraId="6254A3FE" w14:textId="77777777" w:rsidR="000F5C26" w:rsidRPr="000F5C26" w:rsidRDefault="000F5C26" w:rsidP="00670AAB">
            <w:pPr>
              <w:pStyle w:val="TableParagraph"/>
              <w:spacing w:line="225" w:lineRule="exact"/>
              <w:ind w:left="86"/>
              <w:rPr>
                <w:rFonts w:ascii="Arial" w:hAnsi="Arial" w:cs="Arial"/>
                <w:sz w:val="18"/>
                <w:szCs w:val="18"/>
              </w:rPr>
            </w:pPr>
            <w:r w:rsidRPr="000F5C26">
              <w:rPr>
                <w:rFonts w:ascii="Arial" w:hAnsi="Arial" w:cs="Arial"/>
                <w:w w:val="99"/>
                <w:sz w:val="18"/>
                <w:szCs w:val="18"/>
              </w:rPr>
              <w:t>c</w:t>
            </w:r>
          </w:p>
        </w:tc>
        <w:tc>
          <w:tcPr>
            <w:tcW w:w="7359" w:type="dxa"/>
          </w:tcPr>
          <w:p w14:paraId="64242D06" w14:textId="77777777" w:rsidR="000F5C26" w:rsidRPr="000F5C26" w:rsidRDefault="000F5C26" w:rsidP="00670AAB">
            <w:pPr>
              <w:pStyle w:val="TableParagraph"/>
              <w:spacing w:line="225" w:lineRule="exact"/>
              <w:rPr>
                <w:rFonts w:ascii="Arial" w:hAnsi="Arial" w:cs="Arial"/>
                <w:sz w:val="18"/>
                <w:szCs w:val="18"/>
              </w:rPr>
            </w:pPr>
            <w:r w:rsidRPr="000F5C26">
              <w:rPr>
                <w:rFonts w:ascii="Arial" w:hAnsi="Arial" w:cs="Arial"/>
                <w:sz w:val="18"/>
                <w:szCs w:val="18"/>
              </w:rPr>
              <w:t>Pre-landing</w:t>
            </w:r>
            <w:r w:rsidRPr="000F5C26">
              <w:rPr>
                <w:rFonts w:ascii="Arial" w:hAnsi="Arial" w:cs="Arial"/>
                <w:spacing w:val="-3"/>
                <w:sz w:val="18"/>
                <w:szCs w:val="18"/>
              </w:rPr>
              <w:t xml:space="preserve"> </w:t>
            </w:r>
            <w:r w:rsidRPr="000F5C26">
              <w:rPr>
                <w:rFonts w:ascii="Arial" w:hAnsi="Arial" w:cs="Arial"/>
                <w:sz w:val="18"/>
                <w:szCs w:val="18"/>
              </w:rPr>
              <w:t>checks</w:t>
            </w:r>
          </w:p>
        </w:tc>
      </w:tr>
      <w:tr w:rsidR="000F5C26" w:rsidRPr="000F5C26" w14:paraId="732BC60B" w14:textId="77777777" w:rsidTr="00BA1962">
        <w:trPr>
          <w:trHeight w:val="200"/>
        </w:trPr>
        <w:tc>
          <w:tcPr>
            <w:tcW w:w="590" w:type="dxa"/>
          </w:tcPr>
          <w:p w14:paraId="6603BA42" w14:textId="77777777" w:rsidR="000F5C26" w:rsidRPr="000F5C26" w:rsidRDefault="000F5C26" w:rsidP="00670AAB">
            <w:pPr>
              <w:pStyle w:val="TableParagraph"/>
              <w:spacing w:line="223" w:lineRule="exact"/>
              <w:ind w:left="86"/>
              <w:rPr>
                <w:rFonts w:ascii="Arial" w:hAnsi="Arial" w:cs="Arial"/>
                <w:sz w:val="18"/>
                <w:szCs w:val="18"/>
              </w:rPr>
            </w:pPr>
            <w:r w:rsidRPr="000F5C26">
              <w:rPr>
                <w:rFonts w:ascii="Arial" w:hAnsi="Arial" w:cs="Arial"/>
                <w:w w:val="99"/>
                <w:sz w:val="18"/>
                <w:szCs w:val="18"/>
              </w:rPr>
              <w:t>d</w:t>
            </w:r>
          </w:p>
        </w:tc>
        <w:tc>
          <w:tcPr>
            <w:tcW w:w="7359" w:type="dxa"/>
          </w:tcPr>
          <w:p w14:paraId="380D5968" w14:textId="77777777" w:rsidR="000F5C26" w:rsidRPr="000F5C26" w:rsidRDefault="000F5C26" w:rsidP="00670AAB">
            <w:pPr>
              <w:pStyle w:val="TableParagraph"/>
              <w:spacing w:line="223" w:lineRule="exact"/>
              <w:rPr>
                <w:rFonts w:ascii="Arial" w:hAnsi="Arial" w:cs="Arial"/>
                <w:sz w:val="18"/>
                <w:szCs w:val="18"/>
              </w:rPr>
            </w:pPr>
            <w:r w:rsidRPr="000F5C26">
              <w:rPr>
                <w:rFonts w:ascii="Arial" w:hAnsi="Arial" w:cs="Arial"/>
                <w:sz w:val="18"/>
                <w:szCs w:val="18"/>
              </w:rPr>
              <w:t>Passenger</w:t>
            </w:r>
            <w:r w:rsidRPr="000F5C26">
              <w:rPr>
                <w:rFonts w:ascii="Arial" w:hAnsi="Arial" w:cs="Arial"/>
                <w:spacing w:val="-3"/>
                <w:sz w:val="18"/>
                <w:szCs w:val="18"/>
              </w:rPr>
              <w:t xml:space="preserve"> </w:t>
            </w:r>
            <w:r w:rsidRPr="000F5C26">
              <w:rPr>
                <w:rFonts w:ascii="Arial" w:hAnsi="Arial" w:cs="Arial"/>
                <w:sz w:val="18"/>
                <w:szCs w:val="18"/>
              </w:rPr>
              <w:t>pre-landing</w:t>
            </w:r>
            <w:r w:rsidRPr="000F5C26">
              <w:rPr>
                <w:rFonts w:ascii="Arial" w:hAnsi="Arial" w:cs="Arial"/>
                <w:spacing w:val="-3"/>
                <w:sz w:val="18"/>
                <w:szCs w:val="18"/>
              </w:rPr>
              <w:t xml:space="preserve"> </w:t>
            </w:r>
            <w:r w:rsidRPr="000F5C26">
              <w:rPr>
                <w:rFonts w:ascii="Arial" w:hAnsi="Arial" w:cs="Arial"/>
                <w:sz w:val="18"/>
                <w:szCs w:val="18"/>
              </w:rPr>
              <w:t>briefing</w:t>
            </w:r>
          </w:p>
        </w:tc>
      </w:tr>
      <w:tr w:rsidR="000F5C26" w:rsidRPr="000F5C26" w14:paraId="095E1E82" w14:textId="77777777" w:rsidTr="00BA1962">
        <w:trPr>
          <w:trHeight w:val="202"/>
        </w:trPr>
        <w:tc>
          <w:tcPr>
            <w:tcW w:w="590" w:type="dxa"/>
          </w:tcPr>
          <w:p w14:paraId="715976F9" w14:textId="77777777" w:rsidR="000F5C26" w:rsidRPr="000F5C26" w:rsidRDefault="000F5C26" w:rsidP="00670AAB">
            <w:pPr>
              <w:pStyle w:val="TableParagraph"/>
              <w:spacing w:line="225" w:lineRule="exact"/>
              <w:ind w:left="86"/>
              <w:rPr>
                <w:rFonts w:ascii="Arial" w:hAnsi="Arial" w:cs="Arial"/>
                <w:sz w:val="18"/>
                <w:szCs w:val="18"/>
              </w:rPr>
            </w:pPr>
            <w:r w:rsidRPr="000F5C26">
              <w:rPr>
                <w:rFonts w:ascii="Arial" w:hAnsi="Arial" w:cs="Arial"/>
                <w:w w:val="99"/>
                <w:sz w:val="18"/>
                <w:szCs w:val="18"/>
              </w:rPr>
              <w:t>e</w:t>
            </w:r>
          </w:p>
        </w:tc>
        <w:tc>
          <w:tcPr>
            <w:tcW w:w="7359" w:type="dxa"/>
          </w:tcPr>
          <w:p w14:paraId="10362CB7" w14:textId="77777777" w:rsidR="000F5C26" w:rsidRPr="000F5C26" w:rsidRDefault="000F5C26" w:rsidP="00670AAB">
            <w:pPr>
              <w:pStyle w:val="TableParagraph"/>
              <w:spacing w:line="225" w:lineRule="exact"/>
              <w:rPr>
                <w:rFonts w:ascii="Arial" w:hAnsi="Arial" w:cs="Arial"/>
                <w:sz w:val="18"/>
                <w:szCs w:val="18"/>
              </w:rPr>
            </w:pPr>
            <w:r w:rsidRPr="000F5C26">
              <w:rPr>
                <w:rFonts w:ascii="Arial" w:hAnsi="Arial" w:cs="Arial"/>
                <w:sz w:val="18"/>
                <w:szCs w:val="18"/>
              </w:rPr>
              <w:t>Selection</w:t>
            </w:r>
            <w:r w:rsidRPr="000F5C26">
              <w:rPr>
                <w:rFonts w:ascii="Arial" w:hAnsi="Arial" w:cs="Arial"/>
                <w:spacing w:val="-3"/>
                <w:sz w:val="18"/>
                <w:szCs w:val="18"/>
              </w:rPr>
              <w:t xml:space="preserve"> </w:t>
            </w:r>
            <w:r w:rsidRPr="000F5C26">
              <w:rPr>
                <w:rFonts w:ascii="Arial" w:hAnsi="Arial" w:cs="Arial"/>
                <w:sz w:val="18"/>
                <w:szCs w:val="18"/>
              </w:rPr>
              <w:t>of</w:t>
            </w:r>
            <w:r w:rsidRPr="000F5C26">
              <w:rPr>
                <w:rFonts w:ascii="Arial" w:hAnsi="Arial" w:cs="Arial"/>
                <w:spacing w:val="-5"/>
                <w:sz w:val="18"/>
                <w:szCs w:val="18"/>
              </w:rPr>
              <w:t xml:space="preserve"> </w:t>
            </w:r>
            <w:r w:rsidRPr="000F5C26">
              <w:rPr>
                <w:rFonts w:ascii="Arial" w:hAnsi="Arial" w:cs="Arial"/>
                <w:sz w:val="18"/>
                <w:szCs w:val="18"/>
              </w:rPr>
              <w:t>landing</w:t>
            </w:r>
            <w:r w:rsidRPr="000F5C26">
              <w:rPr>
                <w:rFonts w:ascii="Arial" w:hAnsi="Arial" w:cs="Arial"/>
                <w:spacing w:val="-4"/>
                <w:sz w:val="18"/>
                <w:szCs w:val="18"/>
              </w:rPr>
              <w:t xml:space="preserve"> </w:t>
            </w:r>
            <w:r w:rsidRPr="000F5C26">
              <w:rPr>
                <w:rFonts w:ascii="Arial" w:hAnsi="Arial" w:cs="Arial"/>
                <w:sz w:val="18"/>
                <w:szCs w:val="18"/>
              </w:rPr>
              <w:t>field</w:t>
            </w:r>
          </w:p>
        </w:tc>
      </w:tr>
      <w:tr w:rsidR="000F5C26" w:rsidRPr="000F5C26" w14:paraId="01ECD65C" w14:textId="77777777" w:rsidTr="00BA1962">
        <w:trPr>
          <w:trHeight w:val="200"/>
        </w:trPr>
        <w:tc>
          <w:tcPr>
            <w:tcW w:w="590" w:type="dxa"/>
          </w:tcPr>
          <w:p w14:paraId="7AC51347" w14:textId="77777777" w:rsidR="000F5C26" w:rsidRPr="000F5C26" w:rsidRDefault="000F5C26" w:rsidP="00670AAB">
            <w:pPr>
              <w:pStyle w:val="TableParagraph"/>
              <w:spacing w:line="223" w:lineRule="exact"/>
              <w:ind w:left="86"/>
              <w:rPr>
                <w:rFonts w:ascii="Arial" w:hAnsi="Arial" w:cs="Arial"/>
                <w:sz w:val="18"/>
                <w:szCs w:val="18"/>
              </w:rPr>
            </w:pPr>
            <w:r w:rsidRPr="000F5C26">
              <w:rPr>
                <w:rFonts w:ascii="Arial" w:hAnsi="Arial" w:cs="Arial"/>
                <w:w w:val="99"/>
                <w:sz w:val="18"/>
                <w:szCs w:val="18"/>
              </w:rPr>
              <w:t>f</w:t>
            </w:r>
          </w:p>
        </w:tc>
        <w:tc>
          <w:tcPr>
            <w:tcW w:w="7359" w:type="dxa"/>
          </w:tcPr>
          <w:p w14:paraId="75817184" w14:textId="77777777" w:rsidR="000F5C26" w:rsidRPr="000F5C26" w:rsidRDefault="000F5C26" w:rsidP="00670AAB">
            <w:pPr>
              <w:pStyle w:val="TableParagraph"/>
              <w:spacing w:line="223" w:lineRule="exact"/>
              <w:rPr>
                <w:rFonts w:ascii="Arial" w:hAnsi="Arial" w:cs="Arial"/>
                <w:sz w:val="18"/>
                <w:szCs w:val="18"/>
              </w:rPr>
            </w:pPr>
            <w:r w:rsidRPr="000F5C26">
              <w:rPr>
                <w:rFonts w:ascii="Arial" w:hAnsi="Arial" w:cs="Arial"/>
                <w:sz w:val="18"/>
                <w:szCs w:val="18"/>
              </w:rPr>
              <w:t>Landing,</w:t>
            </w:r>
            <w:r w:rsidRPr="000F5C26">
              <w:rPr>
                <w:rFonts w:ascii="Arial" w:hAnsi="Arial" w:cs="Arial"/>
                <w:spacing w:val="-3"/>
                <w:sz w:val="18"/>
                <w:szCs w:val="18"/>
              </w:rPr>
              <w:t xml:space="preserve"> </w:t>
            </w:r>
            <w:r w:rsidRPr="000F5C26">
              <w:rPr>
                <w:rFonts w:ascii="Arial" w:hAnsi="Arial" w:cs="Arial"/>
                <w:sz w:val="18"/>
                <w:szCs w:val="18"/>
              </w:rPr>
              <w:t>dragging</w:t>
            </w:r>
            <w:r w:rsidRPr="000F5C26">
              <w:rPr>
                <w:rFonts w:ascii="Arial" w:hAnsi="Arial" w:cs="Arial"/>
                <w:spacing w:val="-4"/>
                <w:sz w:val="18"/>
                <w:szCs w:val="18"/>
              </w:rPr>
              <w:t xml:space="preserve"> </w:t>
            </w:r>
            <w:r w:rsidRPr="000F5C26">
              <w:rPr>
                <w:rFonts w:ascii="Arial" w:hAnsi="Arial" w:cs="Arial"/>
                <w:sz w:val="18"/>
                <w:szCs w:val="18"/>
              </w:rPr>
              <w:t>and</w:t>
            </w:r>
            <w:r w:rsidRPr="000F5C26">
              <w:rPr>
                <w:rFonts w:ascii="Arial" w:hAnsi="Arial" w:cs="Arial"/>
                <w:spacing w:val="-3"/>
                <w:sz w:val="18"/>
                <w:szCs w:val="18"/>
              </w:rPr>
              <w:t xml:space="preserve"> </w:t>
            </w:r>
            <w:r w:rsidRPr="000F5C26">
              <w:rPr>
                <w:rFonts w:ascii="Arial" w:hAnsi="Arial" w:cs="Arial"/>
                <w:sz w:val="18"/>
                <w:szCs w:val="18"/>
              </w:rPr>
              <w:t>deflation</w:t>
            </w:r>
          </w:p>
        </w:tc>
      </w:tr>
      <w:tr w:rsidR="000F5C26" w:rsidRPr="000F5C26" w14:paraId="19582999" w14:textId="77777777" w:rsidTr="00BA1962">
        <w:trPr>
          <w:trHeight w:val="199"/>
        </w:trPr>
        <w:tc>
          <w:tcPr>
            <w:tcW w:w="590" w:type="dxa"/>
          </w:tcPr>
          <w:p w14:paraId="75E82F35" w14:textId="77777777" w:rsidR="000F5C26" w:rsidRPr="000F5C26" w:rsidRDefault="000F5C26" w:rsidP="00670AAB">
            <w:pPr>
              <w:pStyle w:val="TableParagraph"/>
              <w:spacing w:line="222" w:lineRule="exact"/>
              <w:ind w:left="86"/>
              <w:rPr>
                <w:rFonts w:ascii="Arial" w:hAnsi="Arial" w:cs="Arial"/>
                <w:sz w:val="18"/>
                <w:szCs w:val="18"/>
              </w:rPr>
            </w:pPr>
            <w:r w:rsidRPr="000F5C26">
              <w:rPr>
                <w:rFonts w:ascii="Arial" w:hAnsi="Arial" w:cs="Arial"/>
                <w:w w:val="99"/>
                <w:sz w:val="18"/>
                <w:szCs w:val="18"/>
              </w:rPr>
              <w:t>g</w:t>
            </w:r>
          </w:p>
        </w:tc>
        <w:tc>
          <w:tcPr>
            <w:tcW w:w="7359" w:type="dxa"/>
          </w:tcPr>
          <w:p w14:paraId="6767EF67" w14:textId="77777777" w:rsidR="000F5C26" w:rsidRPr="000F5C26" w:rsidRDefault="000F5C26" w:rsidP="00670AAB">
            <w:pPr>
              <w:pStyle w:val="TableParagraph"/>
              <w:spacing w:line="222" w:lineRule="exact"/>
              <w:rPr>
                <w:rFonts w:ascii="Arial" w:hAnsi="Arial" w:cs="Arial"/>
                <w:sz w:val="18"/>
                <w:szCs w:val="18"/>
              </w:rPr>
            </w:pPr>
            <w:r w:rsidRPr="000F5C26">
              <w:rPr>
                <w:rFonts w:ascii="Arial" w:hAnsi="Arial" w:cs="Arial"/>
                <w:sz w:val="18"/>
                <w:szCs w:val="18"/>
              </w:rPr>
              <w:t>ATC</w:t>
            </w:r>
            <w:r w:rsidRPr="000F5C26">
              <w:rPr>
                <w:rFonts w:ascii="Arial" w:hAnsi="Arial" w:cs="Arial"/>
                <w:spacing w:val="-3"/>
                <w:sz w:val="18"/>
                <w:szCs w:val="18"/>
              </w:rPr>
              <w:t xml:space="preserve"> </w:t>
            </w:r>
            <w:r w:rsidRPr="000F5C26">
              <w:rPr>
                <w:rFonts w:ascii="Arial" w:hAnsi="Arial" w:cs="Arial"/>
                <w:sz w:val="18"/>
                <w:szCs w:val="18"/>
              </w:rPr>
              <w:t>compliance</w:t>
            </w:r>
            <w:r w:rsidRPr="000F5C26">
              <w:rPr>
                <w:rFonts w:ascii="Arial" w:hAnsi="Arial" w:cs="Arial"/>
                <w:spacing w:val="-4"/>
                <w:sz w:val="18"/>
                <w:szCs w:val="18"/>
              </w:rPr>
              <w:t xml:space="preserve"> </w:t>
            </w:r>
            <w:r w:rsidRPr="000F5C26">
              <w:rPr>
                <w:rFonts w:ascii="Arial" w:hAnsi="Arial" w:cs="Arial"/>
                <w:sz w:val="18"/>
                <w:szCs w:val="18"/>
              </w:rPr>
              <w:t>(if</w:t>
            </w:r>
            <w:r w:rsidRPr="000F5C26">
              <w:rPr>
                <w:rFonts w:ascii="Arial" w:hAnsi="Arial" w:cs="Arial"/>
                <w:spacing w:val="-3"/>
                <w:sz w:val="18"/>
                <w:szCs w:val="18"/>
              </w:rPr>
              <w:t xml:space="preserve"> </w:t>
            </w:r>
            <w:r w:rsidRPr="000F5C26">
              <w:rPr>
                <w:rFonts w:ascii="Arial" w:hAnsi="Arial" w:cs="Arial"/>
                <w:sz w:val="18"/>
                <w:szCs w:val="18"/>
              </w:rPr>
              <w:t>applicable)</w:t>
            </w:r>
          </w:p>
        </w:tc>
      </w:tr>
      <w:tr w:rsidR="000F5C26" w:rsidRPr="000F5C26" w14:paraId="586F1CFB" w14:textId="77777777" w:rsidTr="00BA1962">
        <w:trPr>
          <w:trHeight w:val="447"/>
        </w:trPr>
        <w:tc>
          <w:tcPr>
            <w:tcW w:w="590" w:type="dxa"/>
          </w:tcPr>
          <w:p w14:paraId="66408AA0" w14:textId="77777777" w:rsidR="000F5C26" w:rsidRPr="000F5C26" w:rsidRDefault="000F5C26" w:rsidP="00670AAB">
            <w:pPr>
              <w:pStyle w:val="TableParagraph"/>
              <w:spacing w:before="1"/>
              <w:ind w:left="86"/>
              <w:rPr>
                <w:rFonts w:ascii="Arial" w:hAnsi="Arial" w:cs="Arial"/>
                <w:sz w:val="18"/>
                <w:szCs w:val="18"/>
              </w:rPr>
            </w:pPr>
            <w:r w:rsidRPr="000F5C26">
              <w:rPr>
                <w:rFonts w:ascii="Arial" w:hAnsi="Arial" w:cs="Arial"/>
                <w:w w:val="99"/>
                <w:sz w:val="18"/>
                <w:szCs w:val="18"/>
              </w:rPr>
              <w:t>h</w:t>
            </w:r>
          </w:p>
        </w:tc>
        <w:tc>
          <w:tcPr>
            <w:tcW w:w="7359" w:type="dxa"/>
          </w:tcPr>
          <w:p w14:paraId="5513173B" w14:textId="77777777" w:rsidR="000F5C26" w:rsidRPr="000F5C26" w:rsidRDefault="000F5C26" w:rsidP="00670AAB">
            <w:pPr>
              <w:pStyle w:val="TableParagraph"/>
              <w:spacing w:line="240" w:lineRule="atLeast"/>
              <w:rPr>
                <w:rFonts w:ascii="Arial" w:hAnsi="Arial" w:cs="Arial"/>
                <w:sz w:val="18"/>
                <w:szCs w:val="18"/>
              </w:rPr>
            </w:pPr>
            <w:r w:rsidRPr="000F5C26">
              <w:rPr>
                <w:rFonts w:ascii="Arial" w:hAnsi="Arial" w:cs="Arial"/>
                <w:sz w:val="18"/>
                <w:szCs w:val="18"/>
              </w:rPr>
              <w:t>Actions after flight (recording of the flight, closing flight plan (if applicable), briefing</w:t>
            </w:r>
            <w:r w:rsidRPr="000F5C26">
              <w:rPr>
                <w:rFonts w:ascii="Arial" w:hAnsi="Arial" w:cs="Arial"/>
                <w:spacing w:val="-43"/>
                <w:sz w:val="18"/>
                <w:szCs w:val="18"/>
              </w:rPr>
              <w:t xml:space="preserve"> </w:t>
            </w:r>
            <w:r w:rsidRPr="000F5C26">
              <w:rPr>
                <w:rFonts w:ascii="Arial" w:hAnsi="Arial" w:cs="Arial"/>
                <w:sz w:val="18"/>
                <w:szCs w:val="18"/>
              </w:rPr>
              <w:t>passengers for packing</w:t>
            </w:r>
            <w:r w:rsidRPr="000F5C26">
              <w:rPr>
                <w:rFonts w:ascii="Arial" w:hAnsi="Arial" w:cs="Arial"/>
                <w:spacing w:val="-1"/>
                <w:sz w:val="18"/>
                <w:szCs w:val="18"/>
              </w:rPr>
              <w:t xml:space="preserve"> </w:t>
            </w:r>
            <w:r w:rsidRPr="000F5C26">
              <w:rPr>
                <w:rFonts w:ascii="Arial" w:hAnsi="Arial" w:cs="Arial"/>
                <w:sz w:val="18"/>
                <w:szCs w:val="18"/>
              </w:rPr>
              <w:t>balloon,</w:t>
            </w:r>
            <w:r w:rsidRPr="000F5C26">
              <w:rPr>
                <w:rFonts w:ascii="Arial" w:hAnsi="Arial" w:cs="Arial"/>
                <w:spacing w:val="-1"/>
                <w:sz w:val="18"/>
                <w:szCs w:val="18"/>
              </w:rPr>
              <w:t xml:space="preserve"> </w:t>
            </w:r>
            <w:r w:rsidRPr="000F5C26">
              <w:rPr>
                <w:rFonts w:ascii="Arial" w:hAnsi="Arial" w:cs="Arial"/>
                <w:sz w:val="18"/>
                <w:szCs w:val="18"/>
              </w:rPr>
              <w:t>contact landowner)</w:t>
            </w:r>
          </w:p>
        </w:tc>
      </w:tr>
      <w:tr w:rsidR="000F5C26" w:rsidRPr="000F5C26" w14:paraId="56A51B74" w14:textId="77777777" w:rsidTr="00BA1962">
        <w:trPr>
          <w:trHeight w:val="199"/>
        </w:trPr>
        <w:tc>
          <w:tcPr>
            <w:tcW w:w="7949" w:type="dxa"/>
            <w:gridSpan w:val="2"/>
            <w:shd w:val="clear" w:color="auto" w:fill="F2F2F2" w:themeFill="background1" w:themeFillShade="F2"/>
          </w:tcPr>
          <w:p w14:paraId="39B7AE43" w14:textId="77777777" w:rsidR="000F5C26" w:rsidRPr="000F5C26" w:rsidRDefault="000F5C26" w:rsidP="00670AAB">
            <w:pPr>
              <w:pStyle w:val="TableParagraph"/>
              <w:spacing w:line="223" w:lineRule="exact"/>
              <w:ind w:left="86"/>
              <w:rPr>
                <w:rFonts w:ascii="Arial" w:hAnsi="Arial" w:cs="Arial"/>
                <w:b/>
                <w:sz w:val="18"/>
                <w:szCs w:val="18"/>
              </w:rPr>
            </w:pPr>
            <w:r w:rsidRPr="000F5C26">
              <w:rPr>
                <w:rFonts w:ascii="Arial" w:hAnsi="Arial" w:cs="Arial"/>
                <w:b/>
                <w:sz w:val="18"/>
                <w:szCs w:val="18"/>
              </w:rPr>
              <w:t>SECTION</w:t>
            </w:r>
            <w:r w:rsidRPr="000F5C26">
              <w:rPr>
                <w:rFonts w:ascii="Arial" w:hAnsi="Arial" w:cs="Arial"/>
                <w:b/>
                <w:spacing w:val="-4"/>
                <w:sz w:val="18"/>
                <w:szCs w:val="18"/>
              </w:rPr>
              <w:t xml:space="preserve"> </w:t>
            </w:r>
            <w:r w:rsidRPr="000F5C26">
              <w:rPr>
                <w:rFonts w:ascii="Arial" w:hAnsi="Arial" w:cs="Arial"/>
                <w:b/>
                <w:sz w:val="18"/>
                <w:szCs w:val="18"/>
              </w:rPr>
              <w:t>5:</w:t>
            </w:r>
            <w:r w:rsidRPr="000F5C26">
              <w:rPr>
                <w:rFonts w:ascii="Arial" w:hAnsi="Arial" w:cs="Arial"/>
                <w:b/>
                <w:spacing w:val="-4"/>
                <w:sz w:val="18"/>
                <w:szCs w:val="18"/>
              </w:rPr>
              <w:t xml:space="preserve"> </w:t>
            </w:r>
            <w:r w:rsidRPr="000F5C26">
              <w:rPr>
                <w:rFonts w:ascii="Arial" w:hAnsi="Arial" w:cs="Arial"/>
                <w:b/>
                <w:sz w:val="18"/>
                <w:szCs w:val="18"/>
              </w:rPr>
              <w:t>ABNORMAL</w:t>
            </w:r>
            <w:r w:rsidRPr="000F5C26">
              <w:rPr>
                <w:rFonts w:ascii="Arial" w:hAnsi="Arial" w:cs="Arial"/>
                <w:b/>
                <w:spacing w:val="-4"/>
                <w:sz w:val="18"/>
                <w:szCs w:val="18"/>
              </w:rPr>
              <w:t xml:space="preserve"> </w:t>
            </w:r>
            <w:r w:rsidRPr="000F5C26">
              <w:rPr>
                <w:rFonts w:ascii="Arial" w:hAnsi="Arial" w:cs="Arial"/>
                <w:b/>
                <w:sz w:val="18"/>
                <w:szCs w:val="18"/>
              </w:rPr>
              <w:t>AND</w:t>
            </w:r>
            <w:r w:rsidRPr="000F5C26">
              <w:rPr>
                <w:rFonts w:ascii="Arial" w:hAnsi="Arial" w:cs="Arial"/>
                <w:b/>
                <w:spacing w:val="-5"/>
                <w:sz w:val="18"/>
                <w:szCs w:val="18"/>
              </w:rPr>
              <w:t xml:space="preserve"> </w:t>
            </w:r>
            <w:r w:rsidRPr="000F5C26">
              <w:rPr>
                <w:rFonts w:ascii="Arial" w:hAnsi="Arial" w:cs="Arial"/>
                <w:b/>
                <w:sz w:val="18"/>
                <w:szCs w:val="18"/>
              </w:rPr>
              <w:t>EMERGENCY</w:t>
            </w:r>
            <w:r w:rsidRPr="000F5C26">
              <w:rPr>
                <w:rFonts w:ascii="Arial" w:hAnsi="Arial" w:cs="Arial"/>
                <w:b/>
                <w:spacing w:val="-5"/>
                <w:sz w:val="18"/>
                <w:szCs w:val="18"/>
              </w:rPr>
              <w:t xml:space="preserve"> </w:t>
            </w:r>
            <w:r w:rsidRPr="000F5C26">
              <w:rPr>
                <w:rFonts w:ascii="Arial" w:hAnsi="Arial" w:cs="Arial"/>
                <w:b/>
                <w:sz w:val="18"/>
                <w:szCs w:val="18"/>
              </w:rPr>
              <w:t>PROCEDURES</w:t>
            </w:r>
          </w:p>
        </w:tc>
      </w:tr>
      <w:tr w:rsidR="000F5C26" w:rsidRPr="000F5C26" w14:paraId="02C91923" w14:textId="77777777" w:rsidTr="00BA1962">
        <w:trPr>
          <w:trHeight w:val="202"/>
        </w:trPr>
        <w:tc>
          <w:tcPr>
            <w:tcW w:w="7949" w:type="dxa"/>
            <w:gridSpan w:val="2"/>
          </w:tcPr>
          <w:p w14:paraId="171B0630" w14:textId="77777777" w:rsidR="000F5C26" w:rsidRPr="000F5C26" w:rsidRDefault="000F5C26" w:rsidP="00670AAB">
            <w:pPr>
              <w:pStyle w:val="TableParagraph"/>
              <w:spacing w:line="225" w:lineRule="exact"/>
              <w:ind w:left="86"/>
              <w:rPr>
                <w:rFonts w:ascii="Arial" w:hAnsi="Arial" w:cs="Arial"/>
                <w:sz w:val="18"/>
                <w:szCs w:val="18"/>
              </w:rPr>
            </w:pPr>
            <w:r w:rsidRPr="000F5C26">
              <w:rPr>
                <w:rFonts w:ascii="Arial" w:hAnsi="Arial" w:cs="Arial"/>
                <w:sz w:val="18"/>
                <w:szCs w:val="18"/>
              </w:rPr>
              <w:t>This</w:t>
            </w:r>
            <w:r w:rsidRPr="000F5C26">
              <w:rPr>
                <w:rFonts w:ascii="Arial" w:hAnsi="Arial" w:cs="Arial"/>
                <w:spacing w:val="-4"/>
                <w:sz w:val="18"/>
                <w:szCs w:val="18"/>
              </w:rPr>
              <w:t xml:space="preserve"> </w:t>
            </w:r>
            <w:r w:rsidRPr="000F5C26">
              <w:rPr>
                <w:rFonts w:ascii="Arial" w:hAnsi="Arial" w:cs="Arial"/>
                <w:sz w:val="18"/>
                <w:szCs w:val="18"/>
              </w:rPr>
              <w:t>Section</w:t>
            </w:r>
            <w:r w:rsidRPr="000F5C26">
              <w:rPr>
                <w:rFonts w:ascii="Arial" w:hAnsi="Arial" w:cs="Arial"/>
                <w:spacing w:val="-1"/>
                <w:sz w:val="18"/>
                <w:szCs w:val="18"/>
              </w:rPr>
              <w:t xml:space="preserve"> </w:t>
            </w:r>
            <w:r w:rsidRPr="000F5C26">
              <w:rPr>
                <w:rFonts w:ascii="Arial" w:hAnsi="Arial" w:cs="Arial"/>
                <w:sz w:val="18"/>
                <w:szCs w:val="18"/>
              </w:rPr>
              <w:t>may</w:t>
            </w:r>
            <w:r w:rsidRPr="000F5C26">
              <w:rPr>
                <w:rFonts w:ascii="Arial" w:hAnsi="Arial" w:cs="Arial"/>
                <w:spacing w:val="-1"/>
                <w:sz w:val="18"/>
                <w:szCs w:val="18"/>
              </w:rPr>
              <w:t xml:space="preserve"> </w:t>
            </w:r>
            <w:r w:rsidRPr="000F5C26">
              <w:rPr>
                <w:rFonts w:ascii="Arial" w:hAnsi="Arial" w:cs="Arial"/>
                <w:sz w:val="18"/>
                <w:szCs w:val="18"/>
              </w:rPr>
              <w:t>be</w:t>
            </w:r>
            <w:r w:rsidRPr="000F5C26">
              <w:rPr>
                <w:rFonts w:ascii="Arial" w:hAnsi="Arial" w:cs="Arial"/>
                <w:spacing w:val="-3"/>
                <w:sz w:val="18"/>
                <w:szCs w:val="18"/>
              </w:rPr>
              <w:t xml:space="preserve"> </w:t>
            </w:r>
            <w:r w:rsidRPr="000F5C26">
              <w:rPr>
                <w:rFonts w:ascii="Arial" w:hAnsi="Arial" w:cs="Arial"/>
                <w:sz w:val="18"/>
                <w:szCs w:val="18"/>
              </w:rPr>
              <w:t>combined</w:t>
            </w:r>
            <w:r w:rsidRPr="000F5C26">
              <w:rPr>
                <w:rFonts w:ascii="Arial" w:hAnsi="Arial" w:cs="Arial"/>
                <w:spacing w:val="-1"/>
                <w:sz w:val="18"/>
                <w:szCs w:val="18"/>
              </w:rPr>
              <w:t xml:space="preserve"> </w:t>
            </w:r>
            <w:r w:rsidRPr="000F5C26">
              <w:rPr>
                <w:rFonts w:ascii="Arial" w:hAnsi="Arial" w:cs="Arial"/>
                <w:sz w:val="18"/>
                <w:szCs w:val="18"/>
              </w:rPr>
              <w:t>with</w:t>
            </w:r>
            <w:r w:rsidRPr="000F5C26">
              <w:rPr>
                <w:rFonts w:ascii="Arial" w:hAnsi="Arial" w:cs="Arial"/>
                <w:spacing w:val="-2"/>
                <w:sz w:val="18"/>
                <w:szCs w:val="18"/>
              </w:rPr>
              <w:t xml:space="preserve"> </w:t>
            </w:r>
            <w:r w:rsidRPr="000F5C26">
              <w:rPr>
                <w:rFonts w:ascii="Arial" w:hAnsi="Arial" w:cs="Arial"/>
                <w:sz w:val="18"/>
                <w:szCs w:val="18"/>
              </w:rPr>
              <w:t>Sections</w:t>
            </w:r>
            <w:r w:rsidRPr="000F5C26">
              <w:rPr>
                <w:rFonts w:ascii="Arial" w:hAnsi="Arial" w:cs="Arial"/>
                <w:spacing w:val="-3"/>
                <w:sz w:val="18"/>
                <w:szCs w:val="18"/>
              </w:rPr>
              <w:t xml:space="preserve"> </w:t>
            </w:r>
            <w:r w:rsidRPr="000F5C26">
              <w:rPr>
                <w:rFonts w:ascii="Arial" w:hAnsi="Arial" w:cs="Arial"/>
                <w:sz w:val="18"/>
                <w:szCs w:val="18"/>
              </w:rPr>
              <w:t>1</w:t>
            </w:r>
            <w:r w:rsidRPr="000F5C26">
              <w:rPr>
                <w:rFonts w:ascii="Arial" w:hAnsi="Arial" w:cs="Arial"/>
                <w:spacing w:val="-2"/>
                <w:sz w:val="18"/>
                <w:szCs w:val="18"/>
              </w:rPr>
              <w:t xml:space="preserve"> </w:t>
            </w:r>
            <w:r w:rsidRPr="000F5C26">
              <w:rPr>
                <w:rFonts w:ascii="Arial" w:hAnsi="Arial" w:cs="Arial"/>
                <w:sz w:val="18"/>
                <w:szCs w:val="18"/>
              </w:rPr>
              <w:t>through</w:t>
            </w:r>
            <w:r w:rsidRPr="000F5C26">
              <w:rPr>
                <w:rFonts w:ascii="Arial" w:hAnsi="Arial" w:cs="Arial"/>
                <w:spacing w:val="-1"/>
                <w:sz w:val="18"/>
                <w:szCs w:val="18"/>
              </w:rPr>
              <w:t xml:space="preserve"> </w:t>
            </w:r>
            <w:r w:rsidRPr="000F5C26">
              <w:rPr>
                <w:rFonts w:ascii="Arial" w:hAnsi="Arial" w:cs="Arial"/>
                <w:sz w:val="18"/>
                <w:szCs w:val="18"/>
              </w:rPr>
              <w:t>4.</w:t>
            </w:r>
          </w:p>
        </w:tc>
      </w:tr>
      <w:tr w:rsidR="000F5C26" w:rsidRPr="000F5C26" w14:paraId="1B7D8215" w14:textId="77777777" w:rsidTr="00BA1962">
        <w:trPr>
          <w:trHeight w:val="200"/>
        </w:trPr>
        <w:tc>
          <w:tcPr>
            <w:tcW w:w="590" w:type="dxa"/>
          </w:tcPr>
          <w:p w14:paraId="77D601F1" w14:textId="77777777" w:rsidR="000F5C26" w:rsidRPr="000F5C26" w:rsidRDefault="000F5C26" w:rsidP="00670AAB">
            <w:pPr>
              <w:pStyle w:val="TableParagraph"/>
              <w:spacing w:line="223" w:lineRule="exact"/>
              <w:ind w:left="86"/>
              <w:rPr>
                <w:rFonts w:ascii="Arial" w:hAnsi="Arial" w:cs="Arial"/>
                <w:sz w:val="18"/>
                <w:szCs w:val="18"/>
              </w:rPr>
            </w:pPr>
            <w:r w:rsidRPr="000F5C26">
              <w:rPr>
                <w:rFonts w:ascii="Arial" w:hAnsi="Arial" w:cs="Arial"/>
                <w:w w:val="99"/>
                <w:sz w:val="18"/>
                <w:szCs w:val="18"/>
              </w:rPr>
              <w:t>a</w:t>
            </w:r>
          </w:p>
        </w:tc>
        <w:tc>
          <w:tcPr>
            <w:tcW w:w="7359" w:type="dxa"/>
          </w:tcPr>
          <w:p w14:paraId="68157D87" w14:textId="77777777" w:rsidR="000F5C26" w:rsidRPr="000F5C26" w:rsidRDefault="000F5C26" w:rsidP="00670AAB">
            <w:pPr>
              <w:pStyle w:val="TableParagraph"/>
              <w:spacing w:line="223" w:lineRule="exact"/>
              <w:rPr>
                <w:rFonts w:ascii="Arial" w:hAnsi="Arial" w:cs="Arial"/>
                <w:sz w:val="18"/>
                <w:szCs w:val="18"/>
              </w:rPr>
            </w:pPr>
            <w:r w:rsidRPr="000F5C26">
              <w:rPr>
                <w:rFonts w:ascii="Arial" w:hAnsi="Arial" w:cs="Arial"/>
                <w:sz w:val="18"/>
                <w:szCs w:val="18"/>
              </w:rPr>
              <w:t>Simulated</w:t>
            </w:r>
            <w:r w:rsidRPr="000F5C26">
              <w:rPr>
                <w:rFonts w:ascii="Arial" w:hAnsi="Arial" w:cs="Arial"/>
                <w:spacing w:val="-3"/>
                <w:sz w:val="18"/>
                <w:szCs w:val="18"/>
              </w:rPr>
              <w:t xml:space="preserve"> </w:t>
            </w:r>
            <w:r w:rsidRPr="000F5C26">
              <w:rPr>
                <w:rFonts w:ascii="Arial" w:hAnsi="Arial" w:cs="Arial"/>
                <w:sz w:val="18"/>
                <w:szCs w:val="18"/>
              </w:rPr>
              <w:t>closed</w:t>
            </w:r>
            <w:r w:rsidRPr="000F5C26">
              <w:rPr>
                <w:rFonts w:ascii="Arial" w:hAnsi="Arial" w:cs="Arial"/>
                <w:spacing w:val="-2"/>
                <w:sz w:val="18"/>
                <w:szCs w:val="18"/>
              </w:rPr>
              <w:t xml:space="preserve"> </w:t>
            </w:r>
            <w:r w:rsidRPr="000F5C26">
              <w:rPr>
                <w:rFonts w:ascii="Arial" w:hAnsi="Arial" w:cs="Arial"/>
                <w:sz w:val="18"/>
                <w:szCs w:val="18"/>
              </w:rPr>
              <w:t>appendix</w:t>
            </w:r>
            <w:r w:rsidRPr="000F5C26">
              <w:rPr>
                <w:rFonts w:ascii="Arial" w:hAnsi="Arial" w:cs="Arial"/>
                <w:spacing w:val="-2"/>
                <w:sz w:val="18"/>
                <w:szCs w:val="18"/>
              </w:rPr>
              <w:t xml:space="preserve"> </w:t>
            </w:r>
            <w:r w:rsidRPr="000F5C26">
              <w:rPr>
                <w:rFonts w:ascii="Arial" w:hAnsi="Arial" w:cs="Arial"/>
                <w:sz w:val="18"/>
                <w:szCs w:val="18"/>
              </w:rPr>
              <w:t>during</w:t>
            </w:r>
            <w:r w:rsidRPr="000F5C26">
              <w:rPr>
                <w:rFonts w:ascii="Arial" w:hAnsi="Arial" w:cs="Arial"/>
                <w:spacing w:val="-4"/>
                <w:sz w:val="18"/>
                <w:szCs w:val="18"/>
              </w:rPr>
              <w:t xml:space="preserve"> </w:t>
            </w:r>
            <w:r w:rsidRPr="000F5C26">
              <w:rPr>
                <w:rFonts w:ascii="Arial" w:hAnsi="Arial" w:cs="Arial"/>
                <w:sz w:val="18"/>
                <w:szCs w:val="18"/>
              </w:rPr>
              <w:t>take-off</w:t>
            </w:r>
            <w:r w:rsidRPr="000F5C26">
              <w:rPr>
                <w:rFonts w:ascii="Arial" w:hAnsi="Arial" w:cs="Arial"/>
                <w:spacing w:val="-4"/>
                <w:sz w:val="18"/>
                <w:szCs w:val="18"/>
              </w:rPr>
              <w:t xml:space="preserve"> </w:t>
            </w:r>
            <w:r w:rsidRPr="000F5C26">
              <w:rPr>
                <w:rFonts w:ascii="Arial" w:hAnsi="Arial" w:cs="Arial"/>
                <w:sz w:val="18"/>
                <w:szCs w:val="18"/>
              </w:rPr>
              <w:t>and</w:t>
            </w:r>
            <w:r w:rsidRPr="000F5C26">
              <w:rPr>
                <w:rFonts w:ascii="Arial" w:hAnsi="Arial" w:cs="Arial"/>
                <w:spacing w:val="-2"/>
                <w:sz w:val="18"/>
                <w:szCs w:val="18"/>
              </w:rPr>
              <w:t xml:space="preserve"> </w:t>
            </w:r>
            <w:r w:rsidRPr="000F5C26">
              <w:rPr>
                <w:rFonts w:ascii="Arial" w:hAnsi="Arial" w:cs="Arial"/>
                <w:sz w:val="18"/>
                <w:szCs w:val="18"/>
              </w:rPr>
              <w:t>climb</w:t>
            </w:r>
          </w:p>
        </w:tc>
      </w:tr>
      <w:tr w:rsidR="000F5C26" w:rsidRPr="000F5C26" w14:paraId="7BF0CC5E" w14:textId="77777777" w:rsidTr="00BA1962">
        <w:trPr>
          <w:trHeight w:val="202"/>
        </w:trPr>
        <w:tc>
          <w:tcPr>
            <w:tcW w:w="590" w:type="dxa"/>
          </w:tcPr>
          <w:p w14:paraId="38F41188" w14:textId="77777777" w:rsidR="000F5C26" w:rsidRPr="000F5C26" w:rsidRDefault="000F5C26" w:rsidP="00670AAB">
            <w:pPr>
              <w:pStyle w:val="TableParagraph"/>
              <w:spacing w:line="225" w:lineRule="exact"/>
              <w:ind w:left="86"/>
              <w:rPr>
                <w:rFonts w:ascii="Arial" w:hAnsi="Arial" w:cs="Arial"/>
                <w:sz w:val="18"/>
                <w:szCs w:val="18"/>
              </w:rPr>
            </w:pPr>
            <w:r w:rsidRPr="000F5C26">
              <w:rPr>
                <w:rFonts w:ascii="Arial" w:hAnsi="Arial" w:cs="Arial"/>
                <w:w w:val="99"/>
                <w:sz w:val="18"/>
                <w:szCs w:val="18"/>
              </w:rPr>
              <w:t>b</w:t>
            </w:r>
          </w:p>
        </w:tc>
        <w:tc>
          <w:tcPr>
            <w:tcW w:w="7359" w:type="dxa"/>
          </w:tcPr>
          <w:p w14:paraId="06516733" w14:textId="77777777" w:rsidR="000F5C26" w:rsidRPr="000F5C26" w:rsidRDefault="000F5C26" w:rsidP="00670AAB">
            <w:pPr>
              <w:pStyle w:val="TableParagraph"/>
              <w:spacing w:line="225" w:lineRule="exact"/>
              <w:rPr>
                <w:rFonts w:ascii="Arial" w:hAnsi="Arial" w:cs="Arial"/>
                <w:sz w:val="18"/>
                <w:szCs w:val="18"/>
              </w:rPr>
            </w:pPr>
            <w:r w:rsidRPr="000F5C26">
              <w:rPr>
                <w:rFonts w:ascii="Arial" w:hAnsi="Arial" w:cs="Arial"/>
                <w:sz w:val="18"/>
                <w:szCs w:val="18"/>
              </w:rPr>
              <w:t>Simulated</w:t>
            </w:r>
            <w:r w:rsidRPr="000F5C26">
              <w:rPr>
                <w:rFonts w:ascii="Arial" w:hAnsi="Arial" w:cs="Arial"/>
                <w:spacing w:val="-3"/>
                <w:sz w:val="18"/>
                <w:szCs w:val="18"/>
              </w:rPr>
              <w:t xml:space="preserve"> </w:t>
            </w:r>
            <w:r w:rsidRPr="000F5C26">
              <w:rPr>
                <w:rFonts w:ascii="Arial" w:hAnsi="Arial" w:cs="Arial"/>
                <w:sz w:val="18"/>
                <w:szCs w:val="18"/>
              </w:rPr>
              <w:t>parachute</w:t>
            </w:r>
            <w:r w:rsidRPr="000F5C26">
              <w:rPr>
                <w:rFonts w:ascii="Arial" w:hAnsi="Arial" w:cs="Arial"/>
                <w:spacing w:val="-4"/>
                <w:sz w:val="18"/>
                <w:szCs w:val="18"/>
              </w:rPr>
              <w:t xml:space="preserve"> </w:t>
            </w:r>
            <w:r w:rsidRPr="000F5C26">
              <w:rPr>
                <w:rFonts w:ascii="Arial" w:hAnsi="Arial" w:cs="Arial"/>
                <w:sz w:val="18"/>
                <w:szCs w:val="18"/>
              </w:rPr>
              <w:t>or</w:t>
            </w:r>
            <w:r w:rsidRPr="000F5C26">
              <w:rPr>
                <w:rFonts w:ascii="Arial" w:hAnsi="Arial" w:cs="Arial"/>
                <w:spacing w:val="-3"/>
                <w:sz w:val="18"/>
                <w:szCs w:val="18"/>
              </w:rPr>
              <w:t xml:space="preserve"> </w:t>
            </w:r>
            <w:r w:rsidRPr="000F5C26">
              <w:rPr>
                <w:rFonts w:ascii="Arial" w:hAnsi="Arial" w:cs="Arial"/>
                <w:sz w:val="18"/>
                <w:szCs w:val="18"/>
              </w:rPr>
              <w:t>valve</w:t>
            </w:r>
            <w:r w:rsidRPr="000F5C26">
              <w:rPr>
                <w:rFonts w:ascii="Arial" w:hAnsi="Arial" w:cs="Arial"/>
                <w:spacing w:val="-2"/>
                <w:sz w:val="18"/>
                <w:szCs w:val="18"/>
              </w:rPr>
              <w:t xml:space="preserve"> </w:t>
            </w:r>
            <w:r w:rsidRPr="000F5C26">
              <w:rPr>
                <w:rFonts w:ascii="Arial" w:hAnsi="Arial" w:cs="Arial"/>
                <w:sz w:val="18"/>
                <w:szCs w:val="18"/>
              </w:rPr>
              <w:t>failure</w:t>
            </w:r>
          </w:p>
        </w:tc>
      </w:tr>
      <w:tr w:rsidR="000F5C26" w:rsidRPr="000F5C26" w14:paraId="3C52DBD6" w14:textId="77777777" w:rsidTr="00BA1962">
        <w:trPr>
          <w:trHeight w:val="200"/>
        </w:trPr>
        <w:tc>
          <w:tcPr>
            <w:tcW w:w="590" w:type="dxa"/>
          </w:tcPr>
          <w:p w14:paraId="5FDD1EDE" w14:textId="77777777" w:rsidR="000F5C26" w:rsidRPr="000F5C26" w:rsidRDefault="000F5C26" w:rsidP="00670AAB">
            <w:pPr>
              <w:pStyle w:val="TableParagraph"/>
              <w:spacing w:line="224" w:lineRule="exact"/>
              <w:ind w:left="86"/>
              <w:rPr>
                <w:rFonts w:ascii="Arial" w:hAnsi="Arial" w:cs="Arial"/>
                <w:sz w:val="18"/>
                <w:szCs w:val="18"/>
              </w:rPr>
            </w:pPr>
            <w:r w:rsidRPr="000F5C26">
              <w:rPr>
                <w:rFonts w:ascii="Arial" w:hAnsi="Arial" w:cs="Arial"/>
                <w:w w:val="99"/>
                <w:sz w:val="18"/>
                <w:szCs w:val="18"/>
              </w:rPr>
              <w:t>c</w:t>
            </w:r>
          </w:p>
        </w:tc>
        <w:tc>
          <w:tcPr>
            <w:tcW w:w="7359" w:type="dxa"/>
          </w:tcPr>
          <w:p w14:paraId="40F61A11" w14:textId="77777777" w:rsidR="000F5C26" w:rsidRPr="000F5C26" w:rsidRDefault="000F5C26" w:rsidP="00670AAB">
            <w:pPr>
              <w:pStyle w:val="TableParagraph"/>
              <w:spacing w:line="224" w:lineRule="exact"/>
              <w:rPr>
                <w:rFonts w:ascii="Arial" w:hAnsi="Arial" w:cs="Arial"/>
                <w:sz w:val="18"/>
                <w:szCs w:val="18"/>
              </w:rPr>
            </w:pPr>
            <w:r w:rsidRPr="000F5C26">
              <w:rPr>
                <w:rFonts w:ascii="Arial" w:hAnsi="Arial" w:cs="Arial"/>
                <w:sz w:val="18"/>
                <w:szCs w:val="18"/>
              </w:rPr>
              <w:t>Other</w:t>
            </w:r>
            <w:r w:rsidRPr="000F5C26">
              <w:rPr>
                <w:rFonts w:ascii="Arial" w:hAnsi="Arial" w:cs="Arial"/>
                <w:spacing w:val="-2"/>
                <w:sz w:val="18"/>
                <w:szCs w:val="18"/>
              </w:rPr>
              <w:t xml:space="preserve"> </w:t>
            </w:r>
            <w:r w:rsidRPr="000F5C26">
              <w:rPr>
                <w:rFonts w:ascii="Arial" w:hAnsi="Arial" w:cs="Arial"/>
                <w:sz w:val="18"/>
                <w:szCs w:val="18"/>
              </w:rPr>
              <w:t>abnormal</w:t>
            </w:r>
            <w:r w:rsidRPr="000F5C26">
              <w:rPr>
                <w:rFonts w:ascii="Arial" w:hAnsi="Arial" w:cs="Arial"/>
                <w:spacing w:val="-2"/>
                <w:sz w:val="18"/>
                <w:szCs w:val="18"/>
              </w:rPr>
              <w:t xml:space="preserve"> </w:t>
            </w:r>
            <w:r w:rsidRPr="000F5C26">
              <w:rPr>
                <w:rFonts w:ascii="Arial" w:hAnsi="Arial" w:cs="Arial"/>
                <w:sz w:val="18"/>
                <w:szCs w:val="18"/>
              </w:rPr>
              <w:t>and</w:t>
            </w:r>
            <w:r w:rsidRPr="000F5C26">
              <w:rPr>
                <w:rFonts w:ascii="Arial" w:hAnsi="Arial" w:cs="Arial"/>
                <w:spacing w:val="-2"/>
                <w:sz w:val="18"/>
                <w:szCs w:val="18"/>
              </w:rPr>
              <w:t xml:space="preserve"> </w:t>
            </w:r>
            <w:r w:rsidRPr="000F5C26">
              <w:rPr>
                <w:rFonts w:ascii="Arial" w:hAnsi="Arial" w:cs="Arial"/>
                <w:sz w:val="18"/>
                <w:szCs w:val="18"/>
              </w:rPr>
              <w:t>emergency</w:t>
            </w:r>
            <w:r w:rsidRPr="000F5C26">
              <w:rPr>
                <w:rFonts w:ascii="Arial" w:hAnsi="Arial" w:cs="Arial"/>
                <w:spacing w:val="-2"/>
                <w:sz w:val="18"/>
                <w:szCs w:val="18"/>
              </w:rPr>
              <w:t xml:space="preserve"> </w:t>
            </w:r>
            <w:r w:rsidRPr="000F5C26">
              <w:rPr>
                <w:rFonts w:ascii="Arial" w:hAnsi="Arial" w:cs="Arial"/>
                <w:sz w:val="18"/>
                <w:szCs w:val="18"/>
              </w:rPr>
              <w:t>procedures</w:t>
            </w:r>
            <w:r w:rsidRPr="000F5C26">
              <w:rPr>
                <w:rFonts w:ascii="Arial" w:hAnsi="Arial" w:cs="Arial"/>
                <w:spacing w:val="-4"/>
                <w:sz w:val="18"/>
                <w:szCs w:val="18"/>
              </w:rPr>
              <w:t xml:space="preserve"> </w:t>
            </w:r>
            <w:r w:rsidRPr="000F5C26">
              <w:rPr>
                <w:rFonts w:ascii="Arial" w:hAnsi="Arial" w:cs="Arial"/>
                <w:sz w:val="18"/>
                <w:szCs w:val="18"/>
              </w:rPr>
              <w:t>as</w:t>
            </w:r>
            <w:r w:rsidRPr="000F5C26">
              <w:rPr>
                <w:rFonts w:ascii="Arial" w:hAnsi="Arial" w:cs="Arial"/>
                <w:spacing w:val="-4"/>
                <w:sz w:val="18"/>
                <w:szCs w:val="18"/>
              </w:rPr>
              <w:t xml:space="preserve"> </w:t>
            </w:r>
            <w:r w:rsidRPr="000F5C26">
              <w:rPr>
                <w:rFonts w:ascii="Arial" w:hAnsi="Arial" w:cs="Arial"/>
                <w:sz w:val="18"/>
                <w:szCs w:val="18"/>
              </w:rPr>
              <w:t>outlined</w:t>
            </w:r>
            <w:r w:rsidRPr="000F5C26">
              <w:rPr>
                <w:rFonts w:ascii="Arial" w:hAnsi="Arial" w:cs="Arial"/>
                <w:spacing w:val="-2"/>
                <w:sz w:val="18"/>
                <w:szCs w:val="18"/>
              </w:rPr>
              <w:t xml:space="preserve"> </w:t>
            </w:r>
            <w:r w:rsidRPr="000F5C26">
              <w:rPr>
                <w:rFonts w:ascii="Arial" w:hAnsi="Arial" w:cs="Arial"/>
                <w:sz w:val="18"/>
                <w:szCs w:val="18"/>
              </w:rPr>
              <w:t>in</w:t>
            </w:r>
            <w:r w:rsidRPr="000F5C26">
              <w:rPr>
                <w:rFonts w:ascii="Arial" w:hAnsi="Arial" w:cs="Arial"/>
                <w:spacing w:val="-1"/>
                <w:sz w:val="18"/>
                <w:szCs w:val="18"/>
              </w:rPr>
              <w:t xml:space="preserve"> </w:t>
            </w:r>
            <w:r w:rsidRPr="000F5C26">
              <w:rPr>
                <w:rFonts w:ascii="Arial" w:hAnsi="Arial" w:cs="Arial"/>
                <w:sz w:val="18"/>
                <w:szCs w:val="18"/>
              </w:rPr>
              <w:t>the</w:t>
            </w:r>
            <w:r w:rsidRPr="000F5C26">
              <w:rPr>
                <w:rFonts w:ascii="Arial" w:hAnsi="Arial" w:cs="Arial"/>
                <w:spacing w:val="-3"/>
                <w:sz w:val="18"/>
                <w:szCs w:val="18"/>
              </w:rPr>
              <w:t xml:space="preserve"> </w:t>
            </w:r>
            <w:r w:rsidRPr="000F5C26">
              <w:rPr>
                <w:rFonts w:ascii="Arial" w:hAnsi="Arial" w:cs="Arial"/>
                <w:sz w:val="18"/>
                <w:szCs w:val="18"/>
              </w:rPr>
              <w:t>appropriate</w:t>
            </w:r>
            <w:r w:rsidRPr="000F5C26">
              <w:rPr>
                <w:rFonts w:ascii="Arial" w:hAnsi="Arial" w:cs="Arial"/>
                <w:spacing w:val="-2"/>
                <w:sz w:val="18"/>
                <w:szCs w:val="18"/>
              </w:rPr>
              <w:t xml:space="preserve"> </w:t>
            </w:r>
            <w:r w:rsidRPr="000F5C26">
              <w:rPr>
                <w:rFonts w:ascii="Arial" w:hAnsi="Arial" w:cs="Arial"/>
                <w:sz w:val="18"/>
                <w:szCs w:val="18"/>
              </w:rPr>
              <w:t>flight</w:t>
            </w:r>
            <w:r w:rsidRPr="000F5C26">
              <w:rPr>
                <w:rFonts w:ascii="Arial" w:hAnsi="Arial" w:cs="Arial"/>
                <w:spacing w:val="-2"/>
                <w:sz w:val="18"/>
                <w:szCs w:val="18"/>
              </w:rPr>
              <w:t xml:space="preserve"> </w:t>
            </w:r>
            <w:r w:rsidRPr="000F5C26">
              <w:rPr>
                <w:rFonts w:ascii="Arial" w:hAnsi="Arial" w:cs="Arial"/>
                <w:sz w:val="18"/>
                <w:szCs w:val="18"/>
              </w:rPr>
              <w:t>manual</w:t>
            </w:r>
          </w:p>
        </w:tc>
      </w:tr>
      <w:tr w:rsidR="000F5C26" w:rsidRPr="000F5C26" w14:paraId="200E8E06" w14:textId="77777777" w:rsidTr="00BA1962">
        <w:trPr>
          <w:trHeight w:val="200"/>
        </w:trPr>
        <w:tc>
          <w:tcPr>
            <w:tcW w:w="590" w:type="dxa"/>
          </w:tcPr>
          <w:p w14:paraId="51C87C87" w14:textId="77777777" w:rsidR="000F5C26" w:rsidRPr="000F5C26" w:rsidRDefault="000F5C26" w:rsidP="00670AAB">
            <w:pPr>
              <w:pStyle w:val="TableParagraph"/>
              <w:spacing w:line="224" w:lineRule="exact"/>
              <w:ind w:left="86"/>
              <w:rPr>
                <w:rFonts w:ascii="Arial" w:hAnsi="Arial" w:cs="Arial"/>
                <w:w w:val="99"/>
                <w:sz w:val="18"/>
                <w:szCs w:val="18"/>
              </w:rPr>
            </w:pPr>
            <w:r>
              <w:rPr>
                <w:rFonts w:ascii="Arial" w:hAnsi="Arial" w:cs="Arial"/>
                <w:w w:val="99"/>
                <w:sz w:val="18"/>
                <w:szCs w:val="18"/>
              </w:rPr>
              <w:t>d</w:t>
            </w:r>
          </w:p>
        </w:tc>
        <w:tc>
          <w:tcPr>
            <w:tcW w:w="7359" w:type="dxa"/>
          </w:tcPr>
          <w:p w14:paraId="135E3471" w14:textId="77777777" w:rsidR="000F5C26" w:rsidRPr="000F5C26" w:rsidRDefault="000F5C26" w:rsidP="00670AAB">
            <w:pPr>
              <w:pStyle w:val="TableParagraph"/>
              <w:spacing w:line="224" w:lineRule="exact"/>
              <w:rPr>
                <w:rFonts w:ascii="Arial" w:hAnsi="Arial" w:cs="Arial"/>
                <w:sz w:val="18"/>
                <w:szCs w:val="18"/>
              </w:rPr>
            </w:pPr>
            <w:r w:rsidRPr="000F5C26">
              <w:rPr>
                <w:rFonts w:ascii="Arial" w:hAnsi="Arial" w:cs="Arial"/>
                <w:sz w:val="18"/>
                <w:szCs w:val="18"/>
              </w:rPr>
              <w:t>Simulated passenger health problems</w:t>
            </w:r>
          </w:p>
        </w:tc>
      </w:tr>
      <w:tr w:rsidR="000F5C26" w:rsidRPr="000F5C26" w14:paraId="4EA3A883" w14:textId="77777777" w:rsidTr="00BA1962">
        <w:trPr>
          <w:trHeight w:val="200"/>
        </w:trPr>
        <w:tc>
          <w:tcPr>
            <w:tcW w:w="590" w:type="dxa"/>
          </w:tcPr>
          <w:p w14:paraId="696B2DC8" w14:textId="77777777" w:rsidR="000F5C26" w:rsidRDefault="000F5C26" w:rsidP="00670AAB">
            <w:pPr>
              <w:pStyle w:val="TableParagraph"/>
              <w:spacing w:line="224" w:lineRule="exact"/>
              <w:ind w:left="86"/>
              <w:rPr>
                <w:rFonts w:ascii="Arial" w:hAnsi="Arial" w:cs="Arial"/>
                <w:w w:val="99"/>
                <w:sz w:val="18"/>
                <w:szCs w:val="18"/>
              </w:rPr>
            </w:pPr>
            <w:r>
              <w:rPr>
                <w:rFonts w:ascii="Arial" w:hAnsi="Arial" w:cs="Arial"/>
                <w:w w:val="99"/>
                <w:sz w:val="18"/>
                <w:szCs w:val="18"/>
              </w:rPr>
              <w:t>e</w:t>
            </w:r>
          </w:p>
        </w:tc>
        <w:tc>
          <w:tcPr>
            <w:tcW w:w="7359" w:type="dxa"/>
          </w:tcPr>
          <w:p w14:paraId="4FC834F0" w14:textId="77777777" w:rsidR="000F5C26" w:rsidRPr="000F5C26" w:rsidRDefault="000F5C26" w:rsidP="00670AAB">
            <w:pPr>
              <w:pStyle w:val="TableParagraph"/>
              <w:spacing w:line="224" w:lineRule="exact"/>
              <w:rPr>
                <w:rFonts w:ascii="Arial" w:hAnsi="Arial" w:cs="Arial"/>
                <w:sz w:val="18"/>
                <w:szCs w:val="18"/>
              </w:rPr>
            </w:pPr>
            <w:r w:rsidRPr="000F5C26">
              <w:rPr>
                <w:rFonts w:ascii="Arial" w:hAnsi="Arial" w:cs="Arial"/>
                <w:sz w:val="18"/>
                <w:szCs w:val="18"/>
              </w:rPr>
              <w:t>Oral questions</w:t>
            </w:r>
          </w:p>
        </w:tc>
      </w:tr>
    </w:tbl>
    <w:p w14:paraId="344DC6A1" w14:textId="77777777" w:rsidR="00670AAB" w:rsidRPr="00670AAB" w:rsidRDefault="00670AAB" w:rsidP="00670AAB">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626" w:name="BFCL.150__BPL_–_Extension_of_privileges_"/>
      <w:bookmarkStart w:id="627" w:name="_bookmark252"/>
      <w:bookmarkStart w:id="628" w:name="_Toc153137417"/>
      <w:bookmarkEnd w:id="626"/>
      <w:bookmarkEnd w:id="627"/>
      <w:r w:rsidRPr="00670AAB">
        <w:rPr>
          <w:rFonts w:ascii="Arial" w:eastAsia="Times New Roman" w:hAnsi="Arial" w:cs="Times New Roman"/>
          <w:b/>
          <w:iCs/>
          <w:color w:val="FFFFFF"/>
          <w:sz w:val="24"/>
        </w:rPr>
        <w:lastRenderedPageBreak/>
        <w:t>BFCL.150 BPL – Extension of privileges to another balloon class or group</w:t>
      </w:r>
      <w:bookmarkEnd w:id="628"/>
    </w:p>
    <w:p w14:paraId="26C9EB07" w14:textId="77777777" w:rsidR="00670AAB" w:rsidRPr="00670AAB" w:rsidRDefault="00670AAB" w:rsidP="00F77BF1">
      <w:pPr>
        <w:numPr>
          <w:ilvl w:val="0"/>
          <w:numId w:val="179"/>
        </w:numPr>
        <w:spacing w:line="276" w:lineRule="auto"/>
        <w:jc w:val="both"/>
        <w:rPr>
          <w:rFonts w:ascii="Arial" w:eastAsia="Times New Roman" w:hAnsi="Arial" w:cs="Times New Roman"/>
          <w:sz w:val="20"/>
        </w:rPr>
      </w:pPr>
      <w:r w:rsidRPr="00670AAB">
        <w:rPr>
          <w:rFonts w:ascii="Arial" w:eastAsia="Times New Roman" w:hAnsi="Arial" w:cs="Times New Roman"/>
          <w:sz w:val="20"/>
        </w:rPr>
        <w:t>The privileges of the BPL shall be limited to the class of balloon in which the skill test as specified in point BFCL.145 was taken, and, in the case of hot-air balloons, to group A of that class.</w:t>
      </w:r>
    </w:p>
    <w:p w14:paraId="2B4A2B89" w14:textId="77777777" w:rsidR="00670AAB" w:rsidRPr="00670AAB" w:rsidRDefault="00670AAB" w:rsidP="00F77BF1">
      <w:pPr>
        <w:numPr>
          <w:ilvl w:val="0"/>
          <w:numId w:val="179"/>
        </w:numPr>
        <w:spacing w:line="276" w:lineRule="auto"/>
        <w:jc w:val="both"/>
        <w:rPr>
          <w:rFonts w:ascii="Arial" w:eastAsia="Times New Roman" w:hAnsi="Arial" w:cs="Times New Roman"/>
          <w:sz w:val="20"/>
        </w:rPr>
      </w:pPr>
      <w:r w:rsidRPr="00670AAB">
        <w:rPr>
          <w:rFonts w:ascii="Arial" w:eastAsia="Times New Roman" w:hAnsi="Arial" w:cs="Times New Roman"/>
          <w:sz w:val="20"/>
        </w:rPr>
        <w:t>In the case of hot-air balloons, the privileges of the BPL shall be extended to another group within the hot-air balloon class upon application if a pilot has completed at least:</w:t>
      </w:r>
    </w:p>
    <w:p w14:paraId="5774DEE4" w14:textId="77777777" w:rsidR="00670AAB" w:rsidRPr="00670AAB" w:rsidRDefault="00670AAB" w:rsidP="00F77BF1">
      <w:pPr>
        <w:numPr>
          <w:ilvl w:val="1"/>
          <w:numId w:val="179"/>
        </w:numPr>
        <w:spacing w:line="276" w:lineRule="auto"/>
        <w:jc w:val="both"/>
        <w:rPr>
          <w:rFonts w:ascii="Arial" w:eastAsia="Times New Roman" w:hAnsi="Arial" w:cs="Times New Roman"/>
          <w:sz w:val="20"/>
        </w:rPr>
      </w:pPr>
      <w:r w:rsidRPr="00670AAB">
        <w:rPr>
          <w:rFonts w:ascii="Arial" w:eastAsia="Times New Roman" w:hAnsi="Arial" w:cs="Times New Roman"/>
          <w:sz w:val="20"/>
        </w:rPr>
        <w:t>two instruction flights with an FI(B) on a balloon of the relevant group;</w:t>
      </w:r>
    </w:p>
    <w:p w14:paraId="3997AC8B" w14:textId="77777777" w:rsidR="00670AAB" w:rsidRPr="00670AAB" w:rsidRDefault="00670AAB" w:rsidP="00F77BF1">
      <w:pPr>
        <w:numPr>
          <w:ilvl w:val="1"/>
          <w:numId w:val="179"/>
        </w:numPr>
        <w:spacing w:line="276" w:lineRule="auto"/>
        <w:jc w:val="both"/>
        <w:rPr>
          <w:rFonts w:ascii="Arial" w:eastAsia="Times New Roman" w:hAnsi="Arial" w:cs="Times New Roman"/>
          <w:sz w:val="20"/>
        </w:rPr>
      </w:pPr>
      <w:r w:rsidRPr="00670AAB">
        <w:rPr>
          <w:rFonts w:ascii="Arial" w:eastAsia="Times New Roman" w:hAnsi="Arial" w:cs="Times New Roman"/>
          <w:sz w:val="20"/>
        </w:rPr>
        <w:t>the following amount of hours of flight time as PIC on balloons:</w:t>
      </w:r>
    </w:p>
    <w:p w14:paraId="0AC31090" w14:textId="77777777" w:rsidR="00670AAB" w:rsidRPr="00670AAB" w:rsidRDefault="00670AAB" w:rsidP="00F77BF1">
      <w:pPr>
        <w:numPr>
          <w:ilvl w:val="2"/>
          <w:numId w:val="179"/>
        </w:numPr>
        <w:spacing w:line="276" w:lineRule="auto"/>
        <w:jc w:val="both"/>
        <w:rPr>
          <w:rFonts w:ascii="Arial" w:eastAsia="Times New Roman" w:hAnsi="Arial" w:cs="Times New Roman"/>
          <w:sz w:val="20"/>
        </w:rPr>
      </w:pPr>
      <w:r w:rsidRPr="00670AAB">
        <w:rPr>
          <w:rFonts w:ascii="Arial" w:eastAsia="Times New Roman" w:hAnsi="Arial" w:cs="Times New Roman"/>
          <w:sz w:val="20"/>
        </w:rPr>
        <w:t>at least 100 hours, if privileges for group B balloons are sought;</w:t>
      </w:r>
    </w:p>
    <w:p w14:paraId="785F2366" w14:textId="77777777" w:rsidR="00670AAB" w:rsidRPr="00670AAB" w:rsidRDefault="00670AAB" w:rsidP="00F77BF1">
      <w:pPr>
        <w:numPr>
          <w:ilvl w:val="2"/>
          <w:numId w:val="179"/>
        </w:numPr>
        <w:spacing w:line="276" w:lineRule="auto"/>
        <w:jc w:val="both"/>
        <w:rPr>
          <w:rFonts w:ascii="Arial" w:eastAsia="Times New Roman" w:hAnsi="Arial" w:cs="Times New Roman"/>
          <w:sz w:val="20"/>
        </w:rPr>
      </w:pPr>
      <w:r w:rsidRPr="00670AAB">
        <w:rPr>
          <w:rFonts w:ascii="Arial" w:eastAsia="Times New Roman" w:hAnsi="Arial" w:cs="Times New Roman"/>
          <w:sz w:val="20"/>
        </w:rPr>
        <w:t>at least 200 hours, if privileges for group C balloons are sought;</w:t>
      </w:r>
    </w:p>
    <w:p w14:paraId="74DDFE02" w14:textId="77777777" w:rsidR="00670AAB" w:rsidRPr="00670AAB" w:rsidRDefault="00670AAB" w:rsidP="00F77BF1">
      <w:pPr>
        <w:numPr>
          <w:ilvl w:val="2"/>
          <w:numId w:val="179"/>
        </w:numPr>
        <w:spacing w:line="276" w:lineRule="auto"/>
        <w:jc w:val="both"/>
        <w:rPr>
          <w:rFonts w:ascii="Arial" w:eastAsia="Times New Roman" w:hAnsi="Arial" w:cs="Times New Roman"/>
          <w:sz w:val="20"/>
        </w:rPr>
      </w:pPr>
      <w:r w:rsidRPr="00670AAB">
        <w:rPr>
          <w:rFonts w:ascii="Arial" w:eastAsia="Times New Roman" w:hAnsi="Arial" w:cs="Times New Roman"/>
          <w:sz w:val="20"/>
        </w:rPr>
        <w:t>at least 300 hours, if privileges for group D balloons are sought.</w:t>
      </w:r>
    </w:p>
    <w:p w14:paraId="0366799B" w14:textId="77777777" w:rsidR="00670AAB" w:rsidRPr="00670AAB" w:rsidRDefault="00670AAB" w:rsidP="00F77BF1">
      <w:pPr>
        <w:numPr>
          <w:ilvl w:val="0"/>
          <w:numId w:val="179"/>
        </w:numPr>
        <w:spacing w:line="276" w:lineRule="auto"/>
        <w:rPr>
          <w:rFonts w:ascii="Arial" w:eastAsia="Times New Roman" w:hAnsi="Arial" w:cs="Times New Roman"/>
          <w:sz w:val="20"/>
        </w:rPr>
      </w:pPr>
      <w:r w:rsidRPr="00670AAB">
        <w:rPr>
          <w:rFonts w:ascii="Arial" w:eastAsia="Times New Roman" w:hAnsi="Arial" w:cs="Times New Roman"/>
          <w:sz w:val="20"/>
        </w:rPr>
        <w:t>Except for the mixed balloon class, the privileges of the BPL shall be extended to another balloon class, or, if privileges for the hot-air balloon class are sought, to group A of the hot-air balloon class, upon application if a pilot has completed in the relevant balloon class and group:</w:t>
      </w:r>
    </w:p>
    <w:p w14:paraId="0D53F1EC" w14:textId="77777777" w:rsidR="00670AAB" w:rsidRPr="00670AAB" w:rsidRDefault="00670AAB" w:rsidP="00F77BF1">
      <w:pPr>
        <w:numPr>
          <w:ilvl w:val="1"/>
          <w:numId w:val="179"/>
        </w:numPr>
        <w:spacing w:line="276" w:lineRule="auto"/>
        <w:rPr>
          <w:rFonts w:ascii="Arial" w:eastAsia="Times New Roman" w:hAnsi="Arial" w:cs="Times New Roman"/>
          <w:sz w:val="20"/>
        </w:rPr>
      </w:pPr>
      <w:r w:rsidRPr="00670AAB">
        <w:rPr>
          <w:rFonts w:ascii="Arial" w:eastAsia="Times New Roman" w:hAnsi="Arial" w:cs="Times New Roman"/>
          <w:sz w:val="20"/>
        </w:rPr>
        <w:t>a training course at an ATO or a DTO, including at least:</w:t>
      </w:r>
    </w:p>
    <w:p w14:paraId="6874B091" w14:textId="77777777" w:rsidR="00670AAB" w:rsidRPr="00670AAB" w:rsidRDefault="00670AAB" w:rsidP="00F77BF1">
      <w:pPr>
        <w:numPr>
          <w:ilvl w:val="2"/>
          <w:numId w:val="179"/>
        </w:numPr>
        <w:spacing w:line="276" w:lineRule="auto"/>
        <w:rPr>
          <w:rFonts w:ascii="Arial" w:eastAsia="Times New Roman" w:hAnsi="Arial" w:cs="Times New Roman"/>
          <w:sz w:val="20"/>
        </w:rPr>
      </w:pPr>
      <w:r w:rsidRPr="00670AAB">
        <w:rPr>
          <w:rFonts w:ascii="Arial" w:eastAsia="Times New Roman" w:hAnsi="Arial" w:cs="Times New Roman"/>
          <w:sz w:val="20"/>
        </w:rPr>
        <w:t>five dual instructional flights; or</w:t>
      </w:r>
    </w:p>
    <w:p w14:paraId="5FA68F9A" w14:textId="77777777" w:rsidR="00670AAB" w:rsidRPr="00670AAB" w:rsidRDefault="00670AAB" w:rsidP="00F77BF1">
      <w:pPr>
        <w:numPr>
          <w:ilvl w:val="2"/>
          <w:numId w:val="179"/>
        </w:numPr>
        <w:spacing w:line="276" w:lineRule="auto"/>
        <w:rPr>
          <w:rFonts w:ascii="Arial" w:eastAsia="Times New Roman" w:hAnsi="Arial" w:cs="Times New Roman"/>
          <w:sz w:val="20"/>
        </w:rPr>
      </w:pPr>
      <w:r w:rsidRPr="00670AAB">
        <w:rPr>
          <w:rFonts w:ascii="Arial" w:eastAsia="Times New Roman" w:hAnsi="Arial" w:cs="Times New Roman"/>
          <w:sz w:val="20"/>
        </w:rPr>
        <w:t>in the case of an extension from hot-air balloons to hot-air airships, five hours of dual instruction time; and</w:t>
      </w:r>
    </w:p>
    <w:p w14:paraId="13DFFA7D" w14:textId="77777777" w:rsidR="00670AAB" w:rsidRPr="00670AAB" w:rsidRDefault="00670AAB" w:rsidP="00F77BF1">
      <w:pPr>
        <w:numPr>
          <w:ilvl w:val="1"/>
          <w:numId w:val="179"/>
        </w:numPr>
        <w:spacing w:line="276" w:lineRule="auto"/>
        <w:rPr>
          <w:rFonts w:ascii="Arial" w:eastAsia="Times New Roman" w:hAnsi="Arial" w:cs="Times New Roman"/>
          <w:sz w:val="20"/>
        </w:rPr>
      </w:pPr>
      <w:r w:rsidRPr="00670AAB">
        <w:rPr>
          <w:rFonts w:ascii="Arial" w:eastAsia="Times New Roman" w:hAnsi="Arial" w:cs="Times New Roman"/>
          <w:sz w:val="20"/>
        </w:rPr>
        <w:t>a skill test during which the pilot has demonstrated to the FE(B) an adequate level of theoretical knowledge for the other class in the following subjects:</w:t>
      </w:r>
    </w:p>
    <w:p w14:paraId="12994456" w14:textId="77777777" w:rsidR="00670AAB" w:rsidRPr="00670AAB" w:rsidRDefault="00670AAB" w:rsidP="00F77BF1">
      <w:pPr>
        <w:numPr>
          <w:ilvl w:val="2"/>
          <w:numId w:val="179"/>
        </w:numPr>
        <w:spacing w:line="276" w:lineRule="auto"/>
        <w:jc w:val="both"/>
        <w:rPr>
          <w:rFonts w:ascii="Arial" w:eastAsia="Times New Roman" w:hAnsi="Arial" w:cs="Times New Roman"/>
          <w:sz w:val="20"/>
        </w:rPr>
      </w:pPr>
      <w:r w:rsidRPr="00670AAB">
        <w:rPr>
          <w:rFonts w:ascii="Arial" w:eastAsia="Times New Roman" w:hAnsi="Arial" w:cs="Times New Roman"/>
          <w:sz w:val="20"/>
        </w:rPr>
        <w:t>principles of flight;</w:t>
      </w:r>
    </w:p>
    <w:p w14:paraId="1CDF5031" w14:textId="77777777" w:rsidR="00670AAB" w:rsidRPr="00670AAB" w:rsidRDefault="00670AAB" w:rsidP="00F77BF1">
      <w:pPr>
        <w:numPr>
          <w:ilvl w:val="2"/>
          <w:numId w:val="179"/>
        </w:numPr>
        <w:spacing w:line="276" w:lineRule="auto"/>
        <w:jc w:val="both"/>
        <w:rPr>
          <w:rFonts w:ascii="Arial" w:eastAsia="Times New Roman" w:hAnsi="Arial" w:cs="Times New Roman"/>
          <w:sz w:val="20"/>
        </w:rPr>
      </w:pPr>
      <w:r w:rsidRPr="00670AAB">
        <w:rPr>
          <w:rFonts w:ascii="Arial" w:eastAsia="Times New Roman" w:hAnsi="Arial" w:cs="Times New Roman"/>
          <w:sz w:val="20"/>
        </w:rPr>
        <w:t>operational procedures;</w:t>
      </w:r>
    </w:p>
    <w:p w14:paraId="3E141D13" w14:textId="77777777" w:rsidR="00670AAB" w:rsidRPr="00670AAB" w:rsidRDefault="00670AAB" w:rsidP="00F77BF1">
      <w:pPr>
        <w:numPr>
          <w:ilvl w:val="2"/>
          <w:numId w:val="179"/>
        </w:numPr>
        <w:spacing w:line="276" w:lineRule="auto"/>
        <w:jc w:val="both"/>
        <w:rPr>
          <w:rFonts w:ascii="Arial" w:eastAsia="Times New Roman" w:hAnsi="Arial" w:cs="Times New Roman"/>
          <w:sz w:val="20"/>
        </w:rPr>
      </w:pPr>
      <w:r w:rsidRPr="00670AAB">
        <w:rPr>
          <w:rFonts w:ascii="Arial" w:eastAsia="Times New Roman" w:hAnsi="Arial" w:cs="Times New Roman"/>
          <w:sz w:val="20"/>
        </w:rPr>
        <w:t>flight performance and planning;</w:t>
      </w:r>
    </w:p>
    <w:p w14:paraId="24AC415D" w14:textId="77777777" w:rsidR="00670AAB" w:rsidRPr="00670AAB" w:rsidRDefault="00670AAB" w:rsidP="00F77BF1">
      <w:pPr>
        <w:numPr>
          <w:ilvl w:val="2"/>
          <w:numId w:val="179"/>
        </w:numPr>
        <w:spacing w:line="276" w:lineRule="auto"/>
        <w:jc w:val="both"/>
        <w:rPr>
          <w:rFonts w:ascii="Arial" w:eastAsia="Times New Roman" w:hAnsi="Arial" w:cs="Times New Roman"/>
          <w:sz w:val="20"/>
        </w:rPr>
      </w:pPr>
      <w:r w:rsidRPr="00670AAB">
        <w:rPr>
          <w:rFonts w:ascii="Arial" w:eastAsia="Times New Roman" w:hAnsi="Arial" w:cs="Times New Roman"/>
          <w:sz w:val="20"/>
        </w:rPr>
        <w:t>aircraft general knowledge with regard to the balloon class for which the extension of privileges is sought.</w:t>
      </w:r>
    </w:p>
    <w:p w14:paraId="7F544FFE" w14:textId="77777777" w:rsidR="00670AAB" w:rsidRPr="00670AAB" w:rsidRDefault="00670AAB" w:rsidP="00F77BF1">
      <w:pPr>
        <w:numPr>
          <w:ilvl w:val="0"/>
          <w:numId w:val="179"/>
        </w:numPr>
        <w:spacing w:line="276" w:lineRule="auto"/>
        <w:jc w:val="both"/>
        <w:rPr>
          <w:rFonts w:ascii="Arial" w:eastAsia="Times New Roman" w:hAnsi="Arial" w:cs="Times New Roman"/>
          <w:sz w:val="20"/>
        </w:rPr>
      </w:pPr>
      <w:r w:rsidRPr="00670AAB">
        <w:rPr>
          <w:rFonts w:ascii="Arial" w:eastAsia="Times New Roman" w:hAnsi="Arial" w:cs="Times New Roman"/>
          <w:sz w:val="20"/>
        </w:rPr>
        <w:t>The completion of the training as specified in paragraphs (b)(1) and (c)(1) shall be entered in the logbook of the pilot and signed by:</w:t>
      </w:r>
    </w:p>
    <w:p w14:paraId="608DC0DA" w14:textId="77777777" w:rsidR="00670AAB" w:rsidRPr="00670AAB" w:rsidRDefault="00670AAB" w:rsidP="00F77BF1">
      <w:pPr>
        <w:numPr>
          <w:ilvl w:val="1"/>
          <w:numId w:val="179"/>
        </w:numPr>
        <w:spacing w:line="276" w:lineRule="auto"/>
        <w:jc w:val="both"/>
        <w:rPr>
          <w:rFonts w:ascii="Arial" w:eastAsia="Times New Roman" w:hAnsi="Arial" w:cs="Times New Roman"/>
          <w:sz w:val="20"/>
        </w:rPr>
      </w:pPr>
      <w:r w:rsidRPr="00670AAB">
        <w:rPr>
          <w:rFonts w:ascii="Arial" w:eastAsia="Times New Roman" w:hAnsi="Arial" w:cs="Times New Roman"/>
          <w:sz w:val="20"/>
        </w:rPr>
        <w:t>in the case of paragraph (b)(1), the instructor who is responsible for the instruction flights; and</w:t>
      </w:r>
    </w:p>
    <w:p w14:paraId="392C5585" w14:textId="77777777" w:rsidR="00670AAB" w:rsidRPr="00670AAB" w:rsidRDefault="00670AAB" w:rsidP="00F77BF1">
      <w:pPr>
        <w:numPr>
          <w:ilvl w:val="1"/>
          <w:numId w:val="179"/>
        </w:numPr>
        <w:spacing w:line="276" w:lineRule="auto"/>
        <w:jc w:val="both"/>
        <w:rPr>
          <w:rFonts w:ascii="Arial" w:eastAsia="Times New Roman" w:hAnsi="Arial" w:cs="Times New Roman"/>
          <w:sz w:val="20"/>
        </w:rPr>
      </w:pPr>
      <w:r w:rsidRPr="00670AAB">
        <w:rPr>
          <w:rFonts w:ascii="Arial" w:eastAsia="Times New Roman" w:hAnsi="Arial" w:cs="Times New Roman"/>
          <w:sz w:val="20"/>
        </w:rPr>
        <w:t>in the case of paragraph (c)(1), the head of training of the ATO or of the DTO that is responsible for the training.</w:t>
      </w:r>
    </w:p>
    <w:p w14:paraId="74D99F7D" w14:textId="77777777" w:rsidR="00670AAB" w:rsidRPr="00670AAB" w:rsidRDefault="00670AAB" w:rsidP="00F77BF1">
      <w:pPr>
        <w:numPr>
          <w:ilvl w:val="0"/>
          <w:numId w:val="179"/>
        </w:numPr>
        <w:spacing w:line="276" w:lineRule="auto"/>
        <w:jc w:val="both"/>
        <w:rPr>
          <w:rFonts w:ascii="Arial" w:eastAsia="Times New Roman" w:hAnsi="Arial" w:cs="Times New Roman"/>
          <w:sz w:val="20"/>
        </w:rPr>
      </w:pPr>
      <w:r w:rsidRPr="00670AAB">
        <w:rPr>
          <w:rFonts w:ascii="Arial" w:eastAsia="Times New Roman" w:hAnsi="Arial" w:cs="Times New Roman"/>
          <w:sz w:val="20"/>
        </w:rPr>
        <w:t>A BPL holder shall exercise his or her privileges in the mixed balloon class only if he</w:t>
      </w:r>
      <w:r>
        <w:rPr>
          <w:rFonts w:ascii="Arial" w:eastAsia="Times New Roman" w:hAnsi="Arial" w:cs="Times New Roman"/>
          <w:sz w:val="20"/>
        </w:rPr>
        <w:t xml:space="preserve"> </w:t>
      </w:r>
      <w:r w:rsidRPr="00670AAB">
        <w:rPr>
          <w:rFonts w:ascii="Arial" w:eastAsia="Times New Roman" w:hAnsi="Arial" w:cs="Times New Roman"/>
          <w:sz w:val="20"/>
        </w:rPr>
        <w:t>or she has privileges for both the hot-air balloon class and the gas balloon class.</w:t>
      </w:r>
    </w:p>
    <w:p w14:paraId="5BC865E2" w14:textId="77777777" w:rsidR="00D87BCF" w:rsidRDefault="00D87BCF" w:rsidP="00670AAB">
      <w:pPr>
        <w:jc w:val="both"/>
        <w:rPr>
          <w:rFonts w:ascii="Arial" w:eastAsia="Times New Roman" w:hAnsi="Arial" w:cs="Times New Roman"/>
          <w:sz w:val="20"/>
        </w:rPr>
      </w:pPr>
    </w:p>
    <w:p w14:paraId="31F98976" w14:textId="77777777" w:rsidR="00670AAB" w:rsidRPr="00670AAB" w:rsidRDefault="00670AAB" w:rsidP="00670AAB">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629" w:name="AMC1_BFCL.150(b)__BPL_–_Extension_of_pri"/>
      <w:bookmarkStart w:id="630" w:name="_bookmark253"/>
      <w:bookmarkStart w:id="631" w:name="_Toc153137418"/>
      <w:bookmarkEnd w:id="629"/>
      <w:bookmarkEnd w:id="630"/>
      <w:r w:rsidRPr="00670AAB">
        <w:rPr>
          <w:rFonts w:ascii="Arial" w:eastAsia="Times New Roman" w:hAnsi="Arial" w:cs="Times New Roman"/>
          <w:b/>
          <w:color w:val="FFFFFF"/>
          <w:sz w:val="24"/>
        </w:rPr>
        <w:t>AMC1 BFCL.150(b) BPL – Extension of privileges to another balloon class or group</w:t>
      </w:r>
      <w:bookmarkEnd w:id="631"/>
    </w:p>
    <w:p w14:paraId="4D1B3F18" w14:textId="77777777" w:rsidR="00670AAB" w:rsidRPr="00670AAB" w:rsidRDefault="00670AAB" w:rsidP="00670AAB">
      <w:pPr>
        <w:widowControl/>
        <w:autoSpaceDE/>
        <w:autoSpaceDN/>
        <w:spacing w:before="240" w:after="160" w:line="264" w:lineRule="auto"/>
        <w:jc w:val="both"/>
        <w:rPr>
          <w:rFonts w:ascii="Arial" w:eastAsiaTheme="minorHAnsi" w:hAnsi="Arial" w:cs="Arial"/>
          <w:b/>
          <w:bCs/>
          <w:sz w:val="20"/>
          <w:szCs w:val="20"/>
        </w:rPr>
      </w:pPr>
      <w:r w:rsidRPr="00670AAB">
        <w:rPr>
          <w:rFonts w:ascii="Arial" w:eastAsiaTheme="minorHAnsi" w:hAnsi="Arial" w:cs="Arial"/>
          <w:b/>
          <w:bCs/>
          <w:sz w:val="20"/>
          <w:szCs w:val="20"/>
        </w:rPr>
        <w:t>EXTENSION OF HOT-AIR BALLOON CLASS PRIVILEGES TO ANOTHER HOT-AIR BALLOON GROUP</w:t>
      </w:r>
    </w:p>
    <w:p w14:paraId="295063A5" w14:textId="77777777" w:rsidR="00670AAB" w:rsidRPr="00670AAB" w:rsidRDefault="00670AAB" w:rsidP="00F77BF1">
      <w:pPr>
        <w:numPr>
          <w:ilvl w:val="0"/>
          <w:numId w:val="180"/>
        </w:numPr>
        <w:spacing w:line="276" w:lineRule="auto"/>
        <w:jc w:val="both"/>
        <w:rPr>
          <w:rFonts w:ascii="Arial" w:eastAsia="Times New Roman" w:hAnsi="Arial" w:cs="Times New Roman"/>
          <w:sz w:val="20"/>
        </w:rPr>
      </w:pPr>
      <w:r w:rsidRPr="00670AAB">
        <w:rPr>
          <w:rFonts w:ascii="Arial" w:eastAsia="Times New Roman" w:hAnsi="Arial" w:cs="Times New Roman"/>
          <w:sz w:val="20"/>
        </w:rPr>
        <w:t>The training flights should concentrate on the differences between the group for which privileges are sought and the group(s) for which the pilot already has privileges. For example, handling needs to consider balloon performance differences arising from greater mass, inertia, response to the burner and, in some cases, differing deflation systems. Additional requirements arise for dealing with larger numbers of passengers.</w:t>
      </w:r>
    </w:p>
    <w:p w14:paraId="0C0B8850" w14:textId="77777777" w:rsidR="00670AAB" w:rsidRPr="00670AAB" w:rsidRDefault="00670AAB" w:rsidP="00F77BF1">
      <w:pPr>
        <w:numPr>
          <w:ilvl w:val="0"/>
          <w:numId w:val="180"/>
        </w:numPr>
        <w:spacing w:line="276" w:lineRule="auto"/>
        <w:jc w:val="both"/>
        <w:rPr>
          <w:rFonts w:ascii="Arial" w:eastAsia="Times New Roman" w:hAnsi="Arial" w:cs="Times New Roman"/>
          <w:sz w:val="20"/>
        </w:rPr>
      </w:pPr>
      <w:r w:rsidRPr="00670AAB">
        <w:rPr>
          <w:rFonts w:ascii="Arial" w:eastAsia="Times New Roman" w:hAnsi="Arial" w:cs="Times New Roman"/>
          <w:sz w:val="20"/>
        </w:rPr>
        <w:t>Instructors should only sign off as ‘training completed’ when they are satisfied that the pilot under training has achieved full technical and operational competence for balloons of all sizes included in the given group.</w:t>
      </w:r>
    </w:p>
    <w:p w14:paraId="31791099" w14:textId="77777777" w:rsidR="00670AAB" w:rsidRPr="00670AAB" w:rsidRDefault="00670AAB" w:rsidP="00F77BF1">
      <w:pPr>
        <w:numPr>
          <w:ilvl w:val="0"/>
          <w:numId w:val="180"/>
        </w:numPr>
        <w:spacing w:line="276" w:lineRule="auto"/>
        <w:jc w:val="both"/>
        <w:rPr>
          <w:rFonts w:ascii="Arial" w:eastAsia="Times New Roman" w:hAnsi="Arial" w:cs="Times New Roman"/>
          <w:sz w:val="20"/>
        </w:rPr>
      </w:pPr>
      <w:r w:rsidRPr="00670AAB">
        <w:rPr>
          <w:rFonts w:ascii="Arial" w:eastAsia="Times New Roman" w:hAnsi="Arial" w:cs="Times New Roman"/>
          <w:sz w:val="20"/>
        </w:rPr>
        <w:t>An extension to group C is also valid for groups A and B. An extension to group D is also valid for groups A, B and C.</w:t>
      </w:r>
    </w:p>
    <w:p w14:paraId="0C7E8584" w14:textId="77777777" w:rsidR="00AF5067" w:rsidRPr="00AF5067" w:rsidRDefault="00AF5067" w:rsidP="00AF5067">
      <w:pPr>
        <w:keepNext/>
        <w:keepLines/>
        <w:widowControl/>
        <w:shd w:val="clear" w:color="auto" w:fill="339966"/>
        <w:autoSpaceDE/>
        <w:autoSpaceDN/>
        <w:spacing w:before="160" w:after="120" w:line="259" w:lineRule="auto"/>
        <w:outlineLvl w:val="4"/>
        <w:rPr>
          <w:rFonts w:ascii="Arial" w:eastAsia="Times New Roman" w:hAnsi="Arial" w:cs="Times New Roman"/>
          <w:b/>
          <w:color w:val="FFFFFF"/>
          <w:sz w:val="24"/>
        </w:rPr>
      </w:pPr>
      <w:bookmarkStart w:id="632" w:name="GM1_BFCL.150(b)__BPL_–_Extension_of_priv"/>
      <w:bookmarkStart w:id="633" w:name="_bookmark254"/>
      <w:bookmarkStart w:id="634" w:name="_Toc153137419"/>
      <w:bookmarkEnd w:id="632"/>
      <w:bookmarkEnd w:id="633"/>
      <w:r w:rsidRPr="00AF5067">
        <w:rPr>
          <w:rFonts w:ascii="Arial" w:eastAsia="Times New Roman" w:hAnsi="Arial" w:cs="Times New Roman"/>
          <w:b/>
          <w:color w:val="FFFFFF"/>
          <w:sz w:val="24"/>
        </w:rPr>
        <w:lastRenderedPageBreak/>
        <w:t>GM1 BFCL.150(b) BPL – Extension of privileges to another balloon class or group</w:t>
      </w:r>
      <w:bookmarkEnd w:id="634"/>
    </w:p>
    <w:p w14:paraId="6CD4DAD0" w14:textId="77777777" w:rsidR="00AF5067" w:rsidRPr="00AF5067" w:rsidRDefault="00AF5067" w:rsidP="00AF5067">
      <w:pPr>
        <w:widowControl/>
        <w:autoSpaceDE/>
        <w:autoSpaceDN/>
        <w:spacing w:before="240" w:after="160" w:line="264" w:lineRule="auto"/>
        <w:jc w:val="both"/>
        <w:rPr>
          <w:rFonts w:ascii="Arial" w:eastAsiaTheme="minorHAnsi" w:hAnsi="Arial" w:cs="Arial"/>
          <w:b/>
          <w:bCs/>
          <w:sz w:val="20"/>
          <w:szCs w:val="20"/>
        </w:rPr>
      </w:pPr>
      <w:r w:rsidRPr="00AF5067">
        <w:rPr>
          <w:rFonts w:ascii="Arial" w:eastAsiaTheme="minorHAnsi" w:hAnsi="Arial" w:cs="Arial"/>
          <w:b/>
          <w:bCs/>
          <w:sz w:val="20"/>
          <w:szCs w:val="20"/>
        </w:rPr>
        <w:t>EXTENSION OF HOT-AIR BALLOON CLASS PRIVILEGES TO ANOTHER HOT-AIR BALLOON GROUP</w:t>
      </w:r>
    </w:p>
    <w:p w14:paraId="3CDB50CE" w14:textId="77777777" w:rsidR="00AF5067" w:rsidRPr="00AF5067" w:rsidRDefault="00AF5067" w:rsidP="00F77BF1">
      <w:pPr>
        <w:spacing w:line="276" w:lineRule="auto"/>
        <w:jc w:val="both"/>
        <w:rPr>
          <w:rFonts w:ascii="Arial" w:eastAsia="Times New Roman" w:hAnsi="Arial" w:cs="Times New Roman"/>
          <w:sz w:val="20"/>
        </w:rPr>
      </w:pPr>
      <w:r w:rsidRPr="00AF5067">
        <w:rPr>
          <w:rFonts w:ascii="Arial" w:eastAsia="Times New Roman" w:hAnsi="Arial" w:cs="Times New Roman"/>
          <w:sz w:val="20"/>
        </w:rPr>
        <w:t>The two training flights stipulated in point BFCL.150(b)(1) constitute the minimum amount of training needed in the case of experienced pilots who seek to extend their privileges by one group size. The instructor may conduct additional training flights, as necessary for the candidate to acquire the competence needed, before entering the completion of training in the candidate’s logbook.</w:t>
      </w:r>
    </w:p>
    <w:p w14:paraId="44B7B066" w14:textId="77777777" w:rsidR="00670AAB" w:rsidRDefault="00670AAB" w:rsidP="00670AAB">
      <w:pPr>
        <w:jc w:val="both"/>
        <w:rPr>
          <w:rFonts w:ascii="Arial" w:eastAsia="Times New Roman" w:hAnsi="Arial" w:cs="Times New Roman"/>
          <w:sz w:val="20"/>
        </w:rPr>
      </w:pPr>
    </w:p>
    <w:p w14:paraId="55F7106C" w14:textId="77777777" w:rsidR="002F2339" w:rsidRPr="002F2339" w:rsidRDefault="002F2339" w:rsidP="002F2339">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635" w:name="AMC1_BFCL.150(c)(1)__BPL_–_Extension_of_"/>
      <w:bookmarkStart w:id="636" w:name="_bookmark255"/>
      <w:bookmarkStart w:id="637" w:name="_Toc153137420"/>
      <w:bookmarkEnd w:id="635"/>
      <w:bookmarkEnd w:id="636"/>
      <w:r w:rsidRPr="002F2339">
        <w:rPr>
          <w:rFonts w:ascii="Arial" w:eastAsia="Times New Roman" w:hAnsi="Arial" w:cs="Times New Roman"/>
          <w:b/>
          <w:color w:val="FFFFFF"/>
          <w:sz w:val="24"/>
        </w:rPr>
        <w:t>AMC1 BFCL.150(c)(1) BPL – Extension of privileges to another balloon class or group</w:t>
      </w:r>
      <w:bookmarkEnd w:id="637"/>
    </w:p>
    <w:p w14:paraId="023DD123" w14:textId="77777777" w:rsidR="002F2339" w:rsidRPr="00F77BF1" w:rsidRDefault="002F2339" w:rsidP="00F77BF1">
      <w:pPr>
        <w:widowControl/>
        <w:autoSpaceDE/>
        <w:autoSpaceDN/>
        <w:spacing w:before="240" w:after="160" w:line="276" w:lineRule="auto"/>
        <w:jc w:val="both"/>
        <w:rPr>
          <w:rFonts w:ascii="Arial" w:eastAsiaTheme="minorHAnsi" w:hAnsi="Arial" w:cs="Arial"/>
          <w:b/>
          <w:bCs/>
          <w:sz w:val="20"/>
          <w:szCs w:val="20"/>
        </w:rPr>
      </w:pPr>
      <w:r w:rsidRPr="00F77BF1">
        <w:rPr>
          <w:rFonts w:ascii="Arial" w:eastAsiaTheme="minorHAnsi" w:hAnsi="Arial" w:cs="Arial"/>
          <w:b/>
          <w:bCs/>
          <w:sz w:val="20"/>
          <w:szCs w:val="20"/>
        </w:rPr>
        <w:t>FLIGHT INSTRUCTION FOR THE EXTENSION OF PRIVILEGES TO THE HOT-AIR AIRSHIP CLASS</w:t>
      </w:r>
    </w:p>
    <w:p w14:paraId="188CCD49" w14:textId="77777777" w:rsidR="002F2339" w:rsidRPr="00F77BF1" w:rsidRDefault="002F2339" w:rsidP="00F77BF1">
      <w:pPr>
        <w:numPr>
          <w:ilvl w:val="0"/>
          <w:numId w:val="181"/>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The numbering of the exercises set out in point (d) should be used primarily as an exercise reference list and as a broad instructional sequencing guide; therefore, the demonstrations and practices need not necessarily be given in the order listed.</w:t>
      </w:r>
    </w:p>
    <w:p w14:paraId="6CAC2B62" w14:textId="77777777" w:rsidR="002F2339" w:rsidRPr="00F77BF1" w:rsidRDefault="002F2339" w:rsidP="00F77BF1">
      <w:pPr>
        <w:numPr>
          <w:ilvl w:val="0"/>
          <w:numId w:val="181"/>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In cases where the applicant already holds hot-air balloon privileges, the flight instruction should concentrate on all of the following:</w:t>
      </w:r>
    </w:p>
    <w:p w14:paraId="2409327C" w14:textId="77777777" w:rsidR="002F2339" w:rsidRPr="00F77BF1" w:rsidRDefault="002F2339" w:rsidP="00F77BF1">
      <w:pPr>
        <w:numPr>
          <w:ilvl w:val="1"/>
          <w:numId w:val="181"/>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added complication of the engine;</w:t>
      </w:r>
    </w:p>
    <w:p w14:paraId="0FE27779" w14:textId="77777777" w:rsidR="002F2339" w:rsidRPr="00F77BF1" w:rsidRDefault="002F2339" w:rsidP="00F77BF1">
      <w:pPr>
        <w:numPr>
          <w:ilvl w:val="1"/>
          <w:numId w:val="181"/>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engine controls and different performance;</w:t>
      </w:r>
    </w:p>
    <w:p w14:paraId="7E0E07D0" w14:textId="77777777" w:rsidR="002F2339" w:rsidRPr="00F77BF1" w:rsidRDefault="002F2339" w:rsidP="00F77BF1">
      <w:pPr>
        <w:numPr>
          <w:ilvl w:val="1"/>
          <w:numId w:val="181"/>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airship operating limitations; and</w:t>
      </w:r>
    </w:p>
    <w:p w14:paraId="7B4EB2DE" w14:textId="77777777" w:rsidR="002F2339" w:rsidRPr="00F77BF1" w:rsidRDefault="002F2339" w:rsidP="00F77BF1">
      <w:pPr>
        <w:numPr>
          <w:ilvl w:val="1"/>
          <w:numId w:val="181"/>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airship procedures.</w:t>
      </w:r>
    </w:p>
    <w:p w14:paraId="1530D5AE" w14:textId="77777777" w:rsidR="002F2339" w:rsidRPr="00F77BF1" w:rsidRDefault="002F2339" w:rsidP="00F77BF1">
      <w:pPr>
        <w:numPr>
          <w:ilvl w:val="0"/>
          <w:numId w:val="181"/>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In cases where the applicant does not hold hot-air balloon privileges, the ATO or DTO, based on the candidate’s experience, may decide to conduct training elements as per point (c) of AMC2 BFCL.130 on hot-air balloons before starting with the flight instruction on hot-air airships, in order to allow the candidate to develop competence in hot-air aircraft operation.</w:t>
      </w:r>
    </w:p>
    <w:p w14:paraId="0D821E66" w14:textId="77777777" w:rsidR="002F2339" w:rsidRPr="00F77BF1" w:rsidRDefault="002F2339" w:rsidP="00F77BF1">
      <w:pPr>
        <w:numPr>
          <w:ilvl w:val="0"/>
          <w:numId w:val="181"/>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In any case, the flying exercises should cover the revision or explanation of the following exercises:</w:t>
      </w:r>
    </w:p>
    <w:p w14:paraId="53D4ECA5" w14:textId="77777777" w:rsidR="002F2339" w:rsidRPr="00F77BF1" w:rsidRDefault="002F2339" w:rsidP="00F77BF1">
      <w:pPr>
        <w:spacing w:line="276" w:lineRule="auto"/>
        <w:jc w:val="both"/>
        <w:rPr>
          <w:rFonts w:ascii="Arial" w:eastAsia="Times New Roman" w:hAnsi="Arial" w:cs="Arial"/>
          <w:b/>
          <w:bCs/>
          <w:sz w:val="20"/>
          <w:szCs w:val="20"/>
        </w:rPr>
      </w:pPr>
      <w:r w:rsidRPr="00F77BF1">
        <w:rPr>
          <w:rFonts w:ascii="Arial" w:eastAsia="Times New Roman" w:hAnsi="Arial" w:cs="Arial"/>
          <w:b/>
          <w:bCs/>
          <w:sz w:val="20"/>
          <w:szCs w:val="20"/>
        </w:rPr>
        <w:t>Exercise 1: Familiarisation with the hot-air airship</w:t>
      </w:r>
    </w:p>
    <w:p w14:paraId="2A875B9F" w14:textId="77777777" w:rsidR="002F2339" w:rsidRPr="00F77BF1" w:rsidRDefault="002F2339" w:rsidP="00F77BF1">
      <w:pPr>
        <w:numPr>
          <w:ilvl w:val="0"/>
          <w:numId w:val="184"/>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characteristics of the hot-air airship;</w:t>
      </w:r>
    </w:p>
    <w:p w14:paraId="25D2A8E6" w14:textId="77777777" w:rsidR="002F2339" w:rsidRPr="00F77BF1" w:rsidRDefault="002F2339" w:rsidP="00F77BF1">
      <w:pPr>
        <w:numPr>
          <w:ilvl w:val="0"/>
          <w:numId w:val="184"/>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aerostatic and aerodynamic lift;</w:t>
      </w:r>
    </w:p>
    <w:p w14:paraId="1DA633A2" w14:textId="77777777" w:rsidR="002F2339" w:rsidRPr="00F77BF1" w:rsidRDefault="002F2339" w:rsidP="00F77BF1">
      <w:pPr>
        <w:numPr>
          <w:ilvl w:val="0"/>
          <w:numId w:val="184"/>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operating limitations;</w:t>
      </w:r>
    </w:p>
    <w:p w14:paraId="0C178A8C" w14:textId="77777777" w:rsidR="002F2339" w:rsidRPr="00F77BF1" w:rsidRDefault="002F2339" w:rsidP="00F77BF1">
      <w:pPr>
        <w:numPr>
          <w:ilvl w:val="0"/>
          <w:numId w:val="184"/>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airworthiness limitations;</w:t>
      </w:r>
    </w:p>
    <w:p w14:paraId="7E2AD547" w14:textId="77777777" w:rsidR="002F2339" w:rsidRPr="00F77BF1" w:rsidRDefault="002F2339" w:rsidP="00F77BF1">
      <w:pPr>
        <w:numPr>
          <w:ilvl w:val="0"/>
          <w:numId w:val="184"/>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the components or systems;</w:t>
      </w:r>
    </w:p>
    <w:p w14:paraId="4C44FC61" w14:textId="77777777" w:rsidR="002F2339" w:rsidRPr="00F77BF1" w:rsidRDefault="002F2339" w:rsidP="00F77BF1">
      <w:pPr>
        <w:numPr>
          <w:ilvl w:val="0"/>
          <w:numId w:val="184"/>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instruments, minimum equipment and other equipment; and</w:t>
      </w:r>
    </w:p>
    <w:p w14:paraId="0D92EB2F" w14:textId="77777777" w:rsidR="002F2339" w:rsidRPr="00F77BF1" w:rsidRDefault="002F2339" w:rsidP="00F77BF1">
      <w:pPr>
        <w:numPr>
          <w:ilvl w:val="0"/>
          <w:numId w:val="184"/>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use of checklist(s) and procedures.</w:t>
      </w:r>
    </w:p>
    <w:p w14:paraId="58552AA9" w14:textId="77777777" w:rsidR="002F2339" w:rsidRPr="00F77BF1" w:rsidRDefault="002F2339" w:rsidP="00F77BF1">
      <w:pPr>
        <w:spacing w:line="276" w:lineRule="auto"/>
        <w:jc w:val="both"/>
        <w:rPr>
          <w:rFonts w:ascii="Arial" w:eastAsia="Times New Roman" w:hAnsi="Arial" w:cs="Arial"/>
          <w:sz w:val="20"/>
          <w:szCs w:val="20"/>
        </w:rPr>
      </w:pPr>
    </w:p>
    <w:p w14:paraId="56528543" w14:textId="77777777" w:rsidR="002F2339" w:rsidRPr="00F77BF1" w:rsidRDefault="002F2339" w:rsidP="00F77BF1">
      <w:pPr>
        <w:spacing w:line="276" w:lineRule="auto"/>
        <w:jc w:val="both"/>
        <w:rPr>
          <w:rFonts w:ascii="Arial" w:eastAsia="Times New Roman" w:hAnsi="Arial" w:cs="Arial"/>
          <w:b/>
          <w:bCs/>
          <w:sz w:val="20"/>
          <w:szCs w:val="20"/>
        </w:rPr>
      </w:pPr>
      <w:r w:rsidRPr="00F77BF1">
        <w:rPr>
          <w:rFonts w:ascii="Arial" w:eastAsia="Times New Roman" w:hAnsi="Arial" w:cs="Arial"/>
          <w:b/>
          <w:bCs/>
          <w:sz w:val="20"/>
          <w:szCs w:val="20"/>
        </w:rPr>
        <w:t>Exercise 2: Preparation for flight</w:t>
      </w:r>
    </w:p>
    <w:p w14:paraId="36CF3C73" w14:textId="77777777" w:rsidR="002F2339" w:rsidRPr="00F77BF1" w:rsidRDefault="002F2339" w:rsidP="00F77BF1">
      <w:pPr>
        <w:numPr>
          <w:ilvl w:val="0"/>
          <w:numId w:val="183"/>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documentation and equipment;</w:t>
      </w:r>
    </w:p>
    <w:p w14:paraId="474ECAD7" w14:textId="77777777" w:rsidR="002F2339" w:rsidRPr="00F77BF1" w:rsidRDefault="002F2339" w:rsidP="00F77BF1">
      <w:pPr>
        <w:numPr>
          <w:ilvl w:val="0"/>
          <w:numId w:val="183"/>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weather forecast and actuals;</w:t>
      </w:r>
    </w:p>
    <w:p w14:paraId="34C86363" w14:textId="77777777" w:rsidR="002F2339" w:rsidRPr="00F77BF1" w:rsidRDefault="002F2339" w:rsidP="00F77BF1">
      <w:pPr>
        <w:numPr>
          <w:ilvl w:val="0"/>
          <w:numId w:val="183"/>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flight planning:</w:t>
      </w:r>
    </w:p>
    <w:p w14:paraId="0699992C" w14:textId="77777777" w:rsidR="002F2339" w:rsidRPr="00F77BF1" w:rsidRDefault="002F2339" w:rsidP="00F77BF1">
      <w:pPr>
        <w:numPr>
          <w:ilvl w:val="1"/>
          <w:numId w:val="183"/>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NOTAMs;</w:t>
      </w:r>
    </w:p>
    <w:p w14:paraId="4D95D60B" w14:textId="77777777" w:rsidR="002F2339" w:rsidRPr="00F77BF1" w:rsidRDefault="002F2339" w:rsidP="00F77BF1">
      <w:pPr>
        <w:numPr>
          <w:ilvl w:val="1"/>
          <w:numId w:val="183"/>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airspace structure;</w:t>
      </w:r>
    </w:p>
    <w:p w14:paraId="08415285" w14:textId="77777777" w:rsidR="002F2339" w:rsidRPr="00F77BF1" w:rsidRDefault="002F2339" w:rsidP="00F77BF1">
      <w:pPr>
        <w:numPr>
          <w:ilvl w:val="1"/>
          <w:numId w:val="183"/>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sensitive areas;</w:t>
      </w:r>
    </w:p>
    <w:p w14:paraId="4D0768B8" w14:textId="77777777" w:rsidR="002F2339" w:rsidRPr="00F77BF1" w:rsidRDefault="002F2339" w:rsidP="00F77BF1">
      <w:pPr>
        <w:numPr>
          <w:ilvl w:val="1"/>
          <w:numId w:val="183"/>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expected track and distance;</w:t>
      </w:r>
    </w:p>
    <w:p w14:paraId="304941B9" w14:textId="77777777" w:rsidR="002F2339" w:rsidRPr="00F77BF1" w:rsidRDefault="002F2339" w:rsidP="00F77BF1">
      <w:pPr>
        <w:numPr>
          <w:ilvl w:val="1"/>
          <w:numId w:val="183"/>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pre-flight picture; and</w:t>
      </w:r>
    </w:p>
    <w:p w14:paraId="056B18BF" w14:textId="77777777" w:rsidR="002F2339" w:rsidRPr="00F77BF1" w:rsidRDefault="002F2339" w:rsidP="00F77BF1">
      <w:pPr>
        <w:numPr>
          <w:ilvl w:val="1"/>
          <w:numId w:val="183"/>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possible landing fields;</w:t>
      </w:r>
    </w:p>
    <w:p w14:paraId="78A11640" w14:textId="77777777" w:rsidR="002F2339" w:rsidRPr="00F77BF1" w:rsidRDefault="002F2339" w:rsidP="00F77BF1">
      <w:pPr>
        <w:numPr>
          <w:ilvl w:val="0"/>
          <w:numId w:val="183"/>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launch field:</w:t>
      </w:r>
    </w:p>
    <w:p w14:paraId="56DF7E4C" w14:textId="77777777" w:rsidR="002F2339" w:rsidRPr="00F77BF1" w:rsidRDefault="002F2339" w:rsidP="00F77BF1">
      <w:pPr>
        <w:numPr>
          <w:ilvl w:val="1"/>
          <w:numId w:val="183"/>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permission;</w:t>
      </w:r>
    </w:p>
    <w:p w14:paraId="56FD1CEC" w14:textId="77777777" w:rsidR="002F2339" w:rsidRPr="00F77BF1" w:rsidRDefault="002F2339" w:rsidP="00F77BF1">
      <w:pPr>
        <w:numPr>
          <w:ilvl w:val="1"/>
          <w:numId w:val="183"/>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behaviour;</w:t>
      </w:r>
    </w:p>
    <w:p w14:paraId="474B787A" w14:textId="77777777" w:rsidR="002F2339" w:rsidRPr="00F77BF1" w:rsidRDefault="002F2339" w:rsidP="00F77BF1">
      <w:pPr>
        <w:numPr>
          <w:ilvl w:val="1"/>
          <w:numId w:val="183"/>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field selection;</w:t>
      </w:r>
    </w:p>
    <w:p w14:paraId="3559CBFE" w14:textId="77777777" w:rsidR="002F2339" w:rsidRPr="00F77BF1" w:rsidRDefault="002F2339" w:rsidP="00F77BF1">
      <w:pPr>
        <w:numPr>
          <w:ilvl w:val="1"/>
          <w:numId w:val="183"/>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adjacent fields; and</w:t>
      </w:r>
    </w:p>
    <w:p w14:paraId="50F3A9C9" w14:textId="77777777" w:rsidR="002F2339" w:rsidRPr="00F77BF1" w:rsidRDefault="002F2339" w:rsidP="00F77BF1">
      <w:pPr>
        <w:numPr>
          <w:ilvl w:val="1"/>
          <w:numId w:val="183"/>
        </w:numPr>
        <w:spacing w:line="276" w:lineRule="auto"/>
        <w:jc w:val="both"/>
        <w:rPr>
          <w:rFonts w:ascii="Arial" w:eastAsia="Times New Roman" w:hAnsi="Arial" w:cs="Arial"/>
          <w:sz w:val="20"/>
          <w:szCs w:val="20"/>
        </w:rPr>
      </w:pPr>
      <w:r w:rsidRPr="00F77BF1">
        <w:rPr>
          <w:rFonts w:ascii="Arial" w:eastAsia="Times New Roman" w:hAnsi="Arial" w:cs="Arial"/>
          <w:sz w:val="20"/>
          <w:szCs w:val="20"/>
        </w:rPr>
        <w:lastRenderedPageBreak/>
        <w:t>noise abatement; and</w:t>
      </w:r>
    </w:p>
    <w:p w14:paraId="2EC56E0B" w14:textId="77777777" w:rsidR="002F2339" w:rsidRPr="00F77BF1" w:rsidRDefault="002F2339" w:rsidP="00F77BF1">
      <w:pPr>
        <w:numPr>
          <w:ilvl w:val="0"/>
          <w:numId w:val="183"/>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load and fuel calculations.</w:t>
      </w:r>
    </w:p>
    <w:p w14:paraId="671B76A8" w14:textId="77777777" w:rsidR="002F2339" w:rsidRPr="00F77BF1" w:rsidRDefault="002F2339" w:rsidP="00F77BF1">
      <w:pPr>
        <w:spacing w:line="276" w:lineRule="auto"/>
        <w:jc w:val="both"/>
        <w:rPr>
          <w:rFonts w:ascii="Arial" w:eastAsia="Times New Roman" w:hAnsi="Arial" w:cs="Arial"/>
          <w:sz w:val="20"/>
          <w:szCs w:val="20"/>
        </w:rPr>
      </w:pPr>
    </w:p>
    <w:p w14:paraId="23A402FE" w14:textId="77777777" w:rsidR="002F2339" w:rsidRPr="00F77BF1" w:rsidRDefault="002F2339" w:rsidP="00F77BF1">
      <w:pPr>
        <w:spacing w:line="276" w:lineRule="auto"/>
        <w:jc w:val="both"/>
        <w:rPr>
          <w:rFonts w:ascii="Arial" w:eastAsia="Times New Roman" w:hAnsi="Arial" w:cs="Arial"/>
          <w:b/>
          <w:bCs/>
          <w:sz w:val="20"/>
          <w:szCs w:val="20"/>
        </w:rPr>
      </w:pPr>
      <w:r w:rsidRPr="00F77BF1">
        <w:rPr>
          <w:rFonts w:ascii="Arial" w:eastAsia="Times New Roman" w:hAnsi="Arial" w:cs="Arial"/>
          <w:b/>
          <w:bCs/>
          <w:sz w:val="20"/>
          <w:szCs w:val="20"/>
        </w:rPr>
        <w:t>Exercise 3: Crew and passenger briefing</w:t>
      </w:r>
    </w:p>
    <w:p w14:paraId="66139CB1" w14:textId="77777777" w:rsidR="002F2339" w:rsidRPr="00F77BF1" w:rsidRDefault="002F2339" w:rsidP="00F77BF1">
      <w:pPr>
        <w:numPr>
          <w:ilvl w:val="0"/>
          <w:numId w:val="182"/>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clothing;</w:t>
      </w:r>
    </w:p>
    <w:p w14:paraId="196F2B03" w14:textId="77777777" w:rsidR="002F2339" w:rsidRPr="00F77BF1" w:rsidRDefault="002F2339" w:rsidP="00F77BF1">
      <w:pPr>
        <w:numPr>
          <w:ilvl w:val="0"/>
          <w:numId w:val="182"/>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crew briefing; and</w:t>
      </w:r>
    </w:p>
    <w:p w14:paraId="58D1DD77" w14:textId="77777777" w:rsidR="002F2339" w:rsidRPr="00F77BF1" w:rsidRDefault="002F2339" w:rsidP="00F77BF1">
      <w:pPr>
        <w:numPr>
          <w:ilvl w:val="0"/>
          <w:numId w:val="182"/>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passenger briefing.</w:t>
      </w:r>
    </w:p>
    <w:p w14:paraId="062A1419" w14:textId="77777777" w:rsidR="002F2339" w:rsidRPr="00F77BF1" w:rsidRDefault="002F2339" w:rsidP="00F77BF1">
      <w:pPr>
        <w:spacing w:line="276" w:lineRule="auto"/>
        <w:ind w:left="1842"/>
        <w:jc w:val="both"/>
        <w:rPr>
          <w:rFonts w:ascii="Arial" w:eastAsia="Times New Roman" w:hAnsi="Arial" w:cs="Arial"/>
          <w:sz w:val="20"/>
          <w:szCs w:val="20"/>
        </w:rPr>
      </w:pPr>
    </w:p>
    <w:p w14:paraId="1751ABD9" w14:textId="77777777" w:rsidR="002F2339" w:rsidRPr="00F77BF1" w:rsidRDefault="002F2339" w:rsidP="00F77BF1">
      <w:pPr>
        <w:spacing w:line="276" w:lineRule="auto"/>
        <w:jc w:val="both"/>
        <w:rPr>
          <w:rFonts w:ascii="Arial" w:eastAsia="Times New Roman" w:hAnsi="Arial" w:cs="Arial"/>
          <w:b/>
          <w:bCs/>
          <w:sz w:val="20"/>
          <w:szCs w:val="20"/>
        </w:rPr>
      </w:pPr>
      <w:r w:rsidRPr="00F77BF1">
        <w:rPr>
          <w:rFonts w:ascii="Arial" w:eastAsia="Times New Roman" w:hAnsi="Arial" w:cs="Arial"/>
          <w:b/>
          <w:bCs/>
          <w:sz w:val="20"/>
          <w:szCs w:val="20"/>
        </w:rPr>
        <w:t>Exercise 4: Assembly and layout</w:t>
      </w:r>
    </w:p>
    <w:p w14:paraId="333A501E" w14:textId="77777777" w:rsidR="002F2339" w:rsidRPr="00F77BF1" w:rsidRDefault="002F2339" w:rsidP="00F77BF1">
      <w:pPr>
        <w:numPr>
          <w:ilvl w:val="0"/>
          <w:numId w:val="185"/>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crowd control;</w:t>
      </w:r>
    </w:p>
    <w:p w14:paraId="5F204FC9" w14:textId="77777777" w:rsidR="002F2339" w:rsidRPr="00F77BF1" w:rsidRDefault="002F2339" w:rsidP="00F77BF1">
      <w:pPr>
        <w:numPr>
          <w:ilvl w:val="0"/>
          <w:numId w:val="185"/>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rigging envelope, gondola, burner and engine;</w:t>
      </w:r>
    </w:p>
    <w:p w14:paraId="75A1B765" w14:textId="77777777" w:rsidR="002F2339" w:rsidRPr="00F77BF1" w:rsidRDefault="002F2339" w:rsidP="00F77BF1">
      <w:pPr>
        <w:numPr>
          <w:ilvl w:val="0"/>
          <w:numId w:val="185"/>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burner test;</w:t>
      </w:r>
    </w:p>
    <w:p w14:paraId="580594AD" w14:textId="77777777" w:rsidR="002F2339" w:rsidRPr="00F77BF1" w:rsidRDefault="002F2339" w:rsidP="00F77BF1">
      <w:pPr>
        <w:numPr>
          <w:ilvl w:val="0"/>
          <w:numId w:val="185"/>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engine test; and</w:t>
      </w:r>
    </w:p>
    <w:p w14:paraId="69259BC5" w14:textId="77777777" w:rsidR="002F2339" w:rsidRPr="00F77BF1" w:rsidRDefault="002F2339" w:rsidP="00F77BF1">
      <w:pPr>
        <w:numPr>
          <w:ilvl w:val="0"/>
          <w:numId w:val="185"/>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pre-inflation checks</w:t>
      </w:r>
    </w:p>
    <w:p w14:paraId="62D5B61F" w14:textId="77777777" w:rsidR="00BE7484" w:rsidRPr="00F77BF1" w:rsidRDefault="00BE7484" w:rsidP="00F77BF1">
      <w:pPr>
        <w:spacing w:line="276" w:lineRule="auto"/>
        <w:jc w:val="both"/>
        <w:rPr>
          <w:rFonts w:ascii="Arial" w:eastAsia="Times New Roman" w:hAnsi="Arial" w:cs="Arial"/>
          <w:b/>
          <w:bCs/>
          <w:sz w:val="20"/>
          <w:szCs w:val="20"/>
        </w:rPr>
      </w:pPr>
      <w:r w:rsidRPr="00F77BF1">
        <w:rPr>
          <w:rFonts w:ascii="Arial" w:eastAsia="Times New Roman" w:hAnsi="Arial" w:cs="Arial"/>
          <w:b/>
          <w:bCs/>
          <w:sz w:val="20"/>
          <w:szCs w:val="20"/>
        </w:rPr>
        <w:t>Exercise 5: Inflation</w:t>
      </w:r>
    </w:p>
    <w:p w14:paraId="3BB8B022" w14:textId="77777777" w:rsidR="00BE7484" w:rsidRPr="00F77BF1" w:rsidRDefault="00BE7484" w:rsidP="00F77BF1">
      <w:pPr>
        <w:numPr>
          <w:ilvl w:val="0"/>
          <w:numId w:val="186"/>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crowd control;</w:t>
      </w:r>
    </w:p>
    <w:p w14:paraId="3749DF45" w14:textId="77777777" w:rsidR="00BE7484" w:rsidRPr="00F77BF1" w:rsidRDefault="00BE7484" w:rsidP="00F77BF1">
      <w:pPr>
        <w:numPr>
          <w:ilvl w:val="0"/>
          <w:numId w:val="186"/>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cold inflation:</w:t>
      </w:r>
    </w:p>
    <w:p w14:paraId="28072885" w14:textId="77777777" w:rsidR="00BE7484" w:rsidRPr="00F77BF1" w:rsidRDefault="00BE7484" w:rsidP="00F77BF1">
      <w:pPr>
        <w:numPr>
          <w:ilvl w:val="1"/>
          <w:numId w:val="183"/>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use of restraint line; and</w:t>
      </w:r>
    </w:p>
    <w:p w14:paraId="35AA309D" w14:textId="77777777" w:rsidR="00BE7484" w:rsidRPr="00F77BF1" w:rsidRDefault="00BE7484" w:rsidP="00F77BF1">
      <w:pPr>
        <w:numPr>
          <w:ilvl w:val="1"/>
          <w:numId w:val="183"/>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use of the inflation fan; and</w:t>
      </w:r>
    </w:p>
    <w:p w14:paraId="5D17B6A6" w14:textId="77777777" w:rsidR="002F2339" w:rsidRPr="00F77BF1" w:rsidRDefault="00BE7484" w:rsidP="00F77BF1">
      <w:pPr>
        <w:numPr>
          <w:ilvl w:val="0"/>
          <w:numId w:val="186"/>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hot inflation.</w:t>
      </w:r>
    </w:p>
    <w:p w14:paraId="71C6E04F" w14:textId="77777777" w:rsidR="00E62284" w:rsidRPr="00F77BF1" w:rsidRDefault="00E62284" w:rsidP="00F77BF1">
      <w:pPr>
        <w:spacing w:line="276" w:lineRule="auto"/>
        <w:ind w:left="1842"/>
        <w:jc w:val="both"/>
        <w:rPr>
          <w:rFonts w:ascii="Arial" w:eastAsia="Times New Roman" w:hAnsi="Arial" w:cs="Arial"/>
          <w:sz w:val="20"/>
          <w:szCs w:val="20"/>
        </w:rPr>
      </w:pPr>
    </w:p>
    <w:p w14:paraId="75982704" w14:textId="77777777" w:rsidR="00BE7484" w:rsidRPr="00F77BF1" w:rsidRDefault="00BE7484" w:rsidP="00F77BF1">
      <w:pPr>
        <w:spacing w:line="276" w:lineRule="auto"/>
        <w:jc w:val="both"/>
        <w:rPr>
          <w:rFonts w:ascii="Arial" w:eastAsia="Times New Roman" w:hAnsi="Arial" w:cs="Arial"/>
          <w:b/>
          <w:bCs/>
          <w:sz w:val="20"/>
          <w:szCs w:val="20"/>
        </w:rPr>
      </w:pPr>
      <w:r w:rsidRPr="00F77BF1">
        <w:rPr>
          <w:rFonts w:ascii="Arial" w:eastAsia="Times New Roman" w:hAnsi="Arial" w:cs="Arial"/>
          <w:b/>
          <w:bCs/>
          <w:sz w:val="20"/>
          <w:szCs w:val="20"/>
        </w:rPr>
        <w:t>Exercise 6: Engine</w:t>
      </w:r>
    </w:p>
    <w:p w14:paraId="691DA914" w14:textId="77777777" w:rsidR="00BE7484" w:rsidRPr="00F77BF1" w:rsidRDefault="00BE7484" w:rsidP="00F77BF1">
      <w:pPr>
        <w:numPr>
          <w:ilvl w:val="0"/>
          <w:numId w:val="187"/>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identification of main parts and controls;</w:t>
      </w:r>
    </w:p>
    <w:p w14:paraId="31EC625F" w14:textId="77777777" w:rsidR="00BE7484" w:rsidRPr="00F77BF1" w:rsidRDefault="00BE7484" w:rsidP="00F77BF1">
      <w:pPr>
        <w:numPr>
          <w:ilvl w:val="0"/>
          <w:numId w:val="187"/>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familiarisation with operation and checking of the engine; and</w:t>
      </w:r>
    </w:p>
    <w:p w14:paraId="5486A4E3" w14:textId="77777777" w:rsidR="00BE7484" w:rsidRPr="00F77BF1" w:rsidRDefault="00BE7484" w:rsidP="00F77BF1">
      <w:pPr>
        <w:numPr>
          <w:ilvl w:val="0"/>
          <w:numId w:val="187"/>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engine checks before take-off.</w:t>
      </w:r>
    </w:p>
    <w:p w14:paraId="4C707227" w14:textId="77777777" w:rsidR="00E62284" w:rsidRPr="00F77BF1" w:rsidRDefault="00E62284" w:rsidP="00F77BF1">
      <w:pPr>
        <w:spacing w:line="276" w:lineRule="auto"/>
        <w:ind w:left="1842"/>
        <w:jc w:val="both"/>
        <w:rPr>
          <w:rFonts w:ascii="Arial" w:eastAsia="Times New Roman" w:hAnsi="Arial" w:cs="Arial"/>
          <w:sz w:val="20"/>
          <w:szCs w:val="20"/>
        </w:rPr>
      </w:pPr>
    </w:p>
    <w:p w14:paraId="10D82C45" w14:textId="77777777" w:rsidR="00BE7484" w:rsidRPr="00F77BF1" w:rsidRDefault="00BE7484" w:rsidP="00F77BF1">
      <w:pPr>
        <w:spacing w:line="276" w:lineRule="auto"/>
        <w:jc w:val="both"/>
        <w:rPr>
          <w:rFonts w:ascii="Arial" w:eastAsia="Times New Roman" w:hAnsi="Arial" w:cs="Arial"/>
          <w:b/>
          <w:bCs/>
          <w:sz w:val="20"/>
          <w:szCs w:val="20"/>
        </w:rPr>
      </w:pPr>
      <w:r w:rsidRPr="00F77BF1">
        <w:rPr>
          <w:rFonts w:ascii="Arial" w:eastAsia="Times New Roman" w:hAnsi="Arial" w:cs="Arial"/>
          <w:b/>
          <w:bCs/>
          <w:sz w:val="20"/>
          <w:szCs w:val="20"/>
        </w:rPr>
        <w:t>Exercise 7: Pressurisation (if applicable)</w:t>
      </w:r>
    </w:p>
    <w:p w14:paraId="50270E56" w14:textId="77777777" w:rsidR="00BE7484" w:rsidRPr="00F77BF1" w:rsidRDefault="00BE7484" w:rsidP="00F77BF1">
      <w:pPr>
        <w:numPr>
          <w:ilvl w:val="0"/>
          <w:numId w:val="188"/>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pressurisation fan operation;</w:t>
      </w:r>
    </w:p>
    <w:p w14:paraId="055DC6B9" w14:textId="77777777" w:rsidR="00BE7484" w:rsidRPr="00F77BF1" w:rsidRDefault="00BE7484" w:rsidP="00F77BF1">
      <w:pPr>
        <w:numPr>
          <w:ilvl w:val="0"/>
          <w:numId w:val="188"/>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super pressure and balance between pressure and temperature; and</w:t>
      </w:r>
    </w:p>
    <w:p w14:paraId="799D53A3" w14:textId="77777777" w:rsidR="00BE7484" w:rsidRPr="00F77BF1" w:rsidRDefault="00BE7484" w:rsidP="00F77BF1">
      <w:pPr>
        <w:numPr>
          <w:ilvl w:val="0"/>
          <w:numId w:val="188"/>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pressure limitations.</w:t>
      </w:r>
    </w:p>
    <w:p w14:paraId="239E8968" w14:textId="77777777" w:rsidR="00E62284" w:rsidRPr="00F77BF1" w:rsidRDefault="00E62284" w:rsidP="00F77BF1">
      <w:pPr>
        <w:spacing w:line="276" w:lineRule="auto"/>
        <w:ind w:left="1842"/>
        <w:jc w:val="both"/>
        <w:rPr>
          <w:rFonts w:ascii="Arial" w:eastAsia="Times New Roman" w:hAnsi="Arial" w:cs="Arial"/>
          <w:sz w:val="20"/>
          <w:szCs w:val="20"/>
        </w:rPr>
      </w:pPr>
    </w:p>
    <w:p w14:paraId="140A118F" w14:textId="77777777" w:rsidR="00BE7484" w:rsidRPr="00F77BF1" w:rsidRDefault="00BE7484" w:rsidP="00F77BF1">
      <w:pPr>
        <w:spacing w:line="276" w:lineRule="auto"/>
        <w:jc w:val="both"/>
        <w:rPr>
          <w:rFonts w:ascii="Arial" w:eastAsia="Times New Roman" w:hAnsi="Arial" w:cs="Arial"/>
          <w:b/>
          <w:bCs/>
          <w:sz w:val="20"/>
          <w:szCs w:val="20"/>
        </w:rPr>
      </w:pPr>
      <w:r w:rsidRPr="00F77BF1">
        <w:rPr>
          <w:rFonts w:ascii="Arial" w:eastAsia="Times New Roman" w:hAnsi="Arial" w:cs="Arial"/>
          <w:b/>
          <w:bCs/>
          <w:sz w:val="20"/>
          <w:szCs w:val="20"/>
        </w:rPr>
        <w:t xml:space="preserve">Exercise 8: Take-off </w:t>
      </w:r>
    </w:p>
    <w:p w14:paraId="615045F5" w14:textId="77777777" w:rsidR="00BE7484" w:rsidRPr="00F77BF1" w:rsidRDefault="00BE7484" w:rsidP="00F77BF1">
      <w:pPr>
        <w:numPr>
          <w:ilvl w:val="0"/>
          <w:numId w:val="189"/>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before take-off checks and briefings;</w:t>
      </w:r>
    </w:p>
    <w:p w14:paraId="5F98ABE2" w14:textId="77777777" w:rsidR="00BE7484" w:rsidRPr="00F77BF1" w:rsidRDefault="00BE7484" w:rsidP="00F77BF1">
      <w:pPr>
        <w:numPr>
          <w:ilvl w:val="0"/>
          <w:numId w:val="189"/>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heating for controlled climb;</w:t>
      </w:r>
    </w:p>
    <w:p w14:paraId="7F06DBCF" w14:textId="77777777" w:rsidR="00BE7484" w:rsidRPr="00F77BF1" w:rsidRDefault="00BE7484" w:rsidP="00F77BF1">
      <w:pPr>
        <w:numPr>
          <w:ilvl w:val="0"/>
          <w:numId w:val="189"/>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procedure for ground crew; and</w:t>
      </w:r>
    </w:p>
    <w:p w14:paraId="452B84D1" w14:textId="77777777" w:rsidR="00BE7484" w:rsidRPr="00F77BF1" w:rsidRDefault="00BE7484" w:rsidP="00F77BF1">
      <w:pPr>
        <w:numPr>
          <w:ilvl w:val="0"/>
          <w:numId w:val="189"/>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assessment of wind and obstacles.</w:t>
      </w:r>
    </w:p>
    <w:p w14:paraId="31932011" w14:textId="77777777" w:rsidR="00E62284" w:rsidRPr="00F77BF1" w:rsidRDefault="00E62284" w:rsidP="00F77BF1">
      <w:pPr>
        <w:spacing w:line="276" w:lineRule="auto"/>
        <w:ind w:left="1842"/>
        <w:jc w:val="both"/>
        <w:rPr>
          <w:rFonts w:ascii="Arial" w:eastAsia="Times New Roman" w:hAnsi="Arial" w:cs="Arial"/>
          <w:sz w:val="20"/>
          <w:szCs w:val="20"/>
        </w:rPr>
      </w:pPr>
    </w:p>
    <w:p w14:paraId="7441F35B" w14:textId="77777777" w:rsidR="00BE7484" w:rsidRPr="00F77BF1" w:rsidRDefault="00BE7484" w:rsidP="00F77BF1">
      <w:pPr>
        <w:spacing w:line="276" w:lineRule="auto"/>
        <w:jc w:val="both"/>
        <w:rPr>
          <w:rFonts w:ascii="Arial" w:eastAsia="Times New Roman" w:hAnsi="Arial" w:cs="Arial"/>
          <w:b/>
          <w:bCs/>
          <w:sz w:val="20"/>
          <w:szCs w:val="20"/>
        </w:rPr>
      </w:pPr>
      <w:r w:rsidRPr="00F77BF1">
        <w:rPr>
          <w:rFonts w:ascii="Arial" w:eastAsia="Times New Roman" w:hAnsi="Arial" w:cs="Arial"/>
          <w:b/>
          <w:bCs/>
          <w:sz w:val="20"/>
          <w:szCs w:val="20"/>
        </w:rPr>
        <w:t>Exercise 9: Climb to level flight</w:t>
      </w:r>
    </w:p>
    <w:p w14:paraId="2121D954" w14:textId="77777777" w:rsidR="00BE7484" w:rsidRPr="00F77BF1" w:rsidRDefault="00BE7484" w:rsidP="00F77BF1">
      <w:pPr>
        <w:numPr>
          <w:ilvl w:val="0"/>
          <w:numId w:val="190"/>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climbing with a predetermined rate of climb;</w:t>
      </w:r>
    </w:p>
    <w:p w14:paraId="2A9B3B51" w14:textId="77777777" w:rsidR="00BE7484" w:rsidRPr="00F77BF1" w:rsidRDefault="00BE7484" w:rsidP="00F77BF1">
      <w:pPr>
        <w:numPr>
          <w:ilvl w:val="0"/>
          <w:numId w:val="190"/>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effect on envelope temperature and pressure;</w:t>
      </w:r>
    </w:p>
    <w:p w14:paraId="203F5710" w14:textId="77777777" w:rsidR="00BE7484" w:rsidRPr="00F77BF1" w:rsidRDefault="00BE7484" w:rsidP="00F77BF1">
      <w:pPr>
        <w:numPr>
          <w:ilvl w:val="0"/>
          <w:numId w:val="190"/>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maximum rate of climb according to the manufacturer’s flight manual; and</w:t>
      </w:r>
    </w:p>
    <w:p w14:paraId="38FBC2FA" w14:textId="77777777" w:rsidR="00BE7484" w:rsidRPr="00F77BF1" w:rsidRDefault="00BE7484" w:rsidP="00F77BF1">
      <w:pPr>
        <w:numPr>
          <w:ilvl w:val="0"/>
          <w:numId w:val="190"/>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level off at selected altitude.</w:t>
      </w:r>
    </w:p>
    <w:p w14:paraId="2D73B335" w14:textId="77777777" w:rsidR="00E62284" w:rsidRPr="00F77BF1" w:rsidRDefault="00E62284" w:rsidP="00F77BF1">
      <w:pPr>
        <w:spacing w:line="276" w:lineRule="auto"/>
        <w:ind w:left="1842"/>
        <w:jc w:val="both"/>
        <w:rPr>
          <w:rFonts w:ascii="Arial" w:eastAsia="Times New Roman" w:hAnsi="Arial" w:cs="Arial"/>
          <w:sz w:val="20"/>
          <w:szCs w:val="20"/>
        </w:rPr>
      </w:pPr>
    </w:p>
    <w:p w14:paraId="4AAECF8C" w14:textId="77777777" w:rsidR="00943926" w:rsidRPr="00F77BF1" w:rsidRDefault="00943926" w:rsidP="00F77BF1">
      <w:pPr>
        <w:spacing w:line="276" w:lineRule="auto"/>
        <w:jc w:val="both"/>
        <w:rPr>
          <w:rFonts w:ascii="Arial" w:eastAsia="Times New Roman" w:hAnsi="Arial" w:cs="Arial"/>
          <w:b/>
          <w:bCs/>
          <w:sz w:val="20"/>
          <w:szCs w:val="20"/>
        </w:rPr>
      </w:pPr>
      <w:r w:rsidRPr="00F77BF1">
        <w:rPr>
          <w:rFonts w:ascii="Arial" w:eastAsia="Times New Roman" w:hAnsi="Arial" w:cs="Arial"/>
          <w:b/>
          <w:bCs/>
          <w:sz w:val="20"/>
          <w:szCs w:val="20"/>
        </w:rPr>
        <w:t>Exercise 10: Level flight</w:t>
      </w:r>
    </w:p>
    <w:p w14:paraId="2F5CF8CA" w14:textId="77777777" w:rsidR="00943926" w:rsidRPr="00F77BF1" w:rsidRDefault="00943926" w:rsidP="00F77BF1">
      <w:pPr>
        <w:numPr>
          <w:ilvl w:val="0"/>
          <w:numId w:val="194"/>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maintaining level flight by:</w:t>
      </w:r>
    </w:p>
    <w:p w14:paraId="1CC12970" w14:textId="77777777" w:rsidR="00943926" w:rsidRPr="00F77BF1" w:rsidRDefault="00943926" w:rsidP="00F77BF1">
      <w:pPr>
        <w:numPr>
          <w:ilvl w:val="1"/>
          <w:numId w:val="194"/>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use of instruments only;</w:t>
      </w:r>
    </w:p>
    <w:p w14:paraId="395F6F2D" w14:textId="77777777" w:rsidR="00943926" w:rsidRPr="00F77BF1" w:rsidRDefault="00943926" w:rsidP="00F77BF1">
      <w:pPr>
        <w:numPr>
          <w:ilvl w:val="1"/>
          <w:numId w:val="194"/>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use of visual references only; and</w:t>
      </w:r>
    </w:p>
    <w:p w14:paraId="1D38E1C0" w14:textId="77777777" w:rsidR="00943926" w:rsidRPr="00F77BF1" w:rsidRDefault="00943926" w:rsidP="00F77BF1">
      <w:pPr>
        <w:numPr>
          <w:ilvl w:val="1"/>
          <w:numId w:val="194"/>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all available means;</w:t>
      </w:r>
    </w:p>
    <w:p w14:paraId="2A393268" w14:textId="77777777" w:rsidR="00943926" w:rsidRPr="00F77BF1" w:rsidRDefault="00943926" w:rsidP="00F77BF1">
      <w:pPr>
        <w:numPr>
          <w:ilvl w:val="0"/>
          <w:numId w:val="194"/>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maintaining level flight at different air speeds by taking aerodynamic lift into account;</w:t>
      </w:r>
    </w:p>
    <w:p w14:paraId="6F4F8756" w14:textId="77777777" w:rsidR="00943926" w:rsidRPr="00F77BF1" w:rsidRDefault="00943926" w:rsidP="00F77BF1">
      <w:pPr>
        <w:numPr>
          <w:ilvl w:val="0"/>
          <w:numId w:val="194"/>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turns; and</w:t>
      </w:r>
    </w:p>
    <w:p w14:paraId="5907D9FD" w14:textId="77777777" w:rsidR="00943926" w:rsidRPr="00F77BF1" w:rsidRDefault="00943926" w:rsidP="00F77BF1">
      <w:pPr>
        <w:numPr>
          <w:ilvl w:val="0"/>
          <w:numId w:val="194"/>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stationary flight.</w:t>
      </w:r>
    </w:p>
    <w:p w14:paraId="1D42A08B" w14:textId="77777777" w:rsidR="00943926" w:rsidRPr="00F77BF1" w:rsidRDefault="00943926" w:rsidP="00F77BF1">
      <w:pPr>
        <w:spacing w:line="276" w:lineRule="auto"/>
        <w:jc w:val="both"/>
        <w:rPr>
          <w:rFonts w:ascii="Arial" w:eastAsia="Times New Roman" w:hAnsi="Arial" w:cs="Arial"/>
          <w:sz w:val="20"/>
          <w:szCs w:val="20"/>
        </w:rPr>
      </w:pPr>
    </w:p>
    <w:p w14:paraId="2015C1F9" w14:textId="77777777" w:rsidR="00943926" w:rsidRPr="00F77BF1" w:rsidRDefault="00943926" w:rsidP="00F77BF1">
      <w:pPr>
        <w:spacing w:line="276" w:lineRule="auto"/>
        <w:jc w:val="both"/>
        <w:rPr>
          <w:rFonts w:ascii="Arial" w:eastAsia="Times New Roman" w:hAnsi="Arial" w:cs="Arial"/>
          <w:b/>
          <w:bCs/>
          <w:sz w:val="20"/>
          <w:szCs w:val="20"/>
        </w:rPr>
      </w:pPr>
      <w:r w:rsidRPr="00F77BF1">
        <w:rPr>
          <w:rFonts w:ascii="Arial" w:eastAsia="Times New Roman" w:hAnsi="Arial" w:cs="Arial"/>
          <w:b/>
          <w:bCs/>
          <w:sz w:val="20"/>
          <w:szCs w:val="20"/>
        </w:rPr>
        <w:t>Exercise 11: Descent to level flight</w:t>
      </w:r>
    </w:p>
    <w:p w14:paraId="7DBF4040" w14:textId="77777777" w:rsidR="00943926" w:rsidRPr="00F77BF1" w:rsidRDefault="00943926" w:rsidP="00F77BF1">
      <w:pPr>
        <w:numPr>
          <w:ilvl w:val="0"/>
          <w:numId w:val="193"/>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descent with a predetermined rate of descent;</w:t>
      </w:r>
    </w:p>
    <w:p w14:paraId="2D10CC70" w14:textId="77777777" w:rsidR="00943926" w:rsidRPr="00F77BF1" w:rsidRDefault="00943926" w:rsidP="00F77BF1">
      <w:pPr>
        <w:numPr>
          <w:ilvl w:val="0"/>
          <w:numId w:val="193"/>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maximum rate of descent according to the manufacturer’s flight manual; and</w:t>
      </w:r>
    </w:p>
    <w:p w14:paraId="787FC1D2" w14:textId="77777777" w:rsidR="00943926" w:rsidRPr="00F77BF1" w:rsidRDefault="00943926" w:rsidP="00F77BF1">
      <w:pPr>
        <w:numPr>
          <w:ilvl w:val="0"/>
          <w:numId w:val="193"/>
        </w:numPr>
        <w:spacing w:line="276" w:lineRule="auto"/>
        <w:jc w:val="both"/>
        <w:rPr>
          <w:rFonts w:ascii="Arial" w:eastAsia="Times New Roman" w:hAnsi="Arial" w:cs="Arial"/>
          <w:sz w:val="20"/>
          <w:szCs w:val="20"/>
        </w:rPr>
      </w:pPr>
      <w:r w:rsidRPr="00F77BF1">
        <w:rPr>
          <w:rFonts w:ascii="Arial" w:eastAsia="Times New Roman" w:hAnsi="Arial" w:cs="Arial"/>
          <w:sz w:val="20"/>
          <w:szCs w:val="20"/>
        </w:rPr>
        <w:lastRenderedPageBreak/>
        <w:t>levelling off at selected altitude.</w:t>
      </w:r>
    </w:p>
    <w:p w14:paraId="583B8D06" w14:textId="77777777" w:rsidR="00943926" w:rsidRPr="00F77BF1" w:rsidRDefault="00943926" w:rsidP="00F77BF1">
      <w:pPr>
        <w:spacing w:line="276" w:lineRule="auto"/>
        <w:jc w:val="both"/>
        <w:rPr>
          <w:rFonts w:ascii="Arial" w:eastAsia="Times New Roman" w:hAnsi="Arial" w:cs="Arial"/>
          <w:sz w:val="20"/>
          <w:szCs w:val="20"/>
        </w:rPr>
      </w:pPr>
    </w:p>
    <w:p w14:paraId="7F9E0335" w14:textId="77777777" w:rsidR="00943926" w:rsidRPr="00F77BF1" w:rsidRDefault="00943926" w:rsidP="00F77BF1">
      <w:pPr>
        <w:spacing w:line="276" w:lineRule="auto"/>
        <w:jc w:val="both"/>
        <w:rPr>
          <w:rFonts w:ascii="Arial" w:eastAsia="Times New Roman" w:hAnsi="Arial" w:cs="Arial"/>
          <w:b/>
          <w:bCs/>
          <w:sz w:val="20"/>
          <w:szCs w:val="20"/>
        </w:rPr>
      </w:pPr>
      <w:r w:rsidRPr="00F77BF1">
        <w:rPr>
          <w:rFonts w:ascii="Arial" w:eastAsia="Times New Roman" w:hAnsi="Arial" w:cs="Arial"/>
          <w:b/>
          <w:bCs/>
          <w:sz w:val="20"/>
          <w:szCs w:val="20"/>
        </w:rPr>
        <w:t>Exercise 12A: Emergencies — systems</w:t>
      </w:r>
    </w:p>
    <w:p w14:paraId="6BEDF4E6" w14:textId="77777777" w:rsidR="00943926" w:rsidRPr="00F77BF1" w:rsidRDefault="00943926" w:rsidP="00F77BF1">
      <w:pPr>
        <w:numPr>
          <w:ilvl w:val="0"/>
          <w:numId w:val="192"/>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engine failure;</w:t>
      </w:r>
    </w:p>
    <w:p w14:paraId="22D90415" w14:textId="77777777" w:rsidR="00943926" w:rsidRPr="00F77BF1" w:rsidRDefault="00943926" w:rsidP="00F77BF1">
      <w:pPr>
        <w:numPr>
          <w:ilvl w:val="0"/>
          <w:numId w:val="192"/>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pressurisation failure;</w:t>
      </w:r>
    </w:p>
    <w:p w14:paraId="7A7E5C16" w14:textId="77777777" w:rsidR="00943926" w:rsidRPr="00F77BF1" w:rsidRDefault="00943926" w:rsidP="00F77BF1">
      <w:pPr>
        <w:numPr>
          <w:ilvl w:val="0"/>
          <w:numId w:val="192"/>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rudder failure;</w:t>
      </w:r>
    </w:p>
    <w:p w14:paraId="5C9FBC9D" w14:textId="77777777" w:rsidR="00943926" w:rsidRPr="00F77BF1" w:rsidRDefault="00943926" w:rsidP="00F77BF1">
      <w:pPr>
        <w:numPr>
          <w:ilvl w:val="0"/>
          <w:numId w:val="192"/>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pilot light failure;</w:t>
      </w:r>
    </w:p>
    <w:p w14:paraId="7713C05A" w14:textId="77777777" w:rsidR="00943926" w:rsidRPr="00F77BF1" w:rsidRDefault="00943926" w:rsidP="00F77BF1">
      <w:pPr>
        <w:numPr>
          <w:ilvl w:val="0"/>
          <w:numId w:val="192"/>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burner failure, valve leaks, flame out and re-light;</w:t>
      </w:r>
    </w:p>
    <w:p w14:paraId="4BC73D6C" w14:textId="77777777" w:rsidR="00943926" w:rsidRPr="00F77BF1" w:rsidRDefault="00943926" w:rsidP="00F77BF1">
      <w:pPr>
        <w:numPr>
          <w:ilvl w:val="0"/>
          <w:numId w:val="192"/>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fuel leaks;</w:t>
      </w:r>
    </w:p>
    <w:p w14:paraId="358C3479" w14:textId="77777777" w:rsidR="00943926" w:rsidRPr="00F77BF1" w:rsidRDefault="00943926" w:rsidP="00F77BF1">
      <w:pPr>
        <w:numPr>
          <w:ilvl w:val="0"/>
          <w:numId w:val="192"/>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envelope over temperature; and</w:t>
      </w:r>
    </w:p>
    <w:p w14:paraId="5EC5D06F" w14:textId="77777777" w:rsidR="00943926" w:rsidRPr="00F77BF1" w:rsidRDefault="00943926" w:rsidP="00F77BF1">
      <w:pPr>
        <w:numPr>
          <w:ilvl w:val="0"/>
          <w:numId w:val="192"/>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envelope damage in-flight.</w:t>
      </w:r>
    </w:p>
    <w:p w14:paraId="65DA214B" w14:textId="77777777" w:rsidR="00943926" w:rsidRPr="00F77BF1" w:rsidRDefault="00943926" w:rsidP="00F77BF1">
      <w:pPr>
        <w:spacing w:line="276" w:lineRule="auto"/>
        <w:jc w:val="both"/>
        <w:rPr>
          <w:rFonts w:ascii="Arial" w:eastAsia="Times New Roman" w:hAnsi="Arial" w:cs="Arial"/>
          <w:sz w:val="20"/>
          <w:szCs w:val="20"/>
        </w:rPr>
      </w:pPr>
    </w:p>
    <w:p w14:paraId="7C3C1475" w14:textId="77777777" w:rsidR="00943926" w:rsidRPr="00F77BF1" w:rsidRDefault="00943926" w:rsidP="00F77BF1">
      <w:pPr>
        <w:spacing w:line="276" w:lineRule="auto"/>
        <w:jc w:val="both"/>
        <w:rPr>
          <w:rFonts w:ascii="Arial" w:eastAsia="Times New Roman" w:hAnsi="Arial" w:cs="Arial"/>
          <w:b/>
          <w:bCs/>
          <w:sz w:val="20"/>
          <w:szCs w:val="20"/>
        </w:rPr>
      </w:pPr>
      <w:r w:rsidRPr="00F77BF1">
        <w:rPr>
          <w:rFonts w:ascii="Arial" w:eastAsia="Times New Roman" w:hAnsi="Arial" w:cs="Arial"/>
          <w:b/>
          <w:bCs/>
          <w:sz w:val="20"/>
          <w:szCs w:val="20"/>
        </w:rPr>
        <w:t>Exercise 12B: Other emergencies</w:t>
      </w:r>
    </w:p>
    <w:p w14:paraId="27E9C105" w14:textId="77777777" w:rsidR="00943926" w:rsidRPr="00F77BF1" w:rsidRDefault="00943926" w:rsidP="00F77BF1">
      <w:pPr>
        <w:numPr>
          <w:ilvl w:val="0"/>
          <w:numId w:val="191"/>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fire extinguishers;</w:t>
      </w:r>
    </w:p>
    <w:p w14:paraId="4D9EA1AD" w14:textId="77777777" w:rsidR="00943926" w:rsidRPr="00F77BF1" w:rsidRDefault="00943926" w:rsidP="00F77BF1">
      <w:pPr>
        <w:numPr>
          <w:ilvl w:val="0"/>
          <w:numId w:val="191"/>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fire on ground;</w:t>
      </w:r>
    </w:p>
    <w:p w14:paraId="59AD40EA" w14:textId="77777777" w:rsidR="00943926" w:rsidRPr="00F77BF1" w:rsidRDefault="00943926" w:rsidP="00F77BF1">
      <w:pPr>
        <w:numPr>
          <w:ilvl w:val="0"/>
          <w:numId w:val="191"/>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fire in the air;</w:t>
      </w:r>
    </w:p>
    <w:p w14:paraId="66A02D64" w14:textId="77777777" w:rsidR="00943926" w:rsidRPr="00F77BF1" w:rsidRDefault="00943926" w:rsidP="00F77BF1">
      <w:pPr>
        <w:numPr>
          <w:ilvl w:val="0"/>
          <w:numId w:val="191"/>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electrical power supply failure;</w:t>
      </w:r>
    </w:p>
    <w:p w14:paraId="29FA541C" w14:textId="77777777" w:rsidR="00943926" w:rsidRPr="00F77BF1" w:rsidRDefault="00943926" w:rsidP="00F77BF1">
      <w:pPr>
        <w:numPr>
          <w:ilvl w:val="0"/>
          <w:numId w:val="191"/>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hard landing;</w:t>
      </w:r>
    </w:p>
    <w:p w14:paraId="0379768A" w14:textId="77777777" w:rsidR="00943926" w:rsidRPr="00F77BF1" w:rsidRDefault="00943926" w:rsidP="00F77BF1">
      <w:pPr>
        <w:numPr>
          <w:ilvl w:val="0"/>
          <w:numId w:val="191"/>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landing in strong wind;</w:t>
      </w:r>
    </w:p>
    <w:p w14:paraId="65C540BB" w14:textId="77777777" w:rsidR="00943926" w:rsidRPr="00F77BF1" w:rsidRDefault="00943926" w:rsidP="00F77BF1">
      <w:pPr>
        <w:numPr>
          <w:ilvl w:val="0"/>
          <w:numId w:val="191"/>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contact with electrical power lines;</w:t>
      </w:r>
    </w:p>
    <w:p w14:paraId="5B513367" w14:textId="77777777" w:rsidR="00943926" w:rsidRPr="00F77BF1" w:rsidRDefault="00943926" w:rsidP="00F77BF1">
      <w:pPr>
        <w:numPr>
          <w:ilvl w:val="0"/>
          <w:numId w:val="191"/>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obstacle avoidance;</w:t>
      </w:r>
    </w:p>
    <w:p w14:paraId="552DDEB8" w14:textId="77777777" w:rsidR="00943926" w:rsidRPr="00F77BF1" w:rsidRDefault="00943926" w:rsidP="00F77BF1">
      <w:pPr>
        <w:numPr>
          <w:ilvl w:val="0"/>
          <w:numId w:val="191"/>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escape drills, location and use of emergency equipment.</w:t>
      </w:r>
    </w:p>
    <w:p w14:paraId="5BC60CB0" w14:textId="77777777" w:rsidR="00E62284" w:rsidRPr="00F77BF1" w:rsidRDefault="00E62284" w:rsidP="00F77BF1">
      <w:pPr>
        <w:spacing w:line="276" w:lineRule="auto"/>
        <w:ind w:left="1842"/>
        <w:jc w:val="both"/>
        <w:rPr>
          <w:rFonts w:ascii="Arial" w:eastAsia="Times New Roman" w:hAnsi="Arial" w:cs="Arial"/>
          <w:sz w:val="20"/>
          <w:szCs w:val="20"/>
        </w:rPr>
      </w:pPr>
    </w:p>
    <w:p w14:paraId="57E19F97" w14:textId="77777777" w:rsidR="00943926" w:rsidRPr="00F77BF1" w:rsidRDefault="00943926" w:rsidP="00F77BF1">
      <w:pPr>
        <w:spacing w:line="276" w:lineRule="auto"/>
        <w:jc w:val="both"/>
        <w:rPr>
          <w:rFonts w:ascii="Arial" w:eastAsia="Times New Roman" w:hAnsi="Arial" w:cs="Arial"/>
          <w:b/>
          <w:bCs/>
          <w:sz w:val="20"/>
          <w:szCs w:val="20"/>
        </w:rPr>
      </w:pPr>
      <w:r w:rsidRPr="00F77BF1">
        <w:rPr>
          <w:rFonts w:ascii="Arial" w:eastAsia="Times New Roman" w:hAnsi="Arial" w:cs="Arial"/>
          <w:b/>
          <w:bCs/>
          <w:sz w:val="20"/>
          <w:szCs w:val="20"/>
        </w:rPr>
        <w:t>Exercise 13: Navigation</w:t>
      </w:r>
    </w:p>
    <w:p w14:paraId="05B45407" w14:textId="77777777" w:rsidR="00943926" w:rsidRPr="00F77BF1" w:rsidRDefault="00943926" w:rsidP="00F77BF1">
      <w:pPr>
        <w:numPr>
          <w:ilvl w:val="0"/>
          <w:numId w:val="198"/>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map selection and preparation;</w:t>
      </w:r>
    </w:p>
    <w:p w14:paraId="720840CB" w14:textId="77777777" w:rsidR="00943926" w:rsidRPr="00F77BF1" w:rsidRDefault="00943926" w:rsidP="00F77BF1">
      <w:pPr>
        <w:numPr>
          <w:ilvl w:val="0"/>
          <w:numId w:val="198"/>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plotting and steering expected track;</w:t>
      </w:r>
    </w:p>
    <w:p w14:paraId="41AAAB0D" w14:textId="77777777" w:rsidR="00943926" w:rsidRPr="00F77BF1" w:rsidRDefault="00943926" w:rsidP="00F77BF1">
      <w:pPr>
        <w:numPr>
          <w:ilvl w:val="0"/>
          <w:numId w:val="198"/>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marking positions and time;</w:t>
      </w:r>
    </w:p>
    <w:p w14:paraId="4B70DC93" w14:textId="77777777" w:rsidR="00943926" w:rsidRPr="00F77BF1" w:rsidRDefault="00943926" w:rsidP="00F77BF1">
      <w:pPr>
        <w:numPr>
          <w:ilvl w:val="0"/>
          <w:numId w:val="198"/>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calculation of distance, speed and fuel consumption;</w:t>
      </w:r>
    </w:p>
    <w:p w14:paraId="43CADED9" w14:textId="77777777" w:rsidR="00943926" w:rsidRPr="00F77BF1" w:rsidRDefault="00943926" w:rsidP="00F77BF1">
      <w:pPr>
        <w:numPr>
          <w:ilvl w:val="0"/>
          <w:numId w:val="198"/>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ceiling limitations (ATC, weather and envelope temperature);</w:t>
      </w:r>
    </w:p>
    <w:p w14:paraId="58D416CD" w14:textId="77777777" w:rsidR="00943926" w:rsidRPr="00F77BF1" w:rsidRDefault="00943926" w:rsidP="00F77BF1">
      <w:pPr>
        <w:numPr>
          <w:ilvl w:val="0"/>
          <w:numId w:val="198"/>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planning ahead;</w:t>
      </w:r>
    </w:p>
    <w:p w14:paraId="5B7BACDC" w14:textId="77777777" w:rsidR="00943926" w:rsidRPr="00F77BF1" w:rsidRDefault="00943926" w:rsidP="00F77BF1">
      <w:pPr>
        <w:numPr>
          <w:ilvl w:val="0"/>
          <w:numId w:val="198"/>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monitoring of weather development and acting so;</w:t>
      </w:r>
    </w:p>
    <w:p w14:paraId="32A34D76" w14:textId="77777777" w:rsidR="00943926" w:rsidRPr="00F77BF1" w:rsidRDefault="00943926" w:rsidP="00F77BF1">
      <w:pPr>
        <w:numPr>
          <w:ilvl w:val="0"/>
          <w:numId w:val="198"/>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monitoring of fuel and envelope temperature or pressure;</w:t>
      </w:r>
    </w:p>
    <w:p w14:paraId="3DDF8408" w14:textId="77777777" w:rsidR="00943926" w:rsidRPr="00F77BF1" w:rsidRDefault="00943926" w:rsidP="00F77BF1">
      <w:pPr>
        <w:numPr>
          <w:ilvl w:val="0"/>
          <w:numId w:val="198"/>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ATC liaison (if applicable);</w:t>
      </w:r>
    </w:p>
    <w:p w14:paraId="42D8EA6B" w14:textId="77777777" w:rsidR="00943926" w:rsidRPr="00F77BF1" w:rsidRDefault="00943926" w:rsidP="00F77BF1">
      <w:pPr>
        <w:numPr>
          <w:ilvl w:val="0"/>
          <w:numId w:val="198"/>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communication with ground crew; and</w:t>
      </w:r>
    </w:p>
    <w:p w14:paraId="16A5D79A" w14:textId="77777777" w:rsidR="00943926" w:rsidRPr="00F77BF1" w:rsidRDefault="00943926" w:rsidP="00F77BF1">
      <w:pPr>
        <w:numPr>
          <w:ilvl w:val="0"/>
          <w:numId w:val="198"/>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use of GNSS (if applicable).</w:t>
      </w:r>
    </w:p>
    <w:p w14:paraId="734CE26B" w14:textId="77777777" w:rsidR="00E62284" w:rsidRPr="00F77BF1" w:rsidRDefault="00E62284" w:rsidP="00F77BF1">
      <w:pPr>
        <w:spacing w:line="276" w:lineRule="auto"/>
        <w:ind w:left="1842"/>
        <w:jc w:val="both"/>
        <w:rPr>
          <w:rFonts w:ascii="Arial" w:eastAsia="Times New Roman" w:hAnsi="Arial" w:cs="Arial"/>
          <w:sz w:val="20"/>
          <w:szCs w:val="20"/>
        </w:rPr>
      </w:pPr>
    </w:p>
    <w:p w14:paraId="67971AE7" w14:textId="77777777" w:rsidR="00943926" w:rsidRPr="00F77BF1" w:rsidRDefault="00943926" w:rsidP="00F77BF1">
      <w:pPr>
        <w:spacing w:line="276" w:lineRule="auto"/>
        <w:jc w:val="both"/>
        <w:rPr>
          <w:rFonts w:ascii="Arial" w:eastAsia="Times New Roman" w:hAnsi="Arial" w:cs="Arial"/>
          <w:b/>
          <w:bCs/>
          <w:sz w:val="20"/>
          <w:szCs w:val="20"/>
        </w:rPr>
      </w:pPr>
      <w:r w:rsidRPr="00F77BF1">
        <w:rPr>
          <w:rFonts w:ascii="Arial" w:eastAsia="Times New Roman" w:hAnsi="Arial" w:cs="Arial"/>
          <w:b/>
          <w:bCs/>
          <w:sz w:val="20"/>
          <w:szCs w:val="20"/>
        </w:rPr>
        <w:t>Exercise 14: Fuel management</w:t>
      </w:r>
    </w:p>
    <w:p w14:paraId="2AF00FD2" w14:textId="77777777" w:rsidR="00943926" w:rsidRPr="00F77BF1" w:rsidRDefault="00943926" w:rsidP="00F77BF1">
      <w:pPr>
        <w:numPr>
          <w:ilvl w:val="0"/>
          <w:numId w:val="197"/>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engine arrangement and tank system;</w:t>
      </w:r>
    </w:p>
    <w:p w14:paraId="569BC773" w14:textId="77777777" w:rsidR="00943926" w:rsidRPr="00F77BF1" w:rsidRDefault="00943926" w:rsidP="00F77BF1">
      <w:pPr>
        <w:numPr>
          <w:ilvl w:val="0"/>
          <w:numId w:val="197"/>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cylinder arrangement and burner systems;</w:t>
      </w:r>
    </w:p>
    <w:p w14:paraId="313F70A7" w14:textId="77777777" w:rsidR="00943926" w:rsidRPr="00F77BF1" w:rsidRDefault="00943926" w:rsidP="00F77BF1">
      <w:pPr>
        <w:numPr>
          <w:ilvl w:val="0"/>
          <w:numId w:val="197"/>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pilot light supply (vapour or liquid);</w:t>
      </w:r>
    </w:p>
    <w:p w14:paraId="69D18364" w14:textId="77777777" w:rsidR="00943926" w:rsidRPr="00F77BF1" w:rsidRDefault="00943926" w:rsidP="00F77BF1">
      <w:pPr>
        <w:numPr>
          <w:ilvl w:val="0"/>
          <w:numId w:val="197"/>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fuel requirement and expected fuel consumption for engine and burner;</w:t>
      </w:r>
    </w:p>
    <w:p w14:paraId="25AA9388" w14:textId="77777777" w:rsidR="00943926" w:rsidRPr="00F77BF1" w:rsidRDefault="00943926" w:rsidP="00F77BF1">
      <w:pPr>
        <w:numPr>
          <w:ilvl w:val="0"/>
          <w:numId w:val="197"/>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fuel state and pressure;</w:t>
      </w:r>
    </w:p>
    <w:p w14:paraId="1BEA9A15" w14:textId="77777777" w:rsidR="00943926" w:rsidRPr="00F77BF1" w:rsidRDefault="00943926" w:rsidP="00F77BF1">
      <w:pPr>
        <w:numPr>
          <w:ilvl w:val="0"/>
          <w:numId w:val="197"/>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fuel reserves; and</w:t>
      </w:r>
    </w:p>
    <w:p w14:paraId="1225CAA8" w14:textId="77777777" w:rsidR="00943926" w:rsidRPr="00F77BF1" w:rsidRDefault="00943926" w:rsidP="00F77BF1">
      <w:pPr>
        <w:numPr>
          <w:ilvl w:val="0"/>
          <w:numId w:val="197"/>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cylinder and petrol tank contents gauge.</w:t>
      </w:r>
    </w:p>
    <w:p w14:paraId="4EDC5D41" w14:textId="77777777" w:rsidR="00943926" w:rsidRPr="00F77BF1" w:rsidRDefault="00943926" w:rsidP="00F77BF1">
      <w:pPr>
        <w:spacing w:line="276" w:lineRule="auto"/>
        <w:jc w:val="both"/>
        <w:rPr>
          <w:rFonts w:ascii="Arial" w:eastAsia="Times New Roman" w:hAnsi="Arial" w:cs="Arial"/>
          <w:sz w:val="20"/>
          <w:szCs w:val="20"/>
        </w:rPr>
      </w:pPr>
    </w:p>
    <w:p w14:paraId="76F278BA" w14:textId="77777777" w:rsidR="00943926" w:rsidRPr="00F77BF1" w:rsidRDefault="00943926" w:rsidP="00F77BF1">
      <w:pPr>
        <w:spacing w:line="276" w:lineRule="auto"/>
        <w:jc w:val="both"/>
        <w:rPr>
          <w:rFonts w:ascii="Arial" w:eastAsia="Times New Roman" w:hAnsi="Arial" w:cs="Arial"/>
          <w:b/>
          <w:bCs/>
          <w:sz w:val="20"/>
          <w:szCs w:val="20"/>
        </w:rPr>
      </w:pPr>
      <w:r w:rsidRPr="00F77BF1">
        <w:rPr>
          <w:rFonts w:ascii="Arial" w:eastAsia="Times New Roman" w:hAnsi="Arial" w:cs="Arial"/>
          <w:b/>
          <w:bCs/>
          <w:sz w:val="20"/>
          <w:szCs w:val="20"/>
        </w:rPr>
        <w:t>Exercise 15: Approach and go-around</w:t>
      </w:r>
    </w:p>
    <w:p w14:paraId="4F0E69E9" w14:textId="77777777" w:rsidR="00943926" w:rsidRPr="00F77BF1" w:rsidRDefault="00943926" w:rsidP="00F77BF1">
      <w:pPr>
        <w:numPr>
          <w:ilvl w:val="0"/>
          <w:numId w:val="196"/>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pre-landing checks;</w:t>
      </w:r>
    </w:p>
    <w:p w14:paraId="7701F0AC" w14:textId="77777777" w:rsidR="00943926" w:rsidRPr="00F77BF1" w:rsidRDefault="00943926" w:rsidP="00F77BF1">
      <w:pPr>
        <w:numPr>
          <w:ilvl w:val="0"/>
          <w:numId w:val="196"/>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selection of field into wind;</w:t>
      </w:r>
    </w:p>
    <w:p w14:paraId="207AFF4E" w14:textId="77777777" w:rsidR="00943926" w:rsidRPr="00F77BF1" w:rsidRDefault="00943926" w:rsidP="00F77BF1">
      <w:pPr>
        <w:numPr>
          <w:ilvl w:val="0"/>
          <w:numId w:val="196"/>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use of burner and engine;</w:t>
      </w:r>
    </w:p>
    <w:p w14:paraId="29A120E3" w14:textId="77777777" w:rsidR="00943926" w:rsidRPr="00F77BF1" w:rsidRDefault="00943926" w:rsidP="00F77BF1">
      <w:pPr>
        <w:numPr>
          <w:ilvl w:val="0"/>
          <w:numId w:val="196"/>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look-out procedures; and</w:t>
      </w:r>
    </w:p>
    <w:p w14:paraId="25777E3B" w14:textId="77777777" w:rsidR="00943926" w:rsidRPr="00F77BF1" w:rsidRDefault="00943926" w:rsidP="00F77BF1">
      <w:pPr>
        <w:numPr>
          <w:ilvl w:val="0"/>
          <w:numId w:val="196"/>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missed approach and go-around.</w:t>
      </w:r>
    </w:p>
    <w:p w14:paraId="74326822" w14:textId="77777777" w:rsidR="00943926" w:rsidRPr="00F77BF1" w:rsidRDefault="00943926" w:rsidP="00F77BF1">
      <w:pPr>
        <w:spacing w:line="276" w:lineRule="auto"/>
        <w:jc w:val="both"/>
        <w:rPr>
          <w:rFonts w:ascii="Arial" w:eastAsia="Times New Roman" w:hAnsi="Arial" w:cs="Arial"/>
          <w:sz w:val="20"/>
          <w:szCs w:val="20"/>
        </w:rPr>
      </w:pPr>
    </w:p>
    <w:p w14:paraId="4CD1E43A" w14:textId="77777777" w:rsidR="00943926" w:rsidRPr="00F77BF1" w:rsidRDefault="00943926" w:rsidP="00F77BF1">
      <w:pPr>
        <w:spacing w:line="276" w:lineRule="auto"/>
        <w:jc w:val="both"/>
        <w:rPr>
          <w:rFonts w:ascii="Arial" w:eastAsia="Times New Roman" w:hAnsi="Arial" w:cs="Arial"/>
          <w:b/>
          <w:bCs/>
          <w:sz w:val="20"/>
          <w:szCs w:val="20"/>
        </w:rPr>
      </w:pPr>
      <w:r w:rsidRPr="00F77BF1">
        <w:rPr>
          <w:rFonts w:ascii="Arial" w:eastAsia="Times New Roman" w:hAnsi="Arial" w:cs="Arial"/>
          <w:b/>
          <w:bCs/>
          <w:sz w:val="20"/>
          <w:szCs w:val="20"/>
        </w:rPr>
        <w:t>Exercise 16: Approach with simulated engine failure</w:t>
      </w:r>
    </w:p>
    <w:p w14:paraId="2B2D52EC" w14:textId="77777777" w:rsidR="00943926" w:rsidRPr="00F77BF1" w:rsidRDefault="00943926" w:rsidP="00F77BF1">
      <w:pPr>
        <w:numPr>
          <w:ilvl w:val="0"/>
          <w:numId w:val="195"/>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pre-landing checks;</w:t>
      </w:r>
    </w:p>
    <w:p w14:paraId="04D2F703" w14:textId="77777777" w:rsidR="00943926" w:rsidRPr="00F77BF1" w:rsidRDefault="00943926" w:rsidP="00F77BF1">
      <w:pPr>
        <w:numPr>
          <w:ilvl w:val="0"/>
          <w:numId w:val="195"/>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selection of field;</w:t>
      </w:r>
    </w:p>
    <w:p w14:paraId="2C5AE850" w14:textId="77777777" w:rsidR="00943926" w:rsidRPr="00F77BF1" w:rsidRDefault="00943926" w:rsidP="00F77BF1">
      <w:pPr>
        <w:numPr>
          <w:ilvl w:val="0"/>
          <w:numId w:val="195"/>
        </w:numPr>
        <w:spacing w:line="276" w:lineRule="auto"/>
        <w:jc w:val="both"/>
        <w:rPr>
          <w:rFonts w:ascii="Arial" w:eastAsia="Times New Roman" w:hAnsi="Arial" w:cs="Arial"/>
          <w:sz w:val="20"/>
          <w:szCs w:val="20"/>
        </w:rPr>
      </w:pPr>
      <w:r w:rsidRPr="00F77BF1">
        <w:rPr>
          <w:rFonts w:ascii="Arial" w:eastAsia="Times New Roman" w:hAnsi="Arial" w:cs="Arial"/>
          <w:sz w:val="20"/>
          <w:szCs w:val="20"/>
        </w:rPr>
        <w:lastRenderedPageBreak/>
        <w:t>use of burner;</w:t>
      </w:r>
    </w:p>
    <w:p w14:paraId="368EFDB6" w14:textId="77777777" w:rsidR="00943926" w:rsidRPr="00F77BF1" w:rsidRDefault="00943926" w:rsidP="00F77BF1">
      <w:pPr>
        <w:numPr>
          <w:ilvl w:val="0"/>
          <w:numId w:val="195"/>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look-out procedures; and</w:t>
      </w:r>
    </w:p>
    <w:p w14:paraId="26A7EEE2" w14:textId="77777777" w:rsidR="00943926" w:rsidRPr="00F77BF1" w:rsidRDefault="00943926" w:rsidP="00F77BF1">
      <w:pPr>
        <w:numPr>
          <w:ilvl w:val="0"/>
          <w:numId w:val="195"/>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missed approach and go-around.</w:t>
      </w:r>
    </w:p>
    <w:p w14:paraId="13841DAF" w14:textId="77777777" w:rsidR="00E62284" w:rsidRPr="00F77BF1" w:rsidRDefault="00E62284" w:rsidP="00F77BF1">
      <w:pPr>
        <w:spacing w:line="276" w:lineRule="auto"/>
        <w:ind w:left="1842"/>
        <w:jc w:val="both"/>
        <w:rPr>
          <w:rFonts w:ascii="Arial" w:eastAsia="Times New Roman" w:hAnsi="Arial" w:cs="Arial"/>
          <w:sz w:val="20"/>
          <w:szCs w:val="20"/>
        </w:rPr>
      </w:pPr>
    </w:p>
    <w:p w14:paraId="4E738449" w14:textId="77777777" w:rsidR="00943926" w:rsidRPr="00F77BF1" w:rsidRDefault="00943926" w:rsidP="00F77BF1">
      <w:pPr>
        <w:spacing w:line="276" w:lineRule="auto"/>
        <w:jc w:val="both"/>
        <w:rPr>
          <w:rFonts w:ascii="Arial" w:eastAsia="Times New Roman" w:hAnsi="Arial" w:cs="Arial"/>
          <w:b/>
          <w:bCs/>
          <w:sz w:val="20"/>
          <w:szCs w:val="20"/>
        </w:rPr>
      </w:pPr>
      <w:r w:rsidRPr="00F77BF1">
        <w:rPr>
          <w:rFonts w:ascii="Arial" w:eastAsia="Times New Roman" w:hAnsi="Arial" w:cs="Arial"/>
          <w:b/>
          <w:bCs/>
          <w:sz w:val="20"/>
          <w:szCs w:val="20"/>
        </w:rPr>
        <w:t>Exercise 17: Operating at low level</w:t>
      </w:r>
    </w:p>
    <w:p w14:paraId="40A6C9D3" w14:textId="77777777" w:rsidR="00943926" w:rsidRPr="00F77BF1" w:rsidRDefault="00943926" w:rsidP="00F77BF1">
      <w:pPr>
        <w:numPr>
          <w:ilvl w:val="0"/>
          <w:numId w:val="200"/>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use of burner and engine;</w:t>
      </w:r>
    </w:p>
    <w:p w14:paraId="59996D4E" w14:textId="77777777" w:rsidR="00943926" w:rsidRPr="00F77BF1" w:rsidRDefault="00943926" w:rsidP="00F77BF1">
      <w:pPr>
        <w:numPr>
          <w:ilvl w:val="0"/>
          <w:numId w:val="200"/>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look-out procedures;</w:t>
      </w:r>
    </w:p>
    <w:p w14:paraId="6E033861" w14:textId="77777777" w:rsidR="00943926" w:rsidRPr="00F77BF1" w:rsidRDefault="00943926" w:rsidP="00F77BF1">
      <w:pPr>
        <w:numPr>
          <w:ilvl w:val="0"/>
          <w:numId w:val="200"/>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avoidance of low-level obstacles;</w:t>
      </w:r>
    </w:p>
    <w:p w14:paraId="0C96C26C" w14:textId="77777777" w:rsidR="00943926" w:rsidRPr="00F77BF1" w:rsidRDefault="00943926" w:rsidP="00F77BF1">
      <w:pPr>
        <w:numPr>
          <w:ilvl w:val="0"/>
          <w:numId w:val="200"/>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avoidance of sensitive areas and nature protection area;</w:t>
      </w:r>
    </w:p>
    <w:p w14:paraId="0EAD7357" w14:textId="77777777" w:rsidR="00943926" w:rsidRPr="00F77BF1" w:rsidRDefault="00943926" w:rsidP="00F77BF1">
      <w:pPr>
        <w:numPr>
          <w:ilvl w:val="0"/>
          <w:numId w:val="200"/>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landowner relations; and</w:t>
      </w:r>
    </w:p>
    <w:p w14:paraId="2F2E9CBC" w14:textId="77777777" w:rsidR="00943926" w:rsidRPr="00F77BF1" w:rsidRDefault="00943926" w:rsidP="00F77BF1">
      <w:pPr>
        <w:numPr>
          <w:ilvl w:val="0"/>
          <w:numId w:val="200"/>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noise abatement procedures.</w:t>
      </w:r>
    </w:p>
    <w:p w14:paraId="2A3FA0C1" w14:textId="77777777" w:rsidR="00943926" w:rsidRPr="00F77BF1" w:rsidRDefault="00943926" w:rsidP="00F77BF1">
      <w:pPr>
        <w:spacing w:line="276" w:lineRule="auto"/>
        <w:jc w:val="both"/>
        <w:rPr>
          <w:rFonts w:ascii="Arial" w:eastAsia="Times New Roman" w:hAnsi="Arial" w:cs="Arial"/>
          <w:sz w:val="20"/>
          <w:szCs w:val="20"/>
        </w:rPr>
      </w:pPr>
    </w:p>
    <w:p w14:paraId="6606D863" w14:textId="77777777" w:rsidR="00943926" w:rsidRPr="00F77BF1" w:rsidRDefault="00943926" w:rsidP="00F77BF1">
      <w:pPr>
        <w:spacing w:line="276" w:lineRule="auto"/>
        <w:jc w:val="both"/>
        <w:rPr>
          <w:rFonts w:ascii="Arial" w:eastAsia="Times New Roman" w:hAnsi="Arial" w:cs="Arial"/>
          <w:b/>
          <w:bCs/>
          <w:sz w:val="20"/>
          <w:szCs w:val="20"/>
        </w:rPr>
      </w:pPr>
      <w:r w:rsidRPr="00F77BF1">
        <w:rPr>
          <w:rFonts w:ascii="Arial" w:eastAsia="Times New Roman" w:hAnsi="Arial" w:cs="Arial"/>
          <w:b/>
          <w:bCs/>
          <w:sz w:val="20"/>
          <w:szCs w:val="20"/>
        </w:rPr>
        <w:t>Exercise 18: Steering</w:t>
      </w:r>
    </w:p>
    <w:p w14:paraId="2FA84AB9" w14:textId="77777777" w:rsidR="00943926" w:rsidRPr="00F77BF1" w:rsidRDefault="00943926" w:rsidP="00F77BF1">
      <w:pPr>
        <w:numPr>
          <w:ilvl w:val="0"/>
          <w:numId w:val="201"/>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assessment of wind; and</w:t>
      </w:r>
    </w:p>
    <w:p w14:paraId="66475F3D" w14:textId="77777777" w:rsidR="00943926" w:rsidRPr="00F77BF1" w:rsidRDefault="00943926" w:rsidP="00F77BF1">
      <w:pPr>
        <w:numPr>
          <w:ilvl w:val="0"/>
          <w:numId w:val="201"/>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correcting for wind to steer a given course.</w:t>
      </w:r>
    </w:p>
    <w:p w14:paraId="5B1DA4AA" w14:textId="77777777" w:rsidR="00943926" w:rsidRPr="00F77BF1" w:rsidRDefault="00943926" w:rsidP="00F77BF1">
      <w:pPr>
        <w:spacing w:line="276" w:lineRule="auto"/>
        <w:jc w:val="both"/>
        <w:rPr>
          <w:rFonts w:ascii="Arial" w:eastAsia="Times New Roman" w:hAnsi="Arial" w:cs="Arial"/>
          <w:sz w:val="20"/>
          <w:szCs w:val="20"/>
        </w:rPr>
      </w:pPr>
    </w:p>
    <w:p w14:paraId="1B42F11E" w14:textId="77777777" w:rsidR="00943926" w:rsidRPr="00F77BF1" w:rsidRDefault="00943926" w:rsidP="00F77BF1">
      <w:pPr>
        <w:spacing w:line="276" w:lineRule="auto"/>
        <w:jc w:val="both"/>
        <w:rPr>
          <w:rFonts w:ascii="Arial" w:eastAsia="Times New Roman" w:hAnsi="Arial" w:cs="Arial"/>
          <w:b/>
          <w:bCs/>
          <w:sz w:val="20"/>
          <w:szCs w:val="20"/>
        </w:rPr>
      </w:pPr>
      <w:r w:rsidRPr="00F77BF1">
        <w:rPr>
          <w:rFonts w:ascii="Arial" w:eastAsia="Times New Roman" w:hAnsi="Arial" w:cs="Arial"/>
          <w:b/>
          <w:bCs/>
          <w:sz w:val="20"/>
          <w:szCs w:val="20"/>
        </w:rPr>
        <w:t>Exercise 19: Final landing</w:t>
      </w:r>
    </w:p>
    <w:p w14:paraId="7228B9D4" w14:textId="77777777" w:rsidR="00943926" w:rsidRPr="00F77BF1" w:rsidRDefault="00943926" w:rsidP="00F77BF1">
      <w:pPr>
        <w:numPr>
          <w:ilvl w:val="0"/>
          <w:numId w:val="199"/>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pre-landing checks;</w:t>
      </w:r>
    </w:p>
    <w:p w14:paraId="1F6DE11F" w14:textId="77777777" w:rsidR="00943926" w:rsidRPr="00F77BF1" w:rsidRDefault="00943926" w:rsidP="00F77BF1">
      <w:pPr>
        <w:numPr>
          <w:ilvl w:val="0"/>
          <w:numId w:val="199"/>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use of burner and engine;</w:t>
      </w:r>
    </w:p>
    <w:p w14:paraId="55621357" w14:textId="77777777" w:rsidR="00943926" w:rsidRPr="00F77BF1" w:rsidRDefault="00943926" w:rsidP="00F77BF1">
      <w:pPr>
        <w:numPr>
          <w:ilvl w:val="0"/>
          <w:numId w:val="199"/>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look-out;</w:t>
      </w:r>
    </w:p>
    <w:p w14:paraId="2E8CC979" w14:textId="77777777" w:rsidR="00943926" w:rsidRPr="00F77BF1" w:rsidRDefault="00943926" w:rsidP="00F77BF1">
      <w:pPr>
        <w:numPr>
          <w:ilvl w:val="0"/>
          <w:numId w:val="199"/>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deflation; and</w:t>
      </w:r>
    </w:p>
    <w:p w14:paraId="6A19EAC4" w14:textId="77777777" w:rsidR="00943926" w:rsidRPr="00F77BF1" w:rsidRDefault="00943926" w:rsidP="00F77BF1">
      <w:pPr>
        <w:numPr>
          <w:ilvl w:val="0"/>
          <w:numId w:val="199"/>
        </w:numPr>
        <w:spacing w:line="276" w:lineRule="auto"/>
        <w:jc w:val="both"/>
        <w:rPr>
          <w:rFonts w:ascii="Arial" w:eastAsia="Times New Roman" w:hAnsi="Arial" w:cs="Arial"/>
          <w:sz w:val="20"/>
          <w:szCs w:val="20"/>
        </w:rPr>
      </w:pPr>
      <w:r w:rsidRPr="00F77BF1">
        <w:rPr>
          <w:rFonts w:ascii="Arial" w:eastAsia="Times New Roman" w:hAnsi="Arial" w:cs="Arial"/>
          <w:sz w:val="20"/>
          <w:szCs w:val="20"/>
        </w:rPr>
        <w:t>landowner relations.</w:t>
      </w:r>
    </w:p>
    <w:p w14:paraId="7F5049CD" w14:textId="77777777" w:rsidR="004014DC" w:rsidRPr="004014DC" w:rsidRDefault="004014DC" w:rsidP="004014DC">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638" w:name="AMC2_BFCL.150(c)(1)__BPL_–_Extension_of_"/>
      <w:bookmarkStart w:id="639" w:name="_bookmark256"/>
      <w:bookmarkStart w:id="640" w:name="_Toc153137421"/>
      <w:bookmarkEnd w:id="638"/>
      <w:bookmarkEnd w:id="639"/>
      <w:r>
        <w:rPr>
          <w:rFonts w:ascii="Arial" w:eastAsia="Times New Roman" w:hAnsi="Arial" w:cs="Times New Roman"/>
          <w:b/>
          <w:color w:val="FFFFFF"/>
          <w:sz w:val="24"/>
        </w:rPr>
        <w:t>AM</w:t>
      </w:r>
      <w:r w:rsidRPr="004014DC">
        <w:rPr>
          <w:rFonts w:ascii="Arial" w:eastAsia="Times New Roman" w:hAnsi="Arial" w:cs="Times New Roman"/>
          <w:b/>
          <w:color w:val="FFFFFF"/>
          <w:sz w:val="24"/>
        </w:rPr>
        <w:t>C2 BFCL.150(c)(1) BPL – Extension of privileges to another balloon class or group</w:t>
      </w:r>
      <w:bookmarkEnd w:id="640"/>
    </w:p>
    <w:p w14:paraId="462C2D31" w14:textId="77777777" w:rsidR="004014DC" w:rsidRPr="004014DC" w:rsidRDefault="004014DC" w:rsidP="004014DC">
      <w:pPr>
        <w:widowControl/>
        <w:autoSpaceDE/>
        <w:autoSpaceDN/>
        <w:spacing w:before="240" w:after="160" w:line="264" w:lineRule="auto"/>
        <w:jc w:val="both"/>
        <w:rPr>
          <w:rFonts w:ascii="Arial" w:eastAsiaTheme="minorHAnsi" w:hAnsi="Arial" w:cs="Arial"/>
          <w:b/>
          <w:bCs/>
          <w:sz w:val="20"/>
          <w:szCs w:val="20"/>
        </w:rPr>
      </w:pPr>
      <w:r w:rsidRPr="004014DC">
        <w:rPr>
          <w:rFonts w:ascii="Arial" w:eastAsiaTheme="minorHAnsi" w:hAnsi="Arial" w:cs="Arial"/>
          <w:b/>
          <w:bCs/>
          <w:sz w:val="20"/>
          <w:szCs w:val="20"/>
        </w:rPr>
        <w:t>FLIGHT INSTRUCTION FOR THE EXTENSION OF PRIVILEGES TO THE GAS BALLOON CLASS</w:t>
      </w:r>
    </w:p>
    <w:p w14:paraId="27CE840C" w14:textId="77777777" w:rsidR="004014DC" w:rsidRPr="004014DC" w:rsidRDefault="004014DC" w:rsidP="00F77BF1">
      <w:pPr>
        <w:numPr>
          <w:ilvl w:val="0"/>
          <w:numId w:val="202"/>
        </w:numPr>
        <w:spacing w:line="276" w:lineRule="auto"/>
        <w:jc w:val="both"/>
        <w:rPr>
          <w:rFonts w:ascii="Arial" w:eastAsia="Times New Roman" w:hAnsi="Arial" w:cs="Times New Roman"/>
          <w:sz w:val="20"/>
        </w:rPr>
      </w:pPr>
      <w:r w:rsidRPr="004014DC">
        <w:rPr>
          <w:rFonts w:ascii="Arial" w:eastAsia="Times New Roman" w:hAnsi="Arial" w:cs="Times New Roman"/>
          <w:sz w:val="20"/>
        </w:rPr>
        <w:t>The flight instruction for extending the privileges of a BPL to gas balloon privileges should follow the syllabus for initial BPL training on gas balloons, as set out in point (d) of AMC2 BFCL.130.</w:t>
      </w:r>
    </w:p>
    <w:p w14:paraId="38AC92A2" w14:textId="77777777" w:rsidR="00943926" w:rsidRPr="004014DC" w:rsidRDefault="004014DC" w:rsidP="00F77BF1">
      <w:pPr>
        <w:numPr>
          <w:ilvl w:val="0"/>
          <w:numId w:val="202"/>
        </w:numPr>
        <w:spacing w:line="276" w:lineRule="auto"/>
        <w:jc w:val="both"/>
        <w:rPr>
          <w:rFonts w:ascii="Arial" w:eastAsia="Times New Roman" w:hAnsi="Arial" w:cs="Times New Roman"/>
          <w:sz w:val="20"/>
        </w:rPr>
      </w:pPr>
      <w:r w:rsidRPr="004014DC">
        <w:rPr>
          <w:rFonts w:ascii="Arial" w:eastAsia="Times New Roman" w:hAnsi="Arial" w:cs="Times New Roman"/>
          <w:sz w:val="20"/>
        </w:rPr>
        <w:t>Specific emphasis should be given to handling differences, related to class privileges held, and specific safety requirements for gas balloons.</w:t>
      </w:r>
    </w:p>
    <w:p w14:paraId="4F821543" w14:textId="77777777" w:rsidR="004014DC" w:rsidRPr="004014DC" w:rsidRDefault="004014DC" w:rsidP="004014DC">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641" w:name="AMC3_BFCL.150(c)(1)__BPL_–_Extension_of_"/>
      <w:bookmarkStart w:id="642" w:name="_bookmark257"/>
      <w:bookmarkStart w:id="643" w:name="_Toc153137422"/>
      <w:bookmarkEnd w:id="641"/>
      <w:bookmarkEnd w:id="642"/>
      <w:r w:rsidRPr="004014DC">
        <w:rPr>
          <w:rFonts w:ascii="Arial" w:eastAsia="Times New Roman" w:hAnsi="Arial" w:cs="Times New Roman"/>
          <w:b/>
          <w:color w:val="FFFFFF"/>
          <w:sz w:val="24"/>
        </w:rPr>
        <w:t>AMC3 BFCL.150(c)(1) BPL – Extension of privileges to another balloon class or group</w:t>
      </w:r>
      <w:bookmarkEnd w:id="643"/>
    </w:p>
    <w:p w14:paraId="4C767EF6" w14:textId="77777777" w:rsidR="004014DC" w:rsidRPr="004014DC" w:rsidRDefault="004014DC" w:rsidP="004014DC">
      <w:pPr>
        <w:widowControl/>
        <w:autoSpaceDE/>
        <w:autoSpaceDN/>
        <w:spacing w:before="240" w:after="160" w:line="264" w:lineRule="auto"/>
        <w:jc w:val="both"/>
        <w:rPr>
          <w:rFonts w:ascii="Arial" w:eastAsiaTheme="minorHAnsi" w:hAnsi="Arial" w:cs="Arial"/>
          <w:b/>
          <w:bCs/>
          <w:sz w:val="20"/>
          <w:szCs w:val="20"/>
        </w:rPr>
      </w:pPr>
      <w:r w:rsidRPr="004014DC">
        <w:rPr>
          <w:rFonts w:ascii="Arial" w:eastAsiaTheme="minorHAnsi" w:hAnsi="Arial" w:cs="Arial"/>
          <w:b/>
          <w:bCs/>
          <w:sz w:val="20"/>
          <w:szCs w:val="20"/>
        </w:rPr>
        <w:t>FLIGHT INSTRUCTION FOR THE EXTENSION OF PRIVILEGES TO THE HOT-AIR BALLOON CLASS</w:t>
      </w:r>
    </w:p>
    <w:p w14:paraId="78F1721D" w14:textId="77777777" w:rsidR="004014DC" w:rsidRPr="004014DC" w:rsidRDefault="004014DC" w:rsidP="00F77BF1">
      <w:pPr>
        <w:numPr>
          <w:ilvl w:val="0"/>
          <w:numId w:val="203"/>
        </w:numPr>
        <w:spacing w:line="276" w:lineRule="auto"/>
        <w:jc w:val="both"/>
        <w:rPr>
          <w:rFonts w:ascii="Arial" w:eastAsia="Times New Roman" w:hAnsi="Arial" w:cs="Times New Roman"/>
          <w:sz w:val="20"/>
        </w:rPr>
      </w:pPr>
      <w:r w:rsidRPr="004014DC">
        <w:rPr>
          <w:rFonts w:ascii="Arial" w:eastAsia="Times New Roman" w:hAnsi="Arial" w:cs="Times New Roman"/>
          <w:sz w:val="20"/>
        </w:rPr>
        <w:t>The flight instruction for extending the privileges of a BPL to hot-air balloon privileges should follow the syllabus for initial BPL training on hot-air balloons, as set out in point (c) of AMC2 BFCL.130.</w:t>
      </w:r>
    </w:p>
    <w:p w14:paraId="675FBD52" w14:textId="666724D5" w:rsidR="004712D3" w:rsidRPr="00F77BF1" w:rsidRDefault="004014DC" w:rsidP="00F77BF1">
      <w:pPr>
        <w:numPr>
          <w:ilvl w:val="0"/>
          <w:numId w:val="203"/>
        </w:numPr>
        <w:spacing w:line="276" w:lineRule="auto"/>
        <w:jc w:val="both"/>
        <w:rPr>
          <w:rFonts w:ascii="Arial" w:eastAsia="Times New Roman" w:hAnsi="Arial" w:cs="Times New Roman"/>
          <w:sz w:val="20"/>
        </w:rPr>
      </w:pPr>
      <w:r w:rsidRPr="004014DC">
        <w:rPr>
          <w:rFonts w:ascii="Arial" w:eastAsia="Times New Roman" w:hAnsi="Arial" w:cs="Times New Roman"/>
          <w:sz w:val="20"/>
        </w:rPr>
        <w:t>Specific emphasis should be given to handling differences, related to class privileges held, and specific safety requirements for hot-air balloons.</w:t>
      </w:r>
    </w:p>
    <w:p w14:paraId="5EEEEA4C" w14:textId="77777777" w:rsidR="004712D3" w:rsidRPr="004712D3" w:rsidRDefault="004712D3" w:rsidP="004712D3">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644" w:name="AMC1_BFCL.150(c)(2)__BPL_–_Extension_of_"/>
      <w:bookmarkStart w:id="645" w:name="_bookmark258"/>
      <w:bookmarkStart w:id="646" w:name="_Toc153137423"/>
      <w:bookmarkEnd w:id="644"/>
      <w:bookmarkEnd w:id="645"/>
      <w:r w:rsidRPr="004712D3">
        <w:rPr>
          <w:rFonts w:ascii="Arial" w:eastAsia="Times New Roman" w:hAnsi="Arial" w:cs="Times New Roman"/>
          <w:b/>
          <w:color w:val="FFFFFF"/>
          <w:sz w:val="24"/>
        </w:rPr>
        <w:t>AMC1 BFCL.150(c)(2) BPL – Extension of privileges to another balloon class or group</w:t>
      </w:r>
      <w:bookmarkEnd w:id="646"/>
    </w:p>
    <w:p w14:paraId="0E9F5AF3" w14:textId="77777777" w:rsidR="004712D3" w:rsidRDefault="004712D3" w:rsidP="00943926">
      <w:pPr>
        <w:jc w:val="both"/>
        <w:rPr>
          <w:rFonts w:ascii="Arial" w:eastAsia="Times New Roman" w:hAnsi="Arial" w:cs="Times New Roman"/>
          <w:sz w:val="20"/>
        </w:rPr>
      </w:pPr>
    </w:p>
    <w:p w14:paraId="1270E0FD" w14:textId="77777777" w:rsidR="004712D3" w:rsidRPr="004712D3" w:rsidRDefault="004712D3" w:rsidP="00F77BF1">
      <w:pPr>
        <w:numPr>
          <w:ilvl w:val="0"/>
          <w:numId w:val="204"/>
        </w:numPr>
        <w:spacing w:line="276" w:lineRule="auto"/>
        <w:jc w:val="both"/>
        <w:rPr>
          <w:rFonts w:ascii="Arial" w:eastAsia="Times New Roman" w:hAnsi="Arial" w:cs="Times New Roman"/>
          <w:sz w:val="20"/>
          <w:szCs w:val="20"/>
        </w:rPr>
      </w:pPr>
      <w:r w:rsidRPr="004712D3">
        <w:rPr>
          <w:rFonts w:ascii="Arial" w:eastAsia="Times New Roman" w:hAnsi="Arial" w:cs="Times New Roman"/>
          <w:sz w:val="20"/>
          <w:szCs w:val="20"/>
        </w:rPr>
        <w:t>SKILL TEST FOR THE EXTENSION OF PRIVILEGES TO THE HOT-AIR AIRSHIP CLASS</w:t>
      </w:r>
    </w:p>
    <w:p w14:paraId="0F74130B" w14:textId="77777777" w:rsidR="004712D3" w:rsidRPr="004712D3" w:rsidRDefault="004712D3" w:rsidP="00F77BF1">
      <w:pPr>
        <w:pStyle w:val="ListParagraph"/>
        <w:numPr>
          <w:ilvl w:val="1"/>
          <w:numId w:val="204"/>
        </w:numPr>
        <w:tabs>
          <w:tab w:val="left" w:pos="1274"/>
        </w:tabs>
        <w:spacing w:line="276" w:lineRule="auto"/>
        <w:ind w:right="193"/>
        <w:jc w:val="both"/>
        <w:rPr>
          <w:rFonts w:ascii="Arial" w:hAnsi="Arial" w:cs="Arial"/>
          <w:sz w:val="20"/>
          <w:szCs w:val="20"/>
        </w:rPr>
      </w:pPr>
      <w:r w:rsidRPr="004712D3">
        <w:rPr>
          <w:rFonts w:ascii="Arial" w:hAnsi="Arial" w:cs="Arial"/>
          <w:sz w:val="20"/>
          <w:szCs w:val="20"/>
        </w:rPr>
        <w:t>The</w:t>
      </w:r>
      <w:r w:rsidRPr="004712D3">
        <w:rPr>
          <w:rFonts w:ascii="Arial" w:hAnsi="Arial" w:cs="Arial"/>
          <w:spacing w:val="1"/>
          <w:sz w:val="20"/>
          <w:szCs w:val="20"/>
        </w:rPr>
        <w:t xml:space="preserve"> </w:t>
      </w:r>
      <w:r w:rsidRPr="004712D3">
        <w:rPr>
          <w:rFonts w:ascii="Arial" w:hAnsi="Arial" w:cs="Arial"/>
          <w:sz w:val="20"/>
          <w:szCs w:val="20"/>
        </w:rPr>
        <w:t>take-off</w:t>
      </w:r>
      <w:r w:rsidRPr="004712D3">
        <w:rPr>
          <w:rFonts w:ascii="Arial" w:hAnsi="Arial" w:cs="Arial"/>
          <w:spacing w:val="1"/>
          <w:sz w:val="20"/>
          <w:szCs w:val="20"/>
        </w:rPr>
        <w:t xml:space="preserve"> </w:t>
      </w:r>
      <w:r w:rsidRPr="004712D3">
        <w:rPr>
          <w:rFonts w:ascii="Arial" w:hAnsi="Arial" w:cs="Arial"/>
          <w:sz w:val="20"/>
          <w:szCs w:val="20"/>
        </w:rPr>
        <w:t>site</w:t>
      </w:r>
      <w:r w:rsidRPr="004712D3">
        <w:rPr>
          <w:rFonts w:ascii="Arial" w:hAnsi="Arial" w:cs="Arial"/>
          <w:spacing w:val="1"/>
          <w:sz w:val="20"/>
          <w:szCs w:val="20"/>
        </w:rPr>
        <w:t xml:space="preserve"> </w:t>
      </w:r>
      <w:r w:rsidRPr="004712D3">
        <w:rPr>
          <w:rFonts w:ascii="Arial" w:hAnsi="Arial" w:cs="Arial"/>
          <w:sz w:val="20"/>
          <w:szCs w:val="20"/>
        </w:rPr>
        <w:t>should</w:t>
      </w:r>
      <w:r w:rsidRPr="004712D3">
        <w:rPr>
          <w:rFonts w:ascii="Arial" w:hAnsi="Arial" w:cs="Arial"/>
          <w:spacing w:val="1"/>
          <w:sz w:val="20"/>
          <w:szCs w:val="20"/>
        </w:rPr>
        <w:t xml:space="preserve"> </w:t>
      </w:r>
      <w:r w:rsidRPr="004712D3">
        <w:rPr>
          <w:rFonts w:ascii="Arial" w:hAnsi="Arial" w:cs="Arial"/>
          <w:sz w:val="20"/>
          <w:szCs w:val="20"/>
        </w:rPr>
        <w:t>be</w:t>
      </w:r>
      <w:r w:rsidRPr="004712D3">
        <w:rPr>
          <w:rFonts w:ascii="Arial" w:hAnsi="Arial" w:cs="Arial"/>
          <w:spacing w:val="1"/>
          <w:sz w:val="20"/>
          <w:szCs w:val="20"/>
        </w:rPr>
        <w:t xml:space="preserve"> </w:t>
      </w:r>
      <w:r w:rsidRPr="004712D3">
        <w:rPr>
          <w:rFonts w:ascii="Arial" w:hAnsi="Arial" w:cs="Arial"/>
          <w:sz w:val="20"/>
          <w:szCs w:val="20"/>
        </w:rPr>
        <w:t>chosen</w:t>
      </w:r>
      <w:r w:rsidRPr="004712D3">
        <w:rPr>
          <w:rFonts w:ascii="Arial" w:hAnsi="Arial" w:cs="Arial"/>
          <w:spacing w:val="1"/>
          <w:sz w:val="20"/>
          <w:szCs w:val="20"/>
        </w:rPr>
        <w:t xml:space="preserve"> </w:t>
      </w:r>
      <w:r w:rsidRPr="004712D3">
        <w:rPr>
          <w:rFonts w:ascii="Arial" w:hAnsi="Arial" w:cs="Arial"/>
          <w:sz w:val="20"/>
          <w:szCs w:val="20"/>
        </w:rPr>
        <w:t>by</w:t>
      </w:r>
      <w:r w:rsidRPr="004712D3">
        <w:rPr>
          <w:rFonts w:ascii="Arial" w:hAnsi="Arial" w:cs="Arial"/>
          <w:spacing w:val="1"/>
          <w:sz w:val="20"/>
          <w:szCs w:val="20"/>
        </w:rPr>
        <w:t xml:space="preserve"> </w:t>
      </w:r>
      <w:r w:rsidRPr="004712D3">
        <w:rPr>
          <w:rFonts w:ascii="Arial" w:hAnsi="Arial" w:cs="Arial"/>
          <w:sz w:val="20"/>
          <w:szCs w:val="20"/>
        </w:rPr>
        <w:t>the</w:t>
      </w:r>
      <w:r w:rsidRPr="004712D3">
        <w:rPr>
          <w:rFonts w:ascii="Arial" w:hAnsi="Arial" w:cs="Arial"/>
          <w:spacing w:val="1"/>
          <w:sz w:val="20"/>
          <w:szCs w:val="20"/>
        </w:rPr>
        <w:t xml:space="preserve"> </w:t>
      </w:r>
      <w:r w:rsidRPr="004712D3">
        <w:rPr>
          <w:rFonts w:ascii="Arial" w:hAnsi="Arial" w:cs="Arial"/>
          <w:sz w:val="20"/>
          <w:szCs w:val="20"/>
        </w:rPr>
        <w:t>applicant</w:t>
      </w:r>
      <w:r w:rsidRPr="004712D3">
        <w:rPr>
          <w:rFonts w:ascii="Arial" w:hAnsi="Arial" w:cs="Arial"/>
          <w:spacing w:val="1"/>
          <w:sz w:val="20"/>
          <w:szCs w:val="20"/>
        </w:rPr>
        <w:t xml:space="preserve"> </w:t>
      </w:r>
      <w:r w:rsidRPr="004712D3">
        <w:rPr>
          <w:rFonts w:ascii="Arial" w:hAnsi="Arial" w:cs="Arial"/>
          <w:sz w:val="20"/>
          <w:szCs w:val="20"/>
        </w:rPr>
        <w:t>depending</w:t>
      </w:r>
      <w:r w:rsidRPr="004712D3">
        <w:rPr>
          <w:rFonts w:ascii="Arial" w:hAnsi="Arial" w:cs="Arial"/>
          <w:spacing w:val="1"/>
          <w:sz w:val="20"/>
          <w:szCs w:val="20"/>
        </w:rPr>
        <w:t xml:space="preserve"> </w:t>
      </w:r>
      <w:r w:rsidRPr="004712D3">
        <w:rPr>
          <w:rFonts w:ascii="Arial" w:hAnsi="Arial" w:cs="Arial"/>
          <w:sz w:val="20"/>
          <w:szCs w:val="20"/>
        </w:rPr>
        <w:t>on</w:t>
      </w:r>
      <w:r w:rsidRPr="004712D3">
        <w:rPr>
          <w:rFonts w:ascii="Arial" w:hAnsi="Arial" w:cs="Arial"/>
          <w:spacing w:val="1"/>
          <w:sz w:val="20"/>
          <w:szCs w:val="20"/>
        </w:rPr>
        <w:t xml:space="preserve"> </w:t>
      </w:r>
      <w:r w:rsidRPr="004712D3">
        <w:rPr>
          <w:rFonts w:ascii="Arial" w:hAnsi="Arial" w:cs="Arial"/>
          <w:sz w:val="20"/>
          <w:szCs w:val="20"/>
        </w:rPr>
        <w:t>the</w:t>
      </w:r>
      <w:r w:rsidRPr="004712D3">
        <w:rPr>
          <w:rFonts w:ascii="Arial" w:hAnsi="Arial" w:cs="Arial"/>
          <w:spacing w:val="1"/>
          <w:sz w:val="20"/>
          <w:szCs w:val="20"/>
        </w:rPr>
        <w:t xml:space="preserve"> </w:t>
      </w:r>
      <w:r w:rsidRPr="004712D3">
        <w:rPr>
          <w:rFonts w:ascii="Arial" w:hAnsi="Arial" w:cs="Arial"/>
          <w:sz w:val="20"/>
          <w:szCs w:val="20"/>
        </w:rPr>
        <w:t>actual</w:t>
      </w:r>
      <w:r w:rsidRPr="004712D3">
        <w:rPr>
          <w:rFonts w:ascii="Arial" w:hAnsi="Arial" w:cs="Arial"/>
          <w:spacing w:val="1"/>
          <w:sz w:val="20"/>
          <w:szCs w:val="20"/>
        </w:rPr>
        <w:t xml:space="preserve"> </w:t>
      </w:r>
      <w:r w:rsidRPr="004712D3">
        <w:rPr>
          <w:rFonts w:ascii="Arial" w:hAnsi="Arial" w:cs="Arial"/>
          <w:sz w:val="20"/>
          <w:szCs w:val="20"/>
        </w:rPr>
        <w:t>meteorological conditions, the area which has to be overflown, and the possible options</w:t>
      </w:r>
      <w:r w:rsidRPr="004712D3">
        <w:rPr>
          <w:rFonts w:ascii="Arial" w:hAnsi="Arial" w:cs="Arial"/>
          <w:spacing w:val="-47"/>
          <w:sz w:val="20"/>
          <w:szCs w:val="20"/>
        </w:rPr>
        <w:t xml:space="preserve"> </w:t>
      </w:r>
      <w:r w:rsidRPr="004712D3">
        <w:rPr>
          <w:rFonts w:ascii="Arial" w:hAnsi="Arial" w:cs="Arial"/>
          <w:sz w:val="20"/>
          <w:szCs w:val="20"/>
        </w:rPr>
        <w:t>for suitable landing sites. The applicant should be responsible for the flight planning and</w:t>
      </w:r>
      <w:r w:rsidRPr="004712D3">
        <w:rPr>
          <w:rFonts w:ascii="Arial" w:hAnsi="Arial" w:cs="Arial"/>
          <w:spacing w:val="-47"/>
          <w:sz w:val="20"/>
          <w:szCs w:val="20"/>
        </w:rPr>
        <w:t xml:space="preserve"> </w:t>
      </w:r>
      <w:r w:rsidRPr="004712D3">
        <w:rPr>
          <w:rFonts w:ascii="Arial" w:hAnsi="Arial" w:cs="Arial"/>
          <w:sz w:val="20"/>
          <w:szCs w:val="20"/>
        </w:rPr>
        <w:t>should ensure that all equipment and documentation for the execution of the flight are</w:t>
      </w:r>
      <w:r w:rsidRPr="004712D3">
        <w:rPr>
          <w:rFonts w:ascii="Arial" w:hAnsi="Arial" w:cs="Arial"/>
          <w:spacing w:val="1"/>
          <w:sz w:val="20"/>
          <w:szCs w:val="20"/>
        </w:rPr>
        <w:t xml:space="preserve"> </w:t>
      </w:r>
      <w:r w:rsidRPr="004712D3">
        <w:rPr>
          <w:rFonts w:ascii="Arial" w:hAnsi="Arial" w:cs="Arial"/>
          <w:sz w:val="20"/>
          <w:szCs w:val="20"/>
        </w:rPr>
        <w:t>on</w:t>
      </w:r>
      <w:r w:rsidRPr="004712D3">
        <w:rPr>
          <w:rFonts w:ascii="Arial" w:hAnsi="Arial" w:cs="Arial"/>
          <w:spacing w:val="-1"/>
          <w:sz w:val="20"/>
          <w:szCs w:val="20"/>
        </w:rPr>
        <w:t xml:space="preserve"> </w:t>
      </w:r>
      <w:r w:rsidRPr="004712D3">
        <w:rPr>
          <w:rFonts w:ascii="Arial" w:hAnsi="Arial" w:cs="Arial"/>
          <w:sz w:val="20"/>
          <w:szCs w:val="20"/>
        </w:rPr>
        <w:t>board.</w:t>
      </w:r>
    </w:p>
    <w:p w14:paraId="730B4B42" w14:textId="77777777" w:rsidR="004712D3" w:rsidRPr="004712D3" w:rsidRDefault="004712D3" w:rsidP="00F77BF1">
      <w:pPr>
        <w:pStyle w:val="ListParagraph"/>
        <w:numPr>
          <w:ilvl w:val="1"/>
          <w:numId w:val="204"/>
        </w:numPr>
        <w:tabs>
          <w:tab w:val="left" w:pos="1274"/>
        </w:tabs>
        <w:spacing w:before="119" w:line="276" w:lineRule="auto"/>
        <w:ind w:right="197"/>
        <w:jc w:val="both"/>
        <w:rPr>
          <w:rFonts w:ascii="Arial" w:hAnsi="Arial" w:cs="Arial"/>
          <w:sz w:val="20"/>
          <w:szCs w:val="20"/>
        </w:rPr>
      </w:pPr>
      <w:r w:rsidRPr="004712D3">
        <w:rPr>
          <w:rFonts w:ascii="Arial" w:hAnsi="Arial" w:cs="Arial"/>
          <w:sz w:val="20"/>
          <w:szCs w:val="20"/>
        </w:rPr>
        <w:t>An applicant should indicate to the FE the checks and duties carried out. Checks should</w:t>
      </w:r>
      <w:r w:rsidRPr="004712D3">
        <w:rPr>
          <w:rFonts w:ascii="Arial" w:hAnsi="Arial" w:cs="Arial"/>
          <w:spacing w:val="1"/>
          <w:sz w:val="20"/>
          <w:szCs w:val="20"/>
        </w:rPr>
        <w:t xml:space="preserve"> </w:t>
      </w:r>
      <w:r w:rsidRPr="004712D3">
        <w:rPr>
          <w:rFonts w:ascii="Arial" w:hAnsi="Arial" w:cs="Arial"/>
          <w:sz w:val="20"/>
          <w:szCs w:val="20"/>
        </w:rPr>
        <w:t>be completed in accordance with the flight manual or the authorised checklist for the</w:t>
      </w:r>
      <w:r w:rsidRPr="004712D3">
        <w:rPr>
          <w:rFonts w:ascii="Arial" w:hAnsi="Arial" w:cs="Arial"/>
          <w:spacing w:val="1"/>
          <w:sz w:val="20"/>
          <w:szCs w:val="20"/>
        </w:rPr>
        <w:t xml:space="preserve"> </w:t>
      </w:r>
      <w:r w:rsidRPr="004712D3">
        <w:rPr>
          <w:rFonts w:ascii="Arial" w:hAnsi="Arial" w:cs="Arial"/>
          <w:sz w:val="20"/>
          <w:szCs w:val="20"/>
        </w:rPr>
        <w:lastRenderedPageBreak/>
        <w:t>balloon on which the test is being taken. During pre-flight preparation for the test, the</w:t>
      </w:r>
      <w:r w:rsidRPr="004712D3">
        <w:rPr>
          <w:rFonts w:ascii="Arial" w:hAnsi="Arial" w:cs="Arial"/>
          <w:spacing w:val="1"/>
          <w:sz w:val="20"/>
          <w:szCs w:val="20"/>
        </w:rPr>
        <w:t xml:space="preserve"> </w:t>
      </w:r>
      <w:r w:rsidRPr="004712D3">
        <w:rPr>
          <w:rFonts w:ascii="Arial" w:hAnsi="Arial" w:cs="Arial"/>
          <w:sz w:val="20"/>
          <w:szCs w:val="20"/>
        </w:rPr>
        <w:t>applicant should be required to perform crew and passenger briefings and demonstrate</w:t>
      </w:r>
      <w:r w:rsidRPr="004712D3">
        <w:rPr>
          <w:rFonts w:ascii="Arial" w:hAnsi="Arial" w:cs="Arial"/>
          <w:spacing w:val="1"/>
          <w:sz w:val="20"/>
          <w:szCs w:val="20"/>
        </w:rPr>
        <w:t xml:space="preserve"> </w:t>
      </w:r>
      <w:r w:rsidRPr="004712D3">
        <w:rPr>
          <w:rFonts w:ascii="Arial" w:hAnsi="Arial" w:cs="Arial"/>
          <w:sz w:val="20"/>
          <w:szCs w:val="20"/>
        </w:rPr>
        <w:t>crowd control. The load calculation should be performed by the applicant in compliance</w:t>
      </w:r>
      <w:r w:rsidRPr="004712D3">
        <w:rPr>
          <w:rFonts w:ascii="Arial" w:hAnsi="Arial" w:cs="Arial"/>
          <w:spacing w:val="-47"/>
          <w:sz w:val="20"/>
          <w:szCs w:val="20"/>
        </w:rPr>
        <w:t xml:space="preserve"> </w:t>
      </w:r>
      <w:r w:rsidRPr="004712D3">
        <w:rPr>
          <w:rFonts w:ascii="Arial" w:hAnsi="Arial" w:cs="Arial"/>
          <w:sz w:val="20"/>
          <w:szCs w:val="20"/>
        </w:rPr>
        <w:t>with</w:t>
      </w:r>
      <w:r w:rsidRPr="004712D3">
        <w:rPr>
          <w:rFonts w:ascii="Arial" w:hAnsi="Arial" w:cs="Arial"/>
          <w:spacing w:val="-1"/>
          <w:sz w:val="20"/>
          <w:szCs w:val="20"/>
        </w:rPr>
        <w:t xml:space="preserve"> </w:t>
      </w:r>
      <w:r w:rsidRPr="004712D3">
        <w:rPr>
          <w:rFonts w:ascii="Arial" w:hAnsi="Arial" w:cs="Arial"/>
          <w:sz w:val="20"/>
          <w:szCs w:val="20"/>
        </w:rPr>
        <w:t>the</w:t>
      </w:r>
      <w:r w:rsidRPr="004712D3">
        <w:rPr>
          <w:rFonts w:ascii="Arial" w:hAnsi="Arial" w:cs="Arial"/>
          <w:spacing w:val="-2"/>
          <w:sz w:val="20"/>
          <w:szCs w:val="20"/>
        </w:rPr>
        <w:t xml:space="preserve"> </w:t>
      </w:r>
      <w:r w:rsidRPr="004712D3">
        <w:rPr>
          <w:rFonts w:ascii="Arial" w:hAnsi="Arial" w:cs="Arial"/>
          <w:sz w:val="20"/>
          <w:szCs w:val="20"/>
        </w:rPr>
        <w:t>operations</w:t>
      </w:r>
      <w:r w:rsidRPr="004712D3">
        <w:rPr>
          <w:rFonts w:ascii="Arial" w:hAnsi="Arial" w:cs="Arial"/>
          <w:spacing w:val="-2"/>
          <w:sz w:val="20"/>
          <w:szCs w:val="20"/>
        </w:rPr>
        <w:t xml:space="preserve"> </w:t>
      </w:r>
      <w:r w:rsidRPr="004712D3">
        <w:rPr>
          <w:rFonts w:ascii="Arial" w:hAnsi="Arial" w:cs="Arial"/>
          <w:sz w:val="20"/>
          <w:szCs w:val="20"/>
        </w:rPr>
        <w:t>manual or flight</w:t>
      </w:r>
      <w:r w:rsidRPr="004712D3">
        <w:rPr>
          <w:rFonts w:ascii="Arial" w:hAnsi="Arial" w:cs="Arial"/>
          <w:spacing w:val="-2"/>
          <w:sz w:val="20"/>
          <w:szCs w:val="20"/>
        </w:rPr>
        <w:t xml:space="preserve"> </w:t>
      </w:r>
      <w:r w:rsidRPr="004712D3">
        <w:rPr>
          <w:rFonts w:ascii="Arial" w:hAnsi="Arial" w:cs="Arial"/>
          <w:sz w:val="20"/>
          <w:szCs w:val="20"/>
        </w:rPr>
        <w:t>manual for</w:t>
      </w:r>
      <w:r w:rsidRPr="004712D3">
        <w:rPr>
          <w:rFonts w:ascii="Arial" w:hAnsi="Arial" w:cs="Arial"/>
          <w:spacing w:val="-2"/>
          <w:sz w:val="20"/>
          <w:szCs w:val="20"/>
        </w:rPr>
        <w:t xml:space="preserve"> </w:t>
      </w:r>
      <w:r w:rsidRPr="004712D3">
        <w:rPr>
          <w:rFonts w:ascii="Arial" w:hAnsi="Arial" w:cs="Arial"/>
          <w:sz w:val="20"/>
          <w:szCs w:val="20"/>
        </w:rPr>
        <w:t>the hot-air</w:t>
      </w:r>
      <w:r w:rsidRPr="004712D3">
        <w:rPr>
          <w:rFonts w:ascii="Arial" w:hAnsi="Arial" w:cs="Arial"/>
          <w:spacing w:val="-1"/>
          <w:sz w:val="20"/>
          <w:szCs w:val="20"/>
        </w:rPr>
        <w:t xml:space="preserve"> </w:t>
      </w:r>
      <w:r w:rsidRPr="004712D3">
        <w:rPr>
          <w:rFonts w:ascii="Arial" w:hAnsi="Arial" w:cs="Arial"/>
          <w:sz w:val="20"/>
          <w:szCs w:val="20"/>
        </w:rPr>
        <w:t>airship</w:t>
      </w:r>
      <w:r w:rsidRPr="004712D3">
        <w:rPr>
          <w:rFonts w:ascii="Arial" w:hAnsi="Arial" w:cs="Arial"/>
          <w:spacing w:val="-1"/>
          <w:sz w:val="20"/>
          <w:szCs w:val="20"/>
        </w:rPr>
        <w:t xml:space="preserve"> </w:t>
      </w:r>
      <w:r w:rsidRPr="004712D3">
        <w:rPr>
          <w:rFonts w:ascii="Arial" w:hAnsi="Arial" w:cs="Arial"/>
          <w:sz w:val="20"/>
          <w:szCs w:val="20"/>
        </w:rPr>
        <w:t>used.</w:t>
      </w:r>
    </w:p>
    <w:p w14:paraId="13532102" w14:textId="77777777" w:rsidR="004712D3" w:rsidRPr="004712D3" w:rsidRDefault="004712D3" w:rsidP="00F77BF1">
      <w:pPr>
        <w:pStyle w:val="ListParagraph"/>
        <w:numPr>
          <w:ilvl w:val="1"/>
          <w:numId w:val="204"/>
        </w:numPr>
        <w:tabs>
          <w:tab w:val="left" w:pos="1274"/>
        </w:tabs>
        <w:spacing w:before="122" w:line="276" w:lineRule="auto"/>
        <w:ind w:hanging="568"/>
        <w:jc w:val="both"/>
        <w:rPr>
          <w:rFonts w:ascii="Arial" w:hAnsi="Arial" w:cs="Arial"/>
          <w:sz w:val="20"/>
          <w:szCs w:val="20"/>
        </w:rPr>
      </w:pPr>
      <w:r w:rsidRPr="004712D3">
        <w:rPr>
          <w:rFonts w:ascii="Arial" w:hAnsi="Arial" w:cs="Arial"/>
          <w:sz w:val="20"/>
          <w:szCs w:val="20"/>
        </w:rPr>
        <w:t>The</w:t>
      </w:r>
      <w:r w:rsidRPr="004712D3">
        <w:rPr>
          <w:rFonts w:ascii="Arial" w:hAnsi="Arial" w:cs="Arial"/>
          <w:spacing w:val="-2"/>
          <w:sz w:val="20"/>
          <w:szCs w:val="20"/>
        </w:rPr>
        <w:t xml:space="preserve"> </w:t>
      </w:r>
      <w:r w:rsidRPr="004712D3">
        <w:rPr>
          <w:rFonts w:ascii="Arial" w:hAnsi="Arial" w:cs="Arial"/>
          <w:sz w:val="20"/>
          <w:szCs w:val="20"/>
        </w:rPr>
        <w:t>flight</w:t>
      </w:r>
      <w:r w:rsidRPr="004712D3">
        <w:rPr>
          <w:rFonts w:ascii="Arial" w:hAnsi="Arial" w:cs="Arial"/>
          <w:spacing w:val="-1"/>
          <w:sz w:val="20"/>
          <w:szCs w:val="20"/>
        </w:rPr>
        <w:t xml:space="preserve"> </w:t>
      </w:r>
      <w:r w:rsidRPr="004712D3">
        <w:rPr>
          <w:rFonts w:ascii="Arial" w:hAnsi="Arial" w:cs="Arial"/>
          <w:sz w:val="20"/>
          <w:szCs w:val="20"/>
        </w:rPr>
        <w:t>time</w:t>
      </w:r>
      <w:r w:rsidRPr="004712D3">
        <w:rPr>
          <w:rFonts w:ascii="Arial" w:hAnsi="Arial" w:cs="Arial"/>
          <w:spacing w:val="-4"/>
          <w:sz w:val="20"/>
          <w:szCs w:val="20"/>
        </w:rPr>
        <w:t xml:space="preserve"> </w:t>
      </w:r>
      <w:r w:rsidRPr="004712D3">
        <w:rPr>
          <w:rFonts w:ascii="Arial" w:hAnsi="Arial" w:cs="Arial"/>
          <w:sz w:val="20"/>
          <w:szCs w:val="20"/>
        </w:rPr>
        <w:t>of</w:t>
      </w:r>
      <w:r w:rsidRPr="004712D3">
        <w:rPr>
          <w:rFonts w:ascii="Arial" w:hAnsi="Arial" w:cs="Arial"/>
          <w:spacing w:val="-4"/>
          <w:sz w:val="20"/>
          <w:szCs w:val="20"/>
        </w:rPr>
        <w:t xml:space="preserve"> </w:t>
      </w:r>
      <w:r w:rsidRPr="004712D3">
        <w:rPr>
          <w:rFonts w:ascii="Arial" w:hAnsi="Arial" w:cs="Arial"/>
          <w:sz w:val="20"/>
          <w:szCs w:val="20"/>
        </w:rPr>
        <w:t>the</w:t>
      </w:r>
      <w:r w:rsidRPr="004712D3">
        <w:rPr>
          <w:rFonts w:ascii="Arial" w:hAnsi="Arial" w:cs="Arial"/>
          <w:spacing w:val="-3"/>
          <w:sz w:val="20"/>
          <w:szCs w:val="20"/>
        </w:rPr>
        <w:t xml:space="preserve"> </w:t>
      </w:r>
      <w:r w:rsidRPr="004712D3">
        <w:rPr>
          <w:rFonts w:ascii="Arial" w:hAnsi="Arial" w:cs="Arial"/>
          <w:sz w:val="20"/>
          <w:szCs w:val="20"/>
        </w:rPr>
        <w:t>skill</w:t>
      </w:r>
      <w:r w:rsidRPr="004712D3">
        <w:rPr>
          <w:rFonts w:ascii="Arial" w:hAnsi="Arial" w:cs="Arial"/>
          <w:spacing w:val="-3"/>
          <w:sz w:val="20"/>
          <w:szCs w:val="20"/>
        </w:rPr>
        <w:t xml:space="preserve"> </w:t>
      </w:r>
      <w:r w:rsidRPr="004712D3">
        <w:rPr>
          <w:rFonts w:ascii="Arial" w:hAnsi="Arial" w:cs="Arial"/>
          <w:sz w:val="20"/>
          <w:szCs w:val="20"/>
        </w:rPr>
        <w:t>test</w:t>
      </w:r>
      <w:r w:rsidRPr="004712D3">
        <w:rPr>
          <w:rFonts w:ascii="Arial" w:hAnsi="Arial" w:cs="Arial"/>
          <w:spacing w:val="-1"/>
          <w:sz w:val="20"/>
          <w:szCs w:val="20"/>
        </w:rPr>
        <w:t xml:space="preserve"> </w:t>
      </w:r>
      <w:r w:rsidRPr="004712D3">
        <w:rPr>
          <w:rFonts w:ascii="Arial" w:hAnsi="Arial" w:cs="Arial"/>
          <w:sz w:val="20"/>
          <w:szCs w:val="20"/>
        </w:rPr>
        <w:t>should</w:t>
      </w:r>
      <w:r w:rsidRPr="004712D3">
        <w:rPr>
          <w:rFonts w:ascii="Arial" w:hAnsi="Arial" w:cs="Arial"/>
          <w:spacing w:val="-2"/>
          <w:sz w:val="20"/>
          <w:szCs w:val="20"/>
        </w:rPr>
        <w:t xml:space="preserve"> </w:t>
      </w:r>
      <w:r w:rsidRPr="004712D3">
        <w:rPr>
          <w:rFonts w:ascii="Arial" w:hAnsi="Arial" w:cs="Arial"/>
          <w:sz w:val="20"/>
          <w:szCs w:val="20"/>
        </w:rPr>
        <w:t>be</w:t>
      </w:r>
      <w:r w:rsidRPr="004712D3">
        <w:rPr>
          <w:rFonts w:ascii="Arial" w:hAnsi="Arial" w:cs="Arial"/>
          <w:spacing w:val="-2"/>
          <w:sz w:val="20"/>
          <w:szCs w:val="20"/>
        </w:rPr>
        <w:t xml:space="preserve"> </w:t>
      </w:r>
      <w:r w:rsidRPr="004712D3">
        <w:rPr>
          <w:rFonts w:ascii="Arial" w:hAnsi="Arial" w:cs="Arial"/>
          <w:sz w:val="20"/>
          <w:szCs w:val="20"/>
        </w:rPr>
        <w:t>at</w:t>
      </w:r>
      <w:r w:rsidRPr="004712D3">
        <w:rPr>
          <w:rFonts w:ascii="Arial" w:hAnsi="Arial" w:cs="Arial"/>
          <w:spacing w:val="-1"/>
          <w:sz w:val="20"/>
          <w:szCs w:val="20"/>
        </w:rPr>
        <w:t xml:space="preserve"> </w:t>
      </w:r>
      <w:r w:rsidRPr="004712D3">
        <w:rPr>
          <w:rFonts w:ascii="Arial" w:hAnsi="Arial" w:cs="Arial"/>
          <w:sz w:val="20"/>
          <w:szCs w:val="20"/>
        </w:rPr>
        <w:t>least</w:t>
      </w:r>
      <w:r w:rsidRPr="004712D3">
        <w:rPr>
          <w:rFonts w:ascii="Arial" w:hAnsi="Arial" w:cs="Arial"/>
          <w:spacing w:val="-2"/>
          <w:sz w:val="20"/>
          <w:szCs w:val="20"/>
        </w:rPr>
        <w:t xml:space="preserve"> </w:t>
      </w:r>
      <w:r w:rsidRPr="004712D3">
        <w:rPr>
          <w:rFonts w:ascii="Arial" w:hAnsi="Arial" w:cs="Arial"/>
          <w:sz w:val="20"/>
          <w:szCs w:val="20"/>
        </w:rPr>
        <w:t>30</w:t>
      </w:r>
      <w:r w:rsidRPr="004712D3">
        <w:rPr>
          <w:rFonts w:ascii="Arial" w:hAnsi="Arial" w:cs="Arial"/>
          <w:spacing w:val="-3"/>
          <w:sz w:val="20"/>
          <w:szCs w:val="20"/>
        </w:rPr>
        <w:t xml:space="preserve"> </w:t>
      </w:r>
      <w:r w:rsidRPr="004712D3">
        <w:rPr>
          <w:rFonts w:ascii="Arial" w:hAnsi="Arial" w:cs="Arial"/>
          <w:sz w:val="20"/>
          <w:szCs w:val="20"/>
        </w:rPr>
        <w:t>minutes.</w:t>
      </w:r>
    </w:p>
    <w:p w14:paraId="77261148" w14:textId="77777777" w:rsidR="004712D3" w:rsidRPr="004712D3" w:rsidRDefault="004712D3" w:rsidP="00F77BF1">
      <w:pPr>
        <w:pStyle w:val="ListParagraph"/>
        <w:numPr>
          <w:ilvl w:val="0"/>
          <w:numId w:val="204"/>
        </w:numPr>
        <w:tabs>
          <w:tab w:val="left" w:pos="706"/>
          <w:tab w:val="left" w:pos="707"/>
        </w:tabs>
        <w:spacing w:line="276" w:lineRule="auto"/>
        <w:rPr>
          <w:rFonts w:ascii="Arial" w:hAnsi="Arial" w:cs="Arial"/>
          <w:sz w:val="20"/>
          <w:szCs w:val="20"/>
        </w:rPr>
      </w:pPr>
      <w:r w:rsidRPr="004712D3">
        <w:rPr>
          <w:rFonts w:ascii="Arial" w:hAnsi="Arial" w:cs="Arial"/>
          <w:sz w:val="20"/>
          <w:szCs w:val="20"/>
        </w:rPr>
        <w:t>FLIGHT</w:t>
      </w:r>
      <w:r w:rsidRPr="004712D3">
        <w:rPr>
          <w:rFonts w:ascii="Arial" w:hAnsi="Arial" w:cs="Arial"/>
          <w:spacing w:val="-5"/>
          <w:sz w:val="20"/>
          <w:szCs w:val="20"/>
        </w:rPr>
        <w:t xml:space="preserve"> </w:t>
      </w:r>
      <w:r w:rsidRPr="004712D3">
        <w:rPr>
          <w:rFonts w:ascii="Arial" w:hAnsi="Arial" w:cs="Arial"/>
          <w:sz w:val="20"/>
          <w:szCs w:val="20"/>
        </w:rPr>
        <w:t>TEST</w:t>
      </w:r>
      <w:r w:rsidRPr="004712D3">
        <w:rPr>
          <w:rFonts w:ascii="Arial" w:hAnsi="Arial" w:cs="Arial"/>
          <w:spacing w:val="-4"/>
          <w:sz w:val="20"/>
          <w:szCs w:val="20"/>
        </w:rPr>
        <w:t xml:space="preserve"> </w:t>
      </w:r>
      <w:r w:rsidRPr="004712D3">
        <w:rPr>
          <w:rFonts w:ascii="Arial" w:hAnsi="Arial" w:cs="Arial"/>
          <w:sz w:val="20"/>
          <w:szCs w:val="20"/>
        </w:rPr>
        <w:t>TOLERANCE</w:t>
      </w:r>
    </w:p>
    <w:p w14:paraId="0A71E2E8" w14:textId="77777777" w:rsidR="004712D3" w:rsidRPr="004712D3" w:rsidRDefault="004712D3" w:rsidP="00F77BF1">
      <w:pPr>
        <w:pStyle w:val="BodyText"/>
        <w:spacing w:before="121" w:line="276" w:lineRule="auto"/>
        <w:ind w:left="706"/>
        <w:rPr>
          <w:rFonts w:ascii="Arial" w:hAnsi="Arial" w:cs="Arial"/>
          <w:sz w:val="20"/>
          <w:szCs w:val="20"/>
        </w:rPr>
      </w:pPr>
      <w:r w:rsidRPr="004712D3">
        <w:rPr>
          <w:rFonts w:ascii="Arial" w:hAnsi="Arial" w:cs="Arial"/>
          <w:sz w:val="20"/>
          <w:szCs w:val="20"/>
        </w:rPr>
        <w:t>The</w:t>
      </w:r>
      <w:r w:rsidRPr="004712D3">
        <w:rPr>
          <w:rFonts w:ascii="Arial" w:hAnsi="Arial" w:cs="Arial"/>
          <w:spacing w:val="-2"/>
          <w:sz w:val="20"/>
          <w:szCs w:val="20"/>
        </w:rPr>
        <w:t xml:space="preserve"> </w:t>
      </w:r>
      <w:r w:rsidRPr="004712D3">
        <w:rPr>
          <w:rFonts w:ascii="Arial" w:hAnsi="Arial" w:cs="Arial"/>
          <w:sz w:val="20"/>
          <w:szCs w:val="20"/>
        </w:rPr>
        <w:t>applicant</w:t>
      </w:r>
      <w:r w:rsidRPr="004712D3">
        <w:rPr>
          <w:rFonts w:ascii="Arial" w:hAnsi="Arial" w:cs="Arial"/>
          <w:spacing w:val="-2"/>
          <w:sz w:val="20"/>
          <w:szCs w:val="20"/>
        </w:rPr>
        <w:t xml:space="preserve"> </w:t>
      </w:r>
      <w:r w:rsidRPr="004712D3">
        <w:rPr>
          <w:rFonts w:ascii="Arial" w:hAnsi="Arial" w:cs="Arial"/>
          <w:sz w:val="20"/>
          <w:szCs w:val="20"/>
        </w:rPr>
        <w:t>should</w:t>
      </w:r>
      <w:r w:rsidRPr="004712D3">
        <w:rPr>
          <w:rFonts w:ascii="Arial" w:hAnsi="Arial" w:cs="Arial"/>
          <w:spacing w:val="-3"/>
          <w:sz w:val="20"/>
          <w:szCs w:val="20"/>
        </w:rPr>
        <w:t xml:space="preserve"> </w:t>
      </w:r>
      <w:r w:rsidRPr="004712D3">
        <w:rPr>
          <w:rFonts w:ascii="Arial" w:hAnsi="Arial" w:cs="Arial"/>
          <w:sz w:val="20"/>
          <w:szCs w:val="20"/>
        </w:rPr>
        <w:t>demonstrate</w:t>
      </w:r>
      <w:r w:rsidRPr="004712D3">
        <w:rPr>
          <w:rFonts w:ascii="Arial" w:hAnsi="Arial" w:cs="Arial"/>
          <w:spacing w:val="-4"/>
          <w:sz w:val="20"/>
          <w:szCs w:val="20"/>
        </w:rPr>
        <w:t xml:space="preserve"> </w:t>
      </w:r>
      <w:r w:rsidRPr="004712D3">
        <w:rPr>
          <w:rFonts w:ascii="Arial" w:hAnsi="Arial" w:cs="Arial"/>
          <w:sz w:val="20"/>
          <w:szCs w:val="20"/>
        </w:rPr>
        <w:t>the</w:t>
      </w:r>
      <w:r w:rsidRPr="004712D3">
        <w:rPr>
          <w:rFonts w:ascii="Arial" w:hAnsi="Arial" w:cs="Arial"/>
          <w:spacing w:val="-2"/>
          <w:sz w:val="20"/>
          <w:szCs w:val="20"/>
        </w:rPr>
        <w:t xml:space="preserve"> </w:t>
      </w:r>
      <w:r w:rsidRPr="004712D3">
        <w:rPr>
          <w:rFonts w:ascii="Arial" w:hAnsi="Arial" w:cs="Arial"/>
          <w:sz w:val="20"/>
          <w:szCs w:val="20"/>
        </w:rPr>
        <w:t>ability</w:t>
      </w:r>
      <w:r w:rsidRPr="004712D3">
        <w:rPr>
          <w:rFonts w:ascii="Arial" w:hAnsi="Arial" w:cs="Arial"/>
          <w:spacing w:val="-2"/>
          <w:sz w:val="20"/>
          <w:szCs w:val="20"/>
        </w:rPr>
        <w:t xml:space="preserve"> </w:t>
      </w:r>
      <w:r w:rsidRPr="004712D3">
        <w:rPr>
          <w:rFonts w:ascii="Arial" w:hAnsi="Arial" w:cs="Arial"/>
          <w:sz w:val="20"/>
          <w:szCs w:val="20"/>
        </w:rPr>
        <w:t>to:</w:t>
      </w:r>
    </w:p>
    <w:p w14:paraId="4E1A998D" w14:textId="77777777" w:rsidR="004712D3" w:rsidRPr="004712D3" w:rsidRDefault="004712D3" w:rsidP="00F77BF1">
      <w:pPr>
        <w:pStyle w:val="ListParagraph"/>
        <w:numPr>
          <w:ilvl w:val="1"/>
          <w:numId w:val="204"/>
        </w:numPr>
        <w:tabs>
          <w:tab w:val="left" w:pos="1273"/>
          <w:tab w:val="left" w:pos="1274"/>
        </w:tabs>
        <w:spacing w:before="118" w:line="276" w:lineRule="auto"/>
        <w:ind w:hanging="568"/>
        <w:rPr>
          <w:rFonts w:ascii="Arial" w:hAnsi="Arial" w:cs="Arial"/>
          <w:sz w:val="20"/>
          <w:szCs w:val="20"/>
        </w:rPr>
      </w:pPr>
      <w:r w:rsidRPr="004712D3">
        <w:rPr>
          <w:rFonts w:ascii="Arial" w:hAnsi="Arial" w:cs="Arial"/>
          <w:sz w:val="20"/>
          <w:szCs w:val="20"/>
        </w:rPr>
        <w:t>operate the</w:t>
      </w:r>
      <w:r w:rsidRPr="004712D3">
        <w:rPr>
          <w:rFonts w:ascii="Arial" w:hAnsi="Arial" w:cs="Arial"/>
          <w:spacing w:val="-3"/>
          <w:sz w:val="20"/>
          <w:szCs w:val="20"/>
        </w:rPr>
        <w:t xml:space="preserve"> </w:t>
      </w:r>
      <w:r w:rsidRPr="004712D3">
        <w:rPr>
          <w:rFonts w:ascii="Arial" w:hAnsi="Arial" w:cs="Arial"/>
          <w:sz w:val="20"/>
          <w:szCs w:val="20"/>
        </w:rPr>
        <w:t>hot-air</w:t>
      </w:r>
      <w:r w:rsidRPr="004712D3">
        <w:rPr>
          <w:rFonts w:ascii="Arial" w:hAnsi="Arial" w:cs="Arial"/>
          <w:spacing w:val="-1"/>
          <w:sz w:val="20"/>
          <w:szCs w:val="20"/>
        </w:rPr>
        <w:t xml:space="preserve"> </w:t>
      </w:r>
      <w:r w:rsidRPr="004712D3">
        <w:rPr>
          <w:rFonts w:ascii="Arial" w:hAnsi="Arial" w:cs="Arial"/>
          <w:sz w:val="20"/>
          <w:szCs w:val="20"/>
        </w:rPr>
        <w:t>airship</w:t>
      </w:r>
      <w:r w:rsidRPr="004712D3">
        <w:rPr>
          <w:rFonts w:ascii="Arial" w:hAnsi="Arial" w:cs="Arial"/>
          <w:spacing w:val="-3"/>
          <w:sz w:val="20"/>
          <w:szCs w:val="20"/>
        </w:rPr>
        <w:t xml:space="preserve"> </w:t>
      </w:r>
      <w:r w:rsidRPr="004712D3">
        <w:rPr>
          <w:rFonts w:ascii="Arial" w:hAnsi="Arial" w:cs="Arial"/>
          <w:sz w:val="20"/>
          <w:szCs w:val="20"/>
        </w:rPr>
        <w:t>within</w:t>
      </w:r>
      <w:r w:rsidRPr="004712D3">
        <w:rPr>
          <w:rFonts w:ascii="Arial" w:hAnsi="Arial" w:cs="Arial"/>
          <w:spacing w:val="-2"/>
          <w:sz w:val="20"/>
          <w:szCs w:val="20"/>
        </w:rPr>
        <w:t xml:space="preserve"> </w:t>
      </w:r>
      <w:r w:rsidRPr="004712D3">
        <w:rPr>
          <w:rFonts w:ascii="Arial" w:hAnsi="Arial" w:cs="Arial"/>
          <w:sz w:val="20"/>
          <w:szCs w:val="20"/>
        </w:rPr>
        <w:t>its</w:t>
      </w:r>
      <w:r w:rsidRPr="004712D3">
        <w:rPr>
          <w:rFonts w:ascii="Arial" w:hAnsi="Arial" w:cs="Arial"/>
          <w:spacing w:val="1"/>
          <w:sz w:val="20"/>
          <w:szCs w:val="20"/>
        </w:rPr>
        <w:t xml:space="preserve"> </w:t>
      </w:r>
      <w:r w:rsidRPr="004712D3">
        <w:rPr>
          <w:rFonts w:ascii="Arial" w:hAnsi="Arial" w:cs="Arial"/>
          <w:sz w:val="20"/>
          <w:szCs w:val="20"/>
        </w:rPr>
        <w:t>limitations;</w:t>
      </w:r>
    </w:p>
    <w:p w14:paraId="6D8183B2" w14:textId="77777777" w:rsidR="004712D3" w:rsidRPr="004712D3" w:rsidRDefault="004712D3" w:rsidP="00F77BF1">
      <w:pPr>
        <w:pStyle w:val="ListParagraph"/>
        <w:numPr>
          <w:ilvl w:val="1"/>
          <w:numId w:val="204"/>
        </w:numPr>
        <w:tabs>
          <w:tab w:val="left" w:pos="1273"/>
          <w:tab w:val="left" w:pos="1274"/>
        </w:tabs>
        <w:spacing w:line="276" w:lineRule="auto"/>
        <w:ind w:hanging="568"/>
        <w:rPr>
          <w:rFonts w:ascii="Arial" w:hAnsi="Arial" w:cs="Arial"/>
          <w:sz w:val="20"/>
          <w:szCs w:val="20"/>
        </w:rPr>
      </w:pPr>
      <w:r w:rsidRPr="004712D3">
        <w:rPr>
          <w:rFonts w:ascii="Arial" w:hAnsi="Arial" w:cs="Arial"/>
          <w:sz w:val="20"/>
          <w:szCs w:val="20"/>
        </w:rPr>
        <w:t>complete all</w:t>
      </w:r>
      <w:r w:rsidRPr="004712D3">
        <w:rPr>
          <w:rFonts w:ascii="Arial" w:hAnsi="Arial" w:cs="Arial"/>
          <w:spacing w:val="-4"/>
          <w:sz w:val="20"/>
          <w:szCs w:val="20"/>
        </w:rPr>
        <w:t xml:space="preserve"> </w:t>
      </w:r>
      <w:r w:rsidRPr="004712D3">
        <w:rPr>
          <w:rFonts w:ascii="Arial" w:hAnsi="Arial" w:cs="Arial"/>
          <w:sz w:val="20"/>
          <w:szCs w:val="20"/>
        </w:rPr>
        <w:t>manoeuvres</w:t>
      </w:r>
      <w:r w:rsidRPr="004712D3">
        <w:rPr>
          <w:rFonts w:ascii="Arial" w:hAnsi="Arial" w:cs="Arial"/>
          <w:spacing w:val="-2"/>
          <w:sz w:val="20"/>
          <w:szCs w:val="20"/>
        </w:rPr>
        <w:t xml:space="preserve"> </w:t>
      </w:r>
      <w:r w:rsidRPr="004712D3">
        <w:rPr>
          <w:rFonts w:ascii="Arial" w:hAnsi="Arial" w:cs="Arial"/>
          <w:sz w:val="20"/>
          <w:szCs w:val="20"/>
        </w:rPr>
        <w:t>with smoothness</w:t>
      </w:r>
      <w:r w:rsidRPr="004712D3">
        <w:rPr>
          <w:rFonts w:ascii="Arial" w:hAnsi="Arial" w:cs="Arial"/>
          <w:spacing w:val="-1"/>
          <w:sz w:val="20"/>
          <w:szCs w:val="20"/>
        </w:rPr>
        <w:t xml:space="preserve"> </w:t>
      </w:r>
      <w:r w:rsidRPr="004712D3">
        <w:rPr>
          <w:rFonts w:ascii="Arial" w:hAnsi="Arial" w:cs="Arial"/>
          <w:sz w:val="20"/>
          <w:szCs w:val="20"/>
        </w:rPr>
        <w:t>and</w:t>
      </w:r>
      <w:r w:rsidRPr="004712D3">
        <w:rPr>
          <w:rFonts w:ascii="Arial" w:hAnsi="Arial" w:cs="Arial"/>
          <w:spacing w:val="-2"/>
          <w:sz w:val="20"/>
          <w:szCs w:val="20"/>
        </w:rPr>
        <w:t xml:space="preserve"> </w:t>
      </w:r>
      <w:r w:rsidRPr="004712D3">
        <w:rPr>
          <w:rFonts w:ascii="Arial" w:hAnsi="Arial" w:cs="Arial"/>
          <w:sz w:val="20"/>
          <w:szCs w:val="20"/>
        </w:rPr>
        <w:t>accuracy;</w:t>
      </w:r>
    </w:p>
    <w:p w14:paraId="1CA63CD3" w14:textId="77777777" w:rsidR="004712D3" w:rsidRPr="004712D3" w:rsidRDefault="004712D3" w:rsidP="00F77BF1">
      <w:pPr>
        <w:pStyle w:val="ListParagraph"/>
        <w:numPr>
          <w:ilvl w:val="1"/>
          <w:numId w:val="204"/>
        </w:numPr>
        <w:tabs>
          <w:tab w:val="left" w:pos="1273"/>
          <w:tab w:val="left" w:pos="1274"/>
        </w:tabs>
        <w:spacing w:line="276" w:lineRule="auto"/>
        <w:ind w:hanging="568"/>
        <w:rPr>
          <w:rFonts w:ascii="Arial" w:hAnsi="Arial" w:cs="Arial"/>
          <w:sz w:val="20"/>
          <w:szCs w:val="20"/>
        </w:rPr>
      </w:pPr>
      <w:r w:rsidRPr="004712D3">
        <w:rPr>
          <w:rFonts w:ascii="Arial" w:hAnsi="Arial" w:cs="Arial"/>
          <w:sz w:val="20"/>
          <w:szCs w:val="20"/>
        </w:rPr>
        <w:t>exercise</w:t>
      </w:r>
      <w:r w:rsidRPr="004712D3">
        <w:rPr>
          <w:rFonts w:ascii="Arial" w:hAnsi="Arial" w:cs="Arial"/>
          <w:spacing w:val="-1"/>
          <w:sz w:val="20"/>
          <w:szCs w:val="20"/>
        </w:rPr>
        <w:t xml:space="preserve"> </w:t>
      </w:r>
      <w:r w:rsidRPr="004712D3">
        <w:rPr>
          <w:rFonts w:ascii="Arial" w:hAnsi="Arial" w:cs="Arial"/>
          <w:sz w:val="20"/>
          <w:szCs w:val="20"/>
        </w:rPr>
        <w:t>good</w:t>
      </w:r>
      <w:r w:rsidRPr="004712D3">
        <w:rPr>
          <w:rFonts w:ascii="Arial" w:hAnsi="Arial" w:cs="Arial"/>
          <w:spacing w:val="-2"/>
          <w:sz w:val="20"/>
          <w:szCs w:val="20"/>
        </w:rPr>
        <w:t xml:space="preserve"> </w:t>
      </w:r>
      <w:r w:rsidRPr="004712D3">
        <w:rPr>
          <w:rFonts w:ascii="Arial" w:hAnsi="Arial" w:cs="Arial"/>
          <w:sz w:val="20"/>
          <w:szCs w:val="20"/>
        </w:rPr>
        <w:t>judgment</w:t>
      </w:r>
      <w:r w:rsidRPr="004712D3">
        <w:rPr>
          <w:rFonts w:ascii="Arial" w:hAnsi="Arial" w:cs="Arial"/>
          <w:spacing w:val="-2"/>
          <w:sz w:val="20"/>
          <w:szCs w:val="20"/>
        </w:rPr>
        <w:t xml:space="preserve"> </w:t>
      </w:r>
      <w:r w:rsidRPr="004712D3">
        <w:rPr>
          <w:rFonts w:ascii="Arial" w:hAnsi="Arial" w:cs="Arial"/>
          <w:sz w:val="20"/>
          <w:szCs w:val="20"/>
        </w:rPr>
        <w:t>and</w:t>
      </w:r>
      <w:r w:rsidRPr="004712D3">
        <w:rPr>
          <w:rFonts w:ascii="Arial" w:hAnsi="Arial" w:cs="Arial"/>
          <w:spacing w:val="-2"/>
          <w:sz w:val="20"/>
          <w:szCs w:val="20"/>
        </w:rPr>
        <w:t xml:space="preserve"> </w:t>
      </w:r>
      <w:r w:rsidRPr="004712D3">
        <w:rPr>
          <w:rFonts w:ascii="Arial" w:hAnsi="Arial" w:cs="Arial"/>
          <w:sz w:val="20"/>
          <w:szCs w:val="20"/>
        </w:rPr>
        <w:t>airmanship;</w:t>
      </w:r>
    </w:p>
    <w:p w14:paraId="3078398E" w14:textId="77777777" w:rsidR="004712D3" w:rsidRPr="004712D3" w:rsidRDefault="004712D3" w:rsidP="00F77BF1">
      <w:pPr>
        <w:pStyle w:val="ListParagraph"/>
        <w:numPr>
          <w:ilvl w:val="1"/>
          <w:numId w:val="204"/>
        </w:numPr>
        <w:tabs>
          <w:tab w:val="left" w:pos="1273"/>
          <w:tab w:val="left" w:pos="1274"/>
        </w:tabs>
        <w:spacing w:line="276" w:lineRule="auto"/>
        <w:ind w:hanging="568"/>
        <w:rPr>
          <w:rFonts w:ascii="Arial" w:hAnsi="Arial" w:cs="Arial"/>
          <w:sz w:val="20"/>
          <w:szCs w:val="20"/>
        </w:rPr>
      </w:pPr>
      <w:r w:rsidRPr="004712D3">
        <w:rPr>
          <w:rFonts w:ascii="Arial" w:hAnsi="Arial" w:cs="Arial"/>
          <w:sz w:val="20"/>
          <w:szCs w:val="20"/>
        </w:rPr>
        <w:t>apply aeronautical</w:t>
      </w:r>
      <w:r w:rsidRPr="004712D3">
        <w:rPr>
          <w:rFonts w:ascii="Arial" w:hAnsi="Arial" w:cs="Arial"/>
          <w:spacing w:val="-3"/>
          <w:sz w:val="20"/>
          <w:szCs w:val="20"/>
        </w:rPr>
        <w:t xml:space="preserve"> </w:t>
      </w:r>
      <w:r w:rsidRPr="004712D3">
        <w:rPr>
          <w:rFonts w:ascii="Arial" w:hAnsi="Arial" w:cs="Arial"/>
          <w:sz w:val="20"/>
          <w:szCs w:val="20"/>
        </w:rPr>
        <w:t>knowledge;</w:t>
      </w:r>
      <w:r w:rsidRPr="004712D3">
        <w:rPr>
          <w:rFonts w:ascii="Arial" w:hAnsi="Arial" w:cs="Arial"/>
          <w:spacing w:val="1"/>
          <w:sz w:val="20"/>
          <w:szCs w:val="20"/>
        </w:rPr>
        <w:t xml:space="preserve"> </w:t>
      </w:r>
      <w:r w:rsidRPr="004712D3">
        <w:rPr>
          <w:rFonts w:ascii="Arial" w:hAnsi="Arial" w:cs="Arial"/>
          <w:sz w:val="20"/>
          <w:szCs w:val="20"/>
        </w:rPr>
        <w:t>and</w:t>
      </w:r>
    </w:p>
    <w:p w14:paraId="0F44BA55" w14:textId="77777777" w:rsidR="004712D3" w:rsidRPr="004712D3" w:rsidRDefault="004712D3" w:rsidP="00F77BF1">
      <w:pPr>
        <w:pStyle w:val="ListParagraph"/>
        <w:numPr>
          <w:ilvl w:val="1"/>
          <w:numId w:val="204"/>
        </w:numPr>
        <w:tabs>
          <w:tab w:val="left" w:pos="1273"/>
          <w:tab w:val="left" w:pos="1274"/>
        </w:tabs>
        <w:spacing w:before="121" w:line="276" w:lineRule="auto"/>
        <w:ind w:right="197"/>
        <w:rPr>
          <w:rFonts w:ascii="Arial" w:hAnsi="Arial" w:cs="Arial"/>
          <w:sz w:val="20"/>
          <w:szCs w:val="20"/>
        </w:rPr>
      </w:pPr>
      <w:r w:rsidRPr="004712D3">
        <w:rPr>
          <w:rFonts w:ascii="Arial" w:hAnsi="Arial" w:cs="Arial"/>
          <w:sz w:val="20"/>
          <w:szCs w:val="20"/>
        </w:rPr>
        <w:t>maintain control of the airship at all times in such a manner that the successful outcome</w:t>
      </w:r>
      <w:r w:rsidRPr="004712D3">
        <w:rPr>
          <w:rFonts w:ascii="Arial" w:hAnsi="Arial" w:cs="Arial"/>
          <w:spacing w:val="-47"/>
          <w:sz w:val="20"/>
          <w:szCs w:val="20"/>
        </w:rPr>
        <w:t xml:space="preserve"> </w:t>
      </w:r>
      <w:r w:rsidRPr="004712D3">
        <w:rPr>
          <w:rFonts w:ascii="Arial" w:hAnsi="Arial" w:cs="Arial"/>
          <w:sz w:val="20"/>
          <w:szCs w:val="20"/>
        </w:rPr>
        <w:t>of</w:t>
      </w:r>
      <w:r w:rsidRPr="004712D3">
        <w:rPr>
          <w:rFonts w:ascii="Arial" w:hAnsi="Arial" w:cs="Arial"/>
          <w:spacing w:val="-1"/>
          <w:sz w:val="20"/>
          <w:szCs w:val="20"/>
        </w:rPr>
        <w:t xml:space="preserve"> </w:t>
      </w:r>
      <w:r w:rsidRPr="004712D3">
        <w:rPr>
          <w:rFonts w:ascii="Arial" w:hAnsi="Arial" w:cs="Arial"/>
          <w:sz w:val="20"/>
          <w:szCs w:val="20"/>
        </w:rPr>
        <w:t>a procedure</w:t>
      </w:r>
      <w:r w:rsidRPr="004712D3">
        <w:rPr>
          <w:rFonts w:ascii="Arial" w:hAnsi="Arial" w:cs="Arial"/>
          <w:spacing w:val="1"/>
          <w:sz w:val="20"/>
          <w:szCs w:val="20"/>
        </w:rPr>
        <w:t xml:space="preserve"> </w:t>
      </w:r>
      <w:r w:rsidRPr="004712D3">
        <w:rPr>
          <w:rFonts w:ascii="Arial" w:hAnsi="Arial" w:cs="Arial"/>
          <w:sz w:val="20"/>
          <w:szCs w:val="20"/>
        </w:rPr>
        <w:t>or</w:t>
      </w:r>
      <w:r w:rsidRPr="004712D3">
        <w:rPr>
          <w:rFonts w:ascii="Arial" w:hAnsi="Arial" w:cs="Arial"/>
          <w:spacing w:val="-2"/>
          <w:sz w:val="20"/>
          <w:szCs w:val="20"/>
        </w:rPr>
        <w:t xml:space="preserve"> </w:t>
      </w:r>
      <w:r w:rsidRPr="004712D3">
        <w:rPr>
          <w:rFonts w:ascii="Arial" w:hAnsi="Arial" w:cs="Arial"/>
          <w:sz w:val="20"/>
          <w:szCs w:val="20"/>
        </w:rPr>
        <w:t>manoeuvre is never</w:t>
      </w:r>
      <w:r w:rsidRPr="004712D3">
        <w:rPr>
          <w:rFonts w:ascii="Arial" w:hAnsi="Arial" w:cs="Arial"/>
          <w:spacing w:val="-3"/>
          <w:sz w:val="20"/>
          <w:szCs w:val="20"/>
        </w:rPr>
        <w:t xml:space="preserve"> </w:t>
      </w:r>
      <w:r w:rsidRPr="004712D3">
        <w:rPr>
          <w:rFonts w:ascii="Arial" w:hAnsi="Arial" w:cs="Arial"/>
          <w:sz w:val="20"/>
          <w:szCs w:val="20"/>
        </w:rPr>
        <w:t>seriously</w:t>
      </w:r>
      <w:r w:rsidRPr="004712D3">
        <w:rPr>
          <w:rFonts w:ascii="Arial" w:hAnsi="Arial" w:cs="Arial"/>
          <w:spacing w:val="-2"/>
          <w:sz w:val="20"/>
          <w:szCs w:val="20"/>
        </w:rPr>
        <w:t xml:space="preserve"> </w:t>
      </w:r>
      <w:r w:rsidRPr="004712D3">
        <w:rPr>
          <w:rFonts w:ascii="Arial" w:hAnsi="Arial" w:cs="Arial"/>
          <w:sz w:val="20"/>
          <w:szCs w:val="20"/>
        </w:rPr>
        <w:t>in doubt.</w:t>
      </w:r>
    </w:p>
    <w:p w14:paraId="5AACF5C4" w14:textId="77777777" w:rsidR="004712D3" w:rsidRPr="004712D3" w:rsidRDefault="004712D3" w:rsidP="00F77BF1">
      <w:pPr>
        <w:pStyle w:val="ListParagraph"/>
        <w:numPr>
          <w:ilvl w:val="0"/>
          <w:numId w:val="204"/>
        </w:numPr>
        <w:tabs>
          <w:tab w:val="left" w:pos="706"/>
          <w:tab w:val="left" w:pos="707"/>
        </w:tabs>
        <w:spacing w:line="276" w:lineRule="auto"/>
        <w:rPr>
          <w:rFonts w:ascii="Arial" w:hAnsi="Arial" w:cs="Arial"/>
          <w:sz w:val="20"/>
          <w:szCs w:val="20"/>
        </w:rPr>
      </w:pPr>
      <w:r w:rsidRPr="004712D3">
        <w:rPr>
          <w:rFonts w:ascii="Arial" w:hAnsi="Arial" w:cs="Arial"/>
          <w:sz w:val="20"/>
          <w:szCs w:val="20"/>
        </w:rPr>
        <w:t>CONTENT</w:t>
      </w:r>
      <w:r w:rsidRPr="004712D3">
        <w:rPr>
          <w:rFonts w:ascii="Arial" w:hAnsi="Arial" w:cs="Arial"/>
          <w:spacing w:val="-4"/>
          <w:sz w:val="20"/>
          <w:szCs w:val="20"/>
        </w:rPr>
        <w:t xml:space="preserve"> </w:t>
      </w:r>
      <w:r w:rsidRPr="004712D3">
        <w:rPr>
          <w:rFonts w:ascii="Arial" w:hAnsi="Arial" w:cs="Arial"/>
          <w:sz w:val="20"/>
          <w:szCs w:val="20"/>
        </w:rPr>
        <w:t>OF</w:t>
      </w:r>
      <w:r w:rsidRPr="004712D3">
        <w:rPr>
          <w:rFonts w:ascii="Arial" w:hAnsi="Arial" w:cs="Arial"/>
          <w:spacing w:val="-1"/>
          <w:sz w:val="20"/>
          <w:szCs w:val="20"/>
        </w:rPr>
        <w:t xml:space="preserve"> </w:t>
      </w:r>
      <w:r w:rsidRPr="004712D3">
        <w:rPr>
          <w:rFonts w:ascii="Arial" w:hAnsi="Arial" w:cs="Arial"/>
          <w:sz w:val="20"/>
          <w:szCs w:val="20"/>
        </w:rPr>
        <w:t>THE</w:t>
      </w:r>
      <w:r w:rsidRPr="004712D3">
        <w:rPr>
          <w:rFonts w:ascii="Arial" w:hAnsi="Arial" w:cs="Arial"/>
          <w:spacing w:val="-1"/>
          <w:sz w:val="20"/>
          <w:szCs w:val="20"/>
        </w:rPr>
        <w:t xml:space="preserve"> </w:t>
      </w:r>
      <w:r w:rsidRPr="004712D3">
        <w:rPr>
          <w:rFonts w:ascii="Arial" w:hAnsi="Arial" w:cs="Arial"/>
          <w:sz w:val="20"/>
          <w:szCs w:val="20"/>
        </w:rPr>
        <w:t>SKILL</w:t>
      </w:r>
      <w:r w:rsidRPr="004712D3">
        <w:rPr>
          <w:rFonts w:ascii="Arial" w:hAnsi="Arial" w:cs="Arial"/>
          <w:spacing w:val="-3"/>
          <w:sz w:val="20"/>
          <w:szCs w:val="20"/>
        </w:rPr>
        <w:t xml:space="preserve"> </w:t>
      </w:r>
      <w:r w:rsidRPr="004712D3">
        <w:rPr>
          <w:rFonts w:ascii="Arial" w:hAnsi="Arial" w:cs="Arial"/>
          <w:sz w:val="20"/>
          <w:szCs w:val="20"/>
        </w:rPr>
        <w:t>TEST</w:t>
      </w:r>
    </w:p>
    <w:p w14:paraId="385D4475" w14:textId="77777777" w:rsidR="004712D3" w:rsidRPr="004712D3" w:rsidRDefault="004712D3" w:rsidP="00F77BF1">
      <w:pPr>
        <w:pStyle w:val="BodyText"/>
        <w:spacing w:before="121" w:line="276" w:lineRule="auto"/>
        <w:ind w:left="706"/>
        <w:rPr>
          <w:rFonts w:ascii="Arial" w:hAnsi="Arial" w:cs="Arial"/>
          <w:sz w:val="20"/>
          <w:szCs w:val="20"/>
        </w:rPr>
      </w:pPr>
      <w:r w:rsidRPr="004712D3">
        <w:rPr>
          <w:rFonts w:ascii="Arial" w:hAnsi="Arial" w:cs="Arial"/>
          <w:sz w:val="20"/>
          <w:szCs w:val="20"/>
        </w:rPr>
        <w:t>The</w:t>
      </w:r>
      <w:r w:rsidRPr="004712D3">
        <w:rPr>
          <w:rFonts w:ascii="Arial" w:hAnsi="Arial" w:cs="Arial"/>
          <w:spacing w:val="3"/>
          <w:sz w:val="20"/>
          <w:szCs w:val="20"/>
        </w:rPr>
        <w:t xml:space="preserve"> </w:t>
      </w:r>
      <w:r w:rsidRPr="004712D3">
        <w:rPr>
          <w:rFonts w:ascii="Arial" w:hAnsi="Arial" w:cs="Arial"/>
          <w:sz w:val="20"/>
          <w:szCs w:val="20"/>
        </w:rPr>
        <w:t>following</w:t>
      </w:r>
      <w:r w:rsidRPr="004712D3">
        <w:rPr>
          <w:rFonts w:ascii="Arial" w:hAnsi="Arial" w:cs="Arial"/>
          <w:spacing w:val="3"/>
          <w:sz w:val="20"/>
          <w:szCs w:val="20"/>
        </w:rPr>
        <w:t xml:space="preserve"> </w:t>
      </w:r>
      <w:r w:rsidRPr="004712D3">
        <w:rPr>
          <w:rFonts w:ascii="Arial" w:hAnsi="Arial" w:cs="Arial"/>
          <w:sz w:val="20"/>
          <w:szCs w:val="20"/>
        </w:rPr>
        <w:t>skill</w:t>
      </w:r>
      <w:r w:rsidRPr="004712D3">
        <w:rPr>
          <w:rFonts w:ascii="Arial" w:hAnsi="Arial" w:cs="Arial"/>
          <w:spacing w:val="3"/>
          <w:sz w:val="20"/>
          <w:szCs w:val="20"/>
        </w:rPr>
        <w:t xml:space="preserve"> </w:t>
      </w:r>
      <w:r w:rsidRPr="004712D3">
        <w:rPr>
          <w:rFonts w:ascii="Arial" w:hAnsi="Arial" w:cs="Arial"/>
          <w:sz w:val="20"/>
          <w:szCs w:val="20"/>
        </w:rPr>
        <w:t>test</w:t>
      </w:r>
      <w:r w:rsidRPr="004712D3">
        <w:rPr>
          <w:rFonts w:ascii="Arial" w:hAnsi="Arial" w:cs="Arial"/>
          <w:spacing w:val="4"/>
          <w:sz w:val="20"/>
          <w:szCs w:val="20"/>
        </w:rPr>
        <w:t xml:space="preserve"> </w:t>
      </w:r>
      <w:r w:rsidRPr="004712D3">
        <w:rPr>
          <w:rFonts w:ascii="Arial" w:hAnsi="Arial" w:cs="Arial"/>
          <w:sz w:val="20"/>
          <w:szCs w:val="20"/>
        </w:rPr>
        <w:t>contents</w:t>
      </w:r>
      <w:r w:rsidRPr="004712D3">
        <w:rPr>
          <w:rFonts w:ascii="Arial" w:hAnsi="Arial" w:cs="Arial"/>
          <w:spacing w:val="4"/>
          <w:sz w:val="20"/>
          <w:szCs w:val="20"/>
        </w:rPr>
        <w:t xml:space="preserve"> </w:t>
      </w:r>
      <w:r w:rsidRPr="004712D3">
        <w:rPr>
          <w:rFonts w:ascii="Arial" w:hAnsi="Arial" w:cs="Arial"/>
          <w:sz w:val="20"/>
          <w:szCs w:val="20"/>
        </w:rPr>
        <w:t>and</w:t>
      </w:r>
      <w:r w:rsidRPr="004712D3">
        <w:rPr>
          <w:rFonts w:ascii="Arial" w:hAnsi="Arial" w:cs="Arial"/>
          <w:spacing w:val="3"/>
          <w:sz w:val="20"/>
          <w:szCs w:val="20"/>
        </w:rPr>
        <w:t xml:space="preserve"> </w:t>
      </w:r>
      <w:r w:rsidRPr="004712D3">
        <w:rPr>
          <w:rFonts w:ascii="Arial" w:hAnsi="Arial" w:cs="Arial"/>
          <w:sz w:val="20"/>
          <w:szCs w:val="20"/>
        </w:rPr>
        <w:t>sections</w:t>
      </w:r>
      <w:r w:rsidRPr="004712D3">
        <w:rPr>
          <w:rFonts w:ascii="Arial" w:hAnsi="Arial" w:cs="Arial"/>
          <w:spacing w:val="4"/>
          <w:sz w:val="20"/>
          <w:szCs w:val="20"/>
        </w:rPr>
        <w:t xml:space="preserve"> </w:t>
      </w:r>
      <w:r w:rsidRPr="004712D3">
        <w:rPr>
          <w:rFonts w:ascii="Arial" w:hAnsi="Arial" w:cs="Arial"/>
          <w:sz w:val="20"/>
          <w:szCs w:val="20"/>
        </w:rPr>
        <w:t>should</w:t>
      </w:r>
      <w:r w:rsidRPr="004712D3">
        <w:rPr>
          <w:rFonts w:ascii="Arial" w:hAnsi="Arial" w:cs="Arial"/>
          <w:spacing w:val="3"/>
          <w:sz w:val="20"/>
          <w:szCs w:val="20"/>
        </w:rPr>
        <w:t xml:space="preserve"> </w:t>
      </w:r>
      <w:r w:rsidRPr="004712D3">
        <w:rPr>
          <w:rFonts w:ascii="Arial" w:hAnsi="Arial" w:cs="Arial"/>
          <w:sz w:val="20"/>
          <w:szCs w:val="20"/>
        </w:rPr>
        <w:t>be</w:t>
      </w:r>
      <w:r w:rsidRPr="004712D3">
        <w:rPr>
          <w:rFonts w:ascii="Arial" w:hAnsi="Arial" w:cs="Arial"/>
          <w:spacing w:val="4"/>
          <w:sz w:val="20"/>
          <w:szCs w:val="20"/>
        </w:rPr>
        <w:t xml:space="preserve"> </w:t>
      </w:r>
      <w:r w:rsidRPr="004712D3">
        <w:rPr>
          <w:rFonts w:ascii="Arial" w:hAnsi="Arial" w:cs="Arial"/>
          <w:sz w:val="20"/>
          <w:szCs w:val="20"/>
        </w:rPr>
        <w:t>used</w:t>
      </w:r>
      <w:r w:rsidRPr="004712D3">
        <w:rPr>
          <w:rFonts w:ascii="Arial" w:hAnsi="Arial" w:cs="Arial"/>
          <w:spacing w:val="3"/>
          <w:sz w:val="20"/>
          <w:szCs w:val="20"/>
        </w:rPr>
        <w:t xml:space="preserve"> </w:t>
      </w:r>
      <w:r w:rsidRPr="004712D3">
        <w:rPr>
          <w:rFonts w:ascii="Arial" w:hAnsi="Arial" w:cs="Arial"/>
          <w:sz w:val="20"/>
          <w:szCs w:val="20"/>
        </w:rPr>
        <w:t>for</w:t>
      </w:r>
      <w:r w:rsidRPr="004712D3">
        <w:rPr>
          <w:rFonts w:ascii="Arial" w:hAnsi="Arial" w:cs="Arial"/>
          <w:spacing w:val="4"/>
          <w:sz w:val="20"/>
          <w:szCs w:val="20"/>
        </w:rPr>
        <w:t xml:space="preserve"> </w:t>
      </w:r>
      <w:r w:rsidRPr="004712D3">
        <w:rPr>
          <w:rFonts w:ascii="Arial" w:hAnsi="Arial" w:cs="Arial"/>
          <w:sz w:val="20"/>
          <w:szCs w:val="20"/>
        </w:rPr>
        <w:t>the</w:t>
      </w:r>
      <w:r w:rsidRPr="004712D3">
        <w:rPr>
          <w:rFonts w:ascii="Arial" w:hAnsi="Arial" w:cs="Arial"/>
          <w:spacing w:val="2"/>
          <w:sz w:val="20"/>
          <w:szCs w:val="20"/>
        </w:rPr>
        <w:t xml:space="preserve"> </w:t>
      </w:r>
      <w:r w:rsidRPr="004712D3">
        <w:rPr>
          <w:rFonts w:ascii="Arial" w:hAnsi="Arial" w:cs="Arial"/>
          <w:sz w:val="20"/>
          <w:szCs w:val="20"/>
        </w:rPr>
        <w:t>skill</w:t>
      </w:r>
      <w:r w:rsidRPr="004712D3">
        <w:rPr>
          <w:rFonts w:ascii="Arial" w:hAnsi="Arial" w:cs="Arial"/>
          <w:spacing w:val="3"/>
          <w:sz w:val="20"/>
          <w:szCs w:val="20"/>
        </w:rPr>
        <w:t xml:space="preserve"> </w:t>
      </w:r>
      <w:r w:rsidRPr="004712D3">
        <w:rPr>
          <w:rFonts w:ascii="Arial" w:hAnsi="Arial" w:cs="Arial"/>
          <w:sz w:val="20"/>
          <w:szCs w:val="20"/>
        </w:rPr>
        <w:t>test</w:t>
      </w:r>
      <w:r w:rsidRPr="004712D3">
        <w:rPr>
          <w:rFonts w:ascii="Arial" w:hAnsi="Arial" w:cs="Arial"/>
          <w:spacing w:val="5"/>
          <w:sz w:val="20"/>
          <w:szCs w:val="20"/>
        </w:rPr>
        <w:t xml:space="preserve"> </w:t>
      </w:r>
      <w:r w:rsidRPr="004712D3">
        <w:rPr>
          <w:rFonts w:ascii="Arial" w:hAnsi="Arial" w:cs="Arial"/>
          <w:sz w:val="20"/>
          <w:szCs w:val="20"/>
        </w:rPr>
        <w:t>for</w:t>
      </w:r>
      <w:r w:rsidRPr="004712D3">
        <w:rPr>
          <w:rFonts w:ascii="Arial" w:hAnsi="Arial" w:cs="Arial"/>
          <w:spacing w:val="4"/>
          <w:sz w:val="20"/>
          <w:szCs w:val="20"/>
        </w:rPr>
        <w:t xml:space="preserve"> </w:t>
      </w:r>
      <w:r w:rsidRPr="004712D3">
        <w:rPr>
          <w:rFonts w:ascii="Arial" w:hAnsi="Arial" w:cs="Arial"/>
          <w:sz w:val="20"/>
          <w:szCs w:val="20"/>
        </w:rPr>
        <w:t>the</w:t>
      </w:r>
      <w:r w:rsidRPr="004712D3">
        <w:rPr>
          <w:rFonts w:ascii="Arial" w:hAnsi="Arial" w:cs="Arial"/>
          <w:spacing w:val="4"/>
          <w:sz w:val="20"/>
          <w:szCs w:val="20"/>
        </w:rPr>
        <w:t xml:space="preserve"> </w:t>
      </w:r>
      <w:r w:rsidRPr="004712D3">
        <w:rPr>
          <w:rFonts w:ascii="Arial" w:hAnsi="Arial" w:cs="Arial"/>
          <w:sz w:val="20"/>
          <w:szCs w:val="20"/>
        </w:rPr>
        <w:t>issue</w:t>
      </w:r>
      <w:r w:rsidRPr="004712D3">
        <w:rPr>
          <w:rFonts w:ascii="Arial" w:hAnsi="Arial" w:cs="Arial"/>
          <w:spacing w:val="2"/>
          <w:sz w:val="20"/>
          <w:szCs w:val="20"/>
        </w:rPr>
        <w:t xml:space="preserve"> </w:t>
      </w:r>
      <w:r w:rsidRPr="004712D3">
        <w:rPr>
          <w:rFonts w:ascii="Arial" w:hAnsi="Arial" w:cs="Arial"/>
          <w:sz w:val="20"/>
          <w:szCs w:val="20"/>
        </w:rPr>
        <w:t>of</w:t>
      </w:r>
      <w:r w:rsidRPr="004712D3">
        <w:rPr>
          <w:rFonts w:ascii="Arial" w:hAnsi="Arial" w:cs="Arial"/>
          <w:spacing w:val="1"/>
          <w:sz w:val="20"/>
          <w:szCs w:val="20"/>
        </w:rPr>
        <w:t xml:space="preserve"> </w:t>
      </w:r>
      <w:r w:rsidRPr="004712D3">
        <w:rPr>
          <w:rFonts w:ascii="Arial" w:hAnsi="Arial" w:cs="Arial"/>
          <w:sz w:val="20"/>
          <w:szCs w:val="20"/>
        </w:rPr>
        <w:t>a</w:t>
      </w:r>
      <w:r w:rsidRPr="004712D3">
        <w:rPr>
          <w:rFonts w:ascii="Arial" w:hAnsi="Arial" w:cs="Arial"/>
          <w:spacing w:val="-46"/>
          <w:sz w:val="20"/>
          <w:szCs w:val="20"/>
        </w:rPr>
        <w:t xml:space="preserve"> </w:t>
      </w:r>
      <w:r w:rsidRPr="004712D3">
        <w:rPr>
          <w:rFonts w:ascii="Arial" w:hAnsi="Arial" w:cs="Arial"/>
          <w:sz w:val="20"/>
          <w:szCs w:val="20"/>
        </w:rPr>
        <w:t>BPL</w:t>
      </w:r>
      <w:r w:rsidRPr="004712D3">
        <w:rPr>
          <w:rFonts w:ascii="Arial" w:hAnsi="Arial" w:cs="Arial"/>
          <w:spacing w:val="-3"/>
          <w:sz w:val="20"/>
          <w:szCs w:val="20"/>
        </w:rPr>
        <w:t xml:space="preserve"> </w:t>
      </w:r>
      <w:r w:rsidRPr="004712D3">
        <w:rPr>
          <w:rFonts w:ascii="Arial" w:hAnsi="Arial" w:cs="Arial"/>
          <w:sz w:val="20"/>
          <w:szCs w:val="20"/>
        </w:rPr>
        <w:t>hot-air</w:t>
      </w:r>
      <w:r w:rsidRPr="004712D3">
        <w:rPr>
          <w:rFonts w:ascii="Arial" w:hAnsi="Arial" w:cs="Arial"/>
          <w:spacing w:val="-4"/>
          <w:sz w:val="20"/>
          <w:szCs w:val="20"/>
        </w:rPr>
        <w:t xml:space="preserve"> </w:t>
      </w:r>
      <w:r w:rsidRPr="004712D3">
        <w:rPr>
          <w:rFonts w:ascii="Arial" w:hAnsi="Arial" w:cs="Arial"/>
          <w:sz w:val="20"/>
          <w:szCs w:val="20"/>
        </w:rPr>
        <w:t>airship</w:t>
      </w:r>
      <w:r w:rsidRPr="004712D3">
        <w:rPr>
          <w:rFonts w:ascii="Arial" w:hAnsi="Arial" w:cs="Arial"/>
          <w:spacing w:val="-1"/>
          <w:sz w:val="20"/>
          <w:szCs w:val="20"/>
        </w:rPr>
        <w:t xml:space="preserve"> </w:t>
      </w:r>
      <w:r w:rsidRPr="004712D3">
        <w:rPr>
          <w:rFonts w:ascii="Arial" w:hAnsi="Arial" w:cs="Arial"/>
          <w:sz w:val="20"/>
          <w:szCs w:val="20"/>
        </w:rPr>
        <w:t>extension:</w:t>
      </w:r>
    </w:p>
    <w:p w14:paraId="6D1817B0" w14:textId="77777777" w:rsidR="004712D3" w:rsidRPr="00CE68A2" w:rsidRDefault="004712D3" w:rsidP="00F77BF1">
      <w:pPr>
        <w:pStyle w:val="BodyText"/>
        <w:spacing w:before="122" w:line="276" w:lineRule="auto"/>
        <w:ind w:left="720" w:right="195" w:hanging="14"/>
        <w:rPr>
          <w:rFonts w:ascii="Arial" w:hAnsi="Arial" w:cs="Arial"/>
          <w:i/>
          <w:sz w:val="20"/>
          <w:szCs w:val="20"/>
        </w:rPr>
      </w:pPr>
      <w:r w:rsidRPr="00CE68A2">
        <w:rPr>
          <w:rFonts w:ascii="Arial" w:hAnsi="Arial" w:cs="Arial"/>
          <w:i/>
          <w:sz w:val="20"/>
          <w:szCs w:val="20"/>
        </w:rPr>
        <w:t>Note:</w:t>
      </w:r>
      <w:r w:rsidRPr="00CE68A2">
        <w:rPr>
          <w:rFonts w:ascii="Arial" w:hAnsi="Arial" w:cs="Arial"/>
          <w:i/>
          <w:spacing w:val="14"/>
          <w:sz w:val="20"/>
          <w:szCs w:val="20"/>
        </w:rPr>
        <w:t xml:space="preserve"> </w:t>
      </w:r>
      <w:r w:rsidRPr="00CE68A2">
        <w:rPr>
          <w:rFonts w:ascii="Arial" w:hAnsi="Arial" w:cs="Arial"/>
          <w:i/>
          <w:sz w:val="20"/>
          <w:szCs w:val="20"/>
        </w:rPr>
        <w:t>Use</w:t>
      </w:r>
      <w:r w:rsidRPr="00CE68A2">
        <w:rPr>
          <w:rFonts w:ascii="Arial" w:hAnsi="Arial" w:cs="Arial"/>
          <w:i/>
          <w:spacing w:val="26"/>
          <w:sz w:val="20"/>
          <w:szCs w:val="20"/>
        </w:rPr>
        <w:t xml:space="preserve"> </w:t>
      </w:r>
      <w:r w:rsidRPr="00CE68A2">
        <w:rPr>
          <w:rFonts w:ascii="Arial" w:hAnsi="Arial" w:cs="Arial"/>
          <w:i/>
          <w:sz w:val="20"/>
          <w:szCs w:val="20"/>
        </w:rPr>
        <w:t>of</w:t>
      </w:r>
      <w:r w:rsidRPr="00CE68A2">
        <w:rPr>
          <w:rFonts w:ascii="Arial" w:hAnsi="Arial" w:cs="Arial"/>
          <w:i/>
          <w:spacing w:val="27"/>
          <w:sz w:val="20"/>
          <w:szCs w:val="20"/>
        </w:rPr>
        <w:t xml:space="preserve"> </w:t>
      </w:r>
      <w:r w:rsidRPr="00CE68A2">
        <w:rPr>
          <w:rFonts w:ascii="Arial" w:hAnsi="Arial" w:cs="Arial"/>
          <w:i/>
          <w:sz w:val="20"/>
          <w:szCs w:val="20"/>
        </w:rPr>
        <w:t>checklist(s),</w:t>
      </w:r>
      <w:r w:rsidRPr="00CE68A2">
        <w:rPr>
          <w:rFonts w:ascii="Arial" w:hAnsi="Arial" w:cs="Arial"/>
          <w:i/>
          <w:spacing w:val="28"/>
          <w:sz w:val="20"/>
          <w:szCs w:val="20"/>
        </w:rPr>
        <w:t xml:space="preserve"> </w:t>
      </w:r>
      <w:r w:rsidRPr="00CE68A2">
        <w:rPr>
          <w:rFonts w:ascii="Arial" w:hAnsi="Arial" w:cs="Arial"/>
          <w:i/>
          <w:sz w:val="20"/>
          <w:szCs w:val="20"/>
        </w:rPr>
        <w:t>airmanship,</w:t>
      </w:r>
      <w:r w:rsidRPr="00CE68A2">
        <w:rPr>
          <w:rFonts w:ascii="Arial" w:hAnsi="Arial" w:cs="Arial"/>
          <w:i/>
          <w:spacing w:val="27"/>
          <w:sz w:val="20"/>
          <w:szCs w:val="20"/>
        </w:rPr>
        <w:t xml:space="preserve"> </w:t>
      </w:r>
      <w:r w:rsidRPr="00CE68A2">
        <w:rPr>
          <w:rFonts w:ascii="Arial" w:hAnsi="Arial" w:cs="Arial"/>
          <w:i/>
          <w:sz w:val="20"/>
          <w:szCs w:val="20"/>
        </w:rPr>
        <w:t>control</w:t>
      </w:r>
      <w:r w:rsidRPr="00CE68A2">
        <w:rPr>
          <w:rFonts w:ascii="Arial" w:hAnsi="Arial" w:cs="Arial"/>
          <w:i/>
          <w:spacing w:val="25"/>
          <w:sz w:val="20"/>
          <w:szCs w:val="20"/>
        </w:rPr>
        <w:t xml:space="preserve"> </w:t>
      </w:r>
      <w:r w:rsidRPr="00CE68A2">
        <w:rPr>
          <w:rFonts w:ascii="Arial" w:hAnsi="Arial" w:cs="Arial"/>
          <w:i/>
          <w:sz w:val="20"/>
          <w:szCs w:val="20"/>
        </w:rPr>
        <w:t>of</w:t>
      </w:r>
      <w:r w:rsidRPr="00CE68A2">
        <w:rPr>
          <w:rFonts w:ascii="Arial" w:hAnsi="Arial" w:cs="Arial"/>
          <w:i/>
          <w:spacing w:val="27"/>
          <w:sz w:val="20"/>
          <w:szCs w:val="20"/>
        </w:rPr>
        <w:t xml:space="preserve"> </w:t>
      </w:r>
      <w:r w:rsidRPr="00CE68A2">
        <w:rPr>
          <w:rFonts w:ascii="Arial" w:hAnsi="Arial" w:cs="Arial"/>
          <w:i/>
          <w:sz w:val="20"/>
          <w:szCs w:val="20"/>
        </w:rPr>
        <w:t>hot-air</w:t>
      </w:r>
      <w:r w:rsidRPr="00CE68A2">
        <w:rPr>
          <w:rFonts w:ascii="Arial" w:hAnsi="Arial" w:cs="Arial"/>
          <w:i/>
          <w:spacing w:val="27"/>
          <w:sz w:val="20"/>
          <w:szCs w:val="20"/>
        </w:rPr>
        <w:t xml:space="preserve"> </w:t>
      </w:r>
      <w:r w:rsidRPr="00CE68A2">
        <w:rPr>
          <w:rFonts w:ascii="Arial" w:hAnsi="Arial" w:cs="Arial"/>
          <w:i/>
          <w:sz w:val="20"/>
          <w:szCs w:val="20"/>
        </w:rPr>
        <w:t>airship</w:t>
      </w:r>
      <w:r w:rsidRPr="00CE68A2">
        <w:rPr>
          <w:rFonts w:ascii="Arial" w:hAnsi="Arial" w:cs="Arial"/>
          <w:i/>
          <w:spacing w:val="26"/>
          <w:sz w:val="20"/>
          <w:szCs w:val="20"/>
        </w:rPr>
        <w:t xml:space="preserve"> </w:t>
      </w:r>
      <w:r w:rsidRPr="00CE68A2">
        <w:rPr>
          <w:rFonts w:ascii="Arial" w:hAnsi="Arial" w:cs="Arial"/>
          <w:i/>
          <w:sz w:val="20"/>
          <w:szCs w:val="20"/>
        </w:rPr>
        <w:t>by</w:t>
      </w:r>
      <w:r w:rsidRPr="00CE68A2">
        <w:rPr>
          <w:rFonts w:ascii="Arial" w:hAnsi="Arial" w:cs="Arial"/>
          <w:i/>
          <w:spacing w:val="29"/>
          <w:sz w:val="20"/>
          <w:szCs w:val="20"/>
        </w:rPr>
        <w:t xml:space="preserve"> </w:t>
      </w:r>
      <w:r w:rsidRPr="00CE68A2">
        <w:rPr>
          <w:rFonts w:ascii="Arial" w:hAnsi="Arial" w:cs="Arial"/>
          <w:i/>
          <w:sz w:val="20"/>
          <w:szCs w:val="20"/>
        </w:rPr>
        <w:t>external</w:t>
      </w:r>
      <w:r w:rsidRPr="00CE68A2">
        <w:rPr>
          <w:rFonts w:ascii="Arial" w:hAnsi="Arial" w:cs="Arial"/>
          <w:i/>
          <w:spacing w:val="24"/>
          <w:sz w:val="20"/>
          <w:szCs w:val="20"/>
        </w:rPr>
        <w:t xml:space="preserve"> </w:t>
      </w:r>
      <w:r w:rsidRPr="00CE68A2">
        <w:rPr>
          <w:rFonts w:ascii="Arial" w:hAnsi="Arial" w:cs="Arial"/>
          <w:i/>
          <w:sz w:val="20"/>
          <w:szCs w:val="20"/>
        </w:rPr>
        <w:t>visual</w:t>
      </w:r>
      <w:r w:rsidRPr="00CE68A2">
        <w:rPr>
          <w:rFonts w:ascii="Arial" w:hAnsi="Arial" w:cs="Arial"/>
          <w:i/>
          <w:spacing w:val="27"/>
          <w:sz w:val="20"/>
          <w:szCs w:val="20"/>
        </w:rPr>
        <w:t xml:space="preserve"> </w:t>
      </w:r>
      <w:r w:rsidRPr="00CE68A2">
        <w:rPr>
          <w:rFonts w:ascii="Arial" w:hAnsi="Arial" w:cs="Arial"/>
          <w:i/>
          <w:sz w:val="20"/>
          <w:szCs w:val="20"/>
        </w:rPr>
        <w:t>reference,</w:t>
      </w:r>
      <w:r w:rsidRPr="00CE68A2">
        <w:rPr>
          <w:rFonts w:ascii="Arial" w:hAnsi="Arial" w:cs="Arial"/>
          <w:i/>
          <w:spacing w:val="-47"/>
          <w:sz w:val="20"/>
          <w:szCs w:val="20"/>
        </w:rPr>
        <w:t xml:space="preserve"> </w:t>
      </w:r>
      <w:r w:rsidRPr="00CE68A2">
        <w:rPr>
          <w:rFonts w:ascii="Arial" w:hAnsi="Arial" w:cs="Arial"/>
          <w:i/>
          <w:sz w:val="20"/>
          <w:szCs w:val="20"/>
        </w:rPr>
        <w:t>look-out</w:t>
      </w:r>
      <w:r w:rsidRPr="00CE68A2">
        <w:rPr>
          <w:rFonts w:ascii="Arial" w:hAnsi="Arial" w:cs="Arial"/>
          <w:i/>
          <w:spacing w:val="-3"/>
          <w:sz w:val="20"/>
          <w:szCs w:val="20"/>
        </w:rPr>
        <w:t xml:space="preserve"> </w:t>
      </w:r>
      <w:r w:rsidRPr="00CE68A2">
        <w:rPr>
          <w:rFonts w:ascii="Arial" w:hAnsi="Arial" w:cs="Arial"/>
          <w:i/>
          <w:sz w:val="20"/>
          <w:szCs w:val="20"/>
        </w:rPr>
        <w:t>procedures,</w:t>
      </w:r>
      <w:r w:rsidRPr="00CE68A2">
        <w:rPr>
          <w:rFonts w:ascii="Arial" w:hAnsi="Arial" w:cs="Arial"/>
          <w:i/>
          <w:spacing w:val="-2"/>
          <w:sz w:val="20"/>
          <w:szCs w:val="20"/>
        </w:rPr>
        <w:t xml:space="preserve"> </w:t>
      </w:r>
      <w:r w:rsidRPr="00CE68A2">
        <w:rPr>
          <w:rFonts w:ascii="Arial" w:hAnsi="Arial" w:cs="Arial"/>
          <w:i/>
          <w:sz w:val="20"/>
          <w:szCs w:val="20"/>
        </w:rPr>
        <w:t>etc.</w:t>
      </w:r>
      <w:r w:rsidRPr="00CE68A2">
        <w:rPr>
          <w:rFonts w:ascii="Arial" w:hAnsi="Arial" w:cs="Arial"/>
          <w:i/>
          <w:spacing w:val="-2"/>
          <w:sz w:val="20"/>
          <w:szCs w:val="20"/>
        </w:rPr>
        <w:t xml:space="preserve"> </w:t>
      </w:r>
      <w:r w:rsidRPr="00CE68A2">
        <w:rPr>
          <w:rFonts w:ascii="Arial" w:hAnsi="Arial" w:cs="Arial"/>
          <w:i/>
          <w:sz w:val="20"/>
          <w:szCs w:val="20"/>
        </w:rPr>
        <w:t>apply</w:t>
      </w:r>
      <w:r w:rsidRPr="00CE68A2">
        <w:rPr>
          <w:rFonts w:ascii="Arial" w:hAnsi="Arial" w:cs="Arial"/>
          <w:i/>
          <w:spacing w:val="1"/>
          <w:sz w:val="20"/>
          <w:szCs w:val="20"/>
        </w:rPr>
        <w:t xml:space="preserve"> </w:t>
      </w:r>
      <w:r w:rsidRPr="00CE68A2">
        <w:rPr>
          <w:rFonts w:ascii="Arial" w:hAnsi="Arial" w:cs="Arial"/>
          <w:i/>
          <w:sz w:val="20"/>
          <w:szCs w:val="20"/>
        </w:rPr>
        <w:t>in</w:t>
      </w:r>
      <w:r w:rsidRPr="00CE68A2">
        <w:rPr>
          <w:rFonts w:ascii="Arial" w:hAnsi="Arial" w:cs="Arial"/>
          <w:i/>
          <w:spacing w:val="-1"/>
          <w:sz w:val="20"/>
          <w:szCs w:val="20"/>
        </w:rPr>
        <w:t xml:space="preserve"> </w:t>
      </w:r>
      <w:r w:rsidRPr="00CE68A2">
        <w:rPr>
          <w:rFonts w:ascii="Arial" w:hAnsi="Arial" w:cs="Arial"/>
          <w:i/>
          <w:sz w:val="20"/>
          <w:szCs w:val="20"/>
        </w:rPr>
        <w:t>all sections.</w:t>
      </w:r>
    </w:p>
    <w:p w14:paraId="5051BD50" w14:textId="77777777" w:rsidR="0074189B" w:rsidRPr="004712D3" w:rsidRDefault="0074189B" w:rsidP="004712D3">
      <w:pPr>
        <w:pStyle w:val="BodyText"/>
        <w:spacing w:before="122" w:line="237" w:lineRule="auto"/>
        <w:ind w:left="1273" w:right="195" w:hanging="567"/>
        <w:rPr>
          <w:rFonts w:ascii="Arial" w:hAnsi="Arial" w:cs="Arial"/>
          <w:sz w:val="20"/>
          <w:szCs w:val="20"/>
        </w:rPr>
      </w:pPr>
    </w:p>
    <w:tbl>
      <w:tblPr>
        <w:tblStyle w:val="TableGrid31"/>
        <w:tblW w:w="9180" w:type="dxa"/>
        <w:tblInd w:w="421" w:type="dxa"/>
        <w:tblLayout w:type="fixed"/>
        <w:tblLook w:val="01E0" w:firstRow="1" w:lastRow="1" w:firstColumn="1" w:lastColumn="1" w:noHBand="0" w:noVBand="0"/>
      </w:tblPr>
      <w:tblGrid>
        <w:gridCol w:w="1134"/>
        <w:gridCol w:w="21"/>
        <w:gridCol w:w="8025"/>
      </w:tblGrid>
      <w:tr w:rsidR="0074189B" w:rsidRPr="00276D5E" w14:paraId="0F000EF9" w14:textId="77777777" w:rsidTr="00516C81">
        <w:trPr>
          <w:trHeight w:val="203"/>
        </w:trPr>
        <w:tc>
          <w:tcPr>
            <w:tcW w:w="9180" w:type="dxa"/>
            <w:gridSpan w:val="3"/>
            <w:shd w:val="clear" w:color="auto" w:fill="F2F2F2" w:themeFill="background1" w:themeFillShade="F2"/>
          </w:tcPr>
          <w:p w14:paraId="6AD881FF" w14:textId="77777777" w:rsidR="0074189B" w:rsidRPr="00276D5E" w:rsidRDefault="0074189B" w:rsidP="009D4B90">
            <w:pPr>
              <w:pStyle w:val="TableParagraph"/>
              <w:spacing w:before="1" w:line="225" w:lineRule="exact"/>
              <w:ind w:left="86"/>
              <w:rPr>
                <w:rFonts w:ascii="Arial" w:hAnsi="Arial" w:cs="Arial"/>
                <w:b/>
              </w:rPr>
            </w:pPr>
            <w:r w:rsidRPr="00276D5E">
              <w:rPr>
                <w:rFonts w:ascii="Arial" w:hAnsi="Arial" w:cs="Arial"/>
                <w:b/>
              </w:rPr>
              <w:t>SECTION</w:t>
            </w:r>
            <w:r w:rsidRPr="00276D5E">
              <w:rPr>
                <w:rFonts w:ascii="Arial" w:hAnsi="Arial" w:cs="Arial"/>
                <w:b/>
                <w:spacing w:val="-3"/>
              </w:rPr>
              <w:t xml:space="preserve"> </w:t>
            </w:r>
            <w:r w:rsidRPr="00276D5E">
              <w:rPr>
                <w:rFonts w:ascii="Arial" w:hAnsi="Arial" w:cs="Arial"/>
                <w:b/>
              </w:rPr>
              <w:t>1:</w:t>
            </w:r>
            <w:r w:rsidRPr="00276D5E">
              <w:rPr>
                <w:rFonts w:ascii="Arial" w:hAnsi="Arial" w:cs="Arial"/>
                <w:b/>
                <w:spacing w:val="-3"/>
              </w:rPr>
              <w:t xml:space="preserve"> </w:t>
            </w:r>
            <w:r w:rsidRPr="00276D5E">
              <w:rPr>
                <w:rFonts w:ascii="Arial" w:hAnsi="Arial" w:cs="Arial"/>
                <w:b/>
              </w:rPr>
              <w:t>PRE-FLIGHT</w:t>
            </w:r>
            <w:r w:rsidRPr="00276D5E">
              <w:rPr>
                <w:rFonts w:ascii="Arial" w:hAnsi="Arial" w:cs="Arial"/>
                <w:b/>
                <w:spacing w:val="-4"/>
              </w:rPr>
              <w:t xml:space="preserve"> </w:t>
            </w:r>
            <w:r w:rsidRPr="00276D5E">
              <w:rPr>
                <w:rFonts w:ascii="Arial" w:hAnsi="Arial" w:cs="Arial"/>
                <w:b/>
              </w:rPr>
              <w:t>OPERATIONS,</w:t>
            </w:r>
            <w:r w:rsidRPr="00276D5E">
              <w:rPr>
                <w:rFonts w:ascii="Arial" w:hAnsi="Arial" w:cs="Arial"/>
                <w:b/>
                <w:spacing w:val="-5"/>
              </w:rPr>
              <w:t xml:space="preserve"> </w:t>
            </w:r>
            <w:r w:rsidRPr="00276D5E">
              <w:rPr>
                <w:rFonts w:ascii="Arial" w:hAnsi="Arial" w:cs="Arial"/>
                <w:b/>
              </w:rPr>
              <w:t>INFLATION</w:t>
            </w:r>
            <w:r w:rsidRPr="00276D5E">
              <w:rPr>
                <w:rFonts w:ascii="Arial" w:hAnsi="Arial" w:cs="Arial"/>
                <w:b/>
                <w:spacing w:val="-3"/>
              </w:rPr>
              <w:t xml:space="preserve"> </w:t>
            </w:r>
            <w:r w:rsidRPr="00276D5E">
              <w:rPr>
                <w:rFonts w:ascii="Arial" w:hAnsi="Arial" w:cs="Arial"/>
                <w:b/>
              </w:rPr>
              <w:t>AND</w:t>
            </w:r>
            <w:r w:rsidRPr="00276D5E">
              <w:rPr>
                <w:rFonts w:ascii="Arial" w:hAnsi="Arial" w:cs="Arial"/>
                <w:b/>
                <w:spacing w:val="-3"/>
              </w:rPr>
              <w:t xml:space="preserve"> </w:t>
            </w:r>
            <w:r w:rsidRPr="00276D5E">
              <w:rPr>
                <w:rFonts w:ascii="Arial" w:hAnsi="Arial" w:cs="Arial"/>
                <w:b/>
              </w:rPr>
              <w:t>TAKE-OFF</w:t>
            </w:r>
          </w:p>
        </w:tc>
      </w:tr>
      <w:tr w:rsidR="0074189B" w:rsidRPr="00276D5E" w14:paraId="4D81F3A5" w14:textId="77777777" w:rsidTr="00516C81">
        <w:trPr>
          <w:trHeight w:val="689"/>
        </w:trPr>
        <w:tc>
          <w:tcPr>
            <w:tcW w:w="1155" w:type="dxa"/>
            <w:gridSpan w:val="2"/>
          </w:tcPr>
          <w:p w14:paraId="104B1956" w14:textId="77777777" w:rsidR="0074189B" w:rsidRPr="00276D5E" w:rsidRDefault="0074189B" w:rsidP="009D4B90">
            <w:pPr>
              <w:pStyle w:val="TableParagraph"/>
              <w:ind w:left="86"/>
              <w:rPr>
                <w:rFonts w:ascii="Arial" w:hAnsi="Arial" w:cs="Arial"/>
              </w:rPr>
            </w:pPr>
            <w:r w:rsidRPr="00276D5E">
              <w:rPr>
                <w:rFonts w:ascii="Arial" w:hAnsi="Arial" w:cs="Arial"/>
                <w:w w:val="99"/>
              </w:rPr>
              <w:t>a</w:t>
            </w:r>
          </w:p>
        </w:tc>
        <w:tc>
          <w:tcPr>
            <w:tcW w:w="8025" w:type="dxa"/>
          </w:tcPr>
          <w:p w14:paraId="250F0D67" w14:textId="35B9406F" w:rsidR="0074189B" w:rsidRPr="00276D5E" w:rsidRDefault="0074189B" w:rsidP="00516C81">
            <w:pPr>
              <w:pStyle w:val="TableParagraph"/>
              <w:ind w:right="168"/>
              <w:rPr>
                <w:rFonts w:ascii="Arial" w:hAnsi="Arial" w:cs="Arial"/>
              </w:rPr>
            </w:pPr>
            <w:r w:rsidRPr="00276D5E">
              <w:rPr>
                <w:rFonts w:ascii="Arial" w:hAnsi="Arial" w:cs="Arial"/>
              </w:rPr>
              <w:t>Pre-flight documentation (licence, medical certificate, permits to take off, insurance</w:t>
            </w:r>
            <w:r w:rsidRPr="00276D5E">
              <w:rPr>
                <w:rFonts w:ascii="Arial" w:hAnsi="Arial" w:cs="Arial"/>
                <w:spacing w:val="1"/>
              </w:rPr>
              <w:t xml:space="preserve"> </w:t>
            </w:r>
            <w:r w:rsidRPr="00276D5E">
              <w:rPr>
                <w:rFonts w:ascii="Arial" w:hAnsi="Arial" w:cs="Arial"/>
              </w:rPr>
              <w:t>certificate,</w:t>
            </w:r>
            <w:r w:rsidRPr="00276D5E">
              <w:rPr>
                <w:rFonts w:ascii="Arial" w:hAnsi="Arial" w:cs="Arial"/>
                <w:spacing w:val="-3"/>
              </w:rPr>
              <w:t xml:space="preserve"> </w:t>
            </w:r>
            <w:r w:rsidRPr="00276D5E">
              <w:rPr>
                <w:rFonts w:ascii="Arial" w:hAnsi="Arial" w:cs="Arial"/>
              </w:rPr>
              <w:t>aeronautical</w:t>
            </w:r>
            <w:r w:rsidRPr="00276D5E">
              <w:rPr>
                <w:rFonts w:ascii="Arial" w:hAnsi="Arial" w:cs="Arial"/>
                <w:spacing w:val="-2"/>
              </w:rPr>
              <w:t xml:space="preserve"> </w:t>
            </w:r>
            <w:r w:rsidRPr="00276D5E">
              <w:rPr>
                <w:rFonts w:ascii="Arial" w:hAnsi="Arial" w:cs="Arial"/>
              </w:rPr>
              <w:t>charts,</w:t>
            </w:r>
            <w:r w:rsidRPr="00276D5E">
              <w:rPr>
                <w:rFonts w:ascii="Arial" w:hAnsi="Arial" w:cs="Arial"/>
                <w:spacing w:val="-2"/>
              </w:rPr>
              <w:t xml:space="preserve"> </w:t>
            </w:r>
            <w:r w:rsidRPr="00276D5E">
              <w:rPr>
                <w:rFonts w:ascii="Arial" w:hAnsi="Arial" w:cs="Arial"/>
              </w:rPr>
              <w:t>AFM,</w:t>
            </w:r>
            <w:r w:rsidRPr="00276D5E">
              <w:rPr>
                <w:rFonts w:ascii="Arial" w:hAnsi="Arial" w:cs="Arial"/>
                <w:spacing w:val="-2"/>
              </w:rPr>
              <w:t xml:space="preserve"> </w:t>
            </w:r>
            <w:r w:rsidRPr="00276D5E">
              <w:rPr>
                <w:rFonts w:ascii="Arial" w:hAnsi="Arial" w:cs="Arial"/>
              </w:rPr>
              <w:t>logbook,</w:t>
            </w:r>
            <w:r w:rsidRPr="00276D5E">
              <w:rPr>
                <w:rFonts w:ascii="Arial" w:hAnsi="Arial" w:cs="Arial"/>
                <w:spacing w:val="-3"/>
              </w:rPr>
              <w:t xml:space="preserve"> </w:t>
            </w:r>
            <w:r w:rsidRPr="00276D5E">
              <w:rPr>
                <w:rFonts w:ascii="Arial" w:hAnsi="Arial" w:cs="Arial"/>
              </w:rPr>
              <w:t>technical</w:t>
            </w:r>
            <w:r w:rsidRPr="00276D5E">
              <w:rPr>
                <w:rFonts w:ascii="Arial" w:hAnsi="Arial" w:cs="Arial"/>
                <w:spacing w:val="-2"/>
              </w:rPr>
              <w:t xml:space="preserve"> </w:t>
            </w:r>
            <w:r w:rsidRPr="00276D5E">
              <w:rPr>
                <w:rFonts w:ascii="Arial" w:hAnsi="Arial" w:cs="Arial"/>
              </w:rPr>
              <w:t>logbook,</w:t>
            </w:r>
            <w:r w:rsidRPr="00276D5E">
              <w:rPr>
                <w:rFonts w:ascii="Arial" w:hAnsi="Arial" w:cs="Arial"/>
                <w:spacing w:val="-2"/>
              </w:rPr>
              <w:t xml:space="preserve"> </w:t>
            </w:r>
            <w:r w:rsidRPr="00276D5E">
              <w:rPr>
                <w:rFonts w:ascii="Arial" w:hAnsi="Arial" w:cs="Arial"/>
              </w:rPr>
              <w:t>checklists</w:t>
            </w:r>
            <w:r w:rsidRPr="00276D5E">
              <w:rPr>
                <w:rFonts w:ascii="Arial" w:hAnsi="Arial" w:cs="Arial"/>
                <w:spacing w:val="-3"/>
              </w:rPr>
              <w:t xml:space="preserve"> </w:t>
            </w:r>
            <w:r w:rsidRPr="00276D5E">
              <w:rPr>
                <w:rFonts w:ascii="Arial" w:hAnsi="Arial" w:cs="Arial"/>
              </w:rPr>
              <w:t>etc.),</w:t>
            </w:r>
            <w:r w:rsidRPr="00276D5E">
              <w:rPr>
                <w:rFonts w:ascii="Arial" w:hAnsi="Arial" w:cs="Arial"/>
                <w:spacing w:val="-3"/>
              </w:rPr>
              <w:t xml:space="preserve"> </w:t>
            </w:r>
            <w:r w:rsidRPr="00276D5E">
              <w:rPr>
                <w:rFonts w:ascii="Arial" w:hAnsi="Arial" w:cs="Arial"/>
              </w:rPr>
              <w:t>flight</w:t>
            </w:r>
            <w:r w:rsidR="00516C81">
              <w:rPr>
                <w:rFonts w:ascii="Arial" w:hAnsi="Arial" w:cs="Arial"/>
              </w:rPr>
              <w:t xml:space="preserve"> </w:t>
            </w:r>
            <w:r w:rsidRPr="00276D5E">
              <w:rPr>
                <w:rFonts w:ascii="Arial" w:hAnsi="Arial" w:cs="Arial"/>
              </w:rPr>
              <w:t>planning,</w:t>
            </w:r>
            <w:r w:rsidRPr="00276D5E">
              <w:rPr>
                <w:rFonts w:ascii="Arial" w:hAnsi="Arial" w:cs="Arial"/>
                <w:spacing w:val="-4"/>
              </w:rPr>
              <w:t xml:space="preserve"> </w:t>
            </w:r>
            <w:r w:rsidRPr="00276D5E">
              <w:rPr>
                <w:rFonts w:ascii="Arial" w:hAnsi="Arial" w:cs="Arial"/>
              </w:rPr>
              <w:t>NOTAM(s)</w:t>
            </w:r>
            <w:r w:rsidRPr="00276D5E">
              <w:rPr>
                <w:rFonts w:ascii="Arial" w:hAnsi="Arial" w:cs="Arial"/>
                <w:spacing w:val="-4"/>
              </w:rPr>
              <w:t xml:space="preserve"> </w:t>
            </w:r>
            <w:r w:rsidRPr="00276D5E">
              <w:rPr>
                <w:rFonts w:ascii="Arial" w:hAnsi="Arial" w:cs="Arial"/>
              </w:rPr>
              <w:t>and</w:t>
            </w:r>
            <w:r w:rsidRPr="00276D5E">
              <w:rPr>
                <w:rFonts w:ascii="Arial" w:hAnsi="Arial" w:cs="Arial"/>
                <w:spacing w:val="-3"/>
              </w:rPr>
              <w:t xml:space="preserve"> </w:t>
            </w:r>
            <w:r w:rsidRPr="00276D5E">
              <w:rPr>
                <w:rFonts w:ascii="Arial" w:hAnsi="Arial" w:cs="Arial"/>
              </w:rPr>
              <w:t>weather</w:t>
            </w:r>
            <w:r w:rsidRPr="00276D5E">
              <w:rPr>
                <w:rFonts w:ascii="Arial" w:hAnsi="Arial" w:cs="Arial"/>
                <w:spacing w:val="-4"/>
              </w:rPr>
              <w:t xml:space="preserve"> </w:t>
            </w:r>
            <w:r w:rsidRPr="00276D5E">
              <w:rPr>
                <w:rFonts w:ascii="Arial" w:hAnsi="Arial" w:cs="Arial"/>
              </w:rPr>
              <w:t>briefing</w:t>
            </w:r>
          </w:p>
        </w:tc>
      </w:tr>
      <w:tr w:rsidR="0074189B" w:rsidRPr="00276D5E" w14:paraId="5CBFBF59" w14:textId="77777777" w:rsidTr="00516C81">
        <w:trPr>
          <w:trHeight w:val="200"/>
        </w:trPr>
        <w:tc>
          <w:tcPr>
            <w:tcW w:w="1155" w:type="dxa"/>
            <w:gridSpan w:val="2"/>
          </w:tcPr>
          <w:p w14:paraId="0D6CE8DF" w14:textId="77777777" w:rsidR="0074189B" w:rsidRPr="00276D5E" w:rsidRDefault="0074189B" w:rsidP="009D4B90">
            <w:pPr>
              <w:pStyle w:val="TableParagraph"/>
              <w:spacing w:line="223" w:lineRule="exact"/>
              <w:ind w:left="86"/>
              <w:rPr>
                <w:rFonts w:ascii="Arial" w:hAnsi="Arial" w:cs="Arial"/>
              </w:rPr>
            </w:pPr>
            <w:r w:rsidRPr="00276D5E">
              <w:rPr>
                <w:rFonts w:ascii="Arial" w:hAnsi="Arial" w:cs="Arial"/>
                <w:w w:val="99"/>
              </w:rPr>
              <w:t>b</w:t>
            </w:r>
          </w:p>
        </w:tc>
        <w:tc>
          <w:tcPr>
            <w:tcW w:w="8025" w:type="dxa"/>
          </w:tcPr>
          <w:p w14:paraId="262E6404" w14:textId="77777777" w:rsidR="0074189B" w:rsidRPr="00276D5E" w:rsidRDefault="0074189B" w:rsidP="009D4B90">
            <w:pPr>
              <w:pStyle w:val="TableParagraph"/>
              <w:spacing w:line="223" w:lineRule="exact"/>
              <w:rPr>
                <w:rFonts w:ascii="Arial" w:hAnsi="Arial" w:cs="Arial"/>
              </w:rPr>
            </w:pPr>
            <w:r w:rsidRPr="00276D5E">
              <w:rPr>
                <w:rFonts w:ascii="Arial" w:hAnsi="Arial" w:cs="Arial"/>
              </w:rPr>
              <w:t>Hot-air</w:t>
            </w:r>
            <w:r w:rsidRPr="00276D5E">
              <w:rPr>
                <w:rFonts w:ascii="Arial" w:hAnsi="Arial" w:cs="Arial"/>
                <w:spacing w:val="-4"/>
              </w:rPr>
              <w:t xml:space="preserve"> </w:t>
            </w:r>
            <w:r w:rsidRPr="00276D5E">
              <w:rPr>
                <w:rFonts w:ascii="Arial" w:hAnsi="Arial" w:cs="Arial"/>
              </w:rPr>
              <w:t>airship</w:t>
            </w:r>
            <w:r w:rsidRPr="00276D5E">
              <w:rPr>
                <w:rFonts w:ascii="Arial" w:hAnsi="Arial" w:cs="Arial"/>
                <w:spacing w:val="-3"/>
              </w:rPr>
              <w:t xml:space="preserve"> </w:t>
            </w:r>
            <w:r w:rsidRPr="00276D5E">
              <w:rPr>
                <w:rFonts w:ascii="Arial" w:hAnsi="Arial" w:cs="Arial"/>
              </w:rPr>
              <w:t>inspection</w:t>
            </w:r>
            <w:r w:rsidRPr="00276D5E">
              <w:rPr>
                <w:rFonts w:ascii="Arial" w:hAnsi="Arial" w:cs="Arial"/>
                <w:spacing w:val="-2"/>
              </w:rPr>
              <w:t xml:space="preserve"> </w:t>
            </w:r>
            <w:r w:rsidRPr="00276D5E">
              <w:rPr>
                <w:rFonts w:ascii="Arial" w:hAnsi="Arial" w:cs="Arial"/>
              </w:rPr>
              <w:t>and</w:t>
            </w:r>
            <w:r w:rsidRPr="00276D5E">
              <w:rPr>
                <w:rFonts w:ascii="Arial" w:hAnsi="Arial" w:cs="Arial"/>
                <w:spacing w:val="-5"/>
              </w:rPr>
              <w:t xml:space="preserve"> </w:t>
            </w:r>
            <w:r w:rsidRPr="00276D5E">
              <w:rPr>
                <w:rFonts w:ascii="Arial" w:hAnsi="Arial" w:cs="Arial"/>
              </w:rPr>
              <w:t>servicing</w:t>
            </w:r>
          </w:p>
        </w:tc>
      </w:tr>
      <w:tr w:rsidR="0074189B" w:rsidRPr="00276D5E" w14:paraId="62D68292" w14:textId="77777777" w:rsidTr="00516C81">
        <w:trPr>
          <w:trHeight w:val="202"/>
        </w:trPr>
        <w:tc>
          <w:tcPr>
            <w:tcW w:w="1155" w:type="dxa"/>
            <w:gridSpan w:val="2"/>
          </w:tcPr>
          <w:p w14:paraId="431CA7A0" w14:textId="77777777" w:rsidR="0074189B" w:rsidRPr="00276D5E" w:rsidRDefault="0074189B" w:rsidP="009D4B90">
            <w:pPr>
              <w:pStyle w:val="TableParagraph"/>
              <w:spacing w:before="1" w:line="225" w:lineRule="exact"/>
              <w:ind w:left="86"/>
              <w:rPr>
                <w:rFonts w:ascii="Arial" w:hAnsi="Arial" w:cs="Arial"/>
              </w:rPr>
            </w:pPr>
            <w:r w:rsidRPr="00276D5E">
              <w:rPr>
                <w:rFonts w:ascii="Arial" w:hAnsi="Arial" w:cs="Arial"/>
                <w:w w:val="99"/>
              </w:rPr>
              <w:t>c</w:t>
            </w:r>
          </w:p>
        </w:tc>
        <w:tc>
          <w:tcPr>
            <w:tcW w:w="8025" w:type="dxa"/>
          </w:tcPr>
          <w:p w14:paraId="3D578D5A" w14:textId="77777777" w:rsidR="0074189B" w:rsidRPr="00276D5E" w:rsidRDefault="0074189B" w:rsidP="009D4B90">
            <w:pPr>
              <w:pStyle w:val="TableParagraph"/>
              <w:spacing w:before="1" w:line="225" w:lineRule="exact"/>
              <w:rPr>
                <w:rFonts w:ascii="Arial" w:hAnsi="Arial" w:cs="Arial"/>
              </w:rPr>
            </w:pPr>
            <w:r w:rsidRPr="00276D5E">
              <w:rPr>
                <w:rFonts w:ascii="Arial" w:hAnsi="Arial" w:cs="Arial"/>
              </w:rPr>
              <w:t>Suitability</w:t>
            </w:r>
            <w:r w:rsidRPr="00276D5E">
              <w:rPr>
                <w:rFonts w:ascii="Arial" w:hAnsi="Arial" w:cs="Arial"/>
                <w:spacing w:val="-2"/>
              </w:rPr>
              <w:t xml:space="preserve"> </w:t>
            </w:r>
            <w:r w:rsidRPr="00276D5E">
              <w:rPr>
                <w:rFonts w:ascii="Arial" w:hAnsi="Arial" w:cs="Arial"/>
              </w:rPr>
              <w:t>of</w:t>
            </w:r>
            <w:r w:rsidRPr="00276D5E">
              <w:rPr>
                <w:rFonts w:ascii="Arial" w:hAnsi="Arial" w:cs="Arial"/>
                <w:spacing w:val="-4"/>
              </w:rPr>
              <w:t xml:space="preserve"> </w:t>
            </w:r>
            <w:r w:rsidRPr="00276D5E">
              <w:rPr>
                <w:rFonts w:ascii="Arial" w:hAnsi="Arial" w:cs="Arial"/>
              </w:rPr>
              <w:t>launch</w:t>
            </w:r>
            <w:r w:rsidRPr="00276D5E">
              <w:rPr>
                <w:rFonts w:ascii="Arial" w:hAnsi="Arial" w:cs="Arial"/>
                <w:spacing w:val="-3"/>
              </w:rPr>
              <w:t xml:space="preserve"> </w:t>
            </w:r>
            <w:r w:rsidRPr="00276D5E">
              <w:rPr>
                <w:rFonts w:ascii="Arial" w:hAnsi="Arial" w:cs="Arial"/>
              </w:rPr>
              <w:t>site</w:t>
            </w:r>
          </w:p>
        </w:tc>
      </w:tr>
      <w:tr w:rsidR="0074189B" w:rsidRPr="00276D5E" w14:paraId="63D9DE32" w14:textId="77777777" w:rsidTr="00516C81">
        <w:trPr>
          <w:trHeight w:val="200"/>
        </w:trPr>
        <w:tc>
          <w:tcPr>
            <w:tcW w:w="1155" w:type="dxa"/>
            <w:gridSpan w:val="2"/>
          </w:tcPr>
          <w:p w14:paraId="5A5C02D0" w14:textId="77777777" w:rsidR="0074189B" w:rsidRPr="00276D5E" w:rsidRDefault="0074189B" w:rsidP="009D4B90">
            <w:pPr>
              <w:pStyle w:val="TableParagraph"/>
              <w:spacing w:line="223" w:lineRule="exact"/>
              <w:ind w:left="86"/>
              <w:rPr>
                <w:rFonts w:ascii="Arial" w:hAnsi="Arial" w:cs="Arial"/>
              </w:rPr>
            </w:pPr>
            <w:r w:rsidRPr="00276D5E">
              <w:rPr>
                <w:rFonts w:ascii="Arial" w:hAnsi="Arial" w:cs="Arial"/>
                <w:w w:val="99"/>
              </w:rPr>
              <w:t>d</w:t>
            </w:r>
          </w:p>
        </w:tc>
        <w:tc>
          <w:tcPr>
            <w:tcW w:w="8025" w:type="dxa"/>
          </w:tcPr>
          <w:p w14:paraId="16E4D55C" w14:textId="77777777" w:rsidR="0074189B" w:rsidRPr="00276D5E" w:rsidRDefault="0074189B" w:rsidP="009D4B90">
            <w:pPr>
              <w:pStyle w:val="TableParagraph"/>
              <w:spacing w:line="223" w:lineRule="exact"/>
              <w:rPr>
                <w:rFonts w:ascii="Arial" w:hAnsi="Arial" w:cs="Arial"/>
              </w:rPr>
            </w:pPr>
            <w:r w:rsidRPr="00276D5E">
              <w:rPr>
                <w:rFonts w:ascii="Arial" w:hAnsi="Arial" w:cs="Arial"/>
              </w:rPr>
              <w:t>Load</w:t>
            </w:r>
            <w:r w:rsidRPr="00276D5E">
              <w:rPr>
                <w:rFonts w:ascii="Arial" w:hAnsi="Arial" w:cs="Arial"/>
                <w:spacing w:val="-2"/>
              </w:rPr>
              <w:t xml:space="preserve"> </w:t>
            </w:r>
            <w:r w:rsidRPr="00276D5E">
              <w:rPr>
                <w:rFonts w:ascii="Arial" w:hAnsi="Arial" w:cs="Arial"/>
              </w:rPr>
              <w:t>calculation</w:t>
            </w:r>
          </w:p>
        </w:tc>
      </w:tr>
      <w:tr w:rsidR="0074189B" w:rsidRPr="00276D5E" w14:paraId="388D81E7" w14:textId="77777777" w:rsidTr="00516C81">
        <w:trPr>
          <w:trHeight w:val="202"/>
        </w:trPr>
        <w:tc>
          <w:tcPr>
            <w:tcW w:w="1155" w:type="dxa"/>
            <w:gridSpan w:val="2"/>
          </w:tcPr>
          <w:p w14:paraId="382E11B6" w14:textId="77777777" w:rsidR="0074189B" w:rsidRPr="00276D5E" w:rsidRDefault="0074189B" w:rsidP="009D4B90">
            <w:pPr>
              <w:pStyle w:val="TableParagraph"/>
              <w:spacing w:line="225" w:lineRule="exact"/>
              <w:ind w:left="86"/>
              <w:rPr>
                <w:rFonts w:ascii="Arial" w:hAnsi="Arial" w:cs="Arial"/>
              </w:rPr>
            </w:pPr>
            <w:r w:rsidRPr="00276D5E">
              <w:rPr>
                <w:rFonts w:ascii="Arial" w:hAnsi="Arial" w:cs="Arial"/>
                <w:w w:val="99"/>
              </w:rPr>
              <w:t>e</w:t>
            </w:r>
          </w:p>
        </w:tc>
        <w:tc>
          <w:tcPr>
            <w:tcW w:w="8025" w:type="dxa"/>
          </w:tcPr>
          <w:p w14:paraId="5A6A3C05" w14:textId="77777777" w:rsidR="0074189B" w:rsidRPr="00276D5E" w:rsidRDefault="0074189B" w:rsidP="009D4B90">
            <w:pPr>
              <w:pStyle w:val="TableParagraph"/>
              <w:spacing w:line="225" w:lineRule="exact"/>
              <w:rPr>
                <w:rFonts w:ascii="Arial" w:hAnsi="Arial" w:cs="Arial"/>
              </w:rPr>
            </w:pPr>
            <w:r w:rsidRPr="00276D5E">
              <w:rPr>
                <w:rFonts w:ascii="Arial" w:hAnsi="Arial" w:cs="Arial"/>
              </w:rPr>
              <w:t>Crowd</w:t>
            </w:r>
            <w:r w:rsidRPr="00276D5E">
              <w:rPr>
                <w:rFonts w:ascii="Arial" w:hAnsi="Arial" w:cs="Arial"/>
                <w:spacing w:val="-3"/>
              </w:rPr>
              <w:t xml:space="preserve"> </w:t>
            </w:r>
            <w:r w:rsidRPr="00276D5E">
              <w:rPr>
                <w:rFonts w:ascii="Arial" w:hAnsi="Arial" w:cs="Arial"/>
              </w:rPr>
              <w:t>control,</w:t>
            </w:r>
            <w:r w:rsidRPr="00276D5E">
              <w:rPr>
                <w:rFonts w:ascii="Arial" w:hAnsi="Arial" w:cs="Arial"/>
                <w:spacing w:val="-2"/>
              </w:rPr>
              <w:t xml:space="preserve"> </w:t>
            </w:r>
            <w:r w:rsidRPr="00276D5E">
              <w:rPr>
                <w:rFonts w:ascii="Arial" w:hAnsi="Arial" w:cs="Arial"/>
              </w:rPr>
              <w:t>crew</w:t>
            </w:r>
            <w:r w:rsidRPr="00276D5E">
              <w:rPr>
                <w:rFonts w:ascii="Arial" w:hAnsi="Arial" w:cs="Arial"/>
                <w:spacing w:val="-4"/>
              </w:rPr>
              <w:t xml:space="preserve"> </w:t>
            </w:r>
            <w:r w:rsidRPr="00276D5E">
              <w:rPr>
                <w:rFonts w:ascii="Arial" w:hAnsi="Arial" w:cs="Arial"/>
              </w:rPr>
              <w:t>and</w:t>
            </w:r>
            <w:r w:rsidRPr="00276D5E">
              <w:rPr>
                <w:rFonts w:ascii="Arial" w:hAnsi="Arial" w:cs="Arial"/>
                <w:spacing w:val="-2"/>
              </w:rPr>
              <w:t xml:space="preserve"> </w:t>
            </w:r>
            <w:r w:rsidRPr="00276D5E">
              <w:rPr>
                <w:rFonts w:ascii="Arial" w:hAnsi="Arial" w:cs="Arial"/>
              </w:rPr>
              <w:t>passenger</w:t>
            </w:r>
            <w:r w:rsidRPr="00276D5E">
              <w:rPr>
                <w:rFonts w:ascii="Arial" w:hAnsi="Arial" w:cs="Arial"/>
                <w:spacing w:val="-3"/>
              </w:rPr>
              <w:t xml:space="preserve"> </w:t>
            </w:r>
            <w:r w:rsidRPr="00276D5E">
              <w:rPr>
                <w:rFonts w:ascii="Arial" w:hAnsi="Arial" w:cs="Arial"/>
              </w:rPr>
              <w:t>briefings</w:t>
            </w:r>
          </w:p>
        </w:tc>
      </w:tr>
      <w:tr w:rsidR="0074189B" w:rsidRPr="00276D5E" w14:paraId="6D359452" w14:textId="77777777" w:rsidTr="00516C81">
        <w:trPr>
          <w:trHeight w:val="200"/>
        </w:trPr>
        <w:tc>
          <w:tcPr>
            <w:tcW w:w="1155" w:type="dxa"/>
            <w:gridSpan w:val="2"/>
          </w:tcPr>
          <w:p w14:paraId="27BD5EF3" w14:textId="77777777" w:rsidR="0074189B" w:rsidRPr="00276D5E" w:rsidRDefault="0074189B" w:rsidP="009D4B90">
            <w:pPr>
              <w:pStyle w:val="TableParagraph"/>
              <w:spacing w:line="223" w:lineRule="exact"/>
              <w:ind w:left="86"/>
              <w:rPr>
                <w:rFonts w:ascii="Arial" w:hAnsi="Arial" w:cs="Arial"/>
              </w:rPr>
            </w:pPr>
            <w:r w:rsidRPr="00276D5E">
              <w:rPr>
                <w:rFonts w:ascii="Arial" w:hAnsi="Arial" w:cs="Arial"/>
                <w:w w:val="99"/>
              </w:rPr>
              <w:t>f</w:t>
            </w:r>
          </w:p>
        </w:tc>
        <w:tc>
          <w:tcPr>
            <w:tcW w:w="8025" w:type="dxa"/>
          </w:tcPr>
          <w:p w14:paraId="26F05690" w14:textId="77777777" w:rsidR="0074189B" w:rsidRPr="00276D5E" w:rsidRDefault="0074189B" w:rsidP="009D4B90">
            <w:pPr>
              <w:pStyle w:val="TableParagraph"/>
              <w:spacing w:line="223" w:lineRule="exact"/>
              <w:rPr>
                <w:rFonts w:ascii="Arial" w:hAnsi="Arial" w:cs="Arial"/>
              </w:rPr>
            </w:pPr>
            <w:r w:rsidRPr="00276D5E">
              <w:rPr>
                <w:rFonts w:ascii="Arial" w:hAnsi="Arial" w:cs="Arial"/>
              </w:rPr>
              <w:t>Assembly</w:t>
            </w:r>
            <w:r w:rsidRPr="00276D5E">
              <w:rPr>
                <w:rFonts w:ascii="Arial" w:hAnsi="Arial" w:cs="Arial"/>
                <w:spacing w:val="-3"/>
              </w:rPr>
              <w:t xml:space="preserve"> </w:t>
            </w:r>
            <w:r w:rsidRPr="00276D5E">
              <w:rPr>
                <w:rFonts w:ascii="Arial" w:hAnsi="Arial" w:cs="Arial"/>
              </w:rPr>
              <w:t>and</w:t>
            </w:r>
            <w:r w:rsidRPr="00276D5E">
              <w:rPr>
                <w:rFonts w:ascii="Arial" w:hAnsi="Arial" w:cs="Arial"/>
                <w:spacing w:val="-2"/>
              </w:rPr>
              <w:t xml:space="preserve"> </w:t>
            </w:r>
            <w:r w:rsidRPr="00276D5E">
              <w:rPr>
                <w:rFonts w:ascii="Arial" w:hAnsi="Arial" w:cs="Arial"/>
              </w:rPr>
              <w:t>layout</w:t>
            </w:r>
          </w:p>
        </w:tc>
      </w:tr>
      <w:tr w:rsidR="0074189B" w:rsidRPr="00276D5E" w14:paraId="06116FE3" w14:textId="77777777" w:rsidTr="00516C81">
        <w:trPr>
          <w:trHeight w:val="202"/>
        </w:trPr>
        <w:tc>
          <w:tcPr>
            <w:tcW w:w="1155" w:type="dxa"/>
            <w:gridSpan w:val="2"/>
          </w:tcPr>
          <w:p w14:paraId="3B880EF7" w14:textId="77777777" w:rsidR="0074189B" w:rsidRPr="00276D5E" w:rsidRDefault="0074189B" w:rsidP="009D4B90">
            <w:pPr>
              <w:pStyle w:val="TableParagraph"/>
              <w:spacing w:line="225" w:lineRule="exact"/>
              <w:ind w:left="86"/>
              <w:rPr>
                <w:rFonts w:ascii="Arial" w:hAnsi="Arial" w:cs="Arial"/>
              </w:rPr>
            </w:pPr>
            <w:r w:rsidRPr="00276D5E">
              <w:rPr>
                <w:rFonts w:ascii="Arial" w:hAnsi="Arial" w:cs="Arial"/>
                <w:w w:val="99"/>
              </w:rPr>
              <w:t>g</w:t>
            </w:r>
          </w:p>
        </w:tc>
        <w:tc>
          <w:tcPr>
            <w:tcW w:w="8025" w:type="dxa"/>
          </w:tcPr>
          <w:p w14:paraId="6DB2F943" w14:textId="77777777" w:rsidR="0074189B" w:rsidRPr="00276D5E" w:rsidRDefault="0074189B" w:rsidP="009D4B90">
            <w:pPr>
              <w:pStyle w:val="TableParagraph"/>
              <w:spacing w:line="225" w:lineRule="exact"/>
              <w:rPr>
                <w:rFonts w:ascii="Arial" w:hAnsi="Arial" w:cs="Arial"/>
              </w:rPr>
            </w:pPr>
            <w:r w:rsidRPr="00276D5E">
              <w:rPr>
                <w:rFonts w:ascii="Arial" w:hAnsi="Arial" w:cs="Arial"/>
              </w:rPr>
              <w:t>Inflation</w:t>
            </w:r>
            <w:r w:rsidRPr="00276D5E">
              <w:rPr>
                <w:rFonts w:ascii="Arial" w:hAnsi="Arial" w:cs="Arial"/>
                <w:spacing w:val="-2"/>
              </w:rPr>
              <w:t xml:space="preserve"> </w:t>
            </w:r>
            <w:r w:rsidRPr="00276D5E">
              <w:rPr>
                <w:rFonts w:ascii="Arial" w:hAnsi="Arial" w:cs="Arial"/>
              </w:rPr>
              <w:t>and</w:t>
            </w:r>
            <w:r w:rsidRPr="00276D5E">
              <w:rPr>
                <w:rFonts w:ascii="Arial" w:hAnsi="Arial" w:cs="Arial"/>
                <w:spacing w:val="-3"/>
              </w:rPr>
              <w:t xml:space="preserve"> </w:t>
            </w:r>
            <w:r w:rsidRPr="00276D5E">
              <w:rPr>
                <w:rFonts w:ascii="Arial" w:hAnsi="Arial" w:cs="Arial"/>
              </w:rPr>
              <w:t>pre-take-off</w:t>
            </w:r>
            <w:r w:rsidRPr="00276D5E">
              <w:rPr>
                <w:rFonts w:ascii="Arial" w:hAnsi="Arial" w:cs="Arial"/>
                <w:spacing w:val="-5"/>
              </w:rPr>
              <w:t xml:space="preserve"> </w:t>
            </w:r>
            <w:r w:rsidRPr="00276D5E">
              <w:rPr>
                <w:rFonts w:ascii="Arial" w:hAnsi="Arial" w:cs="Arial"/>
              </w:rPr>
              <w:t>procedures</w:t>
            </w:r>
          </w:p>
        </w:tc>
      </w:tr>
      <w:tr w:rsidR="0074189B" w:rsidRPr="00276D5E" w14:paraId="6EF9AAB7" w14:textId="77777777" w:rsidTr="00516C81">
        <w:trPr>
          <w:trHeight w:val="200"/>
        </w:trPr>
        <w:tc>
          <w:tcPr>
            <w:tcW w:w="1155" w:type="dxa"/>
            <w:gridSpan w:val="2"/>
          </w:tcPr>
          <w:p w14:paraId="65FE0458" w14:textId="77777777" w:rsidR="0074189B" w:rsidRPr="00276D5E" w:rsidRDefault="0074189B" w:rsidP="009D4B90">
            <w:pPr>
              <w:pStyle w:val="TableParagraph"/>
              <w:spacing w:line="224" w:lineRule="exact"/>
              <w:ind w:left="86"/>
              <w:rPr>
                <w:rFonts w:ascii="Arial" w:hAnsi="Arial" w:cs="Arial"/>
              </w:rPr>
            </w:pPr>
            <w:r w:rsidRPr="00276D5E">
              <w:rPr>
                <w:rFonts w:ascii="Arial" w:hAnsi="Arial" w:cs="Arial"/>
                <w:w w:val="99"/>
              </w:rPr>
              <w:t>h</w:t>
            </w:r>
          </w:p>
        </w:tc>
        <w:tc>
          <w:tcPr>
            <w:tcW w:w="8025" w:type="dxa"/>
          </w:tcPr>
          <w:p w14:paraId="5CF99C9A" w14:textId="77777777" w:rsidR="0074189B" w:rsidRPr="00276D5E" w:rsidRDefault="0074189B" w:rsidP="009D4B90">
            <w:pPr>
              <w:pStyle w:val="TableParagraph"/>
              <w:spacing w:line="224" w:lineRule="exact"/>
              <w:rPr>
                <w:rFonts w:ascii="Arial" w:hAnsi="Arial" w:cs="Arial"/>
              </w:rPr>
            </w:pPr>
            <w:r w:rsidRPr="00276D5E">
              <w:rPr>
                <w:rFonts w:ascii="Arial" w:hAnsi="Arial" w:cs="Arial"/>
              </w:rPr>
              <w:t>Take-off</w:t>
            </w:r>
          </w:p>
        </w:tc>
      </w:tr>
      <w:tr w:rsidR="0074189B" w:rsidRPr="00276D5E" w14:paraId="173C126E" w14:textId="77777777" w:rsidTr="00516C81">
        <w:trPr>
          <w:trHeight w:val="200"/>
        </w:trPr>
        <w:tc>
          <w:tcPr>
            <w:tcW w:w="1155" w:type="dxa"/>
            <w:gridSpan w:val="2"/>
          </w:tcPr>
          <w:p w14:paraId="7B172876" w14:textId="77777777" w:rsidR="0074189B" w:rsidRPr="0074189B" w:rsidRDefault="0074189B" w:rsidP="0074189B">
            <w:pPr>
              <w:pStyle w:val="TableParagraph"/>
              <w:spacing w:line="224" w:lineRule="exact"/>
              <w:ind w:left="86"/>
              <w:rPr>
                <w:rFonts w:ascii="Arial" w:hAnsi="Arial" w:cs="Arial"/>
                <w:w w:val="99"/>
              </w:rPr>
            </w:pPr>
            <w:r w:rsidRPr="00276D5E">
              <w:rPr>
                <w:rFonts w:ascii="Arial" w:hAnsi="Arial" w:cs="Arial"/>
                <w:w w:val="99"/>
              </w:rPr>
              <w:t>i</w:t>
            </w:r>
          </w:p>
        </w:tc>
        <w:tc>
          <w:tcPr>
            <w:tcW w:w="8025" w:type="dxa"/>
          </w:tcPr>
          <w:p w14:paraId="42782BFB" w14:textId="77777777" w:rsidR="0074189B" w:rsidRPr="00276D5E" w:rsidRDefault="0074189B" w:rsidP="0074189B">
            <w:pPr>
              <w:pStyle w:val="TableParagraph"/>
              <w:spacing w:line="224" w:lineRule="exact"/>
              <w:rPr>
                <w:rFonts w:ascii="Arial" w:hAnsi="Arial" w:cs="Arial"/>
              </w:rPr>
            </w:pPr>
            <w:r w:rsidRPr="00276D5E">
              <w:rPr>
                <w:rFonts w:ascii="Arial" w:hAnsi="Arial" w:cs="Arial"/>
              </w:rPr>
              <w:t>ATC</w:t>
            </w:r>
            <w:r w:rsidRPr="0074189B">
              <w:rPr>
                <w:rFonts w:ascii="Arial" w:hAnsi="Arial" w:cs="Arial"/>
              </w:rPr>
              <w:t xml:space="preserve"> </w:t>
            </w:r>
            <w:r w:rsidRPr="00276D5E">
              <w:rPr>
                <w:rFonts w:ascii="Arial" w:hAnsi="Arial" w:cs="Arial"/>
              </w:rPr>
              <w:t>compliance</w:t>
            </w:r>
            <w:r w:rsidRPr="0074189B">
              <w:rPr>
                <w:rFonts w:ascii="Arial" w:hAnsi="Arial" w:cs="Arial"/>
              </w:rPr>
              <w:t xml:space="preserve"> </w:t>
            </w:r>
            <w:r w:rsidRPr="00276D5E">
              <w:rPr>
                <w:rFonts w:ascii="Arial" w:hAnsi="Arial" w:cs="Arial"/>
              </w:rPr>
              <w:t>(if</w:t>
            </w:r>
            <w:r w:rsidRPr="0074189B">
              <w:rPr>
                <w:rFonts w:ascii="Arial" w:hAnsi="Arial" w:cs="Arial"/>
              </w:rPr>
              <w:t xml:space="preserve"> </w:t>
            </w:r>
            <w:r w:rsidRPr="00276D5E">
              <w:rPr>
                <w:rFonts w:ascii="Arial" w:hAnsi="Arial" w:cs="Arial"/>
              </w:rPr>
              <w:t>applicable)</w:t>
            </w:r>
          </w:p>
        </w:tc>
      </w:tr>
      <w:tr w:rsidR="0074189B" w:rsidRPr="00276D5E" w14:paraId="4F8A6AD5" w14:textId="77777777" w:rsidTr="00516C81">
        <w:trPr>
          <w:trHeight w:val="200"/>
        </w:trPr>
        <w:tc>
          <w:tcPr>
            <w:tcW w:w="9180" w:type="dxa"/>
            <w:gridSpan w:val="3"/>
            <w:shd w:val="clear" w:color="auto" w:fill="F2F2F2" w:themeFill="background1" w:themeFillShade="F2"/>
          </w:tcPr>
          <w:p w14:paraId="769BBC0E" w14:textId="77777777" w:rsidR="0074189B" w:rsidRPr="00276D5E" w:rsidRDefault="0074189B" w:rsidP="009D4B90">
            <w:pPr>
              <w:pStyle w:val="TableParagraph"/>
              <w:spacing w:line="223" w:lineRule="exact"/>
              <w:ind w:left="86"/>
              <w:rPr>
                <w:rFonts w:ascii="Arial" w:hAnsi="Arial" w:cs="Arial"/>
                <w:b/>
              </w:rPr>
            </w:pPr>
            <w:r w:rsidRPr="00276D5E">
              <w:rPr>
                <w:rFonts w:ascii="Arial" w:hAnsi="Arial" w:cs="Arial"/>
                <w:b/>
              </w:rPr>
              <w:t>SECTION</w:t>
            </w:r>
            <w:r w:rsidRPr="00276D5E">
              <w:rPr>
                <w:rFonts w:ascii="Arial" w:hAnsi="Arial" w:cs="Arial"/>
                <w:b/>
                <w:spacing w:val="-3"/>
              </w:rPr>
              <w:t xml:space="preserve"> </w:t>
            </w:r>
            <w:r w:rsidRPr="00276D5E">
              <w:rPr>
                <w:rFonts w:ascii="Arial" w:hAnsi="Arial" w:cs="Arial"/>
                <w:b/>
              </w:rPr>
              <w:t>2:</w:t>
            </w:r>
            <w:r w:rsidRPr="00276D5E">
              <w:rPr>
                <w:rFonts w:ascii="Arial" w:hAnsi="Arial" w:cs="Arial"/>
                <w:b/>
                <w:spacing w:val="-3"/>
              </w:rPr>
              <w:t xml:space="preserve"> </w:t>
            </w:r>
            <w:r w:rsidRPr="00276D5E">
              <w:rPr>
                <w:rFonts w:ascii="Arial" w:hAnsi="Arial" w:cs="Arial"/>
                <w:b/>
              </w:rPr>
              <w:t>GENERAL</w:t>
            </w:r>
            <w:r w:rsidRPr="00276D5E">
              <w:rPr>
                <w:rFonts w:ascii="Arial" w:hAnsi="Arial" w:cs="Arial"/>
                <w:b/>
                <w:spacing w:val="-3"/>
              </w:rPr>
              <w:t xml:space="preserve"> </w:t>
            </w:r>
            <w:r w:rsidRPr="00276D5E">
              <w:rPr>
                <w:rFonts w:ascii="Arial" w:hAnsi="Arial" w:cs="Arial"/>
                <w:b/>
              </w:rPr>
              <w:t>AIRWORK</w:t>
            </w:r>
          </w:p>
        </w:tc>
      </w:tr>
      <w:tr w:rsidR="0074189B" w:rsidRPr="00276D5E" w14:paraId="59569EF1" w14:textId="77777777" w:rsidTr="00516C81">
        <w:trPr>
          <w:trHeight w:val="202"/>
        </w:trPr>
        <w:tc>
          <w:tcPr>
            <w:tcW w:w="1134" w:type="dxa"/>
          </w:tcPr>
          <w:p w14:paraId="0C315010" w14:textId="77777777" w:rsidR="0074189B" w:rsidRPr="00276D5E" w:rsidRDefault="0074189B" w:rsidP="009D4B90">
            <w:pPr>
              <w:pStyle w:val="TableParagraph"/>
              <w:spacing w:line="225" w:lineRule="exact"/>
              <w:ind w:left="86"/>
              <w:rPr>
                <w:rFonts w:ascii="Arial" w:hAnsi="Arial" w:cs="Arial"/>
              </w:rPr>
            </w:pPr>
            <w:r w:rsidRPr="00276D5E">
              <w:rPr>
                <w:rFonts w:ascii="Arial" w:hAnsi="Arial" w:cs="Arial"/>
                <w:w w:val="99"/>
              </w:rPr>
              <w:t>a</w:t>
            </w:r>
          </w:p>
        </w:tc>
        <w:tc>
          <w:tcPr>
            <w:tcW w:w="8046" w:type="dxa"/>
            <w:gridSpan w:val="2"/>
          </w:tcPr>
          <w:p w14:paraId="5AD931C1" w14:textId="77777777" w:rsidR="0074189B" w:rsidRPr="00276D5E" w:rsidRDefault="0074189B" w:rsidP="009D4B90">
            <w:pPr>
              <w:pStyle w:val="TableParagraph"/>
              <w:spacing w:line="225" w:lineRule="exact"/>
              <w:rPr>
                <w:rFonts w:ascii="Arial" w:hAnsi="Arial" w:cs="Arial"/>
              </w:rPr>
            </w:pPr>
            <w:r w:rsidRPr="00276D5E">
              <w:rPr>
                <w:rFonts w:ascii="Arial" w:hAnsi="Arial" w:cs="Arial"/>
              </w:rPr>
              <w:t>Climb</w:t>
            </w:r>
            <w:r w:rsidRPr="00276D5E">
              <w:rPr>
                <w:rFonts w:ascii="Arial" w:hAnsi="Arial" w:cs="Arial"/>
                <w:spacing w:val="-3"/>
              </w:rPr>
              <w:t xml:space="preserve"> </w:t>
            </w:r>
            <w:r w:rsidRPr="00276D5E">
              <w:rPr>
                <w:rFonts w:ascii="Arial" w:hAnsi="Arial" w:cs="Arial"/>
              </w:rPr>
              <w:t>to</w:t>
            </w:r>
            <w:r w:rsidRPr="00276D5E">
              <w:rPr>
                <w:rFonts w:ascii="Arial" w:hAnsi="Arial" w:cs="Arial"/>
                <w:spacing w:val="-3"/>
              </w:rPr>
              <w:t xml:space="preserve"> </w:t>
            </w:r>
            <w:r w:rsidRPr="00276D5E">
              <w:rPr>
                <w:rFonts w:ascii="Arial" w:hAnsi="Arial" w:cs="Arial"/>
              </w:rPr>
              <w:t>level</w:t>
            </w:r>
            <w:r w:rsidRPr="00276D5E">
              <w:rPr>
                <w:rFonts w:ascii="Arial" w:hAnsi="Arial" w:cs="Arial"/>
                <w:spacing w:val="-1"/>
              </w:rPr>
              <w:t xml:space="preserve"> </w:t>
            </w:r>
            <w:r w:rsidRPr="00276D5E">
              <w:rPr>
                <w:rFonts w:ascii="Arial" w:hAnsi="Arial" w:cs="Arial"/>
              </w:rPr>
              <w:t>flight</w:t>
            </w:r>
          </w:p>
        </w:tc>
      </w:tr>
      <w:tr w:rsidR="0074189B" w:rsidRPr="00276D5E" w14:paraId="567ADAE2" w14:textId="77777777" w:rsidTr="00516C81">
        <w:trPr>
          <w:trHeight w:val="200"/>
        </w:trPr>
        <w:tc>
          <w:tcPr>
            <w:tcW w:w="1134" w:type="dxa"/>
          </w:tcPr>
          <w:p w14:paraId="6B1C579E" w14:textId="77777777" w:rsidR="0074189B" w:rsidRPr="00276D5E" w:rsidRDefault="0074189B" w:rsidP="009D4B90">
            <w:pPr>
              <w:pStyle w:val="TableParagraph"/>
              <w:spacing w:line="223" w:lineRule="exact"/>
              <w:ind w:left="86"/>
              <w:rPr>
                <w:rFonts w:ascii="Arial" w:hAnsi="Arial" w:cs="Arial"/>
              </w:rPr>
            </w:pPr>
            <w:r w:rsidRPr="00276D5E">
              <w:rPr>
                <w:rFonts w:ascii="Arial" w:hAnsi="Arial" w:cs="Arial"/>
                <w:w w:val="99"/>
              </w:rPr>
              <w:t>b</w:t>
            </w:r>
          </w:p>
        </w:tc>
        <w:tc>
          <w:tcPr>
            <w:tcW w:w="8046" w:type="dxa"/>
            <w:gridSpan w:val="2"/>
          </w:tcPr>
          <w:p w14:paraId="395A40F5" w14:textId="77777777" w:rsidR="0074189B" w:rsidRPr="00276D5E" w:rsidRDefault="0074189B" w:rsidP="009D4B90">
            <w:pPr>
              <w:pStyle w:val="TableParagraph"/>
              <w:spacing w:line="223" w:lineRule="exact"/>
              <w:rPr>
                <w:rFonts w:ascii="Arial" w:hAnsi="Arial" w:cs="Arial"/>
              </w:rPr>
            </w:pPr>
            <w:r w:rsidRPr="00276D5E">
              <w:rPr>
                <w:rFonts w:ascii="Arial" w:hAnsi="Arial" w:cs="Arial"/>
              </w:rPr>
              <w:t>Level</w:t>
            </w:r>
            <w:r w:rsidRPr="00276D5E">
              <w:rPr>
                <w:rFonts w:ascii="Arial" w:hAnsi="Arial" w:cs="Arial"/>
                <w:spacing w:val="-4"/>
              </w:rPr>
              <w:t xml:space="preserve"> </w:t>
            </w:r>
            <w:r w:rsidRPr="00276D5E">
              <w:rPr>
                <w:rFonts w:ascii="Arial" w:hAnsi="Arial" w:cs="Arial"/>
              </w:rPr>
              <w:t>flight</w:t>
            </w:r>
          </w:p>
        </w:tc>
      </w:tr>
      <w:tr w:rsidR="0074189B" w:rsidRPr="00276D5E" w14:paraId="75B60AFD" w14:textId="77777777" w:rsidTr="00516C81">
        <w:trPr>
          <w:trHeight w:val="202"/>
        </w:trPr>
        <w:tc>
          <w:tcPr>
            <w:tcW w:w="1134" w:type="dxa"/>
          </w:tcPr>
          <w:p w14:paraId="422BEED0" w14:textId="77777777" w:rsidR="0074189B" w:rsidRPr="00276D5E" w:rsidRDefault="0074189B" w:rsidP="009D4B90">
            <w:pPr>
              <w:pStyle w:val="TableParagraph"/>
              <w:spacing w:line="225" w:lineRule="exact"/>
              <w:ind w:left="86"/>
              <w:rPr>
                <w:rFonts w:ascii="Arial" w:hAnsi="Arial" w:cs="Arial"/>
              </w:rPr>
            </w:pPr>
            <w:r w:rsidRPr="00276D5E">
              <w:rPr>
                <w:rFonts w:ascii="Arial" w:hAnsi="Arial" w:cs="Arial"/>
                <w:w w:val="99"/>
              </w:rPr>
              <w:t>c</w:t>
            </w:r>
          </w:p>
        </w:tc>
        <w:tc>
          <w:tcPr>
            <w:tcW w:w="8046" w:type="dxa"/>
            <w:gridSpan w:val="2"/>
          </w:tcPr>
          <w:p w14:paraId="2A756BD1" w14:textId="77777777" w:rsidR="0074189B" w:rsidRPr="00276D5E" w:rsidRDefault="0074189B" w:rsidP="009D4B90">
            <w:pPr>
              <w:pStyle w:val="TableParagraph"/>
              <w:spacing w:line="225" w:lineRule="exact"/>
              <w:rPr>
                <w:rFonts w:ascii="Arial" w:hAnsi="Arial" w:cs="Arial"/>
              </w:rPr>
            </w:pPr>
            <w:r w:rsidRPr="00276D5E">
              <w:rPr>
                <w:rFonts w:ascii="Arial" w:hAnsi="Arial" w:cs="Arial"/>
              </w:rPr>
              <w:t>Turns</w:t>
            </w:r>
          </w:p>
        </w:tc>
      </w:tr>
      <w:tr w:rsidR="0074189B" w:rsidRPr="00276D5E" w14:paraId="749861E8" w14:textId="77777777" w:rsidTr="00516C81">
        <w:trPr>
          <w:trHeight w:val="200"/>
        </w:trPr>
        <w:tc>
          <w:tcPr>
            <w:tcW w:w="1134" w:type="dxa"/>
          </w:tcPr>
          <w:p w14:paraId="63D0727C" w14:textId="77777777" w:rsidR="0074189B" w:rsidRPr="00276D5E" w:rsidRDefault="0074189B" w:rsidP="009D4B90">
            <w:pPr>
              <w:pStyle w:val="TableParagraph"/>
              <w:spacing w:line="223" w:lineRule="exact"/>
              <w:ind w:left="86"/>
              <w:rPr>
                <w:rFonts w:ascii="Arial" w:hAnsi="Arial" w:cs="Arial"/>
              </w:rPr>
            </w:pPr>
            <w:r w:rsidRPr="00276D5E">
              <w:rPr>
                <w:rFonts w:ascii="Arial" w:hAnsi="Arial" w:cs="Arial"/>
                <w:w w:val="99"/>
              </w:rPr>
              <w:t>d</w:t>
            </w:r>
          </w:p>
        </w:tc>
        <w:tc>
          <w:tcPr>
            <w:tcW w:w="8046" w:type="dxa"/>
            <w:gridSpan w:val="2"/>
          </w:tcPr>
          <w:p w14:paraId="4EC4F283" w14:textId="77777777" w:rsidR="0074189B" w:rsidRPr="00276D5E" w:rsidRDefault="0074189B" w:rsidP="009D4B90">
            <w:pPr>
              <w:pStyle w:val="TableParagraph"/>
              <w:spacing w:line="223" w:lineRule="exact"/>
              <w:rPr>
                <w:rFonts w:ascii="Arial" w:hAnsi="Arial" w:cs="Arial"/>
              </w:rPr>
            </w:pPr>
            <w:r w:rsidRPr="00276D5E">
              <w:rPr>
                <w:rFonts w:ascii="Arial" w:hAnsi="Arial" w:cs="Arial"/>
              </w:rPr>
              <w:t>Stationary</w:t>
            </w:r>
            <w:r w:rsidRPr="00276D5E">
              <w:rPr>
                <w:rFonts w:ascii="Arial" w:hAnsi="Arial" w:cs="Arial"/>
                <w:spacing w:val="-5"/>
              </w:rPr>
              <w:t xml:space="preserve"> </w:t>
            </w:r>
            <w:r w:rsidRPr="00276D5E">
              <w:rPr>
                <w:rFonts w:ascii="Arial" w:hAnsi="Arial" w:cs="Arial"/>
              </w:rPr>
              <w:t>flight</w:t>
            </w:r>
          </w:p>
        </w:tc>
      </w:tr>
      <w:tr w:rsidR="0074189B" w:rsidRPr="00276D5E" w14:paraId="530F4D17" w14:textId="77777777" w:rsidTr="00516C81">
        <w:trPr>
          <w:trHeight w:val="202"/>
        </w:trPr>
        <w:tc>
          <w:tcPr>
            <w:tcW w:w="1134" w:type="dxa"/>
          </w:tcPr>
          <w:p w14:paraId="14F0E4B7" w14:textId="77777777" w:rsidR="0074189B" w:rsidRPr="00276D5E" w:rsidRDefault="0074189B" w:rsidP="009D4B90">
            <w:pPr>
              <w:pStyle w:val="TableParagraph"/>
              <w:spacing w:line="225" w:lineRule="exact"/>
              <w:ind w:left="86"/>
              <w:rPr>
                <w:rFonts w:ascii="Arial" w:hAnsi="Arial" w:cs="Arial"/>
              </w:rPr>
            </w:pPr>
            <w:r w:rsidRPr="00276D5E">
              <w:rPr>
                <w:rFonts w:ascii="Arial" w:hAnsi="Arial" w:cs="Arial"/>
                <w:w w:val="99"/>
              </w:rPr>
              <w:t>e</w:t>
            </w:r>
          </w:p>
        </w:tc>
        <w:tc>
          <w:tcPr>
            <w:tcW w:w="8046" w:type="dxa"/>
            <w:gridSpan w:val="2"/>
          </w:tcPr>
          <w:p w14:paraId="7882F574" w14:textId="77777777" w:rsidR="0074189B" w:rsidRPr="00276D5E" w:rsidRDefault="0074189B" w:rsidP="009D4B90">
            <w:pPr>
              <w:pStyle w:val="TableParagraph"/>
              <w:spacing w:line="225" w:lineRule="exact"/>
              <w:rPr>
                <w:rFonts w:ascii="Arial" w:hAnsi="Arial" w:cs="Arial"/>
              </w:rPr>
            </w:pPr>
            <w:r w:rsidRPr="00276D5E">
              <w:rPr>
                <w:rFonts w:ascii="Arial" w:hAnsi="Arial" w:cs="Arial"/>
              </w:rPr>
              <w:t>Descent</w:t>
            </w:r>
            <w:r w:rsidRPr="00276D5E">
              <w:rPr>
                <w:rFonts w:ascii="Arial" w:hAnsi="Arial" w:cs="Arial"/>
                <w:spacing w:val="-3"/>
              </w:rPr>
              <w:t xml:space="preserve"> </w:t>
            </w:r>
            <w:r w:rsidRPr="00276D5E">
              <w:rPr>
                <w:rFonts w:ascii="Arial" w:hAnsi="Arial" w:cs="Arial"/>
              </w:rPr>
              <w:t>to</w:t>
            </w:r>
            <w:r w:rsidRPr="00276D5E">
              <w:rPr>
                <w:rFonts w:ascii="Arial" w:hAnsi="Arial" w:cs="Arial"/>
                <w:spacing w:val="-3"/>
              </w:rPr>
              <w:t xml:space="preserve"> </w:t>
            </w:r>
            <w:r w:rsidRPr="00276D5E">
              <w:rPr>
                <w:rFonts w:ascii="Arial" w:hAnsi="Arial" w:cs="Arial"/>
              </w:rPr>
              <w:t>level</w:t>
            </w:r>
            <w:r w:rsidRPr="00276D5E">
              <w:rPr>
                <w:rFonts w:ascii="Arial" w:hAnsi="Arial" w:cs="Arial"/>
                <w:spacing w:val="-2"/>
              </w:rPr>
              <w:t xml:space="preserve"> </w:t>
            </w:r>
            <w:r w:rsidRPr="00276D5E">
              <w:rPr>
                <w:rFonts w:ascii="Arial" w:hAnsi="Arial" w:cs="Arial"/>
              </w:rPr>
              <w:t>flight</w:t>
            </w:r>
          </w:p>
        </w:tc>
      </w:tr>
      <w:tr w:rsidR="0074189B" w:rsidRPr="00276D5E" w14:paraId="05A2B3E2" w14:textId="77777777" w:rsidTr="00516C81">
        <w:trPr>
          <w:trHeight w:val="200"/>
        </w:trPr>
        <w:tc>
          <w:tcPr>
            <w:tcW w:w="1134" w:type="dxa"/>
          </w:tcPr>
          <w:p w14:paraId="0D0D3F34" w14:textId="77777777" w:rsidR="0074189B" w:rsidRPr="00276D5E" w:rsidRDefault="0074189B" w:rsidP="009D4B90">
            <w:pPr>
              <w:pStyle w:val="TableParagraph"/>
              <w:spacing w:line="223" w:lineRule="exact"/>
              <w:ind w:left="86"/>
              <w:rPr>
                <w:rFonts w:ascii="Arial" w:hAnsi="Arial" w:cs="Arial"/>
              </w:rPr>
            </w:pPr>
            <w:r w:rsidRPr="00276D5E">
              <w:rPr>
                <w:rFonts w:ascii="Arial" w:hAnsi="Arial" w:cs="Arial"/>
                <w:w w:val="99"/>
              </w:rPr>
              <w:t>f</w:t>
            </w:r>
          </w:p>
        </w:tc>
        <w:tc>
          <w:tcPr>
            <w:tcW w:w="8046" w:type="dxa"/>
            <w:gridSpan w:val="2"/>
          </w:tcPr>
          <w:p w14:paraId="503E6B2E" w14:textId="77777777" w:rsidR="0074189B" w:rsidRPr="00276D5E" w:rsidRDefault="0074189B" w:rsidP="009D4B90">
            <w:pPr>
              <w:pStyle w:val="TableParagraph"/>
              <w:spacing w:line="223" w:lineRule="exact"/>
              <w:rPr>
                <w:rFonts w:ascii="Arial" w:hAnsi="Arial" w:cs="Arial"/>
              </w:rPr>
            </w:pPr>
            <w:r w:rsidRPr="00276D5E">
              <w:rPr>
                <w:rFonts w:ascii="Arial" w:hAnsi="Arial" w:cs="Arial"/>
              </w:rPr>
              <w:t>Operating</w:t>
            </w:r>
            <w:r w:rsidRPr="00276D5E">
              <w:rPr>
                <w:rFonts w:ascii="Arial" w:hAnsi="Arial" w:cs="Arial"/>
                <w:spacing w:val="-4"/>
              </w:rPr>
              <w:t xml:space="preserve"> </w:t>
            </w:r>
            <w:r w:rsidRPr="00276D5E">
              <w:rPr>
                <w:rFonts w:ascii="Arial" w:hAnsi="Arial" w:cs="Arial"/>
              </w:rPr>
              <w:t>at</w:t>
            </w:r>
            <w:r w:rsidRPr="00276D5E">
              <w:rPr>
                <w:rFonts w:ascii="Arial" w:hAnsi="Arial" w:cs="Arial"/>
                <w:spacing w:val="-2"/>
              </w:rPr>
              <w:t xml:space="preserve"> </w:t>
            </w:r>
            <w:r w:rsidRPr="00276D5E">
              <w:rPr>
                <w:rFonts w:ascii="Arial" w:hAnsi="Arial" w:cs="Arial"/>
              </w:rPr>
              <w:t>low</w:t>
            </w:r>
            <w:r w:rsidRPr="00276D5E">
              <w:rPr>
                <w:rFonts w:ascii="Arial" w:hAnsi="Arial" w:cs="Arial"/>
                <w:spacing w:val="-3"/>
              </w:rPr>
              <w:t xml:space="preserve"> </w:t>
            </w:r>
            <w:r w:rsidRPr="00276D5E">
              <w:rPr>
                <w:rFonts w:ascii="Arial" w:hAnsi="Arial" w:cs="Arial"/>
              </w:rPr>
              <w:t>level</w:t>
            </w:r>
          </w:p>
        </w:tc>
      </w:tr>
      <w:tr w:rsidR="0074189B" w:rsidRPr="00276D5E" w14:paraId="4B7CD3C7" w14:textId="77777777" w:rsidTr="00516C81">
        <w:trPr>
          <w:trHeight w:val="202"/>
        </w:trPr>
        <w:tc>
          <w:tcPr>
            <w:tcW w:w="1134" w:type="dxa"/>
          </w:tcPr>
          <w:p w14:paraId="4DDB955B" w14:textId="77777777" w:rsidR="0074189B" w:rsidRPr="00276D5E" w:rsidRDefault="0074189B" w:rsidP="009D4B90">
            <w:pPr>
              <w:pStyle w:val="TableParagraph"/>
              <w:spacing w:line="225" w:lineRule="exact"/>
              <w:ind w:left="86"/>
              <w:rPr>
                <w:rFonts w:ascii="Arial" w:hAnsi="Arial" w:cs="Arial"/>
              </w:rPr>
            </w:pPr>
            <w:r w:rsidRPr="00276D5E">
              <w:rPr>
                <w:rFonts w:ascii="Arial" w:hAnsi="Arial" w:cs="Arial"/>
                <w:w w:val="99"/>
              </w:rPr>
              <w:t>g</w:t>
            </w:r>
          </w:p>
        </w:tc>
        <w:tc>
          <w:tcPr>
            <w:tcW w:w="8046" w:type="dxa"/>
            <w:gridSpan w:val="2"/>
          </w:tcPr>
          <w:p w14:paraId="7BFD9CFF" w14:textId="77777777" w:rsidR="0074189B" w:rsidRPr="00276D5E" w:rsidRDefault="0074189B" w:rsidP="009D4B90">
            <w:pPr>
              <w:pStyle w:val="TableParagraph"/>
              <w:spacing w:line="225" w:lineRule="exact"/>
              <w:rPr>
                <w:rFonts w:ascii="Arial" w:hAnsi="Arial" w:cs="Arial"/>
              </w:rPr>
            </w:pPr>
            <w:r w:rsidRPr="00276D5E">
              <w:rPr>
                <w:rFonts w:ascii="Arial" w:hAnsi="Arial" w:cs="Arial"/>
              </w:rPr>
              <w:t>ATC</w:t>
            </w:r>
            <w:r w:rsidRPr="00276D5E">
              <w:rPr>
                <w:rFonts w:ascii="Arial" w:hAnsi="Arial" w:cs="Arial"/>
                <w:spacing w:val="-3"/>
              </w:rPr>
              <w:t xml:space="preserve"> </w:t>
            </w:r>
            <w:r w:rsidRPr="00276D5E">
              <w:rPr>
                <w:rFonts w:ascii="Arial" w:hAnsi="Arial" w:cs="Arial"/>
              </w:rPr>
              <w:t>compliance</w:t>
            </w:r>
            <w:r w:rsidRPr="00276D5E">
              <w:rPr>
                <w:rFonts w:ascii="Arial" w:hAnsi="Arial" w:cs="Arial"/>
                <w:spacing w:val="-4"/>
              </w:rPr>
              <w:t xml:space="preserve"> </w:t>
            </w:r>
            <w:r w:rsidRPr="00276D5E">
              <w:rPr>
                <w:rFonts w:ascii="Arial" w:hAnsi="Arial" w:cs="Arial"/>
              </w:rPr>
              <w:t>(if</w:t>
            </w:r>
            <w:r w:rsidRPr="00276D5E">
              <w:rPr>
                <w:rFonts w:ascii="Arial" w:hAnsi="Arial" w:cs="Arial"/>
                <w:spacing w:val="-3"/>
              </w:rPr>
              <w:t xml:space="preserve"> </w:t>
            </w:r>
            <w:r w:rsidRPr="00276D5E">
              <w:rPr>
                <w:rFonts w:ascii="Arial" w:hAnsi="Arial" w:cs="Arial"/>
              </w:rPr>
              <w:t>applicable)</w:t>
            </w:r>
          </w:p>
        </w:tc>
      </w:tr>
      <w:tr w:rsidR="0074189B" w:rsidRPr="00276D5E" w14:paraId="2A80FE67" w14:textId="77777777" w:rsidTr="00516C81">
        <w:trPr>
          <w:trHeight w:val="199"/>
        </w:trPr>
        <w:tc>
          <w:tcPr>
            <w:tcW w:w="9180" w:type="dxa"/>
            <w:gridSpan w:val="3"/>
            <w:shd w:val="clear" w:color="auto" w:fill="F2F2F2" w:themeFill="background1" w:themeFillShade="F2"/>
          </w:tcPr>
          <w:p w14:paraId="0ED55DED" w14:textId="77777777" w:rsidR="0074189B" w:rsidRPr="00276D5E" w:rsidRDefault="0074189B" w:rsidP="009D4B90">
            <w:pPr>
              <w:pStyle w:val="TableParagraph"/>
              <w:spacing w:line="223" w:lineRule="exact"/>
              <w:ind w:left="86"/>
              <w:rPr>
                <w:rFonts w:ascii="Arial" w:hAnsi="Arial" w:cs="Arial"/>
                <w:b/>
              </w:rPr>
            </w:pPr>
            <w:r w:rsidRPr="00276D5E">
              <w:rPr>
                <w:rFonts w:ascii="Arial" w:hAnsi="Arial" w:cs="Arial"/>
                <w:b/>
              </w:rPr>
              <w:t>SECTION</w:t>
            </w:r>
            <w:r w:rsidRPr="00276D5E">
              <w:rPr>
                <w:rFonts w:ascii="Arial" w:hAnsi="Arial" w:cs="Arial"/>
                <w:b/>
                <w:spacing w:val="-4"/>
              </w:rPr>
              <w:t xml:space="preserve"> </w:t>
            </w:r>
            <w:r w:rsidRPr="00276D5E">
              <w:rPr>
                <w:rFonts w:ascii="Arial" w:hAnsi="Arial" w:cs="Arial"/>
                <w:b/>
              </w:rPr>
              <w:t>3:</w:t>
            </w:r>
            <w:r w:rsidRPr="00276D5E">
              <w:rPr>
                <w:rFonts w:ascii="Arial" w:hAnsi="Arial" w:cs="Arial"/>
                <w:b/>
                <w:spacing w:val="-3"/>
              </w:rPr>
              <w:t xml:space="preserve"> </w:t>
            </w:r>
            <w:r w:rsidRPr="00276D5E">
              <w:rPr>
                <w:rFonts w:ascii="Arial" w:hAnsi="Arial" w:cs="Arial"/>
                <w:b/>
              </w:rPr>
              <w:t>EN-ROUTE</w:t>
            </w:r>
            <w:r w:rsidRPr="00276D5E">
              <w:rPr>
                <w:rFonts w:ascii="Arial" w:hAnsi="Arial" w:cs="Arial"/>
                <w:b/>
                <w:spacing w:val="-2"/>
              </w:rPr>
              <w:t xml:space="preserve"> </w:t>
            </w:r>
            <w:r w:rsidRPr="00276D5E">
              <w:rPr>
                <w:rFonts w:ascii="Arial" w:hAnsi="Arial" w:cs="Arial"/>
                <w:b/>
              </w:rPr>
              <w:t>PROCEDURES</w:t>
            </w:r>
          </w:p>
        </w:tc>
      </w:tr>
      <w:tr w:rsidR="0074189B" w:rsidRPr="00276D5E" w14:paraId="70A90097" w14:textId="77777777" w:rsidTr="00516C81">
        <w:trPr>
          <w:trHeight w:val="199"/>
        </w:trPr>
        <w:tc>
          <w:tcPr>
            <w:tcW w:w="1134" w:type="dxa"/>
          </w:tcPr>
          <w:p w14:paraId="31AC7CD3" w14:textId="77777777" w:rsidR="0074189B" w:rsidRPr="00276D5E" w:rsidRDefault="0074189B" w:rsidP="009D4B90">
            <w:pPr>
              <w:pStyle w:val="TableParagraph"/>
              <w:spacing w:line="222" w:lineRule="exact"/>
              <w:ind w:left="86"/>
              <w:rPr>
                <w:rFonts w:ascii="Arial" w:hAnsi="Arial" w:cs="Arial"/>
              </w:rPr>
            </w:pPr>
            <w:r w:rsidRPr="00276D5E">
              <w:rPr>
                <w:rFonts w:ascii="Arial" w:hAnsi="Arial" w:cs="Arial"/>
                <w:w w:val="99"/>
              </w:rPr>
              <w:t>a</w:t>
            </w:r>
          </w:p>
        </w:tc>
        <w:tc>
          <w:tcPr>
            <w:tcW w:w="8046" w:type="dxa"/>
            <w:gridSpan w:val="2"/>
          </w:tcPr>
          <w:p w14:paraId="413D8876" w14:textId="77777777" w:rsidR="0074189B" w:rsidRPr="00276D5E" w:rsidRDefault="0074189B" w:rsidP="009D4B90">
            <w:pPr>
              <w:pStyle w:val="TableParagraph"/>
              <w:spacing w:line="222" w:lineRule="exact"/>
              <w:rPr>
                <w:rFonts w:ascii="Arial" w:hAnsi="Arial" w:cs="Arial"/>
              </w:rPr>
            </w:pPr>
            <w:r w:rsidRPr="00276D5E">
              <w:rPr>
                <w:rFonts w:ascii="Arial" w:hAnsi="Arial" w:cs="Arial"/>
              </w:rPr>
              <w:t>Dead</w:t>
            </w:r>
            <w:r w:rsidRPr="00276D5E">
              <w:rPr>
                <w:rFonts w:ascii="Arial" w:hAnsi="Arial" w:cs="Arial"/>
                <w:spacing w:val="-2"/>
              </w:rPr>
              <w:t xml:space="preserve"> </w:t>
            </w:r>
            <w:r w:rsidRPr="00276D5E">
              <w:rPr>
                <w:rFonts w:ascii="Arial" w:hAnsi="Arial" w:cs="Arial"/>
              </w:rPr>
              <w:t>reckoning</w:t>
            </w:r>
            <w:r w:rsidRPr="00276D5E">
              <w:rPr>
                <w:rFonts w:ascii="Arial" w:hAnsi="Arial" w:cs="Arial"/>
                <w:spacing w:val="-4"/>
              </w:rPr>
              <w:t xml:space="preserve"> </w:t>
            </w:r>
            <w:r w:rsidRPr="00276D5E">
              <w:rPr>
                <w:rFonts w:ascii="Arial" w:hAnsi="Arial" w:cs="Arial"/>
              </w:rPr>
              <w:t>and</w:t>
            </w:r>
            <w:r w:rsidRPr="00276D5E">
              <w:rPr>
                <w:rFonts w:ascii="Arial" w:hAnsi="Arial" w:cs="Arial"/>
                <w:spacing w:val="-2"/>
              </w:rPr>
              <w:t xml:space="preserve"> </w:t>
            </w:r>
            <w:r w:rsidRPr="00276D5E">
              <w:rPr>
                <w:rFonts w:ascii="Arial" w:hAnsi="Arial" w:cs="Arial"/>
              </w:rPr>
              <w:t>map</w:t>
            </w:r>
            <w:r w:rsidRPr="00276D5E">
              <w:rPr>
                <w:rFonts w:ascii="Arial" w:hAnsi="Arial" w:cs="Arial"/>
                <w:spacing w:val="-2"/>
              </w:rPr>
              <w:t xml:space="preserve"> </w:t>
            </w:r>
            <w:r w:rsidRPr="00276D5E">
              <w:rPr>
                <w:rFonts w:ascii="Arial" w:hAnsi="Arial" w:cs="Arial"/>
              </w:rPr>
              <w:t>reading</w:t>
            </w:r>
          </w:p>
        </w:tc>
      </w:tr>
      <w:tr w:rsidR="0074189B" w:rsidRPr="00276D5E" w14:paraId="21EE81DE" w14:textId="77777777" w:rsidTr="00516C81">
        <w:trPr>
          <w:trHeight w:val="202"/>
        </w:trPr>
        <w:tc>
          <w:tcPr>
            <w:tcW w:w="1134" w:type="dxa"/>
          </w:tcPr>
          <w:p w14:paraId="1E888603" w14:textId="77777777" w:rsidR="0074189B" w:rsidRPr="00276D5E" w:rsidRDefault="0074189B" w:rsidP="009D4B90">
            <w:pPr>
              <w:pStyle w:val="TableParagraph"/>
              <w:spacing w:line="225" w:lineRule="exact"/>
              <w:ind w:left="86"/>
              <w:rPr>
                <w:rFonts w:ascii="Arial" w:hAnsi="Arial" w:cs="Arial"/>
              </w:rPr>
            </w:pPr>
            <w:r w:rsidRPr="00276D5E">
              <w:rPr>
                <w:rFonts w:ascii="Arial" w:hAnsi="Arial" w:cs="Arial"/>
                <w:w w:val="99"/>
              </w:rPr>
              <w:t>b</w:t>
            </w:r>
          </w:p>
        </w:tc>
        <w:tc>
          <w:tcPr>
            <w:tcW w:w="8046" w:type="dxa"/>
            <w:gridSpan w:val="2"/>
          </w:tcPr>
          <w:p w14:paraId="7689DCF4" w14:textId="77777777" w:rsidR="0074189B" w:rsidRPr="00276D5E" w:rsidRDefault="0074189B" w:rsidP="009D4B90">
            <w:pPr>
              <w:pStyle w:val="TableParagraph"/>
              <w:spacing w:line="225" w:lineRule="exact"/>
              <w:rPr>
                <w:rFonts w:ascii="Arial" w:hAnsi="Arial" w:cs="Arial"/>
              </w:rPr>
            </w:pPr>
            <w:r w:rsidRPr="00276D5E">
              <w:rPr>
                <w:rFonts w:ascii="Arial" w:hAnsi="Arial" w:cs="Arial"/>
              </w:rPr>
              <w:t>Marking</w:t>
            </w:r>
            <w:r w:rsidRPr="00276D5E">
              <w:rPr>
                <w:rFonts w:ascii="Arial" w:hAnsi="Arial" w:cs="Arial"/>
                <w:spacing w:val="-4"/>
              </w:rPr>
              <w:t xml:space="preserve"> </w:t>
            </w:r>
            <w:r w:rsidRPr="00276D5E">
              <w:rPr>
                <w:rFonts w:ascii="Arial" w:hAnsi="Arial" w:cs="Arial"/>
              </w:rPr>
              <w:t>positions</w:t>
            </w:r>
            <w:r w:rsidRPr="00276D5E">
              <w:rPr>
                <w:rFonts w:ascii="Arial" w:hAnsi="Arial" w:cs="Arial"/>
                <w:spacing w:val="-4"/>
              </w:rPr>
              <w:t xml:space="preserve"> </w:t>
            </w:r>
            <w:r w:rsidRPr="00276D5E">
              <w:rPr>
                <w:rFonts w:ascii="Arial" w:hAnsi="Arial" w:cs="Arial"/>
              </w:rPr>
              <w:t>and</w:t>
            </w:r>
            <w:r w:rsidRPr="00276D5E">
              <w:rPr>
                <w:rFonts w:ascii="Arial" w:hAnsi="Arial" w:cs="Arial"/>
                <w:spacing w:val="-2"/>
              </w:rPr>
              <w:t xml:space="preserve"> </w:t>
            </w:r>
            <w:r w:rsidRPr="00276D5E">
              <w:rPr>
                <w:rFonts w:ascii="Arial" w:hAnsi="Arial" w:cs="Arial"/>
              </w:rPr>
              <w:t>time</w:t>
            </w:r>
          </w:p>
        </w:tc>
      </w:tr>
      <w:tr w:rsidR="0074189B" w:rsidRPr="00276D5E" w14:paraId="10EC3D30" w14:textId="77777777" w:rsidTr="00516C81">
        <w:trPr>
          <w:trHeight w:val="200"/>
        </w:trPr>
        <w:tc>
          <w:tcPr>
            <w:tcW w:w="1134" w:type="dxa"/>
          </w:tcPr>
          <w:p w14:paraId="55F8D3A0" w14:textId="77777777" w:rsidR="0074189B" w:rsidRPr="00276D5E" w:rsidRDefault="0074189B" w:rsidP="009D4B90">
            <w:pPr>
              <w:pStyle w:val="TableParagraph"/>
              <w:spacing w:before="1" w:line="222" w:lineRule="exact"/>
              <w:ind w:left="86"/>
              <w:rPr>
                <w:rFonts w:ascii="Arial" w:hAnsi="Arial" w:cs="Arial"/>
              </w:rPr>
            </w:pPr>
            <w:r w:rsidRPr="00276D5E">
              <w:rPr>
                <w:rFonts w:ascii="Arial" w:hAnsi="Arial" w:cs="Arial"/>
                <w:w w:val="99"/>
              </w:rPr>
              <w:t>c</w:t>
            </w:r>
          </w:p>
        </w:tc>
        <w:tc>
          <w:tcPr>
            <w:tcW w:w="8046" w:type="dxa"/>
            <w:gridSpan w:val="2"/>
          </w:tcPr>
          <w:p w14:paraId="45DB80E2" w14:textId="77777777" w:rsidR="0074189B" w:rsidRPr="00276D5E" w:rsidRDefault="0074189B" w:rsidP="009D4B90">
            <w:pPr>
              <w:pStyle w:val="TableParagraph"/>
              <w:spacing w:before="1" w:line="222" w:lineRule="exact"/>
              <w:rPr>
                <w:rFonts w:ascii="Arial" w:hAnsi="Arial" w:cs="Arial"/>
              </w:rPr>
            </w:pPr>
            <w:r w:rsidRPr="00276D5E">
              <w:rPr>
                <w:rFonts w:ascii="Arial" w:hAnsi="Arial" w:cs="Arial"/>
              </w:rPr>
              <w:t>Orientation</w:t>
            </w:r>
            <w:r w:rsidRPr="00276D5E">
              <w:rPr>
                <w:rFonts w:ascii="Arial" w:hAnsi="Arial" w:cs="Arial"/>
                <w:spacing w:val="-3"/>
              </w:rPr>
              <w:t xml:space="preserve"> </w:t>
            </w:r>
            <w:r w:rsidRPr="00276D5E">
              <w:rPr>
                <w:rFonts w:ascii="Arial" w:hAnsi="Arial" w:cs="Arial"/>
              </w:rPr>
              <w:t>and</w:t>
            </w:r>
            <w:r w:rsidRPr="00276D5E">
              <w:rPr>
                <w:rFonts w:ascii="Arial" w:hAnsi="Arial" w:cs="Arial"/>
                <w:spacing w:val="-3"/>
              </w:rPr>
              <w:t xml:space="preserve"> </w:t>
            </w:r>
            <w:r w:rsidRPr="00276D5E">
              <w:rPr>
                <w:rFonts w:ascii="Arial" w:hAnsi="Arial" w:cs="Arial"/>
              </w:rPr>
              <w:t>airspace</w:t>
            </w:r>
            <w:r w:rsidRPr="00276D5E">
              <w:rPr>
                <w:rFonts w:ascii="Arial" w:hAnsi="Arial" w:cs="Arial"/>
                <w:spacing w:val="-4"/>
              </w:rPr>
              <w:t xml:space="preserve"> </w:t>
            </w:r>
            <w:r w:rsidRPr="00276D5E">
              <w:rPr>
                <w:rFonts w:ascii="Arial" w:hAnsi="Arial" w:cs="Arial"/>
              </w:rPr>
              <w:t>structure</w:t>
            </w:r>
          </w:p>
        </w:tc>
      </w:tr>
      <w:tr w:rsidR="0074189B" w:rsidRPr="00276D5E" w14:paraId="04FF8981" w14:textId="77777777" w:rsidTr="00516C81">
        <w:trPr>
          <w:trHeight w:val="202"/>
        </w:trPr>
        <w:tc>
          <w:tcPr>
            <w:tcW w:w="1134" w:type="dxa"/>
          </w:tcPr>
          <w:p w14:paraId="51F4212B" w14:textId="77777777" w:rsidR="0074189B" w:rsidRPr="00276D5E" w:rsidRDefault="0074189B" w:rsidP="009D4B90">
            <w:pPr>
              <w:pStyle w:val="TableParagraph"/>
              <w:spacing w:line="225" w:lineRule="exact"/>
              <w:ind w:left="86"/>
              <w:rPr>
                <w:rFonts w:ascii="Arial" w:hAnsi="Arial" w:cs="Arial"/>
              </w:rPr>
            </w:pPr>
            <w:r w:rsidRPr="00276D5E">
              <w:rPr>
                <w:rFonts w:ascii="Arial" w:hAnsi="Arial" w:cs="Arial"/>
                <w:w w:val="99"/>
              </w:rPr>
              <w:t>d</w:t>
            </w:r>
          </w:p>
        </w:tc>
        <w:tc>
          <w:tcPr>
            <w:tcW w:w="8046" w:type="dxa"/>
            <w:gridSpan w:val="2"/>
          </w:tcPr>
          <w:p w14:paraId="1DA95A72" w14:textId="77777777" w:rsidR="0074189B" w:rsidRPr="00276D5E" w:rsidRDefault="0074189B" w:rsidP="009D4B90">
            <w:pPr>
              <w:pStyle w:val="TableParagraph"/>
              <w:spacing w:line="225" w:lineRule="exact"/>
              <w:rPr>
                <w:rFonts w:ascii="Arial" w:hAnsi="Arial" w:cs="Arial"/>
              </w:rPr>
            </w:pPr>
            <w:r w:rsidRPr="00276D5E">
              <w:rPr>
                <w:rFonts w:ascii="Arial" w:hAnsi="Arial" w:cs="Arial"/>
              </w:rPr>
              <w:t>Plotting</w:t>
            </w:r>
            <w:r w:rsidRPr="00276D5E">
              <w:rPr>
                <w:rFonts w:ascii="Arial" w:hAnsi="Arial" w:cs="Arial"/>
                <w:spacing w:val="-4"/>
              </w:rPr>
              <w:t xml:space="preserve"> </w:t>
            </w:r>
            <w:r w:rsidRPr="00276D5E">
              <w:rPr>
                <w:rFonts w:ascii="Arial" w:hAnsi="Arial" w:cs="Arial"/>
              </w:rPr>
              <w:t>and</w:t>
            </w:r>
            <w:r w:rsidRPr="00276D5E">
              <w:rPr>
                <w:rFonts w:ascii="Arial" w:hAnsi="Arial" w:cs="Arial"/>
                <w:spacing w:val="-2"/>
              </w:rPr>
              <w:t xml:space="preserve"> </w:t>
            </w:r>
            <w:r w:rsidRPr="00276D5E">
              <w:rPr>
                <w:rFonts w:ascii="Arial" w:hAnsi="Arial" w:cs="Arial"/>
              </w:rPr>
              <w:t>steering</w:t>
            </w:r>
            <w:r w:rsidRPr="00276D5E">
              <w:rPr>
                <w:rFonts w:ascii="Arial" w:hAnsi="Arial" w:cs="Arial"/>
                <w:spacing w:val="-3"/>
              </w:rPr>
              <w:t xml:space="preserve"> </w:t>
            </w:r>
            <w:r w:rsidRPr="00276D5E">
              <w:rPr>
                <w:rFonts w:ascii="Arial" w:hAnsi="Arial" w:cs="Arial"/>
              </w:rPr>
              <w:t>expected</w:t>
            </w:r>
            <w:r w:rsidRPr="00276D5E">
              <w:rPr>
                <w:rFonts w:ascii="Arial" w:hAnsi="Arial" w:cs="Arial"/>
                <w:spacing w:val="-2"/>
              </w:rPr>
              <w:t xml:space="preserve"> </w:t>
            </w:r>
            <w:r w:rsidRPr="00276D5E">
              <w:rPr>
                <w:rFonts w:ascii="Arial" w:hAnsi="Arial" w:cs="Arial"/>
              </w:rPr>
              <w:t>track</w:t>
            </w:r>
          </w:p>
        </w:tc>
      </w:tr>
      <w:tr w:rsidR="0074189B" w:rsidRPr="00276D5E" w14:paraId="0439D999" w14:textId="77777777" w:rsidTr="00516C81">
        <w:trPr>
          <w:trHeight w:val="199"/>
        </w:trPr>
        <w:tc>
          <w:tcPr>
            <w:tcW w:w="1134" w:type="dxa"/>
          </w:tcPr>
          <w:p w14:paraId="5A4AD548" w14:textId="77777777" w:rsidR="0074189B" w:rsidRPr="00276D5E" w:rsidRDefault="0074189B" w:rsidP="009D4B90">
            <w:pPr>
              <w:pStyle w:val="TableParagraph"/>
              <w:spacing w:line="222" w:lineRule="exact"/>
              <w:ind w:left="86"/>
              <w:rPr>
                <w:rFonts w:ascii="Arial" w:hAnsi="Arial" w:cs="Arial"/>
              </w:rPr>
            </w:pPr>
            <w:r w:rsidRPr="00276D5E">
              <w:rPr>
                <w:rFonts w:ascii="Arial" w:hAnsi="Arial" w:cs="Arial"/>
                <w:w w:val="99"/>
              </w:rPr>
              <w:t>e</w:t>
            </w:r>
          </w:p>
        </w:tc>
        <w:tc>
          <w:tcPr>
            <w:tcW w:w="8046" w:type="dxa"/>
            <w:gridSpan w:val="2"/>
          </w:tcPr>
          <w:p w14:paraId="03E50693" w14:textId="77777777" w:rsidR="0074189B" w:rsidRPr="00276D5E" w:rsidRDefault="0074189B" w:rsidP="009D4B90">
            <w:pPr>
              <w:pStyle w:val="TableParagraph"/>
              <w:spacing w:line="222" w:lineRule="exact"/>
              <w:rPr>
                <w:rFonts w:ascii="Arial" w:hAnsi="Arial" w:cs="Arial"/>
              </w:rPr>
            </w:pPr>
            <w:r w:rsidRPr="00276D5E">
              <w:rPr>
                <w:rFonts w:ascii="Arial" w:hAnsi="Arial" w:cs="Arial"/>
              </w:rPr>
              <w:t>Maintenance</w:t>
            </w:r>
            <w:r w:rsidRPr="00276D5E">
              <w:rPr>
                <w:rFonts w:ascii="Arial" w:hAnsi="Arial" w:cs="Arial"/>
                <w:spacing w:val="-4"/>
              </w:rPr>
              <w:t xml:space="preserve"> </w:t>
            </w:r>
            <w:r w:rsidRPr="00276D5E">
              <w:rPr>
                <w:rFonts w:ascii="Arial" w:hAnsi="Arial" w:cs="Arial"/>
              </w:rPr>
              <w:t>of</w:t>
            </w:r>
            <w:r w:rsidRPr="00276D5E">
              <w:rPr>
                <w:rFonts w:ascii="Arial" w:hAnsi="Arial" w:cs="Arial"/>
                <w:spacing w:val="-1"/>
              </w:rPr>
              <w:t xml:space="preserve"> </w:t>
            </w:r>
            <w:r w:rsidRPr="00276D5E">
              <w:rPr>
                <w:rFonts w:ascii="Arial" w:hAnsi="Arial" w:cs="Arial"/>
              </w:rPr>
              <w:t>altitude</w:t>
            </w:r>
          </w:p>
        </w:tc>
      </w:tr>
      <w:tr w:rsidR="0074189B" w:rsidRPr="00276D5E" w14:paraId="05E1A6A2" w14:textId="77777777" w:rsidTr="00516C81">
        <w:trPr>
          <w:trHeight w:val="202"/>
        </w:trPr>
        <w:tc>
          <w:tcPr>
            <w:tcW w:w="1134" w:type="dxa"/>
          </w:tcPr>
          <w:p w14:paraId="3A5D6BCB" w14:textId="77777777" w:rsidR="0074189B" w:rsidRPr="00276D5E" w:rsidRDefault="0074189B" w:rsidP="009D4B90">
            <w:pPr>
              <w:pStyle w:val="TableParagraph"/>
              <w:spacing w:line="225" w:lineRule="exact"/>
              <w:ind w:left="86"/>
              <w:rPr>
                <w:rFonts w:ascii="Arial" w:hAnsi="Arial" w:cs="Arial"/>
              </w:rPr>
            </w:pPr>
            <w:r w:rsidRPr="00276D5E">
              <w:rPr>
                <w:rFonts w:ascii="Arial" w:hAnsi="Arial" w:cs="Arial"/>
                <w:w w:val="99"/>
              </w:rPr>
              <w:lastRenderedPageBreak/>
              <w:t>f</w:t>
            </w:r>
          </w:p>
        </w:tc>
        <w:tc>
          <w:tcPr>
            <w:tcW w:w="8046" w:type="dxa"/>
            <w:gridSpan w:val="2"/>
          </w:tcPr>
          <w:p w14:paraId="2CFD20D7" w14:textId="77777777" w:rsidR="0074189B" w:rsidRPr="00276D5E" w:rsidRDefault="0074189B" w:rsidP="009D4B90">
            <w:pPr>
              <w:pStyle w:val="TableParagraph"/>
              <w:spacing w:line="225" w:lineRule="exact"/>
              <w:rPr>
                <w:rFonts w:ascii="Arial" w:hAnsi="Arial" w:cs="Arial"/>
              </w:rPr>
            </w:pPr>
            <w:r w:rsidRPr="00276D5E">
              <w:rPr>
                <w:rFonts w:ascii="Arial" w:hAnsi="Arial" w:cs="Arial"/>
              </w:rPr>
              <w:t>Fuel</w:t>
            </w:r>
            <w:r w:rsidRPr="00276D5E">
              <w:rPr>
                <w:rFonts w:ascii="Arial" w:hAnsi="Arial" w:cs="Arial"/>
                <w:spacing w:val="-4"/>
              </w:rPr>
              <w:t xml:space="preserve"> </w:t>
            </w:r>
            <w:r w:rsidRPr="00276D5E">
              <w:rPr>
                <w:rFonts w:ascii="Arial" w:hAnsi="Arial" w:cs="Arial"/>
              </w:rPr>
              <w:t>management</w:t>
            </w:r>
          </w:p>
        </w:tc>
      </w:tr>
      <w:tr w:rsidR="0074189B" w:rsidRPr="00276D5E" w14:paraId="570D76B5" w14:textId="77777777" w:rsidTr="00516C81">
        <w:trPr>
          <w:trHeight w:val="199"/>
        </w:trPr>
        <w:tc>
          <w:tcPr>
            <w:tcW w:w="1134" w:type="dxa"/>
          </w:tcPr>
          <w:p w14:paraId="3CC2561D" w14:textId="77777777" w:rsidR="0074189B" w:rsidRPr="00276D5E" w:rsidRDefault="0074189B" w:rsidP="009D4B90">
            <w:pPr>
              <w:pStyle w:val="TableParagraph"/>
              <w:spacing w:line="222" w:lineRule="exact"/>
              <w:ind w:left="86"/>
              <w:rPr>
                <w:rFonts w:ascii="Arial" w:hAnsi="Arial" w:cs="Arial"/>
              </w:rPr>
            </w:pPr>
            <w:r w:rsidRPr="00276D5E">
              <w:rPr>
                <w:rFonts w:ascii="Arial" w:hAnsi="Arial" w:cs="Arial"/>
                <w:w w:val="99"/>
              </w:rPr>
              <w:t>g</w:t>
            </w:r>
          </w:p>
        </w:tc>
        <w:tc>
          <w:tcPr>
            <w:tcW w:w="8046" w:type="dxa"/>
            <w:gridSpan w:val="2"/>
          </w:tcPr>
          <w:p w14:paraId="066E7865" w14:textId="77777777" w:rsidR="0074189B" w:rsidRPr="00276D5E" w:rsidRDefault="0074189B" w:rsidP="009D4B90">
            <w:pPr>
              <w:pStyle w:val="TableParagraph"/>
              <w:spacing w:line="222" w:lineRule="exact"/>
              <w:rPr>
                <w:rFonts w:ascii="Arial" w:hAnsi="Arial" w:cs="Arial"/>
              </w:rPr>
            </w:pPr>
            <w:r w:rsidRPr="00276D5E">
              <w:rPr>
                <w:rFonts w:ascii="Arial" w:hAnsi="Arial" w:cs="Arial"/>
              </w:rPr>
              <w:t>Pressure</w:t>
            </w:r>
            <w:r w:rsidRPr="00276D5E">
              <w:rPr>
                <w:rFonts w:ascii="Arial" w:hAnsi="Arial" w:cs="Arial"/>
                <w:spacing w:val="-3"/>
              </w:rPr>
              <w:t xml:space="preserve"> </w:t>
            </w:r>
            <w:r w:rsidRPr="00276D5E">
              <w:rPr>
                <w:rFonts w:ascii="Arial" w:hAnsi="Arial" w:cs="Arial"/>
              </w:rPr>
              <w:t>and</w:t>
            </w:r>
            <w:r w:rsidRPr="00276D5E">
              <w:rPr>
                <w:rFonts w:ascii="Arial" w:hAnsi="Arial" w:cs="Arial"/>
                <w:spacing w:val="-2"/>
              </w:rPr>
              <w:t xml:space="preserve"> </w:t>
            </w:r>
            <w:r w:rsidRPr="00276D5E">
              <w:rPr>
                <w:rFonts w:ascii="Arial" w:hAnsi="Arial" w:cs="Arial"/>
              </w:rPr>
              <w:t>engine</w:t>
            </w:r>
            <w:r w:rsidRPr="00276D5E">
              <w:rPr>
                <w:rFonts w:ascii="Arial" w:hAnsi="Arial" w:cs="Arial"/>
                <w:spacing w:val="-2"/>
              </w:rPr>
              <w:t xml:space="preserve"> </w:t>
            </w:r>
            <w:r w:rsidRPr="00276D5E">
              <w:rPr>
                <w:rFonts w:ascii="Arial" w:hAnsi="Arial" w:cs="Arial"/>
              </w:rPr>
              <w:t>parameter</w:t>
            </w:r>
            <w:r w:rsidRPr="00276D5E">
              <w:rPr>
                <w:rFonts w:ascii="Arial" w:hAnsi="Arial" w:cs="Arial"/>
                <w:spacing w:val="-2"/>
              </w:rPr>
              <w:t xml:space="preserve"> </w:t>
            </w:r>
            <w:r w:rsidRPr="00276D5E">
              <w:rPr>
                <w:rFonts w:ascii="Arial" w:hAnsi="Arial" w:cs="Arial"/>
              </w:rPr>
              <w:t>checks</w:t>
            </w:r>
          </w:p>
        </w:tc>
      </w:tr>
      <w:tr w:rsidR="0074189B" w:rsidRPr="00276D5E" w14:paraId="50EEB18E" w14:textId="77777777" w:rsidTr="00516C81">
        <w:trPr>
          <w:trHeight w:val="202"/>
        </w:trPr>
        <w:tc>
          <w:tcPr>
            <w:tcW w:w="1134" w:type="dxa"/>
          </w:tcPr>
          <w:p w14:paraId="3A8FEA8D" w14:textId="77777777" w:rsidR="0074189B" w:rsidRPr="00276D5E" w:rsidRDefault="0074189B" w:rsidP="009D4B90">
            <w:pPr>
              <w:pStyle w:val="TableParagraph"/>
              <w:spacing w:line="225" w:lineRule="exact"/>
              <w:ind w:left="86"/>
              <w:rPr>
                <w:rFonts w:ascii="Arial" w:hAnsi="Arial" w:cs="Arial"/>
              </w:rPr>
            </w:pPr>
            <w:r w:rsidRPr="00276D5E">
              <w:rPr>
                <w:rFonts w:ascii="Arial" w:hAnsi="Arial" w:cs="Arial"/>
                <w:w w:val="99"/>
              </w:rPr>
              <w:t>h</w:t>
            </w:r>
          </w:p>
        </w:tc>
        <w:tc>
          <w:tcPr>
            <w:tcW w:w="8046" w:type="dxa"/>
            <w:gridSpan w:val="2"/>
          </w:tcPr>
          <w:p w14:paraId="3E25F32C" w14:textId="77777777" w:rsidR="0074189B" w:rsidRPr="00276D5E" w:rsidRDefault="0074189B" w:rsidP="009D4B90">
            <w:pPr>
              <w:pStyle w:val="TableParagraph"/>
              <w:spacing w:line="225" w:lineRule="exact"/>
              <w:rPr>
                <w:rFonts w:ascii="Arial" w:hAnsi="Arial" w:cs="Arial"/>
              </w:rPr>
            </w:pPr>
            <w:r w:rsidRPr="00276D5E">
              <w:rPr>
                <w:rFonts w:ascii="Arial" w:hAnsi="Arial" w:cs="Arial"/>
              </w:rPr>
              <w:t>Communication</w:t>
            </w:r>
            <w:r w:rsidRPr="00276D5E">
              <w:rPr>
                <w:rFonts w:ascii="Arial" w:hAnsi="Arial" w:cs="Arial"/>
                <w:spacing w:val="-3"/>
              </w:rPr>
              <w:t xml:space="preserve"> </w:t>
            </w:r>
            <w:r w:rsidRPr="00276D5E">
              <w:rPr>
                <w:rFonts w:ascii="Arial" w:hAnsi="Arial" w:cs="Arial"/>
              </w:rPr>
              <w:t>with</w:t>
            </w:r>
            <w:r w:rsidRPr="00276D5E">
              <w:rPr>
                <w:rFonts w:ascii="Arial" w:hAnsi="Arial" w:cs="Arial"/>
                <w:spacing w:val="-3"/>
              </w:rPr>
              <w:t xml:space="preserve"> </w:t>
            </w:r>
            <w:r w:rsidRPr="00276D5E">
              <w:rPr>
                <w:rFonts w:ascii="Arial" w:hAnsi="Arial" w:cs="Arial"/>
              </w:rPr>
              <w:t>ground</w:t>
            </w:r>
            <w:r w:rsidRPr="00276D5E">
              <w:rPr>
                <w:rFonts w:ascii="Arial" w:hAnsi="Arial" w:cs="Arial"/>
                <w:spacing w:val="-3"/>
              </w:rPr>
              <w:t xml:space="preserve"> </w:t>
            </w:r>
            <w:r w:rsidRPr="00276D5E">
              <w:rPr>
                <w:rFonts w:ascii="Arial" w:hAnsi="Arial" w:cs="Arial"/>
              </w:rPr>
              <w:t>crew</w:t>
            </w:r>
          </w:p>
        </w:tc>
      </w:tr>
      <w:tr w:rsidR="0074189B" w:rsidRPr="00276D5E" w14:paraId="653A4C0D" w14:textId="77777777" w:rsidTr="00516C81">
        <w:trPr>
          <w:trHeight w:val="199"/>
        </w:trPr>
        <w:tc>
          <w:tcPr>
            <w:tcW w:w="1134" w:type="dxa"/>
          </w:tcPr>
          <w:p w14:paraId="701E74DE" w14:textId="77777777" w:rsidR="0074189B" w:rsidRPr="00276D5E" w:rsidRDefault="0074189B" w:rsidP="009D4B90">
            <w:pPr>
              <w:pStyle w:val="TableParagraph"/>
              <w:spacing w:line="222" w:lineRule="exact"/>
              <w:ind w:left="86"/>
              <w:rPr>
                <w:rFonts w:ascii="Arial" w:hAnsi="Arial" w:cs="Arial"/>
              </w:rPr>
            </w:pPr>
            <w:r w:rsidRPr="00276D5E">
              <w:rPr>
                <w:rFonts w:ascii="Arial" w:hAnsi="Arial" w:cs="Arial"/>
                <w:w w:val="99"/>
              </w:rPr>
              <w:t>i</w:t>
            </w:r>
          </w:p>
        </w:tc>
        <w:tc>
          <w:tcPr>
            <w:tcW w:w="8046" w:type="dxa"/>
            <w:gridSpan w:val="2"/>
          </w:tcPr>
          <w:p w14:paraId="5B765225" w14:textId="77777777" w:rsidR="0074189B" w:rsidRPr="00276D5E" w:rsidRDefault="0074189B" w:rsidP="009D4B90">
            <w:pPr>
              <w:pStyle w:val="TableParagraph"/>
              <w:spacing w:line="222" w:lineRule="exact"/>
              <w:rPr>
                <w:rFonts w:ascii="Arial" w:hAnsi="Arial" w:cs="Arial"/>
              </w:rPr>
            </w:pPr>
            <w:r w:rsidRPr="00276D5E">
              <w:rPr>
                <w:rFonts w:ascii="Arial" w:hAnsi="Arial" w:cs="Arial"/>
              </w:rPr>
              <w:t>ATC</w:t>
            </w:r>
            <w:r w:rsidRPr="00276D5E">
              <w:rPr>
                <w:rFonts w:ascii="Arial" w:hAnsi="Arial" w:cs="Arial"/>
                <w:spacing w:val="-3"/>
              </w:rPr>
              <w:t xml:space="preserve"> </w:t>
            </w:r>
            <w:r w:rsidRPr="00276D5E">
              <w:rPr>
                <w:rFonts w:ascii="Arial" w:hAnsi="Arial" w:cs="Arial"/>
              </w:rPr>
              <w:t>compliance</w:t>
            </w:r>
            <w:r w:rsidRPr="00276D5E">
              <w:rPr>
                <w:rFonts w:ascii="Arial" w:hAnsi="Arial" w:cs="Arial"/>
                <w:spacing w:val="-4"/>
              </w:rPr>
              <w:t xml:space="preserve"> </w:t>
            </w:r>
            <w:r w:rsidRPr="00276D5E">
              <w:rPr>
                <w:rFonts w:ascii="Arial" w:hAnsi="Arial" w:cs="Arial"/>
              </w:rPr>
              <w:t>(if</w:t>
            </w:r>
            <w:r w:rsidRPr="00276D5E">
              <w:rPr>
                <w:rFonts w:ascii="Arial" w:hAnsi="Arial" w:cs="Arial"/>
                <w:spacing w:val="-3"/>
              </w:rPr>
              <w:t xml:space="preserve"> </w:t>
            </w:r>
            <w:r w:rsidRPr="00276D5E">
              <w:rPr>
                <w:rFonts w:ascii="Arial" w:hAnsi="Arial" w:cs="Arial"/>
              </w:rPr>
              <w:t>applicable)</w:t>
            </w:r>
          </w:p>
        </w:tc>
      </w:tr>
      <w:tr w:rsidR="0074189B" w:rsidRPr="00276D5E" w14:paraId="5DC2AA6B" w14:textId="77777777" w:rsidTr="00516C81">
        <w:trPr>
          <w:trHeight w:val="202"/>
        </w:trPr>
        <w:tc>
          <w:tcPr>
            <w:tcW w:w="9180" w:type="dxa"/>
            <w:gridSpan w:val="3"/>
            <w:shd w:val="clear" w:color="auto" w:fill="F2F2F2" w:themeFill="background1" w:themeFillShade="F2"/>
          </w:tcPr>
          <w:p w14:paraId="08847D2C" w14:textId="77777777" w:rsidR="0074189B" w:rsidRPr="00276D5E" w:rsidRDefault="0074189B" w:rsidP="009D4B90">
            <w:pPr>
              <w:pStyle w:val="TableParagraph"/>
              <w:spacing w:line="225" w:lineRule="exact"/>
              <w:ind w:left="86"/>
              <w:rPr>
                <w:rFonts w:ascii="Arial" w:hAnsi="Arial" w:cs="Arial"/>
                <w:b/>
              </w:rPr>
            </w:pPr>
            <w:r w:rsidRPr="00276D5E">
              <w:rPr>
                <w:rFonts w:ascii="Arial" w:hAnsi="Arial" w:cs="Arial"/>
                <w:b/>
              </w:rPr>
              <w:t>SECTION</w:t>
            </w:r>
            <w:r w:rsidRPr="00276D5E">
              <w:rPr>
                <w:rFonts w:ascii="Arial" w:hAnsi="Arial" w:cs="Arial"/>
                <w:b/>
                <w:spacing w:val="-4"/>
              </w:rPr>
              <w:t xml:space="preserve"> </w:t>
            </w:r>
            <w:r w:rsidRPr="00276D5E">
              <w:rPr>
                <w:rFonts w:ascii="Arial" w:hAnsi="Arial" w:cs="Arial"/>
                <w:b/>
              </w:rPr>
              <w:t>4:</w:t>
            </w:r>
            <w:r w:rsidRPr="00276D5E">
              <w:rPr>
                <w:rFonts w:ascii="Arial" w:hAnsi="Arial" w:cs="Arial"/>
                <w:b/>
                <w:spacing w:val="-4"/>
              </w:rPr>
              <w:t xml:space="preserve"> </w:t>
            </w:r>
            <w:r w:rsidRPr="00276D5E">
              <w:rPr>
                <w:rFonts w:ascii="Arial" w:hAnsi="Arial" w:cs="Arial"/>
                <w:b/>
              </w:rPr>
              <w:t>APPROACH</w:t>
            </w:r>
            <w:r w:rsidRPr="00276D5E">
              <w:rPr>
                <w:rFonts w:ascii="Arial" w:hAnsi="Arial" w:cs="Arial"/>
                <w:b/>
                <w:spacing w:val="-2"/>
              </w:rPr>
              <w:t xml:space="preserve"> </w:t>
            </w:r>
            <w:r w:rsidRPr="00276D5E">
              <w:rPr>
                <w:rFonts w:ascii="Arial" w:hAnsi="Arial" w:cs="Arial"/>
                <w:b/>
              </w:rPr>
              <w:t>AND</w:t>
            </w:r>
            <w:r w:rsidRPr="00276D5E">
              <w:rPr>
                <w:rFonts w:ascii="Arial" w:hAnsi="Arial" w:cs="Arial"/>
                <w:b/>
                <w:spacing w:val="-5"/>
              </w:rPr>
              <w:t xml:space="preserve"> </w:t>
            </w:r>
            <w:r w:rsidRPr="00276D5E">
              <w:rPr>
                <w:rFonts w:ascii="Arial" w:hAnsi="Arial" w:cs="Arial"/>
                <w:b/>
              </w:rPr>
              <w:t>LANDING</w:t>
            </w:r>
            <w:r w:rsidRPr="00276D5E">
              <w:rPr>
                <w:rFonts w:ascii="Arial" w:hAnsi="Arial" w:cs="Arial"/>
                <w:b/>
                <w:spacing w:val="-4"/>
              </w:rPr>
              <w:t xml:space="preserve"> </w:t>
            </w:r>
            <w:r w:rsidRPr="00276D5E">
              <w:rPr>
                <w:rFonts w:ascii="Arial" w:hAnsi="Arial" w:cs="Arial"/>
                <w:b/>
              </w:rPr>
              <w:t>PROCEDURES</w:t>
            </w:r>
          </w:p>
        </w:tc>
      </w:tr>
      <w:tr w:rsidR="0074189B" w:rsidRPr="00276D5E" w14:paraId="5346F6BC" w14:textId="77777777" w:rsidTr="00516C81">
        <w:trPr>
          <w:trHeight w:val="200"/>
        </w:trPr>
        <w:tc>
          <w:tcPr>
            <w:tcW w:w="1134" w:type="dxa"/>
          </w:tcPr>
          <w:p w14:paraId="1010B5DF" w14:textId="77777777" w:rsidR="0074189B" w:rsidRPr="00276D5E" w:rsidRDefault="0074189B" w:rsidP="009D4B90">
            <w:pPr>
              <w:pStyle w:val="TableParagraph"/>
              <w:spacing w:line="223" w:lineRule="exact"/>
              <w:ind w:left="86"/>
              <w:rPr>
                <w:rFonts w:ascii="Arial" w:hAnsi="Arial" w:cs="Arial"/>
              </w:rPr>
            </w:pPr>
            <w:r w:rsidRPr="00276D5E">
              <w:rPr>
                <w:rFonts w:ascii="Arial" w:hAnsi="Arial" w:cs="Arial"/>
                <w:w w:val="99"/>
              </w:rPr>
              <w:t>a</w:t>
            </w:r>
          </w:p>
        </w:tc>
        <w:tc>
          <w:tcPr>
            <w:tcW w:w="8046" w:type="dxa"/>
            <w:gridSpan w:val="2"/>
          </w:tcPr>
          <w:p w14:paraId="6C1DEE2C" w14:textId="77777777" w:rsidR="0074189B" w:rsidRPr="00276D5E" w:rsidRDefault="0074189B" w:rsidP="009D4B90">
            <w:pPr>
              <w:pStyle w:val="TableParagraph"/>
              <w:spacing w:line="223" w:lineRule="exact"/>
              <w:rPr>
                <w:rFonts w:ascii="Arial" w:hAnsi="Arial" w:cs="Arial"/>
              </w:rPr>
            </w:pPr>
            <w:r w:rsidRPr="00276D5E">
              <w:rPr>
                <w:rFonts w:ascii="Arial" w:hAnsi="Arial" w:cs="Arial"/>
              </w:rPr>
              <w:t>Approach,</w:t>
            </w:r>
            <w:r w:rsidRPr="00276D5E">
              <w:rPr>
                <w:rFonts w:ascii="Arial" w:hAnsi="Arial" w:cs="Arial"/>
                <w:spacing w:val="-2"/>
              </w:rPr>
              <w:t xml:space="preserve"> </w:t>
            </w:r>
            <w:r w:rsidRPr="00276D5E">
              <w:rPr>
                <w:rFonts w:ascii="Arial" w:hAnsi="Arial" w:cs="Arial"/>
              </w:rPr>
              <w:t>missed</w:t>
            </w:r>
            <w:r w:rsidRPr="00276D5E">
              <w:rPr>
                <w:rFonts w:ascii="Arial" w:hAnsi="Arial" w:cs="Arial"/>
                <w:spacing w:val="-2"/>
              </w:rPr>
              <w:t xml:space="preserve"> </w:t>
            </w:r>
            <w:r w:rsidRPr="00276D5E">
              <w:rPr>
                <w:rFonts w:ascii="Arial" w:hAnsi="Arial" w:cs="Arial"/>
              </w:rPr>
              <w:t>approach</w:t>
            </w:r>
            <w:r w:rsidRPr="00276D5E">
              <w:rPr>
                <w:rFonts w:ascii="Arial" w:hAnsi="Arial" w:cs="Arial"/>
                <w:spacing w:val="-1"/>
              </w:rPr>
              <w:t xml:space="preserve"> </w:t>
            </w:r>
            <w:r w:rsidRPr="00276D5E">
              <w:rPr>
                <w:rFonts w:ascii="Arial" w:hAnsi="Arial" w:cs="Arial"/>
              </w:rPr>
              <w:t>and</w:t>
            </w:r>
            <w:r w:rsidRPr="00276D5E">
              <w:rPr>
                <w:rFonts w:ascii="Arial" w:hAnsi="Arial" w:cs="Arial"/>
                <w:spacing w:val="-2"/>
              </w:rPr>
              <w:t xml:space="preserve"> </w:t>
            </w:r>
            <w:r w:rsidRPr="00276D5E">
              <w:rPr>
                <w:rFonts w:ascii="Arial" w:hAnsi="Arial" w:cs="Arial"/>
              </w:rPr>
              <w:t>go-around</w:t>
            </w:r>
          </w:p>
        </w:tc>
      </w:tr>
      <w:tr w:rsidR="0074189B" w:rsidRPr="00276D5E" w14:paraId="3F74C6DA" w14:textId="77777777" w:rsidTr="00516C81">
        <w:trPr>
          <w:trHeight w:val="202"/>
        </w:trPr>
        <w:tc>
          <w:tcPr>
            <w:tcW w:w="1134" w:type="dxa"/>
          </w:tcPr>
          <w:p w14:paraId="647461BC" w14:textId="77777777" w:rsidR="0074189B" w:rsidRPr="00276D5E" w:rsidRDefault="0074189B" w:rsidP="009D4B90">
            <w:pPr>
              <w:pStyle w:val="TableParagraph"/>
              <w:spacing w:line="225" w:lineRule="exact"/>
              <w:ind w:left="86"/>
              <w:rPr>
                <w:rFonts w:ascii="Arial" w:hAnsi="Arial" w:cs="Arial"/>
              </w:rPr>
            </w:pPr>
            <w:r w:rsidRPr="00276D5E">
              <w:rPr>
                <w:rFonts w:ascii="Arial" w:hAnsi="Arial" w:cs="Arial"/>
                <w:w w:val="99"/>
              </w:rPr>
              <w:t>b</w:t>
            </w:r>
          </w:p>
        </w:tc>
        <w:tc>
          <w:tcPr>
            <w:tcW w:w="8046" w:type="dxa"/>
            <w:gridSpan w:val="2"/>
          </w:tcPr>
          <w:p w14:paraId="5FD66886" w14:textId="77777777" w:rsidR="0074189B" w:rsidRPr="00276D5E" w:rsidRDefault="0074189B" w:rsidP="009D4B90">
            <w:pPr>
              <w:pStyle w:val="TableParagraph"/>
              <w:spacing w:line="225" w:lineRule="exact"/>
              <w:rPr>
                <w:rFonts w:ascii="Arial" w:hAnsi="Arial" w:cs="Arial"/>
              </w:rPr>
            </w:pPr>
            <w:r w:rsidRPr="00276D5E">
              <w:rPr>
                <w:rFonts w:ascii="Arial" w:hAnsi="Arial" w:cs="Arial"/>
              </w:rPr>
              <w:t>Pre-landing</w:t>
            </w:r>
            <w:r w:rsidRPr="00276D5E">
              <w:rPr>
                <w:rFonts w:ascii="Arial" w:hAnsi="Arial" w:cs="Arial"/>
                <w:spacing w:val="-3"/>
              </w:rPr>
              <w:t xml:space="preserve"> </w:t>
            </w:r>
            <w:r w:rsidRPr="00276D5E">
              <w:rPr>
                <w:rFonts w:ascii="Arial" w:hAnsi="Arial" w:cs="Arial"/>
              </w:rPr>
              <w:t>checks</w:t>
            </w:r>
          </w:p>
        </w:tc>
      </w:tr>
      <w:tr w:rsidR="0074189B" w:rsidRPr="00276D5E" w14:paraId="3CA8007A" w14:textId="77777777" w:rsidTr="00516C81">
        <w:trPr>
          <w:trHeight w:val="200"/>
        </w:trPr>
        <w:tc>
          <w:tcPr>
            <w:tcW w:w="1134" w:type="dxa"/>
          </w:tcPr>
          <w:p w14:paraId="7DFD81CB" w14:textId="77777777" w:rsidR="0074189B" w:rsidRPr="00276D5E" w:rsidRDefault="0074189B" w:rsidP="009D4B90">
            <w:pPr>
              <w:pStyle w:val="TableParagraph"/>
              <w:spacing w:line="223" w:lineRule="exact"/>
              <w:ind w:left="86"/>
              <w:rPr>
                <w:rFonts w:ascii="Arial" w:hAnsi="Arial" w:cs="Arial"/>
              </w:rPr>
            </w:pPr>
            <w:r w:rsidRPr="00276D5E">
              <w:rPr>
                <w:rFonts w:ascii="Arial" w:hAnsi="Arial" w:cs="Arial"/>
                <w:w w:val="99"/>
              </w:rPr>
              <w:t>c</w:t>
            </w:r>
          </w:p>
        </w:tc>
        <w:tc>
          <w:tcPr>
            <w:tcW w:w="8046" w:type="dxa"/>
            <w:gridSpan w:val="2"/>
          </w:tcPr>
          <w:p w14:paraId="01693878" w14:textId="77777777" w:rsidR="0074189B" w:rsidRPr="00276D5E" w:rsidRDefault="0074189B" w:rsidP="009D4B90">
            <w:pPr>
              <w:pStyle w:val="TableParagraph"/>
              <w:spacing w:line="223" w:lineRule="exact"/>
              <w:rPr>
                <w:rFonts w:ascii="Arial" w:hAnsi="Arial" w:cs="Arial"/>
              </w:rPr>
            </w:pPr>
            <w:r w:rsidRPr="00276D5E">
              <w:rPr>
                <w:rFonts w:ascii="Arial" w:hAnsi="Arial" w:cs="Arial"/>
              </w:rPr>
              <w:t>Selection</w:t>
            </w:r>
            <w:r w:rsidRPr="00276D5E">
              <w:rPr>
                <w:rFonts w:ascii="Arial" w:hAnsi="Arial" w:cs="Arial"/>
                <w:spacing w:val="-3"/>
              </w:rPr>
              <w:t xml:space="preserve"> </w:t>
            </w:r>
            <w:r w:rsidRPr="00276D5E">
              <w:rPr>
                <w:rFonts w:ascii="Arial" w:hAnsi="Arial" w:cs="Arial"/>
              </w:rPr>
              <w:t>of</w:t>
            </w:r>
            <w:r w:rsidRPr="00276D5E">
              <w:rPr>
                <w:rFonts w:ascii="Arial" w:hAnsi="Arial" w:cs="Arial"/>
                <w:spacing w:val="-5"/>
              </w:rPr>
              <w:t xml:space="preserve"> </w:t>
            </w:r>
            <w:r w:rsidRPr="00276D5E">
              <w:rPr>
                <w:rFonts w:ascii="Arial" w:hAnsi="Arial" w:cs="Arial"/>
              </w:rPr>
              <w:t>landing</w:t>
            </w:r>
            <w:r w:rsidRPr="00276D5E">
              <w:rPr>
                <w:rFonts w:ascii="Arial" w:hAnsi="Arial" w:cs="Arial"/>
                <w:spacing w:val="-4"/>
              </w:rPr>
              <w:t xml:space="preserve"> </w:t>
            </w:r>
            <w:r w:rsidRPr="00276D5E">
              <w:rPr>
                <w:rFonts w:ascii="Arial" w:hAnsi="Arial" w:cs="Arial"/>
              </w:rPr>
              <w:t>field</w:t>
            </w:r>
          </w:p>
        </w:tc>
      </w:tr>
      <w:tr w:rsidR="0074189B" w:rsidRPr="00276D5E" w14:paraId="564DA952" w14:textId="77777777" w:rsidTr="00516C81">
        <w:trPr>
          <w:trHeight w:val="202"/>
        </w:trPr>
        <w:tc>
          <w:tcPr>
            <w:tcW w:w="1134" w:type="dxa"/>
          </w:tcPr>
          <w:p w14:paraId="14271A99" w14:textId="77777777" w:rsidR="0074189B" w:rsidRPr="00276D5E" w:rsidRDefault="0074189B" w:rsidP="009D4B90">
            <w:pPr>
              <w:pStyle w:val="TableParagraph"/>
              <w:spacing w:line="225" w:lineRule="exact"/>
              <w:ind w:left="86"/>
              <w:rPr>
                <w:rFonts w:ascii="Arial" w:hAnsi="Arial" w:cs="Arial"/>
              </w:rPr>
            </w:pPr>
            <w:r w:rsidRPr="00276D5E">
              <w:rPr>
                <w:rFonts w:ascii="Arial" w:hAnsi="Arial" w:cs="Arial"/>
                <w:w w:val="99"/>
              </w:rPr>
              <w:t>d</w:t>
            </w:r>
          </w:p>
        </w:tc>
        <w:tc>
          <w:tcPr>
            <w:tcW w:w="8046" w:type="dxa"/>
            <w:gridSpan w:val="2"/>
          </w:tcPr>
          <w:p w14:paraId="3B340918" w14:textId="77777777" w:rsidR="0074189B" w:rsidRPr="00276D5E" w:rsidRDefault="0074189B" w:rsidP="009D4B90">
            <w:pPr>
              <w:pStyle w:val="TableParagraph"/>
              <w:spacing w:line="225" w:lineRule="exact"/>
              <w:rPr>
                <w:rFonts w:ascii="Arial" w:hAnsi="Arial" w:cs="Arial"/>
              </w:rPr>
            </w:pPr>
            <w:r w:rsidRPr="00276D5E">
              <w:rPr>
                <w:rFonts w:ascii="Arial" w:hAnsi="Arial" w:cs="Arial"/>
              </w:rPr>
              <w:t>Landing</w:t>
            </w:r>
            <w:r w:rsidRPr="00276D5E">
              <w:rPr>
                <w:rFonts w:ascii="Arial" w:hAnsi="Arial" w:cs="Arial"/>
                <w:spacing w:val="-4"/>
              </w:rPr>
              <w:t xml:space="preserve"> </w:t>
            </w:r>
            <w:r w:rsidRPr="00276D5E">
              <w:rPr>
                <w:rFonts w:ascii="Arial" w:hAnsi="Arial" w:cs="Arial"/>
              </w:rPr>
              <w:t>and</w:t>
            </w:r>
            <w:r w:rsidRPr="00276D5E">
              <w:rPr>
                <w:rFonts w:ascii="Arial" w:hAnsi="Arial" w:cs="Arial"/>
                <w:spacing w:val="-2"/>
              </w:rPr>
              <w:t xml:space="preserve"> </w:t>
            </w:r>
            <w:r w:rsidRPr="00276D5E">
              <w:rPr>
                <w:rFonts w:ascii="Arial" w:hAnsi="Arial" w:cs="Arial"/>
              </w:rPr>
              <w:t>deflation</w:t>
            </w:r>
          </w:p>
        </w:tc>
      </w:tr>
      <w:tr w:rsidR="0074189B" w:rsidRPr="00276D5E" w14:paraId="495302F1" w14:textId="77777777" w:rsidTr="00516C81">
        <w:trPr>
          <w:trHeight w:val="199"/>
        </w:trPr>
        <w:tc>
          <w:tcPr>
            <w:tcW w:w="1134" w:type="dxa"/>
          </w:tcPr>
          <w:p w14:paraId="7C659331" w14:textId="77777777" w:rsidR="0074189B" w:rsidRPr="00276D5E" w:rsidRDefault="0074189B" w:rsidP="009D4B90">
            <w:pPr>
              <w:pStyle w:val="TableParagraph"/>
              <w:spacing w:line="223" w:lineRule="exact"/>
              <w:ind w:left="86"/>
              <w:rPr>
                <w:rFonts w:ascii="Arial" w:hAnsi="Arial" w:cs="Arial"/>
              </w:rPr>
            </w:pPr>
            <w:r w:rsidRPr="00276D5E">
              <w:rPr>
                <w:rFonts w:ascii="Arial" w:hAnsi="Arial" w:cs="Arial"/>
                <w:w w:val="99"/>
              </w:rPr>
              <w:t>e</w:t>
            </w:r>
          </w:p>
        </w:tc>
        <w:tc>
          <w:tcPr>
            <w:tcW w:w="8046" w:type="dxa"/>
            <w:gridSpan w:val="2"/>
          </w:tcPr>
          <w:p w14:paraId="5FCCA7EC" w14:textId="77777777" w:rsidR="0074189B" w:rsidRPr="00276D5E" w:rsidRDefault="0074189B" w:rsidP="009D4B90">
            <w:pPr>
              <w:pStyle w:val="TableParagraph"/>
              <w:spacing w:line="223" w:lineRule="exact"/>
              <w:rPr>
                <w:rFonts w:ascii="Arial" w:hAnsi="Arial" w:cs="Arial"/>
              </w:rPr>
            </w:pPr>
            <w:r w:rsidRPr="00276D5E">
              <w:rPr>
                <w:rFonts w:ascii="Arial" w:hAnsi="Arial" w:cs="Arial"/>
              </w:rPr>
              <w:t>ATC</w:t>
            </w:r>
            <w:r w:rsidRPr="00276D5E">
              <w:rPr>
                <w:rFonts w:ascii="Arial" w:hAnsi="Arial" w:cs="Arial"/>
                <w:spacing w:val="-3"/>
              </w:rPr>
              <w:t xml:space="preserve"> </w:t>
            </w:r>
            <w:r w:rsidRPr="00276D5E">
              <w:rPr>
                <w:rFonts w:ascii="Arial" w:hAnsi="Arial" w:cs="Arial"/>
              </w:rPr>
              <w:t>compliance</w:t>
            </w:r>
            <w:r w:rsidRPr="00276D5E">
              <w:rPr>
                <w:rFonts w:ascii="Arial" w:hAnsi="Arial" w:cs="Arial"/>
                <w:spacing w:val="-4"/>
              </w:rPr>
              <w:t xml:space="preserve"> </w:t>
            </w:r>
            <w:r w:rsidRPr="00276D5E">
              <w:rPr>
                <w:rFonts w:ascii="Arial" w:hAnsi="Arial" w:cs="Arial"/>
              </w:rPr>
              <w:t>(if</w:t>
            </w:r>
            <w:r w:rsidRPr="00276D5E">
              <w:rPr>
                <w:rFonts w:ascii="Arial" w:hAnsi="Arial" w:cs="Arial"/>
                <w:spacing w:val="-3"/>
              </w:rPr>
              <w:t xml:space="preserve"> </w:t>
            </w:r>
            <w:r w:rsidRPr="00276D5E">
              <w:rPr>
                <w:rFonts w:ascii="Arial" w:hAnsi="Arial" w:cs="Arial"/>
              </w:rPr>
              <w:t>applicable)</w:t>
            </w:r>
          </w:p>
        </w:tc>
      </w:tr>
      <w:tr w:rsidR="0074189B" w:rsidRPr="00276D5E" w14:paraId="39BED811" w14:textId="77777777" w:rsidTr="00516C81">
        <w:trPr>
          <w:trHeight w:val="445"/>
        </w:trPr>
        <w:tc>
          <w:tcPr>
            <w:tcW w:w="1134" w:type="dxa"/>
          </w:tcPr>
          <w:p w14:paraId="10A4BB35" w14:textId="77777777" w:rsidR="0074189B" w:rsidRPr="00276D5E" w:rsidRDefault="0074189B" w:rsidP="009D4B90">
            <w:pPr>
              <w:pStyle w:val="TableParagraph"/>
              <w:spacing w:before="1"/>
              <w:ind w:left="86"/>
              <w:rPr>
                <w:rFonts w:ascii="Arial" w:hAnsi="Arial" w:cs="Arial"/>
              </w:rPr>
            </w:pPr>
            <w:r w:rsidRPr="00276D5E">
              <w:rPr>
                <w:rFonts w:ascii="Arial" w:hAnsi="Arial" w:cs="Arial"/>
                <w:w w:val="99"/>
              </w:rPr>
              <w:t>f</w:t>
            </w:r>
          </w:p>
        </w:tc>
        <w:tc>
          <w:tcPr>
            <w:tcW w:w="8046" w:type="dxa"/>
            <w:gridSpan w:val="2"/>
          </w:tcPr>
          <w:p w14:paraId="1AAEAA10" w14:textId="1EE9A52A" w:rsidR="0074189B" w:rsidRPr="00276D5E" w:rsidRDefault="0074189B" w:rsidP="009D4B90">
            <w:pPr>
              <w:pStyle w:val="TableParagraph"/>
              <w:spacing w:line="240" w:lineRule="atLeast"/>
              <w:rPr>
                <w:rFonts w:ascii="Arial" w:hAnsi="Arial" w:cs="Arial"/>
              </w:rPr>
            </w:pPr>
            <w:r w:rsidRPr="00276D5E">
              <w:rPr>
                <w:rFonts w:ascii="Arial" w:hAnsi="Arial" w:cs="Arial"/>
              </w:rPr>
              <w:t>Actions after flight (recording of the flight, closing flight plan (if applicable), briefing passengers</w:t>
            </w:r>
            <w:r w:rsidR="00516C81">
              <w:rPr>
                <w:rFonts w:ascii="Arial" w:hAnsi="Arial" w:cs="Arial"/>
              </w:rPr>
              <w:t xml:space="preserve"> </w:t>
            </w:r>
            <w:r w:rsidRPr="00276D5E">
              <w:rPr>
                <w:rFonts w:ascii="Arial" w:hAnsi="Arial" w:cs="Arial"/>
                <w:spacing w:val="-43"/>
              </w:rPr>
              <w:t xml:space="preserve"> </w:t>
            </w:r>
            <w:r w:rsidRPr="00276D5E">
              <w:rPr>
                <w:rFonts w:ascii="Arial" w:hAnsi="Arial" w:cs="Arial"/>
              </w:rPr>
              <w:t>for</w:t>
            </w:r>
            <w:r w:rsidRPr="00276D5E">
              <w:rPr>
                <w:rFonts w:ascii="Arial" w:hAnsi="Arial" w:cs="Arial"/>
                <w:spacing w:val="-1"/>
              </w:rPr>
              <w:t xml:space="preserve"> </w:t>
            </w:r>
            <w:r w:rsidRPr="00276D5E">
              <w:rPr>
                <w:rFonts w:ascii="Arial" w:hAnsi="Arial" w:cs="Arial"/>
              </w:rPr>
              <w:t>packing</w:t>
            </w:r>
            <w:r w:rsidRPr="00276D5E">
              <w:rPr>
                <w:rFonts w:ascii="Arial" w:hAnsi="Arial" w:cs="Arial"/>
                <w:spacing w:val="-1"/>
              </w:rPr>
              <w:t xml:space="preserve"> </w:t>
            </w:r>
            <w:r w:rsidRPr="00276D5E">
              <w:rPr>
                <w:rFonts w:ascii="Arial" w:hAnsi="Arial" w:cs="Arial"/>
              </w:rPr>
              <w:t>hot-air airship, contact landowner)</w:t>
            </w:r>
          </w:p>
        </w:tc>
      </w:tr>
      <w:tr w:rsidR="0074189B" w:rsidRPr="00276D5E" w14:paraId="1CF692AE" w14:textId="77777777" w:rsidTr="00516C81">
        <w:trPr>
          <w:trHeight w:val="202"/>
        </w:trPr>
        <w:tc>
          <w:tcPr>
            <w:tcW w:w="9180" w:type="dxa"/>
            <w:gridSpan w:val="3"/>
            <w:shd w:val="clear" w:color="auto" w:fill="F2F2F2" w:themeFill="background1" w:themeFillShade="F2"/>
          </w:tcPr>
          <w:p w14:paraId="6973DD1D" w14:textId="77777777" w:rsidR="0074189B" w:rsidRPr="00276D5E" w:rsidRDefault="0074189B" w:rsidP="009D4B90">
            <w:pPr>
              <w:pStyle w:val="TableParagraph"/>
              <w:spacing w:line="225" w:lineRule="exact"/>
              <w:ind w:left="86"/>
              <w:rPr>
                <w:rFonts w:ascii="Arial" w:hAnsi="Arial" w:cs="Arial"/>
                <w:b/>
              </w:rPr>
            </w:pPr>
            <w:r w:rsidRPr="00276D5E">
              <w:rPr>
                <w:rFonts w:ascii="Arial" w:hAnsi="Arial" w:cs="Arial"/>
                <w:b/>
              </w:rPr>
              <w:t>SECTION</w:t>
            </w:r>
            <w:r w:rsidRPr="00276D5E">
              <w:rPr>
                <w:rFonts w:ascii="Arial" w:hAnsi="Arial" w:cs="Arial"/>
                <w:b/>
                <w:spacing w:val="-4"/>
              </w:rPr>
              <w:t xml:space="preserve"> </w:t>
            </w:r>
            <w:r w:rsidRPr="00276D5E">
              <w:rPr>
                <w:rFonts w:ascii="Arial" w:hAnsi="Arial" w:cs="Arial"/>
                <w:b/>
              </w:rPr>
              <w:t>5:</w:t>
            </w:r>
            <w:r w:rsidRPr="00276D5E">
              <w:rPr>
                <w:rFonts w:ascii="Arial" w:hAnsi="Arial" w:cs="Arial"/>
                <w:b/>
                <w:spacing w:val="-4"/>
              </w:rPr>
              <w:t xml:space="preserve"> </w:t>
            </w:r>
            <w:r w:rsidRPr="00276D5E">
              <w:rPr>
                <w:rFonts w:ascii="Arial" w:hAnsi="Arial" w:cs="Arial"/>
                <w:b/>
              </w:rPr>
              <w:t>ABNORMAL</w:t>
            </w:r>
            <w:r w:rsidRPr="00276D5E">
              <w:rPr>
                <w:rFonts w:ascii="Arial" w:hAnsi="Arial" w:cs="Arial"/>
                <w:b/>
                <w:spacing w:val="-4"/>
              </w:rPr>
              <w:t xml:space="preserve"> </w:t>
            </w:r>
            <w:r w:rsidRPr="00276D5E">
              <w:rPr>
                <w:rFonts w:ascii="Arial" w:hAnsi="Arial" w:cs="Arial"/>
                <w:b/>
              </w:rPr>
              <w:t>AND</w:t>
            </w:r>
            <w:r w:rsidRPr="00276D5E">
              <w:rPr>
                <w:rFonts w:ascii="Arial" w:hAnsi="Arial" w:cs="Arial"/>
                <w:b/>
                <w:spacing w:val="-5"/>
              </w:rPr>
              <w:t xml:space="preserve"> </w:t>
            </w:r>
            <w:r w:rsidRPr="00276D5E">
              <w:rPr>
                <w:rFonts w:ascii="Arial" w:hAnsi="Arial" w:cs="Arial"/>
                <w:b/>
              </w:rPr>
              <w:t>EMERGENCY</w:t>
            </w:r>
            <w:r w:rsidRPr="00276D5E">
              <w:rPr>
                <w:rFonts w:ascii="Arial" w:hAnsi="Arial" w:cs="Arial"/>
                <w:b/>
                <w:spacing w:val="-5"/>
              </w:rPr>
              <w:t xml:space="preserve"> </w:t>
            </w:r>
            <w:r w:rsidRPr="00276D5E">
              <w:rPr>
                <w:rFonts w:ascii="Arial" w:hAnsi="Arial" w:cs="Arial"/>
                <w:b/>
              </w:rPr>
              <w:t>PROCEDURES</w:t>
            </w:r>
          </w:p>
        </w:tc>
      </w:tr>
      <w:tr w:rsidR="0074189B" w:rsidRPr="00276D5E" w14:paraId="709BEF3E" w14:textId="77777777" w:rsidTr="00516C81">
        <w:trPr>
          <w:trHeight w:val="199"/>
        </w:trPr>
        <w:tc>
          <w:tcPr>
            <w:tcW w:w="9180" w:type="dxa"/>
            <w:gridSpan w:val="3"/>
          </w:tcPr>
          <w:p w14:paraId="3A65DB54" w14:textId="77777777" w:rsidR="0074189B" w:rsidRPr="00276D5E" w:rsidRDefault="0074189B" w:rsidP="009D4B90">
            <w:pPr>
              <w:pStyle w:val="TableParagraph"/>
              <w:spacing w:line="222" w:lineRule="exact"/>
              <w:ind w:left="86"/>
              <w:rPr>
                <w:rFonts w:ascii="Arial" w:hAnsi="Arial" w:cs="Arial"/>
              </w:rPr>
            </w:pPr>
            <w:r w:rsidRPr="00276D5E">
              <w:rPr>
                <w:rFonts w:ascii="Arial" w:hAnsi="Arial" w:cs="Arial"/>
              </w:rPr>
              <w:t>This</w:t>
            </w:r>
            <w:r w:rsidRPr="00276D5E">
              <w:rPr>
                <w:rFonts w:ascii="Arial" w:hAnsi="Arial" w:cs="Arial"/>
                <w:spacing w:val="-2"/>
              </w:rPr>
              <w:t xml:space="preserve"> </w:t>
            </w:r>
            <w:r w:rsidRPr="00276D5E">
              <w:rPr>
                <w:rFonts w:ascii="Arial" w:hAnsi="Arial" w:cs="Arial"/>
              </w:rPr>
              <w:t>section</w:t>
            </w:r>
            <w:r w:rsidRPr="00276D5E">
              <w:rPr>
                <w:rFonts w:ascii="Arial" w:hAnsi="Arial" w:cs="Arial"/>
                <w:spacing w:val="-2"/>
              </w:rPr>
              <w:t xml:space="preserve"> </w:t>
            </w:r>
            <w:r w:rsidRPr="00276D5E">
              <w:rPr>
                <w:rFonts w:ascii="Arial" w:hAnsi="Arial" w:cs="Arial"/>
              </w:rPr>
              <w:t>may</w:t>
            </w:r>
            <w:r w:rsidRPr="00276D5E">
              <w:rPr>
                <w:rFonts w:ascii="Arial" w:hAnsi="Arial" w:cs="Arial"/>
                <w:spacing w:val="-1"/>
              </w:rPr>
              <w:t xml:space="preserve"> </w:t>
            </w:r>
            <w:r w:rsidRPr="00276D5E">
              <w:rPr>
                <w:rFonts w:ascii="Arial" w:hAnsi="Arial" w:cs="Arial"/>
              </w:rPr>
              <w:t>be</w:t>
            </w:r>
            <w:r w:rsidRPr="00276D5E">
              <w:rPr>
                <w:rFonts w:ascii="Arial" w:hAnsi="Arial" w:cs="Arial"/>
                <w:spacing w:val="-3"/>
              </w:rPr>
              <w:t xml:space="preserve"> </w:t>
            </w:r>
            <w:r w:rsidRPr="00276D5E">
              <w:rPr>
                <w:rFonts w:ascii="Arial" w:hAnsi="Arial" w:cs="Arial"/>
              </w:rPr>
              <w:t>combined with</w:t>
            </w:r>
            <w:r w:rsidRPr="00276D5E">
              <w:rPr>
                <w:rFonts w:ascii="Arial" w:hAnsi="Arial" w:cs="Arial"/>
                <w:spacing w:val="-3"/>
              </w:rPr>
              <w:t xml:space="preserve"> </w:t>
            </w:r>
            <w:r w:rsidRPr="00276D5E">
              <w:rPr>
                <w:rFonts w:ascii="Arial" w:hAnsi="Arial" w:cs="Arial"/>
              </w:rPr>
              <w:t>Sections</w:t>
            </w:r>
            <w:r w:rsidRPr="00276D5E">
              <w:rPr>
                <w:rFonts w:ascii="Arial" w:hAnsi="Arial" w:cs="Arial"/>
                <w:spacing w:val="-1"/>
              </w:rPr>
              <w:t xml:space="preserve"> </w:t>
            </w:r>
            <w:r w:rsidRPr="00276D5E">
              <w:rPr>
                <w:rFonts w:ascii="Arial" w:hAnsi="Arial" w:cs="Arial"/>
              </w:rPr>
              <w:t>1</w:t>
            </w:r>
            <w:r w:rsidRPr="00276D5E">
              <w:rPr>
                <w:rFonts w:ascii="Arial" w:hAnsi="Arial" w:cs="Arial"/>
                <w:spacing w:val="-3"/>
              </w:rPr>
              <w:t xml:space="preserve"> </w:t>
            </w:r>
            <w:r w:rsidRPr="00276D5E">
              <w:rPr>
                <w:rFonts w:ascii="Arial" w:hAnsi="Arial" w:cs="Arial"/>
              </w:rPr>
              <w:t>through</w:t>
            </w:r>
            <w:r w:rsidRPr="00276D5E">
              <w:rPr>
                <w:rFonts w:ascii="Arial" w:hAnsi="Arial" w:cs="Arial"/>
                <w:spacing w:val="-2"/>
              </w:rPr>
              <w:t xml:space="preserve"> </w:t>
            </w:r>
            <w:r w:rsidRPr="00276D5E">
              <w:rPr>
                <w:rFonts w:ascii="Arial" w:hAnsi="Arial" w:cs="Arial"/>
              </w:rPr>
              <w:t>4</w:t>
            </w:r>
          </w:p>
        </w:tc>
      </w:tr>
      <w:tr w:rsidR="0074189B" w:rsidRPr="00276D5E" w14:paraId="5FA4D4A7" w14:textId="77777777" w:rsidTr="00516C81">
        <w:trPr>
          <w:trHeight w:val="202"/>
        </w:trPr>
        <w:tc>
          <w:tcPr>
            <w:tcW w:w="1134" w:type="dxa"/>
          </w:tcPr>
          <w:p w14:paraId="2936138A" w14:textId="77777777" w:rsidR="0074189B" w:rsidRPr="00276D5E" w:rsidRDefault="0074189B" w:rsidP="009D4B90">
            <w:pPr>
              <w:pStyle w:val="TableParagraph"/>
              <w:spacing w:line="225" w:lineRule="exact"/>
              <w:ind w:left="86"/>
              <w:rPr>
                <w:rFonts w:ascii="Arial" w:hAnsi="Arial" w:cs="Arial"/>
              </w:rPr>
            </w:pPr>
            <w:r w:rsidRPr="00276D5E">
              <w:rPr>
                <w:rFonts w:ascii="Arial" w:hAnsi="Arial" w:cs="Arial"/>
                <w:w w:val="99"/>
              </w:rPr>
              <w:t>a</w:t>
            </w:r>
          </w:p>
        </w:tc>
        <w:tc>
          <w:tcPr>
            <w:tcW w:w="8046" w:type="dxa"/>
            <w:gridSpan w:val="2"/>
          </w:tcPr>
          <w:p w14:paraId="1A984BE8" w14:textId="77777777" w:rsidR="0074189B" w:rsidRPr="00276D5E" w:rsidRDefault="0074189B" w:rsidP="009D4B90">
            <w:pPr>
              <w:pStyle w:val="TableParagraph"/>
              <w:spacing w:line="225" w:lineRule="exact"/>
              <w:rPr>
                <w:rFonts w:ascii="Arial" w:hAnsi="Arial" w:cs="Arial"/>
              </w:rPr>
            </w:pPr>
            <w:r w:rsidRPr="00276D5E">
              <w:rPr>
                <w:rFonts w:ascii="Arial" w:hAnsi="Arial" w:cs="Arial"/>
              </w:rPr>
              <w:t>Simulated</w:t>
            </w:r>
            <w:r w:rsidRPr="00276D5E">
              <w:rPr>
                <w:rFonts w:ascii="Arial" w:hAnsi="Arial" w:cs="Arial"/>
                <w:spacing w:val="-2"/>
              </w:rPr>
              <w:t xml:space="preserve"> </w:t>
            </w:r>
            <w:r w:rsidRPr="00276D5E">
              <w:rPr>
                <w:rFonts w:ascii="Arial" w:hAnsi="Arial" w:cs="Arial"/>
              </w:rPr>
              <w:t>fire</w:t>
            </w:r>
            <w:r w:rsidRPr="00276D5E">
              <w:rPr>
                <w:rFonts w:ascii="Arial" w:hAnsi="Arial" w:cs="Arial"/>
                <w:spacing w:val="-3"/>
              </w:rPr>
              <w:t xml:space="preserve"> </w:t>
            </w:r>
            <w:r w:rsidRPr="00276D5E">
              <w:rPr>
                <w:rFonts w:ascii="Arial" w:hAnsi="Arial" w:cs="Arial"/>
              </w:rPr>
              <w:t>on</w:t>
            </w:r>
            <w:r w:rsidRPr="00276D5E">
              <w:rPr>
                <w:rFonts w:ascii="Arial" w:hAnsi="Arial" w:cs="Arial"/>
                <w:spacing w:val="-2"/>
              </w:rPr>
              <w:t xml:space="preserve"> </w:t>
            </w:r>
            <w:r w:rsidRPr="00276D5E">
              <w:rPr>
                <w:rFonts w:ascii="Arial" w:hAnsi="Arial" w:cs="Arial"/>
              </w:rPr>
              <w:t>the</w:t>
            </w:r>
            <w:r w:rsidRPr="00276D5E">
              <w:rPr>
                <w:rFonts w:ascii="Arial" w:hAnsi="Arial" w:cs="Arial"/>
                <w:spacing w:val="-2"/>
              </w:rPr>
              <w:t xml:space="preserve"> </w:t>
            </w:r>
            <w:r w:rsidRPr="00276D5E">
              <w:rPr>
                <w:rFonts w:ascii="Arial" w:hAnsi="Arial" w:cs="Arial"/>
              </w:rPr>
              <w:t>ground</w:t>
            </w:r>
            <w:r w:rsidRPr="00276D5E">
              <w:rPr>
                <w:rFonts w:ascii="Arial" w:hAnsi="Arial" w:cs="Arial"/>
                <w:spacing w:val="-2"/>
              </w:rPr>
              <w:t xml:space="preserve"> </w:t>
            </w:r>
            <w:r w:rsidRPr="00276D5E">
              <w:rPr>
                <w:rFonts w:ascii="Arial" w:hAnsi="Arial" w:cs="Arial"/>
              </w:rPr>
              <w:t>and</w:t>
            </w:r>
            <w:r w:rsidRPr="00276D5E">
              <w:rPr>
                <w:rFonts w:ascii="Arial" w:hAnsi="Arial" w:cs="Arial"/>
                <w:spacing w:val="-2"/>
              </w:rPr>
              <w:t xml:space="preserve"> </w:t>
            </w:r>
            <w:r w:rsidRPr="00276D5E">
              <w:rPr>
                <w:rFonts w:ascii="Arial" w:hAnsi="Arial" w:cs="Arial"/>
              </w:rPr>
              <w:t>in</w:t>
            </w:r>
            <w:r w:rsidRPr="00276D5E">
              <w:rPr>
                <w:rFonts w:ascii="Arial" w:hAnsi="Arial" w:cs="Arial"/>
                <w:spacing w:val="-1"/>
              </w:rPr>
              <w:t xml:space="preserve"> </w:t>
            </w:r>
            <w:r w:rsidRPr="00276D5E">
              <w:rPr>
                <w:rFonts w:ascii="Arial" w:hAnsi="Arial" w:cs="Arial"/>
              </w:rPr>
              <w:t>the</w:t>
            </w:r>
            <w:r w:rsidRPr="00276D5E">
              <w:rPr>
                <w:rFonts w:ascii="Arial" w:hAnsi="Arial" w:cs="Arial"/>
                <w:spacing w:val="-2"/>
              </w:rPr>
              <w:t xml:space="preserve"> </w:t>
            </w:r>
            <w:r w:rsidRPr="00276D5E">
              <w:rPr>
                <w:rFonts w:ascii="Arial" w:hAnsi="Arial" w:cs="Arial"/>
              </w:rPr>
              <w:t>air</w:t>
            </w:r>
          </w:p>
        </w:tc>
      </w:tr>
      <w:tr w:rsidR="0074189B" w:rsidRPr="00276D5E" w14:paraId="41035E4B" w14:textId="77777777" w:rsidTr="00516C81">
        <w:trPr>
          <w:trHeight w:val="199"/>
        </w:trPr>
        <w:tc>
          <w:tcPr>
            <w:tcW w:w="1134" w:type="dxa"/>
          </w:tcPr>
          <w:p w14:paraId="517EEE8C" w14:textId="77777777" w:rsidR="0074189B" w:rsidRPr="00276D5E" w:rsidRDefault="0074189B" w:rsidP="009D4B90">
            <w:pPr>
              <w:pStyle w:val="TableParagraph"/>
              <w:spacing w:line="223" w:lineRule="exact"/>
              <w:ind w:left="86"/>
              <w:rPr>
                <w:rFonts w:ascii="Arial" w:hAnsi="Arial" w:cs="Arial"/>
              </w:rPr>
            </w:pPr>
            <w:r w:rsidRPr="00276D5E">
              <w:rPr>
                <w:rFonts w:ascii="Arial" w:hAnsi="Arial" w:cs="Arial"/>
                <w:w w:val="99"/>
              </w:rPr>
              <w:t>b</w:t>
            </w:r>
          </w:p>
        </w:tc>
        <w:tc>
          <w:tcPr>
            <w:tcW w:w="8046" w:type="dxa"/>
            <w:gridSpan w:val="2"/>
          </w:tcPr>
          <w:p w14:paraId="0D924F92" w14:textId="77777777" w:rsidR="0074189B" w:rsidRPr="00276D5E" w:rsidRDefault="0074189B" w:rsidP="009D4B90">
            <w:pPr>
              <w:pStyle w:val="TableParagraph"/>
              <w:spacing w:line="223" w:lineRule="exact"/>
              <w:rPr>
                <w:rFonts w:ascii="Arial" w:hAnsi="Arial" w:cs="Arial"/>
              </w:rPr>
            </w:pPr>
            <w:r w:rsidRPr="00276D5E">
              <w:rPr>
                <w:rFonts w:ascii="Arial" w:hAnsi="Arial" w:cs="Arial"/>
              </w:rPr>
              <w:t>Simulated</w:t>
            </w:r>
            <w:r w:rsidRPr="00276D5E">
              <w:rPr>
                <w:rFonts w:ascii="Arial" w:hAnsi="Arial" w:cs="Arial"/>
                <w:spacing w:val="-3"/>
              </w:rPr>
              <w:t xml:space="preserve"> </w:t>
            </w:r>
            <w:r w:rsidRPr="00276D5E">
              <w:rPr>
                <w:rFonts w:ascii="Arial" w:hAnsi="Arial" w:cs="Arial"/>
              </w:rPr>
              <w:t>pilot</w:t>
            </w:r>
            <w:r w:rsidRPr="00276D5E">
              <w:rPr>
                <w:rFonts w:ascii="Arial" w:hAnsi="Arial" w:cs="Arial"/>
                <w:spacing w:val="-3"/>
              </w:rPr>
              <w:t xml:space="preserve"> </w:t>
            </w:r>
            <w:r w:rsidRPr="00276D5E">
              <w:rPr>
                <w:rFonts w:ascii="Arial" w:hAnsi="Arial" w:cs="Arial"/>
              </w:rPr>
              <w:t>light,</w:t>
            </w:r>
            <w:r w:rsidRPr="00276D5E">
              <w:rPr>
                <w:rFonts w:ascii="Arial" w:hAnsi="Arial" w:cs="Arial"/>
                <w:spacing w:val="-2"/>
              </w:rPr>
              <w:t xml:space="preserve"> </w:t>
            </w:r>
            <w:r w:rsidRPr="00276D5E">
              <w:rPr>
                <w:rFonts w:ascii="Arial" w:hAnsi="Arial" w:cs="Arial"/>
              </w:rPr>
              <w:t>burner</w:t>
            </w:r>
            <w:r w:rsidRPr="00276D5E">
              <w:rPr>
                <w:rFonts w:ascii="Arial" w:hAnsi="Arial" w:cs="Arial"/>
                <w:spacing w:val="-3"/>
              </w:rPr>
              <w:t xml:space="preserve"> </w:t>
            </w:r>
            <w:r w:rsidRPr="00276D5E">
              <w:rPr>
                <w:rFonts w:ascii="Arial" w:hAnsi="Arial" w:cs="Arial"/>
              </w:rPr>
              <w:t>and</w:t>
            </w:r>
            <w:r w:rsidRPr="00276D5E">
              <w:rPr>
                <w:rFonts w:ascii="Arial" w:hAnsi="Arial" w:cs="Arial"/>
                <w:spacing w:val="-3"/>
              </w:rPr>
              <w:t xml:space="preserve"> </w:t>
            </w:r>
            <w:r w:rsidRPr="00276D5E">
              <w:rPr>
                <w:rFonts w:ascii="Arial" w:hAnsi="Arial" w:cs="Arial"/>
              </w:rPr>
              <w:t>engine</w:t>
            </w:r>
            <w:r w:rsidRPr="00276D5E">
              <w:rPr>
                <w:rFonts w:ascii="Arial" w:hAnsi="Arial" w:cs="Arial"/>
                <w:spacing w:val="-3"/>
              </w:rPr>
              <w:t xml:space="preserve"> </w:t>
            </w:r>
            <w:r w:rsidRPr="00276D5E">
              <w:rPr>
                <w:rFonts w:ascii="Arial" w:hAnsi="Arial" w:cs="Arial"/>
              </w:rPr>
              <w:t>failures</w:t>
            </w:r>
          </w:p>
        </w:tc>
      </w:tr>
      <w:tr w:rsidR="0074189B" w:rsidRPr="00276D5E" w14:paraId="3787FED2" w14:textId="77777777" w:rsidTr="00516C81">
        <w:trPr>
          <w:trHeight w:val="202"/>
        </w:trPr>
        <w:tc>
          <w:tcPr>
            <w:tcW w:w="1134" w:type="dxa"/>
          </w:tcPr>
          <w:p w14:paraId="39453D50" w14:textId="77777777" w:rsidR="0074189B" w:rsidRPr="00276D5E" w:rsidRDefault="0074189B" w:rsidP="009D4B90">
            <w:pPr>
              <w:pStyle w:val="TableParagraph"/>
              <w:spacing w:line="225" w:lineRule="exact"/>
              <w:ind w:left="86"/>
              <w:rPr>
                <w:rFonts w:ascii="Arial" w:hAnsi="Arial" w:cs="Arial"/>
              </w:rPr>
            </w:pPr>
            <w:r w:rsidRPr="00276D5E">
              <w:rPr>
                <w:rFonts w:ascii="Arial" w:hAnsi="Arial" w:cs="Arial"/>
                <w:w w:val="99"/>
              </w:rPr>
              <w:t>c</w:t>
            </w:r>
          </w:p>
        </w:tc>
        <w:tc>
          <w:tcPr>
            <w:tcW w:w="8046" w:type="dxa"/>
            <w:gridSpan w:val="2"/>
          </w:tcPr>
          <w:p w14:paraId="304DE647" w14:textId="77777777" w:rsidR="0074189B" w:rsidRPr="00276D5E" w:rsidRDefault="0074189B" w:rsidP="009D4B90">
            <w:pPr>
              <w:pStyle w:val="TableParagraph"/>
              <w:spacing w:line="225" w:lineRule="exact"/>
              <w:rPr>
                <w:rFonts w:ascii="Arial" w:hAnsi="Arial" w:cs="Arial"/>
              </w:rPr>
            </w:pPr>
            <w:r w:rsidRPr="00276D5E">
              <w:rPr>
                <w:rFonts w:ascii="Arial" w:hAnsi="Arial" w:cs="Arial"/>
              </w:rPr>
              <w:t>Approach</w:t>
            </w:r>
            <w:r w:rsidRPr="00276D5E">
              <w:rPr>
                <w:rFonts w:ascii="Arial" w:hAnsi="Arial" w:cs="Arial"/>
                <w:spacing w:val="-2"/>
              </w:rPr>
              <w:t xml:space="preserve"> </w:t>
            </w:r>
            <w:r w:rsidRPr="00276D5E">
              <w:rPr>
                <w:rFonts w:ascii="Arial" w:hAnsi="Arial" w:cs="Arial"/>
              </w:rPr>
              <w:t>with</w:t>
            </w:r>
            <w:r w:rsidRPr="00276D5E">
              <w:rPr>
                <w:rFonts w:ascii="Arial" w:hAnsi="Arial" w:cs="Arial"/>
                <w:spacing w:val="-2"/>
              </w:rPr>
              <w:t xml:space="preserve"> </w:t>
            </w:r>
            <w:r w:rsidRPr="00276D5E">
              <w:rPr>
                <w:rFonts w:ascii="Arial" w:hAnsi="Arial" w:cs="Arial"/>
              </w:rPr>
              <w:t>simulated</w:t>
            </w:r>
            <w:r w:rsidRPr="00276D5E">
              <w:rPr>
                <w:rFonts w:ascii="Arial" w:hAnsi="Arial" w:cs="Arial"/>
                <w:spacing w:val="-3"/>
              </w:rPr>
              <w:t xml:space="preserve"> </w:t>
            </w:r>
            <w:r w:rsidRPr="00276D5E">
              <w:rPr>
                <w:rFonts w:ascii="Arial" w:hAnsi="Arial" w:cs="Arial"/>
              </w:rPr>
              <w:t>engine</w:t>
            </w:r>
            <w:r w:rsidRPr="00276D5E">
              <w:rPr>
                <w:rFonts w:ascii="Arial" w:hAnsi="Arial" w:cs="Arial"/>
                <w:spacing w:val="-3"/>
              </w:rPr>
              <w:t xml:space="preserve"> </w:t>
            </w:r>
            <w:r w:rsidRPr="00276D5E">
              <w:rPr>
                <w:rFonts w:ascii="Arial" w:hAnsi="Arial" w:cs="Arial"/>
              </w:rPr>
              <w:t>failure,</w:t>
            </w:r>
            <w:r w:rsidRPr="00276D5E">
              <w:rPr>
                <w:rFonts w:ascii="Arial" w:hAnsi="Arial" w:cs="Arial"/>
                <w:spacing w:val="-2"/>
              </w:rPr>
              <w:t xml:space="preserve"> </w:t>
            </w:r>
            <w:r w:rsidRPr="00276D5E">
              <w:rPr>
                <w:rFonts w:ascii="Arial" w:hAnsi="Arial" w:cs="Arial"/>
              </w:rPr>
              <w:t>missed</w:t>
            </w:r>
            <w:r w:rsidRPr="00276D5E">
              <w:rPr>
                <w:rFonts w:ascii="Arial" w:hAnsi="Arial" w:cs="Arial"/>
                <w:spacing w:val="-3"/>
              </w:rPr>
              <w:t xml:space="preserve"> </w:t>
            </w:r>
            <w:r w:rsidRPr="00276D5E">
              <w:rPr>
                <w:rFonts w:ascii="Arial" w:hAnsi="Arial" w:cs="Arial"/>
              </w:rPr>
              <w:t>approach</w:t>
            </w:r>
            <w:r w:rsidRPr="00276D5E">
              <w:rPr>
                <w:rFonts w:ascii="Arial" w:hAnsi="Arial" w:cs="Arial"/>
                <w:spacing w:val="-1"/>
              </w:rPr>
              <w:t xml:space="preserve"> </w:t>
            </w:r>
            <w:r w:rsidRPr="00276D5E">
              <w:rPr>
                <w:rFonts w:ascii="Arial" w:hAnsi="Arial" w:cs="Arial"/>
              </w:rPr>
              <w:t>and</w:t>
            </w:r>
            <w:r w:rsidRPr="00276D5E">
              <w:rPr>
                <w:rFonts w:ascii="Arial" w:hAnsi="Arial" w:cs="Arial"/>
                <w:spacing w:val="-2"/>
              </w:rPr>
              <w:t xml:space="preserve"> </w:t>
            </w:r>
            <w:r w:rsidRPr="00276D5E">
              <w:rPr>
                <w:rFonts w:ascii="Arial" w:hAnsi="Arial" w:cs="Arial"/>
              </w:rPr>
              <w:t>go-around</w:t>
            </w:r>
          </w:p>
        </w:tc>
      </w:tr>
      <w:tr w:rsidR="0074189B" w:rsidRPr="00276D5E" w14:paraId="2F78733E" w14:textId="77777777" w:rsidTr="00516C81">
        <w:trPr>
          <w:trHeight w:val="199"/>
        </w:trPr>
        <w:tc>
          <w:tcPr>
            <w:tcW w:w="1134" w:type="dxa"/>
          </w:tcPr>
          <w:p w14:paraId="77478DA3" w14:textId="77777777" w:rsidR="0074189B" w:rsidRPr="00276D5E" w:rsidRDefault="0074189B" w:rsidP="009D4B90">
            <w:pPr>
              <w:pStyle w:val="TableParagraph"/>
              <w:spacing w:line="223" w:lineRule="exact"/>
              <w:ind w:left="86"/>
              <w:rPr>
                <w:rFonts w:ascii="Arial" w:hAnsi="Arial" w:cs="Arial"/>
              </w:rPr>
            </w:pPr>
            <w:r w:rsidRPr="00276D5E">
              <w:rPr>
                <w:rFonts w:ascii="Arial" w:hAnsi="Arial" w:cs="Arial"/>
                <w:w w:val="99"/>
              </w:rPr>
              <w:t>d</w:t>
            </w:r>
          </w:p>
        </w:tc>
        <w:tc>
          <w:tcPr>
            <w:tcW w:w="8046" w:type="dxa"/>
            <w:gridSpan w:val="2"/>
          </w:tcPr>
          <w:p w14:paraId="0F118DC5" w14:textId="77777777" w:rsidR="0074189B" w:rsidRPr="00276D5E" w:rsidRDefault="0074189B" w:rsidP="009D4B90">
            <w:pPr>
              <w:pStyle w:val="TableParagraph"/>
              <w:spacing w:line="223" w:lineRule="exact"/>
              <w:rPr>
                <w:rFonts w:ascii="Arial" w:hAnsi="Arial" w:cs="Arial"/>
              </w:rPr>
            </w:pPr>
            <w:r w:rsidRPr="00276D5E">
              <w:rPr>
                <w:rFonts w:ascii="Arial" w:hAnsi="Arial" w:cs="Arial"/>
              </w:rPr>
              <w:t>Simulated</w:t>
            </w:r>
            <w:r w:rsidRPr="00276D5E">
              <w:rPr>
                <w:rFonts w:ascii="Arial" w:hAnsi="Arial" w:cs="Arial"/>
                <w:spacing w:val="-4"/>
              </w:rPr>
              <w:t xml:space="preserve"> </w:t>
            </w:r>
            <w:r w:rsidRPr="00276D5E">
              <w:rPr>
                <w:rFonts w:ascii="Arial" w:hAnsi="Arial" w:cs="Arial"/>
              </w:rPr>
              <w:t>passenger</w:t>
            </w:r>
            <w:r w:rsidRPr="00276D5E">
              <w:rPr>
                <w:rFonts w:ascii="Arial" w:hAnsi="Arial" w:cs="Arial"/>
                <w:spacing w:val="-4"/>
              </w:rPr>
              <w:t xml:space="preserve"> </w:t>
            </w:r>
            <w:r w:rsidRPr="00276D5E">
              <w:rPr>
                <w:rFonts w:ascii="Arial" w:hAnsi="Arial" w:cs="Arial"/>
              </w:rPr>
              <w:t>health</w:t>
            </w:r>
            <w:r w:rsidRPr="00276D5E">
              <w:rPr>
                <w:rFonts w:ascii="Arial" w:hAnsi="Arial" w:cs="Arial"/>
                <w:spacing w:val="-4"/>
              </w:rPr>
              <w:t xml:space="preserve"> </w:t>
            </w:r>
            <w:r w:rsidRPr="00276D5E">
              <w:rPr>
                <w:rFonts w:ascii="Arial" w:hAnsi="Arial" w:cs="Arial"/>
              </w:rPr>
              <w:t>problems</w:t>
            </w:r>
          </w:p>
        </w:tc>
      </w:tr>
      <w:tr w:rsidR="0074189B" w:rsidRPr="00276D5E" w14:paraId="14761110" w14:textId="77777777" w:rsidTr="00516C81">
        <w:trPr>
          <w:trHeight w:val="202"/>
        </w:trPr>
        <w:tc>
          <w:tcPr>
            <w:tcW w:w="1134" w:type="dxa"/>
          </w:tcPr>
          <w:p w14:paraId="3AE9DF99" w14:textId="77777777" w:rsidR="0074189B" w:rsidRPr="00276D5E" w:rsidRDefault="0074189B" w:rsidP="009D4B90">
            <w:pPr>
              <w:pStyle w:val="TableParagraph"/>
              <w:spacing w:line="225" w:lineRule="exact"/>
              <w:ind w:left="86"/>
              <w:rPr>
                <w:rFonts w:ascii="Arial" w:hAnsi="Arial" w:cs="Arial"/>
              </w:rPr>
            </w:pPr>
            <w:r w:rsidRPr="00276D5E">
              <w:rPr>
                <w:rFonts w:ascii="Arial" w:hAnsi="Arial" w:cs="Arial"/>
                <w:w w:val="99"/>
              </w:rPr>
              <w:t>e</w:t>
            </w:r>
          </w:p>
        </w:tc>
        <w:tc>
          <w:tcPr>
            <w:tcW w:w="8046" w:type="dxa"/>
            <w:gridSpan w:val="2"/>
          </w:tcPr>
          <w:p w14:paraId="3933D4C3" w14:textId="77777777" w:rsidR="0074189B" w:rsidRPr="00276D5E" w:rsidRDefault="0074189B" w:rsidP="009D4B90">
            <w:pPr>
              <w:pStyle w:val="TableParagraph"/>
              <w:spacing w:line="225" w:lineRule="exact"/>
              <w:rPr>
                <w:rFonts w:ascii="Arial" w:hAnsi="Arial" w:cs="Arial"/>
              </w:rPr>
            </w:pPr>
            <w:r w:rsidRPr="00276D5E">
              <w:rPr>
                <w:rFonts w:ascii="Arial" w:hAnsi="Arial" w:cs="Arial"/>
              </w:rPr>
              <w:t>Other</w:t>
            </w:r>
            <w:r w:rsidRPr="00276D5E">
              <w:rPr>
                <w:rFonts w:ascii="Arial" w:hAnsi="Arial" w:cs="Arial"/>
                <w:spacing w:val="-3"/>
              </w:rPr>
              <w:t xml:space="preserve"> </w:t>
            </w:r>
            <w:r w:rsidRPr="00276D5E">
              <w:rPr>
                <w:rFonts w:ascii="Arial" w:hAnsi="Arial" w:cs="Arial"/>
              </w:rPr>
              <w:t>abnormal</w:t>
            </w:r>
            <w:r w:rsidRPr="00276D5E">
              <w:rPr>
                <w:rFonts w:ascii="Arial" w:hAnsi="Arial" w:cs="Arial"/>
                <w:spacing w:val="-2"/>
              </w:rPr>
              <w:t xml:space="preserve"> </w:t>
            </w:r>
            <w:r w:rsidRPr="00276D5E">
              <w:rPr>
                <w:rFonts w:ascii="Arial" w:hAnsi="Arial" w:cs="Arial"/>
              </w:rPr>
              <w:t>and</w:t>
            </w:r>
            <w:r w:rsidRPr="00276D5E">
              <w:rPr>
                <w:rFonts w:ascii="Arial" w:hAnsi="Arial" w:cs="Arial"/>
                <w:spacing w:val="-2"/>
              </w:rPr>
              <w:t xml:space="preserve"> </w:t>
            </w:r>
            <w:r w:rsidRPr="00276D5E">
              <w:rPr>
                <w:rFonts w:ascii="Arial" w:hAnsi="Arial" w:cs="Arial"/>
              </w:rPr>
              <w:t>emergency</w:t>
            </w:r>
            <w:r w:rsidRPr="00276D5E">
              <w:rPr>
                <w:rFonts w:ascii="Arial" w:hAnsi="Arial" w:cs="Arial"/>
                <w:spacing w:val="-2"/>
              </w:rPr>
              <w:t xml:space="preserve"> </w:t>
            </w:r>
            <w:r w:rsidRPr="00276D5E">
              <w:rPr>
                <w:rFonts w:ascii="Arial" w:hAnsi="Arial" w:cs="Arial"/>
              </w:rPr>
              <w:t>procedures</w:t>
            </w:r>
            <w:r w:rsidRPr="00276D5E">
              <w:rPr>
                <w:rFonts w:ascii="Arial" w:hAnsi="Arial" w:cs="Arial"/>
                <w:spacing w:val="-4"/>
              </w:rPr>
              <w:t xml:space="preserve"> </w:t>
            </w:r>
            <w:r w:rsidRPr="00276D5E">
              <w:rPr>
                <w:rFonts w:ascii="Arial" w:hAnsi="Arial" w:cs="Arial"/>
              </w:rPr>
              <w:t>as</w:t>
            </w:r>
            <w:r w:rsidRPr="00276D5E">
              <w:rPr>
                <w:rFonts w:ascii="Arial" w:hAnsi="Arial" w:cs="Arial"/>
                <w:spacing w:val="-4"/>
              </w:rPr>
              <w:t xml:space="preserve"> </w:t>
            </w:r>
            <w:r w:rsidRPr="00276D5E">
              <w:rPr>
                <w:rFonts w:ascii="Arial" w:hAnsi="Arial" w:cs="Arial"/>
              </w:rPr>
              <w:t>outlined</w:t>
            </w:r>
            <w:r w:rsidRPr="00276D5E">
              <w:rPr>
                <w:rFonts w:ascii="Arial" w:hAnsi="Arial" w:cs="Arial"/>
                <w:spacing w:val="-2"/>
              </w:rPr>
              <w:t xml:space="preserve"> </w:t>
            </w:r>
            <w:r w:rsidRPr="00276D5E">
              <w:rPr>
                <w:rFonts w:ascii="Arial" w:hAnsi="Arial" w:cs="Arial"/>
              </w:rPr>
              <w:t>in</w:t>
            </w:r>
            <w:r w:rsidRPr="00276D5E">
              <w:rPr>
                <w:rFonts w:ascii="Arial" w:hAnsi="Arial" w:cs="Arial"/>
                <w:spacing w:val="-1"/>
              </w:rPr>
              <w:t xml:space="preserve"> </w:t>
            </w:r>
            <w:r w:rsidRPr="00276D5E">
              <w:rPr>
                <w:rFonts w:ascii="Arial" w:hAnsi="Arial" w:cs="Arial"/>
              </w:rPr>
              <w:t>the</w:t>
            </w:r>
            <w:r w:rsidRPr="00276D5E">
              <w:rPr>
                <w:rFonts w:ascii="Arial" w:hAnsi="Arial" w:cs="Arial"/>
                <w:spacing w:val="-3"/>
              </w:rPr>
              <w:t xml:space="preserve"> </w:t>
            </w:r>
            <w:r w:rsidRPr="00276D5E">
              <w:rPr>
                <w:rFonts w:ascii="Arial" w:hAnsi="Arial" w:cs="Arial"/>
              </w:rPr>
              <w:t>appropriate</w:t>
            </w:r>
            <w:r w:rsidRPr="00276D5E">
              <w:rPr>
                <w:rFonts w:ascii="Arial" w:hAnsi="Arial" w:cs="Arial"/>
                <w:spacing w:val="-3"/>
              </w:rPr>
              <w:t xml:space="preserve"> </w:t>
            </w:r>
            <w:r w:rsidRPr="00276D5E">
              <w:rPr>
                <w:rFonts w:ascii="Arial" w:hAnsi="Arial" w:cs="Arial"/>
              </w:rPr>
              <w:t>flight</w:t>
            </w:r>
            <w:r w:rsidRPr="00276D5E">
              <w:rPr>
                <w:rFonts w:ascii="Arial" w:hAnsi="Arial" w:cs="Arial"/>
                <w:spacing w:val="-2"/>
              </w:rPr>
              <w:t xml:space="preserve"> </w:t>
            </w:r>
            <w:r w:rsidRPr="00276D5E">
              <w:rPr>
                <w:rFonts w:ascii="Arial" w:hAnsi="Arial" w:cs="Arial"/>
              </w:rPr>
              <w:t>manual</w:t>
            </w:r>
          </w:p>
        </w:tc>
      </w:tr>
      <w:tr w:rsidR="0074189B" w:rsidRPr="00276D5E" w14:paraId="60421DCA" w14:textId="77777777" w:rsidTr="00516C81">
        <w:trPr>
          <w:trHeight w:val="200"/>
        </w:trPr>
        <w:tc>
          <w:tcPr>
            <w:tcW w:w="1134" w:type="dxa"/>
          </w:tcPr>
          <w:p w14:paraId="10794C96" w14:textId="77777777" w:rsidR="0074189B" w:rsidRPr="00276D5E" w:rsidRDefault="0074189B" w:rsidP="009D4B90">
            <w:pPr>
              <w:pStyle w:val="TableParagraph"/>
              <w:spacing w:line="224" w:lineRule="exact"/>
              <w:ind w:left="86"/>
              <w:rPr>
                <w:rFonts w:ascii="Arial" w:hAnsi="Arial" w:cs="Arial"/>
              </w:rPr>
            </w:pPr>
            <w:r w:rsidRPr="00276D5E">
              <w:rPr>
                <w:rFonts w:ascii="Arial" w:hAnsi="Arial" w:cs="Arial"/>
                <w:w w:val="99"/>
              </w:rPr>
              <w:t>f</w:t>
            </w:r>
          </w:p>
        </w:tc>
        <w:tc>
          <w:tcPr>
            <w:tcW w:w="8046" w:type="dxa"/>
            <w:gridSpan w:val="2"/>
          </w:tcPr>
          <w:p w14:paraId="187BCBB2" w14:textId="77777777" w:rsidR="0074189B" w:rsidRPr="00276D5E" w:rsidRDefault="0074189B" w:rsidP="009D4B90">
            <w:pPr>
              <w:pStyle w:val="TableParagraph"/>
              <w:spacing w:line="224" w:lineRule="exact"/>
              <w:rPr>
                <w:rFonts w:ascii="Arial" w:hAnsi="Arial" w:cs="Arial"/>
              </w:rPr>
            </w:pPr>
            <w:r w:rsidRPr="00276D5E">
              <w:rPr>
                <w:rFonts w:ascii="Arial" w:hAnsi="Arial" w:cs="Arial"/>
              </w:rPr>
              <w:t>Oral</w:t>
            </w:r>
            <w:r w:rsidRPr="00276D5E">
              <w:rPr>
                <w:rFonts w:ascii="Arial" w:hAnsi="Arial" w:cs="Arial"/>
                <w:spacing w:val="-4"/>
              </w:rPr>
              <w:t xml:space="preserve"> </w:t>
            </w:r>
            <w:r w:rsidRPr="00276D5E">
              <w:rPr>
                <w:rFonts w:ascii="Arial" w:hAnsi="Arial" w:cs="Arial"/>
              </w:rPr>
              <w:t>questions</w:t>
            </w:r>
          </w:p>
        </w:tc>
      </w:tr>
    </w:tbl>
    <w:p w14:paraId="637DBC13" w14:textId="77777777" w:rsidR="00C530D2" w:rsidRDefault="00C530D2" w:rsidP="00943926">
      <w:pPr>
        <w:jc w:val="both"/>
        <w:rPr>
          <w:rFonts w:ascii="Arial" w:eastAsia="Times New Roman" w:hAnsi="Arial" w:cs="Times New Roman"/>
          <w:sz w:val="20"/>
        </w:rPr>
      </w:pPr>
    </w:p>
    <w:p w14:paraId="69A5221B" w14:textId="77777777" w:rsidR="001E4617" w:rsidRPr="001E4617" w:rsidRDefault="001E4617" w:rsidP="001E4617">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647" w:name="_Toc153137424"/>
      <w:r w:rsidRPr="001E4617">
        <w:rPr>
          <w:rFonts w:ascii="Arial" w:eastAsia="Times New Roman" w:hAnsi="Arial" w:cs="Times New Roman"/>
          <w:b/>
          <w:color w:val="FFFFFF"/>
          <w:sz w:val="24"/>
        </w:rPr>
        <w:t>AMC2 BFCL.150(c)(2) BPL – Extension of privileges to another balloon class or group</w:t>
      </w:r>
      <w:bookmarkEnd w:id="647"/>
    </w:p>
    <w:p w14:paraId="7F1A53A6" w14:textId="77777777" w:rsidR="001E4617" w:rsidRDefault="001E4617" w:rsidP="001E4617">
      <w:pPr>
        <w:widowControl/>
        <w:autoSpaceDE/>
        <w:autoSpaceDN/>
        <w:spacing w:before="240" w:after="160" w:line="264" w:lineRule="auto"/>
        <w:jc w:val="both"/>
        <w:rPr>
          <w:rFonts w:ascii="Arial" w:eastAsiaTheme="minorHAnsi" w:hAnsi="Arial" w:cs="Arial"/>
          <w:b/>
          <w:bCs/>
          <w:sz w:val="20"/>
          <w:szCs w:val="20"/>
        </w:rPr>
      </w:pPr>
      <w:r w:rsidRPr="001E4617">
        <w:rPr>
          <w:rFonts w:ascii="Arial" w:eastAsiaTheme="minorHAnsi" w:hAnsi="Arial" w:cs="Arial"/>
          <w:b/>
          <w:bCs/>
          <w:sz w:val="20"/>
          <w:szCs w:val="20"/>
        </w:rPr>
        <w:t>SKILL TEST FOR THE EXTENSION OF PRIVILEGES TO THE GAS BALLOON CLASS</w:t>
      </w:r>
    </w:p>
    <w:p w14:paraId="30081273" w14:textId="77777777" w:rsidR="001E4617" w:rsidRPr="001E4617" w:rsidRDefault="001E4617" w:rsidP="001E4617">
      <w:pPr>
        <w:jc w:val="both"/>
        <w:rPr>
          <w:rFonts w:ascii="Arial" w:eastAsia="Times New Roman" w:hAnsi="Arial" w:cs="Times New Roman"/>
          <w:sz w:val="20"/>
        </w:rPr>
      </w:pPr>
      <w:r w:rsidRPr="001E4617">
        <w:rPr>
          <w:rFonts w:ascii="Arial" w:eastAsia="Times New Roman" w:hAnsi="Arial" w:cs="Times New Roman"/>
          <w:sz w:val="20"/>
        </w:rPr>
        <w:t>To extend the privileges of a BPL to gas balloon privileges, BPL holders should take the skill test for the initial issue of a BPL on gas balloons, as set out in AMC1 BFCL.145.</w:t>
      </w:r>
    </w:p>
    <w:p w14:paraId="40B88518" w14:textId="77777777" w:rsidR="00001FED" w:rsidRPr="00001FED" w:rsidRDefault="00001FED" w:rsidP="00001FED">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648" w:name="AMC3_BFCL.150(c)(2)__BPL_–_Extension_of_"/>
      <w:bookmarkStart w:id="649" w:name="_bookmark260"/>
      <w:bookmarkStart w:id="650" w:name="_Toc153137425"/>
      <w:bookmarkEnd w:id="648"/>
      <w:bookmarkEnd w:id="649"/>
      <w:r w:rsidRPr="00001FED">
        <w:rPr>
          <w:rFonts w:ascii="Arial" w:eastAsia="Times New Roman" w:hAnsi="Arial" w:cs="Times New Roman"/>
          <w:b/>
          <w:color w:val="FFFFFF"/>
          <w:sz w:val="24"/>
        </w:rPr>
        <w:t>AMC3 BFCL.150(c)(2) BPL – Extension of privileges to another balloon class or group</w:t>
      </w:r>
      <w:bookmarkEnd w:id="650"/>
    </w:p>
    <w:p w14:paraId="01D6AFDB" w14:textId="77777777" w:rsidR="00001FED" w:rsidRPr="00001FED" w:rsidRDefault="00001FED" w:rsidP="00001FED">
      <w:pPr>
        <w:widowControl/>
        <w:autoSpaceDE/>
        <w:autoSpaceDN/>
        <w:spacing w:before="240" w:after="160" w:line="264" w:lineRule="auto"/>
        <w:jc w:val="both"/>
        <w:rPr>
          <w:rFonts w:ascii="Arial" w:eastAsiaTheme="minorHAnsi" w:hAnsi="Arial" w:cs="Arial"/>
          <w:b/>
          <w:bCs/>
          <w:sz w:val="20"/>
          <w:szCs w:val="20"/>
        </w:rPr>
      </w:pPr>
      <w:r w:rsidRPr="00001FED">
        <w:rPr>
          <w:rFonts w:ascii="Arial" w:eastAsiaTheme="minorHAnsi" w:hAnsi="Arial" w:cs="Arial"/>
          <w:b/>
          <w:bCs/>
          <w:sz w:val="20"/>
          <w:szCs w:val="20"/>
        </w:rPr>
        <w:t>SKILL TEST FOR THE EXTENSION OF PRIVILEGES TO THE HOT-AIR BALLOON CLASS</w:t>
      </w:r>
    </w:p>
    <w:p w14:paraId="242518A3" w14:textId="77777777" w:rsidR="00001FED" w:rsidRPr="00001FED" w:rsidRDefault="00001FED" w:rsidP="00001FED">
      <w:pPr>
        <w:jc w:val="both"/>
        <w:rPr>
          <w:rFonts w:ascii="Arial" w:eastAsia="Times New Roman" w:hAnsi="Arial" w:cs="Times New Roman"/>
          <w:sz w:val="20"/>
        </w:rPr>
      </w:pPr>
      <w:r w:rsidRPr="00001FED">
        <w:rPr>
          <w:rFonts w:ascii="Arial" w:eastAsia="Times New Roman" w:hAnsi="Arial" w:cs="Times New Roman"/>
          <w:sz w:val="20"/>
        </w:rPr>
        <w:t>To extend the privileges of a BPL to hot-air balloon privileges, BPL holders should take the skill test for the initial issue of a BPL on hot-air balloons, as set out in AMC1 BFCL.145.</w:t>
      </w:r>
    </w:p>
    <w:p w14:paraId="3E2EE1E9" w14:textId="77777777" w:rsidR="00001FED" w:rsidRPr="00001FED" w:rsidRDefault="00001FED" w:rsidP="00001FED">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651" w:name="AMC4_BFCL.150(c)(2)__BPL_–_Extension_of_"/>
      <w:bookmarkStart w:id="652" w:name="_bookmark261"/>
      <w:bookmarkStart w:id="653" w:name="_Toc153137426"/>
      <w:bookmarkEnd w:id="651"/>
      <w:bookmarkEnd w:id="652"/>
      <w:r w:rsidRPr="00001FED">
        <w:rPr>
          <w:rFonts w:ascii="Arial" w:eastAsia="Times New Roman" w:hAnsi="Arial" w:cs="Times New Roman"/>
          <w:b/>
          <w:color w:val="FFFFFF"/>
          <w:sz w:val="24"/>
        </w:rPr>
        <w:t>AMC4 BFCL.150(c)(2) BPL – Extension of privileges to another balloon class or group</w:t>
      </w:r>
      <w:bookmarkEnd w:id="653"/>
    </w:p>
    <w:p w14:paraId="279D7712" w14:textId="77777777" w:rsidR="00001FED" w:rsidRPr="00001FED" w:rsidRDefault="00001FED" w:rsidP="00001FED">
      <w:pPr>
        <w:widowControl/>
        <w:autoSpaceDE/>
        <w:autoSpaceDN/>
        <w:spacing w:before="240" w:after="160" w:line="264" w:lineRule="auto"/>
        <w:jc w:val="both"/>
        <w:rPr>
          <w:rFonts w:ascii="Arial" w:eastAsiaTheme="minorHAnsi" w:hAnsi="Arial" w:cs="Arial"/>
          <w:b/>
          <w:bCs/>
          <w:sz w:val="20"/>
          <w:szCs w:val="20"/>
        </w:rPr>
      </w:pPr>
      <w:r w:rsidRPr="00001FED">
        <w:rPr>
          <w:rFonts w:ascii="Arial" w:eastAsiaTheme="minorHAnsi" w:hAnsi="Arial" w:cs="Arial"/>
          <w:b/>
          <w:bCs/>
          <w:sz w:val="20"/>
          <w:szCs w:val="20"/>
        </w:rPr>
        <w:t>THEORETICAL KNOWLEDGE FOR EXTENSION OF PRIVILEGES TO ANOTHER BALLOON CLASS</w:t>
      </w:r>
    </w:p>
    <w:p w14:paraId="5EEDB5B2" w14:textId="77777777" w:rsidR="00001FED" w:rsidRPr="00001FED" w:rsidRDefault="00001FED" w:rsidP="00585BAB">
      <w:pPr>
        <w:pStyle w:val="BodyText"/>
        <w:spacing w:before="118" w:line="276" w:lineRule="auto"/>
        <w:ind w:right="192"/>
        <w:jc w:val="both"/>
        <w:rPr>
          <w:rFonts w:ascii="Arial" w:hAnsi="Arial" w:cs="Arial"/>
          <w:sz w:val="20"/>
        </w:rPr>
      </w:pPr>
      <w:r w:rsidRPr="00001FED">
        <w:rPr>
          <w:rFonts w:ascii="Arial" w:hAnsi="Arial" w:cs="Arial"/>
          <w:sz w:val="20"/>
        </w:rPr>
        <w:t>During</w:t>
      </w:r>
      <w:r w:rsidRPr="00001FED">
        <w:rPr>
          <w:rFonts w:ascii="Arial" w:hAnsi="Arial" w:cs="Arial"/>
          <w:spacing w:val="-7"/>
          <w:sz w:val="20"/>
        </w:rPr>
        <w:t xml:space="preserve"> </w:t>
      </w:r>
      <w:r w:rsidRPr="00001FED">
        <w:rPr>
          <w:rFonts w:ascii="Arial" w:hAnsi="Arial" w:cs="Arial"/>
          <w:sz w:val="20"/>
        </w:rPr>
        <w:t>the</w:t>
      </w:r>
      <w:r w:rsidRPr="00001FED">
        <w:rPr>
          <w:rFonts w:ascii="Arial" w:hAnsi="Arial" w:cs="Arial"/>
          <w:spacing w:val="-6"/>
          <w:sz w:val="20"/>
        </w:rPr>
        <w:t xml:space="preserve"> </w:t>
      </w:r>
      <w:r w:rsidRPr="00001FED">
        <w:rPr>
          <w:rFonts w:ascii="Arial" w:hAnsi="Arial" w:cs="Arial"/>
          <w:sz w:val="20"/>
        </w:rPr>
        <w:t>skill</w:t>
      </w:r>
      <w:r w:rsidRPr="00001FED">
        <w:rPr>
          <w:rFonts w:ascii="Arial" w:hAnsi="Arial" w:cs="Arial"/>
          <w:spacing w:val="-9"/>
          <w:sz w:val="20"/>
        </w:rPr>
        <w:t xml:space="preserve"> </w:t>
      </w:r>
      <w:r w:rsidRPr="00001FED">
        <w:rPr>
          <w:rFonts w:ascii="Arial" w:hAnsi="Arial" w:cs="Arial"/>
          <w:sz w:val="20"/>
        </w:rPr>
        <w:t>test</w:t>
      </w:r>
      <w:r w:rsidRPr="00001FED">
        <w:rPr>
          <w:rFonts w:ascii="Arial" w:hAnsi="Arial" w:cs="Arial"/>
          <w:spacing w:val="-5"/>
          <w:sz w:val="20"/>
        </w:rPr>
        <w:t xml:space="preserve"> </w:t>
      </w:r>
      <w:r w:rsidRPr="00001FED">
        <w:rPr>
          <w:rFonts w:ascii="Arial" w:hAnsi="Arial" w:cs="Arial"/>
          <w:sz w:val="20"/>
        </w:rPr>
        <w:t>as</w:t>
      </w:r>
      <w:r w:rsidRPr="00001FED">
        <w:rPr>
          <w:rFonts w:ascii="Arial" w:hAnsi="Arial" w:cs="Arial"/>
          <w:spacing w:val="-6"/>
          <w:sz w:val="20"/>
        </w:rPr>
        <w:t xml:space="preserve"> </w:t>
      </w:r>
      <w:r w:rsidRPr="00001FED">
        <w:rPr>
          <w:rFonts w:ascii="Arial" w:hAnsi="Arial" w:cs="Arial"/>
          <w:sz w:val="20"/>
        </w:rPr>
        <w:t>per</w:t>
      </w:r>
      <w:r w:rsidRPr="00001FED">
        <w:rPr>
          <w:rFonts w:ascii="Arial" w:hAnsi="Arial" w:cs="Arial"/>
          <w:spacing w:val="-8"/>
          <w:sz w:val="20"/>
        </w:rPr>
        <w:t xml:space="preserve"> </w:t>
      </w:r>
      <w:r w:rsidRPr="00001FED">
        <w:rPr>
          <w:rFonts w:ascii="Arial" w:hAnsi="Arial" w:cs="Arial"/>
          <w:sz w:val="20"/>
        </w:rPr>
        <w:t>point</w:t>
      </w:r>
      <w:r w:rsidRPr="00001FED">
        <w:rPr>
          <w:rFonts w:ascii="Arial" w:hAnsi="Arial" w:cs="Arial"/>
          <w:spacing w:val="-6"/>
          <w:sz w:val="20"/>
        </w:rPr>
        <w:t xml:space="preserve"> </w:t>
      </w:r>
      <w:r w:rsidRPr="00001FED">
        <w:rPr>
          <w:rFonts w:ascii="Arial" w:hAnsi="Arial" w:cs="Arial"/>
          <w:sz w:val="20"/>
        </w:rPr>
        <w:t>BFCL.150(c)(2),</w:t>
      </w:r>
      <w:r w:rsidRPr="00001FED">
        <w:rPr>
          <w:rFonts w:ascii="Arial" w:hAnsi="Arial" w:cs="Arial"/>
          <w:spacing w:val="-8"/>
          <w:sz w:val="20"/>
        </w:rPr>
        <w:t xml:space="preserve"> </w:t>
      </w:r>
      <w:r w:rsidRPr="00001FED">
        <w:rPr>
          <w:rFonts w:ascii="Arial" w:hAnsi="Arial" w:cs="Arial"/>
          <w:sz w:val="20"/>
        </w:rPr>
        <w:t>the</w:t>
      </w:r>
      <w:r w:rsidRPr="00001FED">
        <w:rPr>
          <w:rFonts w:ascii="Arial" w:hAnsi="Arial" w:cs="Arial"/>
          <w:spacing w:val="-6"/>
          <w:sz w:val="20"/>
        </w:rPr>
        <w:t xml:space="preserve"> </w:t>
      </w:r>
      <w:r w:rsidRPr="00001FED">
        <w:rPr>
          <w:rFonts w:ascii="Arial" w:hAnsi="Arial" w:cs="Arial"/>
          <w:sz w:val="20"/>
        </w:rPr>
        <w:t>demonstration</w:t>
      </w:r>
      <w:r w:rsidRPr="00001FED">
        <w:rPr>
          <w:rFonts w:ascii="Arial" w:hAnsi="Arial" w:cs="Arial"/>
          <w:spacing w:val="-9"/>
          <w:sz w:val="20"/>
        </w:rPr>
        <w:t xml:space="preserve"> </w:t>
      </w:r>
      <w:r w:rsidRPr="00001FED">
        <w:rPr>
          <w:rFonts w:ascii="Arial" w:hAnsi="Arial" w:cs="Arial"/>
          <w:sz w:val="20"/>
        </w:rPr>
        <w:t>of</w:t>
      </w:r>
      <w:r w:rsidRPr="00001FED">
        <w:rPr>
          <w:rFonts w:ascii="Arial" w:hAnsi="Arial" w:cs="Arial"/>
          <w:spacing w:val="-6"/>
          <w:sz w:val="20"/>
        </w:rPr>
        <w:t xml:space="preserve"> </w:t>
      </w:r>
      <w:r w:rsidRPr="00001FED">
        <w:rPr>
          <w:rFonts w:ascii="Arial" w:hAnsi="Arial" w:cs="Arial"/>
          <w:sz w:val="20"/>
        </w:rPr>
        <w:t>an</w:t>
      </w:r>
      <w:r w:rsidRPr="00001FED">
        <w:rPr>
          <w:rFonts w:ascii="Arial" w:hAnsi="Arial" w:cs="Arial"/>
          <w:spacing w:val="-6"/>
          <w:sz w:val="20"/>
        </w:rPr>
        <w:t xml:space="preserve"> </w:t>
      </w:r>
      <w:r w:rsidRPr="00001FED">
        <w:rPr>
          <w:rFonts w:ascii="Arial" w:hAnsi="Arial" w:cs="Arial"/>
          <w:sz w:val="20"/>
        </w:rPr>
        <w:t>adequate</w:t>
      </w:r>
      <w:r w:rsidRPr="00001FED">
        <w:rPr>
          <w:rFonts w:ascii="Arial" w:hAnsi="Arial" w:cs="Arial"/>
          <w:spacing w:val="-6"/>
          <w:sz w:val="20"/>
        </w:rPr>
        <w:t xml:space="preserve"> </w:t>
      </w:r>
      <w:r w:rsidRPr="00001FED">
        <w:rPr>
          <w:rFonts w:ascii="Arial" w:hAnsi="Arial" w:cs="Arial"/>
          <w:sz w:val="20"/>
        </w:rPr>
        <w:t>level</w:t>
      </w:r>
      <w:r w:rsidRPr="00001FED">
        <w:rPr>
          <w:rFonts w:ascii="Arial" w:hAnsi="Arial" w:cs="Arial"/>
          <w:spacing w:val="-8"/>
          <w:sz w:val="20"/>
        </w:rPr>
        <w:t xml:space="preserve"> </w:t>
      </w:r>
      <w:r w:rsidRPr="00001FED">
        <w:rPr>
          <w:rFonts w:ascii="Arial" w:hAnsi="Arial" w:cs="Arial"/>
          <w:sz w:val="20"/>
        </w:rPr>
        <w:t>of</w:t>
      </w:r>
      <w:r w:rsidRPr="00001FED">
        <w:rPr>
          <w:rFonts w:ascii="Arial" w:hAnsi="Arial" w:cs="Arial"/>
          <w:spacing w:val="-6"/>
          <w:sz w:val="20"/>
        </w:rPr>
        <w:t xml:space="preserve"> </w:t>
      </w:r>
      <w:r w:rsidRPr="00001FED">
        <w:rPr>
          <w:rFonts w:ascii="Arial" w:hAnsi="Arial" w:cs="Arial"/>
          <w:sz w:val="20"/>
        </w:rPr>
        <w:t>theoretical</w:t>
      </w:r>
      <w:r w:rsidRPr="00001FED">
        <w:rPr>
          <w:rFonts w:ascii="Arial" w:hAnsi="Arial" w:cs="Arial"/>
          <w:spacing w:val="-47"/>
          <w:sz w:val="20"/>
        </w:rPr>
        <w:t xml:space="preserve"> </w:t>
      </w:r>
      <w:r w:rsidRPr="00001FED">
        <w:rPr>
          <w:rFonts w:ascii="Arial" w:hAnsi="Arial" w:cs="Arial"/>
          <w:sz w:val="20"/>
        </w:rPr>
        <w:t>knowledge for the other balloon class should cover all of the following from the syllabus set out in</w:t>
      </w:r>
      <w:r w:rsidRPr="00001FED">
        <w:rPr>
          <w:rFonts w:ascii="Arial" w:hAnsi="Arial" w:cs="Arial"/>
          <w:spacing w:val="1"/>
          <w:sz w:val="20"/>
        </w:rPr>
        <w:t xml:space="preserve"> </w:t>
      </w:r>
      <w:r w:rsidRPr="00001FED">
        <w:rPr>
          <w:rFonts w:ascii="Arial" w:hAnsi="Arial" w:cs="Arial"/>
          <w:sz w:val="20"/>
        </w:rPr>
        <w:t>point</w:t>
      </w:r>
      <w:r w:rsidRPr="00001FED">
        <w:rPr>
          <w:rFonts w:ascii="Arial" w:hAnsi="Arial" w:cs="Arial"/>
          <w:spacing w:val="-1"/>
          <w:sz w:val="20"/>
        </w:rPr>
        <w:t xml:space="preserve"> </w:t>
      </w:r>
      <w:r w:rsidRPr="00001FED">
        <w:rPr>
          <w:rFonts w:ascii="Arial" w:hAnsi="Arial" w:cs="Arial"/>
          <w:sz w:val="20"/>
        </w:rPr>
        <w:t>(b)</w:t>
      </w:r>
      <w:r w:rsidRPr="00001FED">
        <w:rPr>
          <w:rFonts w:ascii="Arial" w:hAnsi="Arial" w:cs="Arial"/>
          <w:spacing w:val="-2"/>
          <w:sz w:val="20"/>
        </w:rPr>
        <w:t xml:space="preserve"> </w:t>
      </w:r>
      <w:r w:rsidRPr="00001FED">
        <w:rPr>
          <w:rFonts w:ascii="Arial" w:hAnsi="Arial" w:cs="Arial"/>
          <w:sz w:val="20"/>
        </w:rPr>
        <w:t>of AMC1 BFCL.130:</w:t>
      </w:r>
    </w:p>
    <w:p w14:paraId="6060446E" w14:textId="39772852" w:rsidR="00001FED" w:rsidRDefault="00001FED" w:rsidP="00585BAB">
      <w:pPr>
        <w:pStyle w:val="BodyText"/>
        <w:spacing w:before="121" w:line="276" w:lineRule="auto"/>
        <w:ind w:right="198"/>
        <w:jc w:val="both"/>
        <w:rPr>
          <w:rFonts w:ascii="Arial" w:hAnsi="Arial" w:cs="Arial"/>
          <w:i/>
          <w:sz w:val="20"/>
        </w:rPr>
      </w:pPr>
      <w:r w:rsidRPr="005B06B4">
        <w:rPr>
          <w:rFonts w:ascii="Arial" w:hAnsi="Arial" w:cs="Arial"/>
          <w:i/>
          <w:sz w:val="20"/>
        </w:rPr>
        <w:t>Note: The content of the below syllabus should contain aspects as relevant for the class of balloon</w:t>
      </w:r>
      <w:r w:rsidRPr="005B06B4">
        <w:rPr>
          <w:rFonts w:ascii="Arial" w:hAnsi="Arial" w:cs="Arial"/>
          <w:i/>
          <w:spacing w:val="1"/>
          <w:sz w:val="20"/>
        </w:rPr>
        <w:t xml:space="preserve"> </w:t>
      </w:r>
      <w:r w:rsidRPr="005B06B4">
        <w:rPr>
          <w:rFonts w:ascii="Arial" w:hAnsi="Arial" w:cs="Arial"/>
          <w:i/>
          <w:sz w:val="20"/>
        </w:rPr>
        <w:t>used for the training, unless a certain element is specifically marked as relevant for particular</w:t>
      </w:r>
      <w:r w:rsidRPr="005B06B4">
        <w:rPr>
          <w:rFonts w:ascii="Arial" w:hAnsi="Arial" w:cs="Arial"/>
          <w:i/>
          <w:spacing w:val="1"/>
          <w:sz w:val="20"/>
        </w:rPr>
        <w:t xml:space="preserve"> </w:t>
      </w:r>
      <w:r w:rsidRPr="005B06B4">
        <w:rPr>
          <w:rFonts w:ascii="Arial" w:hAnsi="Arial" w:cs="Arial"/>
          <w:i/>
          <w:sz w:val="20"/>
        </w:rPr>
        <w:t>classes</w:t>
      </w:r>
      <w:r w:rsidRPr="005B06B4">
        <w:rPr>
          <w:rFonts w:ascii="Arial" w:hAnsi="Arial" w:cs="Arial"/>
          <w:i/>
          <w:spacing w:val="-2"/>
          <w:sz w:val="20"/>
        </w:rPr>
        <w:t xml:space="preserve"> </w:t>
      </w:r>
      <w:r w:rsidRPr="005B06B4">
        <w:rPr>
          <w:rFonts w:ascii="Arial" w:hAnsi="Arial" w:cs="Arial"/>
          <w:i/>
          <w:sz w:val="20"/>
        </w:rPr>
        <w:t>only.</w:t>
      </w:r>
    </w:p>
    <w:p w14:paraId="2B5295C0" w14:textId="580C906B" w:rsidR="00A92450" w:rsidRDefault="00A92450" w:rsidP="00585BAB">
      <w:pPr>
        <w:pStyle w:val="BodyText"/>
        <w:spacing w:before="121" w:line="276" w:lineRule="auto"/>
        <w:ind w:right="198"/>
        <w:jc w:val="both"/>
        <w:rPr>
          <w:rFonts w:ascii="Arial" w:hAnsi="Arial" w:cs="Arial"/>
          <w:i/>
          <w:sz w:val="20"/>
        </w:rPr>
      </w:pPr>
    </w:p>
    <w:p w14:paraId="750D369A" w14:textId="77777777" w:rsidR="00A92450" w:rsidRPr="005B06B4" w:rsidRDefault="00A92450" w:rsidP="00585BAB">
      <w:pPr>
        <w:pStyle w:val="BodyText"/>
        <w:spacing w:before="121" w:line="276" w:lineRule="auto"/>
        <w:ind w:right="198"/>
        <w:jc w:val="both"/>
        <w:rPr>
          <w:rFonts w:ascii="Arial" w:hAnsi="Arial" w:cs="Arial"/>
          <w:i/>
          <w:sz w:val="20"/>
        </w:rPr>
      </w:pPr>
    </w:p>
    <w:tbl>
      <w:tblPr>
        <w:tblStyle w:val="TableGrid31"/>
        <w:tblW w:w="9170" w:type="dxa"/>
        <w:tblLayout w:type="fixed"/>
        <w:tblLook w:val="01E0" w:firstRow="1" w:lastRow="1" w:firstColumn="1" w:lastColumn="1" w:noHBand="0" w:noVBand="0"/>
      </w:tblPr>
      <w:tblGrid>
        <w:gridCol w:w="1000"/>
        <w:gridCol w:w="8170"/>
      </w:tblGrid>
      <w:tr w:rsidR="005B06B4" w:rsidRPr="00276D5E" w14:paraId="640590CE" w14:textId="77777777" w:rsidTr="00D44EB0">
        <w:trPr>
          <w:trHeight w:val="203"/>
        </w:trPr>
        <w:tc>
          <w:tcPr>
            <w:tcW w:w="1000" w:type="dxa"/>
            <w:shd w:val="clear" w:color="auto" w:fill="F2F2F2" w:themeFill="background1" w:themeFillShade="F2"/>
          </w:tcPr>
          <w:p w14:paraId="682E16D6" w14:textId="77777777" w:rsidR="005B06B4" w:rsidRPr="00276D5E" w:rsidRDefault="005B06B4" w:rsidP="009D4B90">
            <w:pPr>
              <w:pStyle w:val="TableParagraph"/>
              <w:spacing w:before="1" w:line="225" w:lineRule="exact"/>
              <w:ind w:left="86"/>
              <w:rPr>
                <w:rFonts w:ascii="Arial" w:hAnsi="Arial" w:cs="Arial"/>
                <w:b/>
              </w:rPr>
            </w:pPr>
            <w:r w:rsidRPr="00276D5E">
              <w:rPr>
                <w:rFonts w:ascii="Arial" w:hAnsi="Arial" w:cs="Arial"/>
                <w:b/>
              </w:rPr>
              <w:lastRenderedPageBreak/>
              <w:t>5.</w:t>
            </w:r>
          </w:p>
        </w:tc>
        <w:tc>
          <w:tcPr>
            <w:tcW w:w="8170" w:type="dxa"/>
            <w:shd w:val="clear" w:color="auto" w:fill="F2F2F2" w:themeFill="background1" w:themeFillShade="F2"/>
          </w:tcPr>
          <w:p w14:paraId="4B2EF8A4" w14:textId="77777777" w:rsidR="005B06B4" w:rsidRPr="00276D5E" w:rsidRDefault="005B06B4" w:rsidP="009D4B90">
            <w:pPr>
              <w:pStyle w:val="TableParagraph"/>
              <w:spacing w:before="1" w:line="225" w:lineRule="exact"/>
              <w:rPr>
                <w:rFonts w:ascii="Arial" w:hAnsi="Arial" w:cs="Arial"/>
                <w:b/>
              </w:rPr>
            </w:pPr>
            <w:r w:rsidRPr="00276D5E">
              <w:rPr>
                <w:rFonts w:ascii="Arial" w:hAnsi="Arial" w:cs="Arial"/>
                <w:b/>
              </w:rPr>
              <w:t>PRINCIPLES</w:t>
            </w:r>
            <w:r w:rsidRPr="00276D5E">
              <w:rPr>
                <w:rFonts w:ascii="Arial" w:hAnsi="Arial" w:cs="Arial"/>
                <w:b/>
                <w:spacing w:val="-1"/>
              </w:rPr>
              <w:t xml:space="preserve"> </w:t>
            </w:r>
            <w:r w:rsidRPr="00276D5E">
              <w:rPr>
                <w:rFonts w:ascii="Arial" w:hAnsi="Arial" w:cs="Arial"/>
                <w:b/>
              </w:rPr>
              <w:t>OF</w:t>
            </w:r>
            <w:r w:rsidRPr="00276D5E">
              <w:rPr>
                <w:rFonts w:ascii="Arial" w:hAnsi="Arial" w:cs="Arial"/>
                <w:b/>
                <w:spacing w:val="-4"/>
              </w:rPr>
              <w:t xml:space="preserve"> </w:t>
            </w:r>
            <w:r w:rsidRPr="00276D5E">
              <w:rPr>
                <w:rFonts w:ascii="Arial" w:hAnsi="Arial" w:cs="Arial"/>
                <w:b/>
              </w:rPr>
              <w:t>FLIGHT</w:t>
            </w:r>
          </w:p>
        </w:tc>
      </w:tr>
      <w:tr w:rsidR="005B06B4" w:rsidRPr="00276D5E" w14:paraId="0B050D84" w14:textId="77777777" w:rsidTr="00D44EB0">
        <w:trPr>
          <w:trHeight w:val="200"/>
        </w:trPr>
        <w:tc>
          <w:tcPr>
            <w:tcW w:w="1000" w:type="dxa"/>
          </w:tcPr>
          <w:p w14:paraId="449117E3" w14:textId="77777777" w:rsidR="005B06B4" w:rsidRPr="00276D5E" w:rsidRDefault="005B06B4" w:rsidP="009D4B90">
            <w:pPr>
              <w:pStyle w:val="TableParagraph"/>
              <w:spacing w:line="222" w:lineRule="exact"/>
              <w:ind w:left="86"/>
              <w:rPr>
                <w:rFonts w:ascii="Arial" w:hAnsi="Arial" w:cs="Arial"/>
              </w:rPr>
            </w:pPr>
            <w:r w:rsidRPr="00276D5E">
              <w:rPr>
                <w:rFonts w:ascii="Arial" w:hAnsi="Arial" w:cs="Arial"/>
              </w:rPr>
              <w:t>5.1.</w:t>
            </w:r>
          </w:p>
        </w:tc>
        <w:tc>
          <w:tcPr>
            <w:tcW w:w="8170" w:type="dxa"/>
          </w:tcPr>
          <w:p w14:paraId="0D4E2C45" w14:textId="77777777" w:rsidR="005B06B4" w:rsidRPr="00276D5E" w:rsidRDefault="005B06B4" w:rsidP="009D4B90">
            <w:pPr>
              <w:pStyle w:val="TableParagraph"/>
              <w:spacing w:line="222" w:lineRule="exact"/>
              <w:rPr>
                <w:rFonts w:ascii="Arial" w:hAnsi="Arial" w:cs="Arial"/>
              </w:rPr>
            </w:pPr>
            <w:r w:rsidRPr="00276D5E">
              <w:rPr>
                <w:rFonts w:ascii="Arial" w:hAnsi="Arial" w:cs="Arial"/>
              </w:rPr>
              <w:t>Principles</w:t>
            </w:r>
            <w:r w:rsidRPr="00276D5E">
              <w:rPr>
                <w:rFonts w:ascii="Arial" w:hAnsi="Arial" w:cs="Arial"/>
                <w:spacing w:val="-4"/>
              </w:rPr>
              <w:t xml:space="preserve"> </w:t>
            </w:r>
            <w:r w:rsidRPr="00276D5E">
              <w:rPr>
                <w:rFonts w:ascii="Arial" w:hAnsi="Arial" w:cs="Arial"/>
              </w:rPr>
              <w:t>of</w:t>
            </w:r>
            <w:r w:rsidRPr="00276D5E">
              <w:rPr>
                <w:rFonts w:ascii="Arial" w:hAnsi="Arial" w:cs="Arial"/>
                <w:spacing w:val="-3"/>
              </w:rPr>
              <w:t xml:space="preserve"> </w:t>
            </w:r>
            <w:r w:rsidRPr="00276D5E">
              <w:rPr>
                <w:rFonts w:ascii="Arial" w:hAnsi="Arial" w:cs="Arial"/>
              </w:rPr>
              <w:t>flight</w:t>
            </w:r>
          </w:p>
        </w:tc>
      </w:tr>
      <w:tr w:rsidR="005B06B4" w:rsidRPr="00276D5E" w14:paraId="15AD172D" w14:textId="77777777" w:rsidTr="00D44EB0">
        <w:trPr>
          <w:trHeight w:val="202"/>
        </w:trPr>
        <w:tc>
          <w:tcPr>
            <w:tcW w:w="1000" w:type="dxa"/>
          </w:tcPr>
          <w:p w14:paraId="5BE42824" w14:textId="77777777" w:rsidR="005B06B4" w:rsidRPr="00276D5E" w:rsidRDefault="005B06B4" w:rsidP="009D4B90">
            <w:pPr>
              <w:pStyle w:val="TableParagraph"/>
              <w:spacing w:line="225" w:lineRule="exact"/>
              <w:ind w:left="86"/>
              <w:rPr>
                <w:rFonts w:ascii="Arial" w:hAnsi="Arial" w:cs="Arial"/>
              </w:rPr>
            </w:pPr>
            <w:r w:rsidRPr="00276D5E">
              <w:rPr>
                <w:rFonts w:ascii="Arial" w:hAnsi="Arial" w:cs="Arial"/>
              </w:rPr>
              <w:t>5.2.</w:t>
            </w:r>
          </w:p>
        </w:tc>
        <w:tc>
          <w:tcPr>
            <w:tcW w:w="8170" w:type="dxa"/>
          </w:tcPr>
          <w:p w14:paraId="5AE4C6D7" w14:textId="77777777" w:rsidR="005B06B4" w:rsidRPr="00276D5E" w:rsidRDefault="005B06B4" w:rsidP="009D4B90">
            <w:pPr>
              <w:pStyle w:val="TableParagraph"/>
              <w:spacing w:line="225" w:lineRule="exact"/>
              <w:rPr>
                <w:rFonts w:ascii="Arial" w:hAnsi="Arial" w:cs="Arial"/>
              </w:rPr>
            </w:pPr>
            <w:r w:rsidRPr="00276D5E">
              <w:rPr>
                <w:rFonts w:ascii="Arial" w:hAnsi="Arial" w:cs="Arial"/>
              </w:rPr>
              <w:t>Aerostatics</w:t>
            </w:r>
          </w:p>
        </w:tc>
      </w:tr>
      <w:tr w:rsidR="005B06B4" w:rsidRPr="00276D5E" w14:paraId="35626A2F" w14:textId="77777777" w:rsidTr="00D44EB0">
        <w:trPr>
          <w:trHeight w:val="199"/>
        </w:trPr>
        <w:tc>
          <w:tcPr>
            <w:tcW w:w="1000" w:type="dxa"/>
          </w:tcPr>
          <w:p w14:paraId="2C5ED07F" w14:textId="77777777" w:rsidR="005B06B4" w:rsidRPr="00276D5E" w:rsidRDefault="005B06B4" w:rsidP="009D4B90">
            <w:pPr>
              <w:pStyle w:val="TableParagraph"/>
              <w:spacing w:line="222" w:lineRule="exact"/>
              <w:ind w:left="86"/>
              <w:rPr>
                <w:rFonts w:ascii="Arial" w:hAnsi="Arial" w:cs="Arial"/>
              </w:rPr>
            </w:pPr>
            <w:r w:rsidRPr="00276D5E">
              <w:rPr>
                <w:rFonts w:ascii="Arial" w:hAnsi="Arial" w:cs="Arial"/>
              </w:rPr>
              <w:t>5.3.</w:t>
            </w:r>
          </w:p>
        </w:tc>
        <w:tc>
          <w:tcPr>
            <w:tcW w:w="8170" w:type="dxa"/>
          </w:tcPr>
          <w:p w14:paraId="4C7165FD" w14:textId="77777777" w:rsidR="005B06B4" w:rsidRPr="00276D5E" w:rsidRDefault="005B06B4" w:rsidP="009D4B90">
            <w:pPr>
              <w:pStyle w:val="TableParagraph"/>
              <w:spacing w:line="222" w:lineRule="exact"/>
              <w:rPr>
                <w:rFonts w:ascii="Arial" w:hAnsi="Arial" w:cs="Arial"/>
              </w:rPr>
            </w:pPr>
            <w:r w:rsidRPr="00276D5E">
              <w:rPr>
                <w:rFonts w:ascii="Arial" w:hAnsi="Arial" w:cs="Arial"/>
              </w:rPr>
              <w:t>Loading</w:t>
            </w:r>
            <w:r w:rsidRPr="00276D5E">
              <w:rPr>
                <w:rFonts w:ascii="Arial" w:hAnsi="Arial" w:cs="Arial"/>
                <w:spacing w:val="-4"/>
              </w:rPr>
              <w:t xml:space="preserve"> </w:t>
            </w:r>
            <w:r w:rsidRPr="00276D5E">
              <w:rPr>
                <w:rFonts w:ascii="Arial" w:hAnsi="Arial" w:cs="Arial"/>
              </w:rPr>
              <w:t>limitations</w:t>
            </w:r>
          </w:p>
        </w:tc>
      </w:tr>
      <w:tr w:rsidR="005B06B4" w:rsidRPr="00276D5E" w14:paraId="358756C3" w14:textId="77777777" w:rsidTr="00D44EB0">
        <w:trPr>
          <w:trHeight w:val="202"/>
        </w:trPr>
        <w:tc>
          <w:tcPr>
            <w:tcW w:w="1000" w:type="dxa"/>
          </w:tcPr>
          <w:p w14:paraId="1B906DA9" w14:textId="77777777" w:rsidR="005B06B4" w:rsidRPr="00276D5E" w:rsidRDefault="005B06B4" w:rsidP="009D4B90">
            <w:pPr>
              <w:pStyle w:val="TableParagraph"/>
              <w:spacing w:line="225" w:lineRule="exact"/>
              <w:ind w:left="86"/>
              <w:rPr>
                <w:rFonts w:ascii="Arial" w:hAnsi="Arial" w:cs="Arial"/>
              </w:rPr>
            </w:pPr>
            <w:r w:rsidRPr="00276D5E">
              <w:rPr>
                <w:rFonts w:ascii="Arial" w:hAnsi="Arial" w:cs="Arial"/>
              </w:rPr>
              <w:t>5.4.</w:t>
            </w:r>
          </w:p>
        </w:tc>
        <w:tc>
          <w:tcPr>
            <w:tcW w:w="8170" w:type="dxa"/>
          </w:tcPr>
          <w:p w14:paraId="0ECBA50B" w14:textId="77777777" w:rsidR="005B06B4" w:rsidRPr="00276D5E" w:rsidRDefault="005B06B4" w:rsidP="009D4B90">
            <w:pPr>
              <w:pStyle w:val="TableParagraph"/>
              <w:spacing w:line="225" w:lineRule="exact"/>
              <w:rPr>
                <w:rFonts w:ascii="Arial" w:hAnsi="Arial" w:cs="Arial"/>
              </w:rPr>
            </w:pPr>
            <w:r w:rsidRPr="00276D5E">
              <w:rPr>
                <w:rFonts w:ascii="Arial" w:hAnsi="Arial" w:cs="Arial"/>
              </w:rPr>
              <w:t>Operational</w:t>
            </w:r>
            <w:r w:rsidRPr="00276D5E">
              <w:rPr>
                <w:rFonts w:ascii="Arial" w:hAnsi="Arial" w:cs="Arial"/>
                <w:spacing w:val="-5"/>
              </w:rPr>
              <w:t xml:space="preserve"> </w:t>
            </w:r>
            <w:r w:rsidRPr="00276D5E">
              <w:rPr>
                <w:rFonts w:ascii="Arial" w:hAnsi="Arial" w:cs="Arial"/>
              </w:rPr>
              <w:t>limitations</w:t>
            </w:r>
          </w:p>
        </w:tc>
      </w:tr>
      <w:tr w:rsidR="005B06B4" w:rsidRPr="00276D5E" w14:paraId="3E9E9938" w14:textId="77777777" w:rsidTr="00D44EB0">
        <w:trPr>
          <w:trHeight w:val="200"/>
        </w:trPr>
        <w:tc>
          <w:tcPr>
            <w:tcW w:w="1000" w:type="dxa"/>
            <w:shd w:val="clear" w:color="auto" w:fill="F2F2F2" w:themeFill="background1" w:themeFillShade="F2"/>
          </w:tcPr>
          <w:p w14:paraId="2418406C" w14:textId="77777777" w:rsidR="005B06B4" w:rsidRPr="00276D5E" w:rsidRDefault="005B06B4" w:rsidP="009D4B90">
            <w:pPr>
              <w:pStyle w:val="TableParagraph"/>
              <w:spacing w:line="223" w:lineRule="exact"/>
              <w:ind w:left="86"/>
              <w:rPr>
                <w:rFonts w:ascii="Arial" w:hAnsi="Arial" w:cs="Arial"/>
                <w:b/>
              </w:rPr>
            </w:pPr>
            <w:r w:rsidRPr="00276D5E">
              <w:rPr>
                <w:rFonts w:ascii="Arial" w:hAnsi="Arial" w:cs="Arial"/>
                <w:b/>
              </w:rPr>
              <w:t>6.</w:t>
            </w:r>
          </w:p>
        </w:tc>
        <w:tc>
          <w:tcPr>
            <w:tcW w:w="8170" w:type="dxa"/>
            <w:shd w:val="clear" w:color="auto" w:fill="F2F2F2" w:themeFill="background1" w:themeFillShade="F2"/>
          </w:tcPr>
          <w:p w14:paraId="516C30F2" w14:textId="77777777" w:rsidR="005B06B4" w:rsidRPr="00276D5E" w:rsidRDefault="005B06B4" w:rsidP="009D4B90">
            <w:pPr>
              <w:pStyle w:val="TableParagraph"/>
              <w:spacing w:line="223" w:lineRule="exact"/>
              <w:rPr>
                <w:rFonts w:ascii="Arial" w:hAnsi="Arial" w:cs="Arial"/>
                <w:b/>
              </w:rPr>
            </w:pPr>
            <w:r w:rsidRPr="00276D5E">
              <w:rPr>
                <w:rFonts w:ascii="Arial" w:hAnsi="Arial" w:cs="Arial"/>
                <w:b/>
              </w:rPr>
              <w:t>OPERATIONAL</w:t>
            </w:r>
            <w:r w:rsidRPr="00276D5E">
              <w:rPr>
                <w:rFonts w:ascii="Arial" w:hAnsi="Arial" w:cs="Arial"/>
                <w:b/>
                <w:spacing w:val="-8"/>
              </w:rPr>
              <w:t xml:space="preserve"> </w:t>
            </w:r>
            <w:r w:rsidRPr="00276D5E">
              <w:rPr>
                <w:rFonts w:ascii="Arial" w:hAnsi="Arial" w:cs="Arial"/>
                <w:b/>
              </w:rPr>
              <w:t>PROCEDURES</w:t>
            </w:r>
          </w:p>
        </w:tc>
      </w:tr>
      <w:tr w:rsidR="005B06B4" w:rsidRPr="00276D5E" w14:paraId="48B3B765" w14:textId="77777777" w:rsidTr="00D44EB0">
        <w:trPr>
          <w:trHeight w:val="202"/>
        </w:trPr>
        <w:tc>
          <w:tcPr>
            <w:tcW w:w="1000" w:type="dxa"/>
          </w:tcPr>
          <w:p w14:paraId="6568C2FF" w14:textId="77777777" w:rsidR="005B06B4" w:rsidRPr="00276D5E" w:rsidRDefault="005B06B4" w:rsidP="009D4B90">
            <w:pPr>
              <w:pStyle w:val="TableParagraph"/>
              <w:spacing w:line="225" w:lineRule="exact"/>
              <w:ind w:left="86"/>
              <w:rPr>
                <w:rFonts w:ascii="Arial" w:hAnsi="Arial" w:cs="Arial"/>
              </w:rPr>
            </w:pPr>
            <w:r w:rsidRPr="00276D5E">
              <w:rPr>
                <w:rFonts w:ascii="Arial" w:hAnsi="Arial" w:cs="Arial"/>
              </w:rPr>
              <w:t>6.1.</w:t>
            </w:r>
          </w:p>
        </w:tc>
        <w:tc>
          <w:tcPr>
            <w:tcW w:w="8170" w:type="dxa"/>
          </w:tcPr>
          <w:p w14:paraId="7F0D9FAD" w14:textId="77777777" w:rsidR="005B06B4" w:rsidRPr="00276D5E" w:rsidRDefault="005B06B4" w:rsidP="009D4B90">
            <w:pPr>
              <w:pStyle w:val="TableParagraph"/>
              <w:spacing w:line="225" w:lineRule="exact"/>
              <w:rPr>
                <w:rFonts w:ascii="Arial" w:hAnsi="Arial" w:cs="Arial"/>
              </w:rPr>
            </w:pPr>
            <w:r w:rsidRPr="00276D5E">
              <w:rPr>
                <w:rFonts w:ascii="Arial" w:hAnsi="Arial" w:cs="Arial"/>
              </w:rPr>
              <w:t>General</w:t>
            </w:r>
            <w:r w:rsidRPr="00276D5E">
              <w:rPr>
                <w:rFonts w:ascii="Arial" w:hAnsi="Arial" w:cs="Arial"/>
                <w:spacing w:val="-5"/>
              </w:rPr>
              <w:t xml:space="preserve"> </w:t>
            </w:r>
            <w:r w:rsidRPr="00276D5E">
              <w:rPr>
                <w:rFonts w:ascii="Arial" w:hAnsi="Arial" w:cs="Arial"/>
              </w:rPr>
              <w:t>requirements</w:t>
            </w:r>
          </w:p>
        </w:tc>
      </w:tr>
      <w:tr w:rsidR="005B06B4" w:rsidRPr="00276D5E" w14:paraId="0B6DF19F" w14:textId="77777777" w:rsidTr="00D44EB0">
        <w:trPr>
          <w:trHeight w:val="200"/>
        </w:trPr>
        <w:tc>
          <w:tcPr>
            <w:tcW w:w="1000" w:type="dxa"/>
          </w:tcPr>
          <w:p w14:paraId="318F67CC" w14:textId="77777777" w:rsidR="005B06B4" w:rsidRPr="00276D5E" w:rsidRDefault="005B06B4" w:rsidP="009D4B90">
            <w:pPr>
              <w:pStyle w:val="TableParagraph"/>
              <w:spacing w:line="223" w:lineRule="exact"/>
              <w:ind w:left="86"/>
              <w:rPr>
                <w:rFonts w:ascii="Arial" w:hAnsi="Arial" w:cs="Arial"/>
              </w:rPr>
            </w:pPr>
            <w:r w:rsidRPr="00276D5E">
              <w:rPr>
                <w:rFonts w:ascii="Arial" w:hAnsi="Arial" w:cs="Arial"/>
              </w:rPr>
              <w:t>6.2.</w:t>
            </w:r>
          </w:p>
        </w:tc>
        <w:tc>
          <w:tcPr>
            <w:tcW w:w="8170" w:type="dxa"/>
          </w:tcPr>
          <w:p w14:paraId="658DC93C" w14:textId="77777777" w:rsidR="005B06B4" w:rsidRPr="00276D5E" w:rsidRDefault="005B06B4" w:rsidP="009D4B90">
            <w:pPr>
              <w:pStyle w:val="TableParagraph"/>
              <w:spacing w:line="223" w:lineRule="exact"/>
              <w:rPr>
                <w:rFonts w:ascii="Arial" w:hAnsi="Arial" w:cs="Arial"/>
              </w:rPr>
            </w:pPr>
            <w:r w:rsidRPr="00276D5E">
              <w:rPr>
                <w:rFonts w:ascii="Arial" w:hAnsi="Arial" w:cs="Arial"/>
              </w:rPr>
              <w:t>Special</w:t>
            </w:r>
            <w:r w:rsidRPr="00276D5E">
              <w:rPr>
                <w:rFonts w:ascii="Arial" w:hAnsi="Arial" w:cs="Arial"/>
                <w:spacing w:val="-4"/>
              </w:rPr>
              <w:t xml:space="preserve"> </w:t>
            </w:r>
            <w:r w:rsidRPr="00276D5E">
              <w:rPr>
                <w:rFonts w:ascii="Arial" w:hAnsi="Arial" w:cs="Arial"/>
              </w:rPr>
              <w:t>operational</w:t>
            </w:r>
            <w:r w:rsidRPr="00276D5E">
              <w:rPr>
                <w:rFonts w:ascii="Arial" w:hAnsi="Arial" w:cs="Arial"/>
                <w:spacing w:val="-2"/>
              </w:rPr>
              <w:t xml:space="preserve"> </w:t>
            </w:r>
            <w:r w:rsidRPr="00276D5E">
              <w:rPr>
                <w:rFonts w:ascii="Arial" w:hAnsi="Arial" w:cs="Arial"/>
              </w:rPr>
              <w:t>procedures</w:t>
            </w:r>
            <w:r w:rsidRPr="00276D5E">
              <w:rPr>
                <w:rFonts w:ascii="Arial" w:hAnsi="Arial" w:cs="Arial"/>
                <w:spacing w:val="-5"/>
              </w:rPr>
              <w:t xml:space="preserve"> </w:t>
            </w:r>
            <w:r w:rsidRPr="00276D5E">
              <w:rPr>
                <w:rFonts w:ascii="Arial" w:hAnsi="Arial" w:cs="Arial"/>
              </w:rPr>
              <w:t>and</w:t>
            </w:r>
            <w:r w:rsidRPr="00276D5E">
              <w:rPr>
                <w:rFonts w:ascii="Arial" w:hAnsi="Arial" w:cs="Arial"/>
                <w:spacing w:val="-2"/>
              </w:rPr>
              <w:t xml:space="preserve"> </w:t>
            </w:r>
            <w:r w:rsidRPr="00276D5E">
              <w:rPr>
                <w:rFonts w:ascii="Arial" w:hAnsi="Arial" w:cs="Arial"/>
              </w:rPr>
              <w:t>hazards</w:t>
            </w:r>
          </w:p>
        </w:tc>
      </w:tr>
      <w:tr w:rsidR="005B06B4" w:rsidRPr="00276D5E" w14:paraId="7D829B8E" w14:textId="77777777" w:rsidTr="00D44EB0">
        <w:trPr>
          <w:trHeight w:val="202"/>
        </w:trPr>
        <w:tc>
          <w:tcPr>
            <w:tcW w:w="1000" w:type="dxa"/>
          </w:tcPr>
          <w:p w14:paraId="13DB06AE" w14:textId="77777777" w:rsidR="005B06B4" w:rsidRPr="00276D5E" w:rsidRDefault="005B06B4" w:rsidP="009D4B90">
            <w:pPr>
              <w:pStyle w:val="TableParagraph"/>
              <w:spacing w:line="225" w:lineRule="exact"/>
              <w:ind w:left="86"/>
              <w:rPr>
                <w:rFonts w:ascii="Arial" w:hAnsi="Arial" w:cs="Arial"/>
              </w:rPr>
            </w:pPr>
            <w:r w:rsidRPr="00276D5E">
              <w:rPr>
                <w:rFonts w:ascii="Arial" w:hAnsi="Arial" w:cs="Arial"/>
              </w:rPr>
              <w:t>6.3.</w:t>
            </w:r>
          </w:p>
        </w:tc>
        <w:tc>
          <w:tcPr>
            <w:tcW w:w="8170" w:type="dxa"/>
          </w:tcPr>
          <w:p w14:paraId="549BF13D" w14:textId="77777777" w:rsidR="005B06B4" w:rsidRPr="00276D5E" w:rsidRDefault="005B06B4" w:rsidP="009D4B90">
            <w:pPr>
              <w:pStyle w:val="TableParagraph"/>
              <w:spacing w:line="225" w:lineRule="exact"/>
              <w:rPr>
                <w:rFonts w:ascii="Arial" w:hAnsi="Arial" w:cs="Arial"/>
              </w:rPr>
            </w:pPr>
            <w:r w:rsidRPr="00276D5E">
              <w:rPr>
                <w:rFonts w:ascii="Arial" w:hAnsi="Arial" w:cs="Arial"/>
              </w:rPr>
              <w:t>Emergency</w:t>
            </w:r>
            <w:r w:rsidRPr="00276D5E">
              <w:rPr>
                <w:rFonts w:ascii="Arial" w:hAnsi="Arial" w:cs="Arial"/>
                <w:spacing w:val="-3"/>
              </w:rPr>
              <w:t xml:space="preserve"> </w:t>
            </w:r>
            <w:r w:rsidRPr="00276D5E">
              <w:rPr>
                <w:rFonts w:ascii="Arial" w:hAnsi="Arial" w:cs="Arial"/>
              </w:rPr>
              <w:t>procedures</w:t>
            </w:r>
          </w:p>
        </w:tc>
      </w:tr>
      <w:tr w:rsidR="005B06B4" w:rsidRPr="00276D5E" w14:paraId="30360F49" w14:textId="77777777" w:rsidTr="00D44EB0">
        <w:trPr>
          <w:trHeight w:val="199"/>
        </w:trPr>
        <w:tc>
          <w:tcPr>
            <w:tcW w:w="1000" w:type="dxa"/>
            <w:shd w:val="clear" w:color="auto" w:fill="F2F2F2" w:themeFill="background1" w:themeFillShade="F2"/>
          </w:tcPr>
          <w:p w14:paraId="16969418" w14:textId="77777777" w:rsidR="005B06B4" w:rsidRPr="00276D5E" w:rsidRDefault="005B06B4" w:rsidP="009D4B90">
            <w:pPr>
              <w:pStyle w:val="TableParagraph"/>
              <w:spacing w:line="223" w:lineRule="exact"/>
              <w:ind w:left="86"/>
              <w:rPr>
                <w:rFonts w:ascii="Arial" w:hAnsi="Arial" w:cs="Arial"/>
                <w:b/>
              </w:rPr>
            </w:pPr>
            <w:r w:rsidRPr="00276D5E">
              <w:rPr>
                <w:rFonts w:ascii="Arial" w:hAnsi="Arial" w:cs="Arial"/>
                <w:b/>
              </w:rPr>
              <w:t>7.</w:t>
            </w:r>
          </w:p>
        </w:tc>
        <w:tc>
          <w:tcPr>
            <w:tcW w:w="8170" w:type="dxa"/>
            <w:shd w:val="clear" w:color="auto" w:fill="F2F2F2" w:themeFill="background1" w:themeFillShade="F2"/>
          </w:tcPr>
          <w:p w14:paraId="29BC19C9" w14:textId="77777777" w:rsidR="005B06B4" w:rsidRPr="00276D5E" w:rsidRDefault="005B06B4" w:rsidP="009D4B90">
            <w:pPr>
              <w:pStyle w:val="TableParagraph"/>
              <w:spacing w:line="223" w:lineRule="exact"/>
              <w:rPr>
                <w:rFonts w:ascii="Arial" w:hAnsi="Arial" w:cs="Arial"/>
                <w:b/>
              </w:rPr>
            </w:pPr>
            <w:r w:rsidRPr="00276D5E">
              <w:rPr>
                <w:rFonts w:ascii="Arial" w:hAnsi="Arial" w:cs="Arial"/>
                <w:b/>
              </w:rPr>
              <w:t>FLIGHT</w:t>
            </w:r>
            <w:r w:rsidRPr="00276D5E">
              <w:rPr>
                <w:rFonts w:ascii="Arial" w:hAnsi="Arial" w:cs="Arial"/>
                <w:b/>
                <w:spacing w:val="-4"/>
              </w:rPr>
              <w:t xml:space="preserve"> </w:t>
            </w:r>
            <w:r w:rsidRPr="00276D5E">
              <w:rPr>
                <w:rFonts w:ascii="Arial" w:hAnsi="Arial" w:cs="Arial"/>
                <w:b/>
              </w:rPr>
              <w:t>PERFORMANCE</w:t>
            </w:r>
            <w:r w:rsidRPr="00276D5E">
              <w:rPr>
                <w:rFonts w:ascii="Arial" w:hAnsi="Arial" w:cs="Arial"/>
                <w:b/>
                <w:spacing w:val="-5"/>
              </w:rPr>
              <w:t xml:space="preserve"> </w:t>
            </w:r>
            <w:r w:rsidRPr="00276D5E">
              <w:rPr>
                <w:rFonts w:ascii="Arial" w:hAnsi="Arial" w:cs="Arial"/>
                <w:b/>
              </w:rPr>
              <w:t>AND</w:t>
            </w:r>
            <w:r w:rsidRPr="00276D5E">
              <w:rPr>
                <w:rFonts w:ascii="Arial" w:hAnsi="Arial" w:cs="Arial"/>
                <w:b/>
                <w:spacing w:val="-2"/>
              </w:rPr>
              <w:t xml:space="preserve"> </w:t>
            </w:r>
            <w:r w:rsidRPr="00276D5E">
              <w:rPr>
                <w:rFonts w:ascii="Arial" w:hAnsi="Arial" w:cs="Arial"/>
                <w:b/>
              </w:rPr>
              <w:t>PLANNING</w:t>
            </w:r>
          </w:p>
        </w:tc>
      </w:tr>
      <w:tr w:rsidR="005B06B4" w:rsidRPr="00276D5E" w14:paraId="7D0D54BF" w14:textId="77777777" w:rsidTr="00D44EB0">
        <w:trPr>
          <w:trHeight w:val="202"/>
        </w:trPr>
        <w:tc>
          <w:tcPr>
            <w:tcW w:w="1000" w:type="dxa"/>
          </w:tcPr>
          <w:p w14:paraId="24F52023" w14:textId="77777777" w:rsidR="005B06B4" w:rsidRPr="00276D5E" w:rsidRDefault="005B06B4" w:rsidP="009D4B90">
            <w:pPr>
              <w:pStyle w:val="TableParagraph"/>
              <w:spacing w:line="225" w:lineRule="exact"/>
              <w:ind w:left="86"/>
              <w:rPr>
                <w:rFonts w:ascii="Arial" w:hAnsi="Arial" w:cs="Arial"/>
              </w:rPr>
            </w:pPr>
            <w:r w:rsidRPr="00276D5E">
              <w:rPr>
                <w:rFonts w:ascii="Arial" w:hAnsi="Arial" w:cs="Arial"/>
              </w:rPr>
              <w:t>7.1.</w:t>
            </w:r>
          </w:p>
        </w:tc>
        <w:tc>
          <w:tcPr>
            <w:tcW w:w="8170" w:type="dxa"/>
          </w:tcPr>
          <w:p w14:paraId="6ADEB687" w14:textId="77777777" w:rsidR="005B06B4" w:rsidRPr="00276D5E" w:rsidRDefault="005B06B4" w:rsidP="009D4B90">
            <w:pPr>
              <w:pStyle w:val="TableParagraph"/>
              <w:spacing w:line="225" w:lineRule="exact"/>
              <w:rPr>
                <w:rFonts w:ascii="Arial" w:hAnsi="Arial" w:cs="Arial"/>
              </w:rPr>
            </w:pPr>
            <w:r w:rsidRPr="00276D5E">
              <w:rPr>
                <w:rFonts w:ascii="Arial" w:hAnsi="Arial" w:cs="Arial"/>
              </w:rPr>
              <w:t>Mass</w:t>
            </w:r>
          </w:p>
        </w:tc>
      </w:tr>
      <w:tr w:rsidR="005B06B4" w:rsidRPr="00276D5E" w14:paraId="607CAF6D" w14:textId="77777777" w:rsidTr="00D44EB0">
        <w:trPr>
          <w:trHeight w:val="200"/>
        </w:trPr>
        <w:tc>
          <w:tcPr>
            <w:tcW w:w="1000" w:type="dxa"/>
          </w:tcPr>
          <w:p w14:paraId="03791F66" w14:textId="77777777" w:rsidR="005B06B4" w:rsidRPr="00276D5E" w:rsidRDefault="005B06B4" w:rsidP="009D4B90">
            <w:pPr>
              <w:pStyle w:val="TableParagraph"/>
              <w:spacing w:line="223" w:lineRule="exact"/>
              <w:ind w:left="86"/>
              <w:rPr>
                <w:rFonts w:ascii="Arial" w:hAnsi="Arial" w:cs="Arial"/>
              </w:rPr>
            </w:pPr>
            <w:r w:rsidRPr="00276D5E">
              <w:rPr>
                <w:rFonts w:ascii="Arial" w:hAnsi="Arial" w:cs="Arial"/>
              </w:rPr>
              <w:t>7.1.1.</w:t>
            </w:r>
          </w:p>
        </w:tc>
        <w:tc>
          <w:tcPr>
            <w:tcW w:w="8170" w:type="dxa"/>
          </w:tcPr>
          <w:p w14:paraId="58B630D8" w14:textId="77777777" w:rsidR="005B06B4" w:rsidRPr="00276D5E" w:rsidRDefault="005B06B4" w:rsidP="009D4B90">
            <w:pPr>
              <w:pStyle w:val="TableParagraph"/>
              <w:spacing w:line="223" w:lineRule="exact"/>
              <w:rPr>
                <w:rFonts w:ascii="Arial" w:hAnsi="Arial" w:cs="Arial"/>
              </w:rPr>
            </w:pPr>
            <w:r w:rsidRPr="00276D5E">
              <w:rPr>
                <w:rFonts w:ascii="Arial" w:hAnsi="Arial" w:cs="Arial"/>
              </w:rPr>
              <w:t>Purpose</w:t>
            </w:r>
            <w:r w:rsidRPr="00276D5E">
              <w:rPr>
                <w:rFonts w:ascii="Arial" w:hAnsi="Arial" w:cs="Arial"/>
                <w:spacing w:val="-3"/>
              </w:rPr>
              <w:t xml:space="preserve"> </w:t>
            </w:r>
            <w:r w:rsidRPr="00276D5E">
              <w:rPr>
                <w:rFonts w:ascii="Arial" w:hAnsi="Arial" w:cs="Arial"/>
              </w:rPr>
              <w:t>of</w:t>
            </w:r>
            <w:r w:rsidRPr="00276D5E">
              <w:rPr>
                <w:rFonts w:ascii="Arial" w:hAnsi="Arial" w:cs="Arial"/>
                <w:spacing w:val="-4"/>
              </w:rPr>
              <w:t xml:space="preserve"> </w:t>
            </w:r>
            <w:r w:rsidRPr="00276D5E">
              <w:rPr>
                <w:rFonts w:ascii="Arial" w:hAnsi="Arial" w:cs="Arial"/>
              </w:rPr>
              <w:t>mass</w:t>
            </w:r>
            <w:r w:rsidRPr="00276D5E">
              <w:rPr>
                <w:rFonts w:ascii="Arial" w:hAnsi="Arial" w:cs="Arial"/>
                <w:spacing w:val="-1"/>
              </w:rPr>
              <w:t xml:space="preserve"> </w:t>
            </w:r>
            <w:r w:rsidRPr="00276D5E">
              <w:rPr>
                <w:rFonts w:ascii="Arial" w:hAnsi="Arial" w:cs="Arial"/>
              </w:rPr>
              <w:t>considerations</w:t>
            </w:r>
          </w:p>
        </w:tc>
      </w:tr>
      <w:tr w:rsidR="005B06B4" w:rsidRPr="00276D5E" w14:paraId="42890068" w14:textId="77777777" w:rsidTr="00D44EB0">
        <w:trPr>
          <w:trHeight w:val="202"/>
        </w:trPr>
        <w:tc>
          <w:tcPr>
            <w:tcW w:w="1000" w:type="dxa"/>
          </w:tcPr>
          <w:p w14:paraId="2A62C416" w14:textId="77777777" w:rsidR="005B06B4" w:rsidRPr="00276D5E" w:rsidRDefault="005B06B4" w:rsidP="009D4B90">
            <w:pPr>
              <w:pStyle w:val="TableParagraph"/>
              <w:spacing w:line="225" w:lineRule="exact"/>
              <w:ind w:left="86"/>
              <w:rPr>
                <w:rFonts w:ascii="Arial" w:hAnsi="Arial" w:cs="Arial"/>
              </w:rPr>
            </w:pPr>
            <w:r w:rsidRPr="00276D5E">
              <w:rPr>
                <w:rFonts w:ascii="Arial" w:hAnsi="Arial" w:cs="Arial"/>
              </w:rPr>
              <w:t>7.1.2.</w:t>
            </w:r>
          </w:p>
        </w:tc>
        <w:tc>
          <w:tcPr>
            <w:tcW w:w="8170" w:type="dxa"/>
          </w:tcPr>
          <w:p w14:paraId="2A095184" w14:textId="77777777" w:rsidR="005B06B4" w:rsidRPr="00276D5E" w:rsidRDefault="005B06B4" w:rsidP="009D4B90">
            <w:pPr>
              <w:pStyle w:val="TableParagraph"/>
              <w:spacing w:line="225" w:lineRule="exact"/>
              <w:rPr>
                <w:rFonts w:ascii="Arial" w:hAnsi="Arial" w:cs="Arial"/>
              </w:rPr>
            </w:pPr>
            <w:r w:rsidRPr="00276D5E">
              <w:rPr>
                <w:rFonts w:ascii="Arial" w:hAnsi="Arial" w:cs="Arial"/>
              </w:rPr>
              <w:t>Loading</w:t>
            </w:r>
          </w:p>
        </w:tc>
      </w:tr>
      <w:tr w:rsidR="005B06B4" w:rsidRPr="00276D5E" w14:paraId="727DF6A2" w14:textId="77777777" w:rsidTr="00D44EB0">
        <w:trPr>
          <w:trHeight w:val="199"/>
        </w:trPr>
        <w:tc>
          <w:tcPr>
            <w:tcW w:w="1000" w:type="dxa"/>
          </w:tcPr>
          <w:p w14:paraId="1CE16C40" w14:textId="77777777" w:rsidR="005B06B4" w:rsidRPr="00276D5E" w:rsidRDefault="005B06B4" w:rsidP="009D4B90">
            <w:pPr>
              <w:pStyle w:val="TableParagraph"/>
              <w:spacing w:line="223" w:lineRule="exact"/>
              <w:ind w:left="86"/>
              <w:rPr>
                <w:rFonts w:ascii="Arial" w:hAnsi="Arial" w:cs="Arial"/>
              </w:rPr>
            </w:pPr>
            <w:r w:rsidRPr="00276D5E">
              <w:rPr>
                <w:rFonts w:ascii="Arial" w:hAnsi="Arial" w:cs="Arial"/>
              </w:rPr>
              <w:t>7.2.</w:t>
            </w:r>
          </w:p>
        </w:tc>
        <w:tc>
          <w:tcPr>
            <w:tcW w:w="8170" w:type="dxa"/>
          </w:tcPr>
          <w:p w14:paraId="0F029E42" w14:textId="77777777" w:rsidR="005B06B4" w:rsidRPr="00276D5E" w:rsidRDefault="005B06B4" w:rsidP="009D4B90">
            <w:pPr>
              <w:pStyle w:val="TableParagraph"/>
              <w:spacing w:line="223" w:lineRule="exact"/>
              <w:rPr>
                <w:rFonts w:ascii="Arial" w:hAnsi="Arial" w:cs="Arial"/>
              </w:rPr>
            </w:pPr>
            <w:r w:rsidRPr="00276D5E">
              <w:rPr>
                <w:rFonts w:ascii="Arial" w:hAnsi="Arial" w:cs="Arial"/>
              </w:rPr>
              <w:t>Performance</w:t>
            </w:r>
          </w:p>
        </w:tc>
      </w:tr>
      <w:tr w:rsidR="005B06B4" w:rsidRPr="00276D5E" w14:paraId="2B242C49" w14:textId="77777777" w:rsidTr="00D44EB0">
        <w:trPr>
          <w:trHeight w:val="200"/>
        </w:trPr>
        <w:tc>
          <w:tcPr>
            <w:tcW w:w="1000" w:type="dxa"/>
          </w:tcPr>
          <w:p w14:paraId="656B8894" w14:textId="77777777" w:rsidR="005B06B4" w:rsidRPr="00276D5E" w:rsidRDefault="005B06B4" w:rsidP="009D4B90">
            <w:pPr>
              <w:pStyle w:val="TableParagraph"/>
              <w:spacing w:line="222" w:lineRule="exact"/>
              <w:ind w:left="86"/>
              <w:rPr>
                <w:rFonts w:ascii="Arial" w:hAnsi="Arial" w:cs="Arial"/>
              </w:rPr>
            </w:pPr>
            <w:r w:rsidRPr="00276D5E">
              <w:rPr>
                <w:rFonts w:ascii="Arial" w:hAnsi="Arial" w:cs="Arial"/>
              </w:rPr>
              <w:t>7.3.</w:t>
            </w:r>
          </w:p>
        </w:tc>
        <w:tc>
          <w:tcPr>
            <w:tcW w:w="8170" w:type="dxa"/>
          </w:tcPr>
          <w:p w14:paraId="69638CF9" w14:textId="77777777" w:rsidR="005B06B4" w:rsidRPr="00276D5E" w:rsidRDefault="005B06B4" w:rsidP="009D4B90">
            <w:pPr>
              <w:pStyle w:val="TableParagraph"/>
              <w:spacing w:line="222" w:lineRule="exact"/>
              <w:rPr>
                <w:rFonts w:ascii="Arial" w:hAnsi="Arial" w:cs="Arial"/>
              </w:rPr>
            </w:pPr>
            <w:r w:rsidRPr="00276D5E">
              <w:rPr>
                <w:rFonts w:ascii="Arial" w:hAnsi="Arial" w:cs="Arial"/>
              </w:rPr>
              <w:t>Flight</w:t>
            </w:r>
            <w:r w:rsidRPr="00276D5E">
              <w:rPr>
                <w:rFonts w:ascii="Arial" w:hAnsi="Arial" w:cs="Arial"/>
                <w:spacing w:val="-4"/>
              </w:rPr>
              <w:t xml:space="preserve"> </w:t>
            </w:r>
            <w:r w:rsidRPr="00276D5E">
              <w:rPr>
                <w:rFonts w:ascii="Arial" w:hAnsi="Arial" w:cs="Arial"/>
              </w:rPr>
              <w:t>planning</w:t>
            </w:r>
            <w:r w:rsidRPr="00276D5E">
              <w:rPr>
                <w:rFonts w:ascii="Arial" w:hAnsi="Arial" w:cs="Arial"/>
                <w:spacing w:val="-4"/>
              </w:rPr>
              <w:t xml:space="preserve"> </w:t>
            </w:r>
            <w:r w:rsidRPr="00276D5E">
              <w:rPr>
                <w:rFonts w:ascii="Arial" w:hAnsi="Arial" w:cs="Arial"/>
              </w:rPr>
              <w:t>and</w:t>
            </w:r>
            <w:r w:rsidRPr="00276D5E">
              <w:rPr>
                <w:rFonts w:ascii="Arial" w:hAnsi="Arial" w:cs="Arial"/>
                <w:spacing w:val="-3"/>
              </w:rPr>
              <w:t xml:space="preserve"> </w:t>
            </w:r>
            <w:r w:rsidRPr="00276D5E">
              <w:rPr>
                <w:rFonts w:ascii="Arial" w:hAnsi="Arial" w:cs="Arial"/>
              </w:rPr>
              <w:t>flight</w:t>
            </w:r>
            <w:r w:rsidRPr="00276D5E">
              <w:rPr>
                <w:rFonts w:ascii="Arial" w:hAnsi="Arial" w:cs="Arial"/>
                <w:spacing w:val="-3"/>
              </w:rPr>
              <w:t xml:space="preserve"> </w:t>
            </w:r>
            <w:r w:rsidRPr="00276D5E">
              <w:rPr>
                <w:rFonts w:ascii="Arial" w:hAnsi="Arial" w:cs="Arial"/>
              </w:rPr>
              <w:t>monitoring</w:t>
            </w:r>
          </w:p>
        </w:tc>
      </w:tr>
      <w:tr w:rsidR="005B06B4" w:rsidRPr="00276D5E" w14:paraId="1B9391E4" w14:textId="77777777" w:rsidTr="00D44EB0">
        <w:trPr>
          <w:trHeight w:val="202"/>
        </w:trPr>
        <w:tc>
          <w:tcPr>
            <w:tcW w:w="1000" w:type="dxa"/>
          </w:tcPr>
          <w:p w14:paraId="25C3C1B7" w14:textId="77777777" w:rsidR="005B06B4" w:rsidRPr="00276D5E" w:rsidRDefault="005B06B4" w:rsidP="009D4B90">
            <w:pPr>
              <w:pStyle w:val="TableParagraph"/>
              <w:spacing w:line="225" w:lineRule="exact"/>
              <w:ind w:left="86"/>
              <w:rPr>
                <w:rFonts w:ascii="Arial" w:hAnsi="Arial" w:cs="Arial"/>
              </w:rPr>
            </w:pPr>
            <w:r w:rsidRPr="00276D5E">
              <w:rPr>
                <w:rFonts w:ascii="Arial" w:hAnsi="Arial" w:cs="Arial"/>
              </w:rPr>
              <w:t>7.3.2.1.</w:t>
            </w:r>
          </w:p>
        </w:tc>
        <w:tc>
          <w:tcPr>
            <w:tcW w:w="8170" w:type="dxa"/>
          </w:tcPr>
          <w:p w14:paraId="61EB511C" w14:textId="77777777" w:rsidR="005B06B4" w:rsidRPr="00276D5E" w:rsidRDefault="005B06B4" w:rsidP="009D4B90">
            <w:pPr>
              <w:pStyle w:val="TableParagraph"/>
              <w:spacing w:line="225" w:lineRule="exact"/>
              <w:rPr>
                <w:rFonts w:ascii="Arial" w:hAnsi="Arial" w:cs="Arial"/>
              </w:rPr>
            </w:pPr>
            <w:r w:rsidRPr="00276D5E">
              <w:rPr>
                <w:rFonts w:ascii="Arial" w:hAnsi="Arial" w:cs="Arial"/>
              </w:rPr>
              <w:t>Fuel</w:t>
            </w:r>
            <w:r w:rsidRPr="00276D5E">
              <w:rPr>
                <w:rFonts w:ascii="Arial" w:hAnsi="Arial" w:cs="Arial"/>
                <w:spacing w:val="-2"/>
              </w:rPr>
              <w:t xml:space="preserve"> </w:t>
            </w:r>
            <w:r w:rsidRPr="00276D5E">
              <w:rPr>
                <w:rFonts w:ascii="Arial" w:hAnsi="Arial" w:cs="Arial"/>
              </w:rPr>
              <w:t>planning</w:t>
            </w:r>
            <w:r w:rsidRPr="00276D5E">
              <w:rPr>
                <w:rFonts w:ascii="Arial" w:hAnsi="Arial" w:cs="Arial"/>
                <w:spacing w:val="-3"/>
              </w:rPr>
              <w:t xml:space="preserve"> </w:t>
            </w:r>
            <w:r w:rsidRPr="00276D5E">
              <w:rPr>
                <w:rFonts w:ascii="Arial" w:hAnsi="Arial" w:cs="Arial"/>
              </w:rPr>
              <w:t>(extension</w:t>
            </w:r>
            <w:r w:rsidRPr="00276D5E">
              <w:rPr>
                <w:rFonts w:ascii="Arial" w:hAnsi="Arial" w:cs="Arial"/>
                <w:spacing w:val="-1"/>
              </w:rPr>
              <w:t xml:space="preserve"> </w:t>
            </w:r>
            <w:r w:rsidRPr="00276D5E">
              <w:rPr>
                <w:rFonts w:ascii="Arial" w:hAnsi="Arial" w:cs="Arial"/>
              </w:rPr>
              <w:t>to</w:t>
            </w:r>
            <w:r w:rsidRPr="00276D5E">
              <w:rPr>
                <w:rFonts w:ascii="Arial" w:hAnsi="Arial" w:cs="Arial"/>
                <w:spacing w:val="-1"/>
              </w:rPr>
              <w:t xml:space="preserve"> </w:t>
            </w:r>
            <w:r w:rsidRPr="00276D5E">
              <w:rPr>
                <w:rFonts w:ascii="Arial" w:hAnsi="Arial" w:cs="Arial"/>
              </w:rPr>
              <w:t>hot-air</w:t>
            </w:r>
            <w:r w:rsidRPr="00276D5E">
              <w:rPr>
                <w:rFonts w:ascii="Arial" w:hAnsi="Arial" w:cs="Arial"/>
                <w:spacing w:val="-2"/>
              </w:rPr>
              <w:t xml:space="preserve"> </w:t>
            </w:r>
            <w:r w:rsidRPr="00276D5E">
              <w:rPr>
                <w:rFonts w:ascii="Arial" w:hAnsi="Arial" w:cs="Arial"/>
              </w:rPr>
              <w:t>balloons</w:t>
            </w:r>
            <w:r w:rsidRPr="00276D5E">
              <w:rPr>
                <w:rFonts w:ascii="Arial" w:hAnsi="Arial" w:cs="Arial"/>
                <w:spacing w:val="-4"/>
              </w:rPr>
              <w:t xml:space="preserve"> </w:t>
            </w:r>
            <w:r w:rsidRPr="00276D5E">
              <w:rPr>
                <w:rFonts w:ascii="Arial" w:hAnsi="Arial" w:cs="Arial"/>
              </w:rPr>
              <w:t>&amp;</w:t>
            </w:r>
            <w:r w:rsidRPr="00276D5E">
              <w:rPr>
                <w:rFonts w:ascii="Arial" w:hAnsi="Arial" w:cs="Arial"/>
                <w:spacing w:val="-1"/>
              </w:rPr>
              <w:t xml:space="preserve"> </w:t>
            </w:r>
            <w:r w:rsidRPr="00276D5E">
              <w:rPr>
                <w:rFonts w:ascii="Arial" w:hAnsi="Arial" w:cs="Arial"/>
              </w:rPr>
              <w:t>hot-air</w:t>
            </w:r>
            <w:r w:rsidRPr="00276D5E">
              <w:rPr>
                <w:rFonts w:ascii="Arial" w:hAnsi="Arial" w:cs="Arial"/>
                <w:spacing w:val="-1"/>
              </w:rPr>
              <w:t xml:space="preserve"> </w:t>
            </w:r>
            <w:r w:rsidRPr="00276D5E">
              <w:rPr>
                <w:rFonts w:ascii="Arial" w:hAnsi="Arial" w:cs="Arial"/>
              </w:rPr>
              <w:t>airships</w:t>
            </w:r>
            <w:r w:rsidRPr="00276D5E">
              <w:rPr>
                <w:rFonts w:ascii="Arial" w:hAnsi="Arial" w:cs="Arial"/>
                <w:spacing w:val="-4"/>
              </w:rPr>
              <w:t xml:space="preserve"> </w:t>
            </w:r>
            <w:r w:rsidRPr="00276D5E">
              <w:rPr>
                <w:rFonts w:ascii="Arial" w:hAnsi="Arial" w:cs="Arial"/>
              </w:rPr>
              <w:t>only)</w:t>
            </w:r>
          </w:p>
        </w:tc>
      </w:tr>
      <w:tr w:rsidR="005B06B4" w:rsidRPr="00276D5E" w14:paraId="3F09F3FA" w14:textId="77777777" w:rsidTr="00D44EB0">
        <w:trPr>
          <w:trHeight w:val="199"/>
        </w:trPr>
        <w:tc>
          <w:tcPr>
            <w:tcW w:w="1000" w:type="dxa"/>
          </w:tcPr>
          <w:p w14:paraId="07508ED4" w14:textId="77777777" w:rsidR="005B06B4" w:rsidRPr="00276D5E" w:rsidRDefault="005B06B4" w:rsidP="009D4B90">
            <w:pPr>
              <w:pStyle w:val="TableParagraph"/>
              <w:spacing w:line="222" w:lineRule="exact"/>
              <w:ind w:left="86"/>
              <w:rPr>
                <w:rFonts w:ascii="Arial" w:hAnsi="Arial" w:cs="Arial"/>
              </w:rPr>
            </w:pPr>
            <w:r w:rsidRPr="00276D5E">
              <w:rPr>
                <w:rFonts w:ascii="Arial" w:hAnsi="Arial" w:cs="Arial"/>
              </w:rPr>
              <w:t>7.3.2.2.</w:t>
            </w:r>
          </w:p>
        </w:tc>
        <w:tc>
          <w:tcPr>
            <w:tcW w:w="8170" w:type="dxa"/>
          </w:tcPr>
          <w:p w14:paraId="38841AEE" w14:textId="77777777" w:rsidR="005B06B4" w:rsidRPr="00276D5E" w:rsidRDefault="005B06B4" w:rsidP="009D4B90">
            <w:pPr>
              <w:pStyle w:val="TableParagraph"/>
              <w:spacing w:line="222" w:lineRule="exact"/>
              <w:rPr>
                <w:rFonts w:ascii="Arial" w:hAnsi="Arial" w:cs="Arial"/>
              </w:rPr>
            </w:pPr>
            <w:r w:rsidRPr="00276D5E">
              <w:rPr>
                <w:rFonts w:ascii="Arial" w:hAnsi="Arial" w:cs="Arial"/>
              </w:rPr>
              <w:t>Ballast</w:t>
            </w:r>
            <w:r w:rsidRPr="00276D5E">
              <w:rPr>
                <w:rFonts w:ascii="Arial" w:hAnsi="Arial" w:cs="Arial"/>
                <w:spacing w:val="-3"/>
              </w:rPr>
              <w:t xml:space="preserve"> </w:t>
            </w:r>
            <w:r w:rsidRPr="00276D5E">
              <w:rPr>
                <w:rFonts w:ascii="Arial" w:hAnsi="Arial" w:cs="Arial"/>
              </w:rPr>
              <w:t>planning</w:t>
            </w:r>
            <w:r w:rsidRPr="00276D5E">
              <w:rPr>
                <w:rFonts w:ascii="Arial" w:hAnsi="Arial" w:cs="Arial"/>
                <w:spacing w:val="-3"/>
              </w:rPr>
              <w:t xml:space="preserve"> </w:t>
            </w:r>
            <w:r w:rsidRPr="00276D5E">
              <w:rPr>
                <w:rFonts w:ascii="Arial" w:hAnsi="Arial" w:cs="Arial"/>
              </w:rPr>
              <w:t>(extension</w:t>
            </w:r>
            <w:r w:rsidRPr="00276D5E">
              <w:rPr>
                <w:rFonts w:ascii="Arial" w:hAnsi="Arial" w:cs="Arial"/>
                <w:spacing w:val="-1"/>
              </w:rPr>
              <w:t xml:space="preserve"> </w:t>
            </w:r>
            <w:r w:rsidRPr="00276D5E">
              <w:rPr>
                <w:rFonts w:ascii="Arial" w:hAnsi="Arial" w:cs="Arial"/>
              </w:rPr>
              <w:t>to</w:t>
            </w:r>
            <w:r w:rsidRPr="00276D5E">
              <w:rPr>
                <w:rFonts w:ascii="Arial" w:hAnsi="Arial" w:cs="Arial"/>
                <w:spacing w:val="-2"/>
              </w:rPr>
              <w:t xml:space="preserve"> </w:t>
            </w:r>
            <w:r w:rsidRPr="00276D5E">
              <w:rPr>
                <w:rFonts w:ascii="Arial" w:hAnsi="Arial" w:cs="Arial"/>
              </w:rPr>
              <w:t>gas</w:t>
            </w:r>
            <w:r w:rsidRPr="00276D5E">
              <w:rPr>
                <w:rFonts w:ascii="Arial" w:hAnsi="Arial" w:cs="Arial"/>
                <w:spacing w:val="-5"/>
              </w:rPr>
              <w:t xml:space="preserve"> </w:t>
            </w:r>
            <w:r w:rsidRPr="00276D5E">
              <w:rPr>
                <w:rFonts w:ascii="Arial" w:hAnsi="Arial" w:cs="Arial"/>
              </w:rPr>
              <w:t>balloons</w:t>
            </w:r>
            <w:r w:rsidRPr="00276D5E">
              <w:rPr>
                <w:rFonts w:ascii="Arial" w:hAnsi="Arial" w:cs="Arial"/>
                <w:spacing w:val="-4"/>
              </w:rPr>
              <w:t xml:space="preserve"> </w:t>
            </w:r>
            <w:r w:rsidRPr="00276D5E">
              <w:rPr>
                <w:rFonts w:ascii="Arial" w:hAnsi="Arial" w:cs="Arial"/>
              </w:rPr>
              <w:t>only)</w:t>
            </w:r>
          </w:p>
        </w:tc>
      </w:tr>
      <w:tr w:rsidR="005B06B4" w:rsidRPr="00276D5E" w14:paraId="11047CF9" w14:textId="77777777" w:rsidTr="00D44EB0">
        <w:trPr>
          <w:trHeight w:val="202"/>
        </w:trPr>
        <w:tc>
          <w:tcPr>
            <w:tcW w:w="1000" w:type="dxa"/>
          </w:tcPr>
          <w:p w14:paraId="7BE19DA6" w14:textId="77777777" w:rsidR="005B06B4" w:rsidRPr="00276D5E" w:rsidRDefault="005B06B4" w:rsidP="009D4B90">
            <w:pPr>
              <w:pStyle w:val="TableParagraph"/>
              <w:spacing w:line="225" w:lineRule="exact"/>
              <w:ind w:left="86"/>
              <w:rPr>
                <w:rFonts w:ascii="Arial" w:hAnsi="Arial" w:cs="Arial"/>
              </w:rPr>
            </w:pPr>
            <w:r w:rsidRPr="00276D5E">
              <w:rPr>
                <w:rFonts w:ascii="Arial" w:hAnsi="Arial" w:cs="Arial"/>
              </w:rPr>
              <w:t>7.3.3.</w:t>
            </w:r>
          </w:p>
        </w:tc>
        <w:tc>
          <w:tcPr>
            <w:tcW w:w="8170" w:type="dxa"/>
          </w:tcPr>
          <w:p w14:paraId="1969F5B9" w14:textId="77777777" w:rsidR="005B06B4" w:rsidRPr="00276D5E" w:rsidRDefault="005B06B4" w:rsidP="009D4B90">
            <w:pPr>
              <w:pStyle w:val="TableParagraph"/>
              <w:spacing w:line="225" w:lineRule="exact"/>
              <w:rPr>
                <w:rFonts w:ascii="Arial" w:hAnsi="Arial" w:cs="Arial"/>
              </w:rPr>
            </w:pPr>
            <w:r w:rsidRPr="00276D5E">
              <w:rPr>
                <w:rFonts w:ascii="Arial" w:hAnsi="Arial" w:cs="Arial"/>
              </w:rPr>
              <w:t>Pre-flight</w:t>
            </w:r>
            <w:r w:rsidRPr="00276D5E">
              <w:rPr>
                <w:rFonts w:ascii="Arial" w:hAnsi="Arial" w:cs="Arial"/>
                <w:spacing w:val="-4"/>
              </w:rPr>
              <w:t xml:space="preserve"> </w:t>
            </w:r>
            <w:r w:rsidRPr="00276D5E">
              <w:rPr>
                <w:rFonts w:ascii="Arial" w:hAnsi="Arial" w:cs="Arial"/>
              </w:rPr>
              <w:t>preparation</w:t>
            </w:r>
          </w:p>
        </w:tc>
      </w:tr>
      <w:tr w:rsidR="005B06B4" w:rsidRPr="00276D5E" w14:paraId="5D010175" w14:textId="77777777" w:rsidTr="00D44EB0">
        <w:trPr>
          <w:trHeight w:val="200"/>
        </w:trPr>
        <w:tc>
          <w:tcPr>
            <w:tcW w:w="1000" w:type="dxa"/>
          </w:tcPr>
          <w:p w14:paraId="743B09DC" w14:textId="77777777" w:rsidR="005B06B4" w:rsidRPr="00276D5E" w:rsidRDefault="005B06B4" w:rsidP="009D4B90">
            <w:pPr>
              <w:pStyle w:val="TableParagraph"/>
              <w:spacing w:line="223" w:lineRule="exact"/>
              <w:ind w:left="86"/>
              <w:rPr>
                <w:rFonts w:ascii="Arial" w:hAnsi="Arial" w:cs="Arial"/>
              </w:rPr>
            </w:pPr>
            <w:r w:rsidRPr="00276D5E">
              <w:rPr>
                <w:rFonts w:ascii="Arial" w:hAnsi="Arial" w:cs="Arial"/>
              </w:rPr>
              <w:t>7.3.4.</w:t>
            </w:r>
          </w:p>
        </w:tc>
        <w:tc>
          <w:tcPr>
            <w:tcW w:w="8170" w:type="dxa"/>
          </w:tcPr>
          <w:p w14:paraId="17F63FF9" w14:textId="77777777" w:rsidR="005B06B4" w:rsidRPr="00276D5E" w:rsidRDefault="005B06B4" w:rsidP="009D4B90">
            <w:pPr>
              <w:pStyle w:val="TableParagraph"/>
              <w:spacing w:line="223" w:lineRule="exact"/>
              <w:rPr>
                <w:rFonts w:ascii="Arial" w:hAnsi="Arial" w:cs="Arial"/>
              </w:rPr>
            </w:pPr>
            <w:r w:rsidRPr="00276D5E">
              <w:rPr>
                <w:rFonts w:ascii="Arial" w:hAnsi="Arial" w:cs="Arial"/>
              </w:rPr>
              <w:t>ICAO</w:t>
            </w:r>
            <w:r w:rsidRPr="00276D5E">
              <w:rPr>
                <w:rFonts w:ascii="Arial" w:hAnsi="Arial" w:cs="Arial"/>
                <w:spacing w:val="-3"/>
              </w:rPr>
              <w:t xml:space="preserve"> </w:t>
            </w:r>
            <w:r w:rsidRPr="00276D5E">
              <w:rPr>
                <w:rFonts w:ascii="Arial" w:hAnsi="Arial" w:cs="Arial"/>
              </w:rPr>
              <w:t>flight</w:t>
            </w:r>
            <w:r w:rsidRPr="00276D5E">
              <w:rPr>
                <w:rFonts w:ascii="Arial" w:hAnsi="Arial" w:cs="Arial"/>
                <w:spacing w:val="-2"/>
              </w:rPr>
              <w:t xml:space="preserve"> </w:t>
            </w:r>
            <w:r w:rsidRPr="00276D5E">
              <w:rPr>
                <w:rFonts w:ascii="Arial" w:hAnsi="Arial" w:cs="Arial"/>
              </w:rPr>
              <w:t>plan</w:t>
            </w:r>
            <w:r w:rsidRPr="00276D5E">
              <w:rPr>
                <w:rFonts w:ascii="Arial" w:hAnsi="Arial" w:cs="Arial"/>
                <w:spacing w:val="-1"/>
              </w:rPr>
              <w:t xml:space="preserve"> </w:t>
            </w:r>
            <w:r w:rsidRPr="00276D5E">
              <w:rPr>
                <w:rFonts w:ascii="Arial" w:hAnsi="Arial" w:cs="Arial"/>
              </w:rPr>
              <w:t>(ATS</w:t>
            </w:r>
            <w:r w:rsidRPr="00276D5E">
              <w:rPr>
                <w:rFonts w:ascii="Arial" w:hAnsi="Arial" w:cs="Arial"/>
                <w:spacing w:val="-3"/>
              </w:rPr>
              <w:t xml:space="preserve"> </w:t>
            </w:r>
            <w:r w:rsidRPr="00276D5E">
              <w:rPr>
                <w:rFonts w:ascii="Arial" w:hAnsi="Arial" w:cs="Arial"/>
              </w:rPr>
              <w:t>flight</w:t>
            </w:r>
            <w:r w:rsidRPr="00276D5E">
              <w:rPr>
                <w:rFonts w:ascii="Arial" w:hAnsi="Arial" w:cs="Arial"/>
                <w:spacing w:val="-1"/>
              </w:rPr>
              <w:t xml:space="preserve"> </w:t>
            </w:r>
            <w:r w:rsidRPr="00276D5E">
              <w:rPr>
                <w:rFonts w:ascii="Arial" w:hAnsi="Arial" w:cs="Arial"/>
              </w:rPr>
              <w:t>plan)</w:t>
            </w:r>
          </w:p>
        </w:tc>
      </w:tr>
      <w:tr w:rsidR="005B06B4" w:rsidRPr="00276D5E" w14:paraId="76205E0B" w14:textId="77777777" w:rsidTr="00D44EB0">
        <w:trPr>
          <w:trHeight w:val="202"/>
        </w:trPr>
        <w:tc>
          <w:tcPr>
            <w:tcW w:w="1000" w:type="dxa"/>
          </w:tcPr>
          <w:p w14:paraId="0AA1C2B8" w14:textId="77777777" w:rsidR="005B06B4" w:rsidRPr="00276D5E" w:rsidRDefault="005B06B4" w:rsidP="009D4B90">
            <w:pPr>
              <w:pStyle w:val="TableParagraph"/>
              <w:spacing w:before="1" w:line="225" w:lineRule="exact"/>
              <w:ind w:left="86"/>
              <w:rPr>
                <w:rFonts w:ascii="Arial" w:hAnsi="Arial" w:cs="Arial"/>
              </w:rPr>
            </w:pPr>
            <w:r w:rsidRPr="00276D5E">
              <w:rPr>
                <w:rFonts w:ascii="Arial" w:hAnsi="Arial" w:cs="Arial"/>
              </w:rPr>
              <w:t>7.3.5.</w:t>
            </w:r>
          </w:p>
        </w:tc>
        <w:tc>
          <w:tcPr>
            <w:tcW w:w="8170" w:type="dxa"/>
          </w:tcPr>
          <w:p w14:paraId="7AB7BED1" w14:textId="77777777" w:rsidR="005B06B4" w:rsidRPr="00276D5E" w:rsidRDefault="005B06B4" w:rsidP="009D4B90">
            <w:pPr>
              <w:pStyle w:val="TableParagraph"/>
              <w:spacing w:before="1" w:line="225" w:lineRule="exact"/>
              <w:rPr>
                <w:rFonts w:ascii="Arial" w:hAnsi="Arial" w:cs="Arial"/>
              </w:rPr>
            </w:pPr>
            <w:r w:rsidRPr="00276D5E">
              <w:rPr>
                <w:rFonts w:ascii="Arial" w:hAnsi="Arial" w:cs="Arial"/>
              </w:rPr>
              <w:t>Flight</w:t>
            </w:r>
            <w:r w:rsidRPr="00276D5E">
              <w:rPr>
                <w:rFonts w:ascii="Arial" w:hAnsi="Arial" w:cs="Arial"/>
                <w:spacing w:val="-4"/>
              </w:rPr>
              <w:t xml:space="preserve"> </w:t>
            </w:r>
            <w:r w:rsidRPr="00276D5E">
              <w:rPr>
                <w:rFonts w:ascii="Arial" w:hAnsi="Arial" w:cs="Arial"/>
              </w:rPr>
              <w:t>monitoring</w:t>
            </w:r>
            <w:r w:rsidRPr="00276D5E">
              <w:rPr>
                <w:rFonts w:ascii="Arial" w:hAnsi="Arial" w:cs="Arial"/>
                <w:spacing w:val="-4"/>
              </w:rPr>
              <w:t xml:space="preserve"> </w:t>
            </w:r>
            <w:r w:rsidRPr="00276D5E">
              <w:rPr>
                <w:rFonts w:ascii="Arial" w:hAnsi="Arial" w:cs="Arial"/>
              </w:rPr>
              <w:t>and</w:t>
            </w:r>
            <w:r w:rsidRPr="00276D5E">
              <w:rPr>
                <w:rFonts w:ascii="Arial" w:hAnsi="Arial" w:cs="Arial"/>
                <w:spacing w:val="-3"/>
              </w:rPr>
              <w:t xml:space="preserve"> </w:t>
            </w:r>
            <w:r w:rsidRPr="00276D5E">
              <w:rPr>
                <w:rFonts w:ascii="Arial" w:hAnsi="Arial" w:cs="Arial"/>
              </w:rPr>
              <w:t>in-flight</w:t>
            </w:r>
            <w:r w:rsidRPr="00276D5E">
              <w:rPr>
                <w:rFonts w:ascii="Arial" w:hAnsi="Arial" w:cs="Arial"/>
                <w:spacing w:val="-1"/>
              </w:rPr>
              <w:t xml:space="preserve"> </w:t>
            </w:r>
            <w:r w:rsidRPr="00276D5E">
              <w:rPr>
                <w:rFonts w:ascii="Arial" w:hAnsi="Arial" w:cs="Arial"/>
              </w:rPr>
              <w:t>re-planning</w:t>
            </w:r>
          </w:p>
        </w:tc>
      </w:tr>
      <w:tr w:rsidR="005B06B4" w:rsidRPr="00276D5E" w14:paraId="79F82FE9" w14:textId="77777777" w:rsidTr="00D44EB0">
        <w:trPr>
          <w:trHeight w:val="199"/>
        </w:trPr>
        <w:tc>
          <w:tcPr>
            <w:tcW w:w="1000" w:type="dxa"/>
            <w:shd w:val="clear" w:color="auto" w:fill="F2F2F2" w:themeFill="background1" w:themeFillShade="F2"/>
          </w:tcPr>
          <w:p w14:paraId="52C4D198" w14:textId="77777777" w:rsidR="005B06B4" w:rsidRPr="00276D5E" w:rsidRDefault="005B06B4" w:rsidP="009D4B90">
            <w:pPr>
              <w:pStyle w:val="TableParagraph"/>
              <w:spacing w:line="222" w:lineRule="exact"/>
              <w:ind w:left="86"/>
              <w:rPr>
                <w:rFonts w:ascii="Arial" w:hAnsi="Arial" w:cs="Arial"/>
                <w:b/>
              </w:rPr>
            </w:pPr>
            <w:r w:rsidRPr="00276D5E">
              <w:rPr>
                <w:rFonts w:ascii="Arial" w:hAnsi="Arial" w:cs="Arial"/>
                <w:b/>
              </w:rPr>
              <w:t>8.</w:t>
            </w:r>
          </w:p>
        </w:tc>
        <w:tc>
          <w:tcPr>
            <w:tcW w:w="8170" w:type="dxa"/>
            <w:shd w:val="clear" w:color="auto" w:fill="F2F2F2" w:themeFill="background1" w:themeFillShade="F2"/>
          </w:tcPr>
          <w:p w14:paraId="63A988F6" w14:textId="77777777" w:rsidR="005B06B4" w:rsidRPr="00276D5E" w:rsidRDefault="005B06B4" w:rsidP="009D4B90">
            <w:pPr>
              <w:pStyle w:val="TableParagraph"/>
              <w:spacing w:line="222" w:lineRule="exact"/>
              <w:rPr>
                <w:rFonts w:ascii="Arial" w:hAnsi="Arial" w:cs="Arial"/>
                <w:b/>
              </w:rPr>
            </w:pPr>
            <w:r w:rsidRPr="00276D5E">
              <w:rPr>
                <w:rFonts w:ascii="Arial" w:hAnsi="Arial" w:cs="Arial"/>
                <w:b/>
              </w:rPr>
              <w:t>AIRCRAFT</w:t>
            </w:r>
            <w:r w:rsidRPr="00276D5E">
              <w:rPr>
                <w:rFonts w:ascii="Arial" w:hAnsi="Arial" w:cs="Arial"/>
                <w:b/>
                <w:spacing w:val="-5"/>
              </w:rPr>
              <w:t xml:space="preserve"> </w:t>
            </w:r>
            <w:r w:rsidRPr="00276D5E">
              <w:rPr>
                <w:rFonts w:ascii="Arial" w:hAnsi="Arial" w:cs="Arial"/>
                <w:b/>
              </w:rPr>
              <w:t>GENERAL</w:t>
            </w:r>
            <w:r w:rsidRPr="00276D5E">
              <w:rPr>
                <w:rFonts w:ascii="Arial" w:hAnsi="Arial" w:cs="Arial"/>
                <w:b/>
                <w:spacing w:val="-2"/>
              </w:rPr>
              <w:t xml:space="preserve"> </w:t>
            </w:r>
            <w:r w:rsidRPr="00276D5E">
              <w:rPr>
                <w:rFonts w:ascii="Arial" w:hAnsi="Arial" w:cs="Arial"/>
                <w:b/>
              </w:rPr>
              <w:t>KNOWLEDGE,</w:t>
            </w:r>
            <w:r w:rsidRPr="00276D5E">
              <w:rPr>
                <w:rFonts w:ascii="Arial" w:hAnsi="Arial" w:cs="Arial"/>
                <w:b/>
                <w:spacing w:val="-6"/>
              </w:rPr>
              <w:t xml:space="preserve"> </w:t>
            </w:r>
            <w:r w:rsidRPr="00276D5E">
              <w:rPr>
                <w:rFonts w:ascii="Arial" w:hAnsi="Arial" w:cs="Arial"/>
                <w:b/>
              </w:rPr>
              <w:t>ENVELOPE,</w:t>
            </w:r>
            <w:r w:rsidRPr="00276D5E">
              <w:rPr>
                <w:rFonts w:ascii="Arial" w:hAnsi="Arial" w:cs="Arial"/>
                <w:b/>
                <w:spacing w:val="-5"/>
              </w:rPr>
              <w:t xml:space="preserve"> </w:t>
            </w:r>
            <w:r w:rsidRPr="00276D5E">
              <w:rPr>
                <w:rFonts w:ascii="Arial" w:hAnsi="Arial" w:cs="Arial"/>
                <w:b/>
              </w:rPr>
              <w:t>SYSTEMS</w:t>
            </w:r>
            <w:r w:rsidRPr="00276D5E">
              <w:rPr>
                <w:rFonts w:ascii="Arial" w:hAnsi="Arial" w:cs="Arial"/>
                <w:b/>
                <w:spacing w:val="1"/>
              </w:rPr>
              <w:t xml:space="preserve"> </w:t>
            </w:r>
            <w:r w:rsidRPr="00276D5E">
              <w:rPr>
                <w:rFonts w:ascii="Arial" w:hAnsi="Arial" w:cs="Arial"/>
                <w:b/>
              </w:rPr>
              <w:t>AND</w:t>
            </w:r>
            <w:r w:rsidRPr="00276D5E">
              <w:rPr>
                <w:rFonts w:ascii="Arial" w:hAnsi="Arial" w:cs="Arial"/>
                <w:b/>
                <w:spacing w:val="-4"/>
              </w:rPr>
              <w:t xml:space="preserve"> </w:t>
            </w:r>
            <w:r w:rsidRPr="00276D5E">
              <w:rPr>
                <w:rFonts w:ascii="Arial" w:hAnsi="Arial" w:cs="Arial"/>
                <w:b/>
              </w:rPr>
              <w:t>EMERGENCY</w:t>
            </w:r>
            <w:r w:rsidRPr="00276D5E">
              <w:rPr>
                <w:rFonts w:ascii="Arial" w:hAnsi="Arial" w:cs="Arial"/>
                <w:b/>
                <w:spacing w:val="-2"/>
              </w:rPr>
              <w:t xml:space="preserve"> </w:t>
            </w:r>
            <w:r w:rsidRPr="00276D5E">
              <w:rPr>
                <w:rFonts w:ascii="Arial" w:hAnsi="Arial" w:cs="Arial"/>
                <w:b/>
              </w:rPr>
              <w:t>EQUIPMENT</w:t>
            </w:r>
          </w:p>
        </w:tc>
      </w:tr>
      <w:tr w:rsidR="005B06B4" w:rsidRPr="00276D5E" w14:paraId="2492FCBA" w14:textId="77777777" w:rsidTr="00D44EB0">
        <w:trPr>
          <w:trHeight w:val="202"/>
        </w:trPr>
        <w:tc>
          <w:tcPr>
            <w:tcW w:w="1000" w:type="dxa"/>
          </w:tcPr>
          <w:p w14:paraId="41530916" w14:textId="77777777" w:rsidR="005B06B4" w:rsidRPr="00276D5E" w:rsidRDefault="005B06B4" w:rsidP="009D4B90">
            <w:pPr>
              <w:pStyle w:val="TableParagraph"/>
              <w:spacing w:line="225" w:lineRule="exact"/>
              <w:ind w:left="86"/>
              <w:rPr>
                <w:rFonts w:ascii="Arial" w:hAnsi="Arial" w:cs="Arial"/>
              </w:rPr>
            </w:pPr>
            <w:r w:rsidRPr="00276D5E">
              <w:rPr>
                <w:rFonts w:ascii="Arial" w:hAnsi="Arial" w:cs="Arial"/>
              </w:rPr>
              <w:t>8.1.</w:t>
            </w:r>
          </w:p>
        </w:tc>
        <w:tc>
          <w:tcPr>
            <w:tcW w:w="8170" w:type="dxa"/>
          </w:tcPr>
          <w:p w14:paraId="29906C2E" w14:textId="77777777" w:rsidR="005B06B4" w:rsidRPr="00276D5E" w:rsidRDefault="005B06B4" w:rsidP="009D4B90">
            <w:pPr>
              <w:pStyle w:val="TableParagraph"/>
              <w:spacing w:line="225" w:lineRule="exact"/>
              <w:rPr>
                <w:rFonts w:ascii="Arial" w:hAnsi="Arial" w:cs="Arial"/>
              </w:rPr>
            </w:pPr>
            <w:r w:rsidRPr="00276D5E">
              <w:rPr>
                <w:rFonts w:ascii="Arial" w:hAnsi="Arial" w:cs="Arial"/>
              </w:rPr>
              <w:t>System</w:t>
            </w:r>
            <w:r w:rsidRPr="00276D5E">
              <w:rPr>
                <w:rFonts w:ascii="Arial" w:hAnsi="Arial" w:cs="Arial"/>
                <w:spacing w:val="-4"/>
              </w:rPr>
              <w:t xml:space="preserve"> </w:t>
            </w:r>
            <w:r w:rsidRPr="00276D5E">
              <w:rPr>
                <w:rFonts w:ascii="Arial" w:hAnsi="Arial" w:cs="Arial"/>
              </w:rPr>
              <w:t>design,</w:t>
            </w:r>
            <w:r w:rsidRPr="00276D5E">
              <w:rPr>
                <w:rFonts w:ascii="Arial" w:hAnsi="Arial" w:cs="Arial"/>
                <w:spacing w:val="-3"/>
              </w:rPr>
              <w:t xml:space="preserve"> </w:t>
            </w:r>
            <w:r w:rsidRPr="00276D5E">
              <w:rPr>
                <w:rFonts w:ascii="Arial" w:hAnsi="Arial" w:cs="Arial"/>
              </w:rPr>
              <w:t>loads,</w:t>
            </w:r>
            <w:r w:rsidRPr="00276D5E">
              <w:rPr>
                <w:rFonts w:ascii="Arial" w:hAnsi="Arial" w:cs="Arial"/>
                <w:spacing w:val="-3"/>
              </w:rPr>
              <w:t xml:space="preserve"> </w:t>
            </w:r>
            <w:r w:rsidRPr="00276D5E">
              <w:rPr>
                <w:rFonts w:ascii="Arial" w:hAnsi="Arial" w:cs="Arial"/>
              </w:rPr>
              <w:t>stresses</w:t>
            </w:r>
            <w:r w:rsidRPr="00276D5E">
              <w:rPr>
                <w:rFonts w:ascii="Arial" w:hAnsi="Arial" w:cs="Arial"/>
                <w:spacing w:val="-3"/>
              </w:rPr>
              <w:t xml:space="preserve"> </w:t>
            </w:r>
            <w:r w:rsidRPr="00276D5E">
              <w:rPr>
                <w:rFonts w:ascii="Arial" w:hAnsi="Arial" w:cs="Arial"/>
              </w:rPr>
              <w:t>and</w:t>
            </w:r>
            <w:r w:rsidRPr="00276D5E">
              <w:rPr>
                <w:rFonts w:ascii="Arial" w:hAnsi="Arial" w:cs="Arial"/>
                <w:spacing w:val="-3"/>
              </w:rPr>
              <w:t xml:space="preserve"> </w:t>
            </w:r>
            <w:r w:rsidRPr="00276D5E">
              <w:rPr>
                <w:rFonts w:ascii="Arial" w:hAnsi="Arial" w:cs="Arial"/>
              </w:rPr>
              <w:t>maintenance</w:t>
            </w:r>
          </w:p>
        </w:tc>
      </w:tr>
      <w:tr w:rsidR="005B06B4" w:rsidRPr="00276D5E" w14:paraId="5EA65E3C" w14:textId="77777777" w:rsidTr="00D44EB0">
        <w:trPr>
          <w:trHeight w:val="200"/>
        </w:trPr>
        <w:tc>
          <w:tcPr>
            <w:tcW w:w="1000" w:type="dxa"/>
          </w:tcPr>
          <w:p w14:paraId="35F62125" w14:textId="77777777" w:rsidR="005B06B4" w:rsidRPr="00276D5E" w:rsidRDefault="005B06B4" w:rsidP="009D4B90">
            <w:pPr>
              <w:pStyle w:val="TableParagraph"/>
              <w:spacing w:line="222" w:lineRule="exact"/>
              <w:ind w:left="86"/>
              <w:rPr>
                <w:rFonts w:ascii="Arial" w:hAnsi="Arial" w:cs="Arial"/>
              </w:rPr>
            </w:pPr>
            <w:r w:rsidRPr="00276D5E">
              <w:rPr>
                <w:rFonts w:ascii="Arial" w:hAnsi="Arial" w:cs="Arial"/>
              </w:rPr>
              <w:t>8.2.</w:t>
            </w:r>
          </w:p>
        </w:tc>
        <w:tc>
          <w:tcPr>
            <w:tcW w:w="8170" w:type="dxa"/>
          </w:tcPr>
          <w:p w14:paraId="3E625D69" w14:textId="77777777" w:rsidR="005B06B4" w:rsidRPr="00276D5E" w:rsidRDefault="005B06B4" w:rsidP="009D4B90">
            <w:pPr>
              <w:pStyle w:val="TableParagraph"/>
              <w:spacing w:line="222" w:lineRule="exact"/>
              <w:rPr>
                <w:rFonts w:ascii="Arial" w:hAnsi="Arial" w:cs="Arial"/>
              </w:rPr>
            </w:pPr>
            <w:r w:rsidRPr="00276D5E">
              <w:rPr>
                <w:rFonts w:ascii="Arial" w:hAnsi="Arial" w:cs="Arial"/>
              </w:rPr>
              <w:t>Envelope</w:t>
            </w:r>
          </w:p>
        </w:tc>
      </w:tr>
      <w:tr w:rsidR="005B06B4" w:rsidRPr="00276D5E" w14:paraId="225AD47F" w14:textId="77777777" w:rsidTr="00D44EB0">
        <w:trPr>
          <w:trHeight w:val="202"/>
        </w:trPr>
        <w:tc>
          <w:tcPr>
            <w:tcW w:w="1000" w:type="dxa"/>
          </w:tcPr>
          <w:p w14:paraId="2F79FC83" w14:textId="77777777" w:rsidR="005B06B4" w:rsidRPr="00276D5E" w:rsidRDefault="005B06B4" w:rsidP="009D4B90">
            <w:pPr>
              <w:pStyle w:val="TableParagraph"/>
              <w:spacing w:line="225" w:lineRule="exact"/>
              <w:ind w:left="86"/>
              <w:rPr>
                <w:rFonts w:ascii="Arial" w:hAnsi="Arial" w:cs="Arial"/>
              </w:rPr>
            </w:pPr>
            <w:r w:rsidRPr="00276D5E">
              <w:rPr>
                <w:rFonts w:ascii="Arial" w:hAnsi="Arial" w:cs="Arial"/>
              </w:rPr>
              <w:t>8.3.1.</w:t>
            </w:r>
          </w:p>
        </w:tc>
        <w:tc>
          <w:tcPr>
            <w:tcW w:w="8170" w:type="dxa"/>
          </w:tcPr>
          <w:p w14:paraId="75D909D3" w14:textId="77777777" w:rsidR="005B06B4" w:rsidRPr="00276D5E" w:rsidRDefault="005B06B4" w:rsidP="009D4B90">
            <w:pPr>
              <w:pStyle w:val="TableParagraph"/>
              <w:spacing w:line="225" w:lineRule="exact"/>
              <w:rPr>
                <w:rFonts w:ascii="Arial" w:hAnsi="Arial" w:cs="Arial"/>
              </w:rPr>
            </w:pPr>
            <w:r w:rsidRPr="00276D5E">
              <w:rPr>
                <w:rFonts w:ascii="Arial" w:hAnsi="Arial" w:cs="Arial"/>
              </w:rPr>
              <w:t>Burner</w:t>
            </w:r>
            <w:r w:rsidRPr="00276D5E">
              <w:rPr>
                <w:rFonts w:ascii="Arial" w:hAnsi="Arial" w:cs="Arial"/>
                <w:spacing w:val="-3"/>
              </w:rPr>
              <w:t xml:space="preserve"> </w:t>
            </w:r>
            <w:r w:rsidRPr="00276D5E">
              <w:rPr>
                <w:rFonts w:ascii="Arial" w:hAnsi="Arial" w:cs="Arial"/>
              </w:rPr>
              <w:t>(extension</w:t>
            </w:r>
            <w:r w:rsidRPr="00276D5E">
              <w:rPr>
                <w:rFonts w:ascii="Arial" w:hAnsi="Arial" w:cs="Arial"/>
                <w:spacing w:val="-1"/>
              </w:rPr>
              <w:t xml:space="preserve"> </w:t>
            </w:r>
            <w:r w:rsidRPr="00276D5E">
              <w:rPr>
                <w:rFonts w:ascii="Arial" w:hAnsi="Arial" w:cs="Arial"/>
              </w:rPr>
              <w:t>to</w:t>
            </w:r>
            <w:r w:rsidRPr="00276D5E">
              <w:rPr>
                <w:rFonts w:ascii="Arial" w:hAnsi="Arial" w:cs="Arial"/>
                <w:spacing w:val="-2"/>
              </w:rPr>
              <w:t xml:space="preserve"> </w:t>
            </w:r>
            <w:r w:rsidRPr="00276D5E">
              <w:rPr>
                <w:rFonts w:ascii="Arial" w:hAnsi="Arial" w:cs="Arial"/>
              </w:rPr>
              <w:t>hot-air</w:t>
            </w:r>
            <w:r w:rsidRPr="00276D5E">
              <w:rPr>
                <w:rFonts w:ascii="Arial" w:hAnsi="Arial" w:cs="Arial"/>
                <w:spacing w:val="-2"/>
              </w:rPr>
              <w:t xml:space="preserve"> </w:t>
            </w:r>
            <w:r w:rsidRPr="00276D5E">
              <w:rPr>
                <w:rFonts w:ascii="Arial" w:hAnsi="Arial" w:cs="Arial"/>
              </w:rPr>
              <w:t>balloons</w:t>
            </w:r>
            <w:r w:rsidRPr="00276D5E">
              <w:rPr>
                <w:rFonts w:ascii="Arial" w:hAnsi="Arial" w:cs="Arial"/>
                <w:spacing w:val="-4"/>
              </w:rPr>
              <w:t xml:space="preserve"> </w:t>
            </w:r>
            <w:r w:rsidRPr="00276D5E">
              <w:rPr>
                <w:rFonts w:ascii="Arial" w:hAnsi="Arial" w:cs="Arial"/>
              </w:rPr>
              <w:t>or</w:t>
            </w:r>
            <w:r w:rsidRPr="00276D5E">
              <w:rPr>
                <w:rFonts w:ascii="Arial" w:hAnsi="Arial" w:cs="Arial"/>
                <w:spacing w:val="-2"/>
              </w:rPr>
              <w:t xml:space="preserve"> </w:t>
            </w:r>
            <w:r w:rsidRPr="00276D5E">
              <w:rPr>
                <w:rFonts w:ascii="Arial" w:hAnsi="Arial" w:cs="Arial"/>
              </w:rPr>
              <w:t>hot-air</w:t>
            </w:r>
            <w:r w:rsidRPr="00276D5E">
              <w:rPr>
                <w:rFonts w:ascii="Arial" w:hAnsi="Arial" w:cs="Arial"/>
                <w:spacing w:val="-2"/>
              </w:rPr>
              <w:t xml:space="preserve"> </w:t>
            </w:r>
            <w:r w:rsidRPr="00276D5E">
              <w:rPr>
                <w:rFonts w:ascii="Arial" w:hAnsi="Arial" w:cs="Arial"/>
              </w:rPr>
              <w:t>airships</w:t>
            </w:r>
            <w:r w:rsidRPr="00276D5E">
              <w:rPr>
                <w:rFonts w:ascii="Arial" w:hAnsi="Arial" w:cs="Arial"/>
                <w:spacing w:val="-4"/>
              </w:rPr>
              <w:t xml:space="preserve"> </w:t>
            </w:r>
            <w:r w:rsidRPr="00276D5E">
              <w:rPr>
                <w:rFonts w:ascii="Arial" w:hAnsi="Arial" w:cs="Arial"/>
              </w:rPr>
              <w:t>only)</w:t>
            </w:r>
          </w:p>
        </w:tc>
      </w:tr>
      <w:tr w:rsidR="005B06B4" w:rsidRPr="00276D5E" w14:paraId="4DE86117" w14:textId="77777777" w:rsidTr="00D44EB0">
        <w:trPr>
          <w:trHeight w:val="200"/>
        </w:trPr>
        <w:tc>
          <w:tcPr>
            <w:tcW w:w="1000" w:type="dxa"/>
          </w:tcPr>
          <w:p w14:paraId="1196D4E5" w14:textId="77777777" w:rsidR="005B06B4" w:rsidRPr="00276D5E" w:rsidRDefault="005B06B4" w:rsidP="009D4B90">
            <w:pPr>
              <w:pStyle w:val="TableParagraph"/>
              <w:spacing w:line="224" w:lineRule="exact"/>
              <w:ind w:left="86"/>
              <w:rPr>
                <w:rFonts w:ascii="Arial" w:hAnsi="Arial" w:cs="Arial"/>
              </w:rPr>
            </w:pPr>
            <w:r w:rsidRPr="00276D5E">
              <w:rPr>
                <w:rFonts w:ascii="Arial" w:hAnsi="Arial" w:cs="Arial"/>
              </w:rPr>
              <w:t>8.3.2.</w:t>
            </w:r>
          </w:p>
        </w:tc>
        <w:tc>
          <w:tcPr>
            <w:tcW w:w="8170" w:type="dxa"/>
          </w:tcPr>
          <w:p w14:paraId="627216FA" w14:textId="77777777" w:rsidR="005B06B4" w:rsidRPr="00276D5E" w:rsidRDefault="005B06B4" w:rsidP="009D4B90">
            <w:pPr>
              <w:pStyle w:val="TableParagraph"/>
              <w:spacing w:line="224" w:lineRule="exact"/>
              <w:rPr>
                <w:rFonts w:ascii="Arial" w:hAnsi="Arial" w:cs="Arial"/>
              </w:rPr>
            </w:pPr>
            <w:r w:rsidRPr="00276D5E">
              <w:rPr>
                <w:rFonts w:ascii="Arial" w:hAnsi="Arial" w:cs="Arial"/>
              </w:rPr>
              <w:t>Basket</w:t>
            </w:r>
            <w:r w:rsidRPr="00276D5E">
              <w:rPr>
                <w:rFonts w:ascii="Arial" w:hAnsi="Arial" w:cs="Arial"/>
                <w:spacing w:val="-2"/>
              </w:rPr>
              <w:t xml:space="preserve"> </w:t>
            </w:r>
            <w:r w:rsidRPr="00276D5E">
              <w:rPr>
                <w:rFonts w:ascii="Arial" w:hAnsi="Arial" w:cs="Arial"/>
              </w:rPr>
              <w:t>(extension</w:t>
            </w:r>
            <w:r w:rsidRPr="00276D5E">
              <w:rPr>
                <w:rFonts w:ascii="Arial" w:hAnsi="Arial" w:cs="Arial"/>
                <w:spacing w:val="-1"/>
              </w:rPr>
              <w:t xml:space="preserve"> </w:t>
            </w:r>
            <w:r w:rsidRPr="00276D5E">
              <w:rPr>
                <w:rFonts w:ascii="Arial" w:hAnsi="Arial" w:cs="Arial"/>
              </w:rPr>
              <w:t>to</w:t>
            </w:r>
            <w:r w:rsidRPr="00276D5E">
              <w:rPr>
                <w:rFonts w:ascii="Arial" w:hAnsi="Arial" w:cs="Arial"/>
                <w:spacing w:val="-2"/>
              </w:rPr>
              <w:t xml:space="preserve"> </w:t>
            </w:r>
            <w:r w:rsidRPr="00276D5E">
              <w:rPr>
                <w:rFonts w:ascii="Arial" w:hAnsi="Arial" w:cs="Arial"/>
              </w:rPr>
              <w:t>hot-air</w:t>
            </w:r>
            <w:r w:rsidRPr="00276D5E">
              <w:rPr>
                <w:rFonts w:ascii="Arial" w:hAnsi="Arial" w:cs="Arial"/>
                <w:spacing w:val="-2"/>
              </w:rPr>
              <w:t xml:space="preserve"> </w:t>
            </w:r>
            <w:r w:rsidRPr="00276D5E">
              <w:rPr>
                <w:rFonts w:ascii="Arial" w:hAnsi="Arial" w:cs="Arial"/>
              </w:rPr>
              <w:t>balloons</w:t>
            </w:r>
            <w:r w:rsidRPr="00276D5E">
              <w:rPr>
                <w:rFonts w:ascii="Arial" w:hAnsi="Arial" w:cs="Arial"/>
                <w:spacing w:val="-3"/>
              </w:rPr>
              <w:t xml:space="preserve"> </w:t>
            </w:r>
            <w:r w:rsidRPr="00276D5E">
              <w:rPr>
                <w:rFonts w:ascii="Arial" w:hAnsi="Arial" w:cs="Arial"/>
              </w:rPr>
              <w:t>or</w:t>
            </w:r>
            <w:r w:rsidRPr="00276D5E">
              <w:rPr>
                <w:rFonts w:ascii="Arial" w:hAnsi="Arial" w:cs="Arial"/>
                <w:spacing w:val="-2"/>
              </w:rPr>
              <w:t xml:space="preserve"> </w:t>
            </w:r>
            <w:r w:rsidRPr="00276D5E">
              <w:rPr>
                <w:rFonts w:ascii="Arial" w:hAnsi="Arial" w:cs="Arial"/>
              </w:rPr>
              <w:t>gas</w:t>
            </w:r>
            <w:r w:rsidRPr="00276D5E">
              <w:rPr>
                <w:rFonts w:ascii="Arial" w:hAnsi="Arial" w:cs="Arial"/>
                <w:spacing w:val="-3"/>
              </w:rPr>
              <w:t xml:space="preserve"> </w:t>
            </w:r>
            <w:r w:rsidRPr="00276D5E">
              <w:rPr>
                <w:rFonts w:ascii="Arial" w:hAnsi="Arial" w:cs="Arial"/>
              </w:rPr>
              <w:t>balloons</w:t>
            </w:r>
            <w:r w:rsidRPr="00276D5E">
              <w:rPr>
                <w:rFonts w:ascii="Arial" w:hAnsi="Arial" w:cs="Arial"/>
                <w:spacing w:val="-3"/>
              </w:rPr>
              <w:t xml:space="preserve"> </w:t>
            </w:r>
            <w:r w:rsidRPr="00276D5E">
              <w:rPr>
                <w:rFonts w:ascii="Arial" w:hAnsi="Arial" w:cs="Arial"/>
              </w:rPr>
              <w:t>only)</w:t>
            </w:r>
          </w:p>
        </w:tc>
      </w:tr>
      <w:tr w:rsidR="005B06B4" w:rsidRPr="00276D5E" w14:paraId="45CADEC8" w14:textId="77777777" w:rsidTr="00D44EB0">
        <w:trPr>
          <w:trHeight w:val="200"/>
        </w:trPr>
        <w:tc>
          <w:tcPr>
            <w:tcW w:w="1000" w:type="dxa"/>
          </w:tcPr>
          <w:p w14:paraId="66E19B40" w14:textId="77777777" w:rsidR="005B06B4" w:rsidRPr="00276D5E" w:rsidRDefault="005B06B4" w:rsidP="005B06B4">
            <w:pPr>
              <w:pStyle w:val="TableParagraph"/>
              <w:spacing w:line="224" w:lineRule="exact"/>
              <w:ind w:left="86"/>
              <w:rPr>
                <w:rFonts w:ascii="Arial" w:hAnsi="Arial" w:cs="Arial"/>
              </w:rPr>
            </w:pPr>
            <w:r w:rsidRPr="00276D5E">
              <w:rPr>
                <w:rFonts w:ascii="Arial" w:hAnsi="Arial" w:cs="Arial"/>
              </w:rPr>
              <w:t>8.3.3.</w:t>
            </w:r>
          </w:p>
        </w:tc>
        <w:tc>
          <w:tcPr>
            <w:tcW w:w="8170" w:type="dxa"/>
          </w:tcPr>
          <w:p w14:paraId="780DD5AA" w14:textId="77777777" w:rsidR="005B06B4" w:rsidRPr="00276D5E" w:rsidRDefault="005B06B4" w:rsidP="005B06B4">
            <w:pPr>
              <w:pStyle w:val="TableParagraph"/>
              <w:spacing w:line="224" w:lineRule="exact"/>
              <w:rPr>
                <w:rFonts w:ascii="Arial" w:hAnsi="Arial" w:cs="Arial"/>
              </w:rPr>
            </w:pPr>
            <w:r w:rsidRPr="00276D5E">
              <w:rPr>
                <w:rFonts w:ascii="Arial" w:hAnsi="Arial" w:cs="Arial"/>
              </w:rPr>
              <w:t>Gondola</w:t>
            </w:r>
            <w:r w:rsidRPr="005B06B4">
              <w:rPr>
                <w:rFonts w:ascii="Arial" w:hAnsi="Arial" w:cs="Arial"/>
              </w:rPr>
              <w:t xml:space="preserve"> </w:t>
            </w:r>
            <w:r w:rsidRPr="00276D5E">
              <w:rPr>
                <w:rFonts w:ascii="Arial" w:hAnsi="Arial" w:cs="Arial"/>
              </w:rPr>
              <w:t>(extensions</w:t>
            </w:r>
            <w:r w:rsidRPr="005B06B4">
              <w:rPr>
                <w:rFonts w:ascii="Arial" w:hAnsi="Arial" w:cs="Arial"/>
              </w:rPr>
              <w:t xml:space="preserve"> </w:t>
            </w:r>
            <w:r w:rsidRPr="00276D5E">
              <w:rPr>
                <w:rFonts w:ascii="Arial" w:hAnsi="Arial" w:cs="Arial"/>
              </w:rPr>
              <w:t>to</w:t>
            </w:r>
            <w:r w:rsidRPr="005B06B4">
              <w:rPr>
                <w:rFonts w:ascii="Arial" w:hAnsi="Arial" w:cs="Arial"/>
              </w:rPr>
              <w:t xml:space="preserve"> </w:t>
            </w:r>
            <w:r w:rsidRPr="00276D5E">
              <w:rPr>
                <w:rFonts w:ascii="Arial" w:hAnsi="Arial" w:cs="Arial"/>
              </w:rPr>
              <w:t>hot-air</w:t>
            </w:r>
            <w:r w:rsidRPr="005B06B4">
              <w:rPr>
                <w:rFonts w:ascii="Arial" w:hAnsi="Arial" w:cs="Arial"/>
              </w:rPr>
              <w:t xml:space="preserve"> </w:t>
            </w:r>
            <w:r w:rsidRPr="00276D5E">
              <w:rPr>
                <w:rFonts w:ascii="Arial" w:hAnsi="Arial" w:cs="Arial"/>
              </w:rPr>
              <w:t>airships</w:t>
            </w:r>
            <w:r w:rsidRPr="005B06B4">
              <w:rPr>
                <w:rFonts w:ascii="Arial" w:hAnsi="Arial" w:cs="Arial"/>
              </w:rPr>
              <w:t xml:space="preserve"> </w:t>
            </w:r>
            <w:r w:rsidRPr="00276D5E">
              <w:rPr>
                <w:rFonts w:ascii="Arial" w:hAnsi="Arial" w:cs="Arial"/>
              </w:rPr>
              <w:t>only)</w:t>
            </w:r>
          </w:p>
        </w:tc>
      </w:tr>
      <w:tr w:rsidR="005B06B4" w:rsidRPr="00276D5E" w14:paraId="33B68087" w14:textId="77777777" w:rsidTr="00D44EB0">
        <w:trPr>
          <w:trHeight w:val="200"/>
        </w:trPr>
        <w:tc>
          <w:tcPr>
            <w:tcW w:w="1000" w:type="dxa"/>
          </w:tcPr>
          <w:p w14:paraId="12D17A99" w14:textId="77777777" w:rsidR="005B06B4" w:rsidRPr="00276D5E" w:rsidRDefault="005B06B4" w:rsidP="005B06B4">
            <w:pPr>
              <w:pStyle w:val="TableParagraph"/>
              <w:spacing w:line="224" w:lineRule="exact"/>
              <w:ind w:left="86"/>
              <w:rPr>
                <w:rFonts w:ascii="Arial" w:hAnsi="Arial" w:cs="Arial"/>
              </w:rPr>
            </w:pPr>
            <w:r w:rsidRPr="00276D5E">
              <w:rPr>
                <w:rFonts w:ascii="Arial" w:hAnsi="Arial" w:cs="Arial"/>
              </w:rPr>
              <w:t>8.4.1</w:t>
            </w:r>
          </w:p>
        </w:tc>
        <w:tc>
          <w:tcPr>
            <w:tcW w:w="8170" w:type="dxa"/>
          </w:tcPr>
          <w:p w14:paraId="0958EE31" w14:textId="77777777" w:rsidR="005B06B4" w:rsidRPr="00276D5E" w:rsidRDefault="005B06B4" w:rsidP="005B06B4">
            <w:pPr>
              <w:pStyle w:val="TableParagraph"/>
              <w:spacing w:line="224" w:lineRule="exact"/>
              <w:rPr>
                <w:rFonts w:ascii="Arial" w:hAnsi="Arial" w:cs="Arial"/>
              </w:rPr>
            </w:pPr>
            <w:r w:rsidRPr="00276D5E">
              <w:rPr>
                <w:rFonts w:ascii="Arial" w:hAnsi="Arial" w:cs="Arial"/>
              </w:rPr>
              <w:t>Fuel</w:t>
            </w:r>
            <w:r w:rsidRPr="005B06B4">
              <w:rPr>
                <w:rFonts w:ascii="Arial" w:hAnsi="Arial" w:cs="Arial"/>
              </w:rPr>
              <w:t xml:space="preserve"> </w:t>
            </w:r>
            <w:r w:rsidRPr="00276D5E">
              <w:rPr>
                <w:rFonts w:ascii="Arial" w:hAnsi="Arial" w:cs="Arial"/>
              </w:rPr>
              <w:t>cylinders</w:t>
            </w:r>
            <w:r w:rsidRPr="005B06B4">
              <w:rPr>
                <w:rFonts w:ascii="Arial" w:hAnsi="Arial" w:cs="Arial"/>
              </w:rPr>
              <w:t xml:space="preserve"> </w:t>
            </w:r>
            <w:r w:rsidRPr="00276D5E">
              <w:rPr>
                <w:rFonts w:ascii="Arial" w:hAnsi="Arial" w:cs="Arial"/>
              </w:rPr>
              <w:t>(extension</w:t>
            </w:r>
            <w:r w:rsidRPr="005B06B4">
              <w:rPr>
                <w:rFonts w:ascii="Arial" w:hAnsi="Arial" w:cs="Arial"/>
              </w:rPr>
              <w:t xml:space="preserve"> </w:t>
            </w:r>
            <w:r w:rsidRPr="00276D5E">
              <w:rPr>
                <w:rFonts w:ascii="Arial" w:hAnsi="Arial" w:cs="Arial"/>
              </w:rPr>
              <w:t>to</w:t>
            </w:r>
            <w:r w:rsidRPr="005B06B4">
              <w:rPr>
                <w:rFonts w:ascii="Arial" w:hAnsi="Arial" w:cs="Arial"/>
              </w:rPr>
              <w:t xml:space="preserve"> </w:t>
            </w:r>
            <w:r w:rsidRPr="00276D5E">
              <w:rPr>
                <w:rFonts w:ascii="Arial" w:hAnsi="Arial" w:cs="Arial"/>
              </w:rPr>
              <w:t>hot-air</w:t>
            </w:r>
            <w:r w:rsidRPr="005B06B4">
              <w:rPr>
                <w:rFonts w:ascii="Arial" w:hAnsi="Arial" w:cs="Arial"/>
              </w:rPr>
              <w:t xml:space="preserve"> </w:t>
            </w:r>
            <w:r w:rsidRPr="00276D5E">
              <w:rPr>
                <w:rFonts w:ascii="Arial" w:hAnsi="Arial" w:cs="Arial"/>
              </w:rPr>
              <w:t>balloons</w:t>
            </w:r>
            <w:r w:rsidRPr="005B06B4">
              <w:rPr>
                <w:rFonts w:ascii="Arial" w:hAnsi="Arial" w:cs="Arial"/>
              </w:rPr>
              <w:t xml:space="preserve"> </w:t>
            </w:r>
            <w:r w:rsidRPr="00276D5E">
              <w:rPr>
                <w:rFonts w:ascii="Arial" w:hAnsi="Arial" w:cs="Arial"/>
              </w:rPr>
              <w:t>or</w:t>
            </w:r>
            <w:r w:rsidRPr="005B06B4">
              <w:rPr>
                <w:rFonts w:ascii="Arial" w:hAnsi="Arial" w:cs="Arial"/>
              </w:rPr>
              <w:t xml:space="preserve"> </w:t>
            </w:r>
            <w:r w:rsidRPr="00276D5E">
              <w:rPr>
                <w:rFonts w:ascii="Arial" w:hAnsi="Arial" w:cs="Arial"/>
              </w:rPr>
              <w:t>hot-air</w:t>
            </w:r>
            <w:r w:rsidRPr="005B06B4">
              <w:rPr>
                <w:rFonts w:ascii="Arial" w:hAnsi="Arial" w:cs="Arial"/>
              </w:rPr>
              <w:t xml:space="preserve"> </w:t>
            </w:r>
            <w:r w:rsidRPr="00276D5E">
              <w:rPr>
                <w:rFonts w:ascii="Arial" w:hAnsi="Arial" w:cs="Arial"/>
              </w:rPr>
              <w:t>airships</w:t>
            </w:r>
            <w:r w:rsidRPr="005B06B4">
              <w:rPr>
                <w:rFonts w:ascii="Arial" w:hAnsi="Arial" w:cs="Arial"/>
              </w:rPr>
              <w:t xml:space="preserve"> </w:t>
            </w:r>
            <w:r w:rsidRPr="00276D5E">
              <w:rPr>
                <w:rFonts w:ascii="Arial" w:hAnsi="Arial" w:cs="Arial"/>
              </w:rPr>
              <w:t>only)</w:t>
            </w:r>
          </w:p>
        </w:tc>
      </w:tr>
      <w:tr w:rsidR="005B06B4" w:rsidRPr="00276D5E" w14:paraId="2E471809" w14:textId="77777777" w:rsidTr="00D44EB0">
        <w:trPr>
          <w:trHeight w:val="200"/>
        </w:trPr>
        <w:tc>
          <w:tcPr>
            <w:tcW w:w="1000" w:type="dxa"/>
          </w:tcPr>
          <w:p w14:paraId="7B6D93C1" w14:textId="77777777" w:rsidR="005B06B4" w:rsidRPr="00276D5E" w:rsidRDefault="005B06B4" w:rsidP="005B06B4">
            <w:pPr>
              <w:pStyle w:val="TableParagraph"/>
              <w:spacing w:line="224" w:lineRule="exact"/>
              <w:ind w:left="86"/>
              <w:rPr>
                <w:rFonts w:ascii="Arial" w:hAnsi="Arial" w:cs="Arial"/>
              </w:rPr>
            </w:pPr>
            <w:r w:rsidRPr="00276D5E">
              <w:rPr>
                <w:rFonts w:ascii="Arial" w:hAnsi="Arial" w:cs="Arial"/>
              </w:rPr>
              <w:t>8.4.2.</w:t>
            </w:r>
          </w:p>
        </w:tc>
        <w:tc>
          <w:tcPr>
            <w:tcW w:w="8170" w:type="dxa"/>
          </w:tcPr>
          <w:p w14:paraId="35CA55B7" w14:textId="77777777" w:rsidR="005B06B4" w:rsidRPr="00276D5E" w:rsidRDefault="005B06B4" w:rsidP="005B06B4">
            <w:pPr>
              <w:pStyle w:val="TableParagraph"/>
              <w:spacing w:line="224" w:lineRule="exact"/>
              <w:rPr>
                <w:rFonts w:ascii="Arial" w:hAnsi="Arial" w:cs="Arial"/>
              </w:rPr>
            </w:pPr>
            <w:r w:rsidRPr="00276D5E">
              <w:rPr>
                <w:rFonts w:ascii="Arial" w:hAnsi="Arial" w:cs="Arial"/>
              </w:rPr>
              <w:t>Lifting</w:t>
            </w:r>
            <w:r w:rsidRPr="005B06B4">
              <w:rPr>
                <w:rFonts w:ascii="Arial" w:hAnsi="Arial" w:cs="Arial"/>
              </w:rPr>
              <w:t xml:space="preserve"> </w:t>
            </w:r>
            <w:r w:rsidRPr="00276D5E">
              <w:rPr>
                <w:rFonts w:ascii="Arial" w:hAnsi="Arial" w:cs="Arial"/>
              </w:rPr>
              <w:t>gas</w:t>
            </w:r>
            <w:r w:rsidRPr="005B06B4">
              <w:rPr>
                <w:rFonts w:ascii="Arial" w:hAnsi="Arial" w:cs="Arial"/>
              </w:rPr>
              <w:t xml:space="preserve"> </w:t>
            </w:r>
            <w:r w:rsidRPr="00276D5E">
              <w:rPr>
                <w:rFonts w:ascii="Arial" w:hAnsi="Arial" w:cs="Arial"/>
              </w:rPr>
              <w:t>(extension</w:t>
            </w:r>
            <w:r w:rsidRPr="005B06B4">
              <w:rPr>
                <w:rFonts w:ascii="Arial" w:hAnsi="Arial" w:cs="Arial"/>
              </w:rPr>
              <w:t xml:space="preserve"> </w:t>
            </w:r>
            <w:r w:rsidRPr="00276D5E">
              <w:rPr>
                <w:rFonts w:ascii="Arial" w:hAnsi="Arial" w:cs="Arial"/>
              </w:rPr>
              <w:t>to</w:t>
            </w:r>
            <w:r w:rsidRPr="005B06B4">
              <w:rPr>
                <w:rFonts w:ascii="Arial" w:hAnsi="Arial" w:cs="Arial"/>
              </w:rPr>
              <w:t xml:space="preserve"> </w:t>
            </w:r>
            <w:r w:rsidRPr="00276D5E">
              <w:rPr>
                <w:rFonts w:ascii="Arial" w:hAnsi="Arial" w:cs="Arial"/>
              </w:rPr>
              <w:t>gas</w:t>
            </w:r>
            <w:r w:rsidRPr="005B06B4">
              <w:rPr>
                <w:rFonts w:ascii="Arial" w:hAnsi="Arial" w:cs="Arial"/>
              </w:rPr>
              <w:t xml:space="preserve"> </w:t>
            </w:r>
            <w:r w:rsidRPr="00276D5E">
              <w:rPr>
                <w:rFonts w:ascii="Arial" w:hAnsi="Arial" w:cs="Arial"/>
              </w:rPr>
              <w:t>balloons</w:t>
            </w:r>
            <w:r w:rsidRPr="005B06B4">
              <w:rPr>
                <w:rFonts w:ascii="Arial" w:hAnsi="Arial" w:cs="Arial"/>
              </w:rPr>
              <w:t xml:space="preserve"> </w:t>
            </w:r>
            <w:r w:rsidRPr="00276D5E">
              <w:rPr>
                <w:rFonts w:ascii="Arial" w:hAnsi="Arial" w:cs="Arial"/>
              </w:rPr>
              <w:t>only)</w:t>
            </w:r>
          </w:p>
        </w:tc>
      </w:tr>
      <w:tr w:rsidR="005B06B4" w:rsidRPr="00276D5E" w14:paraId="740F26E9" w14:textId="77777777" w:rsidTr="00D44EB0">
        <w:trPr>
          <w:trHeight w:val="200"/>
        </w:trPr>
        <w:tc>
          <w:tcPr>
            <w:tcW w:w="1000" w:type="dxa"/>
          </w:tcPr>
          <w:p w14:paraId="7871E0D7" w14:textId="77777777" w:rsidR="005B06B4" w:rsidRPr="00276D5E" w:rsidRDefault="005B06B4" w:rsidP="005B06B4">
            <w:pPr>
              <w:pStyle w:val="TableParagraph"/>
              <w:spacing w:line="224" w:lineRule="exact"/>
              <w:ind w:left="86"/>
              <w:rPr>
                <w:rFonts w:ascii="Arial" w:hAnsi="Arial" w:cs="Arial"/>
              </w:rPr>
            </w:pPr>
            <w:r w:rsidRPr="00276D5E">
              <w:rPr>
                <w:rFonts w:ascii="Arial" w:hAnsi="Arial" w:cs="Arial"/>
              </w:rPr>
              <w:t>8.5.1.</w:t>
            </w:r>
          </w:p>
        </w:tc>
        <w:tc>
          <w:tcPr>
            <w:tcW w:w="8170" w:type="dxa"/>
          </w:tcPr>
          <w:p w14:paraId="43CB9490" w14:textId="77777777" w:rsidR="005B06B4" w:rsidRPr="00276D5E" w:rsidRDefault="005B06B4" w:rsidP="005B06B4">
            <w:pPr>
              <w:pStyle w:val="TableParagraph"/>
              <w:spacing w:line="224" w:lineRule="exact"/>
              <w:rPr>
                <w:rFonts w:ascii="Arial" w:hAnsi="Arial" w:cs="Arial"/>
              </w:rPr>
            </w:pPr>
            <w:r w:rsidRPr="00276D5E">
              <w:rPr>
                <w:rFonts w:ascii="Arial" w:hAnsi="Arial" w:cs="Arial"/>
              </w:rPr>
              <w:t>Ballast</w:t>
            </w:r>
            <w:r w:rsidRPr="005B06B4">
              <w:rPr>
                <w:rFonts w:ascii="Arial" w:hAnsi="Arial" w:cs="Arial"/>
              </w:rPr>
              <w:t xml:space="preserve"> </w:t>
            </w:r>
            <w:r w:rsidRPr="00276D5E">
              <w:rPr>
                <w:rFonts w:ascii="Arial" w:hAnsi="Arial" w:cs="Arial"/>
              </w:rPr>
              <w:t>(extension</w:t>
            </w:r>
            <w:r w:rsidRPr="005B06B4">
              <w:rPr>
                <w:rFonts w:ascii="Arial" w:hAnsi="Arial" w:cs="Arial"/>
              </w:rPr>
              <w:t xml:space="preserve"> </w:t>
            </w:r>
            <w:r w:rsidRPr="00276D5E">
              <w:rPr>
                <w:rFonts w:ascii="Arial" w:hAnsi="Arial" w:cs="Arial"/>
              </w:rPr>
              <w:t>to</w:t>
            </w:r>
            <w:r w:rsidRPr="005B06B4">
              <w:rPr>
                <w:rFonts w:ascii="Arial" w:hAnsi="Arial" w:cs="Arial"/>
              </w:rPr>
              <w:t xml:space="preserve"> </w:t>
            </w:r>
            <w:r w:rsidRPr="00276D5E">
              <w:rPr>
                <w:rFonts w:ascii="Arial" w:hAnsi="Arial" w:cs="Arial"/>
              </w:rPr>
              <w:t>gas</w:t>
            </w:r>
            <w:r w:rsidRPr="005B06B4">
              <w:rPr>
                <w:rFonts w:ascii="Arial" w:hAnsi="Arial" w:cs="Arial"/>
              </w:rPr>
              <w:t xml:space="preserve"> </w:t>
            </w:r>
            <w:r w:rsidRPr="00276D5E">
              <w:rPr>
                <w:rFonts w:ascii="Arial" w:hAnsi="Arial" w:cs="Arial"/>
              </w:rPr>
              <w:t>balloons</w:t>
            </w:r>
            <w:r w:rsidRPr="005B06B4">
              <w:rPr>
                <w:rFonts w:ascii="Arial" w:hAnsi="Arial" w:cs="Arial"/>
              </w:rPr>
              <w:t xml:space="preserve"> </w:t>
            </w:r>
            <w:r w:rsidRPr="00276D5E">
              <w:rPr>
                <w:rFonts w:ascii="Arial" w:hAnsi="Arial" w:cs="Arial"/>
              </w:rPr>
              <w:t>only)</w:t>
            </w:r>
          </w:p>
        </w:tc>
      </w:tr>
      <w:tr w:rsidR="005B06B4" w:rsidRPr="00276D5E" w14:paraId="3515AFF3" w14:textId="77777777" w:rsidTr="00D44EB0">
        <w:trPr>
          <w:trHeight w:val="200"/>
        </w:trPr>
        <w:tc>
          <w:tcPr>
            <w:tcW w:w="1000" w:type="dxa"/>
          </w:tcPr>
          <w:p w14:paraId="0454A73E" w14:textId="77777777" w:rsidR="005B06B4" w:rsidRPr="00276D5E" w:rsidRDefault="005B06B4" w:rsidP="005B06B4">
            <w:pPr>
              <w:pStyle w:val="TableParagraph"/>
              <w:spacing w:line="224" w:lineRule="exact"/>
              <w:ind w:left="86"/>
              <w:rPr>
                <w:rFonts w:ascii="Arial" w:hAnsi="Arial" w:cs="Arial"/>
              </w:rPr>
            </w:pPr>
            <w:r w:rsidRPr="00276D5E">
              <w:rPr>
                <w:rFonts w:ascii="Arial" w:hAnsi="Arial" w:cs="Arial"/>
              </w:rPr>
              <w:t>8.6.</w:t>
            </w:r>
          </w:p>
        </w:tc>
        <w:tc>
          <w:tcPr>
            <w:tcW w:w="8170" w:type="dxa"/>
          </w:tcPr>
          <w:p w14:paraId="3EA0ACE5" w14:textId="77777777" w:rsidR="005B06B4" w:rsidRPr="00276D5E" w:rsidRDefault="005B06B4" w:rsidP="005B06B4">
            <w:pPr>
              <w:pStyle w:val="TableParagraph"/>
              <w:spacing w:line="224" w:lineRule="exact"/>
              <w:rPr>
                <w:rFonts w:ascii="Arial" w:hAnsi="Arial" w:cs="Arial"/>
              </w:rPr>
            </w:pPr>
            <w:r w:rsidRPr="00276D5E">
              <w:rPr>
                <w:rFonts w:ascii="Arial" w:hAnsi="Arial" w:cs="Arial"/>
              </w:rPr>
              <w:t>Fuel</w:t>
            </w:r>
            <w:r w:rsidRPr="005B06B4">
              <w:rPr>
                <w:rFonts w:ascii="Arial" w:hAnsi="Arial" w:cs="Arial"/>
              </w:rPr>
              <w:t xml:space="preserve"> </w:t>
            </w:r>
            <w:r w:rsidRPr="00276D5E">
              <w:rPr>
                <w:rFonts w:ascii="Arial" w:hAnsi="Arial" w:cs="Arial"/>
              </w:rPr>
              <w:t>(extension</w:t>
            </w:r>
            <w:r w:rsidRPr="005B06B4">
              <w:rPr>
                <w:rFonts w:ascii="Arial" w:hAnsi="Arial" w:cs="Arial"/>
              </w:rPr>
              <w:t xml:space="preserve"> </w:t>
            </w:r>
            <w:r w:rsidRPr="00276D5E">
              <w:rPr>
                <w:rFonts w:ascii="Arial" w:hAnsi="Arial" w:cs="Arial"/>
              </w:rPr>
              <w:t>to</w:t>
            </w:r>
            <w:r w:rsidRPr="005B06B4">
              <w:rPr>
                <w:rFonts w:ascii="Arial" w:hAnsi="Arial" w:cs="Arial"/>
              </w:rPr>
              <w:t xml:space="preserve"> </w:t>
            </w:r>
            <w:r w:rsidRPr="00276D5E">
              <w:rPr>
                <w:rFonts w:ascii="Arial" w:hAnsi="Arial" w:cs="Arial"/>
              </w:rPr>
              <w:t>hot-air</w:t>
            </w:r>
            <w:r w:rsidRPr="005B06B4">
              <w:rPr>
                <w:rFonts w:ascii="Arial" w:hAnsi="Arial" w:cs="Arial"/>
              </w:rPr>
              <w:t xml:space="preserve"> </w:t>
            </w:r>
            <w:r w:rsidRPr="00276D5E">
              <w:rPr>
                <w:rFonts w:ascii="Arial" w:hAnsi="Arial" w:cs="Arial"/>
              </w:rPr>
              <w:t>balloons</w:t>
            </w:r>
            <w:r w:rsidRPr="005B06B4">
              <w:rPr>
                <w:rFonts w:ascii="Arial" w:hAnsi="Arial" w:cs="Arial"/>
              </w:rPr>
              <w:t xml:space="preserve"> </w:t>
            </w:r>
            <w:r w:rsidRPr="00276D5E">
              <w:rPr>
                <w:rFonts w:ascii="Arial" w:hAnsi="Arial" w:cs="Arial"/>
              </w:rPr>
              <w:t>or</w:t>
            </w:r>
            <w:r w:rsidRPr="005B06B4">
              <w:rPr>
                <w:rFonts w:ascii="Arial" w:hAnsi="Arial" w:cs="Arial"/>
              </w:rPr>
              <w:t xml:space="preserve"> </w:t>
            </w:r>
            <w:r w:rsidRPr="00276D5E">
              <w:rPr>
                <w:rFonts w:ascii="Arial" w:hAnsi="Arial" w:cs="Arial"/>
              </w:rPr>
              <w:t>hot-air</w:t>
            </w:r>
            <w:r w:rsidRPr="005B06B4">
              <w:rPr>
                <w:rFonts w:ascii="Arial" w:hAnsi="Arial" w:cs="Arial"/>
              </w:rPr>
              <w:t xml:space="preserve"> </w:t>
            </w:r>
            <w:r w:rsidRPr="00276D5E">
              <w:rPr>
                <w:rFonts w:ascii="Arial" w:hAnsi="Arial" w:cs="Arial"/>
              </w:rPr>
              <w:t>airships</w:t>
            </w:r>
            <w:r w:rsidRPr="005B06B4">
              <w:rPr>
                <w:rFonts w:ascii="Arial" w:hAnsi="Arial" w:cs="Arial"/>
              </w:rPr>
              <w:t xml:space="preserve"> </w:t>
            </w:r>
            <w:r w:rsidRPr="00276D5E">
              <w:rPr>
                <w:rFonts w:ascii="Arial" w:hAnsi="Arial" w:cs="Arial"/>
              </w:rPr>
              <w:t>only)</w:t>
            </w:r>
          </w:p>
        </w:tc>
      </w:tr>
      <w:tr w:rsidR="005B06B4" w:rsidRPr="00276D5E" w14:paraId="5E2906E2" w14:textId="77777777" w:rsidTr="00D44EB0">
        <w:trPr>
          <w:trHeight w:val="200"/>
        </w:trPr>
        <w:tc>
          <w:tcPr>
            <w:tcW w:w="1000" w:type="dxa"/>
          </w:tcPr>
          <w:p w14:paraId="1C0BC031" w14:textId="77777777" w:rsidR="005B06B4" w:rsidRPr="00276D5E" w:rsidRDefault="005B06B4" w:rsidP="005B06B4">
            <w:pPr>
              <w:pStyle w:val="TableParagraph"/>
              <w:spacing w:line="224" w:lineRule="exact"/>
              <w:ind w:left="86"/>
              <w:rPr>
                <w:rFonts w:ascii="Arial" w:hAnsi="Arial" w:cs="Arial"/>
              </w:rPr>
            </w:pPr>
            <w:r w:rsidRPr="00276D5E">
              <w:rPr>
                <w:rFonts w:ascii="Arial" w:hAnsi="Arial" w:cs="Arial"/>
              </w:rPr>
              <w:t>8.7.</w:t>
            </w:r>
          </w:p>
        </w:tc>
        <w:tc>
          <w:tcPr>
            <w:tcW w:w="8170" w:type="dxa"/>
          </w:tcPr>
          <w:p w14:paraId="09D8D326" w14:textId="77777777" w:rsidR="005B06B4" w:rsidRPr="00276D5E" w:rsidRDefault="005B06B4" w:rsidP="005B06B4">
            <w:pPr>
              <w:pStyle w:val="TableParagraph"/>
              <w:spacing w:line="224" w:lineRule="exact"/>
              <w:rPr>
                <w:rFonts w:ascii="Arial" w:hAnsi="Arial" w:cs="Arial"/>
              </w:rPr>
            </w:pPr>
            <w:r w:rsidRPr="00276D5E">
              <w:rPr>
                <w:rFonts w:ascii="Arial" w:hAnsi="Arial" w:cs="Arial"/>
              </w:rPr>
              <w:t>Instruments</w:t>
            </w:r>
          </w:p>
        </w:tc>
      </w:tr>
      <w:tr w:rsidR="005B06B4" w:rsidRPr="00276D5E" w14:paraId="50742A68" w14:textId="77777777" w:rsidTr="00D44EB0">
        <w:trPr>
          <w:trHeight w:val="200"/>
        </w:trPr>
        <w:tc>
          <w:tcPr>
            <w:tcW w:w="1000" w:type="dxa"/>
          </w:tcPr>
          <w:p w14:paraId="66FA0123" w14:textId="77777777" w:rsidR="005B06B4" w:rsidRPr="00276D5E" w:rsidRDefault="005B06B4" w:rsidP="005B06B4">
            <w:pPr>
              <w:pStyle w:val="TableParagraph"/>
              <w:spacing w:line="224" w:lineRule="exact"/>
              <w:ind w:left="86"/>
              <w:rPr>
                <w:rFonts w:ascii="Arial" w:hAnsi="Arial" w:cs="Arial"/>
              </w:rPr>
            </w:pPr>
            <w:r w:rsidRPr="00276D5E">
              <w:rPr>
                <w:rFonts w:ascii="Arial" w:hAnsi="Arial" w:cs="Arial"/>
              </w:rPr>
              <w:t>8.8.</w:t>
            </w:r>
          </w:p>
        </w:tc>
        <w:tc>
          <w:tcPr>
            <w:tcW w:w="8170" w:type="dxa"/>
          </w:tcPr>
          <w:p w14:paraId="200A9148" w14:textId="77777777" w:rsidR="005B06B4" w:rsidRPr="00276D5E" w:rsidRDefault="005B06B4" w:rsidP="005B06B4">
            <w:pPr>
              <w:pStyle w:val="TableParagraph"/>
              <w:spacing w:line="224" w:lineRule="exact"/>
              <w:rPr>
                <w:rFonts w:ascii="Arial" w:hAnsi="Arial" w:cs="Arial"/>
              </w:rPr>
            </w:pPr>
            <w:r w:rsidRPr="00276D5E">
              <w:rPr>
                <w:rFonts w:ascii="Arial" w:hAnsi="Arial" w:cs="Arial"/>
              </w:rPr>
              <w:t>Emergency</w:t>
            </w:r>
            <w:r w:rsidRPr="005B06B4">
              <w:rPr>
                <w:rFonts w:ascii="Arial" w:hAnsi="Arial" w:cs="Arial"/>
              </w:rPr>
              <w:t xml:space="preserve"> </w:t>
            </w:r>
            <w:r w:rsidRPr="00276D5E">
              <w:rPr>
                <w:rFonts w:ascii="Arial" w:hAnsi="Arial" w:cs="Arial"/>
              </w:rPr>
              <w:t>equipment</w:t>
            </w:r>
          </w:p>
        </w:tc>
      </w:tr>
    </w:tbl>
    <w:p w14:paraId="138BBAEA" w14:textId="77777777" w:rsidR="007B03BC" w:rsidRPr="007B03BC" w:rsidRDefault="007B03BC" w:rsidP="007B03BC">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654" w:name="_Toc153137427"/>
      <w:r w:rsidRPr="007B03BC">
        <w:rPr>
          <w:rFonts w:ascii="Arial" w:eastAsia="Times New Roman" w:hAnsi="Arial" w:cs="Times New Roman"/>
          <w:b/>
          <w:iCs/>
          <w:color w:val="FFFFFF"/>
          <w:sz w:val="24"/>
        </w:rPr>
        <w:t>BFCL.160 BPL – Recency requirements</w:t>
      </w:r>
      <w:bookmarkEnd w:id="654"/>
      <w:r w:rsidRPr="007B03BC">
        <w:rPr>
          <w:rFonts w:ascii="Arial" w:eastAsia="Times New Roman" w:hAnsi="Arial" w:cs="Times New Roman"/>
          <w:b/>
          <w:iCs/>
          <w:color w:val="FFFFFF"/>
          <w:sz w:val="24"/>
        </w:rPr>
        <w:tab/>
      </w:r>
    </w:p>
    <w:p w14:paraId="728E6265" w14:textId="77777777" w:rsidR="007B03BC" w:rsidRPr="007B03BC" w:rsidRDefault="007B03BC" w:rsidP="00D44EB0">
      <w:pPr>
        <w:numPr>
          <w:ilvl w:val="0"/>
          <w:numId w:val="206"/>
        </w:numPr>
        <w:tabs>
          <w:tab w:val="left" w:pos="707"/>
        </w:tabs>
        <w:spacing w:before="118" w:line="276" w:lineRule="auto"/>
        <w:ind w:right="194"/>
        <w:jc w:val="both"/>
        <w:rPr>
          <w:rFonts w:ascii="Arial" w:hAnsi="Arial" w:cs="Arial"/>
          <w:sz w:val="20"/>
          <w:szCs w:val="20"/>
        </w:rPr>
      </w:pPr>
      <w:r w:rsidRPr="007B03BC">
        <w:rPr>
          <w:rFonts w:ascii="Arial" w:hAnsi="Arial" w:cs="Arial"/>
          <w:sz w:val="20"/>
          <w:szCs w:val="20"/>
        </w:rPr>
        <w:t>A BPL</w:t>
      </w:r>
      <w:r w:rsidRPr="007B03BC">
        <w:rPr>
          <w:rFonts w:ascii="Arial" w:hAnsi="Arial" w:cs="Arial"/>
          <w:spacing w:val="-2"/>
          <w:sz w:val="20"/>
          <w:szCs w:val="20"/>
        </w:rPr>
        <w:t xml:space="preserve"> </w:t>
      </w:r>
      <w:r w:rsidRPr="007B03BC">
        <w:rPr>
          <w:rFonts w:ascii="Arial" w:hAnsi="Arial" w:cs="Arial"/>
          <w:sz w:val="20"/>
          <w:szCs w:val="20"/>
        </w:rPr>
        <w:t>holder</w:t>
      </w:r>
      <w:r w:rsidRPr="007B03BC">
        <w:rPr>
          <w:rFonts w:ascii="Arial" w:hAnsi="Arial" w:cs="Arial"/>
          <w:spacing w:val="-2"/>
          <w:sz w:val="20"/>
          <w:szCs w:val="20"/>
        </w:rPr>
        <w:t xml:space="preserve"> </w:t>
      </w:r>
      <w:r w:rsidRPr="007B03BC">
        <w:rPr>
          <w:rFonts w:ascii="Arial" w:hAnsi="Arial" w:cs="Arial"/>
          <w:sz w:val="20"/>
          <w:szCs w:val="20"/>
        </w:rPr>
        <w:t>shall</w:t>
      </w:r>
      <w:r w:rsidRPr="007B03BC">
        <w:rPr>
          <w:rFonts w:ascii="Arial" w:hAnsi="Arial" w:cs="Arial"/>
          <w:spacing w:val="-4"/>
          <w:sz w:val="20"/>
          <w:szCs w:val="20"/>
        </w:rPr>
        <w:t xml:space="preserve"> </w:t>
      </w:r>
      <w:r w:rsidRPr="007B03BC">
        <w:rPr>
          <w:rFonts w:ascii="Arial" w:hAnsi="Arial" w:cs="Arial"/>
          <w:sz w:val="20"/>
          <w:szCs w:val="20"/>
        </w:rPr>
        <w:t>only</w:t>
      </w:r>
      <w:r w:rsidRPr="007B03BC">
        <w:rPr>
          <w:rFonts w:ascii="Arial" w:hAnsi="Arial" w:cs="Arial"/>
          <w:spacing w:val="-2"/>
          <w:sz w:val="20"/>
          <w:szCs w:val="20"/>
        </w:rPr>
        <w:t xml:space="preserve"> </w:t>
      </w:r>
      <w:r w:rsidRPr="007B03BC">
        <w:rPr>
          <w:rFonts w:ascii="Arial" w:hAnsi="Arial" w:cs="Arial"/>
          <w:sz w:val="20"/>
          <w:szCs w:val="20"/>
        </w:rPr>
        <w:t>exercise</w:t>
      </w:r>
      <w:r w:rsidRPr="007B03BC">
        <w:rPr>
          <w:rFonts w:ascii="Arial" w:hAnsi="Arial" w:cs="Arial"/>
          <w:spacing w:val="-2"/>
          <w:sz w:val="20"/>
          <w:szCs w:val="20"/>
        </w:rPr>
        <w:t xml:space="preserve"> </w:t>
      </w:r>
      <w:r w:rsidRPr="007B03BC">
        <w:rPr>
          <w:rFonts w:ascii="Arial" w:hAnsi="Arial" w:cs="Arial"/>
          <w:sz w:val="20"/>
          <w:szCs w:val="20"/>
        </w:rPr>
        <w:t>the</w:t>
      </w:r>
      <w:r w:rsidRPr="007B03BC">
        <w:rPr>
          <w:rFonts w:ascii="Arial" w:hAnsi="Arial" w:cs="Arial"/>
          <w:spacing w:val="-2"/>
          <w:sz w:val="20"/>
          <w:szCs w:val="20"/>
        </w:rPr>
        <w:t xml:space="preserve"> </w:t>
      </w:r>
      <w:r w:rsidRPr="007B03BC">
        <w:rPr>
          <w:rFonts w:ascii="Arial" w:hAnsi="Arial" w:cs="Arial"/>
          <w:sz w:val="20"/>
          <w:szCs w:val="20"/>
        </w:rPr>
        <w:t>privileges</w:t>
      </w:r>
      <w:r w:rsidRPr="007B03BC">
        <w:rPr>
          <w:rFonts w:ascii="Arial" w:hAnsi="Arial" w:cs="Arial"/>
          <w:spacing w:val="-1"/>
          <w:sz w:val="20"/>
          <w:szCs w:val="20"/>
        </w:rPr>
        <w:t xml:space="preserve"> </w:t>
      </w:r>
      <w:r w:rsidRPr="007B03BC">
        <w:rPr>
          <w:rFonts w:ascii="Arial" w:hAnsi="Arial" w:cs="Arial"/>
          <w:sz w:val="20"/>
          <w:szCs w:val="20"/>
        </w:rPr>
        <w:t>of</w:t>
      </w:r>
      <w:r w:rsidRPr="007B03BC">
        <w:rPr>
          <w:rFonts w:ascii="Arial" w:hAnsi="Arial" w:cs="Arial"/>
          <w:spacing w:val="-2"/>
          <w:sz w:val="20"/>
          <w:szCs w:val="20"/>
        </w:rPr>
        <w:t xml:space="preserve"> </w:t>
      </w:r>
      <w:r w:rsidRPr="007B03BC">
        <w:rPr>
          <w:rFonts w:ascii="Arial" w:hAnsi="Arial" w:cs="Arial"/>
          <w:sz w:val="20"/>
          <w:szCs w:val="20"/>
        </w:rPr>
        <w:t>his</w:t>
      </w:r>
      <w:r w:rsidRPr="007B03BC">
        <w:rPr>
          <w:rFonts w:ascii="Arial" w:hAnsi="Arial" w:cs="Arial"/>
          <w:spacing w:val="-5"/>
          <w:sz w:val="20"/>
          <w:szCs w:val="20"/>
        </w:rPr>
        <w:t xml:space="preserve"> </w:t>
      </w:r>
      <w:r w:rsidRPr="007B03BC">
        <w:rPr>
          <w:rFonts w:ascii="Arial" w:hAnsi="Arial" w:cs="Arial"/>
          <w:sz w:val="20"/>
          <w:szCs w:val="20"/>
        </w:rPr>
        <w:t>or</w:t>
      </w:r>
      <w:r w:rsidRPr="007B03BC">
        <w:rPr>
          <w:rFonts w:ascii="Arial" w:hAnsi="Arial" w:cs="Arial"/>
          <w:spacing w:val="-4"/>
          <w:sz w:val="20"/>
          <w:szCs w:val="20"/>
        </w:rPr>
        <w:t xml:space="preserve"> </w:t>
      </w:r>
      <w:r w:rsidRPr="007B03BC">
        <w:rPr>
          <w:rFonts w:ascii="Arial" w:hAnsi="Arial" w:cs="Arial"/>
          <w:sz w:val="20"/>
          <w:szCs w:val="20"/>
        </w:rPr>
        <w:t>her</w:t>
      </w:r>
      <w:r w:rsidRPr="007B03BC">
        <w:rPr>
          <w:rFonts w:ascii="Arial" w:hAnsi="Arial" w:cs="Arial"/>
          <w:spacing w:val="-2"/>
          <w:sz w:val="20"/>
          <w:szCs w:val="20"/>
        </w:rPr>
        <w:t xml:space="preserve"> </w:t>
      </w:r>
      <w:r w:rsidRPr="007B03BC">
        <w:rPr>
          <w:rFonts w:ascii="Arial" w:hAnsi="Arial" w:cs="Arial"/>
          <w:sz w:val="20"/>
          <w:szCs w:val="20"/>
        </w:rPr>
        <w:t>licence</w:t>
      </w:r>
      <w:r w:rsidRPr="007B03BC">
        <w:rPr>
          <w:rFonts w:ascii="Arial" w:hAnsi="Arial" w:cs="Arial"/>
          <w:spacing w:val="-2"/>
          <w:sz w:val="20"/>
          <w:szCs w:val="20"/>
        </w:rPr>
        <w:t xml:space="preserve"> </w:t>
      </w:r>
      <w:r w:rsidRPr="007B03BC">
        <w:rPr>
          <w:rFonts w:ascii="Arial" w:hAnsi="Arial" w:cs="Arial"/>
          <w:sz w:val="20"/>
          <w:szCs w:val="20"/>
        </w:rPr>
        <w:t>if</w:t>
      </w:r>
      <w:r w:rsidRPr="007B03BC">
        <w:rPr>
          <w:rFonts w:ascii="Arial" w:hAnsi="Arial" w:cs="Arial"/>
          <w:spacing w:val="-3"/>
          <w:sz w:val="20"/>
          <w:szCs w:val="20"/>
        </w:rPr>
        <w:t xml:space="preserve"> </w:t>
      </w:r>
      <w:r w:rsidRPr="007B03BC">
        <w:rPr>
          <w:rFonts w:ascii="Arial" w:hAnsi="Arial" w:cs="Arial"/>
          <w:sz w:val="20"/>
          <w:szCs w:val="20"/>
        </w:rPr>
        <w:t>he</w:t>
      </w:r>
      <w:r w:rsidRPr="007B03BC">
        <w:rPr>
          <w:rFonts w:ascii="Arial" w:hAnsi="Arial" w:cs="Arial"/>
          <w:spacing w:val="-1"/>
          <w:sz w:val="20"/>
          <w:szCs w:val="20"/>
        </w:rPr>
        <w:t xml:space="preserve"> </w:t>
      </w:r>
      <w:r w:rsidRPr="007B03BC">
        <w:rPr>
          <w:rFonts w:ascii="Arial" w:hAnsi="Arial" w:cs="Arial"/>
          <w:sz w:val="20"/>
          <w:szCs w:val="20"/>
        </w:rPr>
        <w:t>or</w:t>
      </w:r>
      <w:r w:rsidRPr="007B03BC">
        <w:rPr>
          <w:rFonts w:ascii="Arial" w:hAnsi="Arial" w:cs="Arial"/>
          <w:spacing w:val="-2"/>
          <w:sz w:val="20"/>
          <w:szCs w:val="20"/>
        </w:rPr>
        <w:t xml:space="preserve"> </w:t>
      </w:r>
      <w:r w:rsidRPr="007B03BC">
        <w:rPr>
          <w:rFonts w:ascii="Arial" w:hAnsi="Arial" w:cs="Arial"/>
          <w:sz w:val="20"/>
          <w:szCs w:val="20"/>
        </w:rPr>
        <w:t>she</w:t>
      </w:r>
      <w:r w:rsidRPr="007B03BC">
        <w:rPr>
          <w:rFonts w:ascii="Arial" w:hAnsi="Arial" w:cs="Arial"/>
          <w:spacing w:val="-3"/>
          <w:sz w:val="20"/>
          <w:szCs w:val="20"/>
        </w:rPr>
        <w:t xml:space="preserve"> </w:t>
      </w:r>
      <w:r w:rsidRPr="007B03BC">
        <w:rPr>
          <w:rFonts w:ascii="Arial" w:hAnsi="Arial" w:cs="Arial"/>
          <w:sz w:val="20"/>
          <w:szCs w:val="20"/>
        </w:rPr>
        <w:t>has</w:t>
      </w:r>
      <w:r w:rsidRPr="007B03BC">
        <w:rPr>
          <w:rFonts w:ascii="Arial" w:hAnsi="Arial" w:cs="Arial"/>
          <w:spacing w:val="-5"/>
          <w:sz w:val="20"/>
          <w:szCs w:val="20"/>
        </w:rPr>
        <w:t xml:space="preserve"> </w:t>
      </w:r>
      <w:r w:rsidRPr="007B03BC">
        <w:rPr>
          <w:rFonts w:ascii="Arial" w:hAnsi="Arial" w:cs="Arial"/>
          <w:sz w:val="20"/>
          <w:szCs w:val="20"/>
        </w:rPr>
        <w:t>completed</w:t>
      </w:r>
      <w:r w:rsidRPr="007B03BC">
        <w:rPr>
          <w:rFonts w:ascii="Arial" w:hAnsi="Arial" w:cs="Arial"/>
          <w:spacing w:val="-2"/>
          <w:sz w:val="20"/>
          <w:szCs w:val="20"/>
        </w:rPr>
        <w:t xml:space="preserve"> </w:t>
      </w:r>
      <w:r w:rsidRPr="007B03BC">
        <w:rPr>
          <w:rFonts w:ascii="Arial" w:hAnsi="Arial" w:cs="Arial"/>
          <w:sz w:val="20"/>
          <w:szCs w:val="20"/>
        </w:rPr>
        <w:t>in</w:t>
      </w:r>
      <w:r w:rsidRPr="007B03BC">
        <w:rPr>
          <w:rFonts w:ascii="Arial" w:hAnsi="Arial" w:cs="Arial"/>
          <w:spacing w:val="-48"/>
          <w:sz w:val="20"/>
          <w:szCs w:val="20"/>
        </w:rPr>
        <w:t xml:space="preserve"> </w:t>
      </w:r>
      <w:r w:rsidRPr="007B03BC">
        <w:rPr>
          <w:rFonts w:ascii="Arial" w:hAnsi="Arial" w:cs="Arial"/>
          <w:sz w:val="20"/>
          <w:szCs w:val="20"/>
        </w:rPr>
        <w:t>the relevant</w:t>
      </w:r>
      <w:r w:rsidRPr="007B03BC">
        <w:rPr>
          <w:rFonts w:ascii="Arial" w:hAnsi="Arial" w:cs="Arial"/>
          <w:spacing w:val="-2"/>
          <w:sz w:val="20"/>
          <w:szCs w:val="20"/>
        </w:rPr>
        <w:t xml:space="preserve"> </w:t>
      </w:r>
      <w:r w:rsidRPr="007B03BC">
        <w:rPr>
          <w:rFonts w:ascii="Arial" w:hAnsi="Arial" w:cs="Arial"/>
          <w:sz w:val="20"/>
          <w:szCs w:val="20"/>
        </w:rPr>
        <w:t>balloon</w:t>
      </w:r>
      <w:r w:rsidRPr="007B03BC">
        <w:rPr>
          <w:rFonts w:ascii="Arial" w:hAnsi="Arial" w:cs="Arial"/>
          <w:spacing w:val="-1"/>
          <w:sz w:val="20"/>
          <w:szCs w:val="20"/>
        </w:rPr>
        <w:t xml:space="preserve"> </w:t>
      </w:r>
      <w:r w:rsidRPr="007B03BC">
        <w:rPr>
          <w:rFonts w:ascii="Arial" w:hAnsi="Arial" w:cs="Arial"/>
          <w:sz w:val="20"/>
          <w:szCs w:val="20"/>
        </w:rPr>
        <w:t>class:</w:t>
      </w:r>
    </w:p>
    <w:p w14:paraId="5B61B028" w14:textId="77777777" w:rsidR="007B03BC" w:rsidRPr="007B03BC" w:rsidRDefault="007B03BC" w:rsidP="00D44EB0">
      <w:pPr>
        <w:numPr>
          <w:ilvl w:val="1"/>
          <w:numId w:val="206"/>
        </w:numPr>
        <w:tabs>
          <w:tab w:val="left" w:pos="1274"/>
        </w:tabs>
        <w:spacing w:before="121" w:line="276" w:lineRule="auto"/>
        <w:ind w:hanging="568"/>
        <w:jc w:val="both"/>
        <w:rPr>
          <w:rFonts w:ascii="Arial" w:hAnsi="Arial" w:cs="Arial"/>
          <w:sz w:val="20"/>
          <w:szCs w:val="20"/>
        </w:rPr>
      </w:pPr>
      <w:r w:rsidRPr="007B03BC">
        <w:rPr>
          <w:rFonts w:ascii="Arial" w:hAnsi="Arial" w:cs="Arial"/>
          <w:sz w:val="20"/>
          <w:szCs w:val="20"/>
        </w:rPr>
        <w:t>either:</w:t>
      </w:r>
    </w:p>
    <w:p w14:paraId="4DAFC4EC" w14:textId="77777777" w:rsidR="007B03BC" w:rsidRPr="007B03BC" w:rsidRDefault="007B03BC" w:rsidP="00D44EB0">
      <w:pPr>
        <w:numPr>
          <w:ilvl w:val="2"/>
          <w:numId w:val="206"/>
        </w:numPr>
        <w:tabs>
          <w:tab w:val="left" w:pos="1842"/>
        </w:tabs>
        <w:spacing w:before="120" w:line="276" w:lineRule="auto"/>
        <w:ind w:right="194"/>
        <w:jc w:val="both"/>
        <w:rPr>
          <w:rFonts w:ascii="Arial" w:hAnsi="Arial" w:cs="Arial"/>
          <w:sz w:val="20"/>
          <w:szCs w:val="20"/>
        </w:rPr>
      </w:pPr>
      <w:r w:rsidRPr="007B03BC">
        <w:rPr>
          <w:rFonts w:ascii="Arial" w:hAnsi="Arial" w:cs="Arial"/>
          <w:sz w:val="20"/>
          <w:szCs w:val="20"/>
        </w:rPr>
        <w:t>within</w:t>
      </w:r>
      <w:r w:rsidRPr="007B03BC">
        <w:rPr>
          <w:rFonts w:ascii="Arial" w:hAnsi="Arial" w:cs="Arial"/>
          <w:spacing w:val="-5"/>
          <w:sz w:val="20"/>
          <w:szCs w:val="20"/>
        </w:rPr>
        <w:t xml:space="preserve"> </w:t>
      </w:r>
      <w:r w:rsidRPr="007B03BC">
        <w:rPr>
          <w:rFonts w:ascii="Arial" w:hAnsi="Arial" w:cs="Arial"/>
          <w:sz w:val="20"/>
          <w:szCs w:val="20"/>
        </w:rPr>
        <w:t>the</w:t>
      </w:r>
      <w:r w:rsidRPr="007B03BC">
        <w:rPr>
          <w:rFonts w:ascii="Arial" w:hAnsi="Arial" w:cs="Arial"/>
          <w:spacing w:val="-6"/>
          <w:sz w:val="20"/>
          <w:szCs w:val="20"/>
        </w:rPr>
        <w:t xml:space="preserve"> </w:t>
      </w:r>
      <w:r w:rsidRPr="007B03BC">
        <w:rPr>
          <w:rFonts w:ascii="Arial" w:hAnsi="Arial" w:cs="Arial"/>
          <w:sz w:val="20"/>
          <w:szCs w:val="20"/>
        </w:rPr>
        <w:t>last</w:t>
      </w:r>
      <w:r w:rsidRPr="007B03BC">
        <w:rPr>
          <w:rFonts w:ascii="Arial" w:hAnsi="Arial" w:cs="Arial"/>
          <w:spacing w:val="-5"/>
          <w:sz w:val="20"/>
          <w:szCs w:val="20"/>
        </w:rPr>
        <w:t xml:space="preserve"> </w:t>
      </w:r>
      <w:r w:rsidRPr="007B03BC">
        <w:rPr>
          <w:rFonts w:ascii="Arial" w:hAnsi="Arial" w:cs="Arial"/>
          <w:sz w:val="20"/>
          <w:szCs w:val="20"/>
        </w:rPr>
        <w:t>24</w:t>
      </w:r>
      <w:r w:rsidRPr="007B03BC">
        <w:rPr>
          <w:rFonts w:ascii="Arial" w:hAnsi="Arial" w:cs="Arial"/>
          <w:spacing w:val="-5"/>
          <w:sz w:val="20"/>
          <w:szCs w:val="20"/>
        </w:rPr>
        <w:t xml:space="preserve"> </w:t>
      </w:r>
      <w:r w:rsidRPr="007B03BC">
        <w:rPr>
          <w:rFonts w:ascii="Arial" w:hAnsi="Arial" w:cs="Arial"/>
          <w:sz w:val="20"/>
          <w:szCs w:val="20"/>
        </w:rPr>
        <w:t>months</w:t>
      </w:r>
      <w:r w:rsidRPr="007B03BC">
        <w:rPr>
          <w:rFonts w:ascii="Arial" w:hAnsi="Arial" w:cs="Arial"/>
          <w:spacing w:val="-4"/>
          <w:sz w:val="20"/>
          <w:szCs w:val="20"/>
        </w:rPr>
        <w:t xml:space="preserve"> </w:t>
      </w:r>
      <w:r w:rsidRPr="007B03BC">
        <w:rPr>
          <w:rFonts w:ascii="Arial" w:hAnsi="Arial" w:cs="Arial"/>
          <w:sz w:val="20"/>
          <w:szCs w:val="20"/>
        </w:rPr>
        <w:t>before</w:t>
      </w:r>
      <w:r w:rsidRPr="007B03BC">
        <w:rPr>
          <w:rFonts w:ascii="Arial" w:hAnsi="Arial" w:cs="Arial"/>
          <w:spacing w:val="-4"/>
          <w:sz w:val="20"/>
          <w:szCs w:val="20"/>
        </w:rPr>
        <w:t xml:space="preserve"> </w:t>
      </w:r>
      <w:r w:rsidRPr="007B03BC">
        <w:rPr>
          <w:rFonts w:ascii="Arial" w:hAnsi="Arial" w:cs="Arial"/>
          <w:sz w:val="20"/>
          <w:szCs w:val="20"/>
        </w:rPr>
        <w:t>the</w:t>
      </w:r>
      <w:r w:rsidRPr="007B03BC">
        <w:rPr>
          <w:rFonts w:ascii="Arial" w:hAnsi="Arial" w:cs="Arial"/>
          <w:spacing w:val="-6"/>
          <w:sz w:val="20"/>
          <w:szCs w:val="20"/>
        </w:rPr>
        <w:t xml:space="preserve"> </w:t>
      </w:r>
      <w:r w:rsidRPr="007B03BC">
        <w:rPr>
          <w:rFonts w:ascii="Arial" w:hAnsi="Arial" w:cs="Arial"/>
          <w:sz w:val="20"/>
          <w:szCs w:val="20"/>
        </w:rPr>
        <w:t>planned</w:t>
      </w:r>
      <w:r w:rsidRPr="007B03BC">
        <w:rPr>
          <w:rFonts w:ascii="Arial" w:hAnsi="Arial" w:cs="Arial"/>
          <w:spacing w:val="-2"/>
          <w:sz w:val="20"/>
          <w:szCs w:val="20"/>
        </w:rPr>
        <w:t xml:space="preserve"> </w:t>
      </w:r>
      <w:r w:rsidRPr="007B03BC">
        <w:rPr>
          <w:rFonts w:ascii="Arial" w:hAnsi="Arial" w:cs="Arial"/>
          <w:sz w:val="20"/>
          <w:szCs w:val="20"/>
        </w:rPr>
        <w:t>flight,</w:t>
      </w:r>
      <w:r w:rsidRPr="007B03BC">
        <w:rPr>
          <w:rFonts w:ascii="Arial" w:hAnsi="Arial" w:cs="Arial"/>
          <w:spacing w:val="-3"/>
          <w:sz w:val="20"/>
          <w:szCs w:val="20"/>
        </w:rPr>
        <w:t xml:space="preserve"> </w:t>
      </w:r>
      <w:r w:rsidRPr="007B03BC">
        <w:rPr>
          <w:rFonts w:ascii="Arial" w:hAnsi="Arial" w:cs="Arial"/>
          <w:sz w:val="20"/>
          <w:szCs w:val="20"/>
        </w:rPr>
        <w:t>at</w:t>
      </w:r>
      <w:r w:rsidRPr="007B03BC">
        <w:rPr>
          <w:rFonts w:ascii="Arial" w:hAnsi="Arial" w:cs="Arial"/>
          <w:spacing w:val="-5"/>
          <w:sz w:val="20"/>
          <w:szCs w:val="20"/>
        </w:rPr>
        <w:t xml:space="preserve"> </w:t>
      </w:r>
      <w:r w:rsidRPr="007B03BC">
        <w:rPr>
          <w:rFonts w:ascii="Arial" w:hAnsi="Arial" w:cs="Arial"/>
          <w:sz w:val="20"/>
          <w:szCs w:val="20"/>
        </w:rPr>
        <w:t>least</w:t>
      </w:r>
      <w:r w:rsidRPr="007B03BC">
        <w:rPr>
          <w:rFonts w:ascii="Arial" w:hAnsi="Arial" w:cs="Arial"/>
          <w:spacing w:val="-2"/>
          <w:sz w:val="20"/>
          <w:szCs w:val="20"/>
        </w:rPr>
        <w:t xml:space="preserve"> </w:t>
      </w:r>
      <w:r w:rsidRPr="007B03BC">
        <w:rPr>
          <w:rFonts w:ascii="Arial" w:hAnsi="Arial" w:cs="Arial"/>
          <w:sz w:val="20"/>
          <w:szCs w:val="20"/>
        </w:rPr>
        <w:t>six</w:t>
      </w:r>
      <w:r w:rsidRPr="007B03BC">
        <w:rPr>
          <w:rFonts w:ascii="Arial" w:hAnsi="Arial" w:cs="Arial"/>
          <w:spacing w:val="-3"/>
          <w:sz w:val="20"/>
          <w:szCs w:val="20"/>
        </w:rPr>
        <w:t xml:space="preserve"> </w:t>
      </w:r>
      <w:r w:rsidRPr="007B03BC">
        <w:rPr>
          <w:rFonts w:ascii="Arial" w:hAnsi="Arial" w:cs="Arial"/>
          <w:sz w:val="20"/>
          <w:szCs w:val="20"/>
        </w:rPr>
        <w:t>hours</w:t>
      </w:r>
      <w:r w:rsidRPr="007B03BC">
        <w:rPr>
          <w:rFonts w:ascii="Arial" w:hAnsi="Arial" w:cs="Arial"/>
          <w:spacing w:val="-6"/>
          <w:sz w:val="20"/>
          <w:szCs w:val="20"/>
        </w:rPr>
        <w:t xml:space="preserve"> </w:t>
      </w:r>
      <w:r w:rsidRPr="007B03BC">
        <w:rPr>
          <w:rFonts w:ascii="Arial" w:hAnsi="Arial" w:cs="Arial"/>
          <w:sz w:val="20"/>
          <w:szCs w:val="20"/>
        </w:rPr>
        <w:t>of</w:t>
      </w:r>
      <w:r w:rsidRPr="007B03BC">
        <w:rPr>
          <w:rFonts w:ascii="Arial" w:hAnsi="Arial" w:cs="Arial"/>
          <w:spacing w:val="-2"/>
          <w:sz w:val="20"/>
          <w:szCs w:val="20"/>
        </w:rPr>
        <w:t xml:space="preserve"> </w:t>
      </w:r>
      <w:r w:rsidRPr="007B03BC">
        <w:rPr>
          <w:rFonts w:ascii="Arial" w:hAnsi="Arial" w:cs="Arial"/>
          <w:sz w:val="20"/>
          <w:szCs w:val="20"/>
        </w:rPr>
        <w:t>flight</w:t>
      </w:r>
      <w:r w:rsidRPr="007B03BC">
        <w:rPr>
          <w:rFonts w:ascii="Arial" w:hAnsi="Arial" w:cs="Arial"/>
          <w:spacing w:val="-4"/>
          <w:sz w:val="20"/>
          <w:szCs w:val="20"/>
        </w:rPr>
        <w:t xml:space="preserve"> </w:t>
      </w:r>
      <w:r w:rsidRPr="007B03BC">
        <w:rPr>
          <w:rFonts w:ascii="Arial" w:hAnsi="Arial" w:cs="Arial"/>
          <w:sz w:val="20"/>
          <w:szCs w:val="20"/>
        </w:rPr>
        <w:t>time</w:t>
      </w:r>
      <w:r w:rsidRPr="007B03BC">
        <w:rPr>
          <w:rFonts w:ascii="Arial" w:hAnsi="Arial" w:cs="Arial"/>
          <w:spacing w:val="-47"/>
          <w:sz w:val="20"/>
          <w:szCs w:val="20"/>
        </w:rPr>
        <w:t xml:space="preserve"> </w:t>
      </w:r>
      <w:r w:rsidRPr="007B03BC">
        <w:rPr>
          <w:rFonts w:ascii="Arial" w:hAnsi="Arial" w:cs="Arial"/>
          <w:sz w:val="20"/>
          <w:szCs w:val="20"/>
        </w:rPr>
        <w:t>as PIC, including 10 take-offs and landings, as PIC or flying dual or solo under the</w:t>
      </w:r>
      <w:r w:rsidRPr="007B03BC">
        <w:rPr>
          <w:rFonts w:ascii="Arial" w:hAnsi="Arial" w:cs="Arial"/>
          <w:spacing w:val="1"/>
          <w:sz w:val="20"/>
          <w:szCs w:val="20"/>
        </w:rPr>
        <w:t xml:space="preserve"> </w:t>
      </w:r>
      <w:r w:rsidRPr="007B03BC">
        <w:rPr>
          <w:rFonts w:ascii="Arial" w:hAnsi="Arial" w:cs="Arial"/>
          <w:sz w:val="20"/>
          <w:szCs w:val="20"/>
        </w:rPr>
        <w:t>supervision</w:t>
      </w:r>
      <w:r w:rsidRPr="007B03BC">
        <w:rPr>
          <w:rFonts w:ascii="Arial" w:hAnsi="Arial" w:cs="Arial"/>
          <w:spacing w:val="-2"/>
          <w:sz w:val="20"/>
          <w:szCs w:val="20"/>
        </w:rPr>
        <w:t xml:space="preserve"> </w:t>
      </w:r>
      <w:r w:rsidRPr="007B03BC">
        <w:rPr>
          <w:rFonts w:ascii="Arial" w:hAnsi="Arial" w:cs="Arial"/>
          <w:sz w:val="20"/>
          <w:szCs w:val="20"/>
        </w:rPr>
        <w:t>of</w:t>
      </w:r>
      <w:r w:rsidRPr="007B03BC">
        <w:rPr>
          <w:rFonts w:ascii="Arial" w:hAnsi="Arial" w:cs="Arial"/>
          <w:spacing w:val="-3"/>
          <w:sz w:val="20"/>
          <w:szCs w:val="20"/>
        </w:rPr>
        <w:t xml:space="preserve"> </w:t>
      </w:r>
      <w:r w:rsidRPr="007B03BC">
        <w:rPr>
          <w:rFonts w:ascii="Arial" w:hAnsi="Arial" w:cs="Arial"/>
          <w:sz w:val="20"/>
          <w:szCs w:val="20"/>
        </w:rPr>
        <w:t>an FI(B); and</w:t>
      </w:r>
    </w:p>
    <w:p w14:paraId="6B227C21" w14:textId="77777777" w:rsidR="007B03BC" w:rsidRPr="007B03BC" w:rsidRDefault="007B03BC" w:rsidP="00D44EB0">
      <w:pPr>
        <w:numPr>
          <w:ilvl w:val="2"/>
          <w:numId w:val="206"/>
        </w:numPr>
        <w:tabs>
          <w:tab w:val="left" w:pos="1842"/>
        </w:tabs>
        <w:spacing w:before="121" w:line="276" w:lineRule="auto"/>
        <w:ind w:right="195"/>
        <w:jc w:val="both"/>
        <w:rPr>
          <w:rFonts w:ascii="Arial" w:hAnsi="Arial" w:cs="Arial"/>
          <w:sz w:val="20"/>
          <w:szCs w:val="20"/>
        </w:rPr>
      </w:pPr>
      <w:r w:rsidRPr="007B03BC">
        <w:rPr>
          <w:rFonts w:ascii="Arial" w:hAnsi="Arial" w:cs="Arial"/>
          <w:sz w:val="20"/>
          <w:szCs w:val="20"/>
        </w:rPr>
        <w:t>within</w:t>
      </w:r>
      <w:r w:rsidRPr="007B03BC">
        <w:rPr>
          <w:rFonts w:ascii="Arial" w:hAnsi="Arial" w:cs="Arial"/>
          <w:spacing w:val="-9"/>
          <w:sz w:val="20"/>
          <w:szCs w:val="20"/>
        </w:rPr>
        <w:t xml:space="preserve"> </w:t>
      </w:r>
      <w:r w:rsidRPr="007B03BC">
        <w:rPr>
          <w:rFonts w:ascii="Arial" w:hAnsi="Arial" w:cs="Arial"/>
          <w:sz w:val="20"/>
          <w:szCs w:val="20"/>
        </w:rPr>
        <w:t>the</w:t>
      </w:r>
      <w:r w:rsidRPr="007B03BC">
        <w:rPr>
          <w:rFonts w:ascii="Arial" w:hAnsi="Arial" w:cs="Arial"/>
          <w:spacing w:val="-6"/>
          <w:sz w:val="20"/>
          <w:szCs w:val="20"/>
        </w:rPr>
        <w:t xml:space="preserve"> </w:t>
      </w:r>
      <w:r w:rsidRPr="007B03BC">
        <w:rPr>
          <w:rFonts w:ascii="Arial" w:hAnsi="Arial" w:cs="Arial"/>
          <w:sz w:val="20"/>
          <w:szCs w:val="20"/>
        </w:rPr>
        <w:t>last</w:t>
      </w:r>
      <w:r w:rsidRPr="007B03BC">
        <w:rPr>
          <w:rFonts w:ascii="Arial" w:hAnsi="Arial" w:cs="Arial"/>
          <w:spacing w:val="-7"/>
          <w:sz w:val="20"/>
          <w:szCs w:val="20"/>
        </w:rPr>
        <w:t xml:space="preserve"> </w:t>
      </w:r>
      <w:r w:rsidRPr="007B03BC">
        <w:rPr>
          <w:rFonts w:ascii="Arial" w:hAnsi="Arial" w:cs="Arial"/>
          <w:sz w:val="20"/>
          <w:szCs w:val="20"/>
        </w:rPr>
        <w:t>48</w:t>
      </w:r>
      <w:r w:rsidRPr="007B03BC">
        <w:rPr>
          <w:rFonts w:ascii="Arial" w:hAnsi="Arial" w:cs="Arial"/>
          <w:spacing w:val="-10"/>
          <w:sz w:val="20"/>
          <w:szCs w:val="20"/>
        </w:rPr>
        <w:t xml:space="preserve"> </w:t>
      </w:r>
      <w:r w:rsidRPr="007B03BC">
        <w:rPr>
          <w:rFonts w:ascii="Arial" w:hAnsi="Arial" w:cs="Arial"/>
          <w:sz w:val="20"/>
          <w:szCs w:val="20"/>
        </w:rPr>
        <w:t>months</w:t>
      </w:r>
      <w:r w:rsidRPr="007B03BC">
        <w:rPr>
          <w:rFonts w:ascii="Arial" w:hAnsi="Arial" w:cs="Arial"/>
          <w:spacing w:val="-7"/>
          <w:sz w:val="20"/>
          <w:szCs w:val="20"/>
        </w:rPr>
        <w:t xml:space="preserve"> </w:t>
      </w:r>
      <w:r w:rsidRPr="007B03BC">
        <w:rPr>
          <w:rFonts w:ascii="Arial" w:hAnsi="Arial" w:cs="Arial"/>
          <w:sz w:val="20"/>
          <w:szCs w:val="20"/>
        </w:rPr>
        <w:t>before</w:t>
      </w:r>
      <w:r w:rsidRPr="007B03BC">
        <w:rPr>
          <w:rFonts w:ascii="Arial" w:hAnsi="Arial" w:cs="Arial"/>
          <w:spacing w:val="-9"/>
          <w:sz w:val="20"/>
          <w:szCs w:val="20"/>
        </w:rPr>
        <w:t xml:space="preserve"> </w:t>
      </w:r>
      <w:r w:rsidRPr="007B03BC">
        <w:rPr>
          <w:rFonts w:ascii="Arial" w:hAnsi="Arial" w:cs="Arial"/>
          <w:sz w:val="20"/>
          <w:szCs w:val="20"/>
        </w:rPr>
        <w:t>the</w:t>
      </w:r>
      <w:r w:rsidRPr="007B03BC">
        <w:rPr>
          <w:rFonts w:ascii="Arial" w:hAnsi="Arial" w:cs="Arial"/>
          <w:spacing w:val="-8"/>
          <w:sz w:val="20"/>
          <w:szCs w:val="20"/>
        </w:rPr>
        <w:t xml:space="preserve"> </w:t>
      </w:r>
      <w:r w:rsidRPr="007B03BC">
        <w:rPr>
          <w:rFonts w:ascii="Arial" w:hAnsi="Arial" w:cs="Arial"/>
          <w:sz w:val="20"/>
          <w:szCs w:val="20"/>
        </w:rPr>
        <w:t>planned</w:t>
      </w:r>
      <w:r w:rsidRPr="007B03BC">
        <w:rPr>
          <w:rFonts w:ascii="Arial" w:hAnsi="Arial" w:cs="Arial"/>
          <w:spacing w:val="-7"/>
          <w:sz w:val="20"/>
          <w:szCs w:val="20"/>
        </w:rPr>
        <w:t xml:space="preserve"> </w:t>
      </w:r>
      <w:r w:rsidRPr="007B03BC">
        <w:rPr>
          <w:rFonts w:ascii="Arial" w:hAnsi="Arial" w:cs="Arial"/>
          <w:sz w:val="20"/>
          <w:szCs w:val="20"/>
        </w:rPr>
        <w:t>flight,</w:t>
      </w:r>
      <w:r w:rsidRPr="007B03BC">
        <w:rPr>
          <w:rFonts w:ascii="Arial" w:hAnsi="Arial" w:cs="Arial"/>
          <w:spacing w:val="-6"/>
          <w:sz w:val="20"/>
          <w:szCs w:val="20"/>
        </w:rPr>
        <w:t xml:space="preserve"> </w:t>
      </w:r>
      <w:r w:rsidRPr="007B03BC">
        <w:rPr>
          <w:rFonts w:ascii="Arial" w:hAnsi="Arial" w:cs="Arial"/>
          <w:sz w:val="20"/>
          <w:szCs w:val="20"/>
        </w:rPr>
        <w:t>at</w:t>
      </w:r>
      <w:r w:rsidRPr="007B03BC">
        <w:rPr>
          <w:rFonts w:ascii="Arial" w:hAnsi="Arial" w:cs="Arial"/>
          <w:spacing w:val="-8"/>
          <w:sz w:val="20"/>
          <w:szCs w:val="20"/>
        </w:rPr>
        <w:t xml:space="preserve"> </w:t>
      </w:r>
      <w:r w:rsidRPr="007B03BC">
        <w:rPr>
          <w:rFonts w:ascii="Arial" w:hAnsi="Arial" w:cs="Arial"/>
          <w:sz w:val="20"/>
          <w:szCs w:val="20"/>
        </w:rPr>
        <w:t>least</w:t>
      </w:r>
      <w:r w:rsidRPr="007B03BC">
        <w:rPr>
          <w:rFonts w:ascii="Arial" w:hAnsi="Arial" w:cs="Arial"/>
          <w:spacing w:val="-7"/>
          <w:sz w:val="20"/>
          <w:szCs w:val="20"/>
        </w:rPr>
        <w:t xml:space="preserve"> </w:t>
      </w:r>
      <w:r w:rsidRPr="007B03BC">
        <w:rPr>
          <w:rFonts w:ascii="Arial" w:hAnsi="Arial" w:cs="Arial"/>
          <w:sz w:val="20"/>
          <w:szCs w:val="20"/>
        </w:rPr>
        <w:t>one</w:t>
      </w:r>
      <w:r w:rsidRPr="007B03BC">
        <w:rPr>
          <w:rFonts w:ascii="Arial" w:hAnsi="Arial" w:cs="Arial"/>
          <w:spacing w:val="-6"/>
          <w:sz w:val="20"/>
          <w:szCs w:val="20"/>
        </w:rPr>
        <w:t xml:space="preserve"> </w:t>
      </w:r>
      <w:r w:rsidRPr="007B03BC">
        <w:rPr>
          <w:rFonts w:ascii="Arial" w:hAnsi="Arial" w:cs="Arial"/>
          <w:sz w:val="20"/>
          <w:szCs w:val="20"/>
        </w:rPr>
        <w:t>training</w:t>
      </w:r>
      <w:r w:rsidRPr="007B03BC">
        <w:rPr>
          <w:rFonts w:ascii="Arial" w:hAnsi="Arial" w:cs="Arial"/>
          <w:spacing w:val="-9"/>
          <w:sz w:val="20"/>
          <w:szCs w:val="20"/>
        </w:rPr>
        <w:t xml:space="preserve"> </w:t>
      </w:r>
      <w:r w:rsidRPr="007B03BC">
        <w:rPr>
          <w:rFonts w:ascii="Arial" w:hAnsi="Arial" w:cs="Arial"/>
          <w:sz w:val="20"/>
          <w:szCs w:val="20"/>
        </w:rPr>
        <w:t>flight</w:t>
      </w:r>
      <w:r w:rsidRPr="007B03BC">
        <w:rPr>
          <w:rFonts w:ascii="Arial" w:hAnsi="Arial" w:cs="Arial"/>
          <w:spacing w:val="-6"/>
          <w:sz w:val="20"/>
          <w:szCs w:val="20"/>
        </w:rPr>
        <w:t xml:space="preserve"> </w:t>
      </w:r>
      <w:r w:rsidRPr="007B03BC">
        <w:rPr>
          <w:rFonts w:ascii="Arial" w:hAnsi="Arial" w:cs="Arial"/>
          <w:sz w:val="20"/>
          <w:szCs w:val="20"/>
        </w:rPr>
        <w:t>with</w:t>
      </w:r>
      <w:r w:rsidRPr="007B03BC">
        <w:rPr>
          <w:rFonts w:ascii="Arial" w:hAnsi="Arial" w:cs="Arial"/>
          <w:spacing w:val="-47"/>
          <w:sz w:val="20"/>
          <w:szCs w:val="20"/>
        </w:rPr>
        <w:t xml:space="preserve"> </w:t>
      </w:r>
      <w:r w:rsidRPr="007B03BC">
        <w:rPr>
          <w:rFonts w:ascii="Arial" w:hAnsi="Arial" w:cs="Arial"/>
          <w:sz w:val="20"/>
          <w:szCs w:val="20"/>
        </w:rPr>
        <w:t>an</w:t>
      </w:r>
      <w:r w:rsidRPr="007B03BC">
        <w:rPr>
          <w:rFonts w:ascii="Arial" w:hAnsi="Arial" w:cs="Arial"/>
          <w:spacing w:val="-1"/>
          <w:sz w:val="20"/>
          <w:szCs w:val="20"/>
        </w:rPr>
        <w:t xml:space="preserve"> </w:t>
      </w:r>
      <w:r w:rsidRPr="007B03BC">
        <w:rPr>
          <w:rFonts w:ascii="Arial" w:hAnsi="Arial" w:cs="Arial"/>
          <w:sz w:val="20"/>
          <w:szCs w:val="20"/>
        </w:rPr>
        <w:t>FI(B);</w:t>
      </w:r>
      <w:r w:rsidRPr="007B03BC">
        <w:rPr>
          <w:rFonts w:ascii="Arial" w:hAnsi="Arial" w:cs="Arial"/>
          <w:spacing w:val="-3"/>
          <w:sz w:val="20"/>
          <w:szCs w:val="20"/>
        </w:rPr>
        <w:t xml:space="preserve"> </w:t>
      </w:r>
      <w:r w:rsidRPr="007B03BC">
        <w:rPr>
          <w:rFonts w:ascii="Arial" w:hAnsi="Arial" w:cs="Arial"/>
          <w:sz w:val="20"/>
          <w:szCs w:val="20"/>
        </w:rPr>
        <w:t>or</w:t>
      </w:r>
    </w:p>
    <w:p w14:paraId="2500FB7F" w14:textId="77777777" w:rsidR="007B03BC" w:rsidRPr="007B03BC" w:rsidRDefault="007B03BC" w:rsidP="00D44EB0">
      <w:pPr>
        <w:numPr>
          <w:ilvl w:val="1"/>
          <w:numId w:val="206"/>
        </w:numPr>
        <w:tabs>
          <w:tab w:val="left" w:pos="1274"/>
        </w:tabs>
        <w:spacing w:before="118" w:line="276" w:lineRule="auto"/>
        <w:ind w:right="197"/>
        <w:jc w:val="both"/>
        <w:rPr>
          <w:rFonts w:ascii="Arial" w:hAnsi="Arial" w:cs="Arial"/>
          <w:sz w:val="20"/>
          <w:szCs w:val="20"/>
        </w:rPr>
      </w:pPr>
      <w:r w:rsidRPr="007B03BC">
        <w:rPr>
          <w:rFonts w:ascii="Arial" w:hAnsi="Arial" w:cs="Arial"/>
          <w:sz w:val="20"/>
          <w:szCs w:val="20"/>
        </w:rPr>
        <w:t>within the last 24 months before the planned flight, a proficiency check in accordance</w:t>
      </w:r>
      <w:r w:rsidRPr="007B03BC">
        <w:rPr>
          <w:rFonts w:ascii="Arial" w:hAnsi="Arial" w:cs="Arial"/>
          <w:spacing w:val="1"/>
          <w:sz w:val="20"/>
          <w:szCs w:val="20"/>
        </w:rPr>
        <w:t xml:space="preserve"> </w:t>
      </w:r>
      <w:r w:rsidRPr="007B03BC">
        <w:rPr>
          <w:rFonts w:ascii="Arial" w:hAnsi="Arial" w:cs="Arial"/>
          <w:sz w:val="20"/>
          <w:szCs w:val="20"/>
        </w:rPr>
        <w:t>with point</w:t>
      </w:r>
      <w:r w:rsidRPr="007B03BC">
        <w:rPr>
          <w:rFonts w:ascii="Arial" w:hAnsi="Arial" w:cs="Arial"/>
          <w:spacing w:val="-2"/>
          <w:sz w:val="20"/>
          <w:szCs w:val="20"/>
        </w:rPr>
        <w:t xml:space="preserve"> </w:t>
      </w:r>
      <w:r w:rsidRPr="007B03BC">
        <w:rPr>
          <w:rFonts w:ascii="Arial" w:hAnsi="Arial" w:cs="Arial"/>
          <w:sz w:val="20"/>
          <w:szCs w:val="20"/>
        </w:rPr>
        <w:t>(c).</w:t>
      </w:r>
    </w:p>
    <w:p w14:paraId="31BCF434" w14:textId="77777777" w:rsidR="007B03BC" w:rsidRPr="007B03BC" w:rsidRDefault="007B03BC" w:rsidP="00D44EB0">
      <w:pPr>
        <w:numPr>
          <w:ilvl w:val="0"/>
          <w:numId w:val="206"/>
        </w:numPr>
        <w:tabs>
          <w:tab w:val="left" w:pos="707"/>
        </w:tabs>
        <w:spacing w:before="121" w:line="276" w:lineRule="auto"/>
        <w:ind w:right="196"/>
        <w:jc w:val="both"/>
        <w:rPr>
          <w:rFonts w:ascii="Arial" w:hAnsi="Arial" w:cs="Arial"/>
          <w:sz w:val="20"/>
          <w:szCs w:val="20"/>
        </w:rPr>
      </w:pPr>
      <w:r w:rsidRPr="007B03BC">
        <w:rPr>
          <w:rFonts w:ascii="Arial" w:hAnsi="Arial" w:cs="Arial"/>
          <w:sz w:val="20"/>
          <w:szCs w:val="20"/>
        </w:rPr>
        <w:lastRenderedPageBreak/>
        <w:t>In addition to the requirements in paragraph (a), in the case of a pilot who is qualified to fly</w:t>
      </w:r>
      <w:r w:rsidRPr="007B03BC">
        <w:rPr>
          <w:rFonts w:ascii="Arial" w:hAnsi="Arial" w:cs="Arial"/>
          <w:spacing w:val="1"/>
          <w:sz w:val="20"/>
          <w:szCs w:val="20"/>
        </w:rPr>
        <w:t xml:space="preserve"> </w:t>
      </w:r>
      <w:r w:rsidRPr="007B03BC">
        <w:rPr>
          <w:rFonts w:ascii="Arial" w:hAnsi="Arial" w:cs="Arial"/>
          <w:sz w:val="20"/>
          <w:szCs w:val="20"/>
        </w:rPr>
        <w:t>more than one class of balloons, in order to exercise his or her privileges in the other balloon</w:t>
      </w:r>
      <w:r w:rsidRPr="007B03BC">
        <w:rPr>
          <w:rFonts w:ascii="Arial" w:hAnsi="Arial" w:cs="Arial"/>
          <w:spacing w:val="1"/>
          <w:sz w:val="20"/>
          <w:szCs w:val="20"/>
        </w:rPr>
        <w:t xml:space="preserve"> </w:t>
      </w:r>
      <w:r w:rsidRPr="007B03BC">
        <w:rPr>
          <w:rFonts w:ascii="Arial" w:hAnsi="Arial" w:cs="Arial"/>
          <w:sz w:val="20"/>
          <w:szCs w:val="20"/>
        </w:rPr>
        <w:t>class or the other balloon classes, he or she shall have completed at least three hours of flight</w:t>
      </w:r>
      <w:r w:rsidRPr="007B03BC">
        <w:rPr>
          <w:rFonts w:ascii="Arial" w:hAnsi="Arial" w:cs="Arial"/>
          <w:spacing w:val="1"/>
          <w:sz w:val="20"/>
          <w:szCs w:val="20"/>
        </w:rPr>
        <w:t xml:space="preserve"> </w:t>
      </w:r>
      <w:r w:rsidRPr="007B03BC">
        <w:rPr>
          <w:rFonts w:ascii="Arial" w:hAnsi="Arial" w:cs="Arial"/>
          <w:sz w:val="20"/>
          <w:szCs w:val="20"/>
        </w:rPr>
        <w:t>time, as PIC or flying dual or solo under the supervision of an FI(B), on each additional balloon</w:t>
      </w:r>
      <w:r w:rsidRPr="007B03BC">
        <w:rPr>
          <w:rFonts w:ascii="Arial" w:hAnsi="Arial" w:cs="Arial"/>
          <w:spacing w:val="1"/>
          <w:sz w:val="20"/>
          <w:szCs w:val="20"/>
        </w:rPr>
        <w:t xml:space="preserve"> </w:t>
      </w:r>
      <w:r w:rsidRPr="007B03BC">
        <w:rPr>
          <w:rFonts w:ascii="Arial" w:hAnsi="Arial" w:cs="Arial"/>
          <w:sz w:val="20"/>
          <w:szCs w:val="20"/>
        </w:rPr>
        <w:t>class</w:t>
      </w:r>
      <w:r w:rsidRPr="007B03BC">
        <w:rPr>
          <w:rFonts w:ascii="Arial" w:hAnsi="Arial" w:cs="Arial"/>
          <w:spacing w:val="-1"/>
          <w:sz w:val="20"/>
          <w:szCs w:val="20"/>
        </w:rPr>
        <w:t xml:space="preserve"> </w:t>
      </w:r>
      <w:r w:rsidRPr="007B03BC">
        <w:rPr>
          <w:rFonts w:ascii="Arial" w:hAnsi="Arial" w:cs="Arial"/>
          <w:sz w:val="20"/>
          <w:szCs w:val="20"/>
        </w:rPr>
        <w:t>within</w:t>
      </w:r>
      <w:r w:rsidRPr="007B03BC">
        <w:rPr>
          <w:rFonts w:ascii="Arial" w:hAnsi="Arial" w:cs="Arial"/>
          <w:spacing w:val="-1"/>
          <w:sz w:val="20"/>
          <w:szCs w:val="20"/>
        </w:rPr>
        <w:t xml:space="preserve"> </w:t>
      </w:r>
      <w:r w:rsidRPr="007B03BC">
        <w:rPr>
          <w:rFonts w:ascii="Arial" w:hAnsi="Arial" w:cs="Arial"/>
          <w:sz w:val="20"/>
          <w:szCs w:val="20"/>
        </w:rPr>
        <w:t>the</w:t>
      </w:r>
      <w:r w:rsidRPr="007B03BC">
        <w:rPr>
          <w:rFonts w:ascii="Arial" w:hAnsi="Arial" w:cs="Arial"/>
          <w:spacing w:val="1"/>
          <w:sz w:val="20"/>
          <w:szCs w:val="20"/>
        </w:rPr>
        <w:t xml:space="preserve"> </w:t>
      </w:r>
      <w:r w:rsidRPr="007B03BC">
        <w:rPr>
          <w:rFonts w:ascii="Arial" w:hAnsi="Arial" w:cs="Arial"/>
          <w:sz w:val="20"/>
          <w:szCs w:val="20"/>
        </w:rPr>
        <w:t>last</w:t>
      </w:r>
      <w:r w:rsidRPr="007B03BC">
        <w:rPr>
          <w:rFonts w:ascii="Arial" w:hAnsi="Arial" w:cs="Arial"/>
          <w:spacing w:val="-2"/>
          <w:sz w:val="20"/>
          <w:szCs w:val="20"/>
        </w:rPr>
        <w:t xml:space="preserve"> </w:t>
      </w:r>
      <w:r w:rsidRPr="007B03BC">
        <w:rPr>
          <w:rFonts w:ascii="Arial" w:hAnsi="Arial" w:cs="Arial"/>
          <w:sz w:val="20"/>
          <w:szCs w:val="20"/>
        </w:rPr>
        <w:t>24</w:t>
      </w:r>
      <w:r w:rsidRPr="007B03BC">
        <w:rPr>
          <w:rFonts w:ascii="Arial" w:hAnsi="Arial" w:cs="Arial"/>
          <w:spacing w:val="-2"/>
          <w:sz w:val="20"/>
          <w:szCs w:val="20"/>
        </w:rPr>
        <w:t xml:space="preserve"> </w:t>
      </w:r>
      <w:r w:rsidRPr="007B03BC">
        <w:rPr>
          <w:rFonts w:ascii="Arial" w:hAnsi="Arial" w:cs="Arial"/>
          <w:sz w:val="20"/>
          <w:szCs w:val="20"/>
        </w:rPr>
        <w:t>months.</w:t>
      </w:r>
    </w:p>
    <w:p w14:paraId="38F14A27" w14:textId="77777777" w:rsidR="007B03BC" w:rsidRPr="007B03BC" w:rsidRDefault="007B03BC" w:rsidP="00D44EB0">
      <w:pPr>
        <w:numPr>
          <w:ilvl w:val="0"/>
          <w:numId w:val="206"/>
        </w:numPr>
        <w:tabs>
          <w:tab w:val="left" w:pos="707"/>
        </w:tabs>
        <w:spacing w:before="121" w:line="276" w:lineRule="auto"/>
        <w:ind w:right="194"/>
        <w:jc w:val="both"/>
        <w:rPr>
          <w:rFonts w:ascii="Arial" w:hAnsi="Arial" w:cs="Arial"/>
          <w:sz w:val="20"/>
          <w:szCs w:val="20"/>
        </w:rPr>
      </w:pPr>
      <w:r w:rsidRPr="007B03BC">
        <w:rPr>
          <w:rFonts w:ascii="Arial" w:hAnsi="Arial" w:cs="Arial"/>
          <w:sz w:val="20"/>
          <w:szCs w:val="20"/>
        </w:rPr>
        <w:t>A</w:t>
      </w:r>
      <w:r w:rsidRPr="007B03BC">
        <w:rPr>
          <w:rFonts w:ascii="Arial" w:hAnsi="Arial" w:cs="Arial"/>
          <w:spacing w:val="-5"/>
          <w:sz w:val="20"/>
          <w:szCs w:val="20"/>
        </w:rPr>
        <w:t xml:space="preserve"> </w:t>
      </w:r>
      <w:r w:rsidRPr="007B03BC">
        <w:rPr>
          <w:rFonts w:ascii="Arial" w:hAnsi="Arial" w:cs="Arial"/>
          <w:sz w:val="20"/>
          <w:szCs w:val="20"/>
        </w:rPr>
        <w:t>BPL</w:t>
      </w:r>
      <w:r w:rsidRPr="007B03BC">
        <w:rPr>
          <w:rFonts w:ascii="Arial" w:hAnsi="Arial" w:cs="Arial"/>
          <w:spacing w:val="-5"/>
          <w:sz w:val="20"/>
          <w:szCs w:val="20"/>
        </w:rPr>
        <w:t xml:space="preserve"> </w:t>
      </w:r>
      <w:r w:rsidRPr="007B03BC">
        <w:rPr>
          <w:rFonts w:ascii="Arial" w:hAnsi="Arial" w:cs="Arial"/>
          <w:sz w:val="20"/>
          <w:szCs w:val="20"/>
        </w:rPr>
        <w:t>holder</w:t>
      </w:r>
      <w:r w:rsidRPr="007B03BC">
        <w:rPr>
          <w:rFonts w:ascii="Arial" w:hAnsi="Arial" w:cs="Arial"/>
          <w:spacing w:val="-5"/>
          <w:sz w:val="20"/>
          <w:szCs w:val="20"/>
        </w:rPr>
        <w:t xml:space="preserve"> </w:t>
      </w:r>
      <w:r w:rsidRPr="007B03BC">
        <w:rPr>
          <w:rFonts w:ascii="Arial" w:hAnsi="Arial" w:cs="Arial"/>
          <w:sz w:val="20"/>
          <w:szCs w:val="20"/>
        </w:rPr>
        <w:t>who</w:t>
      </w:r>
      <w:r w:rsidRPr="007B03BC">
        <w:rPr>
          <w:rFonts w:ascii="Arial" w:hAnsi="Arial" w:cs="Arial"/>
          <w:spacing w:val="-4"/>
          <w:sz w:val="20"/>
          <w:szCs w:val="20"/>
        </w:rPr>
        <w:t xml:space="preserve"> </w:t>
      </w:r>
      <w:r w:rsidRPr="007B03BC">
        <w:rPr>
          <w:rFonts w:ascii="Arial" w:hAnsi="Arial" w:cs="Arial"/>
          <w:sz w:val="20"/>
          <w:szCs w:val="20"/>
        </w:rPr>
        <w:t>does</w:t>
      </w:r>
      <w:r w:rsidRPr="007B03BC">
        <w:rPr>
          <w:rFonts w:ascii="Arial" w:hAnsi="Arial" w:cs="Arial"/>
          <w:spacing w:val="-2"/>
          <w:sz w:val="20"/>
          <w:szCs w:val="20"/>
        </w:rPr>
        <w:t xml:space="preserve"> </w:t>
      </w:r>
      <w:r w:rsidRPr="007B03BC">
        <w:rPr>
          <w:rFonts w:ascii="Arial" w:hAnsi="Arial" w:cs="Arial"/>
          <w:sz w:val="20"/>
          <w:szCs w:val="20"/>
        </w:rPr>
        <w:t>not</w:t>
      </w:r>
      <w:r w:rsidRPr="007B03BC">
        <w:rPr>
          <w:rFonts w:ascii="Arial" w:hAnsi="Arial" w:cs="Arial"/>
          <w:spacing w:val="-7"/>
          <w:sz w:val="20"/>
          <w:szCs w:val="20"/>
        </w:rPr>
        <w:t xml:space="preserve"> </w:t>
      </w:r>
      <w:r w:rsidRPr="007B03BC">
        <w:rPr>
          <w:rFonts w:ascii="Arial" w:hAnsi="Arial" w:cs="Arial"/>
          <w:sz w:val="20"/>
          <w:szCs w:val="20"/>
        </w:rPr>
        <w:t>comply</w:t>
      </w:r>
      <w:r w:rsidRPr="007B03BC">
        <w:rPr>
          <w:rFonts w:ascii="Arial" w:hAnsi="Arial" w:cs="Arial"/>
          <w:spacing w:val="-5"/>
          <w:sz w:val="20"/>
          <w:szCs w:val="20"/>
        </w:rPr>
        <w:t xml:space="preserve"> </w:t>
      </w:r>
      <w:r w:rsidRPr="007B03BC">
        <w:rPr>
          <w:rFonts w:ascii="Arial" w:hAnsi="Arial" w:cs="Arial"/>
          <w:sz w:val="20"/>
          <w:szCs w:val="20"/>
        </w:rPr>
        <w:t>with</w:t>
      </w:r>
      <w:r w:rsidRPr="007B03BC">
        <w:rPr>
          <w:rFonts w:ascii="Arial" w:hAnsi="Arial" w:cs="Arial"/>
          <w:spacing w:val="-6"/>
          <w:sz w:val="20"/>
          <w:szCs w:val="20"/>
        </w:rPr>
        <w:t xml:space="preserve"> </w:t>
      </w:r>
      <w:r w:rsidRPr="007B03BC">
        <w:rPr>
          <w:rFonts w:ascii="Arial" w:hAnsi="Arial" w:cs="Arial"/>
          <w:sz w:val="20"/>
          <w:szCs w:val="20"/>
        </w:rPr>
        <w:t>the</w:t>
      </w:r>
      <w:r w:rsidRPr="007B03BC">
        <w:rPr>
          <w:rFonts w:ascii="Arial" w:hAnsi="Arial" w:cs="Arial"/>
          <w:spacing w:val="-6"/>
          <w:sz w:val="20"/>
          <w:szCs w:val="20"/>
        </w:rPr>
        <w:t xml:space="preserve"> </w:t>
      </w:r>
      <w:r w:rsidRPr="007B03BC">
        <w:rPr>
          <w:rFonts w:ascii="Arial" w:hAnsi="Arial" w:cs="Arial"/>
          <w:sz w:val="20"/>
          <w:szCs w:val="20"/>
        </w:rPr>
        <w:t>requirements</w:t>
      </w:r>
      <w:r w:rsidRPr="007B03BC">
        <w:rPr>
          <w:rFonts w:ascii="Arial" w:hAnsi="Arial" w:cs="Arial"/>
          <w:spacing w:val="-3"/>
          <w:sz w:val="20"/>
          <w:szCs w:val="20"/>
        </w:rPr>
        <w:t xml:space="preserve"> </w:t>
      </w:r>
      <w:r w:rsidRPr="007B03BC">
        <w:rPr>
          <w:rFonts w:ascii="Arial" w:hAnsi="Arial" w:cs="Arial"/>
          <w:sz w:val="20"/>
          <w:szCs w:val="20"/>
        </w:rPr>
        <w:t>in</w:t>
      </w:r>
      <w:r w:rsidRPr="007B03BC">
        <w:rPr>
          <w:rFonts w:ascii="Arial" w:hAnsi="Arial" w:cs="Arial"/>
          <w:spacing w:val="-4"/>
          <w:sz w:val="20"/>
          <w:szCs w:val="20"/>
        </w:rPr>
        <w:t xml:space="preserve"> </w:t>
      </w:r>
      <w:r w:rsidRPr="007B03BC">
        <w:rPr>
          <w:rFonts w:ascii="Arial" w:hAnsi="Arial" w:cs="Arial"/>
          <w:sz w:val="20"/>
          <w:szCs w:val="20"/>
        </w:rPr>
        <w:t>paragraph</w:t>
      </w:r>
      <w:r w:rsidRPr="007B03BC">
        <w:rPr>
          <w:rFonts w:ascii="Arial" w:hAnsi="Arial" w:cs="Arial"/>
          <w:spacing w:val="-4"/>
          <w:sz w:val="20"/>
          <w:szCs w:val="20"/>
        </w:rPr>
        <w:t xml:space="preserve"> </w:t>
      </w:r>
      <w:r w:rsidRPr="007B03BC">
        <w:rPr>
          <w:rFonts w:ascii="Arial" w:hAnsi="Arial" w:cs="Arial"/>
          <w:sz w:val="20"/>
          <w:szCs w:val="20"/>
        </w:rPr>
        <w:t>(a)(1)</w:t>
      </w:r>
      <w:r w:rsidRPr="007B03BC">
        <w:rPr>
          <w:rFonts w:ascii="Arial" w:hAnsi="Arial" w:cs="Arial"/>
          <w:spacing w:val="-6"/>
          <w:sz w:val="20"/>
          <w:szCs w:val="20"/>
        </w:rPr>
        <w:t xml:space="preserve"> </w:t>
      </w:r>
      <w:r w:rsidRPr="007B03BC">
        <w:rPr>
          <w:rFonts w:ascii="Arial" w:hAnsi="Arial" w:cs="Arial"/>
          <w:sz w:val="20"/>
          <w:szCs w:val="20"/>
        </w:rPr>
        <w:t>and,</w:t>
      </w:r>
      <w:r w:rsidRPr="007B03BC">
        <w:rPr>
          <w:rFonts w:ascii="Arial" w:hAnsi="Arial" w:cs="Arial"/>
          <w:spacing w:val="-6"/>
          <w:sz w:val="20"/>
          <w:szCs w:val="20"/>
        </w:rPr>
        <w:t xml:space="preserve"> </w:t>
      </w:r>
      <w:r w:rsidRPr="007B03BC">
        <w:rPr>
          <w:rFonts w:ascii="Arial" w:hAnsi="Arial" w:cs="Arial"/>
          <w:sz w:val="20"/>
          <w:szCs w:val="20"/>
        </w:rPr>
        <w:t>if</w:t>
      </w:r>
      <w:r w:rsidRPr="007B03BC">
        <w:rPr>
          <w:rFonts w:ascii="Arial" w:hAnsi="Arial" w:cs="Arial"/>
          <w:spacing w:val="-4"/>
          <w:sz w:val="20"/>
          <w:szCs w:val="20"/>
        </w:rPr>
        <w:t xml:space="preserve"> </w:t>
      </w:r>
      <w:r w:rsidRPr="007B03BC">
        <w:rPr>
          <w:rFonts w:ascii="Arial" w:hAnsi="Arial" w:cs="Arial"/>
          <w:sz w:val="20"/>
          <w:szCs w:val="20"/>
        </w:rPr>
        <w:t>applicable,</w:t>
      </w:r>
      <w:r w:rsidRPr="007B03BC">
        <w:rPr>
          <w:rFonts w:ascii="Arial" w:hAnsi="Arial" w:cs="Arial"/>
          <w:spacing w:val="-48"/>
          <w:sz w:val="20"/>
          <w:szCs w:val="20"/>
        </w:rPr>
        <w:t xml:space="preserve"> </w:t>
      </w:r>
      <w:r w:rsidRPr="007B03BC">
        <w:rPr>
          <w:rFonts w:ascii="Arial" w:hAnsi="Arial" w:cs="Arial"/>
          <w:sz w:val="20"/>
          <w:szCs w:val="20"/>
        </w:rPr>
        <w:t>(b), before resuming the exercise of his or her privileges, shall pass a proficiency check with an</w:t>
      </w:r>
      <w:r w:rsidRPr="007B03BC">
        <w:rPr>
          <w:rFonts w:ascii="Arial" w:hAnsi="Arial" w:cs="Arial"/>
          <w:spacing w:val="1"/>
          <w:sz w:val="20"/>
          <w:szCs w:val="20"/>
        </w:rPr>
        <w:t xml:space="preserve"> </w:t>
      </w:r>
      <w:r w:rsidRPr="007B03BC">
        <w:rPr>
          <w:rFonts w:ascii="Arial" w:hAnsi="Arial" w:cs="Arial"/>
          <w:sz w:val="20"/>
          <w:szCs w:val="20"/>
        </w:rPr>
        <w:t>FE(B)</w:t>
      </w:r>
      <w:r w:rsidRPr="007B03BC">
        <w:rPr>
          <w:rFonts w:ascii="Arial" w:hAnsi="Arial" w:cs="Arial"/>
          <w:spacing w:val="-1"/>
          <w:sz w:val="20"/>
          <w:szCs w:val="20"/>
        </w:rPr>
        <w:t xml:space="preserve"> </w:t>
      </w:r>
      <w:r w:rsidRPr="007B03BC">
        <w:rPr>
          <w:rFonts w:ascii="Arial" w:hAnsi="Arial" w:cs="Arial"/>
          <w:sz w:val="20"/>
          <w:szCs w:val="20"/>
        </w:rPr>
        <w:t>in</w:t>
      </w:r>
      <w:r w:rsidRPr="007B03BC">
        <w:rPr>
          <w:rFonts w:ascii="Arial" w:hAnsi="Arial" w:cs="Arial"/>
          <w:spacing w:val="-1"/>
          <w:sz w:val="20"/>
          <w:szCs w:val="20"/>
        </w:rPr>
        <w:t xml:space="preserve"> </w:t>
      </w:r>
      <w:r w:rsidRPr="007B03BC">
        <w:rPr>
          <w:rFonts w:ascii="Arial" w:hAnsi="Arial" w:cs="Arial"/>
          <w:sz w:val="20"/>
          <w:szCs w:val="20"/>
        </w:rPr>
        <w:t>a balloon</w:t>
      </w:r>
      <w:r w:rsidRPr="007B03BC">
        <w:rPr>
          <w:rFonts w:ascii="Arial" w:hAnsi="Arial" w:cs="Arial"/>
          <w:spacing w:val="-1"/>
          <w:sz w:val="20"/>
          <w:szCs w:val="20"/>
        </w:rPr>
        <w:t xml:space="preserve"> </w:t>
      </w:r>
      <w:r w:rsidRPr="007B03BC">
        <w:rPr>
          <w:rFonts w:ascii="Arial" w:hAnsi="Arial" w:cs="Arial"/>
          <w:sz w:val="20"/>
          <w:szCs w:val="20"/>
        </w:rPr>
        <w:t>that</w:t>
      </w:r>
      <w:r w:rsidRPr="007B03BC">
        <w:rPr>
          <w:rFonts w:ascii="Arial" w:hAnsi="Arial" w:cs="Arial"/>
          <w:spacing w:val="2"/>
          <w:sz w:val="20"/>
          <w:szCs w:val="20"/>
        </w:rPr>
        <w:t xml:space="preserve"> </w:t>
      </w:r>
      <w:r w:rsidRPr="007B03BC">
        <w:rPr>
          <w:rFonts w:ascii="Arial" w:hAnsi="Arial" w:cs="Arial"/>
          <w:sz w:val="20"/>
          <w:szCs w:val="20"/>
        </w:rPr>
        <w:t>represents</w:t>
      </w:r>
      <w:r w:rsidRPr="007B03BC">
        <w:rPr>
          <w:rFonts w:ascii="Arial" w:hAnsi="Arial" w:cs="Arial"/>
          <w:spacing w:val="-2"/>
          <w:sz w:val="20"/>
          <w:szCs w:val="20"/>
        </w:rPr>
        <w:t xml:space="preserve"> </w:t>
      </w:r>
      <w:r w:rsidRPr="007B03BC">
        <w:rPr>
          <w:rFonts w:ascii="Arial" w:hAnsi="Arial" w:cs="Arial"/>
          <w:sz w:val="20"/>
          <w:szCs w:val="20"/>
        </w:rPr>
        <w:t>the</w:t>
      </w:r>
      <w:r w:rsidRPr="007B03BC">
        <w:rPr>
          <w:rFonts w:ascii="Arial" w:hAnsi="Arial" w:cs="Arial"/>
          <w:spacing w:val="-1"/>
          <w:sz w:val="20"/>
          <w:szCs w:val="20"/>
        </w:rPr>
        <w:t xml:space="preserve"> </w:t>
      </w:r>
      <w:r w:rsidRPr="007B03BC">
        <w:rPr>
          <w:rFonts w:ascii="Arial" w:hAnsi="Arial" w:cs="Arial"/>
          <w:sz w:val="20"/>
          <w:szCs w:val="20"/>
        </w:rPr>
        <w:t>relevant class.</w:t>
      </w:r>
    </w:p>
    <w:p w14:paraId="1BB69D27" w14:textId="77777777" w:rsidR="007B03BC" w:rsidRPr="007B03BC" w:rsidRDefault="007B03BC" w:rsidP="00D44EB0">
      <w:pPr>
        <w:numPr>
          <w:ilvl w:val="0"/>
          <w:numId w:val="206"/>
        </w:numPr>
        <w:tabs>
          <w:tab w:val="left" w:pos="707"/>
        </w:tabs>
        <w:spacing w:before="119" w:line="276" w:lineRule="auto"/>
        <w:ind w:right="200"/>
        <w:jc w:val="both"/>
        <w:rPr>
          <w:rFonts w:ascii="Arial" w:hAnsi="Arial" w:cs="Arial"/>
          <w:sz w:val="20"/>
          <w:szCs w:val="20"/>
        </w:rPr>
      </w:pPr>
      <w:r w:rsidRPr="007B03BC">
        <w:rPr>
          <w:rFonts w:ascii="Arial" w:hAnsi="Arial" w:cs="Arial"/>
          <w:sz w:val="20"/>
          <w:szCs w:val="20"/>
        </w:rPr>
        <w:t>After complying with paragraph (a), (b) or (c), as applicable, a BPL holder with privileges to fly</w:t>
      </w:r>
      <w:r w:rsidRPr="007B03BC">
        <w:rPr>
          <w:rFonts w:ascii="Arial" w:hAnsi="Arial" w:cs="Arial"/>
          <w:spacing w:val="1"/>
          <w:sz w:val="20"/>
          <w:szCs w:val="20"/>
        </w:rPr>
        <w:t xml:space="preserve"> </w:t>
      </w:r>
      <w:r w:rsidRPr="007B03BC">
        <w:rPr>
          <w:rFonts w:ascii="Arial" w:hAnsi="Arial" w:cs="Arial"/>
          <w:sz w:val="20"/>
          <w:szCs w:val="20"/>
        </w:rPr>
        <w:t>hot-air</w:t>
      </w:r>
      <w:r w:rsidRPr="007B03BC">
        <w:rPr>
          <w:rFonts w:ascii="Arial" w:hAnsi="Arial" w:cs="Arial"/>
          <w:spacing w:val="-2"/>
          <w:sz w:val="20"/>
          <w:szCs w:val="20"/>
        </w:rPr>
        <w:t xml:space="preserve"> </w:t>
      </w:r>
      <w:r w:rsidRPr="007B03BC">
        <w:rPr>
          <w:rFonts w:ascii="Arial" w:hAnsi="Arial" w:cs="Arial"/>
          <w:sz w:val="20"/>
          <w:szCs w:val="20"/>
        </w:rPr>
        <w:t>balloons</w:t>
      </w:r>
      <w:r w:rsidRPr="007B03BC">
        <w:rPr>
          <w:rFonts w:ascii="Arial" w:hAnsi="Arial" w:cs="Arial"/>
          <w:spacing w:val="-2"/>
          <w:sz w:val="20"/>
          <w:szCs w:val="20"/>
        </w:rPr>
        <w:t xml:space="preserve"> </w:t>
      </w:r>
      <w:r w:rsidRPr="007B03BC">
        <w:rPr>
          <w:rFonts w:ascii="Arial" w:hAnsi="Arial" w:cs="Arial"/>
          <w:sz w:val="20"/>
          <w:szCs w:val="20"/>
        </w:rPr>
        <w:t>shall</w:t>
      </w:r>
      <w:r w:rsidRPr="007B03BC">
        <w:rPr>
          <w:rFonts w:ascii="Arial" w:hAnsi="Arial" w:cs="Arial"/>
          <w:spacing w:val="-2"/>
          <w:sz w:val="20"/>
          <w:szCs w:val="20"/>
        </w:rPr>
        <w:t xml:space="preserve"> </w:t>
      </w:r>
      <w:r w:rsidRPr="007B03BC">
        <w:rPr>
          <w:rFonts w:ascii="Arial" w:hAnsi="Arial" w:cs="Arial"/>
          <w:sz w:val="20"/>
          <w:szCs w:val="20"/>
        </w:rPr>
        <w:t>exercise</w:t>
      </w:r>
      <w:r w:rsidRPr="007B03BC">
        <w:rPr>
          <w:rFonts w:ascii="Arial" w:hAnsi="Arial" w:cs="Arial"/>
          <w:spacing w:val="1"/>
          <w:sz w:val="20"/>
          <w:szCs w:val="20"/>
        </w:rPr>
        <w:t xml:space="preserve"> </w:t>
      </w:r>
      <w:r w:rsidRPr="007B03BC">
        <w:rPr>
          <w:rFonts w:ascii="Arial" w:hAnsi="Arial" w:cs="Arial"/>
          <w:sz w:val="20"/>
          <w:szCs w:val="20"/>
        </w:rPr>
        <w:t>his</w:t>
      </w:r>
      <w:r w:rsidRPr="007B03BC">
        <w:rPr>
          <w:rFonts w:ascii="Arial" w:hAnsi="Arial" w:cs="Arial"/>
          <w:spacing w:val="-3"/>
          <w:sz w:val="20"/>
          <w:szCs w:val="20"/>
        </w:rPr>
        <w:t xml:space="preserve"> </w:t>
      </w:r>
      <w:r w:rsidRPr="007B03BC">
        <w:rPr>
          <w:rFonts w:ascii="Arial" w:hAnsi="Arial" w:cs="Arial"/>
          <w:sz w:val="20"/>
          <w:szCs w:val="20"/>
        </w:rPr>
        <w:t>or her</w:t>
      </w:r>
      <w:r w:rsidRPr="007B03BC">
        <w:rPr>
          <w:rFonts w:ascii="Arial" w:hAnsi="Arial" w:cs="Arial"/>
          <w:spacing w:val="-2"/>
          <w:sz w:val="20"/>
          <w:szCs w:val="20"/>
        </w:rPr>
        <w:t xml:space="preserve"> </w:t>
      </w:r>
      <w:r w:rsidRPr="007B03BC">
        <w:rPr>
          <w:rFonts w:ascii="Arial" w:hAnsi="Arial" w:cs="Arial"/>
          <w:sz w:val="20"/>
          <w:szCs w:val="20"/>
        </w:rPr>
        <w:t>privileges</w:t>
      </w:r>
      <w:r w:rsidRPr="007B03BC">
        <w:rPr>
          <w:rFonts w:ascii="Arial" w:hAnsi="Arial" w:cs="Arial"/>
          <w:spacing w:val="-1"/>
          <w:sz w:val="20"/>
          <w:szCs w:val="20"/>
        </w:rPr>
        <w:t xml:space="preserve"> </w:t>
      </w:r>
      <w:r w:rsidRPr="007B03BC">
        <w:rPr>
          <w:rFonts w:ascii="Arial" w:hAnsi="Arial" w:cs="Arial"/>
          <w:sz w:val="20"/>
          <w:szCs w:val="20"/>
        </w:rPr>
        <w:t>only</w:t>
      </w:r>
      <w:r w:rsidRPr="007B03BC">
        <w:rPr>
          <w:rFonts w:ascii="Arial" w:hAnsi="Arial" w:cs="Arial"/>
          <w:spacing w:val="-3"/>
          <w:sz w:val="20"/>
          <w:szCs w:val="20"/>
        </w:rPr>
        <w:t xml:space="preserve"> </w:t>
      </w:r>
      <w:r w:rsidRPr="007B03BC">
        <w:rPr>
          <w:rFonts w:ascii="Arial" w:hAnsi="Arial" w:cs="Arial"/>
          <w:sz w:val="20"/>
          <w:szCs w:val="20"/>
        </w:rPr>
        <w:t>on</w:t>
      </w:r>
      <w:r w:rsidRPr="007B03BC">
        <w:rPr>
          <w:rFonts w:ascii="Arial" w:hAnsi="Arial" w:cs="Arial"/>
          <w:spacing w:val="-1"/>
          <w:sz w:val="20"/>
          <w:szCs w:val="20"/>
        </w:rPr>
        <w:t xml:space="preserve"> </w:t>
      </w:r>
      <w:r w:rsidRPr="007B03BC">
        <w:rPr>
          <w:rFonts w:ascii="Arial" w:hAnsi="Arial" w:cs="Arial"/>
          <w:sz w:val="20"/>
          <w:szCs w:val="20"/>
        </w:rPr>
        <w:t>hot-air</w:t>
      </w:r>
      <w:r w:rsidRPr="007B03BC">
        <w:rPr>
          <w:rFonts w:ascii="Arial" w:hAnsi="Arial" w:cs="Arial"/>
          <w:spacing w:val="-2"/>
          <w:sz w:val="20"/>
          <w:szCs w:val="20"/>
        </w:rPr>
        <w:t xml:space="preserve"> </w:t>
      </w:r>
      <w:r w:rsidRPr="007B03BC">
        <w:rPr>
          <w:rFonts w:ascii="Arial" w:hAnsi="Arial" w:cs="Arial"/>
          <w:sz w:val="20"/>
          <w:szCs w:val="20"/>
        </w:rPr>
        <w:t>balloons</w:t>
      </w:r>
      <w:r w:rsidRPr="007B03BC">
        <w:rPr>
          <w:rFonts w:ascii="Arial" w:hAnsi="Arial" w:cs="Arial"/>
          <w:spacing w:val="-3"/>
          <w:sz w:val="20"/>
          <w:szCs w:val="20"/>
        </w:rPr>
        <w:t xml:space="preserve"> </w:t>
      </w:r>
      <w:r w:rsidRPr="007B03BC">
        <w:rPr>
          <w:rFonts w:ascii="Arial" w:hAnsi="Arial" w:cs="Arial"/>
          <w:sz w:val="20"/>
          <w:szCs w:val="20"/>
        </w:rPr>
        <w:t>that</w:t>
      </w:r>
      <w:r w:rsidRPr="007B03BC">
        <w:rPr>
          <w:rFonts w:ascii="Arial" w:hAnsi="Arial" w:cs="Arial"/>
          <w:spacing w:val="-1"/>
          <w:sz w:val="20"/>
          <w:szCs w:val="20"/>
        </w:rPr>
        <w:t xml:space="preserve"> </w:t>
      </w:r>
      <w:r w:rsidRPr="007B03BC">
        <w:rPr>
          <w:rFonts w:ascii="Arial" w:hAnsi="Arial" w:cs="Arial"/>
          <w:sz w:val="20"/>
          <w:szCs w:val="20"/>
        </w:rPr>
        <w:t>represent:</w:t>
      </w:r>
    </w:p>
    <w:p w14:paraId="47B7929F" w14:textId="77777777" w:rsidR="007B03BC" w:rsidRPr="007B03BC" w:rsidRDefault="007B03BC" w:rsidP="00D44EB0">
      <w:pPr>
        <w:numPr>
          <w:ilvl w:val="0"/>
          <w:numId w:val="205"/>
        </w:numPr>
        <w:tabs>
          <w:tab w:val="left" w:pos="1274"/>
        </w:tabs>
        <w:spacing w:before="120" w:line="276" w:lineRule="auto"/>
        <w:ind w:right="196"/>
        <w:jc w:val="both"/>
        <w:rPr>
          <w:rFonts w:ascii="Arial" w:hAnsi="Arial" w:cs="Arial"/>
          <w:sz w:val="20"/>
          <w:szCs w:val="20"/>
        </w:rPr>
      </w:pPr>
      <w:r w:rsidRPr="007B03BC">
        <w:rPr>
          <w:rFonts w:ascii="Arial" w:hAnsi="Arial" w:cs="Arial"/>
          <w:sz w:val="20"/>
          <w:szCs w:val="20"/>
        </w:rPr>
        <w:t>the same group of hot-air balloons in which the training flight as specified in paragraph</w:t>
      </w:r>
      <w:r w:rsidRPr="007B03BC">
        <w:rPr>
          <w:rFonts w:ascii="Arial" w:hAnsi="Arial" w:cs="Arial"/>
          <w:spacing w:val="1"/>
          <w:sz w:val="20"/>
          <w:szCs w:val="20"/>
        </w:rPr>
        <w:t xml:space="preserve"> </w:t>
      </w:r>
      <w:r w:rsidRPr="007B03BC">
        <w:rPr>
          <w:rFonts w:ascii="Arial" w:hAnsi="Arial" w:cs="Arial"/>
          <w:sz w:val="20"/>
          <w:szCs w:val="20"/>
        </w:rPr>
        <w:t>(a)(1)(ii) or the proficiency check as specified in paragraph (c), as applicable, have been</w:t>
      </w:r>
      <w:r w:rsidRPr="007B03BC">
        <w:rPr>
          <w:rFonts w:ascii="Arial" w:hAnsi="Arial" w:cs="Arial"/>
          <w:spacing w:val="1"/>
          <w:sz w:val="20"/>
          <w:szCs w:val="20"/>
        </w:rPr>
        <w:t xml:space="preserve"> </w:t>
      </w:r>
      <w:r w:rsidRPr="007B03BC">
        <w:rPr>
          <w:rFonts w:ascii="Arial" w:hAnsi="Arial" w:cs="Arial"/>
          <w:sz w:val="20"/>
          <w:szCs w:val="20"/>
        </w:rPr>
        <w:t>completed, or</w:t>
      </w:r>
      <w:r w:rsidRPr="007B03BC">
        <w:rPr>
          <w:rFonts w:ascii="Arial" w:hAnsi="Arial" w:cs="Arial"/>
          <w:spacing w:val="-3"/>
          <w:sz w:val="20"/>
          <w:szCs w:val="20"/>
        </w:rPr>
        <w:t xml:space="preserve"> </w:t>
      </w:r>
      <w:r w:rsidRPr="007B03BC">
        <w:rPr>
          <w:rFonts w:ascii="Arial" w:hAnsi="Arial" w:cs="Arial"/>
          <w:sz w:val="20"/>
          <w:szCs w:val="20"/>
        </w:rPr>
        <w:t>a group</w:t>
      </w:r>
      <w:r w:rsidRPr="007B03BC">
        <w:rPr>
          <w:rFonts w:ascii="Arial" w:hAnsi="Arial" w:cs="Arial"/>
          <w:spacing w:val="-1"/>
          <w:sz w:val="20"/>
          <w:szCs w:val="20"/>
        </w:rPr>
        <w:t xml:space="preserve"> </w:t>
      </w:r>
      <w:r w:rsidRPr="007B03BC">
        <w:rPr>
          <w:rFonts w:ascii="Arial" w:hAnsi="Arial" w:cs="Arial"/>
          <w:sz w:val="20"/>
          <w:szCs w:val="20"/>
        </w:rPr>
        <w:t>with</w:t>
      </w:r>
      <w:r w:rsidRPr="007B03BC">
        <w:rPr>
          <w:rFonts w:ascii="Arial" w:hAnsi="Arial" w:cs="Arial"/>
          <w:spacing w:val="-3"/>
          <w:sz w:val="20"/>
          <w:szCs w:val="20"/>
        </w:rPr>
        <w:t xml:space="preserve"> </w:t>
      </w:r>
      <w:r w:rsidRPr="007B03BC">
        <w:rPr>
          <w:rFonts w:ascii="Arial" w:hAnsi="Arial" w:cs="Arial"/>
          <w:sz w:val="20"/>
          <w:szCs w:val="20"/>
        </w:rPr>
        <w:t>a smaller</w:t>
      </w:r>
      <w:r w:rsidRPr="007B03BC">
        <w:rPr>
          <w:rFonts w:ascii="Arial" w:hAnsi="Arial" w:cs="Arial"/>
          <w:spacing w:val="-2"/>
          <w:sz w:val="20"/>
          <w:szCs w:val="20"/>
        </w:rPr>
        <w:t xml:space="preserve"> </w:t>
      </w:r>
      <w:r w:rsidRPr="007B03BC">
        <w:rPr>
          <w:rFonts w:ascii="Arial" w:hAnsi="Arial" w:cs="Arial"/>
          <w:sz w:val="20"/>
          <w:szCs w:val="20"/>
        </w:rPr>
        <w:t>envelope</w:t>
      </w:r>
      <w:r w:rsidRPr="007B03BC">
        <w:rPr>
          <w:rFonts w:ascii="Arial" w:hAnsi="Arial" w:cs="Arial"/>
          <w:spacing w:val="-2"/>
          <w:sz w:val="20"/>
          <w:szCs w:val="20"/>
        </w:rPr>
        <w:t xml:space="preserve"> </w:t>
      </w:r>
      <w:r w:rsidRPr="007B03BC">
        <w:rPr>
          <w:rFonts w:ascii="Arial" w:hAnsi="Arial" w:cs="Arial"/>
          <w:sz w:val="20"/>
          <w:szCs w:val="20"/>
        </w:rPr>
        <w:t>size;</w:t>
      </w:r>
      <w:r w:rsidRPr="007B03BC">
        <w:rPr>
          <w:rFonts w:ascii="Arial" w:hAnsi="Arial" w:cs="Arial"/>
          <w:spacing w:val="-2"/>
          <w:sz w:val="20"/>
          <w:szCs w:val="20"/>
        </w:rPr>
        <w:t xml:space="preserve"> </w:t>
      </w:r>
      <w:r w:rsidRPr="007B03BC">
        <w:rPr>
          <w:rFonts w:ascii="Arial" w:hAnsi="Arial" w:cs="Arial"/>
          <w:sz w:val="20"/>
          <w:szCs w:val="20"/>
        </w:rPr>
        <w:t>or</w:t>
      </w:r>
    </w:p>
    <w:p w14:paraId="6880B31A" w14:textId="77777777" w:rsidR="007B03BC" w:rsidRPr="007B03BC" w:rsidRDefault="007B03BC" w:rsidP="00D44EB0">
      <w:pPr>
        <w:numPr>
          <w:ilvl w:val="0"/>
          <w:numId w:val="205"/>
        </w:numPr>
        <w:tabs>
          <w:tab w:val="left" w:pos="1274"/>
        </w:tabs>
        <w:spacing w:before="121" w:line="276" w:lineRule="auto"/>
        <w:ind w:right="196"/>
        <w:jc w:val="both"/>
        <w:rPr>
          <w:rFonts w:ascii="Arial" w:hAnsi="Arial" w:cs="Arial"/>
          <w:sz w:val="20"/>
          <w:szCs w:val="20"/>
        </w:rPr>
      </w:pPr>
      <w:r w:rsidRPr="007B03BC">
        <w:rPr>
          <w:rFonts w:ascii="Arial" w:hAnsi="Arial" w:cs="Arial"/>
          <w:sz w:val="20"/>
          <w:szCs w:val="20"/>
        </w:rPr>
        <w:t>group A of hot-air balloons in cases where a pilot, in accordance with paragraph (b), has</w:t>
      </w:r>
      <w:r w:rsidRPr="007B03BC">
        <w:rPr>
          <w:rFonts w:ascii="Arial" w:hAnsi="Arial" w:cs="Arial"/>
          <w:spacing w:val="1"/>
          <w:sz w:val="20"/>
          <w:szCs w:val="20"/>
        </w:rPr>
        <w:t xml:space="preserve"> </w:t>
      </w:r>
      <w:r w:rsidRPr="007B03BC">
        <w:rPr>
          <w:rFonts w:ascii="Arial" w:hAnsi="Arial" w:cs="Arial"/>
          <w:sz w:val="20"/>
          <w:szCs w:val="20"/>
        </w:rPr>
        <w:t>completed</w:t>
      </w:r>
      <w:r w:rsidRPr="007B03BC">
        <w:rPr>
          <w:rFonts w:ascii="Arial" w:hAnsi="Arial" w:cs="Arial"/>
          <w:spacing w:val="-3"/>
          <w:sz w:val="20"/>
          <w:szCs w:val="20"/>
        </w:rPr>
        <w:t xml:space="preserve"> </w:t>
      </w:r>
      <w:r w:rsidRPr="007B03BC">
        <w:rPr>
          <w:rFonts w:ascii="Arial" w:hAnsi="Arial" w:cs="Arial"/>
          <w:sz w:val="20"/>
          <w:szCs w:val="20"/>
        </w:rPr>
        <w:t>the</w:t>
      </w:r>
      <w:r w:rsidRPr="007B03BC">
        <w:rPr>
          <w:rFonts w:ascii="Arial" w:hAnsi="Arial" w:cs="Arial"/>
          <w:spacing w:val="-6"/>
          <w:sz w:val="20"/>
          <w:szCs w:val="20"/>
        </w:rPr>
        <w:t xml:space="preserve"> </w:t>
      </w:r>
      <w:r w:rsidRPr="007B03BC">
        <w:rPr>
          <w:rFonts w:ascii="Arial" w:hAnsi="Arial" w:cs="Arial"/>
          <w:sz w:val="20"/>
          <w:szCs w:val="20"/>
        </w:rPr>
        <w:t>training</w:t>
      </w:r>
      <w:r w:rsidRPr="007B03BC">
        <w:rPr>
          <w:rFonts w:ascii="Arial" w:hAnsi="Arial" w:cs="Arial"/>
          <w:spacing w:val="-4"/>
          <w:sz w:val="20"/>
          <w:szCs w:val="20"/>
        </w:rPr>
        <w:t xml:space="preserve"> </w:t>
      </w:r>
      <w:r w:rsidRPr="007B03BC">
        <w:rPr>
          <w:rFonts w:ascii="Arial" w:hAnsi="Arial" w:cs="Arial"/>
          <w:sz w:val="20"/>
          <w:szCs w:val="20"/>
        </w:rPr>
        <w:t>flight</w:t>
      </w:r>
      <w:r w:rsidRPr="007B03BC">
        <w:rPr>
          <w:rFonts w:ascii="Arial" w:hAnsi="Arial" w:cs="Arial"/>
          <w:spacing w:val="-3"/>
          <w:sz w:val="20"/>
          <w:szCs w:val="20"/>
        </w:rPr>
        <w:t xml:space="preserve"> </w:t>
      </w:r>
      <w:r w:rsidRPr="007B03BC">
        <w:rPr>
          <w:rFonts w:ascii="Arial" w:hAnsi="Arial" w:cs="Arial"/>
          <w:sz w:val="20"/>
          <w:szCs w:val="20"/>
        </w:rPr>
        <w:t>as</w:t>
      </w:r>
      <w:r w:rsidRPr="007B03BC">
        <w:rPr>
          <w:rFonts w:ascii="Arial" w:hAnsi="Arial" w:cs="Arial"/>
          <w:spacing w:val="-3"/>
          <w:sz w:val="20"/>
          <w:szCs w:val="20"/>
        </w:rPr>
        <w:t xml:space="preserve"> </w:t>
      </w:r>
      <w:r w:rsidRPr="007B03BC">
        <w:rPr>
          <w:rFonts w:ascii="Arial" w:hAnsi="Arial" w:cs="Arial"/>
          <w:sz w:val="20"/>
          <w:szCs w:val="20"/>
        </w:rPr>
        <w:t>specified</w:t>
      </w:r>
      <w:r w:rsidRPr="007B03BC">
        <w:rPr>
          <w:rFonts w:ascii="Arial" w:hAnsi="Arial" w:cs="Arial"/>
          <w:spacing w:val="-3"/>
          <w:sz w:val="20"/>
          <w:szCs w:val="20"/>
        </w:rPr>
        <w:t xml:space="preserve"> </w:t>
      </w:r>
      <w:r w:rsidRPr="007B03BC">
        <w:rPr>
          <w:rFonts w:ascii="Arial" w:hAnsi="Arial" w:cs="Arial"/>
          <w:sz w:val="20"/>
          <w:szCs w:val="20"/>
        </w:rPr>
        <w:t>in</w:t>
      </w:r>
      <w:r w:rsidRPr="007B03BC">
        <w:rPr>
          <w:rFonts w:ascii="Arial" w:hAnsi="Arial" w:cs="Arial"/>
          <w:spacing w:val="-4"/>
          <w:sz w:val="20"/>
          <w:szCs w:val="20"/>
        </w:rPr>
        <w:t xml:space="preserve"> </w:t>
      </w:r>
      <w:r w:rsidRPr="007B03BC">
        <w:rPr>
          <w:rFonts w:ascii="Arial" w:hAnsi="Arial" w:cs="Arial"/>
          <w:sz w:val="20"/>
          <w:szCs w:val="20"/>
        </w:rPr>
        <w:t>paragraph</w:t>
      </w:r>
      <w:r w:rsidRPr="007B03BC">
        <w:rPr>
          <w:rFonts w:ascii="Arial" w:hAnsi="Arial" w:cs="Arial"/>
          <w:spacing w:val="-6"/>
          <w:sz w:val="20"/>
          <w:szCs w:val="20"/>
        </w:rPr>
        <w:t xml:space="preserve"> </w:t>
      </w:r>
      <w:r w:rsidRPr="007B03BC">
        <w:rPr>
          <w:rFonts w:ascii="Arial" w:hAnsi="Arial" w:cs="Arial"/>
          <w:sz w:val="20"/>
          <w:szCs w:val="20"/>
        </w:rPr>
        <w:t>(a)(2)</w:t>
      </w:r>
      <w:r w:rsidRPr="007B03BC">
        <w:rPr>
          <w:rFonts w:ascii="Arial" w:hAnsi="Arial" w:cs="Arial"/>
          <w:spacing w:val="-3"/>
          <w:sz w:val="20"/>
          <w:szCs w:val="20"/>
        </w:rPr>
        <w:t xml:space="preserve"> </w:t>
      </w:r>
      <w:r w:rsidRPr="007B03BC">
        <w:rPr>
          <w:rFonts w:ascii="Arial" w:hAnsi="Arial" w:cs="Arial"/>
          <w:sz w:val="20"/>
          <w:szCs w:val="20"/>
        </w:rPr>
        <w:t>in</w:t>
      </w:r>
      <w:r w:rsidRPr="007B03BC">
        <w:rPr>
          <w:rFonts w:ascii="Arial" w:hAnsi="Arial" w:cs="Arial"/>
          <w:spacing w:val="-4"/>
          <w:sz w:val="20"/>
          <w:szCs w:val="20"/>
        </w:rPr>
        <w:t xml:space="preserve"> </w:t>
      </w:r>
      <w:r w:rsidRPr="007B03BC">
        <w:rPr>
          <w:rFonts w:ascii="Arial" w:hAnsi="Arial" w:cs="Arial"/>
          <w:sz w:val="20"/>
          <w:szCs w:val="20"/>
        </w:rPr>
        <w:t>a</w:t>
      </w:r>
      <w:r w:rsidRPr="007B03BC">
        <w:rPr>
          <w:rFonts w:ascii="Arial" w:hAnsi="Arial" w:cs="Arial"/>
          <w:spacing w:val="-6"/>
          <w:sz w:val="20"/>
          <w:szCs w:val="20"/>
        </w:rPr>
        <w:t xml:space="preserve"> </w:t>
      </w:r>
      <w:r w:rsidRPr="007B03BC">
        <w:rPr>
          <w:rFonts w:ascii="Arial" w:hAnsi="Arial" w:cs="Arial"/>
          <w:sz w:val="20"/>
          <w:szCs w:val="20"/>
        </w:rPr>
        <w:t>balloon</w:t>
      </w:r>
      <w:r w:rsidRPr="007B03BC">
        <w:rPr>
          <w:rFonts w:ascii="Arial" w:hAnsi="Arial" w:cs="Arial"/>
          <w:spacing w:val="-4"/>
          <w:sz w:val="20"/>
          <w:szCs w:val="20"/>
        </w:rPr>
        <w:t xml:space="preserve"> </w:t>
      </w:r>
      <w:r w:rsidRPr="007B03BC">
        <w:rPr>
          <w:rFonts w:ascii="Arial" w:hAnsi="Arial" w:cs="Arial"/>
          <w:sz w:val="20"/>
          <w:szCs w:val="20"/>
        </w:rPr>
        <w:t>class</w:t>
      </w:r>
      <w:r w:rsidRPr="007B03BC">
        <w:rPr>
          <w:rFonts w:ascii="Arial" w:hAnsi="Arial" w:cs="Arial"/>
          <w:spacing w:val="-6"/>
          <w:sz w:val="20"/>
          <w:szCs w:val="20"/>
        </w:rPr>
        <w:t xml:space="preserve"> </w:t>
      </w:r>
      <w:r w:rsidRPr="007B03BC">
        <w:rPr>
          <w:rFonts w:ascii="Arial" w:hAnsi="Arial" w:cs="Arial"/>
          <w:sz w:val="20"/>
          <w:szCs w:val="20"/>
        </w:rPr>
        <w:t>other</w:t>
      </w:r>
      <w:r w:rsidRPr="007B03BC">
        <w:rPr>
          <w:rFonts w:ascii="Arial" w:hAnsi="Arial" w:cs="Arial"/>
          <w:spacing w:val="-3"/>
          <w:sz w:val="20"/>
          <w:szCs w:val="20"/>
        </w:rPr>
        <w:t xml:space="preserve"> </w:t>
      </w:r>
      <w:r w:rsidRPr="007B03BC">
        <w:rPr>
          <w:rFonts w:ascii="Arial" w:hAnsi="Arial" w:cs="Arial"/>
          <w:sz w:val="20"/>
          <w:szCs w:val="20"/>
        </w:rPr>
        <w:t>than</w:t>
      </w:r>
      <w:r w:rsidRPr="007B03BC">
        <w:rPr>
          <w:rFonts w:ascii="Arial" w:hAnsi="Arial" w:cs="Arial"/>
          <w:spacing w:val="-47"/>
          <w:sz w:val="20"/>
          <w:szCs w:val="20"/>
        </w:rPr>
        <w:t xml:space="preserve"> </w:t>
      </w:r>
      <w:r w:rsidRPr="007B03BC">
        <w:rPr>
          <w:rFonts w:ascii="Arial" w:hAnsi="Arial" w:cs="Arial"/>
          <w:sz w:val="20"/>
          <w:szCs w:val="20"/>
        </w:rPr>
        <w:t>hot-air</w:t>
      </w:r>
      <w:r w:rsidRPr="007B03BC">
        <w:rPr>
          <w:rFonts w:ascii="Arial" w:hAnsi="Arial" w:cs="Arial"/>
          <w:spacing w:val="-2"/>
          <w:sz w:val="20"/>
          <w:szCs w:val="20"/>
        </w:rPr>
        <w:t xml:space="preserve"> </w:t>
      </w:r>
      <w:r w:rsidRPr="007B03BC">
        <w:rPr>
          <w:rFonts w:ascii="Arial" w:hAnsi="Arial" w:cs="Arial"/>
          <w:sz w:val="20"/>
          <w:szCs w:val="20"/>
        </w:rPr>
        <w:t>balloons.</w:t>
      </w:r>
    </w:p>
    <w:p w14:paraId="2C63E861" w14:textId="77777777" w:rsidR="007B03BC" w:rsidRPr="007B03BC" w:rsidRDefault="007B03BC" w:rsidP="00D44EB0">
      <w:pPr>
        <w:numPr>
          <w:ilvl w:val="0"/>
          <w:numId w:val="206"/>
        </w:numPr>
        <w:tabs>
          <w:tab w:val="left" w:pos="707"/>
        </w:tabs>
        <w:spacing w:before="121" w:line="276" w:lineRule="auto"/>
        <w:ind w:right="200"/>
        <w:jc w:val="both"/>
        <w:rPr>
          <w:rFonts w:ascii="Arial" w:hAnsi="Arial" w:cs="Arial"/>
          <w:sz w:val="20"/>
          <w:szCs w:val="20"/>
        </w:rPr>
      </w:pPr>
      <w:r w:rsidRPr="007B03BC">
        <w:rPr>
          <w:rFonts w:ascii="Arial" w:hAnsi="Arial" w:cs="Arial"/>
          <w:sz w:val="20"/>
          <w:szCs w:val="20"/>
        </w:rPr>
        <w:t>The completion of the dual flights, the flights under supervision and the training flight as</w:t>
      </w:r>
      <w:r w:rsidRPr="007B03BC">
        <w:rPr>
          <w:rFonts w:ascii="Arial" w:hAnsi="Arial" w:cs="Arial"/>
          <w:spacing w:val="1"/>
          <w:sz w:val="20"/>
          <w:szCs w:val="20"/>
        </w:rPr>
        <w:t xml:space="preserve"> </w:t>
      </w:r>
      <w:r w:rsidRPr="007B03BC">
        <w:rPr>
          <w:rFonts w:ascii="Arial" w:hAnsi="Arial" w:cs="Arial"/>
          <w:sz w:val="20"/>
          <w:szCs w:val="20"/>
        </w:rPr>
        <w:t>specified</w:t>
      </w:r>
      <w:r w:rsidRPr="007B03BC">
        <w:rPr>
          <w:rFonts w:ascii="Arial" w:hAnsi="Arial" w:cs="Arial"/>
          <w:spacing w:val="3"/>
          <w:sz w:val="20"/>
          <w:szCs w:val="20"/>
        </w:rPr>
        <w:t xml:space="preserve"> </w:t>
      </w:r>
      <w:r w:rsidRPr="007B03BC">
        <w:rPr>
          <w:rFonts w:ascii="Arial" w:hAnsi="Arial" w:cs="Arial"/>
          <w:sz w:val="20"/>
          <w:szCs w:val="20"/>
        </w:rPr>
        <w:t>in</w:t>
      </w:r>
      <w:r w:rsidRPr="007B03BC">
        <w:rPr>
          <w:rFonts w:ascii="Arial" w:hAnsi="Arial" w:cs="Arial"/>
          <w:spacing w:val="3"/>
          <w:sz w:val="20"/>
          <w:szCs w:val="20"/>
        </w:rPr>
        <w:t xml:space="preserve"> </w:t>
      </w:r>
      <w:r w:rsidRPr="007B03BC">
        <w:rPr>
          <w:rFonts w:ascii="Arial" w:hAnsi="Arial" w:cs="Arial"/>
          <w:sz w:val="20"/>
          <w:szCs w:val="20"/>
        </w:rPr>
        <w:t>paragraph</w:t>
      </w:r>
      <w:r w:rsidRPr="007B03BC">
        <w:rPr>
          <w:rFonts w:ascii="Arial" w:hAnsi="Arial" w:cs="Arial"/>
          <w:spacing w:val="2"/>
          <w:sz w:val="20"/>
          <w:szCs w:val="20"/>
        </w:rPr>
        <w:t xml:space="preserve"> </w:t>
      </w:r>
      <w:r w:rsidRPr="007B03BC">
        <w:rPr>
          <w:rFonts w:ascii="Arial" w:hAnsi="Arial" w:cs="Arial"/>
          <w:sz w:val="20"/>
          <w:szCs w:val="20"/>
        </w:rPr>
        <w:t>(a)(1)</w:t>
      </w:r>
      <w:r w:rsidRPr="007B03BC">
        <w:rPr>
          <w:rFonts w:ascii="Arial" w:hAnsi="Arial" w:cs="Arial"/>
          <w:spacing w:val="4"/>
          <w:sz w:val="20"/>
          <w:szCs w:val="20"/>
        </w:rPr>
        <w:t xml:space="preserve"> </w:t>
      </w:r>
      <w:r w:rsidRPr="007B03BC">
        <w:rPr>
          <w:rFonts w:ascii="Arial" w:hAnsi="Arial" w:cs="Arial"/>
          <w:sz w:val="20"/>
          <w:szCs w:val="20"/>
        </w:rPr>
        <w:t>and</w:t>
      </w:r>
      <w:r w:rsidRPr="007B03BC">
        <w:rPr>
          <w:rFonts w:ascii="Arial" w:hAnsi="Arial" w:cs="Arial"/>
          <w:spacing w:val="3"/>
          <w:sz w:val="20"/>
          <w:szCs w:val="20"/>
        </w:rPr>
        <w:t xml:space="preserve"> </w:t>
      </w:r>
      <w:r w:rsidRPr="007B03BC">
        <w:rPr>
          <w:rFonts w:ascii="Arial" w:hAnsi="Arial" w:cs="Arial"/>
          <w:sz w:val="20"/>
          <w:szCs w:val="20"/>
        </w:rPr>
        <w:t>(b),</w:t>
      </w:r>
      <w:r w:rsidRPr="007B03BC">
        <w:rPr>
          <w:rFonts w:ascii="Arial" w:hAnsi="Arial" w:cs="Arial"/>
          <w:spacing w:val="2"/>
          <w:sz w:val="20"/>
          <w:szCs w:val="20"/>
        </w:rPr>
        <w:t xml:space="preserve"> </w:t>
      </w:r>
      <w:r w:rsidRPr="007B03BC">
        <w:rPr>
          <w:rFonts w:ascii="Arial" w:hAnsi="Arial" w:cs="Arial"/>
          <w:sz w:val="20"/>
          <w:szCs w:val="20"/>
        </w:rPr>
        <w:t>as</w:t>
      </w:r>
      <w:r w:rsidRPr="007B03BC">
        <w:rPr>
          <w:rFonts w:ascii="Arial" w:hAnsi="Arial" w:cs="Arial"/>
          <w:spacing w:val="4"/>
          <w:sz w:val="20"/>
          <w:szCs w:val="20"/>
        </w:rPr>
        <w:t xml:space="preserve"> </w:t>
      </w:r>
      <w:r w:rsidRPr="007B03BC">
        <w:rPr>
          <w:rFonts w:ascii="Arial" w:hAnsi="Arial" w:cs="Arial"/>
          <w:sz w:val="20"/>
          <w:szCs w:val="20"/>
        </w:rPr>
        <w:t>well</w:t>
      </w:r>
      <w:r w:rsidRPr="007B03BC">
        <w:rPr>
          <w:rFonts w:ascii="Arial" w:hAnsi="Arial" w:cs="Arial"/>
          <w:spacing w:val="4"/>
          <w:sz w:val="20"/>
          <w:szCs w:val="20"/>
        </w:rPr>
        <w:t xml:space="preserve"> </w:t>
      </w:r>
      <w:r w:rsidRPr="007B03BC">
        <w:rPr>
          <w:rFonts w:ascii="Arial" w:hAnsi="Arial" w:cs="Arial"/>
          <w:sz w:val="20"/>
          <w:szCs w:val="20"/>
        </w:rPr>
        <w:t>as</w:t>
      </w:r>
      <w:r w:rsidRPr="007B03BC">
        <w:rPr>
          <w:rFonts w:ascii="Arial" w:hAnsi="Arial" w:cs="Arial"/>
          <w:spacing w:val="3"/>
          <w:sz w:val="20"/>
          <w:szCs w:val="20"/>
        </w:rPr>
        <w:t xml:space="preserve"> </w:t>
      </w:r>
      <w:r w:rsidRPr="007B03BC">
        <w:rPr>
          <w:rFonts w:ascii="Arial" w:hAnsi="Arial" w:cs="Arial"/>
          <w:sz w:val="20"/>
          <w:szCs w:val="20"/>
        </w:rPr>
        <w:t>the</w:t>
      </w:r>
      <w:r w:rsidRPr="007B03BC">
        <w:rPr>
          <w:rFonts w:ascii="Arial" w:hAnsi="Arial" w:cs="Arial"/>
          <w:spacing w:val="4"/>
          <w:sz w:val="20"/>
          <w:szCs w:val="20"/>
        </w:rPr>
        <w:t xml:space="preserve"> </w:t>
      </w:r>
      <w:r w:rsidRPr="007B03BC">
        <w:rPr>
          <w:rFonts w:ascii="Arial" w:hAnsi="Arial" w:cs="Arial"/>
          <w:sz w:val="20"/>
          <w:szCs w:val="20"/>
        </w:rPr>
        <w:t>proficiency</w:t>
      </w:r>
      <w:r w:rsidRPr="007B03BC">
        <w:rPr>
          <w:rFonts w:ascii="Arial" w:hAnsi="Arial" w:cs="Arial"/>
          <w:spacing w:val="4"/>
          <w:sz w:val="20"/>
          <w:szCs w:val="20"/>
        </w:rPr>
        <w:t xml:space="preserve"> </w:t>
      </w:r>
      <w:r w:rsidRPr="007B03BC">
        <w:rPr>
          <w:rFonts w:ascii="Arial" w:hAnsi="Arial" w:cs="Arial"/>
          <w:sz w:val="20"/>
          <w:szCs w:val="20"/>
        </w:rPr>
        <w:t>check</w:t>
      </w:r>
      <w:r w:rsidRPr="007B03BC">
        <w:rPr>
          <w:rFonts w:ascii="Arial" w:hAnsi="Arial" w:cs="Arial"/>
          <w:spacing w:val="3"/>
          <w:sz w:val="20"/>
          <w:szCs w:val="20"/>
        </w:rPr>
        <w:t xml:space="preserve"> </w:t>
      </w:r>
      <w:r w:rsidRPr="007B03BC">
        <w:rPr>
          <w:rFonts w:ascii="Arial" w:hAnsi="Arial" w:cs="Arial"/>
          <w:sz w:val="20"/>
          <w:szCs w:val="20"/>
        </w:rPr>
        <w:t>as</w:t>
      </w:r>
      <w:r w:rsidRPr="007B03BC">
        <w:rPr>
          <w:rFonts w:ascii="Arial" w:hAnsi="Arial" w:cs="Arial"/>
          <w:spacing w:val="4"/>
          <w:sz w:val="20"/>
          <w:szCs w:val="20"/>
        </w:rPr>
        <w:t xml:space="preserve"> </w:t>
      </w:r>
      <w:r w:rsidRPr="007B03BC">
        <w:rPr>
          <w:rFonts w:ascii="Arial" w:hAnsi="Arial" w:cs="Arial"/>
          <w:sz w:val="20"/>
          <w:szCs w:val="20"/>
        </w:rPr>
        <w:t>specified</w:t>
      </w:r>
      <w:r w:rsidRPr="007B03BC">
        <w:rPr>
          <w:rFonts w:ascii="Arial" w:hAnsi="Arial" w:cs="Arial"/>
          <w:spacing w:val="3"/>
          <w:sz w:val="20"/>
          <w:szCs w:val="20"/>
        </w:rPr>
        <w:t xml:space="preserve"> </w:t>
      </w:r>
      <w:r w:rsidRPr="007B03BC">
        <w:rPr>
          <w:rFonts w:ascii="Arial" w:hAnsi="Arial" w:cs="Arial"/>
          <w:sz w:val="20"/>
          <w:szCs w:val="20"/>
        </w:rPr>
        <w:t>in</w:t>
      </w:r>
      <w:r w:rsidRPr="007B03BC">
        <w:rPr>
          <w:rFonts w:ascii="Arial" w:hAnsi="Arial" w:cs="Arial"/>
          <w:spacing w:val="2"/>
          <w:sz w:val="20"/>
          <w:szCs w:val="20"/>
        </w:rPr>
        <w:t xml:space="preserve"> </w:t>
      </w:r>
      <w:r w:rsidRPr="007B03BC">
        <w:rPr>
          <w:rFonts w:ascii="Arial" w:hAnsi="Arial" w:cs="Arial"/>
          <w:sz w:val="20"/>
          <w:szCs w:val="20"/>
        </w:rPr>
        <w:t>paragraph</w:t>
      </w:r>
    </w:p>
    <w:p w14:paraId="0FD6955A" w14:textId="77777777" w:rsidR="007B03BC" w:rsidRPr="007179F8" w:rsidRDefault="007B03BC" w:rsidP="00D44EB0">
      <w:pPr>
        <w:spacing w:line="276" w:lineRule="auto"/>
        <w:ind w:left="706" w:right="195"/>
        <w:jc w:val="both"/>
        <w:rPr>
          <w:rFonts w:ascii="Arial" w:hAnsi="Arial" w:cs="Arial"/>
          <w:sz w:val="20"/>
          <w:szCs w:val="20"/>
        </w:rPr>
      </w:pPr>
      <w:r w:rsidRPr="007B03BC">
        <w:rPr>
          <w:rFonts w:ascii="Arial" w:hAnsi="Arial" w:cs="Arial"/>
          <w:sz w:val="20"/>
          <w:szCs w:val="20"/>
        </w:rPr>
        <w:t>(c) shall be entered in the logbook of the pilot and signed by, in the case of paragraphs (a)(1)</w:t>
      </w:r>
      <w:r w:rsidRPr="007B03BC">
        <w:rPr>
          <w:rFonts w:ascii="Arial" w:hAnsi="Arial" w:cs="Arial"/>
          <w:spacing w:val="1"/>
          <w:sz w:val="20"/>
          <w:szCs w:val="20"/>
        </w:rPr>
        <w:t xml:space="preserve"> </w:t>
      </w:r>
      <w:r w:rsidRPr="007B03BC">
        <w:rPr>
          <w:rFonts w:ascii="Arial" w:hAnsi="Arial" w:cs="Arial"/>
          <w:sz w:val="20"/>
          <w:szCs w:val="20"/>
        </w:rPr>
        <w:t>and</w:t>
      </w:r>
      <w:r w:rsidRPr="007B03BC">
        <w:rPr>
          <w:rFonts w:ascii="Arial" w:hAnsi="Arial" w:cs="Arial"/>
          <w:spacing w:val="-2"/>
          <w:sz w:val="20"/>
          <w:szCs w:val="20"/>
        </w:rPr>
        <w:t xml:space="preserve"> </w:t>
      </w:r>
      <w:r w:rsidRPr="007B03BC">
        <w:rPr>
          <w:rFonts w:ascii="Arial" w:hAnsi="Arial" w:cs="Arial"/>
          <w:sz w:val="20"/>
          <w:szCs w:val="20"/>
        </w:rPr>
        <w:t>(b),</w:t>
      </w:r>
      <w:r w:rsidRPr="007B03BC">
        <w:rPr>
          <w:rFonts w:ascii="Arial" w:hAnsi="Arial" w:cs="Arial"/>
          <w:spacing w:val="-1"/>
          <w:sz w:val="20"/>
          <w:szCs w:val="20"/>
        </w:rPr>
        <w:t xml:space="preserve"> </w:t>
      </w:r>
      <w:r w:rsidRPr="007B03BC">
        <w:rPr>
          <w:rFonts w:ascii="Arial" w:hAnsi="Arial" w:cs="Arial"/>
          <w:sz w:val="20"/>
          <w:szCs w:val="20"/>
        </w:rPr>
        <w:t>the</w:t>
      </w:r>
      <w:r w:rsidRPr="007B03BC">
        <w:rPr>
          <w:rFonts w:ascii="Arial" w:hAnsi="Arial" w:cs="Arial"/>
          <w:spacing w:val="-2"/>
          <w:sz w:val="20"/>
          <w:szCs w:val="20"/>
        </w:rPr>
        <w:t xml:space="preserve"> </w:t>
      </w:r>
      <w:r w:rsidRPr="007B03BC">
        <w:rPr>
          <w:rFonts w:ascii="Arial" w:hAnsi="Arial" w:cs="Arial"/>
          <w:sz w:val="20"/>
          <w:szCs w:val="20"/>
        </w:rPr>
        <w:t>responsible</w:t>
      </w:r>
      <w:r w:rsidRPr="007B03BC">
        <w:rPr>
          <w:rFonts w:ascii="Arial" w:hAnsi="Arial" w:cs="Arial"/>
          <w:spacing w:val="-1"/>
          <w:sz w:val="20"/>
          <w:szCs w:val="20"/>
        </w:rPr>
        <w:t xml:space="preserve"> </w:t>
      </w:r>
      <w:r w:rsidRPr="007B03BC">
        <w:rPr>
          <w:rFonts w:ascii="Arial" w:hAnsi="Arial" w:cs="Arial"/>
          <w:sz w:val="20"/>
          <w:szCs w:val="20"/>
        </w:rPr>
        <w:t>FI(B) and,</w:t>
      </w:r>
      <w:r w:rsidRPr="007B03BC">
        <w:rPr>
          <w:rFonts w:ascii="Arial" w:hAnsi="Arial" w:cs="Arial"/>
          <w:spacing w:val="-1"/>
          <w:sz w:val="20"/>
          <w:szCs w:val="20"/>
        </w:rPr>
        <w:t xml:space="preserve"> </w:t>
      </w:r>
      <w:r w:rsidRPr="007B03BC">
        <w:rPr>
          <w:rFonts w:ascii="Arial" w:hAnsi="Arial" w:cs="Arial"/>
          <w:sz w:val="20"/>
          <w:szCs w:val="20"/>
        </w:rPr>
        <w:t>in the</w:t>
      </w:r>
      <w:r w:rsidRPr="007B03BC">
        <w:rPr>
          <w:rFonts w:ascii="Arial" w:hAnsi="Arial" w:cs="Arial"/>
          <w:spacing w:val="-4"/>
          <w:sz w:val="20"/>
          <w:szCs w:val="20"/>
        </w:rPr>
        <w:t xml:space="preserve"> </w:t>
      </w:r>
      <w:r w:rsidRPr="007B03BC">
        <w:rPr>
          <w:rFonts w:ascii="Arial" w:hAnsi="Arial" w:cs="Arial"/>
          <w:sz w:val="20"/>
          <w:szCs w:val="20"/>
        </w:rPr>
        <w:t>case</w:t>
      </w:r>
      <w:r w:rsidRPr="007B03BC">
        <w:rPr>
          <w:rFonts w:ascii="Arial" w:hAnsi="Arial" w:cs="Arial"/>
          <w:spacing w:val="-2"/>
          <w:sz w:val="20"/>
          <w:szCs w:val="20"/>
        </w:rPr>
        <w:t xml:space="preserve"> </w:t>
      </w:r>
      <w:r w:rsidRPr="007B03BC">
        <w:rPr>
          <w:rFonts w:ascii="Arial" w:hAnsi="Arial" w:cs="Arial"/>
          <w:sz w:val="20"/>
          <w:szCs w:val="20"/>
        </w:rPr>
        <w:t>of</w:t>
      </w:r>
      <w:r w:rsidRPr="007B03BC">
        <w:rPr>
          <w:rFonts w:ascii="Arial" w:hAnsi="Arial" w:cs="Arial"/>
          <w:spacing w:val="-4"/>
          <w:sz w:val="20"/>
          <w:szCs w:val="20"/>
        </w:rPr>
        <w:t xml:space="preserve"> </w:t>
      </w:r>
      <w:r w:rsidRPr="007B03BC">
        <w:rPr>
          <w:rFonts w:ascii="Arial" w:hAnsi="Arial" w:cs="Arial"/>
          <w:sz w:val="20"/>
          <w:szCs w:val="20"/>
        </w:rPr>
        <w:t>paragraph</w:t>
      </w:r>
      <w:r w:rsidRPr="007B03BC">
        <w:rPr>
          <w:rFonts w:ascii="Arial" w:hAnsi="Arial" w:cs="Arial"/>
          <w:spacing w:val="-1"/>
          <w:sz w:val="20"/>
          <w:szCs w:val="20"/>
        </w:rPr>
        <w:t xml:space="preserve"> </w:t>
      </w:r>
      <w:r w:rsidRPr="007B03BC">
        <w:rPr>
          <w:rFonts w:ascii="Arial" w:hAnsi="Arial" w:cs="Arial"/>
          <w:sz w:val="20"/>
          <w:szCs w:val="20"/>
        </w:rPr>
        <w:t>(c), the</w:t>
      </w:r>
      <w:r w:rsidRPr="007B03BC">
        <w:rPr>
          <w:rFonts w:ascii="Arial" w:hAnsi="Arial" w:cs="Arial"/>
          <w:spacing w:val="1"/>
          <w:sz w:val="20"/>
          <w:szCs w:val="20"/>
        </w:rPr>
        <w:t xml:space="preserve"> </w:t>
      </w:r>
      <w:r w:rsidRPr="007B03BC">
        <w:rPr>
          <w:rFonts w:ascii="Arial" w:hAnsi="Arial" w:cs="Arial"/>
          <w:sz w:val="20"/>
          <w:szCs w:val="20"/>
        </w:rPr>
        <w:t>responsible</w:t>
      </w:r>
      <w:r w:rsidRPr="007B03BC">
        <w:rPr>
          <w:rFonts w:ascii="Arial" w:hAnsi="Arial" w:cs="Arial"/>
          <w:spacing w:val="-1"/>
          <w:sz w:val="20"/>
          <w:szCs w:val="20"/>
        </w:rPr>
        <w:t xml:space="preserve"> </w:t>
      </w:r>
      <w:r w:rsidRPr="007B03BC">
        <w:rPr>
          <w:rFonts w:ascii="Arial" w:hAnsi="Arial" w:cs="Arial"/>
          <w:sz w:val="20"/>
          <w:szCs w:val="20"/>
        </w:rPr>
        <w:t>FE(B).</w:t>
      </w:r>
    </w:p>
    <w:p w14:paraId="362C5571" w14:textId="77777777" w:rsidR="007B03BC" w:rsidRPr="007179F8" w:rsidRDefault="007B03BC" w:rsidP="00D44EB0">
      <w:pPr>
        <w:pStyle w:val="ListParagraph"/>
        <w:numPr>
          <w:ilvl w:val="0"/>
          <w:numId w:val="206"/>
        </w:numPr>
        <w:tabs>
          <w:tab w:val="left" w:pos="707"/>
        </w:tabs>
        <w:spacing w:before="56" w:line="276" w:lineRule="auto"/>
        <w:ind w:right="199"/>
        <w:jc w:val="both"/>
        <w:rPr>
          <w:rFonts w:ascii="Arial" w:hAnsi="Arial" w:cs="Arial"/>
          <w:sz w:val="20"/>
          <w:szCs w:val="20"/>
        </w:rPr>
      </w:pPr>
      <w:r w:rsidRPr="007179F8">
        <w:rPr>
          <w:rFonts w:ascii="Arial" w:hAnsi="Arial" w:cs="Arial"/>
          <w:sz w:val="20"/>
          <w:szCs w:val="20"/>
        </w:rPr>
        <w:t>A BPL holder, that holds also the privileges for commercial operations as specified in point</w:t>
      </w:r>
      <w:r w:rsidRPr="007179F8">
        <w:rPr>
          <w:rFonts w:ascii="Arial" w:hAnsi="Arial" w:cs="Arial"/>
          <w:spacing w:val="1"/>
          <w:sz w:val="20"/>
          <w:szCs w:val="20"/>
        </w:rPr>
        <w:t xml:space="preserve"> </w:t>
      </w:r>
      <w:r w:rsidRPr="007179F8">
        <w:rPr>
          <w:rFonts w:ascii="Arial" w:hAnsi="Arial" w:cs="Arial"/>
          <w:sz w:val="20"/>
          <w:szCs w:val="20"/>
        </w:rPr>
        <w:t>BFCL.215</w:t>
      </w:r>
      <w:r w:rsidRPr="007179F8">
        <w:rPr>
          <w:rFonts w:ascii="Arial" w:hAnsi="Arial" w:cs="Arial"/>
          <w:spacing w:val="-4"/>
          <w:sz w:val="20"/>
          <w:szCs w:val="20"/>
        </w:rPr>
        <w:t xml:space="preserve"> </w:t>
      </w:r>
      <w:r w:rsidRPr="007179F8">
        <w:rPr>
          <w:rFonts w:ascii="Arial" w:hAnsi="Arial" w:cs="Arial"/>
          <w:sz w:val="20"/>
          <w:szCs w:val="20"/>
        </w:rPr>
        <w:t>of</w:t>
      </w:r>
      <w:r w:rsidRPr="007179F8">
        <w:rPr>
          <w:rFonts w:ascii="Arial" w:hAnsi="Arial" w:cs="Arial"/>
          <w:spacing w:val="-1"/>
          <w:sz w:val="20"/>
          <w:szCs w:val="20"/>
        </w:rPr>
        <w:t xml:space="preserve"> </w:t>
      </w:r>
      <w:r w:rsidRPr="007179F8">
        <w:rPr>
          <w:rFonts w:ascii="Arial" w:hAnsi="Arial" w:cs="Arial"/>
          <w:sz w:val="20"/>
          <w:szCs w:val="20"/>
        </w:rPr>
        <w:t>Subpart</w:t>
      </w:r>
      <w:r w:rsidRPr="007179F8">
        <w:rPr>
          <w:rFonts w:ascii="Arial" w:hAnsi="Arial" w:cs="Arial"/>
          <w:spacing w:val="-1"/>
          <w:sz w:val="20"/>
          <w:szCs w:val="20"/>
        </w:rPr>
        <w:t xml:space="preserve"> </w:t>
      </w:r>
      <w:r w:rsidRPr="007179F8">
        <w:rPr>
          <w:rFonts w:ascii="Arial" w:hAnsi="Arial" w:cs="Arial"/>
          <w:sz w:val="20"/>
          <w:szCs w:val="20"/>
        </w:rPr>
        <w:t>ADD of</w:t>
      </w:r>
      <w:r w:rsidRPr="007179F8">
        <w:rPr>
          <w:rFonts w:ascii="Arial" w:hAnsi="Arial" w:cs="Arial"/>
          <w:spacing w:val="-1"/>
          <w:sz w:val="20"/>
          <w:szCs w:val="20"/>
        </w:rPr>
        <w:t xml:space="preserve"> </w:t>
      </w:r>
      <w:r w:rsidRPr="007179F8">
        <w:rPr>
          <w:rFonts w:ascii="Arial" w:hAnsi="Arial" w:cs="Arial"/>
          <w:sz w:val="20"/>
          <w:szCs w:val="20"/>
        </w:rPr>
        <w:t>this</w:t>
      </w:r>
      <w:r w:rsidRPr="007179F8">
        <w:rPr>
          <w:rFonts w:ascii="Arial" w:hAnsi="Arial" w:cs="Arial"/>
          <w:spacing w:val="-1"/>
          <w:sz w:val="20"/>
          <w:szCs w:val="20"/>
        </w:rPr>
        <w:t xml:space="preserve"> </w:t>
      </w:r>
      <w:r w:rsidRPr="007179F8">
        <w:rPr>
          <w:rFonts w:ascii="Arial" w:hAnsi="Arial" w:cs="Arial"/>
          <w:sz w:val="20"/>
          <w:szCs w:val="20"/>
        </w:rPr>
        <w:t>Annex,</w:t>
      </w:r>
      <w:r w:rsidRPr="007179F8">
        <w:rPr>
          <w:rFonts w:ascii="Arial" w:hAnsi="Arial" w:cs="Arial"/>
          <w:spacing w:val="-4"/>
          <w:sz w:val="20"/>
          <w:szCs w:val="20"/>
        </w:rPr>
        <w:t xml:space="preserve"> </w:t>
      </w:r>
      <w:r w:rsidRPr="007179F8">
        <w:rPr>
          <w:rFonts w:ascii="Arial" w:hAnsi="Arial" w:cs="Arial"/>
          <w:sz w:val="20"/>
          <w:szCs w:val="20"/>
        </w:rPr>
        <w:t>shall</w:t>
      </w:r>
      <w:r w:rsidRPr="007179F8">
        <w:rPr>
          <w:rFonts w:ascii="Arial" w:hAnsi="Arial" w:cs="Arial"/>
          <w:spacing w:val="-1"/>
          <w:sz w:val="20"/>
          <w:szCs w:val="20"/>
        </w:rPr>
        <w:t xml:space="preserve"> </w:t>
      </w:r>
      <w:r w:rsidRPr="007179F8">
        <w:rPr>
          <w:rFonts w:ascii="Arial" w:hAnsi="Arial" w:cs="Arial"/>
          <w:sz w:val="20"/>
          <w:szCs w:val="20"/>
        </w:rPr>
        <w:t>be</w:t>
      </w:r>
      <w:r w:rsidRPr="007179F8">
        <w:rPr>
          <w:rFonts w:ascii="Arial" w:hAnsi="Arial" w:cs="Arial"/>
          <w:spacing w:val="-1"/>
          <w:sz w:val="20"/>
          <w:szCs w:val="20"/>
        </w:rPr>
        <w:t xml:space="preserve"> </w:t>
      </w:r>
      <w:r w:rsidRPr="007179F8">
        <w:rPr>
          <w:rFonts w:ascii="Arial" w:hAnsi="Arial" w:cs="Arial"/>
          <w:sz w:val="20"/>
          <w:szCs w:val="20"/>
        </w:rPr>
        <w:t>deemed</w:t>
      </w:r>
      <w:r w:rsidRPr="007179F8">
        <w:rPr>
          <w:rFonts w:ascii="Arial" w:hAnsi="Arial" w:cs="Arial"/>
          <w:spacing w:val="-1"/>
          <w:sz w:val="20"/>
          <w:szCs w:val="20"/>
        </w:rPr>
        <w:t xml:space="preserve"> </w:t>
      </w:r>
      <w:r w:rsidRPr="007179F8">
        <w:rPr>
          <w:rFonts w:ascii="Arial" w:hAnsi="Arial" w:cs="Arial"/>
          <w:sz w:val="20"/>
          <w:szCs w:val="20"/>
        </w:rPr>
        <w:t>to</w:t>
      </w:r>
      <w:r w:rsidRPr="007179F8">
        <w:rPr>
          <w:rFonts w:ascii="Arial" w:hAnsi="Arial" w:cs="Arial"/>
          <w:spacing w:val="-1"/>
          <w:sz w:val="20"/>
          <w:szCs w:val="20"/>
        </w:rPr>
        <w:t xml:space="preserve"> </w:t>
      </w:r>
      <w:r w:rsidRPr="007179F8">
        <w:rPr>
          <w:rFonts w:ascii="Arial" w:hAnsi="Arial" w:cs="Arial"/>
          <w:sz w:val="20"/>
          <w:szCs w:val="20"/>
        </w:rPr>
        <w:t>comply</w:t>
      </w:r>
      <w:r w:rsidRPr="007179F8">
        <w:rPr>
          <w:rFonts w:ascii="Arial" w:hAnsi="Arial" w:cs="Arial"/>
          <w:spacing w:val="-1"/>
          <w:sz w:val="20"/>
          <w:szCs w:val="20"/>
        </w:rPr>
        <w:t xml:space="preserve"> </w:t>
      </w:r>
      <w:r w:rsidRPr="007179F8">
        <w:rPr>
          <w:rFonts w:ascii="Arial" w:hAnsi="Arial" w:cs="Arial"/>
          <w:sz w:val="20"/>
          <w:szCs w:val="20"/>
        </w:rPr>
        <w:t>with</w:t>
      </w:r>
      <w:r w:rsidRPr="007179F8">
        <w:rPr>
          <w:rFonts w:ascii="Arial" w:hAnsi="Arial" w:cs="Arial"/>
          <w:spacing w:val="-1"/>
          <w:sz w:val="20"/>
          <w:szCs w:val="20"/>
        </w:rPr>
        <w:t xml:space="preserve"> </w:t>
      </w:r>
      <w:r w:rsidRPr="007179F8">
        <w:rPr>
          <w:rFonts w:ascii="Arial" w:hAnsi="Arial" w:cs="Arial"/>
          <w:sz w:val="20"/>
          <w:szCs w:val="20"/>
        </w:rPr>
        <w:t>the</w:t>
      </w:r>
      <w:r w:rsidRPr="007179F8">
        <w:rPr>
          <w:rFonts w:ascii="Arial" w:hAnsi="Arial" w:cs="Arial"/>
          <w:spacing w:val="-3"/>
          <w:sz w:val="20"/>
          <w:szCs w:val="20"/>
        </w:rPr>
        <w:t xml:space="preserve"> </w:t>
      </w:r>
      <w:r w:rsidRPr="007179F8">
        <w:rPr>
          <w:rFonts w:ascii="Arial" w:hAnsi="Arial" w:cs="Arial"/>
          <w:sz w:val="20"/>
          <w:szCs w:val="20"/>
        </w:rPr>
        <w:t>requirements</w:t>
      </w:r>
      <w:r w:rsidRPr="007179F8">
        <w:rPr>
          <w:rFonts w:ascii="Arial" w:hAnsi="Arial" w:cs="Arial"/>
          <w:spacing w:val="-3"/>
          <w:sz w:val="20"/>
          <w:szCs w:val="20"/>
        </w:rPr>
        <w:t xml:space="preserve"> </w:t>
      </w:r>
      <w:r w:rsidRPr="007179F8">
        <w:rPr>
          <w:rFonts w:ascii="Arial" w:hAnsi="Arial" w:cs="Arial"/>
          <w:sz w:val="20"/>
          <w:szCs w:val="20"/>
        </w:rPr>
        <w:t>of:</w:t>
      </w:r>
    </w:p>
    <w:p w14:paraId="5DD6AF48" w14:textId="77777777" w:rsidR="007B03BC" w:rsidRPr="007179F8" w:rsidRDefault="007B03BC" w:rsidP="00D44EB0">
      <w:pPr>
        <w:pStyle w:val="ListParagraph"/>
        <w:numPr>
          <w:ilvl w:val="1"/>
          <w:numId w:val="206"/>
        </w:numPr>
        <w:tabs>
          <w:tab w:val="left" w:pos="1274"/>
        </w:tabs>
        <w:spacing w:before="121" w:line="276" w:lineRule="auto"/>
        <w:ind w:right="198"/>
        <w:jc w:val="both"/>
        <w:rPr>
          <w:rFonts w:ascii="Arial" w:hAnsi="Arial" w:cs="Arial"/>
          <w:sz w:val="20"/>
          <w:szCs w:val="20"/>
        </w:rPr>
      </w:pPr>
      <w:r w:rsidRPr="007179F8">
        <w:rPr>
          <w:rFonts w:ascii="Arial" w:hAnsi="Arial" w:cs="Arial"/>
          <w:sz w:val="20"/>
          <w:szCs w:val="20"/>
        </w:rPr>
        <w:t>paragraph (a) and, if applicable, (b), in case he or she has completed a proficiency check</w:t>
      </w:r>
      <w:r w:rsidRPr="007179F8">
        <w:rPr>
          <w:rFonts w:ascii="Arial" w:hAnsi="Arial" w:cs="Arial"/>
          <w:spacing w:val="1"/>
          <w:sz w:val="20"/>
          <w:szCs w:val="20"/>
        </w:rPr>
        <w:t xml:space="preserve"> </w:t>
      </w:r>
      <w:r w:rsidRPr="007179F8">
        <w:rPr>
          <w:rFonts w:ascii="Arial" w:hAnsi="Arial" w:cs="Arial"/>
          <w:sz w:val="20"/>
          <w:szCs w:val="20"/>
        </w:rPr>
        <w:t>in accordance with point BFCL.215(d)(2)(i) in the relevant balloon class or classes within</w:t>
      </w:r>
      <w:r w:rsidRPr="007179F8">
        <w:rPr>
          <w:rFonts w:ascii="Arial" w:hAnsi="Arial" w:cs="Arial"/>
          <w:spacing w:val="1"/>
          <w:sz w:val="20"/>
          <w:szCs w:val="20"/>
        </w:rPr>
        <w:t xml:space="preserve"> </w:t>
      </w:r>
      <w:r w:rsidRPr="007179F8">
        <w:rPr>
          <w:rFonts w:ascii="Arial" w:hAnsi="Arial" w:cs="Arial"/>
          <w:sz w:val="20"/>
          <w:szCs w:val="20"/>
        </w:rPr>
        <w:t>the last</w:t>
      </w:r>
      <w:r w:rsidRPr="007179F8">
        <w:rPr>
          <w:rFonts w:ascii="Arial" w:hAnsi="Arial" w:cs="Arial"/>
          <w:spacing w:val="-2"/>
          <w:sz w:val="20"/>
          <w:szCs w:val="20"/>
        </w:rPr>
        <w:t xml:space="preserve"> </w:t>
      </w:r>
      <w:r w:rsidRPr="007179F8">
        <w:rPr>
          <w:rFonts w:ascii="Arial" w:hAnsi="Arial" w:cs="Arial"/>
          <w:sz w:val="20"/>
          <w:szCs w:val="20"/>
        </w:rPr>
        <w:t>24</w:t>
      </w:r>
      <w:r w:rsidRPr="007179F8">
        <w:rPr>
          <w:rFonts w:ascii="Arial" w:hAnsi="Arial" w:cs="Arial"/>
          <w:spacing w:val="-2"/>
          <w:sz w:val="20"/>
          <w:szCs w:val="20"/>
        </w:rPr>
        <w:t xml:space="preserve"> </w:t>
      </w:r>
      <w:r w:rsidRPr="007179F8">
        <w:rPr>
          <w:rFonts w:ascii="Arial" w:hAnsi="Arial" w:cs="Arial"/>
          <w:sz w:val="20"/>
          <w:szCs w:val="20"/>
        </w:rPr>
        <w:t>months;</w:t>
      </w:r>
      <w:r w:rsidRPr="007179F8">
        <w:rPr>
          <w:rFonts w:ascii="Arial" w:hAnsi="Arial" w:cs="Arial"/>
          <w:spacing w:val="-2"/>
          <w:sz w:val="20"/>
          <w:szCs w:val="20"/>
        </w:rPr>
        <w:t xml:space="preserve"> </w:t>
      </w:r>
      <w:r w:rsidRPr="007179F8">
        <w:rPr>
          <w:rFonts w:ascii="Arial" w:hAnsi="Arial" w:cs="Arial"/>
          <w:sz w:val="20"/>
          <w:szCs w:val="20"/>
        </w:rPr>
        <w:t>or</w:t>
      </w:r>
    </w:p>
    <w:p w14:paraId="100F5831" w14:textId="77777777" w:rsidR="007B03BC" w:rsidRPr="007179F8" w:rsidRDefault="007B03BC" w:rsidP="00D44EB0">
      <w:pPr>
        <w:pStyle w:val="ListParagraph"/>
        <w:numPr>
          <w:ilvl w:val="1"/>
          <w:numId w:val="206"/>
        </w:numPr>
        <w:tabs>
          <w:tab w:val="left" w:pos="1274"/>
        </w:tabs>
        <w:spacing w:line="276" w:lineRule="auto"/>
        <w:ind w:right="195"/>
        <w:jc w:val="both"/>
        <w:rPr>
          <w:rFonts w:ascii="Arial" w:hAnsi="Arial" w:cs="Arial"/>
          <w:sz w:val="20"/>
          <w:szCs w:val="20"/>
        </w:rPr>
      </w:pPr>
      <w:r w:rsidRPr="007179F8">
        <w:rPr>
          <w:rFonts w:ascii="Arial" w:hAnsi="Arial" w:cs="Arial"/>
          <w:spacing w:val="-1"/>
          <w:sz w:val="20"/>
          <w:szCs w:val="20"/>
        </w:rPr>
        <w:t>paragraph</w:t>
      </w:r>
      <w:r w:rsidRPr="007179F8">
        <w:rPr>
          <w:rFonts w:ascii="Arial" w:hAnsi="Arial" w:cs="Arial"/>
          <w:spacing w:val="-13"/>
          <w:sz w:val="20"/>
          <w:szCs w:val="20"/>
        </w:rPr>
        <w:t xml:space="preserve"> </w:t>
      </w:r>
      <w:r w:rsidRPr="007179F8">
        <w:rPr>
          <w:rFonts w:ascii="Arial" w:hAnsi="Arial" w:cs="Arial"/>
          <w:spacing w:val="-1"/>
          <w:sz w:val="20"/>
          <w:szCs w:val="20"/>
        </w:rPr>
        <w:t>(a)(1)(ii),</w:t>
      </w:r>
      <w:r w:rsidRPr="007179F8">
        <w:rPr>
          <w:rFonts w:ascii="Arial" w:hAnsi="Arial" w:cs="Arial"/>
          <w:spacing w:val="-12"/>
          <w:sz w:val="20"/>
          <w:szCs w:val="20"/>
        </w:rPr>
        <w:t xml:space="preserve"> </w:t>
      </w:r>
      <w:r w:rsidRPr="007179F8">
        <w:rPr>
          <w:rFonts w:ascii="Arial" w:hAnsi="Arial" w:cs="Arial"/>
          <w:sz w:val="20"/>
          <w:szCs w:val="20"/>
        </w:rPr>
        <w:t>in</w:t>
      </w:r>
      <w:r w:rsidRPr="007179F8">
        <w:rPr>
          <w:rFonts w:ascii="Arial" w:hAnsi="Arial" w:cs="Arial"/>
          <w:spacing w:val="-13"/>
          <w:sz w:val="20"/>
          <w:szCs w:val="20"/>
        </w:rPr>
        <w:t xml:space="preserve"> </w:t>
      </w:r>
      <w:r w:rsidRPr="007179F8">
        <w:rPr>
          <w:rFonts w:ascii="Arial" w:hAnsi="Arial" w:cs="Arial"/>
          <w:sz w:val="20"/>
          <w:szCs w:val="20"/>
        </w:rPr>
        <w:t>case</w:t>
      </w:r>
      <w:r w:rsidRPr="007179F8">
        <w:rPr>
          <w:rFonts w:ascii="Arial" w:hAnsi="Arial" w:cs="Arial"/>
          <w:spacing w:val="-14"/>
          <w:sz w:val="20"/>
          <w:szCs w:val="20"/>
        </w:rPr>
        <w:t xml:space="preserve"> </w:t>
      </w:r>
      <w:r w:rsidRPr="007179F8">
        <w:rPr>
          <w:rFonts w:ascii="Arial" w:hAnsi="Arial" w:cs="Arial"/>
          <w:sz w:val="20"/>
          <w:szCs w:val="20"/>
        </w:rPr>
        <w:t>he</w:t>
      </w:r>
      <w:r w:rsidRPr="007179F8">
        <w:rPr>
          <w:rFonts w:ascii="Arial" w:hAnsi="Arial" w:cs="Arial"/>
          <w:spacing w:val="-11"/>
          <w:sz w:val="20"/>
          <w:szCs w:val="20"/>
        </w:rPr>
        <w:t xml:space="preserve"> </w:t>
      </w:r>
      <w:r w:rsidRPr="007179F8">
        <w:rPr>
          <w:rFonts w:ascii="Arial" w:hAnsi="Arial" w:cs="Arial"/>
          <w:sz w:val="20"/>
          <w:szCs w:val="20"/>
        </w:rPr>
        <w:t>or</w:t>
      </w:r>
      <w:r w:rsidRPr="007179F8">
        <w:rPr>
          <w:rFonts w:ascii="Arial" w:hAnsi="Arial" w:cs="Arial"/>
          <w:spacing w:val="-14"/>
          <w:sz w:val="20"/>
          <w:szCs w:val="20"/>
        </w:rPr>
        <w:t xml:space="preserve"> </w:t>
      </w:r>
      <w:r w:rsidRPr="007179F8">
        <w:rPr>
          <w:rFonts w:ascii="Arial" w:hAnsi="Arial" w:cs="Arial"/>
          <w:sz w:val="20"/>
          <w:szCs w:val="20"/>
        </w:rPr>
        <w:t>she</w:t>
      </w:r>
      <w:r w:rsidRPr="007179F8">
        <w:rPr>
          <w:rFonts w:ascii="Arial" w:hAnsi="Arial" w:cs="Arial"/>
          <w:spacing w:val="-12"/>
          <w:sz w:val="20"/>
          <w:szCs w:val="20"/>
        </w:rPr>
        <w:t xml:space="preserve"> </w:t>
      </w:r>
      <w:r w:rsidRPr="007179F8">
        <w:rPr>
          <w:rFonts w:ascii="Arial" w:hAnsi="Arial" w:cs="Arial"/>
          <w:sz w:val="20"/>
          <w:szCs w:val="20"/>
        </w:rPr>
        <w:t>has</w:t>
      </w:r>
      <w:r w:rsidRPr="007179F8">
        <w:rPr>
          <w:rFonts w:ascii="Arial" w:hAnsi="Arial" w:cs="Arial"/>
          <w:spacing w:val="-14"/>
          <w:sz w:val="20"/>
          <w:szCs w:val="20"/>
        </w:rPr>
        <w:t xml:space="preserve"> </w:t>
      </w:r>
      <w:r w:rsidRPr="007179F8">
        <w:rPr>
          <w:rFonts w:ascii="Arial" w:hAnsi="Arial" w:cs="Arial"/>
          <w:sz w:val="20"/>
          <w:szCs w:val="20"/>
        </w:rPr>
        <w:t>completed</w:t>
      </w:r>
      <w:r w:rsidRPr="007179F8">
        <w:rPr>
          <w:rFonts w:ascii="Arial" w:hAnsi="Arial" w:cs="Arial"/>
          <w:spacing w:val="-12"/>
          <w:sz w:val="20"/>
          <w:szCs w:val="20"/>
        </w:rPr>
        <w:t xml:space="preserve"> </w:t>
      </w:r>
      <w:r w:rsidRPr="007179F8">
        <w:rPr>
          <w:rFonts w:ascii="Arial" w:hAnsi="Arial" w:cs="Arial"/>
          <w:sz w:val="20"/>
          <w:szCs w:val="20"/>
        </w:rPr>
        <w:t>the</w:t>
      </w:r>
      <w:r w:rsidRPr="007179F8">
        <w:rPr>
          <w:rFonts w:ascii="Arial" w:hAnsi="Arial" w:cs="Arial"/>
          <w:spacing w:val="-10"/>
          <w:sz w:val="20"/>
          <w:szCs w:val="20"/>
        </w:rPr>
        <w:t xml:space="preserve"> </w:t>
      </w:r>
      <w:r w:rsidRPr="007179F8">
        <w:rPr>
          <w:rFonts w:ascii="Arial" w:hAnsi="Arial" w:cs="Arial"/>
          <w:sz w:val="20"/>
          <w:szCs w:val="20"/>
        </w:rPr>
        <w:t>training</w:t>
      </w:r>
      <w:r w:rsidRPr="007179F8">
        <w:rPr>
          <w:rFonts w:ascii="Arial" w:hAnsi="Arial" w:cs="Arial"/>
          <w:spacing w:val="-13"/>
          <w:sz w:val="20"/>
          <w:szCs w:val="20"/>
        </w:rPr>
        <w:t xml:space="preserve"> </w:t>
      </w:r>
      <w:r w:rsidRPr="007179F8">
        <w:rPr>
          <w:rFonts w:ascii="Arial" w:hAnsi="Arial" w:cs="Arial"/>
          <w:sz w:val="20"/>
          <w:szCs w:val="20"/>
        </w:rPr>
        <w:t>flight</w:t>
      </w:r>
      <w:r w:rsidRPr="007179F8">
        <w:rPr>
          <w:rFonts w:ascii="Arial" w:hAnsi="Arial" w:cs="Arial"/>
          <w:spacing w:val="-11"/>
          <w:sz w:val="20"/>
          <w:szCs w:val="20"/>
        </w:rPr>
        <w:t xml:space="preserve"> </w:t>
      </w:r>
      <w:r w:rsidRPr="007179F8">
        <w:rPr>
          <w:rFonts w:ascii="Arial" w:hAnsi="Arial" w:cs="Arial"/>
          <w:sz w:val="20"/>
          <w:szCs w:val="20"/>
        </w:rPr>
        <w:t>as</w:t>
      </w:r>
      <w:r w:rsidRPr="007179F8">
        <w:rPr>
          <w:rFonts w:ascii="Arial" w:hAnsi="Arial" w:cs="Arial"/>
          <w:spacing w:val="-14"/>
          <w:sz w:val="20"/>
          <w:szCs w:val="20"/>
        </w:rPr>
        <w:t xml:space="preserve"> </w:t>
      </w:r>
      <w:r w:rsidRPr="007179F8">
        <w:rPr>
          <w:rFonts w:ascii="Arial" w:hAnsi="Arial" w:cs="Arial"/>
          <w:sz w:val="20"/>
          <w:szCs w:val="20"/>
        </w:rPr>
        <w:t>specified</w:t>
      </w:r>
      <w:r w:rsidRPr="007179F8">
        <w:rPr>
          <w:rFonts w:ascii="Arial" w:hAnsi="Arial" w:cs="Arial"/>
          <w:spacing w:val="-14"/>
          <w:sz w:val="20"/>
          <w:szCs w:val="20"/>
        </w:rPr>
        <w:t xml:space="preserve"> </w:t>
      </w:r>
      <w:r w:rsidRPr="007179F8">
        <w:rPr>
          <w:rFonts w:ascii="Arial" w:hAnsi="Arial" w:cs="Arial"/>
          <w:sz w:val="20"/>
          <w:szCs w:val="20"/>
        </w:rPr>
        <w:t>in</w:t>
      </w:r>
      <w:r w:rsidRPr="007179F8">
        <w:rPr>
          <w:rFonts w:ascii="Arial" w:hAnsi="Arial" w:cs="Arial"/>
          <w:spacing w:val="-13"/>
          <w:sz w:val="20"/>
          <w:szCs w:val="20"/>
        </w:rPr>
        <w:t xml:space="preserve"> </w:t>
      </w:r>
      <w:r w:rsidRPr="007179F8">
        <w:rPr>
          <w:rFonts w:ascii="Arial" w:hAnsi="Arial" w:cs="Arial"/>
          <w:sz w:val="20"/>
          <w:szCs w:val="20"/>
        </w:rPr>
        <w:t>point</w:t>
      </w:r>
      <w:r w:rsidRPr="007179F8">
        <w:rPr>
          <w:rFonts w:ascii="Arial" w:hAnsi="Arial" w:cs="Arial"/>
          <w:spacing w:val="-47"/>
          <w:sz w:val="20"/>
          <w:szCs w:val="20"/>
        </w:rPr>
        <w:t xml:space="preserve"> </w:t>
      </w:r>
      <w:r w:rsidRPr="007179F8">
        <w:rPr>
          <w:rFonts w:ascii="Arial" w:hAnsi="Arial" w:cs="Arial"/>
          <w:sz w:val="20"/>
          <w:szCs w:val="20"/>
        </w:rPr>
        <w:t>BFCL.215(d)(2)(ii)</w:t>
      </w:r>
      <w:r w:rsidRPr="007179F8">
        <w:rPr>
          <w:rFonts w:ascii="Arial" w:hAnsi="Arial" w:cs="Arial"/>
          <w:spacing w:val="1"/>
          <w:sz w:val="20"/>
          <w:szCs w:val="20"/>
        </w:rPr>
        <w:t xml:space="preserve"> </w:t>
      </w:r>
      <w:r w:rsidRPr="007179F8">
        <w:rPr>
          <w:rFonts w:ascii="Arial" w:hAnsi="Arial" w:cs="Arial"/>
          <w:sz w:val="20"/>
          <w:szCs w:val="20"/>
        </w:rPr>
        <w:t>in</w:t>
      </w:r>
      <w:r w:rsidRPr="007179F8">
        <w:rPr>
          <w:rFonts w:ascii="Arial" w:hAnsi="Arial" w:cs="Arial"/>
          <w:spacing w:val="-1"/>
          <w:sz w:val="20"/>
          <w:szCs w:val="20"/>
        </w:rPr>
        <w:t xml:space="preserve"> </w:t>
      </w:r>
      <w:r w:rsidRPr="007179F8">
        <w:rPr>
          <w:rFonts w:ascii="Arial" w:hAnsi="Arial" w:cs="Arial"/>
          <w:sz w:val="20"/>
          <w:szCs w:val="20"/>
        </w:rPr>
        <w:t>the</w:t>
      </w:r>
      <w:r w:rsidRPr="007179F8">
        <w:rPr>
          <w:rFonts w:ascii="Arial" w:hAnsi="Arial" w:cs="Arial"/>
          <w:spacing w:val="-2"/>
          <w:sz w:val="20"/>
          <w:szCs w:val="20"/>
        </w:rPr>
        <w:t xml:space="preserve"> </w:t>
      </w:r>
      <w:r w:rsidRPr="007179F8">
        <w:rPr>
          <w:rFonts w:ascii="Arial" w:hAnsi="Arial" w:cs="Arial"/>
          <w:sz w:val="20"/>
          <w:szCs w:val="20"/>
        </w:rPr>
        <w:t>relevant balloon</w:t>
      </w:r>
      <w:r w:rsidRPr="007179F8">
        <w:rPr>
          <w:rFonts w:ascii="Arial" w:hAnsi="Arial" w:cs="Arial"/>
          <w:spacing w:val="-1"/>
          <w:sz w:val="20"/>
          <w:szCs w:val="20"/>
        </w:rPr>
        <w:t xml:space="preserve"> </w:t>
      </w:r>
      <w:r w:rsidRPr="007179F8">
        <w:rPr>
          <w:rFonts w:ascii="Arial" w:hAnsi="Arial" w:cs="Arial"/>
          <w:sz w:val="20"/>
          <w:szCs w:val="20"/>
        </w:rPr>
        <w:t>class.</w:t>
      </w:r>
    </w:p>
    <w:p w14:paraId="37B70D05" w14:textId="77777777" w:rsidR="007B03BC" w:rsidRPr="007179F8" w:rsidRDefault="007B03BC" w:rsidP="00D44EB0">
      <w:pPr>
        <w:pStyle w:val="BodyText"/>
        <w:spacing w:before="121" w:line="276" w:lineRule="auto"/>
        <w:ind w:left="706" w:right="197"/>
        <w:jc w:val="both"/>
        <w:rPr>
          <w:rFonts w:ascii="Arial" w:hAnsi="Arial" w:cs="Arial"/>
          <w:sz w:val="20"/>
          <w:szCs w:val="20"/>
        </w:rPr>
      </w:pPr>
      <w:r w:rsidRPr="007179F8">
        <w:rPr>
          <w:rFonts w:ascii="Arial" w:hAnsi="Arial" w:cs="Arial"/>
          <w:sz w:val="20"/>
          <w:szCs w:val="20"/>
        </w:rPr>
        <w:t>In the case of the hot-air balloon class, limitations specified in paragraph (d), concerning the</w:t>
      </w:r>
      <w:r w:rsidRPr="007179F8">
        <w:rPr>
          <w:rFonts w:ascii="Arial" w:hAnsi="Arial" w:cs="Arial"/>
          <w:spacing w:val="1"/>
          <w:sz w:val="20"/>
          <w:szCs w:val="20"/>
        </w:rPr>
        <w:t xml:space="preserve"> </w:t>
      </w:r>
      <w:r w:rsidRPr="007179F8">
        <w:rPr>
          <w:rFonts w:ascii="Arial" w:hAnsi="Arial" w:cs="Arial"/>
          <w:sz w:val="20"/>
          <w:szCs w:val="20"/>
        </w:rPr>
        <w:t>privileges to operate different classes of balloons, shall apply, depending on the balloon class</w:t>
      </w:r>
      <w:r w:rsidRPr="007179F8">
        <w:rPr>
          <w:rFonts w:ascii="Arial" w:hAnsi="Arial" w:cs="Arial"/>
          <w:spacing w:val="1"/>
          <w:sz w:val="20"/>
          <w:szCs w:val="20"/>
        </w:rPr>
        <w:t xml:space="preserve"> </w:t>
      </w:r>
      <w:r w:rsidRPr="007179F8">
        <w:rPr>
          <w:rFonts w:ascii="Arial" w:hAnsi="Arial" w:cs="Arial"/>
          <w:sz w:val="20"/>
          <w:szCs w:val="20"/>
        </w:rPr>
        <w:t>used</w:t>
      </w:r>
      <w:r w:rsidRPr="007179F8">
        <w:rPr>
          <w:rFonts w:ascii="Arial" w:hAnsi="Arial" w:cs="Arial"/>
          <w:spacing w:val="-1"/>
          <w:sz w:val="20"/>
          <w:szCs w:val="20"/>
        </w:rPr>
        <w:t xml:space="preserve"> </w:t>
      </w:r>
      <w:r w:rsidRPr="007179F8">
        <w:rPr>
          <w:rFonts w:ascii="Arial" w:hAnsi="Arial" w:cs="Arial"/>
          <w:sz w:val="20"/>
          <w:szCs w:val="20"/>
        </w:rPr>
        <w:t>for</w:t>
      </w:r>
      <w:r w:rsidRPr="007179F8">
        <w:rPr>
          <w:rFonts w:ascii="Arial" w:hAnsi="Arial" w:cs="Arial"/>
          <w:spacing w:val="-2"/>
          <w:sz w:val="20"/>
          <w:szCs w:val="20"/>
        </w:rPr>
        <w:t xml:space="preserve"> </w:t>
      </w:r>
      <w:r w:rsidRPr="007179F8">
        <w:rPr>
          <w:rFonts w:ascii="Arial" w:hAnsi="Arial" w:cs="Arial"/>
          <w:sz w:val="20"/>
          <w:szCs w:val="20"/>
        </w:rPr>
        <w:t>complying</w:t>
      </w:r>
      <w:r w:rsidRPr="007179F8">
        <w:rPr>
          <w:rFonts w:ascii="Arial" w:hAnsi="Arial" w:cs="Arial"/>
          <w:spacing w:val="-3"/>
          <w:sz w:val="20"/>
          <w:szCs w:val="20"/>
        </w:rPr>
        <w:t xml:space="preserve"> </w:t>
      </w:r>
      <w:r w:rsidRPr="007179F8">
        <w:rPr>
          <w:rFonts w:ascii="Arial" w:hAnsi="Arial" w:cs="Arial"/>
          <w:sz w:val="20"/>
          <w:szCs w:val="20"/>
        </w:rPr>
        <w:t>with paragraphs (f)(1) or</w:t>
      </w:r>
      <w:r w:rsidRPr="007179F8">
        <w:rPr>
          <w:rFonts w:ascii="Arial" w:hAnsi="Arial" w:cs="Arial"/>
          <w:spacing w:val="-1"/>
          <w:sz w:val="20"/>
          <w:szCs w:val="20"/>
        </w:rPr>
        <w:t xml:space="preserve"> </w:t>
      </w:r>
      <w:r w:rsidRPr="007179F8">
        <w:rPr>
          <w:rFonts w:ascii="Arial" w:hAnsi="Arial" w:cs="Arial"/>
          <w:sz w:val="20"/>
          <w:szCs w:val="20"/>
        </w:rPr>
        <w:t>(f)(2).</w:t>
      </w:r>
    </w:p>
    <w:p w14:paraId="047B3BA8" w14:textId="77777777" w:rsidR="007B03BC" w:rsidRDefault="007B03BC" w:rsidP="007B03BC">
      <w:pPr>
        <w:ind w:left="706" w:right="195"/>
        <w:jc w:val="both"/>
        <w:rPr>
          <w:rFonts w:ascii="Arial" w:hAnsi="Arial" w:cs="Arial"/>
        </w:rPr>
      </w:pPr>
    </w:p>
    <w:p w14:paraId="06AC5069" w14:textId="77777777" w:rsidR="0066508E" w:rsidRPr="0066508E" w:rsidRDefault="0066508E" w:rsidP="0066508E">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655" w:name="AMC1_BFCL.160__BPL_–_Recency_requirement"/>
      <w:bookmarkStart w:id="656" w:name="_bookmark263"/>
      <w:bookmarkStart w:id="657" w:name="_Toc153137428"/>
      <w:bookmarkEnd w:id="655"/>
      <w:bookmarkEnd w:id="656"/>
      <w:r w:rsidRPr="0066508E">
        <w:rPr>
          <w:rFonts w:ascii="Arial" w:eastAsia="Times New Roman" w:hAnsi="Arial" w:cs="Times New Roman"/>
          <w:b/>
          <w:color w:val="FFFFFF"/>
          <w:sz w:val="24"/>
        </w:rPr>
        <w:t>AMC1 BFCL.160 BPL – Recency requirements</w:t>
      </w:r>
      <w:bookmarkEnd w:id="657"/>
    </w:p>
    <w:p w14:paraId="1B957E59" w14:textId="77777777" w:rsidR="0066508E" w:rsidRPr="0066508E" w:rsidRDefault="0066508E" w:rsidP="0066508E">
      <w:pPr>
        <w:widowControl/>
        <w:autoSpaceDE/>
        <w:autoSpaceDN/>
        <w:spacing w:before="240" w:after="160" w:line="264" w:lineRule="auto"/>
        <w:jc w:val="both"/>
        <w:rPr>
          <w:rFonts w:ascii="Arial" w:eastAsiaTheme="minorHAnsi" w:hAnsi="Arial" w:cs="Arial"/>
          <w:b/>
          <w:bCs/>
          <w:sz w:val="20"/>
          <w:szCs w:val="20"/>
        </w:rPr>
      </w:pPr>
      <w:r w:rsidRPr="0066508E">
        <w:rPr>
          <w:rFonts w:ascii="Arial" w:eastAsiaTheme="minorHAnsi" w:hAnsi="Arial" w:cs="Arial"/>
          <w:b/>
          <w:bCs/>
          <w:sz w:val="20"/>
          <w:szCs w:val="20"/>
        </w:rPr>
        <w:t>CREDITS FOR FLIGHT TIME COMPLETED ON BALLOONS AS PER ARTICLE 2(8) OF AS WELL AS ANNEX I TO THE BASIC REGULATION</w:t>
      </w:r>
    </w:p>
    <w:p w14:paraId="511CEAA2" w14:textId="77777777" w:rsidR="0066508E" w:rsidRPr="0066508E" w:rsidRDefault="0066508E" w:rsidP="00D44EB0">
      <w:pPr>
        <w:pStyle w:val="BodyText"/>
        <w:spacing w:before="119" w:line="276" w:lineRule="auto"/>
        <w:ind w:right="195"/>
        <w:jc w:val="both"/>
        <w:rPr>
          <w:rFonts w:ascii="Arial" w:hAnsi="Arial" w:cs="Arial"/>
          <w:sz w:val="20"/>
        </w:rPr>
      </w:pPr>
      <w:r w:rsidRPr="0066508E">
        <w:rPr>
          <w:rFonts w:ascii="Arial" w:hAnsi="Arial" w:cs="Arial"/>
          <w:sz w:val="20"/>
        </w:rPr>
        <w:t>All hours flown on balloons that are subject to a decision as per Article 2(8) of the Basic Regulation or</w:t>
      </w:r>
      <w:r w:rsidRPr="0066508E">
        <w:rPr>
          <w:rFonts w:ascii="Arial" w:hAnsi="Arial" w:cs="Arial"/>
          <w:spacing w:val="-48"/>
          <w:sz w:val="20"/>
        </w:rPr>
        <w:t xml:space="preserve"> </w:t>
      </w:r>
      <w:r w:rsidRPr="0066508E">
        <w:rPr>
          <w:rFonts w:ascii="Arial" w:hAnsi="Arial" w:cs="Arial"/>
          <w:sz w:val="20"/>
        </w:rPr>
        <w:t>that are specified in Annex I to the Basic Regulation should count in full towards fulfilling the hourly</w:t>
      </w:r>
      <w:r w:rsidRPr="0066508E">
        <w:rPr>
          <w:rFonts w:ascii="Arial" w:hAnsi="Arial" w:cs="Arial"/>
          <w:spacing w:val="1"/>
          <w:sz w:val="20"/>
        </w:rPr>
        <w:t xml:space="preserve"> </w:t>
      </w:r>
      <w:r w:rsidRPr="0066508E">
        <w:rPr>
          <w:rFonts w:ascii="Arial" w:hAnsi="Arial" w:cs="Arial"/>
          <w:sz w:val="20"/>
        </w:rPr>
        <w:t>requirements</w:t>
      </w:r>
      <w:r w:rsidRPr="0066508E">
        <w:rPr>
          <w:rFonts w:ascii="Arial" w:hAnsi="Arial" w:cs="Arial"/>
          <w:spacing w:val="-3"/>
          <w:sz w:val="20"/>
        </w:rPr>
        <w:t xml:space="preserve"> </w:t>
      </w:r>
      <w:r w:rsidRPr="0066508E">
        <w:rPr>
          <w:rFonts w:ascii="Arial" w:hAnsi="Arial" w:cs="Arial"/>
          <w:sz w:val="20"/>
        </w:rPr>
        <w:t>of point BFCL.160</w:t>
      </w:r>
      <w:r w:rsidRPr="0066508E">
        <w:rPr>
          <w:rFonts w:ascii="Arial" w:hAnsi="Arial" w:cs="Arial"/>
          <w:spacing w:val="-2"/>
          <w:sz w:val="20"/>
        </w:rPr>
        <w:t xml:space="preserve"> </w:t>
      </w:r>
      <w:r w:rsidRPr="0066508E">
        <w:rPr>
          <w:rFonts w:ascii="Arial" w:hAnsi="Arial" w:cs="Arial"/>
          <w:sz w:val="20"/>
        </w:rPr>
        <w:t>of</w:t>
      </w:r>
      <w:r w:rsidRPr="0066508E">
        <w:rPr>
          <w:rFonts w:ascii="Arial" w:hAnsi="Arial" w:cs="Arial"/>
          <w:spacing w:val="-3"/>
          <w:sz w:val="20"/>
        </w:rPr>
        <w:t xml:space="preserve"> </w:t>
      </w:r>
      <w:r w:rsidRPr="0066508E">
        <w:rPr>
          <w:rFonts w:ascii="Arial" w:hAnsi="Arial" w:cs="Arial"/>
          <w:sz w:val="20"/>
        </w:rPr>
        <w:t>Part-BFCL</w:t>
      </w:r>
      <w:r w:rsidRPr="0066508E">
        <w:rPr>
          <w:rFonts w:ascii="Arial" w:hAnsi="Arial" w:cs="Arial"/>
          <w:spacing w:val="-2"/>
          <w:sz w:val="20"/>
        </w:rPr>
        <w:t xml:space="preserve"> </w:t>
      </w:r>
      <w:r w:rsidRPr="0066508E">
        <w:rPr>
          <w:rFonts w:ascii="Arial" w:hAnsi="Arial" w:cs="Arial"/>
          <w:sz w:val="20"/>
        </w:rPr>
        <w:t>under the following</w:t>
      </w:r>
      <w:r w:rsidRPr="0066508E">
        <w:rPr>
          <w:rFonts w:ascii="Arial" w:hAnsi="Arial" w:cs="Arial"/>
          <w:spacing w:val="-4"/>
          <w:sz w:val="20"/>
        </w:rPr>
        <w:t xml:space="preserve"> </w:t>
      </w:r>
      <w:r w:rsidRPr="0066508E">
        <w:rPr>
          <w:rFonts w:ascii="Arial" w:hAnsi="Arial" w:cs="Arial"/>
          <w:sz w:val="20"/>
        </w:rPr>
        <w:t>conditions:</w:t>
      </w:r>
    </w:p>
    <w:p w14:paraId="5D621B92" w14:textId="77777777" w:rsidR="0066508E" w:rsidRPr="0066508E" w:rsidRDefault="0066508E" w:rsidP="00D44EB0">
      <w:pPr>
        <w:pStyle w:val="ListParagraph"/>
        <w:numPr>
          <w:ilvl w:val="0"/>
          <w:numId w:val="207"/>
        </w:numPr>
        <w:tabs>
          <w:tab w:val="left" w:pos="707"/>
        </w:tabs>
        <w:spacing w:before="118" w:line="276" w:lineRule="auto"/>
        <w:ind w:left="704" w:right="194"/>
        <w:jc w:val="both"/>
        <w:rPr>
          <w:rFonts w:ascii="Arial" w:hAnsi="Arial" w:cs="Arial"/>
          <w:sz w:val="20"/>
        </w:rPr>
      </w:pPr>
      <w:r w:rsidRPr="0066508E">
        <w:rPr>
          <w:rFonts w:ascii="Arial" w:hAnsi="Arial" w:cs="Arial"/>
          <w:sz w:val="20"/>
        </w:rPr>
        <w:t>the</w:t>
      </w:r>
      <w:r w:rsidRPr="0066508E">
        <w:rPr>
          <w:rFonts w:ascii="Arial" w:hAnsi="Arial" w:cs="Arial"/>
          <w:spacing w:val="-3"/>
          <w:sz w:val="20"/>
        </w:rPr>
        <w:t xml:space="preserve"> </w:t>
      </w:r>
      <w:r w:rsidRPr="0066508E">
        <w:rPr>
          <w:rFonts w:ascii="Arial" w:hAnsi="Arial" w:cs="Arial"/>
          <w:sz w:val="20"/>
        </w:rPr>
        <w:t>balloon</w:t>
      </w:r>
      <w:r w:rsidRPr="0066508E">
        <w:rPr>
          <w:rFonts w:ascii="Arial" w:hAnsi="Arial" w:cs="Arial"/>
          <w:spacing w:val="-3"/>
          <w:sz w:val="20"/>
        </w:rPr>
        <w:t xml:space="preserve"> </w:t>
      </w:r>
      <w:r w:rsidRPr="0066508E">
        <w:rPr>
          <w:rFonts w:ascii="Arial" w:hAnsi="Arial" w:cs="Arial"/>
          <w:sz w:val="20"/>
        </w:rPr>
        <w:t>matches</w:t>
      </w:r>
      <w:r w:rsidRPr="0066508E">
        <w:rPr>
          <w:rFonts w:ascii="Arial" w:hAnsi="Arial" w:cs="Arial"/>
          <w:spacing w:val="-3"/>
          <w:sz w:val="20"/>
        </w:rPr>
        <w:t xml:space="preserve"> </w:t>
      </w:r>
      <w:r w:rsidRPr="0066508E">
        <w:rPr>
          <w:rFonts w:ascii="Arial" w:hAnsi="Arial" w:cs="Arial"/>
          <w:sz w:val="20"/>
        </w:rPr>
        <w:t>the</w:t>
      </w:r>
      <w:r w:rsidRPr="0066508E">
        <w:rPr>
          <w:rFonts w:ascii="Arial" w:hAnsi="Arial" w:cs="Arial"/>
          <w:spacing w:val="-2"/>
          <w:sz w:val="20"/>
        </w:rPr>
        <w:t xml:space="preserve"> </w:t>
      </w:r>
      <w:r w:rsidRPr="0066508E">
        <w:rPr>
          <w:rFonts w:ascii="Arial" w:hAnsi="Arial" w:cs="Arial"/>
          <w:sz w:val="20"/>
        </w:rPr>
        <w:t>definition</w:t>
      </w:r>
      <w:r w:rsidRPr="0066508E">
        <w:rPr>
          <w:rFonts w:ascii="Arial" w:hAnsi="Arial" w:cs="Arial"/>
          <w:spacing w:val="-3"/>
          <w:sz w:val="20"/>
        </w:rPr>
        <w:t xml:space="preserve"> </w:t>
      </w:r>
      <w:r w:rsidRPr="0066508E">
        <w:rPr>
          <w:rFonts w:ascii="Arial" w:hAnsi="Arial" w:cs="Arial"/>
          <w:sz w:val="20"/>
        </w:rPr>
        <w:t>and</w:t>
      </w:r>
      <w:r w:rsidRPr="0066508E">
        <w:rPr>
          <w:rFonts w:ascii="Arial" w:hAnsi="Arial" w:cs="Arial"/>
          <w:spacing w:val="-4"/>
          <w:sz w:val="20"/>
        </w:rPr>
        <w:t xml:space="preserve"> </w:t>
      </w:r>
      <w:r w:rsidRPr="0066508E">
        <w:rPr>
          <w:rFonts w:ascii="Arial" w:hAnsi="Arial" w:cs="Arial"/>
          <w:sz w:val="20"/>
        </w:rPr>
        <w:t>criteria</w:t>
      </w:r>
      <w:r w:rsidRPr="0066508E">
        <w:rPr>
          <w:rFonts w:ascii="Arial" w:hAnsi="Arial" w:cs="Arial"/>
          <w:spacing w:val="-5"/>
          <w:sz w:val="20"/>
        </w:rPr>
        <w:t xml:space="preserve"> </w:t>
      </w:r>
      <w:r w:rsidRPr="0066508E">
        <w:rPr>
          <w:rFonts w:ascii="Arial" w:hAnsi="Arial" w:cs="Arial"/>
          <w:sz w:val="20"/>
        </w:rPr>
        <w:t>of</w:t>
      </w:r>
      <w:r w:rsidRPr="0066508E">
        <w:rPr>
          <w:rFonts w:ascii="Arial" w:hAnsi="Arial" w:cs="Arial"/>
          <w:spacing w:val="-3"/>
          <w:sz w:val="20"/>
        </w:rPr>
        <w:t xml:space="preserve"> </w:t>
      </w:r>
      <w:r w:rsidRPr="0066508E">
        <w:rPr>
          <w:rFonts w:ascii="Arial" w:hAnsi="Arial" w:cs="Arial"/>
          <w:sz w:val="20"/>
        </w:rPr>
        <w:t>the</w:t>
      </w:r>
      <w:r w:rsidRPr="0066508E">
        <w:rPr>
          <w:rFonts w:ascii="Arial" w:hAnsi="Arial" w:cs="Arial"/>
          <w:spacing w:val="-2"/>
          <w:sz w:val="20"/>
        </w:rPr>
        <w:t xml:space="preserve"> </w:t>
      </w:r>
      <w:r w:rsidRPr="0066508E">
        <w:rPr>
          <w:rFonts w:ascii="Arial" w:hAnsi="Arial" w:cs="Arial"/>
          <w:sz w:val="20"/>
        </w:rPr>
        <w:t>respective</w:t>
      </w:r>
      <w:r w:rsidRPr="0066508E">
        <w:rPr>
          <w:rFonts w:ascii="Arial" w:hAnsi="Arial" w:cs="Arial"/>
          <w:spacing w:val="-4"/>
          <w:sz w:val="20"/>
        </w:rPr>
        <w:t xml:space="preserve"> </w:t>
      </w:r>
      <w:r w:rsidRPr="0066508E">
        <w:rPr>
          <w:rFonts w:ascii="Arial" w:hAnsi="Arial" w:cs="Arial"/>
          <w:sz w:val="20"/>
        </w:rPr>
        <w:t>Part-BFCL</w:t>
      </w:r>
      <w:r w:rsidRPr="0066508E">
        <w:rPr>
          <w:rFonts w:ascii="Arial" w:hAnsi="Arial" w:cs="Arial"/>
          <w:spacing w:val="-3"/>
          <w:sz w:val="20"/>
        </w:rPr>
        <w:t xml:space="preserve"> </w:t>
      </w:r>
      <w:r w:rsidRPr="0066508E">
        <w:rPr>
          <w:rFonts w:ascii="Arial" w:hAnsi="Arial" w:cs="Arial"/>
          <w:sz w:val="20"/>
        </w:rPr>
        <w:t>balloon</w:t>
      </w:r>
      <w:r w:rsidRPr="0066508E">
        <w:rPr>
          <w:rFonts w:ascii="Arial" w:hAnsi="Arial" w:cs="Arial"/>
          <w:spacing w:val="-3"/>
          <w:sz w:val="20"/>
        </w:rPr>
        <w:t xml:space="preserve"> </w:t>
      </w:r>
      <w:r w:rsidRPr="0066508E">
        <w:rPr>
          <w:rFonts w:ascii="Arial" w:hAnsi="Arial" w:cs="Arial"/>
          <w:sz w:val="20"/>
        </w:rPr>
        <w:t>class</w:t>
      </w:r>
      <w:r w:rsidRPr="0066508E">
        <w:rPr>
          <w:rFonts w:ascii="Arial" w:hAnsi="Arial" w:cs="Arial"/>
          <w:spacing w:val="-2"/>
          <w:sz w:val="20"/>
        </w:rPr>
        <w:t xml:space="preserve"> </w:t>
      </w:r>
      <w:r w:rsidRPr="0066508E">
        <w:rPr>
          <w:rFonts w:ascii="Arial" w:hAnsi="Arial" w:cs="Arial"/>
          <w:sz w:val="20"/>
        </w:rPr>
        <w:t>and,</w:t>
      </w:r>
      <w:r w:rsidRPr="0066508E">
        <w:rPr>
          <w:rFonts w:ascii="Arial" w:hAnsi="Arial" w:cs="Arial"/>
          <w:spacing w:val="-3"/>
          <w:sz w:val="20"/>
        </w:rPr>
        <w:t xml:space="preserve"> </w:t>
      </w:r>
      <w:r w:rsidRPr="0066508E">
        <w:rPr>
          <w:rFonts w:ascii="Arial" w:hAnsi="Arial" w:cs="Arial"/>
          <w:sz w:val="20"/>
        </w:rPr>
        <w:t>in</w:t>
      </w:r>
      <w:r w:rsidRPr="0066508E">
        <w:rPr>
          <w:rFonts w:ascii="Arial" w:hAnsi="Arial" w:cs="Arial"/>
          <w:spacing w:val="-47"/>
          <w:sz w:val="20"/>
        </w:rPr>
        <w:t xml:space="preserve"> </w:t>
      </w:r>
      <w:r w:rsidRPr="0066508E">
        <w:rPr>
          <w:rFonts w:ascii="Arial" w:hAnsi="Arial" w:cs="Arial"/>
          <w:spacing w:val="-1"/>
          <w:sz w:val="20"/>
        </w:rPr>
        <w:t>the</w:t>
      </w:r>
      <w:r w:rsidRPr="0066508E">
        <w:rPr>
          <w:rFonts w:ascii="Arial" w:hAnsi="Arial" w:cs="Arial"/>
          <w:spacing w:val="-9"/>
          <w:sz w:val="20"/>
        </w:rPr>
        <w:t xml:space="preserve"> </w:t>
      </w:r>
      <w:r w:rsidRPr="0066508E">
        <w:rPr>
          <w:rFonts w:ascii="Arial" w:hAnsi="Arial" w:cs="Arial"/>
          <w:spacing w:val="-1"/>
          <w:sz w:val="20"/>
        </w:rPr>
        <w:t>case</w:t>
      </w:r>
      <w:r w:rsidRPr="0066508E">
        <w:rPr>
          <w:rFonts w:ascii="Arial" w:hAnsi="Arial" w:cs="Arial"/>
          <w:spacing w:val="-11"/>
          <w:sz w:val="20"/>
        </w:rPr>
        <w:t xml:space="preserve"> </w:t>
      </w:r>
      <w:r w:rsidRPr="0066508E">
        <w:rPr>
          <w:rFonts w:ascii="Arial" w:hAnsi="Arial" w:cs="Arial"/>
          <w:spacing w:val="-1"/>
          <w:sz w:val="20"/>
        </w:rPr>
        <w:t>of</w:t>
      </w:r>
      <w:r w:rsidRPr="0066508E">
        <w:rPr>
          <w:rFonts w:ascii="Arial" w:hAnsi="Arial" w:cs="Arial"/>
          <w:spacing w:val="-10"/>
          <w:sz w:val="20"/>
        </w:rPr>
        <w:t xml:space="preserve"> </w:t>
      </w:r>
      <w:r w:rsidRPr="0066508E">
        <w:rPr>
          <w:rFonts w:ascii="Arial" w:hAnsi="Arial" w:cs="Arial"/>
          <w:spacing w:val="-1"/>
          <w:sz w:val="20"/>
        </w:rPr>
        <w:t>hot-air</w:t>
      </w:r>
      <w:r w:rsidRPr="0066508E">
        <w:rPr>
          <w:rFonts w:ascii="Arial" w:hAnsi="Arial" w:cs="Arial"/>
          <w:spacing w:val="-12"/>
          <w:sz w:val="20"/>
        </w:rPr>
        <w:t xml:space="preserve"> </w:t>
      </w:r>
      <w:r w:rsidRPr="0066508E">
        <w:rPr>
          <w:rFonts w:ascii="Arial" w:hAnsi="Arial" w:cs="Arial"/>
          <w:sz w:val="20"/>
        </w:rPr>
        <w:t>balloons,</w:t>
      </w:r>
      <w:r w:rsidRPr="0066508E">
        <w:rPr>
          <w:rFonts w:ascii="Arial" w:hAnsi="Arial" w:cs="Arial"/>
          <w:spacing w:val="-12"/>
          <w:sz w:val="20"/>
        </w:rPr>
        <w:t xml:space="preserve"> </w:t>
      </w:r>
      <w:r w:rsidRPr="0066508E">
        <w:rPr>
          <w:rFonts w:ascii="Arial" w:hAnsi="Arial" w:cs="Arial"/>
          <w:sz w:val="20"/>
        </w:rPr>
        <w:t>the</w:t>
      </w:r>
      <w:r w:rsidRPr="0066508E">
        <w:rPr>
          <w:rFonts w:ascii="Arial" w:hAnsi="Arial" w:cs="Arial"/>
          <w:spacing w:val="-9"/>
          <w:sz w:val="20"/>
        </w:rPr>
        <w:t xml:space="preserve"> </w:t>
      </w:r>
      <w:r w:rsidRPr="0066508E">
        <w:rPr>
          <w:rFonts w:ascii="Arial" w:hAnsi="Arial" w:cs="Arial"/>
          <w:sz w:val="20"/>
        </w:rPr>
        <w:t>applicable</w:t>
      </w:r>
      <w:r w:rsidRPr="0066508E">
        <w:rPr>
          <w:rFonts w:ascii="Arial" w:hAnsi="Arial" w:cs="Arial"/>
          <w:spacing w:val="-9"/>
          <w:sz w:val="20"/>
        </w:rPr>
        <w:t xml:space="preserve"> </w:t>
      </w:r>
      <w:r w:rsidRPr="0066508E">
        <w:rPr>
          <w:rFonts w:ascii="Arial" w:hAnsi="Arial" w:cs="Arial"/>
          <w:sz w:val="20"/>
        </w:rPr>
        <w:t>hot-air</w:t>
      </w:r>
      <w:r w:rsidRPr="0066508E">
        <w:rPr>
          <w:rFonts w:ascii="Arial" w:hAnsi="Arial" w:cs="Arial"/>
          <w:spacing w:val="-9"/>
          <w:sz w:val="20"/>
        </w:rPr>
        <w:t xml:space="preserve"> </w:t>
      </w:r>
      <w:r w:rsidRPr="0066508E">
        <w:rPr>
          <w:rFonts w:ascii="Arial" w:hAnsi="Arial" w:cs="Arial"/>
          <w:sz w:val="20"/>
        </w:rPr>
        <w:t>balloon</w:t>
      </w:r>
      <w:r w:rsidRPr="0066508E">
        <w:rPr>
          <w:rFonts w:ascii="Arial" w:hAnsi="Arial" w:cs="Arial"/>
          <w:spacing w:val="-9"/>
          <w:sz w:val="20"/>
        </w:rPr>
        <w:t xml:space="preserve"> </w:t>
      </w:r>
      <w:r w:rsidRPr="0066508E">
        <w:rPr>
          <w:rFonts w:ascii="Arial" w:hAnsi="Arial" w:cs="Arial"/>
          <w:sz w:val="20"/>
        </w:rPr>
        <w:t>group</w:t>
      </w:r>
      <w:r w:rsidRPr="0066508E">
        <w:rPr>
          <w:rFonts w:ascii="Arial" w:hAnsi="Arial" w:cs="Arial"/>
          <w:spacing w:val="-13"/>
          <w:sz w:val="20"/>
        </w:rPr>
        <w:t xml:space="preserve"> </w:t>
      </w:r>
      <w:r w:rsidRPr="0066508E">
        <w:rPr>
          <w:rFonts w:ascii="Arial" w:hAnsi="Arial" w:cs="Arial"/>
          <w:sz w:val="20"/>
        </w:rPr>
        <w:t>as</w:t>
      </w:r>
      <w:r w:rsidRPr="0066508E">
        <w:rPr>
          <w:rFonts w:ascii="Arial" w:hAnsi="Arial" w:cs="Arial"/>
          <w:spacing w:val="-10"/>
          <w:sz w:val="20"/>
        </w:rPr>
        <w:t xml:space="preserve"> </w:t>
      </w:r>
      <w:r w:rsidRPr="0066508E">
        <w:rPr>
          <w:rFonts w:ascii="Arial" w:hAnsi="Arial" w:cs="Arial"/>
          <w:sz w:val="20"/>
        </w:rPr>
        <w:t>specified</w:t>
      </w:r>
      <w:r w:rsidRPr="0066508E">
        <w:rPr>
          <w:rFonts w:ascii="Arial" w:hAnsi="Arial" w:cs="Arial"/>
          <w:spacing w:val="-11"/>
          <w:sz w:val="20"/>
        </w:rPr>
        <w:t xml:space="preserve"> </w:t>
      </w:r>
      <w:r w:rsidRPr="0066508E">
        <w:rPr>
          <w:rFonts w:ascii="Arial" w:hAnsi="Arial" w:cs="Arial"/>
          <w:sz w:val="20"/>
        </w:rPr>
        <w:t>in</w:t>
      </w:r>
      <w:r w:rsidRPr="0066508E">
        <w:rPr>
          <w:rFonts w:ascii="Arial" w:hAnsi="Arial" w:cs="Arial"/>
          <w:spacing w:val="-10"/>
          <w:sz w:val="20"/>
        </w:rPr>
        <w:t xml:space="preserve"> </w:t>
      </w:r>
      <w:r w:rsidRPr="0066508E">
        <w:rPr>
          <w:rFonts w:ascii="Arial" w:hAnsi="Arial" w:cs="Arial"/>
          <w:sz w:val="20"/>
        </w:rPr>
        <w:t>point</w:t>
      </w:r>
      <w:r w:rsidRPr="0066508E">
        <w:rPr>
          <w:rFonts w:ascii="Arial" w:hAnsi="Arial" w:cs="Arial"/>
          <w:spacing w:val="-9"/>
          <w:sz w:val="20"/>
        </w:rPr>
        <w:t xml:space="preserve"> </w:t>
      </w:r>
      <w:r w:rsidRPr="0066508E">
        <w:rPr>
          <w:rFonts w:ascii="Arial" w:hAnsi="Arial" w:cs="Arial"/>
          <w:sz w:val="20"/>
        </w:rPr>
        <w:t>(a)</w:t>
      </w:r>
      <w:r w:rsidRPr="0066508E">
        <w:rPr>
          <w:rFonts w:ascii="Arial" w:hAnsi="Arial" w:cs="Arial"/>
          <w:spacing w:val="-10"/>
          <w:sz w:val="20"/>
        </w:rPr>
        <w:t xml:space="preserve"> </w:t>
      </w:r>
      <w:r w:rsidRPr="0066508E">
        <w:rPr>
          <w:rFonts w:ascii="Arial" w:hAnsi="Arial" w:cs="Arial"/>
          <w:sz w:val="20"/>
        </w:rPr>
        <w:t>of</w:t>
      </w:r>
      <w:r w:rsidRPr="0066508E">
        <w:rPr>
          <w:rFonts w:ascii="Arial" w:hAnsi="Arial" w:cs="Arial"/>
          <w:spacing w:val="-12"/>
          <w:sz w:val="20"/>
        </w:rPr>
        <w:t xml:space="preserve"> </w:t>
      </w:r>
      <w:r w:rsidRPr="0066508E">
        <w:rPr>
          <w:rFonts w:ascii="Arial" w:hAnsi="Arial" w:cs="Arial"/>
          <w:sz w:val="20"/>
        </w:rPr>
        <w:t>point</w:t>
      </w:r>
      <w:r w:rsidRPr="0066508E">
        <w:rPr>
          <w:rFonts w:ascii="Arial" w:hAnsi="Arial" w:cs="Arial"/>
          <w:spacing w:val="-48"/>
          <w:sz w:val="20"/>
        </w:rPr>
        <w:t xml:space="preserve"> </w:t>
      </w:r>
      <w:r w:rsidRPr="0066508E">
        <w:rPr>
          <w:rFonts w:ascii="Arial" w:hAnsi="Arial" w:cs="Arial"/>
          <w:sz w:val="20"/>
        </w:rPr>
        <w:t>BFCL.010;</w:t>
      </w:r>
    </w:p>
    <w:p w14:paraId="17C89E43" w14:textId="77777777" w:rsidR="0066508E" w:rsidRPr="0066508E" w:rsidRDefault="0066508E" w:rsidP="00D44EB0">
      <w:pPr>
        <w:pStyle w:val="ListParagraph"/>
        <w:numPr>
          <w:ilvl w:val="0"/>
          <w:numId w:val="207"/>
        </w:numPr>
        <w:tabs>
          <w:tab w:val="left" w:pos="707"/>
        </w:tabs>
        <w:spacing w:before="121" w:line="276" w:lineRule="auto"/>
        <w:ind w:left="704"/>
        <w:jc w:val="both"/>
        <w:rPr>
          <w:rFonts w:ascii="Arial" w:hAnsi="Arial" w:cs="Arial"/>
          <w:sz w:val="20"/>
        </w:rPr>
      </w:pPr>
      <w:r w:rsidRPr="0066508E">
        <w:rPr>
          <w:rFonts w:ascii="Arial" w:hAnsi="Arial" w:cs="Arial"/>
          <w:sz w:val="20"/>
        </w:rPr>
        <w:t>a</w:t>
      </w:r>
      <w:r w:rsidRPr="0066508E">
        <w:rPr>
          <w:rFonts w:ascii="Arial" w:hAnsi="Arial" w:cs="Arial"/>
          <w:spacing w:val="6"/>
          <w:sz w:val="20"/>
        </w:rPr>
        <w:t xml:space="preserve"> </w:t>
      </w:r>
      <w:r w:rsidRPr="0066508E">
        <w:rPr>
          <w:rFonts w:ascii="Arial" w:hAnsi="Arial" w:cs="Arial"/>
          <w:sz w:val="20"/>
        </w:rPr>
        <w:t>balloon</w:t>
      </w:r>
      <w:r w:rsidRPr="0066508E">
        <w:rPr>
          <w:rFonts w:ascii="Arial" w:hAnsi="Arial" w:cs="Arial"/>
          <w:spacing w:val="4"/>
          <w:sz w:val="20"/>
        </w:rPr>
        <w:t xml:space="preserve"> </w:t>
      </w:r>
      <w:r w:rsidRPr="0066508E">
        <w:rPr>
          <w:rFonts w:ascii="Arial" w:hAnsi="Arial" w:cs="Arial"/>
          <w:sz w:val="20"/>
        </w:rPr>
        <w:t>that</w:t>
      </w:r>
      <w:r w:rsidRPr="0066508E">
        <w:rPr>
          <w:rFonts w:ascii="Arial" w:hAnsi="Arial" w:cs="Arial"/>
          <w:spacing w:val="6"/>
          <w:sz w:val="20"/>
        </w:rPr>
        <w:t xml:space="preserve"> </w:t>
      </w:r>
      <w:r w:rsidRPr="0066508E">
        <w:rPr>
          <w:rFonts w:ascii="Arial" w:hAnsi="Arial" w:cs="Arial"/>
          <w:sz w:val="20"/>
        </w:rPr>
        <w:t>is</w:t>
      </w:r>
      <w:r w:rsidRPr="0066508E">
        <w:rPr>
          <w:rFonts w:ascii="Arial" w:hAnsi="Arial" w:cs="Arial"/>
          <w:spacing w:val="5"/>
          <w:sz w:val="20"/>
        </w:rPr>
        <w:t xml:space="preserve"> </w:t>
      </w:r>
      <w:r w:rsidRPr="0066508E">
        <w:rPr>
          <w:rFonts w:ascii="Arial" w:hAnsi="Arial" w:cs="Arial"/>
          <w:sz w:val="20"/>
        </w:rPr>
        <w:t>used</w:t>
      </w:r>
      <w:r w:rsidRPr="0066508E">
        <w:rPr>
          <w:rFonts w:ascii="Arial" w:hAnsi="Arial" w:cs="Arial"/>
          <w:spacing w:val="7"/>
          <w:sz w:val="20"/>
        </w:rPr>
        <w:t xml:space="preserve"> </w:t>
      </w:r>
      <w:r w:rsidRPr="0066508E">
        <w:rPr>
          <w:rFonts w:ascii="Arial" w:hAnsi="Arial" w:cs="Arial"/>
          <w:sz w:val="20"/>
        </w:rPr>
        <w:t>for</w:t>
      </w:r>
      <w:r w:rsidRPr="0066508E">
        <w:rPr>
          <w:rFonts w:ascii="Arial" w:hAnsi="Arial" w:cs="Arial"/>
          <w:spacing w:val="6"/>
          <w:sz w:val="20"/>
        </w:rPr>
        <w:t xml:space="preserve"> </w:t>
      </w:r>
      <w:r w:rsidRPr="0066508E">
        <w:rPr>
          <w:rFonts w:ascii="Arial" w:hAnsi="Arial" w:cs="Arial"/>
          <w:sz w:val="20"/>
        </w:rPr>
        <w:t>a</w:t>
      </w:r>
      <w:r w:rsidRPr="0066508E">
        <w:rPr>
          <w:rFonts w:ascii="Arial" w:hAnsi="Arial" w:cs="Arial"/>
          <w:spacing w:val="5"/>
          <w:sz w:val="20"/>
        </w:rPr>
        <w:t xml:space="preserve"> </w:t>
      </w:r>
      <w:r w:rsidRPr="0066508E">
        <w:rPr>
          <w:rFonts w:ascii="Arial" w:hAnsi="Arial" w:cs="Arial"/>
          <w:sz w:val="20"/>
        </w:rPr>
        <w:t>training</w:t>
      </w:r>
      <w:r w:rsidRPr="0066508E">
        <w:rPr>
          <w:rFonts w:ascii="Arial" w:hAnsi="Arial" w:cs="Arial"/>
          <w:spacing w:val="6"/>
          <w:sz w:val="20"/>
        </w:rPr>
        <w:t xml:space="preserve"> </w:t>
      </w:r>
      <w:r w:rsidRPr="0066508E">
        <w:rPr>
          <w:rFonts w:ascii="Arial" w:hAnsi="Arial" w:cs="Arial"/>
          <w:sz w:val="20"/>
        </w:rPr>
        <w:t>flight</w:t>
      </w:r>
      <w:r w:rsidRPr="0066508E">
        <w:rPr>
          <w:rFonts w:ascii="Arial" w:hAnsi="Arial" w:cs="Arial"/>
          <w:spacing w:val="7"/>
          <w:sz w:val="20"/>
        </w:rPr>
        <w:t xml:space="preserve"> </w:t>
      </w:r>
      <w:r w:rsidRPr="0066508E">
        <w:rPr>
          <w:rFonts w:ascii="Arial" w:hAnsi="Arial" w:cs="Arial"/>
          <w:sz w:val="20"/>
        </w:rPr>
        <w:t>with</w:t>
      </w:r>
      <w:r w:rsidRPr="0066508E">
        <w:rPr>
          <w:rFonts w:ascii="Arial" w:hAnsi="Arial" w:cs="Arial"/>
          <w:spacing w:val="7"/>
          <w:sz w:val="20"/>
        </w:rPr>
        <w:t xml:space="preserve"> </w:t>
      </w:r>
      <w:r w:rsidRPr="0066508E">
        <w:rPr>
          <w:rFonts w:ascii="Arial" w:hAnsi="Arial" w:cs="Arial"/>
          <w:sz w:val="20"/>
        </w:rPr>
        <w:t>an</w:t>
      </w:r>
      <w:r w:rsidRPr="0066508E">
        <w:rPr>
          <w:rFonts w:ascii="Arial" w:hAnsi="Arial" w:cs="Arial"/>
          <w:spacing w:val="6"/>
          <w:sz w:val="20"/>
        </w:rPr>
        <w:t xml:space="preserve"> </w:t>
      </w:r>
      <w:r w:rsidRPr="0066508E">
        <w:rPr>
          <w:rFonts w:ascii="Arial" w:hAnsi="Arial" w:cs="Arial"/>
          <w:sz w:val="20"/>
        </w:rPr>
        <w:t>instructor</w:t>
      </w:r>
      <w:r w:rsidRPr="0066508E">
        <w:rPr>
          <w:rFonts w:ascii="Arial" w:hAnsi="Arial" w:cs="Arial"/>
          <w:spacing w:val="6"/>
          <w:sz w:val="20"/>
        </w:rPr>
        <w:t xml:space="preserve"> </w:t>
      </w:r>
      <w:r w:rsidRPr="0066508E">
        <w:rPr>
          <w:rFonts w:ascii="Arial" w:hAnsi="Arial" w:cs="Arial"/>
          <w:sz w:val="20"/>
        </w:rPr>
        <w:t>is</w:t>
      </w:r>
      <w:r w:rsidRPr="0066508E">
        <w:rPr>
          <w:rFonts w:ascii="Arial" w:hAnsi="Arial" w:cs="Arial"/>
          <w:spacing w:val="5"/>
          <w:sz w:val="20"/>
        </w:rPr>
        <w:t xml:space="preserve"> </w:t>
      </w:r>
      <w:r w:rsidRPr="0066508E">
        <w:rPr>
          <w:rFonts w:ascii="Arial" w:hAnsi="Arial" w:cs="Arial"/>
          <w:sz w:val="20"/>
        </w:rPr>
        <w:t>an</w:t>
      </w:r>
      <w:r w:rsidRPr="0066508E">
        <w:rPr>
          <w:rFonts w:ascii="Arial" w:hAnsi="Arial" w:cs="Arial"/>
          <w:spacing w:val="6"/>
          <w:sz w:val="20"/>
        </w:rPr>
        <w:t xml:space="preserve"> </w:t>
      </w:r>
      <w:r w:rsidRPr="0066508E">
        <w:rPr>
          <w:rFonts w:ascii="Arial" w:hAnsi="Arial" w:cs="Arial"/>
          <w:sz w:val="20"/>
        </w:rPr>
        <w:t>aircraft</w:t>
      </w:r>
      <w:r w:rsidRPr="0066508E">
        <w:rPr>
          <w:rFonts w:ascii="Arial" w:hAnsi="Arial" w:cs="Arial"/>
          <w:spacing w:val="7"/>
          <w:sz w:val="20"/>
        </w:rPr>
        <w:t xml:space="preserve"> </w:t>
      </w:r>
      <w:r w:rsidRPr="0066508E">
        <w:rPr>
          <w:rFonts w:ascii="Arial" w:hAnsi="Arial" w:cs="Arial"/>
          <w:sz w:val="20"/>
        </w:rPr>
        <w:t>as</w:t>
      </w:r>
      <w:r w:rsidRPr="0066508E">
        <w:rPr>
          <w:rFonts w:ascii="Arial" w:hAnsi="Arial" w:cs="Arial"/>
          <w:spacing w:val="7"/>
          <w:sz w:val="20"/>
        </w:rPr>
        <w:t xml:space="preserve"> </w:t>
      </w:r>
      <w:r w:rsidRPr="0066508E">
        <w:rPr>
          <w:rFonts w:ascii="Arial" w:hAnsi="Arial" w:cs="Arial"/>
          <w:sz w:val="20"/>
        </w:rPr>
        <w:t>per</w:t>
      </w:r>
      <w:r w:rsidRPr="0066508E">
        <w:rPr>
          <w:rFonts w:ascii="Arial" w:hAnsi="Arial" w:cs="Arial"/>
          <w:spacing w:val="3"/>
          <w:sz w:val="20"/>
        </w:rPr>
        <w:t xml:space="preserve"> </w:t>
      </w:r>
      <w:r w:rsidRPr="0066508E">
        <w:rPr>
          <w:rFonts w:ascii="Arial" w:hAnsi="Arial" w:cs="Arial"/>
          <w:sz w:val="20"/>
        </w:rPr>
        <w:t>points</w:t>
      </w:r>
      <w:r w:rsidRPr="0066508E">
        <w:rPr>
          <w:rFonts w:ascii="Arial" w:hAnsi="Arial" w:cs="Arial"/>
          <w:spacing w:val="7"/>
          <w:sz w:val="20"/>
        </w:rPr>
        <w:t xml:space="preserve"> </w:t>
      </w:r>
      <w:r w:rsidRPr="0066508E">
        <w:rPr>
          <w:rFonts w:ascii="Arial" w:hAnsi="Arial" w:cs="Arial"/>
          <w:sz w:val="20"/>
        </w:rPr>
        <w:t>(a),</w:t>
      </w:r>
      <w:r w:rsidRPr="0066508E">
        <w:rPr>
          <w:rFonts w:ascii="Arial" w:hAnsi="Arial" w:cs="Arial"/>
          <w:spacing w:val="7"/>
          <w:sz w:val="20"/>
        </w:rPr>
        <w:t xml:space="preserve"> </w:t>
      </w:r>
      <w:r w:rsidRPr="0066508E">
        <w:rPr>
          <w:rFonts w:ascii="Arial" w:hAnsi="Arial" w:cs="Arial"/>
          <w:sz w:val="20"/>
        </w:rPr>
        <w:t>(b),</w:t>
      </w:r>
    </w:p>
    <w:p w14:paraId="2A57EC26" w14:textId="4FF0E708" w:rsidR="001E4617" w:rsidRPr="00C14555" w:rsidRDefault="0066508E" w:rsidP="00D44EB0">
      <w:pPr>
        <w:pStyle w:val="ListParagraph"/>
        <w:numPr>
          <w:ilvl w:val="0"/>
          <w:numId w:val="207"/>
        </w:numPr>
        <w:tabs>
          <w:tab w:val="left" w:pos="983"/>
        </w:tabs>
        <w:spacing w:before="0" w:line="276" w:lineRule="auto"/>
        <w:ind w:left="704" w:right="195" w:firstLine="0"/>
        <w:jc w:val="both"/>
        <w:rPr>
          <w:rFonts w:ascii="Arial" w:hAnsi="Arial" w:cs="Arial"/>
          <w:sz w:val="20"/>
        </w:rPr>
      </w:pPr>
      <w:r w:rsidRPr="0066508E">
        <w:rPr>
          <w:rFonts w:ascii="Arial" w:hAnsi="Arial" w:cs="Arial"/>
          <w:sz w:val="20"/>
        </w:rPr>
        <w:t>or (d) of Annex I to the Basic Regulation that is subject to an authorisation specified in point</w:t>
      </w:r>
      <w:r w:rsidRPr="0066508E">
        <w:rPr>
          <w:rFonts w:ascii="Arial" w:hAnsi="Arial" w:cs="Arial"/>
          <w:spacing w:val="-47"/>
          <w:sz w:val="20"/>
        </w:rPr>
        <w:t xml:space="preserve"> </w:t>
      </w:r>
      <w:r w:rsidRPr="0066508E">
        <w:rPr>
          <w:rFonts w:ascii="Arial" w:hAnsi="Arial" w:cs="Arial"/>
          <w:sz w:val="20"/>
        </w:rPr>
        <w:t>ORA.ATO.135</w:t>
      </w:r>
      <w:r w:rsidRPr="0066508E">
        <w:rPr>
          <w:rFonts w:ascii="Arial" w:hAnsi="Arial" w:cs="Arial"/>
          <w:spacing w:val="1"/>
          <w:sz w:val="20"/>
        </w:rPr>
        <w:t xml:space="preserve"> </w:t>
      </w:r>
      <w:r w:rsidRPr="0066508E">
        <w:rPr>
          <w:rFonts w:ascii="Arial" w:hAnsi="Arial" w:cs="Arial"/>
          <w:sz w:val="20"/>
        </w:rPr>
        <w:t>of</w:t>
      </w:r>
      <w:r w:rsidRPr="0066508E">
        <w:rPr>
          <w:rFonts w:ascii="Arial" w:hAnsi="Arial" w:cs="Arial"/>
          <w:spacing w:val="1"/>
          <w:sz w:val="20"/>
        </w:rPr>
        <w:t xml:space="preserve"> </w:t>
      </w:r>
      <w:r w:rsidRPr="0066508E">
        <w:rPr>
          <w:rFonts w:ascii="Arial" w:hAnsi="Arial" w:cs="Arial"/>
          <w:sz w:val="20"/>
        </w:rPr>
        <w:t>Annex</w:t>
      </w:r>
      <w:r w:rsidRPr="0066508E">
        <w:rPr>
          <w:rFonts w:ascii="Arial" w:hAnsi="Arial" w:cs="Arial"/>
          <w:spacing w:val="1"/>
          <w:sz w:val="20"/>
        </w:rPr>
        <w:t xml:space="preserve"> </w:t>
      </w:r>
      <w:r w:rsidRPr="0066508E">
        <w:rPr>
          <w:rFonts w:ascii="Arial" w:hAnsi="Arial" w:cs="Arial"/>
          <w:sz w:val="20"/>
        </w:rPr>
        <w:t>VII</w:t>
      </w:r>
      <w:r w:rsidRPr="0066508E">
        <w:rPr>
          <w:rFonts w:ascii="Arial" w:hAnsi="Arial" w:cs="Arial"/>
          <w:spacing w:val="1"/>
          <w:sz w:val="20"/>
        </w:rPr>
        <w:t xml:space="preserve"> </w:t>
      </w:r>
      <w:r w:rsidRPr="0066508E">
        <w:rPr>
          <w:rFonts w:ascii="Arial" w:hAnsi="Arial" w:cs="Arial"/>
          <w:sz w:val="20"/>
        </w:rPr>
        <w:t>(Part-ORA)</w:t>
      </w:r>
      <w:r w:rsidRPr="0066508E">
        <w:rPr>
          <w:rFonts w:ascii="Arial" w:hAnsi="Arial" w:cs="Arial"/>
          <w:spacing w:val="1"/>
          <w:sz w:val="20"/>
        </w:rPr>
        <w:t xml:space="preserve"> </w:t>
      </w:r>
      <w:r w:rsidRPr="0066508E">
        <w:rPr>
          <w:rFonts w:ascii="Arial" w:hAnsi="Arial" w:cs="Arial"/>
          <w:sz w:val="20"/>
        </w:rPr>
        <w:t>or</w:t>
      </w:r>
      <w:r w:rsidRPr="0066508E">
        <w:rPr>
          <w:rFonts w:ascii="Arial" w:hAnsi="Arial" w:cs="Arial"/>
          <w:spacing w:val="1"/>
          <w:sz w:val="20"/>
        </w:rPr>
        <w:t xml:space="preserve"> </w:t>
      </w:r>
      <w:r w:rsidRPr="0066508E">
        <w:rPr>
          <w:rFonts w:ascii="Arial" w:hAnsi="Arial" w:cs="Arial"/>
          <w:sz w:val="20"/>
        </w:rPr>
        <w:t>point</w:t>
      </w:r>
      <w:r w:rsidRPr="0066508E">
        <w:rPr>
          <w:rFonts w:ascii="Arial" w:hAnsi="Arial" w:cs="Arial"/>
          <w:spacing w:val="1"/>
          <w:sz w:val="20"/>
        </w:rPr>
        <w:t xml:space="preserve"> </w:t>
      </w:r>
      <w:r w:rsidRPr="0066508E">
        <w:rPr>
          <w:rFonts w:ascii="Arial" w:hAnsi="Arial" w:cs="Arial"/>
          <w:sz w:val="20"/>
        </w:rPr>
        <w:t>DTO.GEN.240</w:t>
      </w:r>
      <w:r w:rsidRPr="0066508E">
        <w:rPr>
          <w:rFonts w:ascii="Arial" w:hAnsi="Arial" w:cs="Arial"/>
          <w:spacing w:val="1"/>
          <w:sz w:val="20"/>
        </w:rPr>
        <w:t xml:space="preserve"> </w:t>
      </w:r>
      <w:r w:rsidRPr="0066508E">
        <w:rPr>
          <w:rFonts w:ascii="Arial" w:hAnsi="Arial" w:cs="Arial"/>
          <w:sz w:val="20"/>
        </w:rPr>
        <w:t>of</w:t>
      </w:r>
      <w:r w:rsidRPr="0066508E">
        <w:rPr>
          <w:rFonts w:ascii="Arial" w:hAnsi="Arial" w:cs="Arial"/>
          <w:spacing w:val="1"/>
          <w:sz w:val="20"/>
        </w:rPr>
        <w:t xml:space="preserve"> </w:t>
      </w:r>
      <w:r w:rsidRPr="0066508E">
        <w:rPr>
          <w:rFonts w:ascii="Arial" w:hAnsi="Arial" w:cs="Arial"/>
          <w:sz w:val="20"/>
        </w:rPr>
        <w:t>Annex</w:t>
      </w:r>
      <w:r w:rsidRPr="0066508E">
        <w:rPr>
          <w:rFonts w:ascii="Arial" w:hAnsi="Arial" w:cs="Arial"/>
          <w:spacing w:val="1"/>
          <w:sz w:val="20"/>
        </w:rPr>
        <w:t xml:space="preserve"> </w:t>
      </w:r>
      <w:r w:rsidRPr="0066508E">
        <w:rPr>
          <w:rFonts w:ascii="Arial" w:hAnsi="Arial" w:cs="Arial"/>
          <w:sz w:val="20"/>
        </w:rPr>
        <w:t>VIII</w:t>
      </w:r>
      <w:r w:rsidRPr="0066508E">
        <w:rPr>
          <w:rFonts w:ascii="Arial" w:hAnsi="Arial" w:cs="Arial"/>
          <w:spacing w:val="1"/>
          <w:sz w:val="20"/>
        </w:rPr>
        <w:t xml:space="preserve"> </w:t>
      </w:r>
      <w:r w:rsidRPr="0066508E">
        <w:rPr>
          <w:rFonts w:ascii="Arial" w:hAnsi="Arial" w:cs="Arial"/>
          <w:sz w:val="20"/>
        </w:rPr>
        <w:t>(Part-DTO)</w:t>
      </w:r>
      <w:r w:rsidRPr="0066508E">
        <w:rPr>
          <w:rFonts w:ascii="Arial" w:hAnsi="Arial" w:cs="Arial"/>
          <w:spacing w:val="1"/>
          <w:sz w:val="20"/>
        </w:rPr>
        <w:t xml:space="preserve"> </w:t>
      </w:r>
      <w:r w:rsidRPr="0066508E">
        <w:rPr>
          <w:rFonts w:ascii="Arial" w:hAnsi="Arial" w:cs="Arial"/>
          <w:sz w:val="20"/>
        </w:rPr>
        <w:t>to</w:t>
      </w:r>
      <w:r w:rsidRPr="0066508E">
        <w:rPr>
          <w:rFonts w:ascii="Arial" w:hAnsi="Arial" w:cs="Arial"/>
          <w:spacing w:val="-47"/>
          <w:sz w:val="20"/>
        </w:rPr>
        <w:t xml:space="preserve"> </w:t>
      </w:r>
      <w:hyperlink r:id="rId84" w:history="1">
        <w:r w:rsidR="00C14555">
          <w:rPr>
            <w:rStyle w:val="Hyperlink"/>
            <w:rFonts w:ascii="Arial" w:hAnsi="Arial" w:cs="Arial"/>
            <w:sz w:val="20"/>
            <w:szCs w:val="20"/>
          </w:rPr>
          <w:t>the order N 3-N of the Minister of Territorial Administration and Infrastructure of RA, dated 11.02.2022</w:t>
        </w:r>
      </w:hyperlink>
      <w:r w:rsidRPr="0066508E">
        <w:rPr>
          <w:rFonts w:ascii="Arial" w:hAnsi="Arial" w:cs="Arial"/>
          <w:sz w:val="20"/>
        </w:rPr>
        <w:t>.</w:t>
      </w:r>
    </w:p>
    <w:p w14:paraId="0A0B3AC2" w14:textId="77777777" w:rsidR="009D4B90" w:rsidRPr="009D4B90" w:rsidRDefault="009D4B90" w:rsidP="009D4B90">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658" w:name="AMC1_BFCL.160(a)(1)(ii)__Recency_require"/>
      <w:bookmarkStart w:id="659" w:name="_bookmark264"/>
      <w:bookmarkStart w:id="660" w:name="_Toc153137429"/>
      <w:bookmarkEnd w:id="658"/>
      <w:bookmarkEnd w:id="659"/>
      <w:r w:rsidRPr="009D4B90">
        <w:rPr>
          <w:rFonts w:ascii="Arial" w:eastAsia="Times New Roman" w:hAnsi="Arial" w:cs="Times New Roman"/>
          <w:b/>
          <w:color w:val="FFFFFF"/>
          <w:sz w:val="24"/>
        </w:rPr>
        <w:lastRenderedPageBreak/>
        <w:t>AMC1 BFCL.160(a)(1)(ii) Recency requirements</w:t>
      </w:r>
      <w:bookmarkEnd w:id="660"/>
    </w:p>
    <w:p w14:paraId="6BD9ECDB" w14:textId="77777777" w:rsidR="009D4B90" w:rsidRPr="009D4B90" w:rsidRDefault="009D4B90" w:rsidP="00D44EB0">
      <w:pPr>
        <w:widowControl/>
        <w:autoSpaceDE/>
        <w:autoSpaceDN/>
        <w:spacing w:before="240" w:after="160" w:line="276" w:lineRule="auto"/>
        <w:jc w:val="both"/>
        <w:rPr>
          <w:rFonts w:ascii="Arial" w:eastAsiaTheme="minorHAnsi" w:hAnsi="Arial" w:cs="Arial"/>
          <w:b/>
          <w:bCs/>
          <w:sz w:val="20"/>
          <w:szCs w:val="20"/>
        </w:rPr>
      </w:pPr>
      <w:r w:rsidRPr="009D4B90">
        <w:rPr>
          <w:rFonts w:ascii="Arial" w:eastAsiaTheme="minorHAnsi" w:hAnsi="Arial" w:cs="Arial"/>
          <w:b/>
          <w:bCs/>
          <w:sz w:val="20"/>
          <w:szCs w:val="20"/>
        </w:rPr>
        <w:t>TRAINING FLIGHT</w:t>
      </w:r>
    </w:p>
    <w:p w14:paraId="2260793C" w14:textId="77777777" w:rsidR="0060383C" w:rsidRPr="0060383C" w:rsidRDefault="0060383C" w:rsidP="00D44EB0">
      <w:pPr>
        <w:pStyle w:val="ListParagraph"/>
        <w:numPr>
          <w:ilvl w:val="0"/>
          <w:numId w:val="208"/>
        </w:numPr>
        <w:tabs>
          <w:tab w:val="left" w:pos="706"/>
          <w:tab w:val="left" w:pos="707"/>
        </w:tabs>
        <w:spacing w:before="116" w:line="276" w:lineRule="auto"/>
        <w:jc w:val="both"/>
        <w:rPr>
          <w:rFonts w:ascii="Arial" w:hAnsi="Arial" w:cs="Arial"/>
          <w:sz w:val="20"/>
          <w:szCs w:val="20"/>
        </w:rPr>
      </w:pPr>
      <w:r w:rsidRPr="0060383C">
        <w:rPr>
          <w:rFonts w:ascii="Arial" w:hAnsi="Arial" w:cs="Arial"/>
          <w:sz w:val="20"/>
          <w:szCs w:val="20"/>
        </w:rPr>
        <w:t>A</w:t>
      </w:r>
      <w:r w:rsidRPr="0060383C">
        <w:rPr>
          <w:rFonts w:ascii="Arial" w:hAnsi="Arial" w:cs="Arial"/>
          <w:spacing w:val="-2"/>
          <w:sz w:val="20"/>
          <w:szCs w:val="20"/>
        </w:rPr>
        <w:t xml:space="preserve"> </w:t>
      </w:r>
      <w:r w:rsidRPr="0060383C">
        <w:rPr>
          <w:rFonts w:ascii="Arial" w:hAnsi="Arial" w:cs="Arial"/>
          <w:sz w:val="20"/>
          <w:szCs w:val="20"/>
        </w:rPr>
        <w:t>training</w:t>
      </w:r>
      <w:r w:rsidRPr="0060383C">
        <w:rPr>
          <w:rFonts w:ascii="Arial" w:hAnsi="Arial" w:cs="Arial"/>
          <w:spacing w:val="-3"/>
          <w:sz w:val="20"/>
          <w:szCs w:val="20"/>
        </w:rPr>
        <w:t xml:space="preserve"> </w:t>
      </w:r>
      <w:r w:rsidRPr="0060383C">
        <w:rPr>
          <w:rFonts w:ascii="Arial" w:hAnsi="Arial" w:cs="Arial"/>
          <w:sz w:val="20"/>
          <w:szCs w:val="20"/>
        </w:rPr>
        <w:t>flight</w:t>
      </w:r>
      <w:r w:rsidRPr="0060383C">
        <w:rPr>
          <w:rFonts w:ascii="Arial" w:hAnsi="Arial" w:cs="Arial"/>
          <w:spacing w:val="-2"/>
          <w:sz w:val="20"/>
          <w:szCs w:val="20"/>
        </w:rPr>
        <w:t xml:space="preserve"> </w:t>
      </w:r>
      <w:r w:rsidRPr="0060383C">
        <w:rPr>
          <w:rFonts w:ascii="Arial" w:hAnsi="Arial" w:cs="Arial"/>
          <w:sz w:val="20"/>
          <w:szCs w:val="20"/>
        </w:rPr>
        <w:t>as</w:t>
      </w:r>
      <w:r w:rsidRPr="0060383C">
        <w:rPr>
          <w:rFonts w:ascii="Arial" w:hAnsi="Arial" w:cs="Arial"/>
          <w:spacing w:val="-2"/>
          <w:sz w:val="20"/>
          <w:szCs w:val="20"/>
        </w:rPr>
        <w:t xml:space="preserve"> </w:t>
      </w:r>
      <w:r w:rsidRPr="0060383C">
        <w:rPr>
          <w:rFonts w:ascii="Arial" w:hAnsi="Arial" w:cs="Arial"/>
          <w:sz w:val="20"/>
          <w:szCs w:val="20"/>
        </w:rPr>
        <w:t>stipulated</w:t>
      </w:r>
      <w:r w:rsidRPr="0060383C">
        <w:rPr>
          <w:rFonts w:ascii="Arial" w:hAnsi="Arial" w:cs="Arial"/>
          <w:spacing w:val="-3"/>
          <w:sz w:val="20"/>
          <w:szCs w:val="20"/>
        </w:rPr>
        <w:t xml:space="preserve"> </w:t>
      </w:r>
      <w:r w:rsidRPr="0060383C">
        <w:rPr>
          <w:rFonts w:ascii="Arial" w:hAnsi="Arial" w:cs="Arial"/>
          <w:sz w:val="20"/>
          <w:szCs w:val="20"/>
        </w:rPr>
        <w:t>in</w:t>
      </w:r>
      <w:r w:rsidRPr="0060383C">
        <w:rPr>
          <w:rFonts w:ascii="Arial" w:hAnsi="Arial" w:cs="Arial"/>
          <w:spacing w:val="-2"/>
          <w:sz w:val="20"/>
          <w:szCs w:val="20"/>
        </w:rPr>
        <w:t xml:space="preserve"> </w:t>
      </w:r>
      <w:r w:rsidRPr="0060383C">
        <w:rPr>
          <w:rFonts w:ascii="Arial" w:hAnsi="Arial" w:cs="Arial"/>
          <w:sz w:val="20"/>
          <w:szCs w:val="20"/>
        </w:rPr>
        <w:t>point</w:t>
      </w:r>
      <w:r w:rsidRPr="0060383C">
        <w:rPr>
          <w:rFonts w:ascii="Arial" w:hAnsi="Arial" w:cs="Arial"/>
          <w:spacing w:val="-1"/>
          <w:sz w:val="20"/>
          <w:szCs w:val="20"/>
        </w:rPr>
        <w:t xml:space="preserve"> </w:t>
      </w:r>
      <w:r w:rsidRPr="0060383C">
        <w:rPr>
          <w:rFonts w:ascii="Arial" w:hAnsi="Arial" w:cs="Arial"/>
          <w:sz w:val="20"/>
          <w:szCs w:val="20"/>
        </w:rPr>
        <w:t>BFCL.160(a)(1)(ii)</w:t>
      </w:r>
      <w:r w:rsidRPr="0060383C">
        <w:rPr>
          <w:rFonts w:ascii="Arial" w:hAnsi="Arial" w:cs="Arial"/>
          <w:spacing w:val="-5"/>
          <w:sz w:val="20"/>
          <w:szCs w:val="20"/>
        </w:rPr>
        <w:t xml:space="preserve"> </w:t>
      </w:r>
      <w:r w:rsidRPr="0060383C">
        <w:rPr>
          <w:rFonts w:ascii="Arial" w:hAnsi="Arial" w:cs="Arial"/>
          <w:sz w:val="20"/>
          <w:szCs w:val="20"/>
        </w:rPr>
        <w:t>should</w:t>
      </w:r>
      <w:r w:rsidRPr="0060383C">
        <w:rPr>
          <w:rFonts w:ascii="Arial" w:hAnsi="Arial" w:cs="Arial"/>
          <w:spacing w:val="-3"/>
          <w:sz w:val="20"/>
          <w:szCs w:val="20"/>
        </w:rPr>
        <w:t xml:space="preserve"> </w:t>
      </w:r>
      <w:r w:rsidRPr="0060383C">
        <w:rPr>
          <w:rFonts w:ascii="Arial" w:hAnsi="Arial" w:cs="Arial"/>
          <w:sz w:val="20"/>
          <w:szCs w:val="20"/>
        </w:rPr>
        <w:t>be</w:t>
      </w:r>
      <w:r w:rsidRPr="0060383C">
        <w:rPr>
          <w:rFonts w:ascii="Arial" w:hAnsi="Arial" w:cs="Arial"/>
          <w:spacing w:val="-2"/>
          <w:sz w:val="20"/>
          <w:szCs w:val="20"/>
        </w:rPr>
        <w:t xml:space="preserve"> </w:t>
      </w:r>
      <w:r w:rsidRPr="0060383C">
        <w:rPr>
          <w:rFonts w:ascii="Arial" w:hAnsi="Arial" w:cs="Arial"/>
          <w:sz w:val="20"/>
          <w:szCs w:val="20"/>
        </w:rPr>
        <w:t>a</w:t>
      </w:r>
      <w:r w:rsidRPr="0060383C">
        <w:rPr>
          <w:rFonts w:ascii="Arial" w:hAnsi="Arial" w:cs="Arial"/>
          <w:spacing w:val="-5"/>
          <w:sz w:val="20"/>
          <w:szCs w:val="20"/>
        </w:rPr>
        <w:t xml:space="preserve"> </w:t>
      </w:r>
      <w:r w:rsidRPr="0060383C">
        <w:rPr>
          <w:rFonts w:ascii="Arial" w:hAnsi="Arial" w:cs="Arial"/>
          <w:sz w:val="20"/>
          <w:szCs w:val="20"/>
        </w:rPr>
        <w:t>flight</w:t>
      </w:r>
      <w:r w:rsidRPr="0060383C">
        <w:rPr>
          <w:rFonts w:ascii="Arial" w:hAnsi="Arial" w:cs="Arial"/>
          <w:spacing w:val="-2"/>
          <w:sz w:val="20"/>
          <w:szCs w:val="20"/>
        </w:rPr>
        <w:t xml:space="preserve"> </w:t>
      </w:r>
      <w:r w:rsidRPr="0060383C">
        <w:rPr>
          <w:rFonts w:ascii="Arial" w:hAnsi="Arial" w:cs="Arial"/>
          <w:sz w:val="20"/>
          <w:szCs w:val="20"/>
        </w:rPr>
        <w:t>that:</w:t>
      </w:r>
    </w:p>
    <w:p w14:paraId="6A17A705" w14:textId="77777777" w:rsidR="0060383C" w:rsidRPr="0060383C" w:rsidRDefault="0060383C" w:rsidP="00D44EB0">
      <w:pPr>
        <w:pStyle w:val="ListParagraph"/>
        <w:numPr>
          <w:ilvl w:val="1"/>
          <w:numId w:val="208"/>
        </w:numPr>
        <w:tabs>
          <w:tab w:val="left" w:pos="1274"/>
        </w:tabs>
        <w:spacing w:line="276" w:lineRule="auto"/>
        <w:ind w:right="200"/>
        <w:jc w:val="both"/>
        <w:rPr>
          <w:rFonts w:ascii="Arial" w:hAnsi="Arial" w:cs="Arial"/>
          <w:sz w:val="20"/>
          <w:szCs w:val="20"/>
        </w:rPr>
      </w:pPr>
      <w:r w:rsidRPr="0060383C">
        <w:rPr>
          <w:rFonts w:ascii="Arial" w:hAnsi="Arial" w:cs="Arial"/>
          <w:sz w:val="20"/>
          <w:szCs w:val="20"/>
        </w:rPr>
        <w:t>follows the content of the skill test for the relevant balloon class, as set out in AMC1</w:t>
      </w:r>
      <w:r w:rsidRPr="0060383C">
        <w:rPr>
          <w:rFonts w:ascii="Arial" w:hAnsi="Arial" w:cs="Arial"/>
          <w:spacing w:val="1"/>
          <w:sz w:val="20"/>
          <w:szCs w:val="20"/>
        </w:rPr>
        <w:t xml:space="preserve"> </w:t>
      </w:r>
      <w:r w:rsidRPr="0060383C">
        <w:rPr>
          <w:rFonts w:ascii="Arial" w:hAnsi="Arial" w:cs="Arial"/>
          <w:sz w:val="20"/>
          <w:szCs w:val="20"/>
        </w:rPr>
        <w:t>BFCL.145</w:t>
      </w:r>
      <w:r w:rsidRPr="0060383C">
        <w:rPr>
          <w:rFonts w:ascii="Arial" w:hAnsi="Arial" w:cs="Arial"/>
          <w:spacing w:val="-3"/>
          <w:sz w:val="20"/>
          <w:szCs w:val="20"/>
        </w:rPr>
        <w:t xml:space="preserve"> </w:t>
      </w:r>
      <w:r w:rsidRPr="0060383C">
        <w:rPr>
          <w:rFonts w:ascii="Arial" w:hAnsi="Arial" w:cs="Arial"/>
          <w:sz w:val="20"/>
          <w:szCs w:val="20"/>
        </w:rPr>
        <w:t>or AMC1 BFCL.150(c)(2),</w:t>
      </w:r>
      <w:r w:rsidRPr="0060383C">
        <w:rPr>
          <w:rFonts w:ascii="Arial" w:hAnsi="Arial" w:cs="Arial"/>
          <w:spacing w:val="-3"/>
          <w:sz w:val="20"/>
          <w:szCs w:val="20"/>
        </w:rPr>
        <w:t xml:space="preserve"> </w:t>
      </w:r>
      <w:r w:rsidRPr="0060383C">
        <w:rPr>
          <w:rFonts w:ascii="Arial" w:hAnsi="Arial" w:cs="Arial"/>
          <w:sz w:val="20"/>
          <w:szCs w:val="20"/>
        </w:rPr>
        <w:t>as applicable;</w:t>
      </w:r>
      <w:r w:rsidRPr="0060383C">
        <w:rPr>
          <w:rFonts w:ascii="Arial" w:hAnsi="Arial" w:cs="Arial"/>
          <w:spacing w:val="-1"/>
          <w:sz w:val="20"/>
          <w:szCs w:val="20"/>
        </w:rPr>
        <w:t xml:space="preserve"> </w:t>
      </w:r>
      <w:r w:rsidRPr="0060383C">
        <w:rPr>
          <w:rFonts w:ascii="Arial" w:hAnsi="Arial" w:cs="Arial"/>
          <w:sz w:val="20"/>
          <w:szCs w:val="20"/>
        </w:rPr>
        <w:t>and</w:t>
      </w:r>
    </w:p>
    <w:p w14:paraId="286F5BCF" w14:textId="77777777" w:rsidR="0060383C" w:rsidRPr="0060383C" w:rsidRDefault="0060383C" w:rsidP="00D44EB0">
      <w:pPr>
        <w:pStyle w:val="ListParagraph"/>
        <w:numPr>
          <w:ilvl w:val="1"/>
          <w:numId w:val="208"/>
        </w:numPr>
        <w:tabs>
          <w:tab w:val="left" w:pos="1274"/>
        </w:tabs>
        <w:spacing w:before="121" w:line="276" w:lineRule="auto"/>
        <w:ind w:right="195"/>
        <w:jc w:val="both"/>
        <w:rPr>
          <w:rFonts w:ascii="Arial" w:hAnsi="Arial" w:cs="Arial"/>
          <w:sz w:val="20"/>
          <w:szCs w:val="20"/>
        </w:rPr>
      </w:pPr>
      <w:r w:rsidRPr="0060383C">
        <w:rPr>
          <w:rFonts w:ascii="Arial" w:hAnsi="Arial" w:cs="Arial"/>
          <w:sz w:val="20"/>
          <w:szCs w:val="20"/>
        </w:rPr>
        <w:t>is conducted on a one-to-one basis between one pilot and one instructor only, with no</w:t>
      </w:r>
      <w:r w:rsidRPr="0060383C">
        <w:rPr>
          <w:rFonts w:ascii="Arial" w:hAnsi="Arial" w:cs="Arial"/>
          <w:spacing w:val="1"/>
          <w:sz w:val="20"/>
          <w:szCs w:val="20"/>
        </w:rPr>
        <w:t xml:space="preserve"> </w:t>
      </w:r>
      <w:r w:rsidRPr="0060383C">
        <w:rPr>
          <w:rFonts w:ascii="Arial" w:hAnsi="Arial" w:cs="Arial"/>
          <w:sz w:val="20"/>
          <w:szCs w:val="20"/>
        </w:rPr>
        <w:t>other</w:t>
      </w:r>
      <w:r w:rsidRPr="0060383C">
        <w:rPr>
          <w:rFonts w:ascii="Arial" w:hAnsi="Arial" w:cs="Arial"/>
          <w:spacing w:val="-1"/>
          <w:sz w:val="20"/>
          <w:szCs w:val="20"/>
        </w:rPr>
        <w:t xml:space="preserve"> </w:t>
      </w:r>
      <w:r w:rsidRPr="0060383C">
        <w:rPr>
          <w:rFonts w:ascii="Arial" w:hAnsi="Arial" w:cs="Arial"/>
          <w:sz w:val="20"/>
          <w:szCs w:val="20"/>
        </w:rPr>
        <w:t>pilot</w:t>
      </w:r>
      <w:r w:rsidRPr="0060383C">
        <w:rPr>
          <w:rFonts w:ascii="Arial" w:hAnsi="Arial" w:cs="Arial"/>
          <w:spacing w:val="-2"/>
          <w:sz w:val="20"/>
          <w:szCs w:val="20"/>
        </w:rPr>
        <w:t xml:space="preserve"> </w:t>
      </w:r>
      <w:r w:rsidRPr="0060383C">
        <w:rPr>
          <w:rFonts w:ascii="Arial" w:hAnsi="Arial" w:cs="Arial"/>
          <w:sz w:val="20"/>
          <w:szCs w:val="20"/>
        </w:rPr>
        <w:t>on</w:t>
      </w:r>
      <w:r w:rsidRPr="0060383C">
        <w:rPr>
          <w:rFonts w:ascii="Arial" w:hAnsi="Arial" w:cs="Arial"/>
          <w:spacing w:val="-1"/>
          <w:sz w:val="20"/>
          <w:szCs w:val="20"/>
        </w:rPr>
        <w:t xml:space="preserve"> </w:t>
      </w:r>
      <w:r w:rsidRPr="0060383C">
        <w:rPr>
          <w:rFonts w:ascii="Arial" w:hAnsi="Arial" w:cs="Arial"/>
          <w:sz w:val="20"/>
          <w:szCs w:val="20"/>
        </w:rPr>
        <w:t>board</w:t>
      </w:r>
      <w:r w:rsidRPr="0060383C">
        <w:rPr>
          <w:rFonts w:ascii="Arial" w:hAnsi="Arial" w:cs="Arial"/>
          <w:spacing w:val="-1"/>
          <w:sz w:val="20"/>
          <w:szCs w:val="20"/>
        </w:rPr>
        <w:t xml:space="preserve"> </w:t>
      </w:r>
      <w:r w:rsidRPr="0060383C">
        <w:rPr>
          <w:rFonts w:ascii="Arial" w:hAnsi="Arial" w:cs="Arial"/>
          <w:sz w:val="20"/>
          <w:szCs w:val="20"/>
        </w:rPr>
        <w:t>who</w:t>
      </w:r>
      <w:r w:rsidRPr="0060383C">
        <w:rPr>
          <w:rFonts w:ascii="Arial" w:hAnsi="Arial" w:cs="Arial"/>
          <w:spacing w:val="1"/>
          <w:sz w:val="20"/>
          <w:szCs w:val="20"/>
        </w:rPr>
        <w:t xml:space="preserve"> </w:t>
      </w:r>
      <w:r w:rsidRPr="0060383C">
        <w:rPr>
          <w:rFonts w:ascii="Arial" w:hAnsi="Arial" w:cs="Arial"/>
          <w:sz w:val="20"/>
          <w:szCs w:val="20"/>
        </w:rPr>
        <w:t>is</w:t>
      </w:r>
      <w:r w:rsidRPr="0060383C">
        <w:rPr>
          <w:rFonts w:ascii="Arial" w:hAnsi="Arial" w:cs="Arial"/>
          <w:spacing w:val="-2"/>
          <w:sz w:val="20"/>
          <w:szCs w:val="20"/>
        </w:rPr>
        <w:t xml:space="preserve"> </w:t>
      </w:r>
      <w:r w:rsidRPr="0060383C">
        <w:rPr>
          <w:rFonts w:ascii="Arial" w:hAnsi="Arial" w:cs="Arial"/>
          <w:sz w:val="20"/>
          <w:szCs w:val="20"/>
        </w:rPr>
        <w:t>taking</w:t>
      </w:r>
      <w:r w:rsidRPr="0060383C">
        <w:rPr>
          <w:rFonts w:ascii="Arial" w:hAnsi="Arial" w:cs="Arial"/>
          <w:spacing w:val="-1"/>
          <w:sz w:val="20"/>
          <w:szCs w:val="20"/>
        </w:rPr>
        <w:t xml:space="preserve"> </w:t>
      </w:r>
      <w:r w:rsidRPr="0060383C">
        <w:rPr>
          <w:rFonts w:ascii="Arial" w:hAnsi="Arial" w:cs="Arial"/>
          <w:sz w:val="20"/>
          <w:szCs w:val="20"/>
        </w:rPr>
        <w:t>credit for that</w:t>
      </w:r>
      <w:r w:rsidRPr="0060383C">
        <w:rPr>
          <w:rFonts w:ascii="Arial" w:hAnsi="Arial" w:cs="Arial"/>
          <w:spacing w:val="-4"/>
          <w:sz w:val="20"/>
          <w:szCs w:val="20"/>
        </w:rPr>
        <w:t xml:space="preserve"> </w:t>
      </w:r>
      <w:r w:rsidRPr="0060383C">
        <w:rPr>
          <w:rFonts w:ascii="Arial" w:hAnsi="Arial" w:cs="Arial"/>
          <w:sz w:val="20"/>
          <w:szCs w:val="20"/>
        </w:rPr>
        <w:t>flight.</w:t>
      </w:r>
    </w:p>
    <w:p w14:paraId="5321EABE" w14:textId="77777777" w:rsidR="0060383C" w:rsidRPr="0060383C" w:rsidRDefault="0060383C" w:rsidP="00D44EB0">
      <w:pPr>
        <w:pStyle w:val="ListParagraph"/>
        <w:numPr>
          <w:ilvl w:val="0"/>
          <w:numId w:val="208"/>
        </w:numPr>
        <w:tabs>
          <w:tab w:val="left" w:pos="707"/>
        </w:tabs>
        <w:spacing w:line="276" w:lineRule="auto"/>
        <w:ind w:right="193"/>
        <w:jc w:val="both"/>
        <w:rPr>
          <w:rFonts w:ascii="Arial" w:hAnsi="Arial" w:cs="Arial"/>
          <w:sz w:val="20"/>
          <w:szCs w:val="20"/>
        </w:rPr>
      </w:pPr>
      <w:r w:rsidRPr="0060383C">
        <w:rPr>
          <w:rFonts w:ascii="Arial" w:hAnsi="Arial" w:cs="Arial"/>
          <w:sz w:val="20"/>
          <w:szCs w:val="20"/>
        </w:rPr>
        <w:t>Each training flight should be preceded with a briefing and closed with a debriefing between</w:t>
      </w:r>
      <w:r w:rsidRPr="0060383C">
        <w:rPr>
          <w:rFonts w:ascii="Arial" w:hAnsi="Arial" w:cs="Arial"/>
          <w:spacing w:val="1"/>
          <w:sz w:val="20"/>
          <w:szCs w:val="20"/>
        </w:rPr>
        <w:t xml:space="preserve"> </w:t>
      </w:r>
      <w:r w:rsidRPr="0060383C">
        <w:rPr>
          <w:rFonts w:ascii="Arial" w:hAnsi="Arial" w:cs="Arial"/>
          <w:sz w:val="20"/>
          <w:szCs w:val="20"/>
        </w:rPr>
        <w:t>the instructor and the candidate. In order to add value to the training flight, any element of</w:t>
      </w:r>
      <w:r w:rsidRPr="0060383C">
        <w:rPr>
          <w:rFonts w:ascii="Arial" w:hAnsi="Arial" w:cs="Arial"/>
          <w:spacing w:val="1"/>
          <w:sz w:val="20"/>
          <w:szCs w:val="20"/>
        </w:rPr>
        <w:t xml:space="preserve"> </w:t>
      </w:r>
      <w:r w:rsidRPr="0060383C">
        <w:rPr>
          <w:rFonts w:ascii="Arial" w:hAnsi="Arial" w:cs="Arial"/>
          <w:sz w:val="20"/>
          <w:szCs w:val="20"/>
        </w:rPr>
        <w:t>flying</w:t>
      </w:r>
      <w:r w:rsidRPr="0060383C">
        <w:rPr>
          <w:rFonts w:ascii="Arial" w:hAnsi="Arial" w:cs="Arial"/>
          <w:spacing w:val="-7"/>
          <w:sz w:val="20"/>
          <w:szCs w:val="20"/>
        </w:rPr>
        <w:t xml:space="preserve"> </w:t>
      </w:r>
      <w:r w:rsidRPr="0060383C">
        <w:rPr>
          <w:rFonts w:ascii="Arial" w:hAnsi="Arial" w:cs="Arial"/>
          <w:sz w:val="20"/>
          <w:szCs w:val="20"/>
        </w:rPr>
        <w:t>a</w:t>
      </w:r>
      <w:r w:rsidRPr="0060383C">
        <w:rPr>
          <w:rFonts w:ascii="Arial" w:hAnsi="Arial" w:cs="Arial"/>
          <w:spacing w:val="-7"/>
          <w:sz w:val="20"/>
          <w:szCs w:val="20"/>
        </w:rPr>
        <w:t xml:space="preserve"> </w:t>
      </w:r>
      <w:r w:rsidRPr="0060383C">
        <w:rPr>
          <w:rFonts w:ascii="Arial" w:hAnsi="Arial" w:cs="Arial"/>
          <w:sz w:val="20"/>
          <w:szCs w:val="20"/>
        </w:rPr>
        <w:t>balloon</w:t>
      </w:r>
      <w:r w:rsidRPr="0060383C">
        <w:rPr>
          <w:rFonts w:ascii="Arial" w:hAnsi="Arial" w:cs="Arial"/>
          <w:spacing w:val="-7"/>
          <w:sz w:val="20"/>
          <w:szCs w:val="20"/>
        </w:rPr>
        <w:t xml:space="preserve"> </w:t>
      </w:r>
      <w:r w:rsidRPr="0060383C">
        <w:rPr>
          <w:rFonts w:ascii="Arial" w:hAnsi="Arial" w:cs="Arial"/>
          <w:sz w:val="20"/>
          <w:szCs w:val="20"/>
        </w:rPr>
        <w:t>where</w:t>
      </w:r>
      <w:r w:rsidRPr="0060383C">
        <w:rPr>
          <w:rFonts w:ascii="Arial" w:hAnsi="Arial" w:cs="Arial"/>
          <w:spacing w:val="-6"/>
          <w:sz w:val="20"/>
          <w:szCs w:val="20"/>
        </w:rPr>
        <w:t xml:space="preserve"> </w:t>
      </w:r>
      <w:r w:rsidRPr="0060383C">
        <w:rPr>
          <w:rFonts w:ascii="Arial" w:hAnsi="Arial" w:cs="Arial"/>
          <w:sz w:val="20"/>
          <w:szCs w:val="20"/>
        </w:rPr>
        <w:t>candidates</w:t>
      </w:r>
      <w:r w:rsidRPr="0060383C">
        <w:rPr>
          <w:rFonts w:ascii="Arial" w:hAnsi="Arial" w:cs="Arial"/>
          <w:spacing w:val="-6"/>
          <w:sz w:val="20"/>
          <w:szCs w:val="20"/>
        </w:rPr>
        <w:t xml:space="preserve"> </w:t>
      </w:r>
      <w:r w:rsidRPr="0060383C">
        <w:rPr>
          <w:rFonts w:ascii="Arial" w:hAnsi="Arial" w:cs="Arial"/>
          <w:sz w:val="20"/>
          <w:szCs w:val="20"/>
        </w:rPr>
        <w:t>feel</w:t>
      </w:r>
      <w:r w:rsidRPr="0060383C">
        <w:rPr>
          <w:rFonts w:ascii="Arial" w:hAnsi="Arial" w:cs="Arial"/>
          <w:spacing w:val="-6"/>
          <w:sz w:val="20"/>
          <w:szCs w:val="20"/>
        </w:rPr>
        <w:t xml:space="preserve"> </w:t>
      </w:r>
      <w:r w:rsidRPr="0060383C">
        <w:rPr>
          <w:rFonts w:ascii="Arial" w:hAnsi="Arial" w:cs="Arial"/>
          <w:sz w:val="20"/>
          <w:szCs w:val="20"/>
        </w:rPr>
        <w:t>they</w:t>
      </w:r>
      <w:r w:rsidRPr="0060383C">
        <w:rPr>
          <w:rFonts w:ascii="Arial" w:hAnsi="Arial" w:cs="Arial"/>
          <w:spacing w:val="-8"/>
          <w:sz w:val="20"/>
          <w:szCs w:val="20"/>
        </w:rPr>
        <w:t xml:space="preserve"> </w:t>
      </w:r>
      <w:r w:rsidRPr="0060383C">
        <w:rPr>
          <w:rFonts w:ascii="Arial" w:hAnsi="Arial" w:cs="Arial"/>
          <w:sz w:val="20"/>
          <w:szCs w:val="20"/>
        </w:rPr>
        <w:t>would</w:t>
      </w:r>
      <w:r w:rsidRPr="0060383C">
        <w:rPr>
          <w:rFonts w:ascii="Arial" w:hAnsi="Arial" w:cs="Arial"/>
          <w:spacing w:val="-7"/>
          <w:sz w:val="20"/>
          <w:szCs w:val="20"/>
        </w:rPr>
        <w:t xml:space="preserve"> </w:t>
      </w:r>
      <w:r w:rsidRPr="0060383C">
        <w:rPr>
          <w:rFonts w:ascii="Arial" w:hAnsi="Arial" w:cs="Arial"/>
          <w:sz w:val="20"/>
          <w:szCs w:val="20"/>
        </w:rPr>
        <w:t>benefit</w:t>
      </w:r>
      <w:r w:rsidRPr="0060383C">
        <w:rPr>
          <w:rFonts w:ascii="Arial" w:hAnsi="Arial" w:cs="Arial"/>
          <w:spacing w:val="-6"/>
          <w:sz w:val="20"/>
          <w:szCs w:val="20"/>
        </w:rPr>
        <w:t xml:space="preserve"> </w:t>
      </w:r>
      <w:r w:rsidRPr="0060383C">
        <w:rPr>
          <w:rFonts w:ascii="Arial" w:hAnsi="Arial" w:cs="Arial"/>
          <w:sz w:val="20"/>
          <w:szCs w:val="20"/>
        </w:rPr>
        <w:t>from</w:t>
      </w:r>
      <w:r w:rsidRPr="0060383C">
        <w:rPr>
          <w:rFonts w:ascii="Arial" w:hAnsi="Arial" w:cs="Arial"/>
          <w:spacing w:val="-8"/>
          <w:sz w:val="20"/>
          <w:szCs w:val="20"/>
        </w:rPr>
        <w:t xml:space="preserve"> </w:t>
      </w:r>
      <w:r w:rsidRPr="0060383C">
        <w:rPr>
          <w:rFonts w:ascii="Arial" w:hAnsi="Arial" w:cs="Arial"/>
          <w:sz w:val="20"/>
          <w:szCs w:val="20"/>
        </w:rPr>
        <w:t>instruction</w:t>
      </w:r>
      <w:r w:rsidRPr="0060383C">
        <w:rPr>
          <w:rFonts w:ascii="Arial" w:hAnsi="Arial" w:cs="Arial"/>
          <w:spacing w:val="-7"/>
          <w:sz w:val="20"/>
          <w:szCs w:val="20"/>
        </w:rPr>
        <w:t xml:space="preserve"> </w:t>
      </w:r>
      <w:r w:rsidRPr="0060383C">
        <w:rPr>
          <w:rFonts w:ascii="Arial" w:hAnsi="Arial" w:cs="Arial"/>
          <w:sz w:val="20"/>
          <w:szCs w:val="20"/>
        </w:rPr>
        <w:t>should</w:t>
      </w:r>
      <w:r w:rsidRPr="0060383C">
        <w:rPr>
          <w:rFonts w:ascii="Arial" w:hAnsi="Arial" w:cs="Arial"/>
          <w:spacing w:val="-9"/>
          <w:sz w:val="20"/>
          <w:szCs w:val="20"/>
        </w:rPr>
        <w:t xml:space="preserve"> </w:t>
      </w:r>
      <w:r w:rsidRPr="0060383C">
        <w:rPr>
          <w:rFonts w:ascii="Arial" w:hAnsi="Arial" w:cs="Arial"/>
          <w:sz w:val="20"/>
          <w:szCs w:val="20"/>
        </w:rPr>
        <w:t>be</w:t>
      </w:r>
      <w:r w:rsidRPr="0060383C">
        <w:rPr>
          <w:rFonts w:ascii="Arial" w:hAnsi="Arial" w:cs="Arial"/>
          <w:spacing w:val="-6"/>
          <w:sz w:val="20"/>
          <w:szCs w:val="20"/>
        </w:rPr>
        <w:t xml:space="preserve"> </w:t>
      </w:r>
      <w:r w:rsidRPr="0060383C">
        <w:rPr>
          <w:rFonts w:ascii="Arial" w:hAnsi="Arial" w:cs="Arial"/>
          <w:sz w:val="20"/>
          <w:szCs w:val="20"/>
        </w:rPr>
        <w:t>discussed.</w:t>
      </w:r>
      <w:r w:rsidRPr="0060383C">
        <w:rPr>
          <w:rFonts w:ascii="Arial" w:hAnsi="Arial" w:cs="Arial"/>
          <w:spacing w:val="-47"/>
          <w:sz w:val="20"/>
          <w:szCs w:val="20"/>
        </w:rPr>
        <w:t xml:space="preserve"> </w:t>
      </w:r>
      <w:r w:rsidRPr="0060383C">
        <w:rPr>
          <w:rFonts w:ascii="Arial" w:hAnsi="Arial" w:cs="Arial"/>
          <w:sz w:val="20"/>
          <w:szCs w:val="20"/>
        </w:rPr>
        <w:t>The flight should then be focused on those specific elements with an instructor demonstration</w:t>
      </w:r>
      <w:r w:rsidRPr="0060383C">
        <w:rPr>
          <w:rFonts w:ascii="Arial" w:hAnsi="Arial" w:cs="Arial"/>
          <w:spacing w:val="-47"/>
          <w:sz w:val="20"/>
          <w:szCs w:val="20"/>
        </w:rPr>
        <w:t xml:space="preserve"> </w:t>
      </w:r>
      <w:r w:rsidRPr="0060383C">
        <w:rPr>
          <w:rFonts w:ascii="Arial" w:hAnsi="Arial" w:cs="Arial"/>
          <w:sz w:val="20"/>
          <w:szCs w:val="20"/>
        </w:rPr>
        <w:t>prior</w:t>
      </w:r>
      <w:r w:rsidRPr="0060383C">
        <w:rPr>
          <w:rFonts w:ascii="Arial" w:hAnsi="Arial" w:cs="Arial"/>
          <w:spacing w:val="-1"/>
          <w:sz w:val="20"/>
          <w:szCs w:val="20"/>
        </w:rPr>
        <w:t xml:space="preserve"> </w:t>
      </w:r>
      <w:r w:rsidRPr="0060383C">
        <w:rPr>
          <w:rFonts w:ascii="Arial" w:hAnsi="Arial" w:cs="Arial"/>
          <w:sz w:val="20"/>
          <w:szCs w:val="20"/>
        </w:rPr>
        <w:t>to</w:t>
      </w:r>
      <w:r w:rsidRPr="0060383C">
        <w:rPr>
          <w:rFonts w:ascii="Arial" w:hAnsi="Arial" w:cs="Arial"/>
          <w:spacing w:val="1"/>
          <w:sz w:val="20"/>
          <w:szCs w:val="20"/>
        </w:rPr>
        <w:t xml:space="preserve"> </w:t>
      </w:r>
      <w:r w:rsidRPr="0060383C">
        <w:rPr>
          <w:rFonts w:ascii="Arial" w:hAnsi="Arial" w:cs="Arial"/>
          <w:sz w:val="20"/>
          <w:szCs w:val="20"/>
        </w:rPr>
        <w:t>candidate</w:t>
      </w:r>
      <w:r w:rsidRPr="0060383C">
        <w:rPr>
          <w:rFonts w:ascii="Arial" w:hAnsi="Arial" w:cs="Arial"/>
          <w:spacing w:val="1"/>
          <w:sz w:val="20"/>
          <w:szCs w:val="20"/>
        </w:rPr>
        <w:t xml:space="preserve"> </w:t>
      </w:r>
      <w:r w:rsidRPr="0060383C">
        <w:rPr>
          <w:rFonts w:ascii="Arial" w:hAnsi="Arial" w:cs="Arial"/>
          <w:sz w:val="20"/>
          <w:szCs w:val="20"/>
        </w:rPr>
        <w:t>practice</w:t>
      </w:r>
      <w:r w:rsidRPr="0060383C">
        <w:rPr>
          <w:rFonts w:ascii="Arial" w:hAnsi="Arial" w:cs="Arial"/>
          <w:spacing w:val="-2"/>
          <w:sz w:val="20"/>
          <w:szCs w:val="20"/>
        </w:rPr>
        <w:t xml:space="preserve"> </w:t>
      </w:r>
      <w:r w:rsidRPr="0060383C">
        <w:rPr>
          <w:rFonts w:ascii="Arial" w:hAnsi="Arial" w:cs="Arial"/>
          <w:sz w:val="20"/>
          <w:szCs w:val="20"/>
        </w:rPr>
        <w:t>being</w:t>
      </w:r>
      <w:r w:rsidRPr="0060383C">
        <w:rPr>
          <w:rFonts w:ascii="Arial" w:hAnsi="Arial" w:cs="Arial"/>
          <w:spacing w:val="-1"/>
          <w:sz w:val="20"/>
          <w:szCs w:val="20"/>
        </w:rPr>
        <w:t xml:space="preserve"> </w:t>
      </w:r>
      <w:r w:rsidRPr="0060383C">
        <w:rPr>
          <w:rFonts w:ascii="Arial" w:hAnsi="Arial" w:cs="Arial"/>
          <w:sz w:val="20"/>
          <w:szCs w:val="20"/>
        </w:rPr>
        <w:t>performed.</w:t>
      </w:r>
    </w:p>
    <w:p w14:paraId="57374CFE" w14:textId="77777777" w:rsidR="0060383C" w:rsidRPr="0060383C" w:rsidRDefault="0060383C" w:rsidP="00D44EB0">
      <w:pPr>
        <w:pStyle w:val="ListParagraph"/>
        <w:numPr>
          <w:ilvl w:val="0"/>
          <w:numId w:val="208"/>
        </w:numPr>
        <w:tabs>
          <w:tab w:val="left" w:pos="707"/>
        </w:tabs>
        <w:spacing w:line="276" w:lineRule="auto"/>
        <w:ind w:right="197"/>
        <w:jc w:val="both"/>
        <w:rPr>
          <w:rFonts w:ascii="Arial" w:hAnsi="Arial" w:cs="Arial"/>
          <w:sz w:val="20"/>
          <w:szCs w:val="20"/>
        </w:rPr>
      </w:pPr>
      <w:r w:rsidRPr="0060383C">
        <w:rPr>
          <w:rFonts w:ascii="Arial" w:hAnsi="Arial" w:cs="Arial"/>
          <w:sz w:val="20"/>
          <w:szCs w:val="20"/>
        </w:rPr>
        <w:t>If the instructor considers that the candidate during the training flight did not perform to an</w:t>
      </w:r>
      <w:r w:rsidRPr="0060383C">
        <w:rPr>
          <w:rFonts w:ascii="Arial" w:hAnsi="Arial" w:cs="Arial"/>
          <w:spacing w:val="1"/>
          <w:sz w:val="20"/>
          <w:szCs w:val="20"/>
        </w:rPr>
        <w:t xml:space="preserve"> </w:t>
      </w:r>
      <w:r w:rsidRPr="0060383C">
        <w:rPr>
          <w:rFonts w:ascii="Arial" w:hAnsi="Arial" w:cs="Arial"/>
          <w:sz w:val="20"/>
          <w:szCs w:val="20"/>
        </w:rPr>
        <w:t>adequate standard, they should not sign the logbook of the candidate but recommend further</w:t>
      </w:r>
      <w:r w:rsidRPr="0060383C">
        <w:rPr>
          <w:rFonts w:ascii="Arial" w:hAnsi="Arial" w:cs="Arial"/>
          <w:spacing w:val="1"/>
          <w:sz w:val="20"/>
          <w:szCs w:val="20"/>
        </w:rPr>
        <w:t xml:space="preserve"> </w:t>
      </w:r>
      <w:r w:rsidRPr="0060383C">
        <w:rPr>
          <w:rFonts w:ascii="Arial" w:hAnsi="Arial" w:cs="Arial"/>
          <w:sz w:val="20"/>
          <w:szCs w:val="20"/>
        </w:rPr>
        <w:t>training</w:t>
      </w:r>
      <w:r w:rsidRPr="0060383C">
        <w:rPr>
          <w:rFonts w:ascii="Arial" w:hAnsi="Arial" w:cs="Arial"/>
          <w:spacing w:val="-2"/>
          <w:sz w:val="20"/>
          <w:szCs w:val="20"/>
        </w:rPr>
        <w:t xml:space="preserve"> </w:t>
      </w:r>
      <w:r w:rsidRPr="0060383C">
        <w:rPr>
          <w:rFonts w:ascii="Arial" w:hAnsi="Arial" w:cs="Arial"/>
          <w:sz w:val="20"/>
          <w:szCs w:val="20"/>
        </w:rPr>
        <w:t>flights</w:t>
      </w:r>
      <w:r w:rsidRPr="0060383C">
        <w:rPr>
          <w:rFonts w:ascii="Arial" w:hAnsi="Arial" w:cs="Arial"/>
          <w:spacing w:val="1"/>
          <w:sz w:val="20"/>
          <w:szCs w:val="20"/>
        </w:rPr>
        <w:t xml:space="preserve"> </w:t>
      </w:r>
      <w:r w:rsidRPr="0060383C">
        <w:rPr>
          <w:rFonts w:ascii="Arial" w:hAnsi="Arial" w:cs="Arial"/>
          <w:sz w:val="20"/>
          <w:szCs w:val="20"/>
        </w:rPr>
        <w:t>instead.</w:t>
      </w:r>
    </w:p>
    <w:p w14:paraId="7F91A188" w14:textId="77777777" w:rsidR="0060383C" w:rsidRPr="0060383C" w:rsidRDefault="0060383C" w:rsidP="00D44EB0">
      <w:pPr>
        <w:pStyle w:val="ListParagraph"/>
        <w:numPr>
          <w:ilvl w:val="0"/>
          <w:numId w:val="208"/>
        </w:numPr>
        <w:tabs>
          <w:tab w:val="left" w:pos="706"/>
          <w:tab w:val="left" w:pos="707"/>
        </w:tabs>
        <w:spacing w:before="56" w:line="276" w:lineRule="auto"/>
        <w:ind w:right="195"/>
        <w:jc w:val="both"/>
        <w:rPr>
          <w:rFonts w:ascii="Arial" w:hAnsi="Arial" w:cs="Arial"/>
          <w:sz w:val="20"/>
          <w:szCs w:val="20"/>
        </w:rPr>
      </w:pPr>
      <w:r w:rsidRPr="0060383C">
        <w:rPr>
          <w:rFonts w:ascii="Arial" w:hAnsi="Arial" w:cs="Arial"/>
          <w:sz w:val="20"/>
          <w:szCs w:val="20"/>
        </w:rPr>
        <w:t>At</w:t>
      </w:r>
      <w:r w:rsidRPr="0060383C">
        <w:rPr>
          <w:rFonts w:ascii="Arial" w:hAnsi="Arial" w:cs="Arial"/>
          <w:spacing w:val="4"/>
          <w:sz w:val="20"/>
          <w:szCs w:val="20"/>
        </w:rPr>
        <w:t xml:space="preserve"> </w:t>
      </w:r>
      <w:r w:rsidRPr="0060383C">
        <w:rPr>
          <w:rFonts w:ascii="Arial" w:hAnsi="Arial" w:cs="Arial"/>
          <w:sz w:val="20"/>
          <w:szCs w:val="20"/>
        </w:rPr>
        <w:t>the</w:t>
      </w:r>
      <w:r w:rsidRPr="0060383C">
        <w:rPr>
          <w:rFonts w:ascii="Arial" w:hAnsi="Arial" w:cs="Arial"/>
          <w:spacing w:val="4"/>
          <w:sz w:val="20"/>
          <w:szCs w:val="20"/>
        </w:rPr>
        <w:t xml:space="preserve"> </w:t>
      </w:r>
      <w:r w:rsidRPr="0060383C">
        <w:rPr>
          <w:rFonts w:ascii="Arial" w:hAnsi="Arial" w:cs="Arial"/>
          <w:sz w:val="20"/>
          <w:szCs w:val="20"/>
        </w:rPr>
        <w:t>discretion</w:t>
      </w:r>
      <w:r w:rsidRPr="0060383C">
        <w:rPr>
          <w:rFonts w:ascii="Arial" w:hAnsi="Arial" w:cs="Arial"/>
          <w:spacing w:val="4"/>
          <w:sz w:val="20"/>
          <w:szCs w:val="20"/>
        </w:rPr>
        <w:t xml:space="preserve"> </w:t>
      </w:r>
      <w:r w:rsidRPr="0060383C">
        <w:rPr>
          <w:rFonts w:ascii="Arial" w:hAnsi="Arial" w:cs="Arial"/>
          <w:sz w:val="20"/>
          <w:szCs w:val="20"/>
        </w:rPr>
        <w:t>of</w:t>
      </w:r>
      <w:r w:rsidRPr="0060383C">
        <w:rPr>
          <w:rFonts w:ascii="Arial" w:hAnsi="Arial" w:cs="Arial"/>
          <w:spacing w:val="2"/>
          <w:sz w:val="20"/>
          <w:szCs w:val="20"/>
        </w:rPr>
        <w:t xml:space="preserve"> </w:t>
      </w:r>
      <w:r w:rsidRPr="0060383C">
        <w:rPr>
          <w:rFonts w:ascii="Arial" w:hAnsi="Arial" w:cs="Arial"/>
          <w:sz w:val="20"/>
          <w:szCs w:val="20"/>
        </w:rPr>
        <w:t>the</w:t>
      </w:r>
      <w:r w:rsidRPr="0060383C">
        <w:rPr>
          <w:rFonts w:ascii="Arial" w:hAnsi="Arial" w:cs="Arial"/>
          <w:spacing w:val="4"/>
          <w:sz w:val="20"/>
          <w:szCs w:val="20"/>
        </w:rPr>
        <w:t xml:space="preserve"> </w:t>
      </w:r>
      <w:r w:rsidRPr="0060383C">
        <w:rPr>
          <w:rFonts w:ascii="Arial" w:hAnsi="Arial" w:cs="Arial"/>
          <w:sz w:val="20"/>
          <w:szCs w:val="20"/>
        </w:rPr>
        <w:t>flight</w:t>
      </w:r>
      <w:r w:rsidRPr="0060383C">
        <w:rPr>
          <w:rFonts w:ascii="Arial" w:hAnsi="Arial" w:cs="Arial"/>
          <w:spacing w:val="5"/>
          <w:sz w:val="20"/>
          <w:szCs w:val="20"/>
        </w:rPr>
        <w:t xml:space="preserve"> </w:t>
      </w:r>
      <w:r w:rsidRPr="0060383C">
        <w:rPr>
          <w:rFonts w:ascii="Arial" w:hAnsi="Arial" w:cs="Arial"/>
          <w:sz w:val="20"/>
          <w:szCs w:val="20"/>
        </w:rPr>
        <w:t>instructor,</w:t>
      </w:r>
      <w:r w:rsidRPr="0060383C">
        <w:rPr>
          <w:rFonts w:ascii="Arial" w:hAnsi="Arial" w:cs="Arial"/>
          <w:spacing w:val="4"/>
          <w:sz w:val="20"/>
          <w:szCs w:val="20"/>
        </w:rPr>
        <w:t xml:space="preserve"> </w:t>
      </w:r>
      <w:r w:rsidRPr="0060383C">
        <w:rPr>
          <w:rFonts w:ascii="Arial" w:hAnsi="Arial" w:cs="Arial"/>
          <w:sz w:val="20"/>
          <w:szCs w:val="20"/>
        </w:rPr>
        <w:t>non-fare-paying</w:t>
      </w:r>
      <w:r w:rsidRPr="0060383C">
        <w:rPr>
          <w:rFonts w:ascii="Arial" w:hAnsi="Arial" w:cs="Arial"/>
          <w:spacing w:val="4"/>
          <w:sz w:val="20"/>
          <w:szCs w:val="20"/>
        </w:rPr>
        <w:t xml:space="preserve"> </w:t>
      </w:r>
      <w:r w:rsidRPr="0060383C">
        <w:rPr>
          <w:rFonts w:ascii="Arial" w:hAnsi="Arial" w:cs="Arial"/>
          <w:sz w:val="20"/>
          <w:szCs w:val="20"/>
        </w:rPr>
        <w:t>passengers</w:t>
      </w:r>
      <w:r w:rsidRPr="0060383C">
        <w:rPr>
          <w:rFonts w:ascii="Arial" w:hAnsi="Arial" w:cs="Arial"/>
          <w:spacing w:val="4"/>
          <w:sz w:val="20"/>
          <w:szCs w:val="20"/>
        </w:rPr>
        <w:t xml:space="preserve"> </w:t>
      </w:r>
      <w:r w:rsidRPr="0060383C">
        <w:rPr>
          <w:rFonts w:ascii="Arial" w:hAnsi="Arial" w:cs="Arial"/>
          <w:sz w:val="20"/>
          <w:szCs w:val="20"/>
        </w:rPr>
        <w:t>are</w:t>
      </w:r>
      <w:r w:rsidRPr="0060383C">
        <w:rPr>
          <w:rFonts w:ascii="Arial" w:hAnsi="Arial" w:cs="Arial"/>
          <w:spacing w:val="4"/>
          <w:sz w:val="20"/>
          <w:szCs w:val="20"/>
        </w:rPr>
        <w:t xml:space="preserve"> </w:t>
      </w:r>
      <w:r w:rsidRPr="0060383C">
        <w:rPr>
          <w:rFonts w:ascii="Arial" w:hAnsi="Arial" w:cs="Arial"/>
          <w:sz w:val="20"/>
          <w:szCs w:val="20"/>
        </w:rPr>
        <w:t>accepted</w:t>
      </w:r>
      <w:r w:rsidRPr="0060383C">
        <w:rPr>
          <w:rFonts w:ascii="Arial" w:hAnsi="Arial" w:cs="Arial"/>
          <w:spacing w:val="4"/>
          <w:sz w:val="20"/>
          <w:szCs w:val="20"/>
        </w:rPr>
        <w:t xml:space="preserve"> </w:t>
      </w:r>
      <w:r w:rsidRPr="0060383C">
        <w:rPr>
          <w:rFonts w:ascii="Arial" w:hAnsi="Arial" w:cs="Arial"/>
          <w:sz w:val="20"/>
          <w:szCs w:val="20"/>
        </w:rPr>
        <w:t>on</w:t>
      </w:r>
      <w:r w:rsidRPr="0060383C">
        <w:rPr>
          <w:rFonts w:ascii="Arial" w:hAnsi="Arial" w:cs="Arial"/>
          <w:spacing w:val="3"/>
          <w:sz w:val="20"/>
          <w:szCs w:val="20"/>
        </w:rPr>
        <w:t xml:space="preserve"> </w:t>
      </w:r>
      <w:r w:rsidRPr="0060383C">
        <w:rPr>
          <w:rFonts w:ascii="Arial" w:hAnsi="Arial" w:cs="Arial"/>
          <w:sz w:val="20"/>
          <w:szCs w:val="20"/>
        </w:rPr>
        <w:t>board</w:t>
      </w:r>
      <w:r w:rsidRPr="0060383C">
        <w:rPr>
          <w:rFonts w:ascii="Arial" w:hAnsi="Arial" w:cs="Arial"/>
          <w:spacing w:val="4"/>
          <w:sz w:val="20"/>
          <w:szCs w:val="20"/>
        </w:rPr>
        <w:t xml:space="preserve"> </w:t>
      </w:r>
      <w:r w:rsidRPr="0060383C">
        <w:rPr>
          <w:rFonts w:ascii="Arial" w:hAnsi="Arial" w:cs="Arial"/>
          <w:sz w:val="20"/>
          <w:szCs w:val="20"/>
        </w:rPr>
        <w:t>of</w:t>
      </w:r>
      <w:r w:rsidRPr="0060383C">
        <w:rPr>
          <w:rFonts w:ascii="Arial" w:hAnsi="Arial" w:cs="Arial"/>
          <w:spacing w:val="-47"/>
          <w:sz w:val="20"/>
          <w:szCs w:val="20"/>
        </w:rPr>
        <w:t xml:space="preserve"> </w:t>
      </w:r>
      <w:r w:rsidRPr="0060383C">
        <w:rPr>
          <w:rFonts w:ascii="Arial" w:hAnsi="Arial" w:cs="Arial"/>
          <w:sz w:val="20"/>
          <w:szCs w:val="20"/>
        </w:rPr>
        <w:t>the</w:t>
      </w:r>
      <w:r w:rsidRPr="0060383C">
        <w:rPr>
          <w:rFonts w:ascii="Arial" w:hAnsi="Arial" w:cs="Arial"/>
          <w:spacing w:val="-1"/>
          <w:sz w:val="20"/>
          <w:szCs w:val="20"/>
        </w:rPr>
        <w:t xml:space="preserve"> </w:t>
      </w:r>
      <w:r w:rsidRPr="0060383C">
        <w:rPr>
          <w:rFonts w:ascii="Arial" w:hAnsi="Arial" w:cs="Arial"/>
          <w:sz w:val="20"/>
          <w:szCs w:val="20"/>
        </w:rPr>
        <w:t>balloon</w:t>
      </w:r>
      <w:r w:rsidRPr="0060383C">
        <w:rPr>
          <w:rFonts w:ascii="Arial" w:hAnsi="Arial" w:cs="Arial"/>
          <w:spacing w:val="-1"/>
          <w:sz w:val="20"/>
          <w:szCs w:val="20"/>
        </w:rPr>
        <w:t xml:space="preserve"> </w:t>
      </w:r>
      <w:r w:rsidRPr="0060383C">
        <w:rPr>
          <w:rFonts w:ascii="Arial" w:hAnsi="Arial" w:cs="Arial"/>
          <w:sz w:val="20"/>
          <w:szCs w:val="20"/>
        </w:rPr>
        <w:t>during</w:t>
      </w:r>
      <w:r w:rsidRPr="0060383C">
        <w:rPr>
          <w:rFonts w:ascii="Arial" w:hAnsi="Arial" w:cs="Arial"/>
          <w:spacing w:val="-1"/>
          <w:sz w:val="20"/>
          <w:szCs w:val="20"/>
        </w:rPr>
        <w:t xml:space="preserve"> </w:t>
      </w:r>
      <w:r w:rsidRPr="0060383C">
        <w:rPr>
          <w:rFonts w:ascii="Arial" w:hAnsi="Arial" w:cs="Arial"/>
          <w:sz w:val="20"/>
          <w:szCs w:val="20"/>
        </w:rPr>
        <w:t>such</w:t>
      </w:r>
      <w:r w:rsidRPr="0060383C">
        <w:rPr>
          <w:rFonts w:ascii="Arial" w:hAnsi="Arial" w:cs="Arial"/>
          <w:spacing w:val="-1"/>
          <w:sz w:val="20"/>
          <w:szCs w:val="20"/>
        </w:rPr>
        <w:t xml:space="preserve"> </w:t>
      </w:r>
      <w:r w:rsidRPr="0060383C">
        <w:rPr>
          <w:rFonts w:ascii="Arial" w:hAnsi="Arial" w:cs="Arial"/>
          <w:sz w:val="20"/>
          <w:szCs w:val="20"/>
        </w:rPr>
        <w:t>training</w:t>
      </w:r>
      <w:r w:rsidRPr="0060383C">
        <w:rPr>
          <w:rFonts w:ascii="Arial" w:hAnsi="Arial" w:cs="Arial"/>
          <w:spacing w:val="-1"/>
          <w:sz w:val="20"/>
          <w:szCs w:val="20"/>
        </w:rPr>
        <w:t xml:space="preserve"> </w:t>
      </w:r>
      <w:r w:rsidRPr="0060383C">
        <w:rPr>
          <w:rFonts w:ascii="Arial" w:hAnsi="Arial" w:cs="Arial"/>
          <w:sz w:val="20"/>
          <w:szCs w:val="20"/>
        </w:rPr>
        <w:t>flights, provided</w:t>
      </w:r>
      <w:r w:rsidRPr="0060383C">
        <w:rPr>
          <w:rFonts w:ascii="Arial" w:hAnsi="Arial" w:cs="Arial"/>
          <w:spacing w:val="-3"/>
          <w:sz w:val="20"/>
          <w:szCs w:val="20"/>
        </w:rPr>
        <w:t xml:space="preserve"> </w:t>
      </w:r>
      <w:r w:rsidRPr="0060383C">
        <w:rPr>
          <w:rFonts w:ascii="Arial" w:hAnsi="Arial" w:cs="Arial"/>
          <w:sz w:val="20"/>
          <w:szCs w:val="20"/>
        </w:rPr>
        <w:t>that:</w:t>
      </w:r>
    </w:p>
    <w:p w14:paraId="10EEE8E0" w14:textId="77777777" w:rsidR="0060383C" w:rsidRPr="0060383C" w:rsidRDefault="0060383C" w:rsidP="00D44EB0">
      <w:pPr>
        <w:pStyle w:val="ListParagraph"/>
        <w:numPr>
          <w:ilvl w:val="1"/>
          <w:numId w:val="208"/>
        </w:numPr>
        <w:tabs>
          <w:tab w:val="left" w:pos="1273"/>
          <w:tab w:val="left" w:pos="1274"/>
        </w:tabs>
        <w:spacing w:before="121" w:line="276" w:lineRule="auto"/>
        <w:ind w:hanging="568"/>
        <w:jc w:val="both"/>
        <w:rPr>
          <w:rFonts w:ascii="Arial" w:hAnsi="Arial" w:cs="Arial"/>
          <w:sz w:val="20"/>
          <w:szCs w:val="20"/>
        </w:rPr>
      </w:pPr>
      <w:r w:rsidRPr="0060383C">
        <w:rPr>
          <w:rFonts w:ascii="Arial" w:hAnsi="Arial" w:cs="Arial"/>
          <w:sz w:val="20"/>
          <w:szCs w:val="20"/>
        </w:rPr>
        <w:t>passengers</w:t>
      </w:r>
      <w:r w:rsidRPr="0060383C">
        <w:rPr>
          <w:rFonts w:ascii="Arial" w:hAnsi="Arial" w:cs="Arial"/>
          <w:spacing w:val="-1"/>
          <w:sz w:val="20"/>
          <w:szCs w:val="20"/>
        </w:rPr>
        <w:t xml:space="preserve"> </w:t>
      </w:r>
      <w:r w:rsidRPr="0060383C">
        <w:rPr>
          <w:rFonts w:ascii="Arial" w:hAnsi="Arial" w:cs="Arial"/>
          <w:sz w:val="20"/>
          <w:szCs w:val="20"/>
        </w:rPr>
        <w:t>are</w:t>
      </w:r>
      <w:r w:rsidRPr="0060383C">
        <w:rPr>
          <w:rFonts w:ascii="Arial" w:hAnsi="Arial" w:cs="Arial"/>
          <w:spacing w:val="-3"/>
          <w:sz w:val="20"/>
          <w:szCs w:val="20"/>
        </w:rPr>
        <w:t xml:space="preserve"> </w:t>
      </w:r>
      <w:r w:rsidRPr="0060383C">
        <w:rPr>
          <w:rFonts w:ascii="Arial" w:hAnsi="Arial" w:cs="Arial"/>
          <w:sz w:val="20"/>
          <w:szCs w:val="20"/>
        </w:rPr>
        <w:t>made aware that</w:t>
      </w:r>
      <w:r w:rsidRPr="0060383C">
        <w:rPr>
          <w:rFonts w:ascii="Arial" w:hAnsi="Arial" w:cs="Arial"/>
          <w:spacing w:val="-3"/>
          <w:sz w:val="20"/>
          <w:szCs w:val="20"/>
        </w:rPr>
        <w:t xml:space="preserve"> </w:t>
      </w:r>
      <w:r w:rsidRPr="0060383C">
        <w:rPr>
          <w:rFonts w:ascii="Arial" w:hAnsi="Arial" w:cs="Arial"/>
          <w:sz w:val="20"/>
          <w:szCs w:val="20"/>
        </w:rPr>
        <w:t>the</w:t>
      </w:r>
      <w:r w:rsidRPr="0060383C">
        <w:rPr>
          <w:rFonts w:ascii="Arial" w:hAnsi="Arial" w:cs="Arial"/>
          <w:spacing w:val="-1"/>
          <w:sz w:val="20"/>
          <w:szCs w:val="20"/>
        </w:rPr>
        <w:t xml:space="preserve"> </w:t>
      </w:r>
      <w:r w:rsidRPr="0060383C">
        <w:rPr>
          <w:rFonts w:ascii="Arial" w:hAnsi="Arial" w:cs="Arial"/>
          <w:sz w:val="20"/>
          <w:szCs w:val="20"/>
        </w:rPr>
        <w:t>intended</w:t>
      </w:r>
      <w:r w:rsidRPr="0060383C">
        <w:rPr>
          <w:rFonts w:ascii="Arial" w:hAnsi="Arial" w:cs="Arial"/>
          <w:spacing w:val="-1"/>
          <w:sz w:val="20"/>
          <w:szCs w:val="20"/>
        </w:rPr>
        <w:t xml:space="preserve"> </w:t>
      </w:r>
      <w:r w:rsidRPr="0060383C">
        <w:rPr>
          <w:rFonts w:ascii="Arial" w:hAnsi="Arial" w:cs="Arial"/>
          <w:sz w:val="20"/>
          <w:szCs w:val="20"/>
        </w:rPr>
        <w:t>flight</w:t>
      </w:r>
      <w:r w:rsidRPr="0060383C">
        <w:rPr>
          <w:rFonts w:ascii="Arial" w:hAnsi="Arial" w:cs="Arial"/>
          <w:spacing w:val="-3"/>
          <w:sz w:val="20"/>
          <w:szCs w:val="20"/>
        </w:rPr>
        <w:t xml:space="preserve"> </w:t>
      </w:r>
      <w:r w:rsidRPr="0060383C">
        <w:rPr>
          <w:rFonts w:ascii="Arial" w:hAnsi="Arial" w:cs="Arial"/>
          <w:sz w:val="20"/>
          <w:szCs w:val="20"/>
        </w:rPr>
        <w:t>will</w:t>
      </w:r>
      <w:r w:rsidRPr="0060383C">
        <w:rPr>
          <w:rFonts w:ascii="Arial" w:hAnsi="Arial" w:cs="Arial"/>
          <w:spacing w:val="-1"/>
          <w:sz w:val="20"/>
          <w:szCs w:val="20"/>
        </w:rPr>
        <w:t xml:space="preserve"> </w:t>
      </w:r>
      <w:r w:rsidRPr="0060383C">
        <w:rPr>
          <w:rFonts w:ascii="Arial" w:hAnsi="Arial" w:cs="Arial"/>
          <w:sz w:val="20"/>
          <w:szCs w:val="20"/>
        </w:rPr>
        <w:t>be</w:t>
      </w:r>
      <w:r w:rsidRPr="0060383C">
        <w:rPr>
          <w:rFonts w:ascii="Arial" w:hAnsi="Arial" w:cs="Arial"/>
          <w:spacing w:val="-1"/>
          <w:sz w:val="20"/>
          <w:szCs w:val="20"/>
        </w:rPr>
        <w:t xml:space="preserve"> </w:t>
      </w:r>
      <w:r w:rsidRPr="0060383C">
        <w:rPr>
          <w:rFonts w:ascii="Arial" w:hAnsi="Arial" w:cs="Arial"/>
          <w:sz w:val="20"/>
          <w:szCs w:val="20"/>
        </w:rPr>
        <w:t>a</w:t>
      </w:r>
      <w:r w:rsidRPr="0060383C">
        <w:rPr>
          <w:rFonts w:ascii="Arial" w:hAnsi="Arial" w:cs="Arial"/>
          <w:spacing w:val="-1"/>
          <w:sz w:val="20"/>
          <w:szCs w:val="20"/>
        </w:rPr>
        <w:t xml:space="preserve"> </w:t>
      </w:r>
      <w:r w:rsidRPr="0060383C">
        <w:rPr>
          <w:rFonts w:ascii="Arial" w:hAnsi="Arial" w:cs="Arial"/>
          <w:sz w:val="20"/>
          <w:szCs w:val="20"/>
        </w:rPr>
        <w:t>training</w:t>
      </w:r>
      <w:r w:rsidRPr="0060383C">
        <w:rPr>
          <w:rFonts w:ascii="Arial" w:hAnsi="Arial" w:cs="Arial"/>
          <w:spacing w:val="-2"/>
          <w:sz w:val="20"/>
          <w:szCs w:val="20"/>
        </w:rPr>
        <w:t xml:space="preserve"> </w:t>
      </w:r>
      <w:r w:rsidRPr="0060383C">
        <w:rPr>
          <w:rFonts w:ascii="Arial" w:hAnsi="Arial" w:cs="Arial"/>
          <w:sz w:val="20"/>
          <w:szCs w:val="20"/>
        </w:rPr>
        <w:t>flight;</w:t>
      </w:r>
      <w:r w:rsidRPr="0060383C">
        <w:rPr>
          <w:rFonts w:ascii="Arial" w:hAnsi="Arial" w:cs="Arial"/>
          <w:spacing w:val="-1"/>
          <w:sz w:val="20"/>
          <w:szCs w:val="20"/>
        </w:rPr>
        <w:t xml:space="preserve"> </w:t>
      </w:r>
      <w:r w:rsidRPr="0060383C">
        <w:rPr>
          <w:rFonts w:ascii="Arial" w:hAnsi="Arial" w:cs="Arial"/>
          <w:sz w:val="20"/>
          <w:szCs w:val="20"/>
        </w:rPr>
        <w:t>and</w:t>
      </w:r>
    </w:p>
    <w:p w14:paraId="3868A6A0" w14:textId="77777777" w:rsidR="0060383C" w:rsidRPr="0060383C" w:rsidRDefault="0060383C" w:rsidP="00D44EB0">
      <w:pPr>
        <w:pStyle w:val="ListParagraph"/>
        <w:numPr>
          <w:ilvl w:val="1"/>
          <w:numId w:val="208"/>
        </w:numPr>
        <w:tabs>
          <w:tab w:val="left" w:pos="1273"/>
          <w:tab w:val="left" w:pos="1274"/>
        </w:tabs>
        <w:spacing w:line="276" w:lineRule="auto"/>
        <w:ind w:right="194"/>
        <w:jc w:val="both"/>
        <w:rPr>
          <w:rFonts w:ascii="Arial" w:hAnsi="Arial" w:cs="Arial"/>
          <w:sz w:val="20"/>
          <w:szCs w:val="20"/>
        </w:rPr>
      </w:pPr>
      <w:r w:rsidRPr="0060383C">
        <w:rPr>
          <w:rFonts w:ascii="Arial" w:hAnsi="Arial" w:cs="Arial"/>
          <w:sz w:val="20"/>
          <w:szCs w:val="20"/>
        </w:rPr>
        <w:t>abnormal</w:t>
      </w:r>
      <w:r w:rsidRPr="0060383C">
        <w:rPr>
          <w:rFonts w:ascii="Arial" w:hAnsi="Arial" w:cs="Arial"/>
          <w:spacing w:val="34"/>
          <w:sz w:val="20"/>
          <w:szCs w:val="20"/>
        </w:rPr>
        <w:t xml:space="preserve"> </w:t>
      </w:r>
      <w:r w:rsidRPr="0060383C">
        <w:rPr>
          <w:rFonts w:ascii="Arial" w:hAnsi="Arial" w:cs="Arial"/>
          <w:sz w:val="20"/>
          <w:szCs w:val="20"/>
        </w:rPr>
        <w:t>and</w:t>
      </w:r>
      <w:r w:rsidRPr="0060383C">
        <w:rPr>
          <w:rFonts w:ascii="Arial" w:hAnsi="Arial" w:cs="Arial"/>
          <w:spacing w:val="36"/>
          <w:sz w:val="20"/>
          <w:szCs w:val="20"/>
        </w:rPr>
        <w:t xml:space="preserve"> </w:t>
      </w:r>
      <w:r w:rsidRPr="0060383C">
        <w:rPr>
          <w:rFonts w:ascii="Arial" w:hAnsi="Arial" w:cs="Arial"/>
          <w:sz w:val="20"/>
          <w:szCs w:val="20"/>
        </w:rPr>
        <w:t>emergency</w:t>
      </w:r>
      <w:r w:rsidRPr="0060383C">
        <w:rPr>
          <w:rFonts w:ascii="Arial" w:hAnsi="Arial" w:cs="Arial"/>
          <w:spacing w:val="38"/>
          <w:sz w:val="20"/>
          <w:szCs w:val="20"/>
        </w:rPr>
        <w:t xml:space="preserve"> </w:t>
      </w:r>
      <w:r w:rsidRPr="0060383C">
        <w:rPr>
          <w:rFonts w:ascii="Arial" w:hAnsi="Arial" w:cs="Arial"/>
          <w:sz w:val="20"/>
          <w:szCs w:val="20"/>
        </w:rPr>
        <w:t>procedures</w:t>
      </w:r>
      <w:r w:rsidRPr="0060383C">
        <w:rPr>
          <w:rFonts w:ascii="Arial" w:hAnsi="Arial" w:cs="Arial"/>
          <w:spacing w:val="35"/>
          <w:sz w:val="20"/>
          <w:szCs w:val="20"/>
        </w:rPr>
        <w:t xml:space="preserve"> </w:t>
      </w:r>
      <w:r w:rsidRPr="0060383C">
        <w:rPr>
          <w:rFonts w:ascii="Arial" w:hAnsi="Arial" w:cs="Arial"/>
          <w:sz w:val="20"/>
          <w:szCs w:val="20"/>
        </w:rPr>
        <w:t>are</w:t>
      </w:r>
      <w:r w:rsidRPr="0060383C">
        <w:rPr>
          <w:rFonts w:ascii="Arial" w:hAnsi="Arial" w:cs="Arial"/>
          <w:spacing w:val="35"/>
          <w:sz w:val="20"/>
          <w:szCs w:val="20"/>
        </w:rPr>
        <w:t xml:space="preserve"> </w:t>
      </w:r>
      <w:r w:rsidRPr="0060383C">
        <w:rPr>
          <w:rFonts w:ascii="Arial" w:hAnsi="Arial" w:cs="Arial"/>
          <w:sz w:val="20"/>
          <w:szCs w:val="20"/>
        </w:rPr>
        <w:t>practised</w:t>
      </w:r>
      <w:r w:rsidRPr="0060383C">
        <w:rPr>
          <w:rFonts w:ascii="Arial" w:hAnsi="Arial" w:cs="Arial"/>
          <w:spacing w:val="37"/>
          <w:sz w:val="20"/>
          <w:szCs w:val="20"/>
        </w:rPr>
        <w:t xml:space="preserve"> </w:t>
      </w:r>
      <w:r w:rsidRPr="0060383C">
        <w:rPr>
          <w:rFonts w:ascii="Arial" w:hAnsi="Arial" w:cs="Arial"/>
          <w:sz w:val="20"/>
          <w:szCs w:val="20"/>
        </w:rPr>
        <w:t>on</w:t>
      </w:r>
      <w:r w:rsidRPr="0060383C">
        <w:rPr>
          <w:rFonts w:ascii="Arial" w:hAnsi="Arial" w:cs="Arial"/>
          <w:spacing w:val="34"/>
          <w:sz w:val="20"/>
          <w:szCs w:val="20"/>
        </w:rPr>
        <w:t xml:space="preserve"> </w:t>
      </w:r>
      <w:r w:rsidRPr="0060383C">
        <w:rPr>
          <w:rFonts w:ascii="Arial" w:hAnsi="Arial" w:cs="Arial"/>
          <w:sz w:val="20"/>
          <w:szCs w:val="20"/>
        </w:rPr>
        <w:t>the</w:t>
      </w:r>
      <w:r w:rsidRPr="0060383C">
        <w:rPr>
          <w:rFonts w:ascii="Arial" w:hAnsi="Arial" w:cs="Arial"/>
          <w:spacing w:val="39"/>
          <w:sz w:val="20"/>
          <w:szCs w:val="20"/>
        </w:rPr>
        <w:t xml:space="preserve"> </w:t>
      </w:r>
      <w:r w:rsidRPr="0060383C">
        <w:rPr>
          <w:rFonts w:ascii="Arial" w:hAnsi="Arial" w:cs="Arial"/>
          <w:sz w:val="20"/>
          <w:szCs w:val="20"/>
        </w:rPr>
        <w:t>ground</w:t>
      </w:r>
      <w:r w:rsidRPr="0060383C">
        <w:rPr>
          <w:rFonts w:ascii="Arial" w:hAnsi="Arial" w:cs="Arial"/>
          <w:spacing w:val="36"/>
          <w:sz w:val="20"/>
          <w:szCs w:val="20"/>
        </w:rPr>
        <w:t xml:space="preserve"> </w:t>
      </w:r>
      <w:r w:rsidRPr="0060383C">
        <w:rPr>
          <w:rFonts w:ascii="Arial" w:hAnsi="Arial" w:cs="Arial"/>
          <w:sz w:val="20"/>
          <w:szCs w:val="20"/>
        </w:rPr>
        <w:t>and</w:t>
      </w:r>
      <w:r w:rsidRPr="0060383C">
        <w:rPr>
          <w:rFonts w:ascii="Arial" w:hAnsi="Arial" w:cs="Arial"/>
          <w:spacing w:val="34"/>
          <w:sz w:val="20"/>
          <w:szCs w:val="20"/>
        </w:rPr>
        <w:t xml:space="preserve"> </w:t>
      </w:r>
      <w:r w:rsidRPr="0060383C">
        <w:rPr>
          <w:rFonts w:ascii="Arial" w:hAnsi="Arial" w:cs="Arial"/>
          <w:sz w:val="20"/>
          <w:szCs w:val="20"/>
        </w:rPr>
        <w:t>without</w:t>
      </w:r>
      <w:r w:rsidRPr="0060383C">
        <w:rPr>
          <w:rFonts w:ascii="Arial" w:hAnsi="Arial" w:cs="Arial"/>
          <w:spacing w:val="-47"/>
          <w:sz w:val="20"/>
          <w:szCs w:val="20"/>
        </w:rPr>
        <w:t xml:space="preserve"> </w:t>
      </w:r>
      <w:r w:rsidRPr="0060383C">
        <w:rPr>
          <w:rFonts w:ascii="Arial" w:hAnsi="Arial" w:cs="Arial"/>
          <w:sz w:val="20"/>
          <w:szCs w:val="20"/>
        </w:rPr>
        <w:t>passengers</w:t>
      </w:r>
      <w:r w:rsidRPr="0060383C">
        <w:rPr>
          <w:rFonts w:ascii="Arial" w:hAnsi="Arial" w:cs="Arial"/>
          <w:spacing w:val="-2"/>
          <w:sz w:val="20"/>
          <w:szCs w:val="20"/>
        </w:rPr>
        <w:t xml:space="preserve"> </w:t>
      </w:r>
      <w:r w:rsidRPr="0060383C">
        <w:rPr>
          <w:rFonts w:ascii="Arial" w:hAnsi="Arial" w:cs="Arial"/>
          <w:sz w:val="20"/>
          <w:szCs w:val="20"/>
        </w:rPr>
        <w:t>on</w:t>
      </w:r>
      <w:r w:rsidRPr="0060383C">
        <w:rPr>
          <w:rFonts w:ascii="Arial" w:hAnsi="Arial" w:cs="Arial"/>
          <w:spacing w:val="-1"/>
          <w:sz w:val="20"/>
          <w:szCs w:val="20"/>
        </w:rPr>
        <w:t xml:space="preserve"> </w:t>
      </w:r>
      <w:r w:rsidRPr="0060383C">
        <w:rPr>
          <w:rFonts w:ascii="Arial" w:hAnsi="Arial" w:cs="Arial"/>
          <w:sz w:val="20"/>
          <w:szCs w:val="20"/>
        </w:rPr>
        <w:t>board.</w:t>
      </w:r>
    </w:p>
    <w:p w14:paraId="21CD2C62" w14:textId="77777777" w:rsidR="009D4B90" w:rsidRPr="0060383C" w:rsidRDefault="0060383C" w:rsidP="00D44EB0">
      <w:pPr>
        <w:pStyle w:val="ListParagraph"/>
        <w:numPr>
          <w:ilvl w:val="0"/>
          <w:numId w:val="208"/>
        </w:numPr>
        <w:tabs>
          <w:tab w:val="left" w:pos="706"/>
          <w:tab w:val="left" w:pos="707"/>
        </w:tabs>
        <w:spacing w:before="56" w:line="276" w:lineRule="auto"/>
        <w:ind w:right="195"/>
        <w:jc w:val="both"/>
        <w:rPr>
          <w:rFonts w:ascii="Arial" w:hAnsi="Arial" w:cs="Arial"/>
          <w:sz w:val="20"/>
          <w:szCs w:val="20"/>
        </w:rPr>
      </w:pPr>
      <w:r w:rsidRPr="0060383C">
        <w:rPr>
          <w:rFonts w:ascii="Arial" w:hAnsi="Arial" w:cs="Arial"/>
          <w:sz w:val="20"/>
          <w:szCs w:val="20"/>
        </w:rPr>
        <w:t>The 48-month period should be counted from the last day of the month in which the preceding training flight took place</w:t>
      </w:r>
    </w:p>
    <w:p w14:paraId="572C606D" w14:textId="77777777" w:rsidR="0086622F" w:rsidRPr="0086622F" w:rsidRDefault="0086622F" w:rsidP="0086622F">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661" w:name="_Toc153137430"/>
      <w:r w:rsidRPr="0086622F">
        <w:rPr>
          <w:rFonts w:ascii="Arial" w:eastAsia="Times New Roman" w:hAnsi="Arial" w:cs="Times New Roman"/>
          <w:b/>
          <w:color w:val="FFFFFF"/>
          <w:sz w:val="24"/>
        </w:rPr>
        <w:t>AMC1 BFCL.160(a)(2) Recency requirements</w:t>
      </w:r>
      <w:bookmarkEnd w:id="661"/>
      <w:r w:rsidRPr="0086622F">
        <w:rPr>
          <w:rFonts w:ascii="Arial" w:eastAsia="Times New Roman" w:hAnsi="Arial" w:cs="Times New Roman"/>
          <w:b/>
          <w:color w:val="FFFFFF"/>
          <w:sz w:val="24"/>
        </w:rPr>
        <w:tab/>
      </w:r>
    </w:p>
    <w:p w14:paraId="5C7C119C" w14:textId="77777777" w:rsidR="009D4B90" w:rsidRDefault="0086622F" w:rsidP="00D44EB0">
      <w:pPr>
        <w:widowControl/>
        <w:autoSpaceDE/>
        <w:autoSpaceDN/>
        <w:spacing w:before="240" w:after="160" w:line="276" w:lineRule="auto"/>
        <w:jc w:val="both"/>
        <w:rPr>
          <w:rFonts w:ascii="Arial" w:eastAsiaTheme="minorHAnsi" w:hAnsi="Arial" w:cs="Arial"/>
          <w:b/>
          <w:bCs/>
          <w:sz w:val="20"/>
          <w:szCs w:val="20"/>
        </w:rPr>
      </w:pPr>
      <w:r w:rsidRPr="0086622F">
        <w:rPr>
          <w:rFonts w:ascii="Arial" w:eastAsiaTheme="minorHAnsi" w:hAnsi="Arial" w:cs="Arial"/>
          <w:b/>
          <w:bCs/>
          <w:sz w:val="20"/>
          <w:szCs w:val="20"/>
        </w:rPr>
        <w:t>PROFICIENCY CHECK</w:t>
      </w:r>
    </w:p>
    <w:p w14:paraId="1EBC699C" w14:textId="77777777" w:rsidR="0086622F" w:rsidRPr="0086622F" w:rsidRDefault="0086622F" w:rsidP="00D44EB0">
      <w:pPr>
        <w:pStyle w:val="BodyText"/>
        <w:spacing w:before="119" w:line="276" w:lineRule="auto"/>
        <w:jc w:val="both"/>
        <w:rPr>
          <w:rFonts w:ascii="Arial" w:hAnsi="Arial" w:cs="Arial"/>
          <w:sz w:val="20"/>
        </w:rPr>
      </w:pPr>
      <w:r w:rsidRPr="0086622F">
        <w:rPr>
          <w:rFonts w:ascii="Arial" w:hAnsi="Arial" w:cs="Arial"/>
          <w:sz w:val="20"/>
        </w:rPr>
        <w:t>For</w:t>
      </w:r>
      <w:r w:rsidRPr="0086622F">
        <w:rPr>
          <w:rFonts w:ascii="Arial" w:hAnsi="Arial" w:cs="Arial"/>
          <w:spacing w:val="-3"/>
          <w:sz w:val="20"/>
        </w:rPr>
        <w:t xml:space="preserve"> </w:t>
      </w:r>
      <w:r w:rsidRPr="0086622F">
        <w:rPr>
          <w:rFonts w:ascii="Arial" w:hAnsi="Arial" w:cs="Arial"/>
          <w:sz w:val="20"/>
        </w:rPr>
        <w:t>the</w:t>
      </w:r>
      <w:r w:rsidRPr="0086622F">
        <w:rPr>
          <w:rFonts w:ascii="Arial" w:hAnsi="Arial" w:cs="Arial"/>
          <w:spacing w:val="-3"/>
          <w:sz w:val="20"/>
        </w:rPr>
        <w:t xml:space="preserve"> </w:t>
      </w:r>
      <w:r w:rsidRPr="0086622F">
        <w:rPr>
          <w:rFonts w:ascii="Arial" w:hAnsi="Arial" w:cs="Arial"/>
          <w:sz w:val="20"/>
        </w:rPr>
        <w:t>proficiency</w:t>
      </w:r>
      <w:r w:rsidRPr="0086622F">
        <w:rPr>
          <w:rFonts w:ascii="Arial" w:hAnsi="Arial" w:cs="Arial"/>
          <w:spacing w:val="-3"/>
          <w:sz w:val="20"/>
        </w:rPr>
        <w:t xml:space="preserve"> </w:t>
      </w:r>
      <w:r w:rsidRPr="0086622F">
        <w:rPr>
          <w:rFonts w:ascii="Arial" w:hAnsi="Arial" w:cs="Arial"/>
          <w:sz w:val="20"/>
        </w:rPr>
        <w:t>check,</w:t>
      </w:r>
      <w:r w:rsidRPr="0086622F">
        <w:rPr>
          <w:rFonts w:ascii="Arial" w:hAnsi="Arial" w:cs="Arial"/>
          <w:spacing w:val="-3"/>
          <w:sz w:val="20"/>
        </w:rPr>
        <w:t xml:space="preserve"> </w:t>
      </w:r>
      <w:r w:rsidRPr="0086622F">
        <w:rPr>
          <w:rFonts w:ascii="Arial" w:hAnsi="Arial" w:cs="Arial"/>
          <w:sz w:val="20"/>
        </w:rPr>
        <w:t>the skill</w:t>
      </w:r>
      <w:r w:rsidRPr="0086622F">
        <w:rPr>
          <w:rFonts w:ascii="Arial" w:hAnsi="Arial" w:cs="Arial"/>
          <w:spacing w:val="-4"/>
          <w:sz w:val="20"/>
        </w:rPr>
        <w:t xml:space="preserve"> </w:t>
      </w:r>
      <w:r w:rsidRPr="0086622F">
        <w:rPr>
          <w:rFonts w:ascii="Arial" w:hAnsi="Arial" w:cs="Arial"/>
          <w:sz w:val="20"/>
        </w:rPr>
        <w:t>test</w:t>
      </w:r>
      <w:r w:rsidRPr="0086622F">
        <w:rPr>
          <w:rFonts w:ascii="Arial" w:hAnsi="Arial" w:cs="Arial"/>
          <w:spacing w:val="-3"/>
          <w:sz w:val="20"/>
        </w:rPr>
        <w:t xml:space="preserve"> </w:t>
      </w:r>
      <w:r w:rsidRPr="0086622F">
        <w:rPr>
          <w:rFonts w:ascii="Arial" w:hAnsi="Arial" w:cs="Arial"/>
          <w:sz w:val="20"/>
        </w:rPr>
        <w:t>for</w:t>
      </w:r>
      <w:r w:rsidRPr="0086622F">
        <w:rPr>
          <w:rFonts w:ascii="Arial" w:hAnsi="Arial" w:cs="Arial"/>
          <w:spacing w:val="-3"/>
          <w:sz w:val="20"/>
        </w:rPr>
        <w:t xml:space="preserve"> </w:t>
      </w:r>
      <w:r w:rsidRPr="0086622F">
        <w:rPr>
          <w:rFonts w:ascii="Arial" w:hAnsi="Arial" w:cs="Arial"/>
          <w:sz w:val="20"/>
        </w:rPr>
        <w:t>the</w:t>
      </w:r>
      <w:r w:rsidRPr="0086622F">
        <w:rPr>
          <w:rFonts w:ascii="Arial" w:hAnsi="Arial" w:cs="Arial"/>
          <w:spacing w:val="-4"/>
          <w:sz w:val="20"/>
        </w:rPr>
        <w:t xml:space="preserve"> </w:t>
      </w:r>
      <w:r w:rsidRPr="0086622F">
        <w:rPr>
          <w:rFonts w:ascii="Arial" w:hAnsi="Arial" w:cs="Arial"/>
          <w:sz w:val="20"/>
        </w:rPr>
        <w:t>initial issue</w:t>
      </w:r>
      <w:r w:rsidRPr="0086622F">
        <w:rPr>
          <w:rFonts w:ascii="Arial" w:hAnsi="Arial" w:cs="Arial"/>
          <w:spacing w:val="-4"/>
          <w:sz w:val="20"/>
        </w:rPr>
        <w:t xml:space="preserve"> </w:t>
      </w:r>
      <w:r w:rsidRPr="0086622F">
        <w:rPr>
          <w:rFonts w:ascii="Arial" w:hAnsi="Arial" w:cs="Arial"/>
          <w:sz w:val="20"/>
        </w:rPr>
        <w:t>of</w:t>
      </w:r>
      <w:r w:rsidRPr="0086622F">
        <w:rPr>
          <w:rFonts w:ascii="Arial" w:hAnsi="Arial" w:cs="Arial"/>
          <w:spacing w:val="-4"/>
          <w:sz w:val="20"/>
        </w:rPr>
        <w:t xml:space="preserve"> </w:t>
      </w:r>
      <w:r w:rsidRPr="0086622F">
        <w:rPr>
          <w:rFonts w:ascii="Arial" w:hAnsi="Arial" w:cs="Arial"/>
          <w:sz w:val="20"/>
        </w:rPr>
        <w:t>a</w:t>
      </w:r>
      <w:r w:rsidRPr="0086622F">
        <w:rPr>
          <w:rFonts w:ascii="Arial" w:hAnsi="Arial" w:cs="Arial"/>
          <w:spacing w:val="-1"/>
          <w:sz w:val="20"/>
        </w:rPr>
        <w:t xml:space="preserve"> </w:t>
      </w:r>
      <w:r w:rsidRPr="0086622F">
        <w:rPr>
          <w:rFonts w:ascii="Arial" w:hAnsi="Arial" w:cs="Arial"/>
          <w:sz w:val="20"/>
        </w:rPr>
        <w:t>BPL</w:t>
      </w:r>
      <w:r w:rsidRPr="0086622F">
        <w:rPr>
          <w:rFonts w:ascii="Arial" w:hAnsi="Arial" w:cs="Arial"/>
          <w:spacing w:val="-1"/>
          <w:sz w:val="20"/>
        </w:rPr>
        <w:t xml:space="preserve"> </w:t>
      </w:r>
      <w:r w:rsidRPr="0086622F">
        <w:rPr>
          <w:rFonts w:ascii="Arial" w:hAnsi="Arial" w:cs="Arial"/>
          <w:sz w:val="20"/>
        </w:rPr>
        <w:t>in</w:t>
      </w:r>
      <w:r w:rsidRPr="0086622F">
        <w:rPr>
          <w:rFonts w:ascii="Arial" w:hAnsi="Arial" w:cs="Arial"/>
          <w:spacing w:val="-4"/>
          <w:sz w:val="20"/>
        </w:rPr>
        <w:t xml:space="preserve"> </w:t>
      </w:r>
      <w:r w:rsidRPr="0086622F">
        <w:rPr>
          <w:rFonts w:ascii="Arial" w:hAnsi="Arial" w:cs="Arial"/>
          <w:sz w:val="20"/>
        </w:rPr>
        <w:t>the</w:t>
      </w:r>
      <w:r w:rsidRPr="0086622F">
        <w:rPr>
          <w:rFonts w:ascii="Arial" w:hAnsi="Arial" w:cs="Arial"/>
          <w:spacing w:val="-3"/>
          <w:sz w:val="20"/>
        </w:rPr>
        <w:t xml:space="preserve"> </w:t>
      </w:r>
      <w:r w:rsidRPr="0086622F">
        <w:rPr>
          <w:rFonts w:ascii="Arial" w:hAnsi="Arial" w:cs="Arial"/>
          <w:sz w:val="20"/>
        </w:rPr>
        <w:t>relevant</w:t>
      </w:r>
      <w:r w:rsidRPr="0086622F">
        <w:rPr>
          <w:rFonts w:ascii="Arial" w:hAnsi="Arial" w:cs="Arial"/>
          <w:spacing w:val="-3"/>
          <w:sz w:val="20"/>
        </w:rPr>
        <w:t xml:space="preserve"> </w:t>
      </w:r>
      <w:r w:rsidRPr="0086622F">
        <w:rPr>
          <w:rFonts w:ascii="Arial" w:hAnsi="Arial" w:cs="Arial"/>
          <w:sz w:val="20"/>
        </w:rPr>
        <w:t>balloon</w:t>
      </w:r>
      <w:r w:rsidRPr="0086622F">
        <w:rPr>
          <w:rFonts w:ascii="Arial" w:hAnsi="Arial" w:cs="Arial"/>
          <w:spacing w:val="-4"/>
          <w:sz w:val="20"/>
        </w:rPr>
        <w:t xml:space="preserve"> </w:t>
      </w:r>
      <w:r w:rsidRPr="0086622F">
        <w:rPr>
          <w:rFonts w:ascii="Arial" w:hAnsi="Arial" w:cs="Arial"/>
          <w:sz w:val="20"/>
        </w:rPr>
        <w:t>class,</w:t>
      </w:r>
      <w:r w:rsidRPr="0086622F">
        <w:rPr>
          <w:rFonts w:ascii="Arial" w:hAnsi="Arial" w:cs="Arial"/>
          <w:spacing w:val="-4"/>
          <w:sz w:val="20"/>
        </w:rPr>
        <w:t xml:space="preserve"> </w:t>
      </w:r>
      <w:r w:rsidRPr="0086622F">
        <w:rPr>
          <w:rFonts w:ascii="Arial" w:hAnsi="Arial" w:cs="Arial"/>
          <w:sz w:val="20"/>
        </w:rPr>
        <w:t>as</w:t>
      </w:r>
      <w:r w:rsidRPr="0086622F">
        <w:rPr>
          <w:rFonts w:ascii="Arial" w:hAnsi="Arial" w:cs="Arial"/>
          <w:spacing w:val="-2"/>
          <w:sz w:val="20"/>
        </w:rPr>
        <w:t xml:space="preserve"> </w:t>
      </w:r>
      <w:r w:rsidRPr="0086622F">
        <w:rPr>
          <w:rFonts w:ascii="Arial" w:hAnsi="Arial" w:cs="Arial"/>
          <w:sz w:val="20"/>
        </w:rPr>
        <w:t>set</w:t>
      </w:r>
      <w:r w:rsidRPr="0086622F">
        <w:rPr>
          <w:rFonts w:ascii="Arial" w:hAnsi="Arial" w:cs="Arial"/>
          <w:spacing w:val="-47"/>
          <w:sz w:val="20"/>
        </w:rPr>
        <w:t xml:space="preserve"> </w:t>
      </w:r>
      <w:r w:rsidRPr="0086622F">
        <w:rPr>
          <w:rFonts w:ascii="Arial" w:hAnsi="Arial" w:cs="Arial"/>
          <w:sz w:val="20"/>
        </w:rPr>
        <w:t>out</w:t>
      </w:r>
      <w:r w:rsidRPr="0086622F">
        <w:rPr>
          <w:rFonts w:ascii="Arial" w:hAnsi="Arial" w:cs="Arial"/>
          <w:spacing w:val="-1"/>
          <w:sz w:val="20"/>
        </w:rPr>
        <w:t xml:space="preserve"> </w:t>
      </w:r>
      <w:r w:rsidRPr="0086622F">
        <w:rPr>
          <w:rFonts w:ascii="Arial" w:hAnsi="Arial" w:cs="Arial"/>
          <w:sz w:val="20"/>
        </w:rPr>
        <w:t>in</w:t>
      </w:r>
      <w:r w:rsidRPr="0086622F">
        <w:rPr>
          <w:rFonts w:ascii="Arial" w:hAnsi="Arial" w:cs="Arial"/>
          <w:spacing w:val="-1"/>
          <w:sz w:val="20"/>
        </w:rPr>
        <w:t xml:space="preserve"> </w:t>
      </w:r>
      <w:r w:rsidRPr="0086622F">
        <w:rPr>
          <w:rFonts w:ascii="Arial" w:hAnsi="Arial" w:cs="Arial"/>
          <w:sz w:val="20"/>
        </w:rPr>
        <w:t>AMC1</w:t>
      </w:r>
      <w:r w:rsidRPr="0086622F">
        <w:rPr>
          <w:rFonts w:ascii="Arial" w:hAnsi="Arial" w:cs="Arial"/>
          <w:spacing w:val="-2"/>
          <w:sz w:val="20"/>
        </w:rPr>
        <w:t xml:space="preserve"> </w:t>
      </w:r>
      <w:r w:rsidRPr="0086622F">
        <w:rPr>
          <w:rFonts w:ascii="Arial" w:hAnsi="Arial" w:cs="Arial"/>
          <w:sz w:val="20"/>
        </w:rPr>
        <w:t>BFCL.145, should</w:t>
      </w:r>
      <w:r w:rsidRPr="0086622F">
        <w:rPr>
          <w:rFonts w:ascii="Arial" w:hAnsi="Arial" w:cs="Arial"/>
          <w:spacing w:val="-1"/>
          <w:sz w:val="20"/>
        </w:rPr>
        <w:t xml:space="preserve"> </w:t>
      </w:r>
      <w:r w:rsidRPr="0086622F">
        <w:rPr>
          <w:rFonts w:ascii="Arial" w:hAnsi="Arial" w:cs="Arial"/>
          <w:sz w:val="20"/>
        </w:rPr>
        <w:t>be taken.</w:t>
      </w:r>
    </w:p>
    <w:p w14:paraId="3D2C5AA4" w14:textId="77777777" w:rsidR="0086622F" w:rsidRDefault="0086622F" w:rsidP="001E4617">
      <w:pPr>
        <w:widowControl/>
        <w:autoSpaceDE/>
        <w:autoSpaceDN/>
        <w:spacing w:before="240" w:after="160" w:line="264" w:lineRule="auto"/>
        <w:jc w:val="both"/>
        <w:rPr>
          <w:rFonts w:ascii="Arial" w:eastAsiaTheme="minorHAnsi" w:hAnsi="Arial" w:cs="Arial"/>
          <w:b/>
          <w:bCs/>
          <w:sz w:val="20"/>
          <w:szCs w:val="20"/>
        </w:rPr>
      </w:pPr>
    </w:p>
    <w:p w14:paraId="699E1EAA" w14:textId="77777777" w:rsidR="003F59E3" w:rsidRDefault="003F59E3" w:rsidP="001E4617">
      <w:pPr>
        <w:widowControl/>
        <w:autoSpaceDE/>
        <w:autoSpaceDN/>
        <w:spacing w:before="240" w:after="160" w:line="264" w:lineRule="auto"/>
        <w:jc w:val="both"/>
        <w:rPr>
          <w:rFonts w:ascii="Arial" w:eastAsiaTheme="minorHAnsi" w:hAnsi="Arial" w:cs="Arial"/>
          <w:b/>
          <w:bCs/>
          <w:sz w:val="20"/>
          <w:szCs w:val="20"/>
        </w:rPr>
      </w:pPr>
    </w:p>
    <w:p w14:paraId="720B5ED5" w14:textId="77777777" w:rsidR="003F59E3" w:rsidRDefault="003F59E3" w:rsidP="001E4617">
      <w:pPr>
        <w:widowControl/>
        <w:autoSpaceDE/>
        <w:autoSpaceDN/>
        <w:spacing w:before="240" w:after="160" w:line="264" w:lineRule="auto"/>
        <w:jc w:val="both"/>
        <w:rPr>
          <w:rFonts w:ascii="Arial" w:eastAsiaTheme="minorHAnsi" w:hAnsi="Arial" w:cs="Arial"/>
          <w:b/>
          <w:bCs/>
          <w:sz w:val="20"/>
          <w:szCs w:val="20"/>
        </w:rPr>
      </w:pPr>
    </w:p>
    <w:p w14:paraId="394213FB" w14:textId="3D90EEE0" w:rsidR="003F59E3" w:rsidRDefault="003F59E3" w:rsidP="001E4617">
      <w:pPr>
        <w:widowControl/>
        <w:autoSpaceDE/>
        <w:autoSpaceDN/>
        <w:spacing w:before="240" w:after="160" w:line="264" w:lineRule="auto"/>
        <w:jc w:val="both"/>
        <w:rPr>
          <w:rFonts w:ascii="Arial" w:eastAsiaTheme="minorHAnsi" w:hAnsi="Arial" w:cs="Arial"/>
          <w:b/>
          <w:bCs/>
          <w:sz w:val="20"/>
          <w:szCs w:val="20"/>
        </w:rPr>
      </w:pPr>
    </w:p>
    <w:p w14:paraId="7C28CE2E" w14:textId="447AAD80" w:rsidR="00D44EB0" w:rsidRDefault="00D44EB0" w:rsidP="001E4617">
      <w:pPr>
        <w:widowControl/>
        <w:autoSpaceDE/>
        <w:autoSpaceDN/>
        <w:spacing w:before="240" w:after="160" w:line="264" w:lineRule="auto"/>
        <w:jc w:val="both"/>
        <w:rPr>
          <w:rFonts w:ascii="Arial" w:eastAsiaTheme="minorHAnsi" w:hAnsi="Arial" w:cs="Arial"/>
          <w:b/>
          <w:bCs/>
          <w:sz w:val="20"/>
          <w:szCs w:val="20"/>
        </w:rPr>
      </w:pPr>
    </w:p>
    <w:p w14:paraId="315EEBD5" w14:textId="218A062D" w:rsidR="00D44EB0" w:rsidRDefault="00D44EB0" w:rsidP="001E4617">
      <w:pPr>
        <w:widowControl/>
        <w:autoSpaceDE/>
        <w:autoSpaceDN/>
        <w:spacing w:before="240" w:after="160" w:line="264" w:lineRule="auto"/>
        <w:jc w:val="both"/>
        <w:rPr>
          <w:rFonts w:ascii="Arial" w:eastAsiaTheme="minorHAnsi" w:hAnsi="Arial" w:cs="Arial"/>
          <w:b/>
          <w:bCs/>
          <w:sz w:val="20"/>
          <w:szCs w:val="20"/>
        </w:rPr>
      </w:pPr>
    </w:p>
    <w:p w14:paraId="471B9DE0" w14:textId="098476B1" w:rsidR="00D44EB0" w:rsidRDefault="00D44EB0" w:rsidP="001E4617">
      <w:pPr>
        <w:widowControl/>
        <w:autoSpaceDE/>
        <w:autoSpaceDN/>
        <w:spacing w:before="240" w:after="160" w:line="264" w:lineRule="auto"/>
        <w:jc w:val="both"/>
        <w:rPr>
          <w:rFonts w:ascii="Arial" w:eastAsiaTheme="minorHAnsi" w:hAnsi="Arial" w:cs="Arial"/>
          <w:b/>
          <w:bCs/>
          <w:sz w:val="20"/>
          <w:szCs w:val="20"/>
        </w:rPr>
      </w:pPr>
    </w:p>
    <w:p w14:paraId="39CA0F63" w14:textId="17BD0D74" w:rsidR="00D44EB0" w:rsidRDefault="00D44EB0" w:rsidP="001E4617">
      <w:pPr>
        <w:widowControl/>
        <w:autoSpaceDE/>
        <w:autoSpaceDN/>
        <w:spacing w:before="240" w:after="160" w:line="264" w:lineRule="auto"/>
        <w:jc w:val="both"/>
        <w:rPr>
          <w:rFonts w:ascii="Arial" w:eastAsiaTheme="minorHAnsi" w:hAnsi="Arial" w:cs="Arial"/>
          <w:b/>
          <w:bCs/>
          <w:sz w:val="20"/>
          <w:szCs w:val="20"/>
        </w:rPr>
      </w:pPr>
    </w:p>
    <w:p w14:paraId="4AB9CF5E" w14:textId="555513C7" w:rsidR="00D44EB0" w:rsidRDefault="00D44EB0" w:rsidP="001E4617">
      <w:pPr>
        <w:widowControl/>
        <w:autoSpaceDE/>
        <w:autoSpaceDN/>
        <w:spacing w:before="240" w:after="160" w:line="264" w:lineRule="auto"/>
        <w:jc w:val="both"/>
        <w:rPr>
          <w:rFonts w:ascii="Arial" w:eastAsiaTheme="minorHAnsi" w:hAnsi="Arial" w:cs="Arial"/>
          <w:b/>
          <w:bCs/>
          <w:sz w:val="20"/>
          <w:szCs w:val="20"/>
        </w:rPr>
      </w:pPr>
    </w:p>
    <w:p w14:paraId="3BE48FD6" w14:textId="77777777" w:rsidR="00D44EB0" w:rsidRDefault="00D44EB0" w:rsidP="001E4617">
      <w:pPr>
        <w:widowControl/>
        <w:autoSpaceDE/>
        <w:autoSpaceDN/>
        <w:spacing w:before="240" w:after="160" w:line="264" w:lineRule="auto"/>
        <w:jc w:val="both"/>
        <w:rPr>
          <w:rFonts w:ascii="Arial" w:eastAsiaTheme="minorHAnsi" w:hAnsi="Arial" w:cs="Arial"/>
          <w:b/>
          <w:bCs/>
          <w:sz w:val="20"/>
          <w:szCs w:val="20"/>
        </w:rPr>
      </w:pPr>
    </w:p>
    <w:p w14:paraId="37054EBD" w14:textId="77777777" w:rsidR="003F59E3" w:rsidRDefault="003F59E3" w:rsidP="001E4617">
      <w:pPr>
        <w:widowControl/>
        <w:autoSpaceDE/>
        <w:autoSpaceDN/>
        <w:spacing w:before="240" w:after="160" w:line="264" w:lineRule="auto"/>
        <w:jc w:val="both"/>
        <w:rPr>
          <w:rFonts w:ascii="Arial" w:eastAsiaTheme="minorHAnsi" w:hAnsi="Arial" w:cs="Arial"/>
          <w:b/>
          <w:bCs/>
          <w:sz w:val="20"/>
          <w:szCs w:val="20"/>
        </w:rPr>
      </w:pPr>
    </w:p>
    <w:p w14:paraId="61AA783B" w14:textId="77777777" w:rsidR="003F59E3" w:rsidRDefault="003F59E3" w:rsidP="001E4617">
      <w:pPr>
        <w:widowControl/>
        <w:autoSpaceDE/>
        <w:autoSpaceDN/>
        <w:spacing w:before="240" w:after="160" w:line="264" w:lineRule="auto"/>
        <w:jc w:val="both"/>
        <w:rPr>
          <w:rFonts w:ascii="Arial" w:eastAsiaTheme="minorHAnsi" w:hAnsi="Arial" w:cs="Arial"/>
          <w:b/>
          <w:bCs/>
          <w:sz w:val="20"/>
          <w:szCs w:val="20"/>
        </w:rPr>
      </w:pPr>
    </w:p>
    <w:p w14:paraId="0FD1B764" w14:textId="77777777" w:rsidR="003F59E3" w:rsidRDefault="003F59E3" w:rsidP="001E4617">
      <w:pPr>
        <w:widowControl/>
        <w:autoSpaceDE/>
        <w:autoSpaceDN/>
        <w:spacing w:before="240" w:after="160" w:line="264" w:lineRule="auto"/>
        <w:jc w:val="both"/>
        <w:rPr>
          <w:rFonts w:ascii="Arial" w:eastAsiaTheme="minorHAnsi" w:hAnsi="Arial" w:cs="Arial"/>
          <w:b/>
          <w:bCs/>
          <w:sz w:val="20"/>
          <w:szCs w:val="20"/>
        </w:rPr>
      </w:pPr>
    </w:p>
    <w:p w14:paraId="7B752661" w14:textId="77777777" w:rsidR="003F59E3" w:rsidRPr="003F59E3" w:rsidRDefault="003F59E3" w:rsidP="003F59E3">
      <w:pPr>
        <w:pStyle w:val="Heading3"/>
        <w:spacing w:line="276" w:lineRule="auto"/>
        <w:jc w:val="center"/>
        <w:rPr>
          <w:rFonts w:cs="Arial"/>
          <w:u w:val="none"/>
        </w:rPr>
      </w:pPr>
      <w:bookmarkStart w:id="662" w:name="_Toc153137431"/>
      <w:r w:rsidRPr="003F59E3">
        <w:rPr>
          <w:rFonts w:cs="Arial"/>
          <w:u w:val="none"/>
        </w:rPr>
        <w:t>SUBPART ADD — ADDITIONAL RATINGS</w:t>
      </w:r>
      <w:bookmarkEnd w:id="662"/>
    </w:p>
    <w:p w14:paraId="584E5A23" w14:textId="77777777" w:rsidR="003F59E3" w:rsidRPr="003F59E3" w:rsidRDefault="003F59E3" w:rsidP="003F59E3">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663" w:name="BFCL.200__Tethered_hot-air_balloon_fligh"/>
      <w:bookmarkStart w:id="664" w:name="_bookmark267"/>
      <w:bookmarkStart w:id="665" w:name="_Toc153137432"/>
      <w:bookmarkEnd w:id="663"/>
      <w:bookmarkEnd w:id="664"/>
      <w:r w:rsidRPr="003F59E3">
        <w:rPr>
          <w:rFonts w:ascii="Arial" w:eastAsia="Times New Roman" w:hAnsi="Arial" w:cs="Times New Roman"/>
          <w:b/>
          <w:iCs/>
          <w:color w:val="FFFFFF"/>
          <w:sz w:val="24"/>
        </w:rPr>
        <w:t>BFCL.200 Tethered hot-air balloon flight rating</w:t>
      </w:r>
      <w:bookmarkEnd w:id="665"/>
    </w:p>
    <w:p w14:paraId="50E4D724" w14:textId="77777777" w:rsidR="003F59E3" w:rsidRPr="003F59E3" w:rsidRDefault="003F59E3" w:rsidP="001F5E36">
      <w:pPr>
        <w:pStyle w:val="ListParagraph"/>
        <w:numPr>
          <w:ilvl w:val="0"/>
          <w:numId w:val="209"/>
        </w:numPr>
        <w:tabs>
          <w:tab w:val="left" w:pos="707"/>
        </w:tabs>
        <w:spacing w:before="117" w:line="276" w:lineRule="auto"/>
        <w:ind w:right="68"/>
        <w:jc w:val="both"/>
        <w:rPr>
          <w:rFonts w:ascii="Arial" w:hAnsi="Arial" w:cs="Arial"/>
          <w:sz w:val="20"/>
        </w:rPr>
      </w:pPr>
      <w:r w:rsidRPr="003F59E3">
        <w:rPr>
          <w:rFonts w:ascii="Arial" w:hAnsi="Arial" w:cs="Arial"/>
          <w:sz w:val="20"/>
        </w:rPr>
        <w:t>A BPL holder shall undertake tethered flights with hot-air balloons only if he or she holds a</w:t>
      </w:r>
      <w:r w:rsidRPr="003F59E3">
        <w:rPr>
          <w:rFonts w:ascii="Arial" w:hAnsi="Arial" w:cs="Arial"/>
          <w:spacing w:val="1"/>
          <w:sz w:val="20"/>
        </w:rPr>
        <w:t xml:space="preserve"> </w:t>
      </w:r>
      <w:r w:rsidRPr="003F59E3">
        <w:rPr>
          <w:rFonts w:ascii="Arial" w:hAnsi="Arial" w:cs="Arial"/>
          <w:sz w:val="20"/>
        </w:rPr>
        <w:t>tethered</w:t>
      </w:r>
      <w:r w:rsidRPr="003F59E3">
        <w:rPr>
          <w:rFonts w:ascii="Arial" w:hAnsi="Arial" w:cs="Arial"/>
          <w:spacing w:val="-1"/>
          <w:sz w:val="20"/>
        </w:rPr>
        <w:t xml:space="preserve"> </w:t>
      </w:r>
      <w:r w:rsidRPr="003F59E3">
        <w:rPr>
          <w:rFonts w:ascii="Arial" w:hAnsi="Arial" w:cs="Arial"/>
          <w:sz w:val="20"/>
        </w:rPr>
        <w:t>hot-air</w:t>
      </w:r>
      <w:r w:rsidRPr="003F59E3">
        <w:rPr>
          <w:rFonts w:ascii="Arial" w:hAnsi="Arial" w:cs="Arial"/>
          <w:spacing w:val="-1"/>
          <w:sz w:val="20"/>
        </w:rPr>
        <w:t xml:space="preserve"> </w:t>
      </w:r>
      <w:r w:rsidRPr="003F59E3">
        <w:rPr>
          <w:rFonts w:ascii="Arial" w:hAnsi="Arial" w:cs="Arial"/>
          <w:sz w:val="20"/>
        </w:rPr>
        <w:t>balloon</w:t>
      </w:r>
      <w:r w:rsidRPr="003F59E3">
        <w:rPr>
          <w:rFonts w:ascii="Arial" w:hAnsi="Arial" w:cs="Arial"/>
          <w:spacing w:val="-1"/>
          <w:sz w:val="20"/>
        </w:rPr>
        <w:t xml:space="preserve"> </w:t>
      </w:r>
      <w:r w:rsidRPr="003F59E3">
        <w:rPr>
          <w:rFonts w:ascii="Arial" w:hAnsi="Arial" w:cs="Arial"/>
          <w:sz w:val="20"/>
        </w:rPr>
        <w:t>flight rating</w:t>
      </w:r>
      <w:r w:rsidRPr="003F59E3">
        <w:rPr>
          <w:rFonts w:ascii="Arial" w:hAnsi="Arial" w:cs="Arial"/>
          <w:spacing w:val="1"/>
          <w:sz w:val="20"/>
        </w:rPr>
        <w:t xml:space="preserve"> </w:t>
      </w:r>
      <w:r w:rsidRPr="003F59E3">
        <w:rPr>
          <w:rFonts w:ascii="Arial" w:hAnsi="Arial" w:cs="Arial"/>
          <w:sz w:val="20"/>
        </w:rPr>
        <w:t>in</w:t>
      </w:r>
      <w:r w:rsidRPr="003F59E3">
        <w:rPr>
          <w:rFonts w:ascii="Arial" w:hAnsi="Arial" w:cs="Arial"/>
          <w:spacing w:val="-2"/>
          <w:sz w:val="20"/>
        </w:rPr>
        <w:t xml:space="preserve"> </w:t>
      </w:r>
      <w:r w:rsidRPr="003F59E3">
        <w:rPr>
          <w:rFonts w:ascii="Arial" w:hAnsi="Arial" w:cs="Arial"/>
          <w:sz w:val="20"/>
        </w:rPr>
        <w:t>accordance</w:t>
      </w:r>
      <w:r w:rsidRPr="003F59E3">
        <w:rPr>
          <w:rFonts w:ascii="Arial" w:hAnsi="Arial" w:cs="Arial"/>
          <w:spacing w:val="-2"/>
          <w:sz w:val="20"/>
        </w:rPr>
        <w:t xml:space="preserve"> </w:t>
      </w:r>
      <w:r w:rsidRPr="003F59E3">
        <w:rPr>
          <w:rFonts w:ascii="Arial" w:hAnsi="Arial" w:cs="Arial"/>
          <w:sz w:val="20"/>
        </w:rPr>
        <w:t>with this point.</w:t>
      </w:r>
    </w:p>
    <w:p w14:paraId="761E6587" w14:textId="77777777" w:rsidR="003F59E3" w:rsidRPr="003F59E3" w:rsidRDefault="003F59E3" w:rsidP="001F5E36">
      <w:pPr>
        <w:pStyle w:val="ListParagraph"/>
        <w:numPr>
          <w:ilvl w:val="0"/>
          <w:numId w:val="209"/>
        </w:numPr>
        <w:tabs>
          <w:tab w:val="left" w:pos="707"/>
        </w:tabs>
        <w:spacing w:before="121" w:line="276" w:lineRule="auto"/>
        <w:ind w:right="68"/>
        <w:jc w:val="both"/>
        <w:rPr>
          <w:rFonts w:ascii="Arial" w:hAnsi="Arial" w:cs="Arial"/>
          <w:sz w:val="20"/>
        </w:rPr>
      </w:pPr>
      <w:r w:rsidRPr="003F59E3">
        <w:rPr>
          <w:rFonts w:ascii="Arial" w:hAnsi="Arial" w:cs="Arial"/>
          <w:sz w:val="20"/>
        </w:rPr>
        <w:t>To</w:t>
      </w:r>
      <w:r w:rsidRPr="003F59E3">
        <w:rPr>
          <w:rFonts w:ascii="Arial" w:hAnsi="Arial" w:cs="Arial"/>
          <w:spacing w:val="-1"/>
          <w:sz w:val="20"/>
        </w:rPr>
        <w:t xml:space="preserve"> </w:t>
      </w:r>
      <w:r w:rsidRPr="003F59E3">
        <w:rPr>
          <w:rFonts w:ascii="Arial" w:hAnsi="Arial" w:cs="Arial"/>
          <w:sz w:val="20"/>
        </w:rPr>
        <w:t>apply</w:t>
      </w:r>
      <w:r w:rsidRPr="003F59E3">
        <w:rPr>
          <w:rFonts w:ascii="Arial" w:hAnsi="Arial" w:cs="Arial"/>
          <w:spacing w:val="-3"/>
          <w:sz w:val="20"/>
        </w:rPr>
        <w:t xml:space="preserve"> </w:t>
      </w:r>
      <w:r w:rsidRPr="003F59E3">
        <w:rPr>
          <w:rFonts w:ascii="Arial" w:hAnsi="Arial" w:cs="Arial"/>
          <w:sz w:val="20"/>
        </w:rPr>
        <w:t>for</w:t>
      </w:r>
      <w:r w:rsidRPr="003F59E3">
        <w:rPr>
          <w:rFonts w:ascii="Arial" w:hAnsi="Arial" w:cs="Arial"/>
          <w:spacing w:val="-4"/>
          <w:sz w:val="20"/>
        </w:rPr>
        <w:t xml:space="preserve"> </w:t>
      </w:r>
      <w:r w:rsidRPr="003F59E3">
        <w:rPr>
          <w:rFonts w:ascii="Arial" w:hAnsi="Arial" w:cs="Arial"/>
          <w:sz w:val="20"/>
        </w:rPr>
        <w:t>a</w:t>
      </w:r>
      <w:r w:rsidRPr="003F59E3">
        <w:rPr>
          <w:rFonts w:ascii="Arial" w:hAnsi="Arial" w:cs="Arial"/>
          <w:spacing w:val="-1"/>
          <w:sz w:val="20"/>
        </w:rPr>
        <w:t xml:space="preserve"> </w:t>
      </w:r>
      <w:r w:rsidRPr="003F59E3">
        <w:rPr>
          <w:rFonts w:ascii="Arial" w:hAnsi="Arial" w:cs="Arial"/>
          <w:sz w:val="20"/>
        </w:rPr>
        <w:t>tethered</w:t>
      </w:r>
      <w:r w:rsidRPr="003F59E3">
        <w:rPr>
          <w:rFonts w:ascii="Arial" w:hAnsi="Arial" w:cs="Arial"/>
          <w:spacing w:val="-1"/>
          <w:sz w:val="20"/>
        </w:rPr>
        <w:t xml:space="preserve"> </w:t>
      </w:r>
      <w:r w:rsidRPr="003F59E3">
        <w:rPr>
          <w:rFonts w:ascii="Arial" w:hAnsi="Arial" w:cs="Arial"/>
          <w:sz w:val="20"/>
        </w:rPr>
        <w:t>hot-air</w:t>
      </w:r>
      <w:r w:rsidRPr="003F59E3">
        <w:rPr>
          <w:rFonts w:ascii="Arial" w:hAnsi="Arial" w:cs="Arial"/>
          <w:spacing w:val="-2"/>
          <w:sz w:val="20"/>
        </w:rPr>
        <w:t xml:space="preserve"> </w:t>
      </w:r>
      <w:r w:rsidRPr="003F59E3">
        <w:rPr>
          <w:rFonts w:ascii="Arial" w:hAnsi="Arial" w:cs="Arial"/>
          <w:sz w:val="20"/>
        </w:rPr>
        <w:t>balloon</w:t>
      </w:r>
      <w:r w:rsidRPr="003F59E3">
        <w:rPr>
          <w:rFonts w:ascii="Arial" w:hAnsi="Arial" w:cs="Arial"/>
          <w:spacing w:val="-5"/>
          <w:sz w:val="20"/>
        </w:rPr>
        <w:t xml:space="preserve"> </w:t>
      </w:r>
      <w:r w:rsidRPr="003F59E3">
        <w:rPr>
          <w:rFonts w:ascii="Arial" w:hAnsi="Arial" w:cs="Arial"/>
          <w:sz w:val="20"/>
        </w:rPr>
        <w:t>flight</w:t>
      </w:r>
      <w:r w:rsidRPr="003F59E3">
        <w:rPr>
          <w:rFonts w:ascii="Arial" w:hAnsi="Arial" w:cs="Arial"/>
          <w:spacing w:val="-1"/>
          <w:sz w:val="20"/>
        </w:rPr>
        <w:t xml:space="preserve"> </w:t>
      </w:r>
      <w:r w:rsidRPr="003F59E3">
        <w:rPr>
          <w:rFonts w:ascii="Arial" w:hAnsi="Arial" w:cs="Arial"/>
          <w:sz w:val="20"/>
        </w:rPr>
        <w:t>rating,</w:t>
      </w:r>
      <w:r w:rsidRPr="003F59E3">
        <w:rPr>
          <w:rFonts w:ascii="Arial" w:hAnsi="Arial" w:cs="Arial"/>
          <w:spacing w:val="-3"/>
          <w:sz w:val="20"/>
        </w:rPr>
        <w:t xml:space="preserve"> </w:t>
      </w:r>
      <w:r w:rsidRPr="003F59E3">
        <w:rPr>
          <w:rFonts w:ascii="Arial" w:hAnsi="Arial" w:cs="Arial"/>
          <w:sz w:val="20"/>
        </w:rPr>
        <w:t>the</w:t>
      </w:r>
      <w:r w:rsidRPr="003F59E3">
        <w:rPr>
          <w:rFonts w:ascii="Arial" w:hAnsi="Arial" w:cs="Arial"/>
          <w:spacing w:val="-1"/>
          <w:sz w:val="20"/>
        </w:rPr>
        <w:t xml:space="preserve"> </w:t>
      </w:r>
      <w:r w:rsidRPr="003F59E3">
        <w:rPr>
          <w:rFonts w:ascii="Arial" w:hAnsi="Arial" w:cs="Arial"/>
          <w:sz w:val="20"/>
        </w:rPr>
        <w:t>applicant</w:t>
      </w:r>
      <w:r w:rsidRPr="003F59E3">
        <w:rPr>
          <w:rFonts w:ascii="Arial" w:hAnsi="Arial" w:cs="Arial"/>
          <w:spacing w:val="-1"/>
          <w:sz w:val="20"/>
        </w:rPr>
        <w:t xml:space="preserve"> </w:t>
      </w:r>
      <w:r w:rsidRPr="003F59E3">
        <w:rPr>
          <w:rFonts w:ascii="Arial" w:hAnsi="Arial" w:cs="Arial"/>
          <w:sz w:val="20"/>
        </w:rPr>
        <w:t>shall:</w:t>
      </w:r>
    </w:p>
    <w:p w14:paraId="0729EA00" w14:textId="77777777" w:rsidR="003F59E3" w:rsidRPr="003F59E3" w:rsidRDefault="003F59E3" w:rsidP="001F5E36">
      <w:pPr>
        <w:pStyle w:val="ListParagraph"/>
        <w:numPr>
          <w:ilvl w:val="1"/>
          <w:numId w:val="209"/>
        </w:numPr>
        <w:tabs>
          <w:tab w:val="left" w:pos="1274"/>
        </w:tabs>
        <w:spacing w:line="276" w:lineRule="auto"/>
        <w:ind w:right="68" w:hanging="568"/>
        <w:jc w:val="both"/>
        <w:rPr>
          <w:rFonts w:ascii="Arial" w:hAnsi="Arial" w:cs="Arial"/>
          <w:sz w:val="20"/>
        </w:rPr>
      </w:pPr>
      <w:r w:rsidRPr="003F59E3">
        <w:rPr>
          <w:rFonts w:ascii="Arial" w:hAnsi="Arial" w:cs="Arial"/>
          <w:sz w:val="20"/>
        </w:rPr>
        <w:t>have privileges</w:t>
      </w:r>
      <w:r w:rsidRPr="003F59E3">
        <w:rPr>
          <w:rFonts w:ascii="Arial" w:hAnsi="Arial" w:cs="Arial"/>
          <w:spacing w:val="-3"/>
          <w:sz w:val="20"/>
        </w:rPr>
        <w:t xml:space="preserve"> </w:t>
      </w:r>
      <w:r w:rsidRPr="003F59E3">
        <w:rPr>
          <w:rFonts w:ascii="Arial" w:hAnsi="Arial" w:cs="Arial"/>
          <w:sz w:val="20"/>
        </w:rPr>
        <w:t>for</w:t>
      </w:r>
      <w:r w:rsidRPr="003F59E3">
        <w:rPr>
          <w:rFonts w:ascii="Arial" w:hAnsi="Arial" w:cs="Arial"/>
          <w:spacing w:val="-4"/>
          <w:sz w:val="20"/>
        </w:rPr>
        <w:t xml:space="preserve"> </w:t>
      </w:r>
      <w:r w:rsidRPr="003F59E3">
        <w:rPr>
          <w:rFonts w:ascii="Arial" w:hAnsi="Arial" w:cs="Arial"/>
          <w:sz w:val="20"/>
        </w:rPr>
        <w:t>the hot-air</w:t>
      </w:r>
      <w:r w:rsidRPr="003F59E3">
        <w:rPr>
          <w:rFonts w:ascii="Arial" w:hAnsi="Arial" w:cs="Arial"/>
          <w:spacing w:val="-2"/>
          <w:sz w:val="20"/>
        </w:rPr>
        <w:t xml:space="preserve"> </w:t>
      </w:r>
      <w:r w:rsidRPr="003F59E3">
        <w:rPr>
          <w:rFonts w:ascii="Arial" w:hAnsi="Arial" w:cs="Arial"/>
          <w:sz w:val="20"/>
        </w:rPr>
        <w:t>balloon</w:t>
      </w:r>
      <w:r w:rsidRPr="003F59E3">
        <w:rPr>
          <w:rFonts w:ascii="Arial" w:hAnsi="Arial" w:cs="Arial"/>
          <w:spacing w:val="-2"/>
          <w:sz w:val="20"/>
        </w:rPr>
        <w:t xml:space="preserve"> </w:t>
      </w:r>
      <w:r w:rsidRPr="003F59E3">
        <w:rPr>
          <w:rFonts w:ascii="Arial" w:hAnsi="Arial" w:cs="Arial"/>
          <w:sz w:val="20"/>
        </w:rPr>
        <w:t>class;</w:t>
      </w:r>
    </w:p>
    <w:p w14:paraId="6E02C283" w14:textId="77777777" w:rsidR="003F59E3" w:rsidRPr="003F59E3" w:rsidRDefault="003F59E3" w:rsidP="001F5E36">
      <w:pPr>
        <w:pStyle w:val="ListParagraph"/>
        <w:numPr>
          <w:ilvl w:val="1"/>
          <w:numId w:val="209"/>
        </w:numPr>
        <w:tabs>
          <w:tab w:val="left" w:pos="1274"/>
        </w:tabs>
        <w:spacing w:line="276" w:lineRule="auto"/>
        <w:ind w:right="68" w:hanging="568"/>
        <w:jc w:val="both"/>
        <w:rPr>
          <w:rFonts w:ascii="Arial" w:hAnsi="Arial" w:cs="Arial"/>
          <w:sz w:val="20"/>
        </w:rPr>
      </w:pPr>
      <w:r w:rsidRPr="003F59E3">
        <w:rPr>
          <w:rFonts w:ascii="Arial" w:hAnsi="Arial" w:cs="Arial"/>
          <w:sz w:val="20"/>
        </w:rPr>
        <w:t>first</w:t>
      </w:r>
      <w:r w:rsidRPr="003F59E3">
        <w:rPr>
          <w:rFonts w:ascii="Arial" w:hAnsi="Arial" w:cs="Arial"/>
          <w:spacing w:val="-1"/>
          <w:sz w:val="20"/>
        </w:rPr>
        <w:t xml:space="preserve"> </w:t>
      </w:r>
      <w:r w:rsidRPr="003F59E3">
        <w:rPr>
          <w:rFonts w:ascii="Arial" w:hAnsi="Arial" w:cs="Arial"/>
          <w:sz w:val="20"/>
        </w:rPr>
        <w:t>complete</w:t>
      </w:r>
      <w:r w:rsidRPr="003F59E3">
        <w:rPr>
          <w:rFonts w:ascii="Arial" w:hAnsi="Arial" w:cs="Arial"/>
          <w:spacing w:val="-4"/>
          <w:sz w:val="20"/>
        </w:rPr>
        <w:t xml:space="preserve"> </w:t>
      </w:r>
      <w:r w:rsidRPr="003F59E3">
        <w:rPr>
          <w:rFonts w:ascii="Arial" w:hAnsi="Arial" w:cs="Arial"/>
          <w:sz w:val="20"/>
        </w:rPr>
        <w:t>at</w:t>
      </w:r>
      <w:r w:rsidRPr="003F59E3">
        <w:rPr>
          <w:rFonts w:ascii="Arial" w:hAnsi="Arial" w:cs="Arial"/>
          <w:spacing w:val="-2"/>
          <w:sz w:val="20"/>
        </w:rPr>
        <w:t xml:space="preserve"> </w:t>
      </w:r>
      <w:r w:rsidRPr="003F59E3">
        <w:rPr>
          <w:rFonts w:ascii="Arial" w:hAnsi="Arial" w:cs="Arial"/>
          <w:sz w:val="20"/>
        </w:rPr>
        <w:t>least</w:t>
      </w:r>
      <w:r w:rsidRPr="003F59E3">
        <w:rPr>
          <w:rFonts w:ascii="Arial" w:hAnsi="Arial" w:cs="Arial"/>
          <w:spacing w:val="-4"/>
          <w:sz w:val="20"/>
        </w:rPr>
        <w:t xml:space="preserve"> </w:t>
      </w:r>
      <w:r w:rsidRPr="003F59E3">
        <w:rPr>
          <w:rFonts w:ascii="Arial" w:hAnsi="Arial" w:cs="Arial"/>
          <w:sz w:val="20"/>
        </w:rPr>
        <w:t>two</w:t>
      </w:r>
      <w:r w:rsidRPr="003F59E3">
        <w:rPr>
          <w:rFonts w:ascii="Arial" w:hAnsi="Arial" w:cs="Arial"/>
          <w:spacing w:val="-3"/>
          <w:sz w:val="20"/>
        </w:rPr>
        <w:t xml:space="preserve"> </w:t>
      </w:r>
      <w:r w:rsidRPr="003F59E3">
        <w:rPr>
          <w:rFonts w:ascii="Arial" w:hAnsi="Arial" w:cs="Arial"/>
          <w:sz w:val="20"/>
        </w:rPr>
        <w:t>tethered</w:t>
      </w:r>
      <w:r w:rsidRPr="003F59E3">
        <w:rPr>
          <w:rFonts w:ascii="Arial" w:hAnsi="Arial" w:cs="Arial"/>
          <w:spacing w:val="-1"/>
          <w:sz w:val="20"/>
        </w:rPr>
        <w:t xml:space="preserve"> </w:t>
      </w:r>
      <w:r w:rsidRPr="003F59E3">
        <w:rPr>
          <w:rFonts w:ascii="Arial" w:hAnsi="Arial" w:cs="Arial"/>
          <w:sz w:val="20"/>
        </w:rPr>
        <w:t>hot-air</w:t>
      </w:r>
      <w:r w:rsidRPr="003F59E3">
        <w:rPr>
          <w:rFonts w:ascii="Arial" w:hAnsi="Arial" w:cs="Arial"/>
          <w:spacing w:val="-2"/>
          <w:sz w:val="20"/>
        </w:rPr>
        <w:t xml:space="preserve"> </w:t>
      </w:r>
      <w:r w:rsidRPr="003F59E3">
        <w:rPr>
          <w:rFonts w:ascii="Arial" w:hAnsi="Arial" w:cs="Arial"/>
          <w:sz w:val="20"/>
        </w:rPr>
        <w:t>balloon</w:t>
      </w:r>
      <w:r w:rsidRPr="003F59E3">
        <w:rPr>
          <w:rFonts w:ascii="Arial" w:hAnsi="Arial" w:cs="Arial"/>
          <w:spacing w:val="-3"/>
          <w:sz w:val="20"/>
        </w:rPr>
        <w:t xml:space="preserve"> </w:t>
      </w:r>
      <w:r w:rsidRPr="003F59E3">
        <w:rPr>
          <w:rFonts w:ascii="Arial" w:hAnsi="Arial" w:cs="Arial"/>
          <w:sz w:val="20"/>
        </w:rPr>
        <w:t>instruction</w:t>
      </w:r>
      <w:r w:rsidRPr="003F59E3">
        <w:rPr>
          <w:rFonts w:ascii="Arial" w:hAnsi="Arial" w:cs="Arial"/>
          <w:spacing w:val="-6"/>
          <w:sz w:val="20"/>
        </w:rPr>
        <w:t xml:space="preserve"> </w:t>
      </w:r>
      <w:r w:rsidRPr="003F59E3">
        <w:rPr>
          <w:rFonts w:ascii="Arial" w:hAnsi="Arial" w:cs="Arial"/>
          <w:sz w:val="20"/>
        </w:rPr>
        <w:t>flights.</w:t>
      </w:r>
    </w:p>
    <w:p w14:paraId="7AED047C" w14:textId="77777777" w:rsidR="003F59E3" w:rsidRPr="003F59E3" w:rsidRDefault="003F59E3" w:rsidP="001F5E36">
      <w:pPr>
        <w:pStyle w:val="ListParagraph"/>
        <w:numPr>
          <w:ilvl w:val="0"/>
          <w:numId w:val="209"/>
        </w:numPr>
        <w:tabs>
          <w:tab w:val="left" w:pos="707"/>
        </w:tabs>
        <w:spacing w:before="118" w:line="276" w:lineRule="auto"/>
        <w:ind w:right="68"/>
        <w:jc w:val="both"/>
        <w:rPr>
          <w:rFonts w:ascii="Arial" w:hAnsi="Arial" w:cs="Arial"/>
          <w:sz w:val="20"/>
        </w:rPr>
      </w:pPr>
      <w:r w:rsidRPr="003F59E3">
        <w:rPr>
          <w:rFonts w:ascii="Arial" w:hAnsi="Arial" w:cs="Arial"/>
          <w:sz w:val="20"/>
        </w:rPr>
        <w:t>The completion of the tethered hot-air balloon training shall be entered in the logbook and</w:t>
      </w:r>
      <w:r w:rsidRPr="003F59E3">
        <w:rPr>
          <w:rFonts w:ascii="Arial" w:hAnsi="Arial" w:cs="Arial"/>
          <w:spacing w:val="1"/>
          <w:sz w:val="20"/>
        </w:rPr>
        <w:t xml:space="preserve"> </w:t>
      </w:r>
      <w:r w:rsidRPr="003F59E3">
        <w:rPr>
          <w:rFonts w:ascii="Arial" w:hAnsi="Arial" w:cs="Arial"/>
          <w:sz w:val="20"/>
        </w:rPr>
        <w:t>signed</w:t>
      </w:r>
      <w:r w:rsidRPr="003F59E3">
        <w:rPr>
          <w:rFonts w:ascii="Arial" w:hAnsi="Arial" w:cs="Arial"/>
          <w:spacing w:val="-1"/>
          <w:sz w:val="20"/>
        </w:rPr>
        <w:t xml:space="preserve"> </w:t>
      </w:r>
      <w:r w:rsidRPr="003F59E3">
        <w:rPr>
          <w:rFonts w:ascii="Arial" w:hAnsi="Arial" w:cs="Arial"/>
          <w:sz w:val="20"/>
        </w:rPr>
        <w:t>by the</w:t>
      </w:r>
      <w:r w:rsidRPr="003F59E3">
        <w:rPr>
          <w:rFonts w:ascii="Arial" w:hAnsi="Arial" w:cs="Arial"/>
          <w:spacing w:val="-3"/>
          <w:sz w:val="20"/>
        </w:rPr>
        <w:t xml:space="preserve"> </w:t>
      </w:r>
      <w:r w:rsidRPr="003F59E3">
        <w:rPr>
          <w:rFonts w:ascii="Arial" w:hAnsi="Arial" w:cs="Arial"/>
          <w:sz w:val="20"/>
        </w:rPr>
        <w:t>FI(B)</w:t>
      </w:r>
      <w:r w:rsidRPr="003F59E3">
        <w:rPr>
          <w:rFonts w:ascii="Arial" w:hAnsi="Arial" w:cs="Arial"/>
          <w:spacing w:val="-3"/>
          <w:sz w:val="20"/>
        </w:rPr>
        <w:t xml:space="preserve"> </w:t>
      </w:r>
      <w:r w:rsidRPr="003F59E3">
        <w:rPr>
          <w:rFonts w:ascii="Arial" w:hAnsi="Arial" w:cs="Arial"/>
          <w:sz w:val="20"/>
        </w:rPr>
        <w:t>who</w:t>
      </w:r>
      <w:r w:rsidRPr="003F59E3">
        <w:rPr>
          <w:rFonts w:ascii="Arial" w:hAnsi="Arial" w:cs="Arial"/>
          <w:spacing w:val="-2"/>
          <w:sz w:val="20"/>
        </w:rPr>
        <w:t xml:space="preserve"> </w:t>
      </w:r>
      <w:r w:rsidRPr="003F59E3">
        <w:rPr>
          <w:rFonts w:ascii="Arial" w:hAnsi="Arial" w:cs="Arial"/>
          <w:sz w:val="20"/>
        </w:rPr>
        <w:t>is responsible for</w:t>
      </w:r>
      <w:r w:rsidRPr="003F59E3">
        <w:rPr>
          <w:rFonts w:ascii="Arial" w:hAnsi="Arial" w:cs="Arial"/>
          <w:spacing w:val="-3"/>
          <w:sz w:val="20"/>
        </w:rPr>
        <w:t xml:space="preserve"> </w:t>
      </w:r>
      <w:r w:rsidRPr="003F59E3">
        <w:rPr>
          <w:rFonts w:ascii="Arial" w:hAnsi="Arial" w:cs="Arial"/>
          <w:sz w:val="20"/>
        </w:rPr>
        <w:t>the</w:t>
      </w:r>
      <w:r w:rsidRPr="003F59E3">
        <w:rPr>
          <w:rFonts w:ascii="Arial" w:hAnsi="Arial" w:cs="Arial"/>
          <w:spacing w:val="-2"/>
          <w:sz w:val="20"/>
        </w:rPr>
        <w:t xml:space="preserve"> </w:t>
      </w:r>
      <w:r w:rsidRPr="003F59E3">
        <w:rPr>
          <w:rFonts w:ascii="Arial" w:hAnsi="Arial" w:cs="Arial"/>
          <w:sz w:val="20"/>
        </w:rPr>
        <w:t>training.</w:t>
      </w:r>
    </w:p>
    <w:p w14:paraId="71D214A3" w14:textId="77777777" w:rsidR="003F59E3" w:rsidRPr="003F59E3" w:rsidRDefault="003F59E3" w:rsidP="001F5E36">
      <w:pPr>
        <w:pStyle w:val="ListParagraph"/>
        <w:numPr>
          <w:ilvl w:val="0"/>
          <w:numId w:val="209"/>
        </w:numPr>
        <w:tabs>
          <w:tab w:val="left" w:pos="707"/>
        </w:tabs>
        <w:spacing w:before="121" w:line="276" w:lineRule="auto"/>
        <w:ind w:right="68"/>
        <w:jc w:val="both"/>
        <w:rPr>
          <w:rFonts w:ascii="Arial" w:hAnsi="Arial" w:cs="Arial"/>
          <w:sz w:val="20"/>
        </w:rPr>
      </w:pPr>
      <w:r w:rsidRPr="003F59E3">
        <w:rPr>
          <w:rFonts w:ascii="Arial" w:hAnsi="Arial" w:cs="Arial"/>
          <w:sz w:val="20"/>
        </w:rPr>
        <w:t>A</w:t>
      </w:r>
      <w:r w:rsidRPr="003F59E3">
        <w:rPr>
          <w:rFonts w:ascii="Arial" w:hAnsi="Arial" w:cs="Arial"/>
          <w:spacing w:val="-2"/>
          <w:sz w:val="20"/>
        </w:rPr>
        <w:t xml:space="preserve"> </w:t>
      </w:r>
      <w:r w:rsidRPr="003F59E3">
        <w:rPr>
          <w:rFonts w:ascii="Arial" w:hAnsi="Arial" w:cs="Arial"/>
          <w:sz w:val="20"/>
        </w:rPr>
        <w:t>pilot</w:t>
      </w:r>
      <w:r w:rsidRPr="003F59E3">
        <w:rPr>
          <w:rFonts w:ascii="Arial" w:hAnsi="Arial" w:cs="Arial"/>
          <w:spacing w:val="-3"/>
          <w:sz w:val="20"/>
        </w:rPr>
        <w:t xml:space="preserve"> </w:t>
      </w:r>
      <w:r w:rsidRPr="003F59E3">
        <w:rPr>
          <w:rFonts w:ascii="Arial" w:hAnsi="Arial" w:cs="Arial"/>
          <w:sz w:val="20"/>
        </w:rPr>
        <w:t>who holds</w:t>
      </w:r>
      <w:r w:rsidRPr="003F59E3">
        <w:rPr>
          <w:rFonts w:ascii="Arial" w:hAnsi="Arial" w:cs="Arial"/>
          <w:spacing w:val="-1"/>
          <w:sz w:val="20"/>
        </w:rPr>
        <w:t xml:space="preserve"> </w:t>
      </w:r>
      <w:r w:rsidRPr="003F59E3">
        <w:rPr>
          <w:rFonts w:ascii="Arial" w:hAnsi="Arial" w:cs="Arial"/>
          <w:sz w:val="20"/>
        </w:rPr>
        <w:t>a</w:t>
      </w:r>
      <w:r w:rsidRPr="003F59E3">
        <w:rPr>
          <w:rFonts w:ascii="Arial" w:hAnsi="Arial" w:cs="Arial"/>
          <w:spacing w:val="-3"/>
          <w:sz w:val="20"/>
        </w:rPr>
        <w:t xml:space="preserve"> </w:t>
      </w:r>
      <w:r w:rsidRPr="003F59E3">
        <w:rPr>
          <w:rFonts w:ascii="Arial" w:hAnsi="Arial" w:cs="Arial"/>
          <w:sz w:val="20"/>
        </w:rPr>
        <w:t>tethered</w:t>
      </w:r>
      <w:r w:rsidRPr="003F59E3">
        <w:rPr>
          <w:rFonts w:ascii="Arial" w:hAnsi="Arial" w:cs="Arial"/>
          <w:spacing w:val="-2"/>
          <w:sz w:val="20"/>
        </w:rPr>
        <w:t xml:space="preserve"> </w:t>
      </w:r>
      <w:r w:rsidRPr="003F59E3">
        <w:rPr>
          <w:rFonts w:ascii="Arial" w:hAnsi="Arial" w:cs="Arial"/>
          <w:sz w:val="20"/>
        </w:rPr>
        <w:t>hot-air</w:t>
      </w:r>
      <w:r w:rsidRPr="003F59E3">
        <w:rPr>
          <w:rFonts w:ascii="Arial" w:hAnsi="Arial" w:cs="Arial"/>
          <w:spacing w:val="-5"/>
          <w:sz w:val="20"/>
        </w:rPr>
        <w:t xml:space="preserve"> </w:t>
      </w:r>
      <w:r w:rsidRPr="003F59E3">
        <w:rPr>
          <w:rFonts w:ascii="Arial" w:hAnsi="Arial" w:cs="Arial"/>
          <w:sz w:val="20"/>
        </w:rPr>
        <w:t>balloon</w:t>
      </w:r>
      <w:r w:rsidRPr="003F59E3">
        <w:rPr>
          <w:rFonts w:ascii="Arial" w:hAnsi="Arial" w:cs="Arial"/>
          <w:spacing w:val="-3"/>
          <w:sz w:val="20"/>
        </w:rPr>
        <w:t xml:space="preserve"> </w:t>
      </w:r>
      <w:r w:rsidRPr="003F59E3">
        <w:rPr>
          <w:rFonts w:ascii="Arial" w:hAnsi="Arial" w:cs="Arial"/>
          <w:sz w:val="20"/>
        </w:rPr>
        <w:t>flight</w:t>
      </w:r>
      <w:r w:rsidRPr="003F59E3">
        <w:rPr>
          <w:rFonts w:ascii="Arial" w:hAnsi="Arial" w:cs="Arial"/>
          <w:spacing w:val="-3"/>
          <w:sz w:val="20"/>
        </w:rPr>
        <w:t xml:space="preserve"> </w:t>
      </w:r>
      <w:r w:rsidRPr="003F59E3">
        <w:rPr>
          <w:rFonts w:ascii="Arial" w:hAnsi="Arial" w:cs="Arial"/>
          <w:sz w:val="20"/>
        </w:rPr>
        <w:t>rating</w:t>
      </w:r>
      <w:r w:rsidRPr="003F59E3">
        <w:rPr>
          <w:rFonts w:ascii="Arial" w:hAnsi="Arial" w:cs="Arial"/>
          <w:spacing w:val="-2"/>
          <w:sz w:val="20"/>
        </w:rPr>
        <w:t xml:space="preserve"> </w:t>
      </w:r>
      <w:r w:rsidRPr="003F59E3">
        <w:rPr>
          <w:rFonts w:ascii="Arial" w:hAnsi="Arial" w:cs="Arial"/>
          <w:sz w:val="20"/>
        </w:rPr>
        <w:t>shall</w:t>
      </w:r>
      <w:r w:rsidRPr="003F59E3">
        <w:rPr>
          <w:rFonts w:ascii="Arial" w:hAnsi="Arial" w:cs="Arial"/>
          <w:spacing w:val="-1"/>
          <w:sz w:val="20"/>
        </w:rPr>
        <w:t xml:space="preserve"> </w:t>
      </w:r>
      <w:r w:rsidRPr="003F59E3">
        <w:rPr>
          <w:rFonts w:ascii="Arial" w:hAnsi="Arial" w:cs="Arial"/>
          <w:sz w:val="20"/>
        </w:rPr>
        <w:t>exercise his</w:t>
      </w:r>
      <w:r w:rsidRPr="003F59E3">
        <w:rPr>
          <w:rFonts w:ascii="Arial" w:hAnsi="Arial" w:cs="Arial"/>
          <w:spacing w:val="-4"/>
          <w:sz w:val="20"/>
        </w:rPr>
        <w:t xml:space="preserve"> </w:t>
      </w:r>
      <w:r w:rsidRPr="003F59E3">
        <w:rPr>
          <w:rFonts w:ascii="Arial" w:hAnsi="Arial" w:cs="Arial"/>
          <w:sz w:val="20"/>
        </w:rPr>
        <w:t>or</w:t>
      </w:r>
      <w:r w:rsidRPr="003F59E3">
        <w:rPr>
          <w:rFonts w:ascii="Arial" w:hAnsi="Arial" w:cs="Arial"/>
          <w:spacing w:val="-4"/>
          <w:sz w:val="20"/>
        </w:rPr>
        <w:t xml:space="preserve"> </w:t>
      </w:r>
      <w:r w:rsidRPr="003F59E3">
        <w:rPr>
          <w:rFonts w:ascii="Arial" w:hAnsi="Arial" w:cs="Arial"/>
          <w:sz w:val="20"/>
        </w:rPr>
        <w:t>her</w:t>
      </w:r>
      <w:r w:rsidRPr="003F59E3">
        <w:rPr>
          <w:rFonts w:ascii="Arial" w:hAnsi="Arial" w:cs="Arial"/>
          <w:spacing w:val="-6"/>
          <w:sz w:val="20"/>
        </w:rPr>
        <w:t xml:space="preserve"> </w:t>
      </w:r>
      <w:r w:rsidRPr="003F59E3">
        <w:rPr>
          <w:rFonts w:ascii="Arial" w:hAnsi="Arial" w:cs="Arial"/>
          <w:sz w:val="20"/>
        </w:rPr>
        <w:t>privileges</w:t>
      </w:r>
      <w:r w:rsidRPr="003F59E3">
        <w:rPr>
          <w:rFonts w:ascii="Arial" w:hAnsi="Arial" w:cs="Arial"/>
          <w:spacing w:val="-4"/>
          <w:sz w:val="20"/>
        </w:rPr>
        <w:t xml:space="preserve"> </w:t>
      </w:r>
      <w:r w:rsidRPr="003F59E3">
        <w:rPr>
          <w:rFonts w:ascii="Arial" w:hAnsi="Arial" w:cs="Arial"/>
          <w:sz w:val="20"/>
        </w:rPr>
        <w:t>only</w:t>
      </w:r>
      <w:r w:rsidRPr="003F59E3">
        <w:rPr>
          <w:rFonts w:ascii="Arial" w:hAnsi="Arial" w:cs="Arial"/>
          <w:spacing w:val="-47"/>
          <w:sz w:val="20"/>
        </w:rPr>
        <w:t xml:space="preserve"> </w:t>
      </w:r>
      <w:r w:rsidRPr="003F59E3">
        <w:rPr>
          <w:rFonts w:ascii="Arial" w:hAnsi="Arial" w:cs="Arial"/>
          <w:sz w:val="20"/>
        </w:rPr>
        <w:t>if he or she has completed at least one tethered hot-air balloon flight during the 48 months</w:t>
      </w:r>
      <w:r w:rsidRPr="003F59E3">
        <w:rPr>
          <w:rFonts w:ascii="Arial" w:hAnsi="Arial" w:cs="Arial"/>
          <w:spacing w:val="1"/>
          <w:sz w:val="20"/>
        </w:rPr>
        <w:t xml:space="preserve"> </w:t>
      </w:r>
      <w:r w:rsidRPr="003F59E3">
        <w:rPr>
          <w:rFonts w:ascii="Arial" w:hAnsi="Arial" w:cs="Arial"/>
          <w:sz w:val="20"/>
        </w:rPr>
        <w:t>preceding the planned flight, or, if he or she has not performed such a flight, the pilot shall</w:t>
      </w:r>
      <w:r w:rsidRPr="003F59E3">
        <w:rPr>
          <w:rFonts w:ascii="Arial" w:hAnsi="Arial" w:cs="Arial"/>
          <w:spacing w:val="1"/>
          <w:sz w:val="20"/>
        </w:rPr>
        <w:t xml:space="preserve"> </w:t>
      </w:r>
      <w:r w:rsidRPr="003F59E3">
        <w:rPr>
          <w:rFonts w:ascii="Arial" w:hAnsi="Arial" w:cs="Arial"/>
          <w:sz w:val="20"/>
        </w:rPr>
        <w:t>exercise</w:t>
      </w:r>
      <w:r w:rsidRPr="003F59E3">
        <w:rPr>
          <w:rFonts w:ascii="Arial" w:hAnsi="Arial" w:cs="Arial"/>
          <w:spacing w:val="-3"/>
          <w:sz w:val="20"/>
        </w:rPr>
        <w:t xml:space="preserve"> </w:t>
      </w:r>
      <w:r w:rsidRPr="003F59E3">
        <w:rPr>
          <w:rFonts w:ascii="Arial" w:hAnsi="Arial" w:cs="Arial"/>
          <w:sz w:val="20"/>
        </w:rPr>
        <w:t>his</w:t>
      </w:r>
      <w:r w:rsidRPr="003F59E3">
        <w:rPr>
          <w:rFonts w:ascii="Arial" w:hAnsi="Arial" w:cs="Arial"/>
          <w:spacing w:val="-3"/>
          <w:sz w:val="20"/>
        </w:rPr>
        <w:t xml:space="preserve"> </w:t>
      </w:r>
      <w:r w:rsidRPr="003F59E3">
        <w:rPr>
          <w:rFonts w:ascii="Arial" w:hAnsi="Arial" w:cs="Arial"/>
          <w:sz w:val="20"/>
        </w:rPr>
        <w:t>or</w:t>
      </w:r>
      <w:r w:rsidRPr="003F59E3">
        <w:rPr>
          <w:rFonts w:ascii="Arial" w:hAnsi="Arial" w:cs="Arial"/>
          <w:spacing w:val="-3"/>
          <w:sz w:val="20"/>
        </w:rPr>
        <w:t xml:space="preserve"> </w:t>
      </w:r>
      <w:r w:rsidRPr="003F59E3">
        <w:rPr>
          <w:rFonts w:ascii="Arial" w:hAnsi="Arial" w:cs="Arial"/>
          <w:sz w:val="20"/>
        </w:rPr>
        <w:t>her</w:t>
      </w:r>
      <w:r w:rsidRPr="003F59E3">
        <w:rPr>
          <w:rFonts w:ascii="Arial" w:hAnsi="Arial" w:cs="Arial"/>
          <w:spacing w:val="-3"/>
          <w:sz w:val="20"/>
        </w:rPr>
        <w:t xml:space="preserve"> </w:t>
      </w:r>
      <w:r w:rsidRPr="003F59E3">
        <w:rPr>
          <w:rFonts w:ascii="Arial" w:hAnsi="Arial" w:cs="Arial"/>
          <w:sz w:val="20"/>
        </w:rPr>
        <w:t>privileges</w:t>
      </w:r>
      <w:r w:rsidRPr="003F59E3">
        <w:rPr>
          <w:rFonts w:ascii="Arial" w:hAnsi="Arial" w:cs="Arial"/>
          <w:spacing w:val="-3"/>
          <w:sz w:val="20"/>
        </w:rPr>
        <w:t xml:space="preserve"> </w:t>
      </w:r>
      <w:r w:rsidRPr="003F59E3">
        <w:rPr>
          <w:rFonts w:ascii="Arial" w:hAnsi="Arial" w:cs="Arial"/>
          <w:sz w:val="20"/>
        </w:rPr>
        <w:t>if</w:t>
      </w:r>
      <w:r w:rsidRPr="003F59E3">
        <w:rPr>
          <w:rFonts w:ascii="Arial" w:hAnsi="Arial" w:cs="Arial"/>
          <w:spacing w:val="-4"/>
          <w:sz w:val="20"/>
        </w:rPr>
        <w:t xml:space="preserve"> </w:t>
      </w:r>
      <w:r w:rsidRPr="003F59E3">
        <w:rPr>
          <w:rFonts w:ascii="Arial" w:hAnsi="Arial" w:cs="Arial"/>
          <w:sz w:val="20"/>
        </w:rPr>
        <w:t>they</w:t>
      </w:r>
      <w:r w:rsidRPr="003F59E3">
        <w:rPr>
          <w:rFonts w:ascii="Arial" w:hAnsi="Arial" w:cs="Arial"/>
          <w:spacing w:val="-3"/>
          <w:sz w:val="20"/>
        </w:rPr>
        <w:t xml:space="preserve"> </w:t>
      </w:r>
      <w:r w:rsidRPr="003F59E3">
        <w:rPr>
          <w:rFonts w:ascii="Arial" w:hAnsi="Arial" w:cs="Arial"/>
          <w:sz w:val="20"/>
        </w:rPr>
        <w:t>have</w:t>
      </w:r>
      <w:r w:rsidRPr="003F59E3">
        <w:rPr>
          <w:rFonts w:ascii="Arial" w:hAnsi="Arial" w:cs="Arial"/>
          <w:spacing w:val="-3"/>
          <w:sz w:val="20"/>
        </w:rPr>
        <w:t xml:space="preserve"> </w:t>
      </w:r>
      <w:r w:rsidRPr="003F59E3">
        <w:rPr>
          <w:rFonts w:ascii="Arial" w:hAnsi="Arial" w:cs="Arial"/>
          <w:sz w:val="20"/>
        </w:rPr>
        <w:t>performed</w:t>
      </w:r>
      <w:r w:rsidRPr="003F59E3">
        <w:rPr>
          <w:rFonts w:ascii="Arial" w:hAnsi="Arial" w:cs="Arial"/>
          <w:spacing w:val="-3"/>
          <w:sz w:val="20"/>
        </w:rPr>
        <w:t xml:space="preserve"> </w:t>
      </w:r>
      <w:r w:rsidRPr="003F59E3">
        <w:rPr>
          <w:rFonts w:ascii="Arial" w:hAnsi="Arial" w:cs="Arial"/>
          <w:sz w:val="20"/>
        </w:rPr>
        <w:t>a</w:t>
      </w:r>
      <w:r w:rsidRPr="003F59E3">
        <w:rPr>
          <w:rFonts w:ascii="Arial" w:hAnsi="Arial" w:cs="Arial"/>
          <w:spacing w:val="-3"/>
          <w:sz w:val="20"/>
        </w:rPr>
        <w:t xml:space="preserve"> </w:t>
      </w:r>
      <w:r w:rsidRPr="003F59E3">
        <w:rPr>
          <w:rFonts w:ascii="Arial" w:hAnsi="Arial" w:cs="Arial"/>
          <w:sz w:val="20"/>
        </w:rPr>
        <w:t>tethered</w:t>
      </w:r>
      <w:r w:rsidRPr="003F59E3">
        <w:rPr>
          <w:rFonts w:ascii="Arial" w:hAnsi="Arial" w:cs="Arial"/>
          <w:spacing w:val="-3"/>
          <w:sz w:val="20"/>
        </w:rPr>
        <w:t xml:space="preserve"> </w:t>
      </w:r>
      <w:r w:rsidRPr="003F59E3">
        <w:rPr>
          <w:rFonts w:ascii="Arial" w:hAnsi="Arial" w:cs="Arial"/>
          <w:sz w:val="20"/>
        </w:rPr>
        <w:t>hot-air</w:t>
      </w:r>
      <w:r w:rsidRPr="003F59E3">
        <w:rPr>
          <w:rFonts w:ascii="Arial" w:hAnsi="Arial" w:cs="Arial"/>
          <w:spacing w:val="-4"/>
          <w:sz w:val="20"/>
        </w:rPr>
        <w:t xml:space="preserve"> </w:t>
      </w:r>
      <w:r w:rsidRPr="003F59E3">
        <w:rPr>
          <w:rFonts w:ascii="Arial" w:hAnsi="Arial" w:cs="Arial"/>
          <w:sz w:val="20"/>
        </w:rPr>
        <w:t>balloon</w:t>
      </w:r>
      <w:r w:rsidRPr="003F59E3">
        <w:rPr>
          <w:rFonts w:ascii="Arial" w:hAnsi="Arial" w:cs="Arial"/>
          <w:spacing w:val="-4"/>
          <w:sz w:val="20"/>
        </w:rPr>
        <w:t xml:space="preserve"> </w:t>
      </w:r>
      <w:r w:rsidRPr="003F59E3">
        <w:rPr>
          <w:rFonts w:ascii="Arial" w:hAnsi="Arial" w:cs="Arial"/>
          <w:sz w:val="20"/>
        </w:rPr>
        <w:t>flight</w:t>
      </w:r>
      <w:r w:rsidRPr="003F59E3">
        <w:rPr>
          <w:rFonts w:ascii="Arial" w:hAnsi="Arial" w:cs="Arial"/>
          <w:spacing w:val="-3"/>
          <w:sz w:val="20"/>
        </w:rPr>
        <w:t xml:space="preserve"> </w:t>
      </w:r>
      <w:r w:rsidRPr="003F59E3">
        <w:rPr>
          <w:rFonts w:ascii="Arial" w:hAnsi="Arial" w:cs="Arial"/>
          <w:sz w:val="20"/>
        </w:rPr>
        <w:t>flying</w:t>
      </w:r>
      <w:r w:rsidRPr="003F59E3">
        <w:rPr>
          <w:rFonts w:ascii="Arial" w:hAnsi="Arial" w:cs="Arial"/>
          <w:spacing w:val="-4"/>
          <w:sz w:val="20"/>
        </w:rPr>
        <w:t xml:space="preserve"> </w:t>
      </w:r>
      <w:r w:rsidRPr="003F59E3">
        <w:rPr>
          <w:rFonts w:ascii="Arial" w:hAnsi="Arial" w:cs="Arial"/>
          <w:sz w:val="20"/>
        </w:rPr>
        <w:t>dual</w:t>
      </w:r>
      <w:r w:rsidRPr="003F59E3">
        <w:rPr>
          <w:rFonts w:ascii="Arial" w:hAnsi="Arial" w:cs="Arial"/>
          <w:spacing w:val="-47"/>
          <w:sz w:val="20"/>
        </w:rPr>
        <w:t xml:space="preserve"> </w:t>
      </w:r>
      <w:r w:rsidRPr="003F59E3">
        <w:rPr>
          <w:rFonts w:ascii="Arial" w:hAnsi="Arial" w:cs="Arial"/>
          <w:sz w:val="20"/>
        </w:rPr>
        <w:t>or solo under the supervision of an FI(B). The completion of such dual or solo flight under</w:t>
      </w:r>
      <w:r w:rsidRPr="003F59E3">
        <w:rPr>
          <w:rFonts w:ascii="Arial" w:hAnsi="Arial" w:cs="Arial"/>
          <w:spacing w:val="1"/>
          <w:sz w:val="20"/>
        </w:rPr>
        <w:t xml:space="preserve"> </w:t>
      </w:r>
      <w:r w:rsidRPr="003F59E3">
        <w:rPr>
          <w:rFonts w:ascii="Arial" w:hAnsi="Arial" w:cs="Arial"/>
          <w:sz w:val="20"/>
        </w:rPr>
        <w:t>supervision</w:t>
      </w:r>
      <w:r w:rsidRPr="003F59E3">
        <w:rPr>
          <w:rFonts w:ascii="Arial" w:hAnsi="Arial" w:cs="Arial"/>
          <w:spacing w:val="-2"/>
          <w:sz w:val="20"/>
        </w:rPr>
        <w:t xml:space="preserve"> </w:t>
      </w:r>
      <w:r w:rsidRPr="003F59E3">
        <w:rPr>
          <w:rFonts w:ascii="Arial" w:hAnsi="Arial" w:cs="Arial"/>
          <w:sz w:val="20"/>
        </w:rPr>
        <w:t>shall</w:t>
      </w:r>
      <w:r w:rsidRPr="003F59E3">
        <w:rPr>
          <w:rFonts w:ascii="Arial" w:hAnsi="Arial" w:cs="Arial"/>
          <w:spacing w:val="-1"/>
          <w:sz w:val="20"/>
        </w:rPr>
        <w:t xml:space="preserve"> </w:t>
      </w:r>
      <w:r w:rsidRPr="003F59E3">
        <w:rPr>
          <w:rFonts w:ascii="Arial" w:hAnsi="Arial" w:cs="Arial"/>
          <w:sz w:val="20"/>
        </w:rPr>
        <w:t>be</w:t>
      </w:r>
      <w:r w:rsidRPr="003F59E3">
        <w:rPr>
          <w:rFonts w:ascii="Arial" w:hAnsi="Arial" w:cs="Arial"/>
          <w:spacing w:val="-2"/>
          <w:sz w:val="20"/>
        </w:rPr>
        <w:t xml:space="preserve"> </w:t>
      </w:r>
      <w:r w:rsidRPr="003F59E3">
        <w:rPr>
          <w:rFonts w:ascii="Arial" w:hAnsi="Arial" w:cs="Arial"/>
          <w:sz w:val="20"/>
        </w:rPr>
        <w:t>entered</w:t>
      </w:r>
      <w:r w:rsidRPr="003F59E3">
        <w:rPr>
          <w:rFonts w:ascii="Arial" w:hAnsi="Arial" w:cs="Arial"/>
          <w:spacing w:val="-2"/>
          <w:sz w:val="20"/>
        </w:rPr>
        <w:t xml:space="preserve"> </w:t>
      </w:r>
      <w:r w:rsidRPr="003F59E3">
        <w:rPr>
          <w:rFonts w:ascii="Arial" w:hAnsi="Arial" w:cs="Arial"/>
          <w:sz w:val="20"/>
        </w:rPr>
        <w:t>in the pilots logbook</w:t>
      </w:r>
      <w:r w:rsidRPr="003F59E3">
        <w:rPr>
          <w:rFonts w:ascii="Arial" w:hAnsi="Arial" w:cs="Arial"/>
          <w:spacing w:val="1"/>
          <w:sz w:val="20"/>
        </w:rPr>
        <w:t xml:space="preserve"> </w:t>
      </w:r>
      <w:r w:rsidRPr="003F59E3">
        <w:rPr>
          <w:rFonts w:ascii="Arial" w:hAnsi="Arial" w:cs="Arial"/>
          <w:sz w:val="20"/>
        </w:rPr>
        <w:t>and</w:t>
      </w:r>
      <w:r w:rsidRPr="003F59E3">
        <w:rPr>
          <w:rFonts w:ascii="Arial" w:hAnsi="Arial" w:cs="Arial"/>
          <w:spacing w:val="-3"/>
          <w:sz w:val="20"/>
        </w:rPr>
        <w:t xml:space="preserve"> </w:t>
      </w:r>
      <w:r w:rsidRPr="003F59E3">
        <w:rPr>
          <w:rFonts w:ascii="Arial" w:hAnsi="Arial" w:cs="Arial"/>
          <w:sz w:val="20"/>
        </w:rPr>
        <w:t>signed by</w:t>
      </w:r>
      <w:r w:rsidRPr="003F59E3">
        <w:rPr>
          <w:rFonts w:ascii="Arial" w:hAnsi="Arial" w:cs="Arial"/>
          <w:spacing w:val="-1"/>
          <w:sz w:val="20"/>
        </w:rPr>
        <w:t xml:space="preserve"> </w:t>
      </w:r>
      <w:r w:rsidRPr="003F59E3">
        <w:rPr>
          <w:rFonts w:ascii="Arial" w:hAnsi="Arial" w:cs="Arial"/>
          <w:sz w:val="20"/>
        </w:rPr>
        <w:t>the</w:t>
      </w:r>
      <w:r w:rsidRPr="003F59E3">
        <w:rPr>
          <w:rFonts w:ascii="Arial" w:hAnsi="Arial" w:cs="Arial"/>
          <w:spacing w:val="-3"/>
          <w:sz w:val="20"/>
        </w:rPr>
        <w:t xml:space="preserve"> </w:t>
      </w:r>
      <w:r w:rsidRPr="003F59E3">
        <w:rPr>
          <w:rFonts w:ascii="Arial" w:hAnsi="Arial" w:cs="Arial"/>
          <w:sz w:val="20"/>
        </w:rPr>
        <w:t>FI(B).</w:t>
      </w:r>
    </w:p>
    <w:p w14:paraId="236E9A57" w14:textId="77777777" w:rsidR="00A727CA" w:rsidRPr="00A727CA" w:rsidRDefault="00A727CA" w:rsidP="00A727CA">
      <w:pPr>
        <w:keepNext/>
        <w:keepLines/>
        <w:widowControl/>
        <w:shd w:val="clear" w:color="auto" w:fill="339966"/>
        <w:autoSpaceDE/>
        <w:autoSpaceDN/>
        <w:spacing w:before="160" w:after="120" w:line="259" w:lineRule="auto"/>
        <w:outlineLvl w:val="4"/>
        <w:rPr>
          <w:rFonts w:ascii="Arial" w:eastAsia="Times New Roman" w:hAnsi="Arial" w:cs="Times New Roman"/>
          <w:b/>
          <w:color w:val="FFFFFF"/>
          <w:sz w:val="24"/>
        </w:rPr>
      </w:pPr>
      <w:bookmarkStart w:id="666" w:name="GM1_BFCL.200__Tethered_hot-air_balloon_f"/>
      <w:bookmarkStart w:id="667" w:name="_bookmark268"/>
      <w:bookmarkStart w:id="668" w:name="_Toc153137433"/>
      <w:bookmarkEnd w:id="666"/>
      <w:bookmarkEnd w:id="667"/>
      <w:r w:rsidRPr="00A727CA">
        <w:rPr>
          <w:rFonts w:ascii="Arial" w:eastAsia="Times New Roman" w:hAnsi="Arial" w:cs="Times New Roman"/>
          <w:b/>
          <w:color w:val="FFFFFF"/>
          <w:sz w:val="24"/>
        </w:rPr>
        <w:t>GM1 BFCL.200 Tethered hot-air balloon flight rating</w:t>
      </w:r>
      <w:bookmarkEnd w:id="668"/>
    </w:p>
    <w:p w14:paraId="6523CF73" w14:textId="77777777" w:rsidR="00A727CA" w:rsidRPr="00A727CA" w:rsidRDefault="00A727CA" w:rsidP="00A727CA">
      <w:pPr>
        <w:widowControl/>
        <w:autoSpaceDE/>
        <w:autoSpaceDN/>
        <w:spacing w:before="240" w:after="160" w:line="264" w:lineRule="auto"/>
        <w:jc w:val="both"/>
        <w:rPr>
          <w:rFonts w:ascii="Arial" w:eastAsiaTheme="minorHAnsi" w:hAnsi="Arial" w:cs="Arial"/>
          <w:b/>
          <w:bCs/>
          <w:sz w:val="20"/>
          <w:szCs w:val="20"/>
        </w:rPr>
      </w:pPr>
      <w:r w:rsidRPr="00A727CA">
        <w:rPr>
          <w:rFonts w:ascii="Arial" w:eastAsiaTheme="minorHAnsi" w:hAnsi="Arial" w:cs="Arial"/>
          <w:b/>
          <w:bCs/>
          <w:sz w:val="20"/>
          <w:szCs w:val="20"/>
        </w:rPr>
        <w:t>TETHERED ACTIVITY WITHOUT TAKING OFF</w:t>
      </w:r>
    </w:p>
    <w:p w14:paraId="29DA526F" w14:textId="77777777" w:rsidR="00A727CA" w:rsidRPr="00A727CA" w:rsidRDefault="00A727CA" w:rsidP="00A727CA">
      <w:pPr>
        <w:pStyle w:val="BodyText"/>
        <w:spacing w:before="116"/>
        <w:ind w:right="194"/>
        <w:jc w:val="both"/>
        <w:rPr>
          <w:rFonts w:ascii="Arial" w:hAnsi="Arial" w:cs="Arial"/>
          <w:sz w:val="20"/>
        </w:rPr>
      </w:pPr>
      <w:r w:rsidRPr="00A727CA">
        <w:rPr>
          <w:rFonts w:ascii="Arial" w:hAnsi="Arial" w:cs="Arial"/>
          <w:sz w:val="20"/>
        </w:rPr>
        <w:t>A tethered activity where the balloon does not leave the ground is not considered a flight. Such an</w:t>
      </w:r>
      <w:r w:rsidRPr="00A727CA">
        <w:rPr>
          <w:rFonts w:ascii="Arial" w:hAnsi="Arial" w:cs="Arial"/>
          <w:spacing w:val="1"/>
          <w:sz w:val="20"/>
        </w:rPr>
        <w:t xml:space="preserve"> </w:t>
      </w:r>
      <w:r w:rsidRPr="00A727CA">
        <w:rPr>
          <w:rFonts w:ascii="Arial" w:hAnsi="Arial" w:cs="Arial"/>
          <w:sz w:val="20"/>
        </w:rPr>
        <w:t>activity is not eligible to count for initial training or recency for the tethered hot-air balloon flight</w:t>
      </w:r>
      <w:r w:rsidRPr="00A727CA">
        <w:rPr>
          <w:rFonts w:ascii="Arial" w:hAnsi="Arial" w:cs="Arial"/>
          <w:spacing w:val="1"/>
          <w:sz w:val="20"/>
        </w:rPr>
        <w:t xml:space="preserve"> </w:t>
      </w:r>
      <w:r w:rsidRPr="00A727CA">
        <w:rPr>
          <w:rFonts w:ascii="Arial" w:hAnsi="Arial" w:cs="Arial"/>
          <w:sz w:val="20"/>
        </w:rPr>
        <w:t>rating.</w:t>
      </w:r>
    </w:p>
    <w:p w14:paraId="37993621" w14:textId="77777777" w:rsidR="0075753F" w:rsidRPr="0075753F" w:rsidRDefault="0075753F" w:rsidP="0075753F">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669" w:name="AMC1_BFCL.200(b)(2)__Tethered_hot-air_ba"/>
      <w:bookmarkStart w:id="670" w:name="_bookmark269"/>
      <w:bookmarkStart w:id="671" w:name="_Toc153137434"/>
      <w:bookmarkEnd w:id="669"/>
      <w:bookmarkEnd w:id="670"/>
      <w:r w:rsidRPr="0075753F">
        <w:rPr>
          <w:rFonts w:ascii="Arial" w:eastAsia="Times New Roman" w:hAnsi="Arial" w:cs="Times New Roman"/>
          <w:b/>
          <w:color w:val="FFFFFF"/>
          <w:sz w:val="24"/>
        </w:rPr>
        <w:t>AMC1 BFCL.200(b)(2) Tethered hot-air balloon flight rating</w:t>
      </w:r>
      <w:bookmarkEnd w:id="671"/>
    </w:p>
    <w:p w14:paraId="0BBE669C" w14:textId="77777777" w:rsidR="0075753F" w:rsidRPr="0075753F" w:rsidRDefault="0075753F" w:rsidP="0075753F">
      <w:pPr>
        <w:widowControl/>
        <w:autoSpaceDE/>
        <w:autoSpaceDN/>
        <w:spacing w:before="240" w:after="160" w:line="264" w:lineRule="auto"/>
        <w:jc w:val="both"/>
        <w:rPr>
          <w:rFonts w:ascii="Arial" w:eastAsiaTheme="minorHAnsi" w:hAnsi="Arial" w:cs="Arial"/>
          <w:b/>
          <w:bCs/>
          <w:sz w:val="20"/>
          <w:szCs w:val="20"/>
        </w:rPr>
      </w:pPr>
      <w:r w:rsidRPr="0075753F">
        <w:rPr>
          <w:rFonts w:ascii="Arial" w:eastAsiaTheme="minorHAnsi" w:hAnsi="Arial" w:cs="Arial"/>
          <w:b/>
          <w:bCs/>
          <w:sz w:val="20"/>
          <w:szCs w:val="20"/>
        </w:rPr>
        <w:t>FLIGHT INSTRUCTION FOR THE HOT-AIR BALLOON TETHERED FLIGHT RATING</w:t>
      </w:r>
    </w:p>
    <w:p w14:paraId="22732140" w14:textId="77777777" w:rsidR="0075753F" w:rsidRPr="00761B98" w:rsidRDefault="0075753F" w:rsidP="00761B98">
      <w:pPr>
        <w:pStyle w:val="BodyText"/>
        <w:spacing w:before="118"/>
        <w:jc w:val="both"/>
        <w:rPr>
          <w:rFonts w:ascii="Arial" w:hAnsi="Arial" w:cs="Arial"/>
          <w:sz w:val="20"/>
          <w:szCs w:val="20"/>
        </w:rPr>
      </w:pPr>
      <w:r w:rsidRPr="00761B98">
        <w:rPr>
          <w:rFonts w:ascii="Arial" w:hAnsi="Arial" w:cs="Arial"/>
          <w:sz w:val="20"/>
          <w:szCs w:val="20"/>
        </w:rPr>
        <w:t>The</w:t>
      </w:r>
      <w:r w:rsidRPr="00761B98">
        <w:rPr>
          <w:rFonts w:ascii="Arial" w:hAnsi="Arial" w:cs="Arial"/>
          <w:spacing w:val="-3"/>
          <w:sz w:val="20"/>
          <w:szCs w:val="20"/>
        </w:rPr>
        <w:t xml:space="preserve"> </w:t>
      </w:r>
      <w:r w:rsidRPr="00761B98">
        <w:rPr>
          <w:rFonts w:ascii="Arial" w:hAnsi="Arial" w:cs="Arial"/>
          <w:sz w:val="20"/>
          <w:szCs w:val="20"/>
        </w:rPr>
        <w:t>instruction</w:t>
      </w:r>
      <w:r w:rsidRPr="00761B98">
        <w:rPr>
          <w:rFonts w:ascii="Arial" w:hAnsi="Arial" w:cs="Arial"/>
          <w:spacing w:val="-3"/>
          <w:sz w:val="20"/>
          <w:szCs w:val="20"/>
        </w:rPr>
        <w:t xml:space="preserve"> </w:t>
      </w:r>
      <w:r w:rsidRPr="00761B98">
        <w:rPr>
          <w:rFonts w:ascii="Arial" w:hAnsi="Arial" w:cs="Arial"/>
          <w:sz w:val="20"/>
          <w:szCs w:val="20"/>
        </w:rPr>
        <w:t>flights</w:t>
      </w:r>
      <w:r w:rsidRPr="00761B98">
        <w:rPr>
          <w:rFonts w:ascii="Arial" w:hAnsi="Arial" w:cs="Arial"/>
          <w:spacing w:val="-4"/>
          <w:sz w:val="20"/>
          <w:szCs w:val="20"/>
        </w:rPr>
        <w:t xml:space="preserve"> </w:t>
      </w:r>
      <w:r w:rsidRPr="00761B98">
        <w:rPr>
          <w:rFonts w:ascii="Arial" w:hAnsi="Arial" w:cs="Arial"/>
          <w:sz w:val="20"/>
          <w:szCs w:val="20"/>
        </w:rPr>
        <w:t>should</w:t>
      </w:r>
      <w:r w:rsidRPr="00761B98">
        <w:rPr>
          <w:rFonts w:ascii="Arial" w:hAnsi="Arial" w:cs="Arial"/>
          <w:spacing w:val="-3"/>
          <w:sz w:val="20"/>
          <w:szCs w:val="20"/>
        </w:rPr>
        <w:t xml:space="preserve"> </w:t>
      </w:r>
      <w:r w:rsidRPr="00761B98">
        <w:rPr>
          <w:rFonts w:ascii="Arial" w:hAnsi="Arial" w:cs="Arial"/>
          <w:sz w:val="20"/>
          <w:szCs w:val="20"/>
        </w:rPr>
        <w:t>cover</w:t>
      </w:r>
      <w:r w:rsidRPr="00761B98">
        <w:rPr>
          <w:rFonts w:ascii="Arial" w:hAnsi="Arial" w:cs="Arial"/>
          <w:spacing w:val="-4"/>
          <w:sz w:val="20"/>
          <w:szCs w:val="20"/>
        </w:rPr>
        <w:t xml:space="preserve"> </w:t>
      </w:r>
      <w:r w:rsidRPr="00761B98">
        <w:rPr>
          <w:rFonts w:ascii="Arial" w:hAnsi="Arial" w:cs="Arial"/>
          <w:sz w:val="20"/>
          <w:szCs w:val="20"/>
        </w:rPr>
        <w:t>the</w:t>
      </w:r>
      <w:r w:rsidRPr="00761B98">
        <w:rPr>
          <w:rFonts w:ascii="Arial" w:hAnsi="Arial" w:cs="Arial"/>
          <w:spacing w:val="-2"/>
          <w:sz w:val="20"/>
          <w:szCs w:val="20"/>
        </w:rPr>
        <w:t xml:space="preserve"> </w:t>
      </w:r>
      <w:r w:rsidRPr="00761B98">
        <w:rPr>
          <w:rFonts w:ascii="Arial" w:hAnsi="Arial" w:cs="Arial"/>
          <w:sz w:val="20"/>
          <w:szCs w:val="20"/>
        </w:rPr>
        <w:t>following</w:t>
      </w:r>
      <w:r w:rsidRPr="00761B98">
        <w:rPr>
          <w:rFonts w:ascii="Arial" w:hAnsi="Arial" w:cs="Arial"/>
          <w:spacing w:val="-4"/>
          <w:sz w:val="20"/>
          <w:szCs w:val="20"/>
        </w:rPr>
        <w:t xml:space="preserve"> </w:t>
      </w:r>
      <w:r w:rsidRPr="00761B98">
        <w:rPr>
          <w:rFonts w:ascii="Arial" w:hAnsi="Arial" w:cs="Arial"/>
          <w:sz w:val="20"/>
          <w:szCs w:val="20"/>
        </w:rPr>
        <w:t>training</w:t>
      </w:r>
      <w:r w:rsidRPr="00761B98">
        <w:rPr>
          <w:rFonts w:ascii="Arial" w:hAnsi="Arial" w:cs="Arial"/>
          <w:spacing w:val="-3"/>
          <w:sz w:val="20"/>
          <w:szCs w:val="20"/>
        </w:rPr>
        <w:t xml:space="preserve"> </w:t>
      </w:r>
      <w:r w:rsidRPr="00761B98">
        <w:rPr>
          <w:rFonts w:ascii="Arial" w:hAnsi="Arial" w:cs="Arial"/>
          <w:sz w:val="20"/>
          <w:szCs w:val="20"/>
        </w:rPr>
        <w:t>items:</w:t>
      </w:r>
    </w:p>
    <w:p w14:paraId="35CF5F08" w14:textId="77777777" w:rsidR="0075753F" w:rsidRPr="00761B98" w:rsidRDefault="0075753F" w:rsidP="00761B98">
      <w:pPr>
        <w:pStyle w:val="ListParagraph"/>
        <w:numPr>
          <w:ilvl w:val="0"/>
          <w:numId w:val="210"/>
        </w:numPr>
        <w:tabs>
          <w:tab w:val="left" w:pos="706"/>
          <w:tab w:val="left" w:pos="707"/>
        </w:tabs>
        <w:ind w:left="705"/>
        <w:jc w:val="both"/>
        <w:rPr>
          <w:rFonts w:ascii="Arial" w:hAnsi="Arial" w:cs="Arial"/>
          <w:sz w:val="20"/>
          <w:szCs w:val="20"/>
        </w:rPr>
      </w:pPr>
      <w:r w:rsidRPr="00761B98">
        <w:rPr>
          <w:rFonts w:ascii="Arial" w:hAnsi="Arial" w:cs="Arial"/>
          <w:sz w:val="20"/>
          <w:szCs w:val="20"/>
        </w:rPr>
        <w:t>ground</w:t>
      </w:r>
      <w:r w:rsidRPr="00761B98">
        <w:rPr>
          <w:rFonts w:ascii="Arial" w:hAnsi="Arial" w:cs="Arial"/>
          <w:spacing w:val="-4"/>
          <w:sz w:val="20"/>
          <w:szCs w:val="20"/>
        </w:rPr>
        <w:t xml:space="preserve"> </w:t>
      </w:r>
      <w:r w:rsidRPr="00761B98">
        <w:rPr>
          <w:rFonts w:ascii="Arial" w:hAnsi="Arial" w:cs="Arial"/>
          <w:sz w:val="20"/>
          <w:szCs w:val="20"/>
        </w:rPr>
        <w:t>preparations;</w:t>
      </w:r>
    </w:p>
    <w:p w14:paraId="6F7D7405" w14:textId="77777777" w:rsidR="0075753F" w:rsidRPr="00761B98" w:rsidRDefault="0075753F" w:rsidP="00761B98">
      <w:pPr>
        <w:pStyle w:val="ListParagraph"/>
        <w:numPr>
          <w:ilvl w:val="0"/>
          <w:numId w:val="210"/>
        </w:numPr>
        <w:tabs>
          <w:tab w:val="left" w:pos="706"/>
          <w:tab w:val="left" w:pos="707"/>
        </w:tabs>
        <w:spacing w:before="121"/>
        <w:ind w:left="705"/>
        <w:jc w:val="both"/>
        <w:rPr>
          <w:rFonts w:ascii="Arial" w:hAnsi="Arial" w:cs="Arial"/>
          <w:sz w:val="20"/>
          <w:szCs w:val="20"/>
        </w:rPr>
      </w:pPr>
      <w:r w:rsidRPr="00761B98">
        <w:rPr>
          <w:rFonts w:ascii="Arial" w:hAnsi="Arial" w:cs="Arial"/>
          <w:sz w:val="20"/>
          <w:szCs w:val="20"/>
        </w:rPr>
        <w:t>weather</w:t>
      </w:r>
      <w:r w:rsidRPr="00761B98">
        <w:rPr>
          <w:rFonts w:ascii="Arial" w:hAnsi="Arial" w:cs="Arial"/>
          <w:spacing w:val="-5"/>
          <w:sz w:val="20"/>
          <w:szCs w:val="20"/>
        </w:rPr>
        <w:t xml:space="preserve"> </w:t>
      </w:r>
      <w:r w:rsidRPr="00761B98">
        <w:rPr>
          <w:rFonts w:ascii="Arial" w:hAnsi="Arial" w:cs="Arial"/>
          <w:sz w:val="20"/>
          <w:szCs w:val="20"/>
        </w:rPr>
        <w:t>suitability;</w:t>
      </w:r>
    </w:p>
    <w:p w14:paraId="3AD8D3E9" w14:textId="77777777" w:rsidR="0075753F" w:rsidRPr="00761B98" w:rsidRDefault="0075753F" w:rsidP="00761B98">
      <w:pPr>
        <w:pStyle w:val="ListParagraph"/>
        <w:numPr>
          <w:ilvl w:val="0"/>
          <w:numId w:val="210"/>
        </w:numPr>
        <w:tabs>
          <w:tab w:val="left" w:pos="706"/>
          <w:tab w:val="left" w:pos="707"/>
        </w:tabs>
        <w:spacing w:before="117"/>
        <w:ind w:left="705"/>
        <w:jc w:val="both"/>
        <w:rPr>
          <w:rFonts w:ascii="Arial" w:hAnsi="Arial" w:cs="Arial"/>
          <w:sz w:val="20"/>
          <w:szCs w:val="20"/>
        </w:rPr>
      </w:pPr>
      <w:r w:rsidRPr="00761B98">
        <w:rPr>
          <w:rFonts w:ascii="Arial" w:hAnsi="Arial" w:cs="Arial"/>
          <w:sz w:val="20"/>
          <w:szCs w:val="20"/>
        </w:rPr>
        <w:t>tether</w:t>
      </w:r>
      <w:r w:rsidRPr="00761B98">
        <w:rPr>
          <w:rFonts w:ascii="Arial" w:hAnsi="Arial" w:cs="Arial"/>
          <w:spacing w:val="-3"/>
          <w:sz w:val="20"/>
          <w:szCs w:val="20"/>
        </w:rPr>
        <w:t xml:space="preserve"> </w:t>
      </w:r>
      <w:r w:rsidRPr="00761B98">
        <w:rPr>
          <w:rFonts w:ascii="Arial" w:hAnsi="Arial" w:cs="Arial"/>
          <w:sz w:val="20"/>
          <w:szCs w:val="20"/>
        </w:rPr>
        <w:t>points:</w:t>
      </w:r>
    </w:p>
    <w:p w14:paraId="2B46614B" w14:textId="77777777" w:rsidR="0075753F" w:rsidRPr="00761B98" w:rsidRDefault="0075753F" w:rsidP="00761B98">
      <w:pPr>
        <w:pStyle w:val="ListParagraph"/>
        <w:numPr>
          <w:ilvl w:val="1"/>
          <w:numId w:val="210"/>
        </w:numPr>
        <w:tabs>
          <w:tab w:val="left" w:pos="1273"/>
          <w:tab w:val="left" w:pos="1274"/>
        </w:tabs>
        <w:spacing w:before="121"/>
        <w:ind w:left="1272" w:hanging="568"/>
        <w:jc w:val="both"/>
        <w:rPr>
          <w:rFonts w:ascii="Arial" w:hAnsi="Arial" w:cs="Arial"/>
          <w:sz w:val="20"/>
          <w:szCs w:val="20"/>
        </w:rPr>
      </w:pPr>
      <w:r w:rsidRPr="00761B98">
        <w:rPr>
          <w:rFonts w:ascii="Arial" w:hAnsi="Arial" w:cs="Arial"/>
          <w:sz w:val="20"/>
          <w:szCs w:val="20"/>
        </w:rPr>
        <w:t>upwind;</w:t>
      </w:r>
      <w:r w:rsidRPr="00761B98">
        <w:rPr>
          <w:rFonts w:ascii="Arial" w:hAnsi="Arial" w:cs="Arial"/>
          <w:spacing w:val="-1"/>
          <w:sz w:val="20"/>
          <w:szCs w:val="20"/>
        </w:rPr>
        <w:t xml:space="preserve"> </w:t>
      </w:r>
      <w:r w:rsidRPr="00761B98">
        <w:rPr>
          <w:rFonts w:ascii="Arial" w:hAnsi="Arial" w:cs="Arial"/>
          <w:sz w:val="20"/>
          <w:szCs w:val="20"/>
        </w:rPr>
        <w:t>and</w:t>
      </w:r>
    </w:p>
    <w:p w14:paraId="460F574F" w14:textId="77777777" w:rsidR="0075753F" w:rsidRPr="00761B98" w:rsidRDefault="0075753F" w:rsidP="00761B98">
      <w:pPr>
        <w:pStyle w:val="ListParagraph"/>
        <w:numPr>
          <w:ilvl w:val="1"/>
          <w:numId w:val="210"/>
        </w:numPr>
        <w:tabs>
          <w:tab w:val="left" w:pos="1273"/>
          <w:tab w:val="left" w:pos="1274"/>
        </w:tabs>
        <w:spacing w:before="121"/>
        <w:ind w:left="1272" w:hanging="568"/>
        <w:jc w:val="both"/>
        <w:rPr>
          <w:rFonts w:ascii="Arial" w:hAnsi="Arial" w:cs="Arial"/>
          <w:sz w:val="20"/>
          <w:szCs w:val="20"/>
        </w:rPr>
      </w:pPr>
      <w:r w:rsidRPr="00761B98">
        <w:rPr>
          <w:rFonts w:ascii="Arial" w:hAnsi="Arial" w:cs="Arial"/>
          <w:sz w:val="20"/>
          <w:szCs w:val="20"/>
        </w:rPr>
        <w:t>downwind;</w:t>
      </w:r>
    </w:p>
    <w:p w14:paraId="55953C1A" w14:textId="77777777" w:rsidR="0075753F" w:rsidRPr="00761B98" w:rsidRDefault="0075753F" w:rsidP="00761B98">
      <w:pPr>
        <w:pStyle w:val="ListParagraph"/>
        <w:numPr>
          <w:ilvl w:val="0"/>
          <w:numId w:val="210"/>
        </w:numPr>
        <w:tabs>
          <w:tab w:val="left" w:pos="706"/>
          <w:tab w:val="left" w:pos="707"/>
        </w:tabs>
        <w:ind w:left="705"/>
        <w:jc w:val="both"/>
        <w:rPr>
          <w:rFonts w:ascii="Arial" w:hAnsi="Arial" w:cs="Arial"/>
          <w:sz w:val="20"/>
          <w:szCs w:val="20"/>
        </w:rPr>
      </w:pPr>
      <w:r w:rsidRPr="00761B98">
        <w:rPr>
          <w:rFonts w:ascii="Arial" w:hAnsi="Arial" w:cs="Arial"/>
          <w:sz w:val="20"/>
          <w:szCs w:val="20"/>
        </w:rPr>
        <w:t>tether</w:t>
      </w:r>
      <w:r w:rsidRPr="00761B98">
        <w:rPr>
          <w:rFonts w:ascii="Arial" w:hAnsi="Arial" w:cs="Arial"/>
          <w:spacing w:val="-4"/>
          <w:sz w:val="20"/>
          <w:szCs w:val="20"/>
        </w:rPr>
        <w:t xml:space="preserve"> </w:t>
      </w:r>
      <w:r w:rsidRPr="00761B98">
        <w:rPr>
          <w:rFonts w:ascii="Arial" w:hAnsi="Arial" w:cs="Arial"/>
          <w:sz w:val="20"/>
          <w:szCs w:val="20"/>
        </w:rPr>
        <w:t>ropes (at</w:t>
      </w:r>
      <w:r w:rsidRPr="00761B98">
        <w:rPr>
          <w:rFonts w:ascii="Arial" w:hAnsi="Arial" w:cs="Arial"/>
          <w:spacing w:val="-3"/>
          <w:sz w:val="20"/>
          <w:szCs w:val="20"/>
        </w:rPr>
        <w:t xml:space="preserve"> </w:t>
      </w:r>
      <w:r w:rsidRPr="00761B98">
        <w:rPr>
          <w:rFonts w:ascii="Arial" w:hAnsi="Arial" w:cs="Arial"/>
          <w:sz w:val="20"/>
          <w:szCs w:val="20"/>
        </w:rPr>
        <w:t>least a</w:t>
      </w:r>
      <w:r w:rsidRPr="00761B98">
        <w:rPr>
          <w:rFonts w:ascii="Arial" w:hAnsi="Arial" w:cs="Arial"/>
          <w:spacing w:val="-2"/>
          <w:sz w:val="20"/>
          <w:szCs w:val="20"/>
        </w:rPr>
        <w:t xml:space="preserve"> </w:t>
      </w:r>
      <w:r w:rsidRPr="00761B98">
        <w:rPr>
          <w:rFonts w:ascii="Arial" w:hAnsi="Arial" w:cs="Arial"/>
          <w:sz w:val="20"/>
          <w:szCs w:val="20"/>
        </w:rPr>
        <w:t>three-point</w:t>
      </w:r>
      <w:r w:rsidRPr="00761B98">
        <w:rPr>
          <w:rFonts w:ascii="Arial" w:hAnsi="Arial" w:cs="Arial"/>
          <w:spacing w:val="-2"/>
          <w:sz w:val="20"/>
          <w:szCs w:val="20"/>
        </w:rPr>
        <w:t xml:space="preserve"> </w:t>
      </w:r>
      <w:r w:rsidRPr="00761B98">
        <w:rPr>
          <w:rFonts w:ascii="Arial" w:hAnsi="Arial" w:cs="Arial"/>
          <w:sz w:val="20"/>
          <w:szCs w:val="20"/>
        </w:rPr>
        <w:t>system, as</w:t>
      </w:r>
      <w:r w:rsidRPr="00761B98">
        <w:rPr>
          <w:rFonts w:ascii="Arial" w:hAnsi="Arial" w:cs="Arial"/>
          <w:spacing w:val="-2"/>
          <w:sz w:val="20"/>
          <w:szCs w:val="20"/>
        </w:rPr>
        <w:t xml:space="preserve"> </w:t>
      </w:r>
      <w:r w:rsidRPr="00761B98">
        <w:rPr>
          <w:rFonts w:ascii="Arial" w:hAnsi="Arial" w:cs="Arial"/>
          <w:sz w:val="20"/>
          <w:szCs w:val="20"/>
        </w:rPr>
        <w:t>per</w:t>
      </w:r>
      <w:r w:rsidRPr="00761B98">
        <w:rPr>
          <w:rFonts w:ascii="Arial" w:hAnsi="Arial" w:cs="Arial"/>
          <w:spacing w:val="-2"/>
          <w:sz w:val="20"/>
          <w:szCs w:val="20"/>
        </w:rPr>
        <w:t xml:space="preserve"> </w:t>
      </w:r>
      <w:r w:rsidRPr="00761B98">
        <w:rPr>
          <w:rFonts w:ascii="Arial" w:hAnsi="Arial" w:cs="Arial"/>
          <w:sz w:val="20"/>
          <w:szCs w:val="20"/>
        </w:rPr>
        <w:t>the</w:t>
      </w:r>
      <w:r w:rsidRPr="00761B98">
        <w:rPr>
          <w:rFonts w:ascii="Arial" w:hAnsi="Arial" w:cs="Arial"/>
          <w:spacing w:val="-2"/>
          <w:sz w:val="20"/>
          <w:szCs w:val="20"/>
        </w:rPr>
        <w:t xml:space="preserve"> </w:t>
      </w:r>
      <w:r w:rsidRPr="00761B98">
        <w:rPr>
          <w:rFonts w:ascii="Arial" w:hAnsi="Arial" w:cs="Arial"/>
          <w:sz w:val="20"/>
          <w:szCs w:val="20"/>
        </w:rPr>
        <w:t>applicable flight</w:t>
      </w:r>
      <w:r w:rsidRPr="00761B98">
        <w:rPr>
          <w:rFonts w:ascii="Arial" w:hAnsi="Arial" w:cs="Arial"/>
          <w:spacing w:val="-2"/>
          <w:sz w:val="20"/>
          <w:szCs w:val="20"/>
        </w:rPr>
        <w:t xml:space="preserve"> </w:t>
      </w:r>
      <w:r w:rsidRPr="00761B98">
        <w:rPr>
          <w:rFonts w:ascii="Arial" w:hAnsi="Arial" w:cs="Arial"/>
          <w:sz w:val="20"/>
          <w:szCs w:val="20"/>
        </w:rPr>
        <w:t>manual);</w:t>
      </w:r>
    </w:p>
    <w:p w14:paraId="592F9972" w14:textId="77777777" w:rsidR="0075753F" w:rsidRPr="00761B98" w:rsidRDefault="0075753F" w:rsidP="00761B98">
      <w:pPr>
        <w:pStyle w:val="ListParagraph"/>
        <w:numPr>
          <w:ilvl w:val="0"/>
          <w:numId w:val="210"/>
        </w:numPr>
        <w:tabs>
          <w:tab w:val="left" w:pos="706"/>
          <w:tab w:val="left" w:pos="707"/>
        </w:tabs>
        <w:ind w:left="705"/>
        <w:jc w:val="both"/>
        <w:rPr>
          <w:rFonts w:ascii="Arial" w:hAnsi="Arial" w:cs="Arial"/>
          <w:sz w:val="20"/>
          <w:szCs w:val="20"/>
        </w:rPr>
      </w:pPr>
      <w:r w:rsidRPr="00761B98">
        <w:rPr>
          <w:rFonts w:ascii="Arial" w:hAnsi="Arial" w:cs="Arial"/>
          <w:sz w:val="20"/>
          <w:szCs w:val="20"/>
        </w:rPr>
        <w:t>maximum</w:t>
      </w:r>
      <w:r w:rsidRPr="00761B98">
        <w:rPr>
          <w:rFonts w:ascii="Arial" w:hAnsi="Arial" w:cs="Arial"/>
          <w:spacing w:val="-4"/>
          <w:sz w:val="20"/>
          <w:szCs w:val="20"/>
        </w:rPr>
        <w:t xml:space="preserve"> </w:t>
      </w:r>
      <w:r w:rsidRPr="00761B98">
        <w:rPr>
          <w:rFonts w:ascii="Arial" w:hAnsi="Arial" w:cs="Arial"/>
          <w:sz w:val="20"/>
          <w:szCs w:val="20"/>
        </w:rPr>
        <w:t>all-up-weight</w:t>
      </w:r>
      <w:r w:rsidRPr="00761B98">
        <w:rPr>
          <w:rFonts w:ascii="Arial" w:hAnsi="Arial" w:cs="Arial"/>
          <w:spacing w:val="-3"/>
          <w:sz w:val="20"/>
          <w:szCs w:val="20"/>
        </w:rPr>
        <w:t xml:space="preserve"> </w:t>
      </w:r>
      <w:r w:rsidRPr="00761B98">
        <w:rPr>
          <w:rFonts w:ascii="Arial" w:hAnsi="Arial" w:cs="Arial"/>
          <w:sz w:val="20"/>
          <w:szCs w:val="20"/>
        </w:rPr>
        <w:t>limitation;</w:t>
      </w:r>
    </w:p>
    <w:p w14:paraId="121E88C0" w14:textId="77777777" w:rsidR="0075753F" w:rsidRPr="00761B98" w:rsidRDefault="0075753F" w:rsidP="00761B98">
      <w:pPr>
        <w:pStyle w:val="ListParagraph"/>
        <w:numPr>
          <w:ilvl w:val="0"/>
          <w:numId w:val="210"/>
        </w:numPr>
        <w:tabs>
          <w:tab w:val="left" w:pos="706"/>
          <w:tab w:val="left" w:pos="707"/>
        </w:tabs>
        <w:ind w:left="705"/>
        <w:jc w:val="both"/>
        <w:rPr>
          <w:rFonts w:ascii="Arial" w:hAnsi="Arial" w:cs="Arial"/>
          <w:sz w:val="20"/>
          <w:szCs w:val="20"/>
        </w:rPr>
      </w:pPr>
      <w:r w:rsidRPr="00761B98">
        <w:rPr>
          <w:rFonts w:ascii="Arial" w:hAnsi="Arial" w:cs="Arial"/>
          <w:sz w:val="20"/>
          <w:szCs w:val="20"/>
        </w:rPr>
        <w:t>crowd</w:t>
      </w:r>
      <w:r w:rsidRPr="00761B98">
        <w:rPr>
          <w:rFonts w:ascii="Arial" w:hAnsi="Arial" w:cs="Arial"/>
          <w:spacing w:val="-4"/>
          <w:sz w:val="20"/>
          <w:szCs w:val="20"/>
        </w:rPr>
        <w:t xml:space="preserve"> </w:t>
      </w:r>
      <w:r w:rsidRPr="00761B98">
        <w:rPr>
          <w:rFonts w:ascii="Arial" w:hAnsi="Arial" w:cs="Arial"/>
          <w:sz w:val="20"/>
          <w:szCs w:val="20"/>
        </w:rPr>
        <w:t>control;</w:t>
      </w:r>
    </w:p>
    <w:p w14:paraId="3870FB87" w14:textId="77777777" w:rsidR="0075753F" w:rsidRPr="00761B98" w:rsidRDefault="0075753F" w:rsidP="00761B98">
      <w:pPr>
        <w:pStyle w:val="ListParagraph"/>
        <w:numPr>
          <w:ilvl w:val="0"/>
          <w:numId w:val="210"/>
        </w:numPr>
        <w:tabs>
          <w:tab w:val="left" w:pos="706"/>
          <w:tab w:val="left" w:pos="707"/>
        </w:tabs>
        <w:ind w:left="705"/>
        <w:jc w:val="both"/>
        <w:rPr>
          <w:rFonts w:ascii="Arial" w:hAnsi="Arial" w:cs="Arial"/>
          <w:sz w:val="20"/>
          <w:szCs w:val="20"/>
        </w:rPr>
      </w:pPr>
      <w:r w:rsidRPr="00761B98">
        <w:rPr>
          <w:rFonts w:ascii="Arial" w:hAnsi="Arial" w:cs="Arial"/>
          <w:sz w:val="20"/>
          <w:szCs w:val="20"/>
        </w:rPr>
        <w:t>pre-take-off</w:t>
      </w:r>
      <w:r w:rsidRPr="00761B98">
        <w:rPr>
          <w:rFonts w:ascii="Arial" w:hAnsi="Arial" w:cs="Arial"/>
          <w:spacing w:val="-2"/>
          <w:sz w:val="20"/>
          <w:szCs w:val="20"/>
        </w:rPr>
        <w:t xml:space="preserve"> </w:t>
      </w:r>
      <w:r w:rsidRPr="00761B98">
        <w:rPr>
          <w:rFonts w:ascii="Arial" w:hAnsi="Arial" w:cs="Arial"/>
          <w:sz w:val="20"/>
          <w:szCs w:val="20"/>
        </w:rPr>
        <w:t>checks</w:t>
      </w:r>
      <w:r w:rsidRPr="00761B98">
        <w:rPr>
          <w:rFonts w:ascii="Arial" w:hAnsi="Arial" w:cs="Arial"/>
          <w:spacing w:val="-4"/>
          <w:sz w:val="20"/>
          <w:szCs w:val="20"/>
        </w:rPr>
        <w:t xml:space="preserve"> </w:t>
      </w:r>
      <w:r w:rsidRPr="00761B98">
        <w:rPr>
          <w:rFonts w:ascii="Arial" w:hAnsi="Arial" w:cs="Arial"/>
          <w:sz w:val="20"/>
          <w:szCs w:val="20"/>
        </w:rPr>
        <w:t>and</w:t>
      </w:r>
      <w:r w:rsidRPr="00761B98">
        <w:rPr>
          <w:rFonts w:ascii="Arial" w:hAnsi="Arial" w:cs="Arial"/>
          <w:spacing w:val="-3"/>
          <w:sz w:val="20"/>
          <w:szCs w:val="20"/>
        </w:rPr>
        <w:t xml:space="preserve"> </w:t>
      </w:r>
      <w:r w:rsidRPr="00761B98">
        <w:rPr>
          <w:rFonts w:ascii="Arial" w:hAnsi="Arial" w:cs="Arial"/>
          <w:sz w:val="20"/>
          <w:szCs w:val="20"/>
        </w:rPr>
        <w:t>briefings;</w:t>
      </w:r>
    </w:p>
    <w:p w14:paraId="616E3259" w14:textId="77777777" w:rsidR="0075753F" w:rsidRPr="00761B98" w:rsidRDefault="0075753F" w:rsidP="00761B98">
      <w:pPr>
        <w:pStyle w:val="ListParagraph"/>
        <w:numPr>
          <w:ilvl w:val="0"/>
          <w:numId w:val="210"/>
        </w:numPr>
        <w:tabs>
          <w:tab w:val="left" w:pos="706"/>
          <w:tab w:val="left" w:pos="707"/>
        </w:tabs>
        <w:spacing w:before="56"/>
        <w:ind w:left="705"/>
        <w:jc w:val="both"/>
        <w:rPr>
          <w:rFonts w:ascii="Arial" w:hAnsi="Arial" w:cs="Arial"/>
          <w:sz w:val="20"/>
          <w:szCs w:val="20"/>
        </w:rPr>
      </w:pPr>
      <w:r w:rsidRPr="00761B98">
        <w:rPr>
          <w:rFonts w:ascii="Arial" w:hAnsi="Arial" w:cs="Arial"/>
          <w:sz w:val="20"/>
          <w:szCs w:val="20"/>
        </w:rPr>
        <w:t>heating</w:t>
      </w:r>
      <w:r w:rsidRPr="00761B98">
        <w:rPr>
          <w:rFonts w:ascii="Arial" w:hAnsi="Arial" w:cs="Arial"/>
          <w:spacing w:val="-2"/>
          <w:sz w:val="20"/>
          <w:szCs w:val="20"/>
        </w:rPr>
        <w:t xml:space="preserve"> </w:t>
      </w:r>
      <w:r w:rsidRPr="00761B98">
        <w:rPr>
          <w:rFonts w:ascii="Arial" w:hAnsi="Arial" w:cs="Arial"/>
          <w:sz w:val="20"/>
          <w:szCs w:val="20"/>
        </w:rPr>
        <w:t>for</w:t>
      </w:r>
      <w:r w:rsidRPr="00761B98">
        <w:rPr>
          <w:rFonts w:ascii="Arial" w:hAnsi="Arial" w:cs="Arial"/>
          <w:spacing w:val="-4"/>
          <w:sz w:val="20"/>
          <w:szCs w:val="20"/>
        </w:rPr>
        <w:t xml:space="preserve"> </w:t>
      </w:r>
      <w:r w:rsidRPr="00761B98">
        <w:rPr>
          <w:rFonts w:ascii="Arial" w:hAnsi="Arial" w:cs="Arial"/>
          <w:sz w:val="20"/>
          <w:szCs w:val="20"/>
        </w:rPr>
        <w:t>controlled</w:t>
      </w:r>
      <w:r w:rsidRPr="00761B98">
        <w:rPr>
          <w:rFonts w:ascii="Arial" w:hAnsi="Arial" w:cs="Arial"/>
          <w:spacing w:val="-1"/>
          <w:sz w:val="20"/>
          <w:szCs w:val="20"/>
        </w:rPr>
        <w:t xml:space="preserve"> </w:t>
      </w:r>
      <w:r w:rsidRPr="00761B98">
        <w:rPr>
          <w:rFonts w:ascii="Arial" w:hAnsi="Arial" w:cs="Arial"/>
          <w:sz w:val="20"/>
          <w:szCs w:val="20"/>
        </w:rPr>
        <w:t>lift</w:t>
      </w:r>
      <w:r w:rsidRPr="00761B98">
        <w:rPr>
          <w:rFonts w:ascii="Arial" w:hAnsi="Arial" w:cs="Arial"/>
          <w:spacing w:val="-3"/>
          <w:sz w:val="20"/>
          <w:szCs w:val="20"/>
        </w:rPr>
        <w:t xml:space="preserve"> </w:t>
      </w:r>
      <w:r w:rsidRPr="00761B98">
        <w:rPr>
          <w:rFonts w:ascii="Arial" w:hAnsi="Arial" w:cs="Arial"/>
          <w:sz w:val="20"/>
          <w:szCs w:val="20"/>
        </w:rPr>
        <w:t>off;</w:t>
      </w:r>
    </w:p>
    <w:p w14:paraId="5B8E6509" w14:textId="77777777" w:rsidR="0075753F" w:rsidRPr="00761B98" w:rsidRDefault="0075753F" w:rsidP="00761B98">
      <w:pPr>
        <w:pStyle w:val="ListParagraph"/>
        <w:numPr>
          <w:ilvl w:val="0"/>
          <w:numId w:val="210"/>
        </w:numPr>
        <w:tabs>
          <w:tab w:val="left" w:pos="706"/>
          <w:tab w:val="left" w:pos="707"/>
        </w:tabs>
        <w:ind w:left="705"/>
        <w:jc w:val="both"/>
        <w:rPr>
          <w:rFonts w:ascii="Arial" w:hAnsi="Arial" w:cs="Arial"/>
          <w:sz w:val="20"/>
          <w:szCs w:val="20"/>
        </w:rPr>
      </w:pPr>
      <w:r w:rsidRPr="00761B98">
        <w:rPr>
          <w:rFonts w:ascii="Arial" w:hAnsi="Arial" w:cs="Arial"/>
          <w:sz w:val="20"/>
          <w:szCs w:val="20"/>
        </w:rPr>
        <w:t>‘hands</w:t>
      </w:r>
      <w:r w:rsidRPr="00761B98">
        <w:rPr>
          <w:rFonts w:ascii="Arial" w:hAnsi="Arial" w:cs="Arial"/>
          <w:spacing w:val="-1"/>
          <w:sz w:val="20"/>
          <w:szCs w:val="20"/>
        </w:rPr>
        <w:t xml:space="preserve"> </w:t>
      </w:r>
      <w:r w:rsidRPr="00761B98">
        <w:rPr>
          <w:rFonts w:ascii="Arial" w:hAnsi="Arial" w:cs="Arial"/>
          <w:sz w:val="20"/>
          <w:szCs w:val="20"/>
        </w:rPr>
        <w:t>off and</w:t>
      </w:r>
      <w:r w:rsidRPr="00761B98">
        <w:rPr>
          <w:rFonts w:ascii="Arial" w:hAnsi="Arial" w:cs="Arial"/>
          <w:spacing w:val="-2"/>
          <w:sz w:val="20"/>
          <w:szCs w:val="20"/>
        </w:rPr>
        <w:t xml:space="preserve"> </w:t>
      </w:r>
      <w:r w:rsidRPr="00761B98">
        <w:rPr>
          <w:rFonts w:ascii="Arial" w:hAnsi="Arial" w:cs="Arial"/>
          <w:sz w:val="20"/>
          <w:szCs w:val="20"/>
        </w:rPr>
        <w:t>hands</w:t>
      </w:r>
      <w:r w:rsidRPr="00761B98">
        <w:rPr>
          <w:rFonts w:ascii="Arial" w:hAnsi="Arial" w:cs="Arial"/>
          <w:spacing w:val="-2"/>
          <w:sz w:val="20"/>
          <w:szCs w:val="20"/>
        </w:rPr>
        <w:t xml:space="preserve"> </w:t>
      </w:r>
      <w:r w:rsidRPr="00761B98">
        <w:rPr>
          <w:rFonts w:ascii="Arial" w:hAnsi="Arial" w:cs="Arial"/>
          <w:sz w:val="20"/>
          <w:szCs w:val="20"/>
        </w:rPr>
        <w:t>on’</w:t>
      </w:r>
      <w:r w:rsidRPr="00761B98">
        <w:rPr>
          <w:rFonts w:ascii="Arial" w:hAnsi="Arial" w:cs="Arial"/>
          <w:spacing w:val="-1"/>
          <w:sz w:val="20"/>
          <w:szCs w:val="20"/>
        </w:rPr>
        <w:t xml:space="preserve"> </w:t>
      </w:r>
      <w:r w:rsidRPr="00761B98">
        <w:rPr>
          <w:rFonts w:ascii="Arial" w:hAnsi="Arial" w:cs="Arial"/>
          <w:sz w:val="20"/>
          <w:szCs w:val="20"/>
        </w:rPr>
        <w:t>procedure</w:t>
      </w:r>
      <w:r w:rsidRPr="00761B98">
        <w:rPr>
          <w:rFonts w:ascii="Arial" w:hAnsi="Arial" w:cs="Arial"/>
          <w:spacing w:val="-2"/>
          <w:sz w:val="20"/>
          <w:szCs w:val="20"/>
        </w:rPr>
        <w:t xml:space="preserve"> </w:t>
      </w:r>
      <w:r w:rsidRPr="00761B98">
        <w:rPr>
          <w:rFonts w:ascii="Arial" w:hAnsi="Arial" w:cs="Arial"/>
          <w:sz w:val="20"/>
          <w:szCs w:val="20"/>
        </w:rPr>
        <w:t>for</w:t>
      </w:r>
      <w:r w:rsidRPr="00761B98">
        <w:rPr>
          <w:rFonts w:ascii="Arial" w:hAnsi="Arial" w:cs="Arial"/>
          <w:spacing w:val="-4"/>
          <w:sz w:val="20"/>
          <w:szCs w:val="20"/>
        </w:rPr>
        <w:t xml:space="preserve"> </w:t>
      </w:r>
      <w:r w:rsidRPr="00761B98">
        <w:rPr>
          <w:rFonts w:ascii="Arial" w:hAnsi="Arial" w:cs="Arial"/>
          <w:sz w:val="20"/>
          <w:szCs w:val="20"/>
        </w:rPr>
        <w:t>ground</w:t>
      </w:r>
      <w:r w:rsidRPr="00761B98">
        <w:rPr>
          <w:rFonts w:ascii="Arial" w:hAnsi="Arial" w:cs="Arial"/>
          <w:spacing w:val="-1"/>
          <w:sz w:val="20"/>
          <w:szCs w:val="20"/>
        </w:rPr>
        <w:t xml:space="preserve"> </w:t>
      </w:r>
      <w:r w:rsidRPr="00761B98">
        <w:rPr>
          <w:rFonts w:ascii="Arial" w:hAnsi="Arial" w:cs="Arial"/>
          <w:sz w:val="20"/>
          <w:szCs w:val="20"/>
        </w:rPr>
        <w:t>crew;</w:t>
      </w:r>
    </w:p>
    <w:p w14:paraId="00C6E8E8" w14:textId="77777777" w:rsidR="0075753F" w:rsidRPr="00761B98" w:rsidRDefault="0075753F" w:rsidP="00761B98">
      <w:pPr>
        <w:pStyle w:val="ListParagraph"/>
        <w:numPr>
          <w:ilvl w:val="0"/>
          <w:numId w:val="210"/>
        </w:numPr>
        <w:tabs>
          <w:tab w:val="left" w:pos="706"/>
          <w:tab w:val="left" w:pos="707"/>
        </w:tabs>
        <w:spacing w:before="121"/>
        <w:ind w:left="705"/>
        <w:jc w:val="both"/>
        <w:rPr>
          <w:rFonts w:ascii="Arial" w:hAnsi="Arial" w:cs="Arial"/>
          <w:sz w:val="20"/>
          <w:szCs w:val="20"/>
        </w:rPr>
      </w:pPr>
      <w:r w:rsidRPr="00761B98">
        <w:rPr>
          <w:rFonts w:ascii="Arial" w:hAnsi="Arial" w:cs="Arial"/>
          <w:sz w:val="20"/>
          <w:szCs w:val="20"/>
        </w:rPr>
        <w:t>assessment</w:t>
      </w:r>
      <w:r w:rsidRPr="00761B98">
        <w:rPr>
          <w:rFonts w:ascii="Arial" w:hAnsi="Arial" w:cs="Arial"/>
          <w:spacing w:val="-1"/>
          <w:sz w:val="20"/>
          <w:szCs w:val="20"/>
        </w:rPr>
        <w:t xml:space="preserve"> </w:t>
      </w:r>
      <w:r w:rsidRPr="00761B98">
        <w:rPr>
          <w:rFonts w:ascii="Arial" w:hAnsi="Arial" w:cs="Arial"/>
          <w:sz w:val="20"/>
          <w:szCs w:val="20"/>
        </w:rPr>
        <w:t>of</w:t>
      </w:r>
      <w:r w:rsidRPr="00761B98">
        <w:rPr>
          <w:rFonts w:ascii="Arial" w:hAnsi="Arial" w:cs="Arial"/>
          <w:spacing w:val="-2"/>
          <w:sz w:val="20"/>
          <w:szCs w:val="20"/>
        </w:rPr>
        <w:t xml:space="preserve"> </w:t>
      </w:r>
      <w:r w:rsidRPr="00761B98">
        <w:rPr>
          <w:rFonts w:ascii="Arial" w:hAnsi="Arial" w:cs="Arial"/>
          <w:sz w:val="20"/>
          <w:szCs w:val="20"/>
        </w:rPr>
        <w:t>lift;</w:t>
      </w:r>
    </w:p>
    <w:p w14:paraId="69E1CF91" w14:textId="77777777" w:rsidR="0075753F" w:rsidRPr="00761B98" w:rsidRDefault="0075753F" w:rsidP="00761B98">
      <w:pPr>
        <w:pStyle w:val="ListParagraph"/>
        <w:numPr>
          <w:ilvl w:val="0"/>
          <w:numId w:val="210"/>
        </w:numPr>
        <w:tabs>
          <w:tab w:val="left" w:pos="706"/>
          <w:tab w:val="left" w:pos="707"/>
        </w:tabs>
        <w:ind w:left="705"/>
        <w:jc w:val="both"/>
        <w:rPr>
          <w:rFonts w:ascii="Arial" w:hAnsi="Arial" w:cs="Arial"/>
          <w:sz w:val="20"/>
          <w:szCs w:val="20"/>
        </w:rPr>
      </w:pPr>
      <w:r w:rsidRPr="00761B98">
        <w:rPr>
          <w:rFonts w:ascii="Arial" w:hAnsi="Arial" w:cs="Arial"/>
          <w:sz w:val="20"/>
          <w:szCs w:val="20"/>
        </w:rPr>
        <w:t>assessment</w:t>
      </w:r>
      <w:r w:rsidRPr="00761B98">
        <w:rPr>
          <w:rFonts w:ascii="Arial" w:hAnsi="Arial" w:cs="Arial"/>
          <w:spacing w:val="-3"/>
          <w:sz w:val="20"/>
          <w:szCs w:val="20"/>
        </w:rPr>
        <w:t xml:space="preserve"> </w:t>
      </w:r>
      <w:r w:rsidRPr="00761B98">
        <w:rPr>
          <w:rFonts w:ascii="Arial" w:hAnsi="Arial" w:cs="Arial"/>
          <w:sz w:val="20"/>
          <w:szCs w:val="20"/>
        </w:rPr>
        <w:t>of</w:t>
      </w:r>
      <w:r w:rsidRPr="00761B98">
        <w:rPr>
          <w:rFonts w:ascii="Arial" w:hAnsi="Arial" w:cs="Arial"/>
          <w:spacing w:val="-3"/>
          <w:sz w:val="20"/>
          <w:szCs w:val="20"/>
        </w:rPr>
        <w:t xml:space="preserve"> </w:t>
      </w:r>
      <w:r w:rsidRPr="00761B98">
        <w:rPr>
          <w:rFonts w:ascii="Arial" w:hAnsi="Arial" w:cs="Arial"/>
          <w:sz w:val="20"/>
          <w:szCs w:val="20"/>
        </w:rPr>
        <w:t>wind</w:t>
      </w:r>
      <w:r w:rsidRPr="00761B98">
        <w:rPr>
          <w:rFonts w:ascii="Arial" w:hAnsi="Arial" w:cs="Arial"/>
          <w:spacing w:val="-1"/>
          <w:sz w:val="20"/>
          <w:szCs w:val="20"/>
        </w:rPr>
        <w:t xml:space="preserve"> </w:t>
      </w:r>
      <w:r w:rsidRPr="00761B98">
        <w:rPr>
          <w:rFonts w:ascii="Arial" w:hAnsi="Arial" w:cs="Arial"/>
          <w:sz w:val="20"/>
          <w:szCs w:val="20"/>
        </w:rPr>
        <w:t>and</w:t>
      </w:r>
      <w:r w:rsidRPr="00761B98">
        <w:rPr>
          <w:rFonts w:ascii="Arial" w:hAnsi="Arial" w:cs="Arial"/>
          <w:spacing w:val="-3"/>
          <w:sz w:val="20"/>
          <w:szCs w:val="20"/>
        </w:rPr>
        <w:t xml:space="preserve"> </w:t>
      </w:r>
      <w:r w:rsidRPr="00761B98">
        <w:rPr>
          <w:rFonts w:ascii="Arial" w:hAnsi="Arial" w:cs="Arial"/>
          <w:sz w:val="20"/>
          <w:szCs w:val="20"/>
        </w:rPr>
        <w:t>obstacles;</w:t>
      </w:r>
    </w:p>
    <w:p w14:paraId="16E4CBDD" w14:textId="77777777" w:rsidR="0075753F" w:rsidRPr="00761B98" w:rsidRDefault="0075753F" w:rsidP="00761B98">
      <w:pPr>
        <w:pStyle w:val="ListParagraph"/>
        <w:numPr>
          <w:ilvl w:val="0"/>
          <w:numId w:val="210"/>
        </w:numPr>
        <w:tabs>
          <w:tab w:val="left" w:pos="706"/>
          <w:tab w:val="left" w:pos="707"/>
        </w:tabs>
        <w:ind w:left="705"/>
        <w:jc w:val="both"/>
        <w:rPr>
          <w:rFonts w:ascii="Arial" w:hAnsi="Arial" w:cs="Arial"/>
          <w:sz w:val="20"/>
          <w:szCs w:val="20"/>
        </w:rPr>
      </w:pPr>
      <w:r w:rsidRPr="00761B98">
        <w:rPr>
          <w:rFonts w:ascii="Arial" w:hAnsi="Arial" w:cs="Arial"/>
          <w:sz w:val="20"/>
          <w:szCs w:val="20"/>
        </w:rPr>
        <w:t>take-off</w:t>
      </w:r>
      <w:r w:rsidRPr="00761B98">
        <w:rPr>
          <w:rFonts w:ascii="Arial" w:hAnsi="Arial" w:cs="Arial"/>
          <w:spacing w:val="-1"/>
          <w:sz w:val="20"/>
          <w:szCs w:val="20"/>
        </w:rPr>
        <w:t xml:space="preserve"> </w:t>
      </w:r>
      <w:r w:rsidRPr="00761B98">
        <w:rPr>
          <w:rFonts w:ascii="Arial" w:hAnsi="Arial" w:cs="Arial"/>
          <w:sz w:val="20"/>
          <w:szCs w:val="20"/>
        </w:rPr>
        <w:t>and</w:t>
      </w:r>
      <w:r w:rsidRPr="00761B98">
        <w:rPr>
          <w:rFonts w:ascii="Arial" w:hAnsi="Arial" w:cs="Arial"/>
          <w:spacing w:val="-2"/>
          <w:sz w:val="20"/>
          <w:szCs w:val="20"/>
        </w:rPr>
        <w:t xml:space="preserve"> </w:t>
      </w:r>
      <w:r w:rsidRPr="00761B98">
        <w:rPr>
          <w:rFonts w:ascii="Arial" w:hAnsi="Arial" w:cs="Arial"/>
          <w:sz w:val="20"/>
          <w:szCs w:val="20"/>
        </w:rPr>
        <w:t>controlled climb</w:t>
      </w:r>
      <w:r w:rsidRPr="00761B98">
        <w:rPr>
          <w:rFonts w:ascii="Arial" w:hAnsi="Arial" w:cs="Arial"/>
          <w:spacing w:val="-2"/>
          <w:sz w:val="20"/>
          <w:szCs w:val="20"/>
        </w:rPr>
        <w:t xml:space="preserve"> </w:t>
      </w:r>
      <w:r w:rsidRPr="00761B98">
        <w:rPr>
          <w:rFonts w:ascii="Arial" w:hAnsi="Arial" w:cs="Arial"/>
          <w:sz w:val="20"/>
          <w:szCs w:val="20"/>
        </w:rPr>
        <w:t>(at</w:t>
      </w:r>
      <w:r w:rsidRPr="00761B98">
        <w:rPr>
          <w:rFonts w:ascii="Arial" w:hAnsi="Arial" w:cs="Arial"/>
          <w:spacing w:val="-3"/>
          <w:sz w:val="20"/>
          <w:szCs w:val="20"/>
        </w:rPr>
        <w:t xml:space="preserve"> </w:t>
      </w:r>
      <w:r w:rsidRPr="00761B98">
        <w:rPr>
          <w:rFonts w:ascii="Arial" w:hAnsi="Arial" w:cs="Arial"/>
          <w:sz w:val="20"/>
          <w:szCs w:val="20"/>
        </w:rPr>
        <w:t>least</w:t>
      </w:r>
      <w:r w:rsidRPr="00761B98">
        <w:rPr>
          <w:rFonts w:ascii="Arial" w:hAnsi="Arial" w:cs="Arial"/>
          <w:spacing w:val="-1"/>
          <w:sz w:val="20"/>
          <w:szCs w:val="20"/>
        </w:rPr>
        <w:t xml:space="preserve"> </w:t>
      </w:r>
      <w:r w:rsidRPr="00761B98">
        <w:rPr>
          <w:rFonts w:ascii="Arial" w:hAnsi="Arial" w:cs="Arial"/>
          <w:sz w:val="20"/>
          <w:szCs w:val="20"/>
        </w:rPr>
        <w:t>up</w:t>
      </w:r>
      <w:r w:rsidRPr="00761B98">
        <w:rPr>
          <w:rFonts w:ascii="Arial" w:hAnsi="Arial" w:cs="Arial"/>
          <w:spacing w:val="-1"/>
          <w:sz w:val="20"/>
          <w:szCs w:val="20"/>
        </w:rPr>
        <w:t xml:space="preserve"> </w:t>
      </w:r>
      <w:r w:rsidRPr="00761B98">
        <w:rPr>
          <w:rFonts w:ascii="Arial" w:hAnsi="Arial" w:cs="Arial"/>
          <w:sz w:val="20"/>
          <w:szCs w:val="20"/>
        </w:rPr>
        <w:t>to</w:t>
      </w:r>
      <w:r w:rsidRPr="00761B98">
        <w:rPr>
          <w:rFonts w:ascii="Arial" w:hAnsi="Arial" w:cs="Arial"/>
          <w:spacing w:val="-2"/>
          <w:sz w:val="20"/>
          <w:szCs w:val="20"/>
        </w:rPr>
        <w:t xml:space="preserve"> </w:t>
      </w:r>
      <w:r w:rsidRPr="00761B98">
        <w:rPr>
          <w:rFonts w:ascii="Arial" w:hAnsi="Arial" w:cs="Arial"/>
          <w:sz w:val="20"/>
          <w:szCs w:val="20"/>
        </w:rPr>
        <w:t>60</w:t>
      </w:r>
      <w:r w:rsidRPr="00761B98">
        <w:rPr>
          <w:rFonts w:ascii="Arial" w:hAnsi="Arial" w:cs="Arial"/>
          <w:spacing w:val="3"/>
          <w:sz w:val="20"/>
          <w:szCs w:val="20"/>
        </w:rPr>
        <w:t xml:space="preserve"> </w:t>
      </w:r>
      <w:r w:rsidRPr="00761B98">
        <w:rPr>
          <w:rFonts w:ascii="Arial" w:hAnsi="Arial" w:cs="Arial"/>
          <w:sz w:val="20"/>
          <w:szCs w:val="20"/>
        </w:rPr>
        <w:t>ft</w:t>
      </w:r>
      <w:r w:rsidRPr="00761B98">
        <w:rPr>
          <w:rFonts w:ascii="Arial" w:hAnsi="Arial" w:cs="Arial"/>
          <w:spacing w:val="-1"/>
          <w:sz w:val="20"/>
          <w:szCs w:val="20"/>
        </w:rPr>
        <w:t xml:space="preserve"> </w:t>
      </w:r>
      <w:r w:rsidRPr="00761B98">
        <w:rPr>
          <w:rFonts w:ascii="Arial" w:hAnsi="Arial" w:cs="Arial"/>
          <w:sz w:val="20"/>
          <w:szCs w:val="20"/>
        </w:rPr>
        <w:t>(20</w:t>
      </w:r>
      <w:r w:rsidRPr="00761B98">
        <w:rPr>
          <w:rFonts w:ascii="Arial" w:hAnsi="Arial" w:cs="Arial"/>
          <w:spacing w:val="-3"/>
          <w:sz w:val="20"/>
          <w:szCs w:val="20"/>
        </w:rPr>
        <w:t xml:space="preserve"> </w:t>
      </w:r>
      <w:r w:rsidRPr="00761B98">
        <w:rPr>
          <w:rFonts w:ascii="Arial" w:hAnsi="Arial" w:cs="Arial"/>
          <w:sz w:val="20"/>
          <w:szCs w:val="20"/>
        </w:rPr>
        <w:t>m));</w:t>
      </w:r>
      <w:r w:rsidRPr="00761B98">
        <w:rPr>
          <w:rFonts w:ascii="Arial" w:hAnsi="Arial" w:cs="Arial"/>
          <w:spacing w:val="-1"/>
          <w:sz w:val="20"/>
          <w:szCs w:val="20"/>
        </w:rPr>
        <w:t xml:space="preserve"> </w:t>
      </w:r>
      <w:r w:rsidRPr="00761B98">
        <w:rPr>
          <w:rFonts w:ascii="Arial" w:hAnsi="Arial" w:cs="Arial"/>
          <w:sz w:val="20"/>
          <w:szCs w:val="20"/>
        </w:rPr>
        <w:t>and</w:t>
      </w:r>
    </w:p>
    <w:p w14:paraId="626DA896" w14:textId="77777777" w:rsidR="00761B98" w:rsidRPr="00761B98" w:rsidRDefault="0075753F" w:rsidP="00761B98">
      <w:pPr>
        <w:pStyle w:val="ListParagraph"/>
        <w:numPr>
          <w:ilvl w:val="0"/>
          <w:numId w:val="210"/>
        </w:numPr>
        <w:tabs>
          <w:tab w:val="left" w:pos="706"/>
          <w:tab w:val="left" w:pos="707"/>
        </w:tabs>
        <w:ind w:left="705"/>
        <w:jc w:val="both"/>
        <w:rPr>
          <w:rFonts w:ascii="Arial" w:hAnsi="Arial" w:cs="Arial"/>
          <w:sz w:val="20"/>
          <w:szCs w:val="20"/>
        </w:rPr>
      </w:pPr>
      <w:r w:rsidRPr="00761B98">
        <w:rPr>
          <w:rFonts w:ascii="Arial" w:hAnsi="Arial" w:cs="Arial"/>
          <w:sz w:val="20"/>
          <w:szCs w:val="20"/>
        </w:rPr>
        <w:t>passenger</w:t>
      </w:r>
      <w:r w:rsidRPr="00761B98">
        <w:rPr>
          <w:rFonts w:ascii="Arial" w:hAnsi="Arial" w:cs="Arial"/>
          <w:spacing w:val="-3"/>
          <w:sz w:val="20"/>
          <w:szCs w:val="20"/>
        </w:rPr>
        <w:t xml:space="preserve"> </w:t>
      </w:r>
      <w:r w:rsidRPr="00761B98">
        <w:rPr>
          <w:rFonts w:ascii="Arial" w:hAnsi="Arial" w:cs="Arial"/>
          <w:sz w:val="20"/>
          <w:szCs w:val="20"/>
        </w:rPr>
        <w:t>exchange</w:t>
      </w:r>
      <w:r w:rsidRPr="00761B98">
        <w:rPr>
          <w:rFonts w:ascii="Arial" w:hAnsi="Arial" w:cs="Arial"/>
          <w:spacing w:val="-2"/>
          <w:sz w:val="20"/>
          <w:szCs w:val="20"/>
        </w:rPr>
        <w:t xml:space="preserve"> </w:t>
      </w:r>
      <w:r w:rsidRPr="00761B98">
        <w:rPr>
          <w:rFonts w:ascii="Arial" w:hAnsi="Arial" w:cs="Arial"/>
          <w:sz w:val="20"/>
          <w:szCs w:val="20"/>
        </w:rPr>
        <w:t>procedures.</w:t>
      </w:r>
      <w:bookmarkStart w:id="672" w:name="BFCL.210__Night_rating"/>
      <w:bookmarkStart w:id="673" w:name="_bookmark270"/>
      <w:bookmarkEnd w:id="672"/>
      <w:bookmarkEnd w:id="673"/>
    </w:p>
    <w:p w14:paraId="23E97163" w14:textId="77777777" w:rsidR="00761B98" w:rsidRPr="00761B98" w:rsidRDefault="00761B98" w:rsidP="00761B98">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674" w:name="_Toc153137435"/>
      <w:r w:rsidRPr="00761B98">
        <w:rPr>
          <w:rFonts w:ascii="Arial" w:eastAsia="Times New Roman" w:hAnsi="Arial" w:cs="Times New Roman"/>
          <w:b/>
          <w:iCs/>
          <w:color w:val="FFFFFF"/>
          <w:sz w:val="24"/>
        </w:rPr>
        <w:lastRenderedPageBreak/>
        <w:t>BFCL.210 Night rating</w:t>
      </w:r>
      <w:bookmarkEnd w:id="674"/>
    </w:p>
    <w:p w14:paraId="4DAFB636" w14:textId="77777777" w:rsidR="00761B98" w:rsidRPr="00443CD5" w:rsidRDefault="00761B98" w:rsidP="00682A54">
      <w:pPr>
        <w:pStyle w:val="ListParagraph"/>
        <w:numPr>
          <w:ilvl w:val="0"/>
          <w:numId w:val="211"/>
        </w:numPr>
        <w:spacing w:before="117"/>
        <w:ind w:right="198"/>
        <w:jc w:val="both"/>
        <w:rPr>
          <w:rFonts w:ascii="Arial" w:hAnsi="Arial" w:cs="Arial"/>
          <w:sz w:val="20"/>
        </w:rPr>
      </w:pPr>
      <w:r w:rsidRPr="00443CD5">
        <w:rPr>
          <w:rFonts w:ascii="Arial" w:hAnsi="Arial" w:cs="Arial"/>
          <w:sz w:val="20"/>
        </w:rPr>
        <w:t>A BPL holder shall exercise the privileges of his or her licence in VFR conditions at night only if he or she holds a night rating in accordance with this point.</w:t>
      </w:r>
    </w:p>
    <w:p w14:paraId="68EE07E3" w14:textId="77777777" w:rsidR="00761B98" w:rsidRPr="00443CD5" w:rsidRDefault="00761B98" w:rsidP="00682A54">
      <w:pPr>
        <w:pStyle w:val="ListParagraph"/>
        <w:numPr>
          <w:ilvl w:val="0"/>
          <w:numId w:val="211"/>
        </w:numPr>
        <w:spacing w:before="117"/>
        <w:ind w:right="198"/>
        <w:jc w:val="both"/>
        <w:rPr>
          <w:rFonts w:ascii="Arial" w:hAnsi="Arial" w:cs="Arial"/>
          <w:sz w:val="20"/>
        </w:rPr>
      </w:pPr>
      <w:r w:rsidRPr="00443CD5">
        <w:rPr>
          <w:rFonts w:ascii="Arial" w:hAnsi="Arial" w:cs="Arial"/>
          <w:sz w:val="20"/>
        </w:rPr>
        <w:t>An applicant for a night rating shall have completed at least two instruction flights at night of at least one hour each.</w:t>
      </w:r>
    </w:p>
    <w:p w14:paraId="0EB17A3E" w14:textId="77777777" w:rsidR="00761B98" w:rsidRPr="00443CD5" w:rsidRDefault="00761B98" w:rsidP="00682A54">
      <w:pPr>
        <w:pStyle w:val="ListParagraph"/>
        <w:numPr>
          <w:ilvl w:val="0"/>
          <w:numId w:val="211"/>
        </w:numPr>
        <w:spacing w:before="117"/>
        <w:ind w:right="198"/>
        <w:jc w:val="both"/>
        <w:rPr>
          <w:rFonts w:ascii="Arial" w:hAnsi="Arial" w:cs="Arial"/>
          <w:sz w:val="20"/>
        </w:rPr>
      </w:pPr>
      <w:r w:rsidRPr="00443CD5">
        <w:rPr>
          <w:rFonts w:ascii="Arial" w:hAnsi="Arial" w:cs="Arial"/>
          <w:sz w:val="20"/>
        </w:rPr>
        <w:t>The completion of the night rating training shall be entered in the logbook and signed by the FI(B) who is responsible for the training.</w:t>
      </w:r>
    </w:p>
    <w:p w14:paraId="49AB49C8" w14:textId="77777777" w:rsidR="00443CD5" w:rsidRPr="00443CD5" w:rsidRDefault="00443CD5" w:rsidP="00443CD5">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675" w:name="AMC1_BFCL.210(b)__Night_rating"/>
      <w:bookmarkStart w:id="676" w:name="_bookmark271"/>
      <w:bookmarkStart w:id="677" w:name="_Toc153137436"/>
      <w:bookmarkEnd w:id="675"/>
      <w:bookmarkEnd w:id="676"/>
      <w:r w:rsidRPr="00443CD5">
        <w:rPr>
          <w:rFonts w:ascii="Arial" w:eastAsia="Times New Roman" w:hAnsi="Arial" w:cs="Times New Roman"/>
          <w:b/>
          <w:color w:val="FFFFFF"/>
          <w:sz w:val="24"/>
        </w:rPr>
        <w:t>AMC1 BFCL.210(b) Night rating</w:t>
      </w:r>
      <w:bookmarkEnd w:id="677"/>
    </w:p>
    <w:p w14:paraId="4B3A4C68" w14:textId="77777777" w:rsidR="00443CD5" w:rsidRPr="00443CD5" w:rsidRDefault="00443CD5" w:rsidP="00443CD5">
      <w:pPr>
        <w:widowControl/>
        <w:autoSpaceDE/>
        <w:autoSpaceDN/>
        <w:spacing w:before="240" w:after="160" w:line="264" w:lineRule="auto"/>
        <w:jc w:val="both"/>
        <w:rPr>
          <w:rFonts w:ascii="Arial" w:eastAsiaTheme="minorHAnsi" w:hAnsi="Arial" w:cs="Arial"/>
          <w:b/>
          <w:bCs/>
          <w:sz w:val="20"/>
          <w:szCs w:val="20"/>
        </w:rPr>
      </w:pPr>
      <w:r w:rsidRPr="00443CD5">
        <w:rPr>
          <w:rFonts w:ascii="Arial" w:eastAsiaTheme="minorHAnsi" w:hAnsi="Arial" w:cs="Arial"/>
          <w:b/>
          <w:bCs/>
          <w:sz w:val="20"/>
          <w:szCs w:val="20"/>
        </w:rPr>
        <w:t>INSTRUCTION FLIGHTS FOR THE NIGHT RATING</w:t>
      </w:r>
    </w:p>
    <w:p w14:paraId="169207F4" w14:textId="77777777" w:rsidR="00443CD5" w:rsidRPr="00443CD5" w:rsidRDefault="00443CD5" w:rsidP="00443CD5">
      <w:pPr>
        <w:pStyle w:val="BodyText"/>
        <w:spacing w:before="118"/>
        <w:rPr>
          <w:rFonts w:ascii="Arial" w:hAnsi="Arial" w:cs="Arial"/>
          <w:sz w:val="20"/>
          <w:szCs w:val="20"/>
        </w:rPr>
      </w:pPr>
      <w:r w:rsidRPr="00443CD5">
        <w:rPr>
          <w:rFonts w:ascii="Arial" w:hAnsi="Arial" w:cs="Arial"/>
          <w:sz w:val="20"/>
          <w:szCs w:val="20"/>
        </w:rPr>
        <w:t>The</w:t>
      </w:r>
      <w:r w:rsidRPr="00443CD5">
        <w:rPr>
          <w:rFonts w:ascii="Arial" w:hAnsi="Arial" w:cs="Arial"/>
          <w:spacing w:val="-2"/>
          <w:sz w:val="20"/>
          <w:szCs w:val="20"/>
        </w:rPr>
        <w:t xml:space="preserve"> </w:t>
      </w:r>
      <w:r w:rsidRPr="00443CD5">
        <w:rPr>
          <w:rFonts w:ascii="Arial" w:hAnsi="Arial" w:cs="Arial"/>
          <w:sz w:val="20"/>
          <w:szCs w:val="20"/>
        </w:rPr>
        <w:t>instruction</w:t>
      </w:r>
      <w:r w:rsidRPr="00443CD5">
        <w:rPr>
          <w:rFonts w:ascii="Arial" w:hAnsi="Arial" w:cs="Arial"/>
          <w:spacing w:val="-3"/>
          <w:sz w:val="20"/>
          <w:szCs w:val="20"/>
        </w:rPr>
        <w:t xml:space="preserve"> </w:t>
      </w:r>
      <w:r w:rsidRPr="00443CD5">
        <w:rPr>
          <w:rFonts w:ascii="Arial" w:hAnsi="Arial" w:cs="Arial"/>
          <w:sz w:val="20"/>
          <w:szCs w:val="20"/>
        </w:rPr>
        <w:t>flights</w:t>
      </w:r>
      <w:r w:rsidRPr="00443CD5">
        <w:rPr>
          <w:rFonts w:ascii="Arial" w:hAnsi="Arial" w:cs="Arial"/>
          <w:spacing w:val="-4"/>
          <w:sz w:val="20"/>
          <w:szCs w:val="20"/>
        </w:rPr>
        <w:t xml:space="preserve"> </w:t>
      </w:r>
      <w:r w:rsidRPr="00443CD5">
        <w:rPr>
          <w:rFonts w:ascii="Arial" w:hAnsi="Arial" w:cs="Arial"/>
          <w:sz w:val="20"/>
          <w:szCs w:val="20"/>
        </w:rPr>
        <w:t>should</w:t>
      </w:r>
      <w:r w:rsidRPr="00443CD5">
        <w:rPr>
          <w:rFonts w:ascii="Arial" w:hAnsi="Arial" w:cs="Arial"/>
          <w:spacing w:val="-3"/>
          <w:sz w:val="20"/>
          <w:szCs w:val="20"/>
        </w:rPr>
        <w:t xml:space="preserve"> </w:t>
      </w:r>
      <w:r w:rsidRPr="00443CD5">
        <w:rPr>
          <w:rFonts w:ascii="Arial" w:hAnsi="Arial" w:cs="Arial"/>
          <w:sz w:val="20"/>
          <w:szCs w:val="20"/>
        </w:rPr>
        <w:t>cover</w:t>
      </w:r>
      <w:r w:rsidRPr="00443CD5">
        <w:rPr>
          <w:rFonts w:ascii="Arial" w:hAnsi="Arial" w:cs="Arial"/>
          <w:spacing w:val="-4"/>
          <w:sz w:val="20"/>
          <w:szCs w:val="20"/>
        </w:rPr>
        <w:t xml:space="preserve"> </w:t>
      </w:r>
      <w:r w:rsidRPr="00443CD5">
        <w:rPr>
          <w:rFonts w:ascii="Arial" w:hAnsi="Arial" w:cs="Arial"/>
          <w:sz w:val="20"/>
          <w:szCs w:val="20"/>
        </w:rPr>
        <w:t>the</w:t>
      </w:r>
      <w:r w:rsidRPr="00443CD5">
        <w:rPr>
          <w:rFonts w:ascii="Arial" w:hAnsi="Arial" w:cs="Arial"/>
          <w:spacing w:val="-2"/>
          <w:sz w:val="20"/>
          <w:szCs w:val="20"/>
        </w:rPr>
        <w:t xml:space="preserve"> </w:t>
      </w:r>
      <w:r w:rsidRPr="00443CD5">
        <w:rPr>
          <w:rFonts w:ascii="Arial" w:hAnsi="Arial" w:cs="Arial"/>
          <w:sz w:val="20"/>
          <w:szCs w:val="20"/>
        </w:rPr>
        <w:t>following</w:t>
      </w:r>
      <w:r w:rsidRPr="00443CD5">
        <w:rPr>
          <w:rFonts w:ascii="Arial" w:hAnsi="Arial" w:cs="Arial"/>
          <w:spacing w:val="-4"/>
          <w:sz w:val="20"/>
          <w:szCs w:val="20"/>
        </w:rPr>
        <w:t xml:space="preserve"> </w:t>
      </w:r>
      <w:r w:rsidRPr="00443CD5">
        <w:rPr>
          <w:rFonts w:ascii="Arial" w:hAnsi="Arial" w:cs="Arial"/>
          <w:sz w:val="20"/>
          <w:szCs w:val="20"/>
        </w:rPr>
        <w:t>training</w:t>
      </w:r>
      <w:r w:rsidRPr="00443CD5">
        <w:rPr>
          <w:rFonts w:ascii="Arial" w:hAnsi="Arial" w:cs="Arial"/>
          <w:spacing w:val="-1"/>
          <w:sz w:val="20"/>
          <w:szCs w:val="20"/>
        </w:rPr>
        <w:t xml:space="preserve"> </w:t>
      </w:r>
      <w:r w:rsidRPr="00443CD5">
        <w:rPr>
          <w:rFonts w:ascii="Arial" w:hAnsi="Arial" w:cs="Arial"/>
          <w:sz w:val="20"/>
          <w:szCs w:val="20"/>
        </w:rPr>
        <w:t>items:</w:t>
      </w:r>
    </w:p>
    <w:p w14:paraId="7B47CAC4" w14:textId="77777777" w:rsidR="00443CD5" w:rsidRPr="00443CD5" w:rsidRDefault="00443CD5" w:rsidP="00682A54">
      <w:pPr>
        <w:pStyle w:val="ListParagraph"/>
        <w:numPr>
          <w:ilvl w:val="0"/>
          <w:numId w:val="212"/>
        </w:numPr>
        <w:tabs>
          <w:tab w:val="left" w:pos="706"/>
          <w:tab w:val="left" w:pos="707"/>
        </w:tabs>
        <w:rPr>
          <w:rFonts w:ascii="Arial" w:hAnsi="Arial" w:cs="Arial"/>
          <w:sz w:val="20"/>
          <w:szCs w:val="20"/>
        </w:rPr>
      </w:pPr>
      <w:r w:rsidRPr="00443CD5">
        <w:rPr>
          <w:rFonts w:ascii="Arial" w:hAnsi="Arial" w:cs="Arial"/>
          <w:sz w:val="20"/>
          <w:szCs w:val="20"/>
        </w:rPr>
        <w:t>medical</w:t>
      </w:r>
      <w:r w:rsidRPr="00443CD5">
        <w:rPr>
          <w:rFonts w:ascii="Arial" w:hAnsi="Arial" w:cs="Arial"/>
          <w:spacing w:val="-5"/>
          <w:sz w:val="20"/>
          <w:szCs w:val="20"/>
        </w:rPr>
        <w:t xml:space="preserve"> </w:t>
      </w:r>
      <w:r w:rsidRPr="00443CD5">
        <w:rPr>
          <w:rFonts w:ascii="Arial" w:hAnsi="Arial" w:cs="Arial"/>
          <w:sz w:val="20"/>
          <w:szCs w:val="20"/>
        </w:rPr>
        <w:t>or</w:t>
      </w:r>
      <w:r w:rsidRPr="00443CD5">
        <w:rPr>
          <w:rFonts w:ascii="Arial" w:hAnsi="Arial" w:cs="Arial"/>
          <w:spacing w:val="-1"/>
          <w:sz w:val="20"/>
          <w:szCs w:val="20"/>
        </w:rPr>
        <w:t xml:space="preserve"> </w:t>
      </w:r>
      <w:r w:rsidRPr="00443CD5">
        <w:rPr>
          <w:rFonts w:ascii="Arial" w:hAnsi="Arial" w:cs="Arial"/>
          <w:sz w:val="20"/>
          <w:szCs w:val="20"/>
        </w:rPr>
        <w:t>physiological</w:t>
      </w:r>
      <w:r w:rsidRPr="00443CD5">
        <w:rPr>
          <w:rFonts w:ascii="Arial" w:hAnsi="Arial" w:cs="Arial"/>
          <w:spacing w:val="-2"/>
          <w:sz w:val="20"/>
          <w:szCs w:val="20"/>
        </w:rPr>
        <w:t xml:space="preserve"> </w:t>
      </w:r>
      <w:r w:rsidRPr="00443CD5">
        <w:rPr>
          <w:rFonts w:ascii="Arial" w:hAnsi="Arial" w:cs="Arial"/>
          <w:sz w:val="20"/>
          <w:szCs w:val="20"/>
        </w:rPr>
        <w:t>aspects</w:t>
      </w:r>
      <w:r w:rsidRPr="00443CD5">
        <w:rPr>
          <w:rFonts w:ascii="Arial" w:hAnsi="Arial" w:cs="Arial"/>
          <w:spacing w:val="-3"/>
          <w:sz w:val="20"/>
          <w:szCs w:val="20"/>
        </w:rPr>
        <w:t xml:space="preserve"> </w:t>
      </w:r>
      <w:r w:rsidRPr="00443CD5">
        <w:rPr>
          <w:rFonts w:ascii="Arial" w:hAnsi="Arial" w:cs="Arial"/>
          <w:sz w:val="20"/>
          <w:szCs w:val="20"/>
        </w:rPr>
        <w:t>of</w:t>
      </w:r>
      <w:r w:rsidRPr="00443CD5">
        <w:rPr>
          <w:rFonts w:ascii="Arial" w:hAnsi="Arial" w:cs="Arial"/>
          <w:spacing w:val="-1"/>
          <w:sz w:val="20"/>
          <w:szCs w:val="20"/>
        </w:rPr>
        <w:t xml:space="preserve"> </w:t>
      </w:r>
      <w:r w:rsidRPr="00443CD5">
        <w:rPr>
          <w:rFonts w:ascii="Arial" w:hAnsi="Arial" w:cs="Arial"/>
          <w:sz w:val="20"/>
          <w:szCs w:val="20"/>
        </w:rPr>
        <w:t>night</w:t>
      </w:r>
      <w:r w:rsidRPr="00443CD5">
        <w:rPr>
          <w:rFonts w:ascii="Arial" w:hAnsi="Arial" w:cs="Arial"/>
          <w:spacing w:val="-3"/>
          <w:sz w:val="20"/>
          <w:szCs w:val="20"/>
        </w:rPr>
        <w:t xml:space="preserve"> </w:t>
      </w:r>
      <w:r w:rsidRPr="00443CD5">
        <w:rPr>
          <w:rFonts w:ascii="Arial" w:hAnsi="Arial" w:cs="Arial"/>
          <w:sz w:val="20"/>
          <w:szCs w:val="20"/>
        </w:rPr>
        <w:t>vision;</w:t>
      </w:r>
    </w:p>
    <w:p w14:paraId="0C3ACB13" w14:textId="77777777" w:rsidR="00443CD5" w:rsidRPr="00443CD5" w:rsidRDefault="00443CD5" w:rsidP="00AC3011">
      <w:pPr>
        <w:pStyle w:val="ListParagraph"/>
        <w:numPr>
          <w:ilvl w:val="0"/>
          <w:numId w:val="212"/>
        </w:numPr>
        <w:tabs>
          <w:tab w:val="left" w:pos="706"/>
          <w:tab w:val="left" w:pos="707"/>
        </w:tabs>
        <w:spacing w:before="119"/>
        <w:ind w:right="68"/>
        <w:rPr>
          <w:rFonts w:ascii="Arial" w:hAnsi="Arial" w:cs="Arial"/>
          <w:sz w:val="20"/>
          <w:szCs w:val="20"/>
        </w:rPr>
      </w:pPr>
      <w:r w:rsidRPr="00443CD5">
        <w:rPr>
          <w:rFonts w:ascii="Arial" w:hAnsi="Arial" w:cs="Arial"/>
          <w:sz w:val="20"/>
          <w:szCs w:val="20"/>
        </w:rPr>
        <w:t>flight</w:t>
      </w:r>
      <w:r w:rsidRPr="00443CD5">
        <w:rPr>
          <w:rFonts w:ascii="Arial" w:hAnsi="Arial" w:cs="Arial"/>
          <w:spacing w:val="1"/>
          <w:sz w:val="20"/>
          <w:szCs w:val="20"/>
        </w:rPr>
        <w:t xml:space="preserve"> </w:t>
      </w:r>
      <w:r w:rsidRPr="00443CD5">
        <w:rPr>
          <w:rFonts w:ascii="Arial" w:hAnsi="Arial" w:cs="Arial"/>
          <w:sz w:val="20"/>
          <w:szCs w:val="20"/>
        </w:rPr>
        <w:t>planning,</w:t>
      </w:r>
      <w:r w:rsidRPr="00443CD5">
        <w:rPr>
          <w:rFonts w:ascii="Arial" w:hAnsi="Arial" w:cs="Arial"/>
          <w:spacing w:val="1"/>
          <w:sz w:val="20"/>
          <w:szCs w:val="20"/>
        </w:rPr>
        <w:t xml:space="preserve"> </w:t>
      </w:r>
      <w:r w:rsidRPr="00443CD5">
        <w:rPr>
          <w:rFonts w:ascii="Arial" w:hAnsi="Arial" w:cs="Arial"/>
          <w:sz w:val="20"/>
          <w:szCs w:val="20"/>
        </w:rPr>
        <w:t>taking</w:t>
      </w:r>
      <w:r w:rsidRPr="00443CD5">
        <w:rPr>
          <w:rFonts w:ascii="Arial" w:hAnsi="Arial" w:cs="Arial"/>
          <w:spacing w:val="1"/>
          <w:sz w:val="20"/>
          <w:szCs w:val="20"/>
        </w:rPr>
        <w:t xml:space="preserve"> </w:t>
      </w:r>
      <w:r w:rsidRPr="00443CD5">
        <w:rPr>
          <w:rFonts w:ascii="Arial" w:hAnsi="Arial" w:cs="Arial"/>
          <w:sz w:val="20"/>
          <w:szCs w:val="20"/>
        </w:rPr>
        <w:t>into</w:t>
      </w:r>
      <w:r w:rsidRPr="00443CD5">
        <w:rPr>
          <w:rFonts w:ascii="Arial" w:hAnsi="Arial" w:cs="Arial"/>
          <w:spacing w:val="1"/>
          <w:sz w:val="20"/>
          <w:szCs w:val="20"/>
        </w:rPr>
        <w:t xml:space="preserve"> </w:t>
      </w:r>
      <w:r w:rsidRPr="00443CD5">
        <w:rPr>
          <w:rFonts w:ascii="Arial" w:hAnsi="Arial" w:cs="Arial"/>
          <w:sz w:val="20"/>
          <w:szCs w:val="20"/>
        </w:rPr>
        <w:t>account</w:t>
      </w:r>
      <w:r w:rsidRPr="00443CD5">
        <w:rPr>
          <w:rFonts w:ascii="Arial" w:hAnsi="Arial" w:cs="Arial"/>
          <w:spacing w:val="1"/>
          <w:sz w:val="20"/>
          <w:szCs w:val="20"/>
        </w:rPr>
        <w:t xml:space="preserve"> </w:t>
      </w:r>
      <w:r w:rsidRPr="00443CD5">
        <w:rPr>
          <w:rFonts w:ascii="Arial" w:hAnsi="Arial" w:cs="Arial"/>
          <w:sz w:val="20"/>
          <w:szCs w:val="20"/>
        </w:rPr>
        <w:t>the</w:t>
      </w:r>
      <w:r w:rsidRPr="00443CD5">
        <w:rPr>
          <w:rFonts w:ascii="Arial" w:hAnsi="Arial" w:cs="Arial"/>
          <w:spacing w:val="1"/>
          <w:sz w:val="20"/>
          <w:szCs w:val="20"/>
        </w:rPr>
        <w:t xml:space="preserve"> </w:t>
      </w:r>
      <w:r w:rsidRPr="00443CD5">
        <w:rPr>
          <w:rFonts w:ascii="Arial" w:hAnsi="Arial" w:cs="Arial"/>
          <w:sz w:val="20"/>
          <w:szCs w:val="20"/>
        </w:rPr>
        <w:t>obstacles</w:t>
      </w:r>
      <w:r w:rsidRPr="00443CD5">
        <w:rPr>
          <w:rFonts w:ascii="Arial" w:hAnsi="Arial" w:cs="Arial"/>
          <w:spacing w:val="1"/>
          <w:sz w:val="20"/>
          <w:szCs w:val="20"/>
        </w:rPr>
        <w:t xml:space="preserve"> </w:t>
      </w:r>
      <w:r w:rsidRPr="00443CD5">
        <w:rPr>
          <w:rFonts w:ascii="Arial" w:hAnsi="Arial" w:cs="Arial"/>
          <w:sz w:val="20"/>
          <w:szCs w:val="20"/>
        </w:rPr>
        <w:t>on</w:t>
      </w:r>
      <w:r w:rsidRPr="00443CD5">
        <w:rPr>
          <w:rFonts w:ascii="Arial" w:hAnsi="Arial" w:cs="Arial"/>
          <w:spacing w:val="1"/>
          <w:sz w:val="20"/>
          <w:szCs w:val="20"/>
        </w:rPr>
        <w:t xml:space="preserve"> </w:t>
      </w:r>
      <w:r w:rsidRPr="00443CD5">
        <w:rPr>
          <w:rFonts w:ascii="Arial" w:hAnsi="Arial" w:cs="Arial"/>
          <w:sz w:val="20"/>
          <w:szCs w:val="20"/>
        </w:rPr>
        <w:t>the</w:t>
      </w:r>
      <w:r w:rsidRPr="00443CD5">
        <w:rPr>
          <w:rFonts w:ascii="Arial" w:hAnsi="Arial" w:cs="Arial"/>
          <w:spacing w:val="1"/>
          <w:sz w:val="20"/>
          <w:szCs w:val="20"/>
        </w:rPr>
        <w:t xml:space="preserve"> </w:t>
      </w:r>
      <w:r w:rsidRPr="00443CD5">
        <w:rPr>
          <w:rFonts w:ascii="Arial" w:hAnsi="Arial" w:cs="Arial"/>
          <w:sz w:val="20"/>
          <w:szCs w:val="20"/>
        </w:rPr>
        <w:t>ground,</w:t>
      </w:r>
      <w:r w:rsidRPr="00443CD5">
        <w:rPr>
          <w:rFonts w:ascii="Arial" w:hAnsi="Arial" w:cs="Arial"/>
          <w:spacing w:val="1"/>
          <w:sz w:val="20"/>
          <w:szCs w:val="20"/>
        </w:rPr>
        <w:t xml:space="preserve"> </w:t>
      </w:r>
      <w:r w:rsidRPr="00443CD5">
        <w:rPr>
          <w:rFonts w:ascii="Arial" w:hAnsi="Arial" w:cs="Arial"/>
          <w:sz w:val="20"/>
          <w:szCs w:val="20"/>
        </w:rPr>
        <w:t>night</w:t>
      </w:r>
      <w:r w:rsidRPr="00443CD5">
        <w:rPr>
          <w:rFonts w:ascii="Arial" w:hAnsi="Arial" w:cs="Arial"/>
          <w:spacing w:val="1"/>
          <w:sz w:val="20"/>
          <w:szCs w:val="20"/>
        </w:rPr>
        <w:t xml:space="preserve"> </w:t>
      </w:r>
      <w:r w:rsidRPr="00443CD5">
        <w:rPr>
          <w:rFonts w:ascii="Arial" w:hAnsi="Arial" w:cs="Arial"/>
          <w:sz w:val="20"/>
          <w:szCs w:val="20"/>
        </w:rPr>
        <w:t>VMC</w:t>
      </w:r>
      <w:r w:rsidRPr="00443CD5">
        <w:rPr>
          <w:rFonts w:ascii="Arial" w:hAnsi="Arial" w:cs="Arial"/>
          <w:spacing w:val="1"/>
          <w:sz w:val="20"/>
          <w:szCs w:val="20"/>
        </w:rPr>
        <w:t xml:space="preserve"> </w:t>
      </w:r>
      <w:r w:rsidRPr="00443CD5">
        <w:rPr>
          <w:rFonts w:ascii="Arial" w:hAnsi="Arial" w:cs="Arial"/>
          <w:sz w:val="20"/>
          <w:szCs w:val="20"/>
        </w:rPr>
        <w:t>minima</w:t>
      </w:r>
      <w:r w:rsidRPr="00443CD5">
        <w:rPr>
          <w:rFonts w:ascii="Arial" w:hAnsi="Arial" w:cs="Arial"/>
          <w:spacing w:val="1"/>
          <w:sz w:val="20"/>
          <w:szCs w:val="20"/>
        </w:rPr>
        <w:t xml:space="preserve"> </w:t>
      </w:r>
      <w:r w:rsidRPr="00443CD5">
        <w:rPr>
          <w:rFonts w:ascii="Arial" w:hAnsi="Arial" w:cs="Arial"/>
          <w:sz w:val="20"/>
          <w:szCs w:val="20"/>
        </w:rPr>
        <w:t>and</w:t>
      </w:r>
      <w:r w:rsidRPr="00443CD5">
        <w:rPr>
          <w:rFonts w:ascii="Arial" w:hAnsi="Arial" w:cs="Arial"/>
          <w:spacing w:val="-47"/>
          <w:sz w:val="20"/>
          <w:szCs w:val="20"/>
        </w:rPr>
        <w:t xml:space="preserve"> </w:t>
      </w:r>
      <w:r w:rsidRPr="00443CD5">
        <w:rPr>
          <w:rFonts w:ascii="Arial" w:hAnsi="Arial" w:cs="Arial"/>
          <w:sz w:val="20"/>
          <w:szCs w:val="20"/>
        </w:rPr>
        <w:t>airspace;</w:t>
      </w:r>
    </w:p>
    <w:p w14:paraId="468D53C5" w14:textId="77777777" w:rsidR="00443CD5" w:rsidRPr="00443CD5" w:rsidRDefault="00443CD5" w:rsidP="00682A54">
      <w:pPr>
        <w:pStyle w:val="ListParagraph"/>
        <w:numPr>
          <w:ilvl w:val="0"/>
          <w:numId w:val="212"/>
        </w:numPr>
        <w:tabs>
          <w:tab w:val="left" w:pos="706"/>
          <w:tab w:val="left" w:pos="707"/>
        </w:tabs>
        <w:rPr>
          <w:rFonts w:ascii="Arial" w:hAnsi="Arial" w:cs="Arial"/>
          <w:sz w:val="20"/>
          <w:szCs w:val="20"/>
        </w:rPr>
      </w:pPr>
      <w:r w:rsidRPr="00443CD5">
        <w:rPr>
          <w:rFonts w:ascii="Arial" w:hAnsi="Arial" w:cs="Arial"/>
          <w:sz w:val="20"/>
          <w:szCs w:val="20"/>
        </w:rPr>
        <w:t>use of</w:t>
      </w:r>
      <w:r w:rsidRPr="00443CD5">
        <w:rPr>
          <w:rFonts w:ascii="Arial" w:hAnsi="Arial" w:cs="Arial"/>
          <w:spacing w:val="-4"/>
          <w:sz w:val="20"/>
          <w:szCs w:val="20"/>
        </w:rPr>
        <w:t xml:space="preserve"> </w:t>
      </w:r>
      <w:r w:rsidRPr="00443CD5">
        <w:rPr>
          <w:rFonts w:ascii="Arial" w:hAnsi="Arial" w:cs="Arial"/>
          <w:sz w:val="20"/>
          <w:szCs w:val="20"/>
        </w:rPr>
        <w:t>lights</w:t>
      </w:r>
      <w:r w:rsidRPr="00443CD5">
        <w:rPr>
          <w:rFonts w:ascii="Arial" w:hAnsi="Arial" w:cs="Arial"/>
          <w:spacing w:val="1"/>
          <w:sz w:val="20"/>
          <w:szCs w:val="20"/>
        </w:rPr>
        <w:t xml:space="preserve"> </w:t>
      </w:r>
      <w:r w:rsidRPr="00443CD5">
        <w:rPr>
          <w:rFonts w:ascii="Arial" w:hAnsi="Arial" w:cs="Arial"/>
          <w:sz w:val="20"/>
          <w:szCs w:val="20"/>
        </w:rPr>
        <w:t>for</w:t>
      </w:r>
      <w:r w:rsidRPr="00443CD5">
        <w:rPr>
          <w:rFonts w:ascii="Arial" w:hAnsi="Arial" w:cs="Arial"/>
          <w:spacing w:val="-1"/>
          <w:sz w:val="20"/>
          <w:szCs w:val="20"/>
        </w:rPr>
        <w:t xml:space="preserve"> </w:t>
      </w:r>
      <w:r w:rsidRPr="00443CD5">
        <w:rPr>
          <w:rFonts w:ascii="Arial" w:hAnsi="Arial" w:cs="Arial"/>
          <w:sz w:val="20"/>
          <w:szCs w:val="20"/>
        </w:rPr>
        <w:t>assembly,</w:t>
      </w:r>
      <w:r w:rsidRPr="00443CD5">
        <w:rPr>
          <w:rFonts w:ascii="Arial" w:hAnsi="Arial" w:cs="Arial"/>
          <w:spacing w:val="-1"/>
          <w:sz w:val="20"/>
          <w:szCs w:val="20"/>
        </w:rPr>
        <w:t xml:space="preserve"> </w:t>
      </w:r>
      <w:r w:rsidRPr="00443CD5">
        <w:rPr>
          <w:rFonts w:ascii="Arial" w:hAnsi="Arial" w:cs="Arial"/>
          <w:sz w:val="20"/>
          <w:szCs w:val="20"/>
        </w:rPr>
        <w:t>layout</w:t>
      </w:r>
      <w:r w:rsidRPr="00443CD5">
        <w:rPr>
          <w:rFonts w:ascii="Arial" w:hAnsi="Arial" w:cs="Arial"/>
          <w:spacing w:val="-2"/>
          <w:sz w:val="20"/>
          <w:szCs w:val="20"/>
        </w:rPr>
        <w:t xml:space="preserve"> </w:t>
      </w:r>
      <w:r w:rsidRPr="00443CD5">
        <w:rPr>
          <w:rFonts w:ascii="Arial" w:hAnsi="Arial" w:cs="Arial"/>
          <w:sz w:val="20"/>
          <w:szCs w:val="20"/>
        </w:rPr>
        <w:t>and</w:t>
      </w:r>
      <w:r w:rsidRPr="00443CD5">
        <w:rPr>
          <w:rFonts w:ascii="Arial" w:hAnsi="Arial" w:cs="Arial"/>
          <w:spacing w:val="-2"/>
          <w:sz w:val="20"/>
          <w:szCs w:val="20"/>
        </w:rPr>
        <w:t xml:space="preserve"> </w:t>
      </w:r>
      <w:r w:rsidRPr="00443CD5">
        <w:rPr>
          <w:rFonts w:ascii="Arial" w:hAnsi="Arial" w:cs="Arial"/>
          <w:sz w:val="20"/>
          <w:szCs w:val="20"/>
        </w:rPr>
        <w:t>inflation;</w:t>
      </w:r>
    </w:p>
    <w:p w14:paraId="36D38B6D" w14:textId="77777777" w:rsidR="00443CD5" w:rsidRPr="00443CD5" w:rsidRDefault="00443CD5" w:rsidP="00682A54">
      <w:pPr>
        <w:pStyle w:val="ListParagraph"/>
        <w:numPr>
          <w:ilvl w:val="0"/>
          <w:numId w:val="212"/>
        </w:numPr>
        <w:tabs>
          <w:tab w:val="left" w:pos="706"/>
          <w:tab w:val="left" w:pos="707"/>
        </w:tabs>
        <w:rPr>
          <w:rFonts w:ascii="Arial" w:hAnsi="Arial" w:cs="Arial"/>
          <w:sz w:val="20"/>
          <w:szCs w:val="20"/>
        </w:rPr>
      </w:pPr>
      <w:r w:rsidRPr="00443CD5">
        <w:rPr>
          <w:rFonts w:ascii="Arial" w:hAnsi="Arial" w:cs="Arial"/>
          <w:sz w:val="20"/>
          <w:szCs w:val="20"/>
        </w:rPr>
        <w:t>requirement</w:t>
      </w:r>
      <w:r w:rsidRPr="00443CD5">
        <w:rPr>
          <w:rFonts w:ascii="Arial" w:hAnsi="Arial" w:cs="Arial"/>
          <w:spacing w:val="-1"/>
          <w:sz w:val="20"/>
          <w:szCs w:val="20"/>
        </w:rPr>
        <w:t xml:space="preserve"> </w:t>
      </w:r>
      <w:r w:rsidRPr="00443CD5">
        <w:rPr>
          <w:rFonts w:ascii="Arial" w:hAnsi="Arial" w:cs="Arial"/>
          <w:sz w:val="20"/>
          <w:szCs w:val="20"/>
        </w:rPr>
        <w:t>for</w:t>
      </w:r>
      <w:r w:rsidRPr="00443CD5">
        <w:rPr>
          <w:rFonts w:ascii="Arial" w:hAnsi="Arial" w:cs="Arial"/>
          <w:spacing w:val="-1"/>
          <w:sz w:val="20"/>
          <w:szCs w:val="20"/>
        </w:rPr>
        <w:t xml:space="preserve"> </w:t>
      </w:r>
      <w:r w:rsidRPr="00443CD5">
        <w:rPr>
          <w:rFonts w:ascii="Arial" w:hAnsi="Arial" w:cs="Arial"/>
          <w:sz w:val="20"/>
          <w:szCs w:val="20"/>
        </w:rPr>
        <w:t>torch</w:t>
      </w:r>
      <w:r w:rsidRPr="00443CD5">
        <w:rPr>
          <w:rFonts w:ascii="Arial" w:hAnsi="Arial" w:cs="Arial"/>
          <w:spacing w:val="-4"/>
          <w:sz w:val="20"/>
          <w:szCs w:val="20"/>
        </w:rPr>
        <w:t xml:space="preserve"> </w:t>
      </w:r>
      <w:r w:rsidRPr="00443CD5">
        <w:rPr>
          <w:rFonts w:ascii="Arial" w:hAnsi="Arial" w:cs="Arial"/>
          <w:sz w:val="20"/>
          <w:szCs w:val="20"/>
        </w:rPr>
        <w:t>to</w:t>
      </w:r>
      <w:r w:rsidRPr="00443CD5">
        <w:rPr>
          <w:rFonts w:ascii="Arial" w:hAnsi="Arial" w:cs="Arial"/>
          <w:spacing w:val="-2"/>
          <w:sz w:val="20"/>
          <w:szCs w:val="20"/>
        </w:rPr>
        <w:t xml:space="preserve"> </w:t>
      </w:r>
      <w:r w:rsidRPr="00443CD5">
        <w:rPr>
          <w:rFonts w:ascii="Arial" w:hAnsi="Arial" w:cs="Arial"/>
          <w:sz w:val="20"/>
          <w:szCs w:val="20"/>
        </w:rPr>
        <w:t>be</w:t>
      </w:r>
      <w:r w:rsidRPr="00443CD5">
        <w:rPr>
          <w:rFonts w:ascii="Arial" w:hAnsi="Arial" w:cs="Arial"/>
          <w:spacing w:val="-1"/>
          <w:sz w:val="20"/>
          <w:szCs w:val="20"/>
        </w:rPr>
        <w:t xml:space="preserve"> </w:t>
      </w:r>
      <w:r w:rsidRPr="00443CD5">
        <w:rPr>
          <w:rFonts w:ascii="Arial" w:hAnsi="Arial" w:cs="Arial"/>
          <w:sz w:val="20"/>
          <w:szCs w:val="20"/>
        </w:rPr>
        <w:t>carried,</w:t>
      </w:r>
      <w:r w:rsidRPr="00443CD5">
        <w:rPr>
          <w:rFonts w:ascii="Arial" w:hAnsi="Arial" w:cs="Arial"/>
          <w:spacing w:val="-4"/>
          <w:sz w:val="20"/>
          <w:szCs w:val="20"/>
        </w:rPr>
        <w:t xml:space="preserve"> </w:t>
      </w:r>
      <w:r w:rsidRPr="00443CD5">
        <w:rPr>
          <w:rFonts w:ascii="Arial" w:hAnsi="Arial" w:cs="Arial"/>
          <w:sz w:val="20"/>
          <w:szCs w:val="20"/>
        </w:rPr>
        <w:t>(pre-flight</w:t>
      </w:r>
      <w:r w:rsidRPr="00443CD5">
        <w:rPr>
          <w:rFonts w:ascii="Arial" w:hAnsi="Arial" w:cs="Arial"/>
          <w:spacing w:val="-1"/>
          <w:sz w:val="20"/>
          <w:szCs w:val="20"/>
        </w:rPr>
        <w:t xml:space="preserve"> </w:t>
      </w:r>
      <w:r w:rsidRPr="00443CD5">
        <w:rPr>
          <w:rFonts w:ascii="Arial" w:hAnsi="Arial" w:cs="Arial"/>
          <w:sz w:val="20"/>
          <w:szCs w:val="20"/>
        </w:rPr>
        <w:t>inspection,</w:t>
      </w:r>
      <w:r w:rsidRPr="00443CD5">
        <w:rPr>
          <w:rFonts w:ascii="Arial" w:hAnsi="Arial" w:cs="Arial"/>
          <w:spacing w:val="-3"/>
          <w:sz w:val="20"/>
          <w:szCs w:val="20"/>
        </w:rPr>
        <w:t xml:space="preserve"> </w:t>
      </w:r>
      <w:r w:rsidRPr="00443CD5">
        <w:rPr>
          <w:rFonts w:ascii="Arial" w:hAnsi="Arial" w:cs="Arial"/>
          <w:sz w:val="20"/>
          <w:szCs w:val="20"/>
        </w:rPr>
        <w:t>etc.);</w:t>
      </w:r>
    </w:p>
    <w:p w14:paraId="6C98ACC9" w14:textId="77777777" w:rsidR="00443CD5" w:rsidRPr="00443CD5" w:rsidRDefault="00443CD5" w:rsidP="00682A54">
      <w:pPr>
        <w:pStyle w:val="ListParagraph"/>
        <w:numPr>
          <w:ilvl w:val="0"/>
          <w:numId w:val="212"/>
        </w:numPr>
        <w:tabs>
          <w:tab w:val="left" w:pos="706"/>
          <w:tab w:val="left" w:pos="707"/>
        </w:tabs>
        <w:spacing w:before="121"/>
        <w:rPr>
          <w:rFonts w:ascii="Arial" w:hAnsi="Arial" w:cs="Arial"/>
          <w:sz w:val="20"/>
          <w:szCs w:val="20"/>
        </w:rPr>
      </w:pPr>
      <w:r w:rsidRPr="00443CD5">
        <w:rPr>
          <w:rFonts w:ascii="Arial" w:hAnsi="Arial" w:cs="Arial"/>
          <w:sz w:val="20"/>
          <w:szCs w:val="20"/>
        </w:rPr>
        <w:t>use of</w:t>
      </w:r>
      <w:r w:rsidRPr="00443CD5">
        <w:rPr>
          <w:rFonts w:ascii="Arial" w:hAnsi="Arial" w:cs="Arial"/>
          <w:spacing w:val="-3"/>
          <w:sz w:val="20"/>
          <w:szCs w:val="20"/>
        </w:rPr>
        <w:t xml:space="preserve"> </w:t>
      </w:r>
      <w:r w:rsidRPr="00443CD5">
        <w:rPr>
          <w:rFonts w:ascii="Arial" w:hAnsi="Arial" w:cs="Arial"/>
          <w:sz w:val="20"/>
          <w:szCs w:val="20"/>
        </w:rPr>
        <w:t>the</w:t>
      </w:r>
      <w:r w:rsidRPr="00443CD5">
        <w:rPr>
          <w:rFonts w:ascii="Arial" w:hAnsi="Arial" w:cs="Arial"/>
          <w:spacing w:val="-2"/>
          <w:sz w:val="20"/>
          <w:szCs w:val="20"/>
        </w:rPr>
        <w:t xml:space="preserve"> </w:t>
      </w:r>
      <w:r w:rsidRPr="00443CD5">
        <w:rPr>
          <w:rFonts w:ascii="Arial" w:hAnsi="Arial" w:cs="Arial"/>
          <w:sz w:val="20"/>
          <w:szCs w:val="20"/>
        </w:rPr>
        <w:t>external and</w:t>
      </w:r>
      <w:r w:rsidRPr="00443CD5">
        <w:rPr>
          <w:rFonts w:ascii="Arial" w:hAnsi="Arial" w:cs="Arial"/>
          <w:spacing w:val="-2"/>
          <w:sz w:val="20"/>
          <w:szCs w:val="20"/>
        </w:rPr>
        <w:t xml:space="preserve"> </w:t>
      </w:r>
      <w:r w:rsidRPr="00443CD5">
        <w:rPr>
          <w:rFonts w:ascii="Arial" w:hAnsi="Arial" w:cs="Arial"/>
          <w:sz w:val="20"/>
          <w:szCs w:val="20"/>
        </w:rPr>
        <w:t>instrument lights;</w:t>
      </w:r>
    </w:p>
    <w:p w14:paraId="38299335" w14:textId="77777777" w:rsidR="00443CD5" w:rsidRPr="00443CD5" w:rsidRDefault="00443CD5" w:rsidP="00682A54">
      <w:pPr>
        <w:pStyle w:val="ListParagraph"/>
        <w:numPr>
          <w:ilvl w:val="0"/>
          <w:numId w:val="212"/>
        </w:numPr>
        <w:tabs>
          <w:tab w:val="left" w:pos="706"/>
          <w:tab w:val="left" w:pos="707"/>
        </w:tabs>
        <w:rPr>
          <w:rFonts w:ascii="Arial" w:hAnsi="Arial" w:cs="Arial"/>
          <w:sz w:val="20"/>
          <w:szCs w:val="20"/>
        </w:rPr>
      </w:pPr>
      <w:r w:rsidRPr="00443CD5">
        <w:rPr>
          <w:rFonts w:ascii="Arial" w:hAnsi="Arial" w:cs="Arial"/>
          <w:sz w:val="20"/>
          <w:szCs w:val="20"/>
        </w:rPr>
        <w:t>night</w:t>
      </w:r>
      <w:r w:rsidRPr="00443CD5">
        <w:rPr>
          <w:rFonts w:ascii="Arial" w:hAnsi="Arial" w:cs="Arial"/>
          <w:spacing w:val="-2"/>
          <w:sz w:val="20"/>
          <w:szCs w:val="20"/>
        </w:rPr>
        <w:t xml:space="preserve"> </w:t>
      </w:r>
      <w:r w:rsidRPr="00443CD5">
        <w:rPr>
          <w:rFonts w:ascii="Arial" w:hAnsi="Arial" w:cs="Arial"/>
          <w:sz w:val="20"/>
          <w:szCs w:val="20"/>
        </w:rPr>
        <w:t>take-off</w:t>
      </w:r>
      <w:r w:rsidRPr="00443CD5">
        <w:rPr>
          <w:rFonts w:ascii="Arial" w:hAnsi="Arial" w:cs="Arial"/>
          <w:spacing w:val="-1"/>
          <w:sz w:val="20"/>
          <w:szCs w:val="20"/>
        </w:rPr>
        <w:t xml:space="preserve"> </w:t>
      </w:r>
      <w:r w:rsidRPr="00443CD5">
        <w:rPr>
          <w:rFonts w:ascii="Arial" w:hAnsi="Arial" w:cs="Arial"/>
          <w:sz w:val="20"/>
          <w:szCs w:val="20"/>
        </w:rPr>
        <w:t>procedure;</w:t>
      </w:r>
    </w:p>
    <w:p w14:paraId="2E011938" w14:textId="77777777" w:rsidR="00443CD5" w:rsidRPr="00443CD5" w:rsidRDefault="00443CD5" w:rsidP="00682A54">
      <w:pPr>
        <w:pStyle w:val="ListParagraph"/>
        <w:numPr>
          <w:ilvl w:val="0"/>
          <w:numId w:val="212"/>
        </w:numPr>
        <w:tabs>
          <w:tab w:val="left" w:pos="706"/>
          <w:tab w:val="left" w:pos="707"/>
        </w:tabs>
        <w:rPr>
          <w:rFonts w:ascii="Arial" w:hAnsi="Arial" w:cs="Arial"/>
          <w:sz w:val="20"/>
          <w:szCs w:val="20"/>
        </w:rPr>
      </w:pPr>
      <w:r w:rsidRPr="00443CD5">
        <w:rPr>
          <w:rFonts w:ascii="Arial" w:hAnsi="Arial" w:cs="Arial"/>
          <w:sz w:val="20"/>
          <w:szCs w:val="20"/>
        </w:rPr>
        <w:t>checklist</w:t>
      </w:r>
      <w:r w:rsidRPr="00443CD5">
        <w:rPr>
          <w:rFonts w:ascii="Arial" w:hAnsi="Arial" w:cs="Arial"/>
          <w:spacing w:val="-5"/>
          <w:sz w:val="20"/>
          <w:szCs w:val="20"/>
        </w:rPr>
        <w:t xml:space="preserve"> </w:t>
      </w:r>
      <w:r w:rsidRPr="00443CD5">
        <w:rPr>
          <w:rFonts w:ascii="Arial" w:hAnsi="Arial" w:cs="Arial"/>
          <w:sz w:val="20"/>
          <w:szCs w:val="20"/>
        </w:rPr>
        <w:t>procedures</w:t>
      </w:r>
      <w:r w:rsidRPr="00443CD5">
        <w:rPr>
          <w:rFonts w:ascii="Arial" w:hAnsi="Arial" w:cs="Arial"/>
          <w:spacing w:val="-1"/>
          <w:sz w:val="20"/>
          <w:szCs w:val="20"/>
        </w:rPr>
        <w:t xml:space="preserve"> </w:t>
      </w:r>
      <w:r w:rsidRPr="00443CD5">
        <w:rPr>
          <w:rFonts w:ascii="Arial" w:hAnsi="Arial" w:cs="Arial"/>
          <w:sz w:val="20"/>
          <w:szCs w:val="20"/>
        </w:rPr>
        <w:t>at</w:t>
      </w:r>
      <w:r w:rsidRPr="00443CD5">
        <w:rPr>
          <w:rFonts w:ascii="Arial" w:hAnsi="Arial" w:cs="Arial"/>
          <w:spacing w:val="-1"/>
          <w:sz w:val="20"/>
          <w:szCs w:val="20"/>
        </w:rPr>
        <w:t xml:space="preserve"> </w:t>
      </w:r>
      <w:r w:rsidRPr="00443CD5">
        <w:rPr>
          <w:rFonts w:ascii="Arial" w:hAnsi="Arial" w:cs="Arial"/>
          <w:sz w:val="20"/>
          <w:szCs w:val="20"/>
        </w:rPr>
        <w:t>night;</w:t>
      </w:r>
    </w:p>
    <w:p w14:paraId="7B313F53" w14:textId="77777777" w:rsidR="00443CD5" w:rsidRPr="00443CD5" w:rsidRDefault="00443CD5" w:rsidP="00682A54">
      <w:pPr>
        <w:pStyle w:val="ListParagraph"/>
        <w:numPr>
          <w:ilvl w:val="0"/>
          <w:numId w:val="212"/>
        </w:numPr>
        <w:tabs>
          <w:tab w:val="left" w:pos="706"/>
          <w:tab w:val="left" w:pos="707"/>
        </w:tabs>
        <w:rPr>
          <w:rFonts w:ascii="Arial" w:hAnsi="Arial" w:cs="Arial"/>
          <w:sz w:val="20"/>
          <w:szCs w:val="20"/>
        </w:rPr>
      </w:pPr>
      <w:r w:rsidRPr="00443CD5">
        <w:rPr>
          <w:rFonts w:ascii="Arial" w:hAnsi="Arial" w:cs="Arial"/>
          <w:sz w:val="20"/>
          <w:szCs w:val="20"/>
        </w:rPr>
        <w:t>emergency</w:t>
      </w:r>
      <w:r w:rsidRPr="00443CD5">
        <w:rPr>
          <w:rFonts w:ascii="Arial" w:hAnsi="Arial" w:cs="Arial"/>
          <w:spacing w:val="-4"/>
          <w:sz w:val="20"/>
          <w:szCs w:val="20"/>
        </w:rPr>
        <w:t xml:space="preserve"> </w:t>
      </w:r>
      <w:r w:rsidRPr="00443CD5">
        <w:rPr>
          <w:rFonts w:ascii="Arial" w:hAnsi="Arial" w:cs="Arial"/>
          <w:sz w:val="20"/>
          <w:szCs w:val="20"/>
        </w:rPr>
        <w:t>procedures</w:t>
      </w:r>
      <w:r w:rsidRPr="00443CD5">
        <w:rPr>
          <w:rFonts w:ascii="Arial" w:hAnsi="Arial" w:cs="Arial"/>
          <w:spacing w:val="-2"/>
          <w:sz w:val="20"/>
          <w:szCs w:val="20"/>
        </w:rPr>
        <w:t xml:space="preserve"> </w:t>
      </w:r>
      <w:r w:rsidRPr="00443CD5">
        <w:rPr>
          <w:rFonts w:ascii="Arial" w:hAnsi="Arial" w:cs="Arial"/>
          <w:sz w:val="20"/>
          <w:szCs w:val="20"/>
        </w:rPr>
        <w:t>at</w:t>
      </w:r>
      <w:r w:rsidRPr="00443CD5">
        <w:rPr>
          <w:rFonts w:ascii="Arial" w:hAnsi="Arial" w:cs="Arial"/>
          <w:spacing w:val="-1"/>
          <w:sz w:val="20"/>
          <w:szCs w:val="20"/>
        </w:rPr>
        <w:t xml:space="preserve"> </w:t>
      </w:r>
      <w:r w:rsidRPr="00443CD5">
        <w:rPr>
          <w:rFonts w:ascii="Arial" w:hAnsi="Arial" w:cs="Arial"/>
          <w:sz w:val="20"/>
          <w:szCs w:val="20"/>
        </w:rPr>
        <w:t>night;</w:t>
      </w:r>
    </w:p>
    <w:p w14:paraId="2B574605" w14:textId="77777777" w:rsidR="00443CD5" w:rsidRPr="00443CD5" w:rsidRDefault="00443CD5" w:rsidP="00682A54">
      <w:pPr>
        <w:pStyle w:val="ListParagraph"/>
        <w:numPr>
          <w:ilvl w:val="0"/>
          <w:numId w:val="212"/>
        </w:numPr>
        <w:tabs>
          <w:tab w:val="left" w:pos="706"/>
          <w:tab w:val="left" w:pos="707"/>
        </w:tabs>
        <w:spacing w:before="121"/>
        <w:rPr>
          <w:rFonts w:ascii="Arial" w:hAnsi="Arial" w:cs="Arial"/>
          <w:sz w:val="20"/>
          <w:szCs w:val="20"/>
        </w:rPr>
      </w:pPr>
      <w:r w:rsidRPr="00443CD5">
        <w:rPr>
          <w:rFonts w:ascii="Arial" w:hAnsi="Arial" w:cs="Arial"/>
          <w:sz w:val="20"/>
          <w:szCs w:val="20"/>
        </w:rPr>
        <w:t>night</w:t>
      </w:r>
      <w:r w:rsidRPr="00443CD5">
        <w:rPr>
          <w:rFonts w:ascii="Arial" w:hAnsi="Arial" w:cs="Arial"/>
          <w:spacing w:val="-2"/>
          <w:sz w:val="20"/>
          <w:szCs w:val="20"/>
        </w:rPr>
        <w:t xml:space="preserve"> </w:t>
      </w:r>
      <w:r w:rsidRPr="00443CD5">
        <w:rPr>
          <w:rFonts w:ascii="Arial" w:hAnsi="Arial" w:cs="Arial"/>
          <w:sz w:val="20"/>
          <w:szCs w:val="20"/>
        </w:rPr>
        <w:t>cross-country</w:t>
      </w:r>
      <w:r w:rsidRPr="00443CD5">
        <w:rPr>
          <w:rFonts w:ascii="Arial" w:hAnsi="Arial" w:cs="Arial"/>
          <w:spacing w:val="-2"/>
          <w:sz w:val="20"/>
          <w:szCs w:val="20"/>
        </w:rPr>
        <w:t xml:space="preserve"> </w:t>
      </w:r>
      <w:r w:rsidRPr="00443CD5">
        <w:rPr>
          <w:rFonts w:ascii="Arial" w:hAnsi="Arial" w:cs="Arial"/>
          <w:sz w:val="20"/>
          <w:szCs w:val="20"/>
        </w:rPr>
        <w:t>techniques,</w:t>
      </w:r>
      <w:r w:rsidRPr="00443CD5">
        <w:rPr>
          <w:rFonts w:ascii="Arial" w:hAnsi="Arial" w:cs="Arial"/>
          <w:spacing w:val="-1"/>
          <w:sz w:val="20"/>
          <w:szCs w:val="20"/>
        </w:rPr>
        <w:t xml:space="preserve"> </w:t>
      </w:r>
      <w:r w:rsidRPr="00443CD5">
        <w:rPr>
          <w:rFonts w:ascii="Arial" w:hAnsi="Arial" w:cs="Arial"/>
          <w:sz w:val="20"/>
          <w:szCs w:val="20"/>
        </w:rPr>
        <w:t>as</w:t>
      </w:r>
      <w:r w:rsidRPr="00443CD5">
        <w:rPr>
          <w:rFonts w:ascii="Arial" w:hAnsi="Arial" w:cs="Arial"/>
          <w:spacing w:val="-2"/>
          <w:sz w:val="20"/>
          <w:szCs w:val="20"/>
        </w:rPr>
        <w:t xml:space="preserve"> </w:t>
      </w:r>
      <w:r w:rsidRPr="00443CD5">
        <w:rPr>
          <w:rFonts w:ascii="Arial" w:hAnsi="Arial" w:cs="Arial"/>
          <w:sz w:val="20"/>
          <w:szCs w:val="20"/>
        </w:rPr>
        <w:t>appropriate;</w:t>
      </w:r>
    </w:p>
    <w:p w14:paraId="4E25F2D3" w14:textId="77777777" w:rsidR="00443CD5" w:rsidRPr="00443CD5" w:rsidRDefault="00443CD5" w:rsidP="00682A54">
      <w:pPr>
        <w:pStyle w:val="ListParagraph"/>
        <w:numPr>
          <w:ilvl w:val="0"/>
          <w:numId w:val="212"/>
        </w:numPr>
        <w:tabs>
          <w:tab w:val="left" w:pos="706"/>
          <w:tab w:val="left" w:pos="707"/>
        </w:tabs>
        <w:rPr>
          <w:rFonts w:ascii="Arial" w:hAnsi="Arial" w:cs="Arial"/>
          <w:sz w:val="20"/>
          <w:szCs w:val="20"/>
        </w:rPr>
      </w:pPr>
      <w:r w:rsidRPr="00443CD5">
        <w:rPr>
          <w:rFonts w:ascii="Arial" w:hAnsi="Arial" w:cs="Arial"/>
          <w:sz w:val="20"/>
          <w:szCs w:val="20"/>
        </w:rPr>
        <w:t>navigation</w:t>
      </w:r>
      <w:r w:rsidRPr="00443CD5">
        <w:rPr>
          <w:rFonts w:ascii="Arial" w:hAnsi="Arial" w:cs="Arial"/>
          <w:spacing w:val="-3"/>
          <w:sz w:val="20"/>
          <w:szCs w:val="20"/>
        </w:rPr>
        <w:t xml:space="preserve"> </w:t>
      </w:r>
      <w:r w:rsidRPr="00443CD5">
        <w:rPr>
          <w:rFonts w:ascii="Arial" w:hAnsi="Arial" w:cs="Arial"/>
          <w:sz w:val="20"/>
          <w:szCs w:val="20"/>
        </w:rPr>
        <w:t>principles</w:t>
      </w:r>
      <w:r w:rsidRPr="00443CD5">
        <w:rPr>
          <w:rFonts w:ascii="Arial" w:hAnsi="Arial" w:cs="Arial"/>
          <w:spacing w:val="-1"/>
          <w:sz w:val="20"/>
          <w:szCs w:val="20"/>
        </w:rPr>
        <w:t xml:space="preserve"> </w:t>
      </w:r>
      <w:r w:rsidRPr="00443CD5">
        <w:rPr>
          <w:rFonts w:ascii="Arial" w:hAnsi="Arial" w:cs="Arial"/>
          <w:sz w:val="20"/>
          <w:szCs w:val="20"/>
        </w:rPr>
        <w:t>at</w:t>
      </w:r>
      <w:r w:rsidRPr="00443CD5">
        <w:rPr>
          <w:rFonts w:ascii="Arial" w:hAnsi="Arial" w:cs="Arial"/>
          <w:spacing w:val="-3"/>
          <w:sz w:val="20"/>
          <w:szCs w:val="20"/>
        </w:rPr>
        <w:t xml:space="preserve"> </w:t>
      </w:r>
      <w:r w:rsidRPr="00443CD5">
        <w:rPr>
          <w:rFonts w:ascii="Arial" w:hAnsi="Arial" w:cs="Arial"/>
          <w:sz w:val="20"/>
          <w:szCs w:val="20"/>
        </w:rPr>
        <w:t>night;</w:t>
      </w:r>
    </w:p>
    <w:p w14:paraId="20E16DA8" w14:textId="77777777" w:rsidR="00443CD5" w:rsidRPr="00443CD5" w:rsidRDefault="00443CD5" w:rsidP="00682A54">
      <w:pPr>
        <w:pStyle w:val="ListParagraph"/>
        <w:numPr>
          <w:ilvl w:val="0"/>
          <w:numId w:val="212"/>
        </w:numPr>
        <w:tabs>
          <w:tab w:val="left" w:pos="706"/>
          <w:tab w:val="left" w:pos="707"/>
        </w:tabs>
        <w:spacing w:before="118"/>
        <w:rPr>
          <w:rFonts w:ascii="Arial" w:hAnsi="Arial" w:cs="Arial"/>
          <w:sz w:val="20"/>
          <w:szCs w:val="20"/>
        </w:rPr>
      </w:pPr>
      <w:r w:rsidRPr="00443CD5">
        <w:rPr>
          <w:rFonts w:ascii="Arial" w:hAnsi="Arial" w:cs="Arial"/>
          <w:sz w:val="20"/>
          <w:szCs w:val="20"/>
        </w:rPr>
        <w:t>night</w:t>
      </w:r>
      <w:r w:rsidRPr="00443CD5">
        <w:rPr>
          <w:rFonts w:ascii="Arial" w:hAnsi="Arial" w:cs="Arial"/>
          <w:spacing w:val="-1"/>
          <w:sz w:val="20"/>
          <w:szCs w:val="20"/>
        </w:rPr>
        <w:t xml:space="preserve"> </w:t>
      </w:r>
      <w:r w:rsidRPr="00443CD5">
        <w:rPr>
          <w:rFonts w:ascii="Arial" w:hAnsi="Arial" w:cs="Arial"/>
          <w:sz w:val="20"/>
          <w:szCs w:val="20"/>
        </w:rPr>
        <w:t>landings (emergency</w:t>
      </w:r>
      <w:r w:rsidRPr="00443CD5">
        <w:rPr>
          <w:rFonts w:ascii="Arial" w:hAnsi="Arial" w:cs="Arial"/>
          <w:spacing w:val="-5"/>
          <w:sz w:val="20"/>
          <w:szCs w:val="20"/>
        </w:rPr>
        <w:t xml:space="preserve"> </w:t>
      </w:r>
      <w:r w:rsidRPr="00443CD5">
        <w:rPr>
          <w:rFonts w:ascii="Arial" w:hAnsi="Arial" w:cs="Arial"/>
          <w:sz w:val="20"/>
          <w:szCs w:val="20"/>
        </w:rPr>
        <w:t>procedure</w:t>
      </w:r>
      <w:r w:rsidRPr="00443CD5">
        <w:rPr>
          <w:rFonts w:ascii="Arial" w:hAnsi="Arial" w:cs="Arial"/>
          <w:spacing w:val="-2"/>
          <w:sz w:val="20"/>
          <w:szCs w:val="20"/>
        </w:rPr>
        <w:t xml:space="preserve"> </w:t>
      </w:r>
      <w:r w:rsidRPr="00443CD5">
        <w:rPr>
          <w:rFonts w:ascii="Arial" w:hAnsi="Arial" w:cs="Arial"/>
          <w:sz w:val="20"/>
          <w:szCs w:val="20"/>
        </w:rPr>
        <w:t>in the</w:t>
      </w:r>
      <w:r w:rsidRPr="00443CD5">
        <w:rPr>
          <w:rFonts w:ascii="Arial" w:hAnsi="Arial" w:cs="Arial"/>
          <w:spacing w:val="-3"/>
          <w:sz w:val="20"/>
          <w:szCs w:val="20"/>
        </w:rPr>
        <w:t xml:space="preserve"> </w:t>
      </w:r>
      <w:r w:rsidRPr="00443CD5">
        <w:rPr>
          <w:rFonts w:ascii="Arial" w:hAnsi="Arial" w:cs="Arial"/>
          <w:sz w:val="20"/>
          <w:szCs w:val="20"/>
        </w:rPr>
        <w:t>case</w:t>
      </w:r>
      <w:r w:rsidRPr="00443CD5">
        <w:rPr>
          <w:rFonts w:ascii="Arial" w:hAnsi="Arial" w:cs="Arial"/>
          <w:spacing w:val="-2"/>
          <w:sz w:val="20"/>
          <w:szCs w:val="20"/>
        </w:rPr>
        <w:t xml:space="preserve"> </w:t>
      </w:r>
      <w:r w:rsidRPr="00443CD5">
        <w:rPr>
          <w:rFonts w:ascii="Arial" w:hAnsi="Arial" w:cs="Arial"/>
          <w:sz w:val="20"/>
          <w:szCs w:val="20"/>
        </w:rPr>
        <w:t>of</w:t>
      </w:r>
      <w:r w:rsidRPr="00443CD5">
        <w:rPr>
          <w:rFonts w:ascii="Arial" w:hAnsi="Arial" w:cs="Arial"/>
          <w:spacing w:val="-1"/>
          <w:sz w:val="20"/>
          <w:szCs w:val="20"/>
        </w:rPr>
        <w:t xml:space="preserve"> </w:t>
      </w:r>
      <w:r w:rsidRPr="00443CD5">
        <w:rPr>
          <w:rFonts w:ascii="Arial" w:hAnsi="Arial" w:cs="Arial"/>
          <w:sz w:val="20"/>
          <w:szCs w:val="20"/>
        </w:rPr>
        <w:t>hot-air</w:t>
      </w:r>
      <w:r w:rsidRPr="00443CD5">
        <w:rPr>
          <w:rFonts w:ascii="Arial" w:hAnsi="Arial" w:cs="Arial"/>
          <w:spacing w:val="-1"/>
          <w:sz w:val="20"/>
          <w:szCs w:val="20"/>
        </w:rPr>
        <w:t xml:space="preserve"> </w:t>
      </w:r>
      <w:r w:rsidRPr="00443CD5">
        <w:rPr>
          <w:rFonts w:ascii="Arial" w:hAnsi="Arial" w:cs="Arial"/>
          <w:sz w:val="20"/>
          <w:szCs w:val="20"/>
        </w:rPr>
        <w:t>balloons);</w:t>
      </w:r>
    </w:p>
    <w:p w14:paraId="03389A2E" w14:textId="77777777" w:rsidR="00443CD5" w:rsidRPr="00443CD5" w:rsidRDefault="00443CD5" w:rsidP="00682A54">
      <w:pPr>
        <w:pStyle w:val="ListParagraph"/>
        <w:numPr>
          <w:ilvl w:val="0"/>
          <w:numId w:val="212"/>
        </w:numPr>
        <w:tabs>
          <w:tab w:val="left" w:pos="706"/>
          <w:tab w:val="left" w:pos="707"/>
        </w:tabs>
        <w:rPr>
          <w:rFonts w:ascii="Arial" w:hAnsi="Arial" w:cs="Arial"/>
          <w:sz w:val="20"/>
          <w:szCs w:val="20"/>
        </w:rPr>
      </w:pPr>
      <w:r w:rsidRPr="00443CD5">
        <w:rPr>
          <w:rFonts w:ascii="Arial" w:hAnsi="Arial" w:cs="Arial"/>
          <w:sz w:val="20"/>
          <w:szCs w:val="20"/>
        </w:rPr>
        <w:t>balloon</w:t>
      </w:r>
      <w:r w:rsidRPr="00443CD5">
        <w:rPr>
          <w:rFonts w:ascii="Arial" w:hAnsi="Arial" w:cs="Arial"/>
          <w:spacing w:val="-3"/>
          <w:sz w:val="20"/>
          <w:szCs w:val="20"/>
        </w:rPr>
        <w:t xml:space="preserve"> </w:t>
      </w:r>
      <w:r w:rsidRPr="00443CD5">
        <w:rPr>
          <w:rFonts w:ascii="Arial" w:hAnsi="Arial" w:cs="Arial"/>
          <w:sz w:val="20"/>
          <w:szCs w:val="20"/>
        </w:rPr>
        <w:t>performance</w:t>
      </w:r>
      <w:r w:rsidRPr="00443CD5">
        <w:rPr>
          <w:rFonts w:ascii="Arial" w:hAnsi="Arial" w:cs="Arial"/>
          <w:spacing w:val="-1"/>
          <w:sz w:val="20"/>
          <w:szCs w:val="20"/>
        </w:rPr>
        <w:t xml:space="preserve"> </w:t>
      </w:r>
      <w:r w:rsidRPr="00443CD5">
        <w:rPr>
          <w:rFonts w:ascii="Arial" w:hAnsi="Arial" w:cs="Arial"/>
          <w:sz w:val="20"/>
          <w:szCs w:val="20"/>
        </w:rPr>
        <w:t>(e.g.</w:t>
      </w:r>
      <w:r w:rsidRPr="00443CD5">
        <w:rPr>
          <w:rFonts w:ascii="Arial" w:hAnsi="Arial" w:cs="Arial"/>
          <w:spacing w:val="-3"/>
          <w:sz w:val="20"/>
          <w:szCs w:val="20"/>
        </w:rPr>
        <w:t xml:space="preserve"> </w:t>
      </w:r>
      <w:r w:rsidRPr="00443CD5">
        <w:rPr>
          <w:rFonts w:ascii="Arial" w:hAnsi="Arial" w:cs="Arial"/>
          <w:sz w:val="20"/>
          <w:szCs w:val="20"/>
        </w:rPr>
        <w:t>fuel/ballast</w:t>
      </w:r>
      <w:r w:rsidRPr="00443CD5">
        <w:rPr>
          <w:rFonts w:ascii="Arial" w:hAnsi="Arial" w:cs="Arial"/>
          <w:spacing w:val="-3"/>
          <w:sz w:val="20"/>
          <w:szCs w:val="20"/>
        </w:rPr>
        <w:t xml:space="preserve"> </w:t>
      </w:r>
      <w:r w:rsidRPr="00443CD5">
        <w:rPr>
          <w:rFonts w:ascii="Arial" w:hAnsi="Arial" w:cs="Arial"/>
          <w:sz w:val="20"/>
          <w:szCs w:val="20"/>
        </w:rPr>
        <w:t>consumption)</w:t>
      </w:r>
      <w:r w:rsidRPr="00443CD5">
        <w:rPr>
          <w:rFonts w:ascii="Arial" w:hAnsi="Arial" w:cs="Arial"/>
          <w:spacing w:val="-2"/>
          <w:sz w:val="20"/>
          <w:szCs w:val="20"/>
        </w:rPr>
        <w:t xml:space="preserve"> </w:t>
      </w:r>
      <w:r w:rsidRPr="00443CD5">
        <w:rPr>
          <w:rFonts w:ascii="Arial" w:hAnsi="Arial" w:cs="Arial"/>
          <w:sz w:val="20"/>
          <w:szCs w:val="20"/>
        </w:rPr>
        <w:t>at</w:t>
      </w:r>
      <w:r w:rsidRPr="00443CD5">
        <w:rPr>
          <w:rFonts w:ascii="Arial" w:hAnsi="Arial" w:cs="Arial"/>
          <w:spacing w:val="-2"/>
          <w:sz w:val="20"/>
          <w:szCs w:val="20"/>
        </w:rPr>
        <w:t xml:space="preserve"> </w:t>
      </w:r>
      <w:r w:rsidRPr="00443CD5">
        <w:rPr>
          <w:rFonts w:ascii="Arial" w:hAnsi="Arial" w:cs="Arial"/>
          <w:sz w:val="20"/>
          <w:szCs w:val="20"/>
        </w:rPr>
        <w:t>night;</w:t>
      </w:r>
      <w:r w:rsidRPr="00443CD5">
        <w:rPr>
          <w:rFonts w:ascii="Arial" w:hAnsi="Arial" w:cs="Arial"/>
          <w:spacing w:val="-1"/>
          <w:sz w:val="20"/>
          <w:szCs w:val="20"/>
        </w:rPr>
        <w:t xml:space="preserve"> </w:t>
      </w:r>
      <w:r w:rsidRPr="00443CD5">
        <w:rPr>
          <w:rFonts w:ascii="Arial" w:hAnsi="Arial" w:cs="Arial"/>
          <w:sz w:val="20"/>
          <w:szCs w:val="20"/>
        </w:rPr>
        <w:t>and</w:t>
      </w:r>
    </w:p>
    <w:p w14:paraId="2D7F8984" w14:textId="77777777" w:rsidR="00443CD5" w:rsidRPr="00443CD5" w:rsidRDefault="00443CD5" w:rsidP="00682A54">
      <w:pPr>
        <w:pStyle w:val="ListParagraph"/>
        <w:numPr>
          <w:ilvl w:val="0"/>
          <w:numId w:val="212"/>
        </w:numPr>
        <w:tabs>
          <w:tab w:val="left" w:pos="706"/>
          <w:tab w:val="left" w:pos="707"/>
        </w:tabs>
        <w:spacing w:before="121"/>
        <w:rPr>
          <w:rFonts w:ascii="Arial" w:hAnsi="Arial" w:cs="Arial"/>
          <w:sz w:val="20"/>
          <w:szCs w:val="20"/>
        </w:rPr>
      </w:pPr>
      <w:r w:rsidRPr="00443CD5">
        <w:rPr>
          <w:rFonts w:ascii="Arial" w:hAnsi="Arial" w:cs="Arial"/>
          <w:sz w:val="20"/>
          <w:szCs w:val="20"/>
        </w:rPr>
        <w:t>map</w:t>
      </w:r>
      <w:r w:rsidRPr="00443CD5">
        <w:rPr>
          <w:rFonts w:ascii="Arial" w:hAnsi="Arial" w:cs="Arial"/>
          <w:spacing w:val="-5"/>
          <w:sz w:val="20"/>
          <w:szCs w:val="20"/>
        </w:rPr>
        <w:t xml:space="preserve"> </w:t>
      </w:r>
      <w:r w:rsidRPr="00443CD5">
        <w:rPr>
          <w:rFonts w:ascii="Arial" w:hAnsi="Arial" w:cs="Arial"/>
          <w:sz w:val="20"/>
          <w:szCs w:val="20"/>
        </w:rPr>
        <w:t>marking</w:t>
      </w:r>
      <w:r w:rsidRPr="00443CD5">
        <w:rPr>
          <w:rFonts w:ascii="Arial" w:hAnsi="Arial" w:cs="Arial"/>
          <w:spacing w:val="-2"/>
          <w:sz w:val="20"/>
          <w:szCs w:val="20"/>
        </w:rPr>
        <w:t xml:space="preserve"> </w:t>
      </w:r>
      <w:r w:rsidRPr="00443CD5">
        <w:rPr>
          <w:rFonts w:ascii="Arial" w:hAnsi="Arial" w:cs="Arial"/>
          <w:sz w:val="20"/>
          <w:szCs w:val="20"/>
        </w:rPr>
        <w:t>for</w:t>
      </w:r>
      <w:r w:rsidRPr="00443CD5">
        <w:rPr>
          <w:rFonts w:ascii="Arial" w:hAnsi="Arial" w:cs="Arial"/>
          <w:spacing w:val="-1"/>
          <w:sz w:val="20"/>
          <w:szCs w:val="20"/>
        </w:rPr>
        <w:t xml:space="preserve"> </w:t>
      </w:r>
      <w:r w:rsidRPr="00443CD5">
        <w:rPr>
          <w:rFonts w:ascii="Arial" w:hAnsi="Arial" w:cs="Arial"/>
          <w:sz w:val="20"/>
          <w:szCs w:val="20"/>
        </w:rPr>
        <w:t>night</w:t>
      </w:r>
      <w:r w:rsidRPr="00443CD5">
        <w:rPr>
          <w:rFonts w:ascii="Arial" w:hAnsi="Arial" w:cs="Arial"/>
          <w:spacing w:val="-1"/>
          <w:sz w:val="20"/>
          <w:szCs w:val="20"/>
        </w:rPr>
        <w:t xml:space="preserve"> </w:t>
      </w:r>
      <w:r w:rsidRPr="00443CD5">
        <w:rPr>
          <w:rFonts w:ascii="Arial" w:hAnsi="Arial" w:cs="Arial"/>
          <w:sz w:val="20"/>
          <w:szCs w:val="20"/>
        </w:rPr>
        <w:t>use</w:t>
      </w:r>
      <w:r w:rsidRPr="00443CD5">
        <w:rPr>
          <w:rFonts w:ascii="Arial" w:hAnsi="Arial" w:cs="Arial"/>
          <w:spacing w:val="-3"/>
          <w:sz w:val="20"/>
          <w:szCs w:val="20"/>
        </w:rPr>
        <w:t xml:space="preserve"> </w:t>
      </w:r>
      <w:r w:rsidRPr="00443CD5">
        <w:rPr>
          <w:rFonts w:ascii="Arial" w:hAnsi="Arial" w:cs="Arial"/>
          <w:sz w:val="20"/>
          <w:szCs w:val="20"/>
        </w:rPr>
        <w:t>(highlighting</w:t>
      </w:r>
      <w:r w:rsidRPr="00443CD5">
        <w:rPr>
          <w:rFonts w:ascii="Arial" w:hAnsi="Arial" w:cs="Arial"/>
          <w:spacing w:val="-2"/>
          <w:sz w:val="20"/>
          <w:szCs w:val="20"/>
        </w:rPr>
        <w:t xml:space="preserve"> </w:t>
      </w:r>
      <w:r w:rsidRPr="00443CD5">
        <w:rPr>
          <w:rFonts w:ascii="Arial" w:hAnsi="Arial" w:cs="Arial"/>
          <w:sz w:val="20"/>
          <w:szCs w:val="20"/>
        </w:rPr>
        <w:t>built-up</w:t>
      </w:r>
      <w:r w:rsidRPr="00443CD5">
        <w:rPr>
          <w:rFonts w:ascii="Arial" w:hAnsi="Arial" w:cs="Arial"/>
          <w:spacing w:val="-2"/>
          <w:sz w:val="20"/>
          <w:szCs w:val="20"/>
        </w:rPr>
        <w:t xml:space="preserve"> </w:t>
      </w:r>
      <w:r w:rsidRPr="00443CD5">
        <w:rPr>
          <w:rFonts w:ascii="Arial" w:hAnsi="Arial" w:cs="Arial"/>
          <w:sz w:val="20"/>
          <w:szCs w:val="20"/>
        </w:rPr>
        <w:t>or</w:t>
      </w:r>
      <w:r w:rsidRPr="00443CD5">
        <w:rPr>
          <w:rFonts w:ascii="Arial" w:hAnsi="Arial" w:cs="Arial"/>
          <w:spacing w:val="-1"/>
          <w:sz w:val="20"/>
          <w:szCs w:val="20"/>
        </w:rPr>
        <w:t xml:space="preserve"> </w:t>
      </w:r>
      <w:r w:rsidRPr="00443CD5">
        <w:rPr>
          <w:rFonts w:ascii="Arial" w:hAnsi="Arial" w:cs="Arial"/>
          <w:sz w:val="20"/>
          <w:szCs w:val="20"/>
        </w:rPr>
        <w:t>lit</w:t>
      </w:r>
      <w:r w:rsidRPr="00443CD5">
        <w:rPr>
          <w:rFonts w:ascii="Arial" w:hAnsi="Arial" w:cs="Arial"/>
          <w:spacing w:val="-3"/>
          <w:sz w:val="20"/>
          <w:szCs w:val="20"/>
        </w:rPr>
        <w:t xml:space="preserve"> </w:t>
      </w:r>
      <w:r w:rsidRPr="00443CD5">
        <w:rPr>
          <w:rFonts w:ascii="Arial" w:hAnsi="Arial" w:cs="Arial"/>
          <w:sz w:val="20"/>
          <w:szCs w:val="20"/>
        </w:rPr>
        <w:t>areas</w:t>
      </w:r>
      <w:r w:rsidRPr="00443CD5">
        <w:rPr>
          <w:rFonts w:ascii="Arial" w:hAnsi="Arial" w:cs="Arial"/>
          <w:spacing w:val="-1"/>
          <w:sz w:val="20"/>
          <w:szCs w:val="20"/>
        </w:rPr>
        <w:t xml:space="preserve"> </w:t>
      </w:r>
      <w:r w:rsidRPr="00443CD5">
        <w:rPr>
          <w:rFonts w:ascii="Arial" w:hAnsi="Arial" w:cs="Arial"/>
          <w:sz w:val="20"/>
          <w:szCs w:val="20"/>
        </w:rPr>
        <w:t>with</w:t>
      </w:r>
      <w:r w:rsidRPr="00443CD5">
        <w:rPr>
          <w:rFonts w:ascii="Arial" w:hAnsi="Arial" w:cs="Arial"/>
          <w:spacing w:val="-1"/>
          <w:sz w:val="20"/>
          <w:szCs w:val="20"/>
        </w:rPr>
        <w:t xml:space="preserve"> </w:t>
      </w:r>
      <w:r w:rsidRPr="00443CD5">
        <w:rPr>
          <w:rFonts w:ascii="Arial" w:hAnsi="Arial" w:cs="Arial"/>
          <w:sz w:val="20"/>
          <w:szCs w:val="20"/>
        </w:rPr>
        <w:t>thicker</w:t>
      </w:r>
      <w:r w:rsidRPr="00443CD5">
        <w:rPr>
          <w:rFonts w:ascii="Arial" w:hAnsi="Arial" w:cs="Arial"/>
          <w:spacing w:val="-1"/>
          <w:sz w:val="20"/>
          <w:szCs w:val="20"/>
        </w:rPr>
        <w:t xml:space="preserve"> </w:t>
      </w:r>
      <w:r w:rsidRPr="00443CD5">
        <w:rPr>
          <w:rFonts w:ascii="Arial" w:hAnsi="Arial" w:cs="Arial"/>
          <w:sz w:val="20"/>
          <w:szCs w:val="20"/>
        </w:rPr>
        <w:t>lines,</w:t>
      </w:r>
      <w:r w:rsidRPr="00443CD5">
        <w:rPr>
          <w:rFonts w:ascii="Arial" w:hAnsi="Arial" w:cs="Arial"/>
          <w:spacing w:val="-1"/>
          <w:sz w:val="20"/>
          <w:szCs w:val="20"/>
        </w:rPr>
        <w:t xml:space="preserve"> </w:t>
      </w:r>
      <w:r w:rsidRPr="00443CD5">
        <w:rPr>
          <w:rFonts w:ascii="Arial" w:hAnsi="Arial" w:cs="Arial"/>
          <w:sz w:val="20"/>
          <w:szCs w:val="20"/>
        </w:rPr>
        <w:t>etc.).</w:t>
      </w:r>
    </w:p>
    <w:p w14:paraId="10CB4647" w14:textId="77777777" w:rsidR="00761B98" w:rsidRDefault="00761B98" w:rsidP="00443CD5">
      <w:pPr>
        <w:tabs>
          <w:tab w:val="left" w:pos="706"/>
          <w:tab w:val="left" w:pos="707"/>
        </w:tabs>
        <w:rPr>
          <w:rFonts w:ascii="Arial" w:hAnsi="Arial" w:cs="Arial"/>
          <w:sz w:val="20"/>
        </w:rPr>
      </w:pPr>
    </w:p>
    <w:p w14:paraId="6153DA8C" w14:textId="77777777" w:rsidR="0026323F" w:rsidRPr="0026323F" w:rsidRDefault="0026323F" w:rsidP="0026323F">
      <w:pPr>
        <w:keepNext/>
        <w:keepLines/>
        <w:widowControl/>
        <w:shd w:val="clear" w:color="auto" w:fill="339966"/>
        <w:autoSpaceDE/>
        <w:autoSpaceDN/>
        <w:spacing w:before="160" w:after="120" w:line="259" w:lineRule="auto"/>
        <w:outlineLvl w:val="4"/>
        <w:rPr>
          <w:rFonts w:ascii="Arial" w:eastAsia="Times New Roman" w:hAnsi="Arial" w:cs="Times New Roman"/>
          <w:b/>
          <w:color w:val="FFFFFF"/>
          <w:sz w:val="24"/>
        </w:rPr>
      </w:pPr>
      <w:bookmarkStart w:id="678" w:name="GM1_BFCL.210(c)__Night_rating"/>
      <w:bookmarkStart w:id="679" w:name="_bookmark272"/>
      <w:bookmarkStart w:id="680" w:name="_Toc153137437"/>
      <w:bookmarkEnd w:id="678"/>
      <w:bookmarkEnd w:id="679"/>
      <w:r w:rsidRPr="0026323F">
        <w:rPr>
          <w:rFonts w:ascii="Arial" w:eastAsia="Times New Roman" w:hAnsi="Arial" w:cs="Times New Roman"/>
          <w:b/>
          <w:color w:val="FFFFFF"/>
          <w:sz w:val="24"/>
        </w:rPr>
        <w:t>GM1 BFCL.210(c) Night rating</w:t>
      </w:r>
      <w:bookmarkEnd w:id="680"/>
    </w:p>
    <w:p w14:paraId="68F41502" w14:textId="77777777" w:rsidR="0026323F" w:rsidRPr="0026323F" w:rsidRDefault="0026323F" w:rsidP="0026323F">
      <w:pPr>
        <w:widowControl/>
        <w:autoSpaceDE/>
        <w:autoSpaceDN/>
        <w:spacing w:before="240" w:after="160" w:line="264" w:lineRule="auto"/>
        <w:jc w:val="both"/>
        <w:rPr>
          <w:rFonts w:ascii="Arial" w:eastAsiaTheme="minorHAnsi" w:hAnsi="Arial" w:cs="Arial"/>
          <w:b/>
          <w:bCs/>
          <w:sz w:val="20"/>
          <w:szCs w:val="20"/>
        </w:rPr>
      </w:pPr>
      <w:r w:rsidRPr="0026323F">
        <w:rPr>
          <w:rFonts w:ascii="Arial" w:eastAsiaTheme="minorHAnsi" w:hAnsi="Arial" w:cs="Arial"/>
          <w:b/>
          <w:bCs/>
          <w:sz w:val="20"/>
          <w:szCs w:val="20"/>
        </w:rPr>
        <w:t>DURATION OF THE NIGHT RATING TRAINING</w:t>
      </w:r>
    </w:p>
    <w:p w14:paraId="76D6D9FF" w14:textId="77777777" w:rsidR="0026323F" w:rsidRDefault="0026323F" w:rsidP="00AC3011">
      <w:pPr>
        <w:pStyle w:val="BodyText"/>
        <w:spacing w:before="118" w:line="276" w:lineRule="auto"/>
        <w:ind w:right="68"/>
        <w:jc w:val="both"/>
        <w:rPr>
          <w:rFonts w:ascii="Arial" w:hAnsi="Arial" w:cs="Arial"/>
          <w:sz w:val="20"/>
        </w:rPr>
      </w:pPr>
      <w:r w:rsidRPr="0026323F">
        <w:rPr>
          <w:rFonts w:ascii="Arial" w:hAnsi="Arial" w:cs="Arial"/>
          <w:sz w:val="20"/>
        </w:rPr>
        <w:t>The two training flights stipulated in point BFCL.210(b) constitute the minimum amount of training</w:t>
      </w:r>
      <w:r w:rsidRPr="0026323F">
        <w:rPr>
          <w:rFonts w:ascii="Arial" w:hAnsi="Arial" w:cs="Arial"/>
          <w:spacing w:val="1"/>
          <w:sz w:val="20"/>
        </w:rPr>
        <w:t xml:space="preserve"> </w:t>
      </w:r>
      <w:r w:rsidRPr="0026323F">
        <w:rPr>
          <w:rFonts w:ascii="Arial" w:hAnsi="Arial" w:cs="Arial"/>
          <w:sz w:val="20"/>
        </w:rPr>
        <w:t>needed in the case of experienced pilots. The instructor may conduct additional training flights, as</w:t>
      </w:r>
      <w:r w:rsidRPr="0026323F">
        <w:rPr>
          <w:rFonts w:ascii="Arial" w:hAnsi="Arial" w:cs="Arial"/>
          <w:spacing w:val="1"/>
          <w:sz w:val="20"/>
        </w:rPr>
        <w:t xml:space="preserve"> </w:t>
      </w:r>
      <w:r w:rsidRPr="0026323F">
        <w:rPr>
          <w:rFonts w:ascii="Arial" w:hAnsi="Arial" w:cs="Arial"/>
          <w:sz w:val="20"/>
        </w:rPr>
        <w:t>necessary for the candidate to acquire the competence needed for night flying, before entering the</w:t>
      </w:r>
      <w:r w:rsidRPr="0026323F">
        <w:rPr>
          <w:rFonts w:ascii="Arial" w:hAnsi="Arial" w:cs="Arial"/>
          <w:spacing w:val="1"/>
          <w:sz w:val="20"/>
        </w:rPr>
        <w:t xml:space="preserve"> </w:t>
      </w:r>
      <w:r w:rsidRPr="0026323F">
        <w:rPr>
          <w:rFonts w:ascii="Arial" w:hAnsi="Arial" w:cs="Arial"/>
          <w:sz w:val="20"/>
        </w:rPr>
        <w:t>completion</w:t>
      </w:r>
      <w:r w:rsidRPr="0026323F">
        <w:rPr>
          <w:rFonts w:ascii="Arial" w:hAnsi="Arial" w:cs="Arial"/>
          <w:spacing w:val="-4"/>
          <w:sz w:val="20"/>
        </w:rPr>
        <w:t xml:space="preserve"> </w:t>
      </w:r>
      <w:r w:rsidRPr="0026323F">
        <w:rPr>
          <w:rFonts w:ascii="Arial" w:hAnsi="Arial" w:cs="Arial"/>
          <w:sz w:val="20"/>
        </w:rPr>
        <w:t>of training</w:t>
      </w:r>
      <w:r w:rsidRPr="0026323F">
        <w:rPr>
          <w:rFonts w:ascii="Arial" w:hAnsi="Arial" w:cs="Arial"/>
          <w:spacing w:val="-1"/>
          <w:sz w:val="20"/>
        </w:rPr>
        <w:t xml:space="preserve"> </w:t>
      </w:r>
      <w:r w:rsidRPr="0026323F">
        <w:rPr>
          <w:rFonts w:ascii="Arial" w:hAnsi="Arial" w:cs="Arial"/>
          <w:sz w:val="20"/>
        </w:rPr>
        <w:t>in the</w:t>
      </w:r>
      <w:r w:rsidRPr="0026323F">
        <w:rPr>
          <w:rFonts w:ascii="Arial" w:hAnsi="Arial" w:cs="Arial"/>
          <w:spacing w:val="1"/>
          <w:sz w:val="20"/>
        </w:rPr>
        <w:t xml:space="preserve"> </w:t>
      </w:r>
      <w:r w:rsidRPr="0026323F">
        <w:rPr>
          <w:rFonts w:ascii="Arial" w:hAnsi="Arial" w:cs="Arial"/>
          <w:sz w:val="20"/>
        </w:rPr>
        <w:t>candidate’s</w:t>
      </w:r>
      <w:r w:rsidRPr="0026323F">
        <w:rPr>
          <w:rFonts w:ascii="Arial" w:hAnsi="Arial" w:cs="Arial"/>
          <w:spacing w:val="-3"/>
          <w:sz w:val="20"/>
        </w:rPr>
        <w:t xml:space="preserve"> </w:t>
      </w:r>
      <w:r w:rsidRPr="0026323F">
        <w:rPr>
          <w:rFonts w:ascii="Arial" w:hAnsi="Arial" w:cs="Arial"/>
          <w:sz w:val="20"/>
        </w:rPr>
        <w:t>logbook.</w:t>
      </w:r>
    </w:p>
    <w:p w14:paraId="2B75F789" w14:textId="77777777" w:rsidR="0026323F" w:rsidRPr="0026323F" w:rsidRDefault="0026323F" w:rsidP="0026323F">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681" w:name="BFCL.215__Commercial_operation_rating"/>
      <w:bookmarkStart w:id="682" w:name="_bookmark273"/>
      <w:bookmarkStart w:id="683" w:name="_Toc153137438"/>
      <w:bookmarkEnd w:id="681"/>
      <w:bookmarkEnd w:id="682"/>
      <w:r w:rsidRPr="0026323F">
        <w:rPr>
          <w:rFonts w:ascii="Arial" w:eastAsia="Times New Roman" w:hAnsi="Arial" w:cs="Times New Roman"/>
          <w:b/>
          <w:iCs/>
          <w:color w:val="FFFFFF"/>
          <w:sz w:val="24"/>
        </w:rPr>
        <w:t>BFCL.215 Commercial operation rating</w:t>
      </w:r>
      <w:bookmarkEnd w:id="683"/>
    </w:p>
    <w:p w14:paraId="67A60BD3" w14:textId="77777777" w:rsidR="0026323F" w:rsidRPr="00A351FB" w:rsidRDefault="0026323F" w:rsidP="00AC3011">
      <w:pPr>
        <w:numPr>
          <w:ilvl w:val="0"/>
          <w:numId w:val="213"/>
        </w:numPr>
        <w:tabs>
          <w:tab w:val="left" w:pos="707"/>
        </w:tabs>
        <w:spacing w:line="276" w:lineRule="auto"/>
        <w:jc w:val="both"/>
        <w:rPr>
          <w:rFonts w:ascii="Arial" w:hAnsi="Arial" w:cs="Arial"/>
          <w:sz w:val="20"/>
          <w:szCs w:val="20"/>
        </w:rPr>
      </w:pPr>
      <w:r w:rsidRPr="00A351FB">
        <w:rPr>
          <w:rFonts w:ascii="Arial" w:hAnsi="Arial" w:cs="Arial"/>
          <w:sz w:val="20"/>
          <w:szCs w:val="20"/>
        </w:rPr>
        <w:t>A BPL holder shall exercise the privileges of his or her licence during commercial operations with balloons only if he or she holds a commercial operation rating in accordance with this point.</w:t>
      </w:r>
    </w:p>
    <w:p w14:paraId="68207B50" w14:textId="77777777" w:rsidR="0026323F" w:rsidRPr="00A351FB" w:rsidRDefault="0026323F" w:rsidP="00AC3011">
      <w:pPr>
        <w:numPr>
          <w:ilvl w:val="0"/>
          <w:numId w:val="213"/>
        </w:numPr>
        <w:tabs>
          <w:tab w:val="left" w:pos="707"/>
        </w:tabs>
        <w:spacing w:line="276" w:lineRule="auto"/>
        <w:jc w:val="both"/>
        <w:rPr>
          <w:rFonts w:ascii="Arial" w:hAnsi="Arial" w:cs="Arial"/>
          <w:sz w:val="20"/>
          <w:szCs w:val="20"/>
        </w:rPr>
      </w:pPr>
      <w:r w:rsidRPr="00A351FB">
        <w:rPr>
          <w:rFonts w:ascii="Arial" w:hAnsi="Arial" w:cs="Arial"/>
          <w:sz w:val="20"/>
          <w:szCs w:val="20"/>
        </w:rPr>
        <w:t>An applicant for a commercial operation rating shall:</w:t>
      </w:r>
    </w:p>
    <w:p w14:paraId="412787DA" w14:textId="77777777" w:rsidR="0026323F" w:rsidRPr="00A351FB" w:rsidRDefault="0026323F" w:rsidP="00AC3011">
      <w:pPr>
        <w:numPr>
          <w:ilvl w:val="1"/>
          <w:numId w:val="213"/>
        </w:numPr>
        <w:tabs>
          <w:tab w:val="left" w:pos="706"/>
          <w:tab w:val="left" w:pos="707"/>
        </w:tabs>
        <w:spacing w:line="276" w:lineRule="auto"/>
        <w:jc w:val="both"/>
        <w:rPr>
          <w:rFonts w:ascii="Arial" w:hAnsi="Arial" w:cs="Arial"/>
          <w:sz w:val="20"/>
          <w:szCs w:val="20"/>
        </w:rPr>
      </w:pPr>
      <w:r w:rsidRPr="00A351FB">
        <w:rPr>
          <w:rFonts w:ascii="Arial" w:hAnsi="Arial" w:cs="Arial"/>
          <w:sz w:val="20"/>
          <w:szCs w:val="20"/>
        </w:rPr>
        <w:t>have attained the age of 18 years;</w:t>
      </w:r>
    </w:p>
    <w:p w14:paraId="24937D3B" w14:textId="77777777" w:rsidR="0026323F" w:rsidRPr="00A351FB" w:rsidRDefault="0026323F" w:rsidP="00AC3011">
      <w:pPr>
        <w:numPr>
          <w:ilvl w:val="1"/>
          <w:numId w:val="213"/>
        </w:numPr>
        <w:tabs>
          <w:tab w:val="left" w:pos="706"/>
          <w:tab w:val="left" w:pos="707"/>
        </w:tabs>
        <w:spacing w:line="276" w:lineRule="auto"/>
        <w:jc w:val="both"/>
        <w:rPr>
          <w:rFonts w:ascii="Arial" w:hAnsi="Arial" w:cs="Arial"/>
          <w:sz w:val="20"/>
          <w:szCs w:val="20"/>
        </w:rPr>
      </w:pPr>
      <w:r w:rsidRPr="00A351FB">
        <w:rPr>
          <w:rFonts w:ascii="Arial" w:hAnsi="Arial" w:cs="Arial"/>
          <w:sz w:val="20"/>
          <w:szCs w:val="20"/>
        </w:rPr>
        <w:t>have completed 50 hours of flight time and 50 take-offs and landings as PIC on balloons;</w:t>
      </w:r>
    </w:p>
    <w:p w14:paraId="4937FB67" w14:textId="77777777" w:rsidR="0026323F" w:rsidRPr="00A351FB" w:rsidRDefault="0026323F" w:rsidP="00AC3011">
      <w:pPr>
        <w:numPr>
          <w:ilvl w:val="1"/>
          <w:numId w:val="213"/>
        </w:numPr>
        <w:tabs>
          <w:tab w:val="left" w:pos="706"/>
          <w:tab w:val="left" w:pos="707"/>
        </w:tabs>
        <w:spacing w:line="276" w:lineRule="auto"/>
        <w:jc w:val="both"/>
        <w:rPr>
          <w:rFonts w:ascii="Arial" w:hAnsi="Arial" w:cs="Arial"/>
          <w:sz w:val="20"/>
          <w:szCs w:val="20"/>
        </w:rPr>
      </w:pPr>
      <w:r w:rsidRPr="00A351FB">
        <w:rPr>
          <w:rFonts w:ascii="Arial" w:hAnsi="Arial" w:cs="Arial"/>
          <w:sz w:val="20"/>
          <w:szCs w:val="20"/>
        </w:rPr>
        <w:t>have the privileges for the class of balloon in which the privileges of the commercial operation rating will be exercised; and</w:t>
      </w:r>
    </w:p>
    <w:p w14:paraId="03B47663" w14:textId="77777777" w:rsidR="0026323F" w:rsidRPr="00A351FB" w:rsidRDefault="0026323F" w:rsidP="00AC3011">
      <w:pPr>
        <w:numPr>
          <w:ilvl w:val="1"/>
          <w:numId w:val="213"/>
        </w:numPr>
        <w:tabs>
          <w:tab w:val="left" w:pos="706"/>
          <w:tab w:val="left" w:pos="707"/>
        </w:tabs>
        <w:spacing w:line="276" w:lineRule="auto"/>
        <w:jc w:val="both"/>
        <w:rPr>
          <w:rFonts w:ascii="Arial" w:hAnsi="Arial" w:cs="Arial"/>
          <w:sz w:val="20"/>
          <w:szCs w:val="20"/>
        </w:rPr>
      </w:pPr>
      <w:r w:rsidRPr="00A351FB">
        <w:rPr>
          <w:rFonts w:ascii="Arial" w:hAnsi="Arial" w:cs="Arial"/>
          <w:sz w:val="20"/>
          <w:szCs w:val="20"/>
        </w:rPr>
        <w:t>have passed a skill test on the relevant class of balloon during which he or she shall demonstrate to an FE(B) the competence required for commercial balloon operations.</w:t>
      </w:r>
    </w:p>
    <w:p w14:paraId="3D2E70E2" w14:textId="77777777" w:rsidR="0026323F" w:rsidRPr="00A351FB" w:rsidRDefault="0026323F" w:rsidP="00AC3011">
      <w:pPr>
        <w:numPr>
          <w:ilvl w:val="0"/>
          <w:numId w:val="213"/>
        </w:numPr>
        <w:tabs>
          <w:tab w:val="left" w:pos="707"/>
        </w:tabs>
        <w:spacing w:line="276" w:lineRule="auto"/>
        <w:jc w:val="both"/>
        <w:rPr>
          <w:rFonts w:ascii="Arial" w:hAnsi="Arial" w:cs="Arial"/>
          <w:sz w:val="20"/>
          <w:szCs w:val="20"/>
        </w:rPr>
      </w:pPr>
      <w:r w:rsidRPr="00A351FB">
        <w:rPr>
          <w:rFonts w:ascii="Arial" w:hAnsi="Arial" w:cs="Arial"/>
          <w:sz w:val="20"/>
          <w:szCs w:val="20"/>
        </w:rPr>
        <w:t xml:space="preserve">The privileges of the commercial operation rating shall be limited to the class of balloon in which the skill test in accordance with paragraph (b)(3) has been completed. The privileges shall be extended upon application to another class of balloon if, in that other class, the applicant </w:t>
      </w:r>
      <w:r w:rsidRPr="00A351FB">
        <w:rPr>
          <w:rFonts w:ascii="Arial" w:hAnsi="Arial" w:cs="Arial"/>
          <w:sz w:val="20"/>
          <w:szCs w:val="20"/>
        </w:rPr>
        <w:lastRenderedPageBreak/>
        <w:t>complies with paragraph (b)(3) and (b)(4).</w:t>
      </w:r>
    </w:p>
    <w:p w14:paraId="39AD5B6E" w14:textId="77777777" w:rsidR="0026323F" w:rsidRPr="00A351FB" w:rsidRDefault="0026323F" w:rsidP="00AC3011">
      <w:pPr>
        <w:numPr>
          <w:ilvl w:val="0"/>
          <w:numId w:val="213"/>
        </w:numPr>
        <w:tabs>
          <w:tab w:val="left" w:pos="707"/>
        </w:tabs>
        <w:spacing w:line="276" w:lineRule="auto"/>
        <w:jc w:val="both"/>
        <w:rPr>
          <w:rFonts w:ascii="Arial" w:hAnsi="Arial" w:cs="Arial"/>
          <w:sz w:val="20"/>
          <w:szCs w:val="20"/>
        </w:rPr>
      </w:pPr>
      <w:r w:rsidRPr="00A351FB">
        <w:rPr>
          <w:rFonts w:ascii="Arial" w:hAnsi="Arial" w:cs="Arial"/>
          <w:sz w:val="20"/>
          <w:szCs w:val="20"/>
        </w:rPr>
        <w:t>A pilot who holds a commercial operation rating shall exercise the privileges of that rating in commercial passenger ballooning only if he or she has completed:</w:t>
      </w:r>
    </w:p>
    <w:p w14:paraId="4A994FD2" w14:textId="77777777" w:rsidR="0026323F" w:rsidRPr="00A351FB" w:rsidRDefault="0026323F" w:rsidP="00AC3011">
      <w:pPr>
        <w:numPr>
          <w:ilvl w:val="1"/>
          <w:numId w:val="213"/>
        </w:numPr>
        <w:tabs>
          <w:tab w:val="left" w:pos="706"/>
          <w:tab w:val="left" w:pos="707"/>
        </w:tabs>
        <w:spacing w:line="276" w:lineRule="auto"/>
        <w:jc w:val="both"/>
        <w:rPr>
          <w:rFonts w:ascii="Arial" w:hAnsi="Arial" w:cs="Arial"/>
          <w:sz w:val="20"/>
          <w:szCs w:val="20"/>
        </w:rPr>
      </w:pPr>
      <w:r w:rsidRPr="00A351FB">
        <w:rPr>
          <w:rFonts w:ascii="Arial" w:hAnsi="Arial" w:cs="Arial"/>
          <w:sz w:val="20"/>
          <w:szCs w:val="20"/>
        </w:rPr>
        <w:t>within the 180 days preceding the planned flight:</w:t>
      </w:r>
    </w:p>
    <w:p w14:paraId="7698025A" w14:textId="77777777" w:rsidR="0026323F" w:rsidRPr="00A351FB" w:rsidRDefault="0026323F" w:rsidP="00AC3011">
      <w:pPr>
        <w:numPr>
          <w:ilvl w:val="2"/>
          <w:numId w:val="213"/>
        </w:numPr>
        <w:tabs>
          <w:tab w:val="left" w:pos="706"/>
          <w:tab w:val="left" w:pos="707"/>
        </w:tabs>
        <w:spacing w:line="276" w:lineRule="auto"/>
        <w:jc w:val="both"/>
        <w:rPr>
          <w:rFonts w:ascii="Arial" w:hAnsi="Arial" w:cs="Arial"/>
          <w:sz w:val="20"/>
          <w:szCs w:val="20"/>
        </w:rPr>
      </w:pPr>
      <w:r w:rsidRPr="00A351FB">
        <w:rPr>
          <w:rFonts w:ascii="Arial" w:hAnsi="Arial" w:cs="Arial"/>
          <w:sz w:val="20"/>
          <w:szCs w:val="20"/>
        </w:rPr>
        <w:t>at least three flights as PIC in balloons, of which at least one shall be in a balloon of the relevant class; or</w:t>
      </w:r>
    </w:p>
    <w:p w14:paraId="409F3972" w14:textId="77777777" w:rsidR="0026323F" w:rsidRPr="00A351FB" w:rsidRDefault="0026323F" w:rsidP="00AC3011">
      <w:pPr>
        <w:numPr>
          <w:ilvl w:val="2"/>
          <w:numId w:val="213"/>
        </w:numPr>
        <w:tabs>
          <w:tab w:val="left" w:pos="706"/>
          <w:tab w:val="left" w:pos="707"/>
        </w:tabs>
        <w:spacing w:line="276" w:lineRule="auto"/>
        <w:jc w:val="both"/>
        <w:rPr>
          <w:rFonts w:ascii="Arial" w:hAnsi="Arial" w:cs="Arial"/>
          <w:sz w:val="20"/>
          <w:szCs w:val="20"/>
        </w:rPr>
      </w:pPr>
      <w:r w:rsidRPr="00A351FB">
        <w:rPr>
          <w:rFonts w:ascii="Arial" w:hAnsi="Arial" w:cs="Arial"/>
          <w:sz w:val="20"/>
          <w:szCs w:val="20"/>
        </w:rPr>
        <w:t>one flight as PIC in a balloon of the relevant class under the supervision of an FI(B) who is qualified in accordance with this point; and</w:t>
      </w:r>
    </w:p>
    <w:p w14:paraId="376BA2E8" w14:textId="77777777" w:rsidR="0026323F" w:rsidRPr="00A351FB" w:rsidRDefault="0026323F" w:rsidP="00AC3011">
      <w:pPr>
        <w:numPr>
          <w:ilvl w:val="1"/>
          <w:numId w:val="213"/>
        </w:numPr>
        <w:tabs>
          <w:tab w:val="left" w:pos="706"/>
          <w:tab w:val="left" w:pos="707"/>
        </w:tabs>
        <w:spacing w:line="276" w:lineRule="auto"/>
        <w:jc w:val="both"/>
        <w:rPr>
          <w:rFonts w:ascii="Arial" w:hAnsi="Arial" w:cs="Arial"/>
          <w:sz w:val="20"/>
          <w:szCs w:val="20"/>
        </w:rPr>
      </w:pPr>
      <w:r w:rsidRPr="00A351FB">
        <w:rPr>
          <w:rFonts w:ascii="Arial" w:hAnsi="Arial" w:cs="Arial"/>
          <w:sz w:val="20"/>
          <w:szCs w:val="20"/>
        </w:rPr>
        <w:t>within the 24 months preceding the planned flight:</w:t>
      </w:r>
    </w:p>
    <w:p w14:paraId="3755659D" w14:textId="77777777" w:rsidR="0026323F" w:rsidRPr="00A351FB" w:rsidRDefault="0026323F" w:rsidP="00AC3011">
      <w:pPr>
        <w:numPr>
          <w:ilvl w:val="2"/>
          <w:numId w:val="213"/>
        </w:numPr>
        <w:tabs>
          <w:tab w:val="left" w:pos="706"/>
          <w:tab w:val="left" w:pos="707"/>
        </w:tabs>
        <w:spacing w:line="276" w:lineRule="auto"/>
        <w:jc w:val="both"/>
        <w:rPr>
          <w:rFonts w:ascii="Arial" w:hAnsi="Arial" w:cs="Arial"/>
          <w:sz w:val="20"/>
          <w:szCs w:val="20"/>
        </w:rPr>
      </w:pPr>
      <w:r w:rsidRPr="00A351FB">
        <w:rPr>
          <w:rFonts w:ascii="Arial" w:hAnsi="Arial" w:cs="Arial"/>
          <w:sz w:val="20"/>
          <w:szCs w:val="20"/>
        </w:rPr>
        <w:t>a proficiency check, in a balloon of the relevant class, during which he or she shall demonstrate to an FE(B) the competence required for commercial passenger ballooning; or</w:t>
      </w:r>
    </w:p>
    <w:p w14:paraId="62280EE0" w14:textId="77777777" w:rsidR="0026323F" w:rsidRPr="00A351FB" w:rsidRDefault="0026323F" w:rsidP="00AC3011">
      <w:pPr>
        <w:numPr>
          <w:ilvl w:val="2"/>
          <w:numId w:val="213"/>
        </w:numPr>
        <w:tabs>
          <w:tab w:val="left" w:pos="706"/>
          <w:tab w:val="left" w:pos="707"/>
        </w:tabs>
        <w:spacing w:line="276" w:lineRule="auto"/>
        <w:jc w:val="both"/>
        <w:rPr>
          <w:rFonts w:ascii="Arial" w:hAnsi="Arial" w:cs="Arial"/>
          <w:sz w:val="20"/>
          <w:szCs w:val="20"/>
        </w:rPr>
      </w:pPr>
      <w:r w:rsidRPr="00A351FB">
        <w:rPr>
          <w:rFonts w:ascii="Arial" w:hAnsi="Arial" w:cs="Arial"/>
          <w:sz w:val="20"/>
          <w:szCs w:val="20"/>
        </w:rPr>
        <w:t>a refresher course at an ATO or a DTO, tailored to the competence required for commercial balloon operations, including at least six hours of theoretical knowledge instruction and one training flight in a balloon of the relevant class with an FI(B) who is qualified for commercial balloon operations in accordance with this point.</w:t>
      </w:r>
    </w:p>
    <w:p w14:paraId="35CF9539" w14:textId="77777777" w:rsidR="0026323F" w:rsidRPr="00A351FB" w:rsidRDefault="0026323F" w:rsidP="00AC3011">
      <w:pPr>
        <w:numPr>
          <w:ilvl w:val="0"/>
          <w:numId w:val="213"/>
        </w:numPr>
        <w:tabs>
          <w:tab w:val="left" w:pos="707"/>
        </w:tabs>
        <w:spacing w:before="56" w:line="276" w:lineRule="auto"/>
        <w:ind w:right="196"/>
        <w:jc w:val="both"/>
        <w:rPr>
          <w:rFonts w:ascii="Arial" w:hAnsi="Arial" w:cs="Arial"/>
          <w:sz w:val="20"/>
          <w:szCs w:val="20"/>
        </w:rPr>
      </w:pPr>
      <w:r w:rsidRPr="00A351FB">
        <w:rPr>
          <w:rFonts w:ascii="Arial" w:hAnsi="Arial" w:cs="Arial"/>
          <w:sz w:val="20"/>
          <w:szCs w:val="20"/>
        </w:rPr>
        <w:t>To</w:t>
      </w:r>
      <w:r w:rsidRPr="00A351FB">
        <w:rPr>
          <w:rFonts w:ascii="Arial" w:hAnsi="Arial" w:cs="Arial"/>
          <w:spacing w:val="-9"/>
          <w:sz w:val="20"/>
          <w:szCs w:val="20"/>
        </w:rPr>
        <w:t xml:space="preserve"> </w:t>
      </w:r>
      <w:r w:rsidRPr="00A351FB">
        <w:rPr>
          <w:rFonts w:ascii="Arial" w:hAnsi="Arial" w:cs="Arial"/>
          <w:sz w:val="20"/>
          <w:szCs w:val="20"/>
        </w:rPr>
        <w:t>maintain</w:t>
      </w:r>
      <w:r w:rsidRPr="00A351FB">
        <w:rPr>
          <w:rFonts w:ascii="Arial" w:hAnsi="Arial" w:cs="Arial"/>
          <w:spacing w:val="-8"/>
          <w:sz w:val="20"/>
          <w:szCs w:val="20"/>
        </w:rPr>
        <w:t xml:space="preserve"> </w:t>
      </w:r>
      <w:r w:rsidRPr="00A351FB">
        <w:rPr>
          <w:rFonts w:ascii="Arial" w:hAnsi="Arial" w:cs="Arial"/>
          <w:sz w:val="20"/>
          <w:szCs w:val="20"/>
        </w:rPr>
        <w:t>the</w:t>
      </w:r>
      <w:r w:rsidRPr="00A351FB">
        <w:rPr>
          <w:rFonts w:ascii="Arial" w:hAnsi="Arial" w:cs="Arial"/>
          <w:spacing w:val="-7"/>
          <w:sz w:val="20"/>
          <w:szCs w:val="20"/>
        </w:rPr>
        <w:t xml:space="preserve"> </w:t>
      </w:r>
      <w:r w:rsidRPr="00A351FB">
        <w:rPr>
          <w:rFonts w:ascii="Arial" w:hAnsi="Arial" w:cs="Arial"/>
          <w:sz w:val="20"/>
          <w:szCs w:val="20"/>
        </w:rPr>
        <w:t>privileges</w:t>
      </w:r>
      <w:r w:rsidRPr="00A351FB">
        <w:rPr>
          <w:rFonts w:ascii="Arial" w:hAnsi="Arial" w:cs="Arial"/>
          <w:spacing w:val="-9"/>
          <w:sz w:val="20"/>
          <w:szCs w:val="20"/>
        </w:rPr>
        <w:t xml:space="preserve"> </w:t>
      </w:r>
      <w:r w:rsidRPr="00A351FB">
        <w:rPr>
          <w:rFonts w:ascii="Arial" w:hAnsi="Arial" w:cs="Arial"/>
          <w:sz w:val="20"/>
          <w:szCs w:val="20"/>
        </w:rPr>
        <w:t>of</w:t>
      </w:r>
      <w:r w:rsidRPr="00A351FB">
        <w:rPr>
          <w:rFonts w:ascii="Arial" w:hAnsi="Arial" w:cs="Arial"/>
          <w:spacing w:val="-7"/>
          <w:sz w:val="20"/>
          <w:szCs w:val="20"/>
        </w:rPr>
        <w:t xml:space="preserve"> </w:t>
      </w:r>
      <w:r w:rsidRPr="00A351FB">
        <w:rPr>
          <w:rFonts w:ascii="Arial" w:hAnsi="Arial" w:cs="Arial"/>
          <w:sz w:val="20"/>
          <w:szCs w:val="20"/>
        </w:rPr>
        <w:t>the</w:t>
      </w:r>
      <w:r w:rsidRPr="00A351FB">
        <w:rPr>
          <w:rFonts w:ascii="Arial" w:hAnsi="Arial" w:cs="Arial"/>
          <w:spacing w:val="-7"/>
          <w:sz w:val="20"/>
          <w:szCs w:val="20"/>
        </w:rPr>
        <w:t xml:space="preserve"> </w:t>
      </w:r>
      <w:r w:rsidRPr="00A351FB">
        <w:rPr>
          <w:rFonts w:ascii="Arial" w:hAnsi="Arial" w:cs="Arial"/>
          <w:sz w:val="20"/>
          <w:szCs w:val="20"/>
        </w:rPr>
        <w:t>commercial</w:t>
      </w:r>
      <w:r w:rsidRPr="00A351FB">
        <w:rPr>
          <w:rFonts w:ascii="Arial" w:hAnsi="Arial" w:cs="Arial"/>
          <w:spacing w:val="-10"/>
          <w:sz w:val="20"/>
          <w:szCs w:val="20"/>
        </w:rPr>
        <w:t xml:space="preserve"> </w:t>
      </w:r>
      <w:r w:rsidRPr="00A351FB">
        <w:rPr>
          <w:rFonts w:ascii="Arial" w:hAnsi="Arial" w:cs="Arial"/>
          <w:sz w:val="20"/>
          <w:szCs w:val="20"/>
        </w:rPr>
        <w:t>operation</w:t>
      </w:r>
      <w:r w:rsidRPr="00A351FB">
        <w:rPr>
          <w:rFonts w:ascii="Arial" w:hAnsi="Arial" w:cs="Arial"/>
          <w:spacing w:val="-10"/>
          <w:sz w:val="20"/>
          <w:szCs w:val="20"/>
        </w:rPr>
        <w:t xml:space="preserve"> </w:t>
      </w:r>
      <w:r w:rsidRPr="00A351FB">
        <w:rPr>
          <w:rFonts w:ascii="Arial" w:hAnsi="Arial" w:cs="Arial"/>
          <w:sz w:val="20"/>
          <w:szCs w:val="20"/>
        </w:rPr>
        <w:t>rating</w:t>
      </w:r>
      <w:r w:rsidRPr="00A351FB">
        <w:rPr>
          <w:rFonts w:ascii="Arial" w:hAnsi="Arial" w:cs="Arial"/>
          <w:spacing w:val="-8"/>
          <w:sz w:val="20"/>
          <w:szCs w:val="20"/>
        </w:rPr>
        <w:t xml:space="preserve"> </w:t>
      </w:r>
      <w:r w:rsidRPr="00A351FB">
        <w:rPr>
          <w:rFonts w:ascii="Arial" w:hAnsi="Arial" w:cs="Arial"/>
          <w:sz w:val="20"/>
          <w:szCs w:val="20"/>
        </w:rPr>
        <w:t>for</w:t>
      </w:r>
      <w:r w:rsidRPr="00A351FB">
        <w:rPr>
          <w:rFonts w:ascii="Arial" w:hAnsi="Arial" w:cs="Arial"/>
          <w:spacing w:val="-7"/>
          <w:sz w:val="20"/>
          <w:szCs w:val="20"/>
        </w:rPr>
        <w:t xml:space="preserve"> </w:t>
      </w:r>
      <w:r w:rsidRPr="00A351FB">
        <w:rPr>
          <w:rFonts w:ascii="Arial" w:hAnsi="Arial" w:cs="Arial"/>
          <w:sz w:val="20"/>
          <w:szCs w:val="20"/>
        </w:rPr>
        <w:t>all</w:t>
      </w:r>
      <w:r w:rsidRPr="00A351FB">
        <w:rPr>
          <w:rFonts w:ascii="Arial" w:hAnsi="Arial" w:cs="Arial"/>
          <w:spacing w:val="-8"/>
          <w:sz w:val="20"/>
          <w:szCs w:val="20"/>
        </w:rPr>
        <w:t xml:space="preserve"> </w:t>
      </w:r>
      <w:r w:rsidRPr="00A351FB">
        <w:rPr>
          <w:rFonts w:ascii="Arial" w:hAnsi="Arial" w:cs="Arial"/>
          <w:sz w:val="20"/>
          <w:szCs w:val="20"/>
        </w:rPr>
        <w:t>balloon</w:t>
      </w:r>
      <w:r w:rsidRPr="00A351FB">
        <w:rPr>
          <w:rFonts w:ascii="Arial" w:hAnsi="Arial" w:cs="Arial"/>
          <w:spacing w:val="-8"/>
          <w:sz w:val="20"/>
          <w:szCs w:val="20"/>
        </w:rPr>
        <w:t xml:space="preserve"> </w:t>
      </w:r>
      <w:r w:rsidRPr="00A351FB">
        <w:rPr>
          <w:rFonts w:ascii="Arial" w:hAnsi="Arial" w:cs="Arial"/>
          <w:sz w:val="20"/>
          <w:szCs w:val="20"/>
        </w:rPr>
        <w:t>classes,</w:t>
      </w:r>
      <w:r w:rsidRPr="00A351FB">
        <w:rPr>
          <w:rFonts w:ascii="Arial" w:hAnsi="Arial" w:cs="Arial"/>
          <w:spacing w:val="-7"/>
          <w:sz w:val="20"/>
          <w:szCs w:val="20"/>
        </w:rPr>
        <w:t xml:space="preserve"> </w:t>
      </w:r>
      <w:r w:rsidRPr="00A351FB">
        <w:rPr>
          <w:rFonts w:ascii="Arial" w:hAnsi="Arial" w:cs="Arial"/>
          <w:sz w:val="20"/>
          <w:szCs w:val="20"/>
        </w:rPr>
        <w:t>a</w:t>
      </w:r>
      <w:r w:rsidRPr="00A351FB">
        <w:rPr>
          <w:rFonts w:ascii="Arial" w:hAnsi="Arial" w:cs="Arial"/>
          <w:spacing w:val="-7"/>
          <w:sz w:val="20"/>
          <w:szCs w:val="20"/>
        </w:rPr>
        <w:t xml:space="preserve"> </w:t>
      </w:r>
      <w:r w:rsidRPr="00A351FB">
        <w:rPr>
          <w:rFonts w:ascii="Arial" w:hAnsi="Arial" w:cs="Arial"/>
          <w:sz w:val="20"/>
          <w:szCs w:val="20"/>
        </w:rPr>
        <w:t>pilot</w:t>
      </w:r>
      <w:r w:rsidRPr="00A351FB">
        <w:rPr>
          <w:rFonts w:ascii="Arial" w:hAnsi="Arial" w:cs="Arial"/>
          <w:spacing w:val="-6"/>
          <w:sz w:val="20"/>
          <w:szCs w:val="20"/>
        </w:rPr>
        <w:t xml:space="preserve"> </w:t>
      </w:r>
      <w:r w:rsidRPr="00A351FB">
        <w:rPr>
          <w:rFonts w:ascii="Arial" w:hAnsi="Arial" w:cs="Arial"/>
          <w:sz w:val="20"/>
          <w:szCs w:val="20"/>
        </w:rPr>
        <w:t>who</w:t>
      </w:r>
      <w:r w:rsidRPr="00A351FB">
        <w:rPr>
          <w:rFonts w:ascii="Arial" w:hAnsi="Arial" w:cs="Arial"/>
          <w:spacing w:val="-47"/>
          <w:sz w:val="20"/>
          <w:szCs w:val="20"/>
        </w:rPr>
        <w:t xml:space="preserve"> </w:t>
      </w:r>
      <w:r w:rsidRPr="00A351FB">
        <w:rPr>
          <w:rFonts w:ascii="Arial" w:hAnsi="Arial" w:cs="Arial"/>
          <w:spacing w:val="-1"/>
          <w:sz w:val="20"/>
          <w:szCs w:val="20"/>
        </w:rPr>
        <w:t>holds</w:t>
      </w:r>
      <w:r w:rsidRPr="00A351FB">
        <w:rPr>
          <w:rFonts w:ascii="Arial" w:hAnsi="Arial" w:cs="Arial"/>
          <w:spacing w:val="-9"/>
          <w:sz w:val="20"/>
          <w:szCs w:val="20"/>
        </w:rPr>
        <w:t xml:space="preserve"> </w:t>
      </w:r>
      <w:r w:rsidRPr="00A351FB">
        <w:rPr>
          <w:rFonts w:ascii="Arial" w:hAnsi="Arial" w:cs="Arial"/>
          <w:spacing w:val="-1"/>
          <w:sz w:val="20"/>
          <w:szCs w:val="20"/>
        </w:rPr>
        <w:t>a</w:t>
      </w:r>
      <w:r w:rsidRPr="00A351FB">
        <w:rPr>
          <w:rFonts w:ascii="Arial" w:hAnsi="Arial" w:cs="Arial"/>
          <w:spacing w:val="-11"/>
          <w:sz w:val="20"/>
          <w:szCs w:val="20"/>
        </w:rPr>
        <w:t xml:space="preserve"> </w:t>
      </w:r>
      <w:r w:rsidRPr="00A351FB">
        <w:rPr>
          <w:rFonts w:ascii="Arial" w:hAnsi="Arial" w:cs="Arial"/>
          <w:spacing w:val="-1"/>
          <w:sz w:val="20"/>
          <w:szCs w:val="20"/>
        </w:rPr>
        <w:t>commercial</w:t>
      </w:r>
      <w:r w:rsidRPr="00A351FB">
        <w:rPr>
          <w:rFonts w:ascii="Arial" w:hAnsi="Arial" w:cs="Arial"/>
          <w:spacing w:val="-12"/>
          <w:sz w:val="20"/>
          <w:szCs w:val="20"/>
        </w:rPr>
        <w:t xml:space="preserve"> </w:t>
      </w:r>
      <w:r w:rsidRPr="00A351FB">
        <w:rPr>
          <w:rFonts w:ascii="Arial" w:hAnsi="Arial" w:cs="Arial"/>
          <w:spacing w:val="-1"/>
          <w:sz w:val="20"/>
          <w:szCs w:val="20"/>
        </w:rPr>
        <w:t>operation</w:t>
      </w:r>
      <w:r w:rsidRPr="00A351FB">
        <w:rPr>
          <w:rFonts w:ascii="Arial" w:hAnsi="Arial" w:cs="Arial"/>
          <w:spacing w:val="-9"/>
          <w:sz w:val="20"/>
          <w:szCs w:val="20"/>
        </w:rPr>
        <w:t xml:space="preserve"> </w:t>
      </w:r>
      <w:r w:rsidRPr="00A351FB">
        <w:rPr>
          <w:rFonts w:ascii="Arial" w:hAnsi="Arial" w:cs="Arial"/>
          <w:sz w:val="20"/>
          <w:szCs w:val="20"/>
        </w:rPr>
        <w:t>rating</w:t>
      </w:r>
      <w:r w:rsidRPr="00A351FB">
        <w:rPr>
          <w:rFonts w:ascii="Arial" w:hAnsi="Arial" w:cs="Arial"/>
          <w:spacing w:val="-9"/>
          <w:sz w:val="20"/>
          <w:szCs w:val="20"/>
        </w:rPr>
        <w:t xml:space="preserve"> </w:t>
      </w:r>
      <w:r w:rsidRPr="00A351FB">
        <w:rPr>
          <w:rFonts w:ascii="Arial" w:hAnsi="Arial" w:cs="Arial"/>
          <w:sz w:val="20"/>
          <w:szCs w:val="20"/>
        </w:rPr>
        <w:t>with</w:t>
      </w:r>
      <w:r w:rsidRPr="00A351FB">
        <w:rPr>
          <w:rFonts w:ascii="Arial" w:hAnsi="Arial" w:cs="Arial"/>
          <w:spacing w:val="-10"/>
          <w:sz w:val="20"/>
          <w:szCs w:val="20"/>
        </w:rPr>
        <w:t xml:space="preserve"> </w:t>
      </w:r>
      <w:r w:rsidRPr="00A351FB">
        <w:rPr>
          <w:rFonts w:ascii="Arial" w:hAnsi="Arial" w:cs="Arial"/>
          <w:sz w:val="20"/>
          <w:szCs w:val="20"/>
        </w:rPr>
        <w:t>privileges</w:t>
      </w:r>
      <w:r w:rsidRPr="00A351FB">
        <w:rPr>
          <w:rFonts w:ascii="Arial" w:hAnsi="Arial" w:cs="Arial"/>
          <w:spacing w:val="-10"/>
          <w:sz w:val="20"/>
          <w:szCs w:val="20"/>
        </w:rPr>
        <w:t xml:space="preserve"> </w:t>
      </w:r>
      <w:r w:rsidRPr="00A351FB">
        <w:rPr>
          <w:rFonts w:ascii="Arial" w:hAnsi="Arial" w:cs="Arial"/>
          <w:sz w:val="20"/>
          <w:szCs w:val="20"/>
        </w:rPr>
        <w:t>extended</w:t>
      </w:r>
      <w:r w:rsidRPr="00A351FB">
        <w:rPr>
          <w:rFonts w:ascii="Arial" w:hAnsi="Arial" w:cs="Arial"/>
          <w:spacing w:val="-9"/>
          <w:sz w:val="20"/>
          <w:szCs w:val="20"/>
        </w:rPr>
        <w:t xml:space="preserve"> </w:t>
      </w:r>
      <w:r w:rsidRPr="00A351FB">
        <w:rPr>
          <w:rFonts w:ascii="Arial" w:hAnsi="Arial" w:cs="Arial"/>
          <w:sz w:val="20"/>
          <w:szCs w:val="20"/>
        </w:rPr>
        <w:t>to</w:t>
      </w:r>
      <w:r w:rsidRPr="00A351FB">
        <w:rPr>
          <w:rFonts w:ascii="Arial" w:hAnsi="Arial" w:cs="Arial"/>
          <w:spacing w:val="-10"/>
          <w:sz w:val="20"/>
          <w:szCs w:val="20"/>
        </w:rPr>
        <w:t xml:space="preserve"> </w:t>
      </w:r>
      <w:r w:rsidRPr="00A351FB">
        <w:rPr>
          <w:rFonts w:ascii="Arial" w:hAnsi="Arial" w:cs="Arial"/>
          <w:sz w:val="20"/>
          <w:szCs w:val="20"/>
        </w:rPr>
        <w:t>more</w:t>
      </w:r>
      <w:r w:rsidRPr="00A351FB">
        <w:rPr>
          <w:rFonts w:ascii="Arial" w:hAnsi="Arial" w:cs="Arial"/>
          <w:spacing w:val="-11"/>
          <w:sz w:val="20"/>
          <w:szCs w:val="20"/>
        </w:rPr>
        <w:t xml:space="preserve"> </w:t>
      </w:r>
      <w:r w:rsidRPr="00A351FB">
        <w:rPr>
          <w:rFonts w:ascii="Arial" w:hAnsi="Arial" w:cs="Arial"/>
          <w:sz w:val="20"/>
          <w:szCs w:val="20"/>
        </w:rPr>
        <w:t>than</w:t>
      </w:r>
      <w:r w:rsidRPr="00A351FB">
        <w:rPr>
          <w:rFonts w:ascii="Arial" w:hAnsi="Arial" w:cs="Arial"/>
          <w:spacing w:val="-15"/>
          <w:sz w:val="20"/>
          <w:szCs w:val="20"/>
        </w:rPr>
        <w:t xml:space="preserve"> </w:t>
      </w:r>
      <w:r w:rsidRPr="00A351FB">
        <w:rPr>
          <w:rFonts w:ascii="Arial" w:hAnsi="Arial" w:cs="Arial"/>
          <w:sz w:val="20"/>
          <w:szCs w:val="20"/>
        </w:rPr>
        <w:t>one</w:t>
      </w:r>
      <w:r w:rsidRPr="00A351FB">
        <w:rPr>
          <w:rFonts w:ascii="Arial" w:hAnsi="Arial" w:cs="Arial"/>
          <w:spacing w:val="-10"/>
          <w:sz w:val="20"/>
          <w:szCs w:val="20"/>
        </w:rPr>
        <w:t xml:space="preserve"> </w:t>
      </w:r>
      <w:r w:rsidRPr="00A351FB">
        <w:rPr>
          <w:rFonts w:ascii="Arial" w:hAnsi="Arial" w:cs="Arial"/>
          <w:sz w:val="20"/>
          <w:szCs w:val="20"/>
        </w:rPr>
        <w:t>class</w:t>
      </w:r>
      <w:r w:rsidRPr="00A351FB">
        <w:rPr>
          <w:rFonts w:ascii="Arial" w:hAnsi="Arial" w:cs="Arial"/>
          <w:spacing w:val="-12"/>
          <w:sz w:val="20"/>
          <w:szCs w:val="20"/>
        </w:rPr>
        <w:t xml:space="preserve"> </w:t>
      </w:r>
      <w:r w:rsidRPr="00A351FB">
        <w:rPr>
          <w:rFonts w:ascii="Arial" w:hAnsi="Arial" w:cs="Arial"/>
          <w:sz w:val="20"/>
          <w:szCs w:val="20"/>
        </w:rPr>
        <w:t>of</w:t>
      </w:r>
      <w:r w:rsidRPr="00A351FB">
        <w:rPr>
          <w:rFonts w:ascii="Arial" w:hAnsi="Arial" w:cs="Arial"/>
          <w:spacing w:val="-9"/>
          <w:sz w:val="20"/>
          <w:szCs w:val="20"/>
        </w:rPr>
        <w:t xml:space="preserve"> </w:t>
      </w:r>
      <w:r w:rsidRPr="00A351FB">
        <w:rPr>
          <w:rFonts w:ascii="Arial" w:hAnsi="Arial" w:cs="Arial"/>
          <w:sz w:val="20"/>
          <w:szCs w:val="20"/>
        </w:rPr>
        <w:t>balloons</w:t>
      </w:r>
      <w:r w:rsidRPr="00A351FB">
        <w:rPr>
          <w:rFonts w:ascii="Arial" w:hAnsi="Arial" w:cs="Arial"/>
          <w:spacing w:val="-48"/>
          <w:sz w:val="20"/>
          <w:szCs w:val="20"/>
        </w:rPr>
        <w:t xml:space="preserve"> </w:t>
      </w:r>
      <w:r w:rsidRPr="00A351FB">
        <w:rPr>
          <w:rFonts w:ascii="Arial" w:hAnsi="Arial" w:cs="Arial"/>
          <w:sz w:val="20"/>
          <w:szCs w:val="20"/>
        </w:rPr>
        <w:t>shall</w:t>
      </w:r>
      <w:r w:rsidRPr="00A351FB">
        <w:rPr>
          <w:rFonts w:ascii="Arial" w:hAnsi="Arial" w:cs="Arial"/>
          <w:spacing w:val="-2"/>
          <w:sz w:val="20"/>
          <w:szCs w:val="20"/>
        </w:rPr>
        <w:t xml:space="preserve"> </w:t>
      </w:r>
      <w:r w:rsidRPr="00A351FB">
        <w:rPr>
          <w:rFonts w:ascii="Arial" w:hAnsi="Arial" w:cs="Arial"/>
          <w:sz w:val="20"/>
          <w:szCs w:val="20"/>
        </w:rPr>
        <w:t>comply</w:t>
      </w:r>
      <w:r w:rsidRPr="00A351FB">
        <w:rPr>
          <w:rFonts w:ascii="Arial" w:hAnsi="Arial" w:cs="Arial"/>
          <w:spacing w:val="-2"/>
          <w:sz w:val="20"/>
          <w:szCs w:val="20"/>
        </w:rPr>
        <w:t xml:space="preserve"> </w:t>
      </w:r>
      <w:r w:rsidRPr="00A351FB">
        <w:rPr>
          <w:rFonts w:ascii="Arial" w:hAnsi="Arial" w:cs="Arial"/>
          <w:sz w:val="20"/>
          <w:szCs w:val="20"/>
        </w:rPr>
        <w:t>with</w:t>
      </w:r>
      <w:r w:rsidRPr="00A351FB">
        <w:rPr>
          <w:rFonts w:ascii="Arial" w:hAnsi="Arial" w:cs="Arial"/>
          <w:spacing w:val="-3"/>
          <w:sz w:val="20"/>
          <w:szCs w:val="20"/>
        </w:rPr>
        <w:t xml:space="preserve"> </w:t>
      </w:r>
      <w:r w:rsidRPr="00A351FB">
        <w:rPr>
          <w:rFonts w:ascii="Arial" w:hAnsi="Arial" w:cs="Arial"/>
          <w:sz w:val="20"/>
          <w:szCs w:val="20"/>
        </w:rPr>
        <w:t>the requirements</w:t>
      </w:r>
      <w:r w:rsidRPr="00A351FB">
        <w:rPr>
          <w:rFonts w:ascii="Arial" w:hAnsi="Arial" w:cs="Arial"/>
          <w:spacing w:val="-1"/>
          <w:sz w:val="20"/>
          <w:szCs w:val="20"/>
        </w:rPr>
        <w:t xml:space="preserve"> </w:t>
      </w:r>
      <w:r w:rsidRPr="00A351FB">
        <w:rPr>
          <w:rFonts w:ascii="Arial" w:hAnsi="Arial" w:cs="Arial"/>
          <w:sz w:val="20"/>
          <w:szCs w:val="20"/>
        </w:rPr>
        <w:t>in</w:t>
      </w:r>
      <w:r w:rsidRPr="00A351FB">
        <w:rPr>
          <w:rFonts w:ascii="Arial" w:hAnsi="Arial" w:cs="Arial"/>
          <w:spacing w:val="-1"/>
          <w:sz w:val="20"/>
          <w:szCs w:val="20"/>
        </w:rPr>
        <w:t xml:space="preserve"> </w:t>
      </w:r>
      <w:r w:rsidRPr="00A351FB">
        <w:rPr>
          <w:rFonts w:ascii="Arial" w:hAnsi="Arial" w:cs="Arial"/>
          <w:sz w:val="20"/>
          <w:szCs w:val="20"/>
        </w:rPr>
        <w:t>paragraph</w:t>
      </w:r>
      <w:r w:rsidRPr="00A351FB">
        <w:rPr>
          <w:rFonts w:ascii="Arial" w:hAnsi="Arial" w:cs="Arial"/>
          <w:spacing w:val="-1"/>
          <w:sz w:val="20"/>
          <w:szCs w:val="20"/>
        </w:rPr>
        <w:t xml:space="preserve"> </w:t>
      </w:r>
      <w:r w:rsidRPr="00A351FB">
        <w:rPr>
          <w:rFonts w:ascii="Arial" w:hAnsi="Arial" w:cs="Arial"/>
          <w:sz w:val="20"/>
          <w:szCs w:val="20"/>
        </w:rPr>
        <w:t>(d)(2) in at</w:t>
      </w:r>
      <w:r w:rsidRPr="00A351FB">
        <w:rPr>
          <w:rFonts w:ascii="Arial" w:hAnsi="Arial" w:cs="Arial"/>
          <w:spacing w:val="-1"/>
          <w:sz w:val="20"/>
          <w:szCs w:val="20"/>
        </w:rPr>
        <w:t xml:space="preserve"> </w:t>
      </w:r>
      <w:r w:rsidRPr="00A351FB">
        <w:rPr>
          <w:rFonts w:ascii="Arial" w:hAnsi="Arial" w:cs="Arial"/>
          <w:sz w:val="20"/>
          <w:szCs w:val="20"/>
        </w:rPr>
        <w:t>least</w:t>
      </w:r>
      <w:r w:rsidRPr="00A351FB">
        <w:rPr>
          <w:rFonts w:ascii="Arial" w:hAnsi="Arial" w:cs="Arial"/>
          <w:spacing w:val="-2"/>
          <w:sz w:val="20"/>
          <w:szCs w:val="20"/>
        </w:rPr>
        <w:t xml:space="preserve"> </w:t>
      </w:r>
      <w:r w:rsidRPr="00A351FB">
        <w:rPr>
          <w:rFonts w:ascii="Arial" w:hAnsi="Arial" w:cs="Arial"/>
          <w:sz w:val="20"/>
          <w:szCs w:val="20"/>
        </w:rPr>
        <w:t>one</w:t>
      </w:r>
      <w:r w:rsidRPr="00A351FB">
        <w:rPr>
          <w:rFonts w:ascii="Arial" w:hAnsi="Arial" w:cs="Arial"/>
          <w:spacing w:val="-2"/>
          <w:sz w:val="20"/>
          <w:szCs w:val="20"/>
        </w:rPr>
        <w:t xml:space="preserve"> </w:t>
      </w:r>
      <w:r w:rsidRPr="00A351FB">
        <w:rPr>
          <w:rFonts w:ascii="Arial" w:hAnsi="Arial" w:cs="Arial"/>
          <w:sz w:val="20"/>
          <w:szCs w:val="20"/>
        </w:rPr>
        <w:t>class</w:t>
      </w:r>
      <w:r w:rsidRPr="00A351FB">
        <w:rPr>
          <w:rFonts w:ascii="Arial" w:hAnsi="Arial" w:cs="Arial"/>
          <w:spacing w:val="-2"/>
          <w:sz w:val="20"/>
          <w:szCs w:val="20"/>
        </w:rPr>
        <w:t xml:space="preserve"> </w:t>
      </w:r>
      <w:r w:rsidRPr="00A351FB">
        <w:rPr>
          <w:rFonts w:ascii="Arial" w:hAnsi="Arial" w:cs="Arial"/>
          <w:sz w:val="20"/>
          <w:szCs w:val="20"/>
        </w:rPr>
        <w:t>of</w:t>
      </w:r>
      <w:r w:rsidRPr="00A351FB">
        <w:rPr>
          <w:rFonts w:ascii="Arial" w:hAnsi="Arial" w:cs="Arial"/>
          <w:spacing w:val="-1"/>
          <w:sz w:val="20"/>
          <w:szCs w:val="20"/>
        </w:rPr>
        <w:t xml:space="preserve"> </w:t>
      </w:r>
      <w:r w:rsidRPr="00A351FB">
        <w:rPr>
          <w:rFonts w:ascii="Arial" w:hAnsi="Arial" w:cs="Arial"/>
          <w:sz w:val="20"/>
          <w:szCs w:val="20"/>
        </w:rPr>
        <w:t>balloons.</w:t>
      </w:r>
    </w:p>
    <w:p w14:paraId="779C6A1F" w14:textId="77777777" w:rsidR="0026323F" w:rsidRPr="00A351FB" w:rsidRDefault="0026323F" w:rsidP="00AC3011">
      <w:pPr>
        <w:numPr>
          <w:ilvl w:val="0"/>
          <w:numId w:val="213"/>
        </w:numPr>
        <w:tabs>
          <w:tab w:val="left" w:pos="707"/>
        </w:tabs>
        <w:spacing w:before="121" w:line="276" w:lineRule="auto"/>
        <w:ind w:right="193"/>
        <w:jc w:val="both"/>
        <w:rPr>
          <w:rFonts w:ascii="Arial" w:hAnsi="Arial" w:cs="Arial"/>
          <w:sz w:val="20"/>
          <w:szCs w:val="20"/>
        </w:rPr>
      </w:pPr>
      <w:r w:rsidRPr="00A351FB">
        <w:rPr>
          <w:rFonts w:ascii="Arial" w:hAnsi="Arial" w:cs="Arial"/>
          <w:sz w:val="20"/>
          <w:szCs w:val="20"/>
        </w:rPr>
        <w:t>A pilot who complies with paragraph (d) and holds a commercial operation rating for the hot-</w:t>
      </w:r>
      <w:r w:rsidRPr="00A351FB">
        <w:rPr>
          <w:rFonts w:ascii="Arial" w:hAnsi="Arial" w:cs="Arial"/>
          <w:spacing w:val="1"/>
          <w:sz w:val="20"/>
          <w:szCs w:val="20"/>
        </w:rPr>
        <w:t xml:space="preserve"> </w:t>
      </w:r>
      <w:r w:rsidRPr="00A351FB">
        <w:rPr>
          <w:rFonts w:ascii="Arial" w:hAnsi="Arial" w:cs="Arial"/>
          <w:sz w:val="20"/>
          <w:szCs w:val="20"/>
        </w:rPr>
        <w:t>air balloon class shall exercise the privileges of that rating in the hot-air balloon class only on</w:t>
      </w:r>
      <w:r w:rsidRPr="00A351FB">
        <w:rPr>
          <w:rFonts w:ascii="Arial" w:hAnsi="Arial" w:cs="Arial"/>
          <w:spacing w:val="1"/>
          <w:sz w:val="20"/>
          <w:szCs w:val="20"/>
        </w:rPr>
        <w:t xml:space="preserve"> </w:t>
      </w:r>
      <w:r w:rsidRPr="00A351FB">
        <w:rPr>
          <w:rFonts w:ascii="Arial" w:hAnsi="Arial" w:cs="Arial"/>
          <w:sz w:val="20"/>
          <w:szCs w:val="20"/>
        </w:rPr>
        <w:t>balloons</w:t>
      </w:r>
      <w:r w:rsidRPr="00A351FB">
        <w:rPr>
          <w:rFonts w:ascii="Arial" w:hAnsi="Arial" w:cs="Arial"/>
          <w:spacing w:val="-2"/>
          <w:sz w:val="20"/>
          <w:szCs w:val="20"/>
        </w:rPr>
        <w:t xml:space="preserve"> </w:t>
      </w:r>
      <w:r w:rsidRPr="00A351FB">
        <w:rPr>
          <w:rFonts w:ascii="Arial" w:hAnsi="Arial" w:cs="Arial"/>
          <w:sz w:val="20"/>
          <w:szCs w:val="20"/>
        </w:rPr>
        <w:t>that represent:</w:t>
      </w:r>
    </w:p>
    <w:p w14:paraId="46A00CDD" w14:textId="77777777" w:rsidR="0026323F" w:rsidRPr="00A351FB" w:rsidRDefault="0026323F" w:rsidP="00AC3011">
      <w:pPr>
        <w:numPr>
          <w:ilvl w:val="0"/>
          <w:numId w:val="214"/>
        </w:numPr>
        <w:tabs>
          <w:tab w:val="left" w:pos="1274"/>
        </w:tabs>
        <w:spacing w:before="121" w:line="276" w:lineRule="auto"/>
        <w:ind w:right="197"/>
        <w:jc w:val="both"/>
        <w:rPr>
          <w:rFonts w:ascii="Arial" w:hAnsi="Arial" w:cs="Arial"/>
          <w:sz w:val="20"/>
          <w:szCs w:val="20"/>
        </w:rPr>
      </w:pPr>
      <w:r w:rsidRPr="00A351FB">
        <w:rPr>
          <w:rFonts w:ascii="Arial" w:hAnsi="Arial" w:cs="Arial"/>
          <w:sz w:val="20"/>
          <w:szCs w:val="20"/>
        </w:rPr>
        <w:t>the same group of the hot-air balloon in which the proficiency check as specified in</w:t>
      </w:r>
      <w:r w:rsidRPr="00A351FB">
        <w:rPr>
          <w:rFonts w:ascii="Arial" w:hAnsi="Arial" w:cs="Arial"/>
          <w:spacing w:val="1"/>
          <w:sz w:val="20"/>
          <w:szCs w:val="20"/>
        </w:rPr>
        <w:t xml:space="preserve"> </w:t>
      </w:r>
      <w:r w:rsidRPr="00A351FB">
        <w:rPr>
          <w:rFonts w:ascii="Arial" w:hAnsi="Arial" w:cs="Arial"/>
          <w:sz w:val="20"/>
          <w:szCs w:val="20"/>
        </w:rPr>
        <w:t>paragraph (d)(2)(i) or the training flight as specified in paragraph (d)(2)(ii), have been</w:t>
      </w:r>
      <w:r w:rsidRPr="00A351FB">
        <w:rPr>
          <w:rFonts w:ascii="Arial" w:hAnsi="Arial" w:cs="Arial"/>
          <w:spacing w:val="1"/>
          <w:sz w:val="20"/>
          <w:szCs w:val="20"/>
        </w:rPr>
        <w:t xml:space="preserve"> </w:t>
      </w:r>
      <w:r w:rsidRPr="00A351FB">
        <w:rPr>
          <w:rFonts w:ascii="Arial" w:hAnsi="Arial" w:cs="Arial"/>
          <w:sz w:val="20"/>
          <w:szCs w:val="20"/>
        </w:rPr>
        <w:t>completed;</w:t>
      </w:r>
      <w:r w:rsidRPr="00A351FB">
        <w:rPr>
          <w:rFonts w:ascii="Arial" w:hAnsi="Arial" w:cs="Arial"/>
          <w:spacing w:val="-1"/>
          <w:sz w:val="20"/>
          <w:szCs w:val="20"/>
        </w:rPr>
        <w:t xml:space="preserve"> </w:t>
      </w:r>
      <w:r w:rsidRPr="00A351FB">
        <w:rPr>
          <w:rFonts w:ascii="Arial" w:hAnsi="Arial" w:cs="Arial"/>
          <w:sz w:val="20"/>
          <w:szCs w:val="20"/>
        </w:rPr>
        <w:t>or</w:t>
      </w:r>
    </w:p>
    <w:p w14:paraId="051A5FD1" w14:textId="77777777" w:rsidR="0026323F" w:rsidRPr="00A351FB" w:rsidRDefault="0026323F" w:rsidP="00AC3011">
      <w:pPr>
        <w:numPr>
          <w:ilvl w:val="0"/>
          <w:numId w:val="214"/>
        </w:numPr>
        <w:tabs>
          <w:tab w:val="left" w:pos="1274"/>
        </w:tabs>
        <w:spacing w:before="118" w:line="276" w:lineRule="auto"/>
        <w:ind w:hanging="568"/>
        <w:jc w:val="both"/>
        <w:rPr>
          <w:rFonts w:ascii="Arial" w:hAnsi="Arial" w:cs="Arial"/>
          <w:sz w:val="20"/>
          <w:szCs w:val="20"/>
        </w:rPr>
      </w:pPr>
      <w:r w:rsidRPr="00A351FB">
        <w:rPr>
          <w:rFonts w:ascii="Arial" w:hAnsi="Arial" w:cs="Arial"/>
          <w:sz w:val="20"/>
          <w:szCs w:val="20"/>
        </w:rPr>
        <w:t>a</w:t>
      </w:r>
      <w:r w:rsidRPr="00A351FB">
        <w:rPr>
          <w:rFonts w:ascii="Arial" w:hAnsi="Arial" w:cs="Arial"/>
          <w:spacing w:val="-2"/>
          <w:sz w:val="20"/>
          <w:szCs w:val="20"/>
        </w:rPr>
        <w:t xml:space="preserve"> </w:t>
      </w:r>
      <w:r w:rsidRPr="00A351FB">
        <w:rPr>
          <w:rFonts w:ascii="Arial" w:hAnsi="Arial" w:cs="Arial"/>
          <w:sz w:val="20"/>
          <w:szCs w:val="20"/>
        </w:rPr>
        <w:t>hot-air</w:t>
      </w:r>
      <w:r w:rsidRPr="00A351FB">
        <w:rPr>
          <w:rFonts w:ascii="Arial" w:hAnsi="Arial" w:cs="Arial"/>
          <w:spacing w:val="-1"/>
          <w:sz w:val="20"/>
          <w:szCs w:val="20"/>
        </w:rPr>
        <w:t xml:space="preserve"> </w:t>
      </w:r>
      <w:r w:rsidRPr="00A351FB">
        <w:rPr>
          <w:rFonts w:ascii="Arial" w:hAnsi="Arial" w:cs="Arial"/>
          <w:sz w:val="20"/>
          <w:szCs w:val="20"/>
        </w:rPr>
        <w:t>balloon</w:t>
      </w:r>
      <w:r w:rsidRPr="00A351FB">
        <w:rPr>
          <w:rFonts w:ascii="Arial" w:hAnsi="Arial" w:cs="Arial"/>
          <w:spacing w:val="-2"/>
          <w:sz w:val="20"/>
          <w:szCs w:val="20"/>
        </w:rPr>
        <w:t xml:space="preserve"> </w:t>
      </w:r>
      <w:r w:rsidRPr="00A351FB">
        <w:rPr>
          <w:rFonts w:ascii="Arial" w:hAnsi="Arial" w:cs="Arial"/>
          <w:sz w:val="20"/>
          <w:szCs w:val="20"/>
        </w:rPr>
        <w:t>group</w:t>
      </w:r>
      <w:r w:rsidRPr="00A351FB">
        <w:rPr>
          <w:rFonts w:ascii="Arial" w:hAnsi="Arial" w:cs="Arial"/>
          <w:spacing w:val="-4"/>
          <w:sz w:val="20"/>
          <w:szCs w:val="20"/>
        </w:rPr>
        <w:t xml:space="preserve"> </w:t>
      </w:r>
      <w:r w:rsidRPr="00A351FB">
        <w:rPr>
          <w:rFonts w:ascii="Arial" w:hAnsi="Arial" w:cs="Arial"/>
          <w:sz w:val="20"/>
          <w:szCs w:val="20"/>
        </w:rPr>
        <w:t>with</w:t>
      </w:r>
      <w:r w:rsidRPr="00A351FB">
        <w:rPr>
          <w:rFonts w:ascii="Arial" w:hAnsi="Arial" w:cs="Arial"/>
          <w:spacing w:val="-2"/>
          <w:sz w:val="20"/>
          <w:szCs w:val="20"/>
        </w:rPr>
        <w:t xml:space="preserve"> </w:t>
      </w:r>
      <w:r w:rsidRPr="00A351FB">
        <w:rPr>
          <w:rFonts w:ascii="Arial" w:hAnsi="Arial" w:cs="Arial"/>
          <w:sz w:val="20"/>
          <w:szCs w:val="20"/>
        </w:rPr>
        <w:t>a</w:t>
      </w:r>
      <w:r w:rsidRPr="00A351FB">
        <w:rPr>
          <w:rFonts w:ascii="Arial" w:hAnsi="Arial" w:cs="Arial"/>
          <w:spacing w:val="-1"/>
          <w:sz w:val="20"/>
          <w:szCs w:val="20"/>
        </w:rPr>
        <w:t xml:space="preserve"> </w:t>
      </w:r>
      <w:r w:rsidRPr="00A351FB">
        <w:rPr>
          <w:rFonts w:ascii="Arial" w:hAnsi="Arial" w:cs="Arial"/>
          <w:sz w:val="20"/>
          <w:szCs w:val="20"/>
        </w:rPr>
        <w:t>smaller</w:t>
      </w:r>
      <w:r w:rsidRPr="00A351FB">
        <w:rPr>
          <w:rFonts w:ascii="Arial" w:hAnsi="Arial" w:cs="Arial"/>
          <w:spacing w:val="-1"/>
          <w:sz w:val="20"/>
          <w:szCs w:val="20"/>
        </w:rPr>
        <w:t xml:space="preserve"> </w:t>
      </w:r>
      <w:r w:rsidRPr="00A351FB">
        <w:rPr>
          <w:rFonts w:ascii="Arial" w:hAnsi="Arial" w:cs="Arial"/>
          <w:sz w:val="20"/>
          <w:szCs w:val="20"/>
        </w:rPr>
        <w:t>envelope</w:t>
      </w:r>
      <w:r w:rsidRPr="00A351FB">
        <w:rPr>
          <w:rFonts w:ascii="Arial" w:hAnsi="Arial" w:cs="Arial"/>
          <w:spacing w:val="-3"/>
          <w:sz w:val="20"/>
          <w:szCs w:val="20"/>
        </w:rPr>
        <w:t xml:space="preserve"> </w:t>
      </w:r>
      <w:r w:rsidRPr="00A351FB">
        <w:rPr>
          <w:rFonts w:ascii="Arial" w:hAnsi="Arial" w:cs="Arial"/>
          <w:sz w:val="20"/>
          <w:szCs w:val="20"/>
        </w:rPr>
        <w:t>size.</w:t>
      </w:r>
    </w:p>
    <w:p w14:paraId="5FDA8D1F" w14:textId="77777777" w:rsidR="0026323F" w:rsidRPr="00A351FB" w:rsidRDefault="0026323F" w:rsidP="00AC3011">
      <w:pPr>
        <w:numPr>
          <w:ilvl w:val="0"/>
          <w:numId w:val="213"/>
        </w:numPr>
        <w:tabs>
          <w:tab w:val="left" w:pos="707"/>
        </w:tabs>
        <w:spacing w:before="120" w:line="276" w:lineRule="auto"/>
        <w:ind w:right="197"/>
        <w:jc w:val="both"/>
        <w:rPr>
          <w:rFonts w:ascii="Arial" w:hAnsi="Arial" w:cs="Arial"/>
          <w:sz w:val="20"/>
          <w:szCs w:val="20"/>
        </w:rPr>
      </w:pPr>
      <w:r w:rsidRPr="00A351FB">
        <w:rPr>
          <w:rFonts w:ascii="Arial" w:hAnsi="Arial" w:cs="Arial"/>
          <w:sz w:val="20"/>
          <w:szCs w:val="20"/>
        </w:rPr>
        <w:t>The</w:t>
      </w:r>
      <w:r w:rsidRPr="00A351FB">
        <w:rPr>
          <w:rFonts w:ascii="Arial" w:hAnsi="Arial" w:cs="Arial"/>
          <w:spacing w:val="1"/>
          <w:sz w:val="20"/>
          <w:szCs w:val="20"/>
        </w:rPr>
        <w:t xml:space="preserve"> </w:t>
      </w:r>
      <w:r w:rsidRPr="00A351FB">
        <w:rPr>
          <w:rFonts w:ascii="Arial" w:hAnsi="Arial" w:cs="Arial"/>
          <w:sz w:val="20"/>
          <w:szCs w:val="20"/>
        </w:rPr>
        <w:t>completion</w:t>
      </w:r>
      <w:r w:rsidRPr="00A351FB">
        <w:rPr>
          <w:rFonts w:ascii="Arial" w:hAnsi="Arial" w:cs="Arial"/>
          <w:spacing w:val="1"/>
          <w:sz w:val="20"/>
          <w:szCs w:val="20"/>
        </w:rPr>
        <w:t xml:space="preserve"> </w:t>
      </w:r>
      <w:r w:rsidRPr="00A351FB">
        <w:rPr>
          <w:rFonts w:ascii="Arial" w:hAnsi="Arial" w:cs="Arial"/>
          <w:sz w:val="20"/>
          <w:szCs w:val="20"/>
        </w:rPr>
        <w:t>of</w:t>
      </w:r>
      <w:r w:rsidRPr="00A351FB">
        <w:rPr>
          <w:rFonts w:ascii="Arial" w:hAnsi="Arial" w:cs="Arial"/>
          <w:spacing w:val="1"/>
          <w:sz w:val="20"/>
          <w:szCs w:val="20"/>
        </w:rPr>
        <w:t xml:space="preserve"> </w:t>
      </w:r>
      <w:r w:rsidRPr="00A351FB">
        <w:rPr>
          <w:rFonts w:ascii="Arial" w:hAnsi="Arial" w:cs="Arial"/>
          <w:sz w:val="20"/>
          <w:szCs w:val="20"/>
        </w:rPr>
        <w:t>the</w:t>
      </w:r>
      <w:r w:rsidRPr="00A351FB">
        <w:rPr>
          <w:rFonts w:ascii="Arial" w:hAnsi="Arial" w:cs="Arial"/>
          <w:spacing w:val="1"/>
          <w:sz w:val="20"/>
          <w:szCs w:val="20"/>
        </w:rPr>
        <w:t xml:space="preserve"> </w:t>
      </w:r>
      <w:r w:rsidRPr="00A351FB">
        <w:rPr>
          <w:rFonts w:ascii="Arial" w:hAnsi="Arial" w:cs="Arial"/>
          <w:sz w:val="20"/>
          <w:szCs w:val="20"/>
        </w:rPr>
        <w:t>flight</w:t>
      </w:r>
      <w:r w:rsidRPr="00A351FB">
        <w:rPr>
          <w:rFonts w:ascii="Arial" w:hAnsi="Arial" w:cs="Arial"/>
          <w:spacing w:val="1"/>
          <w:sz w:val="20"/>
          <w:szCs w:val="20"/>
        </w:rPr>
        <w:t xml:space="preserve"> </w:t>
      </w:r>
      <w:r w:rsidRPr="00A351FB">
        <w:rPr>
          <w:rFonts w:ascii="Arial" w:hAnsi="Arial" w:cs="Arial"/>
          <w:sz w:val="20"/>
          <w:szCs w:val="20"/>
        </w:rPr>
        <w:t>under</w:t>
      </w:r>
      <w:r w:rsidRPr="00A351FB">
        <w:rPr>
          <w:rFonts w:ascii="Arial" w:hAnsi="Arial" w:cs="Arial"/>
          <w:spacing w:val="1"/>
          <w:sz w:val="20"/>
          <w:szCs w:val="20"/>
        </w:rPr>
        <w:t xml:space="preserve"> </w:t>
      </w:r>
      <w:r w:rsidRPr="00A351FB">
        <w:rPr>
          <w:rFonts w:ascii="Arial" w:hAnsi="Arial" w:cs="Arial"/>
          <w:sz w:val="20"/>
          <w:szCs w:val="20"/>
        </w:rPr>
        <w:t>supervision</w:t>
      </w:r>
      <w:r w:rsidRPr="00A351FB">
        <w:rPr>
          <w:rFonts w:ascii="Arial" w:hAnsi="Arial" w:cs="Arial"/>
          <w:spacing w:val="1"/>
          <w:sz w:val="20"/>
          <w:szCs w:val="20"/>
        </w:rPr>
        <w:t xml:space="preserve"> </w:t>
      </w:r>
      <w:r w:rsidRPr="00A351FB">
        <w:rPr>
          <w:rFonts w:ascii="Arial" w:hAnsi="Arial" w:cs="Arial"/>
          <w:sz w:val="20"/>
          <w:szCs w:val="20"/>
        </w:rPr>
        <w:t>as</w:t>
      </w:r>
      <w:r w:rsidRPr="00A351FB">
        <w:rPr>
          <w:rFonts w:ascii="Arial" w:hAnsi="Arial" w:cs="Arial"/>
          <w:spacing w:val="1"/>
          <w:sz w:val="20"/>
          <w:szCs w:val="20"/>
        </w:rPr>
        <w:t xml:space="preserve"> </w:t>
      </w:r>
      <w:r w:rsidRPr="00A351FB">
        <w:rPr>
          <w:rFonts w:ascii="Arial" w:hAnsi="Arial" w:cs="Arial"/>
          <w:sz w:val="20"/>
          <w:szCs w:val="20"/>
        </w:rPr>
        <w:t>specified</w:t>
      </w:r>
      <w:r w:rsidRPr="00A351FB">
        <w:rPr>
          <w:rFonts w:ascii="Arial" w:hAnsi="Arial" w:cs="Arial"/>
          <w:spacing w:val="1"/>
          <w:sz w:val="20"/>
          <w:szCs w:val="20"/>
        </w:rPr>
        <w:t xml:space="preserve"> </w:t>
      </w:r>
      <w:r w:rsidRPr="00A351FB">
        <w:rPr>
          <w:rFonts w:ascii="Arial" w:hAnsi="Arial" w:cs="Arial"/>
          <w:sz w:val="20"/>
          <w:szCs w:val="20"/>
        </w:rPr>
        <w:t>in</w:t>
      </w:r>
      <w:r w:rsidRPr="00A351FB">
        <w:rPr>
          <w:rFonts w:ascii="Arial" w:hAnsi="Arial" w:cs="Arial"/>
          <w:spacing w:val="1"/>
          <w:sz w:val="20"/>
          <w:szCs w:val="20"/>
        </w:rPr>
        <w:t xml:space="preserve"> </w:t>
      </w:r>
      <w:r w:rsidRPr="00A351FB">
        <w:rPr>
          <w:rFonts w:ascii="Arial" w:hAnsi="Arial" w:cs="Arial"/>
          <w:sz w:val="20"/>
          <w:szCs w:val="20"/>
        </w:rPr>
        <w:t>paragraph</w:t>
      </w:r>
      <w:r w:rsidRPr="00A351FB">
        <w:rPr>
          <w:rFonts w:ascii="Arial" w:hAnsi="Arial" w:cs="Arial"/>
          <w:spacing w:val="1"/>
          <w:sz w:val="20"/>
          <w:szCs w:val="20"/>
        </w:rPr>
        <w:t xml:space="preserve"> </w:t>
      </w:r>
      <w:r w:rsidRPr="00A351FB">
        <w:rPr>
          <w:rFonts w:ascii="Arial" w:hAnsi="Arial" w:cs="Arial"/>
          <w:sz w:val="20"/>
          <w:szCs w:val="20"/>
        </w:rPr>
        <w:t>(d)(1)(ii),</w:t>
      </w:r>
      <w:r w:rsidRPr="00A351FB">
        <w:rPr>
          <w:rFonts w:ascii="Arial" w:hAnsi="Arial" w:cs="Arial"/>
          <w:spacing w:val="1"/>
          <w:sz w:val="20"/>
          <w:szCs w:val="20"/>
        </w:rPr>
        <w:t xml:space="preserve"> </w:t>
      </w:r>
      <w:r w:rsidRPr="00A351FB">
        <w:rPr>
          <w:rFonts w:ascii="Arial" w:hAnsi="Arial" w:cs="Arial"/>
          <w:sz w:val="20"/>
          <w:szCs w:val="20"/>
        </w:rPr>
        <w:t>the</w:t>
      </w:r>
      <w:r w:rsidRPr="00A351FB">
        <w:rPr>
          <w:rFonts w:ascii="Arial" w:hAnsi="Arial" w:cs="Arial"/>
          <w:spacing w:val="1"/>
          <w:sz w:val="20"/>
          <w:szCs w:val="20"/>
        </w:rPr>
        <w:t xml:space="preserve"> </w:t>
      </w:r>
      <w:r w:rsidRPr="00A351FB">
        <w:rPr>
          <w:rFonts w:ascii="Arial" w:hAnsi="Arial" w:cs="Arial"/>
          <w:sz w:val="20"/>
          <w:szCs w:val="20"/>
        </w:rPr>
        <w:t>proficiency</w:t>
      </w:r>
      <w:r w:rsidRPr="00A351FB">
        <w:rPr>
          <w:rFonts w:ascii="Arial" w:hAnsi="Arial" w:cs="Arial"/>
          <w:spacing w:val="1"/>
          <w:sz w:val="20"/>
          <w:szCs w:val="20"/>
        </w:rPr>
        <w:t xml:space="preserve"> </w:t>
      </w:r>
      <w:r w:rsidRPr="00A351FB">
        <w:rPr>
          <w:rFonts w:ascii="Arial" w:hAnsi="Arial" w:cs="Arial"/>
          <w:sz w:val="20"/>
          <w:szCs w:val="20"/>
        </w:rPr>
        <w:t>check</w:t>
      </w:r>
      <w:r w:rsidRPr="00A351FB">
        <w:rPr>
          <w:rFonts w:ascii="Arial" w:hAnsi="Arial" w:cs="Arial"/>
          <w:spacing w:val="1"/>
          <w:sz w:val="20"/>
          <w:szCs w:val="20"/>
        </w:rPr>
        <w:t xml:space="preserve"> </w:t>
      </w:r>
      <w:r w:rsidRPr="00A351FB">
        <w:rPr>
          <w:rFonts w:ascii="Arial" w:hAnsi="Arial" w:cs="Arial"/>
          <w:sz w:val="20"/>
          <w:szCs w:val="20"/>
        </w:rPr>
        <w:t>as</w:t>
      </w:r>
      <w:r w:rsidRPr="00A351FB">
        <w:rPr>
          <w:rFonts w:ascii="Arial" w:hAnsi="Arial" w:cs="Arial"/>
          <w:spacing w:val="1"/>
          <w:sz w:val="20"/>
          <w:szCs w:val="20"/>
        </w:rPr>
        <w:t xml:space="preserve"> </w:t>
      </w:r>
      <w:r w:rsidRPr="00A351FB">
        <w:rPr>
          <w:rFonts w:ascii="Arial" w:hAnsi="Arial" w:cs="Arial"/>
          <w:sz w:val="20"/>
          <w:szCs w:val="20"/>
        </w:rPr>
        <w:t>specified</w:t>
      </w:r>
      <w:r w:rsidRPr="00A351FB">
        <w:rPr>
          <w:rFonts w:ascii="Arial" w:hAnsi="Arial" w:cs="Arial"/>
          <w:spacing w:val="1"/>
          <w:sz w:val="20"/>
          <w:szCs w:val="20"/>
        </w:rPr>
        <w:t xml:space="preserve"> </w:t>
      </w:r>
      <w:r w:rsidRPr="00A351FB">
        <w:rPr>
          <w:rFonts w:ascii="Arial" w:hAnsi="Arial" w:cs="Arial"/>
          <w:sz w:val="20"/>
          <w:szCs w:val="20"/>
        </w:rPr>
        <w:t>in</w:t>
      </w:r>
      <w:r w:rsidRPr="00A351FB">
        <w:rPr>
          <w:rFonts w:ascii="Arial" w:hAnsi="Arial" w:cs="Arial"/>
          <w:spacing w:val="1"/>
          <w:sz w:val="20"/>
          <w:szCs w:val="20"/>
        </w:rPr>
        <w:t xml:space="preserve"> </w:t>
      </w:r>
      <w:r w:rsidRPr="00A351FB">
        <w:rPr>
          <w:rFonts w:ascii="Arial" w:hAnsi="Arial" w:cs="Arial"/>
          <w:sz w:val="20"/>
          <w:szCs w:val="20"/>
        </w:rPr>
        <w:t>paragraph</w:t>
      </w:r>
      <w:r w:rsidRPr="00A351FB">
        <w:rPr>
          <w:rFonts w:ascii="Arial" w:hAnsi="Arial" w:cs="Arial"/>
          <w:spacing w:val="1"/>
          <w:sz w:val="20"/>
          <w:szCs w:val="20"/>
        </w:rPr>
        <w:t xml:space="preserve"> </w:t>
      </w:r>
      <w:r w:rsidRPr="00A351FB">
        <w:rPr>
          <w:rFonts w:ascii="Arial" w:hAnsi="Arial" w:cs="Arial"/>
          <w:sz w:val="20"/>
          <w:szCs w:val="20"/>
        </w:rPr>
        <w:t>(d)(2)(i)</w:t>
      </w:r>
      <w:r w:rsidRPr="00A351FB">
        <w:rPr>
          <w:rFonts w:ascii="Arial" w:hAnsi="Arial" w:cs="Arial"/>
          <w:spacing w:val="1"/>
          <w:sz w:val="20"/>
          <w:szCs w:val="20"/>
        </w:rPr>
        <w:t xml:space="preserve"> </w:t>
      </w:r>
      <w:r w:rsidRPr="00A351FB">
        <w:rPr>
          <w:rFonts w:ascii="Arial" w:hAnsi="Arial" w:cs="Arial"/>
          <w:sz w:val="20"/>
          <w:szCs w:val="20"/>
        </w:rPr>
        <w:t>and</w:t>
      </w:r>
      <w:r w:rsidRPr="00A351FB">
        <w:rPr>
          <w:rFonts w:ascii="Arial" w:hAnsi="Arial" w:cs="Arial"/>
          <w:spacing w:val="1"/>
          <w:sz w:val="20"/>
          <w:szCs w:val="20"/>
        </w:rPr>
        <w:t xml:space="preserve"> </w:t>
      </w:r>
      <w:r w:rsidRPr="00A351FB">
        <w:rPr>
          <w:rFonts w:ascii="Arial" w:hAnsi="Arial" w:cs="Arial"/>
          <w:sz w:val="20"/>
          <w:szCs w:val="20"/>
        </w:rPr>
        <w:t>the</w:t>
      </w:r>
      <w:r w:rsidRPr="00A351FB">
        <w:rPr>
          <w:rFonts w:ascii="Arial" w:hAnsi="Arial" w:cs="Arial"/>
          <w:spacing w:val="1"/>
          <w:sz w:val="20"/>
          <w:szCs w:val="20"/>
        </w:rPr>
        <w:t xml:space="preserve"> </w:t>
      </w:r>
      <w:r w:rsidRPr="00A351FB">
        <w:rPr>
          <w:rFonts w:ascii="Arial" w:hAnsi="Arial" w:cs="Arial"/>
          <w:sz w:val="20"/>
          <w:szCs w:val="20"/>
        </w:rPr>
        <w:t>refresher</w:t>
      </w:r>
      <w:r w:rsidRPr="00A351FB">
        <w:rPr>
          <w:rFonts w:ascii="Arial" w:hAnsi="Arial" w:cs="Arial"/>
          <w:spacing w:val="1"/>
          <w:sz w:val="20"/>
          <w:szCs w:val="20"/>
        </w:rPr>
        <w:t xml:space="preserve"> </w:t>
      </w:r>
      <w:r w:rsidRPr="00A351FB">
        <w:rPr>
          <w:rFonts w:ascii="Arial" w:hAnsi="Arial" w:cs="Arial"/>
          <w:sz w:val="20"/>
          <w:szCs w:val="20"/>
        </w:rPr>
        <w:t>training</w:t>
      </w:r>
      <w:r w:rsidRPr="00A351FB">
        <w:rPr>
          <w:rFonts w:ascii="Arial" w:hAnsi="Arial" w:cs="Arial"/>
          <w:spacing w:val="1"/>
          <w:sz w:val="20"/>
          <w:szCs w:val="20"/>
        </w:rPr>
        <w:t xml:space="preserve"> </w:t>
      </w:r>
      <w:r w:rsidRPr="00A351FB">
        <w:rPr>
          <w:rFonts w:ascii="Arial" w:hAnsi="Arial" w:cs="Arial"/>
          <w:sz w:val="20"/>
          <w:szCs w:val="20"/>
        </w:rPr>
        <w:t>course</w:t>
      </w:r>
      <w:r w:rsidRPr="00A351FB">
        <w:rPr>
          <w:rFonts w:ascii="Arial" w:hAnsi="Arial" w:cs="Arial"/>
          <w:spacing w:val="1"/>
          <w:sz w:val="20"/>
          <w:szCs w:val="20"/>
        </w:rPr>
        <w:t xml:space="preserve"> </w:t>
      </w:r>
      <w:r w:rsidRPr="00A351FB">
        <w:rPr>
          <w:rFonts w:ascii="Arial" w:hAnsi="Arial" w:cs="Arial"/>
          <w:sz w:val="20"/>
          <w:szCs w:val="20"/>
        </w:rPr>
        <w:t>as</w:t>
      </w:r>
      <w:r w:rsidRPr="00A351FB">
        <w:rPr>
          <w:rFonts w:ascii="Arial" w:hAnsi="Arial" w:cs="Arial"/>
          <w:spacing w:val="1"/>
          <w:sz w:val="20"/>
          <w:szCs w:val="20"/>
        </w:rPr>
        <w:t xml:space="preserve"> </w:t>
      </w:r>
      <w:r w:rsidRPr="00A351FB">
        <w:rPr>
          <w:rFonts w:ascii="Arial" w:hAnsi="Arial" w:cs="Arial"/>
          <w:sz w:val="20"/>
          <w:szCs w:val="20"/>
        </w:rPr>
        <w:t>specified in paragraph (d)(2)(ii) shall be entered in the logbook of the pilot and shall be signed</w:t>
      </w:r>
      <w:r w:rsidRPr="00A351FB">
        <w:rPr>
          <w:rFonts w:ascii="Arial" w:hAnsi="Arial" w:cs="Arial"/>
          <w:spacing w:val="1"/>
          <w:sz w:val="20"/>
          <w:szCs w:val="20"/>
        </w:rPr>
        <w:t xml:space="preserve"> </w:t>
      </w:r>
      <w:r w:rsidRPr="00A351FB">
        <w:rPr>
          <w:rFonts w:ascii="Arial" w:hAnsi="Arial" w:cs="Arial"/>
          <w:sz w:val="20"/>
          <w:szCs w:val="20"/>
        </w:rPr>
        <w:t>by the head of training of the ATO or the DTO, or the FI(B) or the FE(B) that is responsible for</w:t>
      </w:r>
      <w:r w:rsidRPr="00A351FB">
        <w:rPr>
          <w:rFonts w:ascii="Arial" w:hAnsi="Arial" w:cs="Arial"/>
          <w:spacing w:val="1"/>
          <w:sz w:val="20"/>
          <w:szCs w:val="20"/>
        </w:rPr>
        <w:t xml:space="preserve"> </w:t>
      </w:r>
      <w:r w:rsidRPr="00A351FB">
        <w:rPr>
          <w:rFonts w:ascii="Arial" w:hAnsi="Arial" w:cs="Arial"/>
          <w:sz w:val="20"/>
          <w:szCs w:val="20"/>
        </w:rPr>
        <w:t>the</w:t>
      </w:r>
      <w:r w:rsidRPr="00A351FB">
        <w:rPr>
          <w:rFonts w:ascii="Arial" w:hAnsi="Arial" w:cs="Arial"/>
          <w:spacing w:val="-1"/>
          <w:sz w:val="20"/>
          <w:szCs w:val="20"/>
        </w:rPr>
        <w:t xml:space="preserve"> </w:t>
      </w:r>
      <w:r w:rsidRPr="00A351FB">
        <w:rPr>
          <w:rFonts w:ascii="Arial" w:hAnsi="Arial" w:cs="Arial"/>
          <w:sz w:val="20"/>
          <w:szCs w:val="20"/>
        </w:rPr>
        <w:t>training</w:t>
      </w:r>
      <w:r w:rsidRPr="00A351FB">
        <w:rPr>
          <w:rFonts w:ascii="Arial" w:hAnsi="Arial" w:cs="Arial"/>
          <w:spacing w:val="-1"/>
          <w:sz w:val="20"/>
          <w:szCs w:val="20"/>
        </w:rPr>
        <w:t xml:space="preserve"> </w:t>
      </w:r>
      <w:r w:rsidRPr="00A351FB">
        <w:rPr>
          <w:rFonts w:ascii="Arial" w:hAnsi="Arial" w:cs="Arial"/>
          <w:sz w:val="20"/>
          <w:szCs w:val="20"/>
        </w:rPr>
        <w:t>course,</w:t>
      </w:r>
      <w:r w:rsidRPr="00A351FB">
        <w:rPr>
          <w:rFonts w:ascii="Arial" w:hAnsi="Arial" w:cs="Arial"/>
          <w:spacing w:val="-2"/>
          <w:sz w:val="20"/>
          <w:szCs w:val="20"/>
        </w:rPr>
        <w:t xml:space="preserve"> </w:t>
      </w:r>
      <w:r w:rsidRPr="00A351FB">
        <w:rPr>
          <w:rFonts w:ascii="Arial" w:hAnsi="Arial" w:cs="Arial"/>
          <w:sz w:val="20"/>
          <w:szCs w:val="20"/>
        </w:rPr>
        <w:t>the</w:t>
      </w:r>
      <w:r w:rsidRPr="00A351FB">
        <w:rPr>
          <w:rFonts w:ascii="Arial" w:hAnsi="Arial" w:cs="Arial"/>
          <w:spacing w:val="-2"/>
          <w:sz w:val="20"/>
          <w:szCs w:val="20"/>
        </w:rPr>
        <w:t xml:space="preserve"> </w:t>
      </w:r>
      <w:r w:rsidRPr="00A351FB">
        <w:rPr>
          <w:rFonts w:ascii="Arial" w:hAnsi="Arial" w:cs="Arial"/>
          <w:sz w:val="20"/>
          <w:szCs w:val="20"/>
        </w:rPr>
        <w:t>supervision</w:t>
      </w:r>
      <w:r w:rsidRPr="00A351FB">
        <w:rPr>
          <w:rFonts w:ascii="Arial" w:hAnsi="Arial" w:cs="Arial"/>
          <w:spacing w:val="-1"/>
          <w:sz w:val="20"/>
          <w:szCs w:val="20"/>
        </w:rPr>
        <w:t xml:space="preserve"> </w:t>
      </w:r>
      <w:r w:rsidRPr="00A351FB">
        <w:rPr>
          <w:rFonts w:ascii="Arial" w:hAnsi="Arial" w:cs="Arial"/>
          <w:sz w:val="20"/>
          <w:szCs w:val="20"/>
        </w:rPr>
        <w:t>or</w:t>
      </w:r>
      <w:r w:rsidRPr="00A351FB">
        <w:rPr>
          <w:rFonts w:ascii="Arial" w:hAnsi="Arial" w:cs="Arial"/>
          <w:spacing w:val="-3"/>
          <w:sz w:val="20"/>
          <w:szCs w:val="20"/>
        </w:rPr>
        <w:t xml:space="preserve"> </w:t>
      </w:r>
      <w:r w:rsidRPr="00A351FB">
        <w:rPr>
          <w:rFonts w:ascii="Arial" w:hAnsi="Arial" w:cs="Arial"/>
          <w:sz w:val="20"/>
          <w:szCs w:val="20"/>
        </w:rPr>
        <w:t>the</w:t>
      </w:r>
      <w:r w:rsidRPr="00A351FB">
        <w:rPr>
          <w:rFonts w:ascii="Arial" w:hAnsi="Arial" w:cs="Arial"/>
          <w:spacing w:val="1"/>
          <w:sz w:val="20"/>
          <w:szCs w:val="20"/>
        </w:rPr>
        <w:t xml:space="preserve"> </w:t>
      </w:r>
      <w:r w:rsidRPr="00A351FB">
        <w:rPr>
          <w:rFonts w:ascii="Arial" w:hAnsi="Arial" w:cs="Arial"/>
          <w:sz w:val="20"/>
          <w:szCs w:val="20"/>
        </w:rPr>
        <w:t>proficiency</w:t>
      </w:r>
      <w:r w:rsidRPr="00A351FB">
        <w:rPr>
          <w:rFonts w:ascii="Arial" w:hAnsi="Arial" w:cs="Arial"/>
          <w:spacing w:val="-2"/>
          <w:sz w:val="20"/>
          <w:szCs w:val="20"/>
        </w:rPr>
        <w:t xml:space="preserve"> </w:t>
      </w:r>
      <w:r w:rsidRPr="00A351FB">
        <w:rPr>
          <w:rFonts w:ascii="Arial" w:hAnsi="Arial" w:cs="Arial"/>
          <w:sz w:val="20"/>
          <w:szCs w:val="20"/>
        </w:rPr>
        <w:t>check,</w:t>
      </w:r>
      <w:r w:rsidRPr="00A351FB">
        <w:rPr>
          <w:rFonts w:ascii="Arial" w:hAnsi="Arial" w:cs="Arial"/>
          <w:spacing w:val="-3"/>
          <w:sz w:val="20"/>
          <w:szCs w:val="20"/>
        </w:rPr>
        <w:t xml:space="preserve"> </w:t>
      </w:r>
      <w:r w:rsidRPr="00A351FB">
        <w:rPr>
          <w:rFonts w:ascii="Arial" w:hAnsi="Arial" w:cs="Arial"/>
          <w:sz w:val="20"/>
          <w:szCs w:val="20"/>
        </w:rPr>
        <w:t>as applicable.</w:t>
      </w:r>
    </w:p>
    <w:p w14:paraId="5E64C0F1" w14:textId="77777777" w:rsidR="0026323F" w:rsidRPr="00A351FB" w:rsidRDefault="0026323F" w:rsidP="00AC3011">
      <w:pPr>
        <w:numPr>
          <w:ilvl w:val="0"/>
          <w:numId w:val="213"/>
        </w:numPr>
        <w:tabs>
          <w:tab w:val="left" w:pos="707"/>
        </w:tabs>
        <w:spacing w:before="122" w:line="276" w:lineRule="auto"/>
        <w:ind w:right="195"/>
        <w:jc w:val="both"/>
        <w:rPr>
          <w:rFonts w:ascii="Arial" w:hAnsi="Arial" w:cs="Arial"/>
          <w:sz w:val="20"/>
          <w:szCs w:val="20"/>
        </w:rPr>
      </w:pPr>
      <w:r w:rsidRPr="00A351FB">
        <w:rPr>
          <w:rFonts w:ascii="Arial" w:hAnsi="Arial" w:cs="Arial"/>
          <w:sz w:val="20"/>
          <w:szCs w:val="20"/>
        </w:rPr>
        <w:t>A</w:t>
      </w:r>
      <w:r w:rsidRPr="00A351FB">
        <w:rPr>
          <w:rFonts w:ascii="Arial" w:hAnsi="Arial" w:cs="Arial"/>
          <w:spacing w:val="1"/>
          <w:sz w:val="20"/>
          <w:szCs w:val="20"/>
        </w:rPr>
        <w:t xml:space="preserve"> </w:t>
      </w:r>
      <w:r w:rsidRPr="00A351FB">
        <w:rPr>
          <w:rFonts w:ascii="Arial" w:hAnsi="Arial" w:cs="Arial"/>
          <w:sz w:val="20"/>
          <w:szCs w:val="20"/>
        </w:rPr>
        <w:t>pilot</w:t>
      </w:r>
      <w:r w:rsidRPr="00A351FB">
        <w:rPr>
          <w:rFonts w:ascii="Arial" w:hAnsi="Arial" w:cs="Arial"/>
          <w:spacing w:val="1"/>
          <w:sz w:val="20"/>
          <w:szCs w:val="20"/>
        </w:rPr>
        <w:t xml:space="preserve"> </w:t>
      </w:r>
      <w:r w:rsidRPr="00A351FB">
        <w:rPr>
          <w:rFonts w:ascii="Arial" w:hAnsi="Arial" w:cs="Arial"/>
          <w:sz w:val="20"/>
          <w:szCs w:val="20"/>
        </w:rPr>
        <w:t>who</w:t>
      </w:r>
      <w:r w:rsidRPr="00A351FB">
        <w:rPr>
          <w:rFonts w:ascii="Arial" w:hAnsi="Arial" w:cs="Arial"/>
          <w:spacing w:val="1"/>
          <w:sz w:val="20"/>
          <w:szCs w:val="20"/>
        </w:rPr>
        <w:t xml:space="preserve"> </w:t>
      </w:r>
      <w:r w:rsidRPr="00A351FB">
        <w:rPr>
          <w:rFonts w:ascii="Arial" w:hAnsi="Arial" w:cs="Arial"/>
          <w:sz w:val="20"/>
          <w:szCs w:val="20"/>
        </w:rPr>
        <w:t>has</w:t>
      </w:r>
      <w:r w:rsidRPr="00A351FB">
        <w:rPr>
          <w:rFonts w:ascii="Arial" w:hAnsi="Arial" w:cs="Arial"/>
          <w:spacing w:val="1"/>
          <w:sz w:val="20"/>
          <w:szCs w:val="20"/>
        </w:rPr>
        <w:t xml:space="preserve"> </w:t>
      </w:r>
      <w:r w:rsidRPr="00A351FB">
        <w:rPr>
          <w:rFonts w:ascii="Arial" w:hAnsi="Arial" w:cs="Arial"/>
          <w:sz w:val="20"/>
          <w:szCs w:val="20"/>
        </w:rPr>
        <w:t>completed</w:t>
      </w:r>
      <w:r w:rsidRPr="00A351FB">
        <w:rPr>
          <w:rFonts w:ascii="Arial" w:hAnsi="Arial" w:cs="Arial"/>
          <w:spacing w:val="1"/>
          <w:sz w:val="20"/>
          <w:szCs w:val="20"/>
        </w:rPr>
        <w:t xml:space="preserve"> </w:t>
      </w:r>
      <w:r w:rsidRPr="00A351FB">
        <w:rPr>
          <w:rFonts w:ascii="Arial" w:hAnsi="Arial" w:cs="Arial"/>
          <w:sz w:val="20"/>
          <w:szCs w:val="20"/>
        </w:rPr>
        <w:t>an</w:t>
      </w:r>
      <w:r w:rsidRPr="00A351FB">
        <w:rPr>
          <w:rFonts w:ascii="Arial" w:hAnsi="Arial" w:cs="Arial"/>
          <w:spacing w:val="1"/>
          <w:sz w:val="20"/>
          <w:szCs w:val="20"/>
        </w:rPr>
        <w:t xml:space="preserve"> </w:t>
      </w:r>
      <w:r w:rsidRPr="00A351FB">
        <w:rPr>
          <w:rFonts w:ascii="Arial" w:hAnsi="Arial" w:cs="Arial"/>
          <w:sz w:val="20"/>
          <w:szCs w:val="20"/>
        </w:rPr>
        <w:t>operator</w:t>
      </w:r>
      <w:r w:rsidRPr="00A351FB">
        <w:rPr>
          <w:rFonts w:ascii="Arial" w:hAnsi="Arial" w:cs="Arial"/>
          <w:spacing w:val="1"/>
          <w:sz w:val="20"/>
          <w:szCs w:val="20"/>
        </w:rPr>
        <w:t xml:space="preserve"> </w:t>
      </w:r>
      <w:r w:rsidRPr="00A351FB">
        <w:rPr>
          <w:rFonts w:ascii="Arial" w:hAnsi="Arial" w:cs="Arial"/>
          <w:sz w:val="20"/>
          <w:szCs w:val="20"/>
        </w:rPr>
        <w:t>proficiency</w:t>
      </w:r>
      <w:r w:rsidRPr="00A351FB">
        <w:rPr>
          <w:rFonts w:ascii="Arial" w:hAnsi="Arial" w:cs="Arial"/>
          <w:spacing w:val="1"/>
          <w:sz w:val="20"/>
          <w:szCs w:val="20"/>
        </w:rPr>
        <w:t xml:space="preserve"> </w:t>
      </w:r>
      <w:r w:rsidRPr="00A351FB">
        <w:rPr>
          <w:rFonts w:ascii="Arial" w:hAnsi="Arial" w:cs="Arial"/>
          <w:sz w:val="20"/>
          <w:szCs w:val="20"/>
        </w:rPr>
        <w:t>check</w:t>
      </w:r>
      <w:r w:rsidRPr="00A351FB">
        <w:rPr>
          <w:rFonts w:ascii="Arial" w:hAnsi="Arial" w:cs="Arial"/>
          <w:spacing w:val="1"/>
          <w:sz w:val="20"/>
          <w:szCs w:val="20"/>
        </w:rPr>
        <w:t xml:space="preserve"> </w:t>
      </w:r>
      <w:r w:rsidRPr="00A351FB">
        <w:rPr>
          <w:rFonts w:ascii="Arial" w:hAnsi="Arial" w:cs="Arial"/>
          <w:sz w:val="20"/>
          <w:szCs w:val="20"/>
        </w:rPr>
        <w:t>in</w:t>
      </w:r>
      <w:r w:rsidRPr="00A351FB">
        <w:rPr>
          <w:rFonts w:ascii="Arial" w:hAnsi="Arial" w:cs="Arial"/>
          <w:spacing w:val="1"/>
          <w:sz w:val="20"/>
          <w:szCs w:val="20"/>
        </w:rPr>
        <w:t xml:space="preserve"> </w:t>
      </w:r>
      <w:r w:rsidRPr="00A351FB">
        <w:rPr>
          <w:rFonts w:ascii="Arial" w:hAnsi="Arial" w:cs="Arial"/>
          <w:sz w:val="20"/>
          <w:szCs w:val="20"/>
        </w:rPr>
        <w:t>accordance</w:t>
      </w:r>
      <w:r w:rsidRPr="00A351FB">
        <w:rPr>
          <w:rFonts w:ascii="Arial" w:hAnsi="Arial" w:cs="Arial"/>
          <w:spacing w:val="1"/>
          <w:sz w:val="20"/>
          <w:szCs w:val="20"/>
        </w:rPr>
        <w:t xml:space="preserve"> </w:t>
      </w:r>
      <w:r w:rsidRPr="00A351FB">
        <w:rPr>
          <w:rFonts w:ascii="Arial" w:hAnsi="Arial" w:cs="Arial"/>
          <w:sz w:val="20"/>
          <w:szCs w:val="20"/>
        </w:rPr>
        <w:t>with</w:t>
      </w:r>
      <w:r w:rsidRPr="00A351FB">
        <w:rPr>
          <w:rFonts w:ascii="Arial" w:hAnsi="Arial" w:cs="Arial"/>
          <w:spacing w:val="1"/>
          <w:sz w:val="20"/>
          <w:szCs w:val="20"/>
        </w:rPr>
        <w:t xml:space="preserve"> </w:t>
      </w:r>
      <w:r w:rsidRPr="00A351FB">
        <w:rPr>
          <w:rFonts w:ascii="Arial" w:hAnsi="Arial" w:cs="Arial"/>
          <w:sz w:val="20"/>
          <w:szCs w:val="20"/>
        </w:rPr>
        <w:t>point</w:t>
      </w:r>
      <w:r w:rsidRPr="00A351FB">
        <w:rPr>
          <w:rFonts w:ascii="Arial" w:hAnsi="Arial" w:cs="Arial"/>
          <w:spacing w:val="1"/>
          <w:sz w:val="20"/>
          <w:szCs w:val="20"/>
        </w:rPr>
        <w:t xml:space="preserve"> </w:t>
      </w:r>
      <w:r w:rsidRPr="00A351FB">
        <w:rPr>
          <w:rFonts w:ascii="Arial" w:hAnsi="Arial" w:cs="Arial"/>
          <w:sz w:val="20"/>
          <w:szCs w:val="20"/>
        </w:rPr>
        <w:t>BOP.ADD.315</w:t>
      </w:r>
      <w:r w:rsidRPr="00A351FB">
        <w:rPr>
          <w:rFonts w:ascii="Arial" w:hAnsi="Arial" w:cs="Arial"/>
          <w:spacing w:val="1"/>
          <w:sz w:val="20"/>
          <w:szCs w:val="20"/>
        </w:rPr>
        <w:t xml:space="preserve"> </w:t>
      </w:r>
      <w:r w:rsidRPr="00A351FB">
        <w:rPr>
          <w:rFonts w:ascii="Arial" w:hAnsi="Arial" w:cs="Arial"/>
          <w:sz w:val="20"/>
          <w:szCs w:val="20"/>
        </w:rPr>
        <w:t>of Annex</w:t>
      </w:r>
      <w:r w:rsidRPr="00A351FB">
        <w:rPr>
          <w:rFonts w:ascii="Arial" w:hAnsi="Arial" w:cs="Arial"/>
          <w:spacing w:val="1"/>
          <w:sz w:val="20"/>
          <w:szCs w:val="20"/>
        </w:rPr>
        <w:t xml:space="preserve"> </w:t>
      </w:r>
      <w:r w:rsidRPr="00A351FB">
        <w:rPr>
          <w:rFonts w:ascii="Arial" w:hAnsi="Arial" w:cs="Arial"/>
          <w:sz w:val="20"/>
          <w:szCs w:val="20"/>
        </w:rPr>
        <w:t>II (Part- BOP) to</w:t>
      </w:r>
      <w:r w:rsidRPr="00A351FB">
        <w:rPr>
          <w:rFonts w:ascii="Arial" w:hAnsi="Arial" w:cs="Arial"/>
          <w:spacing w:val="1"/>
          <w:sz w:val="20"/>
          <w:szCs w:val="20"/>
        </w:rPr>
        <w:t xml:space="preserve"> </w:t>
      </w:r>
      <w:r w:rsidRPr="00A351FB">
        <w:rPr>
          <w:rFonts w:ascii="Arial" w:hAnsi="Arial" w:cs="Arial"/>
          <w:sz w:val="20"/>
          <w:szCs w:val="20"/>
        </w:rPr>
        <w:t>this Regulation shall be</w:t>
      </w:r>
      <w:r w:rsidRPr="00A351FB">
        <w:rPr>
          <w:rFonts w:ascii="Arial" w:hAnsi="Arial" w:cs="Arial"/>
          <w:spacing w:val="1"/>
          <w:sz w:val="20"/>
          <w:szCs w:val="20"/>
        </w:rPr>
        <w:t xml:space="preserve"> </w:t>
      </w:r>
      <w:r w:rsidRPr="00A351FB">
        <w:rPr>
          <w:rFonts w:ascii="Arial" w:hAnsi="Arial" w:cs="Arial"/>
          <w:sz w:val="20"/>
          <w:szCs w:val="20"/>
        </w:rPr>
        <w:t>deemed to comply</w:t>
      </w:r>
      <w:r w:rsidRPr="00A351FB">
        <w:rPr>
          <w:rFonts w:ascii="Arial" w:hAnsi="Arial" w:cs="Arial"/>
          <w:spacing w:val="1"/>
          <w:sz w:val="20"/>
          <w:szCs w:val="20"/>
        </w:rPr>
        <w:t xml:space="preserve"> </w:t>
      </w:r>
      <w:r w:rsidRPr="00A351FB">
        <w:rPr>
          <w:rFonts w:ascii="Arial" w:hAnsi="Arial" w:cs="Arial"/>
          <w:sz w:val="20"/>
          <w:szCs w:val="20"/>
        </w:rPr>
        <w:t>with</w:t>
      </w:r>
      <w:r w:rsidRPr="00A351FB">
        <w:rPr>
          <w:rFonts w:ascii="Arial" w:hAnsi="Arial" w:cs="Arial"/>
          <w:spacing w:val="1"/>
          <w:sz w:val="20"/>
          <w:szCs w:val="20"/>
        </w:rPr>
        <w:t xml:space="preserve"> </w:t>
      </w:r>
      <w:r w:rsidRPr="00A351FB">
        <w:rPr>
          <w:rFonts w:ascii="Arial" w:hAnsi="Arial" w:cs="Arial"/>
          <w:sz w:val="20"/>
          <w:szCs w:val="20"/>
        </w:rPr>
        <w:t>paragraph</w:t>
      </w:r>
      <w:r w:rsidRPr="00A351FB">
        <w:rPr>
          <w:rFonts w:ascii="Arial" w:hAnsi="Arial" w:cs="Arial"/>
          <w:spacing w:val="-2"/>
          <w:sz w:val="20"/>
          <w:szCs w:val="20"/>
        </w:rPr>
        <w:t xml:space="preserve"> </w:t>
      </w:r>
      <w:r w:rsidRPr="00A351FB">
        <w:rPr>
          <w:rFonts w:ascii="Arial" w:hAnsi="Arial" w:cs="Arial"/>
          <w:sz w:val="20"/>
          <w:szCs w:val="20"/>
        </w:rPr>
        <w:t>(d)(2)(i).</w:t>
      </w:r>
    </w:p>
    <w:p w14:paraId="5A4ABFDB" w14:textId="77777777" w:rsidR="00321CE8" w:rsidRPr="00321CE8" w:rsidRDefault="00321CE8" w:rsidP="00321CE8">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684" w:name="_Toc153137439"/>
      <w:r w:rsidRPr="00321CE8">
        <w:rPr>
          <w:rFonts w:ascii="Arial" w:eastAsia="Times New Roman" w:hAnsi="Arial" w:cs="Times New Roman"/>
          <w:b/>
          <w:color w:val="FFFFFF"/>
          <w:sz w:val="24"/>
        </w:rPr>
        <w:t>AMC1 BFCL.215(b)(4) Commercial operation rating</w:t>
      </w:r>
      <w:bookmarkEnd w:id="684"/>
      <w:r w:rsidRPr="00321CE8">
        <w:rPr>
          <w:rFonts w:ascii="Arial" w:eastAsia="Times New Roman" w:hAnsi="Arial" w:cs="Times New Roman"/>
          <w:b/>
          <w:color w:val="FFFFFF"/>
          <w:sz w:val="24"/>
        </w:rPr>
        <w:tab/>
      </w:r>
    </w:p>
    <w:p w14:paraId="00AF1A64" w14:textId="77777777" w:rsidR="00321CE8" w:rsidRPr="00613E70" w:rsidRDefault="00321CE8" w:rsidP="00613E70">
      <w:pPr>
        <w:widowControl/>
        <w:autoSpaceDE/>
        <w:autoSpaceDN/>
        <w:spacing w:before="240" w:after="160" w:line="264" w:lineRule="auto"/>
        <w:jc w:val="both"/>
        <w:rPr>
          <w:rFonts w:ascii="Arial" w:eastAsiaTheme="minorHAnsi" w:hAnsi="Arial" w:cs="Arial"/>
          <w:b/>
          <w:bCs/>
          <w:sz w:val="20"/>
          <w:szCs w:val="20"/>
        </w:rPr>
      </w:pPr>
      <w:r w:rsidRPr="00613E70">
        <w:rPr>
          <w:rFonts w:ascii="Arial" w:eastAsiaTheme="minorHAnsi" w:hAnsi="Arial" w:cs="Arial"/>
          <w:b/>
          <w:bCs/>
          <w:sz w:val="20"/>
          <w:szCs w:val="20"/>
        </w:rPr>
        <w:t>SKILL TEST FOR THE COMMERCIAL OPERATION RATING</w:t>
      </w:r>
    </w:p>
    <w:p w14:paraId="58941C09" w14:textId="77777777" w:rsidR="00321CE8" w:rsidRPr="00321CE8" w:rsidRDefault="00321CE8" w:rsidP="00682A54">
      <w:pPr>
        <w:pStyle w:val="ListParagraph"/>
        <w:numPr>
          <w:ilvl w:val="0"/>
          <w:numId w:val="215"/>
        </w:numPr>
        <w:tabs>
          <w:tab w:val="left" w:pos="706"/>
          <w:tab w:val="left" w:pos="707"/>
        </w:tabs>
        <w:spacing w:before="119"/>
        <w:jc w:val="both"/>
        <w:rPr>
          <w:rFonts w:ascii="Arial" w:hAnsi="Arial" w:cs="Arial"/>
          <w:sz w:val="20"/>
        </w:rPr>
      </w:pPr>
      <w:r w:rsidRPr="00321CE8">
        <w:rPr>
          <w:rFonts w:ascii="Arial" w:hAnsi="Arial" w:cs="Arial"/>
          <w:sz w:val="20"/>
        </w:rPr>
        <w:t>GENERAL</w:t>
      </w:r>
    </w:p>
    <w:p w14:paraId="45045778" w14:textId="77777777" w:rsidR="00321CE8" w:rsidRPr="00321CE8" w:rsidRDefault="00321CE8" w:rsidP="00682A54">
      <w:pPr>
        <w:pStyle w:val="ListParagraph"/>
        <w:numPr>
          <w:ilvl w:val="1"/>
          <w:numId w:val="215"/>
        </w:numPr>
        <w:tabs>
          <w:tab w:val="left" w:pos="1274"/>
        </w:tabs>
        <w:ind w:right="195"/>
        <w:jc w:val="both"/>
        <w:rPr>
          <w:rFonts w:ascii="Arial" w:hAnsi="Arial" w:cs="Arial"/>
          <w:sz w:val="20"/>
        </w:rPr>
      </w:pPr>
      <w:r w:rsidRPr="00321CE8">
        <w:rPr>
          <w:rFonts w:ascii="Arial" w:hAnsi="Arial" w:cs="Arial"/>
          <w:sz w:val="20"/>
        </w:rPr>
        <w:t>The</w:t>
      </w:r>
      <w:r w:rsidRPr="00321CE8">
        <w:rPr>
          <w:rFonts w:ascii="Arial" w:hAnsi="Arial" w:cs="Arial"/>
          <w:spacing w:val="1"/>
          <w:sz w:val="20"/>
        </w:rPr>
        <w:t xml:space="preserve"> </w:t>
      </w:r>
      <w:r w:rsidRPr="00321CE8">
        <w:rPr>
          <w:rFonts w:ascii="Arial" w:hAnsi="Arial" w:cs="Arial"/>
          <w:sz w:val="20"/>
        </w:rPr>
        <w:t>take-off</w:t>
      </w:r>
      <w:r w:rsidRPr="00321CE8">
        <w:rPr>
          <w:rFonts w:ascii="Arial" w:hAnsi="Arial" w:cs="Arial"/>
          <w:spacing w:val="1"/>
          <w:sz w:val="20"/>
        </w:rPr>
        <w:t xml:space="preserve"> </w:t>
      </w:r>
      <w:r w:rsidRPr="00321CE8">
        <w:rPr>
          <w:rFonts w:ascii="Arial" w:hAnsi="Arial" w:cs="Arial"/>
          <w:sz w:val="20"/>
        </w:rPr>
        <w:t>site</w:t>
      </w:r>
      <w:r w:rsidRPr="00321CE8">
        <w:rPr>
          <w:rFonts w:ascii="Arial" w:hAnsi="Arial" w:cs="Arial"/>
          <w:spacing w:val="1"/>
          <w:sz w:val="20"/>
        </w:rPr>
        <w:t xml:space="preserve"> </w:t>
      </w:r>
      <w:r w:rsidRPr="00321CE8">
        <w:rPr>
          <w:rFonts w:ascii="Arial" w:hAnsi="Arial" w:cs="Arial"/>
          <w:sz w:val="20"/>
        </w:rPr>
        <w:t>should</w:t>
      </w:r>
      <w:r w:rsidRPr="00321CE8">
        <w:rPr>
          <w:rFonts w:ascii="Arial" w:hAnsi="Arial" w:cs="Arial"/>
          <w:spacing w:val="1"/>
          <w:sz w:val="20"/>
        </w:rPr>
        <w:t xml:space="preserve"> </w:t>
      </w:r>
      <w:r w:rsidRPr="00321CE8">
        <w:rPr>
          <w:rFonts w:ascii="Arial" w:hAnsi="Arial" w:cs="Arial"/>
          <w:sz w:val="20"/>
        </w:rPr>
        <w:t>be</w:t>
      </w:r>
      <w:r w:rsidRPr="00321CE8">
        <w:rPr>
          <w:rFonts w:ascii="Arial" w:hAnsi="Arial" w:cs="Arial"/>
          <w:spacing w:val="1"/>
          <w:sz w:val="20"/>
        </w:rPr>
        <w:t xml:space="preserve"> </w:t>
      </w:r>
      <w:r w:rsidRPr="00321CE8">
        <w:rPr>
          <w:rFonts w:ascii="Arial" w:hAnsi="Arial" w:cs="Arial"/>
          <w:sz w:val="20"/>
        </w:rPr>
        <w:t>chosen</w:t>
      </w:r>
      <w:r w:rsidRPr="00321CE8">
        <w:rPr>
          <w:rFonts w:ascii="Arial" w:hAnsi="Arial" w:cs="Arial"/>
          <w:spacing w:val="1"/>
          <w:sz w:val="20"/>
        </w:rPr>
        <w:t xml:space="preserve"> </w:t>
      </w:r>
      <w:r w:rsidRPr="00321CE8">
        <w:rPr>
          <w:rFonts w:ascii="Arial" w:hAnsi="Arial" w:cs="Arial"/>
          <w:sz w:val="20"/>
        </w:rPr>
        <w:t>by</w:t>
      </w:r>
      <w:r w:rsidRPr="00321CE8">
        <w:rPr>
          <w:rFonts w:ascii="Arial" w:hAnsi="Arial" w:cs="Arial"/>
          <w:spacing w:val="1"/>
          <w:sz w:val="20"/>
        </w:rPr>
        <w:t xml:space="preserve"> </w:t>
      </w:r>
      <w:r w:rsidRPr="00321CE8">
        <w:rPr>
          <w:rFonts w:ascii="Arial" w:hAnsi="Arial" w:cs="Arial"/>
          <w:sz w:val="20"/>
        </w:rPr>
        <w:t>the</w:t>
      </w:r>
      <w:r w:rsidRPr="00321CE8">
        <w:rPr>
          <w:rFonts w:ascii="Arial" w:hAnsi="Arial" w:cs="Arial"/>
          <w:spacing w:val="1"/>
          <w:sz w:val="20"/>
        </w:rPr>
        <w:t xml:space="preserve"> </w:t>
      </w:r>
      <w:r w:rsidRPr="00321CE8">
        <w:rPr>
          <w:rFonts w:ascii="Arial" w:hAnsi="Arial" w:cs="Arial"/>
          <w:sz w:val="20"/>
        </w:rPr>
        <w:t>applicant</w:t>
      </w:r>
      <w:r w:rsidRPr="00321CE8">
        <w:rPr>
          <w:rFonts w:ascii="Arial" w:hAnsi="Arial" w:cs="Arial"/>
          <w:spacing w:val="1"/>
          <w:sz w:val="20"/>
        </w:rPr>
        <w:t xml:space="preserve"> </w:t>
      </w:r>
      <w:r w:rsidRPr="00321CE8">
        <w:rPr>
          <w:rFonts w:ascii="Arial" w:hAnsi="Arial" w:cs="Arial"/>
          <w:sz w:val="20"/>
        </w:rPr>
        <w:t>depending</w:t>
      </w:r>
      <w:r w:rsidRPr="00321CE8">
        <w:rPr>
          <w:rFonts w:ascii="Arial" w:hAnsi="Arial" w:cs="Arial"/>
          <w:spacing w:val="1"/>
          <w:sz w:val="20"/>
        </w:rPr>
        <w:t xml:space="preserve"> </w:t>
      </w:r>
      <w:r w:rsidRPr="00321CE8">
        <w:rPr>
          <w:rFonts w:ascii="Arial" w:hAnsi="Arial" w:cs="Arial"/>
          <w:sz w:val="20"/>
        </w:rPr>
        <w:t>on</w:t>
      </w:r>
      <w:r w:rsidRPr="00321CE8">
        <w:rPr>
          <w:rFonts w:ascii="Arial" w:hAnsi="Arial" w:cs="Arial"/>
          <w:spacing w:val="1"/>
          <w:sz w:val="20"/>
        </w:rPr>
        <w:t xml:space="preserve"> </w:t>
      </w:r>
      <w:r w:rsidRPr="00321CE8">
        <w:rPr>
          <w:rFonts w:ascii="Arial" w:hAnsi="Arial" w:cs="Arial"/>
          <w:sz w:val="20"/>
        </w:rPr>
        <w:t>the</w:t>
      </w:r>
      <w:r w:rsidRPr="00321CE8">
        <w:rPr>
          <w:rFonts w:ascii="Arial" w:hAnsi="Arial" w:cs="Arial"/>
          <w:spacing w:val="1"/>
          <w:sz w:val="20"/>
        </w:rPr>
        <w:t xml:space="preserve"> </w:t>
      </w:r>
      <w:r w:rsidRPr="00321CE8">
        <w:rPr>
          <w:rFonts w:ascii="Arial" w:hAnsi="Arial" w:cs="Arial"/>
          <w:sz w:val="20"/>
        </w:rPr>
        <w:t>actual</w:t>
      </w:r>
      <w:r w:rsidRPr="00321CE8">
        <w:rPr>
          <w:rFonts w:ascii="Arial" w:hAnsi="Arial" w:cs="Arial"/>
          <w:spacing w:val="1"/>
          <w:sz w:val="20"/>
        </w:rPr>
        <w:t xml:space="preserve"> </w:t>
      </w:r>
      <w:r w:rsidRPr="00321CE8">
        <w:rPr>
          <w:rFonts w:ascii="Arial" w:hAnsi="Arial" w:cs="Arial"/>
          <w:sz w:val="20"/>
        </w:rPr>
        <w:t>meteorological conditions, the area which has to be overflown, and the possible options</w:t>
      </w:r>
      <w:r w:rsidRPr="00321CE8">
        <w:rPr>
          <w:rFonts w:ascii="Arial" w:hAnsi="Arial" w:cs="Arial"/>
          <w:spacing w:val="-47"/>
          <w:sz w:val="20"/>
        </w:rPr>
        <w:t xml:space="preserve"> </w:t>
      </w:r>
      <w:r w:rsidRPr="00321CE8">
        <w:rPr>
          <w:rFonts w:ascii="Arial" w:hAnsi="Arial" w:cs="Arial"/>
          <w:sz w:val="20"/>
        </w:rPr>
        <w:t>for suitable landing sites. The applicant should be responsible for the flight planning and</w:t>
      </w:r>
      <w:r w:rsidRPr="00321CE8">
        <w:rPr>
          <w:rFonts w:ascii="Arial" w:hAnsi="Arial" w:cs="Arial"/>
          <w:spacing w:val="-47"/>
          <w:sz w:val="20"/>
        </w:rPr>
        <w:t xml:space="preserve"> </w:t>
      </w:r>
      <w:r w:rsidRPr="00321CE8">
        <w:rPr>
          <w:rFonts w:ascii="Arial" w:hAnsi="Arial" w:cs="Arial"/>
          <w:sz w:val="20"/>
        </w:rPr>
        <w:t>should ensure that all equipment and documentation for the execution of the flight are</w:t>
      </w:r>
      <w:r w:rsidRPr="00321CE8">
        <w:rPr>
          <w:rFonts w:ascii="Arial" w:hAnsi="Arial" w:cs="Arial"/>
          <w:spacing w:val="1"/>
          <w:sz w:val="20"/>
        </w:rPr>
        <w:t xml:space="preserve"> </w:t>
      </w:r>
      <w:r w:rsidRPr="00321CE8">
        <w:rPr>
          <w:rFonts w:ascii="Arial" w:hAnsi="Arial" w:cs="Arial"/>
          <w:sz w:val="20"/>
        </w:rPr>
        <w:t>on</w:t>
      </w:r>
      <w:r w:rsidRPr="00321CE8">
        <w:rPr>
          <w:rFonts w:ascii="Arial" w:hAnsi="Arial" w:cs="Arial"/>
          <w:spacing w:val="-1"/>
          <w:sz w:val="20"/>
        </w:rPr>
        <w:t xml:space="preserve"> </w:t>
      </w:r>
      <w:r w:rsidRPr="00321CE8">
        <w:rPr>
          <w:rFonts w:ascii="Arial" w:hAnsi="Arial" w:cs="Arial"/>
          <w:sz w:val="20"/>
        </w:rPr>
        <w:t>board.</w:t>
      </w:r>
    </w:p>
    <w:p w14:paraId="529C5F80" w14:textId="77777777" w:rsidR="00321CE8" w:rsidRPr="00321CE8" w:rsidRDefault="00321CE8" w:rsidP="00682A54">
      <w:pPr>
        <w:pStyle w:val="ListParagraph"/>
        <w:numPr>
          <w:ilvl w:val="1"/>
          <w:numId w:val="215"/>
        </w:numPr>
        <w:tabs>
          <w:tab w:val="left" w:pos="1274"/>
        </w:tabs>
        <w:spacing w:before="119"/>
        <w:ind w:right="196"/>
        <w:jc w:val="both"/>
        <w:rPr>
          <w:rFonts w:ascii="Arial" w:hAnsi="Arial" w:cs="Arial"/>
          <w:sz w:val="20"/>
        </w:rPr>
      </w:pPr>
      <w:r w:rsidRPr="00321CE8">
        <w:rPr>
          <w:rFonts w:ascii="Arial" w:hAnsi="Arial" w:cs="Arial"/>
          <w:sz w:val="20"/>
        </w:rPr>
        <w:t>The</w:t>
      </w:r>
      <w:r w:rsidRPr="00321CE8">
        <w:rPr>
          <w:rFonts w:ascii="Arial" w:hAnsi="Arial" w:cs="Arial"/>
          <w:spacing w:val="-6"/>
          <w:sz w:val="20"/>
        </w:rPr>
        <w:t xml:space="preserve"> </w:t>
      </w:r>
      <w:r w:rsidRPr="00321CE8">
        <w:rPr>
          <w:rFonts w:ascii="Arial" w:hAnsi="Arial" w:cs="Arial"/>
          <w:sz w:val="20"/>
        </w:rPr>
        <w:t>skill</w:t>
      </w:r>
      <w:r w:rsidRPr="00321CE8">
        <w:rPr>
          <w:rFonts w:ascii="Arial" w:hAnsi="Arial" w:cs="Arial"/>
          <w:spacing w:val="-9"/>
          <w:sz w:val="20"/>
        </w:rPr>
        <w:t xml:space="preserve"> </w:t>
      </w:r>
      <w:r w:rsidRPr="00321CE8">
        <w:rPr>
          <w:rFonts w:ascii="Arial" w:hAnsi="Arial" w:cs="Arial"/>
          <w:sz w:val="20"/>
        </w:rPr>
        <w:t>test</w:t>
      </w:r>
      <w:r w:rsidRPr="00321CE8">
        <w:rPr>
          <w:rFonts w:ascii="Arial" w:hAnsi="Arial" w:cs="Arial"/>
          <w:spacing w:val="-10"/>
          <w:sz w:val="20"/>
        </w:rPr>
        <w:t xml:space="preserve"> </w:t>
      </w:r>
      <w:r w:rsidRPr="00321CE8">
        <w:rPr>
          <w:rFonts w:ascii="Arial" w:hAnsi="Arial" w:cs="Arial"/>
          <w:sz w:val="20"/>
        </w:rPr>
        <w:t>may</w:t>
      </w:r>
      <w:r w:rsidRPr="00321CE8">
        <w:rPr>
          <w:rFonts w:ascii="Arial" w:hAnsi="Arial" w:cs="Arial"/>
          <w:spacing w:val="-7"/>
          <w:sz w:val="20"/>
        </w:rPr>
        <w:t xml:space="preserve"> </w:t>
      </w:r>
      <w:r w:rsidRPr="00321CE8">
        <w:rPr>
          <w:rFonts w:ascii="Arial" w:hAnsi="Arial" w:cs="Arial"/>
          <w:sz w:val="20"/>
        </w:rPr>
        <w:t>be</w:t>
      </w:r>
      <w:r w:rsidRPr="00321CE8">
        <w:rPr>
          <w:rFonts w:ascii="Arial" w:hAnsi="Arial" w:cs="Arial"/>
          <w:spacing w:val="-7"/>
          <w:sz w:val="20"/>
        </w:rPr>
        <w:t xml:space="preserve"> </w:t>
      </w:r>
      <w:r w:rsidRPr="00321CE8">
        <w:rPr>
          <w:rFonts w:ascii="Arial" w:hAnsi="Arial" w:cs="Arial"/>
          <w:sz w:val="20"/>
        </w:rPr>
        <w:t>conducted</w:t>
      </w:r>
      <w:r w:rsidRPr="00321CE8">
        <w:rPr>
          <w:rFonts w:ascii="Arial" w:hAnsi="Arial" w:cs="Arial"/>
          <w:spacing w:val="-6"/>
          <w:sz w:val="20"/>
        </w:rPr>
        <w:t xml:space="preserve"> </w:t>
      </w:r>
      <w:r w:rsidRPr="00321CE8">
        <w:rPr>
          <w:rFonts w:ascii="Arial" w:hAnsi="Arial" w:cs="Arial"/>
          <w:sz w:val="20"/>
        </w:rPr>
        <w:t>in</w:t>
      </w:r>
      <w:r w:rsidRPr="00321CE8">
        <w:rPr>
          <w:rFonts w:ascii="Arial" w:hAnsi="Arial" w:cs="Arial"/>
          <w:spacing w:val="-9"/>
          <w:sz w:val="20"/>
        </w:rPr>
        <w:t xml:space="preserve"> </w:t>
      </w:r>
      <w:r w:rsidRPr="00321CE8">
        <w:rPr>
          <w:rFonts w:ascii="Arial" w:hAnsi="Arial" w:cs="Arial"/>
          <w:sz w:val="20"/>
        </w:rPr>
        <w:t>two</w:t>
      </w:r>
      <w:r w:rsidRPr="00321CE8">
        <w:rPr>
          <w:rFonts w:ascii="Arial" w:hAnsi="Arial" w:cs="Arial"/>
          <w:spacing w:val="-6"/>
          <w:sz w:val="20"/>
        </w:rPr>
        <w:t xml:space="preserve"> </w:t>
      </w:r>
      <w:r w:rsidRPr="00321CE8">
        <w:rPr>
          <w:rFonts w:ascii="Arial" w:hAnsi="Arial" w:cs="Arial"/>
          <w:sz w:val="20"/>
        </w:rPr>
        <w:t>flights.</w:t>
      </w:r>
      <w:r w:rsidRPr="00321CE8">
        <w:rPr>
          <w:rFonts w:ascii="Arial" w:hAnsi="Arial" w:cs="Arial"/>
          <w:spacing w:val="-7"/>
          <w:sz w:val="20"/>
        </w:rPr>
        <w:t xml:space="preserve"> </w:t>
      </w:r>
      <w:r w:rsidRPr="00321CE8">
        <w:rPr>
          <w:rFonts w:ascii="Arial" w:hAnsi="Arial" w:cs="Arial"/>
          <w:sz w:val="20"/>
        </w:rPr>
        <w:t>The</w:t>
      </w:r>
      <w:r w:rsidRPr="00321CE8">
        <w:rPr>
          <w:rFonts w:ascii="Arial" w:hAnsi="Arial" w:cs="Arial"/>
          <w:spacing w:val="-8"/>
          <w:sz w:val="20"/>
        </w:rPr>
        <w:t xml:space="preserve"> </w:t>
      </w:r>
      <w:r w:rsidRPr="00321CE8">
        <w:rPr>
          <w:rFonts w:ascii="Arial" w:hAnsi="Arial" w:cs="Arial"/>
          <w:sz w:val="20"/>
        </w:rPr>
        <w:t>total</w:t>
      </w:r>
      <w:r w:rsidRPr="00321CE8">
        <w:rPr>
          <w:rFonts w:ascii="Arial" w:hAnsi="Arial" w:cs="Arial"/>
          <w:spacing w:val="-6"/>
          <w:sz w:val="20"/>
        </w:rPr>
        <w:t xml:space="preserve"> </w:t>
      </w:r>
      <w:r w:rsidRPr="00321CE8">
        <w:rPr>
          <w:rFonts w:ascii="Arial" w:hAnsi="Arial" w:cs="Arial"/>
          <w:sz w:val="20"/>
        </w:rPr>
        <w:t>duration</w:t>
      </w:r>
      <w:r w:rsidRPr="00321CE8">
        <w:rPr>
          <w:rFonts w:ascii="Arial" w:hAnsi="Arial" w:cs="Arial"/>
          <w:spacing w:val="-11"/>
          <w:sz w:val="20"/>
        </w:rPr>
        <w:t xml:space="preserve"> </w:t>
      </w:r>
      <w:r w:rsidRPr="00321CE8">
        <w:rPr>
          <w:rFonts w:ascii="Arial" w:hAnsi="Arial" w:cs="Arial"/>
          <w:sz w:val="20"/>
        </w:rPr>
        <w:t>of</w:t>
      </w:r>
      <w:r w:rsidRPr="00321CE8">
        <w:rPr>
          <w:rFonts w:ascii="Arial" w:hAnsi="Arial" w:cs="Arial"/>
          <w:spacing w:val="-8"/>
          <w:sz w:val="20"/>
        </w:rPr>
        <w:t xml:space="preserve"> </w:t>
      </w:r>
      <w:r w:rsidRPr="00321CE8">
        <w:rPr>
          <w:rFonts w:ascii="Arial" w:hAnsi="Arial" w:cs="Arial"/>
          <w:sz w:val="20"/>
        </w:rPr>
        <w:t>the</w:t>
      </w:r>
      <w:r w:rsidRPr="00321CE8">
        <w:rPr>
          <w:rFonts w:ascii="Arial" w:hAnsi="Arial" w:cs="Arial"/>
          <w:spacing w:val="-6"/>
          <w:sz w:val="20"/>
        </w:rPr>
        <w:t xml:space="preserve"> </w:t>
      </w:r>
      <w:r w:rsidRPr="00321CE8">
        <w:rPr>
          <w:rFonts w:ascii="Arial" w:hAnsi="Arial" w:cs="Arial"/>
          <w:sz w:val="20"/>
        </w:rPr>
        <w:t>flight(s)</w:t>
      </w:r>
      <w:r w:rsidRPr="00321CE8">
        <w:rPr>
          <w:rFonts w:ascii="Arial" w:hAnsi="Arial" w:cs="Arial"/>
          <w:spacing w:val="-7"/>
          <w:sz w:val="20"/>
        </w:rPr>
        <w:t xml:space="preserve"> </w:t>
      </w:r>
      <w:r w:rsidRPr="00321CE8">
        <w:rPr>
          <w:rFonts w:ascii="Arial" w:hAnsi="Arial" w:cs="Arial"/>
          <w:sz w:val="20"/>
        </w:rPr>
        <w:t>should</w:t>
      </w:r>
      <w:r w:rsidRPr="00321CE8">
        <w:rPr>
          <w:rFonts w:ascii="Arial" w:hAnsi="Arial" w:cs="Arial"/>
          <w:spacing w:val="-7"/>
          <w:sz w:val="20"/>
        </w:rPr>
        <w:t xml:space="preserve"> </w:t>
      </w:r>
      <w:r w:rsidRPr="00321CE8">
        <w:rPr>
          <w:rFonts w:ascii="Arial" w:hAnsi="Arial" w:cs="Arial"/>
          <w:sz w:val="20"/>
        </w:rPr>
        <w:t>be</w:t>
      </w:r>
      <w:r w:rsidRPr="00321CE8">
        <w:rPr>
          <w:rFonts w:ascii="Arial" w:hAnsi="Arial" w:cs="Arial"/>
          <w:spacing w:val="-47"/>
          <w:sz w:val="20"/>
        </w:rPr>
        <w:t xml:space="preserve"> </w:t>
      </w:r>
      <w:r w:rsidRPr="00321CE8">
        <w:rPr>
          <w:rFonts w:ascii="Arial" w:hAnsi="Arial" w:cs="Arial"/>
          <w:sz w:val="20"/>
        </w:rPr>
        <w:t>at</w:t>
      </w:r>
      <w:r w:rsidRPr="00321CE8">
        <w:rPr>
          <w:rFonts w:ascii="Arial" w:hAnsi="Arial" w:cs="Arial"/>
          <w:spacing w:val="-1"/>
          <w:sz w:val="20"/>
        </w:rPr>
        <w:t xml:space="preserve"> </w:t>
      </w:r>
      <w:r w:rsidRPr="00321CE8">
        <w:rPr>
          <w:rFonts w:ascii="Arial" w:hAnsi="Arial" w:cs="Arial"/>
          <w:sz w:val="20"/>
        </w:rPr>
        <w:t>least 45</w:t>
      </w:r>
      <w:r w:rsidRPr="00321CE8">
        <w:rPr>
          <w:rFonts w:ascii="Arial" w:hAnsi="Arial" w:cs="Arial"/>
          <w:spacing w:val="-2"/>
          <w:sz w:val="20"/>
        </w:rPr>
        <w:t xml:space="preserve"> </w:t>
      </w:r>
      <w:r w:rsidRPr="00321CE8">
        <w:rPr>
          <w:rFonts w:ascii="Arial" w:hAnsi="Arial" w:cs="Arial"/>
          <w:sz w:val="20"/>
        </w:rPr>
        <w:t>minutes.</w:t>
      </w:r>
    </w:p>
    <w:p w14:paraId="54088139" w14:textId="77777777" w:rsidR="00321CE8" w:rsidRPr="00321CE8" w:rsidRDefault="00321CE8" w:rsidP="00682A54">
      <w:pPr>
        <w:pStyle w:val="ListParagraph"/>
        <w:numPr>
          <w:ilvl w:val="1"/>
          <w:numId w:val="215"/>
        </w:numPr>
        <w:tabs>
          <w:tab w:val="left" w:pos="1274"/>
        </w:tabs>
        <w:spacing w:before="121"/>
        <w:ind w:right="195"/>
        <w:jc w:val="both"/>
        <w:rPr>
          <w:rFonts w:ascii="Arial" w:hAnsi="Arial" w:cs="Arial"/>
          <w:sz w:val="20"/>
        </w:rPr>
      </w:pPr>
      <w:r w:rsidRPr="00321CE8">
        <w:rPr>
          <w:rFonts w:ascii="Arial" w:hAnsi="Arial" w:cs="Arial"/>
          <w:spacing w:val="-1"/>
          <w:sz w:val="20"/>
        </w:rPr>
        <w:t>An</w:t>
      </w:r>
      <w:r w:rsidRPr="00321CE8">
        <w:rPr>
          <w:rFonts w:ascii="Arial" w:hAnsi="Arial" w:cs="Arial"/>
          <w:spacing w:val="-11"/>
          <w:sz w:val="20"/>
        </w:rPr>
        <w:t xml:space="preserve"> </w:t>
      </w:r>
      <w:r w:rsidRPr="00321CE8">
        <w:rPr>
          <w:rFonts w:ascii="Arial" w:hAnsi="Arial" w:cs="Arial"/>
          <w:spacing w:val="-1"/>
          <w:sz w:val="20"/>
        </w:rPr>
        <w:t>applicant</w:t>
      </w:r>
      <w:r w:rsidRPr="00321CE8">
        <w:rPr>
          <w:rFonts w:ascii="Arial" w:hAnsi="Arial" w:cs="Arial"/>
          <w:spacing w:val="-9"/>
          <w:sz w:val="20"/>
        </w:rPr>
        <w:t xml:space="preserve"> </w:t>
      </w:r>
      <w:r w:rsidRPr="00321CE8">
        <w:rPr>
          <w:rFonts w:ascii="Arial" w:hAnsi="Arial" w:cs="Arial"/>
          <w:sz w:val="20"/>
        </w:rPr>
        <w:t>should</w:t>
      </w:r>
      <w:r w:rsidRPr="00321CE8">
        <w:rPr>
          <w:rFonts w:ascii="Arial" w:hAnsi="Arial" w:cs="Arial"/>
          <w:spacing w:val="-11"/>
          <w:sz w:val="20"/>
        </w:rPr>
        <w:t xml:space="preserve"> </w:t>
      </w:r>
      <w:r w:rsidRPr="00321CE8">
        <w:rPr>
          <w:rFonts w:ascii="Arial" w:hAnsi="Arial" w:cs="Arial"/>
          <w:sz w:val="20"/>
        </w:rPr>
        <w:t>indicate</w:t>
      </w:r>
      <w:r w:rsidRPr="00321CE8">
        <w:rPr>
          <w:rFonts w:ascii="Arial" w:hAnsi="Arial" w:cs="Arial"/>
          <w:spacing w:val="-9"/>
          <w:sz w:val="20"/>
        </w:rPr>
        <w:t xml:space="preserve"> </w:t>
      </w:r>
      <w:r w:rsidRPr="00321CE8">
        <w:rPr>
          <w:rFonts w:ascii="Arial" w:hAnsi="Arial" w:cs="Arial"/>
          <w:sz w:val="20"/>
        </w:rPr>
        <w:t>to</w:t>
      </w:r>
      <w:r w:rsidRPr="00321CE8">
        <w:rPr>
          <w:rFonts w:ascii="Arial" w:hAnsi="Arial" w:cs="Arial"/>
          <w:spacing w:val="-10"/>
          <w:sz w:val="20"/>
        </w:rPr>
        <w:t xml:space="preserve"> </w:t>
      </w:r>
      <w:r w:rsidRPr="00321CE8">
        <w:rPr>
          <w:rFonts w:ascii="Arial" w:hAnsi="Arial" w:cs="Arial"/>
          <w:sz w:val="20"/>
        </w:rPr>
        <w:t>the</w:t>
      </w:r>
      <w:r w:rsidRPr="00321CE8">
        <w:rPr>
          <w:rFonts w:ascii="Arial" w:hAnsi="Arial" w:cs="Arial"/>
          <w:spacing w:val="-9"/>
          <w:sz w:val="20"/>
        </w:rPr>
        <w:t xml:space="preserve"> </w:t>
      </w:r>
      <w:r w:rsidRPr="00321CE8">
        <w:rPr>
          <w:rFonts w:ascii="Arial" w:hAnsi="Arial" w:cs="Arial"/>
          <w:sz w:val="20"/>
        </w:rPr>
        <w:t>FE(B)</w:t>
      </w:r>
      <w:r w:rsidRPr="00321CE8">
        <w:rPr>
          <w:rFonts w:ascii="Arial" w:hAnsi="Arial" w:cs="Arial"/>
          <w:spacing w:val="-9"/>
          <w:sz w:val="20"/>
        </w:rPr>
        <w:t xml:space="preserve"> </w:t>
      </w:r>
      <w:r w:rsidRPr="00321CE8">
        <w:rPr>
          <w:rFonts w:ascii="Arial" w:hAnsi="Arial" w:cs="Arial"/>
          <w:sz w:val="20"/>
        </w:rPr>
        <w:t>the</w:t>
      </w:r>
      <w:r w:rsidRPr="00321CE8">
        <w:rPr>
          <w:rFonts w:ascii="Arial" w:hAnsi="Arial" w:cs="Arial"/>
          <w:spacing w:val="-12"/>
          <w:sz w:val="20"/>
        </w:rPr>
        <w:t xml:space="preserve"> </w:t>
      </w:r>
      <w:r w:rsidRPr="00321CE8">
        <w:rPr>
          <w:rFonts w:ascii="Arial" w:hAnsi="Arial" w:cs="Arial"/>
          <w:sz w:val="20"/>
        </w:rPr>
        <w:t>checks</w:t>
      </w:r>
      <w:r w:rsidRPr="00321CE8">
        <w:rPr>
          <w:rFonts w:ascii="Arial" w:hAnsi="Arial" w:cs="Arial"/>
          <w:spacing w:val="-9"/>
          <w:sz w:val="20"/>
        </w:rPr>
        <w:t xml:space="preserve"> </w:t>
      </w:r>
      <w:r w:rsidRPr="00321CE8">
        <w:rPr>
          <w:rFonts w:ascii="Arial" w:hAnsi="Arial" w:cs="Arial"/>
          <w:sz w:val="20"/>
        </w:rPr>
        <w:t>and</w:t>
      </w:r>
      <w:r w:rsidRPr="00321CE8">
        <w:rPr>
          <w:rFonts w:ascii="Arial" w:hAnsi="Arial" w:cs="Arial"/>
          <w:spacing w:val="-10"/>
          <w:sz w:val="20"/>
        </w:rPr>
        <w:t xml:space="preserve"> </w:t>
      </w:r>
      <w:r w:rsidRPr="00321CE8">
        <w:rPr>
          <w:rFonts w:ascii="Arial" w:hAnsi="Arial" w:cs="Arial"/>
          <w:sz w:val="20"/>
        </w:rPr>
        <w:t>duties</w:t>
      </w:r>
      <w:r w:rsidRPr="00321CE8">
        <w:rPr>
          <w:rFonts w:ascii="Arial" w:hAnsi="Arial" w:cs="Arial"/>
          <w:spacing w:val="-9"/>
          <w:sz w:val="20"/>
        </w:rPr>
        <w:t xml:space="preserve"> </w:t>
      </w:r>
      <w:r w:rsidRPr="00321CE8">
        <w:rPr>
          <w:rFonts w:ascii="Arial" w:hAnsi="Arial" w:cs="Arial"/>
          <w:sz w:val="20"/>
        </w:rPr>
        <w:t>carried</w:t>
      </w:r>
      <w:r w:rsidRPr="00321CE8">
        <w:rPr>
          <w:rFonts w:ascii="Arial" w:hAnsi="Arial" w:cs="Arial"/>
          <w:spacing w:val="-13"/>
          <w:sz w:val="20"/>
        </w:rPr>
        <w:t xml:space="preserve"> </w:t>
      </w:r>
      <w:r w:rsidRPr="00321CE8">
        <w:rPr>
          <w:rFonts w:ascii="Arial" w:hAnsi="Arial" w:cs="Arial"/>
          <w:sz w:val="20"/>
        </w:rPr>
        <w:t>out.</w:t>
      </w:r>
      <w:r w:rsidRPr="00321CE8">
        <w:rPr>
          <w:rFonts w:ascii="Arial" w:hAnsi="Arial" w:cs="Arial"/>
          <w:spacing w:val="-9"/>
          <w:sz w:val="20"/>
        </w:rPr>
        <w:t xml:space="preserve"> </w:t>
      </w:r>
      <w:r w:rsidRPr="00321CE8">
        <w:rPr>
          <w:rFonts w:ascii="Arial" w:hAnsi="Arial" w:cs="Arial"/>
          <w:sz w:val="20"/>
        </w:rPr>
        <w:t>Checks</w:t>
      </w:r>
      <w:r w:rsidRPr="00321CE8">
        <w:rPr>
          <w:rFonts w:ascii="Arial" w:hAnsi="Arial" w:cs="Arial"/>
          <w:spacing w:val="-11"/>
          <w:sz w:val="20"/>
        </w:rPr>
        <w:t xml:space="preserve"> </w:t>
      </w:r>
      <w:r w:rsidRPr="00321CE8">
        <w:rPr>
          <w:rFonts w:ascii="Arial" w:hAnsi="Arial" w:cs="Arial"/>
          <w:sz w:val="20"/>
        </w:rPr>
        <w:t>should</w:t>
      </w:r>
      <w:r w:rsidRPr="00321CE8">
        <w:rPr>
          <w:rFonts w:ascii="Arial" w:hAnsi="Arial" w:cs="Arial"/>
          <w:spacing w:val="-47"/>
          <w:sz w:val="20"/>
        </w:rPr>
        <w:t xml:space="preserve"> </w:t>
      </w:r>
      <w:r w:rsidRPr="00321CE8">
        <w:rPr>
          <w:rFonts w:ascii="Arial" w:hAnsi="Arial" w:cs="Arial"/>
          <w:sz w:val="20"/>
        </w:rPr>
        <w:t>be completed in accordance with the flight manual or the authorised checklist for the</w:t>
      </w:r>
      <w:r w:rsidRPr="00321CE8">
        <w:rPr>
          <w:rFonts w:ascii="Arial" w:hAnsi="Arial" w:cs="Arial"/>
          <w:spacing w:val="1"/>
          <w:sz w:val="20"/>
        </w:rPr>
        <w:t xml:space="preserve"> </w:t>
      </w:r>
      <w:r w:rsidRPr="00321CE8">
        <w:rPr>
          <w:rFonts w:ascii="Arial" w:hAnsi="Arial" w:cs="Arial"/>
          <w:sz w:val="20"/>
        </w:rPr>
        <w:t>balloon or hot-air airship on which the test is being taken. During pre-flight preparation</w:t>
      </w:r>
      <w:r w:rsidRPr="00321CE8">
        <w:rPr>
          <w:rFonts w:ascii="Arial" w:hAnsi="Arial" w:cs="Arial"/>
          <w:spacing w:val="1"/>
          <w:sz w:val="20"/>
        </w:rPr>
        <w:t xml:space="preserve"> </w:t>
      </w:r>
      <w:r w:rsidRPr="00321CE8">
        <w:rPr>
          <w:rFonts w:ascii="Arial" w:hAnsi="Arial" w:cs="Arial"/>
          <w:sz w:val="20"/>
        </w:rPr>
        <w:t>for the test, the applicant should be required to perform crew and passenger briefings</w:t>
      </w:r>
      <w:r w:rsidRPr="00321CE8">
        <w:rPr>
          <w:rFonts w:ascii="Arial" w:hAnsi="Arial" w:cs="Arial"/>
          <w:spacing w:val="1"/>
          <w:sz w:val="20"/>
        </w:rPr>
        <w:t xml:space="preserve"> </w:t>
      </w:r>
      <w:r w:rsidRPr="00321CE8">
        <w:rPr>
          <w:rFonts w:ascii="Arial" w:hAnsi="Arial" w:cs="Arial"/>
          <w:sz w:val="20"/>
        </w:rPr>
        <w:t>and</w:t>
      </w:r>
      <w:r w:rsidRPr="00321CE8">
        <w:rPr>
          <w:rFonts w:ascii="Arial" w:hAnsi="Arial" w:cs="Arial"/>
          <w:spacing w:val="1"/>
          <w:sz w:val="20"/>
        </w:rPr>
        <w:t xml:space="preserve"> </w:t>
      </w:r>
      <w:r w:rsidRPr="00321CE8">
        <w:rPr>
          <w:rFonts w:ascii="Arial" w:hAnsi="Arial" w:cs="Arial"/>
          <w:sz w:val="20"/>
        </w:rPr>
        <w:t>demonstrate</w:t>
      </w:r>
      <w:r w:rsidRPr="00321CE8">
        <w:rPr>
          <w:rFonts w:ascii="Arial" w:hAnsi="Arial" w:cs="Arial"/>
          <w:spacing w:val="1"/>
          <w:sz w:val="20"/>
        </w:rPr>
        <w:t xml:space="preserve"> </w:t>
      </w:r>
      <w:r w:rsidRPr="00321CE8">
        <w:rPr>
          <w:rFonts w:ascii="Arial" w:hAnsi="Arial" w:cs="Arial"/>
          <w:sz w:val="20"/>
        </w:rPr>
        <w:t>crowd</w:t>
      </w:r>
      <w:r w:rsidRPr="00321CE8">
        <w:rPr>
          <w:rFonts w:ascii="Arial" w:hAnsi="Arial" w:cs="Arial"/>
          <w:spacing w:val="1"/>
          <w:sz w:val="20"/>
        </w:rPr>
        <w:t xml:space="preserve"> </w:t>
      </w:r>
      <w:r w:rsidRPr="00321CE8">
        <w:rPr>
          <w:rFonts w:ascii="Arial" w:hAnsi="Arial" w:cs="Arial"/>
          <w:sz w:val="20"/>
        </w:rPr>
        <w:t>control.</w:t>
      </w:r>
      <w:r w:rsidRPr="00321CE8">
        <w:rPr>
          <w:rFonts w:ascii="Arial" w:hAnsi="Arial" w:cs="Arial"/>
          <w:spacing w:val="1"/>
          <w:sz w:val="20"/>
        </w:rPr>
        <w:t xml:space="preserve"> </w:t>
      </w:r>
      <w:r w:rsidRPr="00321CE8">
        <w:rPr>
          <w:rFonts w:ascii="Arial" w:hAnsi="Arial" w:cs="Arial"/>
          <w:sz w:val="20"/>
        </w:rPr>
        <w:t>The</w:t>
      </w:r>
      <w:r w:rsidRPr="00321CE8">
        <w:rPr>
          <w:rFonts w:ascii="Arial" w:hAnsi="Arial" w:cs="Arial"/>
          <w:spacing w:val="1"/>
          <w:sz w:val="20"/>
        </w:rPr>
        <w:t xml:space="preserve"> </w:t>
      </w:r>
      <w:r w:rsidRPr="00321CE8">
        <w:rPr>
          <w:rFonts w:ascii="Arial" w:hAnsi="Arial" w:cs="Arial"/>
          <w:sz w:val="20"/>
        </w:rPr>
        <w:t>load</w:t>
      </w:r>
      <w:r w:rsidRPr="00321CE8">
        <w:rPr>
          <w:rFonts w:ascii="Arial" w:hAnsi="Arial" w:cs="Arial"/>
          <w:spacing w:val="1"/>
          <w:sz w:val="20"/>
        </w:rPr>
        <w:t xml:space="preserve"> </w:t>
      </w:r>
      <w:r w:rsidRPr="00321CE8">
        <w:rPr>
          <w:rFonts w:ascii="Arial" w:hAnsi="Arial" w:cs="Arial"/>
          <w:sz w:val="20"/>
        </w:rPr>
        <w:t>calculation</w:t>
      </w:r>
      <w:r w:rsidRPr="00321CE8">
        <w:rPr>
          <w:rFonts w:ascii="Arial" w:hAnsi="Arial" w:cs="Arial"/>
          <w:spacing w:val="1"/>
          <w:sz w:val="20"/>
        </w:rPr>
        <w:t xml:space="preserve"> </w:t>
      </w:r>
      <w:r w:rsidRPr="00321CE8">
        <w:rPr>
          <w:rFonts w:ascii="Arial" w:hAnsi="Arial" w:cs="Arial"/>
          <w:sz w:val="20"/>
        </w:rPr>
        <w:t>should</w:t>
      </w:r>
      <w:r w:rsidRPr="00321CE8">
        <w:rPr>
          <w:rFonts w:ascii="Arial" w:hAnsi="Arial" w:cs="Arial"/>
          <w:spacing w:val="1"/>
          <w:sz w:val="20"/>
        </w:rPr>
        <w:t xml:space="preserve"> </w:t>
      </w:r>
      <w:r w:rsidRPr="00321CE8">
        <w:rPr>
          <w:rFonts w:ascii="Arial" w:hAnsi="Arial" w:cs="Arial"/>
          <w:sz w:val="20"/>
        </w:rPr>
        <w:t>be</w:t>
      </w:r>
      <w:r w:rsidRPr="00321CE8">
        <w:rPr>
          <w:rFonts w:ascii="Arial" w:hAnsi="Arial" w:cs="Arial"/>
          <w:spacing w:val="1"/>
          <w:sz w:val="20"/>
        </w:rPr>
        <w:t xml:space="preserve"> </w:t>
      </w:r>
      <w:r w:rsidRPr="00321CE8">
        <w:rPr>
          <w:rFonts w:ascii="Arial" w:hAnsi="Arial" w:cs="Arial"/>
          <w:sz w:val="20"/>
        </w:rPr>
        <w:t>performed</w:t>
      </w:r>
      <w:r w:rsidRPr="00321CE8">
        <w:rPr>
          <w:rFonts w:ascii="Arial" w:hAnsi="Arial" w:cs="Arial"/>
          <w:spacing w:val="1"/>
          <w:sz w:val="20"/>
        </w:rPr>
        <w:t xml:space="preserve"> </w:t>
      </w:r>
      <w:r w:rsidRPr="00321CE8">
        <w:rPr>
          <w:rFonts w:ascii="Arial" w:hAnsi="Arial" w:cs="Arial"/>
          <w:sz w:val="20"/>
        </w:rPr>
        <w:t>by</w:t>
      </w:r>
      <w:r w:rsidRPr="00321CE8">
        <w:rPr>
          <w:rFonts w:ascii="Arial" w:hAnsi="Arial" w:cs="Arial"/>
          <w:spacing w:val="1"/>
          <w:sz w:val="20"/>
        </w:rPr>
        <w:t xml:space="preserve"> </w:t>
      </w:r>
      <w:r w:rsidRPr="00321CE8">
        <w:rPr>
          <w:rFonts w:ascii="Arial" w:hAnsi="Arial" w:cs="Arial"/>
          <w:sz w:val="20"/>
        </w:rPr>
        <w:t>the</w:t>
      </w:r>
      <w:r w:rsidRPr="00321CE8">
        <w:rPr>
          <w:rFonts w:ascii="Arial" w:hAnsi="Arial" w:cs="Arial"/>
          <w:spacing w:val="1"/>
          <w:sz w:val="20"/>
        </w:rPr>
        <w:t xml:space="preserve"> </w:t>
      </w:r>
      <w:r w:rsidRPr="00321CE8">
        <w:rPr>
          <w:rFonts w:ascii="Arial" w:hAnsi="Arial" w:cs="Arial"/>
          <w:spacing w:val="-1"/>
          <w:sz w:val="20"/>
        </w:rPr>
        <w:t>applicant</w:t>
      </w:r>
      <w:r w:rsidRPr="00321CE8">
        <w:rPr>
          <w:rFonts w:ascii="Arial" w:hAnsi="Arial" w:cs="Arial"/>
          <w:spacing w:val="-9"/>
          <w:sz w:val="20"/>
        </w:rPr>
        <w:t xml:space="preserve"> </w:t>
      </w:r>
      <w:r w:rsidRPr="00321CE8">
        <w:rPr>
          <w:rFonts w:ascii="Arial" w:hAnsi="Arial" w:cs="Arial"/>
          <w:spacing w:val="-1"/>
          <w:sz w:val="20"/>
        </w:rPr>
        <w:t>in</w:t>
      </w:r>
      <w:r w:rsidRPr="00321CE8">
        <w:rPr>
          <w:rFonts w:ascii="Arial" w:hAnsi="Arial" w:cs="Arial"/>
          <w:spacing w:val="-9"/>
          <w:sz w:val="20"/>
        </w:rPr>
        <w:t xml:space="preserve"> </w:t>
      </w:r>
      <w:r w:rsidRPr="00321CE8">
        <w:rPr>
          <w:rFonts w:ascii="Arial" w:hAnsi="Arial" w:cs="Arial"/>
          <w:spacing w:val="-1"/>
          <w:sz w:val="20"/>
        </w:rPr>
        <w:t>compliance</w:t>
      </w:r>
      <w:r w:rsidRPr="00321CE8">
        <w:rPr>
          <w:rFonts w:ascii="Arial" w:hAnsi="Arial" w:cs="Arial"/>
          <w:spacing w:val="-10"/>
          <w:sz w:val="20"/>
        </w:rPr>
        <w:t xml:space="preserve"> </w:t>
      </w:r>
      <w:r w:rsidRPr="00321CE8">
        <w:rPr>
          <w:rFonts w:ascii="Arial" w:hAnsi="Arial" w:cs="Arial"/>
          <w:sz w:val="20"/>
        </w:rPr>
        <w:t>with</w:t>
      </w:r>
      <w:r w:rsidRPr="00321CE8">
        <w:rPr>
          <w:rFonts w:ascii="Arial" w:hAnsi="Arial" w:cs="Arial"/>
          <w:spacing w:val="-10"/>
          <w:sz w:val="20"/>
        </w:rPr>
        <w:t xml:space="preserve"> </w:t>
      </w:r>
      <w:r w:rsidRPr="00321CE8">
        <w:rPr>
          <w:rFonts w:ascii="Arial" w:hAnsi="Arial" w:cs="Arial"/>
          <w:sz w:val="20"/>
        </w:rPr>
        <w:t>the</w:t>
      </w:r>
      <w:r w:rsidRPr="00321CE8">
        <w:rPr>
          <w:rFonts w:ascii="Arial" w:hAnsi="Arial" w:cs="Arial"/>
          <w:spacing w:val="-11"/>
          <w:sz w:val="20"/>
        </w:rPr>
        <w:t xml:space="preserve"> </w:t>
      </w:r>
      <w:r w:rsidRPr="00321CE8">
        <w:rPr>
          <w:rFonts w:ascii="Arial" w:hAnsi="Arial" w:cs="Arial"/>
          <w:sz w:val="20"/>
        </w:rPr>
        <w:t>operations</w:t>
      </w:r>
      <w:r w:rsidRPr="00321CE8">
        <w:rPr>
          <w:rFonts w:ascii="Arial" w:hAnsi="Arial" w:cs="Arial"/>
          <w:spacing w:val="-13"/>
          <w:sz w:val="20"/>
        </w:rPr>
        <w:t xml:space="preserve"> </w:t>
      </w:r>
      <w:r w:rsidRPr="00321CE8">
        <w:rPr>
          <w:rFonts w:ascii="Arial" w:hAnsi="Arial" w:cs="Arial"/>
          <w:sz w:val="20"/>
        </w:rPr>
        <w:t>manual</w:t>
      </w:r>
      <w:r w:rsidRPr="00321CE8">
        <w:rPr>
          <w:rFonts w:ascii="Arial" w:hAnsi="Arial" w:cs="Arial"/>
          <w:spacing w:val="-9"/>
          <w:sz w:val="20"/>
        </w:rPr>
        <w:t xml:space="preserve"> </w:t>
      </w:r>
      <w:r w:rsidRPr="00321CE8">
        <w:rPr>
          <w:rFonts w:ascii="Arial" w:hAnsi="Arial" w:cs="Arial"/>
          <w:sz w:val="20"/>
        </w:rPr>
        <w:t>or</w:t>
      </w:r>
      <w:r w:rsidRPr="00321CE8">
        <w:rPr>
          <w:rFonts w:ascii="Arial" w:hAnsi="Arial" w:cs="Arial"/>
          <w:spacing w:val="-12"/>
          <w:sz w:val="20"/>
        </w:rPr>
        <w:t xml:space="preserve"> </w:t>
      </w:r>
      <w:r w:rsidRPr="00321CE8">
        <w:rPr>
          <w:rFonts w:ascii="Arial" w:hAnsi="Arial" w:cs="Arial"/>
          <w:sz w:val="20"/>
        </w:rPr>
        <w:t>flight</w:t>
      </w:r>
      <w:r w:rsidRPr="00321CE8">
        <w:rPr>
          <w:rFonts w:ascii="Arial" w:hAnsi="Arial" w:cs="Arial"/>
          <w:spacing w:val="-8"/>
          <w:sz w:val="20"/>
        </w:rPr>
        <w:t xml:space="preserve"> </w:t>
      </w:r>
      <w:r w:rsidRPr="00321CE8">
        <w:rPr>
          <w:rFonts w:ascii="Arial" w:hAnsi="Arial" w:cs="Arial"/>
          <w:sz w:val="20"/>
        </w:rPr>
        <w:t>manual</w:t>
      </w:r>
      <w:r w:rsidRPr="00321CE8">
        <w:rPr>
          <w:rFonts w:ascii="Arial" w:hAnsi="Arial" w:cs="Arial"/>
          <w:spacing w:val="-11"/>
          <w:sz w:val="20"/>
        </w:rPr>
        <w:t xml:space="preserve"> </w:t>
      </w:r>
      <w:r w:rsidRPr="00321CE8">
        <w:rPr>
          <w:rFonts w:ascii="Arial" w:hAnsi="Arial" w:cs="Arial"/>
          <w:sz w:val="20"/>
        </w:rPr>
        <w:t>for</w:t>
      </w:r>
      <w:r w:rsidRPr="00321CE8">
        <w:rPr>
          <w:rFonts w:ascii="Arial" w:hAnsi="Arial" w:cs="Arial"/>
          <w:spacing w:val="-12"/>
          <w:sz w:val="20"/>
        </w:rPr>
        <w:t xml:space="preserve"> </w:t>
      </w:r>
      <w:r w:rsidRPr="00321CE8">
        <w:rPr>
          <w:rFonts w:ascii="Arial" w:hAnsi="Arial" w:cs="Arial"/>
          <w:sz w:val="20"/>
        </w:rPr>
        <w:t>the</w:t>
      </w:r>
      <w:r w:rsidRPr="00321CE8">
        <w:rPr>
          <w:rFonts w:ascii="Arial" w:hAnsi="Arial" w:cs="Arial"/>
          <w:spacing w:val="-11"/>
          <w:sz w:val="20"/>
        </w:rPr>
        <w:t xml:space="preserve"> </w:t>
      </w:r>
      <w:r w:rsidRPr="00321CE8">
        <w:rPr>
          <w:rFonts w:ascii="Arial" w:hAnsi="Arial" w:cs="Arial"/>
          <w:sz w:val="20"/>
        </w:rPr>
        <w:t>balloon</w:t>
      </w:r>
      <w:r w:rsidRPr="00321CE8">
        <w:rPr>
          <w:rFonts w:ascii="Arial" w:hAnsi="Arial" w:cs="Arial"/>
          <w:spacing w:val="-9"/>
          <w:sz w:val="20"/>
        </w:rPr>
        <w:t xml:space="preserve"> </w:t>
      </w:r>
      <w:r w:rsidRPr="00321CE8">
        <w:rPr>
          <w:rFonts w:ascii="Arial" w:hAnsi="Arial" w:cs="Arial"/>
          <w:sz w:val="20"/>
        </w:rPr>
        <w:t>used.</w:t>
      </w:r>
    </w:p>
    <w:p w14:paraId="65524BBC" w14:textId="77777777" w:rsidR="00321CE8" w:rsidRPr="00321CE8" w:rsidRDefault="00321CE8" w:rsidP="00682A54">
      <w:pPr>
        <w:pStyle w:val="ListParagraph"/>
        <w:numPr>
          <w:ilvl w:val="0"/>
          <w:numId w:val="215"/>
        </w:numPr>
        <w:tabs>
          <w:tab w:val="left" w:pos="706"/>
          <w:tab w:val="left" w:pos="707"/>
        </w:tabs>
        <w:spacing w:before="122"/>
        <w:jc w:val="both"/>
        <w:rPr>
          <w:rFonts w:ascii="Arial" w:hAnsi="Arial" w:cs="Arial"/>
          <w:sz w:val="20"/>
        </w:rPr>
      </w:pPr>
      <w:r w:rsidRPr="00321CE8">
        <w:rPr>
          <w:rFonts w:ascii="Arial" w:hAnsi="Arial" w:cs="Arial"/>
          <w:sz w:val="20"/>
        </w:rPr>
        <w:lastRenderedPageBreak/>
        <w:t>FLIGHT</w:t>
      </w:r>
      <w:r w:rsidRPr="00321CE8">
        <w:rPr>
          <w:rFonts w:ascii="Arial" w:hAnsi="Arial" w:cs="Arial"/>
          <w:spacing w:val="-5"/>
          <w:sz w:val="20"/>
        </w:rPr>
        <w:t xml:space="preserve"> </w:t>
      </w:r>
      <w:r w:rsidRPr="00321CE8">
        <w:rPr>
          <w:rFonts w:ascii="Arial" w:hAnsi="Arial" w:cs="Arial"/>
          <w:sz w:val="20"/>
        </w:rPr>
        <w:t>TEST</w:t>
      </w:r>
      <w:r w:rsidRPr="00321CE8">
        <w:rPr>
          <w:rFonts w:ascii="Arial" w:hAnsi="Arial" w:cs="Arial"/>
          <w:spacing w:val="-4"/>
          <w:sz w:val="20"/>
        </w:rPr>
        <w:t xml:space="preserve"> </w:t>
      </w:r>
      <w:r w:rsidRPr="00321CE8">
        <w:rPr>
          <w:rFonts w:ascii="Arial" w:hAnsi="Arial" w:cs="Arial"/>
          <w:sz w:val="20"/>
        </w:rPr>
        <w:t>TOLERANCE</w:t>
      </w:r>
    </w:p>
    <w:p w14:paraId="213057F2" w14:textId="77777777" w:rsidR="00321CE8" w:rsidRPr="00321CE8" w:rsidRDefault="00321CE8" w:rsidP="00682A54">
      <w:pPr>
        <w:pStyle w:val="ListParagraph"/>
        <w:numPr>
          <w:ilvl w:val="1"/>
          <w:numId w:val="215"/>
        </w:numPr>
        <w:tabs>
          <w:tab w:val="left" w:pos="1273"/>
          <w:tab w:val="left" w:pos="1274"/>
        </w:tabs>
        <w:ind w:hanging="568"/>
        <w:jc w:val="both"/>
        <w:rPr>
          <w:rFonts w:ascii="Arial" w:hAnsi="Arial" w:cs="Arial"/>
          <w:sz w:val="20"/>
        </w:rPr>
      </w:pPr>
      <w:r w:rsidRPr="00321CE8">
        <w:rPr>
          <w:rFonts w:ascii="Arial" w:hAnsi="Arial" w:cs="Arial"/>
          <w:sz w:val="20"/>
        </w:rPr>
        <w:t>The</w:t>
      </w:r>
      <w:r w:rsidRPr="00321CE8">
        <w:rPr>
          <w:rFonts w:ascii="Arial" w:hAnsi="Arial" w:cs="Arial"/>
          <w:spacing w:val="-2"/>
          <w:sz w:val="20"/>
        </w:rPr>
        <w:t xml:space="preserve"> </w:t>
      </w:r>
      <w:r w:rsidRPr="00321CE8">
        <w:rPr>
          <w:rFonts w:ascii="Arial" w:hAnsi="Arial" w:cs="Arial"/>
          <w:sz w:val="20"/>
        </w:rPr>
        <w:t>applicant</w:t>
      </w:r>
      <w:r w:rsidRPr="00321CE8">
        <w:rPr>
          <w:rFonts w:ascii="Arial" w:hAnsi="Arial" w:cs="Arial"/>
          <w:spacing w:val="-2"/>
          <w:sz w:val="20"/>
        </w:rPr>
        <w:t xml:space="preserve"> </w:t>
      </w:r>
      <w:r w:rsidRPr="00321CE8">
        <w:rPr>
          <w:rFonts w:ascii="Arial" w:hAnsi="Arial" w:cs="Arial"/>
          <w:sz w:val="20"/>
        </w:rPr>
        <w:t>should</w:t>
      </w:r>
      <w:r w:rsidRPr="00321CE8">
        <w:rPr>
          <w:rFonts w:ascii="Arial" w:hAnsi="Arial" w:cs="Arial"/>
          <w:spacing w:val="-3"/>
          <w:sz w:val="20"/>
        </w:rPr>
        <w:t xml:space="preserve"> </w:t>
      </w:r>
      <w:r w:rsidRPr="00321CE8">
        <w:rPr>
          <w:rFonts w:ascii="Arial" w:hAnsi="Arial" w:cs="Arial"/>
          <w:sz w:val="20"/>
        </w:rPr>
        <w:t>demonstrate</w:t>
      </w:r>
      <w:r w:rsidRPr="00321CE8">
        <w:rPr>
          <w:rFonts w:ascii="Arial" w:hAnsi="Arial" w:cs="Arial"/>
          <w:spacing w:val="-4"/>
          <w:sz w:val="20"/>
        </w:rPr>
        <w:t xml:space="preserve"> </w:t>
      </w:r>
      <w:r w:rsidRPr="00321CE8">
        <w:rPr>
          <w:rFonts w:ascii="Arial" w:hAnsi="Arial" w:cs="Arial"/>
          <w:sz w:val="20"/>
        </w:rPr>
        <w:t>the</w:t>
      </w:r>
      <w:r w:rsidRPr="00321CE8">
        <w:rPr>
          <w:rFonts w:ascii="Arial" w:hAnsi="Arial" w:cs="Arial"/>
          <w:spacing w:val="-2"/>
          <w:sz w:val="20"/>
        </w:rPr>
        <w:t xml:space="preserve"> </w:t>
      </w:r>
      <w:r w:rsidRPr="00321CE8">
        <w:rPr>
          <w:rFonts w:ascii="Arial" w:hAnsi="Arial" w:cs="Arial"/>
          <w:sz w:val="20"/>
        </w:rPr>
        <w:t>ability</w:t>
      </w:r>
      <w:r w:rsidRPr="00321CE8">
        <w:rPr>
          <w:rFonts w:ascii="Arial" w:hAnsi="Arial" w:cs="Arial"/>
          <w:spacing w:val="-2"/>
          <w:sz w:val="20"/>
        </w:rPr>
        <w:t xml:space="preserve"> </w:t>
      </w:r>
      <w:r w:rsidRPr="00321CE8">
        <w:rPr>
          <w:rFonts w:ascii="Arial" w:hAnsi="Arial" w:cs="Arial"/>
          <w:sz w:val="20"/>
        </w:rPr>
        <w:t>to:</w:t>
      </w:r>
    </w:p>
    <w:p w14:paraId="56AAA0ED" w14:textId="77777777" w:rsidR="00321CE8" w:rsidRPr="00321CE8" w:rsidRDefault="00321CE8" w:rsidP="00682A54">
      <w:pPr>
        <w:pStyle w:val="ListParagraph"/>
        <w:numPr>
          <w:ilvl w:val="2"/>
          <w:numId w:val="215"/>
        </w:numPr>
        <w:tabs>
          <w:tab w:val="left" w:pos="1841"/>
          <w:tab w:val="left" w:pos="1842"/>
        </w:tabs>
        <w:spacing w:before="118"/>
        <w:jc w:val="both"/>
        <w:rPr>
          <w:rFonts w:ascii="Arial" w:hAnsi="Arial" w:cs="Arial"/>
          <w:sz w:val="20"/>
        </w:rPr>
      </w:pPr>
      <w:r w:rsidRPr="00321CE8">
        <w:rPr>
          <w:rFonts w:ascii="Arial" w:hAnsi="Arial" w:cs="Arial"/>
          <w:sz w:val="20"/>
        </w:rPr>
        <w:t>operate the</w:t>
      </w:r>
      <w:r w:rsidRPr="00321CE8">
        <w:rPr>
          <w:rFonts w:ascii="Arial" w:hAnsi="Arial" w:cs="Arial"/>
          <w:spacing w:val="-3"/>
          <w:sz w:val="20"/>
        </w:rPr>
        <w:t xml:space="preserve"> </w:t>
      </w:r>
      <w:r w:rsidRPr="00321CE8">
        <w:rPr>
          <w:rFonts w:ascii="Arial" w:hAnsi="Arial" w:cs="Arial"/>
          <w:sz w:val="20"/>
        </w:rPr>
        <w:t>balloon</w:t>
      </w:r>
      <w:r w:rsidRPr="00321CE8">
        <w:rPr>
          <w:rFonts w:ascii="Arial" w:hAnsi="Arial" w:cs="Arial"/>
          <w:spacing w:val="-4"/>
          <w:sz w:val="20"/>
        </w:rPr>
        <w:t xml:space="preserve"> </w:t>
      </w:r>
      <w:r w:rsidRPr="00321CE8">
        <w:rPr>
          <w:rFonts w:ascii="Arial" w:hAnsi="Arial" w:cs="Arial"/>
          <w:sz w:val="20"/>
        </w:rPr>
        <w:t>or hot-air</w:t>
      </w:r>
      <w:r w:rsidRPr="00321CE8">
        <w:rPr>
          <w:rFonts w:ascii="Arial" w:hAnsi="Arial" w:cs="Arial"/>
          <w:spacing w:val="-2"/>
          <w:sz w:val="20"/>
        </w:rPr>
        <w:t xml:space="preserve"> </w:t>
      </w:r>
      <w:r w:rsidRPr="00321CE8">
        <w:rPr>
          <w:rFonts w:ascii="Arial" w:hAnsi="Arial" w:cs="Arial"/>
          <w:sz w:val="20"/>
        </w:rPr>
        <w:t>airship</w:t>
      </w:r>
      <w:r w:rsidRPr="00321CE8">
        <w:rPr>
          <w:rFonts w:ascii="Arial" w:hAnsi="Arial" w:cs="Arial"/>
          <w:spacing w:val="-1"/>
          <w:sz w:val="20"/>
        </w:rPr>
        <w:t xml:space="preserve"> </w:t>
      </w:r>
      <w:r w:rsidRPr="00321CE8">
        <w:rPr>
          <w:rFonts w:ascii="Arial" w:hAnsi="Arial" w:cs="Arial"/>
          <w:sz w:val="20"/>
        </w:rPr>
        <w:t>within</w:t>
      </w:r>
      <w:r w:rsidRPr="00321CE8">
        <w:rPr>
          <w:rFonts w:ascii="Arial" w:hAnsi="Arial" w:cs="Arial"/>
          <w:spacing w:val="-2"/>
          <w:sz w:val="20"/>
        </w:rPr>
        <w:t xml:space="preserve"> </w:t>
      </w:r>
      <w:r w:rsidRPr="00321CE8">
        <w:rPr>
          <w:rFonts w:ascii="Arial" w:hAnsi="Arial" w:cs="Arial"/>
          <w:sz w:val="20"/>
        </w:rPr>
        <w:t>its limitations;</w:t>
      </w:r>
    </w:p>
    <w:p w14:paraId="6AEC7EE9" w14:textId="77777777" w:rsidR="00321CE8" w:rsidRPr="00321CE8" w:rsidRDefault="00321CE8" w:rsidP="00682A54">
      <w:pPr>
        <w:pStyle w:val="ListParagraph"/>
        <w:numPr>
          <w:ilvl w:val="2"/>
          <w:numId w:val="215"/>
        </w:numPr>
        <w:tabs>
          <w:tab w:val="left" w:pos="1841"/>
          <w:tab w:val="left" w:pos="1842"/>
        </w:tabs>
        <w:jc w:val="both"/>
        <w:rPr>
          <w:rFonts w:ascii="Arial" w:hAnsi="Arial" w:cs="Arial"/>
          <w:sz w:val="20"/>
        </w:rPr>
      </w:pPr>
      <w:r w:rsidRPr="00321CE8">
        <w:rPr>
          <w:rFonts w:ascii="Arial" w:hAnsi="Arial" w:cs="Arial"/>
          <w:sz w:val="20"/>
        </w:rPr>
        <w:t>complete all</w:t>
      </w:r>
      <w:r w:rsidRPr="00321CE8">
        <w:rPr>
          <w:rFonts w:ascii="Arial" w:hAnsi="Arial" w:cs="Arial"/>
          <w:spacing w:val="-4"/>
          <w:sz w:val="20"/>
        </w:rPr>
        <w:t xml:space="preserve"> </w:t>
      </w:r>
      <w:r w:rsidRPr="00321CE8">
        <w:rPr>
          <w:rFonts w:ascii="Arial" w:hAnsi="Arial" w:cs="Arial"/>
          <w:sz w:val="20"/>
        </w:rPr>
        <w:t>manoeuvres</w:t>
      </w:r>
      <w:r w:rsidRPr="00321CE8">
        <w:rPr>
          <w:rFonts w:ascii="Arial" w:hAnsi="Arial" w:cs="Arial"/>
          <w:spacing w:val="-1"/>
          <w:sz w:val="20"/>
        </w:rPr>
        <w:t xml:space="preserve"> </w:t>
      </w:r>
      <w:r w:rsidRPr="00321CE8">
        <w:rPr>
          <w:rFonts w:ascii="Arial" w:hAnsi="Arial" w:cs="Arial"/>
          <w:sz w:val="20"/>
        </w:rPr>
        <w:t>with</w:t>
      </w:r>
      <w:r w:rsidRPr="00321CE8">
        <w:rPr>
          <w:rFonts w:ascii="Arial" w:hAnsi="Arial" w:cs="Arial"/>
          <w:spacing w:val="-1"/>
          <w:sz w:val="20"/>
        </w:rPr>
        <w:t xml:space="preserve"> </w:t>
      </w:r>
      <w:r w:rsidRPr="00321CE8">
        <w:rPr>
          <w:rFonts w:ascii="Arial" w:hAnsi="Arial" w:cs="Arial"/>
          <w:sz w:val="20"/>
        </w:rPr>
        <w:t>smoothness and</w:t>
      </w:r>
      <w:r w:rsidRPr="00321CE8">
        <w:rPr>
          <w:rFonts w:ascii="Arial" w:hAnsi="Arial" w:cs="Arial"/>
          <w:spacing w:val="-2"/>
          <w:sz w:val="20"/>
        </w:rPr>
        <w:t xml:space="preserve"> </w:t>
      </w:r>
      <w:r w:rsidRPr="00321CE8">
        <w:rPr>
          <w:rFonts w:ascii="Arial" w:hAnsi="Arial" w:cs="Arial"/>
          <w:sz w:val="20"/>
        </w:rPr>
        <w:t>accuracy;</w:t>
      </w:r>
    </w:p>
    <w:p w14:paraId="0DCD902E" w14:textId="77777777" w:rsidR="00321CE8" w:rsidRPr="00321CE8" w:rsidRDefault="00321CE8" w:rsidP="00682A54">
      <w:pPr>
        <w:pStyle w:val="ListParagraph"/>
        <w:numPr>
          <w:ilvl w:val="2"/>
          <w:numId w:val="215"/>
        </w:numPr>
        <w:tabs>
          <w:tab w:val="left" w:pos="1841"/>
          <w:tab w:val="left" w:pos="1842"/>
        </w:tabs>
        <w:jc w:val="both"/>
        <w:rPr>
          <w:rFonts w:ascii="Arial" w:hAnsi="Arial" w:cs="Arial"/>
          <w:sz w:val="20"/>
        </w:rPr>
      </w:pPr>
      <w:r w:rsidRPr="00321CE8">
        <w:rPr>
          <w:rFonts w:ascii="Arial" w:hAnsi="Arial" w:cs="Arial"/>
          <w:sz w:val="20"/>
        </w:rPr>
        <w:t>exercise</w:t>
      </w:r>
      <w:r w:rsidRPr="00321CE8">
        <w:rPr>
          <w:rFonts w:ascii="Arial" w:hAnsi="Arial" w:cs="Arial"/>
          <w:spacing w:val="-1"/>
          <w:sz w:val="20"/>
        </w:rPr>
        <w:t xml:space="preserve"> </w:t>
      </w:r>
      <w:r w:rsidRPr="00321CE8">
        <w:rPr>
          <w:rFonts w:ascii="Arial" w:hAnsi="Arial" w:cs="Arial"/>
          <w:sz w:val="20"/>
        </w:rPr>
        <w:t>good</w:t>
      </w:r>
      <w:r w:rsidRPr="00321CE8">
        <w:rPr>
          <w:rFonts w:ascii="Arial" w:hAnsi="Arial" w:cs="Arial"/>
          <w:spacing w:val="-2"/>
          <w:sz w:val="20"/>
        </w:rPr>
        <w:t xml:space="preserve"> </w:t>
      </w:r>
      <w:r w:rsidRPr="00321CE8">
        <w:rPr>
          <w:rFonts w:ascii="Arial" w:hAnsi="Arial" w:cs="Arial"/>
          <w:sz w:val="20"/>
        </w:rPr>
        <w:t>judgment</w:t>
      </w:r>
      <w:r w:rsidRPr="00321CE8">
        <w:rPr>
          <w:rFonts w:ascii="Arial" w:hAnsi="Arial" w:cs="Arial"/>
          <w:spacing w:val="-2"/>
          <w:sz w:val="20"/>
        </w:rPr>
        <w:t xml:space="preserve"> </w:t>
      </w:r>
      <w:r w:rsidRPr="00321CE8">
        <w:rPr>
          <w:rFonts w:ascii="Arial" w:hAnsi="Arial" w:cs="Arial"/>
          <w:sz w:val="20"/>
        </w:rPr>
        <w:t>and</w:t>
      </w:r>
      <w:r w:rsidRPr="00321CE8">
        <w:rPr>
          <w:rFonts w:ascii="Arial" w:hAnsi="Arial" w:cs="Arial"/>
          <w:spacing w:val="-2"/>
          <w:sz w:val="20"/>
        </w:rPr>
        <w:t xml:space="preserve"> </w:t>
      </w:r>
      <w:r w:rsidRPr="00321CE8">
        <w:rPr>
          <w:rFonts w:ascii="Arial" w:hAnsi="Arial" w:cs="Arial"/>
          <w:sz w:val="20"/>
        </w:rPr>
        <w:t>airmanship;</w:t>
      </w:r>
    </w:p>
    <w:p w14:paraId="2220FEF8" w14:textId="77777777" w:rsidR="00321CE8" w:rsidRPr="00321CE8" w:rsidRDefault="00321CE8" w:rsidP="00682A54">
      <w:pPr>
        <w:pStyle w:val="ListParagraph"/>
        <w:numPr>
          <w:ilvl w:val="2"/>
          <w:numId w:val="215"/>
        </w:numPr>
        <w:tabs>
          <w:tab w:val="left" w:pos="1842"/>
        </w:tabs>
        <w:spacing w:before="56"/>
        <w:jc w:val="both"/>
        <w:rPr>
          <w:rFonts w:ascii="Arial" w:hAnsi="Arial" w:cs="Arial"/>
          <w:sz w:val="20"/>
        </w:rPr>
      </w:pPr>
      <w:r w:rsidRPr="00321CE8">
        <w:rPr>
          <w:rFonts w:ascii="Arial" w:hAnsi="Arial" w:cs="Arial"/>
          <w:sz w:val="20"/>
        </w:rPr>
        <w:t>apply aeronautical</w:t>
      </w:r>
      <w:r w:rsidRPr="00321CE8">
        <w:rPr>
          <w:rFonts w:ascii="Arial" w:hAnsi="Arial" w:cs="Arial"/>
          <w:spacing w:val="-3"/>
          <w:sz w:val="20"/>
        </w:rPr>
        <w:t xml:space="preserve"> </w:t>
      </w:r>
      <w:r w:rsidRPr="00321CE8">
        <w:rPr>
          <w:rFonts w:ascii="Arial" w:hAnsi="Arial" w:cs="Arial"/>
          <w:sz w:val="20"/>
        </w:rPr>
        <w:t>knowledge;</w:t>
      </w:r>
      <w:r w:rsidRPr="00321CE8">
        <w:rPr>
          <w:rFonts w:ascii="Arial" w:hAnsi="Arial" w:cs="Arial"/>
          <w:spacing w:val="1"/>
          <w:sz w:val="20"/>
        </w:rPr>
        <w:t xml:space="preserve"> </w:t>
      </w:r>
      <w:r w:rsidRPr="00321CE8">
        <w:rPr>
          <w:rFonts w:ascii="Arial" w:hAnsi="Arial" w:cs="Arial"/>
          <w:sz w:val="20"/>
        </w:rPr>
        <w:t>and</w:t>
      </w:r>
    </w:p>
    <w:p w14:paraId="66E223CB" w14:textId="77777777" w:rsidR="00321CE8" w:rsidRPr="00321CE8" w:rsidRDefault="00321CE8" w:rsidP="00682A54">
      <w:pPr>
        <w:pStyle w:val="ListParagraph"/>
        <w:numPr>
          <w:ilvl w:val="2"/>
          <w:numId w:val="215"/>
        </w:numPr>
        <w:tabs>
          <w:tab w:val="left" w:pos="1842"/>
        </w:tabs>
        <w:ind w:right="200"/>
        <w:jc w:val="both"/>
        <w:rPr>
          <w:rFonts w:ascii="Arial" w:hAnsi="Arial" w:cs="Arial"/>
          <w:sz w:val="20"/>
        </w:rPr>
      </w:pPr>
      <w:r w:rsidRPr="00321CE8">
        <w:rPr>
          <w:rFonts w:ascii="Arial" w:hAnsi="Arial" w:cs="Arial"/>
          <w:sz w:val="20"/>
        </w:rPr>
        <w:t>maintain control of the balloon or the hot-air airship at all times in such a manner</w:t>
      </w:r>
      <w:r w:rsidRPr="00321CE8">
        <w:rPr>
          <w:rFonts w:ascii="Arial" w:hAnsi="Arial" w:cs="Arial"/>
          <w:spacing w:val="-47"/>
          <w:sz w:val="20"/>
        </w:rPr>
        <w:t xml:space="preserve"> </w:t>
      </w:r>
      <w:r w:rsidRPr="00321CE8">
        <w:rPr>
          <w:rFonts w:ascii="Arial" w:hAnsi="Arial" w:cs="Arial"/>
          <w:sz w:val="20"/>
        </w:rPr>
        <w:t>that the successful outcome of a procedure or manoeuvre is never seriously in</w:t>
      </w:r>
      <w:r w:rsidRPr="00321CE8">
        <w:rPr>
          <w:rFonts w:ascii="Arial" w:hAnsi="Arial" w:cs="Arial"/>
          <w:spacing w:val="1"/>
          <w:sz w:val="20"/>
        </w:rPr>
        <w:t xml:space="preserve"> </w:t>
      </w:r>
      <w:r w:rsidRPr="00321CE8">
        <w:rPr>
          <w:rFonts w:ascii="Arial" w:hAnsi="Arial" w:cs="Arial"/>
          <w:sz w:val="20"/>
        </w:rPr>
        <w:t>doubt.</w:t>
      </w:r>
    </w:p>
    <w:p w14:paraId="0C840954" w14:textId="77777777" w:rsidR="00321CE8" w:rsidRPr="00321CE8" w:rsidRDefault="00321CE8" w:rsidP="00682A54">
      <w:pPr>
        <w:pStyle w:val="ListParagraph"/>
        <w:numPr>
          <w:ilvl w:val="1"/>
          <w:numId w:val="215"/>
        </w:numPr>
        <w:tabs>
          <w:tab w:val="left" w:pos="1274"/>
        </w:tabs>
        <w:spacing w:before="121"/>
        <w:ind w:right="195"/>
        <w:jc w:val="both"/>
        <w:rPr>
          <w:rFonts w:ascii="Arial" w:hAnsi="Arial" w:cs="Arial"/>
          <w:sz w:val="20"/>
        </w:rPr>
      </w:pPr>
      <w:r w:rsidRPr="00321CE8">
        <w:rPr>
          <w:rFonts w:ascii="Arial" w:hAnsi="Arial" w:cs="Arial"/>
          <w:sz w:val="20"/>
        </w:rPr>
        <w:t>The following limits are for general guidance. The FE(B) should make allowance for</w:t>
      </w:r>
      <w:r w:rsidRPr="00321CE8">
        <w:rPr>
          <w:rFonts w:ascii="Arial" w:hAnsi="Arial" w:cs="Arial"/>
          <w:spacing w:val="1"/>
          <w:sz w:val="20"/>
        </w:rPr>
        <w:t xml:space="preserve"> </w:t>
      </w:r>
      <w:r w:rsidRPr="00321CE8">
        <w:rPr>
          <w:rFonts w:ascii="Arial" w:hAnsi="Arial" w:cs="Arial"/>
          <w:sz w:val="20"/>
        </w:rPr>
        <w:t>turbulent conditions and the handling qualities and performance of the balloon or hot-</w:t>
      </w:r>
      <w:r w:rsidRPr="00321CE8">
        <w:rPr>
          <w:rFonts w:ascii="Arial" w:hAnsi="Arial" w:cs="Arial"/>
          <w:spacing w:val="1"/>
          <w:sz w:val="20"/>
        </w:rPr>
        <w:t xml:space="preserve"> </w:t>
      </w:r>
      <w:r w:rsidRPr="00321CE8">
        <w:rPr>
          <w:rFonts w:ascii="Arial" w:hAnsi="Arial" w:cs="Arial"/>
          <w:sz w:val="20"/>
        </w:rPr>
        <w:t>air</w:t>
      </w:r>
      <w:r w:rsidRPr="00321CE8">
        <w:rPr>
          <w:rFonts w:ascii="Arial" w:hAnsi="Arial" w:cs="Arial"/>
          <w:spacing w:val="-1"/>
          <w:sz w:val="20"/>
        </w:rPr>
        <w:t xml:space="preserve"> </w:t>
      </w:r>
      <w:r w:rsidRPr="00321CE8">
        <w:rPr>
          <w:rFonts w:ascii="Arial" w:hAnsi="Arial" w:cs="Arial"/>
          <w:sz w:val="20"/>
        </w:rPr>
        <w:t>airship</w:t>
      </w:r>
      <w:r w:rsidRPr="00321CE8">
        <w:rPr>
          <w:rFonts w:ascii="Arial" w:hAnsi="Arial" w:cs="Arial"/>
          <w:spacing w:val="-2"/>
          <w:sz w:val="20"/>
        </w:rPr>
        <w:t xml:space="preserve"> </w:t>
      </w:r>
      <w:r w:rsidRPr="00321CE8">
        <w:rPr>
          <w:rFonts w:ascii="Arial" w:hAnsi="Arial" w:cs="Arial"/>
          <w:sz w:val="20"/>
        </w:rPr>
        <w:t>used:</w:t>
      </w:r>
    </w:p>
    <w:p w14:paraId="4066822E" w14:textId="77777777" w:rsidR="00321CE8" w:rsidRPr="00321CE8" w:rsidRDefault="00321CE8" w:rsidP="00321CE8">
      <w:pPr>
        <w:pStyle w:val="BodyText"/>
        <w:spacing w:before="121"/>
        <w:ind w:left="1273"/>
        <w:jc w:val="both"/>
        <w:rPr>
          <w:rFonts w:ascii="Arial" w:hAnsi="Arial" w:cs="Arial"/>
          <w:sz w:val="20"/>
        </w:rPr>
      </w:pPr>
      <w:r w:rsidRPr="00321CE8">
        <w:rPr>
          <w:rFonts w:ascii="Arial" w:hAnsi="Arial" w:cs="Arial"/>
          <w:sz w:val="20"/>
        </w:rPr>
        <w:t>Height</w:t>
      </w:r>
    </w:p>
    <w:p w14:paraId="379CEE10" w14:textId="77777777" w:rsidR="00321CE8" w:rsidRPr="00321CE8" w:rsidRDefault="00321CE8" w:rsidP="00682A54">
      <w:pPr>
        <w:pStyle w:val="ListParagraph"/>
        <w:numPr>
          <w:ilvl w:val="2"/>
          <w:numId w:val="215"/>
        </w:numPr>
        <w:tabs>
          <w:tab w:val="left" w:pos="1841"/>
          <w:tab w:val="left" w:pos="1842"/>
        </w:tabs>
        <w:spacing w:before="118"/>
        <w:jc w:val="both"/>
        <w:rPr>
          <w:rFonts w:ascii="Arial" w:hAnsi="Arial" w:cs="Arial"/>
          <w:sz w:val="20"/>
        </w:rPr>
      </w:pPr>
      <w:r w:rsidRPr="00321CE8">
        <w:rPr>
          <w:rFonts w:ascii="Arial" w:hAnsi="Arial" w:cs="Arial"/>
          <w:sz w:val="20"/>
        </w:rPr>
        <w:t>normal</w:t>
      </w:r>
      <w:r w:rsidRPr="00321CE8">
        <w:rPr>
          <w:rFonts w:ascii="Arial" w:hAnsi="Arial" w:cs="Arial"/>
          <w:spacing w:val="-4"/>
          <w:sz w:val="20"/>
        </w:rPr>
        <w:t xml:space="preserve"> </w:t>
      </w:r>
      <w:r w:rsidRPr="00321CE8">
        <w:rPr>
          <w:rFonts w:ascii="Arial" w:hAnsi="Arial" w:cs="Arial"/>
          <w:sz w:val="20"/>
        </w:rPr>
        <w:t>flight:</w:t>
      </w:r>
      <w:r w:rsidRPr="00321CE8">
        <w:rPr>
          <w:rFonts w:ascii="Arial" w:hAnsi="Arial" w:cs="Arial"/>
          <w:spacing w:val="-3"/>
          <w:sz w:val="20"/>
        </w:rPr>
        <w:t xml:space="preserve"> </w:t>
      </w:r>
      <w:r w:rsidRPr="00321CE8">
        <w:rPr>
          <w:rFonts w:ascii="Arial" w:hAnsi="Arial" w:cs="Arial"/>
          <w:sz w:val="20"/>
        </w:rPr>
        <w:t>±</w:t>
      </w:r>
      <w:r w:rsidRPr="00321CE8">
        <w:rPr>
          <w:rFonts w:ascii="Arial" w:hAnsi="Arial" w:cs="Arial"/>
          <w:spacing w:val="-1"/>
          <w:sz w:val="20"/>
        </w:rPr>
        <w:t xml:space="preserve"> </w:t>
      </w:r>
      <w:r w:rsidRPr="00321CE8">
        <w:rPr>
          <w:rFonts w:ascii="Arial" w:hAnsi="Arial" w:cs="Arial"/>
          <w:sz w:val="20"/>
        </w:rPr>
        <w:t>100</w:t>
      </w:r>
      <w:r w:rsidRPr="00321CE8">
        <w:rPr>
          <w:rFonts w:ascii="Arial" w:hAnsi="Arial" w:cs="Arial"/>
          <w:spacing w:val="-1"/>
          <w:sz w:val="20"/>
        </w:rPr>
        <w:t xml:space="preserve"> </w:t>
      </w:r>
      <w:r w:rsidRPr="00321CE8">
        <w:rPr>
          <w:rFonts w:ascii="Arial" w:hAnsi="Arial" w:cs="Arial"/>
          <w:sz w:val="20"/>
        </w:rPr>
        <w:t>ft</w:t>
      </w:r>
    </w:p>
    <w:p w14:paraId="1A659D01" w14:textId="77777777" w:rsidR="00321CE8" w:rsidRPr="00321CE8" w:rsidRDefault="00321CE8" w:rsidP="00682A54">
      <w:pPr>
        <w:pStyle w:val="ListParagraph"/>
        <w:numPr>
          <w:ilvl w:val="2"/>
          <w:numId w:val="215"/>
        </w:numPr>
        <w:tabs>
          <w:tab w:val="left" w:pos="1841"/>
          <w:tab w:val="left" w:pos="1842"/>
        </w:tabs>
        <w:jc w:val="both"/>
        <w:rPr>
          <w:rFonts w:ascii="Arial" w:hAnsi="Arial" w:cs="Arial"/>
          <w:sz w:val="20"/>
        </w:rPr>
      </w:pPr>
      <w:r w:rsidRPr="00321CE8">
        <w:rPr>
          <w:rFonts w:ascii="Arial" w:hAnsi="Arial" w:cs="Arial"/>
          <w:sz w:val="20"/>
        </w:rPr>
        <w:t>with</w:t>
      </w:r>
      <w:r w:rsidRPr="00321CE8">
        <w:rPr>
          <w:rFonts w:ascii="Arial" w:hAnsi="Arial" w:cs="Arial"/>
          <w:spacing w:val="-1"/>
          <w:sz w:val="20"/>
        </w:rPr>
        <w:t xml:space="preserve"> </w:t>
      </w:r>
      <w:r w:rsidRPr="00321CE8">
        <w:rPr>
          <w:rFonts w:ascii="Arial" w:hAnsi="Arial" w:cs="Arial"/>
          <w:sz w:val="20"/>
        </w:rPr>
        <w:t>simulated</w:t>
      </w:r>
      <w:r w:rsidRPr="00321CE8">
        <w:rPr>
          <w:rFonts w:ascii="Arial" w:hAnsi="Arial" w:cs="Arial"/>
          <w:spacing w:val="-3"/>
          <w:sz w:val="20"/>
        </w:rPr>
        <w:t xml:space="preserve"> </w:t>
      </w:r>
      <w:r w:rsidRPr="00321CE8">
        <w:rPr>
          <w:rFonts w:ascii="Arial" w:hAnsi="Arial" w:cs="Arial"/>
          <w:sz w:val="20"/>
        </w:rPr>
        <w:t>emergency:</w:t>
      </w:r>
      <w:r w:rsidRPr="00321CE8">
        <w:rPr>
          <w:rFonts w:ascii="Arial" w:hAnsi="Arial" w:cs="Arial"/>
          <w:spacing w:val="-3"/>
          <w:sz w:val="20"/>
        </w:rPr>
        <w:t xml:space="preserve"> </w:t>
      </w:r>
      <w:r w:rsidRPr="00321CE8">
        <w:rPr>
          <w:rFonts w:ascii="Arial" w:hAnsi="Arial" w:cs="Arial"/>
          <w:sz w:val="20"/>
        </w:rPr>
        <w:t>±</w:t>
      </w:r>
      <w:r w:rsidRPr="00321CE8">
        <w:rPr>
          <w:rFonts w:ascii="Arial" w:hAnsi="Arial" w:cs="Arial"/>
          <w:spacing w:val="-1"/>
          <w:sz w:val="20"/>
        </w:rPr>
        <w:t xml:space="preserve"> </w:t>
      </w:r>
      <w:r w:rsidRPr="00321CE8">
        <w:rPr>
          <w:rFonts w:ascii="Arial" w:hAnsi="Arial" w:cs="Arial"/>
          <w:sz w:val="20"/>
        </w:rPr>
        <w:t>150</w:t>
      </w:r>
      <w:r w:rsidRPr="00321CE8">
        <w:rPr>
          <w:rFonts w:ascii="Arial" w:hAnsi="Arial" w:cs="Arial"/>
          <w:spacing w:val="-1"/>
          <w:sz w:val="20"/>
        </w:rPr>
        <w:t xml:space="preserve"> </w:t>
      </w:r>
      <w:r w:rsidRPr="00321CE8">
        <w:rPr>
          <w:rFonts w:ascii="Arial" w:hAnsi="Arial" w:cs="Arial"/>
          <w:sz w:val="20"/>
        </w:rPr>
        <w:t>ft</w:t>
      </w:r>
    </w:p>
    <w:p w14:paraId="4744E3E3" w14:textId="77777777" w:rsidR="00321CE8" w:rsidRPr="00321CE8" w:rsidRDefault="00321CE8" w:rsidP="00682A54">
      <w:pPr>
        <w:pStyle w:val="ListParagraph"/>
        <w:numPr>
          <w:ilvl w:val="0"/>
          <w:numId w:val="215"/>
        </w:numPr>
        <w:tabs>
          <w:tab w:val="left" w:pos="706"/>
          <w:tab w:val="left" w:pos="707"/>
        </w:tabs>
        <w:spacing w:before="121"/>
        <w:jc w:val="both"/>
        <w:rPr>
          <w:rFonts w:ascii="Arial" w:hAnsi="Arial" w:cs="Arial"/>
          <w:sz w:val="20"/>
        </w:rPr>
      </w:pPr>
      <w:r w:rsidRPr="00321CE8">
        <w:rPr>
          <w:rFonts w:ascii="Arial" w:hAnsi="Arial" w:cs="Arial"/>
          <w:sz w:val="20"/>
        </w:rPr>
        <w:t>CONTENT</w:t>
      </w:r>
      <w:r w:rsidRPr="00321CE8">
        <w:rPr>
          <w:rFonts w:ascii="Arial" w:hAnsi="Arial" w:cs="Arial"/>
          <w:spacing w:val="-4"/>
          <w:sz w:val="20"/>
        </w:rPr>
        <w:t xml:space="preserve"> </w:t>
      </w:r>
      <w:r w:rsidRPr="00321CE8">
        <w:rPr>
          <w:rFonts w:ascii="Arial" w:hAnsi="Arial" w:cs="Arial"/>
          <w:sz w:val="20"/>
        </w:rPr>
        <w:t>OF</w:t>
      </w:r>
      <w:r w:rsidRPr="00321CE8">
        <w:rPr>
          <w:rFonts w:ascii="Arial" w:hAnsi="Arial" w:cs="Arial"/>
          <w:spacing w:val="-1"/>
          <w:sz w:val="20"/>
        </w:rPr>
        <w:t xml:space="preserve"> </w:t>
      </w:r>
      <w:r w:rsidRPr="00321CE8">
        <w:rPr>
          <w:rFonts w:ascii="Arial" w:hAnsi="Arial" w:cs="Arial"/>
          <w:sz w:val="20"/>
        </w:rPr>
        <w:t>THE</w:t>
      </w:r>
      <w:r w:rsidRPr="00321CE8">
        <w:rPr>
          <w:rFonts w:ascii="Arial" w:hAnsi="Arial" w:cs="Arial"/>
          <w:spacing w:val="-1"/>
          <w:sz w:val="20"/>
        </w:rPr>
        <w:t xml:space="preserve"> </w:t>
      </w:r>
      <w:r w:rsidRPr="00321CE8">
        <w:rPr>
          <w:rFonts w:ascii="Arial" w:hAnsi="Arial" w:cs="Arial"/>
          <w:sz w:val="20"/>
        </w:rPr>
        <w:t>SKILL</w:t>
      </w:r>
      <w:r w:rsidRPr="00321CE8">
        <w:rPr>
          <w:rFonts w:ascii="Arial" w:hAnsi="Arial" w:cs="Arial"/>
          <w:spacing w:val="-3"/>
          <w:sz w:val="20"/>
        </w:rPr>
        <w:t xml:space="preserve"> </w:t>
      </w:r>
      <w:r w:rsidRPr="00321CE8">
        <w:rPr>
          <w:rFonts w:ascii="Arial" w:hAnsi="Arial" w:cs="Arial"/>
          <w:sz w:val="20"/>
        </w:rPr>
        <w:t>TEST</w:t>
      </w:r>
    </w:p>
    <w:p w14:paraId="38E761F8" w14:textId="77777777" w:rsidR="00321CE8" w:rsidRPr="00321CE8" w:rsidRDefault="00321CE8" w:rsidP="00682A54">
      <w:pPr>
        <w:pStyle w:val="ListParagraph"/>
        <w:numPr>
          <w:ilvl w:val="1"/>
          <w:numId w:val="215"/>
        </w:numPr>
        <w:tabs>
          <w:tab w:val="left" w:pos="1274"/>
        </w:tabs>
        <w:ind w:right="203"/>
        <w:jc w:val="both"/>
        <w:rPr>
          <w:rFonts w:ascii="Arial" w:hAnsi="Arial" w:cs="Arial"/>
          <w:sz w:val="20"/>
        </w:rPr>
      </w:pPr>
      <w:r w:rsidRPr="00321CE8">
        <w:rPr>
          <w:rFonts w:ascii="Arial" w:hAnsi="Arial" w:cs="Arial"/>
          <w:sz w:val="20"/>
        </w:rPr>
        <w:t>The skill test contents and sections set out in this point should be used for the skill test</w:t>
      </w:r>
      <w:r w:rsidRPr="00321CE8">
        <w:rPr>
          <w:rFonts w:ascii="Arial" w:hAnsi="Arial" w:cs="Arial"/>
          <w:spacing w:val="1"/>
          <w:sz w:val="20"/>
        </w:rPr>
        <w:t xml:space="preserve"> </w:t>
      </w:r>
      <w:r w:rsidRPr="00321CE8">
        <w:rPr>
          <w:rFonts w:ascii="Arial" w:hAnsi="Arial" w:cs="Arial"/>
          <w:sz w:val="20"/>
        </w:rPr>
        <w:t>for</w:t>
      </w:r>
      <w:r w:rsidRPr="00321CE8">
        <w:rPr>
          <w:rFonts w:ascii="Arial" w:hAnsi="Arial" w:cs="Arial"/>
          <w:spacing w:val="-1"/>
          <w:sz w:val="20"/>
        </w:rPr>
        <w:t xml:space="preserve"> </w:t>
      </w:r>
      <w:r w:rsidRPr="00321CE8">
        <w:rPr>
          <w:rFonts w:ascii="Arial" w:hAnsi="Arial" w:cs="Arial"/>
          <w:sz w:val="20"/>
        </w:rPr>
        <w:t>the</w:t>
      </w:r>
      <w:r w:rsidRPr="00321CE8">
        <w:rPr>
          <w:rFonts w:ascii="Arial" w:hAnsi="Arial" w:cs="Arial"/>
          <w:spacing w:val="1"/>
          <w:sz w:val="20"/>
        </w:rPr>
        <w:t xml:space="preserve"> </w:t>
      </w:r>
      <w:r w:rsidRPr="00321CE8">
        <w:rPr>
          <w:rFonts w:ascii="Arial" w:hAnsi="Arial" w:cs="Arial"/>
          <w:sz w:val="20"/>
        </w:rPr>
        <w:t>issue</w:t>
      </w:r>
      <w:r w:rsidRPr="00321CE8">
        <w:rPr>
          <w:rFonts w:ascii="Arial" w:hAnsi="Arial" w:cs="Arial"/>
          <w:spacing w:val="-2"/>
          <w:sz w:val="20"/>
        </w:rPr>
        <w:t xml:space="preserve"> </w:t>
      </w:r>
      <w:r w:rsidRPr="00321CE8">
        <w:rPr>
          <w:rFonts w:ascii="Arial" w:hAnsi="Arial" w:cs="Arial"/>
          <w:sz w:val="20"/>
        </w:rPr>
        <w:t>of</w:t>
      </w:r>
      <w:r w:rsidRPr="00321CE8">
        <w:rPr>
          <w:rFonts w:ascii="Arial" w:hAnsi="Arial" w:cs="Arial"/>
          <w:spacing w:val="-2"/>
          <w:sz w:val="20"/>
        </w:rPr>
        <w:t xml:space="preserve"> </w:t>
      </w:r>
      <w:r w:rsidRPr="00321CE8">
        <w:rPr>
          <w:rFonts w:ascii="Arial" w:hAnsi="Arial" w:cs="Arial"/>
          <w:sz w:val="20"/>
        </w:rPr>
        <w:t>a commercial operation</w:t>
      </w:r>
      <w:r w:rsidRPr="00321CE8">
        <w:rPr>
          <w:rFonts w:ascii="Arial" w:hAnsi="Arial" w:cs="Arial"/>
          <w:spacing w:val="-2"/>
          <w:sz w:val="20"/>
        </w:rPr>
        <w:t xml:space="preserve"> </w:t>
      </w:r>
      <w:r w:rsidRPr="00321CE8">
        <w:rPr>
          <w:rFonts w:ascii="Arial" w:hAnsi="Arial" w:cs="Arial"/>
          <w:sz w:val="20"/>
        </w:rPr>
        <w:t>rating</w:t>
      </w:r>
      <w:r w:rsidRPr="00321CE8">
        <w:rPr>
          <w:rFonts w:ascii="Arial" w:hAnsi="Arial" w:cs="Arial"/>
          <w:spacing w:val="-1"/>
          <w:sz w:val="20"/>
        </w:rPr>
        <w:t xml:space="preserve"> </w:t>
      </w:r>
      <w:r w:rsidRPr="00321CE8">
        <w:rPr>
          <w:rFonts w:ascii="Arial" w:hAnsi="Arial" w:cs="Arial"/>
          <w:sz w:val="20"/>
        </w:rPr>
        <w:t>in the</w:t>
      </w:r>
      <w:r w:rsidRPr="00321CE8">
        <w:rPr>
          <w:rFonts w:ascii="Arial" w:hAnsi="Arial" w:cs="Arial"/>
          <w:spacing w:val="-3"/>
          <w:sz w:val="20"/>
        </w:rPr>
        <w:t xml:space="preserve"> </w:t>
      </w:r>
      <w:r w:rsidRPr="00321CE8">
        <w:rPr>
          <w:rFonts w:ascii="Arial" w:hAnsi="Arial" w:cs="Arial"/>
          <w:sz w:val="20"/>
        </w:rPr>
        <w:t>hot-air</w:t>
      </w:r>
      <w:r w:rsidRPr="00321CE8">
        <w:rPr>
          <w:rFonts w:ascii="Arial" w:hAnsi="Arial" w:cs="Arial"/>
          <w:spacing w:val="-1"/>
          <w:sz w:val="20"/>
        </w:rPr>
        <w:t xml:space="preserve"> </w:t>
      </w:r>
      <w:r w:rsidRPr="00321CE8">
        <w:rPr>
          <w:rFonts w:ascii="Arial" w:hAnsi="Arial" w:cs="Arial"/>
          <w:sz w:val="20"/>
        </w:rPr>
        <w:t>balloon</w:t>
      </w:r>
      <w:r w:rsidRPr="00321CE8">
        <w:rPr>
          <w:rFonts w:ascii="Arial" w:hAnsi="Arial" w:cs="Arial"/>
          <w:spacing w:val="-4"/>
          <w:sz w:val="20"/>
        </w:rPr>
        <w:t xml:space="preserve"> </w:t>
      </w:r>
      <w:r w:rsidRPr="00321CE8">
        <w:rPr>
          <w:rFonts w:ascii="Arial" w:hAnsi="Arial" w:cs="Arial"/>
          <w:sz w:val="20"/>
        </w:rPr>
        <w:t>class:</w:t>
      </w:r>
    </w:p>
    <w:p w14:paraId="1FA62D27" w14:textId="489F9F17" w:rsidR="00321CE8" w:rsidRDefault="00321CE8" w:rsidP="00102612">
      <w:pPr>
        <w:pStyle w:val="BodyText"/>
        <w:tabs>
          <w:tab w:val="left" w:pos="1273"/>
        </w:tabs>
        <w:spacing w:before="121"/>
        <w:ind w:left="1260" w:right="193" w:firstLine="13"/>
        <w:jc w:val="both"/>
        <w:rPr>
          <w:rFonts w:ascii="Arial" w:hAnsi="Arial" w:cs="Arial"/>
          <w:i/>
          <w:sz w:val="20"/>
        </w:rPr>
      </w:pPr>
      <w:r w:rsidRPr="00102612">
        <w:rPr>
          <w:rFonts w:ascii="Arial" w:hAnsi="Arial" w:cs="Arial"/>
          <w:i/>
          <w:sz w:val="20"/>
        </w:rPr>
        <w:t>Note:</w:t>
      </w:r>
      <w:r w:rsidRPr="00102612">
        <w:rPr>
          <w:rFonts w:ascii="Arial" w:hAnsi="Arial" w:cs="Arial"/>
          <w:i/>
          <w:spacing w:val="17"/>
          <w:sz w:val="20"/>
        </w:rPr>
        <w:t xml:space="preserve"> </w:t>
      </w:r>
      <w:r w:rsidRPr="00102612">
        <w:rPr>
          <w:rFonts w:ascii="Arial" w:hAnsi="Arial" w:cs="Arial"/>
          <w:i/>
          <w:sz w:val="20"/>
        </w:rPr>
        <w:t>Use</w:t>
      </w:r>
      <w:r w:rsidRPr="00102612">
        <w:rPr>
          <w:rFonts w:ascii="Arial" w:hAnsi="Arial" w:cs="Arial"/>
          <w:i/>
          <w:spacing w:val="31"/>
          <w:sz w:val="20"/>
        </w:rPr>
        <w:t xml:space="preserve"> </w:t>
      </w:r>
      <w:r w:rsidRPr="00102612">
        <w:rPr>
          <w:rFonts w:ascii="Arial" w:hAnsi="Arial" w:cs="Arial"/>
          <w:i/>
          <w:sz w:val="20"/>
        </w:rPr>
        <w:t>of</w:t>
      </w:r>
      <w:r w:rsidRPr="00102612">
        <w:rPr>
          <w:rFonts w:ascii="Arial" w:hAnsi="Arial" w:cs="Arial"/>
          <w:i/>
          <w:spacing w:val="32"/>
          <w:sz w:val="20"/>
        </w:rPr>
        <w:t xml:space="preserve"> </w:t>
      </w:r>
      <w:r w:rsidRPr="00102612">
        <w:rPr>
          <w:rFonts w:ascii="Arial" w:hAnsi="Arial" w:cs="Arial"/>
          <w:i/>
          <w:sz w:val="20"/>
        </w:rPr>
        <w:t>checklist(s),</w:t>
      </w:r>
      <w:r w:rsidRPr="00102612">
        <w:rPr>
          <w:rFonts w:ascii="Arial" w:hAnsi="Arial" w:cs="Arial"/>
          <w:i/>
          <w:spacing w:val="33"/>
          <w:sz w:val="20"/>
        </w:rPr>
        <w:t xml:space="preserve"> </w:t>
      </w:r>
      <w:r w:rsidRPr="00102612">
        <w:rPr>
          <w:rFonts w:ascii="Arial" w:hAnsi="Arial" w:cs="Arial"/>
          <w:i/>
          <w:sz w:val="20"/>
        </w:rPr>
        <w:t>airmanship,</w:t>
      </w:r>
      <w:r w:rsidRPr="00102612">
        <w:rPr>
          <w:rFonts w:ascii="Arial" w:hAnsi="Arial" w:cs="Arial"/>
          <w:i/>
          <w:spacing w:val="33"/>
          <w:sz w:val="20"/>
        </w:rPr>
        <w:t xml:space="preserve"> </w:t>
      </w:r>
      <w:r w:rsidRPr="00102612">
        <w:rPr>
          <w:rFonts w:ascii="Arial" w:hAnsi="Arial" w:cs="Arial"/>
          <w:i/>
          <w:sz w:val="20"/>
        </w:rPr>
        <w:t>control</w:t>
      </w:r>
      <w:r w:rsidRPr="00102612">
        <w:rPr>
          <w:rFonts w:ascii="Arial" w:hAnsi="Arial" w:cs="Arial"/>
          <w:i/>
          <w:spacing w:val="30"/>
          <w:sz w:val="20"/>
        </w:rPr>
        <w:t xml:space="preserve"> </w:t>
      </w:r>
      <w:r w:rsidRPr="00102612">
        <w:rPr>
          <w:rFonts w:ascii="Arial" w:hAnsi="Arial" w:cs="Arial"/>
          <w:i/>
          <w:sz w:val="20"/>
        </w:rPr>
        <w:t>of</w:t>
      </w:r>
      <w:r w:rsidRPr="00102612">
        <w:rPr>
          <w:rFonts w:ascii="Arial" w:hAnsi="Arial" w:cs="Arial"/>
          <w:i/>
          <w:spacing w:val="32"/>
          <w:sz w:val="20"/>
        </w:rPr>
        <w:t xml:space="preserve"> </w:t>
      </w:r>
      <w:r w:rsidRPr="00102612">
        <w:rPr>
          <w:rFonts w:ascii="Arial" w:hAnsi="Arial" w:cs="Arial"/>
          <w:i/>
          <w:sz w:val="20"/>
        </w:rPr>
        <w:t>balloon</w:t>
      </w:r>
      <w:r w:rsidRPr="00102612">
        <w:rPr>
          <w:rFonts w:ascii="Arial" w:hAnsi="Arial" w:cs="Arial"/>
          <w:i/>
          <w:spacing w:val="30"/>
          <w:sz w:val="20"/>
        </w:rPr>
        <w:t xml:space="preserve"> </w:t>
      </w:r>
      <w:r w:rsidRPr="00102612">
        <w:rPr>
          <w:rFonts w:ascii="Arial" w:hAnsi="Arial" w:cs="Arial"/>
          <w:i/>
          <w:sz w:val="20"/>
        </w:rPr>
        <w:t>by</w:t>
      </w:r>
      <w:r w:rsidRPr="00102612">
        <w:rPr>
          <w:rFonts w:ascii="Arial" w:hAnsi="Arial" w:cs="Arial"/>
          <w:i/>
          <w:spacing w:val="33"/>
          <w:sz w:val="20"/>
        </w:rPr>
        <w:t xml:space="preserve"> </w:t>
      </w:r>
      <w:r w:rsidRPr="00102612">
        <w:rPr>
          <w:rFonts w:ascii="Arial" w:hAnsi="Arial" w:cs="Arial"/>
          <w:i/>
          <w:sz w:val="20"/>
        </w:rPr>
        <w:t>external</w:t>
      </w:r>
      <w:r w:rsidRPr="00102612">
        <w:rPr>
          <w:rFonts w:ascii="Arial" w:hAnsi="Arial" w:cs="Arial"/>
          <w:i/>
          <w:spacing w:val="30"/>
          <w:sz w:val="20"/>
        </w:rPr>
        <w:t xml:space="preserve"> </w:t>
      </w:r>
      <w:r w:rsidRPr="00102612">
        <w:rPr>
          <w:rFonts w:ascii="Arial" w:hAnsi="Arial" w:cs="Arial"/>
          <w:i/>
          <w:sz w:val="20"/>
        </w:rPr>
        <w:t>visual</w:t>
      </w:r>
      <w:r w:rsidRPr="00102612">
        <w:rPr>
          <w:rFonts w:ascii="Arial" w:hAnsi="Arial" w:cs="Arial"/>
          <w:i/>
          <w:spacing w:val="32"/>
          <w:sz w:val="20"/>
        </w:rPr>
        <w:t xml:space="preserve"> </w:t>
      </w:r>
      <w:r w:rsidRPr="00102612">
        <w:rPr>
          <w:rFonts w:ascii="Arial" w:hAnsi="Arial" w:cs="Arial"/>
          <w:i/>
          <w:sz w:val="20"/>
        </w:rPr>
        <w:t>reference,</w:t>
      </w:r>
      <w:r w:rsidR="00102612" w:rsidRPr="00102612">
        <w:rPr>
          <w:rFonts w:ascii="Arial" w:hAnsi="Arial" w:cs="Arial"/>
          <w:i/>
          <w:spacing w:val="-47"/>
          <w:sz w:val="20"/>
        </w:rPr>
        <w:t xml:space="preserve"> </w:t>
      </w:r>
      <w:r w:rsidRPr="00102612">
        <w:rPr>
          <w:rFonts w:ascii="Arial" w:hAnsi="Arial" w:cs="Arial"/>
          <w:i/>
          <w:sz w:val="20"/>
        </w:rPr>
        <w:t>look-out</w:t>
      </w:r>
      <w:r w:rsidRPr="00102612">
        <w:rPr>
          <w:rFonts w:ascii="Arial" w:hAnsi="Arial" w:cs="Arial"/>
          <w:i/>
          <w:spacing w:val="-3"/>
          <w:sz w:val="20"/>
        </w:rPr>
        <w:t xml:space="preserve"> </w:t>
      </w:r>
      <w:r w:rsidRPr="00102612">
        <w:rPr>
          <w:rFonts w:ascii="Arial" w:hAnsi="Arial" w:cs="Arial"/>
          <w:i/>
          <w:sz w:val="20"/>
        </w:rPr>
        <w:t>procedures,</w:t>
      </w:r>
      <w:r w:rsidRPr="00102612">
        <w:rPr>
          <w:rFonts w:ascii="Arial" w:hAnsi="Arial" w:cs="Arial"/>
          <w:i/>
          <w:spacing w:val="-2"/>
          <w:sz w:val="20"/>
        </w:rPr>
        <w:t xml:space="preserve"> </w:t>
      </w:r>
      <w:r w:rsidRPr="00102612">
        <w:rPr>
          <w:rFonts w:ascii="Arial" w:hAnsi="Arial" w:cs="Arial"/>
          <w:i/>
          <w:sz w:val="20"/>
        </w:rPr>
        <w:t>etc.</w:t>
      </w:r>
      <w:r w:rsidRPr="00102612">
        <w:rPr>
          <w:rFonts w:ascii="Arial" w:hAnsi="Arial" w:cs="Arial"/>
          <w:i/>
          <w:spacing w:val="-2"/>
          <w:sz w:val="20"/>
        </w:rPr>
        <w:t xml:space="preserve"> </w:t>
      </w:r>
      <w:r w:rsidRPr="00102612">
        <w:rPr>
          <w:rFonts w:ascii="Arial" w:hAnsi="Arial" w:cs="Arial"/>
          <w:i/>
          <w:sz w:val="20"/>
        </w:rPr>
        <w:t>apply</w:t>
      </w:r>
      <w:r w:rsidRPr="00102612">
        <w:rPr>
          <w:rFonts w:ascii="Arial" w:hAnsi="Arial" w:cs="Arial"/>
          <w:i/>
          <w:spacing w:val="1"/>
          <w:sz w:val="20"/>
        </w:rPr>
        <w:t xml:space="preserve"> </w:t>
      </w:r>
      <w:r w:rsidRPr="00102612">
        <w:rPr>
          <w:rFonts w:ascii="Arial" w:hAnsi="Arial" w:cs="Arial"/>
          <w:i/>
          <w:sz w:val="20"/>
        </w:rPr>
        <w:t>in</w:t>
      </w:r>
      <w:r w:rsidRPr="00102612">
        <w:rPr>
          <w:rFonts w:ascii="Arial" w:hAnsi="Arial" w:cs="Arial"/>
          <w:i/>
          <w:spacing w:val="-1"/>
          <w:sz w:val="20"/>
        </w:rPr>
        <w:t xml:space="preserve"> </w:t>
      </w:r>
      <w:r w:rsidRPr="00102612">
        <w:rPr>
          <w:rFonts w:ascii="Arial" w:hAnsi="Arial" w:cs="Arial"/>
          <w:i/>
          <w:sz w:val="20"/>
        </w:rPr>
        <w:t>all sections.</w:t>
      </w:r>
    </w:p>
    <w:p w14:paraId="2EA71A83" w14:textId="77777777" w:rsidR="00AC3011" w:rsidRPr="00102612" w:rsidRDefault="00AC3011" w:rsidP="00102612">
      <w:pPr>
        <w:pStyle w:val="BodyText"/>
        <w:tabs>
          <w:tab w:val="left" w:pos="1273"/>
        </w:tabs>
        <w:spacing w:before="121"/>
        <w:ind w:left="1260" w:right="193" w:firstLine="13"/>
        <w:jc w:val="both"/>
        <w:rPr>
          <w:rFonts w:ascii="Arial" w:hAnsi="Arial" w:cs="Arial"/>
          <w:i/>
          <w:sz w:val="20"/>
        </w:rPr>
      </w:pPr>
    </w:p>
    <w:tbl>
      <w:tblPr>
        <w:tblStyle w:val="TableGrid31"/>
        <w:tblW w:w="8730" w:type="dxa"/>
        <w:tblInd w:w="562" w:type="dxa"/>
        <w:tblLayout w:type="fixed"/>
        <w:tblLook w:val="01E0" w:firstRow="1" w:lastRow="1" w:firstColumn="1" w:lastColumn="1" w:noHBand="0" w:noVBand="0"/>
      </w:tblPr>
      <w:tblGrid>
        <w:gridCol w:w="582"/>
        <w:gridCol w:w="15"/>
        <w:gridCol w:w="8133"/>
      </w:tblGrid>
      <w:tr w:rsidR="00321CE8" w:rsidRPr="00321CE8" w14:paraId="5201C864" w14:textId="77777777" w:rsidTr="009D3A59">
        <w:trPr>
          <w:trHeight w:val="200"/>
        </w:trPr>
        <w:tc>
          <w:tcPr>
            <w:tcW w:w="8730" w:type="dxa"/>
            <w:gridSpan w:val="3"/>
            <w:shd w:val="clear" w:color="auto" w:fill="F2F2F2" w:themeFill="background1" w:themeFillShade="F2"/>
          </w:tcPr>
          <w:p w14:paraId="451F04A3" w14:textId="77777777" w:rsidR="00321CE8" w:rsidRPr="00321CE8" w:rsidRDefault="00321CE8" w:rsidP="00FF5E02">
            <w:pPr>
              <w:pStyle w:val="TableParagraph"/>
              <w:spacing w:line="224" w:lineRule="exact"/>
              <w:ind w:left="86"/>
              <w:jc w:val="both"/>
              <w:rPr>
                <w:rFonts w:ascii="Arial" w:hAnsi="Arial" w:cs="Arial"/>
                <w:b/>
              </w:rPr>
            </w:pPr>
            <w:r w:rsidRPr="00321CE8">
              <w:rPr>
                <w:rFonts w:ascii="Arial" w:hAnsi="Arial" w:cs="Arial"/>
                <w:b/>
              </w:rPr>
              <w:t>SECTION</w:t>
            </w:r>
            <w:r w:rsidRPr="00321CE8">
              <w:rPr>
                <w:rFonts w:ascii="Arial" w:hAnsi="Arial" w:cs="Arial"/>
                <w:b/>
                <w:spacing w:val="-3"/>
              </w:rPr>
              <w:t xml:space="preserve"> </w:t>
            </w:r>
            <w:r w:rsidRPr="00321CE8">
              <w:rPr>
                <w:rFonts w:ascii="Arial" w:hAnsi="Arial" w:cs="Arial"/>
                <w:b/>
              </w:rPr>
              <w:t>1:</w:t>
            </w:r>
            <w:r w:rsidRPr="00321CE8">
              <w:rPr>
                <w:rFonts w:ascii="Arial" w:hAnsi="Arial" w:cs="Arial"/>
                <w:b/>
                <w:spacing w:val="-3"/>
              </w:rPr>
              <w:t xml:space="preserve"> </w:t>
            </w:r>
            <w:r w:rsidRPr="00321CE8">
              <w:rPr>
                <w:rFonts w:ascii="Arial" w:hAnsi="Arial" w:cs="Arial"/>
                <w:b/>
              </w:rPr>
              <w:t>PRE-FLIGHT</w:t>
            </w:r>
            <w:r w:rsidRPr="00321CE8">
              <w:rPr>
                <w:rFonts w:ascii="Arial" w:hAnsi="Arial" w:cs="Arial"/>
                <w:b/>
                <w:spacing w:val="-4"/>
              </w:rPr>
              <w:t xml:space="preserve"> </w:t>
            </w:r>
            <w:r w:rsidRPr="00321CE8">
              <w:rPr>
                <w:rFonts w:ascii="Arial" w:hAnsi="Arial" w:cs="Arial"/>
                <w:b/>
              </w:rPr>
              <w:t>OPERATIONS,</w:t>
            </w:r>
            <w:r w:rsidRPr="00321CE8">
              <w:rPr>
                <w:rFonts w:ascii="Arial" w:hAnsi="Arial" w:cs="Arial"/>
                <w:b/>
                <w:spacing w:val="-5"/>
              </w:rPr>
              <w:t xml:space="preserve"> </w:t>
            </w:r>
            <w:r w:rsidRPr="00321CE8">
              <w:rPr>
                <w:rFonts w:ascii="Arial" w:hAnsi="Arial" w:cs="Arial"/>
                <w:b/>
              </w:rPr>
              <w:t>INFLATION</w:t>
            </w:r>
            <w:r w:rsidRPr="00321CE8">
              <w:rPr>
                <w:rFonts w:ascii="Arial" w:hAnsi="Arial" w:cs="Arial"/>
                <w:b/>
                <w:spacing w:val="-3"/>
              </w:rPr>
              <w:t xml:space="preserve"> </w:t>
            </w:r>
            <w:r w:rsidRPr="00321CE8">
              <w:rPr>
                <w:rFonts w:ascii="Arial" w:hAnsi="Arial" w:cs="Arial"/>
                <w:b/>
              </w:rPr>
              <w:t>AND</w:t>
            </w:r>
            <w:r w:rsidRPr="00321CE8">
              <w:rPr>
                <w:rFonts w:ascii="Arial" w:hAnsi="Arial" w:cs="Arial"/>
                <w:b/>
                <w:spacing w:val="-3"/>
              </w:rPr>
              <w:t xml:space="preserve"> </w:t>
            </w:r>
            <w:r w:rsidRPr="00321CE8">
              <w:rPr>
                <w:rFonts w:ascii="Arial" w:hAnsi="Arial" w:cs="Arial"/>
                <w:b/>
              </w:rPr>
              <w:t>TAKE-OFF</w:t>
            </w:r>
          </w:p>
        </w:tc>
      </w:tr>
      <w:tr w:rsidR="00321CE8" w:rsidRPr="00321CE8" w14:paraId="1A9666D0" w14:textId="77777777" w:rsidTr="00AC3011">
        <w:trPr>
          <w:trHeight w:val="689"/>
        </w:trPr>
        <w:tc>
          <w:tcPr>
            <w:tcW w:w="597" w:type="dxa"/>
            <w:gridSpan w:val="2"/>
          </w:tcPr>
          <w:p w14:paraId="297182BD" w14:textId="77777777" w:rsidR="00321CE8" w:rsidRPr="00321CE8" w:rsidRDefault="00321CE8" w:rsidP="00FF5E02">
            <w:pPr>
              <w:pStyle w:val="TableParagraph"/>
              <w:ind w:left="86"/>
              <w:jc w:val="both"/>
              <w:rPr>
                <w:rFonts w:ascii="Arial" w:hAnsi="Arial" w:cs="Arial"/>
              </w:rPr>
            </w:pPr>
            <w:r w:rsidRPr="00321CE8">
              <w:rPr>
                <w:rFonts w:ascii="Arial" w:hAnsi="Arial" w:cs="Arial"/>
                <w:w w:val="99"/>
              </w:rPr>
              <w:t>a</w:t>
            </w:r>
          </w:p>
        </w:tc>
        <w:tc>
          <w:tcPr>
            <w:tcW w:w="8133" w:type="dxa"/>
          </w:tcPr>
          <w:p w14:paraId="69F296F7" w14:textId="290DDAA0" w:rsidR="00321CE8" w:rsidRPr="00321CE8" w:rsidRDefault="00321CE8" w:rsidP="00AC3011">
            <w:pPr>
              <w:pStyle w:val="TableParagraph"/>
              <w:jc w:val="both"/>
              <w:rPr>
                <w:rFonts w:ascii="Arial" w:hAnsi="Arial" w:cs="Arial"/>
              </w:rPr>
            </w:pPr>
            <w:r w:rsidRPr="00321CE8">
              <w:rPr>
                <w:rFonts w:ascii="Arial" w:hAnsi="Arial" w:cs="Arial"/>
              </w:rPr>
              <w:t>Pre-flight documentation (licence, medical certificate, permits to take off, insurance</w:t>
            </w:r>
            <w:r w:rsidRPr="00321CE8">
              <w:rPr>
                <w:rFonts w:ascii="Arial" w:hAnsi="Arial" w:cs="Arial"/>
                <w:spacing w:val="1"/>
              </w:rPr>
              <w:t xml:space="preserve"> </w:t>
            </w:r>
            <w:r w:rsidRPr="00321CE8">
              <w:rPr>
                <w:rFonts w:ascii="Arial" w:hAnsi="Arial" w:cs="Arial"/>
              </w:rPr>
              <w:t>certificate,</w:t>
            </w:r>
            <w:r w:rsidRPr="00321CE8">
              <w:rPr>
                <w:rFonts w:ascii="Arial" w:hAnsi="Arial" w:cs="Arial"/>
                <w:spacing w:val="-3"/>
              </w:rPr>
              <w:t xml:space="preserve"> </w:t>
            </w:r>
            <w:r w:rsidRPr="00321CE8">
              <w:rPr>
                <w:rFonts w:ascii="Arial" w:hAnsi="Arial" w:cs="Arial"/>
              </w:rPr>
              <w:t>aeronautical</w:t>
            </w:r>
            <w:r w:rsidRPr="00321CE8">
              <w:rPr>
                <w:rFonts w:ascii="Arial" w:hAnsi="Arial" w:cs="Arial"/>
                <w:spacing w:val="-3"/>
              </w:rPr>
              <w:t xml:space="preserve"> </w:t>
            </w:r>
            <w:r w:rsidRPr="00321CE8">
              <w:rPr>
                <w:rFonts w:ascii="Arial" w:hAnsi="Arial" w:cs="Arial"/>
              </w:rPr>
              <w:t>charts,</w:t>
            </w:r>
            <w:r w:rsidRPr="00321CE8">
              <w:rPr>
                <w:rFonts w:ascii="Arial" w:hAnsi="Arial" w:cs="Arial"/>
                <w:spacing w:val="-2"/>
              </w:rPr>
              <w:t xml:space="preserve"> </w:t>
            </w:r>
            <w:r w:rsidRPr="00321CE8">
              <w:rPr>
                <w:rFonts w:ascii="Arial" w:hAnsi="Arial" w:cs="Arial"/>
              </w:rPr>
              <w:t>AFM,</w:t>
            </w:r>
            <w:r w:rsidRPr="00321CE8">
              <w:rPr>
                <w:rFonts w:ascii="Arial" w:hAnsi="Arial" w:cs="Arial"/>
                <w:spacing w:val="-3"/>
              </w:rPr>
              <w:t xml:space="preserve"> </w:t>
            </w:r>
            <w:r w:rsidRPr="00321CE8">
              <w:rPr>
                <w:rFonts w:ascii="Arial" w:hAnsi="Arial" w:cs="Arial"/>
              </w:rPr>
              <w:t>logbook,</w:t>
            </w:r>
            <w:r w:rsidRPr="00321CE8">
              <w:rPr>
                <w:rFonts w:ascii="Arial" w:hAnsi="Arial" w:cs="Arial"/>
                <w:spacing w:val="-2"/>
              </w:rPr>
              <w:t xml:space="preserve"> </w:t>
            </w:r>
            <w:r w:rsidRPr="00321CE8">
              <w:rPr>
                <w:rFonts w:ascii="Arial" w:hAnsi="Arial" w:cs="Arial"/>
              </w:rPr>
              <w:t>technical</w:t>
            </w:r>
            <w:r w:rsidRPr="00321CE8">
              <w:rPr>
                <w:rFonts w:ascii="Arial" w:hAnsi="Arial" w:cs="Arial"/>
                <w:spacing w:val="-3"/>
              </w:rPr>
              <w:t xml:space="preserve"> </w:t>
            </w:r>
            <w:r w:rsidRPr="00321CE8">
              <w:rPr>
                <w:rFonts w:ascii="Arial" w:hAnsi="Arial" w:cs="Arial"/>
              </w:rPr>
              <w:t>logbook,</w:t>
            </w:r>
            <w:r w:rsidRPr="00321CE8">
              <w:rPr>
                <w:rFonts w:ascii="Arial" w:hAnsi="Arial" w:cs="Arial"/>
                <w:spacing w:val="-2"/>
              </w:rPr>
              <w:t xml:space="preserve"> </w:t>
            </w:r>
            <w:r w:rsidRPr="00321CE8">
              <w:rPr>
                <w:rFonts w:ascii="Arial" w:hAnsi="Arial" w:cs="Arial"/>
              </w:rPr>
              <w:t>checklists,</w:t>
            </w:r>
            <w:r w:rsidRPr="00321CE8">
              <w:rPr>
                <w:rFonts w:ascii="Arial" w:hAnsi="Arial" w:cs="Arial"/>
                <w:spacing w:val="-3"/>
              </w:rPr>
              <w:t xml:space="preserve"> </w:t>
            </w:r>
            <w:r w:rsidRPr="00321CE8">
              <w:rPr>
                <w:rFonts w:ascii="Arial" w:hAnsi="Arial" w:cs="Arial"/>
              </w:rPr>
              <w:t>etc.),</w:t>
            </w:r>
            <w:r w:rsidRPr="00321CE8">
              <w:rPr>
                <w:rFonts w:ascii="Arial" w:hAnsi="Arial" w:cs="Arial"/>
                <w:spacing w:val="-2"/>
              </w:rPr>
              <w:t xml:space="preserve"> </w:t>
            </w:r>
            <w:r w:rsidRPr="00321CE8">
              <w:rPr>
                <w:rFonts w:ascii="Arial" w:hAnsi="Arial" w:cs="Arial"/>
              </w:rPr>
              <w:t>flight</w:t>
            </w:r>
            <w:r w:rsidR="00AC3011">
              <w:rPr>
                <w:rFonts w:ascii="Arial" w:hAnsi="Arial" w:cs="Arial"/>
              </w:rPr>
              <w:t xml:space="preserve"> </w:t>
            </w:r>
            <w:r w:rsidRPr="00321CE8">
              <w:rPr>
                <w:rFonts w:ascii="Arial" w:hAnsi="Arial" w:cs="Arial"/>
              </w:rPr>
              <w:t>planning,</w:t>
            </w:r>
            <w:r w:rsidRPr="00321CE8">
              <w:rPr>
                <w:rFonts w:ascii="Arial" w:hAnsi="Arial" w:cs="Arial"/>
                <w:spacing w:val="-3"/>
              </w:rPr>
              <w:t xml:space="preserve"> </w:t>
            </w:r>
            <w:r w:rsidRPr="00321CE8">
              <w:rPr>
                <w:rFonts w:ascii="Arial" w:hAnsi="Arial" w:cs="Arial"/>
              </w:rPr>
              <w:t>NOTAM(s)</w:t>
            </w:r>
            <w:r w:rsidRPr="00321CE8">
              <w:rPr>
                <w:rFonts w:ascii="Arial" w:hAnsi="Arial" w:cs="Arial"/>
                <w:spacing w:val="-3"/>
              </w:rPr>
              <w:t xml:space="preserve"> </w:t>
            </w:r>
            <w:r w:rsidRPr="00321CE8">
              <w:rPr>
                <w:rFonts w:ascii="Arial" w:hAnsi="Arial" w:cs="Arial"/>
              </w:rPr>
              <w:t>and</w:t>
            </w:r>
            <w:r w:rsidRPr="00321CE8">
              <w:rPr>
                <w:rFonts w:ascii="Arial" w:hAnsi="Arial" w:cs="Arial"/>
                <w:spacing w:val="-2"/>
              </w:rPr>
              <w:t xml:space="preserve"> </w:t>
            </w:r>
            <w:r w:rsidRPr="00321CE8">
              <w:rPr>
                <w:rFonts w:ascii="Arial" w:hAnsi="Arial" w:cs="Arial"/>
              </w:rPr>
              <w:t>weather</w:t>
            </w:r>
            <w:r w:rsidRPr="00321CE8">
              <w:rPr>
                <w:rFonts w:ascii="Arial" w:hAnsi="Arial" w:cs="Arial"/>
                <w:spacing w:val="-2"/>
              </w:rPr>
              <w:t xml:space="preserve"> </w:t>
            </w:r>
            <w:r w:rsidRPr="00321CE8">
              <w:rPr>
                <w:rFonts w:ascii="Arial" w:hAnsi="Arial" w:cs="Arial"/>
              </w:rPr>
              <w:t>briefing,</w:t>
            </w:r>
            <w:r w:rsidRPr="00321CE8">
              <w:rPr>
                <w:rFonts w:ascii="Arial" w:hAnsi="Arial" w:cs="Arial"/>
                <w:spacing w:val="-2"/>
              </w:rPr>
              <w:t xml:space="preserve"> </w:t>
            </w:r>
            <w:r w:rsidRPr="00321CE8">
              <w:rPr>
                <w:rFonts w:ascii="Arial" w:hAnsi="Arial" w:cs="Arial"/>
              </w:rPr>
              <w:t>knowledge</w:t>
            </w:r>
            <w:r w:rsidRPr="00321CE8">
              <w:rPr>
                <w:rFonts w:ascii="Arial" w:hAnsi="Arial" w:cs="Arial"/>
                <w:spacing w:val="-4"/>
              </w:rPr>
              <w:t xml:space="preserve"> </w:t>
            </w:r>
            <w:r w:rsidRPr="00321CE8">
              <w:rPr>
                <w:rFonts w:ascii="Arial" w:hAnsi="Arial" w:cs="Arial"/>
              </w:rPr>
              <w:t>of</w:t>
            </w:r>
            <w:r w:rsidRPr="00321CE8">
              <w:rPr>
                <w:rFonts w:ascii="Arial" w:hAnsi="Arial" w:cs="Arial"/>
                <w:spacing w:val="-5"/>
              </w:rPr>
              <w:t xml:space="preserve"> </w:t>
            </w:r>
            <w:r w:rsidRPr="00321CE8">
              <w:rPr>
                <w:rFonts w:ascii="Arial" w:hAnsi="Arial" w:cs="Arial"/>
              </w:rPr>
              <w:t>Part-BOP</w:t>
            </w:r>
          </w:p>
        </w:tc>
      </w:tr>
      <w:tr w:rsidR="00321CE8" w:rsidRPr="00321CE8" w14:paraId="5125104D" w14:textId="77777777" w:rsidTr="00AC3011">
        <w:trPr>
          <w:trHeight w:val="202"/>
        </w:trPr>
        <w:tc>
          <w:tcPr>
            <w:tcW w:w="597" w:type="dxa"/>
            <w:gridSpan w:val="2"/>
          </w:tcPr>
          <w:p w14:paraId="16F30551" w14:textId="77777777" w:rsidR="00321CE8" w:rsidRPr="00321CE8" w:rsidRDefault="00321CE8" w:rsidP="00FF5E02">
            <w:pPr>
              <w:pStyle w:val="TableParagraph"/>
              <w:spacing w:line="225" w:lineRule="exact"/>
              <w:ind w:left="86"/>
              <w:jc w:val="both"/>
              <w:rPr>
                <w:rFonts w:ascii="Arial" w:hAnsi="Arial" w:cs="Arial"/>
              </w:rPr>
            </w:pPr>
            <w:r w:rsidRPr="00321CE8">
              <w:rPr>
                <w:rFonts w:ascii="Arial" w:hAnsi="Arial" w:cs="Arial"/>
                <w:w w:val="99"/>
              </w:rPr>
              <w:t>b</w:t>
            </w:r>
          </w:p>
        </w:tc>
        <w:tc>
          <w:tcPr>
            <w:tcW w:w="8133" w:type="dxa"/>
          </w:tcPr>
          <w:p w14:paraId="041FC068" w14:textId="77777777" w:rsidR="00321CE8" w:rsidRPr="00321CE8" w:rsidRDefault="00321CE8" w:rsidP="00FF5E02">
            <w:pPr>
              <w:pStyle w:val="TableParagraph"/>
              <w:spacing w:line="225" w:lineRule="exact"/>
              <w:jc w:val="both"/>
              <w:rPr>
                <w:rFonts w:ascii="Arial" w:hAnsi="Arial" w:cs="Arial"/>
              </w:rPr>
            </w:pPr>
            <w:r w:rsidRPr="00321CE8">
              <w:rPr>
                <w:rFonts w:ascii="Arial" w:hAnsi="Arial" w:cs="Arial"/>
              </w:rPr>
              <w:t>Balloon</w:t>
            </w:r>
            <w:r w:rsidRPr="00321CE8">
              <w:rPr>
                <w:rFonts w:ascii="Arial" w:hAnsi="Arial" w:cs="Arial"/>
                <w:spacing w:val="-4"/>
              </w:rPr>
              <w:t xml:space="preserve"> </w:t>
            </w:r>
            <w:r w:rsidRPr="00321CE8">
              <w:rPr>
                <w:rFonts w:ascii="Arial" w:hAnsi="Arial" w:cs="Arial"/>
              </w:rPr>
              <w:t>inspection</w:t>
            </w:r>
            <w:r w:rsidRPr="00321CE8">
              <w:rPr>
                <w:rFonts w:ascii="Arial" w:hAnsi="Arial" w:cs="Arial"/>
                <w:spacing w:val="-3"/>
              </w:rPr>
              <w:t xml:space="preserve"> </w:t>
            </w:r>
            <w:r w:rsidRPr="00321CE8">
              <w:rPr>
                <w:rFonts w:ascii="Arial" w:hAnsi="Arial" w:cs="Arial"/>
              </w:rPr>
              <w:t>and</w:t>
            </w:r>
            <w:r w:rsidRPr="00321CE8">
              <w:rPr>
                <w:rFonts w:ascii="Arial" w:hAnsi="Arial" w:cs="Arial"/>
                <w:spacing w:val="-4"/>
              </w:rPr>
              <w:t xml:space="preserve"> </w:t>
            </w:r>
            <w:r w:rsidRPr="00321CE8">
              <w:rPr>
                <w:rFonts w:ascii="Arial" w:hAnsi="Arial" w:cs="Arial"/>
              </w:rPr>
              <w:t>servicing,</w:t>
            </w:r>
            <w:r w:rsidRPr="00321CE8">
              <w:rPr>
                <w:rFonts w:ascii="Arial" w:hAnsi="Arial" w:cs="Arial"/>
                <w:spacing w:val="-3"/>
              </w:rPr>
              <w:t xml:space="preserve"> </w:t>
            </w:r>
            <w:r w:rsidRPr="00321CE8">
              <w:rPr>
                <w:rFonts w:ascii="Arial" w:hAnsi="Arial" w:cs="Arial"/>
              </w:rPr>
              <w:t>minimum</w:t>
            </w:r>
            <w:r w:rsidRPr="00321CE8">
              <w:rPr>
                <w:rFonts w:ascii="Arial" w:hAnsi="Arial" w:cs="Arial"/>
                <w:spacing w:val="-3"/>
              </w:rPr>
              <w:t xml:space="preserve"> </w:t>
            </w:r>
            <w:r w:rsidRPr="00321CE8">
              <w:rPr>
                <w:rFonts w:ascii="Arial" w:hAnsi="Arial" w:cs="Arial"/>
              </w:rPr>
              <w:t>equipment</w:t>
            </w:r>
            <w:r w:rsidRPr="00321CE8">
              <w:rPr>
                <w:rFonts w:ascii="Arial" w:hAnsi="Arial" w:cs="Arial"/>
                <w:spacing w:val="-3"/>
              </w:rPr>
              <w:t xml:space="preserve"> </w:t>
            </w:r>
            <w:r w:rsidRPr="00321CE8">
              <w:rPr>
                <w:rFonts w:ascii="Arial" w:hAnsi="Arial" w:cs="Arial"/>
              </w:rPr>
              <w:t>list</w:t>
            </w:r>
            <w:r w:rsidRPr="00321CE8">
              <w:rPr>
                <w:rFonts w:ascii="Arial" w:hAnsi="Arial" w:cs="Arial"/>
                <w:spacing w:val="-4"/>
              </w:rPr>
              <w:t xml:space="preserve"> </w:t>
            </w:r>
            <w:r w:rsidRPr="00321CE8">
              <w:rPr>
                <w:rFonts w:ascii="Arial" w:hAnsi="Arial" w:cs="Arial"/>
              </w:rPr>
              <w:t>(MEL)</w:t>
            </w:r>
          </w:p>
        </w:tc>
      </w:tr>
      <w:tr w:rsidR="00321CE8" w:rsidRPr="00321CE8" w14:paraId="4A8D6CF3" w14:textId="77777777" w:rsidTr="00AC3011">
        <w:trPr>
          <w:trHeight w:val="200"/>
        </w:trPr>
        <w:tc>
          <w:tcPr>
            <w:tcW w:w="597" w:type="dxa"/>
            <w:gridSpan w:val="2"/>
          </w:tcPr>
          <w:p w14:paraId="15EF2E7F" w14:textId="77777777" w:rsidR="00321CE8" w:rsidRPr="00321CE8" w:rsidRDefault="00321CE8" w:rsidP="00FF5E02">
            <w:pPr>
              <w:pStyle w:val="TableParagraph"/>
              <w:spacing w:line="223" w:lineRule="exact"/>
              <w:ind w:left="86"/>
              <w:jc w:val="both"/>
              <w:rPr>
                <w:rFonts w:ascii="Arial" w:hAnsi="Arial" w:cs="Arial"/>
              </w:rPr>
            </w:pPr>
            <w:r w:rsidRPr="00321CE8">
              <w:rPr>
                <w:rFonts w:ascii="Arial" w:hAnsi="Arial" w:cs="Arial"/>
                <w:w w:val="99"/>
              </w:rPr>
              <w:t>c</w:t>
            </w:r>
          </w:p>
        </w:tc>
        <w:tc>
          <w:tcPr>
            <w:tcW w:w="8133" w:type="dxa"/>
          </w:tcPr>
          <w:p w14:paraId="13D76D6B" w14:textId="77777777" w:rsidR="00321CE8" w:rsidRPr="00321CE8" w:rsidRDefault="00321CE8" w:rsidP="00FF5E02">
            <w:pPr>
              <w:pStyle w:val="TableParagraph"/>
              <w:spacing w:line="223" w:lineRule="exact"/>
              <w:jc w:val="both"/>
              <w:rPr>
                <w:rFonts w:ascii="Arial" w:hAnsi="Arial" w:cs="Arial"/>
              </w:rPr>
            </w:pPr>
            <w:r w:rsidRPr="00321CE8">
              <w:rPr>
                <w:rFonts w:ascii="Arial" w:hAnsi="Arial" w:cs="Arial"/>
              </w:rPr>
              <w:t>Suitability</w:t>
            </w:r>
            <w:r w:rsidRPr="00321CE8">
              <w:rPr>
                <w:rFonts w:ascii="Arial" w:hAnsi="Arial" w:cs="Arial"/>
                <w:spacing w:val="-2"/>
              </w:rPr>
              <w:t xml:space="preserve"> </w:t>
            </w:r>
            <w:r w:rsidRPr="00321CE8">
              <w:rPr>
                <w:rFonts w:ascii="Arial" w:hAnsi="Arial" w:cs="Arial"/>
              </w:rPr>
              <w:t>of</w:t>
            </w:r>
            <w:r w:rsidRPr="00321CE8">
              <w:rPr>
                <w:rFonts w:ascii="Arial" w:hAnsi="Arial" w:cs="Arial"/>
                <w:spacing w:val="-4"/>
              </w:rPr>
              <w:t xml:space="preserve"> </w:t>
            </w:r>
            <w:r w:rsidRPr="00321CE8">
              <w:rPr>
                <w:rFonts w:ascii="Arial" w:hAnsi="Arial" w:cs="Arial"/>
              </w:rPr>
              <w:t>launch</w:t>
            </w:r>
            <w:r w:rsidRPr="00321CE8">
              <w:rPr>
                <w:rFonts w:ascii="Arial" w:hAnsi="Arial" w:cs="Arial"/>
                <w:spacing w:val="-3"/>
              </w:rPr>
              <w:t xml:space="preserve"> </w:t>
            </w:r>
            <w:r w:rsidRPr="00321CE8">
              <w:rPr>
                <w:rFonts w:ascii="Arial" w:hAnsi="Arial" w:cs="Arial"/>
              </w:rPr>
              <w:t>site</w:t>
            </w:r>
          </w:p>
        </w:tc>
      </w:tr>
      <w:tr w:rsidR="00321CE8" w:rsidRPr="00321CE8" w14:paraId="48DF1E36" w14:textId="77777777" w:rsidTr="00AC3011">
        <w:trPr>
          <w:trHeight w:val="202"/>
        </w:trPr>
        <w:tc>
          <w:tcPr>
            <w:tcW w:w="597" w:type="dxa"/>
            <w:gridSpan w:val="2"/>
          </w:tcPr>
          <w:p w14:paraId="2E998045" w14:textId="77777777" w:rsidR="00321CE8" w:rsidRPr="00321CE8" w:rsidRDefault="00321CE8" w:rsidP="00FF5E02">
            <w:pPr>
              <w:pStyle w:val="TableParagraph"/>
              <w:spacing w:line="225" w:lineRule="exact"/>
              <w:ind w:left="86"/>
              <w:jc w:val="both"/>
              <w:rPr>
                <w:rFonts w:ascii="Arial" w:hAnsi="Arial" w:cs="Arial"/>
              </w:rPr>
            </w:pPr>
            <w:r w:rsidRPr="00321CE8">
              <w:rPr>
                <w:rFonts w:ascii="Arial" w:hAnsi="Arial" w:cs="Arial"/>
                <w:w w:val="99"/>
              </w:rPr>
              <w:t>d</w:t>
            </w:r>
          </w:p>
        </w:tc>
        <w:tc>
          <w:tcPr>
            <w:tcW w:w="8133" w:type="dxa"/>
          </w:tcPr>
          <w:p w14:paraId="51DA9050" w14:textId="77777777" w:rsidR="00321CE8" w:rsidRPr="00321CE8" w:rsidRDefault="00321CE8" w:rsidP="00FF5E02">
            <w:pPr>
              <w:pStyle w:val="TableParagraph"/>
              <w:spacing w:line="225" w:lineRule="exact"/>
              <w:jc w:val="both"/>
              <w:rPr>
                <w:rFonts w:ascii="Arial" w:hAnsi="Arial" w:cs="Arial"/>
              </w:rPr>
            </w:pPr>
            <w:r w:rsidRPr="00321CE8">
              <w:rPr>
                <w:rFonts w:ascii="Arial" w:hAnsi="Arial" w:cs="Arial"/>
              </w:rPr>
              <w:t>Load</w:t>
            </w:r>
            <w:r w:rsidRPr="00321CE8">
              <w:rPr>
                <w:rFonts w:ascii="Arial" w:hAnsi="Arial" w:cs="Arial"/>
                <w:spacing w:val="-2"/>
              </w:rPr>
              <w:t xml:space="preserve"> </w:t>
            </w:r>
            <w:r w:rsidRPr="00321CE8">
              <w:rPr>
                <w:rFonts w:ascii="Arial" w:hAnsi="Arial" w:cs="Arial"/>
              </w:rPr>
              <w:t>calculation</w:t>
            </w:r>
          </w:p>
        </w:tc>
      </w:tr>
      <w:tr w:rsidR="00321CE8" w:rsidRPr="00321CE8" w14:paraId="7EBE1E96" w14:textId="77777777" w:rsidTr="00AC3011">
        <w:trPr>
          <w:trHeight w:val="200"/>
        </w:trPr>
        <w:tc>
          <w:tcPr>
            <w:tcW w:w="597" w:type="dxa"/>
            <w:gridSpan w:val="2"/>
          </w:tcPr>
          <w:p w14:paraId="3296CC98" w14:textId="77777777" w:rsidR="00321CE8" w:rsidRPr="00321CE8" w:rsidRDefault="00321CE8" w:rsidP="00FF5E02">
            <w:pPr>
              <w:pStyle w:val="TableParagraph"/>
              <w:spacing w:line="223" w:lineRule="exact"/>
              <w:ind w:left="86"/>
              <w:jc w:val="both"/>
              <w:rPr>
                <w:rFonts w:ascii="Arial" w:hAnsi="Arial" w:cs="Arial"/>
              </w:rPr>
            </w:pPr>
            <w:r w:rsidRPr="00321CE8">
              <w:rPr>
                <w:rFonts w:ascii="Arial" w:hAnsi="Arial" w:cs="Arial"/>
                <w:w w:val="99"/>
              </w:rPr>
              <w:t>e</w:t>
            </w:r>
          </w:p>
        </w:tc>
        <w:tc>
          <w:tcPr>
            <w:tcW w:w="8133" w:type="dxa"/>
          </w:tcPr>
          <w:p w14:paraId="5E33A7ED" w14:textId="77777777" w:rsidR="00321CE8" w:rsidRPr="00321CE8" w:rsidRDefault="00321CE8" w:rsidP="00FF5E02">
            <w:pPr>
              <w:pStyle w:val="TableParagraph"/>
              <w:spacing w:line="223" w:lineRule="exact"/>
              <w:jc w:val="both"/>
              <w:rPr>
                <w:rFonts w:ascii="Arial" w:hAnsi="Arial" w:cs="Arial"/>
              </w:rPr>
            </w:pPr>
            <w:r w:rsidRPr="00321CE8">
              <w:rPr>
                <w:rFonts w:ascii="Arial" w:hAnsi="Arial" w:cs="Arial"/>
              </w:rPr>
              <w:t>Crowd</w:t>
            </w:r>
            <w:r w:rsidRPr="00321CE8">
              <w:rPr>
                <w:rFonts w:ascii="Arial" w:hAnsi="Arial" w:cs="Arial"/>
                <w:spacing w:val="-3"/>
              </w:rPr>
              <w:t xml:space="preserve"> </w:t>
            </w:r>
            <w:r w:rsidRPr="00321CE8">
              <w:rPr>
                <w:rFonts w:ascii="Arial" w:hAnsi="Arial" w:cs="Arial"/>
              </w:rPr>
              <w:t>control,</w:t>
            </w:r>
            <w:r w:rsidRPr="00321CE8">
              <w:rPr>
                <w:rFonts w:ascii="Arial" w:hAnsi="Arial" w:cs="Arial"/>
                <w:spacing w:val="-2"/>
              </w:rPr>
              <w:t xml:space="preserve"> </w:t>
            </w:r>
            <w:r w:rsidRPr="00321CE8">
              <w:rPr>
                <w:rFonts w:ascii="Arial" w:hAnsi="Arial" w:cs="Arial"/>
              </w:rPr>
              <w:t>crew</w:t>
            </w:r>
            <w:r w:rsidRPr="00321CE8">
              <w:rPr>
                <w:rFonts w:ascii="Arial" w:hAnsi="Arial" w:cs="Arial"/>
                <w:spacing w:val="-3"/>
              </w:rPr>
              <w:t xml:space="preserve"> </w:t>
            </w:r>
            <w:r w:rsidRPr="00321CE8">
              <w:rPr>
                <w:rFonts w:ascii="Arial" w:hAnsi="Arial" w:cs="Arial"/>
              </w:rPr>
              <w:t>and</w:t>
            </w:r>
            <w:r w:rsidRPr="00321CE8">
              <w:rPr>
                <w:rFonts w:ascii="Arial" w:hAnsi="Arial" w:cs="Arial"/>
                <w:spacing w:val="-2"/>
              </w:rPr>
              <w:t xml:space="preserve"> </w:t>
            </w:r>
            <w:r w:rsidRPr="00321CE8">
              <w:rPr>
                <w:rFonts w:ascii="Arial" w:hAnsi="Arial" w:cs="Arial"/>
              </w:rPr>
              <w:t>passenger</w:t>
            </w:r>
            <w:r w:rsidRPr="00321CE8">
              <w:rPr>
                <w:rFonts w:ascii="Arial" w:hAnsi="Arial" w:cs="Arial"/>
                <w:spacing w:val="-2"/>
              </w:rPr>
              <w:t xml:space="preserve"> </w:t>
            </w:r>
            <w:r w:rsidRPr="00321CE8">
              <w:rPr>
                <w:rFonts w:ascii="Arial" w:hAnsi="Arial" w:cs="Arial"/>
              </w:rPr>
              <w:t>briefings</w:t>
            </w:r>
          </w:p>
        </w:tc>
      </w:tr>
      <w:tr w:rsidR="00321CE8" w:rsidRPr="00321CE8" w14:paraId="1DD852C3" w14:textId="77777777" w:rsidTr="00AC3011">
        <w:trPr>
          <w:trHeight w:val="200"/>
        </w:trPr>
        <w:tc>
          <w:tcPr>
            <w:tcW w:w="597" w:type="dxa"/>
            <w:gridSpan w:val="2"/>
          </w:tcPr>
          <w:p w14:paraId="5EA86B7C" w14:textId="77777777" w:rsidR="00321CE8" w:rsidRPr="00321CE8" w:rsidRDefault="00321CE8" w:rsidP="00FF5E02">
            <w:pPr>
              <w:pStyle w:val="TableParagraph"/>
              <w:spacing w:before="1" w:line="222" w:lineRule="exact"/>
              <w:ind w:left="86"/>
              <w:jc w:val="both"/>
              <w:rPr>
                <w:rFonts w:ascii="Arial" w:hAnsi="Arial" w:cs="Arial"/>
              </w:rPr>
            </w:pPr>
            <w:r w:rsidRPr="00321CE8">
              <w:rPr>
                <w:rFonts w:ascii="Arial" w:hAnsi="Arial" w:cs="Arial"/>
                <w:w w:val="99"/>
              </w:rPr>
              <w:t>f</w:t>
            </w:r>
          </w:p>
        </w:tc>
        <w:tc>
          <w:tcPr>
            <w:tcW w:w="8133" w:type="dxa"/>
          </w:tcPr>
          <w:p w14:paraId="7E304BC9" w14:textId="77777777" w:rsidR="00321CE8" w:rsidRPr="00321CE8" w:rsidRDefault="00321CE8" w:rsidP="00FF5E02">
            <w:pPr>
              <w:pStyle w:val="TableParagraph"/>
              <w:spacing w:before="1" w:line="222" w:lineRule="exact"/>
              <w:jc w:val="both"/>
              <w:rPr>
                <w:rFonts w:ascii="Arial" w:hAnsi="Arial" w:cs="Arial"/>
              </w:rPr>
            </w:pPr>
            <w:r w:rsidRPr="00321CE8">
              <w:rPr>
                <w:rFonts w:ascii="Arial" w:hAnsi="Arial" w:cs="Arial"/>
              </w:rPr>
              <w:t>Assembly</w:t>
            </w:r>
            <w:r w:rsidRPr="00321CE8">
              <w:rPr>
                <w:rFonts w:ascii="Arial" w:hAnsi="Arial" w:cs="Arial"/>
                <w:spacing w:val="-3"/>
              </w:rPr>
              <w:t xml:space="preserve"> </w:t>
            </w:r>
            <w:r w:rsidRPr="00321CE8">
              <w:rPr>
                <w:rFonts w:ascii="Arial" w:hAnsi="Arial" w:cs="Arial"/>
              </w:rPr>
              <w:t>and</w:t>
            </w:r>
            <w:r w:rsidRPr="00321CE8">
              <w:rPr>
                <w:rFonts w:ascii="Arial" w:hAnsi="Arial" w:cs="Arial"/>
                <w:spacing w:val="-2"/>
              </w:rPr>
              <w:t xml:space="preserve"> </w:t>
            </w:r>
            <w:r w:rsidRPr="00321CE8">
              <w:rPr>
                <w:rFonts w:ascii="Arial" w:hAnsi="Arial" w:cs="Arial"/>
              </w:rPr>
              <w:t>layout</w:t>
            </w:r>
          </w:p>
        </w:tc>
      </w:tr>
      <w:tr w:rsidR="00321CE8" w:rsidRPr="00321CE8" w14:paraId="2DEF7F79" w14:textId="77777777" w:rsidTr="00AC3011">
        <w:trPr>
          <w:trHeight w:val="202"/>
        </w:trPr>
        <w:tc>
          <w:tcPr>
            <w:tcW w:w="597" w:type="dxa"/>
            <w:gridSpan w:val="2"/>
          </w:tcPr>
          <w:p w14:paraId="0EEBB652" w14:textId="77777777" w:rsidR="00321CE8" w:rsidRPr="00321CE8" w:rsidRDefault="00321CE8" w:rsidP="00FF5E02">
            <w:pPr>
              <w:pStyle w:val="TableParagraph"/>
              <w:spacing w:line="225" w:lineRule="exact"/>
              <w:ind w:left="86"/>
              <w:jc w:val="both"/>
              <w:rPr>
                <w:rFonts w:ascii="Arial" w:hAnsi="Arial" w:cs="Arial"/>
              </w:rPr>
            </w:pPr>
            <w:r w:rsidRPr="00321CE8">
              <w:rPr>
                <w:rFonts w:ascii="Arial" w:hAnsi="Arial" w:cs="Arial"/>
                <w:w w:val="99"/>
              </w:rPr>
              <w:t>g</w:t>
            </w:r>
          </w:p>
        </w:tc>
        <w:tc>
          <w:tcPr>
            <w:tcW w:w="8133" w:type="dxa"/>
          </w:tcPr>
          <w:p w14:paraId="03BE131A" w14:textId="77777777" w:rsidR="00321CE8" w:rsidRPr="00321CE8" w:rsidRDefault="00321CE8" w:rsidP="00FF5E02">
            <w:pPr>
              <w:pStyle w:val="TableParagraph"/>
              <w:spacing w:line="225" w:lineRule="exact"/>
              <w:jc w:val="both"/>
              <w:rPr>
                <w:rFonts w:ascii="Arial" w:hAnsi="Arial" w:cs="Arial"/>
              </w:rPr>
            </w:pPr>
            <w:r w:rsidRPr="00321CE8">
              <w:rPr>
                <w:rFonts w:ascii="Arial" w:hAnsi="Arial" w:cs="Arial"/>
              </w:rPr>
              <w:t>Inflation</w:t>
            </w:r>
            <w:r w:rsidRPr="00321CE8">
              <w:rPr>
                <w:rFonts w:ascii="Arial" w:hAnsi="Arial" w:cs="Arial"/>
                <w:spacing w:val="-2"/>
              </w:rPr>
              <w:t xml:space="preserve"> </w:t>
            </w:r>
            <w:r w:rsidRPr="00321CE8">
              <w:rPr>
                <w:rFonts w:ascii="Arial" w:hAnsi="Arial" w:cs="Arial"/>
              </w:rPr>
              <w:t>and</w:t>
            </w:r>
            <w:r w:rsidRPr="00321CE8">
              <w:rPr>
                <w:rFonts w:ascii="Arial" w:hAnsi="Arial" w:cs="Arial"/>
                <w:spacing w:val="-3"/>
              </w:rPr>
              <w:t xml:space="preserve"> </w:t>
            </w:r>
            <w:r w:rsidRPr="00321CE8">
              <w:rPr>
                <w:rFonts w:ascii="Arial" w:hAnsi="Arial" w:cs="Arial"/>
              </w:rPr>
              <w:t>pre-take-off</w:t>
            </w:r>
            <w:r w:rsidRPr="00321CE8">
              <w:rPr>
                <w:rFonts w:ascii="Arial" w:hAnsi="Arial" w:cs="Arial"/>
                <w:spacing w:val="-5"/>
              </w:rPr>
              <w:t xml:space="preserve"> </w:t>
            </w:r>
            <w:r w:rsidRPr="00321CE8">
              <w:rPr>
                <w:rFonts w:ascii="Arial" w:hAnsi="Arial" w:cs="Arial"/>
              </w:rPr>
              <w:t>procedures</w:t>
            </w:r>
            <w:r w:rsidRPr="00321CE8">
              <w:rPr>
                <w:rFonts w:ascii="Arial" w:hAnsi="Arial" w:cs="Arial"/>
                <w:spacing w:val="-4"/>
              </w:rPr>
              <w:t xml:space="preserve"> </w:t>
            </w:r>
            <w:r w:rsidRPr="00321CE8">
              <w:rPr>
                <w:rFonts w:ascii="Arial" w:hAnsi="Arial" w:cs="Arial"/>
              </w:rPr>
              <w:t>including</w:t>
            </w:r>
            <w:r w:rsidRPr="00321CE8">
              <w:rPr>
                <w:rFonts w:ascii="Arial" w:hAnsi="Arial" w:cs="Arial"/>
                <w:spacing w:val="-4"/>
              </w:rPr>
              <w:t xml:space="preserve"> </w:t>
            </w:r>
            <w:r w:rsidRPr="00321CE8">
              <w:rPr>
                <w:rFonts w:ascii="Arial" w:hAnsi="Arial" w:cs="Arial"/>
              </w:rPr>
              <w:t>passenger</w:t>
            </w:r>
            <w:r w:rsidRPr="00321CE8">
              <w:rPr>
                <w:rFonts w:ascii="Arial" w:hAnsi="Arial" w:cs="Arial"/>
                <w:spacing w:val="-3"/>
              </w:rPr>
              <w:t xml:space="preserve"> </w:t>
            </w:r>
            <w:r w:rsidRPr="00321CE8">
              <w:rPr>
                <w:rFonts w:ascii="Arial" w:hAnsi="Arial" w:cs="Arial"/>
              </w:rPr>
              <w:t>involvement</w:t>
            </w:r>
            <w:r w:rsidRPr="00321CE8">
              <w:rPr>
                <w:rFonts w:ascii="Arial" w:hAnsi="Arial" w:cs="Arial"/>
                <w:spacing w:val="-2"/>
              </w:rPr>
              <w:t xml:space="preserve"> </w:t>
            </w:r>
            <w:r w:rsidRPr="00321CE8">
              <w:rPr>
                <w:rFonts w:ascii="Arial" w:hAnsi="Arial" w:cs="Arial"/>
              </w:rPr>
              <w:t>and</w:t>
            </w:r>
            <w:r w:rsidRPr="00321CE8">
              <w:rPr>
                <w:rFonts w:ascii="Arial" w:hAnsi="Arial" w:cs="Arial"/>
                <w:spacing w:val="-3"/>
              </w:rPr>
              <w:t xml:space="preserve"> </w:t>
            </w:r>
            <w:r w:rsidRPr="00321CE8">
              <w:rPr>
                <w:rFonts w:ascii="Arial" w:hAnsi="Arial" w:cs="Arial"/>
              </w:rPr>
              <w:t>briefing</w:t>
            </w:r>
          </w:p>
        </w:tc>
      </w:tr>
      <w:tr w:rsidR="00321CE8" w:rsidRPr="00321CE8" w14:paraId="438539FE" w14:textId="77777777" w:rsidTr="00AC3011">
        <w:trPr>
          <w:trHeight w:val="199"/>
        </w:trPr>
        <w:tc>
          <w:tcPr>
            <w:tcW w:w="597" w:type="dxa"/>
            <w:gridSpan w:val="2"/>
          </w:tcPr>
          <w:p w14:paraId="57FA132E" w14:textId="77777777" w:rsidR="00321CE8" w:rsidRPr="00321CE8" w:rsidRDefault="00321CE8" w:rsidP="00FF5E02">
            <w:pPr>
              <w:pStyle w:val="TableParagraph"/>
              <w:spacing w:line="222" w:lineRule="exact"/>
              <w:ind w:left="86"/>
              <w:jc w:val="both"/>
              <w:rPr>
                <w:rFonts w:ascii="Arial" w:hAnsi="Arial" w:cs="Arial"/>
              </w:rPr>
            </w:pPr>
            <w:r w:rsidRPr="00321CE8">
              <w:rPr>
                <w:rFonts w:ascii="Arial" w:hAnsi="Arial" w:cs="Arial"/>
                <w:w w:val="99"/>
              </w:rPr>
              <w:t>h</w:t>
            </w:r>
          </w:p>
        </w:tc>
        <w:tc>
          <w:tcPr>
            <w:tcW w:w="8133" w:type="dxa"/>
          </w:tcPr>
          <w:p w14:paraId="2FBEBDD4" w14:textId="77777777" w:rsidR="00321CE8" w:rsidRPr="00321CE8" w:rsidRDefault="00321CE8" w:rsidP="00FF5E02">
            <w:pPr>
              <w:pStyle w:val="TableParagraph"/>
              <w:spacing w:line="222" w:lineRule="exact"/>
              <w:jc w:val="both"/>
              <w:rPr>
                <w:rFonts w:ascii="Arial" w:hAnsi="Arial" w:cs="Arial"/>
              </w:rPr>
            </w:pPr>
            <w:r w:rsidRPr="00321CE8">
              <w:rPr>
                <w:rFonts w:ascii="Arial" w:hAnsi="Arial" w:cs="Arial"/>
              </w:rPr>
              <w:t>Take-off</w:t>
            </w:r>
          </w:p>
        </w:tc>
      </w:tr>
      <w:tr w:rsidR="00321CE8" w:rsidRPr="00321CE8" w14:paraId="6345C55D" w14:textId="77777777" w:rsidTr="00AC3011">
        <w:trPr>
          <w:trHeight w:val="447"/>
        </w:trPr>
        <w:tc>
          <w:tcPr>
            <w:tcW w:w="597" w:type="dxa"/>
            <w:gridSpan w:val="2"/>
          </w:tcPr>
          <w:p w14:paraId="690EA627" w14:textId="77777777" w:rsidR="00321CE8" w:rsidRPr="00321CE8" w:rsidRDefault="00321CE8" w:rsidP="00FF5E02">
            <w:pPr>
              <w:pStyle w:val="TableParagraph"/>
              <w:ind w:left="86"/>
              <w:jc w:val="both"/>
              <w:rPr>
                <w:rFonts w:ascii="Arial" w:hAnsi="Arial" w:cs="Arial"/>
              </w:rPr>
            </w:pPr>
            <w:r w:rsidRPr="00321CE8">
              <w:rPr>
                <w:rFonts w:ascii="Arial" w:hAnsi="Arial" w:cs="Arial"/>
                <w:w w:val="99"/>
              </w:rPr>
              <w:t>i</w:t>
            </w:r>
          </w:p>
        </w:tc>
        <w:tc>
          <w:tcPr>
            <w:tcW w:w="8133" w:type="dxa"/>
          </w:tcPr>
          <w:p w14:paraId="7209210C" w14:textId="25C3170F" w:rsidR="00321CE8" w:rsidRPr="00321CE8" w:rsidRDefault="00321CE8" w:rsidP="00FF5E02">
            <w:pPr>
              <w:pStyle w:val="TableParagraph"/>
              <w:spacing w:line="240" w:lineRule="atLeast"/>
              <w:jc w:val="both"/>
              <w:rPr>
                <w:rFonts w:ascii="Arial" w:hAnsi="Arial" w:cs="Arial"/>
              </w:rPr>
            </w:pPr>
            <w:r w:rsidRPr="00321CE8">
              <w:rPr>
                <w:rFonts w:ascii="Arial" w:hAnsi="Arial" w:cs="Arial"/>
              </w:rPr>
              <w:t>ATC compliance (if applicable), operation of radio and/or transponder (including</w:t>
            </w:r>
            <w:r w:rsidR="004F6505">
              <w:rPr>
                <w:rFonts w:ascii="Arial" w:hAnsi="Arial" w:cs="Arial"/>
                <w:spacing w:val="-43"/>
              </w:rPr>
              <w:t xml:space="preserve"> </w:t>
            </w:r>
            <w:r w:rsidRPr="00321CE8">
              <w:rPr>
                <w:rFonts w:ascii="Arial" w:hAnsi="Arial" w:cs="Arial"/>
              </w:rPr>
              <w:t>emergency</w:t>
            </w:r>
            <w:r w:rsidRPr="00321CE8">
              <w:rPr>
                <w:rFonts w:ascii="Arial" w:hAnsi="Arial" w:cs="Arial"/>
                <w:spacing w:val="-1"/>
              </w:rPr>
              <w:t xml:space="preserve"> </w:t>
            </w:r>
            <w:r w:rsidRPr="00321CE8">
              <w:rPr>
                <w:rFonts w:ascii="Arial" w:hAnsi="Arial" w:cs="Arial"/>
              </w:rPr>
              <w:t>procedures)</w:t>
            </w:r>
          </w:p>
        </w:tc>
      </w:tr>
      <w:tr w:rsidR="00321CE8" w:rsidRPr="00321CE8" w14:paraId="607AD4EE" w14:textId="77777777" w:rsidTr="009D3A59">
        <w:trPr>
          <w:trHeight w:val="200"/>
        </w:trPr>
        <w:tc>
          <w:tcPr>
            <w:tcW w:w="8730" w:type="dxa"/>
            <w:gridSpan w:val="3"/>
            <w:shd w:val="clear" w:color="auto" w:fill="F2F2F2" w:themeFill="background1" w:themeFillShade="F2"/>
          </w:tcPr>
          <w:p w14:paraId="06B1724E" w14:textId="77777777" w:rsidR="00321CE8" w:rsidRPr="00321CE8" w:rsidRDefault="00321CE8" w:rsidP="00FF5E02">
            <w:pPr>
              <w:pStyle w:val="TableParagraph"/>
              <w:spacing w:line="223" w:lineRule="exact"/>
              <w:ind w:left="86"/>
              <w:jc w:val="both"/>
              <w:rPr>
                <w:rFonts w:ascii="Arial" w:hAnsi="Arial" w:cs="Arial"/>
                <w:b/>
              </w:rPr>
            </w:pPr>
            <w:r w:rsidRPr="00321CE8">
              <w:rPr>
                <w:rFonts w:ascii="Arial" w:hAnsi="Arial" w:cs="Arial"/>
                <w:b/>
              </w:rPr>
              <w:t>SECTION</w:t>
            </w:r>
            <w:r w:rsidRPr="00321CE8">
              <w:rPr>
                <w:rFonts w:ascii="Arial" w:hAnsi="Arial" w:cs="Arial"/>
                <w:b/>
                <w:spacing w:val="-3"/>
              </w:rPr>
              <w:t xml:space="preserve"> </w:t>
            </w:r>
            <w:r w:rsidRPr="00321CE8">
              <w:rPr>
                <w:rFonts w:ascii="Arial" w:hAnsi="Arial" w:cs="Arial"/>
                <w:b/>
              </w:rPr>
              <w:t>2:</w:t>
            </w:r>
            <w:r w:rsidRPr="00321CE8">
              <w:rPr>
                <w:rFonts w:ascii="Arial" w:hAnsi="Arial" w:cs="Arial"/>
                <w:b/>
                <w:spacing w:val="-3"/>
              </w:rPr>
              <w:t xml:space="preserve"> </w:t>
            </w:r>
            <w:r w:rsidRPr="00321CE8">
              <w:rPr>
                <w:rFonts w:ascii="Arial" w:hAnsi="Arial" w:cs="Arial"/>
                <w:b/>
              </w:rPr>
              <w:t>GENERAL</w:t>
            </w:r>
            <w:r w:rsidRPr="00321CE8">
              <w:rPr>
                <w:rFonts w:ascii="Arial" w:hAnsi="Arial" w:cs="Arial"/>
                <w:b/>
                <w:spacing w:val="-3"/>
              </w:rPr>
              <w:t xml:space="preserve"> </w:t>
            </w:r>
            <w:r w:rsidRPr="00321CE8">
              <w:rPr>
                <w:rFonts w:ascii="Arial" w:hAnsi="Arial" w:cs="Arial"/>
                <w:b/>
              </w:rPr>
              <w:t>AIRWORK</w:t>
            </w:r>
          </w:p>
        </w:tc>
      </w:tr>
      <w:tr w:rsidR="00321CE8" w:rsidRPr="00321CE8" w14:paraId="451F83ED" w14:textId="77777777" w:rsidTr="00AC3011">
        <w:trPr>
          <w:trHeight w:val="202"/>
        </w:trPr>
        <w:tc>
          <w:tcPr>
            <w:tcW w:w="597" w:type="dxa"/>
            <w:gridSpan w:val="2"/>
          </w:tcPr>
          <w:p w14:paraId="634789F2" w14:textId="77777777" w:rsidR="00321CE8" w:rsidRPr="00321CE8" w:rsidRDefault="00321CE8" w:rsidP="00FF5E02">
            <w:pPr>
              <w:pStyle w:val="TableParagraph"/>
              <w:spacing w:line="225" w:lineRule="exact"/>
              <w:ind w:left="86"/>
              <w:jc w:val="both"/>
              <w:rPr>
                <w:rFonts w:ascii="Arial" w:hAnsi="Arial" w:cs="Arial"/>
              </w:rPr>
            </w:pPr>
            <w:r w:rsidRPr="00321CE8">
              <w:rPr>
                <w:rFonts w:ascii="Arial" w:hAnsi="Arial" w:cs="Arial"/>
                <w:w w:val="99"/>
              </w:rPr>
              <w:t>a</w:t>
            </w:r>
          </w:p>
        </w:tc>
        <w:tc>
          <w:tcPr>
            <w:tcW w:w="8133" w:type="dxa"/>
          </w:tcPr>
          <w:p w14:paraId="4A8400CD" w14:textId="77777777" w:rsidR="00321CE8" w:rsidRPr="00321CE8" w:rsidRDefault="00321CE8" w:rsidP="00FF5E02">
            <w:pPr>
              <w:pStyle w:val="TableParagraph"/>
              <w:spacing w:line="225" w:lineRule="exact"/>
              <w:jc w:val="both"/>
              <w:rPr>
                <w:rFonts w:ascii="Arial" w:hAnsi="Arial" w:cs="Arial"/>
              </w:rPr>
            </w:pPr>
            <w:r w:rsidRPr="00321CE8">
              <w:rPr>
                <w:rFonts w:ascii="Arial" w:hAnsi="Arial" w:cs="Arial"/>
              </w:rPr>
              <w:t>Climb</w:t>
            </w:r>
            <w:r w:rsidRPr="00321CE8">
              <w:rPr>
                <w:rFonts w:ascii="Arial" w:hAnsi="Arial" w:cs="Arial"/>
                <w:spacing w:val="-3"/>
              </w:rPr>
              <w:t xml:space="preserve"> </w:t>
            </w:r>
            <w:r w:rsidRPr="00321CE8">
              <w:rPr>
                <w:rFonts w:ascii="Arial" w:hAnsi="Arial" w:cs="Arial"/>
              </w:rPr>
              <w:t>to</w:t>
            </w:r>
            <w:r w:rsidRPr="00321CE8">
              <w:rPr>
                <w:rFonts w:ascii="Arial" w:hAnsi="Arial" w:cs="Arial"/>
                <w:spacing w:val="-3"/>
              </w:rPr>
              <w:t xml:space="preserve"> </w:t>
            </w:r>
            <w:r w:rsidRPr="00321CE8">
              <w:rPr>
                <w:rFonts w:ascii="Arial" w:hAnsi="Arial" w:cs="Arial"/>
              </w:rPr>
              <w:t>level</w:t>
            </w:r>
            <w:r w:rsidRPr="00321CE8">
              <w:rPr>
                <w:rFonts w:ascii="Arial" w:hAnsi="Arial" w:cs="Arial"/>
                <w:spacing w:val="-1"/>
              </w:rPr>
              <w:t xml:space="preserve"> </w:t>
            </w:r>
            <w:r w:rsidRPr="00321CE8">
              <w:rPr>
                <w:rFonts w:ascii="Arial" w:hAnsi="Arial" w:cs="Arial"/>
              </w:rPr>
              <w:t>flight</w:t>
            </w:r>
          </w:p>
        </w:tc>
      </w:tr>
      <w:tr w:rsidR="00321CE8" w:rsidRPr="00321CE8" w14:paraId="38CD703B" w14:textId="77777777" w:rsidTr="00AC3011">
        <w:trPr>
          <w:trHeight w:val="199"/>
        </w:trPr>
        <w:tc>
          <w:tcPr>
            <w:tcW w:w="597" w:type="dxa"/>
            <w:gridSpan w:val="2"/>
          </w:tcPr>
          <w:p w14:paraId="6514F190" w14:textId="77777777" w:rsidR="00321CE8" w:rsidRPr="00321CE8" w:rsidRDefault="00321CE8" w:rsidP="00FF5E02">
            <w:pPr>
              <w:pStyle w:val="TableParagraph"/>
              <w:spacing w:line="223" w:lineRule="exact"/>
              <w:ind w:left="86"/>
              <w:jc w:val="both"/>
              <w:rPr>
                <w:rFonts w:ascii="Arial" w:hAnsi="Arial" w:cs="Arial"/>
              </w:rPr>
            </w:pPr>
            <w:r w:rsidRPr="00321CE8">
              <w:rPr>
                <w:rFonts w:ascii="Arial" w:hAnsi="Arial" w:cs="Arial"/>
                <w:w w:val="99"/>
              </w:rPr>
              <w:t>b</w:t>
            </w:r>
          </w:p>
        </w:tc>
        <w:tc>
          <w:tcPr>
            <w:tcW w:w="8133" w:type="dxa"/>
          </w:tcPr>
          <w:p w14:paraId="6F8412AD" w14:textId="77777777" w:rsidR="00321CE8" w:rsidRPr="00321CE8" w:rsidRDefault="00321CE8" w:rsidP="00FF5E02">
            <w:pPr>
              <w:pStyle w:val="TableParagraph"/>
              <w:spacing w:line="223" w:lineRule="exact"/>
              <w:jc w:val="both"/>
              <w:rPr>
                <w:rFonts w:ascii="Arial" w:hAnsi="Arial" w:cs="Arial"/>
              </w:rPr>
            </w:pPr>
            <w:r w:rsidRPr="00321CE8">
              <w:rPr>
                <w:rFonts w:ascii="Arial" w:hAnsi="Arial" w:cs="Arial"/>
              </w:rPr>
              <w:t>Level</w:t>
            </w:r>
            <w:r w:rsidRPr="00321CE8">
              <w:rPr>
                <w:rFonts w:ascii="Arial" w:hAnsi="Arial" w:cs="Arial"/>
                <w:spacing w:val="-4"/>
              </w:rPr>
              <w:t xml:space="preserve"> </w:t>
            </w:r>
            <w:r w:rsidRPr="00321CE8">
              <w:rPr>
                <w:rFonts w:ascii="Arial" w:hAnsi="Arial" w:cs="Arial"/>
              </w:rPr>
              <w:t>flight</w:t>
            </w:r>
          </w:p>
        </w:tc>
      </w:tr>
      <w:tr w:rsidR="00321CE8" w:rsidRPr="00321CE8" w14:paraId="06C93468" w14:textId="77777777" w:rsidTr="00AC3011">
        <w:trPr>
          <w:trHeight w:val="202"/>
        </w:trPr>
        <w:tc>
          <w:tcPr>
            <w:tcW w:w="597" w:type="dxa"/>
            <w:gridSpan w:val="2"/>
          </w:tcPr>
          <w:p w14:paraId="3C576B2A" w14:textId="77777777" w:rsidR="00321CE8" w:rsidRPr="00321CE8" w:rsidRDefault="00321CE8" w:rsidP="00FF5E02">
            <w:pPr>
              <w:pStyle w:val="TableParagraph"/>
              <w:spacing w:line="225" w:lineRule="exact"/>
              <w:ind w:left="86"/>
              <w:jc w:val="both"/>
              <w:rPr>
                <w:rFonts w:ascii="Arial" w:hAnsi="Arial" w:cs="Arial"/>
              </w:rPr>
            </w:pPr>
            <w:r w:rsidRPr="00321CE8">
              <w:rPr>
                <w:rFonts w:ascii="Arial" w:hAnsi="Arial" w:cs="Arial"/>
                <w:w w:val="99"/>
              </w:rPr>
              <w:t>c</w:t>
            </w:r>
          </w:p>
        </w:tc>
        <w:tc>
          <w:tcPr>
            <w:tcW w:w="8133" w:type="dxa"/>
          </w:tcPr>
          <w:p w14:paraId="00B6FB09" w14:textId="77777777" w:rsidR="00321CE8" w:rsidRPr="00321CE8" w:rsidRDefault="00321CE8" w:rsidP="00FF5E02">
            <w:pPr>
              <w:pStyle w:val="TableParagraph"/>
              <w:spacing w:line="225" w:lineRule="exact"/>
              <w:jc w:val="both"/>
              <w:rPr>
                <w:rFonts w:ascii="Arial" w:hAnsi="Arial" w:cs="Arial"/>
              </w:rPr>
            </w:pPr>
            <w:r w:rsidRPr="00321CE8">
              <w:rPr>
                <w:rFonts w:ascii="Arial" w:hAnsi="Arial" w:cs="Arial"/>
              </w:rPr>
              <w:t>Descent</w:t>
            </w:r>
            <w:r w:rsidRPr="00321CE8">
              <w:rPr>
                <w:rFonts w:ascii="Arial" w:hAnsi="Arial" w:cs="Arial"/>
                <w:spacing w:val="-3"/>
              </w:rPr>
              <w:t xml:space="preserve"> </w:t>
            </w:r>
            <w:r w:rsidRPr="00321CE8">
              <w:rPr>
                <w:rFonts w:ascii="Arial" w:hAnsi="Arial" w:cs="Arial"/>
              </w:rPr>
              <w:t>to</w:t>
            </w:r>
            <w:r w:rsidRPr="00321CE8">
              <w:rPr>
                <w:rFonts w:ascii="Arial" w:hAnsi="Arial" w:cs="Arial"/>
                <w:spacing w:val="-3"/>
              </w:rPr>
              <w:t xml:space="preserve"> </w:t>
            </w:r>
            <w:r w:rsidRPr="00321CE8">
              <w:rPr>
                <w:rFonts w:ascii="Arial" w:hAnsi="Arial" w:cs="Arial"/>
              </w:rPr>
              <w:t>level</w:t>
            </w:r>
            <w:r w:rsidRPr="00321CE8">
              <w:rPr>
                <w:rFonts w:ascii="Arial" w:hAnsi="Arial" w:cs="Arial"/>
                <w:spacing w:val="-2"/>
              </w:rPr>
              <w:t xml:space="preserve"> </w:t>
            </w:r>
            <w:r w:rsidRPr="00321CE8">
              <w:rPr>
                <w:rFonts w:ascii="Arial" w:hAnsi="Arial" w:cs="Arial"/>
              </w:rPr>
              <w:t>flight</w:t>
            </w:r>
          </w:p>
        </w:tc>
      </w:tr>
      <w:tr w:rsidR="00321CE8" w:rsidRPr="00321CE8" w14:paraId="1FB826B9" w14:textId="77777777" w:rsidTr="00AC3011">
        <w:trPr>
          <w:trHeight w:val="199"/>
        </w:trPr>
        <w:tc>
          <w:tcPr>
            <w:tcW w:w="597" w:type="dxa"/>
            <w:gridSpan w:val="2"/>
          </w:tcPr>
          <w:p w14:paraId="6FEC2CBB" w14:textId="77777777" w:rsidR="00321CE8" w:rsidRPr="00321CE8" w:rsidRDefault="00321CE8" w:rsidP="00FF5E02">
            <w:pPr>
              <w:pStyle w:val="TableParagraph"/>
              <w:spacing w:line="223" w:lineRule="exact"/>
              <w:ind w:left="86"/>
              <w:jc w:val="both"/>
              <w:rPr>
                <w:rFonts w:ascii="Arial" w:hAnsi="Arial" w:cs="Arial"/>
              </w:rPr>
            </w:pPr>
            <w:r w:rsidRPr="00321CE8">
              <w:rPr>
                <w:rFonts w:ascii="Arial" w:hAnsi="Arial" w:cs="Arial"/>
                <w:w w:val="99"/>
              </w:rPr>
              <w:t>d</w:t>
            </w:r>
          </w:p>
        </w:tc>
        <w:tc>
          <w:tcPr>
            <w:tcW w:w="8133" w:type="dxa"/>
          </w:tcPr>
          <w:p w14:paraId="527CFB0E" w14:textId="77777777" w:rsidR="00321CE8" w:rsidRPr="00321CE8" w:rsidRDefault="00321CE8" w:rsidP="00FF5E02">
            <w:pPr>
              <w:pStyle w:val="TableParagraph"/>
              <w:spacing w:line="223" w:lineRule="exact"/>
              <w:jc w:val="both"/>
              <w:rPr>
                <w:rFonts w:ascii="Arial" w:hAnsi="Arial" w:cs="Arial"/>
              </w:rPr>
            </w:pPr>
            <w:r w:rsidRPr="00321CE8">
              <w:rPr>
                <w:rFonts w:ascii="Arial" w:hAnsi="Arial" w:cs="Arial"/>
              </w:rPr>
              <w:t>Operating</w:t>
            </w:r>
            <w:r w:rsidRPr="00321CE8">
              <w:rPr>
                <w:rFonts w:ascii="Arial" w:hAnsi="Arial" w:cs="Arial"/>
                <w:spacing w:val="-4"/>
              </w:rPr>
              <w:t xml:space="preserve"> </w:t>
            </w:r>
            <w:r w:rsidRPr="00321CE8">
              <w:rPr>
                <w:rFonts w:ascii="Arial" w:hAnsi="Arial" w:cs="Arial"/>
              </w:rPr>
              <w:t>at</w:t>
            </w:r>
            <w:r w:rsidRPr="00321CE8">
              <w:rPr>
                <w:rFonts w:ascii="Arial" w:hAnsi="Arial" w:cs="Arial"/>
                <w:spacing w:val="-2"/>
              </w:rPr>
              <w:t xml:space="preserve"> </w:t>
            </w:r>
            <w:r w:rsidRPr="00321CE8">
              <w:rPr>
                <w:rFonts w:ascii="Arial" w:hAnsi="Arial" w:cs="Arial"/>
              </w:rPr>
              <w:t>low</w:t>
            </w:r>
            <w:r w:rsidRPr="00321CE8">
              <w:rPr>
                <w:rFonts w:ascii="Arial" w:hAnsi="Arial" w:cs="Arial"/>
                <w:spacing w:val="-2"/>
              </w:rPr>
              <w:t xml:space="preserve"> </w:t>
            </w:r>
            <w:r w:rsidRPr="00321CE8">
              <w:rPr>
                <w:rFonts w:ascii="Arial" w:hAnsi="Arial" w:cs="Arial"/>
              </w:rPr>
              <w:t>level</w:t>
            </w:r>
          </w:p>
        </w:tc>
      </w:tr>
      <w:tr w:rsidR="00321CE8" w:rsidRPr="00321CE8" w14:paraId="34B21A48" w14:textId="77777777" w:rsidTr="00AC3011">
        <w:trPr>
          <w:trHeight w:val="200"/>
        </w:trPr>
        <w:tc>
          <w:tcPr>
            <w:tcW w:w="597" w:type="dxa"/>
            <w:gridSpan w:val="2"/>
          </w:tcPr>
          <w:p w14:paraId="76B24A7D" w14:textId="77777777" w:rsidR="00321CE8" w:rsidRPr="00321CE8" w:rsidRDefault="00321CE8" w:rsidP="00FF5E02">
            <w:pPr>
              <w:pStyle w:val="TableParagraph"/>
              <w:spacing w:line="222" w:lineRule="exact"/>
              <w:ind w:left="86"/>
              <w:jc w:val="both"/>
              <w:rPr>
                <w:rFonts w:ascii="Arial" w:hAnsi="Arial" w:cs="Arial"/>
              </w:rPr>
            </w:pPr>
            <w:r w:rsidRPr="00321CE8">
              <w:rPr>
                <w:rFonts w:ascii="Arial" w:hAnsi="Arial" w:cs="Arial"/>
                <w:w w:val="99"/>
              </w:rPr>
              <w:t>e</w:t>
            </w:r>
          </w:p>
        </w:tc>
        <w:tc>
          <w:tcPr>
            <w:tcW w:w="8133" w:type="dxa"/>
          </w:tcPr>
          <w:p w14:paraId="30E0A1F6" w14:textId="77777777" w:rsidR="00321CE8" w:rsidRPr="00321CE8" w:rsidRDefault="00321CE8" w:rsidP="00FF5E02">
            <w:pPr>
              <w:pStyle w:val="TableParagraph"/>
              <w:spacing w:line="222" w:lineRule="exact"/>
              <w:jc w:val="both"/>
              <w:rPr>
                <w:rFonts w:ascii="Arial" w:hAnsi="Arial" w:cs="Arial"/>
              </w:rPr>
            </w:pPr>
            <w:r w:rsidRPr="00321CE8">
              <w:rPr>
                <w:rFonts w:ascii="Arial" w:hAnsi="Arial" w:cs="Arial"/>
              </w:rPr>
              <w:t>ATC</w:t>
            </w:r>
            <w:r w:rsidRPr="00321CE8">
              <w:rPr>
                <w:rFonts w:ascii="Arial" w:hAnsi="Arial" w:cs="Arial"/>
                <w:spacing w:val="-3"/>
              </w:rPr>
              <w:t xml:space="preserve"> </w:t>
            </w:r>
            <w:r w:rsidRPr="00321CE8">
              <w:rPr>
                <w:rFonts w:ascii="Arial" w:hAnsi="Arial" w:cs="Arial"/>
              </w:rPr>
              <w:t>compliance</w:t>
            </w:r>
            <w:r w:rsidRPr="00321CE8">
              <w:rPr>
                <w:rFonts w:ascii="Arial" w:hAnsi="Arial" w:cs="Arial"/>
                <w:spacing w:val="-4"/>
              </w:rPr>
              <w:t xml:space="preserve"> </w:t>
            </w:r>
            <w:r w:rsidRPr="00321CE8">
              <w:rPr>
                <w:rFonts w:ascii="Arial" w:hAnsi="Arial" w:cs="Arial"/>
              </w:rPr>
              <w:t>(if</w:t>
            </w:r>
            <w:r w:rsidRPr="00321CE8">
              <w:rPr>
                <w:rFonts w:ascii="Arial" w:hAnsi="Arial" w:cs="Arial"/>
                <w:spacing w:val="-3"/>
              </w:rPr>
              <w:t xml:space="preserve"> </w:t>
            </w:r>
            <w:r w:rsidRPr="00321CE8">
              <w:rPr>
                <w:rFonts w:ascii="Arial" w:hAnsi="Arial" w:cs="Arial"/>
              </w:rPr>
              <w:t>applicable)</w:t>
            </w:r>
          </w:p>
        </w:tc>
      </w:tr>
      <w:tr w:rsidR="00321CE8" w:rsidRPr="00321CE8" w14:paraId="37AA8D52" w14:textId="77777777" w:rsidTr="009D3A59">
        <w:trPr>
          <w:trHeight w:val="202"/>
        </w:trPr>
        <w:tc>
          <w:tcPr>
            <w:tcW w:w="8730" w:type="dxa"/>
            <w:gridSpan w:val="3"/>
            <w:shd w:val="clear" w:color="auto" w:fill="F2F2F2" w:themeFill="background1" w:themeFillShade="F2"/>
          </w:tcPr>
          <w:p w14:paraId="2FA713AC" w14:textId="77777777" w:rsidR="00321CE8" w:rsidRPr="00321CE8" w:rsidRDefault="00321CE8" w:rsidP="00FF5E02">
            <w:pPr>
              <w:pStyle w:val="TableParagraph"/>
              <w:spacing w:line="225" w:lineRule="exact"/>
              <w:ind w:left="86"/>
              <w:jc w:val="both"/>
              <w:rPr>
                <w:rFonts w:ascii="Arial" w:hAnsi="Arial" w:cs="Arial"/>
                <w:b/>
              </w:rPr>
            </w:pPr>
            <w:r w:rsidRPr="00321CE8">
              <w:rPr>
                <w:rFonts w:ascii="Arial" w:hAnsi="Arial" w:cs="Arial"/>
                <w:b/>
              </w:rPr>
              <w:t>SECTION</w:t>
            </w:r>
            <w:r w:rsidRPr="00321CE8">
              <w:rPr>
                <w:rFonts w:ascii="Arial" w:hAnsi="Arial" w:cs="Arial"/>
                <w:b/>
                <w:spacing w:val="-4"/>
              </w:rPr>
              <w:t xml:space="preserve"> </w:t>
            </w:r>
            <w:r w:rsidRPr="00321CE8">
              <w:rPr>
                <w:rFonts w:ascii="Arial" w:hAnsi="Arial" w:cs="Arial"/>
                <w:b/>
              </w:rPr>
              <w:t>3:</w:t>
            </w:r>
            <w:r w:rsidRPr="00321CE8">
              <w:rPr>
                <w:rFonts w:ascii="Arial" w:hAnsi="Arial" w:cs="Arial"/>
                <w:b/>
                <w:spacing w:val="-3"/>
              </w:rPr>
              <w:t xml:space="preserve"> </w:t>
            </w:r>
            <w:r w:rsidRPr="00321CE8">
              <w:rPr>
                <w:rFonts w:ascii="Arial" w:hAnsi="Arial" w:cs="Arial"/>
                <w:b/>
              </w:rPr>
              <w:t>EN-ROUTE</w:t>
            </w:r>
            <w:r w:rsidRPr="00321CE8">
              <w:rPr>
                <w:rFonts w:ascii="Arial" w:hAnsi="Arial" w:cs="Arial"/>
                <w:b/>
                <w:spacing w:val="-2"/>
              </w:rPr>
              <w:t xml:space="preserve"> </w:t>
            </w:r>
            <w:r w:rsidRPr="00321CE8">
              <w:rPr>
                <w:rFonts w:ascii="Arial" w:hAnsi="Arial" w:cs="Arial"/>
                <w:b/>
              </w:rPr>
              <w:t>PROCEDURES</w:t>
            </w:r>
          </w:p>
        </w:tc>
      </w:tr>
      <w:tr w:rsidR="00321CE8" w:rsidRPr="00321CE8" w14:paraId="1B7CC872" w14:textId="77777777" w:rsidTr="00AC3011">
        <w:trPr>
          <w:trHeight w:val="200"/>
        </w:trPr>
        <w:tc>
          <w:tcPr>
            <w:tcW w:w="597" w:type="dxa"/>
            <w:gridSpan w:val="2"/>
          </w:tcPr>
          <w:p w14:paraId="24FC427B" w14:textId="77777777" w:rsidR="00321CE8" w:rsidRPr="00321CE8" w:rsidRDefault="00321CE8" w:rsidP="00FF5E02">
            <w:pPr>
              <w:pStyle w:val="TableParagraph"/>
              <w:spacing w:line="222" w:lineRule="exact"/>
              <w:ind w:left="86"/>
              <w:jc w:val="both"/>
              <w:rPr>
                <w:rFonts w:ascii="Arial" w:hAnsi="Arial" w:cs="Arial"/>
              </w:rPr>
            </w:pPr>
            <w:r w:rsidRPr="00321CE8">
              <w:rPr>
                <w:rFonts w:ascii="Arial" w:hAnsi="Arial" w:cs="Arial"/>
                <w:w w:val="99"/>
              </w:rPr>
              <w:t>a</w:t>
            </w:r>
          </w:p>
        </w:tc>
        <w:tc>
          <w:tcPr>
            <w:tcW w:w="8133" w:type="dxa"/>
          </w:tcPr>
          <w:p w14:paraId="7C8F2B4B" w14:textId="77777777" w:rsidR="00321CE8" w:rsidRPr="00321CE8" w:rsidRDefault="00321CE8" w:rsidP="00FF5E02">
            <w:pPr>
              <w:pStyle w:val="TableParagraph"/>
              <w:spacing w:line="222" w:lineRule="exact"/>
              <w:jc w:val="both"/>
              <w:rPr>
                <w:rFonts w:ascii="Arial" w:hAnsi="Arial" w:cs="Arial"/>
              </w:rPr>
            </w:pPr>
            <w:r w:rsidRPr="00321CE8">
              <w:rPr>
                <w:rFonts w:ascii="Arial" w:hAnsi="Arial" w:cs="Arial"/>
              </w:rPr>
              <w:t>Dead</w:t>
            </w:r>
            <w:r w:rsidRPr="00321CE8">
              <w:rPr>
                <w:rFonts w:ascii="Arial" w:hAnsi="Arial" w:cs="Arial"/>
                <w:spacing w:val="-2"/>
              </w:rPr>
              <w:t xml:space="preserve"> </w:t>
            </w:r>
            <w:r w:rsidRPr="00321CE8">
              <w:rPr>
                <w:rFonts w:ascii="Arial" w:hAnsi="Arial" w:cs="Arial"/>
              </w:rPr>
              <w:t>reckoning</w:t>
            </w:r>
            <w:r w:rsidRPr="00321CE8">
              <w:rPr>
                <w:rFonts w:ascii="Arial" w:hAnsi="Arial" w:cs="Arial"/>
                <w:spacing w:val="-4"/>
              </w:rPr>
              <w:t xml:space="preserve"> </w:t>
            </w:r>
            <w:r w:rsidRPr="00321CE8">
              <w:rPr>
                <w:rFonts w:ascii="Arial" w:hAnsi="Arial" w:cs="Arial"/>
              </w:rPr>
              <w:t>and</w:t>
            </w:r>
            <w:r w:rsidRPr="00321CE8">
              <w:rPr>
                <w:rFonts w:ascii="Arial" w:hAnsi="Arial" w:cs="Arial"/>
                <w:spacing w:val="-2"/>
              </w:rPr>
              <w:t xml:space="preserve"> </w:t>
            </w:r>
            <w:r w:rsidRPr="00321CE8">
              <w:rPr>
                <w:rFonts w:ascii="Arial" w:hAnsi="Arial" w:cs="Arial"/>
              </w:rPr>
              <w:t>map</w:t>
            </w:r>
            <w:r w:rsidRPr="00321CE8">
              <w:rPr>
                <w:rFonts w:ascii="Arial" w:hAnsi="Arial" w:cs="Arial"/>
                <w:spacing w:val="-2"/>
              </w:rPr>
              <w:t xml:space="preserve"> </w:t>
            </w:r>
            <w:r w:rsidRPr="00321CE8">
              <w:rPr>
                <w:rFonts w:ascii="Arial" w:hAnsi="Arial" w:cs="Arial"/>
              </w:rPr>
              <w:t>reading</w:t>
            </w:r>
          </w:p>
        </w:tc>
      </w:tr>
      <w:tr w:rsidR="00321CE8" w:rsidRPr="00321CE8" w14:paraId="1208BBB6" w14:textId="77777777" w:rsidTr="00AC3011">
        <w:trPr>
          <w:trHeight w:val="202"/>
        </w:trPr>
        <w:tc>
          <w:tcPr>
            <w:tcW w:w="597" w:type="dxa"/>
            <w:gridSpan w:val="2"/>
          </w:tcPr>
          <w:p w14:paraId="1D227BFB" w14:textId="77777777" w:rsidR="00321CE8" w:rsidRPr="00321CE8" w:rsidRDefault="00321CE8" w:rsidP="00FF5E02">
            <w:pPr>
              <w:pStyle w:val="TableParagraph"/>
              <w:spacing w:before="1" w:line="225" w:lineRule="exact"/>
              <w:ind w:left="86"/>
              <w:jc w:val="both"/>
              <w:rPr>
                <w:rFonts w:ascii="Arial" w:hAnsi="Arial" w:cs="Arial"/>
              </w:rPr>
            </w:pPr>
            <w:r w:rsidRPr="00321CE8">
              <w:rPr>
                <w:rFonts w:ascii="Arial" w:hAnsi="Arial" w:cs="Arial"/>
                <w:w w:val="99"/>
              </w:rPr>
              <w:t>b</w:t>
            </w:r>
          </w:p>
        </w:tc>
        <w:tc>
          <w:tcPr>
            <w:tcW w:w="8133" w:type="dxa"/>
          </w:tcPr>
          <w:p w14:paraId="4EFB195C" w14:textId="77777777" w:rsidR="00321CE8" w:rsidRPr="00321CE8" w:rsidRDefault="00321CE8" w:rsidP="00FF5E02">
            <w:pPr>
              <w:pStyle w:val="TableParagraph"/>
              <w:spacing w:before="1" w:line="225" w:lineRule="exact"/>
              <w:jc w:val="both"/>
              <w:rPr>
                <w:rFonts w:ascii="Arial" w:hAnsi="Arial" w:cs="Arial"/>
              </w:rPr>
            </w:pPr>
            <w:r w:rsidRPr="00321CE8">
              <w:rPr>
                <w:rFonts w:ascii="Arial" w:hAnsi="Arial" w:cs="Arial"/>
              </w:rPr>
              <w:t>Marking</w:t>
            </w:r>
            <w:r w:rsidRPr="00321CE8">
              <w:rPr>
                <w:rFonts w:ascii="Arial" w:hAnsi="Arial" w:cs="Arial"/>
                <w:spacing w:val="-3"/>
              </w:rPr>
              <w:t xml:space="preserve"> </w:t>
            </w:r>
            <w:r w:rsidRPr="00321CE8">
              <w:rPr>
                <w:rFonts w:ascii="Arial" w:hAnsi="Arial" w:cs="Arial"/>
              </w:rPr>
              <w:t>positions</w:t>
            </w:r>
            <w:r w:rsidRPr="00321CE8">
              <w:rPr>
                <w:rFonts w:ascii="Arial" w:hAnsi="Arial" w:cs="Arial"/>
                <w:spacing w:val="-4"/>
              </w:rPr>
              <w:t xml:space="preserve"> </w:t>
            </w:r>
            <w:r w:rsidRPr="00321CE8">
              <w:rPr>
                <w:rFonts w:ascii="Arial" w:hAnsi="Arial" w:cs="Arial"/>
              </w:rPr>
              <w:t>and</w:t>
            </w:r>
            <w:r w:rsidRPr="00321CE8">
              <w:rPr>
                <w:rFonts w:ascii="Arial" w:hAnsi="Arial" w:cs="Arial"/>
                <w:spacing w:val="-2"/>
              </w:rPr>
              <w:t xml:space="preserve"> </w:t>
            </w:r>
            <w:r w:rsidRPr="00321CE8">
              <w:rPr>
                <w:rFonts w:ascii="Arial" w:hAnsi="Arial" w:cs="Arial"/>
              </w:rPr>
              <w:t>time</w:t>
            </w:r>
          </w:p>
        </w:tc>
      </w:tr>
      <w:tr w:rsidR="00321CE8" w:rsidRPr="00321CE8" w14:paraId="1B3C9650" w14:textId="77777777" w:rsidTr="00AC3011">
        <w:trPr>
          <w:trHeight w:val="200"/>
        </w:trPr>
        <w:tc>
          <w:tcPr>
            <w:tcW w:w="597" w:type="dxa"/>
            <w:gridSpan w:val="2"/>
          </w:tcPr>
          <w:p w14:paraId="7415EE0F" w14:textId="77777777" w:rsidR="00321CE8" w:rsidRPr="00321CE8" w:rsidRDefault="00321CE8" w:rsidP="00FF5E02">
            <w:pPr>
              <w:pStyle w:val="TableParagraph"/>
              <w:spacing w:line="222" w:lineRule="exact"/>
              <w:ind w:left="86"/>
              <w:jc w:val="both"/>
              <w:rPr>
                <w:rFonts w:ascii="Arial" w:hAnsi="Arial" w:cs="Arial"/>
              </w:rPr>
            </w:pPr>
            <w:r w:rsidRPr="00321CE8">
              <w:rPr>
                <w:rFonts w:ascii="Arial" w:hAnsi="Arial" w:cs="Arial"/>
                <w:w w:val="99"/>
              </w:rPr>
              <w:t>c</w:t>
            </w:r>
          </w:p>
        </w:tc>
        <w:tc>
          <w:tcPr>
            <w:tcW w:w="8133" w:type="dxa"/>
          </w:tcPr>
          <w:p w14:paraId="085AB774" w14:textId="77777777" w:rsidR="00321CE8" w:rsidRPr="00321CE8" w:rsidRDefault="00321CE8" w:rsidP="00FF5E02">
            <w:pPr>
              <w:pStyle w:val="TableParagraph"/>
              <w:spacing w:line="222" w:lineRule="exact"/>
              <w:jc w:val="both"/>
              <w:rPr>
                <w:rFonts w:ascii="Arial" w:hAnsi="Arial" w:cs="Arial"/>
              </w:rPr>
            </w:pPr>
            <w:r w:rsidRPr="00321CE8">
              <w:rPr>
                <w:rFonts w:ascii="Arial" w:hAnsi="Arial" w:cs="Arial"/>
              </w:rPr>
              <w:t>Orientation</w:t>
            </w:r>
            <w:r w:rsidRPr="00321CE8">
              <w:rPr>
                <w:rFonts w:ascii="Arial" w:hAnsi="Arial" w:cs="Arial"/>
                <w:spacing w:val="-3"/>
              </w:rPr>
              <w:t xml:space="preserve"> </w:t>
            </w:r>
            <w:r w:rsidRPr="00321CE8">
              <w:rPr>
                <w:rFonts w:ascii="Arial" w:hAnsi="Arial" w:cs="Arial"/>
              </w:rPr>
              <w:t>and</w:t>
            </w:r>
            <w:r w:rsidRPr="00321CE8">
              <w:rPr>
                <w:rFonts w:ascii="Arial" w:hAnsi="Arial" w:cs="Arial"/>
                <w:spacing w:val="-3"/>
              </w:rPr>
              <w:t xml:space="preserve"> </w:t>
            </w:r>
            <w:r w:rsidRPr="00321CE8">
              <w:rPr>
                <w:rFonts w:ascii="Arial" w:hAnsi="Arial" w:cs="Arial"/>
              </w:rPr>
              <w:t>airspace</w:t>
            </w:r>
            <w:r w:rsidRPr="00321CE8">
              <w:rPr>
                <w:rFonts w:ascii="Arial" w:hAnsi="Arial" w:cs="Arial"/>
                <w:spacing w:val="-4"/>
              </w:rPr>
              <w:t xml:space="preserve"> </w:t>
            </w:r>
            <w:r w:rsidRPr="00321CE8">
              <w:rPr>
                <w:rFonts w:ascii="Arial" w:hAnsi="Arial" w:cs="Arial"/>
              </w:rPr>
              <w:t>structure</w:t>
            </w:r>
          </w:p>
        </w:tc>
      </w:tr>
      <w:tr w:rsidR="00321CE8" w:rsidRPr="00321CE8" w14:paraId="44394E2C" w14:textId="77777777" w:rsidTr="00AC3011">
        <w:trPr>
          <w:trHeight w:val="202"/>
        </w:trPr>
        <w:tc>
          <w:tcPr>
            <w:tcW w:w="597" w:type="dxa"/>
            <w:gridSpan w:val="2"/>
          </w:tcPr>
          <w:p w14:paraId="7E5F453D" w14:textId="77777777" w:rsidR="00321CE8" w:rsidRPr="00321CE8" w:rsidRDefault="00321CE8" w:rsidP="00FF5E02">
            <w:pPr>
              <w:pStyle w:val="TableParagraph"/>
              <w:spacing w:line="225" w:lineRule="exact"/>
              <w:ind w:left="86"/>
              <w:jc w:val="both"/>
              <w:rPr>
                <w:rFonts w:ascii="Arial" w:hAnsi="Arial" w:cs="Arial"/>
              </w:rPr>
            </w:pPr>
            <w:r w:rsidRPr="00321CE8">
              <w:rPr>
                <w:rFonts w:ascii="Arial" w:hAnsi="Arial" w:cs="Arial"/>
                <w:w w:val="99"/>
              </w:rPr>
              <w:t>d</w:t>
            </w:r>
          </w:p>
        </w:tc>
        <w:tc>
          <w:tcPr>
            <w:tcW w:w="8133" w:type="dxa"/>
          </w:tcPr>
          <w:p w14:paraId="27F02E9F" w14:textId="77777777" w:rsidR="00321CE8" w:rsidRPr="00321CE8" w:rsidRDefault="00321CE8" w:rsidP="00FF5E02">
            <w:pPr>
              <w:pStyle w:val="TableParagraph"/>
              <w:spacing w:line="225" w:lineRule="exact"/>
              <w:jc w:val="both"/>
              <w:rPr>
                <w:rFonts w:ascii="Arial" w:hAnsi="Arial" w:cs="Arial"/>
              </w:rPr>
            </w:pPr>
            <w:r w:rsidRPr="00321CE8">
              <w:rPr>
                <w:rFonts w:ascii="Arial" w:hAnsi="Arial" w:cs="Arial"/>
              </w:rPr>
              <w:t>Maintenance</w:t>
            </w:r>
            <w:r w:rsidRPr="00321CE8">
              <w:rPr>
                <w:rFonts w:ascii="Arial" w:hAnsi="Arial" w:cs="Arial"/>
                <w:spacing w:val="-4"/>
              </w:rPr>
              <w:t xml:space="preserve"> </w:t>
            </w:r>
            <w:r w:rsidRPr="00321CE8">
              <w:rPr>
                <w:rFonts w:ascii="Arial" w:hAnsi="Arial" w:cs="Arial"/>
              </w:rPr>
              <w:t>of</w:t>
            </w:r>
            <w:r w:rsidRPr="00321CE8">
              <w:rPr>
                <w:rFonts w:ascii="Arial" w:hAnsi="Arial" w:cs="Arial"/>
                <w:spacing w:val="-3"/>
              </w:rPr>
              <w:t xml:space="preserve"> </w:t>
            </w:r>
            <w:r w:rsidRPr="00321CE8">
              <w:rPr>
                <w:rFonts w:ascii="Arial" w:hAnsi="Arial" w:cs="Arial"/>
              </w:rPr>
              <w:t>altitude</w:t>
            </w:r>
          </w:p>
        </w:tc>
      </w:tr>
      <w:tr w:rsidR="00321CE8" w:rsidRPr="00321CE8" w14:paraId="21C8E39E" w14:textId="77777777" w:rsidTr="00AC3011">
        <w:trPr>
          <w:trHeight w:val="199"/>
        </w:trPr>
        <w:tc>
          <w:tcPr>
            <w:tcW w:w="597" w:type="dxa"/>
            <w:gridSpan w:val="2"/>
          </w:tcPr>
          <w:p w14:paraId="6578C19A" w14:textId="77777777" w:rsidR="00321CE8" w:rsidRPr="00321CE8" w:rsidRDefault="00321CE8" w:rsidP="00FF5E02">
            <w:pPr>
              <w:pStyle w:val="TableParagraph"/>
              <w:spacing w:line="222" w:lineRule="exact"/>
              <w:ind w:left="86"/>
              <w:jc w:val="both"/>
              <w:rPr>
                <w:rFonts w:ascii="Arial" w:hAnsi="Arial" w:cs="Arial"/>
              </w:rPr>
            </w:pPr>
            <w:r w:rsidRPr="00321CE8">
              <w:rPr>
                <w:rFonts w:ascii="Arial" w:hAnsi="Arial" w:cs="Arial"/>
                <w:w w:val="99"/>
              </w:rPr>
              <w:t>e</w:t>
            </w:r>
          </w:p>
        </w:tc>
        <w:tc>
          <w:tcPr>
            <w:tcW w:w="8133" w:type="dxa"/>
          </w:tcPr>
          <w:p w14:paraId="64A8260E" w14:textId="77777777" w:rsidR="00321CE8" w:rsidRPr="00321CE8" w:rsidRDefault="00321CE8" w:rsidP="00FF5E02">
            <w:pPr>
              <w:pStyle w:val="TableParagraph"/>
              <w:spacing w:line="222" w:lineRule="exact"/>
              <w:jc w:val="both"/>
              <w:rPr>
                <w:rFonts w:ascii="Arial" w:hAnsi="Arial" w:cs="Arial"/>
              </w:rPr>
            </w:pPr>
            <w:r w:rsidRPr="00321CE8">
              <w:rPr>
                <w:rFonts w:ascii="Arial" w:hAnsi="Arial" w:cs="Arial"/>
              </w:rPr>
              <w:t>Fuel</w:t>
            </w:r>
            <w:r w:rsidRPr="00321CE8">
              <w:rPr>
                <w:rFonts w:ascii="Arial" w:hAnsi="Arial" w:cs="Arial"/>
                <w:spacing w:val="-4"/>
              </w:rPr>
              <w:t xml:space="preserve"> </w:t>
            </w:r>
            <w:r w:rsidRPr="00321CE8">
              <w:rPr>
                <w:rFonts w:ascii="Arial" w:hAnsi="Arial" w:cs="Arial"/>
              </w:rPr>
              <w:t>management</w:t>
            </w:r>
          </w:p>
        </w:tc>
      </w:tr>
      <w:tr w:rsidR="00321CE8" w:rsidRPr="00321CE8" w14:paraId="6C2E361C" w14:textId="77777777" w:rsidTr="00AC3011">
        <w:trPr>
          <w:trHeight w:val="202"/>
        </w:trPr>
        <w:tc>
          <w:tcPr>
            <w:tcW w:w="597" w:type="dxa"/>
            <w:gridSpan w:val="2"/>
          </w:tcPr>
          <w:p w14:paraId="32D0F9E5" w14:textId="77777777" w:rsidR="00321CE8" w:rsidRPr="00321CE8" w:rsidRDefault="00321CE8" w:rsidP="00FF5E02">
            <w:pPr>
              <w:pStyle w:val="TableParagraph"/>
              <w:spacing w:line="225" w:lineRule="exact"/>
              <w:ind w:left="86"/>
              <w:jc w:val="both"/>
              <w:rPr>
                <w:rFonts w:ascii="Arial" w:hAnsi="Arial" w:cs="Arial"/>
              </w:rPr>
            </w:pPr>
            <w:r w:rsidRPr="00321CE8">
              <w:rPr>
                <w:rFonts w:ascii="Arial" w:hAnsi="Arial" w:cs="Arial"/>
                <w:w w:val="99"/>
              </w:rPr>
              <w:t>f</w:t>
            </w:r>
          </w:p>
        </w:tc>
        <w:tc>
          <w:tcPr>
            <w:tcW w:w="8133" w:type="dxa"/>
          </w:tcPr>
          <w:p w14:paraId="160F8356" w14:textId="77777777" w:rsidR="00321CE8" w:rsidRPr="00321CE8" w:rsidRDefault="00321CE8" w:rsidP="00FF5E02">
            <w:pPr>
              <w:pStyle w:val="TableParagraph"/>
              <w:spacing w:line="225" w:lineRule="exact"/>
              <w:jc w:val="both"/>
              <w:rPr>
                <w:rFonts w:ascii="Arial" w:hAnsi="Arial" w:cs="Arial"/>
              </w:rPr>
            </w:pPr>
            <w:r w:rsidRPr="00321CE8">
              <w:rPr>
                <w:rFonts w:ascii="Arial" w:hAnsi="Arial" w:cs="Arial"/>
              </w:rPr>
              <w:t>Communication</w:t>
            </w:r>
            <w:r w:rsidRPr="00321CE8">
              <w:rPr>
                <w:rFonts w:ascii="Arial" w:hAnsi="Arial" w:cs="Arial"/>
                <w:spacing w:val="-3"/>
              </w:rPr>
              <w:t xml:space="preserve"> </w:t>
            </w:r>
            <w:r w:rsidRPr="00321CE8">
              <w:rPr>
                <w:rFonts w:ascii="Arial" w:hAnsi="Arial" w:cs="Arial"/>
              </w:rPr>
              <w:t>with</w:t>
            </w:r>
            <w:r w:rsidRPr="00321CE8">
              <w:rPr>
                <w:rFonts w:ascii="Arial" w:hAnsi="Arial" w:cs="Arial"/>
                <w:spacing w:val="-3"/>
              </w:rPr>
              <w:t xml:space="preserve"> </w:t>
            </w:r>
            <w:r w:rsidRPr="00321CE8">
              <w:rPr>
                <w:rFonts w:ascii="Arial" w:hAnsi="Arial" w:cs="Arial"/>
              </w:rPr>
              <w:t>retrieve</w:t>
            </w:r>
            <w:r w:rsidRPr="00321CE8">
              <w:rPr>
                <w:rFonts w:ascii="Arial" w:hAnsi="Arial" w:cs="Arial"/>
                <w:spacing w:val="-2"/>
              </w:rPr>
              <w:t xml:space="preserve"> </w:t>
            </w:r>
            <w:r w:rsidRPr="00321CE8">
              <w:rPr>
                <w:rFonts w:ascii="Arial" w:hAnsi="Arial" w:cs="Arial"/>
              </w:rPr>
              <w:t>crew</w:t>
            </w:r>
            <w:r w:rsidRPr="00321CE8">
              <w:rPr>
                <w:rFonts w:ascii="Arial" w:hAnsi="Arial" w:cs="Arial"/>
                <w:spacing w:val="-4"/>
              </w:rPr>
              <w:t xml:space="preserve"> </w:t>
            </w:r>
            <w:r w:rsidRPr="00321CE8">
              <w:rPr>
                <w:rFonts w:ascii="Arial" w:hAnsi="Arial" w:cs="Arial"/>
              </w:rPr>
              <w:t>and</w:t>
            </w:r>
            <w:r w:rsidRPr="00321CE8">
              <w:rPr>
                <w:rFonts w:ascii="Arial" w:hAnsi="Arial" w:cs="Arial"/>
                <w:spacing w:val="-3"/>
              </w:rPr>
              <w:t xml:space="preserve"> </w:t>
            </w:r>
            <w:r w:rsidRPr="00321CE8">
              <w:rPr>
                <w:rFonts w:ascii="Arial" w:hAnsi="Arial" w:cs="Arial"/>
              </w:rPr>
              <w:t>passengers</w:t>
            </w:r>
          </w:p>
        </w:tc>
      </w:tr>
      <w:tr w:rsidR="00321CE8" w:rsidRPr="00321CE8" w14:paraId="46DCB6A5" w14:textId="77777777" w:rsidTr="00AC3011">
        <w:trPr>
          <w:trHeight w:val="200"/>
        </w:trPr>
        <w:tc>
          <w:tcPr>
            <w:tcW w:w="597" w:type="dxa"/>
            <w:gridSpan w:val="2"/>
          </w:tcPr>
          <w:p w14:paraId="43DEAF08" w14:textId="77777777" w:rsidR="00321CE8" w:rsidRPr="00321CE8" w:rsidRDefault="00321CE8" w:rsidP="00FF5E02">
            <w:pPr>
              <w:pStyle w:val="TableParagraph"/>
              <w:spacing w:line="223" w:lineRule="exact"/>
              <w:ind w:left="86"/>
              <w:jc w:val="both"/>
              <w:rPr>
                <w:rFonts w:ascii="Arial" w:hAnsi="Arial" w:cs="Arial"/>
              </w:rPr>
            </w:pPr>
            <w:r w:rsidRPr="00321CE8">
              <w:rPr>
                <w:rFonts w:ascii="Arial" w:hAnsi="Arial" w:cs="Arial"/>
                <w:w w:val="99"/>
              </w:rPr>
              <w:lastRenderedPageBreak/>
              <w:t>g</w:t>
            </w:r>
          </w:p>
        </w:tc>
        <w:tc>
          <w:tcPr>
            <w:tcW w:w="8133" w:type="dxa"/>
          </w:tcPr>
          <w:p w14:paraId="50ED9E3F" w14:textId="77777777" w:rsidR="00321CE8" w:rsidRPr="00321CE8" w:rsidRDefault="00321CE8" w:rsidP="00FF5E02">
            <w:pPr>
              <w:pStyle w:val="TableParagraph"/>
              <w:spacing w:line="223" w:lineRule="exact"/>
              <w:jc w:val="both"/>
              <w:rPr>
                <w:rFonts w:ascii="Arial" w:hAnsi="Arial" w:cs="Arial"/>
              </w:rPr>
            </w:pPr>
            <w:r w:rsidRPr="00321CE8">
              <w:rPr>
                <w:rFonts w:ascii="Arial" w:hAnsi="Arial" w:cs="Arial"/>
              </w:rPr>
              <w:t>ATC</w:t>
            </w:r>
            <w:r w:rsidRPr="00321CE8">
              <w:rPr>
                <w:rFonts w:ascii="Arial" w:hAnsi="Arial" w:cs="Arial"/>
                <w:spacing w:val="-3"/>
              </w:rPr>
              <w:t xml:space="preserve"> </w:t>
            </w:r>
            <w:r w:rsidRPr="00321CE8">
              <w:rPr>
                <w:rFonts w:ascii="Arial" w:hAnsi="Arial" w:cs="Arial"/>
              </w:rPr>
              <w:t>compliance</w:t>
            </w:r>
            <w:r w:rsidRPr="00321CE8">
              <w:rPr>
                <w:rFonts w:ascii="Arial" w:hAnsi="Arial" w:cs="Arial"/>
                <w:spacing w:val="-4"/>
              </w:rPr>
              <w:t xml:space="preserve"> </w:t>
            </w:r>
            <w:r w:rsidRPr="00321CE8">
              <w:rPr>
                <w:rFonts w:ascii="Arial" w:hAnsi="Arial" w:cs="Arial"/>
              </w:rPr>
              <w:t>(if</w:t>
            </w:r>
            <w:r w:rsidRPr="00321CE8">
              <w:rPr>
                <w:rFonts w:ascii="Arial" w:hAnsi="Arial" w:cs="Arial"/>
                <w:spacing w:val="-3"/>
              </w:rPr>
              <w:t xml:space="preserve"> </w:t>
            </w:r>
            <w:r w:rsidRPr="00321CE8">
              <w:rPr>
                <w:rFonts w:ascii="Arial" w:hAnsi="Arial" w:cs="Arial"/>
              </w:rPr>
              <w:t>applicable)</w:t>
            </w:r>
          </w:p>
        </w:tc>
      </w:tr>
      <w:tr w:rsidR="00321CE8" w:rsidRPr="00321CE8" w14:paraId="6C154E46" w14:textId="77777777" w:rsidTr="009D3A59">
        <w:trPr>
          <w:trHeight w:val="203"/>
        </w:trPr>
        <w:tc>
          <w:tcPr>
            <w:tcW w:w="8730" w:type="dxa"/>
            <w:gridSpan w:val="3"/>
            <w:shd w:val="clear" w:color="auto" w:fill="F2F2F2" w:themeFill="background1" w:themeFillShade="F2"/>
          </w:tcPr>
          <w:p w14:paraId="1C57B707" w14:textId="77777777" w:rsidR="00321CE8" w:rsidRPr="00321CE8" w:rsidRDefault="00321CE8" w:rsidP="00FF5E02">
            <w:pPr>
              <w:pStyle w:val="TableParagraph"/>
              <w:spacing w:before="1" w:line="225" w:lineRule="exact"/>
              <w:ind w:left="86"/>
              <w:jc w:val="both"/>
              <w:rPr>
                <w:rFonts w:ascii="Arial" w:hAnsi="Arial" w:cs="Arial"/>
                <w:b/>
              </w:rPr>
            </w:pPr>
            <w:r w:rsidRPr="00321CE8">
              <w:rPr>
                <w:rFonts w:ascii="Arial" w:hAnsi="Arial" w:cs="Arial"/>
                <w:b/>
              </w:rPr>
              <w:t>SECTION</w:t>
            </w:r>
            <w:r w:rsidRPr="00321CE8">
              <w:rPr>
                <w:rFonts w:ascii="Arial" w:hAnsi="Arial" w:cs="Arial"/>
                <w:b/>
                <w:spacing w:val="-4"/>
              </w:rPr>
              <w:t xml:space="preserve"> </w:t>
            </w:r>
            <w:r w:rsidRPr="00321CE8">
              <w:rPr>
                <w:rFonts w:ascii="Arial" w:hAnsi="Arial" w:cs="Arial"/>
                <w:b/>
              </w:rPr>
              <w:t>4:</w:t>
            </w:r>
            <w:r w:rsidRPr="00321CE8">
              <w:rPr>
                <w:rFonts w:ascii="Arial" w:hAnsi="Arial" w:cs="Arial"/>
                <w:b/>
                <w:spacing w:val="-4"/>
              </w:rPr>
              <w:t xml:space="preserve"> </w:t>
            </w:r>
            <w:r w:rsidRPr="00321CE8">
              <w:rPr>
                <w:rFonts w:ascii="Arial" w:hAnsi="Arial" w:cs="Arial"/>
                <w:b/>
              </w:rPr>
              <w:t>APPROACH</w:t>
            </w:r>
            <w:r w:rsidRPr="00321CE8">
              <w:rPr>
                <w:rFonts w:ascii="Arial" w:hAnsi="Arial" w:cs="Arial"/>
                <w:b/>
                <w:spacing w:val="-2"/>
              </w:rPr>
              <w:t xml:space="preserve"> </w:t>
            </w:r>
            <w:r w:rsidRPr="00321CE8">
              <w:rPr>
                <w:rFonts w:ascii="Arial" w:hAnsi="Arial" w:cs="Arial"/>
                <w:b/>
              </w:rPr>
              <w:t>AND</w:t>
            </w:r>
            <w:r w:rsidRPr="00321CE8">
              <w:rPr>
                <w:rFonts w:ascii="Arial" w:hAnsi="Arial" w:cs="Arial"/>
                <w:b/>
                <w:spacing w:val="-5"/>
              </w:rPr>
              <w:t xml:space="preserve"> </w:t>
            </w:r>
            <w:r w:rsidRPr="00321CE8">
              <w:rPr>
                <w:rFonts w:ascii="Arial" w:hAnsi="Arial" w:cs="Arial"/>
                <w:b/>
              </w:rPr>
              <w:t>LANDING</w:t>
            </w:r>
            <w:r w:rsidRPr="00321CE8">
              <w:rPr>
                <w:rFonts w:ascii="Arial" w:hAnsi="Arial" w:cs="Arial"/>
                <w:b/>
                <w:spacing w:val="-4"/>
              </w:rPr>
              <w:t xml:space="preserve"> </w:t>
            </w:r>
            <w:r w:rsidRPr="00321CE8">
              <w:rPr>
                <w:rFonts w:ascii="Arial" w:hAnsi="Arial" w:cs="Arial"/>
                <w:b/>
              </w:rPr>
              <w:t>PROCEDURES</w:t>
            </w:r>
          </w:p>
        </w:tc>
      </w:tr>
      <w:tr w:rsidR="00321CE8" w:rsidRPr="00321CE8" w14:paraId="59472080" w14:textId="77777777" w:rsidTr="00AC3011">
        <w:trPr>
          <w:trHeight w:val="444"/>
        </w:trPr>
        <w:tc>
          <w:tcPr>
            <w:tcW w:w="582" w:type="dxa"/>
          </w:tcPr>
          <w:p w14:paraId="0868BF41" w14:textId="77777777" w:rsidR="00321CE8" w:rsidRPr="00321CE8" w:rsidRDefault="00321CE8" w:rsidP="00FF5E02">
            <w:pPr>
              <w:pStyle w:val="TableParagraph"/>
              <w:spacing w:line="242" w:lineRule="exact"/>
              <w:ind w:left="86"/>
              <w:jc w:val="both"/>
              <w:rPr>
                <w:rFonts w:ascii="Arial" w:hAnsi="Arial" w:cs="Arial"/>
              </w:rPr>
            </w:pPr>
            <w:r w:rsidRPr="00321CE8">
              <w:rPr>
                <w:rFonts w:ascii="Arial" w:hAnsi="Arial" w:cs="Arial"/>
                <w:w w:val="99"/>
              </w:rPr>
              <w:t>a</w:t>
            </w:r>
          </w:p>
        </w:tc>
        <w:tc>
          <w:tcPr>
            <w:tcW w:w="8148" w:type="dxa"/>
            <w:gridSpan w:val="2"/>
          </w:tcPr>
          <w:p w14:paraId="357DE2C7" w14:textId="77777777" w:rsidR="00321CE8" w:rsidRPr="00321CE8" w:rsidRDefault="00321CE8" w:rsidP="00FF5E02">
            <w:pPr>
              <w:pStyle w:val="TableParagraph"/>
              <w:spacing w:line="242" w:lineRule="exact"/>
              <w:jc w:val="both"/>
              <w:rPr>
                <w:rFonts w:ascii="Arial" w:hAnsi="Arial" w:cs="Arial"/>
              </w:rPr>
            </w:pPr>
            <w:r w:rsidRPr="00321CE8">
              <w:rPr>
                <w:rFonts w:ascii="Arial" w:hAnsi="Arial" w:cs="Arial"/>
              </w:rPr>
              <w:t>Approach</w:t>
            </w:r>
            <w:r w:rsidRPr="00321CE8">
              <w:rPr>
                <w:rFonts w:ascii="Arial" w:hAnsi="Arial" w:cs="Arial"/>
                <w:spacing w:val="-2"/>
              </w:rPr>
              <w:t xml:space="preserve"> </w:t>
            </w:r>
            <w:r w:rsidRPr="00321CE8">
              <w:rPr>
                <w:rFonts w:ascii="Arial" w:hAnsi="Arial" w:cs="Arial"/>
              </w:rPr>
              <w:t>from</w:t>
            </w:r>
            <w:r w:rsidRPr="00321CE8">
              <w:rPr>
                <w:rFonts w:ascii="Arial" w:hAnsi="Arial" w:cs="Arial"/>
                <w:spacing w:val="-4"/>
              </w:rPr>
              <w:t xml:space="preserve"> </w:t>
            </w:r>
            <w:r w:rsidRPr="00321CE8">
              <w:rPr>
                <w:rFonts w:ascii="Arial" w:hAnsi="Arial" w:cs="Arial"/>
              </w:rPr>
              <w:t>low</w:t>
            </w:r>
            <w:r w:rsidRPr="00321CE8">
              <w:rPr>
                <w:rFonts w:ascii="Arial" w:hAnsi="Arial" w:cs="Arial"/>
                <w:spacing w:val="-3"/>
              </w:rPr>
              <w:t xml:space="preserve"> </w:t>
            </w:r>
            <w:r w:rsidRPr="00321CE8">
              <w:rPr>
                <w:rFonts w:ascii="Arial" w:hAnsi="Arial" w:cs="Arial"/>
              </w:rPr>
              <w:t>level,</w:t>
            </w:r>
            <w:r w:rsidRPr="00321CE8">
              <w:rPr>
                <w:rFonts w:ascii="Arial" w:hAnsi="Arial" w:cs="Arial"/>
                <w:spacing w:val="-3"/>
              </w:rPr>
              <w:t xml:space="preserve"> </w:t>
            </w:r>
            <w:r w:rsidRPr="00321CE8">
              <w:rPr>
                <w:rFonts w:ascii="Arial" w:hAnsi="Arial" w:cs="Arial"/>
              </w:rPr>
              <w:t>missed</w:t>
            </w:r>
            <w:r w:rsidRPr="00321CE8">
              <w:rPr>
                <w:rFonts w:ascii="Arial" w:hAnsi="Arial" w:cs="Arial"/>
                <w:spacing w:val="-3"/>
              </w:rPr>
              <w:t xml:space="preserve"> </w:t>
            </w:r>
            <w:r w:rsidRPr="00321CE8">
              <w:rPr>
                <w:rFonts w:ascii="Arial" w:hAnsi="Arial" w:cs="Arial"/>
              </w:rPr>
              <w:t>approach</w:t>
            </w:r>
            <w:r w:rsidRPr="00321CE8">
              <w:rPr>
                <w:rFonts w:ascii="Arial" w:hAnsi="Arial" w:cs="Arial"/>
                <w:spacing w:val="-1"/>
              </w:rPr>
              <w:t xml:space="preserve"> </w:t>
            </w:r>
            <w:r w:rsidRPr="00321CE8">
              <w:rPr>
                <w:rFonts w:ascii="Arial" w:hAnsi="Arial" w:cs="Arial"/>
              </w:rPr>
              <w:t>and</w:t>
            </w:r>
            <w:r w:rsidRPr="00321CE8">
              <w:rPr>
                <w:rFonts w:ascii="Arial" w:hAnsi="Arial" w:cs="Arial"/>
                <w:spacing w:val="-3"/>
              </w:rPr>
              <w:t xml:space="preserve"> </w:t>
            </w:r>
            <w:r w:rsidRPr="00321CE8">
              <w:rPr>
                <w:rFonts w:ascii="Arial" w:hAnsi="Arial" w:cs="Arial"/>
              </w:rPr>
              <w:t>fly</w:t>
            </w:r>
            <w:r w:rsidRPr="00321CE8">
              <w:rPr>
                <w:rFonts w:ascii="Arial" w:hAnsi="Arial" w:cs="Arial"/>
                <w:spacing w:val="-2"/>
              </w:rPr>
              <w:t xml:space="preserve"> </w:t>
            </w:r>
            <w:r w:rsidRPr="00321CE8">
              <w:rPr>
                <w:rFonts w:ascii="Arial" w:hAnsi="Arial" w:cs="Arial"/>
              </w:rPr>
              <w:t>on:</w:t>
            </w:r>
            <w:r w:rsidRPr="00321CE8">
              <w:rPr>
                <w:rFonts w:ascii="Arial" w:hAnsi="Arial" w:cs="Arial"/>
                <w:spacing w:val="-4"/>
              </w:rPr>
              <w:t xml:space="preserve"> </w:t>
            </w:r>
            <w:r w:rsidRPr="00321CE8">
              <w:rPr>
                <w:rFonts w:ascii="Arial" w:hAnsi="Arial" w:cs="Arial"/>
              </w:rPr>
              <w:t>Passenger</w:t>
            </w:r>
            <w:r w:rsidRPr="00321CE8">
              <w:rPr>
                <w:rFonts w:ascii="Arial" w:hAnsi="Arial" w:cs="Arial"/>
                <w:spacing w:val="-3"/>
              </w:rPr>
              <w:t xml:space="preserve"> </w:t>
            </w:r>
            <w:r w:rsidRPr="00321CE8">
              <w:rPr>
                <w:rFonts w:ascii="Arial" w:hAnsi="Arial" w:cs="Arial"/>
              </w:rPr>
              <w:t>briefing</w:t>
            </w:r>
            <w:r w:rsidRPr="00321CE8">
              <w:rPr>
                <w:rFonts w:ascii="Arial" w:hAnsi="Arial" w:cs="Arial"/>
                <w:spacing w:val="-3"/>
              </w:rPr>
              <w:t xml:space="preserve"> </w:t>
            </w:r>
            <w:r w:rsidRPr="00321CE8">
              <w:rPr>
                <w:rFonts w:ascii="Arial" w:hAnsi="Arial" w:cs="Arial"/>
              </w:rPr>
              <w:t>and</w:t>
            </w:r>
            <w:r w:rsidRPr="00321CE8">
              <w:rPr>
                <w:rFonts w:ascii="Arial" w:hAnsi="Arial" w:cs="Arial"/>
                <w:spacing w:val="-3"/>
              </w:rPr>
              <w:t xml:space="preserve"> </w:t>
            </w:r>
            <w:r w:rsidRPr="00321CE8">
              <w:rPr>
                <w:rFonts w:ascii="Arial" w:hAnsi="Arial" w:cs="Arial"/>
              </w:rPr>
              <w:t>execution</w:t>
            </w:r>
          </w:p>
          <w:p w14:paraId="3971AEAE" w14:textId="77777777" w:rsidR="00321CE8" w:rsidRPr="00321CE8" w:rsidRDefault="00321CE8" w:rsidP="00FF5E02">
            <w:pPr>
              <w:pStyle w:val="TableParagraph"/>
              <w:spacing w:line="225" w:lineRule="exact"/>
              <w:jc w:val="both"/>
              <w:rPr>
                <w:rFonts w:ascii="Arial" w:hAnsi="Arial" w:cs="Arial"/>
              </w:rPr>
            </w:pPr>
            <w:r w:rsidRPr="00321CE8">
              <w:rPr>
                <w:rFonts w:ascii="Arial" w:hAnsi="Arial" w:cs="Arial"/>
              </w:rPr>
              <w:t>of</w:t>
            </w:r>
            <w:r w:rsidRPr="00321CE8">
              <w:rPr>
                <w:rFonts w:ascii="Arial" w:hAnsi="Arial" w:cs="Arial"/>
                <w:spacing w:val="-3"/>
              </w:rPr>
              <w:t xml:space="preserve"> </w:t>
            </w:r>
            <w:r w:rsidRPr="00321CE8">
              <w:rPr>
                <w:rFonts w:ascii="Arial" w:hAnsi="Arial" w:cs="Arial"/>
              </w:rPr>
              <w:t>exercise</w:t>
            </w:r>
          </w:p>
        </w:tc>
      </w:tr>
      <w:tr w:rsidR="00321CE8" w:rsidRPr="00321CE8" w14:paraId="61458CC3" w14:textId="77777777" w:rsidTr="00AC3011">
        <w:trPr>
          <w:trHeight w:val="444"/>
        </w:trPr>
        <w:tc>
          <w:tcPr>
            <w:tcW w:w="582" w:type="dxa"/>
          </w:tcPr>
          <w:p w14:paraId="18B6BFCB" w14:textId="77777777" w:rsidR="00321CE8" w:rsidRPr="00321CE8" w:rsidRDefault="00321CE8" w:rsidP="00FF5E02">
            <w:pPr>
              <w:pStyle w:val="TableParagraph"/>
              <w:ind w:left="86"/>
              <w:jc w:val="both"/>
              <w:rPr>
                <w:rFonts w:ascii="Arial" w:hAnsi="Arial" w:cs="Arial"/>
              </w:rPr>
            </w:pPr>
            <w:r w:rsidRPr="00321CE8">
              <w:rPr>
                <w:rFonts w:ascii="Arial" w:hAnsi="Arial" w:cs="Arial"/>
                <w:w w:val="99"/>
              </w:rPr>
              <w:t>b</w:t>
            </w:r>
          </w:p>
        </w:tc>
        <w:tc>
          <w:tcPr>
            <w:tcW w:w="8148" w:type="dxa"/>
            <w:gridSpan w:val="2"/>
          </w:tcPr>
          <w:p w14:paraId="37876BF6" w14:textId="29AF51A6" w:rsidR="00321CE8" w:rsidRPr="00321CE8" w:rsidRDefault="00321CE8" w:rsidP="004F6505">
            <w:pPr>
              <w:pStyle w:val="TableParagraph"/>
              <w:spacing w:line="243" w:lineRule="exact"/>
              <w:jc w:val="both"/>
              <w:rPr>
                <w:rFonts w:ascii="Arial" w:hAnsi="Arial" w:cs="Arial"/>
              </w:rPr>
            </w:pPr>
            <w:r w:rsidRPr="00321CE8">
              <w:rPr>
                <w:rFonts w:ascii="Arial" w:hAnsi="Arial" w:cs="Arial"/>
              </w:rPr>
              <w:t>Approach</w:t>
            </w:r>
            <w:r w:rsidRPr="00321CE8">
              <w:rPr>
                <w:rFonts w:ascii="Arial" w:hAnsi="Arial" w:cs="Arial"/>
                <w:spacing w:val="-2"/>
              </w:rPr>
              <w:t xml:space="preserve"> </w:t>
            </w:r>
            <w:r w:rsidRPr="00321CE8">
              <w:rPr>
                <w:rFonts w:ascii="Arial" w:hAnsi="Arial" w:cs="Arial"/>
              </w:rPr>
              <w:t>from</w:t>
            </w:r>
            <w:r w:rsidRPr="00321CE8">
              <w:rPr>
                <w:rFonts w:ascii="Arial" w:hAnsi="Arial" w:cs="Arial"/>
                <w:spacing w:val="-4"/>
              </w:rPr>
              <w:t xml:space="preserve"> </w:t>
            </w:r>
            <w:r w:rsidRPr="00321CE8">
              <w:rPr>
                <w:rFonts w:ascii="Arial" w:hAnsi="Arial" w:cs="Arial"/>
              </w:rPr>
              <w:t>high</w:t>
            </w:r>
            <w:r w:rsidRPr="00321CE8">
              <w:rPr>
                <w:rFonts w:ascii="Arial" w:hAnsi="Arial" w:cs="Arial"/>
                <w:spacing w:val="-2"/>
              </w:rPr>
              <w:t xml:space="preserve"> </w:t>
            </w:r>
            <w:r w:rsidRPr="00321CE8">
              <w:rPr>
                <w:rFonts w:ascii="Arial" w:hAnsi="Arial" w:cs="Arial"/>
              </w:rPr>
              <w:t>level,</w:t>
            </w:r>
            <w:r w:rsidRPr="00321CE8">
              <w:rPr>
                <w:rFonts w:ascii="Arial" w:hAnsi="Arial" w:cs="Arial"/>
                <w:spacing w:val="-3"/>
              </w:rPr>
              <w:t xml:space="preserve"> </w:t>
            </w:r>
            <w:r w:rsidRPr="00321CE8">
              <w:rPr>
                <w:rFonts w:ascii="Arial" w:hAnsi="Arial" w:cs="Arial"/>
              </w:rPr>
              <w:t>missed</w:t>
            </w:r>
            <w:r w:rsidRPr="00321CE8">
              <w:rPr>
                <w:rFonts w:ascii="Arial" w:hAnsi="Arial" w:cs="Arial"/>
                <w:spacing w:val="-2"/>
              </w:rPr>
              <w:t xml:space="preserve"> </w:t>
            </w:r>
            <w:r w:rsidRPr="00321CE8">
              <w:rPr>
                <w:rFonts w:ascii="Arial" w:hAnsi="Arial" w:cs="Arial"/>
              </w:rPr>
              <w:t>approach</w:t>
            </w:r>
            <w:r w:rsidRPr="00321CE8">
              <w:rPr>
                <w:rFonts w:ascii="Arial" w:hAnsi="Arial" w:cs="Arial"/>
                <w:spacing w:val="-2"/>
              </w:rPr>
              <w:t xml:space="preserve"> </w:t>
            </w:r>
            <w:r w:rsidRPr="00321CE8">
              <w:rPr>
                <w:rFonts w:ascii="Arial" w:hAnsi="Arial" w:cs="Arial"/>
              </w:rPr>
              <w:t>and</w:t>
            </w:r>
            <w:r w:rsidRPr="00321CE8">
              <w:rPr>
                <w:rFonts w:ascii="Arial" w:hAnsi="Arial" w:cs="Arial"/>
                <w:spacing w:val="-3"/>
              </w:rPr>
              <w:t xml:space="preserve"> </w:t>
            </w:r>
            <w:r w:rsidRPr="00321CE8">
              <w:rPr>
                <w:rFonts w:ascii="Arial" w:hAnsi="Arial" w:cs="Arial"/>
              </w:rPr>
              <w:t>fly</w:t>
            </w:r>
            <w:r w:rsidRPr="00321CE8">
              <w:rPr>
                <w:rFonts w:ascii="Arial" w:hAnsi="Arial" w:cs="Arial"/>
                <w:spacing w:val="-3"/>
              </w:rPr>
              <w:t xml:space="preserve"> </w:t>
            </w:r>
            <w:r w:rsidRPr="00321CE8">
              <w:rPr>
                <w:rFonts w:ascii="Arial" w:hAnsi="Arial" w:cs="Arial"/>
              </w:rPr>
              <w:t>on:</w:t>
            </w:r>
            <w:r w:rsidRPr="00321CE8">
              <w:rPr>
                <w:rFonts w:ascii="Arial" w:hAnsi="Arial" w:cs="Arial"/>
                <w:spacing w:val="-4"/>
              </w:rPr>
              <w:t xml:space="preserve"> </w:t>
            </w:r>
            <w:r w:rsidRPr="00321CE8">
              <w:rPr>
                <w:rFonts w:ascii="Arial" w:hAnsi="Arial" w:cs="Arial"/>
              </w:rPr>
              <w:t>Passenger</w:t>
            </w:r>
            <w:r w:rsidRPr="00321CE8">
              <w:rPr>
                <w:rFonts w:ascii="Arial" w:hAnsi="Arial" w:cs="Arial"/>
                <w:spacing w:val="-2"/>
              </w:rPr>
              <w:t xml:space="preserve"> </w:t>
            </w:r>
            <w:r w:rsidRPr="00321CE8">
              <w:rPr>
                <w:rFonts w:ascii="Arial" w:hAnsi="Arial" w:cs="Arial"/>
              </w:rPr>
              <w:t>briefing</w:t>
            </w:r>
            <w:r w:rsidRPr="00321CE8">
              <w:rPr>
                <w:rFonts w:ascii="Arial" w:hAnsi="Arial" w:cs="Arial"/>
                <w:spacing w:val="-4"/>
              </w:rPr>
              <w:t xml:space="preserve"> </w:t>
            </w:r>
            <w:r w:rsidRPr="00321CE8">
              <w:rPr>
                <w:rFonts w:ascii="Arial" w:hAnsi="Arial" w:cs="Arial"/>
              </w:rPr>
              <w:t>and</w:t>
            </w:r>
            <w:r w:rsidRPr="00321CE8">
              <w:rPr>
                <w:rFonts w:ascii="Arial" w:hAnsi="Arial" w:cs="Arial"/>
                <w:spacing w:val="-3"/>
              </w:rPr>
              <w:t xml:space="preserve"> </w:t>
            </w:r>
            <w:r w:rsidRPr="00321CE8">
              <w:rPr>
                <w:rFonts w:ascii="Arial" w:hAnsi="Arial" w:cs="Arial"/>
              </w:rPr>
              <w:t>execution</w:t>
            </w:r>
            <w:r w:rsidR="004F6505">
              <w:rPr>
                <w:rFonts w:ascii="Arial" w:hAnsi="Arial" w:cs="Arial"/>
              </w:rPr>
              <w:t xml:space="preserve"> </w:t>
            </w:r>
            <w:r w:rsidRPr="00321CE8">
              <w:rPr>
                <w:rFonts w:ascii="Arial" w:hAnsi="Arial" w:cs="Arial"/>
              </w:rPr>
              <w:t>of</w:t>
            </w:r>
            <w:r w:rsidRPr="00321CE8">
              <w:rPr>
                <w:rFonts w:ascii="Arial" w:hAnsi="Arial" w:cs="Arial"/>
                <w:spacing w:val="-3"/>
              </w:rPr>
              <w:t xml:space="preserve"> </w:t>
            </w:r>
            <w:r w:rsidRPr="00321CE8">
              <w:rPr>
                <w:rFonts w:ascii="Arial" w:hAnsi="Arial" w:cs="Arial"/>
              </w:rPr>
              <w:t>exercise</w:t>
            </w:r>
          </w:p>
        </w:tc>
      </w:tr>
      <w:tr w:rsidR="00321CE8" w:rsidRPr="00321CE8" w14:paraId="44021916" w14:textId="77777777" w:rsidTr="00AC3011">
        <w:trPr>
          <w:trHeight w:val="202"/>
        </w:trPr>
        <w:tc>
          <w:tcPr>
            <w:tcW w:w="582" w:type="dxa"/>
          </w:tcPr>
          <w:p w14:paraId="44361139" w14:textId="77777777" w:rsidR="00321CE8" w:rsidRPr="00321CE8" w:rsidRDefault="00321CE8" w:rsidP="00FF5E02">
            <w:pPr>
              <w:pStyle w:val="TableParagraph"/>
              <w:spacing w:line="225" w:lineRule="exact"/>
              <w:ind w:left="86"/>
              <w:jc w:val="both"/>
              <w:rPr>
                <w:rFonts w:ascii="Arial" w:hAnsi="Arial" w:cs="Arial"/>
              </w:rPr>
            </w:pPr>
            <w:r w:rsidRPr="00321CE8">
              <w:rPr>
                <w:rFonts w:ascii="Arial" w:hAnsi="Arial" w:cs="Arial"/>
                <w:w w:val="99"/>
              </w:rPr>
              <w:t>c</w:t>
            </w:r>
          </w:p>
        </w:tc>
        <w:tc>
          <w:tcPr>
            <w:tcW w:w="8148" w:type="dxa"/>
            <w:gridSpan w:val="2"/>
          </w:tcPr>
          <w:p w14:paraId="693F7F43" w14:textId="77777777" w:rsidR="00321CE8" w:rsidRPr="00321CE8" w:rsidRDefault="00321CE8" w:rsidP="00FF5E02">
            <w:pPr>
              <w:pStyle w:val="TableParagraph"/>
              <w:spacing w:line="225" w:lineRule="exact"/>
              <w:jc w:val="both"/>
              <w:rPr>
                <w:rFonts w:ascii="Arial" w:hAnsi="Arial" w:cs="Arial"/>
              </w:rPr>
            </w:pPr>
            <w:r w:rsidRPr="00321CE8">
              <w:rPr>
                <w:rFonts w:ascii="Arial" w:hAnsi="Arial" w:cs="Arial"/>
              </w:rPr>
              <w:t>Pre-landing</w:t>
            </w:r>
            <w:r w:rsidRPr="00321CE8">
              <w:rPr>
                <w:rFonts w:ascii="Arial" w:hAnsi="Arial" w:cs="Arial"/>
                <w:spacing w:val="-3"/>
              </w:rPr>
              <w:t xml:space="preserve"> </w:t>
            </w:r>
            <w:r w:rsidRPr="00321CE8">
              <w:rPr>
                <w:rFonts w:ascii="Arial" w:hAnsi="Arial" w:cs="Arial"/>
              </w:rPr>
              <w:t>checks</w:t>
            </w:r>
          </w:p>
        </w:tc>
      </w:tr>
      <w:tr w:rsidR="00321CE8" w:rsidRPr="00321CE8" w14:paraId="66FC2FF5" w14:textId="77777777" w:rsidTr="00AC3011">
        <w:trPr>
          <w:trHeight w:val="199"/>
        </w:trPr>
        <w:tc>
          <w:tcPr>
            <w:tcW w:w="582" w:type="dxa"/>
          </w:tcPr>
          <w:p w14:paraId="1F89427A" w14:textId="77777777" w:rsidR="00321CE8" w:rsidRPr="00321CE8" w:rsidRDefault="00321CE8" w:rsidP="00FF5E02">
            <w:pPr>
              <w:pStyle w:val="TableParagraph"/>
              <w:spacing w:line="223" w:lineRule="exact"/>
              <w:ind w:left="86"/>
              <w:jc w:val="both"/>
              <w:rPr>
                <w:rFonts w:ascii="Arial" w:hAnsi="Arial" w:cs="Arial"/>
              </w:rPr>
            </w:pPr>
            <w:r w:rsidRPr="00321CE8">
              <w:rPr>
                <w:rFonts w:ascii="Arial" w:hAnsi="Arial" w:cs="Arial"/>
                <w:w w:val="99"/>
              </w:rPr>
              <w:t>d</w:t>
            </w:r>
          </w:p>
        </w:tc>
        <w:tc>
          <w:tcPr>
            <w:tcW w:w="8148" w:type="dxa"/>
            <w:gridSpan w:val="2"/>
          </w:tcPr>
          <w:p w14:paraId="6FC801DB" w14:textId="77777777" w:rsidR="00321CE8" w:rsidRPr="00321CE8" w:rsidRDefault="00321CE8" w:rsidP="00FF5E02">
            <w:pPr>
              <w:pStyle w:val="TableParagraph"/>
              <w:spacing w:line="223" w:lineRule="exact"/>
              <w:jc w:val="both"/>
              <w:rPr>
                <w:rFonts w:ascii="Arial" w:hAnsi="Arial" w:cs="Arial"/>
              </w:rPr>
            </w:pPr>
            <w:r w:rsidRPr="00321CE8">
              <w:rPr>
                <w:rFonts w:ascii="Arial" w:hAnsi="Arial" w:cs="Arial"/>
              </w:rPr>
              <w:t>Passenger</w:t>
            </w:r>
            <w:r w:rsidRPr="00321CE8">
              <w:rPr>
                <w:rFonts w:ascii="Arial" w:hAnsi="Arial" w:cs="Arial"/>
                <w:spacing w:val="-3"/>
              </w:rPr>
              <w:t xml:space="preserve"> </w:t>
            </w:r>
            <w:r w:rsidRPr="00321CE8">
              <w:rPr>
                <w:rFonts w:ascii="Arial" w:hAnsi="Arial" w:cs="Arial"/>
              </w:rPr>
              <w:t>pre-landing</w:t>
            </w:r>
            <w:r w:rsidRPr="00321CE8">
              <w:rPr>
                <w:rFonts w:ascii="Arial" w:hAnsi="Arial" w:cs="Arial"/>
                <w:spacing w:val="-3"/>
              </w:rPr>
              <w:t xml:space="preserve"> </w:t>
            </w:r>
            <w:r w:rsidRPr="00321CE8">
              <w:rPr>
                <w:rFonts w:ascii="Arial" w:hAnsi="Arial" w:cs="Arial"/>
              </w:rPr>
              <w:t>briefing</w:t>
            </w:r>
          </w:p>
        </w:tc>
      </w:tr>
      <w:tr w:rsidR="00321CE8" w:rsidRPr="00321CE8" w14:paraId="2F66EAB2" w14:textId="77777777" w:rsidTr="00AC3011">
        <w:trPr>
          <w:trHeight w:val="202"/>
        </w:trPr>
        <w:tc>
          <w:tcPr>
            <w:tcW w:w="582" w:type="dxa"/>
          </w:tcPr>
          <w:p w14:paraId="73C8BE84" w14:textId="77777777" w:rsidR="00321CE8" w:rsidRPr="00321CE8" w:rsidRDefault="00321CE8" w:rsidP="00FF5E02">
            <w:pPr>
              <w:pStyle w:val="TableParagraph"/>
              <w:spacing w:line="225" w:lineRule="exact"/>
              <w:ind w:left="86"/>
              <w:jc w:val="both"/>
              <w:rPr>
                <w:rFonts w:ascii="Arial" w:hAnsi="Arial" w:cs="Arial"/>
              </w:rPr>
            </w:pPr>
            <w:r w:rsidRPr="00321CE8">
              <w:rPr>
                <w:rFonts w:ascii="Arial" w:hAnsi="Arial" w:cs="Arial"/>
                <w:w w:val="99"/>
              </w:rPr>
              <w:t>e</w:t>
            </w:r>
          </w:p>
        </w:tc>
        <w:tc>
          <w:tcPr>
            <w:tcW w:w="8148" w:type="dxa"/>
            <w:gridSpan w:val="2"/>
          </w:tcPr>
          <w:p w14:paraId="7741B919" w14:textId="77777777" w:rsidR="00321CE8" w:rsidRPr="00321CE8" w:rsidRDefault="00321CE8" w:rsidP="00FF5E02">
            <w:pPr>
              <w:pStyle w:val="TableParagraph"/>
              <w:spacing w:line="225" w:lineRule="exact"/>
              <w:jc w:val="both"/>
              <w:rPr>
                <w:rFonts w:ascii="Arial" w:hAnsi="Arial" w:cs="Arial"/>
              </w:rPr>
            </w:pPr>
            <w:r w:rsidRPr="00321CE8">
              <w:rPr>
                <w:rFonts w:ascii="Arial" w:hAnsi="Arial" w:cs="Arial"/>
              </w:rPr>
              <w:t>Selection</w:t>
            </w:r>
            <w:r w:rsidRPr="00321CE8">
              <w:rPr>
                <w:rFonts w:ascii="Arial" w:hAnsi="Arial" w:cs="Arial"/>
                <w:spacing w:val="-3"/>
              </w:rPr>
              <w:t xml:space="preserve"> </w:t>
            </w:r>
            <w:r w:rsidRPr="00321CE8">
              <w:rPr>
                <w:rFonts w:ascii="Arial" w:hAnsi="Arial" w:cs="Arial"/>
              </w:rPr>
              <w:t>of</w:t>
            </w:r>
            <w:r w:rsidRPr="00321CE8">
              <w:rPr>
                <w:rFonts w:ascii="Arial" w:hAnsi="Arial" w:cs="Arial"/>
                <w:spacing w:val="-2"/>
              </w:rPr>
              <w:t xml:space="preserve"> </w:t>
            </w:r>
            <w:r w:rsidRPr="00321CE8">
              <w:rPr>
                <w:rFonts w:ascii="Arial" w:hAnsi="Arial" w:cs="Arial"/>
              </w:rPr>
              <w:t>landing</w:t>
            </w:r>
            <w:r w:rsidRPr="00321CE8">
              <w:rPr>
                <w:rFonts w:ascii="Arial" w:hAnsi="Arial" w:cs="Arial"/>
                <w:spacing w:val="-3"/>
              </w:rPr>
              <w:t xml:space="preserve"> </w:t>
            </w:r>
            <w:r w:rsidRPr="00321CE8">
              <w:rPr>
                <w:rFonts w:ascii="Arial" w:hAnsi="Arial" w:cs="Arial"/>
              </w:rPr>
              <w:t>field</w:t>
            </w:r>
          </w:p>
        </w:tc>
      </w:tr>
      <w:tr w:rsidR="00321CE8" w:rsidRPr="00321CE8" w14:paraId="3E5258F7" w14:textId="77777777" w:rsidTr="00AC3011">
        <w:trPr>
          <w:trHeight w:val="200"/>
        </w:trPr>
        <w:tc>
          <w:tcPr>
            <w:tcW w:w="582" w:type="dxa"/>
          </w:tcPr>
          <w:p w14:paraId="1A4676D3" w14:textId="77777777" w:rsidR="00321CE8" w:rsidRPr="00321CE8" w:rsidRDefault="00321CE8" w:rsidP="00FF5E02">
            <w:pPr>
              <w:pStyle w:val="TableParagraph"/>
              <w:spacing w:line="223" w:lineRule="exact"/>
              <w:ind w:left="86"/>
              <w:jc w:val="both"/>
              <w:rPr>
                <w:rFonts w:ascii="Arial" w:hAnsi="Arial" w:cs="Arial"/>
              </w:rPr>
            </w:pPr>
            <w:r w:rsidRPr="00321CE8">
              <w:rPr>
                <w:rFonts w:ascii="Arial" w:hAnsi="Arial" w:cs="Arial"/>
                <w:w w:val="99"/>
              </w:rPr>
              <w:t>f</w:t>
            </w:r>
          </w:p>
        </w:tc>
        <w:tc>
          <w:tcPr>
            <w:tcW w:w="8148" w:type="dxa"/>
            <w:gridSpan w:val="2"/>
          </w:tcPr>
          <w:p w14:paraId="1C492D0F" w14:textId="77777777" w:rsidR="00321CE8" w:rsidRPr="00321CE8" w:rsidRDefault="00321CE8" w:rsidP="00FF5E02">
            <w:pPr>
              <w:pStyle w:val="TableParagraph"/>
              <w:spacing w:line="223" w:lineRule="exact"/>
              <w:jc w:val="both"/>
              <w:rPr>
                <w:rFonts w:ascii="Arial" w:hAnsi="Arial" w:cs="Arial"/>
              </w:rPr>
            </w:pPr>
            <w:r w:rsidRPr="00321CE8">
              <w:rPr>
                <w:rFonts w:ascii="Arial" w:hAnsi="Arial" w:cs="Arial"/>
              </w:rPr>
              <w:t>Final</w:t>
            </w:r>
            <w:r w:rsidRPr="00321CE8">
              <w:rPr>
                <w:rFonts w:ascii="Arial" w:hAnsi="Arial" w:cs="Arial"/>
                <w:spacing w:val="-3"/>
              </w:rPr>
              <w:t xml:space="preserve"> </w:t>
            </w:r>
            <w:r w:rsidRPr="00321CE8">
              <w:rPr>
                <w:rFonts w:ascii="Arial" w:hAnsi="Arial" w:cs="Arial"/>
              </w:rPr>
              <w:t>passenger</w:t>
            </w:r>
            <w:r w:rsidRPr="00321CE8">
              <w:rPr>
                <w:rFonts w:ascii="Arial" w:hAnsi="Arial" w:cs="Arial"/>
                <w:spacing w:val="-3"/>
              </w:rPr>
              <w:t xml:space="preserve"> </w:t>
            </w:r>
            <w:r w:rsidRPr="00321CE8">
              <w:rPr>
                <w:rFonts w:ascii="Arial" w:hAnsi="Arial" w:cs="Arial"/>
              </w:rPr>
              <w:t>briefing,</w:t>
            </w:r>
            <w:r w:rsidRPr="00321CE8">
              <w:rPr>
                <w:rFonts w:ascii="Arial" w:hAnsi="Arial" w:cs="Arial"/>
                <w:spacing w:val="-3"/>
              </w:rPr>
              <w:t xml:space="preserve"> </w:t>
            </w:r>
            <w:r w:rsidRPr="00321CE8">
              <w:rPr>
                <w:rFonts w:ascii="Arial" w:hAnsi="Arial" w:cs="Arial"/>
              </w:rPr>
              <w:t>landing,</w:t>
            </w:r>
            <w:r w:rsidRPr="00321CE8">
              <w:rPr>
                <w:rFonts w:ascii="Arial" w:hAnsi="Arial" w:cs="Arial"/>
                <w:spacing w:val="-3"/>
              </w:rPr>
              <w:t xml:space="preserve"> </w:t>
            </w:r>
            <w:r w:rsidRPr="00321CE8">
              <w:rPr>
                <w:rFonts w:ascii="Arial" w:hAnsi="Arial" w:cs="Arial"/>
              </w:rPr>
              <w:t>dragging</w:t>
            </w:r>
            <w:r w:rsidRPr="00321CE8">
              <w:rPr>
                <w:rFonts w:ascii="Arial" w:hAnsi="Arial" w:cs="Arial"/>
                <w:spacing w:val="-4"/>
              </w:rPr>
              <w:t xml:space="preserve"> </w:t>
            </w:r>
            <w:r w:rsidRPr="00321CE8">
              <w:rPr>
                <w:rFonts w:ascii="Arial" w:hAnsi="Arial" w:cs="Arial"/>
              </w:rPr>
              <w:t>and</w:t>
            </w:r>
            <w:r w:rsidRPr="00321CE8">
              <w:rPr>
                <w:rFonts w:ascii="Arial" w:hAnsi="Arial" w:cs="Arial"/>
                <w:spacing w:val="-3"/>
              </w:rPr>
              <w:t xml:space="preserve"> </w:t>
            </w:r>
            <w:r w:rsidRPr="00321CE8">
              <w:rPr>
                <w:rFonts w:ascii="Arial" w:hAnsi="Arial" w:cs="Arial"/>
              </w:rPr>
              <w:t>deflation</w:t>
            </w:r>
          </w:p>
        </w:tc>
      </w:tr>
      <w:tr w:rsidR="00321CE8" w:rsidRPr="00321CE8" w14:paraId="474F6296" w14:textId="77777777" w:rsidTr="00AC3011">
        <w:trPr>
          <w:trHeight w:val="200"/>
        </w:trPr>
        <w:tc>
          <w:tcPr>
            <w:tcW w:w="582" w:type="dxa"/>
          </w:tcPr>
          <w:p w14:paraId="782BBE44" w14:textId="77777777" w:rsidR="00321CE8" w:rsidRPr="00321CE8" w:rsidRDefault="00321CE8" w:rsidP="00FF5E02">
            <w:pPr>
              <w:pStyle w:val="TableParagraph"/>
              <w:spacing w:line="222" w:lineRule="exact"/>
              <w:ind w:left="86"/>
              <w:jc w:val="both"/>
              <w:rPr>
                <w:rFonts w:ascii="Arial" w:hAnsi="Arial" w:cs="Arial"/>
              </w:rPr>
            </w:pPr>
            <w:r w:rsidRPr="00321CE8">
              <w:rPr>
                <w:rFonts w:ascii="Arial" w:hAnsi="Arial" w:cs="Arial"/>
                <w:w w:val="99"/>
              </w:rPr>
              <w:t>g</w:t>
            </w:r>
          </w:p>
        </w:tc>
        <w:tc>
          <w:tcPr>
            <w:tcW w:w="8148" w:type="dxa"/>
            <w:gridSpan w:val="2"/>
          </w:tcPr>
          <w:p w14:paraId="412F1BEE" w14:textId="77777777" w:rsidR="00321CE8" w:rsidRPr="00321CE8" w:rsidRDefault="00321CE8" w:rsidP="00FF5E02">
            <w:pPr>
              <w:pStyle w:val="TableParagraph"/>
              <w:spacing w:line="222" w:lineRule="exact"/>
              <w:jc w:val="both"/>
              <w:rPr>
                <w:rFonts w:ascii="Arial" w:hAnsi="Arial" w:cs="Arial"/>
              </w:rPr>
            </w:pPr>
            <w:r w:rsidRPr="00321CE8">
              <w:rPr>
                <w:rFonts w:ascii="Arial" w:hAnsi="Arial" w:cs="Arial"/>
              </w:rPr>
              <w:t>ATC</w:t>
            </w:r>
            <w:r w:rsidRPr="00321CE8">
              <w:rPr>
                <w:rFonts w:ascii="Arial" w:hAnsi="Arial" w:cs="Arial"/>
                <w:spacing w:val="-3"/>
              </w:rPr>
              <w:t xml:space="preserve"> </w:t>
            </w:r>
            <w:r w:rsidRPr="00321CE8">
              <w:rPr>
                <w:rFonts w:ascii="Arial" w:hAnsi="Arial" w:cs="Arial"/>
              </w:rPr>
              <w:t>compliance</w:t>
            </w:r>
            <w:r w:rsidRPr="00321CE8">
              <w:rPr>
                <w:rFonts w:ascii="Arial" w:hAnsi="Arial" w:cs="Arial"/>
                <w:spacing w:val="-4"/>
              </w:rPr>
              <w:t xml:space="preserve"> </w:t>
            </w:r>
            <w:r w:rsidRPr="00321CE8">
              <w:rPr>
                <w:rFonts w:ascii="Arial" w:hAnsi="Arial" w:cs="Arial"/>
              </w:rPr>
              <w:t>(if</w:t>
            </w:r>
            <w:r w:rsidRPr="00321CE8">
              <w:rPr>
                <w:rFonts w:ascii="Arial" w:hAnsi="Arial" w:cs="Arial"/>
                <w:spacing w:val="-3"/>
              </w:rPr>
              <w:t xml:space="preserve"> </w:t>
            </w:r>
            <w:r w:rsidRPr="00321CE8">
              <w:rPr>
                <w:rFonts w:ascii="Arial" w:hAnsi="Arial" w:cs="Arial"/>
              </w:rPr>
              <w:t>applicable)</w:t>
            </w:r>
          </w:p>
        </w:tc>
      </w:tr>
      <w:tr w:rsidR="00321CE8" w:rsidRPr="00321CE8" w14:paraId="1914ED79" w14:textId="77777777" w:rsidTr="00AC3011">
        <w:trPr>
          <w:trHeight w:val="447"/>
        </w:trPr>
        <w:tc>
          <w:tcPr>
            <w:tcW w:w="582" w:type="dxa"/>
          </w:tcPr>
          <w:p w14:paraId="4B85E843" w14:textId="77777777" w:rsidR="00321CE8" w:rsidRPr="00321CE8" w:rsidRDefault="00321CE8" w:rsidP="00FF5E02">
            <w:pPr>
              <w:pStyle w:val="TableParagraph"/>
              <w:ind w:left="86"/>
              <w:jc w:val="both"/>
              <w:rPr>
                <w:rFonts w:ascii="Arial" w:hAnsi="Arial" w:cs="Arial"/>
              </w:rPr>
            </w:pPr>
            <w:r w:rsidRPr="00321CE8">
              <w:rPr>
                <w:rFonts w:ascii="Arial" w:hAnsi="Arial" w:cs="Arial"/>
                <w:w w:val="99"/>
              </w:rPr>
              <w:t>h</w:t>
            </w:r>
          </w:p>
        </w:tc>
        <w:tc>
          <w:tcPr>
            <w:tcW w:w="8148" w:type="dxa"/>
            <w:gridSpan w:val="2"/>
          </w:tcPr>
          <w:p w14:paraId="6B2C2F06" w14:textId="77777777" w:rsidR="00321CE8" w:rsidRPr="00321CE8" w:rsidRDefault="00321CE8" w:rsidP="00FF5E02">
            <w:pPr>
              <w:pStyle w:val="TableParagraph"/>
              <w:spacing w:line="240" w:lineRule="atLeast"/>
              <w:ind w:right="493"/>
              <w:jc w:val="both"/>
              <w:rPr>
                <w:rFonts w:ascii="Arial" w:hAnsi="Arial" w:cs="Arial"/>
              </w:rPr>
            </w:pPr>
            <w:r w:rsidRPr="00321CE8">
              <w:rPr>
                <w:rFonts w:ascii="Arial" w:hAnsi="Arial" w:cs="Arial"/>
              </w:rPr>
              <w:t>Actions after flight (recording of the flight, closing flight plan (if applicable), briefing</w:t>
            </w:r>
            <w:r w:rsidRPr="00321CE8">
              <w:rPr>
                <w:rFonts w:ascii="Arial" w:hAnsi="Arial" w:cs="Arial"/>
                <w:spacing w:val="-43"/>
              </w:rPr>
              <w:t xml:space="preserve"> </w:t>
            </w:r>
            <w:r w:rsidRPr="00321CE8">
              <w:rPr>
                <w:rFonts w:ascii="Arial" w:hAnsi="Arial" w:cs="Arial"/>
              </w:rPr>
              <w:t>passengers for packing</w:t>
            </w:r>
            <w:r w:rsidRPr="00321CE8">
              <w:rPr>
                <w:rFonts w:ascii="Arial" w:hAnsi="Arial" w:cs="Arial"/>
                <w:spacing w:val="-1"/>
              </w:rPr>
              <w:t xml:space="preserve"> </w:t>
            </w:r>
            <w:r w:rsidRPr="00321CE8">
              <w:rPr>
                <w:rFonts w:ascii="Arial" w:hAnsi="Arial" w:cs="Arial"/>
              </w:rPr>
              <w:t>balloon, contact</w:t>
            </w:r>
            <w:r w:rsidRPr="00321CE8">
              <w:rPr>
                <w:rFonts w:ascii="Arial" w:hAnsi="Arial" w:cs="Arial"/>
                <w:spacing w:val="-1"/>
              </w:rPr>
              <w:t xml:space="preserve"> </w:t>
            </w:r>
            <w:r w:rsidRPr="00321CE8">
              <w:rPr>
                <w:rFonts w:ascii="Arial" w:hAnsi="Arial" w:cs="Arial"/>
              </w:rPr>
              <w:t>landowner)</w:t>
            </w:r>
          </w:p>
        </w:tc>
      </w:tr>
      <w:tr w:rsidR="00321CE8" w:rsidRPr="00321CE8" w14:paraId="7FCBF033" w14:textId="77777777" w:rsidTr="009D3A59">
        <w:trPr>
          <w:trHeight w:val="200"/>
        </w:trPr>
        <w:tc>
          <w:tcPr>
            <w:tcW w:w="8730" w:type="dxa"/>
            <w:gridSpan w:val="3"/>
            <w:shd w:val="clear" w:color="auto" w:fill="F2F2F2" w:themeFill="background1" w:themeFillShade="F2"/>
          </w:tcPr>
          <w:p w14:paraId="52E6EAD6" w14:textId="77777777" w:rsidR="00321CE8" w:rsidRPr="00321CE8" w:rsidRDefault="00321CE8" w:rsidP="00FF5E02">
            <w:pPr>
              <w:pStyle w:val="TableParagraph"/>
              <w:spacing w:line="224" w:lineRule="exact"/>
              <w:ind w:left="86"/>
              <w:jc w:val="both"/>
              <w:rPr>
                <w:rFonts w:ascii="Arial" w:hAnsi="Arial" w:cs="Arial"/>
                <w:b/>
              </w:rPr>
            </w:pPr>
            <w:r w:rsidRPr="00321CE8">
              <w:rPr>
                <w:rFonts w:ascii="Arial" w:hAnsi="Arial" w:cs="Arial"/>
                <w:b/>
              </w:rPr>
              <w:t>SECTION</w:t>
            </w:r>
            <w:r w:rsidRPr="00321CE8">
              <w:rPr>
                <w:rFonts w:ascii="Arial" w:hAnsi="Arial" w:cs="Arial"/>
                <w:b/>
                <w:spacing w:val="-4"/>
              </w:rPr>
              <w:t xml:space="preserve"> </w:t>
            </w:r>
            <w:r w:rsidRPr="00321CE8">
              <w:rPr>
                <w:rFonts w:ascii="Arial" w:hAnsi="Arial" w:cs="Arial"/>
                <w:b/>
              </w:rPr>
              <w:t>5:</w:t>
            </w:r>
            <w:r w:rsidRPr="00321CE8">
              <w:rPr>
                <w:rFonts w:ascii="Arial" w:hAnsi="Arial" w:cs="Arial"/>
                <w:b/>
                <w:spacing w:val="-4"/>
              </w:rPr>
              <w:t xml:space="preserve"> </w:t>
            </w:r>
            <w:r w:rsidRPr="00321CE8">
              <w:rPr>
                <w:rFonts w:ascii="Arial" w:hAnsi="Arial" w:cs="Arial"/>
                <w:b/>
              </w:rPr>
              <w:t>ABNORMAL</w:t>
            </w:r>
            <w:r w:rsidRPr="00321CE8">
              <w:rPr>
                <w:rFonts w:ascii="Arial" w:hAnsi="Arial" w:cs="Arial"/>
                <w:b/>
                <w:spacing w:val="-4"/>
              </w:rPr>
              <w:t xml:space="preserve"> </w:t>
            </w:r>
            <w:r w:rsidRPr="00321CE8">
              <w:rPr>
                <w:rFonts w:ascii="Arial" w:hAnsi="Arial" w:cs="Arial"/>
                <w:b/>
              </w:rPr>
              <w:t>AND</w:t>
            </w:r>
            <w:r w:rsidRPr="00321CE8">
              <w:rPr>
                <w:rFonts w:ascii="Arial" w:hAnsi="Arial" w:cs="Arial"/>
                <w:b/>
                <w:spacing w:val="-5"/>
              </w:rPr>
              <w:t xml:space="preserve"> </w:t>
            </w:r>
            <w:r w:rsidRPr="00321CE8">
              <w:rPr>
                <w:rFonts w:ascii="Arial" w:hAnsi="Arial" w:cs="Arial"/>
                <w:b/>
              </w:rPr>
              <w:t>EMERGENCY</w:t>
            </w:r>
            <w:r w:rsidRPr="00321CE8">
              <w:rPr>
                <w:rFonts w:ascii="Arial" w:hAnsi="Arial" w:cs="Arial"/>
                <w:b/>
                <w:spacing w:val="-5"/>
              </w:rPr>
              <w:t xml:space="preserve"> </w:t>
            </w:r>
            <w:r w:rsidRPr="00321CE8">
              <w:rPr>
                <w:rFonts w:ascii="Arial" w:hAnsi="Arial" w:cs="Arial"/>
                <w:b/>
              </w:rPr>
              <w:t>PROCEDURES</w:t>
            </w:r>
          </w:p>
        </w:tc>
      </w:tr>
      <w:tr w:rsidR="00321CE8" w:rsidRPr="00321CE8" w14:paraId="7A24921B" w14:textId="77777777" w:rsidTr="00AC3011">
        <w:trPr>
          <w:trHeight w:val="202"/>
        </w:trPr>
        <w:tc>
          <w:tcPr>
            <w:tcW w:w="8730" w:type="dxa"/>
            <w:gridSpan w:val="3"/>
          </w:tcPr>
          <w:p w14:paraId="4DCADA46" w14:textId="77777777" w:rsidR="00321CE8" w:rsidRPr="00321CE8" w:rsidRDefault="00321CE8" w:rsidP="00FF5E02">
            <w:pPr>
              <w:pStyle w:val="TableParagraph"/>
              <w:spacing w:line="225" w:lineRule="exact"/>
              <w:ind w:left="86"/>
              <w:jc w:val="both"/>
              <w:rPr>
                <w:rFonts w:ascii="Arial" w:hAnsi="Arial" w:cs="Arial"/>
              </w:rPr>
            </w:pPr>
            <w:r w:rsidRPr="00321CE8">
              <w:rPr>
                <w:rFonts w:ascii="Arial" w:hAnsi="Arial" w:cs="Arial"/>
              </w:rPr>
              <w:t>This</w:t>
            </w:r>
            <w:r w:rsidRPr="00321CE8">
              <w:rPr>
                <w:rFonts w:ascii="Arial" w:hAnsi="Arial" w:cs="Arial"/>
                <w:spacing w:val="-2"/>
              </w:rPr>
              <w:t xml:space="preserve"> </w:t>
            </w:r>
            <w:r w:rsidRPr="00321CE8">
              <w:rPr>
                <w:rFonts w:ascii="Arial" w:hAnsi="Arial" w:cs="Arial"/>
              </w:rPr>
              <w:t>section</w:t>
            </w:r>
            <w:r w:rsidRPr="00321CE8">
              <w:rPr>
                <w:rFonts w:ascii="Arial" w:hAnsi="Arial" w:cs="Arial"/>
                <w:spacing w:val="-2"/>
              </w:rPr>
              <w:t xml:space="preserve"> </w:t>
            </w:r>
            <w:r w:rsidRPr="00321CE8">
              <w:rPr>
                <w:rFonts w:ascii="Arial" w:hAnsi="Arial" w:cs="Arial"/>
              </w:rPr>
              <w:t>may</w:t>
            </w:r>
            <w:r w:rsidRPr="00321CE8">
              <w:rPr>
                <w:rFonts w:ascii="Arial" w:hAnsi="Arial" w:cs="Arial"/>
                <w:spacing w:val="-1"/>
              </w:rPr>
              <w:t xml:space="preserve"> </w:t>
            </w:r>
            <w:r w:rsidRPr="00321CE8">
              <w:rPr>
                <w:rFonts w:ascii="Arial" w:hAnsi="Arial" w:cs="Arial"/>
              </w:rPr>
              <w:t>be</w:t>
            </w:r>
            <w:r w:rsidRPr="00321CE8">
              <w:rPr>
                <w:rFonts w:ascii="Arial" w:hAnsi="Arial" w:cs="Arial"/>
                <w:spacing w:val="-3"/>
              </w:rPr>
              <w:t xml:space="preserve"> </w:t>
            </w:r>
            <w:r w:rsidRPr="00321CE8">
              <w:rPr>
                <w:rFonts w:ascii="Arial" w:hAnsi="Arial" w:cs="Arial"/>
              </w:rPr>
              <w:t>combined with</w:t>
            </w:r>
            <w:r w:rsidRPr="00321CE8">
              <w:rPr>
                <w:rFonts w:ascii="Arial" w:hAnsi="Arial" w:cs="Arial"/>
                <w:spacing w:val="-3"/>
              </w:rPr>
              <w:t xml:space="preserve"> </w:t>
            </w:r>
            <w:r w:rsidRPr="00321CE8">
              <w:rPr>
                <w:rFonts w:ascii="Arial" w:hAnsi="Arial" w:cs="Arial"/>
              </w:rPr>
              <w:t>Sections</w:t>
            </w:r>
            <w:r w:rsidRPr="00321CE8">
              <w:rPr>
                <w:rFonts w:ascii="Arial" w:hAnsi="Arial" w:cs="Arial"/>
                <w:spacing w:val="-1"/>
              </w:rPr>
              <w:t xml:space="preserve"> </w:t>
            </w:r>
            <w:r w:rsidRPr="00321CE8">
              <w:rPr>
                <w:rFonts w:ascii="Arial" w:hAnsi="Arial" w:cs="Arial"/>
              </w:rPr>
              <w:t>1</w:t>
            </w:r>
            <w:r w:rsidRPr="00321CE8">
              <w:rPr>
                <w:rFonts w:ascii="Arial" w:hAnsi="Arial" w:cs="Arial"/>
                <w:spacing w:val="-3"/>
              </w:rPr>
              <w:t xml:space="preserve"> </w:t>
            </w:r>
            <w:r w:rsidRPr="00321CE8">
              <w:rPr>
                <w:rFonts w:ascii="Arial" w:hAnsi="Arial" w:cs="Arial"/>
              </w:rPr>
              <w:t>through</w:t>
            </w:r>
            <w:r w:rsidRPr="00321CE8">
              <w:rPr>
                <w:rFonts w:ascii="Arial" w:hAnsi="Arial" w:cs="Arial"/>
                <w:spacing w:val="-2"/>
              </w:rPr>
              <w:t xml:space="preserve"> </w:t>
            </w:r>
            <w:r w:rsidRPr="00321CE8">
              <w:rPr>
                <w:rFonts w:ascii="Arial" w:hAnsi="Arial" w:cs="Arial"/>
              </w:rPr>
              <w:t>4.</w:t>
            </w:r>
          </w:p>
        </w:tc>
      </w:tr>
      <w:tr w:rsidR="00321CE8" w:rsidRPr="00321CE8" w14:paraId="292DC9E0" w14:textId="77777777" w:rsidTr="00AC3011">
        <w:trPr>
          <w:trHeight w:val="199"/>
        </w:trPr>
        <w:tc>
          <w:tcPr>
            <w:tcW w:w="582" w:type="dxa"/>
          </w:tcPr>
          <w:p w14:paraId="68061E7A" w14:textId="77777777" w:rsidR="00321CE8" w:rsidRPr="00321CE8" w:rsidRDefault="00321CE8" w:rsidP="00FF5E02">
            <w:pPr>
              <w:pStyle w:val="TableParagraph"/>
              <w:spacing w:line="223" w:lineRule="exact"/>
              <w:ind w:left="86"/>
              <w:jc w:val="both"/>
              <w:rPr>
                <w:rFonts w:ascii="Arial" w:hAnsi="Arial" w:cs="Arial"/>
              </w:rPr>
            </w:pPr>
            <w:r w:rsidRPr="00321CE8">
              <w:rPr>
                <w:rFonts w:ascii="Arial" w:hAnsi="Arial" w:cs="Arial"/>
                <w:w w:val="99"/>
              </w:rPr>
              <w:t>a</w:t>
            </w:r>
          </w:p>
        </w:tc>
        <w:tc>
          <w:tcPr>
            <w:tcW w:w="8148" w:type="dxa"/>
            <w:gridSpan w:val="2"/>
          </w:tcPr>
          <w:p w14:paraId="4DCC1426" w14:textId="77777777" w:rsidR="00321CE8" w:rsidRPr="00321CE8" w:rsidRDefault="00321CE8" w:rsidP="00FF5E02">
            <w:pPr>
              <w:pStyle w:val="TableParagraph"/>
              <w:spacing w:line="223" w:lineRule="exact"/>
              <w:jc w:val="both"/>
              <w:rPr>
                <w:rFonts w:ascii="Arial" w:hAnsi="Arial" w:cs="Arial"/>
              </w:rPr>
            </w:pPr>
            <w:r w:rsidRPr="00321CE8">
              <w:rPr>
                <w:rFonts w:ascii="Arial" w:hAnsi="Arial" w:cs="Arial"/>
              </w:rPr>
              <w:t>Simulated</w:t>
            </w:r>
            <w:r w:rsidRPr="00321CE8">
              <w:rPr>
                <w:rFonts w:ascii="Arial" w:hAnsi="Arial" w:cs="Arial"/>
                <w:spacing w:val="-2"/>
              </w:rPr>
              <w:t xml:space="preserve"> </w:t>
            </w:r>
            <w:r w:rsidRPr="00321CE8">
              <w:rPr>
                <w:rFonts w:ascii="Arial" w:hAnsi="Arial" w:cs="Arial"/>
              </w:rPr>
              <w:t>fire</w:t>
            </w:r>
            <w:r w:rsidRPr="00321CE8">
              <w:rPr>
                <w:rFonts w:ascii="Arial" w:hAnsi="Arial" w:cs="Arial"/>
                <w:spacing w:val="-3"/>
              </w:rPr>
              <w:t xml:space="preserve"> </w:t>
            </w:r>
            <w:r w:rsidRPr="00321CE8">
              <w:rPr>
                <w:rFonts w:ascii="Arial" w:hAnsi="Arial" w:cs="Arial"/>
              </w:rPr>
              <w:t>on</w:t>
            </w:r>
            <w:r w:rsidRPr="00321CE8">
              <w:rPr>
                <w:rFonts w:ascii="Arial" w:hAnsi="Arial" w:cs="Arial"/>
                <w:spacing w:val="-2"/>
              </w:rPr>
              <w:t xml:space="preserve"> </w:t>
            </w:r>
            <w:r w:rsidRPr="00321CE8">
              <w:rPr>
                <w:rFonts w:ascii="Arial" w:hAnsi="Arial" w:cs="Arial"/>
              </w:rPr>
              <w:t>the</w:t>
            </w:r>
            <w:r w:rsidRPr="00321CE8">
              <w:rPr>
                <w:rFonts w:ascii="Arial" w:hAnsi="Arial" w:cs="Arial"/>
                <w:spacing w:val="-2"/>
              </w:rPr>
              <w:t xml:space="preserve"> </w:t>
            </w:r>
            <w:r w:rsidRPr="00321CE8">
              <w:rPr>
                <w:rFonts w:ascii="Arial" w:hAnsi="Arial" w:cs="Arial"/>
              </w:rPr>
              <w:t>ground</w:t>
            </w:r>
            <w:r w:rsidRPr="00321CE8">
              <w:rPr>
                <w:rFonts w:ascii="Arial" w:hAnsi="Arial" w:cs="Arial"/>
                <w:spacing w:val="-2"/>
              </w:rPr>
              <w:t xml:space="preserve"> </w:t>
            </w:r>
            <w:r w:rsidRPr="00321CE8">
              <w:rPr>
                <w:rFonts w:ascii="Arial" w:hAnsi="Arial" w:cs="Arial"/>
              </w:rPr>
              <w:t>and</w:t>
            </w:r>
            <w:r w:rsidRPr="00321CE8">
              <w:rPr>
                <w:rFonts w:ascii="Arial" w:hAnsi="Arial" w:cs="Arial"/>
                <w:spacing w:val="-2"/>
              </w:rPr>
              <w:t xml:space="preserve"> </w:t>
            </w:r>
            <w:r w:rsidRPr="00321CE8">
              <w:rPr>
                <w:rFonts w:ascii="Arial" w:hAnsi="Arial" w:cs="Arial"/>
              </w:rPr>
              <w:t>in</w:t>
            </w:r>
            <w:r w:rsidRPr="00321CE8">
              <w:rPr>
                <w:rFonts w:ascii="Arial" w:hAnsi="Arial" w:cs="Arial"/>
                <w:spacing w:val="-1"/>
              </w:rPr>
              <w:t xml:space="preserve"> </w:t>
            </w:r>
            <w:r w:rsidRPr="00321CE8">
              <w:rPr>
                <w:rFonts w:ascii="Arial" w:hAnsi="Arial" w:cs="Arial"/>
              </w:rPr>
              <w:t>the</w:t>
            </w:r>
            <w:r w:rsidRPr="00321CE8">
              <w:rPr>
                <w:rFonts w:ascii="Arial" w:hAnsi="Arial" w:cs="Arial"/>
                <w:spacing w:val="-2"/>
              </w:rPr>
              <w:t xml:space="preserve"> </w:t>
            </w:r>
            <w:r w:rsidRPr="00321CE8">
              <w:rPr>
                <w:rFonts w:ascii="Arial" w:hAnsi="Arial" w:cs="Arial"/>
              </w:rPr>
              <w:t>air</w:t>
            </w:r>
          </w:p>
        </w:tc>
      </w:tr>
      <w:tr w:rsidR="00321CE8" w:rsidRPr="00321CE8" w14:paraId="51561236" w14:textId="77777777" w:rsidTr="00AC3011">
        <w:trPr>
          <w:trHeight w:val="202"/>
        </w:trPr>
        <w:tc>
          <w:tcPr>
            <w:tcW w:w="582" w:type="dxa"/>
          </w:tcPr>
          <w:p w14:paraId="5CA66892" w14:textId="77777777" w:rsidR="00321CE8" w:rsidRPr="00321CE8" w:rsidRDefault="00321CE8" w:rsidP="00FF5E02">
            <w:pPr>
              <w:pStyle w:val="TableParagraph"/>
              <w:spacing w:line="225" w:lineRule="exact"/>
              <w:ind w:left="86"/>
              <w:jc w:val="both"/>
              <w:rPr>
                <w:rFonts w:ascii="Arial" w:hAnsi="Arial" w:cs="Arial"/>
              </w:rPr>
            </w:pPr>
            <w:r w:rsidRPr="00321CE8">
              <w:rPr>
                <w:rFonts w:ascii="Arial" w:hAnsi="Arial" w:cs="Arial"/>
                <w:w w:val="99"/>
              </w:rPr>
              <w:t>b</w:t>
            </w:r>
          </w:p>
        </w:tc>
        <w:tc>
          <w:tcPr>
            <w:tcW w:w="8148" w:type="dxa"/>
            <w:gridSpan w:val="2"/>
          </w:tcPr>
          <w:p w14:paraId="77068CD7" w14:textId="77777777" w:rsidR="00321CE8" w:rsidRPr="00321CE8" w:rsidRDefault="00321CE8" w:rsidP="00FF5E02">
            <w:pPr>
              <w:pStyle w:val="TableParagraph"/>
              <w:spacing w:line="225" w:lineRule="exact"/>
              <w:jc w:val="both"/>
              <w:rPr>
                <w:rFonts w:ascii="Arial" w:hAnsi="Arial" w:cs="Arial"/>
              </w:rPr>
            </w:pPr>
            <w:r w:rsidRPr="00321CE8">
              <w:rPr>
                <w:rFonts w:ascii="Arial" w:hAnsi="Arial" w:cs="Arial"/>
              </w:rPr>
              <w:t>Simulated</w:t>
            </w:r>
            <w:r w:rsidRPr="00321CE8">
              <w:rPr>
                <w:rFonts w:ascii="Arial" w:hAnsi="Arial" w:cs="Arial"/>
                <w:spacing w:val="-3"/>
              </w:rPr>
              <w:t xml:space="preserve"> </w:t>
            </w:r>
            <w:r w:rsidRPr="00321CE8">
              <w:rPr>
                <w:rFonts w:ascii="Arial" w:hAnsi="Arial" w:cs="Arial"/>
              </w:rPr>
              <w:t>pilot</w:t>
            </w:r>
            <w:r w:rsidRPr="00321CE8">
              <w:rPr>
                <w:rFonts w:ascii="Arial" w:hAnsi="Arial" w:cs="Arial"/>
                <w:spacing w:val="-2"/>
              </w:rPr>
              <w:t xml:space="preserve"> </w:t>
            </w:r>
            <w:r w:rsidRPr="00321CE8">
              <w:rPr>
                <w:rFonts w:ascii="Arial" w:hAnsi="Arial" w:cs="Arial"/>
              </w:rPr>
              <w:t>light</w:t>
            </w:r>
            <w:r w:rsidRPr="00321CE8">
              <w:rPr>
                <w:rFonts w:ascii="Arial" w:hAnsi="Arial" w:cs="Arial"/>
                <w:spacing w:val="-3"/>
              </w:rPr>
              <w:t xml:space="preserve"> </w:t>
            </w:r>
            <w:r w:rsidRPr="00321CE8">
              <w:rPr>
                <w:rFonts w:ascii="Arial" w:hAnsi="Arial" w:cs="Arial"/>
              </w:rPr>
              <w:t>and</w:t>
            </w:r>
            <w:r w:rsidRPr="00321CE8">
              <w:rPr>
                <w:rFonts w:ascii="Arial" w:hAnsi="Arial" w:cs="Arial"/>
                <w:spacing w:val="-2"/>
              </w:rPr>
              <w:t xml:space="preserve"> </w:t>
            </w:r>
            <w:r w:rsidRPr="00321CE8">
              <w:rPr>
                <w:rFonts w:ascii="Arial" w:hAnsi="Arial" w:cs="Arial"/>
              </w:rPr>
              <w:t>burner</w:t>
            </w:r>
            <w:r w:rsidRPr="00321CE8">
              <w:rPr>
                <w:rFonts w:ascii="Arial" w:hAnsi="Arial" w:cs="Arial"/>
                <w:spacing w:val="-3"/>
              </w:rPr>
              <w:t xml:space="preserve"> </w:t>
            </w:r>
            <w:r w:rsidRPr="00321CE8">
              <w:rPr>
                <w:rFonts w:ascii="Arial" w:hAnsi="Arial" w:cs="Arial"/>
              </w:rPr>
              <w:t>failures</w:t>
            </w:r>
          </w:p>
        </w:tc>
      </w:tr>
      <w:tr w:rsidR="00321CE8" w:rsidRPr="00321CE8" w14:paraId="2FC3FD82" w14:textId="77777777" w:rsidTr="00AC3011">
        <w:trPr>
          <w:trHeight w:val="199"/>
        </w:trPr>
        <w:tc>
          <w:tcPr>
            <w:tcW w:w="582" w:type="dxa"/>
          </w:tcPr>
          <w:p w14:paraId="6E057011" w14:textId="77777777" w:rsidR="00321CE8" w:rsidRPr="00321CE8" w:rsidRDefault="00321CE8" w:rsidP="00FF5E02">
            <w:pPr>
              <w:pStyle w:val="TableParagraph"/>
              <w:spacing w:line="223" w:lineRule="exact"/>
              <w:ind w:left="86"/>
              <w:jc w:val="both"/>
              <w:rPr>
                <w:rFonts w:ascii="Arial" w:hAnsi="Arial" w:cs="Arial"/>
              </w:rPr>
            </w:pPr>
            <w:r w:rsidRPr="00321CE8">
              <w:rPr>
                <w:rFonts w:ascii="Arial" w:hAnsi="Arial" w:cs="Arial"/>
                <w:w w:val="99"/>
              </w:rPr>
              <w:t>c</w:t>
            </w:r>
          </w:p>
        </w:tc>
        <w:tc>
          <w:tcPr>
            <w:tcW w:w="8148" w:type="dxa"/>
            <w:gridSpan w:val="2"/>
          </w:tcPr>
          <w:p w14:paraId="61A91CD5" w14:textId="77777777" w:rsidR="00321CE8" w:rsidRPr="00321CE8" w:rsidRDefault="00321CE8" w:rsidP="00FF5E02">
            <w:pPr>
              <w:pStyle w:val="TableParagraph"/>
              <w:spacing w:line="223" w:lineRule="exact"/>
              <w:jc w:val="both"/>
              <w:rPr>
                <w:rFonts w:ascii="Arial" w:hAnsi="Arial" w:cs="Arial"/>
              </w:rPr>
            </w:pPr>
            <w:r w:rsidRPr="00321CE8">
              <w:rPr>
                <w:rFonts w:ascii="Arial" w:hAnsi="Arial" w:cs="Arial"/>
              </w:rPr>
              <w:t>Simulated</w:t>
            </w:r>
            <w:r w:rsidRPr="00321CE8">
              <w:rPr>
                <w:rFonts w:ascii="Arial" w:hAnsi="Arial" w:cs="Arial"/>
                <w:spacing w:val="-4"/>
              </w:rPr>
              <w:t xml:space="preserve"> </w:t>
            </w:r>
            <w:r w:rsidRPr="00321CE8">
              <w:rPr>
                <w:rFonts w:ascii="Arial" w:hAnsi="Arial" w:cs="Arial"/>
              </w:rPr>
              <w:t>passenger</w:t>
            </w:r>
            <w:r w:rsidRPr="00321CE8">
              <w:rPr>
                <w:rFonts w:ascii="Arial" w:hAnsi="Arial" w:cs="Arial"/>
                <w:spacing w:val="-4"/>
              </w:rPr>
              <w:t xml:space="preserve"> </w:t>
            </w:r>
            <w:r w:rsidRPr="00321CE8">
              <w:rPr>
                <w:rFonts w:ascii="Arial" w:hAnsi="Arial" w:cs="Arial"/>
              </w:rPr>
              <w:t>health</w:t>
            </w:r>
            <w:r w:rsidRPr="00321CE8">
              <w:rPr>
                <w:rFonts w:ascii="Arial" w:hAnsi="Arial" w:cs="Arial"/>
                <w:spacing w:val="-4"/>
              </w:rPr>
              <w:t xml:space="preserve"> </w:t>
            </w:r>
            <w:r w:rsidRPr="00321CE8">
              <w:rPr>
                <w:rFonts w:ascii="Arial" w:hAnsi="Arial" w:cs="Arial"/>
              </w:rPr>
              <w:t>problems</w:t>
            </w:r>
          </w:p>
        </w:tc>
      </w:tr>
      <w:tr w:rsidR="00321CE8" w:rsidRPr="00321CE8" w14:paraId="678012F2" w14:textId="77777777" w:rsidTr="00AC3011">
        <w:trPr>
          <w:trHeight w:val="202"/>
        </w:trPr>
        <w:tc>
          <w:tcPr>
            <w:tcW w:w="582" w:type="dxa"/>
          </w:tcPr>
          <w:p w14:paraId="0CE12DCF" w14:textId="77777777" w:rsidR="00321CE8" w:rsidRPr="00321CE8" w:rsidRDefault="00321CE8" w:rsidP="00FF5E02">
            <w:pPr>
              <w:pStyle w:val="TableParagraph"/>
              <w:spacing w:line="225" w:lineRule="exact"/>
              <w:ind w:left="86"/>
              <w:jc w:val="both"/>
              <w:rPr>
                <w:rFonts w:ascii="Arial" w:hAnsi="Arial" w:cs="Arial"/>
              </w:rPr>
            </w:pPr>
            <w:r w:rsidRPr="00321CE8">
              <w:rPr>
                <w:rFonts w:ascii="Arial" w:hAnsi="Arial" w:cs="Arial"/>
                <w:w w:val="99"/>
              </w:rPr>
              <w:t>d</w:t>
            </w:r>
          </w:p>
        </w:tc>
        <w:tc>
          <w:tcPr>
            <w:tcW w:w="8148" w:type="dxa"/>
            <w:gridSpan w:val="2"/>
          </w:tcPr>
          <w:p w14:paraId="35A71FEA" w14:textId="77777777" w:rsidR="00321CE8" w:rsidRPr="00321CE8" w:rsidRDefault="00321CE8" w:rsidP="00FF5E02">
            <w:pPr>
              <w:pStyle w:val="TableParagraph"/>
              <w:spacing w:line="225" w:lineRule="exact"/>
              <w:jc w:val="both"/>
              <w:rPr>
                <w:rFonts w:ascii="Arial" w:hAnsi="Arial" w:cs="Arial"/>
              </w:rPr>
            </w:pPr>
            <w:r w:rsidRPr="00321CE8">
              <w:rPr>
                <w:rFonts w:ascii="Arial" w:hAnsi="Arial" w:cs="Arial"/>
              </w:rPr>
              <w:t>Other</w:t>
            </w:r>
            <w:r w:rsidRPr="00321CE8">
              <w:rPr>
                <w:rFonts w:ascii="Arial" w:hAnsi="Arial" w:cs="Arial"/>
                <w:spacing w:val="-3"/>
              </w:rPr>
              <w:t xml:space="preserve"> </w:t>
            </w:r>
            <w:r w:rsidRPr="00321CE8">
              <w:rPr>
                <w:rFonts w:ascii="Arial" w:hAnsi="Arial" w:cs="Arial"/>
              </w:rPr>
              <w:t>abnormal</w:t>
            </w:r>
            <w:r w:rsidRPr="00321CE8">
              <w:rPr>
                <w:rFonts w:ascii="Arial" w:hAnsi="Arial" w:cs="Arial"/>
                <w:spacing w:val="-2"/>
              </w:rPr>
              <w:t xml:space="preserve"> </w:t>
            </w:r>
            <w:r w:rsidRPr="00321CE8">
              <w:rPr>
                <w:rFonts w:ascii="Arial" w:hAnsi="Arial" w:cs="Arial"/>
              </w:rPr>
              <w:t>and</w:t>
            </w:r>
            <w:r w:rsidRPr="00321CE8">
              <w:rPr>
                <w:rFonts w:ascii="Arial" w:hAnsi="Arial" w:cs="Arial"/>
                <w:spacing w:val="-2"/>
              </w:rPr>
              <w:t xml:space="preserve"> </w:t>
            </w:r>
            <w:r w:rsidRPr="00321CE8">
              <w:rPr>
                <w:rFonts w:ascii="Arial" w:hAnsi="Arial" w:cs="Arial"/>
              </w:rPr>
              <w:t>emergency</w:t>
            </w:r>
            <w:r w:rsidRPr="00321CE8">
              <w:rPr>
                <w:rFonts w:ascii="Arial" w:hAnsi="Arial" w:cs="Arial"/>
                <w:spacing w:val="-2"/>
              </w:rPr>
              <w:t xml:space="preserve"> </w:t>
            </w:r>
            <w:r w:rsidRPr="00321CE8">
              <w:rPr>
                <w:rFonts w:ascii="Arial" w:hAnsi="Arial" w:cs="Arial"/>
              </w:rPr>
              <w:t>procedures</w:t>
            </w:r>
            <w:r w:rsidRPr="00321CE8">
              <w:rPr>
                <w:rFonts w:ascii="Arial" w:hAnsi="Arial" w:cs="Arial"/>
                <w:spacing w:val="-4"/>
              </w:rPr>
              <w:t xml:space="preserve"> </w:t>
            </w:r>
            <w:r w:rsidRPr="00321CE8">
              <w:rPr>
                <w:rFonts w:ascii="Arial" w:hAnsi="Arial" w:cs="Arial"/>
              </w:rPr>
              <w:t>as</w:t>
            </w:r>
            <w:r w:rsidRPr="00321CE8">
              <w:rPr>
                <w:rFonts w:ascii="Arial" w:hAnsi="Arial" w:cs="Arial"/>
                <w:spacing w:val="-4"/>
              </w:rPr>
              <w:t xml:space="preserve"> </w:t>
            </w:r>
            <w:r w:rsidRPr="00321CE8">
              <w:rPr>
                <w:rFonts w:ascii="Arial" w:hAnsi="Arial" w:cs="Arial"/>
              </w:rPr>
              <w:t>outlined</w:t>
            </w:r>
            <w:r w:rsidRPr="00321CE8">
              <w:rPr>
                <w:rFonts w:ascii="Arial" w:hAnsi="Arial" w:cs="Arial"/>
                <w:spacing w:val="-2"/>
              </w:rPr>
              <w:t xml:space="preserve"> </w:t>
            </w:r>
            <w:r w:rsidRPr="00321CE8">
              <w:rPr>
                <w:rFonts w:ascii="Arial" w:hAnsi="Arial" w:cs="Arial"/>
              </w:rPr>
              <w:t>in</w:t>
            </w:r>
            <w:r w:rsidRPr="00321CE8">
              <w:rPr>
                <w:rFonts w:ascii="Arial" w:hAnsi="Arial" w:cs="Arial"/>
                <w:spacing w:val="-1"/>
              </w:rPr>
              <w:t xml:space="preserve"> </w:t>
            </w:r>
            <w:r w:rsidRPr="00321CE8">
              <w:rPr>
                <w:rFonts w:ascii="Arial" w:hAnsi="Arial" w:cs="Arial"/>
              </w:rPr>
              <w:t>the</w:t>
            </w:r>
            <w:r w:rsidRPr="00321CE8">
              <w:rPr>
                <w:rFonts w:ascii="Arial" w:hAnsi="Arial" w:cs="Arial"/>
                <w:spacing w:val="-3"/>
              </w:rPr>
              <w:t xml:space="preserve"> </w:t>
            </w:r>
            <w:r w:rsidRPr="00321CE8">
              <w:rPr>
                <w:rFonts w:ascii="Arial" w:hAnsi="Arial" w:cs="Arial"/>
              </w:rPr>
              <w:t>appropriate</w:t>
            </w:r>
            <w:r w:rsidRPr="00321CE8">
              <w:rPr>
                <w:rFonts w:ascii="Arial" w:hAnsi="Arial" w:cs="Arial"/>
                <w:spacing w:val="-3"/>
              </w:rPr>
              <w:t xml:space="preserve"> </w:t>
            </w:r>
            <w:r w:rsidRPr="00321CE8">
              <w:rPr>
                <w:rFonts w:ascii="Arial" w:hAnsi="Arial" w:cs="Arial"/>
              </w:rPr>
              <w:t>flight</w:t>
            </w:r>
            <w:r w:rsidRPr="00321CE8">
              <w:rPr>
                <w:rFonts w:ascii="Arial" w:hAnsi="Arial" w:cs="Arial"/>
                <w:spacing w:val="-2"/>
              </w:rPr>
              <w:t xml:space="preserve"> </w:t>
            </w:r>
            <w:r w:rsidRPr="00321CE8">
              <w:rPr>
                <w:rFonts w:ascii="Arial" w:hAnsi="Arial" w:cs="Arial"/>
              </w:rPr>
              <w:t>manual</w:t>
            </w:r>
          </w:p>
        </w:tc>
      </w:tr>
      <w:tr w:rsidR="00321CE8" w:rsidRPr="00321CE8" w14:paraId="5556300B" w14:textId="77777777" w:rsidTr="00AC3011">
        <w:trPr>
          <w:trHeight w:val="200"/>
        </w:trPr>
        <w:tc>
          <w:tcPr>
            <w:tcW w:w="582" w:type="dxa"/>
          </w:tcPr>
          <w:p w14:paraId="3763BDEF" w14:textId="77777777" w:rsidR="00321CE8" w:rsidRPr="00321CE8" w:rsidRDefault="00321CE8" w:rsidP="00FF5E02">
            <w:pPr>
              <w:pStyle w:val="TableParagraph"/>
              <w:spacing w:line="224" w:lineRule="exact"/>
              <w:ind w:left="86"/>
              <w:jc w:val="both"/>
              <w:rPr>
                <w:rFonts w:ascii="Arial" w:hAnsi="Arial" w:cs="Arial"/>
              </w:rPr>
            </w:pPr>
            <w:r w:rsidRPr="00321CE8">
              <w:rPr>
                <w:rFonts w:ascii="Arial" w:hAnsi="Arial" w:cs="Arial"/>
                <w:w w:val="99"/>
              </w:rPr>
              <w:t>e</w:t>
            </w:r>
          </w:p>
        </w:tc>
        <w:tc>
          <w:tcPr>
            <w:tcW w:w="8148" w:type="dxa"/>
            <w:gridSpan w:val="2"/>
          </w:tcPr>
          <w:p w14:paraId="087A4282" w14:textId="77777777" w:rsidR="00321CE8" w:rsidRPr="00321CE8" w:rsidRDefault="00321CE8" w:rsidP="00FF5E02">
            <w:pPr>
              <w:pStyle w:val="TableParagraph"/>
              <w:spacing w:line="224" w:lineRule="exact"/>
              <w:jc w:val="both"/>
              <w:rPr>
                <w:rFonts w:ascii="Arial" w:hAnsi="Arial" w:cs="Arial"/>
              </w:rPr>
            </w:pPr>
            <w:r w:rsidRPr="00321CE8">
              <w:rPr>
                <w:rFonts w:ascii="Arial" w:hAnsi="Arial" w:cs="Arial"/>
              </w:rPr>
              <w:t>Oral</w:t>
            </w:r>
            <w:r w:rsidRPr="00321CE8">
              <w:rPr>
                <w:rFonts w:ascii="Arial" w:hAnsi="Arial" w:cs="Arial"/>
                <w:spacing w:val="-4"/>
              </w:rPr>
              <w:t xml:space="preserve"> </w:t>
            </w:r>
            <w:r w:rsidRPr="00321CE8">
              <w:rPr>
                <w:rFonts w:ascii="Arial" w:hAnsi="Arial" w:cs="Arial"/>
              </w:rPr>
              <w:t>questions</w:t>
            </w:r>
          </w:p>
        </w:tc>
      </w:tr>
    </w:tbl>
    <w:p w14:paraId="667E0663" w14:textId="77777777" w:rsidR="00321CE8" w:rsidRPr="00321CE8" w:rsidRDefault="00321CE8" w:rsidP="00321CE8">
      <w:pPr>
        <w:tabs>
          <w:tab w:val="left" w:pos="1841"/>
          <w:tab w:val="left" w:pos="1842"/>
        </w:tabs>
        <w:rPr>
          <w:rFonts w:ascii="Arial" w:hAnsi="Arial" w:cs="Arial"/>
        </w:rPr>
      </w:pPr>
    </w:p>
    <w:p w14:paraId="0BC7EF7E" w14:textId="77777777" w:rsidR="00102612" w:rsidRPr="00102612" w:rsidRDefault="00102612" w:rsidP="00682A54">
      <w:pPr>
        <w:pStyle w:val="ListParagraph"/>
        <w:numPr>
          <w:ilvl w:val="1"/>
          <w:numId w:val="215"/>
        </w:numPr>
        <w:ind w:right="203"/>
        <w:jc w:val="both"/>
        <w:rPr>
          <w:rFonts w:ascii="Arial" w:hAnsi="Arial" w:cs="Arial"/>
          <w:sz w:val="20"/>
        </w:rPr>
      </w:pPr>
      <w:r w:rsidRPr="00102612">
        <w:rPr>
          <w:rFonts w:ascii="Arial" w:hAnsi="Arial" w:cs="Arial"/>
          <w:sz w:val="20"/>
        </w:rPr>
        <w:t>The skill test contents and sections set out in this point should be used for the skill test for the issue of a commercial operation rating in the gas balloon class:</w:t>
      </w:r>
    </w:p>
    <w:p w14:paraId="103B5AFD" w14:textId="77777777" w:rsidR="00102612" w:rsidRDefault="00102612" w:rsidP="00102612">
      <w:pPr>
        <w:pStyle w:val="ListParagraph"/>
        <w:tabs>
          <w:tab w:val="left" w:pos="1274"/>
        </w:tabs>
        <w:ind w:left="1273" w:right="203" w:firstLine="0"/>
        <w:jc w:val="both"/>
        <w:rPr>
          <w:rFonts w:ascii="Arial" w:hAnsi="Arial" w:cs="Arial"/>
          <w:i/>
          <w:sz w:val="20"/>
        </w:rPr>
      </w:pPr>
      <w:r w:rsidRPr="00102612">
        <w:rPr>
          <w:rFonts w:ascii="Arial" w:hAnsi="Arial" w:cs="Arial"/>
          <w:i/>
          <w:sz w:val="20"/>
        </w:rPr>
        <w:t>Note: Use of checklist(s), airmanship, control of balloon by external visual reference, look-out procedures, etc. apply in all sections.</w:t>
      </w:r>
    </w:p>
    <w:p w14:paraId="501E67D0" w14:textId="77777777" w:rsidR="00102612" w:rsidRPr="00102612" w:rsidRDefault="00102612" w:rsidP="00102612">
      <w:pPr>
        <w:pStyle w:val="ListParagraph"/>
        <w:tabs>
          <w:tab w:val="left" w:pos="1274"/>
        </w:tabs>
        <w:ind w:left="1273" w:right="203" w:firstLine="0"/>
        <w:jc w:val="both"/>
        <w:rPr>
          <w:rFonts w:ascii="Arial" w:hAnsi="Arial" w:cs="Arial"/>
          <w:i/>
          <w:sz w:val="20"/>
        </w:rPr>
      </w:pPr>
    </w:p>
    <w:tbl>
      <w:tblPr>
        <w:tblStyle w:val="TableGrid31"/>
        <w:tblW w:w="8730" w:type="dxa"/>
        <w:tblInd w:w="562" w:type="dxa"/>
        <w:tblLayout w:type="fixed"/>
        <w:tblLook w:val="01E0" w:firstRow="1" w:lastRow="1" w:firstColumn="1" w:lastColumn="1" w:noHBand="0" w:noVBand="0"/>
      </w:tblPr>
      <w:tblGrid>
        <w:gridCol w:w="497"/>
        <w:gridCol w:w="21"/>
        <w:gridCol w:w="8212"/>
      </w:tblGrid>
      <w:tr w:rsidR="00102612" w:rsidRPr="00276D5E" w14:paraId="35C4D0F6" w14:textId="77777777" w:rsidTr="009D3A59">
        <w:trPr>
          <w:trHeight w:val="203"/>
        </w:trPr>
        <w:tc>
          <w:tcPr>
            <w:tcW w:w="8730" w:type="dxa"/>
            <w:gridSpan w:val="3"/>
            <w:shd w:val="clear" w:color="auto" w:fill="F2F2F2" w:themeFill="background1" w:themeFillShade="F2"/>
          </w:tcPr>
          <w:p w14:paraId="3981707A" w14:textId="77777777" w:rsidR="00102612" w:rsidRPr="00276D5E" w:rsidRDefault="00102612" w:rsidP="00FF5E02">
            <w:pPr>
              <w:pStyle w:val="TableParagraph"/>
              <w:spacing w:before="1" w:line="225" w:lineRule="exact"/>
              <w:ind w:left="86"/>
              <w:jc w:val="both"/>
              <w:rPr>
                <w:rFonts w:ascii="Arial" w:hAnsi="Arial" w:cs="Arial"/>
                <w:b/>
              </w:rPr>
            </w:pPr>
            <w:r w:rsidRPr="00276D5E">
              <w:rPr>
                <w:rFonts w:ascii="Arial" w:hAnsi="Arial" w:cs="Arial"/>
                <w:b/>
              </w:rPr>
              <w:t>SECTION</w:t>
            </w:r>
            <w:r w:rsidRPr="00276D5E">
              <w:rPr>
                <w:rFonts w:ascii="Arial" w:hAnsi="Arial" w:cs="Arial"/>
                <w:b/>
                <w:spacing w:val="-3"/>
              </w:rPr>
              <w:t xml:space="preserve"> </w:t>
            </w:r>
            <w:r w:rsidRPr="00276D5E">
              <w:rPr>
                <w:rFonts w:ascii="Arial" w:hAnsi="Arial" w:cs="Arial"/>
                <w:b/>
              </w:rPr>
              <w:t>1:</w:t>
            </w:r>
            <w:r w:rsidRPr="00276D5E">
              <w:rPr>
                <w:rFonts w:ascii="Arial" w:hAnsi="Arial" w:cs="Arial"/>
                <w:b/>
                <w:spacing w:val="-3"/>
              </w:rPr>
              <w:t xml:space="preserve"> </w:t>
            </w:r>
            <w:r w:rsidRPr="00276D5E">
              <w:rPr>
                <w:rFonts w:ascii="Arial" w:hAnsi="Arial" w:cs="Arial"/>
                <w:b/>
              </w:rPr>
              <w:t>PRE-FLIGHT</w:t>
            </w:r>
            <w:r w:rsidRPr="00276D5E">
              <w:rPr>
                <w:rFonts w:ascii="Arial" w:hAnsi="Arial" w:cs="Arial"/>
                <w:b/>
                <w:spacing w:val="-4"/>
              </w:rPr>
              <w:t xml:space="preserve"> </w:t>
            </w:r>
            <w:r w:rsidRPr="00276D5E">
              <w:rPr>
                <w:rFonts w:ascii="Arial" w:hAnsi="Arial" w:cs="Arial"/>
                <w:b/>
              </w:rPr>
              <w:t>OPERATIONS,</w:t>
            </w:r>
            <w:r w:rsidRPr="00276D5E">
              <w:rPr>
                <w:rFonts w:ascii="Arial" w:hAnsi="Arial" w:cs="Arial"/>
                <w:b/>
                <w:spacing w:val="-5"/>
              </w:rPr>
              <w:t xml:space="preserve"> </w:t>
            </w:r>
            <w:r w:rsidRPr="00276D5E">
              <w:rPr>
                <w:rFonts w:ascii="Arial" w:hAnsi="Arial" w:cs="Arial"/>
                <w:b/>
              </w:rPr>
              <w:t>INFLATION</w:t>
            </w:r>
            <w:r w:rsidRPr="00276D5E">
              <w:rPr>
                <w:rFonts w:ascii="Arial" w:hAnsi="Arial" w:cs="Arial"/>
                <w:b/>
                <w:spacing w:val="-3"/>
              </w:rPr>
              <w:t xml:space="preserve"> </w:t>
            </w:r>
            <w:r w:rsidRPr="00276D5E">
              <w:rPr>
                <w:rFonts w:ascii="Arial" w:hAnsi="Arial" w:cs="Arial"/>
                <w:b/>
              </w:rPr>
              <w:t>AND</w:t>
            </w:r>
            <w:r w:rsidRPr="00276D5E">
              <w:rPr>
                <w:rFonts w:ascii="Arial" w:hAnsi="Arial" w:cs="Arial"/>
                <w:b/>
                <w:spacing w:val="-3"/>
              </w:rPr>
              <w:t xml:space="preserve"> </w:t>
            </w:r>
            <w:r w:rsidRPr="00276D5E">
              <w:rPr>
                <w:rFonts w:ascii="Arial" w:hAnsi="Arial" w:cs="Arial"/>
                <w:b/>
              </w:rPr>
              <w:t>TAKE-OFF</w:t>
            </w:r>
          </w:p>
        </w:tc>
      </w:tr>
      <w:tr w:rsidR="00102612" w:rsidRPr="00276D5E" w14:paraId="7E24EB43" w14:textId="77777777" w:rsidTr="009D3A59">
        <w:trPr>
          <w:trHeight w:val="687"/>
        </w:trPr>
        <w:tc>
          <w:tcPr>
            <w:tcW w:w="518" w:type="dxa"/>
            <w:gridSpan w:val="2"/>
          </w:tcPr>
          <w:p w14:paraId="5A9142A2" w14:textId="77777777" w:rsidR="00102612" w:rsidRPr="00276D5E" w:rsidRDefault="00102612" w:rsidP="00FF5E02">
            <w:pPr>
              <w:pStyle w:val="TableParagraph"/>
              <w:spacing w:line="243" w:lineRule="exact"/>
              <w:ind w:left="86"/>
              <w:jc w:val="both"/>
              <w:rPr>
                <w:rFonts w:ascii="Arial" w:hAnsi="Arial" w:cs="Arial"/>
              </w:rPr>
            </w:pPr>
            <w:r w:rsidRPr="00276D5E">
              <w:rPr>
                <w:rFonts w:ascii="Arial" w:hAnsi="Arial" w:cs="Arial"/>
                <w:w w:val="99"/>
              </w:rPr>
              <w:t>a</w:t>
            </w:r>
          </w:p>
        </w:tc>
        <w:tc>
          <w:tcPr>
            <w:tcW w:w="8212" w:type="dxa"/>
          </w:tcPr>
          <w:p w14:paraId="163B5B29" w14:textId="3584BA17" w:rsidR="00102612" w:rsidRPr="00276D5E" w:rsidRDefault="00102612" w:rsidP="009D3A59">
            <w:pPr>
              <w:pStyle w:val="TableParagraph"/>
              <w:jc w:val="both"/>
              <w:rPr>
                <w:rFonts w:ascii="Arial" w:hAnsi="Arial" w:cs="Arial"/>
              </w:rPr>
            </w:pPr>
            <w:r w:rsidRPr="00276D5E">
              <w:rPr>
                <w:rFonts w:ascii="Arial" w:hAnsi="Arial" w:cs="Arial"/>
              </w:rPr>
              <w:t>Pre-flight documentation (licence, medical certificate, permits to take off, insurance</w:t>
            </w:r>
            <w:r w:rsidRPr="00276D5E">
              <w:rPr>
                <w:rFonts w:ascii="Arial" w:hAnsi="Arial" w:cs="Arial"/>
                <w:spacing w:val="1"/>
              </w:rPr>
              <w:t xml:space="preserve"> </w:t>
            </w:r>
            <w:r w:rsidRPr="00276D5E">
              <w:rPr>
                <w:rFonts w:ascii="Arial" w:hAnsi="Arial" w:cs="Arial"/>
              </w:rPr>
              <w:t>certificate,</w:t>
            </w:r>
            <w:r w:rsidRPr="00276D5E">
              <w:rPr>
                <w:rFonts w:ascii="Arial" w:hAnsi="Arial" w:cs="Arial"/>
                <w:spacing w:val="-3"/>
              </w:rPr>
              <w:t xml:space="preserve"> </w:t>
            </w:r>
            <w:r w:rsidRPr="00276D5E">
              <w:rPr>
                <w:rFonts w:ascii="Arial" w:hAnsi="Arial" w:cs="Arial"/>
              </w:rPr>
              <w:t>aeronautical</w:t>
            </w:r>
            <w:r w:rsidRPr="00276D5E">
              <w:rPr>
                <w:rFonts w:ascii="Arial" w:hAnsi="Arial" w:cs="Arial"/>
                <w:spacing w:val="-3"/>
              </w:rPr>
              <w:t xml:space="preserve"> </w:t>
            </w:r>
            <w:r w:rsidRPr="00276D5E">
              <w:rPr>
                <w:rFonts w:ascii="Arial" w:hAnsi="Arial" w:cs="Arial"/>
              </w:rPr>
              <w:t>charts,</w:t>
            </w:r>
            <w:r w:rsidRPr="00276D5E">
              <w:rPr>
                <w:rFonts w:ascii="Arial" w:hAnsi="Arial" w:cs="Arial"/>
                <w:spacing w:val="-2"/>
              </w:rPr>
              <w:t xml:space="preserve"> </w:t>
            </w:r>
            <w:r w:rsidRPr="00276D5E">
              <w:rPr>
                <w:rFonts w:ascii="Arial" w:hAnsi="Arial" w:cs="Arial"/>
              </w:rPr>
              <w:t>AFM,</w:t>
            </w:r>
            <w:r w:rsidRPr="00276D5E">
              <w:rPr>
                <w:rFonts w:ascii="Arial" w:hAnsi="Arial" w:cs="Arial"/>
                <w:spacing w:val="-3"/>
              </w:rPr>
              <w:t xml:space="preserve"> </w:t>
            </w:r>
            <w:r w:rsidRPr="00276D5E">
              <w:rPr>
                <w:rFonts w:ascii="Arial" w:hAnsi="Arial" w:cs="Arial"/>
              </w:rPr>
              <w:t>logbook,</w:t>
            </w:r>
            <w:r w:rsidRPr="00276D5E">
              <w:rPr>
                <w:rFonts w:ascii="Arial" w:hAnsi="Arial" w:cs="Arial"/>
                <w:spacing w:val="-2"/>
              </w:rPr>
              <w:t xml:space="preserve"> </w:t>
            </w:r>
            <w:r w:rsidRPr="00276D5E">
              <w:rPr>
                <w:rFonts w:ascii="Arial" w:hAnsi="Arial" w:cs="Arial"/>
              </w:rPr>
              <w:t>technical</w:t>
            </w:r>
            <w:r w:rsidRPr="00276D5E">
              <w:rPr>
                <w:rFonts w:ascii="Arial" w:hAnsi="Arial" w:cs="Arial"/>
                <w:spacing w:val="-3"/>
              </w:rPr>
              <w:t xml:space="preserve"> </w:t>
            </w:r>
            <w:r w:rsidRPr="00276D5E">
              <w:rPr>
                <w:rFonts w:ascii="Arial" w:hAnsi="Arial" w:cs="Arial"/>
              </w:rPr>
              <w:t>logbook,</w:t>
            </w:r>
            <w:r w:rsidRPr="00276D5E">
              <w:rPr>
                <w:rFonts w:ascii="Arial" w:hAnsi="Arial" w:cs="Arial"/>
                <w:spacing w:val="-2"/>
              </w:rPr>
              <w:t xml:space="preserve"> </w:t>
            </w:r>
            <w:r w:rsidRPr="00276D5E">
              <w:rPr>
                <w:rFonts w:ascii="Arial" w:hAnsi="Arial" w:cs="Arial"/>
              </w:rPr>
              <w:t>checklists</w:t>
            </w:r>
            <w:r w:rsidRPr="00276D5E">
              <w:rPr>
                <w:rFonts w:ascii="Arial" w:hAnsi="Arial" w:cs="Arial"/>
                <w:spacing w:val="-4"/>
              </w:rPr>
              <w:t xml:space="preserve"> </w:t>
            </w:r>
            <w:r w:rsidRPr="00276D5E">
              <w:rPr>
                <w:rFonts w:ascii="Arial" w:hAnsi="Arial" w:cs="Arial"/>
              </w:rPr>
              <w:t>etc.),</w:t>
            </w:r>
            <w:r w:rsidRPr="00276D5E">
              <w:rPr>
                <w:rFonts w:ascii="Arial" w:hAnsi="Arial" w:cs="Arial"/>
                <w:spacing w:val="-2"/>
              </w:rPr>
              <w:t xml:space="preserve"> </w:t>
            </w:r>
            <w:r w:rsidRPr="00276D5E">
              <w:rPr>
                <w:rFonts w:ascii="Arial" w:hAnsi="Arial" w:cs="Arial"/>
              </w:rPr>
              <w:t>flight</w:t>
            </w:r>
            <w:r w:rsidR="009D3A59">
              <w:rPr>
                <w:rFonts w:ascii="Arial" w:hAnsi="Arial" w:cs="Arial"/>
              </w:rPr>
              <w:t xml:space="preserve"> </w:t>
            </w:r>
            <w:r w:rsidRPr="00276D5E">
              <w:rPr>
                <w:rFonts w:ascii="Arial" w:hAnsi="Arial" w:cs="Arial"/>
              </w:rPr>
              <w:t>planning,</w:t>
            </w:r>
            <w:r w:rsidRPr="00276D5E">
              <w:rPr>
                <w:rFonts w:ascii="Arial" w:hAnsi="Arial" w:cs="Arial"/>
                <w:spacing w:val="-3"/>
              </w:rPr>
              <w:t xml:space="preserve"> </w:t>
            </w:r>
            <w:r w:rsidRPr="00276D5E">
              <w:rPr>
                <w:rFonts w:ascii="Arial" w:hAnsi="Arial" w:cs="Arial"/>
              </w:rPr>
              <w:t>NOTAM(s)</w:t>
            </w:r>
            <w:r w:rsidRPr="00276D5E">
              <w:rPr>
                <w:rFonts w:ascii="Arial" w:hAnsi="Arial" w:cs="Arial"/>
                <w:spacing w:val="-3"/>
              </w:rPr>
              <w:t xml:space="preserve"> </w:t>
            </w:r>
            <w:r w:rsidRPr="00276D5E">
              <w:rPr>
                <w:rFonts w:ascii="Arial" w:hAnsi="Arial" w:cs="Arial"/>
              </w:rPr>
              <w:t>and</w:t>
            </w:r>
            <w:r w:rsidRPr="00276D5E">
              <w:rPr>
                <w:rFonts w:ascii="Arial" w:hAnsi="Arial" w:cs="Arial"/>
                <w:spacing w:val="-2"/>
              </w:rPr>
              <w:t xml:space="preserve"> </w:t>
            </w:r>
            <w:r w:rsidRPr="00276D5E">
              <w:rPr>
                <w:rFonts w:ascii="Arial" w:hAnsi="Arial" w:cs="Arial"/>
              </w:rPr>
              <w:t>weather</w:t>
            </w:r>
            <w:r w:rsidRPr="00276D5E">
              <w:rPr>
                <w:rFonts w:ascii="Arial" w:hAnsi="Arial" w:cs="Arial"/>
                <w:spacing w:val="-2"/>
              </w:rPr>
              <w:t xml:space="preserve"> </w:t>
            </w:r>
            <w:r w:rsidRPr="00276D5E">
              <w:rPr>
                <w:rFonts w:ascii="Arial" w:hAnsi="Arial" w:cs="Arial"/>
              </w:rPr>
              <w:t>briefing,</w:t>
            </w:r>
            <w:r w:rsidRPr="00276D5E">
              <w:rPr>
                <w:rFonts w:ascii="Arial" w:hAnsi="Arial" w:cs="Arial"/>
                <w:spacing w:val="-2"/>
              </w:rPr>
              <w:t xml:space="preserve"> </w:t>
            </w:r>
            <w:r w:rsidRPr="00276D5E">
              <w:rPr>
                <w:rFonts w:ascii="Arial" w:hAnsi="Arial" w:cs="Arial"/>
              </w:rPr>
              <w:t>knowledge</w:t>
            </w:r>
            <w:r w:rsidRPr="00276D5E">
              <w:rPr>
                <w:rFonts w:ascii="Arial" w:hAnsi="Arial" w:cs="Arial"/>
                <w:spacing w:val="-4"/>
              </w:rPr>
              <w:t xml:space="preserve"> </w:t>
            </w:r>
            <w:r w:rsidRPr="00276D5E">
              <w:rPr>
                <w:rFonts w:ascii="Arial" w:hAnsi="Arial" w:cs="Arial"/>
              </w:rPr>
              <w:t>of</w:t>
            </w:r>
            <w:r w:rsidRPr="00276D5E">
              <w:rPr>
                <w:rFonts w:ascii="Arial" w:hAnsi="Arial" w:cs="Arial"/>
                <w:spacing w:val="-5"/>
              </w:rPr>
              <w:t xml:space="preserve"> </w:t>
            </w:r>
            <w:r w:rsidRPr="00276D5E">
              <w:rPr>
                <w:rFonts w:ascii="Arial" w:hAnsi="Arial" w:cs="Arial"/>
              </w:rPr>
              <w:t>Part-BOP</w:t>
            </w:r>
          </w:p>
        </w:tc>
      </w:tr>
      <w:tr w:rsidR="00102612" w:rsidRPr="00276D5E" w14:paraId="747B02BD" w14:textId="77777777" w:rsidTr="009D3A59">
        <w:trPr>
          <w:trHeight w:val="202"/>
        </w:trPr>
        <w:tc>
          <w:tcPr>
            <w:tcW w:w="518" w:type="dxa"/>
            <w:gridSpan w:val="2"/>
          </w:tcPr>
          <w:p w14:paraId="69627275" w14:textId="77777777" w:rsidR="00102612" w:rsidRPr="00276D5E" w:rsidRDefault="00102612" w:rsidP="00FF5E02">
            <w:pPr>
              <w:pStyle w:val="TableParagraph"/>
              <w:spacing w:line="225" w:lineRule="exact"/>
              <w:ind w:left="86"/>
              <w:jc w:val="both"/>
              <w:rPr>
                <w:rFonts w:ascii="Arial" w:hAnsi="Arial" w:cs="Arial"/>
              </w:rPr>
            </w:pPr>
            <w:r w:rsidRPr="00276D5E">
              <w:rPr>
                <w:rFonts w:ascii="Arial" w:hAnsi="Arial" w:cs="Arial"/>
                <w:w w:val="99"/>
              </w:rPr>
              <w:t>b</w:t>
            </w:r>
          </w:p>
        </w:tc>
        <w:tc>
          <w:tcPr>
            <w:tcW w:w="8212" w:type="dxa"/>
          </w:tcPr>
          <w:p w14:paraId="00CDDBEF" w14:textId="77777777" w:rsidR="00102612" w:rsidRPr="00276D5E" w:rsidRDefault="00102612" w:rsidP="00FF5E02">
            <w:pPr>
              <w:pStyle w:val="TableParagraph"/>
              <w:spacing w:line="225" w:lineRule="exact"/>
              <w:jc w:val="both"/>
              <w:rPr>
                <w:rFonts w:ascii="Arial" w:hAnsi="Arial" w:cs="Arial"/>
              </w:rPr>
            </w:pPr>
            <w:r w:rsidRPr="00276D5E">
              <w:rPr>
                <w:rFonts w:ascii="Arial" w:hAnsi="Arial" w:cs="Arial"/>
              </w:rPr>
              <w:t>Balloon</w:t>
            </w:r>
            <w:r w:rsidRPr="00276D5E">
              <w:rPr>
                <w:rFonts w:ascii="Arial" w:hAnsi="Arial" w:cs="Arial"/>
                <w:spacing w:val="-3"/>
              </w:rPr>
              <w:t xml:space="preserve"> </w:t>
            </w:r>
            <w:r w:rsidRPr="00276D5E">
              <w:rPr>
                <w:rFonts w:ascii="Arial" w:hAnsi="Arial" w:cs="Arial"/>
              </w:rPr>
              <w:t>inspection</w:t>
            </w:r>
            <w:r w:rsidRPr="00276D5E">
              <w:rPr>
                <w:rFonts w:ascii="Arial" w:hAnsi="Arial" w:cs="Arial"/>
                <w:spacing w:val="-2"/>
              </w:rPr>
              <w:t xml:space="preserve"> </w:t>
            </w:r>
            <w:r w:rsidRPr="00276D5E">
              <w:rPr>
                <w:rFonts w:ascii="Arial" w:hAnsi="Arial" w:cs="Arial"/>
              </w:rPr>
              <w:t>and</w:t>
            </w:r>
            <w:r w:rsidRPr="00276D5E">
              <w:rPr>
                <w:rFonts w:ascii="Arial" w:hAnsi="Arial" w:cs="Arial"/>
                <w:spacing w:val="-3"/>
              </w:rPr>
              <w:t xml:space="preserve"> </w:t>
            </w:r>
            <w:r w:rsidRPr="00276D5E">
              <w:rPr>
                <w:rFonts w:ascii="Arial" w:hAnsi="Arial" w:cs="Arial"/>
              </w:rPr>
              <w:t>servicing,</w:t>
            </w:r>
            <w:r w:rsidRPr="00276D5E">
              <w:rPr>
                <w:rFonts w:ascii="Arial" w:hAnsi="Arial" w:cs="Arial"/>
                <w:spacing w:val="-2"/>
              </w:rPr>
              <w:t xml:space="preserve"> </w:t>
            </w:r>
            <w:r w:rsidRPr="00276D5E">
              <w:rPr>
                <w:rFonts w:ascii="Arial" w:hAnsi="Arial" w:cs="Arial"/>
              </w:rPr>
              <w:t>MEL</w:t>
            </w:r>
          </w:p>
        </w:tc>
      </w:tr>
      <w:tr w:rsidR="00102612" w:rsidRPr="00276D5E" w14:paraId="70FC133F" w14:textId="77777777" w:rsidTr="009D3A59">
        <w:trPr>
          <w:trHeight w:val="200"/>
        </w:trPr>
        <w:tc>
          <w:tcPr>
            <w:tcW w:w="518" w:type="dxa"/>
            <w:gridSpan w:val="2"/>
          </w:tcPr>
          <w:p w14:paraId="2E24FF3A" w14:textId="77777777" w:rsidR="00102612" w:rsidRPr="00276D5E" w:rsidRDefault="00102612" w:rsidP="00FF5E02">
            <w:pPr>
              <w:pStyle w:val="TableParagraph"/>
              <w:spacing w:line="222" w:lineRule="exact"/>
              <w:ind w:left="86"/>
              <w:jc w:val="both"/>
              <w:rPr>
                <w:rFonts w:ascii="Arial" w:hAnsi="Arial" w:cs="Arial"/>
              </w:rPr>
            </w:pPr>
            <w:r w:rsidRPr="00276D5E">
              <w:rPr>
                <w:rFonts w:ascii="Arial" w:hAnsi="Arial" w:cs="Arial"/>
                <w:w w:val="99"/>
              </w:rPr>
              <w:t>c</w:t>
            </w:r>
          </w:p>
        </w:tc>
        <w:tc>
          <w:tcPr>
            <w:tcW w:w="8212" w:type="dxa"/>
          </w:tcPr>
          <w:p w14:paraId="5C602F1B" w14:textId="77777777" w:rsidR="00102612" w:rsidRPr="00276D5E" w:rsidRDefault="00102612" w:rsidP="00FF5E02">
            <w:pPr>
              <w:pStyle w:val="TableParagraph"/>
              <w:spacing w:line="222" w:lineRule="exact"/>
              <w:jc w:val="both"/>
              <w:rPr>
                <w:rFonts w:ascii="Arial" w:hAnsi="Arial" w:cs="Arial"/>
              </w:rPr>
            </w:pPr>
            <w:r w:rsidRPr="00276D5E">
              <w:rPr>
                <w:rFonts w:ascii="Arial" w:hAnsi="Arial" w:cs="Arial"/>
              </w:rPr>
              <w:t>Suitability</w:t>
            </w:r>
            <w:r w:rsidRPr="00276D5E">
              <w:rPr>
                <w:rFonts w:ascii="Arial" w:hAnsi="Arial" w:cs="Arial"/>
                <w:spacing w:val="-2"/>
              </w:rPr>
              <w:t xml:space="preserve"> </w:t>
            </w:r>
            <w:r w:rsidRPr="00276D5E">
              <w:rPr>
                <w:rFonts w:ascii="Arial" w:hAnsi="Arial" w:cs="Arial"/>
              </w:rPr>
              <w:t>of</w:t>
            </w:r>
            <w:r w:rsidRPr="00276D5E">
              <w:rPr>
                <w:rFonts w:ascii="Arial" w:hAnsi="Arial" w:cs="Arial"/>
                <w:spacing w:val="-4"/>
              </w:rPr>
              <w:t xml:space="preserve"> </w:t>
            </w:r>
            <w:r w:rsidRPr="00276D5E">
              <w:rPr>
                <w:rFonts w:ascii="Arial" w:hAnsi="Arial" w:cs="Arial"/>
              </w:rPr>
              <w:t>launch</w:t>
            </w:r>
            <w:r w:rsidRPr="00276D5E">
              <w:rPr>
                <w:rFonts w:ascii="Arial" w:hAnsi="Arial" w:cs="Arial"/>
                <w:spacing w:val="-2"/>
              </w:rPr>
              <w:t xml:space="preserve"> </w:t>
            </w:r>
            <w:r w:rsidRPr="00276D5E">
              <w:rPr>
                <w:rFonts w:ascii="Arial" w:hAnsi="Arial" w:cs="Arial"/>
              </w:rPr>
              <w:t>site</w:t>
            </w:r>
          </w:p>
        </w:tc>
      </w:tr>
      <w:tr w:rsidR="00102612" w:rsidRPr="00276D5E" w14:paraId="3102DEB2" w14:textId="77777777" w:rsidTr="009D3A59">
        <w:trPr>
          <w:trHeight w:val="202"/>
        </w:trPr>
        <w:tc>
          <w:tcPr>
            <w:tcW w:w="518" w:type="dxa"/>
            <w:gridSpan w:val="2"/>
          </w:tcPr>
          <w:p w14:paraId="117B3C12" w14:textId="77777777" w:rsidR="00102612" w:rsidRPr="00276D5E" w:rsidRDefault="00102612" w:rsidP="00FF5E02">
            <w:pPr>
              <w:pStyle w:val="TableParagraph"/>
              <w:spacing w:line="225" w:lineRule="exact"/>
              <w:ind w:left="86"/>
              <w:jc w:val="both"/>
              <w:rPr>
                <w:rFonts w:ascii="Arial" w:hAnsi="Arial" w:cs="Arial"/>
              </w:rPr>
            </w:pPr>
            <w:r w:rsidRPr="00276D5E">
              <w:rPr>
                <w:rFonts w:ascii="Arial" w:hAnsi="Arial" w:cs="Arial"/>
                <w:w w:val="99"/>
              </w:rPr>
              <w:t>d</w:t>
            </w:r>
          </w:p>
        </w:tc>
        <w:tc>
          <w:tcPr>
            <w:tcW w:w="8212" w:type="dxa"/>
          </w:tcPr>
          <w:p w14:paraId="3FBC2C78" w14:textId="77777777" w:rsidR="00102612" w:rsidRPr="00276D5E" w:rsidRDefault="00102612" w:rsidP="00FF5E02">
            <w:pPr>
              <w:pStyle w:val="TableParagraph"/>
              <w:spacing w:line="225" w:lineRule="exact"/>
              <w:jc w:val="both"/>
              <w:rPr>
                <w:rFonts w:ascii="Arial" w:hAnsi="Arial" w:cs="Arial"/>
              </w:rPr>
            </w:pPr>
            <w:r w:rsidRPr="00276D5E">
              <w:rPr>
                <w:rFonts w:ascii="Arial" w:hAnsi="Arial" w:cs="Arial"/>
              </w:rPr>
              <w:t>Load</w:t>
            </w:r>
            <w:r w:rsidRPr="00276D5E">
              <w:rPr>
                <w:rFonts w:ascii="Arial" w:hAnsi="Arial" w:cs="Arial"/>
                <w:spacing w:val="-2"/>
              </w:rPr>
              <w:t xml:space="preserve"> </w:t>
            </w:r>
            <w:r w:rsidRPr="00276D5E">
              <w:rPr>
                <w:rFonts w:ascii="Arial" w:hAnsi="Arial" w:cs="Arial"/>
              </w:rPr>
              <w:t>calculation</w:t>
            </w:r>
          </w:p>
        </w:tc>
      </w:tr>
      <w:tr w:rsidR="00102612" w:rsidRPr="00276D5E" w14:paraId="191A7EA9" w14:textId="77777777" w:rsidTr="009D3A59">
        <w:trPr>
          <w:trHeight w:val="199"/>
        </w:trPr>
        <w:tc>
          <w:tcPr>
            <w:tcW w:w="518" w:type="dxa"/>
            <w:gridSpan w:val="2"/>
          </w:tcPr>
          <w:p w14:paraId="56262A1B" w14:textId="77777777" w:rsidR="00102612" w:rsidRPr="00276D5E" w:rsidRDefault="00102612" w:rsidP="00FF5E02">
            <w:pPr>
              <w:pStyle w:val="TableParagraph"/>
              <w:spacing w:line="222" w:lineRule="exact"/>
              <w:ind w:left="86"/>
              <w:jc w:val="both"/>
              <w:rPr>
                <w:rFonts w:ascii="Arial" w:hAnsi="Arial" w:cs="Arial"/>
              </w:rPr>
            </w:pPr>
            <w:r w:rsidRPr="00276D5E">
              <w:rPr>
                <w:rFonts w:ascii="Arial" w:hAnsi="Arial" w:cs="Arial"/>
                <w:w w:val="99"/>
              </w:rPr>
              <w:t>e</w:t>
            </w:r>
          </w:p>
        </w:tc>
        <w:tc>
          <w:tcPr>
            <w:tcW w:w="8212" w:type="dxa"/>
          </w:tcPr>
          <w:p w14:paraId="112A26AD" w14:textId="77777777" w:rsidR="00102612" w:rsidRPr="00276D5E" w:rsidRDefault="00102612" w:rsidP="00FF5E02">
            <w:pPr>
              <w:pStyle w:val="TableParagraph"/>
              <w:spacing w:line="222" w:lineRule="exact"/>
              <w:jc w:val="both"/>
              <w:rPr>
                <w:rFonts w:ascii="Arial" w:hAnsi="Arial" w:cs="Arial"/>
              </w:rPr>
            </w:pPr>
            <w:r w:rsidRPr="00276D5E">
              <w:rPr>
                <w:rFonts w:ascii="Arial" w:hAnsi="Arial" w:cs="Arial"/>
              </w:rPr>
              <w:t>Crowd</w:t>
            </w:r>
            <w:r w:rsidRPr="00276D5E">
              <w:rPr>
                <w:rFonts w:ascii="Arial" w:hAnsi="Arial" w:cs="Arial"/>
                <w:spacing w:val="-3"/>
              </w:rPr>
              <w:t xml:space="preserve"> </w:t>
            </w:r>
            <w:r w:rsidRPr="00276D5E">
              <w:rPr>
                <w:rFonts w:ascii="Arial" w:hAnsi="Arial" w:cs="Arial"/>
              </w:rPr>
              <w:t>control,</w:t>
            </w:r>
            <w:r w:rsidRPr="00276D5E">
              <w:rPr>
                <w:rFonts w:ascii="Arial" w:hAnsi="Arial" w:cs="Arial"/>
                <w:spacing w:val="-2"/>
              </w:rPr>
              <w:t xml:space="preserve"> </w:t>
            </w:r>
            <w:r w:rsidRPr="00276D5E">
              <w:rPr>
                <w:rFonts w:ascii="Arial" w:hAnsi="Arial" w:cs="Arial"/>
              </w:rPr>
              <w:t>crew</w:t>
            </w:r>
            <w:r w:rsidRPr="00276D5E">
              <w:rPr>
                <w:rFonts w:ascii="Arial" w:hAnsi="Arial" w:cs="Arial"/>
                <w:spacing w:val="-4"/>
              </w:rPr>
              <w:t xml:space="preserve"> </w:t>
            </w:r>
            <w:r w:rsidRPr="00276D5E">
              <w:rPr>
                <w:rFonts w:ascii="Arial" w:hAnsi="Arial" w:cs="Arial"/>
              </w:rPr>
              <w:t>and</w:t>
            </w:r>
            <w:r w:rsidRPr="00276D5E">
              <w:rPr>
                <w:rFonts w:ascii="Arial" w:hAnsi="Arial" w:cs="Arial"/>
                <w:spacing w:val="-2"/>
              </w:rPr>
              <w:t xml:space="preserve"> </w:t>
            </w:r>
            <w:r w:rsidRPr="00276D5E">
              <w:rPr>
                <w:rFonts w:ascii="Arial" w:hAnsi="Arial" w:cs="Arial"/>
              </w:rPr>
              <w:t>passenger</w:t>
            </w:r>
            <w:r w:rsidRPr="00276D5E">
              <w:rPr>
                <w:rFonts w:ascii="Arial" w:hAnsi="Arial" w:cs="Arial"/>
                <w:spacing w:val="-3"/>
              </w:rPr>
              <w:t xml:space="preserve"> </w:t>
            </w:r>
            <w:r w:rsidRPr="00276D5E">
              <w:rPr>
                <w:rFonts w:ascii="Arial" w:hAnsi="Arial" w:cs="Arial"/>
              </w:rPr>
              <w:t>briefings</w:t>
            </w:r>
          </w:p>
        </w:tc>
      </w:tr>
      <w:tr w:rsidR="00102612" w:rsidRPr="00276D5E" w14:paraId="1B47876D" w14:textId="77777777" w:rsidTr="009D3A59">
        <w:trPr>
          <w:trHeight w:val="202"/>
        </w:trPr>
        <w:tc>
          <w:tcPr>
            <w:tcW w:w="518" w:type="dxa"/>
            <w:gridSpan w:val="2"/>
          </w:tcPr>
          <w:p w14:paraId="2879DBA2" w14:textId="77777777" w:rsidR="00102612" w:rsidRPr="00276D5E" w:rsidRDefault="00102612" w:rsidP="00FF5E02">
            <w:pPr>
              <w:pStyle w:val="TableParagraph"/>
              <w:spacing w:line="225" w:lineRule="exact"/>
              <w:ind w:left="86"/>
              <w:jc w:val="both"/>
              <w:rPr>
                <w:rFonts w:ascii="Arial" w:hAnsi="Arial" w:cs="Arial"/>
              </w:rPr>
            </w:pPr>
            <w:r w:rsidRPr="00276D5E">
              <w:rPr>
                <w:rFonts w:ascii="Arial" w:hAnsi="Arial" w:cs="Arial"/>
                <w:w w:val="99"/>
              </w:rPr>
              <w:t>f</w:t>
            </w:r>
          </w:p>
        </w:tc>
        <w:tc>
          <w:tcPr>
            <w:tcW w:w="8212" w:type="dxa"/>
          </w:tcPr>
          <w:p w14:paraId="65EB9F34" w14:textId="77777777" w:rsidR="00102612" w:rsidRPr="00276D5E" w:rsidRDefault="00102612" w:rsidP="00FF5E02">
            <w:pPr>
              <w:pStyle w:val="TableParagraph"/>
              <w:spacing w:line="225" w:lineRule="exact"/>
              <w:jc w:val="both"/>
              <w:rPr>
                <w:rFonts w:ascii="Arial" w:hAnsi="Arial" w:cs="Arial"/>
              </w:rPr>
            </w:pPr>
            <w:r w:rsidRPr="00276D5E">
              <w:rPr>
                <w:rFonts w:ascii="Arial" w:hAnsi="Arial" w:cs="Arial"/>
              </w:rPr>
              <w:t>Assembly</w:t>
            </w:r>
            <w:r w:rsidRPr="00276D5E">
              <w:rPr>
                <w:rFonts w:ascii="Arial" w:hAnsi="Arial" w:cs="Arial"/>
                <w:spacing w:val="-3"/>
              </w:rPr>
              <w:t xml:space="preserve"> </w:t>
            </w:r>
            <w:r w:rsidRPr="00276D5E">
              <w:rPr>
                <w:rFonts w:ascii="Arial" w:hAnsi="Arial" w:cs="Arial"/>
              </w:rPr>
              <w:t>and</w:t>
            </w:r>
            <w:r w:rsidRPr="00276D5E">
              <w:rPr>
                <w:rFonts w:ascii="Arial" w:hAnsi="Arial" w:cs="Arial"/>
                <w:spacing w:val="-2"/>
              </w:rPr>
              <w:t xml:space="preserve"> </w:t>
            </w:r>
            <w:r w:rsidRPr="00276D5E">
              <w:rPr>
                <w:rFonts w:ascii="Arial" w:hAnsi="Arial" w:cs="Arial"/>
              </w:rPr>
              <w:t>layout</w:t>
            </w:r>
          </w:p>
        </w:tc>
      </w:tr>
      <w:tr w:rsidR="00102612" w:rsidRPr="00276D5E" w14:paraId="5DD5E005" w14:textId="77777777" w:rsidTr="009D3A59">
        <w:trPr>
          <w:trHeight w:val="200"/>
        </w:trPr>
        <w:tc>
          <w:tcPr>
            <w:tcW w:w="518" w:type="dxa"/>
            <w:gridSpan w:val="2"/>
          </w:tcPr>
          <w:p w14:paraId="22232BE7" w14:textId="77777777" w:rsidR="00102612" w:rsidRPr="00276D5E" w:rsidRDefault="00102612" w:rsidP="00FF5E02">
            <w:pPr>
              <w:pStyle w:val="TableParagraph"/>
              <w:spacing w:line="222" w:lineRule="exact"/>
              <w:ind w:left="86"/>
              <w:jc w:val="both"/>
              <w:rPr>
                <w:rFonts w:ascii="Arial" w:hAnsi="Arial" w:cs="Arial"/>
              </w:rPr>
            </w:pPr>
            <w:r w:rsidRPr="00276D5E">
              <w:rPr>
                <w:rFonts w:ascii="Arial" w:hAnsi="Arial" w:cs="Arial"/>
                <w:w w:val="99"/>
              </w:rPr>
              <w:t>g</w:t>
            </w:r>
          </w:p>
        </w:tc>
        <w:tc>
          <w:tcPr>
            <w:tcW w:w="8212" w:type="dxa"/>
          </w:tcPr>
          <w:p w14:paraId="3A580573" w14:textId="77777777" w:rsidR="00102612" w:rsidRPr="00276D5E" w:rsidRDefault="00102612" w:rsidP="00FF5E02">
            <w:pPr>
              <w:pStyle w:val="TableParagraph"/>
              <w:spacing w:line="222" w:lineRule="exact"/>
              <w:jc w:val="both"/>
              <w:rPr>
                <w:rFonts w:ascii="Arial" w:hAnsi="Arial" w:cs="Arial"/>
              </w:rPr>
            </w:pPr>
            <w:r w:rsidRPr="00276D5E">
              <w:rPr>
                <w:rFonts w:ascii="Arial" w:hAnsi="Arial" w:cs="Arial"/>
              </w:rPr>
              <w:t>Inflation</w:t>
            </w:r>
            <w:r w:rsidRPr="00276D5E">
              <w:rPr>
                <w:rFonts w:ascii="Arial" w:hAnsi="Arial" w:cs="Arial"/>
                <w:spacing w:val="-2"/>
              </w:rPr>
              <w:t xml:space="preserve"> </w:t>
            </w:r>
            <w:r w:rsidRPr="00276D5E">
              <w:rPr>
                <w:rFonts w:ascii="Arial" w:hAnsi="Arial" w:cs="Arial"/>
              </w:rPr>
              <w:t>and</w:t>
            </w:r>
            <w:r w:rsidRPr="00276D5E">
              <w:rPr>
                <w:rFonts w:ascii="Arial" w:hAnsi="Arial" w:cs="Arial"/>
                <w:spacing w:val="-3"/>
              </w:rPr>
              <w:t xml:space="preserve"> </w:t>
            </w:r>
            <w:r w:rsidRPr="00276D5E">
              <w:rPr>
                <w:rFonts w:ascii="Arial" w:hAnsi="Arial" w:cs="Arial"/>
              </w:rPr>
              <w:t>pre-take-off</w:t>
            </w:r>
            <w:r w:rsidRPr="00276D5E">
              <w:rPr>
                <w:rFonts w:ascii="Arial" w:hAnsi="Arial" w:cs="Arial"/>
                <w:spacing w:val="-5"/>
              </w:rPr>
              <w:t xml:space="preserve"> </w:t>
            </w:r>
            <w:r w:rsidRPr="00276D5E">
              <w:rPr>
                <w:rFonts w:ascii="Arial" w:hAnsi="Arial" w:cs="Arial"/>
              </w:rPr>
              <w:t>procedures</w:t>
            </w:r>
            <w:r w:rsidRPr="00276D5E">
              <w:rPr>
                <w:rFonts w:ascii="Arial" w:hAnsi="Arial" w:cs="Arial"/>
                <w:spacing w:val="-4"/>
              </w:rPr>
              <w:t xml:space="preserve"> </w:t>
            </w:r>
            <w:r w:rsidRPr="00276D5E">
              <w:rPr>
                <w:rFonts w:ascii="Arial" w:hAnsi="Arial" w:cs="Arial"/>
              </w:rPr>
              <w:t>including</w:t>
            </w:r>
            <w:r w:rsidRPr="00276D5E">
              <w:rPr>
                <w:rFonts w:ascii="Arial" w:hAnsi="Arial" w:cs="Arial"/>
                <w:spacing w:val="-4"/>
              </w:rPr>
              <w:t xml:space="preserve"> </w:t>
            </w:r>
            <w:r w:rsidRPr="00276D5E">
              <w:rPr>
                <w:rFonts w:ascii="Arial" w:hAnsi="Arial" w:cs="Arial"/>
              </w:rPr>
              <w:t>passenger</w:t>
            </w:r>
            <w:r w:rsidRPr="00276D5E">
              <w:rPr>
                <w:rFonts w:ascii="Arial" w:hAnsi="Arial" w:cs="Arial"/>
                <w:spacing w:val="-3"/>
              </w:rPr>
              <w:t xml:space="preserve"> </w:t>
            </w:r>
            <w:r w:rsidRPr="00276D5E">
              <w:rPr>
                <w:rFonts w:ascii="Arial" w:hAnsi="Arial" w:cs="Arial"/>
              </w:rPr>
              <w:t>involvement</w:t>
            </w:r>
            <w:r w:rsidRPr="00276D5E">
              <w:rPr>
                <w:rFonts w:ascii="Arial" w:hAnsi="Arial" w:cs="Arial"/>
                <w:spacing w:val="-2"/>
              </w:rPr>
              <w:t xml:space="preserve"> </w:t>
            </w:r>
            <w:r w:rsidRPr="00276D5E">
              <w:rPr>
                <w:rFonts w:ascii="Arial" w:hAnsi="Arial" w:cs="Arial"/>
              </w:rPr>
              <w:t>and</w:t>
            </w:r>
            <w:r w:rsidRPr="00276D5E">
              <w:rPr>
                <w:rFonts w:ascii="Arial" w:hAnsi="Arial" w:cs="Arial"/>
                <w:spacing w:val="-3"/>
              </w:rPr>
              <w:t xml:space="preserve"> </w:t>
            </w:r>
            <w:r w:rsidRPr="00276D5E">
              <w:rPr>
                <w:rFonts w:ascii="Arial" w:hAnsi="Arial" w:cs="Arial"/>
              </w:rPr>
              <w:t>briefing</w:t>
            </w:r>
          </w:p>
        </w:tc>
      </w:tr>
      <w:tr w:rsidR="00102612" w:rsidRPr="00276D5E" w14:paraId="21849AEB" w14:textId="77777777" w:rsidTr="009D3A59">
        <w:trPr>
          <w:trHeight w:val="202"/>
        </w:trPr>
        <w:tc>
          <w:tcPr>
            <w:tcW w:w="518" w:type="dxa"/>
            <w:gridSpan w:val="2"/>
          </w:tcPr>
          <w:p w14:paraId="71001873" w14:textId="77777777" w:rsidR="00102612" w:rsidRPr="00276D5E" w:rsidRDefault="00102612" w:rsidP="00FF5E02">
            <w:pPr>
              <w:pStyle w:val="TableParagraph"/>
              <w:spacing w:line="225" w:lineRule="exact"/>
              <w:ind w:left="86"/>
              <w:jc w:val="both"/>
              <w:rPr>
                <w:rFonts w:ascii="Arial" w:hAnsi="Arial" w:cs="Arial"/>
              </w:rPr>
            </w:pPr>
            <w:r w:rsidRPr="00276D5E">
              <w:rPr>
                <w:rFonts w:ascii="Arial" w:hAnsi="Arial" w:cs="Arial"/>
                <w:w w:val="99"/>
              </w:rPr>
              <w:t>h</w:t>
            </w:r>
          </w:p>
        </w:tc>
        <w:tc>
          <w:tcPr>
            <w:tcW w:w="8212" w:type="dxa"/>
          </w:tcPr>
          <w:p w14:paraId="2BB6DE8D" w14:textId="77777777" w:rsidR="00102612" w:rsidRPr="00276D5E" w:rsidRDefault="00102612" w:rsidP="00FF5E02">
            <w:pPr>
              <w:pStyle w:val="TableParagraph"/>
              <w:spacing w:line="225" w:lineRule="exact"/>
              <w:jc w:val="both"/>
              <w:rPr>
                <w:rFonts w:ascii="Arial" w:hAnsi="Arial" w:cs="Arial"/>
              </w:rPr>
            </w:pPr>
            <w:r w:rsidRPr="00276D5E">
              <w:rPr>
                <w:rFonts w:ascii="Arial" w:hAnsi="Arial" w:cs="Arial"/>
              </w:rPr>
              <w:t>Take-off</w:t>
            </w:r>
          </w:p>
        </w:tc>
      </w:tr>
      <w:tr w:rsidR="00102612" w:rsidRPr="00276D5E" w14:paraId="64E7205F" w14:textId="77777777" w:rsidTr="009D3A59">
        <w:trPr>
          <w:trHeight w:val="444"/>
        </w:trPr>
        <w:tc>
          <w:tcPr>
            <w:tcW w:w="518" w:type="dxa"/>
            <w:gridSpan w:val="2"/>
          </w:tcPr>
          <w:p w14:paraId="7737FF16" w14:textId="77777777" w:rsidR="00102612" w:rsidRPr="00276D5E" w:rsidRDefault="00102612" w:rsidP="00FF5E02">
            <w:pPr>
              <w:pStyle w:val="TableParagraph"/>
              <w:ind w:left="86"/>
              <w:jc w:val="both"/>
              <w:rPr>
                <w:rFonts w:ascii="Arial" w:hAnsi="Arial" w:cs="Arial"/>
              </w:rPr>
            </w:pPr>
            <w:r w:rsidRPr="00276D5E">
              <w:rPr>
                <w:rFonts w:ascii="Arial" w:hAnsi="Arial" w:cs="Arial"/>
                <w:w w:val="99"/>
              </w:rPr>
              <w:t>i</w:t>
            </w:r>
          </w:p>
        </w:tc>
        <w:tc>
          <w:tcPr>
            <w:tcW w:w="8212" w:type="dxa"/>
          </w:tcPr>
          <w:p w14:paraId="0D57305D" w14:textId="22600664" w:rsidR="00102612" w:rsidRPr="00276D5E" w:rsidRDefault="00102612" w:rsidP="009D3A59">
            <w:pPr>
              <w:pStyle w:val="TableParagraph"/>
              <w:spacing w:line="243" w:lineRule="exact"/>
              <w:jc w:val="both"/>
              <w:rPr>
                <w:rFonts w:ascii="Arial" w:hAnsi="Arial" w:cs="Arial"/>
              </w:rPr>
            </w:pPr>
            <w:r w:rsidRPr="00276D5E">
              <w:rPr>
                <w:rFonts w:ascii="Arial" w:hAnsi="Arial" w:cs="Arial"/>
              </w:rPr>
              <w:t>ATC</w:t>
            </w:r>
            <w:r w:rsidRPr="00276D5E">
              <w:rPr>
                <w:rFonts w:ascii="Arial" w:hAnsi="Arial" w:cs="Arial"/>
                <w:spacing w:val="-4"/>
              </w:rPr>
              <w:t xml:space="preserve"> </w:t>
            </w:r>
            <w:r w:rsidRPr="00276D5E">
              <w:rPr>
                <w:rFonts w:ascii="Arial" w:hAnsi="Arial" w:cs="Arial"/>
              </w:rPr>
              <w:t>compliance</w:t>
            </w:r>
            <w:r w:rsidRPr="00276D5E">
              <w:rPr>
                <w:rFonts w:ascii="Arial" w:hAnsi="Arial" w:cs="Arial"/>
                <w:spacing w:val="-5"/>
              </w:rPr>
              <w:t xml:space="preserve"> </w:t>
            </w:r>
            <w:r w:rsidRPr="00276D5E">
              <w:rPr>
                <w:rFonts w:ascii="Arial" w:hAnsi="Arial" w:cs="Arial"/>
              </w:rPr>
              <w:t>(if</w:t>
            </w:r>
            <w:r w:rsidRPr="00276D5E">
              <w:rPr>
                <w:rFonts w:ascii="Arial" w:hAnsi="Arial" w:cs="Arial"/>
                <w:spacing w:val="-4"/>
              </w:rPr>
              <w:t xml:space="preserve"> </w:t>
            </w:r>
            <w:r w:rsidRPr="00276D5E">
              <w:rPr>
                <w:rFonts w:ascii="Arial" w:hAnsi="Arial" w:cs="Arial"/>
              </w:rPr>
              <w:t>applicable),</w:t>
            </w:r>
            <w:r w:rsidRPr="00276D5E">
              <w:rPr>
                <w:rFonts w:ascii="Arial" w:hAnsi="Arial" w:cs="Arial"/>
                <w:spacing w:val="-3"/>
              </w:rPr>
              <w:t xml:space="preserve"> </w:t>
            </w:r>
            <w:r w:rsidRPr="00276D5E">
              <w:rPr>
                <w:rFonts w:ascii="Arial" w:hAnsi="Arial" w:cs="Arial"/>
              </w:rPr>
              <w:t>operation</w:t>
            </w:r>
            <w:r w:rsidRPr="00276D5E">
              <w:rPr>
                <w:rFonts w:ascii="Arial" w:hAnsi="Arial" w:cs="Arial"/>
                <w:spacing w:val="-2"/>
              </w:rPr>
              <w:t xml:space="preserve"> </w:t>
            </w:r>
            <w:r w:rsidRPr="00276D5E">
              <w:rPr>
                <w:rFonts w:ascii="Arial" w:hAnsi="Arial" w:cs="Arial"/>
              </w:rPr>
              <w:t>of</w:t>
            </w:r>
            <w:r w:rsidRPr="00276D5E">
              <w:rPr>
                <w:rFonts w:ascii="Arial" w:hAnsi="Arial" w:cs="Arial"/>
                <w:spacing w:val="-5"/>
              </w:rPr>
              <w:t xml:space="preserve"> </w:t>
            </w:r>
            <w:r w:rsidRPr="00276D5E">
              <w:rPr>
                <w:rFonts w:ascii="Arial" w:hAnsi="Arial" w:cs="Arial"/>
              </w:rPr>
              <w:t>radio</w:t>
            </w:r>
            <w:r w:rsidRPr="00276D5E">
              <w:rPr>
                <w:rFonts w:ascii="Arial" w:hAnsi="Arial" w:cs="Arial"/>
                <w:spacing w:val="-2"/>
              </w:rPr>
              <w:t xml:space="preserve"> </w:t>
            </w:r>
            <w:r w:rsidRPr="00276D5E">
              <w:rPr>
                <w:rFonts w:ascii="Arial" w:hAnsi="Arial" w:cs="Arial"/>
              </w:rPr>
              <w:t>and/or</w:t>
            </w:r>
            <w:r w:rsidRPr="00276D5E">
              <w:rPr>
                <w:rFonts w:ascii="Arial" w:hAnsi="Arial" w:cs="Arial"/>
                <w:spacing w:val="-2"/>
              </w:rPr>
              <w:t xml:space="preserve"> </w:t>
            </w:r>
            <w:r w:rsidRPr="00276D5E">
              <w:rPr>
                <w:rFonts w:ascii="Arial" w:hAnsi="Arial" w:cs="Arial"/>
              </w:rPr>
              <w:t>transponder</w:t>
            </w:r>
            <w:r w:rsidRPr="00276D5E">
              <w:rPr>
                <w:rFonts w:ascii="Arial" w:hAnsi="Arial" w:cs="Arial"/>
                <w:spacing w:val="-3"/>
              </w:rPr>
              <w:t xml:space="preserve"> </w:t>
            </w:r>
            <w:r w:rsidRPr="00276D5E">
              <w:rPr>
                <w:rFonts w:ascii="Arial" w:hAnsi="Arial" w:cs="Arial"/>
              </w:rPr>
              <w:t>(including</w:t>
            </w:r>
            <w:r w:rsidR="009D3A59">
              <w:rPr>
                <w:rFonts w:ascii="Arial" w:hAnsi="Arial" w:cs="Arial"/>
              </w:rPr>
              <w:t xml:space="preserve"> </w:t>
            </w:r>
            <w:r w:rsidRPr="00276D5E">
              <w:rPr>
                <w:rFonts w:ascii="Arial" w:hAnsi="Arial" w:cs="Arial"/>
              </w:rPr>
              <w:t>emergency</w:t>
            </w:r>
            <w:r w:rsidRPr="00276D5E">
              <w:rPr>
                <w:rFonts w:ascii="Arial" w:hAnsi="Arial" w:cs="Arial"/>
                <w:spacing w:val="-5"/>
              </w:rPr>
              <w:t xml:space="preserve"> </w:t>
            </w:r>
            <w:r w:rsidRPr="00276D5E">
              <w:rPr>
                <w:rFonts w:ascii="Arial" w:hAnsi="Arial" w:cs="Arial"/>
              </w:rPr>
              <w:t>procedures)</w:t>
            </w:r>
          </w:p>
        </w:tc>
      </w:tr>
      <w:tr w:rsidR="00102612" w:rsidRPr="00276D5E" w14:paraId="389A8659" w14:textId="77777777" w:rsidTr="009D3A59">
        <w:trPr>
          <w:trHeight w:val="199"/>
        </w:trPr>
        <w:tc>
          <w:tcPr>
            <w:tcW w:w="8730" w:type="dxa"/>
            <w:gridSpan w:val="3"/>
            <w:shd w:val="clear" w:color="auto" w:fill="F2F2F2" w:themeFill="background1" w:themeFillShade="F2"/>
          </w:tcPr>
          <w:p w14:paraId="11D1CC62" w14:textId="77777777" w:rsidR="00102612" w:rsidRPr="00276D5E" w:rsidRDefault="00102612" w:rsidP="00FF5E02">
            <w:pPr>
              <w:pStyle w:val="TableParagraph"/>
              <w:spacing w:line="222" w:lineRule="exact"/>
              <w:ind w:left="86"/>
              <w:jc w:val="both"/>
              <w:rPr>
                <w:rFonts w:ascii="Arial" w:hAnsi="Arial" w:cs="Arial"/>
                <w:b/>
              </w:rPr>
            </w:pPr>
            <w:r w:rsidRPr="00276D5E">
              <w:rPr>
                <w:rFonts w:ascii="Arial" w:hAnsi="Arial" w:cs="Arial"/>
                <w:b/>
              </w:rPr>
              <w:t>SECTION</w:t>
            </w:r>
            <w:r w:rsidRPr="00276D5E">
              <w:rPr>
                <w:rFonts w:ascii="Arial" w:hAnsi="Arial" w:cs="Arial"/>
                <w:b/>
                <w:spacing w:val="-3"/>
              </w:rPr>
              <w:t xml:space="preserve"> </w:t>
            </w:r>
            <w:r w:rsidRPr="00276D5E">
              <w:rPr>
                <w:rFonts w:ascii="Arial" w:hAnsi="Arial" w:cs="Arial"/>
                <w:b/>
              </w:rPr>
              <w:t>2:</w:t>
            </w:r>
            <w:r w:rsidRPr="00276D5E">
              <w:rPr>
                <w:rFonts w:ascii="Arial" w:hAnsi="Arial" w:cs="Arial"/>
                <w:b/>
                <w:spacing w:val="-3"/>
              </w:rPr>
              <w:t xml:space="preserve"> </w:t>
            </w:r>
            <w:r w:rsidRPr="00276D5E">
              <w:rPr>
                <w:rFonts w:ascii="Arial" w:hAnsi="Arial" w:cs="Arial"/>
                <w:b/>
              </w:rPr>
              <w:t>GENERAL</w:t>
            </w:r>
            <w:r w:rsidRPr="00276D5E">
              <w:rPr>
                <w:rFonts w:ascii="Arial" w:hAnsi="Arial" w:cs="Arial"/>
                <w:b/>
                <w:spacing w:val="-3"/>
              </w:rPr>
              <w:t xml:space="preserve"> </w:t>
            </w:r>
            <w:r w:rsidRPr="00276D5E">
              <w:rPr>
                <w:rFonts w:ascii="Arial" w:hAnsi="Arial" w:cs="Arial"/>
                <w:b/>
              </w:rPr>
              <w:t>AIRWORK</w:t>
            </w:r>
          </w:p>
        </w:tc>
      </w:tr>
      <w:tr w:rsidR="00102612" w:rsidRPr="00276D5E" w14:paraId="11DFBAAA" w14:textId="77777777" w:rsidTr="009D3A59">
        <w:trPr>
          <w:trHeight w:val="202"/>
        </w:trPr>
        <w:tc>
          <w:tcPr>
            <w:tcW w:w="518" w:type="dxa"/>
            <w:gridSpan w:val="2"/>
          </w:tcPr>
          <w:p w14:paraId="1B20C765" w14:textId="77777777" w:rsidR="00102612" w:rsidRPr="00276D5E" w:rsidRDefault="00102612" w:rsidP="00FF5E02">
            <w:pPr>
              <w:pStyle w:val="TableParagraph"/>
              <w:spacing w:line="225" w:lineRule="exact"/>
              <w:ind w:left="86"/>
              <w:jc w:val="both"/>
              <w:rPr>
                <w:rFonts w:ascii="Arial" w:hAnsi="Arial" w:cs="Arial"/>
              </w:rPr>
            </w:pPr>
            <w:r w:rsidRPr="00276D5E">
              <w:rPr>
                <w:rFonts w:ascii="Arial" w:hAnsi="Arial" w:cs="Arial"/>
                <w:w w:val="99"/>
              </w:rPr>
              <w:t>a</w:t>
            </w:r>
          </w:p>
        </w:tc>
        <w:tc>
          <w:tcPr>
            <w:tcW w:w="8212" w:type="dxa"/>
          </w:tcPr>
          <w:p w14:paraId="538E36F8" w14:textId="77777777" w:rsidR="00102612" w:rsidRPr="00276D5E" w:rsidRDefault="00102612" w:rsidP="00FF5E02">
            <w:pPr>
              <w:pStyle w:val="TableParagraph"/>
              <w:spacing w:line="225" w:lineRule="exact"/>
              <w:jc w:val="both"/>
              <w:rPr>
                <w:rFonts w:ascii="Arial" w:hAnsi="Arial" w:cs="Arial"/>
              </w:rPr>
            </w:pPr>
            <w:r w:rsidRPr="00276D5E">
              <w:rPr>
                <w:rFonts w:ascii="Arial" w:hAnsi="Arial" w:cs="Arial"/>
              </w:rPr>
              <w:t>Climb</w:t>
            </w:r>
            <w:r w:rsidRPr="00276D5E">
              <w:rPr>
                <w:rFonts w:ascii="Arial" w:hAnsi="Arial" w:cs="Arial"/>
                <w:spacing w:val="-3"/>
              </w:rPr>
              <w:t xml:space="preserve"> </w:t>
            </w:r>
            <w:r w:rsidRPr="00276D5E">
              <w:rPr>
                <w:rFonts w:ascii="Arial" w:hAnsi="Arial" w:cs="Arial"/>
              </w:rPr>
              <w:t>to</w:t>
            </w:r>
            <w:r w:rsidRPr="00276D5E">
              <w:rPr>
                <w:rFonts w:ascii="Arial" w:hAnsi="Arial" w:cs="Arial"/>
                <w:spacing w:val="-3"/>
              </w:rPr>
              <w:t xml:space="preserve"> </w:t>
            </w:r>
            <w:r w:rsidRPr="00276D5E">
              <w:rPr>
                <w:rFonts w:ascii="Arial" w:hAnsi="Arial" w:cs="Arial"/>
              </w:rPr>
              <w:t>level</w:t>
            </w:r>
            <w:r w:rsidRPr="00276D5E">
              <w:rPr>
                <w:rFonts w:ascii="Arial" w:hAnsi="Arial" w:cs="Arial"/>
                <w:spacing w:val="-1"/>
              </w:rPr>
              <w:t xml:space="preserve"> </w:t>
            </w:r>
            <w:r w:rsidRPr="00276D5E">
              <w:rPr>
                <w:rFonts w:ascii="Arial" w:hAnsi="Arial" w:cs="Arial"/>
              </w:rPr>
              <w:t>flight</w:t>
            </w:r>
          </w:p>
        </w:tc>
      </w:tr>
      <w:tr w:rsidR="00102612" w:rsidRPr="00276D5E" w14:paraId="526A802E" w14:textId="77777777" w:rsidTr="009D3A59">
        <w:trPr>
          <w:trHeight w:val="200"/>
        </w:trPr>
        <w:tc>
          <w:tcPr>
            <w:tcW w:w="518" w:type="dxa"/>
            <w:gridSpan w:val="2"/>
          </w:tcPr>
          <w:p w14:paraId="4F08B4D1" w14:textId="77777777" w:rsidR="00102612" w:rsidRPr="00276D5E" w:rsidRDefault="00102612" w:rsidP="00FF5E02">
            <w:pPr>
              <w:pStyle w:val="TableParagraph"/>
              <w:spacing w:line="222" w:lineRule="exact"/>
              <w:ind w:left="86"/>
              <w:jc w:val="both"/>
              <w:rPr>
                <w:rFonts w:ascii="Arial" w:hAnsi="Arial" w:cs="Arial"/>
              </w:rPr>
            </w:pPr>
            <w:r w:rsidRPr="00276D5E">
              <w:rPr>
                <w:rFonts w:ascii="Arial" w:hAnsi="Arial" w:cs="Arial"/>
                <w:w w:val="99"/>
              </w:rPr>
              <w:t>b</w:t>
            </w:r>
          </w:p>
        </w:tc>
        <w:tc>
          <w:tcPr>
            <w:tcW w:w="8212" w:type="dxa"/>
          </w:tcPr>
          <w:p w14:paraId="1C0DA473" w14:textId="77777777" w:rsidR="00102612" w:rsidRPr="00276D5E" w:rsidRDefault="00102612" w:rsidP="00FF5E02">
            <w:pPr>
              <w:pStyle w:val="TableParagraph"/>
              <w:spacing w:line="222" w:lineRule="exact"/>
              <w:jc w:val="both"/>
              <w:rPr>
                <w:rFonts w:ascii="Arial" w:hAnsi="Arial" w:cs="Arial"/>
              </w:rPr>
            </w:pPr>
            <w:r w:rsidRPr="00276D5E">
              <w:rPr>
                <w:rFonts w:ascii="Arial" w:hAnsi="Arial" w:cs="Arial"/>
              </w:rPr>
              <w:t>Level</w:t>
            </w:r>
            <w:r w:rsidRPr="00276D5E">
              <w:rPr>
                <w:rFonts w:ascii="Arial" w:hAnsi="Arial" w:cs="Arial"/>
                <w:spacing w:val="-4"/>
              </w:rPr>
              <w:t xml:space="preserve"> </w:t>
            </w:r>
            <w:r w:rsidRPr="00276D5E">
              <w:rPr>
                <w:rFonts w:ascii="Arial" w:hAnsi="Arial" w:cs="Arial"/>
              </w:rPr>
              <w:t>flight</w:t>
            </w:r>
          </w:p>
        </w:tc>
      </w:tr>
      <w:tr w:rsidR="00102612" w:rsidRPr="00276D5E" w14:paraId="5C26BB8E" w14:textId="77777777" w:rsidTr="009D3A59">
        <w:trPr>
          <w:trHeight w:val="202"/>
        </w:trPr>
        <w:tc>
          <w:tcPr>
            <w:tcW w:w="518" w:type="dxa"/>
            <w:gridSpan w:val="2"/>
          </w:tcPr>
          <w:p w14:paraId="5AC44B96" w14:textId="77777777" w:rsidR="00102612" w:rsidRPr="00276D5E" w:rsidRDefault="00102612" w:rsidP="00FF5E02">
            <w:pPr>
              <w:pStyle w:val="TableParagraph"/>
              <w:spacing w:line="225" w:lineRule="exact"/>
              <w:ind w:left="86"/>
              <w:jc w:val="both"/>
              <w:rPr>
                <w:rFonts w:ascii="Arial" w:hAnsi="Arial" w:cs="Arial"/>
              </w:rPr>
            </w:pPr>
            <w:r w:rsidRPr="00276D5E">
              <w:rPr>
                <w:rFonts w:ascii="Arial" w:hAnsi="Arial" w:cs="Arial"/>
                <w:w w:val="99"/>
              </w:rPr>
              <w:t>c</w:t>
            </w:r>
          </w:p>
        </w:tc>
        <w:tc>
          <w:tcPr>
            <w:tcW w:w="8212" w:type="dxa"/>
          </w:tcPr>
          <w:p w14:paraId="3794A265" w14:textId="77777777" w:rsidR="00102612" w:rsidRPr="00276D5E" w:rsidRDefault="00102612" w:rsidP="00FF5E02">
            <w:pPr>
              <w:pStyle w:val="TableParagraph"/>
              <w:spacing w:line="225" w:lineRule="exact"/>
              <w:jc w:val="both"/>
              <w:rPr>
                <w:rFonts w:ascii="Arial" w:hAnsi="Arial" w:cs="Arial"/>
              </w:rPr>
            </w:pPr>
            <w:r w:rsidRPr="00276D5E">
              <w:rPr>
                <w:rFonts w:ascii="Arial" w:hAnsi="Arial" w:cs="Arial"/>
              </w:rPr>
              <w:t>Descent</w:t>
            </w:r>
            <w:r w:rsidRPr="00276D5E">
              <w:rPr>
                <w:rFonts w:ascii="Arial" w:hAnsi="Arial" w:cs="Arial"/>
                <w:spacing w:val="-3"/>
              </w:rPr>
              <w:t xml:space="preserve"> </w:t>
            </w:r>
            <w:r w:rsidRPr="00276D5E">
              <w:rPr>
                <w:rFonts w:ascii="Arial" w:hAnsi="Arial" w:cs="Arial"/>
              </w:rPr>
              <w:t>to</w:t>
            </w:r>
            <w:r w:rsidRPr="00276D5E">
              <w:rPr>
                <w:rFonts w:ascii="Arial" w:hAnsi="Arial" w:cs="Arial"/>
                <w:spacing w:val="-3"/>
              </w:rPr>
              <w:t xml:space="preserve"> </w:t>
            </w:r>
            <w:r w:rsidRPr="00276D5E">
              <w:rPr>
                <w:rFonts w:ascii="Arial" w:hAnsi="Arial" w:cs="Arial"/>
              </w:rPr>
              <w:t>level</w:t>
            </w:r>
            <w:r w:rsidRPr="00276D5E">
              <w:rPr>
                <w:rFonts w:ascii="Arial" w:hAnsi="Arial" w:cs="Arial"/>
                <w:spacing w:val="-2"/>
              </w:rPr>
              <w:t xml:space="preserve"> </w:t>
            </w:r>
            <w:r w:rsidRPr="00276D5E">
              <w:rPr>
                <w:rFonts w:ascii="Arial" w:hAnsi="Arial" w:cs="Arial"/>
              </w:rPr>
              <w:t>flight</w:t>
            </w:r>
          </w:p>
        </w:tc>
      </w:tr>
      <w:tr w:rsidR="00102612" w:rsidRPr="00276D5E" w14:paraId="0950E344" w14:textId="77777777" w:rsidTr="009D3A59">
        <w:trPr>
          <w:trHeight w:val="200"/>
        </w:trPr>
        <w:tc>
          <w:tcPr>
            <w:tcW w:w="518" w:type="dxa"/>
            <w:gridSpan w:val="2"/>
          </w:tcPr>
          <w:p w14:paraId="54F61FA2" w14:textId="77777777" w:rsidR="00102612" w:rsidRPr="00276D5E" w:rsidRDefault="00102612" w:rsidP="00FF5E02">
            <w:pPr>
              <w:pStyle w:val="TableParagraph"/>
              <w:spacing w:line="222" w:lineRule="exact"/>
              <w:ind w:left="86"/>
              <w:jc w:val="both"/>
              <w:rPr>
                <w:rFonts w:ascii="Arial" w:hAnsi="Arial" w:cs="Arial"/>
              </w:rPr>
            </w:pPr>
            <w:r w:rsidRPr="00276D5E">
              <w:rPr>
                <w:rFonts w:ascii="Arial" w:hAnsi="Arial" w:cs="Arial"/>
                <w:w w:val="99"/>
              </w:rPr>
              <w:t>d</w:t>
            </w:r>
          </w:p>
        </w:tc>
        <w:tc>
          <w:tcPr>
            <w:tcW w:w="8212" w:type="dxa"/>
          </w:tcPr>
          <w:p w14:paraId="01287D05" w14:textId="77777777" w:rsidR="00102612" w:rsidRPr="00276D5E" w:rsidRDefault="00102612" w:rsidP="00FF5E02">
            <w:pPr>
              <w:pStyle w:val="TableParagraph"/>
              <w:spacing w:line="222" w:lineRule="exact"/>
              <w:jc w:val="both"/>
              <w:rPr>
                <w:rFonts w:ascii="Arial" w:hAnsi="Arial" w:cs="Arial"/>
              </w:rPr>
            </w:pPr>
            <w:r w:rsidRPr="00276D5E">
              <w:rPr>
                <w:rFonts w:ascii="Arial" w:hAnsi="Arial" w:cs="Arial"/>
              </w:rPr>
              <w:t>Operating</w:t>
            </w:r>
            <w:r w:rsidRPr="00276D5E">
              <w:rPr>
                <w:rFonts w:ascii="Arial" w:hAnsi="Arial" w:cs="Arial"/>
                <w:spacing w:val="-4"/>
              </w:rPr>
              <w:t xml:space="preserve"> </w:t>
            </w:r>
            <w:r w:rsidRPr="00276D5E">
              <w:rPr>
                <w:rFonts w:ascii="Arial" w:hAnsi="Arial" w:cs="Arial"/>
              </w:rPr>
              <w:t>at</w:t>
            </w:r>
            <w:r w:rsidRPr="00276D5E">
              <w:rPr>
                <w:rFonts w:ascii="Arial" w:hAnsi="Arial" w:cs="Arial"/>
                <w:spacing w:val="-2"/>
              </w:rPr>
              <w:t xml:space="preserve"> </w:t>
            </w:r>
            <w:r w:rsidRPr="00276D5E">
              <w:rPr>
                <w:rFonts w:ascii="Arial" w:hAnsi="Arial" w:cs="Arial"/>
              </w:rPr>
              <w:t>low</w:t>
            </w:r>
            <w:r w:rsidRPr="00276D5E">
              <w:rPr>
                <w:rFonts w:ascii="Arial" w:hAnsi="Arial" w:cs="Arial"/>
                <w:spacing w:val="-2"/>
              </w:rPr>
              <w:t xml:space="preserve"> </w:t>
            </w:r>
            <w:r w:rsidRPr="00276D5E">
              <w:rPr>
                <w:rFonts w:ascii="Arial" w:hAnsi="Arial" w:cs="Arial"/>
              </w:rPr>
              <w:t>level</w:t>
            </w:r>
          </w:p>
        </w:tc>
      </w:tr>
      <w:tr w:rsidR="00102612" w:rsidRPr="00276D5E" w14:paraId="7B1F801B" w14:textId="77777777" w:rsidTr="009D3A59">
        <w:trPr>
          <w:trHeight w:val="202"/>
        </w:trPr>
        <w:tc>
          <w:tcPr>
            <w:tcW w:w="518" w:type="dxa"/>
            <w:gridSpan w:val="2"/>
          </w:tcPr>
          <w:p w14:paraId="7F2B4EE3" w14:textId="77777777" w:rsidR="00102612" w:rsidRPr="00276D5E" w:rsidRDefault="00102612" w:rsidP="00FF5E02">
            <w:pPr>
              <w:pStyle w:val="TableParagraph"/>
              <w:spacing w:line="225" w:lineRule="exact"/>
              <w:ind w:left="86"/>
              <w:jc w:val="both"/>
              <w:rPr>
                <w:rFonts w:ascii="Arial" w:hAnsi="Arial" w:cs="Arial"/>
              </w:rPr>
            </w:pPr>
            <w:r w:rsidRPr="00276D5E">
              <w:rPr>
                <w:rFonts w:ascii="Arial" w:hAnsi="Arial" w:cs="Arial"/>
                <w:w w:val="99"/>
              </w:rPr>
              <w:t>e</w:t>
            </w:r>
          </w:p>
        </w:tc>
        <w:tc>
          <w:tcPr>
            <w:tcW w:w="8212" w:type="dxa"/>
          </w:tcPr>
          <w:p w14:paraId="3B7E6618" w14:textId="77777777" w:rsidR="00102612" w:rsidRPr="00276D5E" w:rsidRDefault="00102612" w:rsidP="00FF5E02">
            <w:pPr>
              <w:pStyle w:val="TableParagraph"/>
              <w:spacing w:line="225" w:lineRule="exact"/>
              <w:jc w:val="both"/>
              <w:rPr>
                <w:rFonts w:ascii="Arial" w:hAnsi="Arial" w:cs="Arial"/>
              </w:rPr>
            </w:pPr>
            <w:r w:rsidRPr="00276D5E">
              <w:rPr>
                <w:rFonts w:ascii="Arial" w:hAnsi="Arial" w:cs="Arial"/>
              </w:rPr>
              <w:t>ATC</w:t>
            </w:r>
            <w:r w:rsidRPr="00276D5E">
              <w:rPr>
                <w:rFonts w:ascii="Arial" w:hAnsi="Arial" w:cs="Arial"/>
                <w:spacing w:val="-3"/>
              </w:rPr>
              <w:t xml:space="preserve"> </w:t>
            </w:r>
            <w:r w:rsidRPr="00276D5E">
              <w:rPr>
                <w:rFonts w:ascii="Arial" w:hAnsi="Arial" w:cs="Arial"/>
              </w:rPr>
              <w:t>compliance</w:t>
            </w:r>
            <w:r w:rsidRPr="00276D5E">
              <w:rPr>
                <w:rFonts w:ascii="Arial" w:hAnsi="Arial" w:cs="Arial"/>
                <w:spacing w:val="-4"/>
              </w:rPr>
              <w:t xml:space="preserve"> </w:t>
            </w:r>
            <w:r w:rsidRPr="00276D5E">
              <w:rPr>
                <w:rFonts w:ascii="Arial" w:hAnsi="Arial" w:cs="Arial"/>
              </w:rPr>
              <w:t>(if</w:t>
            </w:r>
            <w:r w:rsidRPr="00276D5E">
              <w:rPr>
                <w:rFonts w:ascii="Arial" w:hAnsi="Arial" w:cs="Arial"/>
                <w:spacing w:val="-3"/>
              </w:rPr>
              <w:t xml:space="preserve"> </w:t>
            </w:r>
            <w:r w:rsidRPr="00276D5E">
              <w:rPr>
                <w:rFonts w:ascii="Arial" w:hAnsi="Arial" w:cs="Arial"/>
              </w:rPr>
              <w:t>applicable)</w:t>
            </w:r>
          </w:p>
        </w:tc>
      </w:tr>
      <w:tr w:rsidR="00102612" w:rsidRPr="00276D5E" w14:paraId="638494CE" w14:textId="77777777" w:rsidTr="004F6505">
        <w:trPr>
          <w:trHeight w:val="200"/>
        </w:trPr>
        <w:tc>
          <w:tcPr>
            <w:tcW w:w="8730" w:type="dxa"/>
            <w:gridSpan w:val="3"/>
            <w:shd w:val="clear" w:color="auto" w:fill="F2F2F2" w:themeFill="background1" w:themeFillShade="F2"/>
          </w:tcPr>
          <w:p w14:paraId="02828067" w14:textId="77777777" w:rsidR="00102612" w:rsidRPr="00276D5E" w:rsidRDefault="00102612" w:rsidP="00FF5E02">
            <w:pPr>
              <w:pStyle w:val="TableParagraph"/>
              <w:spacing w:line="222" w:lineRule="exact"/>
              <w:ind w:left="86"/>
              <w:jc w:val="both"/>
              <w:rPr>
                <w:rFonts w:ascii="Arial" w:hAnsi="Arial" w:cs="Arial"/>
                <w:b/>
              </w:rPr>
            </w:pPr>
            <w:r w:rsidRPr="00276D5E">
              <w:rPr>
                <w:rFonts w:ascii="Arial" w:hAnsi="Arial" w:cs="Arial"/>
                <w:b/>
              </w:rPr>
              <w:t>SECTION</w:t>
            </w:r>
            <w:r w:rsidRPr="00276D5E">
              <w:rPr>
                <w:rFonts w:ascii="Arial" w:hAnsi="Arial" w:cs="Arial"/>
                <w:b/>
                <w:spacing w:val="-3"/>
              </w:rPr>
              <w:t xml:space="preserve"> </w:t>
            </w:r>
            <w:r w:rsidRPr="00276D5E">
              <w:rPr>
                <w:rFonts w:ascii="Arial" w:hAnsi="Arial" w:cs="Arial"/>
                <w:b/>
              </w:rPr>
              <w:t>3:</w:t>
            </w:r>
            <w:r w:rsidRPr="00276D5E">
              <w:rPr>
                <w:rFonts w:ascii="Arial" w:hAnsi="Arial" w:cs="Arial"/>
                <w:b/>
                <w:spacing w:val="-3"/>
              </w:rPr>
              <w:t xml:space="preserve"> </w:t>
            </w:r>
            <w:r w:rsidRPr="00276D5E">
              <w:rPr>
                <w:rFonts w:ascii="Arial" w:hAnsi="Arial" w:cs="Arial"/>
                <w:b/>
              </w:rPr>
              <w:t>EN-ROUTE</w:t>
            </w:r>
            <w:r w:rsidRPr="00276D5E">
              <w:rPr>
                <w:rFonts w:ascii="Arial" w:hAnsi="Arial" w:cs="Arial"/>
                <w:b/>
                <w:spacing w:val="-3"/>
              </w:rPr>
              <w:t xml:space="preserve"> </w:t>
            </w:r>
            <w:r w:rsidRPr="00276D5E">
              <w:rPr>
                <w:rFonts w:ascii="Arial" w:hAnsi="Arial" w:cs="Arial"/>
                <w:b/>
              </w:rPr>
              <w:t>PROCEDURES</w:t>
            </w:r>
          </w:p>
        </w:tc>
      </w:tr>
      <w:tr w:rsidR="00102612" w:rsidRPr="00276D5E" w14:paraId="7D2DE43F" w14:textId="77777777" w:rsidTr="009D3A59">
        <w:trPr>
          <w:trHeight w:val="203"/>
        </w:trPr>
        <w:tc>
          <w:tcPr>
            <w:tcW w:w="518" w:type="dxa"/>
            <w:gridSpan w:val="2"/>
          </w:tcPr>
          <w:p w14:paraId="704D952D" w14:textId="77777777" w:rsidR="00102612" w:rsidRPr="00276D5E" w:rsidRDefault="00102612" w:rsidP="00FF5E02">
            <w:pPr>
              <w:pStyle w:val="TableParagraph"/>
              <w:spacing w:line="226" w:lineRule="exact"/>
              <w:ind w:left="86"/>
              <w:jc w:val="both"/>
              <w:rPr>
                <w:rFonts w:ascii="Arial" w:hAnsi="Arial" w:cs="Arial"/>
              </w:rPr>
            </w:pPr>
            <w:r w:rsidRPr="00276D5E">
              <w:rPr>
                <w:rFonts w:ascii="Arial" w:hAnsi="Arial" w:cs="Arial"/>
                <w:w w:val="99"/>
              </w:rPr>
              <w:lastRenderedPageBreak/>
              <w:t>a</w:t>
            </w:r>
          </w:p>
        </w:tc>
        <w:tc>
          <w:tcPr>
            <w:tcW w:w="8212" w:type="dxa"/>
          </w:tcPr>
          <w:p w14:paraId="6B60D73B" w14:textId="77777777" w:rsidR="00102612" w:rsidRPr="00276D5E" w:rsidRDefault="00102612" w:rsidP="00FF5E02">
            <w:pPr>
              <w:pStyle w:val="TableParagraph"/>
              <w:spacing w:line="226" w:lineRule="exact"/>
              <w:jc w:val="both"/>
              <w:rPr>
                <w:rFonts w:ascii="Arial" w:hAnsi="Arial" w:cs="Arial"/>
              </w:rPr>
            </w:pPr>
            <w:r w:rsidRPr="00276D5E">
              <w:rPr>
                <w:rFonts w:ascii="Arial" w:hAnsi="Arial" w:cs="Arial"/>
              </w:rPr>
              <w:t>Dead</w:t>
            </w:r>
            <w:r w:rsidRPr="00276D5E">
              <w:rPr>
                <w:rFonts w:ascii="Arial" w:hAnsi="Arial" w:cs="Arial"/>
                <w:spacing w:val="-2"/>
              </w:rPr>
              <w:t xml:space="preserve"> </w:t>
            </w:r>
            <w:r w:rsidRPr="00276D5E">
              <w:rPr>
                <w:rFonts w:ascii="Arial" w:hAnsi="Arial" w:cs="Arial"/>
              </w:rPr>
              <w:t>reckoning</w:t>
            </w:r>
            <w:r w:rsidRPr="00276D5E">
              <w:rPr>
                <w:rFonts w:ascii="Arial" w:hAnsi="Arial" w:cs="Arial"/>
                <w:spacing w:val="-4"/>
              </w:rPr>
              <w:t xml:space="preserve"> </w:t>
            </w:r>
            <w:r w:rsidRPr="00276D5E">
              <w:rPr>
                <w:rFonts w:ascii="Arial" w:hAnsi="Arial" w:cs="Arial"/>
              </w:rPr>
              <w:t>and</w:t>
            </w:r>
            <w:r w:rsidRPr="00276D5E">
              <w:rPr>
                <w:rFonts w:ascii="Arial" w:hAnsi="Arial" w:cs="Arial"/>
                <w:spacing w:val="-2"/>
              </w:rPr>
              <w:t xml:space="preserve"> </w:t>
            </w:r>
            <w:r w:rsidRPr="00276D5E">
              <w:rPr>
                <w:rFonts w:ascii="Arial" w:hAnsi="Arial" w:cs="Arial"/>
              </w:rPr>
              <w:t>map</w:t>
            </w:r>
            <w:r w:rsidRPr="00276D5E">
              <w:rPr>
                <w:rFonts w:ascii="Arial" w:hAnsi="Arial" w:cs="Arial"/>
                <w:spacing w:val="-2"/>
              </w:rPr>
              <w:t xml:space="preserve"> </w:t>
            </w:r>
            <w:r w:rsidRPr="00276D5E">
              <w:rPr>
                <w:rFonts w:ascii="Arial" w:hAnsi="Arial" w:cs="Arial"/>
              </w:rPr>
              <w:t>reading</w:t>
            </w:r>
          </w:p>
        </w:tc>
      </w:tr>
      <w:tr w:rsidR="00102612" w:rsidRPr="00276D5E" w14:paraId="4308739D" w14:textId="77777777" w:rsidTr="009D3A59">
        <w:trPr>
          <w:trHeight w:val="203"/>
        </w:trPr>
        <w:tc>
          <w:tcPr>
            <w:tcW w:w="518" w:type="dxa"/>
            <w:gridSpan w:val="2"/>
          </w:tcPr>
          <w:p w14:paraId="649A41CA" w14:textId="77777777" w:rsidR="00102612" w:rsidRPr="00102612" w:rsidRDefault="00102612" w:rsidP="00FF5E02">
            <w:pPr>
              <w:pStyle w:val="TableParagraph"/>
              <w:spacing w:line="226" w:lineRule="exact"/>
              <w:ind w:left="86"/>
              <w:jc w:val="both"/>
              <w:rPr>
                <w:rFonts w:ascii="Arial" w:hAnsi="Arial" w:cs="Arial"/>
                <w:w w:val="99"/>
              </w:rPr>
            </w:pPr>
            <w:r w:rsidRPr="00276D5E">
              <w:rPr>
                <w:rFonts w:ascii="Arial" w:hAnsi="Arial" w:cs="Arial"/>
                <w:w w:val="99"/>
              </w:rPr>
              <w:t>b</w:t>
            </w:r>
          </w:p>
        </w:tc>
        <w:tc>
          <w:tcPr>
            <w:tcW w:w="8212" w:type="dxa"/>
          </w:tcPr>
          <w:p w14:paraId="0CDADACC" w14:textId="77777777" w:rsidR="00102612" w:rsidRPr="00276D5E" w:rsidRDefault="00102612" w:rsidP="00FF5E02">
            <w:pPr>
              <w:pStyle w:val="TableParagraph"/>
              <w:spacing w:line="226" w:lineRule="exact"/>
              <w:jc w:val="both"/>
              <w:rPr>
                <w:rFonts w:ascii="Arial" w:hAnsi="Arial" w:cs="Arial"/>
              </w:rPr>
            </w:pPr>
            <w:r w:rsidRPr="00276D5E">
              <w:rPr>
                <w:rFonts w:ascii="Arial" w:hAnsi="Arial" w:cs="Arial"/>
              </w:rPr>
              <w:t>Marking</w:t>
            </w:r>
            <w:r w:rsidRPr="00102612">
              <w:rPr>
                <w:rFonts w:ascii="Arial" w:hAnsi="Arial" w:cs="Arial"/>
              </w:rPr>
              <w:t xml:space="preserve"> </w:t>
            </w:r>
            <w:r w:rsidRPr="00276D5E">
              <w:rPr>
                <w:rFonts w:ascii="Arial" w:hAnsi="Arial" w:cs="Arial"/>
              </w:rPr>
              <w:t>positions</w:t>
            </w:r>
            <w:r w:rsidRPr="00102612">
              <w:rPr>
                <w:rFonts w:ascii="Arial" w:hAnsi="Arial" w:cs="Arial"/>
              </w:rPr>
              <w:t xml:space="preserve"> </w:t>
            </w:r>
            <w:r w:rsidRPr="00276D5E">
              <w:rPr>
                <w:rFonts w:ascii="Arial" w:hAnsi="Arial" w:cs="Arial"/>
              </w:rPr>
              <w:t>and</w:t>
            </w:r>
            <w:r w:rsidRPr="00102612">
              <w:rPr>
                <w:rFonts w:ascii="Arial" w:hAnsi="Arial" w:cs="Arial"/>
              </w:rPr>
              <w:t xml:space="preserve"> </w:t>
            </w:r>
            <w:r w:rsidRPr="00276D5E">
              <w:rPr>
                <w:rFonts w:ascii="Arial" w:hAnsi="Arial" w:cs="Arial"/>
              </w:rPr>
              <w:t>time</w:t>
            </w:r>
          </w:p>
        </w:tc>
      </w:tr>
      <w:tr w:rsidR="00102612" w:rsidRPr="00276D5E" w14:paraId="2C9A26C9" w14:textId="77777777" w:rsidTr="009D3A59">
        <w:trPr>
          <w:trHeight w:val="203"/>
        </w:trPr>
        <w:tc>
          <w:tcPr>
            <w:tcW w:w="518" w:type="dxa"/>
            <w:gridSpan w:val="2"/>
          </w:tcPr>
          <w:p w14:paraId="36482E05" w14:textId="77777777" w:rsidR="00102612" w:rsidRPr="00102612" w:rsidRDefault="00102612" w:rsidP="00FF5E02">
            <w:pPr>
              <w:pStyle w:val="TableParagraph"/>
              <w:spacing w:line="226" w:lineRule="exact"/>
              <w:ind w:left="86"/>
              <w:jc w:val="both"/>
              <w:rPr>
                <w:rFonts w:ascii="Arial" w:hAnsi="Arial" w:cs="Arial"/>
                <w:w w:val="99"/>
              </w:rPr>
            </w:pPr>
            <w:r w:rsidRPr="00276D5E">
              <w:rPr>
                <w:rFonts w:ascii="Arial" w:hAnsi="Arial" w:cs="Arial"/>
                <w:w w:val="99"/>
              </w:rPr>
              <w:t>c</w:t>
            </w:r>
          </w:p>
        </w:tc>
        <w:tc>
          <w:tcPr>
            <w:tcW w:w="8212" w:type="dxa"/>
          </w:tcPr>
          <w:p w14:paraId="0A1A4372" w14:textId="77777777" w:rsidR="00102612" w:rsidRPr="00276D5E" w:rsidRDefault="00102612" w:rsidP="00FF5E02">
            <w:pPr>
              <w:pStyle w:val="TableParagraph"/>
              <w:spacing w:line="226" w:lineRule="exact"/>
              <w:jc w:val="both"/>
              <w:rPr>
                <w:rFonts w:ascii="Arial" w:hAnsi="Arial" w:cs="Arial"/>
              </w:rPr>
            </w:pPr>
            <w:r w:rsidRPr="00276D5E">
              <w:rPr>
                <w:rFonts w:ascii="Arial" w:hAnsi="Arial" w:cs="Arial"/>
              </w:rPr>
              <w:t>Orientation</w:t>
            </w:r>
            <w:r w:rsidRPr="00102612">
              <w:rPr>
                <w:rFonts w:ascii="Arial" w:hAnsi="Arial" w:cs="Arial"/>
              </w:rPr>
              <w:t xml:space="preserve"> </w:t>
            </w:r>
            <w:r w:rsidRPr="00276D5E">
              <w:rPr>
                <w:rFonts w:ascii="Arial" w:hAnsi="Arial" w:cs="Arial"/>
              </w:rPr>
              <w:t>and</w:t>
            </w:r>
            <w:r w:rsidRPr="00102612">
              <w:rPr>
                <w:rFonts w:ascii="Arial" w:hAnsi="Arial" w:cs="Arial"/>
              </w:rPr>
              <w:t xml:space="preserve"> </w:t>
            </w:r>
            <w:r w:rsidRPr="00276D5E">
              <w:rPr>
                <w:rFonts w:ascii="Arial" w:hAnsi="Arial" w:cs="Arial"/>
              </w:rPr>
              <w:t>airspace</w:t>
            </w:r>
            <w:r w:rsidRPr="00102612">
              <w:rPr>
                <w:rFonts w:ascii="Arial" w:hAnsi="Arial" w:cs="Arial"/>
              </w:rPr>
              <w:t xml:space="preserve"> </w:t>
            </w:r>
            <w:r w:rsidRPr="00276D5E">
              <w:rPr>
                <w:rFonts w:ascii="Arial" w:hAnsi="Arial" w:cs="Arial"/>
              </w:rPr>
              <w:t>structure</w:t>
            </w:r>
          </w:p>
        </w:tc>
      </w:tr>
      <w:tr w:rsidR="00102612" w:rsidRPr="00276D5E" w14:paraId="4672CDB5" w14:textId="77777777" w:rsidTr="009D3A59">
        <w:trPr>
          <w:trHeight w:val="203"/>
        </w:trPr>
        <w:tc>
          <w:tcPr>
            <w:tcW w:w="518" w:type="dxa"/>
            <w:gridSpan w:val="2"/>
          </w:tcPr>
          <w:p w14:paraId="30CEB39A" w14:textId="77777777" w:rsidR="00102612" w:rsidRPr="00102612" w:rsidRDefault="00102612" w:rsidP="00FF5E02">
            <w:pPr>
              <w:pStyle w:val="TableParagraph"/>
              <w:spacing w:line="226" w:lineRule="exact"/>
              <w:ind w:left="86"/>
              <w:jc w:val="both"/>
              <w:rPr>
                <w:rFonts w:ascii="Arial" w:hAnsi="Arial" w:cs="Arial"/>
                <w:w w:val="99"/>
              </w:rPr>
            </w:pPr>
            <w:r w:rsidRPr="00276D5E">
              <w:rPr>
                <w:rFonts w:ascii="Arial" w:hAnsi="Arial" w:cs="Arial"/>
                <w:w w:val="99"/>
              </w:rPr>
              <w:t>d</w:t>
            </w:r>
          </w:p>
        </w:tc>
        <w:tc>
          <w:tcPr>
            <w:tcW w:w="8212" w:type="dxa"/>
          </w:tcPr>
          <w:p w14:paraId="04CCF8D6" w14:textId="77777777" w:rsidR="00102612" w:rsidRPr="00276D5E" w:rsidRDefault="00102612" w:rsidP="00FF5E02">
            <w:pPr>
              <w:pStyle w:val="TableParagraph"/>
              <w:spacing w:line="226" w:lineRule="exact"/>
              <w:jc w:val="both"/>
              <w:rPr>
                <w:rFonts w:ascii="Arial" w:hAnsi="Arial" w:cs="Arial"/>
              </w:rPr>
            </w:pPr>
            <w:r w:rsidRPr="00276D5E">
              <w:rPr>
                <w:rFonts w:ascii="Arial" w:hAnsi="Arial" w:cs="Arial"/>
              </w:rPr>
              <w:t>Maintenance</w:t>
            </w:r>
            <w:r w:rsidRPr="00102612">
              <w:rPr>
                <w:rFonts w:ascii="Arial" w:hAnsi="Arial" w:cs="Arial"/>
              </w:rPr>
              <w:t xml:space="preserve"> </w:t>
            </w:r>
            <w:r w:rsidRPr="00276D5E">
              <w:rPr>
                <w:rFonts w:ascii="Arial" w:hAnsi="Arial" w:cs="Arial"/>
              </w:rPr>
              <w:t>of</w:t>
            </w:r>
            <w:r w:rsidRPr="00102612">
              <w:rPr>
                <w:rFonts w:ascii="Arial" w:hAnsi="Arial" w:cs="Arial"/>
              </w:rPr>
              <w:t xml:space="preserve"> </w:t>
            </w:r>
            <w:r w:rsidRPr="00276D5E">
              <w:rPr>
                <w:rFonts w:ascii="Arial" w:hAnsi="Arial" w:cs="Arial"/>
              </w:rPr>
              <w:t>altitude</w:t>
            </w:r>
          </w:p>
        </w:tc>
      </w:tr>
      <w:tr w:rsidR="00102612" w:rsidRPr="00276D5E" w14:paraId="3DB273B9" w14:textId="77777777" w:rsidTr="009D3A59">
        <w:trPr>
          <w:trHeight w:val="203"/>
        </w:trPr>
        <w:tc>
          <w:tcPr>
            <w:tcW w:w="518" w:type="dxa"/>
            <w:gridSpan w:val="2"/>
          </w:tcPr>
          <w:p w14:paraId="3D4A79C9" w14:textId="77777777" w:rsidR="00102612" w:rsidRPr="00102612" w:rsidRDefault="00102612" w:rsidP="00FF5E02">
            <w:pPr>
              <w:pStyle w:val="TableParagraph"/>
              <w:spacing w:line="226" w:lineRule="exact"/>
              <w:ind w:left="86"/>
              <w:jc w:val="both"/>
              <w:rPr>
                <w:rFonts w:ascii="Arial" w:hAnsi="Arial" w:cs="Arial"/>
                <w:w w:val="99"/>
              </w:rPr>
            </w:pPr>
            <w:r w:rsidRPr="00276D5E">
              <w:rPr>
                <w:rFonts w:ascii="Arial" w:hAnsi="Arial" w:cs="Arial"/>
                <w:w w:val="99"/>
              </w:rPr>
              <w:t>e</w:t>
            </w:r>
          </w:p>
        </w:tc>
        <w:tc>
          <w:tcPr>
            <w:tcW w:w="8212" w:type="dxa"/>
          </w:tcPr>
          <w:p w14:paraId="6D2EF679" w14:textId="77777777" w:rsidR="00102612" w:rsidRPr="00276D5E" w:rsidRDefault="00102612" w:rsidP="00FF5E02">
            <w:pPr>
              <w:pStyle w:val="TableParagraph"/>
              <w:spacing w:line="226" w:lineRule="exact"/>
              <w:jc w:val="both"/>
              <w:rPr>
                <w:rFonts w:ascii="Arial" w:hAnsi="Arial" w:cs="Arial"/>
              </w:rPr>
            </w:pPr>
            <w:r w:rsidRPr="00276D5E">
              <w:rPr>
                <w:rFonts w:ascii="Arial" w:hAnsi="Arial" w:cs="Arial"/>
              </w:rPr>
              <w:t>Ballast</w:t>
            </w:r>
            <w:r w:rsidRPr="00102612">
              <w:rPr>
                <w:rFonts w:ascii="Arial" w:hAnsi="Arial" w:cs="Arial"/>
              </w:rPr>
              <w:t xml:space="preserve"> </w:t>
            </w:r>
            <w:r w:rsidRPr="00276D5E">
              <w:rPr>
                <w:rFonts w:ascii="Arial" w:hAnsi="Arial" w:cs="Arial"/>
              </w:rPr>
              <w:t>management</w:t>
            </w:r>
          </w:p>
        </w:tc>
      </w:tr>
      <w:tr w:rsidR="00102612" w:rsidRPr="00276D5E" w14:paraId="575F2CA2" w14:textId="77777777" w:rsidTr="009D3A59">
        <w:trPr>
          <w:trHeight w:val="203"/>
        </w:trPr>
        <w:tc>
          <w:tcPr>
            <w:tcW w:w="518" w:type="dxa"/>
            <w:gridSpan w:val="2"/>
          </w:tcPr>
          <w:p w14:paraId="020E4C1D" w14:textId="77777777" w:rsidR="00102612" w:rsidRPr="00102612" w:rsidRDefault="00102612" w:rsidP="00FF5E02">
            <w:pPr>
              <w:pStyle w:val="TableParagraph"/>
              <w:spacing w:line="226" w:lineRule="exact"/>
              <w:ind w:left="86"/>
              <w:jc w:val="both"/>
              <w:rPr>
                <w:rFonts w:ascii="Arial" w:hAnsi="Arial" w:cs="Arial"/>
                <w:w w:val="99"/>
              </w:rPr>
            </w:pPr>
            <w:r w:rsidRPr="00276D5E">
              <w:rPr>
                <w:rFonts w:ascii="Arial" w:hAnsi="Arial" w:cs="Arial"/>
                <w:w w:val="99"/>
              </w:rPr>
              <w:t>f</w:t>
            </w:r>
          </w:p>
        </w:tc>
        <w:tc>
          <w:tcPr>
            <w:tcW w:w="8212" w:type="dxa"/>
          </w:tcPr>
          <w:p w14:paraId="798AA815" w14:textId="77777777" w:rsidR="00102612" w:rsidRPr="00276D5E" w:rsidRDefault="00102612" w:rsidP="00FF5E02">
            <w:pPr>
              <w:pStyle w:val="TableParagraph"/>
              <w:spacing w:line="226" w:lineRule="exact"/>
              <w:jc w:val="both"/>
              <w:rPr>
                <w:rFonts w:ascii="Arial" w:hAnsi="Arial" w:cs="Arial"/>
              </w:rPr>
            </w:pPr>
            <w:r w:rsidRPr="00276D5E">
              <w:rPr>
                <w:rFonts w:ascii="Arial" w:hAnsi="Arial" w:cs="Arial"/>
              </w:rPr>
              <w:t>Communication</w:t>
            </w:r>
            <w:r w:rsidRPr="00102612">
              <w:rPr>
                <w:rFonts w:ascii="Arial" w:hAnsi="Arial" w:cs="Arial"/>
              </w:rPr>
              <w:t xml:space="preserve"> </w:t>
            </w:r>
            <w:r w:rsidRPr="00276D5E">
              <w:rPr>
                <w:rFonts w:ascii="Arial" w:hAnsi="Arial" w:cs="Arial"/>
              </w:rPr>
              <w:t>with</w:t>
            </w:r>
            <w:r w:rsidRPr="00102612">
              <w:rPr>
                <w:rFonts w:ascii="Arial" w:hAnsi="Arial" w:cs="Arial"/>
              </w:rPr>
              <w:t xml:space="preserve"> </w:t>
            </w:r>
            <w:r w:rsidRPr="00276D5E">
              <w:rPr>
                <w:rFonts w:ascii="Arial" w:hAnsi="Arial" w:cs="Arial"/>
              </w:rPr>
              <w:t>retrieve</w:t>
            </w:r>
            <w:r w:rsidRPr="00102612">
              <w:rPr>
                <w:rFonts w:ascii="Arial" w:hAnsi="Arial" w:cs="Arial"/>
              </w:rPr>
              <w:t xml:space="preserve"> </w:t>
            </w:r>
            <w:r w:rsidRPr="00276D5E">
              <w:rPr>
                <w:rFonts w:ascii="Arial" w:hAnsi="Arial" w:cs="Arial"/>
              </w:rPr>
              <w:t>crew</w:t>
            </w:r>
            <w:r w:rsidRPr="00102612">
              <w:rPr>
                <w:rFonts w:ascii="Arial" w:hAnsi="Arial" w:cs="Arial"/>
              </w:rPr>
              <w:t xml:space="preserve"> </w:t>
            </w:r>
            <w:r w:rsidRPr="00276D5E">
              <w:rPr>
                <w:rFonts w:ascii="Arial" w:hAnsi="Arial" w:cs="Arial"/>
              </w:rPr>
              <w:t>and</w:t>
            </w:r>
            <w:r w:rsidRPr="00102612">
              <w:rPr>
                <w:rFonts w:ascii="Arial" w:hAnsi="Arial" w:cs="Arial"/>
              </w:rPr>
              <w:t xml:space="preserve"> </w:t>
            </w:r>
            <w:r w:rsidRPr="00276D5E">
              <w:rPr>
                <w:rFonts w:ascii="Arial" w:hAnsi="Arial" w:cs="Arial"/>
              </w:rPr>
              <w:t>passengers</w:t>
            </w:r>
          </w:p>
        </w:tc>
      </w:tr>
      <w:tr w:rsidR="00102612" w:rsidRPr="00276D5E" w14:paraId="331281F3" w14:textId="77777777" w:rsidTr="009D3A59">
        <w:trPr>
          <w:trHeight w:val="203"/>
        </w:trPr>
        <w:tc>
          <w:tcPr>
            <w:tcW w:w="518" w:type="dxa"/>
            <w:gridSpan w:val="2"/>
          </w:tcPr>
          <w:p w14:paraId="79402F1F" w14:textId="77777777" w:rsidR="00102612" w:rsidRPr="00102612" w:rsidRDefault="00102612" w:rsidP="00FF5E02">
            <w:pPr>
              <w:pStyle w:val="TableParagraph"/>
              <w:spacing w:line="226" w:lineRule="exact"/>
              <w:ind w:left="86"/>
              <w:jc w:val="both"/>
              <w:rPr>
                <w:rFonts w:ascii="Arial" w:hAnsi="Arial" w:cs="Arial"/>
                <w:w w:val="99"/>
              </w:rPr>
            </w:pPr>
            <w:r w:rsidRPr="00276D5E">
              <w:rPr>
                <w:rFonts w:ascii="Arial" w:hAnsi="Arial" w:cs="Arial"/>
                <w:w w:val="99"/>
              </w:rPr>
              <w:t>g</w:t>
            </w:r>
          </w:p>
        </w:tc>
        <w:tc>
          <w:tcPr>
            <w:tcW w:w="8212" w:type="dxa"/>
          </w:tcPr>
          <w:p w14:paraId="2E5CA429" w14:textId="77777777" w:rsidR="00102612" w:rsidRPr="00276D5E" w:rsidRDefault="00102612" w:rsidP="00FF5E02">
            <w:pPr>
              <w:pStyle w:val="TableParagraph"/>
              <w:spacing w:line="226" w:lineRule="exact"/>
              <w:jc w:val="both"/>
              <w:rPr>
                <w:rFonts w:ascii="Arial" w:hAnsi="Arial" w:cs="Arial"/>
              </w:rPr>
            </w:pPr>
            <w:r w:rsidRPr="00276D5E">
              <w:rPr>
                <w:rFonts w:ascii="Arial" w:hAnsi="Arial" w:cs="Arial"/>
              </w:rPr>
              <w:t>ATC</w:t>
            </w:r>
            <w:r w:rsidRPr="00102612">
              <w:rPr>
                <w:rFonts w:ascii="Arial" w:hAnsi="Arial" w:cs="Arial"/>
              </w:rPr>
              <w:t xml:space="preserve"> </w:t>
            </w:r>
            <w:r w:rsidRPr="00276D5E">
              <w:rPr>
                <w:rFonts w:ascii="Arial" w:hAnsi="Arial" w:cs="Arial"/>
              </w:rPr>
              <w:t>compliance</w:t>
            </w:r>
            <w:r w:rsidRPr="00102612">
              <w:rPr>
                <w:rFonts w:ascii="Arial" w:hAnsi="Arial" w:cs="Arial"/>
              </w:rPr>
              <w:t xml:space="preserve"> </w:t>
            </w:r>
            <w:r w:rsidRPr="00276D5E">
              <w:rPr>
                <w:rFonts w:ascii="Arial" w:hAnsi="Arial" w:cs="Arial"/>
              </w:rPr>
              <w:t>(if</w:t>
            </w:r>
            <w:r w:rsidRPr="00102612">
              <w:rPr>
                <w:rFonts w:ascii="Arial" w:hAnsi="Arial" w:cs="Arial"/>
              </w:rPr>
              <w:t xml:space="preserve"> </w:t>
            </w:r>
            <w:r w:rsidRPr="00276D5E">
              <w:rPr>
                <w:rFonts w:ascii="Arial" w:hAnsi="Arial" w:cs="Arial"/>
              </w:rPr>
              <w:t>applicable)</w:t>
            </w:r>
          </w:p>
        </w:tc>
      </w:tr>
      <w:tr w:rsidR="00102612" w:rsidRPr="00276D5E" w14:paraId="4E65E6F9" w14:textId="77777777" w:rsidTr="004F6505">
        <w:trPr>
          <w:trHeight w:val="202"/>
        </w:trPr>
        <w:tc>
          <w:tcPr>
            <w:tcW w:w="8730" w:type="dxa"/>
            <w:gridSpan w:val="3"/>
            <w:shd w:val="clear" w:color="auto" w:fill="F2F2F2" w:themeFill="background1" w:themeFillShade="F2"/>
          </w:tcPr>
          <w:p w14:paraId="681024F0" w14:textId="77777777" w:rsidR="00102612" w:rsidRPr="00276D5E" w:rsidRDefault="00102612" w:rsidP="00FF5E02">
            <w:pPr>
              <w:pStyle w:val="TableParagraph"/>
              <w:spacing w:line="225" w:lineRule="exact"/>
              <w:ind w:left="86"/>
              <w:jc w:val="both"/>
              <w:rPr>
                <w:rFonts w:ascii="Arial" w:hAnsi="Arial" w:cs="Arial"/>
                <w:b/>
              </w:rPr>
            </w:pPr>
            <w:r w:rsidRPr="00276D5E">
              <w:rPr>
                <w:rFonts w:ascii="Arial" w:hAnsi="Arial" w:cs="Arial"/>
                <w:b/>
              </w:rPr>
              <w:t>SECTION</w:t>
            </w:r>
            <w:r w:rsidRPr="00276D5E">
              <w:rPr>
                <w:rFonts w:ascii="Arial" w:hAnsi="Arial" w:cs="Arial"/>
                <w:b/>
                <w:spacing w:val="-4"/>
              </w:rPr>
              <w:t xml:space="preserve"> </w:t>
            </w:r>
            <w:r w:rsidRPr="00276D5E">
              <w:rPr>
                <w:rFonts w:ascii="Arial" w:hAnsi="Arial" w:cs="Arial"/>
                <w:b/>
              </w:rPr>
              <w:t>4:</w:t>
            </w:r>
            <w:r w:rsidRPr="00276D5E">
              <w:rPr>
                <w:rFonts w:ascii="Arial" w:hAnsi="Arial" w:cs="Arial"/>
                <w:b/>
                <w:spacing w:val="-4"/>
              </w:rPr>
              <w:t xml:space="preserve"> </w:t>
            </w:r>
            <w:r w:rsidRPr="00276D5E">
              <w:rPr>
                <w:rFonts w:ascii="Arial" w:hAnsi="Arial" w:cs="Arial"/>
                <w:b/>
              </w:rPr>
              <w:t>APPROACH</w:t>
            </w:r>
            <w:r w:rsidRPr="00276D5E">
              <w:rPr>
                <w:rFonts w:ascii="Arial" w:hAnsi="Arial" w:cs="Arial"/>
                <w:b/>
                <w:spacing w:val="-2"/>
              </w:rPr>
              <w:t xml:space="preserve"> </w:t>
            </w:r>
            <w:r w:rsidRPr="00276D5E">
              <w:rPr>
                <w:rFonts w:ascii="Arial" w:hAnsi="Arial" w:cs="Arial"/>
                <w:b/>
              </w:rPr>
              <w:t>AND</w:t>
            </w:r>
            <w:r w:rsidRPr="00276D5E">
              <w:rPr>
                <w:rFonts w:ascii="Arial" w:hAnsi="Arial" w:cs="Arial"/>
                <w:b/>
                <w:spacing w:val="-5"/>
              </w:rPr>
              <w:t xml:space="preserve"> </w:t>
            </w:r>
            <w:r w:rsidRPr="00276D5E">
              <w:rPr>
                <w:rFonts w:ascii="Arial" w:hAnsi="Arial" w:cs="Arial"/>
                <w:b/>
              </w:rPr>
              <w:t>LANDING</w:t>
            </w:r>
            <w:r w:rsidRPr="00276D5E">
              <w:rPr>
                <w:rFonts w:ascii="Arial" w:hAnsi="Arial" w:cs="Arial"/>
                <w:b/>
                <w:spacing w:val="-4"/>
              </w:rPr>
              <w:t xml:space="preserve"> </w:t>
            </w:r>
            <w:r w:rsidRPr="00276D5E">
              <w:rPr>
                <w:rFonts w:ascii="Arial" w:hAnsi="Arial" w:cs="Arial"/>
                <w:b/>
              </w:rPr>
              <w:t>PROCEDURES</w:t>
            </w:r>
          </w:p>
        </w:tc>
      </w:tr>
      <w:tr w:rsidR="00102612" w:rsidRPr="00276D5E" w14:paraId="195FFA02" w14:textId="77777777" w:rsidTr="009D3A59">
        <w:trPr>
          <w:trHeight w:val="444"/>
        </w:trPr>
        <w:tc>
          <w:tcPr>
            <w:tcW w:w="497" w:type="dxa"/>
          </w:tcPr>
          <w:p w14:paraId="365ACBDA" w14:textId="77777777" w:rsidR="00102612" w:rsidRPr="00276D5E" w:rsidRDefault="00102612" w:rsidP="00FF5E02">
            <w:pPr>
              <w:pStyle w:val="TableParagraph"/>
              <w:spacing w:line="242" w:lineRule="exact"/>
              <w:ind w:left="86"/>
              <w:jc w:val="both"/>
              <w:rPr>
                <w:rFonts w:ascii="Arial" w:hAnsi="Arial" w:cs="Arial"/>
              </w:rPr>
            </w:pPr>
            <w:r w:rsidRPr="00276D5E">
              <w:rPr>
                <w:rFonts w:ascii="Arial" w:hAnsi="Arial" w:cs="Arial"/>
                <w:w w:val="99"/>
              </w:rPr>
              <w:t>a</w:t>
            </w:r>
          </w:p>
        </w:tc>
        <w:tc>
          <w:tcPr>
            <w:tcW w:w="8233" w:type="dxa"/>
            <w:gridSpan w:val="2"/>
          </w:tcPr>
          <w:p w14:paraId="679D5202" w14:textId="7045889F" w:rsidR="00102612" w:rsidRPr="00276D5E" w:rsidRDefault="00102612" w:rsidP="009D3A59">
            <w:pPr>
              <w:pStyle w:val="TableParagraph"/>
              <w:spacing w:line="242" w:lineRule="exact"/>
              <w:jc w:val="both"/>
              <w:rPr>
                <w:rFonts w:ascii="Arial" w:hAnsi="Arial" w:cs="Arial"/>
              </w:rPr>
            </w:pPr>
            <w:r w:rsidRPr="00276D5E">
              <w:rPr>
                <w:rFonts w:ascii="Arial" w:hAnsi="Arial" w:cs="Arial"/>
              </w:rPr>
              <w:t>Approach</w:t>
            </w:r>
            <w:r w:rsidRPr="00276D5E">
              <w:rPr>
                <w:rFonts w:ascii="Arial" w:hAnsi="Arial" w:cs="Arial"/>
                <w:spacing w:val="-2"/>
              </w:rPr>
              <w:t xml:space="preserve"> </w:t>
            </w:r>
            <w:r w:rsidRPr="00276D5E">
              <w:rPr>
                <w:rFonts w:ascii="Arial" w:hAnsi="Arial" w:cs="Arial"/>
              </w:rPr>
              <w:t>from</w:t>
            </w:r>
            <w:r w:rsidRPr="00276D5E">
              <w:rPr>
                <w:rFonts w:ascii="Arial" w:hAnsi="Arial" w:cs="Arial"/>
                <w:spacing w:val="-4"/>
              </w:rPr>
              <w:t xml:space="preserve"> </w:t>
            </w:r>
            <w:r w:rsidRPr="00276D5E">
              <w:rPr>
                <w:rFonts w:ascii="Arial" w:hAnsi="Arial" w:cs="Arial"/>
              </w:rPr>
              <w:t>low</w:t>
            </w:r>
            <w:r w:rsidRPr="00276D5E">
              <w:rPr>
                <w:rFonts w:ascii="Arial" w:hAnsi="Arial" w:cs="Arial"/>
                <w:spacing w:val="-4"/>
              </w:rPr>
              <w:t xml:space="preserve"> </w:t>
            </w:r>
            <w:r w:rsidRPr="00276D5E">
              <w:rPr>
                <w:rFonts w:ascii="Arial" w:hAnsi="Arial" w:cs="Arial"/>
              </w:rPr>
              <w:t>level,</w:t>
            </w:r>
            <w:r w:rsidRPr="00276D5E">
              <w:rPr>
                <w:rFonts w:ascii="Arial" w:hAnsi="Arial" w:cs="Arial"/>
                <w:spacing w:val="-2"/>
              </w:rPr>
              <w:t xml:space="preserve"> </w:t>
            </w:r>
            <w:r w:rsidRPr="00276D5E">
              <w:rPr>
                <w:rFonts w:ascii="Arial" w:hAnsi="Arial" w:cs="Arial"/>
              </w:rPr>
              <w:t>missed</w:t>
            </w:r>
            <w:r w:rsidRPr="00276D5E">
              <w:rPr>
                <w:rFonts w:ascii="Arial" w:hAnsi="Arial" w:cs="Arial"/>
                <w:spacing w:val="-3"/>
              </w:rPr>
              <w:t xml:space="preserve"> </w:t>
            </w:r>
            <w:r w:rsidRPr="00276D5E">
              <w:rPr>
                <w:rFonts w:ascii="Arial" w:hAnsi="Arial" w:cs="Arial"/>
              </w:rPr>
              <w:t>approach</w:t>
            </w:r>
            <w:r w:rsidRPr="00276D5E">
              <w:rPr>
                <w:rFonts w:ascii="Arial" w:hAnsi="Arial" w:cs="Arial"/>
                <w:spacing w:val="-2"/>
              </w:rPr>
              <w:t xml:space="preserve"> </w:t>
            </w:r>
            <w:r w:rsidRPr="00276D5E">
              <w:rPr>
                <w:rFonts w:ascii="Arial" w:hAnsi="Arial" w:cs="Arial"/>
              </w:rPr>
              <w:t>and</w:t>
            </w:r>
            <w:r w:rsidRPr="00276D5E">
              <w:rPr>
                <w:rFonts w:ascii="Arial" w:hAnsi="Arial" w:cs="Arial"/>
                <w:spacing w:val="-2"/>
              </w:rPr>
              <w:t xml:space="preserve"> </w:t>
            </w:r>
            <w:r w:rsidRPr="00276D5E">
              <w:rPr>
                <w:rFonts w:ascii="Arial" w:hAnsi="Arial" w:cs="Arial"/>
              </w:rPr>
              <w:t>fly</w:t>
            </w:r>
            <w:r w:rsidRPr="00276D5E">
              <w:rPr>
                <w:rFonts w:ascii="Arial" w:hAnsi="Arial" w:cs="Arial"/>
                <w:spacing w:val="-3"/>
              </w:rPr>
              <w:t xml:space="preserve"> </w:t>
            </w:r>
            <w:r w:rsidRPr="00276D5E">
              <w:rPr>
                <w:rFonts w:ascii="Arial" w:hAnsi="Arial" w:cs="Arial"/>
              </w:rPr>
              <w:t>on:</w:t>
            </w:r>
            <w:r w:rsidRPr="00276D5E">
              <w:rPr>
                <w:rFonts w:ascii="Arial" w:hAnsi="Arial" w:cs="Arial"/>
                <w:spacing w:val="-4"/>
              </w:rPr>
              <w:t xml:space="preserve"> </w:t>
            </w:r>
            <w:r w:rsidRPr="00276D5E">
              <w:rPr>
                <w:rFonts w:ascii="Arial" w:hAnsi="Arial" w:cs="Arial"/>
              </w:rPr>
              <w:t>Passenger</w:t>
            </w:r>
            <w:r w:rsidRPr="00276D5E">
              <w:rPr>
                <w:rFonts w:ascii="Arial" w:hAnsi="Arial" w:cs="Arial"/>
                <w:spacing w:val="-2"/>
              </w:rPr>
              <w:t xml:space="preserve"> </w:t>
            </w:r>
            <w:r w:rsidRPr="00276D5E">
              <w:rPr>
                <w:rFonts w:ascii="Arial" w:hAnsi="Arial" w:cs="Arial"/>
              </w:rPr>
              <w:t>briefing</w:t>
            </w:r>
            <w:r w:rsidRPr="00276D5E">
              <w:rPr>
                <w:rFonts w:ascii="Arial" w:hAnsi="Arial" w:cs="Arial"/>
                <w:spacing w:val="-4"/>
              </w:rPr>
              <w:t xml:space="preserve"> </w:t>
            </w:r>
            <w:r w:rsidRPr="00276D5E">
              <w:rPr>
                <w:rFonts w:ascii="Arial" w:hAnsi="Arial" w:cs="Arial"/>
              </w:rPr>
              <w:t>and</w:t>
            </w:r>
            <w:r w:rsidRPr="00276D5E">
              <w:rPr>
                <w:rFonts w:ascii="Arial" w:hAnsi="Arial" w:cs="Arial"/>
                <w:spacing w:val="-3"/>
              </w:rPr>
              <w:t xml:space="preserve"> </w:t>
            </w:r>
            <w:r w:rsidRPr="00276D5E">
              <w:rPr>
                <w:rFonts w:ascii="Arial" w:hAnsi="Arial" w:cs="Arial"/>
              </w:rPr>
              <w:t>execution</w:t>
            </w:r>
            <w:r w:rsidR="009D3A59">
              <w:rPr>
                <w:rFonts w:ascii="Arial" w:hAnsi="Arial" w:cs="Arial"/>
              </w:rPr>
              <w:t xml:space="preserve"> </w:t>
            </w:r>
            <w:r w:rsidRPr="00276D5E">
              <w:rPr>
                <w:rFonts w:ascii="Arial" w:hAnsi="Arial" w:cs="Arial"/>
              </w:rPr>
              <w:t>of</w:t>
            </w:r>
            <w:r w:rsidRPr="00276D5E">
              <w:rPr>
                <w:rFonts w:ascii="Arial" w:hAnsi="Arial" w:cs="Arial"/>
                <w:spacing w:val="-3"/>
              </w:rPr>
              <w:t xml:space="preserve"> </w:t>
            </w:r>
            <w:r w:rsidRPr="00276D5E">
              <w:rPr>
                <w:rFonts w:ascii="Arial" w:hAnsi="Arial" w:cs="Arial"/>
              </w:rPr>
              <w:t>exercise</w:t>
            </w:r>
          </w:p>
        </w:tc>
      </w:tr>
      <w:tr w:rsidR="00102612" w:rsidRPr="00276D5E" w14:paraId="273C0C92" w14:textId="77777777" w:rsidTr="009D3A59">
        <w:trPr>
          <w:trHeight w:val="444"/>
        </w:trPr>
        <w:tc>
          <w:tcPr>
            <w:tcW w:w="497" w:type="dxa"/>
          </w:tcPr>
          <w:p w14:paraId="1206EC0E" w14:textId="77777777" w:rsidR="00102612" w:rsidRPr="00276D5E" w:rsidRDefault="00102612" w:rsidP="00FF5E02">
            <w:pPr>
              <w:pStyle w:val="TableParagraph"/>
              <w:ind w:left="86"/>
              <w:jc w:val="both"/>
              <w:rPr>
                <w:rFonts w:ascii="Arial" w:hAnsi="Arial" w:cs="Arial"/>
              </w:rPr>
            </w:pPr>
            <w:r w:rsidRPr="00276D5E">
              <w:rPr>
                <w:rFonts w:ascii="Arial" w:hAnsi="Arial" w:cs="Arial"/>
                <w:w w:val="99"/>
              </w:rPr>
              <w:t>b</w:t>
            </w:r>
          </w:p>
        </w:tc>
        <w:tc>
          <w:tcPr>
            <w:tcW w:w="8233" w:type="dxa"/>
            <w:gridSpan w:val="2"/>
          </w:tcPr>
          <w:p w14:paraId="7C10AFFA" w14:textId="5F57ED58" w:rsidR="00102612" w:rsidRPr="00276D5E" w:rsidRDefault="00102612" w:rsidP="009D3A59">
            <w:pPr>
              <w:pStyle w:val="TableParagraph"/>
              <w:spacing w:line="243" w:lineRule="exact"/>
              <w:jc w:val="both"/>
              <w:rPr>
                <w:rFonts w:ascii="Arial" w:hAnsi="Arial" w:cs="Arial"/>
              </w:rPr>
            </w:pPr>
            <w:r w:rsidRPr="00276D5E">
              <w:rPr>
                <w:rFonts w:ascii="Arial" w:hAnsi="Arial" w:cs="Arial"/>
              </w:rPr>
              <w:t>Approach</w:t>
            </w:r>
            <w:r w:rsidRPr="00276D5E">
              <w:rPr>
                <w:rFonts w:ascii="Arial" w:hAnsi="Arial" w:cs="Arial"/>
                <w:spacing w:val="-2"/>
              </w:rPr>
              <w:t xml:space="preserve"> </w:t>
            </w:r>
            <w:r w:rsidRPr="00276D5E">
              <w:rPr>
                <w:rFonts w:ascii="Arial" w:hAnsi="Arial" w:cs="Arial"/>
              </w:rPr>
              <w:t>from</w:t>
            </w:r>
            <w:r w:rsidRPr="00276D5E">
              <w:rPr>
                <w:rFonts w:ascii="Arial" w:hAnsi="Arial" w:cs="Arial"/>
                <w:spacing w:val="-4"/>
              </w:rPr>
              <w:t xml:space="preserve"> </w:t>
            </w:r>
            <w:r w:rsidRPr="00276D5E">
              <w:rPr>
                <w:rFonts w:ascii="Arial" w:hAnsi="Arial" w:cs="Arial"/>
              </w:rPr>
              <w:t>high</w:t>
            </w:r>
            <w:r w:rsidRPr="00276D5E">
              <w:rPr>
                <w:rFonts w:ascii="Arial" w:hAnsi="Arial" w:cs="Arial"/>
                <w:spacing w:val="-2"/>
              </w:rPr>
              <w:t xml:space="preserve"> </w:t>
            </w:r>
            <w:r w:rsidRPr="00276D5E">
              <w:rPr>
                <w:rFonts w:ascii="Arial" w:hAnsi="Arial" w:cs="Arial"/>
              </w:rPr>
              <w:t>level,</w:t>
            </w:r>
            <w:r w:rsidRPr="00276D5E">
              <w:rPr>
                <w:rFonts w:ascii="Arial" w:hAnsi="Arial" w:cs="Arial"/>
                <w:spacing w:val="-3"/>
              </w:rPr>
              <w:t xml:space="preserve"> </w:t>
            </w:r>
            <w:r w:rsidRPr="00276D5E">
              <w:rPr>
                <w:rFonts w:ascii="Arial" w:hAnsi="Arial" w:cs="Arial"/>
              </w:rPr>
              <w:t>missed</w:t>
            </w:r>
            <w:r w:rsidRPr="00276D5E">
              <w:rPr>
                <w:rFonts w:ascii="Arial" w:hAnsi="Arial" w:cs="Arial"/>
                <w:spacing w:val="-2"/>
              </w:rPr>
              <w:t xml:space="preserve"> </w:t>
            </w:r>
            <w:r w:rsidRPr="00276D5E">
              <w:rPr>
                <w:rFonts w:ascii="Arial" w:hAnsi="Arial" w:cs="Arial"/>
              </w:rPr>
              <w:t>approach</w:t>
            </w:r>
            <w:r w:rsidRPr="00276D5E">
              <w:rPr>
                <w:rFonts w:ascii="Arial" w:hAnsi="Arial" w:cs="Arial"/>
                <w:spacing w:val="-2"/>
              </w:rPr>
              <w:t xml:space="preserve"> </w:t>
            </w:r>
            <w:r w:rsidRPr="00276D5E">
              <w:rPr>
                <w:rFonts w:ascii="Arial" w:hAnsi="Arial" w:cs="Arial"/>
              </w:rPr>
              <w:t>and</w:t>
            </w:r>
            <w:r w:rsidRPr="00276D5E">
              <w:rPr>
                <w:rFonts w:ascii="Arial" w:hAnsi="Arial" w:cs="Arial"/>
                <w:spacing w:val="-3"/>
              </w:rPr>
              <w:t xml:space="preserve"> </w:t>
            </w:r>
            <w:r w:rsidRPr="00276D5E">
              <w:rPr>
                <w:rFonts w:ascii="Arial" w:hAnsi="Arial" w:cs="Arial"/>
              </w:rPr>
              <w:t>fly</w:t>
            </w:r>
            <w:r w:rsidRPr="00276D5E">
              <w:rPr>
                <w:rFonts w:ascii="Arial" w:hAnsi="Arial" w:cs="Arial"/>
                <w:spacing w:val="-3"/>
              </w:rPr>
              <w:t xml:space="preserve"> </w:t>
            </w:r>
            <w:r w:rsidRPr="00276D5E">
              <w:rPr>
                <w:rFonts w:ascii="Arial" w:hAnsi="Arial" w:cs="Arial"/>
              </w:rPr>
              <w:t>on:</w:t>
            </w:r>
            <w:r w:rsidRPr="00276D5E">
              <w:rPr>
                <w:rFonts w:ascii="Arial" w:hAnsi="Arial" w:cs="Arial"/>
                <w:spacing w:val="-4"/>
              </w:rPr>
              <w:t xml:space="preserve"> </w:t>
            </w:r>
            <w:r w:rsidRPr="00276D5E">
              <w:rPr>
                <w:rFonts w:ascii="Arial" w:hAnsi="Arial" w:cs="Arial"/>
              </w:rPr>
              <w:t>Passenger</w:t>
            </w:r>
            <w:r w:rsidRPr="00276D5E">
              <w:rPr>
                <w:rFonts w:ascii="Arial" w:hAnsi="Arial" w:cs="Arial"/>
                <w:spacing w:val="-2"/>
              </w:rPr>
              <w:t xml:space="preserve"> </w:t>
            </w:r>
            <w:r w:rsidRPr="00276D5E">
              <w:rPr>
                <w:rFonts w:ascii="Arial" w:hAnsi="Arial" w:cs="Arial"/>
              </w:rPr>
              <w:t>briefing</w:t>
            </w:r>
            <w:r w:rsidRPr="00276D5E">
              <w:rPr>
                <w:rFonts w:ascii="Arial" w:hAnsi="Arial" w:cs="Arial"/>
                <w:spacing w:val="-4"/>
              </w:rPr>
              <w:t xml:space="preserve"> </w:t>
            </w:r>
            <w:r w:rsidRPr="00276D5E">
              <w:rPr>
                <w:rFonts w:ascii="Arial" w:hAnsi="Arial" w:cs="Arial"/>
              </w:rPr>
              <w:t>and</w:t>
            </w:r>
            <w:r w:rsidRPr="00276D5E">
              <w:rPr>
                <w:rFonts w:ascii="Arial" w:hAnsi="Arial" w:cs="Arial"/>
                <w:spacing w:val="-3"/>
              </w:rPr>
              <w:t xml:space="preserve"> </w:t>
            </w:r>
            <w:r w:rsidRPr="00276D5E">
              <w:rPr>
                <w:rFonts w:ascii="Arial" w:hAnsi="Arial" w:cs="Arial"/>
              </w:rPr>
              <w:t>execution</w:t>
            </w:r>
            <w:r w:rsidR="009D3A59">
              <w:rPr>
                <w:rFonts w:ascii="Arial" w:hAnsi="Arial" w:cs="Arial"/>
              </w:rPr>
              <w:t xml:space="preserve"> </w:t>
            </w:r>
            <w:r w:rsidRPr="00276D5E">
              <w:rPr>
                <w:rFonts w:ascii="Arial" w:hAnsi="Arial" w:cs="Arial"/>
              </w:rPr>
              <w:t>of</w:t>
            </w:r>
            <w:r w:rsidRPr="00276D5E">
              <w:rPr>
                <w:rFonts w:ascii="Arial" w:hAnsi="Arial" w:cs="Arial"/>
                <w:spacing w:val="-3"/>
              </w:rPr>
              <w:t xml:space="preserve"> </w:t>
            </w:r>
            <w:r w:rsidRPr="00276D5E">
              <w:rPr>
                <w:rFonts w:ascii="Arial" w:hAnsi="Arial" w:cs="Arial"/>
              </w:rPr>
              <w:t>exercise</w:t>
            </w:r>
          </w:p>
        </w:tc>
      </w:tr>
      <w:tr w:rsidR="00102612" w:rsidRPr="00276D5E" w14:paraId="6B892E80" w14:textId="77777777" w:rsidTr="009D3A59">
        <w:trPr>
          <w:trHeight w:val="199"/>
        </w:trPr>
        <w:tc>
          <w:tcPr>
            <w:tcW w:w="497" w:type="dxa"/>
          </w:tcPr>
          <w:p w14:paraId="45BB1588" w14:textId="77777777" w:rsidR="00102612" w:rsidRPr="00276D5E" w:rsidRDefault="00102612" w:rsidP="00FF5E02">
            <w:pPr>
              <w:pStyle w:val="TableParagraph"/>
              <w:spacing w:line="222" w:lineRule="exact"/>
              <w:ind w:left="86"/>
              <w:jc w:val="both"/>
              <w:rPr>
                <w:rFonts w:ascii="Arial" w:hAnsi="Arial" w:cs="Arial"/>
              </w:rPr>
            </w:pPr>
            <w:r w:rsidRPr="00276D5E">
              <w:rPr>
                <w:rFonts w:ascii="Arial" w:hAnsi="Arial" w:cs="Arial"/>
                <w:w w:val="99"/>
              </w:rPr>
              <w:t>c</w:t>
            </w:r>
          </w:p>
        </w:tc>
        <w:tc>
          <w:tcPr>
            <w:tcW w:w="8233" w:type="dxa"/>
            <w:gridSpan w:val="2"/>
          </w:tcPr>
          <w:p w14:paraId="3535C9BD" w14:textId="77777777" w:rsidR="00102612" w:rsidRPr="00276D5E" w:rsidRDefault="00102612" w:rsidP="00FF5E02">
            <w:pPr>
              <w:pStyle w:val="TableParagraph"/>
              <w:spacing w:line="222" w:lineRule="exact"/>
              <w:jc w:val="both"/>
              <w:rPr>
                <w:rFonts w:ascii="Arial" w:hAnsi="Arial" w:cs="Arial"/>
              </w:rPr>
            </w:pPr>
            <w:r w:rsidRPr="00276D5E">
              <w:rPr>
                <w:rFonts w:ascii="Arial" w:hAnsi="Arial" w:cs="Arial"/>
              </w:rPr>
              <w:t>Pre-landing</w:t>
            </w:r>
            <w:r w:rsidRPr="00276D5E">
              <w:rPr>
                <w:rFonts w:ascii="Arial" w:hAnsi="Arial" w:cs="Arial"/>
                <w:spacing w:val="-3"/>
              </w:rPr>
              <w:t xml:space="preserve"> </w:t>
            </w:r>
            <w:r w:rsidRPr="00276D5E">
              <w:rPr>
                <w:rFonts w:ascii="Arial" w:hAnsi="Arial" w:cs="Arial"/>
              </w:rPr>
              <w:t>checks</w:t>
            </w:r>
          </w:p>
        </w:tc>
      </w:tr>
      <w:tr w:rsidR="00102612" w:rsidRPr="00276D5E" w14:paraId="67206ABB" w14:textId="77777777" w:rsidTr="009D3A59">
        <w:trPr>
          <w:trHeight w:val="203"/>
        </w:trPr>
        <w:tc>
          <w:tcPr>
            <w:tcW w:w="497" w:type="dxa"/>
          </w:tcPr>
          <w:p w14:paraId="08C9D259" w14:textId="77777777" w:rsidR="00102612" w:rsidRPr="00276D5E" w:rsidRDefault="00102612" w:rsidP="00FF5E02">
            <w:pPr>
              <w:pStyle w:val="TableParagraph"/>
              <w:spacing w:before="1" w:line="225" w:lineRule="exact"/>
              <w:ind w:left="86"/>
              <w:jc w:val="both"/>
              <w:rPr>
                <w:rFonts w:ascii="Arial" w:hAnsi="Arial" w:cs="Arial"/>
              </w:rPr>
            </w:pPr>
            <w:r w:rsidRPr="00276D5E">
              <w:rPr>
                <w:rFonts w:ascii="Arial" w:hAnsi="Arial" w:cs="Arial"/>
                <w:w w:val="99"/>
              </w:rPr>
              <w:t>d</w:t>
            </w:r>
          </w:p>
        </w:tc>
        <w:tc>
          <w:tcPr>
            <w:tcW w:w="8233" w:type="dxa"/>
            <w:gridSpan w:val="2"/>
          </w:tcPr>
          <w:p w14:paraId="41975EE6" w14:textId="77777777" w:rsidR="00102612" w:rsidRPr="00276D5E" w:rsidRDefault="00102612" w:rsidP="00FF5E02">
            <w:pPr>
              <w:pStyle w:val="TableParagraph"/>
              <w:spacing w:before="1" w:line="225" w:lineRule="exact"/>
              <w:jc w:val="both"/>
              <w:rPr>
                <w:rFonts w:ascii="Arial" w:hAnsi="Arial" w:cs="Arial"/>
              </w:rPr>
            </w:pPr>
            <w:r w:rsidRPr="00276D5E">
              <w:rPr>
                <w:rFonts w:ascii="Arial" w:hAnsi="Arial" w:cs="Arial"/>
              </w:rPr>
              <w:t>Passenger</w:t>
            </w:r>
            <w:r w:rsidRPr="00276D5E">
              <w:rPr>
                <w:rFonts w:ascii="Arial" w:hAnsi="Arial" w:cs="Arial"/>
                <w:spacing w:val="-3"/>
              </w:rPr>
              <w:t xml:space="preserve"> </w:t>
            </w:r>
            <w:r w:rsidRPr="00276D5E">
              <w:rPr>
                <w:rFonts w:ascii="Arial" w:hAnsi="Arial" w:cs="Arial"/>
              </w:rPr>
              <w:t>pre-landing</w:t>
            </w:r>
            <w:r w:rsidRPr="00276D5E">
              <w:rPr>
                <w:rFonts w:ascii="Arial" w:hAnsi="Arial" w:cs="Arial"/>
                <w:spacing w:val="-3"/>
              </w:rPr>
              <w:t xml:space="preserve"> </w:t>
            </w:r>
            <w:r w:rsidRPr="00276D5E">
              <w:rPr>
                <w:rFonts w:ascii="Arial" w:hAnsi="Arial" w:cs="Arial"/>
              </w:rPr>
              <w:t>briefing</w:t>
            </w:r>
          </w:p>
        </w:tc>
      </w:tr>
      <w:tr w:rsidR="00102612" w:rsidRPr="00276D5E" w14:paraId="2DF4864F" w14:textId="77777777" w:rsidTr="009D3A59">
        <w:trPr>
          <w:trHeight w:val="199"/>
        </w:trPr>
        <w:tc>
          <w:tcPr>
            <w:tcW w:w="497" w:type="dxa"/>
          </w:tcPr>
          <w:p w14:paraId="61AB6538" w14:textId="77777777" w:rsidR="00102612" w:rsidRPr="00276D5E" w:rsidRDefault="00102612" w:rsidP="00FF5E02">
            <w:pPr>
              <w:pStyle w:val="TableParagraph"/>
              <w:spacing w:line="222" w:lineRule="exact"/>
              <w:ind w:left="86"/>
              <w:jc w:val="both"/>
              <w:rPr>
                <w:rFonts w:ascii="Arial" w:hAnsi="Arial" w:cs="Arial"/>
              </w:rPr>
            </w:pPr>
            <w:r w:rsidRPr="00276D5E">
              <w:rPr>
                <w:rFonts w:ascii="Arial" w:hAnsi="Arial" w:cs="Arial"/>
                <w:w w:val="99"/>
              </w:rPr>
              <w:t>e</w:t>
            </w:r>
          </w:p>
        </w:tc>
        <w:tc>
          <w:tcPr>
            <w:tcW w:w="8233" w:type="dxa"/>
            <w:gridSpan w:val="2"/>
          </w:tcPr>
          <w:p w14:paraId="0756F4A8" w14:textId="77777777" w:rsidR="00102612" w:rsidRPr="00276D5E" w:rsidRDefault="00102612" w:rsidP="00FF5E02">
            <w:pPr>
              <w:pStyle w:val="TableParagraph"/>
              <w:spacing w:line="222" w:lineRule="exact"/>
              <w:jc w:val="both"/>
              <w:rPr>
                <w:rFonts w:ascii="Arial" w:hAnsi="Arial" w:cs="Arial"/>
              </w:rPr>
            </w:pPr>
            <w:r w:rsidRPr="00276D5E">
              <w:rPr>
                <w:rFonts w:ascii="Arial" w:hAnsi="Arial" w:cs="Arial"/>
              </w:rPr>
              <w:t>Selection</w:t>
            </w:r>
            <w:r w:rsidRPr="00276D5E">
              <w:rPr>
                <w:rFonts w:ascii="Arial" w:hAnsi="Arial" w:cs="Arial"/>
                <w:spacing w:val="-3"/>
              </w:rPr>
              <w:t xml:space="preserve"> </w:t>
            </w:r>
            <w:r w:rsidRPr="00276D5E">
              <w:rPr>
                <w:rFonts w:ascii="Arial" w:hAnsi="Arial" w:cs="Arial"/>
              </w:rPr>
              <w:t>of</w:t>
            </w:r>
            <w:r w:rsidRPr="00276D5E">
              <w:rPr>
                <w:rFonts w:ascii="Arial" w:hAnsi="Arial" w:cs="Arial"/>
                <w:spacing w:val="-5"/>
              </w:rPr>
              <w:t xml:space="preserve"> </w:t>
            </w:r>
            <w:r w:rsidRPr="00276D5E">
              <w:rPr>
                <w:rFonts w:ascii="Arial" w:hAnsi="Arial" w:cs="Arial"/>
              </w:rPr>
              <w:t>landing</w:t>
            </w:r>
            <w:r w:rsidRPr="00276D5E">
              <w:rPr>
                <w:rFonts w:ascii="Arial" w:hAnsi="Arial" w:cs="Arial"/>
                <w:spacing w:val="-4"/>
              </w:rPr>
              <w:t xml:space="preserve"> </w:t>
            </w:r>
            <w:r w:rsidRPr="00276D5E">
              <w:rPr>
                <w:rFonts w:ascii="Arial" w:hAnsi="Arial" w:cs="Arial"/>
              </w:rPr>
              <w:t>field</w:t>
            </w:r>
          </w:p>
        </w:tc>
      </w:tr>
      <w:tr w:rsidR="00102612" w:rsidRPr="00276D5E" w14:paraId="61C6E701" w14:textId="77777777" w:rsidTr="009D3A59">
        <w:trPr>
          <w:trHeight w:val="202"/>
        </w:trPr>
        <w:tc>
          <w:tcPr>
            <w:tcW w:w="497" w:type="dxa"/>
          </w:tcPr>
          <w:p w14:paraId="18D13DCC" w14:textId="77777777" w:rsidR="00102612" w:rsidRPr="00276D5E" w:rsidRDefault="00102612" w:rsidP="00FF5E02">
            <w:pPr>
              <w:pStyle w:val="TableParagraph"/>
              <w:spacing w:line="225" w:lineRule="exact"/>
              <w:ind w:left="86"/>
              <w:jc w:val="both"/>
              <w:rPr>
                <w:rFonts w:ascii="Arial" w:hAnsi="Arial" w:cs="Arial"/>
              </w:rPr>
            </w:pPr>
            <w:r w:rsidRPr="00276D5E">
              <w:rPr>
                <w:rFonts w:ascii="Arial" w:hAnsi="Arial" w:cs="Arial"/>
                <w:w w:val="99"/>
              </w:rPr>
              <w:t>f</w:t>
            </w:r>
          </w:p>
        </w:tc>
        <w:tc>
          <w:tcPr>
            <w:tcW w:w="8233" w:type="dxa"/>
            <w:gridSpan w:val="2"/>
          </w:tcPr>
          <w:p w14:paraId="2E3C7E52" w14:textId="77777777" w:rsidR="00102612" w:rsidRPr="00276D5E" w:rsidRDefault="00102612" w:rsidP="00FF5E02">
            <w:pPr>
              <w:pStyle w:val="TableParagraph"/>
              <w:spacing w:line="225" w:lineRule="exact"/>
              <w:jc w:val="both"/>
              <w:rPr>
                <w:rFonts w:ascii="Arial" w:hAnsi="Arial" w:cs="Arial"/>
              </w:rPr>
            </w:pPr>
            <w:r w:rsidRPr="00276D5E">
              <w:rPr>
                <w:rFonts w:ascii="Arial" w:hAnsi="Arial" w:cs="Arial"/>
              </w:rPr>
              <w:t>Final</w:t>
            </w:r>
            <w:r w:rsidRPr="00276D5E">
              <w:rPr>
                <w:rFonts w:ascii="Arial" w:hAnsi="Arial" w:cs="Arial"/>
                <w:spacing w:val="-3"/>
              </w:rPr>
              <w:t xml:space="preserve"> </w:t>
            </w:r>
            <w:r w:rsidRPr="00276D5E">
              <w:rPr>
                <w:rFonts w:ascii="Arial" w:hAnsi="Arial" w:cs="Arial"/>
              </w:rPr>
              <w:t>passenger</w:t>
            </w:r>
            <w:r w:rsidRPr="00276D5E">
              <w:rPr>
                <w:rFonts w:ascii="Arial" w:hAnsi="Arial" w:cs="Arial"/>
                <w:spacing w:val="-3"/>
              </w:rPr>
              <w:t xml:space="preserve"> </w:t>
            </w:r>
            <w:r w:rsidRPr="00276D5E">
              <w:rPr>
                <w:rFonts w:ascii="Arial" w:hAnsi="Arial" w:cs="Arial"/>
              </w:rPr>
              <w:t>briefing,</w:t>
            </w:r>
            <w:r w:rsidRPr="00276D5E">
              <w:rPr>
                <w:rFonts w:ascii="Arial" w:hAnsi="Arial" w:cs="Arial"/>
                <w:spacing w:val="-3"/>
              </w:rPr>
              <w:t xml:space="preserve"> </w:t>
            </w:r>
            <w:r w:rsidRPr="00276D5E">
              <w:rPr>
                <w:rFonts w:ascii="Arial" w:hAnsi="Arial" w:cs="Arial"/>
              </w:rPr>
              <w:t>landing,</w:t>
            </w:r>
            <w:r w:rsidRPr="00276D5E">
              <w:rPr>
                <w:rFonts w:ascii="Arial" w:hAnsi="Arial" w:cs="Arial"/>
                <w:spacing w:val="-3"/>
              </w:rPr>
              <w:t xml:space="preserve"> </w:t>
            </w:r>
            <w:r w:rsidRPr="00276D5E">
              <w:rPr>
                <w:rFonts w:ascii="Arial" w:hAnsi="Arial" w:cs="Arial"/>
              </w:rPr>
              <w:t>dragging</w:t>
            </w:r>
            <w:r w:rsidRPr="00276D5E">
              <w:rPr>
                <w:rFonts w:ascii="Arial" w:hAnsi="Arial" w:cs="Arial"/>
                <w:spacing w:val="-4"/>
              </w:rPr>
              <w:t xml:space="preserve"> </w:t>
            </w:r>
            <w:r w:rsidRPr="00276D5E">
              <w:rPr>
                <w:rFonts w:ascii="Arial" w:hAnsi="Arial" w:cs="Arial"/>
              </w:rPr>
              <w:t>and</w:t>
            </w:r>
            <w:r w:rsidRPr="00276D5E">
              <w:rPr>
                <w:rFonts w:ascii="Arial" w:hAnsi="Arial" w:cs="Arial"/>
                <w:spacing w:val="-3"/>
              </w:rPr>
              <w:t xml:space="preserve"> </w:t>
            </w:r>
            <w:r w:rsidRPr="00276D5E">
              <w:rPr>
                <w:rFonts w:ascii="Arial" w:hAnsi="Arial" w:cs="Arial"/>
              </w:rPr>
              <w:t>deflation</w:t>
            </w:r>
          </w:p>
        </w:tc>
      </w:tr>
      <w:tr w:rsidR="00102612" w:rsidRPr="00276D5E" w14:paraId="4DD99CA6" w14:textId="77777777" w:rsidTr="009D3A59">
        <w:trPr>
          <w:trHeight w:val="200"/>
        </w:trPr>
        <w:tc>
          <w:tcPr>
            <w:tcW w:w="497" w:type="dxa"/>
          </w:tcPr>
          <w:p w14:paraId="2698FBB0" w14:textId="77777777" w:rsidR="00102612" w:rsidRPr="00276D5E" w:rsidRDefault="00102612" w:rsidP="00FF5E02">
            <w:pPr>
              <w:pStyle w:val="TableParagraph"/>
              <w:spacing w:line="222" w:lineRule="exact"/>
              <w:ind w:left="86"/>
              <w:jc w:val="both"/>
              <w:rPr>
                <w:rFonts w:ascii="Arial" w:hAnsi="Arial" w:cs="Arial"/>
              </w:rPr>
            </w:pPr>
            <w:r w:rsidRPr="00276D5E">
              <w:rPr>
                <w:rFonts w:ascii="Arial" w:hAnsi="Arial" w:cs="Arial"/>
                <w:w w:val="99"/>
              </w:rPr>
              <w:t>g</w:t>
            </w:r>
          </w:p>
        </w:tc>
        <w:tc>
          <w:tcPr>
            <w:tcW w:w="8233" w:type="dxa"/>
            <w:gridSpan w:val="2"/>
          </w:tcPr>
          <w:p w14:paraId="55FC5F1C" w14:textId="77777777" w:rsidR="00102612" w:rsidRPr="00276D5E" w:rsidRDefault="00102612" w:rsidP="00FF5E02">
            <w:pPr>
              <w:pStyle w:val="TableParagraph"/>
              <w:spacing w:line="222" w:lineRule="exact"/>
              <w:jc w:val="both"/>
              <w:rPr>
                <w:rFonts w:ascii="Arial" w:hAnsi="Arial" w:cs="Arial"/>
              </w:rPr>
            </w:pPr>
            <w:r w:rsidRPr="00276D5E">
              <w:rPr>
                <w:rFonts w:ascii="Arial" w:hAnsi="Arial" w:cs="Arial"/>
              </w:rPr>
              <w:t>ATC</w:t>
            </w:r>
            <w:r w:rsidRPr="00276D5E">
              <w:rPr>
                <w:rFonts w:ascii="Arial" w:hAnsi="Arial" w:cs="Arial"/>
                <w:spacing w:val="-3"/>
              </w:rPr>
              <w:t xml:space="preserve"> </w:t>
            </w:r>
            <w:r w:rsidRPr="00276D5E">
              <w:rPr>
                <w:rFonts w:ascii="Arial" w:hAnsi="Arial" w:cs="Arial"/>
              </w:rPr>
              <w:t>compliance</w:t>
            </w:r>
            <w:r w:rsidRPr="00276D5E">
              <w:rPr>
                <w:rFonts w:ascii="Arial" w:hAnsi="Arial" w:cs="Arial"/>
                <w:spacing w:val="-4"/>
              </w:rPr>
              <w:t xml:space="preserve"> </w:t>
            </w:r>
            <w:r w:rsidRPr="00276D5E">
              <w:rPr>
                <w:rFonts w:ascii="Arial" w:hAnsi="Arial" w:cs="Arial"/>
              </w:rPr>
              <w:t>(if</w:t>
            </w:r>
            <w:r w:rsidRPr="00276D5E">
              <w:rPr>
                <w:rFonts w:ascii="Arial" w:hAnsi="Arial" w:cs="Arial"/>
                <w:spacing w:val="-3"/>
              </w:rPr>
              <w:t xml:space="preserve"> </w:t>
            </w:r>
            <w:r w:rsidRPr="00276D5E">
              <w:rPr>
                <w:rFonts w:ascii="Arial" w:hAnsi="Arial" w:cs="Arial"/>
              </w:rPr>
              <w:t>applicable)</w:t>
            </w:r>
          </w:p>
        </w:tc>
      </w:tr>
      <w:tr w:rsidR="00102612" w:rsidRPr="00276D5E" w14:paraId="2EE16390" w14:textId="77777777" w:rsidTr="009D3A59">
        <w:trPr>
          <w:trHeight w:val="447"/>
        </w:trPr>
        <w:tc>
          <w:tcPr>
            <w:tcW w:w="497" w:type="dxa"/>
          </w:tcPr>
          <w:p w14:paraId="305B603A" w14:textId="77777777" w:rsidR="00102612" w:rsidRPr="00276D5E" w:rsidRDefault="00102612" w:rsidP="00FF5E02">
            <w:pPr>
              <w:pStyle w:val="TableParagraph"/>
              <w:ind w:left="86"/>
              <w:jc w:val="both"/>
              <w:rPr>
                <w:rFonts w:ascii="Arial" w:hAnsi="Arial" w:cs="Arial"/>
              </w:rPr>
            </w:pPr>
            <w:r w:rsidRPr="00276D5E">
              <w:rPr>
                <w:rFonts w:ascii="Arial" w:hAnsi="Arial" w:cs="Arial"/>
                <w:w w:val="99"/>
              </w:rPr>
              <w:t>h</w:t>
            </w:r>
          </w:p>
        </w:tc>
        <w:tc>
          <w:tcPr>
            <w:tcW w:w="8233" w:type="dxa"/>
            <w:gridSpan w:val="2"/>
          </w:tcPr>
          <w:p w14:paraId="3C875555" w14:textId="77777777" w:rsidR="00102612" w:rsidRPr="00276D5E" w:rsidRDefault="00102612" w:rsidP="00FF5E02">
            <w:pPr>
              <w:pStyle w:val="TableParagraph"/>
              <w:spacing w:line="240" w:lineRule="atLeast"/>
              <w:jc w:val="both"/>
              <w:rPr>
                <w:rFonts w:ascii="Arial" w:hAnsi="Arial" w:cs="Arial"/>
              </w:rPr>
            </w:pPr>
            <w:r w:rsidRPr="00276D5E">
              <w:rPr>
                <w:rFonts w:ascii="Arial" w:hAnsi="Arial" w:cs="Arial"/>
              </w:rPr>
              <w:t>Actions after flight (recording of the flight, closing flight plan (if applicable), briefing</w:t>
            </w:r>
            <w:r w:rsidRPr="00276D5E">
              <w:rPr>
                <w:rFonts w:ascii="Arial" w:hAnsi="Arial" w:cs="Arial"/>
                <w:spacing w:val="-43"/>
              </w:rPr>
              <w:t xml:space="preserve"> </w:t>
            </w:r>
            <w:r w:rsidRPr="00276D5E">
              <w:rPr>
                <w:rFonts w:ascii="Arial" w:hAnsi="Arial" w:cs="Arial"/>
              </w:rPr>
              <w:t>passengers for packing</w:t>
            </w:r>
            <w:r w:rsidRPr="00276D5E">
              <w:rPr>
                <w:rFonts w:ascii="Arial" w:hAnsi="Arial" w:cs="Arial"/>
                <w:spacing w:val="-1"/>
              </w:rPr>
              <w:t xml:space="preserve"> </w:t>
            </w:r>
            <w:r w:rsidRPr="00276D5E">
              <w:rPr>
                <w:rFonts w:ascii="Arial" w:hAnsi="Arial" w:cs="Arial"/>
              </w:rPr>
              <w:t>balloon,</w:t>
            </w:r>
            <w:r w:rsidRPr="00276D5E">
              <w:rPr>
                <w:rFonts w:ascii="Arial" w:hAnsi="Arial" w:cs="Arial"/>
                <w:spacing w:val="-1"/>
              </w:rPr>
              <w:t xml:space="preserve"> </w:t>
            </w:r>
            <w:r w:rsidRPr="00276D5E">
              <w:rPr>
                <w:rFonts w:ascii="Arial" w:hAnsi="Arial" w:cs="Arial"/>
              </w:rPr>
              <w:t>contact landowner)</w:t>
            </w:r>
          </w:p>
        </w:tc>
      </w:tr>
      <w:tr w:rsidR="00102612" w:rsidRPr="00276D5E" w14:paraId="24891FC2" w14:textId="77777777" w:rsidTr="004F6505">
        <w:trPr>
          <w:trHeight w:val="200"/>
        </w:trPr>
        <w:tc>
          <w:tcPr>
            <w:tcW w:w="8730" w:type="dxa"/>
            <w:gridSpan w:val="3"/>
            <w:shd w:val="clear" w:color="auto" w:fill="F2F2F2" w:themeFill="background1" w:themeFillShade="F2"/>
          </w:tcPr>
          <w:p w14:paraId="17B5624F" w14:textId="77777777" w:rsidR="00102612" w:rsidRPr="00276D5E" w:rsidRDefault="00102612" w:rsidP="00FF5E02">
            <w:pPr>
              <w:pStyle w:val="TableParagraph"/>
              <w:spacing w:line="223" w:lineRule="exact"/>
              <w:ind w:left="86"/>
              <w:jc w:val="both"/>
              <w:rPr>
                <w:rFonts w:ascii="Arial" w:hAnsi="Arial" w:cs="Arial"/>
                <w:b/>
              </w:rPr>
            </w:pPr>
            <w:r w:rsidRPr="00276D5E">
              <w:rPr>
                <w:rFonts w:ascii="Arial" w:hAnsi="Arial" w:cs="Arial"/>
                <w:b/>
              </w:rPr>
              <w:t>SECTION</w:t>
            </w:r>
            <w:r w:rsidRPr="00276D5E">
              <w:rPr>
                <w:rFonts w:ascii="Arial" w:hAnsi="Arial" w:cs="Arial"/>
                <w:b/>
                <w:spacing w:val="-4"/>
              </w:rPr>
              <w:t xml:space="preserve"> </w:t>
            </w:r>
            <w:r w:rsidRPr="00276D5E">
              <w:rPr>
                <w:rFonts w:ascii="Arial" w:hAnsi="Arial" w:cs="Arial"/>
                <w:b/>
              </w:rPr>
              <w:t>5:</w:t>
            </w:r>
            <w:r w:rsidRPr="00276D5E">
              <w:rPr>
                <w:rFonts w:ascii="Arial" w:hAnsi="Arial" w:cs="Arial"/>
                <w:b/>
                <w:spacing w:val="-4"/>
              </w:rPr>
              <w:t xml:space="preserve"> </w:t>
            </w:r>
            <w:r w:rsidRPr="00276D5E">
              <w:rPr>
                <w:rFonts w:ascii="Arial" w:hAnsi="Arial" w:cs="Arial"/>
                <w:b/>
              </w:rPr>
              <w:t>ABNORMAL</w:t>
            </w:r>
            <w:r w:rsidRPr="00276D5E">
              <w:rPr>
                <w:rFonts w:ascii="Arial" w:hAnsi="Arial" w:cs="Arial"/>
                <w:b/>
                <w:spacing w:val="-4"/>
              </w:rPr>
              <w:t xml:space="preserve"> </w:t>
            </w:r>
            <w:r w:rsidRPr="00276D5E">
              <w:rPr>
                <w:rFonts w:ascii="Arial" w:hAnsi="Arial" w:cs="Arial"/>
                <w:b/>
              </w:rPr>
              <w:t>AND</w:t>
            </w:r>
            <w:r w:rsidRPr="00276D5E">
              <w:rPr>
                <w:rFonts w:ascii="Arial" w:hAnsi="Arial" w:cs="Arial"/>
                <w:b/>
                <w:spacing w:val="-5"/>
              </w:rPr>
              <w:t xml:space="preserve"> </w:t>
            </w:r>
            <w:r w:rsidRPr="00276D5E">
              <w:rPr>
                <w:rFonts w:ascii="Arial" w:hAnsi="Arial" w:cs="Arial"/>
                <w:b/>
              </w:rPr>
              <w:t>EMERGENCY</w:t>
            </w:r>
            <w:r w:rsidRPr="00276D5E">
              <w:rPr>
                <w:rFonts w:ascii="Arial" w:hAnsi="Arial" w:cs="Arial"/>
                <w:b/>
                <w:spacing w:val="-5"/>
              </w:rPr>
              <w:t xml:space="preserve"> </w:t>
            </w:r>
            <w:r w:rsidRPr="00276D5E">
              <w:rPr>
                <w:rFonts w:ascii="Arial" w:hAnsi="Arial" w:cs="Arial"/>
                <w:b/>
              </w:rPr>
              <w:t>PROCEDURES</w:t>
            </w:r>
          </w:p>
        </w:tc>
      </w:tr>
      <w:tr w:rsidR="00102612" w:rsidRPr="00276D5E" w14:paraId="398FC5A8" w14:textId="77777777" w:rsidTr="009D3A59">
        <w:trPr>
          <w:trHeight w:val="199"/>
        </w:trPr>
        <w:tc>
          <w:tcPr>
            <w:tcW w:w="8730" w:type="dxa"/>
            <w:gridSpan w:val="3"/>
          </w:tcPr>
          <w:p w14:paraId="3B940BA6" w14:textId="77777777" w:rsidR="00102612" w:rsidRPr="00276D5E" w:rsidRDefault="00102612" w:rsidP="00FF5E02">
            <w:pPr>
              <w:pStyle w:val="TableParagraph"/>
              <w:spacing w:line="222" w:lineRule="exact"/>
              <w:ind w:left="86"/>
              <w:jc w:val="both"/>
              <w:rPr>
                <w:rFonts w:ascii="Arial" w:hAnsi="Arial" w:cs="Arial"/>
              </w:rPr>
            </w:pPr>
            <w:r w:rsidRPr="00276D5E">
              <w:rPr>
                <w:rFonts w:ascii="Arial" w:hAnsi="Arial" w:cs="Arial"/>
              </w:rPr>
              <w:t>This</w:t>
            </w:r>
            <w:r w:rsidRPr="00276D5E">
              <w:rPr>
                <w:rFonts w:ascii="Arial" w:hAnsi="Arial" w:cs="Arial"/>
                <w:spacing w:val="-2"/>
              </w:rPr>
              <w:t xml:space="preserve"> </w:t>
            </w:r>
            <w:r w:rsidRPr="00276D5E">
              <w:rPr>
                <w:rFonts w:ascii="Arial" w:hAnsi="Arial" w:cs="Arial"/>
              </w:rPr>
              <w:t>section</w:t>
            </w:r>
            <w:r w:rsidRPr="00276D5E">
              <w:rPr>
                <w:rFonts w:ascii="Arial" w:hAnsi="Arial" w:cs="Arial"/>
                <w:spacing w:val="-2"/>
              </w:rPr>
              <w:t xml:space="preserve"> </w:t>
            </w:r>
            <w:r w:rsidRPr="00276D5E">
              <w:rPr>
                <w:rFonts w:ascii="Arial" w:hAnsi="Arial" w:cs="Arial"/>
              </w:rPr>
              <w:t>may</w:t>
            </w:r>
            <w:r w:rsidRPr="00276D5E">
              <w:rPr>
                <w:rFonts w:ascii="Arial" w:hAnsi="Arial" w:cs="Arial"/>
                <w:spacing w:val="-1"/>
              </w:rPr>
              <w:t xml:space="preserve"> </w:t>
            </w:r>
            <w:r w:rsidRPr="00276D5E">
              <w:rPr>
                <w:rFonts w:ascii="Arial" w:hAnsi="Arial" w:cs="Arial"/>
              </w:rPr>
              <w:t>be</w:t>
            </w:r>
            <w:r w:rsidRPr="00276D5E">
              <w:rPr>
                <w:rFonts w:ascii="Arial" w:hAnsi="Arial" w:cs="Arial"/>
                <w:spacing w:val="-3"/>
              </w:rPr>
              <w:t xml:space="preserve"> </w:t>
            </w:r>
            <w:r w:rsidRPr="00276D5E">
              <w:rPr>
                <w:rFonts w:ascii="Arial" w:hAnsi="Arial" w:cs="Arial"/>
              </w:rPr>
              <w:t>combined with</w:t>
            </w:r>
            <w:r w:rsidRPr="00276D5E">
              <w:rPr>
                <w:rFonts w:ascii="Arial" w:hAnsi="Arial" w:cs="Arial"/>
                <w:spacing w:val="-3"/>
              </w:rPr>
              <w:t xml:space="preserve"> </w:t>
            </w:r>
            <w:r w:rsidRPr="00276D5E">
              <w:rPr>
                <w:rFonts w:ascii="Arial" w:hAnsi="Arial" w:cs="Arial"/>
              </w:rPr>
              <w:t>Sections</w:t>
            </w:r>
            <w:r w:rsidRPr="00276D5E">
              <w:rPr>
                <w:rFonts w:ascii="Arial" w:hAnsi="Arial" w:cs="Arial"/>
                <w:spacing w:val="-1"/>
              </w:rPr>
              <w:t xml:space="preserve"> </w:t>
            </w:r>
            <w:r w:rsidRPr="00276D5E">
              <w:rPr>
                <w:rFonts w:ascii="Arial" w:hAnsi="Arial" w:cs="Arial"/>
              </w:rPr>
              <w:t>1</w:t>
            </w:r>
            <w:r w:rsidRPr="00276D5E">
              <w:rPr>
                <w:rFonts w:ascii="Arial" w:hAnsi="Arial" w:cs="Arial"/>
                <w:spacing w:val="-3"/>
              </w:rPr>
              <w:t xml:space="preserve"> </w:t>
            </w:r>
            <w:r w:rsidRPr="00276D5E">
              <w:rPr>
                <w:rFonts w:ascii="Arial" w:hAnsi="Arial" w:cs="Arial"/>
              </w:rPr>
              <w:t>through</w:t>
            </w:r>
            <w:r w:rsidRPr="00276D5E">
              <w:rPr>
                <w:rFonts w:ascii="Arial" w:hAnsi="Arial" w:cs="Arial"/>
                <w:spacing w:val="-2"/>
              </w:rPr>
              <w:t xml:space="preserve"> </w:t>
            </w:r>
            <w:r w:rsidRPr="00276D5E">
              <w:rPr>
                <w:rFonts w:ascii="Arial" w:hAnsi="Arial" w:cs="Arial"/>
              </w:rPr>
              <w:t>4.</w:t>
            </w:r>
          </w:p>
        </w:tc>
      </w:tr>
      <w:tr w:rsidR="00102612" w:rsidRPr="00276D5E" w14:paraId="3AE8132F" w14:textId="77777777" w:rsidTr="009D3A59">
        <w:trPr>
          <w:trHeight w:val="202"/>
        </w:trPr>
        <w:tc>
          <w:tcPr>
            <w:tcW w:w="497" w:type="dxa"/>
          </w:tcPr>
          <w:p w14:paraId="5B9E9C84" w14:textId="77777777" w:rsidR="00102612" w:rsidRPr="00276D5E" w:rsidRDefault="00102612" w:rsidP="00FF5E02">
            <w:pPr>
              <w:pStyle w:val="TableParagraph"/>
              <w:spacing w:line="225" w:lineRule="exact"/>
              <w:ind w:left="86"/>
              <w:jc w:val="both"/>
              <w:rPr>
                <w:rFonts w:ascii="Arial" w:hAnsi="Arial" w:cs="Arial"/>
              </w:rPr>
            </w:pPr>
            <w:r w:rsidRPr="00276D5E">
              <w:rPr>
                <w:rFonts w:ascii="Arial" w:hAnsi="Arial" w:cs="Arial"/>
                <w:w w:val="99"/>
              </w:rPr>
              <w:t>a</w:t>
            </w:r>
          </w:p>
        </w:tc>
        <w:tc>
          <w:tcPr>
            <w:tcW w:w="8233" w:type="dxa"/>
            <w:gridSpan w:val="2"/>
          </w:tcPr>
          <w:p w14:paraId="6EE74FAA" w14:textId="77777777" w:rsidR="00102612" w:rsidRPr="00276D5E" w:rsidRDefault="00102612" w:rsidP="00FF5E02">
            <w:pPr>
              <w:pStyle w:val="TableParagraph"/>
              <w:spacing w:line="225" w:lineRule="exact"/>
              <w:jc w:val="both"/>
              <w:rPr>
                <w:rFonts w:ascii="Arial" w:hAnsi="Arial" w:cs="Arial"/>
              </w:rPr>
            </w:pPr>
            <w:r w:rsidRPr="00276D5E">
              <w:rPr>
                <w:rFonts w:ascii="Arial" w:hAnsi="Arial" w:cs="Arial"/>
              </w:rPr>
              <w:t>Simulated</w:t>
            </w:r>
            <w:r w:rsidRPr="00276D5E">
              <w:rPr>
                <w:rFonts w:ascii="Arial" w:hAnsi="Arial" w:cs="Arial"/>
                <w:spacing w:val="-3"/>
              </w:rPr>
              <w:t xml:space="preserve"> </w:t>
            </w:r>
            <w:r w:rsidRPr="00276D5E">
              <w:rPr>
                <w:rFonts w:ascii="Arial" w:hAnsi="Arial" w:cs="Arial"/>
              </w:rPr>
              <w:t>closed</w:t>
            </w:r>
            <w:r w:rsidRPr="00276D5E">
              <w:rPr>
                <w:rFonts w:ascii="Arial" w:hAnsi="Arial" w:cs="Arial"/>
                <w:spacing w:val="-2"/>
              </w:rPr>
              <w:t xml:space="preserve"> </w:t>
            </w:r>
            <w:r w:rsidRPr="00276D5E">
              <w:rPr>
                <w:rFonts w:ascii="Arial" w:hAnsi="Arial" w:cs="Arial"/>
              </w:rPr>
              <w:t>appendix</w:t>
            </w:r>
            <w:r w:rsidRPr="00276D5E">
              <w:rPr>
                <w:rFonts w:ascii="Arial" w:hAnsi="Arial" w:cs="Arial"/>
                <w:spacing w:val="-2"/>
              </w:rPr>
              <w:t xml:space="preserve"> </w:t>
            </w:r>
            <w:r w:rsidRPr="00276D5E">
              <w:rPr>
                <w:rFonts w:ascii="Arial" w:hAnsi="Arial" w:cs="Arial"/>
              </w:rPr>
              <w:t>during</w:t>
            </w:r>
            <w:r w:rsidRPr="00276D5E">
              <w:rPr>
                <w:rFonts w:ascii="Arial" w:hAnsi="Arial" w:cs="Arial"/>
                <w:spacing w:val="-4"/>
              </w:rPr>
              <w:t xml:space="preserve"> </w:t>
            </w:r>
            <w:r w:rsidRPr="00276D5E">
              <w:rPr>
                <w:rFonts w:ascii="Arial" w:hAnsi="Arial" w:cs="Arial"/>
              </w:rPr>
              <w:t>take-off</w:t>
            </w:r>
            <w:r w:rsidRPr="00276D5E">
              <w:rPr>
                <w:rFonts w:ascii="Arial" w:hAnsi="Arial" w:cs="Arial"/>
                <w:spacing w:val="-4"/>
              </w:rPr>
              <w:t xml:space="preserve"> </w:t>
            </w:r>
            <w:r w:rsidRPr="00276D5E">
              <w:rPr>
                <w:rFonts w:ascii="Arial" w:hAnsi="Arial" w:cs="Arial"/>
              </w:rPr>
              <w:t>and</w:t>
            </w:r>
            <w:r w:rsidRPr="00276D5E">
              <w:rPr>
                <w:rFonts w:ascii="Arial" w:hAnsi="Arial" w:cs="Arial"/>
                <w:spacing w:val="-2"/>
              </w:rPr>
              <w:t xml:space="preserve"> </w:t>
            </w:r>
            <w:r w:rsidRPr="00276D5E">
              <w:rPr>
                <w:rFonts w:ascii="Arial" w:hAnsi="Arial" w:cs="Arial"/>
              </w:rPr>
              <w:t>climb</w:t>
            </w:r>
          </w:p>
        </w:tc>
      </w:tr>
      <w:tr w:rsidR="00102612" w:rsidRPr="00276D5E" w14:paraId="7652F0B1" w14:textId="77777777" w:rsidTr="009D3A59">
        <w:trPr>
          <w:trHeight w:val="199"/>
        </w:trPr>
        <w:tc>
          <w:tcPr>
            <w:tcW w:w="497" w:type="dxa"/>
          </w:tcPr>
          <w:p w14:paraId="7434D799" w14:textId="77777777" w:rsidR="00102612" w:rsidRPr="00276D5E" w:rsidRDefault="00102612" w:rsidP="00FF5E02">
            <w:pPr>
              <w:pStyle w:val="TableParagraph"/>
              <w:spacing w:line="222" w:lineRule="exact"/>
              <w:ind w:left="86"/>
              <w:jc w:val="both"/>
              <w:rPr>
                <w:rFonts w:ascii="Arial" w:hAnsi="Arial" w:cs="Arial"/>
              </w:rPr>
            </w:pPr>
            <w:r w:rsidRPr="00276D5E">
              <w:rPr>
                <w:rFonts w:ascii="Arial" w:hAnsi="Arial" w:cs="Arial"/>
                <w:w w:val="99"/>
              </w:rPr>
              <w:t>b</w:t>
            </w:r>
          </w:p>
        </w:tc>
        <w:tc>
          <w:tcPr>
            <w:tcW w:w="8233" w:type="dxa"/>
            <w:gridSpan w:val="2"/>
          </w:tcPr>
          <w:p w14:paraId="2A400D82" w14:textId="77777777" w:rsidR="00102612" w:rsidRPr="00276D5E" w:rsidRDefault="00102612" w:rsidP="00FF5E02">
            <w:pPr>
              <w:pStyle w:val="TableParagraph"/>
              <w:spacing w:line="222" w:lineRule="exact"/>
              <w:jc w:val="both"/>
              <w:rPr>
                <w:rFonts w:ascii="Arial" w:hAnsi="Arial" w:cs="Arial"/>
              </w:rPr>
            </w:pPr>
            <w:r w:rsidRPr="00276D5E">
              <w:rPr>
                <w:rFonts w:ascii="Arial" w:hAnsi="Arial" w:cs="Arial"/>
              </w:rPr>
              <w:t>Simulated</w:t>
            </w:r>
            <w:r w:rsidRPr="00276D5E">
              <w:rPr>
                <w:rFonts w:ascii="Arial" w:hAnsi="Arial" w:cs="Arial"/>
                <w:spacing w:val="-3"/>
              </w:rPr>
              <w:t xml:space="preserve"> </w:t>
            </w:r>
            <w:r w:rsidRPr="00276D5E">
              <w:rPr>
                <w:rFonts w:ascii="Arial" w:hAnsi="Arial" w:cs="Arial"/>
              </w:rPr>
              <w:t>parachute</w:t>
            </w:r>
            <w:r w:rsidRPr="00276D5E">
              <w:rPr>
                <w:rFonts w:ascii="Arial" w:hAnsi="Arial" w:cs="Arial"/>
                <w:spacing w:val="-4"/>
              </w:rPr>
              <w:t xml:space="preserve"> </w:t>
            </w:r>
            <w:r w:rsidRPr="00276D5E">
              <w:rPr>
                <w:rFonts w:ascii="Arial" w:hAnsi="Arial" w:cs="Arial"/>
              </w:rPr>
              <w:t>or</w:t>
            </w:r>
            <w:r w:rsidRPr="00276D5E">
              <w:rPr>
                <w:rFonts w:ascii="Arial" w:hAnsi="Arial" w:cs="Arial"/>
                <w:spacing w:val="-3"/>
              </w:rPr>
              <w:t xml:space="preserve"> </w:t>
            </w:r>
            <w:r w:rsidRPr="00276D5E">
              <w:rPr>
                <w:rFonts w:ascii="Arial" w:hAnsi="Arial" w:cs="Arial"/>
              </w:rPr>
              <w:t>valve</w:t>
            </w:r>
            <w:r w:rsidRPr="00276D5E">
              <w:rPr>
                <w:rFonts w:ascii="Arial" w:hAnsi="Arial" w:cs="Arial"/>
                <w:spacing w:val="-1"/>
              </w:rPr>
              <w:t xml:space="preserve"> </w:t>
            </w:r>
            <w:r w:rsidRPr="00276D5E">
              <w:rPr>
                <w:rFonts w:ascii="Arial" w:hAnsi="Arial" w:cs="Arial"/>
              </w:rPr>
              <w:t>failure</w:t>
            </w:r>
          </w:p>
        </w:tc>
      </w:tr>
      <w:tr w:rsidR="00102612" w:rsidRPr="00276D5E" w14:paraId="5FF7BA30" w14:textId="77777777" w:rsidTr="009D3A59">
        <w:trPr>
          <w:trHeight w:val="202"/>
        </w:trPr>
        <w:tc>
          <w:tcPr>
            <w:tcW w:w="497" w:type="dxa"/>
          </w:tcPr>
          <w:p w14:paraId="66E8A68B" w14:textId="77777777" w:rsidR="00102612" w:rsidRPr="00276D5E" w:rsidRDefault="00102612" w:rsidP="00FF5E02">
            <w:pPr>
              <w:pStyle w:val="TableParagraph"/>
              <w:spacing w:line="225" w:lineRule="exact"/>
              <w:ind w:left="86"/>
              <w:jc w:val="both"/>
              <w:rPr>
                <w:rFonts w:ascii="Arial" w:hAnsi="Arial" w:cs="Arial"/>
              </w:rPr>
            </w:pPr>
            <w:r w:rsidRPr="00276D5E">
              <w:rPr>
                <w:rFonts w:ascii="Arial" w:hAnsi="Arial" w:cs="Arial"/>
                <w:w w:val="99"/>
              </w:rPr>
              <w:t>c</w:t>
            </w:r>
          </w:p>
        </w:tc>
        <w:tc>
          <w:tcPr>
            <w:tcW w:w="8233" w:type="dxa"/>
            <w:gridSpan w:val="2"/>
          </w:tcPr>
          <w:p w14:paraId="064A003C" w14:textId="77777777" w:rsidR="00102612" w:rsidRPr="00276D5E" w:rsidRDefault="00102612" w:rsidP="00FF5E02">
            <w:pPr>
              <w:pStyle w:val="TableParagraph"/>
              <w:spacing w:line="225" w:lineRule="exact"/>
              <w:jc w:val="both"/>
              <w:rPr>
                <w:rFonts w:ascii="Arial" w:hAnsi="Arial" w:cs="Arial"/>
              </w:rPr>
            </w:pPr>
            <w:r w:rsidRPr="00276D5E">
              <w:rPr>
                <w:rFonts w:ascii="Arial" w:hAnsi="Arial" w:cs="Arial"/>
              </w:rPr>
              <w:t>Simulated</w:t>
            </w:r>
            <w:r w:rsidRPr="00276D5E">
              <w:rPr>
                <w:rFonts w:ascii="Arial" w:hAnsi="Arial" w:cs="Arial"/>
                <w:spacing w:val="-4"/>
              </w:rPr>
              <w:t xml:space="preserve"> </w:t>
            </w:r>
            <w:r w:rsidRPr="00276D5E">
              <w:rPr>
                <w:rFonts w:ascii="Arial" w:hAnsi="Arial" w:cs="Arial"/>
              </w:rPr>
              <w:t>passenger</w:t>
            </w:r>
            <w:r w:rsidRPr="00276D5E">
              <w:rPr>
                <w:rFonts w:ascii="Arial" w:hAnsi="Arial" w:cs="Arial"/>
                <w:spacing w:val="-4"/>
              </w:rPr>
              <w:t xml:space="preserve"> </w:t>
            </w:r>
            <w:r w:rsidRPr="00276D5E">
              <w:rPr>
                <w:rFonts w:ascii="Arial" w:hAnsi="Arial" w:cs="Arial"/>
              </w:rPr>
              <w:t>health</w:t>
            </w:r>
            <w:r w:rsidRPr="00276D5E">
              <w:rPr>
                <w:rFonts w:ascii="Arial" w:hAnsi="Arial" w:cs="Arial"/>
                <w:spacing w:val="-4"/>
              </w:rPr>
              <w:t xml:space="preserve"> </w:t>
            </w:r>
            <w:r w:rsidRPr="00276D5E">
              <w:rPr>
                <w:rFonts w:ascii="Arial" w:hAnsi="Arial" w:cs="Arial"/>
              </w:rPr>
              <w:t>problems</w:t>
            </w:r>
          </w:p>
        </w:tc>
      </w:tr>
      <w:tr w:rsidR="00102612" w:rsidRPr="00276D5E" w14:paraId="25ADAA19" w14:textId="77777777" w:rsidTr="009D3A59">
        <w:trPr>
          <w:trHeight w:val="200"/>
        </w:trPr>
        <w:tc>
          <w:tcPr>
            <w:tcW w:w="497" w:type="dxa"/>
          </w:tcPr>
          <w:p w14:paraId="3DAEACB6" w14:textId="77777777" w:rsidR="00102612" w:rsidRPr="00276D5E" w:rsidRDefault="00102612" w:rsidP="00FF5E02">
            <w:pPr>
              <w:pStyle w:val="TableParagraph"/>
              <w:spacing w:line="222" w:lineRule="exact"/>
              <w:ind w:left="86"/>
              <w:jc w:val="both"/>
              <w:rPr>
                <w:rFonts w:ascii="Arial" w:hAnsi="Arial" w:cs="Arial"/>
              </w:rPr>
            </w:pPr>
            <w:r w:rsidRPr="00276D5E">
              <w:rPr>
                <w:rFonts w:ascii="Arial" w:hAnsi="Arial" w:cs="Arial"/>
                <w:w w:val="99"/>
              </w:rPr>
              <w:t>d</w:t>
            </w:r>
          </w:p>
        </w:tc>
        <w:tc>
          <w:tcPr>
            <w:tcW w:w="8233" w:type="dxa"/>
            <w:gridSpan w:val="2"/>
          </w:tcPr>
          <w:p w14:paraId="7124A3D2" w14:textId="77777777" w:rsidR="00102612" w:rsidRPr="00276D5E" w:rsidRDefault="00102612" w:rsidP="00FF5E02">
            <w:pPr>
              <w:pStyle w:val="TableParagraph"/>
              <w:spacing w:line="222" w:lineRule="exact"/>
              <w:jc w:val="both"/>
              <w:rPr>
                <w:rFonts w:ascii="Arial" w:hAnsi="Arial" w:cs="Arial"/>
              </w:rPr>
            </w:pPr>
            <w:r w:rsidRPr="00276D5E">
              <w:rPr>
                <w:rFonts w:ascii="Arial" w:hAnsi="Arial" w:cs="Arial"/>
              </w:rPr>
              <w:t>Other</w:t>
            </w:r>
            <w:r w:rsidRPr="00276D5E">
              <w:rPr>
                <w:rFonts w:ascii="Arial" w:hAnsi="Arial" w:cs="Arial"/>
                <w:spacing w:val="-3"/>
              </w:rPr>
              <w:t xml:space="preserve"> </w:t>
            </w:r>
            <w:r w:rsidRPr="00276D5E">
              <w:rPr>
                <w:rFonts w:ascii="Arial" w:hAnsi="Arial" w:cs="Arial"/>
              </w:rPr>
              <w:t>abnormal</w:t>
            </w:r>
            <w:r w:rsidRPr="00276D5E">
              <w:rPr>
                <w:rFonts w:ascii="Arial" w:hAnsi="Arial" w:cs="Arial"/>
                <w:spacing w:val="-2"/>
              </w:rPr>
              <w:t xml:space="preserve"> </w:t>
            </w:r>
            <w:r w:rsidRPr="00276D5E">
              <w:rPr>
                <w:rFonts w:ascii="Arial" w:hAnsi="Arial" w:cs="Arial"/>
              </w:rPr>
              <w:t>and</w:t>
            </w:r>
            <w:r w:rsidRPr="00276D5E">
              <w:rPr>
                <w:rFonts w:ascii="Arial" w:hAnsi="Arial" w:cs="Arial"/>
                <w:spacing w:val="-2"/>
              </w:rPr>
              <w:t xml:space="preserve"> </w:t>
            </w:r>
            <w:r w:rsidRPr="00276D5E">
              <w:rPr>
                <w:rFonts w:ascii="Arial" w:hAnsi="Arial" w:cs="Arial"/>
              </w:rPr>
              <w:t>emergency</w:t>
            </w:r>
            <w:r w:rsidRPr="00276D5E">
              <w:rPr>
                <w:rFonts w:ascii="Arial" w:hAnsi="Arial" w:cs="Arial"/>
                <w:spacing w:val="-2"/>
              </w:rPr>
              <w:t xml:space="preserve"> </w:t>
            </w:r>
            <w:r w:rsidRPr="00276D5E">
              <w:rPr>
                <w:rFonts w:ascii="Arial" w:hAnsi="Arial" w:cs="Arial"/>
              </w:rPr>
              <w:t>procedures</w:t>
            </w:r>
            <w:r w:rsidRPr="00276D5E">
              <w:rPr>
                <w:rFonts w:ascii="Arial" w:hAnsi="Arial" w:cs="Arial"/>
                <w:spacing w:val="-4"/>
              </w:rPr>
              <w:t xml:space="preserve"> </w:t>
            </w:r>
            <w:r w:rsidRPr="00276D5E">
              <w:rPr>
                <w:rFonts w:ascii="Arial" w:hAnsi="Arial" w:cs="Arial"/>
              </w:rPr>
              <w:t>as</w:t>
            </w:r>
            <w:r w:rsidRPr="00276D5E">
              <w:rPr>
                <w:rFonts w:ascii="Arial" w:hAnsi="Arial" w:cs="Arial"/>
                <w:spacing w:val="-4"/>
              </w:rPr>
              <w:t xml:space="preserve"> </w:t>
            </w:r>
            <w:r w:rsidRPr="00276D5E">
              <w:rPr>
                <w:rFonts w:ascii="Arial" w:hAnsi="Arial" w:cs="Arial"/>
              </w:rPr>
              <w:t>outlined</w:t>
            </w:r>
            <w:r w:rsidRPr="00276D5E">
              <w:rPr>
                <w:rFonts w:ascii="Arial" w:hAnsi="Arial" w:cs="Arial"/>
                <w:spacing w:val="-2"/>
              </w:rPr>
              <w:t xml:space="preserve"> </w:t>
            </w:r>
            <w:r w:rsidRPr="00276D5E">
              <w:rPr>
                <w:rFonts w:ascii="Arial" w:hAnsi="Arial" w:cs="Arial"/>
              </w:rPr>
              <w:t>in</w:t>
            </w:r>
            <w:r w:rsidRPr="00276D5E">
              <w:rPr>
                <w:rFonts w:ascii="Arial" w:hAnsi="Arial" w:cs="Arial"/>
                <w:spacing w:val="-1"/>
              </w:rPr>
              <w:t xml:space="preserve"> </w:t>
            </w:r>
            <w:r w:rsidRPr="00276D5E">
              <w:rPr>
                <w:rFonts w:ascii="Arial" w:hAnsi="Arial" w:cs="Arial"/>
              </w:rPr>
              <w:t>the</w:t>
            </w:r>
            <w:r w:rsidRPr="00276D5E">
              <w:rPr>
                <w:rFonts w:ascii="Arial" w:hAnsi="Arial" w:cs="Arial"/>
                <w:spacing w:val="-3"/>
              </w:rPr>
              <w:t xml:space="preserve"> </w:t>
            </w:r>
            <w:r w:rsidRPr="00276D5E">
              <w:rPr>
                <w:rFonts w:ascii="Arial" w:hAnsi="Arial" w:cs="Arial"/>
              </w:rPr>
              <w:t>appropriate</w:t>
            </w:r>
            <w:r w:rsidRPr="00276D5E">
              <w:rPr>
                <w:rFonts w:ascii="Arial" w:hAnsi="Arial" w:cs="Arial"/>
                <w:spacing w:val="-3"/>
              </w:rPr>
              <w:t xml:space="preserve"> </w:t>
            </w:r>
            <w:r w:rsidRPr="00276D5E">
              <w:rPr>
                <w:rFonts w:ascii="Arial" w:hAnsi="Arial" w:cs="Arial"/>
              </w:rPr>
              <w:t>flight</w:t>
            </w:r>
            <w:r w:rsidRPr="00276D5E">
              <w:rPr>
                <w:rFonts w:ascii="Arial" w:hAnsi="Arial" w:cs="Arial"/>
                <w:spacing w:val="-2"/>
              </w:rPr>
              <w:t xml:space="preserve"> </w:t>
            </w:r>
            <w:r w:rsidRPr="00276D5E">
              <w:rPr>
                <w:rFonts w:ascii="Arial" w:hAnsi="Arial" w:cs="Arial"/>
              </w:rPr>
              <w:t>manual</w:t>
            </w:r>
          </w:p>
        </w:tc>
      </w:tr>
      <w:tr w:rsidR="00102612" w:rsidRPr="00276D5E" w14:paraId="5155F45A" w14:textId="77777777" w:rsidTr="009D3A59">
        <w:trPr>
          <w:trHeight w:val="203"/>
        </w:trPr>
        <w:tc>
          <w:tcPr>
            <w:tcW w:w="497" w:type="dxa"/>
          </w:tcPr>
          <w:p w14:paraId="12634FD6" w14:textId="77777777" w:rsidR="00102612" w:rsidRPr="00276D5E" w:rsidRDefault="00102612" w:rsidP="00FF5E02">
            <w:pPr>
              <w:pStyle w:val="TableParagraph"/>
              <w:spacing w:line="226" w:lineRule="exact"/>
              <w:ind w:left="86"/>
              <w:jc w:val="both"/>
              <w:rPr>
                <w:rFonts w:ascii="Arial" w:hAnsi="Arial" w:cs="Arial"/>
              </w:rPr>
            </w:pPr>
            <w:r w:rsidRPr="00276D5E">
              <w:rPr>
                <w:rFonts w:ascii="Arial" w:hAnsi="Arial" w:cs="Arial"/>
                <w:w w:val="99"/>
              </w:rPr>
              <w:t>e</w:t>
            </w:r>
          </w:p>
        </w:tc>
        <w:tc>
          <w:tcPr>
            <w:tcW w:w="8233" w:type="dxa"/>
            <w:gridSpan w:val="2"/>
          </w:tcPr>
          <w:p w14:paraId="06FA748D" w14:textId="77777777" w:rsidR="00102612" w:rsidRPr="00276D5E" w:rsidRDefault="00102612" w:rsidP="00FF5E02">
            <w:pPr>
              <w:pStyle w:val="TableParagraph"/>
              <w:spacing w:line="226" w:lineRule="exact"/>
              <w:jc w:val="both"/>
              <w:rPr>
                <w:rFonts w:ascii="Arial" w:hAnsi="Arial" w:cs="Arial"/>
              </w:rPr>
            </w:pPr>
            <w:r w:rsidRPr="00276D5E">
              <w:rPr>
                <w:rFonts w:ascii="Arial" w:hAnsi="Arial" w:cs="Arial"/>
              </w:rPr>
              <w:t>Oral</w:t>
            </w:r>
            <w:r w:rsidRPr="00276D5E">
              <w:rPr>
                <w:rFonts w:ascii="Arial" w:hAnsi="Arial" w:cs="Arial"/>
                <w:spacing w:val="-4"/>
              </w:rPr>
              <w:t xml:space="preserve"> </w:t>
            </w:r>
            <w:r w:rsidRPr="00276D5E">
              <w:rPr>
                <w:rFonts w:ascii="Arial" w:hAnsi="Arial" w:cs="Arial"/>
              </w:rPr>
              <w:t>questions</w:t>
            </w:r>
          </w:p>
        </w:tc>
      </w:tr>
    </w:tbl>
    <w:p w14:paraId="698C0433" w14:textId="77777777" w:rsidR="0026323F" w:rsidRDefault="0026323F" w:rsidP="00FF5E02">
      <w:pPr>
        <w:tabs>
          <w:tab w:val="left" w:pos="706"/>
          <w:tab w:val="left" w:pos="707"/>
        </w:tabs>
        <w:jc w:val="both"/>
        <w:rPr>
          <w:rFonts w:ascii="Arial" w:hAnsi="Arial" w:cs="Arial"/>
          <w:sz w:val="20"/>
        </w:rPr>
      </w:pPr>
    </w:p>
    <w:p w14:paraId="3B89FAC2" w14:textId="77777777" w:rsidR="00FF5E02" w:rsidRPr="00FF5E02" w:rsidRDefault="00FF5E02" w:rsidP="00682A54">
      <w:pPr>
        <w:pStyle w:val="ListParagraph"/>
        <w:numPr>
          <w:ilvl w:val="1"/>
          <w:numId w:val="215"/>
        </w:numPr>
        <w:ind w:right="203"/>
        <w:jc w:val="both"/>
        <w:rPr>
          <w:rFonts w:ascii="Arial" w:hAnsi="Arial" w:cs="Arial"/>
          <w:sz w:val="20"/>
        </w:rPr>
      </w:pPr>
      <w:r w:rsidRPr="00FF5E02">
        <w:rPr>
          <w:rFonts w:ascii="Arial" w:hAnsi="Arial" w:cs="Arial"/>
          <w:sz w:val="20"/>
        </w:rPr>
        <w:t>The skill test contents and sections set out in this point should be used for the skill test for the issue of a commercial operation rating in the hot-air airship class:</w:t>
      </w:r>
    </w:p>
    <w:p w14:paraId="3765C356" w14:textId="77777777" w:rsidR="00FF5E02" w:rsidRDefault="00FF5E02" w:rsidP="00FF5E02">
      <w:pPr>
        <w:pStyle w:val="ListParagraph"/>
        <w:ind w:left="1273" w:right="203" w:firstLine="0"/>
        <w:jc w:val="both"/>
        <w:rPr>
          <w:rFonts w:ascii="Arial" w:hAnsi="Arial" w:cs="Arial"/>
          <w:i/>
          <w:sz w:val="20"/>
        </w:rPr>
      </w:pPr>
      <w:r w:rsidRPr="00FF5E02">
        <w:rPr>
          <w:rFonts w:ascii="Arial" w:hAnsi="Arial" w:cs="Arial"/>
          <w:i/>
          <w:sz w:val="20"/>
        </w:rPr>
        <w:t>Note: Use of checklist(s), airmanship, control of hot air airship by external visual reference, look-out procedures, etc. apply in all sections.</w:t>
      </w:r>
    </w:p>
    <w:p w14:paraId="5603926F" w14:textId="77777777" w:rsidR="00FF5E02" w:rsidRPr="00FF5E02" w:rsidRDefault="00FF5E02" w:rsidP="00FF5E02">
      <w:pPr>
        <w:pStyle w:val="ListParagraph"/>
        <w:ind w:left="1273" w:right="203" w:firstLine="0"/>
        <w:jc w:val="both"/>
        <w:rPr>
          <w:rFonts w:ascii="Arial" w:hAnsi="Arial" w:cs="Arial"/>
          <w:i/>
          <w:sz w:val="20"/>
        </w:rPr>
      </w:pPr>
    </w:p>
    <w:tbl>
      <w:tblPr>
        <w:tblStyle w:val="TableGrid31"/>
        <w:tblW w:w="8725" w:type="dxa"/>
        <w:tblInd w:w="562" w:type="dxa"/>
        <w:tblLayout w:type="fixed"/>
        <w:tblLook w:val="01E0" w:firstRow="1" w:lastRow="1" w:firstColumn="1" w:lastColumn="1" w:noHBand="0" w:noVBand="0"/>
      </w:tblPr>
      <w:tblGrid>
        <w:gridCol w:w="592"/>
        <w:gridCol w:w="11"/>
        <w:gridCol w:w="8122"/>
      </w:tblGrid>
      <w:tr w:rsidR="00FF5E02" w:rsidRPr="00276D5E" w14:paraId="6D9538C4" w14:textId="77777777" w:rsidTr="004F6505">
        <w:trPr>
          <w:trHeight w:val="200"/>
        </w:trPr>
        <w:tc>
          <w:tcPr>
            <w:tcW w:w="8725" w:type="dxa"/>
            <w:gridSpan w:val="3"/>
            <w:shd w:val="clear" w:color="auto" w:fill="F2F2F2" w:themeFill="background1" w:themeFillShade="F2"/>
          </w:tcPr>
          <w:p w14:paraId="62157E25" w14:textId="77777777" w:rsidR="00FF5E02" w:rsidRPr="00276D5E" w:rsidRDefault="00FF5E02" w:rsidP="00FF5E02">
            <w:pPr>
              <w:pStyle w:val="TableParagraph"/>
              <w:spacing w:before="1" w:line="222" w:lineRule="exact"/>
              <w:ind w:left="86"/>
              <w:jc w:val="both"/>
              <w:rPr>
                <w:rFonts w:ascii="Arial" w:hAnsi="Arial" w:cs="Arial"/>
                <w:b/>
              </w:rPr>
            </w:pPr>
            <w:r w:rsidRPr="00276D5E">
              <w:rPr>
                <w:rFonts w:ascii="Arial" w:hAnsi="Arial" w:cs="Arial"/>
                <w:b/>
              </w:rPr>
              <w:t>SECTION</w:t>
            </w:r>
            <w:r w:rsidRPr="00276D5E">
              <w:rPr>
                <w:rFonts w:ascii="Arial" w:hAnsi="Arial" w:cs="Arial"/>
                <w:b/>
                <w:spacing w:val="-4"/>
              </w:rPr>
              <w:t xml:space="preserve"> </w:t>
            </w:r>
            <w:r w:rsidRPr="00276D5E">
              <w:rPr>
                <w:rFonts w:ascii="Arial" w:hAnsi="Arial" w:cs="Arial"/>
                <w:b/>
              </w:rPr>
              <w:t>1:</w:t>
            </w:r>
            <w:r w:rsidRPr="00276D5E">
              <w:rPr>
                <w:rFonts w:ascii="Arial" w:hAnsi="Arial" w:cs="Arial"/>
                <w:b/>
                <w:spacing w:val="-3"/>
              </w:rPr>
              <w:t xml:space="preserve"> </w:t>
            </w:r>
            <w:r w:rsidRPr="00276D5E">
              <w:rPr>
                <w:rFonts w:ascii="Arial" w:hAnsi="Arial" w:cs="Arial"/>
                <w:b/>
              </w:rPr>
              <w:t>PRE-FLIGHT</w:t>
            </w:r>
            <w:r w:rsidRPr="00276D5E">
              <w:rPr>
                <w:rFonts w:ascii="Arial" w:hAnsi="Arial" w:cs="Arial"/>
                <w:b/>
                <w:spacing w:val="-3"/>
              </w:rPr>
              <w:t xml:space="preserve"> </w:t>
            </w:r>
            <w:r w:rsidRPr="00276D5E">
              <w:rPr>
                <w:rFonts w:ascii="Arial" w:hAnsi="Arial" w:cs="Arial"/>
                <w:b/>
              </w:rPr>
              <w:t>OPERATIONS,</w:t>
            </w:r>
            <w:r w:rsidRPr="00276D5E">
              <w:rPr>
                <w:rFonts w:ascii="Arial" w:hAnsi="Arial" w:cs="Arial"/>
                <w:b/>
                <w:spacing w:val="-5"/>
              </w:rPr>
              <w:t xml:space="preserve"> </w:t>
            </w:r>
            <w:r w:rsidRPr="00276D5E">
              <w:rPr>
                <w:rFonts w:ascii="Arial" w:hAnsi="Arial" w:cs="Arial"/>
                <w:b/>
              </w:rPr>
              <w:t>INFLATION</w:t>
            </w:r>
            <w:r w:rsidRPr="00276D5E">
              <w:rPr>
                <w:rFonts w:ascii="Arial" w:hAnsi="Arial" w:cs="Arial"/>
                <w:b/>
                <w:spacing w:val="-3"/>
              </w:rPr>
              <w:t xml:space="preserve"> </w:t>
            </w:r>
            <w:r w:rsidRPr="00276D5E">
              <w:rPr>
                <w:rFonts w:ascii="Arial" w:hAnsi="Arial" w:cs="Arial"/>
                <w:b/>
              </w:rPr>
              <w:t>AND</w:t>
            </w:r>
            <w:r w:rsidRPr="00276D5E">
              <w:rPr>
                <w:rFonts w:ascii="Arial" w:hAnsi="Arial" w:cs="Arial"/>
                <w:b/>
                <w:spacing w:val="-4"/>
              </w:rPr>
              <w:t xml:space="preserve"> </w:t>
            </w:r>
            <w:r w:rsidRPr="00276D5E">
              <w:rPr>
                <w:rFonts w:ascii="Arial" w:hAnsi="Arial" w:cs="Arial"/>
                <w:b/>
              </w:rPr>
              <w:t>TAKE-OFF</w:t>
            </w:r>
          </w:p>
        </w:tc>
      </w:tr>
      <w:tr w:rsidR="00FF5E02" w:rsidRPr="00276D5E" w14:paraId="61ED783E" w14:textId="77777777" w:rsidTr="004F6505">
        <w:trPr>
          <w:trHeight w:val="689"/>
        </w:trPr>
        <w:tc>
          <w:tcPr>
            <w:tcW w:w="603" w:type="dxa"/>
            <w:gridSpan w:val="2"/>
          </w:tcPr>
          <w:p w14:paraId="10AFA38D" w14:textId="77777777" w:rsidR="00FF5E02" w:rsidRPr="00276D5E" w:rsidRDefault="00FF5E02" w:rsidP="00FF5E02">
            <w:pPr>
              <w:pStyle w:val="TableParagraph"/>
              <w:ind w:left="86"/>
              <w:jc w:val="both"/>
              <w:rPr>
                <w:rFonts w:ascii="Arial" w:hAnsi="Arial" w:cs="Arial"/>
              </w:rPr>
            </w:pPr>
            <w:r w:rsidRPr="00276D5E">
              <w:rPr>
                <w:rFonts w:ascii="Arial" w:hAnsi="Arial" w:cs="Arial"/>
                <w:w w:val="99"/>
              </w:rPr>
              <w:t>a</w:t>
            </w:r>
          </w:p>
        </w:tc>
        <w:tc>
          <w:tcPr>
            <w:tcW w:w="8122" w:type="dxa"/>
          </w:tcPr>
          <w:p w14:paraId="3D2224E0" w14:textId="77777777" w:rsidR="00FF5E02" w:rsidRPr="00276D5E" w:rsidRDefault="00FF5E02" w:rsidP="00FF5E02">
            <w:pPr>
              <w:pStyle w:val="TableParagraph"/>
              <w:spacing w:line="240" w:lineRule="atLeast"/>
              <w:jc w:val="both"/>
              <w:rPr>
                <w:rFonts w:ascii="Arial" w:hAnsi="Arial" w:cs="Arial"/>
              </w:rPr>
            </w:pPr>
            <w:r w:rsidRPr="00276D5E">
              <w:rPr>
                <w:rFonts w:ascii="Arial" w:hAnsi="Arial" w:cs="Arial"/>
              </w:rPr>
              <w:t>Pre-flight documentation (licence, medical certificate, permits to take off, insurance</w:t>
            </w:r>
            <w:r w:rsidRPr="00276D5E">
              <w:rPr>
                <w:rFonts w:ascii="Arial" w:hAnsi="Arial" w:cs="Arial"/>
                <w:spacing w:val="1"/>
              </w:rPr>
              <w:t xml:space="preserve"> </w:t>
            </w:r>
            <w:r w:rsidRPr="00276D5E">
              <w:rPr>
                <w:rFonts w:ascii="Arial" w:hAnsi="Arial" w:cs="Arial"/>
              </w:rPr>
              <w:t>certificate, aeronautical charts, AFM, logbook, technical logbook, checklists etc.), flight</w:t>
            </w:r>
            <w:r w:rsidRPr="00276D5E">
              <w:rPr>
                <w:rFonts w:ascii="Arial" w:hAnsi="Arial" w:cs="Arial"/>
                <w:spacing w:val="-43"/>
              </w:rPr>
              <w:t xml:space="preserve"> </w:t>
            </w:r>
            <w:r w:rsidRPr="00276D5E">
              <w:rPr>
                <w:rFonts w:ascii="Arial" w:hAnsi="Arial" w:cs="Arial"/>
              </w:rPr>
              <w:t>planning,</w:t>
            </w:r>
            <w:r w:rsidRPr="00276D5E">
              <w:rPr>
                <w:rFonts w:ascii="Arial" w:hAnsi="Arial" w:cs="Arial"/>
                <w:spacing w:val="-1"/>
              </w:rPr>
              <w:t xml:space="preserve"> </w:t>
            </w:r>
            <w:r w:rsidRPr="00276D5E">
              <w:rPr>
                <w:rFonts w:ascii="Arial" w:hAnsi="Arial" w:cs="Arial"/>
              </w:rPr>
              <w:t>NOTAM(s)</w:t>
            </w:r>
            <w:r w:rsidRPr="00276D5E">
              <w:rPr>
                <w:rFonts w:ascii="Arial" w:hAnsi="Arial" w:cs="Arial"/>
                <w:spacing w:val="-1"/>
              </w:rPr>
              <w:t xml:space="preserve"> </w:t>
            </w:r>
            <w:r w:rsidRPr="00276D5E">
              <w:rPr>
                <w:rFonts w:ascii="Arial" w:hAnsi="Arial" w:cs="Arial"/>
              </w:rPr>
              <w:t>and</w:t>
            </w:r>
            <w:r w:rsidRPr="00276D5E">
              <w:rPr>
                <w:rFonts w:ascii="Arial" w:hAnsi="Arial" w:cs="Arial"/>
                <w:spacing w:val="-1"/>
              </w:rPr>
              <w:t xml:space="preserve"> </w:t>
            </w:r>
            <w:r w:rsidRPr="00276D5E">
              <w:rPr>
                <w:rFonts w:ascii="Arial" w:hAnsi="Arial" w:cs="Arial"/>
              </w:rPr>
              <w:t>weather briefing,</w:t>
            </w:r>
            <w:r w:rsidRPr="00276D5E">
              <w:rPr>
                <w:rFonts w:ascii="Arial" w:hAnsi="Arial" w:cs="Arial"/>
                <w:spacing w:val="-1"/>
              </w:rPr>
              <w:t xml:space="preserve"> </w:t>
            </w:r>
            <w:r w:rsidRPr="00276D5E">
              <w:rPr>
                <w:rFonts w:ascii="Arial" w:hAnsi="Arial" w:cs="Arial"/>
              </w:rPr>
              <w:t>knowledge</w:t>
            </w:r>
            <w:r w:rsidRPr="00276D5E">
              <w:rPr>
                <w:rFonts w:ascii="Arial" w:hAnsi="Arial" w:cs="Arial"/>
                <w:spacing w:val="-2"/>
              </w:rPr>
              <w:t xml:space="preserve"> </w:t>
            </w:r>
            <w:r w:rsidRPr="00276D5E">
              <w:rPr>
                <w:rFonts w:ascii="Arial" w:hAnsi="Arial" w:cs="Arial"/>
              </w:rPr>
              <w:t>of</w:t>
            </w:r>
            <w:r w:rsidRPr="00276D5E">
              <w:rPr>
                <w:rFonts w:ascii="Arial" w:hAnsi="Arial" w:cs="Arial"/>
                <w:spacing w:val="-2"/>
              </w:rPr>
              <w:t xml:space="preserve"> </w:t>
            </w:r>
            <w:r w:rsidRPr="00276D5E">
              <w:rPr>
                <w:rFonts w:ascii="Arial" w:hAnsi="Arial" w:cs="Arial"/>
              </w:rPr>
              <w:t>Part-BOP</w:t>
            </w:r>
          </w:p>
        </w:tc>
      </w:tr>
      <w:tr w:rsidR="00FF5E02" w:rsidRPr="00276D5E" w14:paraId="06CF8CD2" w14:textId="77777777" w:rsidTr="004F6505">
        <w:trPr>
          <w:trHeight w:val="202"/>
        </w:trPr>
        <w:tc>
          <w:tcPr>
            <w:tcW w:w="603" w:type="dxa"/>
            <w:gridSpan w:val="2"/>
          </w:tcPr>
          <w:p w14:paraId="6E2ADEAD" w14:textId="77777777" w:rsidR="00FF5E02" w:rsidRPr="00276D5E" w:rsidRDefault="00FF5E02" w:rsidP="00FF5E02">
            <w:pPr>
              <w:pStyle w:val="TableParagraph"/>
              <w:spacing w:line="225" w:lineRule="exact"/>
              <w:ind w:left="86"/>
              <w:jc w:val="both"/>
              <w:rPr>
                <w:rFonts w:ascii="Arial" w:hAnsi="Arial" w:cs="Arial"/>
              </w:rPr>
            </w:pPr>
            <w:r w:rsidRPr="00276D5E">
              <w:rPr>
                <w:rFonts w:ascii="Arial" w:hAnsi="Arial" w:cs="Arial"/>
                <w:w w:val="99"/>
              </w:rPr>
              <w:t>b</w:t>
            </w:r>
          </w:p>
        </w:tc>
        <w:tc>
          <w:tcPr>
            <w:tcW w:w="8122" w:type="dxa"/>
          </w:tcPr>
          <w:p w14:paraId="7DAD9239" w14:textId="77777777" w:rsidR="00FF5E02" w:rsidRPr="00276D5E" w:rsidRDefault="00FF5E02" w:rsidP="00FF5E02">
            <w:pPr>
              <w:pStyle w:val="TableParagraph"/>
              <w:spacing w:line="225" w:lineRule="exact"/>
              <w:jc w:val="both"/>
              <w:rPr>
                <w:rFonts w:ascii="Arial" w:hAnsi="Arial" w:cs="Arial"/>
              </w:rPr>
            </w:pPr>
            <w:r w:rsidRPr="00276D5E">
              <w:rPr>
                <w:rFonts w:ascii="Arial" w:hAnsi="Arial" w:cs="Arial"/>
              </w:rPr>
              <w:t>Hot</w:t>
            </w:r>
            <w:r w:rsidRPr="00276D5E">
              <w:rPr>
                <w:rFonts w:ascii="Arial" w:hAnsi="Arial" w:cs="Arial"/>
                <w:spacing w:val="-3"/>
              </w:rPr>
              <w:t xml:space="preserve"> </w:t>
            </w:r>
            <w:r w:rsidRPr="00276D5E">
              <w:rPr>
                <w:rFonts w:ascii="Arial" w:hAnsi="Arial" w:cs="Arial"/>
              </w:rPr>
              <w:t>air</w:t>
            </w:r>
            <w:r w:rsidRPr="00276D5E">
              <w:rPr>
                <w:rFonts w:ascii="Arial" w:hAnsi="Arial" w:cs="Arial"/>
                <w:spacing w:val="-2"/>
              </w:rPr>
              <w:t xml:space="preserve"> </w:t>
            </w:r>
            <w:r w:rsidRPr="00276D5E">
              <w:rPr>
                <w:rFonts w:ascii="Arial" w:hAnsi="Arial" w:cs="Arial"/>
              </w:rPr>
              <w:t>airship</w:t>
            </w:r>
            <w:r w:rsidRPr="00276D5E">
              <w:rPr>
                <w:rFonts w:ascii="Arial" w:hAnsi="Arial" w:cs="Arial"/>
                <w:spacing w:val="-3"/>
              </w:rPr>
              <w:t xml:space="preserve"> </w:t>
            </w:r>
            <w:r w:rsidRPr="00276D5E">
              <w:rPr>
                <w:rFonts w:ascii="Arial" w:hAnsi="Arial" w:cs="Arial"/>
              </w:rPr>
              <w:t>inspection</w:t>
            </w:r>
            <w:r w:rsidRPr="00276D5E">
              <w:rPr>
                <w:rFonts w:ascii="Arial" w:hAnsi="Arial" w:cs="Arial"/>
                <w:spacing w:val="-2"/>
              </w:rPr>
              <w:t xml:space="preserve"> </w:t>
            </w:r>
            <w:r w:rsidRPr="00276D5E">
              <w:rPr>
                <w:rFonts w:ascii="Arial" w:hAnsi="Arial" w:cs="Arial"/>
              </w:rPr>
              <w:t>and</w:t>
            </w:r>
            <w:r w:rsidRPr="00276D5E">
              <w:rPr>
                <w:rFonts w:ascii="Arial" w:hAnsi="Arial" w:cs="Arial"/>
                <w:spacing w:val="-3"/>
              </w:rPr>
              <w:t xml:space="preserve"> </w:t>
            </w:r>
            <w:r w:rsidRPr="00276D5E">
              <w:rPr>
                <w:rFonts w:ascii="Arial" w:hAnsi="Arial" w:cs="Arial"/>
              </w:rPr>
              <w:t>servicing,</w:t>
            </w:r>
            <w:r w:rsidRPr="00276D5E">
              <w:rPr>
                <w:rFonts w:ascii="Arial" w:hAnsi="Arial" w:cs="Arial"/>
                <w:spacing w:val="-2"/>
              </w:rPr>
              <w:t xml:space="preserve"> </w:t>
            </w:r>
            <w:r w:rsidRPr="00276D5E">
              <w:rPr>
                <w:rFonts w:ascii="Arial" w:hAnsi="Arial" w:cs="Arial"/>
              </w:rPr>
              <w:t>MEL</w:t>
            </w:r>
          </w:p>
        </w:tc>
      </w:tr>
      <w:tr w:rsidR="00FF5E02" w:rsidRPr="00276D5E" w14:paraId="56B0C024" w14:textId="77777777" w:rsidTr="004F6505">
        <w:trPr>
          <w:trHeight w:val="200"/>
        </w:trPr>
        <w:tc>
          <w:tcPr>
            <w:tcW w:w="603" w:type="dxa"/>
            <w:gridSpan w:val="2"/>
          </w:tcPr>
          <w:p w14:paraId="635A0E5B" w14:textId="77777777" w:rsidR="00FF5E02" w:rsidRPr="00276D5E" w:rsidRDefault="00FF5E02" w:rsidP="00FF5E02">
            <w:pPr>
              <w:pStyle w:val="TableParagraph"/>
              <w:spacing w:line="222" w:lineRule="exact"/>
              <w:ind w:left="86"/>
              <w:jc w:val="both"/>
              <w:rPr>
                <w:rFonts w:ascii="Arial" w:hAnsi="Arial" w:cs="Arial"/>
              </w:rPr>
            </w:pPr>
            <w:r w:rsidRPr="00276D5E">
              <w:rPr>
                <w:rFonts w:ascii="Arial" w:hAnsi="Arial" w:cs="Arial"/>
                <w:w w:val="99"/>
              </w:rPr>
              <w:t>c</w:t>
            </w:r>
          </w:p>
        </w:tc>
        <w:tc>
          <w:tcPr>
            <w:tcW w:w="8122" w:type="dxa"/>
          </w:tcPr>
          <w:p w14:paraId="10E5B07F" w14:textId="77777777" w:rsidR="00FF5E02" w:rsidRPr="00276D5E" w:rsidRDefault="00FF5E02" w:rsidP="00FF5E02">
            <w:pPr>
              <w:pStyle w:val="TableParagraph"/>
              <w:spacing w:line="222" w:lineRule="exact"/>
              <w:jc w:val="both"/>
              <w:rPr>
                <w:rFonts w:ascii="Arial" w:hAnsi="Arial" w:cs="Arial"/>
              </w:rPr>
            </w:pPr>
            <w:r w:rsidRPr="00276D5E">
              <w:rPr>
                <w:rFonts w:ascii="Arial" w:hAnsi="Arial" w:cs="Arial"/>
              </w:rPr>
              <w:t>Suitability</w:t>
            </w:r>
            <w:r w:rsidRPr="00276D5E">
              <w:rPr>
                <w:rFonts w:ascii="Arial" w:hAnsi="Arial" w:cs="Arial"/>
                <w:spacing w:val="-2"/>
              </w:rPr>
              <w:t xml:space="preserve"> </w:t>
            </w:r>
            <w:r w:rsidRPr="00276D5E">
              <w:rPr>
                <w:rFonts w:ascii="Arial" w:hAnsi="Arial" w:cs="Arial"/>
              </w:rPr>
              <w:t>of</w:t>
            </w:r>
            <w:r w:rsidRPr="00276D5E">
              <w:rPr>
                <w:rFonts w:ascii="Arial" w:hAnsi="Arial" w:cs="Arial"/>
                <w:spacing w:val="-4"/>
              </w:rPr>
              <w:t xml:space="preserve"> </w:t>
            </w:r>
            <w:r w:rsidRPr="00276D5E">
              <w:rPr>
                <w:rFonts w:ascii="Arial" w:hAnsi="Arial" w:cs="Arial"/>
              </w:rPr>
              <w:t>launch</w:t>
            </w:r>
            <w:r w:rsidRPr="00276D5E">
              <w:rPr>
                <w:rFonts w:ascii="Arial" w:hAnsi="Arial" w:cs="Arial"/>
                <w:spacing w:val="-3"/>
              </w:rPr>
              <w:t xml:space="preserve"> </w:t>
            </w:r>
            <w:r w:rsidRPr="00276D5E">
              <w:rPr>
                <w:rFonts w:ascii="Arial" w:hAnsi="Arial" w:cs="Arial"/>
              </w:rPr>
              <w:t>site</w:t>
            </w:r>
          </w:p>
        </w:tc>
      </w:tr>
      <w:tr w:rsidR="00FF5E02" w:rsidRPr="00276D5E" w14:paraId="63C81539" w14:textId="77777777" w:rsidTr="004F6505">
        <w:trPr>
          <w:trHeight w:val="202"/>
        </w:trPr>
        <w:tc>
          <w:tcPr>
            <w:tcW w:w="603" w:type="dxa"/>
            <w:gridSpan w:val="2"/>
          </w:tcPr>
          <w:p w14:paraId="55C81445" w14:textId="77777777" w:rsidR="00FF5E02" w:rsidRPr="00276D5E" w:rsidRDefault="00FF5E02" w:rsidP="00FF5E02">
            <w:pPr>
              <w:pStyle w:val="TableParagraph"/>
              <w:spacing w:line="225" w:lineRule="exact"/>
              <w:ind w:left="86"/>
              <w:jc w:val="both"/>
              <w:rPr>
                <w:rFonts w:ascii="Arial" w:hAnsi="Arial" w:cs="Arial"/>
              </w:rPr>
            </w:pPr>
            <w:r w:rsidRPr="00276D5E">
              <w:rPr>
                <w:rFonts w:ascii="Arial" w:hAnsi="Arial" w:cs="Arial"/>
                <w:w w:val="99"/>
              </w:rPr>
              <w:t>d</w:t>
            </w:r>
          </w:p>
        </w:tc>
        <w:tc>
          <w:tcPr>
            <w:tcW w:w="8122" w:type="dxa"/>
          </w:tcPr>
          <w:p w14:paraId="77BE8A2F" w14:textId="77777777" w:rsidR="00FF5E02" w:rsidRPr="00276D5E" w:rsidRDefault="00FF5E02" w:rsidP="00FF5E02">
            <w:pPr>
              <w:pStyle w:val="TableParagraph"/>
              <w:spacing w:line="225" w:lineRule="exact"/>
              <w:jc w:val="both"/>
              <w:rPr>
                <w:rFonts w:ascii="Arial" w:hAnsi="Arial" w:cs="Arial"/>
              </w:rPr>
            </w:pPr>
            <w:r w:rsidRPr="00276D5E">
              <w:rPr>
                <w:rFonts w:ascii="Arial" w:hAnsi="Arial" w:cs="Arial"/>
              </w:rPr>
              <w:t>Load</w:t>
            </w:r>
            <w:r w:rsidRPr="00276D5E">
              <w:rPr>
                <w:rFonts w:ascii="Arial" w:hAnsi="Arial" w:cs="Arial"/>
                <w:spacing w:val="-2"/>
              </w:rPr>
              <w:t xml:space="preserve"> </w:t>
            </w:r>
            <w:r w:rsidRPr="00276D5E">
              <w:rPr>
                <w:rFonts w:ascii="Arial" w:hAnsi="Arial" w:cs="Arial"/>
              </w:rPr>
              <w:t>calculation</w:t>
            </w:r>
          </w:p>
        </w:tc>
      </w:tr>
      <w:tr w:rsidR="00FF5E02" w:rsidRPr="00276D5E" w14:paraId="0BD6D8AF" w14:textId="77777777" w:rsidTr="004F6505">
        <w:trPr>
          <w:trHeight w:val="200"/>
        </w:trPr>
        <w:tc>
          <w:tcPr>
            <w:tcW w:w="603" w:type="dxa"/>
            <w:gridSpan w:val="2"/>
          </w:tcPr>
          <w:p w14:paraId="0DE31822" w14:textId="77777777" w:rsidR="00FF5E02" w:rsidRPr="00276D5E" w:rsidRDefault="00FF5E02" w:rsidP="00FF5E02">
            <w:pPr>
              <w:pStyle w:val="TableParagraph"/>
              <w:spacing w:line="222" w:lineRule="exact"/>
              <w:ind w:left="86"/>
              <w:jc w:val="both"/>
              <w:rPr>
                <w:rFonts w:ascii="Arial" w:hAnsi="Arial" w:cs="Arial"/>
              </w:rPr>
            </w:pPr>
            <w:r w:rsidRPr="00276D5E">
              <w:rPr>
                <w:rFonts w:ascii="Arial" w:hAnsi="Arial" w:cs="Arial"/>
                <w:w w:val="99"/>
              </w:rPr>
              <w:t>e</w:t>
            </w:r>
          </w:p>
        </w:tc>
        <w:tc>
          <w:tcPr>
            <w:tcW w:w="8122" w:type="dxa"/>
          </w:tcPr>
          <w:p w14:paraId="5C217D75" w14:textId="77777777" w:rsidR="00FF5E02" w:rsidRPr="00276D5E" w:rsidRDefault="00FF5E02" w:rsidP="00FF5E02">
            <w:pPr>
              <w:pStyle w:val="TableParagraph"/>
              <w:spacing w:line="222" w:lineRule="exact"/>
              <w:jc w:val="both"/>
              <w:rPr>
                <w:rFonts w:ascii="Arial" w:hAnsi="Arial" w:cs="Arial"/>
              </w:rPr>
            </w:pPr>
            <w:r w:rsidRPr="00276D5E">
              <w:rPr>
                <w:rFonts w:ascii="Arial" w:hAnsi="Arial" w:cs="Arial"/>
              </w:rPr>
              <w:t>Crowd</w:t>
            </w:r>
            <w:r w:rsidRPr="00276D5E">
              <w:rPr>
                <w:rFonts w:ascii="Arial" w:hAnsi="Arial" w:cs="Arial"/>
                <w:spacing w:val="-3"/>
              </w:rPr>
              <w:t xml:space="preserve"> </w:t>
            </w:r>
            <w:r w:rsidRPr="00276D5E">
              <w:rPr>
                <w:rFonts w:ascii="Arial" w:hAnsi="Arial" w:cs="Arial"/>
              </w:rPr>
              <w:t>control,</w:t>
            </w:r>
            <w:r w:rsidRPr="00276D5E">
              <w:rPr>
                <w:rFonts w:ascii="Arial" w:hAnsi="Arial" w:cs="Arial"/>
                <w:spacing w:val="-2"/>
              </w:rPr>
              <w:t xml:space="preserve"> </w:t>
            </w:r>
            <w:r w:rsidRPr="00276D5E">
              <w:rPr>
                <w:rFonts w:ascii="Arial" w:hAnsi="Arial" w:cs="Arial"/>
              </w:rPr>
              <w:t>crew</w:t>
            </w:r>
            <w:r w:rsidRPr="00276D5E">
              <w:rPr>
                <w:rFonts w:ascii="Arial" w:hAnsi="Arial" w:cs="Arial"/>
                <w:spacing w:val="-4"/>
              </w:rPr>
              <w:t xml:space="preserve"> </w:t>
            </w:r>
            <w:r w:rsidRPr="00276D5E">
              <w:rPr>
                <w:rFonts w:ascii="Arial" w:hAnsi="Arial" w:cs="Arial"/>
              </w:rPr>
              <w:t>and</w:t>
            </w:r>
            <w:r w:rsidRPr="00276D5E">
              <w:rPr>
                <w:rFonts w:ascii="Arial" w:hAnsi="Arial" w:cs="Arial"/>
                <w:spacing w:val="-2"/>
              </w:rPr>
              <w:t xml:space="preserve"> </w:t>
            </w:r>
            <w:r w:rsidRPr="00276D5E">
              <w:rPr>
                <w:rFonts w:ascii="Arial" w:hAnsi="Arial" w:cs="Arial"/>
              </w:rPr>
              <w:t>passenger</w:t>
            </w:r>
            <w:r w:rsidRPr="00276D5E">
              <w:rPr>
                <w:rFonts w:ascii="Arial" w:hAnsi="Arial" w:cs="Arial"/>
                <w:spacing w:val="-3"/>
              </w:rPr>
              <w:t xml:space="preserve"> </w:t>
            </w:r>
            <w:r w:rsidRPr="00276D5E">
              <w:rPr>
                <w:rFonts w:ascii="Arial" w:hAnsi="Arial" w:cs="Arial"/>
              </w:rPr>
              <w:t>briefings</w:t>
            </w:r>
          </w:p>
        </w:tc>
      </w:tr>
      <w:tr w:rsidR="00FF5E02" w:rsidRPr="00276D5E" w14:paraId="64D3B869" w14:textId="77777777" w:rsidTr="004F6505">
        <w:trPr>
          <w:trHeight w:val="202"/>
        </w:trPr>
        <w:tc>
          <w:tcPr>
            <w:tcW w:w="603" w:type="dxa"/>
            <w:gridSpan w:val="2"/>
          </w:tcPr>
          <w:p w14:paraId="4C43699F" w14:textId="77777777" w:rsidR="00FF5E02" w:rsidRPr="00276D5E" w:rsidRDefault="00FF5E02" w:rsidP="00FF5E02">
            <w:pPr>
              <w:pStyle w:val="TableParagraph"/>
              <w:spacing w:before="1" w:line="225" w:lineRule="exact"/>
              <w:ind w:left="86"/>
              <w:jc w:val="both"/>
              <w:rPr>
                <w:rFonts w:ascii="Arial" w:hAnsi="Arial" w:cs="Arial"/>
              </w:rPr>
            </w:pPr>
            <w:r w:rsidRPr="00276D5E">
              <w:rPr>
                <w:rFonts w:ascii="Arial" w:hAnsi="Arial" w:cs="Arial"/>
                <w:w w:val="99"/>
              </w:rPr>
              <w:t>f</w:t>
            </w:r>
          </w:p>
        </w:tc>
        <w:tc>
          <w:tcPr>
            <w:tcW w:w="8122" w:type="dxa"/>
          </w:tcPr>
          <w:p w14:paraId="5137CD81" w14:textId="77777777" w:rsidR="00FF5E02" w:rsidRPr="00276D5E" w:rsidRDefault="00FF5E02" w:rsidP="00FF5E02">
            <w:pPr>
              <w:pStyle w:val="TableParagraph"/>
              <w:spacing w:before="1" w:line="225" w:lineRule="exact"/>
              <w:jc w:val="both"/>
              <w:rPr>
                <w:rFonts w:ascii="Arial" w:hAnsi="Arial" w:cs="Arial"/>
              </w:rPr>
            </w:pPr>
            <w:r w:rsidRPr="00276D5E">
              <w:rPr>
                <w:rFonts w:ascii="Arial" w:hAnsi="Arial" w:cs="Arial"/>
              </w:rPr>
              <w:t>Assembly</w:t>
            </w:r>
            <w:r w:rsidRPr="00276D5E">
              <w:rPr>
                <w:rFonts w:ascii="Arial" w:hAnsi="Arial" w:cs="Arial"/>
                <w:spacing w:val="-3"/>
              </w:rPr>
              <w:t xml:space="preserve"> </w:t>
            </w:r>
            <w:r w:rsidRPr="00276D5E">
              <w:rPr>
                <w:rFonts w:ascii="Arial" w:hAnsi="Arial" w:cs="Arial"/>
              </w:rPr>
              <w:t>and</w:t>
            </w:r>
            <w:r w:rsidRPr="00276D5E">
              <w:rPr>
                <w:rFonts w:ascii="Arial" w:hAnsi="Arial" w:cs="Arial"/>
                <w:spacing w:val="-2"/>
              </w:rPr>
              <w:t xml:space="preserve"> </w:t>
            </w:r>
            <w:r w:rsidRPr="00276D5E">
              <w:rPr>
                <w:rFonts w:ascii="Arial" w:hAnsi="Arial" w:cs="Arial"/>
              </w:rPr>
              <w:t>layout</w:t>
            </w:r>
          </w:p>
        </w:tc>
      </w:tr>
      <w:tr w:rsidR="00FF5E02" w:rsidRPr="00276D5E" w14:paraId="3229FF55" w14:textId="77777777" w:rsidTr="004F6505">
        <w:trPr>
          <w:trHeight w:val="200"/>
        </w:trPr>
        <w:tc>
          <w:tcPr>
            <w:tcW w:w="603" w:type="dxa"/>
            <w:gridSpan w:val="2"/>
          </w:tcPr>
          <w:p w14:paraId="29567939" w14:textId="77777777" w:rsidR="00FF5E02" w:rsidRPr="00276D5E" w:rsidRDefault="00FF5E02" w:rsidP="00FF5E02">
            <w:pPr>
              <w:pStyle w:val="TableParagraph"/>
              <w:spacing w:line="223" w:lineRule="exact"/>
              <w:ind w:left="86"/>
              <w:jc w:val="both"/>
              <w:rPr>
                <w:rFonts w:ascii="Arial" w:hAnsi="Arial" w:cs="Arial"/>
              </w:rPr>
            </w:pPr>
            <w:r w:rsidRPr="00276D5E">
              <w:rPr>
                <w:rFonts w:ascii="Arial" w:hAnsi="Arial" w:cs="Arial"/>
                <w:w w:val="99"/>
              </w:rPr>
              <w:t>g</w:t>
            </w:r>
          </w:p>
        </w:tc>
        <w:tc>
          <w:tcPr>
            <w:tcW w:w="8122" w:type="dxa"/>
          </w:tcPr>
          <w:p w14:paraId="75755AD1" w14:textId="77777777" w:rsidR="00FF5E02" w:rsidRPr="00276D5E" w:rsidRDefault="00FF5E02" w:rsidP="00FF5E02">
            <w:pPr>
              <w:pStyle w:val="TableParagraph"/>
              <w:spacing w:line="223" w:lineRule="exact"/>
              <w:jc w:val="both"/>
              <w:rPr>
                <w:rFonts w:ascii="Arial" w:hAnsi="Arial" w:cs="Arial"/>
              </w:rPr>
            </w:pPr>
            <w:r w:rsidRPr="00276D5E">
              <w:rPr>
                <w:rFonts w:ascii="Arial" w:hAnsi="Arial" w:cs="Arial"/>
              </w:rPr>
              <w:t>Inflation</w:t>
            </w:r>
            <w:r w:rsidRPr="00276D5E">
              <w:rPr>
                <w:rFonts w:ascii="Arial" w:hAnsi="Arial" w:cs="Arial"/>
                <w:spacing w:val="-2"/>
              </w:rPr>
              <w:t xml:space="preserve"> </w:t>
            </w:r>
            <w:r w:rsidRPr="00276D5E">
              <w:rPr>
                <w:rFonts w:ascii="Arial" w:hAnsi="Arial" w:cs="Arial"/>
              </w:rPr>
              <w:t>and</w:t>
            </w:r>
            <w:r w:rsidRPr="00276D5E">
              <w:rPr>
                <w:rFonts w:ascii="Arial" w:hAnsi="Arial" w:cs="Arial"/>
                <w:spacing w:val="-3"/>
              </w:rPr>
              <w:t xml:space="preserve"> </w:t>
            </w:r>
            <w:r w:rsidRPr="00276D5E">
              <w:rPr>
                <w:rFonts w:ascii="Arial" w:hAnsi="Arial" w:cs="Arial"/>
              </w:rPr>
              <w:t>pre-take-off</w:t>
            </w:r>
            <w:r w:rsidRPr="00276D5E">
              <w:rPr>
                <w:rFonts w:ascii="Arial" w:hAnsi="Arial" w:cs="Arial"/>
                <w:spacing w:val="-4"/>
              </w:rPr>
              <w:t xml:space="preserve"> </w:t>
            </w:r>
            <w:r w:rsidRPr="00276D5E">
              <w:rPr>
                <w:rFonts w:ascii="Arial" w:hAnsi="Arial" w:cs="Arial"/>
              </w:rPr>
              <w:t>procedures</w:t>
            </w:r>
            <w:r w:rsidRPr="00276D5E">
              <w:rPr>
                <w:rFonts w:ascii="Arial" w:hAnsi="Arial" w:cs="Arial"/>
                <w:spacing w:val="-4"/>
              </w:rPr>
              <w:t xml:space="preserve"> </w:t>
            </w:r>
            <w:r w:rsidRPr="00276D5E">
              <w:rPr>
                <w:rFonts w:ascii="Arial" w:hAnsi="Arial" w:cs="Arial"/>
              </w:rPr>
              <w:t>including</w:t>
            </w:r>
            <w:r w:rsidRPr="00276D5E">
              <w:rPr>
                <w:rFonts w:ascii="Arial" w:hAnsi="Arial" w:cs="Arial"/>
                <w:spacing w:val="-4"/>
              </w:rPr>
              <w:t xml:space="preserve"> </w:t>
            </w:r>
            <w:r w:rsidRPr="00276D5E">
              <w:rPr>
                <w:rFonts w:ascii="Arial" w:hAnsi="Arial" w:cs="Arial"/>
              </w:rPr>
              <w:t>passenger</w:t>
            </w:r>
            <w:r w:rsidRPr="00276D5E">
              <w:rPr>
                <w:rFonts w:ascii="Arial" w:hAnsi="Arial" w:cs="Arial"/>
                <w:spacing w:val="-2"/>
              </w:rPr>
              <w:t xml:space="preserve"> </w:t>
            </w:r>
            <w:r w:rsidRPr="00276D5E">
              <w:rPr>
                <w:rFonts w:ascii="Arial" w:hAnsi="Arial" w:cs="Arial"/>
              </w:rPr>
              <w:t>involvement</w:t>
            </w:r>
            <w:r w:rsidRPr="00276D5E">
              <w:rPr>
                <w:rFonts w:ascii="Arial" w:hAnsi="Arial" w:cs="Arial"/>
                <w:spacing w:val="-3"/>
              </w:rPr>
              <w:t xml:space="preserve"> </w:t>
            </w:r>
            <w:r w:rsidRPr="00276D5E">
              <w:rPr>
                <w:rFonts w:ascii="Arial" w:hAnsi="Arial" w:cs="Arial"/>
              </w:rPr>
              <w:t>and</w:t>
            </w:r>
            <w:r w:rsidRPr="00276D5E">
              <w:rPr>
                <w:rFonts w:ascii="Arial" w:hAnsi="Arial" w:cs="Arial"/>
                <w:spacing w:val="-2"/>
              </w:rPr>
              <w:t xml:space="preserve"> </w:t>
            </w:r>
            <w:r w:rsidRPr="00276D5E">
              <w:rPr>
                <w:rFonts w:ascii="Arial" w:hAnsi="Arial" w:cs="Arial"/>
              </w:rPr>
              <w:t>briefing</w:t>
            </w:r>
          </w:p>
        </w:tc>
      </w:tr>
      <w:tr w:rsidR="00FF5E02" w:rsidRPr="00276D5E" w14:paraId="329E7529" w14:textId="77777777" w:rsidTr="004F6505">
        <w:trPr>
          <w:trHeight w:val="202"/>
        </w:trPr>
        <w:tc>
          <w:tcPr>
            <w:tcW w:w="603" w:type="dxa"/>
            <w:gridSpan w:val="2"/>
          </w:tcPr>
          <w:p w14:paraId="10354004" w14:textId="77777777" w:rsidR="00FF5E02" w:rsidRPr="00276D5E" w:rsidRDefault="00FF5E02" w:rsidP="00FF5E02">
            <w:pPr>
              <w:pStyle w:val="TableParagraph"/>
              <w:spacing w:line="225" w:lineRule="exact"/>
              <w:ind w:left="86"/>
              <w:jc w:val="both"/>
              <w:rPr>
                <w:rFonts w:ascii="Arial" w:hAnsi="Arial" w:cs="Arial"/>
              </w:rPr>
            </w:pPr>
            <w:r w:rsidRPr="00276D5E">
              <w:rPr>
                <w:rFonts w:ascii="Arial" w:hAnsi="Arial" w:cs="Arial"/>
                <w:w w:val="99"/>
              </w:rPr>
              <w:t>h</w:t>
            </w:r>
          </w:p>
        </w:tc>
        <w:tc>
          <w:tcPr>
            <w:tcW w:w="8122" w:type="dxa"/>
          </w:tcPr>
          <w:p w14:paraId="65E58EA6" w14:textId="77777777" w:rsidR="00FF5E02" w:rsidRPr="00276D5E" w:rsidRDefault="00FF5E02" w:rsidP="00FF5E02">
            <w:pPr>
              <w:pStyle w:val="TableParagraph"/>
              <w:spacing w:line="225" w:lineRule="exact"/>
              <w:jc w:val="both"/>
              <w:rPr>
                <w:rFonts w:ascii="Arial" w:hAnsi="Arial" w:cs="Arial"/>
              </w:rPr>
            </w:pPr>
            <w:r w:rsidRPr="00276D5E">
              <w:rPr>
                <w:rFonts w:ascii="Arial" w:hAnsi="Arial" w:cs="Arial"/>
              </w:rPr>
              <w:t>Take-off</w:t>
            </w:r>
          </w:p>
        </w:tc>
      </w:tr>
      <w:tr w:rsidR="00FF5E02" w:rsidRPr="00276D5E" w14:paraId="7F52382F" w14:textId="77777777" w:rsidTr="004F6505">
        <w:trPr>
          <w:trHeight w:val="444"/>
        </w:trPr>
        <w:tc>
          <w:tcPr>
            <w:tcW w:w="603" w:type="dxa"/>
            <w:gridSpan w:val="2"/>
          </w:tcPr>
          <w:p w14:paraId="04016D3B" w14:textId="77777777" w:rsidR="00FF5E02" w:rsidRPr="00276D5E" w:rsidRDefault="00FF5E02" w:rsidP="00FF5E02">
            <w:pPr>
              <w:pStyle w:val="TableParagraph"/>
              <w:spacing w:line="242" w:lineRule="exact"/>
              <w:ind w:left="86"/>
              <w:jc w:val="both"/>
              <w:rPr>
                <w:rFonts w:ascii="Arial" w:hAnsi="Arial" w:cs="Arial"/>
              </w:rPr>
            </w:pPr>
            <w:r w:rsidRPr="00276D5E">
              <w:rPr>
                <w:rFonts w:ascii="Arial" w:hAnsi="Arial" w:cs="Arial"/>
                <w:w w:val="99"/>
              </w:rPr>
              <w:t>i</w:t>
            </w:r>
          </w:p>
        </w:tc>
        <w:tc>
          <w:tcPr>
            <w:tcW w:w="8122" w:type="dxa"/>
          </w:tcPr>
          <w:p w14:paraId="29A3787E" w14:textId="77C08BB7" w:rsidR="00FF5E02" w:rsidRPr="00276D5E" w:rsidRDefault="00FF5E02" w:rsidP="004F6505">
            <w:pPr>
              <w:pStyle w:val="TableParagraph"/>
              <w:spacing w:line="242" w:lineRule="exact"/>
              <w:jc w:val="both"/>
              <w:rPr>
                <w:rFonts w:ascii="Arial" w:hAnsi="Arial" w:cs="Arial"/>
              </w:rPr>
            </w:pPr>
            <w:r w:rsidRPr="00276D5E">
              <w:rPr>
                <w:rFonts w:ascii="Arial" w:hAnsi="Arial" w:cs="Arial"/>
              </w:rPr>
              <w:t>ATC</w:t>
            </w:r>
            <w:r w:rsidRPr="00276D5E">
              <w:rPr>
                <w:rFonts w:ascii="Arial" w:hAnsi="Arial" w:cs="Arial"/>
                <w:spacing w:val="-4"/>
              </w:rPr>
              <w:t xml:space="preserve"> </w:t>
            </w:r>
            <w:r w:rsidRPr="00276D5E">
              <w:rPr>
                <w:rFonts w:ascii="Arial" w:hAnsi="Arial" w:cs="Arial"/>
              </w:rPr>
              <w:t>compliance</w:t>
            </w:r>
            <w:r w:rsidRPr="00276D5E">
              <w:rPr>
                <w:rFonts w:ascii="Arial" w:hAnsi="Arial" w:cs="Arial"/>
                <w:spacing w:val="-5"/>
              </w:rPr>
              <w:t xml:space="preserve"> </w:t>
            </w:r>
            <w:r w:rsidRPr="00276D5E">
              <w:rPr>
                <w:rFonts w:ascii="Arial" w:hAnsi="Arial" w:cs="Arial"/>
              </w:rPr>
              <w:t>(if</w:t>
            </w:r>
            <w:r w:rsidRPr="00276D5E">
              <w:rPr>
                <w:rFonts w:ascii="Arial" w:hAnsi="Arial" w:cs="Arial"/>
                <w:spacing w:val="-5"/>
              </w:rPr>
              <w:t xml:space="preserve"> </w:t>
            </w:r>
            <w:r w:rsidRPr="00276D5E">
              <w:rPr>
                <w:rFonts w:ascii="Arial" w:hAnsi="Arial" w:cs="Arial"/>
              </w:rPr>
              <w:t>applicable),</w:t>
            </w:r>
            <w:r w:rsidRPr="00276D5E">
              <w:rPr>
                <w:rFonts w:ascii="Arial" w:hAnsi="Arial" w:cs="Arial"/>
                <w:spacing w:val="-3"/>
              </w:rPr>
              <w:t xml:space="preserve"> </w:t>
            </w:r>
            <w:r w:rsidRPr="00276D5E">
              <w:rPr>
                <w:rFonts w:ascii="Arial" w:hAnsi="Arial" w:cs="Arial"/>
              </w:rPr>
              <w:t>operation</w:t>
            </w:r>
            <w:r w:rsidRPr="00276D5E">
              <w:rPr>
                <w:rFonts w:ascii="Arial" w:hAnsi="Arial" w:cs="Arial"/>
                <w:spacing w:val="-3"/>
              </w:rPr>
              <w:t xml:space="preserve"> </w:t>
            </w:r>
            <w:r w:rsidRPr="00276D5E">
              <w:rPr>
                <w:rFonts w:ascii="Arial" w:hAnsi="Arial" w:cs="Arial"/>
              </w:rPr>
              <w:t>of</w:t>
            </w:r>
            <w:r w:rsidRPr="00276D5E">
              <w:rPr>
                <w:rFonts w:ascii="Arial" w:hAnsi="Arial" w:cs="Arial"/>
                <w:spacing w:val="-5"/>
              </w:rPr>
              <w:t xml:space="preserve"> </w:t>
            </w:r>
            <w:r w:rsidRPr="00276D5E">
              <w:rPr>
                <w:rFonts w:ascii="Arial" w:hAnsi="Arial" w:cs="Arial"/>
              </w:rPr>
              <w:t>radio</w:t>
            </w:r>
            <w:r w:rsidRPr="00276D5E">
              <w:rPr>
                <w:rFonts w:ascii="Arial" w:hAnsi="Arial" w:cs="Arial"/>
                <w:spacing w:val="1"/>
              </w:rPr>
              <w:t xml:space="preserve"> </w:t>
            </w:r>
            <w:r w:rsidRPr="00276D5E">
              <w:rPr>
                <w:rFonts w:ascii="Arial" w:hAnsi="Arial" w:cs="Arial"/>
              </w:rPr>
              <w:t>and/or</w:t>
            </w:r>
            <w:r w:rsidRPr="00276D5E">
              <w:rPr>
                <w:rFonts w:ascii="Arial" w:hAnsi="Arial" w:cs="Arial"/>
                <w:spacing w:val="-3"/>
              </w:rPr>
              <w:t xml:space="preserve"> </w:t>
            </w:r>
            <w:r w:rsidRPr="00276D5E">
              <w:rPr>
                <w:rFonts w:ascii="Arial" w:hAnsi="Arial" w:cs="Arial"/>
              </w:rPr>
              <w:t>transponder</w:t>
            </w:r>
            <w:r w:rsidRPr="00276D5E">
              <w:rPr>
                <w:rFonts w:ascii="Arial" w:hAnsi="Arial" w:cs="Arial"/>
                <w:spacing w:val="-3"/>
              </w:rPr>
              <w:t xml:space="preserve"> </w:t>
            </w:r>
            <w:r w:rsidRPr="00276D5E">
              <w:rPr>
                <w:rFonts w:ascii="Arial" w:hAnsi="Arial" w:cs="Arial"/>
              </w:rPr>
              <w:t>(including</w:t>
            </w:r>
            <w:r w:rsidR="004F6505">
              <w:rPr>
                <w:rFonts w:ascii="Arial" w:hAnsi="Arial" w:cs="Arial"/>
              </w:rPr>
              <w:t xml:space="preserve"> </w:t>
            </w:r>
            <w:r w:rsidRPr="00276D5E">
              <w:rPr>
                <w:rFonts w:ascii="Arial" w:hAnsi="Arial" w:cs="Arial"/>
              </w:rPr>
              <w:t>emergency</w:t>
            </w:r>
            <w:r w:rsidRPr="00276D5E">
              <w:rPr>
                <w:rFonts w:ascii="Arial" w:hAnsi="Arial" w:cs="Arial"/>
                <w:spacing w:val="-5"/>
              </w:rPr>
              <w:t xml:space="preserve"> </w:t>
            </w:r>
            <w:r w:rsidRPr="00276D5E">
              <w:rPr>
                <w:rFonts w:ascii="Arial" w:hAnsi="Arial" w:cs="Arial"/>
              </w:rPr>
              <w:t>procedures)</w:t>
            </w:r>
          </w:p>
        </w:tc>
      </w:tr>
      <w:tr w:rsidR="00FF5E02" w:rsidRPr="00276D5E" w14:paraId="5FAAB829" w14:textId="77777777" w:rsidTr="004F6505">
        <w:trPr>
          <w:trHeight w:val="200"/>
        </w:trPr>
        <w:tc>
          <w:tcPr>
            <w:tcW w:w="8725" w:type="dxa"/>
            <w:gridSpan w:val="3"/>
            <w:shd w:val="clear" w:color="auto" w:fill="F2F2F2" w:themeFill="background1" w:themeFillShade="F2"/>
          </w:tcPr>
          <w:p w14:paraId="10426F0B" w14:textId="77777777" w:rsidR="00FF5E02" w:rsidRPr="00276D5E" w:rsidRDefault="00FF5E02" w:rsidP="00FF5E02">
            <w:pPr>
              <w:pStyle w:val="TableParagraph"/>
              <w:spacing w:line="222" w:lineRule="exact"/>
              <w:ind w:left="86"/>
              <w:jc w:val="both"/>
              <w:rPr>
                <w:rFonts w:ascii="Arial" w:hAnsi="Arial" w:cs="Arial"/>
                <w:b/>
              </w:rPr>
            </w:pPr>
            <w:r w:rsidRPr="00276D5E">
              <w:rPr>
                <w:rFonts w:ascii="Arial" w:hAnsi="Arial" w:cs="Arial"/>
                <w:b/>
              </w:rPr>
              <w:t>SECTION</w:t>
            </w:r>
            <w:r w:rsidRPr="00276D5E">
              <w:rPr>
                <w:rFonts w:ascii="Arial" w:hAnsi="Arial" w:cs="Arial"/>
                <w:b/>
                <w:spacing w:val="-3"/>
              </w:rPr>
              <w:t xml:space="preserve"> </w:t>
            </w:r>
            <w:r w:rsidRPr="00276D5E">
              <w:rPr>
                <w:rFonts w:ascii="Arial" w:hAnsi="Arial" w:cs="Arial"/>
                <w:b/>
              </w:rPr>
              <w:t>2:</w:t>
            </w:r>
            <w:r w:rsidRPr="00276D5E">
              <w:rPr>
                <w:rFonts w:ascii="Arial" w:hAnsi="Arial" w:cs="Arial"/>
                <w:b/>
                <w:spacing w:val="-3"/>
              </w:rPr>
              <w:t xml:space="preserve"> </w:t>
            </w:r>
            <w:r w:rsidRPr="00276D5E">
              <w:rPr>
                <w:rFonts w:ascii="Arial" w:hAnsi="Arial" w:cs="Arial"/>
                <w:b/>
              </w:rPr>
              <w:t>GENERAL</w:t>
            </w:r>
            <w:r w:rsidRPr="00276D5E">
              <w:rPr>
                <w:rFonts w:ascii="Arial" w:hAnsi="Arial" w:cs="Arial"/>
                <w:b/>
                <w:spacing w:val="-3"/>
              </w:rPr>
              <w:t xml:space="preserve"> </w:t>
            </w:r>
            <w:r w:rsidRPr="00276D5E">
              <w:rPr>
                <w:rFonts w:ascii="Arial" w:hAnsi="Arial" w:cs="Arial"/>
                <w:b/>
              </w:rPr>
              <w:t>AIRWORK</w:t>
            </w:r>
          </w:p>
        </w:tc>
      </w:tr>
      <w:tr w:rsidR="00FF5E02" w:rsidRPr="00276D5E" w14:paraId="617D0198" w14:textId="77777777" w:rsidTr="004F6505">
        <w:trPr>
          <w:trHeight w:val="203"/>
        </w:trPr>
        <w:tc>
          <w:tcPr>
            <w:tcW w:w="603" w:type="dxa"/>
            <w:gridSpan w:val="2"/>
          </w:tcPr>
          <w:p w14:paraId="3367DB75" w14:textId="77777777" w:rsidR="00FF5E02" w:rsidRPr="00276D5E" w:rsidRDefault="00FF5E02" w:rsidP="00FF5E02">
            <w:pPr>
              <w:pStyle w:val="TableParagraph"/>
              <w:spacing w:line="226" w:lineRule="exact"/>
              <w:ind w:left="86"/>
              <w:jc w:val="both"/>
              <w:rPr>
                <w:rFonts w:ascii="Arial" w:hAnsi="Arial" w:cs="Arial"/>
              </w:rPr>
            </w:pPr>
            <w:r w:rsidRPr="00276D5E">
              <w:rPr>
                <w:rFonts w:ascii="Arial" w:hAnsi="Arial" w:cs="Arial"/>
                <w:w w:val="99"/>
              </w:rPr>
              <w:t>a</w:t>
            </w:r>
          </w:p>
        </w:tc>
        <w:tc>
          <w:tcPr>
            <w:tcW w:w="8122" w:type="dxa"/>
          </w:tcPr>
          <w:p w14:paraId="325AD3D3" w14:textId="77777777" w:rsidR="00FF5E02" w:rsidRPr="00276D5E" w:rsidRDefault="00FF5E02" w:rsidP="00FF5E02">
            <w:pPr>
              <w:pStyle w:val="TableParagraph"/>
              <w:spacing w:line="226" w:lineRule="exact"/>
              <w:jc w:val="both"/>
              <w:rPr>
                <w:rFonts w:ascii="Arial" w:hAnsi="Arial" w:cs="Arial"/>
              </w:rPr>
            </w:pPr>
            <w:r w:rsidRPr="00276D5E">
              <w:rPr>
                <w:rFonts w:ascii="Arial" w:hAnsi="Arial" w:cs="Arial"/>
              </w:rPr>
              <w:t>Climb</w:t>
            </w:r>
            <w:r w:rsidRPr="00276D5E">
              <w:rPr>
                <w:rFonts w:ascii="Arial" w:hAnsi="Arial" w:cs="Arial"/>
                <w:spacing w:val="-3"/>
              </w:rPr>
              <w:t xml:space="preserve"> </w:t>
            </w:r>
            <w:r w:rsidRPr="00276D5E">
              <w:rPr>
                <w:rFonts w:ascii="Arial" w:hAnsi="Arial" w:cs="Arial"/>
              </w:rPr>
              <w:t>to</w:t>
            </w:r>
            <w:r w:rsidRPr="00276D5E">
              <w:rPr>
                <w:rFonts w:ascii="Arial" w:hAnsi="Arial" w:cs="Arial"/>
                <w:spacing w:val="-3"/>
              </w:rPr>
              <w:t xml:space="preserve"> </w:t>
            </w:r>
            <w:r w:rsidRPr="00276D5E">
              <w:rPr>
                <w:rFonts w:ascii="Arial" w:hAnsi="Arial" w:cs="Arial"/>
              </w:rPr>
              <w:t>level</w:t>
            </w:r>
            <w:r w:rsidRPr="00276D5E">
              <w:rPr>
                <w:rFonts w:ascii="Arial" w:hAnsi="Arial" w:cs="Arial"/>
                <w:spacing w:val="-1"/>
              </w:rPr>
              <w:t xml:space="preserve"> </w:t>
            </w:r>
            <w:r w:rsidRPr="00276D5E">
              <w:rPr>
                <w:rFonts w:ascii="Arial" w:hAnsi="Arial" w:cs="Arial"/>
              </w:rPr>
              <w:t>flight</w:t>
            </w:r>
          </w:p>
        </w:tc>
      </w:tr>
      <w:tr w:rsidR="00FF5E02" w:rsidRPr="00276D5E" w14:paraId="37224828" w14:textId="77777777" w:rsidTr="004F6505">
        <w:trPr>
          <w:trHeight w:val="203"/>
        </w:trPr>
        <w:tc>
          <w:tcPr>
            <w:tcW w:w="603" w:type="dxa"/>
            <w:gridSpan w:val="2"/>
          </w:tcPr>
          <w:p w14:paraId="13B30A0D" w14:textId="77777777" w:rsidR="00FF5E02" w:rsidRPr="00FF5E02" w:rsidRDefault="00FF5E02" w:rsidP="00FF5E02">
            <w:pPr>
              <w:pStyle w:val="TableParagraph"/>
              <w:spacing w:line="226" w:lineRule="exact"/>
              <w:ind w:left="86"/>
              <w:jc w:val="both"/>
              <w:rPr>
                <w:rFonts w:ascii="Arial" w:hAnsi="Arial" w:cs="Arial"/>
                <w:w w:val="99"/>
              </w:rPr>
            </w:pPr>
            <w:r w:rsidRPr="00276D5E">
              <w:rPr>
                <w:rFonts w:ascii="Arial" w:hAnsi="Arial" w:cs="Arial"/>
                <w:w w:val="99"/>
              </w:rPr>
              <w:lastRenderedPageBreak/>
              <w:t>b</w:t>
            </w:r>
          </w:p>
        </w:tc>
        <w:tc>
          <w:tcPr>
            <w:tcW w:w="8122" w:type="dxa"/>
          </w:tcPr>
          <w:p w14:paraId="5695426E" w14:textId="77777777" w:rsidR="00FF5E02" w:rsidRPr="00276D5E" w:rsidRDefault="00FF5E02" w:rsidP="00FF5E02">
            <w:pPr>
              <w:pStyle w:val="TableParagraph"/>
              <w:spacing w:line="226" w:lineRule="exact"/>
              <w:jc w:val="both"/>
              <w:rPr>
                <w:rFonts w:ascii="Arial" w:hAnsi="Arial" w:cs="Arial"/>
              </w:rPr>
            </w:pPr>
            <w:r w:rsidRPr="00276D5E">
              <w:rPr>
                <w:rFonts w:ascii="Arial" w:hAnsi="Arial" w:cs="Arial"/>
              </w:rPr>
              <w:t>Level</w:t>
            </w:r>
            <w:r w:rsidRPr="00FF5E02">
              <w:rPr>
                <w:rFonts w:ascii="Arial" w:hAnsi="Arial" w:cs="Arial"/>
              </w:rPr>
              <w:t xml:space="preserve"> </w:t>
            </w:r>
            <w:r w:rsidRPr="00276D5E">
              <w:rPr>
                <w:rFonts w:ascii="Arial" w:hAnsi="Arial" w:cs="Arial"/>
              </w:rPr>
              <w:t>flight</w:t>
            </w:r>
          </w:p>
        </w:tc>
      </w:tr>
      <w:tr w:rsidR="00FF5E02" w:rsidRPr="00276D5E" w14:paraId="49BFFDEC" w14:textId="77777777" w:rsidTr="004F6505">
        <w:trPr>
          <w:trHeight w:val="203"/>
        </w:trPr>
        <w:tc>
          <w:tcPr>
            <w:tcW w:w="603" w:type="dxa"/>
            <w:gridSpan w:val="2"/>
          </w:tcPr>
          <w:p w14:paraId="39370A56" w14:textId="77777777" w:rsidR="00FF5E02" w:rsidRPr="00FF5E02" w:rsidRDefault="00FF5E02" w:rsidP="00FF5E02">
            <w:pPr>
              <w:pStyle w:val="TableParagraph"/>
              <w:spacing w:line="226" w:lineRule="exact"/>
              <w:ind w:left="86"/>
              <w:jc w:val="both"/>
              <w:rPr>
                <w:rFonts w:ascii="Arial" w:hAnsi="Arial" w:cs="Arial"/>
                <w:w w:val="99"/>
              </w:rPr>
            </w:pPr>
            <w:r w:rsidRPr="00276D5E">
              <w:rPr>
                <w:rFonts w:ascii="Arial" w:hAnsi="Arial" w:cs="Arial"/>
                <w:w w:val="99"/>
              </w:rPr>
              <w:t>c</w:t>
            </w:r>
          </w:p>
        </w:tc>
        <w:tc>
          <w:tcPr>
            <w:tcW w:w="8122" w:type="dxa"/>
          </w:tcPr>
          <w:p w14:paraId="0F945CFD" w14:textId="77777777" w:rsidR="00FF5E02" w:rsidRPr="00276D5E" w:rsidRDefault="00FF5E02" w:rsidP="00FF5E02">
            <w:pPr>
              <w:pStyle w:val="TableParagraph"/>
              <w:spacing w:line="226" w:lineRule="exact"/>
              <w:jc w:val="both"/>
              <w:rPr>
                <w:rFonts w:ascii="Arial" w:hAnsi="Arial" w:cs="Arial"/>
              </w:rPr>
            </w:pPr>
            <w:r w:rsidRPr="00276D5E">
              <w:rPr>
                <w:rFonts w:ascii="Arial" w:hAnsi="Arial" w:cs="Arial"/>
              </w:rPr>
              <w:t>Turns</w:t>
            </w:r>
          </w:p>
        </w:tc>
      </w:tr>
      <w:tr w:rsidR="00FF5E02" w:rsidRPr="00276D5E" w14:paraId="363FD383" w14:textId="77777777" w:rsidTr="004F6505">
        <w:trPr>
          <w:trHeight w:val="203"/>
        </w:trPr>
        <w:tc>
          <w:tcPr>
            <w:tcW w:w="603" w:type="dxa"/>
            <w:gridSpan w:val="2"/>
          </w:tcPr>
          <w:p w14:paraId="657D206C" w14:textId="77777777" w:rsidR="00FF5E02" w:rsidRPr="00FF5E02" w:rsidRDefault="00FF5E02" w:rsidP="00FF5E02">
            <w:pPr>
              <w:pStyle w:val="TableParagraph"/>
              <w:spacing w:line="226" w:lineRule="exact"/>
              <w:ind w:left="86"/>
              <w:jc w:val="both"/>
              <w:rPr>
                <w:rFonts w:ascii="Arial" w:hAnsi="Arial" w:cs="Arial"/>
                <w:w w:val="99"/>
              </w:rPr>
            </w:pPr>
            <w:r w:rsidRPr="00276D5E">
              <w:rPr>
                <w:rFonts w:ascii="Arial" w:hAnsi="Arial" w:cs="Arial"/>
                <w:w w:val="99"/>
              </w:rPr>
              <w:t>d</w:t>
            </w:r>
          </w:p>
        </w:tc>
        <w:tc>
          <w:tcPr>
            <w:tcW w:w="8122" w:type="dxa"/>
          </w:tcPr>
          <w:p w14:paraId="0C51B956" w14:textId="77777777" w:rsidR="00FF5E02" w:rsidRPr="00276D5E" w:rsidRDefault="00FF5E02" w:rsidP="00FF5E02">
            <w:pPr>
              <w:pStyle w:val="TableParagraph"/>
              <w:spacing w:line="226" w:lineRule="exact"/>
              <w:jc w:val="both"/>
              <w:rPr>
                <w:rFonts w:ascii="Arial" w:hAnsi="Arial" w:cs="Arial"/>
              </w:rPr>
            </w:pPr>
            <w:r w:rsidRPr="00276D5E">
              <w:rPr>
                <w:rFonts w:ascii="Arial" w:hAnsi="Arial" w:cs="Arial"/>
              </w:rPr>
              <w:t>Stationary</w:t>
            </w:r>
            <w:r w:rsidRPr="00FF5E02">
              <w:rPr>
                <w:rFonts w:ascii="Arial" w:hAnsi="Arial" w:cs="Arial"/>
              </w:rPr>
              <w:t xml:space="preserve"> </w:t>
            </w:r>
            <w:r w:rsidRPr="00276D5E">
              <w:rPr>
                <w:rFonts w:ascii="Arial" w:hAnsi="Arial" w:cs="Arial"/>
              </w:rPr>
              <w:t>flight</w:t>
            </w:r>
          </w:p>
        </w:tc>
      </w:tr>
      <w:tr w:rsidR="00FF5E02" w:rsidRPr="00276D5E" w14:paraId="1C3C8B49" w14:textId="77777777" w:rsidTr="004F6505">
        <w:trPr>
          <w:trHeight w:val="203"/>
        </w:trPr>
        <w:tc>
          <w:tcPr>
            <w:tcW w:w="603" w:type="dxa"/>
            <w:gridSpan w:val="2"/>
          </w:tcPr>
          <w:p w14:paraId="49A21611" w14:textId="77777777" w:rsidR="00FF5E02" w:rsidRPr="00FF5E02" w:rsidRDefault="00FF5E02" w:rsidP="00FF5E02">
            <w:pPr>
              <w:pStyle w:val="TableParagraph"/>
              <w:spacing w:line="226" w:lineRule="exact"/>
              <w:ind w:left="86"/>
              <w:jc w:val="both"/>
              <w:rPr>
                <w:rFonts w:ascii="Arial" w:hAnsi="Arial" w:cs="Arial"/>
                <w:w w:val="99"/>
              </w:rPr>
            </w:pPr>
            <w:r w:rsidRPr="00276D5E">
              <w:rPr>
                <w:rFonts w:ascii="Arial" w:hAnsi="Arial" w:cs="Arial"/>
                <w:w w:val="99"/>
              </w:rPr>
              <w:t>e</w:t>
            </w:r>
          </w:p>
        </w:tc>
        <w:tc>
          <w:tcPr>
            <w:tcW w:w="8122" w:type="dxa"/>
          </w:tcPr>
          <w:p w14:paraId="6A355CF8" w14:textId="77777777" w:rsidR="00FF5E02" w:rsidRPr="00276D5E" w:rsidRDefault="00FF5E02" w:rsidP="00FF5E02">
            <w:pPr>
              <w:pStyle w:val="TableParagraph"/>
              <w:spacing w:line="226" w:lineRule="exact"/>
              <w:jc w:val="both"/>
              <w:rPr>
                <w:rFonts w:ascii="Arial" w:hAnsi="Arial" w:cs="Arial"/>
              </w:rPr>
            </w:pPr>
            <w:r w:rsidRPr="00276D5E">
              <w:rPr>
                <w:rFonts w:ascii="Arial" w:hAnsi="Arial" w:cs="Arial"/>
              </w:rPr>
              <w:t>Descent</w:t>
            </w:r>
            <w:r w:rsidRPr="00FF5E02">
              <w:rPr>
                <w:rFonts w:ascii="Arial" w:hAnsi="Arial" w:cs="Arial"/>
              </w:rPr>
              <w:t xml:space="preserve"> </w:t>
            </w:r>
            <w:r w:rsidRPr="00276D5E">
              <w:rPr>
                <w:rFonts w:ascii="Arial" w:hAnsi="Arial" w:cs="Arial"/>
              </w:rPr>
              <w:t>to</w:t>
            </w:r>
            <w:r w:rsidRPr="00FF5E02">
              <w:rPr>
                <w:rFonts w:ascii="Arial" w:hAnsi="Arial" w:cs="Arial"/>
              </w:rPr>
              <w:t xml:space="preserve"> </w:t>
            </w:r>
            <w:r w:rsidRPr="00276D5E">
              <w:rPr>
                <w:rFonts w:ascii="Arial" w:hAnsi="Arial" w:cs="Arial"/>
              </w:rPr>
              <w:t>level</w:t>
            </w:r>
            <w:r w:rsidRPr="00FF5E02">
              <w:rPr>
                <w:rFonts w:ascii="Arial" w:hAnsi="Arial" w:cs="Arial"/>
              </w:rPr>
              <w:t xml:space="preserve"> </w:t>
            </w:r>
            <w:r w:rsidRPr="00276D5E">
              <w:rPr>
                <w:rFonts w:ascii="Arial" w:hAnsi="Arial" w:cs="Arial"/>
              </w:rPr>
              <w:t>flight</w:t>
            </w:r>
          </w:p>
        </w:tc>
      </w:tr>
      <w:tr w:rsidR="00FF5E02" w:rsidRPr="00276D5E" w14:paraId="44997D47" w14:textId="77777777" w:rsidTr="004F6505">
        <w:trPr>
          <w:trHeight w:val="203"/>
        </w:trPr>
        <w:tc>
          <w:tcPr>
            <w:tcW w:w="603" w:type="dxa"/>
            <w:gridSpan w:val="2"/>
          </w:tcPr>
          <w:p w14:paraId="59B8264A" w14:textId="77777777" w:rsidR="00FF5E02" w:rsidRPr="00FF5E02" w:rsidRDefault="00FF5E02" w:rsidP="00FF5E02">
            <w:pPr>
              <w:pStyle w:val="TableParagraph"/>
              <w:spacing w:line="226" w:lineRule="exact"/>
              <w:ind w:left="86"/>
              <w:jc w:val="both"/>
              <w:rPr>
                <w:rFonts w:ascii="Arial" w:hAnsi="Arial" w:cs="Arial"/>
                <w:w w:val="99"/>
              </w:rPr>
            </w:pPr>
            <w:r w:rsidRPr="00276D5E">
              <w:rPr>
                <w:rFonts w:ascii="Arial" w:hAnsi="Arial" w:cs="Arial"/>
                <w:w w:val="99"/>
              </w:rPr>
              <w:t>f</w:t>
            </w:r>
          </w:p>
        </w:tc>
        <w:tc>
          <w:tcPr>
            <w:tcW w:w="8122" w:type="dxa"/>
          </w:tcPr>
          <w:p w14:paraId="08A1DC9F" w14:textId="77777777" w:rsidR="00FF5E02" w:rsidRPr="00276D5E" w:rsidRDefault="00FF5E02" w:rsidP="00FF5E02">
            <w:pPr>
              <w:pStyle w:val="TableParagraph"/>
              <w:spacing w:line="226" w:lineRule="exact"/>
              <w:jc w:val="both"/>
              <w:rPr>
                <w:rFonts w:ascii="Arial" w:hAnsi="Arial" w:cs="Arial"/>
              </w:rPr>
            </w:pPr>
            <w:r w:rsidRPr="00276D5E">
              <w:rPr>
                <w:rFonts w:ascii="Arial" w:hAnsi="Arial" w:cs="Arial"/>
              </w:rPr>
              <w:t>Operating</w:t>
            </w:r>
            <w:r w:rsidRPr="00FF5E02">
              <w:rPr>
                <w:rFonts w:ascii="Arial" w:hAnsi="Arial" w:cs="Arial"/>
              </w:rPr>
              <w:t xml:space="preserve"> </w:t>
            </w:r>
            <w:r w:rsidRPr="00276D5E">
              <w:rPr>
                <w:rFonts w:ascii="Arial" w:hAnsi="Arial" w:cs="Arial"/>
              </w:rPr>
              <w:t>at</w:t>
            </w:r>
            <w:r w:rsidRPr="00FF5E02">
              <w:rPr>
                <w:rFonts w:ascii="Arial" w:hAnsi="Arial" w:cs="Arial"/>
              </w:rPr>
              <w:t xml:space="preserve"> </w:t>
            </w:r>
            <w:r w:rsidRPr="00276D5E">
              <w:rPr>
                <w:rFonts w:ascii="Arial" w:hAnsi="Arial" w:cs="Arial"/>
              </w:rPr>
              <w:t>low</w:t>
            </w:r>
            <w:r w:rsidRPr="00FF5E02">
              <w:rPr>
                <w:rFonts w:ascii="Arial" w:hAnsi="Arial" w:cs="Arial"/>
              </w:rPr>
              <w:t xml:space="preserve"> </w:t>
            </w:r>
            <w:r w:rsidRPr="00276D5E">
              <w:rPr>
                <w:rFonts w:ascii="Arial" w:hAnsi="Arial" w:cs="Arial"/>
              </w:rPr>
              <w:t>level</w:t>
            </w:r>
          </w:p>
        </w:tc>
      </w:tr>
      <w:tr w:rsidR="00FF5E02" w:rsidRPr="00276D5E" w14:paraId="206D1EF7" w14:textId="77777777" w:rsidTr="004F6505">
        <w:trPr>
          <w:trHeight w:val="203"/>
        </w:trPr>
        <w:tc>
          <w:tcPr>
            <w:tcW w:w="603" w:type="dxa"/>
            <w:gridSpan w:val="2"/>
          </w:tcPr>
          <w:p w14:paraId="4F67EB80" w14:textId="77777777" w:rsidR="00FF5E02" w:rsidRPr="00FF5E02" w:rsidRDefault="00FF5E02" w:rsidP="00FF5E02">
            <w:pPr>
              <w:pStyle w:val="TableParagraph"/>
              <w:spacing w:line="226" w:lineRule="exact"/>
              <w:ind w:left="86"/>
              <w:jc w:val="both"/>
              <w:rPr>
                <w:rFonts w:ascii="Arial" w:hAnsi="Arial" w:cs="Arial"/>
                <w:w w:val="99"/>
              </w:rPr>
            </w:pPr>
            <w:r w:rsidRPr="00276D5E">
              <w:rPr>
                <w:rFonts w:ascii="Arial" w:hAnsi="Arial" w:cs="Arial"/>
                <w:w w:val="99"/>
              </w:rPr>
              <w:t>g</w:t>
            </w:r>
          </w:p>
        </w:tc>
        <w:tc>
          <w:tcPr>
            <w:tcW w:w="8122" w:type="dxa"/>
          </w:tcPr>
          <w:p w14:paraId="60C27E1E" w14:textId="77777777" w:rsidR="00FF5E02" w:rsidRPr="00276D5E" w:rsidRDefault="00FF5E02" w:rsidP="00FF5E02">
            <w:pPr>
              <w:pStyle w:val="TableParagraph"/>
              <w:spacing w:line="226" w:lineRule="exact"/>
              <w:jc w:val="both"/>
              <w:rPr>
                <w:rFonts w:ascii="Arial" w:hAnsi="Arial" w:cs="Arial"/>
              </w:rPr>
            </w:pPr>
            <w:r w:rsidRPr="00276D5E">
              <w:rPr>
                <w:rFonts w:ascii="Arial" w:hAnsi="Arial" w:cs="Arial"/>
              </w:rPr>
              <w:t>ATC</w:t>
            </w:r>
            <w:r w:rsidRPr="00FF5E02">
              <w:rPr>
                <w:rFonts w:ascii="Arial" w:hAnsi="Arial" w:cs="Arial"/>
              </w:rPr>
              <w:t xml:space="preserve"> </w:t>
            </w:r>
            <w:r w:rsidRPr="00276D5E">
              <w:rPr>
                <w:rFonts w:ascii="Arial" w:hAnsi="Arial" w:cs="Arial"/>
              </w:rPr>
              <w:t>compliance</w:t>
            </w:r>
            <w:r w:rsidRPr="00FF5E02">
              <w:rPr>
                <w:rFonts w:ascii="Arial" w:hAnsi="Arial" w:cs="Arial"/>
              </w:rPr>
              <w:t xml:space="preserve"> </w:t>
            </w:r>
            <w:r w:rsidRPr="00276D5E">
              <w:rPr>
                <w:rFonts w:ascii="Arial" w:hAnsi="Arial" w:cs="Arial"/>
              </w:rPr>
              <w:t>(if</w:t>
            </w:r>
            <w:r w:rsidRPr="00FF5E02">
              <w:rPr>
                <w:rFonts w:ascii="Arial" w:hAnsi="Arial" w:cs="Arial"/>
              </w:rPr>
              <w:t xml:space="preserve"> </w:t>
            </w:r>
            <w:r w:rsidRPr="00276D5E">
              <w:rPr>
                <w:rFonts w:ascii="Arial" w:hAnsi="Arial" w:cs="Arial"/>
              </w:rPr>
              <w:t>applicable)</w:t>
            </w:r>
          </w:p>
        </w:tc>
      </w:tr>
      <w:tr w:rsidR="00FF5E02" w:rsidRPr="00276D5E" w14:paraId="460975F1" w14:textId="77777777" w:rsidTr="004F6505">
        <w:trPr>
          <w:trHeight w:val="202"/>
        </w:trPr>
        <w:tc>
          <w:tcPr>
            <w:tcW w:w="8725" w:type="dxa"/>
            <w:gridSpan w:val="3"/>
            <w:shd w:val="clear" w:color="auto" w:fill="F2F2F2" w:themeFill="background1" w:themeFillShade="F2"/>
          </w:tcPr>
          <w:p w14:paraId="1549A9F2" w14:textId="77777777" w:rsidR="00FF5E02" w:rsidRPr="00276D5E" w:rsidRDefault="00FF5E02" w:rsidP="00FF5E02">
            <w:pPr>
              <w:pStyle w:val="TableParagraph"/>
              <w:spacing w:line="225" w:lineRule="exact"/>
              <w:ind w:left="86"/>
              <w:jc w:val="both"/>
              <w:rPr>
                <w:rFonts w:ascii="Arial" w:hAnsi="Arial" w:cs="Arial"/>
                <w:b/>
              </w:rPr>
            </w:pPr>
            <w:r w:rsidRPr="00276D5E">
              <w:rPr>
                <w:rFonts w:ascii="Arial" w:hAnsi="Arial" w:cs="Arial"/>
                <w:b/>
              </w:rPr>
              <w:t>SECTION</w:t>
            </w:r>
            <w:r w:rsidRPr="00276D5E">
              <w:rPr>
                <w:rFonts w:ascii="Arial" w:hAnsi="Arial" w:cs="Arial"/>
                <w:b/>
                <w:spacing w:val="-4"/>
              </w:rPr>
              <w:t xml:space="preserve"> </w:t>
            </w:r>
            <w:r w:rsidRPr="00276D5E">
              <w:rPr>
                <w:rFonts w:ascii="Arial" w:hAnsi="Arial" w:cs="Arial"/>
                <w:b/>
              </w:rPr>
              <w:t>3:</w:t>
            </w:r>
            <w:r w:rsidRPr="00276D5E">
              <w:rPr>
                <w:rFonts w:ascii="Arial" w:hAnsi="Arial" w:cs="Arial"/>
                <w:b/>
                <w:spacing w:val="-3"/>
              </w:rPr>
              <w:t xml:space="preserve"> </w:t>
            </w:r>
            <w:r w:rsidRPr="00276D5E">
              <w:rPr>
                <w:rFonts w:ascii="Arial" w:hAnsi="Arial" w:cs="Arial"/>
                <w:b/>
              </w:rPr>
              <w:t>EN-ROUTE</w:t>
            </w:r>
            <w:r w:rsidRPr="00276D5E">
              <w:rPr>
                <w:rFonts w:ascii="Arial" w:hAnsi="Arial" w:cs="Arial"/>
                <w:b/>
                <w:spacing w:val="-2"/>
              </w:rPr>
              <w:t xml:space="preserve"> </w:t>
            </w:r>
            <w:r w:rsidRPr="00276D5E">
              <w:rPr>
                <w:rFonts w:ascii="Arial" w:hAnsi="Arial" w:cs="Arial"/>
                <w:b/>
              </w:rPr>
              <w:t>PROCEDURES</w:t>
            </w:r>
          </w:p>
        </w:tc>
      </w:tr>
      <w:tr w:rsidR="00FF5E02" w:rsidRPr="00276D5E" w14:paraId="3F9CFED9" w14:textId="77777777" w:rsidTr="004F6505">
        <w:trPr>
          <w:trHeight w:val="200"/>
        </w:trPr>
        <w:tc>
          <w:tcPr>
            <w:tcW w:w="592" w:type="dxa"/>
          </w:tcPr>
          <w:p w14:paraId="73FE6DE6" w14:textId="77777777" w:rsidR="00FF5E02" w:rsidRPr="00276D5E" w:rsidRDefault="00FF5E02" w:rsidP="00FF5E02">
            <w:pPr>
              <w:pStyle w:val="TableParagraph"/>
              <w:spacing w:line="223" w:lineRule="exact"/>
              <w:ind w:left="86"/>
              <w:jc w:val="both"/>
              <w:rPr>
                <w:rFonts w:ascii="Arial" w:hAnsi="Arial" w:cs="Arial"/>
              </w:rPr>
            </w:pPr>
            <w:r w:rsidRPr="00276D5E">
              <w:rPr>
                <w:rFonts w:ascii="Arial" w:hAnsi="Arial" w:cs="Arial"/>
                <w:w w:val="99"/>
              </w:rPr>
              <w:t>a</w:t>
            </w:r>
          </w:p>
        </w:tc>
        <w:tc>
          <w:tcPr>
            <w:tcW w:w="8133" w:type="dxa"/>
            <w:gridSpan w:val="2"/>
          </w:tcPr>
          <w:p w14:paraId="02CAF81C" w14:textId="77777777" w:rsidR="00FF5E02" w:rsidRPr="00276D5E" w:rsidRDefault="00FF5E02" w:rsidP="00FF5E02">
            <w:pPr>
              <w:pStyle w:val="TableParagraph"/>
              <w:spacing w:line="223" w:lineRule="exact"/>
              <w:jc w:val="both"/>
              <w:rPr>
                <w:rFonts w:ascii="Arial" w:hAnsi="Arial" w:cs="Arial"/>
              </w:rPr>
            </w:pPr>
            <w:r w:rsidRPr="00276D5E">
              <w:rPr>
                <w:rFonts w:ascii="Arial" w:hAnsi="Arial" w:cs="Arial"/>
              </w:rPr>
              <w:t>Dead</w:t>
            </w:r>
            <w:r w:rsidRPr="00276D5E">
              <w:rPr>
                <w:rFonts w:ascii="Arial" w:hAnsi="Arial" w:cs="Arial"/>
                <w:spacing w:val="-2"/>
              </w:rPr>
              <w:t xml:space="preserve"> </w:t>
            </w:r>
            <w:r w:rsidRPr="00276D5E">
              <w:rPr>
                <w:rFonts w:ascii="Arial" w:hAnsi="Arial" w:cs="Arial"/>
              </w:rPr>
              <w:t>reckoning</w:t>
            </w:r>
            <w:r w:rsidRPr="00276D5E">
              <w:rPr>
                <w:rFonts w:ascii="Arial" w:hAnsi="Arial" w:cs="Arial"/>
                <w:spacing w:val="-4"/>
              </w:rPr>
              <w:t xml:space="preserve"> </w:t>
            </w:r>
            <w:r w:rsidRPr="00276D5E">
              <w:rPr>
                <w:rFonts w:ascii="Arial" w:hAnsi="Arial" w:cs="Arial"/>
              </w:rPr>
              <w:t>and</w:t>
            </w:r>
            <w:r w:rsidRPr="00276D5E">
              <w:rPr>
                <w:rFonts w:ascii="Arial" w:hAnsi="Arial" w:cs="Arial"/>
                <w:spacing w:val="-2"/>
              </w:rPr>
              <w:t xml:space="preserve"> </w:t>
            </w:r>
            <w:r w:rsidRPr="00276D5E">
              <w:rPr>
                <w:rFonts w:ascii="Arial" w:hAnsi="Arial" w:cs="Arial"/>
              </w:rPr>
              <w:t>map</w:t>
            </w:r>
            <w:r w:rsidRPr="00276D5E">
              <w:rPr>
                <w:rFonts w:ascii="Arial" w:hAnsi="Arial" w:cs="Arial"/>
                <w:spacing w:val="-2"/>
              </w:rPr>
              <w:t xml:space="preserve"> </w:t>
            </w:r>
            <w:r w:rsidRPr="00276D5E">
              <w:rPr>
                <w:rFonts w:ascii="Arial" w:hAnsi="Arial" w:cs="Arial"/>
              </w:rPr>
              <w:t>reading</w:t>
            </w:r>
          </w:p>
        </w:tc>
      </w:tr>
      <w:tr w:rsidR="00FF5E02" w:rsidRPr="00276D5E" w14:paraId="4A715B62" w14:textId="77777777" w:rsidTr="004F6505">
        <w:trPr>
          <w:trHeight w:val="202"/>
        </w:trPr>
        <w:tc>
          <w:tcPr>
            <w:tcW w:w="592" w:type="dxa"/>
          </w:tcPr>
          <w:p w14:paraId="04E998EA" w14:textId="77777777" w:rsidR="00FF5E02" w:rsidRPr="00276D5E" w:rsidRDefault="00FF5E02" w:rsidP="00FF5E02">
            <w:pPr>
              <w:pStyle w:val="TableParagraph"/>
              <w:spacing w:line="225" w:lineRule="exact"/>
              <w:ind w:left="86"/>
              <w:jc w:val="both"/>
              <w:rPr>
                <w:rFonts w:ascii="Arial" w:hAnsi="Arial" w:cs="Arial"/>
              </w:rPr>
            </w:pPr>
            <w:r w:rsidRPr="00276D5E">
              <w:rPr>
                <w:rFonts w:ascii="Arial" w:hAnsi="Arial" w:cs="Arial"/>
                <w:w w:val="99"/>
              </w:rPr>
              <w:t>b</w:t>
            </w:r>
          </w:p>
        </w:tc>
        <w:tc>
          <w:tcPr>
            <w:tcW w:w="8133" w:type="dxa"/>
            <w:gridSpan w:val="2"/>
          </w:tcPr>
          <w:p w14:paraId="109BF777" w14:textId="77777777" w:rsidR="00FF5E02" w:rsidRPr="00276D5E" w:rsidRDefault="00FF5E02" w:rsidP="00FF5E02">
            <w:pPr>
              <w:pStyle w:val="TableParagraph"/>
              <w:spacing w:line="225" w:lineRule="exact"/>
              <w:jc w:val="both"/>
              <w:rPr>
                <w:rFonts w:ascii="Arial" w:hAnsi="Arial" w:cs="Arial"/>
              </w:rPr>
            </w:pPr>
            <w:r w:rsidRPr="00276D5E">
              <w:rPr>
                <w:rFonts w:ascii="Arial" w:hAnsi="Arial" w:cs="Arial"/>
              </w:rPr>
              <w:t>Marking</w:t>
            </w:r>
            <w:r w:rsidRPr="00276D5E">
              <w:rPr>
                <w:rFonts w:ascii="Arial" w:hAnsi="Arial" w:cs="Arial"/>
                <w:spacing w:val="-4"/>
              </w:rPr>
              <w:t xml:space="preserve"> </w:t>
            </w:r>
            <w:r w:rsidRPr="00276D5E">
              <w:rPr>
                <w:rFonts w:ascii="Arial" w:hAnsi="Arial" w:cs="Arial"/>
              </w:rPr>
              <w:t>positions</w:t>
            </w:r>
            <w:r w:rsidRPr="00276D5E">
              <w:rPr>
                <w:rFonts w:ascii="Arial" w:hAnsi="Arial" w:cs="Arial"/>
                <w:spacing w:val="-4"/>
              </w:rPr>
              <w:t xml:space="preserve"> </w:t>
            </w:r>
            <w:r w:rsidRPr="00276D5E">
              <w:rPr>
                <w:rFonts w:ascii="Arial" w:hAnsi="Arial" w:cs="Arial"/>
              </w:rPr>
              <w:t>and</w:t>
            </w:r>
            <w:r w:rsidRPr="00276D5E">
              <w:rPr>
                <w:rFonts w:ascii="Arial" w:hAnsi="Arial" w:cs="Arial"/>
                <w:spacing w:val="-2"/>
              </w:rPr>
              <w:t xml:space="preserve"> </w:t>
            </w:r>
            <w:r w:rsidRPr="00276D5E">
              <w:rPr>
                <w:rFonts w:ascii="Arial" w:hAnsi="Arial" w:cs="Arial"/>
              </w:rPr>
              <w:t>time</w:t>
            </w:r>
          </w:p>
        </w:tc>
      </w:tr>
      <w:tr w:rsidR="00FF5E02" w:rsidRPr="00276D5E" w14:paraId="23AAF649" w14:textId="77777777" w:rsidTr="004F6505">
        <w:trPr>
          <w:trHeight w:val="199"/>
        </w:trPr>
        <w:tc>
          <w:tcPr>
            <w:tcW w:w="592" w:type="dxa"/>
          </w:tcPr>
          <w:p w14:paraId="79CB9F8E" w14:textId="77777777" w:rsidR="00FF5E02" w:rsidRPr="00276D5E" w:rsidRDefault="00FF5E02" w:rsidP="00FF5E02">
            <w:pPr>
              <w:pStyle w:val="TableParagraph"/>
              <w:spacing w:line="223" w:lineRule="exact"/>
              <w:ind w:left="86"/>
              <w:jc w:val="both"/>
              <w:rPr>
                <w:rFonts w:ascii="Arial" w:hAnsi="Arial" w:cs="Arial"/>
              </w:rPr>
            </w:pPr>
            <w:r w:rsidRPr="00276D5E">
              <w:rPr>
                <w:rFonts w:ascii="Arial" w:hAnsi="Arial" w:cs="Arial"/>
                <w:w w:val="99"/>
              </w:rPr>
              <w:t>c</w:t>
            </w:r>
          </w:p>
        </w:tc>
        <w:tc>
          <w:tcPr>
            <w:tcW w:w="8133" w:type="dxa"/>
            <w:gridSpan w:val="2"/>
          </w:tcPr>
          <w:p w14:paraId="13B50C71" w14:textId="77777777" w:rsidR="00FF5E02" w:rsidRPr="00276D5E" w:rsidRDefault="00FF5E02" w:rsidP="00FF5E02">
            <w:pPr>
              <w:pStyle w:val="TableParagraph"/>
              <w:spacing w:line="223" w:lineRule="exact"/>
              <w:jc w:val="both"/>
              <w:rPr>
                <w:rFonts w:ascii="Arial" w:hAnsi="Arial" w:cs="Arial"/>
              </w:rPr>
            </w:pPr>
            <w:r w:rsidRPr="00276D5E">
              <w:rPr>
                <w:rFonts w:ascii="Arial" w:hAnsi="Arial" w:cs="Arial"/>
              </w:rPr>
              <w:t>Orientation</w:t>
            </w:r>
            <w:r w:rsidRPr="00276D5E">
              <w:rPr>
                <w:rFonts w:ascii="Arial" w:hAnsi="Arial" w:cs="Arial"/>
                <w:spacing w:val="-3"/>
              </w:rPr>
              <w:t xml:space="preserve"> </w:t>
            </w:r>
            <w:r w:rsidRPr="00276D5E">
              <w:rPr>
                <w:rFonts w:ascii="Arial" w:hAnsi="Arial" w:cs="Arial"/>
              </w:rPr>
              <w:t>and</w:t>
            </w:r>
            <w:r w:rsidRPr="00276D5E">
              <w:rPr>
                <w:rFonts w:ascii="Arial" w:hAnsi="Arial" w:cs="Arial"/>
                <w:spacing w:val="-3"/>
              </w:rPr>
              <w:t xml:space="preserve"> </w:t>
            </w:r>
            <w:r w:rsidRPr="00276D5E">
              <w:rPr>
                <w:rFonts w:ascii="Arial" w:hAnsi="Arial" w:cs="Arial"/>
              </w:rPr>
              <w:t>airspace</w:t>
            </w:r>
            <w:r w:rsidRPr="00276D5E">
              <w:rPr>
                <w:rFonts w:ascii="Arial" w:hAnsi="Arial" w:cs="Arial"/>
                <w:spacing w:val="-4"/>
              </w:rPr>
              <w:t xml:space="preserve"> </w:t>
            </w:r>
            <w:r w:rsidRPr="00276D5E">
              <w:rPr>
                <w:rFonts w:ascii="Arial" w:hAnsi="Arial" w:cs="Arial"/>
              </w:rPr>
              <w:t>structure</w:t>
            </w:r>
          </w:p>
        </w:tc>
      </w:tr>
      <w:tr w:rsidR="00FF5E02" w:rsidRPr="00276D5E" w14:paraId="51D83602" w14:textId="77777777" w:rsidTr="004F6505">
        <w:trPr>
          <w:trHeight w:val="199"/>
        </w:trPr>
        <w:tc>
          <w:tcPr>
            <w:tcW w:w="592" w:type="dxa"/>
          </w:tcPr>
          <w:p w14:paraId="70B720F0" w14:textId="77777777" w:rsidR="00FF5E02" w:rsidRPr="00276D5E" w:rsidRDefault="00FF5E02" w:rsidP="00FF5E02">
            <w:pPr>
              <w:pStyle w:val="TableParagraph"/>
              <w:spacing w:line="222" w:lineRule="exact"/>
              <w:ind w:left="86"/>
              <w:jc w:val="both"/>
              <w:rPr>
                <w:rFonts w:ascii="Arial" w:hAnsi="Arial" w:cs="Arial"/>
              </w:rPr>
            </w:pPr>
            <w:r w:rsidRPr="00276D5E">
              <w:rPr>
                <w:rFonts w:ascii="Arial" w:hAnsi="Arial" w:cs="Arial"/>
                <w:w w:val="99"/>
              </w:rPr>
              <w:t>d</w:t>
            </w:r>
          </w:p>
        </w:tc>
        <w:tc>
          <w:tcPr>
            <w:tcW w:w="8133" w:type="dxa"/>
            <w:gridSpan w:val="2"/>
          </w:tcPr>
          <w:p w14:paraId="3C778FE6" w14:textId="77777777" w:rsidR="00FF5E02" w:rsidRPr="00276D5E" w:rsidRDefault="00FF5E02" w:rsidP="00FF5E02">
            <w:pPr>
              <w:pStyle w:val="TableParagraph"/>
              <w:spacing w:line="222" w:lineRule="exact"/>
              <w:jc w:val="both"/>
              <w:rPr>
                <w:rFonts w:ascii="Arial" w:hAnsi="Arial" w:cs="Arial"/>
              </w:rPr>
            </w:pPr>
            <w:r w:rsidRPr="00276D5E">
              <w:rPr>
                <w:rFonts w:ascii="Arial" w:hAnsi="Arial" w:cs="Arial"/>
              </w:rPr>
              <w:t>Plotting</w:t>
            </w:r>
            <w:r w:rsidRPr="00276D5E">
              <w:rPr>
                <w:rFonts w:ascii="Arial" w:hAnsi="Arial" w:cs="Arial"/>
                <w:spacing w:val="-4"/>
              </w:rPr>
              <w:t xml:space="preserve"> </w:t>
            </w:r>
            <w:r w:rsidRPr="00276D5E">
              <w:rPr>
                <w:rFonts w:ascii="Arial" w:hAnsi="Arial" w:cs="Arial"/>
              </w:rPr>
              <w:t>and</w:t>
            </w:r>
            <w:r w:rsidRPr="00276D5E">
              <w:rPr>
                <w:rFonts w:ascii="Arial" w:hAnsi="Arial" w:cs="Arial"/>
                <w:spacing w:val="-2"/>
              </w:rPr>
              <w:t xml:space="preserve"> </w:t>
            </w:r>
            <w:r w:rsidRPr="00276D5E">
              <w:rPr>
                <w:rFonts w:ascii="Arial" w:hAnsi="Arial" w:cs="Arial"/>
              </w:rPr>
              <w:t>steering</w:t>
            </w:r>
            <w:r w:rsidRPr="00276D5E">
              <w:rPr>
                <w:rFonts w:ascii="Arial" w:hAnsi="Arial" w:cs="Arial"/>
                <w:spacing w:val="-3"/>
              </w:rPr>
              <w:t xml:space="preserve"> </w:t>
            </w:r>
            <w:r w:rsidRPr="00276D5E">
              <w:rPr>
                <w:rFonts w:ascii="Arial" w:hAnsi="Arial" w:cs="Arial"/>
              </w:rPr>
              <w:t>expected</w:t>
            </w:r>
            <w:r w:rsidRPr="00276D5E">
              <w:rPr>
                <w:rFonts w:ascii="Arial" w:hAnsi="Arial" w:cs="Arial"/>
                <w:spacing w:val="-2"/>
              </w:rPr>
              <w:t xml:space="preserve"> </w:t>
            </w:r>
            <w:r w:rsidRPr="00276D5E">
              <w:rPr>
                <w:rFonts w:ascii="Arial" w:hAnsi="Arial" w:cs="Arial"/>
              </w:rPr>
              <w:t>track</w:t>
            </w:r>
          </w:p>
        </w:tc>
      </w:tr>
      <w:tr w:rsidR="00FF5E02" w:rsidRPr="00276D5E" w14:paraId="06D852B8" w14:textId="77777777" w:rsidTr="004F6505">
        <w:trPr>
          <w:trHeight w:val="202"/>
        </w:trPr>
        <w:tc>
          <w:tcPr>
            <w:tcW w:w="592" w:type="dxa"/>
          </w:tcPr>
          <w:p w14:paraId="6E9CC131" w14:textId="77777777" w:rsidR="00FF5E02" w:rsidRPr="00276D5E" w:rsidRDefault="00FF5E02" w:rsidP="00FF5E02">
            <w:pPr>
              <w:pStyle w:val="TableParagraph"/>
              <w:spacing w:line="225" w:lineRule="exact"/>
              <w:ind w:left="86"/>
              <w:jc w:val="both"/>
              <w:rPr>
                <w:rFonts w:ascii="Arial" w:hAnsi="Arial" w:cs="Arial"/>
              </w:rPr>
            </w:pPr>
            <w:r w:rsidRPr="00276D5E">
              <w:rPr>
                <w:rFonts w:ascii="Arial" w:hAnsi="Arial" w:cs="Arial"/>
                <w:w w:val="99"/>
              </w:rPr>
              <w:t>e</w:t>
            </w:r>
          </w:p>
        </w:tc>
        <w:tc>
          <w:tcPr>
            <w:tcW w:w="8133" w:type="dxa"/>
            <w:gridSpan w:val="2"/>
          </w:tcPr>
          <w:p w14:paraId="0EAC662C" w14:textId="77777777" w:rsidR="00FF5E02" w:rsidRPr="00276D5E" w:rsidRDefault="00FF5E02" w:rsidP="00FF5E02">
            <w:pPr>
              <w:pStyle w:val="TableParagraph"/>
              <w:spacing w:line="225" w:lineRule="exact"/>
              <w:jc w:val="both"/>
              <w:rPr>
                <w:rFonts w:ascii="Arial" w:hAnsi="Arial" w:cs="Arial"/>
              </w:rPr>
            </w:pPr>
            <w:r w:rsidRPr="00276D5E">
              <w:rPr>
                <w:rFonts w:ascii="Arial" w:hAnsi="Arial" w:cs="Arial"/>
              </w:rPr>
              <w:t>Maintenance</w:t>
            </w:r>
            <w:r w:rsidRPr="00276D5E">
              <w:rPr>
                <w:rFonts w:ascii="Arial" w:hAnsi="Arial" w:cs="Arial"/>
                <w:spacing w:val="-4"/>
              </w:rPr>
              <w:t xml:space="preserve"> </w:t>
            </w:r>
            <w:r w:rsidRPr="00276D5E">
              <w:rPr>
                <w:rFonts w:ascii="Arial" w:hAnsi="Arial" w:cs="Arial"/>
              </w:rPr>
              <w:t>of</w:t>
            </w:r>
            <w:r w:rsidRPr="00276D5E">
              <w:rPr>
                <w:rFonts w:ascii="Arial" w:hAnsi="Arial" w:cs="Arial"/>
                <w:spacing w:val="-3"/>
              </w:rPr>
              <w:t xml:space="preserve"> </w:t>
            </w:r>
            <w:r w:rsidRPr="00276D5E">
              <w:rPr>
                <w:rFonts w:ascii="Arial" w:hAnsi="Arial" w:cs="Arial"/>
              </w:rPr>
              <w:t>altitude</w:t>
            </w:r>
          </w:p>
        </w:tc>
      </w:tr>
      <w:tr w:rsidR="00FF5E02" w:rsidRPr="00276D5E" w14:paraId="19B8F8A9" w14:textId="77777777" w:rsidTr="004F6505">
        <w:trPr>
          <w:trHeight w:val="200"/>
        </w:trPr>
        <w:tc>
          <w:tcPr>
            <w:tcW w:w="592" w:type="dxa"/>
          </w:tcPr>
          <w:p w14:paraId="33EA212E" w14:textId="77777777" w:rsidR="00FF5E02" w:rsidRPr="00276D5E" w:rsidRDefault="00FF5E02" w:rsidP="00FF5E02">
            <w:pPr>
              <w:pStyle w:val="TableParagraph"/>
              <w:spacing w:before="1" w:line="222" w:lineRule="exact"/>
              <w:ind w:left="86"/>
              <w:jc w:val="both"/>
              <w:rPr>
                <w:rFonts w:ascii="Arial" w:hAnsi="Arial" w:cs="Arial"/>
              </w:rPr>
            </w:pPr>
            <w:r w:rsidRPr="00276D5E">
              <w:rPr>
                <w:rFonts w:ascii="Arial" w:hAnsi="Arial" w:cs="Arial"/>
                <w:w w:val="99"/>
              </w:rPr>
              <w:t>f</w:t>
            </w:r>
          </w:p>
        </w:tc>
        <w:tc>
          <w:tcPr>
            <w:tcW w:w="8133" w:type="dxa"/>
            <w:gridSpan w:val="2"/>
          </w:tcPr>
          <w:p w14:paraId="3807AE5D" w14:textId="77777777" w:rsidR="00FF5E02" w:rsidRPr="00276D5E" w:rsidRDefault="00FF5E02" w:rsidP="00FF5E02">
            <w:pPr>
              <w:pStyle w:val="TableParagraph"/>
              <w:spacing w:before="1" w:line="222" w:lineRule="exact"/>
              <w:jc w:val="both"/>
              <w:rPr>
                <w:rFonts w:ascii="Arial" w:hAnsi="Arial" w:cs="Arial"/>
              </w:rPr>
            </w:pPr>
            <w:r w:rsidRPr="00276D5E">
              <w:rPr>
                <w:rFonts w:ascii="Arial" w:hAnsi="Arial" w:cs="Arial"/>
              </w:rPr>
              <w:t>Fuel</w:t>
            </w:r>
            <w:r w:rsidRPr="00276D5E">
              <w:rPr>
                <w:rFonts w:ascii="Arial" w:hAnsi="Arial" w:cs="Arial"/>
                <w:spacing w:val="-4"/>
              </w:rPr>
              <w:t xml:space="preserve"> </w:t>
            </w:r>
            <w:r w:rsidRPr="00276D5E">
              <w:rPr>
                <w:rFonts w:ascii="Arial" w:hAnsi="Arial" w:cs="Arial"/>
              </w:rPr>
              <w:t>management</w:t>
            </w:r>
          </w:p>
        </w:tc>
      </w:tr>
      <w:tr w:rsidR="00FF5E02" w:rsidRPr="00276D5E" w14:paraId="5CA616DE" w14:textId="77777777" w:rsidTr="004F6505">
        <w:trPr>
          <w:trHeight w:val="202"/>
        </w:trPr>
        <w:tc>
          <w:tcPr>
            <w:tcW w:w="592" w:type="dxa"/>
          </w:tcPr>
          <w:p w14:paraId="68281AD2" w14:textId="77777777" w:rsidR="00FF5E02" w:rsidRPr="00276D5E" w:rsidRDefault="00FF5E02" w:rsidP="00FF5E02">
            <w:pPr>
              <w:pStyle w:val="TableParagraph"/>
              <w:spacing w:line="225" w:lineRule="exact"/>
              <w:ind w:left="86"/>
              <w:jc w:val="both"/>
              <w:rPr>
                <w:rFonts w:ascii="Arial" w:hAnsi="Arial" w:cs="Arial"/>
              </w:rPr>
            </w:pPr>
            <w:r w:rsidRPr="00276D5E">
              <w:rPr>
                <w:rFonts w:ascii="Arial" w:hAnsi="Arial" w:cs="Arial"/>
                <w:w w:val="99"/>
              </w:rPr>
              <w:t>g</w:t>
            </w:r>
          </w:p>
        </w:tc>
        <w:tc>
          <w:tcPr>
            <w:tcW w:w="8133" w:type="dxa"/>
            <w:gridSpan w:val="2"/>
          </w:tcPr>
          <w:p w14:paraId="6599E9AA" w14:textId="77777777" w:rsidR="00FF5E02" w:rsidRPr="00276D5E" w:rsidRDefault="00FF5E02" w:rsidP="00FF5E02">
            <w:pPr>
              <w:pStyle w:val="TableParagraph"/>
              <w:spacing w:line="225" w:lineRule="exact"/>
              <w:jc w:val="both"/>
              <w:rPr>
                <w:rFonts w:ascii="Arial" w:hAnsi="Arial" w:cs="Arial"/>
              </w:rPr>
            </w:pPr>
            <w:r w:rsidRPr="00276D5E">
              <w:rPr>
                <w:rFonts w:ascii="Arial" w:hAnsi="Arial" w:cs="Arial"/>
              </w:rPr>
              <w:t>Pressure</w:t>
            </w:r>
            <w:r w:rsidRPr="00276D5E">
              <w:rPr>
                <w:rFonts w:ascii="Arial" w:hAnsi="Arial" w:cs="Arial"/>
                <w:spacing w:val="-3"/>
              </w:rPr>
              <w:t xml:space="preserve"> </w:t>
            </w:r>
            <w:r w:rsidRPr="00276D5E">
              <w:rPr>
                <w:rFonts w:ascii="Arial" w:hAnsi="Arial" w:cs="Arial"/>
              </w:rPr>
              <w:t>and</w:t>
            </w:r>
            <w:r w:rsidRPr="00276D5E">
              <w:rPr>
                <w:rFonts w:ascii="Arial" w:hAnsi="Arial" w:cs="Arial"/>
                <w:spacing w:val="-2"/>
              </w:rPr>
              <w:t xml:space="preserve"> </w:t>
            </w:r>
            <w:r w:rsidRPr="00276D5E">
              <w:rPr>
                <w:rFonts w:ascii="Arial" w:hAnsi="Arial" w:cs="Arial"/>
              </w:rPr>
              <w:t>engine</w:t>
            </w:r>
            <w:r w:rsidRPr="00276D5E">
              <w:rPr>
                <w:rFonts w:ascii="Arial" w:hAnsi="Arial" w:cs="Arial"/>
                <w:spacing w:val="-2"/>
              </w:rPr>
              <w:t xml:space="preserve"> </w:t>
            </w:r>
            <w:r w:rsidRPr="00276D5E">
              <w:rPr>
                <w:rFonts w:ascii="Arial" w:hAnsi="Arial" w:cs="Arial"/>
              </w:rPr>
              <w:t>parameter</w:t>
            </w:r>
            <w:r w:rsidRPr="00276D5E">
              <w:rPr>
                <w:rFonts w:ascii="Arial" w:hAnsi="Arial" w:cs="Arial"/>
                <w:spacing w:val="-2"/>
              </w:rPr>
              <w:t xml:space="preserve"> </w:t>
            </w:r>
            <w:r w:rsidRPr="00276D5E">
              <w:rPr>
                <w:rFonts w:ascii="Arial" w:hAnsi="Arial" w:cs="Arial"/>
              </w:rPr>
              <w:t>checks</w:t>
            </w:r>
          </w:p>
        </w:tc>
      </w:tr>
      <w:tr w:rsidR="00FF5E02" w:rsidRPr="00276D5E" w14:paraId="162C3095" w14:textId="77777777" w:rsidTr="004F6505">
        <w:trPr>
          <w:trHeight w:val="199"/>
        </w:trPr>
        <w:tc>
          <w:tcPr>
            <w:tcW w:w="592" w:type="dxa"/>
          </w:tcPr>
          <w:p w14:paraId="6AC82301" w14:textId="77777777" w:rsidR="00FF5E02" w:rsidRPr="00276D5E" w:rsidRDefault="00FF5E02" w:rsidP="00FF5E02">
            <w:pPr>
              <w:pStyle w:val="TableParagraph"/>
              <w:spacing w:line="222" w:lineRule="exact"/>
              <w:ind w:left="86"/>
              <w:jc w:val="both"/>
              <w:rPr>
                <w:rFonts w:ascii="Arial" w:hAnsi="Arial" w:cs="Arial"/>
              </w:rPr>
            </w:pPr>
            <w:r w:rsidRPr="00276D5E">
              <w:rPr>
                <w:rFonts w:ascii="Arial" w:hAnsi="Arial" w:cs="Arial"/>
                <w:w w:val="99"/>
              </w:rPr>
              <w:t>h</w:t>
            </w:r>
          </w:p>
        </w:tc>
        <w:tc>
          <w:tcPr>
            <w:tcW w:w="8133" w:type="dxa"/>
            <w:gridSpan w:val="2"/>
          </w:tcPr>
          <w:p w14:paraId="1AF3CDD5" w14:textId="77777777" w:rsidR="00FF5E02" w:rsidRPr="00276D5E" w:rsidRDefault="00FF5E02" w:rsidP="00FF5E02">
            <w:pPr>
              <w:pStyle w:val="TableParagraph"/>
              <w:spacing w:line="222" w:lineRule="exact"/>
              <w:jc w:val="both"/>
              <w:rPr>
                <w:rFonts w:ascii="Arial" w:hAnsi="Arial" w:cs="Arial"/>
              </w:rPr>
            </w:pPr>
            <w:r w:rsidRPr="00276D5E">
              <w:rPr>
                <w:rFonts w:ascii="Arial" w:hAnsi="Arial" w:cs="Arial"/>
              </w:rPr>
              <w:t>Communication</w:t>
            </w:r>
            <w:r w:rsidRPr="00276D5E">
              <w:rPr>
                <w:rFonts w:ascii="Arial" w:hAnsi="Arial" w:cs="Arial"/>
                <w:spacing w:val="-3"/>
              </w:rPr>
              <w:t xml:space="preserve"> </w:t>
            </w:r>
            <w:r w:rsidRPr="00276D5E">
              <w:rPr>
                <w:rFonts w:ascii="Arial" w:hAnsi="Arial" w:cs="Arial"/>
              </w:rPr>
              <w:t>with</w:t>
            </w:r>
            <w:r w:rsidRPr="00276D5E">
              <w:rPr>
                <w:rFonts w:ascii="Arial" w:hAnsi="Arial" w:cs="Arial"/>
                <w:spacing w:val="-3"/>
              </w:rPr>
              <w:t xml:space="preserve"> </w:t>
            </w:r>
            <w:r w:rsidRPr="00276D5E">
              <w:rPr>
                <w:rFonts w:ascii="Arial" w:hAnsi="Arial" w:cs="Arial"/>
              </w:rPr>
              <w:t>ground</w:t>
            </w:r>
            <w:r w:rsidRPr="00276D5E">
              <w:rPr>
                <w:rFonts w:ascii="Arial" w:hAnsi="Arial" w:cs="Arial"/>
                <w:spacing w:val="-3"/>
              </w:rPr>
              <w:t xml:space="preserve"> </w:t>
            </w:r>
            <w:r w:rsidRPr="00276D5E">
              <w:rPr>
                <w:rFonts w:ascii="Arial" w:hAnsi="Arial" w:cs="Arial"/>
              </w:rPr>
              <w:t>crew</w:t>
            </w:r>
          </w:p>
        </w:tc>
      </w:tr>
      <w:tr w:rsidR="00FF5E02" w:rsidRPr="00276D5E" w14:paraId="658D2DCA" w14:textId="77777777" w:rsidTr="004F6505">
        <w:trPr>
          <w:trHeight w:val="202"/>
        </w:trPr>
        <w:tc>
          <w:tcPr>
            <w:tcW w:w="592" w:type="dxa"/>
          </w:tcPr>
          <w:p w14:paraId="3850938E" w14:textId="77777777" w:rsidR="00FF5E02" w:rsidRPr="00276D5E" w:rsidRDefault="00FF5E02" w:rsidP="00FF5E02">
            <w:pPr>
              <w:pStyle w:val="TableParagraph"/>
              <w:spacing w:line="225" w:lineRule="exact"/>
              <w:ind w:left="86"/>
              <w:jc w:val="both"/>
              <w:rPr>
                <w:rFonts w:ascii="Arial" w:hAnsi="Arial" w:cs="Arial"/>
              </w:rPr>
            </w:pPr>
            <w:r w:rsidRPr="00276D5E">
              <w:rPr>
                <w:rFonts w:ascii="Arial" w:hAnsi="Arial" w:cs="Arial"/>
                <w:w w:val="99"/>
              </w:rPr>
              <w:t>i</w:t>
            </w:r>
          </w:p>
        </w:tc>
        <w:tc>
          <w:tcPr>
            <w:tcW w:w="8133" w:type="dxa"/>
            <w:gridSpan w:val="2"/>
          </w:tcPr>
          <w:p w14:paraId="063976BF" w14:textId="77777777" w:rsidR="00FF5E02" w:rsidRPr="00276D5E" w:rsidRDefault="00FF5E02" w:rsidP="00FF5E02">
            <w:pPr>
              <w:pStyle w:val="TableParagraph"/>
              <w:spacing w:line="225" w:lineRule="exact"/>
              <w:jc w:val="both"/>
              <w:rPr>
                <w:rFonts w:ascii="Arial" w:hAnsi="Arial" w:cs="Arial"/>
              </w:rPr>
            </w:pPr>
            <w:r w:rsidRPr="00276D5E">
              <w:rPr>
                <w:rFonts w:ascii="Arial" w:hAnsi="Arial" w:cs="Arial"/>
              </w:rPr>
              <w:t>ATC</w:t>
            </w:r>
            <w:r w:rsidRPr="00276D5E">
              <w:rPr>
                <w:rFonts w:ascii="Arial" w:hAnsi="Arial" w:cs="Arial"/>
                <w:spacing w:val="-3"/>
              </w:rPr>
              <w:t xml:space="preserve"> </w:t>
            </w:r>
            <w:r w:rsidRPr="00276D5E">
              <w:rPr>
                <w:rFonts w:ascii="Arial" w:hAnsi="Arial" w:cs="Arial"/>
              </w:rPr>
              <w:t>compliance</w:t>
            </w:r>
            <w:r w:rsidRPr="00276D5E">
              <w:rPr>
                <w:rFonts w:ascii="Arial" w:hAnsi="Arial" w:cs="Arial"/>
                <w:spacing w:val="-4"/>
              </w:rPr>
              <w:t xml:space="preserve"> </w:t>
            </w:r>
            <w:r w:rsidRPr="00276D5E">
              <w:rPr>
                <w:rFonts w:ascii="Arial" w:hAnsi="Arial" w:cs="Arial"/>
              </w:rPr>
              <w:t>(if</w:t>
            </w:r>
            <w:r w:rsidRPr="00276D5E">
              <w:rPr>
                <w:rFonts w:ascii="Arial" w:hAnsi="Arial" w:cs="Arial"/>
                <w:spacing w:val="-3"/>
              </w:rPr>
              <w:t xml:space="preserve"> </w:t>
            </w:r>
            <w:r w:rsidRPr="00276D5E">
              <w:rPr>
                <w:rFonts w:ascii="Arial" w:hAnsi="Arial" w:cs="Arial"/>
              </w:rPr>
              <w:t>applicable)</w:t>
            </w:r>
          </w:p>
        </w:tc>
      </w:tr>
      <w:tr w:rsidR="00FF5E02" w:rsidRPr="00276D5E" w14:paraId="6B5F1DE0" w14:textId="77777777" w:rsidTr="004F6505">
        <w:trPr>
          <w:trHeight w:val="199"/>
        </w:trPr>
        <w:tc>
          <w:tcPr>
            <w:tcW w:w="8725" w:type="dxa"/>
            <w:gridSpan w:val="3"/>
            <w:shd w:val="clear" w:color="auto" w:fill="F2F2F2" w:themeFill="background1" w:themeFillShade="F2"/>
          </w:tcPr>
          <w:p w14:paraId="74228542" w14:textId="77777777" w:rsidR="00FF5E02" w:rsidRPr="00276D5E" w:rsidRDefault="00FF5E02" w:rsidP="00FF5E02">
            <w:pPr>
              <w:pStyle w:val="TableParagraph"/>
              <w:spacing w:line="222" w:lineRule="exact"/>
              <w:ind w:left="86"/>
              <w:jc w:val="both"/>
              <w:rPr>
                <w:rFonts w:ascii="Arial" w:hAnsi="Arial" w:cs="Arial"/>
                <w:b/>
              </w:rPr>
            </w:pPr>
            <w:r w:rsidRPr="00276D5E">
              <w:rPr>
                <w:rFonts w:ascii="Arial" w:hAnsi="Arial" w:cs="Arial"/>
                <w:b/>
              </w:rPr>
              <w:t>SECTION</w:t>
            </w:r>
            <w:r w:rsidRPr="00276D5E">
              <w:rPr>
                <w:rFonts w:ascii="Arial" w:hAnsi="Arial" w:cs="Arial"/>
                <w:b/>
                <w:spacing w:val="-4"/>
              </w:rPr>
              <w:t xml:space="preserve"> </w:t>
            </w:r>
            <w:r w:rsidRPr="00276D5E">
              <w:rPr>
                <w:rFonts w:ascii="Arial" w:hAnsi="Arial" w:cs="Arial"/>
                <w:b/>
              </w:rPr>
              <w:t>4:</w:t>
            </w:r>
            <w:r w:rsidRPr="00276D5E">
              <w:rPr>
                <w:rFonts w:ascii="Arial" w:hAnsi="Arial" w:cs="Arial"/>
                <w:b/>
                <w:spacing w:val="-4"/>
              </w:rPr>
              <w:t xml:space="preserve"> </w:t>
            </w:r>
            <w:r w:rsidRPr="00276D5E">
              <w:rPr>
                <w:rFonts w:ascii="Arial" w:hAnsi="Arial" w:cs="Arial"/>
                <w:b/>
              </w:rPr>
              <w:t>APPROACH</w:t>
            </w:r>
            <w:r w:rsidRPr="00276D5E">
              <w:rPr>
                <w:rFonts w:ascii="Arial" w:hAnsi="Arial" w:cs="Arial"/>
                <w:b/>
                <w:spacing w:val="-2"/>
              </w:rPr>
              <w:t xml:space="preserve"> </w:t>
            </w:r>
            <w:r w:rsidRPr="00276D5E">
              <w:rPr>
                <w:rFonts w:ascii="Arial" w:hAnsi="Arial" w:cs="Arial"/>
                <w:b/>
              </w:rPr>
              <w:t>AND</w:t>
            </w:r>
            <w:r w:rsidRPr="00276D5E">
              <w:rPr>
                <w:rFonts w:ascii="Arial" w:hAnsi="Arial" w:cs="Arial"/>
                <w:b/>
                <w:spacing w:val="-5"/>
              </w:rPr>
              <w:t xml:space="preserve"> </w:t>
            </w:r>
            <w:r w:rsidRPr="00276D5E">
              <w:rPr>
                <w:rFonts w:ascii="Arial" w:hAnsi="Arial" w:cs="Arial"/>
                <w:b/>
              </w:rPr>
              <w:t>LANDING</w:t>
            </w:r>
            <w:r w:rsidRPr="00276D5E">
              <w:rPr>
                <w:rFonts w:ascii="Arial" w:hAnsi="Arial" w:cs="Arial"/>
                <w:b/>
                <w:spacing w:val="-4"/>
              </w:rPr>
              <w:t xml:space="preserve"> </w:t>
            </w:r>
            <w:r w:rsidRPr="00276D5E">
              <w:rPr>
                <w:rFonts w:ascii="Arial" w:hAnsi="Arial" w:cs="Arial"/>
                <w:b/>
              </w:rPr>
              <w:t>PROCEDURES</w:t>
            </w:r>
          </w:p>
        </w:tc>
      </w:tr>
      <w:tr w:rsidR="00FF5E02" w:rsidRPr="00276D5E" w14:paraId="4BCCA64F" w14:textId="77777777" w:rsidTr="004F6505">
        <w:trPr>
          <w:trHeight w:val="202"/>
        </w:trPr>
        <w:tc>
          <w:tcPr>
            <w:tcW w:w="592" w:type="dxa"/>
          </w:tcPr>
          <w:p w14:paraId="3B09FF9B" w14:textId="77777777" w:rsidR="00FF5E02" w:rsidRPr="00276D5E" w:rsidRDefault="00FF5E02" w:rsidP="00FF5E02">
            <w:pPr>
              <w:pStyle w:val="TableParagraph"/>
              <w:spacing w:line="225" w:lineRule="exact"/>
              <w:ind w:left="86"/>
              <w:jc w:val="both"/>
              <w:rPr>
                <w:rFonts w:ascii="Arial" w:hAnsi="Arial" w:cs="Arial"/>
              </w:rPr>
            </w:pPr>
            <w:r w:rsidRPr="00276D5E">
              <w:rPr>
                <w:rFonts w:ascii="Arial" w:hAnsi="Arial" w:cs="Arial"/>
                <w:w w:val="99"/>
              </w:rPr>
              <w:t>a</w:t>
            </w:r>
          </w:p>
        </w:tc>
        <w:tc>
          <w:tcPr>
            <w:tcW w:w="8133" w:type="dxa"/>
            <w:gridSpan w:val="2"/>
          </w:tcPr>
          <w:p w14:paraId="099FA013" w14:textId="77777777" w:rsidR="00FF5E02" w:rsidRPr="00276D5E" w:rsidRDefault="00FF5E02" w:rsidP="00FF5E02">
            <w:pPr>
              <w:pStyle w:val="TableParagraph"/>
              <w:spacing w:line="225" w:lineRule="exact"/>
              <w:jc w:val="both"/>
              <w:rPr>
                <w:rFonts w:ascii="Arial" w:hAnsi="Arial" w:cs="Arial"/>
              </w:rPr>
            </w:pPr>
            <w:r w:rsidRPr="00276D5E">
              <w:rPr>
                <w:rFonts w:ascii="Arial" w:hAnsi="Arial" w:cs="Arial"/>
              </w:rPr>
              <w:t>Approach,</w:t>
            </w:r>
            <w:r w:rsidRPr="00276D5E">
              <w:rPr>
                <w:rFonts w:ascii="Arial" w:hAnsi="Arial" w:cs="Arial"/>
                <w:spacing w:val="-3"/>
              </w:rPr>
              <w:t xml:space="preserve"> </w:t>
            </w:r>
            <w:r w:rsidRPr="00276D5E">
              <w:rPr>
                <w:rFonts w:ascii="Arial" w:hAnsi="Arial" w:cs="Arial"/>
              </w:rPr>
              <w:t>missed</w:t>
            </w:r>
            <w:r w:rsidRPr="00276D5E">
              <w:rPr>
                <w:rFonts w:ascii="Arial" w:hAnsi="Arial" w:cs="Arial"/>
                <w:spacing w:val="-2"/>
              </w:rPr>
              <w:t xml:space="preserve"> </w:t>
            </w:r>
            <w:r w:rsidRPr="00276D5E">
              <w:rPr>
                <w:rFonts w:ascii="Arial" w:hAnsi="Arial" w:cs="Arial"/>
              </w:rPr>
              <w:t>approach</w:t>
            </w:r>
            <w:r w:rsidRPr="00276D5E">
              <w:rPr>
                <w:rFonts w:ascii="Arial" w:hAnsi="Arial" w:cs="Arial"/>
                <w:spacing w:val="-1"/>
              </w:rPr>
              <w:t xml:space="preserve"> </w:t>
            </w:r>
            <w:r w:rsidRPr="00276D5E">
              <w:rPr>
                <w:rFonts w:ascii="Arial" w:hAnsi="Arial" w:cs="Arial"/>
              </w:rPr>
              <w:t>and</w:t>
            </w:r>
            <w:r w:rsidRPr="00276D5E">
              <w:rPr>
                <w:rFonts w:ascii="Arial" w:hAnsi="Arial" w:cs="Arial"/>
                <w:spacing w:val="-2"/>
              </w:rPr>
              <w:t xml:space="preserve"> </w:t>
            </w:r>
            <w:r w:rsidRPr="00276D5E">
              <w:rPr>
                <w:rFonts w:ascii="Arial" w:hAnsi="Arial" w:cs="Arial"/>
              </w:rPr>
              <w:t>go-around</w:t>
            </w:r>
          </w:p>
        </w:tc>
      </w:tr>
      <w:tr w:rsidR="00FF5E02" w:rsidRPr="00276D5E" w14:paraId="4CA60112" w14:textId="77777777" w:rsidTr="004F6505">
        <w:trPr>
          <w:trHeight w:val="199"/>
        </w:trPr>
        <w:tc>
          <w:tcPr>
            <w:tcW w:w="592" w:type="dxa"/>
          </w:tcPr>
          <w:p w14:paraId="05150164" w14:textId="77777777" w:rsidR="00FF5E02" w:rsidRPr="00276D5E" w:rsidRDefault="00FF5E02" w:rsidP="00FF5E02">
            <w:pPr>
              <w:pStyle w:val="TableParagraph"/>
              <w:spacing w:line="222" w:lineRule="exact"/>
              <w:ind w:left="86"/>
              <w:jc w:val="both"/>
              <w:rPr>
                <w:rFonts w:ascii="Arial" w:hAnsi="Arial" w:cs="Arial"/>
              </w:rPr>
            </w:pPr>
            <w:r w:rsidRPr="00276D5E">
              <w:rPr>
                <w:rFonts w:ascii="Arial" w:hAnsi="Arial" w:cs="Arial"/>
                <w:w w:val="99"/>
              </w:rPr>
              <w:t>b</w:t>
            </w:r>
          </w:p>
        </w:tc>
        <w:tc>
          <w:tcPr>
            <w:tcW w:w="8133" w:type="dxa"/>
            <w:gridSpan w:val="2"/>
          </w:tcPr>
          <w:p w14:paraId="11E300E5" w14:textId="77777777" w:rsidR="00FF5E02" w:rsidRPr="00276D5E" w:rsidRDefault="00FF5E02" w:rsidP="00FF5E02">
            <w:pPr>
              <w:pStyle w:val="TableParagraph"/>
              <w:spacing w:line="222" w:lineRule="exact"/>
              <w:jc w:val="both"/>
              <w:rPr>
                <w:rFonts w:ascii="Arial" w:hAnsi="Arial" w:cs="Arial"/>
              </w:rPr>
            </w:pPr>
            <w:r w:rsidRPr="00276D5E">
              <w:rPr>
                <w:rFonts w:ascii="Arial" w:hAnsi="Arial" w:cs="Arial"/>
              </w:rPr>
              <w:t>Pre-landing</w:t>
            </w:r>
            <w:r w:rsidRPr="00276D5E">
              <w:rPr>
                <w:rFonts w:ascii="Arial" w:hAnsi="Arial" w:cs="Arial"/>
                <w:spacing w:val="-3"/>
              </w:rPr>
              <w:t xml:space="preserve"> </w:t>
            </w:r>
            <w:r w:rsidRPr="00276D5E">
              <w:rPr>
                <w:rFonts w:ascii="Arial" w:hAnsi="Arial" w:cs="Arial"/>
              </w:rPr>
              <w:t>checks</w:t>
            </w:r>
          </w:p>
        </w:tc>
      </w:tr>
      <w:tr w:rsidR="00FF5E02" w:rsidRPr="00276D5E" w14:paraId="47B2E135" w14:textId="77777777" w:rsidTr="004F6505">
        <w:trPr>
          <w:trHeight w:val="202"/>
        </w:trPr>
        <w:tc>
          <w:tcPr>
            <w:tcW w:w="592" w:type="dxa"/>
          </w:tcPr>
          <w:p w14:paraId="1783EC01" w14:textId="77777777" w:rsidR="00FF5E02" w:rsidRPr="00276D5E" w:rsidRDefault="00FF5E02" w:rsidP="00FF5E02">
            <w:pPr>
              <w:pStyle w:val="TableParagraph"/>
              <w:spacing w:line="225" w:lineRule="exact"/>
              <w:ind w:left="86"/>
              <w:jc w:val="both"/>
              <w:rPr>
                <w:rFonts w:ascii="Arial" w:hAnsi="Arial" w:cs="Arial"/>
              </w:rPr>
            </w:pPr>
            <w:r w:rsidRPr="00276D5E">
              <w:rPr>
                <w:rFonts w:ascii="Arial" w:hAnsi="Arial" w:cs="Arial"/>
                <w:w w:val="99"/>
              </w:rPr>
              <w:t>c</w:t>
            </w:r>
          </w:p>
        </w:tc>
        <w:tc>
          <w:tcPr>
            <w:tcW w:w="8133" w:type="dxa"/>
            <w:gridSpan w:val="2"/>
          </w:tcPr>
          <w:p w14:paraId="3B019B62" w14:textId="77777777" w:rsidR="00FF5E02" w:rsidRPr="00276D5E" w:rsidRDefault="00FF5E02" w:rsidP="00FF5E02">
            <w:pPr>
              <w:pStyle w:val="TableParagraph"/>
              <w:spacing w:line="225" w:lineRule="exact"/>
              <w:jc w:val="both"/>
              <w:rPr>
                <w:rFonts w:ascii="Arial" w:hAnsi="Arial" w:cs="Arial"/>
              </w:rPr>
            </w:pPr>
            <w:r w:rsidRPr="00276D5E">
              <w:rPr>
                <w:rFonts w:ascii="Arial" w:hAnsi="Arial" w:cs="Arial"/>
              </w:rPr>
              <w:t>Selection</w:t>
            </w:r>
            <w:r w:rsidRPr="00276D5E">
              <w:rPr>
                <w:rFonts w:ascii="Arial" w:hAnsi="Arial" w:cs="Arial"/>
                <w:spacing w:val="-3"/>
              </w:rPr>
              <w:t xml:space="preserve"> </w:t>
            </w:r>
            <w:r w:rsidRPr="00276D5E">
              <w:rPr>
                <w:rFonts w:ascii="Arial" w:hAnsi="Arial" w:cs="Arial"/>
              </w:rPr>
              <w:t>of</w:t>
            </w:r>
            <w:r w:rsidRPr="00276D5E">
              <w:rPr>
                <w:rFonts w:ascii="Arial" w:hAnsi="Arial" w:cs="Arial"/>
                <w:spacing w:val="-5"/>
              </w:rPr>
              <w:t xml:space="preserve"> </w:t>
            </w:r>
            <w:r w:rsidRPr="00276D5E">
              <w:rPr>
                <w:rFonts w:ascii="Arial" w:hAnsi="Arial" w:cs="Arial"/>
              </w:rPr>
              <w:t>landing</w:t>
            </w:r>
            <w:r w:rsidRPr="00276D5E">
              <w:rPr>
                <w:rFonts w:ascii="Arial" w:hAnsi="Arial" w:cs="Arial"/>
                <w:spacing w:val="-4"/>
              </w:rPr>
              <w:t xml:space="preserve"> </w:t>
            </w:r>
            <w:r w:rsidRPr="00276D5E">
              <w:rPr>
                <w:rFonts w:ascii="Arial" w:hAnsi="Arial" w:cs="Arial"/>
              </w:rPr>
              <w:t>field</w:t>
            </w:r>
          </w:p>
        </w:tc>
      </w:tr>
      <w:tr w:rsidR="00FF5E02" w:rsidRPr="00276D5E" w14:paraId="28C76588" w14:textId="77777777" w:rsidTr="004F6505">
        <w:trPr>
          <w:trHeight w:val="200"/>
        </w:trPr>
        <w:tc>
          <w:tcPr>
            <w:tcW w:w="592" w:type="dxa"/>
          </w:tcPr>
          <w:p w14:paraId="34768998" w14:textId="77777777" w:rsidR="00FF5E02" w:rsidRPr="00276D5E" w:rsidRDefault="00FF5E02" w:rsidP="00FF5E02">
            <w:pPr>
              <w:pStyle w:val="TableParagraph"/>
              <w:spacing w:line="223" w:lineRule="exact"/>
              <w:ind w:left="86"/>
              <w:jc w:val="both"/>
              <w:rPr>
                <w:rFonts w:ascii="Arial" w:hAnsi="Arial" w:cs="Arial"/>
              </w:rPr>
            </w:pPr>
            <w:r w:rsidRPr="00276D5E">
              <w:rPr>
                <w:rFonts w:ascii="Arial" w:hAnsi="Arial" w:cs="Arial"/>
                <w:w w:val="99"/>
              </w:rPr>
              <w:t>d</w:t>
            </w:r>
          </w:p>
        </w:tc>
        <w:tc>
          <w:tcPr>
            <w:tcW w:w="8133" w:type="dxa"/>
            <w:gridSpan w:val="2"/>
          </w:tcPr>
          <w:p w14:paraId="42894FCE" w14:textId="77777777" w:rsidR="00FF5E02" w:rsidRPr="00276D5E" w:rsidRDefault="00FF5E02" w:rsidP="00FF5E02">
            <w:pPr>
              <w:pStyle w:val="TableParagraph"/>
              <w:spacing w:line="223" w:lineRule="exact"/>
              <w:jc w:val="both"/>
              <w:rPr>
                <w:rFonts w:ascii="Arial" w:hAnsi="Arial" w:cs="Arial"/>
              </w:rPr>
            </w:pPr>
            <w:r w:rsidRPr="00276D5E">
              <w:rPr>
                <w:rFonts w:ascii="Arial" w:hAnsi="Arial" w:cs="Arial"/>
              </w:rPr>
              <w:t>Landing</w:t>
            </w:r>
            <w:r w:rsidRPr="00276D5E">
              <w:rPr>
                <w:rFonts w:ascii="Arial" w:hAnsi="Arial" w:cs="Arial"/>
                <w:spacing w:val="-4"/>
              </w:rPr>
              <w:t xml:space="preserve"> </w:t>
            </w:r>
            <w:r w:rsidRPr="00276D5E">
              <w:rPr>
                <w:rFonts w:ascii="Arial" w:hAnsi="Arial" w:cs="Arial"/>
              </w:rPr>
              <w:t>and</w:t>
            </w:r>
            <w:r w:rsidRPr="00276D5E">
              <w:rPr>
                <w:rFonts w:ascii="Arial" w:hAnsi="Arial" w:cs="Arial"/>
                <w:spacing w:val="-2"/>
              </w:rPr>
              <w:t xml:space="preserve"> </w:t>
            </w:r>
            <w:r w:rsidRPr="00276D5E">
              <w:rPr>
                <w:rFonts w:ascii="Arial" w:hAnsi="Arial" w:cs="Arial"/>
              </w:rPr>
              <w:t>deflation</w:t>
            </w:r>
          </w:p>
        </w:tc>
      </w:tr>
      <w:tr w:rsidR="00FF5E02" w:rsidRPr="00276D5E" w14:paraId="3B56CD5A" w14:textId="77777777" w:rsidTr="004F6505">
        <w:trPr>
          <w:trHeight w:val="202"/>
        </w:trPr>
        <w:tc>
          <w:tcPr>
            <w:tcW w:w="592" w:type="dxa"/>
          </w:tcPr>
          <w:p w14:paraId="048EE821" w14:textId="77777777" w:rsidR="00FF5E02" w:rsidRPr="00276D5E" w:rsidRDefault="00FF5E02" w:rsidP="00FF5E02">
            <w:pPr>
              <w:pStyle w:val="TableParagraph"/>
              <w:spacing w:line="225" w:lineRule="exact"/>
              <w:ind w:left="86"/>
              <w:jc w:val="both"/>
              <w:rPr>
                <w:rFonts w:ascii="Arial" w:hAnsi="Arial" w:cs="Arial"/>
              </w:rPr>
            </w:pPr>
            <w:r w:rsidRPr="00276D5E">
              <w:rPr>
                <w:rFonts w:ascii="Arial" w:hAnsi="Arial" w:cs="Arial"/>
                <w:w w:val="99"/>
              </w:rPr>
              <w:t>e</w:t>
            </w:r>
          </w:p>
        </w:tc>
        <w:tc>
          <w:tcPr>
            <w:tcW w:w="8133" w:type="dxa"/>
            <w:gridSpan w:val="2"/>
          </w:tcPr>
          <w:p w14:paraId="796BE5AB" w14:textId="77777777" w:rsidR="00FF5E02" w:rsidRPr="00276D5E" w:rsidRDefault="00FF5E02" w:rsidP="00FF5E02">
            <w:pPr>
              <w:pStyle w:val="TableParagraph"/>
              <w:spacing w:line="225" w:lineRule="exact"/>
              <w:jc w:val="both"/>
              <w:rPr>
                <w:rFonts w:ascii="Arial" w:hAnsi="Arial" w:cs="Arial"/>
              </w:rPr>
            </w:pPr>
            <w:r w:rsidRPr="00276D5E">
              <w:rPr>
                <w:rFonts w:ascii="Arial" w:hAnsi="Arial" w:cs="Arial"/>
              </w:rPr>
              <w:t>ATC</w:t>
            </w:r>
            <w:r w:rsidRPr="00276D5E">
              <w:rPr>
                <w:rFonts w:ascii="Arial" w:hAnsi="Arial" w:cs="Arial"/>
                <w:spacing w:val="-3"/>
              </w:rPr>
              <w:t xml:space="preserve"> </w:t>
            </w:r>
            <w:r w:rsidRPr="00276D5E">
              <w:rPr>
                <w:rFonts w:ascii="Arial" w:hAnsi="Arial" w:cs="Arial"/>
              </w:rPr>
              <w:t>compliance</w:t>
            </w:r>
            <w:r w:rsidRPr="00276D5E">
              <w:rPr>
                <w:rFonts w:ascii="Arial" w:hAnsi="Arial" w:cs="Arial"/>
                <w:spacing w:val="-4"/>
              </w:rPr>
              <w:t xml:space="preserve"> </w:t>
            </w:r>
            <w:r w:rsidRPr="00276D5E">
              <w:rPr>
                <w:rFonts w:ascii="Arial" w:hAnsi="Arial" w:cs="Arial"/>
              </w:rPr>
              <w:t>(if</w:t>
            </w:r>
            <w:r w:rsidRPr="00276D5E">
              <w:rPr>
                <w:rFonts w:ascii="Arial" w:hAnsi="Arial" w:cs="Arial"/>
                <w:spacing w:val="-3"/>
              </w:rPr>
              <w:t xml:space="preserve"> </w:t>
            </w:r>
            <w:r w:rsidRPr="00276D5E">
              <w:rPr>
                <w:rFonts w:ascii="Arial" w:hAnsi="Arial" w:cs="Arial"/>
              </w:rPr>
              <w:t>applicable)</w:t>
            </w:r>
          </w:p>
        </w:tc>
      </w:tr>
      <w:tr w:rsidR="00FF5E02" w:rsidRPr="00276D5E" w14:paraId="4399A262" w14:textId="77777777" w:rsidTr="004F6505">
        <w:trPr>
          <w:trHeight w:val="444"/>
        </w:trPr>
        <w:tc>
          <w:tcPr>
            <w:tcW w:w="592" w:type="dxa"/>
          </w:tcPr>
          <w:p w14:paraId="0C10D5D5" w14:textId="77777777" w:rsidR="00FF5E02" w:rsidRPr="00276D5E" w:rsidRDefault="00FF5E02" w:rsidP="00FF5E02">
            <w:pPr>
              <w:pStyle w:val="TableParagraph"/>
              <w:spacing w:line="242" w:lineRule="exact"/>
              <w:ind w:left="86"/>
              <w:jc w:val="both"/>
              <w:rPr>
                <w:rFonts w:ascii="Arial" w:hAnsi="Arial" w:cs="Arial"/>
              </w:rPr>
            </w:pPr>
            <w:r w:rsidRPr="00276D5E">
              <w:rPr>
                <w:rFonts w:ascii="Arial" w:hAnsi="Arial" w:cs="Arial"/>
                <w:w w:val="99"/>
              </w:rPr>
              <w:t>f</w:t>
            </w:r>
          </w:p>
        </w:tc>
        <w:tc>
          <w:tcPr>
            <w:tcW w:w="8133" w:type="dxa"/>
            <w:gridSpan w:val="2"/>
          </w:tcPr>
          <w:p w14:paraId="6B916341" w14:textId="5B3FE398" w:rsidR="00FF5E02" w:rsidRPr="00276D5E" w:rsidRDefault="00FF5E02" w:rsidP="004F6505">
            <w:pPr>
              <w:pStyle w:val="TableParagraph"/>
              <w:spacing w:line="242" w:lineRule="exact"/>
              <w:jc w:val="both"/>
              <w:rPr>
                <w:rFonts w:ascii="Arial" w:hAnsi="Arial" w:cs="Arial"/>
              </w:rPr>
            </w:pPr>
            <w:r w:rsidRPr="00276D5E">
              <w:rPr>
                <w:rFonts w:ascii="Arial" w:hAnsi="Arial" w:cs="Arial"/>
              </w:rPr>
              <w:t>Actions</w:t>
            </w:r>
            <w:r w:rsidRPr="00276D5E">
              <w:rPr>
                <w:rFonts w:ascii="Arial" w:hAnsi="Arial" w:cs="Arial"/>
                <w:spacing w:val="-5"/>
              </w:rPr>
              <w:t xml:space="preserve"> </w:t>
            </w:r>
            <w:r w:rsidRPr="00276D5E">
              <w:rPr>
                <w:rFonts w:ascii="Arial" w:hAnsi="Arial" w:cs="Arial"/>
              </w:rPr>
              <w:t>after flight</w:t>
            </w:r>
            <w:r w:rsidRPr="00276D5E">
              <w:rPr>
                <w:rFonts w:ascii="Arial" w:hAnsi="Arial" w:cs="Arial"/>
                <w:spacing w:val="-3"/>
              </w:rPr>
              <w:t xml:space="preserve"> </w:t>
            </w:r>
            <w:r w:rsidRPr="00276D5E">
              <w:rPr>
                <w:rFonts w:ascii="Arial" w:hAnsi="Arial" w:cs="Arial"/>
              </w:rPr>
              <w:t>(recording of</w:t>
            </w:r>
            <w:r w:rsidRPr="00276D5E">
              <w:rPr>
                <w:rFonts w:ascii="Arial" w:hAnsi="Arial" w:cs="Arial"/>
                <w:spacing w:val="-4"/>
              </w:rPr>
              <w:t xml:space="preserve"> </w:t>
            </w:r>
            <w:r w:rsidRPr="00276D5E">
              <w:rPr>
                <w:rFonts w:ascii="Arial" w:hAnsi="Arial" w:cs="Arial"/>
              </w:rPr>
              <w:t>the</w:t>
            </w:r>
            <w:r w:rsidRPr="00276D5E">
              <w:rPr>
                <w:rFonts w:ascii="Arial" w:hAnsi="Arial" w:cs="Arial"/>
                <w:spacing w:val="-4"/>
              </w:rPr>
              <w:t xml:space="preserve"> </w:t>
            </w:r>
            <w:r w:rsidRPr="00276D5E">
              <w:rPr>
                <w:rFonts w:ascii="Arial" w:hAnsi="Arial" w:cs="Arial"/>
              </w:rPr>
              <w:t>flight,</w:t>
            </w:r>
            <w:r w:rsidRPr="00276D5E">
              <w:rPr>
                <w:rFonts w:ascii="Arial" w:hAnsi="Arial" w:cs="Arial"/>
                <w:spacing w:val="-2"/>
              </w:rPr>
              <w:t xml:space="preserve"> </w:t>
            </w:r>
            <w:r w:rsidRPr="00276D5E">
              <w:rPr>
                <w:rFonts w:ascii="Arial" w:hAnsi="Arial" w:cs="Arial"/>
              </w:rPr>
              <w:t>closing</w:t>
            </w:r>
            <w:r w:rsidRPr="00276D5E">
              <w:rPr>
                <w:rFonts w:ascii="Arial" w:hAnsi="Arial" w:cs="Arial"/>
                <w:spacing w:val="-3"/>
              </w:rPr>
              <w:t xml:space="preserve"> </w:t>
            </w:r>
            <w:r w:rsidRPr="00276D5E">
              <w:rPr>
                <w:rFonts w:ascii="Arial" w:hAnsi="Arial" w:cs="Arial"/>
              </w:rPr>
              <w:t>flight</w:t>
            </w:r>
            <w:r w:rsidRPr="00276D5E">
              <w:rPr>
                <w:rFonts w:ascii="Arial" w:hAnsi="Arial" w:cs="Arial"/>
                <w:spacing w:val="-3"/>
              </w:rPr>
              <w:t xml:space="preserve"> </w:t>
            </w:r>
            <w:r w:rsidRPr="00276D5E">
              <w:rPr>
                <w:rFonts w:ascii="Arial" w:hAnsi="Arial" w:cs="Arial"/>
              </w:rPr>
              <w:t>plan</w:t>
            </w:r>
            <w:r w:rsidRPr="00276D5E">
              <w:rPr>
                <w:rFonts w:ascii="Arial" w:hAnsi="Arial" w:cs="Arial"/>
                <w:spacing w:val="-2"/>
              </w:rPr>
              <w:t xml:space="preserve"> </w:t>
            </w:r>
            <w:r w:rsidRPr="00276D5E">
              <w:rPr>
                <w:rFonts w:ascii="Arial" w:hAnsi="Arial" w:cs="Arial"/>
              </w:rPr>
              <w:t>(if</w:t>
            </w:r>
            <w:r w:rsidRPr="00276D5E">
              <w:rPr>
                <w:rFonts w:ascii="Arial" w:hAnsi="Arial" w:cs="Arial"/>
                <w:spacing w:val="-4"/>
              </w:rPr>
              <w:t xml:space="preserve"> </w:t>
            </w:r>
            <w:r w:rsidRPr="00276D5E">
              <w:rPr>
                <w:rFonts w:ascii="Arial" w:hAnsi="Arial" w:cs="Arial"/>
              </w:rPr>
              <w:t>applicable),</w:t>
            </w:r>
            <w:r w:rsidRPr="00276D5E">
              <w:rPr>
                <w:rFonts w:ascii="Arial" w:hAnsi="Arial" w:cs="Arial"/>
                <w:spacing w:val="-3"/>
              </w:rPr>
              <w:t xml:space="preserve"> </w:t>
            </w:r>
            <w:r w:rsidRPr="00276D5E">
              <w:rPr>
                <w:rFonts w:ascii="Arial" w:hAnsi="Arial" w:cs="Arial"/>
              </w:rPr>
              <w:t>briefing</w:t>
            </w:r>
            <w:r w:rsidR="004F6505">
              <w:rPr>
                <w:rFonts w:ascii="Arial" w:hAnsi="Arial" w:cs="Arial"/>
              </w:rPr>
              <w:t xml:space="preserve"> </w:t>
            </w:r>
            <w:r w:rsidRPr="00276D5E">
              <w:rPr>
                <w:rFonts w:ascii="Arial" w:hAnsi="Arial" w:cs="Arial"/>
              </w:rPr>
              <w:t>passengers</w:t>
            </w:r>
            <w:r w:rsidRPr="00276D5E">
              <w:rPr>
                <w:rFonts w:ascii="Arial" w:hAnsi="Arial" w:cs="Arial"/>
                <w:spacing w:val="-2"/>
              </w:rPr>
              <w:t xml:space="preserve"> </w:t>
            </w:r>
            <w:r w:rsidRPr="00276D5E">
              <w:rPr>
                <w:rFonts w:ascii="Arial" w:hAnsi="Arial" w:cs="Arial"/>
              </w:rPr>
              <w:t>for</w:t>
            </w:r>
            <w:r w:rsidRPr="00276D5E">
              <w:rPr>
                <w:rFonts w:ascii="Arial" w:hAnsi="Arial" w:cs="Arial"/>
                <w:spacing w:val="-2"/>
              </w:rPr>
              <w:t xml:space="preserve"> </w:t>
            </w:r>
            <w:r w:rsidRPr="00276D5E">
              <w:rPr>
                <w:rFonts w:ascii="Arial" w:hAnsi="Arial" w:cs="Arial"/>
              </w:rPr>
              <w:t>packing</w:t>
            </w:r>
            <w:r w:rsidRPr="00276D5E">
              <w:rPr>
                <w:rFonts w:ascii="Arial" w:hAnsi="Arial" w:cs="Arial"/>
                <w:spacing w:val="-4"/>
              </w:rPr>
              <w:t xml:space="preserve"> </w:t>
            </w:r>
            <w:r w:rsidRPr="00276D5E">
              <w:rPr>
                <w:rFonts w:ascii="Arial" w:hAnsi="Arial" w:cs="Arial"/>
              </w:rPr>
              <w:t>balloon,</w:t>
            </w:r>
            <w:r w:rsidRPr="00276D5E">
              <w:rPr>
                <w:rFonts w:ascii="Arial" w:hAnsi="Arial" w:cs="Arial"/>
                <w:spacing w:val="-3"/>
              </w:rPr>
              <w:t xml:space="preserve"> </w:t>
            </w:r>
            <w:r w:rsidRPr="00276D5E">
              <w:rPr>
                <w:rFonts w:ascii="Arial" w:hAnsi="Arial" w:cs="Arial"/>
              </w:rPr>
              <w:t>contact</w:t>
            </w:r>
            <w:r w:rsidRPr="00276D5E">
              <w:rPr>
                <w:rFonts w:ascii="Arial" w:hAnsi="Arial" w:cs="Arial"/>
                <w:spacing w:val="-3"/>
              </w:rPr>
              <w:t xml:space="preserve"> </w:t>
            </w:r>
            <w:r w:rsidRPr="00276D5E">
              <w:rPr>
                <w:rFonts w:ascii="Arial" w:hAnsi="Arial" w:cs="Arial"/>
              </w:rPr>
              <w:t>landowner)</w:t>
            </w:r>
          </w:p>
        </w:tc>
      </w:tr>
      <w:tr w:rsidR="00FF5E02" w:rsidRPr="00276D5E" w14:paraId="6949F0BD" w14:textId="77777777" w:rsidTr="004F6505">
        <w:trPr>
          <w:trHeight w:val="200"/>
        </w:trPr>
        <w:tc>
          <w:tcPr>
            <w:tcW w:w="8725" w:type="dxa"/>
            <w:gridSpan w:val="3"/>
            <w:shd w:val="clear" w:color="auto" w:fill="F2F2F2" w:themeFill="background1" w:themeFillShade="F2"/>
          </w:tcPr>
          <w:p w14:paraId="77F7677C" w14:textId="77777777" w:rsidR="00FF5E02" w:rsidRPr="00276D5E" w:rsidRDefault="00FF5E02" w:rsidP="00FF5E02">
            <w:pPr>
              <w:pStyle w:val="TableParagraph"/>
              <w:spacing w:line="222" w:lineRule="exact"/>
              <w:ind w:left="86"/>
              <w:jc w:val="both"/>
              <w:rPr>
                <w:rFonts w:ascii="Arial" w:hAnsi="Arial" w:cs="Arial"/>
                <w:b/>
              </w:rPr>
            </w:pPr>
            <w:r w:rsidRPr="00276D5E">
              <w:rPr>
                <w:rFonts w:ascii="Arial" w:hAnsi="Arial" w:cs="Arial"/>
                <w:b/>
              </w:rPr>
              <w:t>SECTION</w:t>
            </w:r>
            <w:r w:rsidRPr="00276D5E">
              <w:rPr>
                <w:rFonts w:ascii="Arial" w:hAnsi="Arial" w:cs="Arial"/>
                <w:b/>
                <w:spacing w:val="-4"/>
              </w:rPr>
              <w:t xml:space="preserve"> </w:t>
            </w:r>
            <w:r w:rsidRPr="00276D5E">
              <w:rPr>
                <w:rFonts w:ascii="Arial" w:hAnsi="Arial" w:cs="Arial"/>
                <w:b/>
              </w:rPr>
              <w:t>5:</w:t>
            </w:r>
            <w:r w:rsidRPr="00276D5E">
              <w:rPr>
                <w:rFonts w:ascii="Arial" w:hAnsi="Arial" w:cs="Arial"/>
                <w:b/>
                <w:spacing w:val="-4"/>
              </w:rPr>
              <w:t xml:space="preserve"> </w:t>
            </w:r>
            <w:r w:rsidRPr="00276D5E">
              <w:rPr>
                <w:rFonts w:ascii="Arial" w:hAnsi="Arial" w:cs="Arial"/>
                <w:b/>
              </w:rPr>
              <w:t>ABNORMAL</w:t>
            </w:r>
            <w:r w:rsidRPr="00276D5E">
              <w:rPr>
                <w:rFonts w:ascii="Arial" w:hAnsi="Arial" w:cs="Arial"/>
                <w:b/>
                <w:spacing w:val="-4"/>
              </w:rPr>
              <w:t xml:space="preserve"> </w:t>
            </w:r>
            <w:r w:rsidRPr="00276D5E">
              <w:rPr>
                <w:rFonts w:ascii="Arial" w:hAnsi="Arial" w:cs="Arial"/>
                <w:b/>
              </w:rPr>
              <w:t>AND</w:t>
            </w:r>
            <w:r w:rsidRPr="00276D5E">
              <w:rPr>
                <w:rFonts w:ascii="Arial" w:hAnsi="Arial" w:cs="Arial"/>
                <w:b/>
                <w:spacing w:val="-5"/>
              </w:rPr>
              <w:t xml:space="preserve"> </w:t>
            </w:r>
            <w:r w:rsidRPr="00276D5E">
              <w:rPr>
                <w:rFonts w:ascii="Arial" w:hAnsi="Arial" w:cs="Arial"/>
                <w:b/>
              </w:rPr>
              <w:t>EMERGENCY</w:t>
            </w:r>
            <w:r w:rsidRPr="00276D5E">
              <w:rPr>
                <w:rFonts w:ascii="Arial" w:hAnsi="Arial" w:cs="Arial"/>
                <w:b/>
                <w:spacing w:val="-5"/>
              </w:rPr>
              <w:t xml:space="preserve"> </w:t>
            </w:r>
            <w:r w:rsidRPr="00276D5E">
              <w:rPr>
                <w:rFonts w:ascii="Arial" w:hAnsi="Arial" w:cs="Arial"/>
                <w:b/>
              </w:rPr>
              <w:t>PROCEDURES</w:t>
            </w:r>
          </w:p>
        </w:tc>
      </w:tr>
      <w:tr w:rsidR="00FF5E02" w:rsidRPr="00276D5E" w14:paraId="67EE5FC1" w14:textId="77777777" w:rsidTr="004F6505">
        <w:trPr>
          <w:trHeight w:val="202"/>
        </w:trPr>
        <w:tc>
          <w:tcPr>
            <w:tcW w:w="8725" w:type="dxa"/>
            <w:gridSpan w:val="3"/>
          </w:tcPr>
          <w:p w14:paraId="54A563B1" w14:textId="77777777" w:rsidR="00FF5E02" w:rsidRPr="00276D5E" w:rsidRDefault="00FF5E02" w:rsidP="00FF5E02">
            <w:pPr>
              <w:pStyle w:val="TableParagraph"/>
              <w:spacing w:before="1" w:line="225" w:lineRule="exact"/>
              <w:ind w:left="86"/>
              <w:jc w:val="both"/>
              <w:rPr>
                <w:rFonts w:ascii="Arial" w:hAnsi="Arial" w:cs="Arial"/>
              </w:rPr>
            </w:pPr>
            <w:r w:rsidRPr="00276D5E">
              <w:rPr>
                <w:rFonts w:ascii="Arial" w:hAnsi="Arial" w:cs="Arial"/>
              </w:rPr>
              <w:t>This</w:t>
            </w:r>
            <w:r w:rsidRPr="00276D5E">
              <w:rPr>
                <w:rFonts w:ascii="Arial" w:hAnsi="Arial" w:cs="Arial"/>
                <w:spacing w:val="-2"/>
              </w:rPr>
              <w:t xml:space="preserve"> </w:t>
            </w:r>
            <w:r w:rsidRPr="00276D5E">
              <w:rPr>
                <w:rFonts w:ascii="Arial" w:hAnsi="Arial" w:cs="Arial"/>
              </w:rPr>
              <w:t>section</w:t>
            </w:r>
            <w:r w:rsidRPr="00276D5E">
              <w:rPr>
                <w:rFonts w:ascii="Arial" w:hAnsi="Arial" w:cs="Arial"/>
                <w:spacing w:val="-2"/>
              </w:rPr>
              <w:t xml:space="preserve"> </w:t>
            </w:r>
            <w:r w:rsidRPr="00276D5E">
              <w:rPr>
                <w:rFonts w:ascii="Arial" w:hAnsi="Arial" w:cs="Arial"/>
              </w:rPr>
              <w:t>may</w:t>
            </w:r>
            <w:r w:rsidRPr="00276D5E">
              <w:rPr>
                <w:rFonts w:ascii="Arial" w:hAnsi="Arial" w:cs="Arial"/>
                <w:spacing w:val="-1"/>
              </w:rPr>
              <w:t xml:space="preserve"> </w:t>
            </w:r>
            <w:r w:rsidRPr="00276D5E">
              <w:rPr>
                <w:rFonts w:ascii="Arial" w:hAnsi="Arial" w:cs="Arial"/>
              </w:rPr>
              <w:t>be</w:t>
            </w:r>
            <w:r w:rsidRPr="00276D5E">
              <w:rPr>
                <w:rFonts w:ascii="Arial" w:hAnsi="Arial" w:cs="Arial"/>
                <w:spacing w:val="-3"/>
              </w:rPr>
              <w:t xml:space="preserve"> </w:t>
            </w:r>
            <w:r w:rsidRPr="00276D5E">
              <w:rPr>
                <w:rFonts w:ascii="Arial" w:hAnsi="Arial" w:cs="Arial"/>
              </w:rPr>
              <w:t>combined with</w:t>
            </w:r>
            <w:r w:rsidRPr="00276D5E">
              <w:rPr>
                <w:rFonts w:ascii="Arial" w:hAnsi="Arial" w:cs="Arial"/>
                <w:spacing w:val="-3"/>
              </w:rPr>
              <w:t xml:space="preserve"> </w:t>
            </w:r>
            <w:r w:rsidRPr="00276D5E">
              <w:rPr>
                <w:rFonts w:ascii="Arial" w:hAnsi="Arial" w:cs="Arial"/>
              </w:rPr>
              <w:t>Sections</w:t>
            </w:r>
            <w:r w:rsidRPr="00276D5E">
              <w:rPr>
                <w:rFonts w:ascii="Arial" w:hAnsi="Arial" w:cs="Arial"/>
                <w:spacing w:val="-1"/>
              </w:rPr>
              <w:t xml:space="preserve"> </w:t>
            </w:r>
            <w:r w:rsidRPr="00276D5E">
              <w:rPr>
                <w:rFonts w:ascii="Arial" w:hAnsi="Arial" w:cs="Arial"/>
              </w:rPr>
              <w:t>1</w:t>
            </w:r>
            <w:r w:rsidRPr="00276D5E">
              <w:rPr>
                <w:rFonts w:ascii="Arial" w:hAnsi="Arial" w:cs="Arial"/>
                <w:spacing w:val="-3"/>
              </w:rPr>
              <w:t xml:space="preserve"> </w:t>
            </w:r>
            <w:r w:rsidRPr="00276D5E">
              <w:rPr>
                <w:rFonts w:ascii="Arial" w:hAnsi="Arial" w:cs="Arial"/>
              </w:rPr>
              <w:t>through</w:t>
            </w:r>
            <w:r w:rsidRPr="00276D5E">
              <w:rPr>
                <w:rFonts w:ascii="Arial" w:hAnsi="Arial" w:cs="Arial"/>
                <w:spacing w:val="-2"/>
              </w:rPr>
              <w:t xml:space="preserve"> </w:t>
            </w:r>
            <w:r w:rsidRPr="00276D5E">
              <w:rPr>
                <w:rFonts w:ascii="Arial" w:hAnsi="Arial" w:cs="Arial"/>
              </w:rPr>
              <w:t>4.</w:t>
            </w:r>
          </w:p>
        </w:tc>
      </w:tr>
      <w:tr w:rsidR="00FF5E02" w:rsidRPr="00276D5E" w14:paraId="0FDD16A0" w14:textId="77777777" w:rsidTr="004F6505">
        <w:trPr>
          <w:trHeight w:val="200"/>
        </w:trPr>
        <w:tc>
          <w:tcPr>
            <w:tcW w:w="592" w:type="dxa"/>
          </w:tcPr>
          <w:p w14:paraId="3EDC62E1" w14:textId="77777777" w:rsidR="00FF5E02" w:rsidRPr="00276D5E" w:rsidRDefault="00FF5E02" w:rsidP="00FF5E02">
            <w:pPr>
              <w:pStyle w:val="TableParagraph"/>
              <w:spacing w:line="222" w:lineRule="exact"/>
              <w:ind w:left="86"/>
              <w:jc w:val="both"/>
              <w:rPr>
                <w:rFonts w:ascii="Arial" w:hAnsi="Arial" w:cs="Arial"/>
              </w:rPr>
            </w:pPr>
            <w:r w:rsidRPr="00276D5E">
              <w:rPr>
                <w:rFonts w:ascii="Arial" w:hAnsi="Arial" w:cs="Arial"/>
                <w:w w:val="99"/>
              </w:rPr>
              <w:t>a</w:t>
            </w:r>
          </w:p>
        </w:tc>
        <w:tc>
          <w:tcPr>
            <w:tcW w:w="8133" w:type="dxa"/>
            <w:gridSpan w:val="2"/>
          </w:tcPr>
          <w:p w14:paraId="27CA1D91" w14:textId="77777777" w:rsidR="00FF5E02" w:rsidRPr="00276D5E" w:rsidRDefault="00FF5E02" w:rsidP="00FF5E02">
            <w:pPr>
              <w:pStyle w:val="TableParagraph"/>
              <w:spacing w:line="222" w:lineRule="exact"/>
              <w:jc w:val="both"/>
              <w:rPr>
                <w:rFonts w:ascii="Arial" w:hAnsi="Arial" w:cs="Arial"/>
              </w:rPr>
            </w:pPr>
            <w:r w:rsidRPr="00276D5E">
              <w:rPr>
                <w:rFonts w:ascii="Arial" w:hAnsi="Arial" w:cs="Arial"/>
              </w:rPr>
              <w:t>Simulated</w:t>
            </w:r>
            <w:r w:rsidRPr="00276D5E">
              <w:rPr>
                <w:rFonts w:ascii="Arial" w:hAnsi="Arial" w:cs="Arial"/>
                <w:spacing w:val="-2"/>
              </w:rPr>
              <w:t xml:space="preserve"> </w:t>
            </w:r>
            <w:r w:rsidRPr="00276D5E">
              <w:rPr>
                <w:rFonts w:ascii="Arial" w:hAnsi="Arial" w:cs="Arial"/>
              </w:rPr>
              <w:t>fire</w:t>
            </w:r>
            <w:r w:rsidRPr="00276D5E">
              <w:rPr>
                <w:rFonts w:ascii="Arial" w:hAnsi="Arial" w:cs="Arial"/>
                <w:spacing w:val="-3"/>
              </w:rPr>
              <w:t xml:space="preserve"> </w:t>
            </w:r>
            <w:r w:rsidRPr="00276D5E">
              <w:rPr>
                <w:rFonts w:ascii="Arial" w:hAnsi="Arial" w:cs="Arial"/>
              </w:rPr>
              <w:t>on</w:t>
            </w:r>
            <w:r w:rsidRPr="00276D5E">
              <w:rPr>
                <w:rFonts w:ascii="Arial" w:hAnsi="Arial" w:cs="Arial"/>
                <w:spacing w:val="-2"/>
              </w:rPr>
              <w:t xml:space="preserve"> </w:t>
            </w:r>
            <w:r w:rsidRPr="00276D5E">
              <w:rPr>
                <w:rFonts w:ascii="Arial" w:hAnsi="Arial" w:cs="Arial"/>
              </w:rPr>
              <w:t>the</w:t>
            </w:r>
            <w:r w:rsidRPr="00276D5E">
              <w:rPr>
                <w:rFonts w:ascii="Arial" w:hAnsi="Arial" w:cs="Arial"/>
                <w:spacing w:val="-2"/>
              </w:rPr>
              <w:t xml:space="preserve"> </w:t>
            </w:r>
            <w:r w:rsidRPr="00276D5E">
              <w:rPr>
                <w:rFonts w:ascii="Arial" w:hAnsi="Arial" w:cs="Arial"/>
              </w:rPr>
              <w:t>ground</w:t>
            </w:r>
            <w:r w:rsidRPr="00276D5E">
              <w:rPr>
                <w:rFonts w:ascii="Arial" w:hAnsi="Arial" w:cs="Arial"/>
                <w:spacing w:val="-2"/>
              </w:rPr>
              <w:t xml:space="preserve"> </w:t>
            </w:r>
            <w:r w:rsidRPr="00276D5E">
              <w:rPr>
                <w:rFonts w:ascii="Arial" w:hAnsi="Arial" w:cs="Arial"/>
              </w:rPr>
              <w:t>and</w:t>
            </w:r>
            <w:r w:rsidRPr="00276D5E">
              <w:rPr>
                <w:rFonts w:ascii="Arial" w:hAnsi="Arial" w:cs="Arial"/>
                <w:spacing w:val="-2"/>
              </w:rPr>
              <w:t xml:space="preserve"> </w:t>
            </w:r>
            <w:r w:rsidRPr="00276D5E">
              <w:rPr>
                <w:rFonts w:ascii="Arial" w:hAnsi="Arial" w:cs="Arial"/>
              </w:rPr>
              <w:t>in</w:t>
            </w:r>
            <w:r w:rsidRPr="00276D5E">
              <w:rPr>
                <w:rFonts w:ascii="Arial" w:hAnsi="Arial" w:cs="Arial"/>
                <w:spacing w:val="-1"/>
              </w:rPr>
              <w:t xml:space="preserve"> </w:t>
            </w:r>
            <w:r w:rsidRPr="00276D5E">
              <w:rPr>
                <w:rFonts w:ascii="Arial" w:hAnsi="Arial" w:cs="Arial"/>
              </w:rPr>
              <w:t>the</w:t>
            </w:r>
            <w:r w:rsidRPr="00276D5E">
              <w:rPr>
                <w:rFonts w:ascii="Arial" w:hAnsi="Arial" w:cs="Arial"/>
                <w:spacing w:val="-2"/>
              </w:rPr>
              <w:t xml:space="preserve"> </w:t>
            </w:r>
            <w:r w:rsidRPr="00276D5E">
              <w:rPr>
                <w:rFonts w:ascii="Arial" w:hAnsi="Arial" w:cs="Arial"/>
              </w:rPr>
              <w:t>air</w:t>
            </w:r>
          </w:p>
        </w:tc>
      </w:tr>
      <w:tr w:rsidR="00FF5E02" w:rsidRPr="00276D5E" w14:paraId="38ED1C86" w14:textId="77777777" w:rsidTr="004F6505">
        <w:trPr>
          <w:trHeight w:val="202"/>
        </w:trPr>
        <w:tc>
          <w:tcPr>
            <w:tcW w:w="592" w:type="dxa"/>
          </w:tcPr>
          <w:p w14:paraId="2FB9AE86" w14:textId="77777777" w:rsidR="00FF5E02" w:rsidRPr="00276D5E" w:rsidRDefault="00FF5E02" w:rsidP="00FF5E02">
            <w:pPr>
              <w:pStyle w:val="TableParagraph"/>
              <w:spacing w:line="225" w:lineRule="exact"/>
              <w:ind w:left="86"/>
              <w:jc w:val="both"/>
              <w:rPr>
                <w:rFonts w:ascii="Arial" w:hAnsi="Arial" w:cs="Arial"/>
              </w:rPr>
            </w:pPr>
            <w:r w:rsidRPr="00276D5E">
              <w:rPr>
                <w:rFonts w:ascii="Arial" w:hAnsi="Arial" w:cs="Arial"/>
                <w:w w:val="99"/>
              </w:rPr>
              <w:t>b</w:t>
            </w:r>
          </w:p>
        </w:tc>
        <w:tc>
          <w:tcPr>
            <w:tcW w:w="8133" w:type="dxa"/>
            <w:gridSpan w:val="2"/>
          </w:tcPr>
          <w:p w14:paraId="01691F94" w14:textId="77777777" w:rsidR="00FF5E02" w:rsidRPr="00276D5E" w:rsidRDefault="00FF5E02" w:rsidP="00FF5E02">
            <w:pPr>
              <w:pStyle w:val="TableParagraph"/>
              <w:spacing w:line="225" w:lineRule="exact"/>
              <w:jc w:val="both"/>
              <w:rPr>
                <w:rFonts w:ascii="Arial" w:hAnsi="Arial" w:cs="Arial"/>
              </w:rPr>
            </w:pPr>
            <w:r w:rsidRPr="00276D5E">
              <w:rPr>
                <w:rFonts w:ascii="Arial" w:hAnsi="Arial" w:cs="Arial"/>
              </w:rPr>
              <w:t>Simulated</w:t>
            </w:r>
            <w:r w:rsidRPr="00276D5E">
              <w:rPr>
                <w:rFonts w:ascii="Arial" w:hAnsi="Arial" w:cs="Arial"/>
                <w:spacing w:val="-3"/>
              </w:rPr>
              <w:t xml:space="preserve"> </w:t>
            </w:r>
            <w:r w:rsidRPr="00276D5E">
              <w:rPr>
                <w:rFonts w:ascii="Arial" w:hAnsi="Arial" w:cs="Arial"/>
              </w:rPr>
              <w:t>pilot</w:t>
            </w:r>
            <w:r w:rsidRPr="00276D5E">
              <w:rPr>
                <w:rFonts w:ascii="Arial" w:hAnsi="Arial" w:cs="Arial"/>
                <w:spacing w:val="-3"/>
              </w:rPr>
              <w:t xml:space="preserve"> </w:t>
            </w:r>
            <w:r w:rsidRPr="00276D5E">
              <w:rPr>
                <w:rFonts w:ascii="Arial" w:hAnsi="Arial" w:cs="Arial"/>
              </w:rPr>
              <w:t>light,</w:t>
            </w:r>
            <w:r w:rsidRPr="00276D5E">
              <w:rPr>
                <w:rFonts w:ascii="Arial" w:hAnsi="Arial" w:cs="Arial"/>
                <w:spacing w:val="-2"/>
              </w:rPr>
              <w:t xml:space="preserve"> </w:t>
            </w:r>
            <w:r w:rsidRPr="00276D5E">
              <w:rPr>
                <w:rFonts w:ascii="Arial" w:hAnsi="Arial" w:cs="Arial"/>
              </w:rPr>
              <w:t>burner</w:t>
            </w:r>
            <w:r w:rsidRPr="00276D5E">
              <w:rPr>
                <w:rFonts w:ascii="Arial" w:hAnsi="Arial" w:cs="Arial"/>
                <w:spacing w:val="-3"/>
              </w:rPr>
              <w:t xml:space="preserve"> </w:t>
            </w:r>
            <w:r w:rsidRPr="00276D5E">
              <w:rPr>
                <w:rFonts w:ascii="Arial" w:hAnsi="Arial" w:cs="Arial"/>
              </w:rPr>
              <w:t>and</w:t>
            </w:r>
            <w:r w:rsidRPr="00276D5E">
              <w:rPr>
                <w:rFonts w:ascii="Arial" w:hAnsi="Arial" w:cs="Arial"/>
                <w:spacing w:val="-3"/>
              </w:rPr>
              <w:t xml:space="preserve"> </w:t>
            </w:r>
            <w:r w:rsidRPr="00276D5E">
              <w:rPr>
                <w:rFonts w:ascii="Arial" w:hAnsi="Arial" w:cs="Arial"/>
              </w:rPr>
              <w:t>engine</w:t>
            </w:r>
            <w:r w:rsidRPr="00276D5E">
              <w:rPr>
                <w:rFonts w:ascii="Arial" w:hAnsi="Arial" w:cs="Arial"/>
                <w:spacing w:val="-3"/>
              </w:rPr>
              <w:t xml:space="preserve"> </w:t>
            </w:r>
            <w:r w:rsidRPr="00276D5E">
              <w:rPr>
                <w:rFonts w:ascii="Arial" w:hAnsi="Arial" w:cs="Arial"/>
              </w:rPr>
              <w:t>failures</w:t>
            </w:r>
          </w:p>
        </w:tc>
      </w:tr>
      <w:tr w:rsidR="00FF5E02" w:rsidRPr="00276D5E" w14:paraId="2C3CE837" w14:textId="77777777" w:rsidTr="004F6505">
        <w:trPr>
          <w:trHeight w:val="199"/>
        </w:trPr>
        <w:tc>
          <w:tcPr>
            <w:tcW w:w="592" w:type="dxa"/>
          </w:tcPr>
          <w:p w14:paraId="7B6C1D84" w14:textId="77777777" w:rsidR="00FF5E02" w:rsidRPr="00276D5E" w:rsidRDefault="00FF5E02" w:rsidP="00FF5E02">
            <w:pPr>
              <w:pStyle w:val="TableParagraph"/>
              <w:spacing w:line="222" w:lineRule="exact"/>
              <w:ind w:left="86"/>
              <w:jc w:val="both"/>
              <w:rPr>
                <w:rFonts w:ascii="Arial" w:hAnsi="Arial" w:cs="Arial"/>
              </w:rPr>
            </w:pPr>
            <w:r w:rsidRPr="00276D5E">
              <w:rPr>
                <w:rFonts w:ascii="Arial" w:hAnsi="Arial" w:cs="Arial"/>
                <w:w w:val="99"/>
              </w:rPr>
              <w:t>c</w:t>
            </w:r>
          </w:p>
        </w:tc>
        <w:tc>
          <w:tcPr>
            <w:tcW w:w="8133" w:type="dxa"/>
            <w:gridSpan w:val="2"/>
          </w:tcPr>
          <w:p w14:paraId="7DB53847" w14:textId="77777777" w:rsidR="00FF5E02" w:rsidRPr="00276D5E" w:rsidRDefault="00FF5E02" w:rsidP="00FF5E02">
            <w:pPr>
              <w:pStyle w:val="TableParagraph"/>
              <w:spacing w:line="222" w:lineRule="exact"/>
              <w:jc w:val="both"/>
              <w:rPr>
                <w:rFonts w:ascii="Arial" w:hAnsi="Arial" w:cs="Arial"/>
              </w:rPr>
            </w:pPr>
            <w:r w:rsidRPr="00276D5E">
              <w:rPr>
                <w:rFonts w:ascii="Arial" w:hAnsi="Arial" w:cs="Arial"/>
              </w:rPr>
              <w:t>Approach</w:t>
            </w:r>
            <w:r w:rsidRPr="00276D5E">
              <w:rPr>
                <w:rFonts w:ascii="Arial" w:hAnsi="Arial" w:cs="Arial"/>
                <w:spacing w:val="-2"/>
              </w:rPr>
              <w:t xml:space="preserve"> </w:t>
            </w:r>
            <w:r w:rsidRPr="00276D5E">
              <w:rPr>
                <w:rFonts w:ascii="Arial" w:hAnsi="Arial" w:cs="Arial"/>
              </w:rPr>
              <w:t>with</w:t>
            </w:r>
            <w:r w:rsidRPr="00276D5E">
              <w:rPr>
                <w:rFonts w:ascii="Arial" w:hAnsi="Arial" w:cs="Arial"/>
                <w:spacing w:val="-2"/>
              </w:rPr>
              <w:t xml:space="preserve"> </w:t>
            </w:r>
            <w:r w:rsidRPr="00276D5E">
              <w:rPr>
                <w:rFonts w:ascii="Arial" w:hAnsi="Arial" w:cs="Arial"/>
              </w:rPr>
              <w:t>simulated</w:t>
            </w:r>
            <w:r w:rsidRPr="00276D5E">
              <w:rPr>
                <w:rFonts w:ascii="Arial" w:hAnsi="Arial" w:cs="Arial"/>
                <w:spacing w:val="-3"/>
              </w:rPr>
              <w:t xml:space="preserve"> </w:t>
            </w:r>
            <w:r w:rsidRPr="00276D5E">
              <w:rPr>
                <w:rFonts w:ascii="Arial" w:hAnsi="Arial" w:cs="Arial"/>
              </w:rPr>
              <w:t>engine</w:t>
            </w:r>
            <w:r w:rsidRPr="00276D5E">
              <w:rPr>
                <w:rFonts w:ascii="Arial" w:hAnsi="Arial" w:cs="Arial"/>
                <w:spacing w:val="-3"/>
              </w:rPr>
              <w:t xml:space="preserve"> </w:t>
            </w:r>
            <w:r w:rsidRPr="00276D5E">
              <w:rPr>
                <w:rFonts w:ascii="Arial" w:hAnsi="Arial" w:cs="Arial"/>
              </w:rPr>
              <w:t>failure,</w:t>
            </w:r>
            <w:r w:rsidRPr="00276D5E">
              <w:rPr>
                <w:rFonts w:ascii="Arial" w:hAnsi="Arial" w:cs="Arial"/>
                <w:spacing w:val="-2"/>
              </w:rPr>
              <w:t xml:space="preserve"> </w:t>
            </w:r>
            <w:r w:rsidRPr="00276D5E">
              <w:rPr>
                <w:rFonts w:ascii="Arial" w:hAnsi="Arial" w:cs="Arial"/>
              </w:rPr>
              <w:t>missed</w:t>
            </w:r>
            <w:r w:rsidRPr="00276D5E">
              <w:rPr>
                <w:rFonts w:ascii="Arial" w:hAnsi="Arial" w:cs="Arial"/>
                <w:spacing w:val="-3"/>
              </w:rPr>
              <w:t xml:space="preserve"> </w:t>
            </w:r>
            <w:r w:rsidRPr="00276D5E">
              <w:rPr>
                <w:rFonts w:ascii="Arial" w:hAnsi="Arial" w:cs="Arial"/>
              </w:rPr>
              <w:t>approach</w:t>
            </w:r>
            <w:r w:rsidRPr="00276D5E">
              <w:rPr>
                <w:rFonts w:ascii="Arial" w:hAnsi="Arial" w:cs="Arial"/>
                <w:spacing w:val="-1"/>
              </w:rPr>
              <w:t xml:space="preserve"> </w:t>
            </w:r>
            <w:r w:rsidRPr="00276D5E">
              <w:rPr>
                <w:rFonts w:ascii="Arial" w:hAnsi="Arial" w:cs="Arial"/>
              </w:rPr>
              <w:t>and</w:t>
            </w:r>
            <w:r w:rsidRPr="00276D5E">
              <w:rPr>
                <w:rFonts w:ascii="Arial" w:hAnsi="Arial" w:cs="Arial"/>
                <w:spacing w:val="-2"/>
              </w:rPr>
              <w:t xml:space="preserve"> </w:t>
            </w:r>
            <w:r w:rsidRPr="00276D5E">
              <w:rPr>
                <w:rFonts w:ascii="Arial" w:hAnsi="Arial" w:cs="Arial"/>
              </w:rPr>
              <w:t>go-around</w:t>
            </w:r>
          </w:p>
        </w:tc>
      </w:tr>
      <w:tr w:rsidR="00FF5E02" w:rsidRPr="00276D5E" w14:paraId="06FE13F2" w14:textId="77777777" w:rsidTr="004F6505">
        <w:trPr>
          <w:trHeight w:val="202"/>
        </w:trPr>
        <w:tc>
          <w:tcPr>
            <w:tcW w:w="592" w:type="dxa"/>
          </w:tcPr>
          <w:p w14:paraId="37A55987" w14:textId="77777777" w:rsidR="00FF5E02" w:rsidRPr="00276D5E" w:rsidRDefault="00FF5E02" w:rsidP="00FF5E02">
            <w:pPr>
              <w:pStyle w:val="TableParagraph"/>
              <w:spacing w:line="225" w:lineRule="exact"/>
              <w:ind w:left="86"/>
              <w:jc w:val="both"/>
              <w:rPr>
                <w:rFonts w:ascii="Arial" w:hAnsi="Arial" w:cs="Arial"/>
              </w:rPr>
            </w:pPr>
            <w:r w:rsidRPr="00276D5E">
              <w:rPr>
                <w:rFonts w:ascii="Arial" w:hAnsi="Arial" w:cs="Arial"/>
                <w:w w:val="99"/>
              </w:rPr>
              <w:t>d</w:t>
            </w:r>
          </w:p>
        </w:tc>
        <w:tc>
          <w:tcPr>
            <w:tcW w:w="8133" w:type="dxa"/>
            <w:gridSpan w:val="2"/>
          </w:tcPr>
          <w:p w14:paraId="5D6857D3" w14:textId="77777777" w:rsidR="00FF5E02" w:rsidRPr="00276D5E" w:rsidRDefault="00FF5E02" w:rsidP="00FF5E02">
            <w:pPr>
              <w:pStyle w:val="TableParagraph"/>
              <w:spacing w:line="225" w:lineRule="exact"/>
              <w:jc w:val="both"/>
              <w:rPr>
                <w:rFonts w:ascii="Arial" w:hAnsi="Arial" w:cs="Arial"/>
              </w:rPr>
            </w:pPr>
            <w:r w:rsidRPr="00276D5E">
              <w:rPr>
                <w:rFonts w:ascii="Arial" w:hAnsi="Arial" w:cs="Arial"/>
              </w:rPr>
              <w:t>Simulated</w:t>
            </w:r>
            <w:r w:rsidRPr="00276D5E">
              <w:rPr>
                <w:rFonts w:ascii="Arial" w:hAnsi="Arial" w:cs="Arial"/>
                <w:spacing w:val="-4"/>
              </w:rPr>
              <w:t xml:space="preserve"> </w:t>
            </w:r>
            <w:r w:rsidRPr="00276D5E">
              <w:rPr>
                <w:rFonts w:ascii="Arial" w:hAnsi="Arial" w:cs="Arial"/>
              </w:rPr>
              <w:t>passenger</w:t>
            </w:r>
            <w:r w:rsidRPr="00276D5E">
              <w:rPr>
                <w:rFonts w:ascii="Arial" w:hAnsi="Arial" w:cs="Arial"/>
                <w:spacing w:val="-4"/>
              </w:rPr>
              <w:t xml:space="preserve"> </w:t>
            </w:r>
            <w:r w:rsidRPr="00276D5E">
              <w:rPr>
                <w:rFonts w:ascii="Arial" w:hAnsi="Arial" w:cs="Arial"/>
              </w:rPr>
              <w:t>health</w:t>
            </w:r>
            <w:r w:rsidRPr="00276D5E">
              <w:rPr>
                <w:rFonts w:ascii="Arial" w:hAnsi="Arial" w:cs="Arial"/>
                <w:spacing w:val="-4"/>
              </w:rPr>
              <w:t xml:space="preserve"> </w:t>
            </w:r>
            <w:r w:rsidRPr="00276D5E">
              <w:rPr>
                <w:rFonts w:ascii="Arial" w:hAnsi="Arial" w:cs="Arial"/>
              </w:rPr>
              <w:t>problems</w:t>
            </w:r>
          </w:p>
        </w:tc>
      </w:tr>
      <w:tr w:rsidR="00FF5E02" w:rsidRPr="00276D5E" w14:paraId="0501EE48" w14:textId="77777777" w:rsidTr="004F6505">
        <w:trPr>
          <w:trHeight w:val="199"/>
        </w:trPr>
        <w:tc>
          <w:tcPr>
            <w:tcW w:w="592" w:type="dxa"/>
          </w:tcPr>
          <w:p w14:paraId="5C4FD9AB" w14:textId="77777777" w:rsidR="00FF5E02" w:rsidRPr="00276D5E" w:rsidRDefault="00FF5E02" w:rsidP="00FF5E02">
            <w:pPr>
              <w:pStyle w:val="TableParagraph"/>
              <w:spacing w:line="223" w:lineRule="exact"/>
              <w:ind w:left="86"/>
              <w:jc w:val="both"/>
              <w:rPr>
                <w:rFonts w:ascii="Arial" w:hAnsi="Arial" w:cs="Arial"/>
              </w:rPr>
            </w:pPr>
            <w:r w:rsidRPr="00276D5E">
              <w:rPr>
                <w:rFonts w:ascii="Arial" w:hAnsi="Arial" w:cs="Arial"/>
                <w:w w:val="99"/>
              </w:rPr>
              <w:t>e</w:t>
            </w:r>
          </w:p>
        </w:tc>
        <w:tc>
          <w:tcPr>
            <w:tcW w:w="8133" w:type="dxa"/>
            <w:gridSpan w:val="2"/>
          </w:tcPr>
          <w:p w14:paraId="7E5E5C25" w14:textId="77777777" w:rsidR="00FF5E02" w:rsidRPr="00276D5E" w:rsidRDefault="00FF5E02" w:rsidP="00FF5E02">
            <w:pPr>
              <w:pStyle w:val="TableParagraph"/>
              <w:spacing w:line="223" w:lineRule="exact"/>
              <w:jc w:val="both"/>
              <w:rPr>
                <w:rFonts w:ascii="Arial" w:hAnsi="Arial" w:cs="Arial"/>
              </w:rPr>
            </w:pPr>
            <w:r w:rsidRPr="00276D5E">
              <w:rPr>
                <w:rFonts w:ascii="Arial" w:hAnsi="Arial" w:cs="Arial"/>
              </w:rPr>
              <w:t>Other</w:t>
            </w:r>
            <w:r w:rsidRPr="00276D5E">
              <w:rPr>
                <w:rFonts w:ascii="Arial" w:hAnsi="Arial" w:cs="Arial"/>
                <w:spacing w:val="-3"/>
              </w:rPr>
              <w:t xml:space="preserve"> </w:t>
            </w:r>
            <w:r w:rsidRPr="00276D5E">
              <w:rPr>
                <w:rFonts w:ascii="Arial" w:hAnsi="Arial" w:cs="Arial"/>
              </w:rPr>
              <w:t>abnormal</w:t>
            </w:r>
            <w:r w:rsidRPr="00276D5E">
              <w:rPr>
                <w:rFonts w:ascii="Arial" w:hAnsi="Arial" w:cs="Arial"/>
                <w:spacing w:val="-2"/>
              </w:rPr>
              <w:t xml:space="preserve"> </w:t>
            </w:r>
            <w:r w:rsidRPr="00276D5E">
              <w:rPr>
                <w:rFonts w:ascii="Arial" w:hAnsi="Arial" w:cs="Arial"/>
              </w:rPr>
              <w:t>and</w:t>
            </w:r>
            <w:r w:rsidRPr="00276D5E">
              <w:rPr>
                <w:rFonts w:ascii="Arial" w:hAnsi="Arial" w:cs="Arial"/>
                <w:spacing w:val="-2"/>
              </w:rPr>
              <w:t xml:space="preserve"> </w:t>
            </w:r>
            <w:r w:rsidRPr="00276D5E">
              <w:rPr>
                <w:rFonts w:ascii="Arial" w:hAnsi="Arial" w:cs="Arial"/>
              </w:rPr>
              <w:t>emergency</w:t>
            </w:r>
            <w:r w:rsidRPr="00276D5E">
              <w:rPr>
                <w:rFonts w:ascii="Arial" w:hAnsi="Arial" w:cs="Arial"/>
                <w:spacing w:val="-2"/>
              </w:rPr>
              <w:t xml:space="preserve"> </w:t>
            </w:r>
            <w:r w:rsidRPr="00276D5E">
              <w:rPr>
                <w:rFonts w:ascii="Arial" w:hAnsi="Arial" w:cs="Arial"/>
              </w:rPr>
              <w:t>procedures</w:t>
            </w:r>
            <w:r w:rsidRPr="00276D5E">
              <w:rPr>
                <w:rFonts w:ascii="Arial" w:hAnsi="Arial" w:cs="Arial"/>
                <w:spacing w:val="-4"/>
              </w:rPr>
              <w:t xml:space="preserve"> </w:t>
            </w:r>
            <w:r w:rsidRPr="00276D5E">
              <w:rPr>
                <w:rFonts w:ascii="Arial" w:hAnsi="Arial" w:cs="Arial"/>
              </w:rPr>
              <w:t>as</w:t>
            </w:r>
            <w:r w:rsidRPr="00276D5E">
              <w:rPr>
                <w:rFonts w:ascii="Arial" w:hAnsi="Arial" w:cs="Arial"/>
                <w:spacing w:val="-4"/>
              </w:rPr>
              <w:t xml:space="preserve"> </w:t>
            </w:r>
            <w:r w:rsidRPr="00276D5E">
              <w:rPr>
                <w:rFonts w:ascii="Arial" w:hAnsi="Arial" w:cs="Arial"/>
              </w:rPr>
              <w:t>outlined</w:t>
            </w:r>
            <w:r w:rsidRPr="00276D5E">
              <w:rPr>
                <w:rFonts w:ascii="Arial" w:hAnsi="Arial" w:cs="Arial"/>
                <w:spacing w:val="-2"/>
              </w:rPr>
              <w:t xml:space="preserve"> </w:t>
            </w:r>
            <w:r w:rsidRPr="00276D5E">
              <w:rPr>
                <w:rFonts w:ascii="Arial" w:hAnsi="Arial" w:cs="Arial"/>
              </w:rPr>
              <w:t>in</w:t>
            </w:r>
            <w:r w:rsidRPr="00276D5E">
              <w:rPr>
                <w:rFonts w:ascii="Arial" w:hAnsi="Arial" w:cs="Arial"/>
                <w:spacing w:val="-1"/>
              </w:rPr>
              <w:t xml:space="preserve"> </w:t>
            </w:r>
            <w:r w:rsidRPr="00276D5E">
              <w:rPr>
                <w:rFonts w:ascii="Arial" w:hAnsi="Arial" w:cs="Arial"/>
              </w:rPr>
              <w:t>the</w:t>
            </w:r>
            <w:r w:rsidRPr="00276D5E">
              <w:rPr>
                <w:rFonts w:ascii="Arial" w:hAnsi="Arial" w:cs="Arial"/>
                <w:spacing w:val="-3"/>
              </w:rPr>
              <w:t xml:space="preserve"> </w:t>
            </w:r>
            <w:r w:rsidRPr="00276D5E">
              <w:rPr>
                <w:rFonts w:ascii="Arial" w:hAnsi="Arial" w:cs="Arial"/>
              </w:rPr>
              <w:t>appropriate</w:t>
            </w:r>
            <w:r w:rsidRPr="00276D5E">
              <w:rPr>
                <w:rFonts w:ascii="Arial" w:hAnsi="Arial" w:cs="Arial"/>
                <w:spacing w:val="-3"/>
              </w:rPr>
              <w:t xml:space="preserve"> </w:t>
            </w:r>
            <w:r w:rsidRPr="00276D5E">
              <w:rPr>
                <w:rFonts w:ascii="Arial" w:hAnsi="Arial" w:cs="Arial"/>
              </w:rPr>
              <w:t>flight</w:t>
            </w:r>
            <w:r w:rsidRPr="00276D5E">
              <w:rPr>
                <w:rFonts w:ascii="Arial" w:hAnsi="Arial" w:cs="Arial"/>
                <w:spacing w:val="-2"/>
              </w:rPr>
              <w:t xml:space="preserve"> </w:t>
            </w:r>
            <w:r w:rsidRPr="00276D5E">
              <w:rPr>
                <w:rFonts w:ascii="Arial" w:hAnsi="Arial" w:cs="Arial"/>
              </w:rPr>
              <w:t>manual</w:t>
            </w:r>
          </w:p>
        </w:tc>
      </w:tr>
      <w:tr w:rsidR="00FF5E02" w:rsidRPr="00276D5E" w14:paraId="11F8A443" w14:textId="77777777" w:rsidTr="004F6505">
        <w:trPr>
          <w:trHeight w:val="203"/>
        </w:trPr>
        <w:tc>
          <w:tcPr>
            <w:tcW w:w="592" w:type="dxa"/>
          </w:tcPr>
          <w:p w14:paraId="361EF6EE" w14:textId="77777777" w:rsidR="00FF5E02" w:rsidRPr="00276D5E" w:rsidRDefault="00FF5E02" w:rsidP="00FF5E02">
            <w:pPr>
              <w:pStyle w:val="TableParagraph"/>
              <w:spacing w:line="226" w:lineRule="exact"/>
              <w:ind w:left="86"/>
              <w:jc w:val="both"/>
              <w:rPr>
                <w:rFonts w:ascii="Arial" w:hAnsi="Arial" w:cs="Arial"/>
              </w:rPr>
            </w:pPr>
            <w:r w:rsidRPr="00276D5E">
              <w:rPr>
                <w:rFonts w:ascii="Arial" w:hAnsi="Arial" w:cs="Arial"/>
                <w:w w:val="99"/>
              </w:rPr>
              <w:t>f</w:t>
            </w:r>
          </w:p>
        </w:tc>
        <w:tc>
          <w:tcPr>
            <w:tcW w:w="8133" w:type="dxa"/>
            <w:gridSpan w:val="2"/>
          </w:tcPr>
          <w:p w14:paraId="5CF3D9D5" w14:textId="77777777" w:rsidR="00FF5E02" w:rsidRPr="00276D5E" w:rsidRDefault="00FF5E02" w:rsidP="00FF5E02">
            <w:pPr>
              <w:pStyle w:val="TableParagraph"/>
              <w:spacing w:line="226" w:lineRule="exact"/>
              <w:jc w:val="both"/>
              <w:rPr>
                <w:rFonts w:ascii="Arial" w:hAnsi="Arial" w:cs="Arial"/>
              </w:rPr>
            </w:pPr>
            <w:r w:rsidRPr="00276D5E">
              <w:rPr>
                <w:rFonts w:ascii="Arial" w:hAnsi="Arial" w:cs="Arial"/>
              </w:rPr>
              <w:t>Oral</w:t>
            </w:r>
            <w:r w:rsidRPr="00276D5E">
              <w:rPr>
                <w:rFonts w:ascii="Arial" w:hAnsi="Arial" w:cs="Arial"/>
                <w:spacing w:val="-4"/>
              </w:rPr>
              <w:t xml:space="preserve"> </w:t>
            </w:r>
            <w:r w:rsidRPr="00276D5E">
              <w:rPr>
                <w:rFonts w:ascii="Arial" w:hAnsi="Arial" w:cs="Arial"/>
              </w:rPr>
              <w:t>questions</w:t>
            </w:r>
          </w:p>
        </w:tc>
      </w:tr>
    </w:tbl>
    <w:p w14:paraId="0AC256B1" w14:textId="77777777" w:rsidR="00FF5E02" w:rsidRDefault="00FF5E02" w:rsidP="00FF5E02">
      <w:pPr>
        <w:tabs>
          <w:tab w:val="left" w:pos="706"/>
          <w:tab w:val="left" w:pos="707"/>
        </w:tabs>
        <w:jc w:val="both"/>
        <w:rPr>
          <w:rFonts w:ascii="Arial" w:hAnsi="Arial" w:cs="Arial"/>
          <w:sz w:val="20"/>
        </w:rPr>
      </w:pPr>
    </w:p>
    <w:p w14:paraId="5C846831" w14:textId="77777777" w:rsidR="00613E70" w:rsidRPr="00613E70" w:rsidRDefault="00613E70" w:rsidP="00613E70">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685" w:name="_Toc153137440"/>
      <w:r w:rsidRPr="00613E70">
        <w:rPr>
          <w:rFonts w:ascii="Arial" w:eastAsia="Times New Roman" w:hAnsi="Arial" w:cs="Times New Roman"/>
          <w:b/>
          <w:color w:val="FFFFFF"/>
          <w:sz w:val="24"/>
        </w:rPr>
        <w:t>AMC1 BFCL.215(d)(1)(i) Commercial operation rating</w:t>
      </w:r>
      <w:bookmarkEnd w:id="685"/>
      <w:r w:rsidRPr="00613E70">
        <w:rPr>
          <w:rFonts w:ascii="Arial" w:eastAsia="Times New Roman" w:hAnsi="Arial" w:cs="Times New Roman"/>
          <w:b/>
          <w:color w:val="FFFFFF"/>
          <w:sz w:val="24"/>
        </w:rPr>
        <w:tab/>
      </w:r>
    </w:p>
    <w:p w14:paraId="5E9DF9DD" w14:textId="77777777" w:rsidR="00613E70" w:rsidRPr="00613E70" w:rsidRDefault="00613E70" w:rsidP="00613E70">
      <w:pPr>
        <w:widowControl/>
        <w:autoSpaceDE/>
        <w:autoSpaceDN/>
        <w:spacing w:before="240" w:after="160" w:line="264" w:lineRule="auto"/>
        <w:jc w:val="both"/>
        <w:rPr>
          <w:rFonts w:ascii="Arial" w:eastAsiaTheme="minorHAnsi" w:hAnsi="Arial" w:cs="Arial"/>
          <w:b/>
          <w:bCs/>
          <w:sz w:val="20"/>
          <w:szCs w:val="20"/>
        </w:rPr>
      </w:pPr>
      <w:r w:rsidRPr="00613E70">
        <w:rPr>
          <w:rFonts w:ascii="Arial" w:eastAsiaTheme="minorHAnsi" w:hAnsi="Arial" w:cs="Arial"/>
          <w:b/>
          <w:bCs/>
          <w:sz w:val="20"/>
          <w:szCs w:val="20"/>
        </w:rPr>
        <w:t>CRITERIA FOR RECENCY FLIGHTS AS PIC</w:t>
      </w:r>
    </w:p>
    <w:p w14:paraId="6D8779DC" w14:textId="77777777" w:rsidR="00613E70" w:rsidRPr="00613E70" w:rsidRDefault="00613E70" w:rsidP="00682A54">
      <w:pPr>
        <w:pStyle w:val="ListParagraph"/>
        <w:numPr>
          <w:ilvl w:val="0"/>
          <w:numId w:val="216"/>
        </w:numPr>
        <w:tabs>
          <w:tab w:val="left" w:pos="706"/>
          <w:tab w:val="left" w:pos="707"/>
        </w:tabs>
        <w:spacing w:before="119"/>
        <w:jc w:val="both"/>
        <w:rPr>
          <w:rFonts w:ascii="Arial" w:hAnsi="Arial" w:cs="Arial"/>
          <w:sz w:val="20"/>
        </w:rPr>
      </w:pPr>
      <w:r w:rsidRPr="00613E70">
        <w:rPr>
          <w:rFonts w:ascii="Arial" w:hAnsi="Arial" w:cs="Arial"/>
          <w:sz w:val="20"/>
        </w:rPr>
        <w:t>In</w:t>
      </w:r>
      <w:r w:rsidRPr="00613E70">
        <w:rPr>
          <w:rFonts w:ascii="Arial" w:hAnsi="Arial" w:cs="Arial"/>
          <w:spacing w:val="-3"/>
          <w:sz w:val="20"/>
        </w:rPr>
        <w:t xml:space="preserve"> </w:t>
      </w:r>
      <w:r w:rsidRPr="00613E70">
        <w:rPr>
          <w:rFonts w:ascii="Arial" w:hAnsi="Arial" w:cs="Arial"/>
          <w:sz w:val="20"/>
        </w:rPr>
        <w:t>order</w:t>
      </w:r>
      <w:r w:rsidRPr="00613E70">
        <w:rPr>
          <w:rFonts w:ascii="Arial" w:hAnsi="Arial" w:cs="Arial"/>
          <w:spacing w:val="-3"/>
          <w:sz w:val="20"/>
        </w:rPr>
        <w:t xml:space="preserve"> </w:t>
      </w:r>
      <w:r w:rsidRPr="00613E70">
        <w:rPr>
          <w:rFonts w:ascii="Arial" w:hAnsi="Arial" w:cs="Arial"/>
          <w:sz w:val="20"/>
        </w:rPr>
        <w:t>to</w:t>
      </w:r>
      <w:r w:rsidRPr="00613E70">
        <w:rPr>
          <w:rFonts w:ascii="Arial" w:hAnsi="Arial" w:cs="Arial"/>
          <w:spacing w:val="-2"/>
          <w:sz w:val="20"/>
        </w:rPr>
        <w:t xml:space="preserve"> </w:t>
      </w:r>
      <w:r w:rsidRPr="00613E70">
        <w:rPr>
          <w:rFonts w:ascii="Arial" w:hAnsi="Arial" w:cs="Arial"/>
          <w:sz w:val="20"/>
        </w:rPr>
        <w:t>count</w:t>
      </w:r>
      <w:r w:rsidRPr="00613E70">
        <w:rPr>
          <w:rFonts w:ascii="Arial" w:hAnsi="Arial" w:cs="Arial"/>
          <w:spacing w:val="-4"/>
          <w:sz w:val="20"/>
        </w:rPr>
        <w:t xml:space="preserve"> </w:t>
      </w:r>
      <w:r w:rsidRPr="00613E70">
        <w:rPr>
          <w:rFonts w:ascii="Arial" w:hAnsi="Arial" w:cs="Arial"/>
          <w:sz w:val="20"/>
        </w:rPr>
        <w:t>as</w:t>
      </w:r>
      <w:r w:rsidRPr="00613E70">
        <w:rPr>
          <w:rFonts w:ascii="Arial" w:hAnsi="Arial" w:cs="Arial"/>
          <w:spacing w:val="-1"/>
          <w:sz w:val="20"/>
        </w:rPr>
        <w:t xml:space="preserve"> </w:t>
      </w:r>
      <w:r w:rsidRPr="00613E70">
        <w:rPr>
          <w:rFonts w:ascii="Arial" w:hAnsi="Arial" w:cs="Arial"/>
          <w:sz w:val="20"/>
        </w:rPr>
        <w:t>a</w:t>
      </w:r>
      <w:r w:rsidRPr="00613E70">
        <w:rPr>
          <w:rFonts w:ascii="Arial" w:hAnsi="Arial" w:cs="Arial"/>
          <w:spacing w:val="-1"/>
          <w:sz w:val="20"/>
        </w:rPr>
        <w:t xml:space="preserve"> </w:t>
      </w:r>
      <w:r w:rsidRPr="00613E70">
        <w:rPr>
          <w:rFonts w:ascii="Arial" w:hAnsi="Arial" w:cs="Arial"/>
          <w:sz w:val="20"/>
        </w:rPr>
        <w:t>flight</w:t>
      </w:r>
      <w:r w:rsidRPr="00613E70">
        <w:rPr>
          <w:rFonts w:ascii="Arial" w:hAnsi="Arial" w:cs="Arial"/>
          <w:spacing w:val="-4"/>
          <w:sz w:val="20"/>
        </w:rPr>
        <w:t xml:space="preserve"> </w:t>
      </w:r>
      <w:r w:rsidRPr="00613E70">
        <w:rPr>
          <w:rFonts w:ascii="Arial" w:hAnsi="Arial" w:cs="Arial"/>
          <w:sz w:val="20"/>
        </w:rPr>
        <w:t>in</w:t>
      </w:r>
      <w:r w:rsidRPr="00613E70">
        <w:rPr>
          <w:rFonts w:ascii="Arial" w:hAnsi="Arial" w:cs="Arial"/>
          <w:spacing w:val="-1"/>
          <w:sz w:val="20"/>
        </w:rPr>
        <w:t xml:space="preserve"> </w:t>
      </w:r>
      <w:r w:rsidRPr="00613E70">
        <w:rPr>
          <w:rFonts w:ascii="Arial" w:hAnsi="Arial" w:cs="Arial"/>
          <w:sz w:val="20"/>
        </w:rPr>
        <w:t>terms</w:t>
      </w:r>
      <w:r w:rsidRPr="00613E70">
        <w:rPr>
          <w:rFonts w:ascii="Arial" w:hAnsi="Arial" w:cs="Arial"/>
          <w:spacing w:val="-3"/>
          <w:sz w:val="20"/>
        </w:rPr>
        <w:t xml:space="preserve"> </w:t>
      </w:r>
      <w:r w:rsidRPr="00613E70">
        <w:rPr>
          <w:rFonts w:ascii="Arial" w:hAnsi="Arial" w:cs="Arial"/>
          <w:sz w:val="20"/>
        </w:rPr>
        <w:t>of</w:t>
      </w:r>
      <w:r w:rsidRPr="00613E70">
        <w:rPr>
          <w:rFonts w:ascii="Arial" w:hAnsi="Arial" w:cs="Arial"/>
          <w:spacing w:val="-2"/>
          <w:sz w:val="20"/>
        </w:rPr>
        <w:t xml:space="preserve"> </w:t>
      </w:r>
      <w:r w:rsidRPr="00613E70">
        <w:rPr>
          <w:rFonts w:ascii="Arial" w:hAnsi="Arial" w:cs="Arial"/>
          <w:sz w:val="20"/>
        </w:rPr>
        <w:t>point</w:t>
      </w:r>
      <w:r w:rsidRPr="00613E70">
        <w:rPr>
          <w:rFonts w:ascii="Arial" w:hAnsi="Arial" w:cs="Arial"/>
          <w:spacing w:val="-1"/>
          <w:sz w:val="20"/>
        </w:rPr>
        <w:t xml:space="preserve"> </w:t>
      </w:r>
      <w:r w:rsidRPr="00613E70">
        <w:rPr>
          <w:rFonts w:ascii="Arial" w:hAnsi="Arial" w:cs="Arial"/>
          <w:sz w:val="20"/>
        </w:rPr>
        <w:t>BFCL.215(d)(1)(i),</w:t>
      </w:r>
      <w:r w:rsidRPr="00613E70">
        <w:rPr>
          <w:rFonts w:ascii="Arial" w:hAnsi="Arial" w:cs="Arial"/>
          <w:spacing w:val="-1"/>
          <w:sz w:val="20"/>
        </w:rPr>
        <w:t xml:space="preserve"> </w:t>
      </w:r>
      <w:r w:rsidRPr="00613E70">
        <w:rPr>
          <w:rFonts w:ascii="Arial" w:hAnsi="Arial" w:cs="Arial"/>
          <w:sz w:val="20"/>
        </w:rPr>
        <w:t>the</w:t>
      </w:r>
      <w:r w:rsidRPr="00613E70">
        <w:rPr>
          <w:rFonts w:ascii="Arial" w:hAnsi="Arial" w:cs="Arial"/>
          <w:spacing w:val="-5"/>
          <w:sz w:val="20"/>
        </w:rPr>
        <w:t xml:space="preserve"> </w:t>
      </w:r>
      <w:r w:rsidRPr="00613E70">
        <w:rPr>
          <w:rFonts w:ascii="Arial" w:hAnsi="Arial" w:cs="Arial"/>
          <w:sz w:val="20"/>
        </w:rPr>
        <w:t>flight</w:t>
      </w:r>
      <w:r w:rsidRPr="00613E70">
        <w:rPr>
          <w:rFonts w:ascii="Arial" w:hAnsi="Arial" w:cs="Arial"/>
          <w:spacing w:val="-1"/>
          <w:sz w:val="20"/>
        </w:rPr>
        <w:t xml:space="preserve"> </w:t>
      </w:r>
      <w:r w:rsidRPr="00613E70">
        <w:rPr>
          <w:rFonts w:ascii="Arial" w:hAnsi="Arial" w:cs="Arial"/>
          <w:sz w:val="20"/>
        </w:rPr>
        <w:t>should:</w:t>
      </w:r>
    </w:p>
    <w:p w14:paraId="015AE051" w14:textId="77777777" w:rsidR="00613E70" w:rsidRPr="00613E70" w:rsidRDefault="00613E70" w:rsidP="00682A54">
      <w:pPr>
        <w:pStyle w:val="ListParagraph"/>
        <w:numPr>
          <w:ilvl w:val="1"/>
          <w:numId w:val="216"/>
        </w:numPr>
        <w:tabs>
          <w:tab w:val="left" w:pos="1273"/>
          <w:tab w:val="left" w:pos="1274"/>
        </w:tabs>
        <w:ind w:hanging="568"/>
        <w:jc w:val="both"/>
        <w:rPr>
          <w:rFonts w:ascii="Arial" w:hAnsi="Arial" w:cs="Arial"/>
          <w:sz w:val="20"/>
        </w:rPr>
      </w:pPr>
      <w:r w:rsidRPr="00613E70">
        <w:rPr>
          <w:rFonts w:ascii="Arial" w:hAnsi="Arial" w:cs="Arial"/>
          <w:sz w:val="20"/>
        </w:rPr>
        <w:t>have a</w:t>
      </w:r>
      <w:r w:rsidRPr="00613E70">
        <w:rPr>
          <w:rFonts w:ascii="Arial" w:hAnsi="Arial" w:cs="Arial"/>
          <w:spacing w:val="-3"/>
          <w:sz w:val="20"/>
        </w:rPr>
        <w:t xml:space="preserve"> </w:t>
      </w:r>
      <w:r w:rsidRPr="00613E70">
        <w:rPr>
          <w:rFonts w:ascii="Arial" w:hAnsi="Arial" w:cs="Arial"/>
          <w:sz w:val="20"/>
        </w:rPr>
        <w:t>duration</w:t>
      </w:r>
      <w:r w:rsidRPr="00613E70">
        <w:rPr>
          <w:rFonts w:ascii="Arial" w:hAnsi="Arial" w:cs="Arial"/>
          <w:spacing w:val="-4"/>
          <w:sz w:val="20"/>
        </w:rPr>
        <w:t xml:space="preserve"> </w:t>
      </w:r>
      <w:r w:rsidRPr="00613E70">
        <w:rPr>
          <w:rFonts w:ascii="Arial" w:hAnsi="Arial" w:cs="Arial"/>
          <w:sz w:val="20"/>
        </w:rPr>
        <w:t>of at</w:t>
      </w:r>
      <w:r w:rsidRPr="00613E70">
        <w:rPr>
          <w:rFonts w:ascii="Arial" w:hAnsi="Arial" w:cs="Arial"/>
          <w:spacing w:val="-1"/>
          <w:sz w:val="20"/>
        </w:rPr>
        <w:t xml:space="preserve"> </w:t>
      </w:r>
      <w:r w:rsidRPr="00613E70">
        <w:rPr>
          <w:rFonts w:ascii="Arial" w:hAnsi="Arial" w:cs="Arial"/>
          <w:sz w:val="20"/>
        </w:rPr>
        <w:t>least</w:t>
      </w:r>
      <w:r w:rsidRPr="00613E70">
        <w:rPr>
          <w:rFonts w:ascii="Arial" w:hAnsi="Arial" w:cs="Arial"/>
          <w:spacing w:val="-2"/>
          <w:sz w:val="20"/>
        </w:rPr>
        <w:t xml:space="preserve"> </w:t>
      </w:r>
      <w:r w:rsidRPr="00613E70">
        <w:rPr>
          <w:rFonts w:ascii="Arial" w:hAnsi="Arial" w:cs="Arial"/>
          <w:sz w:val="20"/>
        </w:rPr>
        <w:t>10</w:t>
      </w:r>
      <w:r w:rsidRPr="00613E70">
        <w:rPr>
          <w:rFonts w:ascii="Arial" w:hAnsi="Arial" w:cs="Arial"/>
          <w:spacing w:val="-3"/>
          <w:sz w:val="20"/>
        </w:rPr>
        <w:t xml:space="preserve"> </w:t>
      </w:r>
      <w:r w:rsidRPr="00613E70">
        <w:rPr>
          <w:rFonts w:ascii="Arial" w:hAnsi="Arial" w:cs="Arial"/>
          <w:sz w:val="20"/>
        </w:rPr>
        <w:t>minutes;</w:t>
      </w:r>
    </w:p>
    <w:p w14:paraId="165C2C6A" w14:textId="639FC4B4" w:rsidR="00613E70" w:rsidRPr="00613E70" w:rsidRDefault="00613E70" w:rsidP="00682A54">
      <w:pPr>
        <w:pStyle w:val="ListParagraph"/>
        <w:numPr>
          <w:ilvl w:val="1"/>
          <w:numId w:val="216"/>
        </w:numPr>
        <w:tabs>
          <w:tab w:val="left" w:pos="1273"/>
          <w:tab w:val="left" w:pos="1274"/>
        </w:tabs>
        <w:spacing w:before="121"/>
        <w:ind w:right="199"/>
        <w:jc w:val="both"/>
        <w:rPr>
          <w:rFonts w:ascii="Arial" w:hAnsi="Arial" w:cs="Arial"/>
          <w:sz w:val="20"/>
        </w:rPr>
      </w:pPr>
      <w:r w:rsidRPr="00613E70">
        <w:rPr>
          <w:rFonts w:ascii="Arial" w:hAnsi="Arial" w:cs="Arial"/>
          <w:sz w:val="20"/>
        </w:rPr>
        <w:t>reach</w:t>
      </w:r>
      <w:r w:rsidRPr="00613E70">
        <w:rPr>
          <w:rFonts w:ascii="Arial" w:hAnsi="Arial" w:cs="Arial"/>
          <w:spacing w:val="22"/>
          <w:sz w:val="20"/>
        </w:rPr>
        <w:t xml:space="preserve"> </w:t>
      </w:r>
      <w:r w:rsidRPr="00613E70">
        <w:rPr>
          <w:rFonts w:ascii="Arial" w:hAnsi="Arial" w:cs="Arial"/>
          <w:sz w:val="20"/>
        </w:rPr>
        <w:t>the</w:t>
      </w:r>
      <w:r w:rsidRPr="00613E70">
        <w:rPr>
          <w:rFonts w:ascii="Arial" w:hAnsi="Arial" w:cs="Arial"/>
          <w:spacing w:val="21"/>
          <w:sz w:val="20"/>
        </w:rPr>
        <w:t xml:space="preserve"> </w:t>
      </w:r>
      <w:r w:rsidRPr="00613E70">
        <w:rPr>
          <w:rFonts w:ascii="Arial" w:hAnsi="Arial" w:cs="Arial"/>
          <w:sz w:val="20"/>
        </w:rPr>
        <w:t>minimum</w:t>
      </w:r>
      <w:r w:rsidRPr="00613E70">
        <w:rPr>
          <w:rFonts w:ascii="Arial" w:hAnsi="Arial" w:cs="Arial"/>
          <w:spacing w:val="20"/>
          <w:sz w:val="20"/>
        </w:rPr>
        <w:t xml:space="preserve"> </w:t>
      </w:r>
      <w:r w:rsidRPr="00613E70">
        <w:rPr>
          <w:rFonts w:ascii="Arial" w:hAnsi="Arial" w:cs="Arial"/>
          <w:sz w:val="20"/>
        </w:rPr>
        <w:t>standard</w:t>
      </w:r>
      <w:r w:rsidRPr="00613E70">
        <w:rPr>
          <w:rFonts w:ascii="Arial" w:hAnsi="Arial" w:cs="Arial"/>
          <w:spacing w:val="22"/>
          <w:sz w:val="20"/>
        </w:rPr>
        <w:t xml:space="preserve"> </w:t>
      </w:r>
      <w:r w:rsidRPr="00613E70">
        <w:rPr>
          <w:rFonts w:ascii="Arial" w:hAnsi="Arial" w:cs="Arial"/>
          <w:sz w:val="20"/>
        </w:rPr>
        <w:t>flight</w:t>
      </w:r>
      <w:r w:rsidRPr="00613E70">
        <w:rPr>
          <w:rFonts w:ascii="Arial" w:hAnsi="Arial" w:cs="Arial"/>
          <w:spacing w:val="23"/>
          <w:sz w:val="20"/>
        </w:rPr>
        <w:t xml:space="preserve"> </w:t>
      </w:r>
      <w:r w:rsidRPr="00613E70">
        <w:rPr>
          <w:rFonts w:ascii="Arial" w:hAnsi="Arial" w:cs="Arial"/>
          <w:sz w:val="20"/>
        </w:rPr>
        <w:t>altitude</w:t>
      </w:r>
      <w:r w:rsidRPr="00613E70">
        <w:rPr>
          <w:rFonts w:ascii="Arial" w:hAnsi="Arial" w:cs="Arial"/>
          <w:spacing w:val="23"/>
          <w:sz w:val="20"/>
        </w:rPr>
        <w:t xml:space="preserve"> </w:t>
      </w:r>
      <w:r w:rsidRPr="00613E70">
        <w:rPr>
          <w:rFonts w:ascii="Arial" w:hAnsi="Arial" w:cs="Arial"/>
          <w:sz w:val="20"/>
        </w:rPr>
        <w:t>as</w:t>
      </w:r>
      <w:r w:rsidRPr="00613E70">
        <w:rPr>
          <w:rFonts w:ascii="Arial" w:hAnsi="Arial" w:cs="Arial"/>
          <w:spacing w:val="20"/>
          <w:sz w:val="20"/>
        </w:rPr>
        <w:t xml:space="preserve"> </w:t>
      </w:r>
      <w:r w:rsidRPr="00613E70">
        <w:rPr>
          <w:rFonts w:ascii="Arial" w:hAnsi="Arial" w:cs="Arial"/>
          <w:sz w:val="20"/>
        </w:rPr>
        <w:t>per</w:t>
      </w:r>
      <w:r w:rsidRPr="00613E70">
        <w:rPr>
          <w:rFonts w:ascii="Arial" w:hAnsi="Arial" w:cs="Arial"/>
          <w:spacing w:val="23"/>
          <w:sz w:val="20"/>
        </w:rPr>
        <w:t xml:space="preserve"> </w:t>
      </w:r>
      <w:r w:rsidRPr="00613E70">
        <w:rPr>
          <w:rFonts w:ascii="Arial" w:hAnsi="Arial" w:cs="Arial"/>
          <w:sz w:val="20"/>
        </w:rPr>
        <w:t>point</w:t>
      </w:r>
      <w:r w:rsidRPr="00613E70">
        <w:rPr>
          <w:rFonts w:ascii="Arial" w:hAnsi="Arial" w:cs="Arial"/>
          <w:spacing w:val="24"/>
          <w:sz w:val="20"/>
        </w:rPr>
        <w:t xml:space="preserve"> </w:t>
      </w:r>
      <w:r w:rsidRPr="00613E70">
        <w:rPr>
          <w:rFonts w:ascii="Arial" w:hAnsi="Arial" w:cs="Arial"/>
          <w:sz w:val="20"/>
        </w:rPr>
        <w:t>(f)</w:t>
      </w:r>
      <w:r w:rsidRPr="00613E70">
        <w:rPr>
          <w:rFonts w:ascii="Arial" w:hAnsi="Arial" w:cs="Arial"/>
          <w:spacing w:val="20"/>
          <w:sz w:val="20"/>
        </w:rPr>
        <w:t xml:space="preserve"> </w:t>
      </w:r>
      <w:r w:rsidRPr="00613E70">
        <w:rPr>
          <w:rFonts w:ascii="Arial" w:hAnsi="Arial" w:cs="Arial"/>
          <w:sz w:val="20"/>
        </w:rPr>
        <w:t>of</w:t>
      </w:r>
      <w:r w:rsidRPr="00613E70">
        <w:rPr>
          <w:rFonts w:ascii="Arial" w:hAnsi="Arial" w:cs="Arial"/>
          <w:spacing w:val="23"/>
          <w:sz w:val="20"/>
        </w:rPr>
        <w:t xml:space="preserve"> </w:t>
      </w:r>
      <w:r w:rsidRPr="00613E70">
        <w:rPr>
          <w:rFonts w:ascii="Arial" w:hAnsi="Arial" w:cs="Arial"/>
          <w:sz w:val="20"/>
        </w:rPr>
        <w:t>point</w:t>
      </w:r>
      <w:r w:rsidRPr="00613E70">
        <w:rPr>
          <w:rFonts w:ascii="Arial" w:hAnsi="Arial" w:cs="Arial"/>
          <w:spacing w:val="23"/>
          <w:sz w:val="20"/>
        </w:rPr>
        <w:t xml:space="preserve"> </w:t>
      </w:r>
      <w:r w:rsidRPr="00613E70">
        <w:rPr>
          <w:rFonts w:ascii="Arial" w:hAnsi="Arial" w:cs="Arial"/>
          <w:sz w:val="20"/>
        </w:rPr>
        <w:t>SERA.5005</w:t>
      </w:r>
      <w:r w:rsidRPr="00613E70">
        <w:rPr>
          <w:rFonts w:ascii="Arial" w:hAnsi="Arial" w:cs="Arial"/>
          <w:spacing w:val="20"/>
          <w:sz w:val="20"/>
        </w:rPr>
        <w:t xml:space="preserve"> </w:t>
      </w:r>
      <w:r w:rsidRPr="00613E70">
        <w:rPr>
          <w:rFonts w:ascii="Arial" w:hAnsi="Arial" w:cs="Arial"/>
          <w:sz w:val="20"/>
        </w:rPr>
        <w:t>of</w:t>
      </w:r>
      <w:r w:rsidRPr="00613E70">
        <w:rPr>
          <w:rFonts w:ascii="Arial" w:hAnsi="Arial" w:cs="Arial"/>
          <w:spacing w:val="23"/>
          <w:sz w:val="20"/>
        </w:rPr>
        <w:t xml:space="preserve"> </w:t>
      </w:r>
      <w:r w:rsidRPr="00613E70">
        <w:rPr>
          <w:rFonts w:ascii="Arial" w:hAnsi="Arial" w:cs="Arial"/>
          <w:sz w:val="20"/>
        </w:rPr>
        <w:t>the</w:t>
      </w:r>
      <w:r w:rsidRPr="00613E70">
        <w:rPr>
          <w:rFonts w:ascii="Arial" w:hAnsi="Arial" w:cs="Arial"/>
          <w:spacing w:val="-47"/>
          <w:sz w:val="20"/>
        </w:rPr>
        <w:t xml:space="preserve"> </w:t>
      </w:r>
      <w:r w:rsidRPr="00613E70">
        <w:rPr>
          <w:rFonts w:ascii="Arial" w:hAnsi="Arial" w:cs="Arial"/>
          <w:sz w:val="20"/>
        </w:rPr>
        <w:t>Annex</w:t>
      </w:r>
      <w:r w:rsidRPr="00613E70">
        <w:rPr>
          <w:rFonts w:ascii="Arial" w:hAnsi="Arial" w:cs="Arial"/>
          <w:spacing w:val="-1"/>
          <w:sz w:val="20"/>
        </w:rPr>
        <w:t xml:space="preserve"> </w:t>
      </w:r>
      <w:r w:rsidRPr="00613E70">
        <w:rPr>
          <w:rFonts w:ascii="Arial" w:hAnsi="Arial" w:cs="Arial"/>
          <w:sz w:val="20"/>
        </w:rPr>
        <w:t>to</w:t>
      </w:r>
      <w:r w:rsidRPr="00613E70">
        <w:rPr>
          <w:rFonts w:ascii="Arial" w:hAnsi="Arial" w:cs="Arial"/>
          <w:spacing w:val="1"/>
          <w:sz w:val="20"/>
        </w:rPr>
        <w:t xml:space="preserve"> </w:t>
      </w:r>
      <w:hyperlink r:id="rId85" w:history="1">
        <w:r w:rsidR="00EC5410" w:rsidRPr="00EC5410">
          <w:rPr>
            <w:rStyle w:val="Hyperlink"/>
            <w:rFonts w:ascii="Arial" w:hAnsi="Arial" w:cs="Arial"/>
            <w:sz w:val="20"/>
          </w:rPr>
          <w:t>the decision N 737-N of the Government of the Republic of Armenia, dated 06.06.2007</w:t>
        </w:r>
      </w:hyperlink>
      <w:r w:rsidRPr="00613E70">
        <w:rPr>
          <w:rFonts w:ascii="Arial" w:hAnsi="Arial" w:cs="Arial"/>
          <w:sz w:val="20"/>
        </w:rPr>
        <w:t>; and</w:t>
      </w:r>
    </w:p>
    <w:p w14:paraId="69209FB2" w14:textId="77777777" w:rsidR="00613E70" w:rsidRPr="00613E70" w:rsidRDefault="00613E70" w:rsidP="00682A54">
      <w:pPr>
        <w:pStyle w:val="ListParagraph"/>
        <w:numPr>
          <w:ilvl w:val="1"/>
          <w:numId w:val="216"/>
        </w:numPr>
        <w:tabs>
          <w:tab w:val="left" w:pos="1273"/>
          <w:tab w:val="left" w:pos="1274"/>
        </w:tabs>
        <w:ind w:hanging="568"/>
        <w:jc w:val="both"/>
        <w:rPr>
          <w:rFonts w:ascii="Arial" w:hAnsi="Arial" w:cs="Arial"/>
          <w:sz w:val="20"/>
        </w:rPr>
      </w:pPr>
      <w:r w:rsidRPr="00613E70">
        <w:rPr>
          <w:rFonts w:ascii="Arial" w:hAnsi="Arial" w:cs="Arial"/>
          <w:sz w:val="20"/>
        </w:rPr>
        <w:t>be completed</w:t>
      </w:r>
      <w:r w:rsidRPr="00613E70">
        <w:rPr>
          <w:rFonts w:ascii="Arial" w:hAnsi="Arial" w:cs="Arial"/>
          <w:spacing w:val="-2"/>
          <w:sz w:val="20"/>
        </w:rPr>
        <w:t xml:space="preserve"> </w:t>
      </w:r>
      <w:r w:rsidRPr="00613E70">
        <w:rPr>
          <w:rFonts w:ascii="Arial" w:hAnsi="Arial" w:cs="Arial"/>
          <w:sz w:val="20"/>
        </w:rPr>
        <w:t>by</w:t>
      </w:r>
      <w:r w:rsidRPr="00613E70">
        <w:rPr>
          <w:rFonts w:ascii="Arial" w:hAnsi="Arial" w:cs="Arial"/>
          <w:spacing w:val="-3"/>
          <w:sz w:val="20"/>
        </w:rPr>
        <w:t xml:space="preserve"> </w:t>
      </w:r>
      <w:r w:rsidRPr="00613E70">
        <w:rPr>
          <w:rFonts w:ascii="Arial" w:hAnsi="Arial" w:cs="Arial"/>
          <w:sz w:val="20"/>
        </w:rPr>
        <w:t>a full</w:t>
      </w:r>
      <w:r w:rsidRPr="00613E70">
        <w:rPr>
          <w:rFonts w:ascii="Arial" w:hAnsi="Arial" w:cs="Arial"/>
          <w:spacing w:val="-2"/>
          <w:sz w:val="20"/>
        </w:rPr>
        <w:t xml:space="preserve"> </w:t>
      </w:r>
      <w:r w:rsidRPr="00613E70">
        <w:rPr>
          <w:rFonts w:ascii="Arial" w:hAnsi="Arial" w:cs="Arial"/>
          <w:sz w:val="20"/>
        </w:rPr>
        <w:t>stop</w:t>
      </w:r>
      <w:r w:rsidRPr="00613E70">
        <w:rPr>
          <w:rFonts w:ascii="Arial" w:hAnsi="Arial" w:cs="Arial"/>
          <w:spacing w:val="-5"/>
          <w:sz w:val="20"/>
        </w:rPr>
        <w:t xml:space="preserve"> </w:t>
      </w:r>
      <w:r w:rsidRPr="00613E70">
        <w:rPr>
          <w:rFonts w:ascii="Arial" w:hAnsi="Arial" w:cs="Arial"/>
          <w:sz w:val="20"/>
        </w:rPr>
        <w:t>of</w:t>
      </w:r>
      <w:r w:rsidRPr="00613E70">
        <w:rPr>
          <w:rFonts w:ascii="Arial" w:hAnsi="Arial" w:cs="Arial"/>
          <w:spacing w:val="-2"/>
          <w:sz w:val="20"/>
        </w:rPr>
        <w:t xml:space="preserve"> </w:t>
      </w:r>
      <w:r w:rsidRPr="00613E70">
        <w:rPr>
          <w:rFonts w:ascii="Arial" w:hAnsi="Arial" w:cs="Arial"/>
          <w:sz w:val="20"/>
        </w:rPr>
        <w:t>the</w:t>
      </w:r>
      <w:r w:rsidRPr="00613E70">
        <w:rPr>
          <w:rFonts w:ascii="Arial" w:hAnsi="Arial" w:cs="Arial"/>
          <w:spacing w:val="-1"/>
          <w:sz w:val="20"/>
        </w:rPr>
        <w:t xml:space="preserve"> </w:t>
      </w:r>
      <w:r w:rsidRPr="00613E70">
        <w:rPr>
          <w:rFonts w:ascii="Arial" w:hAnsi="Arial" w:cs="Arial"/>
          <w:sz w:val="20"/>
        </w:rPr>
        <w:t>basket</w:t>
      </w:r>
      <w:r w:rsidRPr="00613E70">
        <w:rPr>
          <w:rFonts w:ascii="Arial" w:hAnsi="Arial" w:cs="Arial"/>
          <w:spacing w:val="-3"/>
          <w:sz w:val="20"/>
        </w:rPr>
        <w:t xml:space="preserve"> </w:t>
      </w:r>
      <w:r w:rsidRPr="00613E70">
        <w:rPr>
          <w:rFonts w:ascii="Arial" w:hAnsi="Arial" w:cs="Arial"/>
          <w:sz w:val="20"/>
        </w:rPr>
        <w:t>on</w:t>
      </w:r>
      <w:r w:rsidRPr="00613E70">
        <w:rPr>
          <w:rFonts w:ascii="Arial" w:hAnsi="Arial" w:cs="Arial"/>
          <w:spacing w:val="-1"/>
          <w:sz w:val="20"/>
        </w:rPr>
        <w:t xml:space="preserve"> </w:t>
      </w:r>
      <w:r w:rsidRPr="00613E70">
        <w:rPr>
          <w:rFonts w:ascii="Arial" w:hAnsi="Arial" w:cs="Arial"/>
          <w:sz w:val="20"/>
        </w:rPr>
        <w:t>the ground.</w:t>
      </w:r>
    </w:p>
    <w:p w14:paraId="239B560E" w14:textId="77777777" w:rsidR="00613E70" w:rsidRPr="00276D5E" w:rsidRDefault="00613E70" w:rsidP="00682A54">
      <w:pPr>
        <w:pStyle w:val="ListParagraph"/>
        <w:numPr>
          <w:ilvl w:val="0"/>
          <w:numId w:val="216"/>
        </w:numPr>
        <w:tabs>
          <w:tab w:val="left" w:pos="706"/>
          <w:tab w:val="left" w:pos="707"/>
        </w:tabs>
        <w:ind w:right="198"/>
        <w:jc w:val="both"/>
        <w:rPr>
          <w:rFonts w:ascii="Arial" w:hAnsi="Arial" w:cs="Arial"/>
        </w:rPr>
      </w:pPr>
      <w:r w:rsidRPr="00613E70">
        <w:rPr>
          <w:rFonts w:ascii="Arial" w:hAnsi="Arial" w:cs="Arial"/>
          <w:sz w:val="20"/>
        </w:rPr>
        <w:t>Every</w:t>
      </w:r>
      <w:r w:rsidRPr="00613E70">
        <w:rPr>
          <w:rFonts w:ascii="Arial" w:hAnsi="Arial" w:cs="Arial"/>
          <w:spacing w:val="38"/>
          <w:sz w:val="20"/>
        </w:rPr>
        <w:t xml:space="preserve"> </w:t>
      </w:r>
      <w:r w:rsidRPr="00613E70">
        <w:rPr>
          <w:rFonts w:ascii="Arial" w:hAnsi="Arial" w:cs="Arial"/>
          <w:sz w:val="20"/>
        </w:rPr>
        <w:t>flight</w:t>
      </w:r>
      <w:r w:rsidRPr="00613E70">
        <w:rPr>
          <w:rFonts w:ascii="Arial" w:hAnsi="Arial" w:cs="Arial"/>
          <w:spacing w:val="38"/>
          <w:sz w:val="20"/>
        </w:rPr>
        <w:t xml:space="preserve"> </w:t>
      </w:r>
      <w:r w:rsidRPr="00613E70">
        <w:rPr>
          <w:rFonts w:ascii="Arial" w:hAnsi="Arial" w:cs="Arial"/>
          <w:sz w:val="20"/>
        </w:rPr>
        <w:t>phase</w:t>
      </w:r>
      <w:r w:rsidRPr="00613E70">
        <w:rPr>
          <w:rFonts w:ascii="Arial" w:hAnsi="Arial" w:cs="Arial"/>
          <w:spacing w:val="36"/>
          <w:sz w:val="20"/>
        </w:rPr>
        <w:t xml:space="preserve"> </w:t>
      </w:r>
      <w:r w:rsidRPr="00613E70">
        <w:rPr>
          <w:rFonts w:ascii="Arial" w:hAnsi="Arial" w:cs="Arial"/>
          <w:sz w:val="20"/>
        </w:rPr>
        <w:t>that</w:t>
      </w:r>
      <w:r w:rsidRPr="00613E70">
        <w:rPr>
          <w:rFonts w:ascii="Arial" w:hAnsi="Arial" w:cs="Arial"/>
          <w:spacing w:val="35"/>
          <w:sz w:val="20"/>
        </w:rPr>
        <w:t xml:space="preserve"> </w:t>
      </w:r>
      <w:r w:rsidRPr="00613E70">
        <w:rPr>
          <w:rFonts w:ascii="Arial" w:hAnsi="Arial" w:cs="Arial"/>
          <w:sz w:val="20"/>
        </w:rPr>
        <w:t>complies</w:t>
      </w:r>
      <w:r w:rsidRPr="00613E70">
        <w:rPr>
          <w:rFonts w:ascii="Arial" w:hAnsi="Arial" w:cs="Arial"/>
          <w:spacing w:val="36"/>
          <w:sz w:val="20"/>
        </w:rPr>
        <w:t xml:space="preserve"> </w:t>
      </w:r>
      <w:r w:rsidRPr="00613E70">
        <w:rPr>
          <w:rFonts w:ascii="Arial" w:hAnsi="Arial" w:cs="Arial"/>
          <w:sz w:val="20"/>
        </w:rPr>
        <w:t>with</w:t>
      </w:r>
      <w:r w:rsidRPr="00613E70">
        <w:rPr>
          <w:rFonts w:ascii="Arial" w:hAnsi="Arial" w:cs="Arial"/>
          <w:spacing w:val="38"/>
          <w:sz w:val="20"/>
        </w:rPr>
        <w:t xml:space="preserve"> </w:t>
      </w:r>
      <w:r w:rsidRPr="00613E70">
        <w:rPr>
          <w:rFonts w:ascii="Arial" w:hAnsi="Arial" w:cs="Arial"/>
          <w:sz w:val="20"/>
        </w:rPr>
        <w:t>points</w:t>
      </w:r>
      <w:r w:rsidRPr="00613E70">
        <w:rPr>
          <w:rFonts w:ascii="Arial" w:hAnsi="Arial" w:cs="Arial"/>
          <w:spacing w:val="38"/>
          <w:sz w:val="20"/>
        </w:rPr>
        <w:t xml:space="preserve"> </w:t>
      </w:r>
      <w:r w:rsidRPr="00613E70">
        <w:rPr>
          <w:rFonts w:ascii="Arial" w:hAnsi="Arial" w:cs="Arial"/>
          <w:sz w:val="20"/>
        </w:rPr>
        <w:t>(1)</w:t>
      </w:r>
      <w:r w:rsidRPr="00613E70">
        <w:rPr>
          <w:rFonts w:ascii="Arial" w:hAnsi="Arial" w:cs="Arial"/>
          <w:spacing w:val="38"/>
          <w:sz w:val="20"/>
        </w:rPr>
        <w:t xml:space="preserve"> </w:t>
      </w:r>
      <w:r w:rsidRPr="00613E70">
        <w:rPr>
          <w:rFonts w:ascii="Arial" w:hAnsi="Arial" w:cs="Arial"/>
          <w:sz w:val="20"/>
        </w:rPr>
        <w:t>to</w:t>
      </w:r>
      <w:r w:rsidRPr="00613E70">
        <w:rPr>
          <w:rFonts w:ascii="Arial" w:hAnsi="Arial" w:cs="Arial"/>
          <w:spacing w:val="36"/>
          <w:sz w:val="20"/>
        </w:rPr>
        <w:t xml:space="preserve"> </w:t>
      </w:r>
      <w:r w:rsidRPr="00613E70">
        <w:rPr>
          <w:rFonts w:ascii="Arial" w:hAnsi="Arial" w:cs="Arial"/>
          <w:sz w:val="20"/>
        </w:rPr>
        <w:t>(3)</w:t>
      </w:r>
      <w:r w:rsidRPr="00613E70">
        <w:rPr>
          <w:rFonts w:ascii="Arial" w:hAnsi="Arial" w:cs="Arial"/>
          <w:spacing w:val="35"/>
          <w:sz w:val="20"/>
        </w:rPr>
        <w:t xml:space="preserve"> </w:t>
      </w:r>
      <w:r w:rsidRPr="00613E70">
        <w:rPr>
          <w:rFonts w:ascii="Arial" w:hAnsi="Arial" w:cs="Arial"/>
          <w:sz w:val="20"/>
        </w:rPr>
        <w:t>of</w:t>
      </w:r>
      <w:r w:rsidRPr="00613E70">
        <w:rPr>
          <w:rFonts w:ascii="Arial" w:hAnsi="Arial" w:cs="Arial"/>
          <w:spacing w:val="38"/>
          <w:sz w:val="20"/>
        </w:rPr>
        <w:t xml:space="preserve"> </w:t>
      </w:r>
      <w:r w:rsidRPr="00613E70">
        <w:rPr>
          <w:rFonts w:ascii="Arial" w:hAnsi="Arial" w:cs="Arial"/>
          <w:sz w:val="20"/>
        </w:rPr>
        <w:t>point</w:t>
      </w:r>
      <w:r w:rsidRPr="00613E70">
        <w:rPr>
          <w:rFonts w:ascii="Arial" w:hAnsi="Arial" w:cs="Arial"/>
          <w:spacing w:val="38"/>
          <w:sz w:val="20"/>
        </w:rPr>
        <w:t xml:space="preserve"> </w:t>
      </w:r>
      <w:r w:rsidRPr="00613E70">
        <w:rPr>
          <w:rFonts w:ascii="Arial" w:hAnsi="Arial" w:cs="Arial"/>
          <w:sz w:val="20"/>
        </w:rPr>
        <w:t>(a)</w:t>
      </w:r>
      <w:r w:rsidRPr="00613E70">
        <w:rPr>
          <w:rFonts w:ascii="Arial" w:hAnsi="Arial" w:cs="Arial"/>
          <w:spacing w:val="36"/>
          <w:sz w:val="20"/>
        </w:rPr>
        <w:t xml:space="preserve"> </w:t>
      </w:r>
      <w:r w:rsidRPr="00613E70">
        <w:rPr>
          <w:rFonts w:ascii="Arial" w:hAnsi="Arial" w:cs="Arial"/>
          <w:sz w:val="20"/>
        </w:rPr>
        <w:t>during</w:t>
      </w:r>
      <w:r w:rsidRPr="00613E70">
        <w:rPr>
          <w:rFonts w:ascii="Arial" w:hAnsi="Arial" w:cs="Arial"/>
          <w:spacing w:val="37"/>
          <w:sz w:val="20"/>
        </w:rPr>
        <w:t xml:space="preserve"> </w:t>
      </w:r>
      <w:r w:rsidRPr="00613E70">
        <w:rPr>
          <w:rFonts w:ascii="Arial" w:hAnsi="Arial" w:cs="Arial"/>
          <w:sz w:val="20"/>
        </w:rPr>
        <w:t>a</w:t>
      </w:r>
      <w:r w:rsidRPr="00613E70">
        <w:rPr>
          <w:rFonts w:ascii="Arial" w:hAnsi="Arial" w:cs="Arial"/>
          <w:spacing w:val="37"/>
          <w:sz w:val="20"/>
        </w:rPr>
        <w:t xml:space="preserve"> </w:t>
      </w:r>
      <w:r w:rsidRPr="00613E70">
        <w:rPr>
          <w:rFonts w:ascii="Arial" w:hAnsi="Arial" w:cs="Arial"/>
          <w:sz w:val="20"/>
        </w:rPr>
        <w:t>single</w:t>
      </w:r>
      <w:r w:rsidRPr="00613E70">
        <w:rPr>
          <w:rFonts w:ascii="Arial" w:hAnsi="Arial" w:cs="Arial"/>
          <w:spacing w:val="38"/>
          <w:sz w:val="20"/>
        </w:rPr>
        <w:t xml:space="preserve"> </w:t>
      </w:r>
      <w:r w:rsidRPr="00613E70">
        <w:rPr>
          <w:rFonts w:ascii="Arial" w:hAnsi="Arial" w:cs="Arial"/>
          <w:sz w:val="20"/>
        </w:rPr>
        <w:t>balloon</w:t>
      </w:r>
      <w:r w:rsidRPr="00613E70">
        <w:rPr>
          <w:rFonts w:ascii="Arial" w:hAnsi="Arial" w:cs="Arial"/>
          <w:spacing w:val="-47"/>
          <w:sz w:val="20"/>
        </w:rPr>
        <w:t xml:space="preserve"> </w:t>
      </w:r>
      <w:r w:rsidRPr="00613E70">
        <w:rPr>
          <w:rFonts w:ascii="Arial" w:hAnsi="Arial" w:cs="Arial"/>
          <w:sz w:val="20"/>
        </w:rPr>
        <w:t>operation</w:t>
      </w:r>
      <w:r w:rsidRPr="00613E70">
        <w:rPr>
          <w:rFonts w:ascii="Arial" w:hAnsi="Arial" w:cs="Arial"/>
          <w:spacing w:val="-2"/>
          <w:sz w:val="20"/>
        </w:rPr>
        <w:t xml:space="preserve"> </w:t>
      </w:r>
      <w:r w:rsidRPr="00613E70">
        <w:rPr>
          <w:rFonts w:ascii="Arial" w:hAnsi="Arial" w:cs="Arial"/>
          <w:sz w:val="20"/>
        </w:rPr>
        <w:t>should</w:t>
      </w:r>
      <w:r w:rsidRPr="00613E70">
        <w:rPr>
          <w:rFonts w:ascii="Arial" w:hAnsi="Arial" w:cs="Arial"/>
          <w:spacing w:val="-1"/>
          <w:sz w:val="20"/>
        </w:rPr>
        <w:t xml:space="preserve"> </w:t>
      </w:r>
      <w:r w:rsidRPr="00613E70">
        <w:rPr>
          <w:rFonts w:ascii="Arial" w:hAnsi="Arial" w:cs="Arial"/>
          <w:sz w:val="20"/>
        </w:rPr>
        <w:t>be deemed as a</w:t>
      </w:r>
      <w:r w:rsidRPr="00613E70">
        <w:rPr>
          <w:rFonts w:ascii="Arial" w:hAnsi="Arial" w:cs="Arial"/>
          <w:spacing w:val="-2"/>
          <w:sz w:val="20"/>
        </w:rPr>
        <w:t xml:space="preserve"> </w:t>
      </w:r>
      <w:r w:rsidRPr="00613E70">
        <w:rPr>
          <w:rFonts w:ascii="Arial" w:hAnsi="Arial" w:cs="Arial"/>
          <w:sz w:val="20"/>
        </w:rPr>
        <w:t>separate</w:t>
      </w:r>
      <w:r w:rsidRPr="00613E70">
        <w:rPr>
          <w:rFonts w:ascii="Arial" w:hAnsi="Arial" w:cs="Arial"/>
          <w:spacing w:val="1"/>
          <w:sz w:val="20"/>
        </w:rPr>
        <w:t xml:space="preserve"> </w:t>
      </w:r>
      <w:r w:rsidRPr="00613E70">
        <w:rPr>
          <w:rFonts w:ascii="Arial" w:hAnsi="Arial" w:cs="Arial"/>
          <w:sz w:val="20"/>
        </w:rPr>
        <w:t>flight</w:t>
      </w:r>
      <w:r w:rsidRPr="00276D5E">
        <w:rPr>
          <w:rFonts w:ascii="Arial" w:hAnsi="Arial" w:cs="Arial"/>
        </w:rPr>
        <w:t>.</w:t>
      </w:r>
    </w:p>
    <w:p w14:paraId="194125EA" w14:textId="77777777" w:rsidR="00CD20D5" w:rsidRPr="00CD20D5" w:rsidRDefault="00CD20D5" w:rsidP="00CD20D5">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686" w:name="AMC1_BFCL.215(d)(2)(i)__Commercial_opera"/>
      <w:bookmarkStart w:id="687" w:name="_bookmark276"/>
      <w:bookmarkStart w:id="688" w:name="_Toc153137441"/>
      <w:bookmarkEnd w:id="686"/>
      <w:bookmarkEnd w:id="687"/>
      <w:r w:rsidRPr="00CD20D5">
        <w:rPr>
          <w:rFonts w:ascii="Arial" w:eastAsia="Times New Roman" w:hAnsi="Arial" w:cs="Times New Roman"/>
          <w:b/>
          <w:color w:val="FFFFFF"/>
          <w:sz w:val="24"/>
        </w:rPr>
        <w:lastRenderedPageBreak/>
        <w:t>AMC1 BFCL.215(d)(2)(i) Commercial operation rating</w:t>
      </w:r>
      <w:bookmarkEnd w:id="688"/>
    </w:p>
    <w:p w14:paraId="735838C7" w14:textId="77777777" w:rsidR="00CD20D5" w:rsidRPr="00CD20D5" w:rsidRDefault="00CD20D5" w:rsidP="00CD20D5">
      <w:pPr>
        <w:widowControl/>
        <w:autoSpaceDE/>
        <w:autoSpaceDN/>
        <w:spacing w:before="240" w:after="160" w:line="264" w:lineRule="auto"/>
        <w:jc w:val="both"/>
        <w:rPr>
          <w:rFonts w:ascii="Arial" w:eastAsiaTheme="minorHAnsi" w:hAnsi="Arial" w:cs="Arial"/>
          <w:b/>
          <w:bCs/>
          <w:sz w:val="20"/>
          <w:szCs w:val="20"/>
        </w:rPr>
      </w:pPr>
      <w:r w:rsidRPr="00CD20D5">
        <w:rPr>
          <w:rFonts w:ascii="Arial" w:eastAsiaTheme="minorHAnsi" w:hAnsi="Arial" w:cs="Arial"/>
          <w:b/>
          <w:bCs/>
          <w:sz w:val="20"/>
          <w:szCs w:val="20"/>
        </w:rPr>
        <w:t>PROFICIENCY CHECK</w:t>
      </w:r>
    </w:p>
    <w:p w14:paraId="1A872208" w14:textId="77777777" w:rsidR="00CD20D5" w:rsidRPr="00CD20D5" w:rsidRDefault="00CD20D5" w:rsidP="00682A54">
      <w:pPr>
        <w:pStyle w:val="ListParagraph"/>
        <w:numPr>
          <w:ilvl w:val="0"/>
          <w:numId w:val="217"/>
        </w:numPr>
        <w:tabs>
          <w:tab w:val="left" w:pos="707"/>
        </w:tabs>
        <w:spacing w:before="119"/>
        <w:ind w:right="198"/>
        <w:jc w:val="both"/>
        <w:rPr>
          <w:rFonts w:ascii="Arial" w:hAnsi="Arial" w:cs="Arial"/>
          <w:sz w:val="20"/>
        </w:rPr>
      </w:pPr>
      <w:r w:rsidRPr="00CD20D5">
        <w:rPr>
          <w:rFonts w:ascii="Arial" w:hAnsi="Arial" w:cs="Arial"/>
          <w:sz w:val="20"/>
        </w:rPr>
        <w:t>For the proficiency check as per point BFCL.215(d)(2)(i), the content of the skill test for initial</w:t>
      </w:r>
      <w:r w:rsidRPr="00CD20D5">
        <w:rPr>
          <w:rFonts w:ascii="Arial" w:hAnsi="Arial" w:cs="Arial"/>
          <w:spacing w:val="1"/>
          <w:sz w:val="20"/>
        </w:rPr>
        <w:t xml:space="preserve"> </w:t>
      </w:r>
      <w:r w:rsidRPr="00CD20D5">
        <w:rPr>
          <w:rFonts w:ascii="Arial" w:hAnsi="Arial" w:cs="Arial"/>
          <w:sz w:val="20"/>
        </w:rPr>
        <w:t>issue of the commercial operation rating as set out in AMC1 BFCL.215(b)(4) should be used.</w:t>
      </w:r>
      <w:r w:rsidRPr="00CD20D5">
        <w:rPr>
          <w:rFonts w:ascii="Arial" w:hAnsi="Arial" w:cs="Arial"/>
          <w:spacing w:val="1"/>
          <w:sz w:val="20"/>
        </w:rPr>
        <w:t xml:space="preserve"> </w:t>
      </w:r>
      <w:r w:rsidRPr="00CD20D5">
        <w:rPr>
          <w:rFonts w:ascii="Arial" w:hAnsi="Arial" w:cs="Arial"/>
          <w:sz w:val="20"/>
        </w:rPr>
        <w:t>Additionally, the examiner should assess the candidate’s knowledge of recent aeronautical</w:t>
      </w:r>
      <w:r w:rsidRPr="00CD20D5">
        <w:rPr>
          <w:rFonts w:ascii="Arial" w:hAnsi="Arial" w:cs="Arial"/>
          <w:spacing w:val="1"/>
          <w:sz w:val="20"/>
        </w:rPr>
        <w:t xml:space="preserve"> </w:t>
      </w:r>
      <w:r w:rsidRPr="00CD20D5">
        <w:rPr>
          <w:rFonts w:ascii="Arial" w:hAnsi="Arial" w:cs="Arial"/>
          <w:sz w:val="20"/>
        </w:rPr>
        <w:t>information</w:t>
      </w:r>
      <w:r w:rsidRPr="00CD20D5">
        <w:rPr>
          <w:rFonts w:ascii="Arial" w:hAnsi="Arial" w:cs="Arial"/>
          <w:spacing w:val="-3"/>
          <w:sz w:val="20"/>
        </w:rPr>
        <w:t xml:space="preserve"> </w:t>
      </w:r>
      <w:r w:rsidRPr="00CD20D5">
        <w:rPr>
          <w:rFonts w:ascii="Arial" w:hAnsi="Arial" w:cs="Arial"/>
          <w:sz w:val="20"/>
        </w:rPr>
        <w:t>circulars (AICs)</w:t>
      </w:r>
      <w:r w:rsidRPr="00CD20D5">
        <w:rPr>
          <w:rFonts w:ascii="Arial" w:hAnsi="Arial" w:cs="Arial"/>
          <w:spacing w:val="-2"/>
          <w:sz w:val="20"/>
        </w:rPr>
        <w:t xml:space="preserve"> </w:t>
      </w:r>
      <w:r w:rsidRPr="00CD20D5">
        <w:rPr>
          <w:rFonts w:ascii="Arial" w:hAnsi="Arial" w:cs="Arial"/>
          <w:sz w:val="20"/>
        </w:rPr>
        <w:t>and</w:t>
      </w:r>
      <w:r w:rsidRPr="00CD20D5">
        <w:rPr>
          <w:rFonts w:ascii="Arial" w:hAnsi="Arial" w:cs="Arial"/>
          <w:spacing w:val="-1"/>
          <w:sz w:val="20"/>
        </w:rPr>
        <w:t xml:space="preserve"> </w:t>
      </w:r>
      <w:r w:rsidRPr="00CD20D5">
        <w:rPr>
          <w:rFonts w:ascii="Arial" w:hAnsi="Arial" w:cs="Arial"/>
          <w:sz w:val="20"/>
        </w:rPr>
        <w:t>NOTAMs.</w:t>
      </w:r>
    </w:p>
    <w:p w14:paraId="4D314A92" w14:textId="77777777" w:rsidR="00CD20D5" w:rsidRPr="00CD20D5" w:rsidRDefault="00CD20D5" w:rsidP="00682A54">
      <w:pPr>
        <w:pStyle w:val="ListParagraph"/>
        <w:numPr>
          <w:ilvl w:val="0"/>
          <w:numId w:val="217"/>
        </w:numPr>
        <w:tabs>
          <w:tab w:val="left" w:pos="707"/>
        </w:tabs>
        <w:spacing w:before="121"/>
        <w:ind w:right="197"/>
        <w:jc w:val="both"/>
        <w:rPr>
          <w:rFonts w:ascii="Arial" w:hAnsi="Arial" w:cs="Arial"/>
          <w:sz w:val="20"/>
        </w:rPr>
      </w:pPr>
      <w:r w:rsidRPr="00CD20D5">
        <w:rPr>
          <w:rFonts w:ascii="Arial" w:hAnsi="Arial" w:cs="Arial"/>
          <w:sz w:val="20"/>
        </w:rPr>
        <w:t>The proficiency check may be conducted during a commercial passenger ballooning (CPB)</w:t>
      </w:r>
      <w:r w:rsidRPr="00CD20D5">
        <w:rPr>
          <w:rFonts w:ascii="Arial" w:hAnsi="Arial" w:cs="Arial"/>
          <w:spacing w:val="1"/>
          <w:sz w:val="20"/>
        </w:rPr>
        <w:t xml:space="preserve"> </w:t>
      </w:r>
      <w:r w:rsidRPr="00CD20D5">
        <w:rPr>
          <w:rFonts w:ascii="Arial" w:hAnsi="Arial" w:cs="Arial"/>
          <w:sz w:val="20"/>
        </w:rPr>
        <w:t>operation, provided that abnormal and emergency procedures are simulated before or after</w:t>
      </w:r>
      <w:r w:rsidRPr="00CD20D5">
        <w:rPr>
          <w:rFonts w:ascii="Arial" w:hAnsi="Arial" w:cs="Arial"/>
          <w:spacing w:val="1"/>
          <w:sz w:val="20"/>
        </w:rPr>
        <w:t xml:space="preserve"> </w:t>
      </w:r>
      <w:r w:rsidRPr="00CD20D5">
        <w:rPr>
          <w:rFonts w:ascii="Arial" w:hAnsi="Arial" w:cs="Arial"/>
          <w:sz w:val="20"/>
        </w:rPr>
        <w:t>the</w:t>
      </w:r>
      <w:r w:rsidRPr="00CD20D5">
        <w:rPr>
          <w:rFonts w:ascii="Arial" w:hAnsi="Arial" w:cs="Arial"/>
          <w:spacing w:val="-1"/>
          <w:sz w:val="20"/>
        </w:rPr>
        <w:t xml:space="preserve"> </w:t>
      </w:r>
      <w:r w:rsidRPr="00CD20D5">
        <w:rPr>
          <w:rFonts w:ascii="Arial" w:hAnsi="Arial" w:cs="Arial"/>
          <w:sz w:val="20"/>
        </w:rPr>
        <w:t>flight</w:t>
      </w:r>
      <w:r w:rsidRPr="00CD20D5">
        <w:rPr>
          <w:rFonts w:ascii="Arial" w:hAnsi="Arial" w:cs="Arial"/>
          <w:spacing w:val="-2"/>
          <w:sz w:val="20"/>
        </w:rPr>
        <w:t xml:space="preserve"> </w:t>
      </w:r>
      <w:r w:rsidRPr="00CD20D5">
        <w:rPr>
          <w:rFonts w:ascii="Arial" w:hAnsi="Arial" w:cs="Arial"/>
          <w:sz w:val="20"/>
        </w:rPr>
        <w:t>on</w:t>
      </w:r>
      <w:r w:rsidRPr="00CD20D5">
        <w:rPr>
          <w:rFonts w:ascii="Arial" w:hAnsi="Arial" w:cs="Arial"/>
          <w:spacing w:val="-1"/>
          <w:sz w:val="20"/>
        </w:rPr>
        <w:t xml:space="preserve"> </w:t>
      </w:r>
      <w:r w:rsidRPr="00CD20D5">
        <w:rPr>
          <w:rFonts w:ascii="Arial" w:hAnsi="Arial" w:cs="Arial"/>
          <w:sz w:val="20"/>
        </w:rPr>
        <w:t>the</w:t>
      </w:r>
      <w:r w:rsidRPr="00CD20D5">
        <w:rPr>
          <w:rFonts w:ascii="Arial" w:hAnsi="Arial" w:cs="Arial"/>
          <w:spacing w:val="-2"/>
          <w:sz w:val="20"/>
        </w:rPr>
        <w:t xml:space="preserve"> </w:t>
      </w:r>
      <w:r w:rsidRPr="00CD20D5">
        <w:rPr>
          <w:rFonts w:ascii="Arial" w:hAnsi="Arial" w:cs="Arial"/>
          <w:sz w:val="20"/>
        </w:rPr>
        <w:t>ground</w:t>
      </w:r>
      <w:r w:rsidRPr="00CD20D5">
        <w:rPr>
          <w:rFonts w:ascii="Arial" w:hAnsi="Arial" w:cs="Arial"/>
          <w:spacing w:val="-1"/>
          <w:sz w:val="20"/>
        </w:rPr>
        <w:t xml:space="preserve"> </w:t>
      </w:r>
      <w:r w:rsidRPr="00CD20D5">
        <w:rPr>
          <w:rFonts w:ascii="Arial" w:hAnsi="Arial" w:cs="Arial"/>
          <w:sz w:val="20"/>
        </w:rPr>
        <w:t>without passengers</w:t>
      </w:r>
      <w:r w:rsidRPr="00CD20D5">
        <w:rPr>
          <w:rFonts w:ascii="Arial" w:hAnsi="Arial" w:cs="Arial"/>
          <w:spacing w:val="-2"/>
          <w:sz w:val="20"/>
        </w:rPr>
        <w:t xml:space="preserve"> </w:t>
      </w:r>
      <w:r w:rsidRPr="00CD20D5">
        <w:rPr>
          <w:rFonts w:ascii="Arial" w:hAnsi="Arial" w:cs="Arial"/>
          <w:sz w:val="20"/>
        </w:rPr>
        <w:t>on</w:t>
      </w:r>
      <w:r w:rsidRPr="00CD20D5">
        <w:rPr>
          <w:rFonts w:ascii="Arial" w:hAnsi="Arial" w:cs="Arial"/>
          <w:spacing w:val="-1"/>
          <w:sz w:val="20"/>
        </w:rPr>
        <w:t xml:space="preserve"> </w:t>
      </w:r>
      <w:r w:rsidRPr="00CD20D5">
        <w:rPr>
          <w:rFonts w:ascii="Arial" w:hAnsi="Arial" w:cs="Arial"/>
          <w:sz w:val="20"/>
        </w:rPr>
        <w:t>board.</w:t>
      </w:r>
    </w:p>
    <w:p w14:paraId="7706AFAF" w14:textId="77777777" w:rsidR="00201EF4" w:rsidRPr="00201EF4" w:rsidRDefault="00201EF4" w:rsidP="00201EF4">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689" w:name="AMC1_BFCL.215(d)(2)(i);_BFCL.215(h)__Com"/>
      <w:bookmarkStart w:id="690" w:name="_bookmark277"/>
      <w:bookmarkStart w:id="691" w:name="_Toc153137442"/>
      <w:bookmarkEnd w:id="689"/>
      <w:bookmarkEnd w:id="690"/>
      <w:r>
        <w:rPr>
          <w:rFonts w:ascii="Arial" w:eastAsia="Times New Roman" w:hAnsi="Arial" w:cs="Times New Roman"/>
          <w:b/>
          <w:color w:val="FFFFFF"/>
          <w:sz w:val="24"/>
        </w:rPr>
        <w:t>AM</w:t>
      </w:r>
      <w:r w:rsidRPr="00201EF4">
        <w:rPr>
          <w:rFonts w:ascii="Arial" w:eastAsia="Times New Roman" w:hAnsi="Arial" w:cs="Times New Roman"/>
          <w:b/>
          <w:color w:val="FFFFFF"/>
          <w:sz w:val="24"/>
        </w:rPr>
        <w:t>C1 BFCL.215(d)(2)(i); BFCL.215(h) Commercial operation rating</w:t>
      </w:r>
      <w:bookmarkEnd w:id="691"/>
    </w:p>
    <w:p w14:paraId="568EB4F3" w14:textId="77777777" w:rsidR="00201EF4" w:rsidRPr="00201EF4" w:rsidRDefault="00201EF4" w:rsidP="00201EF4">
      <w:pPr>
        <w:widowControl/>
        <w:autoSpaceDE/>
        <w:autoSpaceDN/>
        <w:spacing w:before="240" w:after="160" w:line="264" w:lineRule="auto"/>
        <w:jc w:val="both"/>
        <w:rPr>
          <w:rFonts w:ascii="Arial" w:eastAsiaTheme="minorHAnsi" w:hAnsi="Arial" w:cs="Arial"/>
          <w:b/>
          <w:bCs/>
          <w:sz w:val="20"/>
          <w:szCs w:val="20"/>
        </w:rPr>
      </w:pPr>
      <w:r w:rsidRPr="00201EF4">
        <w:rPr>
          <w:rFonts w:ascii="Arial" w:eastAsiaTheme="minorHAnsi" w:hAnsi="Arial" w:cs="Arial"/>
          <w:b/>
          <w:bCs/>
          <w:sz w:val="20"/>
          <w:szCs w:val="20"/>
        </w:rPr>
        <w:t>CREDITS FOR A PROFICIENCY CHECK IN ACCORDANCE WITH PART-BOP</w:t>
      </w:r>
    </w:p>
    <w:p w14:paraId="3BC0A92A" w14:textId="77777777" w:rsidR="00201EF4" w:rsidRPr="00201EF4" w:rsidRDefault="00201EF4" w:rsidP="004F6505">
      <w:pPr>
        <w:pStyle w:val="BodyText"/>
        <w:spacing w:before="118"/>
        <w:ind w:right="68"/>
        <w:jc w:val="both"/>
        <w:rPr>
          <w:rFonts w:ascii="Arial" w:hAnsi="Arial" w:cs="Arial"/>
          <w:sz w:val="20"/>
        </w:rPr>
      </w:pPr>
      <w:r w:rsidRPr="00201EF4">
        <w:rPr>
          <w:rFonts w:ascii="Arial" w:hAnsi="Arial" w:cs="Arial"/>
          <w:sz w:val="20"/>
        </w:rPr>
        <w:t>The holder of a commercial operation rating should be deemed to comply with point BFCL.215(d)(2)(i) as long as the latest operator proficiency check completed in accordance with point BOP.ADD.315 of Annex II (Part-BOP) is still valid, provided that this operator proficiency check included procedures for commercial passenger ballooning.</w:t>
      </w:r>
    </w:p>
    <w:p w14:paraId="692696C2" w14:textId="77777777" w:rsidR="00201EF4" w:rsidRPr="00201EF4" w:rsidRDefault="00201EF4" w:rsidP="00201EF4">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692" w:name="AMC1_BFCL.215(d)(2)(ii)__Commercial_oper"/>
      <w:bookmarkStart w:id="693" w:name="_bookmark278"/>
      <w:bookmarkStart w:id="694" w:name="_Toc153137443"/>
      <w:bookmarkEnd w:id="692"/>
      <w:bookmarkEnd w:id="693"/>
      <w:r w:rsidRPr="00201EF4">
        <w:rPr>
          <w:rFonts w:ascii="Arial" w:eastAsia="Times New Roman" w:hAnsi="Arial" w:cs="Times New Roman"/>
          <w:b/>
          <w:color w:val="FFFFFF"/>
          <w:sz w:val="24"/>
        </w:rPr>
        <w:t>AMC1 BFCL.215(d)(2)(ii) Commercial operation rating</w:t>
      </w:r>
      <w:bookmarkEnd w:id="694"/>
    </w:p>
    <w:p w14:paraId="08727CE7" w14:textId="77777777" w:rsidR="00201EF4" w:rsidRPr="00201EF4" w:rsidRDefault="00201EF4" w:rsidP="00201EF4">
      <w:pPr>
        <w:widowControl/>
        <w:autoSpaceDE/>
        <w:autoSpaceDN/>
        <w:spacing w:before="240" w:after="160" w:line="264" w:lineRule="auto"/>
        <w:jc w:val="both"/>
        <w:rPr>
          <w:rFonts w:ascii="Arial" w:eastAsiaTheme="minorHAnsi" w:hAnsi="Arial" w:cs="Arial"/>
          <w:b/>
          <w:bCs/>
          <w:sz w:val="20"/>
          <w:szCs w:val="20"/>
        </w:rPr>
      </w:pPr>
      <w:r w:rsidRPr="00201EF4">
        <w:rPr>
          <w:rFonts w:ascii="Arial" w:eastAsiaTheme="minorHAnsi" w:hAnsi="Arial" w:cs="Arial"/>
          <w:b/>
          <w:bCs/>
          <w:sz w:val="20"/>
          <w:szCs w:val="20"/>
        </w:rPr>
        <w:t>REFRESHER COURSE</w:t>
      </w:r>
    </w:p>
    <w:p w14:paraId="2B2E5707" w14:textId="77777777" w:rsidR="00201EF4" w:rsidRPr="00201EF4" w:rsidRDefault="00201EF4" w:rsidP="004F6505">
      <w:pPr>
        <w:numPr>
          <w:ilvl w:val="0"/>
          <w:numId w:val="218"/>
        </w:numPr>
        <w:tabs>
          <w:tab w:val="left" w:pos="706"/>
          <w:tab w:val="left" w:pos="707"/>
        </w:tabs>
        <w:spacing w:before="118" w:line="276" w:lineRule="auto"/>
        <w:jc w:val="both"/>
        <w:rPr>
          <w:rFonts w:ascii="Arial" w:hAnsi="Arial" w:cs="Arial"/>
          <w:sz w:val="20"/>
        </w:rPr>
      </w:pPr>
      <w:r w:rsidRPr="00201EF4">
        <w:rPr>
          <w:rFonts w:ascii="Arial" w:hAnsi="Arial" w:cs="Arial"/>
          <w:sz w:val="20"/>
        </w:rPr>
        <w:t>THEORETICAL</w:t>
      </w:r>
      <w:r w:rsidRPr="00201EF4">
        <w:rPr>
          <w:rFonts w:ascii="Arial" w:hAnsi="Arial" w:cs="Arial"/>
          <w:spacing w:val="-6"/>
          <w:sz w:val="20"/>
        </w:rPr>
        <w:t xml:space="preserve"> </w:t>
      </w:r>
      <w:r w:rsidRPr="00201EF4">
        <w:rPr>
          <w:rFonts w:ascii="Arial" w:hAnsi="Arial" w:cs="Arial"/>
          <w:sz w:val="20"/>
        </w:rPr>
        <w:t>KNOWLEDGE</w:t>
      </w:r>
      <w:r w:rsidRPr="00201EF4">
        <w:rPr>
          <w:rFonts w:ascii="Arial" w:hAnsi="Arial" w:cs="Arial"/>
          <w:spacing w:val="-7"/>
          <w:sz w:val="20"/>
        </w:rPr>
        <w:t xml:space="preserve"> </w:t>
      </w:r>
      <w:r w:rsidRPr="00201EF4">
        <w:rPr>
          <w:rFonts w:ascii="Arial" w:hAnsi="Arial" w:cs="Arial"/>
          <w:sz w:val="20"/>
        </w:rPr>
        <w:t>INSTRUCTION</w:t>
      </w:r>
    </w:p>
    <w:p w14:paraId="2BCD685C" w14:textId="77777777" w:rsidR="00201EF4" w:rsidRPr="00201EF4" w:rsidRDefault="00201EF4" w:rsidP="004F6505">
      <w:pPr>
        <w:spacing w:before="121" w:line="276" w:lineRule="auto"/>
        <w:ind w:left="706"/>
        <w:jc w:val="both"/>
        <w:rPr>
          <w:rFonts w:ascii="Arial" w:hAnsi="Arial" w:cs="Arial"/>
          <w:sz w:val="20"/>
        </w:rPr>
      </w:pPr>
      <w:r w:rsidRPr="00201EF4">
        <w:rPr>
          <w:rFonts w:ascii="Arial" w:hAnsi="Arial" w:cs="Arial"/>
          <w:sz w:val="20"/>
        </w:rPr>
        <w:t>The</w:t>
      </w:r>
      <w:r w:rsidRPr="00201EF4">
        <w:rPr>
          <w:rFonts w:ascii="Arial" w:hAnsi="Arial" w:cs="Arial"/>
          <w:spacing w:val="-1"/>
          <w:sz w:val="20"/>
        </w:rPr>
        <w:t xml:space="preserve"> </w:t>
      </w:r>
      <w:r w:rsidRPr="00201EF4">
        <w:rPr>
          <w:rFonts w:ascii="Arial" w:hAnsi="Arial" w:cs="Arial"/>
          <w:sz w:val="20"/>
        </w:rPr>
        <w:t>6</w:t>
      </w:r>
      <w:r w:rsidRPr="00201EF4">
        <w:rPr>
          <w:rFonts w:ascii="Arial" w:hAnsi="Arial" w:cs="Arial"/>
          <w:spacing w:val="-3"/>
          <w:sz w:val="20"/>
        </w:rPr>
        <w:t xml:space="preserve"> </w:t>
      </w:r>
      <w:r w:rsidRPr="00201EF4">
        <w:rPr>
          <w:rFonts w:ascii="Arial" w:hAnsi="Arial" w:cs="Arial"/>
          <w:sz w:val="20"/>
        </w:rPr>
        <w:t>hours</w:t>
      </w:r>
      <w:r w:rsidRPr="00201EF4">
        <w:rPr>
          <w:rFonts w:ascii="Arial" w:hAnsi="Arial" w:cs="Arial"/>
          <w:spacing w:val="-2"/>
          <w:sz w:val="20"/>
        </w:rPr>
        <w:t xml:space="preserve"> </w:t>
      </w:r>
      <w:r w:rsidRPr="00201EF4">
        <w:rPr>
          <w:rFonts w:ascii="Arial" w:hAnsi="Arial" w:cs="Arial"/>
          <w:sz w:val="20"/>
        </w:rPr>
        <w:t>of</w:t>
      </w:r>
      <w:r w:rsidRPr="00201EF4">
        <w:rPr>
          <w:rFonts w:ascii="Arial" w:hAnsi="Arial" w:cs="Arial"/>
          <w:spacing w:val="-3"/>
          <w:sz w:val="20"/>
        </w:rPr>
        <w:t xml:space="preserve"> </w:t>
      </w:r>
      <w:r w:rsidRPr="00201EF4">
        <w:rPr>
          <w:rFonts w:ascii="Arial" w:hAnsi="Arial" w:cs="Arial"/>
          <w:sz w:val="20"/>
        </w:rPr>
        <w:t>theoretical</w:t>
      </w:r>
      <w:r w:rsidRPr="00201EF4">
        <w:rPr>
          <w:rFonts w:ascii="Arial" w:hAnsi="Arial" w:cs="Arial"/>
          <w:spacing w:val="-3"/>
          <w:sz w:val="20"/>
        </w:rPr>
        <w:t xml:space="preserve"> </w:t>
      </w:r>
      <w:r w:rsidRPr="00201EF4">
        <w:rPr>
          <w:rFonts w:ascii="Arial" w:hAnsi="Arial" w:cs="Arial"/>
          <w:sz w:val="20"/>
        </w:rPr>
        <w:t>knowledge instruction</w:t>
      </w:r>
      <w:r w:rsidRPr="00201EF4">
        <w:rPr>
          <w:rFonts w:ascii="Arial" w:hAnsi="Arial" w:cs="Arial"/>
          <w:spacing w:val="-1"/>
          <w:sz w:val="20"/>
        </w:rPr>
        <w:t xml:space="preserve"> </w:t>
      </w:r>
      <w:r w:rsidRPr="00201EF4">
        <w:rPr>
          <w:rFonts w:ascii="Arial" w:hAnsi="Arial" w:cs="Arial"/>
          <w:sz w:val="20"/>
        </w:rPr>
        <w:t>should</w:t>
      </w:r>
      <w:r w:rsidRPr="00201EF4">
        <w:rPr>
          <w:rFonts w:ascii="Arial" w:hAnsi="Arial" w:cs="Arial"/>
          <w:spacing w:val="-2"/>
          <w:sz w:val="20"/>
        </w:rPr>
        <w:t xml:space="preserve"> </w:t>
      </w:r>
      <w:r w:rsidRPr="00201EF4">
        <w:rPr>
          <w:rFonts w:ascii="Arial" w:hAnsi="Arial" w:cs="Arial"/>
          <w:sz w:val="20"/>
        </w:rPr>
        <w:t>include at least</w:t>
      </w:r>
      <w:r w:rsidRPr="00201EF4">
        <w:rPr>
          <w:rFonts w:ascii="Arial" w:hAnsi="Arial" w:cs="Arial"/>
          <w:spacing w:val="-1"/>
          <w:sz w:val="20"/>
        </w:rPr>
        <w:t xml:space="preserve"> </w:t>
      </w:r>
      <w:r w:rsidRPr="00201EF4">
        <w:rPr>
          <w:rFonts w:ascii="Arial" w:hAnsi="Arial" w:cs="Arial"/>
          <w:sz w:val="20"/>
        </w:rPr>
        <w:t>all</w:t>
      </w:r>
      <w:r w:rsidRPr="00201EF4">
        <w:rPr>
          <w:rFonts w:ascii="Arial" w:hAnsi="Arial" w:cs="Arial"/>
          <w:spacing w:val="-3"/>
          <w:sz w:val="20"/>
        </w:rPr>
        <w:t xml:space="preserve"> </w:t>
      </w:r>
      <w:r w:rsidRPr="00201EF4">
        <w:rPr>
          <w:rFonts w:ascii="Arial" w:hAnsi="Arial" w:cs="Arial"/>
          <w:sz w:val="20"/>
        </w:rPr>
        <w:t>of</w:t>
      </w:r>
      <w:r w:rsidRPr="00201EF4">
        <w:rPr>
          <w:rFonts w:ascii="Arial" w:hAnsi="Arial" w:cs="Arial"/>
          <w:spacing w:val="-3"/>
          <w:sz w:val="20"/>
        </w:rPr>
        <w:t xml:space="preserve"> </w:t>
      </w:r>
      <w:r w:rsidRPr="00201EF4">
        <w:rPr>
          <w:rFonts w:ascii="Arial" w:hAnsi="Arial" w:cs="Arial"/>
          <w:sz w:val="20"/>
        </w:rPr>
        <w:t>the following:</w:t>
      </w:r>
    </w:p>
    <w:p w14:paraId="02294979" w14:textId="77777777" w:rsidR="00201EF4" w:rsidRPr="00201EF4" w:rsidRDefault="00201EF4" w:rsidP="004F6505">
      <w:pPr>
        <w:numPr>
          <w:ilvl w:val="1"/>
          <w:numId w:val="218"/>
        </w:numPr>
        <w:tabs>
          <w:tab w:val="left" w:pos="1273"/>
          <w:tab w:val="left" w:pos="1274"/>
        </w:tabs>
        <w:spacing w:before="120" w:line="276" w:lineRule="auto"/>
        <w:ind w:hanging="568"/>
        <w:jc w:val="both"/>
        <w:rPr>
          <w:rFonts w:ascii="Arial" w:hAnsi="Arial" w:cs="Arial"/>
          <w:sz w:val="20"/>
        </w:rPr>
      </w:pPr>
      <w:r w:rsidRPr="00201EF4">
        <w:rPr>
          <w:rFonts w:ascii="Arial" w:hAnsi="Arial" w:cs="Arial"/>
          <w:sz w:val="20"/>
        </w:rPr>
        <w:t>Evaluation</w:t>
      </w:r>
      <w:r w:rsidRPr="00201EF4">
        <w:rPr>
          <w:rFonts w:ascii="Arial" w:hAnsi="Arial" w:cs="Arial"/>
          <w:spacing w:val="-4"/>
          <w:sz w:val="20"/>
        </w:rPr>
        <w:t xml:space="preserve"> </w:t>
      </w:r>
      <w:r w:rsidRPr="00201EF4">
        <w:rPr>
          <w:rFonts w:ascii="Arial" w:hAnsi="Arial" w:cs="Arial"/>
          <w:sz w:val="20"/>
        </w:rPr>
        <w:t>of</w:t>
      </w:r>
      <w:r w:rsidRPr="00201EF4">
        <w:rPr>
          <w:rFonts w:ascii="Arial" w:hAnsi="Arial" w:cs="Arial"/>
          <w:spacing w:val="-3"/>
          <w:sz w:val="20"/>
        </w:rPr>
        <w:t xml:space="preserve"> </w:t>
      </w:r>
      <w:r w:rsidRPr="00201EF4">
        <w:rPr>
          <w:rFonts w:ascii="Arial" w:hAnsi="Arial" w:cs="Arial"/>
          <w:sz w:val="20"/>
        </w:rPr>
        <w:t>passengers:</w:t>
      </w:r>
    </w:p>
    <w:p w14:paraId="04F45557" w14:textId="77777777" w:rsidR="00201EF4" w:rsidRPr="00201EF4" w:rsidRDefault="00201EF4" w:rsidP="004F6505">
      <w:pPr>
        <w:numPr>
          <w:ilvl w:val="2"/>
          <w:numId w:val="218"/>
        </w:numPr>
        <w:tabs>
          <w:tab w:val="left" w:pos="1841"/>
          <w:tab w:val="left" w:pos="1842"/>
        </w:tabs>
        <w:spacing w:before="120" w:line="276" w:lineRule="auto"/>
        <w:jc w:val="both"/>
        <w:rPr>
          <w:rFonts w:ascii="Arial" w:hAnsi="Arial" w:cs="Arial"/>
          <w:sz w:val="20"/>
        </w:rPr>
      </w:pPr>
      <w:r w:rsidRPr="00201EF4">
        <w:rPr>
          <w:rFonts w:ascii="Arial" w:hAnsi="Arial" w:cs="Arial"/>
          <w:sz w:val="20"/>
        </w:rPr>
        <w:t>assessment</w:t>
      </w:r>
      <w:r w:rsidRPr="00201EF4">
        <w:rPr>
          <w:rFonts w:ascii="Arial" w:hAnsi="Arial" w:cs="Arial"/>
          <w:spacing w:val="-3"/>
          <w:sz w:val="20"/>
        </w:rPr>
        <w:t xml:space="preserve"> </w:t>
      </w:r>
      <w:r w:rsidRPr="00201EF4">
        <w:rPr>
          <w:rFonts w:ascii="Arial" w:hAnsi="Arial" w:cs="Arial"/>
          <w:sz w:val="20"/>
        </w:rPr>
        <w:t>of</w:t>
      </w:r>
      <w:r w:rsidRPr="00201EF4">
        <w:rPr>
          <w:rFonts w:ascii="Arial" w:hAnsi="Arial" w:cs="Arial"/>
          <w:spacing w:val="-4"/>
          <w:sz w:val="20"/>
        </w:rPr>
        <w:t xml:space="preserve"> </w:t>
      </w:r>
      <w:r w:rsidRPr="00201EF4">
        <w:rPr>
          <w:rFonts w:ascii="Arial" w:hAnsi="Arial" w:cs="Arial"/>
          <w:sz w:val="20"/>
        </w:rPr>
        <w:t>fitness</w:t>
      </w:r>
      <w:r w:rsidRPr="00201EF4">
        <w:rPr>
          <w:rFonts w:ascii="Arial" w:hAnsi="Arial" w:cs="Arial"/>
          <w:spacing w:val="-4"/>
          <w:sz w:val="20"/>
        </w:rPr>
        <w:t xml:space="preserve"> </w:t>
      </w:r>
      <w:r w:rsidRPr="00201EF4">
        <w:rPr>
          <w:rFonts w:ascii="Arial" w:hAnsi="Arial" w:cs="Arial"/>
          <w:sz w:val="20"/>
        </w:rPr>
        <w:t>of</w:t>
      </w:r>
      <w:r w:rsidRPr="00201EF4">
        <w:rPr>
          <w:rFonts w:ascii="Arial" w:hAnsi="Arial" w:cs="Arial"/>
          <w:spacing w:val="-3"/>
          <w:sz w:val="20"/>
        </w:rPr>
        <w:t xml:space="preserve"> </w:t>
      </w:r>
      <w:r w:rsidRPr="00201EF4">
        <w:rPr>
          <w:rFonts w:ascii="Arial" w:hAnsi="Arial" w:cs="Arial"/>
          <w:sz w:val="20"/>
        </w:rPr>
        <w:t>passengers;</w:t>
      </w:r>
    </w:p>
    <w:p w14:paraId="2C7AAECB" w14:textId="77777777" w:rsidR="00201EF4" w:rsidRPr="00201EF4" w:rsidRDefault="00201EF4" w:rsidP="004F6505">
      <w:pPr>
        <w:numPr>
          <w:ilvl w:val="2"/>
          <w:numId w:val="218"/>
        </w:numPr>
        <w:tabs>
          <w:tab w:val="left" w:pos="1841"/>
          <w:tab w:val="left" w:pos="1842"/>
        </w:tabs>
        <w:spacing w:before="120" w:line="276" w:lineRule="auto"/>
        <w:jc w:val="both"/>
        <w:rPr>
          <w:rFonts w:ascii="Arial" w:hAnsi="Arial" w:cs="Arial"/>
          <w:sz w:val="20"/>
        </w:rPr>
      </w:pPr>
      <w:r w:rsidRPr="00201EF4">
        <w:rPr>
          <w:rFonts w:ascii="Arial" w:hAnsi="Arial" w:cs="Arial"/>
          <w:sz w:val="20"/>
        </w:rPr>
        <w:t>criteria</w:t>
      </w:r>
      <w:r w:rsidRPr="00201EF4">
        <w:rPr>
          <w:rFonts w:ascii="Arial" w:hAnsi="Arial" w:cs="Arial"/>
          <w:spacing w:val="-3"/>
          <w:sz w:val="20"/>
        </w:rPr>
        <w:t xml:space="preserve"> </w:t>
      </w:r>
      <w:r w:rsidRPr="00201EF4">
        <w:rPr>
          <w:rFonts w:ascii="Arial" w:hAnsi="Arial" w:cs="Arial"/>
          <w:sz w:val="20"/>
        </w:rPr>
        <w:t>to</w:t>
      </w:r>
      <w:r w:rsidRPr="00201EF4">
        <w:rPr>
          <w:rFonts w:ascii="Arial" w:hAnsi="Arial" w:cs="Arial"/>
          <w:spacing w:val="-2"/>
          <w:sz w:val="20"/>
        </w:rPr>
        <w:t xml:space="preserve"> </w:t>
      </w:r>
      <w:r w:rsidRPr="00201EF4">
        <w:rPr>
          <w:rFonts w:ascii="Arial" w:hAnsi="Arial" w:cs="Arial"/>
          <w:sz w:val="20"/>
        </w:rPr>
        <w:t>decline</w:t>
      </w:r>
      <w:r w:rsidRPr="00201EF4">
        <w:rPr>
          <w:rFonts w:ascii="Arial" w:hAnsi="Arial" w:cs="Arial"/>
          <w:spacing w:val="-3"/>
          <w:sz w:val="20"/>
        </w:rPr>
        <w:t xml:space="preserve"> </w:t>
      </w:r>
      <w:r w:rsidRPr="00201EF4">
        <w:rPr>
          <w:rFonts w:ascii="Arial" w:hAnsi="Arial" w:cs="Arial"/>
          <w:sz w:val="20"/>
        </w:rPr>
        <w:t>to</w:t>
      </w:r>
      <w:r w:rsidRPr="00201EF4">
        <w:rPr>
          <w:rFonts w:ascii="Arial" w:hAnsi="Arial" w:cs="Arial"/>
          <w:spacing w:val="-2"/>
          <w:sz w:val="20"/>
        </w:rPr>
        <w:t xml:space="preserve"> </w:t>
      </w:r>
      <w:r w:rsidRPr="00201EF4">
        <w:rPr>
          <w:rFonts w:ascii="Arial" w:hAnsi="Arial" w:cs="Arial"/>
          <w:sz w:val="20"/>
        </w:rPr>
        <w:t>carry</w:t>
      </w:r>
      <w:r w:rsidRPr="00201EF4">
        <w:rPr>
          <w:rFonts w:ascii="Arial" w:hAnsi="Arial" w:cs="Arial"/>
          <w:spacing w:val="-3"/>
          <w:sz w:val="20"/>
        </w:rPr>
        <w:t xml:space="preserve"> </w:t>
      </w:r>
      <w:r w:rsidRPr="00201EF4">
        <w:rPr>
          <w:rFonts w:ascii="Arial" w:hAnsi="Arial" w:cs="Arial"/>
          <w:sz w:val="20"/>
        </w:rPr>
        <w:t>a</w:t>
      </w:r>
      <w:r w:rsidRPr="00201EF4">
        <w:rPr>
          <w:rFonts w:ascii="Arial" w:hAnsi="Arial" w:cs="Arial"/>
          <w:spacing w:val="-1"/>
          <w:sz w:val="20"/>
        </w:rPr>
        <w:t xml:space="preserve"> </w:t>
      </w:r>
      <w:r w:rsidRPr="00201EF4">
        <w:rPr>
          <w:rFonts w:ascii="Arial" w:hAnsi="Arial" w:cs="Arial"/>
          <w:sz w:val="20"/>
        </w:rPr>
        <w:t>passenger;</w:t>
      </w:r>
      <w:r w:rsidRPr="00201EF4">
        <w:rPr>
          <w:rFonts w:ascii="Arial" w:hAnsi="Arial" w:cs="Arial"/>
          <w:spacing w:val="-1"/>
          <w:sz w:val="20"/>
        </w:rPr>
        <w:t xml:space="preserve"> </w:t>
      </w:r>
      <w:r w:rsidRPr="00201EF4">
        <w:rPr>
          <w:rFonts w:ascii="Arial" w:hAnsi="Arial" w:cs="Arial"/>
          <w:sz w:val="20"/>
        </w:rPr>
        <w:t>and</w:t>
      </w:r>
    </w:p>
    <w:p w14:paraId="79907774" w14:textId="77777777" w:rsidR="00201EF4" w:rsidRPr="00201EF4" w:rsidRDefault="00201EF4" w:rsidP="004F6505">
      <w:pPr>
        <w:numPr>
          <w:ilvl w:val="2"/>
          <w:numId w:val="218"/>
        </w:numPr>
        <w:tabs>
          <w:tab w:val="left" w:pos="1841"/>
          <w:tab w:val="left" w:pos="1842"/>
        </w:tabs>
        <w:spacing w:before="121" w:line="276" w:lineRule="auto"/>
        <w:jc w:val="both"/>
        <w:rPr>
          <w:rFonts w:ascii="Arial" w:hAnsi="Arial" w:cs="Arial"/>
          <w:sz w:val="20"/>
        </w:rPr>
      </w:pPr>
      <w:r w:rsidRPr="00201EF4">
        <w:rPr>
          <w:rFonts w:ascii="Arial" w:hAnsi="Arial" w:cs="Arial"/>
          <w:sz w:val="20"/>
        </w:rPr>
        <w:t>special</w:t>
      </w:r>
      <w:r w:rsidRPr="00201EF4">
        <w:rPr>
          <w:rFonts w:ascii="Arial" w:hAnsi="Arial" w:cs="Arial"/>
          <w:spacing w:val="-3"/>
          <w:sz w:val="20"/>
        </w:rPr>
        <w:t xml:space="preserve"> </w:t>
      </w:r>
      <w:r w:rsidRPr="00201EF4">
        <w:rPr>
          <w:rFonts w:ascii="Arial" w:hAnsi="Arial" w:cs="Arial"/>
          <w:sz w:val="20"/>
        </w:rPr>
        <w:t>factors</w:t>
      </w:r>
      <w:r w:rsidRPr="00201EF4">
        <w:rPr>
          <w:rFonts w:ascii="Arial" w:hAnsi="Arial" w:cs="Arial"/>
          <w:spacing w:val="-4"/>
          <w:sz w:val="20"/>
        </w:rPr>
        <w:t xml:space="preserve"> </w:t>
      </w:r>
      <w:r w:rsidRPr="00201EF4">
        <w:rPr>
          <w:rFonts w:ascii="Arial" w:hAnsi="Arial" w:cs="Arial"/>
          <w:sz w:val="20"/>
        </w:rPr>
        <w:t>for</w:t>
      </w:r>
      <w:r w:rsidRPr="00201EF4">
        <w:rPr>
          <w:rFonts w:ascii="Arial" w:hAnsi="Arial" w:cs="Arial"/>
          <w:spacing w:val="-5"/>
          <w:sz w:val="20"/>
        </w:rPr>
        <w:t xml:space="preserve"> </w:t>
      </w:r>
      <w:r w:rsidRPr="00201EF4">
        <w:rPr>
          <w:rFonts w:ascii="Arial" w:hAnsi="Arial" w:cs="Arial"/>
          <w:sz w:val="20"/>
        </w:rPr>
        <w:t>disabled</w:t>
      </w:r>
      <w:r w:rsidRPr="00201EF4">
        <w:rPr>
          <w:rFonts w:ascii="Arial" w:hAnsi="Arial" w:cs="Arial"/>
          <w:spacing w:val="-4"/>
          <w:sz w:val="20"/>
        </w:rPr>
        <w:t xml:space="preserve"> </w:t>
      </w:r>
      <w:r w:rsidRPr="00201EF4">
        <w:rPr>
          <w:rFonts w:ascii="Arial" w:hAnsi="Arial" w:cs="Arial"/>
          <w:sz w:val="20"/>
        </w:rPr>
        <w:t>or</w:t>
      </w:r>
      <w:r w:rsidRPr="00201EF4">
        <w:rPr>
          <w:rFonts w:ascii="Arial" w:hAnsi="Arial" w:cs="Arial"/>
          <w:spacing w:val="-2"/>
          <w:sz w:val="20"/>
        </w:rPr>
        <w:t xml:space="preserve"> </w:t>
      </w:r>
      <w:r w:rsidRPr="00201EF4">
        <w:rPr>
          <w:rFonts w:ascii="Arial" w:hAnsi="Arial" w:cs="Arial"/>
          <w:sz w:val="20"/>
        </w:rPr>
        <w:t>limited</w:t>
      </w:r>
      <w:r w:rsidRPr="00201EF4">
        <w:rPr>
          <w:rFonts w:ascii="Arial" w:hAnsi="Arial" w:cs="Arial"/>
          <w:spacing w:val="-3"/>
          <w:sz w:val="20"/>
        </w:rPr>
        <w:t xml:space="preserve"> </w:t>
      </w:r>
      <w:r w:rsidRPr="00201EF4">
        <w:rPr>
          <w:rFonts w:ascii="Arial" w:hAnsi="Arial" w:cs="Arial"/>
          <w:sz w:val="20"/>
        </w:rPr>
        <w:t>mobility</w:t>
      </w:r>
      <w:r w:rsidRPr="00201EF4">
        <w:rPr>
          <w:rFonts w:ascii="Arial" w:hAnsi="Arial" w:cs="Arial"/>
          <w:spacing w:val="-4"/>
          <w:sz w:val="20"/>
        </w:rPr>
        <w:t xml:space="preserve"> </w:t>
      </w:r>
      <w:r w:rsidRPr="00201EF4">
        <w:rPr>
          <w:rFonts w:ascii="Arial" w:hAnsi="Arial" w:cs="Arial"/>
          <w:sz w:val="20"/>
        </w:rPr>
        <w:t>passengers;</w:t>
      </w:r>
    </w:p>
    <w:p w14:paraId="3643864E" w14:textId="77777777" w:rsidR="00201EF4" w:rsidRPr="00201EF4" w:rsidRDefault="00201EF4" w:rsidP="004F6505">
      <w:pPr>
        <w:numPr>
          <w:ilvl w:val="1"/>
          <w:numId w:val="218"/>
        </w:numPr>
        <w:tabs>
          <w:tab w:val="left" w:pos="1273"/>
          <w:tab w:val="left" w:pos="1274"/>
        </w:tabs>
        <w:spacing w:before="120" w:line="276" w:lineRule="auto"/>
        <w:ind w:hanging="568"/>
        <w:jc w:val="both"/>
        <w:rPr>
          <w:rFonts w:ascii="Arial" w:hAnsi="Arial" w:cs="Arial"/>
          <w:sz w:val="20"/>
        </w:rPr>
      </w:pPr>
      <w:r w:rsidRPr="00201EF4">
        <w:rPr>
          <w:rFonts w:ascii="Arial" w:hAnsi="Arial" w:cs="Arial"/>
          <w:sz w:val="20"/>
        </w:rPr>
        <w:t>Passenger</w:t>
      </w:r>
      <w:r w:rsidRPr="00201EF4">
        <w:rPr>
          <w:rFonts w:ascii="Arial" w:hAnsi="Arial" w:cs="Arial"/>
          <w:spacing w:val="-2"/>
          <w:sz w:val="20"/>
        </w:rPr>
        <w:t xml:space="preserve"> </w:t>
      </w:r>
      <w:r w:rsidRPr="00201EF4">
        <w:rPr>
          <w:rFonts w:ascii="Arial" w:hAnsi="Arial" w:cs="Arial"/>
          <w:sz w:val="20"/>
        </w:rPr>
        <w:t>briefings:</w:t>
      </w:r>
    </w:p>
    <w:p w14:paraId="57842272" w14:textId="77777777" w:rsidR="00201EF4" w:rsidRPr="00201EF4" w:rsidRDefault="00201EF4" w:rsidP="004F6505">
      <w:pPr>
        <w:numPr>
          <w:ilvl w:val="2"/>
          <w:numId w:val="218"/>
        </w:numPr>
        <w:tabs>
          <w:tab w:val="left" w:pos="1841"/>
          <w:tab w:val="left" w:pos="1842"/>
        </w:tabs>
        <w:spacing w:before="118" w:line="276" w:lineRule="auto"/>
        <w:jc w:val="both"/>
        <w:rPr>
          <w:rFonts w:ascii="Arial" w:hAnsi="Arial" w:cs="Arial"/>
          <w:sz w:val="20"/>
        </w:rPr>
      </w:pPr>
      <w:r w:rsidRPr="00201EF4">
        <w:rPr>
          <w:rFonts w:ascii="Arial" w:hAnsi="Arial" w:cs="Arial"/>
          <w:sz w:val="20"/>
        </w:rPr>
        <w:t>use of</w:t>
      </w:r>
      <w:r w:rsidRPr="00201EF4">
        <w:rPr>
          <w:rFonts w:ascii="Arial" w:hAnsi="Arial" w:cs="Arial"/>
          <w:spacing w:val="-4"/>
          <w:sz w:val="20"/>
        </w:rPr>
        <w:t xml:space="preserve"> </w:t>
      </w:r>
      <w:r w:rsidRPr="00201EF4">
        <w:rPr>
          <w:rFonts w:ascii="Arial" w:hAnsi="Arial" w:cs="Arial"/>
          <w:sz w:val="20"/>
        </w:rPr>
        <w:t>briefing</w:t>
      </w:r>
      <w:r w:rsidRPr="00201EF4">
        <w:rPr>
          <w:rFonts w:ascii="Arial" w:hAnsi="Arial" w:cs="Arial"/>
          <w:spacing w:val="-2"/>
          <w:sz w:val="20"/>
        </w:rPr>
        <w:t xml:space="preserve"> </w:t>
      </w:r>
      <w:r w:rsidRPr="00201EF4">
        <w:rPr>
          <w:rFonts w:ascii="Arial" w:hAnsi="Arial" w:cs="Arial"/>
          <w:sz w:val="20"/>
        </w:rPr>
        <w:t>cards;</w:t>
      </w:r>
    </w:p>
    <w:p w14:paraId="032A4D87" w14:textId="77777777" w:rsidR="00201EF4" w:rsidRPr="00201EF4" w:rsidRDefault="00201EF4" w:rsidP="004F6505">
      <w:pPr>
        <w:numPr>
          <w:ilvl w:val="2"/>
          <w:numId w:val="218"/>
        </w:numPr>
        <w:tabs>
          <w:tab w:val="left" w:pos="1841"/>
          <w:tab w:val="left" w:pos="1842"/>
        </w:tabs>
        <w:spacing w:before="120" w:line="276" w:lineRule="auto"/>
        <w:jc w:val="both"/>
        <w:rPr>
          <w:rFonts w:ascii="Arial" w:hAnsi="Arial" w:cs="Arial"/>
          <w:sz w:val="20"/>
        </w:rPr>
      </w:pPr>
      <w:r w:rsidRPr="00201EF4">
        <w:rPr>
          <w:rFonts w:ascii="Arial" w:hAnsi="Arial" w:cs="Arial"/>
          <w:sz w:val="20"/>
        </w:rPr>
        <w:t>pre-inflation</w:t>
      </w:r>
      <w:r w:rsidRPr="00201EF4">
        <w:rPr>
          <w:rFonts w:ascii="Arial" w:hAnsi="Arial" w:cs="Arial"/>
          <w:spacing w:val="-3"/>
          <w:sz w:val="20"/>
        </w:rPr>
        <w:t xml:space="preserve"> </w:t>
      </w:r>
      <w:r w:rsidRPr="00201EF4">
        <w:rPr>
          <w:rFonts w:ascii="Arial" w:hAnsi="Arial" w:cs="Arial"/>
          <w:sz w:val="20"/>
        </w:rPr>
        <w:t>briefing;</w:t>
      </w:r>
    </w:p>
    <w:p w14:paraId="08ECECEB" w14:textId="77777777" w:rsidR="00201EF4" w:rsidRPr="00201EF4" w:rsidRDefault="00201EF4" w:rsidP="004F6505">
      <w:pPr>
        <w:numPr>
          <w:ilvl w:val="2"/>
          <w:numId w:val="218"/>
        </w:numPr>
        <w:tabs>
          <w:tab w:val="left" w:pos="1841"/>
          <w:tab w:val="left" w:pos="1842"/>
        </w:tabs>
        <w:spacing w:before="120" w:line="276" w:lineRule="auto"/>
        <w:jc w:val="both"/>
        <w:rPr>
          <w:rFonts w:ascii="Arial" w:hAnsi="Arial" w:cs="Arial"/>
          <w:sz w:val="20"/>
        </w:rPr>
      </w:pPr>
      <w:r w:rsidRPr="00201EF4">
        <w:rPr>
          <w:rFonts w:ascii="Arial" w:hAnsi="Arial" w:cs="Arial"/>
          <w:sz w:val="20"/>
        </w:rPr>
        <w:t>pre-launch</w:t>
      </w:r>
      <w:r w:rsidRPr="00201EF4">
        <w:rPr>
          <w:rFonts w:ascii="Arial" w:hAnsi="Arial" w:cs="Arial"/>
          <w:spacing w:val="-1"/>
          <w:sz w:val="20"/>
        </w:rPr>
        <w:t xml:space="preserve"> </w:t>
      </w:r>
      <w:r w:rsidRPr="00201EF4">
        <w:rPr>
          <w:rFonts w:ascii="Arial" w:hAnsi="Arial" w:cs="Arial"/>
          <w:sz w:val="20"/>
        </w:rPr>
        <w:t>briefing; and</w:t>
      </w:r>
    </w:p>
    <w:p w14:paraId="0449A1AF" w14:textId="77777777" w:rsidR="00201EF4" w:rsidRPr="00201EF4" w:rsidRDefault="00201EF4" w:rsidP="004F6505">
      <w:pPr>
        <w:numPr>
          <w:ilvl w:val="2"/>
          <w:numId w:val="218"/>
        </w:numPr>
        <w:tabs>
          <w:tab w:val="left" w:pos="1841"/>
          <w:tab w:val="left" w:pos="1842"/>
        </w:tabs>
        <w:spacing w:before="121" w:line="276" w:lineRule="auto"/>
        <w:jc w:val="both"/>
        <w:rPr>
          <w:rFonts w:ascii="Arial" w:hAnsi="Arial" w:cs="Arial"/>
          <w:sz w:val="20"/>
        </w:rPr>
      </w:pPr>
      <w:r w:rsidRPr="00201EF4">
        <w:rPr>
          <w:rFonts w:ascii="Arial" w:hAnsi="Arial" w:cs="Arial"/>
          <w:sz w:val="20"/>
        </w:rPr>
        <w:t>pre-landing</w:t>
      </w:r>
      <w:r w:rsidRPr="00201EF4">
        <w:rPr>
          <w:rFonts w:ascii="Arial" w:hAnsi="Arial" w:cs="Arial"/>
          <w:spacing w:val="-3"/>
          <w:sz w:val="20"/>
        </w:rPr>
        <w:t xml:space="preserve"> </w:t>
      </w:r>
      <w:r w:rsidRPr="00201EF4">
        <w:rPr>
          <w:rFonts w:ascii="Arial" w:hAnsi="Arial" w:cs="Arial"/>
          <w:sz w:val="20"/>
        </w:rPr>
        <w:t>briefing;</w:t>
      </w:r>
    </w:p>
    <w:p w14:paraId="17CC646C" w14:textId="77777777" w:rsidR="00201EF4" w:rsidRPr="00201EF4" w:rsidRDefault="00201EF4" w:rsidP="004F6505">
      <w:pPr>
        <w:numPr>
          <w:ilvl w:val="1"/>
          <w:numId w:val="218"/>
        </w:numPr>
        <w:tabs>
          <w:tab w:val="left" w:pos="1273"/>
          <w:tab w:val="left" w:pos="1274"/>
        </w:tabs>
        <w:spacing w:before="120" w:line="276" w:lineRule="auto"/>
        <w:ind w:hanging="568"/>
        <w:jc w:val="both"/>
        <w:rPr>
          <w:rFonts w:ascii="Arial" w:hAnsi="Arial" w:cs="Arial"/>
          <w:sz w:val="20"/>
        </w:rPr>
      </w:pPr>
      <w:r w:rsidRPr="00201EF4">
        <w:rPr>
          <w:rFonts w:ascii="Arial" w:hAnsi="Arial" w:cs="Arial"/>
          <w:sz w:val="20"/>
        </w:rPr>
        <w:t>Passenger</w:t>
      </w:r>
      <w:r w:rsidRPr="00201EF4">
        <w:rPr>
          <w:rFonts w:ascii="Arial" w:hAnsi="Arial" w:cs="Arial"/>
          <w:spacing w:val="-3"/>
          <w:sz w:val="20"/>
        </w:rPr>
        <w:t xml:space="preserve"> </w:t>
      </w:r>
      <w:r w:rsidRPr="00201EF4">
        <w:rPr>
          <w:rFonts w:ascii="Arial" w:hAnsi="Arial" w:cs="Arial"/>
          <w:sz w:val="20"/>
        </w:rPr>
        <w:t>embarkation:</w:t>
      </w:r>
    </w:p>
    <w:p w14:paraId="1735541D" w14:textId="77777777" w:rsidR="00201EF4" w:rsidRPr="00201EF4" w:rsidRDefault="00201EF4" w:rsidP="004F6505">
      <w:pPr>
        <w:numPr>
          <w:ilvl w:val="2"/>
          <w:numId w:val="218"/>
        </w:numPr>
        <w:tabs>
          <w:tab w:val="left" w:pos="1841"/>
          <w:tab w:val="left" w:pos="1842"/>
        </w:tabs>
        <w:spacing w:before="121" w:line="276" w:lineRule="auto"/>
        <w:jc w:val="both"/>
        <w:rPr>
          <w:rFonts w:ascii="Arial" w:hAnsi="Arial" w:cs="Arial"/>
          <w:sz w:val="20"/>
        </w:rPr>
      </w:pPr>
      <w:r w:rsidRPr="00201EF4">
        <w:rPr>
          <w:rFonts w:ascii="Arial" w:hAnsi="Arial" w:cs="Arial"/>
          <w:sz w:val="20"/>
        </w:rPr>
        <w:t>procedures</w:t>
      </w:r>
      <w:r w:rsidRPr="00201EF4">
        <w:rPr>
          <w:rFonts w:ascii="Arial" w:hAnsi="Arial" w:cs="Arial"/>
          <w:spacing w:val="-3"/>
          <w:sz w:val="20"/>
        </w:rPr>
        <w:t xml:space="preserve"> </w:t>
      </w:r>
      <w:r w:rsidRPr="00201EF4">
        <w:rPr>
          <w:rFonts w:ascii="Arial" w:hAnsi="Arial" w:cs="Arial"/>
          <w:sz w:val="20"/>
        </w:rPr>
        <w:t>for</w:t>
      </w:r>
      <w:r w:rsidRPr="00201EF4">
        <w:rPr>
          <w:rFonts w:ascii="Arial" w:hAnsi="Arial" w:cs="Arial"/>
          <w:spacing w:val="-4"/>
          <w:sz w:val="20"/>
        </w:rPr>
        <w:t xml:space="preserve"> </w:t>
      </w:r>
      <w:r w:rsidRPr="00201EF4">
        <w:rPr>
          <w:rFonts w:ascii="Arial" w:hAnsi="Arial" w:cs="Arial"/>
          <w:sz w:val="20"/>
        </w:rPr>
        <w:t>safe</w:t>
      </w:r>
      <w:r w:rsidRPr="00201EF4">
        <w:rPr>
          <w:rFonts w:ascii="Arial" w:hAnsi="Arial" w:cs="Arial"/>
          <w:spacing w:val="-2"/>
          <w:sz w:val="20"/>
        </w:rPr>
        <w:t xml:space="preserve"> </w:t>
      </w:r>
      <w:r w:rsidRPr="00201EF4">
        <w:rPr>
          <w:rFonts w:ascii="Arial" w:hAnsi="Arial" w:cs="Arial"/>
          <w:sz w:val="20"/>
        </w:rPr>
        <w:t>embarkation;</w:t>
      </w:r>
    </w:p>
    <w:p w14:paraId="73E8970D" w14:textId="77777777" w:rsidR="00201EF4" w:rsidRPr="00201EF4" w:rsidRDefault="00201EF4" w:rsidP="004F6505">
      <w:pPr>
        <w:numPr>
          <w:ilvl w:val="2"/>
          <w:numId w:val="218"/>
        </w:numPr>
        <w:tabs>
          <w:tab w:val="left" w:pos="1841"/>
          <w:tab w:val="left" w:pos="1842"/>
        </w:tabs>
        <w:spacing w:before="120" w:line="276" w:lineRule="auto"/>
        <w:jc w:val="both"/>
        <w:rPr>
          <w:rFonts w:ascii="Arial" w:hAnsi="Arial" w:cs="Arial"/>
          <w:sz w:val="20"/>
        </w:rPr>
      </w:pPr>
      <w:r w:rsidRPr="00201EF4">
        <w:rPr>
          <w:rFonts w:ascii="Arial" w:hAnsi="Arial" w:cs="Arial"/>
          <w:sz w:val="20"/>
        </w:rPr>
        <w:t>use of</w:t>
      </w:r>
      <w:r w:rsidRPr="00201EF4">
        <w:rPr>
          <w:rFonts w:ascii="Arial" w:hAnsi="Arial" w:cs="Arial"/>
          <w:spacing w:val="-3"/>
          <w:sz w:val="20"/>
        </w:rPr>
        <w:t xml:space="preserve"> </w:t>
      </w:r>
      <w:r w:rsidRPr="00201EF4">
        <w:rPr>
          <w:rFonts w:ascii="Arial" w:hAnsi="Arial" w:cs="Arial"/>
          <w:sz w:val="20"/>
        </w:rPr>
        <w:t>ground</w:t>
      </w:r>
      <w:r w:rsidRPr="00201EF4">
        <w:rPr>
          <w:rFonts w:ascii="Arial" w:hAnsi="Arial" w:cs="Arial"/>
          <w:spacing w:val="-1"/>
          <w:sz w:val="20"/>
        </w:rPr>
        <w:t xml:space="preserve"> </w:t>
      </w:r>
      <w:r w:rsidRPr="00201EF4">
        <w:rPr>
          <w:rFonts w:ascii="Arial" w:hAnsi="Arial" w:cs="Arial"/>
          <w:sz w:val="20"/>
        </w:rPr>
        <w:t>crew</w:t>
      </w:r>
      <w:r w:rsidRPr="00201EF4">
        <w:rPr>
          <w:rFonts w:ascii="Arial" w:hAnsi="Arial" w:cs="Arial"/>
          <w:spacing w:val="-2"/>
          <w:sz w:val="20"/>
        </w:rPr>
        <w:t xml:space="preserve"> </w:t>
      </w:r>
      <w:r w:rsidRPr="00201EF4">
        <w:rPr>
          <w:rFonts w:ascii="Arial" w:hAnsi="Arial" w:cs="Arial"/>
          <w:sz w:val="20"/>
        </w:rPr>
        <w:t>to</w:t>
      </w:r>
      <w:r w:rsidRPr="00201EF4">
        <w:rPr>
          <w:rFonts w:ascii="Arial" w:hAnsi="Arial" w:cs="Arial"/>
          <w:spacing w:val="-1"/>
          <w:sz w:val="20"/>
        </w:rPr>
        <w:t xml:space="preserve"> </w:t>
      </w:r>
      <w:r w:rsidRPr="00201EF4">
        <w:rPr>
          <w:rFonts w:ascii="Arial" w:hAnsi="Arial" w:cs="Arial"/>
          <w:sz w:val="20"/>
        </w:rPr>
        <w:t>assist with</w:t>
      </w:r>
      <w:r w:rsidRPr="00201EF4">
        <w:rPr>
          <w:rFonts w:ascii="Arial" w:hAnsi="Arial" w:cs="Arial"/>
          <w:spacing w:val="-2"/>
          <w:sz w:val="20"/>
        </w:rPr>
        <w:t xml:space="preserve"> </w:t>
      </w:r>
      <w:r w:rsidRPr="00201EF4">
        <w:rPr>
          <w:rFonts w:ascii="Arial" w:hAnsi="Arial" w:cs="Arial"/>
          <w:sz w:val="20"/>
        </w:rPr>
        <w:t>embarkation;</w:t>
      </w:r>
    </w:p>
    <w:p w14:paraId="3CF7C89B" w14:textId="77777777" w:rsidR="00201EF4" w:rsidRPr="00201EF4" w:rsidRDefault="00201EF4" w:rsidP="004F6505">
      <w:pPr>
        <w:numPr>
          <w:ilvl w:val="2"/>
          <w:numId w:val="218"/>
        </w:numPr>
        <w:tabs>
          <w:tab w:val="left" w:pos="1841"/>
          <w:tab w:val="left" w:pos="1842"/>
        </w:tabs>
        <w:spacing w:before="120" w:line="276" w:lineRule="auto"/>
        <w:jc w:val="both"/>
        <w:rPr>
          <w:rFonts w:ascii="Arial" w:hAnsi="Arial" w:cs="Arial"/>
          <w:sz w:val="20"/>
        </w:rPr>
      </w:pPr>
      <w:r w:rsidRPr="00201EF4">
        <w:rPr>
          <w:rFonts w:ascii="Arial" w:hAnsi="Arial" w:cs="Arial"/>
          <w:sz w:val="20"/>
        </w:rPr>
        <w:t>positioning</w:t>
      </w:r>
      <w:r w:rsidRPr="00201EF4">
        <w:rPr>
          <w:rFonts w:ascii="Arial" w:hAnsi="Arial" w:cs="Arial"/>
          <w:spacing w:val="-3"/>
          <w:sz w:val="20"/>
        </w:rPr>
        <w:t xml:space="preserve"> </w:t>
      </w:r>
      <w:r w:rsidRPr="00201EF4">
        <w:rPr>
          <w:rFonts w:ascii="Arial" w:hAnsi="Arial" w:cs="Arial"/>
          <w:sz w:val="20"/>
        </w:rPr>
        <w:t>of</w:t>
      </w:r>
      <w:r w:rsidRPr="00201EF4">
        <w:rPr>
          <w:rFonts w:ascii="Arial" w:hAnsi="Arial" w:cs="Arial"/>
          <w:spacing w:val="-1"/>
          <w:sz w:val="20"/>
        </w:rPr>
        <w:t xml:space="preserve"> </w:t>
      </w:r>
      <w:r w:rsidRPr="00201EF4">
        <w:rPr>
          <w:rFonts w:ascii="Arial" w:hAnsi="Arial" w:cs="Arial"/>
          <w:sz w:val="20"/>
        </w:rPr>
        <w:t>passengers</w:t>
      </w:r>
      <w:r w:rsidRPr="00201EF4">
        <w:rPr>
          <w:rFonts w:ascii="Arial" w:hAnsi="Arial" w:cs="Arial"/>
          <w:spacing w:val="-1"/>
          <w:sz w:val="20"/>
        </w:rPr>
        <w:t xml:space="preserve"> </w:t>
      </w:r>
      <w:r w:rsidRPr="00201EF4">
        <w:rPr>
          <w:rFonts w:ascii="Arial" w:hAnsi="Arial" w:cs="Arial"/>
          <w:sz w:val="20"/>
        </w:rPr>
        <w:t>in</w:t>
      </w:r>
      <w:r w:rsidRPr="00201EF4">
        <w:rPr>
          <w:rFonts w:ascii="Arial" w:hAnsi="Arial" w:cs="Arial"/>
          <w:spacing w:val="-3"/>
          <w:sz w:val="20"/>
        </w:rPr>
        <w:t xml:space="preserve"> </w:t>
      </w:r>
      <w:r w:rsidRPr="00201EF4">
        <w:rPr>
          <w:rFonts w:ascii="Arial" w:hAnsi="Arial" w:cs="Arial"/>
          <w:sz w:val="20"/>
        </w:rPr>
        <w:t>the basket</w:t>
      </w:r>
      <w:r w:rsidRPr="00201EF4">
        <w:rPr>
          <w:rFonts w:ascii="Arial" w:hAnsi="Arial" w:cs="Arial"/>
          <w:spacing w:val="-1"/>
          <w:sz w:val="20"/>
        </w:rPr>
        <w:t xml:space="preserve"> </w:t>
      </w:r>
      <w:r w:rsidRPr="00201EF4">
        <w:rPr>
          <w:rFonts w:ascii="Arial" w:hAnsi="Arial" w:cs="Arial"/>
          <w:sz w:val="20"/>
        </w:rPr>
        <w:t>for</w:t>
      </w:r>
      <w:r w:rsidRPr="00201EF4">
        <w:rPr>
          <w:rFonts w:ascii="Arial" w:hAnsi="Arial" w:cs="Arial"/>
          <w:spacing w:val="-4"/>
          <w:sz w:val="20"/>
        </w:rPr>
        <w:t xml:space="preserve"> </w:t>
      </w:r>
      <w:r w:rsidRPr="00201EF4">
        <w:rPr>
          <w:rFonts w:ascii="Arial" w:hAnsi="Arial" w:cs="Arial"/>
          <w:sz w:val="20"/>
        </w:rPr>
        <w:t>weight,</w:t>
      </w:r>
      <w:r w:rsidRPr="00201EF4">
        <w:rPr>
          <w:rFonts w:ascii="Arial" w:hAnsi="Arial" w:cs="Arial"/>
          <w:spacing w:val="-1"/>
          <w:sz w:val="20"/>
        </w:rPr>
        <w:t xml:space="preserve"> </w:t>
      </w:r>
      <w:r w:rsidRPr="00201EF4">
        <w:rPr>
          <w:rFonts w:ascii="Arial" w:hAnsi="Arial" w:cs="Arial"/>
          <w:sz w:val="20"/>
        </w:rPr>
        <w:t>balance and</w:t>
      </w:r>
      <w:r w:rsidRPr="00201EF4">
        <w:rPr>
          <w:rFonts w:ascii="Arial" w:hAnsi="Arial" w:cs="Arial"/>
          <w:spacing w:val="-5"/>
          <w:sz w:val="20"/>
        </w:rPr>
        <w:t xml:space="preserve"> </w:t>
      </w:r>
      <w:r w:rsidRPr="00201EF4">
        <w:rPr>
          <w:rFonts w:ascii="Arial" w:hAnsi="Arial" w:cs="Arial"/>
          <w:sz w:val="20"/>
        </w:rPr>
        <w:t>management;</w:t>
      </w:r>
      <w:r w:rsidRPr="00201EF4">
        <w:rPr>
          <w:rFonts w:ascii="Arial" w:hAnsi="Arial" w:cs="Arial"/>
          <w:spacing w:val="-1"/>
          <w:sz w:val="20"/>
        </w:rPr>
        <w:t xml:space="preserve"> </w:t>
      </w:r>
      <w:r w:rsidRPr="00201EF4">
        <w:rPr>
          <w:rFonts w:ascii="Arial" w:hAnsi="Arial" w:cs="Arial"/>
          <w:sz w:val="20"/>
        </w:rPr>
        <w:t>and</w:t>
      </w:r>
    </w:p>
    <w:p w14:paraId="08D7B7F5" w14:textId="77777777" w:rsidR="00201EF4" w:rsidRPr="00201EF4" w:rsidRDefault="00201EF4" w:rsidP="004F6505">
      <w:pPr>
        <w:pStyle w:val="ListParagraph"/>
        <w:numPr>
          <w:ilvl w:val="2"/>
          <w:numId w:val="218"/>
        </w:numPr>
        <w:tabs>
          <w:tab w:val="left" w:pos="1841"/>
          <w:tab w:val="left" w:pos="1842"/>
        </w:tabs>
        <w:spacing w:line="276" w:lineRule="auto"/>
        <w:jc w:val="both"/>
        <w:rPr>
          <w:rFonts w:ascii="Arial" w:hAnsi="Arial" w:cs="Arial"/>
          <w:sz w:val="20"/>
        </w:rPr>
      </w:pPr>
      <w:r w:rsidRPr="00201EF4">
        <w:rPr>
          <w:rFonts w:ascii="Arial" w:hAnsi="Arial" w:cs="Arial"/>
          <w:sz w:val="20"/>
        </w:rPr>
        <w:t>factors</w:t>
      </w:r>
      <w:r w:rsidRPr="00201EF4">
        <w:rPr>
          <w:rFonts w:ascii="Arial" w:hAnsi="Arial" w:cs="Arial"/>
          <w:spacing w:val="-5"/>
          <w:sz w:val="20"/>
        </w:rPr>
        <w:t xml:space="preserve"> </w:t>
      </w:r>
      <w:r w:rsidRPr="00201EF4">
        <w:rPr>
          <w:rFonts w:ascii="Arial" w:hAnsi="Arial" w:cs="Arial"/>
          <w:sz w:val="20"/>
        </w:rPr>
        <w:t>concerning</w:t>
      </w:r>
      <w:r w:rsidRPr="00201EF4">
        <w:rPr>
          <w:rFonts w:ascii="Arial" w:hAnsi="Arial" w:cs="Arial"/>
          <w:spacing w:val="-2"/>
          <w:sz w:val="20"/>
        </w:rPr>
        <w:t xml:space="preserve"> </w:t>
      </w:r>
      <w:r w:rsidRPr="00201EF4">
        <w:rPr>
          <w:rFonts w:ascii="Arial" w:hAnsi="Arial" w:cs="Arial"/>
          <w:sz w:val="20"/>
        </w:rPr>
        <w:t>passengers’</w:t>
      </w:r>
      <w:r w:rsidRPr="00201EF4">
        <w:rPr>
          <w:rFonts w:ascii="Arial" w:hAnsi="Arial" w:cs="Arial"/>
          <w:spacing w:val="-2"/>
          <w:sz w:val="20"/>
        </w:rPr>
        <w:t xml:space="preserve"> </w:t>
      </w:r>
      <w:r w:rsidRPr="00201EF4">
        <w:rPr>
          <w:rFonts w:ascii="Arial" w:hAnsi="Arial" w:cs="Arial"/>
          <w:sz w:val="20"/>
        </w:rPr>
        <w:t>personal</w:t>
      </w:r>
      <w:r w:rsidRPr="00201EF4">
        <w:rPr>
          <w:rFonts w:ascii="Arial" w:hAnsi="Arial" w:cs="Arial"/>
          <w:spacing w:val="-2"/>
          <w:sz w:val="20"/>
        </w:rPr>
        <w:t xml:space="preserve"> </w:t>
      </w:r>
      <w:r w:rsidRPr="00201EF4">
        <w:rPr>
          <w:rFonts w:ascii="Arial" w:hAnsi="Arial" w:cs="Arial"/>
          <w:sz w:val="20"/>
        </w:rPr>
        <w:t>property;</w:t>
      </w:r>
    </w:p>
    <w:p w14:paraId="56B8D6B8" w14:textId="77777777" w:rsidR="00201EF4" w:rsidRPr="00201EF4" w:rsidRDefault="00201EF4" w:rsidP="004F6505">
      <w:pPr>
        <w:pStyle w:val="ListParagraph"/>
        <w:numPr>
          <w:ilvl w:val="1"/>
          <w:numId w:val="218"/>
        </w:numPr>
        <w:tabs>
          <w:tab w:val="left" w:pos="1274"/>
        </w:tabs>
        <w:spacing w:before="56" w:line="276" w:lineRule="auto"/>
        <w:ind w:hanging="568"/>
        <w:jc w:val="both"/>
        <w:rPr>
          <w:rFonts w:ascii="Arial" w:hAnsi="Arial" w:cs="Arial"/>
          <w:sz w:val="20"/>
        </w:rPr>
      </w:pPr>
      <w:r w:rsidRPr="00201EF4">
        <w:rPr>
          <w:rFonts w:ascii="Arial" w:hAnsi="Arial" w:cs="Arial"/>
          <w:sz w:val="20"/>
        </w:rPr>
        <w:t>Passenger</w:t>
      </w:r>
      <w:r w:rsidRPr="00201EF4">
        <w:rPr>
          <w:rFonts w:ascii="Arial" w:hAnsi="Arial" w:cs="Arial"/>
          <w:spacing w:val="-2"/>
          <w:sz w:val="20"/>
        </w:rPr>
        <w:t xml:space="preserve"> </w:t>
      </w:r>
      <w:r w:rsidRPr="00201EF4">
        <w:rPr>
          <w:rFonts w:ascii="Arial" w:hAnsi="Arial" w:cs="Arial"/>
          <w:sz w:val="20"/>
        </w:rPr>
        <w:t>care for</w:t>
      </w:r>
      <w:r w:rsidRPr="00201EF4">
        <w:rPr>
          <w:rFonts w:ascii="Arial" w:hAnsi="Arial" w:cs="Arial"/>
          <w:spacing w:val="-1"/>
          <w:sz w:val="20"/>
        </w:rPr>
        <w:t xml:space="preserve"> </w:t>
      </w:r>
      <w:r w:rsidRPr="00201EF4">
        <w:rPr>
          <w:rFonts w:ascii="Arial" w:hAnsi="Arial" w:cs="Arial"/>
          <w:sz w:val="20"/>
        </w:rPr>
        <w:t>landing:</w:t>
      </w:r>
    </w:p>
    <w:p w14:paraId="0C122AD6" w14:textId="77777777" w:rsidR="00201EF4" w:rsidRPr="00201EF4" w:rsidRDefault="00201EF4" w:rsidP="004F6505">
      <w:pPr>
        <w:pStyle w:val="ListParagraph"/>
        <w:numPr>
          <w:ilvl w:val="2"/>
          <w:numId w:val="218"/>
        </w:numPr>
        <w:tabs>
          <w:tab w:val="left" w:pos="1842"/>
        </w:tabs>
        <w:spacing w:line="276" w:lineRule="auto"/>
        <w:jc w:val="both"/>
        <w:rPr>
          <w:rFonts w:ascii="Arial" w:hAnsi="Arial" w:cs="Arial"/>
          <w:sz w:val="20"/>
        </w:rPr>
      </w:pPr>
      <w:r w:rsidRPr="00201EF4">
        <w:rPr>
          <w:rFonts w:ascii="Arial" w:hAnsi="Arial" w:cs="Arial"/>
          <w:sz w:val="20"/>
        </w:rPr>
        <w:t>use</w:t>
      </w:r>
      <w:r w:rsidRPr="00201EF4">
        <w:rPr>
          <w:rFonts w:ascii="Arial" w:hAnsi="Arial" w:cs="Arial"/>
          <w:spacing w:val="-1"/>
          <w:sz w:val="20"/>
        </w:rPr>
        <w:t xml:space="preserve"> </w:t>
      </w:r>
      <w:r w:rsidRPr="00201EF4">
        <w:rPr>
          <w:rFonts w:ascii="Arial" w:hAnsi="Arial" w:cs="Arial"/>
          <w:sz w:val="20"/>
        </w:rPr>
        <w:t>of</w:t>
      </w:r>
      <w:r w:rsidRPr="00201EF4">
        <w:rPr>
          <w:rFonts w:ascii="Arial" w:hAnsi="Arial" w:cs="Arial"/>
          <w:spacing w:val="-4"/>
          <w:sz w:val="20"/>
        </w:rPr>
        <w:t xml:space="preserve"> </w:t>
      </w:r>
      <w:r w:rsidRPr="00201EF4">
        <w:rPr>
          <w:rFonts w:ascii="Arial" w:hAnsi="Arial" w:cs="Arial"/>
          <w:sz w:val="20"/>
        </w:rPr>
        <w:t>seats</w:t>
      </w:r>
      <w:r w:rsidRPr="00201EF4">
        <w:rPr>
          <w:rFonts w:ascii="Arial" w:hAnsi="Arial" w:cs="Arial"/>
          <w:spacing w:val="-1"/>
          <w:sz w:val="20"/>
        </w:rPr>
        <w:t xml:space="preserve"> </w:t>
      </w:r>
      <w:r w:rsidRPr="00201EF4">
        <w:rPr>
          <w:rFonts w:ascii="Arial" w:hAnsi="Arial" w:cs="Arial"/>
          <w:sz w:val="20"/>
        </w:rPr>
        <w:t>where</w:t>
      </w:r>
      <w:r w:rsidRPr="00201EF4">
        <w:rPr>
          <w:rFonts w:ascii="Arial" w:hAnsi="Arial" w:cs="Arial"/>
          <w:spacing w:val="1"/>
          <w:sz w:val="20"/>
        </w:rPr>
        <w:t xml:space="preserve"> </w:t>
      </w:r>
      <w:r w:rsidRPr="00201EF4">
        <w:rPr>
          <w:rFonts w:ascii="Arial" w:hAnsi="Arial" w:cs="Arial"/>
          <w:sz w:val="20"/>
        </w:rPr>
        <w:t>fitted;</w:t>
      </w:r>
    </w:p>
    <w:p w14:paraId="30020CFD" w14:textId="77777777" w:rsidR="00201EF4" w:rsidRPr="00201EF4" w:rsidRDefault="00201EF4" w:rsidP="004F6505">
      <w:pPr>
        <w:pStyle w:val="ListParagraph"/>
        <w:numPr>
          <w:ilvl w:val="2"/>
          <w:numId w:val="218"/>
        </w:numPr>
        <w:tabs>
          <w:tab w:val="left" w:pos="1842"/>
        </w:tabs>
        <w:spacing w:before="121" w:line="276" w:lineRule="auto"/>
        <w:jc w:val="both"/>
        <w:rPr>
          <w:rFonts w:ascii="Arial" w:hAnsi="Arial" w:cs="Arial"/>
          <w:sz w:val="20"/>
        </w:rPr>
      </w:pPr>
      <w:r w:rsidRPr="00201EF4">
        <w:rPr>
          <w:rFonts w:ascii="Arial" w:hAnsi="Arial" w:cs="Arial"/>
          <w:sz w:val="20"/>
        </w:rPr>
        <w:t>stowage</w:t>
      </w:r>
      <w:r w:rsidRPr="00201EF4">
        <w:rPr>
          <w:rFonts w:ascii="Arial" w:hAnsi="Arial" w:cs="Arial"/>
          <w:spacing w:val="-4"/>
          <w:sz w:val="20"/>
        </w:rPr>
        <w:t xml:space="preserve"> </w:t>
      </w:r>
      <w:r w:rsidRPr="00201EF4">
        <w:rPr>
          <w:rFonts w:ascii="Arial" w:hAnsi="Arial" w:cs="Arial"/>
          <w:sz w:val="20"/>
        </w:rPr>
        <w:t>of</w:t>
      </w:r>
      <w:r w:rsidRPr="00201EF4">
        <w:rPr>
          <w:rFonts w:ascii="Arial" w:hAnsi="Arial" w:cs="Arial"/>
          <w:spacing w:val="-2"/>
          <w:sz w:val="20"/>
        </w:rPr>
        <w:t xml:space="preserve"> </w:t>
      </w:r>
      <w:r w:rsidRPr="00201EF4">
        <w:rPr>
          <w:rFonts w:ascii="Arial" w:hAnsi="Arial" w:cs="Arial"/>
          <w:sz w:val="20"/>
        </w:rPr>
        <w:t>passengers’</w:t>
      </w:r>
      <w:r w:rsidRPr="00201EF4">
        <w:rPr>
          <w:rFonts w:ascii="Arial" w:hAnsi="Arial" w:cs="Arial"/>
          <w:spacing w:val="-1"/>
          <w:sz w:val="20"/>
        </w:rPr>
        <w:t xml:space="preserve"> </w:t>
      </w:r>
      <w:r w:rsidRPr="00201EF4">
        <w:rPr>
          <w:rFonts w:ascii="Arial" w:hAnsi="Arial" w:cs="Arial"/>
          <w:sz w:val="20"/>
        </w:rPr>
        <w:t>personal</w:t>
      </w:r>
      <w:r w:rsidRPr="00201EF4">
        <w:rPr>
          <w:rFonts w:ascii="Arial" w:hAnsi="Arial" w:cs="Arial"/>
          <w:spacing w:val="-2"/>
          <w:sz w:val="20"/>
        </w:rPr>
        <w:t xml:space="preserve"> </w:t>
      </w:r>
      <w:r w:rsidRPr="00201EF4">
        <w:rPr>
          <w:rFonts w:ascii="Arial" w:hAnsi="Arial" w:cs="Arial"/>
          <w:sz w:val="20"/>
        </w:rPr>
        <w:t>equipment;</w:t>
      </w:r>
      <w:r w:rsidRPr="00201EF4">
        <w:rPr>
          <w:rFonts w:ascii="Arial" w:hAnsi="Arial" w:cs="Arial"/>
          <w:spacing w:val="-1"/>
          <w:sz w:val="20"/>
        </w:rPr>
        <w:t xml:space="preserve"> </w:t>
      </w:r>
      <w:r w:rsidRPr="00201EF4">
        <w:rPr>
          <w:rFonts w:ascii="Arial" w:hAnsi="Arial" w:cs="Arial"/>
          <w:sz w:val="20"/>
        </w:rPr>
        <w:t>and</w:t>
      </w:r>
    </w:p>
    <w:p w14:paraId="59B9170E" w14:textId="77777777" w:rsidR="00201EF4" w:rsidRPr="00201EF4" w:rsidRDefault="00201EF4" w:rsidP="004F6505">
      <w:pPr>
        <w:pStyle w:val="ListParagraph"/>
        <w:numPr>
          <w:ilvl w:val="2"/>
          <w:numId w:val="218"/>
        </w:numPr>
        <w:tabs>
          <w:tab w:val="left" w:pos="1842"/>
        </w:tabs>
        <w:spacing w:line="276" w:lineRule="auto"/>
        <w:ind w:right="197"/>
        <w:jc w:val="both"/>
        <w:rPr>
          <w:rFonts w:ascii="Arial" w:hAnsi="Arial" w:cs="Arial"/>
          <w:sz w:val="20"/>
        </w:rPr>
      </w:pPr>
      <w:r w:rsidRPr="00201EF4">
        <w:rPr>
          <w:rFonts w:ascii="Arial" w:hAnsi="Arial" w:cs="Arial"/>
          <w:sz w:val="20"/>
        </w:rPr>
        <w:t>special factors in case of more than 19 passengers on board, in which case an</w:t>
      </w:r>
      <w:r w:rsidRPr="00201EF4">
        <w:rPr>
          <w:rFonts w:ascii="Arial" w:hAnsi="Arial" w:cs="Arial"/>
          <w:spacing w:val="1"/>
          <w:sz w:val="20"/>
        </w:rPr>
        <w:t xml:space="preserve"> </w:t>
      </w:r>
      <w:r w:rsidRPr="00201EF4">
        <w:rPr>
          <w:rFonts w:ascii="Arial" w:hAnsi="Arial" w:cs="Arial"/>
          <w:sz w:val="20"/>
        </w:rPr>
        <w:t>additional crew member is required in accordance with point BOP.ADD.410 of</w:t>
      </w:r>
      <w:r w:rsidRPr="00201EF4">
        <w:rPr>
          <w:rFonts w:ascii="Arial" w:hAnsi="Arial" w:cs="Arial"/>
          <w:spacing w:val="1"/>
          <w:sz w:val="20"/>
        </w:rPr>
        <w:t xml:space="preserve"> </w:t>
      </w:r>
      <w:r w:rsidRPr="00201EF4">
        <w:rPr>
          <w:rFonts w:ascii="Arial" w:hAnsi="Arial" w:cs="Arial"/>
          <w:sz w:val="20"/>
        </w:rPr>
        <w:t>Annex</w:t>
      </w:r>
      <w:r w:rsidRPr="00201EF4">
        <w:rPr>
          <w:rFonts w:ascii="Arial" w:hAnsi="Arial" w:cs="Arial"/>
          <w:spacing w:val="-1"/>
          <w:sz w:val="20"/>
        </w:rPr>
        <w:t xml:space="preserve"> </w:t>
      </w:r>
      <w:r w:rsidRPr="00201EF4">
        <w:rPr>
          <w:rFonts w:ascii="Arial" w:hAnsi="Arial" w:cs="Arial"/>
          <w:sz w:val="20"/>
        </w:rPr>
        <w:t>II (Part-BOP);</w:t>
      </w:r>
    </w:p>
    <w:p w14:paraId="2CB6696D" w14:textId="77777777" w:rsidR="00201EF4" w:rsidRPr="00201EF4" w:rsidRDefault="00201EF4" w:rsidP="004F6505">
      <w:pPr>
        <w:pStyle w:val="ListParagraph"/>
        <w:numPr>
          <w:ilvl w:val="1"/>
          <w:numId w:val="218"/>
        </w:numPr>
        <w:tabs>
          <w:tab w:val="left" w:pos="1273"/>
          <w:tab w:val="left" w:pos="1274"/>
        </w:tabs>
        <w:spacing w:before="121" w:line="276" w:lineRule="auto"/>
        <w:ind w:hanging="568"/>
        <w:jc w:val="both"/>
        <w:rPr>
          <w:rFonts w:ascii="Arial" w:hAnsi="Arial" w:cs="Arial"/>
          <w:sz w:val="20"/>
        </w:rPr>
      </w:pPr>
      <w:r w:rsidRPr="00201EF4">
        <w:rPr>
          <w:rFonts w:ascii="Arial" w:hAnsi="Arial" w:cs="Arial"/>
          <w:sz w:val="20"/>
        </w:rPr>
        <w:t>Emergency</w:t>
      </w:r>
      <w:r w:rsidRPr="00201EF4">
        <w:rPr>
          <w:rFonts w:ascii="Arial" w:hAnsi="Arial" w:cs="Arial"/>
          <w:spacing w:val="-3"/>
          <w:sz w:val="20"/>
        </w:rPr>
        <w:t xml:space="preserve"> </w:t>
      </w:r>
      <w:r w:rsidRPr="00201EF4">
        <w:rPr>
          <w:rFonts w:ascii="Arial" w:hAnsi="Arial" w:cs="Arial"/>
          <w:sz w:val="20"/>
        </w:rPr>
        <w:t>procedures:</w:t>
      </w:r>
    </w:p>
    <w:p w14:paraId="6CF73F4E" w14:textId="77777777" w:rsidR="00201EF4" w:rsidRPr="00201EF4" w:rsidRDefault="00201EF4" w:rsidP="004F6505">
      <w:pPr>
        <w:pStyle w:val="ListParagraph"/>
        <w:numPr>
          <w:ilvl w:val="2"/>
          <w:numId w:val="218"/>
        </w:numPr>
        <w:tabs>
          <w:tab w:val="left" w:pos="1841"/>
          <w:tab w:val="left" w:pos="1842"/>
        </w:tabs>
        <w:spacing w:line="276" w:lineRule="auto"/>
        <w:jc w:val="both"/>
        <w:rPr>
          <w:rFonts w:ascii="Arial" w:hAnsi="Arial" w:cs="Arial"/>
          <w:sz w:val="20"/>
        </w:rPr>
      </w:pPr>
      <w:r w:rsidRPr="00201EF4">
        <w:rPr>
          <w:rFonts w:ascii="Arial" w:hAnsi="Arial" w:cs="Arial"/>
          <w:sz w:val="20"/>
        </w:rPr>
        <w:t>fire in</w:t>
      </w:r>
      <w:r w:rsidRPr="00201EF4">
        <w:rPr>
          <w:rFonts w:ascii="Arial" w:hAnsi="Arial" w:cs="Arial"/>
          <w:spacing w:val="-1"/>
          <w:sz w:val="20"/>
        </w:rPr>
        <w:t xml:space="preserve"> </w:t>
      </w:r>
      <w:r w:rsidRPr="00201EF4">
        <w:rPr>
          <w:rFonts w:ascii="Arial" w:hAnsi="Arial" w:cs="Arial"/>
          <w:sz w:val="20"/>
        </w:rPr>
        <w:t>the</w:t>
      </w:r>
      <w:r w:rsidRPr="00201EF4">
        <w:rPr>
          <w:rFonts w:ascii="Arial" w:hAnsi="Arial" w:cs="Arial"/>
          <w:spacing w:val="-2"/>
          <w:sz w:val="20"/>
        </w:rPr>
        <w:t xml:space="preserve"> </w:t>
      </w:r>
      <w:r w:rsidRPr="00201EF4">
        <w:rPr>
          <w:rFonts w:ascii="Arial" w:hAnsi="Arial" w:cs="Arial"/>
          <w:sz w:val="20"/>
        </w:rPr>
        <w:t>air;</w:t>
      </w:r>
    </w:p>
    <w:p w14:paraId="644482D4" w14:textId="77777777" w:rsidR="00201EF4" w:rsidRPr="00201EF4" w:rsidRDefault="00201EF4" w:rsidP="004F6505">
      <w:pPr>
        <w:pStyle w:val="ListParagraph"/>
        <w:numPr>
          <w:ilvl w:val="2"/>
          <w:numId w:val="218"/>
        </w:numPr>
        <w:tabs>
          <w:tab w:val="left" w:pos="1841"/>
          <w:tab w:val="left" w:pos="1842"/>
        </w:tabs>
        <w:spacing w:before="118" w:line="276" w:lineRule="auto"/>
        <w:jc w:val="both"/>
        <w:rPr>
          <w:rFonts w:ascii="Arial" w:hAnsi="Arial" w:cs="Arial"/>
          <w:sz w:val="20"/>
        </w:rPr>
      </w:pPr>
      <w:r w:rsidRPr="00201EF4">
        <w:rPr>
          <w:rFonts w:ascii="Arial" w:hAnsi="Arial" w:cs="Arial"/>
          <w:sz w:val="20"/>
        </w:rPr>
        <w:lastRenderedPageBreak/>
        <w:t>fire on</w:t>
      </w:r>
      <w:r w:rsidRPr="00201EF4">
        <w:rPr>
          <w:rFonts w:ascii="Arial" w:hAnsi="Arial" w:cs="Arial"/>
          <w:spacing w:val="-3"/>
          <w:sz w:val="20"/>
        </w:rPr>
        <w:t xml:space="preserve"> </w:t>
      </w:r>
      <w:r w:rsidRPr="00201EF4">
        <w:rPr>
          <w:rFonts w:ascii="Arial" w:hAnsi="Arial" w:cs="Arial"/>
          <w:sz w:val="20"/>
        </w:rPr>
        <w:t>the ground;</w:t>
      </w:r>
    </w:p>
    <w:p w14:paraId="335BE3A5" w14:textId="77777777" w:rsidR="00201EF4" w:rsidRPr="00201EF4" w:rsidRDefault="00201EF4" w:rsidP="004F6505">
      <w:pPr>
        <w:pStyle w:val="ListParagraph"/>
        <w:numPr>
          <w:ilvl w:val="2"/>
          <w:numId w:val="218"/>
        </w:numPr>
        <w:tabs>
          <w:tab w:val="left" w:pos="1841"/>
          <w:tab w:val="left" w:pos="1842"/>
        </w:tabs>
        <w:spacing w:line="276" w:lineRule="auto"/>
        <w:jc w:val="both"/>
        <w:rPr>
          <w:rFonts w:ascii="Arial" w:hAnsi="Arial" w:cs="Arial"/>
          <w:sz w:val="20"/>
        </w:rPr>
      </w:pPr>
      <w:r w:rsidRPr="00201EF4">
        <w:rPr>
          <w:rFonts w:ascii="Arial" w:hAnsi="Arial" w:cs="Arial"/>
          <w:sz w:val="20"/>
        </w:rPr>
        <w:t>fuel</w:t>
      </w:r>
      <w:r w:rsidRPr="00201EF4">
        <w:rPr>
          <w:rFonts w:ascii="Arial" w:hAnsi="Arial" w:cs="Arial"/>
          <w:spacing w:val="-3"/>
          <w:sz w:val="20"/>
        </w:rPr>
        <w:t xml:space="preserve"> </w:t>
      </w:r>
      <w:r w:rsidRPr="00201EF4">
        <w:rPr>
          <w:rFonts w:ascii="Arial" w:hAnsi="Arial" w:cs="Arial"/>
          <w:sz w:val="20"/>
        </w:rPr>
        <w:t>system</w:t>
      </w:r>
      <w:r w:rsidRPr="00201EF4">
        <w:rPr>
          <w:rFonts w:ascii="Arial" w:hAnsi="Arial" w:cs="Arial"/>
          <w:spacing w:val="-2"/>
          <w:sz w:val="20"/>
        </w:rPr>
        <w:t xml:space="preserve"> </w:t>
      </w:r>
      <w:r w:rsidRPr="00201EF4">
        <w:rPr>
          <w:rFonts w:ascii="Arial" w:hAnsi="Arial" w:cs="Arial"/>
          <w:sz w:val="20"/>
        </w:rPr>
        <w:t>failures;</w:t>
      </w:r>
    </w:p>
    <w:p w14:paraId="6739089B" w14:textId="77777777" w:rsidR="00201EF4" w:rsidRPr="00201EF4" w:rsidRDefault="00201EF4" w:rsidP="004F6505">
      <w:pPr>
        <w:pStyle w:val="ListParagraph"/>
        <w:numPr>
          <w:ilvl w:val="2"/>
          <w:numId w:val="218"/>
        </w:numPr>
        <w:tabs>
          <w:tab w:val="left" w:pos="1841"/>
          <w:tab w:val="left" w:pos="1842"/>
        </w:tabs>
        <w:spacing w:before="121" w:line="276" w:lineRule="auto"/>
        <w:jc w:val="both"/>
        <w:rPr>
          <w:rFonts w:ascii="Arial" w:hAnsi="Arial" w:cs="Arial"/>
          <w:sz w:val="20"/>
        </w:rPr>
      </w:pPr>
      <w:r w:rsidRPr="00201EF4">
        <w:rPr>
          <w:rFonts w:ascii="Arial" w:hAnsi="Arial" w:cs="Arial"/>
          <w:sz w:val="20"/>
        </w:rPr>
        <w:t>deflation</w:t>
      </w:r>
      <w:r w:rsidRPr="00201EF4">
        <w:rPr>
          <w:rFonts w:ascii="Arial" w:hAnsi="Arial" w:cs="Arial"/>
          <w:spacing w:val="-4"/>
          <w:sz w:val="20"/>
        </w:rPr>
        <w:t xml:space="preserve"> </w:t>
      </w:r>
      <w:r w:rsidRPr="00201EF4">
        <w:rPr>
          <w:rFonts w:ascii="Arial" w:hAnsi="Arial" w:cs="Arial"/>
          <w:sz w:val="20"/>
        </w:rPr>
        <w:t>system</w:t>
      </w:r>
      <w:r w:rsidRPr="00201EF4">
        <w:rPr>
          <w:rFonts w:ascii="Arial" w:hAnsi="Arial" w:cs="Arial"/>
          <w:spacing w:val="-2"/>
          <w:sz w:val="20"/>
        </w:rPr>
        <w:t xml:space="preserve"> </w:t>
      </w:r>
      <w:r w:rsidRPr="00201EF4">
        <w:rPr>
          <w:rFonts w:ascii="Arial" w:hAnsi="Arial" w:cs="Arial"/>
          <w:sz w:val="20"/>
        </w:rPr>
        <w:t>failures;</w:t>
      </w:r>
    </w:p>
    <w:p w14:paraId="120C1015" w14:textId="77777777" w:rsidR="00201EF4" w:rsidRPr="00201EF4" w:rsidRDefault="00201EF4" w:rsidP="004F6505">
      <w:pPr>
        <w:pStyle w:val="ListParagraph"/>
        <w:numPr>
          <w:ilvl w:val="2"/>
          <w:numId w:val="218"/>
        </w:numPr>
        <w:tabs>
          <w:tab w:val="left" w:pos="1841"/>
          <w:tab w:val="left" w:pos="1842"/>
        </w:tabs>
        <w:spacing w:line="276" w:lineRule="auto"/>
        <w:jc w:val="both"/>
        <w:rPr>
          <w:rFonts w:ascii="Arial" w:hAnsi="Arial" w:cs="Arial"/>
          <w:sz w:val="20"/>
        </w:rPr>
      </w:pPr>
      <w:r w:rsidRPr="00201EF4">
        <w:rPr>
          <w:rFonts w:ascii="Arial" w:hAnsi="Arial" w:cs="Arial"/>
          <w:sz w:val="20"/>
        </w:rPr>
        <w:t>fast</w:t>
      </w:r>
      <w:r w:rsidRPr="00201EF4">
        <w:rPr>
          <w:rFonts w:ascii="Arial" w:hAnsi="Arial" w:cs="Arial"/>
          <w:spacing w:val="-2"/>
          <w:sz w:val="20"/>
        </w:rPr>
        <w:t xml:space="preserve"> </w:t>
      </w:r>
      <w:r w:rsidRPr="00201EF4">
        <w:rPr>
          <w:rFonts w:ascii="Arial" w:hAnsi="Arial" w:cs="Arial"/>
          <w:sz w:val="20"/>
        </w:rPr>
        <w:t>landing;</w:t>
      </w:r>
    </w:p>
    <w:p w14:paraId="73D1AD13" w14:textId="77777777" w:rsidR="00201EF4" w:rsidRPr="00201EF4" w:rsidRDefault="00201EF4" w:rsidP="004F6505">
      <w:pPr>
        <w:pStyle w:val="ListParagraph"/>
        <w:numPr>
          <w:ilvl w:val="2"/>
          <w:numId w:val="218"/>
        </w:numPr>
        <w:tabs>
          <w:tab w:val="left" w:pos="1841"/>
          <w:tab w:val="left" w:pos="1842"/>
        </w:tabs>
        <w:spacing w:line="276" w:lineRule="auto"/>
        <w:jc w:val="both"/>
        <w:rPr>
          <w:rFonts w:ascii="Arial" w:hAnsi="Arial" w:cs="Arial"/>
          <w:sz w:val="20"/>
        </w:rPr>
      </w:pPr>
      <w:r w:rsidRPr="00201EF4">
        <w:rPr>
          <w:rFonts w:ascii="Arial" w:hAnsi="Arial" w:cs="Arial"/>
          <w:sz w:val="20"/>
        </w:rPr>
        <w:t>hard</w:t>
      </w:r>
      <w:r w:rsidRPr="00201EF4">
        <w:rPr>
          <w:rFonts w:ascii="Arial" w:hAnsi="Arial" w:cs="Arial"/>
          <w:spacing w:val="-1"/>
          <w:sz w:val="20"/>
        </w:rPr>
        <w:t xml:space="preserve"> </w:t>
      </w:r>
      <w:r w:rsidRPr="00201EF4">
        <w:rPr>
          <w:rFonts w:ascii="Arial" w:hAnsi="Arial" w:cs="Arial"/>
          <w:sz w:val="20"/>
        </w:rPr>
        <w:t>landing; and</w:t>
      </w:r>
    </w:p>
    <w:p w14:paraId="4DE99BA0" w14:textId="77777777" w:rsidR="00201EF4" w:rsidRPr="00201EF4" w:rsidRDefault="00201EF4" w:rsidP="004F6505">
      <w:pPr>
        <w:pStyle w:val="ListParagraph"/>
        <w:numPr>
          <w:ilvl w:val="2"/>
          <w:numId w:val="218"/>
        </w:numPr>
        <w:tabs>
          <w:tab w:val="left" w:pos="1841"/>
          <w:tab w:val="left" w:pos="1842"/>
        </w:tabs>
        <w:spacing w:before="121" w:line="276" w:lineRule="auto"/>
        <w:jc w:val="both"/>
        <w:rPr>
          <w:rFonts w:ascii="Arial" w:hAnsi="Arial" w:cs="Arial"/>
          <w:sz w:val="20"/>
        </w:rPr>
      </w:pPr>
      <w:r w:rsidRPr="00201EF4">
        <w:rPr>
          <w:rFonts w:ascii="Arial" w:hAnsi="Arial" w:cs="Arial"/>
          <w:sz w:val="20"/>
        </w:rPr>
        <w:t>passenger</w:t>
      </w:r>
      <w:r w:rsidRPr="00201EF4">
        <w:rPr>
          <w:rFonts w:ascii="Arial" w:hAnsi="Arial" w:cs="Arial"/>
          <w:spacing w:val="-1"/>
          <w:sz w:val="20"/>
        </w:rPr>
        <w:t xml:space="preserve"> </w:t>
      </w:r>
      <w:r w:rsidRPr="00201EF4">
        <w:rPr>
          <w:rFonts w:ascii="Arial" w:hAnsi="Arial" w:cs="Arial"/>
          <w:sz w:val="20"/>
        </w:rPr>
        <w:t>incapacitation</w:t>
      </w:r>
      <w:r w:rsidRPr="00201EF4">
        <w:rPr>
          <w:rFonts w:ascii="Arial" w:hAnsi="Arial" w:cs="Arial"/>
          <w:spacing w:val="-2"/>
          <w:sz w:val="20"/>
        </w:rPr>
        <w:t xml:space="preserve"> </w:t>
      </w:r>
      <w:r w:rsidRPr="00201EF4">
        <w:rPr>
          <w:rFonts w:ascii="Arial" w:hAnsi="Arial" w:cs="Arial"/>
          <w:sz w:val="20"/>
        </w:rPr>
        <w:t>in</w:t>
      </w:r>
      <w:r w:rsidRPr="00201EF4">
        <w:rPr>
          <w:rFonts w:ascii="Arial" w:hAnsi="Arial" w:cs="Arial"/>
          <w:spacing w:val="-1"/>
          <w:sz w:val="20"/>
        </w:rPr>
        <w:t xml:space="preserve"> </w:t>
      </w:r>
      <w:r w:rsidRPr="00201EF4">
        <w:rPr>
          <w:rFonts w:ascii="Arial" w:hAnsi="Arial" w:cs="Arial"/>
          <w:sz w:val="20"/>
        </w:rPr>
        <w:t>flight; and</w:t>
      </w:r>
    </w:p>
    <w:p w14:paraId="16042E5B" w14:textId="77777777" w:rsidR="00201EF4" w:rsidRPr="00201EF4" w:rsidRDefault="00201EF4" w:rsidP="004F6505">
      <w:pPr>
        <w:pStyle w:val="ListParagraph"/>
        <w:numPr>
          <w:ilvl w:val="1"/>
          <w:numId w:val="218"/>
        </w:numPr>
        <w:tabs>
          <w:tab w:val="left" w:pos="1273"/>
          <w:tab w:val="left" w:pos="1274"/>
        </w:tabs>
        <w:spacing w:line="276" w:lineRule="auto"/>
        <w:ind w:hanging="568"/>
        <w:jc w:val="both"/>
        <w:rPr>
          <w:rFonts w:ascii="Arial" w:hAnsi="Arial" w:cs="Arial"/>
          <w:sz w:val="20"/>
        </w:rPr>
      </w:pPr>
      <w:r w:rsidRPr="00201EF4">
        <w:rPr>
          <w:rFonts w:ascii="Arial" w:hAnsi="Arial" w:cs="Arial"/>
          <w:sz w:val="20"/>
        </w:rPr>
        <w:t>Documentation:</w:t>
      </w:r>
    </w:p>
    <w:p w14:paraId="39731BBF" w14:textId="77777777" w:rsidR="00201EF4" w:rsidRPr="00201EF4" w:rsidRDefault="00201EF4" w:rsidP="004F6505">
      <w:pPr>
        <w:pStyle w:val="ListParagraph"/>
        <w:numPr>
          <w:ilvl w:val="2"/>
          <w:numId w:val="218"/>
        </w:numPr>
        <w:tabs>
          <w:tab w:val="left" w:pos="1841"/>
          <w:tab w:val="left" w:pos="1842"/>
        </w:tabs>
        <w:spacing w:line="276" w:lineRule="auto"/>
        <w:jc w:val="both"/>
        <w:rPr>
          <w:rFonts w:ascii="Arial" w:hAnsi="Arial" w:cs="Arial"/>
          <w:sz w:val="20"/>
        </w:rPr>
      </w:pPr>
      <w:r w:rsidRPr="00201EF4">
        <w:rPr>
          <w:rFonts w:ascii="Arial" w:hAnsi="Arial" w:cs="Arial"/>
          <w:sz w:val="20"/>
        </w:rPr>
        <w:t>loading</w:t>
      </w:r>
      <w:r w:rsidRPr="00201EF4">
        <w:rPr>
          <w:rFonts w:ascii="Arial" w:hAnsi="Arial" w:cs="Arial"/>
          <w:spacing w:val="-2"/>
          <w:sz w:val="20"/>
        </w:rPr>
        <w:t xml:space="preserve"> </w:t>
      </w:r>
      <w:r w:rsidRPr="00201EF4">
        <w:rPr>
          <w:rFonts w:ascii="Arial" w:hAnsi="Arial" w:cs="Arial"/>
          <w:sz w:val="20"/>
        </w:rPr>
        <w:t>calculation;</w:t>
      </w:r>
    </w:p>
    <w:p w14:paraId="0FFC3B31" w14:textId="77777777" w:rsidR="00201EF4" w:rsidRPr="00201EF4" w:rsidRDefault="00201EF4" w:rsidP="004F6505">
      <w:pPr>
        <w:pStyle w:val="ListParagraph"/>
        <w:numPr>
          <w:ilvl w:val="2"/>
          <w:numId w:val="218"/>
        </w:numPr>
        <w:tabs>
          <w:tab w:val="left" w:pos="1841"/>
          <w:tab w:val="left" w:pos="1842"/>
        </w:tabs>
        <w:spacing w:line="276" w:lineRule="auto"/>
        <w:jc w:val="both"/>
        <w:rPr>
          <w:rFonts w:ascii="Arial" w:hAnsi="Arial" w:cs="Arial"/>
          <w:sz w:val="20"/>
        </w:rPr>
      </w:pPr>
      <w:r w:rsidRPr="00201EF4">
        <w:rPr>
          <w:rFonts w:ascii="Arial" w:hAnsi="Arial" w:cs="Arial"/>
          <w:sz w:val="20"/>
        </w:rPr>
        <w:t>fuel</w:t>
      </w:r>
      <w:r w:rsidRPr="00201EF4">
        <w:rPr>
          <w:rFonts w:ascii="Arial" w:hAnsi="Arial" w:cs="Arial"/>
          <w:spacing w:val="-1"/>
          <w:sz w:val="20"/>
        </w:rPr>
        <w:t xml:space="preserve"> </w:t>
      </w:r>
      <w:r w:rsidRPr="00201EF4">
        <w:rPr>
          <w:rFonts w:ascii="Arial" w:hAnsi="Arial" w:cs="Arial"/>
          <w:sz w:val="20"/>
        </w:rPr>
        <w:t>calculation;</w:t>
      </w:r>
    </w:p>
    <w:p w14:paraId="5A77813E" w14:textId="77777777" w:rsidR="00201EF4" w:rsidRPr="00201EF4" w:rsidRDefault="00201EF4" w:rsidP="004F6505">
      <w:pPr>
        <w:pStyle w:val="ListParagraph"/>
        <w:numPr>
          <w:ilvl w:val="2"/>
          <w:numId w:val="218"/>
        </w:numPr>
        <w:tabs>
          <w:tab w:val="left" w:pos="1841"/>
          <w:tab w:val="left" w:pos="1842"/>
        </w:tabs>
        <w:spacing w:before="118" w:line="276" w:lineRule="auto"/>
        <w:jc w:val="both"/>
        <w:rPr>
          <w:rFonts w:ascii="Arial" w:hAnsi="Arial" w:cs="Arial"/>
          <w:sz w:val="20"/>
        </w:rPr>
      </w:pPr>
      <w:r w:rsidRPr="00201EF4">
        <w:rPr>
          <w:rFonts w:ascii="Arial" w:hAnsi="Arial" w:cs="Arial"/>
          <w:sz w:val="20"/>
        </w:rPr>
        <w:t>completion</w:t>
      </w:r>
      <w:r w:rsidRPr="00201EF4">
        <w:rPr>
          <w:rFonts w:ascii="Arial" w:hAnsi="Arial" w:cs="Arial"/>
          <w:spacing w:val="-4"/>
          <w:sz w:val="20"/>
        </w:rPr>
        <w:t xml:space="preserve"> </w:t>
      </w:r>
      <w:r w:rsidRPr="00201EF4">
        <w:rPr>
          <w:rFonts w:ascii="Arial" w:hAnsi="Arial" w:cs="Arial"/>
          <w:sz w:val="20"/>
        </w:rPr>
        <w:t>of</w:t>
      </w:r>
      <w:r w:rsidRPr="00201EF4">
        <w:rPr>
          <w:rFonts w:ascii="Arial" w:hAnsi="Arial" w:cs="Arial"/>
          <w:spacing w:val="-1"/>
          <w:sz w:val="20"/>
        </w:rPr>
        <w:t xml:space="preserve"> </w:t>
      </w:r>
      <w:r w:rsidRPr="00201EF4">
        <w:rPr>
          <w:rFonts w:ascii="Arial" w:hAnsi="Arial" w:cs="Arial"/>
          <w:sz w:val="20"/>
        </w:rPr>
        <w:t>passenger</w:t>
      </w:r>
      <w:r w:rsidRPr="00201EF4">
        <w:rPr>
          <w:rFonts w:ascii="Arial" w:hAnsi="Arial" w:cs="Arial"/>
          <w:spacing w:val="-3"/>
          <w:sz w:val="20"/>
        </w:rPr>
        <w:t xml:space="preserve"> </w:t>
      </w:r>
      <w:r w:rsidRPr="00201EF4">
        <w:rPr>
          <w:rFonts w:ascii="Arial" w:hAnsi="Arial" w:cs="Arial"/>
          <w:sz w:val="20"/>
        </w:rPr>
        <w:t>manifest;</w:t>
      </w:r>
      <w:r w:rsidRPr="00201EF4">
        <w:rPr>
          <w:rFonts w:ascii="Arial" w:hAnsi="Arial" w:cs="Arial"/>
          <w:spacing w:val="-1"/>
          <w:sz w:val="20"/>
        </w:rPr>
        <w:t xml:space="preserve"> </w:t>
      </w:r>
      <w:r w:rsidRPr="00201EF4">
        <w:rPr>
          <w:rFonts w:ascii="Arial" w:hAnsi="Arial" w:cs="Arial"/>
          <w:sz w:val="20"/>
        </w:rPr>
        <w:t>and</w:t>
      </w:r>
    </w:p>
    <w:p w14:paraId="35A61B70" w14:textId="77777777" w:rsidR="00201EF4" w:rsidRPr="00201EF4" w:rsidRDefault="00201EF4" w:rsidP="004F6505">
      <w:pPr>
        <w:pStyle w:val="ListParagraph"/>
        <w:numPr>
          <w:ilvl w:val="2"/>
          <w:numId w:val="218"/>
        </w:numPr>
        <w:tabs>
          <w:tab w:val="left" w:pos="1841"/>
          <w:tab w:val="left" w:pos="1842"/>
        </w:tabs>
        <w:spacing w:line="276" w:lineRule="auto"/>
        <w:jc w:val="both"/>
        <w:rPr>
          <w:rFonts w:ascii="Arial" w:hAnsi="Arial" w:cs="Arial"/>
          <w:sz w:val="20"/>
        </w:rPr>
      </w:pPr>
      <w:r w:rsidRPr="00201EF4">
        <w:rPr>
          <w:rFonts w:ascii="Arial" w:hAnsi="Arial" w:cs="Arial"/>
          <w:sz w:val="20"/>
        </w:rPr>
        <w:t>dealing</w:t>
      </w:r>
      <w:r w:rsidRPr="00201EF4">
        <w:rPr>
          <w:rFonts w:ascii="Arial" w:hAnsi="Arial" w:cs="Arial"/>
          <w:spacing w:val="-3"/>
          <w:sz w:val="20"/>
        </w:rPr>
        <w:t xml:space="preserve"> </w:t>
      </w:r>
      <w:r w:rsidRPr="00201EF4">
        <w:rPr>
          <w:rFonts w:ascii="Arial" w:hAnsi="Arial" w:cs="Arial"/>
          <w:sz w:val="20"/>
        </w:rPr>
        <w:t>with</w:t>
      </w:r>
      <w:r w:rsidRPr="00201EF4">
        <w:rPr>
          <w:rFonts w:ascii="Arial" w:hAnsi="Arial" w:cs="Arial"/>
          <w:spacing w:val="-2"/>
          <w:sz w:val="20"/>
        </w:rPr>
        <w:t xml:space="preserve"> </w:t>
      </w:r>
      <w:r w:rsidRPr="00201EF4">
        <w:rPr>
          <w:rFonts w:ascii="Arial" w:hAnsi="Arial" w:cs="Arial"/>
          <w:sz w:val="20"/>
        </w:rPr>
        <w:t>last-minute changes.</w:t>
      </w:r>
    </w:p>
    <w:p w14:paraId="40777174" w14:textId="77777777" w:rsidR="00201EF4" w:rsidRPr="00201EF4" w:rsidRDefault="00201EF4" w:rsidP="004F6505">
      <w:pPr>
        <w:pStyle w:val="ListParagraph"/>
        <w:numPr>
          <w:ilvl w:val="0"/>
          <w:numId w:val="218"/>
        </w:numPr>
        <w:tabs>
          <w:tab w:val="left" w:pos="706"/>
          <w:tab w:val="left" w:pos="707"/>
        </w:tabs>
        <w:spacing w:before="121" w:line="276" w:lineRule="auto"/>
        <w:jc w:val="both"/>
        <w:rPr>
          <w:rFonts w:ascii="Arial" w:hAnsi="Arial" w:cs="Arial"/>
          <w:sz w:val="20"/>
        </w:rPr>
      </w:pPr>
      <w:r w:rsidRPr="00201EF4">
        <w:rPr>
          <w:rFonts w:ascii="Arial" w:hAnsi="Arial" w:cs="Arial"/>
          <w:sz w:val="20"/>
        </w:rPr>
        <w:t>TRAINING</w:t>
      </w:r>
      <w:r w:rsidRPr="00201EF4">
        <w:rPr>
          <w:rFonts w:ascii="Arial" w:hAnsi="Arial" w:cs="Arial"/>
          <w:spacing w:val="-3"/>
          <w:sz w:val="20"/>
        </w:rPr>
        <w:t xml:space="preserve"> </w:t>
      </w:r>
      <w:r w:rsidRPr="00201EF4">
        <w:rPr>
          <w:rFonts w:ascii="Arial" w:hAnsi="Arial" w:cs="Arial"/>
          <w:sz w:val="20"/>
        </w:rPr>
        <w:t>FLIGHT</w:t>
      </w:r>
    </w:p>
    <w:p w14:paraId="414839D8" w14:textId="77777777" w:rsidR="00201EF4" w:rsidRPr="00201EF4" w:rsidRDefault="00201EF4" w:rsidP="004F6505">
      <w:pPr>
        <w:pStyle w:val="ListParagraph"/>
        <w:numPr>
          <w:ilvl w:val="1"/>
          <w:numId w:val="218"/>
        </w:numPr>
        <w:tabs>
          <w:tab w:val="left" w:pos="1274"/>
        </w:tabs>
        <w:spacing w:line="276" w:lineRule="auto"/>
        <w:ind w:hanging="568"/>
        <w:jc w:val="both"/>
        <w:rPr>
          <w:rFonts w:ascii="Arial" w:hAnsi="Arial" w:cs="Arial"/>
          <w:sz w:val="20"/>
        </w:rPr>
      </w:pPr>
      <w:r w:rsidRPr="00201EF4">
        <w:rPr>
          <w:rFonts w:ascii="Arial" w:hAnsi="Arial" w:cs="Arial"/>
          <w:sz w:val="20"/>
        </w:rPr>
        <w:t>A</w:t>
      </w:r>
      <w:r w:rsidRPr="00201EF4">
        <w:rPr>
          <w:rFonts w:ascii="Arial" w:hAnsi="Arial" w:cs="Arial"/>
          <w:spacing w:val="-3"/>
          <w:sz w:val="20"/>
        </w:rPr>
        <w:t xml:space="preserve"> </w:t>
      </w:r>
      <w:r w:rsidRPr="00201EF4">
        <w:rPr>
          <w:rFonts w:ascii="Arial" w:hAnsi="Arial" w:cs="Arial"/>
          <w:sz w:val="20"/>
        </w:rPr>
        <w:t>training</w:t>
      </w:r>
      <w:r w:rsidRPr="00201EF4">
        <w:rPr>
          <w:rFonts w:ascii="Arial" w:hAnsi="Arial" w:cs="Arial"/>
          <w:spacing w:val="-2"/>
          <w:sz w:val="20"/>
        </w:rPr>
        <w:t xml:space="preserve"> </w:t>
      </w:r>
      <w:r w:rsidRPr="00201EF4">
        <w:rPr>
          <w:rFonts w:ascii="Arial" w:hAnsi="Arial" w:cs="Arial"/>
          <w:sz w:val="20"/>
        </w:rPr>
        <w:t>flight</w:t>
      </w:r>
      <w:r w:rsidRPr="00201EF4">
        <w:rPr>
          <w:rFonts w:ascii="Arial" w:hAnsi="Arial" w:cs="Arial"/>
          <w:spacing w:val="-2"/>
          <w:sz w:val="20"/>
        </w:rPr>
        <w:t xml:space="preserve"> </w:t>
      </w:r>
      <w:r w:rsidRPr="00201EF4">
        <w:rPr>
          <w:rFonts w:ascii="Arial" w:hAnsi="Arial" w:cs="Arial"/>
          <w:sz w:val="20"/>
        </w:rPr>
        <w:t>as</w:t>
      </w:r>
      <w:r w:rsidRPr="00201EF4">
        <w:rPr>
          <w:rFonts w:ascii="Arial" w:hAnsi="Arial" w:cs="Arial"/>
          <w:spacing w:val="-3"/>
          <w:sz w:val="20"/>
        </w:rPr>
        <w:t xml:space="preserve"> </w:t>
      </w:r>
      <w:r w:rsidRPr="00201EF4">
        <w:rPr>
          <w:rFonts w:ascii="Arial" w:hAnsi="Arial" w:cs="Arial"/>
          <w:sz w:val="20"/>
        </w:rPr>
        <w:t>stipulated</w:t>
      </w:r>
      <w:r w:rsidRPr="00201EF4">
        <w:rPr>
          <w:rFonts w:ascii="Arial" w:hAnsi="Arial" w:cs="Arial"/>
          <w:spacing w:val="-2"/>
          <w:sz w:val="20"/>
        </w:rPr>
        <w:t xml:space="preserve"> </w:t>
      </w:r>
      <w:r w:rsidRPr="00201EF4">
        <w:rPr>
          <w:rFonts w:ascii="Arial" w:hAnsi="Arial" w:cs="Arial"/>
          <w:sz w:val="20"/>
        </w:rPr>
        <w:t>in</w:t>
      </w:r>
      <w:r w:rsidRPr="00201EF4">
        <w:rPr>
          <w:rFonts w:ascii="Arial" w:hAnsi="Arial" w:cs="Arial"/>
          <w:spacing w:val="-3"/>
          <w:sz w:val="20"/>
        </w:rPr>
        <w:t xml:space="preserve"> </w:t>
      </w:r>
      <w:r w:rsidRPr="00201EF4">
        <w:rPr>
          <w:rFonts w:ascii="Arial" w:hAnsi="Arial" w:cs="Arial"/>
          <w:sz w:val="20"/>
        </w:rPr>
        <w:t>point</w:t>
      </w:r>
      <w:r w:rsidRPr="00201EF4">
        <w:rPr>
          <w:rFonts w:ascii="Arial" w:hAnsi="Arial" w:cs="Arial"/>
          <w:spacing w:val="-2"/>
          <w:sz w:val="20"/>
        </w:rPr>
        <w:t xml:space="preserve"> </w:t>
      </w:r>
      <w:r w:rsidRPr="00201EF4">
        <w:rPr>
          <w:rFonts w:ascii="Arial" w:hAnsi="Arial" w:cs="Arial"/>
          <w:sz w:val="20"/>
        </w:rPr>
        <w:t>BFCL.215(d)(2)(ii)</w:t>
      </w:r>
      <w:r w:rsidRPr="00201EF4">
        <w:rPr>
          <w:rFonts w:ascii="Arial" w:hAnsi="Arial" w:cs="Arial"/>
          <w:spacing w:val="-4"/>
          <w:sz w:val="20"/>
        </w:rPr>
        <w:t xml:space="preserve"> </w:t>
      </w:r>
      <w:r w:rsidRPr="00201EF4">
        <w:rPr>
          <w:rFonts w:ascii="Arial" w:hAnsi="Arial" w:cs="Arial"/>
          <w:sz w:val="20"/>
        </w:rPr>
        <w:t>should</w:t>
      </w:r>
      <w:r w:rsidRPr="00201EF4">
        <w:rPr>
          <w:rFonts w:ascii="Arial" w:hAnsi="Arial" w:cs="Arial"/>
          <w:spacing w:val="-3"/>
          <w:sz w:val="20"/>
        </w:rPr>
        <w:t xml:space="preserve"> </w:t>
      </w:r>
      <w:r w:rsidRPr="00201EF4">
        <w:rPr>
          <w:rFonts w:ascii="Arial" w:hAnsi="Arial" w:cs="Arial"/>
          <w:sz w:val="20"/>
        </w:rPr>
        <w:t>be</w:t>
      </w:r>
      <w:r w:rsidRPr="00201EF4">
        <w:rPr>
          <w:rFonts w:ascii="Arial" w:hAnsi="Arial" w:cs="Arial"/>
          <w:spacing w:val="-2"/>
          <w:sz w:val="20"/>
        </w:rPr>
        <w:t xml:space="preserve"> </w:t>
      </w:r>
      <w:r w:rsidRPr="00201EF4">
        <w:rPr>
          <w:rFonts w:ascii="Arial" w:hAnsi="Arial" w:cs="Arial"/>
          <w:sz w:val="20"/>
        </w:rPr>
        <w:t>a</w:t>
      </w:r>
      <w:r w:rsidRPr="00201EF4">
        <w:rPr>
          <w:rFonts w:ascii="Arial" w:hAnsi="Arial" w:cs="Arial"/>
          <w:spacing w:val="-5"/>
          <w:sz w:val="20"/>
        </w:rPr>
        <w:t xml:space="preserve"> </w:t>
      </w:r>
      <w:r w:rsidRPr="00201EF4">
        <w:rPr>
          <w:rFonts w:ascii="Arial" w:hAnsi="Arial" w:cs="Arial"/>
          <w:sz w:val="20"/>
        </w:rPr>
        <w:t>flight</w:t>
      </w:r>
      <w:r w:rsidRPr="00201EF4">
        <w:rPr>
          <w:rFonts w:ascii="Arial" w:hAnsi="Arial" w:cs="Arial"/>
          <w:spacing w:val="-2"/>
          <w:sz w:val="20"/>
        </w:rPr>
        <w:t xml:space="preserve"> </w:t>
      </w:r>
      <w:r w:rsidRPr="00201EF4">
        <w:rPr>
          <w:rFonts w:ascii="Arial" w:hAnsi="Arial" w:cs="Arial"/>
          <w:sz w:val="20"/>
        </w:rPr>
        <w:t>that:</w:t>
      </w:r>
    </w:p>
    <w:p w14:paraId="0ADFF0FC" w14:textId="77777777" w:rsidR="00201EF4" w:rsidRPr="00201EF4" w:rsidRDefault="00201EF4" w:rsidP="004F6505">
      <w:pPr>
        <w:pStyle w:val="ListParagraph"/>
        <w:numPr>
          <w:ilvl w:val="2"/>
          <w:numId w:val="218"/>
        </w:numPr>
        <w:tabs>
          <w:tab w:val="left" w:pos="1842"/>
        </w:tabs>
        <w:spacing w:line="276" w:lineRule="auto"/>
        <w:ind w:right="196"/>
        <w:jc w:val="both"/>
        <w:rPr>
          <w:rFonts w:ascii="Arial" w:hAnsi="Arial" w:cs="Arial"/>
          <w:sz w:val="20"/>
        </w:rPr>
      </w:pPr>
      <w:r w:rsidRPr="00201EF4">
        <w:rPr>
          <w:rFonts w:ascii="Arial" w:hAnsi="Arial" w:cs="Arial"/>
          <w:sz w:val="20"/>
        </w:rPr>
        <w:t>follows the content of the skill test for initial issue of the commercial operation</w:t>
      </w:r>
      <w:r w:rsidRPr="00201EF4">
        <w:rPr>
          <w:rFonts w:ascii="Arial" w:hAnsi="Arial" w:cs="Arial"/>
          <w:spacing w:val="1"/>
          <w:sz w:val="20"/>
        </w:rPr>
        <w:t xml:space="preserve"> </w:t>
      </w:r>
      <w:r w:rsidRPr="00201EF4">
        <w:rPr>
          <w:rFonts w:ascii="Arial" w:hAnsi="Arial" w:cs="Arial"/>
          <w:sz w:val="20"/>
        </w:rPr>
        <w:t>rating</w:t>
      </w:r>
      <w:r w:rsidRPr="00201EF4">
        <w:rPr>
          <w:rFonts w:ascii="Arial" w:hAnsi="Arial" w:cs="Arial"/>
          <w:spacing w:val="-2"/>
          <w:sz w:val="20"/>
        </w:rPr>
        <w:t xml:space="preserve"> </w:t>
      </w:r>
      <w:r w:rsidRPr="00201EF4">
        <w:rPr>
          <w:rFonts w:ascii="Arial" w:hAnsi="Arial" w:cs="Arial"/>
          <w:sz w:val="20"/>
        </w:rPr>
        <w:t>as set</w:t>
      </w:r>
      <w:r w:rsidRPr="00201EF4">
        <w:rPr>
          <w:rFonts w:ascii="Arial" w:hAnsi="Arial" w:cs="Arial"/>
          <w:spacing w:val="-2"/>
          <w:sz w:val="20"/>
        </w:rPr>
        <w:t xml:space="preserve"> </w:t>
      </w:r>
      <w:r w:rsidRPr="00201EF4">
        <w:rPr>
          <w:rFonts w:ascii="Arial" w:hAnsi="Arial" w:cs="Arial"/>
          <w:sz w:val="20"/>
        </w:rPr>
        <w:t>out in</w:t>
      </w:r>
      <w:r w:rsidRPr="00201EF4">
        <w:rPr>
          <w:rFonts w:ascii="Arial" w:hAnsi="Arial" w:cs="Arial"/>
          <w:spacing w:val="-1"/>
          <w:sz w:val="20"/>
        </w:rPr>
        <w:t xml:space="preserve"> </w:t>
      </w:r>
      <w:r w:rsidRPr="00201EF4">
        <w:rPr>
          <w:rFonts w:ascii="Arial" w:hAnsi="Arial" w:cs="Arial"/>
          <w:sz w:val="20"/>
        </w:rPr>
        <w:t>AMC1</w:t>
      </w:r>
      <w:r w:rsidRPr="00201EF4">
        <w:rPr>
          <w:rFonts w:ascii="Arial" w:hAnsi="Arial" w:cs="Arial"/>
          <w:spacing w:val="-3"/>
          <w:sz w:val="20"/>
        </w:rPr>
        <w:t xml:space="preserve"> </w:t>
      </w:r>
      <w:r w:rsidRPr="00201EF4">
        <w:rPr>
          <w:rFonts w:ascii="Arial" w:hAnsi="Arial" w:cs="Arial"/>
          <w:sz w:val="20"/>
        </w:rPr>
        <w:t>BFCL.215(b)(4); and</w:t>
      </w:r>
    </w:p>
    <w:p w14:paraId="4C2C9B09" w14:textId="77777777" w:rsidR="00201EF4" w:rsidRPr="00201EF4" w:rsidRDefault="00201EF4" w:rsidP="004F6505">
      <w:pPr>
        <w:pStyle w:val="ListParagraph"/>
        <w:numPr>
          <w:ilvl w:val="2"/>
          <w:numId w:val="218"/>
        </w:numPr>
        <w:tabs>
          <w:tab w:val="left" w:pos="1842"/>
        </w:tabs>
        <w:spacing w:before="121" w:line="276" w:lineRule="auto"/>
        <w:ind w:right="194"/>
        <w:jc w:val="both"/>
        <w:rPr>
          <w:rFonts w:ascii="Arial" w:hAnsi="Arial" w:cs="Arial"/>
          <w:sz w:val="20"/>
        </w:rPr>
      </w:pPr>
      <w:r w:rsidRPr="00201EF4">
        <w:rPr>
          <w:rFonts w:ascii="Arial" w:hAnsi="Arial" w:cs="Arial"/>
          <w:sz w:val="20"/>
        </w:rPr>
        <w:t>is</w:t>
      </w:r>
      <w:r w:rsidRPr="00201EF4">
        <w:rPr>
          <w:rFonts w:ascii="Arial" w:hAnsi="Arial" w:cs="Arial"/>
          <w:spacing w:val="-11"/>
          <w:sz w:val="20"/>
        </w:rPr>
        <w:t xml:space="preserve"> </w:t>
      </w:r>
      <w:r w:rsidRPr="00201EF4">
        <w:rPr>
          <w:rFonts w:ascii="Arial" w:hAnsi="Arial" w:cs="Arial"/>
          <w:sz w:val="20"/>
        </w:rPr>
        <w:t>conducted</w:t>
      </w:r>
      <w:r w:rsidRPr="00201EF4">
        <w:rPr>
          <w:rFonts w:ascii="Arial" w:hAnsi="Arial" w:cs="Arial"/>
          <w:spacing w:val="-9"/>
          <w:sz w:val="20"/>
        </w:rPr>
        <w:t xml:space="preserve"> </w:t>
      </w:r>
      <w:r w:rsidRPr="00201EF4">
        <w:rPr>
          <w:rFonts w:ascii="Arial" w:hAnsi="Arial" w:cs="Arial"/>
          <w:sz w:val="20"/>
        </w:rPr>
        <w:t>on</w:t>
      </w:r>
      <w:r w:rsidRPr="00201EF4">
        <w:rPr>
          <w:rFonts w:ascii="Arial" w:hAnsi="Arial" w:cs="Arial"/>
          <w:spacing w:val="-10"/>
          <w:sz w:val="20"/>
        </w:rPr>
        <w:t xml:space="preserve"> </w:t>
      </w:r>
      <w:r w:rsidRPr="00201EF4">
        <w:rPr>
          <w:rFonts w:ascii="Arial" w:hAnsi="Arial" w:cs="Arial"/>
          <w:sz w:val="20"/>
        </w:rPr>
        <w:t>a</w:t>
      </w:r>
      <w:r w:rsidRPr="00201EF4">
        <w:rPr>
          <w:rFonts w:ascii="Arial" w:hAnsi="Arial" w:cs="Arial"/>
          <w:spacing w:val="-13"/>
          <w:sz w:val="20"/>
        </w:rPr>
        <w:t xml:space="preserve"> </w:t>
      </w:r>
      <w:r w:rsidRPr="00201EF4">
        <w:rPr>
          <w:rFonts w:ascii="Arial" w:hAnsi="Arial" w:cs="Arial"/>
          <w:sz w:val="20"/>
        </w:rPr>
        <w:t>one-to-one</w:t>
      </w:r>
      <w:r w:rsidRPr="00201EF4">
        <w:rPr>
          <w:rFonts w:ascii="Arial" w:hAnsi="Arial" w:cs="Arial"/>
          <w:spacing w:val="-9"/>
          <w:sz w:val="20"/>
        </w:rPr>
        <w:t xml:space="preserve"> </w:t>
      </w:r>
      <w:r w:rsidRPr="00201EF4">
        <w:rPr>
          <w:rFonts w:ascii="Arial" w:hAnsi="Arial" w:cs="Arial"/>
          <w:sz w:val="20"/>
        </w:rPr>
        <w:t>basis</w:t>
      </w:r>
      <w:r w:rsidRPr="00201EF4">
        <w:rPr>
          <w:rFonts w:ascii="Arial" w:hAnsi="Arial" w:cs="Arial"/>
          <w:spacing w:val="-10"/>
          <w:sz w:val="20"/>
        </w:rPr>
        <w:t xml:space="preserve"> </w:t>
      </w:r>
      <w:r w:rsidRPr="00201EF4">
        <w:rPr>
          <w:rFonts w:ascii="Arial" w:hAnsi="Arial" w:cs="Arial"/>
          <w:sz w:val="20"/>
        </w:rPr>
        <w:t>between</w:t>
      </w:r>
      <w:r w:rsidRPr="00201EF4">
        <w:rPr>
          <w:rFonts w:ascii="Arial" w:hAnsi="Arial" w:cs="Arial"/>
          <w:spacing w:val="-13"/>
          <w:sz w:val="20"/>
        </w:rPr>
        <w:t xml:space="preserve"> </w:t>
      </w:r>
      <w:r w:rsidRPr="00201EF4">
        <w:rPr>
          <w:rFonts w:ascii="Arial" w:hAnsi="Arial" w:cs="Arial"/>
          <w:sz w:val="20"/>
        </w:rPr>
        <w:t>one</w:t>
      </w:r>
      <w:r w:rsidRPr="00201EF4">
        <w:rPr>
          <w:rFonts w:ascii="Arial" w:hAnsi="Arial" w:cs="Arial"/>
          <w:spacing w:val="-9"/>
          <w:sz w:val="20"/>
        </w:rPr>
        <w:t xml:space="preserve"> </w:t>
      </w:r>
      <w:r w:rsidRPr="00201EF4">
        <w:rPr>
          <w:rFonts w:ascii="Arial" w:hAnsi="Arial" w:cs="Arial"/>
          <w:sz w:val="20"/>
        </w:rPr>
        <w:t>pilot</w:t>
      </w:r>
      <w:r w:rsidRPr="00201EF4">
        <w:rPr>
          <w:rFonts w:ascii="Arial" w:hAnsi="Arial" w:cs="Arial"/>
          <w:spacing w:val="-11"/>
          <w:sz w:val="20"/>
        </w:rPr>
        <w:t xml:space="preserve"> </w:t>
      </w:r>
      <w:r w:rsidRPr="00201EF4">
        <w:rPr>
          <w:rFonts w:ascii="Arial" w:hAnsi="Arial" w:cs="Arial"/>
          <w:sz w:val="20"/>
        </w:rPr>
        <w:t>and</w:t>
      </w:r>
      <w:r w:rsidRPr="00201EF4">
        <w:rPr>
          <w:rFonts w:ascii="Arial" w:hAnsi="Arial" w:cs="Arial"/>
          <w:spacing w:val="-11"/>
          <w:sz w:val="20"/>
        </w:rPr>
        <w:t xml:space="preserve"> </w:t>
      </w:r>
      <w:r w:rsidRPr="00201EF4">
        <w:rPr>
          <w:rFonts w:ascii="Arial" w:hAnsi="Arial" w:cs="Arial"/>
          <w:sz w:val="20"/>
        </w:rPr>
        <w:t>one</w:t>
      </w:r>
      <w:r w:rsidRPr="00201EF4">
        <w:rPr>
          <w:rFonts w:ascii="Arial" w:hAnsi="Arial" w:cs="Arial"/>
          <w:spacing w:val="-9"/>
          <w:sz w:val="20"/>
        </w:rPr>
        <w:t xml:space="preserve"> </w:t>
      </w:r>
      <w:r w:rsidRPr="00201EF4">
        <w:rPr>
          <w:rFonts w:ascii="Arial" w:hAnsi="Arial" w:cs="Arial"/>
          <w:sz w:val="20"/>
        </w:rPr>
        <w:t>instructor</w:t>
      </w:r>
      <w:r w:rsidRPr="00201EF4">
        <w:rPr>
          <w:rFonts w:ascii="Arial" w:hAnsi="Arial" w:cs="Arial"/>
          <w:spacing w:val="-12"/>
          <w:sz w:val="20"/>
        </w:rPr>
        <w:t xml:space="preserve"> </w:t>
      </w:r>
      <w:r w:rsidRPr="00201EF4">
        <w:rPr>
          <w:rFonts w:ascii="Arial" w:hAnsi="Arial" w:cs="Arial"/>
          <w:sz w:val="20"/>
        </w:rPr>
        <w:t>only,</w:t>
      </w:r>
      <w:r w:rsidRPr="00201EF4">
        <w:rPr>
          <w:rFonts w:ascii="Arial" w:hAnsi="Arial" w:cs="Arial"/>
          <w:spacing w:val="-12"/>
          <w:sz w:val="20"/>
        </w:rPr>
        <w:t xml:space="preserve"> </w:t>
      </w:r>
      <w:r w:rsidRPr="00201EF4">
        <w:rPr>
          <w:rFonts w:ascii="Arial" w:hAnsi="Arial" w:cs="Arial"/>
          <w:sz w:val="20"/>
        </w:rPr>
        <w:t>with</w:t>
      </w:r>
      <w:r w:rsidRPr="00201EF4">
        <w:rPr>
          <w:rFonts w:ascii="Arial" w:hAnsi="Arial" w:cs="Arial"/>
          <w:spacing w:val="-47"/>
          <w:sz w:val="20"/>
        </w:rPr>
        <w:t xml:space="preserve"> </w:t>
      </w:r>
      <w:r w:rsidRPr="00201EF4">
        <w:rPr>
          <w:rFonts w:ascii="Arial" w:hAnsi="Arial" w:cs="Arial"/>
          <w:sz w:val="20"/>
        </w:rPr>
        <w:t>no other pilot</w:t>
      </w:r>
      <w:r w:rsidRPr="00201EF4">
        <w:rPr>
          <w:rFonts w:ascii="Arial" w:hAnsi="Arial" w:cs="Arial"/>
          <w:spacing w:val="-2"/>
          <w:sz w:val="20"/>
        </w:rPr>
        <w:t xml:space="preserve"> </w:t>
      </w:r>
      <w:r w:rsidRPr="00201EF4">
        <w:rPr>
          <w:rFonts w:ascii="Arial" w:hAnsi="Arial" w:cs="Arial"/>
          <w:sz w:val="20"/>
        </w:rPr>
        <w:t>on</w:t>
      </w:r>
      <w:r w:rsidRPr="00201EF4">
        <w:rPr>
          <w:rFonts w:ascii="Arial" w:hAnsi="Arial" w:cs="Arial"/>
          <w:spacing w:val="-1"/>
          <w:sz w:val="20"/>
        </w:rPr>
        <w:t xml:space="preserve"> </w:t>
      </w:r>
      <w:r w:rsidRPr="00201EF4">
        <w:rPr>
          <w:rFonts w:ascii="Arial" w:hAnsi="Arial" w:cs="Arial"/>
          <w:sz w:val="20"/>
        </w:rPr>
        <w:t>board</w:t>
      </w:r>
      <w:r w:rsidRPr="00201EF4">
        <w:rPr>
          <w:rFonts w:ascii="Arial" w:hAnsi="Arial" w:cs="Arial"/>
          <w:spacing w:val="-1"/>
          <w:sz w:val="20"/>
        </w:rPr>
        <w:t xml:space="preserve"> </w:t>
      </w:r>
      <w:r w:rsidRPr="00201EF4">
        <w:rPr>
          <w:rFonts w:ascii="Arial" w:hAnsi="Arial" w:cs="Arial"/>
          <w:sz w:val="20"/>
        </w:rPr>
        <w:t>who</w:t>
      </w:r>
      <w:r w:rsidRPr="00201EF4">
        <w:rPr>
          <w:rFonts w:ascii="Arial" w:hAnsi="Arial" w:cs="Arial"/>
          <w:spacing w:val="1"/>
          <w:sz w:val="20"/>
        </w:rPr>
        <w:t xml:space="preserve"> </w:t>
      </w:r>
      <w:r w:rsidRPr="00201EF4">
        <w:rPr>
          <w:rFonts w:ascii="Arial" w:hAnsi="Arial" w:cs="Arial"/>
          <w:sz w:val="20"/>
        </w:rPr>
        <w:t>is</w:t>
      </w:r>
      <w:r w:rsidRPr="00201EF4">
        <w:rPr>
          <w:rFonts w:ascii="Arial" w:hAnsi="Arial" w:cs="Arial"/>
          <w:spacing w:val="-3"/>
          <w:sz w:val="20"/>
        </w:rPr>
        <w:t xml:space="preserve"> </w:t>
      </w:r>
      <w:r w:rsidRPr="00201EF4">
        <w:rPr>
          <w:rFonts w:ascii="Arial" w:hAnsi="Arial" w:cs="Arial"/>
          <w:sz w:val="20"/>
        </w:rPr>
        <w:t>taking</w:t>
      </w:r>
      <w:r w:rsidRPr="00201EF4">
        <w:rPr>
          <w:rFonts w:ascii="Arial" w:hAnsi="Arial" w:cs="Arial"/>
          <w:spacing w:val="-2"/>
          <w:sz w:val="20"/>
        </w:rPr>
        <w:t xml:space="preserve"> </w:t>
      </w:r>
      <w:r w:rsidRPr="00201EF4">
        <w:rPr>
          <w:rFonts w:ascii="Arial" w:hAnsi="Arial" w:cs="Arial"/>
          <w:sz w:val="20"/>
        </w:rPr>
        <w:t>credit for that</w:t>
      </w:r>
      <w:r w:rsidRPr="00201EF4">
        <w:rPr>
          <w:rFonts w:ascii="Arial" w:hAnsi="Arial" w:cs="Arial"/>
          <w:spacing w:val="-3"/>
          <w:sz w:val="20"/>
        </w:rPr>
        <w:t xml:space="preserve"> </w:t>
      </w:r>
      <w:r w:rsidRPr="00201EF4">
        <w:rPr>
          <w:rFonts w:ascii="Arial" w:hAnsi="Arial" w:cs="Arial"/>
          <w:sz w:val="20"/>
        </w:rPr>
        <w:t>flight.</w:t>
      </w:r>
    </w:p>
    <w:p w14:paraId="6644778B" w14:textId="77777777" w:rsidR="00201EF4" w:rsidRPr="00201EF4" w:rsidRDefault="00201EF4" w:rsidP="004F6505">
      <w:pPr>
        <w:pStyle w:val="ListParagraph"/>
        <w:numPr>
          <w:ilvl w:val="1"/>
          <w:numId w:val="218"/>
        </w:numPr>
        <w:tabs>
          <w:tab w:val="left" w:pos="1274"/>
        </w:tabs>
        <w:spacing w:line="276" w:lineRule="auto"/>
        <w:ind w:right="194"/>
        <w:jc w:val="both"/>
        <w:rPr>
          <w:rFonts w:ascii="Arial" w:hAnsi="Arial" w:cs="Arial"/>
          <w:sz w:val="20"/>
        </w:rPr>
      </w:pPr>
      <w:r w:rsidRPr="00201EF4">
        <w:rPr>
          <w:rFonts w:ascii="Arial" w:hAnsi="Arial" w:cs="Arial"/>
          <w:sz w:val="20"/>
        </w:rPr>
        <w:t>Each training flight should be preceded with a briefing and closed with a debriefing</w:t>
      </w:r>
      <w:r w:rsidRPr="00201EF4">
        <w:rPr>
          <w:rFonts w:ascii="Arial" w:hAnsi="Arial" w:cs="Arial"/>
          <w:spacing w:val="1"/>
          <w:sz w:val="20"/>
        </w:rPr>
        <w:t xml:space="preserve"> </w:t>
      </w:r>
      <w:r w:rsidRPr="00201EF4">
        <w:rPr>
          <w:rFonts w:ascii="Arial" w:hAnsi="Arial" w:cs="Arial"/>
          <w:sz w:val="20"/>
        </w:rPr>
        <w:t>between</w:t>
      </w:r>
      <w:r w:rsidRPr="00201EF4">
        <w:rPr>
          <w:rFonts w:ascii="Arial" w:hAnsi="Arial" w:cs="Arial"/>
          <w:spacing w:val="-6"/>
          <w:sz w:val="20"/>
        </w:rPr>
        <w:t xml:space="preserve"> </w:t>
      </w:r>
      <w:r w:rsidRPr="00201EF4">
        <w:rPr>
          <w:rFonts w:ascii="Arial" w:hAnsi="Arial" w:cs="Arial"/>
          <w:sz w:val="20"/>
        </w:rPr>
        <w:t>the</w:t>
      </w:r>
      <w:r w:rsidRPr="00201EF4">
        <w:rPr>
          <w:rFonts w:ascii="Arial" w:hAnsi="Arial" w:cs="Arial"/>
          <w:spacing w:val="-5"/>
          <w:sz w:val="20"/>
        </w:rPr>
        <w:t xml:space="preserve"> </w:t>
      </w:r>
      <w:r w:rsidRPr="00201EF4">
        <w:rPr>
          <w:rFonts w:ascii="Arial" w:hAnsi="Arial" w:cs="Arial"/>
          <w:sz w:val="20"/>
        </w:rPr>
        <w:t>instructor</w:t>
      </w:r>
      <w:r w:rsidRPr="00201EF4">
        <w:rPr>
          <w:rFonts w:ascii="Arial" w:hAnsi="Arial" w:cs="Arial"/>
          <w:spacing w:val="-5"/>
          <w:sz w:val="20"/>
        </w:rPr>
        <w:t xml:space="preserve"> </w:t>
      </w:r>
      <w:r w:rsidRPr="00201EF4">
        <w:rPr>
          <w:rFonts w:ascii="Arial" w:hAnsi="Arial" w:cs="Arial"/>
          <w:sz w:val="20"/>
        </w:rPr>
        <w:t>and</w:t>
      </w:r>
      <w:r w:rsidRPr="00201EF4">
        <w:rPr>
          <w:rFonts w:ascii="Arial" w:hAnsi="Arial" w:cs="Arial"/>
          <w:spacing w:val="-9"/>
          <w:sz w:val="20"/>
        </w:rPr>
        <w:t xml:space="preserve"> </w:t>
      </w:r>
      <w:r w:rsidRPr="00201EF4">
        <w:rPr>
          <w:rFonts w:ascii="Arial" w:hAnsi="Arial" w:cs="Arial"/>
          <w:sz w:val="20"/>
        </w:rPr>
        <w:t>the</w:t>
      </w:r>
      <w:r w:rsidRPr="00201EF4">
        <w:rPr>
          <w:rFonts w:ascii="Arial" w:hAnsi="Arial" w:cs="Arial"/>
          <w:spacing w:val="-7"/>
          <w:sz w:val="20"/>
        </w:rPr>
        <w:t xml:space="preserve"> </w:t>
      </w:r>
      <w:r w:rsidRPr="00201EF4">
        <w:rPr>
          <w:rFonts w:ascii="Arial" w:hAnsi="Arial" w:cs="Arial"/>
          <w:sz w:val="20"/>
        </w:rPr>
        <w:t>candidate.</w:t>
      </w:r>
      <w:r w:rsidRPr="00201EF4">
        <w:rPr>
          <w:rFonts w:ascii="Arial" w:hAnsi="Arial" w:cs="Arial"/>
          <w:spacing w:val="-8"/>
          <w:sz w:val="20"/>
        </w:rPr>
        <w:t xml:space="preserve"> </w:t>
      </w:r>
      <w:r w:rsidRPr="00201EF4">
        <w:rPr>
          <w:rFonts w:ascii="Arial" w:hAnsi="Arial" w:cs="Arial"/>
          <w:sz w:val="20"/>
        </w:rPr>
        <w:t>In</w:t>
      </w:r>
      <w:r w:rsidRPr="00201EF4">
        <w:rPr>
          <w:rFonts w:ascii="Arial" w:hAnsi="Arial" w:cs="Arial"/>
          <w:spacing w:val="-8"/>
          <w:sz w:val="20"/>
        </w:rPr>
        <w:t xml:space="preserve"> </w:t>
      </w:r>
      <w:r w:rsidRPr="00201EF4">
        <w:rPr>
          <w:rFonts w:ascii="Arial" w:hAnsi="Arial" w:cs="Arial"/>
          <w:sz w:val="20"/>
        </w:rPr>
        <w:t>order</w:t>
      </w:r>
      <w:r w:rsidRPr="00201EF4">
        <w:rPr>
          <w:rFonts w:ascii="Arial" w:hAnsi="Arial" w:cs="Arial"/>
          <w:spacing w:val="-8"/>
          <w:sz w:val="20"/>
        </w:rPr>
        <w:t xml:space="preserve"> </w:t>
      </w:r>
      <w:r w:rsidRPr="00201EF4">
        <w:rPr>
          <w:rFonts w:ascii="Arial" w:hAnsi="Arial" w:cs="Arial"/>
          <w:sz w:val="20"/>
        </w:rPr>
        <w:t>to</w:t>
      </w:r>
      <w:r w:rsidRPr="00201EF4">
        <w:rPr>
          <w:rFonts w:ascii="Arial" w:hAnsi="Arial" w:cs="Arial"/>
          <w:spacing w:val="-6"/>
          <w:sz w:val="20"/>
        </w:rPr>
        <w:t xml:space="preserve"> </w:t>
      </w:r>
      <w:r w:rsidRPr="00201EF4">
        <w:rPr>
          <w:rFonts w:ascii="Arial" w:hAnsi="Arial" w:cs="Arial"/>
          <w:sz w:val="20"/>
        </w:rPr>
        <w:t>add</w:t>
      </w:r>
      <w:r w:rsidRPr="00201EF4">
        <w:rPr>
          <w:rFonts w:ascii="Arial" w:hAnsi="Arial" w:cs="Arial"/>
          <w:spacing w:val="-6"/>
          <w:sz w:val="20"/>
        </w:rPr>
        <w:t xml:space="preserve"> </w:t>
      </w:r>
      <w:r w:rsidRPr="00201EF4">
        <w:rPr>
          <w:rFonts w:ascii="Arial" w:hAnsi="Arial" w:cs="Arial"/>
          <w:sz w:val="20"/>
        </w:rPr>
        <w:t>value</w:t>
      </w:r>
      <w:r w:rsidRPr="00201EF4">
        <w:rPr>
          <w:rFonts w:ascii="Arial" w:hAnsi="Arial" w:cs="Arial"/>
          <w:spacing w:val="-7"/>
          <w:sz w:val="20"/>
        </w:rPr>
        <w:t xml:space="preserve"> </w:t>
      </w:r>
      <w:r w:rsidRPr="00201EF4">
        <w:rPr>
          <w:rFonts w:ascii="Arial" w:hAnsi="Arial" w:cs="Arial"/>
          <w:sz w:val="20"/>
        </w:rPr>
        <w:t>to</w:t>
      </w:r>
      <w:r w:rsidRPr="00201EF4">
        <w:rPr>
          <w:rFonts w:ascii="Arial" w:hAnsi="Arial" w:cs="Arial"/>
          <w:spacing w:val="-6"/>
          <w:sz w:val="20"/>
        </w:rPr>
        <w:t xml:space="preserve"> </w:t>
      </w:r>
      <w:r w:rsidRPr="00201EF4">
        <w:rPr>
          <w:rFonts w:ascii="Arial" w:hAnsi="Arial" w:cs="Arial"/>
          <w:sz w:val="20"/>
        </w:rPr>
        <w:t>the</w:t>
      </w:r>
      <w:r w:rsidRPr="00201EF4">
        <w:rPr>
          <w:rFonts w:ascii="Arial" w:hAnsi="Arial" w:cs="Arial"/>
          <w:spacing w:val="-8"/>
          <w:sz w:val="20"/>
        </w:rPr>
        <w:t xml:space="preserve"> </w:t>
      </w:r>
      <w:r w:rsidRPr="00201EF4">
        <w:rPr>
          <w:rFonts w:ascii="Arial" w:hAnsi="Arial" w:cs="Arial"/>
          <w:sz w:val="20"/>
        </w:rPr>
        <w:t>training</w:t>
      </w:r>
      <w:r w:rsidRPr="00201EF4">
        <w:rPr>
          <w:rFonts w:ascii="Arial" w:hAnsi="Arial" w:cs="Arial"/>
          <w:spacing w:val="-5"/>
          <w:sz w:val="20"/>
        </w:rPr>
        <w:t xml:space="preserve"> </w:t>
      </w:r>
      <w:r w:rsidRPr="00201EF4">
        <w:rPr>
          <w:rFonts w:ascii="Arial" w:hAnsi="Arial" w:cs="Arial"/>
          <w:sz w:val="20"/>
        </w:rPr>
        <w:t>flight,</w:t>
      </w:r>
      <w:r w:rsidRPr="00201EF4">
        <w:rPr>
          <w:rFonts w:ascii="Arial" w:hAnsi="Arial" w:cs="Arial"/>
          <w:spacing w:val="-5"/>
          <w:sz w:val="20"/>
        </w:rPr>
        <w:t xml:space="preserve"> </w:t>
      </w:r>
      <w:r w:rsidRPr="00201EF4">
        <w:rPr>
          <w:rFonts w:ascii="Arial" w:hAnsi="Arial" w:cs="Arial"/>
          <w:sz w:val="20"/>
        </w:rPr>
        <w:t>any</w:t>
      </w:r>
      <w:r w:rsidRPr="00201EF4">
        <w:rPr>
          <w:rFonts w:ascii="Arial" w:hAnsi="Arial" w:cs="Arial"/>
          <w:spacing w:val="-47"/>
          <w:sz w:val="20"/>
        </w:rPr>
        <w:t xml:space="preserve"> </w:t>
      </w:r>
      <w:r w:rsidRPr="00201EF4">
        <w:rPr>
          <w:rFonts w:ascii="Arial" w:hAnsi="Arial" w:cs="Arial"/>
          <w:sz w:val="20"/>
        </w:rPr>
        <w:t>element of flying a balloon where candidates feel they would benefit from instruction</w:t>
      </w:r>
      <w:r w:rsidRPr="00201EF4">
        <w:rPr>
          <w:rFonts w:ascii="Arial" w:hAnsi="Arial" w:cs="Arial"/>
          <w:spacing w:val="1"/>
          <w:sz w:val="20"/>
        </w:rPr>
        <w:t xml:space="preserve"> </w:t>
      </w:r>
      <w:r w:rsidRPr="00201EF4">
        <w:rPr>
          <w:rFonts w:ascii="Arial" w:hAnsi="Arial" w:cs="Arial"/>
          <w:sz w:val="20"/>
        </w:rPr>
        <w:t>should be discussed. The flight should then be focused on those specific elements with</w:t>
      </w:r>
      <w:r w:rsidRPr="00201EF4">
        <w:rPr>
          <w:rFonts w:ascii="Arial" w:hAnsi="Arial" w:cs="Arial"/>
          <w:spacing w:val="1"/>
          <w:sz w:val="20"/>
        </w:rPr>
        <w:t xml:space="preserve"> </w:t>
      </w:r>
      <w:r w:rsidRPr="00201EF4">
        <w:rPr>
          <w:rFonts w:ascii="Arial" w:hAnsi="Arial" w:cs="Arial"/>
          <w:sz w:val="20"/>
        </w:rPr>
        <w:t>an</w:t>
      </w:r>
      <w:r w:rsidRPr="00201EF4">
        <w:rPr>
          <w:rFonts w:ascii="Arial" w:hAnsi="Arial" w:cs="Arial"/>
          <w:spacing w:val="-2"/>
          <w:sz w:val="20"/>
        </w:rPr>
        <w:t xml:space="preserve"> </w:t>
      </w:r>
      <w:r w:rsidRPr="00201EF4">
        <w:rPr>
          <w:rFonts w:ascii="Arial" w:hAnsi="Arial" w:cs="Arial"/>
          <w:sz w:val="20"/>
        </w:rPr>
        <w:t>instructor</w:t>
      </w:r>
      <w:r w:rsidRPr="00201EF4">
        <w:rPr>
          <w:rFonts w:ascii="Arial" w:hAnsi="Arial" w:cs="Arial"/>
          <w:spacing w:val="-1"/>
          <w:sz w:val="20"/>
        </w:rPr>
        <w:t xml:space="preserve"> </w:t>
      </w:r>
      <w:r w:rsidRPr="00201EF4">
        <w:rPr>
          <w:rFonts w:ascii="Arial" w:hAnsi="Arial" w:cs="Arial"/>
          <w:sz w:val="20"/>
        </w:rPr>
        <w:t>demonstration</w:t>
      </w:r>
      <w:r w:rsidRPr="00201EF4">
        <w:rPr>
          <w:rFonts w:ascii="Arial" w:hAnsi="Arial" w:cs="Arial"/>
          <w:spacing w:val="-2"/>
          <w:sz w:val="20"/>
        </w:rPr>
        <w:t xml:space="preserve"> </w:t>
      </w:r>
      <w:r w:rsidRPr="00201EF4">
        <w:rPr>
          <w:rFonts w:ascii="Arial" w:hAnsi="Arial" w:cs="Arial"/>
          <w:sz w:val="20"/>
        </w:rPr>
        <w:t>prior to candidate</w:t>
      </w:r>
      <w:r w:rsidRPr="00201EF4">
        <w:rPr>
          <w:rFonts w:ascii="Arial" w:hAnsi="Arial" w:cs="Arial"/>
          <w:spacing w:val="1"/>
          <w:sz w:val="20"/>
        </w:rPr>
        <w:t xml:space="preserve"> </w:t>
      </w:r>
      <w:r w:rsidRPr="00201EF4">
        <w:rPr>
          <w:rFonts w:ascii="Arial" w:hAnsi="Arial" w:cs="Arial"/>
          <w:sz w:val="20"/>
        </w:rPr>
        <w:t>practice being</w:t>
      </w:r>
      <w:r w:rsidRPr="00201EF4">
        <w:rPr>
          <w:rFonts w:ascii="Arial" w:hAnsi="Arial" w:cs="Arial"/>
          <w:spacing w:val="-1"/>
          <w:sz w:val="20"/>
        </w:rPr>
        <w:t xml:space="preserve"> </w:t>
      </w:r>
      <w:r w:rsidRPr="00201EF4">
        <w:rPr>
          <w:rFonts w:ascii="Arial" w:hAnsi="Arial" w:cs="Arial"/>
          <w:sz w:val="20"/>
        </w:rPr>
        <w:t>performed.</w:t>
      </w:r>
    </w:p>
    <w:p w14:paraId="6BAAF014" w14:textId="77777777" w:rsidR="00201EF4" w:rsidRPr="00201EF4" w:rsidRDefault="00201EF4" w:rsidP="004F6505">
      <w:pPr>
        <w:pStyle w:val="ListParagraph"/>
        <w:numPr>
          <w:ilvl w:val="1"/>
          <w:numId w:val="218"/>
        </w:numPr>
        <w:tabs>
          <w:tab w:val="left" w:pos="1274"/>
        </w:tabs>
        <w:spacing w:before="119" w:line="276" w:lineRule="auto"/>
        <w:ind w:hanging="568"/>
        <w:jc w:val="both"/>
        <w:rPr>
          <w:rFonts w:ascii="Arial" w:hAnsi="Arial" w:cs="Arial"/>
          <w:sz w:val="20"/>
        </w:rPr>
      </w:pPr>
      <w:r w:rsidRPr="00201EF4">
        <w:rPr>
          <w:rFonts w:ascii="Arial" w:hAnsi="Arial" w:cs="Arial"/>
          <w:sz w:val="20"/>
        </w:rPr>
        <w:t>The</w:t>
      </w:r>
      <w:r w:rsidRPr="00201EF4">
        <w:rPr>
          <w:rFonts w:ascii="Arial" w:hAnsi="Arial" w:cs="Arial"/>
          <w:spacing w:val="-2"/>
          <w:sz w:val="20"/>
        </w:rPr>
        <w:t xml:space="preserve"> </w:t>
      </w:r>
      <w:r w:rsidRPr="00201EF4">
        <w:rPr>
          <w:rFonts w:ascii="Arial" w:hAnsi="Arial" w:cs="Arial"/>
          <w:sz w:val="20"/>
        </w:rPr>
        <w:t>training</w:t>
      </w:r>
      <w:r w:rsidRPr="00201EF4">
        <w:rPr>
          <w:rFonts w:ascii="Arial" w:hAnsi="Arial" w:cs="Arial"/>
          <w:spacing w:val="-2"/>
          <w:sz w:val="20"/>
        </w:rPr>
        <w:t xml:space="preserve"> </w:t>
      </w:r>
      <w:r w:rsidRPr="00201EF4">
        <w:rPr>
          <w:rFonts w:ascii="Arial" w:hAnsi="Arial" w:cs="Arial"/>
          <w:sz w:val="20"/>
        </w:rPr>
        <w:t>flight</w:t>
      </w:r>
      <w:r w:rsidRPr="00201EF4">
        <w:rPr>
          <w:rFonts w:ascii="Arial" w:hAnsi="Arial" w:cs="Arial"/>
          <w:spacing w:val="-4"/>
          <w:sz w:val="20"/>
        </w:rPr>
        <w:t xml:space="preserve"> </w:t>
      </w:r>
      <w:r w:rsidRPr="00201EF4">
        <w:rPr>
          <w:rFonts w:ascii="Arial" w:hAnsi="Arial" w:cs="Arial"/>
          <w:sz w:val="20"/>
        </w:rPr>
        <w:t>may</w:t>
      </w:r>
      <w:r w:rsidRPr="00201EF4">
        <w:rPr>
          <w:rFonts w:ascii="Arial" w:hAnsi="Arial" w:cs="Arial"/>
          <w:spacing w:val="-1"/>
          <w:sz w:val="20"/>
        </w:rPr>
        <w:t xml:space="preserve"> </w:t>
      </w:r>
      <w:r w:rsidRPr="00201EF4">
        <w:rPr>
          <w:rFonts w:ascii="Arial" w:hAnsi="Arial" w:cs="Arial"/>
          <w:sz w:val="20"/>
        </w:rPr>
        <w:t>be</w:t>
      </w:r>
      <w:r w:rsidRPr="00201EF4">
        <w:rPr>
          <w:rFonts w:ascii="Arial" w:hAnsi="Arial" w:cs="Arial"/>
          <w:spacing w:val="-3"/>
          <w:sz w:val="20"/>
        </w:rPr>
        <w:t xml:space="preserve"> </w:t>
      </w:r>
      <w:r w:rsidRPr="00201EF4">
        <w:rPr>
          <w:rFonts w:ascii="Arial" w:hAnsi="Arial" w:cs="Arial"/>
          <w:sz w:val="20"/>
        </w:rPr>
        <w:t>conducted</w:t>
      </w:r>
      <w:r w:rsidRPr="00201EF4">
        <w:rPr>
          <w:rFonts w:ascii="Arial" w:hAnsi="Arial" w:cs="Arial"/>
          <w:spacing w:val="-3"/>
          <w:sz w:val="20"/>
        </w:rPr>
        <w:t xml:space="preserve"> </w:t>
      </w:r>
      <w:r w:rsidRPr="00201EF4">
        <w:rPr>
          <w:rFonts w:ascii="Arial" w:hAnsi="Arial" w:cs="Arial"/>
          <w:sz w:val="20"/>
        </w:rPr>
        <w:t>during</w:t>
      </w:r>
      <w:r w:rsidRPr="00201EF4">
        <w:rPr>
          <w:rFonts w:ascii="Arial" w:hAnsi="Arial" w:cs="Arial"/>
          <w:spacing w:val="-2"/>
          <w:sz w:val="20"/>
        </w:rPr>
        <w:t xml:space="preserve"> </w:t>
      </w:r>
      <w:r w:rsidRPr="00201EF4">
        <w:rPr>
          <w:rFonts w:ascii="Arial" w:hAnsi="Arial" w:cs="Arial"/>
          <w:sz w:val="20"/>
        </w:rPr>
        <w:t>CPB</w:t>
      </w:r>
      <w:r w:rsidRPr="00201EF4">
        <w:rPr>
          <w:rFonts w:ascii="Arial" w:hAnsi="Arial" w:cs="Arial"/>
          <w:spacing w:val="-3"/>
          <w:sz w:val="20"/>
        </w:rPr>
        <w:t xml:space="preserve"> </w:t>
      </w:r>
      <w:r w:rsidRPr="00201EF4">
        <w:rPr>
          <w:rFonts w:ascii="Arial" w:hAnsi="Arial" w:cs="Arial"/>
          <w:sz w:val="20"/>
        </w:rPr>
        <w:t>operation,</w:t>
      </w:r>
      <w:r w:rsidRPr="00201EF4">
        <w:rPr>
          <w:rFonts w:ascii="Arial" w:hAnsi="Arial" w:cs="Arial"/>
          <w:spacing w:val="-2"/>
          <w:sz w:val="20"/>
        </w:rPr>
        <w:t xml:space="preserve"> </w:t>
      </w:r>
      <w:r w:rsidRPr="00201EF4">
        <w:rPr>
          <w:rFonts w:ascii="Arial" w:hAnsi="Arial" w:cs="Arial"/>
          <w:sz w:val="20"/>
        </w:rPr>
        <w:t>provided</w:t>
      </w:r>
      <w:r w:rsidRPr="00201EF4">
        <w:rPr>
          <w:rFonts w:ascii="Arial" w:hAnsi="Arial" w:cs="Arial"/>
          <w:spacing w:val="-4"/>
          <w:sz w:val="20"/>
        </w:rPr>
        <w:t xml:space="preserve"> </w:t>
      </w:r>
      <w:r w:rsidRPr="00201EF4">
        <w:rPr>
          <w:rFonts w:ascii="Arial" w:hAnsi="Arial" w:cs="Arial"/>
          <w:sz w:val="20"/>
        </w:rPr>
        <w:t>that:</w:t>
      </w:r>
    </w:p>
    <w:p w14:paraId="17C90E47" w14:textId="77777777" w:rsidR="00201EF4" w:rsidRPr="00201EF4" w:rsidRDefault="00201EF4" w:rsidP="004F6505">
      <w:pPr>
        <w:pStyle w:val="ListParagraph"/>
        <w:numPr>
          <w:ilvl w:val="2"/>
          <w:numId w:val="218"/>
        </w:numPr>
        <w:tabs>
          <w:tab w:val="left" w:pos="1842"/>
        </w:tabs>
        <w:spacing w:before="121" w:line="276" w:lineRule="auto"/>
        <w:ind w:right="200"/>
        <w:jc w:val="both"/>
        <w:rPr>
          <w:rFonts w:ascii="Arial" w:hAnsi="Arial" w:cs="Arial"/>
          <w:sz w:val="20"/>
        </w:rPr>
      </w:pPr>
      <w:r w:rsidRPr="00201EF4">
        <w:rPr>
          <w:rFonts w:ascii="Arial" w:hAnsi="Arial" w:cs="Arial"/>
          <w:sz w:val="20"/>
        </w:rPr>
        <w:t>abnormal and emergency procedures are simulated before or after the flight on</w:t>
      </w:r>
      <w:r w:rsidRPr="00201EF4">
        <w:rPr>
          <w:rFonts w:ascii="Arial" w:hAnsi="Arial" w:cs="Arial"/>
          <w:spacing w:val="1"/>
          <w:sz w:val="20"/>
        </w:rPr>
        <w:t xml:space="preserve"> </w:t>
      </w:r>
      <w:r w:rsidRPr="00201EF4">
        <w:rPr>
          <w:rFonts w:ascii="Arial" w:hAnsi="Arial" w:cs="Arial"/>
          <w:sz w:val="20"/>
        </w:rPr>
        <w:t>the</w:t>
      </w:r>
      <w:r w:rsidRPr="00201EF4">
        <w:rPr>
          <w:rFonts w:ascii="Arial" w:hAnsi="Arial" w:cs="Arial"/>
          <w:spacing w:val="-1"/>
          <w:sz w:val="20"/>
        </w:rPr>
        <w:t xml:space="preserve"> </w:t>
      </w:r>
      <w:r w:rsidRPr="00201EF4">
        <w:rPr>
          <w:rFonts w:ascii="Arial" w:hAnsi="Arial" w:cs="Arial"/>
          <w:sz w:val="20"/>
        </w:rPr>
        <w:t>ground</w:t>
      </w:r>
      <w:r w:rsidRPr="00201EF4">
        <w:rPr>
          <w:rFonts w:ascii="Arial" w:hAnsi="Arial" w:cs="Arial"/>
          <w:spacing w:val="-3"/>
          <w:sz w:val="20"/>
        </w:rPr>
        <w:t xml:space="preserve"> </w:t>
      </w:r>
      <w:r w:rsidRPr="00201EF4">
        <w:rPr>
          <w:rFonts w:ascii="Arial" w:hAnsi="Arial" w:cs="Arial"/>
          <w:sz w:val="20"/>
        </w:rPr>
        <w:t>without</w:t>
      </w:r>
      <w:r w:rsidRPr="00201EF4">
        <w:rPr>
          <w:rFonts w:ascii="Arial" w:hAnsi="Arial" w:cs="Arial"/>
          <w:spacing w:val="-2"/>
          <w:sz w:val="20"/>
        </w:rPr>
        <w:t xml:space="preserve"> </w:t>
      </w:r>
      <w:r w:rsidRPr="00201EF4">
        <w:rPr>
          <w:rFonts w:ascii="Arial" w:hAnsi="Arial" w:cs="Arial"/>
          <w:sz w:val="20"/>
        </w:rPr>
        <w:t>passengers on</w:t>
      </w:r>
      <w:r w:rsidRPr="00201EF4">
        <w:rPr>
          <w:rFonts w:ascii="Arial" w:hAnsi="Arial" w:cs="Arial"/>
          <w:spacing w:val="-1"/>
          <w:sz w:val="20"/>
        </w:rPr>
        <w:t xml:space="preserve"> </w:t>
      </w:r>
      <w:r w:rsidRPr="00201EF4">
        <w:rPr>
          <w:rFonts w:ascii="Arial" w:hAnsi="Arial" w:cs="Arial"/>
          <w:sz w:val="20"/>
        </w:rPr>
        <w:t>board;</w:t>
      </w:r>
      <w:r w:rsidRPr="00201EF4">
        <w:rPr>
          <w:rFonts w:ascii="Arial" w:hAnsi="Arial" w:cs="Arial"/>
          <w:spacing w:val="-2"/>
          <w:sz w:val="20"/>
        </w:rPr>
        <w:t xml:space="preserve"> </w:t>
      </w:r>
      <w:r w:rsidRPr="00201EF4">
        <w:rPr>
          <w:rFonts w:ascii="Arial" w:hAnsi="Arial" w:cs="Arial"/>
          <w:sz w:val="20"/>
        </w:rPr>
        <w:t>and</w:t>
      </w:r>
    </w:p>
    <w:p w14:paraId="1735798F" w14:textId="77777777" w:rsidR="00201EF4" w:rsidRPr="00201EF4" w:rsidRDefault="00201EF4" w:rsidP="004F6505">
      <w:pPr>
        <w:pStyle w:val="ListParagraph"/>
        <w:numPr>
          <w:ilvl w:val="2"/>
          <w:numId w:val="218"/>
        </w:numPr>
        <w:tabs>
          <w:tab w:val="left" w:pos="1842"/>
        </w:tabs>
        <w:spacing w:before="121" w:line="276" w:lineRule="auto"/>
        <w:jc w:val="both"/>
        <w:rPr>
          <w:rFonts w:ascii="Arial" w:hAnsi="Arial" w:cs="Arial"/>
          <w:sz w:val="20"/>
        </w:rPr>
      </w:pPr>
      <w:r w:rsidRPr="00201EF4">
        <w:rPr>
          <w:rFonts w:ascii="Arial" w:hAnsi="Arial" w:cs="Arial"/>
          <w:sz w:val="20"/>
        </w:rPr>
        <w:t>passengers</w:t>
      </w:r>
      <w:r w:rsidRPr="00201EF4">
        <w:rPr>
          <w:rFonts w:ascii="Arial" w:hAnsi="Arial" w:cs="Arial"/>
          <w:spacing w:val="-1"/>
          <w:sz w:val="20"/>
        </w:rPr>
        <w:t xml:space="preserve"> </w:t>
      </w:r>
      <w:r w:rsidRPr="00201EF4">
        <w:rPr>
          <w:rFonts w:ascii="Arial" w:hAnsi="Arial" w:cs="Arial"/>
          <w:sz w:val="20"/>
        </w:rPr>
        <w:t>are</w:t>
      </w:r>
      <w:r w:rsidRPr="00201EF4">
        <w:rPr>
          <w:rFonts w:ascii="Arial" w:hAnsi="Arial" w:cs="Arial"/>
          <w:spacing w:val="-3"/>
          <w:sz w:val="20"/>
        </w:rPr>
        <w:t xml:space="preserve"> </w:t>
      </w:r>
      <w:r w:rsidRPr="00201EF4">
        <w:rPr>
          <w:rFonts w:ascii="Arial" w:hAnsi="Arial" w:cs="Arial"/>
          <w:sz w:val="20"/>
        </w:rPr>
        <w:t>made aware that</w:t>
      </w:r>
      <w:r w:rsidRPr="00201EF4">
        <w:rPr>
          <w:rFonts w:ascii="Arial" w:hAnsi="Arial" w:cs="Arial"/>
          <w:spacing w:val="-3"/>
          <w:sz w:val="20"/>
        </w:rPr>
        <w:t xml:space="preserve"> </w:t>
      </w:r>
      <w:r w:rsidRPr="00201EF4">
        <w:rPr>
          <w:rFonts w:ascii="Arial" w:hAnsi="Arial" w:cs="Arial"/>
          <w:sz w:val="20"/>
        </w:rPr>
        <w:t>the</w:t>
      </w:r>
      <w:r w:rsidRPr="00201EF4">
        <w:rPr>
          <w:rFonts w:ascii="Arial" w:hAnsi="Arial" w:cs="Arial"/>
          <w:spacing w:val="-1"/>
          <w:sz w:val="20"/>
        </w:rPr>
        <w:t xml:space="preserve"> </w:t>
      </w:r>
      <w:r w:rsidRPr="00201EF4">
        <w:rPr>
          <w:rFonts w:ascii="Arial" w:hAnsi="Arial" w:cs="Arial"/>
          <w:sz w:val="20"/>
        </w:rPr>
        <w:t>intended</w:t>
      </w:r>
      <w:r w:rsidRPr="00201EF4">
        <w:rPr>
          <w:rFonts w:ascii="Arial" w:hAnsi="Arial" w:cs="Arial"/>
          <w:spacing w:val="-1"/>
          <w:sz w:val="20"/>
        </w:rPr>
        <w:t xml:space="preserve"> </w:t>
      </w:r>
      <w:r w:rsidRPr="00201EF4">
        <w:rPr>
          <w:rFonts w:ascii="Arial" w:hAnsi="Arial" w:cs="Arial"/>
          <w:sz w:val="20"/>
        </w:rPr>
        <w:t>flight</w:t>
      </w:r>
      <w:r w:rsidRPr="00201EF4">
        <w:rPr>
          <w:rFonts w:ascii="Arial" w:hAnsi="Arial" w:cs="Arial"/>
          <w:spacing w:val="-3"/>
          <w:sz w:val="20"/>
        </w:rPr>
        <w:t xml:space="preserve"> </w:t>
      </w:r>
      <w:r w:rsidRPr="00201EF4">
        <w:rPr>
          <w:rFonts w:ascii="Arial" w:hAnsi="Arial" w:cs="Arial"/>
          <w:sz w:val="20"/>
        </w:rPr>
        <w:t>will</w:t>
      </w:r>
      <w:r w:rsidRPr="00201EF4">
        <w:rPr>
          <w:rFonts w:ascii="Arial" w:hAnsi="Arial" w:cs="Arial"/>
          <w:spacing w:val="-1"/>
          <w:sz w:val="20"/>
        </w:rPr>
        <w:t xml:space="preserve"> </w:t>
      </w:r>
      <w:r w:rsidRPr="00201EF4">
        <w:rPr>
          <w:rFonts w:ascii="Arial" w:hAnsi="Arial" w:cs="Arial"/>
          <w:sz w:val="20"/>
        </w:rPr>
        <w:t>be</w:t>
      </w:r>
      <w:r w:rsidRPr="00201EF4">
        <w:rPr>
          <w:rFonts w:ascii="Arial" w:hAnsi="Arial" w:cs="Arial"/>
          <w:spacing w:val="-1"/>
          <w:sz w:val="20"/>
        </w:rPr>
        <w:t xml:space="preserve"> </w:t>
      </w:r>
      <w:r w:rsidRPr="00201EF4">
        <w:rPr>
          <w:rFonts w:ascii="Arial" w:hAnsi="Arial" w:cs="Arial"/>
          <w:sz w:val="20"/>
        </w:rPr>
        <w:t>a</w:t>
      </w:r>
      <w:r w:rsidRPr="00201EF4">
        <w:rPr>
          <w:rFonts w:ascii="Arial" w:hAnsi="Arial" w:cs="Arial"/>
          <w:spacing w:val="-1"/>
          <w:sz w:val="20"/>
        </w:rPr>
        <w:t xml:space="preserve"> </w:t>
      </w:r>
      <w:r w:rsidRPr="00201EF4">
        <w:rPr>
          <w:rFonts w:ascii="Arial" w:hAnsi="Arial" w:cs="Arial"/>
          <w:sz w:val="20"/>
        </w:rPr>
        <w:t>training</w:t>
      </w:r>
      <w:r w:rsidRPr="00201EF4">
        <w:rPr>
          <w:rFonts w:ascii="Arial" w:hAnsi="Arial" w:cs="Arial"/>
          <w:spacing w:val="-2"/>
          <w:sz w:val="20"/>
        </w:rPr>
        <w:t xml:space="preserve"> </w:t>
      </w:r>
      <w:r w:rsidRPr="00201EF4">
        <w:rPr>
          <w:rFonts w:ascii="Arial" w:hAnsi="Arial" w:cs="Arial"/>
          <w:sz w:val="20"/>
        </w:rPr>
        <w:t>flight.</w:t>
      </w:r>
    </w:p>
    <w:p w14:paraId="79852C87" w14:textId="77777777" w:rsidR="00201EF4" w:rsidRPr="00201EF4" w:rsidRDefault="00201EF4" w:rsidP="00201EF4">
      <w:pPr>
        <w:tabs>
          <w:tab w:val="left" w:pos="1841"/>
          <w:tab w:val="left" w:pos="1842"/>
        </w:tabs>
        <w:spacing w:before="120"/>
        <w:ind w:left="1842"/>
        <w:rPr>
          <w:rFonts w:ascii="Arial" w:hAnsi="Arial" w:cs="Arial"/>
        </w:rPr>
      </w:pPr>
    </w:p>
    <w:p w14:paraId="050A1F1F" w14:textId="77777777" w:rsidR="00613E70" w:rsidRDefault="00613E70" w:rsidP="00FF5E02">
      <w:pPr>
        <w:tabs>
          <w:tab w:val="left" w:pos="706"/>
          <w:tab w:val="left" w:pos="707"/>
        </w:tabs>
        <w:jc w:val="both"/>
        <w:rPr>
          <w:rFonts w:ascii="Arial" w:hAnsi="Arial" w:cs="Arial"/>
          <w:sz w:val="20"/>
        </w:rPr>
      </w:pPr>
    </w:p>
    <w:p w14:paraId="7058A746" w14:textId="77777777" w:rsidR="00201EF4" w:rsidRDefault="00201EF4" w:rsidP="00FF5E02">
      <w:pPr>
        <w:tabs>
          <w:tab w:val="left" w:pos="706"/>
          <w:tab w:val="left" w:pos="707"/>
        </w:tabs>
        <w:jc w:val="both"/>
        <w:rPr>
          <w:rFonts w:ascii="Arial" w:hAnsi="Arial" w:cs="Arial"/>
          <w:sz w:val="20"/>
        </w:rPr>
      </w:pPr>
    </w:p>
    <w:p w14:paraId="14161F6B" w14:textId="77777777" w:rsidR="00201EF4" w:rsidRDefault="00201EF4" w:rsidP="00FF5E02">
      <w:pPr>
        <w:tabs>
          <w:tab w:val="left" w:pos="706"/>
          <w:tab w:val="left" w:pos="707"/>
        </w:tabs>
        <w:jc w:val="both"/>
        <w:rPr>
          <w:rFonts w:ascii="Arial" w:hAnsi="Arial" w:cs="Arial"/>
          <w:sz w:val="20"/>
        </w:rPr>
      </w:pPr>
    </w:p>
    <w:p w14:paraId="2FC0106F" w14:textId="77777777" w:rsidR="00201EF4" w:rsidRDefault="00201EF4" w:rsidP="00FF5E02">
      <w:pPr>
        <w:tabs>
          <w:tab w:val="left" w:pos="706"/>
          <w:tab w:val="left" w:pos="707"/>
        </w:tabs>
        <w:jc w:val="both"/>
        <w:rPr>
          <w:rFonts w:ascii="Arial" w:hAnsi="Arial" w:cs="Arial"/>
          <w:sz w:val="20"/>
        </w:rPr>
      </w:pPr>
    </w:p>
    <w:p w14:paraId="76432D84" w14:textId="77777777" w:rsidR="00201EF4" w:rsidRDefault="00201EF4" w:rsidP="00FF5E02">
      <w:pPr>
        <w:tabs>
          <w:tab w:val="left" w:pos="706"/>
          <w:tab w:val="left" w:pos="707"/>
        </w:tabs>
        <w:jc w:val="both"/>
        <w:rPr>
          <w:rFonts w:ascii="Arial" w:hAnsi="Arial" w:cs="Arial"/>
          <w:sz w:val="20"/>
        </w:rPr>
      </w:pPr>
    </w:p>
    <w:p w14:paraId="0A360DD4" w14:textId="77777777" w:rsidR="00201EF4" w:rsidRDefault="00201EF4" w:rsidP="00FF5E02">
      <w:pPr>
        <w:tabs>
          <w:tab w:val="left" w:pos="706"/>
          <w:tab w:val="left" w:pos="707"/>
        </w:tabs>
        <w:jc w:val="both"/>
        <w:rPr>
          <w:rFonts w:ascii="Arial" w:hAnsi="Arial" w:cs="Arial"/>
          <w:sz w:val="20"/>
        </w:rPr>
      </w:pPr>
    </w:p>
    <w:p w14:paraId="56BD2EA5" w14:textId="77777777" w:rsidR="00201EF4" w:rsidRDefault="00201EF4" w:rsidP="00FF5E02">
      <w:pPr>
        <w:tabs>
          <w:tab w:val="left" w:pos="706"/>
          <w:tab w:val="left" w:pos="707"/>
        </w:tabs>
        <w:jc w:val="both"/>
        <w:rPr>
          <w:rFonts w:ascii="Arial" w:hAnsi="Arial" w:cs="Arial"/>
          <w:sz w:val="20"/>
        </w:rPr>
      </w:pPr>
    </w:p>
    <w:p w14:paraId="32B3455C" w14:textId="77777777" w:rsidR="00201EF4" w:rsidRDefault="00201EF4" w:rsidP="00FF5E02">
      <w:pPr>
        <w:tabs>
          <w:tab w:val="left" w:pos="706"/>
          <w:tab w:val="left" w:pos="707"/>
        </w:tabs>
        <w:jc w:val="both"/>
        <w:rPr>
          <w:rFonts w:ascii="Arial" w:hAnsi="Arial" w:cs="Arial"/>
          <w:sz w:val="20"/>
        </w:rPr>
      </w:pPr>
    </w:p>
    <w:p w14:paraId="2278B6F6" w14:textId="77777777" w:rsidR="00201EF4" w:rsidRDefault="00201EF4" w:rsidP="00FF5E02">
      <w:pPr>
        <w:tabs>
          <w:tab w:val="left" w:pos="706"/>
          <w:tab w:val="left" w:pos="707"/>
        </w:tabs>
        <w:jc w:val="both"/>
        <w:rPr>
          <w:rFonts w:ascii="Arial" w:hAnsi="Arial" w:cs="Arial"/>
          <w:sz w:val="20"/>
        </w:rPr>
      </w:pPr>
    </w:p>
    <w:p w14:paraId="0C0FBB5C" w14:textId="77777777" w:rsidR="00201EF4" w:rsidRDefault="00201EF4" w:rsidP="00FF5E02">
      <w:pPr>
        <w:tabs>
          <w:tab w:val="left" w:pos="706"/>
          <w:tab w:val="left" w:pos="707"/>
        </w:tabs>
        <w:jc w:val="both"/>
        <w:rPr>
          <w:rFonts w:ascii="Arial" w:hAnsi="Arial" w:cs="Arial"/>
          <w:sz w:val="20"/>
        </w:rPr>
      </w:pPr>
    </w:p>
    <w:p w14:paraId="5293708B" w14:textId="77777777" w:rsidR="00201EF4" w:rsidRDefault="00201EF4" w:rsidP="00FF5E02">
      <w:pPr>
        <w:tabs>
          <w:tab w:val="left" w:pos="706"/>
          <w:tab w:val="left" w:pos="707"/>
        </w:tabs>
        <w:jc w:val="both"/>
        <w:rPr>
          <w:rFonts w:ascii="Arial" w:hAnsi="Arial" w:cs="Arial"/>
          <w:sz w:val="20"/>
        </w:rPr>
      </w:pPr>
    </w:p>
    <w:p w14:paraId="7D516034" w14:textId="77777777" w:rsidR="00201EF4" w:rsidRDefault="00201EF4" w:rsidP="00FF5E02">
      <w:pPr>
        <w:tabs>
          <w:tab w:val="left" w:pos="706"/>
          <w:tab w:val="left" w:pos="707"/>
        </w:tabs>
        <w:jc w:val="both"/>
        <w:rPr>
          <w:rFonts w:ascii="Arial" w:hAnsi="Arial" w:cs="Arial"/>
          <w:sz w:val="20"/>
        </w:rPr>
      </w:pPr>
    </w:p>
    <w:p w14:paraId="35E4B7AF" w14:textId="77777777" w:rsidR="00201EF4" w:rsidRDefault="00201EF4" w:rsidP="00FF5E02">
      <w:pPr>
        <w:tabs>
          <w:tab w:val="left" w:pos="706"/>
          <w:tab w:val="left" w:pos="707"/>
        </w:tabs>
        <w:jc w:val="both"/>
        <w:rPr>
          <w:rFonts w:ascii="Arial" w:hAnsi="Arial" w:cs="Arial"/>
          <w:sz w:val="20"/>
        </w:rPr>
      </w:pPr>
    </w:p>
    <w:p w14:paraId="226773BE" w14:textId="77777777" w:rsidR="00201EF4" w:rsidRDefault="00201EF4" w:rsidP="00FF5E02">
      <w:pPr>
        <w:tabs>
          <w:tab w:val="left" w:pos="706"/>
          <w:tab w:val="left" w:pos="707"/>
        </w:tabs>
        <w:jc w:val="both"/>
        <w:rPr>
          <w:rFonts w:ascii="Arial" w:hAnsi="Arial" w:cs="Arial"/>
          <w:sz w:val="20"/>
        </w:rPr>
      </w:pPr>
    </w:p>
    <w:p w14:paraId="75CFF837" w14:textId="77777777" w:rsidR="00201EF4" w:rsidRDefault="00201EF4" w:rsidP="00FF5E02">
      <w:pPr>
        <w:tabs>
          <w:tab w:val="left" w:pos="706"/>
          <w:tab w:val="left" w:pos="707"/>
        </w:tabs>
        <w:jc w:val="both"/>
        <w:rPr>
          <w:rFonts w:ascii="Arial" w:hAnsi="Arial" w:cs="Arial"/>
          <w:sz w:val="20"/>
        </w:rPr>
      </w:pPr>
    </w:p>
    <w:p w14:paraId="46725F06" w14:textId="77777777" w:rsidR="00201EF4" w:rsidRDefault="00201EF4" w:rsidP="00FF5E02">
      <w:pPr>
        <w:tabs>
          <w:tab w:val="left" w:pos="706"/>
          <w:tab w:val="left" w:pos="707"/>
        </w:tabs>
        <w:jc w:val="both"/>
        <w:rPr>
          <w:rFonts w:ascii="Arial" w:hAnsi="Arial" w:cs="Arial"/>
          <w:sz w:val="20"/>
        </w:rPr>
      </w:pPr>
    </w:p>
    <w:p w14:paraId="2CB44B90" w14:textId="77777777" w:rsidR="00201EF4" w:rsidRDefault="00201EF4" w:rsidP="00FF5E02">
      <w:pPr>
        <w:tabs>
          <w:tab w:val="left" w:pos="706"/>
          <w:tab w:val="left" w:pos="707"/>
        </w:tabs>
        <w:jc w:val="both"/>
        <w:rPr>
          <w:rFonts w:ascii="Arial" w:hAnsi="Arial" w:cs="Arial"/>
          <w:sz w:val="20"/>
        </w:rPr>
      </w:pPr>
    </w:p>
    <w:p w14:paraId="1BC399BF" w14:textId="77777777" w:rsidR="00201EF4" w:rsidRDefault="00201EF4" w:rsidP="00FF5E02">
      <w:pPr>
        <w:tabs>
          <w:tab w:val="left" w:pos="706"/>
          <w:tab w:val="left" w:pos="707"/>
        </w:tabs>
        <w:jc w:val="both"/>
        <w:rPr>
          <w:rFonts w:ascii="Arial" w:hAnsi="Arial" w:cs="Arial"/>
          <w:sz w:val="20"/>
        </w:rPr>
      </w:pPr>
    </w:p>
    <w:p w14:paraId="39EE0456" w14:textId="77777777" w:rsidR="00201EF4" w:rsidRDefault="00201EF4" w:rsidP="00FF5E02">
      <w:pPr>
        <w:tabs>
          <w:tab w:val="left" w:pos="706"/>
          <w:tab w:val="left" w:pos="707"/>
        </w:tabs>
        <w:jc w:val="both"/>
        <w:rPr>
          <w:rFonts w:ascii="Arial" w:hAnsi="Arial" w:cs="Arial"/>
          <w:sz w:val="20"/>
        </w:rPr>
      </w:pPr>
    </w:p>
    <w:p w14:paraId="7B2929CF" w14:textId="77777777" w:rsidR="00201EF4" w:rsidRDefault="00201EF4" w:rsidP="00FF5E02">
      <w:pPr>
        <w:tabs>
          <w:tab w:val="left" w:pos="706"/>
          <w:tab w:val="left" w:pos="707"/>
        </w:tabs>
        <w:jc w:val="both"/>
        <w:rPr>
          <w:rFonts w:ascii="Arial" w:hAnsi="Arial" w:cs="Arial"/>
          <w:sz w:val="20"/>
        </w:rPr>
      </w:pPr>
    </w:p>
    <w:p w14:paraId="7535F0D8" w14:textId="77777777" w:rsidR="00201EF4" w:rsidRDefault="00201EF4" w:rsidP="00FF5E02">
      <w:pPr>
        <w:tabs>
          <w:tab w:val="left" w:pos="706"/>
          <w:tab w:val="left" w:pos="707"/>
        </w:tabs>
        <w:jc w:val="both"/>
        <w:rPr>
          <w:rFonts w:ascii="Arial" w:hAnsi="Arial" w:cs="Arial"/>
          <w:sz w:val="20"/>
        </w:rPr>
      </w:pPr>
    </w:p>
    <w:p w14:paraId="7D64AFCB" w14:textId="62A74F80" w:rsidR="00201EF4" w:rsidRDefault="00201EF4" w:rsidP="00FF5E02">
      <w:pPr>
        <w:tabs>
          <w:tab w:val="left" w:pos="706"/>
          <w:tab w:val="left" w:pos="707"/>
        </w:tabs>
        <w:jc w:val="both"/>
        <w:rPr>
          <w:rFonts w:ascii="Arial" w:hAnsi="Arial" w:cs="Arial"/>
          <w:sz w:val="20"/>
        </w:rPr>
      </w:pPr>
    </w:p>
    <w:p w14:paraId="1AB8EC85" w14:textId="77777777" w:rsidR="00201EF4" w:rsidRDefault="00201EF4" w:rsidP="00FF5E02">
      <w:pPr>
        <w:tabs>
          <w:tab w:val="left" w:pos="706"/>
          <w:tab w:val="left" w:pos="707"/>
        </w:tabs>
        <w:jc w:val="both"/>
        <w:rPr>
          <w:rFonts w:ascii="Arial" w:hAnsi="Arial" w:cs="Arial"/>
          <w:sz w:val="20"/>
        </w:rPr>
      </w:pPr>
    </w:p>
    <w:p w14:paraId="435661D7" w14:textId="77777777" w:rsidR="00201EF4" w:rsidRPr="00201EF4" w:rsidRDefault="00201EF4" w:rsidP="00201EF4">
      <w:pPr>
        <w:pStyle w:val="Heading3"/>
        <w:spacing w:line="276" w:lineRule="auto"/>
        <w:jc w:val="center"/>
        <w:rPr>
          <w:rFonts w:cs="Arial"/>
          <w:u w:val="none"/>
        </w:rPr>
      </w:pPr>
      <w:bookmarkStart w:id="695" w:name="_Toc153137444"/>
      <w:r w:rsidRPr="00201EF4">
        <w:rPr>
          <w:rFonts w:cs="Arial"/>
          <w:u w:val="none"/>
        </w:rPr>
        <w:t>SUBPART FI — FLIGHT INSTRUCTORS</w:t>
      </w:r>
      <w:bookmarkEnd w:id="695"/>
      <w:r w:rsidRPr="00201EF4">
        <w:rPr>
          <w:rFonts w:cs="Arial"/>
          <w:u w:val="none"/>
        </w:rPr>
        <w:t xml:space="preserve"> </w:t>
      </w:r>
      <w:bookmarkStart w:id="696" w:name="_bookmark280"/>
      <w:bookmarkEnd w:id="696"/>
    </w:p>
    <w:p w14:paraId="63F43F6F" w14:textId="77777777" w:rsidR="001C032E" w:rsidRPr="001C032E" w:rsidRDefault="001C032E" w:rsidP="001C032E">
      <w:pPr>
        <w:pStyle w:val="Heading4"/>
        <w:spacing w:line="276" w:lineRule="auto"/>
        <w:jc w:val="center"/>
        <w:rPr>
          <w:rStyle w:val="Heading3Char"/>
          <w:rFonts w:cs="Arial"/>
          <w:i w:val="0"/>
          <w:color w:val="2E74B5" w:themeColor="accent1" w:themeShade="BF"/>
          <w:u w:val="none"/>
        </w:rPr>
      </w:pPr>
      <w:bookmarkStart w:id="697" w:name="_Toc153137445"/>
      <w:r w:rsidRPr="001C032E">
        <w:rPr>
          <w:rStyle w:val="Heading3Char"/>
          <w:rFonts w:cs="Arial"/>
          <w:i w:val="0"/>
          <w:color w:val="2E74B5" w:themeColor="accent1" w:themeShade="BF"/>
          <w:u w:val="none"/>
        </w:rPr>
        <w:t>SECTION 1 – GENERAL REQUIREMENTS</w:t>
      </w:r>
      <w:bookmarkEnd w:id="697"/>
    </w:p>
    <w:p w14:paraId="2C32665C" w14:textId="77777777" w:rsidR="0013695C" w:rsidRPr="0013695C" w:rsidRDefault="0013695C" w:rsidP="0013695C">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698" w:name="_Toc153137446"/>
      <w:r w:rsidRPr="0013695C">
        <w:rPr>
          <w:rFonts w:ascii="Arial" w:eastAsia="Times New Roman" w:hAnsi="Arial" w:cs="Times New Roman"/>
          <w:b/>
          <w:iCs/>
          <w:color w:val="FFFFFF"/>
          <w:sz w:val="24"/>
        </w:rPr>
        <w:t>BFCL.300 Flight instructor certificates</w:t>
      </w:r>
      <w:bookmarkEnd w:id="698"/>
      <w:r w:rsidRPr="0013695C">
        <w:rPr>
          <w:rFonts w:ascii="Arial" w:eastAsia="Times New Roman" w:hAnsi="Arial" w:cs="Times New Roman"/>
          <w:b/>
          <w:iCs/>
          <w:color w:val="FFFFFF"/>
          <w:sz w:val="24"/>
        </w:rPr>
        <w:tab/>
      </w:r>
    </w:p>
    <w:p w14:paraId="248D9384" w14:textId="77777777" w:rsidR="0013695C" w:rsidRPr="0013695C" w:rsidRDefault="0013695C" w:rsidP="004F6505">
      <w:pPr>
        <w:pStyle w:val="ListParagraph"/>
        <w:numPr>
          <w:ilvl w:val="0"/>
          <w:numId w:val="219"/>
        </w:numPr>
        <w:tabs>
          <w:tab w:val="left" w:pos="707"/>
        </w:tabs>
        <w:spacing w:before="118" w:line="276" w:lineRule="auto"/>
        <w:jc w:val="both"/>
        <w:rPr>
          <w:rFonts w:ascii="Arial" w:hAnsi="Arial" w:cs="Arial"/>
          <w:sz w:val="20"/>
        </w:rPr>
      </w:pPr>
      <w:r w:rsidRPr="0013695C">
        <w:rPr>
          <w:rFonts w:ascii="Arial" w:hAnsi="Arial" w:cs="Arial"/>
          <w:sz w:val="20"/>
        </w:rPr>
        <w:t>General</w:t>
      </w:r>
    </w:p>
    <w:p w14:paraId="6660FC5A" w14:textId="77777777" w:rsidR="0013695C" w:rsidRPr="0013695C" w:rsidRDefault="0013695C" w:rsidP="004F6505">
      <w:pPr>
        <w:pStyle w:val="BodyText"/>
        <w:spacing w:line="276" w:lineRule="auto"/>
        <w:ind w:left="706"/>
        <w:jc w:val="both"/>
        <w:rPr>
          <w:rFonts w:ascii="Arial" w:hAnsi="Arial" w:cs="Arial"/>
          <w:sz w:val="20"/>
        </w:rPr>
      </w:pPr>
      <w:r w:rsidRPr="0013695C">
        <w:rPr>
          <w:rFonts w:ascii="Arial" w:hAnsi="Arial" w:cs="Arial"/>
          <w:sz w:val="20"/>
        </w:rPr>
        <w:t>An</w:t>
      </w:r>
      <w:r w:rsidRPr="0013695C">
        <w:rPr>
          <w:rFonts w:ascii="Arial" w:hAnsi="Arial" w:cs="Arial"/>
          <w:spacing w:val="-3"/>
          <w:sz w:val="20"/>
        </w:rPr>
        <w:t xml:space="preserve"> </w:t>
      </w:r>
      <w:r w:rsidRPr="0013695C">
        <w:rPr>
          <w:rFonts w:ascii="Arial" w:hAnsi="Arial" w:cs="Arial"/>
          <w:sz w:val="20"/>
        </w:rPr>
        <w:t>instructor</w:t>
      </w:r>
      <w:r w:rsidRPr="0013695C">
        <w:rPr>
          <w:rFonts w:ascii="Arial" w:hAnsi="Arial" w:cs="Arial"/>
          <w:spacing w:val="-4"/>
          <w:sz w:val="20"/>
        </w:rPr>
        <w:t xml:space="preserve"> </w:t>
      </w:r>
      <w:r w:rsidRPr="0013695C">
        <w:rPr>
          <w:rFonts w:ascii="Arial" w:hAnsi="Arial" w:cs="Arial"/>
          <w:sz w:val="20"/>
        </w:rPr>
        <w:t>shall</w:t>
      </w:r>
      <w:r w:rsidRPr="0013695C">
        <w:rPr>
          <w:rFonts w:ascii="Arial" w:hAnsi="Arial" w:cs="Arial"/>
          <w:spacing w:val="-2"/>
          <w:sz w:val="20"/>
        </w:rPr>
        <w:t xml:space="preserve"> </w:t>
      </w:r>
      <w:r w:rsidRPr="0013695C">
        <w:rPr>
          <w:rFonts w:ascii="Arial" w:hAnsi="Arial" w:cs="Arial"/>
          <w:sz w:val="20"/>
        </w:rPr>
        <w:t>only carry out flight</w:t>
      </w:r>
      <w:r w:rsidRPr="0013695C">
        <w:rPr>
          <w:rFonts w:ascii="Arial" w:hAnsi="Arial" w:cs="Arial"/>
          <w:spacing w:val="-1"/>
          <w:sz w:val="20"/>
        </w:rPr>
        <w:t xml:space="preserve"> </w:t>
      </w:r>
      <w:r w:rsidRPr="0013695C">
        <w:rPr>
          <w:rFonts w:ascii="Arial" w:hAnsi="Arial" w:cs="Arial"/>
          <w:sz w:val="20"/>
        </w:rPr>
        <w:t>instruction</w:t>
      </w:r>
      <w:r w:rsidRPr="0013695C">
        <w:rPr>
          <w:rFonts w:ascii="Arial" w:hAnsi="Arial" w:cs="Arial"/>
          <w:spacing w:val="-1"/>
          <w:sz w:val="20"/>
        </w:rPr>
        <w:t xml:space="preserve"> </w:t>
      </w:r>
      <w:r w:rsidRPr="0013695C">
        <w:rPr>
          <w:rFonts w:ascii="Arial" w:hAnsi="Arial" w:cs="Arial"/>
          <w:sz w:val="20"/>
        </w:rPr>
        <w:t>in</w:t>
      </w:r>
      <w:r w:rsidRPr="0013695C">
        <w:rPr>
          <w:rFonts w:ascii="Arial" w:hAnsi="Arial" w:cs="Arial"/>
          <w:spacing w:val="-4"/>
          <w:sz w:val="20"/>
        </w:rPr>
        <w:t xml:space="preserve"> </w:t>
      </w:r>
      <w:r w:rsidRPr="0013695C">
        <w:rPr>
          <w:rFonts w:ascii="Arial" w:hAnsi="Arial" w:cs="Arial"/>
          <w:sz w:val="20"/>
        </w:rPr>
        <w:t>a</w:t>
      </w:r>
      <w:r w:rsidRPr="0013695C">
        <w:rPr>
          <w:rFonts w:ascii="Arial" w:hAnsi="Arial" w:cs="Arial"/>
          <w:spacing w:val="-3"/>
          <w:sz w:val="20"/>
        </w:rPr>
        <w:t xml:space="preserve"> </w:t>
      </w:r>
      <w:r w:rsidRPr="0013695C">
        <w:rPr>
          <w:rFonts w:ascii="Arial" w:hAnsi="Arial" w:cs="Arial"/>
          <w:sz w:val="20"/>
        </w:rPr>
        <w:t>balloon</w:t>
      </w:r>
      <w:r w:rsidRPr="0013695C">
        <w:rPr>
          <w:rFonts w:ascii="Arial" w:hAnsi="Arial" w:cs="Arial"/>
          <w:spacing w:val="-4"/>
          <w:sz w:val="20"/>
        </w:rPr>
        <w:t xml:space="preserve"> </w:t>
      </w:r>
      <w:r w:rsidRPr="0013695C">
        <w:rPr>
          <w:rFonts w:ascii="Arial" w:hAnsi="Arial" w:cs="Arial"/>
          <w:sz w:val="20"/>
        </w:rPr>
        <w:t>if</w:t>
      </w:r>
      <w:r w:rsidRPr="0013695C">
        <w:rPr>
          <w:rFonts w:ascii="Arial" w:hAnsi="Arial" w:cs="Arial"/>
          <w:spacing w:val="-1"/>
          <w:sz w:val="20"/>
        </w:rPr>
        <w:t xml:space="preserve"> </w:t>
      </w:r>
      <w:r w:rsidRPr="0013695C">
        <w:rPr>
          <w:rFonts w:ascii="Arial" w:hAnsi="Arial" w:cs="Arial"/>
          <w:sz w:val="20"/>
        </w:rPr>
        <w:t>he</w:t>
      </w:r>
      <w:r w:rsidRPr="0013695C">
        <w:rPr>
          <w:rFonts w:ascii="Arial" w:hAnsi="Arial" w:cs="Arial"/>
          <w:spacing w:val="-2"/>
          <w:sz w:val="20"/>
        </w:rPr>
        <w:t xml:space="preserve"> </w:t>
      </w:r>
      <w:r w:rsidRPr="0013695C">
        <w:rPr>
          <w:rFonts w:ascii="Arial" w:hAnsi="Arial" w:cs="Arial"/>
          <w:sz w:val="20"/>
        </w:rPr>
        <w:t>or</w:t>
      </w:r>
      <w:r w:rsidRPr="0013695C">
        <w:rPr>
          <w:rFonts w:ascii="Arial" w:hAnsi="Arial" w:cs="Arial"/>
          <w:spacing w:val="-1"/>
          <w:sz w:val="20"/>
        </w:rPr>
        <w:t xml:space="preserve"> </w:t>
      </w:r>
      <w:r w:rsidRPr="0013695C">
        <w:rPr>
          <w:rFonts w:ascii="Arial" w:hAnsi="Arial" w:cs="Arial"/>
          <w:sz w:val="20"/>
        </w:rPr>
        <w:t>she:</w:t>
      </w:r>
    </w:p>
    <w:p w14:paraId="31BDFAE3" w14:textId="77777777" w:rsidR="0013695C" w:rsidRPr="0013695C" w:rsidRDefault="0013695C" w:rsidP="004F6505">
      <w:pPr>
        <w:pStyle w:val="ListParagraph"/>
        <w:numPr>
          <w:ilvl w:val="1"/>
          <w:numId w:val="219"/>
        </w:numPr>
        <w:tabs>
          <w:tab w:val="left" w:pos="1274"/>
        </w:tabs>
        <w:spacing w:before="121" w:line="276" w:lineRule="auto"/>
        <w:ind w:hanging="568"/>
        <w:jc w:val="both"/>
        <w:rPr>
          <w:rFonts w:ascii="Arial" w:hAnsi="Arial" w:cs="Arial"/>
          <w:sz w:val="20"/>
        </w:rPr>
      </w:pPr>
      <w:r w:rsidRPr="0013695C">
        <w:rPr>
          <w:rFonts w:ascii="Arial" w:hAnsi="Arial" w:cs="Arial"/>
          <w:sz w:val="20"/>
        </w:rPr>
        <w:t>holds:</w:t>
      </w:r>
    </w:p>
    <w:p w14:paraId="604EA969" w14:textId="77777777" w:rsidR="0013695C" w:rsidRPr="0013695C" w:rsidRDefault="0013695C" w:rsidP="004F6505">
      <w:pPr>
        <w:pStyle w:val="ListParagraph"/>
        <w:numPr>
          <w:ilvl w:val="2"/>
          <w:numId w:val="219"/>
        </w:numPr>
        <w:tabs>
          <w:tab w:val="left" w:pos="1842"/>
        </w:tabs>
        <w:spacing w:before="118" w:line="276" w:lineRule="auto"/>
        <w:ind w:right="193"/>
        <w:jc w:val="both"/>
        <w:rPr>
          <w:rFonts w:ascii="Arial" w:hAnsi="Arial" w:cs="Arial"/>
          <w:sz w:val="20"/>
        </w:rPr>
      </w:pPr>
      <w:r w:rsidRPr="0013695C">
        <w:rPr>
          <w:rFonts w:ascii="Arial" w:hAnsi="Arial" w:cs="Arial"/>
          <w:sz w:val="20"/>
        </w:rPr>
        <w:t>a</w:t>
      </w:r>
      <w:r w:rsidRPr="0013695C">
        <w:rPr>
          <w:rFonts w:ascii="Arial" w:hAnsi="Arial" w:cs="Arial"/>
          <w:spacing w:val="-2"/>
          <w:sz w:val="20"/>
        </w:rPr>
        <w:t xml:space="preserve"> </w:t>
      </w:r>
      <w:r w:rsidRPr="0013695C">
        <w:rPr>
          <w:rFonts w:ascii="Arial" w:hAnsi="Arial" w:cs="Arial"/>
          <w:sz w:val="20"/>
        </w:rPr>
        <w:t>BPL</w:t>
      </w:r>
      <w:r w:rsidRPr="0013695C">
        <w:rPr>
          <w:rFonts w:ascii="Arial" w:hAnsi="Arial" w:cs="Arial"/>
          <w:spacing w:val="-2"/>
          <w:sz w:val="20"/>
        </w:rPr>
        <w:t xml:space="preserve"> </w:t>
      </w:r>
      <w:r w:rsidRPr="0013695C">
        <w:rPr>
          <w:rFonts w:ascii="Arial" w:hAnsi="Arial" w:cs="Arial"/>
          <w:sz w:val="20"/>
        </w:rPr>
        <w:t>including</w:t>
      </w:r>
      <w:r w:rsidRPr="0013695C">
        <w:rPr>
          <w:rFonts w:ascii="Arial" w:hAnsi="Arial" w:cs="Arial"/>
          <w:spacing w:val="-2"/>
          <w:sz w:val="20"/>
        </w:rPr>
        <w:t xml:space="preserve"> </w:t>
      </w:r>
      <w:r w:rsidRPr="0013695C">
        <w:rPr>
          <w:rFonts w:ascii="Arial" w:hAnsi="Arial" w:cs="Arial"/>
          <w:sz w:val="20"/>
        </w:rPr>
        <w:t>the</w:t>
      </w:r>
      <w:r w:rsidRPr="0013695C">
        <w:rPr>
          <w:rFonts w:ascii="Arial" w:hAnsi="Arial" w:cs="Arial"/>
          <w:spacing w:val="-3"/>
          <w:sz w:val="20"/>
        </w:rPr>
        <w:t xml:space="preserve"> </w:t>
      </w:r>
      <w:r w:rsidRPr="0013695C">
        <w:rPr>
          <w:rFonts w:ascii="Arial" w:hAnsi="Arial" w:cs="Arial"/>
          <w:sz w:val="20"/>
        </w:rPr>
        <w:t>privileges,</w:t>
      </w:r>
      <w:r w:rsidRPr="0013695C">
        <w:rPr>
          <w:rFonts w:ascii="Arial" w:hAnsi="Arial" w:cs="Arial"/>
          <w:spacing w:val="-1"/>
          <w:sz w:val="20"/>
        </w:rPr>
        <w:t xml:space="preserve"> </w:t>
      </w:r>
      <w:r w:rsidRPr="0013695C">
        <w:rPr>
          <w:rFonts w:ascii="Arial" w:hAnsi="Arial" w:cs="Arial"/>
          <w:sz w:val="20"/>
        </w:rPr>
        <w:t>ratings</w:t>
      </w:r>
      <w:r w:rsidRPr="0013695C">
        <w:rPr>
          <w:rFonts w:ascii="Arial" w:hAnsi="Arial" w:cs="Arial"/>
          <w:spacing w:val="-2"/>
          <w:sz w:val="20"/>
        </w:rPr>
        <w:t xml:space="preserve"> </w:t>
      </w:r>
      <w:r w:rsidRPr="0013695C">
        <w:rPr>
          <w:rFonts w:ascii="Arial" w:hAnsi="Arial" w:cs="Arial"/>
          <w:sz w:val="20"/>
        </w:rPr>
        <w:t>and</w:t>
      </w:r>
      <w:r w:rsidRPr="0013695C">
        <w:rPr>
          <w:rFonts w:ascii="Arial" w:hAnsi="Arial" w:cs="Arial"/>
          <w:spacing w:val="-4"/>
          <w:sz w:val="20"/>
        </w:rPr>
        <w:t xml:space="preserve"> </w:t>
      </w:r>
      <w:r w:rsidRPr="0013695C">
        <w:rPr>
          <w:rFonts w:ascii="Arial" w:hAnsi="Arial" w:cs="Arial"/>
          <w:sz w:val="20"/>
        </w:rPr>
        <w:t>certificates for</w:t>
      </w:r>
      <w:r w:rsidRPr="0013695C">
        <w:rPr>
          <w:rFonts w:ascii="Arial" w:hAnsi="Arial" w:cs="Arial"/>
          <w:spacing w:val="-3"/>
          <w:sz w:val="20"/>
        </w:rPr>
        <w:t xml:space="preserve"> </w:t>
      </w:r>
      <w:r w:rsidRPr="0013695C">
        <w:rPr>
          <w:rFonts w:ascii="Arial" w:hAnsi="Arial" w:cs="Arial"/>
          <w:sz w:val="20"/>
        </w:rPr>
        <w:t>which</w:t>
      </w:r>
      <w:r w:rsidRPr="0013695C">
        <w:rPr>
          <w:rFonts w:ascii="Arial" w:hAnsi="Arial" w:cs="Arial"/>
          <w:spacing w:val="-2"/>
          <w:sz w:val="20"/>
        </w:rPr>
        <w:t xml:space="preserve"> </w:t>
      </w:r>
      <w:r w:rsidRPr="0013695C">
        <w:rPr>
          <w:rFonts w:ascii="Arial" w:hAnsi="Arial" w:cs="Arial"/>
          <w:sz w:val="20"/>
        </w:rPr>
        <w:t>flight</w:t>
      </w:r>
      <w:r w:rsidRPr="0013695C">
        <w:rPr>
          <w:rFonts w:ascii="Arial" w:hAnsi="Arial" w:cs="Arial"/>
          <w:spacing w:val="-3"/>
          <w:sz w:val="20"/>
        </w:rPr>
        <w:t xml:space="preserve"> </w:t>
      </w:r>
      <w:r w:rsidRPr="0013695C">
        <w:rPr>
          <w:rFonts w:ascii="Arial" w:hAnsi="Arial" w:cs="Arial"/>
          <w:sz w:val="20"/>
        </w:rPr>
        <w:t>instruction</w:t>
      </w:r>
      <w:r w:rsidRPr="0013695C">
        <w:rPr>
          <w:rFonts w:ascii="Arial" w:hAnsi="Arial" w:cs="Arial"/>
          <w:spacing w:val="-5"/>
          <w:sz w:val="20"/>
        </w:rPr>
        <w:t xml:space="preserve"> </w:t>
      </w:r>
      <w:r w:rsidRPr="0013695C">
        <w:rPr>
          <w:rFonts w:ascii="Arial" w:hAnsi="Arial" w:cs="Arial"/>
          <w:sz w:val="20"/>
        </w:rPr>
        <w:t>is</w:t>
      </w:r>
      <w:r w:rsidRPr="0013695C">
        <w:rPr>
          <w:rFonts w:ascii="Arial" w:hAnsi="Arial" w:cs="Arial"/>
          <w:spacing w:val="-48"/>
          <w:sz w:val="20"/>
        </w:rPr>
        <w:t xml:space="preserve"> </w:t>
      </w:r>
      <w:r w:rsidRPr="0013695C">
        <w:rPr>
          <w:rFonts w:ascii="Arial" w:hAnsi="Arial" w:cs="Arial"/>
          <w:sz w:val="20"/>
        </w:rPr>
        <w:t>to</w:t>
      </w:r>
      <w:r w:rsidRPr="0013695C">
        <w:rPr>
          <w:rFonts w:ascii="Arial" w:hAnsi="Arial" w:cs="Arial"/>
          <w:spacing w:val="1"/>
          <w:sz w:val="20"/>
        </w:rPr>
        <w:t xml:space="preserve"> </w:t>
      </w:r>
      <w:r w:rsidRPr="0013695C">
        <w:rPr>
          <w:rFonts w:ascii="Arial" w:hAnsi="Arial" w:cs="Arial"/>
          <w:sz w:val="20"/>
        </w:rPr>
        <w:t>be</w:t>
      </w:r>
      <w:r w:rsidRPr="0013695C">
        <w:rPr>
          <w:rFonts w:ascii="Arial" w:hAnsi="Arial" w:cs="Arial"/>
          <w:spacing w:val="-3"/>
          <w:sz w:val="20"/>
        </w:rPr>
        <w:t xml:space="preserve"> </w:t>
      </w:r>
      <w:r w:rsidRPr="0013695C">
        <w:rPr>
          <w:rFonts w:ascii="Arial" w:hAnsi="Arial" w:cs="Arial"/>
          <w:sz w:val="20"/>
        </w:rPr>
        <w:t>provided;</w:t>
      </w:r>
      <w:r w:rsidRPr="0013695C">
        <w:rPr>
          <w:rFonts w:ascii="Arial" w:hAnsi="Arial" w:cs="Arial"/>
          <w:spacing w:val="-2"/>
          <w:sz w:val="20"/>
        </w:rPr>
        <w:t xml:space="preserve"> </w:t>
      </w:r>
      <w:r w:rsidRPr="0013695C">
        <w:rPr>
          <w:rFonts w:ascii="Arial" w:hAnsi="Arial" w:cs="Arial"/>
          <w:sz w:val="20"/>
        </w:rPr>
        <w:t>and</w:t>
      </w:r>
    </w:p>
    <w:p w14:paraId="44C5FDE8" w14:textId="77777777" w:rsidR="0013695C" w:rsidRPr="0013695C" w:rsidRDefault="0013695C" w:rsidP="004F6505">
      <w:pPr>
        <w:pStyle w:val="ListParagraph"/>
        <w:numPr>
          <w:ilvl w:val="2"/>
          <w:numId w:val="219"/>
        </w:numPr>
        <w:tabs>
          <w:tab w:val="left" w:pos="1842"/>
        </w:tabs>
        <w:spacing w:before="121" w:line="276" w:lineRule="auto"/>
        <w:ind w:right="197"/>
        <w:jc w:val="both"/>
        <w:rPr>
          <w:rFonts w:ascii="Arial" w:hAnsi="Arial" w:cs="Arial"/>
          <w:sz w:val="20"/>
        </w:rPr>
      </w:pPr>
      <w:r w:rsidRPr="0013695C">
        <w:rPr>
          <w:rFonts w:ascii="Arial" w:hAnsi="Arial" w:cs="Arial"/>
          <w:sz w:val="20"/>
        </w:rPr>
        <w:t>a balloon flight instructor (FI(B)) certificate appropriate to the instruction carried</w:t>
      </w:r>
      <w:r w:rsidRPr="0013695C">
        <w:rPr>
          <w:rFonts w:ascii="Arial" w:hAnsi="Arial" w:cs="Arial"/>
          <w:spacing w:val="1"/>
          <w:sz w:val="20"/>
        </w:rPr>
        <w:t xml:space="preserve"> </w:t>
      </w:r>
      <w:r w:rsidRPr="0013695C">
        <w:rPr>
          <w:rFonts w:ascii="Arial" w:hAnsi="Arial" w:cs="Arial"/>
          <w:sz w:val="20"/>
        </w:rPr>
        <w:t>out,</w:t>
      </w:r>
      <w:r w:rsidRPr="0013695C">
        <w:rPr>
          <w:rFonts w:ascii="Arial" w:hAnsi="Arial" w:cs="Arial"/>
          <w:spacing w:val="-1"/>
          <w:sz w:val="20"/>
        </w:rPr>
        <w:t xml:space="preserve"> </w:t>
      </w:r>
      <w:r w:rsidRPr="0013695C">
        <w:rPr>
          <w:rFonts w:ascii="Arial" w:hAnsi="Arial" w:cs="Arial"/>
          <w:sz w:val="20"/>
        </w:rPr>
        <w:t>and</w:t>
      </w:r>
      <w:r w:rsidRPr="0013695C">
        <w:rPr>
          <w:rFonts w:ascii="Arial" w:hAnsi="Arial" w:cs="Arial"/>
          <w:spacing w:val="-1"/>
          <w:sz w:val="20"/>
        </w:rPr>
        <w:t xml:space="preserve"> </w:t>
      </w:r>
      <w:r w:rsidRPr="0013695C">
        <w:rPr>
          <w:rFonts w:ascii="Arial" w:hAnsi="Arial" w:cs="Arial"/>
          <w:sz w:val="20"/>
        </w:rPr>
        <w:t>issued in</w:t>
      </w:r>
      <w:r w:rsidRPr="0013695C">
        <w:rPr>
          <w:rFonts w:ascii="Arial" w:hAnsi="Arial" w:cs="Arial"/>
          <w:spacing w:val="-1"/>
          <w:sz w:val="20"/>
        </w:rPr>
        <w:t xml:space="preserve"> </w:t>
      </w:r>
      <w:r w:rsidRPr="0013695C">
        <w:rPr>
          <w:rFonts w:ascii="Arial" w:hAnsi="Arial" w:cs="Arial"/>
          <w:sz w:val="20"/>
        </w:rPr>
        <w:t>accordance</w:t>
      </w:r>
      <w:r w:rsidRPr="0013695C">
        <w:rPr>
          <w:rFonts w:ascii="Arial" w:hAnsi="Arial" w:cs="Arial"/>
          <w:spacing w:val="1"/>
          <w:sz w:val="20"/>
        </w:rPr>
        <w:t xml:space="preserve"> </w:t>
      </w:r>
      <w:r w:rsidRPr="0013695C">
        <w:rPr>
          <w:rFonts w:ascii="Arial" w:hAnsi="Arial" w:cs="Arial"/>
          <w:sz w:val="20"/>
        </w:rPr>
        <w:t>with this Subpart; and</w:t>
      </w:r>
    </w:p>
    <w:p w14:paraId="7AAA822C" w14:textId="77777777" w:rsidR="0013695C" w:rsidRPr="0013695C" w:rsidRDefault="0013695C" w:rsidP="004F6505">
      <w:pPr>
        <w:pStyle w:val="ListParagraph"/>
        <w:numPr>
          <w:ilvl w:val="1"/>
          <w:numId w:val="219"/>
        </w:numPr>
        <w:tabs>
          <w:tab w:val="left" w:pos="1274"/>
        </w:tabs>
        <w:spacing w:line="276" w:lineRule="auto"/>
        <w:ind w:hanging="568"/>
        <w:jc w:val="both"/>
        <w:rPr>
          <w:rFonts w:ascii="Arial" w:hAnsi="Arial" w:cs="Arial"/>
          <w:sz w:val="20"/>
        </w:rPr>
      </w:pPr>
      <w:r w:rsidRPr="0013695C">
        <w:rPr>
          <w:rFonts w:ascii="Arial" w:hAnsi="Arial" w:cs="Arial"/>
          <w:sz w:val="20"/>
        </w:rPr>
        <w:t>is</w:t>
      </w:r>
      <w:r w:rsidRPr="0013695C">
        <w:rPr>
          <w:rFonts w:ascii="Arial" w:hAnsi="Arial" w:cs="Arial"/>
          <w:spacing w:val="-1"/>
          <w:sz w:val="20"/>
        </w:rPr>
        <w:t xml:space="preserve"> </w:t>
      </w:r>
      <w:r w:rsidRPr="0013695C">
        <w:rPr>
          <w:rFonts w:ascii="Arial" w:hAnsi="Arial" w:cs="Arial"/>
          <w:sz w:val="20"/>
        </w:rPr>
        <w:t>entitled</w:t>
      </w:r>
      <w:r w:rsidRPr="0013695C">
        <w:rPr>
          <w:rFonts w:ascii="Arial" w:hAnsi="Arial" w:cs="Arial"/>
          <w:spacing w:val="-3"/>
          <w:sz w:val="20"/>
        </w:rPr>
        <w:t xml:space="preserve"> </w:t>
      </w:r>
      <w:r w:rsidRPr="0013695C">
        <w:rPr>
          <w:rFonts w:ascii="Arial" w:hAnsi="Arial" w:cs="Arial"/>
          <w:sz w:val="20"/>
        </w:rPr>
        <w:t>to act</w:t>
      </w:r>
      <w:r w:rsidRPr="0013695C">
        <w:rPr>
          <w:rFonts w:ascii="Arial" w:hAnsi="Arial" w:cs="Arial"/>
          <w:spacing w:val="-2"/>
          <w:sz w:val="20"/>
        </w:rPr>
        <w:t xml:space="preserve"> </w:t>
      </w:r>
      <w:r w:rsidRPr="0013695C">
        <w:rPr>
          <w:rFonts w:ascii="Arial" w:hAnsi="Arial" w:cs="Arial"/>
          <w:sz w:val="20"/>
        </w:rPr>
        <w:t>as</w:t>
      </w:r>
      <w:r w:rsidRPr="0013695C">
        <w:rPr>
          <w:rFonts w:ascii="Arial" w:hAnsi="Arial" w:cs="Arial"/>
          <w:spacing w:val="-3"/>
          <w:sz w:val="20"/>
        </w:rPr>
        <w:t xml:space="preserve"> </w:t>
      </w:r>
      <w:r w:rsidRPr="0013695C">
        <w:rPr>
          <w:rFonts w:ascii="Arial" w:hAnsi="Arial" w:cs="Arial"/>
          <w:sz w:val="20"/>
        </w:rPr>
        <w:t>PIC in</w:t>
      </w:r>
      <w:r w:rsidRPr="0013695C">
        <w:rPr>
          <w:rFonts w:ascii="Arial" w:hAnsi="Arial" w:cs="Arial"/>
          <w:spacing w:val="-4"/>
          <w:sz w:val="20"/>
        </w:rPr>
        <w:t xml:space="preserve"> </w:t>
      </w:r>
      <w:r w:rsidRPr="0013695C">
        <w:rPr>
          <w:rFonts w:ascii="Arial" w:hAnsi="Arial" w:cs="Arial"/>
          <w:sz w:val="20"/>
        </w:rPr>
        <w:t>the</w:t>
      </w:r>
      <w:r w:rsidRPr="0013695C">
        <w:rPr>
          <w:rFonts w:ascii="Arial" w:hAnsi="Arial" w:cs="Arial"/>
          <w:spacing w:val="1"/>
          <w:sz w:val="20"/>
        </w:rPr>
        <w:t xml:space="preserve"> </w:t>
      </w:r>
      <w:r w:rsidRPr="0013695C">
        <w:rPr>
          <w:rFonts w:ascii="Arial" w:hAnsi="Arial" w:cs="Arial"/>
          <w:sz w:val="20"/>
        </w:rPr>
        <w:t>balloon</w:t>
      </w:r>
      <w:r w:rsidRPr="0013695C">
        <w:rPr>
          <w:rFonts w:ascii="Arial" w:hAnsi="Arial" w:cs="Arial"/>
          <w:spacing w:val="-2"/>
          <w:sz w:val="20"/>
        </w:rPr>
        <w:t xml:space="preserve"> </w:t>
      </w:r>
      <w:r w:rsidRPr="0013695C">
        <w:rPr>
          <w:rFonts w:ascii="Arial" w:hAnsi="Arial" w:cs="Arial"/>
          <w:sz w:val="20"/>
        </w:rPr>
        <w:t>during</w:t>
      </w:r>
      <w:r w:rsidRPr="0013695C">
        <w:rPr>
          <w:rFonts w:ascii="Arial" w:hAnsi="Arial" w:cs="Arial"/>
          <w:spacing w:val="-1"/>
          <w:sz w:val="20"/>
        </w:rPr>
        <w:t xml:space="preserve"> </w:t>
      </w:r>
      <w:r w:rsidRPr="0013695C">
        <w:rPr>
          <w:rFonts w:ascii="Arial" w:hAnsi="Arial" w:cs="Arial"/>
          <w:sz w:val="20"/>
        </w:rPr>
        <w:t>flight</w:t>
      </w:r>
      <w:r w:rsidRPr="0013695C">
        <w:rPr>
          <w:rFonts w:ascii="Arial" w:hAnsi="Arial" w:cs="Arial"/>
          <w:spacing w:val="-1"/>
          <w:sz w:val="20"/>
        </w:rPr>
        <w:t xml:space="preserve"> </w:t>
      </w:r>
      <w:r w:rsidRPr="0013695C">
        <w:rPr>
          <w:rFonts w:ascii="Arial" w:hAnsi="Arial" w:cs="Arial"/>
          <w:sz w:val="20"/>
        </w:rPr>
        <w:t>instruction.</w:t>
      </w:r>
    </w:p>
    <w:p w14:paraId="7A50CA77" w14:textId="7E8A8982" w:rsidR="0013695C" w:rsidRPr="0013695C" w:rsidRDefault="0013695C" w:rsidP="004F6505">
      <w:pPr>
        <w:pStyle w:val="ListParagraph"/>
        <w:numPr>
          <w:ilvl w:val="0"/>
          <w:numId w:val="219"/>
        </w:numPr>
        <w:tabs>
          <w:tab w:val="left" w:pos="707"/>
        </w:tabs>
        <w:spacing w:line="276" w:lineRule="auto"/>
        <w:jc w:val="both"/>
        <w:rPr>
          <w:rFonts w:ascii="Arial" w:hAnsi="Arial" w:cs="Arial"/>
          <w:sz w:val="20"/>
        </w:rPr>
      </w:pPr>
      <w:r w:rsidRPr="0013695C">
        <w:rPr>
          <w:rFonts w:ascii="Arial" w:hAnsi="Arial" w:cs="Arial"/>
          <w:sz w:val="20"/>
        </w:rPr>
        <w:t>Instruction</w:t>
      </w:r>
      <w:r w:rsidRPr="0013695C">
        <w:rPr>
          <w:rFonts w:ascii="Arial" w:hAnsi="Arial" w:cs="Arial"/>
          <w:spacing w:val="-3"/>
          <w:sz w:val="20"/>
        </w:rPr>
        <w:t xml:space="preserve"> </w:t>
      </w:r>
      <w:r w:rsidRPr="0013695C">
        <w:rPr>
          <w:rFonts w:ascii="Arial" w:hAnsi="Arial" w:cs="Arial"/>
          <w:sz w:val="20"/>
        </w:rPr>
        <w:t>provided</w:t>
      </w:r>
      <w:r w:rsidRPr="0013695C">
        <w:rPr>
          <w:rFonts w:ascii="Arial" w:hAnsi="Arial" w:cs="Arial"/>
          <w:spacing w:val="-2"/>
          <w:sz w:val="20"/>
        </w:rPr>
        <w:t xml:space="preserve"> </w:t>
      </w:r>
      <w:r w:rsidRPr="0013695C">
        <w:rPr>
          <w:rFonts w:ascii="Arial" w:hAnsi="Arial" w:cs="Arial"/>
          <w:sz w:val="20"/>
        </w:rPr>
        <w:t>outside</w:t>
      </w:r>
      <w:r w:rsidRPr="0013695C">
        <w:rPr>
          <w:rFonts w:ascii="Arial" w:hAnsi="Arial" w:cs="Arial"/>
          <w:spacing w:val="-1"/>
          <w:sz w:val="20"/>
        </w:rPr>
        <w:t xml:space="preserve"> </w:t>
      </w:r>
      <w:r w:rsidRPr="0013695C">
        <w:rPr>
          <w:rFonts w:ascii="Arial" w:hAnsi="Arial" w:cs="Arial"/>
          <w:sz w:val="20"/>
        </w:rPr>
        <w:t>the</w:t>
      </w:r>
      <w:r w:rsidRPr="0013695C">
        <w:rPr>
          <w:rFonts w:ascii="Arial" w:hAnsi="Arial" w:cs="Arial"/>
          <w:spacing w:val="-3"/>
          <w:sz w:val="20"/>
        </w:rPr>
        <w:t xml:space="preserve"> </w:t>
      </w:r>
      <w:r w:rsidRPr="0013695C">
        <w:rPr>
          <w:rFonts w:ascii="Arial" w:hAnsi="Arial" w:cs="Arial"/>
          <w:sz w:val="20"/>
        </w:rPr>
        <w:t>territory</w:t>
      </w:r>
      <w:r w:rsidRPr="0013695C">
        <w:rPr>
          <w:rFonts w:ascii="Arial" w:hAnsi="Arial" w:cs="Arial"/>
          <w:spacing w:val="-4"/>
          <w:sz w:val="20"/>
        </w:rPr>
        <w:t xml:space="preserve"> </w:t>
      </w:r>
      <w:r w:rsidRPr="0013695C">
        <w:rPr>
          <w:rFonts w:ascii="Arial" w:hAnsi="Arial" w:cs="Arial"/>
          <w:sz w:val="20"/>
        </w:rPr>
        <w:t>of</w:t>
      </w:r>
      <w:r w:rsidRPr="0013695C">
        <w:rPr>
          <w:rFonts w:ascii="Arial" w:hAnsi="Arial" w:cs="Arial"/>
          <w:spacing w:val="-1"/>
          <w:sz w:val="20"/>
        </w:rPr>
        <w:t xml:space="preserve"> </w:t>
      </w:r>
      <w:r w:rsidR="005F5690" w:rsidRPr="00C1366B">
        <w:rPr>
          <w:rFonts w:ascii="Arial" w:hAnsi="Arial" w:cs="Arial"/>
          <w:sz w:val="20"/>
        </w:rPr>
        <w:t>the Republic of Armenia</w:t>
      </w:r>
    </w:p>
    <w:p w14:paraId="08743A6F" w14:textId="3647440E" w:rsidR="0013695C" w:rsidRPr="0013695C" w:rsidRDefault="0013695C" w:rsidP="004F6505">
      <w:pPr>
        <w:pStyle w:val="ListParagraph"/>
        <w:numPr>
          <w:ilvl w:val="1"/>
          <w:numId w:val="219"/>
        </w:numPr>
        <w:tabs>
          <w:tab w:val="left" w:pos="1274"/>
        </w:tabs>
        <w:spacing w:before="121" w:line="276" w:lineRule="auto"/>
        <w:ind w:right="193"/>
        <w:jc w:val="both"/>
        <w:rPr>
          <w:rFonts w:ascii="Arial" w:hAnsi="Arial" w:cs="Arial"/>
          <w:sz w:val="20"/>
        </w:rPr>
      </w:pPr>
      <w:r w:rsidRPr="0013695C">
        <w:rPr>
          <w:rFonts w:ascii="Arial" w:hAnsi="Arial" w:cs="Arial"/>
          <w:sz w:val="20"/>
        </w:rPr>
        <w:t>By way of derogation from subparagraph (a)(1), in the case of flight instruction provided</w:t>
      </w:r>
      <w:r w:rsidRPr="0013695C">
        <w:rPr>
          <w:rFonts w:ascii="Arial" w:hAnsi="Arial" w:cs="Arial"/>
          <w:spacing w:val="-47"/>
          <w:sz w:val="20"/>
        </w:rPr>
        <w:t xml:space="preserve"> </w:t>
      </w:r>
      <w:r w:rsidRPr="0013695C">
        <w:rPr>
          <w:rFonts w:ascii="Arial" w:hAnsi="Arial" w:cs="Arial"/>
          <w:sz w:val="20"/>
        </w:rPr>
        <w:t>during a training course approved in accordance with this Annex (Part-BFCL) outside the</w:t>
      </w:r>
      <w:r w:rsidR="005F5690">
        <w:rPr>
          <w:rFonts w:ascii="Arial" w:hAnsi="Arial" w:cs="Arial"/>
          <w:sz w:val="20"/>
        </w:rPr>
        <w:t xml:space="preserve"> </w:t>
      </w:r>
      <w:r w:rsidRPr="0013695C">
        <w:rPr>
          <w:rFonts w:ascii="Arial" w:hAnsi="Arial" w:cs="Arial"/>
          <w:spacing w:val="-47"/>
          <w:sz w:val="20"/>
        </w:rPr>
        <w:t xml:space="preserve"> </w:t>
      </w:r>
      <w:r w:rsidRPr="0013695C">
        <w:rPr>
          <w:rFonts w:ascii="Arial" w:hAnsi="Arial" w:cs="Arial"/>
          <w:sz w:val="20"/>
        </w:rPr>
        <w:t xml:space="preserve">territory for </w:t>
      </w:r>
      <w:r w:rsidR="005F5690">
        <w:rPr>
          <w:rFonts w:ascii="Arial" w:hAnsi="Arial" w:cs="Arial"/>
          <w:sz w:val="20"/>
        </w:rPr>
        <w:t>the Republic of Armenia is</w:t>
      </w:r>
      <w:r w:rsidRPr="0013695C">
        <w:rPr>
          <w:rFonts w:ascii="Arial" w:hAnsi="Arial" w:cs="Arial"/>
          <w:sz w:val="20"/>
        </w:rPr>
        <w:t xml:space="preserve"> responsible under the Chicago Convention, the</w:t>
      </w:r>
      <w:r w:rsidRPr="0013695C">
        <w:rPr>
          <w:rFonts w:ascii="Arial" w:hAnsi="Arial" w:cs="Arial"/>
          <w:spacing w:val="1"/>
          <w:sz w:val="20"/>
        </w:rPr>
        <w:t xml:space="preserve"> </w:t>
      </w:r>
      <w:r w:rsidR="003C6906">
        <w:rPr>
          <w:rFonts w:ascii="Arial" w:hAnsi="Arial" w:cs="Arial"/>
          <w:sz w:val="20"/>
          <w:szCs w:val="20"/>
        </w:rPr>
        <w:t xml:space="preserve">CAC RA </w:t>
      </w:r>
      <w:r w:rsidRPr="0013695C">
        <w:rPr>
          <w:rFonts w:ascii="Arial" w:hAnsi="Arial" w:cs="Arial"/>
          <w:sz w:val="20"/>
        </w:rPr>
        <w:t>shall issue a flight instructor certificate to an applicant who holds a</w:t>
      </w:r>
      <w:r w:rsidRPr="0013695C">
        <w:rPr>
          <w:rFonts w:ascii="Arial" w:hAnsi="Arial" w:cs="Arial"/>
          <w:spacing w:val="-47"/>
          <w:sz w:val="20"/>
        </w:rPr>
        <w:t xml:space="preserve"> </w:t>
      </w:r>
      <w:r w:rsidRPr="0013695C">
        <w:rPr>
          <w:rFonts w:ascii="Arial" w:hAnsi="Arial" w:cs="Arial"/>
          <w:sz w:val="20"/>
        </w:rPr>
        <w:t>balloon pilot licence that is compliant with Annex 1 to the Chicago Convention, provided</w:t>
      </w:r>
      <w:r w:rsidRPr="0013695C">
        <w:rPr>
          <w:rFonts w:ascii="Arial" w:hAnsi="Arial" w:cs="Arial"/>
          <w:spacing w:val="-47"/>
          <w:sz w:val="20"/>
        </w:rPr>
        <w:t xml:space="preserve"> </w:t>
      </w:r>
      <w:r w:rsidRPr="0013695C">
        <w:rPr>
          <w:rFonts w:ascii="Arial" w:hAnsi="Arial" w:cs="Arial"/>
          <w:sz w:val="20"/>
        </w:rPr>
        <w:t>that the</w:t>
      </w:r>
      <w:r w:rsidRPr="0013695C">
        <w:rPr>
          <w:rFonts w:ascii="Arial" w:hAnsi="Arial" w:cs="Arial"/>
          <w:spacing w:val="-2"/>
          <w:sz w:val="20"/>
        </w:rPr>
        <w:t xml:space="preserve"> </w:t>
      </w:r>
      <w:r w:rsidRPr="0013695C">
        <w:rPr>
          <w:rFonts w:ascii="Arial" w:hAnsi="Arial" w:cs="Arial"/>
          <w:sz w:val="20"/>
        </w:rPr>
        <w:t>applicant:</w:t>
      </w:r>
    </w:p>
    <w:p w14:paraId="6DF269E5" w14:textId="77777777" w:rsidR="0013695C" w:rsidRPr="0013695C" w:rsidRDefault="0013695C" w:rsidP="004F6505">
      <w:pPr>
        <w:pStyle w:val="ListParagraph"/>
        <w:numPr>
          <w:ilvl w:val="2"/>
          <w:numId w:val="219"/>
        </w:numPr>
        <w:tabs>
          <w:tab w:val="left" w:pos="1842"/>
        </w:tabs>
        <w:spacing w:before="119" w:line="276" w:lineRule="auto"/>
        <w:ind w:right="198"/>
        <w:jc w:val="both"/>
        <w:rPr>
          <w:rFonts w:ascii="Arial" w:hAnsi="Arial" w:cs="Arial"/>
          <w:sz w:val="20"/>
        </w:rPr>
      </w:pPr>
      <w:r w:rsidRPr="0013695C">
        <w:rPr>
          <w:rFonts w:ascii="Arial" w:hAnsi="Arial" w:cs="Arial"/>
          <w:sz w:val="20"/>
        </w:rPr>
        <w:t>holds at least a licence including, where relevant, privileges, ratings or certificates</w:t>
      </w:r>
      <w:r w:rsidRPr="0013695C">
        <w:rPr>
          <w:rFonts w:ascii="Arial" w:hAnsi="Arial" w:cs="Arial"/>
          <w:spacing w:val="-47"/>
          <w:sz w:val="20"/>
        </w:rPr>
        <w:t xml:space="preserve"> </w:t>
      </w:r>
      <w:r w:rsidRPr="0013695C">
        <w:rPr>
          <w:rFonts w:ascii="Arial" w:hAnsi="Arial" w:cs="Arial"/>
          <w:sz w:val="20"/>
        </w:rPr>
        <w:t>equivalent</w:t>
      </w:r>
      <w:r w:rsidRPr="0013695C">
        <w:rPr>
          <w:rFonts w:ascii="Arial" w:hAnsi="Arial" w:cs="Arial"/>
          <w:spacing w:val="-3"/>
          <w:sz w:val="20"/>
        </w:rPr>
        <w:t xml:space="preserve"> </w:t>
      </w:r>
      <w:r w:rsidRPr="0013695C">
        <w:rPr>
          <w:rFonts w:ascii="Arial" w:hAnsi="Arial" w:cs="Arial"/>
          <w:sz w:val="20"/>
        </w:rPr>
        <w:t>to</w:t>
      </w:r>
      <w:r w:rsidRPr="0013695C">
        <w:rPr>
          <w:rFonts w:ascii="Arial" w:hAnsi="Arial" w:cs="Arial"/>
          <w:spacing w:val="-1"/>
          <w:sz w:val="20"/>
        </w:rPr>
        <w:t xml:space="preserve"> </w:t>
      </w:r>
      <w:r w:rsidRPr="0013695C">
        <w:rPr>
          <w:rFonts w:ascii="Arial" w:hAnsi="Arial" w:cs="Arial"/>
          <w:sz w:val="20"/>
        </w:rPr>
        <w:t>those</w:t>
      </w:r>
      <w:r w:rsidRPr="0013695C">
        <w:rPr>
          <w:rFonts w:ascii="Arial" w:hAnsi="Arial" w:cs="Arial"/>
          <w:spacing w:val="1"/>
          <w:sz w:val="20"/>
        </w:rPr>
        <w:t xml:space="preserve"> </w:t>
      </w:r>
      <w:r w:rsidRPr="0013695C">
        <w:rPr>
          <w:rFonts w:ascii="Arial" w:hAnsi="Arial" w:cs="Arial"/>
          <w:sz w:val="20"/>
        </w:rPr>
        <w:t>for</w:t>
      </w:r>
      <w:r w:rsidRPr="0013695C">
        <w:rPr>
          <w:rFonts w:ascii="Arial" w:hAnsi="Arial" w:cs="Arial"/>
          <w:spacing w:val="-2"/>
          <w:sz w:val="20"/>
        </w:rPr>
        <w:t xml:space="preserve"> </w:t>
      </w:r>
      <w:r w:rsidRPr="0013695C">
        <w:rPr>
          <w:rFonts w:ascii="Arial" w:hAnsi="Arial" w:cs="Arial"/>
          <w:sz w:val="20"/>
        </w:rPr>
        <w:t>which he or</w:t>
      </w:r>
      <w:r w:rsidRPr="0013695C">
        <w:rPr>
          <w:rFonts w:ascii="Arial" w:hAnsi="Arial" w:cs="Arial"/>
          <w:spacing w:val="-1"/>
          <w:sz w:val="20"/>
        </w:rPr>
        <w:t xml:space="preserve"> </w:t>
      </w:r>
      <w:r w:rsidRPr="0013695C">
        <w:rPr>
          <w:rFonts w:ascii="Arial" w:hAnsi="Arial" w:cs="Arial"/>
          <w:sz w:val="20"/>
        </w:rPr>
        <w:t>she is authorised</w:t>
      </w:r>
      <w:r w:rsidRPr="0013695C">
        <w:rPr>
          <w:rFonts w:ascii="Arial" w:hAnsi="Arial" w:cs="Arial"/>
          <w:spacing w:val="-1"/>
          <w:sz w:val="20"/>
        </w:rPr>
        <w:t xml:space="preserve"> </w:t>
      </w:r>
      <w:r w:rsidRPr="0013695C">
        <w:rPr>
          <w:rFonts w:ascii="Arial" w:hAnsi="Arial" w:cs="Arial"/>
          <w:sz w:val="20"/>
        </w:rPr>
        <w:t>to instruct;</w:t>
      </w:r>
    </w:p>
    <w:p w14:paraId="07D57187" w14:textId="77777777" w:rsidR="0013695C" w:rsidRPr="0013695C" w:rsidRDefault="0013695C" w:rsidP="004F6505">
      <w:pPr>
        <w:pStyle w:val="ListParagraph"/>
        <w:numPr>
          <w:ilvl w:val="2"/>
          <w:numId w:val="219"/>
        </w:numPr>
        <w:tabs>
          <w:tab w:val="left" w:pos="1842"/>
        </w:tabs>
        <w:spacing w:before="121" w:line="276" w:lineRule="auto"/>
        <w:ind w:right="196"/>
        <w:jc w:val="both"/>
        <w:rPr>
          <w:rFonts w:ascii="Arial" w:hAnsi="Arial" w:cs="Arial"/>
          <w:sz w:val="20"/>
        </w:rPr>
      </w:pPr>
      <w:r w:rsidRPr="0013695C">
        <w:rPr>
          <w:rFonts w:ascii="Arial" w:hAnsi="Arial" w:cs="Arial"/>
          <w:spacing w:val="-1"/>
          <w:sz w:val="20"/>
        </w:rPr>
        <w:t>complies</w:t>
      </w:r>
      <w:r w:rsidRPr="0013695C">
        <w:rPr>
          <w:rFonts w:ascii="Arial" w:hAnsi="Arial" w:cs="Arial"/>
          <w:spacing w:val="-11"/>
          <w:sz w:val="20"/>
        </w:rPr>
        <w:t xml:space="preserve"> </w:t>
      </w:r>
      <w:r w:rsidRPr="0013695C">
        <w:rPr>
          <w:rFonts w:ascii="Arial" w:hAnsi="Arial" w:cs="Arial"/>
          <w:spacing w:val="-1"/>
          <w:sz w:val="20"/>
        </w:rPr>
        <w:t>with</w:t>
      </w:r>
      <w:r w:rsidRPr="0013695C">
        <w:rPr>
          <w:rFonts w:ascii="Arial" w:hAnsi="Arial" w:cs="Arial"/>
          <w:spacing w:val="-12"/>
          <w:sz w:val="20"/>
        </w:rPr>
        <w:t xml:space="preserve"> </w:t>
      </w:r>
      <w:r w:rsidRPr="0013695C">
        <w:rPr>
          <w:rFonts w:ascii="Arial" w:hAnsi="Arial" w:cs="Arial"/>
          <w:sz w:val="20"/>
        </w:rPr>
        <w:t>the</w:t>
      </w:r>
      <w:r w:rsidRPr="0013695C">
        <w:rPr>
          <w:rFonts w:ascii="Arial" w:hAnsi="Arial" w:cs="Arial"/>
          <w:spacing w:val="-9"/>
          <w:sz w:val="20"/>
        </w:rPr>
        <w:t xml:space="preserve"> </w:t>
      </w:r>
      <w:r w:rsidRPr="0013695C">
        <w:rPr>
          <w:rFonts w:ascii="Arial" w:hAnsi="Arial" w:cs="Arial"/>
          <w:sz w:val="20"/>
        </w:rPr>
        <w:t>requirements</w:t>
      </w:r>
      <w:r w:rsidRPr="0013695C">
        <w:rPr>
          <w:rFonts w:ascii="Arial" w:hAnsi="Arial" w:cs="Arial"/>
          <w:spacing w:val="-11"/>
          <w:sz w:val="20"/>
        </w:rPr>
        <w:t xml:space="preserve"> </w:t>
      </w:r>
      <w:r w:rsidRPr="0013695C">
        <w:rPr>
          <w:rFonts w:ascii="Arial" w:hAnsi="Arial" w:cs="Arial"/>
          <w:sz w:val="20"/>
        </w:rPr>
        <w:t>established</w:t>
      </w:r>
      <w:r w:rsidRPr="0013695C">
        <w:rPr>
          <w:rFonts w:ascii="Arial" w:hAnsi="Arial" w:cs="Arial"/>
          <w:spacing w:val="-12"/>
          <w:sz w:val="20"/>
        </w:rPr>
        <w:t xml:space="preserve"> </w:t>
      </w:r>
      <w:r w:rsidRPr="0013695C">
        <w:rPr>
          <w:rFonts w:ascii="Arial" w:hAnsi="Arial" w:cs="Arial"/>
          <w:sz w:val="20"/>
        </w:rPr>
        <w:t>in</w:t>
      </w:r>
      <w:r w:rsidRPr="0013695C">
        <w:rPr>
          <w:rFonts w:ascii="Arial" w:hAnsi="Arial" w:cs="Arial"/>
          <w:spacing w:val="-13"/>
          <w:sz w:val="20"/>
        </w:rPr>
        <w:t xml:space="preserve"> </w:t>
      </w:r>
      <w:r w:rsidRPr="0013695C">
        <w:rPr>
          <w:rFonts w:ascii="Arial" w:hAnsi="Arial" w:cs="Arial"/>
          <w:sz w:val="20"/>
        </w:rPr>
        <w:t>this</w:t>
      </w:r>
      <w:r w:rsidRPr="0013695C">
        <w:rPr>
          <w:rFonts w:ascii="Arial" w:hAnsi="Arial" w:cs="Arial"/>
          <w:spacing w:val="-12"/>
          <w:sz w:val="20"/>
        </w:rPr>
        <w:t xml:space="preserve"> </w:t>
      </w:r>
      <w:r w:rsidRPr="0013695C">
        <w:rPr>
          <w:rFonts w:ascii="Arial" w:hAnsi="Arial" w:cs="Arial"/>
          <w:sz w:val="20"/>
        </w:rPr>
        <w:t>Subpart</w:t>
      </w:r>
      <w:r w:rsidRPr="0013695C">
        <w:rPr>
          <w:rFonts w:ascii="Arial" w:hAnsi="Arial" w:cs="Arial"/>
          <w:spacing w:val="-9"/>
          <w:sz w:val="20"/>
        </w:rPr>
        <w:t xml:space="preserve"> </w:t>
      </w:r>
      <w:r w:rsidRPr="0013695C">
        <w:rPr>
          <w:rFonts w:ascii="Arial" w:hAnsi="Arial" w:cs="Arial"/>
          <w:sz w:val="20"/>
        </w:rPr>
        <w:t>for</w:t>
      </w:r>
      <w:r w:rsidRPr="0013695C">
        <w:rPr>
          <w:rFonts w:ascii="Arial" w:hAnsi="Arial" w:cs="Arial"/>
          <w:spacing w:val="-12"/>
          <w:sz w:val="20"/>
        </w:rPr>
        <w:t xml:space="preserve"> </w:t>
      </w:r>
      <w:r w:rsidRPr="0013695C">
        <w:rPr>
          <w:rFonts w:ascii="Arial" w:hAnsi="Arial" w:cs="Arial"/>
          <w:sz w:val="20"/>
        </w:rPr>
        <w:t>the</w:t>
      </w:r>
      <w:r w:rsidRPr="0013695C">
        <w:rPr>
          <w:rFonts w:ascii="Arial" w:hAnsi="Arial" w:cs="Arial"/>
          <w:spacing w:val="-11"/>
          <w:sz w:val="20"/>
        </w:rPr>
        <w:t xml:space="preserve"> </w:t>
      </w:r>
      <w:r w:rsidRPr="0013695C">
        <w:rPr>
          <w:rFonts w:ascii="Arial" w:hAnsi="Arial" w:cs="Arial"/>
          <w:sz w:val="20"/>
        </w:rPr>
        <w:t>issue</w:t>
      </w:r>
      <w:r w:rsidRPr="0013695C">
        <w:rPr>
          <w:rFonts w:ascii="Arial" w:hAnsi="Arial" w:cs="Arial"/>
          <w:spacing w:val="-14"/>
          <w:sz w:val="20"/>
        </w:rPr>
        <w:t xml:space="preserve"> </w:t>
      </w:r>
      <w:r w:rsidRPr="0013695C">
        <w:rPr>
          <w:rFonts w:ascii="Arial" w:hAnsi="Arial" w:cs="Arial"/>
          <w:sz w:val="20"/>
        </w:rPr>
        <w:t>of</w:t>
      </w:r>
      <w:r w:rsidRPr="0013695C">
        <w:rPr>
          <w:rFonts w:ascii="Arial" w:hAnsi="Arial" w:cs="Arial"/>
          <w:spacing w:val="-12"/>
          <w:sz w:val="20"/>
        </w:rPr>
        <w:t xml:space="preserve"> </w:t>
      </w:r>
      <w:r w:rsidRPr="0013695C">
        <w:rPr>
          <w:rFonts w:ascii="Arial" w:hAnsi="Arial" w:cs="Arial"/>
          <w:sz w:val="20"/>
        </w:rPr>
        <w:t>the</w:t>
      </w:r>
      <w:r w:rsidRPr="0013695C">
        <w:rPr>
          <w:rFonts w:ascii="Arial" w:hAnsi="Arial" w:cs="Arial"/>
          <w:spacing w:val="-12"/>
          <w:sz w:val="20"/>
        </w:rPr>
        <w:t xml:space="preserve"> </w:t>
      </w:r>
      <w:r w:rsidRPr="0013695C">
        <w:rPr>
          <w:rFonts w:ascii="Arial" w:hAnsi="Arial" w:cs="Arial"/>
          <w:sz w:val="20"/>
        </w:rPr>
        <w:t>FI(B)</w:t>
      </w:r>
      <w:r w:rsidRPr="0013695C">
        <w:rPr>
          <w:rFonts w:ascii="Arial" w:hAnsi="Arial" w:cs="Arial"/>
          <w:spacing w:val="-47"/>
          <w:sz w:val="20"/>
        </w:rPr>
        <w:t xml:space="preserve"> </w:t>
      </w:r>
      <w:r w:rsidRPr="0013695C">
        <w:rPr>
          <w:rFonts w:ascii="Arial" w:hAnsi="Arial" w:cs="Arial"/>
          <w:sz w:val="20"/>
        </w:rPr>
        <w:t>certificate</w:t>
      </w:r>
      <w:r w:rsidRPr="0013695C">
        <w:rPr>
          <w:rFonts w:ascii="Arial" w:hAnsi="Arial" w:cs="Arial"/>
          <w:spacing w:val="-3"/>
          <w:sz w:val="20"/>
        </w:rPr>
        <w:t xml:space="preserve"> </w:t>
      </w:r>
      <w:r w:rsidRPr="0013695C">
        <w:rPr>
          <w:rFonts w:ascii="Arial" w:hAnsi="Arial" w:cs="Arial"/>
          <w:sz w:val="20"/>
        </w:rPr>
        <w:t>with the</w:t>
      </w:r>
      <w:r w:rsidRPr="0013695C">
        <w:rPr>
          <w:rFonts w:ascii="Arial" w:hAnsi="Arial" w:cs="Arial"/>
          <w:spacing w:val="1"/>
          <w:sz w:val="20"/>
        </w:rPr>
        <w:t xml:space="preserve"> </w:t>
      </w:r>
      <w:r w:rsidRPr="0013695C">
        <w:rPr>
          <w:rFonts w:ascii="Arial" w:hAnsi="Arial" w:cs="Arial"/>
          <w:sz w:val="20"/>
        </w:rPr>
        <w:t>relevant</w:t>
      </w:r>
      <w:r w:rsidRPr="0013695C">
        <w:rPr>
          <w:rFonts w:ascii="Arial" w:hAnsi="Arial" w:cs="Arial"/>
          <w:spacing w:val="-1"/>
          <w:sz w:val="20"/>
        </w:rPr>
        <w:t xml:space="preserve"> </w:t>
      </w:r>
      <w:r w:rsidRPr="0013695C">
        <w:rPr>
          <w:rFonts w:ascii="Arial" w:hAnsi="Arial" w:cs="Arial"/>
          <w:sz w:val="20"/>
        </w:rPr>
        <w:t>instructional privileges; and</w:t>
      </w:r>
    </w:p>
    <w:p w14:paraId="2270FAEC" w14:textId="7F8E680E" w:rsidR="0013695C" w:rsidRPr="0013695C" w:rsidRDefault="0013695C" w:rsidP="004F6505">
      <w:pPr>
        <w:pStyle w:val="ListParagraph"/>
        <w:numPr>
          <w:ilvl w:val="2"/>
          <w:numId w:val="219"/>
        </w:numPr>
        <w:tabs>
          <w:tab w:val="left" w:pos="1842"/>
        </w:tabs>
        <w:spacing w:line="276" w:lineRule="auto"/>
        <w:ind w:right="196"/>
        <w:jc w:val="both"/>
        <w:rPr>
          <w:rFonts w:ascii="Arial" w:hAnsi="Arial" w:cs="Arial"/>
          <w:sz w:val="20"/>
        </w:rPr>
      </w:pPr>
      <w:r w:rsidRPr="0013695C">
        <w:rPr>
          <w:rFonts w:ascii="Arial" w:hAnsi="Arial" w:cs="Arial"/>
          <w:sz w:val="20"/>
        </w:rPr>
        <w:t xml:space="preserve">demonstrates to the </w:t>
      </w:r>
      <w:r w:rsidR="003C6906">
        <w:rPr>
          <w:rFonts w:ascii="Arial" w:hAnsi="Arial" w:cs="Arial"/>
          <w:sz w:val="20"/>
          <w:szCs w:val="20"/>
        </w:rPr>
        <w:t xml:space="preserve">CAC RA </w:t>
      </w:r>
      <w:r w:rsidRPr="0013695C">
        <w:rPr>
          <w:rFonts w:ascii="Arial" w:hAnsi="Arial" w:cs="Arial"/>
          <w:sz w:val="20"/>
        </w:rPr>
        <w:t>an adequate level of knowledge of</w:t>
      </w:r>
      <w:r w:rsidRPr="0013695C">
        <w:rPr>
          <w:rFonts w:ascii="Arial" w:hAnsi="Arial" w:cs="Arial"/>
          <w:spacing w:val="1"/>
          <w:sz w:val="20"/>
        </w:rPr>
        <w:t xml:space="preserve"> </w:t>
      </w:r>
      <w:r w:rsidRPr="0013695C">
        <w:rPr>
          <w:rFonts w:ascii="Arial" w:hAnsi="Arial" w:cs="Arial"/>
          <w:sz w:val="20"/>
        </w:rPr>
        <w:t>European</w:t>
      </w:r>
      <w:r w:rsidRPr="0013695C">
        <w:rPr>
          <w:rFonts w:ascii="Arial" w:hAnsi="Arial" w:cs="Arial"/>
          <w:spacing w:val="1"/>
          <w:sz w:val="20"/>
        </w:rPr>
        <w:t xml:space="preserve"> </w:t>
      </w:r>
      <w:r w:rsidRPr="0013695C">
        <w:rPr>
          <w:rFonts w:ascii="Arial" w:hAnsi="Arial" w:cs="Arial"/>
          <w:sz w:val="20"/>
        </w:rPr>
        <w:t>aviation</w:t>
      </w:r>
      <w:r w:rsidRPr="0013695C">
        <w:rPr>
          <w:rFonts w:ascii="Arial" w:hAnsi="Arial" w:cs="Arial"/>
          <w:spacing w:val="1"/>
          <w:sz w:val="20"/>
        </w:rPr>
        <w:t xml:space="preserve"> </w:t>
      </w:r>
      <w:r w:rsidRPr="0013695C">
        <w:rPr>
          <w:rFonts w:ascii="Arial" w:hAnsi="Arial" w:cs="Arial"/>
          <w:sz w:val="20"/>
        </w:rPr>
        <w:t>safety rules</w:t>
      </w:r>
      <w:r w:rsidRPr="0013695C">
        <w:rPr>
          <w:rFonts w:ascii="Arial" w:hAnsi="Arial" w:cs="Arial"/>
          <w:spacing w:val="1"/>
          <w:sz w:val="20"/>
        </w:rPr>
        <w:t xml:space="preserve"> </w:t>
      </w:r>
      <w:r w:rsidRPr="0013695C">
        <w:rPr>
          <w:rFonts w:ascii="Arial" w:hAnsi="Arial" w:cs="Arial"/>
          <w:sz w:val="20"/>
        </w:rPr>
        <w:t>to</w:t>
      </w:r>
      <w:r w:rsidRPr="0013695C">
        <w:rPr>
          <w:rFonts w:ascii="Arial" w:hAnsi="Arial" w:cs="Arial"/>
          <w:spacing w:val="1"/>
          <w:sz w:val="20"/>
        </w:rPr>
        <w:t xml:space="preserve"> </w:t>
      </w:r>
      <w:r w:rsidRPr="0013695C">
        <w:rPr>
          <w:rFonts w:ascii="Arial" w:hAnsi="Arial" w:cs="Arial"/>
          <w:sz w:val="20"/>
        </w:rPr>
        <w:t>be</w:t>
      </w:r>
      <w:r w:rsidRPr="0013695C">
        <w:rPr>
          <w:rFonts w:ascii="Arial" w:hAnsi="Arial" w:cs="Arial"/>
          <w:spacing w:val="1"/>
          <w:sz w:val="20"/>
        </w:rPr>
        <w:t xml:space="preserve"> </w:t>
      </w:r>
      <w:r w:rsidRPr="0013695C">
        <w:rPr>
          <w:rFonts w:ascii="Arial" w:hAnsi="Arial" w:cs="Arial"/>
          <w:sz w:val="20"/>
        </w:rPr>
        <w:t>able</w:t>
      </w:r>
      <w:r w:rsidRPr="0013695C">
        <w:rPr>
          <w:rFonts w:ascii="Arial" w:hAnsi="Arial" w:cs="Arial"/>
          <w:spacing w:val="1"/>
          <w:sz w:val="20"/>
        </w:rPr>
        <w:t xml:space="preserve"> </w:t>
      </w:r>
      <w:r w:rsidRPr="0013695C">
        <w:rPr>
          <w:rFonts w:ascii="Arial" w:hAnsi="Arial" w:cs="Arial"/>
          <w:sz w:val="20"/>
        </w:rPr>
        <w:t>to exercise</w:t>
      </w:r>
      <w:r w:rsidRPr="0013695C">
        <w:rPr>
          <w:rFonts w:ascii="Arial" w:hAnsi="Arial" w:cs="Arial"/>
          <w:spacing w:val="1"/>
          <w:sz w:val="20"/>
        </w:rPr>
        <w:t xml:space="preserve"> </w:t>
      </w:r>
      <w:r w:rsidRPr="0013695C">
        <w:rPr>
          <w:rFonts w:ascii="Arial" w:hAnsi="Arial" w:cs="Arial"/>
          <w:sz w:val="20"/>
        </w:rPr>
        <w:t>his</w:t>
      </w:r>
      <w:r w:rsidRPr="0013695C">
        <w:rPr>
          <w:rFonts w:ascii="Arial" w:hAnsi="Arial" w:cs="Arial"/>
          <w:spacing w:val="1"/>
          <w:sz w:val="20"/>
        </w:rPr>
        <w:t xml:space="preserve"> </w:t>
      </w:r>
      <w:r w:rsidRPr="0013695C">
        <w:rPr>
          <w:rFonts w:ascii="Arial" w:hAnsi="Arial" w:cs="Arial"/>
          <w:sz w:val="20"/>
        </w:rPr>
        <w:t>or</w:t>
      </w:r>
      <w:r w:rsidRPr="0013695C">
        <w:rPr>
          <w:rFonts w:ascii="Arial" w:hAnsi="Arial" w:cs="Arial"/>
          <w:spacing w:val="1"/>
          <w:sz w:val="20"/>
        </w:rPr>
        <w:t xml:space="preserve"> </w:t>
      </w:r>
      <w:r w:rsidRPr="0013695C">
        <w:rPr>
          <w:rFonts w:ascii="Arial" w:hAnsi="Arial" w:cs="Arial"/>
          <w:sz w:val="20"/>
        </w:rPr>
        <w:t>her</w:t>
      </w:r>
      <w:r w:rsidRPr="0013695C">
        <w:rPr>
          <w:rFonts w:ascii="Arial" w:hAnsi="Arial" w:cs="Arial"/>
          <w:spacing w:val="1"/>
          <w:sz w:val="20"/>
        </w:rPr>
        <w:t xml:space="preserve"> </w:t>
      </w:r>
      <w:r w:rsidRPr="0013695C">
        <w:rPr>
          <w:rFonts w:ascii="Arial" w:hAnsi="Arial" w:cs="Arial"/>
          <w:sz w:val="20"/>
        </w:rPr>
        <w:t>instructional</w:t>
      </w:r>
      <w:r w:rsidRPr="0013695C">
        <w:rPr>
          <w:rFonts w:ascii="Arial" w:hAnsi="Arial" w:cs="Arial"/>
          <w:spacing w:val="1"/>
          <w:sz w:val="20"/>
        </w:rPr>
        <w:t xml:space="preserve"> </w:t>
      </w:r>
      <w:r w:rsidRPr="0013695C">
        <w:rPr>
          <w:rFonts w:ascii="Arial" w:hAnsi="Arial" w:cs="Arial"/>
          <w:sz w:val="20"/>
        </w:rPr>
        <w:t>privileges</w:t>
      </w:r>
      <w:r w:rsidRPr="0013695C">
        <w:rPr>
          <w:rFonts w:ascii="Arial" w:hAnsi="Arial" w:cs="Arial"/>
          <w:spacing w:val="1"/>
          <w:sz w:val="20"/>
        </w:rPr>
        <w:t xml:space="preserve"> </w:t>
      </w:r>
      <w:r w:rsidRPr="0013695C">
        <w:rPr>
          <w:rFonts w:ascii="Arial" w:hAnsi="Arial" w:cs="Arial"/>
          <w:sz w:val="20"/>
        </w:rPr>
        <w:t>in</w:t>
      </w:r>
      <w:r w:rsidRPr="0013695C">
        <w:rPr>
          <w:rFonts w:ascii="Arial" w:hAnsi="Arial" w:cs="Arial"/>
          <w:spacing w:val="-3"/>
          <w:sz w:val="20"/>
        </w:rPr>
        <w:t xml:space="preserve"> </w:t>
      </w:r>
      <w:r w:rsidRPr="0013695C">
        <w:rPr>
          <w:rFonts w:ascii="Arial" w:hAnsi="Arial" w:cs="Arial"/>
          <w:sz w:val="20"/>
        </w:rPr>
        <w:t>accordance</w:t>
      </w:r>
      <w:r w:rsidRPr="0013695C">
        <w:rPr>
          <w:rFonts w:ascii="Arial" w:hAnsi="Arial" w:cs="Arial"/>
          <w:spacing w:val="-2"/>
          <w:sz w:val="20"/>
        </w:rPr>
        <w:t xml:space="preserve"> </w:t>
      </w:r>
      <w:r w:rsidRPr="0013695C">
        <w:rPr>
          <w:rFonts w:ascii="Arial" w:hAnsi="Arial" w:cs="Arial"/>
          <w:sz w:val="20"/>
        </w:rPr>
        <w:t>with this Annex.</w:t>
      </w:r>
    </w:p>
    <w:p w14:paraId="6356F005" w14:textId="77777777" w:rsidR="0013695C" w:rsidRPr="0013695C" w:rsidRDefault="0013695C" w:rsidP="004F6505">
      <w:pPr>
        <w:pStyle w:val="ListParagraph"/>
        <w:numPr>
          <w:ilvl w:val="1"/>
          <w:numId w:val="219"/>
        </w:numPr>
        <w:tabs>
          <w:tab w:val="left" w:pos="1274"/>
        </w:tabs>
        <w:spacing w:before="118" w:line="276" w:lineRule="auto"/>
        <w:ind w:hanging="568"/>
        <w:jc w:val="both"/>
        <w:rPr>
          <w:rFonts w:ascii="Arial" w:hAnsi="Arial" w:cs="Arial"/>
          <w:sz w:val="20"/>
        </w:rPr>
      </w:pPr>
      <w:r w:rsidRPr="0013695C">
        <w:rPr>
          <w:rFonts w:ascii="Arial" w:hAnsi="Arial" w:cs="Arial"/>
          <w:sz w:val="20"/>
        </w:rPr>
        <w:t>The</w:t>
      </w:r>
      <w:r w:rsidRPr="0013695C">
        <w:rPr>
          <w:rFonts w:ascii="Arial" w:hAnsi="Arial" w:cs="Arial"/>
          <w:spacing w:val="-2"/>
          <w:sz w:val="20"/>
        </w:rPr>
        <w:t xml:space="preserve"> </w:t>
      </w:r>
      <w:r w:rsidRPr="0013695C">
        <w:rPr>
          <w:rFonts w:ascii="Arial" w:hAnsi="Arial" w:cs="Arial"/>
          <w:sz w:val="20"/>
        </w:rPr>
        <w:t>certificate</w:t>
      </w:r>
      <w:r w:rsidRPr="0013695C">
        <w:rPr>
          <w:rFonts w:ascii="Arial" w:hAnsi="Arial" w:cs="Arial"/>
          <w:spacing w:val="-1"/>
          <w:sz w:val="20"/>
        </w:rPr>
        <w:t xml:space="preserve"> </w:t>
      </w:r>
      <w:r w:rsidRPr="0013695C">
        <w:rPr>
          <w:rFonts w:ascii="Arial" w:hAnsi="Arial" w:cs="Arial"/>
          <w:sz w:val="20"/>
        </w:rPr>
        <w:t>shall</w:t>
      </w:r>
      <w:r w:rsidRPr="0013695C">
        <w:rPr>
          <w:rFonts w:ascii="Arial" w:hAnsi="Arial" w:cs="Arial"/>
          <w:spacing w:val="-3"/>
          <w:sz w:val="20"/>
        </w:rPr>
        <w:t xml:space="preserve"> </w:t>
      </w:r>
      <w:r w:rsidRPr="0013695C">
        <w:rPr>
          <w:rFonts w:ascii="Arial" w:hAnsi="Arial" w:cs="Arial"/>
          <w:sz w:val="20"/>
        </w:rPr>
        <w:t>be</w:t>
      </w:r>
      <w:r w:rsidRPr="0013695C">
        <w:rPr>
          <w:rFonts w:ascii="Arial" w:hAnsi="Arial" w:cs="Arial"/>
          <w:spacing w:val="-4"/>
          <w:sz w:val="20"/>
        </w:rPr>
        <w:t xml:space="preserve"> </w:t>
      </w:r>
      <w:r w:rsidRPr="0013695C">
        <w:rPr>
          <w:rFonts w:ascii="Arial" w:hAnsi="Arial" w:cs="Arial"/>
          <w:sz w:val="20"/>
        </w:rPr>
        <w:t>limited</w:t>
      </w:r>
      <w:r w:rsidRPr="0013695C">
        <w:rPr>
          <w:rFonts w:ascii="Arial" w:hAnsi="Arial" w:cs="Arial"/>
          <w:spacing w:val="-3"/>
          <w:sz w:val="20"/>
        </w:rPr>
        <w:t xml:space="preserve"> </w:t>
      </w:r>
      <w:r w:rsidRPr="0013695C">
        <w:rPr>
          <w:rFonts w:ascii="Arial" w:hAnsi="Arial" w:cs="Arial"/>
          <w:sz w:val="20"/>
        </w:rPr>
        <w:t>to</w:t>
      </w:r>
      <w:r w:rsidRPr="0013695C">
        <w:rPr>
          <w:rFonts w:ascii="Arial" w:hAnsi="Arial" w:cs="Arial"/>
          <w:spacing w:val="-1"/>
          <w:sz w:val="20"/>
        </w:rPr>
        <w:t xml:space="preserve"> </w:t>
      </w:r>
      <w:r w:rsidRPr="0013695C">
        <w:rPr>
          <w:rFonts w:ascii="Arial" w:hAnsi="Arial" w:cs="Arial"/>
          <w:sz w:val="20"/>
        </w:rPr>
        <w:t>the provision of</w:t>
      </w:r>
      <w:r w:rsidRPr="0013695C">
        <w:rPr>
          <w:rFonts w:ascii="Arial" w:hAnsi="Arial" w:cs="Arial"/>
          <w:spacing w:val="-5"/>
          <w:sz w:val="20"/>
        </w:rPr>
        <w:t xml:space="preserve"> </w:t>
      </w:r>
      <w:r w:rsidRPr="0013695C">
        <w:rPr>
          <w:rFonts w:ascii="Arial" w:hAnsi="Arial" w:cs="Arial"/>
          <w:sz w:val="20"/>
        </w:rPr>
        <w:t>approved</w:t>
      </w:r>
      <w:r w:rsidRPr="0013695C">
        <w:rPr>
          <w:rFonts w:ascii="Arial" w:hAnsi="Arial" w:cs="Arial"/>
          <w:spacing w:val="-1"/>
          <w:sz w:val="20"/>
        </w:rPr>
        <w:t xml:space="preserve"> </w:t>
      </w:r>
      <w:r w:rsidRPr="0013695C">
        <w:rPr>
          <w:rFonts w:ascii="Arial" w:hAnsi="Arial" w:cs="Arial"/>
          <w:sz w:val="20"/>
        </w:rPr>
        <w:t>flight</w:t>
      </w:r>
      <w:r w:rsidRPr="0013695C">
        <w:rPr>
          <w:rFonts w:ascii="Arial" w:hAnsi="Arial" w:cs="Arial"/>
          <w:spacing w:val="-2"/>
          <w:sz w:val="20"/>
        </w:rPr>
        <w:t xml:space="preserve"> </w:t>
      </w:r>
      <w:r w:rsidRPr="0013695C">
        <w:rPr>
          <w:rFonts w:ascii="Arial" w:hAnsi="Arial" w:cs="Arial"/>
          <w:sz w:val="20"/>
        </w:rPr>
        <w:t>instruction:</w:t>
      </w:r>
    </w:p>
    <w:p w14:paraId="1942EA2D" w14:textId="0B38F6CA" w:rsidR="0013695C" w:rsidRPr="0013695C" w:rsidRDefault="0013695C" w:rsidP="004F6505">
      <w:pPr>
        <w:pStyle w:val="ListParagraph"/>
        <w:numPr>
          <w:ilvl w:val="2"/>
          <w:numId w:val="219"/>
        </w:numPr>
        <w:tabs>
          <w:tab w:val="left" w:pos="1842"/>
        </w:tabs>
        <w:spacing w:before="121" w:line="276" w:lineRule="auto"/>
        <w:ind w:right="194"/>
        <w:jc w:val="both"/>
        <w:rPr>
          <w:rFonts w:ascii="Arial" w:hAnsi="Arial" w:cs="Arial"/>
          <w:sz w:val="20"/>
        </w:rPr>
      </w:pPr>
      <w:r w:rsidRPr="0013695C">
        <w:rPr>
          <w:rFonts w:ascii="Arial" w:hAnsi="Arial" w:cs="Arial"/>
          <w:sz w:val="20"/>
        </w:rPr>
        <w:t xml:space="preserve">outside the territory for which </w:t>
      </w:r>
      <w:r w:rsidR="005F5690">
        <w:rPr>
          <w:rFonts w:ascii="Arial" w:hAnsi="Arial" w:cs="Arial"/>
          <w:sz w:val="20"/>
        </w:rPr>
        <w:t xml:space="preserve">the Republic of Armenia is </w:t>
      </w:r>
      <w:r w:rsidRPr="0013695C">
        <w:rPr>
          <w:rFonts w:ascii="Arial" w:hAnsi="Arial" w:cs="Arial"/>
          <w:sz w:val="20"/>
        </w:rPr>
        <w:t>responsible under the Chicago</w:t>
      </w:r>
      <w:r w:rsidRPr="0013695C">
        <w:rPr>
          <w:rFonts w:ascii="Arial" w:hAnsi="Arial" w:cs="Arial"/>
          <w:spacing w:val="1"/>
          <w:sz w:val="20"/>
        </w:rPr>
        <w:t xml:space="preserve"> </w:t>
      </w:r>
      <w:r w:rsidRPr="0013695C">
        <w:rPr>
          <w:rFonts w:ascii="Arial" w:hAnsi="Arial" w:cs="Arial"/>
          <w:sz w:val="20"/>
        </w:rPr>
        <w:t>Convention;</w:t>
      </w:r>
      <w:r w:rsidRPr="0013695C">
        <w:rPr>
          <w:rFonts w:ascii="Arial" w:hAnsi="Arial" w:cs="Arial"/>
          <w:spacing w:val="-1"/>
          <w:sz w:val="20"/>
        </w:rPr>
        <w:t xml:space="preserve"> </w:t>
      </w:r>
      <w:r w:rsidRPr="0013695C">
        <w:rPr>
          <w:rFonts w:ascii="Arial" w:hAnsi="Arial" w:cs="Arial"/>
          <w:sz w:val="20"/>
        </w:rPr>
        <w:t>and</w:t>
      </w:r>
    </w:p>
    <w:p w14:paraId="371E8B94" w14:textId="77777777" w:rsidR="0013695C" w:rsidRPr="0013695C" w:rsidRDefault="0013695C" w:rsidP="004F6505">
      <w:pPr>
        <w:pStyle w:val="ListParagraph"/>
        <w:numPr>
          <w:ilvl w:val="2"/>
          <w:numId w:val="219"/>
        </w:numPr>
        <w:tabs>
          <w:tab w:val="left" w:pos="1842"/>
        </w:tabs>
        <w:spacing w:line="276" w:lineRule="auto"/>
        <w:ind w:right="197"/>
        <w:jc w:val="both"/>
        <w:rPr>
          <w:rFonts w:ascii="Arial" w:hAnsi="Arial" w:cs="Arial"/>
          <w:sz w:val="20"/>
        </w:rPr>
      </w:pPr>
      <w:r w:rsidRPr="0013695C">
        <w:rPr>
          <w:rFonts w:ascii="Arial" w:hAnsi="Arial" w:cs="Arial"/>
          <w:sz w:val="20"/>
        </w:rPr>
        <w:t>to a student pilot who has sufficient knowledge of the language in which flight</w:t>
      </w:r>
      <w:r w:rsidRPr="0013695C">
        <w:rPr>
          <w:rFonts w:ascii="Arial" w:hAnsi="Arial" w:cs="Arial"/>
          <w:spacing w:val="1"/>
          <w:sz w:val="20"/>
        </w:rPr>
        <w:t xml:space="preserve"> </w:t>
      </w:r>
      <w:r w:rsidRPr="0013695C">
        <w:rPr>
          <w:rFonts w:ascii="Arial" w:hAnsi="Arial" w:cs="Arial"/>
          <w:sz w:val="20"/>
        </w:rPr>
        <w:t>instruction</w:t>
      </w:r>
      <w:r w:rsidRPr="0013695C">
        <w:rPr>
          <w:rFonts w:ascii="Arial" w:hAnsi="Arial" w:cs="Arial"/>
          <w:spacing w:val="-2"/>
          <w:sz w:val="20"/>
        </w:rPr>
        <w:t xml:space="preserve"> </w:t>
      </w:r>
      <w:r w:rsidRPr="0013695C">
        <w:rPr>
          <w:rFonts w:ascii="Arial" w:hAnsi="Arial" w:cs="Arial"/>
          <w:sz w:val="20"/>
        </w:rPr>
        <w:t>is</w:t>
      </w:r>
      <w:r w:rsidRPr="0013695C">
        <w:rPr>
          <w:rFonts w:ascii="Arial" w:hAnsi="Arial" w:cs="Arial"/>
          <w:spacing w:val="-2"/>
          <w:sz w:val="20"/>
        </w:rPr>
        <w:t xml:space="preserve"> </w:t>
      </w:r>
      <w:r w:rsidRPr="0013695C">
        <w:rPr>
          <w:rFonts w:ascii="Arial" w:hAnsi="Arial" w:cs="Arial"/>
          <w:sz w:val="20"/>
        </w:rPr>
        <w:t>provided.</w:t>
      </w:r>
    </w:p>
    <w:p w14:paraId="29DD6E54" w14:textId="77777777" w:rsidR="00201EF4" w:rsidRDefault="00201EF4" w:rsidP="00FF5E02">
      <w:pPr>
        <w:tabs>
          <w:tab w:val="left" w:pos="706"/>
          <w:tab w:val="left" w:pos="707"/>
        </w:tabs>
        <w:jc w:val="both"/>
        <w:rPr>
          <w:rFonts w:ascii="Arial" w:hAnsi="Arial" w:cs="Arial"/>
          <w:sz w:val="20"/>
        </w:rPr>
      </w:pPr>
    </w:p>
    <w:p w14:paraId="2EDE63E2" w14:textId="77777777" w:rsidR="0013695C" w:rsidRDefault="0013695C" w:rsidP="00FF5E02">
      <w:pPr>
        <w:tabs>
          <w:tab w:val="left" w:pos="706"/>
          <w:tab w:val="left" w:pos="707"/>
        </w:tabs>
        <w:jc w:val="both"/>
        <w:rPr>
          <w:rFonts w:ascii="Arial" w:hAnsi="Arial" w:cs="Arial"/>
          <w:sz w:val="20"/>
        </w:rPr>
      </w:pPr>
    </w:p>
    <w:p w14:paraId="24AAA700" w14:textId="77777777" w:rsidR="0013695C" w:rsidRDefault="0013695C" w:rsidP="00FF5E02">
      <w:pPr>
        <w:tabs>
          <w:tab w:val="left" w:pos="706"/>
          <w:tab w:val="left" w:pos="707"/>
        </w:tabs>
        <w:jc w:val="both"/>
        <w:rPr>
          <w:rFonts w:ascii="Arial" w:hAnsi="Arial" w:cs="Arial"/>
          <w:sz w:val="20"/>
        </w:rPr>
      </w:pPr>
    </w:p>
    <w:p w14:paraId="41D572EE" w14:textId="77777777" w:rsidR="0013695C" w:rsidRDefault="0013695C" w:rsidP="00FF5E02">
      <w:pPr>
        <w:tabs>
          <w:tab w:val="left" w:pos="706"/>
          <w:tab w:val="left" w:pos="707"/>
        </w:tabs>
        <w:jc w:val="both"/>
        <w:rPr>
          <w:rFonts w:ascii="Arial" w:hAnsi="Arial" w:cs="Arial"/>
          <w:sz w:val="20"/>
        </w:rPr>
      </w:pPr>
    </w:p>
    <w:p w14:paraId="34A6FCB0" w14:textId="77777777" w:rsidR="0013695C" w:rsidRDefault="0013695C" w:rsidP="00FF5E02">
      <w:pPr>
        <w:tabs>
          <w:tab w:val="left" w:pos="706"/>
          <w:tab w:val="left" w:pos="707"/>
        </w:tabs>
        <w:jc w:val="both"/>
        <w:rPr>
          <w:rFonts w:ascii="Arial" w:hAnsi="Arial" w:cs="Arial"/>
          <w:sz w:val="20"/>
        </w:rPr>
      </w:pPr>
    </w:p>
    <w:p w14:paraId="0538B8D1" w14:textId="77777777" w:rsidR="0013695C" w:rsidRDefault="0013695C" w:rsidP="00FF5E02">
      <w:pPr>
        <w:tabs>
          <w:tab w:val="left" w:pos="706"/>
          <w:tab w:val="left" w:pos="707"/>
        </w:tabs>
        <w:jc w:val="both"/>
        <w:rPr>
          <w:rFonts w:ascii="Arial" w:hAnsi="Arial" w:cs="Arial"/>
          <w:sz w:val="20"/>
        </w:rPr>
      </w:pPr>
    </w:p>
    <w:p w14:paraId="6C16EB56" w14:textId="77777777" w:rsidR="0013695C" w:rsidRDefault="0013695C" w:rsidP="00FF5E02">
      <w:pPr>
        <w:tabs>
          <w:tab w:val="left" w:pos="706"/>
          <w:tab w:val="left" w:pos="707"/>
        </w:tabs>
        <w:jc w:val="both"/>
        <w:rPr>
          <w:rFonts w:ascii="Arial" w:hAnsi="Arial" w:cs="Arial"/>
          <w:sz w:val="20"/>
        </w:rPr>
      </w:pPr>
    </w:p>
    <w:p w14:paraId="464F3209" w14:textId="77777777" w:rsidR="0013695C" w:rsidRDefault="0013695C" w:rsidP="00FF5E02">
      <w:pPr>
        <w:tabs>
          <w:tab w:val="left" w:pos="706"/>
          <w:tab w:val="left" w:pos="707"/>
        </w:tabs>
        <w:jc w:val="both"/>
        <w:rPr>
          <w:rFonts w:ascii="Arial" w:hAnsi="Arial" w:cs="Arial"/>
          <w:sz w:val="20"/>
        </w:rPr>
      </w:pPr>
    </w:p>
    <w:p w14:paraId="673F5D68" w14:textId="77777777" w:rsidR="0013695C" w:rsidRDefault="0013695C" w:rsidP="00FF5E02">
      <w:pPr>
        <w:tabs>
          <w:tab w:val="left" w:pos="706"/>
          <w:tab w:val="left" w:pos="707"/>
        </w:tabs>
        <w:jc w:val="both"/>
        <w:rPr>
          <w:rFonts w:ascii="Arial" w:hAnsi="Arial" w:cs="Arial"/>
          <w:sz w:val="20"/>
        </w:rPr>
      </w:pPr>
    </w:p>
    <w:p w14:paraId="04EF4C55" w14:textId="77777777" w:rsidR="0013695C" w:rsidRDefault="0013695C" w:rsidP="00FF5E02">
      <w:pPr>
        <w:tabs>
          <w:tab w:val="left" w:pos="706"/>
          <w:tab w:val="left" w:pos="707"/>
        </w:tabs>
        <w:jc w:val="both"/>
        <w:rPr>
          <w:rFonts w:ascii="Arial" w:hAnsi="Arial" w:cs="Arial"/>
          <w:sz w:val="20"/>
        </w:rPr>
      </w:pPr>
    </w:p>
    <w:p w14:paraId="6B4FFB6B" w14:textId="77777777" w:rsidR="0013695C" w:rsidRDefault="0013695C" w:rsidP="00FF5E02">
      <w:pPr>
        <w:tabs>
          <w:tab w:val="left" w:pos="706"/>
          <w:tab w:val="left" w:pos="707"/>
        </w:tabs>
        <w:jc w:val="both"/>
        <w:rPr>
          <w:rFonts w:ascii="Arial" w:hAnsi="Arial" w:cs="Arial"/>
          <w:sz w:val="20"/>
        </w:rPr>
      </w:pPr>
    </w:p>
    <w:p w14:paraId="766D2DF5" w14:textId="77777777" w:rsidR="0013695C" w:rsidRDefault="0013695C" w:rsidP="00FF5E02">
      <w:pPr>
        <w:tabs>
          <w:tab w:val="left" w:pos="706"/>
          <w:tab w:val="left" w:pos="707"/>
        </w:tabs>
        <w:jc w:val="both"/>
        <w:rPr>
          <w:rFonts w:ascii="Arial" w:hAnsi="Arial" w:cs="Arial"/>
          <w:sz w:val="20"/>
        </w:rPr>
      </w:pPr>
    </w:p>
    <w:p w14:paraId="5588F408" w14:textId="77777777" w:rsidR="0013695C" w:rsidRDefault="0013695C" w:rsidP="00FF5E02">
      <w:pPr>
        <w:tabs>
          <w:tab w:val="left" w:pos="706"/>
          <w:tab w:val="left" w:pos="707"/>
        </w:tabs>
        <w:jc w:val="both"/>
        <w:rPr>
          <w:rFonts w:ascii="Arial" w:hAnsi="Arial" w:cs="Arial"/>
          <w:sz w:val="20"/>
        </w:rPr>
      </w:pPr>
    </w:p>
    <w:p w14:paraId="0206C3A2" w14:textId="77777777" w:rsidR="0013695C" w:rsidRDefault="0013695C" w:rsidP="00FF5E02">
      <w:pPr>
        <w:tabs>
          <w:tab w:val="left" w:pos="706"/>
          <w:tab w:val="left" w:pos="707"/>
        </w:tabs>
        <w:jc w:val="both"/>
        <w:rPr>
          <w:rFonts w:ascii="Arial" w:hAnsi="Arial" w:cs="Arial"/>
          <w:sz w:val="20"/>
        </w:rPr>
      </w:pPr>
    </w:p>
    <w:p w14:paraId="4175265B" w14:textId="77777777" w:rsidR="0013695C" w:rsidRDefault="0013695C" w:rsidP="00FF5E02">
      <w:pPr>
        <w:tabs>
          <w:tab w:val="left" w:pos="706"/>
          <w:tab w:val="left" w:pos="707"/>
        </w:tabs>
        <w:jc w:val="both"/>
        <w:rPr>
          <w:rFonts w:ascii="Arial" w:hAnsi="Arial" w:cs="Arial"/>
          <w:sz w:val="20"/>
        </w:rPr>
      </w:pPr>
    </w:p>
    <w:p w14:paraId="464D4FC5" w14:textId="77777777" w:rsidR="0013695C" w:rsidRDefault="0013695C" w:rsidP="00FF5E02">
      <w:pPr>
        <w:tabs>
          <w:tab w:val="left" w:pos="706"/>
          <w:tab w:val="left" w:pos="707"/>
        </w:tabs>
        <w:jc w:val="both"/>
        <w:rPr>
          <w:rFonts w:ascii="Arial" w:hAnsi="Arial" w:cs="Arial"/>
          <w:sz w:val="20"/>
        </w:rPr>
      </w:pPr>
    </w:p>
    <w:p w14:paraId="1EFA02D3" w14:textId="77777777" w:rsidR="0013695C" w:rsidRPr="0013695C" w:rsidRDefault="0013695C" w:rsidP="0013695C">
      <w:pPr>
        <w:pStyle w:val="Heading4"/>
        <w:spacing w:line="276" w:lineRule="auto"/>
        <w:jc w:val="center"/>
        <w:rPr>
          <w:rStyle w:val="Heading3Char"/>
          <w:rFonts w:cs="Arial"/>
          <w:i w:val="0"/>
          <w:color w:val="2E74B5" w:themeColor="accent1" w:themeShade="BF"/>
          <w:u w:val="none"/>
        </w:rPr>
      </w:pPr>
      <w:bookmarkStart w:id="699" w:name="_Toc153137447"/>
      <w:r w:rsidRPr="0013695C">
        <w:rPr>
          <w:rStyle w:val="Heading3Char"/>
          <w:rFonts w:cs="Arial"/>
          <w:i w:val="0"/>
          <w:color w:val="2E74B5" w:themeColor="accent1" w:themeShade="BF"/>
          <w:u w:val="none"/>
        </w:rPr>
        <w:lastRenderedPageBreak/>
        <w:t>SECTION 2 – FLIGHT INSTRUCTOR CERTIFICATE FOR BALLOONS – FI(B)</w:t>
      </w:r>
      <w:bookmarkEnd w:id="699"/>
    </w:p>
    <w:p w14:paraId="784B0C5A" w14:textId="77777777" w:rsidR="0013695C" w:rsidRPr="0013695C" w:rsidRDefault="0013695C" w:rsidP="0013695C">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700" w:name="BFCL.315__FI(B)_certificate_–_Privileges"/>
      <w:bookmarkStart w:id="701" w:name="_bookmark283"/>
      <w:bookmarkStart w:id="702" w:name="_Toc153137448"/>
      <w:bookmarkEnd w:id="700"/>
      <w:bookmarkEnd w:id="701"/>
      <w:r w:rsidRPr="0013695C">
        <w:rPr>
          <w:rFonts w:ascii="Arial" w:eastAsia="Times New Roman" w:hAnsi="Arial" w:cs="Times New Roman"/>
          <w:b/>
          <w:iCs/>
          <w:color w:val="FFFFFF"/>
          <w:sz w:val="24"/>
        </w:rPr>
        <w:t>BFCL.315 FI(B) certificate – Privileges and conditions</w:t>
      </w:r>
      <w:bookmarkEnd w:id="702"/>
    </w:p>
    <w:p w14:paraId="7225BF45" w14:textId="77777777" w:rsidR="0013695C" w:rsidRPr="0013695C" w:rsidRDefault="0013695C" w:rsidP="003F6C42">
      <w:pPr>
        <w:numPr>
          <w:ilvl w:val="0"/>
          <w:numId w:val="220"/>
        </w:numPr>
        <w:tabs>
          <w:tab w:val="left" w:pos="706"/>
          <w:tab w:val="left" w:pos="707"/>
        </w:tabs>
        <w:spacing w:before="117" w:line="276" w:lineRule="auto"/>
        <w:ind w:right="68"/>
        <w:jc w:val="both"/>
        <w:rPr>
          <w:rFonts w:ascii="Arial" w:hAnsi="Arial" w:cs="Arial"/>
          <w:sz w:val="20"/>
        </w:rPr>
      </w:pPr>
      <w:r w:rsidRPr="0013695C">
        <w:rPr>
          <w:rFonts w:ascii="Arial" w:hAnsi="Arial" w:cs="Arial"/>
          <w:sz w:val="20"/>
        </w:rPr>
        <w:t>Subject</w:t>
      </w:r>
      <w:r w:rsidRPr="0013695C">
        <w:rPr>
          <w:rFonts w:ascii="Arial" w:hAnsi="Arial" w:cs="Arial"/>
          <w:spacing w:val="7"/>
          <w:sz w:val="20"/>
        </w:rPr>
        <w:t xml:space="preserve"> </w:t>
      </w:r>
      <w:r w:rsidRPr="0013695C">
        <w:rPr>
          <w:rFonts w:ascii="Arial" w:hAnsi="Arial" w:cs="Arial"/>
          <w:sz w:val="20"/>
        </w:rPr>
        <w:t>to</w:t>
      </w:r>
      <w:r w:rsidRPr="0013695C">
        <w:rPr>
          <w:rFonts w:ascii="Arial" w:hAnsi="Arial" w:cs="Arial"/>
          <w:spacing w:val="5"/>
          <w:sz w:val="20"/>
        </w:rPr>
        <w:t xml:space="preserve"> </w:t>
      </w:r>
      <w:r w:rsidRPr="0013695C">
        <w:rPr>
          <w:rFonts w:ascii="Arial" w:hAnsi="Arial" w:cs="Arial"/>
          <w:sz w:val="20"/>
        </w:rPr>
        <w:t>compliance</w:t>
      </w:r>
      <w:r w:rsidRPr="0013695C">
        <w:rPr>
          <w:rFonts w:ascii="Arial" w:hAnsi="Arial" w:cs="Arial"/>
          <w:spacing w:val="4"/>
          <w:sz w:val="20"/>
        </w:rPr>
        <w:t xml:space="preserve"> </w:t>
      </w:r>
      <w:r w:rsidRPr="0013695C">
        <w:rPr>
          <w:rFonts w:ascii="Arial" w:hAnsi="Arial" w:cs="Arial"/>
          <w:sz w:val="20"/>
        </w:rPr>
        <w:t>of</w:t>
      </w:r>
      <w:r w:rsidRPr="0013695C">
        <w:rPr>
          <w:rFonts w:ascii="Arial" w:hAnsi="Arial" w:cs="Arial"/>
          <w:spacing w:val="6"/>
          <w:sz w:val="20"/>
        </w:rPr>
        <w:t xml:space="preserve"> </w:t>
      </w:r>
      <w:r w:rsidRPr="0013695C">
        <w:rPr>
          <w:rFonts w:ascii="Arial" w:hAnsi="Arial" w:cs="Arial"/>
          <w:sz w:val="20"/>
        </w:rPr>
        <w:t>applicants</w:t>
      </w:r>
      <w:r w:rsidRPr="0013695C">
        <w:rPr>
          <w:rFonts w:ascii="Arial" w:hAnsi="Arial" w:cs="Arial"/>
          <w:spacing w:val="7"/>
          <w:sz w:val="20"/>
        </w:rPr>
        <w:t xml:space="preserve"> </w:t>
      </w:r>
      <w:r w:rsidRPr="0013695C">
        <w:rPr>
          <w:rFonts w:ascii="Arial" w:hAnsi="Arial" w:cs="Arial"/>
          <w:sz w:val="20"/>
        </w:rPr>
        <w:t>with</w:t>
      </w:r>
      <w:r w:rsidRPr="0013695C">
        <w:rPr>
          <w:rFonts w:ascii="Arial" w:hAnsi="Arial" w:cs="Arial"/>
          <w:spacing w:val="4"/>
          <w:sz w:val="20"/>
        </w:rPr>
        <w:t xml:space="preserve"> </w:t>
      </w:r>
      <w:r w:rsidRPr="0013695C">
        <w:rPr>
          <w:rFonts w:ascii="Arial" w:hAnsi="Arial" w:cs="Arial"/>
          <w:sz w:val="20"/>
        </w:rPr>
        <w:t>point</w:t>
      </w:r>
      <w:r w:rsidRPr="0013695C">
        <w:rPr>
          <w:rFonts w:ascii="Arial" w:hAnsi="Arial" w:cs="Arial"/>
          <w:spacing w:val="4"/>
          <w:sz w:val="20"/>
        </w:rPr>
        <w:t xml:space="preserve"> </w:t>
      </w:r>
      <w:r w:rsidRPr="0013695C">
        <w:rPr>
          <w:rFonts w:ascii="Arial" w:hAnsi="Arial" w:cs="Arial"/>
          <w:sz w:val="20"/>
        </w:rPr>
        <w:t>BFCL.320</w:t>
      </w:r>
      <w:r w:rsidRPr="0013695C">
        <w:rPr>
          <w:rFonts w:ascii="Arial" w:hAnsi="Arial" w:cs="Arial"/>
          <w:spacing w:val="5"/>
          <w:sz w:val="20"/>
        </w:rPr>
        <w:t xml:space="preserve"> </w:t>
      </w:r>
      <w:r w:rsidRPr="0013695C">
        <w:rPr>
          <w:rFonts w:ascii="Arial" w:hAnsi="Arial" w:cs="Arial"/>
          <w:sz w:val="20"/>
        </w:rPr>
        <w:t>and</w:t>
      </w:r>
      <w:r w:rsidRPr="0013695C">
        <w:rPr>
          <w:rFonts w:ascii="Arial" w:hAnsi="Arial" w:cs="Arial"/>
          <w:spacing w:val="5"/>
          <w:sz w:val="20"/>
        </w:rPr>
        <w:t xml:space="preserve"> </w:t>
      </w:r>
      <w:r w:rsidRPr="0013695C">
        <w:rPr>
          <w:rFonts w:ascii="Arial" w:hAnsi="Arial" w:cs="Arial"/>
          <w:sz w:val="20"/>
        </w:rPr>
        <w:t>with</w:t>
      </w:r>
      <w:r w:rsidRPr="0013695C">
        <w:rPr>
          <w:rFonts w:ascii="Arial" w:hAnsi="Arial" w:cs="Arial"/>
          <w:spacing w:val="5"/>
          <w:sz w:val="20"/>
        </w:rPr>
        <w:t xml:space="preserve"> </w:t>
      </w:r>
      <w:r w:rsidRPr="0013695C">
        <w:rPr>
          <w:rFonts w:ascii="Arial" w:hAnsi="Arial" w:cs="Arial"/>
          <w:sz w:val="20"/>
        </w:rPr>
        <w:t>the</w:t>
      </w:r>
      <w:r w:rsidRPr="0013695C">
        <w:rPr>
          <w:rFonts w:ascii="Arial" w:hAnsi="Arial" w:cs="Arial"/>
          <w:spacing w:val="4"/>
          <w:sz w:val="20"/>
        </w:rPr>
        <w:t xml:space="preserve"> </w:t>
      </w:r>
      <w:r w:rsidRPr="0013695C">
        <w:rPr>
          <w:rFonts w:ascii="Arial" w:hAnsi="Arial" w:cs="Arial"/>
          <w:sz w:val="20"/>
        </w:rPr>
        <w:t>following</w:t>
      </w:r>
      <w:r w:rsidRPr="0013695C">
        <w:rPr>
          <w:rFonts w:ascii="Arial" w:hAnsi="Arial" w:cs="Arial"/>
          <w:spacing w:val="2"/>
          <w:sz w:val="20"/>
        </w:rPr>
        <w:t xml:space="preserve"> </w:t>
      </w:r>
      <w:r w:rsidRPr="0013695C">
        <w:rPr>
          <w:rFonts w:ascii="Arial" w:hAnsi="Arial" w:cs="Arial"/>
          <w:sz w:val="20"/>
        </w:rPr>
        <w:t>conditions,</w:t>
      </w:r>
      <w:r w:rsidRPr="0013695C">
        <w:rPr>
          <w:rFonts w:ascii="Arial" w:hAnsi="Arial" w:cs="Arial"/>
          <w:spacing w:val="6"/>
          <w:sz w:val="20"/>
        </w:rPr>
        <w:t xml:space="preserve"> </w:t>
      </w:r>
      <w:r w:rsidRPr="0013695C">
        <w:rPr>
          <w:rFonts w:ascii="Arial" w:hAnsi="Arial" w:cs="Arial"/>
          <w:sz w:val="20"/>
        </w:rPr>
        <w:t>an</w:t>
      </w:r>
      <w:r w:rsidRPr="0013695C">
        <w:rPr>
          <w:rFonts w:ascii="Arial" w:hAnsi="Arial" w:cs="Arial"/>
          <w:spacing w:val="-47"/>
          <w:sz w:val="20"/>
        </w:rPr>
        <w:t xml:space="preserve"> </w:t>
      </w:r>
      <w:r w:rsidRPr="0013695C">
        <w:rPr>
          <w:rFonts w:ascii="Arial" w:hAnsi="Arial" w:cs="Arial"/>
          <w:sz w:val="20"/>
        </w:rPr>
        <w:t>FI(B)</w:t>
      </w:r>
      <w:r w:rsidRPr="0013695C">
        <w:rPr>
          <w:rFonts w:ascii="Arial" w:hAnsi="Arial" w:cs="Arial"/>
          <w:spacing w:val="-1"/>
          <w:sz w:val="20"/>
        </w:rPr>
        <w:t xml:space="preserve"> </w:t>
      </w:r>
      <w:r w:rsidRPr="0013695C">
        <w:rPr>
          <w:rFonts w:ascii="Arial" w:hAnsi="Arial" w:cs="Arial"/>
          <w:sz w:val="20"/>
        </w:rPr>
        <w:t>certificate</w:t>
      </w:r>
      <w:r w:rsidRPr="0013695C">
        <w:rPr>
          <w:rFonts w:ascii="Arial" w:hAnsi="Arial" w:cs="Arial"/>
          <w:spacing w:val="-3"/>
          <w:sz w:val="20"/>
        </w:rPr>
        <w:t xml:space="preserve"> </w:t>
      </w:r>
      <w:r w:rsidRPr="0013695C">
        <w:rPr>
          <w:rFonts w:ascii="Arial" w:hAnsi="Arial" w:cs="Arial"/>
          <w:sz w:val="20"/>
        </w:rPr>
        <w:t>shall be</w:t>
      </w:r>
      <w:r w:rsidRPr="0013695C">
        <w:rPr>
          <w:rFonts w:ascii="Arial" w:hAnsi="Arial" w:cs="Arial"/>
          <w:spacing w:val="-4"/>
          <w:sz w:val="20"/>
        </w:rPr>
        <w:t xml:space="preserve"> </w:t>
      </w:r>
      <w:r w:rsidRPr="0013695C">
        <w:rPr>
          <w:rFonts w:ascii="Arial" w:hAnsi="Arial" w:cs="Arial"/>
          <w:sz w:val="20"/>
        </w:rPr>
        <w:t>issued with</w:t>
      </w:r>
      <w:r w:rsidRPr="0013695C">
        <w:rPr>
          <w:rFonts w:ascii="Arial" w:hAnsi="Arial" w:cs="Arial"/>
          <w:spacing w:val="-2"/>
          <w:sz w:val="20"/>
        </w:rPr>
        <w:t xml:space="preserve"> </w:t>
      </w:r>
      <w:r w:rsidRPr="0013695C">
        <w:rPr>
          <w:rFonts w:ascii="Arial" w:hAnsi="Arial" w:cs="Arial"/>
          <w:sz w:val="20"/>
        </w:rPr>
        <w:t>privileges</w:t>
      </w:r>
      <w:r w:rsidRPr="0013695C">
        <w:rPr>
          <w:rFonts w:ascii="Arial" w:hAnsi="Arial" w:cs="Arial"/>
          <w:spacing w:val="-2"/>
          <w:sz w:val="20"/>
        </w:rPr>
        <w:t xml:space="preserve"> </w:t>
      </w:r>
      <w:r w:rsidRPr="0013695C">
        <w:rPr>
          <w:rFonts w:ascii="Arial" w:hAnsi="Arial" w:cs="Arial"/>
          <w:sz w:val="20"/>
        </w:rPr>
        <w:t>to</w:t>
      </w:r>
      <w:r w:rsidRPr="0013695C">
        <w:rPr>
          <w:rFonts w:ascii="Arial" w:hAnsi="Arial" w:cs="Arial"/>
          <w:spacing w:val="2"/>
          <w:sz w:val="20"/>
        </w:rPr>
        <w:t xml:space="preserve"> </w:t>
      </w:r>
      <w:r w:rsidRPr="0013695C">
        <w:rPr>
          <w:rFonts w:ascii="Arial" w:hAnsi="Arial" w:cs="Arial"/>
          <w:sz w:val="20"/>
        </w:rPr>
        <w:t>conduct</w:t>
      </w:r>
      <w:r w:rsidRPr="0013695C">
        <w:rPr>
          <w:rFonts w:ascii="Arial" w:hAnsi="Arial" w:cs="Arial"/>
          <w:spacing w:val="1"/>
          <w:sz w:val="20"/>
        </w:rPr>
        <w:t xml:space="preserve"> </w:t>
      </w:r>
      <w:r w:rsidRPr="0013695C">
        <w:rPr>
          <w:rFonts w:ascii="Arial" w:hAnsi="Arial" w:cs="Arial"/>
          <w:sz w:val="20"/>
        </w:rPr>
        <w:t>flight</w:t>
      </w:r>
      <w:r w:rsidRPr="0013695C">
        <w:rPr>
          <w:rFonts w:ascii="Arial" w:hAnsi="Arial" w:cs="Arial"/>
          <w:spacing w:val="-1"/>
          <w:sz w:val="20"/>
        </w:rPr>
        <w:t xml:space="preserve"> </w:t>
      </w:r>
      <w:r w:rsidRPr="0013695C">
        <w:rPr>
          <w:rFonts w:ascii="Arial" w:hAnsi="Arial" w:cs="Arial"/>
          <w:sz w:val="20"/>
        </w:rPr>
        <w:t>instruction</w:t>
      </w:r>
      <w:r w:rsidRPr="0013695C">
        <w:rPr>
          <w:rFonts w:ascii="Arial" w:hAnsi="Arial" w:cs="Arial"/>
          <w:spacing w:val="-1"/>
          <w:sz w:val="20"/>
        </w:rPr>
        <w:t xml:space="preserve"> </w:t>
      </w:r>
      <w:r w:rsidRPr="0013695C">
        <w:rPr>
          <w:rFonts w:ascii="Arial" w:hAnsi="Arial" w:cs="Arial"/>
          <w:sz w:val="20"/>
        </w:rPr>
        <w:t>for:</w:t>
      </w:r>
    </w:p>
    <w:p w14:paraId="2D27AD88" w14:textId="77777777" w:rsidR="0013695C" w:rsidRPr="0013695C" w:rsidRDefault="0013695C" w:rsidP="003F6C42">
      <w:pPr>
        <w:numPr>
          <w:ilvl w:val="1"/>
          <w:numId w:val="220"/>
        </w:numPr>
        <w:tabs>
          <w:tab w:val="left" w:pos="1273"/>
          <w:tab w:val="left" w:pos="1274"/>
        </w:tabs>
        <w:spacing w:before="121" w:line="276" w:lineRule="auto"/>
        <w:ind w:right="68" w:hanging="568"/>
        <w:jc w:val="both"/>
        <w:rPr>
          <w:rFonts w:ascii="Arial" w:hAnsi="Arial" w:cs="Arial"/>
          <w:sz w:val="20"/>
        </w:rPr>
      </w:pPr>
      <w:r w:rsidRPr="0013695C">
        <w:rPr>
          <w:rFonts w:ascii="Arial" w:hAnsi="Arial" w:cs="Arial"/>
          <w:sz w:val="20"/>
        </w:rPr>
        <w:t>a</w:t>
      </w:r>
      <w:r w:rsidRPr="0013695C">
        <w:rPr>
          <w:rFonts w:ascii="Arial" w:hAnsi="Arial" w:cs="Arial"/>
          <w:spacing w:val="-1"/>
          <w:sz w:val="20"/>
        </w:rPr>
        <w:t xml:space="preserve"> </w:t>
      </w:r>
      <w:r w:rsidRPr="0013695C">
        <w:rPr>
          <w:rFonts w:ascii="Arial" w:hAnsi="Arial" w:cs="Arial"/>
          <w:sz w:val="20"/>
        </w:rPr>
        <w:t>BPL;</w:t>
      </w:r>
    </w:p>
    <w:p w14:paraId="663910CC" w14:textId="77777777" w:rsidR="0013695C" w:rsidRPr="0013695C" w:rsidRDefault="0013695C" w:rsidP="003F6C42">
      <w:pPr>
        <w:numPr>
          <w:ilvl w:val="1"/>
          <w:numId w:val="220"/>
        </w:numPr>
        <w:tabs>
          <w:tab w:val="left" w:pos="1273"/>
          <w:tab w:val="left" w:pos="1274"/>
        </w:tabs>
        <w:spacing w:before="120" w:line="276" w:lineRule="auto"/>
        <w:ind w:right="68"/>
        <w:jc w:val="both"/>
        <w:rPr>
          <w:rFonts w:ascii="Arial" w:hAnsi="Arial" w:cs="Arial"/>
          <w:sz w:val="20"/>
        </w:rPr>
      </w:pPr>
      <w:r w:rsidRPr="0013695C">
        <w:rPr>
          <w:rFonts w:ascii="Arial" w:hAnsi="Arial" w:cs="Arial"/>
          <w:sz w:val="20"/>
        </w:rPr>
        <w:t>the</w:t>
      </w:r>
      <w:r w:rsidRPr="0013695C">
        <w:rPr>
          <w:rFonts w:ascii="Arial" w:hAnsi="Arial" w:cs="Arial"/>
          <w:spacing w:val="18"/>
          <w:sz w:val="20"/>
        </w:rPr>
        <w:t xml:space="preserve"> </w:t>
      </w:r>
      <w:r w:rsidRPr="0013695C">
        <w:rPr>
          <w:rFonts w:ascii="Arial" w:hAnsi="Arial" w:cs="Arial"/>
          <w:sz w:val="20"/>
        </w:rPr>
        <w:t>extension</w:t>
      </w:r>
      <w:r w:rsidRPr="0013695C">
        <w:rPr>
          <w:rFonts w:ascii="Arial" w:hAnsi="Arial" w:cs="Arial"/>
          <w:spacing w:val="15"/>
          <w:sz w:val="20"/>
        </w:rPr>
        <w:t xml:space="preserve"> </w:t>
      </w:r>
      <w:r w:rsidRPr="0013695C">
        <w:rPr>
          <w:rFonts w:ascii="Arial" w:hAnsi="Arial" w:cs="Arial"/>
          <w:sz w:val="20"/>
        </w:rPr>
        <w:t>of</w:t>
      </w:r>
      <w:r w:rsidRPr="0013695C">
        <w:rPr>
          <w:rFonts w:ascii="Arial" w:hAnsi="Arial" w:cs="Arial"/>
          <w:spacing w:val="18"/>
          <w:sz w:val="20"/>
        </w:rPr>
        <w:t xml:space="preserve"> </w:t>
      </w:r>
      <w:r w:rsidRPr="0013695C">
        <w:rPr>
          <w:rFonts w:ascii="Arial" w:hAnsi="Arial" w:cs="Arial"/>
          <w:sz w:val="20"/>
        </w:rPr>
        <w:t>privileges</w:t>
      </w:r>
      <w:r w:rsidRPr="0013695C">
        <w:rPr>
          <w:rFonts w:ascii="Arial" w:hAnsi="Arial" w:cs="Arial"/>
          <w:spacing w:val="16"/>
          <w:sz w:val="20"/>
        </w:rPr>
        <w:t xml:space="preserve"> </w:t>
      </w:r>
      <w:r w:rsidRPr="0013695C">
        <w:rPr>
          <w:rFonts w:ascii="Arial" w:hAnsi="Arial" w:cs="Arial"/>
          <w:sz w:val="20"/>
        </w:rPr>
        <w:t>to</w:t>
      </w:r>
      <w:r w:rsidRPr="0013695C">
        <w:rPr>
          <w:rFonts w:ascii="Arial" w:hAnsi="Arial" w:cs="Arial"/>
          <w:spacing w:val="17"/>
          <w:sz w:val="20"/>
        </w:rPr>
        <w:t xml:space="preserve"> </w:t>
      </w:r>
      <w:r w:rsidRPr="0013695C">
        <w:rPr>
          <w:rFonts w:ascii="Arial" w:hAnsi="Arial" w:cs="Arial"/>
          <w:sz w:val="20"/>
        </w:rPr>
        <w:t>further</w:t>
      </w:r>
      <w:r w:rsidRPr="0013695C">
        <w:rPr>
          <w:rFonts w:ascii="Arial" w:hAnsi="Arial" w:cs="Arial"/>
          <w:spacing w:val="15"/>
          <w:sz w:val="20"/>
        </w:rPr>
        <w:t xml:space="preserve"> </w:t>
      </w:r>
      <w:r w:rsidRPr="0013695C">
        <w:rPr>
          <w:rFonts w:ascii="Arial" w:hAnsi="Arial" w:cs="Arial"/>
          <w:sz w:val="20"/>
        </w:rPr>
        <w:t>classes</w:t>
      </w:r>
      <w:r w:rsidRPr="0013695C">
        <w:rPr>
          <w:rFonts w:ascii="Arial" w:hAnsi="Arial" w:cs="Arial"/>
          <w:spacing w:val="20"/>
          <w:sz w:val="20"/>
        </w:rPr>
        <w:t xml:space="preserve"> </w:t>
      </w:r>
      <w:r w:rsidRPr="0013695C">
        <w:rPr>
          <w:rFonts w:ascii="Arial" w:hAnsi="Arial" w:cs="Arial"/>
          <w:sz w:val="20"/>
        </w:rPr>
        <w:t>and</w:t>
      </w:r>
      <w:r w:rsidRPr="0013695C">
        <w:rPr>
          <w:rFonts w:ascii="Arial" w:hAnsi="Arial" w:cs="Arial"/>
          <w:spacing w:val="17"/>
          <w:sz w:val="20"/>
        </w:rPr>
        <w:t xml:space="preserve"> </w:t>
      </w:r>
      <w:r w:rsidRPr="0013695C">
        <w:rPr>
          <w:rFonts w:ascii="Arial" w:hAnsi="Arial" w:cs="Arial"/>
          <w:sz w:val="20"/>
        </w:rPr>
        <w:t>groups</w:t>
      </w:r>
      <w:r w:rsidRPr="0013695C">
        <w:rPr>
          <w:rFonts w:ascii="Arial" w:hAnsi="Arial" w:cs="Arial"/>
          <w:spacing w:val="18"/>
          <w:sz w:val="20"/>
        </w:rPr>
        <w:t xml:space="preserve"> </w:t>
      </w:r>
      <w:r w:rsidRPr="0013695C">
        <w:rPr>
          <w:rFonts w:ascii="Arial" w:hAnsi="Arial" w:cs="Arial"/>
          <w:sz w:val="20"/>
        </w:rPr>
        <w:t>of</w:t>
      </w:r>
      <w:r w:rsidRPr="0013695C">
        <w:rPr>
          <w:rFonts w:ascii="Arial" w:hAnsi="Arial" w:cs="Arial"/>
          <w:spacing w:val="18"/>
          <w:sz w:val="20"/>
        </w:rPr>
        <w:t xml:space="preserve"> </w:t>
      </w:r>
      <w:r w:rsidRPr="0013695C">
        <w:rPr>
          <w:rFonts w:ascii="Arial" w:hAnsi="Arial" w:cs="Arial"/>
          <w:sz w:val="20"/>
        </w:rPr>
        <w:t>balloons</w:t>
      </w:r>
      <w:r w:rsidRPr="0013695C">
        <w:rPr>
          <w:rFonts w:ascii="Arial" w:hAnsi="Arial" w:cs="Arial"/>
          <w:spacing w:val="18"/>
          <w:sz w:val="20"/>
        </w:rPr>
        <w:t xml:space="preserve"> </w:t>
      </w:r>
      <w:r w:rsidRPr="0013695C">
        <w:rPr>
          <w:rFonts w:ascii="Arial" w:hAnsi="Arial" w:cs="Arial"/>
          <w:sz w:val="20"/>
        </w:rPr>
        <w:t>provided</w:t>
      </w:r>
      <w:r w:rsidRPr="0013695C">
        <w:rPr>
          <w:rFonts w:ascii="Arial" w:hAnsi="Arial" w:cs="Arial"/>
          <w:spacing w:val="16"/>
          <w:sz w:val="20"/>
        </w:rPr>
        <w:t xml:space="preserve"> </w:t>
      </w:r>
      <w:r w:rsidRPr="0013695C">
        <w:rPr>
          <w:rFonts w:ascii="Arial" w:hAnsi="Arial" w:cs="Arial"/>
          <w:sz w:val="20"/>
        </w:rPr>
        <w:t>that</w:t>
      </w:r>
      <w:r w:rsidRPr="0013695C">
        <w:rPr>
          <w:rFonts w:ascii="Arial" w:hAnsi="Arial" w:cs="Arial"/>
          <w:spacing w:val="18"/>
          <w:sz w:val="20"/>
        </w:rPr>
        <w:t xml:space="preserve"> </w:t>
      </w:r>
      <w:r w:rsidRPr="0013695C">
        <w:rPr>
          <w:rFonts w:ascii="Arial" w:hAnsi="Arial" w:cs="Arial"/>
          <w:sz w:val="20"/>
        </w:rPr>
        <w:t>the</w:t>
      </w:r>
      <w:r w:rsidRPr="0013695C">
        <w:rPr>
          <w:rFonts w:ascii="Arial" w:hAnsi="Arial" w:cs="Arial"/>
          <w:spacing w:val="-46"/>
          <w:sz w:val="20"/>
        </w:rPr>
        <w:t xml:space="preserve"> </w:t>
      </w:r>
      <w:r w:rsidRPr="0013695C">
        <w:rPr>
          <w:rFonts w:ascii="Arial" w:hAnsi="Arial" w:cs="Arial"/>
          <w:sz w:val="20"/>
        </w:rPr>
        <w:t>applicant</w:t>
      </w:r>
      <w:r w:rsidRPr="0013695C">
        <w:rPr>
          <w:rFonts w:ascii="Arial" w:hAnsi="Arial" w:cs="Arial"/>
          <w:spacing w:val="-1"/>
          <w:sz w:val="20"/>
        </w:rPr>
        <w:t xml:space="preserve"> </w:t>
      </w:r>
      <w:r w:rsidRPr="0013695C">
        <w:rPr>
          <w:rFonts w:ascii="Arial" w:hAnsi="Arial" w:cs="Arial"/>
          <w:sz w:val="20"/>
        </w:rPr>
        <w:t>has completed at</w:t>
      </w:r>
      <w:r w:rsidRPr="0013695C">
        <w:rPr>
          <w:rFonts w:ascii="Arial" w:hAnsi="Arial" w:cs="Arial"/>
          <w:spacing w:val="-3"/>
          <w:sz w:val="20"/>
        </w:rPr>
        <w:t xml:space="preserve"> </w:t>
      </w:r>
      <w:r w:rsidRPr="0013695C">
        <w:rPr>
          <w:rFonts w:ascii="Arial" w:hAnsi="Arial" w:cs="Arial"/>
          <w:sz w:val="20"/>
        </w:rPr>
        <w:t>least</w:t>
      </w:r>
      <w:r w:rsidRPr="0013695C">
        <w:rPr>
          <w:rFonts w:ascii="Arial" w:hAnsi="Arial" w:cs="Arial"/>
          <w:spacing w:val="-2"/>
          <w:sz w:val="20"/>
        </w:rPr>
        <w:t xml:space="preserve"> </w:t>
      </w:r>
      <w:r w:rsidRPr="0013695C">
        <w:rPr>
          <w:rFonts w:ascii="Arial" w:hAnsi="Arial" w:cs="Arial"/>
          <w:sz w:val="20"/>
        </w:rPr>
        <w:t>15</w:t>
      </w:r>
      <w:r w:rsidRPr="0013695C">
        <w:rPr>
          <w:rFonts w:ascii="Arial" w:hAnsi="Arial" w:cs="Arial"/>
          <w:spacing w:val="-2"/>
          <w:sz w:val="20"/>
        </w:rPr>
        <w:t xml:space="preserve"> </w:t>
      </w:r>
      <w:r w:rsidRPr="0013695C">
        <w:rPr>
          <w:rFonts w:ascii="Arial" w:hAnsi="Arial" w:cs="Arial"/>
          <w:sz w:val="20"/>
        </w:rPr>
        <w:t>hours</w:t>
      </w:r>
      <w:r w:rsidRPr="0013695C">
        <w:rPr>
          <w:rFonts w:ascii="Arial" w:hAnsi="Arial" w:cs="Arial"/>
          <w:spacing w:val="-4"/>
          <w:sz w:val="20"/>
        </w:rPr>
        <w:t xml:space="preserve"> </w:t>
      </w:r>
      <w:r w:rsidRPr="0013695C">
        <w:rPr>
          <w:rFonts w:ascii="Arial" w:hAnsi="Arial" w:cs="Arial"/>
          <w:sz w:val="20"/>
        </w:rPr>
        <w:t>of</w:t>
      </w:r>
      <w:r w:rsidRPr="0013695C">
        <w:rPr>
          <w:rFonts w:ascii="Arial" w:hAnsi="Arial" w:cs="Arial"/>
          <w:spacing w:val="-3"/>
          <w:sz w:val="20"/>
        </w:rPr>
        <w:t xml:space="preserve"> </w:t>
      </w:r>
      <w:r w:rsidRPr="0013695C">
        <w:rPr>
          <w:rFonts w:ascii="Arial" w:hAnsi="Arial" w:cs="Arial"/>
          <w:sz w:val="20"/>
        </w:rPr>
        <w:t>flight time</w:t>
      </w:r>
      <w:r w:rsidRPr="0013695C">
        <w:rPr>
          <w:rFonts w:ascii="Arial" w:hAnsi="Arial" w:cs="Arial"/>
          <w:spacing w:val="1"/>
          <w:sz w:val="20"/>
        </w:rPr>
        <w:t xml:space="preserve"> </w:t>
      </w:r>
      <w:r w:rsidRPr="0013695C">
        <w:rPr>
          <w:rFonts w:ascii="Arial" w:hAnsi="Arial" w:cs="Arial"/>
          <w:sz w:val="20"/>
        </w:rPr>
        <w:t>as</w:t>
      </w:r>
      <w:r w:rsidRPr="0013695C">
        <w:rPr>
          <w:rFonts w:ascii="Arial" w:hAnsi="Arial" w:cs="Arial"/>
          <w:spacing w:val="-2"/>
          <w:sz w:val="20"/>
        </w:rPr>
        <w:t xml:space="preserve"> </w:t>
      </w:r>
      <w:r w:rsidRPr="0013695C">
        <w:rPr>
          <w:rFonts w:ascii="Arial" w:hAnsi="Arial" w:cs="Arial"/>
          <w:sz w:val="20"/>
        </w:rPr>
        <w:t>PIC in</w:t>
      </w:r>
      <w:r w:rsidRPr="0013695C">
        <w:rPr>
          <w:rFonts w:ascii="Arial" w:hAnsi="Arial" w:cs="Arial"/>
          <w:spacing w:val="-4"/>
          <w:sz w:val="20"/>
        </w:rPr>
        <w:t xml:space="preserve"> </w:t>
      </w:r>
      <w:r w:rsidRPr="0013695C">
        <w:rPr>
          <w:rFonts w:ascii="Arial" w:hAnsi="Arial" w:cs="Arial"/>
          <w:sz w:val="20"/>
        </w:rPr>
        <w:t>each relevant class;</w:t>
      </w:r>
    </w:p>
    <w:p w14:paraId="36464C82" w14:textId="77777777" w:rsidR="0013695C" w:rsidRPr="0013695C" w:rsidRDefault="0013695C" w:rsidP="003F6C42">
      <w:pPr>
        <w:numPr>
          <w:ilvl w:val="1"/>
          <w:numId w:val="220"/>
        </w:numPr>
        <w:tabs>
          <w:tab w:val="left" w:pos="1273"/>
          <w:tab w:val="left" w:pos="1274"/>
        </w:tabs>
        <w:spacing w:before="118" w:line="276" w:lineRule="auto"/>
        <w:ind w:right="68"/>
        <w:jc w:val="both"/>
        <w:rPr>
          <w:rFonts w:ascii="Arial" w:hAnsi="Arial" w:cs="Arial"/>
          <w:sz w:val="20"/>
        </w:rPr>
      </w:pPr>
      <w:r w:rsidRPr="0013695C">
        <w:rPr>
          <w:rFonts w:ascii="Arial" w:hAnsi="Arial" w:cs="Arial"/>
          <w:sz w:val="20"/>
        </w:rPr>
        <w:t>a</w:t>
      </w:r>
      <w:r w:rsidRPr="0013695C">
        <w:rPr>
          <w:rFonts w:ascii="Arial" w:hAnsi="Arial" w:cs="Arial"/>
          <w:spacing w:val="-3"/>
          <w:sz w:val="20"/>
        </w:rPr>
        <w:t xml:space="preserve"> </w:t>
      </w:r>
      <w:r w:rsidRPr="0013695C">
        <w:rPr>
          <w:rFonts w:ascii="Arial" w:hAnsi="Arial" w:cs="Arial"/>
          <w:sz w:val="20"/>
        </w:rPr>
        <w:t>night</w:t>
      </w:r>
      <w:r w:rsidRPr="0013695C">
        <w:rPr>
          <w:rFonts w:ascii="Arial" w:hAnsi="Arial" w:cs="Arial"/>
          <w:spacing w:val="-3"/>
          <w:sz w:val="20"/>
        </w:rPr>
        <w:t xml:space="preserve"> </w:t>
      </w:r>
      <w:r w:rsidRPr="0013695C">
        <w:rPr>
          <w:rFonts w:ascii="Arial" w:hAnsi="Arial" w:cs="Arial"/>
          <w:sz w:val="20"/>
        </w:rPr>
        <w:t>rating</w:t>
      </w:r>
      <w:r w:rsidRPr="0013695C">
        <w:rPr>
          <w:rFonts w:ascii="Arial" w:hAnsi="Arial" w:cs="Arial"/>
          <w:spacing w:val="-6"/>
          <w:sz w:val="20"/>
        </w:rPr>
        <w:t xml:space="preserve"> </w:t>
      </w:r>
      <w:r w:rsidRPr="0013695C">
        <w:rPr>
          <w:rFonts w:ascii="Arial" w:hAnsi="Arial" w:cs="Arial"/>
          <w:sz w:val="20"/>
        </w:rPr>
        <w:t>or</w:t>
      </w:r>
      <w:r w:rsidRPr="0013695C">
        <w:rPr>
          <w:rFonts w:ascii="Arial" w:hAnsi="Arial" w:cs="Arial"/>
          <w:spacing w:val="-6"/>
          <w:sz w:val="20"/>
        </w:rPr>
        <w:t xml:space="preserve"> </w:t>
      </w:r>
      <w:r w:rsidRPr="0013695C">
        <w:rPr>
          <w:rFonts w:ascii="Arial" w:hAnsi="Arial" w:cs="Arial"/>
          <w:sz w:val="20"/>
        </w:rPr>
        <w:t>a</w:t>
      </w:r>
      <w:r w:rsidRPr="0013695C">
        <w:rPr>
          <w:rFonts w:ascii="Arial" w:hAnsi="Arial" w:cs="Arial"/>
          <w:spacing w:val="-5"/>
          <w:sz w:val="20"/>
        </w:rPr>
        <w:t xml:space="preserve"> </w:t>
      </w:r>
      <w:r w:rsidRPr="0013695C">
        <w:rPr>
          <w:rFonts w:ascii="Arial" w:hAnsi="Arial" w:cs="Arial"/>
          <w:sz w:val="20"/>
        </w:rPr>
        <w:t>tethered</w:t>
      </w:r>
      <w:r w:rsidRPr="0013695C">
        <w:rPr>
          <w:rFonts w:ascii="Arial" w:hAnsi="Arial" w:cs="Arial"/>
          <w:spacing w:val="-8"/>
          <w:sz w:val="20"/>
        </w:rPr>
        <w:t xml:space="preserve"> </w:t>
      </w:r>
      <w:r w:rsidRPr="0013695C">
        <w:rPr>
          <w:rFonts w:ascii="Arial" w:hAnsi="Arial" w:cs="Arial"/>
          <w:sz w:val="20"/>
        </w:rPr>
        <w:t>flight</w:t>
      </w:r>
      <w:r w:rsidRPr="0013695C">
        <w:rPr>
          <w:rFonts w:ascii="Arial" w:hAnsi="Arial" w:cs="Arial"/>
          <w:spacing w:val="-3"/>
          <w:sz w:val="20"/>
        </w:rPr>
        <w:t xml:space="preserve"> </w:t>
      </w:r>
      <w:r w:rsidRPr="0013695C">
        <w:rPr>
          <w:rFonts w:ascii="Arial" w:hAnsi="Arial" w:cs="Arial"/>
          <w:sz w:val="20"/>
        </w:rPr>
        <w:t>rating,</w:t>
      </w:r>
      <w:r w:rsidRPr="0013695C">
        <w:rPr>
          <w:rFonts w:ascii="Arial" w:hAnsi="Arial" w:cs="Arial"/>
          <w:spacing w:val="-3"/>
          <w:sz w:val="20"/>
        </w:rPr>
        <w:t xml:space="preserve"> </w:t>
      </w:r>
      <w:r w:rsidRPr="0013695C">
        <w:rPr>
          <w:rFonts w:ascii="Arial" w:hAnsi="Arial" w:cs="Arial"/>
          <w:sz w:val="20"/>
        </w:rPr>
        <w:t>provided</w:t>
      </w:r>
      <w:r w:rsidRPr="0013695C">
        <w:rPr>
          <w:rFonts w:ascii="Arial" w:hAnsi="Arial" w:cs="Arial"/>
          <w:spacing w:val="-3"/>
          <w:sz w:val="20"/>
        </w:rPr>
        <w:t xml:space="preserve"> </w:t>
      </w:r>
      <w:r w:rsidRPr="0013695C">
        <w:rPr>
          <w:rFonts w:ascii="Arial" w:hAnsi="Arial" w:cs="Arial"/>
          <w:sz w:val="20"/>
        </w:rPr>
        <w:t>that</w:t>
      </w:r>
      <w:r w:rsidRPr="0013695C">
        <w:rPr>
          <w:rFonts w:ascii="Arial" w:hAnsi="Arial" w:cs="Arial"/>
          <w:spacing w:val="-4"/>
          <w:sz w:val="20"/>
        </w:rPr>
        <w:t xml:space="preserve"> </w:t>
      </w:r>
      <w:r w:rsidRPr="0013695C">
        <w:rPr>
          <w:rFonts w:ascii="Arial" w:hAnsi="Arial" w:cs="Arial"/>
          <w:sz w:val="20"/>
        </w:rPr>
        <w:t>the</w:t>
      </w:r>
      <w:r w:rsidRPr="0013695C">
        <w:rPr>
          <w:rFonts w:ascii="Arial" w:hAnsi="Arial" w:cs="Arial"/>
          <w:spacing w:val="-3"/>
          <w:sz w:val="20"/>
        </w:rPr>
        <w:t xml:space="preserve"> </w:t>
      </w:r>
      <w:r w:rsidRPr="0013695C">
        <w:rPr>
          <w:rFonts w:ascii="Arial" w:hAnsi="Arial" w:cs="Arial"/>
          <w:sz w:val="20"/>
        </w:rPr>
        <w:t>applicant</w:t>
      </w:r>
      <w:r w:rsidRPr="0013695C">
        <w:rPr>
          <w:rFonts w:ascii="Arial" w:hAnsi="Arial" w:cs="Arial"/>
          <w:spacing w:val="-5"/>
          <w:sz w:val="20"/>
        </w:rPr>
        <w:t xml:space="preserve"> </w:t>
      </w:r>
      <w:r w:rsidRPr="0013695C">
        <w:rPr>
          <w:rFonts w:ascii="Arial" w:hAnsi="Arial" w:cs="Arial"/>
          <w:sz w:val="20"/>
        </w:rPr>
        <w:t>has</w:t>
      </w:r>
      <w:r w:rsidRPr="0013695C">
        <w:rPr>
          <w:rFonts w:ascii="Arial" w:hAnsi="Arial" w:cs="Arial"/>
          <w:spacing w:val="-6"/>
          <w:sz w:val="20"/>
        </w:rPr>
        <w:t xml:space="preserve"> </w:t>
      </w:r>
      <w:r w:rsidRPr="0013695C">
        <w:rPr>
          <w:rFonts w:ascii="Arial" w:hAnsi="Arial" w:cs="Arial"/>
          <w:sz w:val="20"/>
        </w:rPr>
        <w:t>received</w:t>
      </w:r>
      <w:r w:rsidRPr="0013695C">
        <w:rPr>
          <w:rFonts w:ascii="Arial" w:hAnsi="Arial" w:cs="Arial"/>
          <w:spacing w:val="-8"/>
          <w:sz w:val="20"/>
        </w:rPr>
        <w:t xml:space="preserve"> </w:t>
      </w:r>
      <w:r w:rsidRPr="0013695C">
        <w:rPr>
          <w:rFonts w:ascii="Arial" w:hAnsi="Arial" w:cs="Arial"/>
          <w:sz w:val="20"/>
        </w:rPr>
        <w:t>specific</w:t>
      </w:r>
      <w:r w:rsidRPr="0013695C">
        <w:rPr>
          <w:rFonts w:ascii="Arial" w:hAnsi="Arial" w:cs="Arial"/>
          <w:spacing w:val="-46"/>
          <w:sz w:val="20"/>
        </w:rPr>
        <w:t xml:space="preserve"> </w:t>
      </w:r>
      <w:r w:rsidRPr="0013695C">
        <w:rPr>
          <w:rFonts w:ascii="Arial" w:hAnsi="Arial" w:cs="Arial"/>
          <w:sz w:val="20"/>
        </w:rPr>
        <w:t>training</w:t>
      </w:r>
      <w:r w:rsidRPr="0013695C">
        <w:rPr>
          <w:rFonts w:ascii="Arial" w:hAnsi="Arial" w:cs="Arial"/>
          <w:spacing w:val="-2"/>
          <w:sz w:val="20"/>
        </w:rPr>
        <w:t xml:space="preserve"> </w:t>
      </w:r>
      <w:r w:rsidRPr="0013695C">
        <w:rPr>
          <w:rFonts w:ascii="Arial" w:hAnsi="Arial" w:cs="Arial"/>
          <w:sz w:val="20"/>
        </w:rPr>
        <w:t>in providing</w:t>
      </w:r>
      <w:r w:rsidRPr="0013695C">
        <w:rPr>
          <w:rFonts w:ascii="Arial" w:hAnsi="Arial" w:cs="Arial"/>
          <w:spacing w:val="-2"/>
          <w:sz w:val="20"/>
        </w:rPr>
        <w:t xml:space="preserve"> </w:t>
      </w:r>
      <w:r w:rsidRPr="0013695C">
        <w:rPr>
          <w:rFonts w:ascii="Arial" w:hAnsi="Arial" w:cs="Arial"/>
          <w:sz w:val="20"/>
        </w:rPr>
        <w:t>instruction</w:t>
      </w:r>
      <w:r w:rsidRPr="0013695C">
        <w:rPr>
          <w:rFonts w:ascii="Arial" w:hAnsi="Arial" w:cs="Arial"/>
          <w:spacing w:val="-1"/>
          <w:sz w:val="20"/>
        </w:rPr>
        <w:t xml:space="preserve"> </w:t>
      </w:r>
      <w:r w:rsidRPr="0013695C">
        <w:rPr>
          <w:rFonts w:ascii="Arial" w:hAnsi="Arial" w:cs="Arial"/>
          <w:sz w:val="20"/>
        </w:rPr>
        <w:t>for</w:t>
      </w:r>
      <w:r w:rsidRPr="0013695C">
        <w:rPr>
          <w:rFonts w:ascii="Arial" w:hAnsi="Arial" w:cs="Arial"/>
          <w:spacing w:val="-2"/>
          <w:sz w:val="20"/>
        </w:rPr>
        <w:t xml:space="preserve"> </w:t>
      </w:r>
      <w:r w:rsidRPr="0013695C">
        <w:rPr>
          <w:rFonts w:ascii="Arial" w:hAnsi="Arial" w:cs="Arial"/>
          <w:sz w:val="20"/>
        </w:rPr>
        <w:t>the</w:t>
      </w:r>
      <w:r w:rsidRPr="0013695C">
        <w:rPr>
          <w:rFonts w:ascii="Arial" w:hAnsi="Arial" w:cs="Arial"/>
          <w:spacing w:val="-1"/>
          <w:sz w:val="20"/>
        </w:rPr>
        <w:t xml:space="preserve"> </w:t>
      </w:r>
      <w:r w:rsidRPr="0013695C">
        <w:rPr>
          <w:rFonts w:ascii="Arial" w:hAnsi="Arial" w:cs="Arial"/>
          <w:sz w:val="20"/>
        </w:rPr>
        <w:t>relevant rating</w:t>
      </w:r>
      <w:r w:rsidRPr="0013695C">
        <w:rPr>
          <w:rFonts w:ascii="Arial" w:hAnsi="Arial" w:cs="Arial"/>
          <w:spacing w:val="-1"/>
          <w:sz w:val="20"/>
        </w:rPr>
        <w:t xml:space="preserve"> </w:t>
      </w:r>
      <w:r w:rsidRPr="0013695C">
        <w:rPr>
          <w:rFonts w:ascii="Arial" w:hAnsi="Arial" w:cs="Arial"/>
          <w:sz w:val="20"/>
        </w:rPr>
        <w:t>at</w:t>
      </w:r>
      <w:r w:rsidRPr="0013695C">
        <w:rPr>
          <w:rFonts w:ascii="Arial" w:hAnsi="Arial" w:cs="Arial"/>
          <w:spacing w:val="-1"/>
          <w:sz w:val="20"/>
        </w:rPr>
        <w:t xml:space="preserve"> </w:t>
      </w:r>
      <w:r w:rsidRPr="0013695C">
        <w:rPr>
          <w:rFonts w:ascii="Arial" w:hAnsi="Arial" w:cs="Arial"/>
          <w:sz w:val="20"/>
        </w:rPr>
        <w:t>an ATO</w:t>
      </w:r>
      <w:r w:rsidRPr="0013695C">
        <w:rPr>
          <w:rFonts w:ascii="Arial" w:hAnsi="Arial" w:cs="Arial"/>
          <w:spacing w:val="-1"/>
          <w:sz w:val="20"/>
        </w:rPr>
        <w:t xml:space="preserve"> </w:t>
      </w:r>
      <w:r w:rsidRPr="0013695C">
        <w:rPr>
          <w:rFonts w:ascii="Arial" w:hAnsi="Arial" w:cs="Arial"/>
          <w:sz w:val="20"/>
        </w:rPr>
        <w:t>or at</w:t>
      </w:r>
      <w:r w:rsidRPr="0013695C">
        <w:rPr>
          <w:rFonts w:ascii="Arial" w:hAnsi="Arial" w:cs="Arial"/>
          <w:spacing w:val="-2"/>
          <w:sz w:val="20"/>
        </w:rPr>
        <w:t xml:space="preserve"> </w:t>
      </w:r>
      <w:r w:rsidRPr="0013695C">
        <w:rPr>
          <w:rFonts w:ascii="Arial" w:hAnsi="Arial" w:cs="Arial"/>
          <w:sz w:val="20"/>
        </w:rPr>
        <w:t>a</w:t>
      </w:r>
      <w:r w:rsidRPr="0013695C">
        <w:rPr>
          <w:rFonts w:ascii="Arial" w:hAnsi="Arial" w:cs="Arial"/>
          <w:spacing w:val="-1"/>
          <w:sz w:val="20"/>
        </w:rPr>
        <w:t xml:space="preserve"> </w:t>
      </w:r>
      <w:r w:rsidRPr="0013695C">
        <w:rPr>
          <w:rFonts w:ascii="Arial" w:hAnsi="Arial" w:cs="Arial"/>
          <w:sz w:val="20"/>
        </w:rPr>
        <w:t>DTO; and</w:t>
      </w:r>
    </w:p>
    <w:p w14:paraId="41F1EE5E" w14:textId="77777777" w:rsidR="0013695C" w:rsidRPr="0013695C" w:rsidRDefault="0013695C" w:rsidP="003F6C42">
      <w:pPr>
        <w:numPr>
          <w:ilvl w:val="1"/>
          <w:numId w:val="220"/>
        </w:numPr>
        <w:tabs>
          <w:tab w:val="left" w:pos="1273"/>
          <w:tab w:val="left" w:pos="1274"/>
        </w:tabs>
        <w:spacing w:before="121" w:line="276" w:lineRule="auto"/>
        <w:ind w:right="68" w:hanging="568"/>
        <w:jc w:val="both"/>
        <w:rPr>
          <w:rFonts w:ascii="Arial" w:hAnsi="Arial" w:cs="Arial"/>
          <w:sz w:val="20"/>
        </w:rPr>
      </w:pPr>
      <w:r w:rsidRPr="0013695C">
        <w:rPr>
          <w:rFonts w:ascii="Arial" w:hAnsi="Arial" w:cs="Arial"/>
          <w:sz w:val="20"/>
        </w:rPr>
        <w:t>an</w:t>
      </w:r>
      <w:r w:rsidRPr="0013695C">
        <w:rPr>
          <w:rFonts w:ascii="Arial" w:hAnsi="Arial" w:cs="Arial"/>
          <w:spacing w:val="-2"/>
          <w:sz w:val="20"/>
        </w:rPr>
        <w:t xml:space="preserve"> </w:t>
      </w:r>
      <w:r w:rsidRPr="0013695C">
        <w:rPr>
          <w:rFonts w:ascii="Arial" w:hAnsi="Arial" w:cs="Arial"/>
          <w:sz w:val="20"/>
        </w:rPr>
        <w:t>FI(B)</w:t>
      </w:r>
      <w:r w:rsidRPr="0013695C">
        <w:rPr>
          <w:rFonts w:ascii="Arial" w:hAnsi="Arial" w:cs="Arial"/>
          <w:spacing w:val="-2"/>
          <w:sz w:val="20"/>
        </w:rPr>
        <w:t xml:space="preserve"> </w:t>
      </w:r>
      <w:r w:rsidRPr="0013695C">
        <w:rPr>
          <w:rFonts w:ascii="Arial" w:hAnsi="Arial" w:cs="Arial"/>
          <w:sz w:val="20"/>
        </w:rPr>
        <w:t>certificate, provided</w:t>
      </w:r>
      <w:r w:rsidRPr="0013695C">
        <w:rPr>
          <w:rFonts w:ascii="Arial" w:hAnsi="Arial" w:cs="Arial"/>
          <w:spacing w:val="-2"/>
          <w:sz w:val="20"/>
        </w:rPr>
        <w:t xml:space="preserve"> </w:t>
      </w:r>
      <w:r w:rsidRPr="0013695C">
        <w:rPr>
          <w:rFonts w:ascii="Arial" w:hAnsi="Arial" w:cs="Arial"/>
          <w:sz w:val="20"/>
        </w:rPr>
        <w:t>that</w:t>
      </w:r>
      <w:r w:rsidRPr="0013695C">
        <w:rPr>
          <w:rFonts w:ascii="Arial" w:hAnsi="Arial" w:cs="Arial"/>
          <w:spacing w:val="-1"/>
          <w:sz w:val="20"/>
        </w:rPr>
        <w:t xml:space="preserve"> </w:t>
      </w:r>
      <w:r w:rsidRPr="0013695C">
        <w:rPr>
          <w:rFonts w:ascii="Arial" w:hAnsi="Arial" w:cs="Arial"/>
          <w:sz w:val="20"/>
        </w:rPr>
        <w:t>the</w:t>
      </w:r>
      <w:r w:rsidRPr="0013695C">
        <w:rPr>
          <w:rFonts w:ascii="Arial" w:hAnsi="Arial" w:cs="Arial"/>
          <w:spacing w:val="-4"/>
          <w:sz w:val="20"/>
        </w:rPr>
        <w:t xml:space="preserve"> </w:t>
      </w:r>
      <w:r w:rsidRPr="0013695C">
        <w:rPr>
          <w:rFonts w:ascii="Arial" w:hAnsi="Arial" w:cs="Arial"/>
          <w:sz w:val="20"/>
        </w:rPr>
        <w:t>applicant</w:t>
      </w:r>
      <w:r w:rsidRPr="0013695C">
        <w:rPr>
          <w:rFonts w:ascii="Arial" w:hAnsi="Arial" w:cs="Arial"/>
          <w:spacing w:val="-1"/>
          <w:sz w:val="20"/>
        </w:rPr>
        <w:t xml:space="preserve"> </w:t>
      </w:r>
      <w:r w:rsidRPr="0013695C">
        <w:rPr>
          <w:rFonts w:ascii="Arial" w:hAnsi="Arial" w:cs="Arial"/>
          <w:sz w:val="20"/>
        </w:rPr>
        <w:t>has:</w:t>
      </w:r>
    </w:p>
    <w:p w14:paraId="79526F80" w14:textId="77777777" w:rsidR="0013695C" w:rsidRPr="0013695C" w:rsidRDefault="0013695C" w:rsidP="003F6C42">
      <w:pPr>
        <w:numPr>
          <w:ilvl w:val="2"/>
          <w:numId w:val="220"/>
        </w:numPr>
        <w:tabs>
          <w:tab w:val="left" w:pos="1842"/>
        </w:tabs>
        <w:spacing w:before="121" w:line="276" w:lineRule="auto"/>
        <w:ind w:right="68"/>
        <w:jc w:val="both"/>
        <w:rPr>
          <w:rFonts w:ascii="Arial" w:hAnsi="Arial" w:cs="Arial"/>
          <w:sz w:val="20"/>
        </w:rPr>
      </w:pPr>
      <w:r w:rsidRPr="0013695C">
        <w:rPr>
          <w:rFonts w:ascii="Arial" w:hAnsi="Arial" w:cs="Arial"/>
          <w:sz w:val="20"/>
        </w:rPr>
        <w:t>completed</w:t>
      </w:r>
      <w:r w:rsidRPr="0013695C">
        <w:rPr>
          <w:rFonts w:ascii="Arial" w:hAnsi="Arial" w:cs="Arial"/>
          <w:spacing w:val="-1"/>
          <w:sz w:val="20"/>
        </w:rPr>
        <w:t xml:space="preserve"> </w:t>
      </w:r>
      <w:r w:rsidRPr="0013695C">
        <w:rPr>
          <w:rFonts w:ascii="Arial" w:hAnsi="Arial" w:cs="Arial"/>
          <w:sz w:val="20"/>
        </w:rPr>
        <w:t>at</w:t>
      </w:r>
      <w:r w:rsidRPr="0013695C">
        <w:rPr>
          <w:rFonts w:ascii="Arial" w:hAnsi="Arial" w:cs="Arial"/>
          <w:spacing w:val="-1"/>
          <w:sz w:val="20"/>
        </w:rPr>
        <w:t xml:space="preserve"> </w:t>
      </w:r>
      <w:r w:rsidRPr="0013695C">
        <w:rPr>
          <w:rFonts w:ascii="Arial" w:hAnsi="Arial" w:cs="Arial"/>
          <w:sz w:val="20"/>
        </w:rPr>
        <w:t>least</w:t>
      </w:r>
      <w:r w:rsidRPr="0013695C">
        <w:rPr>
          <w:rFonts w:ascii="Arial" w:hAnsi="Arial" w:cs="Arial"/>
          <w:spacing w:val="-3"/>
          <w:sz w:val="20"/>
        </w:rPr>
        <w:t xml:space="preserve"> </w:t>
      </w:r>
      <w:r w:rsidRPr="0013695C">
        <w:rPr>
          <w:rFonts w:ascii="Arial" w:hAnsi="Arial" w:cs="Arial"/>
          <w:sz w:val="20"/>
        </w:rPr>
        <w:t>50</w:t>
      </w:r>
      <w:r w:rsidRPr="0013695C">
        <w:rPr>
          <w:rFonts w:ascii="Arial" w:hAnsi="Arial" w:cs="Arial"/>
          <w:spacing w:val="-1"/>
          <w:sz w:val="20"/>
        </w:rPr>
        <w:t xml:space="preserve"> </w:t>
      </w:r>
      <w:r w:rsidRPr="0013695C">
        <w:rPr>
          <w:rFonts w:ascii="Arial" w:hAnsi="Arial" w:cs="Arial"/>
          <w:sz w:val="20"/>
        </w:rPr>
        <w:t>hours of</w:t>
      </w:r>
      <w:r w:rsidRPr="0013695C">
        <w:rPr>
          <w:rFonts w:ascii="Arial" w:hAnsi="Arial" w:cs="Arial"/>
          <w:spacing w:val="-1"/>
          <w:sz w:val="20"/>
        </w:rPr>
        <w:t xml:space="preserve"> </w:t>
      </w:r>
      <w:r w:rsidRPr="0013695C">
        <w:rPr>
          <w:rFonts w:ascii="Arial" w:hAnsi="Arial" w:cs="Arial"/>
          <w:sz w:val="20"/>
        </w:rPr>
        <w:t>flight</w:t>
      </w:r>
      <w:r w:rsidRPr="0013695C">
        <w:rPr>
          <w:rFonts w:ascii="Arial" w:hAnsi="Arial" w:cs="Arial"/>
          <w:spacing w:val="-3"/>
          <w:sz w:val="20"/>
        </w:rPr>
        <w:t xml:space="preserve"> </w:t>
      </w:r>
      <w:r w:rsidRPr="0013695C">
        <w:rPr>
          <w:rFonts w:ascii="Arial" w:hAnsi="Arial" w:cs="Arial"/>
          <w:sz w:val="20"/>
        </w:rPr>
        <w:t>instruction</w:t>
      </w:r>
      <w:r w:rsidRPr="0013695C">
        <w:rPr>
          <w:rFonts w:ascii="Arial" w:hAnsi="Arial" w:cs="Arial"/>
          <w:spacing w:val="-4"/>
          <w:sz w:val="20"/>
        </w:rPr>
        <w:t xml:space="preserve"> </w:t>
      </w:r>
      <w:r w:rsidRPr="0013695C">
        <w:rPr>
          <w:rFonts w:ascii="Arial" w:hAnsi="Arial" w:cs="Arial"/>
          <w:sz w:val="20"/>
        </w:rPr>
        <w:t>on</w:t>
      </w:r>
      <w:r w:rsidRPr="0013695C">
        <w:rPr>
          <w:rFonts w:ascii="Arial" w:hAnsi="Arial" w:cs="Arial"/>
          <w:spacing w:val="-1"/>
          <w:sz w:val="20"/>
        </w:rPr>
        <w:t xml:space="preserve"> </w:t>
      </w:r>
      <w:r w:rsidRPr="0013695C">
        <w:rPr>
          <w:rFonts w:ascii="Arial" w:hAnsi="Arial" w:cs="Arial"/>
          <w:sz w:val="20"/>
        </w:rPr>
        <w:t>balloons;</w:t>
      </w:r>
      <w:r w:rsidRPr="0013695C">
        <w:rPr>
          <w:rFonts w:ascii="Arial" w:hAnsi="Arial" w:cs="Arial"/>
          <w:spacing w:val="-1"/>
          <w:sz w:val="20"/>
        </w:rPr>
        <w:t xml:space="preserve"> </w:t>
      </w:r>
      <w:r w:rsidRPr="0013695C">
        <w:rPr>
          <w:rFonts w:ascii="Arial" w:hAnsi="Arial" w:cs="Arial"/>
          <w:sz w:val="20"/>
        </w:rPr>
        <w:t>and</w:t>
      </w:r>
    </w:p>
    <w:p w14:paraId="6A8C7C28" w14:textId="19B2BCB5" w:rsidR="0013695C" w:rsidRPr="0013695C" w:rsidRDefault="0013695C" w:rsidP="003F6C42">
      <w:pPr>
        <w:numPr>
          <w:ilvl w:val="2"/>
          <w:numId w:val="220"/>
        </w:numPr>
        <w:tabs>
          <w:tab w:val="left" w:pos="1842"/>
        </w:tabs>
        <w:spacing w:before="120" w:line="276" w:lineRule="auto"/>
        <w:ind w:right="68"/>
        <w:jc w:val="both"/>
        <w:rPr>
          <w:rFonts w:ascii="Arial" w:hAnsi="Arial" w:cs="Arial"/>
          <w:sz w:val="20"/>
        </w:rPr>
      </w:pPr>
      <w:r w:rsidRPr="0013695C">
        <w:rPr>
          <w:rFonts w:ascii="Arial" w:hAnsi="Arial" w:cs="Arial"/>
          <w:sz w:val="20"/>
        </w:rPr>
        <w:t xml:space="preserve">in accordance with the procedures established for that purpose by the </w:t>
      </w:r>
      <w:r w:rsidR="003C6906">
        <w:rPr>
          <w:rFonts w:ascii="Arial" w:hAnsi="Arial" w:cs="Arial"/>
          <w:sz w:val="20"/>
          <w:szCs w:val="20"/>
        </w:rPr>
        <w:t>CAC RA</w:t>
      </w:r>
      <w:r w:rsidRPr="0013695C">
        <w:rPr>
          <w:rFonts w:ascii="Arial" w:hAnsi="Arial" w:cs="Arial"/>
          <w:sz w:val="20"/>
        </w:rPr>
        <w:t>, conducted at least one hour of flight instruction for the FI(B) certificate</w:t>
      </w:r>
      <w:r w:rsidRPr="0013695C">
        <w:rPr>
          <w:rFonts w:ascii="Arial" w:hAnsi="Arial" w:cs="Arial"/>
          <w:spacing w:val="1"/>
          <w:sz w:val="20"/>
        </w:rPr>
        <w:t xml:space="preserve"> </w:t>
      </w:r>
      <w:r w:rsidRPr="0013695C">
        <w:rPr>
          <w:rFonts w:ascii="Arial" w:hAnsi="Arial" w:cs="Arial"/>
          <w:sz w:val="20"/>
        </w:rPr>
        <w:t>under</w:t>
      </w:r>
      <w:r w:rsidRPr="0013695C">
        <w:rPr>
          <w:rFonts w:ascii="Arial" w:hAnsi="Arial" w:cs="Arial"/>
          <w:spacing w:val="1"/>
          <w:sz w:val="20"/>
        </w:rPr>
        <w:t xml:space="preserve"> </w:t>
      </w:r>
      <w:r w:rsidRPr="0013695C">
        <w:rPr>
          <w:rFonts w:ascii="Arial" w:hAnsi="Arial" w:cs="Arial"/>
          <w:sz w:val="20"/>
        </w:rPr>
        <w:t>the</w:t>
      </w:r>
      <w:r w:rsidRPr="0013695C">
        <w:rPr>
          <w:rFonts w:ascii="Arial" w:hAnsi="Arial" w:cs="Arial"/>
          <w:spacing w:val="1"/>
          <w:sz w:val="20"/>
        </w:rPr>
        <w:t xml:space="preserve"> </w:t>
      </w:r>
      <w:r w:rsidRPr="0013695C">
        <w:rPr>
          <w:rFonts w:ascii="Arial" w:hAnsi="Arial" w:cs="Arial"/>
          <w:sz w:val="20"/>
        </w:rPr>
        <w:t>supervision</w:t>
      </w:r>
      <w:r w:rsidRPr="0013695C">
        <w:rPr>
          <w:rFonts w:ascii="Arial" w:hAnsi="Arial" w:cs="Arial"/>
          <w:spacing w:val="1"/>
          <w:sz w:val="20"/>
        </w:rPr>
        <w:t xml:space="preserve"> </w:t>
      </w:r>
      <w:r w:rsidRPr="0013695C">
        <w:rPr>
          <w:rFonts w:ascii="Arial" w:hAnsi="Arial" w:cs="Arial"/>
          <w:sz w:val="20"/>
        </w:rPr>
        <w:t>and</w:t>
      </w:r>
      <w:r w:rsidRPr="0013695C">
        <w:rPr>
          <w:rFonts w:ascii="Arial" w:hAnsi="Arial" w:cs="Arial"/>
          <w:spacing w:val="1"/>
          <w:sz w:val="20"/>
        </w:rPr>
        <w:t xml:space="preserve"> </w:t>
      </w:r>
      <w:r w:rsidRPr="0013695C">
        <w:rPr>
          <w:rFonts w:ascii="Arial" w:hAnsi="Arial" w:cs="Arial"/>
          <w:sz w:val="20"/>
        </w:rPr>
        <w:t>to</w:t>
      </w:r>
      <w:r w:rsidRPr="0013695C">
        <w:rPr>
          <w:rFonts w:ascii="Arial" w:hAnsi="Arial" w:cs="Arial"/>
          <w:spacing w:val="1"/>
          <w:sz w:val="20"/>
        </w:rPr>
        <w:t xml:space="preserve"> </w:t>
      </w:r>
      <w:r w:rsidRPr="0013695C">
        <w:rPr>
          <w:rFonts w:ascii="Arial" w:hAnsi="Arial" w:cs="Arial"/>
          <w:sz w:val="20"/>
        </w:rPr>
        <w:t>the</w:t>
      </w:r>
      <w:r w:rsidRPr="0013695C">
        <w:rPr>
          <w:rFonts w:ascii="Arial" w:hAnsi="Arial" w:cs="Arial"/>
          <w:spacing w:val="1"/>
          <w:sz w:val="20"/>
        </w:rPr>
        <w:t xml:space="preserve"> </w:t>
      </w:r>
      <w:r w:rsidRPr="0013695C">
        <w:rPr>
          <w:rFonts w:ascii="Arial" w:hAnsi="Arial" w:cs="Arial"/>
          <w:sz w:val="20"/>
        </w:rPr>
        <w:t>satisfaction</w:t>
      </w:r>
      <w:r w:rsidRPr="0013695C">
        <w:rPr>
          <w:rFonts w:ascii="Arial" w:hAnsi="Arial" w:cs="Arial"/>
          <w:spacing w:val="1"/>
          <w:sz w:val="20"/>
        </w:rPr>
        <w:t xml:space="preserve"> </w:t>
      </w:r>
      <w:r w:rsidRPr="0013695C">
        <w:rPr>
          <w:rFonts w:ascii="Arial" w:hAnsi="Arial" w:cs="Arial"/>
          <w:sz w:val="20"/>
        </w:rPr>
        <w:t>of</w:t>
      </w:r>
      <w:r w:rsidRPr="0013695C">
        <w:rPr>
          <w:rFonts w:ascii="Arial" w:hAnsi="Arial" w:cs="Arial"/>
          <w:spacing w:val="1"/>
          <w:sz w:val="20"/>
        </w:rPr>
        <w:t xml:space="preserve"> </w:t>
      </w:r>
      <w:r w:rsidRPr="0013695C">
        <w:rPr>
          <w:rFonts w:ascii="Arial" w:hAnsi="Arial" w:cs="Arial"/>
          <w:sz w:val="20"/>
        </w:rPr>
        <w:t>an</w:t>
      </w:r>
      <w:r w:rsidRPr="0013695C">
        <w:rPr>
          <w:rFonts w:ascii="Arial" w:hAnsi="Arial" w:cs="Arial"/>
          <w:spacing w:val="1"/>
          <w:sz w:val="20"/>
        </w:rPr>
        <w:t xml:space="preserve"> </w:t>
      </w:r>
      <w:r w:rsidRPr="0013695C">
        <w:rPr>
          <w:rFonts w:ascii="Arial" w:hAnsi="Arial" w:cs="Arial"/>
          <w:sz w:val="20"/>
        </w:rPr>
        <w:t>FI(B)</w:t>
      </w:r>
      <w:r w:rsidRPr="0013695C">
        <w:rPr>
          <w:rFonts w:ascii="Arial" w:hAnsi="Arial" w:cs="Arial"/>
          <w:spacing w:val="1"/>
          <w:sz w:val="20"/>
        </w:rPr>
        <w:t xml:space="preserve"> </w:t>
      </w:r>
      <w:r w:rsidRPr="0013695C">
        <w:rPr>
          <w:rFonts w:ascii="Arial" w:hAnsi="Arial" w:cs="Arial"/>
          <w:sz w:val="20"/>
        </w:rPr>
        <w:t>who</w:t>
      </w:r>
      <w:r w:rsidRPr="0013695C">
        <w:rPr>
          <w:rFonts w:ascii="Arial" w:hAnsi="Arial" w:cs="Arial"/>
          <w:spacing w:val="1"/>
          <w:sz w:val="20"/>
        </w:rPr>
        <w:t xml:space="preserve"> </w:t>
      </w:r>
      <w:r w:rsidRPr="0013695C">
        <w:rPr>
          <w:rFonts w:ascii="Arial" w:hAnsi="Arial" w:cs="Arial"/>
          <w:sz w:val="20"/>
        </w:rPr>
        <w:t>is</w:t>
      </w:r>
      <w:r w:rsidRPr="0013695C">
        <w:rPr>
          <w:rFonts w:ascii="Arial" w:hAnsi="Arial" w:cs="Arial"/>
          <w:spacing w:val="1"/>
          <w:sz w:val="20"/>
        </w:rPr>
        <w:t xml:space="preserve"> </w:t>
      </w:r>
      <w:r w:rsidRPr="0013695C">
        <w:rPr>
          <w:rFonts w:ascii="Arial" w:hAnsi="Arial" w:cs="Arial"/>
          <w:sz w:val="20"/>
        </w:rPr>
        <w:t>qualified</w:t>
      </w:r>
      <w:r w:rsidRPr="0013695C">
        <w:rPr>
          <w:rFonts w:ascii="Arial" w:hAnsi="Arial" w:cs="Arial"/>
          <w:spacing w:val="1"/>
          <w:sz w:val="20"/>
        </w:rPr>
        <w:t xml:space="preserve"> </w:t>
      </w:r>
      <w:r w:rsidRPr="0013695C">
        <w:rPr>
          <w:rFonts w:ascii="Arial" w:hAnsi="Arial" w:cs="Arial"/>
          <w:sz w:val="20"/>
        </w:rPr>
        <w:t>in</w:t>
      </w:r>
      <w:r w:rsidRPr="0013695C">
        <w:rPr>
          <w:rFonts w:ascii="Arial" w:hAnsi="Arial" w:cs="Arial"/>
          <w:spacing w:val="1"/>
          <w:sz w:val="20"/>
        </w:rPr>
        <w:t xml:space="preserve"> </w:t>
      </w:r>
      <w:r w:rsidRPr="0013695C">
        <w:rPr>
          <w:rFonts w:ascii="Arial" w:hAnsi="Arial" w:cs="Arial"/>
          <w:sz w:val="20"/>
        </w:rPr>
        <w:t>accordance with this subparagraph and nominated by the head of training of the</w:t>
      </w:r>
      <w:r w:rsidRPr="0013695C">
        <w:rPr>
          <w:rFonts w:ascii="Arial" w:hAnsi="Arial" w:cs="Arial"/>
          <w:spacing w:val="1"/>
          <w:sz w:val="20"/>
        </w:rPr>
        <w:t xml:space="preserve"> </w:t>
      </w:r>
      <w:r w:rsidRPr="0013695C">
        <w:rPr>
          <w:rFonts w:ascii="Arial" w:hAnsi="Arial" w:cs="Arial"/>
          <w:sz w:val="20"/>
        </w:rPr>
        <w:t>ATO</w:t>
      </w:r>
      <w:r w:rsidRPr="0013695C">
        <w:rPr>
          <w:rFonts w:ascii="Arial" w:hAnsi="Arial" w:cs="Arial"/>
          <w:spacing w:val="-2"/>
          <w:sz w:val="20"/>
        </w:rPr>
        <w:t xml:space="preserve"> </w:t>
      </w:r>
      <w:r w:rsidRPr="0013695C">
        <w:rPr>
          <w:rFonts w:ascii="Arial" w:hAnsi="Arial" w:cs="Arial"/>
          <w:sz w:val="20"/>
        </w:rPr>
        <w:t>or the</w:t>
      </w:r>
      <w:r w:rsidRPr="0013695C">
        <w:rPr>
          <w:rFonts w:ascii="Arial" w:hAnsi="Arial" w:cs="Arial"/>
          <w:spacing w:val="-2"/>
          <w:sz w:val="20"/>
        </w:rPr>
        <w:t xml:space="preserve"> </w:t>
      </w:r>
      <w:r w:rsidRPr="0013695C">
        <w:rPr>
          <w:rFonts w:ascii="Arial" w:hAnsi="Arial" w:cs="Arial"/>
          <w:sz w:val="20"/>
        </w:rPr>
        <w:t>DTO.</w:t>
      </w:r>
    </w:p>
    <w:p w14:paraId="2A83F1B6" w14:textId="77777777" w:rsidR="0013695C" w:rsidRPr="0013695C" w:rsidRDefault="0013695C" w:rsidP="003F6C42">
      <w:pPr>
        <w:numPr>
          <w:ilvl w:val="0"/>
          <w:numId w:val="220"/>
        </w:numPr>
        <w:tabs>
          <w:tab w:val="left" w:pos="706"/>
          <w:tab w:val="left" w:pos="707"/>
        </w:tabs>
        <w:spacing w:before="121" w:line="276" w:lineRule="auto"/>
        <w:ind w:right="68"/>
        <w:jc w:val="both"/>
        <w:rPr>
          <w:rFonts w:ascii="Arial" w:hAnsi="Arial" w:cs="Arial"/>
          <w:sz w:val="20"/>
        </w:rPr>
      </w:pPr>
      <w:r w:rsidRPr="0013695C">
        <w:rPr>
          <w:rFonts w:ascii="Arial" w:hAnsi="Arial" w:cs="Arial"/>
          <w:sz w:val="20"/>
        </w:rPr>
        <w:t>The</w:t>
      </w:r>
      <w:r w:rsidRPr="0013695C">
        <w:rPr>
          <w:rFonts w:ascii="Arial" w:hAnsi="Arial" w:cs="Arial"/>
          <w:spacing w:val="-10"/>
          <w:sz w:val="20"/>
        </w:rPr>
        <w:t xml:space="preserve"> </w:t>
      </w:r>
      <w:r w:rsidRPr="0013695C">
        <w:rPr>
          <w:rFonts w:ascii="Arial" w:hAnsi="Arial" w:cs="Arial"/>
          <w:sz w:val="20"/>
        </w:rPr>
        <w:t>privileges</w:t>
      </w:r>
      <w:r w:rsidRPr="0013695C">
        <w:rPr>
          <w:rFonts w:ascii="Arial" w:hAnsi="Arial" w:cs="Arial"/>
          <w:spacing w:val="-9"/>
          <w:sz w:val="20"/>
        </w:rPr>
        <w:t xml:space="preserve"> </w:t>
      </w:r>
      <w:r w:rsidRPr="0013695C">
        <w:rPr>
          <w:rFonts w:ascii="Arial" w:hAnsi="Arial" w:cs="Arial"/>
          <w:sz w:val="20"/>
        </w:rPr>
        <w:t>listed</w:t>
      </w:r>
      <w:r w:rsidRPr="0013695C">
        <w:rPr>
          <w:rFonts w:ascii="Arial" w:hAnsi="Arial" w:cs="Arial"/>
          <w:spacing w:val="-9"/>
          <w:sz w:val="20"/>
        </w:rPr>
        <w:t xml:space="preserve"> </w:t>
      </w:r>
      <w:r w:rsidRPr="0013695C">
        <w:rPr>
          <w:rFonts w:ascii="Arial" w:hAnsi="Arial" w:cs="Arial"/>
          <w:sz w:val="20"/>
        </w:rPr>
        <w:t>in</w:t>
      </w:r>
      <w:r w:rsidRPr="0013695C">
        <w:rPr>
          <w:rFonts w:ascii="Arial" w:hAnsi="Arial" w:cs="Arial"/>
          <w:spacing w:val="-10"/>
          <w:sz w:val="20"/>
        </w:rPr>
        <w:t xml:space="preserve"> </w:t>
      </w:r>
      <w:r w:rsidRPr="0013695C">
        <w:rPr>
          <w:rFonts w:ascii="Arial" w:hAnsi="Arial" w:cs="Arial"/>
          <w:sz w:val="20"/>
        </w:rPr>
        <w:t>paragraph</w:t>
      </w:r>
      <w:r w:rsidRPr="0013695C">
        <w:rPr>
          <w:rFonts w:ascii="Arial" w:hAnsi="Arial" w:cs="Arial"/>
          <w:spacing w:val="-10"/>
          <w:sz w:val="20"/>
        </w:rPr>
        <w:t xml:space="preserve"> </w:t>
      </w:r>
      <w:r w:rsidRPr="0013695C">
        <w:rPr>
          <w:rFonts w:ascii="Arial" w:hAnsi="Arial" w:cs="Arial"/>
          <w:sz w:val="20"/>
        </w:rPr>
        <w:t>(a)</w:t>
      </w:r>
      <w:r w:rsidRPr="0013695C">
        <w:rPr>
          <w:rFonts w:ascii="Arial" w:hAnsi="Arial" w:cs="Arial"/>
          <w:spacing w:val="-9"/>
          <w:sz w:val="20"/>
        </w:rPr>
        <w:t xml:space="preserve"> </w:t>
      </w:r>
      <w:r w:rsidRPr="0013695C">
        <w:rPr>
          <w:rFonts w:ascii="Arial" w:hAnsi="Arial" w:cs="Arial"/>
          <w:sz w:val="20"/>
        </w:rPr>
        <w:t>shall</w:t>
      </w:r>
      <w:r w:rsidRPr="0013695C">
        <w:rPr>
          <w:rFonts w:ascii="Arial" w:hAnsi="Arial" w:cs="Arial"/>
          <w:spacing w:val="-9"/>
          <w:sz w:val="20"/>
        </w:rPr>
        <w:t xml:space="preserve"> </w:t>
      </w:r>
      <w:r w:rsidRPr="0013695C">
        <w:rPr>
          <w:rFonts w:ascii="Arial" w:hAnsi="Arial" w:cs="Arial"/>
          <w:sz w:val="20"/>
        </w:rPr>
        <w:t>include</w:t>
      </w:r>
      <w:r w:rsidRPr="0013695C">
        <w:rPr>
          <w:rFonts w:ascii="Arial" w:hAnsi="Arial" w:cs="Arial"/>
          <w:spacing w:val="-8"/>
          <w:sz w:val="20"/>
        </w:rPr>
        <w:t xml:space="preserve"> </w:t>
      </w:r>
      <w:r w:rsidRPr="0013695C">
        <w:rPr>
          <w:rFonts w:ascii="Arial" w:hAnsi="Arial" w:cs="Arial"/>
          <w:sz w:val="20"/>
        </w:rPr>
        <w:t>the</w:t>
      </w:r>
      <w:r w:rsidRPr="0013695C">
        <w:rPr>
          <w:rFonts w:ascii="Arial" w:hAnsi="Arial" w:cs="Arial"/>
          <w:spacing w:val="-8"/>
          <w:sz w:val="20"/>
        </w:rPr>
        <w:t xml:space="preserve"> </w:t>
      </w:r>
      <w:r w:rsidRPr="0013695C">
        <w:rPr>
          <w:rFonts w:ascii="Arial" w:hAnsi="Arial" w:cs="Arial"/>
          <w:sz w:val="20"/>
        </w:rPr>
        <w:t>privileges</w:t>
      </w:r>
      <w:r w:rsidRPr="0013695C">
        <w:rPr>
          <w:rFonts w:ascii="Arial" w:hAnsi="Arial" w:cs="Arial"/>
          <w:spacing w:val="-11"/>
          <w:sz w:val="20"/>
        </w:rPr>
        <w:t xml:space="preserve"> </w:t>
      </w:r>
      <w:r w:rsidRPr="0013695C">
        <w:rPr>
          <w:rFonts w:ascii="Arial" w:hAnsi="Arial" w:cs="Arial"/>
          <w:sz w:val="20"/>
        </w:rPr>
        <w:t>to</w:t>
      </w:r>
      <w:r w:rsidRPr="0013695C">
        <w:rPr>
          <w:rFonts w:ascii="Arial" w:hAnsi="Arial" w:cs="Arial"/>
          <w:spacing w:val="-10"/>
          <w:sz w:val="20"/>
        </w:rPr>
        <w:t xml:space="preserve"> </w:t>
      </w:r>
      <w:r w:rsidRPr="0013695C">
        <w:rPr>
          <w:rFonts w:ascii="Arial" w:hAnsi="Arial" w:cs="Arial"/>
          <w:sz w:val="20"/>
        </w:rPr>
        <w:t>conduct</w:t>
      </w:r>
      <w:r w:rsidRPr="0013695C">
        <w:rPr>
          <w:rFonts w:ascii="Arial" w:hAnsi="Arial" w:cs="Arial"/>
          <w:spacing w:val="-8"/>
          <w:sz w:val="20"/>
        </w:rPr>
        <w:t xml:space="preserve"> </w:t>
      </w:r>
      <w:r w:rsidRPr="0013695C">
        <w:rPr>
          <w:rFonts w:ascii="Arial" w:hAnsi="Arial" w:cs="Arial"/>
          <w:sz w:val="20"/>
        </w:rPr>
        <w:t>flight</w:t>
      </w:r>
      <w:r w:rsidRPr="0013695C">
        <w:rPr>
          <w:rFonts w:ascii="Arial" w:hAnsi="Arial" w:cs="Arial"/>
          <w:spacing w:val="-8"/>
          <w:sz w:val="20"/>
        </w:rPr>
        <w:t xml:space="preserve"> </w:t>
      </w:r>
      <w:r w:rsidRPr="0013695C">
        <w:rPr>
          <w:rFonts w:ascii="Arial" w:hAnsi="Arial" w:cs="Arial"/>
          <w:sz w:val="20"/>
        </w:rPr>
        <w:t>instruction</w:t>
      </w:r>
      <w:r w:rsidRPr="0013695C">
        <w:rPr>
          <w:rFonts w:ascii="Arial" w:hAnsi="Arial" w:cs="Arial"/>
          <w:spacing w:val="-12"/>
          <w:sz w:val="20"/>
        </w:rPr>
        <w:t xml:space="preserve"> </w:t>
      </w:r>
      <w:r w:rsidRPr="0013695C">
        <w:rPr>
          <w:rFonts w:ascii="Arial" w:hAnsi="Arial" w:cs="Arial"/>
          <w:sz w:val="20"/>
        </w:rPr>
        <w:t>for:</w:t>
      </w:r>
    </w:p>
    <w:p w14:paraId="22DC8B2A" w14:textId="77777777" w:rsidR="0013695C" w:rsidRPr="0013695C" w:rsidRDefault="0013695C" w:rsidP="003F6C42">
      <w:pPr>
        <w:numPr>
          <w:ilvl w:val="1"/>
          <w:numId w:val="220"/>
        </w:numPr>
        <w:tabs>
          <w:tab w:val="left" w:pos="1273"/>
          <w:tab w:val="left" w:pos="1274"/>
        </w:tabs>
        <w:spacing w:before="118" w:line="276" w:lineRule="auto"/>
        <w:ind w:right="68" w:hanging="568"/>
        <w:jc w:val="both"/>
        <w:rPr>
          <w:rFonts w:ascii="Arial" w:hAnsi="Arial" w:cs="Arial"/>
          <w:sz w:val="20"/>
        </w:rPr>
      </w:pPr>
      <w:r w:rsidRPr="0013695C">
        <w:rPr>
          <w:rFonts w:ascii="Arial" w:hAnsi="Arial" w:cs="Arial"/>
          <w:sz w:val="20"/>
        </w:rPr>
        <w:t>the issue</w:t>
      </w:r>
      <w:r w:rsidRPr="0013695C">
        <w:rPr>
          <w:rFonts w:ascii="Arial" w:hAnsi="Arial" w:cs="Arial"/>
          <w:spacing w:val="-2"/>
          <w:sz w:val="20"/>
        </w:rPr>
        <w:t xml:space="preserve"> </w:t>
      </w:r>
      <w:r w:rsidRPr="0013695C">
        <w:rPr>
          <w:rFonts w:ascii="Arial" w:hAnsi="Arial" w:cs="Arial"/>
          <w:sz w:val="20"/>
        </w:rPr>
        <w:t>of</w:t>
      </w:r>
      <w:r w:rsidRPr="0013695C">
        <w:rPr>
          <w:rFonts w:ascii="Arial" w:hAnsi="Arial" w:cs="Arial"/>
          <w:spacing w:val="-2"/>
          <w:sz w:val="20"/>
        </w:rPr>
        <w:t xml:space="preserve"> </w:t>
      </w:r>
      <w:r w:rsidRPr="0013695C">
        <w:rPr>
          <w:rFonts w:ascii="Arial" w:hAnsi="Arial" w:cs="Arial"/>
          <w:sz w:val="20"/>
        </w:rPr>
        <w:t>the relevant licence,</w:t>
      </w:r>
      <w:r w:rsidRPr="0013695C">
        <w:rPr>
          <w:rFonts w:ascii="Arial" w:hAnsi="Arial" w:cs="Arial"/>
          <w:spacing w:val="1"/>
          <w:sz w:val="20"/>
        </w:rPr>
        <w:t xml:space="preserve"> </w:t>
      </w:r>
      <w:r w:rsidRPr="0013695C">
        <w:rPr>
          <w:rFonts w:ascii="Arial" w:hAnsi="Arial" w:cs="Arial"/>
          <w:sz w:val="20"/>
        </w:rPr>
        <w:t>privileges,</w:t>
      </w:r>
      <w:r w:rsidRPr="0013695C">
        <w:rPr>
          <w:rFonts w:ascii="Arial" w:hAnsi="Arial" w:cs="Arial"/>
          <w:spacing w:val="-2"/>
          <w:sz w:val="20"/>
        </w:rPr>
        <w:t xml:space="preserve"> </w:t>
      </w:r>
      <w:r w:rsidRPr="0013695C">
        <w:rPr>
          <w:rFonts w:ascii="Arial" w:hAnsi="Arial" w:cs="Arial"/>
          <w:sz w:val="20"/>
        </w:rPr>
        <w:t>ratings</w:t>
      </w:r>
      <w:r w:rsidRPr="0013695C">
        <w:rPr>
          <w:rFonts w:ascii="Arial" w:hAnsi="Arial" w:cs="Arial"/>
          <w:spacing w:val="-2"/>
          <w:sz w:val="20"/>
        </w:rPr>
        <w:t xml:space="preserve"> </w:t>
      </w:r>
      <w:r w:rsidRPr="0013695C">
        <w:rPr>
          <w:rFonts w:ascii="Arial" w:hAnsi="Arial" w:cs="Arial"/>
          <w:sz w:val="20"/>
        </w:rPr>
        <w:t>or</w:t>
      </w:r>
      <w:r w:rsidRPr="0013695C">
        <w:rPr>
          <w:rFonts w:ascii="Arial" w:hAnsi="Arial" w:cs="Arial"/>
          <w:spacing w:val="-2"/>
          <w:sz w:val="20"/>
        </w:rPr>
        <w:t xml:space="preserve"> </w:t>
      </w:r>
      <w:r w:rsidRPr="0013695C">
        <w:rPr>
          <w:rFonts w:ascii="Arial" w:hAnsi="Arial" w:cs="Arial"/>
          <w:sz w:val="20"/>
        </w:rPr>
        <w:t>certificate;</w:t>
      </w:r>
      <w:r w:rsidRPr="0013695C">
        <w:rPr>
          <w:rFonts w:ascii="Arial" w:hAnsi="Arial" w:cs="Arial"/>
          <w:spacing w:val="-2"/>
          <w:sz w:val="20"/>
        </w:rPr>
        <w:t xml:space="preserve"> </w:t>
      </w:r>
      <w:r w:rsidRPr="0013695C">
        <w:rPr>
          <w:rFonts w:ascii="Arial" w:hAnsi="Arial" w:cs="Arial"/>
          <w:sz w:val="20"/>
        </w:rPr>
        <w:t>and</w:t>
      </w:r>
    </w:p>
    <w:p w14:paraId="2E87AD8D" w14:textId="7D9CB129" w:rsidR="0013695C" w:rsidRPr="00732FC8" w:rsidRDefault="0013695C" w:rsidP="00FF5E02">
      <w:pPr>
        <w:numPr>
          <w:ilvl w:val="1"/>
          <w:numId w:val="220"/>
        </w:numPr>
        <w:tabs>
          <w:tab w:val="left" w:pos="1273"/>
          <w:tab w:val="left" w:pos="1274"/>
        </w:tabs>
        <w:spacing w:before="120" w:line="276" w:lineRule="auto"/>
        <w:ind w:right="68"/>
        <w:jc w:val="both"/>
        <w:rPr>
          <w:rFonts w:ascii="Arial" w:hAnsi="Arial" w:cs="Arial"/>
          <w:sz w:val="20"/>
        </w:rPr>
      </w:pPr>
      <w:r w:rsidRPr="0013695C">
        <w:rPr>
          <w:rFonts w:ascii="Arial" w:hAnsi="Arial" w:cs="Arial"/>
          <w:sz w:val="20"/>
        </w:rPr>
        <w:t>the</w:t>
      </w:r>
      <w:r w:rsidRPr="0013695C">
        <w:rPr>
          <w:rFonts w:ascii="Arial" w:hAnsi="Arial" w:cs="Arial"/>
          <w:spacing w:val="10"/>
          <w:sz w:val="20"/>
        </w:rPr>
        <w:t xml:space="preserve"> </w:t>
      </w:r>
      <w:r w:rsidRPr="0013695C">
        <w:rPr>
          <w:rFonts w:ascii="Arial" w:hAnsi="Arial" w:cs="Arial"/>
          <w:sz w:val="20"/>
        </w:rPr>
        <w:t>revalidation,</w:t>
      </w:r>
      <w:r w:rsidRPr="0013695C">
        <w:rPr>
          <w:rFonts w:ascii="Arial" w:hAnsi="Arial" w:cs="Arial"/>
          <w:spacing w:val="11"/>
          <w:sz w:val="20"/>
        </w:rPr>
        <w:t xml:space="preserve"> </w:t>
      </w:r>
      <w:r w:rsidRPr="0013695C">
        <w:rPr>
          <w:rFonts w:ascii="Arial" w:hAnsi="Arial" w:cs="Arial"/>
          <w:sz w:val="20"/>
        </w:rPr>
        <w:t>renewal</w:t>
      </w:r>
      <w:r w:rsidRPr="0013695C">
        <w:rPr>
          <w:rFonts w:ascii="Arial" w:hAnsi="Arial" w:cs="Arial"/>
          <w:spacing w:val="9"/>
          <w:sz w:val="20"/>
        </w:rPr>
        <w:t xml:space="preserve"> </w:t>
      </w:r>
      <w:r w:rsidRPr="0013695C">
        <w:rPr>
          <w:rFonts w:ascii="Arial" w:hAnsi="Arial" w:cs="Arial"/>
          <w:sz w:val="20"/>
        </w:rPr>
        <w:t>or</w:t>
      </w:r>
      <w:r w:rsidRPr="0013695C">
        <w:rPr>
          <w:rFonts w:ascii="Arial" w:hAnsi="Arial" w:cs="Arial"/>
          <w:spacing w:val="11"/>
          <w:sz w:val="20"/>
        </w:rPr>
        <w:t xml:space="preserve"> </w:t>
      </w:r>
      <w:r w:rsidRPr="0013695C">
        <w:rPr>
          <w:rFonts w:ascii="Arial" w:hAnsi="Arial" w:cs="Arial"/>
          <w:sz w:val="20"/>
        </w:rPr>
        <w:t>compliance</w:t>
      </w:r>
      <w:r w:rsidRPr="0013695C">
        <w:rPr>
          <w:rFonts w:ascii="Arial" w:hAnsi="Arial" w:cs="Arial"/>
          <w:spacing w:val="8"/>
          <w:sz w:val="20"/>
        </w:rPr>
        <w:t xml:space="preserve"> </w:t>
      </w:r>
      <w:r w:rsidRPr="0013695C">
        <w:rPr>
          <w:rFonts w:ascii="Arial" w:hAnsi="Arial" w:cs="Arial"/>
          <w:sz w:val="20"/>
        </w:rPr>
        <w:t>with</w:t>
      </w:r>
      <w:r w:rsidRPr="0013695C">
        <w:rPr>
          <w:rFonts w:ascii="Arial" w:hAnsi="Arial" w:cs="Arial"/>
          <w:spacing w:val="8"/>
          <w:sz w:val="20"/>
        </w:rPr>
        <w:t xml:space="preserve"> </w:t>
      </w:r>
      <w:r w:rsidRPr="0013695C">
        <w:rPr>
          <w:rFonts w:ascii="Arial" w:hAnsi="Arial" w:cs="Arial"/>
          <w:sz w:val="20"/>
        </w:rPr>
        <w:t>the</w:t>
      </w:r>
      <w:r w:rsidRPr="0013695C">
        <w:rPr>
          <w:rFonts w:ascii="Arial" w:hAnsi="Arial" w:cs="Arial"/>
          <w:spacing w:val="11"/>
          <w:sz w:val="20"/>
        </w:rPr>
        <w:t xml:space="preserve"> </w:t>
      </w:r>
      <w:r w:rsidRPr="0013695C">
        <w:rPr>
          <w:rFonts w:ascii="Arial" w:hAnsi="Arial" w:cs="Arial"/>
          <w:sz w:val="20"/>
        </w:rPr>
        <w:t>relevant</w:t>
      </w:r>
      <w:r w:rsidRPr="0013695C">
        <w:rPr>
          <w:rFonts w:ascii="Arial" w:hAnsi="Arial" w:cs="Arial"/>
          <w:spacing w:val="11"/>
          <w:sz w:val="20"/>
        </w:rPr>
        <w:t xml:space="preserve"> </w:t>
      </w:r>
      <w:r w:rsidRPr="0013695C">
        <w:rPr>
          <w:rFonts w:ascii="Arial" w:hAnsi="Arial" w:cs="Arial"/>
          <w:sz w:val="20"/>
        </w:rPr>
        <w:t>recency</w:t>
      </w:r>
      <w:r w:rsidRPr="0013695C">
        <w:rPr>
          <w:rFonts w:ascii="Arial" w:hAnsi="Arial" w:cs="Arial"/>
          <w:spacing w:val="10"/>
          <w:sz w:val="20"/>
        </w:rPr>
        <w:t xml:space="preserve"> </w:t>
      </w:r>
      <w:r w:rsidRPr="0013695C">
        <w:rPr>
          <w:rFonts w:ascii="Arial" w:hAnsi="Arial" w:cs="Arial"/>
          <w:sz w:val="20"/>
        </w:rPr>
        <w:t>requirements</w:t>
      </w:r>
      <w:r w:rsidRPr="0013695C">
        <w:rPr>
          <w:rFonts w:ascii="Arial" w:hAnsi="Arial" w:cs="Arial"/>
          <w:spacing w:val="9"/>
          <w:sz w:val="20"/>
        </w:rPr>
        <w:t xml:space="preserve"> </w:t>
      </w:r>
      <w:r w:rsidRPr="0013695C">
        <w:rPr>
          <w:rFonts w:ascii="Arial" w:hAnsi="Arial" w:cs="Arial"/>
          <w:sz w:val="20"/>
        </w:rPr>
        <w:t>of</w:t>
      </w:r>
      <w:r w:rsidRPr="0013695C">
        <w:rPr>
          <w:rFonts w:ascii="Arial" w:hAnsi="Arial" w:cs="Arial"/>
          <w:spacing w:val="7"/>
          <w:sz w:val="20"/>
        </w:rPr>
        <w:t xml:space="preserve"> </w:t>
      </w:r>
      <w:r w:rsidRPr="0013695C">
        <w:rPr>
          <w:rFonts w:ascii="Arial" w:hAnsi="Arial" w:cs="Arial"/>
          <w:sz w:val="20"/>
        </w:rPr>
        <w:t>this</w:t>
      </w:r>
      <w:r w:rsidRPr="0013695C">
        <w:rPr>
          <w:rFonts w:ascii="Arial" w:hAnsi="Arial" w:cs="Arial"/>
          <w:spacing w:val="-46"/>
          <w:sz w:val="20"/>
        </w:rPr>
        <w:t xml:space="preserve"> </w:t>
      </w:r>
      <w:r w:rsidRPr="0013695C">
        <w:rPr>
          <w:rFonts w:ascii="Arial" w:hAnsi="Arial" w:cs="Arial"/>
          <w:sz w:val="20"/>
        </w:rPr>
        <w:t>Annex, as applicable.</w:t>
      </w:r>
    </w:p>
    <w:p w14:paraId="2619B8F1" w14:textId="77777777" w:rsidR="0013695C" w:rsidRPr="0013695C" w:rsidRDefault="0013695C" w:rsidP="0013695C">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703" w:name="AMC1_BFCL.315(a)(4)(ii)__FI(B)_certifica"/>
      <w:bookmarkStart w:id="704" w:name="_bookmark284"/>
      <w:bookmarkStart w:id="705" w:name="_Toc153137449"/>
      <w:bookmarkEnd w:id="703"/>
      <w:bookmarkEnd w:id="704"/>
      <w:r w:rsidRPr="0013695C">
        <w:rPr>
          <w:rFonts w:ascii="Arial" w:eastAsia="Times New Roman" w:hAnsi="Arial" w:cs="Times New Roman"/>
          <w:b/>
          <w:color w:val="FFFFFF"/>
          <w:sz w:val="24"/>
        </w:rPr>
        <w:t>AMC1 BFCL.315(a)(4)(ii) FI(B) certificate – Privileges and conditions</w:t>
      </w:r>
      <w:bookmarkEnd w:id="705"/>
    </w:p>
    <w:p w14:paraId="43D8C14E" w14:textId="77777777" w:rsidR="0013695C" w:rsidRPr="0013695C" w:rsidRDefault="0013695C" w:rsidP="0013695C">
      <w:pPr>
        <w:widowControl/>
        <w:autoSpaceDE/>
        <w:autoSpaceDN/>
        <w:spacing w:before="240" w:after="160" w:line="264" w:lineRule="auto"/>
        <w:jc w:val="both"/>
        <w:rPr>
          <w:rFonts w:ascii="Arial" w:eastAsiaTheme="minorHAnsi" w:hAnsi="Arial" w:cs="Arial"/>
          <w:b/>
          <w:bCs/>
          <w:sz w:val="20"/>
          <w:szCs w:val="20"/>
        </w:rPr>
      </w:pPr>
      <w:r w:rsidRPr="0013695C">
        <w:rPr>
          <w:rFonts w:ascii="Arial" w:eastAsiaTheme="minorHAnsi" w:hAnsi="Arial" w:cs="Arial"/>
          <w:b/>
          <w:bCs/>
          <w:sz w:val="20"/>
          <w:szCs w:val="20"/>
        </w:rPr>
        <w:t>ADDITIONAL TRAINING REQUIRED BEFORE INSTRUCTING DURING FI(B) TRAINING COURSES</w:t>
      </w:r>
    </w:p>
    <w:p w14:paraId="6D7C9950" w14:textId="77777777" w:rsidR="0013695C" w:rsidRPr="0013695C" w:rsidRDefault="0013695C" w:rsidP="003F6C42">
      <w:pPr>
        <w:pStyle w:val="BodyText"/>
        <w:spacing w:before="119" w:line="276" w:lineRule="auto"/>
        <w:ind w:right="68"/>
        <w:jc w:val="both"/>
        <w:rPr>
          <w:rFonts w:ascii="Arial" w:hAnsi="Arial" w:cs="Arial"/>
          <w:sz w:val="20"/>
        </w:rPr>
      </w:pPr>
      <w:r w:rsidRPr="0013695C">
        <w:rPr>
          <w:rFonts w:ascii="Arial" w:hAnsi="Arial" w:cs="Arial"/>
          <w:sz w:val="20"/>
        </w:rPr>
        <w:t>The</w:t>
      </w:r>
      <w:r w:rsidRPr="0013695C">
        <w:rPr>
          <w:rFonts w:ascii="Arial" w:hAnsi="Arial" w:cs="Arial"/>
          <w:spacing w:val="-9"/>
          <w:sz w:val="20"/>
        </w:rPr>
        <w:t xml:space="preserve"> </w:t>
      </w:r>
      <w:r w:rsidRPr="0013695C">
        <w:rPr>
          <w:rFonts w:ascii="Arial" w:hAnsi="Arial" w:cs="Arial"/>
          <w:sz w:val="20"/>
        </w:rPr>
        <w:t>1</w:t>
      </w:r>
      <w:r w:rsidRPr="0013695C">
        <w:rPr>
          <w:rFonts w:ascii="Arial" w:hAnsi="Arial" w:cs="Arial"/>
          <w:spacing w:val="-8"/>
          <w:sz w:val="20"/>
        </w:rPr>
        <w:t xml:space="preserve"> </w:t>
      </w:r>
      <w:r w:rsidRPr="0013695C">
        <w:rPr>
          <w:rFonts w:ascii="Arial" w:hAnsi="Arial" w:cs="Arial"/>
          <w:sz w:val="20"/>
        </w:rPr>
        <w:t>hour</w:t>
      </w:r>
      <w:r w:rsidRPr="0013695C">
        <w:rPr>
          <w:rFonts w:ascii="Arial" w:hAnsi="Arial" w:cs="Arial"/>
          <w:spacing w:val="-9"/>
          <w:sz w:val="20"/>
        </w:rPr>
        <w:t xml:space="preserve"> </w:t>
      </w:r>
      <w:r w:rsidRPr="0013695C">
        <w:rPr>
          <w:rFonts w:ascii="Arial" w:hAnsi="Arial" w:cs="Arial"/>
          <w:sz w:val="20"/>
        </w:rPr>
        <w:t>of</w:t>
      </w:r>
      <w:r w:rsidRPr="0013695C">
        <w:rPr>
          <w:rFonts w:ascii="Arial" w:hAnsi="Arial" w:cs="Arial"/>
          <w:spacing w:val="-9"/>
          <w:sz w:val="20"/>
        </w:rPr>
        <w:t xml:space="preserve"> </w:t>
      </w:r>
      <w:r w:rsidRPr="0013695C">
        <w:rPr>
          <w:rFonts w:ascii="Arial" w:hAnsi="Arial" w:cs="Arial"/>
          <w:sz w:val="20"/>
        </w:rPr>
        <w:t>flight</w:t>
      </w:r>
      <w:r w:rsidRPr="0013695C">
        <w:rPr>
          <w:rFonts w:ascii="Arial" w:hAnsi="Arial" w:cs="Arial"/>
          <w:spacing w:val="-8"/>
          <w:sz w:val="20"/>
        </w:rPr>
        <w:t xml:space="preserve"> </w:t>
      </w:r>
      <w:r w:rsidRPr="0013695C">
        <w:rPr>
          <w:rFonts w:ascii="Arial" w:hAnsi="Arial" w:cs="Arial"/>
          <w:sz w:val="20"/>
        </w:rPr>
        <w:t>instruction,</w:t>
      </w:r>
      <w:r w:rsidRPr="0013695C">
        <w:rPr>
          <w:rFonts w:ascii="Arial" w:hAnsi="Arial" w:cs="Arial"/>
          <w:spacing w:val="-9"/>
          <w:sz w:val="20"/>
        </w:rPr>
        <w:t xml:space="preserve"> </w:t>
      </w:r>
      <w:r w:rsidRPr="0013695C">
        <w:rPr>
          <w:rFonts w:ascii="Arial" w:hAnsi="Arial" w:cs="Arial"/>
          <w:sz w:val="20"/>
        </w:rPr>
        <w:t>as</w:t>
      </w:r>
      <w:r w:rsidRPr="0013695C">
        <w:rPr>
          <w:rFonts w:ascii="Arial" w:hAnsi="Arial" w:cs="Arial"/>
          <w:spacing w:val="-9"/>
          <w:sz w:val="20"/>
        </w:rPr>
        <w:t xml:space="preserve"> </w:t>
      </w:r>
      <w:r w:rsidRPr="0013695C">
        <w:rPr>
          <w:rFonts w:ascii="Arial" w:hAnsi="Arial" w:cs="Arial"/>
          <w:sz w:val="20"/>
        </w:rPr>
        <w:t>required</w:t>
      </w:r>
      <w:r w:rsidRPr="0013695C">
        <w:rPr>
          <w:rFonts w:ascii="Arial" w:hAnsi="Arial" w:cs="Arial"/>
          <w:spacing w:val="-10"/>
          <w:sz w:val="20"/>
        </w:rPr>
        <w:t xml:space="preserve"> </w:t>
      </w:r>
      <w:r w:rsidRPr="0013695C">
        <w:rPr>
          <w:rFonts w:ascii="Arial" w:hAnsi="Arial" w:cs="Arial"/>
          <w:sz w:val="20"/>
        </w:rPr>
        <w:t>in</w:t>
      </w:r>
      <w:r w:rsidRPr="0013695C">
        <w:rPr>
          <w:rFonts w:ascii="Arial" w:hAnsi="Arial" w:cs="Arial"/>
          <w:spacing w:val="-10"/>
          <w:sz w:val="20"/>
        </w:rPr>
        <w:t xml:space="preserve"> </w:t>
      </w:r>
      <w:r w:rsidRPr="0013695C">
        <w:rPr>
          <w:rFonts w:ascii="Arial" w:hAnsi="Arial" w:cs="Arial"/>
          <w:sz w:val="20"/>
        </w:rPr>
        <w:t>point</w:t>
      </w:r>
      <w:r w:rsidRPr="0013695C">
        <w:rPr>
          <w:rFonts w:ascii="Arial" w:hAnsi="Arial" w:cs="Arial"/>
          <w:spacing w:val="-8"/>
          <w:sz w:val="20"/>
        </w:rPr>
        <w:t xml:space="preserve"> </w:t>
      </w:r>
      <w:r w:rsidRPr="0013695C">
        <w:rPr>
          <w:rFonts w:ascii="Arial" w:hAnsi="Arial" w:cs="Arial"/>
          <w:sz w:val="20"/>
        </w:rPr>
        <w:t>BFCL.315(a)(4)(ii),</w:t>
      </w:r>
      <w:r w:rsidRPr="0013695C">
        <w:rPr>
          <w:rFonts w:ascii="Arial" w:hAnsi="Arial" w:cs="Arial"/>
          <w:spacing w:val="-8"/>
          <w:sz w:val="20"/>
        </w:rPr>
        <w:t xml:space="preserve"> </w:t>
      </w:r>
      <w:r w:rsidRPr="0013695C">
        <w:rPr>
          <w:rFonts w:ascii="Arial" w:hAnsi="Arial" w:cs="Arial"/>
          <w:sz w:val="20"/>
        </w:rPr>
        <w:t>should</w:t>
      </w:r>
      <w:r w:rsidRPr="0013695C">
        <w:rPr>
          <w:rFonts w:ascii="Arial" w:hAnsi="Arial" w:cs="Arial"/>
          <w:spacing w:val="-10"/>
          <w:sz w:val="20"/>
        </w:rPr>
        <w:t xml:space="preserve"> </w:t>
      </w:r>
      <w:r w:rsidRPr="0013695C">
        <w:rPr>
          <w:rFonts w:ascii="Arial" w:hAnsi="Arial" w:cs="Arial"/>
          <w:sz w:val="20"/>
        </w:rPr>
        <w:t>consist</w:t>
      </w:r>
      <w:r w:rsidRPr="0013695C">
        <w:rPr>
          <w:rFonts w:ascii="Arial" w:hAnsi="Arial" w:cs="Arial"/>
          <w:spacing w:val="-9"/>
          <w:sz w:val="20"/>
        </w:rPr>
        <w:t xml:space="preserve"> </w:t>
      </w:r>
      <w:r w:rsidRPr="0013695C">
        <w:rPr>
          <w:rFonts w:ascii="Arial" w:hAnsi="Arial" w:cs="Arial"/>
          <w:sz w:val="20"/>
        </w:rPr>
        <w:t>of</w:t>
      </w:r>
      <w:r w:rsidRPr="0013695C">
        <w:rPr>
          <w:rFonts w:ascii="Arial" w:hAnsi="Arial" w:cs="Arial"/>
          <w:spacing w:val="-12"/>
          <w:sz w:val="20"/>
        </w:rPr>
        <w:t xml:space="preserve"> </w:t>
      </w:r>
      <w:r w:rsidRPr="0013695C">
        <w:rPr>
          <w:rFonts w:ascii="Arial" w:hAnsi="Arial" w:cs="Arial"/>
          <w:sz w:val="20"/>
        </w:rPr>
        <w:t>exercises</w:t>
      </w:r>
      <w:r w:rsidRPr="0013695C">
        <w:rPr>
          <w:rFonts w:ascii="Arial" w:hAnsi="Arial" w:cs="Arial"/>
          <w:spacing w:val="-9"/>
          <w:sz w:val="20"/>
        </w:rPr>
        <w:t xml:space="preserve"> </w:t>
      </w:r>
      <w:r w:rsidRPr="0013695C">
        <w:rPr>
          <w:rFonts w:ascii="Arial" w:hAnsi="Arial" w:cs="Arial"/>
          <w:sz w:val="20"/>
        </w:rPr>
        <w:t>from</w:t>
      </w:r>
      <w:r w:rsidRPr="0013695C">
        <w:rPr>
          <w:rFonts w:ascii="Arial" w:hAnsi="Arial" w:cs="Arial"/>
          <w:spacing w:val="-47"/>
          <w:sz w:val="20"/>
        </w:rPr>
        <w:t xml:space="preserve"> </w:t>
      </w:r>
      <w:r w:rsidRPr="0013695C">
        <w:rPr>
          <w:rFonts w:ascii="Arial" w:hAnsi="Arial" w:cs="Arial"/>
          <w:sz w:val="20"/>
        </w:rPr>
        <w:t>the</w:t>
      </w:r>
      <w:r w:rsidRPr="0013695C">
        <w:rPr>
          <w:rFonts w:ascii="Arial" w:hAnsi="Arial" w:cs="Arial"/>
          <w:spacing w:val="-8"/>
          <w:sz w:val="20"/>
        </w:rPr>
        <w:t xml:space="preserve"> </w:t>
      </w:r>
      <w:r w:rsidRPr="0013695C">
        <w:rPr>
          <w:rFonts w:ascii="Arial" w:hAnsi="Arial" w:cs="Arial"/>
          <w:sz w:val="20"/>
        </w:rPr>
        <w:t>FI(B)</w:t>
      </w:r>
      <w:r w:rsidRPr="0013695C">
        <w:rPr>
          <w:rFonts w:ascii="Arial" w:hAnsi="Arial" w:cs="Arial"/>
          <w:spacing w:val="-8"/>
          <w:sz w:val="20"/>
        </w:rPr>
        <w:t xml:space="preserve"> </w:t>
      </w:r>
      <w:r w:rsidRPr="0013695C">
        <w:rPr>
          <w:rFonts w:ascii="Arial" w:hAnsi="Arial" w:cs="Arial"/>
          <w:sz w:val="20"/>
        </w:rPr>
        <w:t>training</w:t>
      </w:r>
      <w:r w:rsidRPr="0013695C">
        <w:rPr>
          <w:rFonts w:ascii="Arial" w:hAnsi="Arial" w:cs="Arial"/>
          <w:spacing w:val="-9"/>
          <w:sz w:val="20"/>
        </w:rPr>
        <w:t xml:space="preserve"> </w:t>
      </w:r>
      <w:r w:rsidRPr="0013695C">
        <w:rPr>
          <w:rFonts w:ascii="Arial" w:hAnsi="Arial" w:cs="Arial"/>
          <w:sz w:val="20"/>
        </w:rPr>
        <w:t>course,</w:t>
      </w:r>
      <w:r w:rsidRPr="0013695C">
        <w:rPr>
          <w:rFonts w:ascii="Arial" w:hAnsi="Arial" w:cs="Arial"/>
          <w:spacing w:val="-7"/>
          <w:sz w:val="20"/>
        </w:rPr>
        <w:t xml:space="preserve"> </w:t>
      </w:r>
      <w:r w:rsidRPr="0013695C">
        <w:rPr>
          <w:rFonts w:ascii="Arial" w:hAnsi="Arial" w:cs="Arial"/>
          <w:sz w:val="20"/>
        </w:rPr>
        <w:t>as</w:t>
      </w:r>
      <w:r w:rsidRPr="0013695C">
        <w:rPr>
          <w:rFonts w:ascii="Arial" w:hAnsi="Arial" w:cs="Arial"/>
          <w:spacing w:val="-9"/>
          <w:sz w:val="20"/>
        </w:rPr>
        <w:t xml:space="preserve"> </w:t>
      </w:r>
      <w:r w:rsidRPr="0013695C">
        <w:rPr>
          <w:rFonts w:ascii="Arial" w:hAnsi="Arial" w:cs="Arial"/>
          <w:sz w:val="20"/>
        </w:rPr>
        <w:t>selected</w:t>
      </w:r>
      <w:r w:rsidRPr="0013695C">
        <w:rPr>
          <w:rFonts w:ascii="Arial" w:hAnsi="Arial" w:cs="Arial"/>
          <w:spacing w:val="-8"/>
          <w:sz w:val="20"/>
        </w:rPr>
        <w:t xml:space="preserve"> </w:t>
      </w:r>
      <w:r w:rsidRPr="0013695C">
        <w:rPr>
          <w:rFonts w:ascii="Arial" w:hAnsi="Arial" w:cs="Arial"/>
          <w:sz w:val="20"/>
        </w:rPr>
        <w:t>by</w:t>
      </w:r>
      <w:r w:rsidRPr="0013695C">
        <w:rPr>
          <w:rFonts w:ascii="Arial" w:hAnsi="Arial" w:cs="Arial"/>
          <w:spacing w:val="-7"/>
          <w:sz w:val="20"/>
        </w:rPr>
        <w:t xml:space="preserve"> </w:t>
      </w:r>
      <w:r w:rsidRPr="0013695C">
        <w:rPr>
          <w:rFonts w:ascii="Arial" w:hAnsi="Arial" w:cs="Arial"/>
          <w:sz w:val="20"/>
        </w:rPr>
        <w:t>the</w:t>
      </w:r>
      <w:r w:rsidRPr="0013695C">
        <w:rPr>
          <w:rFonts w:ascii="Arial" w:hAnsi="Arial" w:cs="Arial"/>
          <w:spacing w:val="-8"/>
          <w:sz w:val="20"/>
        </w:rPr>
        <w:t xml:space="preserve"> </w:t>
      </w:r>
      <w:r w:rsidRPr="0013695C">
        <w:rPr>
          <w:rFonts w:ascii="Arial" w:hAnsi="Arial" w:cs="Arial"/>
          <w:sz w:val="20"/>
        </w:rPr>
        <w:t>supervising</w:t>
      </w:r>
      <w:r w:rsidRPr="0013695C">
        <w:rPr>
          <w:rFonts w:ascii="Arial" w:hAnsi="Arial" w:cs="Arial"/>
          <w:spacing w:val="-9"/>
          <w:sz w:val="20"/>
        </w:rPr>
        <w:t xml:space="preserve"> </w:t>
      </w:r>
      <w:r w:rsidRPr="0013695C">
        <w:rPr>
          <w:rFonts w:ascii="Arial" w:hAnsi="Arial" w:cs="Arial"/>
          <w:sz w:val="20"/>
        </w:rPr>
        <w:t>FI(B),</w:t>
      </w:r>
      <w:r w:rsidRPr="0013695C">
        <w:rPr>
          <w:rFonts w:ascii="Arial" w:hAnsi="Arial" w:cs="Arial"/>
          <w:spacing w:val="-7"/>
          <w:sz w:val="20"/>
        </w:rPr>
        <w:t xml:space="preserve"> </w:t>
      </w:r>
      <w:r w:rsidRPr="0013695C">
        <w:rPr>
          <w:rFonts w:ascii="Arial" w:hAnsi="Arial" w:cs="Arial"/>
          <w:sz w:val="20"/>
        </w:rPr>
        <w:t>and</w:t>
      </w:r>
      <w:r w:rsidRPr="0013695C">
        <w:rPr>
          <w:rFonts w:ascii="Arial" w:hAnsi="Arial" w:cs="Arial"/>
          <w:spacing w:val="-9"/>
          <w:sz w:val="20"/>
        </w:rPr>
        <w:t xml:space="preserve"> </w:t>
      </w:r>
      <w:r w:rsidRPr="0013695C">
        <w:rPr>
          <w:rFonts w:ascii="Arial" w:hAnsi="Arial" w:cs="Arial"/>
          <w:sz w:val="20"/>
        </w:rPr>
        <w:t>should,</w:t>
      </w:r>
      <w:r w:rsidRPr="0013695C">
        <w:rPr>
          <w:rFonts w:ascii="Arial" w:hAnsi="Arial" w:cs="Arial"/>
          <w:spacing w:val="-8"/>
          <w:sz w:val="20"/>
        </w:rPr>
        <w:t xml:space="preserve"> </w:t>
      </w:r>
      <w:r w:rsidRPr="0013695C">
        <w:rPr>
          <w:rFonts w:ascii="Arial" w:hAnsi="Arial" w:cs="Arial"/>
          <w:sz w:val="20"/>
        </w:rPr>
        <w:t>in</w:t>
      </w:r>
      <w:r w:rsidRPr="0013695C">
        <w:rPr>
          <w:rFonts w:ascii="Arial" w:hAnsi="Arial" w:cs="Arial"/>
          <w:spacing w:val="-9"/>
          <w:sz w:val="20"/>
        </w:rPr>
        <w:t xml:space="preserve"> </w:t>
      </w:r>
      <w:r w:rsidRPr="0013695C">
        <w:rPr>
          <w:rFonts w:ascii="Arial" w:hAnsi="Arial" w:cs="Arial"/>
          <w:sz w:val="20"/>
        </w:rPr>
        <w:t>any</w:t>
      </w:r>
      <w:r w:rsidRPr="0013695C">
        <w:rPr>
          <w:rFonts w:ascii="Arial" w:hAnsi="Arial" w:cs="Arial"/>
          <w:spacing w:val="-7"/>
          <w:sz w:val="20"/>
        </w:rPr>
        <w:t xml:space="preserve"> </w:t>
      </w:r>
      <w:r w:rsidRPr="0013695C">
        <w:rPr>
          <w:rFonts w:ascii="Arial" w:hAnsi="Arial" w:cs="Arial"/>
          <w:sz w:val="20"/>
        </w:rPr>
        <w:t>case,</w:t>
      </w:r>
      <w:r w:rsidRPr="0013695C">
        <w:rPr>
          <w:rFonts w:ascii="Arial" w:hAnsi="Arial" w:cs="Arial"/>
          <w:spacing w:val="-6"/>
          <w:sz w:val="20"/>
        </w:rPr>
        <w:t xml:space="preserve"> </w:t>
      </w:r>
      <w:r w:rsidRPr="0013695C">
        <w:rPr>
          <w:rFonts w:ascii="Arial" w:hAnsi="Arial" w:cs="Arial"/>
          <w:sz w:val="20"/>
        </w:rPr>
        <w:t>include</w:t>
      </w:r>
      <w:r w:rsidRPr="0013695C">
        <w:rPr>
          <w:rFonts w:ascii="Arial" w:hAnsi="Arial" w:cs="Arial"/>
          <w:spacing w:val="-7"/>
          <w:sz w:val="20"/>
        </w:rPr>
        <w:t xml:space="preserve"> </w:t>
      </w:r>
      <w:r w:rsidRPr="0013695C">
        <w:rPr>
          <w:rFonts w:ascii="Arial" w:hAnsi="Arial" w:cs="Arial"/>
          <w:sz w:val="20"/>
        </w:rPr>
        <w:t>all</w:t>
      </w:r>
      <w:r w:rsidRPr="0013695C">
        <w:rPr>
          <w:rFonts w:ascii="Arial" w:hAnsi="Arial" w:cs="Arial"/>
          <w:spacing w:val="-9"/>
          <w:sz w:val="20"/>
        </w:rPr>
        <w:t xml:space="preserve"> </w:t>
      </w:r>
      <w:r w:rsidRPr="0013695C">
        <w:rPr>
          <w:rFonts w:ascii="Arial" w:hAnsi="Arial" w:cs="Arial"/>
          <w:sz w:val="20"/>
        </w:rPr>
        <w:t>of</w:t>
      </w:r>
      <w:r w:rsidRPr="0013695C">
        <w:rPr>
          <w:rFonts w:ascii="Arial" w:hAnsi="Arial" w:cs="Arial"/>
          <w:spacing w:val="-8"/>
          <w:sz w:val="20"/>
        </w:rPr>
        <w:t xml:space="preserve"> </w:t>
      </w:r>
      <w:r w:rsidRPr="0013695C">
        <w:rPr>
          <w:rFonts w:ascii="Arial" w:hAnsi="Arial" w:cs="Arial"/>
          <w:sz w:val="20"/>
        </w:rPr>
        <w:t>the</w:t>
      </w:r>
      <w:r w:rsidRPr="0013695C">
        <w:rPr>
          <w:rFonts w:ascii="Arial" w:hAnsi="Arial" w:cs="Arial"/>
          <w:spacing w:val="-47"/>
          <w:sz w:val="20"/>
        </w:rPr>
        <w:t xml:space="preserve"> </w:t>
      </w:r>
      <w:r w:rsidRPr="0013695C">
        <w:rPr>
          <w:rFonts w:ascii="Arial" w:hAnsi="Arial" w:cs="Arial"/>
          <w:sz w:val="20"/>
        </w:rPr>
        <w:t>following:</w:t>
      </w:r>
    </w:p>
    <w:p w14:paraId="601272F1" w14:textId="77777777" w:rsidR="0013695C" w:rsidRPr="0013695C" w:rsidRDefault="0013695C" w:rsidP="003F6C42">
      <w:pPr>
        <w:pStyle w:val="ListParagraph"/>
        <w:numPr>
          <w:ilvl w:val="0"/>
          <w:numId w:val="221"/>
        </w:numPr>
        <w:tabs>
          <w:tab w:val="left" w:pos="706"/>
          <w:tab w:val="left" w:pos="707"/>
        </w:tabs>
        <w:spacing w:line="276" w:lineRule="auto"/>
        <w:ind w:left="705" w:right="68"/>
        <w:jc w:val="both"/>
        <w:rPr>
          <w:rFonts w:ascii="Arial" w:hAnsi="Arial" w:cs="Arial"/>
          <w:sz w:val="20"/>
        </w:rPr>
      </w:pPr>
      <w:r w:rsidRPr="0013695C">
        <w:rPr>
          <w:rFonts w:ascii="Arial" w:hAnsi="Arial" w:cs="Arial"/>
          <w:sz w:val="20"/>
        </w:rPr>
        <w:t>one take-off</w:t>
      </w:r>
      <w:r w:rsidRPr="0013695C">
        <w:rPr>
          <w:rFonts w:ascii="Arial" w:hAnsi="Arial" w:cs="Arial"/>
          <w:spacing w:val="-1"/>
          <w:sz w:val="20"/>
        </w:rPr>
        <w:t xml:space="preserve"> </w:t>
      </w:r>
      <w:r w:rsidRPr="0013695C">
        <w:rPr>
          <w:rFonts w:ascii="Arial" w:hAnsi="Arial" w:cs="Arial"/>
          <w:sz w:val="20"/>
        </w:rPr>
        <w:t>and</w:t>
      </w:r>
      <w:r w:rsidRPr="0013695C">
        <w:rPr>
          <w:rFonts w:ascii="Arial" w:hAnsi="Arial" w:cs="Arial"/>
          <w:spacing w:val="-4"/>
          <w:sz w:val="20"/>
        </w:rPr>
        <w:t xml:space="preserve"> </w:t>
      </w:r>
      <w:r w:rsidRPr="0013695C">
        <w:rPr>
          <w:rFonts w:ascii="Arial" w:hAnsi="Arial" w:cs="Arial"/>
          <w:sz w:val="20"/>
        </w:rPr>
        <w:t>one</w:t>
      </w:r>
      <w:r w:rsidRPr="0013695C">
        <w:rPr>
          <w:rFonts w:ascii="Arial" w:hAnsi="Arial" w:cs="Arial"/>
          <w:spacing w:val="1"/>
          <w:sz w:val="20"/>
        </w:rPr>
        <w:t xml:space="preserve"> </w:t>
      </w:r>
      <w:r w:rsidRPr="0013695C">
        <w:rPr>
          <w:rFonts w:ascii="Arial" w:hAnsi="Arial" w:cs="Arial"/>
          <w:sz w:val="20"/>
        </w:rPr>
        <w:t>landing</w:t>
      </w:r>
      <w:r w:rsidRPr="0013695C">
        <w:rPr>
          <w:rFonts w:ascii="Arial" w:hAnsi="Arial" w:cs="Arial"/>
          <w:spacing w:val="-2"/>
          <w:sz w:val="20"/>
        </w:rPr>
        <w:t xml:space="preserve"> </w:t>
      </w:r>
      <w:r w:rsidRPr="0013695C">
        <w:rPr>
          <w:rFonts w:ascii="Arial" w:hAnsi="Arial" w:cs="Arial"/>
          <w:sz w:val="20"/>
        </w:rPr>
        <w:t>exercise;</w:t>
      </w:r>
    </w:p>
    <w:p w14:paraId="3ED08282" w14:textId="77777777" w:rsidR="0013695C" w:rsidRPr="0013695C" w:rsidRDefault="0013695C" w:rsidP="003F6C42">
      <w:pPr>
        <w:pStyle w:val="ListParagraph"/>
        <w:numPr>
          <w:ilvl w:val="0"/>
          <w:numId w:val="221"/>
        </w:numPr>
        <w:tabs>
          <w:tab w:val="left" w:pos="706"/>
          <w:tab w:val="left" w:pos="707"/>
        </w:tabs>
        <w:spacing w:before="118" w:line="276" w:lineRule="auto"/>
        <w:ind w:left="705" w:right="68"/>
        <w:jc w:val="both"/>
        <w:rPr>
          <w:rFonts w:ascii="Arial" w:hAnsi="Arial" w:cs="Arial"/>
          <w:sz w:val="20"/>
        </w:rPr>
      </w:pPr>
      <w:r w:rsidRPr="0013695C">
        <w:rPr>
          <w:rFonts w:ascii="Arial" w:hAnsi="Arial" w:cs="Arial"/>
          <w:sz w:val="20"/>
        </w:rPr>
        <w:t>a</w:t>
      </w:r>
      <w:r w:rsidRPr="0013695C">
        <w:rPr>
          <w:rFonts w:ascii="Arial" w:hAnsi="Arial" w:cs="Arial"/>
          <w:spacing w:val="-1"/>
          <w:sz w:val="20"/>
        </w:rPr>
        <w:t xml:space="preserve"> </w:t>
      </w:r>
      <w:r w:rsidRPr="0013695C">
        <w:rPr>
          <w:rFonts w:ascii="Arial" w:hAnsi="Arial" w:cs="Arial"/>
          <w:sz w:val="20"/>
        </w:rPr>
        <w:t>selection</w:t>
      </w:r>
      <w:r w:rsidRPr="0013695C">
        <w:rPr>
          <w:rFonts w:ascii="Arial" w:hAnsi="Arial" w:cs="Arial"/>
          <w:spacing w:val="-5"/>
          <w:sz w:val="20"/>
        </w:rPr>
        <w:t xml:space="preserve"> </w:t>
      </w:r>
      <w:r w:rsidRPr="0013695C">
        <w:rPr>
          <w:rFonts w:ascii="Arial" w:hAnsi="Arial" w:cs="Arial"/>
          <w:sz w:val="20"/>
        </w:rPr>
        <w:t>of flight</w:t>
      </w:r>
      <w:r w:rsidRPr="0013695C">
        <w:rPr>
          <w:rFonts w:ascii="Arial" w:hAnsi="Arial" w:cs="Arial"/>
          <w:spacing w:val="-3"/>
          <w:sz w:val="20"/>
        </w:rPr>
        <w:t xml:space="preserve"> </w:t>
      </w:r>
      <w:r w:rsidRPr="0013695C">
        <w:rPr>
          <w:rFonts w:ascii="Arial" w:hAnsi="Arial" w:cs="Arial"/>
          <w:sz w:val="20"/>
        </w:rPr>
        <w:t>exercises; and</w:t>
      </w:r>
    </w:p>
    <w:p w14:paraId="602B91D6" w14:textId="77777777" w:rsidR="0013695C" w:rsidRPr="0013695C" w:rsidRDefault="0013695C" w:rsidP="003F6C42">
      <w:pPr>
        <w:pStyle w:val="ListParagraph"/>
        <w:numPr>
          <w:ilvl w:val="0"/>
          <w:numId w:val="221"/>
        </w:numPr>
        <w:tabs>
          <w:tab w:val="left" w:pos="706"/>
          <w:tab w:val="left" w:pos="707"/>
        </w:tabs>
        <w:spacing w:line="276" w:lineRule="auto"/>
        <w:ind w:left="705" w:right="68"/>
        <w:jc w:val="both"/>
        <w:rPr>
          <w:rFonts w:ascii="Arial" w:hAnsi="Arial" w:cs="Arial"/>
          <w:sz w:val="20"/>
        </w:rPr>
      </w:pPr>
      <w:r w:rsidRPr="0013695C">
        <w:rPr>
          <w:rFonts w:ascii="Arial" w:hAnsi="Arial" w:cs="Arial"/>
          <w:sz w:val="20"/>
        </w:rPr>
        <w:t>one</w:t>
      </w:r>
      <w:r w:rsidRPr="0013695C">
        <w:rPr>
          <w:rFonts w:ascii="Arial" w:hAnsi="Arial" w:cs="Arial"/>
          <w:spacing w:val="-3"/>
          <w:sz w:val="20"/>
        </w:rPr>
        <w:t xml:space="preserve"> </w:t>
      </w:r>
      <w:r w:rsidRPr="0013695C">
        <w:rPr>
          <w:rFonts w:ascii="Arial" w:hAnsi="Arial" w:cs="Arial"/>
          <w:sz w:val="20"/>
        </w:rPr>
        <w:t>emergency</w:t>
      </w:r>
      <w:r w:rsidRPr="0013695C">
        <w:rPr>
          <w:rFonts w:ascii="Arial" w:hAnsi="Arial" w:cs="Arial"/>
          <w:spacing w:val="-1"/>
          <w:sz w:val="20"/>
        </w:rPr>
        <w:t xml:space="preserve"> </w:t>
      </w:r>
      <w:r w:rsidRPr="0013695C">
        <w:rPr>
          <w:rFonts w:ascii="Arial" w:hAnsi="Arial" w:cs="Arial"/>
          <w:sz w:val="20"/>
        </w:rPr>
        <w:t>exercise.</w:t>
      </w:r>
    </w:p>
    <w:p w14:paraId="0286AC11" w14:textId="77777777" w:rsidR="00947834" w:rsidRPr="00947834" w:rsidRDefault="00947834" w:rsidP="00947834">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706" w:name="BFCL.320__FI(B)_–_Prerequisites_and_requ"/>
      <w:bookmarkStart w:id="707" w:name="_bookmark285"/>
      <w:bookmarkStart w:id="708" w:name="_Toc153137450"/>
      <w:bookmarkEnd w:id="706"/>
      <w:bookmarkEnd w:id="707"/>
      <w:r w:rsidRPr="00947834">
        <w:rPr>
          <w:rFonts w:ascii="Arial" w:eastAsia="Times New Roman" w:hAnsi="Arial" w:cs="Times New Roman"/>
          <w:b/>
          <w:iCs/>
          <w:color w:val="FFFFFF"/>
          <w:sz w:val="24"/>
        </w:rPr>
        <w:t>BFCL.320 FI(B) – Prerequisites and requirements</w:t>
      </w:r>
      <w:bookmarkEnd w:id="708"/>
    </w:p>
    <w:p w14:paraId="0383BC2E" w14:textId="77777777" w:rsidR="00947834" w:rsidRPr="00947834" w:rsidRDefault="00947834" w:rsidP="003F6C42">
      <w:pPr>
        <w:pStyle w:val="BodyText"/>
        <w:spacing w:before="117"/>
        <w:jc w:val="both"/>
        <w:rPr>
          <w:rFonts w:ascii="Arial" w:hAnsi="Arial" w:cs="Arial"/>
          <w:sz w:val="20"/>
        </w:rPr>
      </w:pPr>
      <w:r w:rsidRPr="00947834">
        <w:rPr>
          <w:rFonts w:ascii="Arial" w:hAnsi="Arial" w:cs="Arial"/>
          <w:sz w:val="20"/>
        </w:rPr>
        <w:t>Applicants</w:t>
      </w:r>
      <w:r w:rsidRPr="00947834">
        <w:rPr>
          <w:rFonts w:ascii="Arial" w:hAnsi="Arial" w:cs="Arial"/>
          <w:spacing w:val="-3"/>
          <w:sz w:val="20"/>
        </w:rPr>
        <w:t xml:space="preserve"> </w:t>
      </w:r>
      <w:r w:rsidRPr="00947834">
        <w:rPr>
          <w:rFonts w:ascii="Arial" w:hAnsi="Arial" w:cs="Arial"/>
          <w:sz w:val="20"/>
        </w:rPr>
        <w:t>for</w:t>
      </w:r>
      <w:r w:rsidRPr="00947834">
        <w:rPr>
          <w:rFonts w:ascii="Arial" w:hAnsi="Arial" w:cs="Arial"/>
          <w:spacing w:val="-4"/>
          <w:sz w:val="20"/>
        </w:rPr>
        <w:t xml:space="preserve"> </w:t>
      </w:r>
      <w:r w:rsidRPr="00947834">
        <w:rPr>
          <w:rFonts w:ascii="Arial" w:hAnsi="Arial" w:cs="Arial"/>
          <w:sz w:val="20"/>
        </w:rPr>
        <w:t>an</w:t>
      </w:r>
      <w:r w:rsidRPr="00947834">
        <w:rPr>
          <w:rFonts w:ascii="Arial" w:hAnsi="Arial" w:cs="Arial"/>
          <w:spacing w:val="-3"/>
          <w:sz w:val="20"/>
        </w:rPr>
        <w:t xml:space="preserve"> </w:t>
      </w:r>
      <w:r w:rsidRPr="00947834">
        <w:rPr>
          <w:rFonts w:ascii="Arial" w:hAnsi="Arial" w:cs="Arial"/>
          <w:sz w:val="20"/>
        </w:rPr>
        <w:t>FI(B)</w:t>
      </w:r>
      <w:r w:rsidRPr="00947834">
        <w:rPr>
          <w:rFonts w:ascii="Arial" w:hAnsi="Arial" w:cs="Arial"/>
          <w:spacing w:val="-3"/>
          <w:sz w:val="20"/>
        </w:rPr>
        <w:t xml:space="preserve"> </w:t>
      </w:r>
      <w:r w:rsidRPr="00947834">
        <w:rPr>
          <w:rFonts w:ascii="Arial" w:hAnsi="Arial" w:cs="Arial"/>
          <w:sz w:val="20"/>
        </w:rPr>
        <w:t>certificate</w:t>
      </w:r>
      <w:r w:rsidRPr="00947834">
        <w:rPr>
          <w:rFonts w:ascii="Arial" w:hAnsi="Arial" w:cs="Arial"/>
          <w:spacing w:val="-3"/>
          <w:sz w:val="20"/>
        </w:rPr>
        <w:t xml:space="preserve"> </w:t>
      </w:r>
      <w:r w:rsidRPr="00947834">
        <w:rPr>
          <w:rFonts w:ascii="Arial" w:hAnsi="Arial" w:cs="Arial"/>
          <w:sz w:val="20"/>
        </w:rPr>
        <w:t>shall:</w:t>
      </w:r>
    </w:p>
    <w:p w14:paraId="6FD6E66F" w14:textId="77777777" w:rsidR="00947834" w:rsidRPr="00947834" w:rsidRDefault="00947834" w:rsidP="003F6C42">
      <w:pPr>
        <w:pStyle w:val="ListParagraph"/>
        <w:numPr>
          <w:ilvl w:val="0"/>
          <w:numId w:val="222"/>
        </w:numPr>
        <w:tabs>
          <w:tab w:val="left" w:pos="706"/>
          <w:tab w:val="left" w:pos="707"/>
        </w:tabs>
        <w:spacing w:before="121"/>
        <w:jc w:val="both"/>
        <w:rPr>
          <w:rFonts w:ascii="Arial" w:hAnsi="Arial" w:cs="Arial"/>
          <w:sz w:val="20"/>
        </w:rPr>
      </w:pPr>
      <w:r w:rsidRPr="00947834">
        <w:rPr>
          <w:rFonts w:ascii="Arial" w:hAnsi="Arial" w:cs="Arial"/>
          <w:sz w:val="20"/>
        </w:rPr>
        <w:t>be at least</w:t>
      </w:r>
      <w:r w:rsidRPr="00947834">
        <w:rPr>
          <w:rFonts w:ascii="Arial" w:hAnsi="Arial" w:cs="Arial"/>
          <w:spacing w:val="-2"/>
          <w:sz w:val="20"/>
        </w:rPr>
        <w:t xml:space="preserve"> </w:t>
      </w:r>
      <w:r w:rsidRPr="00947834">
        <w:rPr>
          <w:rFonts w:ascii="Arial" w:hAnsi="Arial" w:cs="Arial"/>
          <w:sz w:val="20"/>
        </w:rPr>
        <w:t>18</w:t>
      </w:r>
      <w:r w:rsidRPr="00947834">
        <w:rPr>
          <w:rFonts w:ascii="Arial" w:hAnsi="Arial" w:cs="Arial"/>
          <w:spacing w:val="-2"/>
          <w:sz w:val="20"/>
        </w:rPr>
        <w:t xml:space="preserve"> </w:t>
      </w:r>
      <w:r w:rsidRPr="00947834">
        <w:rPr>
          <w:rFonts w:ascii="Arial" w:hAnsi="Arial" w:cs="Arial"/>
          <w:sz w:val="20"/>
        </w:rPr>
        <w:t>years</w:t>
      </w:r>
      <w:r w:rsidRPr="00947834">
        <w:rPr>
          <w:rFonts w:ascii="Arial" w:hAnsi="Arial" w:cs="Arial"/>
          <w:spacing w:val="-2"/>
          <w:sz w:val="20"/>
        </w:rPr>
        <w:t xml:space="preserve"> </w:t>
      </w:r>
      <w:r w:rsidRPr="00947834">
        <w:rPr>
          <w:rFonts w:ascii="Arial" w:hAnsi="Arial" w:cs="Arial"/>
          <w:sz w:val="20"/>
        </w:rPr>
        <w:t>of age;</w:t>
      </w:r>
    </w:p>
    <w:p w14:paraId="22532A3A" w14:textId="77777777" w:rsidR="0013695C" w:rsidRPr="00947834" w:rsidRDefault="00947834" w:rsidP="003F6C42">
      <w:pPr>
        <w:pStyle w:val="ListParagraph"/>
        <w:numPr>
          <w:ilvl w:val="0"/>
          <w:numId w:val="222"/>
        </w:numPr>
        <w:tabs>
          <w:tab w:val="left" w:pos="706"/>
          <w:tab w:val="left" w:pos="707"/>
        </w:tabs>
        <w:spacing w:before="121"/>
        <w:jc w:val="both"/>
        <w:rPr>
          <w:rFonts w:ascii="Arial" w:hAnsi="Arial" w:cs="Arial"/>
          <w:sz w:val="20"/>
        </w:rPr>
      </w:pPr>
      <w:r w:rsidRPr="00947834">
        <w:rPr>
          <w:rFonts w:ascii="Arial" w:hAnsi="Arial" w:cs="Arial"/>
          <w:sz w:val="20"/>
        </w:rPr>
        <w:t>comply</w:t>
      </w:r>
      <w:r w:rsidRPr="00947834">
        <w:rPr>
          <w:rFonts w:ascii="Arial" w:hAnsi="Arial" w:cs="Arial"/>
          <w:spacing w:val="-4"/>
          <w:sz w:val="20"/>
        </w:rPr>
        <w:t xml:space="preserve"> </w:t>
      </w:r>
      <w:r w:rsidRPr="00947834">
        <w:rPr>
          <w:rFonts w:ascii="Arial" w:hAnsi="Arial" w:cs="Arial"/>
          <w:sz w:val="20"/>
        </w:rPr>
        <w:t>with</w:t>
      </w:r>
      <w:r w:rsidRPr="00947834">
        <w:rPr>
          <w:rFonts w:ascii="Arial" w:hAnsi="Arial" w:cs="Arial"/>
          <w:spacing w:val="-1"/>
          <w:sz w:val="20"/>
        </w:rPr>
        <w:t xml:space="preserve"> </w:t>
      </w:r>
      <w:r w:rsidRPr="00947834">
        <w:rPr>
          <w:rFonts w:ascii="Arial" w:hAnsi="Arial" w:cs="Arial"/>
          <w:sz w:val="20"/>
        </w:rPr>
        <w:t>the</w:t>
      </w:r>
      <w:r w:rsidRPr="00947834">
        <w:rPr>
          <w:rFonts w:ascii="Arial" w:hAnsi="Arial" w:cs="Arial"/>
          <w:spacing w:val="-1"/>
          <w:sz w:val="20"/>
        </w:rPr>
        <w:t xml:space="preserve"> </w:t>
      </w:r>
      <w:r w:rsidRPr="00947834">
        <w:rPr>
          <w:rFonts w:ascii="Arial" w:hAnsi="Arial" w:cs="Arial"/>
          <w:sz w:val="20"/>
        </w:rPr>
        <w:t>requirements of</w:t>
      </w:r>
      <w:r w:rsidRPr="00947834">
        <w:rPr>
          <w:rFonts w:ascii="Arial" w:hAnsi="Arial" w:cs="Arial"/>
          <w:spacing w:val="-4"/>
          <w:sz w:val="20"/>
        </w:rPr>
        <w:t xml:space="preserve"> </w:t>
      </w:r>
      <w:r w:rsidRPr="00947834">
        <w:rPr>
          <w:rFonts w:ascii="Arial" w:hAnsi="Arial" w:cs="Arial"/>
          <w:sz w:val="20"/>
        </w:rPr>
        <w:t>subparagraphs</w:t>
      </w:r>
      <w:r w:rsidRPr="00947834">
        <w:rPr>
          <w:rFonts w:ascii="Arial" w:hAnsi="Arial" w:cs="Arial"/>
          <w:spacing w:val="-2"/>
          <w:sz w:val="20"/>
        </w:rPr>
        <w:t xml:space="preserve"> </w:t>
      </w:r>
      <w:r w:rsidRPr="00947834">
        <w:rPr>
          <w:rFonts w:ascii="Arial" w:hAnsi="Arial" w:cs="Arial"/>
          <w:sz w:val="20"/>
        </w:rPr>
        <w:t>(a)(1)(i)</w:t>
      </w:r>
      <w:r w:rsidRPr="00947834">
        <w:rPr>
          <w:rFonts w:ascii="Arial" w:hAnsi="Arial" w:cs="Arial"/>
          <w:spacing w:val="-1"/>
          <w:sz w:val="20"/>
        </w:rPr>
        <w:t xml:space="preserve"> </w:t>
      </w:r>
      <w:r w:rsidRPr="00947834">
        <w:rPr>
          <w:rFonts w:ascii="Arial" w:hAnsi="Arial" w:cs="Arial"/>
          <w:sz w:val="20"/>
        </w:rPr>
        <w:t>and</w:t>
      </w:r>
      <w:r w:rsidRPr="00947834">
        <w:rPr>
          <w:rFonts w:ascii="Arial" w:hAnsi="Arial" w:cs="Arial"/>
          <w:spacing w:val="-3"/>
          <w:sz w:val="20"/>
        </w:rPr>
        <w:t xml:space="preserve"> </w:t>
      </w:r>
      <w:r w:rsidRPr="00947834">
        <w:rPr>
          <w:rFonts w:ascii="Arial" w:hAnsi="Arial" w:cs="Arial"/>
          <w:sz w:val="20"/>
        </w:rPr>
        <w:t>(a)(2)</w:t>
      </w:r>
      <w:r w:rsidRPr="00947834">
        <w:rPr>
          <w:rFonts w:ascii="Arial" w:hAnsi="Arial" w:cs="Arial"/>
          <w:spacing w:val="-3"/>
          <w:sz w:val="20"/>
        </w:rPr>
        <w:t xml:space="preserve"> </w:t>
      </w:r>
      <w:r w:rsidRPr="00947834">
        <w:rPr>
          <w:rFonts w:ascii="Arial" w:hAnsi="Arial" w:cs="Arial"/>
          <w:sz w:val="20"/>
        </w:rPr>
        <w:t>of</w:t>
      </w:r>
      <w:r w:rsidRPr="00947834">
        <w:rPr>
          <w:rFonts w:ascii="Arial" w:hAnsi="Arial" w:cs="Arial"/>
          <w:spacing w:val="-1"/>
          <w:sz w:val="20"/>
        </w:rPr>
        <w:t xml:space="preserve"> </w:t>
      </w:r>
      <w:r w:rsidRPr="00947834">
        <w:rPr>
          <w:rFonts w:ascii="Arial" w:hAnsi="Arial" w:cs="Arial"/>
          <w:sz w:val="20"/>
        </w:rPr>
        <w:t>point</w:t>
      </w:r>
      <w:r w:rsidRPr="00947834">
        <w:rPr>
          <w:rFonts w:ascii="Arial" w:hAnsi="Arial" w:cs="Arial"/>
          <w:spacing w:val="-2"/>
          <w:sz w:val="20"/>
        </w:rPr>
        <w:t xml:space="preserve"> </w:t>
      </w:r>
      <w:r w:rsidRPr="00947834">
        <w:rPr>
          <w:rFonts w:ascii="Arial" w:hAnsi="Arial" w:cs="Arial"/>
          <w:sz w:val="20"/>
        </w:rPr>
        <w:t>BFCL.300</w:t>
      </w:r>
    </w:p>
    <w:p w14:paraId="6B87ABA4" w14:textId="77777777" w:rsidR="00947834" w:rsidRPr="00947834" w:rsidRDefault="00947834" w:rsidP="003F6C42">
      <w:pPr>
        <w:pStyle w:val="ListParagraph"/>
        <w:numPr>
          <w:ilvl w:val="0"/>
          <w:numId w:val="222"/>
        </w:numPr>
        <w:tabs>
          <w:tab w:val="left" w:pos="706"/>
          <w:tab w:val="left" w:pos="707"/>
        </w:tabs>
        <w:spacing w:before="56"/>
        <w:jc w:val="both"/>
        <w:rPr>
          <w:rFonts w:ascii="Arial" w:hAnsi="Arial" w:cs="Arial"/>
          <w:sz w:val="20"/>
        </w:rPr>
      </w:pPr>
      <w:r w:rsidRPr="00947834">
        <w:rPr>
          <w:rFonts w:ascii="Arial" w:hAnsi="Arial" w:cs="Arial"/>
          <w:sz w:val="20"/>
        </w:rPr>
        <w:t>have</w:t>
      </w:r>
      <w:r w:rsidRPr="00947834">
        <w:rPr>
          <w:rFonts w:ascii="Arial" w:hAnsi="Arial" w:cs="Arial"/>
          <w:spacing w:val="-1"/>
          <w:sz w:val="20"/>
        </w:rPr>
        <w:t xml:space="preserve"> </w:t>
      </w:r>
      <w:r w:rsidRPr="00947834">
        <w:rPr>
          <w:rFonts w:ascii="Arial" w:hAnsi="Arial" w:cs="Arial"/>
          <w:sz w:val="20"/>
        </w:rPr>
        <w:t>completed</w:t>
      </w:r>
      <w:r w:rsidRPr="00947834">
        <w:rPr>
          <w:rFonts w:ascii="Arial" w:hAnsi="Arial" w:cs="Arial"/>
          <w:spacing w:val="-1"/>
          <w:sz w:val="20"/>
        </w:rPr>
        <w:t xml:space="preserve"> </w:t>
      </w:r>
      <w:r w:rsidRPr="00947834">
        <w:rPr>
          <w:rFonts w:ascii="Arial" w:hAnsi="Arial" w:cs="Arial"/>
          <w:sz w:val="20"/>
        </w:rPr>
        <w:t>75</w:t>
      </w:r>
      <w:r w:rsidRPr="00947834">
        <w:rPr>
          <w:rFonts w:ascii="Arial" w:hAnsi="Arial" w:cs="Arial"/>
          <w:spacing w:val="-1"/>
          <w:sz w:val="20"/>
        </w:rPr>
        <w:t xml:space="preserve"> </w:t>
      </w:r>
      <w:r w:rsidRPr="00947834">
        <w:rPr>
          <w:rFonts w:ascii="Arial" w:hAnsi="Arial" w:cs="Arial"/>
          <w:sz w:val="20"/>
        </w:rPr>
        <w:t>hours</w:t>
      </w:r>
      <w:r w:rsidRPr="00947834">
        <w:rPr>
          <w:rFonts w:ascii="Arial" w:hAnsi="Arial" w:cs="Arial"/>
          <w:spacing w:val="-3"/>
          <w:sz w:val="20"/>
        </w:rPr>
        <w:t xml:space="preserve"> </w:t>
      </w:r>
      <w:r w:rsidRPr="00947834">
        <w:rPr>
          <w:rFonts w:ascii="Arial" w:hAnsi="Arial" w:cs="Arial"/>
          <w:sz w:val="20"/>
        </w:rPr>
        <w:t>of</w:t>
      </w:r>
      <w:r w:rsidRPr="00947834">
        <w:rPr>
          <w:rFonts w:ascii="Arial" w:hAnsi="Arial" w:cs="Arial"/>
          <w:spacing w:val="-1"/>
          <w:sz w:val="20"/>
        </w:rPr>
        <w:t xml:space="preserve"> </w:t>
      </w:r>
      <w:r w:rsidRPr="00947834">
        <w:rPr>
          <w:rFonts w:ascii="Arial" w:hAnsi="Arial" w:cs="Arial"/>
          <w:sz w:val="20"/>
        </w:rPr>
        <w:t>balloon</w:t>
      </w:r>
      <w:r w:rsidRPr="00947834">
        <w:rPr>
          <w:rFonts w:ascii="Arial" w:hAnsi="Arial" w:cs="Arial"/>
          <w:spacing w:val="-5"/>
          <w:sz w:val="20"/>
        </w:rPr>
        <w:t xml:space="preserve"> </w:t>
      </w:r>
      <w:r w:rsidRPr="00947834">
        <w:rPr>
          <w:rFonts w:ascii="Arial" w:hAnsi="Arial" w:cs="Arial"/>
          <w:sz w:val="20"/>
        </w:rPr>
        <w:t>flight</w:t>
      </w:r>
      <w:r w:rsidRPr="00947834">
        <w:rPr>
          <w:rFonts w:ascii="Arial" w:hAnsi="Arial" w:cs="Arial"/>
          <w:spacing w:val="-1"/>
          <w:sz w:val="20"/>
        </w:rPr>
        <w:t xml:space="preserve"> </w:t>
      </w:r>
      <w:r w:rsidRPr="00947834">
        <w:rPr>
          <w:rFonts w:ascii="Arial" w:hAnsi="Arial" w:cs="Arial"/>
          <w:sz w:val="20"/>
        </w:rPr>
        <w:t>time</w:t>
      </w:r>
      <w:r w:rsidRPr="00947834">
        <w:rPr>
          <w:rFonts w:ascii="Arial" w:hAnsi="Arial" w:cs="Arial"/>
          <w:spacing w:val="-3"/>
          <w:sz w:val="20"/>
        </w:rPr>
        <w:t xml:space="preserve"> </w:t>
      </w:r>
      <w:r w:rsidRPr="00947834">
        <w:rPr>
          <w:rFonts w:ascii="Arial" w:hAnsi="Arial" w:cs="Arial"/>
          <w:sz w:val="20"/>
        </w:rPr>
        <w:t>as</w:t>
      </w:r>
      <w:r w:rsidRPr="00947834">
        <w:rPr>
          <w:rFonts w:ascii="Arial" w:hAnsi="Arial" w:cs="Arial"/>
          <w:spacing w:val="-3"/>
          <w:sz w:val="20"/>
        </w:rPr>
        <w:t xml:space="preserve"> </w:t>
      </w:r>
      <w:r w:rsidRPr="00947834">
        <w:rPr>
          <w:rFonts w:ascii="Arial" w:hAnsi="Arial" w:cs="Arial"/>
          <w:sz w:val="20"/>
        </w:rPr>
        <w:t>PIC;</w:t>
      </w:r>
    </w:p>
    <w:p w14:paraId="4ED091BD" w14:textId="77777777" w:rsidR="00947834" w:rsidRPr="00947834" w:rsidRDefault="00947834" w:rsidP="003F6C42">
      <w:pPr>
        <w:pStyle w:val="ListParagraph"/>
        <w:numPr>
          <w:ilvl w:val="0"/>
          <w:numId w:val="222"/>
        </w:numPr>
        <w:tabs>
          <w:tab w:val="left" w:pos="706"/>
          <w:tab w:val="left" w:pos="707"/>
        </w:tabs>
        <w:ind w:right="194"/>
        <w:jc w:val="both"/>
        <w:rPr>
          <w:rFonts w:ascii="Arial" w:hAnsi="Arial" w:cs="Arial"/>
          <w:sz w:val="20"/>
        </w:rPr>
      </w:pPr>
      <w:r w:rsidRPr="00947834">
        <w:rPr>
          <w:rFonts w:ascii="Arial" w:hAnsi="Arial" w:cs="Arial"/>
          <w:sz w:val="20"/>
        </w:rPr>
        <w:t>have</w:t>
      </w:r>
      <w:r w:rsidRPr="00947834">
        <w:rPr>
          <w:rFonts w:ascii="Arial" w:hAnsi="Arial" w:cs="Arial"/>
          <w:spacing w:val="-3"/>
          <w:sz w:val="20"/>
        </w:rPr>
        <w:t xml:space="preserve"> </w:t>
      </w:r>
      <w:r w:rsidRPr="00947834">
        <w:rPr>
          <w:rFonts w:ascii="Arial" w:hAnsi="Arial" w:cs="Arial"/>
          <w:sz w:val="20"/>
        </w:rPr>
        <w:t>completed</w:t>
      </w:r>
      <w:r w:rsidRPr="00947834">
        <w:rPr>
          <w:rFonts w:ascii="Arial" w:hAnsi="Arial" w:cs="Arial"/>
          <w:spacing w:val="-3"/>
          <w:sz w:val="20"/>
        </w:rPr>
        <w:t xml:space="preserve"> </w:t>
      </w:r>
      <w:r w:rsidRPr="00947834">
        <w:rPr>
          <w:rFonts w:ascii="Arial" w:hAnsi="Arial" w:cs="Arial"/>
          <w:sz w:val="20"/>
        </w:rPr>
        <w:t>an</w:t>
      </w:r>
      <w:r w:rsidRPr="00947834">
        <w:rPr>
          <w:rFonts w:ascii="Arial" w:hAnsi="Arial" w:cs="Arial"/>
          <w:spacing w:val="-3"/>
          <w:sz w:val="20"/>
        </w:rPr>
        <w:t xml:space="preserve"> </w:t>
      </w:r>
      <w:r w:rsidRPr="00947834">
        <w:rPr>
          <w:rFonts w:ascii="Arial" w:hAnsi="Arial" w:cs="Arial"/>
          <w:sz w:val="20"/>
        </w:rPr>
        <w:t>instructor</w:t>
      </w:r>
      <w:r w:rsidRPr="00947834">
        <w:rPr>
          <w:rFonts w:ascii="Arial" w:hAnsi="Arial" w:cs="Arial"/>
          <w:spacing w:val="-3"/>
          <w:sz w:val="20"/>
        </w:rPr>
        <w:t xml:space="preserve"> </w:t>
      </w:r>
      <w:r w:rsidRPr="00947834">
        <w:rPr>
          <w:rFonts w:ascii="Arial" w:hAnsi="Arial" w:cs="Arial"/>
          <w:sz w:val="20"/>
        </w:rPr>
        <w:t>training</w:t>
      </w:r>
      <w:r w:rsidRPr="00947834">
        <w:rPr>
          <w:rFonts w:ascii="Arial" w:hAnsi="Arial" w:cs="Arial"/>
          <w:spacing w:val="-3"/>
          <w:sz w:val="20"/>
        </w:rPr>
        <w:t xml:space="preserve"> </w:t>
      </w:r>
      <w:r w:rsidRPr="00947834">
        <w:rPr>
          <w:rFonts w:ascii="Arial" w:hAnsi="Arial" w:cs="Arial"/>
          <w:sz w:val="20"/>
        </w:rPr>
        <w:t>course</w:t>
      </w:r>
      <w:r w:rsidRPr="00947834">
        <w:rPr>
          <w:rFonts w:ascii="Arial" w:hAnsi="Arial" w:cs="Arial"/>
          <w:spacing w:val="-3"/>
          <w:sz w:val="20"/>
        </w:rPr>
        <w:t xml:space="preserve"> </w:t>
      </w:r>
      <w:r w:rsidRPr="00947834">
        <w:rPr>
          <w:rFonts w:ascii="Arial" w:hAnsi="Arial" w:cs="Arial"/>
          <w:sz w:val="20"/>
        </w:rPr>
        <w:t>in</w:t>
      </w:r>
      <w:r w:rsidRPr="00947834">
        <w:rPr>
          <w:rFonts w:ascii="Arial" w:hAnsi="Arial" w:cs="Arial"/>
          <w:spacing w:val="-3"/>
          <w:sz w:val="20"/>
        </w:rPr>
        <w:t xml:space="preserve"> </w:t>
      </w:r>
      <w:r w:rsidRPr="00947834">
        <w:rPr>
          <w:rFonts w:ascii="Arial" w:hAnsi="Arial" w:cs="Arial"/>
          <w:sz w:val="20"/>
        </w:rPr>
        <w:t>accordance</w:t>
      </w:r>
      <w:r w:rsidRPr="00947834">
        <w:rPr>
          <w:rFonts w:ascii="Arial" w:hAnsi="Arial" w:cs="Arial"/>
          <w:spacing w:val="-3"/>
          <w:sz w:val="20"/>
        </w:rPr>
        <w:t xml:space="preserve"> </w:t>
      </w:r>
      <w:r w:rsidRPr="00947834">
        <w:rPr>
          <w:rFonts w:ascii="Arial" w:hAnsi="Arial" w:cs="Arial"/>
          <w:sz w:val="20"/>
        </w:rPr>
        <w:t>with</w:t>
      </w:r>
      <w:r w:rsidRPr="00947834">
        <w:rPr>
          <w:rFonts w:ascii="Arial" w:hAnsi="Arial" w:cs="Arial"/>
          <w:spacing w:val="-3"/>
          <w:sz w:val="20"/>
        </w:rPr>
        <w:t xml:space="preserve"> </w:t>
      </w:r>
      <w:r w:rsidRPr="00947834">
        <w:rPr>
          <w:rFonts w:ascii="Arial" w:hAnsi="Arial" w:cs="Arial"/>
          <w:sz w:val="20"/>
        </w:rPr>
        <w:t>point</w:t>
      </w:r>
      <w:r w:rsidRPr="00947834">
        <w:rPr>
          <w:rFonts w:ascii="Arial" w:hAnsi="Arial" w:cs="Arial"/>
          <w:spacing w:val="-2"/>
          <w:sz w:val="20"/>
        </w:rPr>
        <w:t xml:space="preserve"> </w:t>
      </w:r>
      <w:r w:rsidRPr="00947834">
        <w:rPr>
          <w:rFonts w:ascii="Arial" w:hAnsi="Arial" w:cs="Arial"/>
          <w:sz w:val="20"/>
        </w:rPr>
        <w:t>BFCL.330</w:t>
      </w:r>
      <w:r w:rsidRPr="00947834">
        <w:rPr>
          <w:rFonts w:ascii="Arial" w:hAnsi="Arial" w:cs="Arial"/>
          <w:spacing w:val="-3"/>
          <w:sz w:val="20"/>
        </w:rPr>
        <w:t xml:space="preserve"> </w:t>
      </w:r>
      <w:r w:rsidRPr="00947834">
        <w:rPr>
          <w:rFonts w:ascii="Arial" w:hAnsi="Arial" w:cs="Arial"/>
          <w:sz w:val="20"/>
        </w:rPr>
        <w:t>at</w:t>
      </w:r>
      <w:r w:rsidRPr="00947834">
        <w:rPr>
          <w:rFonts w:ascii="Arial" w:hAnsi="Arial" w:cs="Arial"/>
          <w:spacing w:val="-2"/>
          <w:sz w:val="20"/>
        </w:rPr>
        <w:t xml:space="preserve"> </w:t>
      </w:r>
      <w:r w:rsidRPr="00947834">
        <w:rPr>
          <w:rFonts w:ascii="Arial" w:hAnsi="Arial" w:cs="Arial"/>
          <w:sz w:val="20"/>
        </w:rPr>
        <w:t>an</w:t>
      </w:r>
      <w:r w:rsidRPr="00947834">
        <w:rPr>
          <w:rFonts w:ascii="Arial" w:hAnsi="Arial" w:cs="Arial"/>
          <w:spacing w:val="-4"/>
          <w:sz w:val="20"/>
        </w:rPr>
        <w:t xml:space="preserve"> </w:t>
      </w:r>
      <w:r w:rsidRPr="00947834">
        <w:rPr>
          <w:rFonts w:ascii="Arial" w:hAnsi="Arial" w:cs="Arial"/>
          <w:sz w:val="20"/>
        </w:rPr>
        <w:t>ATO</w:t>
      </w:r>
      <w:r w:rsidRPr="00947834">
        <w:rPr>
          <w:rFonts w:ascii="Arial" w:hAnsi="Arial" w:cs="Arial"/>
          <w:spacing w:val="-2"/>
          <w:sz w:val="20"/>
        </w:rPr>
        <w:t xml:space="preserve"> </w:t>
      </w:r>
      <w:r w:rsidRPr="00947834">
        <w:rPr>
          <w:rFonts w:ascii="Arial" w:hAnsi="Arial" w:cs="Arial"/>
          <w:sz w:val="20"/>
        </w:rPr>
        <w:t>or</w:t>
      </w:r>
      <w:r w:rsidRPr="00947834">
        <w:rPr>
          <w:rFonts w:ascii="Arial" w:hAnsi="Arial" w:cs="Arial"/>
          <w:spacing w:val="-3"/>
          <w:sz w:val="20"/>
        </w:rPr>
        <w:t xml:space="preserve"> </w:t>
      </w:r>
      <w:r w:rsidRPr="00947834">
        <w:rPr>
          <w:rFonts w:ascii="Arial" w:hAnsi="Arial" w:cs="Arial"/>
          <w:sz w:val="20"/>
        </w:rPr>
        <w:t>a</w:t>
      </w:r>
      <w:r w:rsidRPr="00947834">
        <w:rPr>
          <w:rFonts w:ascii="Arial" w:hAnsi="Arial" w:cs="Arial"/>
          <w:spacing w:val="-47"/>
          <w:sz w:val="20"/>
        </w:rPr>
        <w:t xml:space="preserve"> </w:t>
      </w:r>
      <w:r w:rsidRPr="00947834">
        <w:rPr>
          <w:rFonts w:ascii="Arial" w:hAnsi="Arial" w:cs="Arial"/>
          <w:sz w:val="20"/>
        </w:rPr>
        <w:t>DTO; and</w:t>
      </w:r>
    </w:p>
    <w:p w14:paraId="3273CD83" w14:textId="77777777" w:rsidR="00947834" w:rsidRPr="00947834" w:rsidRDefault="00947834" w:rsidP="003F6C42">
      <w:pPr>
        <w:pStyle w:val="ListParagraph"/>
        <w:numPr>
          <w:ilvl w:val="0"/>
          <w:numId w:val="222"/>
        </w:numPr>
        <w:tabs>
          <w:tab w:val="left" w:pos="706"/>
          <w:tab w:val="left" w:pos="707"/>
        </w:tabs>
        <w:spacing w:before="121"/>
        <w:jc w:val="both"/>
        <w:rPr>
          <w:rFonts w:ascii="Arial" w:hAnsi="Arial" w:cs="Arial"/>
          <w:sz w:val="20"/>
        </w:rPr>
      </w:pPr>
      <w:r w:rsidRPr="00947834">
        <w:rPr>
          <w:rFonts w:ascii="Arial" w:hAnsi="Arial" w:cs="Arial"/>
          <w:sz w:val="20"/>
        </w:rPr>
        <w:t>have passed</w:t>
      </w:r>
      <w:r w:rsidRPr="00947834">
        <w:rPr>
          <w:rFonts w:ascii="Arial" w:hAnsi="Arial" w:cs="Arial"/>
          <w:spacing w:val="-1"/>
          <w:sz w:val="20"/>
        </w:rPr>
        <w:t xml:space="preserve"> </w:t>
      </w:r>
      <w:r w:rsidRPr="00947834">
        <w:rPr>
          <w:rFonts w:ascii="Arial" w:hAnsi="Arial" w:cs="Arial"/>
          <w:sz w:val="20"/>
        </w:rPr>
        <w:t>an assessment</w:t>
      </w:r>
      <w:r w:rsidRPr="00947834">
        <w:rPr>
          <w:rFonts w:ascii="Arial" w:hAnsi="Arial" w:cs="Arial"/>
          <w:spacing w:val="-3"/>
          <w:sz w:val="20"/>
        </w:rPr>
        <w:t xml:space="preserve"> </w:t>
      </w:r>
      <w:r w:rsidRPr="00947834">
        <w:rPr>
          <w:rFonts w:ascii="Arial" w:hAnsi="Arial" w:cs="Arial"/>
          <w:sz w:val="20"/>
        </w:rPr>
        <w:t>of</w:t>
      </w:r>
      <w:r w:rsidRPr="00947834">
        <w:rPr>
          <w:rFonts w:ascii="Arial" w:hAnsi="Arial" w:cs="Arial"/>
          <w:spacing w:val="-1"/>
          <w:sz w:val="20"/>
        </w:rPr>
        <w:t xml:space="preserve"> </w:t>
      </w:r>
      <w:r w:rsidRPr="00947834">
        <w:rPr>
          <w:rFonts w:ascii="Arial" w:hAnsi="Arial" w:cs="Arial"/>
          <w:sz w:val="20"/>
        </w:rPr>
        <w:t>competence</w:t>
      </w:r>
      <w:r w:rsidRPr="00947834">
        <w:rPr>
          <w:rFonts w:ascii="Arial" w:hAnsi="Arial" w:cs="Arial"/>
          <w:spacing w:val="-2"/>
          <w:sz w:val="20"/>
        </w:rPr>
        <w:t xml:space="preserve"> </w:t>
      </w:r>
      <w:r w:rsidRPr="00947834">
        <w:rPr>
          <w:rFonts w:ascii="Arial" w:hAnsi="Arial" w:cs="Arial"/>
          <w:sz w:val="20"/>
        </w:rPr>
        <w:t>in</w:t>
      </w:r>
      <w:r w:rsidRPr="00947834">
        <w:rPr>
          <w:rFonts w:ascii="Arial" w:hAnsi="Arial" w:cs="Arial"/>
          <w:spacing w:val="-1"/>
          <w:sz w:val="20"/>
        </w:rPr>
        <w:t xml:space="preserve"> </w:t>
      </w:r>
      <w:r w:rsidRPr="00947834">
        <w:rPr>
          <w:rFonts w:ascii="Arial" w:hAnsi="Arial" w:cs="Arial"/>
          <w:sz w:val="20"/>
        </w:rPr>
        <w:t>accordance with</w:t>
      </w:r>
      <w:r w:rsidRPr="00947834">
        <w:rPr>
          <w:rFonts w:ascii="Arial" w:hAnsi="Arial" w:cs="Arial"/>
          <w:spacing w:val="-3"/>
          <w:sz w:val="20"/>
        </w:rPr>
        <w:t xml:space="preserve"> </w:t>
      </w:r>
      <w:r w:rsidRPr="00947834">
        <w:rPr>
          <w:rFonts w:ascii="Arial" w:hAnsi="Arial" w:cs="Arial"/>
          <w:sz w:val="20"/>
        </w:rPr>
        <w:t>point</w:t>
      </w:r>
      <w:r w:rsidRPr="00947834">
        <w:rPr>
          <w:rFonts w:ascii="Arial" w:hAnsi="Arial" w:cs="Arial"/>
          <w:spacing w:val="-3"/>
          <w:sz w:val="20"/>
        </w:rPr>
        <w:t xml:space="preserve"> </w:t>
      </w:r>
      <w:r w:rsidRPr="00947834">
        <w:rPr>
          <w:rFonts w:ascii="Arial" w:hAnsi="Arial" w:cs="Arial"/>
          <w:sz w:val="20"/>
        </w:rPr>
        <w:t>BFCL.345.</w:t>
      </w:r>
    </w:p>
    <w:p w14:paraId="1F9FE9DE" w14:textId="77777777" w:rsidR="00947834" w:rsidRPr="00947834" w:rsidRDefault="00947834" w:rsidP="00947834">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709" w:name="_Toc153137451"/>
      <w:r w:rsidRPr="00947834">
        <w:rPr>
          <w:rFonts w:ascii="Arial" w:eastAsia="Times New Roman" w:hAnsi="Arial" w:cs="Times New Roman"/>
          <w:b/>
          <w:iCs/>
          <w:color w:val="FFFFFF"/>
          <w:sz w:val="24"/>
        </w:rPr>
        <w:t>BFCL.325 FI(B) competencies and assessment</w:t>
      </w:r>
      <w:bookmarkEnd w:id="709"/>
      <w:r w:rsidRPr="00947834">
        <w:rPr>
          <w:rFonts w:ascii="Arial" w:eastAsia="Times New Roman" w:hAnsi="Arial" w:cs="Times New Roman"/>
          <w:b/>
          <w:iCs/>
          <w:color w:val="FFFFFF"/>
          <w:sz w:val="24"/>
        </w:rPr>
        <w:tab/>
      </w:r>
    </w:p>
    <w:p w14:paraId="54DBA3DE" w14:textId="77777777" w:rsidR="00947834" w:rsidRPr="00947834" w:rsidRDefault="00947834" w:rsidP="003F6C42">
      <w:pPr>
        <w:tabs>
          <w:tab w:val="left" w:pos="706"/>
          <w:tab w:val="left" w:pos="707"/>
        </w:tabs>
        <w:spacing w:before="121"/>
        <w:jc w:val="both"/>
        <w:rPr>
          <w:rFonts w:ascii="Arial" w:hAnsi="Arial" w:cs="Arial"/>
          <w:sz w:val="20"/>
        </w:rPr>
      </w:pPr>
      <w:r w:rsidRPr="00947834">
        <w:rPr>
          <w:rFonts w:ascii="Arial" w:hAnsi="Arial" w:cs="Arial"/>
          <w:sz w:val="20"/>
        </w:rPr>
        <w:t>Applicants for an FI(B) certificate shall be trained to achieve the following competencies:</w:t>
      </w:r>
    </w:p>
    <w:p w14:paraId="092A5AA9" w14:textId="77777777" w:rsidR="00947834" w:rsidRPr="00947834" w:rsidRDefault="00947834" w:rsidP="003F6C42">
      <w:pPr>
        <w:numPr>
          <w:ilvl w:val="0"/>
          <w:numId w:val="223"/>
        </w:numPr>
        <w:tabs>
          <w:tab w:val="left" w:pos="706"/>
          <w:tab w:val="left" w:pos="707"/>
        </w:tabs>
        <w:spacing w:before="121"/>
        <w:jc w:val="both"/>
        <w:rPr>
          <w:rFonts w:ascii="Arial" w:hAnsi="Arial" w:cs="Arial"/>
          <w:sz w:val="20"/>
        </w:rPr>
      </w:pPr>
      <w:r w:rsidRPr="00947834">
        <w:rPr>
          <w:rFonts w:ascii="Arial" w:hAnsi="Arial" w:cs="Arial"/>
          <w:sz w:val="20"/>
        </w:rPr>
        <w:t>prepare resources;</w:t>
      </w:r>
    </w:p>
    <w:p w14:paraId="38E4C529" w14:textId="77777777" w:rsidR="00947834" w:rsidRPr="00947834" w:rsidRDefault="00947834" w:rsidP="003F6C42">
      <w:pPr>
        <w:numPr>
          <w:ilvl w:val="0"/>
          <w:numId w:val="223"/>
        </w:numPr>
        <w:tabs>
          <w:tab w:val="left" w:pos="706"/>
          <w:tab w:val="left" w:pos="707"/>
        </w:tabs>
        <w:spacing w:before="121"/>
        <w:jc w:val="both"/>
        <w:rPr>
          <w:rFonts w:ascii="Arial" w:hAnsi="Arial" w:cs="Arial"/>
          <w:sz w:val="20"/>
        </w:rPr>
      </w:pPr>
      <w:r w:rsidRPr="00947834">
        <w:rPr>
          <w:rFonts w:ascii="Arial" w:hAnsi="Arial" w:cs="Arial"/>
          <w:sz w:val="20"/>
        </w:rPr>
        <w:t>create a climate conducive to learning;</w:t>
      </w:r>
    </w:p>
    <w:p w14:paraId="3B6C7F7A" w14:textId="77777777" w:rsidR="00947834" w:rsidRPr="00947834" w:rsidRDefault="00947834" w:rsidP="003F6C42">
      <w:pPr>
        <w:numPr>
          <w:ilvl w:val="0"/>
          <w:numId w:val="223"/>
        </w:numPr>
        <w:tabs>
          <w:tab w:val="left" w:pos="706"/>
          <w:tab w:val="left" w:pos="707"/>
        </w:tabs>
        <w:spacing w:before="121"/>
        <w:jc w:val="both"/>
        <w:rPr>
          <w:rFonts w:ascii="Arial" w:hAnsi="Arial" w:cs="Arial"/>
          <w:sz w:val="20"/>
        </w:rPr>
      </w:pPr>
      <w:r w:rsidRPr="00947834">
        <w:rPr>
          <w:rFonts w:ascii="Arial" w:hAnsi="Arial" w:cs="Arial"/>
          <w:sz w:val="20"/>
        </w:rPr>
        <w:lastRenderedPageBreak/>
        <w:t>present knowledge;</w:t>
      </w:r>
    </w:p>
    <w:p w14:paraId="4C632D08" w14:textId="77777777" w:rsidR="00947834" w:rsidRPr="00947834" w:rsidRDefault="00947834" w:rsidP="003F6C42">
      <w:pPr>
        <w:numPr>
          <w:ilvl w:val="0"/>
          <w:numId w:val="223"/>
        </w:numPr>
        <w:tabs>
          <w:tab w:val="left" w:pos="706"/>
          <w:tab w:val="left" w:pos="707"/>
        </w:tabs>
        <w:spacing w:before="121"/>
        <w:jc w:val="both"/>
        <w:rPr>
          <w:rFonts w:ascii="Arial" w:hAnsi="Arial" w:cs="Arial"/>
          <w:sz w:val="20"/>
        </w:rPr>
      </w:pPr>
      <w:r w:rsidRPr="00947834">
        <w:rPr>
          <w:rFonts w:ascii="Arial" w:hAnsi="Arial" w:cs="Arial"/>
          <w:sz w:val="20"/>
        </w:rPr>
        <w:t>integrate threat and error management (TEM) and crew resource management (CRM);</w:t>
      </w:r>
    </w:p>
    <w:p w14:paraId="13C37136" w14:textId="77777777" w:rsidR="00947834" w:rsidRPr="00947834" w:rsidRDefault="00947834" w:rsidP="003F6C42">
      <w:pPr>
        <w:numPr>
          <w:ilvl w:val="0"/>
          <w:numId w:val="223"/>
        </w:numPr>
        <w:tabs>
          <w:tab w:val="left" w:pos="706"/>
          <w:tab w:val="left" w:pos="707"/>
        </w:tabs>
        <w:spacing w:before="121"/>
        <w:jc w:val="both"/>
        <w:rPr>
          <w:rFonts w:ascii="Arial" w:hAnsi="Arial" w:cs="Arial"/>
          <w:sz w:val="20"/>
        </w:rPr>
      </w:pPr>
      <w:r w:rsidRPr="00947834">
        <w:rPr>
          <w:rFonts w:ascii="Arial" w:hAnsi="Arial" w:cs="Arial"/>
          <w:sz w:val="20"/>
        </w:rPr>
        <w:t>manage time to achieve training objectives;</w:t>
      </w:r>
    </w:p>
    <w:p w14:paraId="4BDAEE45" w14:textId="77777777" w:rsidR="00947834" w:rsidRPr="00947834" w:rsidRDefault="00947834" w:rsidP="003F6C42">
      <w:pPr>
        <w:numPr>
          <w:ilvl w:val="0"/>
          <w:numId w:val="223"/>
        </w:numPr>
        <w:tabs>
          <w:tab w:val="left" w:pos="706"/>
          <w:tab w:val="left" w:pos="707"/>
        </w:tabs>
        <w:spacing w:before="121"/>
        <w:jc w:val="both"/>
        <w:rPr>
          <w:rFonts w:ascii="Arial" w:hAnsi="Arial" w:cs="Arial"/>
          <w:sz w:val="20"/>
        </w:rPr>
      </w:pPr>
      <w:r w:rsidRPr="00947834">
        <w:rPr>
          <w:rFonts w:ascii="Arial" w:hAnsi="Arial" w:cs="Arial"/>
          <w:sz w:val="20"/>
        </w:rPr>
        <w:t>facilitate learning;</w:t>
      </w:r>
    </w:p>
    <w:p w14:paraId="28F3BC1D" w14:textId="77777777" w:rsidR="00947834" w:rsidRPr="00947834" w:rsidRDefault="00947834" w:rsidP="003F6C42">
      <w:pPr>
        <w:numPr>
          <w:ilvl w:val="0"/>
          <w:numId w:val="223"/>
        </w:numPr>
        <w:tabs>
          <w:tab w:val="left" w:pos="706"/>
          <w:tab w:val="left" w:pos="707"/>
        </w:tabs>
        <w:spacing w:before="121"/>
        <w:jc w:val="both"/>
        <w:rPr>
          <w:rFonts w:ascii="Arial" w:hAnsi="Arial" w:cs="Arial"/>
          <w:sz w:val="20"/>
        </w:rPr>
      </w:pPr>
      <w:r w:rsidRPr="00947834">
        <w:rPr>
          <w:rFonts w:ascii="Arial" w:hAnsi="Arial" w:cs="Arial"/>
          <w:sz w:val="20"/>
        </w:rPr>
        <w:t>assess trainee performance;</w:t>
      </w:r>
    </w:p>
    <w:p w14:paraId="29845F5B" w14:textId="77777777" w:rsidR="00947834" w:rsidRPr="00947834" w:rsidRDefault="00947834" w:rsidP="003F6C42">
      <w:pPr>
        <w:numPr>
          <w:ilvl w:val="0"/>
          <w:numId w:val="223"/>
        </w:numPr>
        <w:tabs>
          <w:tab w:val="left" w:pos="706"/>
          <w:tab w:val="left" w:pos="707"/>
        </w:tabs>
        <w:spacing w:before="121"/>
        <w:jc w:val="both"/>
        <w:rPr>
          <w:rFonts w:ascii="Arial" w:hAnsi="Arial" w:cs="Arial"/>
          <w:sz w:val="20"/>
        </w:rPr>
      </w:pPr>
      <w:r w:rsidRPr="00947834">
        <w:rPr>
          <w:rFonts w:ascii="Arial" w:hAnsi="Arial" w:cs="Arial"/>
          <w:sz w:val="20"/>
        </w:rPr>
        <w:t>monitor and review progress;</w:t>
      </w:r>
    </w:p>
    <w:p w14:paraId="564AF016" w14:textId="77777777" w:rsidR="00947834" w:rsidRPr="00947834" w:rsidRDefault="00947834" w:rsidP="003F6C42">
      <w:pPr>
        <w:numPr>
          <w:ilvl w:val="0"/>
          <w:numId w:val="223"/>
        </w:numPr>
        <w:tabs>
          <w:tab w:val="left" w:pos="706"/>
          <w:tab w:val="left" w:pos="707"/>
        </w:tabs>
        <w:spacing w:before="121"/>
        <w:jc w:val="both"/>
        <w:rPr>
          <w:rFonts w:ascii="Arial" w:hAnsi="Arial" w:cs="Arial"/>
          <w:sz w:val="20"/>
        </w:rPr>
      </w:pPr>
      <w:r w:rsidRPr="00947834">
        <w:rPr>
          <w:rFonts w:ascii="Arial" w:hAnsi="Arial" w:cs="Arial"/>
          <w:sz w:val="20"/>
        </w:rPr>
        <w:t>evaluate training sessions; and</w:t>
      </w:r>
    </w:p>
    <w:p w14:paraId="13E96784" w14:textId="77777777" w:rsidR="00947834" w:rsidRPr="00947834" w:rsidRDefault="00947834" w:rsidP="003F6C42">
      <w:pPr>
        <w:numPr>
          <w:ilvl w:val="0"/>
          <w:numId w:val="223"/>
        </w:numPr>
        <w:tabs>
          <w:tab w:val="left" w:pos="706"/>
          <w:tab w:val="left" w:pos="707"/>
        </w:tabs>
        <w:spacing w:before="121"/>
        <w:jc w:val="both"/>
        <w:rPr>
          <w:rFonts w:ascii="Arial" w:hAnsi="Arial" w:cs="Arial"/>
          <w:sz w:val="20"/>
        </w:rPr>
      </w:pPr>
      <w:r w:rsidRPr="00947834">
        <w:rPr>
          <w:rFonts w:ascii="Arial" w:hAnsi="Arial" w:cs="Arial"/>
          <w:sz w:val="20"/>
        </w:rPr>
        <w:t>report outcome.</w:t>
      </w:r>
    </w:p>
    <w:p w14:paraId="7C34FF87" w14:textId="77777777" w:rsidR="009F3706" w:rsidRPr="009F3706" w:rsidRDefault="009F3706" w:rsidP="009F3706">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710" w:name="_Toc153137452"/>
      <w:r w:rsidRPr="009F3706">
        <w:rPr>
          <w:rFonts w:ascii="Arial" w:eastAsia="Times New Roman" w:hAnsi="Arial" w:cs="Times New Roman"/>
          <w:b/>
          <w:color w:val="FFFFFF"/>
          <w:sz w:val="24"/>
        </w:rPr>
        <w:t>AMC1 BFCL.325 FI(B) competencies and assessment</w:t>
      </w:r>
      <w:bookmarkEnd w:id="710"/>
      <w:r w:rsidRPr="009F3706">
        <w:rPr>
          <w:rFonts w:ascii="Arial" w:eastAsia="Times New Roman" w:hAnsi="Arial" w:cs="Times New Roman"/>
          <w:b/>
          <w:color w:val="FFFFFF"/>
          <w:sz w:val="24"/>
        </w:rPr>
        <w:tab/>
      </w:r>
    </w:p>
    <w:p w14:paraId="183BD050" w14:textId="77777777" w:rsidR="009F3706" w:rsidRPr="009F3706" w:rsidRDefault="009F3706" w:rsidP="003F6C42">
      <w:pPr>
        <w:numPr>
          <w:ilvl w:val="0"/>
          <w:numId w:val="224"/>
        </w:numPr>
        <w:tabs>
          <w:tab w:val="left" w:pos="706"/>
          <w:tab w:val="left" w:pos="707"/>
        </w:tabs>
        <w:spacing w:before="121"/>
        <w:jc w:val="both"/>
        <w:rPr>
          <w:rFonts w:ascii="Arial" w:hAnsi="Arial" w:cs="Arial"/>
          <w:sz w:val="20"/>
        </w:rPr>
      </w:pPr>
      <w:r w:rsidRPr="009F3706">
        <w:rPr>
          <w:rFonts w:ascii="Arial" w:hAnsi="Arial" w:cs="Arial"/>
          <w:sz w:val="20"/>
        </w:rPr>
        <w:t>Training should be both theoretical and practical. Practical elements should include the development of specific instructor skills, particularly in the area of teaching and assessing TEM.</w:t>
      </w:r>
    </w:p>
    <w:p w14:paraId="49B340B0" w14:textId="77777777" w:rsidR="009F3706" w:rsidRPr="009F3706" w:rsidRDefault="009F3706" w:rsidP="003F6C42">
      <w:pPr>
        <w:numPr>
          <w:ilvl w:val="0"/>
          <w:numId w:val="224"/>
        </w:numPr>
        <w:tabs>
          <w:tab w:val="left" w:pos="706"/>
          <w:tab w:val="left" w:pos="707"/>
        </w:tabs>
        <w:spacing w:before="121"/>
        <w:jc w:val="both"/>
        <w:rPr>
          <w:rFonts w:ascii="Arial" w:hAnsi="Arial" w:cs="Arial"/>
          <w:sz w:val="20"/>
        </w:rPr>
      </w:pPr>
      <w:r w:rsidRPr="009F3706">
        <w:rPr>
          <w:rFonts w:ascii="Arial" w:hAnsi="Arial" w:cs="Arial"/>
          <w:sz w:val="20"/>
        </w:rPr>
        <w:t>The training and assessment of instructors should be made against the following performance standards:</w:t>
      </w:r>
    </w:p>
    <w:tbl>
      <w:tblPr>
        <w:tblStyle w:val="TableGrid31"/>
        <w:tblW w:w="9278" w:type="dxa"/>
        <w:tblLayout w:type="fixed"/>
        <w:tblLook w:val="01E0" w:firstRow="1" w:lastRow="1" w:firstColumn="1" w:lastColumn="1" w:noHBand="0" w:noVBand="0"/>
      </w:tblPr>
      <w:tblGrid>
        <w:gridCol w:w="2065"/>
        <w:gridCol w:w="4140"/>
        <w:gridCol w:w="3073"/>
      </w:tblGrid>
      <w:tr w:rsidR="009F3706" w:rsidRPr="009F3706" w14:paraId="3E2813F9" w14:textId="77777777" w:rsidTr="003F6C42">
        <w:trPr>
          <w:trHeight w:val="476"/>
        </w:trPr>
        <w:tc>
          <w:tcPr>
            <w:tcW w:w="2065" w:type="dxa"/>
            <w:shd w:val="clear" w:color="auto" w:fill="F2F2F2" w:themeFill="background1" w:themeFillShade="F2"/>
          </w:tcPr>
          <w:p w14:paraId="7CC57F8B" w14:textId="77777777" w:rsidR="009F3706" w:rsidRPr="009F3706" w:rsidRDefault="009F3706" w:rsidP="00B0139E">
            <w:pPr>
              <w:pStyle w:val="TableParagraph"/>
              <w:spacing w:before="1" w:line="225" w:lineRule="exact"/>
              <w:ind w:left="0"/>
              <w:jc w:val="center"/>
              <w:rPr>
                <w:rFonts w:ascii="Arial" w:hAnsi="Arial" w:cs="Arial"/>
                <w:b/>
              </w:rPr>
            </w:pPr>
            <w:r w:rsidRPr="009F3706">
              <w:rPr>
                <w:rFonts w:ascii="Arial" w:hAnsi="Arial" w:cs="Arial"/>
                <w:b/>
              </w:rPr>
              <w:t>Competency</w:t>
            </w:r>
          </w:p>
        </w:tc>
        <w:tc>
          <w:tcPr>
            <w:tcW w:w="4140" w:type="dxa"/>
            <w:shd w:val="clear" w:color="auto" w:fill="F2F2F2" w:themeFill="background1" w:themeFillShade="F2"/>
          </w:tcPr>
          <w:p w14:paraId="3FBAEF02" w14:textId="77777777" w:rsidR="009F3706" w:rsidRPr="009F3706" w:rsidRDefault="009F3706" w:rsidP="00F20810">
            <w:pPr>
              <w:pStyle w:val="TableParagraph"/>
              <w:spacing w:before="1" w:line="225" w:lineRule="exact"/>
              <w:ind w:left="1272" w:right="1272"/>
              <w:jc w:val="center"/>
              <w:rPr>
                <w:rFonts w:ascii="Arial" w:hAnsi="Arial" w:cs="Arial"/>
                <w:b/>
              </w:rPr>
            </w:pPr>
            <w:r w:rsidRPr="009F3706">
              <w:rPr>
                <w:rFonts w:ascii="Arial" w:hAnsi="Arial" w:cs="Arial"/>
                <w:b/>
              </w:rPr>
              <w:t>Performance</w:t>
            </w:r>
          </w:p>
        </w:tc>
        <w:tc>
          <w:tcPr>
            <w:tcW w:w="3073" w:type="dxa"/>
            <w:shd w:val="clear" w:color="auto" w:fill="F2F2F2" w:themeFill="background1" w:themeFillShade="F2"/>
          </w:tcPr>
          <w:p w14:paraId="016FEEC8" w14:textId="77777777" w:rsidR="009F3706" w:rsidRPr="009F3706" w:rsidRDefault="009F3706" w:rsidP="00B0139E">
            <w:pPr>
              <w:pStyle w:val="TableParagraph"/>
              <w:spacing w:before="1" w:line="225" w:lineRule="exact"/>
              <w:rPr>
                <w:rFonts w:ascii="Arial" w:hAnsi="Arial" w:cs="Arial"/>
                <w:b/>
              </w:rPr>
            </w:pPr>
            <w:r w:rsidRPr="009F3706">
              <w:rPr>
                <w:rFonts w:ascii="Arial" w:hAnsi="Arial" w:cs="Arial"/>
                <w:b/>
              </w:rPr>
              <w:t>Knowledge/understanding</w:t>
            </w:r>
            <w:r w:rsidRPr="009F3706">
              <w:rPr>
                <w:rFonts w:ascii="Arial" w:hAnsi="Arial" w:cs="Arial"/>
                <w:b/>
                <w:spacing w:val="-7"/>
              </w:rPr>
              <w:t xml:space="preserve"> </w:t>
            </w:r>
            <w:r w:rsidRPr="009F3706">
              <w:rPr>
                <w:rFonts w:ascii="Arial" w:hAnsi="Arial" w:cs="Arial"/>
                <w:b/>
              </w:rPr>
              <w:t>of</w:t>
            </w:r>
          </w:p>
        </w:tc>
      </w:tr>
      <w:tr w:rsidR="009F3706" w:rsidRPr="009F3706" w14:paraId="70B81BA6" w14:textId="77777777" w:rsidTr="003F6C42">
        <w:trPr>
          <w:trHeight w:val="932"/>
        </w:trPr>
        <w:tc>
          <w:tcPr>
            <w:tcW w:w="2065" w:type="dxa"/>
          </w:tcPr>
          <w:p w14:paraId="2292FC78" w14:textId="77777777" w:rsidR="009F3706" w:rsidRPr="009F3706" w:rsidRDefault="009F3706" w:rsidP="00F20810">
            <w:pPr>
              <w:pStyle w:val="TableParagraph"/>
              <w:spacing w:line="242" w:lineRule="exact"/>
              <w:ind w:left="88"/>
              <w:rPr>
                <w:rFonts w:ascii="Arial" w:hAnsi="Arial" w:cs="Arial"/>
              </w:rPr>
            </w:pPr>
            <w:r w:rsidRPr="009F3706">
              <w:rPr>
                <w:rFonts w:ascii="Arial" w:hAnsi="Arial" w:cs="Arial"/>
              </w:rPr>
              <w:t>Prepare</w:t>
            </w:r>
            <w:r w:rsidRPr="009F3706">
              <w:rPr>
                <w:rFonts w:ascii="Arial" w:hAnsi="Arial" w:cs="Arial"/>
                <w:spacing w:val="-4"/>
              </w:rPr>
              <w:t xml:space="preserve"> </w:t>
            </w:r>
            <w:r w:rsidRPr="009F3706">
              <w:rPr>
                <w:rFonts w:ascii="Arial" w:hAnsi="Arial" w:cs="Arial"/>
              </w:rPr>
              <w:t>resources</w:t>
            </w:r>
          </w:p>
        </w:tc>
        <w:tc>
          <w:tcPr>
            <w:tcW w:w="4140" w:type="dxa"/>
          </w:tcPr>
          <w:p w14:paraId="7BEC51B2" w14:textId="77777777" w:rsidR="009F3706" w:rsidRPr="009F3706" w:rsidRDefault="009F3706" w:rsidP="00682A54">
            <w:pPr>
              <w:pStyle w:val="TableParagraph"/>
              <w:numPr>
                <w:ilvl w:val="0"/>
                <w:numId w:val="229"/>
              </w:numPr>
              <w:tabs>
                <w:tab w:val="left" w:pos="515"/>
                <w:tab w:val="left" w:pos="516"/>
              </w:tabs>
              <w:spacing w:line="242" w:lineRule="exact"/>
              <w:rPr>
                <w:rFonts w:ascii="Arial" w:hAnsi="Arial" w:cs="Arial"/>
              </w:rPr>
            </w:pPr>
            <w:r w:rsidRPr="009F3706">
              <w:rPr>
                <w:rFonts w:ascii="Arial" w:hAnsi="Arial" w:cs="Arial"/>
              </w:rPr>
              <w:t>ensures</w:t>
            </w:r>
            <w:r w:rsidRPr="009F3706">
              <w:rPr>
                <w:rFonts w:ascii="Arial" w:hAnsi="Arial" w:cs="Arial"/>
                <w:spacing w:val="-7"/>
              </w:rPr>
              <w:t xml:space="preserve"> </w:t>
            </w:r>
            <w:r w:rsidRPr="009F3706">
              <w:rPr>
                <w:rFonts w:ascii="Arial" w:hAnsi="Arial" w:cs="Arial"/>
              </w:rPr>
              <w:t>adequate</w:t>
            </w:r>
            <w:r w:rsidRPr="009F3706">
              <w:rPr>
                <w:rFonts w:ascii="Arial" w:hAnsi="Arial" w:cs="Arial"/>
                <w:spacing w:val="-6"/>
              </w:rPr>
              <w:t xml:space="preserve"> </w:t>
            </w:r>
            <w:r w:rsidRPr="009F3706">
              <w:rPr>
                <w:rFonts w:ascii="Arial" w:hAnsi="Arial" w:cs="Arial"/>
              </w:rPr>
              <w:t>facilities;</w:t>
            </w:r>
          </w:p>
          <w:p w14:paraId="34070C28" w14:textId="77777777" w:rsidR="009F3706" w:rsidRPr="009F3706" w:rsidRDefault="009F3706" w:rsidP="00682A54">
            <w:pPr>
              <w:pStyle w:val="TableParagraph"/>
              <w:numPr>
                <w:ilvl w:val="0"/>
                <w:numId w:val="229"/>
              </w:numPr>
              <w:tabs>
                <w:tab w:val="left" w:pos="515"/>
                <w:tab w:val="left" w:pos="516"/>
              </w:tabs>
              <w:rPr>
                <w:rFonts w:ascii="Arial" w:hAnsi="Arial" w:cs="Arial"/>
              </w:rPr>
            </w:pPr>
            <w:r w:rsidRPr="009F3706">
              <w:rPr>
                <w:rFonts w:ascii="Arial" w:hAnsi="Arial" w:cs="Arial"/>
              </w:rPr>
              <w:t>prepares</w:t>
            </w:r>
            <w:r w:rsidRPr="009F3706">
              <w:rPr>
                <w:rFonts w:ascii="Arial" w:hAnsi="Arial" w:cs="Arial"/>
                <w:spacing w:val="-5"/>
              </w:rPr>
              <w:t xml:space="preserve"> </w:t>
            </w:r>
            <w:r w:rsidRPr="009F3706">
              <w:rPr>
                <w:rFonts w:ascii="Arial" w:hAnsi="Arial" w:cs="Arial"/>
              </w:rPr>
              <w:t>briefing</w:t>
            </w:r>
            <w:r w:rsidRPr="009F3706">
              <w:rPr>
                <w:rFonts w:ascii="Arial" w:hAnsi="Arial" w:cs="Arial"/>
                <w:spacing w:val="-3"/>
              </w:rPr>
              <w:t xml:space="preserve"> </w:t>
            </w:r>
            <w:r w:rsidRPr="009F3706">
              <w:rPr>
                <w:rFonts w:ascii="Arial" w:hAnsi="Arial" w:cs="Arial"/>
              </w:rPr>
              <w:t>material;</w:t>
            </w:r>
          </w:p>
          <w:p w14:paraId="0D6A22FE" w14:textId="77777777" w:rsidR="009F3706" w:rsidRPr="009F3706" w:rsidRDefault="009F3706" w:rsidP="00682A54">
            <w:pPr>
              <w:pStyle w:val="TableParagraph"/>
              <w:numPr>
                <w:ilvl w:val="0"/>
                <w:numId w:val="229"/>
              </w:numPr>
              <w:tabs>
                <w:tab w:val="left" w:pos="515"/>
                <w:tab w:val="left" w:pos="516"/>
              </w:tabs>
              <w:spacing w:before="1"/>
              <w:rPr>
                <w:rFonts w:ascii="Arial" w:hAnsi="Arial" w:cs="Arial"/>
              </w:rPr>
            </w:pPr>
            <w:r w:rsidRPr="009F3706">
              <w:rPr>
                <w:rFonts w:ascii="Arial" w:hAnsi="Arial" w:cs="Arial"/>
              </w:rPr>
              <w:t>manages</w:t>
            </w:r>
            <w:r w:rsidRPr="009F3706">
              <w:rPr>
                <w:rFonts w:ascii="Arial" w:hAnsi="Arial" w:cs="Arial"/>
                <w:spacing w:val="-5"/>
              </w:rPr>
              <w:t xml:space="preserve"> </w:t>
            </w:r>
            <w:r w:rsidRPr="009F3706">
              <w:rPr>
                <w:rFonts w:ascii="Arial" w:hAnsi="Arial" w:cs="Arial"/>
              </w:rPr>
              <w:t>available</w:t>
            </w:r>
            <w:r w:rsidRPr="009F3706">
              <w:rPr>
                <w:rFonts w:ascii="Arial" w:hAnsi="Arial" w:cs="Arial"/>
                <w:spacing w:val="-4"/>
              </w:rPr>
              <w:t xml:space="preserve"> </w:t>
            </w:r>
            <w:r w:rsidRPr="009F3706">
              <w:rPr>
                <w:rFonts w:ascii="Arial" w:hAnsi="Arial" w:cs="Arial"/>
              </w:rPr>
              <w:t>tools.</w:t>
            </w:r>
          </w:p>
        </w:tc>
        <w:tc>
          <w:tcPr>
            <w:tcW w:w="3073" w:type="dxa"/>
          </w:tcPr>
          <w:p w14:paraId="3BCD1030" w14:textId="77777777" w:rsidR="009F3706" w:rsidRPr="009F3706" w:rsidRDefault="009F3706" w:rsidP="00682A54">
            <w:pPr>
              <w:pStyle w:val="TableParagraph"/>
              <w:numPr>
                <w:ilvl w:val="0"/>
                <w:numId w:val="228"/>
              </w:numPr>
              <w:tabs>
                <w:tab w:val="left" w:pos="543"/>
                <w:tab w:val="left" w:pos="544"/>
              </w:tabs>
              <w:spacing w:line="242" w:lineRule="exact"/>
              <w:ind w:hanging="460"/>
              <w:rPr>
                <w:rFonts w:ascii="Arial" w:hAnsi="Arial" w:cs="Arial"/>
              </w:rPr>
            </w:pPr>
            <w:r w:rsidRPr="009F3706">
              <w:rPr>
                <w:rFonts w:ascii="Arial" w:hAnsi="Arial" w:cs="Arial"/>
              </w:rPr>
              <w:t>objectives;</w:t>
            </w:r>
          </w:p>
          <w:p w14:paraId="44F2D7D4" w14:textId="77777777" w:rsidR="009F3706" w:rsidRPr="009F3706" w:rsidRDefault="009F3706" w:rsidP="00682A54">
            <w:pPr>
              <w:pStyle w:val="TableParagraph"/>
              <w:numPr>
                <w:ilvl w:val="0"/>
                <w:numId w:val="228"/>
              </w:numPr>
              <w:tabs>
                <w:tab w:val="left" w:pos="543"/>
                <w:tab w:val="left" w:pos="544"/>
              </w:tabs>
              <w:ind w:hanging="460"/>
              <w:rPr>
                <w:rFonts w:ascii="Arial" w:hAnsi="Arial" w:cs="Arial"/>
              </w:rPr>
            </w:pPr>
            <w:r w:rsidRPr="009F3706">
              <w:rPr>
                <w:rFonts w:ascii="Arial" w:hAnsi="Arial" w:cs="Arial"/>
              </w:rPr>
              <w:t>available</w:t>
            </w:r>
            <w:r w:rsidRPr="009F3706">
              <w:rPr>
                <w:rFonts w:ascii="Arial" w:hAnsi="Arial" w:cs="Arial"/>
                <w:spacing w:val="-4"/>
              </w:rPr>
              <w:t xml:space="preserve"> </w:t>
            </w:r>
            <w:r w:rsidRPr="009F3706">
              <w:rPr>
                <w:rFonts w:ascii="Arial" w:hAnsi="Arial" w:cs="Arial"/>
              </w:rPr>
              <w:t>tools;</w:t>
            </w:r>
          </w:p>
          <w:p w14:paraId="334ECA6A" w14:textId="77777777" w:rsidR="009F3706" w:rsidRPr="009F3706" w:rsidRDefault="009F3706" w:rsidP="00682A54">
            <w:pPr>
              <w:pStyle w:val="TableParagraph"/>
              <w:numPr>
                <w:ilvl w:val="0"/>
                <w:numId w:val="228"/>
              </w:numPr>
              <w:tabs>
                <w:tab w:val="left" w:pos="543"/>
                <w:tab w:val="left" w:pos="544"/>
              </w:tabs>
              <w:spacing w:line="240" w:lineRule="atLeast"/>
              <w:ind w:right="489"/>
              <w:rPr>
                <w:rFonts w:ascii="Arial" w:hAnsi="Arial" w:cs="Arial"/>
              </w:rPr>
            </w:pPr>
            <w:r w:rsidRPr="009F3706">
              <w:rPr>
                <w:rFonts w:ascii="Arial" w:hAnsi="Arial" w:cs="Arial"/>
              </w:rPr>
              <w:t>competency-based training</w:t>
            </w:r>
            <w:r w:rsidRPr="009F3706">
              <w:rPr>
                <w:rFonts w:ascii="Arial" w:hAnsi="Arial" w:cs="Arial"/>
                <w:spacing w:val="-43"/>
              </w:rPr>
              <w:t xml:space="preserve"> </w:t>
            </w:r>
            <w:r w:rsidRPr="009F3706">
              <w:rPr>
                <w:rFonts w:ascii="Arial" w:hAnsi="Arial" w:cs="Arial"/>
              </w:rPr>
              <w:t>methods.</w:t>
            </w:r>
          </w:p>
        </w:tc>
      </w:tr>
      <w:tr w:rsidR="009F3706" w:rsidRPr="009F3706" w14:paraId="087E01DC" w14:textId="77777777" w:rsidTr="003F6C42">
        <w:trPr>
          <w:trHeight w:val="1422"/>
        </w:trPr>
        <w:tc>
          <w:tcPr>
            <w:tcW w:w="2065" w:type="dxa"/>
          </w:tcPr>
          <w:p w14:paraId="620992A8" w14:textId="77777777" w:rsidR="009F3706" w:rsidRPr="009F3706" w:rsidRDefault="009F3706" w:rsidP="00F20810">
            <w:pPr>
              <w:pStyle w:val="TableParagraph"/>
              <w:ind w:left="88"/>
              <w:rPr>
                <w:rFonts w:ascii="Arial" w:hAnsi="Arial" w:cs="Arial"/>
              </w:rPr>
            </w:pPr>
            <w:r w:rsidRPr="009F3706">
              <w:rPr>
                <w:rFonts w:ascii="Arial" w:hAnsi="Arial" w:cs="Arial"/>
              </w:rPr>
              <w:t>Create a climate</w:t>
            </w:r>
            <w:r w:rsidRPr="009F3706">
              <w:rPr>
                <w:rFonts w:ascii="Arial" w:hAnsi="Arial" w:cs="Arial"/>
                <w:spacing w:val="1"/>
              </w:rPr>
              <w:t xml:space="preserve"> </w:t>
            </w:r>
            <w:r w:rsidRPr="009F3706">
              <w:rPr>
                <w:rFonts w:ascii="Arial" w:hAnsi="Arial" w:cs="Arial"/>
              </w:rPr>
              <w:t>conducive</w:t>
            </w:r>
            <w:r w:rsidRPr="009F3706">
              <w:rPr>
                <w:rFonts w:ascii="Arial" w:hAnsi="Arial" w:cs="Arial"/>
                <w:spacing w:val="-8"/>
              </w:rPr>
              <w:t xml:space="preserve"> </w:t>
            </w:r>
            <w:r w:rsidRPr="009F3706">
              <w:rPr>
                <w:rFonts w:ascii="Arial" w:hAnsi="Arial" w:cs="Arial"/>
              </w:rPr>
              <w:t>to</w:t>
            </w:r>
            <w:r w:rsidRPr="009F3706">
              <w:rPr>
                <w:rFonts w:ascii="Arial" w:hAnsi="Arial" w:cs="Arial"/>
                <w:spacing w:val="-6"/>
              </w:rPr>
              <w:t xml:space="preserve"> </w:t>
            </w:r>
            <w:r w:rsidRPr="009F3706">
              <w:rPr>
                <w:rFonts w:ascii="Arial" w:hAnsi="Arial" w:cs="Arial"/>
              </w:rPr>
              <w:t>learning</w:t>
            </w:r>
          </w:p>
        </w:tc>
        <w:tc>
          <w:tcPr>
            <w:tcW w:w="4140" w:type="dxa"/>
          </w:tcPr>
          <w:p w14:paraId="244C31D7" w14:textId="77777777" w:rsidR="009F3706" w:rsidRPr="009F3706" w:rsidRDefault="009F3706" w:rsidP="00682A54">
            <w:pPr>
              <w:pStyle w:val="TableParagraph"/>
              <w:numPr>
                <w:ilvl w:val="0"/>
                <w:numId w:val="227"/>
              </w:numPr>
              <w:tabs>
                <w:tab w:val="left" w:pos="515"/>
                <w:tab w:val="left" w:pos="516"/>
              </w:tabs>
              <w:ind w:right="206"/>
              <w:rPr>
                <w:rFonts w:ascii="Arial" w:hAnsi="Arial" w:cs="Arial"/>
              </w:rPr>
            </w:pPr>
            <w:r w:rsidRPr="009F3706">
              <w:rPr>
                <w:rFonts w:ascii="Arial" w:hAnsi="Arial" w:cs="Arial"/>
              </w:rPr>
              <w:t>establishes credentials, role models</w:t>
            </w:r>
            <w:r w:rsidRPr="009F3706">
              <w:rPr>
                <w:rFonts w:ascii="Arial" w:hAnsi="Arial" w:cs="Arial"/>
                <w:spacing w:val="-43"/>
              </w:rPr>
              <w:t xml:space="preserve"> </w:t>
            </w:r>
            <w:r w:rsidRPr="009F3706">
              <w:rPr>
                <w:rFonts w:ascii="Arial" w:hAnsi="Arial" w:cs="Arial"/>
              </w:rPr>
              <w:t>appropriate</w:t>
            </w:r>
            <w:r w:rsidRPr="009F3706">
              <w:rPr>
                <w:rFonts w:ascii="Arial" w:hAnsi="Arial" w:cs="Arial"/>
                <w:spacing w:val="-2"/>
              </w:rPr>
              <w:t xml:space="preserve"> </w:t>
            </w:r>
            <w:r w:rsidRPr="009F3706">
              <w:rPr>
                <w:rFonts w:ascii="Arial" w:hAnsi="Arial" w:cs="Arial"/>
              </w:rPr>
              <w:t>behaviour;</w:t>
            </w:r>
          </w:p>
          <w:p w14:paraId="1A20D3C8" w14:textId="77777777" w:rsidR="009F3706" w:rsidRPr="009F3706" w:rsidRDefault="009F3706" w:rsidP="00682A54">
            <w:pPr>
              <w:pStyle w:val="TableParagraph"/>
              <w:numPr>
                <w:ilvl w:val="0"/>
                <w:numId w:val="227"/>
              </w:numPr>
              <w:tabs>
                <w:tab w:val="left" w:pos="515"/>
                <w:tab w:val="left" w:pos="516"/>
              </w:tabs>
              <w:spacing w:before="2" w:line="244" w:lineRule="exact"/>
              <w:rPr>
                <w:rFonts w:ascii="Arial" w:hAnsi="Arial" w:cs="Arial"/>
              </w:rPr>
            </w:pPr>
            <w:r w:rsidRPr="009F3706">
              <w:rPr>
                <w:rFonts w:ascii="Arial" w:hAnsi="Arial" w:cs="Arial"/>
              </w:rPr>
              <w:t>clarifies</w:t>
            </w:r>
            <w:r w:rsidRPr="009F3706">
              <w:rPr>
                <w:rFonts w:ascii="Arial" w:hAnsi="Arial" w:cs="Arial"/>
                <w:spacing w:val="-5"/>
              </w:rPr>
              <w:t xml:space="preserve"> </w:t>
            </w:r>
            <w:r w:rsidRPr="009F3706">
              <w:rPr>
                <w:rFonts w:ascii="Arial" w:hAnsi="Arial" w:cs="Arial"/>
              </w:rPr>
              <w:t>roles;</w:t>
            </w:r>
          </w:p>
          <w:p w14:paraId="78696EDA" w14:textId="77777777" w:rsidR="009F3706" w:rsidRPr="009F3706" w:rsidRDefault="009F3706" w:rsidP="00682A54">
            <w:pPr>
              <w:pStyle w:val="TableParagraph"/>
              <w:numPr>
                <w:ilvl w:val="0"/>
                <w:numId w:val="227"/>
              </w:numPr>
              <w:tabs>
                <w:tab w:val="left" w:pos="515"/>
                <w:tab w:val="left" w:pos="516"/>
              </w:tabs>
              <w:spacing w:line="244" w:lineRule="exact"/>
              <w:rPr>
                <w:rFonts w:ascii="Arial" w:hAnsi="Arial" w:cs="Arial"/>
              </w:rPr>
            </w:pPr>
            <w:r w:rsidRPr="009F3706">
              <w:rPr>
                <w:rFonts w:ascii="Arial" w:hAnsi="Arial" w:cs="Arial"/>
              </w:rPr>
              <w:t>states</w:t>
            </w:r>
            <w:r w:rsidRPr="009F3706">
              <w:rPr>
                <w:rFonts w:ascii="Arial" w:hAnsi="Arial" w:cs="Arial"/>
                <w:spacing w:val="-5"/>
              </w:rPr>
              <w:t xml:space="preserve"> </w:t>
            </w:r>
            <w:r w:rsidRPr="009F3706">
              <w:rPr>
                <w:rFonts w:ascii="Arial" w:hAnsi="Arial" w:cs="Arial"/>
              </w:rPr>
              <w:t>objectives;</w:t>
            </w:r>
          </w:p>
          <w:p w14:paraId="7FCEA12B" w14:textId="77777777" w:rsidR="009F3706" w:rsidRPr="009F3706" w:rsidRDefault="009F3706" w:rsidP="00682A54">
            <w:pPr>
              <w:pStyle w:val="TableParagraph"/>
              <w:numPr>
                <w:ilvl w:val="0"/>
                <w:numId w:val="227"/>
              </w:numPr>
              <w:tabs>
                <w:tab w:val="left" w:pos="515"/>
                <w:tab w:val="left" w:pos="516"/>
              </w:tabs>
              <w:spacing w:line="240" w:lineRule="atLeast"/>
              <w:ind w:right="494"/>
              <w:rPr>
                <w:rFonts w:ascii="Arial" w:hAnsi="Arial" w:cs="Arial"/>
              </w:rPr>
            </w:pPr>
            <w:r w:rsidRPr="009F3706">
              <w:rPr>
                <w:rFonts w:ascii="Arial" w:hAnsi="Arial" w:cs="Arial"/>
              </w:rPr>
              <w:t>ascertains and supports student</w:t>
            </w:r>
            <w:r w:rsidRPr="009F3706">
              <w:rPr>
                <w:rFonts w:ascii="Arial" w:hAnsi="Arial" w:cs="Arial"/>
                <w:spacing w:val="1"/>
              </w:rPr>
              <w:t xml:space="preserve"> </w:t>
            </w:r>
            <w:r w:rsidRPr="009F3706">
              <w:rPr>
                <w:rFonts w:ascii="Arial" w:hAnsi="Arial" w:cs="Arial"/>
              </w:rPr>
              <w:t>pilot’s</w:t>
            </w:r>
            <w:r w:rsidRPr="009F3706">
              <w:rPr>
                <w:rFonts w:ascii="Arial" w:hAnsi="Arial" w:cs="Arial"/>
                <w:spacing w:val="-3"/>
              </w:rPr>
              <w:t xml:space="preserve"> </w:t>
            </w:r>
            <w:r w:rsidRPr="009F3706">
              <w:rPr>
                <w:rFonts w:ascii="Arial" w:hAnsi="Arial" w:cs="Arial"/>
              </w:rPr>
              <w:t>needs.</w:t>
            </w:r>
          </w:p>
        </w:tc>
        <w:tc>
          <w:tcPr>
            <w:tcW w:w="3073" w:type="dxa"/>
          </w:tcPr>
          <w:p w14:paraId="3509F81E" w14:textId="77777777" w:rsidR="009F3706" w:rsidRPr="009F3706" w:rsidRDefault="009F3706" w:rsidP="00682A54">
            <w:pPr>
              <w:pStyle w:val="TableParagraph"/>
              <w:numPr>
                <w:ilvl w:val="0"/>
                <w:numId w:val="226"/>
              </w:numPr>
              <w:tabs>
                <w:tab w:val="left" w:pos="543"/>
                <w:tab w:val="left" w:pos="544"/>
              </w:tabs>
              <w:ind w:hanging="460"/>
              <w:rPr>
                <w:rFonts w:ascii="Arial" w:hAnsi="Arial" w:cs="Arial"/>
              </w:rPr>
            </w:pPr>
            <w:r w:rsidRPr="009F3706">
              <w:rPr>
                <w:rFonts w:ascii="Arial" w:hAnsi="Arial" w:cs="Arial"/>
              </w:rPr>
              <w:t>barriers</w:t>
            </w:r>
            <w:r w:rsidRPr="009F3706">
              <w:rPr>
                <w:rFonts w:ascii="Arial" w:hAnsi="Arial" w:cs="Arial"/>
                <w:spacing w:val="-4"/>
              </w:rPr>
              <w:t xml:space="preserve"> </w:t>
            </w:r>
            <w:r w:rsidRPr="009F3706">
              <w:rPr>
                <w:rFonts w:ascii="Arial" w:hAnsi="Arial" w:cs="Arial"/>
              </w:rPr>
              <w:t>to</w:t>
            </w:r>
            <w:r w:rsidRPr="009F3706">
              <w:rPr>
                <w:rFonts w:ascii="Arial" w:hAnsi="Arial" w:cs="Arial"/>
                <w:spacing w:val="-2"/>
              </w:rPr>
              <w:t xml:space="preserve"> </w:t>
            </w:r>
            <w:r w:rsidRPr="009F3706">
              <w:rPr>
                <w:rFonts w:ascii="Arial" w:hAnsi="Arial" w:cs="Arial"/>
              </w:rPr>
              <w:t>learning;</w:t>
            </w:r>
          </w:p>
          <w:p w14:paraId="5A80565D" w14:textId="77777777" w:rsidR="009F3706" w:rsidRPr="009F3706" w:rsidRDefault="009F3706" w:rsidP="00682A54">
            <w:pPr>
              <w:pStyle w:val="TableParagraph"/>
              <w:numPr>
                <w:ilvl w:val="0"/>
                <w:numId w:val="226"/>
              </w:numPr>
              <w:tabs>
                <w:tab w:val="left" w:pos="543"/>
                <w:tab w:val="left" w:pos="544"/>
              </w:tabs>
              <w:spacing w:before="1"/>
              <w:ind w:hanging="460"/>
              <w:rPr>
                <w:rFonts w:ascii="Arial" w:hAnsi="Arial" w:cs="Arial"/>
              </w:rPr>
            </w:pPr>
            <w:r w:rsidRPr="009F3706">
              <w:rPr>
                <w:rFonts w:ascii="Arial" w:hAnsi="Arial" w:cs="Arial"/>
              </w:rPr>
              <w:t>learning</w:t>
            </w:r>
            <w:r w:rsidRPr="009F3706">
              <w:rPr>
                <w:rFonts w:ascii="Arial" w:hAnsi="Arial" w:cs="Arial"/>
                <w:spacing w:val="-4"/>
              </w:rPr>
              <w:t xml:space="preserve"> </w:t>
            </w:r>
            <w:r w:rsidRPr="009F3706">
              <w:rPr>
                <w:rFonts w:ascii="Arial" w:hAnsi="Arial" w:cs="Arial"/>
              </w:rPr>
              <w:t>styles.</w:t>
            </w:r>
          </w:p>
        </w:tc>
      </w:tr>
      <w:tr w:rsidR="009F3706" w:rsidRPr="009F3706" w14:paraId="5735FAFA" w14:textId="77777777" w:rsidTr="003F6C42">
        <w:trPr>
          <w:trHeight w:val="688"/>
        </w:trPr>
        <w:tc>
          <w:tcPr>
            <w:tcW w:w="2065" w:type="dxa"/>
          </w:tcPr>
          <w:p w14:paraId="651A00C1" w14:textId="77777777" w:rsidR="009F3706" w:rsidRPr="009F3706" w:rsidRDefault="009F3706" w:rsidP="00F20810">
            <w:pPr>
              <w:pStyle w:val="TableParagraph"/>
              <w:ind w:left="88"/>
              <w:rPr>
                <w:rFonts w:ascii="Arial" w:hAnsi="Arial" w:cs="Arial"/>
              </w:rPr>
            </w:pPr>
            <w:r w:rsidRPr="009F3706">
              <w:rPr>
                <w:rFonts w:ascii="Arial" w:hAnsi="Arial" w:cs="Arial"/>
              </w:rPr>
              <w:t>Present</w:t>
            </w:r>
            <w:r w:rsidRPr="009F3706">
              <w:rPr>
                <w:rFonts w:ascii="Arial" w:hAnsi="Arial" w:cs="Arial"/>
                <w:spacing w:val="-4"/>
              </w:rPr>
              <w:t xml:space="preserve"> </w:t>
            </w:r>
            <w:r w:rsidRPr="009F3706">
              <w:rPr>
                <w:rFonts w:ascii="Arial" w:hAnsi="Arial" w:cs="Arial"/>
              </w:rPr>
              <w:t>knowledge</w:t>
            </w:r>
          </w:p>
        </w:tc>
        <w:tc>
          <w:tcPr>
            <w:tcW w:w="4140" w:type="dxa"/>
          </w:tcPr>
          <w:p w14:paraId="319BCFEB" w14:textId="77777777" w:rsidR="009F3706" w:rsidRPr="009F3706" w:rsidRDefault="009F3706" w:rsidP="00682A54">
            <w:pPr>
              <w:pStyle w:val="TableParagraph"/>
              <w:numPr>
                <w:ilvl w:val="0"/>
                <w:numId w:val="225"/>
              </w:numPr>
              <w:tabs>
                <w:tab w:val="left" w:pos="515"/>
                <w:tab w:val="left" w:pos="516"/>
              </w:tabs>
              <w:rPr>
                <w:rFonts w:ascii="Arial" w:hAnsi="Arial" w:cs="Arial"/>
              </w:rPr>
            </w:pPr>
            <w:r w:rsidRPr="009F3706">
              <w:rPr>
                <w:rFonts w:ascii="Arial" w:hAnsi="Arial" w:cs="Arial"/>
              </w:rPr>
              <w:t>communicates</w:t>
            </w:r>
            <w:r w:rsidRPr="009F3706">
              <w:rPr>
                <w:rFonts w:ascii="Arial" w:hAnsi="Arial" w:cs="Arial"/>
                <w:spacing w:val="-5"/>
              </w:rPr>
              <w:t xml:space="preserve"> </w:t>
            </w:r>
            <w:r w:rsidRPr="009F3706">
              <w:rPr>
                <w:rFonts w:ascii="Arial" w:hAnsi="Arial" w:cs="Arial"/>
              </w:rPr>
              <w:t>clearly;</w:t>
            </w:r>
          </w:p>
          <w:p w14:paraId="4184421D" w14:textId="77777777" w:rsidR="009F3706" w:rsidRPr="009F3706" w:rsidRDefault="009F3706" w:rsidP="00682A54">
            <w:pPr>
              <w:pStyle w:val="TableParagraph"/>
              <w:numPr>
                <w:ilvl w:val="0"/>
                <w:numId w:val="225"/>
              </w:numPr>
              <w:tabs>
                <w:tab w:val="left" w:pos="515"/>
                <w:tab w:val="left" w:pos="516"/>
              </w:tabs>
              <w:spacing w:before="1"/>
              <w:rPr>
                <w:rFonts w:ascii="Arial" w:hAnsi="Arial" w:cs="Arial"/>
              </w:rPr>
            </w:pPr>
            <w:r w:rsidRPr="009F3706">
              <w:rPr>
                <w:rFonts w:ascii="Arial" w:hAnsi="Arial" w:cs="Arial"/>
              </w:rPr>
              <w:t>creates</w:t>
            </w:r>
            <w:r w:rsidRPr="009F3706">
              <w:rPr>
                <w:rFonts w:ascii="Arial" w:hAnsi="Arial" w:cs="Arial"/>
                <w:spacing w:val="-5"/>
              </w:rPr>
              <w:t xml:space="preserve"> </w:t>
            </w:r>
            <w:r w:rsidRPr="009F3706">
              <w:rPr>
                <w:rFonts w:ascii="Arial" w:hAnsi="Arial" w:cs="Arial"/>
              </w:rPr>
              <w:t>and</w:t>
            </w:r>
            <w:r w:rsidRPr="009F3706">
              <w:rPr>
                <w:rFonts w:ascii="Arial" w:hAnsi="Arial" w:cs="Arial"/>
                <w:spacing w:val="-3"/>
              </w:rPr>
              <w:t xml:space="preserve"> </w:t>
            </w:r>
            <w:r w:rsidRPr="009F3706">
              <w:rPr>
                <w:rFonts w:ascii="Arial" w:hAnsi="Arial" w:cs="Arial"/>
              </w:rPr>
              <w:t>sustains</w:t>
            </w:r>
            <w:r w:rsidRPr="009F3706">
              <w:rPr>
                <w:rFonts w:ascii="Arial" w:hAnsi="Arial" w:cs="Arial"/>
                <w:spacing w:val="-5"/>
              </w:rPr>
              <w:t xml:space="preserve"> </w:t>
            </w:r>
            <w:r w:rsidRPr="009F3706">
              <w:rPr>
                <w:rFonts w:ascii="Arial" w:hAnsi="Arial" w:cs="Arial"/>
              </w:rPr>
              <w:t>realism;</w:t>
            </w:r>
          </w:p>
          <w:p w14:paraId="09E920EA" w14:textId="77777777" w:rsidR="009F3706" w:rsidRPr="009F3706" w:rsidRDefault="009F3706" w:rsidP="00682A54">
            <w:pPr>
              <w:pStyle w:val="TableParagraph"/>
              <w:numPr>
                <w:ilvl w:val="0"/>
                <w:numId w:val="225"/>
              </w:numPr>
              <w:tabs>
                <w:tab w:val="left" w:pos="515"/>
                <w:tab w:val="left" w:pos="516"/>
              </w:tabs>
              <w:spacing w:line="222" w:lineRule="exact"/>
              <w:rPr>
                <w:rFonts w:ascii="Arial" w:hAnsi="Arial" w:cs="Arial"/>
              </w:rPr>
            </w:pPr>
            <w:r w:rsidRPr="009F3706">
              <w:rPr>
                <w:rFonts w:ascii="Arial" w:hAnsi="Arial" w:cs="Arial"/>
              </w:rPr>
              <w:t>looks</w:t>
            </w:r>
            <w:r w:rsidRPr="009F3706">
              <w:rPr>
                <w:rFonts w:ascii="Arial" w:hAnsi="Arial" w:cs="Arial"/>
                <w:spacing w:val="-4"/>
              </w:rPr>
              <w:t xml:space="preserve"> </w:t>
            </w:r>
            <w:r w:rsidRPr="009F3706">
              <w:rPr>
                <w:rFonts w:ascii="Arial" w:hAnsi="Arial" w:cs="Arial"/>
              </w:rPr>
              <w:t>for</w:t>
            </w:r>
            <w:r w:rsidRPr="009F3706">
              <w:rPr>
                <w:rFonts w:ascii="Arial" w:hAnsi="Arial" w:cs="Arial"/>
                <w:spacing w:val="-3"/>
              </w:rPr>
              <w:t xml:space="preserve"> </w:t>
            </w:r>
            <w:r w:rsidRPr="009F3706">
              <w:rPr>
                <w:rFonts w:ascii="Arial" w:hAnsi="Arial" w:cs="Arial"/>
              </w:rPr>
              <w:t>training</w:t>
            </w:r>
            <w:r w:rsidRPr="009F3706">
              <w:rPr>
                <w:rFonts w:ascii="Arial" w:hAnsi="Arial" w:cs="Arial"/>
                <w:spacing w:val="-3"/>
              </w:rPr>
              <w:t xml:space="preserve"> </w:t>
            </w:r>
            <w:r w:rsidRPr="009F3706">
              <w:rPr>
                <w:rFonts w:ascii="Arial" w:hAnsi="Arial" w:cs="Arial"/>
              </w:rPr>
              <w:t>opportunities.</w:t>
            </w:r>
          </w:p>
        </w:tc>
        <w:tc>
          <w:tcPr>
            <w:tcW w:w="3073" w:type="dxa"/>
          </w:tcPr>
          <w:p w14:paraId="4FA06455" w14:textId="77777777" w:rsidR="009F3706" w:rsidRPr="009F3706" w:rsidRDefault="009F3706" w:rsidP="00F20810">
            <w:pPr>
              <w:pStyle w:val="TableParagraph"/>
              <w:ind w:left="84"/>
              <w:rPr>
                <w:rFonts w:ascii="Arial" w:hAnsi="Arial" w:cs="Arial"/>
              </w:rPr>
            </w:pPr>
            <w:r w:rsidRPr="009F3706">
              <w:rPr>
                <w:rFonts w:ascii="Arial" w:hAnsi="Arial" w:cs="Arial"/>
              </w:rPr>
              <w:t>teaching</w:t>
            </w:r>
            <w:r w:rsidRPr="009F3706">
              <w:rPr>
                <w:rFonts w:ascii="Arial" w:hAnsi="Arial" w:cs="Arial"/>
                <w:spacing w:val="-4"/>
              </w:rPr>
              <w:t xml:space="preserve"> </w:t>
            </w:r>
            <w:r w:rsidRPr="009F3706">
              <w:rPr>
                <w:rFonts w:ascii="Arial" w:hAnsi="Arial" w:cs="Arial"/>
              </w:rPr>
              <w:t>methods</w:t>
            </w:r>
          </w:p>
        </w:tc>
      </w:tr>
      <w:tr w:rsidR="00805C9A" w:rsidRPr="009F3706" w14:paraId="161F85FE" w14:textId="77777777" w:rsidTr="003F6C42">
        <w:trPr>
          <w:trHeight w:val="448"/>
        </w:trPr>
        <w:tc>
          <w:tcPr>
            <w:tcW w:w="2065" w:type="dxa"/>
          </w:tcPr>
          <w:p w14:paraId="4CEA2A74" w14:textId="77777777" w:rsidR="00805C9A" w:rsidRPr="009F3706" w:rsidRDefault="00805C9A" w:rsidP="00F20810">
            <w:pPr>
              <w:pStyle w:val="TableParagraph"/>
              <w:spacing w:line="240" w:lineRule="atLeast"/>
              <w:ind w:left="88"/>
              <w:rPr>
                <w:rFonts w:ascii="Arial" w:hAnsi="Arial" w:cs="Arial"/>
              </w:rPr>
            </w:pPr>
            <w:r w:rsidRPr="009F3706">
              <w:rPr>
                <w:rFonts w:ascii="Arial" w:hAnsi="Arial" w:cs="Arial"/>
              </w:rPr>
              <w:t>Integrate human factors</w:t>
            </w:r>
            <w:r w:rsidRPr="009F3706">
              <w:rPr>
                <w:rFonts w:ascii="Arial" w:hAnsi="Arial" w:cs="Arial"/>
                <w:spacing w:val="-43"/>
              </w:rPr>
              <w:t xml:space="preserve"> </w:t>
            </w:r>
            <w:r w:rsidRPr="009F3706">
              <w:rPr>
                <w:rFonts w:ascii="Arial" w:hAnsi="Arial" w:cs="Arial"/>
              </w:rPr>
              <w:t>and</w:t>
            </w:r>
            <w:r w:rsidRPr="009F3706">
              <w:rPr>
                <w:rFonts w:ascii="Arial" w:hAnsi="Arial" w:cs="Arial"/>
                <w:spacing w:val="-1"/>
              </w:rPr>
              <w:t xml:space="preserve"> </w:t>
            </w:r>
            <w:r w:rsidRPr="009F3706">
              <w:rPr>
                <w:rFonts w:ascii="Arial" w:hAnsi="Arial" w:cs="Arial"/>
              </w:rPr>
              <w:t>TEM</w:t>
            </w:r>
          </w:p>
        </w:tc>
        <w:tc>
          <w:tcPr>
            <w:tcW w:w="4140" w:type="dxa"/>
          </w:tcPr>
          <w:p w14:paraId="4E6B719E" w14:textId="77777777" w:rsidR="00805C9A" w:rsidRPr="009F3706" w:rsidRDefault="00805C9A" w:rsidP="00F20810">
            <w:pPr>
              <w:pStyle w:val="TableParagraph"/>
              <w:spacing w:line="240" w:lineRule="atLeast"/>
              <w:rPr>
                <w:rFonts w:ascii="Arial" w:hAnsi="Arial" w:cs="Arial"/>
              </w:rPr>
            </w:pPr>
            <w:r w:rsidRPr="009F3706">
              <w:rPr>
                <w:rFonts w:ascii="Arial" w:hAnsi="Arial" w:cs="Arial"/>
              </w:rPr>
              <w:t>makes human factors and TEM links with</w:t>
            </w:r>
            <w:r w:rsidRPr="009F3706">
              <w:rPr>
                <w:rFonts w:ascii="Arial" w:hAnsi="Arial" w:cs="Arial"/>
                <w:spacing w:val="-43"/>
              </w:rPr>
              <w:t xml:space="preserve"> </w:t>
            </w:r>
            <w:r w:rsidRPr="009F3706">
              <w:rPr>
                <w:rFonts w:ascii="Arial" w:hAnsi="Arial" w:cs="Arial"/>
              </w:rPr>
              <w:t>technical</w:t>
            </w:r>
            <w:r w:rsidRPr="009F3706">
              <w:rPr>
                <w:rFonts w:ascii="Arial" w:hAnsi="Arial" w:cs="Arial"/>
                <w:spacing w:val="-1"/>
              </w:rPr>
              <w:t xml:space="preserve"> </w:t>
            </w:r>
            <w:r w:rsidRPr="009F3706">
              <w:rPr>
                <w:rFonts w:ascii="Arial" w:hAnsi="Arial" w:cs="Arial"/>
              </w:rPr>
              <w:t>training.</w:t>
            </w:r>
          </w:p>
        </w:tc>
        <w:tc>
          <w:tcPr>
            <w:tcW w:w="3073" w:type="dxa"/>
            <w:vMerge w:val="restart"/>
          </w:tcPr>
          <w:p w14:paraId="0732FD62" w14:textId="77777777" w:rsidR="00805C9A" w:rsidRPr="009F3706" w:rsidRDefault="00805C9A" w:rsidP="00F20810">
            <w:pPr>
              <w:pStyle w:val="TableParagraph"/>
              <w:tabs>
                <w:tab w:val="left" w:pos="543"/>
              </w:tabs>
              <w:ind w:left="84"/>
              <w:rPr>
                <w:rFonts w:ascii="Arial" w:hAnsi="Arial" w:cs="Arial"/>
              </w:rPr>
            </w:pPr>
            <w:r w:rsidRPr="009F3706">
              <w:rPr>
                <w:rFonts w:ascii="Arial" w:hAnsi="Arial" w:cs="Arial"/>
              </w:rPr>
              <w:t>(a)</w:t>
            </w:r>
            <w:r w:rsidRPr="009F3706">
              <w:rPr>
                <w:rFonts w:ascii="Arial" w:hAnsi="Arial" w:cs="Arial"/>
              </w:rPr>
              <w:tab/>
              <w:t>human</w:t>
            </w:r>
            <w:r w:rsidRPr="009F3706">
              <w:rPr>
                <w:rFonts w:ascii="Arial" w:hAnsi="Arial" w:cs="Arial"/>
                <w:spacing w:val="-2"/>
              </w:rPr>
              <w:t xml:space="preserve"> </w:t>
            </w:r>
            <w:r w:rsidRPr="009F3706">
              <w:rPr>
                <w:rFonts w:ascii="Arial" w:hAnsi="Arial" w:cs="Arial"/>
              </w:rPr>
              <w:t>factors</w:t>
            </w:r>
            <w:r w:rsidRPr="009F3706">
              <w:rPr>
                <w:rFonts w:ascii="Arial" w:hAnsi="Arial" w:cs="Arial"/>
                <w:spacing w:val="-5"/>
              </w:rPr>
              <w:t xml:space="preserve"> </w:t>
            </w:r>
            <w:r w:rsidRPr="009F3706">
              <w:rPr>
                <w:rFonts w:ascii="Arial" w:hAnsi="Arial" w:cs="Arial"/>
              </w:rPr>
              <w:t>and</w:t>
            </w:r>
            <w:r w:rsidRPr="009F3706">
              <w:rPr>
                <w:rFonts w:ascii="Arial" w:hAnsi="Arial" w:cs="Arial"/>
                <w:spacing w:val="-2"/>
              </w:rPr>
              <w:t xml:space="preserve"> </w:t>
            </w:r>
            <w:r w:rsidRPr="009F3706">
              <w:rPr>
                <w:rFonts w:ascii="Arial" w:hAnsi="Arial" w:cs="Arial"/>
              </w:rPr>
              <w:t>TEM;</w:t>
            </w:r>
          </w:p>
          <w:p w14:paraId="0AF28D33" w14:textId="4A2F4555" w:rsidR="00805C9A" w:rsidRPr="009F3706" w:rsidRDefault="00805C9A" w:rsidP="00805C9A">
            <w:pPr>
              <w:pStyle w:val="TableParagraph"/>
              <w:tabs>
                <w:tab w:val="left" w:pos="543"/>
              </w:tabs>
              <w:ind w:left="84"/>
              <w:rPr>
                <w:rFonts w:ascii="Arial" w:hAnsi="Arial" w:cs="Arial"/>
              </w:rPr>
            </w:pPr>
            <w:r w:rsidRPr="009F3706">
              <w:rPr>
                <w:rFonts w:ascii="Arial" w:hAnsi="Arial" w:cs="Arial"/>
              </w:rPr>
              <w:t>(b)</w:t>
            </w:r>
            <w:r w:rsidRPr="009F3706">
              <w:rPr>
                <w:rFonts w:ascii="Arial" w:hAnsi="Arial" w:cs="Arial"/>
              </w:rPr>
              <w:tab/>
              <w:t>causes and countermeasures against undesired aircraft</w:t>
            </w:r>
            <w:r>
              <w:rPr>
                <w:rFonts w:ascii="Arial" w:hAnsi="Arial" w:cs="Arial"/>
              </w:rPr>
              <w:t xml:space="preserve"> </w:t>
            </w:r>
            <w:r w:rsidRPr="009F3706">
              <w:rPr>
                <w:rFonts w:ascii="Arial" w:hAnsi="Arial" w:cs="Arial"/>
              </w:rPr>
              <w:t>states.</w:t>
            </w:r>
          </w:p>
        </w:tc>
      </w:tr>
      <w:tr w:rsidR="00805C9A" w:rsidRPr="009F3706" w14:paraId="440783AF" w14:textId="77777777" w:rsidTr="003F6C42">
        <w:trPr>
          <w:trHeight w:val="448"/>
        </w:trPr>
        <w:tc>
          <w:tcPr>
            <w:tcW w:w="2065" w:type="dxa"/>
          </w:tcPr>
          <w:p w14:paraId="5264180C" w14:textId="77777777" w:rsidR="00805C9A" w:rsidRPr="009F3706" w:rsidRDefault="00805C9A" w:rsidP="009F3706">
            <w:pPr>
              <w:pStyle w:val="TableParagraph"/>
              <w:spacing w:line="240" w:lineRule="atLeast"/>
              <w:ind w:left="88"/>
              <w:rPr>
                <w:rFonts w:ascii="Arial" w:hAnsi="Arial" w:cs="Arial"/>
              </w:rPr>
            </w:pPr>
          </w:p>
        </w:tc>
        <w:tc>
          <w:tcPr>
            <w:tcW w:w="4140" w:type="dxa"/>
          </w:tcPr>
          <w:p w14:paraId="64FB55BB" w14:textId="77777777" w:rsidR="00805C9A" w:rsidRPr="009F3706" w:rsidRDefault="00805C9A" w:rsidP="009F3706">
            <w:pPr>
              <w:pStyle w:val="TableParagraph"/>
              <w:spacing w:line="240" w:lineRule="atLeast"/>
              <w:rPr>
                <w:rFonts w:ascii="Arial" w:hAnsi="Arial" w:cs="Arial"/>
              </w:rPr>
            </w:pPr>
          </w:p>
        </w:tc>
        <w:tc>
          <w:tcPr>
            <w:tcW w:w="3073" w:type="dxa"/>
            <w:vMerge/>
          </w:tcPr>
          <w:p w14:paraId="4DB56C45" w14:textId="039506D0" w:rsidR="00805C9A" w:rsidRPr="009F3706" w:rsidRDefault="00805C9A" w:rsidP="00805C9A">
            <w:pPr>
              <w:pStyle w:val="TableParagraph"/>
              <w:tabs>
                <w:tab w:val="left" w:pos="543"/>
              </w:tabs>
              <w:ind w:left="84"/>
              <w:rPr>
                <w:rFonts w:ascii="Arial" w:hAnsi="Arial" w:cs="Arial"/>
              </w:rPr>
            </w:pPr>
          </w:p>
        </w:tc>
      </w:tr>
      <w:tr w:rsidR="009F3706" w:rsidRPr="009F3706" w14:paraId="67C813F3" w14:textId="77777777" w:rsidTr="003F6C42">
        <w:trPr>
          <w:trHeight w:val="448"/>
        </w:trPr>
        <w:tc>
          <w:tcPr>
            <w:tcW w:w="2065" w:type="dxa"/>
          </w:tcPr>
          <w:p w14:paraId="6F53AAA3" w14:textId="77777777" w:rsidR="009F3706" w:rsidRPr="009F3706" w:rsidRDefault="009F3706" w:rsidP="009F3706">
            <w:pPr>
              <w:pStyle w:val="TableParagraph"/>
              <w:spacing w:line="240" w:lineRule="atLeast"/>
              <w:ind w:left="88"/>
              <w:rPr>
                <w:rFonts w:ascii="Arial" w:hAnsi="Arial" w:cs="Arial"/>
              </w:rPr>
            </w:pPr>
            <w:r w:rsidRPr="009F3706">
              <w:rPr>
                <w:rFonts w:ascii="Arial" w:hAnsi="Arial" w:cs="Arial"/>
              </w:rPr>
              <w:t>Manage time to achieve</w:t>
            </w:r>
          </w:p>
          <w:p w14:paraId="77C615CA" w14:textId="77777777" w:rsidR="009F3706" w:rsidRPr="009F3706" w:rsidRDefault="009F3706" w:rsidP="009F3706">
            <w:pPr>
              <w:pStyle w:val="TableParagraph"/>
              <w:spacing w:line="240" w:lineRule="atLeast"/>
              <w:ind w:left="88"/>
              <w:rPr>
                <w:rFonts w:ascii="Arial" w:hAnsi="Arial" w:cs="Arial"/>
              </w:rPr>
            </w:pPr>
            <w:r w:rsidRPr="009F3706">
              <w:rPr>
                <w:rFonts w:ascii="Arial" w:hAnsi="Arial" w:cs="Arial"/>
              </w:rPr>
              <w:t>training objectives</w:t>
            </w:r>
          </w:p>
        </w:tc>
        <w:tc>
          <w:tcPr>
            <w:tcW w:w="4140" w:type="dxa"/>
          </w:tcPr>
          <w:p w14:paraId="053ED9DA" w14:textId="77777777" w:rsidR="009F3706" w:rsidRPr="009F3706" w:rsidRDefault="009F3706" w:rsidP="009F3706">
            <w:pPr>
              <w:pStyle w:val="TableParagraph"/>
              <w:spacing w:line="240" w:lineRule="atLeast"/>
              <w:rPr>
                <w:rFonts w:ascii="Arial" w:hAnsi="Arial" w:cs="Arial"/>
              </w:rPr>
            </w:pPr>
            <w:r w:rsidRPr="009F3706">
              <w:rPr>
                <w:rFonts w:ascii="Arial" w:hAnsi="Arial" w:cs="Arial"/>
              </w:rPr>
              <w:t>allocates the appropriate time to achieve</w:t>
            </w:r>
          </w:p>
          <w:p w14:paraId="57383039" w14:textId="77777777" w:rsidR="009F3706" w:rsidRPr="009F3706" w:rsidRDefault="009F3706" w:rsidP="009F3706">
            <w:pPr>
              <w:pStyle w:val="TableParagraph"/>
              <w:spacing w:line="240" w:lineRule="atLeast"/>
              <w:rPr>
                <w:rFonts w:ascii="Arial" w:hAnsi="Arial" w:cs="Arial"/>
              </w:rPr>
            </w:pPr>
            <w:r w:rsidRPr="009F3706">
              <w:rPr>
                <w:rFonts w:ascii="Arial" w:hAnsi="Arial" w:cs="Arial"/>
              </w:rPr>
              <w:t>the competency objective.</w:t>
            </w:r>
          </w:p>
        </w:tc>
        <w:tc>
          <w:tcPr>
            <w:tcW w:w="3073" w:type="dxa"/>
          </w:tcPr>
          <w:p w14:paraId="219EE51B" w14:textId="77777777" w:rsidR="009F3706" w:rsidRPr="009F3706" w:rsidRDefault="009F3706" w:rsidP="009F3706">
            <w:pPr>
              <w:pStyle w:val="TableParagraph"/>
              <w:tabs>
                <w:tab w:val="left" w:pos="543"/>
              </w:tabs>
              <w:ind w:left="84"/>
              <w:rPr>
                <w:rFonts w:ascii="Arial" w:hAnsi="Arial" w:cs="Arial"/>
              </w:rPr>
            </w:pPr>
            <w:r w:rsidRPr="009F3706">
              <w:rPr>
                <w:rFonts w:ascii="Arial" w:hAnsi="Arial" w:cs="Arial"/>
              </w:rPr>
              <w:t>syllabus time allocation</w:t>
            </w:r>
          </w:p>
        </w:tc>
      </w:tr>
      <w:tr w:rsidR="009F3706" w:rsidRPr="009F3706" w14:paraId="0E73D1DD" w14:textId="77777777" w:rsidTr="003F6C42">
        <w:trPr>
          <w:trHeight w:val="448"/>
        </w:trPr>
        <w:tc>
          <w:tcPr>
            <w:tcW w:w="2065" w:type="dxa"/>
          </w:tcPr>
          <w:p w14:paraId="01B234A3" w14:textId="77777777" w:rsidR="009F3706" w:rsidRPr="009F3706" w:rsidRDefault="009F3706" w:rsidP="009F3706">
            <w:pPr>
              <w:pStyle w:val="TableParagraph"/>
              <w:spacing w:line="240" w:lineRule="atLeast"/>
              <w:ind w:left="88"/>
              <w:rPr>
                <w:rFonts w:ascii="Arial" w:hAnsi="Arial" w:cs="Arial"/>
              </w:rPr>
            </w:pPr>
            <w:r w:rsidRPr="009F3706">
              <w:rPr>
                <w:rFonts w:ascii="Arial" w:hAnsi="Arial" w:cs="Arial"/>
              </w:rPr>
              <w:t>Facilitate learning</w:t>
            </w:r>
          </w:p>
        </w:tc>
        <w:tc>
          <w:tcPr>
            <w:tcW w:w="4140" w:type="dxa"/>
          </w:tcPr>
          <w:p w14:paraId="2C99FF26" w14:textId="77777777" w:rsidR="009F3706" w:rsidRPr="009F3706" w:rsidRDefault="009F3706" w:rsidP="00682A54">
            <w:pPr>
              <w:pStyle w:val="TableParagraph"/>
              <w:numPr>
                <w:ilvl w:val="0"/>
                <w:numId w:val="238"/>
              </w:numPr>
              <w:tabs>
                <w:tab w:val="left" w:pos="515"/>
                <w:tab w:val="left" w:pos="516"/>
              </w:tabs>
              <w:spacing w:line="243" w:lineRule="exact"/>
              <w:rPr>
                <w:rFonts w:ascii="Arial" w:hAnsi="Arial" w:cs="Arial"/>
              </w:rPr>
            </w:pPr>
            <w:r w:rsidRPr="009F3706">
              <w:rPr>
                <w:rFonts w:ascii="Arial" w:hAnsi="Arial" w:cs="Arial"/>
              </w:rPr>
              <w:t>encourages trainee participation;</w:t>
            </w:r>
          </w:p>
          <w:p w14:paraId="2ADE158C" w14:textId="77777777" w:rsidR="009F3706" w:rsidRPr="009F3706" w:rsidRDefault="009F3706" w:rsidP="00682A54">
            <w:pPr>
              <w:pStyle w:val="TableParagraph"/>
              <w:numPr>
                <w:ilvl w:val="0"/>
                <w:numId w:val="238"/>
              </w:numPr>
              <w:tabs>
                <w:tab w:val="left" w:pos="515"/>
                <w:tab w:val="left" w:pos="516"/>
              </w:tabs>
              <w:ind w:right="115"/>
              <w:rPr>
                <w:rFonts w:ascii="Arial" w:hAnsi="Arial" w:cs="Arial"/>
              </w:rPr>
            </w:pPr>
            <w:r w:rsidRPr="009F3706">
              <w:rPr>
                <w:rFonts w:ascii="Arial" w:hAnsi="Arial" w:cs="Arial"/>
              </w:rPr>
              <w:t>shows motivating, patient, confident and assertive manner;</w:t>
            </w:r>
          </w:p>
          <w:p w14:paraId="24ED63F1" w14:textId="77777777" w:rsidR="009F3706" w:rsidRPr="009F3706" w:rsidRDefault="009F3706" w:rsidP="00682A54">
            <w:pPr>
              <w:pStyle w:val="TableParagraph"/>
              <w:numPr>
                <w:ilvl w:val="0"/>
                <w:numId w:val="238"/>
              </w:numPr>
              <w:tabs>
                <w:tab w:val="left" w:pos="515"/>
                <w:tab w:val="left" w:pos="516"/>
              </w:tabs>
              <w:spacing w:before="1" w:line="243" w:lineRule="exact"/>
              <w:rPr>
                <w:rFonts w:ascii="Arial" w:hAnsi="Arial" w:cs="Arial"/>
              </w:rPr>
            </w:pPr>
            <w:r w:rsidRPr="009F3706">
              <w:rPr>
                <w:rFonts w:ascii="Arial" w:hAnsi="Arial" w:cs="Arial"/>
              </w:rPr>
              <w:t>conducts one-to-one coaching;</w:t>
            </w:r>
          </w:p>
          <w:p w14:paraId="421FE45A" w14:textId="77777777" w:rsidR="009F3706" w:rsidRPr="009F3706" w:rsidRDefault="009F3706" w:rsidP="00682A54">
            <w:pPr>
              <w:pStyle w:val="TableParagraph"/>
              <w:numPr>
                <w:ilvl w:val="0"/>
                <w:numId w:val="238"/>
              </w:numPr>
              <w:tabs>
                <w:tab w:val="left" w:pos="515"/>
                <w:tab w:val="left" w:pos="516"/>
              </w:tabs>
              <w:spacing w:line="224" w:lineRule="exact"/>
              <w:rPr>
                <w:rFonts w:ascii="Arial" w:hAnsi="Arial" w:cs="Arial"/>
              </w:rPr>
            </w:pPr>
            <w:r w:rsidRPr="009F3706">
              <w:rPr>
                <w:rFonts w:ascii="Arial" w:hAnsi="Arial" w:cs="Arial"/>
              </w:rPr>
              <w:t>encourages mutual support.</w:t>
            </w:r>
          </w:p>
        </w:tc>
        <w:tc>
          <w:tcPr>
            <w:tcW w:w="3073" w:type="dxa"/>
          </w:tcPr>
          <w:p w14:paraId="5C881554" w14:textId="77777777" w:rsidR="009F3706" w:rsidRPr="009F3706" w:rsidRDefault="009F3706" w:rsidP="00682A54">
            <w:pPr>
              <w:pStyle w:val="TableParagraph"/>
              <w:numPr>
                <w:ilvl w:val="0"/>
                <w:numId w:val="237"/>
              </w:numPr>
              <w:tabs>
                <w:tab w:val="left" w:pos="543"/>
                <w:tab w:val="left" w:pos="544"/>
              </w:tabs>
              <w:spacing w:line="243" w:lineRule="exact"/>
              <w:ind w:hanging="460"/>
              <w:rPr>
                <w:rFonts w:ascii="Arial" w:hAnsi="Arial" w:cs="Arial"/>
              </w:rPr>
            </w:pPr>
            <w:r w:rsidRPr="009F3706">
              <w:rPr>
                <w:rFonts w:ascii="Arial" w:hAnsi="Arial" w:cs="Arial"/>
              </w:rPr>
              <w:t>facilitation;</w:t>
            </w:r>
          </w:p>
          <w:p w14:paraId="6BA7200A" w14:textId="77777777" w:rsidR="009F3706" w:rsidRPr="009F3706" w:rsidRDefault="009F3706" w:rsidP="00682A54">
            <w:pPr>
              <w:pStyle w:val="TableParagraph"/>
              <w:numPr>
                <w:ilvl w:val="0"/>
                <w:numId w:val="237"/>
              </w:numPr>
              <w:tabs>
                <w:tab w:val="left" w:pos="543"/>
                <w:tab w:val="left" w:pos="544"/>
              </w:tabs>
              <w:ind w:right="715"/>
              <w:rPr>
                <w:rFonts w:ascii="Arial" w:hAnsi="Arial" w:cs="Arial"/>
              </w:rPr>
            </w:pPr>
            <w:r w:rsidRPr="009F3706">
              <w:rPr>
                <w:rFonts w:ascii="Arial" w:hAnsi="Arial" w:cs="Arial"/>
              </w:rPr>
              <w:t>how to give constructive feedback;</w:t>
            </w:r>
          </w:p>
          <w:p w14:paraId="5B9F6F0B" w14:textId="45F7F8DE" w:rsidR="009F3706" w:rsidRPr="00805C9A" w:rsidRDefault="009F3706" w:rsidP="00805C9A">
            <w:pPr>
              <w:pStyle w:val="TableParagraph"/>
              <w:numPr>
                <w:ilvl w:val="0"/>
                <w:numId w:val="237"/>
              </w:numPr>
              <w:tabs>
                <w:tab w:val="left" w:pos="544"/>
              </w:tabs>
              <w:spacing w:before="1" w:line="243" w:lineRule="exact"/>
              <w:ind w:hanging="460"/>
              <w:rPr>
                <w:rFonts w:ascii="Arial" w:hAnsi="Arial" w:cs="Arial"/>
              </w:rPr>
            </w:pPr>
            <w:r w:rsidRPr="009F3706">
              <w:rPr>
                <w:rFonts w:ascii="Arial" w:hAnsi="Arial" w:cs="Arial"/>
              </w:rPr>
              <w:t>how to encourage trainees to</w:t>
            </w:r>
            <w:r w:rsidR="00805C9A">
              <w:rPr>
                <w:rFonts w:ascii="Arial" w:hAnsi="Arial" w:cs="Arial"/>
              </w:rPr>
              <w:t xml:space="preserve"> </w:t>
            </w:r>
            <w:r w:rsidRPr="00805C9A">
              <w:rPr>
                <w:rFonts w:ascii="Arial" w:hAnsi="Arial" w:cs="Arial"/>
              </w:rPr>
              <w:t>ask questions and seek advice.</w:t>
            </w:r>
          </w:p>
        </w:tc>
      </w:tr>
      <w:tr w:rsidR="009F3706" w:rsidRPr="009F3706" w14:paraId="387541A4" w14:textId="77777777" w:rsidTr="003F6C42">
        <w:trPr>
          <w:trHeight w:val="448"/>
        </w:trPr>
        <w:tc>
          <w:tcPr>
            <w:tcW w:w="2065" w:type="dxa"/>
          </w:tcPr>
          <w:p w14:paraId="0C46CF19" w14:textId="77777777" w:rsidR="009F3706" w:rsidRPr="009F3706" w:rsidRDefault="009F3706" w:rsidP="009F3706">
            <w:pPr>
              <w:pStyle w:val="TableParagraph"/>
              <w:spacing w:line="240" w:lineRule="atLeast"/>
              <w:ind w:left="88"/>
              <w:rPr>
                <w:rFonts w:ascii="Arial" w:hAnsi="Arial" w:cs="Arial"/>
              </w:rPr>
            </w:pPr>
            <w:r w:rsidRPr="009F3706">
              <w:rPr>
                <w:rFonts w:ascii="Arial" w:hAnsi="Arial" w:cs="Arial"/>
              </w:rPr>
              <w:t>Assesses trainee performance</w:t>
            </w:r>
          </w:p>
        </w:tc>
        <w:tc>
          <w:tcPr>
            <w:tcW w:w="4140" w:type="dxa"/>
          </w:tcPr>
          <w:p w14:paraId="1383B452" w14:textId="77777777" w:rsidR="009F3706" w:rsidRPr="009F3706" w:rsidRDefault="009F3706" w:rsidP="00682A54">
            <w:pPr>
              <w:pStyle w:val="TableParagraph"/>
              <w:numPr>
                <w:ilvl w:val="0"/>
                <w:numId w:val="236"/>
              </w:numPr>
              <w:tabs>
                <w:tab w:val="left" w:pos="516"/>
              </w:tabs>
              <w:ind w:right="452"/>
              <w:jc w:val="both"/>
              <w:rPr>
                <w:rFonts w:ascii="Arial" w:hAnsi="Arial" w:cs="Arial"/>
              </w:rPr>
            </w:pPr>
            <w:r w:rsidRPr="009F3706">
              <w:rPr>
                <w:rFonts w:ascii="Arial" w:hAnsi="Arial" w:cs="Arial"/>
              </w:rPr>
              <w:t>assesses and encourages trainee self-assessment of performance against competency standards;</w:t>
            </w:r>
          </w:p>
          <w:p w14:paraId="3EA97725" w14:textId="77777777" w:rsidR="009F3706" w:rsidRPr="009F3706" w:rsidRDefault="009F3706" w:rsidP="00682A54">
            <w:pPr>
              <w:pStyle w:val="TableParagraph"/>
              <w:numPr>
                <w:ilvl w:val="0"/>
                <w:numId w:val="236"/>
              </w:numPr>
              <w:tabs>
                <w:tab w:val="left" w:pos="516"/>
              </w:tabs>
              <w:spacing w:before="1"/>
              <w:ind w:right="522"/>
              <w:jc w:val="both"/>
              <w:rPr>
                <w:rFonts w:ascii="Arial" w:hAnsi="Arial" w:cs="Arial"/>
              </w:rPr>
            </w:pPr>
            <w:r w:rsidRPr="009F3706">
              <w:rPr>
                <w:rFonts w:ascii="Arial" w:hAnsi="Arial" w:cs="Arial"/>
              </w:rPr>
              <w:t>makes assessment decision and provides clear feedback;</w:t>
            </w:r>
          </w:p>
          <w:p w14:paraId="43ADE757" w14:textId="5B088165" w:rsidR="009F3706" w:rsidRPr="00732FC8" w:rsidRDefault="009F3706" w:rsidP="00732FC8">
            <w:pPr>
              <w:pStyle w:val="TableParagraph"/>
              <w:numPr>
                <w:ilvl w:val="0"/>
                <w:numId w:val="236"/>
              </w:numPr>
              <w:tabs>
                <w:tab w:val="left" w:pos="516"/>
              </w:tabs>
              <w:spacing w:before="1" w:line="243" w:lineRule="exact"/>
              <w:jc w:val="both"/>
              <w:rPr>
                <w:rFonts w:ascii="Arial" w:hAnsi="Arial" w:cs="Arial"/>
              </w:rPr>
            </w:pPr>
            <w:r w:rsidRPr="009F3706">
              <w:rPr>
                <w:rFonts w:ascii="Arial" w:hAnsi="Arial" w:cs="Arial"/>
              </w:rPr>
              <w:t>observes crew-resource</w:t>
            </w:r>
            <w:r w:rsidR="00732FC8">
              <w:rPr>
                <w:rFonts w:ascii="Arial" w:hAnsi="Arial" w:cs="Arial"/>
              </w:rPr>
              <w:t xml:space="preserve"> </w:t>
            </w:r>
            <w:r w:rsidRPr="00732FC8">
              <w:rPr>
                <w:rFonts w:ascii="Arial" w:hAnsi="Arial" w:cs="Arial"/>
              </w:rPr>
              <w:t>management (CRM) behaviour.</w:t>
            </w:r>
          </w:p>
        </w:tc>
        <w:tc>
          <w:tcPr>
            <w:tcW w:w="3073" w:type="dxa"/>
          </w:tcPr>
          <w:p w14:paraId="0190BD24" w14:textId="77777777" w:rsidR="009F3706" w:rsidRPr="009F3706" w:rsidRDefault="009F3706" w:rsidP="00682A54">
            <w:pPr>
              <w:pStyle w:val="TableParagraph"/>
              <w:numPr>
                <w:ilvl w:val="0"/>
                <w:numId w:val="235"/>
              </w:numPr>
              <w:tabs>
                <w:tab w:val="left" w:pos="543"/>
                <w:tab w:val="left" w:pos="544"/>
              </w:tabs>
              <w:ind w:hanging="460"/>
              <w:rPr>
                <w:rFonts w:ascii="Arial" w:hAnsi="Arial" w:cs="Arial"/>
              </w:rPr>
            </w:pPr>
            <w:r w:rsidRPr="009F3706">
              <w:rPr>
                <w:rFonts w:ascii="Arial" w:hAnsi="Arial" w:cs="Arial"/>
              </w:rPr>
              <w:t>observation techniques;</w:t>
            </w:r>
          </w:p>
          <w:p w14:paraId="28B4BAF6" w14:textId="77777777" w:rsidR="009F3706" w:rsidRPr="009F3706" w:rsidRDefault="009F3706" w:rsidP="00682A54">
            <w:pPr>
              <w:pStyle w:val="TableParagraph"/>
              <w:numPr>
                <w:ilvl w:val="0"/>
                <w:numId w:val="235"/>
              </w:numPr>
              <w:tabs>
                <w:tab w:val="left" w:pos="543"/>
                <w:tab w:val="left" w:pos="544"/>
              </w:tabs>
              <w:spacing w:before="1"/>
              <w:ind w:right="883"/>
              <w:rPr>
                <w:rFonts w:ascii="Arial" w:hAnsi="Arial" w:cs="Arial"/>
              </w:rPr>
            </w:pPr>
            <w:r w:rsidRPr="009F3706">
              <w:rPr>
                <w:rFonts w:ascii="Arial" w:hAnsi="Arial" w:cs="Arial"/>
              </w:rPr>
              <w:t>methods for recording observations.</w:t>
            </w:r>
          </w:p>
        </w:tc>
      </w:tr>
      <w:tr w:rsidR="009F3706" w:rsidRPr="009F3706" w14:paraId="150FD6D8" w14:textId="77777777" w:rsidTr="003F6C42">
        <w:trPr>
          <w:trHeight w:val="448"/>
        </w:trPr>
        <w:tc>
          <w:tcPr>
            <w:tcW w:w="2065" w:type="dxa"/>
          </w:tcPr>
          <w:p w14:paraId="0564007E" w14:textId="77777777" w:rsidR="009F3706" w:rsidRPr="009F3706" w:rsidRDefault="009F3706" w:rsidP="009F3706">
            <w:pPr>
              <w:pStyle w:val="TableParagraph"/>
              <w:spacing w:line="240" w:lineRule="atLeast"/>
              <w:ind w:left="88"/>
              <w:rPr>
                <w:rFonts w:ascii="Arial" w:hAnsi="Arial" w:cs="Arial"/>
              </w:rPr>
            </w:pPr>
            <w:r w:rsidRPr="009F3706">
              <w:rPr>
                <w:rFonts w:ascii="Arial" w:hAnsi="Arial" w:cs="Arial"/>
              </w:rPr>
              <w:lastRenderedPageBreak/>
              <w:t>Monitor and review progress</w:t>
            </w:r>
          </w:p>
        </w:tc>
        <w:tc>
          <w:tcPr>
            <w:tcW w:w="4140" w:type="dxa"/>
          </w:tcPr>
          <w:p w14:paraId="68739DB7" w14:textId="77777777" w:rsidR="009F3706" w:rsidRPr="009F3706" w:rsidRDefault="009F3706" w:rsidP="00682A54">
            <w:pPr>
              <w:pStyle w:val="TableParagraph"/>
              <w:numPr>
                <w:ilvl w:val="0"/>
                <w:numId w:val="234"/>
              </w:numPr>
              <w:tabs>
                <w:tab w:val="left" w:pos="515"/>
                <w:tab w:val="left" w:pos="516"/>
              </w:tabs>
              <w:ind w:right="399"/>
              <w:rPr>
                <w:rFonts w:ascii="Arial" w:hAnsi="Arial" w:cs="Arial"/>
              </w:rPr>
            </w:pPr>
            <w:r w:rsidRPr="009F3706">
              <w:rPr>
                <w:rFonts w:ascii="Arial" w:hAnsi="Arial" w:cs="Arial"/>
              </w:rPr>
              <w:t>compares individual outcomes to defined objectives;</w:t>
            </w:r>
          </w:p>
          <w:p w14:paraId="36765B4F" w14:textId="77777777" w:rsidR="009F3706" w:rsidRPr="009F3706" w:rsidRDefault="009F3706" w:rsidP="00682A54">
            <w:pPr>
              <w:pStyle w:val="TableParagraph"/>
              <w:numPr>
                <w:ilvl w:val="0"/>
                <w:numId w:val="234"/>
              </w:numPr>
              <w:tabs>
                <w:tab w:val="left" w:pos="515"/>
                <w:tab w:val="left" w:pos="516"/>
              </w:tabs>
              <w:ind w:right="360"/>
              <w:rPr>
                <w:rFonts w:ascii="Arial" w:hAnsi="Arial" w:cs="Arial"/>
              </w:rPr>
            </w:pPr>
            <w:r w:rsidRPr="009F3706">
              <w:rPr>
                <w:rFonts w:ascii="Arial" w:hAnsi="Arial" w:cs="Arial"/>
              </w:rPr>
              <w:t>identifies individual differences in learning rates;</w:t>
            </w:r>
          </w:p>
          <w:p w14:paraId="25788CC4" w14:textId="02FC5AB6" w:rsidR="009F3706" w:rsidRPr="00732FC8" w:rsidRDefault="009F3706" w:rsidP="00732FC8">
            <w:pPr>
              <w:pStyle w:val="TableParagraph"/>
              <w:numPr>
                <w:ilvl w:val="0"/>
                <w:numId w:val="234"/>
              </w:numPr>
              <w:tabs>
                <w:tab w:val="left" w:pos="515"/>
                <w:tab w:val="left" w:pos="516"/>
              </w:tabs>
              <w:spacing w:before="1" w:line="243" w:lineRule="exact"/>
              <w:rPr>
                <w:rFonts w:ascii="Arial" w:hAnsi="Arial" w:cs="Arial"/>
              </w:rPr>
            </w:pPr>
            <w:r w:rsidRPr="009F3706">
              <w:rPr>
                <w:rFonts w:ascii="Arial" w:hAnsi="Arial" w:cs="Arial"/>
              </w:rPr>
              <w:t>applies appropriate corrective</w:t>
            </w:r>
            <w:r w:rsidR="00732FC8">
              <w:rPr>
                <w:rFonts w:ascii="Arial" w:hAnsi="Arial" w:cs="Arial"/>
              </w:rPr>
              <w:t xml:space="preserve"> </w:t>
            </w:r>
            <w:r w:rsidRPr="00732FC8">
              <w:rPr>
                <w:rFonts w:ascii="Arial" w:hAnsi="Arial" w:cs="Arial"/>
              </w:rPr>
              <w:t>action.</w:t>
            </w:r>
          </w:p>
        </w:tc>
        <w:tc>
          <w:tcPr>
            <w:tcW w:w="3073" w:type="dxa"/>
          </w:tcPr>
          <w:p w14:paraId="1CBCF8B9" w14:textId="77777777" w:rsidR="009F3706" w:rsidRPr="009F3706" w:rsidRDefault="009F3706" w:rsidP="00682A54">
            <w:pPr>
              <w:pStyle w:val="TableParagraph"/>
              <w:numPr>
                <w:ilvl w:val="0"/>
                <w:numId w:val="233"/>
              </w:numPr>
              <w:tabs>
                <w:tab w:val="left" w:pos="543"/>
                <w:tab w:val="left" w:pos="544"/>
              </w:tabs>
              <w:ind w:hanging="460"/>
              <w:rPr>
                <w:rFonts w:ascii="Arial" w:hAnsi="Arial" w:cs="Arial"/>
              </w:rPr>
            </w:pPr>
            <w:r w:rsidRPr="009F3706">
              <w:rPr>
                <w:rFonts w:ascii="Arial" w:hAnsi="Arial" w:cs="Arial"/>
              </w:rPr>
              <w:t>learning styles;</w:t>
            </w:r>
          </w:p>
          <w:p w14:paraId="189E898E" w14:textId="064C243E" w:rsidR="009F3706" w:rsidRPr="009F3706" w:rsidRDefault="009F3706" w:rsidP="00682A54">
            <w:pPr>
              <w:pStyle w:val="TableParagraph"/>
              <w:numPr>
                <w:ilvl w:val="0"/>
                <w:numId w:val="233"/>
              </w:numPr>
              <w:tabs>
                <w:tab w:val="left" w:pos="543"/>
                <w:tab w:val="left" w:pos="544"/>
              </w:tabs>
              <w:spacing w:before="1"/>
              <w:ind w:right="296"/>
              <w:rPr>
                <w:rFonts w:ascii="Arial" w:hAnsi="Arial" w:cs="Arial"/>
              </w:rPr>
            </w:pPr>
            <w:r w:rsidRPr="009F3706">
              <w:rPr>
                <w:rFonts w:ascii="Arial" w:hAnsi="Arial" w:cs="Arial"/>
              </w:rPr>
              <w:t>strategies for training adaptation to meet</w:t>
            </w:r>
            <w:r w:rsidR="00732FC8">
              <w:rPr>
                <w:rFonts w:ascii="Arial" w:hAnsi="Arial" w:cs="Arial"/>
              </w:rPr>
              <w:t xml:space="preserve"> </w:t>
            </w:r>
            <w:r w:rsidRPr="009F3706">
              <w:rPr>
                <w:rFonts w:ascii="Arial" w:hAnsi="Arial" w:cs="Arial"/>
              </w:rPr>
              <w:t>individual needs.</w:t>
            </w:r>
          </w:p>
        </w:tc>
      </w:tr>
      <w:tr w:rsidR="009F3706" w:rsidRPr="009F3706" w14:paraId="2B1D3758" w14:textId="77777777" w:rsidTr="003F6C42">
        <w:trPr>
          <w:trHeight w:val="448"/>
        </w:trPr>
        <w:tc>
          <w:tcPr>
            <w:tcW w:w="2065" w:type="dxa"/>
          </w:tcPr>
          <w:p w14:paraId="1BB1D02C" w14:textId="77777777" w:rsidR="009F3706" w:rsidRPr="009F3706" w:rsidRDefault="009F3706" w:rsidP="009F3706">
            <w:pPr>
              <w:pStyle w:val="TableParagraph"/>
              <w:spacing w:line="240" w:lineRule="atLeast"/>
              <w:ind w:left="88"/>
              <w:rPr>
                <w:rFonts w:ascii="Arial" w:hAnsi="Arial" w:cs="Arial"/>
              </w:rPr>
            </w:pPr>
            <w:r w:rsidRPr="009F3706">
              <w:rPr>
                <w:rFonts w:ascii="Arial" w:hAnsi="Arial" w:cs="Arial"/>
              </w:rPr>
              <w:t>Evaluate training sessions</w:t>
            </w:r>
          </w:p>
        </w:tc>
        <w:tc>
          <w:tcPr>
            <w:tcW w:w="4140" w:type="dxa"/>
          </w:tcPr>
          <w:p w14:paraId="0F8BE834" w14:textId="77777777" w:rsidR="009F3706" w:rsidRPr="009F3706" w:rsidRDefault="009F3706" w:rsidP="00682A54">
            <w:pPr>
              <w:pStyle w:val="TableParagraph"/>
              <w:numPr>
                <w:ilvl w:val="0"/>
                <w:numId w:val="232"/>
              </w:numPr>
              <w:tabs>
                <w:tab w:val="left" w:pos="515"/>
                <w:tab w:val="left" w:pos="516"/>
              </w:tabs>
              <w:rPr>
                <w:rFonts w:ascii="Arial" w:hAnsi="Arial" w:cs="Arial"/>
              </w:rPr>
            </w:pPr>
            <w:r w:rsidRPr="009F3706">
              <w:rPr>
                <w:rFonts w:ascii="Arial" w:hAnsi="Arial" w:cs="Arial"/>
              </w:rPr>
              <w:t>elicits feedback from student pilots;</w:t>
            </w:r>
          </w:p>
          <w:p w14:paraId="0557B98F" w14:textId="77777777" w:rsidR="009F3706" w:rsidRPr="009F3706" w:rsidRDefault="009F3706" w:rsidP="00682A54">
            <w:pPr>
              <w:pStyle w:val="TableParagraph"/>
              <w:numPr>
                <w:ilvl w:val="0"/>
                <w:numId w:val="232"/>
              </w:numPr>
              <w:tabs>
                <w:tab w:val="left" w:pos="515"/>
                <w:tab w:val="left" w:pos="516"/>
              </w:tabs>
              <w:spacing w:before="1"/>
              <w:ind w:right="459"/>
              <w:rPr>
                <w:rFonts w:ascii="Arial" w:hAnsi="Arial" w:cs="Arial"/>
              </w:rPr>
            </w:pPr>
            <w:r w:rsidRPr="009F3706">
              <w:rPr>
                <w:rFonts w:ascii="Arial" w:hAnsi="Arial" w:cs="Arial"/>
              </w:rPr>
              <w:t>tracks training session processes against competency criteria;</w:t>
            </w:r>
          </w:p>
          <w:p w14:paraId="11764BF0" w14:textId="77777777" w:rsidR="009F3706" w:rsidRPr="009F3706" w:rsidRDefault="009F3706" w:rsidP="00682A54">
            <w:pPr>
              <w:pStyle w:val="TableParagraph"/>
              <w:numPr>
                <w:ilvl w:val="0"/>
                <w:numId w:val="232"/>
              </w:numPr>
              <w:tabs>
                <w:tab w:val="left" w:pos="515"/>
                <w:tab w:val="left" w:pos="516"/>
              </w:tabs>
              <w:spacing w:line="224" w:lineRule="exact"/>
              <w:rPr>
                <w:rFonts w:ascii="Arial" w:hAnsi="Arial" w:cs="Arial"/>
              </w:rPr>
            </w:pPr>
            <w:r w:rsidRPr="009F3706">
              <w:rPr>
                <w:rFonts w:ascii="Arial" w:hAnsi="Arial" w:cs="Arial"/>
              </w:rPr>
              <w:t>keeps appropriate records.</w:t>
            </w:r>
          </w:p>
        </w:tc>
        <w:tc>
          <w:tcPr>
            <w:tcW w:w="3073" w:type="dxa"/>
          </w:tcPr>
          <w:p w14:paraId="024BF761" w14:textId="27C968BA" w:rsidR="009F3706" w:rsidRPr="009F3706" w:rsidRDefault="009F3706" w:rsidP="00682A54">
            <w:pPr>
              <w:pStyle w:val="TableParagraph"/>
              <w:numPr>
                <w:ilvl w:val="0"/>
                <w:numId w:val="231"/>
              </w:numPr>
              <w:tabs>
                <w:tab w:val="left" w:pos="543"/>
                <w:tab w:val="left" w:pos="544"/>
              </w:tabs>
              <w:ind w:right="987"/>
              <w:rPr>
                <w:rFonts w:ascii="Arial" w:hAnsi="Arial" w:cs="Arial"/>
              </w:rPr>
            </w:pPr>
            <w:r w:rsidRPr="009F3706">
              <w:rPr>
                <w:rFonts w:ascii="Arial" w:hAnsi="Arial" w:cs="Arial"/>
              </w:rPr>
              <w:t>competency unit and</w:t>
            </w:r>
            <w:r w:rsidR="00732FC8">
              <w:rPr>
                <w:rFonts w:ascii="Arial" w:hAnsi="Arial" w:cs="Arial"/>
              </w:rPr>
              <w:t xml:space="preserve"> </w:t>
            </w:r>
            <w:r w:rsidRPr="009F3706">
              <w:rPr>
                <w:rFonts w:ascii="Arial" w:hAnsi="Arial" w:cs="Arial"/>
              </w:rPr>
              <w:t>associated elements;</w:t>
            </w:r>
          </w:p>
          <w:p w14:paraId="375DF8C4" w14:textId="77777777" w:rsidR="009F3706" w:rsidRPr="009F3706" w:rsidRDefault="009F3706" w:rsidP="00682A54">
            <w:pPr>
              <w:pStyle w:val="TableParagraph"/>
              <w:numPr>
                <w:ilvl w:val="0"/>
                <w:numId w:val="231"/>
              </w:numPr>
              <w:tabs>
                <w:tab w:val="left" w:pos="543"/>
                <w:tab w:val="left" w:pos="544"/>
              </w:tabs>
              <w:spacing w:line="243" w:lineRule="exact"/>
              <w:ind w:hanging="460"/>
              <w:rPr>
                <w:rFonts w:ascii="Arial" w:hAnsi="Arial" w:cs="Arial"/>
              </w:rPr>
            </w:pPr>
            <w:r w:rsidRPr="009F3706">
              <w:rPr>
                <w:rFonts w:ascii="Arial" w:hAnsi="Arial" w:cs="Arial"/>
              </w:rPr>
              <w:t>performance criteria.</w:t>
            </w:r>
          </w:p>
        </w:tc>
      </w:tr>
      <w:tr w:rsidR="009F3706" w:rsidRPr="009F3706" w14:paraId="7C14A99D" w14:textId="77777777" w:rsidTr="003F6C42">
        <w:trPr>
          <w:trHeight w:val="448"/>
        </w:trPr>
        <w:tc>
          <w:tcPr>
            <w:tcW w:w="2065" w:type="dxa"/>
          </w:tcPr>
          <w:p w14:paraId="1AE10808" w14:textId="77777777" w:rsidR="009F3706" w:rsidRPr="009F3706" w:rsidRDefault="009F3706" w:rsidP="009F3706">
            <w:pPr>
              <w:pStyle w:val="TableParagraph"/>
              <w:spacing w:line="240" w:lineRule="atLeast"/>
              <w:ind w:left="88"/>
              <w:rPr>
                <w:rFonts w:ascii="Arial" w:hAnsi="Arial" w:cs="Arial"/>
              </w:rPr>
            </w:pPr>
            <w:r w:rsidRPr="009F3706">
              <w:rPr>
                <w:rFonts w:ascii="Arial" w:hAnsi="Arial" w:cs="Arial"/>
              </w:rPr>
              <w:t>Report outcome</w:t>
            </w:r>
          </w:p>
        </w:tc>
        <w:tc>
          <w:tcPr>
            <w:tcW w:w="4140" w:type="dxa"/>
          </w:tcPr>
          <w:p w14:paraId="45FDE54F" w14:textId="77777777" w:rsidR="009F3706" w:rsidRPr="009F3706" w:rsidRDefault="009F3706" w:rsidP="009F3706">
            <w:pPr>
              <w:pStyle w:val="TableParagraph"/>
              <w:spacing w:line="240" w:lineRule="atLeast"/>
              <w:rPr>
                <w:rFonts w:ascii="Arial" w:hAnsi="Arial" w:cs="Arial"/>
              </w:rPr>
            </w:pPr>
            <w:r w:rsidRPr="009F3706">
              <w:rPr>
                <w:rFonts w:ascii="Arial" w:hAnsi="Arial" w:cs="Arial"/>
              </w:rPr>
              <w:t>Reports accurately using only observed actions and events.</w:t>
            </w:r>
          </w:p>
        </w:tc>
        <w:tc>
          <w:tcPr>
            <w:tcW w:w="3073" w:type="dxa"/>
          </w:tcPr>
          <w:p w14:paraId="3852EFB3" w14:textId="77777777" w:rsidR="009F3706" w:rsidRPr="009F3706" w:rsidRDefault="009F3706" w:rsidP="00682A54">
            <w:pPr>
              <w:pStyle w:val="TableParagraph"/>
              <w:numPr>
                <w:ilvl w:val="0"/>
                <w:numId w:val="230"/>
              </w:numPr>
              <w:tabs>
                <w:tab w:val="left" w:pos="543"/>
                <w:tab w:val="left" w:pos="544"/>
              </w:tabs>
              <w:spacing w:before="1" w:line="243" w:lineRule="exact"/>
              <w:ind w:hanging="460"/>
              <w:rPr>
                <w:rFonts w:ascii="Arial" w:hAnsi="Arial" w:cs="Arial"/>
              </w:rPr>
            </w:pPr>
            <w:r w:rsidRPr="009F3706">
              <w:rPr>
                <w:rFonts w:ascii="Arial" w:hAnsi="Arial" w:cs="Arial"/>
              </w:rPr>
              <w:t>training phase objectives;</w:t>
            </w:r>
          </w:p>
          <w:p w14:paraId="215CB190" w14:textId="3BBBB188" w:rsidR="009F3706" w:rsidRPr="00732FC8" w:rsidRDefault="009F3706" w:rsidP="00732FC8">
            <w:pPr>
              <w:pStyle w:val="TableParagraph"/>
              <w:numPr>
                <w:ilvl w:val="0"/>
                <w:numId w:val="230"/>
              </w:numPr>
              <w:tabs>
                <w:tab w:val="left" w:pos="544"/>
              </w:tabs>
              <w:spacing w:line="243" w:lineRule="exact"/>
              <w:ind w:hanging="460"/>
              <w:rPr>
                <w:rFonts w:ascii="Arial" w:hAnsi="Arial" w:cs="Arial"/>
              </w:rPr>
            </w:pPr>
            <w:r w:rsidRPr="009F3706">
              <w:rPr>
                <w:rFonts w:ascii="Arial" w:hAnsi="Arial" w:cs="Arial"/>
              </w:rPr>
              <w:t>individual versus systemic</w:t>
            </w:r>
            <w:r w:rsidR="00732FC8">
              <w:rPr>
                <w:rFonts w:ascii="Arial" w:hAnsi="Arial" w:cs="Arial"/>
              </w:rPr>
              <w:t xml:space="preserve"> </w:t>
            </w:r>
            <w:r w:rsidRPr="00732FC8">
              <w:rPr>
                <w:rFonts w:ascii="Arial" w:hAnsi="Arial" w:cs="Arial"/>
              </w:rPr>
              <w:t>weaknesses.</w:t>
            </w:r>
          </w:p>
        </w:tc>
      </w:tr>
    </w:tbl>
    <w:p w14:paraId="3FBBF71A" w14:textId="77777777" w:rsidR="000A32E0" w:rsidRPr="000A32E0" w:rsidRDefault="000A32E0" w:rsidP="000A32E0">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711" w:name="_Toc153137453"/>
      <w:r w:rsidRPr="000A32E0">
        <w:rPr>
          <w:rFonts w:ascii="Arial" w:eastAsia="Times New Roman" w:hAnsi="Arial" w:cs="Times New Roman"/>
          <w:b/>
          <w:iCs/>
          <w:color w:val="FFFFFF"/>
          <w:sz w:val="24"/>
        </w:rPr>
        <w:t>BFCL.330 FI(B) – Training course</w:t>
      </w:r>
      <w:bookmarkEnd w:id="711"/>
      <w:r w:rsidRPr="000A32E0">
        <w:rPr>
          <w:rFonts w:ascii="Arial" w:eastAsia="Times New Roman" w:hAnsi="Arial" w:cs="Times New Roman"/>
          <w:b/>
          <w:iCs/>
          <w:color w:val="FFFFFF"/>
          <w:sz w:val="24"/>
        </w:rPr>
        <w:tab/>
      </w:r>
    </w:p>
    <w:p w14:paraId="29037F15" w14:textId="77777777" w:rsidR="000A32E0" w:rsidRPr="000A32E0" w:rsidRDefault="000A32E0" w:rsidP="00682A54">
      <w:pPr>
        <w:pStyle w:val="ListParagraph"/>
        <w:numPr>
          <w:ilvl w:val="0"/>
          <w:numId w:val="239"/>
        </w:numPr>
        <w:tabs>
          <w:tab w:val="left" w:pos="707"/>
        </w:tabs>
        <w:spacing w:before="117"/>
        <w:ind w:right="194"/>
        <w:jc w:val="both"/>
        <w:rPr>
          <w:rFonts w:ascii="Arial" w:hAnsi="Arial" w:cs="Arial"/>
          <w:sz w:val="20"/>
        </w:rPr>
      </w:pPr>
      <w:r w:rsidRPr="000A32E0">
        <w:rPr>
          <w:rFonts w:ascii="Arial" w:hAnsi="Arial" w:cs="Arial"/>
          <w:sz w:val="20"/>
        </w:rPr>
        <w:t>Applicants for an FI(B) certificate shall first pass a specific pre-entry assessment at an ATO or a</w:t>
      </w:r>
      <w:r w:rsidRPr="000A32E0">
        <w:rPr>
          <w:rFonts w:ascii="Arial" w:hAnsi="Arial" w:cs="Arial"/>
          <w:spacing w:val="1"/>
          <w:sz w:val="20"/>
        </w:rPr>
        <w:t xml:space="preserve"> </w:t>
      </w:r>
      <w:r w:rsidRPr="000A32E0">
        <w:rPr>
          <w:rFonts w:ascii="Arial" w:hAnsi="Arial" w:cs="Arial"/>
          <w:sz w:val="20"/>
        </w:rPr>
        <w:t>DTO</w:t>
      </w:r>
      <w:r w:rsidRPr="000A32E0">
        <w:rPr>
          <w:rFonts w:ascii="Arial" w:hAnsi="Arial" w:cs="Arial"/>
          <w:spacing w:val="-3"/>
          <w:sz w:val="20"/>
        </w:rPr>
        <w:t xml:space="preserve"> </w:t>
      </w:r>
      <w:r w:rsidRPr="000A32E0">
        <w:rPr>
          <w:rFonts w:ascii="Arial" w:hAnsi="Arial" w:cs="Arial"/>
          <w:sz w:val="20"/>
        </w:rPr>
        <w:t>within</w:t>
      </w:r>
      <w:r w:rsidRPr="000A32E0">
        <w:rPr>
          <w:rFonts w:ascii="Arial" w:hAnsi="Arial" w:cs="Arial"/>
          <w:spacing w:val="-1"/>
          <w:sz w:val="20"/>
        </w:rPr>
        <w:t xml:space="preserve"> </w:t>
      </w:r>
      <w:r w:rsidRPr="000A32E0">
        <w:rPr>
          <w:rFonts w:ascii="Arial" w:hAnsi="Arial" w:cs="Arial"/>
          <w:sz w:val="20"/>
        </w:rPr>
        <w:t>the</w:t>
      </w:r>
      <w:r w:rsidRPr="000A32E0">
        <w:rPr>
          <w:rFonts w:ascii="Arial" w:hAnsi="Arial" w:cs="Arial"/>
          <w:spacing w:val="-3"/>
          <w:sz w:val="20"/>
        </w:rPr>
        <w:t xml:space="preserve"> </w:t>
      </w:r>
      <w:r w:rsidRPr="000A32E0">
        <w:rPr>
          <w:rFonts w:ascii="Arial" w:hAnsi="Arial" w:cs="Arial"/>
          <w:sz w:val="20"/>
        </w:rPr>
        <w:t>12</w:t>
      </w:r>
      <w:r w:rsidRPr="000A32E0">
        <w:rPr>
          <w:rFonts w:ascii="Arial" w:hAnsi="Arial" w:cs="Arial"/>
          <w:spacing w:val="-2"/>
          <w:sz w:val="20"/>
        </w:rPr>
        <w:t xml:space="preserve"> </w:t>
      </w:r>
      <w:r w:rsidRPr="000A32E0">
        <w:rPr>
          <w:rFonts w:ascii="Arial" w:hAnsi="Arial" w:cs="Arial"/>
          <w:sz w:val="20"/>
        </w:rPr>
        <w:t>months</w:t>
      </w:r>
      <w:r w:rsidRPr="000A32E0">
        <w:rPr>
          <w:rFonts w:ascii="Arial" w:hAnsi="Arial" w:cs="Arial"/>
          <w:spacing w:val="-5"/>
          <w:sz w:val="20"/>
        </w:rPr>
        <w:t xml:space="preserve"> </w:t>
      </w:r>
      <w:r w:rsidRPr="000A32E0">
        <w:rPr>
          <w:rFonts w:ascii="Arial" w:hAnsi="Arial" w:cs="Arial"/>
          <w:sz w:val="20"/>
        </w:rPr>
        <w:t>preceding</w:t>
      </w:r>
      <w:r w:rsidRPr="000A32E0">
        <w:rPr>
          <w:rFonts w:ascii="Arial" w:hAnsi="Arial" w:cs="Arial"/>
          <w:spacing w:val="-2"/>
          <w:sz w:val="20"/>
        </w:rPr>
        <w:t xml:space="preserve"> </w:t>
      </w:r>
      <w:r w:rsidRPr="000A32E0">
        <w:rPr>
          <w:rFonts w:ascii="Arial" w:hAnsi="Arial" w:cs="Arial"/>
          <w:sz w:val="20"/>
        </w:rPr>
        <w:t>the</w:t>
      </w:r>
      <w:r w:rsidRPr="000A32E0">
        <w:rPr>
          <w:rFonts w:ascii="Arial" w:hAnsi="Arial" w:cs="Arial"/>
          <w:spacing w:val="-2"/>
          <w:sz w:val="20"/>
        </w:rPr>
        <w:t xml:space="preserve"> </w:t>
      </w:r>
      <w:r w:rsidRPr="000A32E0">
        <w:rPr>
          <w:rFonts w:ascii="Arial" w:hAnsi="Arial" w:cs="Arial"/>
          <w:sz w:val="20"/>
        </w:rPr>
        <w:t>start</w:t>
      </w:r>
      <w:r w:rsidRPr="000A32E0">
        <w:rPr>
          <w:rFonts w:ascii="Arial" w:hAnsi="Arial" w:cs="Arial"/>
          <w:spacing w:val="-2"/>
          <w:sz w:val="20"/>
        </w:rPr>
        <w:t xml:space="preserve"> </w:t>
      </w:r>
      <w:r w:rsidRPr="000A32E0">
        <w:rPr>
          <w:rFonts w:ascii="Arial" w:hAnsi="Arial" w:cs="Arial"/>
          <w:sz w:val="20"/>
        </w:rPr>
        <w:t>of</w:t>
      </w:r>
      <w:r w:rsidRPr="000A32E0">
        <w:rPr>
          <w:rFonts w:ascii="Arial" w:hAnsi="Arial" w:cs="Arial"/>
          <w:spacing w:val="-4"/>
          <w:sz w:val="20"/>
        </w:rPr>
        <w:t xml:space="preserve"> </w:t>
      </w:r>
      <w:r w:rsidRPr="000A32E0">
        <w:rPr>
          <w:rFonts w:ascii="Arial" w:hAnsi="Arial" w:cs="Arial"/>
          <w:sz w:val="20"/>
        </w:rPr>
        <w:t>the</w:t>
      </w:r>
      <w:r w:rsidRPr="000A32E0">
        <w:rPr>
          <w:rFonts w:ascii="Arial" w:hAnsi="Arial" w:cs="Arial"/>
          <w:spacing w:val="-2"/>
          <w:sz w:val="20"/>
        </w:rPr>
        <w:t xml:space="preserve"> </w:t>
      </w:r>
      <w:r w:rsidRPr="000A32E0">
        <w:rPr>
          <w:rFonts w:ascii="Arial" w:hAnsi="Arial" w:cs="Arial"/>
          <w:sz w:val="20"/>
        </w:rPr>
        <w:t>training</w:t>
      </w:r>
      <w:r w:rsidRPr="000A32E0">
        <w:rPr>
          <w:rFonts w:ascii="Arial" w:hAnsi="Arial" w:cs="Arial"/>
          <w:spacing w:val="-1"/>
          <w:sz w:val="20"/>
        </w:rPr>
        <w:t xml:space="preserve"> </w:t>
      </w:r>
      <w:r w:rsidRPr="000A32E0">
        <w:rPr>
          <w:rFonts w:ascii="Arial" w:hAnsi="Arial" w:cs="Arial"/>
          <w:sz w:val="20"/>
        </w:rPr>
        <w:t>course,</w:t>
      </w:r>
      <w:r w:rsidRPr="000A32E0">
        <w:rPr>
          <w:rFonts w:ascii="Arial" w:hAnsi="Arial" w:cs="Arial"/>
          <w:spacing w:val="-1"/>
          <w:sz w:val="20"/>
        </w:rPr>
        <w:t xml:space="preserve"> </w:t>
      </w:r>
      <w:r w:rsidRPr="000A32E0">
        <w:rPr>
          <w:rFonts w:ascii="Arial" w:hAnsi="Arial" w:cs="Arial"/>
          <w:sz w:val="20"/>
        </w:rPr>
        <w:t>to</w:t>
      </w:r>
      <w:r w:rsidRPr="000A32E0">
        <w:rPr>
          <w:rFonts w:ascii="Arial" w:hAnsi="Arial" w:cs="Arial"/>
          <w:spacing w:val="-2"/>
          <w:sz w:val="20"/>
        </w:rPr>
        <w:t xml:space="preserve"> </w:t>
      </w:r>
      <w:r w:rsidRPr="000A32E0">
        <w:rPr>
          <w:rFonts w:ascii="Arial" w:hAnsi="Arial" w:cs="Arial"/>
          <w:sz w:val="20"/>
        </w:rPr>
        <w:t>assess his</w:t>
      </w:r>
      <w:r w:rsidRPr="000A32E0">
        <w:rPr>
          <w:rFonts w:ascii="Arial" w:hAnsi="Arial" w:cs="Arial"/>
          <w:spacing w:val="-1"/>
          <w:sz w:val="20"/>
        </w:rPr>
        <w:t xml:space="preserve"> </w:t>
      </w:r>
      <w:r w:rsidRPr="000A32E0">
        <w:rPr>
          <w:rFonts w:ascii="Arial" w:hAnsi="Arial" w:cs="Arial"/>
          <w:sz w:val="20"/>
        </w:rPr>
        <w:t>or her</w:t>
      </w:r>
      <w:r w:rsidRPr="000A32E0">
        <w:rPr>
          <w:rFonts w:ascii="Arial" w:hAnsi="Arial" w:cs="Arial"/>
          <w:spacing w:val="-2"/>
          <w:sz w:val="20"/>
        </w:rPr>
        <w:t xml:space="preserve"> </w:t>
      </w:r>
      <w:r w:rsidRPr="000A32E0">
        <w:rPr>
          <w:rFonts w:ascii="Arial" w:hAnsi="Arial" w:cs="Arial"/>
          <w:sz w:val="20"/>
        </w:rPr>
        <w:t>ability</w:t>
      </w:r>
      <w:r w:rsidRPr="000A32E0">
        <w:rPr>
          <w:rFonts w:ascii="Arial" w:hAnsi="Arial" w:cs="Arial"/>
          <w:spacing w:val="-48"/>
          <w:sz w:val="20"/>
        </w:rPr>
        <w:t xml:space="preserve"> </w:t>
      </w:r>
      <w:r w:rsidRPr="000A32E0">
        <w:rPr>
          <w:rFonts w:ascii="Arial" w:hAnsi="Arial" w:cs="Arial"/>
          <w:sz w:val="20"/>
        </w:rPr>
        <w:t>to</w:t>
      </w:r>
      <w:r w:rsidRPr="000A32E0">
        <w:rPr>
          <w:rFonts w:ascii="Arial" w:hAnsi="Arial" w:cs="Arial"/>
          <w:spacing w:val="-1"/>
          <w:sz w:val="20"/>
        </w:rPr>
        <w:t xml:space="preserve"> </w:t>
      </w:r>
      <w:r w:rsidRPr="000A32E0">
        <w:rPr>
          <w:rFonts w:ascii="Arial" w:hAnsi="Arial" w:cs="Arial"/>
          <w:sz w:val="20"/>
        </w:rPr>
        <w:t>take</w:t>
      </w:r>
      <w:r w:rsidRPr="000A32E0">
        <w:rPr>
          <w:rFonts w:ascii="Arial" w:hAnsi="Arial" w:cs="Arial"/>
          <w:spacing w:val="-2"/>
          <w:sz w:val="20"/>
        </w:rPr>
        <w:t xml:space="preserve"> </w:t>
      </w:r>
      <w:r w:rsidRPr="000A32E0">
        <w:rPr>
          <w:rFonts w:ascii="Arial" w:hAnsi="Arial" w:cs="Arial"/>
          <w:sz w:val="20"/>
        </w:rPr>
        <w:t>the</w:t>
      </w:r>
      <w:r w:rsidRPr="000A32E0">
        <w:rPr>
          <w:rFonts w:ascii="Arial" w:hAnsi="Arial" w:cs="Arial"/>
          <w:spacing w:val="-2"/>
          <w:sz w:val="20"/>
        </w:rPr>
        <w:t xml:space="preserve"> </w:t>
      </w:r>
      <w:r w:rsidRPr="000A32E0">
        <w:rPr>
          <w:rFonts w:ascii="Arial" w:hAnsi="Arial" w:cs="Arial"/>
          <w:sz w:val="20"/>
        </w:rPr>
        <w:t>course.</w:t>
      </w:r>
    </w:p>
    <w:p w14:paraId="062F0BEB" w14:textId="77777777" w:rsidR="000A32E0" w:rsidRPr="000A32E0" w:rsidRDefault="000A32E0" w:rsidP="00682A54">
      <w:pPr>
        <w:pStyle w:val="ListParagraph"/>
        <w:numPr>
          <w:ilvl w:val="0"/>
          <w:numId w:val="239"/>
        </w:numPr>
        <w:tabs>
          <w:tab w:val="left" w:pos="707"/>
        </w:tabs>
        <w:spacing w:before="121"/>
        <w:jc w:val="both"/>
        <w:rPr>
          <w:rFonts w:ascii="Arial" w:hAnsi="Arial" w:cs="Arial"/>
          <w:sz w:val="20"/>
        </w:rPr>
      </w:pPr>
      <w:r w:rsidRPr="000A32E0">
        <w:rPr>
          <w:rFonts w:ascii="Arial" w:hAnsi="Arial" w:cs="Arial"/>
          <w:sz w:val="20"/>
        </w:rPr>
        <w:t>The</w:t>
      </w:r>
      <w:r w:rsidRPr="000A32E0">
        <w:rPr>
          <w:rFonts w:ascii="Arial" w:hAnsi="Arial" w:cs="Arial"/>
          <w:spacing w:val="-2"/>
          <w:sz w:val="20"/>
        </w:rPr>
        <w:t xml:space="preserve"> </w:t>
      </w:r>
      <w:r w:rsidRPr="000A32E0">
        <w:rPr>
          <w:rFonts w:ascii="Arial" w:hAnsi="Arial" w:cs="Arial"/>
          <w:sz w:val="20"/>
        </w:rPr>
        <w:t>FI(B)</w:t>
      </w:r>
      <w:r w:rsidRPr="000A32E0">
        <w:rPr>
          <w:rFonts w:ascii="Arial" w:hAnsi="Arial" w:cs="Arial"/>
          <w:spacing w:val="-3"/>
          <w:sz w:val="20"/>
        </w:rPr>
        <w:t xml:space="preserve"> </w:t>
      </w:r>
      <w:r w:rsidRPr="000A32E0">
        <w:rPr>
          <w:rFonts w:ascii="Arial" w:hAnsi="Arial" w:cs="Arial"/>
          <w:sz w:val="20"/>
        </w:rPr>
        <w:t>training</w:t>
      </w:r>
      <w:r w:rsidRPr="000A32E0">
        <w:rPr>
          <w:rFonts w:ascii="Arial" w:hAnsi="Arial" w:cs="Arial"/>
          <w:spacing w:val="-2"/>
          <w:sz w:val="20"/>
        </w:rPr>
        <w:t xml:space="preserve"> </w:t>
      </w:r>
      <w:r w:rsidRPr="000A32E0">
        <w:rPr>
          <w:rFonts w:ascii="Arial" w:hAnsi="Arial" w:cs="Arial"/>
          <w:sz w:val="20"/>
        </w:rPr>
        <w:t>course shall</w:t>
      </w:r>
      <w:r w:rsidRPr="000A32E0">
        <w:rPr>
          <w:rFonts w:ascii="Arial" w:hAnsi="Arial" w:cs="Arial"/>
          <w:spacing w:val="-2"/>
          <w:sz w:val="20"/>
        </w:rPr>
        <w:t xml:space="preserve"> </w:t>
      </w:r>
      <w:r w:rsidRPr="000A32E0">
        <w:rPr>
          <w:rFonts w:ascii="Arial" w:hAnsi="Arial" w:cs="Arial"/>
          <w:sz w:val="20"/>
        </w:rPr>
        <w:t>include at</w:t>
      </w:r>
      <w:r w:rsidRPr="000A32E0">
        <w:rPr>
          <w:rFonts w:ascii="Arial" w:hAnsi="Arial" w:cs="Arial"/>
          <w:spacing w:val="-1"/>
          <w:sz w:val="20"/>
        </w:rPr>
        <w:t xml:space="preserve"> </w:t>
      </w:r>
      <w:r w:rsidRPr="000A32E0">
        <w:rPr>
          <w:rFonts w:ascii="Arial" w:hAnsi="Arial" w:cs="Arial"/>
          <w:sz w:val="20"/>
        </w:rPr>
        <w:t>least:</w:t>
      </w:r>
    </w:p>
    <w:p w14:paraId="55E8EE31" w14:textId="77777777" w:rsidR="000A32E0" w:rsidRPr="000A32E0" w:rsidRDefault="000A32E0" w:rsidP="00682A54">
      <w:pPr>
        <w:pStyle w:val="ListParagraph"/>
        <w:numPr>
          <w:ilvl w:val="1"/>
          <w:numId w:val="239"/>
        </w:numPr>
        <w:tabs>
          <w:tab w:val="left" w:pos="1273"/>
          <w:tab w:val="left" w:pos="1274"/>
        </w:tabs>
        <w:ind w:hanging="568"/>
        <w:rPr>
          <w:rFonts w:ascii="Arial" w:hAnsi="Arial" w:cs="Arial"/>
          <w:sz w:val="20"/>
        </w:rPr>
      </w:pPr>
      <w:r w:rsidRPr="000A32E0">
        <w:rPr>
          <w:rFonts w:ascii="Arial" w:hAnsi="Arial" w:cs="Arial"/>
          <w:sz w:val="20"/>
        </w:rPr>
        <w:t>the</w:t>
      </w:r>
      <w:r w:rsidRPr="000A32E0">
        <w:rPr>
          <w:rFonts w:ascii="Arial" w:hAnsi="Arial" w:cs="Arial"/>
          <w:spacing w:val="-2"/>
          <w:sz w:val="20"/>
        </w:rPr>
        <w:t xml:space="preserve"> </w:t>
      </w:r>
      <w:r w:rsidRPr="000A32E0">
        <w:rPr>
          <w:rFonts w:ascii="Arial" w:hAnsi="Arial" w:cs="Arial"/>
          <w:sz w:val="20"/>
        </w:rPr>
        <w:t>elements</w:t>
      </w:r>
      <w:r w:rsidRPr="000A32E0">
        <w:rPr>
          <w:rFonts w:ascii="Arial" w:hAnsi="Arial" w:cs="Arial"/>
          <w:spacing w:val="-1"/>
          <w:sz w:val="20"/>
        </w:rPr>
        <w:t xml:space="preserve"> </w:t>
      </w:r>
      <w:r w:rsidRPr="000A32E0">
        <w:rPr>
          <w:rFonts w:ascii="Arial" w:hAnsi="Arial" w:cs="Arial"/>
          <w:sz w:val="20"/>
        </w:rPr>
        <w:t>specified</w:t>
      </w:r>
      <w:r w:rsidRPr="000A32E0">
        <w:rPr>
          <w:rFonts w:ascii="Arial" w:hAnsi="Arial" w:cs="Arial"/>
          <w:spacing w:val="-1"/>
          <w:sz w:val="20"/>
        </w:rPr>
        <w:t xml:space="preserve"> </w:t>
      </w:r>
      <w:r w:rsidRPr="000A32E0">
        <w:rPr>
          <w:rFonts w:ascii="Arial" w:hAnsi="Arial" w:cs="Arial"/>
          <w:sz w:val="20"/>
        </w:rPr>
        <w:t>in</w:t>
      </w:r>
      <w:r w:rsidRPr="000A32E0">
        <w:rPr>
          <w:rFonts w:ascii="Arial" w:hAnsi="Arial" w:cs="Arial"/>
          <w:spacing w:val="-3"/>
          <w:sz w:val="20"/>
        </w:rPr>
        <w:t xml:space="preserve"> </w:t>
      </w:r>
      <w:r w:rsidRPr="000A32E0">
        <w:rPr>
          <w:rFonts w:ascii="Arial" w:hAnsi="Arial" w:cs="Arial"/>
          <w:sz w:val="20"/>
        </w:rPr>
        <w:t>point</w:t>
      </w:r>
      <w:r w:rsidRPr="000A32E0">
        <w:rPr>
          <w:rFonts w:ascii="Arial" w:hAnsi="Arial" w:cs="Arial"/>
          <w:spacing w:val="-2"/>
          <w:sz w:val="20"/>
        </w:rPr>
        <w:t xml:space="preserve"> </w:t>
      </w:r>
      <w:r w:rsidRPr="000A32E0">
        <w:rPr>
          <w:rFonts w:ascii="Arial" w:hAnsi="Arial" w:cs="Arial"/>
          <w:sz w:val="20"/>
        </w:rPr>
        <w:t>BFCL.325;</w:t>
      </w:r>
    </w:p>
    <w:p w14:paraId="6406B400" w14:textId="77777777" w:rsidR="000A32E0" w:rsidRPr="000A32E0" w:rsidRDefault="000A32E0" w:rsidP="00682A54">
      <w:pPr>
        <w:pStyle w:val="ListParagraph"/>
        <w:numPr>
          <w:ilvl w:val="1"/>
          <w:numId w:val="239"/>
        </w:numPr>
        <w:tabs>
          <w:tab w:val="left" w:pos="1273"/>
          <w:tab w:val="left" w:pos="1274"/>
        </w:tabs>
        <w:spacing w:before="121"/>
        <w:ind w:hanging="568"/>
        <w:rPr>
          <w:rFonts w:ascii="Arial" w:hAnsi="Arial" w:cs="Arial"/>
          <w:sz w:val="20"/>
        </w:rPr>
      </w:pPr>
      <w:r w:rsidRPr="000A32E0">
        <w:rPr>
          <w:rFonts w:ascii="Arial" w:hAnsi="Arial" w:cs="Arial"/>
          <w:sz w:val="20"/>
        </w:rPr>
        <w:t>25 hours</w:t>
      </w:r>
      <w:r w:rsidRPr="000A32E0">
        <w:rPr>
          <w:rFonts w:ascii="Arial" w:hAnsi="Arial" w:cs="Arial"/>
          <w:spacing w:val="-2"/>
          <w:sz w:val="20"/>
        </w:rPr>
        <w:t xml:space="preserve"> </w:t>
      </w:r>
      <w:r w:rsidRPr="000A32E0">
        <w:rPr>
          <w:rFonts w:ascii="Arial" w:hAnsi="Arial" w:cs="Arial"/>
          <w:sz w:val="20"/>
        </w:rPr>
        <w:t>of</w:t>
      </w:r>
      <w:r w:rsidRPr="000A32E0">
        <w:rPr>
          <w:rFonts w:ascii="Arial" w:hAnsi="Arial" w:cs="Arial"/>
          <w:spacing w:val="-1"/>
          <w:sz w:val="20"/>
        </w:rPr>
        <w:t xml:space="preserve"> </w:t>
      </w:r>
      <w:r w:rsidRPr="000A32E0">
        <w:rPr>
          <w:rFonts w:ascii="Arial" w:hAnsi="Arial" w:cs="Arial"/>
          <w:sz w:val="20"/>
        </w:rPr>
        <w:t>teaching</w:t>
      </w:r>
      <w:r w:rsidRPr="000A32E0">
        <w:rPr>
          <w:rFonts w:ascii="Arial" w:hAnsi="Arial" w:cs="Arial"/>
          <w:spacing w:val="-1"/>
          <w:sz w:val="20"/>
        </w:rPr>
        <w:t xml:space="preserve"> </w:t>
      </w:r>
      <w:r w:rsidRPr="000A32E0">
        <w:rPr>
          <w:rFonts w:ascii="Arial" w:hAnsi="Arial" w:cs="Arial"/>
          <w:sz w:val="20"/>
        </w:rPr>
        <w:t>and</w:t>
      </w:r>
      <w:r w:rsidRPr="000A32E0">
        <w:rPr>
          <w:rFonts w:ascii="Arial" w:hAnsi="Arial" w:cs="Arial"/>
          <w:spacing w:val="-2"/>
          <w:sz w:val="20"/>
        </w:rPr>
        <w:t xml:space="preserve"> </w:t>
      </w:r>
      <w:r w:rsidRPr="000A32E0">
        <w:rPr>
          <w:rFonts w:ascii="Arial" w:hAnsi="Arial" w:cs="Arial"/>
          <w:sz w:val="20"/>
        </w:rPr>
        <w:t>learning;</w:t>
      </w:r>
    </w:p>
    <w:p w14:paraId="70345AE9" w14:textId="77777777" w:rsidR="000A32E0" w:rsidRPr="000A32E0" w:rsidRDefault="000A32E0" w:rsidP="00682A54">
      <w:pPr>
        <w:pStyle w:val="ListParagraph"/>
        <w:numPr>
          <w:ilvl w:val="1"/>
          <w:numId w:val="239"/>
        </w:numPr>
        <w:tabs>
          <w:tab w:val="left" w:pos="1273"/>
          <w:tab w:val="left" w:pos="1274"/>
        </w:tabs>
        <w:ind w:hanging="568"/>
        <w:rPr>
          <w:rFonts w:ascii="Arial" w:hAnsi="Arial" w:cs="Arial"/>
          <w:sz w:val="20"/>
        </w:rPr>
      </w:pPr>
      <w:r w:rsidRPr="000A32E0">
        <w:rPr>
          <w:rFonts w:ascii="Arial" w:hAnsi="Arial" w:cs="Arial"/>
          <w:sz w:val="20"/>
        </w:rPr>
        <w:t>12</w:t>
      </w:r>
      <w:r w:rsidRPr="000A32E0">
        <w:rPr>
          <w:rFonts w:ascii="Arial" w:hAnsi="Arial" w:cs="Arial"/>
          <w:spacing w:val="-1"/>
          <w:sz w:val="20"/>
        </w:rPr>
        <w:t xml:space="preserve"> </w:t>
      </w:r>
      <w:r w:rsidRPr="000A32E0">
        <w:rPr>
          <w:rFonts w:ascii="Arial" w:hAnsi="Arial" w:cs="Arial"/>
          <w:sz w:val="20"/>
        </w:rPr>
        <w:t>hours</w:t>
      </w:r>
      <w:r w:rsidRPr="000A32E0">
        <w:rPr>
          <w:rFonts w:ascii="Arial" w:hAnsi="Arial" w:cs="Arial"/>
          <w:spacing w:val="-3"/>
          <w:sz w:val="20"/>
        </w:rPr>
        <w:t xml:space="preserve"> </w:t>
      </w:r>
      <w:r w:rsidRPr="000A32E0">
        <w:rPr>
          <w:rFonts w:ascii="Arial" w:hAnsi="Arial" w:cs="Arial"/>
          <w:sz w:val="20"/>
        </w:rPr>
        <w:t>of</w:t>
      </w:r>
      <w:r w:rsidRPr="000A32E0">
        <w:rPr>
          <w:rFonts w:ascii="Arial" w:hAnsi="Arial" w:cs="Arial"/>
          <w:spacing w:val="-1"/>
          <w:sz w:val="20"/>
        </w:rPr>
        <w:t xml:space="preserve"> </w:t>
      </w:r>
      <w:r w:rsidRPr="000A32E0">
        <w:rPr>
          <w:rFonts w:ascii="Arial" w:hAnsi="Arial" w:cs="Arial"/>
          <w:sz w:val="20"/>
        </w:rPr>
        <w:t>theoretical</w:t>
      </w:r>
      <w:r w:rsidRPr="000A32E0">
        <w:rPr>
          <w:rFonts w:ascii="Arial" w:hAnsi="Arial" w:cs="Arial"/>
          <w:spacing w:val="-2"/>
          <w:sz w:val="20"/>
        </w:rPr>
        <w:t xml:space="preserve"> </w:t>
      </w:r>
      <w:r w:rsidRPr="000A32E0">
        <w:rPr>
          <w:rFonts w:ascii="Arial" w:hAnsi="Arial" w:cs="Arial"/>
          <w:sz w:val="20"/>
        </w:rPr>
        <w:t>knowledge instruction,</w:t>
      </w:r>
      <w:r w:rsidRPr="000A32E0">
        <w:rPr>
          <w:rFonts w:ascii="Arial" w:hAnsi="Arial" w:cs="Arial"/>
          <w:spacing w:val="-4"/>
          <w:sz w:val="20"/>
        </w:rPr>
        <w:t xml:space="preserve"> </w:t>
      </w:r>
      <w:r w:rsidRPr="000A32E0">
        <w:rPr>
          <w:rFonts w:ascii="Arial" w:hAnsi="Arial" w:cs="Arial"/>
          <w:sz w:val="20"/>
        </w:rPr>
        <w:t>including</w:t>
      </w:r>
      <w:r w:rsidRPr="000A32E0">
        <w:rPr>
          <w:rFonts w:ascii="Arial" w:hAnsi="Arial" w:cs="Arial"/>
          <w:spacing w:val="-1"/>
          <w:sz w:val="20"/>
        </w:rPr>
        <w:t xml:space="preserve"> </w:t>
      </w:r>
      <w:r w:rsidRPr="000A32E0">
        <w:rPr>
          <w:rFonts w:ascii="Arial" w:hAnsi="Arial" w:cs="Arial"/>
          <w:sz w:val="20"/>
        </w:rPr>
        <w:t>progress</w:t>
      </w:r>
      <w:r w:rsidRPr="000A32E0">
        <w:rPr>
          <w:rFonts w:ascii="Arial" w:hAnsi="Arial" w:cs="Arial"/>
          <w:spacing w:val="-3"/>
          <w:sz w:val="20"/>
        </w:rPr>
        <w:t xml:space="preserve"> </w:t>
      </w:r>
      <w:r w:rsidRPr="000A32E0">
        <w:rPr>
          <w:rFonts w:ascii="Arial" w:hAnsi="Arial" w:cs="Arial"/>
          <w:sz w:val="20"/>
        </w:rPr>
        <w:t>tests;</w:t>
      </w:r>
      <w:r w:rsidRPr="000A32E0">
        <w:rPr>
          <w:rFonts w:ascii="Arial" w:hAnsi="Arial" w:cs="Arial"/>
          <w:spacing w:val="-1"/>
          <w:sz w:val="20"/>
        </w:rPr>
        <w:t xml:space="preserve"> </w:t>
      </w:r>
      <w:r w:rsidRPr="000A32E0">
        <w:rPr>
          <w:rFonts w:ascii="Arial" w:hAnsi="Arial" w:cs="Arial"/>
          <w:sz w:val="20"/>
        </w:rPr>
        <w:t>and</w:t>
      </w:r>
    </w:p>
    <w:p w14:paraId="2390809A" w14:textId="77777777" w:rsidR="000A32E0" w:rsidRPr="000A32E0" w:rsidRDefault="000A32E0" w:rsidP="00682A54">
      <w:pPr>
        <w:pStyle w:val="ListParagraph"/>
        <w:numPr>
          <w:ilvl w:val="1"/>
          <w:numId w:val="239"/>
        </w:numPr>
        <w:tabs>
          <w:tab w:val="left" w:pos="1273"/>
          <w:tab w:val="left" w:pos="1274"/>
        </w:tabs>
        <w:spacing w:before="118"/>
        <w:ind w:hanging="568"/>
        <w:rPr>
          <w:rFonts w:ascii="Arial" w:hAnsi="Arial" w:cs="Arial"/>
          <w:sz w:val="20"/>
        </w:rPr>
      </w:pPr>
      <w:r w:rsidRPr="000A32E0">
        <w:rPr>
          <w:rFonts w:ascii="Arial" w:hAnsi="Arial" w:cs="Arial"/>
          <w:sz w:val="20"/>
        </w:rPr>
        <w:t>three</w:t>
      </w:r>
      <w:r w:rsidRPr="000A32E0">
        <w:rPr>
          <w:rFonts w:ascii="Arial" w:hAnsi="Arial" w:cs="Arial"/>
          <w:spacing w:val="-2"/>
          <w:sz w:val="20"/>
        </w:rPr>
        <w:t xml:space="preserve"> </w:t>
      </w:r>
      <w:r w:rsidRPr="000A32E0">
        <w:rPr>
          <w:rFonts w:ascii="Arial" w:hAnsi="Arial" w:cs="Arial"/>
          <w:sz w:val="20"/>
        </w:rPr>
        <w:t>hours</w:t>
      </w:r>
      <w:r w:rsidRPr="000A32E0">
        <w:rPr>
          <w:rFonts w:ascii="Arial" w:hAnsi="Arial" w:cs="Arial"/>
          <w:spacing w:val="-4"/>
          <w:sz w:val="20"/>
        </w:rPr>
        <w:t xml:space="preserve"> </w:t>
      </w:r>
      <w:r w:rsidRPr="000A32E0">
        <w:rPr>
          <w:rFonts w:ascii="Arial" w:hAnsi="Arial" w:cs="Arial"/>
          <w:sz w:val="20"/>
        </w:rPr>
        <w:t>of</w:t>
      </w:r>
      <w:r w:rsidRPr="000A32E0">
        <w:rPr>
          <w:rFonts w:ascii="Arial" w:hAnsi="Arial" w:cs="Arial"/>
          <w:spacing w:val="-2"/>
          <w:sz w:val="20"/>
        </w:rPr>
        <w:t xml:space="preserve"> </w:t>
      </w:r>
      <w:r w:rsidRPr="000A32E0">
        <w:rPr>
          <w:rFonts w:ascii="Arial" w:hAnsi="Arial" w:cs="Arial"/>
          <w:sz w:val="20"/>
        </w:rPr>
        <w:t>flight</w:t>
      </w:r>
      <w:r w:rsidRPr="000A32E0">
        <w:rPr>
          <w:rFonts w:ascii="Arial" w:hAnsi="Arial" w:cs="Arial"/>
          <w:spacing w:val="-2"/>
          <w:sz w:val="20"/>
        </w:rPr>
        <w:t xml:space="preserve"> </w:t>
      </w:r>
      <w:r w:rsidRPr="000A32E0">
        <w:rPr>
          <w:rFonts w:ascii="Arial" w:hAnsi="Arial" w:cs="Arial"/>
          <w:sz w:val="20"/>
        </w:rPr>
        <w:t>instruction,</w:t>
      </w:r>
      <w:r w:rsidRPr="000A32E0">
        <w:rPr>
          <w:rFonts w:ascii="Arial" w:hAnsi="Arial" w:cs="Arial"/>
          <w:spacing w:val="-2"/>
          <w:sz w:val="20"/>
        </w:rPr>
        <w:t xml:space="preserve"> </w:t>
      </w:r>
      <w:r w:rsidRPr="000A32E0">
        <w:rPr>
          <w:rFonts w:ascii="Arial" w:hAnsi="Arial" w:cs="Arial"/>
          <w:sz w:val="20"/>
        </w:rPr>
        <w:t>including</w:t>
      </w:r>
      <w:r w:rsidRPr="000A32E0">
        <w:rPr>
          <w:rFonts w:ascii="Arial" w:hAnsi="Arial" w:cs="Arial"/>
          <w:spacing w:val="-3"/>
          <w:sz w:val="20"/>
        </w:rPr>
        <w:t xml:space="preserve"> </w:t>
      </w:r>
      <w:r w:rsidRPr="000A32E0">
        <w:rPr>
          <w:rFonts w:ascii="Arial" w:hAnsi="Arial" w:cs="Arial"/>
          <w:sz w:val="20"/>
        </w:rPr>
        <w:t>three</w:t>
      </w:r>
      <w:r w:rsidRPr="000A32E0">
        <w:rPr>
          <w:rFonts w:ascii="Arial" w:hAnsi="Arial" w:cs="Arial"/>
          <w:spacing w:val="-1"/>
          <w:sz w:val="20"/>
        </w:rPr>
        <w:t xml:space="preserve"> </w:t>
      </w:r>
      <w:r w:rsidRPr="000A32E0">
        <w:rPr>
          <w:rFonts w:ascii="Arial" w:hAnsi="Arial" w:cs="Arial"/>
          <w:sz w:val="20"/>
        </w:rPr>
        <w:t>take-offs</w:t>
      </w:r>
      <w:r w:rsidRPr="000A32E0">
        <w:rPr>
          <w:rFonts w:ascii="Arial" w:hAnsi="Arial" w:cs="Arial"/>
          <w:spacing w:val="-1"/>
          <w:sz w:val="20"/>
        </w:rPr>
        <w:t xml:space="preserve"> </w:t>
      </w:r>
      <w:r w:rsidRPr="000A32E0">
        <w:rPr>
          <w:rFonts w:ascii="Arial" w:hAnsi="Arial" w:cs="Arial"/>
          <w:sz w:val="20"/>
        </w:rPr>
        <w:t>and</w:t>
      </w:r>
      <w:r w:rsidRPr="000A32E0">
        <w:rPr>
          <w:rFonts w:ascii="Arial" w:hAnsi="Arial" w:cs="Arial"/>
          <w:spacing w:val="-4"/>
          <w:sz w:val="20"/>
        </w:rPr>
        <w:t xml:space="preserve"> </w:t>
      </w:r>
      <w:r w:rsidRPr="000A32E0">
        <w:rPr>
          <w:rFonts w:ascii="Arial" w:hAnsi="Arial" w:cs="Arial"/>
          <w:sz w:val="20"/>
        </w:rPr>
        <w:t>landings.</w:t>
      </w:r>
    </w:p>
    <w:p w14:paraId="79A25368" w14:textId="6EAA7268" w:rsidR="00947834" w:rsidRPr="00543C3D" w:rsidRDefault="000A32E0" w:rsidP="00682A54">
      <w:pPr>
        <w:pStyle w:val="ListParagraph"/>
        <w:numPr>
          <w:ilvl w:val="0"/>
          <w:numId w:val="239"/>
        </w:numPr>
        <w:spacing w:before="121"/>
        <w:ind w:right="195"/>
        <w:jc w:val="both"/>
        <w:rPr>
          <w:rFonts w:ascii="Arial" w:hAnsi="Arial" w:cs="Arial"/>
          <w:sz w:val="20"/>
        </w:rPr>
      </w:pPr>
      <w:r w:rsidRPr="000A32E0">
        <w:rPr>
          <w:rFonts w:ascii="Arial" w:hAnsi="Arial" w:cs="Arial"/>
          <w:sz w:val="20"/>
        </w:rPr>
        <w:t>Applicants</w:t>
      </w:r>
      <w:r w:rsidRPr="000A32E0">
        <w:rPr>
          <w:rFonts w:ascii="Arial" w:hAnsi="Arial" w:cs="Arial"/>
          <w:spacing w:val="-6"/>
          <w:sz w:val="20"/>
        </w:rPr>
        <w:t xml:space="preserve"> </w:t>
      </w:r>
      <w:r w:rsidRPr="000A32E0">
        <w:rPr>
          <w:rFonts w:ascii="Arial" w:hAnsi="Arial" w:cs="Arial"/>
          <w:sz w:val="20"/>
        </w:rPr>
        <w:t>who</w:t>
      </w:r>
      <w:r w:rsidRPr="000A32E0">
        <w:rPr>
          <w:rFonts w:ascii="Arial" w:hAnsi="Arial" w:cs="Arial"/>
          <w:spacing w:val="-7"/>
          <w:sz w:val="20"/>
        </w:rPr>
        <w:t xml:space="preserve"> </w:t>
      </w:r>
      <w:r w:rsidRPr="000A32E0">
        <w:rPr>
          <w:rFonts w:ascii="Arial" w:hAnsi="Arial" w:cs="Arial"/>
          <w:sz w:val="20"/>
        </w:rPr>
        <w:t>already</w:t>
      </w:r>
      <w:r w:rsidRPr="000A32E0">
        <w:rPr>
          <w:rFonts w:ascii="Arial" w:hAnsi="Arial" w:cs="Arial"/>
          <w:spacing w:val="-5"/>
          <w:sz w:val="20"/>
        </w:rPr>
        <w:t xml:space="preserve"> </w:t>
      </w:r>
      <w:r w:rsidRPr="000A32E0">
        <w:rPr>
          <w:rFonts w:ascii="Arial" w:hAnsi="Arial" w:cs="Arial"/>
          <w:sz w:val="20"/>
        </w:rPr>
        <w:t>hold</w:t>
      </w:r>
      <w:r w:rsidRPr="000A32E0">
        <w:rPr>
          <w:rFonts w:ascii="Arial" w:hAnsi="Arial" w:cs="Arial"/>
          <w:spacing w:val="-6"/>
          <w:sz w:val="20"/>
        </w:rPr>
        <w:t xml:space="preserve"> </w:t>
      </w:r>
      <w:r w:rsidRPr="000A32E0">
        <w:rPr>
          <w:rFonts w:ascii="Arial" w:hAnsi="Arial" w:cs="Arial"/>
          <w:sz w:val="20"/>
        </w:rPr>
        <w:t>an</w:t>
      </w:r>
      <w:r w:rsidRPr="000A32E0">
        <w:rPr>
          <w:rFonts w:ascii="Arial" w:hAnsi="Arial" w:cs="Arial"/>
          <w:spacing w:val="-6"/>
          <w:sz w:val="20"/>
        </w:rPr>
        <w:t xml:space="preserve"> </w:t>
      </w:r>
      <w:r w:rsidRPr="000A32E0">
        <w:rPr>
          <w:rFonts w:ascii="Arial" w:hAnsi="Arial" w:cs="Arial"/>
          <w:sz w:val="20"/>
        </w:rPr>
        <w:t>instructor</w:t>
      </w:r>
      <w:r w:rsidRPr="000A32E0">
        <w:rPr>
          <w:rFonts w:ascii="Arial" w:hAnsi="Arial" w:cs="Arial"/>
          <w:spacing w:val="-8"/>
          <w:sz w:val="20"/>
        </w:rPr>
        <w:t xml:space="preserve"> </w:t>
      </w:r>
      <w:r w:rsidRPr="000A32E0">
        <w:rPr>
          <w:rFonts w:ascii="Arial" w:hAnsi="Arial" w:cs="Arial"/>
          <w:sz w:val="20"/>
        </w:rPr>
        <w:t>certificate</w:t>
      </w:r>
      <w:r w:rsidRPr="000A32E0">
        <w:rPr>
          <w:rFonts w:ascii="Arial" w:hAnsi="Arial" w:cs="Arial"/>
          <w:spacing w:val="-7"/>
          <w:sz w:val="20"/>
        </w:rPr>
        <w:t xml:space="preserve"> </w:t>
      </w:r>
      <w:r w:rsidRPr="000A32E0">
        <w:rPr>
          <w:rFonts w:ascii="Arial" w:hAnsi="Arial" w:cs="Arial"/>
          <w:sz w:val="20"/>
        </w:rPr>
        <w:t>in</w:t>
      </w:r>
      <w:r w:rsidRPr="000A32E0">
        <w:rPr>
          <w:rFonts w:ascii="Arial" w:hAnsi="Arial" w:cs="Arial"/>
          <w:spacing w:val="-6"/>
          <w:sz w:val="20"/>
        </w:rPr>
        <w:t xml:space="preserve"> </w:t>
      </w:r>
      <w:r w:rsidRPr="000A32E0">
        <w:rPr>
          <w:rFonts w:ascii="Arial" w:hAnsi="Arial" w:cs="Arial"/>
          <w:sz w:val="20"/>
        </w:rPr>
        <w:t>accordance</w:t>
      </w:r>
      <w:r w:rsidRPr="000A32E0">
        <w:rPr>
          <w:rFonts w:ascii="Arial" w:hAnsi="Arial" w:cs="Arial"/>
          <w:spacing w:val="-5"/>
          <w:sz w:val="20"/>
        </w:rPr>
        <w:t xml:space="preserve"> </w:t>
      </w:r>
      <w:r w:rsidRPr="000A32E0">
        <w:rPr>
          <w:rFonts w:ascii="Arial" w:hAnsi="Arial" w:cs="Arial"/>
          <w:sz w:val="20"/>
        </w:rPr>
        <w:t>with</w:t>
      </w:r>
      <w:r w:rsidRPr="000A32E0">
        <w:rPr>
          <w:rFonts w:ascii="Arial" w:hAnsi="Arial" w:cs="Arial"/>
          <w:spacing w:val="50"/>
          <w:sz w:val="20"/>
        </w:rPr>
        <w:t xml:space="preserve"> </w:t>
      </w:r>
      <w:r w:rsidRPr="000A32E0">
        <w:rPr>
          <w:rFonts w:ascii="Arial" w:hAnsi="Arial" w:cs="Arial"/>
          <w:sz w:val="20"/>
        </w:rPr>
        <w:t>Annex I</w:t>
      </w:r>
      <w:r w:rsidRPr="000A32E0">
        <w:rPr>
          <w:rFonts w:ascii="Arial" w:hAnsi="Arial" w:cs="Arial"/>
          <w:spacing w:val="50"/>
          <w:sz w:val="20"/>
        </w:rPr>
        <w:t xml:space="preserve"> </w:t>
      </w:r>
      <w:r w:rsidRPr="000A32E0">
        <w:rPr>
          <w:rFonts w:ascii="Arial" w:hAnsi="Arial" w:cs="Arial"/>
          <w:sz w:val="20"/>
        </w:rPr>
        <w:t>(Part-FCL)</w:t>
      </w:r>
      <w:r w:rsidRPr="000A32E0">
        <w:rPr>
          <w:rFonts w:ascii="Arial" w:hAnsi="Arial" w:cs="Arial"/>
          <w:spacing w:val="49"/>
          <w:sz w:val="20"/>
        </w:rPr>
        <w:t xml:space="preserve"> </w:t>
      </w:r>
      <w:r w:rsidRPr="000A32E0">
        <w:rPr>
          <w:rFonts w:ascii="Arial" w:hAnsi="Arial" w:cs="Arial"/>
          <w:sz w:val="20"/>
        </w:rPr>
        <w:t>to</w:t>
      </w:r>
      <w:r w:rsidRPr="000A32E0">
        <w:rPr>
          <w:rFonts w:ascii="Arial" w:hAnsi="Arial" w:cs="Arial"/>
          <w:spacing w:val="50"/>
          <w:sz w:val="20"/>
        </w:rPr>
        <w:t xml:space="preserve"> </w:t>
      </w:r>
      <w:r w:rsidR="00AB5728">
        <w:rPr>
          <w:rFonts w:ascii="Arial" w:hAnsi="Arial" w:cs="Arial"/>
          <w:sz w:val="20"/>
          <w:szCs w:val="20"/>
        </w:rPr>
        <w:t xml:space="preserve"> </w:t>
      </w:r>
      <w:hyperlink r:id="rId86" w:history="1">
        <w:r w:rsidR="00AB5728">
          <w:rPr>
            <w:rStyle w:val="Hyperlink"/>
            <w:rFonts w:ascii="Arial" w:hAnsi="Arial" w:cs="Arial"/>
            <w:sz w:val="20"/>
            <w:szCs w:val="20"/>
          </w:rPr>
          <w:t>the order N 3-N of the Minister of Territorial Administration and Infrastructure of RA, dated 11.02.2022</w:t>
        </w:r>
      </w:hyperlink>
      <w:r w:rsidR="00AB5728">
        <w:rPr>
          <w:rFonts w:ascii="Arial" w:hAnsi="Arial" w:cs="Arial"/>
          <w:sz w:val="20"/>
          <w:szCs w:val="20"/>
        </w:rPr>
        <w:t xml:space="preserve"> </w:t>
      </w:r>
      <w:r w:rsidRPr="000A32E0">
        <w:rPr>
          <w:rFonts w:ascii="Arial" w:hAnsi="Arial" w:cs="Arial"/>
          <w:sz w:val="20"/>
        </w:rPr>
        <w:t>shall</w:t>
      </w:r>
      <w:r w:rsidRPr="000A32E0">
        <w:rPr>
          <w:rFonts w:ascii="Arial" w:hAnsi="Arial" w:cs="Arial"/>
          <w:spacing w:val="-1"/>
          <w:sz w:val="20"/>
        </w:rPr>
        <w:t xml:space="preserve"> </w:t>
      </w:r>
      <w:r w:rsidRPr="000A32E0">
        <w:rPr>
          <w:rFonts w:ascii="Arial" w:hAnsi="Arial" w:cs="Arial"/>
          <w:sz w:val="20"/>
        </w:rPr>
        <w:t>be</w:t>
      </w:r>
      <w:r w:rsidRPr="000A32E0">
        <w:rPr>
          <w:rFonts w:ascii="Arial" w:hAnsi="Arial" w:cs="Arial"/>
          <w:spacing w:val="-3"/>
          <w:sz w:val="20"/>
        </w:rPr>
        <w:t xml:space="preserve"> </w:t>
      </w:r>
      <w:r w:rsidRPr="000A32E0">
        <w:rPr>
          <w:rFonts w:ascii="Arial" w:hAnsi="Arial" w:cs="Arial"/>
          <w:sz w:val="20"/>
        </w:rPr>
        <w:t>fully</w:t>
      </w:r>
      <w:r w:rsidRPr="000A32E0">
        <w:rPr>
          <w:rFonts w:ascii="Arial" w:hAnsi="Arial" w:cs="Arial"/>
          <w:spacing w:val="-2"/>
          <w:sz w:val="20"/>
        </w:rPr>
        <w:t xml:space="preserve"> </w:t>
      </w:r>
      <w:r w:rsidRPr="000A32E0">
        <w:rPr>
          <w:rFonts w:ascii="Arial" w:hAnsi="Arial" w:cs="Arial"/>
          <w:sz w:val="20"/>
        </w:rPr>
        <w:t>credited</w:t>
      </w:r>
      <w:r w:rsidRPr="000A32E0">
        <w:rPr>
          <w:rFonts w:ascii="Arial" w:hAnsi="Arial" w:cs="Arial"/>
          <w:spacing w:val="-5"/>
          <w:sz w:val="20"/>
        </w:rPr>
        <w:t xml:space="preserve"> </w:t>
      </w:r>
      <w:r w:rsidRPr="000A32E0">
        <w:rPr>
          <w:rFonts w:ascii="Arial" w:hAnsi="Arial" w:cs="Arial"/>
          <w:sz w:val="20"/>
        </w:rPr>
        <w:t>towards</w:t>
      </w:r>
      <w:r w:rsidRPr="000A32E0">
        <w:rPr>
          <w:rFonts w:ascii="Arial" w:hAnsi="Arial" w:cs="Arial"/>
          <w:spacing w:val="-3"/>
          <w:sz w:val="20"/>
        </w:rPr>
        <w:t xml:space="preserve"> </w:t>
      </w:r>
      <w:r w:rsidRPr="000A32E0">
        <w:rPr>
          <w:rFonts w:ascii="Arial" w:hAnsi="Arial" w:cs="Arial"/>
          <w:sz w:val="20"/>
        </w:rPr>
        <w:t>the</w:t>
      </w:r>
      <w:r w:rsidRPr="000A32E0">
        <w:rPr>
          <w:rFonts w:ascii="Arial" w:hAnsi="Arial" w:cs="Arial"/>
          <w:spacing w:val="-1"/>
          <w:sz w:val="20"/>
        </w:rPr>
        <w:t xml:space="preserve"> </w:t>
      </w:r>
      <w:r w:rsidRPr="000A32E0">
        <w:rPr>
          <w:rFonts w:ascii="Arial" w:hAnsi="Arial" w:cs="Arial"/>
          <w:sz w:val="20"/>
        </w:rPr>
        <w:t>requirement in paragraph</w:t>
      </w:r>
      <w:r w:rsidRPr="000A32E0">
        <w:rPr>
          <w:rFonts w:ascii="Arial" w:hAnsi="Arial" w:cs="Arial"/>
          <w:spacing w:val="-2"/>
          <w:sz w:val="20"/>
        </w:rPr>
        <w:t xml:space="preserve"> </w:t>
      </w:r>
      <w:r w:rsidRPr="000A32E0">
        <w:rPr>
          <w:rFonts w:ascii="Arial" w:hAnsi="Arial" w:cs="Arial"/>
          <w:sz w:val="20"/>
        </w:rPr>
        <w:t>(b)(2).</w:t>
      </w:r>
    </w:p>
    <w:p w14:paraId="6366B736" w14:textId="77777777" w:rsidR="00543C3D" w:rsidRDefault="00543C3D" w:rsidP="00543C3D">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712" w:name="_Toc153137454"/>
      <w:r w:rsidRPr="00543C3D">
        <w:rPr>
          <w:rFonts w:ascii="Arial" w:eastAsia="Times New Roman" w:hAnsi="Arial" w:cs="Times New Roman"/>
          <w:b/>
          <w:color w:val="FFFFFF"/>
          <w:sz w:val="24"/>
        </w:rPr>
        <w:t>AMC1 BFCL.330(a) FI(B) – Training course</w:t>
      </w:r>
      <w:bookmarkEnd w:id="712"/>
    </w:p>
    <w:p w14:paraId="768F8B53" w14:textId="77777777" w:rsidR="00543C3D" w:rsidRDefault="00543C3D" w:rsidP="00543C3D">
      <w:pPr>
        <w:widowControl/>
        <w:autoSpaceDE/>
        <w:autoSpaceDN/>
        <w:spacing w:before="240" w:after="160" w:line="264" w:lineRule="auto"/>
        <w:jc w:val="both"/>
        <w:rPr>
          <w:rFonts w:ascii="Arial" w:eastAsiaTheme="minorHAnsi" w:hAnsi="Arial" w:cs="Arial"/>
          <w:b/>
          <w:bCs/>
          <w:sz w:val="20"/>
          <w:szCs w:val="20"/>
        </w:rPr>
      </w:pPr>
      <w:r w:rsidRPr="00543C3D">
        <w:rPr>
          <w:rFonts w:ascii="Arial" w:eastAsiaTheme="minorHAnsi" w:hAnsi="Arial" w:cs="Arial"/>
          <w:b/>
          <w:bCs/>
          <w:sz w:val="20"/>
          <w:szCs w:val="20"/>
        </w:rPr>
        <w:t>PRE-ENTRY ASSESSMENT</w:t>
      </w:r>
    </w:p>
    <w:p w14:paraId="7BE0E0E4" w14:textId="77777777" w:rsidR="00543C3D" w:rsidRDefault="00543C3D" w:rsidP="00543C3D">
      <w:pPr>
        <w:widowControl/>
        <w:autoSpaceDE/>
        <w:autoSpaceDN/>
        <w:spacing w:before="240" w:after="160" w:line="264" w:lineRule="auto"/>
        <w:jc w:val="both"/>
        <w:rPr>
          <w:rFonts w:ascii="Arial" w:eastAsiaTheme="minorHAnsi" w:hAnsi="Arial" w:cs="Arial"/>
          <w:bCs/>
          <w:sz w:val="20"/>
          <w:szCs w:val="20"/>
        </w:rPr>
      </w:pPr>
      <w:r w:rsidRPr="00543C3D">
        <w:rPr>
          <w:rFonts w:ascii="Arial" w:eastAsiaTheme="minorHAnsi" w:hAnsi="Arial" w:cs="Arial"/>
          <w:bCs/>
          <w:sz w:val="20"/>
          <w:szCs w:val="20"/>
        </w:rPr>
        <w:t>The content of the pre-entry assessment should be determined by the ATO or the DTO, taking into account the experience of a particular candidate. It may include interviews and/or an assessment during a simulated training session with the candidate.</w:t>
      </w:r>
    </w:p>
    <w:p w14:paraId="7D2080D6" w14:textId="77777777" w:rsidR="00F20810" w:rsidRPr="00F20810" w:rsidRDefault="00F20810" w:rsidP="00F20810">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713" w:name="_Toc153137455"/>
      <w:r w:rsidRPr="00F20810">
        <w:rPr>
          <w:rFonts w:ascii="Arial" w:eastAsia="Times New Roman" w:hAnsi="Arial" w:cs="Times New Roman"/>
          <w:b/>
          <w:color w:val="FFFFFF"/>
          <w:sz w:val="24"/>
        </w:rPr>
        <w:t>AMC1 BFCL.330(b) FI(B) – Training course</w:t>
      </w:r>
      <w:bookmarkEnd w:id="713"/>
    </w:p>
    <w:p w14:paraId="62FB953D" w14:textId="77777777" w:rsidR="00F20810" w:rsidRPr="005827DA" w:rsidRDefault="00F20810" w:rsidP="005827DA">
      <w:pPr>
        <w:pStyle w:val="ListParagraph"/>
        <w:numPr>
          <w:ilvl w:val="0"/>
          <w:numId w:val="240"/>
        </w:numPr>
        <w:tabs>
          <w:tab w:val="left" w:pos="90"/>
        </w:tabs>
        <w:spacing w:before="1" w:line="276" w:lineRule="auto"/>
        <w:ind w:right="68" w:hanging="436"/>
        <w:jc w:val="both"/>
        <w:rPr>
          <w:rFonts w:ascii="Arial" w:hAnsi="Arial" w:cs="Arial"/>
          <w:sz w:val="20"/>
          <w:szCs w:val="20"/>
        </w:rPr>
      </w:pPr>
      <w:r w:rsidRPr="005827DA">
        <w:rPr>
          <w:rFonts w:ascii="Arial" w:hAnsi="Arial" w:cs="Arial"/>
          <w:sz w:val="20"/>
          <w:szCs w:val="20"/>
        </w:rPr>
        <w:t>GENERAL</w:t>
      </w:r>
    </w:p>
    <w:p w14:paraId="68993CF8" w14:textId="77777777" w:rsidR="00F20810" w:rsidRPr="005827DA" w:rsidRDefault="00F20810" w:rsidP="005827DA">
      <w:pPr>
        <w:pStyle w:val="ListParagraph"/>
        <w:numPr>
          <w:ilvl w:val="1"/>
          <w:numId w:val="240"/>
        </w:numPr>
        <w:tabs>
          <w:tab w:val="left" w:pos="90"/>
          <w:tab w:val="left" w:pos="1274"/>
        </w:tabs>
        <w:spacing w:before="118" w:line="276" w:lineRule="auto"/>
        <w:ind w:right="68" w:hanging="436"/>
        <w:jc w:val="both"/>
        <w:rPr>
          <w:rFonts w:ascii="Arial" w:hAnsi="Arial" w:cs="Arial"/>
          <w:sz w:val="20"/>
          <w:szCs w:val="20"/>
        </w:rPr>
      </w:pPr>
      <w:r w:rsidRPr="005827DA">
        <w:rPr>
          <w:rFonts w:ascii="Arial" w:hAnsi="Arial" w:cs="Arial"/>
          <w:sz w:val="20"/>
          <w:szCs w:val="20"/>
        </w:rPr>
        <w:t>The aim of the FI(B) training course is to train BPL holders to the level of competence</w:t>
      </w:r>
      <w:r w:rsidRPr="005827DA">
        <w:rPr>
          <w:rFonts w:ascii="Arial" w:hAnsi="Arial" w:cs="Arial"/>
          <w:spacing w:val="1"/>
          <w:sz w:val="20"/>
          <w:szCs w:val="20"/>
        </w:rPr>
        <w:t xml:space="preserve"> </w:t>
      </w:r>
      <w:r w:rsidRPr="005827DA">
        <w:rPr>
          <w:rFonts w:ascii="Arial" w:hAnsi="Arial" w:cs="Arial"/>
          <w:sz w:val="20"/>
          <w:szCs w:val="20"/>
        </w:rPr>
        <w:t>defined</w:t>
      </w:r>
      <w:r w:rsidRPr="005827DA">
        <w:rPr>
          <w:rFonts w:ascii="Arial" w:hAnsi="Arial" w:cs="Arial"/>
          <w:spacing w:val="-1"/>
          <w:sz w:val="20"/>
          <w:szCs w:val="20"/>
        </w:rPr>
        <w:t xml:space="preserve"> </w:t>
      </w:r>
      <w:r w:rsidRPr="005827DA">
        <w:rPr>
          <w:rFonts w:ascii="Arial" w:hAnsi="Arial" w:cs="Arial"/>
          <w:sz w:val="20"/>
          <w:szCs w:val="20"/>
        </w:rPr>
        <w:t>in</w:t>
      </w:r>
      <w:r w:rsidRPr="005827DA">
        <w:rPr>
          <w:rFonts w:ascii="Arial" w:hAnsi="Arial" w:cs="Arial"/>
          <w:spacing w:val="-1"/>
          <w:sz w:val="20"/>
          <w:szCs w:val="20"/>
        </w:rPr>
        <w:t xml:space="preserve"> </w:t>
      </w:r>
      <w:r w:rsidRPr="005827DA">
        <w:rPr>
          <w:rFonts w:ascii="Arial" w:hAnsi="Arial" w:cs="Arial"/>
          <w:sz w:val="20"/>
          <w:szCs w:val="20"/>
        </w:rPr>
        <w:t>point</w:t>
      </w:r>
      <w:r w:rsidRPr="005827DA">
        <w:rPr>
          <w:rFonts w:ascii="Arial" w:hAnsi="Arial" w:cs="Arial"/>
          <w:spacing w:val="-2"/>
          <w:sz w:val="20"/>
          <w:szCs w:val="20"/>
        </w:rPr>
        <w:t xml:space="preserve"> </w:t>
      </w:r>
      <w:r w:rsidRPr="005827DA">
        <w:rPr>
          <w:rFonts w:ascii="Arial" w:hAnsi="Arial" w:cs="Arial"/>
          <w:sz w:val="20"/>
          <w:szCs w:val="20"/>
        </w:rPr>
        <w:t>BFCL.325.</w:t>
      </w:r>
    </w:p>
    <w:p w14:paraId="59C4E0F1" w14:textId="77777777" w:rsidR="00F20810" w:rsidRPr="005827DA" w:rsidRDefault="00F20810" w:rsidP="005827DA">
      <w:pPr>
        <w:pStyle w:val="ListParagraph"/>
        <w:numPr>
          <w:ilvl w:val="1"/>
          <w:numId w:val="240"/>
        </w:numPr>
        <w:tabs>
          <w:tab w:val="left" w:pos="90"/>
          <w:tab w:val="left" w:pos="1274"/>
        </w:tabs>
        <w:spacing w:before="121" w:line="276" w:lineRule="auto"/>
        <w:ind w:right="68" w:hanging="436"/>
        <w:jc w:val="both"/>
        <w:rPr>
          <w:rFonts w:ascii="Arial" w:hAnsi="Arial" w:cs="Arial"/>
          <w:sz w:val="20"/>
          <w:szCs w:val="20"/>
        </w:rPr>
      </w:pPr>
      <w:r w:rsidRPr="005827DA">
        <w:rPr>
          <w:rFonts w:ascii="Arial" w:hAnsi="Arial" w:cs="Arial"/>
          <w:sz w:val="20"/>
          <w:szCs w:val="20"/>
        </w:rPr>
        <w:t>Throughout the training course, its content</w:t>
      </w:r>
      <w:r w:rsidRPr="005827DA">
        <w:rPr>
          <w:rFonts w:ascii="Arial" w:hAnsi="Arial" w:cs="Arial"/>
          <w:spacing w:val="1"/>
          <w:sz w:val="20"/>
          <w:szCs w:val="20"/>
        </w:rPr>
        <w:t xml:space="preserve"> </w:t>
      </w:r>
      <w:r w:rsidRPr="005827DA">
        <w:rPr>
          <w:rFonts w:ascii="Arial" w:hAnsi="Arial" w:cs="Arial"/>
          <w:sz w:val="20"/>
          <w:szCs w:val="20"/>
        </w:rPr>
        <w:t>and structure should allow the student</w:t>
      </w:r>
      <w:r w:rsidRPr="005827DA">
        <w:rPr>
          <w:rFonts w:ascii="Arial" w:hAnsi="Arial" w:cs="Arial"/>
          <w:spacing w:val="1"/>
          <w:sz w:val="20"/>
          <w:szCs w:val="20"/>
        </w:rPr>
        <w:t xml:space="preserve"> </w:t>
      </w:r>
      <w:r w:rsidRPr="005827DA">
        <w:rPr>
          <w:rFonts w:ascii="Arial" w:hAnsi="Arial" w:cs="Arial"/>
          <w:sz w:val="20"/>
          <w:szCs w:val="20"/>
        </w:rPr>
        <w:t>instructor to develop safety awareness by teaching the knowledge, skills and attitudes</w:t>
      </w:r>
      <w:r w:rsidRPr="005827DA">
        <w:rPr>
          <w:rFonts w:ascii="Arial" w:hAnsi="Arial" w:cs="Arial"/>
          <w:spacing w:val="1"/>
          <w:sz w:val="20"/>
          <w:szCs w:val="20"/>
        </w:rPr>
        <w:t xml:space="preserve"> </w:t>
      </w:r>
      <w:r w:rsidRPr="005827DA">
        <w:rPr>
          <w:rFonts w:ascii="Arial" w:hAnsi="Arial" w:cs="Arial"/>
          <w:sz w:val="20"/>
          <w:szCs w:val="20"/>
        </w:rPr>
        <w:t>relevant</w:t>
      </w:r>
      <w:r w:rsidRPr="005827DA">
        <w:rPr>
          <w:rFonts w:ascii="Arial" w:hAnsi="Arial" w:cs="Arial"/>
          <w:spacing w:val="-1"/>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FI(B)</w:t>
      </w:r>
      <w:r w:rsidRPr="005827DA">
        <w:rPr>
          <w:rFonts w:ascii="Arial" w:hAnsi="Arial" w:cs="Arial"/>
          <w:spacing w:val="-2"/>
          <w:sz w:val="20"/>
          <w:szCs w:val="20"/>
        </w:rPr>
        <w:t xml:space="preserve"> </w:t>
      </w:r>
      <w:r w:rsidRPr="005827DA">
        <w:rPr>
          <w:rFonts w:ascii="Arial" w:hAnsi="Arial" w:cs="Arial"/>
          <w:sz w:val="20"/>
          <w:szCs w:val="20"/>
        </w:rPr>
        <w:t>task</w:t>
      </w:r>
      <w:r w:rsidRPr="005827DA">
        <w:rPr>
          <w:rFonts w:ascii="Arial" w:hAnsi="Arial" w:cs="Arial"/>
          <w:spacing w:val="-2"/>
          <w:sz w:val="20"/>
          <w:szCs w:val="20"/>
        </w:rPr>
        <w:t xml:space="preserve"> </w:t>
      </w:r>
      <w:r w:rsidRPr="005827DA">
        <w:rPr>
          <w:rFonts w:ascii="Arial" w:hAnsi="Arial" w:cs="Arial"/>
          <w:sz w:val="20"/>
          <w:szCs w:val="20"/>
        </w:rPr>
        <w:t>including</w:t>
      </w:r>
      <w:r w:rsidRPr="005827DA">
        <w:rPr>
          <w:rFonts w:ascii="Arial" w:hAnsi="Arial" w:cs="Arial"/>
          <w:spacing w:val="-1"/>
          <w:sz w:val="20"/>
          <w:szCs w:val="20"/>
        </w:rPr>
        <w:t xml:space="preserve"> </w:t>
      </w:r>
      <w:r w:rsidRPr="005827DA">
        <w:rPr>
          <w:rFonts w:ascii="Arial" w:hAnsi="Arial" w:cs="Arial"/>
          <w:sz w:val="20"/>
          <w:szCs w:val="20"/>
        </w:rPr>
        <w:t>at</w:t>
      </w:r>
      <w:r w:rsidRPr="005827DA">
        <w:rPr>
          <w:rFonts w:ascii="Arial" w:hAnsi="Arial" w:cs="Arial"/>
          <w:spacing w:val="-1"/>
          <w:sz w:val="20"/>
          <w:szCs w:val="20"/>
        </w:rPr>
        <w:t xml:space="preserve"> </w:t>
      </w:r>
      <w:r w:rsidRPr="005827DA">
        <w:rPr>
          <w:rFonts w:ascii="Arial" w:hAnsi="Arial" w:cs="Arial"/>
          <w:sz w:val="20"/>
          <w:szCs w:val="20"/>
        </w:rPr>
        <w:t>least</w:t>
      </w:r>
      <w:r w:rsidRPr="005827DA">
        <w:rPr>
          <w:rFonts w:ascii="Arial" w:hAnsi="Arial" w:cs="Arial"/>
          <w:spacing w:val="-2"/>
          <w:sz w:val="20"/>
          <w:szCs w:val="20"/>
        </w:rPr>
        <w:t xml:space="preserve"> </w:t>
      </w: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following:</w:t>
      </w:r>
    </w:p>
    <w:p w14:paraId="70F65823" w14:textId="77777777" w:rsidR="00F20810" w:rsidRPr="005827DA" w:rsidRDefault="00F20810" w:rsidP="005827DA">
      <w:pPr>
        <w:pStyle w:val="ListParagraph"/>
        <w:numPr>
          <w:ilvl w:val="2"/>
          <w:numId w:val="240"/>
        </w:numPr>
        <w:tabs>
          <w:tab w:val="left" w:pos="90"/>
          <w:tab w:val="left" w:pos="1842"/>
        </w:tabs>
        <w:spacing w:line="276" w:lineRule="auto"/>
        <w:ind w:right="68" w:hanging="436"/>
        <w:jc w:val="both"/>
        <w:rPr>
          <w:rFonts w:ascii="Arial" w:hAnsi="Arial" w:cs="Arial"/>
          <w:sz w:val="20"/>
          <w:szCs w:val="20"/>
        </w:rPr>
      </w:pPr>
      <w:r w:rsidRPr="005827DA">
        <w:rPr>
          <w:rFonts w:ascii="Arial" w:hAnsi="Arial" w:cs="Arial"/>
          <w:sz w:val="20"/>
          <w:szCs w:val="20"/>
        </w:rPr>
        <w:t>refresh</w:t>
      </w:r>
      <w:r w:rsidRPr="005827DA">
        <w:rPr>
          <w:rFonts w:ascii="Arial" w:hAnsi="Arial" w:cs="Arial"/>
          <w:spacing w:val="-1"/>
          <w:sz w:val="20"/>
          <w:szCs w:val="20"/>
        </w:rPr>
        <w:t xml:space="preserve"> </w:t>
      </w:r>
      <w:r w:rsidRPr="005827DA">
        <w:rPr>
          <w:rFonts w:ascii="Arial" w:hAnsi="Arial" w:cs="Arial"/>
          <w:sz w:val="20"/>
          <w:szCs w:val="20"/>
        </w:rPr>
        <w:t>the technical</w:t>
      </w:r>
      <w:r w:rsidRPr="005827DA">
        <w:rPr>
          <w:rFonts w:ascii="Arial" w:hAnsi="Arial" w:cs="Arial"/>
          <w:spacing w:val="-1"/>
          <w:sz w:val="20"/>
          <w:szCs w:val="20"/>
        </w:rPr>
        <w:t xml:space="preserve"> </w:t>
      </w:r>
      <w:r w:rsidRPr="005827DA">
        <w:rPr>
          <w:rFonts w:ascii="Arial" w:hAnsi="Arial" w:cs="Arial"/>
          <w:sz w:val="20"/>
          <w:szCs w:val="20"/>
        </w:rPr>
        <w:t>knowledge of</w:t>
      </w:r>
      <w:r w:rsidRPr="005827DA">
        <w:rPr>
          <w:rFonts w:ascii="Arial" w:hAnsi="Arial" w:cs="Arial"/>
          <w:spacing w:val="-3"/>
          <w:sz w:val="20"/>
          <w:szCs w:val="20"/>
        </w:rPr>
        <w:t xml:space="preserve"> </w:t>
      </w:r>
      <w:r w:rsidRPr="005827DA">
        <w:rPr>
          <w:rFonts w:ascii="Arial" w:hAnsi="Arial" w:cs="Arial"/>
          <w:sz w:val="20"/>
          <w:szCs w:val="20"/>
        </w:rPr>
        <w:t>the</w:t>
      </w:r>
      <w:r w:rsidRPr="005827DA">
        <w:rPr>
          <w:rFonts w:ascii="Arial" w:hAnsi="Arial" w:cs="Arial"/>
          <w:spacing w:val="-3"/>
          <w:sz w:val="20"/>
          <w:szCs w:val="20"/>
        </w:rPr>
        <w:t xml:space="preserve"> </w:t>
      </w:r>
      <w:r w:rsidRPr="005827DA">
        <w:rPr>
          <w:rFonts w:ascii="Arial" w:hAnsi="Arial" w:cs="Arial"/>
          <w:sz w:val="20"/>
          <w:szCs w:val="20"/>
        </w:rPr>
        <w:t>student instructor;</w:t>
      </w:r>
    </w:p>
    <w:p w14:paraId="35A027B5" w14:textId="77777777" w:rsidR="00F20810" w:rsidRPr="005827DA" w:rsidRDefault="00F20810" w:rsidP="005827DA">
      <w:pPr>
        <w:pStyle w:val="ListParagraph"/>
        <w:numPr>
          <w:ilvl w:val="2"/>
          <w:numId w:val="240"/>
        </w:numPr>
        <w:tabs>
          <w:tab w:val="left" w:pos="90"/>
          <w:tab w:val="left" w:pos="1842"/>
        </w:tabs>
        <w:spacing w:before="121" w:line="276" w:lineRule="auto"/>
        <w:ind w:right="68" w:hanging="436"/>
        <w:jc w:val="both"/>
        <w:rPr>
          <w:rFonts w:ascii="Arial" w:hAnsi="Arial" w:cs="Arial"/>
          <w:sz w:val="20"/>
          <w:szCs w:val="20"/>
        </w:rPr>
      </w:pPr>
      <w:r w:rsidRPr="005827DA">
        <w:rPr>
          <w:rFonts w:ascii="Arial" w:hAnsi="Arial" w:cs="Arial"/>
          <w:sz w:val="20"/>
          <w:szCs w:val="20"/>
        </w:rPr>
        <w:t>train</w:t>
      </w:r>
      <w:r w:rsidRPr="005827DA">
        <w:rPr>
          <w:rFonts w:ascii="Arial" w:hAnsi="Arial" w:cs="Arial"/>
          <w:spacing w:val="-2"/>
          <w:sz w:val="20"/>
          <w:szCs w:val="20"/>
        </w:rPr>
        <w:t xml:space="preserve"> </w:t>
      </w: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student instructor</w:t>
      </w:r>
      <w:r w:rsidRPr="005827DA">
        <w:rPr>
          <w:rFonts w:ascii="Arial" w:hAnsi="Arial" w:cs="Arial"/>
          <w:spacing w:val="-4"/>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teach:</w:t>
      </w:r>
    </w:p>
    <w:p w14:paraId="5C20214B" w14:textId="77777777" w:rsidR="00F20810" w:rsidRPr="005827DA" w:rsidRDefault="00F20810" w:rsidP="005827DA">
      <w:pPr>
        <w:pStyle w:val="ListParagraph"/>
        <w:numPr>
          <w:ilvl w:val="3"/>
          <w:numId w:val="240"/>
        </w:numPr>
        <w:tabs>
          <w:tab w:val="left" w:pos="90"/>
          <w:tab w:val="left" w:pos="2409"/>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ground</w:t>
      </w:r>
      <w:r w:rsidRPr="005827DA">
        <w:rPr>
          <w:rFonts w:ascii="Arial" w:hAnsi="Arial" w:cs="Arial"/>
          <w:spacing w:val="-1"/>
          <w:sz w:val="20"/>
          <w:szCs w:val="20"/>
        </w:rPr>
        <w:t xml:space="preserve"> </w:t>
      </w:r>
      <w:r w:rsidRPr="005827DA">
        <w:rPr>
          <w:rFonts w:ascii="Arial" w:hAnsi="Arial" w:cs="Arial"/>
          <w:sz w:val="20"/>
          <w:szCs w:val="20"/>
        </w:rPr>
        <w:t>subjects and</w:t>
      </w:r>
      <w:r w:rsidRPr="005827DA">
        <w:rPr>
          <w:rFonts w:ascii="Arial" w:hAnsi="Arial" w:cs="Arial"/>
          <w:spacing w:val="-2"/>
          <w:sz w:val="20"/>
          <w:szCs w:val="20"/>
        </w:rPr>
        <w:t xml:space="preserve"> </w:t>
      </w:r>
      <w:r w:rsidRPr="005827DA">
        <w:rPr>
          <w:rFonts w:ascii="Arial" w:hAnsi="Arial" w:cs="Arial"/>
          <w:sz w:val="20"/>
          <w:szCs w:val="20"/>
        </w:rPr>
        <w:t>air</w:t>
      </w:r>
      <w:r w:rsidRPr="005827DA">
        <w:rPr>
          <w:rFonts w:ascii="Arial" w:hAnsi="Arial" w:cs="Arial"/>
          <w:spacing w:val="-3"/>
          <w:sz w:val="20"/>
          <w:szCs w:val="20"/>
        </w:rPr>
        <w:t xml:space="preserve"> </w:t>
      </w:r>
      <w:r w:rsidRPr="005827DA">
        <w:rPr>
          <w:rFonts w:ascii="Arial" w:hAnsi="Arial" w:cs="Arial"/>
          <w:sz w:val="20"/>
          <w:szCs w:val="20"/>
        </w:rPr>
        <w:t>exercises; and</w:t>
      </w:r>
    </w:p>
    <w:p w14:paraId="57AA3294" w14:textId="77777777" w:rsidR="00F20810" w:rsidRPr="005827DA" w:rsidRDefault="00F20810" w:rsidP="005827DA">
      <w:pPr>
        <w:pStyle w:val="ListParagraph"/>
        <w:numPr>
          <w:ilvl w:val="3"/>
          <w:numId w:val="240"/>
        </w:numPr>
        <w:tabs>
          <w:tab w:val="left" w:pos="90"/>
          <w:tab w:val="left" w:pos="2409"/>
        </w:tabs>
        <w:spacing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3"/>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access all</w:t>
      </w:r>
      <w:r w:rsidRPr="005827DA">
        <w:rPr>
          <w:rFonts w:ascii="Arial" w:hAnsi="Arial" w:cs="Arial"/>
          <w:spacing w:val="-1"/>
          <w:sz w:val="20"/>
          <w:szCs w:val="20"/>
        </w:rPr>
        <w:t xml:space="preserve"> </w:t>
      </w:r>
      <w:r w:rsidRPr="005827DA">
        <w:rPr>
          <w:rFonts w:ascii="Arial" w:hAnsi="Arial" w:cs="Arial"/>
          <w:sz w:val="20"/>
          <w:szCs w:val="20"/>
        </w:rPr>
        <w:t>related</w:t>
      </w:r>
      <w:r w:rsidRPr="005827DA">
        <w:rPr>
          <w:rFonts w:ascii="Arial" w:hAnsi="Arial" w:cs="Arial"/>
          <w:spacing w:val="-4"/>
          <w:sz w:val="20"/>
          <w:szCs w:val="20"/>
        </w:rPr>
        <w:t xml:space="preserve"> </w:t>
      </w:r>
      <w:r w:rsidRPr="005827DA">
        <w:rPr>
          <w:rFonts w:ascii="Arial" w:hAnsi="Arial" w:cs="Arial"/>
          <w:sz w:val="20"/>
          <w:szCs w:val="20"/>
        </w:rPr>
        <w:t>sources</w:t>
      </w:r>
      <w:r w:rsidRPr="005827DA">
        <w:rPr>
          <w:rFonts w:ascii="Arial" w:hAnsi="Arial" w:cs="Arial"/>
          <w:spacing w:val="-2"/>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information;</w:t>
      </w:r>
    </w:p>
    <w:p w14:paraId="37634D07" w14:textId="77777777" w:rsidR="00F20810" w:rsidRPr="005827DA" w:rsidRDefault="00F20810" w:rsidP="005827DA">
      <w:pPr>
        <w:pStyle w:val="ListParagraph"/>
        <w:numPr>
          <w:ilvl w:val="2"/>
          <w:numId w:val="240"/>
        </w:numPr>
        <w:tabs>
          <w:tab w:val="left" w:pos="90"/>
          <w:tab w:val="left" w:pos="1842"/>
        </w:tabs>
        <w:spacing w:line="276" w:lineRule="auto"/>
        <w:ind w:right="68" w:hanging="436"/>
        <w:jc w:val="both"/>
        <w:rPr>
          <w:rFonts w:ascii="Arial" w:hAnsi="Arial" w:cs="Arial"/>
          <w:sz w:val="20"/>
          <w:szCs w:val="20"/>
        </w:rPr>
      </w:pPr>
      <w:r w:rsidRPr="005827DA">
        <w:rPr>
          <w:rFonts w:ascii="Arial" w:hAnsi="Arial" w:cs="Arial"/>
          <w:sz w:val="20"/>
          <w:szCs w:val="20"/>
        </w:rPr>
        <w:t>ensure</w:t>
      </w:r>
      <w:r w:rsidRPr="005827DA">
        <w:rPr>
          <w:rFonts w:ascii="Arial" w:hAnsi="Arial" w:cs="Arial"/>
          <w:spacing w:val="-1"/>
          <w:sz w:val="20"/>
          <w:szCs w:val="20"/>
        </w:rPr>
        <w:t xml:space="preserve"> </w:t>
      </w:r>
      <w:r w:rsidRPr="005827DA">
        <w:rPr>
          <w:rFonts w:ascii="Arial" w:hAnsi="Arial" w:cs="Arial"/>
          <w:sz w:val="20"/>
          <w:szCs w:val="20"/>
        </w:rPr>
        <w:t>that</w:t>
      </w:r>
      <w:r w:rsidRPr="005827DA">
        <w:rPr>
          <w:rFonts w:ascii="Arial" w:hAnsi="Arial" w:cs="Arial"/>
          <w:spacing w:val="-4"/>
          <w:sz w:val="20"/>
          <w:szCs w:val="20"/>
        </w:rPr>
        <w:t xml:space="preserve"> </w:t>
      </w:r>
      <w:r w:rsidRPr="005827DA">
        <w:rPr>
          <w:rFonts w:ascii="Arial" w:hAnsi="Arial" w:cs="Arial"/>
          <w:sz w:val="20"/>
          <w:szCs w:val="20"/>
        </w:rPr>
        <w:t>the</w:t>
      </w:r>
      <w:r w:rsidRPr="005827DA">
        <w:rPr>
          <w:rFonts w:ascii="Arial" w:hAnsi="Arial" w:cs="Arial"/>
          <w:spacing w:val="-3"/>
          <w:sz w:val="20"/>
          <w:szCs w:val="20"/>
        </w:rPr>
        <w:t xml:space="preserve"> </w:t>
      </w:r>
      <w:r w:rsidRPr="005827DA">
        <w:rPr>
          <w:rFonts w:ascii="Arial" w:hAnsi="Arial" w:cs="Arial"/>
          <w:sz w:val="20"/>
          <w:szCs w:val="20"/>
        </w:rPr>
        <w:t>student instructor’s</w:t>
      </w:r>
      <w:r w:rsidRPr="005827DA">
        <w:rPr>
          <w:rFonts w:ascii="Arial" w:hAnsi="Arial" w:cs="Arial"/>
          <w:spacing w:val="-1"/>
          <w:sz w:val="20"/>
          <w:szCs w:val="20"/>
        </w:rPr>
        <w:t xml:space="preserve"> </w:t>
      </w:r>
      <w:r w:rsidRPr="005827DA">
        <w:rPr>
          <w:rFonts w:ascii="Arial" w:hAnsi="Arial" w:cs="Arial"/>
          <w:sz w:val="20"/>
          <w:szCs w:val="20"/>
        </w:rPr>
        <w:t>flying</w:t>
      </w:r>
      <w:r w:rsidRPr="005827DA">
        <w:rPr>
          <w:rFonts w:ascii="Arial" w:hAnsi="Arial" w:cs="Arial"/>
          <w:spacing w:val="-2"/>
          <w:sz w:val="20"/>
          <w:szCs w:val="20"/>
        </w:rPr>
        <w:t xml:space="preserve"> </w:t>
      </w:r>
      <w:r w:rsidRPr="005827DA">
        <w:rPr>
          <w:rFonts w:ascii="Arial" w:hAnsi="Arial" w:cs="Arial"/>
          <w:sz w:val="20"/>
          <w:szCs w:val="20"/>
        </w:rPr>
        <w:t>is</w:t>
      </w:r>
      <w:r w:rsidRPr="005827DA">
        <w:rPr>
          <w:rFonts w:ascii="Arial" w:hAnsi="Arial" w:cs="Arial"/>
          <w:spacing w:val="-2"/>
          <w:sz w:val="20"/>
          <w:szCs w:val="20"/>
        </w:rPr>
        <w:t xml:space="preserve"> </w:t>
      </w:r>
      <w:r w:rsidRPr="005827DA">
        <w:rPr>
          <w:rFonts w:ascii="Arial" w:hAnsi="Arial" w:cs="Arial"/>
          <w:sz w:val="20"/>
          <w:szCs w:val="20"/>
        </w:rPr>
        <w:t>of</w:t>
      </w:r>
      <w:r w:rsidRPr="005827DA">
        <w:rPr>
          <w:rFonts w:ascii="Arial" w:hAnsi="Arial" w:cs="Arial"/>
          <w:spacing w:val="-4"/>
          <w:sz w:val="20"/>
          <w:szCs w:val="20"/>
        </w:rPr>
        <w:t xml:space="preserve"> </w:t>
      </w:r>
      <w:r w:rsidRPr="005827DA">
        <w:rPr>
          <w:rFonts w:ascii="Arial" w:hAnsi="Arial" w:cs="Arial"/>
          <w:sz w:val="20"/>
          <w:szCs w:val="20"/>
        </w:rPr>
        <w:t>a</w:t>
      </w:r>
      <w:r w:rsidRPr="005827DA">
        <w:rPr>
          <w:rFonts w:ascii="Arial" w:hAnsi="Arial" w:cs="Arial"/>
          <w:spacing w:val="-1"/>
          <w:sz w:val="20"/>
          <w:szCs w:val="20"/>
        </w:rPr>
        <w:t xml:space="preserve"> </w:t>
      </w:r>
      <w:r w:rsidRPr="005827DA">
        <w:rPr>
          <w:rFonts w:ascii="Arial" w:hAnsi="Arial" w:cs="Arial"/>
          <w:sz w:val="20"/>
          <w:szCs w:val="20"/>
        </w:rPr>
        <w:t>sufficiently</w:t>
      </w:r>
      <w:r w:rsidRPr="005827DA">
        <w:rPr>
          <w:rFonts w:ascii="Arial" w:hAnsi="Arial" w:cs="Arial"/>
          <w:spacing w:val="-1"/>
          <w:sz w:val="20"/>
          <w:szCs w:val="20"/>
        </w:rPr>
        <w:t xml:space="preserve"> </w:t>
      </w:r>
      <w:r w:rsidRPr="005827DA">
        <w:rPr>
          <w:rFonts w:ascii="Arial" w:hAnsi="Arial" w:cs="Arial"/>
          <w:sz w:val="20"/>
          <w:szCs w:val="20"/>
        </w:rPr>
        <w:t>high</w:t>
      </w:r>
      <w:r w:rsidRPr="005827DA">
        <w:rPr>
          <w:rFonts w:ascii="Arial" w:hAnsi="Arial" w:cs="Arial"/>
          <w:spacing w:val="-1"/>
          <w:sz w:val="20"/>
          <w:szCs w:val="20"/>
        </w:rPr>
        <w:t xml:space="preserve"> </w:t>
      </w:r>
      <w:r w:rsidRPr="005827DA">
        <w:rPr>
          <w:rFonts w:ascii="Arial" w:hAnsi="Arial" w:cs="Arial"/>
          <w:sz w:val="20"/>
          <w:szCs w:val="20"/>
        </w:rPr>
        <w:t>standard;</w:t>
      </w:r>
      <w:r w:rsidRPr="005827DA">
        <w:rPr>
          <w:rFonts w:ascii="Arial" w:hAnsi="Arial" w:cs="Arial"/>
          <w:spacing w:val="-1"/>
          <w:sz w:val="20"/>
          <w:szCs w:val="20"/>
        </w:rPr>
        <w:t xml:space="preserve"> </w:t>
      </w:r>
      <w:r w:rsidRPr="005827DA">
        <w:rPr>
          <w:rFonts w:ascii="Arial" w:hAnsi="Arial" w:cs="Arial"/>
          <w:sz w:val="20"/>
          <w:szCs w:val="20"/>
        </w:rPr>
        <w:t>and</w:t>
      </w:r>
    </w:p>
    <w:p w14:paraId="778EE9A5" w14:textId="77777777" w:rsidR="00F20810" w:rsidRPr="005827DA" w:rsidRDefault="00F20810" w:rsidP="005827DA">
      <w:pPr>
        <w:pStyle w:val="ListParagraph"/>
        <w:numPr>
          <w:ilvl w:val="2"/>
          <w:numId w:val="240"/>
        </w:numPr>
        <w:tabs>
          <w:tab w:val="left" w:pos="90"/>
          <w:tab w:val="left" w:pos="1842"/>
        </w:tabs>
        <w:spacing w:before="118" w:line="276" w:lineRule="auto"/>
        <w:ind w:right="68" w:hanging="436"/>
        <w:jc w:val="both"/>
        <w:rPr>
          <w:rFonts w:ascii="Arial" w:hAnsi="Arial" w:cs="Arial"/>
          <w:sz w:val="20"/>
          <w:szCs w:val="20"/>
        </w:rPr>
      </w:pPr>
      <w:r w:rsidRPr="005827DA">
        <w:rPr>
          <w:rFonts w:ascii="Arial" w:hAnsi="Arial" w:cs="Arial"/>
          <w:sz w:val="20"/>
          <w:szCs w:val="20"/>
        </w:rPr>
        <w:t>teach the student instructor the principles of basic instruction and how to apply</w:t>
      </w:r>
      <w:r w:rsidRPr="005827DA">
        <w:rPr>
          <w:rFonts w:ascii="Arial" w:hAnsi="Arial" w:cs="Arial"/>
          <w:spacing w:val="1"/>
          <w:sz w:val="20"/>
          <w:szCs w:val="20"/>
        </w:rPr>
        <w:t xml:space="preserve"> </w:t>
      </w:r>
      <w:r w:rsidRPr="005827DA">
        <w:rPr>
          <w:rFonts w:ascii="Arial" w:hAnsi="Arial" w:cs="Arial"/>
          <w:sz w:val="20"/>
          <w:szCs w:val="20"/>
        </w:rPr>
        <w:t>them</w:t>
      </w:r>
      <w:r w:rsidRPr="005827DA">
        <w:rPr>
          <w:rFonts w:ascii="Arial" w:hAnsi="Arial" w:cs="Arial"/>
          <w:spacing w:val="-1"/>
          <w:sz w:val="20"/>
          <w:szCs w:val="20"/>
        </w:rPr>
        <w:t xml:space="preserve"> </w:t>
      </w:r>
      <w:r w:rsidRPr="005827DA">
        <w:rPr>
          <w:rFonts w:ascii="Arial" w:hAnsi="Arial" w:cs="Arial"/>
          <w:sz w:val="20"/>
          <w:szCs w:val="20"/>
        </w:rPr>
        <w:t>at all</w:t>
      </w:r>
      <w:r w:rsidRPr="005827DA">
        <w:rPr>
          <w:rFonts w:ascii="Arial" w:hAnsi="Arial" w:cs="Arial"/>
          <w:spacing w:val="-3"/>
          <w:sz w:val="20"/>
          <w:szCs w:val="20"/>
        </w:rPr>
        <w:t xml:space="preserve"> </w:t>
      </w:r>
      <w:r w:rsidRPr="005827DA">
        <w:rPr>
          <w:rFonts w:ascii="Arial" w:hAnsi="Arial" w:cs="Arial"/>
          <w:sz w:val="20"/>
          <w:szCs w:val="20"/>
        </w:rPr>
        <w:t>training</w:t>
      </w:r>
      <w:r w:rsidRPr="005827DA">
        <w:rPr>
          <w:rFonts w:ascii="Arial" w:hAnsi="Arial" w:cs="Arial"/>
          <w:spacing w:val="-1"/>
          <w:sz w:val="20"/>
          <w:szCs w:val="20"/>
        </w:rPr>
        <w:t xml:space="preserve"> </w:t>
      </w:r>
      <w:r w:rsidRPr="005827DA">
        <w:rPr>
          <w:rFonts w:ascii="Arial" w:hAnsi="Arial" w:cs="Arial"/>
          <w:sz w:val="20"/>
          <w:szCs w:val="20"/>
        </w:rPr>
        <w:t>levels.</w:t>
      </w:r>
    </w:p>
    <w:p w14:paraId="40A6528E" w14:textId="77777777" w:rsidR="00F20810" w:rsidRPr="005827DA" w:rsidRDefault="00F20810" w:rsidP="005827DA">
      <w:pPr>
        <w:pStyle w:val="ListParagraph"/>
        <w:numPr>
          <w:ilvl w:val="1"/>
          <w:numId w:val="240"/>
        </w:numPr>
        <w:tabs>
          <w:tab w:val="left" w:pos="90"/>
          <w:tab w:val="left" w:pos="1274"/>
        </w:tabs>
        <w:spacing w:before="121" w:line="276" w:lineRule="auto"/>
        <w:ind w:right="68" w:hanging="436"/>
        <w:jc w:val="both"/>
        <w:rPr>
          <w:rFonts w:ascii="Arial" w:hAnsi="Arial" w:cs="Arial"/>
          <w:sz w:val="20"/>
          <w:szCs w:val="20"/>
        </w:rPr>
      </w:pPr>
      <w:r w:rsidRPr="005827DA">
        <w:rPr>
          <w:rFonts w:ascii="Arial" w:hAnsi="Arial" w:cs="Arial"/>
          <w:sz w:val="20"/>
          <w:szCs w:val="20"/>
        </w:rPr>
        <w:lastRenderedPageBreak/>
        <w:t>With</w:t>
      </w:r>
      <w:r w:rsidRPr="005827DA">
        <w:rPr>
          <w:rFonts w:ascii="Arial" w:hAnsi="Arial" w:cs="Arial"/>
          <w:spacing w:val="1"/>
          <w:sz w:val="20"/>
          <w:szCs w:val="20"/>
        </w:rPr>
        <w:t xml:space="preserve"> </w:t>
      </w: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exception</w:t>
      </w:r>
      <w:r w:rsidRPr="005827DA">
        <w:rPr>
          <w:rFonts w:ascii="Arial" w:hAnsi="Arial" w:cs="Arial"/>
          <w:spacing w:val="1"/>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section</w:t>
      </w:r>
      <w:r w:rsidRPr="005827DA">
        <w:rPr>
          <w:rFonts w:ascii="Arial" w:hAnsi="Arial" w:cs="Arial"/>
          <w:spacing w:val="1"/>
          <w:sz w:val="20"/>
          <w:szCs w:val="20"/>
        </w:rPr>
        <w:t xml:space="preserve"> </w:t>
      </w:r>
      <w:r w:rsidRPr="005827DA">
        <w:rPr>
          <w:rFonts w:ascii="Arial" w:hAnsi="Arial" w:cs="Arial"/>
          <w:sz w:val="20"/>
          <w:szCs w:val="20"/>
        </w:rPr>
        <w:t>on</w:t>
      </w:r>
      <w:r w:rsidRPr="005827DA">
        <w:rPr>
          <w:rFonts w:ascii="Arial" w:hAnsi="Arial" w:cs="Arial"/>
          <w:spacing w:val="1"/>
          <w:sz w:val="20"/>
          <w:szCs w:val="20"/>
        </w:rPr>
        <w:t xml:space="preserve"> </w:t>
      </w:r>
      <w:r w:rsidRPr="005827DA">
        <w:rPr>
          <w:rFonts w:ascii="Arial" w:hAnsi="Arial" w:cs="Arial"/>
          <w:sz w:val="20"/>
          <w:szCs w:val="20"/>
        </w:rPr>
        <w:t>teaching</w:t>
      </w:r>
      <w:r w:rsidRPr="005827DA">
        <w:rPr>
          <w:rFonts w:ascii="Arial" w:hAnsi="Arial" w:cs="Arial"/>
          <w:spacing w:val="1"/>
          <w:sz w:val="20"/>
          <w:szCs w:val="20"/>
        </w:rPr>
        <w:t xml:space="preserve"> </w:t>
      </w:r>
      <w:r w:rsidRPr="005827DA">
        <w:rPr>
          <w:rFonts w:ascii="Arial" w:hAnsi="Arial" w:cs="Arial"/>
          <w:sz w:val="20"/>
          <w:szCs w:val="20"/>
        </w:rPr>
        <w:t>and</w:t>
      </w:r>
      <w:r w:rsidRPr="005827DA">
        <w:rPr>
          <w:rFonts w:ascii="Arial" w:hAnsi="Arial" w:cs="Arial"/>
          <w:spacing w:val="1"/>
          <w:sz w:val="20"/>
          <w:szCs w:val="20"/>
        </w:rPr>
        <w:t xml:space="preserve"> </w:t>
      </w:r>
      <w:r w:rsidRPr="005827DA">
        <w:rPr>
          <w:rFonts w:ascii="Arial" w:hAnsi="Arial" w:cs="Arial"/>
          <w:sz w:val="20"/>
          <w:szCs w:val="20"/>
        </w:rPr>
        <w:t>learning,</w:t>
      </w:r>
      <w:r w:rsidRPr="005827DA">
        <w:rPr>
          <w:rFonts w:ascii="Arial" w:hAnsi="Arial" w:cs="Arial"/>
          <w:spacing w:val="1"/>
          <w:sz w:val="20"/>
          <w:szCs w:val="20"/>
        </w:rPr>
        <w:t xml:space="preserve"> </w:t>
      </w:r>
      <w:r w:rsidRPr="005827DA">
        <w:rPr>
          <w:rFonts w:ascii="Arial" w:hAnsi="Arial" w:cs="Arial"/>
          <w:sz w:val="20"/>
          <w:szCs w:val="20"/>
        </w:rPr>
        <w:t>all the</w:t>
      </w:r>
      <w:r w:rsidRPr="005827DA">
        <w:rPr>
          <w:rFonts w:ascii="Arial" w:hAnsi="Arial" w:cs="Arial"/>
          <w:spacing w:val="1"/>
          <w:sz w:val="20"/>
          <w:szCs w:val="20"/>
        </w:rPr>
        <w:t xml:space="preserve"> </w:t>
      </w:r>
      <w:r w:rsidRPr="005827DA">
        <w:rPr>
          <w:rFonts w:ascii="Arial" w:hAnsi="Arial" w:cs="Arial"/>
          <w:sz w:val="20"/>
          <w:szCs w:val="20"/>
        </w:rPr>
        <w:t>subject</w:t>
      </w:r>
      <w:r w:rsidRPr="005827DA">
        <w:rPr>
          <w:rFonts w:ascii="Arial" w:hAnsi="Arial" w:cs="Arial"/>
          <w:spacing w:val="1"/>
          <w:sz w:val="20"/>
          <w:szCs w:val="20"/>
        </w:rPr>
        <w:t xml:space="preserve"> </w:t>
      </w:r>
      <w:r w:rsidRPr="005827DA">
        <w:rPr>
          <w:rFonts w:ascii="Arial" w:hAnsi="Arial" w:cs="Arial"/>
          <w:sz w:val="20"/>
          <w:szCs w:val="20"/>
        </w:rPr>
        <w:t>details</w:t>
      </w:r>
      <w:r w:rsidRPr="005827DA">
        <w:rPr>
          <w:rFonts w:ascii="Arial" w:hAnsi="Arial" w:cs="Arial"/>
          <w:spacing w:val="1"/>
          <w:sz w:val="20"/>
          <w:szCs w:val="20"/>
        </w:rPr>
        <w:t xml:space="preserve"> </w:t>
      </w:r>
      <w:r w:rsidRPr="005827DA">
        <w:rPr>
          <w:rFonts w:ascii="Arial" w:hAnsi="Arial" w:cs="Arial"/>
          <w:sz w:val="20"/>
          <w:szCs w:val="20"/>
        </w:rPr>
        <w:t>contained in the ground and flight training syllabus is complementary to the BPL course</w:t>
      </w:r>
      <w:r w:rsidRPr="005827DA">
        <w:rPr>
          <w:rFonts w:ascii="Arial" w:hAnsi="Arial" w:cs="Arial"/>
          <w:spacing w:val="1"/>
          <w:sz w:val="20"/>
          <w:szCs w:val="20"/>
        </w:rPr>
        <w:t xml:space="preserve"> </w:t>
      </w:r>
      <w:r w:rsidRPr="005827DA">
        <w:rPr>
          <w:rFonts w:ascii="Arial" w:hAnsi="Arial" w:cs="Arial"/>
          <w:sz w:val="20"/>
          <w:szCs w:val="20"/>
        </w:rPr>
        <w:t>syllabus.</w:t>
      </w:r>
    </w:p>
    <w:p w14:paraId="47B9F5EA" w14:textId="77777777" w:rsidR="00F20810" w:rsidRPr="005827DA" w:rsidRDefault="00F20810" w:rsidP="005827DA">
      <w:pPr>
        <w:pStyle w:val="ListParagraph"/>
        <w:numPr>
          <w:ilvl w:val="1"/>
          <w:numId w:val="240"/>
        </w:numPr>
        <w:tabs>
          <w:tab w:val="left" w:pos="90"/>
          <w:tab w:val="left" w:pos="1274"/>
        </w:tabs>
        <w:spacing w:before="121" w:line="276" w:lineRule="auto"/>
        <w:ind w:right="68" w:hanging="436"/>
        <w:jc w:val="both"/>
        <w:rPr>
          <w:rFonts w:ascii="Arial" w:hAnsi="Arial" w:cs="Arial"/>
          <w:sz w:val="20"/>
          <w:szCs w:val="20"/>
        </w:rPr>
      </w:pPr>
      <w:r w:rsidRPr="005827DA">
        <w:rPr>
          <w:rFonts w:ascii="Arial" w:hAnsi="Arial" w:cs="Arial"/>
          <w:sz w:val="20"/>
          <w:szCs w:val="20"/>
        </w:rPr>
        <w:t>The FI(B) training course should give particular stress to the role of the individual in</w:t>
      </w:r>
      <w:r w:rsidRPr="005827DA">
        <w:rPr>
          <w:rFonts w:ascii="Arial" w:hAnsi="Arial" w:cs="Arial"/>
          <w:spacing w:val="1"/>
          <w:sz w:val="20"/>
          <w:szCs w:val="20"/>
        </w:rPr>
        <w:t xml:space="preserve"> </w:t>
      </w:r>
      <w:r w:rsidRPr="005827DA">
        <w:rPr>
          <w:rFonts w:ascii="Arial" w:hAnsi="Arial" w:cs="Arial"/>
          <w:sz w:val="20"/>
          <w:szCs w:val="20"/>
        </w:rPr>
        <w:t>relation to the importance of human factors in the man-machine interface as well as in</w:t>
      </w:r>
      <w:r w:rsidRPr="005827DA">
        <w:rPr>
          <w:rFonts w:ascii="Arial" w:hAnsi="Arial" w:cs="Arial"/>
          <w:spacing w:val="1"/>
          <w:sz w:val="20"/>
          <w:szCs w:val="20"/>
        </w:rPr>
        <w:t xml:space="preserve"> </w:t>
      </w: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instructor-student</w:t>
      </w:r>
      <w:r w:rsidRPr="005827DA">
        <w:rPr>
          <w:rFonts w:ascii="Arial" w:hAnsi="Arial" w:cs="Arial"/>
          <w:spacing w:val="1"/>
          <w:sz w:val="20"/>
          <w:szCs w:val="20"/>
        </w:rPr>
        <w:t xml:space="preserve"> </w:t>
      </w:r>
      <w:r w:rsidRPr="005827DA">
        <w:rPr>
          <w:rFonts w:ascii="Arial" w:hAnsi="Arial" w:cs="Arial"/>
          <w:sz w:val="20"/>
          <w:szCs w:val="20"/>
        </w:rPr>
        <w:t>interaction</w:t>
      </w:r>
      <w:r w:rsidRPr="005827DA">
        <w:rPr>
          <w:rFonts w:ascii="Arial" w:hAnsi="Arial" w:cs="Arial"/>
          <w:spacing w:val="1"/>
          <w:sz w:val="20"/>
          <w:szCs w:val="20"/>
        </w:rPr>
        <w:t xml:space="preserve"> </w:t>
      </w:r>
      <w:r w:rsidRPr="005827DA">
        <w:rPr>
          <w:rFonts w:ascii="Arial" w:hAnsi="Arial" w:cs="Arial"/>
          <w:sz w:val="20"/>
          <w:szCs w:val="20"/>
        </w:rPr>
        <w:t>during</w:t>
      </w:r>
      <w:r w:rsidRPr="005827DA">
        <w:rPr>
          <w:rFonts w:ascii="Arial" w:hAnsi="Arial" w:cs="Arial"/>
          <w:spacing w:val="1"/>
          <w:sz w:val="20"/>
          <w:szCs w:val="20"/>
        </w:rPr>
        <w:t xml:space="preserve"> </w:t>
      </w:r>
      <w:r w:rsidRPr="005827DA">
        <w:rPr>
          <w:rFonts w:ascii="Arial" w:hAnsi="Arial" w:cs="Arial"/>
          <w:sz w:val="20"/>
          <w:szCs w:val="20"/>
        </w:rPr>
        <w:t>theoretical</w:t>
      </w:r>
      <w:r w:rsidRPr="005827DA">
        <w:rPr>
          <w:rFonts w:ascii="Arial" w:hAnsi="Arial" w:cs="Arial"/>
          <w:spacing w:val="1"/>
          <w:sz w:val="20"/>
          <w:szCs w:val="20"/>
        </w:rPr>
        <w:t xml:space="preserve"> </w:t>
      </w:r>
      <w:r w:rsidRPr="005827DA">
        <w:rPr>
          <w:rFonts w:ascii="Arial" w:hAnsi="Arial" w:cs="Arial"/>
          <w:sz w:val="20"/>
          <w:szCs w:val="20"/>
        </w:rPr>
        <w:t>knowledge</w:t>
      </w:r>
      <w:r w:rsidRPr="005827DA">
        <w:rPr>
          <w:rFonts w:ascii="Arial" w:hAnsi="Arial" w:cs="Arial"/>
          <w:spacing w:val="1"/>
          <w:sz w:val="20"/>
          <w:szCs w:val="20"/>
        </w:rPr>
        <w:t xml:space="preserve"> </w:t>
      </w:r>
      <w:r w:rsidRPr="005827DA">
        <w:rPr>
          <w:rFonts w:ascii="Arial" w:hAnsi="Arial" w:cs="Arial"/>
          <w:sz w:val="20"/>
          <w:szCs w:val="20"/>
        </w:rPr>
        <w:t>instruction.</w:t>
      </w:r>
      <w:r w:rsidRPr="005827DA">
        <w:rPr>
          <w:rFonts w:ascii="Arial" w:hAnsi="Arial" w:cs="Arial"/>
          <w:spacing w:val="1"/>
          <w:sz w:val="20"/>
          <w:szCs w:val="20"/>
        </w:rPr>
        <w:t xml:space="preserve"> </w:t>
      </w:r>
      <w:r w:rsidRPr="005827DA">
        <w:rPr>
          <w:rFonts w:ascii="Arial" w:hAnsi="Arial" w:cs="Arial"/>
          <w:sz w:val="20"/>
          <w:szCs w:val="20"/>
        </w:rPr>
        <w:t>Special</w:t>
      </w:r>
      <w:r w:rsidRPr="005827DA">
        <w:rPr>
          <w:rFonts w:ascii="Arial" w:hAnsi="Arial" w:cs="Arial"/>
          <w:spacing w:val="1"/>
          <w:sz w:val="20"/>
          <w:szCs w:val="20"/>
        </w:rPr>
        <w:t xml:space="preserve"> </w:t>
      </w:r>
      <w:r w:rsidRPr="005827DA">
        <w:rPr>
          <w:rFonts w:ascii="Arial" w:hAnsi="Arial" w:cs="Arial"/>
          <w:sz w:val="20"/>
          <w:szCs w:val="20"/>
        </w:rPr>
        <w:t>attention</w:t>
      </w:r>
      <w:r w:rsidRPr="005827DA">
        <w:rPr>
          <w:rFonts w:ascii="Arial" w:hAnsi="Arial" w:cs="Arial"/>
          <w:spacing w:val="1"/>
          <w:sz w:val="20"/>
          <w:szCs w:val="20"/>
        </w:rPr>
        <w:t xml:space="preserve"> </w:t>
      </w:r>
      <w:r w:rsidRPr="005827DA">
        <w:rPr>
          <w:rFonts w:ascii="Arial" w:hAnsi="Arial" w:cs="Arial"/>
          <w:sz w:val="20"/>
          <w:szCs w:val="20"/>
        </w:rPr>
        <w:t>should</w:t>
      </w:r>
      <w:r w:rsidRPr="005827DA">
        <w:rPr>
          <w:rFonts w:ascii="Arial" w:hAnsi="Arial" w:cs="Arial"/>
          <w:spacing w:val="1"/>
          <w:sz w:val="20"/>
          <w:szCs w:val="20"/>
        </w:rPr>
        <w:t xml:space="preserve"> </w:t>
      </w:r>
      <w:r w:rsidRPr="005827DA">
        <w:rPr>
          <w:rFonts w:ascii="Arial" w:hAnsi="Arial" w:cs="Arial"/>
          <w:sz w:val="20"/>
          <w:szCs w:val="20"/>
        </w:rPr>
        <w:t>be</w:t>
      </w:r>
      <w:r w:rsidRPr="005827DA">
        <w:rPr>
          <w:rFonts w:ascii="Arial" w:hAnsi="Arial" w:cs="Arial"/>
          <w:spacing w:val="1"/>
          <w:sz w:val="20"/>
          <w:szCs w:val="20"/>
        </w:rPr>
        <w:t xml:space="preserve"> </w:t>
      </w:r>
      <w:r w:rsidRPr="005827DA">
        <w:rPr>
          <w:rFonts w:ascii="Arial" w:hAnsi="Arial" w:cs="Arial"/>
          <w:sz w:val="20"/>
          <w:szCs w:val="20"/>
        </w:rPr>
        <w:t>paid</w:t>
      </w:r>
      <w:r w:rsidRPr="005827DA">
        <w:rPr>
          <w:rFonts w:ascii="Arial" w:hAnsi="Arial" w:cs="Arial"/>
          <w:spacing w:val="1"/>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applicant’s</w:t>
      </w:r>
      <w:r w:rsidRPr="005827DA">
        <w:rPr>
          <w:rFonts w:ascii="Arial" w:hAnsi="Arial" w:cs="Arial"/>
          <w:spacing w:val="1"/>
          <w:sz w:val="20"/>
          <w:szCs w:val="20"/>
        </w:rPr>
        <w:t xml:space="preserve"> </w:t>
      </w:r>
      <w:r w:rsidRPr="005827DA">
        <w:rPr>
          <w:rFonts w:ascii="Arial" w:hAnsi="Arial" w:cs="Arial"/>
          <w:sz w:val="20"/>
          <w:szCs w:val="20"/>
        </w:rPr>
        <w:t>maturity</w:t>
      </w:r>
      <w:r w:rsidRPr="005827DA">
        <w:rPr>
          <w:rFonts w:ascii="Arial" w:hAnsi="Arial" w:cs="Arial"/>
          <w:spacing w:val="1"/>
          <w:sz w:val="20"/>
          <w:szCs w:val="20"/>
        </w:rPr>
        <w:t xml:space="preserve"> </w:t>
      </w:r>
      <w:r w:rsidRPr="005827DA">
        <w:rPr>
          <w:rFonts w:ascii="Arial" w:hAnsi="Arial" w:cs="Arial"/>
          <w:sz w:val="20"/>
          <w:szCs w:val="20"/>
        </w:rPr>
        <w:t>and</w:t>
      </w:r>
      <w:r w:rsidRPr="005827DA">
        <w:rPr>
          <w:rFonts w:ascii="Arial" w:hAnsi="Arial" w:cs="Arial"/>
          <w:spacing w:val="1"/>
          <w:sz w:val="20"/>
          <w:szCs w:val="20"/>
        </w:rPr>
        <w:t xml:space="preserve"> </w:t>
      </w:r>
      <w:r w:rsidRPr="005827DA">
        <w:rPr>
          <w:rFonts w:ascii="Arial" w:hAnsi="Arial" w:cs="Arial"/>
          <w:sz w:val="20"/>
          <w:szCs w:val="20"/>
        </w:rPr>
        <w:t>judgement</w:t>
      </w:r>
      <w:r w:rsidRPr="005827DA">
        <w:rPr>
          <w:rFonts w:ascii="Arial" w:hAnsi="Arial" w:cs="Arial"/>
          <w:spacing w:val="1"/>
          <w:sz w:val="20"/>
          <w:szCs w:val="20"/>
        </w:rPr>
        <w:t xml:space="preserve"> </w:t>
      </w:r>
      <w:r w:rsidRPr="005827DA">
        <w:rPr>
          <w:rFonts w:ascii="Arial" w:hAnsi="Arial" w:cs="Arial"/>
          <w:sz w:val="20"/>
          <w:szCs w:val="20"/>
        </w:rPr>
        <w:t>including</w:t>
      </w:r>
      <w:r w:rsidRPr="005827DA">
        <w:rPr>
          <w:rFonts w:ascii="Arial" w:hAnsi="Arial" w:cs="Arial"/>
          <w:spacing w:val="1"/>
          <w:sz w:val="20"/>
          <w:szCs w:val="20"/>
        </w:rPr>
        <w:t xml:space="preserve"> </w:t>
      </w:r>
      <w:r w:rsidRPr="005827DA">
        <w:rPr>
          <w:rFonts w:ascii="Arial" w:hAnsi="Arial" w:cs="Arial"/>
          <w:sz w:val="20"/>
          <w:szCs w:val="20"/>
        </w:rPr>
        <w:t>an</w:t>
      </w:r>
      <w:r w:rsidRPr="005827DA">
        <w:rPr>
          <w:rFonts w:ascii="Arial" w:hAnsi="Arial" w:cs="Arial"/>
          <w:spacing w:val="1"/>
          <w:sz w:val="20"/>
          <w:szCs w:val="20"/>
        </w:rPr>
        <w:t xml:space="preserve"> </w:t>
      </w:r>
      <w:r w:rsidRPr="005827DA">
        <w:rPr>
          <w:rFonts w:ascii="Arial" w:hAnsi="Arial" w:cs="Arial"/>
          <w:sz w:val="20"/>
          <w:szCs w:val="20"/>
        </w:rPr>
        <w:t>understanding</w:t>
      </w:r>
      <w:r w:rsidRPr="005827DA">
        <w:rPr>
          <w:rFonts w:ascii="Arial" w:hAnsi="Arial" w:cs="Arial"/>
          <w:spacing w:val="-2"/>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adults,</w:t>
      </w:r>
      <w:r w:rsidRPr="005827DA">
        <w:rPr>
          <w:rFonts w:ascii="Arial" w:hAnsi="Arial" w:cs="Arial"/>
          <w:spacing w:val="-2"/>
          <w:sz w:val="20"/>
          <w:szCs w:val="20"/>
        </w:rPr>
        <w:t xml:space="preserve"> </w:t>
      </w:r>
      <w:r w:rsidRPr="005827DA">
        <w:rPr>
          <w:rFonts w:ascii="Arial" w:hAnsi="Arial" w:cs="Arial"/>
          <w:sz w:val="20"/>
          <w:szCs w:val="20"/>
        </w:rPr>
        <w:t>their</w:t>
      </w:r>
      <w:r w:rsidRPr="005827DA">
        <w:rPr>
          <w:rFonts w:ascii="Arial" w:hAnsi="Arial" w:cs="Arial"/>
          <w:spacing w:val="-1"/>
          <w:sz w:val="20"/>
          <w:szCs w:val="20"/>
        </w:rPr>
        <w:t xml:space="preserve"> </w:t>
      </w:r>
      <w:r w:rsidRPr="005827DA">
        <w:rPr>
          <w:rFonts w:ascii="Arial" w:hAnsi="Arial" w:cs="Arial"/>
          <w:sz w:val="20"/>
          <w:szCs w:val="20"/>
        </w:rPr>
        <w:t>behavioural</w:t>
      </w:r>
      <w:r w:rsidRPr="005827DA">
        <w:rPr>
          <w:rFonts w:ascii="Arial" w:hAnsi="Arial" w:cs="Arial"/>
          <w:spacing w:val="-1"/>
          <w:sz w:val="20"/>
          <w:szCs w:val="20"/>
        </w:rPr>
        <w:t xml:space="preserve"> </w:t>
      </w:r>
      <w:r w:rsidRPr="005827DA">
        <w:rPr>
          <w:rFonts w:ascii="Arial" w:hAnsi="Arial" w:cs="Arial"/>
          <w:sz w:val="20"/>
          <w:szCs w:val="20"/>
        </w:rPr>
        <w:t>attitudes</w:t>
      </w:r>
      <w:r w:rsidRPr="005827DA">
        <w:rPr>
          <w:rFonts w:ascii="Arial" w:hAnsi="Arial" w:cs="Arial"/>
          <w:spacing w:val="-3"/>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variable levels</w:t>
      </w:r>
      <w:r w:rsidRPr="005827DA">
        <w:rPr>
          <w:rFonts w:ascii="Arial" w:hAnsi="Arial" w:cs="Arial"/>
          <w:spacing w:val="-3"/>
          <w:sz w:val="20"/>
          <w:szCs w:val="20"/>
        </w:rPr>
        <w:t xml:space="preserve"> </w:t>
      </w:r>
      <w:r w:rsidRPr="005827DA">
        <w:rPr>
          <w:rFonts w:ascii="Arial" w:hAnsi="Arial" w:cs="Arial"/>
          <w:sz w:val="20"/>
          <w:szCs w:val="20"/>
        </w:rPr>
        <w:t>of education.</w:t>
      </w:r>
    </w:p>
    <w:p w14:paraId="441BF42A" w14:textId="77777777" w:rsidR="00F20810" w:rsidRPr="005827DA" w:rsidRDefault="00F20810" w:rsidP="005827DA">
      <w:pPr>
        <w:pStyle w:val="ListParagraph"/>
        <w:numPr>
          <w:ilvl w:val="1"/>
          <w:numId w:val="240"/>
        </w:numPr>
        <w:tabs>
          <w:tab w:val="left" w:pos="90"/>
          <w:tab w:val="left" w:pos="1274"/>
        </w:tabs>
        <w:spacing w:before="119" w:line="276" w:lineRule="auto"/>
        <w:ind w:right="68" w:hanging="436"/>
        <w:jc w:val="both"/>
        <w:rPr>
          <w:rFonts w:ascii="Arial" w:hAnsi="Arial" w:cs="Arial"/>
          <w:sz w:val="20"/>
          <w:szCs w:val="20"/>
        </w:rPr>
      </w:pPr>
      <w:r w:rsidRPr="005827DA">
        <w:rPr>
          <w:rFonts w:ascii="Arial" w:hAnsi="Arial" w:cs="Arial"/>
          <w:sz w:val="20"/>
          <w:szCs w:val="20"/>
        </w:rPr>
        <w:t>During</w:t>
      </w:r>
      <w:r w:rsidRPr="005827DA">
        <w:rPr>
          <w:rFonts w:ascii="Arial" w:hAnsi="Arial" w:cs="Arial"/>
          <w:spacing w:val="-6"/>
          <w:sz w:val="20"/>
          <w:szCs w:val="20"/>
        </w:rPr>
        <w:t xml:space="preserve"> </w:t>
      </w:r>
      <w:r w:rsidRPr="005827DA">
        <w:rPr>
          <w:rFonts w:ascii="Arial" w:hAnsi="Arial" w:cs="Arial"/>
          <w:sz w:val="20"/>
          <w:szCs w:val="20"/>
        </w:rPr>
        <w:t>the</w:t>
      </w:r>
      <w:r w:rsidRPr="005827DA">
        <w:rPr>
          <w:rFonts w:ascii="Arial" w:hAnsi="Arial" w:cs="Arial"/>
          <w:spacing w:val="-7"/>
          <w:sz w:val="20"/>
          <w:szCs w:val="20"/>
        </w:rPr>
        <w:t xml:space="preserve"> </w:t>
      </w:r>
      <w:r w:rsidRPr="005827DA">
        <w:rPr>
          <w:rFonts w:ascii="Arial" w:hAnsi="Arial" w:cs="Arial"/>
          <w:sz w:val="20"/>
          <w:szCs w:val="20"/>
        </w:rPr>
        <w:t>training</w:t>
      </w:r>
      <w:r w:rsidRPr="005827DA">
        <w:rPr>
          <w:rFonts w:ascii="Arial" w:hAnsi="Arial" w:cs="Arial"/>
          <w:spacing w:val="-6"/>
          <w:sz w:val="20"/>
          <w:szCs w:val="20"/>
        </w:rPr>
        <w:t xml:space="preserve"> </w:t>
      </w:r>
      <w:r w:rsidRPr="005827DA">
        <w:rPr>
          <w:rFonts w:ascii="Arial" w:hAnsi="Arial" w:cs="Arial"/>
          <w:sz w:val="20"/>
          <w:szCs w:val="20"/>
        </w:rPr>
        <w:t>course,</w:t>
      </w:r>
      <w:r w:rsidRPr="005827DA">
        <w:rPr>
          <w:rFonts w:ascii="Arial" w:hAnsi="Arial" w:cs="Arial"/>
          <w:spacing w:val="-9"/>
          <w:sz w:val="20"/>
          <w:szCs w:val="20"/>
        </w:rPr>
        <w:t xml:space="preserve"> </w:t>
      </w:r>
      <w:r w:rsidRPr="005827DA">
        <w:rPr>
          <w:rFonts w:ascii="Arial" w:hAnsi="Arial" w:cs="Arial"/>
          <w:sz w:val="20"/>
          <w:szCs w:val="20"/>
        </w:rPr>
        <w:t>applicants</w:t>
      </w:r>
      <w:r w:rsidRPr="005827DA">
        <w:rPr>
          <w:rFonts w:ascii="Arial" w:hAnsi="Arial" w:cs="Arial"/>
          <w:spacing w:val="-4"/>
          <w:sz w:val="20"/>
          <w:szCs w:val="20"/>
        </w:rPr>
        <w:t xml:space="preserve"> </w:t>
      </w:r>
      <w:r w:rsidRPr="005827DA">
        <w:rPr>
          <w:rFonts w:ascii="Arial" w:hAnsi="Arial" w:cs="Arial"/>
          <w:sz w:val="20"/>
          <w:szCs w:val="20"/>
        </w:rPr>
        <w:t>should</w:t>
      </w:r>
      <w:r w:rsidRPr="005827DA">
        <w:rPr>
          <w:rFonts w:ascii="Arial" w:hAnsi="Arial" w:cs="Arial"/>
          <w:spacing w:val="-7"/>
          <w:sz w:val="20"/>
          <w:szCs w:val="20"/>
        </w:rPr>
        <w:t xml:space="preserve"> </w:t>
      </w:r>
      <w:r w:rsidRPr="005827DA">
        <w:rPr>
          <w:rFonts w:ascii="Arial" w:hAnsi="Arial" w:cs="Arial"/>
          <w:sz w:val="20"/>
          <w:szCs w:val="20"/>
        </w:rPr>
        <w:t>be</w:t>
      </w:r>
      <w:r w:rsidRPr="005827DA">
        <w:rPr>
          <w:rFonts w:ascii="Arial" w:hAnsi="Arial" w:cs="Arial"/>
          <w:spacing w:val="-6"/>
          <w:sz w:val="20"/>
          <w:szCs w:val="20"/>
        </w:rPr>
        <w:t xml:space="preserve"> </w:t>
      </w:r>
      <w:r w:rsidRPr="005827DA">
        <w:rPr>
          <w:rFonts w:ascii="Arial" w:hAnsi="Arial" w:cs="Arial"/>
          <w:sz w:val="20"/>
          <w:szCs w:val="20"/>
        </w:rPr>
        <w:t>made</w:t>
      </w:r>
      <w:r w:rsidRPr="005827DA">
        <w:rPr>
          <w:rFonts w:ascii="Arial" w:hAnsi="Arial" w:cs="Arial"/>
          <w:spacing w:val="-10"/>
          <w:sz w:val="20"/>
          <w:szCs w:val="20"/>
        </w:rPr>
        <w:t xml:space="preserve"> </w:t>
      </w:r>
      <w:r w:rsidRPr="005827DA">
        <w:rPr>
          <w:rFonts w:ascii="Arial" w:hAnsi="Arial" w:cs="Arial"/>
          <w:sz w:val="20"/>
          <w:szCs w:val="20"/>
        </w:rPr>
        <w:t>aware</w:t>
      </w:r>
      <w:r w:rsidRPr="005827DA">
        <w:rPr>
          <w:rFonts w:ascii="Arial" w:hAnsi="Arial" w:cs="Arial"/>
          <w:spacing w:val="-7"/>
          <w:sz w:val="20"/>
          <w:szCs w:val="20"/>
        </w:rPr>
        <w:t xml:space="preserve"> </w:t>
      </w:r>
      <w:r w:rsidRPr="005827DA">
        <w:rPr>
          <w:rFonts w:ascii="Arial" w:hAnsi="Arial" w:cs="Arial"/>
          <w:sz w:val="20"/>
          <w:szCs w:val="20"/>
        </w:rPr>
        <w:t>that</w:t>
      </w:r>
      <w:r w:rsidRPr="005827DA">
        <w:rPr>
          <w:rFonts w:ascii="Arial" w:hAnsi="Arial" w:cs="Arial"/>
          <w:spacing w:val="-7"/>
          <w:sz w:val="20"/>
          <w:szCs w:val="20"/>
        </w:rPr>
        <w:t xml:space="preserve"> </w:t>
      </w:r>
      <w:r w:rsidRPr="005827DA">
        <w:rPr>
          <w:rFonts w:ascii="Arial" w:hAnsi="Arial" w:cs="Arial"/>
          <w:sz w:val="20"/>
          <w:szCs w:val="20"/>
        </w:rPr>
        <w:t>their</w:t>
      </w:r>
      <w:r w:rsidRPr="005827DA">
        <w:rPr>
          <w:rFonts w:ascii="Arial" w:hAnsi="Arial" w:cs="Arial"/>
          <w:spacing w:val="-9"/>
          <w:sz w:val="20"/>
          <w:szCs w:val="20"/>
        </w:rPr>
        <w:t xml:space="preserve"> </w:t>
      </w:r>
      <w:r w:rsidRPr="005827DA">
        <w:rPr>
          <w:rFonts w:ascii="Arial" w:hAnsi="Arial" w:cs="Arial"/>
          <w:sz w:val="20"/>
          <w:szCs w:val="20"/>
        </w:rPr>
        <w:t>own</w:t>
      </w:r>
      <w:r w:rsidRPr="005827DA">
        <w:rPr>
          <w:rFonts w:ascii="Arial" w:hAnsi="Arial" w:cs="Arial"/>
          <w:spacing w:val="-5"/>
          <w:sz w:val="20"/>
          <w:szCs w:val="20"/>
        </w:rPr>
        <w:t xml:space="preserve"> </w:t>
      </w:r>
      <w:r w:rsidRPr="005827DA">
        <w:rPr>
          <w:rFonts w:ascii="Arial" w:hAnsi="Arial" w:cs="Arial"/>
          <w:sz w:val="20"/>
          <w:szCs w:val="20"/>
        </w:rPr>
        <w:t>attitudes</w:t>
      </w:r>
      <w:r w:rsidRPr="005827DA">
        <w:rPr>
          <w:rFonts w:ascii="Arial" w:hAnsi="Arial" w:cs="Arial"/>
          <w:spacing w:val="-5"/>
          <w:sz w:val="20"/>
          <w:szCs w:val="20"/>
        </w:rPr>
        <w:t xml:space="preserve"> </w:t>
      </w:r>
      <w:r w:rsidRPr="005827DA">
        <w:rPr>
          <w:rFonts w:ascii="Arial" w:hAnsi="Arial" w:cs="Arial"/>
          <w:sz w:val="20"/>
          <w:szCs w:val="20"/>
        </w:rPr>
        <w:t>are</w:t>
      </w:r>
      <w:r w:rsidRPr="005827DA">
        <w:rPr>
          <w:rFonts w:ascii="Arial" w:hAnsi="Arial" w:cs="Arial"/>
          <w:spacing w:val="-47"/>
          <w:sz w:val="20"/>
          <w:szCs w:val="20"/>
        </w:rPr>
        <w:t xml:space="preserve"> </w:t>
      </w:r>
      <w:r w:rsidRPr="005827DA">
        <w:rPr>
          <w:rFonts w:ascii="Arial" w:hAnsi="Arial" w:cs="Arial"/>
          <w:sz w:val="20"/>
          <w:szCs w:val="20"/>
        </w:rPr>
        <w:t>key</w:t>
      </w:r>
      <w:r w:rsidRPr="005827DA">
        <w:rPr>
          <w:rFonts w:ascii="Arial" w:hAnsi="Arial" w:cs="Arial"/>
          <w:spacing w:val="1"/>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flight</w:t>
      </w:r>
      <w:r w:rsidRPr="005827DA">
        <w:rPr>
          <w:rFonts w:ascii="Arial" w:hAnsi="Arial" w:cs="Arial"/>
          <w:spacing w:val="1"/>
          <w:sz w:val="20"/>
          <w:szCs w:val="20"/>
        </w:rPr>
        <w:t xml:space="preserve"> </w:t>
      </w:r>
      <w:r w:rsidRPr="005827DA">
        <w:rPr>
          <w:rFonts w:ascii="Arial" w:hAnsi="Arial" w:cs="Arial"/>
          <w:sz w:val="20"/>
          <w:szCs w:val="20"/>
        </w:rPr>
        <w:t>safety.</w:t>
      </w:r>
      <w:r w:rsidRPr="005827DA">
        <w:rPr>
          <w:rFonts w:ascii="Arial" w:hAnsi="Arial" w:cs="Arial"/>
          <w:spacing w:val="1"/>
          <w:sz w:val="20"/>
          <w:szCs w:val="20"/>
        </w:rPr>
        <w:t xml:space="preserve"> </w:t>
      </w:r>
      <w:r w:rsidRPr="005827DA">
        <w:rPr>
          <w:rFonts w:ascii="Arial" w:hAnsi="Arial" w:cs="Arial"/>
          <w:sz w:val="20"/>
          <w:szCs w:val="20"/>
        </w:rPr>
        <w:t>Identifying</w:t>
      </w:r>
      <w:r w:rsidRPr="005827DA">
        <w:rPr>
          <w:rFonts w:ascii="Arial" w:hAnsi="Arial" w:cs="Arial"/>
          <w:spacing w:val="1"/>
          <w:sz w:val="20"/>
          <w:szCs w:val="20"/>
        </w:rPr>
        <w:t xml:space="preserve"> </w:t>
      </w:r>
      <w:r w:rsidRPr="005827DA">
        <w:rPr>
          <w:rFonts w:ascii="Arial" w:hAnsi="Arial" w:cs="Arial"/>
          <w:sz w:val="20"/>
          <w:szCs w:val="20"/>
        </w:rPr>
        <w:t>and</w:t>
      </w:r>
      <w:r w:rsidRPr="005827DA">
        <w:rPr>
          <w:rFonts w:ascii="Arial" w:hAnsi="Arial" w:cs="Arial"/>
          <w:spacing w:val="1"/>
          <w:sz w:val="20"/>
          <w:szCs w:val="20"/>
        </w:rPr>
        <w:t xml:space="preserve"> </w:t>
      </w:r>
      <w:r w:rsidRPr="005827DA">
        <w:rPr>
          <w:rFonts w:ascii="Arial" w:hAnsi="Arial" w:cs="Arial"/>
          <w:sz w:val="20"/>
          <w:szCs w:val="20"/>
        </w:rPr>
        <w:t>avoiding</w:t>
      </w:r>
      <w:r w:rsidRPr="005827DA">
        <w:rPr>
          <w:rFonts w:ascii="Arial" w:hAnsi="Arial" w:cs="Arial"/>
          <w:spacing w:val="1"/>
          <w:sz w:val="20"/>
          <w:szCs w:val="20"/>
        </w:rPr>
        <w:t xml:space="preserve"> </w:t>
      </w:r>
      <w:r w:rsidRPr="005827DA">
        <w:rPr>
          <w:rFonts w:ascii="Arial" w:hAnsi="Arial" w:cs="Arial"/>
          <w:sz w:val="20"/>
          <w:szCs w:val="20"/>
        </w:rPr>
        <w:t>complacency</w:t>
      </w:r>
      <w:r w:rsidRPr="005827DA">
        <w:rPr>
          <w:rFonts w:ascii="Arial" w:hAnsi="Arial" w:cs="Arial"/>
          <w:spacing w:val="1"/>
          <w:sz w:val="20"/>
          <w:szCs w:val="20"/>
        </w:rPr>
        <w:t xml:space="preserve"> </w:t>
      </w:r>
      <w:r w:rsidRPr="005827DA">
        <w:rPr>
          <w:rFonts w:ascii="Arial" w:hAnsi="Arial" w:cs="Arial"/>
          <w:sz w:val="20"/>
          <w:szCs w:val="20"/>
        </w:rPr>
        <w:t>and</w:t>
      </w:r>
      <w:r w:rsidRPr="005827DA">
        <w:rPr>
          <w:rFonts w:ascii="Arial" w:hAnsi="Arial" w:cs="Arial"/>
          <w:spacing w:val="1"/>
          <w:sz w:val="20"/>
          <w:szCs w:val="20"/>
        </w:rPr>
        <w:t xml:space="preserve"> </w:t>
      </w:r>
      <w:r w:rsidRPr="005827DA">
        <w:rPr>
          <w:rFonts w:ascii="Arial" w:hAnsi="Arial" w:cs="Arial"/>
          <w:sz w:val="20"/>
          <w:szCs w:val="20"/>
        </w:rPr>
        <w:t>improving</w:t>
      </w:r>
      <w:r w:rsidRPr="005827DA">
        <w:rPr>
          <w:rFonts w:ascii="Arial" w:hAnsi="Arial" w:cs="Arial"/>
          <w:spacing w:val="1"/>
          <w:sz w:val="20"/>
          <w:szCs w:val="20"/>
        </w:rPr>
        <w:t xml:space="preserve"> </w:t>
      </w:r>
      <w:r w:rsidRPr="005827DA">
        <w:rPr>
          <w:rFonts w:ascii="Arial" w:hAnsi="Arial" w:cs="Arial"/>
          <w:sz w:val="20"/>
          <w:szCs w:val="20"/>
        </w:rPr>
        <w:t>safety</w:t>
      </w:r>
      <w:r w:rsidRPr="005827DA">
        <w:rPr>
          <w:rFonts w:ascii="Arial" w:hAnsi="Arial" w:cs="Arial"/>
          <w:spacing w:val="1"/>
          <w:sz w:val="20"/>
          <w:szCs w:val="20"/>
        </w:rPr>
        <w:t xml:space="preserve"> </w:t>
      </w:r>
      <w:r w:rsidRPr="005827DA">
        <w:rPr>
          <w:rFonts w:ascii="Arial" w:hAnsi="Arial" w:cs="Arial"/>
          <w:sz w:val="20"/>
          <w:szCs w:val="20"/>
        </w:rPr>
        <w:t>awareness should be a fundamental objective throughout the training course. It is of</w:t>
      </w:r>
      <w:r w:rsidRPr="005827DA">
        <w:rPr>
          <w:rFonts w:ascii="Arial" w:hAnsi="Arial" w:cs="Arial"/>
          <w:spacing w:val="1"/>
          <w:sz w:val="20"/>
          <w:szCs w:val="20"/>
        </w:rPr>
        <w:t xml:space="preserve"> </w:t>
      </w:r>
      <w:r w:rsidRPr="005827DA">
        <w:rPr>
          <w:rFonts w:ascii="Arial" w:hAnsi="Arial" w:cs="Arial"/>
          <w:sz w:val="20"/>
          <w:szCs w:val="20"/>
        </w:rPr>
        <w:t>major</w:t>
      </w:r>
      <w:r w:rsidRPr="005827DA">
        <w:rPr>
          <w:rFonts w:ascii="Arial" w:hAnsi="Arial" w:cs="Arial"/>
          <w:spacing w:val="-6"/>
          <w:sz w:val="20"/>
          <w:szCs w:val="20"/>
        </w:rPr>
        <w:t xml:space="preserve"> </w:t>
      </w:r>
      <w:r w:rsidRPr="005827DA">
        <w:rPr>
          <w:rFonts w:ascii="Arial" w:hAnsi="Arial" w:cs="Arial"/>
          <w:sz w:val="20"/>
          <w:szCs w:val="20"/>
        </w:rPr>
        <w:t>importance</w:t>
      </w:r>
      <w:r w:rsidRPr="005827DA">
        <w:rPr>
          <w:rFonts w:ascii="Arial" w:hAnsi="Arial" w:cs="Arial"/>
          <w:spacing w:val="-5"/>
          <w:sz w:val="20"/>
          <w:szCs w:val="20"/>
        </w:rPr>
        <w:t xml:space="preserve"> </w:t>
      </w:r>
      <w:r w:rsidRPr="005827DA">
        <w:rPr>
          <w:rFonts w:ascii="Arial" w:hAnsi="Arial" w:cs="Arial"/>
          <w:sz w:val="20"/>
          <w:szCs w:val="20"/>
        </w:rPr>
        <w:t>for</w:t>
      </w:r>
      <w:r w:rsidRPr="005827DA">
        <w:rPr>
          <w:rFonts w:ascii="Arial" w:hAnsi="Arial" w:cs="Arial"/>
          <w:spacing w:val="-6"/>
          <w:sz w:val="20"/>
          <w:szCs w:val="20"/>
        </w:rPr>
        <w:t xml:space="preserve"> </w:t>
      </w:r>
      <w:r w:rsidRPr="005827DA">
        <w:rPr>
          <w:rFonts w:ascii="Arial" w:hAnsi="Arial" w:cs="Arial"/>
          <w:sz w:val="20"/>
          <w:szCs w:val="20"/>
        </w:rPr>
        <w:t>the</w:t>
      </w:r>
      <w:r w:rsidRPr="005827DA">
        <w:rPr>
          <w:rFonts w:ascii="Arial" w:hAnsi="Arial" w:cs="Arial"/>
          <w:spacing w:val="-8"/>
          <w:sz w:val="20"/>
          <w:szCs w:val="20"/>
        </w:rPr>
        <w:t xml:space="preserve"> </w:t>
      </w:r>
      <w:r w:rsidRPr="005827DA">
        <w:rPr>
          <w:rFonts w:ascii="Arial" w:hAnsi="Arial" w:cs="Arial"/>
          <w:sz w:val="20"/>
          <w:szCs w:val="20"/>
        </w:rPr>
        <w:t>training</w:t>
      </w:r>
      <w:r w:rsidRPr="005827DA">
        <w:rPr>
          <w:rFonts w:ascii="Arial" w:hAnsi="Arial" w:cs="Arial"/>
          <w:spacing w:val="-6"/>
          <w:sz w:val="20"/>
          <w:szCs w:val="20"/>
        </w:rPr>
        <w:t xml:space="preserve"> </w:t>
      </w:r>
      <w:r w:rsidRPr="005827DA">
        <w:rPr>
          <w:rFonts w:ascii="Arial" w:hAnsi="Arial" w:cs="Arial"/>
          <w:sz w:val="20"/>
          <w:szCs w:val="20"/>
        </w:rPr>
        <w:t>course</w:t>
      </w:r>
      <w:r w:rsidRPr="005827DA">
        <w:rPr>
          <w:rFonts w:ascii="Arial" w:hAnsi="Arial" w:cs="Arial"/>
          <w:spacing w:val="-5"/>
          <w:sz w:val="20"/>
          <w:szCs w:val="20"/>
        </w:rPr>
        <w:t xml:space="preserve"> </w:t>
      </w:r>
      <w:r w:rsidRPr="005827DA">
        <w:rPr>
          <w:rFonts w:ascii="Arial" w:hAnsi="Arial" w:cs="Arial"/>
          <w:sz w:val="20"/>
          <w:szCs w:val="20"/>
        </w:rPr>
        <w:t>to</w:t>
      </w:r>
      <w:r w:rsidRPr="005827DA">
        <w:rPr>
          <w:rFonts w:ascii="Arial" w:hAnsi="Arial" w:cs="Arial"/>
          <w:spacing w:val="-4"/>
          <w:sz w:val="20"/>
          <w:szCs w:val="20"/>
        </w:rPr>
        <w:t xml:space="preserve"> </w:t>
      </w:r>
      <w:r w:rsidRPr="005827DA">
        <w:rPr>
          <w:rFonts w:ascii="Arial" w:hAnsi="Arial" w:cs="Arial"/>
          <w:sz w:val="20"/>
          <w:szCs w:val="20"/>
        </w:rPr>
        <w:t>aim</w:t>
      </w:r>
      <w:r w:rsidRPr="005827DA">
        <w:rPr>
          <w:rFonts w:ascii="Arial" w:hAnsi="Arial" w:cs="Arial"/>
          <w:spacing w:val="-5"/>
          <w:sz w:val="20"/>
          <w:szCs w:val="20"/>
        </w:rPr>
        <w:t xml:space="preserve"> </w:t>
      </w:r>
      <w:r w:rsidRPr="005827DA">
        <w:rPr>
          <w:rFonts w:ascii="Arial" w:hAnsi="Arial" w:cs="Arial"/>
          <w:sz w:val="20"/>
          <w:szCs w:val="20"/>
        </w:rPr>
        <w:t>at</w:t>
      </w:r>
      <w:r w:rsidRPr="005827DA">
        <w:rPr>
          <w:rFonts w:ascii="Arial" w:hAnsi="Arial" w:cs="Arial"/>
          <w:spacing w:val="-5"/>
          <w:sz w:val="20"/>
          <w:szCs w:val="20"/>
        </w:rPr>
        <w:t xml:space="preserve"> </w:t>
      </w:r>
      <w:r w:rsidRPr="005827DA">
        <w:rPr>
          <w:rFonts w:ascii="Arial" w:hAnsi="Arial" w:cs="Arial"/>
          <w:sz w:val="20"/>
          <w:szCs w:val="20"/>
        </w:rPr>
        <w:t>giving</w:t>
      </w:r>
      <w:r w:rsidRPr="005827DA">
        <w:rPr>
          <w:rFonts w:ascii="Arial" w:hAnsi="Arial" w:cs="Arial"/>
          <w:spacing w:val="-6"/>
          <w:sz w:val="20"/>
          <w:szCs w:val="20"/>
        </w:rPr>
        <w:t xml:space="preserve"> </w:t>
      </w:r>
      <w:r w:rsidRPr="005827DA">
        <w:rPr>
          <w:rFonts w:ascii="Arial" w:hAnsi="Arial" w:cs="Arial"/>
          <w:sz w:val="20"/>
          <w:szCs w:val="20"/>
        </w:rPr>
        <w:t>applicants</w:t>
      </w:r>
      <w:r w:rsidRPr="005827DA">
        <w:rPr>
          <w:rFonts w:ascii="Arial" w:hAnsi="Arial" w:cs="Arial"/>
          <w:spacing w:val="-5"/>
          <w:sz w:val="20"/>
          <w:szCs w:val="20"/>
        </w:rPr>
        <w:t xml:space="preserve"> </w:t>
      </w:r>
      <w:r w:rsidRPr="005827DA">
        <w:rPr>
          <w:rFonts w:ascii="Arial" w:hAnsi="Arial" w:cs="Arial"/>
          <w:sz w:val="20"/>
          <w:szCs w:val="20"/>
        </w:rPr>
        <w:t>the</w:t>
      </w:r>
      <w:r w:rsidRPr="005827DA">
        <w:rPr>
          <w:rFonts w:ascii="Arial" w:hAnsi="Arial" w:cs="Arial"/>
          <w:spacing w:val="-6"/>
          <w:sz w:val="20"/>
          <w:szCs w:val="20"/>
        </w:rPr>
        <w:t xml:space="preserve"> </w:t>
      </w:r>
      <w:r w:rsidRPr="005827DA">
        <w:rPr>
          <w:rFonts w:ascii="Arial" w:hAnsi="Arial" w:cs="Arial"/>
          <w:sz w:val="20"/>
          <w:szCs w:val="20"/>
        </w:rPr>
        <w:t>knowledge,</w:t>
      </w:r>
      <w:r w:rsidRPr="005827DA">
        <w:rPr>
          <w:rFonts w:ascii="Arial" w:hAnsi="Arial" w:cs="Arial"/>
          <w:spacing w:val="-5"/>
          <w:sz w:val="20"/>
          <w:szCs w:val="20"/>
        </w:rPr>
        <w:t xml:space="preserve"> </w:t>
      </w:r>
      <w:r w:rsidRPr="005827DA">
        <w:rPr>
          <w:rFonts w:ascii="Arial" w:hAnsi="Arial" w:cs="Arial"/>
          <w:sz w:val="20"/>
          <w:szCs w:val="20"/>
        </w:rPr>
        <w:t>skills</w:t>
      </w:r>
      <w:r w:rsidRPr="005827DA">
        <w:rPr>
          <w:rFonts w:ascii="Arial" w:hAnsi="Arial" w:cs="Arial"/>
          <w:spacing w:val="-48"/>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attitudes</w:t>
      </w:r>
      <w:r w:rsidRPr="005827DA">
        <w:rPr>
          <w:rFonts w:ascii="Arial" w:hAnsi="Arial" w:cs="Arial"/>
          <w:spacing w:val="1"/>
          <w:sz w:val="20"/>
          <w:szCs w:val="20"/>
        </w:rPr>
        <w:t xml:space="preserve"> </w:t>
      </w:r>
      <w:r w:rsidRPr="005827DA">
        <w:rPr>
          <w:rFonts w:ascii="Arial" w:hAnsi="Arial" w:cs="Arial"/>
          <w:sz w:val="20"/>
          <w:szCs w:val="20"/>
        </w:rPr>
        <w:t>relevant</w:t>
      </w:r>
      <w:r w:rsidRPr="005827DA">
        <w:rPr>
          <w:rFonts w:ascii="Arial" w:hAnsi="Arial" w:cs="Arial"/>
          <w:spacing w:val="-2"/>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a</w:t>
      </w:r>
      <w:r w:rsidRPr="005827DA">
        <w:rPr>
          <w:rFonts w:ascii="Arial" w:hAnsi="Arial" w:cs="Arial"/>
          <w:spacing w:val="-2"/>
          <w:sz w:val="20"/>
          <w:szCs w:val="20"/>
        </w:rPr>
        <w:t xml:space="preserve"> </w:t>
      </w:r>
      <w:r w:rsidRPr="005827DA">
        <w:rPr>
          <w:rFonts w:ascii="Arial" w:hAnsi="Arial" w:cs="Arial"/>
          <w:sz w:val="20"/>
          <w:szCs w:val="20"/>
        </w:rPr>
        <w:t>flight instructor’s</w:t>
      </w:r>
      <w:r w:rsidRPr="005827DA">
        <w:rPr>
          <w:rFonts w:ascii="Arial" w:hAnsi="Arial" w:cs="Arial"/>
          <w:spacing w:val="-1"/>
          <w:sz w:val="20"/>
          <w:szCs w:val="20"/>
        </w:rPr>
        <w:t xml:space="preserve"> </w:t>
      </w:r>
      <w:r w:rsidRPr="005827DA">
        <w:rPr>
          <w:rFonts w:ascii="Arial" w:hAnsi="Arial" w:cs="Arial"/>
          <w:sz w:val="20"/>
          <w:szCs w:val="20"/>
        </w:rPr>
        <w:t>task.</w:t>
      </w:r>
    </w:p>
    <w:p w14:paraId="7F72C725" w14:textId="77777777" w:rsidR="00F20810" w:rsidRPr="005827DA" w:rsidRDefault="00F20810" w:rsidP="005827DA">
      <w:pPr>
        <w:pStyle w:val="ListParagraph"/>
        <w:numPr>
          <w:ilvl w:val="0"/>
          <w:numId w:val="240"/>
        </w:numPr>
        <w:tabs>
          <w:tab w:val="left" w:pos="90"/>
        </w:tabs>
        <w:spacing w:before="121" w:line="276" w:lineRule="auto"/>
        <w:ind w:right="68" w:hanging="436"/>
        <w:jc w:val="both"/>
        <w:rPr>
          <w:rFonts w:ascii="Arial" w:hAnsi="Arial" w:cs="Arial"/>
          <w:sz w:val="20"/>
          <w:szCs w:val="20"/>
        </w:rPr>
      </w:pPr>
      <w:r w:rsidRPr="005827DA">
        <w:rPr>
          <w:rFonts w:ascii="Arial" w:hAnsi="Arial" w:cs="Arial"/>
          <w:sz w:val="20"/>
          <w:szCs w:val="20"/>
        </w:rPr>
        <w:t>STRUCTURE</w:t>
      </w:r>
      <w:r w:rsidRPr="005827DA">
        <w:rPr>
          <w:rFonts w:ascii="Arial" w:hAnsi="Arial" w:cs="Arial"/>
          <w:spacing w:val="-4"/>
          <w:sz w:val="20"/>
          <w:szCs w:val="20"/>
        </w:rPr>
        <w:t xml:space="preserve"> </w:t>
      </w:r>
      <w:r w:rsidRPr="005827DA">
        <w:rPr>
          <w:rFonts w:ascii="Arial" w:hAnsi="Arial" w:cs="Arial"/>
          <w:sz w:val="20"/>
          <w:szCs w:val="20"/>
        </w:rPr>
        <w:t>AND</w:t>
      </w:r>
      <w:r w:rsidRPr="005827DA">
        <w:rPr>
          <w:rFonts w:ascii="Arial" w:hAnsi="Arial" w:cs="Arial"/>
          <w:spacing w:val="-6"/>
          <w:sz w:val="20"/>
          <w:szCs w:val="20"/>
        </w:rPr>
        <w:t xml:space="preserve"> </w:t>
      </w:r>
      <w:r w:rsidRPr="005827DA">
        <w:rPr>
          <w:rFonts w:ascii="Arial" w:hAnsi="Arial" w:cs="Arial"/>
          <w:sz w:val="20"/>
          <w:szCs w:val="20"/>
        </w:rPr>
        <w:t>CONTENT</w:t>
      </w:r>
    </w:p>
    <w:p w14:paraId="714ED91D" w14:textId="77777777" w:rsidR="00F20810" w:rsidRPr="005827DA" w:rsidRDefault="00F20810" w:rsidP="005827DA">
      <w:pPr>
        <w:pStyle w:val="BodyText"/>
        <w:tabs>
          <w:tab w:val="left" w:pos="90"/>
        </w:tabs>
        <w:spacing w:before="121" w:line="276" w:lineRule="auto"/>
        <w:ind w:left="706"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training</w:t>
      </w:r>
      <w:r w:rsidRPr="005827DA">
        <w:rPr>
          <w:rFonts w:ascii="Arial" w:hAnsi="Arial" w:cs="Arial"/>
          <w:spacing w:val="-2"/>
          <w:sz w:val="20"/>
          <w:szCs w:val="20"/>
        </w:rPr>
        <w:t xml:space="preserve"> </w:t>
      </w:r>
      <w:r w:rsidRPr="005827DA">
        <w:rPr>
          <w:rFonts w:ascii="Arial" w:hAnsi="Arial" w:cs="Arial"/>
          <w:sz w:val="20"/>
          <w:szCs w:val="20"/>
        </w:rPr>
        <w:t>course</w:t>
      </w:r>
      <w:r w:rsidRPr="005827DA">
        <w:rPr>
          <w:rFonts w:ascii="Arial" w:hAnsi="Arial" w:cs="Arial"/>
          <w:spacing w:val="-4"/>
          <w:sz w:val="20"/>
          <w:szCs w:val="20"/>
        </w:rPr>
        <w:t xml:space="preserve"> </w:t>
      </w:r>
      <w:r w:rsidRPr="005827DA">
        <w:rPr>
          <w:rFonts w:ascii="Arial" w:hAnsi="Arial" w:cs="Arial"/>
          <w:sz w:val="20"/>
          <w:szCs w:val="20"/>
        </w:rPr>
        <w:t>consists</w:t>
      </w:r>
      <w:r w:rsidRPr="005827DA">
        <w:rPr>
          <w:rFonts w:ascii="Arial" w:hAnsi="Arial" w:cs="Arial"/>
          <w:spacing w:val="-1"/>
          <w:sz w:val="20"/>
          <w:szCs w:val="20"/>
        </w:rPr>
        <w:t xml:space="preserve"> </w:t>
      </w:r>
      <w:r w:rsidRPr="005827DA">
        <w:rPr>
          <w:rFonts w:ascii="Arial" w:hAnsi="Arial" w:cs="Arial"/>
          <w:sz w:val="20"/>
          <w:szCs w:val="20"/>
        </w:rPr>
        <w:t>of</w:t>
      </w:r>
      <w:r w:rsidRPr="005827DA">
        <w:rPr>
          <w:rFonts w:ascii="Arial" w:hAnsi="Arial" w:cs="Arial"/>
          <w:spacing w:val="-4"/>
          <w:sz w:val="20"/>
          <w:szCs w:val="20"/>
        </w:rPr>
        <w:t xml:space="preserve"> </w:t>
      </w:r>
      <w:r w:rsidRPr="005827DA">
        <w:rPr>
          <w:rFonts w:ascii="Arial" w:hAnsi="Arial" w:cs="Arial"/>
          <w:sz w:val="20"/>
          <w:szCs w:val="20"/>
        </w:rPr>
        <w:t>two parts:</w:t>
      </w:r>
    </w:p>
    <w:p w14:paraId="78EC2558" w14:textId="77777777" w:rsidR="00F20810" w:rsidRPr="005827DA" w:rsidRDefault="00F20810" w:rsidP="005827DA">
      <w:pPr>
        <w:pStyle w:val="ListParagraph"/>
        <w:numPr>
          <w:ilvl w:val="1"/>
          <w:numId w:val="240"/>
        </w:numPr>
        <w:tabs>
          <w:tab w:val="left" w:pos="90"/>
          <w:tab w:val="left" w:pos="1273"/>
          <w:tab w:val="left" w:pos="1274"/>
        </w:tabs>
        <w:spacing w:line="276" w:lineRule="auto"/>
        <w:ind w:right="68" w:hanging="436"/>
        <w:jc w:val="both"/>
        <w:rPr>
          <w:rFonts w:ascii="Arial" w:hAnsi="Arial" w:cs="Arial"/>
          <w:sz w:val="20"/>
          <w:szCs w:val="20"/>
        </w:rPr>
      </w:pPr>
      <w:r w:rsidRPr="005827DA">
        <w:rPr>
          <w:rFonts w:ascii="Arial" w:hAnsi="Arial" w:cs="Arial"/>
          <w:sz w:val="20"/>
          <w:szCs w:val="20"/>
        </w:rPr>
        <w:t>PART</w:t>
      </w:r>
      <w:r w:rsidRPr="005827DA">
        <w:rPr>
          <w:rFonts w:ascii="Arial" w:hAnsi="Arial" w:cs="Arial"/>
          <w:spacing w:val="-4"/>
          <w:sz w:val="20"/>
          <w:szCs w:val="20"/>
        </w:rPr>
        <w:t xml:space="preserve"> </w:t>
      </w:r>
      <w:r w:rsidRPr="005827DA">
        <w:rPr>
          <w:rFonts w:ascii="Arial" w:hAnsi="Arial" w:cs="Arial"/>
          <w:sz w:val="20"/>
          <w:szCs w:val="20"/>
        </w:rPr>
        <w:t>1</w:t>
      </w:r>
      <w:r w:rsidRPr="005827DA">
        <w:rPr>
          <w:rFonts w:ascii="Arial" w:hAnsi="Arial" w:cs="Arial"/>
          <w:spacing w:val="-2"/>
          <w:sz w:val="20"/>
          <w:szCs w:val="20"/>
        </w:rPr>
        <w:t xml:space="preserve"> </w:t>
      </w:r>
      <w:r w:rsidRPr="005827DA">
        <w:rPr>
          <w:rFonts w:ascii="Arial" w:hAnsi="Arial" w:cs="Arial"/>
          <w:sz w:val="20"/>
          <w:szCs w:val="20"/>
        </w:rPr>
        <w:t>—</w:t>
      </w:r>
      <w:r w:rsidRPr="005827DA">
        <w:rPr>
          <w:rFonts w:ascii="Arial" w:hAnsi="Arial" w:cs="Arial"/>
          <w:spacing w:val="-4"/>
          <w:sz w:val="20"/>
          <w:szCs w:val="20"/>
        </w:rPr>
        <w:t xml:space="preserve"> </w:t>
      </w:r>
      <w:r w:rsidRPr="005827DA">
        <w:rPr>
          <w:rFonts w:ascii="Arial" w:hAnsi="Arial" w:cs="Arial"/>
          <w:sz w:val="20"/>
          <w:szCs w:val="20"/>
        </w:rPr>
        <w:t>THEORETICAL</w:t>
      </w:r>
      <w:r w:rsidRPr="005827DA">
        <w:rPr>
          <w:rFonts w:ascii="Arial" w:hAnsi="Arial" w:cs="Arial"/>
          <w:spacing w:val="-4"/>
          <w:sz w:val="20"/>
          <w:szCs w:val="20"/>
        </w:rPr>
        <w:t xml:space="preserve"> </w:t>
      </w:r>
      <w:r w:rsidRPr="005827DA">
        <w:rPr>
          <w:rFonts w:ascii="Arial" w:hAnsi="Arial" w:cs="Arial"/>
          <w:sz w:val="20"/>
          <w:szCs w:val="20"/>
        </w:rPr>
        <w:t>KNOWLEDGE</w:t>
      </w:r>
      <w:r w:rsidRPr="005827DA">
        <w:rPr>
          <w:rFonts w:ascii="Arial" w:hAnsi="Arial" w:cs="Arial"/>
          <w:spacing w:val="-5"/>
          <w:sz w:val="20"/>
          <w:szCs w:val="20"/>
        </w:rPr>
        <w:t xml:space="preserve"> </w:t>
      </w:r>
      <w:r w:rsidRPr="005827DA">
        <w:rPr>
          <w:rFonts w:ascii="Arial" w:hAnsi="Arial" w:cs="Arial"/>
          <w:sz w:val="20"/>
          <w:szCs w:val="20"/>
        </w:rPr>
        <w:t>INSTRUCTION</w:t>
      </w:r>
    </w:p>
    <w:p w14:paraId="16618BE5" w14:textId="57D25EBD" w:rsidR="00F20810" w:rsidRPr="005827DA" w:rsidRDefault="005827DA" w:rsidP="005827DA">
      <w:pPr>
        <w:pStyle w:val="BodyText"/>
        <w:tabs>
          <w:tab w:val="left" w:pos="90"/>
        </w:tabs>
        <w:spacing w:line="276" w:lineRule="auto"/>
        <w:ind w:left="882" w:right="68" w:hanging="436"/>
        <w:jc w:val="both"/>
        <w:rPr>
          <w:rFonts w:ascii="Arial" w:hAnsi="Arial" w:cs="Arial"/>
          <w:sz w:val="20"/>
          <w:szCs w:val="20"/>
        </w:rPr>
      </w:pPr>
      <w:r>
        <w:rPr>
          <w:rFonts w:ascii="Arial" w:hAnsi="Arial" w:cs="Arial"/>
          <w:sz w:val="20"/>
          <w:szCs w:val="20"/>
        </w:rPr>
        <w:tab/>
      </w:r>
      <w:r w:rsidR="00F20810" w:rsidRPr="005827DA">
        <w:rPr>
          <w:rFonts w:ascii="Arial" w:hAnsi="Arial" w:cs="Arial"/>
          <w:sz w:val="20"/>
          <w:szCs w:val="20"/>
        </w:rPr>
        <w:t>Part</w:t>
      </w:r>
      <w:r w:rsidR="00F20810" w:rsidRPr="005827DA">
        <w:rPr>
          <w:rFonts w:ascii="Arial" w:hAnsi="Arial" w:cs="Arial"/>
          <w:spacing w:val="-4"/>
          <w:sz w:val="20"/>
          <w:szCs w:val="20"/>
        </w:rPr>
        <w:t xml:space="preserve"> </w:t>
      </w:r>
      <w:r w:rsidR="00F20810" w:rsidRPr="005827DA">
        <w:rPr>
          <w:rFonts w:ascii="Arial" w:hAnsi="Arial" w:cs="Arial"/>
          <w:sz w:val="20"/>
          <w:szCs w:val="20"/>
        </w:rPr>
        <w:t>1</w:t>
      </w:r>
      <w:r w:rsidR="00F20810" w:rsidRPr="005827DA">
        <w:rPr>
          <w:rFonts w:ascii="Arial" w:hAnsi="Arial" w:cs="Arial"/>
          <w:spacing w:val="-1"/>
          <w:sz w:val="20"/>
          <w:szCs w:val="20"/>
        </w:rPr>
        <w:t xml:space="preserve"> </w:t>
      </w:r>
      <w:r w:rsidR="00F20810" w:rsidRPr="005827DA">
        <w:rPr>
          <w:rFonts w:ascii="Arial" w:hAnsi="Arial" w:cs="Arial"/>
          <w:sz w:val="20"/>
          <w:szCs w:val="20"/>
        </w:rPr>
        <w:t>includes</w:t>
      </w:r>
      <w:r w:rsidR="00F20810" w:rsidRPr="005827DA">
        <w:rPr>
          <w:rFonts w:ascii="Arial" w:hAnsi="Arial" w:cs="Arial"/>
          <w:spacing w:val="-3"/>
          <w:sz w:val="20"/>
          <w:szCs w:val="20"/>
        </w:rPr>
        <w:t xml:space="preserve"> </w:t>
      </w:r>
      <w:r w:rsidR="00F20810" w:rsidRPr="005827DA">
        <w:rPr>
          <w:rFonts w:ascii="Arial" w:hAnsi="Arial" w:cs="Arial"/>
          <w:sz w:val="20"/>
          <w:szCs w:val="20"/>
        </w:rPr>
        <w:t>the</w:t>
      </w:r>
      <w:r w:rsidR="00F20810" w:rsidRPr="005827DA">
        <w:rPr>
          <w:rFonts w:ascii="Arial" w:hAnsi="Arial" w:cs="Arial"/>
          <w:spacing w:val="-3"/>
          <w:sz w:val="20"/>
          <w:szCs w:val="20"/>
        </w:rPr>
        <w:t xml:space="preserve"> </w:t>
      </w:r>
      <w:r w:rsidR="00F20810" w:rsidRPr="005827DA">
        <w:rPr>
          <w:rFonts w:ascii="Arial" w:hAnsi="Arial" w:cs="Arial"/>
          <w:sz w:val="20"/>
          <w:szCs w:val="20"/>
        </w:rPr>
        <w:t>training</w:t>
      </w:r>
      <w:r w:rsidR="00F20810" w:rsidRPr="005827DA">
        <w:rPr>
          <w:rFonts w:ascii="Arial" w:hAnsi="Arial" w:cs="Arial"/>
          <w:spacing w:val="-4"/>
          <w:sz w:val="20"/>
          <w:szCs w:val="20"/>
        </w:rPr>
        <w:t xml:space="preserve"> </w:t>
      </w:r>
      <w:r w:rsidR="00F20810" w:rsidRPr="005827DA">
        <w:rPr>
          <w:rFonts w:ascii="Arial" w:hAnsi="Arial" w:cs="Arial"/>
          <w:sz w:val="20"/>
          <w:szCs w:val="20"/>
        </w:rPr>
        <w:t>specified</w:t>
      </w:r>
      <w:r w:rsidR="00F20810" w:rsidRPr="005827DA">
        <w:rPr>
          <w:rFonts w:ascii="Arial" w:hAnsi="Arial" w:cs="Arial"/>
          <w:spacing w:val="-1"/>
          <w:sz w:val="20"/>
          <w:szCs w:val="20"/>
        </w:rPr>
        <w:t xml:space="preserve"> </w:t>
      </w:r>
      <w:r w:rsidR="00F20810" w:rsidRPr="005827DA">
        <w:rPr>
          <w:rFonts w:ascii="Arial" w:hAnsi="Arial" w:cs="Arial"/>
          <w:sz w:val="20"/>
          <w:szCs w:val="20"/>
        </w:rPr>
        <w:t>in</w:t>
      </w:r>
      <w:r w:rsidR="00F20810" w:rsidRPr="005827DA">
        <w:rPr>
          <w:rFonts w:ascii="Arial" w:hAnsi="Arial" w:cs="Arial"/>
          <w:spacing w:val="-2"/>
          <w:sz w:val="20"/>
          <w:szCs w:val="20"/>
        </w:rPr>
        <w:t xml:space="preserve"> </w:t>
      </w:r>
      <w:r w:rsidR="00F20810" w:rsidRPr="005827DA">
        <w:rPr>
          <w:rFonts w:ascii="Arial" w:hAnsi="Arial" w:cs="Arial"/>
          <w:sz w:val="20"/>
          <w:szCs w:val="20"/>
        </w:rPr>
        <w:t>points (2)</w:t>
      </w:r>
      <w:r w:rsidR="00F20810" w:rsidRPr="005827DA">
        <w:rPr>
          <w:rFonts w:ascii="Arial" w:hAnsi="Arial" w:cs="Arial"/>
          <w:spacing w:val="-1"/>
          <w:sz w:val="20"/>
          <w:szCs w:val="20"/>
        </w:rPr>
        <w:t xml:space="preserve"> </w:t>
      </w:r>
      <w:r w:rsidR="00F20810" w:rsidRPr="005827DA">
        <w:rPr>
          <w:rFonts w:ascii="Arial" w:hAnsi="Arial" w:cs="Arial"/>
          <w:sz w:val="20"/>
          <w:szCs w:val="20"/>
        </w:rPr>
        <w:t>and</w:t>
      </w:r>
      <w:r w:rsidR="00F20810" w:rsidRPr="005827DA">
        <w:rPr>
          <w:rFonts w:ascii="Arial" w:hAnsi="Arial" w:cs="Arial"/>
          <w:spacing w:val="-4"/>
          <w:sz w:val="20"/>
          <w:szCs w:val="20"/>
        </w:rPr>
        <w:t xml:space="preserve"> </w:t>
      </w:r>
      <w:r w:rsidR="00F20810" w:rsidRPr="005827DA">
        <w:rPr>
          <w:rFonts w:ascii="Arial" w:hAnsi="Arial" w:cs="Arial"/>
          <w:sz w:val="20"/>
          <w:szCs w:val="20"/>
        </w:rPr>
        <w:t>(3)</w:t>
      </w:r>
      <w:r w:rsidR="00F20810" w:rsidRPr="005827DA">
        <w:rPr>
          <w:rFonts w:ascii="Arial" w:hAnsi="Arial" w:cs="Arial"/>
          <w:spacing w:val="-4"/>
          <w:sz w:val="20"/>
          <w:szCs w:val="20"/>
        </w:rPr>
        <w:t xml:space="preserve"> </w:t>
      </w:r>
      <w:r w:rsidR="00F20810" w:rsidRPr="005827DA">
        <w:rPr>
          <w:rFonts w:ascii="Arial" w:hAnsi="Arial" w:cs="Arial"/>
          <w:sz w:val="20"/>
          <w:szCs w:val="20"/>
        </w:rPr>
        <w:t>of</w:t>
      </w:r>
      <w:r w:rsidR="00F20810" w:rsidRPr="005827DA">
        <w:rPr>
          <w:rFonts w:ascii="Arial" w:hAnsi="Arial" w:cs="Arial"/>
          <w:spacing w:val="-1"/>
          <w:sz w:val="20"/>
          <w:szCs w:val="20"/>
        </w:rPr>
        <w:t xml:space="preserve"> </w:t>
      </w:r>
      <w:r w:rsidR="00F20810" w:rsidRPr="005827DA">
        <w:rPr>
          <w:rFonts w:ascii="Arial" w:hAnsi="Arial" w:cs="Arial"/>
          <w:sz w:val="20"/>
          <w:szCs w:val="20"/>
        </w:rPr>
        <w:t>point</w:t>
      </w:r>
      <w:r w:rsidR="00F20810" w:rsidRPr="005827DA">
        <w:rPr>
          <w:rFonts w:ascii="Arial" w:hAnsi="Arial" w:cs="Arial"/>
          <w:spacing w:val="-1"/>
          <w:sz w:val="20"/>
          <w:szCs w:val="20"/>
        </w:rPr>
        <w:t xml:space="preserve"> </w:t>
      </w:r>
      <w:r w:rsidR="00F20810" w:rsidRPr="005827DA">
        <w:rPr>
          <w:rFonts w:ascii="Arial" w:hAnsi="Arial" w:cs="Arial"/>
          <w:sz w:val="20"/>
          <w:szCs w:val="20"/>
        </w:rPr>
        <w:t>BFCL.330(b).</w:t>
      </w:r>
    </w:p>
    <w:p w14:paraId="37408B76" w14:textId="77777777" w:rsidR="00F20810" w:rsidRPr="005827DA" w:rsidRDefault="00F20810" w:rsidP="005827DA">
      <w:pPr>
        <w:pStyle w:val="BodyText"/>
        <w:tabs>
          <w:tab w:val="left" w:pos="90"/>
        </w:tabs>
        <w:spacing w:before="56" w:line="276" w:lineRule="auto"/>
        <w:ind w:left="1273"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3"/>
          <w:sz w:val="20"/>
          <w:szCs w:val="20"/>
        </w:rPr>
        <w:t xml:space="preserve"> </w:t>
      </w:r>
      <w:r w:rsidRPr="005827DA">
        <w:rPr>
          <w:rFonts w:ascii="Arial" w:hAnsi="Arial" w:cs="Arial"/>
          <w:sz w:val="20"/>
          <w:szCs w:val="20"/>
        </w:rPr>
        <w:t>content</w:t>
      </w:r>
      <w:r w:rsidRPr="005827DA">
        <w:rPr>
          <w:rFonts w:ascii="Arial" w:hAnsi="Arial" w:cs="Arial"/>
          <w:spacing w:val="-4"/>
          <w:sz w:val="20"/>
          <w:szCs w:val="20"/>
        </w:rPr>
        <w:t xml:space="preserve"> </w:t>
      </w:r>
      <w:r w:rsidRPr="005827DA">
        <w:rPr>
          <w:rFonts w:ascii="Arial" w:hAnsi="Arial" w:cs="Arial"/>
          <w:sz w:val="20"/>
          <w:szCs w:val="20"/>
        </w:rPr>
        <w:t>of</w:t>
      </w:r>
      <w:r w:rsidRPr="005827DA">
        <w:rPr>
          <w:rFonts w:ascii="Arial" w:hAnsi="Arial" w:cs="Arial"/>
          <w:spacing w:val="-3"/>
          <w:sz w:val="20"/>
          <w:szCs w:val="20"/>
        </w:rPr>
        <w:t xml:space="preserve"> </w:t>
      </w: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teaching</w:t>
      </w:r>
      <w:r w:rsidRPr="005827DA">
        <w:rPr>
          <w:rFonts w:ascii="Arial" w:hAnsi="Arial" w:cs="Arial"/>
          <w:spacing w:val="-4"/>
          <w:sz w:val="20"/>
          <w:szCs w:val="20"/>
        </w:rPr>
        <w:t xml:space="preserve"> </w:t>
      </w:r>
      <w:r w:rsidRPr="005827DA">
        <w:rPr>
          <w:rFonts w:ascii="Arial" w:hAnsi="Arial" w:cs="Arial"/>
          <w:sz w:val="20"/>
          <w:szCs w:val="20"/>
        </w:rPr>
        <w:t>and</w:t>
      </w:r>
      <w:r w:rsidRPr="005827DA">
        <w:rPr>
          <w:rFonts w:ascii="Arial" w:hAnsi="Arial" w:cs="Arial"/>
          <w:spacing w:val="-3"/>
          <w:sz w:val="20"/>
          <w:szCs w:val="20"/>
        </w:rPr>
        <w:t xml:space="preserve"> </w:t>
      </w:r>
      <w:r w:rsidRPr="005827DA">
        <w:rPr>
          <w:rFonts w:ascii="Arial" w:hAnsi="Arial" w:cs="Arial"/>
          <w:sz w:val="20"/>
          <w:szCs w:val="20"/>
        </w:rPr>
        <w:t>learning</w:t>
      </w:r>
      <w:r w:rsidRPr="005827DA">
        <w:rPr>
          <w:rFonts w:ascii="Arial" w:hAnsi="Arial" w:cs="Arial"/>
          <w:spacing w:val="-4"/>
          <w:sz w:val="20"/>
          <w:szCs w:val="20"/>
        </w:rPr>
        <w:t xml:space="preserve"> </w:t>
      </w:r>
      <w:r w:rsidRPr="005827DA">
        <w:rPr>
          <w:rFonts w:ascii="Arial" w:hAnsi="Arial" w:cs="Arial"/>
          <w:sz w:val="20"/>
          <w:szCs w:val="20"/>
        </w:rPr>
        <w:t>part</w:t>
      </w:r>
      <w:r w:rsidRPr="005827DA">
        <w:rPr>
          <w:rFonts w:ascii="Arial" w:hAnsi="Arial" w:cs="Arial"/>
          <w:spacing w:val="-2"/>
          <w:sz w:val="20"/>
          <w:szCs w:val="20"/>
        </w:rPr>
        <w:t xml:space="preserve"> </w:t>
      </w:r>
      <w:r w:rsidRPr="005827DA">
        <w:rPr>
          <w:rFonts w:ascii="Arial" w:hAnsi="Arial" w:cs="Arial"/>
          <w:sz w:val="20"/>
          <w:szCs w:val="20"/>
        </w:rPr>
        <w:t>of</w:t>
      </w:r>
      <w:r w:rsidRPr="005827DA">
        <w:rPr>
          <w:rFonts w:ascii="Arial" w:hAnsi="Arial" w:cs="Arial"/>
          <w:spacing w:val="-2"/>
          <w:sz w:val="20"/>
          <w:szCs w:val="20"/>
        </w:rPr>
        <w:t xml:space="preserve"> </w:t>
      </w:r>
      <w:r w:rsidRPr="005827DA">
        <w:rPr>
          <w:rFonts w:ascii="Arial" w:hAnsi="Arial" w:cs="Arial"/>
          <w:sz w:val="20"/>
          <w:szCs w:val="20"/>
        </w:rPr>
        <w:t>the</w:t>
      </w:r>
      <w:r w:rsidRPr="005827DA">
        <w:rPr>
          <w:rFonts w:ascii="Arial" w:hAnsi="Arial" w:cs="Arial"/>
          <w:spacing w:val="-3"/>
          <w:sz w:val="20"/>
          <w:szCs w:val="20"/>
        </w:rPr>
        <w:t xml:space="preserve"> </w:t>
      </w:r>
      <w:r w:rsidRPr="005827DA">
        <w:rPr>
          <w:rFonts w:ascii="Arial" w:hAnsi="Arial" w:cs="Arial"/>
          <w:sz w:val="20"/>
          <w:szCs w:val="20"/>
        </w:rPr>
        <w:t>FI(B)</w:t>
      </w:r>
      <w:r w:rsidRPr="005827DA">
        <w:rPr>
          <w:rFonts w:ascii="Arial" w:hAnsi="Arial" w:cs="Arial"/>
          <w:spacing w:val="-2"/>
          <w:sz w:val="20"/>
          <w:szCs w:val="20"/>
        </w:rPr>
        <w:t xml:space="preserve"> </w:t>
      </w:r>
      <w:r w:rsidRPr="005827DA">
        <w:rPr>
          <w:rFonts w:ascii="Arial" w:hAnsi="Arial" w:cs="Arial"/>
          <w:sz w:val="20"/>
          <w:szCs w:val="20"/>
        </w:rPr>
        <w:t>course,</w:t>
      </w:r>
      <w:r w:rsidRPr="005827DA">
        <w:rPr>
          <w:rFonts w:ascii="Arial" w:hAnsi="Arial" w:cs="Arial"/>
          <w:spacing w:val="-3"/>
          <w:sz w:val="20"/>
          <w:szCs w:val="20"/>
        </w:rPr>
        <w:t xml:space="preserve"> </w:t>
      </w:r>
      <w:r w:rsidRPr="005827DA">
        <w:rPr>
          <w:rFonts w:ascii="Arial" w:hAnsi="Arial" w:cs="Arial"/>
          <w:sz w:val="20"/>
          <w:szCs w:val="20"/>
        </w:rPr>
        <w:t>as</w:t>
      </w:r>
      <w:r w:rsidRPr="005827DA">
        <w:rPr>
          <w:rFonts w:ascii="Arial" w:hAnsi="Arial" w:cs="Arial"/>
          <w:spacing w:val="-5"/>
          <w:sz w:val="20"/>
          <w:szCs w:val="20"/>
        </w:rPr>
        <w:t xml:space="preserve"> </w:t>
      </w:r>
      <w:r w:rsidRPr="005827DA">
        <w:rPr>
          <w:rFonts w:ascii="Arial" w:hAnsi="Arial" w:cs="Arial"/>
          <w:sz w:val="20"/>
          <w:szCs w:val="20"/>
        </w:rPr>
        <w:t>established</w:t>
      </w:r>
      <w:r w:rsidRPr="005827DA">
        <w:rPr>
          <w:rFonts w:ascii="Arial" w:hAnsi="Arial" w:cs="Arial"/>
          <w:spacing w:val="-4"/>
          <w:sz w:val="20"/>
          <w:szCs w:val="20"/>
        </w:rPr>
        <w:t xml:space="preserve"> </w:t>
      </w:r>
      <w:r w:rsidRPr="005827DA">
        <w:rPr>
          <w:rFonts w:ascii="Arial" w:hAnsi="Arial" w:cs="Arial"/>
          <w:sz w:val="20"/>
          <w:szCs w:val="20"/>
        </w:rPr>
        <w:t>in</w:t>
      </w:r>
      <w:r w:rsidRPr="005827DA">
        <w:rPr>
          <w:rFonts w:ascii="Arial" w:hAnsi="Arial" w:cs="Arial"/>
          <w:spacing w:val="-3"/>
          <w:sz w:val="20"/>
          <w:szCs w:val="20"/>
        </w:rPr>
        <w:t xml:space="preserve"> </w:t>
      </w:r>
      <w:r w:rsidRPr="005827DA">
        <w:rPr>
          <w:rFonts w:ascii="Arial" w:hAnsi="Arial" w:cs="Arial"/>
          <w:sz w:val="20"/>
          <w:szCs w:val="20"/>
        </w:rPr>
        <w:t>AMC1</w:t>
      </w:r>
      <w:r w:rsidRPr="005827DA">
        <w:rPr>
          <w:rFonts w:ascii="Arial" w:hAnsi="Arial" w:cs="Arial"/>
          <w:spacing w:val="-47"/>
          <w:sz w:val="20"/>
          <w:szCs w:val="20"/>
        </w:rPr>
        <w:t xml:space="preserve"> </w:t>
      </w:r>
      <w:r w:rsidRPr="005827DA">
        <w:rPr>
          <w:rFonts w:ascii="Arial" w:hAnsi="Arial" w:cs="Arial"/>
          <w:sz w:val="20"/>
          <w:szCs w:val="20"/>
        </w:rPr>
        <w:t>BFCL.325,</w:t>
      </w:r>
      <w:r w:rsidRPr="005827DA">
        <w:rPr>
          <w:rFonts w:ascii="Arial" w:hAnsi="Arial" w:cs="Arial"/>
          <w:spacing w:val="-6"/>
          <w:sz w:val="20"/>
          <w:szCs w:val="20"/>
        </w:rPr>
        <w:t xml:space="preserve"> </w:t>
      </w:r>
      <w:r w:rsidRPr="005827DA">
        <w:rPr>
          <w:rFonts w:ascii="Arial" w:hAnsi="Arial" w:cs="Arial"/>
          <w:sz w:val="20"/>
          <w:szCs w:val="20"/>
        </w:rPr>
        <w:t>should</w:t>
      </w:r>
      <w:r w:rsidRPr="005827DA">
        <w:rPr>
          <w:rFonts w:ascii="Arial" w:hAnsi="Arial" w:cs="Arial"/>
          <w:spacing w:val="-7"/>
          <w:sz w:val="20"/>
          <w:szCs w:val="20"/>
        </w:rPr>
        <w:t xml:space="preserve"> </w:t>
      </w:r>
      <w:r w:rsidRPr="005827DA">
        <w:rPr>
          <w:rFonts w:ascii="Arial" w:hAnsi="Arial" w:cs="Arial"/>
          <w:sz w:val="20"/>
          <w:szCs w:val="20"/>
        </w:rPr>
        <w:t>be</w:t>
      </w:r>
      <w:r w:rsidRPr="005827DA">
        <w:rPr>
          <w:rFonts w:ascii="Arial" w:hAnsi="Arial" w:cs="Arial"/>
          <w:spacing w:val="-5"/>
          <w:sz w:val="20"/>
          <w:szCs w:val="20"/>
        </w:rPr>
        <w:t xml:space="preserve"> </w:t>
      </w:r>
      <w:r w:rsidRPr="005827DA">
        <w:rPr>
          <w:rFonts w:ascii="Arial" w:hAnsi="Arial" w:cs="Arial"/>
          <w:sz w:val="20"/>
          <w:szCs w:val="20"/>
        </w:rPr>
        <w:t>used</w:t>
      </w:r>
      <w:r w:rsidRPr="005827DA">
        <w:rPr>
          <w:rFonts w:ascii="Arial" w:hAnsi="Arial" w:cs="Arial"/>
          <w:spacing w:val="-7"/>
          <w:sz w:val="20"/>
          <w:szCs w:val="20"/>
        </w:rPr>
        <w:t xml:space="preserve"> </w:t>
      </w:r>
      <w:r w:rsidRPr="005827DA">
        <w:rPr>
          <w:rFonts w:ascii="Arial" w:hAnsi="Arial" w:cs="Arial"/>
          <w:sz w:val="20"/>
          <w:szCs w:val="20"/>
        </w:rPr>
        <w:t>as</w:t>
      </w:r>
      <w:r w:rsidRPr="005827DA">
        <w:rPr>
          <w:rFonts w:ascii="Arial" w:hAnsi="Arial" w:cs="Arial"/>
          <w:spacing w:val="-6"/>
          <w:sz w:val="20"/>
          <w:szCs w:val="20"/>
        </w:rPr>
        <w:t xml:space="preserve"> </w:t>
      </w:r>
      <w:r w:rsidRPr="005827DA">
        <w:rPr>
          <w:rFonts w:ascii="Arial" w:hAnsi="Arial" w:cs="Arial"/>
          <w:sz w:val="20"/>
          <w:szCs w:val="20"/>
        </w:rPr>
        <w:t>guidance</w:t>
      </w:r>
      <w:r w:rsidRPr="005827DA">
        <w:rPr>
          <w:rFonts w:ascii="Arial" w:hAnsi="Arial" w:cs="Arial"/>
          <w:spacing w:val="-5"/>
          <w:sz w:val="20"/>
          <w:szCs w:val="20"/>
        </w:rPr>
        <w:t xml:space="preserve"> </w:t>
      </w:r>
      <w:r w:rsidRPr="005827DA">
        <w:rPr>
          <w:rFonts w:ascii="Arial" w:hAnsi="Arial" w:cs="Arial"/>
          <w:sz w:val="20"/>
          <w:szCs w:val="20"/>
        </w:rPr>
        <w:t>to</w:t>
      </w:r>
      <w:r w:rsidRPr="005827DA">
        <w:rPr>
          <w:rFonts w:ascii="Arial" w:hAnsi="Arial" w:cs="Arial"/>
          <w:spacing w:val="-5"/>
          <w:sz w:val="20"/>
          <w:szCs w:val="20"/>
        </w:rPr>
        <w:t xml:space="preserve"> </w:t>
      </w:r>
      <w:r w:rsidRPr="005827DA">
        <w:rPr>
          <w:rFonts w:ascii="Arial" w:hAnsi="Arial" w:cs="Arial"/>
          <w:sz w:val="20"/>
          <w:szCs w:val="20"/>
        </w:rPr>
        <w:t>develop</w:t>
      </w:r>
      <w:r w:rsidRPr="005827DA">
        <w:rPr>
          <w:rFonts w:ascii="Arial" w:hAnsi="Arial" w:cs="Arial"/>
          <w:spacing w:val="-6"/>
          <w:sz w:val="20"/>
          <w:szCs w:val="20"/>
        </w:rPr>
        <w:t xml:space="preserve"> </w:t>
      </w:r>
      <w:r w:rsidRPr="005827DA">
        <w:rPr>
          <w:rFonts w:ascii="Arial" w:hAnsi="Arial" w:cs="Arial"/>
          <w:sz w:val="20"/>
          <w:szCs w:val="20"/>
        </w:rPr>
        <w:t>the</w:t>
      </w:r>
      <w:r w:rsidRPr="005827DA">
        <w:rPr>
          <w:rFonts w:ascii="Arial" w:hAnsi="Arial" w:cs="Arial"/>
          <w:spacing w:val="-6"/>
          <w:sz w:val="20"/>
          <w:szCs w:val="20"/>
        </w:rPr>
        <w:t xml:space="preserve"> </w:t>
      </w:r>
      <w:r w:rsidRPr="005827DA">
        <w:rPr>
          <w:rFonts w:ascii="Arial" w:hAnsi="Arial" w:cs="Arial"/>
          <w:sz w:val="20"/>
          <w:szCs w:val="20"/>
        </w:rPr>
        <w:t>syllabus</w:t>
      </w:r>
      <w:r w:rsidRPr="005827DA">
        <w:rPr>
          <w:rFonts w:ascii="Arial" w:hAnsi="Arial" w:cs="Arial"/>
          <w:spacing w:val="-7"/>
          <w:sz w:val="20"/>
          <w:szCs w:val="20"/>
        </w:rPr>
        <w:t xml:space="preserve"> </w:t>
      </w:r>
      <w:r w:rsidRPr="005827DA">
        <w:rPr>
          <w:rFonts w:ascii="Arial" w:hAnsi="Arial" w:cs="Arial"/>
          <w:sz w:val="20"/>
          <w:szCs w:val="20"/>
        </w:rPr>
        <w:t>for</w:t>
      </w:r>
      <w:r w:rsidRPr="005827DA">
        <w:rPr>
          <w:rFonts w:ascii="Arial" w:hAnsi="Arial" w:cs="Arial"/>
          <w:spacing w:val="-6"/>
          <w:sz w:val="20"/>
          <w:szCs w:val="20"/>
        </w:rPr>
        <w:t xml:space="preserve"> </w:t>
      </w:r>
      <w:r w:rsidRPr="005827DA">
        <w:rPr>
          <w:rFonts w:ascii="Arial" w:hAnsi="Arial" w:cs="Arial"/>
          <w:sz w:val="20"/>
          <w:szCs w:val="20"/>
        </w:rPr>
        <w:t>the</w:t>
      </w:r>
      <w:r w:rsidRPr="005827DA">
        <w:rPr>
          <w:rFonts w:ascii="Arial" w:hAnsi="Arial" w:cs="Arial"/>
          <w:spacing w:val="-5"/>
          <w:sz w:val="20"/>
          <w:szCs w:val="20"/>
        </w:rPr>
        <w:t xml:space="preserve"> </w:t>
      </w:r>
      <w:r w:rsidRPr="005827DA">
        <w:rPr>
          <w:rFonts w:ascii="Arial" w:hAnsi="Arial" w:cs="Arial"/>
          <w:sz w:val="20"/>
          <w:szCs w:val="20"/>
        </w:rPr>
        <w:t>training</w:t>
      </w:r>
      <w:r w:rsidRPr="005827DA">
        <w:rPr>
          <w:rFonts w:ascii="Arial" w:hAnsi="Arial" w:cs="Arial"/>
          <w:spacing w:val="-7"/>
          <w:sz w:val="20"/>
          <w:szCs w:val="20"/>
        </w:rPr>
        <w:t xml:space="preserve"> </w:t>
      </w:r>
      <w:r w:rsidRPr="005827DA">
        <w:rPr>
          <w:rFonts w:ascii="Arial" w:hAnsi="Arial" w:cs="Arial"/>
          <w:sz w:val="20"/>
          <w:szCs w:val="20"/>
        </w:rPr>
        <w:t>specified</w:t>
      </w:r>
      <w:r w:rsidRPr="005827DA">
        <w:rPr>
          <w:rFonts w:ascii="Arial" w:hAnsi="Arial" w:cs="Arial"/>
          <w:spacing w:val="-6"/>
          <w:sz w:val="20"/>
          <w:szCs w:val="20"/>
        </w:rPr>
        <w:t xml:space="preserve"> </w:t>
      </w:r>
      <w:r w:rsidRPr="005827DA">
        <w:rPr>
          <w:rFonts w:ascii="Arial" w:hAnsi="Arial" w:cs="Arial"/>
          <w:sz w:val="20"/>
          <w:szCs w:val="20"/>
        </w:rPr>
        <w:t>in</w:t>
      </w:r>
      <w:r w:rsidRPr="005827DA">
        <w:rPr>
          <w:rFonts w:ascii="Arial" w:hAnsi="Arial" w:cs="Arial"/>
          <w:spacing w:val="-47"/>
          <w:sz w:val="20"/>
          <w:szCs w:val="20"/>
        </w:rPr>
        <w:t xml:space="preserve"> </w:t>
      </w:r>
      <w:r w:rsidRPr="005827DA">
        <w:rPr>
          <w:rFonts w:ascii="Arial" w:hAnsi="Arial" w:cs="Arial"/>
          <w:sz w:val="20"/>
          <w:szCs w:val="20"/>
        </w:rPr>
        <w:t>point</w:t>
      </w:r>
      <w:r w:rsidRPr="005827DA">
        <w:rPr>
          <w:rFonts w:ascii="Arial" w:hAnsi="Arial" w:cs="Arial"/>
          <w:spacing w:val="-1"/>
          <w:sz w:val="20"/>
          <w:szCs w:val="20"/>
        </w:rPr>
        <w:t xml:space="preserve"> </w:t>
      </w:r>
      <w:r w:rsidRPr="005827DA">
        <w:rPr>
          <w:rFonts w:ascii="Arial" w:hAnsi="Arial" w:cs="Arial"/>
          <w:sz w:val="20"/>
          <w:szCs w:val="20"/>
        </w:rPr>
        <w:t>BFCL.330(b)(2).</w:t>
      </w:r>
    </w:p>
    <w:p w14:paraId="4232FB58" w14:textId="77777777" w:rsidR="00F20810" w:rsidRPr="005827DA" w:rsidRDefault="00F20810" w:rsidP="005827DA">
      <w:pPr>
        <w:pStyle w:val="ListParagraph"/>
        <w:numPr>
          <w:ilvl w:val="1"/>
          <w:numId w:val="240"/>
        </w:numPr>
        <w:tabs>
          <w:tab w:val="left" w:pos="90"/>
          <w:tab w:val="left" w:pos="1273"/>
          <w:tab w:val="left" w:pos="1274"/>
        </w:tabs>
        <w:spacing w:before="121" w:line="276" w:lineRule="auto"/>
        <w:ind w:right="68" w:hanging="436"/>
        <w:jc w:val="both"/>
        <w:rPr>
          <w:rFonts w:ascii="Arial" w:hAnsi="Arial" w:cs="Arial"/>
          <w:sz w:val="20"/>
          <w:szCs w:val="20"/>
        </w:rPr>
      </w:pPr>
      <w:r w:rsidRPr="005827DA">
        <w:rPr>
          <w:rFonts w:ascii="Arial" w:hAnsi="Arial" w:cs="Arial"/>
          <w:sz w:val="20"/>
          <w:szCs w:val="20"/>
        </w:rPr>
        <w:t>PART</w:t>
      </w:r>
      <w:r w:rsidRPr="005827DA">
        <w:rPr>
          <w:rFonts w:ascii="Arial" w:hAnsi="Arial" w:cs="Arial"/>
          <w:spacing w:val="-4"/>
          <w:sz w:val="20"/>
          <w:szCs w:val="20"/>
        </w:rPr>
        <w:t xml:space="preserve"> </w:t>
      </w:r>
      <w:r w:rsidRPr="005827DA">
        <w:rPr>
          <w:rFonts w:ascii="Arial" w:hAnsi="Arial" w:cs="Arial"/>
          <w:sz w:val="20"/>
          <w:szCs w:val="20"/>
        </w:rPr>
        <w:t>2</w:t>
      </w:r>
      <w:r w:rsidRPr="005827DA">
        <w:rPr>
          <w:rFonts w:ascii="Arial" w:hAnsi="Arial" w:cs="Arial"/>
          <w:spacing w:val="-1"/>
          <w:sz w:val="20"/>
          <w:szCs w:val="20"/>
        </w:rPr>
        <w:t xml:space="preserve"> </w:t>
      </w:r>
      <w:r w:rsidRPr="005827DA">
        <w:rPr>
          <w:rFonts w:ascii="Arial" w:hAnsi="Arial" w:cs="Arial"/>
          <w:sz w:val="20"/>
          <w:szCs w:val="20"/>
        </w:rPr>
        <w:t>—</w:t>
      </w:r>
      <w:r w:rsidRPr="005827DA">
        <w:rPr>
          <w:rFonts w:ascii="Arial" w:hAnsi="Arial" w:cs="Arial"/>
          <w:spacing w:val="-5"/>
          <w:sz w:val="20"/>
          <w:szCs w:val="20"/>
        </w:rPr>
        <w:t xml:space="preserve"> </w:t>
      </w:r>
      <w:r w:rsidRPr="005827DA">
        <w:rPr>
          <w:rFonts w:ascii="Arial" w:hAnsi="Arial" w:cs="Arial"/>
          <w:sz w:val="20"/>
          <w:szCs w:val="20"/>
        </w:rPr>
        <w:t>FLIGHT</w:t>
      </w:r>
      <w:r w:rsidRPr="005827DA">
        <w:rPr>
          <w:rFonts w:ascii="Arial" w:hAnsi="Arial" w:cs="Arial"/>
          <w:spacing w:val="-1"/>
          <w:sz w:val="20"/>
          <w:szCs w:val="20"/>
        </w:rPr>
        <w:t xml:space="preserve"> </w:t>
      </w:r>
      <w:r w:rsidRPr="005827DA">
        <w:rPr>
          <w:rFonts w:ascii="Arial" w:hAnsi="Arial" w:cs="Arial"/>
          <w:sz w:val="20"/>
          <w:szCs w:val="20"/>
        </w:rPr>
        <w:t>INSTRUCTION</w:t>
      </w:r>
    </w:p>
    <w:p w14:paraId="38E131C4" w14:textId="77777777" w:rsidR="00F20810" w:rsidRPr="005827DA" w:rsidRDefault="00F20810" w:rsidP="005827DA">
      <w:pPr>
        <w:pStyle w:val="BodyText"/>
        <w:tabs>
          <w:tab w:val="left" w:pos="90"/>
        </w:tabs>
        <w:spacing w:line="276" w:lineRule="auto"/>
        <w:ind w:left="1273" w:right="68" w:hanging="436"/>
        <w:jc w:val="both"/>
        <w:rPr>
          <w:rFonts w:ascii="Arial" w:hAnsi="Arial" w:cs="Arial"/>
          <w:sz w:val="20"/>
          <w:szCs w:val="20"/>
        </w:rPr>
      </w:pPr>
      <w:r w:rsidRPr="005827DA">
        <w:rPr>
          <w:rFonts w:ascii="Arial" w:hAnsi="Arial" w:cs="Arial"/>
          <w:sz w:val="20"/>
          <w:szCs w:val="20"/>
        </w:rPr>
        <w:t>Part</w:t>
      </w:r>
      <w:r w:rsidRPr="005827DA">
        <w:rPr>
          <w:rFonts w:ascii="Arial" w:hAnsi="Arial" w:cs="Arial"/>
          <w:spacing w:val="-4"/>
          <w:sz w:val="20"/>
          <w:szCs w:val="20"/>
        </w:rPr>
        <w:t xml:space="preserve"> </w:t>
      </w:r>
      <w:r w:rsidRPr="005827DA">
        <w:rPr>
          <w:rFonts w:ascii="Arial" w:hAnsi="Arial" w:cs="Arial"/>
          <w:sz w:val="20"/>
          <w:szCs w:val="20"/>
        </w:rPr>
        <w:t>2</w:t>
      </w:r>
      <w:r w:rsidRPr="005827DA">
        <w:rPr>
          <w:rFonts w:ascii="Arial" w:hAnsi="Arial" w:cs="Arial"/>
          <w:spacing w:val="-2"/>
          <w:sz w:val="20"/>
          <w:szCs w:val="20"/>
        </w:rPr>
        <w:t xml:space="preserve"> </w:t>
      </w:r>
      <w:r w:rsidRPr="005827DA">
        <w:rPr>
          <w:rFonts w:ascii="Arial" w:hAnsi="Arial" w:cs="Arial"/>
          <w:sz w:val="20"/>
          <w:szCs w:val="20"/>
        </w:rPr>
        <w:t>includes</w:t>
      </w:r>
      <w:r w:rsidRPr="005827DA">
        <w:rPr>
          <w:rFonts w:ascii="Arial" w:hAnsi="Arial" w:cs="Arial"/>
          <w:spacing w:val="-3"/>
          <w:sz w:val="20"/>
          <w:szCs w:val="20"/>
        </w:rPr>
        <w:t xml:space="preserve"> </w:t>
      </w:r>
      <w:r w:rsidRPr="005827DA">
        <w:rPr>
          <w:rFonts w:ascii="Arial" w:hAnsi="Arial" w:cs="Arial"/>
          <w:sz w:val="20"/>
          <w:szCs w:val="20"/>
        </w:rPr>
        <w:t>the</w:t>
      </w:r>
      <w:r w:rsidRPr="005827DA">
        <w:rPr>
          <w:rFonts w:ascii="Arial" w:hAnsi="Arial" w:cs="Arial"/>
          <w:spacing w:val="-3"/>
          <w:sz w:val="20"/>
          <w:szCs w:val="20"/>
        </w:rPr>
        <w:t xml:space="preserve"> </w:t>
      </w:r>
      <w:r w:rsidRPr="005827DA">
        <w:rPr>
          <w:rFonts w:ascii="Arial" w:hAnsi="Arial" w:cs="Arial"/>
          <w:sz w:val="20"/>
          <w:szCs w:val="20"/>
        </w:rPr>
        <w:t>training</w:t>
      </w:r>
      <w:r w:rsidRPr="005827DA">
        <w:rPr>
          <w:rFonts w:ascii="Arial" w:hAnsi="Arial" w:cs="Arial"/>
          <w:spacing w:val="-4"/>
          <w:sz w:val="20"/>
          <w:szCs w:val="20"/>
        </w:rPr>
        <w:t xml:space="preserve"> </w:t>
      </w:r>
      <w:r w:rsidRPr="005827DA">
        <w:rPr>
          <w:rFonts w:ascii="Arial" w:hAnsi="Arial" w:cs="Arial"/>
          <w:sz w:val="20"/>
          <w:szCs w:val="20"/>
        </w:rPr>
        <w:t>specified</w:t>
      </w:r>
      <w:r w:rsidRPr="005827DA">
        <w:rPr>
          <w:rFonts w:ascii="Arial" w:hAnsi="Arial" w:cs="Arial"/>
          <w:spacing w:val="-2"/>
          <w:sz w:val="20"/>
          <w:szCs w:val="20"/>
        </w:rPr>
        <w:t xml:space="preserve"> </w:t>
      </w:r>
      <w:r w:rsidRPr="005827DA">
        <w:rPr>
          <w:rFonts w:ascii="Arial" w:hAnsi="Arial" w:cs="Arial"/>
          <w:sz w:val="20"/>
          <w:szCs w:val="20"/>
        </w:rPr>
        <w:t>in</w:t>
      </w:r>
      <w:r w:rsidRPr="005827DA">
        <w:rPr>
          <w:rFonts w:ascii="Arial" w:hAnsi="Arial" w:cs="Arial"/>
          <w:spacing w:val="-2"/>
          <w:sz w:val="20"/>
          <w:szCs w:val="20"/>
        </w:rPr>
        <w:t xml:space="preserve"> </w:t>
      </w:r>
      <w:r w:rsidRPr="005827DA">
        <w:rPr>
          <w:rFonts w:ascii="Arial" w:hAnsi="Arial" w:cs="Arial"/>
          <w:sz w:val="20"/>
          <w:szCs w:val="20"/>
        </w:rPr>
        <w:t>point</w:t>
      </w:r>
      <w:r w:rsidRPr="005827DA">
        <w:rPr>
          <w:rFonts w:ascii="Arial" w:hAnsi="Arial" w:cs="Arial"/>
          <w:spacing w:val="-2"/>
          <w:sz w:val="20"/>
          <w:szCs w:val="20"/>
        </w:rPr>
        <w:t xml:space="preserve"> </w:t>
      </w:r>
      <w:r w:rsidRPr="005827DA">
        <w:rPr>
          <w:rFonts w:ascii="Arial" w:hAnsi="Arial" w:cs="Arial"/>
          <w:sz w:val="20"/>
          <w:szCs w:val="20"/>
        </w:rPr>
        <w:t>BFCL.330(b)(4).</w:t>
      </w:r>
    </w:p>
    <w:p w14:paraId="323EFB07" w14:textId="77777777" w:rsidR="00F20810" w:rsidRPr="005827DA" w:rsidRDefault="00F20810" w:rsidP="005827DA">
      <w:pPr>
        <w:pStyle w:val="ListParagraph"/>
        <w:numPr>
          <w:ilvl w:val="2"/>
          <w:numId w:val="240"/>
        </w:numPr>
        <w:tabs>
          <w:tab w:val="left" w:pos="90"/>
          <w:tab w:val="left" w:pos="1842"/>
        </w:tabs>
        <w:spacing w:line="276" w:lineRule="auto"/>
        <w:ind w:right="68" w:hanging="436"/>
        <w:jc w:val="both"/>
        <w:rPr>
          <w:rFonts w:ascii="Arial" w:hAnsi="Arial" w:cs="Arial"/>
          <w:sz w:val="20"/>
          <w:szCs w:val="20"/>
        </w:rPr>
      </w:pPr>
      <w:r w:rsidRPr="005827DA">
        <w:rPr>
          <w:rFonts w:ascii="Arial" w:hAnsi="Arial" w:cs="Arial"/>
          <w:sz w:val="20"/>
          <w:szCs w:val="20"/>
        </w:rPr>
        <w:t>General</w:t>
      </w:r>
    </w:p>
    <w:p w14:paraId="353118AE" w14:textId="77777777" w:rsidR="00F20810" w:rsidRPr="005827DA" w:rsidRDefault="00F20810" w:rsidP="005827DA">
      <w:pPr>
        <w:pStyle w:val="ListParagraph"/>
        <w:numPr>
          <w:ilvl w:val="3"/>
          <w:numId w:val="240"/>
        </w:numPr>
        <w:tabs>
          <w:tab w:val="left" w:pos="90"/>
          <w:tab w:val="left" w:pos="2409"/>
        </w:tabs>
        <w:spacing w:before="121" w:line="276" w:lineRule="auto"/>
        <w:ind w:right="68" w:hanging="436"/>
        <w:jc w:val="both"/>
        <w:rPr>
          <w:rFonts w:ascii="Arial" w:hAnsi="Arial" w:cs="Arial"/>
          <w:sz w:val="20"/>
          <w:szCs w:val="20"/>
        </w:rPr>
      </w:pPr>
      <w:r w:rsidRPr="005827DA">
        <w:rPr>
          <w:rFonts w:ascii="Arial" w:hAnsi="Arial" w:cs="Arial"/>
          <w:sz w:val="20"/>
          <w:szCs w:val="20"/>
        </w:rPr>
        <w:t>The air exercises are similar to those of the BPL training course but with</w:t>
      </w:r>
      <w:r w:rsidRPr="005827DA">
        <w:rPr>
          <w:rFonts w:ascii="Arial" w:hAnsi="Arial" w:cs="Arial"/>
          <w:spacing w:val="1"/>
          <w:sz w:val="20"/>
          <w:szCs w:val="20"/>
        </w:rPr>
        <w:t xml:space="preserve"> </w:t>
      </w:r>
      <w:r w:rsidRPr="005827DA">
        <w:rPr>
          <w:rFonts w:ascii="Arial" w:hAnsi="Arial" w:cs="Arial"/>
          <w:sz w:val="20"/>
          <w:szCs w:val="20"/>
        </w:rPr>
        <w:t>additional</w:t>
      </w:r>
      <w:r w:rsidRPr="005827DA">
        <w:rPr>
          <w:rFonts w:ascii="Arial" w:hAnsi="Arial" w:cs="Arial"/>
          <w:spacing w:val="-1"/>
          <w:sz w:val="20"/>
          <w:szCs w:val="20"/>
        </w:rPr>
        <w:t xml:space="preserve"> </w:t>
      </w:r>
      <w:r w:rsidRPr="005827DA">
        <w:rPr>
          <w:rFonts w:ascii="Arial" w:hAnsi="Arial" w:cs="Arial"/>
          <w:sz w:val="20"/>
          <w:szCs w:val="20"/>
        </w:rPr>
        <w:t>items</w:t>
      </w:r>
      <w:r w:rsidRPr="005827DA">
        <w:rPr>
          <w:rFonts w:ascii="Arial" w:hAnsi="Arial" w:cs="Arial"/>
          <w:spacing w:val="-4"/>
          <w:sz w:val="20"/>
          <w:szCs w:val="20"/>
        </w:rPr>
        <w:t xml:space="preserve"> </w:t>
      </w:r>
      <w:r w:rsidRPr="005827DA">
        <w:rPr>
          <w:rFonts w:ascii="Arial" w:hAnsi="Arial" w:cs="Arial"/>
          <w:sz w:val="20"/>
          <w:szCs w:val="20"/>
        </w:rPr>
        <w:t>designed to cover</w:t>
      </w:r>
      <w:r w:rsidRPr="005827DA">
        <w:rPr>
          <w:rFonts w:ascii="Arial" w:hAnsi="Arial" w:cs="Arial"/>
          <w:spacing w:val="-1"/>
          <w:sz w:val="20"/>
          <w:szCs w:val="20"/>
        </w:rPr>
        <w:t xml:space="preserve"> </w:t>
      </w: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needs</w:t>
      </w:r>
      <w:r w:rsidRPr="005827DA">
        <w:rPr>
          <w:rFonts w:ascii="Arial" w:hAnsi="Arial" w:cs="Arial"/>
          <w:spacing w:val="-1"/>
          <w:sz w:val="20"/>
          <w:szCs w:val="20"/>
        </w:rPr>
        <w:t xml:space="preserve"> </w:t>
      </w:r>
      <w:r w:rsidRPr="005827DA">
        <w:rPr>
          <w:rFonts w:ascii="Arial" w:hAnsi="Arial" w:cs="Arial"/>
          <w:sz w:val="20"/>
          <w:szCs w:val="20"/>
        </w:rPr>
        <w:t>of</w:t>
      </w:r>
      <w:r w:rsidRPr="005827DA">
        <w:rPr>
          <w:rFonts w:ascii="Arial" w:hAnsi="Arial" w:cs="Arial"/>
          <w:spacing w:val="-3"/>
          <w:sz w:val="20"/>
          <w:szCs w:val="20"/>
        </w:rPr>
        <w:t xml:space="preserve"> </w:t>
      </w:r>
      <w:r w:rsidRPr="005827DA">
        <w:rPr>
          <w:rFonts w:ascii="Arial" w:hAnsi="Arial" w:cs="Arial"/>
          <w:sz w:val="20"/>
          <w:szCs w:val="20"/>
        </w:rPr>
        <w:t>a</w:t>
      </w:r>
      <w:r w:rsidRPr="005827DA">
        <w:rPr>
          <w:rFonts w:ascii="Arial" w:hAnsi="Arial" w:cs="Arial"/>
          <w:spacing w:val="-1"/>
          <w:sz w:val="20"/>
          <w:szCs w:val="20"/>
        </w:rPr>
        <w:t xml:space="preserve"> </w:t>
      </w:r>
      <w:r w:rsidRPr="005827DA">
        <w:rPr>
          <w:rFonts w:ascii="Arial" w:hAnsi="Arial" w:cs="Arial"/>
          <w:sz w:val="20"/>
          <w:szCs w:val="20"/>
        </w:rPr>
        <w:t>flight</w:t>
      </w:r>
      <w:r w:rsidRPr="005827DA">
        <w:rPr>
          <w:rFonts w:ascii="Arial" w:hAnsi="Arial" w:cs="Arial"/>
          <w:spacing w:val="-1"/>
          <w:sz w:val="20"/>
          <w:szCs w:val="20"/>
        </w:rPr>
        <w:t xml:space="preserve"> </w:t>
      </w:r>
      <w:r w:rsidRPr="005827DA">
        <w:rPr>
          <w:rFonts w:ascii="Arial" w:hAnsi="Arial" w:cs="Arial"/>
          <w:sz w:val="20"/>
          <w:szCs w:val="20"/>
        </w:rPr>
        <w:t>instructor.</w:t>
      </w:r>
    </w:p>
    <w:p w14:paraId="378C9C95" w14:textId="77777777" w:rsidR="00F20810" w:rsidRPr="005827DA" w:rsidRDefault="00F20810" w:rsidP="005827DA">
      <w:pPr>
        <w:pStyle w:val="ListParagraph"/>
        <w:numPr>
          <w:ilvl w:val="3"/>
          <w:numId w:val="240"/>
        </w:numPr>
        <w:tabs>
          <w:tab w:val="left" w:pos="90"/>
          <w:tab w:val="left" w:pos="2409"/>
        </w:tabs>
        <w:spacing w:before="118"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numbering</w:t>
      </w:r>
      <w:r w:rsidRPr="005827DA">
        <w:rPr>
          <w:rFonts w:ascii="Arial" w:hAnsi="Arial" w:cs="Arial"/>
          <w:spacing w:val="1"/>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exercises</w:t>
      </w:r>
      <w:r w:rsidRPr="005827DA">
        <w:rPr>
          <w:rFonts w:ascii="Arial" w:hAnsi="Arial" w:cs="Arial"/>
          <w:spacing w:val="1"/>
          <w:sz w:val="20"/>
          <w:szCs w:val="20"/>
        </w:rPr>
        <w:t xml:space="preserve"> </w:t>
      </w:r>
      <w:r w:rsidRPr="005827DA">
        <w:rPr>
          <w:rFonts w:ascii="Arial" w:hAnsi="Arial" w:cs="Arial"/>
          <w:sz w:val="20"/>
          <w:szCs w:val="20"/>
        </w:rPr>
        <w:t>should</w:t>
      </w:r>
      <w:r w:rsidRPr="005827DA">
        <w:rPr>
          <w:rFonts w:ascii="Arial" w:hAnsi="Arial" w:cs="Arial"/>
          <w:spacing w:val="1"/>
          <w:sz w:val="20"/>
          <w:szCs w:val="20"/>
        </w:rPr>
        <w:t xml:space="preserve"> </w:t>
      </w:r>
      <w:r w:rsidRPr="005827DA">
        <w:rPr>
          <w:rFonts w:ascii="Arial" w:hAnsi="Arial" w:cs="Arial"/>
          <w:sz w:val="20"/>
          <w:szCs w:val="20"/>
        </w:rPr>
        <w:t>be</w:t>
      </w:r>
      <w:r w:rsidRPr="005827DA">
        <w:rPr>
          <w:rFonts w:ascii="Arial" w:hAnsi="Arial" w:cs="Arial"/>
          <w:spacing w:val="1"/>
          <w:sz w:val="20"/>
          <w:szCs w:val="20"/>
        </w:rPr>
        <w:t xml:space="preserve"> </w:t>
      </w:r>
      <w:r w:rsidRPr="005827DA">
        <w:rPr>
          <w:rFonts w:ascii="Arial" w:hAnsi="Arial" w:cs="Arial"/>
          <w:sz w:val="20"/>
          <w:szCs w:val="20"/>
        </w:rPr>
        <w:t>used</w:t>
      </w:r>
      <w:r w:rsidRPr="005827DA">
        <w:rPr>
          <w:rFonts w:ascii="Arial" w:hAnsi="Arial" w:cs="Arial"/>
          <w:spacing w:val="1"/>
          <w:sz w:val="20"/>
          <w:szCs w:val="20"/>
        </w:rPr>
        <w:t xml:space="preserve"> </w:t>
      </w:r>
      <w:r w:rsidRPr="005827DA">
        <w:rPr>
          <w:rFonts w:ascii="Arial" w:hAnsi="Arial" w:cs="Arial"/>
          <w:sz w:val="20"/>
          <w:szCs w:val="20"/>
        </w:rPr>
        <w:t>primarily</w:t>
      </w:r>
      <w:r w:rsidRPr="005827DA">
        <w:rPr>
          <w:rFonts w:ascii="Arial" w:hAnsi="Arial" w:cs="Arial"/>
          <w:spacing w:val="1"/>
          <w:sz w:val="20"/>
          <w:szCs w:val="20"/>
        </w:rPr>
        <w:t xml:space="preserve"> </w:t>
      </w:r>
      <w:r w:rsidRPr="005827DA">
        <w:rPr>
          <w:rFonts w:ascii="Arial" w:hAnsi="Arial" w:cs="Arial"/>
          <w:sz w:val="20"/>
          <w:szCs w:val="20"/>
        </w:rPr>
        <w:t>as</w:t>
      </w:r>
      <w:r w:rsidRPr="005827DA">
        <w:rPr>
          <w:rFonts w:ascii="Arial" w:hAnsi="Arial" w:cs="Arial"/>
          <w:spacing w:val="1"/>
          <w:sz w:val="20"/>
          <w:szCs w:val="20"/>
        </w:rPr>
        <w:t xml:space="preserve"> </w:t>
      </w:r>
      <w:r w:rsidRPr="005827DA">
        <w:rPr>
          <w:rFonts w:ascii="Arial" w:hAnsi="Arial" w:cs="Arial"/>
          <w:sz w:val="20"/>
          <w:szCs w:val="20"/>
        </w:rPr>
        <w:t>an</w:t>
      </w:r>
      <w:r w:rsidRPr="005827DA">
        <w:rPr>
          <w:rFonts w:ascii="Arial" w:hAnsi="Arial" w:cs="Arial"/>
          <w:spacing w:val="1"/>
          <w:sz w:val="20"/>
          <w:szCs w:val="20"/>
        </w:rPr>
        <w:t xml:space="preserve"> </w:t>
      </w:r>
      <w:r w:rsidRPr="005827DA">
        <w:rPr>
          <w:rFonts w:ascii="Arial" w:hAnsi="Arial" w:cs="Arial"/>
          <w:sz w:val="20"/>
          <w:szCs w:val="20"/>
        </w:rPr>
        <w:t>exercise</w:t>
      </w:r>
      <w:r w:rsidRPr="005827DA">
        <w:rPr>
          <w:rFonts w:ascii="Arial" w:hAnsi="Arial" w:cs="Arial"/>
          <w:spacing w:val="1"/>
          <w:sz w:val="20"/>
          <w:szCs w:val="20"/>
        </w:rPr>
        <w:t xml:space="preserve"> </w:t>
      </w:r>
      <w:r w:rsidRPr="005827DA">
        <w:rPr>
          <w:rFonts w:ascii="Arial" w:hAnsi="Arial" w:cs="Arial"/>
          <w:sz w:val="20"/>
          <w:szCs w:val="20"/>
        </w:rPr>
        <w:t>reference list and as a broad instructional sequencing guide. Therefore, the</w:t>
      </w:r>
      <w:r w:rsidRPr="005827DA">
        <w:rPr>
          <w:rFonts w:ascii="Arial" w:hAnsi="Arial" w:cs="Arial"/>
          <w:spacing w:val="1"/>
          <w:sz w:val="20"/>
          <w:szCs w:val="20"/>
        </w:rPr>
        <w:t xml:space="preserve"> </w:t>
      </w:r>
      <w:r w:rsidRPr="005827DA">
        <w:rPr>
          <w:rFonts w:ascii="Arial" w:hAnsi="Arial" w:cs="Arial"/>
          <w:sz w:val="20"/>
          <w:szCs w:val="20"/>
        </w:rPr>
        <w:t>demonstrations and practices need not necessarily be given in the order</w:t>
      </w:r>
      <w:r w:rsidRPr="005827DA">
        <w:rPr>
          <w:rFonts w:ascii="Arial" w:hAnsi="Arial" w:cs="Arial"/>
          <w:spacing w:val="1"/>
          <w:sz w:val="20"/>
          <w:szCs w:val="20"/>
        </w:rPr>
        <w:t xml:space="preserve"> </w:t>
      </w:r>
      <w:r w:rsidRPr="005827DA">
        <w:rPr>
          <w:rFonts w:ascii="Arial" w:hAnsi="Arial" w:cs="Arial"/>
          <w:sz w:val="20"/>
          <w:szCs w:val="20"/>
        </w:rPr>
        <w:t>listed.</w:t>
      </w:r>
      <w:r w:rsidRPr="005827DA">
        <w:rPr>
          <w:rFonts w:ascii="Arial" w:hAnsi="Arial" w:cs="Arial"/>
          <w:spacing w:val="1"/>
          <w:sz w:val="20"/>
          <w:szCs w:val="20"/>
        </w:rPr>
        <w:t xml:space="preserve"> </w:t>
      </w: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actual</w:t>
      </w:r>
      <w:r w:rsidRPr="005827DA">
        <w:rPr>
          <w:rFonts w:ascii="Arial" w:hAnsi="Arial" w:cs="Arial"/>
          <w:spacing w:val="1"/>
          <w:sz w:val="20"/>
          <w:szCs w:val="20"/>
        </w:rPr>
        <w:t xml:space="preserve"> </w:t>
      </w:r>
      <w:r w:rsidRPr="005827DA">
        <w:rPr>
          <w:rFonts w:ascii="Arial" w:hAnsi="Arial" w:cs="Arial"/>
          <w:sz w:val="20"/>
          <w:szCs w:val="20"/>
        </w:rPr>
        <w:t>order</w:t>
      </w:r>
      <w:r w:rsidRPr="005827DA">
        <w:rPr>
          <w:rFonts w:ascii="Arial" w:hAnsi="Arial" w:cs="Arial"/>
          <w:spacing w:val="1"/>
          <w:sz w:val="20"/>
          <w:szCs w:val="20"/>
        </w:rPr>
        <w:t xml:space="preserve"> </w:t>
      </w:r>
      <w:r w:rsidRPr="005827DA">
        <w:rPr>
          <w:rFonts w:ascii="Arial" w:hAnsi="Arial" w:cs="Arial"/>
          <w:sz w:val="20"/>
          <w:szCs w:val="20"/>
        </w:rPr>
        <w:t>and</w:t>
      </w:r>
      <w:r w:rsidRPr="005827DA">
        <w:rPr>
          <w:rFonts w:ascii="Arial" w:hAnsi="Arial" w:cs="Arial"/>
          <w:spacing w:val="1"/>
          <w:sz w:val="20"/>
          <w:szCs w:val="20"/>
        </w:rPr>
        <w:t xml:space="preserve"> </w:t>
      </w:r>
      <w:r w:rsidRPr="005827DA">
        <w:rPr>
          <w:rFonts w:ascii="Arial" w:hAnsi="Arial" w:cs="Arial"/>
          <w:sz w:val="20"/>
          <w:szCs w:val="20"/>
        </w:rPr>
        <w:t>content</w:t>
      </w:r>
      <w:r w:rsidRPr="005827DA">
        <w:rPr>
          <w:rFonts w:ascii="Arial" w:hAnsi="Arial" w:cs="Arial"/>
          <w:spacing w:val="1"/>
          <w:sz w:val="20"/>
          <w:szCs w:val="20"/>
        </w:rPr>
        <w:t xml:space="preserve"> </w:t>
      </w:r>
      <w:r w:rsidRPr="005827DA">
        <w:rPr>
          <w:rFonts w:ascii="Arial" w:hAnsi="Arial" w:cs="Arial"/>
          <w:sz w:val="20"/>
          <w:szCs w:val="20"/>
        </w:rPr>
        <w:t>will</w:t>
      </w:r>
      <w:r w:rsidRPr="005827DA">
        <w:rPr>
          <w:rFonts w:ascii="Arial" w:hAnsi="Arial" w:cs="Arial"/>
          <w:spacing w:val="1"/>
          <w:sz w:val="20"/>
          <w:szCs w:val="20"/>
        </w:rPr>
        <w:t xml:space="preserve"> </w:t>
      </w:r>
      <w:r w:rsidRPr="005827DA">
        <w:rPr>
          <w:rFonts w:ascii="Arial" w:hAnsi="Arial" w:cs="Arial"/>
          <w:sz w:val="20"/>
          <w:szCs w:val="20"/>
        </w:rPr>
        <w:t>depend</w:t>
      </w:r>
      <w:r w:rsidRPr="005827DA">
        <w:rPr>
          <w:rFonts w:ascii="Arial" w:hAnsi="Arial" w:cs="Arial"/>
          <w:spacing w:val="1"/>
          <w:sz w:val="20"/>
          <w:szCs w:val="20"/>
        </w:rPr>
        <w:t xml:space="preserve"> </w:t>
      </w:r>
      <w:r w:rsidRPr="005827DA">
        <w:rPr>
          <w:rFonts w:ascii="Arial" w:hAnsi="Arial" w:cs="Arial"/>
          <w:sz w:val="20"/>
          <w:szCs w:val="20"/>
        </w:rPr>
        <w:t>upon</w:t>
      </w:r>
      <w:r w:rsidRPr="005827DA">
        <w:rPr>
          <w:rFonts w:ascii="Arial" w:hAnsi="Arial" w:cs="Arial"/>
          <w:spacing w:val="1"/>
          <w:sz w:val="20"/>
          <w:szCs w:val="20"/>
        </w:rPr>
        <w:t xml:space="preserve"> </w:t>
      </w: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following</w:t>
      </w:r>
      <w:r w:rsidRPr="005827DA">
        <w:rPr>
          <w:rFonts w:ascii="Arial" w:hAnsi="Arial" w:cs="Arial"/>
          <w:spacing w:val="1"/>
          <w:sz w:val="20"/>
          <w:szCs w:val="20"/>
        </w:rPr>
        <w:t xml:space="preserve"> </w:t>
      </w:r>
      <w:r w:rsidRPr="005827DA">
        <w:rPr>
          <w:rFonts w:ascii="Arial" w:hAnsi="Arial" w:cs="Arial"/>
          <w:sz w:val="20"/>
          <w:szCs w:val="20"/>
        </w:rPr>
        <w:t>interrelated</w:t>
      </w:r>
      <w:r w:rsidRPr="005827DA">
        <w:rPr>
          <w:rFonts w:ascii="Arial" w:hAnsi="Arial" w:cs="Arial"/>
          <w:spacing w:val="-1"/>
          <w:sz w:val="20"/>
          <w:szCs w:val="20"/>
        </w:rPr>
        <w:t xml:space="preserve"> </w:t>
      </w:r>
      <w:r w:rsidRPr="005827DA">
        <w:rPr>
          <w:rFonts w:ascii="Arial" w:hAnsi="Arial" w:cs="Arial"/>
          <w:sz w:val="20"/>
          <w:szCs w:val="20"/>
        </w:rPr>
        <w:t>factors:</w:t>
      </w:r>
    </w:p>
    <w:p w14:paraId="285FE403" w14:textId="77777777" w:rsidR="00F20810" w:rsidRPr="005827DA" w:rsidRDefault="00F20810" w:rsidP="005827DA">
      <w:pPr>
        <w:pStyle w:val="ListParagraph"/>
        <w:numPr>
          <w:ilvl w:val="4"/>
          <w:numId w:val="240"/>
        </w:numPr>
        <w:tabs>
          <w:tab w:val="left" w:pos="90"/>
          <w:tab w:val="left" w:pos="2975"/>
          <w:tab w:val="left" w:pos="2976"/>
        </w:tabs>
        <w:spacing w:before="122"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applicant’s progress</w:t>
      </w:r>
      <w:r w:rsidRPr="005827DA">
        <w:rPr>
          <w:rFonts w:ascii="Arial" w:hAnsi="Arial" w:cs="Arial"/>
          <w:spacing w:val="-1"/>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ability;</w:t>
      </w:r>
    </w:p>
    <w:p w14:paraId="01BAFF71" w14:textId="77777777" w:rsidR="00F20810" w:rsidRPr="005827DA" w:rsidRDefault="00F20810" w:rsidP="005827DA">
      <w:pPr>
        <w:pStyle w:val="ListParagraph"/>
        <w:numPr>
          <w:ilvl w:val="4"/>
          <w:numId w:val="240"/>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weather</w:t>
      </w:r>
      <w:r w:rsidRPr="005827DA">
        <w:rPr>
          <w:rFonts w:ascii="Arial" w:hAnsi="Arial" w:cs="Arial"/>
          <w:spacing w:val="-3"/>
          <w:sz w:val="20"/>
          <w:szCs w:val="20"/>
        </w:rPr>
        <w:t xml:space="preserve"> </w:t>
      </w:r>
      <w:r w:rsidRPr="005827DA">
        <w:rPr>
          <w:rFonts w:ascii="Arial" w:hAnsi="Arial" w:cs="Arial"/>
          <w:sz w:val="20"/>
          <w:szCs w:val="20"/>
        </w:rPr>
        <w:t>conditions</w:t>
      </w:r>
      <w:r w:rsidRPr="005827DA">
        <w:rPr>
          <w:rFonts w:ascii="Arial" w:hAnsi="Arial" w:cs="Arial"/>
          <w:spacing w:val="-1"/>
          <w:sz w:val="20"/>
          <w:szCs w:val="20"/>
        </w:rPr>
        <w:t xml:space="preserve"> </w:t>
      </w:r>
      <w:r w:rsidRPr="005827DA">
        <w:rPr>
          <w:rFonts w:ascii="Arial" w:hAnsi="Arial" w:cs="Arial"/>
          <w:sz w:val="20"/>
          <w:szCs w:val="20"/>
        </w:rPr>
        <w:t>affecting</w:t>
      </w:r>
      <w:r w:rsidRPr="005827DA">
        <w:rPr>
          <w:rFonts w:ascii="Arial" w:hAnsi="Arial" w:cs="Arial"/>
          <w:spacing w:val="-2"/>
          <w:sz w:val="20"/>
          <w:szCs w:val="20"/>
        </w:rPr>
        <w:t xml:space="preserve"> </w:t>
      </w: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flight;</w:t>
      </w:r>
    </w:p>
    <w:p w14:paraId="7DE635F0" w14:textId="77777777" w:rsidR="00F20810" w:rsidRPr="005827DA" w:rsidRDefault="00F20810" w:rsidP="005827DA">
      <w:pPr>
        <w:pStyle w:val="ListParagraph"/>
        <w:numPr>
          <w:ilvl w:val="4"/>
          <w:numId w:val="240"/>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flight</w:t>
      </w:r>
      <w:r w:rsidRPr="005827DA">
        <w:rPr>
          <w:rFonts w:ascii="Arial" w:hAnsi="Arial" w:cs="Arial"/>
          <w:spacing w:val="-1"/>
          <w:sz w:val="20"/>
          <w:szCs w:val="20"/>
        </w:rPr>
        <w:t xml:space="preserve"> </w:t>
      </w:r>
      <w:r w:rsidRPr="005827DA">
        <w:rPr>
          <w:rFonts w:ascii="Arial" w:hAnsi="Arial" w:cs="Arial"/>
          <w:sz w:val="20"/>
          <w:szCs w:val="20"/>
        </w:rPr>
        <w:t>time</w:t>
      </w:r>
      <w:r w:rsidRPr="005827DA">
        <w:rPr>
          <w:rFonts w:ascii="Arial" w:hAnsi="Arial" w:cs="Arial"/>
          <w:spacing w:val="-3"/>
          <w:sz w:val="20"/>
          <w:szCs w:val="20"/>
        </w:rPr>
        <w:t xml:space="preserve"> </w:t>
      </w:r>
      <w:r w:rsidRPr="005827DA">
        <w:rPr>
          <w:rFonts w:ascii="Arial" w:hAnsi="Arial" w:cs="Arial"/>
          <w:sz w:val="20"/>
          <w:szCs w:val="20"/>
        </w:rPr>
        <w:t>available;</w:t>
      </w:r>
    </w:p>
    <w:p w14:paraId="03B0389F" w14:textId="77777777" w:rsidR="00F20810" w:rsidRPr="005827DA" w:rsidRDefault="00F20810" w:rsidP="005827DA">
      <w:pPr>
        <w:pStyle w:val="ListParagraph"/>
        <w:numPr>
          <w:ilvl w:val="4"/>
          <w:numId w:val="240"/>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instructional</w:t>
      </w:r>
      <w:r w:rsidRPr="005827DA">
        <w:rPr>
          <w:rFonts w:ascii="Arial" w:hAnsi="Arial" w:cs="Arial"/>
          <w:spacing w:val="-1"/>
          <w:sz w:val="20"/>
          <w:szCs w:val="20"/>
        </w:rPr>
        <w:t xml:space="preserve"> </w:t>
      </w:r>
      <w:r w:rsidRPr="005827DA">
        <w:rPr>
          <w:rFonts w:ascii="Arial" w:hAnsi="Arial" w:cs="Arial"/>
          <w:sz w:val="20"/>
          <w:szCs w:val="20"/>
        </w:rPr>
        <w:t>technique</w:t>
      </w:r>
      <w:r w:rsidRPr="005827DA">
        <w:rPr>
          <w:rFonts w:ascii="Arial" w:hAnsi="Arial" w:cs="Arial"/>
          <w:spacing w:val="-3"/>
          <w:sz w:val="20"/>
          <w:szCs w:val="20"/>
        </w:rPr>
        <w:t xml:space="preserve"> </w:t>
      </w:r>
      <w:r w:rsidRPr="005827DA">
        <w:rPr>
          <w:rFonts w:ascii="Arial" w:hAnsi="Arial" w:cs="Arial"/>
          <w:sz w:val="20"/>
          <w:szCs w:val="20"/>
        </w:rPr>
        <w:t>considerations;</w:t>
      </w:r>
    </w:p>
    <w:p w14:paraId="1A78DCB1" w14:textId="77777777" w:rsidR="00F20810" w:rsidRPr="005827DA" w:rsidRDefault="00F20810" w:rsidP="005827DA">
      <w:pPr>
        <w:pStyle w:val="ListParagraph"/>
        <w:numPr>
          <w:ilvl w:val="4"/>
          <w:numId w:val="240"/>
        </w:numPr>
        <w:tabs>
          <w:tab w:val="left" w:pos="90"/>
          <w:tab w:val="left" w:pos="2975"/>
          <w:tab w:val="left" w:pos="2976"/>
        </w:tabs>
        <w:spacing w:before="118" w:line="276" w:lineRule="auto"/>
        <w:ind w:right="68" w:hanging="436"/>
        <w:jc w:val="both"/>
        <w:rPr>
          <w:rFonts w:ascii="Arial" w:hAnsi="Arial" w:cs="Arial"/>
          <w:sz w:val="20"/>
          <w:szCs w:val="20"/>
        </w:rPr>
      </w:pPr>
      <w:r w:rsidRPr="005827DA">
        <w:rPr>
          <w:rFonts w:ascii="Arial" w:hAnsi="Arial" w:cs="Arial"/>
          <w:sz w:val="20"/>
          <w:szCs w:val="20"/>
        </w:rPr>
        <w:t>the local</w:t>
      </w:r>
      <w:r w:rsidRPr="005827DA">
        <w:rPr>
          <w:rFonts w:ascii="Arial" w:hAnsi="Arial" w:cs="Arial"/>
          <w:spacing w:val="-1"/>
          <w:sz w:val="20"/>
          <w:szCs w:val="20"/>
        </w:rPr>
        <w:t xml:space="preserve"> </w:t>
      </w:r>
      <w:r w:rsidRPr="005827DA">
        <w:rPr>
          <w:rFonts w:ascii="Arial" w:hAnsi="Arial" w:cs="Arial"/>
          <w:sz w:val="20"/>
          <w:szCs w:val="20"/>
        </w:rPr>
        <w:t>operating</w:t>
      </w:r>
      <w:r w:rsidRPr="005827DA">
        <w:rPr>
          <w:rFonts w:ascii="Arial" w:hAnsi="Arial" w:cs="Arial"/>
          <w:spacing w:val="-3"/>
          <w:sz w:val="20"/>
          <w:szCs w:val="20"/>
        </w:rPr>
        <w:t xml:space="preserve"> </w:t>
      </w:r>
      <w:r w:rsidRPr="005827DA">
        <w:rPr>
          <w:rFonts w:ascii="Arial" w:hAnsi="Arial" w:cs="Arial"/>
          <w:sz w:val="20"/>
          <w:szCs w:val="20"/>
        </w:rPr>
        <w:t>environment;</w:t>
      </w:r>
      <w:r w:rsidRPr="005827DA">
        <w:rPr>
          <w:rFonts w:ascii="Arial" w:hAnsi="Arial" w:cs="Arial"/>
          <w:spacing w:val="1"/>
          <w:sz w:val="20"/>
          <w:szCs w:val="20"/>
        </w:rPr>
        <w:t xml:space="preserve"> </w:t>
      </w:r>
      <w:r w:rsidRPr="005827DA">
        <w:rPr>
          <w:rFonts w:ascii="Arial" w:hAnsi="Arial" w:cs="Arial"/>
          <w:sz w:val="20"/>
          <w:szCs w:val="20"/>
        </w:rPr>
        <w:t>and</w:t>
      </w:r>
    </w:p>
    <w:p w14:paraId="29B73D3B" w14:textId="77777777" w:rsidR="00F20810" w:rsidRPr="005827DA" w:rsidRDefault="00F20810" w:rsidP="005827DA">
      <w:pPr>
        <w:pStyle w:val="ListParagraph"/>
        <w:numPr>
          <w:ilvl w:val="4"/>
          <w:numId w:val="240"/>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 applicability</w:t>
      </w:r>
      <w:r w:rsidRPr="005827DA">
        <w:rPr>
          <w:rFonts w:ascii="Arial" w:hAnsi="Arial" w:cs="Arial"/>
          <w:spacing w:val="-2"/>
          <w:sz w:val="20"/>
          <w:szCs w:val="20"/>
        </w:rPr>
        <w:t xml:space="preserve"> </w:t>
      </w:r>
      <w:r w:rsidRPr="005827DA">
        <w:rPr>
          <w:rFonts w:ascii="Arial" w:hAnsi="Arial" w:cs="Arial"/>
          <w:sz w:val="20"/>
          <w:szCs w:val="20"/>
        </w:rPr>
        <w:t>of</w:t>
      </w:r>
      <w:r w:rsidRPr="005827DA">
        <w:rPr>
          <w:rFonts w:ascii="Arial" w:hAnsi="Arial" w:cs="Arial"/>
          <w:spacing w:val="-3"/>
          <w:sz w:val="20"/>
          <w:szCs w:val="20"/>
        </w:rPr>
        <w:t xml:space="preserve"> </w:t>
      </w: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exercises</w:t>
      </w:r>
      <w:r w:rsidRPr="005827DA">
        <w:rPr>
          <w:rFonts w:ascii="Arial" w:hAnsi="Arial" w:cs="Arial"/>
          <w:spacing w:val="1"/>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the aircraft type.</w:t>
      </w:r>
    </w:p>
    <w:p w14:paraId="75B4CC7C" w14:textId="77777777" w:rsidR="00F20810" w:rsidRPr="005827DA" w:rsidRDefault="00F20810" w:rsidP="005827DA">
      <w:pPr>
        <w:pStyle w:val="ListParagraph"/>
        <w:numPr>
          <w:ilvl w:val="3"/>
          <w:numId w:val="240"/>
        </w:numPr>
        <w:tabs>
          <w:tab w:val="left" w:pos="90"/>
          <w:tab w:val="left" w:pos="2409"/>
        </w:tabs>
        <w:spacing w:before="121" w:line="276" w:lineRule="auto"/>
        <w:ind w:right="68" w:hanging="436"/>
        <w:jc w:val="both"/>
        <w:rPr>
          <w:rFonts w:ascii="Arial" w:hAnsi="Arial" w:cs="Arial"/>
          <w:sz w:val="20"/>
          <w:szCs w:val="20"/>
        </w:rPr>
      </w:pPr>
      <w:r w:rsidRPr="005827DA">
        <w:rPr>
          <w:rFonts w:ascii="Arial" w:hAnsi="Arial" w:cs="Arial"/>
          <w:sz w:val="20"/>
          <w:szCs w:val="20"/>
        </w:rPr>
        <w:t>At</w:t>
      </w:r>
      <w:r w:rsidRPr="005827DA">
        <w:rPr>
          <w:rFonts w:ascii="Arial" w:hAnsi="Arial" w:cs="Arial"/>
          <w:spacing w:val="-2"/>
          <w:sz w:val="20"/>
          <w:szCs w:val="20"/>
        </w:rPr>
        <w:t xml:space="preserve"> </w:t>
      </w:r>
      <w:r w:rsidRPr="005827DA">
        <w:rPr>
          <w:rFonts w:ascii="Arial" w:hAnsi="Arial" w:cs="Arial"/>
          <w:sz w:val="20"/>
          <w:szCs w:val="20"/>
        </w:rPr>
        <w:t>the</w:t>
      </w:r>
      <w:r w:rsidRPr="005827DA">
        <w:rPr>
          <w:rFonts w:ascii="Arial" w:hAnsi="Arial" w:cs="Arial"/>
          <w:spacing w:val="-3"/>
          <w:sz w:val="20"/>
          <w:szCs w:val="20"/>
        </w:rPr>
        <w:t xml:space="preserve"> </w:t>
      </w:r>
      <w:r w:rsidRPr="005827DA">
        <w:rPr>
          <w:rFonts w:ascii="Arial" w:hAnsi="Arial" w:cs="Arial"/>
          <w:sz w:val="20"/>
          <w:szCs w:val="20"/>
        </w:rPr>
        <w:t>discretion</w:t>
      </w:r>
      <w:r w:rsidRPr="005827DA">
        <w:rPr>
          <w:rFonts w:ascii="Arial" w:hAnsi="Arial" w:cs="Arial"/>
          <w:spacing w:val="-5"/>
          <w:sz w:val="20"/>
          <w:szCs w:val="20"/>
        </w:rPr>
        <w:t xml:space="preserve"> </w:t>
      </w:r>
      <w:r w:rsidRPr="005827DA">
        <w:rPr>
          <w:rFonts w:ascii="Arial" w:hAnsi="Arial" w:cs="Arial"/>
          <w:sz w:val="20"/>
          <w:szCs w:val="20"/>
        </w:rPr>
        <w:t>of</w:t>
      </w:r>
      <w:r w:rsidRPr="005827DA">
        <w:rPr>
          <w:rFonts w:ascii="Arial" w:hAnsi="Arial" w:cs="Arial"/>
          <w:spacing w:val="-5"/>
          <w:sz w:val="20"/>
          <w:szCs w:val="20"/>
        </w:rPr>
        <w:t xml:space="preserve"> </w:t>
      </w:r>
      <w:r w:rsidRPr="005827DA">
        <w:rPr>
          <w:rFonts w:ascii="Arial" w:hAnsi="Arial" w:cs="Arial"/>
          <w:sz w:val="20"/>
          <w:szCs w:val="20"/>
        </w:rPr>
        <w:t>the instructors,</w:t>
      </w:r>
      <w:r w:rsidRPr="005827DA">
        <w:rPr>
          <w:rFonts w:ascii="Arial" w:hAnsi="Arial" w:cs="Arial"/>
          <w:spacing w:val="-4"/>
          <w:sz w:val="20"/>
          <w:szCs w:val="20"/>
        </w:rPr>
        <w:t xml:space="preserve"> </w:t>
      </w:r>
      <w:r w:rsidRPr="005827DA">
        <w:rPr>
          <w:rFonts w:ascii="Arial" w:hAnsi="Arial" w:cs="Arial"/>
          <w:sz w:val="20"/>
          <w:szCs w:val="20"/>
        </w:rPr>
        <w:t>some</w:t>
      </w:r>
      <w:r w:rsidRPr="005827DA">
        <w:rPr>
          <w:rFonts w:ascii="Arial" w:hAnsi="Arial" w:cs="Arial"/>
          <w:spacing w:val="-4"/>
          <w:sz w:val="20"/>
          <w:szCs w:val="20"/>
        </w:rPr>
        <w:t xml:space="preserve"> </w:t>
      </w:r>
      <w:r w:rsidRPr="005827DA">
        <w:rPr>
          <w:rFonts w:ascii="Arial" w:hAnsi="Arial" w:cs="Arial"/>
          <w:sz w:val="20"/>
          <w:szCs w:val="20"/>
        </w:rPr>
        <w:t>of</w:t>
      </w:r>
      <w:r w:rsidRPr="005827DA">
        <w:rPr>
          <w:rFonts w:ascii="Arial" w:hAnsi="Arial" w:cs="Arial"/>
          <w:spacing w:val="-4"/>
          <w:sz w:val="20"/>
          <w:szCs w:val="20"/>
        </w:rPr>
        <w:t xml:space="preserve"> </w:t>
      </w:r>
      <w:r w:rsidRPr="005827DA">
        <w:rPr>
          <w:rFonts w:ascii="Arial" w:hAnsi="Arial" w:cs="Arial"/>
          <w:sz w:val="20"/>
          <w:szCs w:val="20"/>
        </w:rPr>
        <w:t>the</w:t>
      </w:r>
      <w:r w:rsidRPr="005827DA">
        <w:rPr>
          <w:rFonts w:ascii="Arial" w:hAnsi="Arial" w:cs="Arial"/>
          <w:spacing w:val="-3"/>
          <w:sz w:val="20"/>
          <w:szCs w:val="20"/>
        </w:rPr>
        <w:t xml:space="preserve"> </w:t>
      </w:r>
      <w:r w:rsidRPr="005827DA">
        <w:rPr>
          <w:rFonts w:ascii="Arial" w:hAnsi="Arial" w:cs="Arial"/>
          <w:sz w:val="20"/>
          <w:szCs w:val="20"/>
        </w:rPr>
        <w:t>exercises</w:t>
      </w:r>
      <w:r w:rsidRPr="005827DA">
        <w:rPr>
          <w:rFonts w:ascii="Arial" w:hAnsi="Arial" w:cs="Arial"/>
          <w:spacing w:val="-3"/>
          <w:sz w:val="20"/>
          <w:szCs w:val="20"/>
        </w:rPr>
        <w:t xml:space="preserve"> </w:t>
      </w:r>
      <w:r w:rsidRPr="005827DA">
        <w:rPr>
          <w:rFonts w:ascii="Arial" w:hAnsi="Arial" w:cs="Arial"/>
          <w:sz w:val="20"/>
          <w:szCs w:val="20"/>
        </w:rPr>
        <w:t>may</w:t>
      </w:r>
      <w:r w:rsidRPr="005827DA">
        <w:rPr>
          <w:rFonts w:ascii="Arial" w:hAnsi="Arial" w:cs="Arial"/>
          <w:spacing w:val="-2"/>
          <w:sz w:val="20"/>
          <w:szCs w:val="20"/>
        </w:rPr>
        <w:t xml:space="preserve"> </w:t>
      </w:r>
      <w:r w:rsidRPr="005827DA">
        <w:rPr>
          <w:rFonts w:ascii="Arial" w:hAnsi="Arial" w:cs="Arial"/>
          <w:sz w:val="20"/>
          <w:szCs w:val="20"/>
        </w:rPr>
        <w:t>be</w:t>
      </w:r>
      <w:r w:rsidRPr="005827DA">
        <w:rPr>
          <w:rFonts w:ascii="Arial" w:hAnsi="Arial" w:cs="Arial"/>
          <w:spacing w:val="-4"/>
          <w:sz w:val="20"/>
          <w:szCs w:val="20"/>
        </w:rPr>
        <w:t xml:space="preserve"> </w:t>
      </w:r>
      <w:r w:rsidRPr="005827DA">
        <w:rPr>
          <w:rFonts w:ascii="Arial" w:hAnsi="Arial" w:cs="Arial"/>
          <w:sz w:val="20"/>
          <w:szCs w:val="20"/>
        </w:rPr>
        <w:t>combined</w:t>
      </w:r>
      <w:r w:rsidRPr="005827DA">
        <w:rPr>
          <w:rFonts w:ascii="Arial" w:hAnsi="Arial" w:cs="Arial"/>
          <w:spacing w:val="-47"/>
          <w:sz w:val="20"/>
          <w:szCs w:val="20"/>
        </w:rPr>
        <w:t xml:space="preserve"> </w:t>
      </w:r>
      <w:r w:rsidRPr="005827DA">
        <w:rPr>
          <w:rFonts w:ascii="Arial" w:hAnsi="Arial" w:cs="Arial"/>
          <w:sz w:val="20"/>
          <w:szCs w:val="20"/>
        </w:rPr>
        <w:t>whereas</w:t>
      </w:r>
      <w:r w:rsidRPr="005827DA">
        <w:rPr>
          <w:rFonts w:ascii="Arial" w:hAnsi="Arial" w:cs="Arial"/>
          <w:spacing w:val="-3"/>
          <w:sz w:val="20"/>
          <w:szCs w:val="20"/>
        </w:rPr>
        <w:t xml:space="preserve"> </w:t>
      </w:r>
      <w:r w:rsidRPr="005827DA">
        <w:rPr>
          <w:rFonts w:ascii="Arial" w:hAnsi="Arial" w:cs="Arial"/>
          <w:sz w:val="20"/>
          <w:szCs w:val="20"/>
        </w:rPr>
        <w:t>some</w:t>
      </w:r>
      <w:r w:rsidRPr="005827DA">
        <w:rPr>
          <w:rFonts w:ascii="Arial" w:hAnsi="Arial" w:cs="Arial"/>
          <w:spacing w:val="-2"/>
          <w:sz w:val="20"/>
          <w:szCs w:val="20"/>
        </w:rPr>
        <w:t xml:space="preserve"> </w:t>
      </w:r>
      <w:r w:rsidRPr="005827DA">
        <w:rPr>
          <w:rFonts w:ascii="Arial" w:hAnsi="Arial" w:cs="Arial"/>
          <w:sz w:val="20"/>
          <w:szCs w:val="20"/>
        </w:rPr>
        <w:t>other</w:t>
      </w:r>
      <w:r w:rsidRPr="005827DA">
        <w:rPr>
          <w:rFonts w:ascii="Arial" w:hAnsi="Arial" w:cs="Arial"/>
          <w:spacing w:val="-2"/>
          <w:sz w:val="20"/>
          <w:szCs w:val="20"/>
        </w:rPr>
        <w:t xml:space="preserve"> </w:t>
      </w:r>
      <w:r w:rsidRPr="005827DA">
        <w:rPr>
          <w:rFonts w:ascii="Arial" w:hAnsi="Arial" w:cs="Arial"/>
          <w:sz w:val="20"/>
          <w:szCs w:val="20"/>
        </w:rPr>
        <w:t>exercises</w:t>
      </w:r>
      <w:r w:rsidRPr="005827DA">
        <w:rPr>
          <w:rFonts w:ascii="Arial" w:hAnsi="Arial" w:cs="Arial"/>
          <w:spacing w:val="-2"/>
          <w:sz w:val="20"/>
          <w:szCs w:val="20"/>
        </w:rPr>
        <w:t xml:space="preserve"> </w:t>
      </w:r>
      <w:r w:rsidRPr="005827DA">
        <w:rPr>
          <w:rFonts w:ascii="Arial" w:hAnsi="Arial" w:cs="Arial"/>
          <w:sz w:val="20"/>
          <w:szCs w:val="20"/>
        </w:rPr>
        <w:t>may</w:t>
      </w:r>
      <w:r w:rsidRPr="005827DA">
        <w:rPr>
          <w:rFonts w:ascii="Arial" w:hAnsi="Arial" w:cs="Arial"/>
          <w:spacing w:val="-2"/>
          <w:sz w:val="20"/>
          <w:szCs w:val="20"/>
        </w:rPr>
        <w:t xml:space="preserve"> </w:t>
      </w:r>
      <w:r w:rsidRPr="005827DA">
        <w:rPr>
          <w:rFonts w:ascii="Arial" w:hAnsi="Arial" w:cs="Arial"/>
          <w:sz w:val="20"/>
          <w:szCs w:val="20"/>
        </w:rPr>
        <w:t>be done in</w:t>
      </w:r>
      <w:r w:rsidRPr="005827DA">
        <w:rPr>
          <w:rFonts w:ascii="Arial" w:hAnsi="Arial" w:cs="Arial"/>
          <w:spacing w:val="-1"/>
          <w:sz w:val="20"/>
          <w:szCs w:val="20"/>
        </w:rPr>
        <w:t xml:space="preserve"> </w:t>
      </w:r>
      <w:r w:rsidRPr="005827DA">
        <w:rPr>
          <w:rFonts w:ascii="Arial" w:hAnsi="Arial" w:cs="Arial"/>
          <w:sz w:val="20"/>
          <w:szCs w:val="20"/>
        </w:rPr>
        <w:t>several</w:t>
      </w:r>
      <w:r w:rsidRPr="005827DA">
        <w:rPr>
          <w:rFonts w:ascii="Arial" w:hAnsi="Arial" w:cs="Arial"/>
          <w:spacing w:val="-2"/>
          <w:sz w:val="20"/>
          <w:szCs w:val="20"/>
        </w:rPr>
        <w:t xml:space="preserve"> </w:t>
      </w:r>
      <w:r w:rsidRPr="005827DA">
        <w:rPr>
          <w:rFonts w:ascii="Arial" w:hAnsi="Arial" w:cs="Arial"/>
          <w:sz w:val="20"/>
          <w:szCs w:val="20"/>
        </w:rPr>
        <w:t>flights.</w:t>
      </w:r>
    </w:p>
    <w:p w14:paraId="341598E6" w14:textId="77777777" w:rsidR="00F20810" w:rsidRPr="005827DA" w:rsidRDefault="00F20810" w:rsidP="005827DA">
      <w:pPr>
        <w:pStyle w:val="ListParagraph"/>
        <w:numPr>
          <w:ilvl w:val="3"/>
          <w:numId w:val="240"/>
        </w:numPr>
        <w:tabs>
          <w:tab w:val="left" w:pos="90"/>
          <w:tab w:val="left" w:pos="2409"/>
        </w:tabs>
        <w:spacing w:line="276" w:lineRule="auto"/>
        <w:ind w:right="68" w:hanging="436"/>
        <w:jc w:val="both"/>
        <w:rPr>
          <w:rFonts w:ascii="Arial" w:hAnsi="Arial" w:cs="Arial"/>
          <w:sz w:val="20"/>
          <w:szCs w:val="20"/>
        </w:rPr>
      </w:pPr>
      <w:r w:rsidRPr="005827DA">
        <w:rPr>
          <w:rFonts w:ascii="Arial" w:hAnsi="Arial" w:cs="Arial"/>
          <w:sz w:val="20"/>
          <w:szCs w:val="20"/>
        </w:rPr>
        <w:t>It</w:t>
      </w:r>
      <w:r w:rsidRPr="005827DA">
        <w:rPr>
          <w:rFonts w:ascii="Arial" w:hAnsi="Arial" w:cs="Arial"/>
          <w:spacing w:val="-4"/>
          <w:sz w:val="20"/>
          <w:szCs w:val="20"/>
        </w:rPr>
        <w:t xml:space="preserve"> </w:t>
      </w:r>
      <w:r w:rsidRPr="005827DA">
        <w:rPr>
          <w:rFonts w:ascii="Arial" w:hAnsi="Arial" w:cs="Arial"/>
          <w:sz w:val="20"/>
          <w:szCs w:val="20"/>
        </w:rPr>
        <w:t>follows</w:t>
      </w:r>
      <w:r w:rsidRPr="005827DA">
        <w:rPr>
          <w:rFonts w:ascii="Arial" w:hAnsi="Arial" w:cs="Arial"/>
          <w:spacing w:val="-5"/>
          <w:sz w:val="20"/>
          <w:szCs w:val="20"/>
        </w:rPr>
        <w:t xml:space="preserve"> </w:t>
      </w:r>
      <w:r w:rsidRPr="005827DA">
        <w:rPr>
          <w:rFonts w:ascii="Arial" w:hAnsi="Arial" w:cs="Arial"/>
          <w:sz w:val="20"/>
          <w:szCs w:val="20"/>
        </w:rPr>
        <w:t>that</w:t>
      </w:r>
      <w:r w:rsidRPr="005827DA">
        <w:rPr>
          <w:rFonts w:ascii="Arial" w:hAnsi="Arial" w:cs="Arial"/>
          <w:spacing w:val="-3"/>
          <w:sz w:val="20"/>
          <w:szCs w:val="20"/>
        </w:rPr>
        <w:t xml:space="preserve"> </w:t>
      </w:r>
      <w:r w:rsidRPr="005827DA">
        <w:rPr>
          <w:rFonts w:ascii="Arial" w:hAnsi="Arial" w:cs="Arial"/>
          <w:sz w:val="20"/>
          <w:szCs w:val="20"/>
        </w:rPr>
        <w:t>student</w:t>
      </w:r>
      <w:r w:rsidRPr="005827DA">
        <w:rPr>
          <w:rFonts w:ascii="Arial" w:hAnsi="Arial" w:cs="Arial"/>
          <w:spacing w:val="-3"/>
          <w:sz w:val="20"/>
          <w:szCs w:val="20"/>
        </w:rPr>
        <w:t xml:space="preserve"> </w:t>
      </w:r>
      <w:r w:rsidRPr="005827DA">
        <w:rPr>
          <w:rFonts w:ascii="Arial" w:hAnsi="Arial" w:cs="Arial"/>
          <w:sz w:val="20"/>
          <w:szCs w:val="20"/>
        </w:rPr>
        <w:t>instructors</w:t>
      </w:r>
      <w:r w:rsidRPr="005827DA">
        <w:rPr>
          <w:rFonts w:ascii="Arial" w:hAnsi="Arial" w:cs="Arial"/>
          <w:spacing w:val="-6"/>
          <w:sz w:val="20"/>
          <w:szCs w:val="20"/>
        </w:rPr>
        <w:t xml:space="preserve"> </w:t>
      </w:r>
      <w:r w:rsidRPr="005827DA">
        <w:rPr>
          <w:rFonts w:ascii="Arial" w:hAnsi="Arial" w:cs="Arial"/>
          <w:sz w:val="20"/>
          <w:szCs w:val="20"/>
        </w:rPr>
        <w:t>will</w:t>
      </w:r>
      <w:r w:rsidRPr="005827DA">
        <w:rPr>
          <w:rFonts w:ascii="Arial" w:hAnsi="Arial" w:cs="Arial"/>
          <w:spacing w:val="-4"/>
          <w:sz w:val="20"/>
          <w:szCs w:val="20"/>
        </w:rPr>
        <w:t xml:space="preserve"> </w:t>
      </w:r>
      <w:r w:rsidRPr="005827DA">
        <w:rPr>
          <w:rFonts w:ascii="Arial" w:hAnsi="Arial" w:cs="Arial"/>
          <w:sz w:val="20"/>
          <w:szCs w:val="20"/>
        </w:rPr>
        <w:t>eventually</w:t>
      </w:r>
      <w:r w:rsidRPr="005827DA">
        <w:rPr>
          <w:rFonts w:ascii="Arial" w:hAnsi="Arial" w:cs="Arial"/>
          <w:spacing w:val="-3"/>
          <w:sz w:val="20"/>
          <w:szCs w:val="20"/>
        </w:rPr>
        <w:t xml:space="preserve"> </w:t>
      </w:r>
      <w:r w:rsidRPr="005827DA">
        <w:rPr>
          <w:rFonts w:ascii="Arial" w:hAnsi="Arial" w:cs="Arial"/>
          <w:sz w:val="20"/>
          <w:szCs w:val="20"/>
        </w:rPr>
        <w:t>be</w:t>
      </w:r>
      <w:r w:rsidRPr="005827DA">
        <w:rPr>
          <w:rFonts w:ascii="Arial" w:hAnsi="Arial" w:cs="Arial"/>
          <w:spacing w:val="-3"/>
          <w:sz w:val="20"/>
          <w:szCs w:val="20"/>
        </w:rPr>
        <w:t xml:space="preserve"> </w:t>
      </w:r>
      <w:r w:rsidRPr="005827DA">
        <w:rPr>
          <w:rFonts w:ascii="Arial" w:hAnsi="Arial" w:cs="Arial"/>
          <w:sz w:val="20"/>
          <w:szCs w:val="20"/>
        </w:rPr>
        <w:t>faced</w:t>
      </w:r>
      <w:r w:rsidRPr="005827DA">
        <w:rPr>
          <w:rFonts w:ascii="Arial" w:hAnsi="Arial" w:cs="Arial"/>
          <w:spacing w:val="-3"/>
          <w:sz w:val="20"/>
          <w:szCs w:val="20"/>
        </w:rPr>
        <w:t xml:space="preserve"> </w:t>
      </w:r>
      <w:r w:rsidRPr="005827DA">
        <w:rPr>
          <w:rFonts w:ascii="Arial" w:hAnsi="Arial" w:cs="Arial"/>
          <w:sz w:val="20"/>
          <w:szCs w:val="20"/>
        </w:rPr>
        <w:t>with</w:t>
      </w:r>
      <w:r w:rsidRPr="005827DA">
        <w:rPr>
          <w:rFonts w:ascii="Arial" w:hAnsi="Arial" w:cs="Arial"/>
          <w:spacing w:val="-3"/>
          <w:sz w:val="20"/>
          <w:szCs w:val="20"/>
        </w:rPr>
        <w:t xml:space="preserve"> </w:t>
      </w:r>
      <w:r w:rsidRPr="005827DA">
        <w:rPr>
          <w:rFonts w:ascii="Arial" w:hAnsi="Arial" w:cs="Arial"/>
          <w:sz w:val="20"/>
          <w:szCs w:val="20"/>
        </w:rPr>
        <w:t>similar</w:t>
      </w:r>
      <w:r w:rsidRPr="005827DA">
        <w:rPr>
          <w:rFonts w:ascii="Arial" w:hAnsi="Arial" w:cs="Arial"/>
          <w:spacing w:val="-4"/>
          <w:sz w:val="20"/>
          <w:szCs w:val="20"/>
        </w:rPr>
        <w:t xml:space="preserve"> </w:t>
      </w:r>
      <w:r w:rsidRPr="005827DA">
        <w:rPr>
          <w:rFonts w:ascii="Arial" w:hAnsi="Arial" w:cs="Arial"/>
          <w:sz w:val="20"/>
          <w:szCs w:val="20"/>
        </w:rPr>
        <w:t>inter-</w:t>
      </w:r>
      <w:r w:rsidRPr="005827DA">
        <w:rPr>
          <w:rFonts w:ascii="Arial" w:hAnsi="Arial" w:cs="Arial"/>
          <w:spacing w:val="-47"/>
          <w:sz w:val="20"/>
          <w:szCs w:val="20"/>
        </w:rPr>
        <w:t xml:space="preserve"> </w:t>
      </w:r>
      <w:r w:rsidRPr="005827DA">
        <w:rPr>
          <w:rFonts w:ascii="Arial" w:hAnsi="Arial" w:cs="Arial"/>
          <w:sz w:val="20"/>
          <w:szCs w:val="20"/>
        </w:rPr>
        <w:t>related factors. They should be shown and taught how to develop flight</w:t>
      </w:r>
      <w:r w:rsidRPr="005827DA">
        <w:rPr>
          <w:rFonts w:ascii="Arial" w:hAnsi="Arial" w:cs="Arial"/>
          <w:spacing w:val="1"/>
          <w:sz w:val="20"/>
          <w:szCs w:val="20"/>
        </w:rPr>
        <w:t xml:space="preserve"> </w:t>
      </w:r>
      <w:r w:rsidRPr="005827DA">
        <w:rPr>
          <w:rFonts w:ascii="Arial" w:hAnsi="Arial" w:cs="Arial"/>
          <w:sz w:val="20"/>
          <w:szCs w:val="20"/>
        </w:rPr>
        <w:t>lesson</w:t>
      </w:r>
      <w:r w:rsidRPr="005827DA">
        <w:rPr>
          <w:rFonts w:ascii="Arial" w:hAnsi="Arial" w:cs="Arial"/>
          <w:spacing w:val="-6"/>
          <w:sz w:val="20"/>
          <w:szCs w:val="20"/>
        </w:rPr>
        <w:t xml:space="preserve"> </w:t>
      </w:r>
      <w:r w:rsidRPr="005827DA">
        <w:rPr>
          <w:rFonts w:ascii="Arial" w:hAnsi="Arial" w:cs="Arial"/>
          <w:sz w:val="20"/>
          <w:szCs w:val="20"/>
        </w:rPr>
        <w:t>plans,</w:t>
      </w:r>
      <w:r w:rsidRPr="005827DA">
        <w:rPr>
          <w:rFonts w:ascii="Arial" w:hAnsi="Arial" w:cs="Arial"/>
          <w:spacing w:val="-7"/>
          <w:sz w:val="20"/>
          <w:szCs w:val="20"/>
        </w:rPr>
        <w:t xml:space="preserve"> </w:t>
      </w:r>
      <w:r w:rsidRPr="005827DA">
        <w:rPr>
          <w:rFonts w:ascii="Arial" w:hAnsi="Arial" w:cs="Arial"/>
          <w:sz w:val="20"/>
          <w:szCs w:val="20"/>
        </w:rPr>
        <w:t>taking</w:t>
      </w:r>
      <w:r w:rsidRPr="005827DA">
        <w:rPr>
          <w:rFonts w:ascii="Arial" w:hAnsi="Arial" w:cs="Arial"/>
          <w:spacing w:val="-6"/>
          <w:sz w:val="20"/>
          <w:szCs w:val="20"/>
        </w:rPr>
        <w:t xml:space="preserve"> </w:t>
      </w:r>
      <w:r w:rsidRPr="005827DA">
        <w:rPr>
          <w:rFonts w:ascii="Arial" w:hAnsi="Arial" w:cs="Arial"/>
          <w:sz w:val="20"/>
          <w:szCs w:val="20"/>
        </w:rPr>
        <w:t>these</w:t>
      </w:r>
      <w:r w:rsidRPr="005827DA">
        <w:rPr>
          <w:rFonts w:ascii="Arial" w:hAnsi="Arial" w:cs="Arial"/>
          <w:spacing w:val="-4"/>
          <w:sz w:val="20"/>
          <w:szCs w:val="20"/>
        </w:rPr>
        <w:t xml:space="preserve"> </w:t>
      </w:r>
      <w:r w:rsidRPr="005827DA">
        <w:rPr>
          <w:rFonts w:ascii="Arial" w:hAnsi="Arial" w:cs="Arial"/>
          <w:sz w:val="20"/>
          <w:szCs w:val="20"/>
        </w:rPr>
        <w:t>factors</w:t>
      </w:r>
      <w:r w:rsidRPr="005827DA">
        <w:rPr>
          <w:rFonts w:ascii="Arial" w:hAnsi="Arial" w:cs="Arial"/>
          <w:spacing w:val="-7"/>
          <w:sz w:val="20"/>
          <w:szCs w:val="20"/>
        </w:rPr>
        <w:t xml:space="preserve"> </w:t>
      </w:r>
      <w:r w:rsidRPr="005827DA">
        <w:rPr>
          <w:rFonts w:ascii="Arial" w:hAnsi="Arial" w:cs="Arial"/>
          <w:sz w:val="20"/>
          <w:szCs w:val="20"/>
        </w:rPr>
        <w:t>into</w:t>
      </w:r>
      <w:r w:rsidRPr="005827DA">
        <w:rPr>
          <w:rFonts w:ascii="Arial" w:hAnsi="Arial" w:cs="Arial"/>
          <w:spacing w:val="-6"/>
          <w:sz w:val="20"/>
          <w:szCs w:val="20"/>
        </w:rPr>
        <w:t xml:space="preserve"> </w:t>
      </w:r>
      <w:r w:rsidRPr="005827DA">
        <w:rPr>
          <w:rFonts w:ascii="Arial" w:hAnsi="Arial" w:cs="Arial"/>
          <w:sz w:val="20"/>
          <w:szCs w:val="20"/>
        </w:rPr>
        <w:t>account,</w:t>
      </w:r>
      <w:r w:rsidRPr="005827DA">
        <w:rPr>
          <w:rFonts w:ascii="Arial" w:hAnsi="Arial" w:cs="Arial"/>
          <w:spacing w:val="-4"/>
          <w:sz w:val="20"/>
          <w:szCs w:val="20"/>
        </w:rPr>
        <w:t xml:space="preserve"> </w:t>
      </w:r>
      <w:r w:rsidRPr="005827DA">
        <w:rPr>
          <w:rFonts w:ascii="Arial" w:hAnsi="Arial" w:cs="Arial"/>
          <w:sz w:val="20"/>
          <w:szCs w:val="20"/>
        </w:rPr>
        <w:t>so</w:t>
      </w:r>
      <w:r w:rsidRPr="005827DA">
        <w:rPr>
          <w:rFonts w:ascii="Arial" w:hAnsi="Arial" w:cs="Arial"/>
          <w:spacing w:val="-3"/>
          <w:sz w:val="20"/>
          <w:szCs w:val="20"/>
        </w:rPr>
        <w:t xml:space="preserve"> </w:t>
      </w:r>
      <w:r w:rsidRPr="005827DA">
        <w:rPr>
          <w:rFonts w:ascii="Arial" w:hAnsi="Arial" w:cs="Arial"/>
          <w:sz w:val="20"/>
          <w:szCs w:val="20"/>
        </w:rPr>
        <w:t>as</w:t>
      </w:r>
      <w:r w:rsidRPr="005827DA">
        <w:rPr>
          <w:rFonts w:ascii="Arial" w:hAnsi="Arial" w:cs="Arial"/>
          <w:spacing w:val="-7"/>
          <w:sz w:val="20"/>
          <w:szCs w:val="20"/>
        </w:rPr>
        <w:t xml:space="preserve"> </w:t>
      </w:r>
      <w:r w:rsidRPr="005827DA">
        <w:rPr>
          <w:rFonts w:ascii="Arial" w:hAnsi="Arial" w:cs="Arial"/>
          <w:sz w:val="20"/>
          <w:szCs w:val="20"/>
        </w:rPr>
        <w:t>to</w:t>
      </w:r>
      <w:r w:rsidRPr="005827DA">
        <w:rPr>
          <w:rFonts w:ascii="Arial" w:hAnsi="Arial" w:cs="Arial"/>
          <w:spacing w:val="-6"/>
          <w:sz w:val="20"/>
          <w:szCs w:val="20"/>
        </w:rPr>
        <w:t xml:space="preserve"> </w:t>
      </w:r>
      <w:r w:rsidRPr="005827DA">
        <w:rPr>
          <w:rFonts w:ascii="Arial" w:hAnsi="Arial" w:cs="Arial"/>
          <w:sz w:val="20"/>
          <w:szCs w:val="20"/>
        </w:rPr>
        <w:t>make</w:t>
      </w:r>
      <w:r w:rsidRPr="005827DA">
        <w:rPr>
          <w:rFonts w:ascii="Arial" w:hAnsi="Arial" w:cs="Arial"/>
          <w:spacing w:val="-7"/>
          <w:sz w:val="20"/>
          <w:szCs w:val="20"/>
        </w:rPr>
        <w:t xml:space="preserve"> </w:t>
      </w:r>
      <w:r w:rsidRPr="005827DA">
        <w:rPr>
          <w:rFonts w:ascii="Arial" w:hAnsi="Arial" w:cs="Arial"/>
          <w:sz w:val="20"/>
          <w:szCs w:val="20"/>
        </w:rPr>
        <w:t>the</w:t>
      </w:r>
      <w:r w:rsidRPr="005827DA">
        <w:rPr>
          <w:rFonts w:ascii="Arial" w:hAnsi="Arial" w:cs="Arial"/>
          <w:spacing w:val="-5"/>
          <w:sz w:val="20"/>
          <w:szCs w:val="20"/>
        </w:rPr>
        <w:t xml:space="preserve"> </w:t>
      </w:r>
      <w:r w:rsidRPr="005827DA">
        <w:rPr>
          <w:rFonts w:ascii="Arial" w:hAnsi="Arial" w:cs="Arial"/>
          <w:sz w:val="20"/>
          <w:szCs w:val="20"/>
        </w:rPr>
        <w:t>best</w:t>
      </w:r>
      <w:r w:rsidRPr="005827DA">
        <w:rPr>
          <w:rFonts w:ascii="Arial" w:hAnsi="Arial" w:cs="Arial"/>
          <w:spacing w:val="-4"/>
          <w:sz w:val="20"/>
          <w:szCs w:val="20"/>
        </w:rPr>
        <w:t xml:space="preserve"> </w:t>
      </w:r>
      <w:r w:rsidRPr="005827DA">
        <w:rPr>
          <w:rFonts w:ascii="Arial" w:hAnsi="Arial" w:cs="Arial"/>
          <w:sz w:val="20"/>
          <w:szCs w:val="20"/>
        </w:rPr>
        <w:t>use</w:t>
      </w:r>
      <w:r w:rsidRPr="005827DA">
        <w:rPr>
          <w:rFonts w:ascii="Arial" w:hAnsi="Arial" w:cs="Arial"/>
          <w:spacing w:val="-6"/>
          <w:sz w:val="20"/>
          <w:szCs w:val="20"/>
        </w:rPr>
        <w:t xml:space="preserve"> </w:t>
      </w:r>
      <w:r w:rsidRPr="005827DA">
        <w:rPr>
          <w:rFonts w:ascii="Arial" w:hAnsi="Arial" w:cs="Arial"/>
          <w:sz w:val="20"/>
          <w:szCs w:val="20"/>
        </w:rPr>
        <w:t>of</w:t>
      </w:r>
      <w:r w:rsidRPr="005827DA">
        <w:rPr>
          <w:rFonts w:ascii="Arial" w:hAnsi="Arial" w:cs="Arial"/>
          <w:spacing w:val="-47"/>
          <w:sz w:val="20"/>
          <w:szCs w:val="20"/>
        </w:rPr>
        <w:t xml:space="preserve"> </w:t>
      </w:r>
      <w:r w:rsidRPr="005827DA">
        <w:rPr>
          <w:rFonts w:ascii="Arial" w:hAnsi="Arial" w:cs="Arial"/>
          <w:sz w:val="20"/>
          <w:szCs w:val="20"/>
        </w:rPr>
        <w:t>each</w:t>
      </w:r>
      <w:r w:rsidRPr="005827DA">
        <w:rPr>
          <w:rFonts w:ascii="Arial" w:hAnsi="Arial" w:cs="Arial"/>
          <w:spacing w:val="-1"/>
          <w:sz w:val="20"/>
          <w:szCs w:val="20"/>
        </w:rPr>
        <w:t xml:space="preserve"> </w:t>
      </w:r>
      <w:r w:rsidRPr="005827DA">
        <w:rPr>
          <w:rFonts w:ascii="Arial" w:hAnsi="Arial" w:cs="Arial"/>
          <w:sz w:val="20"/>
          <w:szCs w:val="20"/>
        </w:rPr>
        <w:t>flight</w:t>
      </w:r>
      <w:r w:rsidRPr="005827DA">
        <w:rPr>
          <w:rFonts w:ascii="Arial" w:hAnsi="Arial" w:cs="Arial"/>
          <w:spacing w:val="-1"/>
          <w:sz w:val="20"/>
          <w:szCs w:val="20"/>
        </w:rPr>
        <w:t xml:space="preserve"> </w:t>
      </w:r>
      <w:r w:rsidRPr="005827DA">
        <w:rPr>
          <w:rFonts w:ascii="Arial" w:hAnsi="Arial" w:cs="Arial"/>
          <w:sz w:val="20"/>
          <w:szCs w:val="20"/>
        </w:rPr>
        <w:t>lesson,</w:t>
      </w:r>
      <w:r w:rsidRPr="005827DA">
        <w:rPr>
          <w:rFonts w:ascii="Arial" w:hAnsi="Arial" w:cs="Arial"/>
          <w:spacing w:val="-3"/>
          <w:sz w:val="20"/>
          <w:szCs w:val="20"/>
        </w:rPr>
        <w:t xml:space="preserve"> </w:t>
      </w:r>
      <w:r w:rsidRPr="005827DA">
        <w:rPr>
          <w:rFonts w:ascii="Arial" w:hAnsi="Arial" w:cs="Arial"/>
          <w:sz w:val="20"/>
          <w:szCs w:val="20"/>
        </w:rPr>
        <w:t>combining</w:t>
      </w:r>
      <w:r w:rsidRPr="005827DA">
        <w:rPr>
          <w:rFonts w:ascii="Arial" w:hAnsi="Arial" w:cs="Arial"/>
          <w:spacing w:val="-2"/>
          <w:sz w:val="20"/>
          <w:szCs w:val="20"/>
        </w:rPr>
        <w:t xml:space="preserve"> </w:t>
      </w:r>
      <w:r w:rsidRPr="005827DA">
        <w:rPr>
          <w:rFonts w:ascii="Arial" w:hAnsi="Arial" w:cs="Arial"/>
          <w:sz w:val="20"/>
          <w:szCs w:val="20"/>
        </w:rPr>
        <w:t>parts of</w:t>
      </w:r>
      <w:r w:rsidRPr="005827DA">
        <w:rPr>
          <w:rFonts w:ascii="Arial" w:hAnsi="Arial" w:cs="Arial"/>
          <w:spacing w:val="-4"/>
          <w:sz w:val="20"/>
          <w:szCs w:val="20"/>
        </w:rPr>
        <w:t xml:space="preserve"> </w:t>
      </w:r>
      <w:r w:rsidRPr="005827DA">
        <w:rPr>
          <w:rFonts w:ascii="Arial" w:hAnsi="Arial" w:cs="Arial"/>
          <w:sz w:val="20"/>
          <w:szCs w:val="20"/>
        </w:rPr>
        <w:t>the</w:t>
      </w:r>
      <w:r w:rsidRPr="005827DA">
        <w:rPr>
          <w:rFonts w:ascii="Arial" w:hAnsi="Arial" w:cs="Arial"/>
          <w:spacing w:val="-3"/>
          <w:sz w:val="20"/>
          <w:szCs w:val="20"/>
        </w:rPr>
        <w:t xml:space="preserve"> </w:t>
      </w:r>
      <w:r w:rsidRPr="005827DA">
        <w:rPr>
          <w:rFonts w:ascii="Arial" w:hAnsi="Arial" w:cs="Arial"/>
          <w:sz w:val="20"/>
          <w:szCs w:val="20"/>
        </w:rPr>
        <w:t>set</w:t>
      </w:r>
      <w:r w:rsidRPr="005827DA">
        <w:rPr>
          <w:rFonts w:ascii="Arial" w:hAnsi="Arial" w:cs="Arial"/>
          <w:spacing w:val="-2"/>
          <w:sz w:val="20"/>
          <w:szCs w:val="20"/>
        </w:rPr>
        <w:t xml:space="preserve"> </w:t>
      </w:r>
      <w:r w:rsidRPr="005827DA">
        <w:rPr>
          <w:rFonts w:ascii="Arial" w:hAnsi="Arial" w:cs="Arial"/>
          <w:sz w:val="20"/>
          <w:szCs w:val="20"/>
        </w:rPr>
        <w:t>exercises</w:t>
      </w:r>
      <w:r w:rsidRPr="005827DA">
        <w:rPr>
          <w:rFonts w:ascii="Arial" w:hAnsi="Arial" w:cs="Arial"/>
          <w:spacing w:val="-1"/>
          <w:sz w:val="20"/>
          <w:szCs w:val="20"/>
        </w:rPr>
        <w:t xml:space="preserve"> </w:t>
      </w:r>
      <w:r w:rsidRPr="005827DA">
        <w:rPr>
          <w:rFonts w:ascii="Arial" w:hAnsi="Arial" w:cs="Arial"/>
          <w:sz w:val="20"/>
          <w:szCs w:val="20"/>
        </w:rPr>
        <w:t>as necessary.</w:t>
      </w:r>
    </w:p>
    <w:p w14:paraId="3B97801A" w14:textId="77777777" w:rsidR="00F20810" w:rsidRPr="005827DA" w:rsidRDefault="00F20810" w:rsidP="005827DA">
      <w:pPr>
        <w:pStyle w:val="ListParagraph"/>
        <w:numPr>
          <w:ilvl w:val="2"/>
          <w:numId w:val="240"/>
        </w:numPr>
        <w:tabs>
          <w:tab w:val="left" w:pos="90"/>
          <w:tab w:val="left" w:pos="1842"/>
        </w:tabs>
        <w:spacing w:before="121" w:line="276" w:lineRule="auto"/>
        <w:ind w:right="68" w:hanging="436"/>
        <w:jc w:val="both"/>
        <w:rPr>
          <w:rFonts w:ascii="Arial" w:hAnsi="Arial" w:cs="Arial"/>
          <w:sz w:val="20"/>
          <w:szCs w:val="20"/>
        </w:rPr>
      </w:pPr>
      <w:r w:rsidRPr="005827DA">
        <w:rPr>
          <w:rFonts w:ascii="Arial" w:hAnsi="Arial" w:cs="Arial"/>
          <w:sz w:val="20"/>
          <w:szCs w:val="20"/>
        </w:rPr>
        <w:t>Briefings</w:t>
      </w:r>
      <w:r w:rsidRPr="005827DA">
        <w:rPr>
          <w:rFonts w:ascii="Arial" w:hAnsi="Arial" w:cs="Arial"/>
          <w:spacing w:val="-1"/>
          <w:sz w:val="20"/>
          <w:szCs w:val="20"/>
        </w:rPr>
        <w:t xml:space="preserve"> </w:t>
      </w:r>
      <w:r w:rsidRPr="005827DA">
        <w:rPr>
          <w:rFonts w:ascii="Arial" w:hAnsi="Arial" w:cs="Arial"/>
          <w:sz w:val="20"/>
          <w:szCs w:val="20"/>
        </w:rPr>
        <w:t>and</w:t>
      </w:r>
      <w:r w:rsidRPr="005827DA">
        <w:rPr>
          <w:rFonts w:ascii="Arial" w:hAnsi="Arial" w:cs="Arial"/>
          <w:spacing w:val="-1"/>
          <w:sz w:val="20"/>
          <w:szCs w:val="20"/>
        </w:rPr>
        <w:t xml:space="preserve"> </w:t>
      </w:r>
      <w:r w:rsidRPr="005827DA">
        <w:rPr>
          <w:rFonts w:ascii="Arial" w:hAnsi="Arial" w:cs="Arial"/>
          <w:sz w:val="20"/>
          <w:szCs w:val="20"/>
        </w:rPr>
        <w:t>debriefings</w:t>
      </w:r>
    </w:p>
    <w:p w14:paraId="3E1A4966" w14:textId="77777777" w:rsidR="00F20810" w:rsidRPr="005827DA" w:rsidRDefault="00F20810" w:rsidP="005827DA">
      <w:pPr>
        <w:pStyle w:val="ListParagraph"/>
        <w:numPr>
          <w:ilvl w:val="3"/>
          <w:numId w:val="240"/>
        </w:numPr>
        <w:tabs>
          <w:tab w:val="left" w:pos="90"/>
          <w:tab w:val="left" w:pos="2409"/>
        </w:tabs>
        <w:spacing w:before="121"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3"/>
          <w:sz w:val="20"/>
          <w:szCs w:val="20"/>
        </w:rPr>
        <w:t xml:space="preserve"> </w:t>
      </w:r>
      <w:r w:rsidRPr="005827DA">
        <w:rPr>
          <w:rFonts w:ascii="Arial" w:hAnsi="Arial" w:cs="Arial"/>
          <w:sz w:val="20"/>
          <w:szCs w:val="20"/>
        </w:rPr>
        <w:t>briefing</w:t>
      </w:r>
      <w:r w:rsidRPr="005827DA">
        <w:rPr>
          <w:rFonts w:ascii="Arial" w:hAnsi="Arial" w:cs="Arial"/>
          <w:spacing w:val="-3"/>
          <w:sz w:val="20"/>
          <w:szCs w:val="20"/>
        </w:rPr>
        <w:t xml:space="preserve"> </w:t>
      </w:r>
      <w:r w:rsidRPr="005827DA">
        <w:rPr>
          <w:rFonts w:ascii="Arial" w:hAnsi="Arial" w:cs="Arial"/>
          <w:sz w:val="20"/>
          <w:szCs w:val="20"/>
        </w:rPr>
        <w:t>normally</w:t>
      </w:r>
      <w:r w:rsidRPr="005827DA">
        <w:rPr>
          <w:rFonts w:ascii="Arial" w:hAnsi="Arial" w:cs="Arial"/>
          <w:spacing w:val="-3"/>
          <w:sz w:val="20"/>
          <w:szCs w:val="20"/>
        </w:rPr>
        <w:t xml:space="preserve"> </w:t>
      </w:r>
      <w:r w:rsidRPr="005827DA">
        <w:rPr>
          <w:rFonts w:ascii="Arial" w:hAnsi="Arial" w:cs="Arial"/>
          <w:sz w:val="20"/>
          <w:szCs w:val="20"/>
        </w:rPr>
        <w:t>includes</w:t>
      </w:r>
      <w:r w:rsidRPr="005827DA">
        <w:rPr>
          <w:rFonts w:ascii="Arial" w:hAnsi="Arial" w:cs="Arial"/>
          <w:spacing w:val="-1"/>
          <w:sz w:val="20"/>
          <w:szCs w:val="20"/>
        </w:rPr>
        <w:t xml:space="preserve"> </w:t>
      </w:r>
      <w:r w:rsidRPr="005827DA">
        <w:rPr>
          <w:rFonts w:ascii="Arial" w:hAnsi="Arial" w:cs="Arial"/>
          <w:sz w:val="20"/>
          <w:szCs w:val="20"/>
        </w:rPr>
        <w:t>a</w:t>
      </w:r>
      <w:r w:rsidRPr="005827DA">
        <w:rPr>
          <w:rFonts w:ascii="Arial" w:hAnsi="Arial" w:cs="Arial"/>
          <w:spacing w:val="-3"/>
          <w:sz w:val="20"/>
          <w:szCs w:val="20"/>
        </w:rPr>
        <w:t xml:space="preserve"> </w:t>
      </w:r>
      <w:r w:rsidRPr="005827DA">
        <w:rPr>
          <w:rFonts w:ascii="Arial" w:hAnsi="Arial" w:cs="Arial"/>
          <w:sz w:val="20"/>
          <w:szCs w:val="20"/>
        </w:rPr>
        <w:t>statement</w:t>
      </w:r>
      <w:r w:rsidRPr="005827DA">
        <w:rPr>
          <w:rFonts w:ascii="Arial" w:hAnsi="Arial" w:cs="Arial"/>
          <w:spacing w:val="-2"/>
          <w:sz w:val="20"/>
          <w:szCs w:val="20"/>
        </w:rPr>
        <w:t xml:space="preserve"> </w:t>
      </w:r>
      <w:r w:rsidRPr="005827DA">
        <w:rPr>
          <w:rFonts w:ascii="Arial" w:hAnsi="Arial" w:cs="Arial"/>
          <w:sz w:val="20"/>
          <w:szCs w:val="20"/>
        </w:rPr>
        <w:t>of</w:t>
      </w:r>
      <w:r w:rsidRPr="005827DA">
        <w:rPr>
          <w:rFonts w:ascii="Arial" w:hAnsi="Arial" w:cs="Arial"/>
          <w:spacing w:val="-2"/>
          <w:sz w:val="20"/>
          <w:szCs w:val="20"/>
        </w:rPr>
        <w:t xml:space="preserve"> </w:t>
      </w:r>
      <w:r w:rsidRPr="005827DA">
        <w:rPr>
          <w:rFonts w:ascii="Arial" w:hAnsi="Arial" w:cs="Arial"/>
          <w:sz w:val="20"/>
          <w:szCs w:val="20"/>
        </w:rPr>
        <w:t>the</w:t>
      </w:r>
      <w:r w:rsidRPr="005827DA">
        <w:rPr>
          <w:rFonts w:ascii="Arial" w:hAnsi="Arial" w:cs="Arial"/>
          <w:spacing w:val="-3"/>
          <w:sz w:val="20"/>
          <w:szCs w:val="20"/>
        </w:rPr>
        <w:t xml:space="preserve"> </w:t>
      </w:r>
      <w:r w:rsidRPr="005827DA">
        <w:rPr>
          <w:rFonts w:ascii="Arial" w:hAnsi="Arial" w:cs="Arial"/>
          <w:sz w:val="20"/>
          <w:szCs w:val="20"/>
        </w:rPr>
        <w:t>aim</w:t>
      </w:r>
      <w:r w:rsidRPr="005827DA">
        <w:rPr>
          <w:rFonts w:ascii="Arial" w:hAnsi="Arial" w:cs="Arial"/>
          <w:spacing w:val="-4"/>
          <w:sz w:val="20"/>
          <w:szCs w:val="20"/>
        </w:rPr>
        <w:t xml:space="preserve"> </w:t>
      </w:r>
      <w:r w:rsidRPr="005827DA">
        <w:rPr>
          <w:rFonts w:ascii="Arial" w:hAnsi="Arial" w:cs="Arial"/>
          <w:sz w:val="20"/>
          <w:szCs w:val="20"/>
        </w:rPr>
        <w:t>and</w:t>
      </w:r>
      <w:r w:rsidRPr="005827DA">
        <w:rPr>
          <w:rFonts w:ascii="Arial" w:hAnsi="Arial" w:cs="Arial"/>
          <w:spacing w:val="-4"/>
          <w:sz w:val="20"/>
          <w:szCs w:val="20"/>
        </w:rPr>
        <w:t xml:space="preserve"> </w:t>
      </w:r>
      <w:r w:rsidRPr="005827DA">
        <w:rPr>
          <w:rFonts w:ascii="Arial" w:hAnsi="Arial" w:cs="Arial"/>
          <w:sz w:val="20"/>
          <w:szCs w:val="20"/>
        </w:rPr>
        <w:t>a</w:t>
      </w:r>
      <w:r w:rsidRPr="005827DA">
        <w:rPr>
          <w:rFonts w:ascii="Arial" w:hAnsi="Arial" w:cs="Arial"/>
          <w:spacing w:val="-2"/>
          <w:sz w:val="20"/>
          <w:szCs w:val="20"/>
        </w:rPr>
        <w:t xml:space="preserve"> </w:t>
      </w:r>
      <w:r w:rsidRPr="005827DA">
        <w:rPr>
          <w:rFonts w:ascii="Arial" w:hAnsi="Arial" w:cs="Arial"/>
          <w:sz w:val="20"/>
          <w:szCs w:val="20"/>
        </w:rPr>
        <w:t>brief</w:t>
      </w:r>
      <w:r w:rsidRPr="005827DA">
        <w:rPr>
          <w:rFonts w:ascii="Arial" w:hAnsi="Arial" w:cs="Arial"/>
          <w:spacing w:val="-3"/>
          <w:sz w:val="20"/>
          <w:szCs w:val="20"/>
        </w:rPr>
        <w:t xml:space="preserve"> </w:t>
      </w:r>
      <w:r w:rsidRPr="005827DA">
        <w:rPr>
          <w:rFonts w:ascii="Arial" w:hAnsi="Arial" w:cs="Arial"/>
          <w:sz w:val="20"/>
          <w:szCs w:val="20"/>
        </w:rPr>
        <w:t>allusion</w:t>
      </w:r>
      <w:r w:rsidRPr="005827DA">
        <w:rPr>
          <w:rFonts w:ascii="Arial" w:hAnsi="Arial" w:cs="Arial"/>
          <w:spacing w:val="-3"/>
          <w:sz w:val="20"/>
          <w:szCs w:val="20"/>
        </w:rPr>
        <w:t xml:space="preserve"> </w:t>
      </w:r>
      <w:r w:rsidRPr="005827DA">
        <w:rPr>
          <w:rFonts w:ascii="Arial" w:hAnsi="Arial" w:cs="Arial"/>
          <w:sz w:val="20"/>
          <w:szCs w:val="20"/>
        </w:rPr>
        <w:t>to</w:t>
      </w:r>
      <w:r w:rsidRPr="005827DA">
        <w:rPr>
          <w:rFonts w:ascii="Arial" w:hAnsi="Arial" w:cs="Arial"/>
          <w:spacing w:val="-47"/>
          <w:sz w:val="20"/>
          <w:szCs w:val="20"/>
        </w:rPr>
        <w:t xml:space="preserve"> </w:t>
      </w:r>
      <w:r w:rsidRPr="005827DA">
        <w:rPr>
          <w:rFonts w:ascii="Arial" w:hAnsi="Arial" w:cs="Arial"/>
          <w:sz w:val="20"/>
          <w:szCs w:val="20"/>
        </w:rPr>
        <w:t>principles of flight only if relevant. An explanation is to be given of exactly</w:t>
      </w:r>
      <w:r w:rsidRPr="005827DA">
        <w:rPr>
          <w:rFonts w:ascii="Arial" w:hAnsi="Arial" w:cs="Arial"/>
          <w:spacing w:val="1"/>
          <w:sz w:val="20"/>
          <w:szCs w:val="20"/>
        </w:rPr>
        <w:t xml:space="preserve"> </w:t>
      </w:r>
      <w:r w:rsidRPr="005827DA">
        <w:rPr>
          <w:rFonts w:ascii="Arial" w:hAnsi="Arial" w:cs="Arial"/>
          <w:sz w:val="20"/>
          <w:szCs w:val="20"/>
        </w:rPr>
        <w:lastRenderedPageBreak/>
        <w:t>which air exercises are to be taught by the instructor and practised by the</w:t>
      </w:r>
      <w:r w:rsidRPr="005827DA">
        <w:rPr>
          <w:rFonts w:ascii="Arial" w:hAnsi="Arial" w:cs="Arial"/>
          <w:spacing w:val="1"/>
          <w:sz w:val="20"/>
          <w:szCs w:val="20"/>
        </w:rPr>
        <w:t xml:space="preserve"> </w:t>
      </w:r>
      <w:r w:rsidRPr="005827DA">
        <w:rPr>
          <w:rFonts w:ascii="Arial" w:hAnsi="Arial" w:cs="Arial"/>
          <w:sz w:val="20"/>
          <w:szCs w:val="20"/>
        </w:rPr>
        <w:t>student during the flight. It should include how the flight will be conducted</w:t>
      </w:r>
      <w:r w:rsidRPr="005827DA">
        <w:rPr>
          <w:rFonts w:ascii="Arial" w:hAnsi="Arial" w:cs="Arial"/>
          <w:spacing w:val="1"/>
          <w:sz w:val="20"/>
          <w:szCs w:val="20"/>
        </w:rPr>
        <w:t xml:space="preserve"> </w:t>
      </w:r>
      <w:r w:rsidRPr="005827DA">
        <w:rPr>
          <w:rFonts w:ascii="Arial" w:hAnsi="Arial" w:cs="Arial"/>
          <w:sz w:val="20"/>
          <w:szCs w:val="20"/>
        </w:rPr>
        <w:t>with regard to who is to fly the aircraft and what airmanship, weather and</w:t>
      </w:r>
      <w:r w:rsidRPr="005827DA">
        <w:rPr>
          <w:rFonts w:ascii="Arial" w:hAnsi="Arial" w:cs="Arial"/>
          <w:spacing w:val="1"/>
          <w:sz w:val="20"/>
          <w:szCs w:val="20"/>
        </w:rPr>
        <w:t xml:space="preserve"> </w:t>
      </w:r>
      <w:r w:rsidRPr="005827DA">
        <w:rPr>
          <w:rFonts w:ascii="Arial" w:hAnsi="Arial" w:cs="Arial"/>
          <w:sz w:val="20"/>
          <w:szCs w:val="20"/>
        </w:rPr>
        <w:t>flight</w:t>
      </w:r>
      <w:r w:rsidRPr="005827DA">
        <w:rPr>
          <w:rFonts w:ascii="Arial" w:hAnsi="Arial" w:cs="Arial"/>
          <w:spacing w:val="-6"/>
          <w:sz w:val="20"/>
          <w:szCs w:val="20"/>
        </w:rPr>
        <w:t xml:space="preserve"> </w:t>
      </w:r>
      <w:r w:rsidRPr="005827DA">
        <w:rPr>
          <w:rFonts w:ascii="Arial" w:hAnsi="Arial" w:cs="Arial"/>
          <w:sz w:val="20"/>
          <w:szCs w:val="20"/>
        </w:rPr>
        <w:t>safety</w:t>
      </w:r>
      <w:r w:rsidRPr="005827DA">
        <w:rPr>
          <w:rFonts w:ascii="Arial" w:hAnsi="Arial" w:cs="Arial"/>
          <w:spacing w:val="-7"/>
          <w:sz w:val="20"/>
          <w:szCs w:val="20"/>
        </w:rPr>
        <w:t xml:space="preserve"> </w:t>
      </w:r>
      <w:r w:rsidRPr="005827DA">
        <w:rPr>
          <w:rFonts w:ascii="Arial" w:hAnsi="Arial" w:cs="Arial"/>
          <w:sz w:val="20"/>
          <w:szCs w:val="20"/>
        </w:rPr>
        <w:t>aspects</w:t>
      </w:r>
      <w:r w:rsidRPr="005827DA">
        <w:rPr>
          <w:rFonts w:ascii="Arial" w:hAnsi="Arial" w:cs="Arial"/>
          <w:spacing w:val="-6"/>
          <w:sz w:val="20"/>
          <w:szCs w:val="20"/>
        </w:rPr>
        <w:t xml:space="preserve"> </w:t>
      </w:r>
      <w:r w:rsidRPr="005827DA">
        <w:rPr>
          <w:rFonts w:ascii="Arial" w:hAnsi="Arial" w:cs="Arial"/>
          <w:sz w:val="20"/>
          <w:szCs w:val="20"/>
        </w:rPr>
        <w:t>currently</w:t>
      </w:r>
      <w:r w:rsidRPr="005827DA">
        <w:rPr>
          <w:rFonts w:ascii="Arial" w:hAnsi="Arial" w:cs="Arial"/>
          <w:spacing w:val="-5"/>
          <w:sz w:val="20"/>
          <w:szCs w:val="20"/>
        </w:rPr>
        <w:t xml:space="preserve"> </w:t>
      </w:r>
      <w:r w:rsidRPr="005827DA">
        <w:rPr>
          <w:rFonts w:ascii="Arial" w:hAnsi="Arial" w:cs="Arial"/>
          <w:sz w:val="20"/>
          <w:szCs w:val="20"/>
        </w:rPr>
        <w:t>apply.</w:t>
      </w:r>
      <w:r w:rsidRPr="005827DA">
        <w:rPr>
          <w:rFonts w:ascii="Arial" w:hAnsi="Arial" w:cs="Arial"/>
          <w:spacing w:val="-6"/>
          <w:sz w:val="20"/>
          <w:szCs w:val="20"/>
        </w:rPr>
        <w:t xml:space="preserve"> </w:t>
      </w:r>
      <w:r w:rsidRPr="005827DA">
        <w:rPr>
          <w:rFonts w:ascii="Arial" w:hAnsi="Arial" w:cs="Arial"/>
          <w:sz w:val="20"/>
          <w:szCs w:val="20"/>
        </w:rPr>
        <w:t>The</w:t>
      </w:r>
      <w:r w:rsidRPr="005827DA">
        <w:rPr>
          <w:rFonts w:ascii="Arial" w:hAnsi="Arial" w:cs="Arial"/>
          <w:spacing w:val="-5"/>
          <w:sz w:val="20"/>
          <w:szCs w:val="20"/>
        </w:rPr>
        <w:t xml:space="preserve"> </w:t>
      </w:r>
      <w:r w:rsidRPr="005827DA">
        <w:rPr>
          <w:rFonts w:ascii="Arial" w:hAnsi="Arial" w:cs="Arial"/>
          <w:sz w:val="20"/>
          <w:szCs w:val="20"/>
        </w:rPr>
        <w:t>nature</w:t>
      </w:r>
      <w:r w:rsidRPr="005827DA">
        <w:rPr>
          <w:rFonts w:ascii="Arial" w:hAnsi="Arial" w:cs="Arial"/>
          <w:spacing w:val="-7"/>
          <w:sz w:val="20"/>
          <w:szCs w:val="20"/>
        </w:rPr>
        <w:t xml:space="preserve"> </w:t>
      </w:r>
      <w:r w:rsidRPr="005827DA">
        <w:rPr>
          <w:rFonts w:ascii="Arial" w:hAnsi="Arial" w:cs="Arial"/>
          <w:sz w:val="20"/>
          <w:szCs w:val="20"/>
        </w:rPr>
        <w:t>of</w:t>
      </w:r>
      <w:r w:rsidRPr="005827DA">
        <w:rPr>
          <w:rFonts w:ascii="Arial" w:hAnsi="Arial" w:cs="Arial"/>
          <w:spacing w:val="-8"/>
          <w:sz w:val="20"/>
          <w:szCs w:val="20"/>
        </w:rPr>
        <w:t xml:space="preserve"> </w:t>
      </w:r>
      <w:r w:rsidRPr="005827DA">
        <w:rPr>
          <w:rFonts w:ascii="Arial" w:hAnsi="Arial" w:cs="Arial"/>
          <w:sz w:val="20"/>
          <w:szCs w:val="20"/>
        </w:rPr>
        <w:t>the</w:t>
      </w:r>
      <w:r w:rsidRPr="005827DA">
        <w:rPr>
          <w:rFonts w:ascii="Arial" w:hAnsi="Arial" w:cs="Arial"/>
          <w:spacing w:val="-8"/>
          <w:sz w:val="20"/>
          <w:szCs w:val="20"/>
        </w:rPr>
        <w:t xml:space="preserve"> </w:t>
      </w:r>
      <w:r w:rsidRPr="005827DA">
        <w:rPr>
          <w:rFonts w:ascii="Arial" w:hAnsi="Arial" w:cs="Arial"/>
          <w:sz w:val="20"/>
          <w:szCs w:val="20"/>
        </w:rPr>
        <w:t>lesson</w:t>
      </w:r>
      <w:r w:rsidRPr="005827DA">
        <w:rPr>
          <w:rFonts w:ascii="Arial" w:hAnsi="Arial" w:cs="Arial"/>
          <w:spacing w:val="-9"/>
          <w:sz w:val="20"/>
          <w:szCs w:val="20"/>
        </w:rPr>
        <w:t xml:space="preserve"> </w:t>
      </w:r>
      <w:r w:rsidRPr="005827DA">
        <w:rPr>
          <w:rFonts w:ascii="Arial" w:hAnsi="Arial" w:cs="Arial"/>
          <w:sz w:val="20"/>
          <w:szCs w:val="20"/>
        </w:rPr>
        <w:t>will</w:t>
      </w:r>
      <w:r w:rsidRPr="005827DA">
        <w:rPr>
          <w:rFonts w:ascii="Arial" w:hAnsi="Arial" w:cs="Arial"/>
          <w:spacing w:val="-9"/>
          <w:sz w:val="20"/>
          <w:szCs w:val="20"/>
        </w:rPr>
        <w:t xml:space="preserve"> </w:t>
      </w:r>
      <w:r w:rsidRPr="005827DA">
        <w:rPr>
          <w:rFonts w:ascii="Arial" w:hAnsi="Arial" w:cs="Arial"/>
          <w:sz w:val="20"/>
          <w:szCs w:val="20"/>
        </w:rPr>
        <w:t>govern</w:t>
      </w:r>
      <w:r w:rsidRPr="005827DA">
        <w:rPr>
          <w:rFonts w:ascii="Arial" w:hAnsi="Arial" w:cs="Arial"/>
          <w:spacing w:val="-8"/>
          <w:sz w:val="20"/>
          <w:szCs w:val="20"/>
        </w:rPr>
        <w:t xml:space="preserve"> </w:t>
      </w:r>
      <w:r w:rsidRPr="005827DA">
        <w:rPr>
          <w:rFonts w:ascii="Arial" w:hAnsi="Arial" w:cs="Arial"/>
          <w:sz w:val="20"/>
          <w:szCs w:val="20"/>
        </w:rPr>
        <w:t>the</w:t>
      </w:r>
      <w:r w:rsidRPr="005827DA">
        <w:rPr>
          <w:rFonts w:ascii="Arial" w:hAnsi="Arial" w:cs="Arial"/>
          <w:spacing w:val="-47"/>
          <w:sz w:val="20"/>
          <w:szCs w:val="20"/>
        </w:rPr>
        <w:t xml:space="preserve"> </w:t>
      </w:r>
      <w:r w:rsidRPr="005827DA">
        <w:rPr>
          <w:rFonts w:ascii="Arial" w:hAnsi="Arial" w:cs="Arial"/>
          <w:sz w:val="20"/>
          <w:szCs w:val="20"/>
        </w:rPr>
        <w:t>order</w:t>
      </w:r>
      <w:r w:rsidRPr="005827DA">
        <w:rPr>
          <w:rFonts w:ascii="Arial" w:hAnsi="Arial" w:cs="Arial"/>
          <w:spacing w:val="-1"/>
          <w:sz w:val="20"/>
          <w:szCs w:val="20"/>
        </w:rPr>
        <w:t xml:space="preserve"> </w:t>
      </w:r>
      <w:r w:rsidRPr="005827DA">
        <w:rPr>
          <w:rFonts w:ascii="Arial" w:hAnsi="Arial" w:cs="Arial"/>
          <w:sz w:val="20"/>
          <w:szCs w:val="20"/>
        </w:rPr>
        <w:t>in</w:t>
      </w:r>
      <w:r w:rsidRPr="005827DA">
        <w:rPr>
          <w:rFonts w:ascii="Arial" w:hAnsi="Arial" w:cs="Arial"/>
          <w:spacing w:val="-3"/>
          <w:sz w:val="20"/>
          <w:szCs w:val="20"/>
        </w:rPr>
        <w:t xml:space="preserve"> </w:t>
      </w:r>
      <w:r w:rsidRPr="005827DA">
        <w:rPr>
          <w:rFonts w:ascii="Arial" w:hAnsi="Arial" w:cs="Arial"/>
          <w:sz w:val="20"/>
          <w:szCs w:val="20"/>
        </w:rPr>
        <w:t>which</w:t>
      </w:r>
      <w:r w:rsidRPr="005827DA">
        <w:rPr>
          <w:rFonts w:ascii="Arial" w:hAnsi="Arial" w:cs="Arial"/>
          <w:spacing w:val="-1"/>
          <w:sz w:val="20"/>
          <w:szCs w:val="20"/>
        </w:rPr>
        <w:t xml:space="preserve"> </w:t>
      </w: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constituent parts</w:t>
      </w:r>
      <w:r w:rsidRPr="005827DA">
        <w:rPr>
          <w:rFonts w:ascii="Arial" w:hAnsi="Arial" w:cs="Arial"/>
          <w:spacing w:val="-2"/>
          <w:sz w:val="20"/>
          <w:szCs w:val="20"/>
        </w:rPr>
        <w:t xml:space="preserve"> </w:t>
      </w:r>
      <w:r w:rsidRPr="005827DA">
        <w:rPr>
          <w:rFonts w:ascii="Arial" w:hAnsi="Arial" w:cs="Arial"/>
          <w:sz w:val="20"/>
          <w:szCs w:val="20"/>
        </w:rPr>
        <w:t>are</w:t>
      </w:r>
      <w:r w:rsidRPr="005827DA">
        <w:rPr>
          <w:rFonts w:ascii="Arial" w:hAnsi="Arial" w:cs="Arial"/>
          <w:spacing w:val="-2"/>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be</w:t>
      </w:r>
      <w:r w:rsidRPr="005827DA">
        <w:rPr>
          <w:rFonts w:ascii="Arial" w:hAnsi="Arial" w:cs="Arial"/>
          <w:spacing w:val="3"/>
          <w:sz w:val="20"/>
          <w:szCs w:val="20"/>
        </w:rPr>
        <w:t xml:space="preserve"> </w:t>
      </w:r>
      <w:r w:rsidRPr="005827DA">
        <w:rPr>
          <w:rFonts w:ascii="Arial" w:hAnsi="Arial" w:cs="Arial"/>
          <w:sz w:val="20"/>
          <w:szCs w:val="20"/>
        </w:rPr>
        <w:t>taught.</w:t>
      </w:r>
    </w:p>
    <w:p w14:paraId="117EB3BC" w14:textId="77777777" w:rsidR="00F20810" w:rsidRPr="005827DA" w:rsidRDefault="00F20810" w:rsidP="005827DA">
      <w:pPr>
        <w:pStyle w:val="ListParagraph"/>
        <w:numPr>
          <w:ilvl w:val="3"/>
          <w:numId w:val="240"/>
        </w:numPr>
        <w:tabs>
          <w:tab w:val="left" w:pos="90"/>
          <w:tab w:val="left" w:pos="2409"/>
        </w:tabs>
        <w:spacing w:before="119"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five basic</w:t>
      </w:r>
      <w:r w:rsidRPr="005827DA">
        <w:rPr>
          <w:rFonts w:ascii="Arial" w:hAnsi="Arial" w:cs="Arial"/>
          <w:spacing w:val="-4"/>
          <w:sz w:val="20"/>
          <w:szCs w:val="20"/>
        </w:rPr>
        <w:t xml:space="preserve"> </w:t>
      </w:r>
      <w:r w:rsidRPr="005827DA">
        <w:rPr>
          <w:rFonts w:ascii="Arial" w:hAnsi="Arial" w:cs="Arial"/>
          <w:sz w:val="20"/>
          <w:szCs w:val="20"/>
        </w:rPr>
        <w:t>components</w:t>
      </w:r>
      <w:r w:rsidRPr="005827DA">
        <w:rPr>
          <w:rFonts w:ascii="Arial" w:hAnsi="Arial" w:cs="Arial"/>
          <w:spacing w:val="-5"/>
          <w:sz w:val="20"/>
          <w:szCs w:val="20"/>
        </w:rPr>
        <w:t xml:space="preserve"> </w:t>
      </w:r>
      <w:r w:rsidRPr="005827DA">
        <w:rPr>
          <w:rFonts w:ascii="Arial" w:hAnsi="Arial" w:cs="Arial"/>
          <w:sz w:val="20"/>
          <w:szCs w:val="20"/>
        </w:rPr>
        <w:t>of the</w:t>
      </w:r>
      <w:r w:rsidRPr="005827DA">
        <w:rPr>
          <w:rFonts w:ascii="Arial" w:hAnsi="Arial" w:cs="Arial"/>
          <w:spacing w:val="-3"/>
          <w:sz w:val="20"/>
          <w:szCs w:val="20"/>
        </w:rPr>
        <w:t xml:space="preserve"> </w:t>
      </w:r>
      <w:r w:rsidRPr="005827DA">
        <w:rPr>
          <w:rFonts w:ascii="Arial" w:hAnsi="Arial" w:cs="Arial"/>
          <w:sz w:val="20"/>
          <w:szCs w:val="20"/>
        </w:rPr>
        <w:t>briefing</w:t>
      </w:r>
      <w:r w:rsidRPr="005827DA">
        <w:rPr>
          <w:rFonts w:ascii="Arial" w:hAnsi="Arial" w:cs="Arial"/>
          <w:spacing w:val="-2"/>
          <w:sz w:val="20"/>
          <w:szCs w:val="20"/>
        </w:rPr>
        <w:t xml:space="preserve"> </w:t>
      </w:r>
      <w:r w:rsidRPr="005827DA">
        <w:rPr>
          <w:rFonts w:ascii="Arial" w:hAnsi="Arial" w:cs="Arial"/>
          <w:sz w:val="20"/>
          <w:szCs w:val="20"/>
        </w:rPr>
        <w:t>will</w:t>
      </w:r>
      <w:r w:rsidRPr="005827DA">
        <w:rPr>
          <w:rFonts w:ascii="Arial" w:hAnsi="Arial" w:cs="Arial"/>
          <w:spacing w:val="-4"/>
          <w:sz w:val="20"/>
          <w:szCs w:val="20"/>
        </w:rPr>
        <w:t xml:space="preserve"> </w:t>
      </w:r>
      <w:r w:rsidRPr="005827DA">
        <w:rPr>
          <w:rFonts w:ascii="Arial" w:hAnsi="Arial" w:cs="Arial"/>
          <w:sz w:val="20"/>
          <w:szCs w:val="20"/>
        </w:rPr>
        <w:t>be:</w:t>
      </w:r>
    </w:p>
    <w:p w14:paraId="44C1F96E" w14:textId="77777777" w:rsidR="00F20810" w:rsidRPr="005827DA" w:rsidRDefault="00F20810" w:rsidP="005827DA">
      <w:pPr>
        <w:pStyle w:val="ListParagraph"/>
        <w:numPr>
          <w:ilvl w:val="4"/>
          <w:numId w:val="240"/>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aim;</w:t>
      </w:r>
    </w:p>
    <w:p w14:paraId="608ACB66" w14:textId="77777777" w:rsidR="00F20810" w:rsidRPr="005827DA" w:rsidRDefault="00F20810" w:rsidP="005827DA">
      <w:pPr>
        <w:pStyle w:val="ListParagraph"/>
        <w:numPr>
          <w:ilvl w:val="4"/>
          <w:numId w:val="240"/>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air</w:t>
      </w:r>
      <w:r w:rsidRPr="005827DA">
        <w:rPr>
          <w:rFonts w:ascii="Arial" w:hAnsi="Arial" w:cs="Arial"/>
          <w:spacing w:val="-3"/>
          <w:sz w:val="20"/>
          <w:szCs w:val="20"/>
        </w:rPr>
        <w:t xml:space="preserve"> </w:t>
      </w:r>
      <w:r w:rsidRPr="005827DA">
        <w:rPr>
          <w:rFonts w:ascii="Arial" w:hAnsi="Arial" w:cs="Arial"/>
          <w:sz w:val="20"/>
          <w:szCs w:val="20"/>
        </w:rPr>
        <w:t>exercise(s)</w:t>
      </w:r>
      <w:r w:rsidRPr="005827DA">
        <w:rPr>
          <w:rFonts w:ascii="Arial" w:hAnsi="Arial" w:cs="Arial"/>
          <w:spacing w:val="-1"/>
          <w:sz w:val="20"/>
          <w:szCs w:val="20"/>
        </w:rPr>
        <w:t xml:space="preserve"> </w:t>
      </w:r>
      <w:r w:rsidRPr="005827DA">
        <w:rPr>
          <w:rFonts w:ascii="Arial" w:hAnsi="Arial" w:cs="Arial"/>
          <w:sz w:val="20"/>
          <w:szCs w:val="20"/>
        </w:rPr>
        <w:t>(what,</w:t>
      </w:r>
      <w:r w:rsidRPr="005827DA">
        <w:rPr>
          <w:rFonts w:ascii="Arial" w:hAnsi="Arial" w:cs="Arial"/>
          <w:spacing w:val="-1"/>
          <w:sz w:val="20"/>
          <w:szCs w:val="20"/>
        </w:rPr>
        <w:t xml:space="preserve"> </w:t>
      </w:r>
      <w:r w:rsidRPr="005827DA">
        <w:rPr>
          <w:rFonts w:ascii="Arial" w:hAnsi="Arial" w:cs="Arial"/>
          <w:sz w:val="20"/>
          <w:szCs w:val="20"/>
        </w:rPr>
        <w:t>how</w:t>
      </w:r>
      <w:r w:rsidRPr="005827DA">
        <w:rPr>
          <w:rFonts w:ascii="Arial" w:hAnsi="Arial" w:cs="Arial"/>
          <w:spacing w:val="-1"/>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by</w:t>
      </w:r>
      <w:r w:rsidRPr="005827DA">
        <w:rPr>
          <w:rFonts w:ascii="Arial" w:hAnsi="Arial" w:cs="Arial"/>
          <w:spacing w:val="-3"/>
          <w:sz w:val="20"/>
          <w:szCs w:val="20"/>
        </w:rPr>
        <w:t xml:space="preserve"> </w:t>
      </w:r>
      <w:r w:rsidRPr="005827DA">
        <w:rPr>
          <w:rFonts w:ascii="Arial" w:hAnsi="Arial" w:cs="Arial"/>
          <w:sz w:val="20"/>
          <w:szCs w:val="20"/>
        </w:rPr>
        <w:t>whom);</w:t>
      </w:r>
    </w:p>
    <w:p w14:paraId="47A9EB1C" w14:textId="77777777" w:rsidR="00F20810" w:rsidRPr="005827DA" w:rsidRDefault="00F20810" w:rsidP="005827DA">
      <w:pPr>
        <w:pStyle w:val="ListParagraph"/>
        <w:numPr>
          <w:ilvl w:val="4"/>
          <w:numId w:val="240"/>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flight</w:t>
      </w:r>
      <w:r w:rsidRPr="005827DA">
        <w:rPr>
          <w:rFonts w:ascii="Arial" w:hAnsi="Arial" w:cs="Arial"/>
          <w:spacing w:val="-2"/>
          <w:sz w:val="20"/>
          <w:szCs w:val="20"/>
        </w:rPr>
        <w:t xml:space="preserve"> </w:t>
      </w:r>
      <w:r w:rsidRPr="005827DA">
        <w:rPr>
          <w:rFonts w:ascii="Arial" w:hAnsi="Arial" w:cs="Arial"/>
          <w:sz w:val="20"/>
          <w:szCs w:val="20"/>
        </w:rPr>
        <w:t>briefing;</w:t>
      </w:r>
    </w:p>
    <w:p w14:paraId="5CAD6FF4" w14:textId="77777777" w:rsidR="00F20810" w:rsidRPr="005827DA" w:rsidRDefault="00F20810" w:rsidP="005827DA">
      <w:pPr>
        <w:pStyle w:val="ListParagraph"/>
        <w:numPr>
          <w:ilvl w:val="4"/>
          <w:numId w:val="240"/>
        </w:numPr>
        <w:tabs>
          <w:tab w:val="left" w:pos="90"/>
          <w:tab w:val="left" w:pos="2975"/>
          <w:tab w:val="left" w:pos="2976"/>
        </w:tabs>
        <w:spacing w:before="118" w:line="276" w:lineRule="auto"/>
        <w:ind w:right="68" w:hanging="436"/>
        <w:jc w:val="both"/>
        <w:rPr>
          <w:rFonts w:ascii="Arial" w:hAnsi="Arial" w:cs="Arial"/>
          <w:sz w:val="20"/>
          <w:szCs w:val="20"/>
        </w:rPr>
      </w:pPr>
      <w:r w:rsidRPr="005827DA">
        <w:rPr>
          <w:rFonts w:ascii="Arial" w:hAnsi="Arial" w:cs="Arial"/>
          <w:sz w:val="20"/>
          <w:szCs w:val="20"/>
        </w:rPr>
        <w:t>check</w:t>
      </w:r>
      <w:r w:rsidRPr="005827DA">
        <w:rPr>
          <w:rFonts w:ascii="Arial" w:hAnsi="Arial" w:cs="Arial"/>
          <w:spacing w:val="-3"/>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understanding;</w:t>
      </w:r>
      <w:r w:rsidRPr="005827DA">
        <w:rPr>
          <w:rFonts w:ascii="Arial" w:hAnsi="Arial" w:cs="Arial"/>
          <w:spacing w:val="-1"/>
          <w:sz w:val="20"/>
          <w:szCs w:val="20"/>
        </w:rPr>
        <w:t xml:space="preserve"> </w:t>
      </w:r>
      <w:r w:rsidRPr="005827DA">
        <w:rPr>
          <w:rFonts w:ascii="Arial" w:hAnsi="Arial" w:cs="Arial"/>
          <w:sz w:val="20"/>
          <w:szCs w:val="20"/>
        </w:rPr>
        <w:t>and</w:t>
      </w:r>
    </w:p>
    <w:p w14:paraId="04ACDB3B" w14:textId="77777777" w:rsidR="00F20810" w:rsidRPr="005827DA" w:rsidRDefault="00F20810" w:rsidP="005827DA">
      <w:pPr>
        <w:pStyle w:val="ListParagraph"/>
        <w:numPr>
          <w:ilvl w:val="4"/>
          <w:numId w:val="240"/>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airmanship.</w:t>
      </w:r>
    </w:p>
    <w:p w14:paraId="76631603" w14:textId="77777777" w:rsidR="00F20810" w:rsidRPr="005827DA" w:rsidRDefault="00F20810" w:rsidP="005827DA">
      <w:pPr>
        <w:pStyle w:val="ListParagraph"/>
        <w:numPr>
          <w:ilvl w:val="3"/>
          <w:numId w:val="240"/>
        </w:numPr>
        <w:tabs>
          <w:tab w:val="left" w:pos="90"/>
          <w:tab w:val="left" w:pos="2409"/>
        </w:tabs>
        <w:spacing w:before="56" w:line="276" w:lineRule="auto"/>
        <w:ind w:right="68" w:hanging="436"/>
        <w:jc w:val="both"/>
        <w:rPr>
          <w:rFonts w:ascii="Arial" w:hAnsi="Arial" w:cs="Arial"/>
          <w:sz w:val="20"/>
          <w:szCs w:val="20"/>
        </w:rPr>
      </w:pPr>
      <w:r w:rsidRPr="005827DA">
        <w:rPr>
          <w:rFonts w:ascii="Arial" w:hAnsi="Arial" w:cs="Arial"/>
          <w:sz w:val="20"/>
          <w:szCs w:val="20"/>
        </w:rPr>
        <w:t>After each exercise, the student instructor will conduct a debriefing of the</w:t>
      </w:r>
      <w:r w:rsidRPr="005827DA">
        <w:rPr>
          <w:rFonts w:ascii="Arial" w:hAnsi="Arial" w:cs="Arial"/>
          <w:spacing w:val="1"/>
          <w:sz w:val="20"/>
          <w:szCs w:val="20"/>
        </w:rPr>
        <w:t xml:space="preserve"> </w:t>
      </w:r>
      <w:r w:rsidRPr="005827DA">
        <w:rPr>
          <w:rFonts w:ascii="Arial" w:hAnsi="Arial" w:cs="Arial"/>
          <w:sz w:val="20"/>
          <w:szCs w:val="20"/>
        </w:rPr>
        <w:t>pilot who acted as the student pilot during the training flight, be it the FI(B)</w:t>
      </w:r>
      <w:r w:rsidRPr="005827DA">
        <w:rPr>
          <w:rFonts w:ascii="Arial" w:hAnsi="Arial" w:cs="Arial"/>
          <w:spacing w:val="1"/>
          <w:sz w:val="20"/>
          <w:szCs w:val="20"/>
        </w:rPr>
        <w:t xml:space="preserve"> </w:t>
      </w:r>
      <w:r w:rsidRPr="005827DA">
        <w:rPr>
          <w:rFonts w:ascii="Arial" w:hAnsi="Arial" w:cs="Arial"/>
          <w:sz w:val="20"/>
          <w:szCs w:val="20"/>
        </w:rPr>
        <w:t>instructor or an additional pilot (as described in point (k)(2)). The debriefing</w:t>
      </w:r>
      <w:r w:rsidRPr="005827DA">
        <w:rPr>
          <w:rFonts w:ascii="Arial" w:hAnsi="Arial" w:cs="Arial"/>
          <w:spacing w:val="-47"/>
          <w:sz w:val="20"/>
          <w:szCs w:val="20"/>
        </w:rPr>
        <w:t xml:space="preserve"> </w:t>
      </w:r>
      <w:r w:rsidRPr="005827DA">
        <w:rPr>
          <w:rFonts w:ascii="Arial" w:hAnsi="Arial" w:cs="Arial"/>
          <w:sz w:val="20"/>
          <w:szCs w:val="20"/>
        </w:rPr>
        <w:t>is</w:t>
      </w:r>
      <w:r w:rsidRPr="005827DA">
        <w:rPr>
          <w:rFonts w:ascii="Arial" w:hAnsi="Arial" w:cs="Arial"/>
          <w:spacing w:val="-1"/>
          <w:sz w:val="20"/>
          <w:szCs w:val="20"/>
        </w:rPr>
        <w:t xml:space="preserve"> </w:t>
      </w:r>
      <w:r w:rsidRPr="005827DA">
        <w:rPr>
          <w:rFonts w:ascii="Arial" w:hAnsi="Arial" w:cs="Arial"/>
          <w:sz w:val="20"/>
          <w:szCs w:val="20"/>
        </w:rPr>
        <w:t>to evaluate:</w:t>
      </w:r>
    </w:p>
    <w:p w14:paraId="5250580A" w14:textId="77777777" w:rsidR="00F20810" w:rsidRPr="005827DA" w:rsidRDefault="00F20810" w:rsidP="005827DA">
      <w:pPr>
        <w:pStyle w:val="ListParagraph"/>
        <w:numPr>
          <w:ilvl w:val="4"/>
          <w:numId w:val="240"/>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whether</w:t>
      </w:r>
      <w:r w:rsidRPr="005827DA">
        <w:rPr>
          <w:rFonts w:ascii="Arial" w:hAnsi="Arial" w:cs="Arial"/>
          <w:spacing w:val="-4"/>
          <w:sz w:val="20"/>
          <w:szCs w:val="20"/>
        </w:rPr>
        <w:t xml:space="preserve"> </w:t>
      </w:r>
      <w:r w:rsidRPr="005827DA">
        <w:rPr>
          <w:rFonts w:ascii="Arial" w:hAnsi="Arial" w:cs="Arial"/>
          <w:sz w:val="20"/>
          <w:szCs w:val="20"/>
        </w:rPr>
        <w:t>the</w:t>
      </w:r>
      <w:r w:rsidRPr="005827DA">
        <w:rPr>
          <w:rFonts w:ascii="Arial" w:hAnsi="Arial" w:cs="Arial"/>
          <w:spacing w:val="-4"/>
          <w:sz w:val="20"/>
          <w:szCs w:val="20"/>
        </w:rPr>
        <w:t xml:space="preserve"> </w:t>
      </w:r>
      <w:r w:rsidRPr="005827DA">
        <w:rPr>
          <w:rFonts w:ascii="Arial" w:hAnsi="Arial" w:cs="Arial"/>
          <w:sz w:val="20"/>
          <w:szCs w:val="20"/>
        </w:rPr>
        <w:t>objectives</w:t>
      </w:r>
      <w:r w:rsidRPr="005827DA">
        <w:rPr>
          <w:rFonts w:ascii="Arial" w:hAnsi="Arial" w:cs="Arial"/>
          <w:spacing w:val="-1"/>
          <w:sz w:val="20"/>
          <w:szCs w:val="20"/>
        </w:rPr>
        <w:t xml:space="preserve"> </w:t>
      </w:r>
      <w:r w:rsidRPr="005827DA">
        <w:rPr>
          <w:rFonts w:ascii="Arial" w:hAnsi="Arial" w:cs="Arial"/>
          <w:sz w:val="20"/>
          <w:szCs w:val="20"/>
        </w:rPr>
        <w:t>have been</w:t>
      </w:r>
      <w:r w:rsidRPr="005827DA">
        <w:rPr>
          <w:rFonts w:ascii="Arial" w:hAnsi="Arial" w:cs="Arial"/>
          <w:spacing w:val="-3"/>
          <w:sz w:val="20"/>
          <w:szCs w:val="20"/>
        </w:rPr>
        <w:t xml:space="preserve"> </w:t>
      </w:r>
      <w:r w:rsidRPr="005827DA">
        <w:rPr>
          <w:rFonts w:ascii="Arial" w:hAnsi="Arial" w:cs="Arial"/>
          <w:sz w:val="20"/>
          <w:szCs w:val="20"/>
        </w:rPr>
        <w:t>fulfilled;</w:t>
      </w:r>
    </w:p>
    <w:p w14:paraId="6F4E67A6" w14:textId="77777777" w:rsidR="00F20810" w:rsidRPr="005827DA" w:rsidRDefault="00F20810" w:rsidP="005827DA">
      <w:pPr>
        <w:pStyle w:val="ListParagraph"/>
        <w:numPr>
          <w:ilvl w:val="4"/>
          <w:numId w:val="240"/>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whether</w:t>
      </w:r>
      <w:r w:rsidRPr="005827DA">
        <w:rPr>
          <w:rFonts w:ascii="Arial" w:hAnsi="Arial" w:cs="Arial"/>
          <w:spacing w:val="-2"/>
          <w:sz w:val="20"/>
          <w:szCs w:val="20"/>
        </w:rPr>
        <w:t xml:space="preserve"> </w:t>
      </w: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errors</w:t>
      </w:r>
      <w:r w:rsidRPr="005827DA">
        <w:rPr>
          <w:rFonts w:ascii="Arial" w:hAnsi="Arial" w:cs="Arial"/>
          <w:spacing w:val="1"/>
          <w:sz w:val="20"/>
          <w:szCs w:val="20"/>
        </w:rPr>
        <w:t xml:space="preserve"> </w:t>
      </w:r>
      <w:r w:rsidRPr="005827DA">
        <w:rPr>
          <w:rFonts w:ascii="Arial" w:hAnsi="Arial" w:cs="Arial"/>
          <w:sz w:val="20"/>
          <w:szCs w:val="20"/>
        </w:rPr>
        <w:t>are</w:t>
      </w:r>
      <w:r w:rsidRPr="005827DA">
        <w:rPr>
          <w:rFonts w:ascii="Arial" w:hAnsi="Arial" w:cs="Arial"/>
          <w:spacing w:val="-2"/>
          <w:sz w:val="20"/>
          <w:szCs w:val="20"/>
        </w:rPr>
        <w:t xml:space="preserve"> </w:t>
      </w:r>
      <w:r w:rsidRPr="005827DA">
        <w:rPr>
          <w:rFonts w:ascii="Arial" w:hAnsi="Arial" w:cs="Arial"/>
          <w:sz w:val="20"/>
          <w:szCs w:val="20"/>
        </w:rPr>
        <w:t>minor</w:t>
      </w:r>
      <w:r w:rsidRPr="005827DA">
        <w:rPr>
          <w:rFonts w:ascii="Arial" w:hAnsi="Arial" w:cs="Arial"/>
          <w:spacing w:val="-2"/>
          <w:sz w:val="20"/>
          <w:szCs w:val="20"/>
        </w:rPr>
        <w:t xml:space="preserve"> </w:t>
      </w:r>
      <w:r w:rsidRPr="005827DA">
        <w:rPr>
          <w:rFonts w:ascii="Arial" w:hAnsi="Arial" w:cs="Arial"/>
          <w:sz w:val="20"/>
          <w:szCs w:val="20"/>
        </w:rPr>
        <w:t>or</w:t>
      </w:r>
      <w:r w:rsidRPr="005827DA">
        <w:rPr>
          <w:rFonts w:ascii="Arial" w:hAnsi="Arial" w:cs="Arial"/>
          <w:spacing w:val="-1"/>
          <w:sz w:val="20"/>
          <w:szCs w:val="20"/>
        </w:rPr>
        <w:t xml:space="preserve"> </w:t>
      </w:r>
      <w:r w:rsidRPr="005827DA">
        <w:rPr>
          <w:rFonts w:ascii="Arial" w:hAnsi="Arial" w:cs="Arial"/>
          <w:sz w:val="20"/>
          <w:szCs w:val="20"/>
        </w:rPr>
        <w:t>major;</w:t>
      </w:r>
    </w:p>
    <w:p w14:paraId="2DEB3A5A" w14:textId="77777777" w:rsidR="00F20810" w:rsidRPr="005827DA" w:rsidRDefault="00F20810" w:rsidP="005827DA">
      <w:pPr>
        <w:pStyle w:val="ListParagraph"/>
        <w:numPr>
          <w:ilvl w:val="4"/>
          <w:numId w:val="240"/>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what</w:t>
      </w:r>
      <w:r w:rsidRPr="005827DA">
        <w:rPr>
          <w:rFonts w:ascii="Arial" w:hAnsi="Arial" w:cs="Arial"/>
          <w:spacing w:val="-1"/>
          <w:sz w:val="20"/>
          <w:szCs w:val="20"/>
        </w:rPr>
        <w:t xml:space="preserve"> </w:t>
      </w:r>
      <w:r w:rsidRPr="005827DA">
        <w:rPr>
          <w:rFonts w:ascii="Arial" w:hAnsi="Arial" w:cs="Arial"/>
          <w:sz w:val="20"/>
          <w:szCs w:val="20"/>
        </w:rPr>
        <w:t>can</w:t>
      </w:r>
      <w:r w:rsidRPr="005827DA">
        <w:rPr>
          <w:rFonts w:ascii="Arial" w:hAnsi="Arial" w:cs="Arial"/>
          <w:spacing w:val="-2"/>
          <w:sz w:val="20"/>
          <w:szCs w:val="20"/>
        </w:rPr>
        <w:t xml:space="preserve"> </w:t>
      </w:r>
      <w:r w:rsidRPr="005827DA">
        <w:rPr>
          <w:rFonts w:ascii="Arial" w:hAnsi="Arial" w:cs="Arial"/>
          <w:sz w:val="20"/>
          <w:szCs w:val="20"/>
        </w:rPr>
        <w:t>be</w:t>
      </w:r>
      <w:r w:rsidRPr="005827DA">
        <w:rPr>
          <w:rFonts w:ascii="Arial" w:hAnsi="Arial" w:cs="Arial"/>
          <w:spacing w:val="1"/>
          <w:sz w:val="20"/>
          <w:szCs w:val="20"/>
        </w:rPr>
        <w:t xml:space="preserve"> </w:t>
      </w:r>
      <w:r w:rsidRPr="005827DA">
        <w:rPr>
          <w:rFonts w:ascii="Arial" w:hAnsi="Arial" w:cs="Arial"/>
          <w:sz w:val="20"/>
          <w:szCs w:val="20"/>
        </w:rPr>
        <w:t>corrected</w:t>
      </w:r>
      <w:r w:rsidRPr="005827DA">
        <w:rPr>
          <w:rFonts w:ascii="Arial" w:hAnsi="Arial" w:cs="Arial"/>
          <w:spacing w:val="-4"/>
          <w:sz w:val="20"/>
          <w:szCs w:val="20"/>
        </w:rPr>
        <w:t xml:space="preserve"> </w:t>
      </w:r>
      <w:r w:rsidRPr="005827DA">
        <w:rPr>
          <w:rFonts w:ascii="Arial" w:hAnsi="Arial" w:cs="Arial"/>
          <w:sz w:val="20"/>
          <w:szCs w:val="20"/>
        </w:rPr>
        <w:t>or improved;</w:t>
      </w:r>
      <w:r w:rsidRPr="005827DA">
        <w:rPr>
          <w:rFonts w:ascii="Arial" w:hAnsi="Arial" w:cs="Arial"/>
          <w:spacing w:val="-1"/>
          <w:sz w:val="20"/>
          <w:szCs w:val="20"/>
        </w:rPr>
        <w:t xml:space="preserve"> </w:t>
      </w:r>
      <w:r w:rsidRPr="005827DA">
        <w:rPr>
          <w:rFonts w:ascii="Arial" w:hAnsi="Arial" w:cs="Arial"/>
          <w:sz w:val="20"/>
          <w:szCs w:val="20"/>
        </w:rPr>
        <w:t>and</w:t>
      </w:r>
    </w:p>
    <w:p w14:paraId="342A49AA" w14:textId="77777777" w:rsidR="00F20810" w:rsidRPr="005827DA" w:rsidRDefault="00F20810" w:rsidP="005827DA">
      <w:pPr>
        <w:pStyle w:val="ListParagraph"/>
        <w:numPr>
          <w:ilvl w:val="4"/>
          <w:numId w:val="240"/>
        </w:numPr>
        <w:tabs>
          <w:tab w:val="left" w:pos="90"/>
          <w:tab w:val="left" w:pos="2975"/>
          <w:tab w:val="left" w:pos="2976"/>
        </w:tabs>
        <w:spacing w:before="122" w:line="276" w:lineRule="auto"/>
        <w:ind w:right="68" w:hanging="436"/>
        <w:jc w:val="both"/>
        <w:rPr>
          <w:rFonts w:ascii="Arial" w:hAnsi="Arial" w:cs="Arial"/>
          <w:sz w:val="20"/>
          <w:szCs w:val="20"/>
        </w:rPr>
      </w:pPr>
      <w:r w:rsidRPr="005827DA">
        <w:rPr>
          <w:rFonts w:ascii="Arial" w:hAnsi="Arial" w:cs="Arial"/>
          <w:sz w:val="20"/>
          <w:szCs w:val="20"/>
        </w:rPr>
        <w:t>whether</w:t>
      </w:r>
      <w:r w:rsidRPr="005827DA">
        <w:rPr>
          <w:rFonts w:ascii="Arial" w:hAnsi="Arial" w:cs="Arial"/>
          <w:spacing w:val="1"/>
          <w:sz w:val="20"/>
          <w:szCs w:val="20"/>
        </w:rPr>
        <w:t xml:space="preserve"> </w:t>
      </w: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student</w:t>
      </w:r>
      <w:r w:rsidRPr="005827DA">
        <w:rPr>
          <w:rFonts w:ascii="Arial" w:hAnsi="Arial" w:cs="Arial"/>
          <w:spacing w:val="1"/>
          <w:sz w:val="20"/>
          <w:szCs w:val="20"/>
        </w:rPr>
        <w:t xml:space="preserve"> </w:t>
      </w:r>
      <w:r w:rsidRPr="005827DA">
        <w:rPr>
          <w:rFonts w:ascii="Arial" w:hAnsi="Arial" w:cs="Arial"/>
          <w:sz w:val="20"/>
          <w:szCs w:val="20"/>
        </w:rPr>
        <w:t>pilot</w:t>
      </w:r>
      <w:r w:rsidRPr="005827DA">
        <w:rPr>
          <w:rFonts w:ascii="Arial" w:hAnsi="Arial" w:cs="Arial"/>
          <w:spacing w:val="1"/>
          <w:sz w:val="20"/>
          <w:szCs w:val="20"/>
        </w:rPr>
        <w:t xml:space="preserve"> </w:t>
      </w:r>
      <w:r w:rsidRPr="005827DA">
        <w:rPr>
          <w:rFonts w:ascii="Arial" w:hAnsi="Arial" w:cs="Arial"/>
          <w:sz w:val="20"/>
          <w:szCs w:val="20"/>
        </w:rPr>
        <w:t>has</w:t>
      </w:r>
      <w:r w:rsidRPr="005827DA">
        <w:rPr>
          <w:rFonts w:ascii="Arial" w:hAnsi="Arial" w:cs="Arial"/>
          <w:spacing w:val="1"/>
          <w:sz w:val="20"/>
          <w:szCs w:val="20"/>
        </w:rPr>
        <w:t xml:space="preserve"> </w:t>
      </w:r>
      <w:r w:rsidRPr="005827DA">
        <w:rPr>
          <w:rFonts w:ascii="Arial" w:hAnsi="Arial" w:cs="Arial"/>
          <w:sz w:val="20"/>
          <w:szCs w:val="20"/>
        </w:rPr>
        <w:t>reached</w:t>
      </w:r>
      <w:r w:rsidRPr="005827DA">
        <w:rPr>
          <w:rFonts w:ascii="Arial" w:hAnsi="Arial" w:cs="Arial"/>
          <w:spacing w:val="1"/>
          <w:sz w:val="20"/>
          <w:szCs w:val="20"/>
        </w:rPr>
        <w:t xml:space="preserve"> </w:t>
      </w: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required</w:t>
      </w:r>
      <w:r w:rsidRPr="005827DA">
        <w:rPr>
          <w:rFonts w:ascii="Arial" w:hAnsi="Arial" w:cs="Arial"/>
          <w:spacing w:val="1"/>
          <w:sz w:val="20"/>
          <w:szCs w:val="20"/>
        </w:rPr>
        <w:t xml:space="preserve"> </w:t>
      </w:r>
      <w:r w:rsidRPr="005827DA">
        <w:rPr>
          <w:rFonts w:ascii="Arial" w:hAnsi="Arial" w:cs="Arial"/>
          <w:sz w:val="20"/>
          <w:szCs w:val="20"/>
        </w:rPr>
        <w:t>level</w:t>
      </w:r>
      <w:r w:rsidRPr="005827DA">
        <w:rPr>
          <w:rFonts w:ascii="Arial" w:hAnsi="Arial" w:cs="Arial"/>
          <w:spacing w:val="1"/>
          <w:sz w:val="20"/>
          <w:szCs w:val="20"/>
        </w:rPr>
        <w:t xml:space="preserve"> </w:t>
      </w:r>
      <w:r w:rsidRPr="005827DA">
        <w:rPr>
          <w:rFonts w:ascii="Arial" w:hAnsi="Arial" w:cs="Arial"/>
          <w:sz w:val="20"/>
          <w:szCs w:val="20"/>
        </w:rPr>
        <w:t>of</w:t>
      </w:r>
      <w:r w:rsidRPr="005827DA">
        <w:rPr>
          <w:rFonts w:ascii="Arial" w:hAnsi="Arial" w:cs="Arial"/>
          <w:spacing w:val="-47"/>
          <w:sz w:val="20"/>
          <w:szCs w:val="20"/>
        </w:rPr>
        <w:t xml:space="preserve"> </w:t>
      </w:r>
      <w:r w:rsidRPr="005827DA">
        <w:rPr>
          <w:rFonts w:ascii="Arial" w:hAnsi="Arial" w:cs="Arial"/>
          <w:sz w:val="20"/>
          <w:szCs w:val="20"/>
        </w:rPr>
        <w:t>competence</w:t>
      </w:r>
      <w:r w:rsidRPr="005827DA">
        <w:rPr>
          <w:rFonts w:ascii="Arial" w:hAnsi="Arial" w:cs="Arial"/>
          <w:spacing w:val="-3"/>
          <w:sz w:val="20"/>
          <w:szCs w:val="20"/>
        </w:rPr>
        <w:t xml:space="preserve"> </w:t>
      </w:r>
      <w:r w:rsidRPr="005827DA">
        <w:rPr>
          <w:rFonts w:ascii="Arial" w:hAnsi="Arial" w:cs="Arial"/>
          <w:sz w:val="20"/>
          <w:szCs w:val="20"/>
        </w:rPr>
        <w:t>or</w:t>
      </w:r>
      <w:r w:rsidRPr="005827DA">
        <w:rPr>
          <w:rFonts w:ascii="Arial" w:hAnsi="Arial" w:cs="Arial"/>
          <w:spacing w:val="-2"/>
          <w:sz w:val="20"/>
          <w:szCs w:val="20"/>
        </w:rPr>
        <w:t xml:space="preserve"> </w:t>
      </w:r>
      <w:r w:rsidRPr="005827DA">
        <w:rPr>
          <w:rFonts w:ascii="Arial" w:hAnsi="Arial" w:cs="Arial"/>
          <w:sz w:val="20"/>
          <w:szCs w:val="20"/>
        </w:rPr>
        <w:t>the exercise</w:t>
      </w:r>
      <w:r w:rsidRPr="005827DA">
        <w:rPr>
          <w:rFonts w:ascii="Arial" w:hAnsi="Arial" w:cs="Arial"/>
          <w:spacing w:val="1"/>
          <w:sz w:val="20"/>
          <w:szCs w:val="20"/>
        </w:rPr>
        <w:t xml:space="preserve"> </w:t>
      </w:r>
      <w:r w:rsidRPr="005827DA">
        <w:rPr>
          <w:rFonts w:ascii="Arial" w:hAnsi="Arial" w:cs="Arial"/>
          <w:sz w:val="20"/>
          <w:szCs w:val="20"/>
        </w:rPr>
        <w:t>must</w:t>
      </w:r>
      <w:r w:rsidRPr="005827DA">
        <w:rPr>
          <w:rFonts w:ascii="Arial" w:hAnsi="Arial" w:cs="Arial"/>
          <w:spacing w:val="-1"/>
          <w:sz w:val="20"/>
          <w:szCs w:val="20"/>
        </w:rPr>
        <w:t xml:space="preserve"> </w:t>
      </w:r>
      <w:r w:rsidRPr="005827DA">
        <w:rPr>
          <w:rFonts w:ascii="Arial" w:hAnsi="Arial" w:cs="Arial"/>
          <w:sz w:val="20"/>
          <w:szCs w:val="20"/>
        </w:rPr>
        <w:t>be</w:t>
      </w:r>
      <w:r w:rsidRPr="005827DA">
        <w:rPr>
          <w:rFonts w:ascii="Arial" w:hAnsi="Arial" w:cs="Arial"/>
          <w:spacing w:val="1"/>
          <w:sz w:val="20"/>
          <w:szCs w:val="20"/>
        </w:rPr>
        <w:t xml:space="preserve"> </w:t>
      </w:r>
      <w:r w:rsidRPr="005827DA">
        <w:rPr>
          <w:rFonts w:ascii="Arial" w:hAnsi="Arial" w:cs="Arial"/>
          <w:sz w:val="20"/>
          <w:szCs w:val="20"/>
        </w:rPr>
        <w:t>done</w:t>
      </w:r>
      <w:r w:rsidRPr="005827DA">
        <w:rPr>
          <w:rFonts w:ascii="Arial" w:hAnsi="Arial" w:cs="Arial"/>
          <w:spacing w:val="-2"/>
          <w:sz w:val="20"/>
          <w:szCs w:val="20"/>
        </w:rPr>
        <w:t xml:space="preserve"> </w:t>
      </w:r>
      <w:r w:rsidRPr="005827DA">
        <w:rPr>
          <w:rFonts w:ascii="Arial" w:hAnsi="Arial" w:cs="Arial"/>
          <w:sz w:val="20"/>
          <w:szCs w:val="20"/>
        </w:rPr>
        <w:t>again.</w:t>
      </w:r>
    </w:p>
    <w:p w14:paraId="5558D6B9" w14:textId="77777777" w:rsidR="00F20810" w:rsidRPr="005827DA" w:rsidRDefault="00F20810" w:rsidP="005827DA">
      <w:pPr>
        <w:pStyle w:val="BodyText"/>
        <w:tabs>
          <w:tab w:val="left" w:pos="90"/>
        </w:tabs>
        <w:spacing w:before="121" w:line="276" w:lineRule="auto"/>
        <w:ind w:left="2408"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FI(B)</w:t>
      </w:r>
      <w:r w:rsidRPr="005827DA">
        <w:rPr>
          <w:rFonts w:ascii="Arial" w:hAnsi="Arial" w:cs="Arial"/>
          <w:spacing w:val="-1"/>
          <w:sz w:val="20"/>
          <w:szCs w:val="20"/>
        </w:rPr>
        <w:t xml:space="preserve"> </w:t>
      </w:r>
      <w:r w:rsidRPr="005827DA">
        <w:rPr>
          <w:rFonts w:ascii="Arial" w:hAnsi="Arial" w:cs="Arial"/>
          <w:sz w:val="20"/>
          <w:szCs w:val="20"/>
        </w:rPr>
        <w:t>instructor</w:t>
      </w:r>
      <w:r w:rsidRPr="005827DA">
        <w:rPr>
          <w:rFonts w:ascii="Arial" w:hAnsi="Arial" w:cs="Arial"/>
          <w:spacing w:val="-1"/>
          <w:sz w:val="20"/>
          <w:szCs w:val="20"/>
        </w:rPr>
        <w:t xml:space="preserve"> </w:t>
      </w:r>
      <w:r w:rsidRPr="005827DA">
        <w:rPr>
          <w:rFonts w:ascii="Arial" w:hAnsi="Arial" w:cs="Arial"/>
          <w:sz w:val="20"/>
          <w:szCs w:val="20"/>
        </w:rPr>
        <w:t>will</w:t>
      </w:r>
      <w:r w:rsidRPr="005827DA">
        <w:rPr>
          <w:rFonts w:ascii="Arial" w:hAnsi="Arial" w:cs="Arial"/>
          <w:spacing w:val="-5"/>
          <w:sz w:val="20"/>
          <w:szCs w:val="20"/>
        </w:rPr>
        <w:t xml:space="preserve"> </w:t>
      </w:r>
      <w:r w:rsidRPr="005827DA">
        <w:rPr>
          <w:rFonts w:ascii="Arial" w:hAnsi="Arial" w:cs="Arial"/>
          <w:sz w:val="20"/>
          <w:szCs w:val="20"/>
        </w:rPr>
        <w:t>validate</w:t>
      </w:r>
      <w:r w:rsidRPr="005827DA">
        <w:rPr>
          <w:rFonts w:ascii="Arial" w:hAnsi="Arial" w:cs="Arial"/>
          <w:spacing w:val="-1"/>
          <w:sz w:val="20"/>
          <w:szCs w:val="20"/>
        </w:rPr>
        <w:t xml:space="preserve"> </w:t>
      </w:r>
      <w:r w:rsidRPr="005827DA">
        <w:rPr>
          <w:rFonts w:ascii="Arial" w:hAnsi="Arial" w:cs="Arial"/>
          <w:sz w:val="20"/>
          <w:szCs w:val="20"/>
        </w:rPr>
        <w:t>the</w:t>
      </w:r>
      <w:r w:rsidRPr="005827DA">
        <w:rPr>
          <w:rFonts w:ascii="Arial" w:hAnsi="Arial" w:cs="Arial"/>
          <w:spacing w:val="-3"/>
          <w:sz w:val="20"/>
          <w:szCs w:val="20"/>
        </w:rPr>
        <w:t xml:space="preserve"> </w:t>
      </w:r>
      <w:r w:rsidRPr="005827DA">
        <w:rPr>
          <w:rFonts w:ascii="Arial" w:hAnsi="Arial" w:cs="Arial"/>
          <w:sz w:val="20"/>
          <w:szCs w:val="20"/>
        </w:rPr>
        <w:t>debriefing.</w:t>
      </w:r>
    </w:p>
    <w:p w14:paraId="4C325A7D" w14:textId="77777777" w:rsidR="00F20810" w:rsidRPr="005827DA" w:rsidRDefault="00F20810" w:rsidP="005827DA">
      <w:pPr>
        <w:pStyle w:val="ListParagraph"/>
        <w:numPr>
          <w:ilvl w:val="2"/>
          <w:numId w:val="240"/>
        </w:numPr>
        <w:tabs>
          <w:tab w:val="left" w:pos="90"/>
          <w:tab w:val="left" w:pos="1841"/>
          <w:tab w:val="left" w:pos="1842"/>
        </w:tabs>
        <w:spacing w:before="121" w:line="276" w:lineRule="auto"/>
        <w:ind w:right="68" w:hanging="436"/>
        <w:jc w:val="both"/>
        <w:rPr>
          <w:rFonts w:ascii="Arial" w:hAnsi="Arial" w:cs="Arial"/>
          <w:sz w:val="20"/>
          <w:szCs w:val="20"/>
        </w:rPr>
      </w:pPr>
      <w:r w:rsidRPr="005827DA">
        <w:rPr>
          <w:rFonts w:ascii="Arial" w:hAnsi="Arial" w:cs="Arial"/>
          <w:sz w:val="20"/>
          <w:szCs w:val="20"/>
        </w:rPr>
        <w:t>Planning</w:t>
      </w:r>
      <w:r w:rsidRPr="005827DA">
        <w:rPr>
          <w:rFonts w:ascii="Arial" w:hAnsi="Arial" w:cs="Arial"/>
          <w:spacing w:val="-3"/>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flight</w:t>
      </w:r>
      <w:r w:rsidRPr="005827DA">
        <w:rPr>
          <w:rFonts w:ascii="Arial" w:hAnsi="Arial" w:cs="Arial"/>
          <w:spacing w:val="-2"/>
          <w:sz w:val="20"/>
          <w:szCs w:val="20"/>
        </w:rPr>
        <w:t xml:space="preserve"> </w:t>
      </w:r>
      <w:r w:rsidRPr="005827DA">
        <w:rPr>
          <w:rFonts w:ascii="Arial" w:hAnsi="Arial" w:cs="Arial"/>
          <w:sz w:val="20"/>
          <w:szCs w:val="20"/>
        </w:rPr>
        <w:t>lessons</w:t>
      </w:r>
    </w:p>
    <w:p w14:paraId="42C63ABC" w14:textId="77777777" w:rsidR="00F20810" w:rsidRPr="005827DA" w:rsidRDefault="00F20810" w:rsidP="005827DA">
      <w:pPr>
        <w:pStyle w:val="BodyText"/>
        <w:tabs>
          <w:tab w:val="left" w:pos="90"/>
        </w:tabs>
        <w:spacing w:line="276" w:lineRule="auto"/>
        <w:ind w:left="1842" w:right="68" w:hanging="436"/>
        <w:jc w:val="both"/>
        <w:rPr>
          <w:rFonts w:ascii="Arial" w:hAnsi="Arial" w:cs="Arial"/>
          <w:sz w:val="20"/>
          <w:szCs w:val="20"/>
        </w:rPr>
      </w:pPr>
      <w:r w:rsidRPr="005827DA">
        <w:rPr>
          <w:rFonts w:ascii="Arial" w:hAnsi="Arial" w:cs="Arial"/>
          <w:sz w:val="20"/>
          <w:szCs w:val="20"/>
        </w:rPr>
        <w:t>The development of lesson plans is an essential prerequisite of good instruction</w:t>
      </w:r>
      <w:r w:rsidRPr="005827DA">
        <w:rPr>
          <w:rFonts w:ascii="Arial" w:hAnsi="Arial" w:cs="Arial"/>
          <w:spacing w:val="1"/>
          <w:sz w:val="20"/>
          <w:szCs w:val="20"/>
        </w:rPr>
        <w:t xml:space="preserve"> </w:t>
      </w:r>
      <w:r w:rsidRPr="005827DA">
        <w:rPr>
          <w:rFonts w:ascii="Arial" w:hAnsi="Arial" w:cs="Arial"/>
          <w:sz w:val="20"/>
          <w:szCs w:val="20"/>
        </w:rPr>
        <w:t>and the student instructor is to be given supervised practice in the development</w:t>
      </w:r>
      <w:r w:rsidRPr="005827DA">
        <w:rPr>
          <w:rFonts w:ascii="Arial" w:hAnsi="Arial" w:cs="Arial"/>
          <w:spacing w:val="1"/>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practical</w:t>
      </w:r>
      <w:r w:rsidRPr="005827DA">
        <w:rPr>
          <w:rFonts w:ascii="Arial" w:hAnsi="Arial" w:cs="Arial"/>
          <w:spacing w:val="-1"/>
          <w:sz w:val="20"/>
          <w:szCs w:val="20"/>
        </w:rPr>
        <w:t xml:space="preserve"> </w:t>
      </w:r>
      <w:r w:rsidRPr="005827DA">
        <w:rPr>
          <w:rFonts w:ascii="Arial" w:hAnsi="Arial" w:cs="Arial"/>
          <w:sz w:val="20"/>
          <w:szCs w:val="20"/>
        </w:rPr>
        <w:t>application</w:t>
      </w:r>
      <w:r w:rsidRPr="005827DA">
        <w:rPr>
          <w:rFonts w:ascii="Arial" w:hAnsi="Arial" w:cs="Arial"/>
          <w:spacing w:val="-3"/>
          <w:sz w:val="20"/>
          <w:szCs w:val="20"/>
        </w:rPr>
        <w:t xml:space="preserve"> </w:t>
      </w:r>
      <w:r w:rsidRPr="005827DA">
        <w:rPr>
          <w:rFonts w:ascii="Arial" w:hAnsi="Arial" w:cs="Arial"/>
          <w:sz w:val="20"/>
          <w:szCs w:val="20"/>
        </w:rPr>
        <w:t>of</w:t>
      </w:r>
      <w:r w:rsidRPr="005827DA">
        <w:rPr>
          <w:rFonts w:ascii="Arial" w:hAnsi="Arial" w:cs="Arial"/>
          <w:spacing w:val="-3"/>
          <w:sz w:val="20"/>
          <w:szCs w:val="20"/>
        </w:rPr>
        <w:t xml:space="preserve"> </w:t>
      </w:r>
      <w:r w:rsidRPr="005827DA">
        <w:rPr>
          <w:rFonts w:ascii="Arial" w:hAnsi="Arial" w:cs="Arial"/>
          <w:sz w:val="20"/>
          <w:szCs w:val="20"/>
        </w:rPr>
        <w:t>flight lesson</w:t>
      </w:r>
      <w:r w:rsidRPr="005827DA">
        <w:rPr>
          <w:rFonts w:ascii="Arial" w:hAnsi="Arial" w:cs="Arial"/>
          <w:spacing w:val="-2"/>
          <w:sz w:val="20"/>
          <w:szCs w:val="20"/>
        </w:rPr>
        <w:t xml:space="preserve"> </w:t>
      </w:r>
      <w:r w:rsidRPr="005827DA">
        <w:rPr>
          <w:rFonts w:ascii="Arial" w:hAnsi="Arial" w:cs="Arial"/>
          <w:sz w:val="20"/>
          <w:szCs w:val="20"/>
        </w:rPr>
        <w:t>plans.</w:t>
      </w:r>
    </w:p>
    <w:p w14:paraId="49C82985" w14:textId="77777777" w:rsidR="00F20810" w:rsidRPr="005827DA" w:rsidRDefault="00F20810" w:rsidP="005827DA">
      <w:pPr>
        <w:pStyle w:val="ListParagraph"/>
        <w:numPr>
          <w:ilvl w:val="2"/>
          <w:numId w:val="240"/>
        </w:numPr>
        <w:tabs>
          <w:tab w:val="left" w:pos="90"/>
          <w:tab w:val="left" w:pos="1842"/>
        </w:tabs>
        <w:spacing w:before="121" w:line="276" w:lineRule="auto"/>
        <w:ind w:right="68" w:hanging="436"/>
        <w:jc w:val="both"/>
        <w:rPr>
          <w:rFonts w:ascii="Arial" w:hAnsi="Arial" w:cs="Arial"/>
          <w:sz w:val="20"/>
          <w:szCs w:val="20"/>
        </w:rPr>
      </w:pPr>
      <w:r w:rsidRPr="005827DA">
        <w:rPr>
          <w:rFonts w:ascii="Arial" w:hAnsi="Arial" w:cs="Arial"/>
          <w:sz w:val="20"/>
          <w:szCs w:val="20"/>
        </w:rPr>
        <w:t>General</w:t>
      </w:r>
      <w:r w:rsidRPr="005827DA">
        <w:rPr>
          <w:rFonts w:ascii="Arial" w:hAnsi="Arial" w:cs="Arial"/>
          <w:spacing w:val="-2"/>
          <w:sz w:val="20"/>
          <w:szCs w:val="20"/>
        </w:rPr>
        <w:t xml:space="preserve"> </w:t>
      </w:r>
      <w:r w:rsidRPr="005827DA">
        <w:rPr>
          <w:rFonts w:ascii="Arial" w:hAnsi="Arial" w:cs="Arial"/>
          <w:sz w:val="20"/>
          <w:szCs w:val="20"/>
        </w:rPr>
        <w:t>considerations</w:t>
      </w:r>
    </w:p>
    <w:p w14:paraId="1EEDAA63" w14:textId="77777777" w:rsidR="00F20810" w:rsidRPr="005827DA" w:rsidRDefault="00F20810" w:rsidP="005827DA">
      <w:pPr>
        <w:pStyle w:val="ListParagraph"/>
        <w:numPr>
          <w:ilvl w:val="3"/>
          <w:numId w:val="240"/>
        </w:numPr>
        <w:tabs>
          <w:tab w:val="left" w:pos="90"/>
          <w:tab w:val="left" w:pos="2409"/>
        </w:tabs>
        <w:spacing w:line="276" w:lineRule="auto"/>
        <w:ind w:right="68" w:hanging="436"/>
        <w:jc w:val="both"/>
        <w:rPr>
          <w:rFonts w:ascii="Arial" w:hAnsi="Arial" w:cs="Arial"/>
          <w:sz w:val="20"/>
          <w:szCs w:val="20"/>
        </w:rPr>
      </w:pPr>
      <w:r w:rsidRPr="005827DA">
        <w:rPr>
          <w:rFonts w:ascii="Arial" w:hAnsi="Arial" w:cs="Arial"/>
          <w:sz w:val="20"/>
          <w:szCs w:val="20"/>
        </w:rPr>
        <w:t>The student instructor should complete flight training in order to practise</w:t>
      </w:r>
      <w:r w:rsidRPr="005827DA">
        <w:rPr>
          <w:rFonts w:ascii="Arial" w:hAnsi="Arial" w:cs="Arial"/>
          <w:spacing w:val="1"/>
          <w:sz w:val="20"/>
          <w:szCs w:val="20"/>
        </w:rPr>
        <w:t xml:space="preserve"> </w:t>
      </w:r>
      <w:r w:rsidRPr="005827DA">
        <w:rPr>
          <w:rFonts w:ascii="Arial" w:hAnsi="Arial" w:cs="Arial"/>
          <w:sz w:val="20"/>
          <w:szCs w:val="20"/>
        </w:rPr>
        <w:t>the principles</w:t>
      </w:r>
      <w:r w:rsidRPr="005827DA">
        <w:rPr>
          <w:rFonts w:ascii="Arial" w:hAnsi="Arial" w:cs="Arial"/>
          <w:spacing w:val="-3"/>
          <w:sz w:val="20"/>
          <w:szCs w:val="20"/>
        </w:rPr>
        <w:t xml:space="preserve"> </w:t>
      </w:r>
      <w:r w:rsidRPr="005827DA">
        <w:rPr>
          <w:rFonts w:ascii="Arial" w:hAnsi="Arial" w:cs="Arial"/>
          <w:sz w:val="20"/>
          <w:szCs w:val="20"/>
        </w:rPr>
        <w:t>of basic</w:t>
      </w:r>
      <w:r w:rsidRPr="005827DA">
        <w:rPr>
          <w:rFonts w:ascii="Arial" w:hAnsi="Arial" w:cs="Arial"/>
          <w:spacing w:val="-3"/>
          <w:sz w:val="20"/>
          <w:szCs w:val="20"/>
        </w:rPr>
        <w:t xml:space="preserve"> </w:t>
      </w:r>
      <w:r w:rsidRPr="005827DA">
        <w:rPr>
          <w:rFonts w:ascii="Arial" w:hAnsi="Arial" w:cs="Arial"/>
          <w:sz w:val="20"/>
          <w:szCs w:val="20"/>
        </w:rPr>
        <w:t>instruction</w:t>
      </w:r>
      <w:r w:rsidRPr="005827DA">
        <w:rPr>
          <w:rFonts w:ascii="Arial" w:hAnsi="Arial" w:cs="Arial"/>
          <w:spacing w:val="-1"/>
          <w:sz w:val="20"/>
          <w:szCs w:val="20"/>
        </w:rPr>
        <w:t xml:space="preserve"> </w:t>
      </w:r>
      <w:r w:rsidRPr="005827DA">
        <w:rPr>
          <w:rFonts w:ascii="Arial" w:hAnsi="Arial" w:cs="Arial"/>
          <w:sz w:val="20"/>
          <w:szCs w:val="20"/>
        </w:rPr>
        <w:t>at</w:t>
      </w:r>
      <w:r w:rsidRPr="005827DA">
        <w:rPr>
          <w:rFonts w:ascii="Arial" w:hAnsi="Arial" w:cs="Arial"/>
          <w:spacing w:val="-2"/>
          <w:sz w:val="20"/>
          <w:szCs w:val="20"/>
        </w:rPr>
        <w:t xml:space="preserve"> </w:t>
      </w: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BPL level.</w:t>
      </w:r>
    </w:p>
    <w:p w14:paraId="1EAE4DFE" w14:textId="77777777" w:rsidR="00F20810" w:rsidRPr="005827DA" w:rsidRDefault="00F20810" w:rsidP="005827DA">
      <w:pPr>
        <w:pStyle w:val="ListParagraph"/>
        <w:numPr>
          <w:ilvl w:val="3"/>
          <w:numId w:val="240"/>
        </w:numPr>
        <w:tabs>
          <w:tab w:val="left" w:pos="90"/>
          <w:tab w:val="left" w:pos="2409"/>
        </w:tabs>
        <w:spacing w:before="118"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9"/>
          <w:sz w:val="20"/>
          <w:szCs w:val="20"/>
        </w:rPr>
        <w:t xml:space="preserve"> </w:t>
      </w:r>
      <w:r w:rsidRPr="005827DA">
        <w:rPr>
          <w:rFonts w:ascii="Arial" w:hAnsi="Arial" w:cs="Arial"/>
          <w:sz w:val="20"/>
          <w:szCs w:val="20"/>
        </w:rPr>
        <w:t>instructor</w:t>
      </w:r>
      <w:r w:rsidRPr="005827DA">
        <w:rPr>
          <w:rFonts w:ascii="Arial" w:hAnsi="Arial" w:cs="Arial"/>
          <w:spacing w:val="-11"/>
          <w:sz w:val="20"/>
          <w:szCs w:val="20"/>
        </w:rPr>
        <w:t xml:space="preserve"> </w:t>
      </w:r>
      <w:r w:rsidRPr="005827DA">
        <w:rPr>
          <w:rFonts w:ascii="Arial" w:hAnsi="Arial" w:cs="Arial"/>
          <w:sz w:val="20"/>
          <w:szCs w:val="20"/>
        </w:rPr>
        <w:t>providing</w:t>
      </w:r>
      <w:r w:rsidRPr="005827DA">
        <w:rPr>
          <w:rFonts w:ascii="Arial" w:hAnsi="Arial" w:cs="Arial"/>
          <w:spacing w:val="-9"/>
          <w:sz w:val="20"/>
          <w:szCs w:val="20"/>
        </w:rPr>
        <w:t xml:space="preserve"> </w:t>
      </w:r>
      <w:r w:rsidRPr="005827DA">
        <w:rPr>
          <w:rFonts w:ascii="Arial" w:hAnsi="Arial" w:cs="Arial"/>
          <w:sz w:val="20"/>
          <w:szCs w:val="20"/>
        </w:rPr>
        <w:t>this</w:t>
      </w:r>
      <w:r w:rsidRPr="005827DA">
        <w:rPr>
          <w:rFonts w:ascii="Arial" w:hAnsi="Arial" w:cs="Arial"/>
          <w:spacing w:val="-8"/>
          <w:sz w:val="20"/>
          <w:szCs w:val="20"/>
        </w:rPr>
        <w:t xml:space="preserve"> </w:t>
      </w:r>
      <w:r w:rsidRPr="005827DA">
        <w:rPr>
          <w:rFonts w:ascii="Arial" w:hAnsi="Arial" w:cs="Arial"/>
          <w:sz w:val="20"/>
          <w:szCs w:val="20"/>
        </w:rPr>
        <w:t>instructor</w:t>
      </w:r>
      <w:r w:rsidRPr="005827DA">
        <w:rPr>
          <w:rFonts w:ascii="Arial" w:hAnsi="Arial" w:cs="Arial"/>
          <w:spacing w:val="-10"/>
          <w:sz w:val="20"/>
          <w:szCs w:val="20"/>
        </w:rPr>
        <w:t xml:space="preserve"> </w:t>
      </w:r>
      <w:r w:rsidRPr="005827DA">
        <w:rPr>
          <w:rFonts w:ascii="Arial" w:hAnsi="Arial" w:cs="Arial"/>
          <w:sz w:val="20"/>
          <w:szCs w:val="20"/>
        </w:rPr>
        <w:t>training</w:t>
      </w:r>
      <w:r w:rsidRPr="005827DA">
        <w:rPr>
          <w:rFonts w:ascii="Arial" w:hAnsi="Arial" w:cs="Arial"/>
          <w:spacing w:val="-9"/>
          <w:sz w:val="20"/>
          <w:szCs w:val="20"/>
        </w:rPr>
        <w:t xml:space="preserve"> </w:t>
      </w:r>
      <w:r w:rsidRPr="005827DA">
        <w:rPr>
          <w:rFonts w:ascii="Arial" w:hAnsi="Arial" w:cs="Arial"/>
          <w:sz w:val="20"/>
          <w:szCs w:val="20"/>
        </w:rPr>
        <w:t>may</w:t>
      </w:r>
      <w:r w:rsidRPr="005827DA">
        <w:rPr>
          <w:rFonts w:ascii="Arial" w:hAnsi="Arial" w:cs="Arial"/>
          <w:spacing w:val="-10"/>
          <w:sz w:val="20"/>
          <w:szCs w:val="20"/>
        </w:rPr>
        <w:t xml:space="preserve"> </w:t>
      </w:r>
      <w:r w:rsidRPr="005827DA">
        <w:rPr>
          <w:rFonts w:ascii="Arial" w:hAnsi="Arial" w:cs="Arial"/>
          <w:sz w:val="20"/>
          <w:szCs w:val="20"/>
        </w:rPr>
        <w:t>take</w:t>
      </w:r>
      <w:r w:rsidRPr="005827DA">
        <w:rPr>
          <w:rFonts w:ascii="Arial" w:hAnsi="Arial" w:cs="Arial"/>
          <w:spacing w:val="-10"/>
          <w:sz w:val="20"/>
          <w:szCs w:val="20"/>
        </w:rPr>
        <w:t xml:space="preserve"> </w:t>
      </w:r>
      <w:r w:rsidRPr="005827DA">
        <w:rPr>
          <w:rFonts w:ascii="Arial" w:hAnsi="Arial" w:cs="Arial"/>
          <w:sz w:val="20"/>
          <w:szCs w:val="20"/>
        </w:rPr>
        <w:t>over</w:t>
      </w:r>
      <w:r w:rsidRPr="005827DA">
        <w:rPr>
          <w:rFonts w:ascii="Arial" w:hAnsi="Arial" w:cs="Arial"/>
          <w:spacing w:val="-10"/>
          <w:sz w:val="20"/>
          <w:szCs w:val="20"/>
        </w:rPr>
        <w:t xml:space="preserve"> </w:t>
      </w:r>
      <w:r w:rsidRPr="005827DA">
        <w:rPr>
          <w:rFonts w:ascii="Arial" w:hAnsi="Arial" w:cs="Arial"/>
          <w:sz w:val="20"/>
          <w:szCs w:val="20"/>
        </w:rPr>
        <w:t>the</w:t>
      </w:r>
      <w:r w:rsidRPr="005827DA">
        <w:rPr>
          <w:rFonts w:ascii="Arial" w:hAnsi="Arial" w:cs="Arial"/>
          <w:spacing w:val="-9"/>
          <w:sz w:val="20"/>
          <w:szCs w:val="20"/>
        </w:rPr>
        <w:t xml:space="preserve"> </w:t>
      </w:r>
      <w:r w:rsidRPr="005827DA">
        <w:rPr>
          <w:rFonts w:ascii="Arial" w:hAnsi="Arial" w:cs="Arial"/>
          <w:sz w:val="20"/>
          <w:szCs w:val="20"/>
        </w:rPr>
        <w:t>role</w:t>
      </w:r>
      <w:r w:rsidRPr="005827DA">
        <w:rPr>
          <w:rFonts w:ascii="Arial" w:hAnsi="Arial" w:cs="Arial"/>
          <w:spacing w:val="-10"/>
          <w:sz w:val="20"/>
          <w:szCs w:val="20"/>
        </w:rPr>
        <w:t xml:space="preserve"> </w:t>
      </w:r>
      <w:r w:rsidRPr="005827DA">
        <w:rPr>
          <w:rFonts w:ascii="Arial" w:hAnsi="Arial" w:cs="Arial"/>
          <w:sz w:val="20"/>
          <w:szCs w:val="20"/>
        </w:rPr>
        <w:t>of</w:t>
      </w:r>
      <w:r w:rsidRPr="005827DA">
        <w:rPr>
          <w:rFonts w:ascii="Arial" w:hAnsi="Arial" w:cs="Arial"/>
          <w:spacing w:val="-11"/>
          <w:sz w:val="20"/>
          <w:szCs w:val="20"/>
        </w:rPr>
        <w:t xml:space="preserve"> </w:t>
      </w:r>
      <w:r w:rsidRPr="005827DA">
        <w:rPr>
          <w:rFonts w:ascii="Arial" w:hAnsi="Arial" w:cs="Arial"/>
          <w:sz w:val="20"/>
          <w:szCs w:val="20"/>
        </w:rPr>
        <w:t>the</w:t>
      </w:r>
      <w:r w:rsidRPr="005827DA">
        <w:rPr>
          <w:rFonts w:ascii="Arial" w:hAnsi="Arial" w:cs="Arial"/>
          <w:spacing w:val="-47"/>
          <w:sz w:val="20"/>
          <w:szCs w:val="20"/>
        </w:rPr>
        <w:t xml:space="preserve"> </w:t>
      </w:r>
      <w:r w:rsidRPr="005827DA">
        <w:rPr>
          <w:rFonts w:ascii="Arial" w:hAnsi="Arial" w:cs="Arial"/>
          <w:sz w:val="20"/>
          <w:szCs w:val="20"/>
        </w:rPr>
        <w:t>student pilot. An additional person holding a BPL or a student pilot for the</w:t>
      </w:r>
      <w:r w:rsidRPr="005827DA">
        <w:rPr>
          <w:rFonts w:ascii="Arial" w:hAnsi="Arial" w:cs="Arial"/>
          <w:spacing w:val="1"/>
          <w:sz w:val="20"/>
          <w:szCs w:val="20"/>
        </w:rPr>
        <w:t xml:space="preserve"> </w:t>
      </w:r>
      <w:r w:rsidRPr="005827DA">
        <w:rPr>
          <w:rFonts w:ascii="Arial" w:hAnsi="Arial" w:cs="Arial"/>
          <w:sz w:val="20"/>
          <w:szCs w:val="20"/>
        </w:rPr>
        <w:t>BPL</w:t>
      </w:r>
      <w:r w:rsidRPr="005827DA">
        <w:rPr>
          <w:rFonts w:ascii="Arial" w:hAnsi="Arial" w:cs="Arial"/>
          <w:spacing w:val="-6"/>
          <w:sz w:val="20"/>
          <w:szCs w:val="20"/>
        </w:rPr>
        <w:t xml:space="preserve"> </w:t>
      </w:r>
      <w:r w:rsidRPr="005827DA">
        <w:rPr>
          <w:rFonts w:ascii="Arial" w:hAnsi="Arial" w:cs="Arial"/>
          <w:sz w:val="20"/>
          <w:szCs w:val="20"/>
        </w:rPr>
        <w:t>may</w:t>
      </w:r>
      <w:r w:rsidRPr="005827DA">
        <w:rPr>
          <w:rFonts w:ascii="Arial" w:hAnsi="Arial" w:cs="Arial"/>
          <w:spacing w:val="-4"/>
          <w:sz w:val="20"/>
          <w:szCs w:val="20"/>
        </w:rPr>
        <w:t xml:space="preserve"> </w:t>
      </w:r>
      <w:r w:rsidRPr="005827DA">
        <w:rPr>
          <w:rFonts w:ascii="Arial" w:hAnsi="Arial" w:cs="Arial"/>
          <w:sz w:val="20"/>
          <w:szCs w:val="20"/>
        </w:rPr>
        <w:t>be</w:t>
      </w:r>
      <w:r w:rsidRPr="005827DA">
        <w:rPr>
          <w:rFonts w:ascii="Arial" w:hAnsi="Arial" w:cs="Arial"/>
          <w:spacing w:val="-4"/>
          <w:sz w:val="20"/>
          <w:szCs w:val="20"/>
        </w:rPr>
        <w:t xml:space="preserve"> </w:t>
      </w:r>
      <w:r w:rsidRPr="005827DA">
        <w:rPr>
          <w:rFonts w:ascii="Arial" w:hAnsi="Arial" w:cs="Arial"/>
          <w:sz w:val="20"/>
          <w:szCs w:val="20"/>
        </w:rPr>
        <w:t>on</w:t>
      </w:r>
      <w:r w:rsidRPr="005827DA">
        <w:rPr>
          <w:rFonts w:ascii="Arial" w:hAnsi="Arial" w:cs="Arial"/>
          <w:spacing w:val="-5"/>
          <w:sz w:val="20"/>
          <w:szCs w:val="20"/>
        </w:rPr>
        <w:t xml:space="preserve"> </w:t>
      </w:r>
      <w:r w:rsidRPr="005827DA">
        <w:rPr>
          <w:rFonts w:ascii="Arial" w:hAnsi="Arial" w:cs="Arial"/>
          <w:sz w:val="20"/>
          <w:szCs w:val="20"/>
        </w:rPr>
        <w:t>board</w:t>
      </w:r>
      <w:r w:rsidRPr="005827DA">
        <w:rPr>
          <w:rFonts w:ascii="Arial" w:hAnsi="Arial" w:cs="Arial"/>
          <w:spacing w:val="-6"/>
          <w:sz w:val="20"/>
          <w:szCs w:val="20"/>
        </w:rPr>
        <w:t xml:space="preserve"> </w:t>
      </w:r>
      <w:r w:rsidRPr="005827DA">
        <w:rPr>
          <w:rFonts w:ascii="Arial" w:hAnsi="Arial" w:cs="Arial"/>
          <w:sz w:val="20"/>
          <w:szCs w:val="20"/>
        </w:rPr>
        <w:t>in</w:t>
      </w:r>
      <w:r w:rsidRPr="005827DA">
        <w:rPr>
          <w:rFonts w:ascii="Arial" w:hAnsi="Arial" w:cs="Arial"/>
          <w:spacing w:val="-6"/>
          <w:sz w:val="20"/>
          <w:szCs w:val="20"/>
        </w:rPr>
        <w:t xml:space="preserve"> </w:t>
      </w:r>
      <w:r w:rsidRPr="005827DA">
        <w:rPr>
          <w:rFonts w:ascii="Arial" w:hAnsi="Arial" w:cs="Arial"/>
          <w:sz w:val="20"/>
          <w:szCs w:val="20"/>
        </w:rPr>
        <w:t>order</w:t>
      </w:r>
      <w:r w:rsidRPr="005827DA">
        <w:rPr>
          <w:rFonts w:ascii="Arial" w:hAnsi="Arial" w:cs="Arial"/>
          <w:spacing w:val="-2"/>
          <w:sz w:val="20"/>
          <w:szCs w:val="20"/>
        </w:rPr>
        <w:t xml:space="preserve"> </w:t>
      </w:r>
      <w:r w:rsidRPr="005827DA">
        <w:rPr>
          <w:rFonts w:ascii="Arial" w:hAnsi="Arial" w:cs="Arial"/>
          <w:sz w:val="20"/>
          <w:szCs w:val="20"/>
        </w:rPr>
        <w:t>to</w:t>
      </w:r>
      <w:r w:rsidRPr="005827DA">
        <w:rPr>
          <w:rFonts w:ascii="Arial" w:hAnsi="Arial" w:cs="Arial"/>
          <w:spacing w:val="-2"/>
          <w:sz w:val="20"/>
          <w:szCs w:val="20"/>
        </w:rPr>
        <w:t xml:space="preserve"> </w:t>
      </w:r>
      <w:r w:rsidRPr="005827DA">
        <w:rPr>
          <w:rFonts w:ascii="Arial" w:hAnsi="Arial" w:cs="Arial"/>
          <w:sz w:val="20"/>
          <w:szCs w:val="20"/>
        </w:rPr>
        <w:t>act</w:t>
      </w:r>
      <w:r w:rsidRPr="005827DA">
        <w:rPr>
          <w:rFonts w:ascii="Arial" w:hAnsi="Arial" w:cs="Arial"/>
          <w:spacing w:val="-4"/>
          <w:sz w:val="20"/>
          <w:szCs w:val="20"/>
        </w:rPr>
        <w:t xml:space="preserve"> </w:t>
      </w:r>
      <w:r w:rsidRPr="005827DA">
        <w:rPr>
          <w:rFonts w:ascii="Arial" w:hAnsi="Arial" w:cs="Arial"/>
          <w:sz w:val="20"/>
          <w:szCs w:val="20"/>
        </w:rPr>
        <w:t>as</w:t>
      </w:r>
      <w:r w:rsidRPr="005827DA">
        <w:rPr>
          <w:rFonts w:ascii="Arial" w:hAnsi="Arial" w:cs="Arial"/>
          <w:spacing w:val="-5"/>
          <w:sz w:val="20"/>
          <w:szCs w:val="20"/>
        </w:rPr>
        <w:t xml:space="preserve"> </w:t>
      </w:r>
      <w:r w:rsidRPr="005827DA">
        <w:rPr>
          <w:rFonts w:ascii="Arial" w:hAnsi="Arial" w:cs="Arial"/>
          <w:sz w:val="20"/>
          <w:szCs w:val="20"/>
        </w:rPr>
        <w:t>a</w:t>
      </w:r>
      <w:r w:rsidRPr="005827DA">
        <w:rPr>
          <w:rFonts w:ascii="Arial" w:hAnsi="Arial" w:cs="Arial"/>
          <w:spacing w:val="-5"/>
          <w:sz w:val="20"/>
          <w:szCs w:val="20"/>
        </w:rPr>
        <w:t xml:space="preserve"> </w:t>
      </w:r>
      <w:r w:rsidRPr="005827DA">
        <w:rPr>
          <w:rFonts w:ascii="Arial" w:hAnsi="Arial" w:cs="Arial"/>
          <w:sz w:val="20"/>
          <w:szCs w:val="20"/>
        </w:rPr>
        <w:t>student</w:t>
      </w:r>
      <w:r w:rsidRPr="005827DA">
        <w:rPr>
          <w:rFonts w:ascii="Arial" w:hAnsi="Arial" w:cs="Arial"/>
          <w:spacing w:val="-4"/>
          <w:sz w:val="20"/>
          <w:szCs w:val="20"/>
        </w:rPr>
        <w:t xml:space="preserve"> </w:t>
      </w:r>
      <w:r w:rsidRPr="005827DA">
        <w:rPr>
          <w:rFonts w:ascii="Arial" w:hAnsi="Arial" w:cs="Arial"/>
          <w:sz w:val="20"/>
          <w:szCs w:val="20"/>
        </w:rPr>
        <w:t>pilot</w:t>
      </w:r>
      <w:r w:rsidRPr="005827DA">
        <w:rPr>
          <w:rFonts w:ascii="Arial" w:hAnsi="Arial" w:cs="Arial"/>
          <w:spacing w:val="-6"/>
          <w:sz w:val="20"/>
          <w:szCs w:val="20"/>
        </w:rPr>
        <w:t xml:space="preserve"> </w:t>
      </w:r>
      <w:r w:rsidRPr="005827DA">
        <w:rPr>
          <w:rFonts w:ascii="Arial" w:hAnsi="Arial" w:cs="Arial"/>
          <w:sz w:val="20"/>
          <w:szCs w:val="20"/>
        </w:rPr>
        <w:t>under</w:t>
      </w:r>
      <w:r w:rsidRPr="005827DA">
        <w:rPr>
          <w:rFonts w:ascii="Arial" w:hAnsi="Arial" w:cs="Arial"/>
          <w:spacing w:val="-2"/>
          <w:sz w:val="20"/>
          <w:szCs w:val="20"/>
        </w:rPr>
        <w:t xml:space="preserve"> </w:t>
      </w:r>
      <w:r w:rsidRPr="005827DA">
        <w:rPr>
          <w:rFonts w:ascii="Arial" w:hAnsi="Arial" w:cs="Arial"/>
          <w:sz w:val="20"/>
          <w:szCs w:val="20"/>
        </w:rPr>
        <w:t>the</w:t>
      </w:r>
      <w:r w:rsidRPr="005827DA">
        <w:rPr>
          <w:rFonts w:ascii="Arial" w:hAnsi="Arial" w:cs="Arial"/>
          <w:spacing w:val="-5"/>
          <w:sz w:val="20"/>
          <w:szCs w:val="20"/>
        </w:rPr>
        <w:t xml:space="preserve"> </w:t>
      </w:r>
      <w:r w:rsidRPr="005827DA">
        <w:rPr>
          <w:rFonts w:ascii="Arial" w:hAnsi="Arial" w:cs="Arial"/>
          <w:sz w:val="20"/>
          <w:szCs w:val="20"/>
        </w:rPr>
        <w:t>supervision</w:t>
      </w:r>
      <w:r w:rsidRPr="005827DA">
        <w:rPr>
          <w:rFonts w:ascii="Arial" w:hAnsi="Arial" w:cs="Arial"/>
          <w:spacing w:val="-47"/>
          <w:sz w:val="20"/>
          <w:szCs w:val="20"/>
        </w:rPr>
        <w:t xml:space="preserve"> </w:t>
      </w:r>
      <w:r w:rsidRPr="005827DA">
        <w:rPr>
          <w:rFonts w:ascii="Arial" w:hAnsi="Arial" w:cs="Arial"/>
          <w:sz w:val="20"/>
          <w:szCs w:val="20"/>
        </w:rPr>
        <w:t>of the</w:t>
      </w:r>
      <w:r w:rsidRPr="005827DA">
        <w:rPr>
          <w:rFonts w:ascii="Arial" w:hAnsi="Arial" w:cs="Arial"/>
          <w:spacing w:val="-2"/>
          <w:sz w:val="20"/>
          <w:szCs w:val="20"/>
        </w:rPr>
        <w:t xml:space="preserve"> </w:t>
      </w:r>
      <w:r w:rsidRPr="005827DA">
        <w:rPr>
          <w:rFonts w:ascii="Arial" w:hAnsi="Arial" w:cs="Arial"/>
          <w:sz w:val="20"/>
          <w:szCs w:val="20"/>
        </w:rPr>
        <w:t>student</w:t>
      </w:r>
      <w:r w:rsidRPr="005827DA">
        <w:rPr>
          <w:rFonts w:ascii="Arial" w:hAnsi="Arial" w:cs="Arial"/>
          <w:spacing w:val="-2"/>
          <w:sz w:val="20"/>
          <w:szCs w:val="20"/>
        </w:rPr>
        <w:t xml:space="preserve"> </w:t>
      </w:r>
      <w:r w:rsidRPr="005827DA">
        <w:rPr>
          <w:rFonts w:ascii="Arial" w:hAnsi="Arial" w:cs="Arial"/>
          <w:sz w:val="20"/>
          <w:szCs w:val="20"/>
        </w:rPr>
        <w:t>instructor.</w:t>
      </w:r>
    </w:p>
    <w:p w14:paraId="1FF2BB54" w14:textId="77777777" w:rsidR="00F20810" w:rsidRPr="005827DA" w:rsidRDefault="00F20810" w:rsidP="005827DA">
      <w:pPr>
        <w:pStyle w:val="ListParagraph"/>
        <w:numPr>
          <w:ilvl w:val="3"/>
          <w:numId w:val="240"/>
        </w:numPr>
        <w:tabs>
          <w:tab w:val="left" w:pos="90"/>
          <w:tab w:val="left" w:pos="2409"/>
        </w:tabs>
        <w:spacing w:before="121" w:line="276" w:lineRule="auto"/>
        <w:ind w:right="68" w:hanging="436"/>
        <w:jc w:val="both"/>
        <w:rPr>
          <w:rFonts w:ascii="Arial" w:hAnsi="Arial" w:cs="Arial"/>
          <w:sz w:val="20"/>
          <w:szCs w:val="20"/>
        </w:rPr>
      </w:pPr>
      <w:r w:rsidRPr="005827DA">
        <w:rPr>
          <w:rFonts w:ascii="Arial" w:hAnsi="Arial" w:cs="Arial"/>
          <w:sz w:val="20"/>
          <w:szCs w:val="20"/>
        </w:rPr>
        <w:t>It is to be noted that airmanship is a vital ingredient of all flight operations.</w:t>
      </w:r>
      <w:r w:rsidRPr="005827DA">
        <w:rPr>
          <w:rFonts w:ascii="Arial" w:hAnsi="Arial" w:cs="Arial"/>
          <w:spacing w:val="1"/>
          <w:sz w:val="20"/>
          <w:szCs w:val="20"/>
        </w:rPr>
        <w:t xml:space="preserve"> </w:t>
      </w:r>
      <w:r w:rsidRPr="005827DA">
        <w:rPr>
          <w:rFonts w:ascii="Arial" w:hAnsi="Arial" w:cs="Arial"/>
          <w:sz w:val="20"/>
          <w:szCs w:val="20"/>
        </w:rPr>
        <w:t>Therefore, in the following air exercises, the relevant aspects of airmanship</w:t>
      </w:r>
      <w:r w:rsidRPr="005827DA">
        <w:rPr>
          <w:rFonts w:ascii="Arial" w:hAnsi="Arial" w:cs="Arial"/>
          <w:spacing w:val="-47"/>
          <w:sz w:val="20"/>
          <w:szCs w:val="20"/>
        </w:rPr>
        <w:t xml:space="preserve"> </w:t>
      </w:r>
      <w:r w:rsidRPr="005827DA">
        <w:rPr>
          <w:rFonts w:ascii="Arial" w:hAnsi="Arial" w:cs="Arial"/>
          <w:sz w:val="20"/>
          <w:szCs w:val="20"/>
        </w:rPr>
        <w:t>are</w:t>
      </w:r>
      <w:r w:rsidRPr="005827DA">
        <w:rPr>
          <w:rFonts w:ascii="Arial" w:hAnsi="Arial" w:cs="Arial"/>
          <w:spacing w:val="-1"/>
          <w:sz w:val="20"/>
          <w:szCs w:val="20"/>
        </w:rPr>
        <w:t xml:space="preserve"> </w:t>
      </w:r>
      <w:r w:rsidRPr="005827DA">
        <w:rPr>
          <w:rFonts w:ascii="Arial" w:hAnsi="Arial" w:cs="Arial"/>
          <w:sz w:val="20"/>
          <w:szCs w:val="20"/>
        </w:rPr>
        <w:t>to be</w:t>
      </w:r>
      <w:r w:rsidRPr="005827DA">
        <w:rPr>
          <w:rFonts w:ascii="Arial" w:hAnsi="Arial" w:cs="Arial"/>
          <w:spacing w:val="-3"/>
          <w:sz w:val="20"/>
          <w:szCs w:val="20"/>
        </w:rPr>
        <w:t xml:space="preserve"> </w:t>
      </w:r>
      <w:r w:rsidRPr="005827DA">
        <w:rPr>
          <w:rFonts w:ascii="Arial" w:hAnsi="Arial" w:cs="Arial"/>
          <w:sz w:val="20"/>
          <w:szCs w:val="20"/>
        </w:rPr>
        <w:t>stressed</w:t>
      </w:r>
      <w:r w:rsidRPr="005827DA">
        <w:rPr>
          <w:rFonts w:ascii="Arial" w:hAnsi="Arial" w:cs="Arial"/>
          <w:spacing w:val="-1"/>
          <w:sz w:val="20"/>
          <w:szCs w:val="20"/>
        </w:rPr>
        <w:t xml:space="preserve"> </w:t>
      </w:r>
      <w:r w:rsidRPr="005827DA">
        <w:rPr>
          <w:rFonts w:ascii="Arial" w:hAnsi="Arial" w:cs="Arial"/>
          <w:sz w:val="20"/>
          <w:szCs w:val="20"/>
        </w:rPr>
        <w:t>at the</w:t>
      </w:r>
      <w:r w:rsidRPr="005827DA">
        <w:rPr>
          <w:rFonts w:ascii="Arial" w:hAnsi="Arial" w:cs="Arial"/>
          <w:spacing w:val="-4"/>
          <w:sz w:val="20"/>
          <w:szCs w:val="20"/>
        </w:rPr>
        <w:t xml:space="preserve"> </w:t>
      </w:r>
      <w:r w:rsidRPr="005827DA">
        <w:rPr>
          <w:rFonts w:ascii="Arial" w:hAnsi="Arial" w:cs="Arial"/>
          <w:sz w:val="20"/>
          <w:szCs w:val="20"/>
        </w:rPr>
        <w:t>appropriate</w:t>
      </w:r>
      <w:r w:rsidRPr="005827DA">
        <w:rPr>
          <w:rFonts w:ascii="Arial" w:hAnsi="Arial" w:cs="Arial"/>
          <w:spacing w:val="-2"/>
          <w:sz w:val="20"/>
          <w:szCs w:val="20"/>
        </w:rPr>
        <w:t xml:space="preserve"> </w:t>
      </w:r>
      <w:r w:rsidRPr="005827DA">
        <w:rPr>
          <w:rFonts w:ascii="Arial" w:hAnsi="Arial" w:cs="Arial"/>
          <w:sz w:val="20"/>
          <w:szCs w:val="20"/>
        </w:rPr>
        <w:t>times during</w:t>
      </w:r>
      <w:r w:rsidRPr="005827DA">
        <w:rPr>
          <w:rFonts w:ascii="Arial" w:hAnsi="Arial" w:cs="Arial"/>
          <w:spacing w:val="-1"/>
          <w:sz w:val="20"/>
          <w:szCs w:val="20"/>
        </w:rPr>
        <w:t xml:space="preserve"> </w:t>
      </w:r>
      <w:r w:rsidRPr="005827DA">
        <w:rPr>
          <w:rFonts w:ascii="Arial" w:hAnsi="Arial" w:cs="Arial"/>
          <w:sz w:val="20"/>
          <w:szCs w:val="20"/>
        </w:rPr>
        <w:t>each</w:t>
      </w:r>
      <w:r w:rsidRPr="005827DA">
        <w:rPr>
          <w:rFonts w:ascii="Arial" w:hAnsi="Arial" w:cs="Arial"/>
          <w:spacing w:val="-2"/>
          <w:sz w:val="20"/>
          <w:szCs w:val="20"/>
        </w:rPr>
        <w:t xml:space="preserve"> </w:t>
      </w:r>
      <w:r w:rsidRPr="005827DA">
        <w:rPr>
          <w:rFonts w:ascii="Arial" w:hAnsi="Arial" w:cs="Arial"/>
          <w:sz w:val="20"/>
          <w:szCs w:val="20"/>
        </w:rPr>
        <w:t>flight.</w:t>
      </w:r>
    </w:p>
    <w:p w14:paraId="3E0945E1" w14:textId="77777777" w:rsidR="00F20810" w:rsidRPr="005827DA" w:rsidRDefault="00F20810" w:rsidP="005827DA">
      <w:pPr>
        <w:pStyle w:val="ListParagraph"/>
        <w:numPr>
          <w:ilvl w:val="3"/>
          <w:numId w:val="240"/>
        </w:numPr>
        <w:tabs>
          <w:tab w:val="left" w:pos="90"/>
          <w:tab w:val="left" w:pos="2409"/>
        </w:tabs>
        <w:spacing w:before="122"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7"/>
          <w:sz w:val="20"/>
          <w:szCs w:val="20"/>
        </w:rPr>
        <w:t xml:space="preserve"> </w:t>
      </w:r>
      <w:r w:rsidRPr="005827DA">
        <w:rPr>
          <w:rFonts w:ascii="Arial" w:hAnsi="Arial" w:cs="Arial"/>
          <w:sz w:val="20"/>
          <w:szCs w:val="20"/>
        </w:rPr>
        <w:t>student</w:t>
      </w:r>
      <w:r w:rsidRPr="005827DA">
        <w:rPr>
          <w:rFonts w:ascii="Arial" w:hAnsi="Arial" w:cs="Arial"/>
          <w:spacing w:val="-8"/>
          <w:sz w:val="20"/>
          <w:szCs w:val="20"/>
        </w:rPr>
        <w:t xml:space="preserve"> </w:t>
      </w:r>
      <w:r w:rsidRPr="005827DA">
        <w:rPr>
          <w:rFonts w:ascii="Arial" w:hAnsi="Arial" w:cs="Arial"/>
          <w:sz w:val="20"/>
          <w:szCs w:val="20"/>
        </w:rPr>
        <w:t>instructor</w:t>
      </w:r>
      <w:r w:rsidRPr="005827DA">
        <w:rPr>
          <w:rFonts w:ascii="Arial" w:hAnsi="Arial" w:cs="Arial"/>
          <w:spacing w:val="-9"/>
          <w:sz w:val="20"/>
          <w:szCs w:val="20"/>
        </w:rPr>
        <w:t xml:space="preserve"> </w:t>
      </w:r>
      <w:r w:rsidRPr="005827DA">
        <w:rPr>
          <w:rFonts w:ascii="Arial" w:hAnsi="Arial" w:cs="Arial"/>
          <w:sz w:val="20"/>
          <w:szCs w:val="20"/>
        </w:rPr>
        <w:t>should</w:t>
      </w:r>
      <w:r w:rsidRPr="005827DA">
        <w:rPr>
          <w:rFonts w:ascii="Arial" w:hAnsi="Arial" w:cs="Arial"/>
          <w:spacing w:val="-7"/>
          <w:sz w:val="20"/>
          <w:szCs w:val="20"/>
        </w:rPr>
        <w:t xml:space="preserve"> </w:t>
      </w:r>
      <w:r w:rsidRPr="005827DA">
        <w:rPr>
          <w:rFonts w:ascii="Arial" w:hAnsi="Arial" w:cs="Arial"/>
          <w:sz w:val="20"/>
          <w:szCs w:val="20"/>
        </w:rPr>
        <w:t>learn</w:t>
      </w:r>
      <w:r w:rsidRPr="005827DA">
        <w:rPr>
          <w:rFonts w:ascii="Arial" w:hAnsi="Arial" w:cs="Arial"/>
          <w:spacing w:val="-8"/>
          <w:sz w:val="20"/>
          <w:szCs w:val="20"/>
        </w:rPr>
        <w:t xml:space="preserve"> </w:t>
      </w:r>
      <w:r w:rsidRPr="005827DA">
        <w:rPr>
          <w:rFonts w:ascii="Arial" w:hAnsi="Arial" w:cs="Arial"/>
          <w:sz w:val="20"/>
          <w:szCs w:val="20"/>
        </w:rPr>
        <w:t>how</w:t>
      </w:r>
      <w:r w:rsidRPr="005827DA">
        <w:rPr>
          <w:rFonts w:ascii="Arial" w:hAnsi="Arial" w:cs="Arial"/>
          <w:spacing w:val="-7"/>
          <w:sz w:val="20"/>
          <w:szCs w:val="20"/>
        </w:rPr>
        <w:t xml:space="preserve"> </w:t>
      </w:r>
      <w:r w:rsidRPr="005827DA">
        <w:rPr>
          <w:rFonts w:ascii="Arial" w:hAnsi="Arial" w:cs="Arial"/>
          <w:sz w:val="20"/>
          <w:szCs w:val="20"/>
        </w:rPr>
        <w:t>to</w:t>
      </w:r>
      <w:r w:rsidRPr="005827DA">
        <w:rPr>
          <w:rFonts w:ascii="Arial" w:hAnsi="Arial" w:cs="Arial"/>
          <w:spacing w:val="-8"/>
          <w:sz w:val="20"/>
          <w:szCs w:val="20"/>
        </w:rPr>
        <w:t xml:space="preserve"> </w:t>
      </w:r>
      <w:r w:rsidRPr="005827DA">
        <w:rPr>
          <w:rFonts w:ascii="Arial" w:hAnsi="Arial" w:cs="Arial"/>
          <w:sz w:val="20"/>
          <w:szCs w:val="20"/>
        </w:rPr>
        <w:t>identify</w:t>
      </w:r>
      <w:r w:rsidRPr="005827DA">
        <w:rPr>
          <w:rFonts w:ascii="Arial" w:hAnsi="Arial" w:cs="Arial"/>
          <w:spacing w:val="-7"/>
          <w:sz w:val="20"/>
          <w:szCs w:val="20"/>
        </w:rPr>
        <w:t xml:space="preserve"> </w:t>
      </w:r>
      <w:r w:rsidRPr="005827DA">
        <w:rPr>
          <w:rFonts w:ascii="Arial" w:hAnsi="Arial" w:cs="Arial"/>
          <w:sz w:val="20"/>
          <w:szCs w:val="20"/>
        </w:rPr>
        <w:t>common</w:t>
      </w:r>
      <w:r w:rsidRPr="005827DA">
        <w:rPr>
          <w:rFonts w:ascii="Arial" w:hAnsi="Arial" w:cs="Arial"/>
          <w:spacing w:val="-10"/>
          <w:sz w:val="20"/>
          <w:szCs w:val="20"/>
        </w:rPr>
        <w:t xml:space="preserve"> </w:t>
      </w:r>
      <w:r w:rsidRPr="005827DA">
        <w:rPr>
          <w:rFonts w:ascii="Arial" w:hAnsi="Arial" w:cs="Arial"/>
          <w:sz w:val="20"/>
          <w:szCs w:val="20"/>
        </w:rPr>
        <w:t>errors</w:t>
      </w:r>
      <w:r w:rsidRPr="005827DA">
        <w:rPr>
          <w:rFonts w:ascii="Arial" w:hAnsi="Arial" w:cs="Arial"/>
          <w:spacing w:val="-8"/>
          <w:sz w:val="20"/>
          <w:szCs w:val="20"/>
        </w:rPr>
        <w:t xml:space="preserve"> </w:t>
      </w:r>
      <w:r w:rsidRPr="005827DA">
        <w:rPr>
          <w:rFonts w:ascii="Arial" w:hAnsi="Arial" w:cs="Arial"/>
          <w:sz w:val="20"/>
          <w:szCs w:val="20"/>
        </w:rPr>
        <w:t>and</w:t>
      </w:r>
      <w:r w:rsidRPr="005827DA">
        <w:rPr>
          <w:rFonts w:ascii="Arial" w:hAnsi="Arial" w:cs="Arial"/>
          <w:spacing w:val="-7"/>
          <w:sz w:val="20"/>
          <w:szCs w:val="20"/>
        </w:rPr>
        <w:t xml:space="preserve"> </w:t>
      </w:r>
      <w:r w:rsidRPr="005827DA">
        <w:rPr>
          <w:rFonts w:ascii="Arial" w:hAnsi="Arial" w:cs="Arial"/>
          <w:sz w:val="20"/>
          <w:szCs w:val="20"/>
        </w:rPr>
        <w:t>how</w:t>
      </w:r>
      <w:r w:rsidRPr="005827DA">
        <w:rPr>
          <w:rFonts w:ascii="Arial" w:hAnsi="Arial" w:cs="Arial"/>
          <w:spacing w:val="-47"/>
          <w:sz w:val="20"/>
          <w:szCs w:val="20"/>
        </w:rPr>
        <w:t xml:space="preserve"> </w:t>
      </w:r>
      <w:r w:rsidRPr="005827DA">
        <w:rPr>
          <w:rFonts w:ascii="Arial" w:hAnsi="Arial" w:cs="Arial"/>
          <w:sz w:val="20"/>
          <w:szCs w:val="20"/>
        </w:rPr>
        <w:t>to correct</w:t>
      </w:r>
      <w:r w:rsidRPr="005827DA">
        <w:rPr>
          <w:rFonts w:ascii="Arial" w:hAnsi="Arial" w:cs="Arial"/>
          <w:spacing w:val="-1"/>
          <w:sz w:val="20"/>
          <w:szCs w:val="20"/>
        </w:rPr>
        <w:t xml:space="preserve"> </w:t>
      </w:r>
      <w:r w:rsidRPr="005827DA">
        <w:rPr>
          <w:rFonts w:ascii="Arial" w:hAnsi="Arial" w:cs="Arial"/>
          <w:sz w:val="20"/>
          <w:szCs w:val="20"/>
        </w:rPr>
        <w:t>them</w:t>
      </w:r>
      <w:r w:rsidRPr="005827DA">
        <w:rPr>
          <w:rFonts w:ascii="Arial" w:hAnsi="Arial" w:cs="Arial"/>
          <w:spacing w:val="1"/>
          <w:sz w:val="20"/>
          <w:szCs w:val="20"/>
        </w:rPr>
        <w:t xml:space="preserve"> </w:t>
      </w:r>
      <w:r w:rsidRPr="005827DA">
        <w:rPr>
          <w:rFonts w:ascii="Arial" w:hAnsi="Arial" w:cs="Arial"/>
          <w:sz w:val="20"/>
          <w:szCs w:val="20"/>
        </w:rPr>
        <w:t>properly,</w:t>
      </w:r>
      <w:r w:rsidRPr="005827DA">
        <w:rPr>
          <w:rFonts w:ascii="Arial" w:hAnsi="Arial" w:cs="Arial"/>
          <w:spacing w:val="-4"/>
          <w:sz w:val="20"/>
          <w:szCs w:val="20"/>
        </w:rPr>
        <w:t xml:space="preserve"> </w:t>
      </w:r>
      <w:r w:rsidRPr="005827DA">
        <w:rPr>
          <w:rFonts w:ascii="Arial" w:hAnsi="Arial" w:cs="Arial"/>
          <w:sz w:val="20"/>
          <w:szCs w:val="20"/>
        </w:rPr>
        <w:t>which</w:t>
      </w:r>
      <w:r w:rsidRPr="005827DA">
        <w:rPr>
          <w:rFonts w:ascii="Arial" w:hAnsi="Arial" w:cs="Arial"/>
          <w:spacing w:val="-1"/>
          <w:sz w:val="20"/>
          <w:szCs w:val="20"/>
        </w:rPr>
        <w:t xml:space="preserve"> </w:t>
      </w:r>
      <w:r w:rsidRPr="005827DA">
        <w:rPr>
          <w:rFonts w:ascii="Arial" w:hAnsi="Arial" w:cs="Arial"/>
          <w:sz w:val="20"/>
          <w:szCs w:val="20"/>
        </w:rPr>
        <w:t>should</w:t>
      </w:r>
      <w:r w:rsidRPr="005827DA">
        <w:rPr>
          <w:rFonts w:ascii="Arial" w:hAnsi="Arial" w:cs="Arial"/>
          <w:spacing w:val="-1"/>
          <w:sz w:val="20"/>
          <w:szCs w:val="20"/>
        </w:rPr>
        <w:t xml:space="preserve"> </w:t>
      </w:r>
      <w:r w:rsidRPr="005827DA">
        <w:rPr>
          <w:rFonts w:ascii="Arial" w:hAnsi="Arial" w:cs="Arial"/>
          <w:sz w:val="20"/>
          <w:szCs w:val="20"/>
        </w:rPr>
        <w:t>be</w:t>
      </w:r>
      <w:r w:rsidRPr="005827DA">
        <w:rPr>
          <w:rFonts w:ascii="Arial" w:hAnsi="Arial" w:cs="Arial"/>
          <w:spacing w:val="-4"/>
          <w:sz w:val="20"/>
          <w:szCs w:val="20"/>
        </w:rPr>
        <w:t xml:space="preserve"> </w:t>
      </w:r>
      <w:r w:rsidRPr="005827DA">
        <w:rPr>
          <w:rFonts w:ascii="Arial" w:hAnsi="Arial" w:cs="Arial"/>
          <w:sz w:val="20"/>
          <w:szCs w:val="20"/>
        </w:rPr>
        <w:t>emphasised at all</w:t>
      </w:r>
      <w:r w:rsidRPr="005827DA">
        <w:rPr>
          <w:rFonts w:ascii="Arial" w:hAnsi="Arial" w:cs="Arial"/>
          <w:spacing w:val="-3"/>
          <w:sz w:val="20"/>
          <w:szCs w:val="20"/>
        </w:rPr>
        <w:t xml:space="preserve"> </w:t>
      </w:r>
      <w:r w:rsidRPr="005827DA">
        <w:rPr>
          <w:rFonts w:ascii="Arial" w:hAnsi="Arial" w:cs="Arial"/>
          <w:sz w:val="20"/>
          <w:szCs w:val="20"/>
        </w:rPr>
        <w:t>times.</w:t>
      </w:r>
    </w:p>
    <w:p w14:paraId="04CAA3B5" w14:textId="77777777" w:rsidR="00F20810" w:rsidRPr="005827DA" w:rsidRDefault="00F20810" w:rsidP="005827DA">
      <w:pPr>
        <w:pStyle w:val="ListParagraph"/>
        <w:numPr>
          <w:ilvl w:val="2"/>
          <w:numId w:val="240"/>
        </w:numPr>
        <w:tabs>
          <w:tab w:val="left" w:pos="90"/>
          <w:tab w:val="left" w:pos="1842"/>
        </w:tabs>
        <w:spacing w:line="276" w:lineRule="auto"/>
        <w:ind w:right="68" w:hanging="436"/>
        <w:jc w:val="both"/>
        <w:rPr>
          <w:rFonts w:ascii="Arial" w:hAnsi="Arial" w:cs="Arial"/>
          <w:sz w:val="20"/>
          <w:szCs w:val="20"/>
        </w:rPr>
      </w:pPr>
      <w:r w:rsidRPr="005827DA">
        <w:rPr>
          <w:rFonts w:ascii="Arial" w:hAnsi="Arial" w:cs="Arial"/>
          <w:sz w:val="20"/>
          <w:szCs w:val="20"/>
        </w:rPr>
        <w:t>Long</w:t>
      </w:r>
      <w:r w:rsidRPr="005827DA">
        <w:rPr>
          <w:rFonts w:ascii="Arial" w:hAnsi="Arial" w:cs="Arial"/>
          <w:spacing w:val="-2"/>
          <w:sz w:val="20"/>
          <w:szCs w:val="20"/>
        </w:rPr>
        <w:t xml:space="preserve"> </w:t>
      </w:r>
      <w:r w:rsidRPr="005827DA">
        <w:rPr>
          <w:rFonts w:ascii="Arial" w:hAnsi="Arial" w:cs="Arial"/>
          <w:sz w:val="20"/>
          <w:szCs w:val="20"/>
        </w:rPr>
        <w:t>briefings and</w:t>
      </w:r>
      <w:r w:rsidRPr="005827DA">
        <w:rPr>
          <w:rFonts w:ascii="Arial" w:hAnsi="Arial" w:cs="Arial"/>
          <w:spacing w:val="-3"/>
          <w:sz w:val="20"/>
          <w:szCs w:val="20"/>
        </w:rPr>
        <w:t xml:space="preserve"> </w:t>
      </w:r>
      <w:r w:rsidRPr="005827DA">
        <w:rPr>
          <w:rFonts w:ascii="Arial" w:hAnsi="Arial" w:cs="Arial"/>
          <w:sz w:val="20"/>
          <w:szCs w:val="20"/>
        </w:rPr>
        <w:t>air</w:t>
      </w:r>
      <w:r w:rsidRPr="005827DA">
        <w:rPr>
          <w:rFonts w:ascii="Arial" w:hAnsi="Arial" w:cs="Arial"/>
          <w:spacing w:val="-1"/>
          <w:sz w:val="20"/>
          <w:szCs w:val="20"/>
        </w:rPr>
        <w:t xml:space="preserve"> </w:t>
      </w:r>
      <w:r w:rsidRPr="005827DA">
        <w:rPr>
          <w:rFonts w:ascii="Arial" w:hAnsi="Arial" w:cs="Arial"/>
          <w:sz w:val="20"/>
          <w:szCs w:val="20"/>
        </w:rPr>
        <w:t>exercises</w:t>
      </w:r>
    </w:p>
    <w:p w14:paraId="6CF6F77F" w14:textId="77777777" w:rsidR="00F20810" w:rsidRPr="005827DA" w:rsidRDefault="00F20810" w:rsidP="005827DA">
      <w:pPr>
        <w:pStyle w:val="ListParagraph"/>
        <w:tabs>
          <w:tab w:val="left" w:pos="90"/>
          <w:tab w:val="left" w:pos="1842"/>
        </w:tabs>
        <w:spacing w:line="276" w:lineRule="auto"/>
        <w:ind w:left="1842" w:right="68" w:hanging="436"/>
        <w:jc w:val="both"/>
        <w:rPr>
          <w:rFonts w:ascii="Arial" w:hAnsi="Arial" w:cs="Arial"/>
          <w:sz w:val="20"/>
          <w:szCs w:val="20"/>
        </w:rPr>
      </w:pPr>
    </w:p>
    <w:p w14:paraId="5981AB70" w14:textId="77777777" w:rsidR="00F20810" w:rsidRPr="005827DA" w:rsidRDefault="00F20810" w:rsidP="005827DA">
      <w:pPr>
        <w:tabs>
          <w:tab w:val="left" w:pos="90"/>
        </w:tabs>
        <w:spacing w:line="276" w:lineRule="auto"/>
        <w:ind w:right="68" w:hanging="436"/>
        <w:jc w:val="both"/>
        <w:rPr>
          <w:rFonts w:ascii="Arial" w:eastAsia="Times New Roman" w:hAnsi="Arial" w:cs="Times New Roman"/>
          <w:b/>
          <w:bCs/>
          <w:sz w:val="20"/>
          <w:szCs w:val="20"/>
        </w:rPr>
      </w:pPr>
      <w:r w:rsidRPr="005827DA">
        <w:rPr>
          <w:rFonts w:ascii="Arial" w:eastAsia="Times New Roman" w:hAnsi="Arial" w:cs="Times New Roman"/>
          <w:b/>
          <w:bCs/>
          <w:sz w:val="20"/>
          <w:szCs w:val="20"/>
        </w:rPr>
        <w:t>Exercise 1: Familiarisation with the balloon</w:t>
      </w:r>
    </w:p>
    <w:p w14:paraId="5E9ABB88" w14:textId="77777777" w:rsidR="00F20810" w:rsidRPr="005827DA" w:rsidRDefault="00F20810" w:rsidP="005827DA">
      <w:pPr>
        <w:pStyle w:val="ListParagraph"/>
        <w:numPr>
          <w:ilvl w:val="0"/>
          <w:numId w:val="241"/>
        </w:numPr>
        <w:tabs>
          <w:tab w:val="left" w:pos="90"/>
          <w:tab w:val="left" w:pos="2409"/>
        </w:tabs>
        <w:spacing w:line="276" w:lineRule="auto"/>
        <w:ind w:right="68" w:hanging="436"/>
        <w:jc w:val="both"/>
        <w:rPr>
          <w:rFonts w:ascii="Arial" w:hAnsi="Arial" w:cs="Arial"/>
          <w:sz w:val="20"/>
          <w:szCs w:val="20"/>
        </w:rPr>
      </w:pPr>
      <w:r w:rsidRPr="005827DA">
        <w:rPr>
          <w:rFonts w:ascii="Arial" w:hAnsi="Arial" w:cs="Arial"/>
          <w:sz w:val="20"/>
          <w:szCs w:val="20"/>
        </w:rPr>
        <w:t>Objective</w:t>
      </w:r>
    </w:p>
    <w:p w14:paraId="7119340F" w14:textId="77777777" w:rsidR="00F20810" w:rsidRPr="005827DA" w:rsidRDefault="00F20810" w:rsidP="005827DA">
      <w:pPr>
        <w:pStyle w:val="BodyText"/>
        <w:tabs>
          <w:tab w:val="left" w:pos="90"/>
        </w:tabs>
        <w:spacing w:line="276" w:lineRule="auto"/>
        <w:ind w:left="2408" w:right="68" w:hanging="436"/>
        <w:jc w:val="both"/>
        <w:rPr>
          <w:rFonts w:ascii="Arial" w:hAnsi="Arial" w:cs="Arial"/>
          <w:sz w:val="20"/>
          <w:szCs w:val="20"/>
        </w:rPr>
      </w:pPr>
      <w:r w:rsidRPr="005827DA">
        <w:rPr>
          <w:rFonts w:ascii="Arial" w:hAnsi="Arial" w:cs="Arial"/>
          <w:sz w:val="20"/>
          <w:szCs w:val="20"/>
        </w:rPr>
        <w:t>To advise the student instructor on how to familiarise the student with the</w:t>
      </w:r>
      <w:r w:rsidRPr="005827DA">
        <w:rPr>
          <w:rFonts w:ascii="Arial" w:hAnsi="Arial" w:cs="Arial"/>
          <w:spacing w:val="1"/>
          <w:sz w:val="20"/>
          <w:szCs w:val="20"/>
        </w:rPr>
        <w:t xml:space="preserve"> </w:t>
      </w:r>
      <w:r w:rsidRPr="005827DA">
        <w:rPr>
          <w:rFonts w:ascii="Arial" w:hAnsi="Arial" w:cs="Arial"/>
          <w:sz w:val="20"/>
          <w:szCs w:val="20"/>
        </w:rPr>
        <w:t>balloon</w:t>
      </w:r>
      <w:r w:rsidRPr="005827DA">
        <w:rPr>
          <w:rFonts w:ascii="Arial" w:hAnsi="Arial" w:cs="Arial"/>
          <w:spacing w:val="-4"/>
          <w:sz w:val="20"/>
          <w:szCs w:val="20"/>
        </w:rPr>
        <w:t xml:space="preserve"> </w:t>
      </w:r>
      <w:r w:rsidRPr="005827DA">
        <w:rPr>
          <w:rFonts w:ascii="Arial" w:hAnsi="Arial" w:cs="Arial"/>
          <w:sz w:val="20"/>
          <w:szCs w:val="20"/>
        </w:rPr>
        <w:t>which</w:t>
      </w:r>
      <w:r w:rsidRPr="005827DA">
        <w:rPr>
          <w:rFonts w:ascii="Arial" w:hAnsi="Arial" w:cs="Arial"/>
          <w:spacing w:val="-3"/>
          <w:sz w:val="20"/>
          <w:szCs w:val="20"/>
        </w:rPr>
        <w:t xml:space="preserve"> </w:t>
      </w:r>
      <w:r w:rsidRPr="005827DA">
        <w:rPr>
          <w:rFonts w:ascii="Arial" w:hAnsi="Arial" w:cs="Arial"/>
          <w:sz w:val="20"/>
          <w:szCs w:val="20"/>
        </w:rPr>
        <w:t>will</w:t>
      </w:r>
      <w:r w:rsidRPr="005827DA">
        <w:rPr>
          <w:rFonts w:ascii="Arial" w:hAnsi="Arial" w:cs="Arial"/>
          <w:spacing w:val="-3"/>
          <w:sz w:val="20"/>
          <w:szCs w:val="20"/>
        </w:rPr>
        <w:t xml:space="preserve"> </w:t>
      </w:r>
      <w:r w:rsidRPr="005827DA">
        <w:rPr>
          <w:rFonts w:ascii="Arial" w:hAnsi="Arial" w:cs="Arial"/>
          <w:sz w:val="20"/>
          <w:szCs w:val="20"/>
        </w:rPr>
        <w:t>be</w:t>
      </w:r>
      <w:r w:rsidRPr="005827DA">
        <w:rPr>
          <w:rFonts w:ascii="Arial" w:hAnsi="Arial" w:cs="Arial"/>
          <w:spacing w:val="-2"/>
          <w:sz w:val="20"/>
          <w:szCs w:val="20"/>
        </w:rPr>
        <w:t xml:space="preserve"> </w:t>
      </w:r>
      <w:r w:rsidRPr="005827DA">
        <w:rPr>
          <w:rFonts w:ascii="Arial" w:hAnsi="Arial" w:cs="Arial"/>
          <w:sz w:val="20"/>
          <w:szCs w:val="20"/>
        </w:rPr>
        <w:t>used</w:t>
      </w:r>
      <w:r w:rsidRPr="005827DA">
        <w:rPr>
          <w:rFonts w:ascii="Arial" w:hAnsi="Arial" w:cs="Arial"/>
          <w:spacing w:val="-5"/>
          <w:sz w:val="20"/>
          <w:szCs w:val="20"/>
        </w:rPr>
        <w:t xml:space="preserve"> </w:t>
      </w:r>
      <w:r w:rsidRPr="005827DA">
        <w:rPr>
          <w:rFonts w:ascii="Arial" w:hAnsi="Arial" w:cs="Arial"/>
          <w:sz w:val="20"/>
          <w:szCs w:val="20"/>
        </w:rPr>
        <w:t>for</w:t>
      </w:r>
      <w:r w:rsidRPr="005827DA">
        <w:rPr>
          <w:rFonts w:ascii="Arial" w:hAnsi="Arial" w:cs="Arial"/>
          <w:spacing w:val="-3"/>
          <w:sz w:val="20"/>
          <w:szCs w:val="20"/>
        </w:rPr>
        <w:t xml:space="preserve"> </w:t>
      </w:r>
      <w:r w:rsidRPr="005827DA">
        <w:rPr>
          <w:rFonts w:ascii="Arial" w:hAnsi="Arial" w:cs="Arial"/>
          <w:sz w:val="20"/>
          <w:szCs w:val="20"/>
        </w:rPr>
        <w:t>the</w:t>
      </w:r>
      <w:r w:rsidRPr="005827DA">
        <w:rPr>
          <w:rFonts w:ascii="Arial" w:hAnsi="Arial" w:cs="Arial"/>
          <w:spacing w:val="-5"/>
          <w:sz w:val="20"/>
          <w:szCs w:val="20"/>
        </w:rPr>
        <w:t xml:space="preserve"> </w:t>
      </w:r>
      <w:r w:rsidRPr="005827DA">
        <w:rPr>
          <w:rFonts w:ascii="Arial" w:hAnsi="Arial" w:cs="Arial"/>
          <w:sz w:val="20"/>
          <w:szCs w:val="20"/>
        </w:rPr>
        <w:t>training</w:t>
      </w:r>
      <w:r w:rsidRPr="005827DA">
        <w:rPr>
          <w:rFonts w:ascii="Arial" w:hAnsi="Arial" w:cs="Arial"/>
          <w:spacing w:val="-3"/>
          <w:sz w:val="20"/>
          <w:szCs w:val="20"/>
        </w:rPr>
        <w:t xml:space="preserve"> </w:t>
      </w:r>
      <w:r w:rsidRPr="005827DA">
        <w:rPr>
          <w:rFonts w:ascii="Arial" w:hAnsi="Arial" w:cs="Arial"/>
          <w:sz w:val="20"/>
          <w:szCs w:val="20"/>
        </w:rPr>
        <w:t>and</w:t>
      </w:r>
      <w:r w:rsidRPr="005827DA">
        <w:rPr>
          <w:rFonts w:ascii="Arial" w:hAnsi="Arial" w:cs="Arial"/>
          <w:spacing w:val="-3"/>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test</w:t>
      </w:r>
      <w:r w:rsidRPr="005827DA">
        <w:rPr>
          <w:rFonts w:ascii="Arial" w:hAnsi="Arial" w:cs="Arial"/>
          <w:spacing w:val="-5"/>
          <w:sz w:val="20"/>
          <w:szCs w:val="20"/>
        </w:rPr>
        <w:t xml:space="preserve"> </w:t>
      </w: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student’s</w:t>
      </w:r>
      <w:r w:rsidRPr="005827DA">
        <w:rPr>
          <w:rFonts w:ascii="Arial" w:hAnsi="Arial" w:cs="Arial"/>
          <w:spacing w:val="-2"/>
          <w:sz w:val="20"/>
          <w:szCs w:val="20"/>
        </w:rPr>
        <w:t xml:space="preserve"> </w:t>
      </w:r>
      <w:r w:rsidRPr="005827DA">
        <w:rPr>
          <w:rFonts w:ascii="Arial" w:hAnsi="Arial" w:cs="Arial"/>
          <w:sz w:val="20"/>
          <w:szCs w:val="20"/>
        </w:rPr>
        <w:t>position</w:t>
      </w:r>
      <w:r w:rsidRPr="005827DA">
        <w:rPr>
          <w:rFonts w:ascii="Arial" w:hAnsi="Arial" w:cs="Arial"/>
          <w:spacing w:val="-47"/>
          <w:sz w:val="20"/>
          <w:szCs w:val="20"/>
        </w:rPr>
        <w:t xml:space="preserve"> </w:t>
      </w:r>
      <w:r w:rsidRPr="005827DA">
        <w:rPr>
          <w:rFonts w:ascii="Arial" w:hAnsi="Arial" w:cs="Arial"/>
          <w:sz w:val="20"/>
          <w:szCs w:val="20"/>
        </w:rPr>
        <w:t>in</w:t>
      </w:r>
      <w:r w:rsidRPr="005827DA">
        <w:rPr>
          <w:rFonts w:ascii="Arial" w:hAnsi="Arial" w:cs="Arial"/>
          <w:spacing w:val="1"/>
          <w:sz w:val="20"/>
          <w:szCs w:val="20"/>
        </w:rPr>
        <w:t xml:space="preserve"> </w:t>
      </w: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basket</w:t>
      </w:r>
      <w:r w:rsidRPr="005827DA">
        <w:rPr>
          <w:rFonts w:ascii="Arial" w:hAnsi="Arial" w:cs="Arial"/>
          <w:spacing w:val="1"/>
          <w:sz w:val="20"/>
          <w:szCs w:val="20"/>
        </w:rPr>
        <w:t xml:space="preserve"> </w:t>
      </w:r>
      <w:r w:rsidRPr="005827DA">
        <w:rPr>
          <w:rFonts w:ascii="Arial" w:hAnsi="Arial" w:cs="Arial"/>
          <w:sz w:val="20"/>
          <w:szCs w:val="20"/>
        </w:rPr>
        <w:t>for</w:t>
      </w:r>
      <w:r w:rsidRPr="005827DA">
        <w:rPr>
          <w:rFonts w:ascii="Arial" w:hAnsi="Arial" w:cs="Arial"/>
          <w:spacing w:val="1"/>
          <w:sz w:val="20"/>
          <w:szCs w:val="20"/>
        </w:rPr>
        <w:t xml:space="preserve"> </w:t>
      </w:r>
      <w:r w:rsidRPr="005827DA">
        <w:rPr>
          <w:rFonts w:ascii="Arial" w:hAnsi="Arial" w:cs="Arial"/>
          <w:sz w:val="20"/>
          <w:szCs w:val="20"/>
        </w:rPr>
        <w:t>comfort,</w:t>
      </w:r>
      <w:r w:rsidRPr="005827DA">
        <w:rPr>
          <w:rFonts w:ascii="Arial" w:hAnsi="Arial" w:cs="Arial"/>
          <w:spacing w:val="1"/>
          <w:sz w:val="20"/>
          <w:szCs w:val="20"/>
        </w:rPr>
        <w:t xml:space="preserve"> </w:t>
      </w:r>
      <w:r w:rsidRPr="005827DA">
        <w:rPr>
          <w:rFonts w:ascii="Arial" w:hAnsi="Arial" w:cs="Arial"/>
          <w:sz w:val="20"/>
          <w:szCs w:val="20"/>
        </w:rPr>
        <w:t>visibility,</w:t>
      </w:r>
      <w:r w:rsidRPr="005827DA">
        <w:rPr>
          <w:rFonts w:ascii="Arial" w:hAnsi="Arial" w:cs="Arial"/>
          <w:spacing w:val="1"/>
          <w:sz w:val="20"/>
          <w:szCs w:val="20"/>
        </w:rPr>
        <w:t xml:space="preserve"> </w:t>
      </w:r>
      <w:r w:rsidRPr="005827DA">
        <w:rPr>
          <w:rFonts w:ascii="Arial" w:hAnsi="Arial" w:cs="Arial"/>
          <w:sz w:val="20"/>
          <w:szCs w:val="20"/>
        </w:rPr>
        <w:t>and</w:t>
      </w:r>
      <w:r w:rsidRPr="005827DA">
        <w:rPr>
          <w:rFonts w:ascii="Arial" w:hAnsi="Arial" w:cs="Arial"/>
          <w:spacing w:val="1"/>
          <w:sz w:val="20"/>
          <w:szCs w:val="20"/>
        </w:rPr>
        <w:t xml:space="preserve"> </w:t>
      </w:r>
      <w:r w:rsidRPr="005827DA">
        <w:rPr>
          <w:rFonts w:ascii="Arial" w:hAnsi="Arial" w:cs="Arial"/>
          <w:sz w:val="20"/>
          <w:szCs w:val="20"/>
        </w:rPr>
        <w:t>ability</w:t>
      </w:r>
      <w:r w:rsidRPr="005827DA">
        <w:rPr>
          <w:rFonts w:ascii="Arial" w:hAnsi="Arial" w:cs="Arial"/>
          <w:spacing w:val="1"/>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use</w:t>
      </w:r>
      <w:r w:rsidRPr="005827DA">
        <w:rPr>
          <w:rFonts w:ascii="Arial" w:hAnsi="Arial" w:cs="Arial"/>
          <w:spacing w:val="1"/>
          <w:sz w:val="20"/>
          <w:szCs w:val="20"/>
        </w:rPr>
        <w:t xml:space="preserve"> </w:t>
      </w:r>
      <w:r w:rsidRPr="005827DA">
        <w:rPr>
          <w:rFonts w:ascii="Arial" w:hAnsi="Arial" w:cs="Arial"/>
          <w:sz w:val="20"/>
          <w:szCs w:val="20"/>
        </w:rPr>
        <w:t>all</w:t>
      </w:r>
      <w:r w:rsidRPr="005827DA">
        <w:rPr>
          <w:rFonts w:ascii="Arial" w:hAnsi="Arial" w:cs="Arial"/>
          <w:spacing w:val="1"/>
          <w:sz w:val="20"/>
          <w:szCs w:val="20"/>
        </w:rPr>
        <w:t xml:space="preserve"> </w:t>
      </w:r>
      <w:r w:rsidRPr="005827DA">
        <w:rPr>
          <w:rFonts w:ascii="Arial" w:hAnsi="Arial" w:cs="Arial"/>
          <w:sz w:val="20"/>
          <w:szCs w:val="20"/>
        </w:rPr>
        <w:t>controls</w:t>
      </w:r>
      <w:r w:rsidRPr="005827DA">
        <w:rPr>
          <w:rFonts w:ascii="Arial" w:hAnsi="Arial" w:cs="Arial"/>
          <w:spacing w:val="1"/>
          <w:sz w:val="20"/>
          <w:szCs w:val="20"/>
        </w:rPr>
        <w:t xml:space="preserve"> </w:t>
      </w:r>
      <w:r w:rsidRPr="005827DA">
        <w:rPr>
          <w:rFonts w:ascii="Arial" w:hAnsi="Arial" w:cs="Arial"/>
          <w:sz w:val="20"/>
          <w:szCs w:val="20"/>
        </w:rPr>
        <w:t>and</w:t>
      </w:r>
      <w:r w:rsidRPr="005827DA">
        <w:rPr>
          <w:rFonts w:ascii="Arial" w:hAnsi="Arial" w:cs="Arial"/>
          <w:spacing w:val="1"/>
          <w:sz w:val="20"/>
          <w:szCs w:val="20"/>
        </w:rPr>
        <w:t xml:space="preserve"> </w:t>
      </w:r>
      <w:r w:rsidRPr="005827DA">
        <w:rPr>
          <w:rFonts w:ascii="Arial" w:hAnsi="Arial" w:cs="Arial"/>
          <w:spacing w:val="-1"/>
          <w:sz w:val="20"/>
          <w:szCs w:val="20"/>
        </w:rPr>
        <w:t>equipment.</w:t>
      </w:r>
      <w:r w:rsidRPr="005827DA">
        <w:rPr>
          <w:rFonts w:ascii="Arial" w:hAnsi="Arial" w:cs="Arial"/>
          <w:spacing w:val="-12"/>
          <w:sz w:val="20"/>
          <w:szCs w:val="20"/>
        </w:rPr>
        <w:t xml:space="preserve"> </w:t>
      </w:r>
      <w:r w:rsidRPr="005827DA">
        <w:rPr>
          <w:rFonts w:ascii="Arial" w:hAnsi="Arial" w:cs="Arial"/>
          <w:spacing w:val="-1"/>
          <w:sz w:val="20"/>
          <w:szCs w:val="20"/>
        </w:rPr>
        <w:t>Furthermore,</w:t>
      </w:r>
      <w:r w:rsidRPr="005827DA">
        <w:rPr>
          <w:rFonts w:ascii="Arial" w:hAnsi="Arial" w:cs="Arial"/>
          <w:spacing w:val="-11"/>
          <w:sz w:val="20"/>
          <w:szCs w:val="20"/>
        </w:rPr>
        <w:t xml:space="preserve"> </w:t>
      </w:r>
      <w:r w:rsidRPr="005827DA">
        <w:rPr>
          <w:rFonts w:ascii="Arial" w:hAnsi="Arial" w:cs="Arial"/>
          <w:sz w:val="20"/>
          <w:szCs w:val="20"/>
        </w:rPr>
        <w:t>the</w:t>
      </w:r>
      <w:r w:rsidRPr="005827DA">
        <w:rPr>
          <w:rFonts w:ascii="Arial" w:hAnsi="Arial" w:cs="Arial"/>
          <w:spacing w:val="-10"/>
          <w:sz w:val="20"/>
          <w:szCs w:val="20"/>
        </w:rPr>
        <w:t xml:space="preserve"> </w:t>
      </w:r>
      <w:r w:rsidRPr="005827DA">
        <w:rPr>
          <w:rFonts w:ascii="Arial" w:hAnsi="Arial" w:cs="Arial"/>
          <w:sz w:val="20"/>
          <w:szCs w:val="20"/>
        </w:rPr>
        <w:t>student</w:t>
      </w:r>
      <w:r w:rsidRPr="005827DA">
        <w:rPr>
          <w:rFonts w:ascii="Arial" w:hAnsi="Arial" w:cs="Arial"/>
          <w:spacing w:val="-14"/>
          <w:sz w:val="20"/>
          <w:szCs w:val="20"/>
        </w:rPr>
        <w:t xml:space="preserve"> </w:t>
      </w:r>
      <w:r w:rsidRPr="005827DA">
        <w:rPr>
          <w:rFonts w:ascii="Arial" w:hAnsi="Arial" w:cs="Arial"/>
          <w:sz w:val="20"/>
          <w:szCs w:val="20"/>
        </w:rPr>
        <w:t>instructor</w:t>
      </w:r>
      <w:r w:rsidRPr="005827DA">
        <w:rPr>
          <w:rFonts w:ascii="Arial" w:hAnsi="Arial" w:cs="Arial"/>
          <w:spacing w:val="-14"/>
          <w:sz w:val="20"/>
          <w:szCs w:val="20"/>
        </w:rPr>
        <w:t xml:space="preserve"> </w:t>
      </w:r>
      <w:r w:rsidRPr="005827DA">
        <w:rPr>
          <w:rFonts w:ascii="Arial" w:hAnsi="Arial" w:cs="Arial"/>
          <w:sz w:val="20"/>
          <w:szCs w:val="20"/>
        </w:rPr>
        <w:t>should</w:t>
      </w:r>
      <w:r w:rsidRPr="005827DA">
        <w:rPr>
          <w:rFonts w:ascii="Arial" w:hAnsi="Arial" w:cs="Arial"/>
          <w:spacing w:val="-12"/>
          <w:sz w:val="20"/>
          <w:szCs w:val="20"/>
        </w:rPr>
        <w:t xml:space="preserve"> </w:t>
      </w:r>
      <w:r w:rsidRPr="005827DA">
        <w:rPr>
          <w:rFonts w:ascii="Arial" w:hAnsi="Arial" w:cs="Arial"/>
          <w:sz w:val="20"/>
          <w:szCs w:val="20"/>
        </w:rPr>
        <w:t>learn</w:t>
      </w:r>
      <w:r w:rsidRPr="005827DA">
        <w:rPr>
          <w:rFonts w:ascii="Arial" w:hAnsi="Arial" w:cs="Arial"/>
          <w:spacing w:val="-13"/>
          <w:sz w:val="20"/>
          <w:szCs w:val="20"/>
        </w:rPr>
        <w:t xml:space="preserve"> </w:t>
      </w:r>
      <w:r w:rsidRPr="005827DA">
        <w:rPr>
          <w:rFonts w:ascii="Arial" w:hAnsi="Arial" w:cs="Arial"/>
          <w:sz w:val="20"/>
          <w:szCs w:val="20"/>
        </w:rPr>
        <w:t>how</w:t>
      </w:r>
      <w:r w:rsidRPr="005827DA">
        <w:rPr>
          <w:rFonts w:ascii="Arial" w:hAnsi="Arial" w:cs="Arial"/>
          <w:spacing w:val="-14"/>
          <w:sz w:val="20"/>
          <w:szCs w:val="20"/>
        </w:rPr>
        <w:t xml:space="preserve"> </w:t>
      </w:r>
      <w:r w:rsidRPr="005827DA">
        <w:rPr>
          <w:rFonts w:ascii="Arial" w:hAnsi="Arial" w:cs="Arial"/>
          <w:sz w:val="20"/>
          <w:szCs w:val="20"/>
        </w:rPr>
        <w:t>to</w:t>
      </w:r>
      <w:r w:rsidRPr="005827DA">
        <w:rPr>
          <w:rFonts w:ascii="Arial" w:hAnsi="Arial" w:cs="Arial"/>
          <w:spacing w:val="-11"/>
          <w:sz w:val="20"/>
          <w:szCs w:val="20"/>
        </w:rPr>
        <w:t xml:space="preserve"> </w:t>
      </w:r>
      <w:r w:rsidRPr="005827DA">
        <w:rPr>
          <w:rFonts w:ascii="Arial" w:hAnsi="Arial" w:cs="Arial"/>
          <w:sz w:val="20"/>
          <w:szCs w:val="20"/>
        </w:rPr>
        <w:t>identify</w:t>
      </w:r>
      <w:r w:rsidRPr="005827DA">
        <w:rPr>
          <w:rFonts w:ascii="Arial" w:hAnsi="Arial" w:cs="Arial"/>
          <w:spacing w:val="-48"/>
          <w:sz w:val="20"/>
          <w:szCs w:val="20"/>
        </w:rPr>
        <w:t xml:space="preserve"> </w:t>
      </w:r>
      <w:r w:rsidRPr="005827DA">
        <w:rPr>
          <w:rFonts w:ascii="Arial" w:hAnsi="Arial" w:cs="Arial"/>
          <w:sz w:val="20"/>
          <w:szCs w:val="20"/>
        </w:rPr>
        <w:t>student</w:t>
      </w:r>
      <w:r w:rsidRPr="005827DA">
        <w:rPr>
          <w:rFonts w:ascii="Arial" w:hAnsi="Arial" w:cs="Arial"/>
          <w:spacing w:val="-1"/>
          <w:sz w:val="20"/>
          <w:szCs w:val="20"/>
        </w:rPr>
        <w:t xml:space="preserve"> </w:t>
      </w:r>
      <w:r w:rsidRPr="005827DA">
        <w:rPr>
          <w:rFonts w:ascii="Arial" w:hAnsi="Arial" w:cs="Arial"/>
          <w:sz w:val="20"/>
          <w:szCs w:val="20"/>
        </w:rPr>
        <w:t>errors</w:t>
      </w:r>
      <w:r w:rsidRPr="005827DA">
        <w:rPr>
          <w:rFonts w:ascii="Arial" w:hAnsi="Arial" w:cs="Arial"/>
          <w:spacing w:val="-2"/>
          <w:sz w:val="20"/>
          <w:szCs w:val="20"/>
        </w:rPr>
        <w:t xml:space="preserve"> </w:t>
      </w:r>
      <w:r w:rsidRPr="005827DA">
        <w:rPr>
          <w:rFonts w:ascii="Arial" w:hAnsi="Arial" w:cs="Arial"/>
          <w:sz w:val="20"/>
          <w:szCs w:val="20"/>
        </w:rPr>
        <w:lastRenderedPageBreak/>
        <w:t>and</w:t>
      </w:r>
      <w:r w:rsidRPr="005827DA">
        <w:rPr>
          <w:rFonts w:ascii="Arial" w:hAnsi="Arial" w:cs="Arial"/>
          <w:spacing w:val="-1"/>
          <w:sz w:val="20"/>
          <w:szCs w:val="20"/>
        </w:rPr>
        <w:t xml:space="preserve"> </w:t>
      </w:r>
      <w:r w:rsidRPr="005827DA">
        <w:rPr>
          <w:rFonts w:ascii="Arial" w:hAnsi="Arial" w:cs="Arial"/>
          <w:sz w:val="20"/>
          <w:szCs w:val="20"/>
        </w:rPr>
        <w:t>how</w:t>
      </w:r>
      <w:r w:rsidRPr="005827DA">
        <w:rPr>
          <w:rFonts w:ascii="Arial" w:hAnsi="Arial" w:cs="Arial"/>
          <w:spacing w:val="-2"/>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correct</w:t>
      </w:r>
      <w:r w:rsidRPr="005827DA">
        <w:rPr>
          <w:rFonts w:ascii="Arial" w:hAnsi="Arial" w:cs="Arial"/>
          <w:spacing w:val="1"/>
          <w:sz w:val="20"/>
          <w:szCs w:val="20"/>
        </w:rPr>
        <w:t xml:space="preserve"> </w:t>
      </w:r>
      <w:r w:rsidRPr="005827DA">
        <w:rPr>
          <w:rFonts w:ascii="Arial" w:hAnsi="Arial" w:cs="Arial"/>
          <w:sz w:val="20"/>
          <w:szCs w:val="20"/>
        </w:rPr>
        <w:t>them</w:t>
      </w:r>
      <w:r w:rsidRPr="005827DA">
        <w:rPr>
          <w:rFonts w:ascii="Arial" w:hAnsi="Arial" w:cs="Arial"/>
          <w:spacing w:val="-1"/>
          <w:sz w:val="20"/>
          <w:szCs w:val="20"/>
        </w:rPr>
        <w:t xml:space="preserve"> </w:t>
      </w:r>
      <w:r w:rsidRPr="005827DA">
        <w:rPr>
          <w:rFonts w:ascii="Arial" w:hAnsi="Arial" w:cs="Arial"/>
          <w:sz w:val="20"/>
          <w:szCs w:val="20"/>
        </w:rPr>
        <w:t>properly.</w:t>
      </w:r>
    </w:p>
    <w:p w14:paraId="6EEF139D" w14:textId="77777777" w:rsidR="00F20810" w:rsidRPr="005827DA" w:rsidRDefault="00F20810" w:rsidP="005827DA">
      <w:pPr>
        <w:pStyle w:val="ListParagraph"/>
        <w:numPr>
          <w:ilvl w:val="0"/>
          <w:numId w:val="241"/>
        </w:numPr>
        <w:tabs>
          <w:tab w:val="left" w:pos="90"/>
          <w:tab w:val="left" w:pos="2409"/>
        </w:tabs>
        <w:spacing w:before="122" w:line="276" w:lineRule="auto"/>
        <w:ind w:right="68" w:hanging="436"/>
        <w:jc w:val="both"/>
        <w:rPr>
          <w:rFonts w:ascii="Arial" w:hAnsi="Arial" w:cs="Arial"/>
          <w:sz w:val="20"/>
          <w:szCs w:val="20"/>
        </w:rPr>
      </w:pPr>
      <w:r w:rsidRPr="005827DA">
        <w:rPr>
          <w:rFonts w:ascii="Arial" w:hAnsi="Arial" w:cs="Arial"/>
          <w:sz w:val="20"/>
          <w:szCs w:val="20"/>
        </w:rPr>
        <w:t>Briefing</w:t>
      </w:r>
      <w:r w:rsidRPr="005827DA">
        <w:rPr>
          <w:rFonts w:ascii="Arial" w:hAnsi="Arial" w:cs="Arial"/>
          <w:spacing w:val="-1"/>
          <w:sz w:val="20"/>
          <w:szCs w:val="20"/>
        </w:rPr>
        <w:t xml:space="preserve"> </w:t>
      </w:r>
      <w:r w:rsidRPr="005827DA">
        <w:rPr>
          <w:rFonts w:ascii="Arial" w:hAnsi="Arial" w:cs="Arial"/>
          <w:sz w:val="20"/>
          <w:szCs w:val="20"/>
        </w:rPr>
        <w:t>and</w:t>
      </w:r>
      <w:r w:rsidRPr="005827DA">
        <w:rPr>
          <w:rFonts w:ascii="Arial" w:hAnsi="Arial" w:cs="Arial"/>
          <w:spacing w:val="-1"/>
          <w:sz w:val="20"/>
          <w:szCs w:val="20"/>
        </w:rPr>
        <w:t xml:space="preserve"> </w:t>
      </w:r>
      <w:r w:rsidRPr="005827DA">
        <w:rPr>
          <w:rFonts w:ascii="Arial" w:hAnsi="Arial" w:cs="Arial"/>
          <w:sz w:val="20"/>
          <w:szCs w:val="20"/>
        </w:rPr>
        <w:t>exercise</w:t>
      </w:r>
    </w:p>
    <w:p w14:paraId="64D06B17" w14:textId="77777777" w:rsidR="00F20810" w:rsidRPr="005827DA" w:rsidRDefault="00F20810" w:rsidP="005827DA">
      <w:pPr>
        <w:pStyle w:val="BodyText"/>
        <w:tabs>
          <w:tab w:val="left" w:pos="90"/>
        </w:tabs>
        <w:spacing w:line="276" w:lineRule="auto"/>
        <w:ind w:left="2408" w:right="68" w:hanging="436"/>
        <w:jc w:val="both"/>
        <w:rPr>
          <w:rFonts w:ascii="Arial" w:hAnsi="Arial" w:cs="Arial"/>
          <w:sz w:val="20"/>
          <w:szCs w:val="20"/>
        </w:rPr>
      </w:pPr>
      <w:r w:rsidRPr="005827DA">
        <w:rPr>
          <w:rFonts w:ascii="Arial" w:hAnsi="Arial" w:cs="Arial"/>
          <w:sz w:val="20"/>
          <w:szCs w:val="20"/>
        </w:rPr>
        <w:t>The student</w:t>
      </w:r>
      <w:r w:rsidRPr="005827DA">
        <w:rPr>
          <w:rFonts w:ascii="Arial" w:hAnsi="Arial" w:cs="Arial"/>
          <w:spacing w:val="-2"/>
          <w:sz w:val="20"/>
          <w:szCs w:val="20"/>
        </w:rPr>
        <w:t xml:space="preserve"> </w:t>
      </w:r>
      <w:r w:rsidRPr="005827DA">
        <w:rPr>
          <w:rFonts w:ascii="Arial" w:hAnsi="Arial" w:cs="Arial"/>
          <w:sz w:val="20"/>
          <w:szCs w:val="20"/>
        </w:rPr>
        <w:t>instructor has</w:t>
      </w:r>
      <w:r w:rsidRPr="005827DA">
        <w:rPr>
          <w:rFonts w:ascii="Arial" w:hAnsi="Arial" w:cs="Arial"/>
          <w:spacing w:val="-5"/>
          <w:sz w:val="20"/>
          <w:szCs w:val="20"/>
        </w:rPr>
        <w:t xml:space="preserve"> </w:t>
      </w:r>
      <w:r w:rsidRPr="005827DA">
        <w:rPr>
          <w:rFonts w:ascii="Arial" w:hAnsi="Arial" w:cs="Arial"/>
          <w:sz w:val="20"/>
          <w:szCs w:val="20"/>
        </w:rPr>
        <w:t>to:</w:t>
      </w:r>
    </w:p>
    <w:p w14:paraId="2AA93157" w14:textId="77777777" w:rsidR="00F20810" w:rsidRPr="005827DA" w:rsidRDefault="00F20810" w:rsidP="005827DA">
      <w:pPr>
        <w:pStyle w:val="ListParagraph"/>
        <w:numPr>
          <w:ilvl w:val="1"/>
          <w:numId w:val="241"/>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present</w:t>
      </w:r>
      <w:r w:rsidRPr="005827DA">
        <w:rPr>
          <w:rFonts w:ascii="Arial" w:hAnsi="Arial" w:cs="Arial"/>
          <w:spacing w:val="-1"/>
          <w:sz w:val="20"/>
          <w:szCs w:val="20"/>
        </w:rPr>
        <w:t xml:space="preserve"> </w:t>
      </w:r>
      <w:r w:rsidRPr="005827DA">
        <w:rPr>
          <w:rFonts w:ascii="Arial" w:hAnsi="Arial" w:cs="Arial"/>
          <w:sz w:val="20"/>
          <w:szCs w:val="20"/>
        </w:rPr>
        <w:t>the type</w:t>
      </w:r>
      <w:r w:rsidRPr="005827DA">
        <w:rPr>
          <w:rFonts w:ascii="Arial" w:hAnsi="Arial" w:cs="Arial"/>
          <w:spacing w:val="-3"/>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balloon</w:t>
      </w:r>
      <w:r w:rsidRPr="005827DA">
        <w:rPr>
          <w:rFonts w:ascii="Arial" w:hAnsi="Arial" w:cs="Arial"/>
          <w:spacing w:val="-4"/>
          <w:sz w:val="20"/>
          <w:szCs w:val="20"/>
        </w:rPr>
        <w:t xml:space="preserve"> </w:t>
      </w:r>
      <w:r w:rsidRPr="005827DA">
        <w:rPr>
          <w:rFonts w:ascii="Arial" w:hAnsi="Arial" w:cs="Arial"/>
          <w:sz w:val="20"/>
          <w:szCs w:val="20"/>
        </w:rPr>
        <w:t>which</w:t>
      </w:r>
      <w:r w:rsidRPr="005827DA">
        <w:rPr>
          <w:rFonts w:ascii="Arial" w:hAnsi="Arial" w:cs="Arial"/>
          <w:spacing w:val="-2"/>
          <w:sz w:val="20"/>
          <w:szCs w:val="20"/>
        </w:rPr>
        <w:t xml:space="preserve"> </w:t>
      </w:r>
      <w:r w:rsidRPr="005827DA">
        <w:rPr>
          <w:rFonts w:ascii="Arial" w:hAnsi="Arial" w:cs="Arial"/>
          <w:sz w:val="20"/>
          <w:szCs w:val="20"/>
        </w:rPr>
        <w:t>will</w:t>
      </w:r>
      <w:r w:rsidRPr="005827DA">
        <w:rPr>
          <w:rFonts w:ascii="Arial" w:hAnsi="Arial" w:cs="Arial"/>
          <w:spacing w:val="-4"/>
          <w:sz w:val="20"/>
          <w:szCs w:val="20"/>
        </w:rPr>
        <w:t xml:space="preserve"> </w:t>
      </w:r>
      <w:r w:rsidRPr="005827DA">
        <w:rPr>
          <w:rFonts w:ascii="Arial" w:hAnsi="Arial" w:cs="Arial"/>
          <w:sz w:val="20"/>
          <w:szCs w:val="20"/>
        </w:rPr>
        <w:t>be</w:t>
      </w:r>
      <w:r w:rsidRPr="005827DA">
        <w:rPr>
          <w:rFonts w:ascii="Arial" w:hAnsi="Arial" w:cs="Arial"/>
          <w:spacing w:val="-1"/>
          <w:sz w:val="20"/>
          <w:szCs w:val="20"/>
        </w:rPr>
        <w:t xml:space="preserve"> </w:t>
      </w:r>
      <w:r w:rsidRPr="005827DA">
        <w:rPr>
          <w:rFonts w:ascii="Arial" w:hAnsi="Arial" w:cs="Arial"/>
          <w:sz w:val="20"/>
          <w:szCs w:val="20"/>
        </w:rPr>
        <w:t>used;</w:t>
      </w:r>
    </w:p>
    <w:p w14:paraId="37D6A43B" w14:textId="77777777" w:rsidR="00F20810" w:rsidRPr="005827DA" w:rsidRDefault="00F20810" w:rsidP="005827DA">
      <w:pPr>
        <w:pStyle w:val="ListParagraph"/>
        <w:numPr>
          <w:ilvl w:val="1"/>
          <w:numId w:val="241"/>
        </w:numPr>
        <w:tabs>
          <w:tab w:val="left" w:pos="90"/>
          <w:tab w:val="left" w:pos="2975"/>
          <w:tab w:val="left" w:pos="2976"/>
        </w:tabs>
        <w:spacing w:before="118" w:line="276" w:lineRule="auto"/>
        <w:ind w:right="68" w:hanging="436"/>
        <w:jc w:val="both"/>
        <w:rPr>
          <w:rFonts w:ascii="Arial" w:hAnsi="Arial" w:cs="Arial"/>
          <w:sz w:val="20"/>
          <w:szCs w:val="20"/>
        </w:rPr>
      </w:pPr>
      <w:r w:rsidRPr="005827DA">
        <w:rPr>
          <w:rFonts w:ascii="Arial" w:hAnsi="Arial" w:cs="Arial"/>
          <w:sz w:val="20"/>
          <w:szCs w:val="20"/>
        </w:rPr>
        <w:t>explain</w:t>
      </w:r>
      <w:r w:rsidRPr="005827DA">
        <w:rPr>
          <w:rFonts w:ascii="Arial" w:hAnsi="Arial" w:cs="Arial"/>
          <w:spacing w:val="-1"/>
          <w:sz w:val="20"/>
          <w:szCs w:val="20"/>
        </w:rPr>
        <w:t xml:space="preserve"> </w:t>
      </w: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characteristics</w:t>
      </w:r>
      <w:r w:rsidRPr="005827DA">
        <w:rPr>
          <w:rFonts w:ascii="Arial" w:hAnsi="Arial" w:cs="Arial"/>
          <w:spacing w:val="-4"/>
          <w:sz w:val="20"/>
          <w:szCs w:val="20"/>
        </w:rPr>
        <w:t xml:space="preserve"> </w:t>
      </w:r>
      <w:r w:rsidRPr="005827DA">
        <w:rPr>
          <w:rFonts w:ascii="Arial" w:hAnsi="Arial" w:cs="Arial"/>
          <w:sz w:val="20"/>
          <w:szCs w:val="20"/>
        </w:rPr>
        <w:t>of the</w:t>
      </w:r>
      <w:r w:rsidRPr="005827DA">
        <w:rPr>
          <w:rFonts w:ascii="Arial" w:hAnsi="Arial" w:cs="Arial"/>
          <w:spacing w:val="-2"/>
          <w:sz w:val="20"/>
          <w:szCs w:val="20"/>
        </w:rPr>
        <w:t xml:space="preserve"> </w:t>
      </w:r>
      <w:r w:rsidRPr="005827DA">
        <w:rPr>
          <w:rFonts w:ascii="Arial" w:hAnsi="Arial" w:cs="Arial"/>
          <w:sz w:val="20"/>
          <w:szCs w:val="20"/>
        </w:rPr>
        <w:t>balloon;</w:t>
      </w:r>
    </w:p>
    <w:p w14:paraId="40674C2B" w14:textId="77777777" w:rsidR="00F20810" w:rsidRPr="005827DA" w:rsidRDefault="00F20810" w:rsidP="005827DA">
      <w:pPr>
        <w:pStyle w:val="ListParagraph"/>
        <w:numPr>
          <w:ilvl w:val="1"/>
          <w:numId w:val="241"/>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explain</w:t>
      </w:r>
      <w:r w:rsidRPr="005827DA">
        <w:rPr>
          <w:rFonts w:ascii="Arial" w:hAnsi="Arial" w:cs="Arial"/>
          <w:spacing w:val="-3"/>
          <w:sz w:val="20"/>
          <w:szCs w:val="20"/>
        </w:rPr>
        <w:t xml:space="preserve"> </w:t>
      </w:r>
      <w:r w:rsidRPr="005827DA">
        <w:rPr>
          <w:rFonts w:ascii="Arial" w:hAnsi="Arial" w:cs="Arial"/>
          <w:sz w:val="20"/>
          <w:szCs w:val="20"/>
        </w:rPr>
        <w:t>the</w:t>
      </w:r>
      <w:r w:rsidRPr="005827DA">
        <w:rPr>
          <w:rFonts w:ascii="Arial" w:hAnsi="Arial" w:cs="Arial"/>
          <w:spacing w:val="-4"/>
          <w:sz w:val="20"/>
          <w:szCs w:val="20"/>
        </w:rPr>
        <w:t xml:space="preserve"> </w:t>
      </w:r>
      <w:r w:rsidRPr="005827DA">
        <w:rPr>
          <w:rFonts w:ascii="Arial" w:hAnsi="Arial" w:cs="Arial"/>
          <w:sz w:val="20"/>
          <w:szCs w:val="20"/>
        </w:rPr>
        <w:t>components,</w:t>
      </w:r>
      <w:r w:rsidRPr="005827DA">
        <w:rPr>
          <w:rFonts w:ascii="Arial" w:hAnsi="Arial" w:cs="Arial"/>
          <w:spacing w:val="-2"/>
          <w:sz w:val="20"/>
          <w:szCs w:val="20"/>
        </w:rPr>
        <w:t xml:space="preserve"> </w:t>
      </w:r>
      <w:r w:rsidRPr="005827DA">
        <w:rPr>
          <w:rFonts w:ascii="Arial" w:hAnsi="Arial" w:cs="Arial"/>
          <w:sz w:val="20"/>
          <w:szCs w:val="20"/>
        </w:rPr>
        <w:t>instruments</w:t>
      </w:r>
      <w:r w:rsidRPr="005827DA">
        <w:rPr>
          <w:rFonts w:ascii="Arial" w:hAnsi="Arial" w:cs="Arial"/>
          <w:spacing w:val="-1"/>
          <w:sz w:val="20"/>
          <w:szCs w:val="20"/>
        </w:rPr>
        <w:t xml:space="preserve"> </w:t>
      </w:r>
      <w:r w:rsidRPr="005827DA">
        <w:rPr>
          <w:rFonts w:ascii="Arial" w:hAnsi="Arial" w:cs="Arial"/>
          <w:sz w:val="20"/>
          <w:szCs w:val="20"/>
        </w:rPr>
        <w:t>and</w:t>
      </w:r>
      <w:r w:rsidRPr="005827DA">
        <w:rPr>
          <w:rFonts w:ascii="Arial" w:hAnsi="Arial" w:cs="Arial"/>
          <w:spacing w:val="-3"/>
          <w:sz w:val="20"/>
          <w:szCs w:val="20"/>
        </w:rPr>
        <w:t xml:space="preserve"> </w:t>
      </w:r>
      <w:r w:rsidRPr="005827DA">
        <w:rPr>
          <w:rFonts w:ascii="Arial" w:hAnsi="Arial" w:cs="Arial"/>
          <w:sz w:val="20"/>
          <w:szCs w:val="20"/>
        </w:rPr>
        <w:t>equipment;</w:t>
      </w:r>
    </w:p>
    <w:p w14:paraId="55E1D434" w14:textId="77777777" w:rsidR="00F20810" w:rsidRPr="005827DA" w:rsidRDefault="00F20810" w:rsidP="005827DA">
      <w:pPr>
        <w:pStyle w:val="ListParagraph"/>
        <w:numPr>
          <w:ilvl w:val="1"/>
          <w:numId w:val="241"/>
        </w:numPr>
        <w:tabs>
          <w:tab w:val="left" w:pos="90"/>
          <w:tab w:val="left" w:pos="2975"/>
          <w:tab w:val="left" w:pos="2976"/>
        </w:tabs>
        <w:spacing w:before="56" w:line="276" w:lineRule="auto"/>
        <w:ind w:right="68" w:hanging="436"/>
        <w:jc w:val="both"/>
        <w:rPr>
          <w:rFonts w:ascii="Arial" w:hAnsi="Arial" w:cs="Arial"/>
          <w:sz w:val="20"/>
          <w:szCs w:val="20"/>
        </w:rPr>
      </w:pPr>
      <w:r w:rsidRPr="005827DA">
        <w:rPr>
          <w:rFonts w:ascii="Arial" w:hAnsi="Arial" w:cs="Arial"/>
          <w:sz w:val="20"/>
          <w:szCs w:val="20"/>
        </w:rPr>
        <w:t>explain</w:t>
      </w:r>
      <w:r w:rsidRPr="005827DA">
        <w:rPr>
          <w:rFonts w:ascii="Arial" w:hAnsi="Arial" w:cs="Arial"/>
          <w:spacing w:val="-3"/>
          <w:sz w:val="20"/>
          <w:szCs w:val="20"/>
        </w:rPr>
        <w:t xml:space="preserve"> </w:t>
      </w: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re-fuelling</w:t>
      </w:r>
      <w:r w:rsidRPr="005827DA">
        <w:rPr>
          <w:rFonts w:ascii="Arial" w:hAnsi="Arial" w:cs="Arial"/>
          <w:spacing w:val="-3"/>
          <w:sz w:val="20"/>
          <w:szCs w:val="20"/>
        </w:rPr>
        <w:t xml:space="preserve"> </w:t>
      </w:r>
      <w:r w:rsidRPr="005827DA">
        <w:rPr>
          <w:rFonts w:ascii="Arial" w:hAnsi="Arial" w:cs="Arial"/>
          <w:sz w:val="20"/>
          <w:szCs w:val="20"/>
        </w:rPr>
        <w:t>procedures</w:t>
      </w:r>
      <w:r w:rsidRPr="005827DA">
        <w:rPr>
          <w:rFonts w:ascii="Arial" w:hAnsi="Arial" w:cs="Arial"/>
          <w:spacing w:val="-1"/>
          <w:sz w:val="20"/>
          <w:szCs w:val="20"/>
        </w:rPr>
        <w:t xml:space="preserve"> </w:t>
      </w:r>
      <w:r w:rsidRPr="005827DA">
        <w:rPr>
          <w:rFonts w:ascii="Arial" w:hAnsi="Arial" w:cs="Arial"/>
          <w:sz w:val="20"/>
          <w:szCs w:val="20"/>
        </w:rPr>
        <w:t>(in</w:t>
      </w:r>
      <w:r w:rsidRPr="005827DA">
        <w:rPr>
          <w:rFonts w:ascii="Arial" w:hAnsi="Arial" w:cs="Arial"/>
          <w:spacing w:val="-3"/>
          <w:sz w:val="20"/>
          <w:szCs w:val="20"/>
        </w:rPr>
        <w:t xml:space="preserve"> </w:t>
      </w: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case</w:t>
      </w:r>
      <w:r w:rsidRPr="005827DA">
        <w:rPr>
          <w:rFonts w:ascii="Arial" w:hAnsi="Arial" w:cs="Arial"/>
          <w:spacing w:val="-4"/>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hot-air</w:t>
      </w:r>
      <w:r w:rsidRPr="005827DA">
        <w:rPr>
          <w:rFonts w:ascii="Arial" w:hAnsi="Arial" w:cs="Arial"/>
          <w:spacing w:val="-2"/>
          <w:sz w:val="20"/>
          <w:szCs w:val="20"/>
        </w:rPr>
        <w:t xml:space="preserve"> </w:t>
      </w:r>
      <w:r w:rsidRPr="005827DA">
        <w:rPr>
          <w:rFonts w:ascii="Arial" w:hAnsi="Arial" w:cs="Arial"/>
          <w:sz w:val="20"/>
          <w:szCs w:val="20"/>
        </w:rPr>
        <w:t>balloons);</w:t>
      </w:r>
    </w:p>
    <w:p w14:paraId="5396ACC6" w14:textId="77777777" w:rsidR="00F20810" w:rsidRPr="005827DA" w:rsidRDefault="00F20810" w:rsidP="005827DA">
      <w:pPr>
        <w:pStyle w:val="ListParagraph"/>
        <w:numPr>
          <w:ilvl w:val="1"/>
          <w:numId w:val="241"/>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familiarise</w:t>
      </w:r>
      <w:r w:rsidRPr="005827DA">
        <w:rPr>
          <w:rFonts w:ascii="Arial" w:hAnsi="Arial" w:cs="Arial"/>
          <w:spacing w:val="-4"/>
          <w:sz w:val="20"/>
          <w:szCs w:val="20"/>
        </w:rPr>
        <w:t xml:space="preserve"> </w:t>
      </w: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student</w:t>
      </w:r>
      <w:r w:rsidRPr="005827DA">
        <w:rPr>
          <w:rFonts w:ascii="Arial" w:hAnsi="Arial" w:cs="Arial"/>
          <w:spacing w:val="-3"/>
          <w:sz w:val="20"/>
          <w:szCs w:val="20"/>
        </w:rPr>
        <w:t xml:space="preserve"> </w:t>
      </w:r>
      <w:r w:rsidRPr="005827DA">
        <w:rPr>
          <w:rFonts w:ascii="Arial" w:hAnsi="Arial" w:cs="Arial"/>
          <w:sz w:val="20"/>
          <w:szCs w:val="20"/>
        </w:rPr>
        <w:t>with</w:t>
      </w:r>
      <w:r w:rsidRPr="005827DA">
        <w:rPr>
          <w:rFonts w:ascii="Arial" w:hAnsi="Arial" w:cs="Arial"/>
          <w:spacing w:val="-1"/>
          <w:sz w:val="20"/>
          <w:szCs w:val="20"/>
        </w:rPr>
        <w:t xml:space="preserve"> </w:t>
      </w: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balloon</w:t>
      </w:r>
      <w:r w:rsidRPr="005827DA">
        <w:rPr>
          <w:rFonts w:ascii="Arial" w:hAnsi="Arial" w:cs="Arial"/>
          <w:spacing w:val="-2"/>
          <w:sz w:val="20"/>
          <w:szCs w:val="20"/>
        </w:rPr>
        <w:t xml:space="preserve"> </w:t>
      </w:r>
      <w:r w:rsidRPr="005827DA">
        <w:rPr>
          <w:rFonts w:ascii="Arial" w:hAnsi="Arial" w:cs="Arial"/>
          <w:sz w:val="20"/>
          <w:szCs w:val="20"/>
        </w:rPr>
        <w:t>controls;</w:t>
      </w:r>
      <w:r w:rsidRPr="005827DA">
        <w:rPr>
          <w:rFonts w:ascii="Arial" w:hAnsi="Arial" w:cs="Arial"/>
          <w:spacing w:val="-2"/>
          <w:sz w:val="20"/>
          <w:szCs w:val="20"/>
        </w:rPr>
        <w:t xml:space="preserve"> </w:t>
      </w:r>
      <w:r w:rsidRPr="005827DA">
        <w:rPr>
          <w:rFonts w:ascii="Arial" w:hAnsi="Arial" w:cs="Arial"/>
          <w:sz w:val="20"/>
          <w:szCs w:val="20"/>
        </w:rPr>
        <w:t>and</w:t>
      </w:r>
    </w:p>
    <w:p w14:paraId="566F189F" w14:textId="77777777" w:rsidR="00F20810" w:rsidRPr="005827DA" w:rsidRDefault="00F20810" w:rsidP="005827DA">
      <w:pPr>
        <w:pStyle w:val="ListParagraph"/>
        <w:numPr>
          <w:ilvl w:val="1"/>
          <w:numId w:val="241"/>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explain</w:t>
      </w:r>
      <w:r w:rsidRPr="005827DA">
        <w:rPr>
          <w:rFonts w:ascii="Arial" w:hAnsi="Arial" w:cs="Arial"/>
          <w:spacing w:val="-2"/>
          <w:sz w:val="20"/>
          <w:szCs w:val="20"/>
        </w:rPr>
        <w:t xml:space="preserve"> </w:t>
      </w:r>
      <w:r w:rsidRPr="005827DA">
        <w:rPr>
          <w:rFonts w:ascii="Arial" w:hAnsi="Arial" w:cs="Arial"/>
          <w:sz w:val="20"/>
          <w:szCs w:val="20"/>
        </w:rPr>
        <w:t>all checklists, drills</w:t>
      </w:r>
      <w:r w:rsidRPr="005827DA">
        <w:rPr>
          <w:rFonts w:ascii="Arial" w:hAnsi="Arial" w:cs="Arial"/>
          <w:spacing w:val="-3"/>
          <w:sz w:val="20"/>
          <w:szCs w:val="20"/>
        </w:rPr>
        <w:t xml:space="preserve"> </w:t>
      </w:r>
      <w:r w:rsidRPr="005827DA">
        <w:rPr>
          <w:rFonts w:ascii="Arial" w:hAnsi="Arial" w:cs="Arial"/>
          <w:sz w:val="20"/>
          <w:szCs w:val="20"/>
        </w:rPr>
        <w:t>and</w:t>
      </w:r>
      <w:r w:rsidRPr="005827DA">
        <w:rPr>
          <w:rFonts w:ascii="Arial" w:hAnsi="Arial" w:cs="Arial"/>
          <w:spacing w:val="-1"/>
          <w:sz w:val="20"/>
          <w:szCs w:val="20"/>
        </w:rPr>
        <w:t xml:space="preserve"> </w:t>
      </w:r>
      <w:r w:rsidRPr="005827DA">
        <w:rPr>
          <w:rFonts w:ascii="Arial" w:hAnsi="Arial" w:cs="Arial"/>
          <w:sz w:val="20"/>
          <w:szCs w:val="20"/>
        </w:rPr>
        <w:t>controls.</w:t>
      </w:r>
    </w:p>
    <w:p w14:paraId="7F106CCA" w14:textId="77777777" w:rsidR="00F20810" w:rsidRPr="005827DA" w:rsidRDefault="00F20810" w:rsidP="005827DA">
      <w:pPr>
        <w:pStyle w:val="ListParagraph"/>
        <w:numPr>
          <w:ilvl w:val="0"/>
          <w:numId w:val="241"/>
        </w:numPr>
        <w:tabs>
          <w:tab w:val="left" w:pos="90"/>
          <w:tab w:val="left" w:pos="2408"/>
          <w:tab w:val="left" w:pos="2409"/>
        </w:tabs>
        <w:spacing w:line="276" w:lineRule="auto"/>
        <w:ind w:right="68" w:hanging="436"/>
        <w:jc w:val="both"/>
        <w:rPr>
          <w:rFonts w:ascii="Arial" w:hAnsi="Arial" w:cs="Arial"/>
          <w:sz w:val="20"/>
          <w:szCs w:val="20"/>
        </w:rPr>
      </w:pPr>
      <w:r w:rsidRPr="005827DA">
        <w:rPr>
          <w:rFonts w:ascii="Arial" w:hAnsi="Arial" w:cs="Arial"/>
          <w:sz w:val="20"/>
          <w:szCs w:val="20"/>
        </w:rPr>
        <w:t>Debriefing</w:t>
      </w:r>
    </w:p>
    <w:p w14:paraId="342A8A34" w14:textId="77777777" w:rsidR="00F20810" w:rsidRPr="005827DA" w:rsidRDefault="00F20810" w:rsidP="005827DA">
      <w:pPr>
        <w:pStyle w:val="BodyText"/>
        <w:tabs>
          <w:tab w:val="left" w:pos="90"/>
        </w:tabs>
        <w:spacing w:before="11" w:line="276" w:lineRule="auto"/>
        <w:ind w:right="68" w:hanging="436"/>
        <w:jc w:val="both"/>
        <w:rPr>
          <w:rFonts w:ascii="Arial" w:hAnsi="Arial" w:cs="Arial"/>
          <w:sz w:val="20"/>
          <w:szCs w:val="20"/>
        </w:rPr>
      </w:pPr>
    </w:p>
    <w:p w14:paraId="5F04BA71" w14:textId="77777777" w:rsidR="00F20810" w:rsidRPr="005827DA" w:rsidRDefault="00F20810" w:rsidP="005827DA">
      <w:pPr>
        <w:tabs>
          <w:tab w:val="left" w:pos="90"/>
        </w:tabs>
        <w:spacing w:line="276" w:lineRule="auto"/>
        <w:ind w:right="68" w:hanging="436"/>
        <w:jc w:val="both"/>
        <w:rPr>
          <w:rFonts w:ascii="Arial" w:eastAsia="Times New Roman" w:hAnsi="Arial" w:cs="Times New Roman"/>
          <w:b/>
          <w:bCs/>
          <w:sz w:val="20"/>
          <w:szCs w:val="20"/>
        </w:rPr>
      </w:pPr>
      <w:r w:rsidRPr="005827DA">
        <w:rPr>
          <w:rFonts w:ascii="Arial" w:eastAsia="Times New Roman" w:hAnsi="Arial" w:cs="Times New Roman"/>
          <w:b/>
          <w:bCs/>
          <w:sz w:val="20"/>
          <w:szCs w:val="20"/>
        </w:rPr>
        <w:t>Exercise 2: Preparation for the flight</w:t>
      </w:r>
    </w:p>
    <w:p w14:paraId="53715AD0" w14:textId="77777777" w:rsidR="00F20810" w:rsidRPr="005827DA" w:rsidRDefault="00F20810" w:rsidP="005827DA">
      <w:pPr>
        <w:pStyle w:val="ListParagraph"/>
        <w:numPr>
          <w:ilvl w:val="0"/>
          <w:numId w:val="242"/>
        </w:numPr>
        <w:tabs>
          <w:tab w:val="left" w:pos="90"/>
          <w:tab w:val="left" w:pos="2409"/>
        </w:tabs>
        <w:spacing w:before="118" w:line="276" w:lineRule="auto"/>
        <w:ind w:right="68" w:hanging="436"/>
        <w:jc w:val="both"/>
        <w:rPr>
          <w:rFonts w:ascii="Arial" w:hAnsi="Arial" w:cs="Arial"/>
          <w:sz w:val="20"/>
          <w:szCs w:val="20"/>
        </w:rPr>
      </w:pPr>
      <w:r w:rsidRPr="005827DA">
        <w:rPr>
          <w:rFonts w:ascii="Arial" w:hAnsi="Arial" w:cs="Arial"/>
          <w:sz w:val="20"/>
          <w:szCs w:val="20"/>
        </w:rPr>
        <w:t>Objective</w:t>
      </w:r>
    </w:p>
    <w:p w14:paraId="3EB5CEA1" w14:textId="77777777" w:rsidR="00F20810" w:rsidRPr="005827DA" w:rsidRDefault="00F20810" w:rsidP="005827DA">
      <w:pPr>
        <w:pStyle w:val="BodyText"/>
        <w:tabs>
          <w:tab w:val="left" w:pos="90"/>
        </w:tabs>
        <w:spacing w:line="276" w:lineRule="auto"/>
        <w:ind w:left="2408" w:right="68" w:hanging="436"/>
        <w:jc w:val="both"/>
        <w:rPr>
          <w:rFonts w:ascii="Arial" w:hAnsi="Arial" w:cs="Arial"/>
          <w:sz w:val="20"/>
          <w:szCs w:val="20"/>
        </w:rPr>
      </w:pPr>
      <w:r w:rsidRPr="005827DA">
        <w:rPr>
          <w:rFonts w:ascii="Arial" w:hAnsi="Arial" w:cs="Arial"/>
          <w:sz w:val="20"/>
          <w:szCs w:val="20"/>
        </w:rPr>
        <w:t>To</w:t>
      </w:r>
      <w:r w:rsidRPr="005827DA">
        <w:rPr>
          <w:rFonts w:ascii="Arial" w:hAnsi="Arial" w:cs="Arial"/>
          <w:spacing w:val="-9"/>
          <w:sz w:val="20"/>
          <w:szCs w:val="20"/>
        </w:rPr>
        <w:t xml:space="preserve"> </w:t>
      </w:r>
      <w:r w:rsidRPr="005827DA">
        <w:rPr>
          <w:rFonts w:ascii="Arial" w:hAnsi="Arial" w:cs="Arial"/>
          <w:sz w:val="20"/>
          <w:szCs w:val="20"/>
        </w:rPr>
        <w:t>advise</w:t>
      </w:r>
      <w:r w:rsidRPr="005827DA">
        <w:rPr>
          <w:rFonts w:ascii="Arial" w:hAnsi="Arial" w:cs="Arial"/>
          <w:spacing w:val="-7"/>
          <w:sz w:val="20"/>
          <w:szCs w:val="20"/>
        </w:rPr>
        <w:t xml:space="preserve"> </w:t>
      </w:r>
      <w:r w:rsidRPr="005827DA">
        <w:rPr>
          <w:rFonts w:ascii="Arial" w:hAnsi="Arial" w:cs="Arial"/>
          <w:sz w:val="20"/>
          <w:szCs w:val="20"/>
        </w:rPr>
        <w:t>the</w:t>
      </w:r>
      <w:r w:rsidRPr="005827DA">
        <w:rPr>
          <w:rFonts w:ascii="Arial" w:hAnsi="Arial" w:cs="Arial"/>
          <w:spacing w:val="-6"/>
          <w:sz w:val="20"/>
          <w:szCs w:val="20"/>
        </w:rPr>
        <w:t xml:space="preserve"> </w:t>
      </w:r>
      <w:r w:rsidRPr="005827DA">
        <w:rPr>
          <w:rFonts w:ascii="Arial" w:hAnsi="Arial" w:cs="Arial"/>
          <w:sz w:val="20"/>
          <w:szCs w:val="20"/>
        </w:rPr>
        <w:t>student</w:t>
      </w:r>
      <w:r w:rsidRPr="005827DA">
        <w:rPr>
          <w:rFonts w:ascii="Arial" w:hAnsi="Arial" w:cs="Arial"/>
          <w:spacing w:val="-8"/>
          <w:sz w:val="20"/>
          <w:szCs w:val="20"/>
        </w:rPr>
        <w:t xml:space="preserve"> </w:t>
      </w:r>
      <w:r w:rsidRPr="005827DA">
        <w:rPr>
          <w:rFonts w:ascii="Arial" w:hAnsi="Arial" w:cs="Arial"/>
          <w:sz w:val="20"/>
          <w:szCs w:val="20"/>
        </w:rPr>
        <w:t>instructor</w:t>
      </w:r>
      <w:r w:rsidRPr="005827DA">
        <w:rPr>
          <w:rFonts w:ascii="Arial" w:hAnsi="Arial" w:cs="Arial"/>
          <w:spacing w:val="-10"/>
          <w:sz w:val="20"/>
          <w:szCs w:val="20"/>
        </w:rPr>
        <w:t xml:space="preserve"> </w:t>
      </w:r>
      <w:r w:rsidRPr="005827DA">
        <w:rPr>
          <w:rFonts w:ascii="Arial" w:hAnsi="Arial" w:cs="Arial"/>
          <w:sz w:val="20"/>
          <w:szCs w:val="20"/>
        </w:rPr>
        <w:t>on</w:t>
      </w:r>
      <w:r w:rsidRPr="005827DA">
        <w:rPr>
          <w:rFonts w:ascii="Arial" w:hAnsi="Arial" w:cs="Arial"/>
          <w:spacing w:val="-11"/>
          <w:sz w:val="20"/>
          <w:szCs w:val="20"/>
        </w:rPr>
        <w:t xml:space="preserve"> </w:t>
      </w:r>
      <w:r w:rsidRPr="005827DA">
        <w:rPr>
          <w:rFonts w:ascii="Arial" w:hAnsi="Arial" w:cs="Arial"/>
          <w:sz w:val="20"/>
          <w:szCs w:val="20"/>
        </w:rPr>
        <w:t>how</w:t>
      </w:r>
      <w:r w:rsidRPr="005827DA">
        <w:rPr>
          <w:rFonts w:ascii="Arial" w:hAnsi="Arial" w:cs="Arial"/>
          <w:spacing w:val="-6"/>
          <w:sz w:val="20"/>
          <w:szCs w:val="20"/>
        </w:rPr>
        <w:t xml:space="preserve"> </w:t>
      </w:r>
      <w:r w:rsidRPr="005827DA">
        <w:rPr>
          <w:rFonts w:ascii="Arial" w:hAnsi="Arial" w:cs="Arial"/>
          <w:sz w:val="20"/>
          <w:szCs w:val="20"/>
        </w:rPr>
        <w:t>to</w:t>
      </w:r>
      <w:r w:rsidRPr="005827DA">
        <w:rPr>
          <w:rFonts w:ascii="Arial" w:hAnsi="Arial" w:cs="Arial"/>
          <w:spacing w:val="-9"/>
          <w:sz w:val="20"/>
          <w:szCs w:val="20"/>
        </w:rPr>
        <w:t xml:space="preserve"> </w:t>
      </w:r>
      <w:r w:rsidRPr="005827DA">
        <w:rPr>
          <w:rFonts w:ascii="Arial" w:hAnsi="Arial" w:cs="Arial"/>
          <w:sz w:val="20"/>
          <w:szCs w:val="20"/>
        </w:rPr>
        <w:t>explain</w:t>
      </w:r>
      <w:r w:rsidRPr="005827DA">
        <w:rPr>
          <w:rFonts w:ascii="Arial" w:hAnsi="Arial" w:cs="Arial"/>
          <w:spacing w:val="-10"/>
          <w:sz w:val="20"/>
          <w:szCs w:val="20"/>
        </w:rPr>
        <w:t xml:space="preserve"> </w:t>
      </w:r>
      <w:r w:rsidRPr="005827DA">
        <w:rPr>
          <w:rFonts w:ascii="Arial" w:hAnsi="Arial" w:cs="Arial"/>
          <w:sz w:val="20"/>
          <w:szCs w:val="20"/>
        </w:rPr>
        <w:t>all</w:t>
      </w:r>
      <w:r w:rsidRPr="005827DA">
        <w:rPr>
          <w:rFonts w:ascii="Arial" w:hAnsi="Arial" w:cs="Arial"/>
          <w:spacing w:val="-11"/>
          <w:sz w:val="20"/>
          <w:szCs w:val="20"/>
        </w:rPr>
        <w:t xml:space="preserve"> </w:t>
      </w:r>
      <w:r w:rsidRPr="005827DA">
        <w:rPr>
          <w:rFonts w:ascii="Arial" w:hAnsi="Arial" w:cs="Arial"/>
          <w:sz w:val="20"/>
          <w:szCs w:val="20"/>
        </w:rPr>
        <w:t>the</w:t>
      </w:r>
      <w:r w:rsidRPr="005827DA">
        <w:rPr>
          <w:rFonts w:ascii="Arial" w:hAnsi="Arial" w:cs="Arial"/>
          <w:spacing w:val="-9"/>
          <w:sz w:val="20"/>
          <w:szCs w:val="20"/>
        </w:rPr>
        <w:t xml:space="preserve"> </w:t>
      </w:r>
      <w:r w:rsidRPr="005827DA">
        <w:rPr>
          <w:rFonts w:ascii="Arial" w:hAnsi="Arial" w:cs="Arial"/>
          <w:sz w:val="20"/>
          <w:szCs w:val="20"/>
        </w:rPr>
        <w:t>operations</w:t>
      </w:r>
      <w:r w:rsidRPr="005827DA">
        <w:rPr>
          <w:rFonts w:ascii="Arial" w:hAnsi="Arial" w:cs="Arial"/>
          <w:spacing w:val="-10"/>
          <w:sz w:val="20"/>
          <w:szCs w:val="20"/>
        </w:rPr>
        <w:t xml:space="preserve"> </w:t>
      </w:r>
      <w:r w:rsidRPr="005827DA">
        <w:rPr>
          <w:rFonts w:ascii="Arial" w:hAnsi="Arial" w:cs="Arial"/>
          <w:sz w:val="20"/>
          <w:szCs w:val="20"/>
        </w:rPr>
        <w:t>and</w:t>
      </w:r>
      <w:r w:rsidRPr="005827DA">
        <w:rPr>
          <w:rFonts w:ascii="Arial" w:hAnsi="Arial" w:cs="Arial"/>
          <w:spacing w:val="-9"/>
          <w:sz w:val="20"/>
          <w:szCs w:val="20"/>
        </w:rPr>
        <w:t xml:space="preserve"> </w:t>
      </w:r>
      <w:r w:rsidRPr="005827DA">
        <w:rPr>
          <w:rFonts w:ascii="Arial" w:hAnsi="Arial" w:cs="Arial"/>
          <w:sz w:val="20"/>
          <w:szCs w:val="20"/>
        </w:rPr>
        <w:t>the</w:t>
      </w:r>
      <w:r w:rsidRPr="005827DA">
        <w:rPr>
          <w:rFonts w:ascii="Arial" w:hAnsi="Arial" w:cs="Arial"/>
          <w:spacing w:val="-47"/>
          <w:sz w:val="20"/>
          <w:szCs w:val="20"/>
        </w:rPr>
        <w:t xml:space="preserve"> </w:t>
      </w:r>
      <w:r w:rsidRPr="005827DA">
        <w:rPr>
          <w:rFonts w:ascii="Arial" w:hAnsi="Arial" w:cs="Arial"/>
          <w:sz w:val="20"/>
          <w:szCs w:val="20"/>
        </w:rPr>
        <w:t>necessary preparation to be completed before the flight. Furthermore, the</w:t>
      </w:r>
      <w:r w:rsidRPr="005827DA">
        <w:rPr>
          <w:rFonts w:ascii="Arial" w:hAnsi="Arial" w:cs="Arial"/>
          <w:spacing w:val="1"/>
          <w:sz w:val="20"/>
          <w:szCs w:val="20"/>
        </w:rPr>
        <w:t xml:space="preserve"> </w:t>
      </w:r>
      <w:r w:rsidRPr="005827DA">
        <w:rPr>
          <w:rFonts w:ascii="Arial" w:hAnsi="Arial" w:cs="Arial"/>
          <w:sz w:val="20"/>
          <w:szCs w:val="20"/>
        </w:rPr>
        <w:t>student instructor should learn how to identify student errors and how to</w:t>
      </w:r>
      <w:r w:rsidRPr="005827DA">
        <w:rPr>
          <w:rFonts w:ascii="Arial" w:hAnsi="Arial" w:cs="Arial"/>
          <w:spacing w:val="1"/>
          <w:sz w:val="20"/>
          <w:szCs w:val="20"/>
        </w:rPr>
        <w:t xml:space="preserve"> </w:t>
      </w:r>
      <w:r w:rsidRPr="005827DA">
        <w:rPr>
          <w:rFonts w:ascii="Arial" w:hAnsi="Arial" w:cs="Arial"/>
          <w:sz w:val="20"/>
          <w:szCs w:val="20"/>
        </w:rPr>
        <w:t>correct them</w:t>
      </w:r>
      <w:r w:rsidRPr="005827DA">
        <w:rPr>
          <w:rFonts w:ascii="Arial" w:hAnsi="Arial" w:cs="Arial"/>
          <w:spacing w:val="-1"/>
          <w:sz w:val="20"/>
          <w:szCs w:val="20"/>
        </w:rPr>
        <w:t xml:space="preserve"> </w:t>
      </w:r>
      <w:r w:rsidRPr="005827DA">
        <w:rPr>
          <w:rFonts w:ascii="Arial" w:hAnsi="Arial" w:cs="Arial"/>
          <w:sz w:val="20"/>
          <w:szCs w:val="20"/>
        </w:rPr>
        <w:t>properly.</w:t>
      </w:r>
    </w:p>
    <w:p w14:paraId="5FC4D3FF" w14:textId="77777777" w:rsidR="00F20810" w:rsidRPr="005827DA" w:rsidRDefault="00F20810" w:rsidP="005827DA">
      <w:pPr>
        <w:pStyle w:val="ListParagraph"/>
        <w:numPr>
          <w:ilvl w:val="0"/>
          <w:numId w:val="242"/>
        </w:numPr>
        <w:tabs>
          <w:tab w:val="left" w:pos="90"/>
          <w:tab w:val="left" w:pos="2409"/>
        </w:tabs>
        <w:spacing w:before="122" w:line="276" w:lineRule="auto"/>
        <w:ind w:right="68" w:hanging="436"/>
        <w:jc w:val="both"/>
        <w:rPr>
          <w:rFonts w:ascii="Arial" w:hAnsi="Arial" w:cs="Arial"/>
          <w:sz w:val="20"/>
          <w:szCs w:val="20"/>
        </w:rPr>
      </w:pPr>
      <w:r w:rsidRPr="005827DA">
        <w:rPr>
          <w:rFonts w:ascii="Arial" w:hAnsi="Arial" w:cs="Arial"/>
          <w:sz w:val="20"/>
          <w:szCs w:val="20"/>
        </w:rPr>
        <w:t>Briefing</w:t>
      </w:r>
    </w:p>
    <w:p w14:paraId="1D05D1DA" w14:textId="77777777" w:rsidR="00F20810" w:rsidRPr="005827DA" w:rsidRDefault="00F20810" w:rsidP="005827DA">
      <w:pPr>
        <w:pStyle w:val="BodyText"/>
        <w:tabs>
          <w:tab w:val="left" w:pos="90"/>
        </w:tabs>
        <w:spacing w:line="276" w:lineRule="auto"/>
        <w:ind w:left="2408"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student</w:t>
      </w:r>
      <w:r w:rsidRPr="005827DA">
        <w:rPr>
          <w:rFonts w:ascii="Arial" w:hAnsi="Arial" w:cs="Arial"/>
          <w:spacing w:val="-2"/>
          <w:sz w:val="20"/>
          <w:szCs w:val="20"/>
        </w:rPr>
        <w:t xml:space="preserve"> </w:t>
      </w:r>
      <w:r w:rsidRPr="005827DA">
        <w:rPr>
          <w:rFonts w:ascii="Arial" w:hAnsi="Arial" w:cs="Arial"/>
          <w:sz w:val="20"/>
          <w:szCs w:val="20"/>
        </w:rPr>
        <w:t>instructor has</w:t>
      </w:r>
      <w:r w:rsidRPr="005827DA">
        <w:rPr>
          <w:rFonts w:ascii="Arial" w:hAnsi="Arial" w:cs="Arial"/>
          <w:spacing w:val="-6"/>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explain:</w:t>
      </w:r>
    </w:p>
    <w:p w14:paraId="03506779" w14:textId="77777777" w:rsidR="00F20810" w:rsidRPr="005827DA" w:rsidRDefault="00F20810" w:rsidP="005827DA">
      <w:pPr>
        <w:pStyle w:val="ListParagraph"/>
        <w:numPr>
          <w:ilvl w:val="1"/>
          <w:numId w:val="242"/>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need</w:t>
      </w:r>
      <w:r w:rsidRPr="005827DA">
        <w:rPr>
          <w:rFonts w:ascii="Arial" w:hAnsi="Arial" w:cs="Arial"/>
          <w:spacing w:val="-5"/>
          <w:sz w:val="20"/>
          <w:szCs w:val="20"/>
        </w:rPr>
        <w:t xml:space="preserve"> </w:t>
      </w:r>
      <w:r w:rsidRPr="005827DA">
        <w:rPr>
          <w:rFonts w:ascii="Arial" w:hAnsi="Arial" w:cs="Arial"/>
          <w:sz w:val="20"/>
          <w:szCs w:val="20"/>
        </w:rPr>
        <w:t>for</w:t>
      </w:r>
      <w:r w:rsidRPr="005827DA">
        <w:rPr>
          <w:rFonts w:ascii="Arial" w:hAnsi="Arial" w:cs="Arial"/>
          <w:spacing w:val="-4"/>
          <w:sz w:val="20"/>
          <w:szCs w:val="20"/>
        </w:rPr>
        <w:t xml:space="preserve"> </w:t>
      </w:r>
      <w:r w:rsidRPr="005827DA">
        <w:rPr>
          <w:rFonts w:ascii="Arial" w:hAnsi="Arial" w:cs="Arial"/>
          <w:sz w:val="20"/>
          <w:szCs w:val="20"/>
        </w:rPr>
        <w:t>a</w:t>
      </w:r>
      <w:r w:rsidRPr="005827DA">
        <w:rPr>
          <w:rFonts w:ascii="Arial" w:hAnsi="Arial" w:cs="Arial"/>
          <w:spacing w:val="-1"/>
          <w:sz w:val="20"/>
          <w:szCs w:val="20"/>
        </w:rPr>
        <w:t xml:space="preserve"> </w:t>
      </w:r>
      <w:r w:rsidRPr="005827DA">
        <w:rPr>
          <w:rFonts w:ascii="Arial" w:hAnsi="Arial" w:cs="Arial"/>
          <w:sz w:val="20"/>
          <w:szCs w:val="20"/>
        </w:rPr>
        <w:t>pre-flight briefing;</w:t>
      </w:r>
    </w:p>
    <w:p w14:paraId="3E9E472D" w14:textId="77777777" w:rsidR="00F20810" w:rsidRPr="005827DA" w:rsidRDefault="00F20810" w:rsidP="005827DA">
      <w:pPr>
        <w:pStyle w:val="ListParagraph"/>
        <w:numPr>
          <w:ilvl w:val="1"/>
          <w:numId w:val="242"/>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structure</w:t>
      </w:r>
      <w:r w:rsidRPr="005827DA">
        <w:rPr>
          <w:rFonts w:ascii="Arial" w:hAnsi="Arial" w:cs="Arial"/>
          <w:spacing w:val="-1"/>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the content</w:t>
      </w:r>
      <w:r w:rsidRPr="005827DA">
        <w:rPr>
          <w:rFonts w:ascii="Arial" w:hAnsi="Arial" w:cs="Arial"/>
          <w:spacing w:val="-1"/>
          <w:sz w:val="20"/>
          <w:szCs w:val="20"/>
        </w:rPr>
        <w:t xml:space="preserve"> </w:t>
      </w:r>
      <w:r w:rsidRPr="005827DA">
        <w:rPr>
          <w:rFonts w:ascii="Arial" w:hAnsi="Arial" w:cs="Arial"/>
          <w:sz w:val="20"/>
          <w:szCs w:val="20"/>
        </w:rPr>
        <w:t>of</w:t>
      </w:r>
      <w:r w:rsidRPr="005827DA">
        <w:rPr>
          <w:rFonts w:ascii="Arial" w:hAnsi="Arial" w:cs="Arial"/>
          <w:spacing w:val="-3"/>
          <w:sz w:val="20"/>
          <w:szCs w:val="20"/>
        </w:rPr>
        <w:t xml:space="preserve"> </w:t>
      </w:r>
      <w:r w:rsidRPr="005827DA">
        <w:rPr>
          <w:rFonts w:ascii="Arial" w:hAnsi="Arial" w:cs="Arial"/>
          <w:sz w:val="20"/>
          <w:szCs w:val="20"/>
        </w:rPr>
        <w:t>this</w:t>
      </w:r>
      <w:r w:rsidRPr="005827DA">
        <w:rPr>
          <w:rFonts w:ascii="Arial" w:hAnsi="Arial" w:cs="Arial"/>
          <w:spacing w:val="-2"/>
          <w:sz w:val="20"/>
          <w:szCs w:val="20"/>
        </w:rPr>
        <w:t xml:space="preserve"> </w:t>
      </w:r>
      <w:r w:rsidRPr="005827DA">
        <w:rPr>
          <w:rFonts w:ascii="Arial" w:hAnsi="Arial" w:cs="Arial"/>
          <w:sz w:val="20"/>
          <w:szCs w:val="20"/>
        </w:rPr>
        <w:t>briefing;</w:t>
      </w:r>
    </w:p>
    <w:p w14:paraId="591D685C" w14:textId="77777777" w:rsidR="00F20810" w:rsidRPr="005827DA" w:rsidRDefault="00F20810" w:rsidP="005827DA">
      <w:pPr>
        <w:pStyle w:val="ListParagraph"/>
        <w:numPr>
          <w:ilvl w:val="1"/>
          <w:numId w:val="242"/>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which</w:t>
      </w:r>
      <w:r w:rsidRPr="005827DA">
        <w:rPr>
          <w:rFonts w:ascii="Arial" w:hAnsi="Arial" w:cs="Arial"/>
          <w:spacing w:val="-2"/>
          <w:sz w:val="20"/>
          <w:szCs w:val="20"/>
        </w:rPr>
        <w:t xml:space="preserve"> </w:t>
      </w:r>
      <w:r w:rsidRPr="005827DA">
        <w:rPr>
          <w:rFonts w:ascii="Arial" w:hAnsi="Arial" w:cs="Arial"/>
          <w:sz w:val="20"/>
          <w:szCs w:val="20"/>
        </w:rPr>
        <w:t>documents</w:t>
      </w:r>
      <w:r w:rsidRPr="005827DA">
        <w:rPr>
          <w:rFonts w:ascii="Arial" w:hAnsi="Arial" w:cs="Arial"/>
          <w:spacing w:val="-1"/>
          <w:sz w:val="20"/>
          <w:szCs w:val="20"/>
        </w:rPr>
        <w:t xml:space="preserve"> </w:t>
      </w:r>
      <w:r w:rsidRPr="005827DA">
        <w:rPr>
          <w:rFonts w:ascii="Arial" w:hAnsi="Arial" w:cs="Arial"/>
          <w:sz w:val="20"/>
          <w:szCs w:val="20"/>
        </w:rPr>
        <w:t>are</w:t>
      </w:r>
      <w:r w:rsidRPr="005827DA">
        <w:rPr>
          <w:rFonts w:ascii="Arial" w:hAnsi="Arial" w:cs="Arial"/>
          <w:spacing w:val="-2"/>
          <w:sz w:val="20"/>
          <w:szCs w:val="20"/>
        </w:rPr>
        <w:t xml:space="preserve"> </w:t>
      </w:r>
      <w:r w:rsidRPr="005827DA">
        <w:rPr>
          <w:rFonts w:ascii="Arial" w:hAnsi="Arial" w:cs="Arial"/>
          <w:sz w:val="20"/>
          <w:szCs w:val="20"/>
        </w:rPr>
        <w:t>required</w:t>
      </w:r>
      <w:r w:rsidRPr="005827DA">
        <w:rPr>
          <w:rFonts w:ascii="Arial" w:hAnsi="Arial" w:cs="Arial"/>
          <w:spacing w:val="-1"/>
          <w:sz w:val="20"/>
          <w:szCs w:val="20"/>
        </w:rPr>
        <w:t xml:space="preserve"> </w:t>
      </w:r>
      <w:r w:rsidRPr="005827DA">
        <w:rPr>
          <w:rFonts w:ascii="Arial" w:hAnsi="Arial" w:cs="Arial"/>
          <w:sz w:val="20"/>
          <w:szCs w:val="20"/>
        </w:rPr>
        <w:t>on</w:t>
      </w:r>
      <w:r w:rsidRPr="005827DA">
        <w:rPr>
          <w:rFonts w:ascii="Arial" w:hAnsi="Arial" w:cs="Arial"/>
          <w:spacing w:val="-1"/>
          <w:sz w:val="20"/>
          <w:szCs w:val="20"/>
        </w:rPr>
        <w:t xml:space="preserve"> </w:t>
      </w:r>
      <w:r w:rsidRPr="005827DA">
        <w:rPr>
          <w:rFonts w:ascii="Arial" w:hAnsi="Arial" w:cs="Arial"/>
          <w:sz w:val="20"/>
          <w:szCs w:val="20"/>
        </w:rPr>
        <w:t>board;</w:t>
      </w:r>
    </w:p>
    <w:p w14:paraId="58396830" w14:textId="77777777" w:rsidR="00F20810" w:rsidRPr="005827DA" w:rsidRDefault="00F20810" w:rsidP="005827DA">
      <w:pPr>
        <w:pStyle w:val="ListParagraph"/>
        <w:numPr>
          <w:ilvl w:val="1"/>
          <w:numId w:val="242"/>
        </w:numPr>
        <w:tabs>
          <w:tab w:val="left" w:pos="90"/>
          <w:tab w:val="left" w:pos="2975"/>
          <w:tab w:val="left" w:pos="2976"/>
        </w:tabs>
        <w:spacing w:before="117" w:line="276" w:lineRule="auto"/>
        <w:ind w:right="68" w:hanging="436"/>
        <w:jc w:val="both"/>
        <w:rPr>
          <w:rFonts w:ascii="Arial" w:hAnsi="Arial" w:cs="Arial"/>
          <w:sz w:val="20"/>
          <w:szCs w:val="20"/>
        </w:rPr>
      </w:pPr>
      <w:r w:rsidRPr="005827DA">
        <w:rPr>
          <w:rFonts w:ascii="Arial" w:hAnsi="Arial" w:cs="Arial"/>
          <w:sz w:val="20"/>
          <w:szCs w:val="20"/>
        </w:rPr>
        <w:t>which</w:t>
      </w:r>
      <w:r w:rsidRPr="005827DA">
        <w:rPr>
          <w:rFonts w:ascii="Arial" w:hAnsi="Arial" w:cs="Arial"/>
          <w:spacing w:val="-3"/>
          <w:sz w:val="20"/>
          <w:szCs w:val="20"/>
        </w:rPr>
        <w:t xml:space="preserve"> </w:t>
      </w:r>
      <w:r w:rsidRPr="005827DA">
        <w:rPr>
          <w:rFonts w:ascii="Arial" w:hAnsi="Arial" w:cs="Arial"/>
          <w:sz w:val="20"/>
          <w:szCs w:val="20"/>
        </w:rPr>
        <w:t>equipment</w:t>
      </w:r>
      <w:r w:rsidRPr="005827DA">
        <w:rPr>
          <w:rFonts w:ascii="Arial" w:hAnsi="Arial" w:cs="Arial"/>
          <w:spacing w:val="-1"/>
          <w:sz w:val="20"/>
          <w:szCs w:val="20"/>
        </w:rPr>
        <w:t xml:space="preserve"> </w:t>
      </w:r>
      <w:r w:rsidRPr="005827DA">
        <w:rPr>
          <w:rFonts w:ascii="Arial" w:hAnsi="Arial" w:cs="Arial"/>
          <w:sz w:val="20"/>
          <w:szCs w:val="20"/>
        </w:rPr>
        <w:t>is required</w:t>
      </w:r>
      <w:r w:rsidRPr="005827DA">
        <w:rPr>
          <w:rFonts w:ascii="Arial" w:hAnsi="Arial" w:cs="Arial"/>
          <w:spacing w:val="-2"/>
          <w:sz w:val="20"/>
          <w:szCs w:val="20"/>
        </w:rPr>
        <w:t xml:space="preserve"> </w:t>
      </w:r>
      <w:r w:rsidRPr="005827DA">
        <w:rPr>
          <w:rFonts w:ascii="Arial" w:hAnsi="Arial" w:cs="Arial"/>
          <w:sz w:val="20"/>
          <w:szCs w:val="20"/>
        </w:rPr>
        <w:t>for</w:t>
      </w:r>
      <w:r w:rsidRPr="005827DA">
        <w:rPr>
          <w:rFonts w:ascii="Arial" w:hAnsi="Arial" w:cs="Arial"/>
          <w:spacing w:val="-1"/>
          <w:sz w:val="20"/>
          <w:szCs w:val="20"/>
        </w:rPr>
        <w:t xml:space="preserve"> </w:t>
      </w:r>
      <w:r w:rsidRPr="005827DA">
        <w:rPr>
          <w:rFonts w:ascii="Arial" w:hAnsi="Arial" w:cs="Arial"/>
          <w:sz w:val="20"/>
          <w:szCs w:val="20"/>
        </w:rPr>
        <w:t>a</w:t>
      </w:r>
      <w:r w:rsidRPr="005827DA">
        <w:rPr>
          <w:rFonts w:ascii="Arial" w:hAnsi="Arial" w:cs="Arial"/>
          <w:spacing w:val="-1"/>
          <w:sz w:val="20"/>
          <w:szCs w:val="20"/>
        </w:rPr>
        <w:t xml:space="preserve"> </w:t>
      </w:r>
      <w:r w:rsidRPr="005827DA">
        <w:rPr>
          <w:rFonts w:ascii="Arial" w:hAnsi="Arial" w:cs="Arial"/>
          <w:sz w:val="20"/>
          <w:szCs w:val="20"/>
        </w:rPr>
        <w:t>flight;</w:t>
      </w:r>
    </w:p>
    <w:p w14:paraId="2D5EE051" w14:textId="77777777" w:rsidR="00F20810" w:rsidRPr="005827DA" w:rsidRDefault="00F20810" w:rsidP="005827DA">
      <w:pPr>
        <w:pStyle w:val="ListParagraph"/>
        <w:numPr>
          <w:ilvl w:val="1"/>
          <w:numId w:val="242"/>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use</w:t>
      </w:r>
      <w:r w:rsidRPr="005827DA">
        <w:rPr>
          <w:rFonts w:ascii="Arial" w:hAnsi="Arial" w:cs="Arial"/>
          <w:spacing w:val="-2"/>
          <w:sz w:val="20"/>
          <w:szCs w:val="20"/>
        </w:rPr>
        <w:t xml:space="preserve"> </w:t>
      </w:r>
      <w:r w:rsidRPr="005827DA">
        <w:rPr>
          <w:rFonts w:ascii="Arial" w:hAnsi="Arial" w:cs="Arial"/>
          <w:sz w:val="20"/>
          <w:szCs w:val="20"/>
        </w:rPr>
        <w:t>of</w:t>
      </w:r>
      <w:r w:rsidRPr="005827DA">
        <w:rPr>
          <w:rFonts w:ascii="Arial" w:hAnsi="Arial" w:cs="Arial"/>
          <w:spacing w:val="-3"/>
          <w:sz w:val="20"/>
          <w:szCs w:val="20"/>
        </w:rPr>
        <w:t xml:space="preserve"> </w:t>
      </w:r>
      <w:r w:rsidRPr="005827DA">
        <w:rPr>
          <w:rFonts w:ascii="Arial" w:hAnsi="Arial" w:cs="Arial"/>
          <w:sz w:val="20"/>
          <w:szCs w:val="20"/>
        </w:rPr>
        <w:t>weather forecasts or</w:t>
      </w:r>
      <w:r w:rsidRPr="005827DA">
        <w:rPr>
          <w:rFonts w:ascii="Arial" w:hAnsi="Arial" w:cs="Arial"/>
          <w:spacing w:val="-3"/>
          <w:sz w:val="20"/>
          <w:szCs w:val="20"/>
        </w:rPr>
        <w:t xml:space="preserve"> </w:t>
      </w:r>
      <w:r w:rsidRPr="005827DA">
        <w:rPr>
          <w:rFonts w:ascii="Arial" w:hAnsi="Arial" w:cs="Arial"/>
          <w:sz w:val="20"/>
          <w:szCs w:val="20"/>
        </w:rPr>
        <w:t>actuals;</w:t>
      </w:r>
    </w:p>
    <w:p w14:paraId="2BD045F7" w14:textId="77777777" w:rsidR="00F20810" w:rsidRPr="005827DA" w:rsidRDefault="00F20810" w:rsidP="005827DA">
      <w:pPr>
        <w:pStyle w:val="ListParagraph"/>
        <w:numPr>
          <w:ilvl w:val="1"/>
          <w:numId w:val="242"/>
        </w:numPr>
        <w:tabs>
          <w:tab w:val="left" w:pos="90"/>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flight</w:t>
      </w:r>
      <w:r w:rsidRPr="005827DA">
        <w:rPr>
          <w:rFonts w:ascii="Arial" w:hAnsi="Arial" w:cs="Arial"/>
          <w:spacing w:val="1"/>
          <w:sz w:val="20"/>
          <w:szCs w:val="20"/>
        </w:rPr>
        <w:t xml:space="preserve"> </w:t>
      </w:r>
      <w:r w:rsidRPr="005827DA">
        <w:rPr>
          <w:rFonts w:ascii="Arial" w:hAnsi="Arial" w:cs="Arial"/>
          <w:sz w:val="20"/>
          <w:szCs w:val="20"/>
        </w:rPr>
        <w:t>planning</w:t>
      </w:r>
      <w:r w:rsidRPr="005827DA">
        <w:rPr>
          <w:rFonts w:ascii="Arial" w:hAnsi="Arial" w:cs="Arial"/>
          <w:spacing w:val="1"/>
          <w:sz w:val="20"/>
          <w:szCs w:val="20"/>
        </w:rPr>
        <w:t xml:space="preserve"> </w:t>
      </w:r>
      <w:r w:rsidRPr="005827DA">
        <w:rPr>
          <w:rFonts w:ascii="Arial" w:hAnsi="Arial" w:cs="Arial"/>
          <w:sz w:val="20"/>
          <w:szCs w:val="20"/>
        </w:rPr>
        <w:t>with</w:t>
      </w:r>
      <w:r w:rsidRPr="005827DA">
        <w:rPr>
          <w:rFonts w:ascii="Arial" w:hAnsi="Arial" w:cs="Arial"/>
          <w:spacing w:val="1"/>
          <w:sz w:val="20"/>
          <w:szCs w:val="20"/>
        </w:rPr>
        <w:t xml:space="preserve"> </w:t>
      </w:r>
      <w:r w:rsidRPr="005827DA">
        <w:rPr>
          <w:rFonts w:ascii="Arial" w:hAnsi="Arial" w:cs="Arial"/>
          <w:sz w:val="20"/>
          <w:szCs w:val="20"/>
        </w:rPr>
        <w:t>particular</w:t>
      </w:r>
      <w:r w:rsidRPr="005827DA">
        <w:rPr>
          <w:rFonts w:ascii="Arial" w:hAnsi="Arial" w:cs="Arial"/>
          <w:spacing w:val="1"/>
          <w:sz w:val="20"/>
          <w:szCs w:val="20"/>
        </w:rPr>
        <w:t xml:space="preserve"> </w:t>
      </w:r>
      <w:r w:rsidRPr="005827DA">
        <w:rPr>
          <w:rFonts w:ascii="Arial" w:hAnsi="Arial" w:cs="Arial"/>
          <w:sz w:val="20"/>
          <w:szCs w:val="20"/>
        </w:rPr>
        <w:t>regard</w:t>
      </w:r>
      <w:r w:rsidRPr="005827DA">
        <w:rPr>
          <w:rFonts w:ascii="Arial" w:hAnsi="Arial" w:cs="Arial"/>
          <w:spacing w:val="1"/>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NOTAMs,</w:t>
      </w:r>
      <w:r w:rsidRPr="005827DA">
        <w:rPr>
          <w:rFonts w:ascii="Arial" w:hAnsi="Arial" w:cs="Arial"/>
          <w:spacing w:val="1"/>
          <w:sz w:val="20"/>
          <w:szCs w:val="20"/>
        </w:rPr>
        <w:t xml:space="preserve"> </w:t>
      </w:r>
      <w:r w:rsidRPr="005827DA">
        <w:rPr>
          <w:rFonts w:ascii="Arial" w:hAnsi="Arial" w:cs="Arial"/>
          <w:sz w:val="20"/>
          <w:szCs w:val="20"/>
        </w:rPr>
        <w:t>airspace</w:t>
      </w:r>
      <w:r w:rsidRPr="005827DA">
        <w:rPr>
          <w:rFonts w:ascii="Arial" w:hAnsi="Arial" w:cs="Arial"/>
          <w:spacing w:val="1"/>
          <w:sz w:val="20"/>
          <w:szCs w:val="20"/>
        </w:rPr>
        <w:t xml:space="preserve"> </w:t>
      </w:r>
      <w:r w:rsidRPr="005827DA">
        <w:rPr>
          <w:rFonts w:ascii="Arial" w:hAnsi="Arial" w:cs="Arial"/>
          <w:sz w:val="20"/>
          <w:szCs w:val="20"/>
        </w:rPr>
        <w:t>structure,</w:t>
      </w:r>
      <w:r w:rsidRPr="005827DA">
        <w:rPr>
          <w:rFonts w:ascii="Arial" w:hAnsi="Arial" w:cs="Arial"/>
          <w:spacing w:val="1"/>
          <w:sz w:val="20"/>
          <w:szCs w:val="20"/>
        </w:rPr>
        <w:t xml:space="preserve"> </w:t>
      </w:r>
      <w:r w:rsidRPr="005827DA">
        <w:rPr>
          <w:rFonts w:ascii="Arial" w:hAnsi="Arial" w:cs="Arial"/>
          <w:sz w:val="20"/>
          <w:szCs w:val="20"/>
        </w:rPr>
        <w:t>sensitive</w:t>
      </w:r>
      <w:r w:rsidRPr="005827DA">
        <w:rPr>
          <w:rFonts w:ascii="Arial" w:hAnsi="Arial" w:cs="Arial"/>
          <w:spacing w:val="1"/>
          <w:sz w:val="20"/>
          <w:szCs w:val="20"/>
        </w:rPr>
        <w:t xml:space="preserve"> </w:t>
      </w:r>
      <w:r w:rsidRPr="005827DA">
        <w:rPr>
          <w:rFonts w:ascii="Arial" w:hAnsi="Arial" w:cs="Arial"/>
          <w:sz w:val="20"/>
          <w:szCs w:val="20"/>
        </w:rPr>
        <w:t>areas,</w:t>
      </w:r>
      <w:r w:rsidRPr="005827DA">
        <w:rPr>
          <w:rFonts w:ascii="Arial" w:hAnsi="Arial" w:cs="Arial"/>
          <w:spacing w:val="1"/>
          <w:sz w:val="20"/>
          <w:szCs w:val="20"/>
        </w:rPr>
        <w:t xml:space="preserve"> </w:t>
      </w:r>
      <w:r w:rsidRPr="005827DA">
        <w:rPr>
          <w:rFonts w:ascii="Arial" w:hAnsi="Arial" w:cs="Arial"/>
          <w:sz w:val="20"/>
          <w:szCs w:val="20"/>
        </w:rPr>
        <w:t>expected</w:t>
      </w:r>
      <w:r w:rsidRPr="005827DA">
        <w:rPr>
          <w:rFonts w:ascii="Arial" w:hAnsi="Arial" w:cs="Arial"/>
          <w:spacing w:val="1"/>
          <w:sz w:val="20"/>
          <w:szCs w:val="20"/>
        </w:rPr>
        <w:t xml:space="preserve"> </w:t>
      </w:r>
      <w:r w:rsidRPr="005827DA">
        <w:rPr>
          <w:rFonts w:ascii="Arial" w:hAnsi="Arial" w:cs="Arial"/>
          <w:sz w:val="20"/>
          <w:szCs w:val="20"/>
        </w:rPr>
        <w:t>track</w:t>
      </w:r>
      <w:r w:rsidRPr="005827DA">
        <w:rPr>
          <w:rFonts w:ascii="Arial" w:hAnsi="Arial" w:cs="Arial"/>
          <w:spacing w:val="1"/>
          <w:sz w:val="20"/>
          <w:szCs w:val="20"/>
        </w:rPr>
        <w:t xml:space="preserve"> </w:t>
      </w:r>
      <w:r w:rsidRPr="005827DA">
        <w:rPr>
          <w:rFonts w:ascii="Arial" w:hAnsi="Arial" w:cs="Arial"/>
          <w:sz w:val="20"/>
          <w:szCs w:val="20"/>
        </w:rPr>
        <w:t>and</w:t>
      </w:r>
      <w:r w:rsidRPr="005827DA">
        <w:rPr>
          <w:rFonts w:ascii="Arial" w:hAnsi="Arial" w:cs="Arial"/>
          <w:spacing w:val="1"/>
          <w:sz w:val="20"/>
          <w:szCs w:val="20"/>
        </w:rPr>
        <w:t xml:space="preserve"> </w:t>
      </w:r>
      <w:r w:rsidRPr="005827DA">
        <w:rPr>
          <w:rFonts w:ascii="Arial" w:hAnsi="Arial" w:cs="Arial"/>
          <w:sz w:val="20"/>
          <w:szCs w:val="20"/>
        </w:rPr>
        <w:t>distance,</w:t>
      </w:r>
      <w:r w:rsidRPr="005827DA">
        <w:rPr>
          <w:rFonts w:ascii="Arial" w:hAnsi="Arial" w:cs="Arial"/>
          <w:spacing w:val="1"/>
          <w:sz w:val="20"/>
          <w:szCs w:val="20"/>
        </w:rPr>
        <w:t xml:space="preserve"> </w:t>
      </w:r>
      <w:r w:rsidRPr="005827DA">
        <w:rPr>
          <w:rFonts w:ascii="Arial" w:hAnsi="Arial" w:cs="Arial"/>
          <w:sz w:val="20"/>
          <w:szCs w:val="20"/>
        </w:rPr>
        <w:t>pre-flight</w:t>
      </w:r>
      <w:r w:rsidRPr="005827DA">
        <w:rPr>
          <w:rFonts w:ascii="Arial" w:hAnsi="Arial" w:cs="Arial"/>
          <w:spacing w:val="1"/>
          <w:sz w:val="20"/>
          <w:szCs w:val="20"/>
        </w:rPr>
        <w:t xml:space="preserve"> </w:t>
      </w:r>
      <w:r w:rsidRPr="005827DA">
        <w:rPr>
          <w:rFonts w:ascii="Arial" w:hAnsi="Arial" w:cs="Arial"/>
          <w:sz w:val="20"/>
          <w:szCs w:val="20"/>
        </w:rPr>
        <w:t>picture and</w:t>
      </w:r>
      <w:r w:rsidRPr="005827DA">
        <w:rPr>
          <w:rFonts w:ascii="Arial" w:hAnsi="Arial" w:cs="Arial"/>
          <w:spacing w:val="-1"/>
          <w:sz w:val="20"/>
          <w:szCs w:val="20"/>
        </w:rPr>
        <w:t xml:space="preserve"> </w:t>
      </w:r>
      <w:r w:rsidRPr="005827DA">
        <w:rPr>
          <w:rFonts w:ascii="Arial" w:hAnsi="Arial" w:cs="Arial"/>
          <w:sz w:val="20"/>
          <w:szCs w:val="20"/>
        </w:rPr>
        <w:t>possible landing</w:t>
      </w:r>
      <w:r w:rsidRPr="005827DA">
        <w:rPr>
          <w:rFonts w:ascii="Arial" w:hAnsi="Arial" w:cs="Arial"/>
          <w:spacing w:val="-1"/>
          <w:sz w:val="20"/>
          <w:szCs w:val="20"/>
        </w:rPr>
        <w:t xml:space="preserve"> </w:t>
      </w:r>
      <w:r w:rsidRPr="005827DA">
        <w:rPr>
          <w:rFonts w:ascii="Arial" w:hAnsi="Arial" w:cs="Arial"/>
          <w:sz w:val="20"/>
          <w:szCs w:val="20"/>
        </w:rPr>
        <w:t>fields;</w:t>
      </w:r>
    </w:p>
    <w:p w14:paraId="7018D398" w14:textId="77777777" w:rsidR="00F20810" w:rsidRPr="005827DA" w:rsidRDefault="00F20810" w:rsidP="005827DA">
      <w:pPr>
        <w:pStyle w:val="ListParagraph"/>
        <w:numPr>
          <w:ilvl w:val="1"/>
          <w:numId w:val="242"/>
        </w:numPr>
        <w:tabs>
          <w:tab w:val="left" w:pos="90"/>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the use</w:t>
      </w:r>
      <w:r w:rsidRPr="005827DA">
        <w:rPr>
          <w:rFonts w:ascii="Arial" w:hAnsi="Arial" w:cs="Arial"/>
          <w:spacing w:val="-2"/>
          <w:sz w:val="20"/>
          <w:szCs w:val="20"/>
        </w:rPr>
        <w:t xml:space="preserve"> </w:t>
      </w:r>
      <w:r w:rsidRPr="005827DA">
        <w:rPr>
          <w:rFonts w:ascii="Arial" w:hAnsi="Arial" w:cs="Arial"/>
          <w:sz w:val="20"/>
          <w:szCs w:val="20"/>
        </w:rPr>
        <w:t>of load</w:t>
      </w:r>
      <w:r w:rsidRPr="005827DA">
        <w:rPr>
          <w:rFonts w:ascii="Arial" w:hAnsi="Arial" w:cs="Arial"/>
          <w:spacing w:val="-1"/>
          <w:sz w:val="20"/>
          <w:szCs w:val="20"/>
        </w:rPr>
        <w:t xml:space="preserve"> </w:t>
      </w:r>
      <w:r w:rsidRPr="005827DA">
        <w:rPr>
          <w:rFonts w:ascii="Arial" w:hAnsi="Arial" w:cs="Arial"/>
          <w:sz w:val="20"/>
          <w:szCs w:val="20"/>
        </w:rPr>
        <w:t>calculation</w:t>
      </w:r>
      <w:r w:rsidRPr="005827DA">
        <w:rPr>
          <w:rFonts w:ascii="Arial" w:hAnsi="Arial" w:cs="Arial"/>
          <w:spacing w:val="-3"/>
          <w:sz w:val="20"/>
          <w:szCs w:val="20"/>
        </w:rPr>
        <w:t xml:space="preserve"> </w:t>
      </w:r>
      <w:r w:rsidRPr="005827DA">
        <w:rPr>
          <w:rFonts w:ascii="Arial" w:hAnsi="Arial" w:cs="Arial"/>
          <w:sz w:val="20"/>
          <w:szCs w:val="20"/>
        </w:rPr>
        <w:t>chart;</w:t>
      </w:r>
      <w:r w:rsidRPr="005827DA">
        <w:rPr>
          <w:rFonts w:ascii="Arial" w:hAnsi="Arial" w:cs="Arial"/>
          <w:spacing w:val="1"/>
          <w:sz w:val="20"/>
          <w:szCs w:val="20"/>
        </w:rPr>
        <w:t xml:space="preserve"> </w:t>
      </w:r>
      <w:r w:rsidRPr="005827DA">
        <w:rPr>
          <w:rFonts w:ascii="Arial" w:hAnsi="Arial" w:cs="Arial"/>
          <w:sz w:val="20"/>
          <w:szCs w:val="20"/>
        </w:rPr>
        <w:t>and</w:t>
      </w:r>
    </w:p>
    <w:p w14:paraId="037A5746" w14:textId="77777777" w:rsidR="00F20810" w:rsidRPr="005827DA" w:rsidRDefault="00F20810" w:rsidP="005827DA">
      <w:pPr>
        <w:pStyle w:val="ListParagraph"/>
        <w:numPr>
          <w:ilvl w:val="1"/>
          <w:numId w:val="242"/>
        </w:numPr>
        <w:tabs>
          <w:tab w:val="left" w:pos="90"/>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 selection of a launch field with particular regard to permission,</w:t>
      </w:r>
      <w:r w:rsidRPr="005827DA">
        <w:rPr>
          <w:rFonts w:ascii="Arial" w:hAnsi="Arial" w:cs="Arial"/>
          <w:spacing w:val="1"/>
          <w:sz w:val="20"/>
          <w:szCs w:val="20"/>
        </w:rPr>
        <w:t xml:space="preserve"> </w:t>
      </w:r>
      <w:r w:rsidRPr="005827DA">
        <w:rPr>
          <w:rFonts w:ascii="Arial" w:hAnsi="Arial" w:cs="Arial"/>
          <w:sz w:val="20"/>
          <w:szCs w:val="20"/>
        </w:rPr>
        <w:t>behaviour</w:t>
      </w:r>
      <w:r w:rsidRPr="005827DA">
        <w:rPr>
          <w:rFonts w:ascii="Arial" w:hAnsi="Arial" w:cs="Arial"/>
          <w:spacing w:val="-3"/>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adjacent</w:t>
      </w:r>
      <w:r w:rsidRPr="005827DA">
        <w:rPr>
          <w:rFonts w:ascii="Arial" w:hAnsi="Arial" w:cs="Arial"/>
          <w:spacing w:val="-3"/>
          <w:sz w:val="20"/>
          <w:szCs w:val="20"/>
        </w:rPr>
        <w:t xml:space="preserve"> </w:t>
      </w:r>
      <w:r w:rsidRPr="005827DA">
        <w:rPr>
          <w:rFonts w:ascii="Arial" w:hAnsi="Arial" w:cs="Arial"/>
          <w:sz w:val="20"/>
          <w:szCs w:val="20"/>
        </w:rPr>
        <w:t>fields.</w:t>
      </w:r>
    </w:p>
    <w:p w14:paraId="0772BF06" w14:textId="77777777" w:rsidR="00F20810" w:rsidRPr="005827DA" w:rsidRDefault="00F20810" w:rsidP="005827DA">
      <w:pPr>
        <w:pStyle w:val="ListParagraph"/>
        <w:numPr>
          <w:ilvl w:val="0"/>
          <w:numId w:val="242"/>
        </w:numPr>
        <w:tabs>
          <w:tab w:val="left" w:pos="90"/>
          <w:tab w:val="left" w:pos="2409"/>
        </w:tabs>
        <w:spacing w:before="121" w:line="276" w:lineRule="auto"/>
        <w:ind w:right="68" w:hanging="436"/>
        <w:jc w:val="both"/>
        <w:rPr>
          <w:rFonts w:ascii="Arial" w:hAnsi="Arial" w:cs="Arial"/>
          <w:sz w:val="20"/>
          <w:szCs w:val="20"/>
        </w:rPr>
      </w:pPr>
      <w:r w:rsidRPr="005827DA">
        <w:rPr>
          <w:rFonts w:ascii="Arial" w:hAnsi="Arial" w:cs="Arial"/>
          <w:sz w:val="20"/>
          <w:szCs w:val="20"/>
        </w:rPr>
        <w:t>Exercise</w:t>
      </w:r>
    </w:p>
    <w:p w14:paraId="5816EB32" w14:textId="77777777" w:rsidR="00F20810" w:rsidRPr="005827DA" w:rsidRDefault="00F20810" w:rsidP="005827DA">
      <w:pPr>
        <w:pStyle w:val="BodyText"/>
        <w:tabs>
          <w:tab w:val="left" w:pos="90"/>
        </w:tabs>
        <w:spacing w:before="122" w:line="276" w:lineRule="auto"/>
        <w:ind w:left="2408"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7"/>
          <w:sz w:val="20"/>
          <w:szCs w:val="20"/>
        </w:rPr>
        <w:t xml:space="preserve"> </w:t>
      </w:r>
      <w:r w:rsidRPr="005827DA">
        <w:rPr>
          <w:rFonts w:ascii="Arial" w:hAnsi="Arial" w:cs="Arial"/>
          <w:sz w:val="20"/>
          <w:szCs w:val="20"/>
        </w:rPr>
        <w:t>student</w:t>
      </w:r>
      <w:r w:rsidRPr="005827DA">
        <w:rPr>
          <w:rFonts w:ascii="Arial" w:hAnsi="Arial" w:cs="Arial"/>
          <w:spacing w:val="18"/>
          <w:sz w:val="20"/>
          <w:szCs w:val="20"/>
        </w:rPr>
        <w:t xml:space="preserve"> </w:t>
      </w:r>
      <w:r w:rsidRPr="005827DA">
        <w:rPr>
          <w:rFonts w:ascii="Arial" w:hAnsi="Arial" w:cs="Arial"/>
          <w:sz w:val="20"/>
          <w:szCs w:val="20"/>
        </w:rPr>
        <w:t>instructor</w:t>
      </w:r>
      <w:r w:rsidRPr="005827DA">
        <w:rPr>
          <w:rFonts w:ascii="Arial" w:hAnsi="Arial" w:cs="Arial"/>
          <w:spacing w:val="17"/>
          <w:sz w:val="20"/>
          <w:szCs w:val="20"/>
        </w:rPr>
        <w:t xml:space="preserve"> </w:t>
      </w:r>
      <w:r w:rsidRPr="005827DA">
        <w:rPr>
          <w:rFonts w:ascii="Arial" w:hAnsi="Arial" w:cs="Arial"/>
          <w:sz w:val="20"/>
          <w:szCs w:val="20"/>
        </w:rPr>
        <w:t>has</w:t>
      </w:r>
      <w:r w:rsidRPr="005827DA">
        <w:rPr>
          <w:rFonts w:ascii="Arial" w:hAnsi="Arial" w:cs="Arial"/>
          <w:spacing w:val="15"/>
          <w:sz w:val="20"/>
          <w:szCs w:val="20"/>
        </w:rPr>
        <w:t xml:space="preserve"> </w:t>
      </w:r>
      <w:r w:rsidRPr="005827DA">
        <w:rPr>
          <w:rFonts w:ascii="Arial" w:hAnsi="Arial" w:cs="Arial"/>
          <w:sz w:val="20"/>
          <w:szCs w:val="20"/>
        </w:rPr>
        <w:t>to</w:t>
      </w:r>
      <w:r w:rsidRPr="005827DA">
        <w:rPr>
          <w:rFonts w:ascii="Arial" w:hAnsi="Arial" w:cs="Arial"/>
          <w:spacing w:val="17"/>
          <w:sz w:val="20"/>
          <w:szCs w:val="20"/>
        </w:rPr>
        <w:t xml:space="preserve"> </w:t>
      </w:r>
      <w:r w:rsidRPr="005827DA">
        <w:rPr>
          <w:rFonts w:ascii="Arial" w:hAnsi="Arial" w:cs="Arial"/>
          <w:sz w:val="20"/>
          <w:szCs w:val="20"/>
        </w:rPr>
        <w:t>prepare</w:t>
      </w:r>
      <w:r w:rsidRPr="005827DA">
        <w:rPr>
          <w:rFonts w:ascii="Arial" w:hAnsi="Arial" w:cs="Arial"/>
          <w:spacing w:val="18"/>
          <w:sz w:val="20"/>
          <w:szCs w:val="20"/>
        </w:rPr>
        <w:t xml:space="preserve"> </w:t>
      </w:r>
      <w:r w:rsidRPr="005827DA">
        <w:rPr>
          <w:rFonts w:ascii="Arial" w:hAnsi="Arial" w:cs="Arial"/>
          <w:sz w:val="20"/>
          <w:szCs w:val="20"/>
        </w:rPr>
        <w:t>and</w:t>
      </w:r>
      <w:r w:rsidRPr="005827DA">
        <w:rPr>
          <w:rFonts w:ascii="Arial" w:hAnsi="Arial" w:cs="Arial"/>
          <w:spacing w:val="16"/>
          <w:sz w:val="20"/>
          <w:szCs w:val="20"/>
        </w:rPr>
        <w:t xml:space="preserve"> </w:t>
      </w:r>
      <w:r w:rsidRPr="005827DA">
        <w:rPr>
          <w:rFonts w:ascii="Arial" w:hAnsi="Arial" w:cs="Arial"/>
          <w:sz w:val="20"/>
          <w:szCs w:val="20"/>
        </w:rPr>
        <w:t>give</w:t>
      </w:r>
      <w:r w:rsidRPr="005827DA">
        <w:rPr>
          <w:rFonts w:ascii="Arial" w:hAnsi="Arial" w:cs="Arial"/>
          <w:spacing w:val="15"/>
          <w:sz w:val="20"/>
          <w:szCs w:val="20"/>
        </w:rPr>
        <w:t xml:space="preserve"> </w:t>
      </w:r>
      <w:r w:rsidRPr="005827DA">
        <w:rPr>
          <w:rFonts w:ascii="Arial" w:hAnsi="Arial" w:cs="Arial"/>
          <w:sz w:val="20"/>
          <w:szCs w:val="20"/>
        </w:rPr>
        <w:t>a</w:t>
      </w:r>
      <w:r w:rsidRPr="005827DA">
        <w:rPr>
          <w:rFonts w:ascii="Arial" w:hAnsi="Arial" w:cs="Arial"/>
          <w:spacing w:val="18"/>
          <w:sz w:val="20"/>
          <w:szCs w:val="20"/>
        </w:rPr>
        <w:t xml:space="preserve"> </w:t>
      </w:r>
      <w:r w:rsidRPr="005827DA">
        <w:rPr>
          <w:rFonts w:ascii="Arial" w:hAnsi="Arial" w:cs="Arial"/>
          <w:sz w:val="20"/>
          <w:szCs w:val="20"/>
        </w:rPr>
        <w:t>pre-flight</w:t>
      </w:r>
      <w:r w:rsidRPr="005827DA">
        <w:rPr>
          <w:rFonts w:ascii="Arial" w:hAnsi="Arial" w:cs="Arial"/>
          <w:spacing w:val="18"/>
          <w:sz w:val="20"/>
          <w:szCs w:val="20"/>
        </w:rPr>
        <w:t xml:space="preserve"> </w:t>
      </w:r>
      <w:r w:rsidRPr="005827DA">
        <w:rPr>
          <w:rFonts w:ascii="Arial" w:hAnsi="Arial" w:cs="Arial"/>
          <w:sz w:val="20"/>
          <w:szCs w:val="20"/>
        </w:rPr>
        <w:t>briefing</w:t>
      </w:r>
      <w:r w:rsidRPr="005827DA">
        <w:rPr>
          <w:rFonts w:ascii="Arial" w:hAnsi="Arial" w:cs="Arial"/>
          <w:spacing w:val="16"/>
          <w:sz w:val="20"/>
          <w:szCs w:val="20"/>
        </w:rPr>
        <w:t xml:space="preserve"> </w:t>
      </w:r>
      <w:r w:rsidRPr="005827DA">
        <w:rPr>
          <w:rFonts w:ascii="Arial" w:hAnsi="Arial" w:cs="Arial"/>
          <w:sz w:val="20"/>
          <w:szCs w:val="20"/>
        </w:rPr>
        <w:t>during</w:t>
      </w:r>
      <w:r w:rsidRPr="005827DA">
        <w:rPr>
          <w:rFonts w:ascii="Arial" w:hAnsi="Arial" w:cs="Arial"/>
          <w:spacing w:val="-47"/>
          <w:sz w:val="20"/>
          <w:szCs w:val="20"/>
        </w:rPr>
        <w:t xml:space="preserve"> </w:t>
      </w:r>
      <w:r w:rsidRPr="005827DA">
        <w:rPr>
          <w:rFonts w:ascii="Arial" w:hAnsi="Arial" w:cs="Arial"/>
          <w:sz w:val="20"/>
          <w:szCs w:val="20"/>
        </w:rPr>
        <w:t>which</w:t>
      </w:r>
      <w:r w:rsidRPr="005827DA">
        <w:rPr>
          <w:rFonts w:ascii="Arial" w:hAnsi="Arial" w:cs="Arial"/>
          <w:spacing w:val="-2"/>
          <w:sz w:val="20"/>
          <w:szCs w:val="20"/>
        </w:rPr>
        <w:t xml:space="preserve"> </w:t>
      </w:r>
      <w:r w:rsidRPr="005827DA">
        <w:rPr>
          <w:rFonts w:ascii="Arial" w:hAnsi="Arial" w:cs="Arial"/>
          <w:sz w:val="20"/>
          <w:szCs w:val="20"/>
        </w:rPr>
        <w:t>they have</w:t>
      </w:r>
      <w:r w:rsidRPr="005827DA">
        <w:rPr>
          <w:rFonts w:ascii="Arial" w:hAnsi="Arial" w:cs="Arial"/>
          <w:spacing w:val="1"/>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demonstrate:</w:t>
      </w:r>
    </w:p>
    <w:p w14:paraId="0249C8D7" w14:textId="77777777" w:rsidR="00F20810" w:rsidRPr="005827DA" w:rsidRDefault="00F20810" w:rsidP="005827DA">
      <w:pPr>
        <w:pStyle w:val="ListParagraph"/>
        <w:numPr>
          <w:ilvl w:val="1"/>
          <w:numId w:val="242"/>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that</w:t>
      </w:r>
      <w:r w:rsidRPr="005827DA">
        <w:rPr>
          <w:rFonts w:ascii="Arial" w:hAnsi="Arial" w:cs="Arial"/>
          <w:spacing w:val="-1"/>
          <w:sz w:val="20"/>
          <w:szCs w:val="20"/>
        </w:rPr>
        <w:t xml:space="preserve"> </w:t>
      </w: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required</w:t>
      </w:r>
      <w:r w:rsidRPr="005827DA">
        <w:rPr>
          <w:rFonts w:ascii="Arial" w:hAnsi="Arial" w:cs="Arial"/>
          <w:spacing w:val="-1"/>
          <w:sz w:val="20"/>
          <w:szCs w:val="20"/>
        </w:rPr>
        <w:t xml:space="preserve"> </w:t>
      </w:r>
      <w:r w:rsidRPr="005827DA">
        <w:rPr>
          <w:rFonts w:ascii="Arial" w:hAnsi="Arial" w:cs="Arial"/>
          <w:sz w:val="20"/>
          <w:szCs w:val="20"/>
        </w:rPr>
        <w:t>documents</w:t>
      </w:r>
      <w:r w:rsidRPr="005827DA">
        <w:rPr>
          <w:rFonts w:ascii="Arial" w:hAnsi="Arial" w:cs="Arial"/>
          <w:spacing w:val="1"/>
          <w:sz w:val="20"/>
          <w:szCs w:val="20"/>
        </w:rPr>
        <w:t xml:space="preserve"> </w:t>
      </w:r>
      <w:r w:rsidRPr="005827DA">
        <w:rPr>
          <w:rFonts w:ascii="Arial" w:hAnsi="Arial" w:cs="Arial"/>
          <w:sz w:val="20"/>
          <w:szCs w:val="20"/>
        </w:rPr>
        <w:t>are</w:t>
      </w:r>
      <w:r w:rsidRPr="005827DA">
        <w:rPr>
          <w:rFonts w:ascii="Arial" w:hAnsi="Arial" w:cs="Arial"/>
          <w:spacing w:val="-3"/>
          <w:sz w:val="20"/>
          <w:szCs w:val="20"/>
        </w:rPr>
        <w:t xml:space="preserve"> </w:t>
      </w:r>
      <w:r w:rsidRPr="005827DA">
        <w:rPr>
          <w:rFonts w:ascii="Arial" w:hAnsi="Arial" w:cs="Arial"/>
          <w:sz w:val="20"/>
          <w:szCs w:val="20"/>
        </w:rPr>
        <w:t>on</w:t>
      </w:r>
      <w:r w:rsidRPr="005827DA">
        <w:rPr>
          <w:rFonts w:ascii="Arial" w:hAnsi="Arial" w:cs="Arial"/>
          <w:spacing w:val="-1"/>
          <w:sz w:val="20"/>
          <w:szCs w:val="20"/>
        </w:rPr>
        <w:t xml:space="preserve"> </w:t>
      </w:r>
      <w:r w:rsidRPr="005827DA">
        <w:rPr>
          <w:rFonts w:ascii="Arial" w:hAnsi="Arial" w:cs="Arial"/>
          <w:sz w:val="20"/>
          <w:szCs w:val="20"/>
        </w:rPr>
        <w:t>board;</w:t>
      </w:r>
    </w:p>
    <w:p w14:paraId="63AA9441" w14:textId="77777777" w:rsidR="00F20810" w:rsidRPr="005827DA" w:rsidRDefault="00F20810" w:rsidP="005827DA">
      <w:pPr>
        <w:pStyle w:val="ListParagraph"/>
        <w:numPr>
          <w:ilvl w:val="1"/>
          <w:numId w:val="242"/>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that</w:t>
      </w:r>
      <w:r w:rsidRPr="005827DA">
        <w:rPr>
          <w:rFonts w:ascii="Arial" w:hAnsi="Arial" w:cs="Arial"/>
          <w:spacing w:val="-1"/>
          <w:sz w:val="20"/>
          <w:szCs w:val="20"/>
        </w:rPr>
        <w:t xml:space="preserve"> </w:t>
      </w:r>
      <w:r w:rsidRPr="005827DA">
        <w:rPr>
          <w:rFonts w:ascii="Arial" w:hAnsi="Arial" w:cs="Arial"/>
          <w:sz w:val="20"/>
          <w:szCs w:val="20"/>
        </w:rPr>
        <w:t>the</w:t>
      </w:r>
      <w:r w:rsidRPr="005827DA">
        <w:rPr>
          <w:rFonts w:ascii="Arial" w:hAnsi="Arial" w:cs="Arial"/>
          <w:spacing w:val="-3"/>
          <w:sz w:val="20"/>
          <w:szCs w:val="20"/>
        </w:rPr>
        <w:t xml:space="preserve"> </w:t>
      </w:r>
      <w:r w:rsidRPr="005827DA">
        <w:rPr>
          <w:rFonts w:ascii="Arial" w:hAnsi="Arial" w:cs="Arial"/>
          <w:sz w:val="20"/>
          <w:szCs w:val="20"/>
        </w:rPr>
        <w:t>equipment</w:t>
      </w:r>
      <w:r w:rsidRPr="005827DA">
        <w:rPr>
          <w:rFonts w:ascii="Arial" w:hAnsi="Arial" w:cs="Arial"/>
          <w:spacing w:val="-1"/>
          <w:sz w:val="20"/>
          <w:szCs w:val="20"/>
        </w:rPr>
        <w:t xml:space="preserve"> </w:t>
      </w:r>
      <w:r w:rsidRPr="005827DA">
        <w:rPr>
          <w:rFonts w:ascii="Arial" w:hAnsi="Arial" w:cs="Arial"/>
          <w:sz w:val="20"/>
          <w:szCs w:val="20"/>
        </w:rPr>
        <w:t>required</w:t>
      </w:r>
      <w:r w:rsidRPr="005827DA">
        <w:rPr>
          <w:rFonts w:ascii="Arial" w:hAnsi="Arial" w:cs="Arial"/>
          <w:spacing w:val="-2"/>
          <w:sz w:val="20"/>
          <w:szCs w:val="20"/>
        </w:rPr>
        <w:t xml:space="preserve"> </w:t>
      </w:r>
      <w:r w:rsidRPr="005827DA">
        <w:rPr>
          <w:rFonts w:ascii="Arial" w:hAnsi="Arial" w:cs="Arial"/>
          <w:sz w:val="20"/>
          <w:szCs w:val="20"/>
        </w:rPr>
        <w:t>for the intended</w:t>
      </w:r>
      <w:r w:rsidRPr="005827DA">
        <w:rPr>
          <w:rFonts w:ascii="Arial" w:hAnsi="Arial" w:cs="Arial"/>
          <w:spacing w:val="-4"/>
          <w:sz w:val="20"/>
          <w:szCs w:val="20"/>
        </w:rPr>
        <w:t xml:space="preserve"> </w:t>
      </w:r>
      <w:r w:rsidRPr="005827DA">
        <w:rPr>
          <w:rFonts w:ascii="Arial" w:hAnsi="Arial" w:cs="Arial"/>
          <w:sz w:val="20"/>
          <w:szCs w:val="20"/>
        </w:rPr>
        <w:t>flight</w:t>
      </w:r>
      <w:r w:rsidRPr="005827DA">
        <w:rPr>
          <w:rFonts w:ascii="Arial" w:hAnsi="Arial" w:cs="Arial"/>
          <w:spacing w:val="-1"/>
          <w:sz w:val="20"/>
          <w:szCs w:val="20"/>
        </w:rPr>
        <w:t xml:space="preserve"> </w:t>
      </w:r>
      <w:r w:rsidRPr="005827DA">
        <w:rPr>
          <w:rFonts w:ascii="Arial" w:hAnsi="Arial" w:cs="Arial"/>
          <w:sz w:val="20"/>
          <w:szCs w:val="20"/>
        </w:rPr>
        <w:t>is</w:t>
      </w:r>
      <w:r w:rsidRPr="005827DA">
        <w:rPr>
          <w:rFonts w:ascii="Arial" w:hAnsi="Arial" w:cs="Arial"/>
          <w:spacing w:val="-3"/>
          <w:sz w:val="20"/>
          <w:szCs w:val="20"/>
        </w:rPr>
        <w:t xml:space="preserve"> </w:t>
      </w:r>
      <w:r w:rsidRPr="005827DA">
        <w:rPr>
          <w:rFonts w:ascii="Arial" w:hAnsi="Arial" w:cs="Arial"/>
          <w:sz w:val="20"/>
          <w:szCs w:val="20"/>
        </w:rPr>
        <w:t>on</w:t>
      </w:r>
      <w:r w:rsidRPr="005827DA">
        <w:rPr>
          <w:rFonts w:ascii="Arial" w:hAnsi="Arial" w:cs="Arial"/>
          <w:spacing w:val="-1"/>
          <w:sz w:val="20"/>
          <w:szCs w:val="20"/>
        </w:rPr>
        <w:t xml:space="preserve"> </w:t>
      </w:r>
      <w:r w:rsidRPr="005827DA">
        <w:rPr>
          <w:rFonts w:ascii="Arial" w:hAnsi="Arial" w:cs="Arial"/>
          <w:sz w:val="20"/>
          <w:szCs w:val="20"/>
        </w:rPr>
        <w:t>board;</w:t>
      </w:r>
    </w:p>
    <w:p w14:paraId="22066BA4" w14:textId="77777777" w:rsidR="00F20810" w:rsidRPr="005827DA" w:rsidRDefault="00F20810" w:rsidP="005827DA">
      <w:pPr>
        <w:pStyle w:val="ListParagraph"/>
        <w:numPr>
          <w:ilvl w:val="1"/>
          <w:numId w:val="242"/>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3"/>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perform</w:t>
      </w:r>
      <w:r w:rsidRPr="005827DA">
        <w:rPr>
          <w:rFonts w:ascii="Arial" w:hAnsi="Arial" w:cs="Arial"/>
          <w:spacing w:val="-1"/>
          <w:sz w:val="20"/>
          <w:szCs w:val="20"/>
        </w:rPr>
        <w:t xml:space="preserve"> </w:t>
      </w:r>
      <w:r w:rsidRPr="005827DA">
        <w:rPr>
          <w:rFonts w:ascii="Arial" w:hAnsi="Arial" w:cs="Arial"/>
          <w:sz w:val="20"/>
          <w:szCs w:val="20"/>
        </w:rPr>
        <w:t>a load</w:t>
      </w:r>
      <w:r w:rsidRPr="005827DA">
        <w:rPr>
          <w:rFonts w:ascii="Arial" w:hAnsi="Arial" w:cs="Arial"/>
          <w:spacing w:val="-1"/>
          <w:sz w:val="20"/>
          <w:szCs w:val="20"/>
        </w:rPr>
        <w:t xml:space="preserve"> </w:t>
      </w:r>
      <w:r w:rsidRPr="005827DA">
        <w:rPr>
          <w:rFonts w:ascii="Arial" w:hAnsi="Arial" w:cs="Arial"/>
          <w:sz w:val="20"/>
          <w:szCs w:val="20"/>
        </w:rPr>
        <w:t>calculation;</w:t>
      </w:r>
    </w:p>
    <w:p w14:paraId="6B5C3DE1" w14:textId="77777777" w:rsidR="00F20810" w:rsidRPr="005827DA" w:rsidRDefault="00F20810" w:rsidP="005827DA">
      <w:pPr>
        <w:pStyle w:val="ListParagraph"/>
        <w:numPr>
          <w:ilvl w:val="1"/>
          <w:numId w:val="242"/>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5"/>
          <w:sz w:val="20"/>
          <w:szCs w:val="20"/>
        </w:rPr>
        <w:t xml:space="preserve"> </w:t>
      </w:r>
      <w:r w:rsidRPr="005827DA">
        <w:rPr>
          <w:rFonts w:ascii="Arial" w:hAnsi="Arial" w:cs="Arial"/>
          <w:sz w:val="20"/>
          <w:szCs w:val="20"/>
        </w:rPr>
        <w:t>to</w:t>
      </w:r>
      <w:r w:rsidRPr="005827DA">
        <w:rPr>
          <w:rFonts w:ascii="Arial" w:hAnsi="Arial" w:cs="Arial"/>
          <w:spacing w:val="-4"/>
          <w:sz w:val="20"/>
          <w:szCs w:val="20"/>
        </w:rPr>
        <w:t xml:space="preserve"> </w:t>
      </w:r>
      <w:r w:rsidRPr="005827DA">
        <w:rPr>
          <w:rFonts w:ascii="Arial" w:hAnsi="Arial" w:cs="Arial"/>
          <w:sz w:val="20"/>
          <w:szCs w:val="20"/>
        </w:rPr>
        <w:t>advise</w:t>
      </w:r>
      <w:r w:rsidRPr="005827DA">
        <w:rPr>
          <w:rFonts w:ascii="Arial" w:hAnsi="Arial" w:cs="Arial"/>
          <w:spacing w:val="-7"/>
          <w:sz w:val="20"/>
          <w:szCs w:val="20"/>
        </w:rPr>
        <w:t xml:space="preserve"> </w:t>
      </w:r>
      <w:r w:rsidRPr="005827DA">
        <w:rPr>
          <w:rFonts w:ascii="Arial" w:hAnsi="Arial" w:cs="Arial"/>
          <w:sz w:val="20"/>
          <w:szCs w:val="20"/>
        </w:rPr>
        <w:t>the</w:t>
      </w:r>
      <w:r w:rsidRPr="005827DA">
        <w:rPr>
          <w:rFonts w:ascii="Arial" w:hAnsi="Arial" w:cs="Arial"/>
          <w:spacing w:val="-6"/>
          <w:sz w:val="20"/>
          <w:szCs w:val="20"/>
        </w:rPr>
        <w:t xml:space="preserve"> </w:t>
      </w:r>
      <w:r w:rsidRPr="005827DA">
        <w:rPr>
          <w:rFonts w:ascii="Arial" w:hAnsi="Arial" w:cs="Arial"/>
          <w:sz w:val="20"/>
          <w:szCs w:val="20"/>
        </w:rPr>
        <w:t>student</w:t>
      </w:r>
      <w:r w:rsidRPr="005827DA">
        <w:rPr>
          <w:rFonts w:ascii="Arial" w:hAnsi="Arial" w:cs="Arial"/>
          <w:spacing w:val="-7"/>
          <w:sz w:val="20"/>
          <w:szCs w:val="20"/>
        </w:rPr>
        <w:t xml:space="preserve"> </w:t>
      </w:r>
      <w:r w:rsidRPr="005827DA">
        <w:rPr>
          <w:rFonts w:ascii="Arial" w:hAnsi="Arial" w:cs="Arial"/>
          <w:sz w:val="20"/>
          <w:szCs w:val="20"/>
        </w:rPr>
        <w:t>to</w:t>
      </w:r>
      <w:r w:rsidRPr="005827DA">
        <w:rPr>
          <w:rFonts w:ascii="Arial" w:hAnsi="Arial" w:cs="Arial"/>
          <w:spacing w:val="-4"/>
          <w:sz w:val="20"/>
          <w:szCs w:val="20"/>
        </w:rPr>
        <w:t xml:space="preserve"> </w:t>
      </w:r>
      <w:r w:rsidRPr="005827DA">
        <w:rPr>
          <w:rFonts w:ascii="Arial" w:hAnsi="Arial" w:cs="Arial"/>
          <w:sz w:val="20"/>
          <w:szCs w:val="20"/>
        </w:rPr>
        <w:t>do</w:t>
      </w:r>
      <w:r w:rsidRPr="005827DA">
        <w:rPr>
          <w:rFonts w:ascii="Arial" w:hAnsi="Arial" w:cs="Arial"/>
          <w:spacing w:val="-6"/>
          <w:sz w:val="20"/>
          <w:szCs w:val="20"/>
        </w:rPr>
        <w:t xml:space="preserve"> </w:t>
      </w:r>
      <w:r w:rsidRPr="005827DA">
        <w:rPr>
          <w:rFonts w:ascii="Arial" w:hAnsi="Arial" w:cs="Arial"/>
          <w:sz w:val="20"/>
          <w:szCs w:val="20"/>
        </w:rPr>
        <w:t>the</w:t>
      </w:r>
      <w:r w:rsidRPr="005827DA">
        <w:rPr>
          <w:rFonts w:ascii="Arial" w:hAnsi="Arial" w:cs="Arial"/>
          <w:spacing w:val="-6"/>
          <w:sz w:val="20"/>
          <w:szCs w:val="20"/>
        </w:rPr>
        <w:t xml:space="preserve"> </w:t>
      </w:r>
      <w:r w:rsidRPr="005827DA">
        <w:rPr>
          <w:rFonts w:ascii="Arial" w:hAnsi="Arial" w:cs="Arial"/>
          <w:sz w:val="20"/>
          <w:szCs w:val="20"/>
        </w:rPr>
        <w:t>pre-planning</w:t>
      </w:r>
      <w:r w:rsidRPr="005827DA">
        <w:rPr>
          <w:rFonts w:ascii="Arial" w:hAnsi="Arial" w:cs="Arial"/>
          <w:spacing w:val="-5"/>
          <w:sz w:val="20"/>
          <w:szCs w:val="20"/>
        </w:rPr>
        <w:t xml:space="preserve"> </w:t>
      </w:r>
      <w:r w:rsidRPr="005827DA">
        <w:rPr>
          <w:rFonts w:ascii="Arial" w:hAnsi="Arial" w:cs="Arial"/>
          <w:sz w:val="20"/>
          <w:szCs w:val="20"/>
        </w:rPr>
        <w:t>procedures</w:t>
      </w:r>
      <w:r w:rsidRPr="005827DA">
        <w:rPr>
          <w:rFonts w:ascii="Arial" w:hAnsi="Arial" w:cs="Arial"/>
          <w:spacing w:val="-5"/>
          <w:sz w:val="20"/>
          <w:szCs w:val="20"/>
        </w:rPr>
        <w:t xml:space="preserve"> </w:t>
      </w:r>
      <w:r w:rsidRPr="005827DA">
        <w:rPr>
          <w:rFonts w:ascii="Arial" w:hAnsi="Arial" w:cs="Arial"/>
          <w:sz w:val="20"/>
          <w:szCs w:val="20"/>
        </w:rPr>
        <w:t>for</w:t>
      </w:r>
      <w:r w:rsidRPr="005827DA">
        <w:rPr>
          <w:rFonts w:ascii="Arial" w:hAnsi="Arial" w:cs="Arial"/>
          <w:spacing w:val="-7"/>
          <w:sz w:val="20"/>
          <w:szCs w:val="20"/>
        </w:rPr>
        <w:t xml:space="preserve"> </w:t>
      </w:r>
      <w:r w:rsidRPr="005827DA">
        <w:rPr>
          <w:rFonts w:ascii="Arial" w:hAnsi="Arial" w:cs="Arial"/>
          <w:sz w:val="20"/>
          <w:szCs w:val="20"/>
        </w:rPr>
        <w:t>each</w:t>
      </w:r>
      <w:r w:rsidRPr="005827DA">
        <w:rPr>
          <w:rFonts w:ascii="Arial" w:hAnsi="Arial" w:cs="Arial"/>
          <w:spacing w:val="-47"/>
          <w:sz w:val="20"/>
          <w:szCs w:val="20"/>
        </w:rPr>
        <w:t xml:space="preserve"> </w:t>
      </w:r>
      <w:r w:rsidRPr="005827DA">
        <w:rPr>
          <w:rFonts w:ascii="Arial" w:hAnsi="Arial" w:cs="Arial"/>
          <w:sz w:val="20"/>
          <w:szCs w:val="20"/>
        </w:rPr>
        <w:t>flight;</w:t>
      </w:r>
    </w:p>
    <w:p w14:paraId="4CBECFA2" w14:textId="77777777" w:rsidR="00F20810" w:rsidRPr="005827DA" w:rsidRDefault="00F20810" w:rsidP="005827DA">
      <w:pPr>
        <w:pStyle w:val="ListParagraph"/>
        <w:numPr>
          <w:ilvl w:val="1"/>
          <w:numId w:val="242"/>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3"/>
          <w:sz w:val="20"/>
          <w:szCs w:val="20"/>
        </w:rPr>
        <w:t xml:space="preserve"> </w:t>
      </w:r>
      <w:r w:rsidRPr="005827DA">
        <w:rPr>
          <w:rFonts w:ascii="Arial" w:hAnsi="Arial" w:cs="Arial"/>
          <w:sz w:val="20"/>
          <w:szCs w:val="20"/>
        </w:rPr>
        <w:t>to perform</w:t>
      </w:r>
      <w:r w:rsidRPr="005827DA">
        <w:rPr>
          <w:rFonts w:ascii="Arial" w:hAnsi="Arial" w:cs="Arial"/>
          <w:spacing w:val="-2"/>
          <w:sz w:val="20"/>
          <w:szCs w:val="20"/>
        </w:rPr>
        <w:t xml:space="preserve"> </w:t>
      </w:r>
      <w:r w:rsidRPr="005827DA">
        <w:rPr>
          <w:rFonts w:ascii="Arial" w:hAnsi="Arial" w:cs="Arial"/>
          <w:sz w:val="20"/>
          <w:szCs w:val="20"/>
        </w:rPr>
        <w:t>a</w:t>
      </w:r>
      <w:r w:rsidRPr="005827DA">
        <w:rPr>
          <w:rFonts w:ascii="Arial" w:hAnsi="Arial" w:cs="Arial"/>
          <w:spacing w:val="-1"/>
          <w:sz w:val="20"/>
          <w:szCs w:val="20"/>
        </w:rPr>
        <w:t xml:space="preserve"> </w:t>
      </w:r>
      <w:r w:rsidRPr="005827DA">
        <w:rPr>
          <w:rFonts w:ascii="Arial" w:hAnsi="Arial" w:cs="Arial"/>
          <w:sz w:val="20"/>
          <w:szCs w:val="20"/>
        </w:rPr>
        <w:t>pre-launch</w:t>
      </w:r>
      <w:r w:rsidRPr="005827DA">
        <w:rPr>
          <w:rFonts w:ascii="Arial" w:hAnsi="Arial" w:cs="Arial"/>
          <w:spacing w:val="-1"/>
          <w:sz w:val="20"/>
          <w:szCs w:val="20"/>
        </w:rPr>
        <w:t xml:space="preserve"> </w:t>
      </w:r>
      <w:r w:rsidRPr="005827DA">
        <w:rPr>
          <w:rFonts w:ascii="Arial" w:hAnsi="Arial" w:cs="Arial"/>
          <w:sz w:val="20"/>
          <w:szCs w:val="20"/>
        </w:rPr>
        <w:t>check;</w:t>
      </w:r>
    </w:p>
    <w:p w14:paraId="4F304D19" w14:textId="77777777" w:rsidR="00F20810" w:rsidRPr="005827DA" w:rsidRDefault="00F20810" w:rsidP="005827DA">
      <w:pPr>
        <w:pStyle w:val="ListParagraph"/>
        <w:numPr>
          <w:ilvl w:val="1"/>
          <w:numId w:val="242"/>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41"/>
          <w:sz w:val="20"/>
          <w:szCs w:val="20"/>
        </w:rPr>
        <w:t xml:space="preserve"> </w:t>
      </w:r>
      <w:r w:rsidRPr="005827DA">
        <w:rPr>
          <w:rFonts w:ascii="Arial" w:hAnsi="Arial" w:cs="Arial"/>
          <w:sz w:val="20"/>
          <w:szCs w:val="20"/>
        </w:rPr>
        <w:t>to</w:t>
      </w:r>
      <w:r w:rsidRPr="005827DA">
        <w:rPr>
          <w:rFonts w:ascii="Arial" w:hAnsi="Arial" w:cs="Arial"/>
          <w:spacing w:val="42"/>
          <w:sz w:val="20"/>
          <w:szCs w:val="20"/>
        </w:rPr>
        <w:t xml:space="preserve"> </w:t>
      </w:r>
      <w:r w:rsidRPr="005827DA">
        <w:rPr>
          <w:rFonts w:ascii="Arial" w:hAnsi="Arial" w:cs="Arial"/>
          <w:sz w:val="20"/>
          <w:szCs w:val="20"/>
        </w:rPr>
        <w:t>select</w:t>
      </w:r>
      <w:r w:rsidRPr="005827DA">
        <w:rPr>
          <w:rFonts w:ascii="Arial" w:hAnsi="Arial" w:cs="Arial"/>
          <w:spacing w:val="41"/>
          <w:sz w:val="20"/>
          <w:szCs w:val="20"/>
        </w:rPr>
        <w:t xml:space="preserve"> </w:t>
      </w:r>
      <w:r w:rsidRPr="005827DA">
        <w:rPr>
          <w:rFonts w:ascii="Arial" w:hAnsi="Arial" w:cs="Arial"/>
          <w:sz w:val="20"/>
          <w:szCs w:val="20"/>
        </w:rPr>
        <w:t>a</w:t>
      </w:r>
      <w:r w:rsidRPr="005827DA">
        <w:rPr>
          <w:rFonts w:ascii="Arial" w:hAnsi="Arial" w:cs="Arial"/>
          <w:spacing w:val="40"/>
          <w:sz w:val="20"/>
          <w:szCs w:val="20"/>
        </w:rPr>
        <w:t xml:space="preserve"> </w:t>
      </w:r>
      <w:r w:rsidRPr="005827DA">
        <w:rPr>
          <w:rFonts w:ascii="Arial" w:hAnsi="Arial" w:cs="Arial"/>
          <w:sz w:val="20"/>
          <w:szCs w:val="20"/>
        </w:rPr>
        <w:t>launch</w:t>
      </w:r>
      <w:r w:rsidRPr="005827DA">
        <w:rPr>
          <w:rFonts w:ascii="Arial" w:hAnsi="Arial" w:cs="Arial"/>
          <w:spacing w:val="43"/>
          <w:sz w:val="20"/>
          <w:szCs w:val="20"/>
        </w:rPr>
        <w:t xml:space="preserve"> </w:t>
      </w:r>
      <w:r w:rsidRPr="005827DA">
        <w:rPr>
          <w:rFonts w:ascii="Arial" w:hAnsi="Arial" w:cs="Arial"/>
          <w:sz w:val="20"/>
          <w:szCs w:val="20"/>
        </w:rPr>
        <w:t>field</w:t>
      </w:r>
      <w:r w:rsidRPr="005827DA">
        <w:rPr>
          <w:rFonts w:ascii="Arial" w:hAnsi="Arial" w:cs="Arial"/>
          <w:spacing w:val="42"/>
          <w:sz w:val="20"/>
          <w:szCs w:val="20"/>
        </w:rPr>
        <w:t xml:space="preserve"> </w:t>
      </w:r>
      <w:r w:rsidRPr="005827DA">
        <w:rPr>
          <w:rFonts w:ascii="Arial" w:hAnsi="Arial" w:cs="Arial"/>
          <w:sz w:val="20"/>
          <w:szCs w:val="20"/>
        </w:rPr>
        <w:t>with</w:t>
      </w:r>
      <w:r w:rsidRPr="005827DA">
        <w:rPr>
          <w:rFonts w:ascii="Arial" w:hAnsi="Arial" w:cs="Arial"/>
          <w:spacing w:val="41"/>
          <w:sz w:val="20"/>
          <w:szCs w:val="20"/>
        </w:rPr>
        <w:t xml:space="preserve"> </w:t>
      </w:r>
      <w:r w:rsidRPr="005827DA">
        <w:rPr>
          <w:rFonts w:ascii="Arial" w:hAnsi="Arial" w:cs="Arial"/>
          <w:sz w:val="20"/>
          <w:szCs w:val="20"/>
        </w:rPr>
        <w:t>particular</w:t>
      </w:r>
      <w:r w:rsidRPr="005827DA">
        <w:rPr>
          <w:rFonts w:ascii="Arial" w:hAnsi="Arial" w:cs="Arial"/>
          <w:spacing w:val="39"/>
          <w:sz w:val="20"/>
          <w:szCs w:val="20"/>
        </w:rPr>
        <w:t xml:space="preserve"> </w:t>
      </w:r>
      <w:r w:rsidRPr="005827DA">
        <w:rPr>
          <w:rFonts w:ascii="Arial" w:hAnsi="Arial" w:cs="Arial"/>
          <w:sz w:val="20"/>
          <w:szCs w:val="20"/>
        </w:rPr>
        <w:t>regard</w:t>
      </w:r>
      <w:r w:rsidRPr="005827DA">
        <w:rPr>
          <w:rFonts w:ascii="Arial" w:hAnsi="Arial" w:cs="Arial"/>
          <w:spacing w:val="40"/>
          <w:sz w:val="20"/>
          <w:szCs w:val="20"/>
        </w:rPr>
        <w:t xml:space="preserve"> </w:t>
      </w:r>
      <w:r w:rsidRPr="005827DA">
        <w:rPr>
          <w:rFonts w:ascii="Arial" w:hAnsi="Arial" w:cs="Arial"/>
          <w:sz w:val="20"/>
          <w:szCs w:val="20"/>
        </w:rPr>
        <w:t>to</w:t>
      </w:r>
      <w:r w:rsidRPr="005827DA">
        <w:rPr>
          <w:rFonts w:ascii="Arial" w:hAnsi="Arial" w:cs="Arial"/>
          <w:spacing w:val="43"/>
          <w:sz w:val="20"/>
          <w:szCs w:val="20"/>
        </w:rPr>
        <w:t xml:space="preserve"> </w:t>
      </w:r>
      <w:r w:rsidRPr="005827DA">
        <w:rPr>
          <w:rFonts w:ascii="Arial" w:hAnsi="Arial" w:cs="Arial"/>
          <w:sz w:val="20"/>
          <w:szCs w:val="20"/>
        </w:rPr>
        <w:t>permission,</w:t>
      </w:r>
      <w:r w:rsidRPr="005827DA">
        <w:rPr>
          <w:rFonts w:ascii="Arial" w:hAnsi="Arial" w:cs="Arial"/>
          <w:spacing w:val="-47"/>
          <w:sz w:val="20"/>
          <w:szCs w:val="20"/>
        </w:rPr>
        <w:t xml:space="preserve"> </w:t>
      </w:r>
      <w:r w:rsidRPr="005827DA">
        <w:rPr>
          <w:rFonts w:ascii="Arial" w:hAnsi="Arial" w:cs="Arial"/>
          <w:sz w:val="20"/>
          <w:szCs w:val="20"/>
        </w:rPr>
        <w:t>behaviour</w:t>
      </w:r>
      <w:r w:rsidRPr="005827DA">
        <w:rPr>
          <w:rFonts w:ascii="Arial" w:hAnsi="Arial" w:cs="Arial"/>
          <w:spacing w:val="-3"/>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adjacent</w:t>
      </w:r>
      <w:r w:rsidRPr="005827DA">
        <w:rPr>
          <w:rFonts w:ascii="Arial" w:hAnsi="Arial" w:cs="Arial"/>
          <w:spacing w:val="-3"/>
          <w:sz w:val="20"/>
          <w:szCs w:val="20"/>
        </w:rPr>
        <w:t xml:space="preserve"> </w:t>
      </w:r>
      <w:r w:rsidRPr="005827DA">
        <w:rPr>
          <w:rFonts w:ascii="Arial" w:hAnsi="Arial" w:cs="Arial"/>
          <w:sz w:val="20"/>
          <w:szCs w:val="20"/>
        </w:rPr>
        <w:t>fields;</w:t>
      </w:r>
    </w:p>
    <w:p w14:paraId="0B0A8A5B" w14:textId="77777777" w:rsidR="00F20810" w:rsidRPr="005827DA" w:rsidRDefault="00F20810" w:rsidP="005827DA">
      <w:pPr>
        <w:pStyle w:val="ListParagraph"/>
        <w:numPr>
          <w:ilvl w:val="1"/>
          <w:numId w:val="242"/>
        </w:numPr>
        <w:tabs>
          <w:tab w:val="left" w:pos="90"/>
          <w:tab w:val="left" w:pos="2975"/>
          <w:tab w:val="left" w:pos="2976"/>
        </w:tabs>
        <w:spacing w:before="118"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41"/>
          <w:sz w:val="20"/>
          <w:szCs w:val="20"/>
        </w:rPr>
        <w:t xml:space="preserve"> </w:t>
      </w:r>
      <w:r w:rsidRPr="005827DA">
        <w:rPr>
          <w:rFonts w:ascii="Arial" w:hAnsi="Arial" w:cs="Arial"/>
          <w:sz w:val="20"/>
          <w:szCs w:val="20"/>
        </w:rPr>
        <w:t>to</w:t>
      </w:r>
      <w:r w:rsidRPr="005827DA">
        <w:rPr>
          <w:rFonts w:ascii="Arial" w:hAnsi="Arial" w:cs="Arial"/>
          <w:spacing w:val="42"/>
          <w:sz w:val="20"/>
          <w:szCs w:val="20"/>
        </w:rPr>
        <w:t xml:space="preserve"> </w:t>
      </w:r>
      <w:r w:rsidRPr="005827DA">
        <w:rPr>
          <w:rFonts w:ascii="Arial" w:hAnsi="Arial" w:cs="Arial"/>
          <w:sz w:val="20"/>
          <w:szCs w:val="20"/>
        </w:rPr>
        <w:t>teach</w:t>
      </w:r>
      <w:r w:rsidRPr="005827DA">
        <w:rPr>
          <w:rFonts w:ascii="Arial" w:hAnsi="Arial" w:cs="Arial"/>
          <w:spacing w:val="43"/>
          <w:sz w:val="20"/>
          <w:szCs w:val="20"/>
        </w:rPr>
        <w:t xml:space="preserve"> </w:t>
      </w:r>
      <w:r w:rsidRPr="005827DA">
        <w:rPr>
          <w:rFonts w:ascii="Arial" w:hAnsi="Arial" w:cs="Arial"/>
          <w:sz w:val="20"/>
          <w:szCs w:val="20"/>
        </w:rPr>
        <w:t>the</w:t>
      </w:r>
      <w:r w:rsidRPr="005827DA">
        <w:rPr>
          <w:rFonts w:ascii="Arial" w:hAnsi="Arial" w:cs="Arial"/>
          <w:spacing w:val="40"/>
          <w:sz w:val="20"/>
          <w:szCs w:val="20"/>
        </w:rPr>
        <w:t xml:space="preserve"> </w:t>
      </w:r>
      <w:r w:rsidRPr="005827DA">
        <w:rPr>
          <w:rFonts w:ascii="Arial" w:hAnsi="Arial" w:cs="Arial"/>
          <w:sz w:val="20"/>
          <w:szCs w:val="20"/>
        </w:rPr>
        <w:t>student</w:t>
      </w:r>
      <w:r w:rsidRPr="005827DA">
        <w:rPr>
          <w:rFonts w:ascii="Arial" w:hAnsi="Arial" w:cs="Arial"/>
          <w:spacing w:val="41"/>
          <w:sz w:val="20"/>
          <w:szCs w:val="20"/>
        </w:rPr>
        <w:t xml:space="preserve"> </w:t>
      </w:r>
      <w:r w:rsidRPr="005827DA">
        <w:rPr>
          <w:rFonts w:ascii="Arial" w:hAnsi="Arial" w:cs="Arial"/>
          <w:sz w:val="20"/>
          <w:szCs w:val="20"/>
        </w:rPr>
        <w:t>pilot</w:t>
      </w:r>
      <w:r w:rsidRPr="005827DA">
        <w:rPr>
          <w:rFonts w:ascii="Arial" w:hAnsi="Arial" w:cs="Arial"/>
          <w:spacing w:val="40"/>
          <w:sz w:val="20"/>
          <w:szCs w:val="20"/>
        </w:rPr>
        <w:t xml:space="preserve"> </w:t>
      </w:r>
      <w:r w:rsidRPr="005827DA">
        <w:rPr>
          <w:rFonts w:ascii="Arial" w:hAnsi="Arial" w:cs="Arial"/>
          <w:sz w:val="20"/>
          <w:szCs w:val="20"/>
        </w:rPr>
        <w:t>to</w:t>
      </w:r>
      <w:r w:rsidRPr="005827DA">
        <w:rPr>
          <w:rFonts w:ascii="Arial" w:hAnsi="Arial" w:cs="Arial"/>
          <w:spacing w:val="43"/>
          <w:sz w:val="20"/>
          <w:szCs w:val="20"/>
        </w:rPr>
        <w:t xml:space="preserve"> </w:t>
      </w:r>
      <w:r w:rsidRPr="005827DA">
        <w:rPr>
          <w:rFonts w:ascii="Arial" w:hAnsi="Arial" w:cs="Arial"/>
          <w:sz w:val="20"/>
          <w:szCs w:val="20"/>
        </w:rPr>
        <w:t>perform</w:t>
      </w:r>
      <w:r w:rsidRPr="005827DA">
        <w:rPr>
          <w:rFonts w:ascii="Arial" w:hAnsi="Arial" w:cs="Arial"/>
          <w:spacing w:val="43"/>
          <w:sz w:val="20"/>
          <w:szCs w:val="20"/>
        </w:rPr>
        <w:t xml:space="preserve"> </w:t>
      </w:r>
      <w:r w:rsidRPr="005827DA">
        <w:rPr>
          <w:rFonts w:ascii="Arial" w:hAnsi="Arial" w:cs="Arial"/>
          <w:sz w:val="20"/>
          <w:szCs w:val="20"/>
        </w:rPr>
        <w:t>the</w:t>
      </w:r>
      <w:r w:rsidRPr="005827DA">
        <w:rPr>
          <w:rFonts w:ascii="Arial" w:hAnsi="Arial" w:cs="Arial"/>
          <w:spacing w:val="41"/>
          <w:sz w:val="20"/>
          <w:szCs w:val="20"/>
        </w:rPr>
        <w:t xml:space="preserve"> </w:t>
      </w:r>
      <w:r w:rsidRPr="005827DA">
        <w:rPr>
          <w:rFonts w:ascii="Arial" w:hAnsi="Arial" w:cs="Arial"/>
          <w:sz w:val="20"/>
          <w:szCs w:val="20"/>
        </w:rPr>
        <w:t>preparation</w:t>
      </w:r>
      <w:r w:rsidRPr="005827DA">
        <w:rPr>
          <w:rFonts w:ascii="Arial" w:hAnsi="Arial" w:cs="Arial"/>
          <w:spacing w:val="42"/>
          <w:sz w:val="20"/>
          <w:szCs w:val="20"/>
        </w:rPr>
        <w:t xml:space="preserve"> </w:t>
      </w:r>
      <w:r w:rsidRPr="005827DA">
        <w:rPr>
          <w:rFonts w:ascii="Arial" w:hAnsi="Arial" w:cs="Arial"/>
          <w:sz w:val="20"/>
          <w:szCs w:val="20"/>
        </w:rPr>
        <w:t>to</w:t>
      </w:r>
      <w:r w:rsidRPr="005827DA">
        <w:rPr>
          <w:rFonts w:ascii="Arial" w:hAnsi="Arial" w:cs="Arial"/>
          <w:spacing w:val="42"/>
          <w:sz w:val="20"/>
          <w:szCs w:val="20"/>
        </w:rPr>
        <w:t xml:space="preserve"> </w:t>
      </w:r>
      <w:r w:rsidRPr="005827DA">
        <w:rPr>
          <w:rFonts w:ascii="Arial" w:hAnsi="Arial" w:cs="Arial"/>
          <w:sz w:val="20"/>
          <w:szCs w:val="20"/>
        </w:rPr>
        <w:t>be</w:t>
      </w:r>
      <w:r w:rsidRPr="005827DA">
        <w:rPr>
          <w:rFonts w:ascii="Arial" w:hAnsi="Arial" w:cs="Arial"/>
          <w:spacing w:val="-47"/>
          <w:sz w:val="20"/>
          <w:szCs w:val="20"/>
        </w:rPr>
        <w:t xml:space="preserve"> </w:t>
      </w:r>
      <w:r w:rsidRPr="005827DA">
        <w:rPr>
          <w:rFonts w:ascii="Arial" w:hAnsi="Arial" w:cs="Arial"/>
          <w:sz w:val="20"/>
          <w:szCs w:val="20"/>
        </w:rPr>
        <w:lastRenderedPageBreak/>
        <w:t>completed</w:t>
      </w:r>
      <w:r w:rsidRPr="005827DA">
        <w:rPr>
          <w:rFonts w:ascii="Arial" w:hAnsi="Arial" w:cs="Arial"/>
          <w:spacing w:val="-1"/>
          <w:sz w:val="20"/>
          <w:szCs w:val="20"/>
        </w:rPr>
        <w:t xml:space="preserve"> </w:t>
      </w:r>
      <w:r w:rsidRPr="005827DA">
        <w:rPr>
          <w:rFonts w:ascii="Arial" w:hAnsi="Arial" w:cs="Arial"/>
          <w:sz w:val="20"/>
          <w:szCs w:val="20"/>
        </w:rPr>
        <w:t>prior</w:t>
      </w:r>
      <w:r w:rsidRPr="005827DA">
        <w:rPr>
          <w:rFonts w:ascii="Arial" w:hAnsi="Arial" w:cs="Arial"/>
          <w:spacing w:val="-2"/>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flight;</w:t>
      </w:r>
      <w:r w:rsidRPr="005827DA">
        <w:rPr>
          <w:rFonts w:ascii="Arial" w:hAnsi="Arial" w:cs="Arial"/>
          <w:spacing w:val="1"/>
          <w:sz w:val="20"/>
          <w:szCs w:val="20"/>
        </w:rPr>
        <w:t xml:space="preserve"> </w:t>
      </w:r>
      <w:r w:rsidRPr="005827DA">
        <w:rPr>
          <w:rFonts w:ascii="Arial" w:hAnsi="Arial" w:cs="Arial"/>
          <w:sz w:val="20"/>
          <w:szCs w:val="20"/>
        </w:rPr>
        <w:t>and</w:t>
      </w:r>
    </w:p>
    <w:p w14:paraId="2E6A8978" w14:textId="77777777" w:rsidR="00F20810" w:rsidRPr="005827DA" w:rsidRDefault="00F20810" w:rsidP="005827DA">
      <w:pPr>
        <w:pStyle w:val="ListParagraph"/>
        <w:numPr>
          <w:ilvl w:val="1"/>
          <w:numId w:val="242"/>
        </w:numPr>
        <w:tabs>
          <w:tab w:val="left" w:pos="90"/>
          <w:tab w:val="left" w:pos="2975"/>
          <w:tab w:val="left" w:pos="2976"/>
        </w:tabs>
        <w:spacing w:before="56"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3"/>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analyse</w:t>
      </w:r>
      <w:r w:rsidRPr="005827DA">
        <w:rPr>
          <w:rFonts w:ascii="Arial" w:hAnsi="Arial" w:cs="Arial"/>
          <w:spacing w:val="-2"/>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correct</w:t>
      </w:r>
      <w:r w:rsidRPr="005827DA">
        <w:rPr>
          <w:rFonts w:ascii="Arial" w:hAnsi="Arial" w:cs="Arial"/>
          <w:spacing w:val="-2"/>
          <w:sz w:val="20"/>
          <w:szCs w:val="20"/>
        </w:rPr>
        <w:t xml:space="preserve"> </w:t>
      </w:r>
      <w:r w:rsidRPr="005827DA">
        <w:rPr>
          <w:rFonts w:ascii="Arial" w:hAnsi="Arial" w:cs="Arial"/>
          <w:sz w:val="20"/>
          <w:szCs w:val="20"/>
        </w:rPr>
        <w:t>errors</w:t>
      </w:r>
      <w:r w:rsidRPr="005827DA">
        <w:rPr>
          <w:rFonts w:ascii="Arial" w:hAnsi="Arial" w:cs="Arial"/>
          <w:spacing w:val="-2"/>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student</w:t>
      </w:r>
      <w:r w:rsidRPr="005827DA">
        <w:rPr>
          <w:rFonts w:ascii="Arial" w:hAnsi="Arial" w:cs="Arial"/>
          <w:spacing w:val="-2"/>
          <w:sz w:val="20"/>
          <w:szCs w:val="20"/>
        </w:rPr>
        <w:t xml:space="preserve"> </w:t>
      </w:r>
      <w:r w:rsidRPr="005827DA">
        <w:rPr>
          <w:rFonts w:ascii="Arial" w:hAnsi="Arial" w:cs="Arial"/>
          <w:sz w:val="20"/>
          <w:szCs w:val="20"/>
        </w:rPr>
        <w:t>pilot</w:t>
      </w:r>
      <w:r w:rsidRPr="005827DA">
        <w:rPr>
          <w:rFonts w:ascii="Arial" w:hAnsi="Arial" w:cs="Arial"/>
          <w:spacing w:val="-3"/>
          <w:sz w:val="20"/>
          <w:szCs w:val="20"/>
        </w:rPr>
        <w:t xml:space="preserve"> </w:t>
      </w:r>
      <w:r w:rsidRPr="005827DA">
        <w:rPr>
          <w:rFonts w:ascii="Arial" w:hAnsi="Arial" w:cs="Arial"/>
          <w:sz w:val="20"/>
          <w:szCs w:val="20"/>
        </w:rPr>
        <w:t>as necessary.</w:t>
      </w:r>
    </w:p>
    <w:p w14:paraId="48289437" w14:textId="77777777" w:rsidR="00F20810" w:rsidRPr="005827DA" w:rsidRDefault="00F20810" w:rsidP="005827DA">
      <w:pPr>
        <w:pStyle w:val="ListParagraph"/>
        <w:numPr>
          <w:ilvl w:val="0"/>
          <w:numId w:val="242"/>
        </w:numPr>
        <w:tabs>
          <w:tab w:val="left" w:pos="90"/>
          <w:tab w:val="left" w:pos="2409"/>
        </w:tabs>
        <w:spacing w:line="276" w:lineRule="auto"/>
        <w:ind w:right="68" w:hanging="436"/>
        <w:jc w:val="both"/>
        <w:rPr>
          <w:rFonts w:ascii="Arial" w:hAnsi="Arial" w:cs="Arial"/>
          <w:sz w:val="20"/>
          <w:szCs w:val="20"/>
        </w:rPr>
      </w:pPr>
      <w:r w:rsidRPr="005827DA">
        <w:rPr>
          <w:rFonts w:ascii="Arial" w:hAnsi="Arial" w:cs="Arial"/>
          <w:sz w:val="20"/>
          <w:szCs w:val="20"/>
        </w:rPr>
        <w:t>Debriefing</w:t>
      </w:r>
    </w:p>
    <w:p w14:paraId="57CAD0BB" w14:textId="77777777" w:rsidR="00F20810" w:rsidRPr="005827DA" w:rsidRDefault="00F20810" w:rsidP="005827DA">
      <w:pPr>
        <w:pStyle w:val="BodyText"/>
        <w:tabs>
          <w:tab w:val="left" w:pos="90"/>
        </w:tabs>
        <w:spacing w:before="11" w:line="276" w:lineRule="auto"/>
        <w:ind w:right="68" w:hanging="436"/>
        <w:jc w:val="both"/>
        <w:rPr>
          <w:rFonts w:ascii="Arial" w:hAnsi="Arial" w:cs="Arial"/>
          <w:sz w:val="20"/>
          <w:szCs w:val="20"/>
        </w:rPr>
      </w:pPr>
    </w:p>
    <w:p w14:paraId="1AB66C1B" w14:textId="77777777" w:rsidR="00F20810" w:rsidRPr="005827DA" w:rsidRDefault="00F20810" w:rsidP="005827DA">
      <w:pPr>
        <w:tabs>
          <w:tab w:val="left" w:pos="90"/>
        </w:tabs>
        <w:spacing w:line="276" w:lineRule="auto"/>
        <w:ind w:right="68" w:hanging="436"/>
        <w:jc w:val="both"/>
        <w:rPr>
          <w:rFonts w:ascii="Arial" w:eastAsia="Times New Roman" w:hAnsi="Arial" w:cs="Times New Roman"/>
          <w:b/>
          <w:bCs/>
          <w:sz w:val="20"/>
          <w:szCs w:val="20"/>
        </w:rPr>
      </w:pPr>
      <w:r w:rsidRPr="005827DA">
        <w:rPr>
          <w:rFonts w:ascii="Arial" w:eastAsia="Times New Roman" w:hAnsi="Arial" w:cs="Times New Roman"/>
          <w:b/>
          <w:bCs/>
          <w:sz w:val="20"/>
          <w:szCs w:val="20"/>
        </w:rPr>
        <w:t>Exercise 3: Crew and passenger briefing</w:t>
      </w:r>
    </w:p>
    <w:p w14:paraId="635DF6F0" w14:textId="77777777" w:rsidR="00F20810" w:rsidRPr="005827DA" w:rsidRDefault="00F20810" w:rsidP="005827DA">
      <w:pPr>
        <w:pStyle w:val="ListParagraph"/>
        <w:numPr>
          <w:ilvl w:val="0"/>
          <w:numId w:val="244"/>
        </w:numPr>
        <w:tabs>
          <w:tab w:val="left" w:pos="90"/>
          <w:tab w:val="left" w:pos="2409"/>
        </w:tabs>
        <w:spacing w:before="121" w:line="276" w:lineRule="auto"/>
        <w:ind w:right="68" w:hanging="436"/>
        <w:jc w:val="both"/>
        <w:rPr>
          <w:rFonts w:ascii="Arial" w:hAnsi="Arial" w:cs="Arial"/>
          <w:sz w:val="20"/>
          <w:szCs w:val="20"/>
        </w:rPr>
      </w:pPr>
      <w:r w:rsidRPr="005827DA">
        <w:rPr>
          <w:rFonts w:ascii="Arial" w:hAnsi="Arial" w:cs="Arial"/>
          <w:sz w:val="20"/>
          <w:szCs w:val="20"/>
        </w:rPr>
        <w:t>Objective</w:t>
      </w:r>
    </w:p>
    <w:p w14:paraId="26D738B2" w14:textId="77777777" w:rsidR="00F20810" w:rsidRPr="005827DA" w:rsidRDefault="00F20810" w:rsidP="005827DA">
      <w:pPr>
        <w:pStyle w:val="BodyText"/>
        <w:tabs>
          <w:tab w:val="left" w:pos="90"/>
        </w:tabs>
        <w:spacing w:line="276" w:lineRule="auto"/>
        <w:ind w:left="2408" w:right="68" w:hanging="436"/>
        <w:jc w:val="both"/>
        <w:rPr>
          <w:rFonts w:ascii="Arial" w:hAnsi="Arial" w:cs="Arial"/>
          <w:sz w:val="20"/>
          <w:szCs w:val="20"/>
        </w:rPr>
      </w:pP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advise</w:t>
      </w:r>
      <w:r w:rsidRPr="005827DA">
        <w:rPr>
          <w:rFonts w:ascii="Arial" w:hAnsi="Arial" w:cs="Arial"/>
          <w:spacing w:val="1"/>
          <w:sz w:val="20"/>
          <w:szCs w:val="20"/>
        </w:rPr>
        <w:t xml:space="preserve"> </w:t>
      </w: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student</w:t>
      </w:r>
      <w:r w:rsidRPr="005827DA">
        <w:rPr>
          <w:rFonts w:ascii="Arial" w:hAnsi="Arial" w:cs="Arial"/>
          <w:spacing w:val="1"/>
          <w:sz w:val="20"/>
          <w:szCs w:val="20"/>
        </w:rPr>
        <w:t xml:space="preserve"> </w:t>
      </w:r>
      <w:r w:rsidRPr="005827DA">
        <w:rPr>
          <w:rFonts w:ascii="Arial" w:hAnsi="Arial" w:cs="Arial"/>
          <w:sz w:val="20"/>
          <w:szCs w:val="20"/>
        </w:rPr>
        <w:t>instructor</w:t>
      </w:r>
      <w:r w:rsidRPr="005827DA">
        <w:rPr>
          <w:rFonts w:ascii="Arial" w:hAnsi="Arial" w:cs="Arial"/>
          <w:spacing w:val="1"/>
          <w:sz w:val="20"/>
          <w:szCs w:val="20"/>
        </w:rPr>
        <w:t xml:space="preserve"> </w:t>
      </w:r>
      <w:r w:rsidRPr="005827DA">
        <w:rPr>
          <w:rFonts w:ascii="Arial" w:hAnsi="Arial" w:cs="Arial"/>
          <w:sz w:val="20"/>
          <w:szCs w:val="20"/>
        </w:rPr>
        <w:t>on</w:t>
      </w:r>
      <w:r w:rsidRPr="005827DA">
        <w:rPr>
          <w:rFonts w:ascii="Arial" w:hAnsi="Arial" w:cs="Arial"/>
          <w:spacing w:val="1"/>
          <w:sz w:val="20"/>
          <w:szCs w:val="20"/>
        </w:rPr>
        <w:t xml:space="preserve"> </w:t>
      </w:r>
      <w:r w:rsidRPr="005827DA">
        <w:rPr>
          <w:rFonts w:ascii="Arial" w:hAnsi="Arial" w:cs="Arial"/>
          <w:sz w:val="20"/>
          <w:szCs w:val="20"/>
        </w:rPr>
        <w:t>how</w:t>
      </w:r>
      <w:r w:rsidRPr="005827DA">
        <w:rPr>
          <w:rFonts w:ascii="Arial" w:hAnsi="Arial" w:cs="Arial"/>
          <w:spacing w:val="1"/>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explain</w:t>
      </w:r>
      <w:r w:rsidRPr="005827DA">
        <w:rPr>
          <w:rFonts w:ascii="Arial" w:hAnsi="Arial" w:cs="Arial"/>
          <w:spacing w:val="1"/>
          <w:sz w:val="20"/>
          <w:szCs w:val="20"/>
        </w:rPr>
        <w:t xml:space="preserve"> </w:t>
      </w: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importance</w:t>
      </w:r>
      <w:r w:rsidRPr="005827DA">
        <w:rPr>
          <w:rFonts w:ascii="Arial" w:hAnsi="Arial" w:cs="Arial"/>
          <w:spacing w:val="1"/>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appropriate clothing for pilot, passengers and crew and how to perform the</w:t>
      </w:r>
      <w:r w:rsidRPr="005827DA">
        <w:rPr>
          <w:rFonts w:ascii="Arial" w:hAnsi="Arial" w:cs="Arial"/>
          <w:spacing w:val="-48"/>
          <w:sz w:val="20"/>
          <w:szCs w:val="20"/>
        </w:rPr>
        <w:t xml:space="preserve"> </w:t>
      </w:r>
      <w:r w:rsidRPr="005827DA">
        <w:rPr>
          <w:rFonts w:ascii="Arial" w:hAnsi="Arial" w:cs="Arial"/>
          <w:sz w:val="20"/>
          <w:szCs w:val="20"/>
        </w:rPr>
        <w:t>briefing</w:t>
      </w:r>
      <w:r w:rsidRPr="005827DA">
        <w:rPr>
          <w:rFonts w:ascii="Arial" w:hAnsi="Arial" w:cs="Arial"/>
          <w:spacing w:val="1"/>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ground</w:t>
      </w:r>
      <w:r w:rsidRPr="005827DA">
        <w:rPr>
          <w:rFonts w:ascii="Arial" w:hAnsi="Arial" w:cs="Arial"/>
          <w:spacing w:val="1"/>
          <w:sz w:val="20"/>
          <w:szCs w:val="20"/>
        </w:rPr>
        <w:t xml:space="preserve"> </w:t>
      </w:r>
      <w:r w:rsidRPr="005827DA">
        <w:rPr>
          <w:rFonts w:ascii="Arial" w:hAnsi="Arial" w:cs="Arial"/>
          <w:sz w:val="20"/>
          <w:szCs w:val="20"/>
        </w:rPr>
        <w:t>and</w:t>
      </w:r>
      <w:r w:rsidRPr="005827DA">
        <w:rPr>
          <w:rFonts w:ascii="Arial" w:hAnsi="Arial" w:cs="Arial"/>
          <w:spacing w:val="1"/>
          <w:sz w:val="20"/>
          <w:szCs w:val="20"/>
        </w:rPr>
        <w:t xml:space="preserve"> </w:t>
      </w:r>
      <w:r w:rsidRPr="005827DA">
        <w:rPr>
          <w:rFonts w:ascii="Arial" w:hAnsi="Arial" w:cs="Arial"/>
          <w:sz w:val="20"/>
          <w:szCs w:val="20"/>
        </w:rPr>
        <w:t>retrieve</w:t>
      </w:r>
      <w:r w:rsidRPr="005827DA">
        <w:rPr>
          <w:rFonts w:ascii="Arial" w:hAnsi="Arial" w:cs="Arial"/>
          <w:spacing w:val="1"/>
          <w:sz w:val="20"/>
          <w:szCs w:val="20"/>
        </w:rPr>
        <w:t xml:space="preserve"> </w:t>
      </w:r>
      <w:r w:rsidRPr="005827DA">
        <w:rPr>
          <w:rFonts w:ascii="Arial" w:hAnsi="Arial" w:cs="Arial"/>
          <w:sz w:val="20"/>
          <w:szCs w:val="20"/>
        </w:rPr>
        <w:t>crew</w:t>
      </w:r>
      <w:r w:rsidRPr="005827DA">
        <w:rPr>
          <w:rFonts w:ascii="Arial" w:hAnsi="Arial" w:cs="Arial"/>
          <w:spacing w:val="1"/>
          <w:sz w:val="20"/>
          <w:szCs w:val="20"/>
        </w:rPr>
        <w:t xml:space="preserve"> </w:t>
      </w:r>
      <w:r w:rsidRPr="005827DA">
        <w:rPr>
          <w:rFonts w:ascii="Arial" w:hAnsi="Arial" w:cs="Arial"/>
          <w:sz w:val="20"/>
          <w:szCs w:val="20"/>
        </w:rPr>
        <w:t>and</w:t>
      </w:r>
      <w:r w:rsidRPr="005827DA">
        <w:rPr>
          <w:rFonts w:ascii="Arial" w:hAnsi="Arial" w:cs="Arial"/>
          <w:spacing w:val="1"/>
          <w:sz w:val="20"/>
          <w:szCs w:val="20"/>
        </w:rPr>
        <w:t xml:space="preserve"> </w:t>
      </w: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briefing</w:t>
      </w:r>
      <w:r w:rsidRPr="005827DA">
        <w:rPr>
          <w:rFonts w:ascii="Arial" w:hAnsi="Arial" w:cs="Arial"/>
          <w:spacing w:val="1"/>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passengers.</w:t>
      </w:r>
      <w:r w:rsidRPr="005827DA">
        <w:rPr>
          <w:rFonts w:ascii="Arial" w:hAnsi="Arial" w:cs="Arial"/>
          <w:spacing w:val="1"/>
          <w:sz w:val="20"/>
          <w:szCs w:val="20"/>
        </w:rPr>
        <w:t xml:space="preserve"> </w:t>
      </w:r>
      <w:r w:rsidRPr="005827DA">
        <w:rPr>
          <w:rFonts w:ascii="Arial" w:hAnsi="Arial" w:cs="Arial"/>
          <w:sz w:val="20"/>
          <w:szCs w:val="20"/>
        </w:rPr>
        <w:t>Furthermore, the student instructor should learn how to identify student</w:t>
      </w:r>
      <w:r w:rsidRPr="005827DA">
        <w:rPr>
          <w:rFonts w:ascii="Arial" w:hAnsi="Arial" w:cs="Arial"/>
          <w:spacing w:val="1"/>
          <w:sz w:val="20"/>
          <w:szCs w:val="20"/>
        </w:rPr>
        <w:t xml:space="preserve"> </w:t>
      </w:r>
      <w:r w:rsidRPr="005827DA">
        <w:rPr>
          <w:rFonts w:ascii="Arial" w:hAnsi="Arial" w:cs="Arial"/>
          <w:sz w:val="20"/>
          <w:szCs w:val="20"/>
        </w:rPr>
        <w:t>errors</w:t>
      </w:r>
      <w:r w:rsidRPr="005827DA">
        <w:rPr>
          <w:rFonts w:ascii="Arial" w:hAnsi="Arial" w:cs="Arial"/>
          <w:spacing w:val="-4"/>
          <w:sz w:val="20"/>
          <w:szCs w:val="20"/>
        </w:rPr>
        <w:t xml:space="preserve"> </w:t>
      </w:r>
      <w:r w:rsidRPr="005827DA">
        <w:rPr>
          <w:rFonts w:ascii="Arial" w:hAnsi="Arial" w:cs="Arial"/>
          <w:sz w:val="20"/>
          <w:szCs w:val="20"/>
        </w:rPr>
        <w:t>and how</w:t>
      </w:r>
      <w:r w:rsidRPr="005827DA">
        <w:rPr>
          <w:rFonts w:ascii="Arial" w:hAnsi="Arial" w:cs="Arial"/>
          <w:spacing w:val="1"/>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correct</w:t>
      </w:r>
      <w:r w:rsidRPr="005827DA">
        <w:rPr>
          <w:rFonts w:ascii="Arial" w:hAnsi="Arial" w:cs="Arial"/>
          <w:spacing w:val="-2"/>
          <w:sz w:val="20"/>
          <w:szCs w:val="20"/>
        </w:rPr>
        <w:t xml:space="preserve"> </w:t>
      </w:r>
      <w:r w:rsidRPr="005827DA">
        <w:rPr>
          <w:rFonts w:ascii="Arial" w:hAnsi="Arial" w:cs="Arial"/>
          <w:sz w:val="20"/>
          <w:szCs w:val="20"/>
        </w:rPr>
        <w:t>them</w:t>
      </w:r>
      <w:r w:rsidRPr="005827DA">
        <w:rPr>
          <w:rFonts w:ascii="Arial" w:hAnsi="Arial" w:cs="Arial"/>
          <w:spacing w:val="1"/>
          <w:sz w:val="20"/>
          <w:szCs w:val="20"/>
        </w:rPr>
        <w:t xml:space="preserve"> </w:t>
      </w:r>
      <w:r w:rsidRPr="005827DA">
        <w:rPr>
          <w:rFonts w:ascii="Arial" w:hAnsi="Arial" w:cs="Arial"/>
          <w:sz w:val="20"/>
          <w:szCs w:val="20"/>
        </w:rPr>
        <w:t>properly.</w:t>
      </w:r>
    </w:p>
    <w:p w14:paraId="29A6C089" w14:textId="77777777" w:rsidR="00F20810" w:rsidRPr="005827DA" w:rsidRDefault="00F20810" w:rsidP="005827DA">
      <w:pPr>
        <w:pStyle w:val="ListParagraph"/>
        <w:numPr>
          <w:ilvl w:val="0"/>
          <w:numId w:val="244"/>
        </w:numPr>
        <w:tabs>
          <w:tab w:val="left" w:pos="90"/>
          <w:tab w:val="left" w:pos="2409"/>
        </w:tabs>
        <w:spacing w:before="119" w:line="276" w:lineRule="auto"/>
        <w:ind w:right="68" w:hanging="436"/>
        <w:jc w:val="both"/>
        <w:rPr>
          <w:rFonts w:ascii="Arial" w:hAnsi="Arial" w:cs="Arial"/>
          <w:sz w:val="20"/>
          <w:szCs w:val="20"/>
        </w:rPr>
      </w:pPr>
      <w:r w:rsidRPr="005827DA">
        <w:rPr>
          <w:rFonts w:ascii="Arial" w:hAnsi="Arial" w:cs="Arial"/>
          <w:sz w:val="20"/>
          <w:szCs w:val="20"/>
        </w:rPr>
        <w:t>Briefing</w:t>
      </w:r>
    </w:p>
    <w:p w14:paraId="7D350043" w14:textId="77777777" w:rsidR="00F20810" w:rsidRPr="005827DA" w:rsidRDefault="00F20810" w:rsidP="005827DA">
      <w:pPr>
        <w:pStyle w:val="BodyText"/>
        <w:tabs>
          <w:tab w:val="left" w:pos="90"/>
        </w:tabs>
        <w:spacing w:before="121" w:line="276" w:lineRule="auto"/>
        <w:ind w:left="2408"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student</w:t>
      </w:r>
      <w:r w:rsidRPr="005827DA">
        <w:rPr>
          <w:rFonts w:ascii="Arial" w:hAnsi="Arial" w:cs="Arial"/>
          <w:spacing w:val="-2"/>
          <w:sz w:val="20"/>
          <w:szCs w:val="20"/>
        </w:rPr>
        <w:t xml:space="preserve"> </w:t>
      </w:r>
      <w:r w:rsidRPr="005827DA">
        <w:rPr>
          <w:rFonts w:ascii="Arial" w:hAnsi="Arial" w:cs="Arial"/>
          <w:sz w:val="20"/>
          <w:szCs w:val="20"/>
        </w:rPr>
        <w:t>instructor has</w:t>
      </w:r>
      <w:r w:rsidRPr="005827DA">
        <w:rPr>
          <w:rFonts w:ascii="Arial" w:hAnsi="Arial" w:cs="Arial"/>
          <w:spacing w:val="-6"/>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explain:</w:t>
      </w:r>
    </w:p>
    <w:p w14:paraId="755808E4" w14:textId="77777777" w:rsidR="00F20810" w:rsidRPr="005827DA" w:rsidRDefault="00F20810" w:rsidP="005827DA">
      <w:pPr>
        <w:pStyle w:val="ListParagraph"/>
        <w:numPr>
          <w:ilvl w:val="1"/>
          <w:numId w:val="244"/>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appropriate clothing</w:t>
      </w:r>
      <w:r w:rsidRPr="005827DA">
        <w:rPr>
          <w:rFonts w:ascii="Arial" w:hAnsi="Arial" w:cs="Arial"/>
          <w:spacing w:val="-2"/>
          <w:sz w:val="20"/>
          <w:szCs w:val="20"/>
        </w:rPr>
        <w:t xml:space="preserve"> </w:t>
      </w:r>
      <w:r w:rsidRPr="005827DA">
        <w:rPr>
          <w:rFonts w:ascii="Arial" w:hAnsi="Arial" w:cs="Arial"/>
          <w:sz w:val="20"/>
          <w:szCs w:val="20"/>
        </w:rPr>
        <w:t>for</w:t>
      </w:r>
      <w:r w:rsidRPr="005827DA">
        <w:rPr>
          <w:rFonts w:ascii="Arial" w:hAnsi="Arial" w:cs="Arial"/>
          <w:spacing w:val="-1"/>
          <w:sz w:val="20"/>
          <w:szCs w:val="20"/>
        </w:rPr>
        <w:t xml:space="preserve"> </w:t>
      </w:r>
      <w:r w:rsidRPr="005827DA">
        <w:rPr>
          <w:rFonts w:ascii="Arial" w:hAnsi="Arial" w:cs="Arial"/>
          <w:sz w:val="20"/>
          <w:szCs w:val="20"/>
        </w:rPr>
        <w:t>passengers</w:t>
      </w:r>
      <w:r w:rsidRPr="005827DA">
        <w:rPr>
          <w:rFonts w:ascii="Arial" w:hAnsi="Arial" w:cs="Arial"/>
          <w:spacing w:val="-3"/>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crew; and</w:t>
      </w:r>
    </w:p>
    <w:p w14:paraId="4D5A0B16" w14:textId="77777777" w:rsidR="00F20810" w:rsidRPr="005827DA" w:rsidRDefault="00F20810" w:rsidP="005827DA">
      <w:pPr>
        <w:pStyle w:val="ListParagraph"/>
        <w:numPr>
          <w:ilvl w:val="1"/>
          <w:numId w:val="244"/>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briefings</w:t>
      </w:r>
      <w:r w:rsidRPr="005827DA">
        <w:rPr>
          <w:rFonts w:ascii="Arial" w:hAnsi="Arial" w:cs="Arial"/>
          <w:spacing w:val="-1"/>
          <w:sz w:val="20"/>
          <w:szCs w:val="20"/>
        </w:rPr>
        <w:t xml:space="preserve"> </w:t>
      </w:r>
      <w:r w:rsidRPr="005827DA">
        <w:rPr>
          <w:rFonts w:ascii="Arial" w:hAnsi="Arial" w:cs="Arial"/>
          <w:sz w:val="20"/>
          <w:szCs w:val="20"/>
        </w:rPr>
        <w:t>for</w:t>
      </w:r>
      <w:r w:rsidRPr="005827DA">
        <w:rPr>
          <w:rFonts w:ascii="Arial" w:hAnsi="Arial" w:cs="Arial"/>
          <w:spacing w:val="-1"/>
          <w:sz w:val="20"/>
          <w:szCs w:val="20"/>
        </w:rPr>
        <w:t xml:space="preserve"> </w:t>
      </w:r>
      <w:r w:rsidRPr="005827DA">
        <w:rPr>
          <w:rFonts w:ascii="Arial" w:hAnsi="Arial" w:cs="Arial"/>
          <w:sz w:val="20"/>
          <w:szCs w:val="20"/>
        </w:rPr>
        <w:t>ground</w:t>
      </w:r>
      <w:r w:rsidRPr="005827DA">
        <w:rPr>
          <w:rFonts w:ascii="Arial" w:hAnsi="Arial" w:cs="Arial"/>
          <w:spacing w:val="-2"/>
          <w:sz w:val="20"/>
          <w:szCs w:val="20"/>
        </w:rPr>
        <w:t xml:space="preserve"> </w:t>
      </w:r>
      <w:r w:rsidRPr="005827DA">
        <w:rPr>
          <w:rFonts w:ascii="Arial" w:hAnsi="Arial" w:cs="Arial"/>
          <w:sz w:val="20"/>
          <w:szCs w:val="20"/>
        </w:rPr>
        <w:t>and</w:t>
      </w:r>
      <w:r w:rsidRPr="005827DA">
        <w:rPr>
          <w:rFonts w:ascii="Arial" w:hAnsi="Arial" w:cs="Arial"/>
          <w:spacing w:val="-1"/>
          <w:sz w:val="20"/>
          <w:szCs w:val="20"/>
        </w:rPr>
        <w:t xml:space="preserve"> </w:t>
      </w:r>
      <w:r w:rsidRPr="005827DA">
        <w:rPr>
          <w:rFonts w:ascii="Arial" w:hAnsi="Arial" w:cs="Arial"/>
          <w:sz w:val="20"/>
          <w:szCs w:val="20"/>
        </w:rPr>
        <w:t>retrieve</w:t>
      </w:r>
      <w:r w:rsidRPr="005827DA">
        <w:rPr>
          <w:rFonts w:ascii="Arial" w:hAnsi="Arial" w:cs="Arial"/>
          <w:spacing w:val="-3"/>
          <w:sz w:val="20"/>
          <w:szCs w:val="20"/>
        </w:rPr>
        <w:t xml:space="preserve"> </w:t>
      </w:r>
      <w:r w:rsidRPr="005827DA">
        <w:rPr>
          <w:rFonts w:ascii="Arial" w:hAnsi="Arial" w:cs="Arial"/>
          <w:sz w:val="20"/>
          <w:szCs w:val="20"/>
        </w:rPr>
        <w:t>crew and</w:t>
      </w:r>
      <w:r w:rsidRPr="005827DA">
        <w:rPr>
          <w:rFonts w:ascii="Arial" w:hAnsi="Arial" w:cs="Arial"/>
          <w:spacing w:val="-2"/>
          <w:sz w:val="20"/>
          <w:szCs w:val="20"/>
        </w:rPr>
        <w:t xml:space="preserve"> </w:t>
      </w:r>
      <w:r w:rsidRPr="005827DA">
        <w:rPr>
          <w:rFonts w:ascii="Arial" w:hAnsi="Arial" w:cs="Arial"/>
          <w:sz w:val="20"/>
          <w:szCs w:val="20"/>
        </w:rPr>
        <w:t>passengers.</w:t>
      </w:r>
    </w:p>
    <w:p w14:paraId="1268395D" w14:textId="77777777" w:rsidR="00F20810" w:rsidRPr="005827DA" w:rsidRDefault="00F20810" w:rsidP="005827DA">
      <w:pPr>
        <w:pStyle w:val="ListParagraph"/>
        <w:numPr>
          <w:ilvl w:val="0"/>
          <w:numId w:val="244"/>
        </w:numPr>
        <w:tabs>
          <w:tab w:val="left" w:pos="90"/>
          <w:tab w:val="left" w:pos="2408"/>
          <w:tab w:val="left" w:pos="2409"/>
        </w:tabs>
        <w:spacing w:line="276" w:lineRule="auto"/>
        <w:ind w:right="68" w:hanging="436"/>
        <w:jc w:val="both"/>
        <w:rPr>
          <w:rFonts w:ascii="Arial" w:hAnsi="Arial" w:cs="Arial"/>
          <w:sz w:val="20"/>
          <w:szCs w:val="20"/>
        </w:rPr>
      </w:pPr>
      <w:r w:rsidRPr="005827DA">
        <w:rPr>
          <w:rFonts w:ascii="Arial" w:hAnsi="Arial" w:cs="Arial"/>
          <w:sz w:val="20"/>
          <w:szCs w:val="20"/>
        </w:rPr>
        <w:t>Exercise:</w:t>
      </w:r>
    </w:p>
    <w:p w14:paraId="436D6D9E" w14:textId="77777777" w:rsidR="00F20810" w:rsidRPr="005827DA" w:rsidRDefault="00F20810" w:rsidP="005827DA">
      <w:pPr>
        <w:pStyle w:val="BodyText"/>
        <w:tabs>
          <w:tab w:val="left" w:pos="90"/>
        </w:tabs>
        <w:spacing w:before="121" w:line="276" w:lineRule="auto"/>
        <w:ind w:left="2408"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student</w:t>
      </w:r>
      <w:r w:rsidRPr="005827DA">
        <w:rPr>
          <w:rFonts w:ascii="Arial" w:hAnsi="Arial" w:cs="Arial"/>
          <w:spacing w:val="-3"/>
          <w:sz w:val="20"/>
          <w:szCs w:val="20"/>
        </w:rPr>
        <w:t xml:space="preserve"> </w:t>
      </w:r>
      <w:r w:rsidRPr="005827DA">
        <w:rPr>
          <w:rFonts w:ascii="Arial" w:hAnsi="Arial" w:cs="Arial"/>
          <w:sz w:val="20"/>
          <w:szCs w:val="20"/>
        </w:rPr>
        <w:t>instructor</w:t>
      </w:r>
      <w:r w:rsidRPr="005827DA">
        <w:rPr>
          <w:rFonts w:ascii="Arial" w:hAnsi="Arial" w:cs="Arial"/>
          <w:spacing w:val="-1"/>
          <w:sz w:val="20"/>
          <w:szCs w:val="20"/>
        </w:rPr>
        <w:t xml:space="preserve"> </w:t>
      </w:r>
      <w:r w:rsidRPr="005827DA">
        <w:rPr>
          <w:rFonts w:ascii="Arial" w:hAnsi="Arial" w:cs="Arial"/>
          <w:sz w:val="20"/>
          <w:szCs w:val="20"/>
        </w:rPr>
        <w:t>has</w:t>
      </w:r>
      <w:r w:rsidRPr="005827DA">
        <w:rPr>
          <w:rFonts w:ascii="Arial" w:hAnsi="Arial" w:cs="Arial"/>
          <w:spacing w:val="-6"/>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demonstrate:</w:t>
      </w:r>
    </w:p>
    <w:p w14:paraId="58130F27" w14:textId="77777777" w:rsidR="00F20810" w:rsidRPr="005827DA" w:rsidRDefault="00F20810" w:rsidP="005827DA">
      <w:pPr>
        <w:pStyle w:val="ListParagraph"/>
        <w:numPr>
          <w:ilvl w:val="1"/>
          <w:numId w:val="244"/>
        </w:numPr>
        <w:tabs>
          <w:tab w:val="left" w:pos="90"/>
          <w:tab w:val="left" w:pos="2975"/>
          <w:tab w:val="left" w:pos="2976"/>
        </w:tabs>
        <w:spacing w:before="117"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3"/>
          <w:sz w:val="20"/>
          <w:szCs w:val="20"/>
        </w:rPr>
        <w:t xml:space="preserve"> </w:t>
      </w:r>
      <w:r w:rsidRPr="005827DA">
        <w:rPr>
          <w:rFonts w:ascii="Arial" w:hAnsi="Arial" w:cs="Arial"/>
          <w:sz w:val="20"/>
          <w:szCs w:val="20"/>
        </w:rPr>
        <w:t>to</w:t>
      </w:r>
      <w:r w:rsidRPr="005827DA">
        <w:rPr>
          <w:rFonts w:ascii="Arial" w:hAnsi="Arial" w:cs="Arial"/>
          <w:spacing w:val="-2"/>
          <w:sz w:val="20"/>
          <w:szCs w:val="20"/>
        </w:rPr>
        <w:t xml:space="preserve"> </w:t>
      </w:r>
      <w:r w:rsidRPr="005827DA">
        <w:rPr>
          <w:rFonts w:ascii="Arial" w:hAnsi="Arial" w:cs="Arial"/>
          <w:sz w:val="20"/>
          <w:szCs w:val="20"/>
        </w:rPr>
        <w:t>advise</w:t>
      </w:r>
      <w:r w:rsidRPr="005827DA">
        <w:rPr>
          <w:rFonts w:ascii="Arial" w:hAnsi="Arial" w:cs="Arial"/>
          <w:spacing w:val="-3"/>
          <w:sz w:val="20"/>
          <w:szCs w:val="20"/>
        </w:rPr>
        <w:t xml:space="preserve"> </w:t>
      </w: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passengers</w:t>
      </w:r>
      <w:r w:rsidRPr="005827DA">
        <w:rPr>
          <w:rFonts w:ascii="Arial" w:hAnsi="Arial" w:cs="Arial"/>
          <w:spacing w:val="-1"/>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crew about</w:t>
      </w:r>
      <w:r w:rsidRPr="005827DA">
        <w:rPr>
          <w:rFonts w:ascii="Arial" w:hAnsi="Arial" w:cs="Arial"/>
          <w:spacing w:val="-3"/>
          <w:sz w:val="20"/>
          <w:szCs w:val="20"/>
        </w:rPr>
        <w:t xml:space="preserve"> </w:t>
      </w: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correct</w:t>
      </w:r>
      <w:r w:rsidRPr="005827DA">
        <w:rPr>
          <w:rFonts w:ascii="Arial" w:hAnsi="Arial" w:cs="Arial"/>
          <w:spacing w:val="-1"/>
          <w:sz w:val="20"/>
          <w:szCs w:val="20"/>
        </w:rPr>
        <w:t xml:space="preserve"> </w:t>
      </w:r>
      <w:r w:rsidRPr="005827DA">
        <w:rPr>
          <w:rFonts w:ascii="Arial" w:hAnsi="Arial" w:cs="Arial"/>
          <w:sz w:val="20"/>
          <w:szCs w:val="20"/>
        </w:rPr>
        <w:t>clothing;</w:t>
      </w:r>
    </w:p>
    <w:p w14:paraId="6E393351" w14:textId="77777777" w:rsidR="00F20810" w:rsidRPr="005827DA" w:rsidRDefault="00F20810" w:rsidP="005827DA">
      <w:pPr>
        <w:pStyle w:val="ListParagraph"/>
        <w:numPr>
          <w:ilvl w:val="1"/>
          <w:numId w:val="244"/>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the briefing</w:t>
      </w:r>
      <w:r w:rsidRPr="005827DA">
        <w:rPr>
          <w:rFonts w:ascii="Arial" w:hAnsi="Arial" w:cs="Arial"/>
          <w:spacing w:val="-3"/>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ground</w:t>
      </w:r>
      <w:r w:rsidRPr="005827DA">
        <w:rPr>
          <w:rFonts w:ascii="Arial" w:hAnsi="Arial" w:cs="Arial"/>
          <w:spacing w:val="-1"/>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retrieve</w:t>
      </w:r>
      <w:r w:rsidRPr="005827DA">
        <w:rPr>
          <w:rFonts w:ascii="Arial" w:hAnsi="Arial" w:cs="Arial"/>
          <w:spacing w:val="-2"/>
          <w:sz w:val="20"/>
          <w:szCs w:val="20"/>
        </w:rPr>
        <w:t xml:space="preserve"> </w:t>
      </w:r>
      <w:r w:rsidRPr="005827DA">
        <w:rPr>
          <w:rFonts w:ascii="Arial" w:hAnsi="Arial" w:cs="Arial"/>
          <w:sz w:val="20"/>
          <w:szCs w:val="20"/>
        </w:rPr>
        <w:t>crew;</w:t>
      </w:r>
    </w:p>
    <w:p w14:paraId="237296B3" w14:textId="77777777" w:rsidR="00F20810" w:rsidRPr="005827DA" w:rsidRDefault="00F20810" w:rsidP="005827DA">
      <w:pPr>
        <w:pStyle w:val="ListParagraph"/>
        <w:numPr>
          <w:ilvl w:val="1"/>
          <w:numId w:val="244"/>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briefing</w:t>
      </w:r>
      <w:r w:rsidRPr="005827DA">
        <w:rPr>
          <w:rFonts w:ascii="Arial" w:hAnsi="Arial" w:cs="Arial"/>
          <w:spacing w:val="-3"/>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passengers;</w:t>
      </w:r>
    </w:p>
    <w:p w14:paraId="7E0C16A2" w14:textId="77777777" w:rsidR="00F20810" w:rsidRPr="005827DA" w:rsidRDefault="00F20810" w:rsidP="005827DA">
      <w:pPr>
        <w:pStyle w:val="ListParagraph"/>
        <w:numPr>
          <w:ilvl w:val="1"/>
          <w:numId w:val="244"/>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23"/>
          <w:sz w:val="20"/>
          <w:szCs w:val="20"/>
        </w:rPr>
        <w:t xml:space="preserve"> </w:t>
      </w:r>
      <w:r w:rsidRPr="005827DA">
        <w:rPr>
          <w:rFonts w:ascii="Arial" w:hAnsi="Arial" w:cs="Arial"/>
          <w:sz w:val="20"/>
          <w:szCs w:val="20"/>
        </w:rPr>
        <w:t>to</w:t>
      </w:r>
      <w:r w:rsidRPr="005827DA">
        <w:rPr>
          <w:rFonts w:ascii="Arial" w:hAnsi="Arial" w:cs="Arial"/>
          <w:spacing w:val="23"/>
          <w:sz w:val="20"/>
          <w:szCs w:val="20"/>
        </w:rPr>
        <w:t xml:space="preserve"> </w:t>
      </w:r>
      <w:r w:rsidRPr="005827DA">
        <w:rPr>
          <w:rFonts w:ascii="Arial" w:hAnsi="Arial" w:cs="Arial"/>
          <w:sz w:val="20"/>
          <w:szCs w:val="20"/>
        </w:rPr>
        <w:t>familiarise</w:t>
      </w:r>
      <w:r w:rsidRPr="005827DA">
        <w:rPr>
          <w:rFonts w:ascii="Arial" w:hAnsi="Arial" w:cs="Arial"/>
          <w:spacing w:val="22"/>
          <w:sz w:val="20"/>
          <w:szCs w:val="20"/>
        </w:rPr>
        <w:t xml:space="preserve"> </w:t>
      </w:r>
      <w:r w:rsidRPr="005827DA">
        <w:rPr>
          <w:rFonts w:ascii="Arial" w:hAnsi="Arial" w:cs="Arial"/>
          <w:sz w:val="20"/>
          <w:szCs w:val="20"/>
        </w:rPr>
        <w:t>the</w:t>
      </w:r>
      <w:r w:rsidRPr="005827DA">
        <w:rPr>
          <w:rFonts w:ascii="Arial" w:hAnsi="Arial" w:cs="Arial"/>
          <w:spacing w:val="22"/>
          <w:sz w:val="20"/>
          <w:szCs w:val="20"/>
        </w:rPr>
        <w:t xml:space="preserve"> </w:t>
      </w:r>
      <w:r w:rsidRPr="005827DA">
        <w:rPr>
          <w:rFonts w:ascii="Arial" w:hAnsi="Arial" w:cs="Arial"/>
          <w:sz w:val="20"/>
          <w:szCs w:val="20"/>
        </w:rPr>
        <w:t>student</w:t>
      </w:r>
      <w:r w:rsidRPr="005827DA">
        <w:rPr>
          <w:rFonts w:ascii="Arial" w:hAnsi="Arial" w:cs="Arial"/>
          <w:spacing w:val="23"/>
          <w:sz w:val="20"/>
          <w:szCs w:val="20"/>
        </w:rPr>
        <w:t xml:space="preserve"> </w:t>
      </w:r>
      <w:r w:rsidRPr="005827DA">
        <w:rPr>
          <w:rFonts w:ascii="Arial" w:hAnsi="Arial" w:cs="Arial"/>
          <w:sz w:val="20"/>
          <w:szCs w:val="20"/>
        </w:rPr>
        <w:t>pilot</w:t>
      </w:r>
      <w:r w:rsidRPr="005827DA">
        <w:rPr>
          <w:rFonts w:ascii="Arial" w:hAnsi="Arial" w:cs="Arial"/>
          <w:spacing w:val="23"/>
          <w:sz w:val="20"/>
          <w:szCs w:val="20"/>
        </w:rPr>
        <w:t xml:space="preserve"> </w:t>
      </w:r>
      <w:r w:rsidRPr="005827DA">
        <w:rPr>
          <w:rFonts w:ascii="Arial" w:hAnsi="Arial" w:cs="Arial"/>
          <w:sz w:val="20"/>
          <w:szCs w:val="20"/>
        </w:rPr>
        <w:t>with</w:t>
      </w:r>
      <w:r w:rsidRPr="005827DA">
        <w:rPr>
          <w:rFonts w:ascii="Arial" w:hAnsi="Arial" w:cs="Arial"/>
          <w:spacing w:val="22"/>
          <w:sz w:val="20"/>
          <w:szCs w:val="20"/>
        </w:rPr>
        <w:t xml:space="preserve"> </w:t>
      </w:r>
      <w:r w:rsidRPr="005827DA">
        <w:rPr>
          <w:rFonts w:ascii="Arial" w:hAnsi="Arial" w:cs="Arial"/>
          <w:sz w:val="20"/>
          <w:szCs w:val="20"/>
        </w:rPr>
        <w:t>the</w:t>
      </w:r>
      <w:r w:rsidRPr="005827DA">
        <w:rPr>
          <w:rFonts w:ascii="Arial" w:hAnsi="Arial" w:cs="Arial"/>
          <w:spacing w:val="23"/>
          <w:sz w:val="20"/>
          <w:szCs w:val="20"/>
        </w:rPr>
        <w:t xml:space="preserve"> </w:t>
      </w:r>
      <w:r w:rsidRPr="005827DA">
        <w:rPr>
          <w:rFonts w:ascii="Arial" w:hAnsi="Arial" w:cs="Arial"/>
          <w:sz w:val="20"/>
          <w:szCs w:val="20"/>
        </w:rPr>
        <w:t>different</w:t>
      </w:r>
      <w:r w:rsidRPr="005827DA">
        <w:rPr>
          <w:rFonts w:ascii="Arial" w:hAnsi="Arial" w:cs="Arial"/>
          <w:spacing w:val="23"/>
          <w:sz w:val="20"/>
          <w:szCs w:val="20"/>
        </w:rPr>
        <w:t xml:space="preserve"> </w:t>
      </w:r>
      <w:r w:rsidRPr="005827DA">
        <w:rPr>
          <w:rFonts w:ascii="Arial" w:hAnsi="Arial" w:cs="Arial"/>
          <w:sz w:val="20"/>
          <w:szCs w:val="20"/>
        </w:rPr>
        <w:t>type</w:t>
      </w:r>
      <w:r w:rsidRPr="005827DA">
        <w:rPr>
          <w:rFonts w:ascii="Arial" w:hAnsi="Arial" w:cs="Arial"/>
          <w:spacing w:val="23"/>
          <w:sz w:val="20"/>
          <w:szCs w:val="20"/>
        </w:rPr>
        <w:t xml:space="preserve"> </w:t>
      </w:r>
      <w:r w:rsidRPr="005827DA">
        <w:rPr>
          <w:rFonts w:ascii="Arial" w:hAnsi="Arial" w:cs="Arial"/>
          <w:sz w:val="20"/>
          <w:szCs w:val="20"/>
        </w:rPr>
        <w:t>of</w:t>
      </w:r>
      <w:r w:rsidRPr="005827DA">
        <w:rPr>
          <w:rFonts w:ascii="Arial" w:hAnsi="Arial" w:cs="Arial"/>
          <w:spacing w:val="-47"/>
          <w:sz w:val="20"/>
          <w:szCs w:val="20"/>
        </w:rPr>
        <w:t xml:space="preserve"> </w:t>
      </w:r>
      <w:r w:rsidRPr="005827DA">
        <w:rPr>
          <w:rFonts w:ascii="Arial" w:hAnsi="Arial" w:cs="Arial"/>
          <w:sz w:val="20"/>
          <w:szCs w:val="20"/>
        </w:rPr>
        <w:t>briefings; and</w:t>
      </w:r>
    </w:p>
    <w:p w14:paraId="30CD3B3D" w14:textId="77777777" w:rsidR="00F20810" w:rsidRPr="005827DA" w:rsidRDefault="00F20810" w:rsidP="005827DA">
      <w:pPr>
        <w:pStyle w:val="ListParagraph"/>
        <w:numPr>
          <w:ilvl w:val="1"/>
          <w:numId w:val="244"/>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2"/>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analyse</w:t>
      </w:r>
      <w:r w:rsidRPr="005827DA">
        <w:rPr>
          <w:rFonts w:ascii="Arial" w:hAnsi="Arial" w:cs="Arial"/>
          <w:spacing w:val="-2"/>
          <w:sz w:val="20"/>
          <w:szCs w:val="20"/>
        </w:rPr>
        <w:t xml:space="preserve"> </w:t>
      </w:r>
      <w:r w:rsidRPr="005827DA">
        <w:rPr>
          <w:rFonts w:ascii="Arial" w:hAnsi="Arial" w:cs="Arial"/>
          <w:sz w:val="20"/>
          <w:szCs w:val="20"/>
        </w:rPr>
        <w:t>and correct</w:t>
      </w:r>
      <w:r w:rsidRPr="005827DA">
        <w:rPr>
          <w:rFonts w:ascii="Arial" w:hAnsi="Arial" w:cs="Arial"/>
          <w:spacing w:val="-2"/>
          <w:sz w:val="20"/>
          <w:szCs w:val="20"/>
        </w:rPr>
        <w:t xml:space="preserve"> </w:t>
      </w:r>
      <w:r w:rsidRPr="005827DA">
        <w:rPr>
          <w:rFonts w:ascii="Arial" w:hAnsi="Arial" w:cs="Arial"/>
          <w:sz w:val="20"/>
          <w:szCs w:val="20"/>
        </w:rPr>
        <w:t>errors</w:t>
      </w:r>
      <w:r w:rsidRPr="005827DA">
        <w:rPr>
          <w:rFonts w:ascii="Arial" w:hAnsi="Arial" w:cs="Arial"/>
          <w:spacing w:val="-2"/>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student</w:t>
      </w:r>
      <w:r w:rsidRPr="005827DA">
        <w:rPr>
          <w:rFonts w:ascii="Arial" w:hAnsi="Arial" w:cs="Arial"/>
          <w:spacing w:val="-2"/>
          <w:sz w:val="20"/>
          <w:szCs w:val="20"/>
        </w:rPr>
        <w:t xml:space="preserve"> </w:t>
      </w:r>
      <w:r w:rsidRPr="005827DA">
        <w:rPr>
          <w:rFonts w:ascii="Arial" w:hAnsi="Arial" w:cs="Arial"/>
          <w:sz w:val="20"/>
          <w:szCs w:val="20"/>
        </w:rPr>
        <w:t>pilot.</w:t>
      </w:r>
    </w:p>
    <w:p w14:paraId="1064EB31" w14:textId="1C2A6C66" w:rsidR="00F20810" w:rsidRPr="005827DA" w:rsidRDefault="00F20810" w:rsidP="005827DA">
      <w:pPr>
        <w:pStyle w:val="ListParagraph"/>
        <w:numPr>
          <w:ilvl w:val="0"/>
          <w:numId w:val="244"/>
        </w:numPr>
        <w:tabs>
          <w:tab w:val="left" w:pos="90"/>
          <w:tab w:val="left" w:pos="2408"/>
          <w:tab w:val="left" w:pos="2409"/>
        </w:tabs>
        <w:spacing w:line="276" w:lineRule="auto"/>
        <w:ind w:right="68" w:hanging="436"/>
        <w:jc w:val="both"/>
        <w:rPr>
          <w:rFonts w:ascii="Arial" w:hAnsi="Arial" w:cs="Arial"/>
          <w:sz w:val="20"/>
          <w:szCs w:val="20"/>
        </w:rPr>
      </w:pPr>
      <w:r w:rsidRPr="005827DA">
        <w:rPr>
          <w:rFonts w:ascii="Arial" w:hAnsi="Arial" w:cs="Arial"/>
          <w:sz w:val="20"/>
          <w:szCs w:val="20"/>
        </w:rPr>
        <w:t>Debriefing</w:t>
      </w:r>
    </w:p>
    <w:p w14:paraId="0A9F7A51" w14:textId="77777777" w:rsidR="00F20810" w:rsidRPr="005827DA" w:rsidRDefault="00F20810" w:rsidP="005827DA">
      <w:pPr>
        <w:tabs>
          <w:tab w:val="left" w:pos="90"/>
        </w:tabs>
        <w:spacing w:line="276" w:lineRule="auto"/>
        <w:ind w:right="68" w:hanging="436"/>
        <w:jc w:val="both"/>
        <w:rPr>
          <w:rFonts w:ascii="Arial" w:eastAsia="Times New Roman" w:hAnsi="Arial" w:cs="Times New Roman"/>
          <w:b/>
          <w:bCs/>
          <w:sz w:val="20"/>
          <w:szCs w:val="20"/>
        </w:rPr>
      </w:pPr>
      <w:r w:rsidRPr="005827DA">
        <w:rPr>
          <w:rFonts w:ascii="Arial" w:eastAsia="Times New Roman" w:hAnsi="Arial" w:cs="Times New Roman"/>
          <w:b/>
          <w:bCs/>
          <w:sz w:val="20"/>
          <w:szCs w:val="20"/>
        </w:rPr>
        <w:t>Exercise 4: Assembly and layout</w:t>
      </w:r>
    </w:p>
    <w:p w14:paraId="23241BCB" w14:textId="77777777" w:rsidR="00F20810" w:rsidRPr="005827DA" w:rsidRDefault="00F20810" w:rsidP="005827DA">
      <w:pPr>
        <w:pStyle w:val="ListParagraph"/>
        <w:numPr>
          <w:ilvl w:val="0"/>
          <w:numId w:val="243"/>
        </w:numPr>
        <w:tabs>
          <w:tab w:val="left" w:pos="90"/>
          <w:tab w:val="left" w:pos="2409"/>
        </w:tabs>
        <w:spacing w:line="276" w:lineRule="auto"/>
        <w:ind w:right="68" w:hanging="436"/>
        <w:jc w:val="both"/>
        <w:rPr>
          <w:rFonts w:ascii="Arial" w:hAnsi="Arial" w:cs="Arial"/>
          <w:sz w:val="20"/>
          <w:szCs w:val="20"/>
        </w:rPr>
      </w:pPr>
      <w:r w:rsidRPr="005827DA">
        <w:rPr>
          <w:rFonts w:ascii="Arial" w:hAnsi="Arial" w:cs="Arial"/>
          <w:sz w:val="20"/>
          <w:szCs w:val="20"/>
        </w:rPr>
        <w:t>Objective</w:t>
      </w:r>
    </w:p>
    <w:p w14:paraId="3B4AEE39" w14:textId="77777777" w:rsidR="00F20810" w:rsidRPr="005827DA" w:rsidRDefault="00F20810" w:rsidP="005827DA">
      <w:pPr>
        <w:pStyle w:val="BodyText"/>
        <w:tabs>
          <w:tab w:val="left" w:pos="90"/>
        </w:tabs>
        <w:spacing w:line="276" w:lineRule="auto"/>
        <w:ind w:left="2408" w:right="68" w:hanging="436"/>
        <w:jc w:val="both"/>
        <w:rPr>
          <w:rFonts w:ascii="Arial" w:hAnsi="Arial" w:cs="Arial"/>
          <w:sz w:val="20"/>
          <w:szCs w:val="20"/>
        </w:rPr>
      </w:pPr>
      <w:r w:rsidRPr="005827DA">
        <w:rPr>
          <w:rFonts w:ascii="Arial" w:hAnsi="Arial" w:cs="Arial"/>
          <w:sz w:val="20"/>
          <w:szCs w:val="20"/>
        </w:rPr>
        <w:t>To advise the student instructor on how to familiarise the student pilot on</w:t>
      </w:r>
      <w:r w:rsidRPr="005827DA">
        <w:rPr>
          <w:rFonts w:ascii="Arial" w:hAnsi="Arial" w:cs="Arial"/>
          <w:spacing w:val="1"/>
          <w:sz w:val="20"/>
          <w:szCs w:val="20"/>
        </w:rPr>
        <w:t xml:space="preserve"> </w:t>
      </w:r>
      <w:r w:rsidRPr="005827DA">
        <w:rPr>
          <w:rFonts w:ascii="Arial" w:hAnsi="Arial" w:cs="Arial"/>
          <w:sz w:val="20"/>
          <w:szCs w:val="20"/>
        </w:rPr>
        <w:t>crowd</w:t>
      </w:r>
      <w:r w:rsidRPr="005827DA">
        <w:rPr>
          <w:rFonts w:ascii="Arial" w:hAnsi="Arial" w:cs="Arial"/>
          <w:spacing w:val="1"/>
          <w:sz w:val="20"/>
          <w:szCs w:val="20"/>
        </w:rPr>
        <w:t xml:space="preserve"> </w:t>
      </w:r>
      <w:r w:rsidRPr="005827DA">
        <w:rPr>
          <w:rFonts w:ascii="Arial" w:hAnsi="Arial" w:cs="Arial"/>
          <w:sz w:val="20"/>
          <w:szCs w:val="20"/>
        </w:rPr>
        <w:t>control</w:t>
      </w:r>
      <w:r w:rsidRPr="005827DA">
        <w:rPr>
          <w:rFonts w:ascii="Arial" w:hAnsi="Arial" w:cs="Arial"/>
          <w:spacing w:val="1"/>
          <w:sz w:val="20"/>
          <w:szCs w:val="20"/>
        </w:rPr>
        <w:t xml:space="preserve"> </w:t>
      </w:r>
      <w:r w:rsidRPr="005827DA">
        <w:rPr>
          <w:rFonts w:ascii="Arial" w:hAnsi="Arial" w:cs="Arial"/>
          <w:sz w:val="20"/>
          <w:szCs w:val="20"/>
        </w:rPr>
        <w:t>and</w:t>
      </w:r>
      <w:r w:rsidRPr="005827DA">
        <w:rPr>
          <w:rFonts w:ascii="Arial" w:hAnsi="Arial" w:cs="Arial"/>
          <w:spacing w:val="1"/>
          <w:sz w:val="20"/>
          <w:szCs w:val="20"/>
        </w:rPr>
        <w:t xml:space="preserve"> </w:t>
      </w:r>
      <w:r w:rsidRPr="005827DA">
        <w:rPr>
          <w:rFonts w:ascii="Arial" w:hAnsi="Arial" w:cs="Arial"/>
          <w:sz w:val="20"/>
          <w:szCs w:val="20"/>
        </w:rPr>
        <w:t>how</w:t>
      </w:r>
      <w:r w:rsidRPr="005827DA">
        <w:rPr>
          <w:rFonts w:ascii="Arial" w:hAnsi="Arial" w:cs="Arial"/>
          <w:spacing w:val="1"/>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perform</w:t>
      </w:r>
      <w:r w:rsidRPr="005827DA">
        <w:rPr>
          <w:rFonts w:ascii="Arial" w:hAnsi="Arial" w:cs="Arial"/>
          <w:spacing w:val="1"/>
          <w:sz w:val="20"/>
          <w:szCs w:val="20"/>
        </w:rPr>
        <w:t xml:space="preserve"> </w:t>
      </w: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securing</w:t>
      </w:r>
      <w:r w:rsidRPr="005827DA">
        <w:rPr>
          <w:rFonts w:ascii="Arial" w:hAnsi="Arial" w:cs="Arial"/>
          <w:spacing w:val="1"/>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launch</w:t>
      </w:r>
      <w:r w:rsidRPr="005827DA">
        <w:rPr>
          <w:rFonts w:ascii="Arial" w:hAnsi="Arial" w:cs="Arial"/>
          <w:spacing w:val="1"/>
          <w:sz w:val="20"/>
          <w:szCs w:val="20"/>
        </w:rPr>
        <w:t xml:space="preserve"> </w:t>
      </w:r>
      <w:r w:rsidRPr="005827DA">
        <w:rPr>
          <w:rFonts w:ascii="Arial" w:hAnsi="Arial" w:cs="Arial"/>
          <w:sz w:val="20"/>
          <w:szCs w:val="20"/>
        </w:rPr>
        <w:t>site.</w:t>
      </w:r>
      <w:r w:rsidRPr="005827DA">
        <w:rPr>
          <w:rFonts w:ascii="Arial" w:hAnsi="Arial" w:cs="Arial"/>
          <w:spacing w:val="1"/>
          <w:sz w:val="20"/>
          <w:szCs w:val="20"/>
        </w:rPr>
        <w:t xml:space="preserve"> </w:t>
      </w:r>
      <w:r w:rsidRPr="005827DA">
        <w:rPr>
          <w:rFonts w:ascii="Arial" w:hAnsi="Arial" w:cs="Arial"/>
          <w:sz w:val="20"/>
          <w:szCs w:val="20"/>
        </w:rPr>
        <w:t>Furthermore, the student instructor has to demonstrate how to familiarise</w:t>
      </w:r>
      <w:r w:rsidRPr="005827DA">
        <w:rPr>
          <w:rFonts w:ascii="Arial" w:hAnsi="Arial" w:cs="Arial"/>
          <w:spacing w:val="1"/>
          <w:sz w:val="20"/>
          <w:szCs w:val="20"/>
        </w:rPr>
        <w:t xml:space="preserve"> </w:t>
      </w:r>
      <w:r w:rsidRPr="005827DA">
        <w:rPr>
          <w:rFonts w:ascii="Arial" w:hAnsi="Arial" w:cs="Arial"/>
          <w:sz w:val="20"/>
          <w:szCs w:val="20"/>
        </w:rPr>
        <w:t>the</w:t>
      </w:r>
      <w:r w:rsidRPr="005827DA">
        <w:rPr>
          <w:rFonts w:ascii="Arial" w:hAnsi="Arial" w:cs="Arial"/>
          <w:spacing w:val="-6"/>
          <w:sz w:val="20"/>
          <w:szCs w:val="20"/>
        </w:rPr>
        <w:t xml:space="preserve"> </w:t>
      </w:r>
      <w:r w:rsidRPr="005827DA">
        <w:rPr>
          <w:rFonts w:ascii="Arial" w:hAnsi="Arial" w:cs="Arial"/>
          <w:sz w:val="20"/>
          <w:szCs w:val="20"/>
        </w:rPr>
        <w:t>student</w:t>
      </w:r>
      <w:r w:rsidRPr="005827DA">
        <w:rPr>
          <w:rFonts w:ascii="Arial" w:hAnsi="Arial" w:cs="Arial"/>
          <w:spacing w:val="-8"/>
          <w:sz w:val="20"/>
          <w:szCs w:val="20"/>
        </w:rPr>
        <w:t xml:space="preserve"> </w:t>
      </w:r>
      <w:r w:rsidRPr="005827DA">
        <w:rPr>
          <w:rFonts w:ascii="Arial" w:hAnsi="Arial" w:cs="Arial"/>
          <w:sz w:val="20"/>
          <w:szCs w:val="20"/>
        </w:rPr>
        <w:t>pilot</w:t>
      </w:r>
      <w:r w:rsidRPr="005827DA">
        <w:rPr>
          <w:rFonts w:ascii="Arial" w:hAnsi="Arial" w:cs="Arial"/>
          <w:spacing w:val="-7"/>
          <w:sz w:val="20"/>
          <w:szCs w:val="20"/>
        </w:rPr>
        <w:t xml:space="preserve"> </w:t>
      </w:r>
      <w:r w:rsidRPr="005827DA">
        <w:rPr>
          <w:rFonts w:ascii="Arial" w:hAnsi="Arial" w:cs="Arial"/>
          <w:sz w:val="20"/>
          <w:szCs w:val="20"/>
        </w:rPr>
        <w:t>with</w:t>
      </w:r>
      <w:r w:rsidRPr="005827DA">
        <w:rPr>
          <w:rFonts w:ascii="Arial" w:hAnsi="Arial" w:cs="Arial"/>
          <w:spacing w:val="-8"/>
          <w:sz w:val="20"/>
          <w:szCs w:val="20"/>
        </w:rPr>
        <w:t xml:space="preserve"> </w:t>
      </w:r>
      <w:r w:rsidRPr="005827DA">
        <w:rPr>
          <w:rFonts w:ascii="Arial" w:hAnsi="Arial" w:cs="Arial"/>
          <w:sz w:val="20"/>
          <w:szCs w:val="20"/>
        </w:rPr>
        <w:t>the</w:t>
      </w:r>
      <w:r w:rsidRPr="005827DA">
        <w:rPr>
          <w:rFonts w:ascii="Arial" w:hAnsi="Arial" w:cs="Arial"/>
          <w:spacing w:val="-8"/>
          <w:sz w:val="20"/>
          <w:szCs w:val="20"/>
        </w:rPr>
        <w:t xml:space="preserve"> </w:t>
      </w:r>
      <w:r w:rsidRPr="005827DA">
        <w:rPr>
          <w:rFonts w:ascii="Arial" w:hAnsi="Arial" w:cs="Arial"/>
          <w:sz w:val="20"/>
          <w:szCs w:val="20"/>
        </w:rPr>
        <w:t>correct</w:t>
      </w:r>
      <w:r w:rsidRPr="005827DA">
        <w:rPr>
          <w:rFonts w:ascii="Arial" w:hAnsi="Arial" w:cs="Arial"/>
          <w:spacing w:val="-4"/>
          <w:sz w:val="20"/>
          <w:szCs w:val="20"/>
        </w:rPr>
        <w:t xml:space="preserve"> </w:t>
      </w:r>
      <w:r w:rsidRPr="005827DA">
        <w:rPr>
          <w:rFonts w:ascii="Arial" w:hAnsi="Arial" w:cs="Arial"/>
          <w:sz w:val="20"/>
          <w:szCs w:val="20"/>
        </w:rPr>
        <w:t>rigging</w:t>
      </w:r>
      <w:r w:rsidRPr="005827DA">
        <w:rPr>
          <w:rFonts w:ascii="Arial" w:hAnsi="Arial" w:cs="Arial"/>
          <w:spacing w:val="-9"/>
          <w:sz w:val="20"/>
          <w:szCs w:val="20"/>
        </w:rPr>
        <w:t xml:space="preserve"> </w:t>
      </w:r>
      <w:r w:rsidRPr="005827DA">
        <w:rPr>
          <w:rFonts w:ascii="Arial" w:hAnsi="Arial" w:cs="Arial"/>
          <w:sz w:val="20"/>
          <w:szCs w:val="20"/>
        </w:rPr>
        <w:t>of</w:t>
      </w:r>
      <w:r w:rsidRPr="005827DA">
        <w:rPr>
          <w:rFonts w:ascii="Arial" w:hAnsi="Arial" w:cs="Arial"/>
          <w:spacing w:val="-8"/>
          <w:sz w:val="20"/>
          <w:szCs w:val="20"/>
        </w:rPr>
        <w:t xml:space="preserve"> </w:t>
      </w:r>
      <w:r w:rsidRPr="005827DA">
        <w:rPr>
          <w:rFonts w:ascii="Arial" w:hAnsi="Arial" w:cs="Arial"/>
          <w:sz w:val="20"/>
          <w:szCs w:val="20"/>
        </w:rPr>
        <w:t>envelope</w:t>
      </w:r>
      <w:r w:rsidRPr="005827DA">
        <w:rPr>
          <w:rFonts w:ascii="Arial" w:hAnsi="Arial" w:cs="Arial"/>
          <w:spacing w:val="-7"/>
          <w:sz w:val="20"/>
          <w:szCs w:val="20"/>
        </w:rPr>
        <w:t xml:space="preserve"> </w:t>
      </w:r>
      <w:r w:rsidRPr="005827DA">
        <w:rPr>
          <w:rFonts w:ascii="Arial" w:hAnsi="Arial" w:cs="Arial"/>
          <w:sz w:val="20"/>
          <w:szCs w:val="20"/>
        </w:rPr>
        <w:t>and</w:t>
      </w:r>
      <w:r w:rsidRPr="005827DA">
        <w:rPr>
          <w:rFonts w:ascii="Arial" w:hAnsi="Arial" w:cs="Arial"/>
          <w:spacing w:val="-6"/>
          <w:sz w:val="20"/>
          <w:szCs w:val="20"/>
        </w:rPr>
        <w:t xml:space="preserve"> </w:t>
      </w:r>
      <w:r w:rsidRPr="005827DA">
        <w:rPr>
          <w:rFonts w:ascii="Arial" w:hAnsi="Arial" w:cs="Arial"/>
          <w:sz w:val="20"/>
          <w:szCs w:val="20"/>
        </w:rPr>
        <w:t>basket,</w:t>
      </w:r>
      <w:r w:rsidRPr="005827DA">
        <w:rPr>
          <w:rFonts w:ascii="Arial" w:hAnsi="Arial" w:cs="Arial"/>
          <w:spacing w:val="-8"/>
          <w:sz w:val="20"/>
          <w:szCs w:val="20"/>
        </w:rPr>
        <w:t xml:space="preserve"> </w:t>
      </w:r>
      <w:r w:rsidRPr="005827DA">
        <w:rPr>
          <w:rFonts w:ascii="Arial" w:hAnsi="Arial" w:cs="Arial"/>
          <w:sz w:val="20"/>
          <w:szCs w:val="20"/>
        </w:rPr>
        <w:t>the</w:t>
      </w:r>
      <w:r w:rsidRPr="005827DA">
        <w:rPr>
          <w:rFonts w:ascii="Arial" w:hAnsi="Arial" w:cs="Arial"/>
          <w:spacing w:val="-7"/>
          <w:sz w:val="20"/>
          <w:szCs w:val="20"/>
        </w:rPr>
        <w:t xml:space="preserve"> </w:t>
      </w:r>
      <w:r w:rsidRPr="005827DA">
        <w:rPr>
          <w:rFonts w:ascii="Arial" w:hAnsi="Arial" w:cs="Arial"/>
          <w:sz w:val="20"/>
          <w:szCs w:val="20"/>
        </w:rPr>
        <w:t>burner</w:t>
      </w:r>
      <w:r w:rsidRPr="005827DA">
        <w:rPr>
          <w:rFonts w:ascii="Arial" w:hAnsi="Arial" w:cs="Arial"/>
          <w:spacing w:val="-48"/>
          <w:sz w:val="20"/>
          <w:szCs w:val="20"/>
        </w:rPr>
        <w:t xml:space="preserve"> </w:t>
      </w:r>
      <w:r w:rsidRPr="005827DA">
        <w:rPr>
          <w:rFonts w:ascii="Arial" w:hAnsi="Arial" w:cs="Arial"/>
          <w:sz w:val="20"/>
          <w:szCs w:val="20"/>
        </w:rPr>
        <w:t>test procedure (hot-air balloons) and the pre-inflation checks. Finally, the</w:t>
      </w:r>
      <w:r w:rsidRPr="005827DA">
        <w:rPr>
          <w:rFonts w:ascii="Arial" w:hAnsi="Arial" w:cs="Arial"/>
          <w:spacing w:val="1"/>
          <w:sz w:val="20"/>
          <w:szCs w:val="20"/>
        </w:rPr>
        <w:t xml:space="preserve"> </w:t>
      </w:r>
      <w:r w:rsidRPr="005827DA">
        <w:rPr>
          <w:rFonts w:ascii="Arial" w:hAnsi="Arial" w:cs="Arial"/>
          <w:sz w:val="20"/>
          <w:szCs w:val="20"/>
        </w:rPr>
        <w:t>student instructor should learn how to identify student errors and how to</w:t>
      </w:r>
      <w:r w:rsidRPr="005827DA">
        <w:rPr>
          <w:rFonts w:ascii="Arial" w:hAnsi="Arial" w:cs="Arial"/>
          <w:spacing w:val="1"/>
          <w:sz w:val="20"/>
          <w:szCs w:val="20"/>
        </w:rPr>
        <w:t xml:space="preserve"> </w:t>
      </w:r>
      <w:r w:rsidRPr="005827DA">
        <w:rPr>
          <w:rFonts w:ascii="Arial" w:hAnsi="Arial" w:cs="Arial"/>
          <w:sz w:val="20"/>
          <w:szCs w:val="20"/>
        </w:rPr>
        <w:t>correct them</w:t>
      </w:r>
      <w:r w:rsidRPr="005827DA">
        <w:rPr>
          <w:rFonts w:ascii="Arial" w:hAnsi="Arial" w:cs="Arial"/>
          <w:spacing w:val="-1"/>
          <w:sz w:val="20"/>
          <w:szCs w:val="20"/>
        </w:rPr>
        <w:t xml:space="preserve"> </w:t>
      </w:r>
      <w:r w:rsidRPr="005827DA">
        <w:rPr>
          <w:rFonts w:ascii="Arial" w:hAnsi="Arial" w:cs="Arial"/>
          <w:sz w:val="20"/>
          <w:szCs w:val="20"/>
        </w:rPr>
        <w:t>properly.</w:t>
      </w:r>
    </w:p>
    <w:p w14:paraId="44A1D261" w14:textId="77777777" w:rsidR="00F20810" w:rsidRPr="005827DA" w:rsidRDefault="00F20810" w:rsidP="005827DA">
      <w:pPr>
        <w:pStyle w:val="ListParagraph"/>
        <w:numPr>
          <w:ilvl w:val="0"/>
          <w:numId w:val="243"/>
        </w:numPr>
        <w:tabs>
          <w:tab w:val="left" w:pos="90"/>
          <w:tab w:val="left" w:pos="2409"/>
        </w:tabs>
        <w:spacing w:before="123" w:line="276" w:lineRule="auto"/>
        <w:ind w:right="68" w:hanging="436"/>
        <w:jc w:val="both"/>
        <w:rPr>
          <w:rFonts w:ascii="Arial" w:hAnsi="Arial" w:cs="Arial"/>
          <w:sz w:val="20"/>
          <w:szCs w:val="20"/>
        </w:rPr>
      </w:pPr>
      <w:r w:rsidRPr="005827DA">
        <w:rPr>
          <w:rFonts w:ascii="Arial" w:hAnsi="Arial" w:cs="Arial"/>
          <w:sz w:val="20"/>
          <w:szCs w:val="20"/>
        </w:rPr>
        <w:t>Briefing</w:t>
      </w:r>
    </w:p>
    <w:p w14:paraId="0F10ACA2" w14:textId="77777777" w:rsidR="00F20810" w:rsidRPr="005827DA" w:rsidRDefault="00F20810" w:rsidP="005827DA">
      <w:pPr>
        <w:pStyle w:val="BodyText"/>
        <w:tabs>
          <w:tab w:val="left" w:pos="90"/>
        </w:tabs>
        <w:spacing w:before="118" w:line="276" w:lineRule="auto"/>
        <w:ind w:left="2408"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student</w:t>
      </w:r>
      <w:r w:rsidRPr="005827DA">
        <w:rPr>
          <w:rFonts w:ascii="Arial" w:hAnsi="Arial" w:cs="Arial"/>
          <w:spacing w:val="-2"/>
          <w:sz w:val="20"/>
          <w:szCs w:val="20"/>
        </w:rPr>
        <w:t xml:space="preserve"> </w:t>
      </w:r>
      <w:r w:rsidRPr="005827DA">
        <w:rPr>
          <w:rFonts w:ascii="Arial" w:hAnsi="Arial" w:cs="Arial"/>
          <w:sz w:val="20"/>
          <w:szCs w:val="20"/>
        </w:rPr>
        <w:t>instructor has</w:t>
      </w:r>
      <w:r w:rsidRPr="005827DA">
        <w:rPr>
          <w:rFonts w:ascii="Arial" w:hAnsi="Arial" w:cs="Arial"/>
          <w:spacing w:val="-6"/>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explain:</w:t>
      </w:r>
    </w:p>
    <w:p w14:paraId="0DBB6AB8" w14:textId="77777777" w:rsidR="00F20810" w:rsidRPr="005827DA" w:rsidRDefault="00F20810" w:rsidP="005827DA">
      <w:pPr>
        <w:pStyle w:val="ListParagraph"/>
        <w:numPr>
          <w:ilvl w:val="1"/>
          <w:numId w:val="243"/>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 crowd</w:t>
      </w:r>
      <w:r w:rsidRPr="005827DA">
        <w:rPr>
          <w:rFonts w:ascii="Arial" w:hAnsi="Arial" w:cs="Arial"/>
          <w:spacing w:val="-2"/>
          <w:sz w:val="20"/>
          <w:szCs w:val="20"/>
        </w:rPr>
        <w:t xml:space="preserve"> </w:t>
      </w:r>
      <w:r w:rsidRPr="005827DA">
        <w:rPr>
          <w:rFonts w:ascii="Arial" w:hAnsi="Arial" w:cs="Arial"/>
          <w:sz w:val="20"/>
          <w:szCs w:val="20"/>
        </w:rPr>
        <w:t>control;</w:t>
      </w:r>
    </w:p>
    <w:p w14:paraId="69F9BA3B" w14:textId="77777777" w:rsidR="00F20810" w:rsidRPr="005827DA" w:rsidRDefault="00F20810" w:rsidP="005827DA">
      <w:pPr>
        <w:pStyle w:val="ListParagraph"/>
        <w:numPr>
          <w:ilvl w:val="1"/>
          <w:numId w:val="243"/>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securing</w:t>
      </w:r>
      <w:r w:rsidRPr="005827DA">
        <w:rPr>
          <w:rFonts w:ascii="Arial" w:hAnsi="Arial" w:cs="Arial"/>
          <w:spacing w:val="-1"/>
          <w:sz w:val="20"/>
          <w:szCs w:val="20"/>
        </w:rPr>
        <w:t xml:space="preserve"> </w:t>
      </w:r>
      <w:r w:rsidRPr="005827DA">
        <w:rPr>
          <w:rFonts w:ascii="Arial" w:hAnsi="Arial" w:cs="Arial"/>
          <w:sz w:val="20"/>
          <w:szCs w:val="20"/>
        </w:rPr>
        <w:t>of</w:t>
      </w:r>
      <w:r w:rsidRPr="005827DA">
        <w:rPr>
          <w:rFonts w:ascii="Arial" w:hAnsi="Arial" w:cs="Arial"/>
          <w:spacing w:val="-2"/>
          <w:sz w:val="20"/>
          <w:szCs w:val="20"/>
        </w:rPr>
        <w:t xml:space="preserve"> </w:t>
      </w:r>
      <w:r w:rsidRPr="005827DA">
        <w:rPr>
          <w:rFonts w:ascii="Arial" w:hAnsi="Arial" w:cs="Arial"/>
          <w:sz w:val="20"/>
          <w:szCs w:val="20"/>
        </w:rPr>
        <w:t>the launch</w:t>
      </w:r>
      <w:r w:rsidRPr="005827DA">
        <w:rPr>
          <w:rFonts w:ascii="Arial" w:hAnsi="Arial" w:cs="Arial"/>
          <w:spacing w:val="-3"/>
          <w:sz w:val="20"/>
          <w:szCs w:val="20"/>
        </w:rPr>
        <w:t xml:space="preserve"> </w:t>
      </w:r>
      <w:r w:rsidRPr="005827DA">
        <w:rPr>
          <w:rFonts w:ascii="Arial" w:hAnsi="Arial" w:cs="Arial"/>
          <w:sz w:val="20"/>
          <w:szCs w:val="20"/>
        </w:rPr>
        <w:t>site;</w:t>
      </w:r>
    </w:p>
    <w:p w14:paraId="2C6A5BC7" w14:textId="77777777" w:rsidR="00F20810" w:rsidRPr="005827DA" w:rsidRDefault="00F20810" w:rsidP="005827DA">
      <w:pPr>
        <w:pStyle w:val="ListParagraph"/>
        <w:numPr>
          <w:ilvl w:val="1"/>
          <w:numId w:val="243"/>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correct</w:t>
      </w:r>
      <w:r w:rsidRPr="005827DA">
        <w:rPr>
          <w:rFonts w:ascii="Arial" w:hAnsi="Arial" w:cs="Arial"/>
          <w:spacing w:val="-1"/>
          <w:sz w:val="20"/>
          <w:szCs w:val="20"/>
        </w:rPr>
        <w:t xml:space="preserve"> </w:t>
      </w:r>
      <w:r w:rsidRPr="005827DA">
        <w:rPr>
          <w:rFonts w:ascii="Arial" w:hAnsi="Arial" w:cs="Arial"/>
          <w:sz w:val="20"/>
          <w:szCs w:val="20"/>
        </w:rPr>
        <w:t>rigging</w:t>
      </w:r>
      <w:r w:rsidRPr="005827DA">
        <w:rPr>
          <w:rFonts w:ascii="Arial" w:hAnsi="Arial" w:cs="Arial"/>
          <w:spacing w:val="-2"/>
          <w:sz w:val="20"/>
          <w:szCs w:val="20"/>
        </w:rPr>
        <w:t xml:space="preserve"> </w:t>
      </w:r>
      <w:r w:rsidRPr="005827DA">
        <w:rPr>
          <w:rFonts w:ascii="Arial" w:hAnsi="Arial" w:cs="Arial"/>
          <w:sz w:val="20"/>
          <w:szCs w:val="20"/>
        </w:rPr>
        <w:t>procedure;</w:t>
      </w:r>
    </w:p>
    <w:p w14:paraId="074F9BD1" w14:textId="77777777" w:rsidR="00F20810" w:rsidRPr="005827DA" w:rsidRDefault="00F20810" w:rsidP="005827DA">
      <w:pPr>
        <w:pStyle w:val="ListParagraph"/>
        <w:numPr>
          <w:ilvl w:val="1"/>
          <w:numId w:val="243"/>
        </w:numPr>
        <w:tabs>
          <w:tab w:val="left" w:pos="90"/>
          <w:tab w:val="left" w:pos="2975"/>
          <w:tab w:val="left" w:pos="2976"/>
        </w:tabs>
        <w:spacing w:before="56"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use</w:t>
      </w:r>
      <w:r w:rsidRPr="005827DA">
        <w:rPr>
          <w:rFonts w:ascii="Arial" w:hAnsi="Arial" w:cs="Arial"/>
          <w:spacing w:val="-2"/>
          <w:sz w:val="20"/>
          <w:szCs w:val="20"/>
        </w:rPr>
        <w:t xml:space="preserve"> </w:t>
      </w:r>
      <w:r w:rsidRPr="005827DA">
        <w:rPr>
          <w:rFonts w:ascii="Arial" w:hAnsi="Arial" w:cs="Arial"/>
          <w:sz w:val="20"/>
          <w:szCs w:val="20"/>
        </w:rPr>
        <w:t>of</w:t>
      </w:r>
      <w:r w:rsidRPr="005827DA">
        <w:rPr>
          <w:rFonts w:ascii="Arial" w:hAnsi="Arial" w:cs="Arial"/>
          <w:spacing w:val="-2"/>
          <w:sz w:val="20"/>
          <w:szCs w:val="20"/>
        </w:rPr>
        <w:t xml:space="preserve"> </w:t>
      </w:r>
      <w:r w:rsidRPr="005827DA">
        <w:rPr>
          <w:rFonts w:ascii="Arial" w:hAnsi="Arial" w:cs="Arial"/>
          <w:sz w:val="20"/>
          <w:szCs w:val="20"/>
        </w:rPr>
        <w:t>the restraint</w:t>
      </w:r>
      <w:r w:rsidRPr="005827DA">
        <w:rPr>
          <w:rFonts w:ascii="Arial" w:hAnsi="Arial" w:cs="Arial"/>
          <w:spacing w:val="-2"/>
          <w:sz w:val="20"/>
          <w:szCs w:val="20"/>
        </w:rPr>
        <w:t xml:space="preserve"> </w:t>
      </w:r>
      <w:r w:rsidRPr="005827DA">
        <w:rPr>
          <w:rFonts w:ascii="Arial" w:hAnsi="Arial" w:cs="Arial"/>
          <w:sz w:val="20"/>
          <w:szCs w:val="20"/>
        </w:rPr>
        <w:t>line; and</w:t>
      </w:r>
    </w:p>
    <w:p w14:paraId="14194F16" w14:textId="77777777" w:rsidR="00F20810" w:rsidRPr="005827DA" w:rsidRDefault="00F20810" w:rsidP="005827DA">
      <w:pPr>
        <w:pStyle w:val="ListParagraph"/>
        <w:numPr>
          <w:ilvl w:val="1"/>
          <w:numId w:val="243"/>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pre-inflation</w:t>
      </w:r>
      <w:r w:rsidRPr="005827DA">
        <w:rPr>
          <w:rFonts w:ascii="Arial" w:hAnsi="Arial" w:cs="Arial"/>
          <w:spacing w:val="-2"/>
          <w:sz w:val="20"/>
          <w:szCs w:val="20"/>
        </w:rPr>
        <w:t xml:space="preserve"> </w:t>
      </w:r>
      <w:r w:rsidRPr="005827DA">
        <w:rPr>
          <w:rFonts w:ascii="Arial" w:hAnsi="Arial" w:cs="Arial"/>
          <w:sz w:val="20"/>
          <w:szCs w:val="20"/>
        </w:rPr>
        <w:t>checks and</w:t>
      </w:r>
      <w:r w:rsidRPr="005827DA">
        <w:rPr>
          <w:rFonts w:ascii="Arial" w:hAnsi="Arial" w:cs="Arial"/>
          <w:spacing w:val="-3"/>
          <w:sz w:val="20"/>
          <w:szCs w:val="20"/>
        </w:rPr>
        <w:t xml:space="preserve"> </w:t>
      </w:r>
      <w:r w:rsidRPr="005827DA">
        <w:rPr>
          <w:rFonts w:ascii="Arial" w:hAnsi="Arial" w:cs="Arial"/>
          <w:sz w:val="20"/>
          <w:szCs w:val="20"/>
        </w:rPr>
        <w:t>use</w:t>
      </w:r>
      <w:r w:rsidRPr="005827DA">
        <w:rPr>
          <w:rFonts w:ascii="Arial" w:hAnsi="Arial" w:cs="Arial"/>
          <w:spacing w:val="-1"/>
          <w:sz w:val="20"/>
          <w:szCs w:val="20"/>
        </w:rPr>
        <w:t xml:space="preserve"> </w:t>
      </w:r>
      <w:r w:rsidRPr="005827DA">
        <w:rPr>
          <w:rFonts w:ascii="Arial" w:hAnsi="Arial" w:cs="Arial"/>
          <w:sz w:val="20"/>
          <w:szCs w:val="20"/>
        </w:rPr>
        <w:t>of</w:t>
      </w:r>
      <w:r w:rsidRPr="005827DA">
        <w:rPr>
          <w:rFonts w:ascii="Arial" w:hAnsi="Arial" w:cs="Arial"/>
          <w:spacing w:val="-4"/>
          <w:sz w:val="20"/>
          <w:szCs w:val="20"/>
        </w:rPr>
        <w:t xml:space="preserve"> </w:t>
      </w:r>
      <w:r w:rsidRPr="005827DA">
        <w:rPr>
          <w:rFonts w:ascii="Arial" w:hAnsi="Arial" w:cs="Arial"/>
          <w:sz w:val="20"/>
          <w:szCs w:val="20"/>
        </w:rPr>
        <w:t>checklist(s).</w:t>
      </w:r>
    </w:p>
    <w:p w14:paraId="29FBAE46" w14:textId="77777777" w:rsidR="00F20810" w:rsidRPr="005827DA" w:rsidRDefault="00F20810" w:rsidP="005827DA">
      <w:pPr>
        <w:pStyle w:val="ListParagraph"/>
        <w:numPr>
          <w:ilvl w:val="0"/>
          <w:numId w:val="243"/>
        </w:numPr>
        <w:tabs>
          <w:tab w:val="left" w:pos="90"/>
          <w:tab w:val="left" w:pos="2408"/>
          <w:tab w:val="left" w:pos="2409"/>
        </w:tabs>
        <w:spacing w:before="121" w:line="276" w:lineRule="auto"/>
        <w:ind w:right="68" w:hanging="436"/>
        <w:jc w:val="both"/>
        <w:rPr>
          <w:rFonts w:ascii="Arial" w:hAnsi="Arial" w:cs="Arial"/>
          <w:sz w:val="20"/>
          <w:szCs w:val="20"/>
        </w:rPr>
      </w:pPr>
      <w:r w:rsidRPr="005827DA">
        <w:rPr>
          <w:rFonts w:ascii="Arial" w:hAnsi="Arial" w:cs="Arial"/>
          <w:sz w:val="20"/>
          <w:szCs w:val="20"/>
        </w:rPr>
        <w:t>Exercise</w:t>
      </w:r>
    </w:p>
    <w:p w14:paraId="37597E82" w14:textId="77777777" w:rsidR="00F20810" w:rsidRPr="005827DA" w:rsidRDefault="00F20810" w:rsidP="005827DA">
      <w:pPr>
        <w:pStyle w:val="BodyText"/>
        <w:tabs>
          <w:tab w:val="left" w:pos="90"/>
        </w:tabs>
        <w:spacing w:line="276" w:lineRule="auto"/>
        <w:ind w:left="2408"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student</w:t>
      </w:r>
      <w:r w:rsidRPr="005827DA">
        <w:rPr>
          <w:rFonts w:ascii="Arial" w:hAnsi="Arial" w:cs="Arial"/>
          <w:spacing w:val="-3"/>
          <w:sz w:val="20"/>
          <w:szCs w:val="20"/>
        </w:rPr>
        <w:t xml:space="preserve"> </w:t>
      </w:r>
      <w:r w:rsidRPr="005827DA">
        <w:rPr>
          <w:rFonts w:ascii="Arial" w:hAnsi="Arial" w:cs="Arial"/>
          <w:sz w:val="20"/>
          <w:szCs w:val="20"/>
        </w:rPr>
        <w:t>instructor</w:t>
      </w:r>
      <w:r w:rsidRPr="005827DA">
        <w:rPr>
          <w:rFonts w:ascii="Arial" w:hAnsi="Arial" w:cs="Arial"/>
          <w:spacing w:val="-2"/>
          <w:sz w:val="20"/>
          <w:szCs w:val="20"/>
        </w:rPr>
        <w:t xml:space="preserve"> </w:t>
      </w:r>
      <w:r w:rsidRPr="005827DA">
        <w:rPr>
          <w:rFonts w:ascii="Arial" w:hAnsi="Arial" w:cs="Arial"/>
          <w:sz w:val="20"/>
          <w:szCs w:val="20"/>
        </w:rPr>
        <w:t>has</w:t>
      </w:r>
      <w:r w:rsidRPr="005827DA">
        <w:rPr>
          <w:rFonts w:ascii="Arial" w:hAnsi="Arial" w:cs="Arial"/>
          <w:spacing w:val="-6"/>
          <w:sz w:val="20"/>
          <w:szCs w:val="20"/>
        </w:rPr>
        <w:t xml:space="preserve"> </w:t>
      </w:r>
      <w:r w:rsidRPr="005827DA">
        <w:rPr>
          <w:rFonts w:ascii="Arial" w:hAnsi="Arial" w:cs="Arial"/>
          <w:sz w:val="20"/>
          <w:szCs w:val="20"/>
        </w:rPr>
        <w:t>to demonstrate:</w:t>
      </w:r>
    </w:p>
    <w:p w14:paraId="7F571B36" w14:textId="77777777" w:rsidR="00F20810" w:rsidRPr="005827DA" w:rsidRDefault="00F20810" w:rsidP="005827DA">
      <w:pPr>
        <w:pStyle w:val="ListParagraph"/>
        <w:numPr>
          <w:ilvl w:val="1"/>
          <w:numId w:val="243"/>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crowd</w:t>
      </w:r>
      <w:r w:rsidRPr="005827DA">
        <w:rPr>
          <w:rFonts w:ascii="Arial" w:hAnsi="Arial" w:cs="Arial"/>
          <w:spacing w:val="-3"/>
          <w:sz w:val="20"/>
          <w:szCs w:val="20"/>
        </w:rPr>
        <w:t xml:space="preserve"> </w:t>
      </w:r>
      <w:r w:rsidRPr="005827DA">
        <w:rPr>
          <w:rFonts w:ascii="Arial" w:hAnsi="Arial" w:cs="Arial"/>
          <w:sz w:val="20"/>
          <w:szCs w:val="20"/>
        </w:rPr>
        <w:t>control and</w:t>
      </w:r>
      <w:r w:rsidRPr="005827DA">
        <w:rPr>
          <w:rFonts w:ascii="Arial" w:hAnsi="Arial" w:cs="Arial"/>
          <w:spacing w:val="-2"/>
          <w:sz w:val="20"/>
          <w:szCs w:val="20"/>
        </w:rPr>
        <w:t xml:space="preserve"> </w:t>
      </w:r>
      <w:r w:rsidRPr="005827DA">
        <w:rPr>
          <w:rFonts w:ascii="Arial" w:hAnsi="Arial" w:cs="Arial"/>
          <w:sz w:val="20"/>
          <w:szCs w:val="20"/>
        </w:rPr>
        <w:t>securing</w:t>
      </w:r>
      <w:r w:rsidRPr="005827DA">
        <w:rPr>
          <w:rFonts w:ascii="Arial" w:hAnsi="Arial" w:cs="Arial"/>
          <w:spacing w:val="-1"/>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launch site;</w:t>
      </w:r>
    </w:p>
    <w:p w14:paraId="4BBBEC97" w14:textId="77777777" w:rsidR="00F20810" w:rsidRPr="005827DA" w:rsidRDefault="00F20810" w:rsidP="005827DA">
      <w:pPr>
        <w:pStyle w:val="ListParagraph"/>
        <w:numPr>
          <w:ilvl w:val="1"/>
          <w:numId w:val="243"/>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lastRenderedPageBreak/>
        <w:t>the</w:t>
      </w:r>
      <w:r w:rsidRPr="005827DA">
        <w:rPr>
          <w:rFonts w:ascii="Arial" w:hAnsi="Arial" w:cs="Arial"/>
          <w:spacing w:val="-2"/>
          <w:sz w:val="20"/>
          <w:szCs w:val="20"/>
        </w:rPr>
        <w:t xml:space="preserve"> </w:t>
      </w:r>
      <w:r w:rsidRPr="005827DA">
        <w:rPr>
          <w:rFonts w:ascii="Arial" w:hAnsi="Arial" w:cs="Arial"/>
          <w:sz w:val="20"/>
          <w:szCs w:val="20"/>
        </w:rPr>
        <w:t>correct</w:t>
      </w:r>
      <w:r w:rsidRPr="005827DA">
        <w:rPr>
          <w:rFonts w:ascii="Arial" w:hAnsi="Arial" w:cs="Arial"/>
          <w:spacing w:val="-1"/>
          <w:sz w:val="20"/>
          <w:szCs w:val="20"/>
        </w:rPr>
        <w:t xml:space="preserve"> </w:t>
      </w:r>
      <w:r w:rsidRPr="005827DA">
        <w:rPr>
          <w:rFonts w:ascii="Arial" w:hAnsi="Arial" w:cs="Arial"/>
          <w:sz w:val="20"/>
          <w:szCs w:val="20"/>
        </w:rPr>
        <w:t>rigging</w:t>
      </w:r>
      <w:r w:rsidRPr="005827DA">
        <w:rPr>
          <w:rFonts w:ascii="Arial" w:hAnsi="Arial" w:cs="Arial"/>
          <w:spacing w:val="-2"/>
          <w:sz w:val="20"/>
          <w:szCs w:val="20"/>
        </w:rPr>
        <w:t xml:space="preserve"> </w:t>
      </w:r>
      <w:r w:rsidRPr="005827DA">
        <w:rPr>
          <w:rFonts w:ascii="Arial" w:hAnsi="Arial" w:cs="Arial"/>
          <w:sz w:val="20"/>
          <w:szCs w:val="20"/>
        </w:rPr>
        <w:t>of</w:t>
      </w:r>
      <w:r w:rsidRPr="005827DA">
        <w:rPr>
          <w:rFonts w:ascii="Arial" w:hAnsi="Arial" w:cs="Arial"/>
          <w:spacing w:val="-4"/>
          <w:sz w:val="20"/>
          <w:szCs w:val="20"/>
        </w:rPr>
        <w:t xml:space="preserve"> </w:t>
      </w:r>
      <w:r w:rsidRPr="005827DA">
        <w:rPr>
          <w:rFonts w:ascii="Arial" w:hAnsi="Arial" w:cs="Arial"/>
          <w:sz w:val="20"/>
          <w:szCs w:val="20"/>
        </w:rPr>
        <w:t>envelope and</w:t>
      </w:r>
      <w:r w:rsidRPr="005827DA">
        <w:rPr>
          <w:rFonts w:ascii="Arial" w:hAnsi="Arial" w:cs="Arial"/>
          <w:spacing w:val="-2"/>
          <w:sz w:val="20"/>
          <w:szCs w:val="20"/>
        </w:rPr>
        <w:t xml:space="preserve"> </w:t>
      </w:r>
      <w:r w:rsidRPr="005827DA">
        <w:rPr>
          <w:rFonts w:ascii="Arial" w:hAnsi="Arial" w:cs="Arial"/>
          <w:sz w:val="20"/>
          <w:szCs w:val="20"/>
        </w:rPr>
        <w:t>basket;</w:t>
      </w:r>
    </w:p>
    <w:p w14:paraId="03702E02" w14:textId="77777777" w:rsidR="00F20810" w:rsidRPr="005827DA" w:rsidRDefault="00F20810" w:rsidP="005827DA">
      <w:pPr>
        <w:pStyle w:val="ListParagraph"/>
        <w:numPr>
          <w:ilvl w:val="1"/>
          <w:numId w:val="243"/>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correct</w:t>
      </w:r>
      <w:r w:rsidRPr="005827DA">
        <w:rPr>
          <w:rFonts w:ascii="Arial" w:hAnsi="Arial" w:cs="Arial"/>
          <w:spacing w:val="-1"/>
          <w:sz w:val="20"/>
          <w:szCs w:val="20"/>
        </w:rPr>
        <w:t xml:space="preserve"> </w:t>
      </w:r>
      <w:r w:rsidRPr="005827DA">
        <w:rPr>
          <w:rFonts w:ascii="Arial" w:hAnsi="Arial" w:cs="Arial"/>
          <w:sz w:val="20"/>
          <w:szCs w:val="20"/>
        </w:rPr>
        <w:t>use</w:t>
      </w:r>
      <w:r w:rsidRPr="005827DA">
        <w:rPr>
          <w:rFonts w:ascii="Arial" w:hAnsi="Arial" w:cs="Arial"/>
          <w:spacing w:val="-3"/>
          <w:sz w:val="20"/>
          <w:szCs w:val="20"/>
        </w:rPr>
        <w:t xml:space="preserve"> </w:t>
      </w:r>
      <w:r w:rsidRPr="005827DA">
        <w:rPr>
          <w:rFonts w:ascii="Arial" w:hAnsi="Arial" w:cs="Arial"/>
          <w:sz w:val="20"/>
          <w:szCs w:val="20"/>
        </w:rPr>
        <w:t>of</w:t>
      </w:r>
      <w:r w:rsidRPr="005827DA">
        <w:rPr>
          <w:rFonts w:ascii="Arial" w:hAnsi="Arial" w:cs="Arial"/>
          <w:spacing w:val="-3"/>
          <w:sz w:val="20"/>
          <w:szCs w:val="20"/>
        </w:rPr>
        <w:t xml:space="preserve"> </w:t>
      </w:r>
      <w:r w:rsidRPr="005827DA">
        <w:rPr>
          <w:rFonts w:ascii="Arial" w:hAnsi="Arial" w:cs="Arial"/>
          <w:sz w:val="20"/>
          <w:szCs w:val="20"/>
        </w:rPr>
        <w:t>the restraint</w:t>
      </w:r>
      <w:r w:rsidRPr="005827DA">
        <w:rPr>
          <w:rFonts w:ascii="Arial" w:hAnsi="Arial" w:cs="Arial"/>
          <w:spacing w:val="-1"/>
          <w:sz w:val="20"/>
          <w:szCs w:val="20"/>
        </w:rPr>
        <w:t xml:space="preserve"> </w:t>
      </w:r>
      <w:r w:rsidRPr="005827DA">
        <w:rPr>
          <w:rFonts w:ascii="Arial" w:hAnsi="Arial" w:cs="Arial"/>
          <w:sz w:val="20"/>
          <w:szCs w:val="20"/>
        </w:rPr>
        <w:t>line;</w:t>
      </w:r>
    </w:p>
    <w:p w14:paraId="01A1AB58" w14:textId="77777777" w:rsidR="00F20810" w:rsidRPr="005827DA" w:rsidRDefault="00F20810" w:rsidP="005827DA">
      <w:pPr>
        <w:pStyle w:val="ListParagraph"/>
        <w:numPr>
          <w:ilvl w:val="1"/>
          <w:numId w:val="243"/>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burner</w:t>
      </w:r>
      <w:r w:rsidRPr="005827DA">
        <w:rPr>
          <w:rFonts w:ascii="Arial" w:hAnsi="Arial" w:cs="Arial"/>
          <w:spacing w:val="-2"/>
          <w:sz w:val="20"/>
          <w:szCs w:val="20"/>
        </w:rPr>
        <w:t xml:space="preserve"> </w:t>
      </w:r>
      <w:r w:rsidRPr="005827DA">
        <w:rPr>
          <w:rFonts w:ascii="Arial" w:hAnsi="Arial" w:cs="Arial"/>
          <w:sz w:val="20"/>
          <w:szCs w:val="20"/>
        </w:rPr>
        <w:t>test</w:t>
      </w:r>
      <w:r w:rsidRPr="005827DA">
        <w:rPr>
          <w:rFonts w:ascii="Arial" w:hAnsi="Arial" w:cs="Arial"/>
          <w:spacing w:val="-1"/>
          <w:sz w:val="20"/>
          <w:szCs w:val="20"/>
        </w:rPr>
        <w:t xml:space="preserve"> </w:t>
      </w:r>
      <w:r w:rsidRPr="005827DA">
        <w:rPr>
          <w:rFonts w:ascii="Arial" w:hAnsi="Arial" w:cs="Arial"/>
          <w:sz w:val="20"/>
          <w:szCs w:val="20"/>
        </w:rPr>
        <w:t>procedure</w:t>
      </w:r>
      <w:r w:rsidRPr="005827DA">
        <w:rPr>
          <w:rFonts w:ascii="Arial" w:hAnsi="Arial" w:cs="Arial"/>
          <w:spacing w:val="-2"/>
          <w:sz w:val="20"/>
          <w:szCs w:val="20"/>
        </w:rPr>
        <w:t xml:space="preserve"> </w:t>
      </w:r>
      <w:r w:rsidRPr="005827DA">
        <w:rPr>
          <w:rFonts w:ascii="Arial" w:hAnsi="Arial" w:cs="Arial"/>
          <w:sz w:val="20"/>
          <w:szCs w:val="20"/>
        </w:rPr>
        <w:t>(hot-air</w:t>
      </w:r>
      <w:r w:rsidRPr="005827DA">
        <w:rPr>
          <w:rFonts w:ascii="Arial" w:hAnsi="Arial" w:cs="Arial"/>
          <w:spacing w:val="-3"/>
          <w:sz w:val="20"/>
          <w:szCs w:val="20"/>
        </w:rPr>
        <w:t xml:space="preserve"> </w:t>
      </w:r>
      <w:r w:rsidRPr="005827DA">
        <w:rPr>
          <w:rFonts w:ascii="Arial" w:hAnsi="Arial" w:cs="Arial"/>
          <w:sz w:val="20"/>
          <w:szCs w:val="20"/>
        </w:rPr>
        <w:t>balloons);</w:t>
      </w:r>
    </w:p>
    <w:p w14:paraId="3236ED51" w14:textId="77777777" w:rsidR="00F20810" w:rsidRPr="005827DA" w:rsidRDefault="00F20810" w:rsidP="005827DA">
      <w:pPr>
        <w:pStyle w:val="ListParagraph"/>
        <w:numPr>
          <w:ilvl w:val="1"/>
          <w:numId w:val="243"/>
        </w:numPr>
        <w:tabs>
          <w:tab w:val="left" w:pos="90"/>
          <w:tab w:val="left" w:pos="2975"/>
          <w:tab w:val="left" w:pos="2976"/>
        </w:tabs>
        <w:spacing w:before="118"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pre-inflation</w:t>
      </w:r>
      <w:r w:rsidRPr="005827DA">
        <w:rPr>
          <w:rFonts w:ascii="Arial" w:hAnsi="Arial" w:cs="Arial"/>
          <w:spacing w:val="-3"/>
          <w:sz w:val="20"/>
          <w:szCs w:val="20"/>
        </w:rPr>
        <w:t xml:space="preserve"> </w:t>
      </w:r>
      <w:r w:rsidRPr="005827DA">
        <w:rPr>
          <w:rFonts w:ascii="Arial" w:hAnsi="Arial" w:cs="Arial"/>
          <w:sz w:val="20"/>
          <w:szCs w:val="20"/>
        </w:rPr>
        <w:t>checks and</w:t>
      </w:r>
      <w:r w:rsidRPr="005827DA">
        <w:rPr>
          <w:rFonts w:ascii="Arial" w:hAnsi="Arial" w:cs="Arial"/>
          <w:spacing w:val="-3"/>
          <w:sz w:val="20"/>
          <w:szCs w:val="20"/>
        </w:rPr>
        <w:t xml:space="preserve"> </w:t>
      </w:r>
      <w:r w:rsidRPr="005827DA">
        <w:rPr>
          <w:rFonts w:ascii="Arial" w:hAnsi="Arial" w:cs="Arial"/>
          <w:sz w:val="20"/>
          <w:szCs w:val="20"/>
        </w:rPr>
        <w:t>correct</w:t>
      </w:r>
      <w:r w:rsidRPr="005827DA">
        <w:rPr>
          <w:rFonts w:ascii="Arial" w:hAnsi="Arial" w:cs="Arial"/>
          <w:spacing w:val="-1"/>
          <w:sz w:val="20"/>
          <w:szCs w:val="20"/>
        </w:rPr>
        <w:t xml:space="preserve"> </w:t>
      </w:r>
      <w:r w:rsidRPr="005827DA">
        <w:rPr>
          <w:rFonts w:ascii="Arial" w:hAnsi="Arial" w:cs="Arial"/>
          <w:sz w:val="20"/>
          <w:szCs w:val="20"/>
        </w:rPr>
        <w:t>use</w:t>
      </w:r>
      <w:r w:rsidRPr="005827DA">
        <w:rPr>
          <w:rFonts w:ascii="Arial" w:hAnsi="Arial" w:cs="Arial"/>
          <w:spacing w:val="-3"/>
          <w:sz w:val="20"/>
          <w:szCs w:val="20"/>
        </w:rPr>
        <w:t xml:space="preserve"> </w:t>
      </w:r>
      <w:r w:rsidRPr="005827DA">
        <w:rPr>
          <w:rFonts w:ascii="Arial" w:hAnsi="Arial" w:cs="Arial"/>
          <w:sz w:val="20"/>
          <w:szCs w:val="20"/>
        </w:rPr>
        <w:t>of</w:t>
      </w:r>
      <w:r w:rsidRPr="005827DA">
        <w:rPr>
          <w:rFonts w:ascii="Arial" w:hAnsi="Arial" w:cs="Arial"/>
          <w:spacing w:val="-2"/>
          <w:sz w:val="20"/>
          <w:szCs w:val="20"/>
        </w:rPr>
        <w:t xml:space="preserve"> </w:t>
      </w:r>
      <w:r w:rsidRPr="005827DA">
        <w:rPr>
          <w:rFonts w:ascii="Arial" w:hAnsi="Arial" w:cs="Arial"/>
          <w:sz w:val="20"/>
          <w:szCs w:val="20"/>
        </w:rPr>
        <w:t>checklist(s);</w:t>
      </w:r>
    </w:p>
    <w:p w14:paraId="003B0590" w14:textId="77777777" w:rsidR="00F20810" w:rsidRPr="005827DA" w:rsidRDefault="00F20810" w:rsidP="005827DA">
      <w:pPr>
        <w:pStyle w:val="ListParagraph"/>
        <w:numPr>
          <w:ilvl w:val="1"/>
          <w:numId w:val="243"/>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3"/>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teach</w:t>
      </w:r>
      <w:r w:rsidRPr="005827DA">
        <w:rPr>
          <w:rFonts w:ascii="Arial" w:hAnsi="Arial" w:cs="Arial"/>
          <w:spacing w:val="-4"/>
          <w:sz w:val="20"/>
          <w:szCs w:val="20"/>
        </w:rPr>
        <w:t xml:space="preserve"> </w:t>
      </w: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student pilot</w:t>
      </w:r>
      <w:r w:rsidRPr="005827DA">
        <w:rPr>
          <w:rFonts w:ascii="Arial" w:hAnsi="Arial" w:cs="Arial"/>
          <w:spacing w:val="-1"/>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perform</w:t>
      </w:r>
      <w:r w:rsidRPr="005827DA">
        <w:rPr>
          <w:rFonts w:ascii="Arial" w:hAnsi="Arial" w:cs="Arial"/>
          <w:spacing w:val="-1"/>
          <w:sz w:val="20"/>
          <w:szCs w:val="20"/>
        </w:rPr>
        <w:t xml:space="preserve"> </w:t>
      </w: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correct</w:t>
      </w:r>
      <w:r w:rsidRPr="005827DA">
        <w:rPr>
          <w:rFonts w:ascii="Arial" w:hAnsi="Arial" w:cs="Arial"/>
          <w:spacing w:val="-1"/>
          <w:sz w:val="20"/>
          <w:szCs w:val="20"/>
        </w:rPr>
        <w:t xml:space="preserve"> </w:t>
      </w:r>
      <w:r w:rsidRPr="005827DA">
        <w:rPr>
          <w:rFonts w:ascii="Arial" w:hAnsi="Arial" w:cs="Arial"/>
          <w:sz w:val="20"/>
          <w:szCs w:val="20"/>
        </w:rPr>
        <w:t>rigging;</w:t>
      </w:r>
      <w:r w:rsidRPr="005827DA">
        <w:rPr>
          <w:rFonts w:ascii="Arial" w:hAnsi="Arial" w:cs="Arial"/>
          <w:spacing w:val="-1"/>
          <w:sz w:val="20"/>
          <w:szCs w:val="20"/>
        </w:rPr>
        <w:t xml:space="preserve"> </w:t>
      </w:r>
      <w:r w:rsidRPr="005827DA">
        <w:rPr>
          <w:rFonts w:ascii="Arial" w:hAnsi="Arial" w:cs="Arial"/>
          <w:sz w:val="20"/>
          <w:szCs w:val="20"/>
        </w:rPr>
        <w:t>and</w:t>
      </w:r>
    </w:p>
    <w:p w14:paraId="735108B7" w14:textId="77777777" w:rsidR="00F20810" w:rsidRPr="005827DA" w:rsidRDefault="00F20810" w:rsidP="005827DA">
      <w:pPr>
        <w:pStyle w:val="ListParagraph"/>
        <w:numPr>
          <w:ilvl w:val="1"/>
          <w:numId w:val="243"/>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24"/>
          <w:sz w:val="20"/>
          <w:szCs w:val="20"/>
        </w:rPr>
        <w:t xml:space="preserve"> </w:t>
      </w:r>
      <w:r w:rsidRPr="005827DA">
        <w:rPr>
          <w:rFonts w:ascii="Arial" w:hAnsi="Arial" w:cs="Arial"/>
          <w:sz w:val="20"/>
          <w:szCs w:val="20"/>
        </w:rPr>
        <w:t>to</w:t>
      </w:r>
      <w:r w:rsidRPr="005827DA">
        <w:rPr>
          <w:rFonts w:ascii="Arial" w:hAnsi="Arial" w:cs="Arial"/>
          <w:spacing w:val="27"/>
          <w:sz w:val="20"/>
          <w:szCs w:val="20"/>
        </w:rPr>
        <w:t xml:space="preserve"> </w:t>
      </w:r>
      <w:r w:rsidRPr="005827DA">
        <w:rPr>
          <w:rFonts w:ascii="Arial" w:hAnsi="Arial" w:cs="Arial"/>
          <w:sz w:val="20"/>
          <w:szCs w:val="20"/>
        </w:rPr>
        <w:t>analyse</w:t>
      </w:r>
      <w:r w:rsidRPr="005827DA">
        <w:rPr>
          <w:rFonts w:ascii="Arial" w:hAnsi="Arial" w:cs="Arial"/>
          <w:spacing w:val="24"/>
          <w:sz w:val="20"/>
          <w:szCs w:val="20"/>
        </w:rPr>
        <w:t xml:space="preserve"> </w:t>
      </w:r>
      <w:r w:rsidRPr="005827DA">
        <w:rPr>
          <w:rFonts w:ascii="Arial" w:hAnsi="Arial" w:cs="Arial"/>
          <w:sz w:val="20"/>
          <w:szCs w:val="20"/>
        </w:rPr>
        <w:t>and</w:t>
      </w:r>
      <w:r w:rsidRPr="005827DA">
        <w:rPr>
          <w:rFonts w:ascii="Arial" w:hAnsi="Arial" w:cs="Arial"/>
          <w:spacing w:val="23"/>
          <w:sz w:val="20"/>
          <w:szCs w:val="20"/>
        </w:rPr>
        <w:t xml:space="preserve"> </w:t>
      </w:r>
      <w:r w:rsidRPr="005827DA">
        <w:rPr>
          <w:rFonts w:ascii="Arial" w:hAnsi="Arial" w:cs="Arial"/>
          <w:sz w:val="20"/>
          <w:szCs w:val="20"/>
        </w:rPr>
        <w:t>correct</w:t>
      </w:r>
      <w:r w:rsidRPr="005827DA">
        <w:rPr>
          <w:rFonts w:ascii="Arial" w:hAnsi="Arial" w:cs="Arial"/>
          <w:spacing w:val="26"/>
          <w:sz w:val="20"/>
          <w:szCs w:val="20"/>
        </w:rPr>
        <w:t xml:space="preserve"> </w:t>
      </w:r>
      <w:r w:rsidRPr="005827DA">
        <w:rPr>
          <w:rFonts w:ascii="Arial" w:hAnsi="Arial" w:cs="Arial"/>
          <w:sz w:val="20"/>
          <w:szCs w:val="20"/>
        </w:rPr>
        <w:t>assembly</w:t>
      </w:r>
      <w:r w:rsidRPr="005827DA">
        <w:rPr>
          <w:rFonts w:ascii="Arial" w:hAnsi="Arial" w:cs="Arial"/>
          <w:spacing w:val="24"/>
          <w:sz w:val="20"/>
          <w:szCs w:val="20"/>
        </w:rPr>
        <w:t xml:space="preserve"> </w:t>
      </w:r>
      <w:r w:rsidRPr="005827DA">
        <w:rPr>
          <w:rFonts w:ascii="Arial" w:hAnsi="Arial" w:cs="Arial"/>
          <w:sz w:val="20"/>
          <w:szCs w:val="20"/>
        </w:rPr>
        <w:t>errors</w:t>
      </w:r>
      <w:r w:rsidRPr="005827DA">
        <w:rPr>
          <w:rFonts w:ascii="Arial" w:hAnsi="Arial" w:cs="Arial"/>
          <w:spacing w:val="24"/>
          <w:sz w:val="20"/>
          <w:szCs w:val="20"/>
        </w:rPr>
        <w:t xml:space="preserve"> </w:t>
      </w:r>
      <w:r w:rsidRPr="005827DA">
        <w:rPr>
          <w:rFonts w:ascii="Arial" w:hAnsi="Arial" w:cs="Arial"/>
          <w:sz w:val="20"/>
          <w:szCs w:val="20"/>
        </w:rPr>
        <w:t>of</w:t>
      </w:r>
      <w:r w:rsidRPr="005827DA">
        <w:rPr>
          <w:rFonts w:ascii="Arial" w:hAnsi="Arial" w:cs="Arial"/>
          <w:spacing w:val="23"/>
          <w:sz w:val="20"/>
          <w:szCs w:val="20"/>
        </w:rPr>
        <w:t xml:space="preserve"> </w:t>
      </w:r>
      <w:r w:rsidRPr="005827DA">
        <w:rPr>
          <w:rFonts w:ascii="Arial" w:hAnsi="Arial" w:cs="Arial"/>
          <w:sz w:val="20"/>
          <w:szCs w:val="20"/>
        </w:rPr>
        <w:t>the</w:t>
      </w:r>
      <w:r w:rsidRPr="005827DA">
        <w:rPr>
          <w:rFonts w:ascii="Arial" w:hAnsi="Arial" w:cs="Arial"/>
          <w:spacing w:val="24"/>
          <w:sz w:val="20"/>
          <w:szCs w:val="20"/>
        </w:rPr>
        <w:t xml:space="preserve"> </w:t>
      </w:r>
      <w:r w:rsidRPr="005827DA">
        <w:rPr>
          <w:rFonts w:ascii="Arial" w:hAnsi="Arial" w:cs="Arial"/>
          <w:sz w:val="20"/>
          <w:szCs w:val="20"/>
        </w:rPr>
        <w:t>student</w:t>
      </w:r>
      <w:r w:rsidRPr="005827DA">
        <w:rPr>
          <w:rFonts w:ascii="Arial" w:hAnsi="Arial" w:cs="Arial"/>
          <w:spacing w:val="26"/>
          <w:sz w:val="20"/>
          <w:szCs w:val="20"/>
        </w:rPr>
        <w:t xml:space="preserve"> </w:t>
      </w:r>
      <w:r w:rsidRPr="005827DA">
        <w:rPr>
          <w:rFonts w:ascii="Arial" w:hAnsi="Arial" w:cs="Arial"/>
          <w:sz w:val="20"/>
          <w:szCs w:val="20"/>
        </w:rPr>
        <w:t>pilot</w:t>
      </w:r>
      <w:r w:rsidRPr="005827DA">
        <w:rPr>
          <w:rFonts w:ascii="Arial" w:hAnsi="Arial" w:cs="Arial"/>
          <w:spacing w:val="24"/>
          <w:sz w:val="20"/>
          <w:szCs w:val="20"/>
        </w:rPr>
        <w:t xml:space="preserve"> </w:t>
      </w:r>
      <w:r w:rsidRPr="005827DA">
        <w:rPr>
          <w:rFonts w:ascii="Arial" w:hAnsi="Arial" w:cs="Arial"/>
          <w:sz w:val="20"/>
          <w:szCs w:val="20"/>
        </w:rPr>
        <w:t>as</w:t>
      </w:r>
      <w:r w:rsidRPr="005827DA">
        <w:rPr>
          <w:rFonts w:ascii="Arial" w:hAnsi="Arial" w:cs="Arial"/>
          <w:spacing w:val="-46"/>
          <w:sz w:val="20"/>
          <w:szCs w:val="20"/>
        </w:rPr>
        <w:t xml:space="preserve"> </w:t>
      </w:r>
      <w:r w:rsidRPr="005827DA">
        <w:rPr>
          <w:rFonts w:ascii="Arial" w:hAnsi="Arial" w:cs="Arial"/>
          <w:sz w:val="20"/>
          <w:szCs w:val="20"/>
        </w:rPr>
        <w:t>necessary.</w:t>
      </w:r>
    </w:p>
    <w:p w14:paraId="4A847A5A" w14:textId="51822219" w:rsidR="00F20810" w:rsidRPr="005827DA" w:rsidRDefault="00F20810" w:rsidP="005827DA">
      <w:pPr>
        <w:pStyle w:val="ListParagraph"/>
        <w:numPr>
          <w:ilvl w:val="0"/>
          <w:numId w:val="243"/>
        </w:numPr>
        <w:tabs>
          <w:tab w:val="left" w:pos="90"/>
          <w:tab w:val="left" w:pos="2408"/>
          <w:tab w:val="left" w:pos="2409"/>
        </w:tabs>
        <w:spacing w:line="276" w:lineRule="auto"/>
        <w:ind w:right="68" w:hanging="436"/>
        <w:jc w:val="both"/>
        <w:rPr>
          <w:rFonts w:ascii="Arial" w:hAnsi="Arial" w:cs="Arial"/>
          <w:sz w:val="20"/>
          <w:szCs w:val="20"/>
        </w:rPr>
      </w:pPr>
      <w:r w:rsidRPr="005827DA">
        <w:rPr>
          <w:rFonts w:ascii="Arial" w:hAnsi="Arial" w:cs="Arial"/>
          <w:sz w:val="20"/>
          <w:szCs w:val="20"/>
        </w:rPr>
        <w:t>Debriefing</w:t>
      </w:r>
    </w:p>
    <w:p w14:paraId="5756AB28" w14:textId="77777777" w:rsidR="00F20810" w:rsidRPr="005827DA" w:rsidRDefault="00F20810" w:rsidP="005827DA">
      <w:pPr>
        <w:tabs>
          <w:tab w:val="left" w:pos="90"/>
        </w:tabs>
        <w:spacing w:line="276" w:lineRule="auto"/>
        <w:ind w:right="68" w:hanging="436"/>
        <w:jc w:val="both"/>
        <w:rPr>
          <w:rFonts w:ascii="Arial" w:eastAsia="Times New Roman" w:hAnsi="Arial" w:cs="Times New Roman"/>
          <w:b/>
          <w:bCs/>
          <w:sz w:val="20"/>
          <w:szCs w:val="20"/>
        </w:rPr>
      </w:pPr>
      <w:r w:rsidRPr="005827DA">
        <w:rPr>
          <w:rFonts w:ascii="Arial" w:eastAsia="Times New Roman" w:hAnsi="Arial" w:cs="Times New Roman"/>
          <w:b/>
          <w:bCs/>
          <w:sz w:val="20"/>
          <w:szCs w:val="20"/>
        </w:rPr>
        <w:t>Exercise 5: Inflation</w:t>
      </w:r>
    </w:p>
    <w:p w14:paraId="32F0FCEB" w14:textId="77777777" w:rsidR="00F20810" w:rsidRPr="005827DA" w:rsidRDefault="00F20810" w:rsidP="005827DA">
      <w:pPr>
        <w:pStyle w:val="ListParagraph"/>
        <w:numPr>
          <w:ilvl w:val="0"/>
          <w:numId w:val="245"/>
        </w:numPr>
        <w:tabs>
          <w:tab w:val="left" w:pos="90"/>
          <w:tab w:val="left" w:pos="2409"/>
        </w:tabs>
        <w:spacing w:before="121" w:line="276" w:lineRule="auto"/>
        <w:ind w:right="68" w:hanging="436"/>
        <w:jc w:val="both"/>
        <w:rPr>
          <w:rFonts w:ascii="Arial" w:hAnsi="Arial" w:cs="Arial"/>
          <w:sz w:val="20"/>
          <w:szCs w:val="20"/>
        </w:rPr>
      </w:pPr>
      <w:r w:rsidRPr="005827DA">
        <w:rPr>
          <w:rFonts w:ascii="Arial" w:hAnsi="Arial" w:cs="Arial"/>
          <w:sz w:val="20"/>
          <w:szCs w:val="20"/>
        </w:rPr>
        <w:t>Objective</w:t>
      </w:r>
    </w:p>
    <w:p w14:paraId="62237F9D" w14:textId="77777777" w:rsidR="00F20810" w:rsidRPr="005827DA" w:rsidRDefault="00F20810" w:rsidP="005827DA">
      <w:pPr>
        <w:pStyle w:val="BodyText"/>
        <w:tabs>
          <w:tab w:val="left" w:pos="90"/>
        </w:tabs>
        <w:spacing w:before="117" w:line="276" w:lineRule="auto"/>
        <w:ind w:left="2408" w:right="68" w:hanging="436"/>
        <w:jc w:val="both"/>
        <w:rPr>
          <w:rFonts w:ascii="Arial" w:hAnsi="Arial" w:cs="Arial"/>
          <w:sz w:val="20"/>
          <w:szCs w:val="20"/>
        </w:rPr>
      </w:pPr>
      <w:r w:rsidRPr="005827DA">
        <w:rPr>
          <w:rFonts w:ascii="Arial" w:hAnsi="Arial" w:cs="Arial"/>
          <w:sz w:val="20"/>
          <w:szCs w:val="20"/>
        </w:rPr>
        <w:t>To</w:t>
      </w:r>
      <w:r w:rsidRPr="005827DA">
        <w:rPr>
          <w:rFonts w:ascii="Arial" w:hAnsi="Arial" w:cs="Arial"/>
          <w:spacing w:val="-2"/>
          <w:sz w:val="20"/>
          <w:szCs w:val="20"/>
        </w:rPr>
        <w:t xml:space="preserve"> </w:t>
      </w:r>
      <w:r w:rsidRPr="005827DA">
        <w:rPr>
          <w:rFonts w:ascii="Arial" w:hAnsi="Arial" w:cs="Arial"/>
          <w:sz w:val="20"/>
          <w:szCs w:val="20"/>
        </w:rPr>
        <w:t>advise</w:t>
      </w:r>
      <w:r w:rsidRPr="005827DA">
        <w:rPr>
          <w:rFonts w:ascii="Arial" w:hAnsi="Arial" w:cs="Arial"/>
          <w:spacing w:val="-5"/>
          <w:sz w:val="20"/>
          <w:szCs w:val="20"/>
        </w:rPr>
        <w:t xml:space="preserve"> </w:t>
      </w:r>
      <w:r w:rsidRPr="005827DA">
        <w:rPr>
          <w:rFonts w:ascii="Arial" w:hAnsi="Arial" w:cs="Arial"/>
          <w:sz w:val="20"/>
          <w:szCs w:val="20"/>
        </w:rPr>
        <w:t>the</w:t>
      </w:r>
      <w:r w:rsidRPr="005827DA">
        <w:rPr>
          <w:rFonts w:ascii="Arial" w:hAnsi="Arial" w:cs="Arial"/>
          <w:spacing w:val="-3"/>
          <w:sz w:val="20"/>
          <w:szCs w:val="20"/>
        </w:rPr>
        <w:t xml:space="preserve"> </w:t>
      </w:r>
      <w:r w:rsidRPr="005827DA">
        <w:rPr>
          <w:rFonts w:ascii="Arial" w:hAnsi="Arial" w:cs="Arial"/>
          <w:sz w:val="20"/>
          <w:szCs w:val="20"/>
        </w:rPr>
        <w:t>student</w:t>
      </w:r>
      <w:r w:rsidRPr="005827DA">
        <w:rPr>
          <w:rFonts w:ascii="Arial" w:hAnsi="Arial" w:cs="Arial"/>
          <w:spacing w:val="-4"/>
          <w:sz w:val="20"/>
          <w:szCs w:val="20"/>
        </w:rPr>
        <w:t xml:space="preserve"> </w:t>
      </w:r>
      <w:r w:rsidRPr="005827DA">
        <w:rPr>
          <w:rFonts w:ascii="Arial" w:hAnsi="Arial" w:cs="Arial"/>
          <w:sz w:val="20"/>
          <w:szCs w:val="20"/>
        </w:rPr>
        <w:t>instructor</w:t>
      </w:r>
      <w:r w:rsidRPr="005827DA">
        <w:rPr>
          <w:rFonts w:ascii="Arial" w:hAnsi="Arial" w:cs="Arial"/>
          <w:spacing w:val="-6"/>
          <w:sz w:val="20"/>
          <w:szCs w:val="20"/>
        </w:rPr>
        <w:t xml:space="preserve"> </w:t>
      </w:r>
      <w:r w:rsidRPr="005827DA">
        <w:rPr>
          <w:rFonts w:ascii="Arial" w:hAnsi="Arial" w:cs="Arial"/>
          <w:sz w:val="20"/>
          <w:szCs w:val="20"/>
        </w:rPr>
        <w:t>on</w:t>
      </w:r>
      <w:r w:rsidRPr="005827DA">
        <w:rPr>
          <w:rFonts w:ascii="Arial" w:hAnsi="Arial" w:cs="Arial"/>
          <w:spacing w:val="-4"/>
          <w:sz w:val="20"/>
          <w:szCs w:val="20"/>
        </w:rPr>
        <w:t xml:space="preserve"> </w:t>
      </w:r>
      <w:r w:rsidRPr="005827DA">
        <w:rPr>
          <w:rFonts w:ascii="Arial" w:hAnsi="Arial" w:cs="Arial"/>
          <w:sz w:val="20"/>
          <w:szCs w:val="20"/>
        </w:rPr>
        <w:t>how</w:t>
      </w:r>
      <w:r w:rsidRPr="005827DA">
        <w:rPr>
          <w:rFonts w:ascii="Arial" w:hAnsi="Arial" w:cs="Arial"/>
          <w:spacing w:val="-3"/>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familiarise</w:t>
      </w:r>
      <w:r w:rsidRPr="005827DA">
        <w:rPr>
          <w:rFonts w:ascii="Arial" w:hAnsi="Arial" w:cs="Arial"/>
          <w:spacing w:val="-5"/>
          <w:sz w:val="20"/>
          <w:szCs w:val="20"/>
        </w:rPr>
        <w:t xml:space="preserve"> </w:t>
      </w:r>
      <w:r w:rsidRPr="005827DA">
        <w:rPr>
          <w:rFonts w:ascii="Arial" w:hAnsi="Arial" w:cs="Arial"/>
          <w:sz w:val="20"/>
          <w:szCs w:val="20"/>
        </w:rPr>
        <w:t>the</w:t>
      </w:r>
      <w:r w:rsidRPr="005827DA">
        <w:rPr>
          <w:rFonts w:ascii="Arial" w:hAnsi="Arial" w:cs="Arial"/>
          <w:spacing w:val="-3"/>
          <w:sz w:val="20"/>
          <w:szCs w:val="20"/>
        </w:rPr>
        <w:t xml:space="preserve"> </w:t>
      </w:r>
      <w:r w:rsidRPr="005827DA">
        <w:rPr>
          <w:rFonts w:ascii="Arial" w:hAnsi="Arial" w:cs="Arial"/>
          <w:sz w:val="20"/>
          <w:szCs w:val="20"/>
        </w:rPr>
        <w:t>student</w:t>
      </w:r>
      <w:r w:rsidRPr="005827DA">
        <w:rPr>
          <w:rFonts w:ascii="Arial" w:hAnsi="Arial" w:cs="Arial"/>
          <w:spacing w:val="-3"/>
          <w:sz w:val="20"/>
          <w:szCs w:val="20"/>
        </w:rPr>
        <w:t xml:space="preserve"> </w:t>
      </w:r>
      <w:r w:rsidRPr="005827DA">
        <w:rPr>
          <w:rFonts w:ascii="Arial" w:hAnsi="Arial" w:cs="Arial"/>
          <w:sz w:val="20"/>
          <w:szCs w:val="20"/>
        </w:rPr>
        <w:t>pilot</w:t>
      </w:r>
      <w:r w:rsidRPr="005827DA">
        <w:rPr>
          <w:rFonts w:ascii="Arial" w:hAnsi="Arial" w:cs="Arial"/>
          <w:spacing w:val="-4"/>
          <w:sz w:val="20"/>
          <w:szCs w:val="20"/>
        </w:rPr>
        <w:t xml:space="preserve"> </w:t>
      </w:r>
      <w:r w:rsidRPr="005827DA">
        <w:rPr>
          <w:rFonts w:ascii="Arial" w:hAnsi="Arial" w:cs="Arial"/>
          <w:sz w:val="20"/>
          <w:szCs w:val="20"/>
        </w:rPr>
        <w:t>with</w:t>
      </w:r>
      <w:r w:rsidRPr="005827DA">
        <w:rPr>
          <w:rFonts w:ascii="Arial" w:hAnsi="Arial" w:cs="Arial"/>
          <w:spacing w:val="-48"/>
          <w:sz w:val="20"/>
          <w:szCs w:val="20"/>
        </w:rPr>
        <w:t xml:space="preserve"> </w:t>
      </w:r>
      <w:r w:rsidRPr="005827DA">
        <w:rPr>
          <w:rFonts w:ascii="Arial" w:hAnsi="Arial" w:cs="Arial"/>
          <w:sz w:val="20"/>
          <w:szCs w:val="20"/>
        </w:rPr>
        <w:t>the different phases of the inflation procedure, the use of restraint line and</w:t>
      </w:r>
      <w:r w:rsidRPr="005827DA">
        <w:rPr>
          <w:rFonts w:ascii="Arial" w:hAnsi="Arial" w:cs="Arial"/>
          <w:spacing w:val="-47"/>
          <w:sz w:val="20"/>
          <w:szCs w:val="20"/>
        </w:rPr>
        <w:t xml:space="preserve"> </w:t>
      </w:r>
      <w:r w:rsidRPr="005827DA">
        <w:rPr>
          <w:rFonts w:ascii="Arial" w:hAnsi="Arial" w:cs="Arial"/>
          <w:sz w:val="20"/>
          <w:szCs w:val="20"/>
        </w:rPr>
        <w:t>inflation fan (hot-air balloons) and the avoidance of electrostatic discharge</w:t>
      </w:r>
      <w:r w:rsidRPr="005827DA">
        <w:rPr>
          <w:rFonts w:ascii="Arial" w:hAnsi="Arial" w:cs="Arial"/>
          <w:spacing w:val="1"/>
          <w:sz w:val="20"/>
          <w:szCs w:val="20"/>
        </w:rPr>
        <w:t xml:space="preserve"> </w:t>
      </w:r>
      <w:r w:rsidRPr="005827DA">
        <w:rPr>
          <w:rFonts w:ascii="Arial" w:hAnsi="Arial" w:cs="Arial"/>
          <w:sz w:val="20"/>
          <w:szCs w:val="20"/>
        </w:rPr>
        <w:t>(gas balloons). Furthermore, the student instructor should learn how to</w:t>
      </w:r>
      <w:r w:rsidRPr="005827DA">
        <w:rPr>
          <w:rFonts w:ascii="Arial" w:hAnsi="Arial" w:cs="Arial"/>
          <w:spacing w:val="1"/>
          <w:sz w:val="20"/>
          <w:szCs w:val="20"/>
        </w:rPr>
        <w:t xml:space="preserve"> </w:t>
      </w:r>
      <w:r w:rsidRPr="005827DA">
        <w:rPr>
          <w:rFonts w:ascii="Arial" w:hAnsi="Arial" w:cs="Arial"/>
          <w:sz w:val="20"/>
          <w:szCs w:val="20"/>
        </w:rPr>
        <w:t>identify student errors</w:t>
      </w:r>
      <w:r w:rsidRPr="005827DA">
        <w:rPr>
          <w:rFonts w:ascii="Arial" w:hAnsi="Arial" w:cs="Arial"/>
          <w:spacing w:val="-3"/>
          <w:sz w:val="20"/>
          <w:szCs w:val="20"/>
        </w:rPr>
        <w:t xml:space="preserve"> </w:t>
      </w:r>
      <w:r w:rsidRPr="005827DA">
        <w:rPr>
          <w:rFonts w:ascii="Arial" w:hAnsi="Arial" w:cs="Arial"/>
          <w:sz w:val="20"/>
          <w:szCs w:val="20"/>
        </w:rPr>
        <w:t>and</w:t>
      </w:r>
      <w:r w:rsidRPr="005827DA">
        <w:rPr>
          <w:rFonts w:ascii="Arial" w:hAnsi="Arial" w:cs="Arial"/>
          <w:spacing w:val="-3"/>
          <w:sz w:val="20"/>
          <w:szCs w:val="20"/>
        </w:rPr>
        <w:t xml:space="preserve"> </w:t>
      </w:r>
      <w:r w:rsidRPr="005827DA">
        <w:rPr>
          <w:rFonts w:ascii="Arial" w:hAnsi="Arial" w:cs="Arial"/>
          <w:sz w:val="20"/>
          <w:szCs w:val="20"/>
        </w:rPr>
        <w:t>how</w:t>
      </w:r>
      <w:r w:rsidRPr="005827DA">
        <w:rPr>
          <w:rFonts w:ascii="Arial" w:hAnsi="Arial" w:cs="Arial"/>
          <w:spacing w:val="-2"/>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correct</w:t>
      </w:r>
      <w:r w:rsidRPr="005827DA">
        <w:rPr>
          <w:rFonts w:ascii="Arial" w:hAnsi="Arial" w:cs="Arial"/>
          <w:spacing w:val="-2"/>
          <w:sz w:val="20"/>
          <w:szCs w:val="20"/>
        </w:rPr>
        <w:t xml:space="preserve"> </w:t>
      </w:r>
      <w:r w:rsidRPr="005827DA">
        <w:rPr>
          <w:rFonts w:ascii="Arial" w:hAnsi="Arial" w:cs="Arial"/>
          <w:sz w:val="20"/>
          <w:szCs w:val="20"/>
        </w:rPr>
        <w:t>them</w:t>
      </w:r>
      <w:r w:rsidRPr="005827DA">
        <w:rPr>
          <w:rFonts w:ascii="Arial" w:hAnsi="Arial" w:cs="Arial"/>
          <w:spacing w:val="1"/>
          <w:sz w:val="20"/>
          <w:szCs w:val="20"/>
        </w:rPr>
        <w:t xml:space="preserve"> </w:t>
      </w:r>
      <w:r w:rsidRPr="005827DA">
        <w:rPr>
          <w:rFonts w:ascii="Arial" w:hAnsi="Arial" w:cs="Arial"/>
          <w:sz w:val="20"/>
          <w:szCs w:val="20"/>
        </w:rPr>
        <w:t>properly.</w:t>
      </w:r>
    </w:p>
    <w:p w14:paraId="06E38560" w14:textId="77777777" w:rsidR="00F20810" w:rsidRPr="005827DA" w:rsidRDefault="00F20810" w:rsidP="005827DA">
      <w:pPr>
        <w:pStyle w:val="ListParagraph"/>
        <w:numPr>
          <w:ilvl w:val="0"/>
          <w:numId w:val="245"/>
        </w:numPr>
        <w:tabs>
          <w:tab w:val="left" w:pos="90"/>
          <w:tab w:val="left" w:pos="2409"/>
        </w:tabs>
        <w:spacing w:before="122" w:line="276" w:lineRule="auto"/>
        <w:ind w:right="68" w:hanging="436"/>
        <w:jc w:val="both"/>
        <w:rPr>
          <w:rFonts w:ascii="Arial" w:hAnsi="Arial" w:cs="Arial"/>
          <w:sz w:val="20"/>
          <w:szCs w:val="20"/>
        </w:rPr>
      </w:pPr>
      <w:r w:rsidRPr="005827DA">
        <w:rPr>
          <w:rFonts w:ascii="Arial" w:hAnsi="Arial" w:cs="Arial"/>
          <w:sz w:val="20"/>
          <w:szCs w:val="20"/>
        </w:rPr>
        <w:t>Briefing</w:t>
      </w:r>
    </w:p>
    <w:p w14:paraId="61807775" w14:textId="77777777" w:rsidR="00F20810" w:rsidRPr="005827DA" w:rsidRDefault="00F20810" w:rsidP="005827DA">
      <w:pPr>
        <w:pStyle w:val="BodyText"/>
        <w:tabs>
          <w:tab w:val="left" w:pos="90"/>
        </w:tabs>
        <w:spacing w:line="276" w:lineRule="auto"/>
        <w:ind w:left="2408"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student</w:t>
      </w:r>
      <w:r w:rsidRPr="005827DA">
        <w:rPr>
          <w:rFonts w:ascii="Arial" w:hAnsi="Arial" w:cs="Arial"/>
          <w:spacing w:val="-2"/>
          <w:sz w:val="20"/>
          <w:szCs w:val="20"/>
        </w:rPr>
        <w:t xml:space="preserve"> </w:t>
      </w:r>
      <w:r w:rsidRPr="005827DA">
        <w:rPr>
          <w:rFonts w:ascii="Arial" w:hAnsi="Arial" w:cs="Arial"/>
          <w:sz w:val="20"/>
          <w:szCs w:val="20"/>
        </w:rPr>
        <w:t>instructor has</w:t>
      </w:r>
      <w:r w:rsidRPr="005827DA">
        <w:rPr>
          <w:rFonts w:ascii="Arial" w:hAnsi="Arial" w:cs="Arial"/>
          <w:spacing w:val="-5"/>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explain:</w:t>
      </w:r>
    </w:p>
    <w:p w14:paraId="1873BD91" w14:textId="77777777" w:rsidR="00F20810" w:rsidRPr="005827DA" w:rsidRDefault="00F20810" w:rsidP="005827DA">
      <w:pPr>
        <w:pStyle w:val="ListParagraph"/>
        <w:numPr>
          <w:ilvl w:val="1"/>
          <w:numId w:val="245"/>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different</w:t>
      </w:r>
      <w:r w:rsidRPr="005827DA">
        <w:rPr>
          <w:rFonts w:ascii="Arial" w:hAnsi="Arial" w:cs="Arial"/>
          <w:spacing w:val="-1"/>
          <w:sz w:val="20"/>
          <w:szCs w:val="20"/>
        </w:rPr>
        <w:t xml:space="preserve"> </w:t>
      </w:r>
      <w:r w:rsidRPr="005827DA">
        <w:rPr>
          <w:rFonts w:ascii="Arial" w:hAnsi="Arial" w:cs="Arial"/>
          <w:sz w:val="20"/>
          <w:szCs w:val="20"/>
        </w:rPr>
        <w:t>phases</w:t>
      </w:r>
      <w:r w:rsidRPr="005827DA">
        <w:rPr>
          <w:rFonts w:ascii="Arial" w:hAnsi="Arial" w:cs="Arial"/>
          <w:spacing w:val="-3"/>
          <w:sz w:val="20"/>
          <w:szCs w:val="20"/>
        </w:rPr>
        <w:t xml:space="preserve"> </w:t>
      </w:r>
      <w:r w:rsidRPr="005827DA">
        <w:rPr>
          <w:rFonts w:ascii="Arial" w:hAnsi="Arial" w:cs="Arial"/>
          <w:sz w:val="20"/>
          <w:szCs w:val="20"/>
        </w:rPr>
        <w:t>of</w:t>
      </w:r>
      <w:r w:rsidRPr="005827DA">
        <w:rPr>
          <w:rFonts w:ascii="Arial" w:hAnsi="Arial" w:cs="Arial"/>
          <w:spacing w:val="-4"/>
          <w:sz w:val="20"/>
          <w:szCs w:val="20"/>
        </w:rPr>
        <w:t xml:space="preserve"> </w:t>
      </w: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inflation</w:t>
      </w:r>
      <w:r w:rsidRPr="005827DA">
        <w:rPr>
          <w:rFonts w:ascii="Arial" w:hAnsi="Arial" w:cs="Arial"/>
          <w:spacing w:val="-2"/>
          <w:sz w:val="20"/>
          <w:szCs w:val="20"/>
        </w:rPr>
        <w:t xml:space="preserve"> </w:t>
      </w:r>
      <w:r w:rsidRPr="005827DA">
        <w:rPr>
          <w:rFonts w:ascii="Arial" w:hAnsi="Arial" w:cs="Arial"/>
          <w:sz w:val="20"/>
          <w:szCs w:val="20"/>
        </w:rPr>
        <w:t>procedure;</w:t>
      </w:r>
    </w:p>
    <w:p w14:paraId="2B3C1308" w14:textId="77777777" w:rsidR="00F20810" w:rsidRPr="005827DA" w:rsidRDefault="00F20810" w:rsidP="005827DA">
      <w:pPr>
        <w:pStyle w:val="ListParagraph"/>
        <w:numPr>
          <w:ilvl w:val="1"/>
          <w:numId w:val="245"/>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crowd</w:t>
      </w:r>
      <w:r w:rsidRPr="005827DA">
        <w:rPr>
          <w:rFonts w:ascii="Arial" w:hAnsi="Arial" w:cs="Arial"/>
          <w:spacing w:val="-2"/>
          <w:sz w:val="20"/>
          <w:szCs w:val="20"/>
        </w:rPr>
        <w:t xml:space="preserve"> </w:t>
      </w:r>
      <w:r w:rsidRPr="005827DA">
        <w:rPr>
          <w:rFonts w:ascii="Arial" w:hAnsi="Arial" w:cs="Arial"/>
          <w:sz w:val="20"/>
          <w:szCs w:val="20"/>
        </w:rPr>
        <w:t>control</w:t>
      </w:r>
      <w:r w:rsidRPr="005827DA">
        <w:rPr>
          <w:rFonts w:ascii="Arial" w:hAnsi="Arial" w:cs="Arial"/>
          <w:spacing w:val="-1"/>
          <w:sz w:val="20"/>
          <w:szCs w:val="20"/>
        </w:rPr>
        <w:t xml:space="preserve"> </w:t>
      </w:r>
      <w:r w:rsidRPr="005827DA">
        <w:rPr>
          <w:rFonts w:ascii="Arial" w:hAnsi="Arial" w:cs="Arial"/>
          <w:sz w:val="20"/>
          <w:szCs w:val="20"/>
        </w:rPr>
        <w:t>and</w:t>
      </w:r>
      <w:r w:rsidRPr="005827DA">
        <w:rPr>
          <w:rFonts w:ascii="Arial" w:hAnsi="Arial" w:cs="Arial"/>
          <w:spacing w:val="-1"/>
          <w:sz w:val="20"/>
          <w:szCs w:val="20"/>
        </w:rPr>
        <w:t xml:space="preserve"> </w:t>
      </w:r>
      <w:r w:rsidRPr="005827DA">
        <w:rPr>
          <w:rFonts w:ascii="Arial" w:hAnsi="Arial" w:cs="Arial"/>
          <w:sz w:val="20"/>
          <w:szCs w:val="20"/>
        </w:rPr>
        <w:t>securing</w:t>
      </w:r>
      <w:r w:rsidRPr="005827DA">
        <w:rPr>
          <w:rFonts w:ascii="Arial" w:hAnsi="Arial" w:cs="Arial"/>
          <w:spacing w:val="-1"/>
          <w:sz w:val="20"/>
          <w:szCs w:val="20"/>
        </w:rPr>
        <w:t xml:space="preserve"> </w:t>
      </w:r>
      <w:r w:rsidRPr="005827DA">
        <w:rPr>
          <w:rFonts w:ascii="Arial" w:hAnsi="Arial" w:cs="Arial"/>
          <w:sz w:val="20"/>
          <w:szCs w:val="20"/>
        </w:rPr>
        <w:t>procedures</w:t>
      </w:r>
      <w:r w:rsidRPr="005827DA">
        <w:rPr>
          <w:rFonts w:ascii="Arial" w:hAnsi="Arial" w:cs="Arial"/>
          <w:spacing w:val="-3"/>
          <w:sz w:val="20"/>
          <w:szCs w:val="20"/>
        </w:rPr>
        <w:t xml:space="preserve"> </w:t>
      </w:r>
      <w:r w:rsidRPr="005827DA">
        <w:rPr>
          <w:rFonts w:ascii="Arial" w:hAnsi="Arial" w:cs="Arial"/>
          <w:sz w:val="20"/>
          <w:szCs w:val="20"/>
        </w:rPr>
        <w:t>during</w:t>
      </w:r>
      <w:r w:rsidRPr="005827DA">
        <w:rPr>
          <w:rFonts w:ascii="Arial" w:hAnsi="Arial" w:cs="Arial"/>
          <w:spacing w:val="-1"/>
          <w:sz w:val="20"/>
          <w:szCs w:val="20"/>
        </w:rPr>
        <w:t xml:space="preserve"> </w:t>
      </w:r>
      <w:r w:rsidRPr="005827DA">
        <w:rPr>
          <w:rFonts w:ascii="Arial" w:hAnsi="Arial" w:cs="Arial"/>
          <w:sz w:val="20"/>
          <w:szCs w:val="20"/>
        </w:rPr>
        <w:t>inflation;</w:t>
      </w:r>
    </w:p>
    <w:p w14:paraId="3AB2EBF4" w14:textId="77777777" w:rsidR="00F20810" w:rsidRPr="005827DA" w:rsidRDefault="00F20810" w:rsidP="005827DA">
      <w:pPr>
        <w:pStyle w:val="ListParagraph"/>
        <w:numPr>
          <w:ilvl w:val="1"/>
          <w:numId w:val="245"/>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use</w:t>
      </w:r>
      <w:r w:rsidRPr="005827DA">
        <w:rPr>
          <w:rFonts w:ascii="Arial" w:hAnsi="Arial" w:cs="Arial"/>
          <w:spacing w:val="-2"/>
          <w:sz w:val="20"/>
          <w:szCs w:val="20"/>
        </w:rPr>
        <w:t xml:space="preserve"> </w:t>
      </w:r>
      <w:r w:rsidRPr="005827DA">
        <w:rPr>
          <w:rFonts w:ascii="Arial" w:hAnsi="Arial" w:cs="Arial"/>
          <w:sz w:val="20"/>
          <w:szCs w:val="20"/>
        </w:rPr>
        <w:t>of</w:t>
      </w:r>
      <w:r w:rsidRPr="005827DA">
        <w:rPr>
          <w:rFonts w:ascii="Arial" w:hAnsi="Arial" w:cs="Arial"/>
          <w:spacing w:val="-2"/>
          <w:sz w:val="20"/>
          <w:szCs w:val="20"/>
        </w:rPr>
        <w:t xml:space="preserve"> </w:t>
      </w:r>
      <w:r w:rsidRPr="005827DA">
        <w:rPr>
          <w:rFonts w:ascii="Arial" w:hAnsi="Arial" w:cs="Arial"/>
          <w:sz w:val="20"/>
          <w:szCs w:val="20"/>
        </w:rPr>
        <w:t>the inflation</w:t>
      </w:r>
      <w:r w:rsidRPr="005827DA">
        <w:rPr>
          <w:rFonts w:ascii="Arial" w:hAnsi="Arial" w:cs="Arial"/>
          <w:spacing w:val="-2"/>
          <w:sz w:val="20"/>
          <w:szCs w:val="20"/>
        </w:rPr>
        <w:t xml:space="preserve"> </w:t>
      </w:r>
      <w:r w:rsidRPr="005827DA">
        <w:rPr>
          <w:rFonts w:ascii="Arial" w:hAnsi="Arial" w:cs="Arial"/>
          <w:sz w:val="20"/>
          <w:szCs w:val="20"/>
        </w:rPr>
        <w:t>fan</w:t>
      </w:r>
      <w:r w:rsidRPr="005827DA">
        <w:rPr>
          <w:rFonts w:ascii="Arial" w:hAnsi="Arial" w:cs="Arial"/>
          <w:spacing w:val="-3"/>
          <w:sz w:val="20"/>
          <w:szCs w:val="20"/>
        </w:rPr>
        <w:t xml:space="preserve"> </w:t>
      </w:r>
      <w:r w:rsidRPr="005827DA">
        <w:rPr>
          <w:rFonts w:ascii="Arial" w:hAnsi="Arial" w:cs="Arial"/>
          <w:sz w:val="20"/>
          <w:szCs w:val="20"/>
        </w:rPr>
        <w:t>(hot-air</w:t>
      </w:r>
      <w:r w:rsidRPr="005827DA">
        <w:rPr>
          <w:rFonts w:ascii="Arial" w:hAnsi="Arial" w:cs="Arial"/>
          <w:spacing w:val="-1"/>
          <w:sz w:val="20"/>
          <w:szCs w:val="20"/>
        </w:rPr>
        <w:t xml:space="preserve"> </w:t>
      </w:r>
      <w:r w:rsidRPr="005827DA">
        <w:rPr>
          <w:rFonts w:ascii="Arial" w:hAnsi="Arial" w:cs="Arial"/>
          <w:sz w:val="20"/>
          <w:szCs w:val="20"/>
        </w:rPr>
        <w:t>balloons);</w:t>
      </w:r>
      <w:r w:rsidRPr="005827DA">
        <w:rPr>
          <w:rFonts w:ascii="Arial" w:hAnsi="Arial" w:cs="Arial"/>
          <w:spacing w:val="1"/>
          <w:sz w:val="20"/>
          <w:szCs w:val="20"/>
        </w:rPr>
        <w:t xml:space="preserve"> </w:t>
      </w:r>
      <w:r w:rsidRPr="005827DA">
        <w:rPr>
          <w:rFonts w:ascii="Arial" w:hAnsi="Arial" w:cs="Arial"/>
          <w:sz w:val="20"/>
          <w:szCs w:val="20"/>
        </w:rPr>
        <w:t>and</w:t>
      </w:r>
    </w:p>
    <w:p w14:paraId="7D12C581" w14:textId="77777777" w:rsidR="00F20810" w:rsidRPr="005827DA" w:rsidRDefault="00F20810" w:rsidP="005827DA">
      <w:pPr>
        <w:pStyle w:val="ListParagraph"/>
        <w:numPr>
          <w:ilvl w:val="1"/>
          <w:numId w:val="245"/>
        </w:numPr>
        <w:tabs>
          <w:tab w:val="left" w:pos="90"/>
          <w:tab w:val="left" w:pos="2975"/>
          <w:tab w:val="left" w:pos="2976"/>
        </w:tabs>
        <w:spacing w:before="118"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4"/>
          <w:sz w:val="20"/>
          <w:szCs w:val="20"/>
        </w:rPr>
        <w:t xml:space="preserve"> </w:t>
      </w:r>
      <w:r w:rsidRPr="005827DA">
        <w:rPr>
          <w:rFonts w:ascii="Arial" w:hAnsi="Arial" w:cs="Arial"/>
          <w:sz w:val="20"/>
          <w:szCs w:val="20"/>
        </w:rPr>
        <w:t>to</w:t>
      </w:r>
      <w:r w:rsidRPr="005827DA">
        <w:rPr>
          <w:rFonts w:ascii="Arial" w:hAnsi="Arial" w:cs="Arial"/>
          <w:spacing w:val="-3"/>
          <w:sz w:val="20"/>
          <w:szCs w:val="20"/>
        </w:rPr>
        <w:t xml:space="preserve"> </w:t>
      </w:r>
      <w:r w:rsidRPr="005827DA">
        <w:rPr>
          <w:rFonts w:ascii="Arial" w:hAnsi="Arial" w:cs="Arial"/>
          <w:sz w:val="20"/>
          <w:szCs w:val="20"/>
        </w:rPr>
        <w:t>avoid</w:t>
      </w:r>
      <w:r w:rsidRPr="005827DA">
        <w:rPr>
          <w:rFonts w:ascii="Arial" w:hAnsi="Arial" w:cs="Arial"/>
          <w:spacing w:val="-3"/>
          <w:sz w:val="20"/>
          <w:szCs w:val="20"/>
        </w:rPr>
        <w:t xml:space="preserve"> </w:t>
      </w:r>
      <w:r w:rsidRPr="005827DA">
        <w:rPr>
          <w:rFonts w:ascii="Arial" w:hAnsi="Arial" w:cs="Arial"/>
          <w:sz w:val="20"/>
          <w:szCs w:val="20"/>
        </w:rPr>
        <w:t>electronic</w:t>
      </w:r>
      <w:r w:rsidRPr="005827DA">
        <w:rPr>
          <w:rFonts w:ascii="Arial" w:hAnsi="Arial" w:cs="Arial"/>
          <w:spacing w:val="-2"/>
          <w:sz w:val="20"/>
          <w:szCs w:val="20"/>
        </w:rPr>
        <w:t xml:space="preserve"> </w:t>
      </w:r>
      <w:r w:rsidRPr="005827DA">
        <w:rPr>
          <w:rFonts w:ascii="Arial" w:hAnsi="Arial" w:cs="Arial"/>
          <w:sz w:val="20"/>
          <w:szCs w:val="20"/>
        </w:rPr>
        <w:t>discharge (gas</w:t>
      </w:r>
      <w:r w:rsidRPr="005827DA">
        <w:rPr>
          <w:rFonts w:ascii="Arial" w:hAnsi="Arial" w:cs="Arial"/>
          <w:spacing w:val="-2"/>
          <w:sz w:val="20"/>
          <w:szCs w:val="20"/>
        </w:rPr>
        <w:t xml:space="preserve"> </w:t>
      </w:r>
      <w:r w:rsidRPr="005827DA">
        <w:rPr>
          <w:rFonts w:ascii="Arial" w:hAnsi="Arial" w:cs="Arial"/>
          <w:sz w:val="20"/>
          <w:szCs w:val="20"/>
        </w:rPr>
        <w:t>balloons).</w:t>
      </w:r>
    </w:p>
    <w:p w14:paraId="542FEC35" w14:textId="77777777" w:rsidR="00F20810" w:rsidRPr="005827DA" w:rsidRDefault="00F20810" w:rsidP="005827DA">
      <w:pPr>
        <w:pStyle w:val="ListParagraph"/>
        <w:numPr>
          <w:ilvl w:val="0"/>
          <w:numId w:val="245"/>
        </w:numPr>
        <w:tabs>
          <w:tab w:val="left" w:pos="90"/>
          <w:tab w:val="left" w:pos="2408"/>
          <w:tab w:val="left" w:pos="2409"/>
        </w:tabs>
        <w:spacing w:line="276" w:lineRule="auto"/>
        <w:ind w:right="68" w:hanging="436"/>
        <w:jc w:val="both"/>
        <w:rPr>
          <w:rFonts w:ascii="Arial" w:hAnsi="Arial" w:cs="Arial"/>
          <w:sz w:val="20"/>
          <w:szCs w:val="20"/>
        </w:rPr>
      </w:pPr>
      <w:r w:rsidRPr="005827DA">
        <w:rPr>
          <w:rFonts w:ascii="Arial" w:hAnsi="Arial" w:cs="Arial"/>
          <w:sz w:val="20"/>
          <w:szCs w:val="20"/>
        </w:rPr>
        <w:t>Exercise</w:t>
      </w:r>
    </w:p>
    <w:p w14:paraId="4D85A151" w14:textId="77777777" w:rsidR="00F20810" w:rsidRPr="005827DA" w:rsidRDefault="00F20810" w:rsidP="005827DA">
      <w:pPr>
        <w:pStyle w:val="BodyText"/>
        <w:tabs>
          <w:tab w:val="left" w:pos="90"/>
        </w:tabs>
        <w:spacing w:line="276" w:lineRule="auto"/>
        <w:ind w:left="2408"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student</w:t>
      </w:r>
      <w:r w:rsidRPr="005827DA">
        <w:rPr>
          <w:rFonts w:ascii="Arial" w:hAnsi="Arial" w:cs="Arial"/>
          <w:spacing w:val="-3"/>
          <w:sz w:val="20"/>
          <w:szCs w:val="20"/>
        </w:rPr>
        <w:t xml:space="preserve"> </w:t>
      </w:r>
      <w:r w:rsidRPr="005827DA">
        <w:rPr>
          <w:rFonts w:ascii="Arial" w:hAnsi="Arial" w:cs="Arial"/>
          <w:sz w:val="20"/>
          <w:szCs w:val="20"/>
        </w:rPr>
        <w:t>instructor</w:t>
      </w:r>
      <w:r w:rsidRPr="005827DA">
        <w:rPr>
          <w:rFonts w:ascii="Arial" w:hAnsi="Arial" w:cs="Arial"/>
          <w:spacing w:val="-2"/>
          <w:sz w:val="20"/>
          <w:szCs w:val="20"/>
        </w:rPr>
        <w:t xml:space="preserve"> </w:t>
      </w:r>
      <w:r w:rsidRPr="005827DA">
        <w:rPr>
          <w:rFonts w:ascii="Arial" w:hAnsi="Arial" w:cs="Arial"/>
          <w:sz w:val="20"/>
          <w:szCs w:val="20"/>
        </w:rPr>
        <w:t>has</w:t>
      </w:r>
      <w:r w:rsidRPr="005827DA">
        <w:rPr>
          <w:rFonts w:ascii="Arial" w:hAnsi="Arial" w:cs="Arial"/>
          <w:spacing w:val="-6"/>
          <w:sz w:val="20"/>
          <w:szCs w:val="20"/>
        </w:rPr>
        <w:t xml:space="preserve"> </w:t>
      </w:r>
      <w:r w:rsidRPr="005827DA">
        <w:rPr>
          <w:rFonts w:ascii="Arial" w:hAnsi="Arial" w:cs="Arial"/>
          <w:sz w:val="20"/>
          <w:szCs w:val="20"/>
        </w:rPr>
        <w:t>to demonstrate:</w:t>
      </w:r>
    </w:p>
    <w:p w14:paraId="1A8A8821" w14:textId="77777777" w:rsidR="00F20810" w:rsidRPr="005827DA" w:rsidRDefault="00F20810" w:rsidP="005827DA">
      <w:pPr>
        <w:pStyle w:val="ListParagraph"/>
        <w:numPr>
          <w:ilvl w:val="1"/>
          <w:numId w:val="245"/>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37"/>
          <w:sz w:val="20"/>
          <w:szCs w:val="20"/>
        </w:rPr>
        <w:t xml:space="preserve"> </w:t>
      </w:r>
      <w:r w:rsidRPr="005827DA">
        <w:rPr>
          <w:rFonts w:ascii="Arial" w:hAnsi="Arial" w:cs="Arial"/>
          <w:sz w:val="20"/>
          <w:szCs w:val="20"/>
        </w:rPr>
        <w:t>crowd</w:t>
      </w:r>
      <w:r w:rsidRPr="005827DA">
        <w:rPr>
          <w:rFonts w:ascii="Arial" w:hAnsi="Arial" w:cs="Arial"/>
          <w:spacing w:val="37"/>
          <w:sz w:val="20"/>
          <w:szCs w:val="20"/>
        </w:rPr>
        <w:t xml:space="preserve"> </w:t>
      </w:r>
      <w:r w:rsidRPr="005827DA">
        <w:rPr>
          <w:rFonts w:ascii="Arial" w:hAnsi="Arial" w:cs="Arial"/>
          <w:sz w:val="20"/>
          <w:szCs w:val="20"/>
        </w:rPr>
        <w:t>control</w:t>
      </w:r>
      <w:r w:rsidRPr="005827DA">
        <w:rPr>
          <w:rFonts w:ascii="Arial" w:hAnsi="Arial" w:cs="Arial"/>
          <w:spacing w:val="37"/>
          <w:sz w:val="20"/>
          <w:szCs w:val="20"/>
        </w:rPr>
        <w:t xml:space="preserve"> </w:t>
      </w:r>
      <w:r w:rsidRPr="005827DA">
        <w:rPr>
          <w:rFonts w:ascii="Arial" w:hAnsi="Arial" w:cs="Arial"/>
          <w:sz w:val="20"/>
          <w:szCs w:val="20"/>
        </w:rPr>
        <w:t>and</w:t>
      </w:r>
      <w:r w:rsidRPr="005827DA">
        <w:rPr>
          <w:rFonts w:ascii="Arial" w:hAnsi="Arial" w:cs="Arial"/>
          <w:spacing w:val="37"/>
          <w:sz w:val="20"/>
          <w:szCs w:val="20"/>
        </w:rPr>
        <w:t xml:space="preserve"> </w:t>
      </w:r>
      <w:r w:rsidRPr="005827DA">
        <w:rPr>
          <w:rFonts w:ascii="Arial" w:hAnsi="Arial" w:cs="Arial"/>
          <w:sz w:val="20"/>
          <w:szCs w:val="20"/>
        </w:rPr>
        <w:t>securing</w:t>
      </w:r>
      <w:r w:rsidRPr="005827DA">
        <w:rPr>
          <w:rFonts w:ascii="Arial" w:hAnsi="Arial" w:cs="Arial"/>
          <w:spacing w:val="37"/>
          <w:sz w:val="20"/>
          <w:szCs w:val="20"/>
        </w:rPr>
        <w:t xml:space="preserve"> </w:t>
      </w:r>
      <w:r w:rsidRPr="005827DA">
        <w:rPr>
          <w:rFonts w:ascii="Arial" w:hAnsi="Arial" w:cs="Arial"/>
          <w:sz w:val="20"/>
          <w:szCs w:val="20"/>
        </w:rPr>
        <w:t>of</w:t>
      </w:r>
      <w:r w:rsidRPr="005827DA">
        <w:rPr>
          <w:rFonts w:ascii="Arial" w:hAnsi="Arial" w:cs="Arial"/>
          <w:spacing w:val="38"/>
          <w:sz w:val="20"/>
          <w:szCs w:val="20"/>
        </w:rPr>
        <w:t xml:space="preserve"> </w:t>
      </w:r>
      <w:r w:rsidRPr="005827DA">
        <w:rPr>
          <w:rFonts w:ascii="Arial" w:hAnsi="Arial" w:cs="Arial"/>
          <w:sz w:val="20"/>
          <w:szCs w:val="20"/>
        </w:rPr>
        <w:t>the</w:t>
      </w:r>
      <w:r w:rsidRPr="005827DA">
        <w:rPr>
          <w:rFonts w:ascii="Arial" w:hAnsi="Arial" w:cs="Arial"/>
          <w:spacing w:val="38"/>
          <w:sz w:val="20"/>
          <w:szCs w:val="20"/>
        </w:rPr>
        <w:t xml:space="preserve"> </w:t>
      </w:r>
      <w:r w:rsidRPr="005827DA">
        <w:rPr>
          <w:rFonts w:ascii="Arial" w:hAnsi="Arial" w:cs="Arial"/>
          <w:sz w:val="20"/>
          <w:szCs w:val="20"/>
        </w:rPr>
        <w:t>launch</w:t>
      </w:r>
      <w:r w:rsidRPr="005827DA">
        <w:rPr>
          <w:rFonts w:ascii="Arial" w:hAnsi="Arial" w:cs="Arial"/>
          <w:spacing w:val="37"/>
          <w:sz w:val="20"/>
          <w:szCs w:val="20"/>
        </w:rPr>
        <w:t xml:space="preserve"> </w:t>
      </w:r>
      <w:r w:rsidRPr="005827DA">
        <w:rPr>
          <w:rFonts w:ascii="Arial" w:hAnsi="Arial" w:cs="Arial"/>
          <w:sz w:val="20"/>
          <w:szCs w:val="20"/>
        </w:rPr>
        <w:t>site</w:t>
      </w:r>
      <w:r w:rsidRPr="005827DA">
        <w:rPr>
          <w:rFonts w:ascii="Arial" w:hAnsi="Arial" w:cs="Arial"/>
          <w:spacing w:val="36"/>
          <w:sz w:val="20"/>
          <w:szCs w:val="20"/>
        </w:rPr>
        <w:t xml:space="preserve"> </w:t>
      </w:r>
      <w:r w:rsidRPr="005827DA">
        <w:rPr>
          <w:rFonts w:ascii="Arial" w:hAnsi="Arial" w:cs="Arial"/>
          <w:sz w:val="20"/>
          <w:szCs w:val="20"/>
        </w:rPr>
        <w:t>during</w:t>
      </w:r>
      <w:r w:rsidRPr="005827DA">
        <w:rPr>
          <w:rFonts w:ascii="Arial" w:hAnsi="Arial" w:cs="Arial"/>
          <w:spacing w:val="37"/>
          <w:sz w:val="20"/>
          <w:szCs w:val="20"/>
        </w:rPr>
        <w:t xml:space="preserve"> </w:t>
      </w:r>
      <w:r w:rsidRPr="005827DA">
        <w:rPr>
          <w:rFonts w:ascii="Arial" w:hAnsi="Arial" w:cs="Arial"/>
          <w:sz w:val="20"/>
          <w:szCs w:val="20"/>
        </w:rPr>
        <w:t>inflation</w:t>
      </w:r>
      <w:r w:rsidRPr="005827DA">
        <w:rPr>
          <w:rFonts w:ascii="Arial" w:hAnsi="Arial" w:cs="Arial"/>
          <w:spacing w:val="-46"/>
          <w:sz w:val="20"/>
          <w:szCs w:val="20"/>
        </w:rPr>
        <w:t xml:space="preserve"> </w:t>
      </w:r>
      <w:r w:rsidRPr="005827DA">
        <w:rPr>
          <w:rFonts w:ascii="Arial" w:hAnsi="Arial" w:cs="Arial"/>
          <w:sz w:val="20"/>
          <w:szCs w:val="20"/>
        </w:rPr>
        <w:t>procedure;</w:t>
      </w:r>
    </w:p>
    <w:p w14:paraId="4F951C73" w14:textId="77777777" w:rsidR="00F20810" w:rsidRPr="005827DA" w:rsidRDefault="00F20810" w:rsidP="005827DA">
      <w:pPr>
        <w:pStyle w:val="ListParagraph"/>
        <w:numPr>
          <w:ilvl w:val="1"/>
          <w:numId w:val="245"/>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the cold inflation procedure and use of restraint line and inflation fan</w:t>
      </w:r>
      <w:r w:rsidRPr="005827DA">
        <w:rPr>
          <w:rFonts w:ascii="Arial" w:hAnsi="Arial" w:cs="Arial"/>
          <w:spacing w:val="-47"/>
          <w:sz w:val="20"/>
          <w:szCs w:val="20"/>
        </w:rPr>
        <w:t xml:space="preserve"> </w:t>
      </w:r>
      <w:r w:rsidRPr="005827DA">
        <w:rPr>
          <w:rFonts w:ascii="Arial" w:hAnsi="Arial" w:cs="Arial"/>
          <w:sz w:val="20"/>
          <w:szCs w:val="20"/>
        </w:rPr>
        <w:t>(hot-air</w:t>
      </w:r>
      <w:r w:rsidRPr="005827DA">
        <w:rPr>
          <w:rFonts w:ascii="Arial" w:hAnsi="Arial" w:cs="Arial"/>
          <w:spacing w:val="-2"/>
          <w:sz w:val="20"/>
          <w:szCs w:val="20"/>
        </w:rPr>
        <w:t xml:space="preserve"> </w:t>
      </w:r>
      <w:r w:rsidRPr="005827DA">
        <w:rPr>
          <w:rFonts w:ascii="Arial" w:hAnsi="Arial" w:cs="Arial"/>
          <w:sz w:val="20"/>
          <w:szCs w:val="20"/>
        </w:rPr>
        <w:t>balloons);</w:t>
      </w:r>
    </w:p>
    <w:p w14:paraId="2671460A" w14:textId="77777777" w:rsidR="00F20810" w:rsidRPr="005827DA" w:rsidRDefault="00F20810" w:rsidP="005827DA">
      <w:pPr>
        <w:pStyle w:val="ListParagraph"/>
        <w:numPr>
          <w:ilvl w:val="1"/>
          <w:numId w:val="245"/>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hot</w:t>
      </w:r>
      <w:r w:rsidRPr="005827DA">
        <w:rPr>
          <w:rFonts w:ascii="Arial" w:hAnsi="Arial" w:cs="Arial"/>
          <w:spacing w:val="-1"/>
          <w:sz w:val="20"/>
          <w:szCs w:val="20"/>
        </w:rPr>
        <w:t xml:space="preserve"> </w:t>
      </w:r>
      <w:r w:rsidRPr="005827DA">
        <w:rPr>
          <w:rFonts w:ascii="Arial" w:hAnsi="Arial" w:cs="Arial"/>
          <w:sz w:val="20"/>
          <w:szCs w:val="20"/>
        </w:rPr>
        <w:t>inflation</w:t>
      </w:r>
      <w:r w:rsidRPr="005827DA">
        <w:rPr>
          <w:rFonts w:ascii="Arial" w:hAnsi="Arial" w:cs="Arial"/>
          <w:spacing w:val="-2"/>
          <w:sz w:val="20"/>
          <w:szCs w:val="20"/>
        </w:rPr>
        <w:t xml:space="preserve"> </w:t>
      </w:r>
      <w:r w:rsidRPr="005827DA">
        <w:rPr>
          <w:rFonts w:ascii="Arial" w:hAnsi="Arial" w:cs="Arial"/>
          <w:sz w:val="20"/>
          <w:szCs w:val="20"/>
        </w:rPr>
        <w:t>procedure</w:t>
      </w:r>
      <w:r w:rsidRPr="005827DA">
        <w:rPr>
          <w:rFonts w:ascii="Arial" w:hAnsi="Arial" w:cs="Arial"/>
          <w:spacing w:val="-4"/>
          <w:sz w:val="20"/>
          <w:szCs w:val="20"/>
        </w:rPr>
        <w:t xml:space="preserve"> </w:t>
      </w:r>
      <w:r w:rsidRPr="005827DA">
        <w:rPr>
          <w:rFonts w:ascii="Arial" w:hAnsi="Arial" w:cs="Arial"/>
          <w:sz w:val="20"/>
          <w:szCs w:val="20"/>
        </w:rPr>
        <w:t>(hot-air</w:t>
      </w:r>
      <w:r w:rsidRPr="005827DA">
        <w:rPr>
          <w:rFonts w:ascii="Arial" w:hAnsi="Arial" w:cs="Arial"/>
          <w:spacing w:val="-5"/>
          <w:sz w:val="20"/>
          <w:szCs w:val="20"/>
        </w:rPr>
        <w:t xml:space="preserve"> </w:t>
      </w:r>
      <w:r w:rsidRPr="005827DA">
        <w:rPr>
          <w:rFonts w:ascii="Arial" w:hAnsi="Arial" w:cs="Arial"/>
          <w:sz w:val="20"/>
          <w:szCs w:val="20"/>
        </w:rPr>
        <w:t>balloons);</w:t>
      </w:r>
    </w:p>
    <w:p w14:paraId="6298B470" w14:textId="77777777" w:rsidR="00F20810" w:rsidRPr="005827DA" w:rsidRDefault="00F20810" w:rsidP="005827DA">
      <w:pPr>
        <w:pStyle w:val="ListParagraph"/>
        <w:numPr>
          <w:ilvl w:val="1"/>
          <w:numId w:val="245"/>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avoidance</w:t>
      </w:r>
      <w:r w:rsidRPr="005827DA">
        <w:rPr>
          <w:rFonts w:ascii="Arial" w:hAnsi="Arial" w:cs="Arial"/>
          <w:spacing w:val="-3"/>
          <w:sz w:val="20"/>
          <w:szCs w:val="20"/>
        </w:rPr>
        <w:t xml:space="preserve"> </w:t>
      </w:r>
      <w:r w:rsidRPr="005827DA">
        <w:rPr>
          <w:rFonts w:ascii="Arial" w:hAnsi="Arial" w:cs="Arial"/>
          <w:sz w:val="20"/>
          <w:szCs w:val="20"/>
        </w:rPr>
        <w:t>of</w:t>
      </w:r>
      <w:r w:rsidRPr="005827DA">
        <w:rPr>
          <w:rFonts w:ascii="Arial" w:hAnsi="Arial" w:cs="Arial"/>
          <w:spacing w:val="-4"/>
          <w:sz w:val="20"/>
          <w:szCs w:val="20"/>
        </w:rPr>
        <w:t xml:space="preserve"> </w:t>
      </w:r>
      <w:r w:rsidRPr="005827DA">
        <w:rPr>
          <w:rFonts w:ascii="Arial" w:hAnsi="Arial" w:cs="Arial"/>
          <w:sz w:val="20"/>
          <w:szCs w:val="20"/>
        </w:rPr>
        <w:t>electrostatic</w:t>
      </w:r>
      <w:r w:rsidRPr="005827DA">
        <w:rPr>
          <w:rFonts w:ascii="Arial" w:hAnsi="Arial" w:cs="Arial"/>
          <w:spacing w:val="-1"/>
          <w:sz w:val="20"/>
          <w:szCs w:val="20"/>
        </w:rPr>
        <w:t xml:space="preserve"> </w:t>
      </w:r>
      <w:r w:rsidRPr="005827DA">
        <w:rPr>
          <w:rFonts w:ascii="Arial" w:hAnsi="Arial" w:cs="Arial"/>
          <w:sz w:val="20"/>
          <w:szCs w:val="20"/>
        </w:rPr>
        <w:t>discharge</w:t>
      </w:r>
      <w:r w:rsidRPr="005827DA">
        <w:rPr>
          <w:rFonts w:ascii="Arial" w:hAnsi="Arial" w:cs="Arial"/>
          <w:spacing w:val="-4"/>
          <w:sz w:val="20"/>
          <w:szCs w:val="20"/>
        </w:rPr>
        <w:t xml:space="preserve"> </w:t>
      </w:r>
      <w:r w:rsidRPr="005827DA">
        <w:rPr>
          <w:rFonts w:ascii="Arial" w:hAnsi="Arial" w:cs="Arial"/>
          <w:sz w:val="20"/>
          <w:szCs w:val="20"/>
        </w:rPr>
        <w:t>(gas</w:t>
      </w:r>
      <w:r w:rsidRPr="005827DA">
        <w:rPr>
          <w:rFonts w:ascii="Arial" w:hAnsi="Arial" w:cs="Arial"/>
          <w:spacing w:val="-1"/>
          <w:sz w:val="20"/>
          <w:szCs w:val="20"/>
        </w:rPr>
        <w:t xml:space="preserve"> </w:t>
      </w:r>
      <w:r w:rsidRPr="005827DA">
        <w:rPr>
          <w:rFonts w:ascii="Arial" w:hAnsi="Arial" w:cs="Arial"/>
          <w:sz w:val="20"/>
          <w:szCs w:val="20"/>
        </w:rPr>
        <w:t>balloons);</w:t>
      </w:r>
    </w:p>
    <w:p w14:paraId="174F1F7B" w14:textId="77777777" w:rsidR="00F20810" w:rsidRPr="005827DA" w:rsidRDefault="00F20810" w:rsidP="005827DA">
      <w:pPr>
        <w:pStyle w:val="ListParagraph"/>
        <w:numPr>
          <w:ilvl w:val="1"/>
          <w:numId w:val="245"/>
        </w:numPr>
        <w:tabs>
          <w:tab w:val="left" w:pos="90"/>
          <w:tab w:val="left" w:pos="2975"/>
          <w:tab w:val="left" w:pos="2976"/>
        </w:tabs>
        <w:spacing w:before="118"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3"/>
          <w:sz w:val="20"/>
          <w:szCs w:val="20"/>
        </w:rPr>
        <w:t xml:space="preserve"> </w:t>
      </w:r>
      <w:r w:rsidRPr="005827DA">
        <w:rPr>
          <w:rFonts w:ascii="Arial" w:hAnsi="Arial" w:cs="Arial"/>
          <w:sz w:val="20"/>
          <w:szCs w:val="20"/>
        </w:rPr>
        <w:t>inflation</w:t>
      </w:r>
      <w:r w:rsidRPr="005827DA">
        <w:rPr>
          <w:rFonts w:ascii="Arial" w:hAnsi="Arial" w:cs="Arial"/>
          <w:spacing w:val="-3"/>
          <w:sz w:val="20"/>
          <w:szCs w:val="20"/>
        </w:rPr>
        <w:t xml:space="preserve"> </w:t>
      </w:r>
      <w:r w:rsidRPr="005827DA">
        <w:rPr>
          <w:rFonts w:ascii="Arial" w:hAnsi="Arial" w:cs="Arial"/>
          <w:sz w:val="20"/>
          <w:szCs w:val="20"/>
        </w:rPr>
        <w:t>procedure</w:t>
      </w:r>
      <w:r w:rsidRPr="005827DA">
        <w:rPr>
          <w:rFonts w:ascii="Arial" w:hAnsi="Arial" w:cs="Arial"/>
          <w:spacing w:val="-2"/>
          <w:sz w:val="20"/>
          <w:szCs w:val="20"/>
        </w:rPr>
        <w:t xml:space="preserve"> </w:t>
      </w:r>
      <w:r w:rsidRPr="005827DA">
        <w:rPr>
          <w:rFonts w:ascii="Arial" w:hAnsi="Arial" w:cs="Arial"/>
          <w:sz w:val="20"/>
          <w:szCs w:val="20"/>
        </w:rPr>
        <w:t>(gas</w:t>
      </w:r>
      <w:r w:rsidRPr="005827DA">
        <w:rPr>
          <w:rFonts w:ascii="Arial" w:hAnsi="Arial" w:cs="Arial"/>
          <w:spacing w:val="-2"/>
          <w:sz w:val="20"/>
          <w:szCs w:val="20"/>
        </w:rPr>
        <w:t xml:space="preserve"> </w:t>
      </w:r>
      <w:r w:rsidRPr="005827DA">
        <w:rPr>
          <w:rFonts w:ascii="Arial" w:hAnsi="Arial" w:cs="Arial"/>
          <w:sz w:val="20"/>
          <w:szCs w:val="20"/>
        </w:rPr>
        <w:t>balloons);</w:t>
      </w:r>
    </w:p>
    <w:p w14:paraId="51776FA6" w14:textId="77777777" w:rsidR="00F20810" w:rsidRPr="005827DA" w:rsidRDefault="00F20810" w:rsidP="005827DA">
      <w:pPr>
        <w:tabs>
          <w:tab w:val="left" w:pos="90"/>
        </w:tabs>
        <w:spacing w:line="276" w:lineRule="auto"/>
        <w:ind w:right="68" w:hanging="436"/>
        <w:jc w:val="both"/>
        <w:rPr>
          <w:rFonts w:ascii="Arial" w:eastAsia="Times New Roman" w:hAnsi="Arial" w:cs="Times New Roman"/>
          <w:b/>
          <w:bCs/>
          <w:sz w:val="20"/>
          <w:szCs w:val="20"/>
        </w:rPr>
      </w:pPr>
      <w:r w:rsidRPr="005827DA">
        <w:rPr>
          <w:rFonts w:ascii="Arial" w:eastAsia="Times New Roman" w:hAnsi="Arial" w:cs="Times New Roman"/>
          <w:b/>
          <w:bCs/>
          <w:sz w:val="20"/>
          <w:szCs w:val="20"/>
        </w:rPr>
        <w:t>Exercise 6: Take-off in different wind conditions</w:t>
      </w:r>
    </w:p>
    <w:p w14:paraId="6E031575" w14:textId="77777777" w:rsidR="00F20810" w:rsidRPr="005827DA" w:rsidRDefault="00F20810" w:rsidP="005827DA">
      <w:pPr>
        <w:pStyle w:val="ListParagraph"/>
        <w:numPr>
          <w:ilvl w:val="0"/>
          <w:numId w:val="246"/>
        </w:numPr>
        <w:tabs>
          <w:tab w:val="left" w:pos="90"/>
          <w:tab w:val="left" w:pos="2409"/>
        </w:tabs>
        <w:spacing w:line="276" w:lineRule="auto"/>
        <w:ind w:right="68" w:hanging="436"/>
        <w:jc w:val="both"/>
        <w:rPr>
          <w:rFonts w:ascii="Arial" w:hAnsi="Arial" w:cs="Arial"/>
          <w:sz w:val="20"/>
          <w:szCs w:val="20"/>
        </w:rPr>
      </w:pPr>
      <w:r w:rsidRPr="005827DA">
        <w:rPr>
          <w:rFonts w:ascii="Arial" w:hAnsi="Arial" w:cs="Arial"/>
          <w:sz w:val="20"/>
          <w:szCs w:val="20"/>
        </w:rPr>
        <w:t>Objective</w:t>
      </w:r>
    </w:p>
    <w:p w14:paraId="075B27C3" w14:textId="77777777" w:rsidR="00F20810" w:rsidRPr="005827DA" w:rsidRDefault="00F20810" w:rsidP="005827DA">
      <w:pPr>
        <w:pStyle w:val="BodyText"/>
        <w:tabs>
          <w:tab w:val="left" w:pos="90"/>
        </w:tabs>
        <w:spacing w:line="276" w:lineRule="auto"/>
        <w:ind w:left="2408" w:right="68" w:hanging="436"/>
        <w:jc w:val="both"/>
        <w:rPr>
          <w:rFonts w:ascii="Arial" w:hAnsi="Arial" w:cs="Arial"/>
          <w:sz w:val="20"/>
          <w:szCs w:val="20"/>
        </w:rPr>
      </w:pPr>
      <w:r w:rsidRPr="005827DA">
        <w:rPr>
          <w:rFonts w:ascii="Arial" w:hAnsi="Arial" w:cs="Arial"/>
          <w:sz w:val="20"/>
          <w:szCs w:val="20"/>
        </w:rPr>
        <w:t>To advise the student instructor how to explain the pre take-off checks and</w:t>
      </w:r>
      <w:r w:rsidRPr="005827DA">
        <w:rPr>
          <w:rFonts w:ascii="Arial" w:hAnsi="Arial" w:cs="Arial"/>
          <w:spacing w:val="1"/>
          <w:sz w:val="20"/>
          <w:szCs w:val="20"/>
        </w:rPr>
        <w:t xml:space="preserve"> </w:t>
      </w:r>
      <w:r w:rsidRPr="005827DA">
        <w:rPr>
          <w:rFonts w:ascii="Arial" w:hAnsi="Arial" w:cs="Arial"/>
          <w:sz w:val="20"/>
          <w:szCs w:val="20"/>
        </w:rPr>
        <w:t>briefings,</w:t>
      </w:r>
      <w:r w:rsidRPr="005827DA">
        <w:rPr>
          <w:rFonts w:ascii="Arial" w:hAnsi="Arial" w:cs="Arial"/>
          <w:spacing w:val="1"/>
          <w:sz w:val="20"/>
          <w:szCs w:val="20"/>
        </w:rPr>
        <w:t xml:space="preserve"> </w:t>
      </w: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preparation</w:t>
      </w:r>
      <w:r w:rsidRPr="005827DA">
        <w:rPr>
          <w:rFonts w:ascii="Arial" w:hAnsi="Arial" w:cs="Arial"/>
          <w:spacing w:val="1"/>
          <w:sz w:val="20"/>
          <w:szCs w:val="20"/>
        </w:rPr>
        <w:t xml:space="preserve"> </w:t>
      </w:r>
      <w:r w:rsidRPr="005827DA">
        <w:rPr>
          <w:rFonts w:ascii="Arial" w:hAnsi="Arial" w:cs="Arial"/>
          <w:sz w:val="20"/>
          <w:szCs w:val="20"/>
        </w:rPr>
        <w:t>for</w:t>
      </w:r>
      <w:r w:rsidRPr="005827DA">
        <w:rPr>
          <w:rFonts w:ascii="Arial" w:hAnsi="Arial" w:cs="Arial"/>
          <w:spacing w:val="1"/>
          <w:sz w:val="20"/>
          <w:szCs w:val="20"/>
        </w:rPr>
        <w:t xml:space="preserve"> </w:t>
      </w:r>
      <w:r w:rsidRPr="005827DA">
        <w:rPr>
          <w:rFonts w:ascii="Arial" w:hAnsi="Arial" w:cs="Arial"/>
          <w:sz w:val="20"/>
          <w:szCs w:val="20"/>
        </w:rPr>
        <w:t>controlled</w:t>
      </w:r>
      <w:r w:rsidRPr="005827DA">
        <w:rPr>
          <w:rFonts w:ascii="Arial" w:hAnsi="Arial" w:cs="Arial"/>
          <w:spacing w:val="1"/>
          <w:sz w:val="20"/>
          <w:szCs w:val="20"/>
        </w:rPr>
        <w:t xml:space="preserve"> </w:t>
      </w:r>
      <w:r w:rsidRPr="005827DA">
        <w:rPr>
          <w:rFonts w:ascii="Arial" w:hAnsi="Arial" w:cs="Arial"/>
          <w:sz w:val="20"/>
          <w:szCs w:val="20"/>
        </w:rPr>
        <w:t>climb</w:t>
      </w:r>
      <w:r w:rsidRPr="005827DA">
        <w:rPr>
          <w:rFonts w:ascii="Arial" w:hAnsi="Arial" w:cs="Arial"/>
          <w:spacing w:val="1"/>
          <w:sz w:val="20"/>
          <w:szCs w:val="20"/>
        </w:rPr>
        <w:t xml:space="preserve"> </w:t>
      </w:r>
      <w:r w:rsidRPr="005827DA">
        <w:rPr>
          <w:rFonts w:ascii="Arial" w:hAnsi="Arial" w:cs="Arial"/>
          <w:sz w:val="20"/>
          <w:szCs w:val="20"/>
        </w:rPr>
        <w:t>and</w:t>
      </w:r>
      <w:r w:rsidRPr="005827DA">
        <w:rPr>
          <w:rFonts w:ascii="Arial" w:hAnsi="Arial" w:cs="Arial"/>
          <w:spacing w:val="1"/>
          <w:sz w:val="20"/>
          <w:szCs w:val="20"/>
        </w:rPr>
        <w:t xml:space="preserve"> </w:t>
      </w: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use</w:t>
      </w:r>
      <w:r w:rsidRPr="005827DA">
        <w:rPr>
          <w:rFonts w:ascii="Arial" w:hAnsi="Arial" w:cs="Arial"/>
          <w:spacing w:val="1"/>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restraint</w:t>
      </w:r>
      <w:r w:rsidRPr="005827DA">
        <w:rPr>
          <w:rFonts w:ascii="Arial" w:hAnsi="Arial" w:cs="Arial"/>
          <w:spacing w:val="-47"/>
          <w:sz w:val="20"/>
          <w:szCs w:val="20"/>
        </w:rPr>
        <w:t xml:space="preserve"> </w:t>
      </w:r>
      <w:r w:rsidRPr="005827DA">
        <w:rPr>
          <w:rFonts w:ascii="Arial" w:hAnsi="Arial" w:cs="Arial"/>
          <w:sz w:val="20"/>
          <w:szCs w:val="20"/>
        </w:rPr>
        <w:t>equipment.</w:t>
      </w:r>
      <w:r w:rsidRPr="005827DA">
        <w:rPr>
          <w:rFonts w:ascii="Arial" w:hAnsi="Arial" w:cs="Arial"/>
          <w:spacing w:val="1"/>
          <w:sz w:val="20"/>
          <w:szCs w:val="20"/>
        </w:rPr>
        <w:t xml:space="preserve"> </w:t>
      </w:r>
      <w:r w:rsidRPr="005827DA">
        <w:rPr>
          <w:rFonts w:ascii="Arial" w:hAnsi="Arial" w:cs="Arial"/>
          <w:sz w:val="20"/>
          <w:szCs w:val="20"/>
        </w:rPr>
        <w:t>Furthermore,</w:t>
      </w:r>
      <w:r w:rsidRPr="005827DA">
        <w:rPr>
          <w:rFonts w:ascii="Arial" w:hAnsi="Arial" w:cs="Arial"/>
          <w:spacing w:val="1"/>
          <w:sz w:val="20"/>
          <w:szCs w:val="20"/>
        </w:rPr>
        <w:t xml:space="preserve"> </w:t>
      </w: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student</w:t>
      </w:r>
      <w:r w:rsidRPr="005827DA">
        <w:rPr>
          <w:rFonts w:ascii="Arial" w:hAnsi="Arial" w:cs="Arial"/>
          <w:spacing w:val="1"/>
          <w:sz w:val="20"/>
          <w:szCs w:val="20"/>
        </w:rPr>
        <w:t xml:space="preserve"> </w:t>
      </w:r>
      <w:r w:rsidRPr="005827DA">
        <w:rPr>
          <w:rFonts w:ascii="Arial" w:hAnsi="Arial" w:cs="Arial"/>
          <w:sz w:val="20"/>
          <w:szCs w:val="20"/>
        </w:rPr>
        <w:t>instructor</w:t>
      </w:r>
      <w:r w:rsidRPr="005827DA">
        <w:rPr>
          <w:rFonts w:ascii="Arial" w:hAnsi="Arial" w:cs="Arial"/>
          <w:spacing w:val="1"/>
          <w:sz w:val="20"/>
          <w:szCs w:val="20"/>
        </w:rPr>
        <w:t xml:space="preserve"> </w:t>
      </w:r>
      <w:r w:rsidRPr="005827DA">
        <w:rPr>
          <w:rFonts w:ascii="Arial" w:hAnsi="Arial" w:cs="Arial"/>
          <w:sz w:val="20"/>
          <w:szCs w:val="20"/>
        </w:rPr>
        <w:t>should</w:t>
      </w:r>
      <w:r w:rsidRPr="005827DA">
        <w:rPr>
          <w:rFonts w:ascii="Arial" w:hAnsi="Arial" w:cs="Arial"/>
          <w:spacing w:val="1"/>
          <w:sz w:val="20"/>
          <w:szCs w:val="20"/>
        </w:rPr>
        <w:t xml:space="preserve"> </w:t>
      </w:r>
      <w:r w:rsidRPr="005827DA">
        <w:rPr>
          <w:rFonts w:ascii="Arial" w:hAnsi="Arial" w:cs="Arial"/>
          <w:sz w:val="20"/>
          <w:szCs w:val="20"/>
        </w:rPr>
        <w:t>be</w:t>
      </w:r>
      <w:r w:rsidRPr="005827DA">
        <w:rPr>
          <w:rFonts w:ascii="Arial" w:hAnsi="Arial" w:cs="Arial"/>
          <w:spacing w:val="1"/>
          <w:sz w:val="20"/>
          <w:szCs w:val="20"/>
        </w:rPr>
        <w:t xml:space="preserve"> </w:t>
      </w:r>
      <w:r w:rsidRPr="005827DA">
        <w:rPr>
          <w:rFonts w:ascii="Arial" w:hAnsi="Arial" w:cs="Arial"/>
          <w:sz w:val="20"/>
          <w:szCs w:val="20"/>
        </w:rPr>
        <w:t>able</w:t>
      </w:r>
      <w:r w:rsidRPr="005827DA">
        <w:rPr>
          <w:rFonts w:ascii="Arial" w:hAnsi="Arial" w:cs="Arial"/>
          <w:spacing w:val="1"/>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pacing w:val="-1"/>
          <w:sz w:val="20"/>
          <w:szCs w:val="20"/>
        </w:rPr>
        <w:t>demonstrate</w:t>
      </w:r>
      <w:r w:rsidRPr="005827DA">
        <w:rPr>
          <w:rFonts w:ascii="Arial" w:hAnsi="Arial" w:cs="Arial"/>
          <w:spacing w:val="-11"/>
          <w:sz w:val="20"/>
          <w:szCs w:val="20"/>
        </w:rPr>
        <w:t xml:space="preserve"> </w:t>
      </w:r>
      <w:r w:rsidRPr="005827DA">
        <w:rPr>
          <w:rFonts w:ascii="Arial" w:hAnsi="Arial" w:cs="Arial"/>
          <w:spacing w:val="-1"/>
          <w:sz w:val="20"/>
          <w:szCs w:val="20"/>
        </w:rPr>
        <w:t>the</w:t>
      </w:r>
      <w:r w:rsidRPr="005827DA">
        <w:rPr>
          <w:rFonts w:ascii="Arial" w:hAnsi="Arial" w:cs="Arial"/>
          <w:spacing w:val="-14"/>
          <w:sz w:val="20"/>
          <w:szCs w:val="20"/>
        </w:rPr>
        <w:t xml:space="preserve"> </w:t>
      </w:r>
      <w:r w:rsidRPr="005827DA">
        <w:rPr>
          <w:rFonts w:ascii="Arial" w:hAnsi="Arial" w:cs="Arial"/>
          <w:sz w:val="20"/>
          <w:szCs w:val="20"/>
        </w:rPr>
        <w:t>assessment</w:t>
      </w:r>
      <w:r w:rsidRPr="005827DA">
        <w:rPr>
          <w:rFonts w:ascii="Arial" w:hAnsi="Arial" w:cs="Arial"/>
          <w:spacing w:val="-11"/>
          <w:sz w:val="20"/>
          <w:szCs w:val="20"/>
        </w:rPr>
        <w:t xml:space="preserve"> </w:t>
      </w:r>
      <w:r w:rsidRPr="005827DA">
        <w:rPr>
          <w:rFonts w:ascii="Arial" w:hAnsi="Arial" w:cs="Arial"/>
          <w:sz w:val="20"/>
          <w:szCs w:val="20"/>
        </w:rPr>
        <w:t>of</w:t>
      </w:r>
      <w:r w:rsidRPr="005827DA">
        <w:rPr>
          <w:rFonts w:ascii="Arial" w:hAnsi="Arial" w:cs="Arial"/>
          <w:spacing w:val="-12"/>
          <w:sz w:val="20"/>
          <w:szCs w:val="20"/>
        </w:rPr>
        <w:t xml:space="preserve"> </w:t>
      </w:r>
      <w:r w:rsidRPr="005827DA">
        <w:rPr>
          <w:rFonts w:ascii="Arial" w:hAnsi="Arial" w:cs="Arial"/>
          <w:sz w:val="20"/>
          <w:szCs w:val="20"/>
        </w:rPr>
        <w:t>wind</w:t>
      </w:r>
      <w:r w:rsidRPr="005827DA">
        <w:rPr>
          <w:rFonts w:ascii="Arial" w:hAnsi="Arial" w:cs="Arial"/>
          <w:spacing w:val="-13"/>
          <w:sz w:val="20"/>
          <w:szCs w:val="20"/>
        </w:rPr>
        <w:t xml:space="preserve"> </w:t>
      </w:r>
      <w:r w:rsidRPr="005827DA">
        <w:rPr>
          <w:rFonts w:ascii="Arial" w:hAnsi="Arial" w:cs="Arial"/>
          <w:sz w:val="20"/>
          <w:szCs w:val="20"/>
        </w:rPr>
        <w:t>and</w:t>
      </w:r>
      <w:r w:rsidRPr="005827DA">
        <w:rPr>
          <w:rFonts w:ascii="Arial" w:hAnsi="Arial" w:cs="Arial"/>
          <w:spacing w:val="-15"/>
          <w:sz w:val="20"/>
          <w:szCs w:val="20"/>
        </w:rPr>
        <w:t xml:space="preserve"> </w:t>
      </w:r>
      <w:r w:rsidRPr="005827DA">
        <w:rPr>
          <w:rFonts w:ascii="Arial" w:hAnsi="Arial" w:cs="Arial"/>
          <w:sz w:val="20"/>
          <w:szCs w:val="20"/>
        </w:rPr>
        <w:t>obstacles,</w:t>
      </w:r>
      <w:r w:rsidRPr="005827DA">
        <w:rPr>
          <w:rFonts w:ascii="Arial" w:hAnsi="Arial" w:cs="Arial"/>
          <w:spacing w:val="-11"/>
          <w:sz w:val="20"/>
          <w:szCs w:val="20"/>
        </w:rPr>
        <w:t xml:space="preserve"> </w:t>
      </w:r>
      <w:r w:rsidRPr="005827DA">
        <w:rPr>
          <w:rFonts w:ascii="Arial" w:hAnsi="Arial" w:cs="Arial"/>
          <w:sz w:val="20"/>
          <w:szCs w:val="20"/>
        </w:rPr>
        <w:t>the</w:t>
      </w:r>
      <w:r w:rsidRPr="005827DA">
        <w:rPr>
          <w:rFonts w:ascii="Arial" w:hAnsi="Arial" w:cs="Arial"/>
          <w:spacing w:val="-11"/>
          <w:sz w:val="20"/>
          <w:szCs w:val="20"/>
        </w:rPr>
        <w:t xml:space="preserve"> </w:t>
      </w:r>
      <w:r w:rsidRPr="005827DA">
        <w:rPr>
          <w:rFonts w:ascii="Arial" w:hAnsi="Arial" w:cs="Arial"/>
          <w:sz w:val="20"/>
          <w:szCs w:val="20"/>
        </w:rPr>
        <w:t>preparation</w:t>
      </w:r>
      <w:r w:rsidRPr="005827DA">
        <w:rPr>
          <w:rFonts w:ascii="Arial" w:hAnsi="Arial" w:cs="Arial"/>
          <w:spacing w:val="-13"/>
          <w:sz w:val="20"/>
          <w:szCs w:val="20"/>
        </w:rPr>
        <w:t xml:space="preserve"> </w:t>
      </w:r>
      <w:r w:rsidRPr="005827DA">
        <w:rPr>
          <w:rFonts w:ascii="Arial" w:hAnsi="Arial" w:cs="Arial"/>
          <w:sz w:val="20"/>
          <w:szCs w:val="20"/>
        </w:rPr>
        <w:t>for</w:t>
      </w:r>
      <w:r w:rsidRPr="005827DA">
        <w:rPr>
          <w:rFonts w:ascii="Arial" w:hAnsi="Arial" w:cs="Arial"/>
          <w:spacing w:val="-14"/>
          <w:sz w:val="20"/>
          <w:szCs w:val="20"/>
        </w:rPr>
        <w:t xml:space="preserve"> </w:t>
      </w:r>
      <w:r w:rsidRPr="005827DA">
        <w:rPr>
          <w:rFonts w:ascii="Arial" w:hAnsi="Arial" w:cs="Arial"/>
          <w:sz w:val="20"/>
          <w:szCs w:val="20"/>
        </w:rPr>
        <w:t>false</w:t>
      </w:r>
      <w:r w:rsidRPr="005827DA">
        <w:rPr>
          <w:rFonts w:ascii="Arial" w:hAnsi="Arial" w:cs="Arial"/>
          <w:spacing w:val="-48"/>
          <w:sz w:val="20"/>
          <w:szCs w:val="20"/>
        </w:rPr>
        <w:t xml:space="preserve"> </w:t>
      </w:r>
      <w:r w:rsidRPr="005827DA">
        <w:rPr>
          <w:rFonts w:ascii="Arial" w:hAnsi="Arial" w:cs="Arial"/>
          <w:sz w:val="20"/>
          <w:szCs w:val="20"/>
        </w:rPr>
        <w:t>lift and the take-off techniques in different wind conditions. In addition to</w:t>
      </w:r>
      <w:r w:rsidRPr="005827DA">
        <w:rPr>
          <w:rFonts w:ascii="Arial" w:hAnsi="Arial" w:cs="Arial"/>
          <w:spacing w:val="1"/>
          <w:sz w:val="20"/>
          <w:szCs w:val="20"/>
        </w:rPr>
        <w:t xml:space="preserve"> </w:t>
      </w:r>
      <w:r w:rsidRPr="005827DA">
        <w:rPr>
          <w:rFonts w:ascii="Arial" w:hAnsi="Arial" w:cs="Arial"/>
          <w:sz w:val="20"/>
          <w:szCs w:val="20"/>
        </w:rPr>
        <w:t>this, the student instructor should learn how to identify student errors and</w:t>
      </w:r>
      <w:r w:rsidRPr="005827DA">
        <w:rPr>
          <w:rFonts w:ascii="Arial" w:hAnsi="Arial" w:cs="Arial"/>
          <w:spacing w:val="1"/>
          <w:sz w:val="20"/>
          <w:szCs w:val="20"/>
        </w:rPr>
        <w:t xml:space="preserve"> </w:t>
      </w:r>
      <w:r w:rsidRPr="005827DA">
        <w:rPr>
          <w:rFonts w:ascii="Arial" w:hAnsi="Arial" w:cs="Arial"/>
          <w:sz w:val="20"/>
          <w:szCs w:val="20"/>
        </w:rPr>
        <w:t>how</w:t>
      </w:r>
      <w:r w:rsidRPr="005827DA">
        <w:rPr>
          <w:rFonts w:ascii="Arial" w:hAnsi="Arial" w:cs="Arial"/>
          <w:spacing w:val="-3"/>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correct</w:t>
      </w:r>
      <w:r w:rsidRPr="005827DA">
        <w:rPr>
          <w:rFonts w:ascii="Arial" w:hAnsi="Arial" w:cs="Arial"/>
          <w:spacing w:val="-2"/>
          <w:sz w:val="20"/>
          <w:szCs w:val="20"/>
        </w:rPr>
        <w:t xml:space="preserve"> </w:t>
      </w:r>
      <w:r w:rsidRPr="005827DA">
        <w:rPr>
          <w:rFonts w:ascii="Arial" w:hAnsi="Arial" w:cs="Arial"/>
          <w:sz w:val="20"/>
          <w:szCs w:val="20"/>
        </w:rPr>
        <w:t>them</w:t>
      </w:r>
      <w:r w:rsidRPr="005827DA">
        <w:rPr>
          <w:rFonts w:ascii="Arial" w:hAnsi="Arial" w:cs="Arial"/>
          <w:spacing w:val="1"/>
          <w:sz w:val="20"/>
          <w:szCs w:val="20"/>
        </w:rPr>
        <w:t xml:space="preserve"> </w:t>
      </w:r>
      <w:r w:rsidRPr="005827DA">
        <w:rPr>
          <w:rFonts w:ascii="Arial" w:hAnsi="Arial" w:cs="Arial"/>
          <w:sz w:val="20"/>
          <w:szCs w:val="20"/>
        </w:rPr>
        <w:t>properly.</w:t>
      </w:r>
    </w:p>
    <w:p w14:paraId="4F1119DD" w14:textId="77777777" w:rsidR="00F20810" w:rsidRPr="005827DA" w:rsidRDefault="00F20810" w:rsidP="005827DA">
      <w:pPr>
        <w:pStyle w:val="ListParagraph"/>
        <w:numPr>
          <w:ilvl w:val="0"/>
          <w:numId w:val="246"/>
        </w:numPr>
        <w:tabs>
          <w:tab w:val="left" w:pos="90"/>
          <w:tab w:val="left" w:pos="2409"/>
        </w:tabs>
        <w:spacing w:before="123" w:line="276" w:lineRule="auto"/>
        <w:ind w:right="68" w:hanging="436"/>
        <w:jc w:val="both"/>
        <w:rPr>
          <w:rFonts w:ascii="Arial" w:hAnsi="Arial" w:cs="Arial"/>
          <w:sz w:val="20"/>
          <w:szCs w:val="20"/>
        </w:rPr>
      </w:pPr>
      <w:r w:rsidRPr="005827DA">
        <w:rPr>
          <w:rFonts w:ascii="Arial" w:hAnsi="Arial" w:cs="Arial"/>
          <w:sz w:val="20"/>
          <w:szCs w:val="20"/>
        </w:rPr>
        <w:t>Briefing</w:t>
      </w:r>
    </w:p>
    <w:p w14:paraId="5E1A0BB3" w14:textId="77777777" w:rsidR="00F20810" w:rsidRPr="005827DA" w:rsidRDefault="00F20810" w:rsidP="005827DA">
      <w:pPr>
        <w:pStyle w:val="BodyText"/>
        <w:tabs>
          <w:tab w:val="left" w:pos="90"/>
        </w:tabs>
        <w:spacing w:before="117" w:line="276" w:lineRule="auto"/>
        <w:ind w:left="2408"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student</w:t>
      </w:r>
      <w:r w:rsidRPr="005827DA">
        <w:rPr>
          <w:rFonts w:ascii="Arial" w:hAnsi="Arial" w:cs="Arial"/>
          <w:spacing w:val="-2"/>
          <w:sz w:val="20"/>
          <w:szCs w:val="20"/>
        </w:rPr>
        <w:t xml:space="preserve"> </w:t>
      </w:r>
      <w:r w:rsidRPr="005827DA">
        <w:rPr>
          <w:rFonts w:ascii="Arial" w:hAnsi="Arial" w:cs="Arial"/>
          <w:sz w:val="20"/>
          <w:szCs w:val="20"/>
        </w:rPr>
        <w:t>instructor has</w:t>
      </w:r>
      <w:r w:rsidRPr="005827DA">
        <w:rPr>
          <w:rFonts w:ascii="Arial" w:hAnsi="Arial" w:cs="Arial"/>
          <w:spacing w:val="-6"/>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explain:</w:t>
      </w:r>
    </w:p>
    <w:p w14:paraId="283FB8C1" w14:textId="77777777" w:rsidR="00F20810" w:rsidRPr="005827DA" w:rsidRDefault="00F20810" w:rsidP="005827DA">
      <w:pPr>
        <w:pStyle w:val="ListParagraph"/>
        <w:numPr>
          <w:ilvl w:val="1"/>
          <w:numId w:val="246"/>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the pre</w:t>
      </w:r>
      <w:r w:rsidRPr="005827DA">
        <w:rPr>
          <w:rFonts w:ascii="Arial" w:hAnsi="Arial" w:cs="Arial"/>
          <w:spacing w:val="-2"/>
          <w:sz w:val="20"/>
          <w:szCs w:val="20"/>
        </w:rPr>
        <w:t xml:space="preserve"> </w:t>
      </w:r>
      <w:r w:rsidRPr="005827DA">
        <w:rPr>
          <w:rFonts w:ascii="Arial" w:hAnsi="Arial" w:cs="Arial"/>
          <w:sz w:val="20"/>
          <w:szCs w:val="20"/>
        </w:rPr>
        <w:t>take-off</w:t>
      </w:r>
      <w:r w:rsidRPr="005827DA">
        <w:rPr>
          <w:rFonts w:ascii="Arial" w:hAnsi="Arial" w:cs="Arial"/>
          <w:spacing w:val="-3"/>
          <w:sz w:val="20"/>
          <w:szCs w:val="20"/>
        </w:rPr>
        <w:t xml:space="preserve"> </w:t>
      </w:r>
      <w:r w:rsidRPr="005827DA">
        <w:rPr>
          <w:rFonts w:ascii="Arial" w:hAnsi="Arial" w:cs="Arial"/>
          <w:sz w:val="20"/>
          <w:szCs w:val="20"/>
        </w:rPr>
        <w:t>checks</w:t>
      </w:r>
      <w:r w:rsidRPr="005827DA">
        <w:rPr>
          <w:rFonts w:ascii="Arial" w:hAnsi="Arial" w:cs="Arial"/>
          <w:spacing w:val="-2"/>
          <w:sz w:val="20"/>
          <w:szCs w:val="20"/>
        </w:rPr>
        <w:t xml:space="preserve"> </w:t>
      </w:r>
      <w:r w:rsidRPr="005827DA">
        <w:rPr>
          <w:rFonts w:ascii="Arial" w:hAnsi="Arial" w:cs="Arial"/>
          <w:sz w:val="20"/>
          <w:szCs w:val="20"/>
        </w:rPr>
        <w:t>and</w:t>
      </w:r>
      <w:r w:rsidRPr="005827DA">
        <w:rPr>
          <w:rFonts w:ascii="Arial" w:hAnsi="Arial" w:cs="Arial"/>
          <w:spacing w:val="-4"/>
          <w:sz w:val="20"/>
          <w:szCs w:val="20"/>
        </w:rPr>
        <w:t xml:space="preserve"> </w:t>
      </w:r>
      <w:r w:rsidRPr="005827DA">
        <w:rPr>
          <w:rFonts w:ascii="Arial" w:hAnsi="Arial" w:cs="Arial"/>
          <w:sz w:val="20"/>
          <w:szCs w:val="20"/>
        </w:rPr>
        <w:t>briefings;</w:t>
      </w:r>
    </w:p>
    <w:p w14:paraId="2F9F9F14" w14:textId="77777777" w:rsidR="00F20810" w:rsidRPr="005827DA" w:rsidRDefault="00F20810" w:rsidP="005827DA">
      <w:pPr>
        <w:pStyle w:val="ListParagraph"/>
        <w:numPr>
          <w:ilvl w:val="1"/>
          <w:numId w:val="246"/>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preparation</w:t>
      </w:r>
      <w:r w:rsidRPr="005827DA">
        <w:rPr>
          <w:rFonts w:ascii="Arial" w:hAnsi="Arial" w:cs="Arial"/>
          <w:spacing w:val="-3"/>
          <w:sz w:val="20"/>
          <w:szCs w:val="20"/>
        </w:rPr>
        <w:t xml:space="preserve"> </w:t>
      </w:r>
      <w:r w:rsidRPr="005827DA">
        <w:rPr>
          <w:rFonts w:ascii="Arial" w:hAnsi="Arial" w:cs="Arial"/>
          <w:sz w:val="20"/>
          <w:szCs w:val="20"/>
        </w:rPr>
        <w:t>for</w:t>
      </w:r>
      <w:r w:rsidRPr="005827DA">
        <w:rPr>
          <w:rFonts w:ascii="Arial" w:hAnsi="Arial" w:cs="Arial"/>
          <w:spacing w:val="-2"/>
          <w:sz w:val="20"/>
          <w:szCs w:val="20"/>
        </w:rPr>
        <w:t xml:space="preserve"> </w:t>
      </w:r>
      <w:r w:rsidRPr="005827DA">
        <w:rPr>
          <w:rFonts w:ascii="Arial" w:hAnsi="Arial" w:cs="Arial"/>
          <w:sz w:val="20"/>
          <w:szCs w:val="20"/>
        </w:rPr>
        <w:t>controlled</w:t>
      </w:r>
      <w:r w:rsidRPr="005827DA">
        <w:rPr>
          <w:rFonts w:ascii="Arial" w:hAnsi="Arial" w:cs="Arial"/>
          <w:spacing w:val="-3"/>
          <w:sz w:val="20"/>
          <w:szCs w:val="20"/>
        </w:rPr>
        <w:t xml:space="preserve"> </w:t>
      </w:r>
      <w:r w:rsidRPr="005827DA">
        <w:rPr>
          <w:rFonts w:ascii="Arial" w:hAnsi="Arial" w:cs="Arial"/>
          <w:sz w:val="20"/>
          <w:szCs w:val="20"/>
        </w:rPr>
        <w:t>climb;</w:t>
      </w:r>
    </w:p>
    <w:p w14:paraId="19A68960" w14:textId="77777777" w:rsidR="00F20810" w:rsidRPr="005827DA" w:rsidRDefault="00F20810" w:rsidP="005827DA">
      <w:pPr>
        <w:pStyle w:val="ListParagraph"/>
        <w:numPr>
          <w:ilvl w:val="1"/>
          <w:numId w:val="246"/>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lastRenderedPageBreak/>
        <w:t>the</w:t>
      </w:r>
      <w:r w:rsidRPr="005827DA">
        <w:rPr>
          <w:rFonts w:ascii="Arial" w:hAnsi="Arial" w:cs="Arial"/>
          <w:spacing w:val="-1"/>
          <w:sz w:val="20"/>
          <w:szCs w:val="20"/>
        </w:rPr>
        <w:t xml:space="preserve"> </w:t>
      </w:r>
      <w:r w:rsidRPr="005827DA">
        <w:rPr>
          <w:rFonts w:ascii="Arial" w:hAnsi="Arial" w:cs="Arial"/>
          <w:sz w:val="20"/>
          <w:szCs w:val="20"/>
        </w:rPr>
        <w:t>‘hands</w:t>
      </w:r>
      <w:r w:rsidRPr="005827DA">
        <w:rPr>
          <w:rFonts w:ascii="Arial" w:hAnsi="Arial" w:cs="Arial"/>
          <w:spacing w:val="-2"/>
          <w:sz w:val="20"/>
          <w:szCs w:val="20"/>
        </w:rPr>
        <w:t xml:space="preserve"> </w:t>
      </w:r>
      <w:r w:rsidRPr="005827DA">
        <w:rPr>
          <w:rFonts w:ascii="Arial" w:hAnsi="Arial" w:cs="Arial"/>
          <w:sz w:val="20"/>
          <w:szCs w:val="20"/>
        </w:rPr>
        <w:t>off and</w:t>
      </w:r>
      <w:r w:rsidRPr="005827DA">
        <w:rPr>
          <w:rFonts w:ascii="Arial" w:hAnsi="Arial" w:cs="Arial"/>
          <w:spacing w:val="-1"/>
          <w:sz w:val="20"/>
          <w:szCs w:val="20"/>
        </w:rPr>
        <w:t xml:space="preserve"> </w:t>
      </w:r>
      <w:r w:rsidRPr="005827DA">
        <w:rPr>
          <w:rFonts w:ascii="Arial" w:hAnsi="Arial" w:cs="Arial"/>
          <w:sz w:val="20"/>
          <w:szCs w:val="20"/>
        </w:rPr>
        <w:t>hands</w:t>
      </w:r>
      <w:r w:rsidRPr="005827DA">
        <w:rPr>
          <w:rFonts w:ascii="Arial" w:hAnsi="Arial" w:cs="Arial"/>
          <w:spacing w:val="-2"/>
          <w:sz w:val="20"/>
          <w:szCs w:val="20"/>
        </w:rPr>
        <w:t xml:space="preserve"> </w:t>
      </w:r>
      <w:r w:rsidRPr="005827DA">
        <w:rPr>
          <w:rFonts w:ascii="Arial" w:hAnsi="Arial" w:cs="Arial"/>
          <w:sz w:val="20"/>
          <w:szCs w:val="20"/>
        </w:rPr>
        <w:t>on’ procedure</w:t>
      </w:r>
      <w:r w:rsidRPr="005827DA">
        <w:rPr>
          <w:rFonts w:ascii="Arial" w:hAnsi="Arial" w:cs="Arial"/>
          <w:spacing w:val="-2"/>
          <w:sz w:val="20"/>
          <w:szCs w:val="20"/>
        </w:rPr>
        <w:t xml:space="preserve"> </w:t>
      </w:r>
      <w:r w:rsidRPr="005827DA">
        <w:rPr>
          <w:rFonts w:ascii="Arial" w:hAnsi="Arial" w:cs="Arial"/>
          <w:sz w:val="20"/>
          <w:szCs w:val="20"/>
        </w:rPr>
        <w:t>for</w:t>
      </w:r>
      <w:r w:rsidRPr="005827DA">
        <w:rPr>
          <w:rFonts w:ascii="Arial" w:hAnsi="Arial" w:cs="Arial"/>
          <w:spacing w:val="-3"/>
          <w:sz w:val="20"/>
          <w:szCs w:val="20"/>
        </w:rPr>
        <w:t xml:space="preserve"> </w:t>
      </w:r>
      <w:r w:rsidRPr="005827DA">
        <w:rPr>
          <w:rFonts w:ascii="Arial" w:hAnsi="Arial" w:cs="Arial"/>
          <w:sz w:val="20"/>
          <w:szCs w:val="20"/>
        </w:rPr>
        <w:t>ground</w:t>
      </w:r>
      <w:r w:rsidRPr="005827DA">
        <w:rPr>
          <w:rFonts w:ascii="Arial" w:hAnsi="Arial" w:cs="Arial"/>
          <w:spacing w:val="-1"/>
          <w:sz w:val="20"/>
          <w:szCs w:val="20"/>
        </w:rPr>
        <w:t xml:space="preserve"> </w:t>
      </w:r>
      <w:r w:rsidRPr="005827DA">
        <w:rPr>
          <w:rFonts w:ascii="Arial" w:hAnsi="Arial" w:cs="Arial"/>
          <w:sz w:val="20"/>
          <w:szCs w:val="20"/>
        </w:rPr>
        <w:t>crew;</w:t>
      </w:r>
    </w:p>
    <w:p w14:paraId="24F0E9D0" w14:textId="77777777" w:rsidR="00F20810" w:rsidRPr="005827DA" w:rsidRDefault="00F20810" w:rsidP="005827DA">
      <w:pPr>
        <w:pStyle w:val="ListParagraph"/>
        <w:numPr>
          <w:ilvl w:val="1"/>
          <w:numId w:val="246"/>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 assessment</w:t>
      </w:r>
      <w:r w:rsidRPr="005827DA">
        <w:rPr>
          <w:rFonts w:ascii="Arial" w:hAnsi="Arial" w:cs="Arial"/>
          <w:spacing w:val="-2"/>
          <w:sz w:val="20"/>
          <w:szCs w:val="20"/>
        </w:rPr>
        <w:t xml:space="preserve"> </w:t>
      </w:r>
      <w:r w:rsidRPr="005827DA">
        <w:rPr>
          <w:rFonts w:ascii="Arial" w:hAnsi="Arial" w:cs="Arial"/>
          <w:sz w:val="20"/>
          <w:szCs w:val="20"/>
        </w:rPr>
        <w:t>of lift;</w:t>
      </w:r>
    </w:p>
    <w:p w14:paraId="4946A468" w14:textId="77777777" w:rsidR="00F20810" w:rsidRPr="005827DA" w:rsidRDefault="00F20810" w:rsidP="005827DA">
      <w:pPr>
        <w:pStyle w:val="ListParagraph"/>
        <w:numPr>
          <w:ilvl w:val="1"/>
          <w:numId w:val="246"/>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use</w:t>
      </w:r>
      <w:r w:rsidRPr="005827DA">
        <w:rPr>
          <w:rFonts w:ascii="Arial" w:hAnsi="Arial" w:cs="Arial"/>
          <w:spacing w:val="-3"/>
          <w:sz w:val="20"/>
          <w:szCs w:val="20"/>
        </w:rPr>
        <w:t xml:space="preserve"> </w:t>
      </w:r>
      <w:r w:rsidRPr="005827DA">
        <w:rPr>
          <w:rFonts w:ascii="Arial" w:hAnsi="Arial" w:cs="Arial"/>
          <w:sz w:val="20"/>
          <w:szCs w:val="20"/>
        </w:rPr>
        <w:t>of</w:t>
      </w:r>
      <w:r w:rsidRPr="005827DA">
        <w:rPr>
          <w:rFonts w:ascii="Arial" w:hAnsi="Arial" w:cs="Arial"/>
          <w:spacing w:val="-2"/>
          <w:sz w:val="20"/>
          <w:szCs w:val="20"/>
        </w:rPr>
        <w:t xml:space="preserve"> </w:t>
      </w: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restraint</w:t>
      </w:r>
      <w:r w:rsidRPr="005827DA">
        <w:rPr>
          <w:rFonts w:ascii="Arial" w:hAnsi="Arial" w:cs="Arial"/>
          <w:spacing w:val="-2"/>
          <w:sz w:val="20"/>
          <w:szCs w:val="20"/>
        </w:rPr>
        <w:t xml:space="preserve"> </w:t>
      </w:r>
      <w:r w:rsidRPr="005827DA">
        <w:rPr>
          <w:rFonts w:ascii="Arial" w:hAnsi="Arial" w:cs="Arial"/>
          <w:sz w:val="20"/>
          <w:szCs w:val="20"/>
        </w:rPr>
        <w:t>equipment;</w:t>
      </w:r>
    </w:p>
    <w:p w14:paraId="361E0D70" w14:textId="77777777" w:rsidR="00F20810" w:rsidRPr="005827DA" w:rsidRDefault="00F20810" w:rsidP="005827DA">
      <w:pPr>
        <w:pStyle w:val="ListParagraph"/>
        <w:numPr>
          <w:ilvl w:val="1"/>
          <w:numId w:val="246"/>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assessment</w:t>
      </w:r>
      <w:r w:rsidRPr="005827DA">
        <w:rPr>
          <w:rFonts w:ascii="Arial" w:hAnsi="Arial" w:cs="Arial"/>
          <w:spacing w:val="-2"/>
          <w:sz w:val="20"/>
          <w:szCs w:val="20"/>
        </w:rPr>
        <w:t xml:space="preserve"> </w:t>
      </w:r>
      <w:r w:rsidRPr="005827DA">
        <w:rPr>
          <w:rFonts w:ascii="Arial" w:hAnsi="Arial" w:cs="Arial"/>
          <w:sz w:val="20"/>
          <w:szCs w:val="20"/>
        </w:rPr>
        <w:t>of</w:t>
      </w:r>
      <w:r w:rsidRPr="005827DA">
        <w:rPr>
          <w:rFonts w:ascii="Arial" w:hAnsi="Arial" w:cs="Arial"/>
          <w:spacing w:val="-2"/>
          <w:sz w:val="20"/>
          <w:szCs w:val="20"/>
        </w:rPr>
        <w:t xml:space="preserve"> </w:t>
      </w:r>
      <w:r w:rsidRPr="005827DA">
        <w:rPr>
          <w:rFonts w:ascii="Arial" w:hAnsi="Arial" w:cs="Arial"/>
          <w:sz w:val="20"/>
          <w:szCs w:val="20"/>
        </w:rPr>
        <w:t>wind</w:t>
      </w:r>
      <w:r w:rsidRPr="005827DA">
        <w:rPr>
          <w:rFonts w:ascii="Arial" w:hAnsi="Arial" w:cs="Arial"/>
          <w:spacing w:val="-2"/>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obstacles;</w:t>
      </w:r>
    </w:p>
    <w:p w14:paraId="39F64B7E" w14:textId="77777777" w:rsidR="00F20810" w:rsidRPr="005827DA" w:rsidRDefault="00F20810" w:rsidP="005827DA">
      <w:pPr>
        <w:pStyle w:val="ListParagraph"/>
        <w:numPr>
          <w:ilvl w:val="1"/>
          <w:numId w:val="246"/>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preparation</w:t>
      </w:r>
      <w:r w:rsidRPr="005827DA">
        <w:rPr>
          <w:rFonts w:ascii="Arial" w:hAnsi="Arial" w:cs="Arial"/>
          <w:spacing w:val="-2"/>
          <w:sz w:val="20"/>
          <w:szCs w:val="20"/>
        </w:rPr>
        <w:t xml:space="preserve"> </w:t>
      </w:r>
      <w:r w:rsidRPr="005827DA">
        <w:rPr>
          <w:rFonts w:ascii="Arial" w:hAnsi="Arial" w:cs="Arial"/>
          <w:sz w:val="20"/>
          <w:szCs w:val="20"/>
        </w:rPr>
        <w:t>for</w:t>
      </w:r>
      <w:r w:rsidRPr="005827DA">
        <w:rPr>
          <w:rFonts w:ascii="Arial" w:hAnsi="Arial" w:cs="Arial"/>
          <w:spacing w:val="-2"/>
          <w:sz w:val="20"/>
          <w:szCs w:val="20"/>
        </w:rPr>
        <w:t xml:space="preserve"> </w:t>
      </w:r>
      <w:r w:rsidRPr="005827DA">
        <w:rPr>
          <w:rFonts w:ascii="Arial" w:hAnsi="Arial" w:cs="Arial"/>
          <w:sz w:val="20"/>
          <w:szCs w:val="20"/>
        </w:rPr>
        <w:t>false lift;</w:t>
      </w:r>
      <w:r w:rsidRPr="005827DA">
        <w:rPr>
          <w:rFonts w:ascii="Arial" w:hAnsi="Arial" w:cs="Arial"/>
          <w:spacing w:val="-1"/>
          <w:sz w:val="20"/>
          <w:szCs w:val="20"/>
        </w:rPr>
        <w:t xml:space="preserve"> </w:t>
      </w:r>
      <w:r w:rsidRPr="005827DA">
        <w:rPr>
          <w:rFonts w:ascii="Arial" w:hAnsi="Arial" w:cs="Arial"/>
          <w:sz w:val="20"/>
          <w:szCs w:val="20"/>
        </w:rPr>
        <w:t>and</w:t>
      </w:r>
    </w:p>
    <w:p w14:paraId="38BAF764" w14:textId="77777777" w:rsidR="00F20810" w:rsidRPr="005827DA" w:rsidRDefault="00F20810" w:rsidP="005827DA">
      <w:pPr>
        <w:pStyle w:val="ListParagraph"/>
        <w:numPr>
          <w:ilvl w:val="1"/>
          <w:numId w:val="246"/>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take-off</w:t>
      </w:r>
      <w:r w:rsidRPr="005827DA">
        <w:rPr>
          <w:rFonts w:ascii="Arial" w:hAnsi="Arial" w:cs="Arial"/>
          <w:spacing w:val="2"/>
          <w:sz w:val="20"/>
          <w:szCs w:val="20"/>
        </w:rPr>
        <w:t xml:space="preserve"> </w:t>
      </w:r>
      <w:r w:rsidRPr="005827DA">
        <w:rPr>
          <w:rFonts w:ascii="Arial" w:hAnsi="Arial" w:cs="Arial"/>
          <w:sz w:val="20"/>
          <w:szCs w:val="20"/>
        </w:rPr>
        <w:t>techniques</w:t>
      </w:r>
      <w:r w:rsidRPr="005827DA">
        <w:rPr>
          <w:rFonts w:ascii="Arial" w:hAnsi="Arial" w:cs="Arial"/>
          <w:spacing w:val="5"/>
          <w:sz w:val="20"/>
          <w:szCs w:val="20"/>
        </w:rPr>
        <w:t xml:space="preserve"> </w:t>
      </w:r>
      <w:r w:rsidRPr="005827DA">
        <w:rPr>
          <w:rFonts w:ascii="Arial" w:hAnsi="Arial" w:cs="Arial"/>
          <w:sz w:val="20"/>
          <w:szCs w:val="20"/>
        </w:rPr>
        <w:t>from</w:t>
      </w:r>
      <w:r w:rsidRPr="005827DA">
        <w:rPr>
          <w:rFonts w:ascii="Arial" w:hAnsi="Arial" w:cs="Arial"/>
          <w:spacing w:val="3"/>
          <w:sz w:val="20"/>
          <w:szCs w:val="20"/>
        </w:rPr>
        <w:t xml:space="preserve"> </w:t>
      </w:r>
      <w:r w:rsidRPr="005827DA">
        <w:rPr>
          <w:rFonts w:ascii="Arial" w:hAnsi="Arial" w:cs="Arial"/>
          <w:sz w:val="20"/>
          <w:szCs w:val="20"/>
        </w:rPr>
        <w:t>sheltered</w:t>
      </w:r>
      <w:r w:rsidRPr="005827DA">
        <w:rPr>
          <w:rFonts w:ascii="Arial" w:hAnsi="Arial" w:cs="Arial"/>
          <w:spacing w:val="4"/>
          <w:sz w:val="20"/>
          <w:szCs w:val="20"/>
        </w:rPr>
        <w:t xml:space="preserve"> </w:t>
      </w:r>
      <w:r w:rsidRPr="005827DA">
        <w:rPr>
          <w:rFonts w:ascii="Arial" w:hAnsi="Arial" w:cs="Arial"/>
          <w:sz w:val="20"/>
          <w:szCs w:val="20"/>
        </w:rPr>
        <w:t>and</w:t>
      </w:r>
      <w:r w:rsidRPr="005827DA">
        <w:rPr>
          <w:rFonts w:ascii="Arial" w:hAnsi="Arial" w:cs="Arial"/>
          <w:spacing w:val="1"/>
          <w:sz w:val="20"/>
          <w:szCs w:val="20"/>
        </w:rPr>
        <w:t xml:space="preserve"> </w:t>
      </w:r>
      <w:r w:rsidRPr="005827DA">
        <w:rPr>
          <w:rFonts w:ascii="Arial" w:hAnsi="Arial" w:cs="Arial"/>
          <w:sz w:val="20"/>
          <w:szCs w:val="20"/>
        </w:rPr>
        <w:t>non-sheltered</w:t>
      </w:r>
      <w:r w:rsidRPr="005827DA">
        <w:rPr>
          <w:rFonts w:ascii="Arial" w:hAnsi="Arial" w:cs="Arial"/>
          <w:spacing w:val="2"/>
          <w:sz w:val="20"/>
          <w:szCs w:val="20"/>
        </w:rPr>
        <w:t xml:space="preserve"> </w:t>
      </w:r>
      <w:r w:rsidRPr="005827DA">
        <w:rPr>
          <w:rFonts w:ascii="Arial" w:hAnsi="Arial" w:cs="Arial"/>
          <w:sz w:val="20"/>
          <w:szCs w:val="20"/>
        </w:rPr>
        <w:t>launch</w:t>
      </w:r>
      <w:r w:rsidRPr="005827DA">
        <w:rPr>
          <w:rFonts w:ascii="Arial" w:hAnsi="Arial" w:cs="Arial"/>
          <w:spacing w:val="-47"/>
          <w:sz w:val="20"/>
          <w:szCs w:val="20"/>
        </w:rPr>
        <w:t xml:space="preserve"> </w:t>
      </w:r>
      <w:r w:rsidRPr="005827DA">
        <w:rPr>
          <w:rFonts w:ascii="Arial" w:hAnsi="Arial" w:cs="Arial"/>
          <w:sz w:val="20"/>
          <w:szCs w:val="20"/>
        </w:rPr>
        <w:t>fields.</w:t>
      </w:r>
    </w:p>
    <w:p w14:paraId="77B19044" w14:textId="77777777" w:rsidR="00F20810" w:rsidRPr="005827DA" w:rsidRDefault="00F20810" w:rsidP="005827DA">
      <w:pPr>
        <w:pStyle w:val="ListParagraph"/>
        <w:numPr>
          <w:ilvl w:val="0"/>
          <w:numId w:val="246"/>
        </w:numPr>
        <w:tabs>
          <w:tab w:val="left" w:pos="90"/>
          <w:tab w:val="left" w:pos="2408"/>
          <w:tab w:val="left" w:pos="2409"/>
        </w:tabs>
        <w:spacing w:before="118" w:line="276" w:lineRule="auto"/>
        <w:ind w:right="68" w:hanging="436"/>
        <w:jc w:val="both"/>
        <w:rPr>
          <w:rFonts w:ascii="Arial" w:hAnsi="Arial" w:cs="Arial"/>
          <w:sz w:val="20"/>
          <w:szCs w:val="20"/>
        </w:rPr>
      </w:pPr>
      <w:r w:rsidRPr="005827DA">
        <w:rPr>
          <w:rFonts w:ascii="Arial" w:hAnsi="Arial" w:cs="Arial"/>
          <w:sz w:val="20"/>
          <w:szCs w:val="20"/>
        </w:rPr>
        <w:t>Air</w:t>
      </w:r>
      <w:r w:rsidRPr="005827DA">
        <w:rPr>
          <w:rFonts w:ascii="Arial" w:hAnsi="Arial" w:cs="Arial"/>
          <w:spacing w:val="-1"/>
          <w:sz w:val="20"/>
          <w:szCs w:val="20"/>
        </w:rPr>
        <w:t xml:space="preserve"> </w:t>
      </w:r>
      <w:r w:rsidRPr="005827DA">
        <w:rPr>
          <w:rFonts w:ascii="Arial" w:hAnsi="Arial" w:cs="Arial"/>
          <w:sz w:val="20"/>
          <w:szCs w:val="20"/>
        </w:rPr>
        <w:t>exercise</w:t>
      </w:r>
    </w:p>
    <w:p w14:paraId="71F871D8" w14:textId="77777777" w:rsidR="00F20810" w:rsidRPr="005827DA" w:rsidRDefault="00F20810" w:rsidP="005827DA">
      <w:pPr>
        <w:pStyle w:val="BodyText"/>
        <w:tabs>
          <w:tab w:val="left" w:pos="90"/>
        </w:tabs>
        <w:spacing w:line="276" w:lineRule="auto"/>
        <w:ind w:left="2408"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student</w:t>
      </w:r>
      <w:r w:rsidRPr="005827DA">
        <w:rPr>
          <w:rFonts w:ascii="Arial" w:hAnsi="Arial" w:cs="Arial"/>
          <w:spacing w:val="-3"/>
          <w:sz w:val="20"/>
          <w:szCs w:val="20"/>
        </w:rPr>
        <w:t xml:space="preserve"> </w:t>
      </w:r>
      <w:r w:rsidRPr="005827DA">
        <w:rPr>
          <w:rFonts w:ascii="Arial" w:hAnsi="Arial" w:cs="Arial"/>
          <w:sz w:val="20"/>
          <w:szCs w:val="20"/>
        </w:rPr>
        <w:t>instructor</w:t>
      </w:r>
      <w:r w:rsidRPr="005827DA">
        <w:rPr>
          <w:rFonts w:ascii="Arial" w:hAnsi="Arial" w:cs="Arial"/>
          <w:spacing w:val="-2"/>
          <w:sz w:val="20"/>
          <w:szCs w:val="20"/>
        </w:rPr>
        <w:t xml:space="preserve"> </w:t>
      </w:r>
      <w:r w:rsidRPr="005827DA">
        <w:rPr>
          <w:rFonts w:ascii="Arial" w:hAnsi="Arial" w:cs="Arial"/>
          <w:sz w:val="20"/>
          <w:szCs w:val="20"/>
        </w:rPr>
        <w:t>has</w:t>
      </w:r>
      <w:r w:rsidRPr="005827DA">
        <w:rPr>
          <w:rFonts w:ascii="Arial" w:hAnsi="Arial" w:cs="Arial"/>
          <w:spacing w:val="-6"/>
          <w:sz w:val="20"/>
          <w:szCs w:val="20"/>
        </w:rPr>
        <w:t xml:space="preserve"> </w:t>
      </w:r>
      <w:r w:rsidRPr="005827DA">
        <w:rPr>
          <w:rFonts w:ascii="Arial" w:hAnsi="Arial" w:cs="Arial"/>
          <w:sz w:val="20"/>
          <w:szCs w:val="20"/>
        </w:rPr>
        <w:t>to demonstrate:</w:t>
      </w:r>
    </w:p>
    <w:p w14:paraId="63345018" w14:textId="77777777" w:rsidR="00F20810" w:rsidRPr="005827DA" w:rsidRDefault="00F20810" w:rsidP="005827DA">
      <w:pPr>
        <w:pStyle w:val="ListParagraph"/>
        <w:numPr>
          <w:ilvl w:val="1"/>
          <w:numId w:val="246"/>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3"/>
          <w:sz w:val="20"/>
          <w:szCs w:val="20"/>
        </w:rPr>
        <w:t xml:space="preserve"> </w:t>
      </w:r>
      <w:r w:rsidRPr="005827DA">
        <w:rPr>
          <w:rFonts w:ascii="Arial" w:hAnsi="Arial" w:cs="Arial"/>
          <w:sz w:val="20"/>
          <w:szCs w:val="20"/>
        </w:rPr>
        <w:t>to perform</w:t>
      </w:r>
      <w:r w:rsidRPr="005827DA">
        <w:rPr>
          <w:rFonts w:ascii="Arial" w:hAnsi="Arial" w:cs="Arial"/>
          <w:spacing w:val="-1"/>
          <w:sz w:val="20"/>
          <w:szCs w:val="20"/>
        </w:rPr>
        <w:t xml:space="preserve"> </w:t>
      </w: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pre</w:t>
      </w:r>
      <w:r w:rsidRPr="005827DA">
        <w:rPr>
          <w:rFonts w:ascii="Arial" w:hAnsi="Arial" w:cs="Arial"/>
          <w:spacing w:val="1"/>
          <w:sz w:val="20"/>
          <w:szCs w:val="20"/>
        </w:rPr>
        <w:t xml:space="preserve"> </w:t>
      </w:r>
      <w:r w:rsidRPr="005827DA">
        <w:rPr>
          <w:rFonts w:ascii="Arial" w:hAnsi="Arial" w:cs="Arial"/>
          <w:sz w:val="20"/>
          <w:szCs w:val="20"/>
        </w:rPr>
        <w:t>take-off</w:t>
      </w:r>
      <w:r w:rsidRPr="005827DA">
        <w:rPr>
          <w:rFonts w:ascii="Arial" w:hAnsi="Arial" w:cs="Arial"/>
          <w:spacing w:val="-4"/>
          <w:sz w:val="20"/>
          <w:szCs w:val="20"/>
        </w:rPr>
        <w:t xml:space="preserve"> </w:t>
      </w:r>
      <w:r w:rsidRPr="005827DA">
        <w:rPr>
          <w:rFonts w:ascii="Arial" w:hAnsi="Arial" w:cs="Arial"/>
          <w:sz w:val="20"/>
          <w:szCs w:val="20"/>
        </w:rPr>
        <w:t>checks</w:t>
      </w:r>
      <w:r w:rsidRPr="005827DA">
        <w:rPr>
          <w:rFonts w:ascii="Arial" w:hAnsi="Arial" w:cs="Arial"/>
          <w:spacing w:val="-2"/>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briefings;</w:t>
      </w:r>
    </w:p>
    <w:p w14:paraId="68F1A6D2" w14:textId="77777777" w:rsidR="00F20810" w:rsidRPr="005827DA" w:rsidRDefault="00F20810" w:rsidP="005827DA">
      <w:pPr>
        <w:pStyle w:val="ListParagraph"/>
        <w:numPr>
          <w:ilvl w:val="1"/>
          <w:numId w:val="246"/>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3"/>
          <w:sz w:val="20"/>
          <w:szCs w:val="20"/>
        </w:rPr>
        <w:t xml:space="preserve"> </w:t>
      </w:r>
      <w:r w:rsidRPr="005827DA">
        <w:rPr>
          <w:rFonts w:ascii="Arial" w:hAnsi="Arial" w:cs="Arial"/>
          <w:sz w:val="20"/>
          <w:szCs w:val="20"/>
        </w:rPr>
        <w:t>to prepare for</w:t>
      </w:r>
      <w:r w:rsidRPr="005827DA">
        <w:rPr>
          <w:rFonts w:ascii="Arial" w:hAnsi="Arial" w:cs="Arial"/>
          <w:spacing w:val="-3"/>
          <w:sz w:val="20"/>
          <w:szCs w:val="20"/>
        </w:rPr>
        <w:t xml:space="preserve"> </w:t>
      </w:r>
      <w:r w:rsidRPr="005827DA">
        <w:rPr>
          <w:rFonts w:ascii="Arial" w:hAnsi="Arial" w:cs="Arial"/>
          <w:sz w:val="20"/>
          <w:szCs w:val="20"/>
        </w:rPr>
        <w:t>controlled climb;</w:t>
      </w:r>
    </w:p>
    <w:p w14:paraId="1999BB08" w14:textId="77777777" w:rsidR="00F20810" w:rsidRPr="005827DA" w:rsidRDefault="00F20810" w:rsidP="005827DA">
      <w:pPr>
        <w:pStyle w:val="ListParagraph"/>
        <w:numPr>
          <w:ilvl w:val="1"/>
          <w:numId w:val="246"/>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16"/>
          <w:sz w:val="20"/>
          <w:szCs w:val="20"/>
        </w:rPr>
        <w:t xml:space="preserve"> </w:t>
      </w:r>
      <w:r w:rsidRPr="005827DA">
        <w:rPr>
          <w:rFonts w:ascii="Arial" w:hAnsi="Arial" w:cs="Arial"/>
          <w:sz w:val="20"/>
          <w:szCs w:val="20"/>
        </w:rPr>
        <w:t>to</w:t>
      </w:r>
      <w:r w:rsidRPr="005827DA">
        <w:rPr>
          <w:rFonts w:ascii="Arial" w:hAnsi="Arial" w:cs="Arial"/>
          <w:spacing w:val="17"/>
          <w:sz w:val="20"/>
          <w:szCs w:val="20"/>
        </w:rPr>
        <w:t xml:space="preserve"> </w:t>
      </w:r>
      <w:r w:rsidRPr="005827DA">
        <w:rPr>
          <w:rFonts w:ascii="Arial" w:hAnsi="Arial" w:cs="Arial"/>
          <w:sz w:val="20"/>
          <w:szCs w:val="20"/>
        </w:rPr>
        <w:t>perform</w:t>
      </w:r>
      <w:r w:rsidRPr="005827DA">
        <w:rPr>
          <w:rFonts w:ascii="Arial" w:hAnsi="Arial" w:cs="Arial"/>
          <w:spacing w:val="17"/>
          <w:sz w:val="20"/>
          <w:szCs w:val="20"/>
        </w:rPr>
        <w:t xml:space="preserve"> </w:t>
      </w:r>
      <w:r w:rsidRPr="005827DA">
        <w:rPr>
          <w:rFonts w:ascii="Arial" w:hAnsi="Arial" w:cs="Arial"/>
          <w:sz w:val="20"/>
          <w:szCs w:val="20"/>
        </w:rPr>
        <w:t>the</w:t>
      </w:r>
      <w:r w:rsidRPr="005827DA">
        <w:rPr>
          <w:rFonts w:ascii="Arial" w:hAnsi="Arial" w:cs="Arial"/>
          <w:spacing w:val="16"/>
          <w:sz w:val="20"/>
          <w:szCs w:val="20"/>
        </w:rPr>
        <w:t xml:space="preserve"> </w:t>
      </w:r>
      <w:r w:rsidRPr="005827DA">
        <w:rPr>
          <w:rFonts w:ascii="Arial" w:hAnsi="Arial" w:cs="Arial"/>
          <w:sz w:val="20"/>
          <w:szCs w:val="20"/>
        </w:rPr>
        <w:t>‘hands</w:t>
      </w:r>
      <w:r w:rsidRPr="005827DA">
        <w:rPr>
          <w:rFonts w:ascii="Arial" w:hAnsi="Arial" w:cs="Arial"/>
          <w:spacing w:val="16"/>
          <w:sz w:val="20"/>
          <w:szCs w:val="20"/>
        </w:rPr>
        <w:t xml:space="preserve"> </w:t>
      </w:r>
      <w:r w:rsidRPr="005827DA">
        <w:rPr>
          <w:rFonts w:ascii="Arial" w:hAnsi="Arial" w:cs="Arial"/>
          <w:sz w:val="20"/>
          <w:szCs w:val="20"/>
        </w:rPr>
        <w:t>off</w:t>
      </w:r>
      <w:r w:rsidRPr="005827DA">
        <w:rPr>
          <w:rFonts w:ascii="Arial" w:hAnsi="Arial" w:cs="Arial"/>
          <w:spacing w:val="15"/>
          <w:sz w:val="20"/>
          <w:szCs w:val="20"/>
        </w:rPr>
        <w:t xml:space="preserve"> </w:t>
      </w:r>
      <w:r w:rsidRPr="005827DA">
        <w:rPr>
          <w:rFonts w:ascii="Arial" w:hAnsi="Arial" w:cs="Arial"/>
          <w:sz w:val="20"/>
          <w:szCs w:val="20"/>
        </w:rPr>
        <w:t>and</w:t>
      </w:r>
      <w:r w:rsidRPr="005827DA">
        <w:rPr>
          <w:rFonts w:ascii="Arial" w:hAnsi="Arial" w:cs="Arial"/>
          <w:spacing w:val="15"/>
          <w:sz w:val="20"/>
          <w:szCs w:val="20"/>
        </w:rPr>
        <w:t xml:space="preserve"> </w:t>
      </w:r>
      <w:r w:rsidRPr="005827DA">
        <w:rPr>
          <w:rFonts w:ascii="Arial" w:hAnsi="Arial" w:cs="Arial"/>
          <w:sz w:val="20"/>
          <w:szCs w:val="20"/>
        </w:rPr>
        <w:t>hands</w:t>
      </w:r>
      <w:r w:rsidRPr="005827DA">
        <w:rPr>
          <w:rFonts w:ascii="Arial" w:hAnsi="Arial" w:cs="Arial"/>
          <w:spacing w:val="16"/>
          <w:sz w:val="20"/>
          <w:szCs w:val="20"/>
        </w:rPr>
        <w:t xml:space="preserve"> </w:t>
      </w:r>
      <w:r w:rsidRPr="005827DA">
        <w:rPr>
          <w:rFonts w:ascii="Arial" w:hAnsi="Arial" w:cs="Arial"/>
          <w:sz w:val="20"/>
          <w:szCs w:val="20"/>
        </w:rPr>
        <w:t>on’</w:t>
      </w:r>
      <w:r w:rsidRPr="005827DA">
        <w:rPr>
          <w:rFonts w:ascii="Arial" w:hAnsi="Arial" w:cs="Arial"/>
          <w:spacing w:val="16"/>
          <w:sz w:val="20"/>
          <w:szCs w:val="20"/>
        </w:rPr>
        <w:t xml:space="preserve"> </w:t>
      </w:r>
      <w:r w:rsidRPr="005827DA">
        <w:rPr>
          <w:rFonts w:ascii="Arial" w:hAnsi="Arial" w:cs="Arial"/>
          <w:sz w:val="20"/>
          <w:szCs w:val="20"/>
        </w:rPr>
        <w:t>procedure</w:t>
      </w:r>
      <w:r w:rsidRPr="005827DA">
        <w:rPr>
          <w:rFonts w:ascii="Arial" w:hAnsi="Arial" w:cs="Arial"/>
          <w:spacing w:val="17"/>
          <w:sz w:val="20"/>
          <w:szCs w:val="20"/>
        </w:rPr>
        <w:t xml:space="preserve"> </w:t>
      </w:r>
      <w:r w:rsidRPr="005827DA">
        <w:rPr>
          <w:rFonts w:ascii="Arial" w:hAnsi="Arial" w:cs="Arial"/>
          <w:sz w:val="20"/>
          <w:szCs w:val="20"/>
        </w:rPr>
        <w:t>for</w:t>
      </w:r>
      <w:r w:rsidRPr="005827DA">
        <w:rPr>
          <w:rFonts w:ascii="Arial" w:hAnsi="Arial" w:cs="Arial"/>
          <w:spacing w:val="16"/>
          <w:sz w:val="20"/>
          <w:szCs w:val="20"/>
        </w:rPr>
        <w:t xml:space="preserve"> </w:t>
      </w:r>
      <w:r w:rsidRPr="005827DA">
        <w:rPr>
          <w:rFonts w:ascii="Arial" w:hAnsi="Arial" w:cs="Arial"/>
          <w:sz w:val="20"/>
          <w:szCs w:val="20"/>
        </w:rPr>
        <w:t>ground</w:t>
      </w:r>
      <w:r w:rsidRPr="005827DA">
        <w:rPr>
          <w:rFonts w:ascii="Arial" w:hAnsi="Arial" w:cs="Arial"/>
          <w:spacing w:val="-47"/>
          <w:sz w:val="20"/>
          <w:szCs w:val="20"/>
        </w:rPr>
        <w:t xml:space="preserve"> </w:t>
      </w:r>
      <w:r w:rsidRPr="005827DA">
        <w:rPr>
          <w:rFonts w:ascii="Arial" w:hAnsi="Arial" w:cs="Arial"/>
          <w:sz w:val="20"/>
          <w:szCs w:val="20"/>
        </w:rPr>
        <w:t>crew;</w:t>
      </w:r>
    </w:p>
    <w:p w14:paraId="39A8D53C" w14:textId="77777777" w:rsidR="00F20810" w:rsidRPr="005827DA" w:rsidRDefault="00F20810" w:rsidP="005827DA">
      <w:pPr>
        <w:pStyle w:val="ListParagraph"/>
        <w:numPr>
          <w:ilvl w:val="1"/>
          <w:numId w:val="246"/>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11"/>
          <w:sz w:val="20"/>
          <w:szCs w:val="20"/>
        </w:rPr>
        <w:t xml:space="preserve"> </w:t>
      </w:r>
      <w:r w:rsidRPr="005827DA">
        <w:rPr>
          <w:rFonts w:ascii="Arial" w:hAnsi="Arial" w:cs="Arial"/>
          <w:sz w:val="20"/>
          <w:szCs w:val="20"/>
        </w:rPr>
        <w:t>to</w:t>
      </w:r>
      <w:r w:rsidRPr="005827DA">
        <w:rPr>
          <w:rFonts w:ascii="Arial" w:hAnsi="Arial" w:cs="Arial"/>
          <w:spacing w:val="11"/>
          <w:sz w:val="20"/>
          <w:szCs w:val="20"/>
        </w:rPr>
        <w:t xml:space="preserve"> </w:t>
      </w:r>
      <w:r w:rsidRPr="005827DA">
        <w:rPr>
          <w:rFonts w:ascii="Arial" w:hAnsi="Arial" w:cs="Arial"/>
          <w:sz w:val="20"/>
          <w:szCs w:val="20"/>
        </w:rPr>
        <w:t>perform</w:t>
      </w:r>
      <w:r w:rsidRPr="005827DA">
        <w:rPr>
          <w:rFonts w:ascii="Arial" w:hAnsi="Arial" w:cs="Arial"/>
          <w:spacing w:val="9"/>
          <w:sz w:val="20"/>
          <w:szCs w:val="20"/>
        </w:rPr>
        <w:t xml:space="preserve"> </w:t>
      </w:r>
      <w:r w:rsidRPr="005827DA">
        <w:rPr>
          <w:rFonts w:ascii="Arial" w:hAnsi="Arial" w:cs="Arial"/>
          <w:sz w:val="20"/>
          <w:szCs w:val="20"/>
        </w:rPr>
        <w:t>the</w:t>
      </w:r>
      <w:r w:rsidRPr="005827DA">
        <w:rPr>
          <w:rFonts w:ascii="Arial" w:hAnsi="Arial" w:cs="Arial"/>
          <w:spacing w:val="10"/>
          <w:sz w:val="20"/>
          <w:szCs w:val="20"/>
        </w:rPr>
        <w:t xml:space="preserve"> </w:t>
      </w:r>
      <w:r w:rsidRPr="005827DA">
        <w:rPr>
          <w:rFonts w:ascii="Arial" w:hAnsi="Arial" w:cs="Arial"/>
          <w:sz w:val="20"/>
          <w:szCs w:val="20"/>
        </w:rPr>
        <w:t>assessment</w:t>
      </w:r>
      <w:r w:rsidRPr="005827DA">
        <w:rPr>
          <w:rFonts w:ascii="Arial" w:hAnsi="Arial" w:cs="Arial"/>
          <w:spacing w:val="11"/>
          <w:sz w:val="20"/>
          <w:szCs w:val="20"/>
        </w:rPr>
        <w:t xml:space="preserve"> </w:t>
      </w:r>
      <w:r w:rsidRPr="005827DA">
        <w:rPr>
          <w:rFonts w:ascii="Arial" w:hAnsi="Arial" w:cs="Arial"/>
          <w:sz w:val="20"/>
          <w:szCs w:val="20"/>
        </w:rPr>
        <w:t>of</w:t>
      </w:r>
      <w:r w:rsidRPr="005827DA">
        <w:rPr>
          <w:rFonts w:ascii="Arial" w:hAnsi="Arial" w:cs="Arial"/>
          <w:spacing w:val="10"/>
          <w:sz w:val="20"/>
          <w:szCs w:val="20"/>
        </w:rPr>
        <w:t xml:space="preserve"> </w:t>
      </w:r>
      <w:r w:rsidRPr="005827DA">
        <w:rPr>
          <w:rFonts w:ascii="Arial" w:hAnsi="Arial" w:cs="Arial"/>
          <w:sz w:val="20"/>
          <w:szCs w:val="20"/>
        </w:rPr>
        <w:t>lift</w:t>
      </w:r>
      <w:r w:rsidRPr="005827DA">
        <w:rPr>
          <w:rFonts w:ascii="Arial" w:hAnsi="Arial" w:cs="Arial"/>
          <w:spacing w:val="8"/>
          <w:sz w:val="20"/>
          <w:szCs w:val="20"/>
        </w:rPr>
        <w:t xml:space="preserve"> </w:t>
      </w:r>
      <w:r w:rsidRPr="005827DA">
        <w:rPr>
          <w:rFonts w:ascii="Arial" w:hAnsi="Arial" w:cs="Arial"/>
          <w:sz w:val="20"/>
          <w:szCs w:val="20"/>
        </w:rPr>
        <w:t>without</w:t>
      </w:r>
      <w:r w:rsidRPr="005827DA">
        <w:rPr>
          <w:rFonts w:ascii="Arial" w:hAnsi="Arial" w:cs="Arial"/>
          <w:spacing w:val="11"/>
          <w:sz w:val="20"/>
          <w:szCs w:val="20"/>
        </w:rPr>
        <w:t xml:space="preserve"> </w:t>
      </w:r>
      <w:r w:rsidRPr="005827DA">
        <w:rPr>
          <w:rFonts w:ascii="Arial" w:hAnsi="Arial" w:cs="Arial"/>
          <w:sz w:val="20"/>
          <w:szCs w:val="20"/>
        </w:rPr>
        <w:t>endangering</w:t>
      </w:r>
      <w:r w:rsidRPr="005827DA">
        <w:rPr>
          <w:rFonts w:ascii="Arial" w:hAnsi="Arial" w:cs="Arial"/>
          <w:spacing w:val="9"/>
          <w:sz w:val="20"/>
          <w:szCs w:val="20"/>
        </w:rPr>
        <w:t xml:space="preserve"> </w:t>
      </w:r>
      <w:r w:rsidRPr="005827DA">
        <w:rPr>
          <w:rFonts w:ascii="Arial" w:hAnsi="Arial" w:cs="Arial"/>
          <w:sz w:val="20"/>
          <w:szCs w:val="20"/>
        </w:rPr>
        <w:t>the</w:t>
      </w:r>
      <w:r w:rsidRPr="005827DA">
        <w:rPr>
          <w:rFonts w:ascii="Arial" w:hAnsi="Arial" w:cs="Arial"/>
          <w:spacing w:val="-47"/>
          <w:sz w:val="20"/>
          <w:szCs w:val="20"/>
        </w:rPr>
        <w:t xml:space="preserve"> </w:t>
      </w:r>
      <w:r w:rsidRPr="005827DA">
        <w:rPr>
          <w:rFonts w:ascii="Arial" w:hAnsi="Arial" w:cs="Arial"/>
          <w:sz w:val="20"/>
          <w:szCs w:val="20"/>
        </w:rPr>
        <w:t>ground</w:t>
      </w:r>
      <w:r w:rsidRPr="005827DA">
        <w:rPr>
          <w:rFonts w:ascii="Arial" w:hAnsi="Arial" w:cs="Arial"/>
          <w:spacing w:val="-1"/>
          <w:sz w:val="20"/>
          <w:szCs w:val="20"/>
        </w:rPr>
        <w:t xml:space="preserve"> </w:t>
      </w:r>
      <w:r w:rsidRPr="005827DA">
        <w:rPr>
          <w:rFonts w:ascii="Arial" w:hAnsi="Arial" w:cs="Arial"/>
          <w:sz w:val="20"/>
          <w:szCs w:val="20"/>
        </w:rPr>
        <w:t>crew;</w:t>
      </w:r>
    </w:p>
    <w:p w14:paraId="1D092289" w14:textId="77777777" w:rsidR="00F20810" w:rsidRPr="005827DA" w:rsidRDefault="00F20810" w:rsidP="005827DA">
      <w:pPr>
        <w:pStyle w:val="ListParagraph"/>
        <w:numPr>
          <w:ilvl w:val="1"/>
          <w:numId w:val="246"/>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3"/>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use the</w:t>
      </w:r>
      <w:r w:rsidRPr="005827DA">
        <w:rPr>
          <w:rFonts w:ascii="Arial" w:hAnsi="Arial" w:cs="Arial"/>
          <w:spacing w:val="1"/>
          <w:sz w:val="20"/>
          <w:szCs w:val="20"/>
        </w:rPr>
        <w:t xml:space="preserve"> </w:t>
      </w:r>
      <w:r w:rsidRPr="005827DA">
        <w:rPr>
          <w:rFonts w:ascii="Arial" w:hAnsi="Arial" w:cs="Arial"/>
          <w:sz w:val="20"/>
          <w:szCs w:val="20"/>
        </w:rPr>
        <w:t>restraint</w:t>
      </w:r>
      <w:r w:rsidRPr="005827DA">
        <w:rPr>
          <w:rFonts w:ascii="Arial" w:hAnsi="Arial" w:cs="Arial"/>
          <w:spacing w:val="-3"/>
          <w:sz w:val="20"/>
          <w:szCs w:val="20"/>
        </w:rPr>
        <w:t xml:space="preserve"> </w:t>
      </w:r>
      <w:r w:rsidRPr="005827DA">
        <w:rPr>
          <w:rFonts w:ascii="Arial" w:hAnsi="Arial" w:cs="Arial"/>
          <w:sz w:val="20"/>
          <w:szCs w:val="20"/>
        </w:rPr>
        <w:t>equipment;</w:t>
      </w:r>
    </w:p>
    <w:p w14:paraId="027E9D0B" w14:textId="77777777" w:rsidR="00F20810" w:rsidRPr="005827DA" w:rsidRDefault="00F20810" w:rsidP="005827DA">
      <w:pPr>
        <w:pStyle w:val="ListParagraph"/>
        <w:numPr>
          <w:ilvl w:val="1"/>
          <w:numId w:val="246"/>
        </w:numPr>
        <w:tabs>
          <w:tab w:val="left" w:pos="90"/>
          <w:tab w:val="left" w:pos="2975"/>
          <w:tab w:val="left" w:pos="2976"/>
        </w:tabs>
        <w:spacing w:before="118"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3"/>
          <w:sz w:val="20"/>
          <w:szCs w:val="20"/>
        </w:rPr>
        <w:t xml:space="preserve"> </w:t>
      </w:r>
      <w:r w:rsidRPr="005827DA">
        <w:rPr>
          <w:rFonts w:ascii="Arial" w:hAnsi="Arial" w:cs="Arial"/>
          <w:sz w:val="20"/>
          <w:szCs w:val="20"/>
        </w:rPr>
        <w:t>to perform</w:t>
      </w:r>
      <w:r w:rsidRPr="005827DA">
        <w:rPr>
          <w:rFonts w:ascii="Arial" w:hAnsi="Arial" w:cs="Arial"/>
          <w:spacing w:val="-2"/>
          <w:sz w:val="20"/>
          <w:szCs w:val="20"/>
        </w:rPr>
        <w:t xml:space="preserve"> </w:t>
      </w: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assessment</w:t>
      </w:r>
      <w:r w:rsidRPr="005827DA">
        <w:rPr>
          <w:rFonts w:ascii="Arial" w:hAnsi="Arial" w:cs="Arial"/>
          <w:spacing w:val="-3"/>
          <w:sz w:val="20"/>
          <w:szCs w:val="20"/>
        </w:rPr>
        <w:t xml:space="preserve"> </w:t>
      </w:r>
      <w:r w:rsidRPr="005827DA">
        <w:rPr>
          <w:rFonts w:ascii="Arial" w:hAnsi="Arial" w:cs="Arial"/>
          <w:sz w:val="20"/>
          <w:szCs w:val="20"/>
        </w:rPr>
        <w:t>of</w:t>
      </w:r>
      <w:r w:rsidRPr="005827DA">
        <w:rPr>
          <w:rFonts w:ascii="Arial" w:hAnsi="Arial" w:cs="Arial"/>
          <w:spacing w:val="-3"/>
          <w:sz w:val="20"/>
          <w:szCs w:val="20"/>
        </w:rPr>
        <w:t xml:space="preserve"> </w:t>
      </w:r>
      <w:r w:rsidRPr="005827DA">
        <w:rPr>
          <w:rFonts w:ascii="Arial" w:hAnsi="Arial" w:cs="Arial"/>
          <w:sz w:val="20"/>
          <w:szCs w:val="20"/>
        </w:rPr>
        <w:t>wind</w:t>
      </w:r>
      <w:r w:rsidRPr="005827DA">
        <w:rPr>
          <w:rFonts w:ascii="Arial" w:hAnsi="Arial" w:cs="Arial"/>
          <w:spacing w:val="-2"/>
          <w:sz w:val="20"/>
          <w:szCs w:val="20"/>
        </w:rPr>
        <w:t xml:space="preserve"> </w:t>
      </w:r>
      <w:r w:rsidRPr="005827DA">
        <w:rPr>
          <w:rFonts w:ascii="Arial" w:hAnsi="Arial" w:cs="Arial"/>
          <w:sz w:val="20"/>
          <w:szCs w:val="20"/>
        </w:rPr>
        <w:t>and</w:t>
      </w:r>
      <w:r w:rsidRPr="005827DA">
        <w:rPr>
          <w:rFonts w:ascii="Arial" w:hAnsi="Arial" w:cs="Arial"/>
          <w:spacing w:val="-4"/>
          <w:sz w:val="20"/>
          <w:szCs w:val="20"/>
        </w:rPr>
        <w:t xml:space="preserve"> </w:t>
      </w:r>
      <w:r w:rsidRPr="005827DA">
        <w:rPr>
          <w:rFonts w:ascii="Arial" w:hAnsi="Arial" w:cs="Arial"/>
          <w:sz w:val="20"/>
          <w:szCs w:val="20"/>
        </w:rPr>
        <w:t>obstacles;</w:t>
      </w:r>
    </w:p>
    <w:p w14:paraId="4E5B561C" w14:textId="77777777" w:rsidR="00F20810" w:rsidRPr="005827DA" w:rsidRDefault="00F20810" w:rsidP="005827DA">
      <w:pPr>
        <w:pStyle w:val="ListParagraph"/>
        <w:numPr>
          <w:ilvl w:val="1"/>
          <w:numId w:val="246"/>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4"/>
          <w:sz w:val="20"/>
          <w:szCs w:val="20"/>
        </w:rPr>
        <w:t xml:space="preserve"> </w:t>
      </w:r>
      <w:r w:rsidRPr="005827DA">
        <w:rPr>
          <w:rFonts w:ascii="Arial" w:hAnsi="Arial" w:cs="Arial"/>
          <w:sz w:val="20"/>
          <w:szCs w:val="20"/>
        </w:rPr>
        <w:t>to prepare</w:t>
      </w:r>
      <w:r w:rsidRPr="005827DA">
        <w:rPr>
          <w:rFonts w:ascii="Arial" w:hAnsi="Arial" w:cs="Arial"/>
          <w:spacing w:val="-1"/>
          <w:sz w:val="20"/>
          <w:szCs w:val="20"/>
        </w:rPr>
        <w:t xml:space="preserve"> </w:t>
      </w:r>
      <w:r w:rsidRPr="005827DA">
        <w:rPr>
          <w:rFonts w:ascii="Arial" w:hAnsi="Arial" w:cs="Arial"/>
          <w:sz w:val="20"/>
          <w:szCs w:val="20"/>
        </w:rPr>
        <w:t>for</w:t>
      </w:r>
      <w:r w:rsidRPr="005827DA">
        <w:rPr>
          <w:rFonts w:ascii="Arial" w:hAnsi="Arial" w:cs="Arial"/>
          <w:spacing w:val="-1"/>
          <w:sz w:val="20"/>
          <w:szCs w:val="20"/>
        </w:rPr>
        <w:t xml:space="preserve"> </w:t>
      </w:r>
      <w:r w:rsidRPr="005827DA">
        <w:rPr>
          <w:rFonts w:ascii="Arial" w:hAnsi="Arial" w:cs="Arial"/>
          <w:sz w:val="20"/>
          <w:szCs w:val="20"/>
        </w:rPr>
        <w:t>false lift;</w:t>
      </w:r>
    </w:p>
    <w:p w14:paraId="210342F9" w14:textId="77777777" w:rsidR="00F20810" w:rsidRPr="005827DA" w:rsidRDefault="00F20810" w:rsidP="005827DA">
      <w:pPr>
        <w:pStyle w:val="ListParagraph"/>
        <w:numPr>
          <w:ilvl w:val="1"/>
          <w:numId w:val="246"/>
        </w:numPr>
        <w:tabs>
          <w:tab w:val="left" w:pos="90"/>
          <w:tab w:val="left" w:pos="2975"/>
          <w:tab w:val="left" w:pos="2976"/>
        </w:tabs>
        <w:spacing w:before="56"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14"/>
          <w:sz w:val="20"/>
          <w:szCs w:val="20"/>
        </w:rPr>
        <w:t xml:space="preserve"> </w:t>
      </w:r>
      <w:r w:rsidRPr="005827DA">
        <w:rPr>
          <w:rFonts w:ascii="Arial" w:hAnsi="Arial" w:cs="Arial"/>
          <w:sz w:val="20"/>
          <w:szCs w:val="20"/>
        </w:rPr>
        <w:t>to</w:t>
      </w:r>
      <w:r w:rsidRPr="005827DA">
        <w:rPr>
          <w:rFonts w:ascii="Arial" w:hAnsi="Arial" w:cs="Arial"/>
          <w:spacing w:val="16"/>
          <w:sz w:val="20"/>
          <w:szCs w:val="20"/>
        </w:rPr>
        <w:t xml:space="preserve"> </w:t>
      </w:r>
      <w:r w:rsidRPr="005827DA">
        <w:rPr>
          <w:rFonts w:ascii="Arial" w:hAnsi="Arial" w:cs="Arial"/>
          <w:sz w:val="20"/>
          <w:szCs w:val="20"/>
        </w:rPr>
        <w:t>teach</w:t>
      </w:r>
      <w:r w:rsidRPr="005827DA">
        <w:rPr>
          <w:rFonts w:ascii="Arial" w:hAnsi="Arial" w:cs="Arial"/>
          <w:spacing w:val="14"/>
          <w:sz w:val="20"/>
          <w:szCs w:val="20"/>
        </w:rPr>
        <w:t xml:space="preserve"> </w:t>
      </w:r>
      <w:r w:rsidRPr="005827DA">
        <w:rPr>
          <w:rFonts w:ascii="Arial" w:hAnsi="Arial" w:cs="Arial"/>
          <w:sz w:val="20"/>
          <w:szCs w:val="20"/>
        </w:rPr>
        <w:t>the</w:t>
      </w:r>
      <w:r w:rsidRPr="005827DA">
        <w:rPr>
          <w:rFonts w:ascii="Arial" w:hAnsi="Arial" w:cs="Arial"/>
          <w:spacing w:val="14"/>
          <w:sz w:val="20"/>
          <w:szCs w:val="20"/>
        </w:rPr>
        <w:t xml:space="preserve"> </w:t>
      </w:r>
      <w:r w:rsidRPr="005827DA">
        <w:rPr>
          <w:rFonts w:ascii="Arial" w:hAnsi="Arial" w:cs="Arial"/>
          <w:sz w:val="20"/>
          <w:szCs w:val="20"/>
        </w:rPr>
        <w:t>student</w:t>
      </w:r>
      <w:r w:rsidRPr="005827DA">
        <w:rPr>
          <w:rFonts w:ascii="Arial" w:hAnsi="Arial" w:cs="Arial"/>
          <w:spacing w:val="12"/>
          <w:sz w:val="20"/>
          <w:szCs w:val="20"/>
        </w:rPr>
        <w:t xml:space="preserve"> </w:t>
      </w:r>
      <w:r w:rsidRPr="005827DA">
        <w:rPr>
          <w:rFonts w:ascii="Arial" w:hAnsi="Arial" w:cs="Arial"/>
          <w:sz w:val="20"/>
          <w:szCs w:val="20"/>
        </w:rPr>
        <w:t>pilot</w:t>
      </w:r>
      <w:r w:rsidRPr="005827DA">
        <w:rPr>
          <w:rFonts w:ascii="Arial" w:hAnsi="Arial" w:cs="Arial"/>
          <w:spacing w:val="14"/>
          <w:sz w:val="20"/>
          <w:szCs w:val="20"/>
        </w:rPr>
        <w:t xml:space="preserve"> </w:t>
      </w:r>
      <w:r w:rsidRPr="005827DA">
        <w:rPr>
          <w:rFonts w:ascii="Arial" w:hAnsi="Arial" w:cs="Arial"/>
          <w:sz w:val="20"/>
          <w:szCs w:val="20"/>
        </w:rPr>
        <w:t>the</w:t>
      </w:r>
      <w:r w:rsidRPr="005827DA">
        <w:rPr>
          <w:rFonts w:ascii="Arial" w:hAnsi="Arial" w:cs="Arial"/>
          <w:spacing w:val="14"/>
          <w:sz w:val="20"/>
          <w:szCs w:val="20"/>
        </w:rPr>
        <w:t xml:space="preserve"> </w:t>
      </w:r>
      <w:r w:rsidRPr="005827DA">
        <w:rPr>
          <w:rFonts w:ascii="Arial" w:hAnsi="Arial" w:cs="Arial"/>
          <w:sz w:val="20"/>
          <w:szCs w:val="20"/>
        </w:rPr>
        <w:t>correct</w:t>
      </w:r>
      <w:r w:rsidRPr="005827DA">
        <w:rPr>
          <w:rFonts w:ascii="Arial" w:hAnsi="Arial" w:cs="Arial"/>
          <w:spacing w:val="15"/>
          <w:sz w:val="20"/>
          <w:szCs w:val="20"/>
        </w:rPr>
        <w:t xml:space="preserve"> </w:t>
      </w:r>
      <w:r w:rsidRPr="005827DA">
        <w:rPr>
          <w:rFonts w:ascii="Arial" w:hAnsi="Arial" w:cs="Arial"/>
          <w:sz w:val="20"/>
          <w:szCs w:val="20"/>
        </w:rPr>
        <w:t>take</w:t>
      </w:r>
      <w:r w:rsidRPr="005827DA">
        <w:rPr>
          <w:rFonts w:ascii="Arial" w:hAnsi="Arial" w:cs="Arial"/>
          <w:spacing w:val="15"/>
          <w:sz w:val="20"/>
          <w:szCs w:val="20"/>
        </w:rPr>
        <w:t xml:space="preserve"> </w:t>
      </w:r>
      <w:r w:rsidRPr="005827DA">
        <w:rPr>
          <w:rFonts w:ascii="Arial" w:hAnsi="Arial" w:cs="Arial"/>
          <w:sz w:val="20"/>
          <w:szCs w:val="20"/>
        </w:rPr>
        <w:t>off</w:t>
      </w:r>
      <w:r w:rsidRPr="005827DA">
        <w:rPr>
          <w:rFonts w:ascii="Arial" w:hAnsi="Arial" w:cs="Arial"/>
          <w:spacing w:val="14"/>
          <w:sz w:val="20"/>
          <w:szCs w:val="20"/>
        </w:rPr>
        <w:t xml:space="preserve"> </w:t>
      </w:r>
      <w:r w:rsidRPr="005827DA">
        <w:rPr>
          <w:rFonts w:ascii="Arial" w:hAnsi="Arial" w:cs="Arial"/>
          <w:sz w:val="20"/>
          <w:szCs w:val="20"/>
        </w:rPr>
        <w:t>techniques</w:t>
      </w:r>
      <w:r w:rsidRPr="005827DA">
        <w:rPr>
          <w:rFonts w:ascii="Arial" w:hAnsi="Arial" w:cs="Arial"/>
          <w:spacing w:val="17"/>
          <w:sz w:val="20"/>
          <w:szCs w:val="20"/>
        </w:rPr>
        <w:t xml:space="preserve"> </w:t>
      </w:r>
      <w:r w:rsidRPr="005827DA">
        <w:rPr>
          <w:rFonts w:ascii="Arial" w:hAnsi="Arial" w:cs="Arial"/>
          <w:sz w:val="20"/>
          <w:szCs w:val="20"/>
        </w:rPr>
        <w:t>from</w:t>
      </w:r>
      <w:r w:rsidRPr="005827DA">
        <w:rPr>
          <w:rFonts w:ascii="Arial" w:hAnsi="Arial" w:cs="Arial"/>
          <w:spacing w:val="-46"/>
          <w:sz w:val="20"/>
          <w:szCs w:val="20"/>
        </w:rPr>
        <w:t xml:space="preserve"> </w:t>
      </w:r>
      <w:r w:rsidRPr="005827DA">
        <w:rPr>
          <w:rFonts w:ascii="Arial" w:hAnsi="Arial" w:cs="Arial"/>
          <w:sz w:val="20"/>
          <w:szCs w:val="20"/>
        </w:rPr>
        <w:t>sheltered</w:t>
      </w:r>
      <w:r w:rsidRPr="005827DA">
        <w:rPr>
          <w:rFonts w:ascii="Arial" w:hAnsi="Arial" w:cs="Arial"/>
          <w:spacing w:val="-4"/>
          <w:sz w:val="20"/>
          <w:szCs w:val="20"/>
        </w:rPr>
        <w:t xml:space="preserve"> </w:t>
      </w:r>
      <w:r w:rsidRPr="005827DA">
        <w:rPr>
          <w:rFonts w:ascii="Arial" w:hAnsi="Arial" w:cs="Arial"/>
          <w:sz w:val="20"/>
          <w:szCs w:val="20"/>
        </w:rPr>
        <w:t>and</w:t>
      </w:r>
      <w:r w:rsidRPr="005827DA">
        <w:rPr>
          <w:rFonts w:ascii="Arial" w:hAnsi="Arial" w:cs="Arial"/>
          <w:spacing w:val="-1"/>
          <w:sz w:val="20"/>
          <w:szCs w:val="20"/>
        </w:rPr>
        <w:t xml:space="preserve"> </w:t>
      </w:r>
      <w:r w:rsidRPr="005827DA">
        <w:rPr>
          <w:rFonts w:ascii="Arial" w:hAnsi="Arial" w:cs="Arial"/>
          <w:sz w:val="20"/>
          <w:szCs w:val="20"/>
        </w:rPr>
        <w:t>non-sheltered</w:t>
      </w:r>
      <w:r w:rsidRPr="005827DA">
        <w:rPr>
          <w:rFonts w:ascii="Arial" w:hAnsi="Arial" w:cs="Arial"/>
          <w:spacing w:val="-1"/>
          <w:sz w:val="20"/>
          <w:szCs w:val="20"/>
        </w:rPr>
        <w:t xml:space="preserve"> </w:t>
      </w:r>
      <w:r w:rsidRPr="005827DA">
        <w:rPr>
          <w:rFonts w:ascii="Arial" w:hAnsi="Arial" w:cs="Arial"/>
          <w:sz w:val="20"/>
          <w:szCs w:val="20"/>
        </w:rPr>
        <w:t>launch</w:t>
      </w:r>
      <w:r w:rsidRPr="005827DA">
        <w:rPr>
          <w:rFonts w:ascii="Arial" w:hAnsi="Arial" w:cs="Arial"/>
          <w:spacing w:val="-1"/>
          <w:sz w:val="20"/>
          <w:szCs w:val="20"/>
        </w:rPr>
        <w:t xml:space="preserve"> </w:t>
      </w:r>
      <w:r w:rsidRPr="005827DA">
        <w:rPr>
          <w:rFonts w:ascii="Arial" w:hAnsi="Arial" w:cs="Arial"/>
          <w:sz w:val="20"/>
          <w:szCs w:val="20"/>
        </w:rPr>
        <w:t>fields; and</w:t>
      </w:r>
    </w:p>
    <w:p w14:paraId="152D09ED" w14:textId="77777777" w:rsidR="00F20810" w:rsidRPr="005827DA" w:rsidRDefault="00F20810" w:rsidP="005827DA">
      <w:pPr>
        <w:pStyle w:val="ListParagraph"/>
        <w:numPr>
          <w:ilvl w:val="1"/>
          <w:numId w:val="246"/>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3"/>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analyse</w:t>
      </w:r>
      <w:r w:rsidRPr="005827DA">
        <w:rPr>
          <w:rFonts w:ascii="Arial" w:hAnsi="Arial" w:cs="Arial"/>
          <w:spacing w:val="-2"/>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correct</w:t>
      </w:r>
      <w:r w:rsidRPr="005827DA">
        <w:rPr>
          <w:rFonts w:ascii="Arial" w:hAnsi="Arial" w:cs="Arial"/>
          <w:spacing w:val="-2"/>
          <w:sz w:val="20"/>
          <w:szCs w:val="20"/>
        </w:rPr>
        <w:t xml:space="preserve"> </w:t>
      </w:r>
      <w:r w:rsidRPr="005827DA">
        <w:rPr>
          <w:rFonts w:ascii="Arial" w:hAnsi="Arial" w:cs="Arial"/>
          <w:sz w:val="20"/>
          <w:szCs w:val="20"/>
        </w:rPr>
        <w:t>errors</w:t>
      </w:r>
      <w:r w:rsidRPr="005827DA">
        <w:rPr>
          <w:rFonts w:ascii="Arial" w:hAnsi="Arial" w:cs="Arial"/>
          <w:spacing w:val="-2"/>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student</w:t>
      </w:r>
      <w:r w:rsidRPr="005827DA">
        <w:rPr>
          <w:rFonts w:ascii="Arial" w:hAnsi="Arial" w:cs="Arial"/>
          <w:spacing w:val="-2"/>
          <w:sz w:val="20"/>
          <w:szCs w:val="20"/>
        </w:rPr>
        <w:t xml:space="preserve"> </w:t>
      </w:r>
      <w:r w:rsidRPr="005827DA">
        <w:rPr>
          <w:rFonts w:ascii="Arial" w:hAnsi="Arial" w:cs="Arial"/>
          <w:sz w:val="20"/>
          <w:szCs w:val="20"/>
        </w:rPr>
        <w:t>pilot</w:t>
      </w:r>
      <w:r w:rsidRPr="005827DA">
        <w:rPr>
          <w:rFonts w:ascii="Arial" w:hAnsi="Arial" w:cs="Arial"/>
          <w:spacing w:val="-3"/>
          <w:sz w:val="20"/>
          <w:szCs w:val="20"/>
        </w:rPr>
        <w:t xml:space="preserve"> </w:t>
      </w:r>
      <w:r w:rsidRPr="005827DA">
        <w:rPr>
          <w:rFonts w:ascii="Arial" w:hAnsi="Arial" w:cs="Arial"/>
          <w:sz w:val="20"/>
          <w:szCs w:val="20"/>
        </w:rPr>
        <w:t>as necessary.</w:t>
      </w:r>
    </w:p>
    <w:p w14:paraId="39F48F08" w14:textId="0333E4BE" w:rsidR="00F20810" w:rsidRPr="00A16E10" w:rsidRDefault="00F20810" w:rsidP="00A16E10">
      <w:pPr>
        <w:pStyle w:val="ListParagraph"/>
        <w:numPr>
          <w:ilvl w:val="0"/>
          <w:numId w:val="246"/>
        </w:numPr>
        <w:tabs>
          <w:tab w:val="left" w:pos="90"/>
          <w:tab w:val="left" w:pos="2408"/>
          <w:tab w:val="left" w:pos="2409"/>
        </w:tabs>
        <w:spacing w:line="276" w:lineRule="auto"/>
        <w:ind w:right="68" w:hanging="436"/>
        <w:jc w:val="both"/>
        <w:rPr>
          <w:rFonts w:ascii="Arial" w:hAnsi="Arial" w:cs="Arial"/>
          <w:sz w:val="20"/>
          <w:szCs w:val="20"/>
        </w:rPr>
      </w:pPr>
      <w:r w:rsidRPr="005827DA">
        <w:rPr>
          <w:rFonts w:ascii="Arial" w:hAnsi="Arial" w:cs="Arial"/>
          <w:sz w:val="20"/>
          <w:szCs w:val="20"/>
        </w:rPr>
        <w:t>Debriefing</w:t>
      </w:r>
    </w:p>
    <w:p w14:paraId="762009C8" w14:textId="77777777" w:rsidR="00F20810" w:rsidRPr="005827DA" w:rsidRDefault="00F20810" w:rsidP="005827DA">
      <w:pPr>
        <w:tabs>
          <w:tab w:val="left" w:pos="90"/>
        </w:tabs>
        <w:spacing w:line="276" w:lineRule="auto"/>
        <w:ind w:right="68" w:hanging="436"/>
        <w:jc w:val="both"/>
        <w:rPr>
          <w:rFonts w:ascii="Arial" w:eastAsia="Times New Roman" w:hAnsi="Arial" w:cs="Times New Roman"/>
          <w:b/>
          <w:bCs/>
          <w:sz w:val="20"/>
          <w:szCs w:val="20"/>
        </w:rPr>
      </w:pPr>
      <w:r w:rsidRPr="005827DA">
        <w:rPr>
          <w:rFonts w:ascii="Arial" w:eastAsia="Times New Roman" w:hAnsi="Arial" w:cs="Times New Roman"/>
          <w:b/>
          <w:bCs/>
          <w:sz w:val="20"/>
          <w:szCs w:val="20"/>
        </w:rPr>
        <w:t>Exercise 7: Climb to level flight</w:t>
      </w:r>
    </w:p>
    <w:p w14:paraId="462442BB" w14:textId="77777777" w:rsidR="00F20810" w:rsidRPr="005827DA" w:rsidRDefault="00F20810" w:rsidP="005827DA">
      <w:pPr>
        <w:pStyle w:val="ListParagraph"/>
        <w:numPr>
          <w:ilvl w:val="0"/>
          <w:numId w:val="248"/>
        </w:numPr>
        <w:tabs>
          <w:tab w:val="left" w:pos="90"/>
          <w:tab w:val="left" w:pos="2409"/>
        </w:tabs>
        <w:spacing w:before="118" w:line="276" w:lineRule="auto"/>
        <w:ind w:right="68" w:hanging="436"/>
        <w:jc w:val="both"/>
        <w:rPr>
          <w:rFonts w:ascii="Arial" w:hAnsi="Arial" w:cs="Arial"/>
          <w:sz w:val="20"/>
          <w:szCs w:val="20"/>
        </w:rPr>
      </w:pPr>
      <w:r w:rsidRPr="005827DA">
        <w:rPr>
          <w:rFonts w:ascii="Arial" w:hAnsi="Arial" w:cs="Arial"/>
          <w:sz w:val="20"/>
          <w:szCs w:val="20"/>
        </w:rPr>
        <w:t>Objective</w:t>
      </w:r>
    </w:p>
    <w:p w14:paraId="7820CA2F" w14:textId="77777777" w:rsidR="00F20810" w:rsidRPr="005827DA" w:rsidRDefault="00F20810" w:rsidP="005827DA">
      <w:pPr>
        <w:pStyle w:val="BodyText"/>
        <w:tabs>
          <w:tab w:val="left" w:pos="90"/>
        </w:tabs>
        <w:spacing w:line="276" w:lineRule="auto"/>
        <w:ind w:left="2408" w:right="68" w:hanging="436"/>
        <w:jc w:val="both"/>
        <w:rPr>
          <w:rFonts w:ascii="Arial" w:hAnsi="Arial" w:cs="Arial"/>
          <w:sz w:val="20"/>
          <w:szCs w:val="20"/>
        </w:rPr>
      </w:pPr>
      <w:r w:rsidRPr="005827DA">
        <w:rPr>
          <w:rFonts w:ascii="Arial" w:hAnsi="Arial" w:cs="Arial"/>
          <w:sz w:val="20"/>
          <w:szCs w:val="20"/>
        </w:rPr>
        <w:t>To advise the student instructor on how to explain and demonstrate the</w:t>
      </w:r>
      <w:r w:rsidRPr="005827DA">
        <w:rPr>
          <w:rFonts w:ascii="Arial" w:hAnsi="Arial" w:cs="Arial"/>
          <w:spacing w:val="1"/>
          <w:sz w:val="20"/>
          <w:szCs w:val="20"/>
        </w:rPr>
        <w:t xml:space="preserve"> </w:t>
      </w:r>
      <w:r w:rsidRPr="005827DA">
        <w:rPr>
          <w:rFonts w:ascii="Arial" w:hAnsi="Arial" w:cs="Arial"/>
          <w:sz w:val="20"/>
          <w:szCs w:val="20"/>
        </w:rPr>
        <w:t>climb to flight level. Furthermore, the student instructor should learn how</w:t>
      </w:r>
      <w:r w:rsidRPr="005827DA">
        <w:rPr>
          <w:rFonts w:ascii="Arial" w:hAnsi="Arial" w:cs="Arial"/>
          <w:spacing w:val="1"/>
          <w:sz w:val="20"/>
          <w:szCs w:val="20"/>
        </w:rPr>
        <w:t xml:space="preserve"> </w:t>
      </w:r>
      <w:r w:rsidRPr="005827DA">
        <w:rPr>
          <w:rFonts w:ascii="Arial" w:hAnsi="Arial" w:cs="Arial"/>
          <w:sz w:val="20"/>
          <w:szCs w:val="20"/>
        </w:rPr>
        <w:t>to identify student</w:t>
      </w:r>
      <w:r w:rsidRPr="005827DA">
        <w:rPr>
          <w:rFonts w:ascii="Arial" w:hAnsi="Arial" w:cs="Arial"/>
          <w:spacing w:val="-2"/>
          <w:sz w:val="20"/>
          <w:szCs w:val="20"/>
        </w:rPr>
        <w:t xml:space="preserve"> </w:t>
      </w:r>
      <w:r w:rsidRPr="005827DA">
        <w:rPr>
          <w:rFonts w:ascii="Arial" w:hAnsi="Arial" w:cs="Arial"/>
          <w:sz w:val="20"/>
          <w:szCs w:val="20"/>
        </w:rPr>
        <w:t>errors and</w:t>
      </w:r>
      <w:r w:rsidRPr="005827DA">
        <w:rPr>
          <w:rFonts w:ascii="Arial" w:hAnsi="Arial" w:cs="Arial"/>
          <w:spacing w:val="-1"/>
          <w:sz w:val="20"/>
          <w:szCs w:val="20"/>
        </w:rPr>
        <w:t xml:space="preserve"> </w:t>
      </w:r>
      <w:r w:rsidRPr="005827DA">
        <w:rPr>
          <w:rFonts w:ascii="Arial" w:hAnsi="Arial" w:cs="Arial"/>
          <w:sz w:val="20"/>
          <w:szCs w:val="20"/>
        </w:rPr>
        <w:t>how to</w:t>
      </w:r>
      <w:r w:rsidRPr="005827DA">
        <w:rPr>
          <w:rFonts w:ascii="Arial" w:hAnsi="Arial" w:cs="Arial"/>
          <w:spacing w:val="-1"/>
          <w:sz w:val="20"/>
          <w:szCs w:val="20"/>
        </w:rPr>
        <w:t xml:space="preserve"> </w:t>
      </w:r>
      <w:r w:rsidRPr="005827DA">
        <w:rPr>
          <w:rFonts w:ascii="Arial" w:hAnsi="Arial" w:cs="Arial"/>
          <w:sz w:val="20"/>
          <w:szCs w:val="20"/>
        </w:rPr>
        <w:t>correct</w:t>
      </w:r>
      <w:r w:rsidRPr="005827DA">
        <w:rPr>
          <w:rFonts w:ascii="Arial" w:hAnsi="Arial" w:cs="Arial"/>
          <w:spacing w:val="-2"/>
          <w:sz w:val="20"/>
          <w:szCs w:val="20"/>
        </w:rPr>
        <w:t xml:space="preserve"> </w:t>
      </w:r>
      <w:r w:rsidRPr="005827DA">
        <w:rPr>
          <w:rFonts w:ascii="Arial" w:hAnsi="Arial" w:cs="Arial"/>
          <w:sz w:val="20"/>
          <w:szCs w:val="20"/>
        </w:rPr>
        <w:t>them</w:t>
      </w:r>
      <w:r w:rsidRPr="005827DA">
        <w:rPr>
          <w:rFonts w:ascii="Arial" w:hAnsi="Arial" w:cs="Arial"/>
          <w:spacing w:val="1"/>
          <w:sz w:val="20"/>
          <w:szCs w:val="20"/>
        </w:rPr>
        <w:t xml:space="preserve"> </w:t>
      </w:r>
      <w:r w:rsidRPr="005827DA">
        <w:rPr>
          <w:rFonts w:ascii="Arial" w:hAnsi="Arial" w:cs="Arial"/>
          <w:sz w:val="20"/>
          <w:szCs w:val="20"/>
        </w:rPr>
        <w:t>properly.</w:t>
      </w:r>
    </w:p>
    <w:p w14:paraId="1CF96D81" w14:textId="77777777" w:rsidR="00F20810" w:rsidRPr="005827DA" w:rsidRDefault="00F20810" w:rsidP="005827DA">
      <w:pPr>
        <w:pStyle w:val="ListParagraph"/>
        <w:numPr>
          <w:ilvl w:val="0"/>
          <w:numId w:val="248"/>
        </w:numPr>
        <w:tabs>
          <w:tab w:val="left" w:pos="90"/>
          <w:tab w:val="left" w:pos="2409"/>
        </w:tabs>
        <w:spacing w:before="121" w:line="276" w:lineRule="auto"/>
        <w:ind w:right="68" w:hanging="436"/>
        <w:jc w:val="both"/>
        <w:rPr>
          <w:rFonts w:ascii="Arial" w:hAnsi="Arial" w:cs="Arial"/>
          <w:sz w:val="20"/>
          <w:szCs w:val="20"/>
        </w:rPr>
      </w:pPr>
      <w:r w:rsidRPr="005827DA">
        <w:rPr>
          <w:rFonts w:ascii="Arial" w:hAnsi="Arial" w:cs="Arial"/>
          <w:sz w:val="20"/>
          <w:szCs w:val="20"/>
        </w:rPr>
        <w:t>Briefing</w:t>
      </w:r>
    </w:p>
    <w:p w14:paraId="27EAAE3A" w14:textId="77777777" w:rsidR="00F20810" w:rsidRPr="005827DA" w:rsidRDefault="00F20810" w:rsidP="005827DA">
      <w:pPr>
        <w:pStyle w:val="BodyText"/>
        <w:tabs>
          <w:tab w:val="left" w:pos="90"/>
        </w:tabs>
        <w:spacing w:before="121" w:line="276" w:lineRule="auto"/>
        <w:ind w:left="2408"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student</w:t>
      </w:r>
      <w:r w:rsidRPr="005827DA">
        <w:rPr>
          <w:rFonts w:ascii="Arial" w:hAnsi="Arial" w:cs="Arial"/>
          <w:spacing w:val="-2"/>
          <w:sz w:val="20"/>
          <w:szCs w:val="20"/>
        </w:rPr>
        <w:t xml:space="preserve"> </w:t>
      </w:r>
      <w:r w:rsidRPr="005827DA">
        <w:rPr>
          <w:rFonts w:ascii="Arial" w:hAnsi="Arial" w:cs="Arial"/>
          <w:sz w:val="20"/>
          <w:szCs w:val="20"/>
        </w:rPr>
        <w:t>instructor has</w:t>
      </w:r>
      <w:r w:rsidRPr="005827DA">
        <w:rPr>
          <w:rFonts w:ascii="Arial" w:hAnsi="Arial" w:cs="Arial"/>
          <w:spacing w:val="-6"/>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explain:</w:t>
      </w:r>
    </w:p>
    <w:p w14:paraId="712AC208" w14:textId="77777777" w:rsidR="00F20810" w:rsidRPr="005827DA" w:rsidRDefault="00F20810" w:rsidP="005827DA">
      <w:pPr>
        <w:pStyle w:val="ListParagraph"/>
        <w:numPr>
          <w:ilvl w:val="1"/>
          <w:numId w:val="248"/>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climbing</w:t>
      </w:r>
      <w:r w:rsidRPr="005827DA">
        <w:rPr>
          <w:rFonts w:ascii="Arial" w:hAnsi="Arial" w:cs="Arial"/>
          <w:spacing w:val="-1"/>
          <w:sz w:val="20"/>
          <w:szCs w:val="20"/>
        </w:rPr>
        <w:t xml:space="preserve"> </w:t>
      </w:r>
      <w:r w:rsidRPr="005827DA">
        <w:rPr>
          <w:rFonts w:ascii="Arial" w:hAnsi="Arial" w:cs="Arial"/>
          <w:sz w:val="20"/>
          <w:szCs w:val="20"/>
        </w:rPr>
        <w:t>with</w:t>
      </w:r>
      <w:r w:rsidRPr="005827DA">
        <w:rPr>
          <w:rFonts w:ascii="Arial" w:hAnsi="Arial" w:cs="Arial"/>
          <w:spacing w:val="-1"/>
          <w:sz w:val="20"/>
          <w:szCs w:val="20"/>
        </w:rPr>
        <w:t xml:space="preserve"> </w:t>
      </w:r>
      <w:r w:rsidRPr="005827DA">
        <w:rPr>
          <w:rFonts w:ascii="Arial" w:hAnsi="Arial" w:cs="Arial"/>
          <w:sz w:val="20"/>
          <w:szCs w:val="20"/>
        </w:rPr>
        <w:t>a</w:t>
      </w:r>
      <w:r w:rsidRPr="005827DA">
        <w:rPr>
          <w:rFonts w:ascii="Arial" w:hAnsi="Arial" w:cs="Arial"/>
          <w:spacing w:val="-2"/>
          <w:sz w:val="20"/>
          <w:szCs w:val="20"/>
        </w:rPr>
        <w:t xml:space="preserve"> </w:t>
      </w:r>
      <w:r w:rsidRPr="005827DA">
        <w:rPr>
          <w:rFonts w:ascii="Arial" w:hAnsi="Arial" w:cs="Arial"/>
          <w:sz w:val="20"/>
          <w:szCs w:val="20"/>
        </w:rPr>
        <w:t>predetermined</w:t>
      </w:r>
      <w:r w:rsidRPr="005827DA">
        <w:rPr>
          <w:rFonts w:ascii="Arial" w:hAnsi="Arial" w:cs="Arial"/>
          <w:spacing w:val="-2"/>
          <w:sz w:val="20"/>
          <w:szCs w:val="20"/>
        </w:rPr>
        <w:t xml:space="preserve"> </w:t>
      </w:r>
      <w:r w:rsidRPr="005827DA">
        <w:rPr>
          <w:rFonts w:ascii="Arial" w:hAnsi="Arial" w:cs="Arial"/>
          <w:sz w:val="20"/>
          <w:szCs w:val="20"/>
        </w:rPr>
        <w:t>rate</w:t>
      </w:r>
      <w:r w:rsidRPr="005827DA">
        <w:rPr>
          <w:rFonts w:ascii="Arial" w:hAnsi="Arial" w:cs="Arial"/>
          <w:spacing w:val="-2"/>
          <w:sz w:val="20"/>
          <w:szCs w:val="20"/>
        </w:rPr>
        <w:t xml:space="preserve"> </w:t>
      </w:r>
      <w:r w:rsidRPr="005827DA">
        <w:rPr>
          <w:rFonts w:ascii="Arial" w:hAnsi="Arial" w:cs="Arial"/>
          <w:sz w:val="20"/>
          <w:szCs w:val="20"/>
        </w:rPr>
        <w:t>of</w:t>
      </w:r>
      <w:r w:rsidRPr="005827DA">
        <w:rPr>
          <w:rFonts w:ascii="Arial" w:hAnsi="Arial" w:cs="Arial"/>
          <w:spacing w:val="-3"/>
          <w:sz w:val="20"/>
          <w:szCs w:val="20"/>
        </w:rPr>
        <w:t xml:space="preserve"> </w:t>
      </w:r>
      <w:r w:rsidRPr="005827DA">
        <w:rPr>
          <w:rFonts w:ascii="Arial" w:hAnsi="Arial" w:cs="Arial"/>
          <w:sz w:val="20"/>
          <w:szCs w:val="20"/>
        </w:rPr>
        <w:t>climb;</w:t>
      </w:r>
    </w:p>
    <w:p w14:paraId="10629A61" w14:textId="77777777" w:rsidR="00F20810" w:rsidRPr="005827DA" w:rsidRDefault="00F20810" w:rsidP="005827DA">
      <w:pPr>
        <w:pStyle w:val="ListParagraph"/>
        <w:numPr>
          <w:ilvl w:val="1"/>
          <w:numId w:val="248"/>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effect</w:t>
      </w:r>
      <w:r w:rsidRPr="005827DA">
        <w:rPr>
          <w:rFonts w:ascii="Arial" w:hAnsi="Arial" w:cs="Arial"/>
          <w:spacing w:val="-2"/>
          <w:sz w:val="20"/>
          <w:szCs w:val="20"/>
        </w:rPr>
        <w:t xml:space="preserve"> </w:t>
      </w:r>
      <w:r w:rsidRPr="005827DA">
        <w:rPr>
          <w:rFonts w:ascii="Arial" w:hAnsi="Arial" w:cs="Arial"/>
          <w:sz w:val="20"/>
          <w:szCs w:val="20"/>
        </w:rPr>
        <w:t>on</w:t>
      </w:r>
      <w:r w:rsidRPr="005827DA">
        <w:rPr>
          <w:rFonts w:ascii="Arial" w:hAnsi="Arial" w:cs="Arial"/>
          <w:spacing w:val="-4"/>
          <w:sz w:val="20"/>
          <w:szCs w:val="20"/>
        </w:rPr>
        <w:t xml:space="preserve"> </w:t>
      </w:r>
      <w:r w:rsidRPr="005827DA">
        <w:rPr>
          <w:rFonts w:ascii="Arial" w:hAnsi="Arial" w:cs="Arial"/>
          <w:sz w:val="20"/>
          <w:szCs w:val="20"/>
        </w:rPr>
        <w:t>envelope</w:t>
      </w:r>
      <w:r w:rsidRPr="005827DA">
        <w:rPr>
          <w:rFonts w:ascii="Arial" w:hAnsi="Arial" w:cs="Arial"/>
          <w:spacing w:val="-3"/>
          <w:sz w:val="20"/>
          <w:szCs w:val="20"/>
        </w:rPr>
        <w:t xml:space="preserve"> </w:t>
      </w:r>
      <w:r w:rsidRPr="005827DA">
        <w:rPr>
          <w:rFonts w:ascii="Arial" w:hAnsi="Arial" w:cs="Arial"/>
          <w:sz w:val="20"/>
          <w:szCs w:val="20"/>
        </w:rPr>
        <w:t>temperature</w:t>
      </w:r>
      <w:r w:rsidRPr="005827DA">
        <w:rPr>
          <w:rFonts w:ascii="Arial" w:hAnsi="Arial" w:cs="Arial"/>
          <w:spacing w:val="-2"/>
          <w:sz w:val="20"/>
          <w:szCs w:val="20"/>
        </w:rPr>
        <w:t xml:space="preserve"> </w:t>
      </w:r>
      <w:r w:rsidRPr="005827DA">
        <w:rPr>
          <w:rFonts w:ascii="Arial" w:hAnsi="Arial" w:cs="Arial"/>
          <w:sz w:val="20"/>
          <w:szCs w:val="20"/>
        </w:rPr>
        <w:t>(hot-air</w:t>
      </w:r>
      <w:r w:rsidRPr="005827DA">
        <w:rPr>
          <w:rFonts w:ascii="Arial" w:hAnsi="Arial" w:cs="Arial"/>
          <w:spacing w:val="-2"/>
          <w:sz w:val="20"/>
          <w:szCs w:val="20"/>
        </w:rPr>
        <w:t xml:space="preserve"> </w:t>
      </w:r>
      <w:r w:rsidRPr="005827DA">
        <w:rPr>
          <w:rFonts w:ascii="Arial" w:hAnsi="Arial" w:cs="Arial"/>
          <w:sz w:val="20"/>
          <w:szCs w:val="20"/>
        </w:rPr>
        <w:t>balloons);</w:t>
      </w:r>
    </w:p>
    <w:p w14:paraId="31C93D40" w14:textId="77777777" w:rsidR="00F20810" w:rsidRPr="005827DA" w:rsidRDefault="00F20810" w:rsidP="005827DA">
      <w:pPr>
        <w:pStyle w:val="ListParagraph"/>
        <w:numPr>
          <w:ilvl w:val="1"/>
          <w:numId w:val="248"/>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34"/>
          <w:sz w:val="20"/>
          <w:szCs w:val="20"/>
        </w:rPr>
        <w:t xml:space="preserve"> </w:t>
      </w:r>
      <w:r w:rsidRPr="005827DA">
        <w:rPr>
          <w:rFonts w:ascii="Arial" w:hAnsi="Arial" w:cs="Arial"/>
          <w:sz w:val="20"/>
          <w:szCs w:val="20"/>
        </w:rPr>
        <w:t>maximum</w:t>
      </w:r>
      <w:r w:rsidRPr="005827DA">
        <w:rPr>
          <w:rFonts w:ascii="Arial" w:hAnsi="Arial" w:cs="Arial"/>
          <w:spacing w:val="36"/>
          <w:sz w:val="20"/>
          <w:szCs w:val="20"/>
        </w:rPr>
        <w:t xml:space="preserve"> </w:t>
      </w:r>
      <w:r w:rsidRPr="005827DA">
        <w:rPr>
          <w:rFonts w:ascii="Arial" w:hAnsi="Arial" w:cs="Arial"/>
          <w:sz w:val="20"/>
          <w:szCs w:val="20"/>
        </w:rPr>
        <w:t>rate</w:t>
      </w:r>
      <w:r w:rsidRPr="005827DA">
        <w:rPr>
          <w:rFonts w:ascii="Arial" w:hAnsi="Arial" w:cs="Arial"/>
          <w:spacing w:val="33"/>
          <w:sz w:val="20"/>
          <w:szCs w:val="20"/>
        </w:rPr>
        <w:t xml:space="preserve"> </w:t>
      </w:r>
      <w:r w:rsidRPr="005827DA">
        <w:rPr>
          <w:rFonts w:ascii="Arial" w:hAnsi="Arial" w:cs="Arial"/>
          <w:sz w:val="20"/>
          <w:szCs w:val="20"/>
        </w:rPr>
        <w:t>of</w:t>
      </w:r>
      <w:r w:rsidRPr="005827DA">
        <w:rPr>
          <w:rFonts w:ascii="Arial" w:hAnsi="Arial" w:cs="Arial"/>
          <w:spacing w:val="35"/>
          <w:sz w:val="20"/>
          <w:szCs w:val="20"/>
        </w:rPr>
        <w:t xml:space="preserve"> </w:t>
      </w:r>
      <w:r w:rsidRPr="005827DA">
        <w:rPr>
          <w:rFonts w:ascii="Arial" w:hAnsi="Arial" w:cs="Arial"/>
          <w:sz w:val="20"/>
          <w:szCs w:val="20"/>
        </w:rPr>
        <w:t>climb</w:t>
      </w:r>
      <w:r w:rsidRPr="005827DA">
        <w:rPr>
          <w:rFonts w:ascii="Arial" w:hAnsi="Arial" w:cs="Arial"/>
          <w:spacing w:val="34"/>
          <w:sz w:val="20"/>
          <w:szCs w:val="20"/>
        </w:rPr>
        <w:t xml:space="preserve"> </w:t>
      </w:r>
      <w:r w:rsidRPr="005827DA">
        <w:rPr>
          <w:rFonts w:ascii="Arial" w:hAnsi="Arial" w:cs="Arial"/>
          <w:sz w:val="20"/>
          <w:szCs w:val="20"/>
        </w:rPr>
        <w:t>according</w:t>
      </w:r>
      <w:r w:rsidRPr="005827DA">
        <w:rPr>
          <w:rFonts w:ascii="Arial" w:hAnsi="Arial" w:cs="Arial"/>
          <w:spacing w:val="34"/>
          <w:sz w:val="20"/>
          <w:szCs w:val="20"/>
        </w:rPr>
        <w:t xml:space="preserve"> </w:t>
      </w:r>
      <w:r w:rsidRPr="005827DA">
        <w:rPr>
          <w:rFonts w:ascii="Arial" w:hAnsi="Arial" w:cs="Arial"/>
          <w:sz w:val="20"/>
          <w:szCs w:val="20"/>
        </w:rPr>
        <w:t>to</w:t>
      </w:r>
      <w:r w:rsidRPr="005827DA">
        <w:rPr>
          <w:rFonts w:ascii="Arial" w:hAnsi="Arial" w:cs="Arial"/>
          <w:spacing w:val="35"/>
          <w:sz w:val="20"/>
          <w:szCs w:val="20"/>
        </w:rPr>
        <w:t xml:space="preserve"> </w:t>
      </w:r>
      <w:r w:rsidRPr="005827DA">
        <w:rPr>
          <w:rFonts w:ascii="Arial" w:hAnsi="Arial" w:cs="Arial"/>
          <w:sz w:val="20"/>
          <w:szCs w:val="20"/>
        </w:rPr>
        <w:t>the</w:t>
      </w:r>
      <w:r w:rsidRPr="005827DA">
        <w:rPr>
          <w:rFonts w:ascii="Arial" w:hAnsi="Arial" w:cs="Arial"/>
          <w:spacing w:val="33"/>
          <w:sz w:val="20"/>
          <w:szCs w:val="20"/>
        </w:rPr>
        <w:t xml:space="preserve"> </w:t>
      </w:r>
      <w:r w:rsidRPr="005827DA">
        <w:rPr>
          <w:rFonts w:ascii="Arial" w:hAnsi="Arial" w:cs="Arial"/>
          <w:sz w:val="20"/>
          <w:szCs w:val="20"/>
        </w:rPr>
        <w:t>manufacturer’s</w:t>
      </w:r>
      <w:r w:rsidRPr="005827DA">
        <w:rPr>
          <w:rFonts w:ascii="Arial" w:hAnsi="Arial" w:cs="Arial"/>
          <w:spacing w:val="35"/>
          <w:sz w:val="20"/>
          <w:szCs w:val="20"/>
        </w:rPr>
        <w:t xml:space="preserve"> </w:t>
      </w:r>
      <w:r w:rsidRPr="005827DA">
        <w:rPr>
          <w:rFonts w:ascii="Arial" w:hAnsi="Arial" w:cs="Arial"/>
          <w:sz w:val="20"/>
          <w:szCs w:val="20"/>
        </w:rPr>
        <w:t>flight</w:t>
      </w:r>
      <w:r w:rsidRPr="005827DA">
        <w:rPr>
          <w:rFonts w:ascii="Arial" w:hAnsi="Arial" w:cs="Arial"/>
          <w:spacing w:val="-47"/>
          <w:sz w:val="20"/>
          <w:szCs w:val="20"/>
        </w:rPr>
        <w:t xml:space="preserve"> </w:t>
      </w:r>
      <w:r w:rsidRPr="005827DA">
        <w:rPr>
          <w:rFonts w:ascii="Arial" w:hAnsi="Arial" w:cs="Arial"/>
          <w:sz w:val="20"/>
          <w:szCs w:val="20"/>
        </w:rPr>
        <w:t>manual; and</w:t>
      </w:r>
    </w:p>
    <w:p w14:paraId="103F9B11" w14:textId="77777777" w:rsidR="00F20810" w:rsidRPr="005827DA" w:rsidRDefault="00F20810" w:rsidP="005827DA">
      <w:pPr>
        <w:pStyle w:val="ListParagraph"/>
        <w:numPr>
          <w:ilvl w:val="1"/>
          <w:numId w:val="248"/>
        </w:numPr>
        <w:tabs>
          <w:tab w:val="left" w:pos="90"/>
          <w:tab w:val="left" w:pos="2975"/>
          <w:tab w:val="left" w:pos="2976"/>
        </w:tabs>
        <w:spacing w:before="118"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2"/>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level</w:t>
      </w:r>
      <w:r w:rsidRPr="005827DA">
        <w:rPr>
          <w:rFonts w:ascii="Arial" w:hAnsi="Arial" w:cs="Arial"/>
          <w:spacing w:val="-2"/>
          <w:sz w:val="20"/>
          <w:szCs w:val="20"/>
        </w:rPr>
        <w:t xml:space="preserve"> </w:t>
      </w:r>
      <w:r w:rsidRPr="005827DA">
        <w:rPr>
          <w:rFonts w:ascii="Arial" w:hAnsi="Arial" w:cs="Arial"/>
          <w:sz w:val="20"/>
          <w:szCs w:val="20"/>
        </w:rPr>
        <w:t>off at</w:t>
      </w:r>
      <w:r w:rsidRPr="005827DA">
        <w:rPr>
          <w:rFonts w:ascii="Arial" w:hAnsi="Arial" w:cs="Arial"/>
          <w:spacing w:val="-2"/>
          <w:sz w:val="20"/>
          <w:szCs w:val="20"/>
        </w:rPr>
        <w:t xml:space="preserve"> </w:t>
      </w:r>
      <w:r w:rsidRPr="005827DA">
        <w:rPr>
          <w:rFonts w:ascii="Arial" w:hAnsi="Arial" w:cs="Arial"/>
          <w:sz w:val="20"/>
          <w:szCs w:val="20"/>
        </w:rPr>
        <w:t>a selected altitude.</w:t>
      </w:r>
    </w:p>
    <w:p w14:paraId="732C9458" w14:textId="77777777" w:rsidR="00F20810" w:rsidRPr="005827DA" w:rsidRDefault="00F20810" w:rsidP="005827DA">
      <w:pPr>
        <w:pStyle w:val="ListParagraph"/>
        <w:numPr>
          <w:ilvl w:val="0"/>
          <w:numId w:val="248"/>
        </w:numPr>
        <w:tabs>
          <w:tab w:val="left" w:pos="90"/>
          <w:tab w:val="left" w:pos="2408"/>
          <w:tab w:val="left" w:pos="2409"/>
        </w:tabs>
        <w:spacing w:before="121" w:line="276" w:lineRule="auto"/>
        <w:ind w:right="68" w:hanging="436"/>
        <w:jc w:val="both"/>
        <w:rPr>
          <w:rFonts w:ascii="Arial" w:hAnsi="Arial" w:cs="Arial"/>
          <w:sz w:val="20"/>
          <w:szCs w:val="20"/>
        </w:rPr>
      </w:pPr>
      <w:r w:rsidRPr="005827DA">
        <w:rPr>
          <w:rFonts w:ascii="Arial" w:hAnsi="Arial" w:cs="Arial"/>
          <w:sz w:val="20"/>
          <w:szCs w:val="20"/>
        </w:rPr>
        <w:t>Air</w:t>
      </w:r>
      <w:r w:rsidRPr="005827DA">
        <w:rPr>
          <w:rFonts w:ascii="Arial" w:hAnsi="Arial" w:cs="Arial"/>
          <w:spacing w:val="-1"/>
          <w:sz w:val="20"/>
          <w:szCs w:val="20"/>
        </w:rPr>
        <w:t xml:space="preserve"> </w:t>
      </w:r>
      <w:r w:rsidRPr="005827DA">
        <w:rPr>
          <w:rFonts w:ascii="Arial" w:hAnsi="Arial" w:cs="Arial"/>
          <w:sz w:val="20"/>
          <w:szCs w:val="20"/>
        </w:rPr>
        <w:t>exercise</w:t>
      </w:r>
    </w:p>
    <w:p w14:paraId="1043E484" w14:textId="77777777" w:rsidR="00F20810" w:rsidRPr="005827DA" w:rsidRDefault="00F20810" w:rsidP="005827DA">
      <w:pPr>
        <w:pStyle w:val="BodyText"/>
        <w:tabs>
          <w:tab w:val="left" w:pos="90"/>
        </w:tabs>
        <w:spacing w:line="276" w:lineRule="auto"/>
        <w:ind w:left="2408"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student</w:t>
      </w:r>
      <w:r w:rsidRPr="005827DA">
        <w:rPr>
          <w:rFonts w:ascii="Arial" w:hAnsi="Arial" w:cs="Arial"/>
          <w:spacing w:val="-3"/>
          <w:sz w:val="20"/>
          <w:szCs w:val="20"/>
        </w:rPr>
        <w:t xml:space="preserve"> </w:t>
      </w:r>
      <w:r w:rsidRPr="005827DA">
        <w:rPr>
          <w:rFonts w:ascii="Arial" w:hAnsi="Arial" w:cs="Arial"/>
          <w:sz w:val="20"/>
          <w:szCs w:val="20"/>
        </w:rPr>
        <w:t>instructor</w:t>
      </w:r>
      <w:r w:rsidRPr="005827DA">
        <w:rPr>
          <w:rFonts w:ascii="Arial" w:hAnsi="Arial" w:cs="Arial"/>
          <w:spacing w:val="-1"/>
          <w:sz w:val="20"/>
          <w:szCs w:val="20"/>
        </w:rPr>
        <w:t xml:space="preserve"> </w:t>
      </w:r>
      <w:r w:rsidRPr="005827DA">
        <w:rPr>
          <w:rFonts w:ascii="Arial" w:hAnsi="Arial" w:cs="Arial"/>
          <w:sz w:val="20"/>
          <w:szCs w:val="20"/>
        </w:rPr>
        <w:t>has</w:t>
      </w:r>
      <w:r w:rsidRPr="005827DA">
        <w:rPr>
          <w:rFonts w:ascii="Arial" w:hAnsi="Arial" w:cs="Arial"/>
          <w:spacing w:val="-6"/>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demonstrate:</w:t>
      </w:r>
    </w:p>
    <w:p w14:paraId="17A248D7" w14:textId="77777777" w:rsidR="00F20810" w:rsidRPr="005827DA" w:rsidRDefault="00F20810" w:rsidP="005827DA">
      <w:pPr>
        <w:pStyle w:val="ListParagraph"/>
        <w:numPr>
          <w:ilvl w:val="1"/>
          <w:numId w:val="248"/>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2"/>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climb</w:t>
      </w:r>
      <w:r w:rsidRPr="005827DA">
        <w:rPr>
          <w:rFonts w:ascii="Arial" w:hAnsi="Arial" w:cs="Arial"/>
          <w:spacing w:val="-1"/>
          <w:sz w:val="20"/>
          <w:szCs w:val="20"/>
        </w:rPr>
        <w:t xml:space="preserve"> </w:t>
      </w:r>
      <w:r w:rsidRPr="005827DA">
        <w:rPr>
          <w:rFonts w:ascii="Arial" w:hAnsi="Arial" w:cs="Arial"/>
          <w:sz w:val="20"/>
          <w:szCs w:val="20"/>
        </w:rPr>
        <w:t>with a</w:t>
      </w:r>
      <w:r w:rsidRPr="005827DA">
        <w:rPr>
          <w:rFonts w:ascii="Arial" w:hAnsi="Arial" w:cs="Arial"/>
          <w:spacing w:val="-2"/>
          <w:sz w:val="20"/>
          <w:szCs w:val="20"/>
        </w:rPr>
        <w:t xml:space="preserve"> </w:t>
      </w:r>
      <w:r w:rsidRPr="005827DA">
        <w:rPr>
          <w:rFonts w:ascii="Arial" w:hAnsi="Arial" w:cs="Arial"/>
          <w:sz w:val="20"/>
          <w:szCs w:val="20"/>
        </w:rPr>
        <w:t>predetermined</w:t>
      </w:r>
      <w:r w:rsidRPr="005827DA">
        <w:rPr>
          <w:rFonts w:ascii="Arial" w:hAnsi="Arial" w:cs="Arial"/>
          <w:spacing w:val="-2"/>
          <w:sz w:val="20"/>
          <w:szCs w:val="20"/>
        </w:rPr>
        <w:t xml:space="preserve"> </w:t>
      </w:r>
      <w:r w:rsidRPr="005827DA">
        <w:rPr>
          <w:rFonts w:ascii="Arial" w:hAnsi="Arial" w:cs="Arial"/>
          <w:sz w:val="20"/>
          <w:szCs w:val="20"/>
        </w:rPr>
        <w:t>rate</w:t>
      </w:r>
      <w:r w:rsidRPr="005827DA">
        <w:rPr>
          <w:rFonts w:ascii="Arial" w:hAnsi="Arial" w:cs="Arial"/>
          <w:spacing w:val="-1"/>
          <w:sz w:val="20"/>
          <w:szCs w:val="20"/>
        </w:rPr>
        <w:t xml:space="preserve"> </w:t>
      </w:r>
      <w:r w:rsidRPr="005827DA">
        <w:rPr>
          <w:rFonts w:ascii="Arial" w:hAnsi="Arial" w:cs="Arial"/>
          <w:sz w:val="20"/>
          <w:szCs w:val="20"/>
        </w:rPr>
        <w:t>of</w:t>
      </w:r>
      <w:r w:rsidRPr="005827DA">
        <w:rPr>
          <w:rFonts w:ascii="Arial" w:hAnsi="Arial" w:cs="Arial"/>
          <w:spacing w:val="-3"/>
          <w:sz w:val="20"/>
          <w:szCs w:val="20"/>
        </w:rPr>
        <w:t xml:space="preserve"> </w:t>
      </w:r>
      <w:r w:rsidRPr="005827DA">
        <w:rPr>
          <w:rFonts w:ascii="Arial" w:hAnsi="Arial" w:cs="Arial"/>
          <w:sz w:val="20"/>
          <w:szCs w:val="20"/>
        </w:rPr>
        <w:t>climb;</w:t>
      </w:r>
    </w:p>
    <w:p w14:paraId="47D10C03" w14:textId="77777777" w:rsidR="00F20810" w:rsidRPr="005827DA" w:rsidRDefault="00F20810" w:rsidP="005827DA">
      <w:pPr>
        <w:pStyle w:val="ListParagraph"/>
        <w:numPr>
          <w:ilvl w:val="1"/>
          <w:numId w:val="248"/>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4"/>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perform look-out</w:t>
      </w:r>
      <w:r w:rsidRPr="005827DA">
        <w:rPr>
          <w:rFonts w:ascii="Arial" w:hAnsi="Arial" w:cs="Arial"/>
          <w:spacing w:val="-2"/>
          <w:sz w:val="20"/>
          <w:szCs w:val="20"/>
        </w:rPr>
        <w:t xml:space="preserve"> </w:t>
      </w:r>
      <w:r w:rsidRPr="005827DA">
        <w:rPr>
          <w:rFonts w:ascii="Arial" w:hAnsi="Arial" w:cs="Arial"/>
          <w:sz w:val="20"/>
          <w:szCs w:val="20"/>
        </w:rPr>
        <w:t>techniques;</w:t>
      </w:r>
    </w:p>
    <w:p w14:paraId="39C6B9DD" w14:textId="77777777" w:rsidR="00F20810" w:rsidRPr="005827DA" w:rsidRDefault="00F20810" w:rsidP="005827DA">
      <w:pPr>
        <w:pStyle w:val="ListParagraph"/>
        <w:numPr>
          <w:ilvl w:val="1"/>
          <w:numId w:val="248"/>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effect</w:t>
      </w:r>
      <w:r w:rsidRPr="005827DA">
        <w:rPr>
          <w:rFonts w:ascii="Arial" w:hAnsi="Arial" w:cs="Arial"/>
          <w:spacing w:val="-2"/>
          <w:sz w:val="20"/>
          <w:szCs w:val="20"/>
        </w:rPr>
        <w:t xml:space="preserve"> </w:t>
      </w:r>
      <w:r w:rsidRPr="005827DA">
        <w:rPr>
          <w:rFonts w:ascii="Arial" w:hAnsi="Arial" w:cs="Arial"/>
          <w:sz w:val="20"/>
          <w:szCs w:val="20"/>
        </w:rPr>
        <w:t>on</w:t>
      </w:r>
      <w:r w:rsidRPr="005827DA">
        <w:rPr>
          <w:rFonts w:ascii="Arial" w:hAnsi="Arial" w:cs="Arial"/>
          <w:spacing w:val="-4"/>
          <w:sz w:val="20"/>
          <w:szCs w:val="20"/>
        </w:rPr>
        <w:t xml:space="preserve"> </w:t>
      </w:r>
      <w:r w:rsidRPr="005827DA">
        <w:rPr>
          <w:rFonts w:ascii="Arial" w:hAnsi="Arial" w:cs="Arial"/>
          <w:sz w:val="20"/>
          <w:szCs w:val="20"/>
        </w:rPr>
        <w:t>envelope</w:t>
      </w:r>
      <w:r w:rsidRPr="005827DA">
        <w:rPr>
          <w:rFonts w:ascii="Arial" w:hAnsi="Arial" w:cs="Arial"/>
          <w:spacing w:val="-3"/>
          <w:sz w:val="20"/>
          <w:szCs w:val="20"/>
        </w:rPr>
        <w:t xml:space="preserve"> </w:t>
      </w:r>
      <w:r w:rsidRPr="005827DA">
        <w:rPr>
          <w:rFonts w:ascii="Arial" w:hAnsi="Arial" w:cs="Arial"/>
          <w:sz w:val="20"/>
          <w:szCs w:val="20"/>
        </w:rPr>
        <w:t>temperature</w:t>
      </w:r>
      <w:r w:rsidRPr="005827DA">
        <w:rPr>
          <w:rFonts w:ascii="Arial" w:hAnsi="Arial" w:cs="Arial"/>
          <w:spacing w:val="-2"/>
          <w:sz w:val="20"/>
          <w:szCs w:val="20"/>
        </w:rPr>
        <w:t xml:space="preserve"> </w:t>
      </w:r>
      <w:r w:rsidRPr="005827DA">
        <w:rPr>
          <w:rFonts w:ascii="Arial" w:hAnsi="Arial" w:cs="Arial"/>
          <w:sz w:val="20"/>
          <w:szCs w:val="20"/>
        </w:rPr>
        <w:t>(hot-air</w:t>
      </w:r>
      <w:r w:rsidRPr="005827DA">
        <w:rPr>
          <w:rFonts w:ascii="Arial" w:hAnsi="Arial" w:cs="Arial"/>
          <w:spacing w:val="-2"/>
          <w:sz w:val="20"/>
          <w:szCs w:val="20"/>
        </w:rPr>
        <w:t xml:space="preserve"> </w:t>
      </w:r>
      <w:r w:rsidRPr="005827DA">
        <w:rPr>
          <w:rFonts w:ascii="Arial" w:hAnsi="Arial" w:cs="Arial"/>
          <w:sz w:val="20"/>
          <w:szCs w:val="20"/>
        </w:rPr>
        <w:t>balloons);</w:t>
      </w:r>
    </w:p>
    <w:p w14:paraId="17D526E8" w14:textId="77777777" w:rsidR="00F20810" w:rsidRPr="005827DA" w:rsidRDefault="00F20810" w:rsidP="005827DA">
      <w:pPr>
        <w:pStyle w:val="ListParagraph"/>
        <w:numPr>
          <w:ilvl w:val="1"/>
          <w:numId w:val="248"/>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34"/>
          <w:sz w:val="20"/>
          <w:szCs w:val="20"/>
        </w:rPr>
        <w:t xml:space="preserve"> </w:t>
      </w:r>
      <w:r w:rsidRPr="005827DA">
        <w:rPr>
          <w:rFonts w:ascii="Arial" w:hAnsi="Arial" w:cs="Arial"/>
          <w:sz w:val="20"/>
          <w:szCs w:val="20"/>
        </w:rPr>
        <w:t>maximum</w:t>
      </w:r>
      <w:r w:rsidRPr="005827DA">
        <w:rPr>
          <w:rFonts w:ascii="Arial" w:hAnsi="Arial" w:cs="Arial"/>
          <w:spacing w:val="36"/>
          <w:sz w:val="20"/>
          <w:szCs w:val="20"/>
        </w:rPr>
        <w:t xml:space="preserve"> </w:t>
      </w:r>
      <w:r w:rsidRPr="005827DA">
        <w:rPr>
          <w:rFonts w:ascii="Arial" w:hAnsi="Arial" w:cs="Arial"/>
          <w:sz w:val="20"/>
          <w:szCs w:val="20"/>
        </w:rPr>
        <w:t>rate</w:t>
      </w:r>
      <w:r w:rsidRPr="005827DA">
        <w:rPr>
          <w:rFonts w:ascii="Arial" w:hAnsi="Arial" w:cs="Arial"/>
          <w:spacing w:val="33"/>
          <w:sz w:val="20"/>
          <w:szCs w:val="20"/>
        </w:rPr>
        <w:t xml:space="preserve"> </w:t>
      </w:r>
      <w:r w:rsidRPr="005827DA">
        <w:rPr>
          <w:rFonts w:ascii="Arial" w:hAnsi="Arial" w:cs="Arial"/>
          <w:sz w:val="20"/>
          <w:szCs w:val="20"/>
        </w:rPr>
        <w:t>of</w:t>
      </w:r>
      <w:r w:rsidRPr="005827DA">
        <w:rPr>
          <w:rFonts w:ascii="Arial" w:hAnsi="Arial" w:cs="Arial"/>
          <w:spacing w:val="35"/>
          <w:sz w:val="20"/>
          <w:szCs w:val="20"/>
        </w:rPr>
        <w:t xml:space="preserve"> </w:t>
      </w:r>
      <w:r w:rsidRPr="005827DA">
        <w:rPr>
          <w:rFonts w:ascii="Arial" w:hAnsi="Arial" w:cs="Arial"/>
          <w:sz w:val="20"/>
          <w:szCs w:val="20"/>
        </w:rPr>
        <w:t>climb</w:t>
      </w:r>
      <w:r w:rsidRPr="005827DA">
        <w:rPr>
          <w:rFonts w:ascii="Arial" w:hAnsi="Arial" w:cs="Arial"/>
          <w:spacing w:val="34"/>
          <w:sz w:val="20"/>
          <w:szCs w:val="20"/>
        </w:rPr>
        <w:t xml:space="preserve"> </w:t>
      </w:r>
      <w:r w:rsidRPr="005827DA">
        <w:rPr>
          <w:rFonts w:ascii="Arial" w:hAnsi="Arial" w:cs="Arial"/>
          <w:sz w:val="20"/>
          <w:szCs w:val="20"/>
        </w:rPr>
        <w:t>according</w:t>
      </w:r>
      <w:r w:rsidRPr="005827DA">
        <w:rPr>
          <w:rFonts w:ascii="Arial" w:hAnsi="Arial" w:cs="Arial"/>
          <w:spacing w:val="34"/>
          <w:sz w:val="20"/>
          <w:szCs w:val="20"/>
        </w:rPr>
        <w:t xml:space="preserve"> </w:t>
      </w:r>
      <w:r w:rsidRPr="005827DA">
        <w:rPr>
          <w:rFonts w:ascii="Arial" w:hAnsi="Arial" w:cs="Arial"/>
          <w:sz w:val="20"/>
          <w:szCs w:val="20"/>
        </w:rPr>
        <w:t>to</w:t>
      </w:r>
      <w:r w:rsidRPr="005827DA">
        <w:rPr>
          <w:rFonts w:ascii="Arial" w:hAnsi="Arial" w:cs="Arial"/>
          <w:spacing w:val="35"/>
          <w:sz w:val="20"/>
          <w:szCs w:val="20"/>
        </w:rPr>
        <w:t xml:space="preserve"> </w:t>
      </w:r>
      <w:r w:rsidRPr="005827DA">
        <w:rPr>
          <w:rFonts w:ascii="Arial" w:hAnsi="Arial" w:cs="Arial"/>
          <w:sz w:val="20"/>
          <w:szCs w:val="20"/>
        </w:rPr>
        <w:t>the</w:t>
      </w:r>
      <w:r w:rsidRPr="005827DA">
        <w:rPr>
          <w:rFonts w:ascii="Arial" w:hAnsi="Arial" w:cs="Arial"/>
          <w:spacing w:val="33"/>
          <w:sz w:val="20"/>
          <w:szCs w:val="20"/>
        </w:rPr>
        <w:t xml:space="preserve"> </w:t>
      </w:r>
      <w:r w:rsidRPr="005827DA">
        <w:rPr>
          <w:rFonts w:ascii="Arial" w:hAnsi="Arial" w:cs="Arial"/>
          <w:sz w:val="20"/>
          <w:szCs w:val="20"/>
        </w:rPr>
        <w:t>manufacturer’s</w:t>
      </w:r>
      <w:r w:rsidRPr="005827DA">
        <w:rPr>
          <w:rFonts w:ascii="Arial" w:hAnsi="Arial" w:cs="Arial"/>
          <w:spacing w:val="35"/>
          <w:sz w:val="20"/>
          <w:szCs w:val="20"/>
        </w:rPr>
        <w:t xml:space="preserve"> </w:t>
      </w:r>
      <w:r w:rsidRPr="005827DA">
        <w:rPr>
          <w:rFonts w:ascii="Arial" w:hAnsi="Arial" w:cs="Arial"/>
          <w:sz w:val="20"/>
          <w:szCs w:val="20"/>
        </w:rPr>
        <w:t>flight</w:t>
      </w:r>
      <w:r w:rsidRPr="005827DA">
        <w:rPr>
          <w:rFonts w:ascii="Arial" w:hAnsi="Arial" w:cs="Arial"/>
          <w:spacing w:val="-47"/>
          <w:sz w:val="20"/>
          <w:szCs w:val="20"/>
        </w:rPr>
        <w:t xml:space="preserve"> </w:t>
      </w:r>
      <w:r w:rsidRPr="005827DA">
        <w:rPr>
          <w:rFonts w:ascii="Arial" w:hAnsi="Arial" w:cs="Arial"/>
          <w:sz w:val="20"/>
          <w:szCs w:val="20"/>
        </w:rPr>
        <w:t>manual;</w:t>
      </w:r>
    </w:p>
    <w:p w14:paraId="67426107" w14:textId="77777777" w:rsidR="00F20810" w:rsidRPr="005827DA" w:rsidRDefault="00F20810" w:rsidP="005827DA">
      <w:pPr>
        <w:pStyle w:val="ListParagraph"/>
        <w:numPr>
          <w:ilvl w:val="1"/>
          <w:numId w:val="248"/>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lastRenderedPageBreak/>
        <w:t>the</w:t>
      </w:r>
      <w:r w:rsidRPr="005827DA">
        <w:rPr>
          <w:rFonts w:ascii="Arial" w:hAnsi="Arial" w:cs="Arial"/>
          <w:spacing w:val="-1"/>
          <w:sz w:val="20"/>
          <w:szCs w:val="20"/>
        </w:rPr>
        <w:t xml:space="preserve"> </w:t>
      </w:r>
      <w:r w:rsidRPr="005827DA">
        <w:rPr>
          <w:rFonts w:ascii="Arial" w:hAnsi="Arial" w:cs="Arial"/>
          <w:sz w:val="20"/>
          <w:szCs w:val="20"/>
        </w:rPr>
        <w:t>levelling</w:t>
      </w:r>
      <w:r w:rsidRPr="005827DA">
        <w:rPr>
          <w:rFonts w:ascii="Arial" w:hAnsi="Arial" w:cs="Arial"/>
          <w:spacing w:val="-3"/>
          <w:sz w:val="20"/>
          <w:szCs w:val="20"/>
        </w:rPr>
        <w:t xml:space="preserve"> </w:t>
      </w:r>
      <w:r w:rsidRPr="005827DA">
        <w:rPr>
          <w:rFonts w:ascii="Arial" w:hAnsi="Arial" w:cs="Arial"/>
          <w:sz w:val="20"/>
          <w:szCs w:val="20"/>
        </w:rPr>
        <w:t>off techniques</w:t>
      </w:r>
      <w:r w:rsidRPr="005827DA">
        <w:rPr>
          <w:rFonts w:ascii="Arial" w:hAnsi="Arial" w:cs="Arial"/>
          <w:spacing w:val="-3"/>
          <w:sz w:val="20"/>
          <w:szCs w:val="20"/>
        </w:rPr>
        <w:t xml:space="preserve"> </w:t>
      </w:r>
      <w:r w:rsidRPr="005827DA">
        <w:rPr>
          <w:rFonts w:ascii="Arial" w:hAnsi="Arial" w:cs="Arial"/>
          <w:sz w:val="20"/>
          <w:szCs w:val="20"/>
        </w:rPr>
        <w:t>at a selected</w:t>
      </w:r>
      <w:r w:rsidRPr="005827DA">
        <w:rPr>
          <w:rFonts w:ascii="Arial" w:hAnsi="Arial" w:cs="Arial"/>
          <w:spacing w:val="-1"/>
          <w:sz w:val="20"/>
          <w:szCs w:val="20"/>
        </w:rPr>
        <w:t xml:space="preserve"> </w:t>
      </w:r>
      <w:r w:rsidRPr="005827DA">
        <w:rPr>
          <w:rFonts w:ascii="Arial" w:hAnsi="Arial" w:cs="Arial"/>
          <w:sz w:val="20"/>
          <w:szCs w:val="20"/>
        </w:rPr>
        <w:t>altitude;</w:t>
      </w:r>
    </w:p>
    <w:p w14:paraId="78914612" w14:textId="77777777" w:rsidR="00F20810" w:rsidRPr="005827DA" w:rsidRDefault="00F20810" w:rsidP="005827DA">
      <w:pPr>
        <w:pStyle w:val="ListParagraph"/>
        <w:numPr>
          <w:ilvl w:val="1"/>
          <w:numId w:val="248"/>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3"/>
          <w:sz w:val="20"/>
          <w:szCs w:val="20"/>
        </w:rPr>
        <w:t xml:space="preserve"> </w:t>
      </w:r>
      <w:r w:rsidRPr="005827DA">
        <w:rPr>
          <w:rFonts w:ascii="Arial" w:hAnsi="Arial" w:cs="Arial"/>
          <w:sz w:val="20"/>
          <w:szCs w:val="20"/>
        </w:rPr>
        <w:t>to</w:t>
      </w:r>
      <w:r w:rsidRPr="005827DA">
        <w:rPr>
          <w:rFonts w:ascii="Arial" w:hAnsi="Arial" w:cs="Arial"/>
          <w:spacing w:val="-2"/>
          <w:sz w:val="20"/>
          <w:szCs w:val="20"/>
        </w:rPr>
        <w:t xml:space="preserve"> </w:t>
      </w:r>
      <w:r w:rsidRPr="005827DA">
        <w:rPr>
          <w:rFonts w:ascii="Arial" w:hAnsi="Arial" w:cs="Arial"/>
          <w:sz w:val="20"/>
          <w:szCs w:val="20"/>
        </w:rPr>
        <w:t>advise</w:t>
      </w:r>
      <w:r w:rsidRPr="005827DA">
        <w:rPr>
          <w:rFonts w:ascii="Arial" w:hAnsi="Arial" w:cs="Arial"/>
          <w:spacing w:val="-2"/>
          <w:sz w:val="20"/>
          <w:szCs w:val="20"/>
        </w:rPr>
        <w:t xml:space="preserve"> </w:t>
      </w:r>
      <w:r w:rsidRPr="005827DA">
        <w:rPr>
          <w:rFonts w:ascii="Arial" w:hAnsi="Arial" w:cs="Arial"/>
          <w:sz w:val="20"/>
          <w:szCs w:val="20"/>
        </w:rPr>
        <w:t>the</w:t>
      </w:r>
      <w:r w:rsidRPr="005827DA">
        <w:rPr>
          <w:rFonts w:ascii="Arial" w:hAnsi="Arial" w:cs="Arial"/>
          <w:spacing w:val="-3"/>
          <w:sz w:val="20"/>
          <w:szCs w:val="20"/>
        </w:rPr>
        <w:t xml:space="preserve"> </w:t>
      </w:r>
      <w:r w:rsidRPr="005827DA">
        <w:rPr>
          <w:rFonts w:ascii="Arial" w:hAnsi="Arial" w:cs="Arial"/>
          <w:sz w:val="20"/>
          <w:szCs w:val="20"/>
        </w:rPr>
        <w:t>student</w:t>
      </w:r>
      <w:r w:rsidRPr="005827DA">
        <w:rPr>
          <w:rFonts w:ascii="Arial" w:hAnsi="Arial" w:cs="Arial"/>
          <w:spacing w:val="-3"/>
          <w:sz w:val="20"/>
          <w:szCs w:val="20"/>
        </w:rPr>
        <w:t xml:space="preserve"> </w:t>
      </w:r>
      <w:r w:rsidRPr="005827DA">
        <w:rPr>
          <w:rFonts w:ascii="Arial" w:hAnsi="Arial" w:cs="Arial"/>
          <w:sz w:val="20"/>
          <w:szCs w:val="20"/>
        </w:rPr>
        <w:t>pilot to perform</w:t>
      </w:r>
      <w:r w:rsidRPr="005827DA">
        <w:rPr>
          <w:rFonts w:ascii="Arial" w:hAnsi="Arial" w:cs="Arial"/>
          <w:spacing w:val="-1"/>
          <w:sz w:val="20"/>
          <w:szCs w:val="20"/>
        </w:rPr>
        <w:t xml:space="preserve"> </w:t>
      </w: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climb</w:t>
      </w:r>
      <w:r w:rsidRPr="005827DA">
        <w:rPr>
          <w:rFonts w:ascii="Arial" w:hAnsi="Arial" w:cs="Arial"/>
          <w:spacing w:val="-2"/>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level</w:t>
      </w:r>
      <w:r w:rsidRPr="005827DA">
        <w:rPr>
          <w:rFonts w:ascii="Arial" w:hAnsi="Arial" w:cs="Arial"/>
          <w:spacing w:val="-3"/>
          <w:sz w:val="20"/>
          <w:szCs w:val="20"/>
        </w:rPr>
        <w:t xml:space="preserve"> </w:t>
      </w:r>
      <w:r w:rsidRPr="005827DA">
        <w:rPr>
          <w:rFonts w:ascii="Arial" w:hAnsi="Arial" w:cs="Arial"/>
          <w:sz w:val="20"/>
          <w:szCs w:val="20"/>
        </w:rPr>
        <w:t>flight;</w:t>
      </w:r>
    </w:p>
    <w:p w14:paraId="783A1C64" w14:textId="77777777" w:rsidR="00F20810" w:rsidRPr="005827DA" w:rsidRDefault="00F20810" w:rsidP="005827DA">
      <w:pPr>
        <w:pStyle w:val="ListParagraph"/>
        <w:numPr>
          <w:ilvl w:val="1"/>
          <w:numId w:val="248"/>
        </w:numPr>
        <w:tabs>
          <w:tab w:val="left" w:pos="90"/>
          <w:tab w:val="left" w:pos="2975"/>
          <w:tab w:val="left" w:pos="2976"/>
        </w:tabs>
        <w:spacing w:before="118"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3"/>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analyse</w:t>
      </w:r>
      <w:r w:rsidRPr="005827DA">
        <w:rPr>
          <w:rFonts w:ascii="Arial" w:hAnsi="Arial" w:cs="Arial"/>
          <w:spacing w:val="-2"/>
          <w:sz w:val="20"/>
          <w:szCs w:val="20"/>
        </w:rPr>
        <w:t xml:space="preserve"> </w:t>
      </w:r>
      <w:r w:rsidRPr="005827DA">
        <w:rPr>
          <w:rFonts w:ascii="Arial" w:hAnsi="Arial" w:cs="Arial"/>
          <w:sz w:val="20"/>
          <w:szCs w:val="20"/>
        </w:rPr>
        <w:t>and</w:t>
      </w:r>
      <w:r w:rsidRPr="005827DA">
        <w:rPr>
          <w:rFonts w:ascii="Arial" w:hAnsi="Arial" w:cs="Arial"/>
          <w:spacing w:val="-3"/>
          <w:sz w:val="20"/>
          <w:szCs w:val="20"/>
        </w:rPr>
        <w:t xml:space="preserve"> </w:t>
      </w:r>
      <w:r w:rsidRPr="005827DA">
        <w:rPr>
          <w:rFonts w:ascii="Arial" w:hAnsi="Arial" w:cs="Arial"/>
          <w:sz w:val="20"/>
          <w:szCs w:val="20"/>
        </w:rPr>
        <w:t>correct</w:t>
      </w:r>
      <w:r w:rsidRPr="005827DA">
        <w:rPr>
          <w:rFonts w:ascii="Arial" w:hAnsi="Arial" w:cs="Arial"/>
          <w:spacing w:val="-5"/>
          <w:sz w:val="20"/>
          <w:szCs w:val="20"/>
        </w:rPr>
        <w:t xml:space="preserve"> </w:t>
      </w:r>
      <w:r w:rsidRPr="005827DA">
        <w:rPr>
          <w:rFonts w:ascii="Arial" w:hAnsi="Arial" w:cs="Arial"/>
          <w:sz w:val="20"/>
          <w:szCs w:val="20"/>
        </w:rPr>
        <w:t>faults</w:t>
      </w:r>
      <w:r w:rsidRPr="005827DA">
        <w:rPr>
          <w:rFonts w:ascii="Arial" w:hAnsi="Arial" w:cs="Arial"/>
          <w:spacing w:val="-2"/>
          <w:sz w:val="20"/>
          <w:szCs w:val="20"/>
        </w:rPr>
        <w:t xml:space="preserve"> </w:t>
      </w:r>
      <w:r w:rsidRPr="005827DA">
        <w:rPr>
          <w:rFonts w:ascii="Arial" w:hAnsi="Arial" w:cs="Arial"/>
          <w:sz w:val="20"/>
          <w:szCs w:val="20"/>
        </w:rPr>
        <w:t>or</w:t>
      </w:r>
      <w:r w:rsidRPr="005827DA">
        <w:rPr>
          <w:rFonts w:ascii="Arial" w:hAnsi="Arial" w:cs="Arial"/>
          <w:spacing w:val="-2"/>
          <w:sz w:val="20"/>
          <w:szCs w:val="20"/>
        </w:rPr>
        <w:t xml:space="preserve"> </w:t>
      </w:r>
      <w:r w:rsidRPr="005827DA">
        <w:rPr>
          <w:rFonts w:ascii="Arial" w:hAnsi="Arial" w:cs="Arial"/>
          <w:sz w:val="20"/>
          <w:szCs w:val="20"/>
        </w:rPr>
        <w:t>errors</w:t>
      </w:r>
      <w:r w:rsidRPr="005827DA">
        <w:rPr>
          <w:rFonts w:ascii="Arial" w:hAnsi="Arial" w:cs="Arial"/>
          <w:spacing w:val="-5"/>
          <w:sz w:val="20"/>
          <w:szCs w:val="20"/>
        </w:rPr>
        <w:t xml:space="preserve"> </w:t>
      </w:r>
      <w:r w:rsidRPr="005827DA">
        <w:rPr>
          <w:rFonts w:ascii="Arial" w:hAnsi="Arial" w:cs="Arial"/>
          <w:sz w:val="20"/>
          <w:szCs w:val="20"/>
        </w:rPr>
        <w:t>of</w:t>
      </w:r>
      <w:r w:rsidRPr="005827DA">
        <w:rPr>
          <w:rFonts w:ascii="Arial" w:hAnsi="Arial" w:cs="Arial"/>
          <w:spacing w:val="-2"/>
          <w:sz w:val="20"/>
          <w:szCs w:val="20"/>
        </w:rPr>
        <w:t xml:space="preserve"> </w:t>
      </w:r>
      <w:r w:rsidRPr="005827DA">
        <w:rPr>
          <w:rFonts w:ascii="Arial" w:hAnsi="Arial" w:cs="Arial"/>
          <w:sz w:val="20"/>
          <w:szCs w:val="20"/>
        </w:rPr>
        <w:t>the</w:t>
      </w:r>
      <w:r w:rsidRPr="005827DA">
        <w:rPr>
          <w:rFonts w:ascii="Arial" w:hAnsi="Arial" w:cs="Arial"/>
          <w:spacing w:val="-3"/>
          <w:sz w:val="20"/>
          <w:szCs w:val="20"/>
        </w:rPr>
        <w:t xml:space="preserve"> </w:t>
      </w:r>
      <w:r w:rsidRPr="005827DA">
        <w:rPr>
          <w:rFonts w:ascii="Arial" w:hAnsi="Arial" w:cs="Arial"/>
          <w:sz w:val="20"/>
          <w:szCs w:val="20"/>
        </w:rPr>
        <w:t>student</w:t>
      </w:r>
      <w:r w:rsidRPr="005827DA">
        <w:rPr>
          <w:rFonts w:ascii="Arial" w:hAnsi="Arial" w:cs="Arial"/>
          <w:spacing w:val="-2"/>
          <w:sz w:val="20"/>
          <w:szCs w:val="20"/>
        </w:rPr>
        <w:t xml:space="preserve"> </w:t>
      </w:r>
      <w:r w:rsidRPr="005827DA">
        <w:rPr>
          <w:rFonts w:ascii="Arial" w:hAnsi="Arial" w:cs="Arial"/>
          <w:sz w:val="20"/>
          <w:szCs w:val="20"/>
        </w:rPr>
        <w:t>pilot</w:t>
      </w:r>
      <w:r w:rsidRPr="005827DA">
        <w:rPr>
          <w:rFonts w:ascii="Arial" w:hAnsi="Arial" w:cs="Arial"/>
          <w:spacing w:val="-2"/>
          <w:sz w:val="20"/>
          <w:szCs w:val="20"/>
        </w:rPr>
        <w:t xml:space="preserve"> </w:t>
      </w:r>
      <w:r w:rsidRPr="005827DA">
        <w:rPr>
          <w:rFonts w:ascii="Arial" w:hAnsi="Arial" w:cs="Arial"/>
          <w:sz w:val="20"/>
          <w:szCs w:val="20"/>
        </w:rPr>
        <w:t>during</w:t>
      </w:r>
      <w:r w:rsidRPr="005827DA">
        <w:rPr>
          <w:rFonts w:ascii="Arial" w:hAnsi="Arial" w:cs="Arial"/>
          <w:spacing w:val="-47"/>
          <w:sz w:val="20"/>
          <w:szCs w:val="20"/>
        </w:rPr>
        <w:t xml:space="preserve"> </w:t>
      </w:r>
      <w:r w:rsidRPr="005827DA">
        <w:rPr>
          <w:rFonts w:ascii="Arial" w:hAnsi="Arial" w:cs="Arial"/>
          <w:sz w:val="20"/>
          <w:szCs w:val="20"/>
        </w:rPr>
        <w:t>the climb.</w:t>
      </w:r>
    </w:p>
    <w:p w14:paraId="4D756A57" w14:textId="0184587C" w:rsidR="00F20810" w:rsidRPr="00A16E10" w:rsidRDefault="00F20810" w:rsidP="00A16E10">
      <w:pPr>
        <w:pStyle w:val="ListParagraph"/>
        <w:numPr>
          <w:ilvl w:val="0"/>
          <w:numId w:val="248"/>
        </w:numPr>
        <w:tabs>
          <w:tab w:val="left" w:pos="90"/>
          <w:tab w:val="left" w:pos="2408"/>
          <w:tab w:val="left" w:pos="2409"/>
        </w:tabs>
        <w:spacing w:line="276" w:lineRule="auto"/>
        <w:ind w:right="68" w:hanging="436"/>
        <w:jc w:val="both"/>
        <w:rPr>
          <w:rFonts w:ascii="Arial" w:hAnsi="Arial" w:cs="Arial"/>
          <w:sz w:val="20"/>
          <w:szCs w:val="20"/>
        </w:rPr>
      </w:pPr>
      <w:r w:rsidRPr="005827DA">
        <w:rPr>
          <w:rFonts w:ascii="Arial" w:hAnsi="Arial" w:cs="Arial"/>
          <w:sz w:val="20"/>
          <w:szCs w:val="20"/>
        </w:rPr>
        <w:t>Debriefing</w:t>
      </w:r>
    </w:p>
    <w:p w14:paraId="2C7D6D50" w14:textId="77777777" w:rsidR="00F20810" w:rsidRPr="005827DA" w:rsidRDefault="00F20810" w:rsidP="005827DA">
      <w:pPr>
        <w:tabs>
          <w:tab w:val="left" w:pos="90"/>
        </w:tabs>
        <w:spacing w:line="276" w:lineRule="auto"/>
        <w:ind w:right="68" w:hanging="436"/>
        <w:jc w:val="both"/>
        <w:rPr>
          <w:rFonts w:ascii="Arial" w:eastAsia="Times New Roman" w:hAnsi="Arial" w:cs="Times New Roman"/>
          <w:b/>
          <w:bCs/>
          <w:sz w:val="20"/>
          <w:szCs w:val="20"/>
        </w:rPr>
      </w:pPr>
      <w:r w:rsidRPr="005827DA">
        <w:rPr>
          <w:rFonts w:ascii="Arial" w:eastAsia="Times New Roman" w:hAnsi="Arial" w:cs="Times New Roman"/>
          <w:b/>
          <w:bCs/>
          <w:sz w:val="20"/>
          <w:szCs w:val="20"/>
        </w:rPr>
        <w:t>Exercise 8: Level flight</w:t>
      </w:r>
    </w:p>
    <w:p w14:paraId="62D76A81" w14:textId="77777777" w:rsidR="00F20810" w:rsidRPr="005827DA" w:rsidRDefault="00F20810" w:rsidP="005827DA">
      <w:pPr>
        <w:pStyle w:val="ListParagraph"/>
        <w:numPr>
          <w:ilvl w:val="0"/>
          <w:numId w:val="247"/>
        </w:numPr>
        <w:tabs>
          <w:tab w:val="left" w:pos="90"/>
          <w:tab w:val="left" w:pos="2409"/>
        </w:tabs>
        <w:spacing w:before="121" w:line="276" w:lineRule="auto"/>
        <w:ind w:right="68" w:hanging="436"/>
        <w:jc w:val="both"/>
        <w:rPr>
          <w:rFonts w:ascii="Arial" w:hAnsi="Arial" w:cs="Arial"/>
          <w:sz w:val="20"/>
          <w:szCs w:val="20"/>
        </w:rPr>
      </w:pPr>
      <w:r w:rsidRPr="005827DA">
        <w:rPr>
          <w:rFonts w:ascii="Arial" w:hAnsi="Arial" w:cs="Arial"/>
          <w:sz w:val="20"/>
          <w:szCs w:val="20"/>
        </w:rPr>
        <w:t>Objective</w:t>
      </w:r>
    </w:p>
    <w:p w14:paraId="7D1DCBE6" w14:textId="77777777" w:rsidR="00F20810" w:rsidRPr="005827DA" w:rsidRDefault="00F20810" w:rsidP="005827DA">
      <w:pPr>
        <w:pStyle w:val="BodyText"/>
        <w:tabs>
          <w:tab w:val="left" w:pos="90"/>
        </w:tabs>
        <w:spacing w:line="276" w:lineRule="auto"/>
        <w:ind w:left="2408" w:right="68" w:hanging="436"/>
        <w:jc w:val="both"/>
        <w:rPr>
          <w:rFonts w:ascii="Arial" w:hAnsi="Arial" w:cs="Arial"/>
          <w:sz w:val="20"/>
          <w:szCs w:val="20"/>
        </w:rPr>
      </w:pPr>
      <w:r w:rsidRPr="005827DA">
        <w:rPr>
          <w:rFonts w:ascii="Arial" w:hAnsi="Arial" w:cs="Arial"/>
          <w:sz w:val="20"/>
          <w:szCs w:val="20"/>
        </w:rPr>
        <w:t>To advise the student instructor on how to explain and demonstrate level</w:t>
      </w:r>
      <w:r w:rsidRPr="005827DA">
        <w:rPr>
          <w:rFonts w:ascii="Arial" w:hAnsi="Arial" w:cs="Arial"/>
          <w:spacing w:val="1"/>
          <w:sz w:val="20"/>
          <w:szCs w:val="20"/>
        </w:rPr>
        <w:t xml:space="preserve"> </w:t>
      </w:r>
      <w:r w:rsidRPr="005827DA">
        <w:rPr>
          <w:rFonts w:ascii="Arial" w:hAnsi="Arial" w:cs="Arial"/>
          <w:sz w:val="20"/>
          <w:szCs w:val="20"/>
        </w:rPr>
        <w:t>flight. Furthermore, the student instructor should learn how to identify</w:t>
      </w:r>
      <w:r w:rsidRPr="005827DA">
        <w:rPr>
          <w:rFonts w:ascii="Arial" w:hAnsi="Arial" w:cs="Arial"/>
          <w:spacing w:val="1"/>
          <w:sz w:val="20"/>
          <w:szCs w:val="20"/>
        </w:rPr>
        <w:t xml:space="preserve"> </w:t>
      </w:r>
      <w:r w:rsidRPr="005827DA">
        <w:rPr>
          <w:rFonts w:ascii="Arial" w:hAnsi="Arial" w:cs="Arial"/>
          <w:sz w:val="20"/>
          <w:szCs w:val="20"/>
        </w:rPr>
        <w:t>student</w:t>
      </w:r>
      <w:r w:rsidRPr="005827DA">
        <w:rPr>
          <w:rFonts w:ascii="Arial" w:hAnsi="Arial" w:cs="Arial"/>
          <w:spacing w:val="-1"/>
          <w:sz w:val="20"/>
          <w:szCs w:val="20"/>
        </w:rPr>
        <w:t xml:space="preserve"> </w:t>
      </w:r>
      <w:r w:rsidRPr="005827DA">
        <w:rPr>
          <w:rFonts w:ascii="Arial" w:hAnsi="Arial" w:cs="Arial"/>
          <w:sz w:val="20"/>
          <w:szCs w:val="20"/>
        </w:rPr>
        <w:t>errors</w:t>
      </w:r>
      <w:r w:rsidRPr="005827DA">
        <w:rPr>
          <w:rFonts w:ascii="Arial" w:hAnsi="Arial" w:cs="Arial"/>
          <w:spacing w:val="-2"/>
          <w:sz w:val="20"/>
          <w:szCs w:val="20"/>
        </w:rPr>
        <w:t xml:space="preserve"> </w:t>
      </w:r>
      <w:r w:rsidRPr="005827DA">
        <w:rPr>
          <w:rFonts w:ascii="Arial" w:hAnsi="Arial" w:cs="Arial"/>
          <w:sz w:val="20"/>
          <w:szCs w:val="20"/>
        </w:rPr>
        <w:t>and</w:t>
      </w:r>
      <w:r w:rsidRPr="005827DA">
        <w:rPr>
          <w:rFonts w:ascii="Arial" w:hAnsi="Arial" w:cs="Arial"/>
          <w:spacing w:val="-1"/>
          <w:sz w:val="20"/>
          <w:szCs w:val="20"/>
        </w:rPr>
        <w:t xml:space="preserve"> </w:t>
      </w:r>
      <w:r w:rsidRPr="005827DA">
        <w:rPr>
          <w:rFonts w:ascii="Arial" w:hAnsi="Arial" w:cs="Arial"/>
          <w:sz w:val="20"/>
          <w:szCs w:val="20"/>
        </w:rPr>
        <w:t>how</w:t>
      </w:r>
      <w:r w:rsidRPr="005827DA">
        <w:rPr>
          <w:rFonts w:ascii="Arial" w:hAnsi="Arial" w:cs="Arial"/>
          <w:spacing w:val="-2"/>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correct</w:t>
      </w:r>
      <w:r w:rsidRPr="005827DA">
        <w:rPr>
          <w:rFonts w:ascii="Arial" w:hAnsi="Arial" w:cs="Arial"/>
          <w:spacing w:val="1"/>
          <w:sz w:val="20"/>
          <w:szCs w:val="20"/>
        </w:rPr>
        <w:t xml:space="preserve"> </w:t>
      </w:r>
      <w:r w:rsidRPr="005827DA">
        <w:rPr>
          <w:rFonts w:ascii="Arial" w:hAnsi="Arial" w:cs="Arial"/>
          <w:sz w:val="20"/>
          <w:szCs w:val="20"/>
        </w:rPr>
        <w:t>them</w:t>
      </w:r>
      <w:r w:rsidRPr="005827DA">
        <w:rPr>
          <w:rFonts w:ascii="Arial" w:hAnsi="Arial" w:cs="Arial"/>
          <w:spacing w:val="-1"/>
          <w:sz w:val="20"/>
          <w:szCs w:val="20"/>
        </w:rPr>
        <w:t xml:space="preserve"> </w:t>
      </w:r>
      <w:r w:rsidRPr="005827DA">
        <w:rPr>
          <w:rFonts w:ascii="Arial" w:hAnsi="Arial" w:cs="Arial"/>
          <w:sz w:val="20"/>
          <w:szCs w:val="20"/>
        </w:rPr>
        <w:t>properly.</w:t>
      </w:r>
    </w:p>
    <w:p w14:paraId="7B242C1D" w14:textId="77777777" w:rsidR="00F20810" w:rsidRPr="005827DA" w:rsidRDefault="00F20810" w:rsidP="005827DA">
      <w:pPr>
        <w:pStyle w:val="ListParagraph"/>
        <w:numPr>
          <w:ilvl w:val="0"/>
          <w:numId w:val="247"/>
        </w:numPr>
        <w:tabs>
          <w:tab w:val="left" w:pos="90"/>
          <w:tab w:val="left" w:pos="2409"/>
        </w:tabs>
        <w:spacing w:before="119" w:line="276" w:lineRule="auto"/>
        <w:ind w:right="68" w:hanging="436"/>
        <w:jc w:val="both"/>
        <w:rPr>
          <w:rFonts w:ascii="Arial" w:hAnsi="Arial" w:cs="Arial"/>
          <w:sz w:val="20"/>
          <w:szCs w:val="20"/>
        </w:rPr>
      </w:pPr>
      <w:r w:rsidRPr="005827DA">
        <w:rPr>
          <w:rFonts w:ascii="Arial" w:hAnsi="Arial" w:cs="Arial"/>
          <w:sz w:val="20"/>
          <w:szCs w:val="20"/>
        </w:rPr>
        <w:t>Briefing</w:t>
      </w:r>
    </w:p>
    <w:p w14:paraId="35BD5497" w14:textId="77777777" w:rsidR="00F20810" w:rsidRPr="005827DA" w:rsidRDefault="00F20810" w:rsidP="005827DA">
      <w:pPr>
        <w:pStyle w:val="BodyText"/>
        <w:tabs>
          <w:tab w:val="left" w:pos="90"/>
        </w:tabs>
        <w:spacing w:line="276" w:lineRule="auto"/>
        <w:ind w:left="2408"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student</w:t>
      </w:r>
      <w:r w:rsidRPr="005827DA">
        <w:rPr>
          <w:rFonts w:ascii="Arial" w:hAnsi="Arial" w:cs="Arial"/>
          <w:spacing w:val="-2"/>
          <w:sz w:val="20"/>
          <w:szCs w:val="20"/>
        </w:rPr>
        <w:t xml:space="preserve"> </w:t>
      </w:r>
      <w:r w:rsidRPr="005827DA">
        <w:rPr>
          <w:rFonts w:ascii="Arial" w:hAnsi="Arial" w:cs="Arial"/>
          <w:sz w:val="20"/>
          <w:szCs w:val="20"/>
        </w:rPr>
        <w:t>instructor has</w:t>
      </w:r>
      <w:r w:rsidRPr="005827DA">
        <w:rPr>
          <w:rFonts w:ascii="Arial" w:hAnsi="Arial" w:cs="Arial"/>
          <w:spacing w:val="-5"/>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explain:</w:t>
      </w:r>
    </w:p>
    <w:p w14:paraId="3B62E8AB" w14:textId="77777777" w:rsidR="00F20810" w:rsidRPr="005827DA" w:rsidRDefault="00F20810" w:rsidP="005827DA">
      <w:pPr>
        <w:pStyle w:val="ListParagraph"/>
        <w:numPr>
          <w:ilvl w:val="1"/>
          <w:numId w:val="247"/>
        </w:numPr>
        <w:tabs>
          <w:tab w:val="left" w:pos="90"/>
          <w:tab w:val="left" w:pos="2975"/>
          <w:tab w:val="left" w:pos="2976"/>
        </w:tabs>
        <w:spacing w:before="56"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3"/>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maintain</w:t>
      </w:r>
      <w:r w:rsidRPr="005827DA">
        <w:rPr>
          <w:rFonts w:ascii="Arial" w:hAnsi="Arial" w:cs="Arial"/>
          <w:spacing w:val="-4"/>
          <w:sz w:val="20"/>
          <w:szCs w:val="20"/>
        </w:rPr>
        <w:t xml:space="preserve"> </w:t>
      </w:r>
      <w:r w:rsidRPr="005827DA">
        <w:rPr>
          <w:rFonts w:ascii="Arial" w:hAnsi="Arial" w:cs="Arial"/>
          <w:sz w:val="20"/>
          <w:szCs w:val="20"/>
        </w:rPr>
        <w:t>level</w:t>
      </w:r>
      <w:r w:rsidRPr="005827DA">
        <w:rPr>
          <w:rFonts w:ascii="Arial" w:hAnsi="Arial" w:cs="Arial"/>
          <w:spacing w:val="-1"/>
          <w:sz w:val="20"/>
          <w:szCs w:val="20"/>
        </w:rPr>
        <w:t xml:space="preserve"> </w:t>
      </w:r>
      <w:r w:rsidRPr="005827DA">
        <w:rPr>
          <w:rFonts w:ascii="Arial" w:hAnsi="Arial" w:cs="Arial"/>
          <w:sz w:val="20"/>
          <w:szCs w:val="20"/>
        </w:rPr>
        <w:t>flight</w:t>
      </w:r>
      <w:r w:rsidRPr="005827DA">
        <w:rPr>
          <w:rFonts w:ascii="Arial" w:hAnsi="Arial" w:cs="Arial"/>
          <w:spacing w:val="-2"/>
          <w:sz w:val="20"/>
          <w:szCs w:val="20"/>
        </w:rPr>
        <w:t xml:space="preserve"> </w:t>
      </w:r>
      <w:r w:rsidRPr="005827DA">
        <w:rPr>
          <w:rFonts w:ascii="Arial" w:hAnsi="Arial" w:cs="Arial"/>
          <w:sz w:val="20"/>
          <w:szCs w:val="20"/>
        </w:rPr>
        <w:t>by use</w:t>
      </w:r>
      <w:r w:rsidRPr="005827DA">
        <w:rPr>
          <w:rFonts w:ascii="Arial" w:hAnsi="Arial" w:cs="Arial"/>
          <w:spacing w:val="-3"/>
          <w:sz w:val="20"/>
          <w:szCs w:val="20"/>
        </w:rPr>
        <w:t xml:space="preserve"> </w:t>
      </w:r>
      <w:r w:rsidRPr="005827DA">
        <w:rPr>
          <w:rFonts w:ascii="Arial" w:hAnsi="Arial" w:cs="Arial"/>
          <w:sz w:val="20"/>
          <w:szCs w:val="20"/>
        </w:rPr>
        <w:t>of instruments;</w:t>
      </w:r>
    </w:p>
    <w:p w14:paraId="5C84AA5B" w14:textId="77777777" w:rsidR="00F20810" w:rsidRPr="005827DA" w:rsidRDefault="00F20810" w:rsidP="005827DA">
      <w:pPr>
        <w:pStyle w:val="ListParagraph"/>
        <w:numPr>
          <w:ilvl w:val="1"/>
          <w:numId w:val="247"/>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3"/>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maintain</w:t>
      </w:r>
      <w:r w:rsidRPr="005827DA">
        <w:rPr>
          <w:rFonts w:ascii="Arial" w:hAnsi="Arial" w:cs="Arial"/>
          <w:spacing w:val="-5"/>
          <w:sz w:val="20"/>
          <w:szCs w:val="20"/>
        </w:rPr>
        <w:t xml:space="preserve"> </w:t>
      </w:r>
      <w:r w:rsidRPr="005827DA">
        <w:rPr>
          <w:rFonts w:ascii="Arial" w:hAnsi="Arial" w:cs="Arial"/>
          <w:sz w:val="20"/>
          <w:szCs w:val="20"/>
        </w:rPr>
        <w:t>level flight</w:t>
      </w:r>
      <w:r w:rsidRPr="005827DA">
        <w:rPr>
          <w:rFonts w:ascii="Arial" w:hAnsi="Arial" w:cs="Arial"/>
          <w:spacing w:val="-3"/>
          <w:sz w:val="20"/>
          <w:szCs w:val="20"/>
        </w:rPr>
        <w:t xml:space="preserve"> </w:t>
      </w:r>
      <w:r w:rsidRPr="005827DA">
        <w:rPr>
          <w:rFonts w:ascii="Arial" w:hAnsi="Arial" w:cs="Arial"/>
          <w:sz w:val="20"/>
          <w:szCs w:val="20"/>
        </w:rPr>
        <w:t>by use</w:t>
      </w:r>
      <w:r w:rsidRPr="005827DA">
        <w:rPr>
          <w:rFonts w:ascii="Arial" w:hAnsi="Arial" w:cs="Arial"/>
          <w:spacing w:val="-3"/>
          <w:sz w:val="20"/>
          <w:szCs w:val="20"/>
        </w:rPr>
        <w:t xml:space="preserve"> </w:t>
      </w:r>
      <w:r w:rsidRPr="005827DA">
        <w:rPr>
          <w:rFonts w:ascii="Arial" w:hAnsi="Arial" w:cs="Arial"/>
          <w:sz w:val="20"/>
          <w:szCs w:val="20"/>
        </w:rPr>
        <w:t>of</w:t>
      </w:r>
      <w:r w:rsidRPr="005827DA">
        <w:rPr>
          <w:rFonts w:ascii="Arial" w:hAnsi="Arial" w:cs="Arial"/>
          <w:spacing w:val="-2"/>
          <w:sz w:val="20"/>
          <w:szCs w:val="20"/>
        </w:rPr>
        <w:t xml:space="preserve"> </w:t>
      </w:r>
      <w:r w:rsidRPr="005827DA">
        <w:rPr>
          <w:rFonts w:ascii="Arial" w:hAnsi="Arial" w:cs="Arial"/>
          <w:sz w:val="20"/>
          <w:szCs w:val="20"/>
        </w:rPr>
        <w:t>visual</w:t>
      </w:r>
      <w:r w:rsidRPr="005827DA">
        <w:rPr>
          <w:rFonts w:ascii="Arial" w:hAnsi="Arial" w:cs="Arial"/>
          <w:spacing w:val="-1"/>
          <w:sz w:val="20"/>
          <w:szCs w:val="20"/>
        </w:rPr>
        <w:t xml:space="preserve"> </w:t>
      </w:r>
      <w:r w:rsidRPr="005827DA">
        <w:rPr>
          <w:rFonts w:ascii="Arial" w:hAnsi="Arial" w:cs="Arial"/>
          <w:sz w:val="20"/>
          <w:szCs w:val="20"/>
        </w:rPr>
        <w:t>references;</w:t>
      </w:r>
    </w:p>
    <w:p w14:paraId="688854C6" w14:textId="77777777" w:rsidR="00F20810" w:rsidRPr="005827DA" w:rsidRDefault="00F20810" w:rsidP="005827DA">
      <w:pPr>
        <w:pStyle w:val="ListParagraph"/>
        <w:numPr>
          <w:ilvl w:val="1"/>
          <w:numId w:val="247"/>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3"/>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maintain</w:t>
      </w:r>
      <w:r w:rsidRPr="005827DA">
        <w:rPr>
          <w:rFonts w:ascii="Arial" w:hAnsi="Arial" w:cs="Arial"/>
          <w:spacing w:val="-5"/>
          <w:sz w:val="20"/>
          <w:szCs w:val="20"/>
        </w:rPr>
        <w:t xml:space="preserve"> </w:t>
      </w:r>
      <w:r w:rsidRPr="005827DA">
        <w:rPr>
          <w:rFonts w:ascii="Arial" w:hAnsi="Arial" w:cs="Arial"/>
          <w:sz w:val="20"/>
          <w:szCs w:val="20"/>
        </w:rPr>
        <w:t>level flight</w:t>
      </w:r>
      <w:r w:rsidRPr="005827DA">
        <w:rPr>
          <w:rFonts w:ascii="Arial" w:hAnsi="Arial" w:cs="Arial"/>
          <w:spacing w:val="-3"/>
          <w:sz w:val="20"/>
          <w:szCs w:val="20"/>
        </w:rPr>
        <w:t xml:space="preserve"> </w:t>
      </w:r>
      <w:r w:rsidRPr="005827DA">
        <w:rPr>
          <w:rFonts w:ascii="Arial" w:hAnsi="Arial" w:cs="Arial"/>
          <w:sz w:val="20"/>
          <w:szCs w:val="20"/>
        </w:rPr>
        <w:t>by use</w:t>
      </w:r>
      <w:r w:rsidRPr="005827DA">
        <w:rPr>
          <w:rFonts w:ascii="Arial" w:hAnsi="Arial" w:cs="Arial"/>
          <w:spacing w:val="-3"/>
          <w:sz w:val="20"/>
          <w:szCs w:val="20"/>
        </w:rPr>
        <w:t xml:space="preserve"> </w:t>
      </w:r>
      <w:r w:rsidRPr="005827DA">
        <w:rPr>
          <w:rFonts w:ascii="Arial" w:hAnsi="Arial" w:cs="Arial"/>
          <w:sz w:val="20"/>
          <w:szCs w:val="20"/>
        </w:rPr>
        <w:t>of</w:t>
      </w:r>
      <w:r w:rsidRPr="005827DA">
        <w:rPr>
          <w:rFonts w:ascii="Arial" w:hAnsi="Arial" w:cs="Arial"/>
          <w:spacing w:val="-2"/>
          <w:sz w:val="20"/>
          <w:szCs w:val="20"/>
        </w:rPr>
        <w:t xml:space="preserve"> </w:t>
      </w:r>
      <w:r w:rsidRPr="005827DA">
        <w:rPr>
          <w:rFonts w:ascii="Arial" w:hAnsi="Arial" w:cs="Arial"/>
          <w:sz w:val="20"/>
          <w:szCs w:val="20"/>
        </w:rPr>
        <w:t>all</w:t>
      </w:r>
      <w:r w:rsidRPr="005827DA">
        <w:rPr>
          <w:rFonts w:ascii="Arial" w:hAnsi="Arial" w:cs="Arial"/>
          <w:spacing w:val="-2"/>
          <w:sz w:val="20"/>
          <w:szCs w:val="20"/>
        </w:rPr>
        <w:t xml:space="preserve"> </w:t>
      </w:r>
      <w:r w:rsidRPr="005827DA">
        <w:rPr>
          <w:rFonts w:ascii="Arial" w:hAnsi="Arial" w:cs="Arial"/>
          <w:sz w:val="20"/>
          <w:szCs w:val="20"/>
        </w:rPr>
        <w:t>available</w:t>
      </w:r>
      <w:r w:rsidRPr="005827DA">
        <w:rPr>
          <w:rFonts w:ascii="Arial" w:hAnsi="Arial" w:cs="Arial"/>
          <w:spacing w:val="-2"/>
          <w:sz w:val="20"/>
          <w:szCs w:val="20"/>
        </w:rPr>
        <w:t xml:space="preserve"> </w:t>
      </w:r>
      <w:r w:rsidRPr="005827DA">
        <w:rPr>
          <w:rFonts w:ascii="Arial" w:hAnsi="Arial" w:cs="Arial"/>
          <w:sz w:val="20"/>
          <w:szCs w:val="20"/>
        </w:rPr>
        <w:t>means;</w:t>
      </w:r>
    </w:p>
    <w:p w14:paraId="51292976" w14:textId="77777777" w:rsidR="00F20810" w:rsidRPr="005827DA" w:rsidRDefault="00F20810" w:rsidP="005827DA">
      <w:pPr>
        <w:pStyle w:val="ListParagraph"/>
        <w:numPr>
          <w:ilvl w:val="1"/>
          <w:numId w:val="247"/>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use</w:t>
      </w:r>
      <w:r w:rsidRPr="005827DA">
        <w:rPr>
          <w:rFonts w:ascii="Arial" w:hAnsi="Arial" w:cs="Arial"/>
          <w:spacing w:val="-2"/>
          <w:sz w:val="20"/>
          <w:szCs w:val="20"/>
        </w:rPr>
        <w:t xml:space="preserve"> </w:t>
      </w:r>
      <w:r w:rsidRPr="005827DA">
        <w:rPr>
          <w:rFonts w:ascii="Arial" w:hAnsi="Arial" w:cs="Arial"/>
          <w:sz w:val="20"/>
          <w:szCs w:val="20"/>
        </w:rPr>
        <w:t>of parachute;</w:t>
      </w:r>
      <w:r w:rsidRPr="005827DA">
        <w:rPr>
          <w:rFonts w:ascii="Arial" w:hAnsi="Arial" w:cs="Arial"/>
          <w:spacing w:val="-2"/>
          <w:sz w:val="20"/>
          <w:szCs w:val="20"/>
        </w:rPr>
        <w:t xml:space="preserve"> </w:t>
      </w:r>
      <w:r w:rsidRPr="005827DA">
        <w:rPr>
          <w:rFonts w:ascii="Arial" w:hAnsi="Arial" w:cs="Arial"/>
          <w:sz w:val="20"/>
          <w:szCs w:val="20"/>
        </w:rPr>
        <w:t>and</w:t>
      </w:r>
    </w:p>
    <w:p w14:paraId="33288589" w14:textId="77777777" w:rsidR="00F20810" w:rsidRPr="005827DA" w:rsidRDefault="00F20810" w:rsidP="005827DA">
      <w:pPr>
        <w:pStyle w:val="ListParagraph"/>
        <w:numPr>
          <w:ilvl w:val="1"/>
          <w:numId w:val="247"/>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use</w:t>
      </w:r>
      <w:r w:rsidRPr="005827DA">
        <w:rPr>
          <w:rFonts w:ascii="Arial" w:hAnsi="Arial" w:cs="Arial"/>
          <w:spacing w:val="-3"/>
          <w:sz w:val="20"/>
          <w:szCs w:val="20"/>
        </w:rPr>
        <w:t xml:space="preserve"> </w:t>
      </w:r>
      <w:r w:rsidRPr="005827DA">
        <w:rPr>
          <w:rFonts w:ascii="Arial" w:hAnsi="Arial" w:cs="Arial"/>
          <w:sz w:val="20"/>
          <w:szCs w:val="20"/>
        </w:rPr>
        <w:t>of</w:t>
      </w:r>
      <w:r w:rsidRPr="005827DA">
        <w:rPr>
          <w:rFonts w:ascii="Arial" w:hAnsi="Arial" w:cs="Arial"/>
          <w:spacing w:val="-3"/>
          <w:sz w:val="20"/>
          <w:szCs w:val="20"/>
        </w:rPr>
        <w:t xml:space="preserve"> </w:t>
      </w:r>
      <w:r w:rsidRPr="005827DA">
        <w:rPr>
          <w:rFonts w:ascii="Arial" w:hAnsi="Arial" w:cs="Arial"/>
          <w:sz w:val="20"/>
          <w:szCs w:val="20"/>
        </w:rPr>
        <w:t>turning</w:t>
      </w:r>
      <w:r w:rsidRPr="005827DA">
        <w:rPr>
          <w:rFonts w:ascii="Arial" w:hAnsi="Arial" w:cs="Arial"/>
          <w:spacing w:val="-2"/>
          <w:sz w:val="20"/>
          <w:szCs w:val="20"/>
        </w:rPr>
        <w:t xml:space="preserve"> </w:t>
      </w:r>
      <w:r w:rsidRPr="005827DA">
        <w:rPr>
          <w:rFonts w:ascii="Arial" w:hAnsi="Arial" w:cs="Arial"/>
          <w:sz w:val="20"/>
          <w:szCs w:val="20"/>
        </w:rPr>
        <w:t>vents,</w:t>
      </w:r>
      <w:r w:rsidRPr="005827DA">
        <w:rPr>
          <w:rFonts w:ascii="Arial" w:hAnsi="Arial" w:cs="Arial"/>
          <w:spacing w:val="-1"/>
          <w:sz w:val="20"/>
          <w:szCs w:val="20"/>
        </w:rPr>
        <w:t xml:space="preserve"> </w:t>
      </w:r>
      <w:r w:rsidRPr="005827DA">
        <w:rPr>
          <w:rFonts w:ascii="Arial" w:hAnsi="Arial" w:cs="Arial"/>
          <w:sz w:val="20"/>
          <w:szCs w:val="20"/>
        </w:rPr>
        <w:t>if</w:t>
      </w:r>
      <w:r w:rsidRPr="005827DA">
        <w:rPr>
          <w:rFonts w:ascii="Arial" w:hAnsi="Arial" w:cs="Arial"/>
          <w:spacing w:val="-1"/>
          <w:sz w:val="20"/>
          <w:szCs w:val="20"/>
        </w:rPr>
        <w:t xml:space="preserve"> </w:t>
      </w:r>
      <w:r w:rsidRPr="005827DA">
        <w:rPr>
          <w:rFonts w:ascii="Arial" w:hAnsi="Arial" w:cs="Arial"/>
          <w:sz w:val="20"/>
          <w:szCs w:val="20"/>
        </w:rPr>
        <w:t>installed</w:t>
      </w:r>
      <w:r w:rsidRPr="005827DA">
        <w:rPr>
          <w:rFonts w:ascii="Arial" w:hAnsi="Arial" w:cs="Arial"/>
          <w:spacing w:val="-2"/>
          <w:sz w:val="20"/>
          <w:szCs w:val="20"/>
        </w:rPr>
        <w:t xml:space="preserve"> </w:t>
      </w:r>
      <w:r w:rsidRPr="005827DA">
        <w:rPr>
          <w:rFonts w:ascii="Arial" w:hAnsi="Arial" w:cs="Arial"/>
          <w:sz w:val="20"/>
          <w:szCs w:val="20"/>
        </w:rPr>
        <w:t>(hot -air</w:t>
      </w:r>
      <w:r w:rsidRPr="005827DA">
        <w:rPr>
          <w:rFonts w:ascii="Arial" w:hAnsi="Arial" w:cs="Arial"/>
          <w:spacing w:val="-2"/>
          <w:sz w:val="20"/>
          <w:szCs w:val="20"/>
        </w:rPr>
        <w:t xml:space="preserve"> </w:t>
      </w:r>
      <w:r w:rsidRPr="005827DA">
        <w:rPr>
          <w:rFonts w:ascii="Arial" w:hAnsi="Arial" w:cs="Arial"/>
          <w:sz w:val="20"/>
          <w:szCs w:val="20"/>
        </w:rPr>
        <w:t>balloons).</w:t>
      </w:r>
    </w:p>
    <w:p w14:paraId="3497A14D" w14:textId="77777777" w:rsidR="00F20810" w:rsidRPr="005827DA" w:rsidRDefault="00F20810" w:rsidP="005827DA">
      <w:pPr>
        <w:pStyle w:val="ListParagraph"/>
        <w:numPr>
          <w:ilvl w:val="0"/>
          <w:numId w:val="247"/>
        </w:numPr>
        <w:tabs>
          <w:tab w:val="left" w:pos="90"/>
          <w:tab w:val="left" w:pos="2408"/>
          <w:tab w:val="left" w:pos="2409"/>
        </w:tabs>
        <w:spacing w:line="276" w:lineRule="auto"/>
        <w:ind w:right="68" w:hanging="436"/>
        <w:jc w:val="both"/>
        <w:rPr>
          <w:rFonts w:ascii="Arial" w:hAnsi="Arial" w:cs="Arial"/>
          <w:sz w:val="20"/>
          <w:szCs w:val="20"/>
        </w:rPr>
      </w:pPr>
      <w:r w:rsidRPr="005827DA">
        <w:rPr>
          <w:rFonts w:ascii="Arial" w:hAnsi="Arial" w:cs="Arial"/>
          <w:sz w:val="20"/>
          <w:szCs w:val="20"/>
        </w:rPr>
        <w:t>Air</w:t>
      </w:r>
      <w:r w:rsidRPr="005827DA">
        <w:rPr>
          <w:rFonts w:ascii="Arial" w:hAnsi="Arial" w:cs="Arial"/>
          <w:spacing w:val="-1"/>
          <w:sz w:val="20"/>
          <w:szCs w:val="20"/>
        </w:rPr>
        <w:t xml:space="preserve"> </w:t>
      </w:r>
      <w:r w:rsidRPr="005827DA">
        <w:rPr>
          <w:rFonts w:ascii="Arial" w:hAnsi="Arial" w:cs="Arial"/>
          <w:sz w:val="20"/>
          <w:szCs w:val="20"/>
        </w:rPr>
        <w:t>exercise</w:t>
      </w:r>
    </w:p>
    <w:p w14:paraId="3813DA38" w14:textId="77777777" w:rsidR="00F20810" w:rsidRPr="005827DA" w:rsidRDefault="00F20810" w:rsidP="005827DA">
      <w:pPr>
        <w:pStyle w:val="BodyText"/>
        <w:tabs>
          <w:tab w:val="left" w:pos="90"/>
        </w:tabs>
        <w:spacing w:before="121" w:line="276" w:lineRule="auto"/>
        <w:ind w:left="2408"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student</w:t>
      </w:r>
      <w:r w:rsidRPr="005827DA">
        <w:rPr>
          <w:rFonts w:ascii="Arial" w:hAnsi="Arial" w:cs="Arial"/>
          <w:spacing w:val="-3"/>
          <w:sz w:val="20"/>
          <w:szCs w:val="20"/>
        </w:rPr>
        <w:t xml:space="preserve"> </w:t>
      </w:r>
      <w:r w:rsidRPr="005827DA">
        <w:rPr>
          <w:rFonts w:ascii="Arial" w:hAnsi="Arial" w:cs="Arial"/>
          <w:sz w:val="20"/>
          <w:szCs w:val="20"/>
        </w:rPr>
        <w:t>instructor</w:t>
      </w:r>
      <w:r w:rsidRPr="005827DA">
        <w:rPr>
          <w:rFonts w:ascii="Arial" w:hAnsi="Arial" w:cs="Arial"/>
          <w:spacing w:val="-2"/>
          <w:sz w:val="20"/>
          <w:szCs w:val="20"/>
        </w:rPr>
        <w:t xml:space="preserve"> </w:t>
      </w:r>
      <w:r w:rsidRPr="005827DA">
        <w:rPr>
          <w:rFonts w:ascii="Arial" w:hAnsi="Arial" w:cs="Arial"/>
          <w:sz w:val="20"/>
          <w:szCs w:val="20"/>
        </w:rPr>
        <w:t>has</w:t>
      </w:r>
      <w:r w:rsidRPr="005827DA">
        <w:rPr>
          <w:rFonts w:ascii="Arial" w:hAnsi="Arial" w:cs="Arial"/>
          <w:spacing w:val="-6"/>
          <w:sz w:val="20"/>
          <w:szCs w:val="20"/>
        </w:rPr>
        <w:t xml:space="preserve"> </w:t>
      </w:r>
      <w:r w:rsidRPr="005827DA">
        <w:rPr>
          <w:rFonts w:ascii="Arial" w:hAnsi="Arial" w:cs="Arial"/>
          <w:sz w:val="20"/>
          <w:szCs w:val="20"/>
        </w:rPr>
        <w:t>to demonstrate:</w:t>
      </w:r>
    </w:p>
    <w:p w14:paraId="6CA7689D" w14:textId="77777777" w:rsidR="00F20810" w:rsidRPr="005827DA" w:rsidRDefault="00F20810" w:rsidP="005827DA">
      <w:pPr>
        <w:pStyle w:val="ListParagraph"/>
        <w:numPr>
          <w:ilvl w:val="1"/>
          <w:numId w:val="247"/>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3"/>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maintain</w:t>
      </w:r>
      <w:r w:rsidRPr="005827DA">
        <w:rPr>
          <w:rFonts w:ascii="Arial" w:hAnsi="Arial" w:cs="Arial"/>
          <w:spacing w:val="-4"/>
          <w:sz w:val="20"/>
          <w:szCs w:val="20"/>
        </w:rPr>
        <w:t xml:space="preserve"> </w:t>
      </w:r>
      <w:r w:rsidRPr="005827DA">
        <w:rPr>
          <w:rFonts w:ascii="Arial" w:hAnsi="Arial" w:cs="Arial"/>
          <w:sz w:val="20"/>
          <w:szCs w:val="20"/>
        </w:rPr>
        <w:t>level</w:t>
      </w:r>
      <w:r w:rsidRPr="005827DA">
        <w:rPr>
          <w:rFonts w:ascii="Arial" w:hAnsi="Arial" w:cs="Arial"/>
          <w:spacing w:val="-1"/>
          <w:sz w:val="20"/>
          <w:szCs w:val="20"/>
        </w:rPr>
        <w:t xml:space="preserve"> </w:t>
      </w:r>
      <w:r w:rsidRPr="005827DA">
        <w:rPr>
          <w:rFonts w:ascii="Arial" w:hAnsi="Arial" w:cs="Arial"/>
          <w:sz w:val="20"/>
          <w:szCs w:val="20"/>
        </w:rPr>
        <w:t>flight</w:t>
      </w:r>
      <w:r w:rsidRPr="005827DA">
        <w:rPr>
          <w:rFonts w:ascii="Arial" w:hAnsi="Arial" w:cs="Arial"/>
          <w:spacing w:val="-2"/>
          <w:sz w:val="20"/>
          <w:szCs w:val="20"/>
        </w:rPr>
        <w:t xml:space="preserve"> </w:t>
      </w:r>
      <w:r w:rsidRPr="005827DA">
        <w:rPr>
          <w:rFonts w:ascii="Arial" w:hAnsi="Arial" w:cs="Arial"/>
          <w:sz w:val="20"/>
          <w:szCs w:val="20"/>
        </w:rPr>
        <w:t>by use</w:t>
      </w:r>
      <w:r w:rsidRPr="005827DA">
        <w:rPr>
          <w:rFonts w:ascii="Arial" w:hAnsi="Arial" w:cs="Arial"/>
          <w:spacing w:val="-3"/>
          <w:sz w:val="20"/>
          <w:szCs w:val="20"/>
        </w:rPr>
        <w:t xml:space="preserve"> </w:t>
      </w:r>
      <w:r w:rsidRPr="005827DA">
        <w:rPr>
          <w:rFonts w:ascii="Arial" w:hAnsi="Arial" w:cs="Arial"/>
          <w:sz w:val="20"/>
          <w:szCs w:val="20"/>
        </w:rPr>
        <w:t>of instruments;</w:t>
      </w:r>
    </w:p>
    <w:p w14:paraId="6D6539CE" w14:textId="77777777" w:rsidR="00F20810" w:rsidRPr="005827DA" w:rsidRDefault="00F20810" w:rsidP="005827DA">
      <w:pPr>
        <w:pStyle w:val="ListParagraph"/>
        <w:numPr>
          <w:ilvl w:val="1"/>
          <w:numId w:val="247"/>
        </w:numPr>
        <w:tabs>
          <w:tab w:val="left" w:pos="90"/>
          <w:tab w:val="left" w:pos="2975"/>
          <w:tab w:val="left" w:pos="2976"/>
        </w:tabs>
        <w:spacing w:before="118"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3"/>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maintain</w:t>
      </w:r>
      <w:r w:rsidRPr="005827DA">
        <w:rPr>
          <w:rFonts w:ascii="Arial" w:hAnsi="Arial" w:cs="Arial"/>
          <w:spacing w:val="-5"/>
          <w:sz w:val="20"/>
          <w:szCs w:val="20"/>
        </w:rPr>
        <w:t xml:space="preserve"> </w:t>
      </w:r>
      <w:r w:rsidRPr="005827DA">
        <w:rPr>
          <w:rFonts w:ascii="Arial" w:hAnsi="Arial" w:cs="Arial"/>
          <w:sz w:val="20"/>
          <w:szCs w:val="20"/>
        </w:rPr>
        <w:t>level flight</w:t>
      </w:r>
      <w:r w:rsidRPr="005827DA">
        <w:rPr>
          <w:rFonts w:ascii="Arial" w:hAnsi="Arial" w:cs="Arial"/>
          <w:spacing w:val="-3"/>
          <w:sz w:val="20"/>
          <w:szCs w:val="20"/>
        </w:rPr>
        <w:t xml:space="preserve"> </w:t>
      </w:r>
      <w:r w:rsidRPr="005827DA">
        <w:rPr>
          <w:rFonts w:ascii="Arial" w:hAnsi="Arial" w:cs="Arial"/>
          <w:sz w:val="20"/>
          <w:szCs w:val="20"/>
        </w:rPr>
        <w:t>by use</w:t>
      </w:r>
      <w:r w:rsidRPr="005827DA">
        <w:rPr>
          <w:rFonts w:ascii="Arial" w:hAnsi="Arial" w:cs="Arial"/>
          <w:spacing w:val="-3"/>
          <w:sz w:val="20"/>
          <w:szCs w:val="20"/>
        </w:rPr>
        <w:t xml:space="preserve"> </w:t>
      </w:r>
      <w:r w:rsidRPr="005827DA">
        <w:rPr>
          <w:rFonts w:ascii="Arial" w:hAnsi="Arial" w:cs="Arial"/>
          <w:sz w:val="20"/>
          <w:szCs w:val="20"/>
        </w:rPr>
        <w:t>of</w:t>
      </w:r>
      <w:r w:rsidRPr="005827DA">
        <w:rPr>
          <w:rFonts w:ascii="Arial" w:hAnsi="Arial" w:cs="Arial"/>
          <w:spacing w:val="-2"/>
          <w:sz w:val="20"/>
          <w:szCs w:val="20"/>
        </w:rPr>
        <w:t xml:space="preserve"> </w:t>
      </w:r>
      <w:r w:rsidRPr="005827DA">
        <w:rPr>
          <w:rFonts w:ascii="Arial" w:hAnsi="Arial" w:cs="Arial"/>
          <w:sz w:val="20"/>
          <w:szCs w:val="20"/>
        </w:rPr>
        <w:t>visual</w:t>
      </w:r>
      <w:r w:rsidRPr="005827DA">
        <w:rPr>
          <w:rFonts w:ascii="Arial" w:hAnsi="Arial" w:cs="Arial"/>
          <w:spacing w:val="-1"/>
          <w:sz w:val="20"/>
          <w:szCs w:val="20"/>
        </w:rPr>
        <w:t xml:space="preserve"> </w:t>
      </w:r>
      <w:r w:rsidRPr="005827DA">
        <w:rPr>
          <w:rFonts w:ascii="Arial" w:hAnsi="Arial" w:cs="Arial"/>
          <w:sz w:val="20"/>
          <w:szCs w:val="20"/>
        </w:rPr>
        <w:t>references;</w:t>
      </w:r>
    </w:p>
    <w:p w14:paraId="5F678DE4" w14:textId="77777777" w:rsidR="00F20810" w:rsidRPr="005827DA" w:rsidRDefault="00F20810" w:rsidP="005827DA">
      <w:pPr>
        <w:pStyle w:val="ListParagraph"/>
        <w:numPr>
          <w:ilvl w:val="1"/>
          <w:numId w:val="247"/>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3"/>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maintain</w:t>
      </w:r>
      <w:r w:rsidRPr="005827DA">
        <w:rPr>
          <w:rFonts w:ascii="Arial" w:hAnsi="Arial" w:cs="Arial"/>
          <w:spacing w:val="-5"/>
          <w:sz w:val="20"/>
          <w:szCs w:val="20"/>
        </w:rPr>
        <w:t xml:space="preserve"> </w:t>
      </w:r>
      <w:r w:rsidRPr="005827DA">
        <w:rPr>
          <w:rFonts w:ascii="Arial" w:hAnsi="Arial" w:cs="Arial"/>
          <w:sz w:val="20"/>
          <w:szCs w:val="20"/>
        </w:rPr>
        <w:t>level flight</w:t>
      </w:r>
      <w:r w:rsidRPr="005827DA">
        <w:rPr>
          <w:rFonts w:ascii="Arial" w:hAnsi="Arial" w:cs="Arial"/>
          <w:spacing w:val="-2"/>
          <w:sz w:val="20"/>
          <w:szCs w:val="20"/>
        </w:rPr>
        <w:t xml:space="preserve"> </w:t>
      </w:r>
      <w:r w:rsidRPr="005827DA">
        <w:rPr>
          <w:rFonts w:ascii="Arial" w:hAnsi="Arial" w:cs="Arial"/>
          <w:sz w:val="20"/>
          <w:szCs w:val="20"/>
        </w:rPr>
        <w:t>by</w:t>
      </w:r>
      <w:r w:rsidRPr="005827DA">
        <w:rPr>
          <w:rFonts w:ascii="Arial" w:hAnsi="Arial" w:cs="Arial"/>
          <w:spacing w:val="-1"/>
          <w:sz w:val="20"/>
          <w:szCs w:val="20"/>
        </w:rPr>
        <w:t xml:space="preserve"> </w:t>
      </w:r>
      <w:r w:rsidRPr="005827DA">
        <w:rPr>
          <w:rFonts w:ascii="Arial" w:hAnsi="Arial" w:cs="Arial"/>
          <w:sz w:val="20"/>
          <w:szCs w:val="20"/>
        </w:rPr>
        <w:t>use</w:t>
      </w:r>
      <w:r w:rsidRPr="005827DA">
        <w:rPr>
          <w:rFonts w:ascii="Arial" w:hAnsi="Arial" w:cs="Arial"/>
          <w:spacing w:val="-2"/>
          <w:sz w:val="20"/>
          <w:szCs w:val="20"/>
        </w:rPr>
        <w:t xml:space="preserve"> </w:t>
      </w:r>
      <w:r w:rsidRPr="005827DA">
        <w:rPr>
          <w:rFonts w:ascii="Arial" w:hAnsi="Arial" w:cs="Arial"/>
          <w:sz w:val="20"/>
          <w:szCs w:val="20"/>
        </w:rPr>
        <w:t>of</w:t>
      </w:r>
      <w:r w:rsidRPr="005827DA">
        <w:rPr>
          <w:rFonts w:ascii="Arial" w:hAnsi="Arial" w:cs="Arial"/>
          <w:spacing w:val="-2"/>
          <w:sz w:val="20"/>
          <w:szCs w:val="20"/>
        </w:rPr>
        <w:t xml:space="preserve"> </w:t>
      </w:r>
      <w:r w:rsidRPr="005827DA">
        <w:rPr>
          <w:rFonts w:ascii="Arial" w:hAnsi="Arial" w:cs="Arial"/>
          <w:sz w:val="20"/>
          <w:szCs w:val="20"/>
        </w:rPr>
        <w:t>all</w:t>
      </w:r>
      <w:r w:rsidRPr="005827DA">
        <w:rPr>
          <w:rFonts w:ascii="Arial" w:hAnsi="Arial" w:cs="Arial"/>
          <w:spacing w:val="-1"/>
          <w:sz w:val="20"/>
          <w:szCs w:val="20"/>
        </w:rPr>
        <w:t xml:space="preserve"> </w:t>
      </w:r>
      <w:r w:rsidRPr="005827DA">
        <w:rPr>
          <w:rFonts w:ascii="Arial" w:hAnsi="Arial" w:cs="Arial"/>
          <w:sz w:val="20"/>
          <w:szCs w:val="20"/>
        </w:rPr>
        <w:t>available</w:t>
      </w:r>
      <w:r w:rsidRPr="005827DA">
        <w:rPr>
          <w:rFonts w:ascii="Arial" w:hAnsi="Arial" w:cs="Arial"/>
          <w:spacing w:val="-2"/>
          <w:sz w:val="20"/>
          <w:szCs w:val="20"/>
        </w:rPr>
        <w:t xml:space="preserve"> </w:t>
      </w:r>
      <w:r w:rsidRPr="005827DA">
        <w:rPr>
          <w:rFonts w:ascii="Arial" w:hAnsi="Arial" w:cs="Arial"/>
          <w:sz w:val="20"/>
          <w:szCs w:val="20"/>
        </w:rPr>
        <w:t>means;</w:t>
      </w:r>
    </w:p>
    <w:p w14:paraId="22BB5FFD" w14:textId="77777777" w:rsidR="00F20810" w:rsidRPr="005827DA" w:rsidRDefault="00F20810" w:rsidP="005827DA">
      <w:pPr>
        <w:pStyle w:val="ListParagraph"/>
        <w:numPr>
          <w:ilvl w:val="1"/>
          <w:numId w:val="247"/>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use</w:t>
      </w:r>
      <w:r w:rsidRPr="005827DA">
        <w:rPr>
          <w:rFonts w:ascii="Arial" w:hAnsi="Arial" w:cs="Arial"/>
          <w:spacing w:val="-3"/>
          <w:sz w:val="20"/>
          <w:szCs w:val="20"/>
        </w:rPr>
        <w:t xml:space="preserve"> </w:t>
      </w:r>
      <w:r w:rsidRPr="005827DA">
        <w:rPr>
          <w:rFonts w:ascii="Arial" w:hAnsi="Arial" w:cs="Arial"/>
          <w:sz w:val="20"/>
          <w:szCs w:val="20"/>
        </w:rPr>
        <w:t>of parachute;</w:t>
      </w:r>
    </w:p>
    <w:p w14:paraId="095E1F91" w14:textId="77777777" w:rsidR="00F20810" w:rsidRPr="005827DA" w:rsidRDefault="00F20810" w:rsidP="005827DA">
      <w:pPr>
        <w:pStyle w:val="ListParagraph"/>
        <w:numPr>
          <w:ilvl w:val="1"/>
          <w:numId w:val="247"/>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use</w:t>
      </w:r>
      <w:r w:rsidRPr="005827DA">
        <w:rPr>
          <w:rFonts w:ascii="Arial" w:hAnsi="Arial" w:cs="Arial"/>
          <w:spacing w:val="-3"/>
          <w:sz w:val="20"/>
          <w:szCs w:val="20"/>
        </w:rPr>
        <w:t xml:space="preserve"> </w:t>
      </w:r>
      <w:r w:rsidRPr="005827DA">
        <w:rPr>
          <w:rFonts w:ascii="Arial" w:hAnsi="Arial" w:cs="Arial"/>
          <w:sz w:val="20"/>
          <w:szCs w:val="20"/>
        </w:rPr>
        <w:t>of</w:t>
      </w:r>
      <w:r w:rsidRPr="005827DA">
        <w:rPr>
          <w:rFonts w:ascii="Arial" w:hAnsi="Arial" w:cs="Arial"/>
          <w:spacing w:val="-4"/>
          <w:sz w:val="20"/>
          <w:szCs w:val="20"/>
        </w:rPr>
        <w:t xml:space="preserve"> </w:t>
      </w:r>
      <w:r w:rsidRPr="005827DA">
        <w:rPr>
          <w:rFonts w:ascii="Arial" w:hAnsi="Arial" w:cs="Arial"/>
          <w:sz w:val="20"/>
          <w:szCs w:val="20"/>
        </w:rPr>
        <w:t>turning</w:t>
      </w:r>
      <w:r w:rsidRPr="005827DA">
        <w:rPr>
          <w:rFonts w:ascii="Arial" w:hAnsi="Arial" w:cs="Arial"/>
          <w:spacing w:val="-2"/>
          <w:sz w:val="20"/>
          <w:szCs w:val="20"/>
        </w:rPr>
        <w:t xml:space="preserve"> </w:t>
      </w:r>
      <w:r w:rsidRPr="005827DA">
        <w:rPr>
          <w:rFonts w:ascii="Arial" w:hAnsi="Arial" w:cs="Arial"/>
          <w:sz w:val="20"/>
          <w:szCs w:val="20"/>
        </w:rPr>
        <w:t>vents,</w:t>
      </w:r>
      <w:r w:rsidRPr="005827DA">
        <w:rPr>
          <w:rFonts w:ascii="Arial" w:hAnsi="Arial" w:cs="Arial"/>
          <w:spacing w:val="-1"/>
          <w:sz w:val="20"/>
          <w:szCs w:val="20"/>
        </w:rPr>
        <w:t xml:space="preserve"> </w:t>
      </w:r>
      <w:r w:rsidRPr="005827DA">
        <w:rPr>
          <w:rFonts w:ascii="Arial" w:hAnsi="Arial" w:cs="Arial"/>
          <w:sz w:val="20"/>
          <w:szCs w:val="20"/>
        </w:rPr>
        <w:t>if</w:t>
      </w:r>
      <w:r w:rsidRPr="005827DA">
        <w:rPr>
          <w:rFonts w:ascii="Arial" w:hAnsi="Arial" w:cs="Arial"/>
          <w:spacing w:val="-2"/>
          <w:sz w:val="20"/>
          <w:szCs w:val="20"/>
        </w:rPr>
        <w:t xml:space="preserve"> </w:t>
      </w:r>
      <w:r w:rsidRPr="005827DA">
        <w:rPr>
          <w:rFonts w:ascii="Arial" w:hAnsi="Arial" w:cs="Arial"/>
          <w:sz w:val="20"/>
          <w:szCs w:val="20"/>
        </w:rPr>
        <w:t>installed</w:t>
      </w:r>
      <w:r w:rsidRPr="005827DA">
        <w:rPr>
          <w:rFonts w:ascii="Arial" w:hAnsi="Arial" w:cs="Arial"/>
          <w:spacing w:val="-2"/>
          <w:sz w:val="20"/>
          <w:szCs w:val="20"/>
        </w:rPr>
        <w:t xml:space="preserve"> </w:t>
      </w:r>
      <w:r w:rsidRPr="005827DA">
        <w:rPr>
          <w:rFonts w:ascii="Arial" w:hAnsi="Arial" w:cs="Arial"/>
          <w:sz w:val="20"/>
          <w:szCs w:val="20"/>
        </w:rPr>
        <w:t>(hot-air</w:t>
      </w:r>
      <w:r w:rsidRPr="005827DA">
        <w:rPr>
          <w:rFonts w:ascii="Arial" w:hAnsi="Arial" w:cs="Arial"/>
          <w:spacing w:val="-2"/>
          <w:sz w:val="20"/>
          <w:szCs w:val="20"/>
        </w:rPr>
        <w:t xml:space="preserve"> </w:t>
      </w:r>
      <w:r w:rsidRPr="005827DA">
        <w:rPr>
          <w:rFonts w:ascii="Arial" w:hAnsi="Arial" w:cs="Arial"/>
          <w:sz w:val="20"/>
          <w:szCs w:val="20"/>
        </w:rPr>
        <w:t>balloons);</w:t>
      </w:r>
    </w:p>
    <w:p w14:paraId="7AEDA90E" w14:textId="77777777" w:rsidR="00F20810" w:rsidRPr="005827DA" w:rsidRDefault="00F20810" w:rsidP="005827DA">
      <w:pPr>
        <w:pStyle w:val="ListParagraph"/>
        <w:numPr>
          <w:ilvl w:val="1"/>
          <w:numId w:val="247"/>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3"/>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advise</w:t>
      </w:r>
      <w:r w:rsidRPr="005827DA">
        <w:rPr>
          <w:rFonts w:ascii="Arial" w:hAnsi="Arial" w:cs="Arial"/>
          <w:spacing w:val="-3"/>
          <w:sz w:val="20"/>
          <w:szCs w:val="20"/>
        </w:rPr>
        <w:t xml:space="preserve"> </w:t>
      </w: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student</w:t>
      </w:r>
      <w:r w:rsidRPr="005827DA">
        <w:rPr>
          <w:rFonts w:ascii="Arial" w:hAnsi="Arial" w:cs="Arial"/>
          <w:spacing w:val="-3"/>
          <w:sz w:val="20"/>
          <w:szCs w:val="20"/>
        </w:rPr>
        <w:t xml:space="preserve"> </w:t>
      </w:r>
      <w:r w:rsidRPr="005827DA">
        <w:rPr>
          <w:rFonts w:ascii="Arial" w:hAnsi="Arial" w:cs="Arial"/>
          <w:sz w:val="20"/>
          <w:szCs w:val="20"/>
        </w:rPr>
        <w:t>pilot to perform</w:t>
      </w:r>
      <w:r w:rsidRPr="005827DA">
        <w:rPr>
          <w:rFonts w:ascii="Arial" w:hAnsi="Arial" w:cs="Arial"/>
          <w:spacing w:val="-1"/>
          <w:sz w:val="20"/>
          <w:szCs w:val="20"/>
        </w:rPr>
        <w:t xml:space="preserve"> </w:t>
      </w: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level</w:t>
      </w:r>
      <w:r w:rsidRPr="005827DA">
        <w:rPr>
          <w:rFonts w:ascii="Arial" w:hAnsi="Arial" w:cs="Arial"/>
          <w:spacing w:val="-3"/>
          <w:sz w:val="20"/>
          <w:szCs w:val="20"/>
        </w:rPr>
        <w:t xml:space="preserve"> </w:t>
      </w:r>
      <w:r w:rsidRPr="005827DA">
        <w:rPr>
          <w:rFonts w:ascii="Arial" w:hAnsi="Arial" w:cs="Arial"/>
          <w:sz w:val="20"/>
          <w:szCs w:val="20"/>
        </w:rPr>
        <w:t>flight;</w:t>
      </w:r>
      <w:r w:rsidRPr="005827DA">
        <w:rPr>
          <w:rFonts w:ascii="Arial" w:hAnsi="Arial" w:cs="Arial"/>
          <w:spacing w:val="1"/>
          <w:sz w:val="20"/>
          <w:szCs w:val="20"/>
        </w:rPr>
        <w:t xml:space="preserve"> </w:t>
      </w:r>
      <w:r w:rsidRPr="005827DA">
        <w:rPr>
          <w:rFonts w:ascii="Arial" w:hAnsi="Arial" w:cs="Arial"/>
          <w:sz w:val="20"/>
          <w:szCs w:val="20"/>
        </w:rPr>
        <w:t>and</w:t>
      </w:r>
    </w:p>
    <w:p w14:paraId="0A7B84D0" w14:textId="77777777" w:rsidR="00F20810" w:rsidRPr="005827DA" w:rsidRDefault="00F20810" w:rsidP="005827DA">
      <w:pPr>
        <w:pStyle w:val="ListParagraph"/>
        <w:numPr>
          <w:ilvl w:val="1"/>
          <w:numId w:val="247"/>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3"/>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analyse</w:t>
      </w:r>
      <w:r w:rsidRPr="005827DA">
        <w:rPr>
          <w:rFonts w:ascii="Arial" w:hAnsi="Arial" w:cs="Arial"/>
          <w:spacing w:val="-2"/>
          <w:sz w:val="20"/>
          <w:szCs w:val="20"/>
        </w:rPr>
        <w:t xml:space="preserve"> </w:t>
      </w:r>
      <w:r w:rsidRPr="005827DA">
        <w:rPr>
          <w:rFonts w:ascii="Arial" w:hAnsi="Arial" w:cs="Arial"/>
          <w:sz w:val="20"/>
          <w:szCs w:val="20"/>
        </w:rPr>
        <w:t>and</w:t>
      </w:r>
      <w:r w:rsidRPr="005827DA">
        <w:rPr>
          <w:rFonts w:ascii="Arial" w:hAnsi="Arial" w:cs="Arial"/>
          <w:spacing w:val="-3"/>
          <w:sz w:val="20"/>
          <w:szCs w:val="20"/>
        </w:rPr>
        <w:t xml:space="preserve"> </w:t>
      </w:r>
      <w:r w:rsidRPr="005827DA">
        <w:rPr>
          <w:rFonts w:ascii="Arial" w:hAnsi="Arial" w:cs="Arial"/>
          <w:sz w:val="20"/>
          <w:szCs w:val="20"/>
        </w:rPr>
        <w:t>correct</w:t>
      </w:r>
      <w:r w:rsidRPr="005827DA">
        <w:rPr>
          <w:rFonts w:ascii="Arial" w:hAnsi="Arial" w:cs="Arial"/>
          <w:spacing w:val="-5"/>
          <w:sz w:val="20"/>
          <w:szCs w:val="20"/>
        </w:rPr>
        <w:t xml:space="preserve"> </w:t>
      </w:r>
      <w:r w:rsidRPr="005827DA">
        <w:rPr>
          <w:rFonts w:ascii="Arial" w:hAnsi="Arial" w:cs="Arial"/>
          <w:sz w:val="20"/>
          <w:szCs w:val="20"/>
        </w:rPr>
        <w:t>faults</w:t>
      </w:r>
      <w:r w:rsidRPr="005827DA">
        <w:rPr>
          <w:rFonts w:ascii="Arial" w:hAnsi="Arial" w:cs="Arial"/>
          <w:spacing w:val="-2"/>
          <w:sz w:val="20"/>
          <w:szCs w:val="20"/>
        </w:rPr>
        <w:t xml:space="preserve"> </w:t>
      </w:r>
      <w:r w:rsidRPr="005827DA">
        <w:rPr>
          <w:rFonts w:ascii="Arial" w:hAnsi="Arial" w:cs="Arial"/>
          <w:sz w:val="20"/>
          <w:szCs w:val="20"/>
        </w:rPr>
        <w:t>or</w:t>
      </w:r>
      <w:r w:rsidRPr="005827DA">
        <w:rPr>
          <w:rFonts w:ascii="Arial" w:hAnsi="Arial" w:cs="Arial"/>
          <w:spacing w:val="-2"/>
          <w:sz w:val="20"/>
          <w:szCs w:val="20"/>
        </w:rPr>
        <w:t xml:space="preserve"> </w:t>
      </w:r>
      <w:r w:rsidRPr="005827DA">
        <w:rPr>
          <w:rFonts w:ascii="Arial" w:hAnsi="Arial" w:cs="Arial"/>
          <w:sz w:val="20"/>
          <w:szCs w:val="20"/>
        </w:rPr>
        <w:t>errors</w:t>
      </w:r>
      <w:r w:rsidRPr="005827DA">
        <w:rPr>
          <w:rFonts w:ascii="Arial" w:hAnsi="Arial" w:cs="Arial"/>
          <w:spacing w:val="-5"/>
          <w:sz w:val="20"/>
          <w:szCs w:val="20"/>
        </w:rPr>
        <w:t xml:space="preserve"> </w:t>
      </w:r>
      <w:r w:rsidRPr="005827DA">
        <w:rPr>
          <w:rFonts w:ascii="Arial" w:hAnsi="Arial" w:cs="Arial"/>
          <w:sz w:val="20"/>
          <w:szCs w:val="20"/>
        </w:rPr>
        <w:t>of</w:t>
      </w:r>
      <w:r w:rsidRPr="005827DA">
        <w:rPr>
          <w:rFonts w:ascii="Arial" w:hAnsi="Arial" w:cs="Arial"/>
          <w:spacing w:val="-2"/>
          <w:sz w:val="20"/>
          <w:szCs w:val="20"/>
        </w:rPr>
        <w:t xml:space="preserve"> </w:t>
      </w:r>
      <w:r w:rsidRPr="005827DA">
        <w:rPr>
          <w:rFonts w:ascii="Arial" w:hAnsi="Arial" w:cs="Arial"/>
          <w:sz w:val="20"/>
          <w:szCs w:val="20"/>
        </w:rPr>
        <w:t>the</w:t>
      </w:r>
      <w:r w:rsidRPr="005827DA">
        <w:rPr>
          <w:rFonts w:ascii="Arial" w:hAnsi="Arial" w:cs="Arial"/>
          <w:spacing w:val="-3"/>
          <w:sz w:val="20"/>
          <w:szCs w:val="20"/>
        </w:rPr>
        <w:t xml:space="preserve"> </w:t>
      </w:r>
      <w:r w:rsidRPr="005827DA">
        <w:rPr>
          <w:rFonts w:ascii="Arial" w:hAnsi="Arial" w:cs="Arial"/>
          <w:sz w:val="20"/>
          <w:szCs w:val="20"/>
        </w:rPr>
        <w:t>student</w:t>
      </w:r>
      <w:r w:rsidRPr="005827DA">
        <w:rPr>
          <w:rFonts w:ascii="Arial" w:hAnsi="Arial" w:cs="Arial"/>
          <w:spacing w:val="-2"/>
          <w:sz w:val="20"/>
          <w:szCs w:val="20"/>
        </w:rPr>
        <w:t xml:space="preserve"> </w:t>
      </w:r>
      <w:r w:rsidRPr="005827DA">
        <w:rPr>
          <w:rFonts w:ascii="Arial" w:hAnsi="Arial" w:cs="Arial"/>
          <w:sz w:val="20"/>
          <w:szCs w:val="20"/>
        </w:rPr>
        <w:t>pilot</w:t>
      </w:r>
      <w:r w:rsidRPr="005827DA">
        <w:rPr>
          <w:rFonts w:ascii="Arial" w:hAnsi="Arial" w:cs="Arial"/>
          <w:spacing w:val="-2"/>
          <w:sz w:val="20"/>
          <w:szCs w:val="20"/>
        </w:rPr>
        <w:t xml:space="preserve"> </w:t>
      </w:r>
      <w:r w:rsidRPr="005827DA">
        <w:rPr>
          <w:rFonts w:ascii="Arial" w:hAnsi="Arial" w:cs="Arial"/>
          <w:sz w:val="20"/>
          <w:szCs w:val="20"/>
        </w:rPr>
        <w:t>during</w:t>
      </w:r>
      <w:r w:rsidRPr="005827DA">
        <w:rPr>
          <w:rFonts w:ascii="Arial" w:hAnsi="Arial" w:cs="Arial"/>
          <w:spacing w:val="-47"/>
          <w:sz w:val="20"/>
          <w:szCs w:val="20"/>
        </w:rPr>
        <w:t xml:space="preserve"> </w:t>
      </w: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level flight.</w:t>
      </w:r>
    </w:p>
    <w:p w14:paraId="62311334" w14:textId="15F333BD" w:rsidR="00F20810" w:rsidRPr="00A16E10" w:rsidRDefault="00F20810" w:rsidP="00A16E10">
      <w:pPr>
        <w:pStyle w:val="ListParagraph"/>
        <w:numPr>
          <w:ilvl w:val="0"/>
          <w:numId w:val="247"/>
        </w:numPr>
        <w:tabs>
          <w:tab w:val="left" w:pos="90"/>
          <w:tab w:val="left" w:pos="2408"/>
          <w:tab w:val="left" w:pos="2409"/>
        </w:tabs>
        <w:spacing w:line="276" w:lineRule="auto"/>
        <w:ind w:right="68" w:hanging="436"/>
        <w:jc w:val="both"/>
        <w:rPr>
          <w:rFonts w:ascii="Arial" w:hAnsi="Arial" w:cs="Arial"/>
          <w:sz w:val="20"/>
          <w:szCs w:val="20"/>
        </w:rPr>
      </w:pPr>
      <w:r w:rsidRPr="005827DA">
        <w:rPr>
          <w:rFonts w:ascii="Arial" w:hAnsi="Arial" w:cs="Arial"/>
          <w:sz w:val="20"/>
          <w:szCs w:val="20"/>
        </w:rPr>
        <w:t>Debriefing</w:t>
      </w:r>
    </w:p>
    <w:p w14:paraId="0FBA9879" w14:textId="77777777" w:rsidR="00F20810" w:rsidRPr="005827DA" w:rsidRDefault="00F20810" w:rsidP="005827DA">
      <w:pPr>
        <w:tabs>
          <w:tab w:val="left" w:pos="90"/>
        </w:tabs>
        <w:spacing w:line="276" w:lineRule="auto"/>
        <w:ind w:right="68" w:hanging="436"/>
        <w:jc w:val="both"/>
        <w:rPr>
          <w:rFonts w:ascii="Arial" w:eastAsia="Times New Roman" w:hAnsi="Arial" w:cs="Times New Roman"/>
          <w:b/>
          <w:bCs/>
          <w:sz w:val="20"/>
          <w:szCs w:val="20"/>
        </w:rPr>
      </w:pPr>
      <w:r w:rsidRPr="005827DA">
        <w:rPr>
          <w:rFonts w:ascii="Arial" w:eastAsia="Times New Roman" w:hAnsi="Arial" w:cs="Times New Roman"/>
          <w:b/>
          <w:bCs/>
          <w:sz w:val="20"/>
          <w:szCs w:val="20"/>
        </w:rPr>
        <w:t>Exercise 9: Descent to level flight</w:t>
      </w:r>
    </w:p>
    <w:p w14:paraId="047800A0" w14:textId="77777777" w:rsidR="00F20810" w:rsidRPr="005827DA" w:rsidRDefault="00F20810" w:rsidP="005827DA">
      <w:pPr>
        <w:pStyle w:val="ListParagraph"/>
        <w:numPr>
          <w:ilvl w:val="0"/>
          <w:numId w:val="249"/>
        </w:numPr>
        <w:tabs>
          <w:tab w:val="left" w:pos="90"/>
          <w:tab w:val="left" w:pos="2409"/>
        </w:tabs>
        <w:spacing w:line="276" w:lineRule="auto"/>
        <w:ind w:right="68" w:hanging="436"/>
        <w:jc w:val="both"/>
        <w:rPr>
          <w:rFonts w:ascii="Arial" w:hAnsi="Arial" w:cs="Arial"/>
          <w:sz w:val="20"/>
          <w:szCs w:val="20"/>
        </w:rPr>
      </w:pPr>
      <w:r w:rsidRPr="005827DA">
        <w:rPr>
          <w:rFonts w:ascii="Arial" w:hAnsi="Arial" w:cs="Arial"/>
          <w:sz w:val="20"/>
          <w:szCs w:val="20"/>
        </w:rPr>
        <w:t>Objective</w:t>
      </w:r>
    </w:p>
    <w:p w14:paraId="0ABCA31D" w14:textId="77777777" w:rsidR="00F20810" w:rsidRPr="005827DA" w:rsidRDefault="00F20810" w:rsidP="005827DA">
      <w:pPr>
        <w:pStyle w:val="BodyText"/>
        <w:tabs>
          <w:tab w:val="left" w:pos="90"/>
        </w:tabs>
        <w:spacing w:line="276" w:lineRule="auto"/>
        <w:ind w:left="2408" w:right="68" w:hanging="436"/>
        <w:jc w:val="both"/>
        <w:rPr>
          <w:rFonts w:ascii="Arial" w:hAnsi="Arial" w:cs="Arial"/>
          <w:sz w:val="20"/>
          <w:szCs w:val="20"/>
        </w:rPr>
      </w:pPr>
      <w:r w:rsidRPr="005827DA">
        <w:rPr>
          <w:rFonts w:ascii="Arial" w:hAnsi="Arial" w:cs="Arial"/>
          <w:sz w:val="20"/>
          <w:szCs w:val="20"/>
        </w:rPr>
        <w:t>To advise the student instructor on how to explain and demonstrate the</w:t>
      </w:r>
      <w:r w:rsidRPr="005827DA">
        <w:rPr>
          <w:rFonts w:ascii="Arial" w:hAnsi="Arial" w:cs="Arial"/>
          <w:spacing w:val="1"/>
          <w:sz w:val="20"/>
          <w:szCs w:val="20"/>
        </w:rPr>
        <w:t xml:space="preserve"> </w:t>
      </w:r>
      <w:r w:rsidRPr="005827DA">
        <w:rPr>
          <w:rFonts w:ascii="Arial" w:hAnsi="Arial" w:cs="Arial"/>
          <w:sz w:val="20"/>
          <w:szCs w:val="20"/>
        </w:rPr>
        <w:t>descent to a certain flight level. Furthermore, the student instructor should</w:t>
      </w:r>
      <w:r w:rsidRPr="005827DA">
        <w:rPr>
          <w:rFonts w:ascii="Arial" w:hAnsi="Arial" w:cs="Arial"/>
          <w:spacing w:val="-47"/>
          <w:sz w:val="20"/>
          <w:szCs w:val="20"/>
        </w:rPr>
        <w:t xml:space="preserve"> </w:t>
      </w:r>
      <w:r w:rsidRPr="005827DA">
        <w:rPr>
          <w:rFonts w:ascii="Arial" w:hAnsi="Arial" w:cs="Arial"/>
          <w:sz w:val="20"/>
          <w:szCs w:val="20"/>
        </w:rPr>
        <w:t>learn</w:t>
      </w:r>
      <w:r w:rsidRPr="005827DA">
        <w:rPr>
          <w:rFonts w:ascii="Arial" w:hAnsi="Arial" w:cs="Arial"/>
          <w:spacing w:val="-2"/>
          <w:sz w:val="20"/>
          <w:szCs w:val="20"/>
        </w:rPr>
        <w:t xml:space="preserve"> </w:t>
      </w:r>
      <w:r w:rsidRPr="005827DA">
        <w:rPr>
          <w:rFonts w:ascii="Arial" w:hAnsi="Arial" w:cs="Arial"/>
          <w:sz w:val="20"/>
          <w:szCs w:val="20"/>
        </w:rPr>
        <w:t>how to</w:t>
      </w:r>
      <w:r w:rsidRPr="005827DA">
        <w:rPr>
          <w:rFonts w:ascii="Arial" w:hAnsi="Arial" w:cs="Arial"/>
          <w:spacing w:val="1"/>
          <w:sz w:val="20"/>
          <w:szCs w:val="20"/>
        </w:rPr>
        <w:t xml:space="preserve"> </w:t>
      </w:r>
      <w:r w:rsidRPr="005827DA">
        <w:rPr>
          <w:rFonts w:ascii="Arial" w:hAnsi="Arial" w:cs="Arial"/>
          <w:sz w:val="20"/>
          <w:szCs w:val="20"/>
        </w:rPr>
        <w:t>identify</w:t>
      </w:r>
      <w:r w:rsidRPr="005827DA">
        <w:rPr>
          <w:rFonts w:ascii="Arial" w:hAnsi="Arial" w:cs="Arial"/>
          <w:spacing w:val="-1"/>
          <w:sz w:val="20"/>
          <w:szCs w:val="20"/>
        </w:rPr>
        <w:t xml:space="preserve"> </w:t>
      </w:r>
      <w:r w:rsidRPr="005827DA">
        <w:rPr>
          <w:rFonts w:ascii="Arial" w:hAnsi="Arial" w:cs="Arial"/>
          <w:sz w:val="20"/>
          <w:szCs w:val="20"/>
        </w:rPr>
        <w:t>student</w:t>
      </w:r>
      <w:r w:rsidRPr="005827DA">
        <w:rPr>
          <w:rFonts w:ascii="Arial" w:hAnsi="Arial" w:cs="Arial"/>
          <w:spacing w:val="-1"/>
          <w:sz w:val="20"/>
          <w:szCs w:val="20"/>
        </w:rPr>
        <w:t xml:space="preserve"> </w:t>
      </w:r>
      <w:r w:rsidRPr="005827DA">
        <w:rPr>
          <w:rFonts w:ascii="Arial" w:hAnsi="Arial" w:cs="Arial"/>
          <w:sz w:val="20"/>
          <w:szCs w:val="20"/>
        </w:rPr>
        <w:t>errors and</w:t>
      </w:r>
      <w:r w:rsidRPr="005827DA">
        <w:rPr>
          <w:rFonts w:ascii="Arial" w:hAnsi="Arial" w:cs="Arial"/>
          <w:spacing w:val="-3"/>
          <w:sz w:val="20"/>
          <w:szCs w:val="20"/>
        </w:rPr>
        <w:t xml:space="preserve"> </w:t>
      </w:r>
      <w:r w:rsidRPr="005827DA">
        <w:rPr>
          <w:rFonts w:ascii="Arial" w:hAnsi="Arial" w:cs="Arial"/>
          <w:sz w:val="20"/>
          <w:szCs w:val="20"/>
        </w:rPr>
        <w:t>how</w:t>
      </w:r>
      <w:r w:rsidRPr="005827DA">
        <w:rPr>
          <w:rFonts w:ascii="Arial" w:hAnsi="Arial" w:cs="Arial"/>
          <w:spacing w:val="-3"/>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correct them properly.</w:t>
      </w:r>
    </w:p>
    <w:p w14:paraId="01CA50BA" w14:textId="77777777" w:rsidR="00F20810" w:rsidRPr="005827DA" w:rsidRDefault="00F20810" w:rsidP="005827DA">
      <w:pPr>
        <w:pStyle w:val="ListParagraph"/>
        <w:numPr>
          <w:ilvl w:val="0"/>
          <w:numId w:val="249"/>
        </w:numPr>
        <w:tabs>
          <w:tab w:val="left" w:pos="90"/>
          <w:tab w:val="left" w:pos="2409"/>
        </w:tabs>
        <w:spacing w:before="121" w:line="276" w:lineRule="auto"/>
        <w:ind w:right="68" w:hanging="436"/>
        <w:jc w:val="both"/>
        <w:rPr>
          <w:rFonts w:ascii="Arial" w:hAnsi="Arial" w:cs="Arial"/>
          <w:sz w:val="20"/>
          <w:szCs w:val="20"/>
        </w:rPr>
      </w:pPr>
      <w:r w:rsidRPr="005827DA">
        <w:rPr>
          <w:rFonts w:ascii="Arial" w:hAnsi="Arial" w:cs="Arial"/>
          <w:sz w:val="20"/>
          <w:szCs w:val="20"/>
        </w:rPr>
        <w:t>Briefing</w:t>
      </w:r>
    </w:p>
    <w:p w14:paraId="4987A418" w14:textId="77777777" w:rsidR="00F20810" w:rsidRPr="005827DA" w:rsidRDefault="00F20810" w:rsidP="005827DA">
      <w:pPr>
        <w:pStyle w:val="BodyText"/>
        <w:tabs>
          <w:tab w:val="left" w:pos="90"/>
        </w:tabs>
        <w:spacing w:before="121" w:line="276" w:lineRule="auto"/>
        <w:ind w:left="2408"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student</w:t>
      </w:r>
      <w:r w:rsidRPr="005827DA">
        <w:rPr>
          <w:rFonts w:ascii="Arial" w:hAnsi="Arial" w:cs="Arial"/>
          <w:spacing w:val="-2"/>
          <w:sz w:val="20"/>
          <w:szCs w:val="20"/>
        </w:rPr>
        <w:t xml:space="preserve"> </w:t>
      </w:r>
      <w:r w:rsidRPr="005827DA">
        <w:rPr>
          <w:rFonts w:ascii="Arial" w:hAnsi="Arial" w:cs="Arial"/>
          <w:sz w:val="20"/>
          <w:szCs w:val="20"/>
        </w:rPr>
        <w:t>instructor</w:t>
      </w:r>
      <w:r w:rsidRPr="005827DA">
        <w:rPr>
          <w:rFonts w:ascii="Arial" w:hAnsi="Arial" w:cs="Arial"/>
          <w:spacing w:val="-1"/>
          <w:sz w:val="20"/>
          <w:szCs w:val="20"/>
        </w:rPr>
        <w:t xml:space="preserve"> </w:t>
      </w:r>
      <w:r w:rsidRPr="005827DA">
        <w:rPr>
          <w:rFonts w:ascii="Arial" w:hAnsi="Arial" w:cs="Arial"/>
          <w:sz w:val="20"/>
          <w:szCs w:val="20"/>
        </w:rPr>
        <w:t>has</w:t>
      </w:r>
      <w:r w:rsidRPr="005827DA">
        <w:rPr>
          <w:rFonts w:ascii="Arial" w:hAnsi="Arial" w:cs="Arial"/>
          <w:spacing w:val="-5"/>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explain:</w:t>
      </w:r>
    </w:p>
    <w:p w14:paraId="73AF1338" w14:textId="77777777" w:rsidR="00F20810" w:rsidRPr="005827DA" w:rsidRDefault="00F20810" w:rsidP="005827DA">
      <w:pPr>
        <w:pStyle w:val="ListParagraph"/>
        <w:numPr>
          <w:ilvl w:val="1"/>
          <w:numId w:val="249"/>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3"/>
          <w:sz w:val="20"/>
          <w:szCs w:val="20"/>
        </w:rPr>
        <w:t xml:space="preserve"> </w:t>
      </w:r>
      <w:r w:rsidRPr="005827DA">
        <w:rPr>
          <w:rFonts w:ascii="Arial" w:hAnsi="Arial" w:cs="Arial"/>
          <w:sz w:val="20"/>
          <w:szCs w:val="20"/>
        </w:rPr>
        <w:t>to descend</w:t>
      </w:r>
      <w:r w:rsidRPr="005827DA">
        <w:rPr>
          <w:rFonts w:ascii="Arial" w:hAnsi="Arial" w:cs="Arial"/>
          <w:spacing w:val="-4"/>
          <w:sz w:val="20"/>
          <w:szCs w:val="20"/>
        </w:rPr>
        <w:t xml:space="preserve"> </w:t>
      </w:r>
      <w:r w:rsidRPr="005827DA">
        <w:rPr>
          <w:rFonts w:ascii="Arial" w:hAnsi="Arial" w:cs="Arial"/>
          <w:sz w:val="20"/>
          <w:szCs w:val="20"/>
        </w:rPr>
        <w:t>with a</w:t>
      </w:r>
      <w:r w:rsidRPr="005827DA">
        <w:rPr>
          <w:rFonts w:ascii="Arial" w:hAnsi="Arial" w:cs="Arial"/>
          <w:spacing w:val="-4"/>
          <w:sz w:val="20"/>
          <w:szCs w:val="20"/>
        </w:rPr>
        <w:t xml:space="preserve"> </w:t>
      </w:r>
      <w:r w:rsidRPr="005827DA">
        <w:rPr>
          <w:rFonts w:ascii="Arial" w:hAnsi="Arial" w:cs="Arial"/>
          <w:sz w:val="20"/>
          <w:szCs w:val="20"/>
        </w:rPr>
        <w:t>predetermined</w:t>
      </w:r>
      <w:r w:rsidRPr="005827DA">
        <w:rPr>
          <w:rFonts w:ascii="Arial" w:hAnsi="Arial" w:cs="Arial"/>
          <w:spacing w:val="-1"/>
          <w:sz w:val="20"/>
          <w:szCs w:val="20"/>
        </w:rPr>
        <w:t xml:space="preserve"> </w:t>
      </w:r>
      <w:r w:rsidRPr="005827DA">
        <w:rPr>
          <w:rFonts w:ascii="Arial" w:hAnsi="Arial" w:cs="Arial"/>
          <w:sz w:val="20"/>
          <w:szCs w:val="20"/>
        </w:rPr>
        <w:t>rate</w:t>
      </w:r>
      <w:r w:rsidRPr="005827DA">
        <w:rPr>
          <w:rFonts w:ascii="Arial" w:hAnsi="Arial" w:cs="Arial"/>
          <w:spacing w:val="-2"/>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descent;</w:t>
      </w:r>
    </w:p>
    <w:p w14:paraId="1E814EC5" w14:textId="77777777" w:rsidR="00F20810" w:rsidRPr="005827DA" w:rsidRDefault="00F20810" w:rsidP="005827DA">
      <w:pPr>
        <w:pStyle w:val="ListParagraph"/>
        <w:numPr>
          <w:ilvl w:val="1"/>
          <w:numId w:val="249"/>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a</w:t>
      </w:r>
      <w:r w:rsidRPr="005827DA">
        <w:rPr>
          <w:rFonts w:ascii="Arial" w:hAnsi="Arial" w:cs="Arial"/>
          <w:spacing w:val="-2"/>
          <w:sz w:val="20"/>
          <w:szCs w:val="20"/>
        </w:rPr>
        <w:t xml:space="preserve"> </w:t>
      </w:r>
      <w:r w:rsidRPr="005827DA">
        <w:rPr>
          <w:rFonts w:ascii="Arial" w:hAnsi="Arial" w:cs="Arial"/>
          <w:sz w:val="20"/>
          <w:szCs w:val="20"/>
        </w:rPr>
        <w:t>fast</w:t>
      </w:r>
      <w:r w:rsidRPr="005827DA">
        <w:rPr>
          <w:rFonts w:ascii="Arial" w:hAnsi="Arial" w:cs="Arial"/>
          <w:spacing w:val="-2"/>
          <w:sz w:val="20"/>
          <w:szCs w:val="20"/>
        </w:rPr>
        <w:t xml:space="preserve"> </w:t>
      </w:r>
      <w:r w:rsidRPr="005827DA">
        <w:rPr>
          <w:rFonts w:ascii="Arial" w:hAnsi="Arial" w:cs="Arial"/>
          <w:sz w:val="20"/>
          <w:szCs w:val="20"/>
        </w:rPr>
        <w:t>descent;</w:t>
      </w:r>
    </w:p>
    <w:p w14:paraId="61B7A61E" w14:textId="77777777" w:rsidR="00F20810" w:rsidRPr="005827DA" w:rsidRDefault="00F20810" w:rsidP="005827DA">
      <w:pPr>
        <w:pStyle w:val="ListParagraph"/>
        <w:numPr>
          <w:ilvl w:val="1"/>
          <w:numId w:val="249"/>
        </w:numPr>
        <w:tabs>
          <w:tab w:val="left" w:pos="90"/>
          <w:tab w:val="left" w:pos="2975"/>
          <w:tab w:val="left" w:pos="2976"/>
        </w:tabs>
        <w:spacing w:before="118"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9"/>
          <w:sz w:val="20"/>
          <w:szCs w:val="20"/>
        </w:rPr>
        <w:t xml:space="preserve"> </w:t>
      </w:r>
      <w:r w:rsidRPr="005827DA">
        <w:rPr>
          <w:rFonts w:ascii="Arial" w:hAnsi="Arial" w:cs="Arial"/>
          <w:sz w:val="20"/>
          <w:szCs w:val="20"/>
        </w:rPr>
        <w:t>maximum</w:t>
      </w:r>
      <w:r w:rsidRPr="005827DA">
        <w:rPr>
          <w:rFonts w:ascii="Arial" w:hAnsi="Arial" w:cs="Arial"/>
          <w:spacing w:val="11"/>
          <w:sz w:val="20"/>
          <w:szCs w:val="20"/>
        </w:rPr>
        <w:t xml:space="preserve"> </w:t>
      </w:r>
      <w:r w:rsidRPr="005827DA">
        <w:rPr>
          <w:rFonts w:ascii="Arial" w:hAnsi="Arial" w:cs="Arial"/>
          <w:sz w:val="20"/>
          <w:szCs w:val="20"/>
        </w:rPr>
        <w:t>rate</w:t>
      </w:r>
      <w:r w:rsidRPr="005827DA">
        <w:rPr>
          <w:rFonts w:ascii="Arial" w:hAnsi="Arial" w:cs="Arial"/>
          <w:spacing w:val="8"/>
          <w:sz w:val="20"/>
          <w:szCs w:val="20"/>
        </w:rPr>
        <w:t xml:space="preserve"> </w:t>
      </w:r>
      <w:r w:rsidRPr="005827DA">
        <w:rPr>
          <w:rFonts w:ascii="Arial" w:hAnsi="Arial" w:cs="Arial"/>
          <w:sz w:val="20"/>
          <w:szCs w:val="20"/>
        </w:rPr>
        <w:t>of</w:t>
      </w:r>
      <w:r w:rsidRPr="005827DA">
        <w:rPr>
          <w:rFonts w:ascii="Arial" w:hAnsi="Arial" w:cs="Arial"/>
          <w:spacing w:val="10"/>
          <w:sz w:val="20"/>
          <w:szCs w:val="20"/>
        </w:rPr>
        <w:t xml:space="preserve"> </w:t>
      </w:r>
      <w:r w:rsidRPr="005827DA">
        <w:rPr>
          <w:rFonts w:ascii="Arial" w:hAnsi="Arial" w:cs="Arial"/>
          <w:sz w:val="20"/>
          <w:szCs w:val="20"/>
        </w:rPr>
        <w:t>descent</w:t>
      </w:r>
      <w:r w:rsidRPr="005827DA">
        <w:rPr>
          <w:rFonts w:ascii="Arial" w:hAnsi="Arial" w:cs="Arial"/>
          <w:spacing w:val="10"/>
          <w:sz w:val="20"/>
          <w:szCs w:val="20"/>
        </w:rPr>
        <w:t xml:space="preserve"> </w:t>
      </w:r>
      <w:r w:rsidRPr="005827DA">
        <w:rPr>
          <w:rFonts w:ascii="Arial" w:hAnsi="Arial" w:cs="Arial"/>
          <w:sz w:val="20"/>
          <w:szCs w:val="20"/>
        </w:rPr>
        <w:t>according</w:t>
      </w:r>
      <w:r w:rsidRPr="005827DA">
        <w:rPr>
          <w:rFonts w:ascii="Arial" w:hAnsi="Arial" w:cs="Arial"/>
          <w:spacing w:val="9"/>
          <w:sz w:val="20"/>
          <w:szCs w:val="20"/>
        </w:rPr>
        <w:t xml:space="preserve"> </w:t>
      </w:r>
      <w:r w:rsidRPr="005827DA">
        <w:rPr>
          <w:rFonts w:ascii="Arial" w:hAnsi="Arial" w:cs="Arial"/>
          <w:sz w:val="20"/>
          <w:szCs w:val="20"/>
        </w:rPr>
        <w:t>to</w:t>
      </w:r>
      <w:r w:rsidRPr="005827DA">
        <w:rPr>
          <w:rFonts w:ascii="Arial" w:hAnsi="Arial" w:cs="Arial"/>
          <w:spacing w:val="11"/>
          <w:sz w:val="20"/>
          <w:szCs w:val="20"/>
        </w:rPr>
        <w:t xml:space="preserve"> </w:t>
      </w:r>
      <w:r w:rsidRPr="005827DA">
        <w:rPr>
          <w:rFonts w:ascii="Arial" w:hAnsi="Arial" w:cs="Arial"/>
          <w:sz w:val="20"/>
          <w:szCs w:val="20"/>
        </w:rPr>
        <w:t>the</w:t>
      </w:r>
      <w:r w:rsidRPr="005827DA">
        <w:rPr>
          <w:rFonts w:ascii="Arial" w:hAnsi="Arial" w:cs="Arial"/>
          <w:spacing w:val="8"/>
          <w:sz w:val="20"/>
          <w:szCs w:val="20"/>
        </w:rPr>
        <w:t xml:space="preserve"> </w:t>
      </w:r>
      <w:r w:rsidRPr="005827DA">
        <w:rPr>
          <w:rFonts w:ascii="Arial" w:hAnsi="Arial" w:cs="Arial"/>
          <w:sz w:val="20"/>
          <w:szCs w:val="20"/>
        </w:rPr>
        <w:t>manufacturer’s</w:t>
      </w:r>
      <w:r w:rsidRPr="005827DA">
        <w:rPr>
          <w:rFonts w:ascii="Arial" w:hAnsi="Arial" w:cs="Arial"/>
          <w:spacing w:val="10"/>
          <w:sz w:val="20"/>
          <w:szCs w:val="20"/>
        </w:rPr>
        <w:t xml:space="preserve"> </w:t>
      </w:r>
      <w:r w:rsidRPr="005827DA">
        <w:rPr>
          <w:rFonts w:ascii="Arial" w:hAnsi="Arial" w:cs="Arial"/>
          <w:sz w:val="20"/>
          <w:szCs w:val="20"/>
        </w:rPr>
        <w:t>flight</w:t>
      </w:r>
      <w:r w:rsidRPr="005827DA">
        <w:rPr>
          <w:rFonts w:ascii="Arial" w:hAnsi="Arial" w:cs="Arial"/>
          <w:spacing w:val="-47"/>
          <w:sz w:val="20"/>
          <w:szCs w:val="20"/>
        </w:rPr>
        <w:t xml:space="preserve"> </w:t>
      </w:r>
      <w:r w:rsidRPr="005827DA">
        <w:rPr>
          <w:rFonts w:ascii="Arial" w:hAnsi="Arial" w:cs="Arial"/>
          <w:sz w:val="20"/>
          <w:szCs w:val="20"/>
        </w:rPr>
        <w:t>manual;</w:t>
      </w:r>
    </w:p>
    <w:p w14:paraId="5D6CC2D6" w14:textId="77777777" w:rsidR="00F20810" w:rsidRPr="005827DA" w:rsidRDefault="00F20810" w:rsidP="005827DA">
      <w:pPr>
        <w:pStyle w:val="ListParagraph"/>
        <w:numPr>
          <w:ilvl w:val="1"/>
          <w:numId w:val="249"/>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use</w:t>
      </w:r>
      <w:r w:rsidRPr="005827DA">
        <w:rPr>
          <w:rFonts w:ascii="Arial" w:hAnsi="Arial" w:cs="Arial"/>
          <w:spacing w:val="-3"/>
          <w:sz w:val="20"/>
          <w:szCs w:val="20"/>
        </w:rPr>
        <w:t xml:space="preserve"> </w:t>
      </w:r>
      <w:r w:rsidRPr="005827DA">
        <w:rPr>
          <w:rFonts w:ascii="Arial" w:hAnsi="Arial" w:cs="Arial"/>
          <w:sz w:val="20"/>
          <w:szCs w:val="20"/>
        </w:rPr>
        <w:t>of parachute;</w:t>
      </w:r>
    </w:p>
    <w:p w14:paraId="307B61D6" w14:textId="77777777" w:rsidR="00F20810" w:rsidRPr="005827DA" w:rsidRDefault="00F20810" w:rsidP="005827DA">
      <w:pPr>
        <w:pStyle w:val="ListParagraph"/>
        <w:numPr>
          <w:ilvl w:val="1"/>
          <w:numId w:val="249"/>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a</w:t>
      </w:r>
      <w:r w:rsidRPr="005827DA">
        <w:rPr>
          <w:rFonts w:ascii="Arial" w:hAnsi="Arial" w:cs="Arial"/>
          <w:spacing w:val="-1"/>
          <w:sz w:val="20"/>
          <w:szCs w:val="20"/>
        </w:rPr>
        <w:t xml:space="preserve"> </w:t>
      </w:r>
      <w:r w:rsidRPr="005827DA">
        <w:rPr>
          <w:rFonts w:ascii="Arial" w:hAnsi="Arial" w:cs="Arial"/>
          <w:sz w:val="20"/>
          <w:szCs w:val="20"/>
        </w:rPr>
        <w:t>parachute stall</w:t>
      </w:r>
      <w:r w:rsidRPr="005827DA">
        <w:rPr>
          <w:rFonts w:ascii="Arial" w:hAnsi="Arial" w:cs="Arial"/>
          <w:spacing w:val="-1"/>
          <w:sz w:val="20"/>
          <w:szCs w:val="20"/>
        </w:rPr>
        <w:t xml:space="preserve"> </w:t>
      </w:r>
      <w:r w:rsidRPr="005827DA">
        <w:rPr>
          <w:rFonts w:ascii="Arial" w:hAnsi="Arial" w:cs="Arial"/>
          <w:sz w:val="20"/>
          <w:szCs w:val="20"/>
        </w:rPr>
        <w:t>and</w:t>
      </w:r>
      <w:r w:rsidRPr="005827DA">
        <w:rPr>
          <w:rFonts w:ascii="Arial" w:hAnsi="Arial" w:cs="Arial"/>
          <w:spacing w:val="-1"/>
          <w:sz w:val="20"/>
          <w:szCs w:val="20"/>
        </w:rPr>
        <w:t xml:space="preserve"> </w:t>
      </w:r>
      <w:r w:rsidRPr="005827DA">
        <w:rPr>
          <w:rFonts w:ascii="Arial" w:hAnsi="Arial" w:cs="Arial"/>
          <w:sz w:val="20"/>
          <w:szCs w:val="20"/>
        </w:rPr>
        <w:t>cold</w:t>
      </w:r>
      <w:r w:rsidRPr="005827DA">
        <w:rPr>
          <w:rFonts w:ascii="Arial" w:hAnsi="Arial" w:cs="Arial"/>
          <w:spacing w:val="-4"/>
          <w:sz w:val="20"/>
          <w:szCs w:val="20"/>
        </w:rPr>
        <w:t xml:space="preserve"> </w:t>
      </w:r>
      <w:r w:rsidRPr="005827DA">
        <w:rPr>
          <w:rFonts w:ascii="Arial" w:hAnsi="Arial" w:cs="Arial"/>
          <w:sz w:val="20"/>
          <w:szCs w:val="20"/>
        </w:rPr>
        <w:t>descent</w:t>
      </w:r>
      <w:r w:rsidRPr="005827DA">
        <w:rPr>
          <w:rFonts w:ascii="Arial" w:hAnsi="Arial" w:cs="Arial"/>
          <w:spacing w:val="-2"/>
          <w:sz w:val="20"/>
          <w:szCs w:val="20"/>
        </w:rPr>
        <w:t xml:space="preserve"> </w:t>
      </w:r>
      <w:r w:rsidRPr="005827DA">
        <w:rPr>
          <w:rFonts w:ascii="Arial" w:hAnsi="Arial" w:cs="Arial"/>
          <w:sz w:val="20"/>
          <w:szCs w:val="20"/>
        </w:rPr>
        <w:t>(hot-air</w:t>
      </w:r>
      <w:r w:rsidRPr="005827DA">
        <w:rPr>
          <w:rFonts w:ascii="Arial" w:hAnsi="Arial" w:cs="Arial"/>
          <w:spacing w:val="-4"/>
          <w:sz w:val="20"/>
          <w:szCs w:val="20"/>
        </w:rPr>
        <w:t xml:space="preserve"> </w:t>
      </w:r>
      <w:r w:rsidRPr="005827DA">
        <w:rPr>
          <w:rFonts w:ascii="Arial" w:hAnsi="Arial" w:cs="Arial"/>
          <w:sz w:val="20"/>
          <w:szCs w:val="20"/>
        </w:rPr>
        <w:t>balloons);</w:t>
      </w:r>
      <w:r w:rsidRPr="005827DA">
        <w:rPr>
          <w:rFonts w:ascii="Arial" w:hAnsi="Arial" w:cs="Arial"/>
          <w:spacing w:val="-4"/>
          <w:sz w:val="20"/>
          <w:szCs w:val="20"/>
        </w:rPr>
        <w:t xml:space="preserve"> </w:t>
      </w:r>
      <w:r w:rsidRPr="005827DA">
        <w:rPr>
          <w:rFonts w:ascii="Arial" w:hAnsi="Arial" w:cs="Arial"/>
          <w:sz w:val="20"/>
          <w:szCs w:val="20"/>
        </w:rPr>
        <w:t>and</w:t>
      </w:r>
    </w:p>
    <w:p w14:paraId="08651D45" w14:textId="77777777" w:rsidR="00F20810" w:rsidRPr="005827DA" w:rsidRDefault="00F20810" w:rsidP="005827DA">
      <w:pPr>
        <w:pStyle w:val="ListParagraph"/>
        <w:numPr>
          <w:ilvl w:val="1"/>
          <w:numId w:val="249"/>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lastRenderedPageBreak/>
        <w:t>the</w:t>
      </w:r>
      <w:r w:rsidRPr="005827DA">
        <w:rPr>
          <w:rFonts w:ascii="Arial" w:hAnsi="Arial" w:cs="Arial"/>
          <w:spacing w:val="-1"/>
          <w:sz w:val="20"/>
          <w:szCs w:val="20"/>
        </w:rPr>
        <w:t xml:space="preserve"> </w:t>
      </w:r>
      <w:r w:rsidRPr="005827DA">
        <w:rPr>
          <w:rFonts w:ascii="Arial" w:hAnsi="Arial" w:cs="Arial"/>
          <w:sz w:val="20"/>
          <w:szCs w:val="20"/>
        </w:rPr>
        <w:t>levelling</w:t>
      </w:r>
      <w:r w:rsidRPr="005827DA">
        <w:rPr>
          <w:rFonts w:ascii="Arial" w:hAnsi="Arial" w:cs="Arial"/>
          <w:spacing w:val="-3"/>
          <w:sz w:val="20"/>
          <w:szCs w:val="20"/>
        </w:rPr>
        <w:t xml:space="preserve"> </w:t>
      </w:r>
      <w:r w:rsidRPr="005827DA">
        <w:rPr>
          <w:rFonts w:ascii="Arial" w:hAnsi="Arial" w:cs="Arial"/>
          <w:sz w:val="20"/>
          <w:szCs w:val="20"/>
        </w:rPr>
        <w:t>off technique</w:t>
      </w:r>
      <w:r w:rsidRPr="005827DA">
        <w:rPr>
          <w:rFonts w:ascii="Arial" w:hAnsi="Arial" w:cs="Arial"/>
          <w:spacing w:val="-3"/>
          <w:sz w:val="20"/>
          <w:szCs w:val="20"/>
        </w:rPr>
        <w:t xml:space="preserve"> </w:t>
      </w:r>
      <w:r w:rsidRPr="005827DA">
        <w:rPr>
          <w:rFonts w:ascii="Arial" w:hAnsi="Arial" w:cs="Arial"/>
          <w:sz w:val="20"/>
          <w:szCs w:val="20"/>
        </w:rPr>
        <w:t>at selected</w:t>
      </w:r>
      <w:r w:rsidRPr="005827DA">
        <w:rPr>
          <w:rFonts w:ascii="Arial" w:hAnsi="Arial" w:cs="Arial"/>
          <w:spacing w:val="-3"/>
          <w:sz w:val="20"/>
          <w:szCs w:val="20"/>
        </w:rPr>
        <w:t xml:space="preserve"> </w:t>
      </w:r>
      <w:r w:rsidRPr="005827DA">
        <w:rPr>
          <w:rFonts w:ascii="Arial" w:hAnsi="Arial" w:cs="Arial"/>
          <w:sz w:val="20"/>
          <w:szCs w:val="20"/>
        </w:rPr>
        <w:t>altitude.</w:t>
      </w:r>
    </w:p>
    <w:p w14:paraId="2A20A155" w14:textId="77777777" w:rsidR="00F20810" w:rsidRPr="005827DA" w:rsidRDefault="00F20810" w:rsidP="005827DA">
      <w:pPr>
        <w:pStyle w:val="ListParagraph"/>
        <w:numPr>
          <w:ilvl w:val="0"/>
          <w:numId w:val="249"/>
        </w:numPr>
        <w:tabs>
          <w:tab w:val="left" w:pos="90"/>
          <w:tab w:val="left" w:pos="2408"/>
          <w:tab w:val="left" w:pos="2409"/>
        </w:tabs>
        <w:spacing w:before="121" w:line="276" w:lineRule="auto"/>
        <w:ind w:right="68" w:hanging="436"/>
        <w:jc w:val="both"/>
        <w:rPr>
          <w:rFonts w:ascii="Arial" w:hAnsi="Arial" w:cs="Arial"/>
          <w:sz w:val="20"/>
          <w:szCs w:val="20"/>
        </w:rPr>
      </w:pPr>
      <w:r w:rsidRPr="005827DA">
        <w:rPr>
          <w:rFonts w:ascii="Arial" w:hAnsi="Arial" w:cs="Arial"/>
          <w:sz w:val="20"/>
          <w:szCs w:val="20"/>
        </w:rPr>
        <w:t>Air</w:t>
      </w:r>
      <w:r w:rsidRPr="005827DA">
        <w:rPr>
          <w:rFonts w:ascii="Arial" w:hAnsi="Arial" w:cs="Arial"/>
          <w:spacing w:val="-1"/>
          <w:sz w:val="20"/>
          <w:szCs w:val="20"/>
        </w:rPr>
        <w:t xml:space="preserve"> </w:t>
      </w:r>
      <w:r w:rsidRPr="005827DA">
        <w:rPr>
          <w:rFonts w:ascii="Arial" w:hAnsi="Arial" w:cs="Arial"/>
          <w:sz w:val="20"/>
          <w:szCs w:val="20"/>
        </w:rPr>
        <w:t>exercise</w:t>
      </w:r>
    </w:p>
    <w:p w14:paraId="40D9F55F" w14:textId="77777777" w:rsidR="00F20810" w:rsidRPr="005827DA" w:rsidRDefault="00F20810" w:rsidP="005827DA">
      <w:pPr>
        <w:pStyle w:val="BodyText"/>
        <w:tabs>
          <w:tab w:val="left" w:pos="90"/>
        </w:tabs>
        <w:spacing w:line="276" w:lineRule="auto"/>
        <w:ind w:left="2408"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student</w:t>
      </w:r>
      <w:r w:rsidRPr="005827DA">
        <w:rPr>
          <w:rFonts w:ascii="Arial" w:hAnsi="Arial" w:cs="Arial"/>
          <w:spacing w:val="-3"/>
          <w:sz w:val="20"/>
          <w:szCs w:val="20"/>
        </w:rPr>
        <w:t xml:space="preserve"> </w:t>
      </w:r>
      <w:r w:rsidRPr="005827DA">
        <w:rPr>
          <w:rFonts w:ascii="Arial" w:hAnsi="Arial" w:cs="Arial"/>
          <w:sz w:val="20"/>
          <w:szCs w:val="20"/>
        </w:rPr>
        <w:t>instructor</w:t>
      </w:r>
      <w:r w:rsidRPr="005827DA">
        <w:rPr>
          <w:rFonts w:ascii="Arial" w:hAnsi="Arial" w:cs="Arial"/>
          <w:spacing w:val="-2"/>
          <w:sz w:val="20"/>
          <w:szCs w:val="20"/>
        </w:rPr>
        <w:t xml:space="preserve"> </w:t>
      </w:r>
      <w:r w:rsidRPr="005827DA">
        <w:rPr>
          <w:rFonts w:ascii="Arial" w:hAnsi="Arial" w:cs="Arial"/>
          <w:sz w:val="20"/>
          <w:szCs w:val="20"/>
        </w:rPr>
        <w:t>has</w:t>
      </w:r>
      <w:r w:rsidRPr="005827DA">
        <w:rPr>
          <w:rFonts w:ascii="Arial" w:hAnsi="Arial" w:cs="Arial"/>
          <w:spacing w:val="-6"/>
          <w:sz w:val="20"/>
          <w:szCs w:val="20"/>
        </w:rPr>
        <w:t xml:space="preserve"> </w:t>
      </w:r>
      <w:r w:rsidRPr="005827DA">
        <w:rPr>
          <w:rFonts w:ascii="Arial" w:hAnsi="Arial" w:cs="Arial"/>
          <w:sz w:val="20"/>
          <w:szCs w:val="20"/>
        </w:rPr>
        <w:t>to demonstrate:</w:t>
      </w:r>
    </w:p>
    <w:p w14:paraId="04A71FE6" w14:textId="77777777" w:rsidR="00F20810" w:rsidRPr="005827DA" w:rsidRDefault="00F20810" w:rsidP="005827DA">
      <w:pPr>
        <w:pStyle w:val="ListParagraph"/>
        <w:numPr>
          <w:ilvl w:val="1"/>
          <w:numId w:val="249"/>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a</w:t>
      </w:r>
      <w:r w:rsidRPr="005827DA">
        <w:rPr>
          <w:rFonts w:ascii="Arial" w:hAnsi="Arial" w:cs="Arial"/>
          <w:spacing w:val="-1"/>
          <w:sz w:val="20"/>
          <w:szCs w:val="20"/>
        </w:rPr>
        <w:t xml:space="preserve"> </w:t>
      </w:r>
      <w:r w:rsidRPr="005827DA">
        <w:rPr>
          <w:rFonts w:ascii="Arial" w:hAnsi="Arial" w:cs="Arial"/>
          <w:sz w:val="20"/>
          <w:szCs w:val="20"/>
        </w:rPr>
        <w:t>descent</w:t>
      </w:r>
      <w:r w:rsidRPr="005827DA">
        <w:rPr>
          <w:rFonts w:ascii="Arial" w:hAnsi="Arial" w:cs="Arial"/>
          <w:spacing w:val="-3"/>
          <w:sz w:val="20"/>
          <w:szCs w:val="20"/>
        </w:rPr>
        <w:t xml:space="preserve"> </w:t>
      </w:r>
      <w:r w:rsidRPr="005827DA">
        <w:rPr>
          <w:rFonts w:ascii="Arial" w:hAnsi="Arial" w:cs="Arial"/>
          <w:sz w:val="20"/>
          <w:szCs w:val="20"/>
        </w:rPr>
        <w:t>with</w:t>
      </w:r>
      <w:r w:rsidRPr="005827DA">
        <w:rPr>
          <w:rFonts w:ascii="Arial" w:hAnsi="Arial" w:cs="Arial"/>
          <w:spacing w:val="-4"/>
          <w:sz w:val="20"/>
          <w:szCs w:val="20"/>
        </w:rPr>
        <w:t xml:space="preserve"> </w:t>
      </w:r>
      <w:r w:rsidRPr="005827DA">
        <w:rPr>
          <w:rFonts w:ascii="Arial" w:hAnsi="Arial" w:cs="Arial"/>
          <w:sz w:val="20"/>
          <w:szCs w:val="20"/>
        </w:rPr>
        <w:t>a</w:t>
      </w:r>
      <w:r w:rsidRPr="005827DA">
        <w:rPr>
          <w:rFonts w:ascii="Arial" w:hAnsi="Arial" w:cs="Arial"/>
          <w:spacing w:val="-1"/>
          <w:sz w:val="20"/>
          <w:szCs w:val="20"/>
        </w:rPr>
        <w:t xml:space="preserve"> </w:t>
      </w:r>
      <w:r w:rsidRPr="005827DA">
        <w:rPr>
          <w:rFonts w:ascii="Arial" w:hAnsi="Arial" w:cs="Arial"/>
          <w:sz w:val="20"/>
          <w:szCs w:val="20"/>
        </w:rPr>
        <w:t>predetermined</w:t>
      </w:r>
      <w:r w:rsidRPr="005827DA">
        <w:rPr>
          <w:rFonts w:ascii="Arial" w:hAnsi="Arial" w:cs="Arial"/>
          <w:spacing w:val="-1"/>
          <w:sz w:val="20"/>
          <w:szCs w:val="20"/>
        </w:rPr>
        <w:t xml:space="preserve"> </w:t>
      </w:r>
      <w:r w:rsidRPr="005827DA">
        <w:rPr>
          <w:rFonts w:ascii="Arial" w:hAnsi="Arial" w:cs="Arial"/>
          <w:sz w:val="20"/>
          <w:szCs w:val="20"/>
        </w:rPr>
        <w:t>rate</w:t>
      </w:r>
      <w:r w:rsidRPr="005827DA">
        <w:rPr>
          <w:rFonts w:ascii="Arial" w:hAnsi="Arial" w:cs="Arial"/>
          <w:spacing w:val="-2"/>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descent;</w:t>
      </w:r>
    </w:p>
    <w:p w14:paraId="1A7F5AA0" w14:textId="77777777" w:rsidR="00F20810" w:rsidRPr="005827DA" w:rsidRDefault="00F20810" w:rsidP="005827DA">
      <w:pPr>
        <w:pStyle w:val="ListParagraph"/>
        <w:numPr>
          <w:ilvl w:val="1"/>
          <w:numId w:val="249"/>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4"/>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perform look-out</w:t>
      </w:r>
      <w:r w:rsidRPr="005827DA">
        <w:rPr>
          <w:rFonts w:ascii="Arial" w:hAnsi="Arial" w:cs="Arial"/>
          <w:spacing w:val="-2"/>
          <w:sz w:val="20"/>
          <w:szCs w:val="20"/>
        </w:rPr>
        <w:t xml:space="preserve"> </w:t>
      </w:r>
      <w:r w:rsidRPr="005827DA">
        <w:rPr>
          <w:rFonts w:ascii="Arial" w:hAnsi="Arial" w:cs="Arial"/>
          <w:sz w:val="20"/>
          <w:szCs w:val="20"/>
        </w:rPr>
        <w:t>techniques;</w:t>
      </w:r>
    </w:p>
    <w:p w14:paraId="22C47C13" w14:textId="77777777" w:rsidR="00F20810" w:rsidRPr="005827DA" w:rsidRDefault="00F20810" w:rsidP="005827DA">
      <w:pPr>
        <w:pStyle w:val="ListParagraph"/>
        <w:numPr>
          <w:ilvl w:val="1"/>
          <w:numId w:val="249"/>
        </w:numPr>
        <w:tabs>
          <w:tab w:val="left" w:pos="90"/>
          <w:tab w:val="left" w:pos="2975"/>
          <w:tab w:val="left" w:pos="2976"/>
        </w:tabs>
        <w:spacing w:before="56" w:line="276" w:lineRule="auto"/>
        <w:ind w:right="68" w:hanging="436"/>
        <w:jc w:val="both"/>
        <w:rPr>
          <w:rFonts w:ascii="Arial" w:hAnsi="Arial" w:cs="Arial"/>
          <w:sz w:val="20"/>
          <w:szCs w:val="20"/>
        </w:rPr>
      </w:pPr>
      <w:r w:rsidRPr="005827DA">
        <w:rPr>
          <w:rFonts w:ascii="Arial" w:hAnsi="Arial" w:cs="Arial"/>
          <w:sz w:val="20"/>
          <w:szCs w:val="20"/>
        </w:rPr>
        <w:t>fast</w:t>
      </w:r>
      <w:r w:rsidRPr="005827DA">
        <w:rPr>
          <w:rFonts w:ascii="Arial" w:hAnsi="Arial" w:cs="Arial"/>
          <w:spacing w:val="-2"/>
          <w:sz w:val="20"/>
          <w:szCs w:val="20"/>
        </w:rPr>
        <w:t xml:space="preserve"> </w:t>
      </w:r>
      <w:r w:rsidRPr="005827DA">
        <w:rPr>
          <w:rFonts w:ascii="Arial" w:hAnsi="Arial" w:cs="Arial"/>
          <w:sz w:val="20"/>
          <w:szCs w:val="20"/>
        </w:rPr>
        <w:t>descent;</w:t>
      </w:r>
    </w:p>
    <w:p w14:paraId="66D8B779" w14:textId="77777777" w:rsidR="00F20810" w:rsidRPr="005827DA" w:rsidRDefault="00F20810" w:rsidP="005827DA">
      <w:pPr>
        <w:pStyle w:val="ListParagraph"/>
        <w:numPr>
          <w:ilvl w:val="1"/>
          <w:numId w:val="249"/>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9"/>
          <w:sz w:val="20"/>
          <w:szCs w:val="20"/>
        </w:rPr>
        <w:t xml:space="preserve"> </w:t>
      </w:r>
      <w:r w:rsidRPr="005827DA">
        <w:rPr>
          <w:rFonts w:ascii="Arial" w:hAnsi="Arial" w:cs="Arial"/>
          <w:sz w:val="20"/>
          <w:szCs w:val="20"/>
        </w:rPr>
        <w:t>maximum</w:t>
      </w:r>
      <w:r w:rsidRPr="005827DA">
        <w:rPr>
          <w:rFonts w:ascii="Arial" w:hAnsi="Arial" w:cs="Arial"/>
          <w:spacing w:val="11"/>
          <w:sz w:val="20"/>
          <w:szCs w:val="20"/>
        </w:rPr>
        <w:t xml:space="preserve"> </w:t>
      </w:r>
      <w:r w:rsidRPr="005827DA">
        <w:rPr>
          <w:rFonts w:ascii="Arial" w:hAnsi="Arial" w:cs="Arial"/>
          <w:sz w:val="20"/>
          <w:szCs w:val="20"/>
        </w:rPr>
        <w:t>rate</w:t>
      </w:r>
      <w:r w:rsidRPr="005827DA">
        <w:rPr>
          <w:rFonts w:ascii="Arial" w:hAnsi="Arial" w:cs="Arial"/>
          <w:spacing w:val="8"/>
          <w:sz w:val="20"/>
          <w:szCs w:val="20"/>
        </w:rPr>
        <w:t xml:space="preserve"> </w:t>
      </w:r>
      <w:r w:rsidRPr="005827DA">
        <w:rPr>
          <w:rFonts w:ascii="Arial" w:hAnsi="Arial" w:cs="Arial"/>
          <w:sz w:val="20"/>
          <w:szCs w:val="20"/>
        </w:rPr>
        <w:t>of</w:t>
      </w:r>
      <w:r w:rsidRPr="005827DA">
        <w:rPr>
          <w:rFonts w:ascii="Arial" w:hAnsi="Arial" w:cs="Arial"/>
          <w:spacing w:val="10"/>
          <w:sz w:val="20"/>
          <w:szCs w:val="20"/>
        </w:rPr>
        <w:t xml:space="preserve"> </w:t>
      </w:r>
      <w:r w:rsidRPr="005827DA">
        <w:rPr>
          <w:rFonts w:ascii="Arial" w:hAnsi="Arial" w:cs="Arial"/>
          <w:sz w:val="20"/>
          <w:szCs w:val="20"/>
        </w:rPr>
        <w:t>descent</w:t>
      </w:r>
      <w:r w:rsidRPr="005827DA">
        <w:rPr>
          <w:rFonts w:ascii="Arial" w:hAnsi="Arial" w:cs="Arial"/>
          <w:spacing w:val="10"/>
          <w:sz w:val="20"/>
          <w:szCs w:val="20"/>
        </w:rPr>
        <w:t xml:space="preserve"> </w:t>
      </w:r>
      <w:r w:rsidRPr="005827DA">
        <w:rPr>
          <w:rFonts w:ascii="Arial" w:hAnsi="Arial" w:cs="Arial"/>
          <w:sz w:val="20"/>
          <w:szCs w:val="20"/>
        </w:rPr>
        <w:t>according</w:t>
      </w:r>
      <w:r w:rsidRPr="005827DA">
        <w:rPr>
          <w:rFonts w:ascii="Arial" w:hAnsi="Arial" w:cs="Arial"/>
          <w:spacing w:val="9"/>
          <w:sz w:val="20"/>
          <w:szCs w:val="20"/>
        </w:rPr>
        <w:t xml:space="preserve"> </w:t>
      </w:r>
      <w:r w:rsidRPr="005827DA">
        <w:rPr>
          <w:rFonts w:ascii="Arial" w:hAnsi="Arial" w:cs="Arial"/>
          <w:sz w:val="20"/>
          <w:szCs w:val="20"/>
        </w:rPr>
        <w:t>to</w:t>
      </w:r>
      <w:r w:rsidRPr="005827DA">
        <w:rPr>
          <w:rFonts w:ascii="Arial" w:hAnsi="Arial" w:cs="Arial"/>
          <w:spacing w:val="11"/>
          <w:sz w:val="20"/>
          <w:szCs w:val="20"/>
        </w:rPr>
        <w:t xml:space="preserve"> </w:t>
      </w:r>
      <w:r w:rsidRPr="005827DA">
        <w:rPr>
          <w:rFonts w:ascii="Arial" w:hAnsi="Arial" w:cs="Arial"/>
          <w:sz w:val="20"/>
          <w:szCs w:val="20"/>
        </w:rPr>
        <w:t>the</w:t>
      </w:r>
      <w:r w:rsidRPr="005827DA">
        <w:rPr>
          <w:rFonts w:ascii="Arial" w:hAnsi="Arial" w:cs="Arial"/>
          <w:spacing w:val="8"/>
          <w:sz w:val="20"/>
          <w:szCs w:val="20"/>
        </w:rPr>
        <w:t xml:space="preserve"> </w:t>
      </w:r>
      <w:r w:rsidRPr="005827DA">
        <w:rPr>
          <w:rFonts w:ascii="Arial" w:hAnsi="Arial" w:cs="Arial"/>
          <w:sz w:val="20"/>
          <w:szCs w:val="20"/>
        </w:rPr>
        <w:t>manufacturer’s</w:t>
      </w:r>
      <w:r w:rsidRPr="005827DA">
        <w:rPr>
          <w:rFonts w:ascii="Arial" w:hAnsi="Arial" w:cs="Arial"/>
          <w:spacing w:val="10"/>
          <w:sz w:val="20"/>
          <w:szCs w:val="20"/>
        </w:rPr>
        <w:t xml:space="preserve"> </w:t>
      </w:r>
      <w:r w:rsidRPr="005827DA">
        <w:rPr>
          <w:rFonts w:ascii="Arial" w:hAnsi="Arial" w:cs="Arial"/>
          <w:sz w:val="20"/>
          <w:szCs w:val="20"/>
        </w:rPr>
        <w:t>flight</w:t>
      </w:r>
      <w:r w:rsidRPr="005827DA">
        <w:rPr>
          <w:rFonts w:ascii="Arial" w:hAnsi="Arial" w:cs="Arial"/>
          <w:spacing w:val="-47"/>
          <w:sz w:val="20"/>
          <w:szCs w:val="20"/>
        </w:rPr>
        <w:t xml:space="preserve"> </w:t>
      </w:r>
      <w:r w:rsidRPr="005827DA">
        <w:rPr>
          <w:rFonts w:ascii="Arial" w:hAnsi="Arial" w:cs="Arial"/>
          <w:sz w:val="20"/>
          <w:szCs w:val="20"/>
        </w:rPr>
        <w:t>manual;</w:t>
      </w:r>
    </w:p>
    <w:p w14:paraId="23037D3E" w14:textId="77777777" w:rsidR="00F20810" w:rsidRPr="005827DA" w:rsidRDefault="00F20810" w:rsidP="005827DA">
      <w:pPr>
        <w:pStyle w:val="ListParagraph"/>
        <w:numPr>
          <w:ilvl w:val="1"/>
          <w:numId w:val="249"/>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use</w:t>
      </w:r>
      <w:r w:rsidRPr="005827DA">
        <w:rPr>
          <w:rFonts w:ascii="Arial" w:hAnsi="Arial" w:cs="Arial"/>
          <w:spacing w:val="-3"/>
          <w:sz w:val="20"/>
          <w:szCs w:val="20"/>
        </w:rPr>
        <w:t xml:space="preserve"> </w:t>
      </w:r>
      <w:r w:rsidRPr="005827DA">
        <w:rPr>
          <w:rFonts w:ascii="Arial" w:hAnsi="Arial" w:cs="Arial"/>
          <w:sz w:val="20"/>
          <w:szCs w:val="20"/>
        </w:rPr>
        <w:t>of parachute;</w:t>
      </w:r>
    </w:p>
    <w:p w14:paraId="57E876A8" w14:textId="77777777" w:rsidR="00F20810" w:rsidRPr="005827DA" w:rsidRDefault="00F20810" w:rsidP="005827DA">
      <w:pPr>
        <w:pStyle w:val="ListParagraph"/>
        <w:numPr>
          <w:ilvl w:val="1"/>
          <w:numId w:val="249"/>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3"/>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level</w:t>
      </w:r>
      <w:r w:rsidRPr="005827DA">
        <w:rPr>
          <w:rFonts w:ascii="Arial" w:hAnsi="Arial" w:cs="Arial"/>
          <w:spacing w:val="-2"/>
          <w:sz w:val="20"/>
          <w:szCs w:val="20"/>
        </w:rPr>
        <w:t xml:space="preserve"> </w:t>
      </w:r>
      <w:r w:rsidRPr="005827DA">
        <w:rPr>
          <w:rFonts w:ascii="Arial" w:hAnsi="Arial" w:cs="Arial"/>
          <w:sz w:val="20"/>
          <w:szCs w:val="20"/>
        </w:rPr>
        <w:t>off at</w:t>
      </w:r>
      <w:r w:rsidRPr="005827DA">
        <w:rPr>
          <w:rFonts w:ascii="Arial" w:hAnsi="Arial" w:cs="Arial"/>
          <w:spacing w:val="-2"/>
          <w:sz w:val="20"/>
          <w:szCs w:val="20"/>
        </w:rPr>
        <w:t xml:space="preserve"> </w:t>
      </w:r>
      <w:r w:rsidRPr="005827DA">
        <w:rPr>
          <w:rFonts w:ascii="Arial" w:hAnsi="Arial" w:cs="Arial"/>
          <w:sz w:val="20"/>
          <w:szCs w:val="20"/>
        </w:rPr>
        <w:t>selected</w:t>
      </w:r>
      <w:r w:rsidRPr="005827DA">
        <w:rPr>
          <w:rFonts w:ascii="Arial" w:hAnsi="Arial" w:cs="Arial"/>
          <w:spacing w:val="-3"/>
          <w:sz w:val="20"/>
          <w:szCs w:val="20"/>
        </w:rPr>
        <w:t xml:space="preserve"> </w:t>
      </w:r>
      <w:r w:rsidRPr="005827DA">
        <w:rPr>
          <w:rFonts w:ascii="Arial" w:hAnsi="Arial" w:cs="Arial"/>
          <w:sz w:val="20"/>
          <w:szCs w:val="20"/>
        </w:rPr>
        <w:t>altitudes;</w:t>
      </w:r>
    </w:p>
    <w:p w14:paraId="0C1D01A5" w14:textId="77777777" w:rsidR="00F20810" w:rsidRPr="005827DA" w:rsidRDefault="00F20810" w:rsidP="005827DA">
      <w:pPr>
        <w:pStyle w:val="ListParagraph"/>
        <w:numPr>
          <w:ilvl w:val="1"/>
          <w:numId w:val="249"/>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10"/>
          <w:sz w:val="20"/>
          <w:szCs w:val="20"/>
        </w:rPr>
        <w:t xml:space="preserve"> </w:t>
      </w:r>
      <w:r w:rsidRPr="005827DA">
        <w:rPr>
          <w:rFonts w:ascii="Arial" w:hAnsi="Arial" w:cs="Arial"/>
          <w:sz w:val="20"/>
          <w:szCs w:val="20"/>
        </w:rPr>
        <w:t>to</w:t>
      </w:r>
      <w:r w:rsidRPr="005827DA">
        <w:rPr>
          <w:rFonts w:ascii="Arial" w:hAnsi="Arial" w:cs="Arial"/>
          <w:spacing w:val="-9"/>
          <w:sz w:val="20"/>
          <w:szCs w:val="20"/>
        </w:rPr>
        <w:t xml:space="preserve"> </w:t>
      </w:r>
      <w:r w:rsidRPr="005827DA">
        <w:rPr>
          <w:rFonts w:ascii="Arial" w:hAnsi="Arial" w:cs="Arial"/>
          <w:sz w:val="20"/>
          <w:szCs w:val="20"/>
        </w:rPr>
        <w:t>advise</w:t>
      </w:r>
      <w:r w:rsidRPr="005827DA">
        <w:rPr>
          <w:rFonts w:ascii="Arial" w:hAnsi="Arial" w:cs="Arial"/>
          <w:spacing w:val="-10"/>
          <w:sz w:val="20"/>
          <w:szCs w:val="20"/>
        </w:rPr>
        <w:t xml:space="preserve"> </w:t>
      </w:r>
      <w:r w:rsidRPr="005827DA">
        <w:rPr>
          <w:rFonts w:ascii="Arial" w:hAnsi="Arial" w:cs="Arial"/>
          <w:sz w:val="20"/>
          <w:szCs w:val="20"/>
        </w:rPr>
        <w:t>the</w:t>
      </w:r>
      <w:r w:rsidRPr="005827DA">
        <w:rPr>
          <w:rFonts w:ascii="Arial" w:hAnsi="Arial" w:cs="Arial"/>
          <w:spacing w:val="-9"/>
          <w:sz w:val="20"/>
          <w:szCs w:val="20"/>
        </w:rPr>
        <w:t xml:space="preserve"> </w:t>
      </w:r>
      <w:r w:rsidRPr="005827DA">
        <w:rPr>
          <w:rFonts w:ascii="Arial" w:hAnsi="Arial" w:cs="Arial"/>
          <w:sz w:val="20"/>
          <w:szCs w:val="20"/>
        </w:rPr>
        <w:t>student</w:t>
      </w:r>
      <w:r w:rsidRPr="005827DA">
        <w:rPr>
          <w:rFonts w:ascii="Arial" w:hAnsi="Arial" w:cs="Arial"/>
          <w:spacing w:val="-10"/>
          <w:sz w:val="20"/>
          <w:szCs w:val="20"/>
        </w:rPr>
        <w:t xml:space="preserve"> </w:t>
      </w:r>
      <w:r w:rsidRPr="005827DA">
        <w:rPr>
          <w:rFonts w:ascii="Arial" w:hAnsi="Arial" w:cs="Arial"/>
          <w:sz w:val="20"/>
          <w:szCs w:val="20"/>
        </w:rPr>
        <w:t>pilot</w:t>
      </w:r>
      <w:r w:rsidRPr="005827DA">
        <w:rPr>
          <w:rFonts w:ascii="Arial" w:hAnsi="Arial" w:cs="Arial"/>
          <w:spacing w:val="-10"/>
          <w:sz w:val="20"/>
          <w:szCs w:val="20"/>
        </w:rPr>
        <w:t xml:space="preserve"> </w:t>
      </w:r>
      <w:r w:rsidRPr="005827DA">
        <w:rPr>
          <w:rFonts w:ascii="Arial" w:hAnsi="Arial" w:cs="Arial"/>
          <w:sz w:val="20"/>
          <w:szCs w:val="20"/>
        </w:rPr>
        <w:t>to</w:t>
      </w:r>
      <w:r w:rsidRPr="005827DA">
        <w:rPr>
          <w:rFonts w:ascii="Arial" w:hAnsi="Arial" w:cs="Arial"/>
          <w:spacing w:val="-8"/>
          <w:sz w:val="20"/>
          <w:szCs w:val="20"/>
        </w:rPr>
        <w:t xml:space="preserve"> </w:t>
      </w:r>
      <w:r w:rsidRPr="005827DA">
        <w:rPr>
          <w:rFonts w:ascii="Arial" w:hAnsi="Arial" w:cs="Arial"/>
          <w:sz w:val="20"/>
          <w:szCs w:val="20"/>
        </w:rPr>
        <w:t>perform</w:t>
      </w:r>
      <w:r w:rsidRPr="005827DA">
        <w:rPr>
          <w:rFonts w:ascii="Arial" w:hAnsi="Arial" w:cs="Arial"/>
          <w:spacing w:val="-9"/>
          <w:sz w:val="20"/>
          <w:szCs w:val="20"/>
        </w:rPr>
        <w:t xml:space="preserve"> </w:t>
      </w:r>
      <w:r w:rsidRPr="005827DA">
        <w:rPr>
          <w:rFonts w:ascii="Arial" w:hAnsi="Arial" w:cs="Arial"/>
          <w:sz w:val="20"/>
          <w:szCs w:val="20"/>
        </w:rPr>
        <w:t>a</w:t>
      </w:r>
      <w:r w:rsidRPr="005827DA">
        <w:rPr>
          <w:rFonts w:ascii="Arial" w:hAnsi="Arial" w:cs="Arial"/>
          <w:spacing w:val="-11"/>
          <w:sz w:val="20"/>
          <w:szCs w:val="20"/>
        </w:rPr>
        <w:t xml:space="preserve"> </w:t>
      </w:r>
      <w:r w:rsidRPr="005827DA">
        <w:rPr>
          <w:rFonts w:ascii="Arial" w:hAnsi="Arial" w:cs="Arial"/>
          <w:sz w:val="20"/>
          <w:szCs w:val="20"/>
        </w:rPr>
        <w:t>descent</w:t>
      </w:r>
      <w:r w:rsidRPr="005827DA">
        <w:rPr>
          <w:rFonts w:ascii="Arial" w:hAnsi="Arial" w:cs="Arial"/>
          <w:spacing w:val="-9"/>
          <w:sz w:val="20"/>
          <w:szCs w:val="20"/>
        </w:rPr>
        <w:t xml:space="preserve"> </w:t>
      </w:r>
      <w:r w:rsidRPr="005827DA">
        <w:rPr>
          <w:rFonts w:ascii="Arial" w:hAnsi="Arial" w:cs="Arial"/>
          <w:sz w:val="20"/>
          <w:szCs w:val="20"/>
        </w:rPr>
        <w:t>to</w:t>
      </w:r>
      <w:r w:rsidRPr="005827DA">
        <w:rPr>
          <w:rFonts w:ascii="Arial" w:hAnsi="Arial" w:cs="Arial"/>
          <w:spacing w:val="-12"/>
          <w:sz w:val="20"/>
          <w:szCs w:val="20"/>
        </w:rPr>
        <w:t xml:space="preserve"> </w:t>
      </w:r>
      <w:r w:rsidRPr="005827DA">
        <w:rPr>
          <w:rFonts w:ascii="Arial" w:hAnsi="Arial" w:cs="Arial"/>
          <w:sz w:val="20"/>
          <w:szCs w:val="20"/>
        </w:rPr>
        <w:t>a</w:t>
      </w:r>
      <w:r w:rsidRPr="005827DA">
        <w:rPr>
          <w:rFonts w:ascii="Arial" w:hAnsi="Arial" w:cs="Arial"/>
          <w:spacing w:val="-11"/>
          <w:sz w:val="20"/>
          <w:szCs w:val="20"/>
        </w:rPr>
        <w:t xml:space="preserve"> </w:t>
      </w:r>
      <w:r w:rsidRPr="005827DA">
        <w:rPr>
          <w:rFonts w:ascii="Arial" w:hAnsi="Arial" w:cs="Arial"/>
          <w:sz w:val="20"/>
          <w:szCs w:val="20"/>
        </w:rPr>
        <w:t>certain</w:t>
      </w:r>
      <w:r w:rsidRPr="005827DA">
        <w:rPr>
          <w:rFonts w:ascii="Arial" w:hAnsi="Arial" w:cs="Arial"/>
          <w:spacing w:val="-11"/>
          <w:sz w:val="20"/>
          <w:szCs w:val="20"/>
        </w:rPr>
        <w:t xml:space="preserve"> </w:t>
      </w:r>
      <w:r w:rsidRPr="005827DA">
        <w:rPr>
          <w:rFonts w:ascii="Arial" w:hAnsi="Arial" w:cs="Arial"/>
          <w:sz w:val="20"/>
          <w:szCs w:val="20"/>
        </w:rPr>
        <w:t>flight</w:t>
      </w:r>
      <w:r w:rsidRPr="005827DA">
        <w:rPr>
          <w:rFonts w:ascii="Arial" w:hAnsi="Arial" w:cs="Arial"/>
          <w:spacing w:val="-47"/>
          <w:sz w:val="20"/>
          <w:szCs w:val="20"/>
        </w:rPr>
        <w:t xml:space="preserve"> </w:t>
      </w:r>
      <w:r w:rsidRPr="005827DA">
        <w:rPr>
          <w:rFonts w:ascii="Arial" w:hAnsi="Arial" w:cs="Arial"/>
          <w:sz w:val="20"/>
          <w:szCs w:val="20"/>
        </w:rPr>
        <w:t>level; and</w:t>
      </w:r>
    </w:p>
    <w:p w14:paraId="4FD4DF06" w14:textId="77777777" w:rsidR="00F20810" w:rsidRPr="005827DA" w:rsidRDefault="00F20810" w:rsidP="005827DA">
      <w:pPr>
        <w:pStyle w:val="ListParagraph"/>
        <w:numPr>
          <w:ilvl w:val="1"/>
          <w:numId w:val="249"/>
        </w:numPr>
        <w:tabs>
          <w:tab w:val="left" w:pos="90"/>
          <w:tab w:val="left" w:pos="2975"/>
          <w:tab w:val="left" w:pos="2976"/>
        </w:tabs>
        <w:spacing w:before="123"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3"/>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analyse</w:t>
      </w:r>
      <w:r w:rsidRPr="005827DA">
        <w:rPr>
          <w:rFonts w:ascii="Arial" w:hAnsi="Arial" w:cs="Arial"/>
          <w:spacing w:val="-2"/>
          <w:sz w:val="20"/>
          <w:szCs w:val="20"/>
        </w:rPr>
        <w:t xml:space="preserve"> </w:t>
      </w:r>
      <w:r w:rsidRPr="005827DA">
        <w:rPr>
          <w:rFonts w:ascii="Arial" w:hAnsi="Arial" w:cs="Arial"/>
          <w:sz w:val="20"/>
          <w:szCs w:val="20"/>
        </w:rPr>
        <w:t>and</w:t>
      </w:r>
      <w:r w:rsidRPr="005827DA">
        <w:rPr>
          <w:rFonts w:ascii="Arial" w:hAnsi="Arial" w:cs="Arial"/>
          <w:spacing w:val="-3"/>
          <w:sz w:val="20"/>
          <w:szCs w:val="20"/>
        </w:rPr>
        <w:t xml:space="preserve"> </w:t>
      </w:r>
      <w:r w:rsidRPr="005827DA">
        <w:rPr>
          <w:rFonts w:ascii="Arial" w:hAnsi="Arial" w:cs="Arial"/>
          <w:sz w:val="20"/>
          <w:szCs w:val="20"/>
        </w:rPr>
        <w:t>correct</w:t>
      </w:r>
      <w:r w:rsidRPr="005827DA">
        <w:rPr>
          <w:rFonts w:ascii="Arial" w:hAnsi="Arial" w:cs="Arial"/>
          <w:spacing w:val="-5"/>
          <w:sz w:val="20"/>
          <w:szCs w:val="20"/>
        </w:rPr>
        <w:t xml:space="preserve"> </w:t>
      </w:r>
      <w:r w:rsidRPr="005827DA">
        <w:rPr>
          <w:rFonts w:ascii="Arial" w:hAnsi="Arial" w:cs="Arial"/>
          <w:sz w:val="20"/>
          <w:szCs w:val="20"/>
        </w:rPr>
        <w:t>faults</w:t>
      </w:r>
      <w:r w:rsidRPr="005827DA">
        <w:rPr>
          <w:rFonts w:ascii="Arial" w:hAnsi="Arial" w:cs="Arial"/>
          <w:spacing w:val="-2"/>
          <w:sz w:val="20"/>
          <w:szCs w:val="20"/>
        </w:rPr>
        <w:t xml:space="preserve"> </w:t>
      </w:r>
      <w:r w:rsidRPr="005827DA">
        <w:rPr>
          <w:rFonts w:ascii="Arial" w:hAnsi="Arial" w:cs="Arial"/>
          <w:sz w:val="20"/>
          <w:szCs w:val="20"/>
        </w:rPr>
        <w:t>or</w:t>
      </w:r>
      <w:r w:rsidRPr="005827DA">
        <w:rPr>
          <w:rFonts w:ascii="Arial" w:hAnsi="Arial" w:cs="Arial"/>
          <w:spacing w:val="-2"/>
          <w:sz w:val="20"/>
          <w:szCs w:val="20"/>
        </w:rPr>
        <w:t xml:space="preserve"> </w:t>
      </w:r>
      <w:r w:rsidRPr="005827DA">
        <w:rPr>
          <w:rFonts w:ascii="Arial" w:hAnsi="Arial" w:cs="Arial"/>
          <w:sz w:val="20"/>
          <w:szCs w:val="20"/>
        </w:rPr>
        <w:t>errors</w:t>
      </w:r>
      <w:r w:rsidRPr="005827DA">
        <w:rPr>
          <w:rFonts w:ascii="Arial" w:hAnsi="Arial" w:cs="Arial"/>
          <w:spacing w:val="-5"/>
          <w:sz w:val="20"/>
          <w:szCs w:val="20"/>
        </w:rPr>
        <w:t xml:space="preserve"> </w:t>
      </w:r>
      <w:r w:rsidRPr="005827DA">
        <w:rPr>
          <w:rFonts w:ascii="Arial" w:hAnsi="Arial" w:cs="Arial"/>
          <w:sz w:val="20"/>
          <w:szCs w:val="20"/>
        </w:rPr>
        <w:t>of</w:t>
      </w:r>
      <w:r w:rsidRPr="005827DA">
        <w:rPr>
          <w:rFonts w:ascii="Arial" w:hAnsi="Arial" w:cs="Arial"/>
          <w:spacing w:val="-2"/>
          <w:sz w:val="20"/>
          <w:szCs w:val="20"/>
        </w:rPr>
        <w:t xml:space="preserve"> </w:t>
      </w:r>
      <w:r w:rsidRPr="005827DA">
        <w:rPr>
          <w:rFonts w:ascii="Arial" w:hAnsi="Arial" w:cs="Arial"/>
          <w:sz w:val="20"/>
          <w:szCs w:val="20"/>
        </w:rPr>
        <w:t>the</w:t>
      </w:r>
      <w:r w:rsidRPr="005827DA">
        <w:rPr>
          <w:rFonts w:ascii="Arial" w:hAnsi="Arial" w:cs="Arial"/>
          <w:spacing w:val="-3"/>
          <w:sz w:val="20"/>
          <w:szCs w:val="20"/>
        </w:rPr>
        <w:t xml:space="preserve"> </w:t>
      </w:r>
      <w:r w:rsidRPr="005827DA">
        <w:rPr>
          <w:rFonts w:ascii="Arial" w:hAnsi="Arial" w:cs="Arial"/>
          <w:sz w:val="20"/>
          <w:szCs w:val="20"/>
        </w:rPr>
        <w:t>student</w:t>
      </w:r>
      <w:r w:rsidRPr="005827DA">
        <w:rPr>
          <w:rFonts w:ascii="Arial" w:hAnsi="Arial" w:cs="Arial"/>
          <w:spacing w:val="-2"/>
          <w:sz w:val="20"/>
          <w:szCs w:val="20"/>
        </w:rPr>
        <w:t xml:space="preserve"> </w:t>
      </w:r>
      <w:r w:rsidRPr="005827DA">
        <w:rPr>
          <w:rFonts w:ascii="Arial" w:hAnsi="Arial" w:cs="Arial"/>
          <w:sz w:val="20"/>
          <w:szCs w:val="20"/>
        </w:rPr>
        <w:t>pilot</w:t>
      </w:r>
      <w:r w:rsidRPr="005827DA">
        <w:rPr>
          <w:rFonts w:ascii="Arial" w:hAnsi="Arial" w:cs="Arial"/>
          <w:spacing w:val="-2"/>
          <w:sz w:val="20"/>
          <w:szCs w:val="20"/>
        </w:rPr>
        <w:t xml:space="preserve"> </w:t>
      </w:r>
      <w:r w:rsidRPr="005827DA">
        <w:rPr>
          <w:rFonts w:ascii="Arial" w:hAnsi="Arial" w:cs="Arial"/>
          <w:sz w:val="20"/>
          <w:szCs w:val="20"/>
        </w:rPr>
        <w:t>during</w:t>
      </w:r>
      <w:r w:rsidRPr="005827DA">
        <w:rPr>
          <w:rFonts w:ascii="Arial" w:hAnsi="Arial" w:cs="Arial"/>
          <w:spacing w:val="-47"/>
          <w:sz w:val="20"/>
          <w:szCs w:val="20"/>
        </w:rPr>
        <w:t xml:space="preserve"> </w:t>
      </w: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descent.</w:t>
      </w:r>
    </w:p>
    <w:p w14:paraId="2FD139D2" w14:textId="50B5A248" w:rsidR="00F20810" w:rsidRPr="00A16E10" w:rsidRDefault="00F20810" w:rsidP="00A16E10">
      <w:pPr>
        <w:pStyle w:val="ListParagraph"/>
        <w:numPr>
          <w:ilvl w:val="0"/>
          <w:numId w:val="249"/>
        </w:numPr>
        <w:tabs>
          <w:tab w:val="left" w:pos="90"/>
          <w:tab w:val="left" w:pos="2408"/>
          <w:tab w:val="left" w:pos="2409"/>
        </w:tabs>
        <w:spacing w:before="121" w:line="276" w:lineRule="auto"/>
        <w:ind w:right="68" w:hanging="436"/>
        <w:jc w:val="both"/>
        <w:rPr>
          <w:rFonts w:ascii="Arial" w:hAnsi="Arial" w:cs="Arial"/>
          <w:sz w:val="20"/>
          <w:szCs w:val="20"/>
        </w:rPr>
      </w:pPr>
      <w:r w:rsidRPr="005827DA">
        <w:rPr>
          <w:rFonts w:ascii="Arial" w:hAnsi="Arial" w:cs="Arial"/>
          <w:sz w:val="20"/>
          <w:szCs w:val="20"/>
        </w:rPr>
        <w:t>Debriefing</w:t>
      </w:r>
    </w:p>
    <w:p w14:paraId="08A3EF74" w14:textId="77777777" w:rsidR="00F20810" w:rsidRPr="005827DA" w:rsidRDefault="00F20810" w:rsidP="005827DA">
      <w:pPr>
        <w:tabs>
          <w:tab w:val="left" w:pos="90"/>
        </w:tabs>
        <w:spacing w:line="276" w:lineRule="auto"/>
        <w:ind w:right="68" w:hanging="436"/>
        <w:jc w:val="both"/>
        <w:rPr>
          <w:rFonts w:ascii="Arial" w:eastAsia="Times New Roman" w:hAnsi="Arial" w:cs="Times New Roman"/>
          <w:b/>
          <w:bCs/>
          <w:sz w:val="20"/>
          <w:szCs w:val="20"/>
        </w:rPr>
      </w:pPr>
      <w:r w:rsidRPr="005827DA">
        <w:rPr>
          <w:rFonts w:ascii="Arial" w:eastAsia="Times New Roman" w:hAnsi="Arial" w:cs="Times New Roman"/>
          <w:b/>
          <w:bCs/>
          <w:sz w:val="20"/>
          <w:szCs w:val="20"/>
        </w:rPr>
        <w:t>Exercise 10: Emergencies</w:t>
      </w:r>
    </w:p>
    <w:p w14:paraId="1425F788" w14:textId="77777777" w:rsidR="00F20810" w:rsidRPr="005827DA" w:rsidRDefault="00F20810" w:rsidP="005827DA">
      <w:pPr>
        <w:pStyle w:val="ListParagraph"/>
        <w:numPr>
          <w:ilvl w:val="0"/>
          <w:numId w:val="250"/>
        </w:numPr>
        <w:tabs>
          <w:tab w:val="left" w:pos="90"/>
          <w:tab w:val="left" w:pos="2409"/>
        </w:tabs>
        <w:spacing w:line="276" w:lineRule="auto"/>
        <w:ind w:right="68" w:hanging="436"/>
        <w:jc w:val="both"/>
        <w:rPr>
          <w:rFonts w:ascii="Arial" w:hAnsi="Arial" w:cs="Arial"/>
          <w:sz w:val="20"/>
          <w:szCs w:val="20"/>
        </w:rPr>
      </w:pPr>
      <w:r w:rsidRPr="005827DA">
        <w:rPr>
          <w:rFonts w:ascii="Arial" w:hAnsi="Arial" w:cs="Arial"/>
          <w:sz w:val="20"/>
          <w:szCs w:val="20"/>
        </w:rPr>
        <w:t>Objective</w:t>
      </w:r>
    </w:p>
    <w:p w14:paraId="0F95CD56" w14:textId="77777777" w:rsidR="00F20810" w:rsidRPr="005827DA" w:rsidRDefault="00F20810" w:rsidP="005827DA">
      <w:pPr>
        <w:pStyle w:val="BodyText"/>
        <w:tabs>
          <w:tab w:val="left" w:pos="90"/>
        </w:tabs>
        <w:spacing w:line="276" w:lineRule="auto"/>
        <w:ind w:left="2408" w:right="68" w:hanging="436"/>
        <w:jc w:val="both"/>
        <w:rPr>
          <w:rFonts w:ascii="Arial" w:hAnsi="Arial" w:cs="Arial"/>
          <w:sz w:val="20"/>
          <w:szCs w:val="20"/>
        </w:rPr>
      </w:pPr>
      <w:r w:rsidRPr="005827DA">
        <w:rPr>
          <w:rFonts w:ascii="Arial" w:hAnsi="Arial" w:cs="Arial"/>
          <w:sz w:val="20"/>
          <w:szCs w:val="20"/>
        </w:rPr>
        <w:t>To advise the student instructor on how to explain and demonstrate the</w:t>
      </w:r>
      <w:r w:rsidRPr="005827DA">
        <w:rPr>
          <w:rFonts w:ascii="Arial" w:hAnsi="Arial" w:cs="Arial"/>
          <w:spacing w:val="1"/>
          <w:sz w:val="20"/>
          <w:szCs w:val="20"/>
        </w:rPr>
        <w:t xml:space="preserve"> </w:t>
      </w:r>
      <w:r w:rsidRPr="005827DA">
        <w:rPr>
          <w:rFonts w:ascii="Arial" w:hAnsi="Arial" w:cs="Arial"/>
          <w:sz w:val="20"/>
          <w:szCs w:val="20"/>
        </w:rPr>
        <w:t>different emergency situations and how to react. Furthermore, the student</w:t>
      </w:r>
      <w:r w:rsidRPr="005827DA">
        <w:rPr>
          <w:rFonts w:ascii="Arial" w:hAnsi="Arial" w:cs="Arial"/>
          <w:spacing w:val="-47"/>
          <w:sz w:val="20"/>
          <w:szCs w:val="20"/>
        </w:rPr>
        <w:t xml:space="preserve"> </w:t>
      </w:r>
      <w:r w:rsidRPr="005827DA">
        <w:rPr>
          <w:rFonts w:ascii="Arial" w:hAnsi="Arial" w:cs="Arial"/>
          <w:sz w:val="20"/>
          <w:szCs w:val="20"/>
        </w:rPr>
        <w:t>instructor should learn how to identify student errors during the simulated</w:t>
      </w:r>
      <w:r w:rsidRPr="005827DA">
        <w:rPr>
          <w:rFonts w:ascii="Arial" w:hAnsi="Arial" w:cs="Arial"/>
          <w:spacing w:val="1"/>
          <w:sz w:val="20"/>
          <w:szCs w:val="20"/>
        </w:rPr>
        <w:t xml:space="preserve"> </w:t>
      </w:r>
      <w:r w:rsidRPr="005827DA">
        <w:rPr>
          <w:rFonts w:ascii="Arial" w:hAnsi="Arial" w:cs="Arial"/>
          <w:sz w:val="20"/>
          <w:szCs w:val="20"/>
        </w:rPr>
        <w:t>emergency</w:t>
      </w:r>
      <w:r w:rsidRPr="005827DA">
        <w:rPr>
          <w:rFonts w:ascii="Arial" w:hAnsi="Arial" w:cs="Arial"/>
          <w:spacing w:val="-3"/>
          <w:sz w:val="20"/>
          <w:szCs w:val="20"/>
        </w:rPr>
        <w:t xml:space="preserve"> </w:t>
      </w:r>
      <w:r w:rsidRPr="005827DA">
        <w:rPr>
          <w:rFonts w:ascii="Arial" w:hAnsi="Arial" w:cs="Arial"/>
          <w:sz w:val="20"/>
          <w:szCs w:val="20"/>
        </w:rPr>
        <w:t>exercises</w:t>
      </w:r>
      <w:r w:rsidRPr="005827DA">
        <w:rPr>
          <w:rFonts w:ascii="Arial" w:hAnsi="Arial" w:cs="Arial"/>
          <w:spacing w:val="1"/>
          <w:sz w:val="20"/>
          <w:szCs w:val="20"/>
        </w:rPr>
        <w:t xml:space="preserve"> </w:t>
      </w:r>
      <w:r w:rsidRPr="005827DA">
        <w:rPr>
          <w:rFonts w:ascii="Arial" w:hAnsi="Arial" w:cs="Arial"/>
          <w:sz w:val="20"/>
          <w:szCs w:val="20"/>
        </w:rPr>
        <w:t>and how</w:t>
      </w:r>
      <w:r w:rsidRPr="005827DA">
        <w:rPr>
          <w:rFonts w:ascii="Arial" w:hAnsi="Arial" w:cs="Arial"/>
          <w:spacing w:val="-2"/>
          <w:sz w:val="20"/>
          <w:szCs w:val="20"/>
        </w:rPr>
        <w:t xml:space="preserve"> </w:t>
      </w:r>
      <w:r w:rsidRPr="005827DA">
        <w:rPr>
          <w:rFonts w:ascii="Arial" w:hAnsi="Arial" w:cs="Arial"/>
          <w:sz w:val="20"/>
          <w:szCs w:val="20"/>
        </w:rPr>
        <w:t>to</w:t>
      </w:r>
      <w:r w:rsidRPr="005827DA">
        <w:rPr>
          <w:rFonts w:ascii="Arial" w:hAnsi="Arial" w:cs="Arial"/>
          <w:spacing w:val="-2"/>
          <w:sz w:val="20"/>
          <w:szCs w:val="20"/>
        </w:rPr>
        <w:t xml:space="preserve"> </w:t>
      </w:r>
      <w:r w:rsidRPr="005827DA">
        <w:rPr>
          <w:rFonts w:ascii="Arial" w:hAnsi="Arial" w:cs="Arial"/>
          <w:sz w:val="20"/>
          <w:szCs w:val="20"/>
        </w:rPr>
        <w:t>correct them</w:t>
      </w:r>
      <w:r w:rsidRPr="005827DA">
        <w:rPr>
          <w:rFonts w:ascii="Arial" w:hAnsi="Arial" w:cs="Arial"/>
          <w:spacing w:val="1"/>
          <w:sz w:val="20"/>
          <w:szCs w:val="20"/>
        </w:rPr>
        <w:t xml:space="preserve"> </w:t>
      </w:r>
      <w:r w:rsidRPr="005827DA">
        <w:rPr>
          <w:rFonts w:ascii="Arial" w:hAnsi="Arial" w:cs="Arial"/>
          <w:sz w:val="20"/>
          <w:szCs w:val="20"/>
        </w:rPr>
        <w:t>properly.</w:t>
      </w:r>
    </w:p>
    <w:p w14:paraId="00F3272D" w14:textId="77777777" w:rsidR="00F20810" w:rsidRPr="005827DA" w:rsidRDefault="00F20810" w:rsidP="005827DA">
      <w:pPr>
        <w:pStyle w:val="ListParagraph"/>
        <w:numPr>
          <w:ilvl w:val="0"/>
          <w:numId w:val="250"/>
        </w:numPr>
        <w:tabs>
          <w:tab w:val="left" w:pos="90"/>
          <w:tab w:val="left" w:pos="2409"/>
        </w:tabs>
        <w:spacing w:before="119" w:line="276" w:lineRule="auto"/>
        <w:ind w:right="68" w:hanging="436"/>
        <w:jc w:val="both"/>
        <w:rPr>
          <w:rFonts w:ascii="Arial" w:hAnsi="Arial" w:cs="Arial"/>
          <w:sz w:val="20"/>
          <w:szCs w:val="20"/>
        </w:rPr>
      </w:pPr>
      <w:r w:rsidRPr="005827DA">
        <w:rPr>
          <w:rFonts w:ascii="Arial" w:hAnsi="Arial" w:cs="Arial"/>
          <w:sz w:val="20"/>
          <w:szCs w:val="20"/>
        </w:rPr>
        <w:t>Briefing</w:t>
      </w:r>
    </w:p>
    <w:p w14:paraId="0B328F0A" w14:textId="77777777" w:rsidR="00F20810" w:rsidRPr="005827DA" w:rsidRDefault="00F20810" w:rsidP="005827DA">
      <w:pPr>
        <w:pStyle w:val="BodyText"/>
        <w:tabs>
          <w:tab w:val="left" w:pos="90"/>
        </w:tabs>
        <w:spacing w:line="276" w:lineRule="auto"/>
        <w:ind w:left="2408"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student</w:t>
      </w:r>
      <w:r w:rsidRPr="005827DA">
        <w:rPr>
          <w:rFonts w:ascii="Arial" w:hAnsi="Arial" w:cs="Arial"/>
          <w:spacing w:val="-2"/>
          <w:sz w:val="20"/>
          <w:szCs w:val="20"/>
        </w:rPr>
        <w:t xml:space="preserve"> </w:t>
      </w:r>
      <w:r w:rsidRPr="005827DA">
        <w:rPr>
          <w:rFonts w:ascii="Arial" w:hAnsi="Arial" w:cs="Arial"/>
          <w:sz w:val="20"/>
          <w:szCs w:val="20"/>
        </w:rPr>
        <w:t>instructor has</w:t>
      </w:r>
      <w:r w:rsidRPr="005827DA">
        <w:rPr>
          <w:rFonts w:ascii="Arial" w:hAnsi="Arial" w:cs="Arial"/>
          <w:spacing w:val="-6"/>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explain:</w:t>
      </w:r>
    </w:p>
    <w:p w14:paraId="2DA6341F" w14:textId="77777777" w:rsidR="00F20810" w:rsidRPr="005827DA" w:rsidRDefault="00F20810" w:rsidP="005827DA">
      <w:pPr>
        <w:pStyle w:val="ListParagraph"/>
        <w:numPr>
          <w:ilvl w:val="1"/>
          <w:numId w:val="250"/>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pilot</w:t>
      </w:r>
      <w:r w:rsidRPr="005827DA">
        <w:rPr>
          <w:rFonts w:ascii="Arial" w:hAnsi="Arial" w:cs="Arial"/>
          <w:spacing w:val="-3"/>
          <w:sz w:val="20"/>
          <w:szCs w:val="20"/>
        </w:rPr>
        <w:t xml:space="preserve"> </w:t>
      </w:r>
      <w:r w:rsidRPr="005827DA">
        <w:rPr>
          <w:rFonts w:ascii="Arial" w:hAnsi="Arial" w:cs="Arial"/>
          <w:sz w:val="20"/>
          <w:szCs w:val="20"/>
        </w:rPr>
        <w:t>light</w:t>
      </w:r>
      <w:r w:rsidRPr="005827DA">
        <w:rPr>
          <w:rFonts w:ascii="Arial" w:hAnsi="Arial" w:cs="Arial"/>
          <w:spacing w:val="-1"/>
          <w:sz w:val="20"/>
          <w:szCs w:val="20"/>
        </w:rPr>
        <w:t xml:space="preserve"> </w:t>
      </w:r>
      <w:r w:rsidRPr="005827DA">
        <w:rPr>
          <w:rFonts w:ascii="Arial" w:hAnsi="Arial" w:cs="Arial"/>
          <w:sz w:val="20"/>
          <w:szCs w:val="20"/>
        </w:rPr>
        <w:t>failure</w:t>
      </w:r>
      <w:r w:rsidRPr="005827DA">
        <w:rPr>
          <w:rFonts w:ascii="Arial" w:hAnsi="Arial" w:cs="Arial"/>
          <w:spacing w:val="-4"/>
          <w:sz w:val="20"/>
          <w:szCs w:val="20"/>
        </w:rPr>
        <w:t xml:space="preserve"> </w:t>
      </w:r>
      <w:r w:rsidRPr="005827DA">
        <w:rPr>
          <w:rFonts w:ascii="Arial" w:hAnsi="Arial" w:cs="Arial"/>
          <w:sz w:val="20"/>
          <w:szCs w:val="20"/>
        </w:rPr>
        <w:t>(hot-air</w:t>
      </w:r>
      <w:r w:rsidRPr="005827DA">
        <w:rPr>
          <w:rFonts w:ascii="Arial" w:hAnsi="Arial" w:cs="Arial"/>
          <w:spacing w:val="-1"/>
          <w:sz w:val="20"/>
          <w:szCs w:val="20"/>
        </w:rPr>
        <w:t xml:space="preserve"> </w:t>
      </w:r>
      <w:r w:rsidRPr="005827DA">
        <w:rPr>
          <w:rFonts w:ascii="Arial" w:hAnsi="Arial" w:cs="Arial"/>
          <w:sz w:val="20"/>
          <w:szCs w:val="20"/>
        </w:rPr>
        <w:t>balloons);</w:t>
      </w:r>
    </w:p>
    <w:p w14:paraId="5C2A6529" w14:textId="77777777" w:rsidR="00F20810" w:rsidRPr="005827DA" w:rsidRDefault="00F20810" w:rsidP="005827DA">
      <w:pPr>
        <w:pStyle w:val="ListParagraph"/>
        <w:numPr>
          <w:ilvl w:val="1"/>
          <w:numId w:val="250"/>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burner</w:t>
      </w:r>
      <w:r w:rsidRPr="005827DA">
        <w:rPr>
          <w:rFonts w:ascii="Arial" w:hAnsi="Arial" w:cs="Arial"/>
          <w:spacing w:val="-2"/>
          <w:sz w:val="20"/>
          <w:szCs w:val="20"/>
        </w:rPr>
        <w:t xml:space="preserve"> </w:t>
      </w:r>
      <w:r w:rsidRPr="005827DA">
        <w:rPr>
          <w:rFonts w:ascii="Arial" w:hAnsi="Arial" w:cs="Arial"/>
          <w:sz w:val="20"/>
          <w:szCs w:val="20"/>
        </w:rPr>
        <w:t>failures,</w:t>
      </w:r>
      <w:r w:rsidRPr="005827DA">
        <w:rPr>
          <w:rFonts w:ascii="Arial" w:hAnsi="Arial" w:cs="Arial"/>
          <w:spacing w:val="-4"/>
          <w:sz w:val="20"/>
          <w:szCs w:val="20"/>
        </w:rPr>
        <w:t xml:space="preserve"> </w:t>
      </w:r>
      <w:r w:rsidRPr="005827DA">
        <w:rPr>
          <w:rFonts w:ascii="Arial" w:hAnsi="Arial" w:cs="Arial"/>
          <w:sz w:val="20"/>
          <w:szCs w:val="20"/>
        </w:rPr>
        <w:t>valve leaks,</w:t>
      </w:r>
      <w:r w:rsidRPr="005827DA">
        <w:rPr>
          <w:rFonts w:ascii="Arial" w:hAnsi="Arial" w:cs="Arial"/>
          <w:spacing w:val="-4"/>
          <w:sz w:val="20"/>
          <w:szCs w:val="20"/>
        </w:rPr>
        <w:t xml:space="preserve"> </w:t>
      </w:r>
      <w:r w:rsidRPr="005827DA">
        <w:rPr>
          <w:rFonts w:ascii="Arial" w:hAnsi="Arial" w:cs="Arial"/>
          <w:sz w:val="20"/>
          <w:szCs w:val="20"/>
        </w:rPr>
        <w:t>flame out</w:t>
      </w:r>
      <w:r w:rsidRPr="005827DA">
        <w:rPr>
          <w:rFonts w:ascii="Arial" w:hAnsi="Arial" w:cs="Arial"/>
          <w:spacing w:val="-2"/>
          <w:sz w:val="20"/>
          <w:szCs w:val="20"/>
        </w:rPr>
        <w:t xml:space="preserve"> </w:t>
      </w:r>
      <w:r w:rsidRPr="005827DA">
        <w:rPr>
          <w:rFonts w:ascii="Arial" w:hAnsi="Arial" w:cs="Arial"/>
          <w:sz w:val="20"/>
          <w:szCs w:val="20"/>
        </w:rPr>
        <w:t>and</w:t>
      </w:r>
      <w:r w:rsidRPr="005827DA">
        <w:rPr>
          <w:rFonts w:ascii="Arial" w:hAnsi="Arial" w:cs="Arial"/>
          <w:spacing w:val="-3"/>
          <w:sz w:val="20"/>
          <w:szCs w:val="20"/>
        </w:rPr>
        <w:t xml:space="preserve"> </w:t>
      </w:r>
      <w:r w:rsidRPr="005827DA">
        <w:rPr>
          <w:rFonts w:ascii="Arial" w:hAnsi="Arial" w:cs="Arial"/>
          <w:sz w:val="20"/>
          <w:szCs w:val="20"/>
        </w:rPr>
        <w:t>re-light</w:t>
      </w:r>
      <w:r w:rsidRPr="005827DA">
        <w:rPr>
          <w:rFonts w:ascii="Arial" w:hAnsi="Arial" w:cs="Arial"/>
          <w:spacing w:val="-3"/>
          <w:sz w:val="20"/>
          <w:szCs w:val="20"/>
        </w:rPr>
        <w:t xml:space="preserve"> </w:t>
      </w:r>
      <w:r w:rsidRPr="005827DA">
        <w:rPr>
          <w:rFonts w:ascii="Arial" w:hAnsi="Arial" w:cs="Arial"/>
          <w:sz w:val="20"/>
          <w:szCs w:val="20"/>
        </w:rPr>
        <w:t>(hot-air</w:t>
      </w:r>
      <w:r w:rsidRPr="005827DA">
        <w:rPr>
          <w:rFonts w:ascii="Arial" w:hAnsi="Arial" w:cs="Arial"/>
          <w:spacing w:val="-3"/>
          <w:sz w:val="20"/>
          <w:szCs w:val="20"/>
        </w:rPr>
        <w:t xml:space="preserve"> </w:t>
      </w:r>
      <w:r w:rsidRPr="005827DA">
        <w:rPr>
          <w:rFonts w:ascii="Arial" w:hAnsi="Arial" w:cs="Arial"/>
          <w:sz w:val="20"/>
          <w:szCs w:val="20"/>
        </w:rPr>
        <w:t>balloons);</w:t>
      </w:r>
    </w:p>
    <w:p w14:paraId="6177BA8F" w14:textId="77777777" w:rsidR="00F20810" w:rsidRPr="005827DA" w:rsidRDefault="00F20810" w:rsidP="005827DA">
      <w:pPr>
        <w:pStyle w:val="ListParagraph"/>
        <w:numPr>
          <w:ilvl w:val="1"/>
          <w:numId w:val="250"/>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gas</w:t>
      </w:r>
      <w:r w:rsidRPr="005827DA">
        <w:rPr>
          <w:rFonts w:ascii="Arial" w:hAnsi="Arial" w:cs="Arial"/>
          <w:spacing w:val="-1"/>
          <w:sz w:val="20"/>
          <w:szCs w:val="20"/>
        </w:rPr>
        <w:t xml:space="preserve"> </w:t>
      </w:r>
      <w:r w:rsidRPr="005827DA">
        <w:rPr>
          <w:rFonts w:ascii="Arial" w:hAnsi="Arial" w:cs="Arial"/>
          <w:sz w:val="20"/>
          <w:szCs w:val="20"/>
        </w:rPr>
        <w:t>leaks</w:t>
      </w:r>
      <w:r w:rsidRPr="005827DA">
        <w:rPr>
          <w:rFonts w:ascii="Arial" w:hAnsi="Arial" w:cs="Arial"/>
          <w:spacing w:val="-3"/>
          <w:sz w:val="20"/>
          <w:szCs w:val="20"/>
        </w:rPr>
        <w:t xml:space="preserve"> </w:t>
      </w:r>
      <w:r w:rsidRPr="005827DA">
        <w:rPr>
          <w:rFonts w:ascii="Arial" w:hAnsi="Arial" w:cs="Arial"/>
          <w:sz w:val="20"/>
          <w:szCs w:val="20"/>
        </w:rPr>
        <w:t>(gas</w:t>
      </w:r>
      <w:r w:rsidRPr="005827DA">
        <w:rPr>
          <w:rFonts w:ascii="Arial" w:hAnsi="Arial" w:cs="Arial"/>
          <w:spacing w:val="-1"/>
          <w:sz w:val="20"/>
          <w:szCs w:val="20"/>
        </w:rPr>
        <w:t xml:space="preserve"> </w:t>
      </w:r>
      <w:r w:rsidRPr="005827DA">
        <w:rPr>
          <w:rFonts w:ascii="Arial" w:hAnsi="Arial" w:cs="Arial"/>
          <w:sz w:val="20"/>
          <w:szCs w:val="20"/>
        </w:rPr>
        <w:t>balloons);</w:t>
      </w:r>
    </w:p>
    <w:p w14:paraId="493CEE3E" w14:textId="77777777" w:rsidR="00F20810" w:rsidRPr="005827DA" w:rsidRDefault="00F20810" w:rsidP="005827DA">
      <w:pPr>
        <w:pStyle w:val="ListParagraph"/>
        <w:numPr>
          <w:ilvl w:val="1"/>
          <w:numId w:val="250"/>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closed</w:t>
      </w:r>
      <w:r w:rsidRPr="005827DA">
        <w:rPr>
          <w:rFonts w:ascii="Arial" w:hAnsi="Arial" w:cs="Arial"/>
          <w:spacing w:val="-1"/>
          <w:sz w:val="20"/>
          <w:szCs w:val="20"/>
        </w:rPr>
        <w:t xml:space="preserve"> </w:t>
      </w:r>
      <w:r w:rsidRPr="005827DA">
        <w:rPr>
          <w:rFonts w:ascii="Arial" w:hAnsi="Arial" w:cs="Arial"/>
          <w:sz w:val="20"/>
          <w:szCs w:val="20"/>
        </w:rPr>
        <w:t>appendix</w:t>
      </w:r>
      <w:r w:rsidRPr="005827DA">
        <w:rPr>
          <w:rFonts w:ascii="Arial" w:hAnsi="Arial" w:cs="Arial"/>
          <w:spacing w:val="-4"/>
          <w:sz w:val="20"/>
          <w:szCs w:val="20"/>
        </w:rPr>
        <w:t xml:space="preserve"> </w:t>
      </w:r>
      <w:r w:rsidRPr="005827DA">
        <w:rPr>
          <w:rFonts w:ascii="Arial" w:hAnsi="Arial" w:cs="Arial"/>
          <w:sz w:val="20"/>
          <w:szCs w:val="20"/>
        </w:rPr>
        <w:t>during</w:t>
      </w:r>
      <w:r w:rsidRPr="005827DA">
        <w:rPr>
          <w:rFonts w:ascii="Arial" w:hAnsi="Arial" w:cs="Arial"/>
          <w:spacing w:val="-2"/>
          <w:sz w:val="20"/>
          <w:szCs w:val="20"/>
        </w:rPr>
        <w:t xml:space="preserve"> </w:t>
      </w:r>
      <w:r w:rsidRPr="005827DA">
        <w:rPr>
          <w:rFonts w:ascii="Arial" w:hAnsi="Arial" w:cs="Arial"/>
          <w:sz w:val="20"/>
          <w:szCs w:val="20"/>
        </w:rPr>
        <w:t>take-off</w:t>
      </w:r>
      <w:r w:rsidRPr="005827DA">
        <w:rPr>
          <w:rFonts w:ascii="Arial" w:hAnsi="Arial" w:cs="Arial"/>
          <w:spacing w:val="-1"/>
          <w:sz w:val="20"/>
          <w:szCs w:val="20"/>
        </w:rPr>
        <w:t xml:space="preserve"> </w:t>
      </w:r>
      <w:r w:rsidRPr="005827DA">
        <w:rPr>
          <w:rFonts w:ascii="Arial" w:hAnsi="Arial" w:cs="Arial"/>
          <w:sz w:val="20"/>
          <w:szCs w:val="20"/>
        </w:rPr>
        <w:t>and</w:t>
      </w:r>
      <w:r w:rsidRPr="005827DA">
        <w:rPr>
          <w:rFonts w:ascii="Arial" w:hAnsi="Arial" w:cs="Arial"/>
          <w:spacing w:val="-4"/>
          <w:sz w:val="20"/>
          <w:szCs w:val="20"/>
        </w:rPr>
        <w:t xml:space="preserve"> </w:t>
      </w:r>
      <w:r w:rsidRPr="005827DA">
        <w:rPr>
          <w:rFonts w:ascii="Arial" w:hAnsi="Arial" w:cs="Arial"/>
          <w:sz w:val="20"/>
          <w:szCs w:val="20"/>
        </w:rPr>
        <w:t>climb</w:t>
      </w:r>
      <w:r w:rsidRPr="005827DA">
        <w:rPr>
          <w:rFonts w:ascii="Arial" w:hAnsi="Arial" w:cs="Arial"/>
          <w:spacing w:val="-3"/>
          <w:sz w:val="20"/>
          <w:szCs w:val="20"/>
        </w:rPr>
        <w:t xml:space="preserve"> </w:t>
      </w:r>
      <w:r w:rsidRPr="005827DA">
        <w:rPr>
          <w:rFonts w:ascii="Arial" w:hAnsi="Arial" w:cs="Arial"/>
          <w:sz w:val="20"/>
          <w:szCs w:val="20"/>
        </w:rPr>
        <w:t>(gas</w:t>
      </w:r>
      <w:r w:rsidRPr="005827DA">
        <w:rPr>
          <w:rFonts w:ascii="Arial" w:hAnsi="Arial" w:cs="Arial"/>
          <w:spacing w:val="-1"/>
          <w:sz w:val="20"/>
          <w:szCs w:val="20"/>
        </w:rPr>
        <w:t xml:space="preserve"> </w:t>
      </w:r>
      <w:r w:rsidRPr="005827DA">
        <w:rPr>
          <w:rFonts w:ascii="Arial" w:hAnsi="Arial" w:cs="Arial"/>
          <w:sz w:val="20"/>
          <w:szCs w:val="20"/>
        </w:rPr>
        <w:t>balloons);</w:t>
      </w:r>
    </w:p>
    <w:p w14:paraId="418CA8C0" w14:textId="77777777" w:rsidR="00F20810" w:rsidRPr="005827DA" w:rsidRDefault="00F20810" w:rsidP="005827DA">
      <w:pPr>
        <w:pStyle w:val="ListParagraph"/>
        <w:numPr>
          <w:ilvl w:val="1"/>
          <w:numId w:val="250"/>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envelope</w:t>
      </w:r>
      <w:r w:rsidRPr="005827DA">
        <w:rPr>
          <w:rFonts w:ascii="Arial" w:hAnsi="Arial" w:cs="Arial"/>
          <w:spacing w:val="-4"/>
          <w:sz w:val="20"/>
          <w:szCs w:val="20"/>
        </w:rPr>
        <w:t xml:space="preserve"> </w:t>
      </w:r>
      <w:r w:rsidRPr="005827DA">
        <w:rPr>
          <w:rFonts w:ascii="Arial" w:hAnsi="Arial" w:cs="Arial"/>
          <w:sz w:val="20"/>
          <w:szCs w:val="20"/>
        </w:rPr>
        <w:t>over</w:t>
      </w:r>
      <w:r w:rsidRPr="005827DA">
        <w:rPr>
          <w:rFonts w:ascii="Arial" w:hAnsi="Arial" w:cs="Arial"/>
          <w:spacing w:val="-2"/>
          <w:sz w:val="20"/>
          <w:szCs w:val="20"/>
        </w:rPr>
        <w:t xml:space="preserve"> </w:t>
      </w:r>
      <w:r w:rsidRPr="005827DA">
        <w:rPr>
          <w:rFonts w:ascii="Arial" w:hAnsi="Arial" w:cs="Arial"/>
          <w:sz w:val="20"/>
          <w:szCs w:val="20"/>
        </w:rPr>
        <w:t>temperature</w:t>
      </w:r>
      <w:r w:rsidRPr="005827DA">
        <w:rPr>
          <w:rFonts w:ascii="Arial" w:hAnsi="Arial" w:cs="Arial"/>
          <w:spacing w:val="-2"/>
          <w:sz w:val="20"/>
          <w:szCs w:val="20"/>
        </w:rPr>
        <w:t xml:space="preserve"> </w:t>
      </w:r>
      <w:r w:rsidRPr="005827DA">
        <w:rPr>
          <w:rFonts w:ascii="Arial" w:hAnsi="Arial" w:cs="Arial"/>
          <w:sz w:val="20"/>
          <w:szCs w:val="20"/>
        </w:rPr>
        <w:t>(hot-air</w:t>
      </w:r>
      <w:r w:rsidRPr="005827DA">
        <w:rPr>
          <w:rFonts w:ascii="Arial" w:hAnsi="Arial" w:cs="Arial"/>
          <w:spacing w:val="-3"/>
          <w:sz w:val="20"/>
          <w:szCs w:val="20"/>
        </w:rPr>
        <w:t xml:space="preserve"> </w:t>
      </w:r>
      <w:r w:rsidRPr="005827DA">
        <w:rPr>
          <w:rFonts w:ascii="Arial" w:hAnsi="Arial" w:cs="Arial"/>
          <w:sz w:val="20"/>
          <w:szCs w:val="20"/>
        </w:rPr>
        <w:t>balloons);</w:t>
      </w:r>
    </w:p>
    <w:p w14:paraId="4C329AA0" w14:textId="77777777" w:rsidR="00F20810" w:rsidRPr="005827DA" w:rsidRDefault="00F20810" w:rsidP="005827DA">
      <w:pPr>
        <w:pStyle w:val="ListParagraph"/>
        <w:numPr>
          <w:ilvl w:val="1"/>
          <w:numId w:val="250"/>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envelope</w:t>
      </w:r>
      <w:r w:rsidRPr="005827DA">
        <w:rPr>
          <w:rFonts w:ascii="Arial" w:hAnsi="Arial" w:cs="Arial"/>
          <w:spacing w:val="-1"/>
          <w:sz w:val="20"/>
          <w:szCs w:val="20"/>
        </w:rPr>
        <w:t xml:space="preserve"> </w:t>
      </w:r>
      <w:r w:rsidRPr="005827DA">
        <w:rPr>
          <w:rFonts w:ascii="Arial" w:hAnsi="Arial" w:cs="Arial"/>
          <w:sz w:val="20"/>
          <w:szCs w:val="20"/>
        </w:rPr>
        <w:t>damage</w:t>
      </w:r>
      <w:r w:rsidRPr="005827DA">
        <w:rPr>
          <w:rFonts w:ascii="Arial" w:hAnsi="Arial" w:cs="Arial"/>
          <w:spacing w:val="-1"/>
          <w:sz w:val="20"/>
          <w:szCs w:val="20"/>
        </w:rPr>
        <w:t xml:space="preserve"> </w:t>
      </w:r>
      <w:r w:rsidRPr="005827DA">
        <w:rPr>
          <w:rFonts w:ascii="Arial" w:hAnsi="Arial" w:cs="Arial"/>
          <w:sz w:val="20"/>
          <w:szCs w:val="20"/>
        </w:rPr>
        <w:t>in</w:t>
      </w:r>
      <w:r w:rsidRPr="005827DA">
        <w:rPr>
          <w:rFonts w:ascii="Arial" w:hAnsi="Arial" w:cs="Arial"/>
          <w:spacing w:val="-3"/>
          <w:sz w:val="20"/>
          <w:szCs w:val="20"/>
        </w:rPr>
        <w:t xml:space="preserve"> </w:t>
      </w:r>
      <w:r w:rsidRPr="005827DA">
        <w:rPr>
          <w:rFonts w:ascii="Arial" w:hAnsi="Arial" w:cs="Arial"/>
          <w:sz w:val="20"/>
          <w:szCs w:val="20"/>
        </w:rPr>
        <w:t>flight;</w:t>
      </w:r>
    </w:p>
    <w:p w14:paraId="4C62D3E6" w14:textId="77777777" w:rsidR="00F20810" w:rsidRPr="005827DA" w:rsidRDefault="00F20810" w:rsidP="005827DA">
      <w:pPr>
        <w:pStyle w:val="ListParagraph"/>
        <w:numPr>
          <w:ilvl w:val="1"/>
          <w:numId w:val="250"/>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parachute</w:t>
      </w:r>
      <w:r w:rsidRPr="005827DA">
        <w:rPr>
          <w:rFonts w:ascii="Arial" w:hAnsi="Arial" w:cs="Arial"/>
          <w:spacing w:val="-4"/>
          <w:sz w:val="20"/>
          <w:szCs w:val="20"/>
        </w:rPr>
        <w:t xml:space="preserve"> </w:t>
      </w:r>
      <w:r w:rsidRPr="005827DA">
        <w:rPr>
          <w:rFonts w:ascii="Arial" w:hAnsi="Arial" w:cs="Arial"/>
          <w:sz w:val="20"/>
          <w:szCs w:val="20"/>
        </w:rPr>
        <w:t>or</w:t>
      </w:r>
      <w:r w:rsidRPr="005827DA">
        <w:rPr>
          <w:rFonts w:ascii="Arial" w:hAnsi="Arial" w:cs="Arial"/>
          <w:spacing w:val="-5"/>
          <w:sz w:val="20"/>
          <w:szCs w:val="20"/>
        </w:rPr>
        <w:t xml:space="preserve"> </w:t>
      </w:r>
      <w:r w:rsidRPr="005827DA">
        <w:rPr>
          <w:rFonts w:ascii="Arial" w:hAnsi="Arial" w:cs="Arial"/>
          <w:sz w:val="20"/>
          <w:szCs w:val="20"/>
        </w:rPr>
        <w:t>rapid</w:t>
      </w:r>
      <w:r w:rsidRPr="005827DA">
        <w:rPr>
          <w:rFonts w:ascii="Arial" w:hAnsi="Arial" w:cs="Arial"/>
          <w:spacing w:val="-2"/>
          <w:sz w:val="20"/>
          <w:szCs w:val="20"/>
        </w:rPr>
        <w:t xml:space="preserve"> </w:t>
      </w:r>
      <w:r w:rsidRPr="005827DA">
        <w:rPr>
          <w:rFonts w:ascii="Arial" w:hAnsi="Arial" w:cs="Arial"/>
          <w:sz w:val="20"/>
          <w:szCs w:val="20"/>
        </w:rPr>
        <w:t>deflation</w:t>
      </w:r>
      <w:r w:rsidRPr="005827DA">
        <w:rPr>
          <w:rFonts w:ascii="Arial" w:hAnsi="Arial" w:cs="Arial"/>
          <w:spacing w:val="-3"/>
          <w:sz w:val="20"/>
          <w:szCs w:val="20"/>
        </w:rPr>
        <w:t xml:space="preserve"> </w:t>
      </w:r>
      <w:r w:rsidRPr="005827DA">
        <w:rPr>
          <w:rFonts w:ascii="Arial" w:hAnsi="Arial" w:cs="Arial"/>
          <w:sz w:val="20"/>
          <w:szCs w:val="20"/>
        </w:rPr>
        <w:t>system</w:t>
      </w:r>
      <w:r w:rsidRPr="005827DA">
        <w:rPr>
          <w:rFonts w:ascii="Arial" w:hAnsi="Arial" w:cs="Arial"/>
          <w:spacing w:val="-3"/>
          <w:sz w:val="20"/>
          <w:szCs w:val="20"/>
        </w:rPr>
        <w:t xml:space="preserve"> </w:t>
      </w:r>
      <w:r w:rsidRPr="005827DA">
        <w:rPr>
          <w:rFonts w:ascii="Arial" w:hAnsi="Arial" w:cs="Arial"/>
          <w:sz w:val="20"/>
          <w:szCs w:val="20"/>
        </w:rPr>
        <w:t>failure;</w:t>
      </w:r>
    </w:p>
    <w:p w14:paraId="06680E5A" w14:textId="77777777" w:rsidR="00F20810" w:rsidRPr="005827DA" w:rsidRDefault="00F20810" w:rsidP="005827DA">
      <w:pPr>
        <w:pStyle w:val="ListParagraph"/>
        <w:numPr>
          <w:ilvl w:val="1"/>
          <w:numId w:val="250"/>
        </w:numPr>
        <w:tabs>
          <w:tab w:val="left" w:pos="90"/>
          <w:tab w:val="left" w:pos="2975"/>
          <w:tab w:val="left" w:pos="2976"/>
        </w:tabs>
        <w:spacing w:before="118"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fire</w:t>
      </w:r>
      <w:r w:rsidRPr="005827DA">
        <w:rPr>
          <w:rFonts w:ascii="Arial" w:hAnsi="Arial" w:cs="Arial"/>
          <w:spacing w:val="-2"/>
          <w:sz w:val="20"/>
          <w:szCs w:val="20"/>
        </w:rPr>
        <w:t xml:space="preserve"> </w:t>
      </w:r>
      <w:r w:rsidRPr="005827DA">
        <w:rPr>
          <w:rFonts w:ascii="Arial" w:hAnsi="Arial" w:cs="Arial"/>
          <w:sz w:val="20"/>
          <w:szCs w:val="20"/>
        </w:rPr>
        <w:t>on</w:t>
      </w:r>
      <w:r w:rsidRPr="005827DA">
        <w:rPr>
          <w:rFonts w:ascii="Arial" w:hAnsi="Arial" w:cs="Arial"/>
          <w:spacing w:val="-1"/>
          <w:sz w:val="20"/>
          <w:szCs w:val="20"/>
        </w:rPr>
        <w:t xml:space="preserve"> </w:t>
      </w:r>
      <w:r w:rsidRPr="005827DA">
        <w:rPr>
          <w:rFonts w:ascii="Arial" w:hAnsi="Arial" w:cs="Arial"/>
          <w:sz w:val="20"/>
          <w:szCs w:val="20"/>
        </w:rPr>
        <w:t>ground</w:t>
      </w:r>
      <w:r w:rsidRPr="005827DA">
        <w:rPr>
          <w:rFonts w:ascii="Arial" w:hAnsi="Arial" w:cs="Arial"/>
          <w:spacing w:val="-1"/>
          <w:sz w:val="20"/>
          <w:szCs w:val="20"/>
        </w:rPr>
        <w:t xml:space="preserve"> </w:t>
      </w:r>
      <w:r w:rsidRPr="005827DA">
        <w:rPr>
          <w:rFonts w:ascii="Arial" w:hAnsi="Arial" w:cs="Arial"/>
          <w:sz w:val="20"/>
          <w:szCs w:val="20"/>
        </w:rPr>
        <w:t>and</w:t>
      </w:r>
      <w:r w:rsidRPr="005827DA">
        <w:rPr>
          <w:rFonts w:ascii="Arial" w:hAnsi="Arial" w:cs="Arial"/>
          <w:spacing w:val="-1"/>
          <w:sz w:val="20"/>
          <w:szCs w:val="20"/>
        </w:rPr>
        <w:t xml:space="preserve"> </w:t>
      </w:r>
      <w:r w:rsidRPr="005827DA">
        <w:rPr>
          <w:rFonts w:ascii="Arial" w:hAnsi="Arial" w:cs="Arial"/>
          <w:sz w:val="20"/>
          <w:szCs w:val="20"/>
        </w:rPr>
        <w:t>in the</w:t>
      </w:r>
      <w:r w:rsidRPr="005827DA">
        <w:rPr>
          <w:rFonts w:ascii="Arial" w:hAnsi="Arial" w:cs="Arial"/>
          <w:spacing w:val="1"/>
          <w:sz w:val="20"/>
          <w:szCs w:val="20"/>
        </w:rPr>
        <w:t xml:space="preserve"> </w:t>
      </w:r>
      <w:r w:rsidRPr="005827DA">
        <w:rPr>
          <w:rFonts w:ascii="Arial" w:hAnsi="Arial" w:cs="Arial"/>
          <w:sz w:val="20"/>
          <w:szCs w:val="20"/>
        </w:rPr>
        <w:t>air;</w:t>
      </w:r>
    </w:p>
    <w:p w14:paraId="60FB4678" w14:textId="77777777" w:rsidR="00F20810" w:rsidRPr="005827DA" w:rsidRDefault="00F20810" w:rsidP="005827DA">
      <w:pPr>
        <w:pStyle w:val="ListParagraph"/>
        <w:numPr>
          <w:ilvl w:val="1"/>
          <w:numId w:val="250"/>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38"/>
          <w:sz w:val="20"/>
          <w:szCs w:val="20"/>
        </w:rPr>
        <w:t xml:space="preserve"> </w:t>
      </w:r>
      <w:r w:rsidRPr="005827DA">
        <w:rPr>
          <w:rFonts w:ascii="Arial" w:hAnsi="Arial" w:cs="Arial"/>
          <w:sz w:val="20"/>
          <w:szCs w:val="20"/>
        </w:rPr>
        <w:t>to</w:t>
      </w:r>
      <w:r w:rsidRPr="005827DA">
        <w:rPr>
          <w:rFonts w:ascii="Arial" w:hAnsi="Arial" w:cs="Arial"/>
          <w:spacing w:val="39"/>
          <w:sz w:val="20"/>
          <w:szCs w:val="20"/>
        </w:rPr>
        <w:t xml:space="preserve"> </w:t>
      </w:r>
      <w:r w:rsidRPr="005827DA">
        <w:rPr>
          <w:rFonts w:ascii="Arial" w:hAnsi="Arial" w:cs="Arial"/>
          <w:sz w:val="20"/>
          <w:szCs w:val="20"/>
        </w:rPr>
        <w:t>avoid</w:t>
      </w:r>
      <w:r w:rsidRPr="005827DA">
        <w:rPr>
          <w:rFonts w:ascii="Arial" w:hAnsi="Arial" w:cs="Arial"/>
          <w:spacing w:val="37"/>
          <w:sz w:val="20"/>
          <w:szCs w:val="20"/>
        </w:rPr>
        <w:t xml:space="preserve"> </w:t>
      </w:r>
      <w:r w:rsidRPr="005827DA">
        <w:rPr>
          <w:rFonts w:ascii="Arial" w:hAnsi="Arial" w:cs="Arial"/>
          <w:sz w:val="20"/>
          <w:szCs w:val="20"/>
        </w:rPr>
        <w:t>an</w:t>
      </w:r>
      <w:r w:rsidRPr="005827DA">
        <w:rPr>
          <w:rFonts w:ascii="Arial" w:hAnsi="Arial" w:cs="Arial"/>
          <w:spacing w:val="37"/>
          <w:sz w:val="20"/>
          <w:szCs w:val="20"/>
        </w:rPr>
        <w:t xml:space="preserve"> </w:t>
      </w:r>
      <w:r w:rsidRPr="005827DA">
        <w:rPr>
          <w:rFonts w:ascii="Arial" w:hAnsi="Arial" w:cs="Arial"/>
          <w:sz w:val="20"/>
          <w:szCs w:val="20"/>
        </w:rPr>
        <w:t>obstacle</w:t>
      </w:r>
      <w:r w:rsidRPr="005827DA">
        <w:rPr>
          <w:rFonts w:ascii="Arial" w:hAnsi="Arial" w:cs="Arial"/>
          <w:spacing w:val="36"/>
          <w:sz w:val="20"/>
          <w:szCs w:val="20"/>
        </w:rPr>
        <w:t xml:space="preserve"> </w:t>
      </w:r>
      <w:r w:rsidRPr="005827DA">
        <w:rPr>
          <w:rFonts w:ascii="Arial" w:hAnsi="Arial" w:cs="Arial"/>
          <w:sz w:val="20"/>
          <w:szCs w:val="20"/>
        </w:rPr>
        <w:t>contact</w:t>
      </w:r>
      <w:r w:rsidRPr="005827DA">
        <w:rPr>
          <w:rFonts w:ascii="Arial" w:hAnsi="Arial" w:cs="Arial"/>
          <w:spacing w:val="38"/>
          <w:sz w:val="20"/>
          <w:szCs w:val="20"/>
        </w:rPr>
        <w:t xml:space="preserve"> </w:t>
      </w:r>
      <w:r w:rsidRPr="005827DA">
        <w:rPr>
          <w:rFonts w:ascii="Arial" w:hAnsi="Arial" w:cs="Arial"/>
          <w:sz w:val="20"/>
          <w:szCs w:val="20"/>
        </w:rPr>
        <w:t>including</w:t>
      </w:r>
      <w:r w:rsidRPr="005827DA">
        <w:rPr>
          <w:rFonts w:ascii="Arial" w:hAnsi="Arial" w:cs="Arial"/>
          <w:spacing w:val="38"/>
          <w:sz w:val="20"/>
          <w:szCs w:val="20"/>
        </w:rPr>
        <w:t xml:space="preserve"> </w:t>
      </w:r>
      <w:r w:rsidRPr="005827DA">
        <w:rPr>
          <w:rFonts w:ascii="Arial" w:hAnsi="Arial" w:cs="Arial"/>
          <w:sz w:val="20"/>
          <w:szCs w:val="20"/>
        </w:rPr>
        <w:t>contact</w:t>
      </w:r>
      <w:r w:rsidRPr="005827DA">
        <w:rPr>
          <w:rFonts w:ascii="Arial" w:hAnsi="Arial" w:cs="Arial"/>
          <w:spacing w:val="36"/>
          <w:sz w:val="20"/>
          <w:szCs w:val="20"/>
        </w:rPr>
        <w:t xml:space="preserve"> </w:t>
      </w:r>
      <w:r w:rsidRPr="005827DA">
        <w:rPr>
          <w:rFonts w:ascii="Arial" w:hAnsi="Arial" w:cs="Arial"/>
          <w:sz w:val="20"/>
          <w:szCs w:val="20"/>
        </w:rPr>
        <w:t>with</w:t>
      </w:r>
      <w:r w:rsidRPr="005827DA">
        <w:rPr>
          <w:rFonts w:ascii="Arial" w:hAnsi="Arial" w:cs="Arial"/>
          <w:spacing w:val="38"/>
          <w:sz w:val="20"/>
          <w:szCs w:val="20"/>
        </w:rPr>
        <w:t xml:space="preserve"> </w:t>
      </w:r>
      <w:r w:rsidRPr="005827DA">
        <w:rPr>
          <w:rFonts w:ascii="Arial" w:hAnsi="Arial" w:cs="Arial"/>
          <w:sz w:val="20"/>
          <w:szCs w:val="20"/>
        </w:rPr>
        <w:t>electrical</w:t>
      </w:r>
      <w:r w:rsidRPr="005827DA">
        <w:rPr>
          <w:rFonts w:ascii="Arial" w:hAnsi="Arial" w:cs="Arial"/>
          <w:spacing w:val="-47"/>
          <w:sz w:val="20"/>
          <w:szCs w:val="20"/>
        </w:rPr>
        <w:t xml:space="preserve"> </w:t>
      </w:r>
      <w:r w:rsidRPr="005827DA">
        <w:rPr>
          <w:rFonts w:ascii="Arial" w:hAnsi="Arial" w:cs="Arial"/>
          <w:sz w:val="20"/>
          <w:szCs w:val="20"/>
        </w:rPr>
        <w:t>power</w:t>
      </w:r>
      <w:r w:rsidRPr="005827DA">
        <w:rPr>
          <w:rFonts w:ascii="Arial" w:hAnsi="Arial" w:cs="Arial"/>
          <w:spacing w:val="-2"/>
          <w:sz w:val="20"/>
          <w:szCs w:val="20"/>
        </w:rPr>
        <w:t xml:space="preserve"> </w:t>
      </w:r>
      <w:r w:rsidRPr="005827DA">
        <w:rPr>
          <w:rFonts w:ascii="Arial" w:hAnsi="Arial" w:cs="Arial"/>
          <w:sz w:val="20"/>
          <w:szCs w:val="20"/>
        </w:rPr>
        <w:t>lines;</w:t>
      </w:r>
      <w:r w:rsidRPr="005827DA">
        <w:rPr>
          <w:rFonts w:ascii="Arial" w:hAnsi="Arial" w:cs="Arial"/>
          <w:spacing w:val="-1"/>
          <w:sz w:val="20"/>
          <w:szCs w:val="20"/>
        </w:rPr>
        <w:t xml:space="preserve"> </w:t>
      </w:r>
      <w:r w:rsidRPr="005827DA">
        <w:rPr>
          <w:rFonts w:ascii="Arial" w:hAnsi="Arial" w:cs="Arial"/>
          <w:sz w:val="20"/>
          <w:szCs w:val="20"/>
        </w:rPr>
        <w:t>and</w:t>
      </w:r>
    </w:p>
    <w:p w14:paraId="22CB5724" w14:textId="77777777" w:rsidR="00F20810" w:rsidRPr="005827DA" w:rsidRDefault="00F20810" w:rsidP="005827DA">
      <w:pPr>
        <w:pStyle w:val="ListParagraph"/>
        <w:numPr>
          <w:ilvl w:val="1"/>
          <w:numId w:val="250"/>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escape drills,</w:t>
      </w:r>
      <w:r w:rsidRPr="005827DA">
        <w:rPr>
          <w:rFonts w:ascii="Arial" w:hAnsi="Arial" w:cs="Arial"/>
          <w:spacing w:val="-3"/>
          <w:sz w:val="20"/>
          <w:szCs w:val="20"/>
        </w:rPr>
        <w:t xml:space="preserve"> </w:t>
      </w:r>
      <w:r w:rsidRPr="005827DA">
        <w:rPr>
          <w:rFonts w:ascii="Arial" w:hAnsi="Arial" w:cs="Arial"/>
          <w:sz w:val="20"/>
          <w:szCs w:val="20"/>
        </w:rPr>
        <w:t>location</w:t>
      </w:r>
      <w:r w:rsidRPr="005827DA">
        <w:rPr>
          <w:rFonts w:ascii="Arial" w:hAnsi="Arial" w:cs="Arial"/>
          <w:spacing w:val="-1"/>
          <w:sz w:val="20"/>
          <w:szCs w:val="20"/>
        </w:rPr>
        <w:t xml:space="preserve"> </w:t>
      </w:r>
      <w:r w:rsidRPr="005827DA">
        <w:rPr>
          <w:rFonts w:ascii="Arial" w:hAnsi="Arial" w:cs="Arial"/>
          <w:sz w:val="20"/>
          <w:szCs w:val="20"/>
        </w:rPr>
        <w:t>and</w:t>
      </w:r>
      <w:r w:rsidRPr="005827DA">
        <w:rPr>
          <w:rFonts w:ascii="Arial" w:hAnsi="Arial" w:cs="Arial"/>
          <w:spacing w:val="-3"/>
          <w:sz w:val="20"/>
          <w:szCs w:val="20"/>
        </w:rPr>
        <w:t xml:space="preserve"> </w:t>
      </w:r>
      <w:r w:rsidRPr="005827DA">
        <w:rPr>
          <w:rFonts w:ascii="Arial" w:hAnsi="Arial" w:cs="Arial"/>
          <w:sz w:val="20"/>
          <w:szCs w:val="20"/>
        </w:rPr>
        <w:t>use of</w:t>
      </w:r>
      <w:r w:rsidRPr="005827DA">
        <w:rPr>
          <w:rFonts w:ascii="Arial" w:hAnsi="Arial" w:cs="Arial"/>
          <w:spacing w:val="-3"/>
          <w:sz w:val="20"/>
          <w:szCs w:val="20"/>
        </w:rPr>
        <w:t xml:space="preserve"> </w:t>
      </w:r>
      <w:r w:rsidRPr="005827DA">
        <w:rPr>
          <w:rFonts w:ascii="Arial" w:hAnsi="Arial" w:cs="Arial"/>
          <w:sz w:val="20"/>
          <w:szCs w:val="20"/>
        </w:rPr>
        <w:t>emergency</w:t>
      </w:r>
      <w:r w:rsidRPr="005827DA">
        <w:rPr>
          <w:rFonts w:ascii="Arial" w:hAnsi="Arial" w:cs="Arial"/>
          <w:spacing w:val="-2"/>
          <w:sz w:val="20"/>
          <w:szCs w:val="20"/>
        </w:rPr>
        <w:t xml:space="preserve"> </w:t>
      </w:r>
      <w:r w:rsidRPr="005827DA">
        <w:rPr>
          <w:rFonts w:ascii="Arial" w:hAnsi="Arial" w:cs="Arial"/>
          <w:sz w:val="20"/>
          <w:szCs w:val="20"/>
        </w:rPr>
        <w:t>equipment.</w:t>
      </w:r>
    </w:p>
    <w:p w14:paraId="6DDAC8FB" w14:textId="77777777" w:rsidR="00F20810" w:rsidRPr="005827DA" w:rsidRDefault="00F20810" w:rsidP="005827DA">
      <w:pPr>
        <w:pStyle w:val="ListParagraph"/>
        <w:numPr>
          <w:ilvl w:val="0"/>
          <w:numId w:val="250"/>
        </w:numPr>
        <w:tabs>
          <w:tab w:val="left" w:pos="90"/>
          <w:tab w:val="left" w:pos="2408"/>
          <w:tab w:val="left" w:pos="2409"/>
        </w:tabs>
        <w:spacing w:line="276" w:lineRule="auto"/>
        <w:ind w:right="68" w:hanging="436"/>
        <w:jc w:val="both"/>
        <w:rPr>
          <w:rFonts w:ascii="Arial" w:hAnsi="Arial" w:cs="Arial"/>
          <w:sz w:val="20"/>
          <w:szCs w:val="20"/>
        </w:rPr>
      </w:pPr>
      <w:r w:rsidRPr="005827DA">
        <w:rPr>
          <w:rFonts w:ascii="Arial" w:hAnsi="Arial" w:cs="Arial"/>
          <w:sz w:val="20"/>
          <w:szCs w:val="20"/>
        </w:rPr>
        <w:t>Air</w:t>
      </w:r>
      <w:r w:rsidRPr="005827DA">
        <w:rPr>
          <w:rFonts w:ascii="Arial" w:hAnsi="Arial" w:cs="Arial"/>
          <w:spacing w:val="-1"/>
          <w:sz w:val="20"/>
          <w:szCs w:val="20"/>
        </w:rPr>
        <w:t xml:space="preserve"> </w:t>
      </w:r>
      <w:r w:rsidRPr="005827DA">
        <w:rPr>
          <w:rFonts w:ascii="Arial" w:hAnsi="Arial" w:cs="Arial"/>
          <w:sz w:val="20"/>
          <w:szCs w:val="20"/>
        </w:rPr>
        <w:t>exercise</w:t>
      </w:r>
    </w:p>
    <w:p w14:paraId="7D5D3B44" w14:textId="77777777" w:rsidR="00F20810" w:rsidRPr="005827DA" w:rsidRDefault="00F20810" w:rsidP="005827DA">
      <w:pPr>
        <w:pStyle w:val="BodyText"/>
        <w:tabs>
          <w:tab w:val="left" w:pos="90"/>
        </w:tabs>
        <w:spacing w:before="121" w:line="276" w:lineRule="auto"/>
        <w:ind w:left="2408" w:right="68" w:hanging="436"/>
        <w:jc w:val="both"/>
        <w:rPr>
          <w:rFonts w:ascii="Arial" w:hAnsi="Arial" w:cs="Arial"/>
          <w:sz w:val="20"/>
          <w:szCs w:val="20"/>
        </w:rPr>
      </w:pPr>
      <w:r w:rsidRPr="005827DA">
        <w:rPr>
          <w:rFonts w:ascii="Arial" w:hAnsi="Arial" w:cs="Arial"/>
          <w:sz w:val="20"/>
          <w:szCs w:val="20"/>
        </w:rPr>
        <w:t>The student instructor has to demonstrate (in the air or during a simulation</w:t>
      </w:r>
      <w:r w:rsidRPr="005827DA">
        <w:rPr>
          <w:rFonts w:ascii="Arial" w:hAnsi="Arial" w:cs="Arial"/>
          <w:spacing w:val="-47"/>
          <w:sz w:val="20"/>
          <w:szCs w:val="20"/>
        </w:rPr>
        <w:t xml:space="preserve"> </w:t>
      </w:r>
      <w:r w:rsidRPr="005827DA">
        <w:rPr>
          <w:rFonts w:ascii="Arial" w:hAnsi="Arial" w:cs="Arial"/>
          <w:sz w:val="20"/>
          <w:szCs w:val="20"/>
        </w:rPr>
        <w:t>on</w:t>
      </w:r>
      <w:r w:rsidRPr="005827DA">
        <w:rPr>
          <w:rFonts w:ascii="Arial" w:hAnsi="Arial" w:cs="Arial"/>
          <w:spacing w:val="-1"/>
          <w:sz w:val="20"/>
          <w:szCs w:val="20"/>
        </w:rPr>
        <w:t xml:space="preserve"> </w:t>
      </w: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ground):</w:t>
      </w:r>
    </w:p>
    <w:p w14:paraId="7CB7AA18" w14:textId="77777777" w:rsidR="00F20810" w:rsidRPr="005827DA" w:rsidRDefault="00F20810" w:rsidP="005827DA">
      <w:pPr>
        <w:pStyle w:val="ListParagraph"/>
        <w:numPr>
          <w:ilvl w:val="1"/>
          <w:numId w:val="250"/>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a</w:t>
      </w:r>
      <w:r w:rsidRPr="005827DA">
        <w:rPr>
          <w:rFonts w:ascii="Arial" w:hAnsi="Arial" w:cs="Arial"/>
          <w:spacing w:val="-2"/>
          <w:sz w:val="20"/>
          <w:szCs w:val="20"/>
        </w:rPr>
        <w:t xml:space="preserve"> </w:t>
      </w:r>
      <w:r w:rsidRPr="005827DA">
        <w:rPr>
          <w:rFonts w:ascii="Arial" w:hAnsi="Arial" w:cs="Arial"/>
          <w:sz w:val="20"/>
          <w:szCs w:val="20"/>
        </w:rPr>
        <w:t>pilot</w:t>
      </w:r>
      <w:r w:rsidRPr="005827DA">
        <w:rPr>
          <w:rFonts w:ascii="Arial" w:hAnsi="Arial" w:cs="Arial"/>
          <w:spacing w:val="-1"/>
          <w:sz w:val="20"/>
          <w:szCs w:val="20"/>
        </w:rPr>
        <w:t xml:space="preserve"> </w:t>
      </w:r>
      <w:r w:rsidRPr="005827DA">
        <w:rPr>
          <w:rFonts w:ascii="Arial" w:hAnsi="Arial" w:cs="Arial"/>
          <w:sz w:val="20"/>
          <w:szCs w:val="20"/>
        </w:rPr>
        <w:t>light</w:t>
      </w:r>
      <w:r w:rsidRPr="005827DA">
        <w:rPr>
          <w:rFonts w:ascii="Arial" w:hAnsi="Arial" w:cs="Arial"/>
          <w:spacing w:val="-3"/>
          <w:sz w:val="20"/>
          <w:szCs w:val="20"/>
        </w:rPr>
        <w:t xml:space="preserve"> </w:t>
      </w:r>
      <w:r w:rsidRPr="005827DA">
        <w:rPr>
          <w:rFonts w:ascii="Arial" w:hAnsi="Arial" w:cs="Arial"/>
          <w:sz w:val="20"/>
          <w:szCs w:val="20"/>
        </w:rPr>
        <w:t>failure</w:t>
      </w:r>
      <w:r w:rsidRPr="005827DA">
        <w:rPr>
          <w:rFonts w:ascii="Arial" w:hAnsi="Arial" w:cs="Arial"/>
          <w:spacing w:val="-1"/>
          <w:sz w:val="20"/>
          <w:szCs w:val="20"/>
        </w:rPr>
        <w:t xml:space="preserve"> </w:t>
      </w:r>
      <w:r w:rsidRPr="005827DA">
        <w:rPr>
          <w:rFonts w:ascii="Arial" w:hAnsi="Arial" w:cs="Arial"/>
          <w:sz w:val="20"/>
          <w:szCs w:val="20"/>
        </w:rPr>
        <w:t>(hot-air</w:t>
      </w:r>
      <w:r w:rsidRPr="005827DA">
        <w:rPr>
          <w:rFonts w:ascii="Arial" w:hAnsi="Arial" w:cs="Arial"/>
          <w:spacing w:val="-5"/>
          <w:sz w:val="20"/>
          <w:szCs w:val="20"/>
        </w:rPr>
        <w:t xml:space="preserve"> </w:t>
      </w:r>
      <w:r w:rsidRPr="005827DA">
        <w:rPr>
          <w:rFonts w:ascii="Arial" w:hAnsi="Arial" w:cs="Arial"/>
          <w:sz w:val="20"/>
          <w:szCs w:val="20"/>
        </w:rPr>
        <w:t>balloons);</w:t>
      </w:r>
    </w:p>
    <w:p w14:paraId="2D054771" w14:textId="77777777" w:rsidR="00F20810" w:rsidRPr="005827DA" w:rsidRDefault="00F20810" w:rsidP="005827DA">
      <w:pPr>
        <w:pStyle w:val="ListParagraph"/>
        <w:numPr>
          <w:ilvl w:val="1"/>
          <w:numId w:val="250"/>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a</w:t>
      </w:r>
      <w:r w:rsidRPr="005827DA">
        <w:rPr>
          <w:rFonts w:ascii="Arial" w:hAnsi="Arial" w:cs="Arial"/>
          <w:spacing w:val="-2"/>
          <w:sz w:val="20"/>
          <w:szCs w:val="20"/>
        </w:rPr>
        <w:t xml:space="preserve"> </w:t>
      </w:r>
      <w:r w:rsidRPr="005827DA">
        <w:rPr>
          <w:rFonts w:ascii="Arial" w:hAnsi="Arial" w:cs="Arial"/>
          <w:sz w:val="20"/>
          <w:szCs w:val="20"/>
        </w:rPr>
        <w:t>burner</w:t>
      </w:r>
      <w:r w:rsidRPr="005827DA">
        <w:rPr>
          <w:rFonts w:ascii="Arial" w:hAnsi="Arial" w:cs="Arial"/>
          <w:spacing w:val="-2"/>
          <w:sz w:val="20"/>
          <w:szCs w:val="20"/>
        </w:rPr>
        <w:t xml:space="preserve"> </w:t>
      </w:r>
      <w:r w:rsidRPr="005827DA">
        <w:rPr>
          <w:rFonts w:ascii="Arial" w:hAnsi="Arial" w:cs="Arial"/>
          <w:sz w:val="20"/>
          <w:szCs w:val="20"/>
        </w:rPr>
        <w:t>failure,</w:t>
      </w:r>
      <w:r w:rsidRPr="005827DA">
        <w:rPr>
          <w:rFonts w:ascii="Arial" w:hAnsi="Arial" w:cs="Arial"/>
          <w:spacing w:val="-4"/>
          <w:sz w:val="20"/>
          <w:szCs w:val="20"/>
        </w:rPr>
        <w:t xml:space="preserve"> </w:t>
      </w:r>
      <w:r w:rsidRPr="005827DA">
        <w:rPr>
          <w:rFonts w:ascii="Arial" w:hAnsi="Arial" w:cs="Arial"/>
          <w:sz w:val="20"/>
          <w:szCs w:val="20"/>
        </w:rPr>
        <w:t>valve</w:t>
      </w:r>
      <w:r w:rsidRPr="005827DA">
        <w:rPr>
          <w:rFonts w:ascii="Arial" w:hAnsi="Arial" w:cs="Arial"/>
          <w:spacing w:val="-1"/>
          <w:sz w:val="20"/>
          <w:szCs w:val="20"/>
        </w:rPr>
        <w:t xml:space="preserve"> </w:t>
      </w:r>
      <w:r w:rsidRPr="005827DA">
        <w:rPr>
          <w:rFonts w:ascii="Arial" w:hAnsi="Arial" w:cs="Arial"/>
          <w:sz w:val="20"/>
          <w:szCs w:val="20"/>
        </w:rPr>
        <w:t>leaks,</w:t>
      </w:r>
      <w:r w:rsidRPr="005827DA">
        <w:rPr>
          <w:rFonts w:ascii="Arial" w:hAnsi="Arial" w:cs="Arial"/>
          <w:spacing w:val="-2"/>
          <w:sz w:val="20"/>
          <w:szCs w:val="20"/>
        </w:rPr>
        <w:t xml:space="preserve"> </w:t>
      </w:r>
      <w:r w:rsidRPr="005827DA">
        <w:rPr>
          <w:rFonts w:ascii="Arial" w:hAnsi="Arial" w:cs="Arial"/>
          <w:sz w:val="20"/>
          <w:szCs w:val="20"/>
        </w:rPr>
        <w:t>flame</w:t>
      </w:r>
      <w:r w:rsidRPr="005827DA">
        <w:rPr>
          <w:rFonts w:ascii="Arial" w:hAnsi="Arial" w:cs="Arial"/>
          <w:spacing w:val="-4"/>
          <w:sz w:val="20"/>
          <w:szCs w:val="20"/>
        </w:rPr>
        <w:t xml:space="preserve"> </w:t>
      </w:r>
      <w:r w:rsidRPr="005827DA">
        <w:rPr>
          <w:rFonts w:ascii="Arial" w:hAnsi="Arial" w:cs="Arial"/>
          <w:sz w:val="20"/>
          <w:szCs w:val="20"/>
        </w:rPr>
        <w:t>out</w:t>
      </w:r>
      <w:r w:rsidRPr="005827DA">
        <w:rPr>
          <w:rFonts w:ascii="Arial" w:hAnsi="Arial" w:cs="Arial"/>
          <w:spacing w:val="-2"/>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re-light</w:t>
      </w:r>
      <w:r w:rsidRPr="005827DA">
        <w:rPr>
          <w:rFonts w:ascii="Arial" w:hAnsi="Arial" w:cs="Arial"/>
          <w:spacing w:val="-2"/>
          <w:sz w:val="20"/>
          <w:szCs w:val="20"/>
        </w:rPr>
        <w:t xml:space="preserve"> </w:t>
      </w:r>
      <w:r w:rsidRPr="005827DA">
        <w:rPr>
          <w:rFonts w:ascii="Arial" w:hAnsi="Arial" w:cs="Arial"/>
          <w:sz w:val="20"/>
          <w:szCs w:val="20"/>
        </w:rPr>
        <w:t>(hot-air</w:t>
      </w:r>
      <w:r w:rsidRPr="005827DA">
        <w:rPr>
          <w:rFonts w:ascii="Arial" w:hAnsi="Arial" w:cs="Arial"/>
          <w:spacing w:val="-3"/>
          <w:sz w:val="20"/>
          <w:szCs w:val="20"/>
        </w:rPr>
        <w:t xml:space="preserve"> </w:t>
      </w:r>
      <w:r w:rsidRPr="005827DA">
        <w:rPr>
          <w:rFonts w:ascii="Arial" w:hAnsi="Arial" w:cs="Arial"/>
          <w:sz w:val="20"/>
          <w:szCs w:val="20"/>
        </w:rPr>
        <w:t>balloons);</w:t>
      </w:r>
    </w:p>
    <w:p w14:paraId="3E92831B" w14:textId="77777777" w:rsidR="00F20810" w:rsidRPr="005827DA" w:rsidRDefault="00F20810" w:rsidP="005827DA">
      <w:pPr>
        <w:pStyle w:val="ListParagraph"/>
        <w:numPr>
          <w:ilvl w:val="1"/>
          <w:numId w:val="250"/>
        </w:numPr>
        <w:tabs>
          <w:tab w:val="left" w:pos="90"/>
          <w:tab w:val="left" w:pos="2975"/>
          <w:tab w:val="left" w:pos="2976"/>
        </w:tabs>
        <w:spacing w:before="117"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gas leaks;</w:t>
      </w:r>
    </w:p>
    <w:p w14:paraId="15BC8079" w14:textId="77777777" w:rsidR="00F20810" w:rsidRPr="005827DA" w:rsidRDefault="00F20810" w:rsidP="005827DA">
      <w:pPr>
        <w:pStyle w:val="ListParagraph"/>
        <w:numPr>
          <w:ilvl w:val="1"/>
          <w:numId w:val="250"/>
        </w:numPr>
        <w:tabs>
          <w:tab w:val="left" w:pos="90"/>
          <w:tab w:val="left" w:pos="2975"/>
          <w:tab w:val="left" w:pos="2976"/>
        </w:tabs>
        <w:spacing w:before="56" w:line="276" w:lineRule="auto"/>
        <w:ind w:right="68" w:hanging="436"/>
        <w:jc w:val="both"/>
        <w:rPr>
          <w:rFonts w:ascii="Arial" w:hAnsi="Arial" w:cs="Arial"/>
          <w:sz w:val="20"/>
          <w:szCs w:val="20"/>
        </w:rPr>
      </w:pPr>
      <w:r w:rsidRPr="005827DA">
        <w:rPr>
          <w:rFonts w:ascii="Arial" w:hAnsi="Arial" w:cs="Arial"/>
          <w:sz w:val="20"/>
          <w:szCs w:val="20"/>
        </w:rPr>
        <w:t>a</w:t>
      </w:r>
      <w:r w:rsidRPr="005827DA">
        <w:rPr>
          <w:rFonts w:ascii="Arial" w:hAnsi="Arial" w:cs="Arial"/>
          <w:spacing w:val="-2"/>
          <w:sz w:val="20"/>
          <w:szCs w:val="20"/>
        </w:rPr>
        <w:t xml:space="preserve"> </w:t>
      </w:r>
      <w:r w:rsidRPr="005827DA">
        <w:rPr>
          <w:rFonts w:ascii="Arial" w:hAnsi="Arial" w:cs="Arial"/>
          <w:sz w:val="20"/>
          <w:szCs w:val="20"/>
        </w:rPr>
        <w:t>closed</w:t>
      </w:r>
      <w:r w:rsidRPr="005827DA">
        <w:rPr>
          <w:rFonts w:ascii="Arial" w:hAnsi="Arial" w:cs="Arial"/>
          <w:spacing w:val="-1"/>
          <w:sz w:val="20"/>
          <w:szCs w:val="20"/>
        </w:rPr>
        <w:t xml:space="preserve"> </w:t>
      </w:r>
      <w:r w:rsidRPr="005827DA">
        <w:rPr>
          <w:rFonts w:ascii="Arial" w:hAnsi="Arial" w:cs="Arial"/>
          <w:sz w:val="20"/>
          <w:szCs w:val="20"/>
        </w:rPr>
        <w:t>appendix</w:t>
      </w:r>
      <w:r w:rsidRPr="005827DA">
        <w:rPr>
          <w:rFonts w:ascii="Arial" w:hAnsi="Arial" w:cs="Arial"/>
          <w:spacing w:val="-1"/>
          <w:sz w:val="20"/>
          <w:szCs w:val="20"/>
        </w:rPr>
        <w:t xml:space="preserve"> </w:t>
      </w:r>
      <w:r w:rsidRPr="005827DA">
        <w:rPr>
          <w:rFonts w:ascii="Arial" w:hAnsi="Arial" w:cs="Arial"/>
          <w:sz w:val="20"/>
          <w:szCs w:val="20"/>
        </w:rPr>
        <w:t>during</w:t>
      </w:r>
      <w:r w:rsidRPr="005827DA">
        <w:rPr>
          <w:rFonts w:ascii="Arial" w:hAnsi="Arial" w:cs="Arial"/>
          <w:spacing w:val="-2"/>
          <w:sz w:val="20"/>
          <w:szCs w:val="20"/>
        </w:rPr>
        <w:t xml:space="preserve"> </w:t>
      </w:r>
      <w:r w:rsidRPr="005827DA">
        <w:rPr>
          <w:rFonts w:ascii="Arial" w:hAnsi="Arial" w:cs="Arial"/>
          <w:sz w:val="20"/>
          <w:szCs w:val="20"/>
        </w:rPr>
        <w:t>take-off</w:t>
      </w:r>
      <w:r w:rsidRPr="005827DA">
        <w:rPr>
          <w:rFonts w:ascii="Arial" w:hAnsi="Arial" w:cs="Arial"/>
          <w:spacing w:val="-4"/>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climb</w:t>
      </w:r>
      <w:r w:rsidRPr="005827DA">
        <w:rPr>
          <w:rFonts w:ascii="Arial" w:hAnsi="Arial" w:cs="Arial"/>
          <w:spacing w:val="-2"/>
          <w:sz w:val="20"/>
          <w:szCs w:val="20"/>
        </w:rPr>
        <w:t xml:space="preserve"> </w:t>
      </w:r>
      <w:r w:rsidRPr="005827DA">
        <w:rPr>
          <w:rFonts w:ascii="Arial" w:hAnsi="Arial" w:cs="Arial"/>
          <w:sz w:val="20"/>
          <w:szCs w:val="20"/>
        </w:rPr>
        <w:t>(gas</w:t>
      </w:r>
      <w:r w:rsidRPr="005827DA">
        <w:rPr>
          <w:rFonts w:ascii="Arial" w:hAnsi="Arial" w:cs="Arial"/>
          <w:spacing w:val="-1"/>
          <w:sz w:val="20"/>
          <w:szCs w:val="20"/>
        </w:rPr>
        <w:t xml:space="preserve"> </w:t>
      </w:r>
      <w:r w:rsidRPr="005827DA">
        <w:rPr>
          <w:rFonts w:ascii="Arial" w:hAnsi="Arial" w:cs="Arial"/>
          <w:sz w:val="20"/>
          <w:szCs w:val="20"/>
        </w:rPr>
        <w:t>balloons);</w:t>
      </w:r>
    </w:p>
    <w:p w14:paraId="7B995761" w14:textId="77777777" w:rsidR="00F20810" w:rsidRPr="005827DA" w:rsidRDefault="00F20810" w:rsidP="005827DA">
      <w:pPr>
        <w:pStyle w:val="ListParagraph"/>
        <w:numPr>
          <w:ilvl w:val="1"/>
          <w:numId w:val="250"/>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lastRenderedPageBreak/>
        <w:t>the</w:t>
      </w:r>
      <w:r w:rsidRPr="005827DA">
        <w:rPr>
          <w:rFonts w:ascii="Arial" w:hAnsi="Arial" w:cs="Arial"/>
          <w:spacing w:val="-2"/>
          <w:sz w:val="20"/>
          <w:szCs w:val="20"/>
        </w:rPr>
        <w:t xml:space="preserve"> </w:t>
      </w:r>
      <w:r w:rsidRPr="005827DA">
        <w:rPr>
          <w:rFonts w:ascii="Arial" w:hAnsi="Arial" w:cs="Arial"/>
          <w:sz w:val="20"/>
          <w:szCs w:val="20"/>
        </w:rPr>
        <w:t>envelope</w:t>
      </w:r>
      <w:r w:rsidRPr="005827DA">
        <w:rPr>
          <w:rFonts w:ascii="Arial" w:hAnsi="Arial" w:cs="Arial"/>
          <w:spacing w:val="-4"/>
          <w:sz w:val="20"/>
          <w:szCs w:val="20"/>
        </w:rPr>
        <w:t xml:space="preserve"> </w:t>
      </w:r>
      <w:r w:rsidRPr="005827DA">
        <w:rPr>
          <w:rFonts w:ascii="Arial" w:hAnsi="Arial" w:cs="Arial"/>
          <w:sz w:val="20"/>
          <w:szCs w:val="20"/>
        </w:rPr>
        <w:t>over</w:t>
      </w:r>
      <w:r w:rsidRPr="005827DA">
        <w:rPr>
          <w:rFonts w:ascii="Arial" w:hAnsi="Arial" w:cs="Arial"/>
          <w:spacing w:val="-2"/>
          <w:sz w:val="20"/>
          <w:szCs w:val="20"/>
        </w:rPr>
        <w:t xml:space="preserve"> </w:t>
      </w:r>
      <w:r w:rsidRPr="005827DA">
        <w:rPr>
          <w:rFonts w:ascii="Arial" w:hAnsi="Arial" w:cs="Arial"/>
          <w:sz w:val="20"/>
          <w:szCs w:val="20"/>
        </w:rPr>
        <w:t>temperature</w:t>
      </w:r>
      <w:r w:rsidRPr="005827DA">
        <w:rPr>
          <w:rFonts w:ascii="Arial" w:hAnsi="Arial" w:cs="Arial"/>
          <w:spacing w:val="-2"/>
          <w:sz w:val="20"/>
          <w:szCs w:val="20"/>
        </w:rPr>
        <w:t xml:space="preserve"> </w:t>
      </w:r>
      <w:r w:rsidRPr="005827DA">
        <w:rPr>
          <w:rFonts w:ascii="Arial" w:hAnsi="Arial" w:cs="Arial"/>
          <w:sz w:val="20"/>
          <w:szCs w:val="20"/>
        </w:rPr>
        <w:t>(hot-air</w:t>
      </w:r>
      <w:r w:rsidRPr="005827DA">
        <w:rPr>
          <w:rFonts w:ascii="Arial" w:hAnsi="Arial" w:cs="Arial"/>
          <w:spacing w:val="-3"/>
          <w:sz w:val="20"/>
          <w:szCs w:val="20"/>
        </w:rPr>
        <w:t xml:space="preserve"> </w:t>
      </w:r>
      <w:r w:rsidRPr="005827DA">
        <w:rPr>
          <w:rFonts w:ascii="Arial" w:hAnsi="Arial" w:cs="Arial"/>
          <w:sz w:val="20"/>
          <w:szCs w:val="20"/>
        </w:rPr>
        <w:t>balloons);</w:t>
      </w:r>
    </w:p>
    <w:p w14:paraId="44BA11A2" w14:textId="77777777" w:rsidR="00F20810" w:rsidRPr="005827DA" w:rsidRDefault="00F20810" w:rsidP="005827DA">
      <w:pPr>
        <w:pStyle w:val="ListParagraph"/>
        <w:numPr>
          <w:ilvl w:val="1"/>
          <w:numId w:val="250"/>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envelope</w:t>
      </w:r>
      <w:r w:rsidRPr="005827DA">
        <w:rPr>
          <w:rFonts w:ascii="Arial" w:hAnsi="Arial" w:cs="Arial"/>
          <w:spacing w:val="-1"/>
          <w:sz w:val="20"/>
          <w:szCs w:val="20"/>
        </w:rPr>
        <w:t xml:space="preserve"> </w:t>
      </w:r>
      <w:r w:rsidRPr="005827DA">
        <w:rPr>
          <w:rFonts w:ascii="Arial" w:hAnsi="Arial" w:cs="Arial"/>
          <w:sz w:val="20"/>
          <w:szCs w:val="20"/>
        </w:rPr>
        <w:t>damage</w:t>
      </w:r>
      <w:r w:rsidRPr="005827DA">
        <w:rPr>
          <w:rFonts w:ascii="Arial" w:hAnsi="Arial" w:cs="Arial"/>
          <w:spacing w:val="-1"/>
          <w:sz w:val="20"/>
          <w:szCs w:val="20"/>
        </w:rPr>
        <w:t xml:space="preserve"> </w:t>
      </w:r>
      <w:r w:rsidRPr="005827DA">
        <w:rPr>
          <w:rFonts w:ascii="Arial" w:hAnsi="Arial" w:cs="Arial"/>
          <w:sz w:val="20"/>
          <w:szCs w:val="20"/>
        </w:rPr>
        <w:t>in</w:t>
      </w:r>
      <w:r w:rsidRPr="005827DA">
        <w:rPr>
          <w:rFonts w:ascii="Arial" w:hAnsi="Arial" w:cs="Arial"/>
          <w:spacing w:val="-3"/>
          <w:sz w:val="20"/>
          <w:szCs w:val="20"/>
        </w:rPr>
        <w:t xml:space="preserve"> </w:t>
      </w:r>
      <w:r w:rsidRPr="005827DA">
        <w:rPr>
          <w:rFonts w:ascii="Arial" w:hAnsi="Arial" w:cs="Arial"/>
          <w:sz w:val="20"/>
          <w:szCs w:val="20"/>
        </w:rPr>
        <w:t>flight;</w:t>
      </w:r>
    </w:p>
    <w:p w14:paraId="3143552F" w14:textId="77777777" w:rsidR="00F20810" w:rsidRPr="005827DA" w:rsidRDefault="00F20810" w:rsidP="005827DA">
      <w:pPr>
        <w:pStyle w:val="ListParagraph"/>
        <w:numPr>
          <w:ilvl w:val="1"/>
          <w:numId w:val="250"/>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parachute</w:t>
      </w:r>
      <w:r w:rsidRPr="005827DA">
        <w:rPr>
          <w:rFonts w:ascii="Arial" w:hAnsi="Arial" w:cs="Arial"/>
          <w:spacing w:val="-4"/>
          <w:sz w:val="20"/>
          <w:szCs w:val="20"/>
        </w:rPr>
        <w:t xml:space="preserve"> </w:t>
      </w:r>
      <w:r w:rsidRPr="005827DA">
        <w:rPr>
          <w:rFonts w:ascii="Arial" w:hAnsi="Arial" w:cs="Arial"/>
          <w:sz w:val="20"/>
          <w:szCs w:val="20"/>
        </w:rPr>
        <w:t>or</w:t>
      </w:r>
      <w:r w:rsidRPr="005827DA">
        <w:rPr>
          <w:rFonts w:ascii="Arial" w:hAnsi="Arial" w:cs="Arial"/>
          <w:spacing w:val="-4"/>
          <w:sz w:val="20"/>
          <w:szCs w:val="20"/>
        </w:rPr>
        <w:t xml:space="preserve"> </w:t>
      </w:r>
      <w:r w:rsidRPr="005827DA">
        <w:rPr>
          <w:rFonts w:ascii="Arial" w:hAnsi="Arial" w:cs="Arial"/>
          <w:sz w:val="20"/>
          <w:szCs w:val="20"/>
        </w:rPr>
        <w:t>rapid</w:t>
      </w:r>
      <w:r w:rsidRPr="005827DA">
        <w:rPr>
          <w:rFonts w:ascii="Arial" w:hAnsi="Arial" w:cs="Arial"/>
          <w:spacing w:val="-3"/>
          <w:sz w:val="20"/>
          <w:szCs w:val="20"/>
        </w:rPr>
        <w:t xml:space="preserve"> </w:t>
      </w:r>
      <w:r w:rsidRPr="005827DA">
        <w:rPr>
          <w:rFonts w:ascii="Arial" w:hAnsi="Arial" w:cs="Arial"/>
          <w:sz w:val="20"/>
          <w:szCs w:val="20"/>
        </w:rPr>
        <w:t>deflation</w:t>
      </w:r>
      <w:r w:rsidRPr="005827DA">
        <w:rPr>
          <w:rFonts w:ascii="Arial" w:hAnsi="Arial" w:cs="Arial"/>
          <w:spacing w:val="-2"/>
          <w:sz w:val="20"/>
          <w:szCs w:val="20"/>
        </w:rPr>
        <w:t xml:space="preserve"> </w:t>
      </w:r>
      <w:r w:rsidRPr="005827DA">
        <w:rPr>
          <w:rFonts w:ascii="Arial" w:hAnsi="Arial" w:cs="Arial"/>
          <w:sz w:val="20"/>
          <w:szCs w:val="20"/>
        </w:rPr>
        <w:t>system</w:t>
      </w:r>
      <w:r w:rsidRPr="005827DA">
        <w:rPr>
          <w:rFonts w:ascii="Arial" w:hAnsi="Arial" w:cs="Arial"/>
          <w:spacing w:val="-3"/>
          <w:sz w:val="20"/>
          <w:szCs w:val="20"/>
        </w:rPr>
        <w:t xml:space="preserve"> </w:t>
      </w:r>
      <w:r w:rsidRPr="005827DA">
        <w:rPr>
          <w:rFonts w:ascii="Arial" w:hAnsi="Arial" w:cs="Arial"/>
          <w:sz w:val="20"/>
          <w:szCs w:val="20"/>
        </w:rPr>
        <w:t>failure;</w:t>
      </w:r>
    </w:p>
    <w:p w14:paraId="7F27C409" w14:textId="77777777" w:rsidR="00F20810" w:rsidRPr="005827DA" w:rsidRDefault="00F20810" w:rsidP="005827DA">
      <w:pPr>
        <w:pStyle w:val="ListParagraph"/>
        <w:numPr>
          <w:ilvl w:val="1"/>
          <w:numId w:val="250"/>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a fire</w:t>
      </w:r>
      <w:r w:rsidRPr="005827DA">
        <w:rPr>
          <w:rFonts w:ascii="Arial" w:hAnsi="Arial" w:cs="Arial"/>
          <w:spacing w:val="-2"/>
          <w:sz w:val="20"/>
          <w:szCs w:val="20"/>
        </w:rPr>
        <w:t xml:space="preserve"> </w:t>
      </w:r>
      <w:r w:rsidRPr="005827DA">
        <w:rPr>
          <w:rFonts w:ascii="Arial" w:hAnsi="Arial" w:cs="Arial"/>
          <w:sz w:val="20"/>
          <w:szCs w:val="20"/>
        </w:rPr>
        <w:t>on ground</w:t>
      </w:r>
      <w:r w:rsidRPr="005827DA">
        <w:rPr>
          <w:rFonts w:ascii="Arial" w:hAnsi="Arial" w:cs="Arial"/>
          <w:spacing w:val="-1"/>
          <w:sz w:val="20"/>
          <w:szCs w:val="20"/>
        </w:rPr>
        <w:t xml:space="preserve"> </w:t>
      </w:r>
      <w:r w:rsidRPr="005827DA">
        <w:rPr>
          <w:rFonts w:ascii="Arial" w:hAnsi="Arial" w:cs="Arial"/>
          <w:sz w:val="20"/>
          <w:szCs w:val="20"/>
        </w:rPr>
        <w:t>and in</w:t>
      </w:r>
      <w:r w:rsidRPr="005827DA">
        <w:rPr>
          <w:rFonts w:ascii="Arial" w:hAnsi="Arial" w:cs="Arial"/>
          <w:spacing w:val="-3"/>
          <w:sz w:val="20"/>
          <w:szCs w:val="20"/>
        </w:rPr>
        <w:t xml:space="preserve"> </w:t>
      </w: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air;</w:t>
      </w:r>
    </w:p>
    <w:p w14:paraId="339896EA" w14:textId="77777777" w:rsidR="00F20810" w:rsidRPr="005827DA" w:rsidRDefault="00F20810" w:rsidP="005827DA">
      <w:pPr>
        <w:pStyle w:val="ListParagraph"/>
        <w:numPr>
          <w:ilvl w:val="1"/>
          <w:numId w:val="250"/>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escape drills,</w:t>
      </w:r>
      <w:r w:rsidRPr="005827DA">
        <w:rPr>
          <w:rFonts w:ascii="Arial" w:hAnsi="Arial" w:cs="Arial"/>
          <w:spacing w:val="-1"/>
          <w:sz w:val="20"/>
          <w:szCs w:val="20"/>
        </w:rPr>
        <w:t xml:space="preserve"> </w:t>
      </w:r>
      <w:r w:rsidRPr="005827DA">
        <w:rPr>
          <w:rFonts w:ascii="Arial" w:hAnsi="Arial" w:cs="Arial"/>
          <w:sz w:val="20"/>
          <w:szCs w:val="20"/>
        </w:rPr>
        <w:t>location</w:t>
      </w:r>
      <w:r w:rsidRPr="005827DA">
        <w:rPr>
          <w:rFonts w:ascii="Arial" w:hAnsi="Arial" w:cs="Arial"/>
          <w:spacing w:val="-2"/>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use</w:t>
      </w:r>
      <w:r w:rsidRPr="005827DA">
        <w:rPr>
          <w:rFonts w:ascii="Arial" w:hAnsi="Arial" w:cs="Arial"/>
          <w:spacing w:val="-1"/>
          <w:sz w:val="20"/>
          <w:szCs w:val="20"/>
        </w:rPr>
        <w:t xml:space="preserve"> </w:t>
      </w:r>
      <w:r w:rsidRPr="005827DA">
        <w:rPr>
          <w:rFonts w:ascii="Arial" w:hAnsi="Arial" w:cs="Arial"/>
          <w:sz w:val="20"/>
          <w:szCs w:val="20"/>
        </w:rPr>
        <w:t>of</w:t>
      </w:r>
      <w:r w:rsidRPr="005827DA">
        <w:rPr>
          <w:rFonts w:ascii="Arial" w:hAnsi="Arial" w:cs="Arial"/>
          <w:spacing w:val="-3"/>
          <w:sz w:val="20"/>
          <w:szCs w:val="20"/>
        </w:rPr>
        <w:t xml:space="preserve"> </w:t>
      </w:r>
      <w:r w:rsidRPr="005827DA">
        <w:rPr>
          <w:rFonts w:ascii="Arial" w:hAnsi="Arial" w:cs="Arial"/>
          <w:sz w:val="20"/>
          <w:szCs w:val="20"/>
        </w:rPr>
        <w:t>emergency</w:t>
      </w:r>
      <w:r w:rsidRPr="005827DA">
        <w:rPr>
          <w:rFonts w:ascii="Arial" w:hAnsi="Arial" w:cs="Arial"/>
          <w:spacing w:val="-3"/>
          <w:sz w:val="20"/>
          <w:szCs w:val="20"/>
        </w:rPr>
        <w:t xml:space="preserve"> </w:t>
      </w:r>
      <w:r w:rsidRPr="005827DA">
        <w:rPr>
          <w:rFonts w:ascii="Arial" w:hAnsi="Arial" w:cs="Arial"/>
          <w:sz w:val="20"/>
          <w:szCs w:val="20"/>
        </w:rPr>
        <w:t>equipment;</w:t>
      </w:r>
    </w:p>
    <w:p w14:paraId="7FE25C68" w14:textId="77777777" w:rsidR="00F20810" w:rsidRPr="005827DA" w:rsidRDefault="00F20810" w:rsidP="005827DA">
      <w:pPr>
        <w:pStyle w:val="ListParagraph"/>
        <w:numPr>
          <w:ilvl w:val="1"/>
          <w:numId w:val="250"/>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pacing w:val="-1"/>
          <w:sz w:val="20"/>
          <w:szCs w:val="20"/>
        </w:rPr>
        <w:t>how</w:t>
      </w:r>
      <w:r w:rsidRPr="005827DA">
        <w:rPr>
          <w:rFonts w:ascii="Arial" w:hAnsi="Arial" w:cs="Arial"/>
          <w:spacing w:val="-12"/>
          <w:sz w:val="20"/>
          <w:szCs w:val="20"/>
        </w:rPr>
        <w:t xml:space="preserve"> </w:t>
      </w:r>
      <w:r w:rsidRPr="005827DA">
        <w:rPr>
          <w:rFonts w:ascii="Arial" w:hAnsi="Arial" w:cs="Arial"/>
          <w:sz w:val="20"/>
          <w:szCs w:val="20"/>
        </w:rPr>
        <w:t>to</w:t>
      </w:r>
      <w:r w:rsidRPr="005827DA">
        <w:rPr>
          <w:rFonts w:ascii="Arial" w:hAnsi="Arial" w:cs="Arial"/>
          <w:spacing w:val="-10"/>
          <w:sz w:val="20"/>
          <w:szCs w:val="20"/>
        </w:rPr>
        <w:t xml:space="preserve"> </w:t>
      </w:r>
      <w:r w:rsidRPr="005827DA">
        <w:rPr>
          <w:rFonts w:ascii="Arial" w:hAnsi="Arial" w:cs="Arial"/>
          <w:sz w:val="20"/>
          <w:szCs w:val="20"/>
        </w:rPr>
        <w:t>advise</w:t>
      </w:r>
      <w:r w:rsidRPr="005827DA">
        <w:rPr>
          <w:rFonts w:ascii="Arial" w:hAnsi="Arial" w:cs="Arial"/>
          <w:spacing w:val="-11"/>
          <w:sz w:val="20"/>
          <w:szCs w:val="20"/>
        </w:rPr>
        <w:t xml:space="preserve"> </w:t>
      </w:r>
      <w:r w:rsidRPr="005827DA">
        <w:rPr>
          <w:rFonts w:ascii="Arial" w:hAnsi="Arial" w:cs="Arial"/>
          <w:sz w:val="20"/>
          <w:szCs w:val="20"/>
        </w:rPr>
        <w:t>the</w:t>
      </w:r>
      <w:r w:rsidRPr="005827DA">
        <w:rPr>
          <w:rFonts w:ascii="Arial" w:hAnsi="Arial" w:cs="Arial"/>
          <w:spacing w:val="-12"/>
          <w:sz w:val="20"/>
          <w:szCs w:val="20"/>
        </w:rPr>
        <w:t xml:space="preserve"> </w:t>
      </w:r>
      <w:r w:rsidRPr="005827DA">
        <w:rPr>
          <w:rFonts w:ascii="Arial" w:hAnsi="Arial" w:cs="Arial"/>
          <w:sz w:val="20"/>
          <w:szCs w:val="20"/>
        </w:rPr>
        <w:t>student</w:t>
      </w:r>
      <w:r w:rsidRPr="005827DA">
        <w:rPr>
          <w:rFonts w:ascii="Arial" w:hAnsi="Arial" w:cs="Arial"/>
          <w:spacing w:val="-9"/>
          <w:sz w:val="20"/>
          <w:szCs w:val="20"/>
        </w:rPr>
        <w:t xml:space="preserve"> </w:t>
      </w:r>
      <w:r w:rsidRPr="005827DA">
        <w:rPr>
          <w:rFonts w:ascii="Arial" w:hAnsi="Arial" w:cs="Arial"/>
          <w:sz w:val="20"/>
          <w:szCs w:val="20"/>
        </w:rPr>
        <w:t>pilot</w:t>
      </w:r>
      <w:r w:rsidRPr="005827DA">
        <w:rPr>
          <w:rFonts w:ascii="Arial" w:hAnsi="Arial" w:cs="Arial"/>
          <w:spacing w:val="-10"/>
          <w:sz w:val="20"/>
          <w:szCs w:val="20"/>
        </w:rPr>
        <w:t xml:space="preserve"> </w:t>
      </w:r>
      <w:r w:rsidRPr="005827DA">
        <w:rPr>
          <w:rFonts w:ascii="Arial" w:hAnsi="Arial" w:cs="Arial"/>
          <w:sz w:val="20"/>
          <w:szCs w:val="20"/>
        </w:rPr>
        <w:t>in</w:t>
      </w:r>
      <w:r w:rsidRPr="005827DA">
        <w:rPr>
          <w:rFonts w:ascii="Arial" w:hAnsi="Arial" w:cs="Arial"/>
          <w:spacing w:val="-10"/>
          <w:sz w:val="20"/>
          <w:szCs w:val="20"/>
        </w:rPr>
        <w:t xml:space="preserve"> </w:t>
      </w:r>
      <w:r w:rsidRPr="005827DA">
        <w:rPr>
          <w:rFonts w:ascii="Arial" w:hAnsi="Arial" w:cs="Arial"/>
          <w:sz w:val="20"/>
          <w:szCs w:val="20"/>
        </w:rPr>
        <w:t>performing</w:t>
      </w:r>
      <w:r w:rsidRPr="005827DA">
        <w:rPr>
          <w:rFonts w:ascii="Arial" w:hAnsi="Arial" w:cs="Arial"/>
          <w:spacing w:val="-10"/>
          <w:sz w:val="20"/>
          <w:szCs w:val="20"/>
        </w:rPr>
        <w:t xml:space="preserve"> </w:t>
      </w:r>
      <w:r w:rsidRPr="005827DA">
        <w:rPr>
          <w:rFonts w:ascii="Arial" w:hAnsi="Arial" w:cs="Arial"/>
          <w:sz w:val="20"/>
          <w:szCs w:val="20"/>
        </w:rPr>
        <w:t>the</w:t>
      </w:r>
      <w:r w:rsidRPr="005827DA">
        <w:rPr>
          <w:rFonts w:ascii="Arial" w:hAnsi="Arial" w:cs="Arial"/>
          <w:spacing w:val="-12"/>
          <w:sz w:val="20"/>
          <w:szCs w:val="20"/>
        </w:rPr>
        <w:t xml:space="preserve"> </w:t>
      </w:r>
      <w:r w:rsidRPr="005827DA">
        <w:rPr>
          <w:rFonts w:ascii="Arial" w:hAnsi="Arial" w:cs="Arial"/>
          <w:sz w:val="20"/>
          <w:szCs w:val="20"/>
        </w:rPr>
        <w:t>different</w:t>
      </w:r>
      <w:r w:rsidRPr="005827DA">
        <w:rPr>
          <w:rFonts w:ascii="Arial" w:hAnsi="Arial" w:cs="Arial"/>
          <w:spacing w:val="-9"/>
          <w:sz w:val="20"/>
          <w:szCs w:val="20"/>
        </w:rPr>
        <w:t xml:space="preserve"> </w:t>
      </w:r>
      <w:r w:rsidRPr="005827DA">
        <w:rPr>
          <w:rFonts w:ascii="Arial" w:hAnsi="Arial" w:cs="Arial"/>
          <w:sz w:val="20"/>
          <w:szCs w:val="20"/>
        </w:rPr>
        <w:t>emergency</w:t>
      </w:r>
      <w:r w:rsidRPr="005827DA">
        <w:rPr>
          <w:rFonts w:ascii="Arial" w:hAnsi="Arial" w:cs="Arial"/>
          <w:spacing w:val="-47"/>
          <w:sz w:val="20"/>
          <w:szCs w:val="20"/>
        </w:rPr>
        <w:t xml:space="preserve"> </w:t>
      </w:r>
      <w:r w:rsidRPr="005827DA">
        <w:rPr>
          <w:rFonts w:ascii="Arial" w:hAnsi="Arial" w:cs="Arial"/>
          <w:sz w:val="20"/>
          <w:szCs w:val="20"/>
        </w:rPr>
        <w:t>drills;</w:t>
      </w:r>
      <w:r w:rsidRPr="005827DA">
        <w:rPr>
          <w:rFonts w:ascii="Arial" w:hAnsi="Arial" w:cs="Arial"/>
          <w:spacing w:val="1"/>
          <w:sz w:val="20"/>
          <w:szCs w:val="20"/>
        </w:rPr>
        <w:t xml:space="preserve"> </w:t>
      </w:r>
      <w:r w:rsidRPr="005827DA">
        <w:rPr>
          <w:rFonts w:ascii="Arial" w:hAnsi="Arial" w:cs="Arial"/>
          <w:sz w:val="20"/>
          <w:szCs w:val="20"/>
        </w:rPr>
        <w:t>and</w:t>
      </w:r>
    </w:p>
    <w:p w14:paraId="29FFF3F9" w14:textId="77777777" w:rsidR="00F20810" w:rsidRPr="005827DA" w:rsidRDefault="00F20810" w:rsidP="005827DA">
      <w:pPr>
        <w:pStyle w:val="ListParagraph"/>
        <w:numPr>
          <w:ilvl w:val="1"/>
          <w:numId w:val="250"/>
        </w:numPr>
        <w:tabs>
          <w:tab w:val="left" w:pos="90"/>
          <w:tab w:val="left" w:pos="2975"/>
          <w:tab w:val="left" w:pos="2976"/>
        </w:tabs>
        <w:spacing w:before="118"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2"/>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analyse</w:t>
      </w:r>
      <w:r w:rsidRPr="005827DA">
        <w:rPr>
          <w:rFonts w:ascii="Arial" w:hAnsi="Arial" w:cs="Arial"/>
          <w:spacing w:val="-1"/>
          <w:sz w:val="20"/>
          <w:szCs w:val="20"/>
        </w:rPr>
        <w:t xml:space="preserve"> </w:t>
      </w:r>
      <w:r w:rsidRPr="005827DA">
        <w:rPr>
          <w:rFonts w:ascii="Arial" w:hAnsi="Arial" w:cs="Arial"/>
          <w:sz w:val="20"/>
          <w:szCs w:val="20"/>
        </w:rPr>
        <w:t>and</w:t>
      </w:r>
      <w:r w:rsidRPr="005827DA">
        <w:rPr>
          <w:rFonts w:ascii="Arial" w:hAnsi="Arial" w:cs="Arial"/>
          <w:spacing w:val="-1"/>
          <w:sz w:val="20"/>
          <w:szCs w:val="20"/>
        </w:rPr>
        <w:t xml:space="preserve"> </w:t>
      </w:r>
      <w:r w:rsidRPr="005827DA">
        <w:rPr>
          <w:rFonts w:ascii="Arial" w:hAnsi="Arial" w:cs="Arial"/>
          <w:sz w:val="20"/>
          <w:szCs w:val="20"/>
        </w:rPr>
        <w:t>correct</w:t>
      </w:r>
      <w:r w:rsidRPr="005827DA">
        <w:rPr>
          <w:rFonts w:ascii="Arial" w:hAnsi="Arial" w:cs="Arial"/>
          <w:spacing w:val="-1"/>
          <w:sz w:val="20"/>
          <w:szCs w:val="20"/>
        </w:rPr>
        <w:t xml:space="preserve"> </w:t>
      </w:r>
      <w:r w:rsidRPr="005827DA">
        <w:rPr>
          <w:rFonts w:ascii="Arial" w:hAnsi="Arial" w:cs="Arial"/>
          <w:sz w:val="20"/>
          <w:szCs w:val="20"/>
        </w:rPr>
        <w:t>faults</w:t>
      </w:r>
      <w:r w:rsidRPr="005827DA">
        <w:rPr>
          <w:rFonts w:ascii="Arial" w:hAnsi="Arial" w:cs="Arial"/>
          <w:spacing w:val="-2"/>
          <w:sz w:val="20"/>
          <w:szCs w:val="20"/>
        </w:rPr>
        <w:t xml:space="preserve"> </w:t>
      </w:r>
      <w:r w:rsidRPr="005827DA">
        <w:rPr>
          <w:rFonts w:ascii="Arial" w:hAnsi="Arial" w:cs="Arial"/>
          <w:sz w:val="20"/>
          <w:szCs w:val="20"/>
        </w:rPr>
        <w:t>or</w:t>
      </w:r>
      <w:r w:rsidRPr="005827DA">
        <w:rPr>
          <w:rFonts w:ascii="Arial" w:hAnsi="Arial" w:cs="Arial"/>
          <w:spacing w:val="1"/>
          <w:sz w:val="20"/>
          <w:szCs w:val="20"/>
        </w:rPr>
        <w:t xml:space="preserve"> </w:t>
      </w:r>
      <w:r w:rsidRPr="005827DA">
        <w:rPr>
          <w:rFonts w:ascii="Arial" w:hAnsi="Arial" w:cs="Arial"/>
          <w:sz w:val="20"/>
          <w:szCs w:val="20"/>
        </w:rPr>
        <w:t>errors</w:t>
      </w:r>
      <w:r w:rsidRPr="005827DA">
        <w:rPr>
          <w:rFonts w:ascii="Arial" w:hAnsi="Arial" w:cs="Arial"/>
          <w:spacing w:val="-2"/>
          <w:sz w:val="20"/>
          <w:szCs w:val="20"/>
        </w:rPr>
        <w:t xml:space="preserve"> </w:t>
      </w:r>
      <w:r w:rsidRPr="005827DA">
        <w:rPr>
          <w:rFonts w:ascii="Arial" w:hAnsi="Arial" w:cs="Arial"/>
          <w:sz w:val="20"/>
          <w:szCs w:val="20"/>
        </w:rPr>
        <w:t>of</w:t>
      </w:r>
      <w:r w:rsidRPr="005827DA">
        <w:rPr>
          <w:rFonts w:ascii="Arial" w:hAnsi="Arial" w:cs="Arial"/>
          <w:spacing w:val="-2"/>
          <w:sz w:val="20"/>
          <w:szCs w:val="20"/>
        </w:rPr>
        <w:t xml:space="preserve"> </w:t>
      </w: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student pilot.</w:t>
      </w:r>
    </w:p>
    <w:p w14:paraId="2AE1CE2E" w14:textId="16A32E9A" w:rsidR="00F20810" w:rsidRPr="00A16E10" w:rsidRDefault="00F20810" w:rsidP="00A16E10">
      <w:pPr>
        <w:pStyle w:val="ListParagraph"/>
        <w:numPr>
          <w:ilvl w:val="0"/>
          <w:numId w:val="250"/>
        </w:numPr>
        <w:tabs>
          <w:tab w:val="left" w:pos="90"/>
          <w:tab w:val="left" w:pos="2408"/>
          <w:tab w:val="left" w:pos="2409"/>
        </w:tabs>
        <w:spacing w:before="121" w:line="276" w:lineRule="auto"/>
        <w:ind w:right="68" w:hanging="436"/>
        <w:jc w:val="both"/>
        <w:rPr>
          <w:rFonts w:ascii="Arial" w:hAnsi="Arial" w:cs="Arial"/>
          <w:sz w:val="20"/>
          <w:szCs w:val="20"/>
        </w:rPr>
      </w:pPr>
      <w:r w:rsidRPr="005827DA">
        <w:rPr>
          <w:rFonts w:ascii="Arial" w:hAnsi="Arial" w:cs="Arial"/>
          <w:sz w:val="20"/>
          <w:szCs w:val="20"/>
        </w:rPr>
        <w:t>Debriefing</w:t>
      </w:r>
    </w:p>
    <w:p w14:paraId="33AF8F9B" w14:textId="77777777" w:rsidR="00F20810" w:rsidRPr="005827DA" w:rsidRDefault="00F20810" w:rsidP="005827DA">
      <w:pPr>
        <w:tabs>
          <w:tab w:val="left" w:pos="90"/>
        </w:tabs>
        <w:spacing w:line="276" w:lineRule="auto"/>
        <w:ind w:right="68" w:hanging="436"/>
        <w:jc w:val="both"/>
        <w:rPr>
          <w:rFonts w:ascii="Arial" w:eastAsia="Times New Roman" w:hAnsi="Arial" w:cs="Times New Roman"/>
          <w:b/>
          <w:bCs/>
          <w:sz w:val="20"/>
          <w:szCs w:val="20"/>
        </w:rPr>
      </w:pPr>
      <w:r w:rsidRPr="005827DA">
        <w:rPr>
          <w:rFonts w:ascii="Arial" w:eastAsia="Times New Roman" w:hAnsi="Arial" w:cs="Times New Roman"/>
          <w:b/>
          <w:bCs/>
          <w:sz w:val="20"/>
          <w:szCs w:val="20"/>
        </w:rPr>
        <w:t>Exercise 11: Navigation</w:t>
      </w:r>
    </w:p>
    <w:p w14:paraId="7124FF6D" w14:textId="77777777" w:rsidR="00F20810" w:rsidRPr="005827DA" w:rsidRDefault="00F20810" w:rsidP="005827DA">
      <w:pPr>
        <w:pStyle w:val="ListParagraph"/>
        <w:numPr>
          <w:ilvl w:val="0"/>
          <w:numId w:val="251"/>
        </w:numPr>
        <w:tabs>
          <w:tab w:val="left" w:pos="90"/>
          <w:tab w:val="left" w:pos="2409"/>
        </w:tabs>
        <w:spacing w:line="276" w:lineRule="auto"/>
        <w:ind w:right="68" w:hanging="436"/>
        <w:jc w:val="both"/>
        <w:rPr>
          <w:rFonts w:ascii="Arial" w:hAnsi="Arial" w:cs="Arial"/>
          <w:sz w:val="20"/>
          <w:szCs w:val="20"/>
        </w:rPr>
      </w:pPr>
      <w:r w:rsidRPr="005827DA">
        <w:rPr>
          <w:rFonts w:ascii="Arial" w:hAnsi="Arial" w:cs="Arial"/>
          <w:sz w:val="20"/>
          <w:szCs w:val="20"/>
        </w:rPr>
        <w:t>Objective</w:t>
      </w:r>
    </w:p>
    <w:p w14:paraId="3367FBCC" w14:textId="77777777" w:rsidR="00F20810" w:rsidRPr="005827DA" w:rsidRDefault="00F20810" w:rsidP="005827DA">
      <w:pPr>
        <w:pStyle w:val="BodyText"/>
        <w:tabs>
          <w:tab w:val="left" w:pos="90"/>
        </w:tabs>
        <w:spacing w:line="276" w:lineRule="auto"/>
        <w:ind w:left="2408" w:right="68" w:hanging="436"/>
        <w:jc w:val="both"/>
        <w:rPr>
          <w:rFonts w:ascii="Arial" w:hAnsi="Arial" w:cs="Arial"/>
          <w:sz w:val="20"/>
          <w:szCs w:val="20"/>
        </w:rPr>
      </w:pPr>
      <w:r w:rsidRPr="005827DA">
        <w:rPr>
          <w:rFonts w:ascii="Arial" w:hAnsi="Arial" w:cs="Arial"/>
          <w:sz w:val="20"/>
          <w:szCs w:val="20"/>
        </w:rPr>
        <w:t>To advise the student instructor on how to explain and demonstrate the</w:t>
      </w:r>
      <w:r w:rsidRPr="005827DA">
        <w:rPr>
          <w:rFonts w:ascii="Arial" w:hAnsi="Arial" w:cs="Arial"/>
          <w:spacing w:val="1"/>
          <w:sz w:val="20"/>
          <w:szCs w:val="20"/>
        </w:rPr>
        <w:t xml:space="preserve"> </w:t>
      </w:r>
      <w:r w:rsidRPr="005827DA">
        <w:rPr>
          <w:rFonts w:ascii="Arial" w:hAnsi="Arial" w:cs="Arial"/>
          <w:sz w:val="20"/>
          <w:szCs w:val="20"/>
        </w:rPr>
        <w:t>advanced</w:t>
      </w:r>
      <w:r w:rsidRPr="005827DA">
        <w:rPr>
          <w:rFonts w:ascii="Arial" w:hAnsi="Arial" w:cs="Arial"/>
          <w:spacing w:val="1"/>
          <w:sz w:val="20"/>
          <w:szCs w:val="20"/>
        </w:rPr>
        <w:t xml:space="preserve"> </w:t>
      </w:r>
      <w:r w:rsidRPr="005827DA">
        <w:rPr>
          <w:rFonts w:ascii="Arial" w:hAnsi="Arial" w:cs="Arial"/>
          <w:sz w:val="20"/>
          <w:szCs w:val="20"/>
        </w:rPr>
        <w:t>navigational</w:t>
      </w:r>
      <w:r w:rsidRPr="005827DA">
        <w:rPr>
          <w:rFonts w:ascii="Arial" w:hAnsi="Arial" w:cs="Arial"/>
          <w:spacing w:val="1"/>
          <w:sz w:val="20"/>
          <w:szCs w:val="20"/>
        </w:rPr>
        <w:t xml:space="preserve"> </w:t>
      </w:r>
      <w:r w:rsidRPr="005827DA">
        <w:rPr>
          <w:rFonts w:ascii="Arial" w:hAnsi="Arial" w:cs="Arial"/>
          <w:sz w:val="20"/>
          <w:szCs w:val="20"/>
        </w:rPr>
        <w:t>flight</w:t>
      </w:r>
      <w:r w:rsidRPr="005827DA">
        <w:rPr>
          <w:rFonts w:ascii="Arial" w:hAnsi="Arial" w:cs="Arial"/>
          <w:spacing w:val="1"/>
          <w:sz w:val="20"/>
          <w:szCs w:val="20"/>
        </w:rPr>
        <w:t xml:space="preserve"> </w:t>
      </w:r>
      <w:r w:rsidRPr="005827DA">
        <w:rPr>
          <w:rFonts w:ascii="Arial" w:hAnsi="Arial" w:cs="Arial"/>
          <w:sz w:val="20"/>
          <w:szCs w:val="20"/>
        </w:rPr>
        <w:t>preparation.</w:t>
      </w:r>
      <w:r w:rsidRPr="005827DA">
        <w:rPr>
          <w:rFonts w:ascii="Arial" w:hAnsi="Arial" w:cs="Arial"/>
          <w:spacing w:val="1"/>
          <w:sz w:val="20"/>
          <w:szCs w:val="20"/>
        </w:rPr>
        <w:t xml:space="preserve"> </w:t>
      </w:r>
      <w:r w:rsidRPr="005827DA">
        <w:rPr>
          <w:rFonts w:ascii="Arial" w:hAnsi="Arial" w:cs="Arial"/>
          <w:sz w:val="20"/>
          <w:szCs w:val="20"/>
        </w:rPr>
        <w:t>Furthermore,</w:t>
      </w:r>
      <w:r w:rsidRPr="005827DA">
        <w:rPr>
          <w:rFonts w:ascii="Arial" w:hAnsi="Arial" w:cs="Arial"/>
          <w:spacing w:val="1"/>
          <w:sz w:val="20"/>
          <w:szCs w:val="20"/>
        </w:rPr>
        <w:t xml:space="preserve"> </w:t>
      </w: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student</w:t>
      </w:r>
      <w:r w:rsidRPr="005827DA">
        <w:rPr>
          <w:rFonts w:ascii="Arial" w:hAnsi="Arial" w:cs="Arial"/>
          <w:spacing w:val="1"/>
          <w:sz w:val="20"/>
          <w:szCs w:val="20"/>
        </w:rPr>
        <w:t xml:space="preserve"> </w:t>
      </w:r>
      <w:r w:rsidRPr="005827DA">
        <w:rPr>
          <w:rFonts w:ascii="Arial" w:hAnsi="Arial" w:cs="Arial"/>
          <w:sz w:val="20"/>
          <w:szCs w:val="20"/>
        </w:rPr>
        <w:t>instructor should learn how to identify student errors and how to correct</w:t>
      </w:r>
      <w:r w:rsidRPr="005827DA">
        <w:rPr>
          <w:rFonts w:ascii="Arial" w:hAnsi="Arial" w:cs="Arial"/>
          <w:spacing w:val="1"/>
          <w:sz w:val="20"/>
          <w:szCs w:val="20"/>
        </w:rPr>
        <w:t xml:space="preserve"> </w:t>
      </w:r>
      <w:r w:rsidRPr="005827DA">
        <w:rPr>
          <w:rFonts w:ascii="Arial" w:hAnsi="Arial" w:cs="Arial"/>
          <w:sz w:val="20"/>
          <w:szCs w:val="20"/>
        </w:rPr>
        <w:t>them</w:t>
      </w:r>
      <w:r w:rsidRPr="005827DA">
        <w:rPr>
          <w:rFonts w:ascii="Arial" w:hAnsi="Arial" w:cs="Arial"/>
          <w:spacing w:val="-2"/>
          <w:sz w:val="20"/>
          <w:szCs w:val="20"/>
        </w:rPr>
        <w:t xml:space="preserve"> </w:t>
      </w:r>
      <w:r w:rsidRPr="005827DA">
        <w:rPr>
          <w:rFonts w:ascii="Arial" w:hAnsi="Arial" w:cs="Arial"/>
          <w:sz w:val="20"/>
          <w:szCs w:val="20"/>
        </w:rPr>
        <w:t>properly.</w:t>
      </w:r>
    </w:p>
    <w:p w14:paraId="37339D0C" w14:textId="77777777" w:rsidR="00F20810" w:rsidRPr="005827DA" w:rsidRDefault="00F20810" w:rsidP="005827DA">
      <w:pPr>
        <w:pStyle w:val="ListParagraph"/>
        <w:numPr>
          <w:ilvl w:val="0"/>
          <w:numId w:val="251"/>
        </w:numPr>
        <w:tabs>
          <w:tab w:val="left" w:pos="90"/>
          <w:tab w:val="left" w:pos="2409"/>
        </w:tabs>
        <w:spacing w:before="119" w:line="276" w:lineRule="auto"/>
        <w:ind w:right="68" w:hanging="436"/>
        <w:jc w:val="both"/>
        <w:rPr>
          <w:rFonts w:ascii="Arial" w:hAnsi="Arial" w:cs="Arial"/>
          <w:sz w:val="20"/>
          <w:szCs w:val="20"/>
        </w:rPr>
      </w:pPr>
      <w:r w:rsidRPr="005827DA">
        <w:rPr>
          <w:rFonts w:ascii="Arial" w:hAnsi="Arial" w:cs="Arial"/>
          <w:sz w:val="20"/>
          <w:szCs w:val="20"/>
        </w:rPr>
        <w:t>Briefing</w:t>
      </w:r>
    </w:p>
    <w:p w14:paraId="521CAA54" w14:textId="77777777" w:rsidR="00F20810" w:rsidRPr="005827DA" w:rsidRDefault="00F20810" w:rsidP="005827DA">
      <w:pPr>
        <w:pStyle w:val="BodyText"/>
        <w:tabs>
          <w:tab w:val="left" w:pos="90"/>
        </w:tabs>
        <w:spacing w:line="276" w:lineRule="auto"/>
        <w:ind w:left="2408"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student</w:t>
      </w:r>
      <w:r w:rsidRPr="005827DA">
        <w:rPr>
          <w:rFonts w:ascii="Arial" w:hAnsi="Arial" w:cs="Arial"/>
          <w:spacing w:val="-2"/>
          <w:sz w:val="20"/>
          <w:szCs w:val="20"/>
        </w:rPr>
        <w:t xml:space="preserve"> </w:t>
      </w:r>
      <w:r w:rsidRPr="005827DA">
        <w:rPr>
          <w:rFonts w:ascii="Arial" w:hAnsi="Arial" w:cs="Arial"/>
          <w:sz w:val="20"/>
          <w:szCs w:val="20"/>
        </w:rPr>
        <w:t>instructor has</w:t>
      </w:r>
      <w:r w:rsidRPr="005827DA">
        <w:rPr>
          <w:rFonts w:ascii="Arial" w:hAnsi="Arial" w:cs="Arial"/>
          <w:spacing w:val="-6"/>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explain:</w:t>
      </w:r>
    </w:p>
    <w:p w14:paraId="30BF319B" w14:textId="77777777" w:rsidR="00F20810" w:rsidRPr="005827DA" w:rsidRDefault="00F20810" w:rsidP="005827DA">
      <w:pPr>
        <w:pStyle w:val="ListParagraph"/>
        <w:numPr>
          <w:ilvl w:val="1"/>
          <w:numId w:val="251"/>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3"/>
          <w:sz w:val="20"/>
          <w:szCs w:val="20"/>
        </w:rPr>
        <w:t xml:space="preserve"> </w:t>
      </w:r>
      <w:r w:rsidRPr="005827DA">
        <w:rPr>
          <w:rFonts w:ascii="Arial" w:hAnsi="Arial" w:cs="Arial"/>
          <w:sz w:val="20"/>
          <w:szCs w:val="20"/>
        </w:rPr>
        <w:t>maps</w:t>
      </w:r>
      <w:r w:rsidRPr="005827DA">
        <w:rPr>
          <w:rFonts w:ascii="Arial" w:hAnsi="Arial" w:cs="Arial"/>
          <w:spacing w:val="-1"/>
          <w:sz w:val="20"/>
          <w:szCs w:val="20"/>
        </w:rPr>
        <w:t xml:space="preserve"> </w:t>
      </w:r>
      <w:r w:rsidRPr="005827DA">
        <w:rPr>
          <w:rFonts w:ascii="Arial" w:hAnsi="Arial" w:cs="Arial"/>
          <w:sz w:val="20"/>
          <w:szCs w:val="20"/>
        </w:rPr>
        <w:t>selection;</w:t>
      </w:r>
    </w:p>
    <w:p w14:paraId="31DEE006" w14:textId="77777777" w:rsidR="00F20810" w:rsidRPr="005827DA" w:rsidRDefault="00F20810" w:rsidP="005827DA">
      <w:pPr>
        <w:pStyle w:val="ListParagraph"/>
        <w:numPr>
          <w:ilvl w:val="1"/>
          <w:numId w:val="251"/>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plotting</w:t>
      </w:r>
      <w:r w:rsidRPr="005827DA">
        <w:rPr>
          <w:rFonts w:ascii="Arial" w:hAnsi="Arial" w:cs="Arial"/>
          <w:spacing w:val="-2"/>
          <w:sz w:val="20"/>
          <w:szCs w:val="20"/>
        </w:rPr>
        <w:t xml:space="preserve"> </w:t>
      </w:r>
      <w:r w:rsidRPr="005827DA">
        <w:rPr>
          <w:rFonts w:ascii="Arial" w:hAnsi="Arial" w:cs="Arial"/>
          <w:sz w:val="20"/>
          <w:szCs w:val="20"/>
        </w:rPr>
        <w:t>of</w:t>
      </w:r>
      <w:r w:rsidRPr="005827DA">
        <w:rPr>
          <w:rFonts w:ascii="Arial" w:hAnsi="Arial" w:cs="Arial"/>
          <w:spacing w:val="-3"/>
          <w:sz w:val="20"/>
          <w:szCs w:val="20"/>
        </w:rPr>
        <w:t xml:space="preserve"> </w:t>
      </w:r>
      <w:r w:rsidRPr="005827DA">
        <w:rPr>
          <w:rFonts w:ascii="Arial" w:hAnsi="Arial" w:cs="Arial"/>
          <w:sz w:val="20"/>
          <w:szCs w:val="20"/>
        </w:rPr>
        <w:t>the</w:t>
      </w:r>
      <w:r w:rsidRPr="005827DA">
        <w:rPr>
          <w:rFonts w:ascii="Arial" w:hAnsi="Arial" w:cs="Arial"/>
          <w:spacing w:val="-3"/>
          <w:sz w:val="20"/>
          <w:szCs w:val="20"/>
        </w:rPr>
        <w:t xml:space="preserve"> </w:t>
      </w:r>
      <w:r w:rsidRPr="005827DA">
        <w:rPr>
          <w:rFonts w:ascii="Arial" w:hAnsi="Arial" w:cs="Arial"/>
          <w:sz w:val="20"/>
          <w:szCs w:val="20"/>
        </w:rPr>
        <w:t>expected</w:t>
      </w:r>
      <w:r w:rsidRPr="005827DA">
        <w:rPr>
          <w:rFonts w:ascii="Arial" w:hAnsi="Arial" w:cs="Arial"/>
          <w:spacing w:val="-1"/>
          <w:sz w:val="20"/>
          <w:szCs w:val="20"/>
        </w:rPr>
        <w:t xml:space="preserve"> </w:t>
      </w:r>
      <w:r w:rsidRPr="005827DA">
        <w:rPr>
          <w:rFonts w:ascii="Arial" w:hAnsi="Arial" w:cs="Arial"/>
          <w:sz w:val="20"/>
          <w:szCs w:val="20"/>
        </w:rPr>
        <w:t>track;</w:t>
      </w:r>
    </w:p>
    <w:p w14:paraId="4E45226A" w14:textId="77777777" w:rsidR="00F20810" w:rsidRPr="005827DA" w:rsidRDefault="00F20810" w:rsidP="005827DA">
      <w:pPr>
        <w:pStyle w:val="ListParagraph"/>
        <w:numPr>
          <w:ilvl w:val="1"/>
          <w:numId w:val="251"/>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3"/>
          <w:sz w:val="20"/>
          <w:szCs w:val="20"/>
        </w:rPr>
        <w:t xml:space="preserve"> </w:t>
      </w:r>
      <w:r w:rsidRPr="005827DA">
        <w:rPr>
          <w:rFonts w:ascii="Arial" w:hAnsi="Arial" w:cs="Arial"/>
          <w:sz w:val="20"/>
          <w:szCs w:val="20"/>
        </w:rPr>
        <w:t>marking</w:t>
      </w:r>
      <w:r w:rsidRPr="005827DA">
        <w:rPr>
          <w:rFonts w:ascii="Arial" w:hAnsi="Arial" w:cs="Arial"/>
          <w:spacing w:val="-4"/>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positions</w:t>
      </w:r>
      <w:r w:rsidRPr="005827DA">
        <w:rPr>
          <w:rFonts w:ascii="Arial" w:hAnsi="Arial" w:cs="Arial"/>
          <w:spacing w:val="-3"/>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time;</w:t>
      </w:r>
    </w:p>
    <w:p w14:paraId="4D462D59" w14:textId="77777777" w:rsidR="00F20810" w:rsidRPr="005827DA" w:rsidRDefault="00F20810" w:rsidP="005827DA">
      <w:pPr>
        <w:pStyle w:val="ListParagraph"/>
        <w:numPr>
          <w:ilvl w:val="1"/>
          <w:numId w:val="251"/>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calculation</w:t>
      </w:r>
      <w:r w:rsidRPr="005827DA">
        <w:rPr>
          <w:rFonts w:ascii="Arial" w:hAnsi="Arial" w:cs="Arial"/>
          <w:spacing w:val="-4"/>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distance</w:t>
      </w:r>
      <w:r w:rsidRPr="005827DA">
        <w:rPr>
          <w:rFonts w:ascii="Arial" w:hAnsi="Arial" w:cs="Arial"/>
          <w:spacing w:val="-2"/>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speed;</w:t>
      </w:r>
    </w:p>
    <w:p w14:paraId="18469E4E" w14:textId="77777777" w:rsidR="00F20810" w:rsidRPr="005827DA" w:rsidRDefault="00F20810" w:rsidP="005827DA">
      <w:pPr>
        <w:pStyle w:val="ListParagraph"/>
        <w:numPr>
          <w:ilvl w:val="1"/>
          <w:numId w:val="251"/>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calculation</w:t>
      </w:r>
      <w:r w:rsidRPr="005827DA">
        <w:rPr>
          <w:rFonts w:ascii="Arial" w:hAnsi="Arial" w:cs="Arial"/>
          <w:spacing w:val="-4"/>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fuel</w:t>
      </w:r>
      <w:r w:rsidRPr="005827DA">
        <w:rPr>
          <w:rFonts w:ascii="Arial" w:hAnsi="Arial" w:cs="Arial"/>
          <w:spacing w:val="-3"/>
          <w:sz w:val="20"/>
          <w:szCs w:val="20"/>
        </w:rPr>
        <w:t xml:space="preserve"> </w:t>
      </w:r>
      <w:r w:rsidRPr="005827DA">
        <w:rPr>
          <w:rFonts w:ascii="Arial" w:hAnsi="Arial" w:cs="Arial"/>
          <w:sz w:val="20"/>
          <w:szCs w:val="20"/>
        </w:rPr>
        <w:t>consumption</w:t>
      </w:r>
      <w:r w:rsidRPr="005827DA">
        <w:rPr>
          <w:rFonts w:ascii="Arial" w:hAnsi="Arial" w:cs="Arial"/>
          <w:spacing w:val="-4"/>
          <w:sz w:val="20"/>
          <w:szCs w:val="20"/>
        </w:rPr>
        <w:t xml:space="preserve"> </w:t>
      </w:r>
      <w:r w:rsidRPr="005827DA">
        <w:rPr>
          <w:rFonts w:ascii="Arial" w:hAnsi="Arial" w:cs="Arial"/>
          <w:sz w:val="20"/>
          <w:szCs w:val="20"/>
        </w:rPr>
        <w:t>(hot-air</w:t>
      </w:r>
      <w:r w:rsidRPr="005827DA">
        <w:rPr>
          <w:rFonts w:ascii="Arial" w:hAnsi="Arial" w:cs="Arial"/>
          <w:spacing w:val="-5"/>
          <w:sz w:val="20"/>
          <w:szCs w:val="20"/>
        </w:rPr>
        <w:t xml:space="preserve"> </w:t>
      </w:r>
      <w:r w:rsidRPr="005827DA">
        <w:rPr>
          <w:rFonts w:ascii="Arial" w:hAnsi="Arial" w:cs="Arial"/>
          <w:sz w:val="20"/>
          <w:szCs w:val="20"/>
        </w:rPr>
        <w:t>balloons);</w:t>
      </w:r>
    </w:p>
    <w:p w14:paraId="6833CA2F" w14:textId="77777777" w:rsidR="00F20810" w:rsidRPr="005827DA" w:rsidRDefault="00F20810" w:rsidP="005827DA">
      <w:pPr>
        <w:pStyle w:val="ListParagraph"/>
        <w:numPr>
          <w:ilvl w:val="1"/>
          <w:numId w:val="251"/>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3"/>
          <w:sz w:val="20"/>
          <w:szCs w:val="20"/>
        </w:rPr>
        <w:t xml:space="preserve"> </w:t>
      </w:r>
      <w:r w:rsidRPr="005827DA">
        <w:rPr>
          <w:rFonts w:ascii="Arial" w:hAnsi="Arial" w:cs="Arial"/>
          <w:sz w:val="20"/>
          <w:szCs w:val="20"/>
        </w:rPr>
        <w:t>calculation</w:t>
      </w:r>
      <w:r w:rsidRPr="005827DA">
        <w:rPr>
          <w:rFonts w:ascii="Arial" w:hAnsi="Arial" w:cs="Arial"/>
          <w:spacing w:val="-5"/>
          <w:sz w:val="20"/>
          <w:szCs w:val="20"/>
        </w:rPr>
        <w:t xml:space="preserve"> </w:t>
      </w:r>
      <w:r w:rsidRPr="005827DA">
        <w:rPr>
          <w:rFonts w:ascii="Arial" w:hAnsi="Arial" w:cs="Arial"/>
          <w:sz w:val="20"/>
          <w:szCs w:val="20"/>
        </w:rPr>
        <w:t>of</w:t>
      </w:r>
      <w:r w:rsidRPr="005827DA">
        <w:rPr>
          <w:rFonts w:ascii="Arial" w:hAnsi="Arial" w:cs="Arial"/>
          <w:spacing w:val="-2"/>
          <w:sz w:val="20"/>
          <w:szCs w:val="20"/>
        </w:rPr>
        <w:t xml:space="preserve"> </w:t>
      </w:r>
      <w:r w:rsidRPr="005827DA">
        <w:rPr>
          <w:rFonts w:ascii="Arial" w:hAnsi="Arial" w:cs="Arial"/>
          <w:sz w:val="20"/>
          <w:szCs w:val="20"/>
        </w:rPr>
        <w:t>ballast</w:t>
      </w:r>
      <w:r w:rsidRPr="005827DA">
        <w:rPr>
          <w:rFonts w:ascii="Arial" w:hAnsi="Arial" w:cs="Arial"/>
          <w:spacing w:val="-2"/>
          <w:sz w:val="20"/>
          <w:szCs w:val="20"/>
        </w:rPr>
        <w:t xml:space="preserve"> </w:t>
      </w:r>
      <w:r w:rsidRPr="005827DA">
        <w:rPr>
          <w:rFonts w:ascii="Arial" w:hAnsi="Arial" w:cs="Arial"/>
          <w:sz w:val="20"/>
          <w:szCs w:val="20"/>
        </w:rPr>
        <w:t>consumption</w:t>
      </w:r>
      <w:r w:rsidRPr="005827DA">
        <w:rPr>
          <w:rFonts w:ascii="Arial" w:hAnsi="Arial" w:cs="Arial"/>
          <w:spacing w:val="-6"/>
          <w:sz w:val="20"/>
          <w:szCs w:val="20"/>
        </w:rPr>
        <w:t xml:space="preserve"> </w:t>
      </w:r>
      <w:r w:rsidRPr="005827DA">
        <w:rPr>
          <w:rFonts w:ascii="Arial" w:hAnsi="Arial" w:cs="Arial"/>
          <w:sz w:val="20"/>
          <w:szCs w:val="20"/>
        </w:rPr>
        <w:t>(gas</w:t>
      </w:r>
      <w:r w:rsidRPr="005827DA">
        <w:rPr>
          <w:rFonts w:ascii="Arial" w:hAnsi="Arial" w:cs="Arial"/>
          <w:spacing w:val="-2"/>
          <w:sz w:val="20"/>
          <w:szCs w:val="20"/>
        </w:rPr>
        <w:t xml:space="preserve"> </w:t>
      </w:r>
      <w:r w:rsidRPr="005827DA">
        <w:rPr>
          <w:rFonts w:ascii="Arial" w:hAnsi="Arial" w:cs="Arial"/>
          <w:sz w:val="20"/>
          <w:szCs w:val="20"/>
        </w:rPr>
        <w:t>balloons);</w:t>
      </w:r>
    </w:p>
    <w:p w14:paraId="25E06197" w14:textId="77777777" w:rsidR="00F20810" w:rsidRPr="005827DA" w:rsidRDefault="00F20810" w:rsidP="005827DA">
      <w:pPr>
        <w:pStyle w:val="ListParagraph"/>
        <w:numPr>
          <w:ilvl w:val="1"/>
          <w:numId w:val="251"/>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ceiling</w:t>
      </w:r>
      <w:r w:rsidRPr="005827DA">
        <w:rPr>
          <w:rFonts w:ascii="Arial" w:hAnsi="Arial" w:cs="Arial"/>
          <w:spacing w:val="-2"/>
          <w:sz w:val="20"/>
          <w:szCs w:val="20"/>
        </w:rPr>
        <w:t xml:space="preserve"> </w:t>
      </w:r>
      <w:r w:rsidRPr="005827DA">
        <w:rPr>
          <w:rFonts w:ascii="Arial" w:hAnsi="Arial" w:cs="Arial"/>
          <w:sz w:val="20"/>
          <w:szCs w:val="20"/>
        </w:rPr>
        <w:t>limitations</w:t>
      </w:r>
      <w:r w:rsidRPr="005827DA">
        <w:rPr>
          <w:rFonts w:ascii="Arial" w:hAnsi="Arial" w:cs="Arial"/>
          <w:spacing w:val="-3"/>
          <w:sz w:val="20"/>
          <w:szCs w:val="20"/>
        </w:rPr>
        <w:t xml:space="preserve"> </w:t>
      </w:r>
      <w:r w:rsidRPr="005827DA">
        <w:rPr>
          <w:rFonts w:ascii="Arial" w:hAnsi="Arial" w:cs="Arial"/>
          <w:sz w:val="20"/>
          <w:szCs w:val="20"/>
        </w:rPr>
        <w:t>(ATC</w:t>
      </w:r>
      <w:r w:rsidRPr="005827DA">
        <w:rPr>
          <w:rFonts w:ascii="Arial" w:hAnsi="Arial" w:cs="Arial"/>
          <w:spacing w:val="-3"/>
          <w:sz w:val="20"/>
          <w:szCs w:val="20"/>
        </w:rPr>
        <w:t xml:space="preserve"> </w:t>
      </w:r>
      <w:r w:rsidRPr="005827DA">
        <w:rPr>
          <w:rFonts w:ascii="Arial" w:hAnsi="Arial" w:cs="Arial"/>
          <w:sz w:val="20"/>
          <w:szCs w:val="20"/>
        </w:rPr>
        <w:t>or</w:t>
      </w:r>
      <w:r w:rsidRPr="005827DA">
        <w:rPr>
          <w:rFonts w:ascii="Arial" w:hAnsi="Arial" w:cs="Arial"/>
          <w:spacing w:val="-1"/>
          <w:sz w:val="20"/>
          <w:szCs w:val="20"/>
        </w:rPr>
        <w:t xml:space="preserve"> </w:t>
      </w:r>
      <w:r w:rsidRPr="005827DA">
        <w:rPr>
          <w:rFonts w:ascii="Arial" w:hAnsi="Arial" w:cs="Arial"/>
          <w:sz w:val="20"/>
          <w:szCs w:val="20"/>
        </w:rPr>
        <w:t>weather);</w:t>
      </w:r>
    </w:p>
    <w:p w14:paraId="2C0CA2A4" w14:textId="77777777" w:rsidR="00F20810" w:rsidRPr="005827DA" w:rsidRDefault="00F20810" w:rsidP="005827DA">
      <w:pPr>
        <w:pStyle w:val="ListParagraph"/>
        <w:numPr>
          <w:ilvl w:val="1"/>
          <w:numId w:val="251"/>
        </w:numPr>
        <w:tabs>
          <w:tab w:val="left" w:pos="90"/>
          <w:tab w:val="left" w:pos="2975"/>
          <w:tab w:val="left" w:pos="2976"/>
        </w:tabs>
        <w:spacing w:before="118"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2"/>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plan</w:t>
      </w:r>
      <w:r w:rsidRPr="005827DA">
        <w:rPr>
          <w:rFonts w:ascii="Arial" w:hAnsi="Arial" w:cs="Arial"/>
          <w:spacing w:val="-2"/>
          <w:sz w:val="20"/>
          <w:szCs w:val="20"/>
        </w:rPr>
        <w:t xml:space="preserve"> </w:t>
      </w:r>
      <w:r w:rsidRPr="005827DA">
        <w:rPr>
          <w:rFonts w:ascii="Arial" w:hAnsi="Arial" w:cs="Arial"/>
          <w:sz w:val="20"/>
          <w:szCs w:val="20"/>
        </w:rPr>
        <w:t>ahead;</w:t>
      </w:r>
    </w:p>
    <w:p w14:paraId="7BC83DAC" w14:textId="77777777" w:rsidR="00F20810" w:rsidRPr="005827DA" w:rsidRDefault="00F20810" w:rsidP="005827DA">
      <w:pPr>
        <w:pStyle w:val="ListParagraph"/>
        <w:numPr>
          <w:ilvl w:val="1"/>
          <w:numId w:val="251"/>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monitoring</w:t>
      </w:r>
      <w:r w:rsidRPr="005827DA">
        <w:rPr>
          <w:rFonts w:ascii="Arial" w:hAnsi="Arial" w:cs="Arial"/>
          <w:spacing w:val="-3"/>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weather</w:t>
      </w:r>
      <w:r w:rsidRPr="005827DA">
        <w:rPr>
          <w:rFonts w:ascii="Arial" w:hAnsi="Arial" w:cs="Arial"/>
          <w:spacing w:val="-4"/>
          <w:sz w:val="20"/>
          <w:szCs w:val="20"/>
        </w:rPr>
        <w:t xml:space="preserve"> </w:t>
      </w:r>
      <w:r w:rsidRPr="005827DA">
        <w:rPr>
          <w:rFonts w:ascii="Arial" w:hAnsi="Arial" w:cs="Arial"/>
          <w:sz w:val="20"/>
          <w:szCs w:val="20"/>
        </w:rPr>
        <w:t>development;</w:t>
      </w:r>
    </w:p>
    <w:p w14:paraId="4BF2F65B" w14:textId="77777777" w:rsidR="00F20810" w:rsidRPr="005827DA" w:rsidRDefault="00F20810" w:rsidP="005827DA">
      <w:pPr>
        <w:pStyle w:val="ListParagraph"/>
        <w:numPr>
          <w:ilvl w:val="1"/>
          <w:numId w:val="251"/>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4"/>
          <w:sz w:val="20"/>
          <w:szCs w:val="20"/>
        </w:rPr>
        <w:t xml:space="preserve"> </w:t>
      </w:r>
      <w:r w:rsidRPr="005827DA">
        <w:rPr>
          <w:rFonts w:ascii="Arial" w:hAnsi="Arial" w:cs="Arial"/>
          <w:sz w:val="20"/>
          <w:szCs w:val="20"/>
        </w:rPr>
        <w:t>monitoring</w:t>
      </w:r>
      <w:r w:rsidRPr="005827DA">
        <w:rPr>
          <w:rFonts w:ascii="Arial" w:hAnsi="Arial" w:cs="Arial"/>
          <w:spacing w:val="-4"/>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fuel</w:t>
      </w:r>
      <w:r w:rsidRPr="005827DA">
        <w:rPr>
          <w:rFonts w:ascii="Arial" w:hAnsi="Arial" w:cs="Arial"/>
          <w:spacing w:val="-4"/>
          <w:sz w:val="20"/>
          <w:szCs w:val="20"/>
        </w:rPr>
        <w:t xml:space="preserve"> </w:t>
      </w:r>
      <w:r w:rsidRPr="005827DA">
        <w:rPr>
          <w:rFonts w:ascii="Arial" w:hAnsi="Arial" w:cs="Arial"/>
          <w:sz w:val="20"/>
          <w:szCs w:val="20"/>
        </w:rPr>
        <w:t>or</w:t>
      </w:r>
      <w:r w:rsidRPr="005827DA">
        <w:rPr>
          <w:rFonts w:ascii="Arial" w:hAnsi="Arial" w:cs="Arial"/>
          <w:spacing w:val="-1"/>
          <w:sz w:val="20"/>
          <w:szCs w:val="20"/>
        </w:rPr>
        <w:t xml:space="preserve"> </w:t>
      </w:r>
      <w:r w:rsidRPr="005827DA">
        <w:rPr>
          <w:rFonts w:ascii="Arial" w:hAnsi="Arial" w:cs="Arial"/>
          <w:sz w:val="20"/>
          <w:szCs w:val="20"/>
        </w:rPr>
        <w:t>ballast</w:t>
      </w:r>
      <w:r w:rsidRPr="005827DA">
        <w:rPr>
          <w:rFonts w:ascii="Arial" w:hAnsi="Arial" w:cs="Arial"/>
          <w:spacing w:val="-2"/>
          <w:sz w:val="20"/>
          <w:szCs w:val="20"/>
        </w:rPr>
        <w:t xml:space="preserve"> </w:t>
      </w:r>
      <w:r w:rsidRPr="005827DA">
        <w:rPr>
          <w:rFonts w:ascii="Arial" w:hAnsi="Arial" w:cs="Arial"/>
          <w:sz w:val="20"/>
          <w:szCs w:val="20"/>
        </w:rPr>
        <w:t>consumption;</w:t>
      </w:r>
    </w:p>
    <w:p w14:paraId="42E1D919" w14:textId="77777777" w:rsidR="00F20810" w:rsidRPr="005827DA" w:rsidRDefault="00F20810" w:rsidP="005827DA">
      <w:pPr>
        <w:pStyle w:val="ListParagraph"/>
        <w:numPr>
          <w:ilvl w:val="1"/>
          <w:numId w:val="251"/>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ATC liaison</w:t>
      </w:r>
      <w:r w:rsidRPr="005827DA">
        <w:rPr>
          <w:rFonts w:ascii="Arial" w:hAnsi="Arial" w:cs="Arial"/>
          <w:spacing w:val="-4"/>
          <w:sz w:val="20"/>
          <w:szCs w:val="20"/>
        </w:rPr>
        <w:t xml:space="preserve"> </w:t>
      </w:r>
      <w:r w:rsidRPr="005827DA">
        <w:rPr>
          <w:rFonts w:ascii="Arial" w:hAnsi="Arial" w:cs="Arial"/>
          <w:sz w:val="20"/>
          <w:szCs w:val="20"/>
        </w:rPr>
        <w:t>(if applicable);</w:t>
      </w:r>
    </w:p>
    <w:p w14:paraId="6D527E54" w14:textId="77777777" w:rsidR="00F20810" w:rsidRPr="005827DA" w:rsidRDefault="00F20810" w:rsidP="005827DA">
      <w:pPr>
        <w:pStyle w:val="ListParagraph"/>
        <w:numPr>
          <w:ilvl w:val="1"/>
          <w:numId w:val="251"/>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communication</w:t>
      </w:r>
      <w:r w:rsidRPr="005827DA">
        <w:rPr>
          <w:rFonts w:ascii="Arial" w:hAnsi="Arial" w:cs="Arial"/>
          <w:spacing w:val="-3"/>
          <w:sz w:val="20"/>
          <w:szCs w:val="20"/>
        </w:rPr>
        <w:t xml:space="preserve"> </w:t>
      </w:r>
      <w:r w:rsidRPr="005827DA">
        <w:rPr>
          <w:rFonts w:ascii="Arial" w:hAnsi="Arial" w:cs="Arial"/>
          <w:sz w:val="20"/>
          <w:szCs w:val="20"/>
        </w:rPr>
        <w:t>with</w:t>
      </w:r>
      <w:r w:rsidRPr="005827DA">
        <w:rPr>
          <w:rFonts w:ascii="Arial" w:hAnsi="Arial" w:cs="Arial"/>
          <w:spacing w:val="-1"/>
          <w:sz w:val="20"/>
          <w:szCs w:val="20"/>
        </w:rPr>
        <w:t xml:space="preserve"> </w:t>
      </w:r>
      <w:r w:rsidRPr="005827DA">
        <w:rPr>
          <w:rFonts w:ascii="Arial" w:hAnsi="Arial" w:cs="Arial"/>
          <w:sz w:val="20"/>
          <w:szCs w:val="20"/>
        </w:rPr>
        <w:t>retrieve</w:t>
      </w:r>
      <w:r w:rsidRPr="005827DA">
        <w:rPr>
          <w:rFonts w:ascii="Arial" w:hAnsi="Arial" w:cs="Arial"/>
          <w:spacing w:val="1"/>
          <w:sz w:val="20"/>
          <w:szCs w:val="20"/>
        </w:rPr>
        <w:t xml:space="preserve"> </w:t>
      </w:r>
      <w:r w:rsidRPr="005827DA">
        <w:rPr>
          <w:rFonts w:ascii="Arial" w:hAnsi="Arial" w:cs="Arial"/>
          <w:sz w:val="20"/>
          <w:szCs w:val="20"/>
        </w:rPr>
        <w:t>crew;</w:t>
      </w:r>
      <w:r w:rsidRPr="005827DA">
        <w:rPr>
          <w:rFonts w:ascii="Arial" w:hAnsi="Arial" w:cs="Arial"/>
          <w:spacing w:val="-1"/>
          <w:sz w:val="20"/>
          <w:szCs w:val="20"/>
        </w:rPr>
        <w:t xml:space="preserve"> </w:t>
      </w:r>
      <w:r w:rsidRPr="005827DA">
        <w:rPr>
          <w:rFonts w:ascii="Arial" w:hAnsi="Arial" w:cs="Arial"/>
          <w:sz w:val="20"/>
          <w:szCs w:val="20"/>
        </w:rPr>
        <w:t>and</w:t>
      </w:r>
    </w:p>
    <w:p w14:paraId="10C54C16" w14:textId="77777777" w:rsidR="00F20810" w:rsidRPr="005827DA" w:rsidRDefault="00F20810" w:rsidP="005827DA">
      <w:pPr>
        <w:pStyle w:val="ListParagraph"/>
        <w:numPr>
          <w:ilvl w:val="1"/>
          <w:numId w:val="251"/>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use</w:t>
      </w:r>
      <w:r w:rsidRPr="005827DA">
        <w:rPr>
          <w:rFonts w:ascii="Arial" w:hAnsi="Arial" w:cs="Arial"/>
          <w:spacing w:val="-2"/>
          <w:sz w:val="20"/>
          <w:szCs w:val="20"/>
        </w:rPr>
        <w:t xml:space="preserve"> </w:t>
      </w:r>
      <w:r w:rsidRPr="005827DA">
        <w:rPr>
          <w:rFonts w:ascii="Arial" w:hAnsi="Arial" w:cs="Arial"/>
          <w:sz w:val="20"/>
          <w:szCs w:val="20"/>
        </w:rPr>
        <w:t>of</w:t>
      </w:r>
      <w:r w:rsidRPr="005827DA">
        <w:rPr>
          <w:rFonts w:ascii="Arial" w:hAnsi="Arial" w:cs="Arial"/>
          <w:spacing w:val="-2"/>
          <w:sz w:val="20"/>
          <w:szCs w:val="20"/>
        </w:rPr>
        <w:t xml:space="preserve"> </w:t>
      </w:r>
      <w:r w:rsidRPr="005827DA">
        <w:rPr>
          <w:rFonts w:ascii="Arial" w:hAnsi="Arial" w:cs="Arial"/>
          <w:sz w:val="20"/>
          <w:szCs w:val="20"/>
        </w:rPr>
        <w:t>GNSS</w:t>
      </w:r>
      <w:r w:rsidRPr="005827DA">
        <w:rPr>
          <w:rFonts w:ascii="Arial" w:hAnsi="Arial" w:cs="Arial"/>
          <w:spacing w:val="-3"/>
          <w:sz w:val="20"/>
          <w:szCs w:val="20"/>
        </w:rPr>
        <w:t xml:space="preserve"> </w:t>
      </w:r>
      <w:r w:rsidRPr="005827DA">
        <w:rPr>
          <w:rFonts w:ascii="Arial" w:hAnsi="Arial" w:cs="Arial"/>
          <w:sz w:val="20"/>
          <w:szCs w:val="20"/>
        </w:rPr>
        <w:t>(if applicable).</w:t>
      </w:r>
    </w:p>
    <w:p w14:paraId="7C04AD4C" w14:textId="77777777" w:rsidR="00F20810" w:rsidRPr="005827DA" w:rsidRDefault="00F20810" w:rsidP="005827DA">
      <w:pPr>
        <w:pStyle w:val="ListParagraph"/>
        <w:numPr>
          <w:ilvl w:val="0"/>
          <w:numId w:val="251"/>
        </w:numPr>
        <w:tabs>
          <w:tab w:val="left" w:pos="90"/>
          <w:tab w:val="left" w:pos="2408"/>
          <w:tab w:val="left" w:pos="2409"/>
        </w:tabs>
        <w:spacing w:line="276" w:lineRule="auto"/>
        <w:ind w:right="68" w:hanging="436"/>
        <w:jc w:val="both"/>
        <w:rPr>
          <w:rFonts w:ascii="Arial" w:hAnsi="Arial" w:cs="Arial"/>
          <w:sz w:val="20"/>
          <w:szCs w:val="20"/>
        </w:rPr>
      </w:pPr>
      <w:r w:rsidRPr="005827DA">
        <w:rPr>
          <w:rFonts w:ascii="Arial" w:hAnsi="Arial" w:cs="Arial"/>
          <w:sz w:val="20"/>
          <w:szCs w:val="20"/>
        </w:rPr>
        <w:t>Air</w:t>
      </w:r>
      <w:r w:rsidRPr="005827DA">
        <w:rPr>
          <w:rFonts w:ascii="Arial" w:hAnsi="Arial" w:cs="Arial"/>
          <w:spacing w:val="-1"/>
          <w:sz w:val="20"/>
          <w:szCs w:val="20"/>
        </w:rPr>
        <w:t xml:space="preserve"> </w:t>
      </w:r>
      <w:r w:rsidRPr="005827DA">
        <w:rPr>
          <w:rFonts w:ascii="Arial" w:hAnsi="Arial" w:cs="Arial"/>
          <w:sz w:val="20"/>
          <w:szCs w:val="20"/>
        </w:rPr>
        <w:t>exercise</w:t>
      </w:r>
    </w:p>
    <w:p w14:paraId="5A793D7C" w14:textId="77777777" w:rsidR="00F20810" w:rsidRPr="005827DA" w:rsidRDefault="00F20810" w:rsidP="005827DA">
      <w:pPr>
        <w:pStyle w:val="BodyText"/>
        <w:tabs>
          <w:tab w:val="left" w:pos="90"/>
        </w:tabs>
        <w:spacing w:line="276" w:lineRule="auto"/>
        <w:ind w:left="2408"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student</w:t>
      </w:r>
      <w:r w:rsidRPr="005827DA">
        <w:rPr>
          <w:rFonts w:ascii="Arial" w:hAnsi="Arial" w:cs="Arial"/>
          <w:spacing w:val="-3"/>
          <w:sz w:val="20"/>
          <w:szCs w:val="20"/>
        </w:rPr>
        <w:t xml:space="preserve"> </w:t>
      </w:r>
      <w:r w:rsidRPr="005827DA">
        <w:rPr>
          <w:rFonts w:ascii="Arial" w:hAnsi="Arial" w:cs="Arial"/>
          <w:sz w:val="20"/>
          <w:szCs w:val="20"/>
        </w:rPr>
        <w:t>instructor</w:t>
      </w:r>
      <w:r w:rsidRPr="005827DA">
        <w:rPr>
          <w:rFonts w:ascii="Arial" w:hAnsi="Arial" w:cs="Arial"/>
          <w:spacing w:val="-2"/>
          <w:sz w:val="20"/>
          <w:szCs w:val="20"/>
        </w:rPr>
        <w:t xml:space="preserve"> </w:t>
      </w:r>
      <w:r w:rsidRPr="005827DA">
        <w:rPr>
          <w:rFonts w:ascii="Arial" w:hAnsi="Arial" w:cs="Arial"/>
          <w:sz w:val="20"/>
          <w:szCs w:val="20"/>
        </w:rPr>
        <w:t>has</w:t>
      </w:r>
      <w:r w:rsidRPr="005827DA">
        <w:rPr>
          <w:rFonts w:ascii="Arial" w:hAnsi="Arial" w:cs="Arial"/>
          <w:spacing w:val="-6"/>
          <w:sz w:val="20"/>
          <w:szCs w:val="20"/>
        </w:rPr>
        <w:t xml:space="preserve"> </w:t>
      </w:r>
      <w:r w:rsidRPr="005827DA">
        <w:rPr>
          <w:rFonts w:ascii="Arial" w:hAnsi="Arial" w:cs="Arial"/>
          <w:sz w:val="20"/>
          <w:szCs w:val="20"/>
        </w:rPr>
        <w:t>to demonstrate:</w:t>
      </w:r>
    </w:p>
    <w:p w14:paraId="7838A811" w14:textId="77777777" w:rsidR="00F20810" w:rsidRPr="005827DA" w:rsidRDefault="00F20810" w:rsidP="005827DA">
      <w:pPr>
        <w:pStyle w:val="ListParagraph"/>
        <w:numPr>
          <w:ilvl w:val="1"/>
          <w:numId w:val="251"/>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use</w:t>
      </w:r>
      <w:r w:rsidRPr="005827DA">
        <w:rPr>
          <w:rFonts w:ascii="Arial" w:hAnsi="Arial" w:cs="Arial"/>
          <w:spacing w:val="-2"/>
          <w:sz w:val="20"/>
          <w:szCs w:val="20"/>
        </w:rPr>
        <w:t xml:space="preserve"> </w:t>
      </w:r>
      <w:r w:rsidRPr="005827DA">
        <w:rPr>
          <w:rFonts w:ascii="Arial" w:hAnsi="Arial" w:cs="Arial"/>
          <w:sz w:val="20"/>
          <w:szCs w:val="20"/>
        </w:rPr>
        <w:t>of</w:t>
      </w:r>
      <w:r w:rsidRPr="005827DA">
        <w:rPr>
          <w:rFonts w:ascii="Arial" w:hAnsi="Arial" w:cs="Arial"/>
          <w:spacing w:val="-2"/>
          <w:sz w:val="20"/>
          <w:szCs w:val="20"/>
        </w:rPr>
        <w:t xml:space="preserve"> </w:t>
      </w:r>
      <w:r w:rsidRPr="005827DA">
        <w:rPr>
          <w:rFonts w:ascii="Arial" w:hAnsi="Arial" w:cs="Arial"/>
          <w:sz w:val="20"/>
          <w:szCs w:val="20"/>
        </w:rPr>
        <w:t>selected</w:t>
      </w:r>
      <w:r w:rsidRPr="005827DA">
        <w:rPr>
          <w:rFonts w:ascii="Arial" w:hAnsi="Arial" w:cs="Arial"/>
          <w:spacing w:val="-4"/>
          <w:sz w:val="20"/>
          <w:szCs w:val="20"/>
        </w:rPr>
        <w:t xml:space="preserve"> </w:t>
      </w:r>
      <w:r w:rsidRPr="005827DA">
        <w:rPr>
          <w:rFonts w:ascii="Arial" w:hAnsi="Arial" w:cs="Arial"/>
          <w:sz w:val="20"/>
          <w:szCs w:val="20"/>
        </w:rPr>
        <w:t>maps;</w:t>
      </w:r>
    </w:p>
    <w:p w14:paraId="30949534" w14:textId="77777777" w:rsidR="00F20810" w:rsidRPr="005827DA" w:rsidRDefault="00F20810" w:rsidP="005827DA">
      <w:pPr>
        <w:pStyle w:val="ListParagraph"/>
        <w:numPr>
          <w:ilvl w:val="1"/>
          <w:numId w:val="251"/>
        </w:numPr>
        <w:tabs>
          <w:tab w:val="left" w:pos="90"/>
          <w:tab w:val="left" w:pos="2975"/>
          <w:tab w:val="left" w:pos="2976"/>
        </w:tabs>
        <w:spacing w:before="56"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plotting</w:t>
      </w:r>
      <w:r w:rsidRPr="005827DA">
        <w:rPr>
          <w:rFonts w:ascii="Arial" w:hAnsi="Arial" w:cs="Arial"/>
          <w:spacing w:val="-2"/>
          <w:sz w:val="20"/>
          <w:szCs w:val="20"/>
        </w:rPr>
        <w:t xml:space="preserve"> </w:t>
      </w:r>
      <w:r w:rsidRPr="005827DA">
        <w:rPr>
          <w:rFonts w:ascii="Arial" w:hAnsi="Arial" w:cs="Arial"/>
          <w:sz w:val="20"/>
          <w:szCs w:val="20"/>
        </w:rPr>
        <w:t>of</w:t>
      </w:r>
      <w:r w:rsidRPr="005827DA">
        <w:rPr>
          <w:rFonts w:ascii="Arial" w:hAnsi="Arial" w:cs="Arial"/>
          <w:spacing w:val="-3"/>
          <w:sz w:val="20"/>
          <w:szCs w:val="20"/>
        </w:rPr>
        <w:t xml:space="preserve"> </w:t>
      </w:r>
      <w:r w:rsidRPr="005827DA">
        <w:rPr>
          <w:rFonts w:ascii="Arial" w:hAnsi="Arial" w:cs="Arial"/>
          <w:sz w:val="20"/>
          <w:szCs w:val="20"/>
        </w:rPr>
        <w:t>the</w:t>
      </w:r>
      <w:r w:rsidRPr="005827DA">
        <w:rPr>
          <w:rFonts w:ascii="Arial" w:hAnsi="Arial" w:cs="Arial"/>
          <w:spacing w:val="-3"/>
          <w:sz w:val="20"/>
          <w:szCs w:val="20"/>
        </w:rPr>
        <w:t xml:space="preserve"> </w:t>
      </w:r>
      <w:r w:rsidRPr="005827DA">
        <w:rPr>
          <w:rFonts w:ascii="Arial" w:hAnsi="Arial" w:cs="Arial"/>
          <w:sz w:val="20"/>
          <w:szCs w:val="20"/>
        </w:rPr>
        <w:t>expected</w:t>
      </w:r>
      <w:r w:rsidRPr="005827DA">
        <w:rPr>
          <w:rFonts w:ascii="Arial" w:hAnsi="Arial" w:cs="Arial"/>
          <w:spacing w:val="-1"/>
          <w:sz w:val="20"/>
          <w:szCs w:val="20"/>
        </w:rPr>
        <w:t xml:space="preserve"> </w:t>
      </w:r>
      <w:r w:rsidRPr="005827DA">
        <w:rPr>
          <w:rFonts w:ascii="Arial" w:hAnsi="Arial" w:cs="Arial"/>
          <w:sz w:val="20"/>
          <w:szCs w:val="20"/>
        </w:rPr>
        <w:t>track;</w:t>
      </w:r>
    </w:p>
    <w:p w14:paraId="4F2CBDA3" w14:textId="77777777" w:rsidR="00F20810" w:rsidRPr="005827DA" w:rsidRDefault="00F20810" w:rsidP="005827DA">
      <w:pPr>
        <w:pStyle w:val="ListParagraph"/>
        <w:numPr>
          <w:ilvl w:val="1"/>
          <w:numId w:val="251"/>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3"/>
          <w:sz w:val="20"/>
          <w:szCs w:val="20"/>
        </w:rPr>
        <w:t xml:space="preserve"> </w:t>
      </w:r>
      <w:r w:rsidRPr="005827DA">
        <w:rPr>
          <w:rFonts w:ascii="Arial" w:hAnsi="Arial" w:cs="Arial"/>
          <w:sz w:val="20"/>
          <w:szCs w:val="20"/>
        </w:rPr>
        <w:t>marking</w:t>
      </w:r>
      <w:r w:rsidRPr="005827DA">
        <w:rPr>
          <w:rFonts w:ascii="Arial" w:hAnsi="Arial" w:cs="Arial"/>
          <w:spacing w:val="-4"/>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positions</w:t>
      </w:r>
      <w:r w:rsidRPr="005827DA">
        <w:rPr>
          <w:rFonts w:ascii="Arial" w:hAnsi="Arial" w:cs="Arial"/>
          <w:spacing w:val="-3"/>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time;</w:t>
      </w:r>
    </w:p>
    <w:p w14:paraId="0273F694" w14:textId="77777777" w:rsidR="00F20810" w:rsidRPr="005827DA" w:rsidRDefault="00F20810" w:rsidP="005827DA">
      <w:pPr>
        <w:pStyle w:val="ListParagraph"/>
        <w:numPr>
          <w:ilvl w:val="1"/>
          <w:numId w:val="251"/>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4"/>
          <w:sz w:val="20"/>
          <w:szCs w:val="20"/>
        </w:rPr>
        <w:t xml:space="preserve"> </w:t>
      </w:r>
      <w:r w:rsidRPr="005827DA">
        <w:rPr>
          <w:rFonts w:ascii="Arial" w:hAnsi="Arial" w:cs="Arial"/>
          <w:sz w:val="20"/>
          <w:szCs w:val="20"/>
        </w:rPr>
        <w:t>to</w:t>
      </w:r>
      <w:r w:rsidRPr="005827DA">
        <w:rPr>
          <w:rFonts w:ascii="Arial" w:hAnsi="Arial" w:cs="Arial"/>
          <w:spacing w:val="-3"/>
          <w:sz w:val="20"/>
          <w:szCs w:val="20"/>
        </w:rPr>
        <w:t xml:space="preserve"> </w:t>
      </w:r>
      <w:r w:rsidRPr="005827DA">
        <w:rPr>
          <w:rFonts w:ascii="Arial" w:hAnsi="Arial" w:cs="Arial"/>
          <w:sz w:val="20"/>
          <w:szCs w:val="20"/>
        </w:rPr>
        <w:t>monitor</w:t>
      </w:r>
      <w:r w:rsidRPr="005827DA">
        <w:rPr>
          <w:rFonts w:ascii="Arial" w:hAnsi="Arial" w:cs="Arial"/>
          <w:spacing w:val="-1"/>
          <w:sz w:val="20"/>
          <w:szCs w:val="20"/>
        </w:rPr>
        <w:t xml:space="preserve"> </w:t>
      </w:r>
      <w:r w:rsidRPr="005827DA">
        <w:rPr>
          <w:rFonts w:ascii="Arial" w:hAnsi="Arial" w:cs="Arial"/>
          <w:sz w:val="20"/>
          <w:szCs w:val="20"/>
        </w:rPr>
        <w:t>distance</w:t>
      </w:r>
      <w:r w:rsidRPr="005827DA">
        <w:rPr>
          <w:rFonts w:ascii="Arial" w:hAnsi="Arial" w:cs="Arial"/>
          <w:spacing w:val="-1"/>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speed;</w:t>
      </w:r>
    </w:p>
    <w:p w14:paraId="35C72F82" w14:textId="77777777" w:rsidR="00F20810" w:rsidRPr="005827DA" w:rsidRDefault="00F20810" w:rsidP="005827DA">
      <w:pPr>
        <w:pStyle w:val="ListParagraph"/>
        <w:numPr>
          <w:ilvl w:val="1"/>
          <w:numId w:val="251"/>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3"/>
          <w:sz w:val="20"/>
          <w:szCs w:val="20"/>
        </w:rPr>
        <w:t xml:space="preserve"> </w:t>
      </w:r>
      <w:r w:rsidRPr="005827DA">
        <w:rPr>
          <w:rFonts w:ascii="Arial" w:hAnsi="Arial" w:cs="Arial"/>
          <w:sz w:val="20"/>
          <w:szCs w:val="20"/>
        </w:rPr>
        <w:t>to</w:t>
      </w:r>
      <w:r w:rsidRPr="005827DA">
        <w:rPr>
          <w:rFonts w:ascii="Arial" w:hAnsi="Arial" w:cs="Arial"/>
          <w:spacing w:val="-2"/>
          <w:sz w:val="20"/>
          <w:szCs w:val="20"/>
        </w:rPr>
        <w:t xml:space="preserve"> </w:t>
      </w:r>
      <w:r w:rsidRPr="005827DA">
        <w:rPr>
          <w:rFonts w:ascii="Arial" w:hAnsi="Arial" w:cs="Arial"/>
          <w:sz w:val="20"/>
          <w:szCs w:val="20"/>
        </w:rPr>
        <w:t>monitor the</w:t>
      </w:r>
      <w:r w:rsidRPr="005827DA">
        <w:rPr>
          <w:rFonts w:ascii="Arial" w:hAnsi="Arial" w:cs="Arial"/>
          <w:spacing w:val="-3"/>
          <w:sz w:val="20"/>
          <w:szCs w:val="20"/>
        </w:rPr>
        <w:t xml:space="preserve"> </w:t>
      </w:r>
      <w:r w:rsidRPr="005827DA">
        <w:rPr>
          <w:rFonts w:ascii="Arial" w:hAnsi="Arial" w:cs="Arial"/>
          <w:sz w:val="20"/>
          <w:szCs w:val="20"/>
        </w:rPr>
        <w:t>fuel</w:t>
      </w:r>
      <w:r w:rsidRPr="005827DA">
        <w:rPr>
          <w:rFonts w:ascii="Arial" w:hAnsi="Arial" w:cs="Arial"/>
          <w:spacing w:val="-4"/>
          <w:sz w:val="20"/>
          <w:szCs w:val="20"/>
        </w:rPr>
        <w:t xml:space="preserve"> </w:t>
      </w:r>
      <w:r w:rsidRPr="005827DA">
        <w:rPr>
          <w:rFonts w:ascii="Arial" w:hAnsi="Arial" w:cs="Arial"/>
          <w:sz w:val="20"/>
          <w:szCs w:val="20"/>
        </w:rPr>
        <w:t>or</w:t>
      </w:r>
      <w:r w:rsidRPr="005827DA">
        <w:rPr>
          <w:rFonts w:ascii="Arial" w:hAnsi="Arial" w:cs="Arial"/>
          <w:spacing w:val="-2"/>
          <w:sz w:val="20"/>
          <w:szCs w:val="20"/>
        </w:rPr>
        <w:t xml:space="preserve"> </w:t>
      </w:r>
      <w:r w:rsidRPr="005827DA">
        <w:rPr>
          <w:rFonts w:ascii="Arial" w:hAnsi="Arial" w:cs="Arial"/>
          <w:sz w:val="20"/>
          <w:szCs w:val="20"/>
        </w:rPr>
        <w:t>ballast</w:t>
      </w:r>
      <w:r w:rsidRPr="005827DA">
        <w:rPr>
          <w:rFonts w:ascii="Arial" w:hAnsi="Arial" w:cs="Arial"/>
          <w:spacing w:val="-1"/>
          <w:sz w:val="20"/>
          <w:szCs w:val="20"/>
        </w:rPr>
        <w:t xml:space="preserve"> </w:t>
      </w:r>
      <w:r w:rsidRPr="005827DA">
        <w:rPr>
          <w:rFonts w:ascii="Arial" w:hAnsi="Arial" w:cs="Arial"/>
          <w:sz w:val="20"/>
          <w:szCs w:val="20"/>
        </w:rPr>
        <w:t>consumption;</w:t>
      </w:r>
    </w:p>
    <w:p w14:paraId="35765A5B" w14:textId="77777777" w:rsidR="00F20810" w:rsidRPr="005827DA" w:rsidRDefault="00F20810" w:rsidP="005827DA">
      <w:pPr>
        <w:pStyle w:val="ListParagraph"/>
        <w:numPr>
          <w:ilvl w:val="1"/>
          <w:numId w:val="251"/>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observance</w:t>
      </w:r>
      <w:r w:rsidRPr="005827DA">
        <w:rPr>
          <w:rFonts w:ascii="Arial" w:hAnsi="Arial" w:cs="Arial"/>
          <w:spacing w:val="-3"/>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ceiling</w:t>
      </w:r>
      <w:r w:rsidRPr="005827DA">
        <w:rPr>
          <w:rFonts w:ascii="Arial" w:hAnsi="Arial" w:cs="Arial"/>
          <w:spacing w:val="-2"/>
          <w:sz w:val="20"/>
          <w:szCs w:val="20"/>
        </w:rPr>
        <w:t xml:space="preserve"> </w:t>
      </w:r>
      <w:r w:rsidRPr="005827DA">
        <w:rPr>
          <w:rFonts w:ascii="Arial" w:hAnsi="Arial" w:cs="Arial"/>
          <w:sz w:val="20"/>
          <w:szCs w:val="20"/>
        </w:rPr>
        <w:t>limitations (ATC</w:t>
      </w:r>
      <w:r w:rsidRPr="005827DA">
        <w:rPr>
          <w:rFonts w:ascii="Arial" w:hAnsi="Arial" w:cs="Arial"/>
          <w:spacing w:val="-3"/>
          <w:sz w:val="20"/>
          <w:szCs w:val="20"/>
        </w:rPr>
        <w:t xml:space="preserve"> </w:t>
      </w:r>
      <w:r w:rsidRPr="005827DA">
        <w:rPr>
          <w:rFonts w:ascii="Arial" w:hAnsi="Arial" w:cs="Arial"/>
          <w:sz w:val="20"/>
          <w:szCs w:val="20"/>
        </w:rPr>
        <w:t>or</w:t>
      </w:r>
      <w:r w:rsidRPr="005827DA">
        <w:rPr>
          <w:rFonts w:ascii="Arial" w:hAnsi="Arial" w:cs="Arial"/>
          <w:spacing w:val="-3"/>
          <w:sz w:val="20"/>
          <w:szCs w:val="20"/>
        </w:rPr>
        <w:t xml:space="preserve"> </w:t>
      </w:r>
      <w:r w:rsidRPr="005827DA">
        <w:rPr>
          <w:rFonts w:ascii="Arial" w:hAnsi="Arial" w:cs="Arial"/>
          <w:sz w:val="20"/>
          <w:szCs w:val="20"/>
        </w:rPr>
        <w:t>weather);</w:t>
      </w:r>
    </w:p>
    <w:p w14:paraId="18753485" w14:textId="77777777" w:rsidR="00F20810" w:rsidRPr="005827DA" w:rsidRDefault="00F20810" w:rsidP="005827DA">
      <w:pPr>
        <w:pStyle w:val="ListParagraph"/>
        <w:numPr>
          <w:ilvl w:val="1"/>
          <w:numId w:val="251"/>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planning</w:t>
      </w:r>
      <w:r w:rsidRPr="005827DA">
        <w:rPr>
          <w:rFonts w:ascii="Arial" w:hAnsi="Arial" w:cs="Arial"/>
          <w:spacing w:val="-2"/>
          <w:sz w:val="20"/>
          <w:szCs w:val="20"/>
        </w:rPr>
        <w:t xml:space="preserve"> </w:t>
      </w:r>
      <w:r w:rsidRPr="005827DA">
        <w:rPr>
          <w:rFonts w:ascii="Arial" w:hAnsi="Arial" w:cs="Arial"/>
          <w:sz w:val="20"/>
          <w:szCs w:val="20"/>
        </w:rPr>
        <w:t>ahead;</w:t>
      </w:r>
    </w:p>
    <w:p w14:paraId="636C9586" w14:textId="77777777" w:rsidR="00F20810" w:rsidRPr="005827DA" w:rsidRDefault="00F20810" w:rsidP="005827DA">
      <w:pPr>
        <w:pStyle w:val="ListParagraph"/>
        <w:numPr>
          <w:ilvl w:val="1"/>
          <w:numId w:val="251"/>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monitoring</w:t>
      </w:r>
      <w:r w:rsidRPr="005827DA">
        <w:rPr>
          <w:rFonts w:ascii="Arial" w:hAnsi="Arial" w:cs="Arial"/>
          <w:spacing w:val="-3"/>
          <w:sz w:val="20"/>
          <w:szCs w:val="20"/>
        </w:rPr>
        <w:t xml:space="preserve"> </w:t>
      </w:r>
      <w:r w:rsidRPr="005827DA">
        <w:rPr>
          <w:rFonts w:ascii="Arial" w:hAnsi="Arial" w:cs="Arial"/>
          <w:sz w:val="20"/>
          <w:szCs w:val="20"/>
        </w:rPr>
        <w:t>of weather</w:t>
      </w:r>
      <w:r w:rsidRPr="005827DA">
        <w:rPr>
          <w:rFonts w:ascii="Arial" w:hAnsi="Arial" w:cs="Arial"/>
          <w:spacing w:val="-3"/>
          <w:sz w:val="20"/>
          <w:szCs w:val="20"/>
        </w:rPr>
        <w:t xml:space="preserve"> </w:t>
      </w:r>
      <w:r w:rsidRPr="005827DA">
        <w:rPr>
          <w:rFonts w:ascii="Arial" w:hAnsi="Arial" w:cs="Arial"/>
          <w:sz w:val="20"/>
          <w:szCs w:val="20"/>
        </w:rPr>
        <w:t>development;</w:t>
      </w:r>
    </w:p>
    <w:p w14:paraId="57B13342" w14:textId="77777777" w:rsidR="00F20810" w:rsidRPr="005827DA" w:rsidRDefault="00F20810" w:rsidP="005827DA">
      <w:pPr>
        <w:pStyle w:val="ListParagraph"/>
        <w:numPr>
          <w:ilvl w:val="1"/>
          <w:numId w:val="251"/>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4"/>
          <w:sz w:val="20"/>
          <w:szCs w:val="20"/>
        </w:rPr>
        <w:t xml:space="preserve"> </w:t>
      </w:r>
      <w:r w:rsidRPr="005827DA">
        <w:rPr>
          <w:rFonts w:ascii="Arial" w:hAnsi="Arial" w:cs="Arial"/>
          <w:sz w:val="20"/>
          <w:szCs w:val="20"/>
        </w:rPr>
        <w:t>monitoring</w:t>
      </w:r>
      <w:r w:rsidRPr="005827DA">
        <w:rPr>
          <w:rFonts w:ascii="Arial" w:hAnsi="Arial" w:cs="Arial"/>
          <w:spacing w:val="-4"/>
          <w:sz w:val="20"/>
          <w:szCs w:val="20"/>
        </w:rPr>
        <w:t xml:space="preserve"> </w:t>
      </w:r>
      <w:r w:rsidRPr="005827DA">
        <w:rPr>
          <w:rFonts w:ascii="Arial" w:hAnsi="Arial" w:cs="Arial"/>
          <w:sz w:val="20"/>
          <w:szCs w:val="20"/>
        </w:rPr>
        <w:t>of</w:t>
      </w:r>
      <w:r w:rsidRPr="005827DA">
        <w:rPr>
          <w:rFonts w:ascii="Arial" w:hAnsi="Arial" w:cs="Arial"/>
          <w:spacing w:val="-2"/>
          <w:sz w:val="20"/>
          <w:szCs w:val="20"/>
        </w:rPr>
        <w:t xml:space="preserve"> </w:t>
      </w:r>
      <w:r w:rsidRPr="005827DA">
        <w:rPr>
          <w:rFonts w:ascii="Arial" w:hAnsi="Arial" w:cs="Arial"/>
          <w:sz w:val="20"/>
          <w:szCs w:val="20"/>
        </w:rPr>
        <w:t>envelope</w:t>
      </w:r>
      <w:r w:rsidRPr="005827DA">
        <w:rPr>
          <w:rFonts w:ascii="Arial" w:hAnsi="Arial" w:cs="Arial"/>
          <w:spacing w:val="-3"/>
          <w:sz w:val="20"/>
          <w:szCs w:val="20"/>
        </w:rPr>
        <w:t xml:space="preserve"> </w:t>
      </w:r>
      <w:r w:rsidRPr="005827DA">
        <w:rPr>
          <w:rFonts w:ascii="Arial" w:hAnsi="Arial" w:cs="Arial"/>
          <w:sz w:val="20"/>
          <w:szCs w:val="20"/>
        </w:rPr>
        <w:t>temperature</w:t>
      </w:r>
      <w:r w:rsidRPr="005827DA">
        <w:rPr>
          <w:rFonts w:ascii="Arial" w:hAnsi="Arial" w:cs="Arial"/>
          <w:spacing w:val="-1"/>
          <w:sz w:val="20"/>
          <w:szCs w:val="20"/>
        </w:rPr>
        <w:t xml:space="preserve"> </w:t>
      </w:r>
      <w:r w:rsidRPr="005827DA">
        <w:rPr>
          <w:rFonts w:ascii="Arial" w:hAnsi="Arial" w:cs="Arial"/>
          <w:sz w:val="20"/>
          <w:szCs w:val="20"/>
        </w:rPr>
        <w:t>(hot-air</w:t>
      </w:r>
      <w:r w:rsidRPr="005827DA">
        <w:rPr>
          <w:rFonts w:ascii="Arial" w:hAnsi="Arial" w:cs="Arial"/>
          <w:spacing w:val="-2"/>
          <w:sz w:val="20"/>
          <w:szCs w:val="20"/>
        </w:rPr>
        <w:t xml:space="preserve"> </w:t>
      </w:r>
      <w:r w:rsidRPr="005827DA">
        <w:rPr>
          <w:rFonts w:ascii="Arial" w:hAnsi="Arial" w:cs="Arial"/>
          <w:sz w:val="20"/>
          <w:szCs w:val="20"/>
        </w:rPr>
        <w:t>balloons);</w:t>
      </w:r>
    </w:p>
    <w:p w14:paraId="4408554D" w14:textId="77777777" w:rsidR="00F20810" w:rsidRPr="005827DA" w:rsidRDefault="00F20810" w:rsidP="005827DA">
      <w:pPr>
        <w:pStyle w:val="ListParagraph"/>
        <w:numPr>
          <w:ilvl w:val="1"/>
          <w:numId w:val="251"/>
        </w:numPr>
        <w:tabs>
          <w:tab w:val="left" w:pos="90"/>
          <w:tab w:val="left" w:pos="2975"/>
          <w:tab w:val="left" w:pos="2976"/>
        </w:tabs>
        <w:spacing w:before="118" w:line="276" w:lineRule="auto"/>
        <w:ind w:right="68" w:hanging="436"/>
        <w:jc w:val="both"/>
        <w:rPr>
          <w:rFonts w:ascii="Arial" w:hAnsi="Arial" w:cs="Arial"/>
          <w:sz w:val="20"/>
          <w:szCs w:val="20"/>
        </w:rPr>
      </w:pPr>
      <w:r w:rsidRPr="005827DA">
        <w:rPr>
          <w:rFonts w:ascii="Arial" w:hAnsi="Arial" w:cs="Arial"/>
          <w:sz w:val="20"/>
          <w:szCs w:val="20"/>
        </w:rPr>
        <w:lastRenderedPageBreak/>
        <w:t>the</w:t>
      </w:r>
      <w:r w:rsidRPr="005827DA">
        <w:rPr>
          <w:rFonts w:ascii="Arial" w:hAnsi="Arial" w:cs="Arial"/>
          <w:spacing w:val="-1"/>
          <w:sz w:val="20"/>
          <w:szCs w:val="20"/>
        </w:rPr>
        <w:t xml:space="preserve"> </w:t>
      </w:r>
      <w:r w:rsidRPr="005827DA">
        <w:rPr>
          <w:rFonts w:ascii="Arial" w:hAnsi="Arial" w:cs="Arial"/>
          <w:sz w:val="20"/>
          <w:szCs w:val="20"/>
        </w:rPr>
        <w:t>ATC liaison</w:t>
      </w:r>
      <w:r w:rsidRPr="005827DA">
        <w:rPr>
          <w:rFonts w:ascii="Arial" w:hAnsi="Arial" w:cs="Arial"/>
          <w:spacing w:val="-4"/>
          <w:sz w:val="20"/>
          <w:szCs w:val="20"/>
        </w:rPr>
        <w:t xml:space="preserve"> </w:t>
      </w:r>
      <w:r w:rsidRPr="005827DA">
        <w:rPr>
          <w:rFonts w:ascii="Arial" w:hAnsi="Arial" w:cs="Arial"/>
          <w:sz w:val="20"/>
          <w:szCs w:val="20"/>
        </w:rPr>
        <w:t>(if applicable);</w:t>
      </w:r>
    </w:p>
    <w:p w14:paraId="0EBD3B26" w14:textId="77777777" w:rsidR="00F20810" w:rsidRPr="005827DA" w:rsidRDefault="00F20810" w:rsidP="005827DA">
      <w:pPr>
        <w:pStyle w:val="ListParagraph"/>
        <w:numPr>
          <w:ilvl w:val="1"/>
          <w:numId w:val="251"/>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communication</w:t>
      </w:r>
      <w:r w:rsidRPr="005827DA">
        <w:rPr>
          <w:rFonts w:ascii="Arial" w:hAnsi="Arial" w:cs="Arial"/>
          <w:spacing w:val="-4"/>
          <w:sz w:val="20"/>
          <w:szCs w:val="20"/>
        </w:rPr>
        <w:t xml:space="preserve"> </w:t>
      </w:r>
      <w:r w:rsidRPr="005827DA">
        <w:rPr>
          <w:rFonts w:ascii="Arial" w:hAnsi="Arial" w:cs="Arial"/>
          <w:sz w:val="20"/>
          <w:szCs w:val="20"/>
        </w:rPr>
        <w:t>with</w:t>
      </w:r>
      <w:r w:rsidRPr="005827DA">
        <w:rPr>
          <w:rFonts w:ascii="Arial" w:hAnsi="Arial" w:cs="Arial"/>
          <w:spacing w:val="-1"/>
          <w:sz w:val="20"/>
          <w:szCs w:val="20"/>
        </w:rPr>
        <w:t xml:space="preserve"> </w:t>
      </w:r>
      <w:r w:rsidRPr="005827DA">
        <w:rPr>
          <w:rFonts w:ascii="Arial" w:hAnsi="Arial" w:cs="Arial"/>
          <w:sz w:val="20"/>
          <w:szCs w:val="20"/>
        </w:rPr>
        <w:t>retrieve</w:t>
      </w:r>
      <w:r w:rsidRPr="005827DA">
        <w:rPr>
          <w:rFonts w:ascii="Arial" w:hAnsi="Arial" w:cs="Arial"/>
          <w:spacing w:val="1"/>
          <w:sz w:val="20"/>
          <w:szCs w:val="20"/>
        </w:rPr>
        <w:t xml:space="preserve"> </w:t>
      </w:r>
      <w:r w:rsidRPr="005827DA">
        <w:rPr>
          <w:rFonts w:ascii="Arial" w:hAnsi="Arial" w:cs="Arial"/>
          <w:sz w:val="20"/>
          <w:szCs w:val="20"/>
        </w:rPr>
        <w:t>crew;</w:t>
      </w:r>
    </w:p>
    <w:p w14:paraId="0C92E1EC" w14:textId="77777777" w:rsidR="00F20810" w:rsidRPr="005827DA" w:rsidRDefault="00F20810" w:rsidP="005827DA">
      <w:pPr>
        <w:pStyle w:val="ListParagraph"/>
        <w:numPr>
          <w:ilvl w:val="1"/>
          <w:numId w:val="251"/>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use</w:t>
      </w:r>
      <w:r w:rsidRPr="005827DA">
        <w:rPr>
          <w:rFonts w:ascii="Arial" w:hAnsi="Arial" w:cs="Arial"/>
          <w:spacing w:val="-2"/>
          <w:sz w:val="20"/>
          <w:szCs w:val="20"/>
        </w:rPr>
        <w:t xml:space="preserve"> </w:t>
      </w:r>
      <w:r w:rsidRPr="005827DA">
        <w:rPr>
          <w:rFonts w:ascii="Arial" w:hAnsi="Arial" w:cs="Arial"/>
          <w:sz w:val="20"/>
          <w:szCs w:val="20"/>
        </w:rPr>
        <w:t>of</w:t>
      </w:r>
      <w:r w:rsidRPr="005827DA">
        <w:rPr>
          <w:rFonts w:ascii="Arial" w:hAnsi="Arial" w:cs="Arial"/>
          <w:spacing w:val="-2"/>
          <w:sz w:val="20"/>
          <w:szCs w:val="20"/>
        </w:rPr>
        <w:t xml:space="preserve"> </w:t>
      </w:r>
      <w:r w:rsidRPr="005827DA">
        <w:rPr>
          <w:rFonts w:ascii="Arial" w:hAnsi="Arial" w:cs="Arial"/>
          <w:sz w:val="20"/>
          <w:szCs w:val="20"/>
        </w:rPr>
        <w:t>GNSS</w:t>
      </w:r>
      <w:r w:rsidRPr="005827DA">
        <w:rPr>
          <w:rFonts w:ascii="Arial" w:hAnsi="Arial" w:cs="Arial"/>
          <w:spacing w:val="-3"/>
          <w:sz w:val="20"/>
          <w:szCs w:val="20"/>
        </w:rPr>
        <w:t xml:space="preserve"> </w:t>
      </w:r>
      <w:r w:rsidRPr="005827DA">
        <w:rPr>
          <w:rFonts w:ascii="Arial" w:hAnsi="Arial" w:cs="Arial"/>
          <w:sz w:val="20"/>
          <w:szCs w:val="20"/>
        </w:rPr>
        <w:t>(if applicable);</w:t>
      </w:r>
    </w:p>
    <w:p w14:paraId="79F1C84A" w14:textId="77777777" w:rsidR="00F20810" w:rsidRPr="005827DA" w:rsidRDefault="00F20810" w:rsidP="005827DA">
      <w:pPr>
        <w:pStyle w:val="ListParagraph"/>
        <w:numPr>
          <w:ilvl w:val="1"/>
          <w:numId w:val="251"/>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12"/>
          <w:sz w:val="20"/>
          <w:szCs w:val="20"/>
        </w:rPr>
        <w:t xml:space="preserve"> </w:t>
      </w:r>
      <w:r w:rsidRPr="005827DA">
        <w:rPr>
          <w:rFonts w:ascii="Arial" w:hAnsi="Arial" w:cs="Arial"/>
          <w:sz w:val="20"/>
          <w:szCs w:val="20"/>
        </w:rPr>
        <w:t>to</w:t>
      </w:r>
      <w:r w:rsidRPr="005827DA">
        <w:rPr>
          <w:rFonts w:ascii="Arial" w:hAnsi="Arial" w:cs="Arial"/>
          <w:spacing w:val="15"/>
          <w:sz w:val="20"/>
          <w:szCs w:val="20"/>
        </w:rPr>
        <w:t xml:space="preserve"> </w:t>
      </w:r>
      <w:r w:rsidRPr="005827DA">
        <w:rPr>
          <w:rFonts w:ascii="Arial" w:hAnsi="Arial" w:cs="Arial"/>
          <w:sz w:val="20"/>
          <w:szCs w:val="20"/>
        </w:rPr>
        <w:t>advise</w:t>
      </w:r>
      <w:r w:rsidRPr="005827DA">
        <w:rPr>
          <w:rFonts w:ascii="Arial" w:hAnsi="Arial" w:cs="Arial"/>
          <w:spacing w:val="12"/>
          <w:sz w:val="20"/>
          <w:szCs w:val="20"/>
        </w:rPr>
        <w:t xml:space="preserve"> </w:t>
      </w:r>
      <w:r w:rsidRPr="005827DA">
        <w:rPr>
          <w:rFonts w:ascii="Arial" w:hAnsi="Arial" w:cs="Arial"/>
          <w:sz w:val="20"/>
          <w:szCs w:val="20"/>
        </w:rPr>
        <w:t>the</w:t>
      </w:r>
      <w:r w:rsidRPr="005827DA">
        <w:rPr>
          <w:rFonts w:ascii="Arial" w:hAnsi="Arial" w:cs="Arial"/>
          <w:spacing w:val="12"/>
          <w:sz w:val="20"/>
          <w:szCs w:val="20"/>
        </w:rPr>
        <w:t xml:space="preserve"> </w:t>
      </w:r>
      <w:r w:rsidRPr="005827DA">
        <w:rPr>
          <w:rFonts w:ascii="Arial" w:hAnsi="Arial" w:cs="Arial"/>
          <w:sz w:val="20"/>
          <w:szCs w:val="20"/>
        </w:rPr>
        <w:t>student</w:t>
      </w:r>
      <w:r w:rsidRPr="005827DA">
        <w:rPr>
          <w:rFonts w:ascii="Arial" w:hAnsi="Arial" w:cs="Arial"/>
          <w:spacing w:val="15"/>
          <w:sz w:val="20"/>
          <w:szCs w:val="20"/>
        </w:rPr>
        <w:t xml:space="preserve"> </w:t>
      </w:r>
      <w:r w:rsidRPr="005827DA">
        <w:rPr>
          <w:rFonts w:ascii="Arial" w:hAnsi="Arial" w:cs="Arial"/>
          <w:sz w:val="20"/>
          <w:szCs w:val="20"/>
        </w:rPr>
        <w:t>pilot</w:t>
      </w:r>
      <w:r w:rsidRPr="005827DA">
        <w:rPr>
          <w:rFonts w:ascii="Arial" w:hAnsi="Arial" w:cs="Arial"/>
          <w:spacing w:val="10"/>
          <w:sz w:val="20"/>
          <w:szCs w:val="20"/>
        </w:rPr>
        <w:t xml:space="preserve"> </w:t>
      </w:r>
      <w:r w:rsidRPr="005827DA">
        <w:rPr>
          <w:rFonts w:ascii="Arial" w:hAnsi="Arial" w:cs="Arial"/>
          <w:sz w:val="20"/>
          <w:szCs w:val="20"/>
        </w:rPr>
        <w:t>on</w:t>
      </w:r>
      <w:r w:rsidRPr="005827DA">
        <w:rPr>
          <w:rFonts w:ascii="Arial" w:hAnsi="Arial" w:cs="Arial"/>
          <w:spacing w:val="13"/>
          <w:sz w:val="20"/>
          <w:szCs w:val="20"/>
        </w:rPr>
        <w:t xml:space="preserve"> </w:t>
      </w:r>
      <w:r w:rsidRPr="005827DA">
        <w:rPr>
          <w:rFonts w:ascii="Arial" w:hAnsi="Arial" w:cs="Arial"/>
          <w:sz w:val="20"/>
          <w:szCs w:val="20"/>
        </w:rPr>
        <w:t>performing</w:t>
      </w:r>
      <w:r w:rsidRPr="005827DA">
        <w:rPr>
          <w:rFonts w:ascii="Arial" w:hAnsi="Arial" w:cs="Arial"/>
          <w:spacing w:val="11"/>
          <w:sz w:val="20"/>
          <w:szCs w:val="20"/>
        </w:rPr>
        <w:t xml:space="preserve"> </w:t>
      </w:r>
      <w:r w:rsidRPr="005827DA">
        <w:rPr>
          <w:rFonts w:ascii="Arial" w:hAnsi="Arial" w:cs="Arial"/>
          <w:sz w:val="20"/>
          <w:szCs w:val="20"/>
        </w:rPr>
        <w:t>the</w:t>
      </w:r>
      <w:r w:rsidRPr="005827DA">
        <w:rPr>
          <w:rFonts w:ascii="Arial" w:hAnsi="Arial" w:cs="Arial"/>
          <w:spacing w:val="15"/>
          <w:sz w:val="20"/>
          <w:szCs w:val="20"/>
        </w:rPr>
        <w:t xml:space="preserve"> </w:t>
      </w:r>
      <w:r w:rsidRPr="005827DA">
        <w:rPr>
          <w:rFonts w:ascii="Arial" w:hAnsi="Arial" w:cs="Arial"/>
          <w:sz w:val="20"/>
          <w:szCs w:val="20"/>
        </w:rPr>
        <w:t>navigational</w:t>
      </w:r>
      <w:r w:rsidRPr="005827DA">
        <w:rPr>
          <w:rFonts w:ascii="Arial" w:hAnsi="Arial" w:cs="Arial"/>
          <w:spacing w:val="-47"/>
          <w:sz w:val="20"/>
          <w:szCs w:val="20"/>
        </w:rPr>
        <w:t xml:space="preserve"> </w:t>
      </w:r>
      <w:r w:rsidRPr="005827DA">
        <w:rPr>
          <w:rFonts w:ascii="Arial" w:hAnsi="Arial" w:cs="Arial"/>
          <w:sz w:val="20"/>
          <w:szCs w:val="20"/>
        </w:rPr>
        <w:t>preparation;</w:t>
      </w:r>
    </w:p>
    <w:p w14:paraId="4B9DA981" w14:textId="77777777" w:rsidR="00F20810" w:rsidRPr="005827DA" w:rsidRDefault="00F20810" w:rsidP="005827DA">
      <w:pPr>
        <w:pStyle w:val="ListParagraph"/>
        <w:numPr>
          <w:ilvl w:val="1"/>
          <w:numId w:val="251"/>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47"/>
          <w:sz w:val="20"/>
          <w:szCs w:val="20"/>
        </w:rPr>
        <w:t xml:space="preserve"> </w:t>
      </w:r>
      <w:r w:rsidRPr="005827DA">
        <w:rPr>
          <w:rFonts w:ascii="Arial" w:hAnsi="Arial" w:cs="Arial"/>
          <w:sz w:val="20"/>
          <w:szCs w:val="20"/>
        </w:rPr>
        <w:t>to</w:t>
      </w:r>
      <w:r w:rsidRPr="005827DA">
        <w:rPr>
          <w:rFonts w:ascii="Arial" w:hAnsi="Arial" w:cs="Arial"/>
          <w:spacing w:val="48"/>
          <w:sz w:val="20"/>
          <w:szCs w:val="20"/>
        </w:rPr>
        <w:t xml:space="preserve"> </w:t>
      </w:r>
      <w:r w:rsidRPr="005827DA">
        <w:rPr>
          <w:rFonts w:ascii="Arial" w:hAnsi="Arial" w:cs="Arial"/>
          <w:sz w:val="20"/>
          <w:szCs w:val="20"/>
        </w:rPr>
        <w:t>advise</w:t>
      </w:r>
      <w:r w:rsidRPr="005827DA">
        <w:rPr>
          <w:rFonts w:ascii="Arial" w:hAnsi="Arial" w:cs="Arial"/>
          <w:spacing w:val="47"/>
          <w:sz w:val="20"/>
          <w:szCs w:val="20"/>
        </w:rPr>
        <w:t xml:space="preserve"> </w:t>
      </w:r>
      <w:r w:rsidRPr="005827DA">
        <w:rPr>
          <w:rFonts w:ascii="Arial" w:hAnsi="Arial" w:cs="Arial"/>
          <w:sz w:val="20"/>
          <w:szCs w:val="20"/>
        </w:rPr>
        <w:t>the</w:t>
      </w:r>
      <w:r w:rsidRPr="005827DA">
        <w:rPr>
          <w:rFonts w:ascii="Arial" w:hAnsi="Arial" w:cs="Arial"/>
          <w:spacing w:val="49"/>
          <w:sz w:val="20"/>
          <w:szCs w:val="20"/>
        </w:rPr>
        <w:t xml:space="preserve"> </w:t>
      </w:r>
      <w:r w:rsidRPr="005827DA">
        <w:rPr>
          <w:rFonts w:ascii="Arial" w:hAnsi="Arial" w:cs="Arial"/>
          <w:sz w:val="20"/>
          <w:szCs w:val="20"/>
        </w:rPr>
        <w:t>student</w:t>
      </w:r>
      <w:r w:rsidRPr="005827DA">
        <w:rPr>
          <w:rFonts w:ascii="Arial" w:hAnsi="Arial" w:cs="Arial"/>
          <w:spacing w:val="49"/>
          <w:sz w:val="20"/>
          <w:szCs w:val="20"/>
        </w:rPr>
        <w:t xml:space="preserve"> </w:t>
      </w:r>
      <w:r w:rsidRPr="005827DA">
        <w:rPr>
          <w:rFonts w:ascii="Arial" w:hAnsi="Arial" w:cs="Arial"/>
          <w:sz w:val="20"/>
          <w:szCs w:val="20"/>
        </w:rPr>
        <w:t>pilot</w:t>
      </w:r>
      <w:r w:rsidRPr="005827DA">
        <w:rPr>
          <w:rFonts w:ascii="Arial" w:hAnsi="Arial" w:cs="Arial"/>
          <w:spacing w:val="47"/>
          <w:sz w:val="20"/>
          <w:szCs w:val="20"/>
        </w:rPr>
        <w:t xml:space="preserve"> </w:t>
      </w:r>
      <w:r w:rsidRPr="005827DA">
        <w:rPr>
          <w:rFonts w:ascii="Arial" w:hAnsi="Arial" w:cs="Arial"/>
          <w:sz w:val="20"/>
          <w:szCs w:val="20"/>
        </w:rPr>
        <w:t>on</w:t>
      </w:r>
      <w:r w:rsidRPr="005827DA">
        <w:rPr>
          <w:rFonts w:ascii="Arial" w:hAnsi="Arial" w:cs="Arial"/>
          <w:spacing w:val="48"/>
          <w:sz w:val="20"/>
          <w:szCs w:val="20"/>
        </w:rPr>
        <w:t xml:space="preserve"> </w:t>
      </w:r>
      <w:r w:rsidRPr="005827DA">
        <w:rPr>
          <w:rFonts w:ascii="Arial" w:hAnsi="Arial" w:cs="Arial"/>
          <w:sz w:val="20"/>
          <w:szCs w:val="20"/>
        </w:rPr>
        <w:t>performing</w:t>
      </w:r>
      <w:r w:rsidRPr="005827DA">
        <w:rPr>
          <w:rFonts w:ascii="Arial" w:hAnsi="Arial" w:cs="Arial"/>
          <w:spacing w:val="46"/>
          <w:sz w:val="20"/>
          <w:szCs w:val="20"/>
        </w:rPr>
        <w:t xml:space="preserve"> </w:t>
      </w:r>
      <w:r w:rsidRPr="005827DA">
        <w:rPr>
          <w:rFonts w:ascii="Arial" w:hAnsi="Arial" w:cs="Arial"/>
          <w:sz w:val="20"/>
          <w:szCs w:val="20"/>
        </w:rPr>
        <w:t>the</w:t>
      </w:r>
      <w:r w:rsidRPr="005827DA">
        <w:rPr>
          <w:rFonts w:ascii="Arial" w:hAnsi="Arial" w:cs="Arial"/>
          <w:spacing w:val="49"/>
          <w:sz w:val="20"/>
          <w:szCs w:val="20"/>
        </w:rPr>
        <w:t xml:space="preserve"> </w:t>
      </w:r>
      <w:r w:rsidRPr="005827DA">
        <w:rPr>
          <w:rFonts w:ascii="Arial" w:hAnsi="Arial" w:cs="Arial"/>
          <w:sz w:val="20"/>
          <w:szCs w:val="20"/>
        </w:rPr>
        <w:t>different</w:t>
      </w:r>
      <w:r w:rsidRPr="005827DA">
        <w:rPr>
          <w:rFonts w:ascii="Arial" w:hAnsi="Arial" w:cs="Arial"/>
          <w:spacing w:val="-47"/>
          <w:sz w:val="20"/>
          <w:szCs w:val="20"/>
        </w:rPr>
        <w:t xml:space="preserve"> </w:t>
      </w:r>
      <w:r w:rsidRPr="005827DA">
        <w:rPr>
          <w:rFonts w:ascii="Arial" w:hAnsi="Arial" w:cs="Arial"/>
          <w:sz w:val="20"/>
          <w:szCs w:val="20"/>
        </w:rPr>
        <w:t>navigational</w:t>
      </w:r>
      <w:r w:rsidRPr="005827DA">
        <w:rPr>
          <w:rFonts w:ascii="Arial" w:hAnsi="Arial" w:cs="Arial"/>
          <w:spacing w:val="-1"/>
          <w:sz w:val="20"/>
          <w:szCs w:val="20"/>
        </w:rPr>
        <w:t xml:space="preserve"> </w:t>
      </w:r>
      <w:r w:rsidRPr="005827DA">
        <w:rPr>
          <w:rFonts w:ascii="Arial" w:hAnsi="Arial" w:cs="Arial"/>
          <w:sz w:val="20"/>
          <w:szCs w:val="20"/>
        </w:rPr>
        <w:t>in-flight</w:t>
      </w:r>
      <w:r w:rsidRPr="005827DA">
        <w:rPr>
          <w:rFonts w:ascii="Arial" w:hAnsi="Arial" w:cs="Arial"/>
          <w:spacing w:val="-2"/>
          <w:sz w:val="20"/>
          <w:szCs w:val="20"/>
        </w:rPr>
        <w:t xml:space="preserve"> </w:t>
      </w:r>
      <w:r w:rsidRPr="005827DA">
        <w:rPr>
          <w:rFonts w:ascii="Arial" w:hAnsi="Arial" w:cs="Arial"/>
          <w:sz w:val="20"/>
          <w:szCs w:val="20"/>
        </w:rPr>
        <w:t>tasks;</w:t>
      </w:r>
      <w:r w:rsidRPr="005827DA">
        <w:rPr>
          <w:rFonts w:ascii="Arial" w:hAnsi="Arial" w:cs="Arial"/>
          <w:spacing w:val="-2"/>
          <w:sz w:val="20"/>
          <w:szCs w:val="20"/>
        </w:rPr>
        <w:t xml:space="preserve"> </w:t>
      </w:r>
      <w:r w:rsidRPr="005827DA">
        <w:rPr>
          <w:rFonts w:ascii="Arial" w:hAnsi="Arial" w:cs="Arial"/>
          <w:sz w:val="20"/>
          <w:szCs w:val="20"/>
        </w:rPr>
        <w:t>and</w:t>
      </w:r>
    </w:p>
    <w:p w14:paraId="7A7CA5FB" w14:textId="77777777" w:rsidR="00F20810" w:rsidRPr="005827DA" w:rsidRDefault="00F20810" w:rsidP="005827DA">
      <w:pPr>
        <w:pStyle w:val="ListParagraph"/>
        <w:numPr>
          <w:ilvl w:val="1"/>
          <w:numId w:val="251"/>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2"/>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analyse</w:t>
      </w:r>
      <w:r w:rsidRPr="005827DA">
        <w:rPr>
          <w:rFonts w:ascii="Arial" w:hAnsi="Arial" w:cs="Arial"/>
          <w:spacing w:val="-2"/>
          <w:sz w:val="20"/>
          <w:szCs w:val="20"/>
        </w:rPr>
        <w:t xml:space="preserve"> </w:t>
      </w:r>
      <w:r w:rsidRPr="005827DA">
        <w:rPr>
          <w:rFonts w:ascii="Arial" w:hAnsi="Arial" w:cs="Arial"/>
          <w:sz w:val="20"/>
          <w:szCs w:val="20"/>
        </w:rPr>
        <w:t>and correct</w:t>
      </w:r>
      <w:r w:rsidRPr="005827DA">
        <w:rPr>
          <w:rFonts w:ascii="Arial" w:hAnsi="Arial" w:cs="Arial"/>
          <w:spacing w:val="-2"/>
          <w:sz w:val="20"/>
          <w:szCs w:val="20"/>
        </w:rPr>
        <w:t xml:space="preserve"> </w:t>
      </w:r>
      <w:r w:rsidRPr="005827DA">
        <w:rPr>
          <w:rFonts w:ascii="Arial" w:hAnsi="Arial" w:cs="Arial"/>
          <w:sz w:val="20"/>
          <w:szCs w:val="20"/>
        </w:rPr>
        <w:t>faults</w:t>
      </w:r>
      <w:r w:rsidRPr="005827DA">
        <w:rPr>
          <w:rFonts w:ascii="Arial" w:hAnsi="Arial" w:cs="Arial"/>
          <w:spacing w:val="-2"/>
          <w:sz w:val="20"/>
          <w:szCs w:val="20"/>
        </w:rPr>
        <w:t xml:space="preserve"> </w:t>
      </w:r>
      <w:r w:rsidRPr="005827DA">
        <w:rPr>
          <w:rFonts w:ascii="Arial" w:hAnsi="Arial" w:cs="Arial"/>
          <w:sz w:val="20"/>
          <w:szCs w:val="20"/>
        </w:rPr>
        <w:t>or errors</w:t>
      </w:r>
      <w:r w:rsidRPr="005827DA">
        <w:rPr>
          <w:rFonts w:ascii="Arial" w:hAnsi="Arial" w:cs="Arial"/>
          <w:spacing w:val="-1"/>
          <w:sz w:val="20"/>
          <w:szCs w:val="20"/>
        </w:rPr>
        <w:t xml:space="preserve"> </w:t>
      </w:r>
      <w:r w:rsidRPr="005827DA">
        <w:rPr>
          <w:rFonts w:ascii="Arial" w:hAnsi="Arial" w:cs="Arial"/>
          <w:sz w:val="20"/>
          <w:szCs w:val="20"/>
        </w:rPr>
        <w:t>of</w:t>
      </w:r>
      <w:r w:rsidRPr="005827DA">
        <w:rPr>
          <w:rFonts w:ascii="Arial" w:hAnsi="Arial" w:cs="Arial"/>
          <w:spacing w:val="-2"/>
          <w:sz w:val="20"/>
          <w:szCs w:val="20"/>
        </w:rPr>
        <w:t xml:space="preserve"> </w:t>
      </w:r>
      <w:r w:rsidRPr="005827DA">
        <w:rPr>
          <w:rFonts w:ascii="Arial" w:hAnsi="Arial" w:cs="Arial"/>
          <w:sz w:val="20"/>
          <w:szCs w:val="20"/>
        </w:rPr>
        <w:t>the student</w:t>
      </w:r>
      <w:r w:rsidRPr="005827DA">
        <w:rPr>
          <w:rFonts w:ascii="Arial" w:hAnsi="Arial" w:cs="Arial"/>
          <w:spacing w:val="1"/>
          <w:sz w:val="20"/>
          <w:szCs w:val="20"/>
        </w:rPr>
        <w:t xml:space="preserve"> </w:t>
      </w:r>
      <w:r w:rsidRPr="005827DA">
        <w:rPr>
          <w:rFonts w:ascii="Arial" w:hAnsi="Arial" w:cs="Arial"/>
          <w:sz w:val="20"/>
          <w:szCs w:val="20"/>
        </w:rPr>
        <w:t>pilot.</w:t>
      </w:r>
    </w:p>
    <w:p w14:paraId="1AF89282" w14:textId="77777777" w:rsidR="00F20810" w:rsidRPr="005827DA" w:rsidRDefault="00F20810" w:rsidP="005827DA">
      <w:pPr>
        <w:pStyle w:val="ListParagraph"/>
        <w:numPr>
          <w:ilvl w:val="0"/>
          <w:numId w:val="251"/>
        </w:numPr>
        <w:tabs>
          <w:tab w:val="left" w:pos="90"/>
          <w:tab w:val="left" w:pos="2408"/>
          <w:tab w:val="left" w:pos="2409"/>
        </w:tabs>
        <w:spacing w:line="276" w:lineRule="auto"/>
        <w:ind w:right="68" w:hanging="436"/>
        <w:jc w:val="both"/>
        <w:rPr>
          <w:rFonts w:ascii="Arial" w:hAnsi="Arial" w:cs="Arial"/>
          <w:sz w:val="20"/>
          <w:szCs w:val="20"/>
        </w:rPr>
      </w:pPr>
      <w:r w:rsidRPr="005827DA">
        <w:rPr>
          <w:rFonts w:ascii="Arial" w:hAnsi="Arial" w:cs="Arial"/>
          <w:sz w:val="20"/>
          <w:szCs w:val="20"/>
        </w:rPr>
        <w:t>Debriefing</w:t>
      </w:r>
    </w:p>
    <w:p w14:paraId="4D1956AC" w14:textId="77777777" w:rsidR="00F20810" w:rsidRPr="005827DA" w:rsidRDefault="00F20810" w:rsidP="005827DA">
      <w:pPr>
        <w:pStyle w:val="BodyText"/>
        <w:tabs>
          <w:tab w:val="left" w:pos="90"/>
        </w:tabs>
        <w:spacing w:before="9" w:line="276" w:lineRule="auto"/>
        <w:ind w:right="68" w:hanging="436"/>
        <w:jc w:val="both"/>
        <w:rPr>
          <w:rFonts w:ascii="Arial" w:hAnsi="Arial" w:cs="Arial"/>
          <w:sz w:val="20"/>
          <w:szCs w:val="20"/>
        </w:rPr>
      </w:pPr>
    </w:p>
    <w:p w14:paraId="601EEF55" w14:textId="77777777" w:rsidR="00F20810" w:rsidRPr="005827DA" w:rsidRDefault="00F20810" w:rsidP="005827DA">
      <w:pPr>
        <w:tabs>
          <w:tab w:val="left" w:pos="90"/>
        </w:tabs>
        <w:spacing w:line="276" w:lineRule="auto"/>
        <w:ind w:right="68" w:hanging="436"/>
        <w:jc w:val="both"/>
        <w:rPr>
          <w:rFonts w:ascii="Arial" w:eastAsia="Times New Roman" w:hAnsi="Arial" w:cs="Times New Roman"/>
          <w:b/>
          <w:bCs/>
          <w:sz w:val="20"/>
          <w:szCs w:val="20"/>
        </w:rPr>
      </w:pPr>
      <w:r w:rsidRPr="005827DA">
        <w:rPr>
          <w:rFonts w:ascii="Arial" w:eastAsia="Times New Roman" w:hAnsi="Arial" w:cs="Times New Roman"/>
          <w:b/>
          <w:bCs/>
          <w:sz w:val="20"/>
          <w:szCs w:val="20"/>
        </w:rPr>
        <w:t>Exercise 12a: Fuel management (hot-air balloons)</w:t>
      </w:r>
    </w:p>
    <w:p w14:paraId="1DD06A78" w14:textId="77777777" w:rsidR="00F20810" w:rsidRPr="005827DA" w:rsidRDefault="00F20810" w:rsidP="005827DA">
      <w:pPr>
        <w:pStyle w:val="ListParagraph"/>
        <w:numPr>
          <w:ilvl w:val="0"/>
          <w:numId w:val="252"/>
        </w:numPr>
        <w:tabs>
          <w:tab w:val="left" w:pos="90"/>
          <w:tab w:val="left" w:pos="2409"/>
        </w:tabs>
        <w:spacing w:line="276" w:lineRule="auto"/>
        <w:ind w:right="68" w:hanging="436"/>
        <w:jc w:val="both"/>
        <w:rPr>
          <w:rFonts w:ascii="Arial" w:hAnsi="Arial" w:cs="Arial"/>
          <w:sz w:val="20"/>
          <w:szCs w:val="20"/>
        </w:rPr>
      </w:pPr>
      <w:r w:rsidRPr="005827DA">
        <w:rPr>
          <w:rFonts w:ascii="Arial" w:hAnsi="Arial" w:cs="Arial"/>
          <w:sz w:val="20"/>
          <w:szCs w:val="20"/>
        </w:rPr>
        <w:t>Objective</w:t>
      </w:r>
    </w:p>
    <w:p w14:paraId="5F914839" w14:textId="77777777" w:rsidR="00F20810" w:rsidRPr="005827DA" w:rsidRDefault="00F20810" w:rsidP="005827DA">
      <w:pPr>
        <w:pStyle w:val="BodyText"/>
        <w:tabs>
          <w:tab w:val="left" w:pos="90"/>
        </w:tabs>
        <w:spacing w:before="121" w:line="276" w:lineRule="auto"/>
        <w:ind w:left="2408" w:right="68" w:hanging="436"/>
        <w:jc w:val="both"/>
        <w:rPr>
          <w:rFonts w:ascii="Arial" w:hAnsi="Arial" w:cs="Arial"/>
          <w:sz w:val="20"/>
          <w:szCs w:val="20"/>
        </w:rPr>
      </w:pPr>
      <w:r w:rsidRPr="005827DA">
        <w:rPr>
          <w:rFonts w:ascii="Arial" w:hAnsi="Arial" w:cs="Arial"/>
          <w:sz w:val="20"/>
          <w:szCs w:val="20"/>
        </w:rPr>
        <w:t>To</w:t>
      </w:r>
      <w:r w:rsidRPr="005827DA">
        <w:rPr>
          <w:rFonts w:ascii="Arial" w:hAnsi="Arial" w:cs="Arial"/>
          <w:spacing w:val="-7"/>
          <w:sz w:val="20"/>
          <w:szCs w:val="20"/>
        </w:rPr>
        <w:t xml:space="preserve"> </w:t>
      </w:r>
      <w:r w:rsidRPr="005827DA">
        <w:rPr>
          <w:rFonts w:ascii="Arial" w:hAnsi="Arial" w:cs="Arial"/>
          <w:sz w:val="20"/>
          <w:szCs w:val="20"/>
        </w:rPr>
        <w:t>advise</w:t>
      </w:r>
      <w:r w:rsidRPr="005827DA">
        <w:rPr>
          <w:rFonts w:ascii="Arial" w:hAnsi="Arial" w:cs="Arial"/>
          <w:spacing w:val="-11"/>
          <w:sz w:val="20"/>
          <w:szCs w:val="20"/>
        </w:rPr>
        <w:t xml:space="preserve"> </w:t>
      </w:r>
      <w:r w:rsidRPr="005827DA">
        <w:rPr>
          <w:rFonts w:ascii="Arial" w:hAnsi="Arial" w:cs="Arial"/>
          <w:sz w:val="20"/>
          <w:szCs w:val="20"/>
        </w:rPr>
        <w:t>the</w:t>
      </w:r>
      <w:r w:rsidRPr="005827DA">
        <w:rPr>
          <w:rFonts w:ascii="Arial" w:hAnsi="Arial" w:cs="Arial"/>
          <w:spacing w:val="-8"/>
          <w:sz w:val="20"/>
          <w:szCs w:val="20"/>
        </w:rPr>
        <w:t xml:space="preserve"> </w:t>
      </w:r>
      <w:r w:rsidRPr="005827DA">
        <w:rPr>
          <w:rFonts w:ascii="Arial" w:hAnsi="Arial" w:cs="Arial"/>
          <w:sz w:val="20"/>
          <w:szCs w:val="20"/>
        </w:rPr>
        <w:t>student</w:t>
      </w:r>
      <w:r w:rsidRPr="005827DA">
        <w:rPr>
          <w:rFonts w:ascii="Arial" w:hAnsi="Arial" w:cs="Arial"/>
          <w:spacing w:val="-8"/>
          <w:sz w:val="20"/>
          <w:szCs w:val="20"/>
        </w:rPr>
        <w:t xml:space="preserve"> </w:t>
      </w:r>
      <w:r w:rsidRPr="005827DA">
        <w:rPr>
          <w:rFonts w:ascii="Arial" w:hAnsi="Arial" w:cs="Arial"/>
          <w:sz w:val="20"/>
          <w:szCs w:val="20"/>
        </w:rPr>
        <w:t>instructor</w:t>
      </w:r>
      <w:r w:rsidRPr="005827DA">
        <w:rPr>
          <w:rFonts w:ascii="Arial" w:hAnsi="Arial" w:cs="Arial"/>
          <w:spacing w:val="-10"/>
          <w:sz w:val="20"/>
          <w:szCs w:val="20"/>
        </w:rPr>
        <w:t xml:space="preserve"> </w:t>
      </w:r>
      <w:r w:rsidRPr="005827DA">
        <w:rPr>
          <w:rFonts w:ascii="Arial" w:hAnsi="Arial" w:cs="Arial"/>
          <w:sz w:val="20"/>
          <w:szCs w:val="20"/>
        </w:rPr>
        <w:t>on</w:t>
      </w:r>
      <w:r w:rsidRPr="005827DA">
        <w:rPr>
          <w:rFonts w:ascii="Arial" w:hAnsi="Arial" w:cs="Arial"/>
          <w:spacing w:val="-9"/>
          <w:sz w:val="20"/>
          <w:szCs w:val="20"/>
        </w:rPr>
        <w:t xml:space="preserve"> </w:t>
      </w:r>
      <w:r w:rsidRPr="005827DA">
        <w:rPr>
          <w:rFonts w:ascii="Arial" w:hAnsi="Arial" w:cs="Arial"/>
          <w:sz w:val="20"/>
          <w:szCs w:val="20"/>
        </w:rPr>
        <w:t>how</w:t>
      </w:r>
      <w:r w:rsidRPr="005827DA">
        <w:rPr>
          <w:rFonts w:ascii="Arial" w:hAnsi="Arial" w:cs="Arial"/>
          <w:spacing w:val="-8"/>
          <w:sz w:val="20"/>
          <w:szCs w:val="20"/>
        </w:rPr>
        <w:t xml:space="preserve"> </w:t>
      </w:r>
      <w:r w:rsidRPr="005827DA">
        <w:rPr>
          <w:rFonts w:ascii="Arial" w:hAnsi="Arial" w:cs="Arial"/>
          <w:sz w:val="20"/>
          <w:szCs w:val="20"/>
        </w:rPr>
        <w:t>to</w:t>
      </w:r>
      <w:r w:rsidRPr="005827DA">
        <w:rPr>
          <w:rFonts w:ascii="Arial" w:hAnsi="Arial" w:cs="Arial"/>
          <w:spacing w:val="-8"/>
          <w:sz w:val="20"/>
          <w:szCs w:val="20"/>
        </w:rPr>
        <w:t xml:space="preserve"> </w:t>
      </w:r>
      <w:r w:rsidRPr="005827DA">
        <w:rPr>
          <w:rFonts w:ascii="Arial" w:hAnsi="Arial" w:cs="Arial"/>
          <w:sz w:val="20"/>
          <w:szCs w:val="20"/>
        </w:rPr>
        <w:t>explain</w:t>
      </w:r>
      <w:r w:rsidRPr="005827DA">
        <w:rPr>
          <w:rFonts w:ascii="Arial" w:hAnsi="Arial" w:cs="Arial"/>
          <w:spacing w:val="-9"/>
          <w:sz w:val="20"/>
          <w:szCs w:val="20"/>
        </w:rPr>
        <w:t xml:space="preserve"> </w:t>
      </w:r>
      <w:r w:rsidRPr="005827DA">
        <w:rPr>
          <w:rFonts w:ascii="Arial" w:hAnsi="Arial" w:cs="Arial"/>
          <w:sz w:val="20"/>
          <w:szCs w:val="20"/>
        </w:rPr>
        <w:t>and</w:t>
      </w:r>
      <w:r w:rsidRPr="005827DA">
        <w:rPr>
          <w:rFonts w:ascii="Arial" w:hAnsi="Arial" w:cs="Arial"/>
          <w:spacing w:val="-10"/>
          <w:sz w:val="20"/>
          <w:szCs w:val="20"/>
        </w:rPr>
        <w:t xml:space="preserve"> </w:t>
      </w:r>
      <w:r w:rsidRPr="005827DA">
        <w:rPr>
          <w:rFonts w:ascii="Arial" w:hAnsi="Arial" w:cs="Arial"/>
          <w:sz w:val="20"/>
          <w:szCs w:val="20"/>
        </w:rPr>
        <w:t>demonstrate</w:t>
      </w:r>
      <w:r w:rsidRPr="005827DA">
        <w:rPr>
          <w:rFonts w:ascii="Arial" w:hAnsi="Arial" w:cs="Arial"/>
          <w:spacing w:val="-7"/>
          <w:sz w:val="20"/>
          <w:szCs w:val="20"/>
        </w:rPr>
        <w:t xml:space="preserve"> </w:t>
      </w:r>
      <w:r w:rsidRPr="005827DA">
        <w:rPr>
          <w:rFonts w:ascii="Arial" w:hAnsi="Arial" w:cs="Arial"/>
          <w:sz w:val="20"/>
          <w:szCs w:val="20"/>
        </w:rPr>
        <w:t>the</w:t>
      </w:r>
      <w:r w:rsidRPr="005827DA">
        <w:rPr>
          <w:rFonts w:ascii="Arial" w:hAnsi="Arial" w:cs="Arial"/>
          <w:spacing w:val="-9"/>
          <w:sz w:val="20"/>
          <w:szCs w:val="20"/>
        </w:rPr>
        <w:t xml:space="preserve"> </w:t>
      </w:r>
      <w:r w:rsidRPr="005827DA">
        <w:rPr>
          <w:rFonts w:ascii="Arial" w:hAnsi="Arial" w:cs="Arial"/>
          <w:sz w:val="20"/>
          <w:szCs w:val="20"/>
        </w:rPr>
        <w:t>fuel</w:t>
      </w:r>
      <w:r w:rsidRPr="005827DA">
        <w:rPr>
          <w:rFonts w:ascii="Arial" w:hAnsi="Arial" w:cs="Arial"/>
          <w:spacing w:val="-47"/>
          <w:sz w:val="20"/>
          <w:szCs w:val="20"/>
        </w:rPr>
        <w:t xml:space="preserve"> </w:t>
      </w:r>
      <w:r w:rsidRPr="005827DA">
        <w:rPr>
          <w:rFonts w:ascii="Arial" w:hAnsi="Arial" w:cs="Arial"/>
          <w:sz w:val="20"/>
          <w:szCs w:val="20"/>
        </w:rPr>
        <w:t>management techniques. Furthermore, the student instructor should learn</w:t>
      </w:r>
      <w:r w:rsidRPr="005827DA">
        <w:rPr>
          <w:rFonts w:ascii="Arial" w:hAnsi="Arial" w:cs="Arial"/>
          <w:spacing w:val="1"/>
          <w:sz w:val="20"/>
          <w:szCs w:val="20"/>
        </w:rPr>
        <w:t xml:space="preserve"> </w:t>
      </w:r>
      <w:r w:rsidRPr="005827DA">
        <w:rPr>
          <w:rFonts w:ascii="Arial" w:hAnsi="Arial" w:cs="Arial"/>
          <w:sz w:val="20"/>
          <w:szCs w:val="20"/>
        </w:rPr>
        <w:t>how</w:t>
      </w:r>
      <w:r w:rsidRPr="005827DA">
        <w:rPr>
          <w:rFonts w:ascii="Arial" w:hAnsi="Arial" w:cs="Arial"/>
          <w:spacing w:val="-3"/>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identify</w:t>
      </w:r>
      <w:r w:rsidRPr="005827DA">
        <w:rPr>
          <w:rFonts w:ascii="Arial" w:hAnsi="Arial" w:cs="Arial"/>
          <w:spacing w:val="-2"/>
          <w:sz w:val="20"/>
          <w:szCs w:val="20"/>
        </w:rPr>
        <w:t xml:space="preserve"> </w:t>
      </w:r>
      <w:r w:rsidRPr="005827DA">
        <w:rPr>
          <w:rFonts w:ascii="Arial" w:hAnsi="Arial" w:cs="Arial"/>
          <w:sz w:val="20"/>
          <w:szCs w:val="20"/>
        </w:rPr>
        <w:t>student</w:t>
      </w:r>
      <w:r w:rsidRPr="005827DA">
        <w:rPr>
          <w:rFonts w:ascii="Arial" w:hAnsi="Arial" w:cs="Arial"/>
          <w:spacing w:val="-2"/>
          <w:sz w:val="20"/>
          <w:szCs w:val="20"/>
        </w:rPr>
        <w:t xml:space="preserve"> </w:t>
      </w:r>
      <w:r w:rsidRPr="005827DA">
        <w:rPr>
          <w:rFonts w:ascii="Arial" w:hAnsi="Arial" w:cs="Arial"/>
          <w:sz w:val="20"/>
          <w:szCs w:val="20"/>
        </w:rPr>
        <w:t>errors and</w:t>
      </w:r>
      <w:r w:rsidRPr="005827DA">
        <w:rPr>
          <w:rFonts w:ascii="Arial" w:hAnsi="Arial" w:cs="Arial"/>
          <w:spacing w:val="-2"/>
          <w:sz w:val="20"/>
          <w:szCs w:val="20"/>
        </w:rPr>
        <w:t xml:space="preserve"> </w:t>
      </w:r>
      <w:r w:rsidRPr="005827DA">
        <w:rPr>
          <w:rFonts w:ascii="Arial" w:hAnsi="Arial" w:cs="Arial"/>
          <w:sz w:val="20"/>
          <w:szCs w:val="20"/>
        </w:rPr>
        <w:t>how</w:t>
      </w:r>
      <w:r w:rsidRPr="005827DA">
        <w:rPr>
          <w:rFonts w:ascii="Arial" w:hAnsi="Arial" w:cs="Arial"/>
          <w:spacing w:val="-2"/>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correct</w:t>
      </w:r>
      <w:r w:rsidRPr="005827DA">
        <w:rPr>
          <w:rFonts w:ascii="Arial" w:hAnsi="Arial" w:cs="Arial"/>
          <w:spacing w:val="-2"/>
          <w:sz w:val="20"/>
          <w:szCs w:val="20"/>
        </w:rPr>
        <w:t xml:space="preserve"> </w:t>
      </w:r>
      <w:r w:rsidRPr="005827DA">
        <w:rPr>
          <w:rFonts w:ascii="Arial" w:hAnsi="Arial" w:cs="Arial"/>
          <w:sz w:val="20"/>
          <w:szCs w:val="20"/>
        </w:rPr>
        <w:t>them</w:t>
      </w:r>
      <w:r w:rsidRPr="005827DA">
        <w:rPr>
          <w:rFonts w:ascii="Arial" w:hAnsi="Arial" w:cs="Arial"/>
          <w:spacing w:val="1"/>
          <w:sz w:val="20"/>
          <w:szCs w:val="20"/>
        </w:rPr>
        <w:t xml:space="preserve"> </w:t>
      </w:r>
      <w:r w:rsidRPr="005827DA">
        <w:rPr>
          <w:rFonts w:ascii="Arial" w:hAnsi="Arial" w:cs="Arial"/>
          <w:sz w:val="20"/>
          <w:szCs w:val="20"/>
        </w:rPr>
        <w:t>properly.</w:t>
      </w:r>
    </w:p>
    <w:p w14:paraId="638C893F" w14:textId="77777777" w:rsidR="00F20810" w:rsidRPr="005827DA" w:rsidRDefault="00F20810" w:rsidP="005827DA">
      <w:pPr>
        <w:pStyle w:val="ListParagraph"/>
        <w:numPr>
          <w:ilvl w:val="0"/>
          <w:numId w:val="252"/>
        </w:numPr>
        <w:tabs>
          <w:tab w:val="left" w:pos="90"/>
          <w:tab w:val="left" w:pos="2409"/>
        </w:tabs>
        <w:spacing w:before="121" w:line="276" w:lineRule="auto"/>
        <w:ind w:right="68" w:hanging="436"/>
        <w:jc w:val="both"/>
        <w:rPr>
          <w:rFonts w:ascii="Arial" w:hAnsi="Arial" w:cs="Arial"/>
          <w:sz w:val="20"/>
          <w:szCs w:val="20"/>
        </w:rPr>
      </w:pPr>
      <w:r w:rsidRPr="005827DA">
        <w:rPr>
          <w:rFonts w:ascii="Arial" w:hAnsi="Arial" w:cs="Arial"/>
          <w:sz w:val="20"/>
          <w:szCs w:val="20"/>
        </w:rPr>
        <w:t>Briefing</w:t>
      </w:r>
    </w:p>
    <w:p w14:paraId="217A2E39" w14:textId="77777777" w:rsidR="00F20810" w:rsidRPr="005827DA" w:rsidRDefault="00F20810" w:rsidP="005827DA">
      <w:pPr>
        <w:pStyle w:val="BodyText"/>
        <w:tabs>
          <w:tab w:val="left" w:pos="90"/>
        </w:tabs>
        <w:spacing w:line="276" w:lineRule="auto"/>
        <w:ind w:left="2408"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student</w:t>
      </w:r>
      <w:r w:rsidRPr="005827DA">
        <w:rPr>
          <w:rFonts w:ascii="Arial" w:hAnsi="Arial" w:cs="Arial"/>
          <w:spacing w:val="-2"/>
          <w:sz w:val="20"/>
          <w:szCs w:val="20"/>
        </w:rPr>
        <w:t xml:space="preserve"> </w:t>
      </w:r>
      <w:r w:rsidRPr="005827DA">
        <w:rPr>
          <w:rFonts w:ascii="Arial" w:hAnsi="Arial" w:cs="Arial"/>
          <w:sz w:val="20"/>
          <w:szCs w:val="20"/>
        </w:rPr>
        <w:t>instructor has</w:t>
      </w:r>
      <w:r w:rsidRPr="005827DA">
        <w:rPr>
          <w:rFonts w:ascii="Arial" w:hAnsi="Arial" w:cs="Arial"/>
          <w:spacing w:val="-6"/>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explain:</w:t>
      </w:r>
    </w:p>
    <w:p w14:paraId="674C0F9B" w14:textId="77777777" w:rsidR="00F20810" w:rsidRPr="005827DA" w:rsidRDefault="00F20810" w:rsidP="005827DA">
      <w:pPr>
        <w:pStyle w:val="ListParagraph"/>
        <w:numPr>
          <w:ilvl w:val="1"/>
          <w:numId w:val="252"/>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cylinder</w:t>
      </w:r>
      <w:r w:rsidRPr="005827DA">
        <w:rPr>
          <w:rFonts w:ascii="Arial" w:hAnsi="Arial" w:cs="Arial"/>
          <w:spacing w:val="-2"/>
          <w:sz w:val="20"/>
          <w:szCs w:val="20"/>
        </w:rPr>
        <w:t xml:space="preserve"> </w:t>
      </w:r>
      <w:r w:rsidRPr="005827DA">
        <w:rPr>
          <w:rFonts w:ascii="Arial" w:hAnsi="Arial" w:cs="Arial"/>
          <w:sz w:val="20"/>
          <w:szCs w:val="20"/>
        </w:rPr>
        <w:t>arrangement</w:t>
      </w:r>
      <w:r w:rsidRPr="005827DA">
        <w:rPr>
          <w:rFonts w:ascii="Arial" w:hAnsi="Arial" w:cs="Arial"/>
          <w:spacing w:val="-3"/>
          <w:sz w:val="20"/>
          <w:szCs w:val="20"/>
        </w:rPr>
        <w:t xml:space="preserve"> </w:t>
      </w:r>
      <w:r w:rsidRPr="005827DA">
        <w:rPr>
          <w:rFonts w:ascii="Arial" w:hAnsi="Arial" w:cs="Arial"/>
          <w:sz w:val="20"/>
          <w:szCs w:val="20"/>
        </w:rPr>
        <w:t>and</w:t>
      </w:r>
      <w:r w:rsidRPr="005827DA">
        <w:rPr>
          <w:rFonts w:ascii="Arial" w:hAnsi="Arial" w:cs="Arial"/>
          <w:spacing w:val="-3"/>
          <w:sz w:val="20"/>
          <w:szCs w:val="20"/>
        </w:rPr>
        <w:t xml:space="preserve"> </w:t>
      </w:r>
      <w:r w:rsidRPr="005827DA">
        <w:rPr>
          <w:rFonts w:ascii="Arial" w:hAnsi="Arial" w:cs="Arial"/>
          <w:sz w:val="20"/>
          <w:szCs w:val="20"/>
        </w:rPr>
        <w:t>the burner</w:t>
      </w:r>
      <w:r w:rsidRPr="005827DA">
        <w:rPr>
          <w:rFonts w:ascii="Arial" w:hAnsi="Arial" w:cs="Arial"/>
          <w:spacing w:val="-2"/>
          <w:sz w:val="20"/>
          <w:szCs w:val="20"/>
        </w:rPr>
        <w:t xml:space="preserve"> </w:t>
      </w:r>
      <w:r w:rsidRPr="005827DA">
        <w:rPr>
          <w:rFonts w:ascii="Arial" w:hAnsi="Arial" w:cs="Arial"/>
          <w:sz w:val="20"/>
          <w:szCs w:val="20"/>
        </w:rPr>
        <w:t>systems;</w:t>
      </w:r>
    </w:p>
    <w:p w14:paraId="6BFF9169" w14:textId="77777777" w:rsidR="00F20810" w:rsidRPr="005827DA" w:rsidRDefault="00F20810" w:rsidP="005827DA">
      <w:pPr>
        <w:pStyle w:val="ListParagraph"/>
        <w:numPr>
          <w:ilvl w:val="1"/>
          <w:numId w:val="252"/>
        </w:numPr>
        <w:tabs>
          <w:tab w:val="left" w:pos="90"/>
          <w:tab w:val="left" w:pos="2975"/>
          <w:tab w:val="left" w:pos="2976"/>
        </w:tabs>
        <w:spacing w:before="118"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function</w:t>
      </w:r>
      <w:r w:rsidRPr="005827DA">
        <w:rPr>
          <w:rFonts w:ascii="Arial" w:hAnsi="Arial" w:cs="Arial"/>
          <w:spacing w:val="-2"/>
          <w:sz w:val="20"/>
          <w:szCs w:val="20"/>
        </w:rPr>
        <w:t xml:space="preserve"> </w:t>
      </w:r>
      <w:r w:rsidRPr="005827DA">
        <w:rPr>
          <w:rFonts w:ascii="Arial" w:hAnsi="Arial" w:cs="Arial"/>
          <w:sz w:val="20"/>
          <w:szCs w:val="20"/>
        </w:rPr>
        <w:t>of</w:t>
      </w:r>
      <w:r w:rsidRPr="005827DA">
        <w:rPr>
          <w:rFonts w:ascii="Arial" w:hAnsi="Arial" w:cs="Arial"/>
          <w:spacing w:val="-4"/>
          <w:sz w:val="20"/>
          <w:szCs w:val="20"/>
        </w:rPr>
        <w:t xml:space="preserve"> </w:t>
      </w:r>
      <w:r w:rsidRPr="005827DA">
        <w:rPr>
          <w:rFonts w:ascii="Arial" w:hAnsi="Arial" w:cs="Arial"/>
          <w:sz w:val="20"/>
          <w:szCs w:val="20"/>
        </w:rPr>
        <w:t>the pilot</w:t>
      </w:r>
      <w:r w:rsidRPr="005827DA">
        <w:rPr>
          <w:rFonts w:ascii="Arial" w:hAnsi="Arial" w:cs="Arial"/>
          <w:spacing w:val="-2"/>
          <w:sz w:val="20"/>
          <w:szCs w:val="20"/>
        </w:rPr>
        <w:t xml:space="preserve"> </w:t>
      </w:r>
      <w:r w:rsidRPr="005827DA">
        <w:rPr>
          <w:rFonts w:ascii="Arial" w:hAnsi="Arial" w:cs="Arial"/>
          <w:sz w:val="20"/>
          <w:szCs w:val="20"/>
        </w:rPr>
        <w:t>light</w:t>
      </w:r>
      <w:r w:rsidRPr="005827DA">
        <w:rPr>
          <w:rFonts w:ascii="Arial" w:hAnsi="Arial" w:cs="Arial"/>
          <w:spacing w:val="-1"/>
          <w:sz w:val="20"/>
          <w:szCs w:val="20"/>
        </w:rPr>
        <w:t xml:space="preserve"> </w:t>
      </w:r>
      <w:r w:rsidRPr="005827DA">
        <w:rPr>
          <w:rFonts w:ascii="Arial" w:hAnsi="Arial" w:cs="Arial"/>
          <w:sz w:val="20"/>
          <w:szCs w:val="20"/>
        </w:rPr>
        <w:t>supply (vapour</w:t>
      </w:r>
      <w:r w:rsidRPr="005827DA">
        <w:rPr>
          <w:rFonts w:ascii="Arial" w:hAnsi="Arial" w:cs="Arial"/>
          <w:spacing w:val="-3"/>
          <w:sz w:val="20"/>
          <w:szCs w:val="20"/>
        </w:rPr>
        <w:t xml:space="preserve"> </w:t>
      </w:r>
      <w:r w:rsidRPr="005827DA">
        <w:rPr>
          <w:rFonts w:ascii="Arial" w:hAnsi="Arial" w:cs="Arial"/>
          <w:sz w:val="20"/>
          <w:szCs w:val="20"/>
        </w:rPr>
        <w:t>or</w:t>
      </w:r>
      <w:r w:rsidRPr="005827DA">
        <w:rPr>
          <w:rFonts w:ascii="Arial" w:hAnsi="Arial" w:cs="Arial"/>
          <w:spacing w:val="-2"/>
          <w:sz w:val="20"/>
          <w:szCs w:val="20"/>
        </w:rPr>
        <w:t xml:space="preserve"> </w:t>
      </w:r>
      <w:r w:rsidRPr="005827DA">
        <w:rPr>
          <w:rFonts w:ascii="Arial" w:hAnsi="Arial" w:cs="Arial"/>
          <w:sz w:val="20"/>
          <w:szCs w:val="20"/>
        </w:rPr>
        <w:t>liquid);</w:t>
      </w:r>
    </w:p>
    <w:p w14:paraId="467A5CC2" w14:textId="77777777" w:rsidR="00F20810" w:rsidRPr="005827DA" w:rsidRDefault="00F20810" w:rsidP="005827DA">
      <w:pPr>
        <w:pStyle w:val="ListParagraph"/>
        <w:numPr>
          <w:ilvl w:val="1"/>
          <w:numId w:val="252"/>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use</w:t>
      </w:r>
      <w:r w:rsidRPr="005827DA">
        <w:rPr>
          <w:rFonts w:ascii="Arial" w:hAnsi="Arial" w:cs="Arial"/>
          <w:spacing w:val="-2"/>
          <w:sz w:val="20"/>
          <w:szCs w:val="20"/>
        </w:rPr>
        <w:t xml:space="preserve"> </w:t>
      </w:r>
      <w:r w:rsidRPr="005827DA">
        <w:rPr>
          <w:rFonts w:ascii="Arial" w:hAnsi="Arial" w:cs="Arial"/>
          <w:sz w:val="20"/>
          <w:szCs w:val="20"/>
        </w:rPr>
        <w:t>of</w:t>
      </w:r>
      <w:r w:rsidRPr="005827DA">
        <w:rPr>
          <w:rFonts w:ascii="Arial" w:hAnsi="Arial" w:cs="Arial"/>
          <w:spacing w:val="-2"/>
          <w:sz w:val="20"/>
          <w:szCs w:val="20"/>
        </w:rPr>
        <w:t xml:space="preserve"> </w:t>
      </w:r>
      <w:r w:rsidRPr="005827DA">
        <w:rPr>
          <w:rFonts w:ascii="Arial" w:hAnsi="Arial" w:cs="Arial"/>
          <w:sz w:val="20"/>
          <w:szCs w:val="20"/>
        </w:rPr>
        <w:t>master</w:t>
      </w:r>
      <w:r w:rsidRPr="005827DA">
        <w:rPr>
          <w:rFonts w:ascii="Arial" w:hAnsi="Arial" w:cs="Arial"/>
          <w:spacing w:val="-2"/>
          <w:sz w:val="20"/>
          <w:szCs w:val="20"/>
        </w:rPr>
        <w:t xml:space="preserve"> </w:t>
      </w:r>
      <w:r w:rsidRPr="005827DA">
        <w:rPr>
          <w:rFonts w:ascii="Arial" w:hAnsi="Arial" w:cs="Arial"/>
          <w:sz w:val="20"/>
          <w:szCs w:val="20"/>
        </w:rPr>
        <w:t>cylinders</w:t>
      </w:r>
      <w:r w:rsidRPr="005827DA">
        <w:rPr>
          <w:rFonts w:ascii="Arial" w:hAnsi="Arial" w:cs="Arial"/>
          <w:spacing w:val="-2"/>
          <w:sz w:val="20"/>
          <w:szCs w:val="20"/>
        </w:rPr>
        <w:t xml:space="preserve"> </w:t>
      </w:r>
      <w:r w:rsidRPr="005827DA">
        <w:rPr>
          <w:rFonts w:ascii="Arial" w:hAnsi="Arial" w:cs="Arial"/>
          <w:sz w:val="20"/>
          <w:szCs w:val="20"/>
        </w:rPr>
        <w:t>(if applicable);</w:t>
      </w:r>
    </w:p>
    <w:p w14:paraId="5F4562CE" w14:textId="77777777" w:rsidR="00F20810" w:rsidRPr="005827DA" w:rsidRDefault="00F20810" w:rsidP="005827DA">
      <w:pPr>
        <w:pStyle w:val="ListParagraph"/>
        <w:numPr>
          <w:ilvl w:val="1"/>
          <w:numId w:val="252"/>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fuel</w:t>
      </w:r>
      <w:r w:rsidRPr="005827DA">
        <w:rPr>
          <w:rFonts w:ascii="Arial" w:hAnsi="Arial" w:cs="Arial"/>
          <w:spacing w:val="-2"/>
          <w:sz w:val="20"/>
          <w:szCs w:val="20"/>
        </w:rPr>
        <w:t xml:space="preserve"> </w:t>
      </w:r>
      <w:r w:rsidRPr="005827DA">
        <w:rPr>
          <w:rFonts w:ascii="Arial" w:hAnsi="Arial" w:cs="Arial"/>
          <w:sz w:val="20"/>
          <w:szCs w:val="20"/>
        </w:rPr>
        <w:t>requirement</w:t>
      </w:r>
      <w:r w:rsidRPr="005827DA">
        <w:rPr>
          <w:rFonts w:ascii="Arial" w:hAnsi="Arial" w:cs="Arial"/>
          <w:spacing w:val="-2"/>
          <w:sz w:val="20"/>
          <w:szCs w:val="20"/>
        </w:rPr>
        <w:t xml:space="preserve"> </w:t>
      </w:r>
      <w:r w:rsidRPr="005827DA">
        <w:rPr>
          <w:rFonts w:ascii="Arial" w:hAnsi="Arial" w:cs="Arial"/>
          <w:sz w:val="20"/>
          <w:szCs w:val="20"/>
        </w:rPr>
        <w:t>and</w:t>
      </w:r>
      <w:r w:rsidRPr="005827DA">
        <w:rPr>
          <w:rFonts w:ascii="Arial" w:hAnsi="Arial" w:cs="Arial"/>
          <w:spacing w:val="-5"/>
          <w:sz w:val="20"/>
          <w:szCs w:val="20"/>
        </w:rPr>
        <w:t xml:space="preserve"> </w:t>
      </w:r>
      <w:r w:rsidRPr="005827DA">
        <w:rPr>
          <w:rFonts w:ascii="Arial" w:hAnsi="Arial" w:cs="Arial"/>
          <w:sz w:val="20"/>
          <w:szCs w:val="20"/>
        </w:rPr>
        <w:t>expected</w:t>
      </w:r>
      <w:r w:rsidRPr="005827DA">
        <w:rPr>
          <w:rFonts w:ascii="Arial" w:hAnsi="Arial" w:cs="Arial"/>
          <w:spacing w:val="-5"/>
          <w:sz w:val="20"/>
          <w:szCs w:val="20"/>
        </w:rPr>
        <w:t xml:space="preserve"> </w:t>
      </w:r>
      <w:r w:rsidRPr="005827DA">
        <w:rPr>
          <w:rFonts w:ascii="Arial" w:hAnsi="Arial" w:cs="Arial"/>
          <w:sz w:val="20"/>
          <w:szCs w:val="20"/>
        </w:rPr>
        <w:t>fuel</w:t>
      </w:r>
      <w:r w:rsidRPr="005827DA">
        <w:rPr>
          <w:rFonts w:ascii="Arial" w:hAnsi="Arial" w:cs="Arial"/>
          <w:spacing w:val="-2"/>
          <w:sz w:val="20"/>
          <w:szCs w:val="20"/>
        </w:rPr>
        <w:t xml:space="preserve"> </w:t>
      </w:r>
      <w:r w:rsidRPr="005827DA">
        <w:rPr>
          <w:rFonts w:ascii="Arial" w:hAnsi="Arial" w:cs="Arial"/>
          <w:sz w:val="20"/>
          <w:szCs w:val="20"/>
        </w:rPr>
        <w:t>consumption;</w:t>
      </w:r>
    </w:p>
    <w:p w14:paraId="03EC5AFF" w14:textId="77777777" w:rsidR="00F20810" w:rsidRPr="005827DA" w:rsidRDefault="00F20810" w:rsidP="005827DA">
      <w:pPr>
        <w:pStyle w:val="ListParagraph"/>
        <w:numPr>
          <w:ilvl w:val="1"/>
          <w:numId w:val="252"/>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3"/>
          <w:sz w:val="20"/>
          <w:szCs w:val="20"/>
        </w:rPr>
        <w:t xml:space="preserve"> </w:t>
      </w:r>
      <w:r w:rsidRPr="005827DA">
        <w:rPr>
          <w:rFonts w:ascii="Arial" w:hAnsi="Arial" w:cs="Arial"/>
          <w:sz w:val="20"/>
          <w:szCs w:val="20"/>
        </w:rPr>
        <w:t>fuel</w:t>
      </w:r>
      <w:r w:rsidRPr="005827DA">
        <w:rPr>
          <w:rFonts w:ascii="Arial" w:hAnsi="Arial" w:cs="Arial"/>
          <w:spacing w:val="-2"/>
          <w:sz w:val="20"/>
          <w:szCs w:val="20"/>
        </w:rPr>
        <w:t xml:space="preserve"> </w:t>
      </w:r>
      <w:r w:rsidRPr="005827DA">
        <w:rPr>
          <w:rFonts w:ascii="Arial" w:hAnsi="Arial" w:cs="Arial"/>
          <w:sz w:val="20"/>
          <w:szCs w:val="20"/>
        </w:rPr>
        <w:t>state</w:t>
      </w:r>
      <w:r w:rsidRPr="005827DA">
        <w:rPr>
          <w:rFonts w:ascii="Arial" w:hAnsi="Arial" w:cs="Arial"/>
          <w:spacing w:val="-5"/>
          <w:sz w:val="20"/>
          <w:szCs w:val="20"/>
        </w:rPr>
        <w:t xml:space="preserve"> </w:t>
      </w:r>
      <w:r w:rsidRPr="005827DA">
        <w:rPr>
          <w:rFonts w:ascii="Arial" w:hAnsi="Arial" w:cs="Arial"/>
          <w:sz w:val="20"/>
          <w:szCs w:val="20"/>
        </w:rPr>
        <w:t>and</w:t>
      </w:r>
      <w:r w:rsidRPr="005827DA">
        <w:rPr>
          <w:rFonts w:ascii="Arial" w:hAnsi="Arial" w:cs="Arial"/>
          <w:spacing w:val="-3"/>
          <w:sz w:val="20"/>
          <w:szCs w:val="20"/>
        </w:rPr>
        <w:t xml:space="preserve"> </w:t>
      </w:r>
      <w:r w:rsidRPr="005827DA">
        <w:rPr>
          <w:rFonts w:ascii="Arial" w:hAnsi="Arial" w:cs="Arial"/>
          <w:sz w:val="20"/>
          <w:szCs w:val="20"/>
        </w:rPr>
        <w:t>pressure;</w:t>
      </w:r>
    </w:p>
    <w:p w14:paraId="1D6B9A2B" w14:textId="77777777" w:rsidR="00F20810" w:rsidRPr="005827DA" w:rsidRDefault="00F20810" w:rsidP="005827DA">
      <w:pPr>
        <w:pStyle w:val="ListParagraph"/>
        <w:numPr>
          <w:ilvl w:val="1"/>
          <w:numId w:val="252"/>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6"/>
          <w:sz w:val="20"/>
          <w:szCs w:val="20"/>
        </w:rPr>
        <w:t xml:space="preserve"> </w:t>
      </w:r>
      <w:r w:rsidRPr="005827DA">
        <w:rPr>
          <w:rFonts w:ascii="Arial" w:hAnsi="Arial" w:cs="Arial"/>
          <w:sz w:val="20"/>
          <w:szCs w:val="20"/>
        </w:rPr>
        <w:t>minimum</w:t>
      </w:r>
      <w:r w:rsidRPr="005827DA">
        <w:rPr>
          <w:rFonts w:ascii="Arial" w:hAnsi="Arial" w:cs="Arial"/>
          <w:spacing w:val="-3"/>
          <w:sz w:val="20"/>
          <w:szCs w:val="20"/>
        </w:rPr>
        <w:t xml:space="preserve"> </w:t>
      </w:r>
      <w:r w:rsidRPr="005827DA">
        <w:rPr>
          <w:rFonts w:ascii="Arial" w:hAnsi="Arial" w:cs="Arial"/>
          <w:sz w:val="20"/>
          <w:szCs w:val="20"/>
        </w:rPr>
        <w:t>fuel</w:t>
      </w:r>
      <w:r w:rsidRPr="005827DA">
        <w:rPr>
          <w:rFonts w:ascii="Arial" w:hAnsi="Arial" w:cs="Arial"/>
          <w:spacing w:val="-3"/>
          <w:sz w:val="20"/>
          <w:szCs w:val="20"/>
        </w:rPr>
        <w:t xml:space="preserve"> </w:t>
      </w:r>
      <w:r w:rsidRPr="005827DA">
        <w:rPr>
          <w:rFonts w:ascii="Arial" w:hAnsi="Arial" w:cs="Arial"/>
          <w:sz w:val="20"/>
          <w:szCs w:val="20"/>
        </w:rPr>
        <w:t>reserves;</w:t>
      </w:r>
    </w:p>
    <w:p w14:paraId="44061992" w14:textId="77777777" w:rsidR="00F20810" w:rsidRPr="005827DA" w:rsidRDefault="00F20810" w:rsidP="005827DA">
      <w:pPr>
        <w:pStyle w:val="ListParagraph"/>
        <w:numPr>
          <w:ilvl w:val="1"/>
          <w:numId w:val="252"/>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cylinder</w:t>
      </w:r>
      <w:r w:rsidRPr="005827DA">
        <w:rPr>
          <w:rFonts w:ascii="Arial" w:hAnsi="Arial" w:cs="Arial"/>
          <w:spacing w:val="-2"/>
          <w:sz w:val="20"/>
          <w:szCs w:val="20"/>
        </w:rPr>
        <w:t xml:space="preserve"> </w:t>
      </w:r>
      <w:r w:rsidRPr="005827DA">
        <w:rPr>
          <w:rFonts w:ascii="Arial" w:hAnsi="Arial" w:cs="Arial"/>
          <w:sz w:val="20"/>
          <w:szCs w:val="20"/>
        </w:rPr>
        <w:t>contents gauge and</w:t>
      </w:r>
      <w:r w:rsidRPr="005827DA">
        <w:rPr>
          <w:rFonts w:ascii="Arial" w:hAnsi="Arial" w:cs="Arial"/>
          <w:spacing w:val="-2"/>
          <w:sz w:val="20"/>
          <w:szCs w:val="20"/>
        </w:rPr>
        <w:t xml:space="preserve"> </w:t>
      </w:r>
      <w:r w:rsidRPr="005827DA">
        <w:rPr>
          <w:rFonts w:ascii="Arial" w:hAnsi="Arial" w:cs="Arial"/>
          <w:sz w:val="20"/>
          <w:szCs w:val="20"/>
        </w:rPr>
        <w:t>change</w:t>
      </w:r>
      <w:r w:rsidRPr="005827DA">
        <w:rPr>
          <w:rFonts w:ascii="Arial" w:hAnsi="Arial" w:cs="Arial"/>
          <w:spacing w:val="-1"/>
          <w:sz w:val="20"/>
          <w:szCs w:val="20"/>
        </w:rPr>
        <w:t xml:space="preserve"> </w:t>
      </w:r>
      <w:r w:rsidRPr="005827DA">
        <w:rPr>
          <w:rFonts w:ascii="Arial" w:hAnsi="Arial" w:cs="Arial"/>
          <w:sz w:val="20"/>
          <w:szCs w:val="20"/>
        </w:rPr>
        <w:t>procedure;</w:t>
      </w:r>
      <w:r w:rsidRPr="005827DA">
        <w:rPr>
          <w:rFonts w:ascii="Arial" w:hAnsi="Arial" w:cs="Arial"/>
          <w:spacing w:val="-3"/>
          <w:sz w:val="20"/>
          <w:szCs w:val="20"/>
        </w:rPr>
        <w:t xml:space="preserve"> </w:t>
      </w:r>
      <w:r w:rsidRPr="005827DA">
        <w:rPr>
          <w:rFonts w:ascii="Arial" w:hAnsi="Arial" w:cs="Arial"/>
          <w:sz w:val="20"/>
          <w:szCs w:val="20"/>
        </w:rPr>
        <w:t>and</w:t>
      </w:r>
    </w:p>
    <w:p w14:paraId="390FC77D" w14:textId="77777777" w:rsidR="00F20810" w:rsidRPr="005827DA" w:rsidRDefault="00F20810" w:rsidP="005827DA">
      <w:pPr>
        <w:pStyle w:val="ListParagraph"/>
        <w:numPr>
          <w:ilvl w:val="1"/>
          <w:numId w:val="252"/>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use</w:t>
      </w:r>
      <w:r w:rsidRPr="005827DA">
        <w:rPr>
          <w:rFonts w:ascii="Arial" w:hAnsi="Arial" w:cs="Arial"/>
          <w:spacing w:val="-2"/>
          <w:sz w:val="20"/>
          <w:szCs w:val="20"/>
        </w:rPr>
        <w:t xml:space="preserve"> </w:t>
      </w:r>
      <w:r w:rsidRPr="005827DA">
        <w:rPr>
          <w:rFonts w:ascii="Arial" w:hAnsi="Arial" w:cs="Arial"/>
          <w:sz w:val="20"/>
          <w:szCs w:val="20"/>
        </w:rPr>
        <w:t>of</w:t>
      </w:r>
      <w:r w:rsidRPr="005827DA">
        <w:rPr>
          <w:rFonts w:ascii="Arial" w:hAnsi="Arial" w:cs="Arial"/>
          <w:spacing w:val="-2"/>
          <w:sz w:val="20"/>
          <w:szCs w:val="20"/>
        </w:rPr>
        <w:t xml:space="preserve"> </w:t>
      </w:r>
      <w:r w:rsidRPr="005827DA">
        <w:rPr>
          <w:rFonts w:ascii="Arial" w:hAnsi="Arial" w:cs="Arial"/>
          <w:sz w:val="20"/>
          <w:szCs w:val="20"/>
        </w:rPr>
        <w:t>cylinder</w:t>
      </w:r>
      <w:r w:rsidRPr="005827DA">
        <w:rPr>
          <w:rFonts w:ascii="Arial" w:hAnsi="Arial" w:cs="Arial"/>
          <w:spacing w:val="-2"/>
          <w:sz w:val="20"/>
          <w:szCs w:val="20"/>
        </w:rPr>
        <w:t xml:space="preserve"> </w:t>
      </w:r>
      <w:r w:rsidRPr="005827DA">
        <w:rPr>
          <w:rFonts w:ascii="Arial" w:hAnsi="Arial" w:cs="Arial"/>
          <w:sz w:val="20"/>
          <w:szCs w:val="20"/>
        </w:rPr>
        <w:t>manifolds</w:t>
      </w:r>
      <w:r w:rsidRPr="005827DA">
        <w:rPr>
          <w:rFonts w:ascii="Arial" w:hAnsi="Arial" w:cs="Arial"/>
          <w:spacing w:val="-1"/>
          <w:sz w:val="20"/>
          <w:szCs w:val="20"/>
        </w:rPr>
        <w:t xml:space="preserve"> </w:t>
      </w:r>
      <w:r w:rsidRPr="005827DA">
        <w:rPr>
          <w:rFonts w:ascii="Arial" w:hAnsi="Arial" w:cs="Arial"/>
          <w:sz w:val="20"/>
          <w:szCs w:val="20"/>
        </w:rPr>
        <w:t>(if applicable).</w:t>
      </w:r>
    </w:p>
    <w:p w14:paraId="2D64CAE5" w14:textId="77777777" w:rsidR="00F20810" w:rsidRPr="005827DA" w:rsidRDefault="00F20810" w:rsidP="005827DA">
      <w:pPr>
        <w:pStyle w:val="ListParagraph"/>
        <w:numPr>
          <w:ilvl w:val="0"/>
          <w:numId w:val="252"/>
        </w:numPr>
        <w:tabs>
          <w:tab w:val="left" w:pos="90"/>
          <w:tab w:val="left" w:pos="2408"/>
          <w:tab w:val="left" w:pos="2409"/>
        </w:tabs>
        <w:spacing w:line="276" w:lineRule="auto"/>
        <w:ind w:right="68" w:hanging="436"/>
        <w:jc w:val="both"/>
        <w:rPr>
          <w:rFonts w:ascii="Arial" w:hAnsi="Arial" w:cs="Arial"/>
          <w:sz w:val="20"/>
          <w:szCs w:val="20"/>
        </w:rPr>
      </w:pPr>
      <w:r w:rsidRPr="005827DA">
        <w:rPr>
          <w:rFonts w:ascii="Arial" w:hAnsi="Arial" w:cs="Arial"/>
          <w:sz w:val="20"/>
          <w:szCs w:val="20"/>
        </w:rPr>
        <w:t>Air</w:t>
      </w:r>
      <w:r w:rsidRPr="005827DA">
        <w:rPr>
          <w:rFonts w:ascii="Arial" w:hAnsi="Arial" w:cs="Arial"/>
          <w:spacing w:val="-1"/>
          <w:sz w:val="20"/>
          <w:szCs w:val="20"/>
        </w:rPr>
        <w:t xml:space="preserve"> </w:t>
      </w:r>
      <w:r w:rsidRPr="005827DA">
        <w:rPr>
          <w:rFonts w:ascii="Arial" w:hAnsi="Arial" w:cs="Arial"/>
          <w:sz w:val="20"/>
          <w:szCs w:val="20"/>
        </w:rPr>
        <w:t>exercise</w:t>
      </w:r>
    </w:p>
    <w:p w14:paraId="0EC88DC8" w14:textId="77777777" w:rsidR="00F20810" w:rsidRPr="005827DA" w:rsidRDefault="00F20810" w:rsidP="005827DA">
      <w:pPr>
        <w:pStyle w:val="BodyText"/>
        <w:tabs>
          <w:tab w:val="left" w:pos="90"/>
        </w:tabs>
        <w:spacing w:line="276" w:lineRule="auto"/>
        <w:ind w:left="2408"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student</w:t>
      </w:r>
      <w:r w:rsidRPr="005827DA">
        <w:rPr>
          <w:rFonts w:ascii="Arial" w:hAnsi="Arial" w:cs="Arial"/>
          <w:spacing w:val="-3"/>
          <w:sz w:val="20"/>
          <w:szCs w:val="20"/>
        </w:rPr>
        <w:t xml:space="preserve"> </w:t>
      </w:r>
      <w:r w:rsidRPr="005827DA">
        <w:rPr>
          <w:rFonts w:ascii="Arial" w:hAnsi="Arial" w:cs="Arial"/>
          <w:sz w:val="20"/>
          <w:szCs w:val="20"/>
        </w:rPr>
        <w:t>instructor</w:t>
      </w:r>
      <w:r w:rsidRPr="005827DA">
        <w:rPr>
          <w:rFonts w:ascii="Arial" w:hAnsi="Arial" w:cs="Arial"/>
          <w:spacing w:val="-2"/>
          <w:sz w:val="20"/>
          <w:szCs w:val="20"/>
        </w:rPr>
        <w:t xml:space="preserve"> </w:t>
      </w:r>
      <w:r w:rsidRPr="005827DA">
        <w:rPr>
          <w:rFonts w:ascii="Arial" w:hAnsi="Arial" w:cs="Arial"/>
          <w:sz w:val="20"/>
          <w:szCs w:val="20"/>
        </w:rPr>
        <w:t>has</w:t>
      </w:r>
      <w:r w:rsidRPr="005827DA">
        <w:rPr>
          <w:rFonts w:ascii="Arial" w:hAnsi="Arial" w:cs="Arial"/>
          <w:spacing w:val="-6"/>
          <w:sz w:val="20"/>
          <w:szCs w:val="20"/>
        </w:rPr>
        <w:t xml:space="preserve"> </w:t>
      </w:r>
      <w:r w:rsidRPr="005827DA">
        <w:rPr>
          <w:rFonts w:ascii="Arial" w:hAnsi="Arial" w:cs="Arial"/>
          <w:sz w:val="20"/>
          <w:szCs w:val="20"/>
        </w:rPr>
        <w:t>to demonstrate:</w:t>
      </w:r>
    </w:p>
    <w:p w14:paraId="3EF3FC49" w14:textId="77777777" w:rsidR="00F20810" w:rsidRPr="005827DA" w:rsidRDefault="00F20810" w:rsidP="005827DA">
      <w:pPr>
        <w:pStyle w:val="ListParagraph"/>
        <w:numPr>
          <w:ilvl w:val="1"/>
          <w:numId w:val="252"/>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pilot</w:t>
      </w:r>
      <w:r w:rsidRPr="005827DA">
        <w:rPr>
          <w:rFonts w:ascii="Arial" w:hAnsi="Arial" w:cs="Arial"/>
          <w:spacing w:val="-3"/>
          <w:sz w:val="20"/>
          <w:szCs w:val="20"/>
        </w:rPr>
        <w:t xml:space="preserve"> </w:t>
      </w:r>
      <w:r w:rsidRPr="005827DA">
        <w:rPr>
          <w:rFonts w:ascii="Arial" w:hAnsi="Arial" w:cs="Arial"/>
          <w:sz w:val="20"/>
          <w:szCs w:val="20"/>
        </w:rPr>
        <w:t>light</w:t>
      </w:r>
      <w:r w:rsidRPr="005827DA">
        <w:rPr>
          <w:rFonts w:ascii="Arial" w:hAnsi="Arial" w:cs="Arial"/>
          <w:spacing w:val="-1"/>
          <w:sz w:val="20"/>
          <w:szCs w:val="20"/>
        </w:rPr>
        <w:t xml:space="preserve"> </w:t>
      </w:r>
      <w:r w:rsidRPr="005827DA">
        <w:rPr>
          <w:rFonts w:ascii="Arial" w:hAnsi="Arial" w:cs="Arial"/>
          <w:sz w:val="20"/>
          <w:szCs w:val="20"/>
        </w:rPr>
        <w:t>supply</w:t>
      </w:r>
      <w:r w:rsidRPr="005827DA">
        <w:rPr>
          <w:rFonts w:ascii="Arial" w:hAnsi="Arial" w:cs="Arial"/>
          <w:spacing w:val="-3"/>
          <w:sz w:val="20"/>
          <w:szCs w:val="20"/>
        </w:rPr>
        <w:t xml:space="preserve"> </w:t>
      </w:r>
      <w:r w:rsidRPr="005827DA">
        <w:rPr>
          <w:rFonts w:ascii="Arial" w:hAnsi="Arial" w:cs="Arial"/>
          <w:sz w:val="20"/>
          <w:szCs w:val="20"/>
        </w:rPr>
        <w:t>(vapour</w:t>
      </w:r>
      <w:r w:rsidRPr="005827DA">
        <w:rPr>
          <w:rFonts w:ascii="Arial" w:hAnsi="Arial" w:cs="Arial"/>
          <w:spacing w:val="-2"/>
          <w:sz w:val="20"/>
          <w:szCs w:val="20"/>
        </w:rPr>
        <w:t xml:space="preserve"> </w:t>
      </w:r>
      <w:r w:rsidRPr="005827DA">
        <w:rPr>
          <w:rFonts w:ascii="Arial" w:hAnsi="Arial" w:cs="Arial"/>
          <w:sz w:val="20"/>
          <w:szCs w:val="20"/>
        </w:rPr>
        <w:t>or</w:t>
      </w:r>
      <w:r w:rsidRPr="005827DA">
        <w:rPr>
          <w:rFonts w:ascii="Arial" w:hAnsi="Arial" w:cs="Arial"/>
          <w:spacing w:val="-1"/>
          <w:sz w:val="20"/>
          <w:szCs w:val="20"/>
        </w:rPr>
        <w:t xml:space="preserve"> </w:t>
      </w:r>
      <w:r w:rsidRPr="005827DA">
        <w:rPr>
          <w:rFonts w:ascii="Arial" w:hAnsi="Arial" w:cs="Arial"/>
          <w:sz w:val="20"/>
          <w:szCs w:val="20"/>
        </w:rPr>
        <w:t>liquid);</w:t>
      </w:r>
    </w:p>
    <w:p w14:paraId="31225310" w14:textId="77777777" w:rsidR="00F20810" w:rsidRPr="005827DA" w:rsidRDefault="00F20810" w:rsidP="005827DA">
      <w:pPr>
        <w:pStyle w:val="ListParagraph"/>
        <w:numPr>
          <w:ilvl w:val="1"/>
          <w:numId w:val="252"/>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use</w:t>
      </w:r>
      <w:r w:rsidRPr="005827DA">
        <w:rPr>
          <w:rFonts w:ascii="Arial" w:hAnsi="Arial" w:cs="Arial"/>
          <w:spacing w:val="-2"/>
          <w:sz w:val="20"/>
          <w:szCs w:val="20"/>
        </w:rPr>
        <w:t xml:space="preserve"> </w:t>
      </w:r>
      <w:r w:rsidRPr="005827DA">
        <w:rPr>
          <w:rFonts w:ascii="Arial" w:hAnsi="Arial" w:cs="Arial"/>
          <w:sz w:val="20"/>
          <w:szCs w:val="20"/>
        </w:rPr>
        <w:t>of</w:t>
      </w:r>
      <w:r w:rsidRPr="005827DA">
        <w:rPr>
          <w:rFonts w:ascii="Arial" w:hAnsi="Arial" w:cs="Arial"/>
          <w:spacing w:val="-2"/>
          <w:sz w:val="20"/>
          <w:szCs w:val="20"/>
        </w:rPr>
        <w:t xml:space="preserve"> </w:t>
      </w:r>
      <w:r w:rsidRPr="005827DA">
        <w:rPr>
          <w:rFonts w:ascii="Arial" w:hAnsi="Arial" w:cs="Arial"/>
          <w:sz w:val="20"/>
          <w:szCs w:val="20"/>
        </w:rPr>
        <w:t>master</w:t>
      </w:r>
      <w:r w:rsidRPr="005827DA">
        <w:rPr>
          <w:rFonts w:ascii="Arial" w:hAnsi="Arial" w:cs="Arial"/>
          <w:spacing w:val="-2"/>
          <w:sz w:val="20"/>
          <w:szCs w:val="20"/>
        </w:rPr>
        <w:t xml:space="preserve"> </w:t>
      </w:r>
      <w:r w:rsidRPr="005827DA">
        <w:rPr>
          <w:rFonts w:ascii="Arial" w:hAnsi="Arial" w:cs="Arial"/>
          <w:sz w:val="20"/>
          <w:szCs w:val="20"/>
        </w:rPr>
        <w:t>cylinders</w:t>
      </w:r>
      <w:r w:rsidRPr="005827DA">
        <w:rPr>
          <w:rFonts w:ascii="Arial" w:hAnsi="Arial" w:cs="Arial"/>
          <w:spacing w:val="-2"/>
          <w:sz w:val="20"/>
          <w:szCs w:val="20"/>
        </w:rPr>
        <w:t xml:space="preserve"> </w:t>
      </w:r>
      <w:r w:rsidRPr="005827DA">
        <w:rPr>
          <w:rFonts w:ascii="Arial" w:hAnsi="Arial" w:cs="Arial"/>
          <w:sz w:val="20"/>
          <w:szCs w:val="20"/>
        </w:rPr>
        <w:t>(if applicable);</w:t>
      </w:r>
    </w:p>
    <w:p w14:paraId="0CD95ECA" w14:textId="77777777" w:rsidR="00F20810" w:rsidRPr="005827DA" w:rsidRDefault="00F20810" w:rsidP="005827DA">
      <w:pPr>
        <w:pStyle w:val="ListParagraph"/>
        <w:numPr>
          <w:ilvl w:val="1"/>
          <w:numId w:val="252"/>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7"/>
          <w:sz w:val="20"/>
          <w:szCs w:val="20"/>
        </w:rPr>
        <w:t xml:space="preserve"> </w:t>
      </w:r>
      <w:r w:rsidRPr="005827DA">
        <w:rPr>
          <w:rFonts w:ascii="Arial" w:hAnsi="Arial" w:cs="Arial"/>
          <w:sz w:val="20"/>
          <w:szCs w:val="20"/>
        </w:rPr>
        <w:t>to</w:t>
      </w:r>
      <w:r w:rsidRPr="005827DA">
        <w:rPr>
          <w:rFonts w:ascii="Arial" w:hAnsi="Arial" w:cs="Arial"/>
          <w:spacing w:val="-9"/>
          <w:sz w:val="20"/>
          <w:szCs w:val="20"/>
        </w:rPr>
        <w:t xml:space="preserve"> </w:t>
      </w:r>
      <w:r w:rsidRPr="005827DA">
        <w:rPr>
          <w:rFonts w:ascii="Arial" w:hAnsi="Arial" w:cs="Arial"/>
          <w:sz w:val="20"/>
          <w:szCs w:val="20"/>
        </w:rPr>
        <w:t>monitor</w:t>
      </w:r>
      <w:r w:rsidRPr="005827DA">
        <w:rPr>
          <w:rFonts w:ascii="Arial" w:hAnsi="Arial" w:cs="Arial"/>
          <w:spacing w:val="-11"/>
          <w:sz w:val="20"/>
          <w:szCs w:val="20"/>
        </w:rPr>
        <w:t xml:space="preserve"> </w:t>
      </w:r>
      <w:r w:rsidRPr="005827DA">
        <w:rPr>
          <w:rFonts w:ascii="Arial" w:hAnsi="Arial" w:cs="Arial"/>
          <w:sz w:val="20"/>
          <w:szCs w:val="20"/>
        </w:rPr>
        <w:t>the</w:t>
      </w:r>
      <w:r w:rsidRPr="005827DA">
        <w:rPr>
          <w:rFonts w:ascii="Arial" w:hAnsi="Arial" w:cs="Arial"/>
          <w:spacing w:val="-8"/>
          <w:sz w:val="20"/>
          <w:szCs w:val="20"/>
        </w:rPr>
        <w:t xml:space="preserve"> </w:t>
      </w:r>
      <w:r w:rsidRPr="005827DA">
        <w:rPr>
          <w:rFonts w:ascii="Arial" w:hAnsi="Arial" w:cs="Arial"/>
          <w:sz w:val="20"/>
          <w:szCs w:val="20"/>
        </w:rPr>
        <w:t>fuel</w:t>
      </w:r>
      <w:r w:rsidRPr="005827DA">
        <w:rPr>
          <w:rFonts w:ascii="Arial" w:hAnsi="Arial" w:cs="Arial"/>
          <w:spacing w:val="-8"/>
          <w:sz w:val="20"/>
          <w:szCs w:val="20"/>
        </w:rPr>
        <w:t xml:space="preserve"> </w:t>
      </w:r>
      <w:r w:rsidRPr="005827DA">
        <w:rPr>
          <w:rFonts w:ascii="Arial" w:hAnsi="Arial" w:cs="Arial"/>
          <w:sz w:val="20"/>
          <w:szCs w:val="20"/>
        </w:rPr>
        <w:t>requirement</w:t>
      </w:r>
      <w:r w:rsidRPr="005827DA">
        <w:rPr>
          <w:rFonts w:ascii="Arial" w:hAnsi="Arial" w:cs="Arial"/>
          <w:spacing w:val="-10"/>
          <w:sz w:val="20"/>
          <w:szCs w:val="20"/>
        </w:rPr>
        <w:t xml:space="preserve"> </w:t>
      </w:r>
      <w:r w:rsidRPr="005827DA">
        <w:rPr>
          <w:rFonts w:ascii="Arial" w:hAnsi="Arial" w:cs="Arial"/>
          <w:sz w:val="20"/>
          <w:szCs w:val="20"/>
        </w:rPr>
        <w:t>and</w:t>
      </w:r>
      <w:r w:rsidRPr="005827DA">
        <w:rPr>
          <w:rFonts w:ascii="Arial" w:hAnsi="Arial" w:cs="Arial"/>
          <w:spacing w:val="-9"/>
          <w:sz w:val="20"/>
          <w:szCs w:val="20"/>
        </w:rPr>
        <w:t xml:space="preserve"> </w:t>
      </w:r>
      <w:r w:rsidRPr="005827DA">
        <w:rPr>
          <w:rFonts w:ascii="Arial" w:hAnsi="Arial" w:cs="Arial"/>
          <w:sz w:val="20"/>
          <w:szCs w:val="20"/>
        </w:rPr>
        <w:t>expected</w:t>
      </w:r>
      <w:r w:rsidRPr="005827DA">
        <w:rPr>
          <w:rFonts w:ascii="Arial" w:hAnsi="Arial" w:cs="Arial"/>
          <w:spacing w:val="-9"/>
          <w:sz w:val="20"/>
          <w:szCs w:val="20"/>
        </w:rPr>
        <w:t xml:space="preserve"> </w:t>
      </w:r>
      <w:r w:rsidRPr="005827DA">
        <w:rPr>
          <w:rFonts w:ascii="Arial" w:hAnsi="Arial" w:cs="Arial"/>
          <w:sz w:val="20"/>
          <w:szCs w:val="20"/>
        </w:rPr>
        <w:t>fuel</w:t>
      </w:r>
      <w:r w:rsidRPr="005827DA">
        <w:rPr>
          <w:rFonts w:ascii="Arial" w:hAnsi="Arial" w:cs="Arial"/>
          <w:spacing w:val="-8"/>
          <w:sz w:val="20"/>
          <w:szCs w:val="20"/>
        </w:rPr>
        <w:t xml:space="preserve"> </w:t>
      </w:r>
      <w:r w:rsidRPr="005827DA">
        <w:rPr>
          <w:rFonts w:ascii="Arial" w:hAnsi="Arial" w:cs="Arial"/>
          <w:sz w:val="20"/>
          <w:szCs w:val="20"/>
        </w:rPr>
        <w:t>consumption;</w:t>
      </w:r>
    </w:p>
    <w:p w14:paraId="0A1613EC" w14:textId="77777777" w:rsidR="00F20810" w:rsidRPr="005827DA" w:rsidRDefault="00F20810" w:rsidP="005827DA">
      <w:pPr>
        <w:pStyle w:val="ListParagraph"/>
        <w:numPr>
          <w:ilvl w:val="1"/>
          <w:numId w:val="252"/>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4"/>
          <w:sz w:val="20"/>
          <w:szCs w:val="20"/>
        </w:rPr>
        <w:t xml:space="preserve"> </w:t>
      </w:r>
      <w:r w:rsidRPr="005827DA">
        <w:rPr>
          <w:rFonts w:ascii="Arial" w:hAnsi="Arial" w:cs="Arial"/>
          <w:sz w:val="20"/>
          <w:szCs w:val="20"/>
        </w:rPr>
        <w:t>monitoring</w:t>
      </w:r>
      <w:r w:rsidRPr="005827DA">
        <w:rPr>
          <w:rFonts w:ascii="Arial" w:hAnsi="Arial" w:cs="Arial"/>
          <w:spacing w:val="-4"/>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fuel</w:t>
      </w:r>
      <w:r w:rsidRPr="005827DA">
        <w:rPr>
          <w:rFonts w:ascii="Arial" w:hAnsi="Arial" w:cs="Arial"/>
          <w:spacing w:val="-4"/>
          <w:sz w:val="20"/>
          <w:szCs w:val="20"/>
        </w:rPr>
        <w:t xml:space="preserve"> </w:t>
      </w:r>
      <w:r w:rsidRPr="005827DA">
        <w:rPr>
          <w:rFonts w:ascii="Arial" w:hAnsi="Arial" w:cs="Arial"/>
          <w:sz w:val="20"/>
          <w:szCs w:val="20"/>
        </w:rPr>
        <w:t>state and</w:t>
      </w:r>
      <w:r w:rsidRPr="005827DA">
        <w:rPr>
          <w:rFonts w:ascii="Arial" w:hAnsi="Arial" w:cs="Arial"/>
          <w:spacing w:val="-2"/>
          <w:sz w:val="20"/>
          <w:szCs w:val="20"/>
        </w:rPr>
        <w:t xml:space="preserve"> </w:t>
      </w:r>
      <w:r w:rsidRPr="005827DA">
        <w:rPr>
          <w:rFonts w:ascii="Arial" w:hAnsi="Arial" w:cs="Arial"/>
          <w:sz w:val="20"/>
          <w:szCs w:val="20"/>
        </w:rPr>
        <w:t>pressure;</w:t>
      </w:r>
    </w:p>
    <w:p w14:paraId="0C07027B" w14:textId="77777777" w:rsidR="00F20810" w:rsidRPr="005827DA" w:rsidRDefault="00F20810" w:rsidP="005827DA">
      <w:pPr>
        <w:pStyle w:val="ListParagraph"/>
        <w:numPr>
          <w:ilvl w:val="1"/>
          <w:numId w:val="252"/>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3"/>
          <w:sz w:val="20"/>
          <w:szCs w:val="20"/>
        </w:rPr>
        <w:t xml:space="preserve"> </w:t>
      </w:r>
      <w:r w:rsidRPr="005827DA">
        <w:rPr>
          <w:rFonts w:ascii="Arial" w:hAnsi="Arial" w:cs="Arial"/>
          <w:sz w:val="20"/>
          <w:szCs w:val="20"/>
        </w:rPr>
        <w:t>monitoring</w:t>
      </w:r>
      <w:r w:rsidRPr="005827DA">
        <w:rPr>
          <w:rFonts w:ascii="Arial" w:hAnsi="Arial" w:cs="Arial"/>
          <w:spacing w:val="-4"/>
          <w:sz w:val="20"/>
          <w:szCs w:val="20"/>
        </w:rPr>
        <w:t xml:space="preserve"> </w:t>
      </w:r>
      <w:r w:rsidRPr="005827DA">
        <w:rPr>
          <w:rFonts w:ascii="Arial" w:hAnsi="Arial" w:cs="Arial"/>
          <w:sz w:val="20"/>
          <w:szCs w:val="20"/>
        </w:rPr>
        <w:t>of fuel</w:t>
      </w:r>
      <w:r w:rsidRPr="005827DA">
        <w:rPr>
          <w:rFonts w:ascii="Arial" w:hAnsi="Arial" w:cs="Arial"/>
          <w:spacing w:val="-1"/>
          <w:sz w:val="20"/>
          <w:szCs w:val="20"/>
        </w:rPr>
        <w:t xml:space="preserve"> </w:t>
      </w:r>
      <w:r w:rsidRPr="005827DA">
        <w:rPr>
          <w:rFonts w:ascii="Arial" w:hAnsi="Arial" w:cs="Arial"/>
          <w:sz w:val="20"/>
          <w:szCs w:val="20"/>
        </w:rPr>
        <w:t>reserves;</w:t>
      </w:r>
    </w:p>
    <w:p w14:paraId="03F6CF93" w14:textId="77777777" w:rsidR="00F20810" w:rsidRPr="005827DA" w:rsidRDefault="00F20810" w:rsidP="005827DA">
      <w:pPr>
        <w:pStyle w:val="ListParagraph"/>
        <w:numPr>
          <w:ilvl w:val="1"/>
          <w:numId w:val="252"/>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use</w:t>
      </w:r>
      <w:r w:rsidRPr="005827DA">
        <w:rPr>
          <w:rFonts w:ascii="Arial" w:hAnsi="Arial" w:cs="Arial"/>
          <w:spacing w:val="-3"/>
          <w:sz w:val="20"/>
          <w:szCs w:val="20"/>
        </w:rPr>
        <w:t xml:space="preserve"> </w:t>
      </w:r>
      <w:r w:rsidRPr="005827DA">
        <w:rPr>
          <w:rFonts w:ascii="Arial" w:hAnsi="Arial" w:cs="Arial"/>
          <w:sz w:val="20"/>
          <w:szCs w:val="20"/>
        </w:rPr>
        <w:t>of</w:t>
      </w:r>
      <w:r w:rsidRPr="005827DA">
        <w:rPr>
          <w:rFonts w:ascii="Arial" w:hAnsi="Arial" w:cs="Arial"/>
          <w:spacing w:val="-2"/>
          <w:sz w:val="20"/>
          <w:szCs w:val="20"/>
        </w:rPr>
        <w:t xml:space="preserve"> </w:t>
      </w:r>
      <w:r w:rsidRPr="005827DA">
        <w:rPr>
          <w:rFonts w:ascii="Arial" w:hAnsi="Arial" w:cs="Arial"/>
          <w:sz w:val="20"/>
          <w:szCs w:val="20"/>
        </w:rPr>
        <w:t>cylinder</w:t>
      </w:r>
      <w:r w:rsidRPr="005827DA">
        <w:rPr>
          <w:rFonts w:ascii="Arial" w:hAnsi="Arial" w:cs="Arial"/>
          <w:spacing w:val="-3"/>
          <w:sz w:val="20"/>
          <w:szCs w:val="20"/>
        </w:rPr>
        <w:t xml:space="preserve"> </w:t>
      </w:r>
      <w:r w:rsidRPr="005827DA">
        <w:rPr>
          <w:rFonts w:ascii="Arial" w:hAnsi="Arial" w:cs="Arial"/>
          <w:sz w:val="20"/>
          <w:szCs w:val="20"/>
        </w:rPr>
        <w:t>contents gauge and</w:t>
      </w:r>
      <w:r w:rsidRPr="005827DA">
        <w:rPr>
          <w:rFonts w:ascii="Arial" w:hAnsi="Arial" w:cs="Arial"/>
          <w:spacing w:val="-2"/>
          <w:sz w:val="20"/>
          <w:szCs w:val="20"/>
        </w:rPr>
        <w:t xml:space="preserve"> </w:t>
      </w:r>
      <w:r w:rsidRPr="005827DA">
        <w:rPr>
          <w:rFonts w:ascii="Arial" w:hAnsi="Arial" w:cs="Arial"/>
          <w:sz w:val="20"/>
          <w:szCs w:val="20"/>
        </w:rPr>
        <w:t>change</w:t>
      </w:r>
      <w:r w:rsidRPr="005827DA">
        <w:rPr>
          <w:rFonts w:ascii="Arial" w:hAnsi="Arial" w:cs="Arial"/>
          <w:spacing w:val="1"/>
          <w:sz w:val="20"/>
          <w:szCs w:val="20"/>
        </w:rPr>
        <w:t xml:space="preserve"> </w:t>
      </w:r>
      <w:r w:rsidRPr="005827DA">
        <w:rPr>
          <w:rFonts w:ascii="Arial" w:hAnsi="Arial" w:cs="Arial"/>
          <w:sz w:val="20"/>
          <w:szCs w:val="20"/>
        </w:rPr>
        <w:t>procedure;</w:t>
      </w:r>
    </w:p>
    <w:p w14:paraId="2E85F84B" w14:textId="77777777" w:rsidR="00F20810" w:rsidRPr="005827DA" w:rsidRDefault="00F20810" w:rsidP="005827DA">
      <w:pPr>
        <w:pStyle w:val="ListParagraph"/>
        <w:numPr>
          <w:ilvl w:val="1"/>
          <w:numId w:val="252"/>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use</w:t>
      </w:r>
      <w:r w:rsidRPr="005827DA">
        <w:rPr>
          <w:rFonts w:ascii="Arial" w:hAnsi="Arial" w:cs="Arial"/>
          <w:spacing w:val="-3"/>
          <w:sz w:val="20"/>
          <w:szCs w:val="20"/>
        </w:rPr>
        <w:t xml:space="preserve"> </w:t>
      </w:r>
      <w:r w:rsidRPr="005827DA">
        <w:rPr>
          <w:rFonts w:ascii="Arial" w:hAnsi="Arial" w:cs="Arial"/>
          <w:sz w:val="20"/>
          <w:szCs w:val="20"/>
        </w:rPr>
        <w:t>of</w:t>
      </w:r>
      <w:r w:rsidRPr="005827DA">
        <w:rPr>
          <w:rFonts w:ascii="Arial" w:hAnsi="Arial" w:cs="Arial"/>
          <w:spacing w:val="-2"/>
          <w:sz w:val="20"/>
          <w:szCs w:val="20"/>
        </w:rPr>
        <w:t xml:space="preserve"> </w:t>
      </w:r>
      <w:r w:rsidRPr="005827DA">
        <w:rPr>
          <w:rFonts w:ascii="Arial" w:hAnsi="Arial" w:cs="Arial"/>
          <w:sz w:val="20"/>
          <w:szCs w:val="20"/>
        </w:rPr>
        <w:t>cylinder</w:t>
      </w:r>
      <w:r w:rsidRPr="005827DA">
        <w:rPr>
          <w:rFonts w:ascii="Arial" w:hAnsi="Arial" w:cs="Arial"/>
          <w:spacing w:val="-3"/>
          <w:sz w:val="20"/>
          <w:szCs w:val="20"/>
        </w:rPr>
        <w:t xml:space="preserve"> </w:t>
      </w:r>
      <w:r w:rsidRPr="005827DA">
        <w:rPr>
          <w:rFonts w:ascii="Arial" w:hAnsi="Arial" w:cs="Arial"/>
          <w:sz w:val="20"/>
          <w:szCs w:val="20"/>
        </w:rPr>
        <w:t>manifolds (if</w:t>
      </w:r>
      <w:r w:rsidRPr="005827DA">
        <w:rPr>
          <w:rFonts w:ascii="Arial" w:hAnsi="Arial" w:cs="Arial"/>
          <w:spacing w:val="-1"/>
          <w:sz w:val="20"/>
          <w:szCs w:val="20"/>
        </w:rPr>
        <w:t xml:space="preserve"> </w:t>
      </w:r>
      <w:r w:rsidRPr="005827DA">
        <w:rPr>
          <w:rFonts w:ascii="Arial" w:hAnsi="Arial" w:cs="Arial"/>
          <w:sz w:val="20"/>
          <w:szCs w:val="20"/>
        </w:rPr>
        <w:t>applicable);</w:t>
      </w:r>
    </w:p>
    <w:p w14:paraId="6493306F" w14:textId="77777777" w:rsidR="00F20810" w:rsidRPr="005827DA" w:rsidRDefault="00F20810" w:rsidP="005827DA">
      <w:pPr>
        <w:pStyle w:val="ListParagraph"/>
        <w:numPr>
          <w:ilvl w:val="1"/>
          <w:numId w:val="252"/>
        </w:numPr>
        <w:tabs>
          <w:tab w:val="left" w:pos="90"/>
          <w:tab w:val="left" w:pos="2975"/>
          <w:tab w:val="left" w:pos="2976"/>
        </w:tabs>
        <w:spacing w:before="118"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6"/>
          <w:sz w:val="20"/>
          <w:szCs w:val="20"/>
        </w:rPr>
        <w:t xml:space="preserve"> </w:t>
      </w:r>
      <w:r w:rsidRPr="005827DA">
        <w:rPr>
          <w:rFonts w:ascii="Arial" w:hAnsi="Arial" w:cs="Arial"/>
          <w:sz w:val="20"/>
          <w:szCs w:val="20"/>
        </w:rPr>
        <w:t>to</w:t>
      </w:r>
      <w:r w:rsidRPr="005827DA">
        <w:rPr>
          <w:rFonts w:ascii="Arial" w:hAnsi="Arial" w:cs="Arial"/>
          <w:spacing w:val="-4"/>
          <w:sz w:val="20"/>
          <w:szCs w:val="20"/>
        </w:rPr>
        <w:t xml:space="preserve"> </w:t>
      </w:r>
      <w:r w:rsidRPr="005827DA">
        <w:rPr>
          <w:rFonts w:ascii="Arial" w:hAnsi="Arial" w:cs="Arial"/>
          <w:sz w:val="20"/>
          <w:szCs w:val="20"/>
        </w:rPr>
        <w:t>advise</w:t>
      </w:r>
      <w:r w:rsidRPr="005827DA">
        <w:rPr>
          <w:rFonts w:ascii="Arial" w:hAnsi="Arial" w:cs="Arial"/>
          <w:spacing w:val="-8"/>
          <w:sz w:val="20"/>
          <w:szCs w:val="20"/>
        </w:rPr>
        <w:t xml:space="preserve"> </w:t>
      </w:r>
      <w:r w:rsidRPr="005827DA">
        <w:rPr>
          <w:rFonts w:ascii="Arial" w:hAnsi="Arial" w:cs="Arial"/>
          <w:sz w:val="20"/>
          <w:szCs w:val="20"/>
        </w:rPr>
        <w:t>the</w:t>
      </w:r>
      <w:r w:rsidRPr="005827DA">
        <w:rPr>
          <w:rFonts w:ascii="Arial" w:hAnsi="Arial" w:cs="Arial"/>
          <w:spacing w:val="-6"/>
          <w:sz w:val="20"/>
          <w:szCs w:val="20"/>
        </w:rPr>
        <w:t xml:space="preserve"> </w:t>
      </w:r>
      <w:r w:rsidRPr="005827DA">
        <w:rPr>
          <w:rFonts w:ascii="Arial" w:hAnsi="Arial" w:cs="Arial"/>
          <w:sz w:val="20"/>
          <w:szCs w:val="20"/>
        </w:rPr>
        <w:t>student</w:t>
      </w:r>
      <w:r w:rsidRPr="005827DA">
        <w:rPr>
          <w:rFonts w:ascii="Arial" w:hAnsi="Arial" w:cs="Arial"/>
          <w:spacing w:val="-7"/>
          <w:sz w:val="20"/>
          <w:szCs w:val="20"/>
        </w:rPr>
        <w:t xml:space="preserve"> </w:t>
      </w:r>
      <w:r w:rsidRPr="005827DA">
        <w:rPr>
          <w:rFonts w:ascii="Arial" w:hAnsi="Arial" w:cs="Arial"/>
          <w:sz w:val="20"/>
          <w:szCs w:val="20"/>
        </w:rPr>
        <w:t>pilot</w:t>
      </w:r>
      <w:r w:rsidRPr="005827DA">
        <w:rPr>
          <w:rFonts w:ascii="Arial" w:hAnsi="Arial" w:cs="Arial"/>
          <w:spacing w:val="-5"/>
          <w:sz w:val="20"/>
          <w:szCs w:val="20"/>
        </w:rPr>
        <w:t xml:space="preserve"> </w:t>
      </w:r>
      <w:r w:rsidRPr="005827DA">
        <w:rPr>
          <w:rFonts w:ascii="Arial" w:hAnsi="Arial" w:cs="Arial"/>
          <w:sz w:val="20"/>
          <w:szCs w:val="20"/>
        </w:rPr>
        <w:t>to</w:t>
      </w:r>
      <w:r w:rsidRPr="005827DA">
        <w:rPr>
          <w:rFonts w:ascii="Arial" w:hAnsi="Arial" w:cs="Arial"/>
          <w:spacing w:val="-4"/>
          <w:sz w:val="20"/>
          <w:szCs w:val="20"/>
        </w:rPr>
        <w:t xml:space="preserve"> </w:t>
      </w:r>
      <w:r w:rsidRPr="005827DA">
        <w:rPr>
          <w:rFonts w:ascii="Arial" w:hAnsi="Arial" w:cs="Arial"/>
          <w:sz w:val="20"/>
          <w:szCs w:val="20"/>
        </w:rPr>
        <w:t>perform</w:t>
      </w:r>
      <w:r w:rsidRPr="005827DA">
        <w:rPr>
          <w:rFonts w:ascii="Arial" w:hAnsi="Arial" w:cs="Arial"/>
          <w:spacing w:val="-5"/>
          <w:sz w:val="20"/>
          <w:szCs w:val="20"/>
        </w:rPr>
        <w:t xml:space="preserve"> </w:t>
      </w:r>
      <w:r w:rsidRPr="005827DA">
        <w:rPr>
          <w:rFonts w:ascii="Arial" w:hAnsi="Arial" w:cs="Arial"/>
          <w:sz w:val="20"/>
          <w:szCs w:val="20"/>
        </w:rPr>
        <w:t>the</w:t>
      </w:r>
      <w:r w:rsidRPr="005827DA">
        <w:rPr>
          <w:rFonts w:ascii="Arial" w:hAnsi="Arial" w:cs="Arial"/>
          <w:spacing w:val="-6"/>
          <w:sz w:val="20"/>
          <w:szCs w:val="20"/>
        </w:rPr>
        <w:t xml:space="preserve"> </w:t>
      </w:r>
      <w:r w:rsidRPr="005827DA">
        <w:rPr>
          <w:rFonts w:ascii="Arial" w:hAnsi="Arial" w:cs="Arial"/>
          <w:sz w:val="20"/>
          <w:szCs w:val="20"/>
        </w:rPr>
        <w:t>fuel</w:t>
      </w:r>
      <w:r w:rsidRPr="005827DA">
        <w:rPr>
          <w:rFonts w:ascii="Arial" w:hAnsi="Arial" w:cs="Arial"/>
          <w:spacing w:val="-8"/>
          <w:sz w:val="20"/>
          <w:szCs w:val="20"/>
        </w:rPr>
        <w:t xml:space="preserve"> </w:t>
      </w:r>
      <w:r w:rsidRPr="005827DA">
        <w:rPr>
          <w:rFonts w:ascii="Arial" w:hAnsi="Arial" w:cs="Arial"/>
          <w:sz w:val="20"/>
          <w:szCs w:val="20"/>
        </w:rPr>
        <w:t>management;</w:t>
      </w:r>
      <w:r w:rsidRPr="005827DA">
        <w:rPr>
          <w:rFonts w:ascii="Arial" w:hAnsi="Arial" w:cs="Arial"/>
          <w:spacing w:val="-4"/>
          <w:sz w:val="20"/>
          <w:szCs w:val="20"/>
        </w:rPr>
        <w:t xml:space="preserve"> </w:t>
      </w:r>
      <w:r w:rsidRPr="005827DA">
        <w:rPr>
          <w:rFonts w:ascii="Arial" w:hAnsi="Arial" w:cs="Arial"/>
          <w:sz w:val="20"/>
          <w:szCs w:val="20"/>
        </w:rPr>
        <w:t>and</w:t>
      </w:r>
    </w:p>
    <w:p w14:paraId="7DB5EE55" w14:textId="77777777" w:rsidR="00F20810" w:rsidRPr="005827DA" w:rsidRDefault="00F20810" w:rsidP="005827DA">
      <w:pPr>
        <w:pStyle w:val="ListParagraph"/>
        <w:numPr>
          <w:ilvl w:val="1"/>
          <w:numId w:val="252"/>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2"/>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analyse</w:t>
      </w:r>
      <w:r w:rsidRPr="005827DA">
        <w:rPr>
          <w:rFonts w:ascii="Arial" w:hAnsi="Arial" w:cs="Arial"/>
          <w:spacing w:val="-2"/>
          <w:sz w:val="20"/>
          <w:szCs w:val="20"/>
        </w:rPr>
        <w:t xml:space="preserve"> </w:t>
      </w:r>
      <w:r w:rsidRPr="005827DA">
        <w:rPr>
          <w:rFonts w:ascii="Arial" w:hAnsi="Arial" w:cs="Arial"/>
          <w:sz w:val="20"/>
          <w:szCs w:val="20"/>
        </w:rPr>
        <w:t>and correct</w:t>
      </w:r>
      <w:r w:rsidRPr="005827DA">
        <w:rPr>
          <w:rFonts w:ascii="Arial" w:hAnsi="Arial" w:cs="Arial"/>
          <w:spacing w:val="-2"/>
          <w:sz w:val="20"/>
          <w:szCs w:val="20"/>
        </w:rPr>
        <w:t xml:space="preserve"> </w:t>
      </w:r>
      <w:r w:rsidRPr="005827DA">
        <w:rPr>
          <w:rFonts w:ascii="Arial" w:hAnsi="Arial" w:cs="Arial"/>
          <w:sz w:val="20"/>
          <w:szCs w:val="20"/>
        </w:rPr>
        <w:t>faults</w:t>
      </w:r>
      <w:r w:rsidRPr="005827DA">
        <w:rPr>
          <w:rFonts w:ascii="Arial" w:hAnsi="Arial" w:cs="Arial"/>
          <w:spacing w:val="-2"/>
          <w:sz w:val="20"/>
          <w:szCs w:val="20"/>
        </w:rPr>
        <w:t xml:space="preserve"> </w:t>
      </w:r>
      <w:r w:rsidRPr="005827DA">
        <w:rPr>
          <w:rFonts w:ascii="Arial" w:hAnsi="Arial" w:cs="Arial"/>
          <w:sz w:val="20"/>
          <w:szCs w:val="20"/>
        </w:rPr>
        <w:t>or errors</w:t>
      </w:r>
      <w:r w:rsidRPr="005827DA">
        <w:rPr>
          <w:rFonts w:ascii="Arial" w:hAnsi="Arial" w:cs="Arial"/>
          <w:spacing w:val="-1"/>
          <w:sz w:val="20"/>
          <w:szCs w:val="20"/>
        </w:rPr>
        <w:t xml:space="preserve"> </w:t>
      </w:r>
      <w:r w:rsidRPr="005827DA">
        <w:rPr>
          <w:rFonts w:ascii="Arial" w:hAnsi="Arial" w:cs="Arial"/>
          <w:sz w:val="20"/>
          <w:szCs w:val="20"/>
        </w:rPr>
        <w:t>of</w:t>
      </w:r>
      <w:r w:rsidRPr="005827DA">
        <w:rPr>
          <w:rFonts w:ascii="Arial" w:hAnsi="Arial" w:cs="Arial"/>
          <w:spacing w:val="-2"/>
          <w:sz w:val="20"/>
          <w:szCs w:val="20"/>
        </w:rPr>
        <w:t xml:space="preserve"> </w:t>
      </w:r>
      <w:r w:rsidRPr="005827DA">
        <w:rPr>
          <w:rFonts w:ascii="Arial" w:hAnsi="Arial" w:cs="Arial"/>
          <w:sz w:val="20"/>
          <w:szCs w:val="20"/>
        </w:rPr>
        <w:t>the student</w:t>
      </w:r>
      <w:r w:rsidRPr="005827DA">
        <w:rPr>
          <w:rFonts w:ascii="Arial" w:hAnsi="Arial" w:cs="Arial"/>
          <w:spacing w:val="1"/>
          <w:sz w:val="20"/>
          <w:szCs w:val="20"/>
        </w:rPr>
        <w:t xml:space="preserve"> </w:t>
      </w:r>
      <w:r w:rsidRPr="005827DA">
        <w:rPr>
          <w:rFonts w:ascii="Arial" w:hAnsi="Arial" w:cs="Arial"/>
          <w:sz w:val="20"/>
          <w:szCs w:val="20"/>
        </w:rPr>
        <w:t>pilot.</w:t>
      </w:r>
    </w:p>
    <w:p w14:paraId="4785352E" w14:textId="77777777" w:rsidR="00F20810" w:rsidRPr="005827DA" w:rsidRDefault="00F20810" w:rsidP="005827DA">
      <w:pPr>
        <w:pStyle w:val="ListParagraph"/>
        <w:numPr>
          <w:ilvl w:val="0"/>
          <w:numId w:val="252"/>
        </w:numPr>
        <w:tabs>
          <w:tab w:val="left" w:pos="90"/>
          <w:tab w:val="left" w:pos="2408"/>
          <w:tab w:val="left" w:pos="2409"/>
        </w:tabs>
        <w:spacing w:line="276" w:lineRule="auto"/>
        <w:ind w:right="68" w:hanging="436"/>
        <w:jc w:val="both"/>
        <w:rPr>
          <w:rFonts w:ascii="Arial" w:hAnsi="Arial" w:cs="Arial"/>
          <w:sz w:val="20"/>
          <w:szCs w:val="20"/>
        </w:rPr>
      </w:pPr>
      <w:r w:rsidRPr="005827DA">
        <w:rPr>
          <w:rFonts w:ascii="Arial" w:hAnsi="Arial" w:cs="Arial"/>
          <w:sz w:val="20"/>
          <w:szCs w:val="20"/>
        </w:rPr>
        <w:t>Debriefing</w:t>
      </w:r>
    </w:p>
    <w:p w14:paraId="5C55FAC1" w14:textId="77777777" w:rsidR="00F20810" w:rsidRPr="005827DA" w:rsidRDefault="00F20810" w:rsidP="005827DA">
      <w:pPr>
        <w:pStyle w:val="BodyText"/>
        <w:tabs>
          <w:tab w:val="left" w:pos="90"/>
        </w:tabs>
        <w:spacing w:before="11" w:line="276" w:lineRule="auto"/>
        <w:ind w:right="68" w:hanging="436"/>
        <w:jc w:val="both"/>
        <w:rPr>
          <w:rFonts w:ascii="Arial" w:hAnsi="Arial" w:cs="Arial"/>
          <w:sz w:val="20"/>
          <w:szCs w:val="20"/>
        </w:rPr>
      </w:pPr>
    </w:p>
    <w:p w14:paraId="69819E2B" w14:textId="77777777" w:rsidR="00F20810" w:rsidRPr="005827DA" w:rsidRDefault="00F20810" w:rsidP="005827DA">
      <w:pPr>
        <w:tabs>
          <w:tab w:val="left" w:pos="90"/>
        </w:tabs>
        <w:spacing w:line="276" w:lineRule="auto"/>
        <w:ind w:right="68" w:hanging="436"/>
        <w:jc w:val="both"/>
        <w:rPr>
          <w:rFonts w:ascii="Arial" w:eastAsia="Times New Roman" w:hAnsi="Arial" w:cs="Times New Roman"/>
          <w:b/>
          <w:bCs/>
          <w:sz w:val="20"/>
          <w:szCs w:val="20"/>
        </w:rPr>
      </w:pPr>
      <w:r w:rsidRPr="005827DA">
        <w:rPr>
          <w:rFonts w:ascii="Arial" w:eastAsia="Times New Roman" w:hAnsi="Arial" w:cs="Times New Roman"/>
          <w:b/>
          <w:bCs/>
          <w:sz w:val="20"/>
          <w:szCs w:val="20"/>
        </w:rPr>
        <w:t>Exercise 12b: Ballast management (gas balloons)</w:t>
      </w:r>
    </w:p>
    <w:p w14:paraId="2C9DD294" w14:textId="77777777" w:rsidR="00F20810" w:rsidRPr="005827DA" w:rsidRDefault="00F20810" w:rsidP="005827DA">
      <w:pPr>
        <w:pStyle w:val="ListParagraph"/>
        <w:numPr>
          <w:ilvl w:val="0"/>
          <w:numId w:val="253"/>
        </w:numPr>
        <w:tabs>
          <w:tab w:val="left" w:pos="90"/>
          <w:tab w:val="left" w:pos="2409"/>
        </w:tabs>
        <w:spacing w:line="276" w:lineRule="auto"/>
        <w:ind w:right="68" w:hanging="436"/>
        <w:jc w:val="both"/>
        <w:rPr>
          <w:rFonts w:ascii="Arial" w:hAnsi="Arial" w:cs="Arial"/>
          <w:sz w:val="20"/>
          <w:szCs w:val="20"/>
        </w:rPr>
      </w:pPr>
      <w:r w:rsidRPr="005827DA">
        <w:rPr>
          <w:rFonts w:ascii="Arial" w:hAnsi="Arial" w:cs="Arial"/>
          <w:sz w:val="20"/>
          <w:szCs w:val="20"/>
        </w:rPr>
        <w:t>Objective</w:t>
      </w:r>
    </w:p>
    <w:p w14:paraId="3DA45461" w14:textId="77777777" w:rsidR="00F20810" w:rsidRPr="005827DA" w:rsidRDefault="00F20810" w:rsidP="005827DA">
      <w:pPr>
        <w:pStyle w:val="BodyText"/>
        <w:tabs>
          <w:tab w:val="left" w:pos="90"/>
        </w:tabs>
        <w:spacing w:line="276" w:lineRule="auto"/>
        <w:ind w:left="2408" w:right="68" w:hanging="436"/>
        <w:jc w:val="both"/>
        <w:rPr>
          <w:rFonts w:ascii="Arial" w:hAnsi="Arial" w:cs="Arial"/>
          <w:sz w:val="20"/>
          <w:szCs w:val="20"/>
        </w:rPr>
      </w:pPr>
      <w:r w:rsidRPr="005827DA">
        <w:rPr>
          <w:rFonts w:ascii="Arial" w:hAnsi="Arial" w:cs="Arial"/>
          <w:sz w:val="20"/>
          <w:szCs w:val="20"/>
        </w:rPr>
        <w:t>To advise the student instructor on how to explain and demonstrate the</w:t>
      </w:r>
      <w:r w:rsidRPr="005827DA">
        <w:rPr>
          <w:rFonts w:ascii="Arial" w:hAnsi="Arial" w:cs="Arial"/>
          <w:spacing w:val="1"/>
          <w:sz w:val="20"/>
          <w:szCs w:val="20"/>
        </w:rPr>
        <w:t xml:space="preserve"> </w:t>
      </w:r>
      <w:r w:rsidRPr="005827DA">
        <w:rPr>
          <w:rFonts w:ascii="Arial" w:hAnsi="Arial" w:cs="Arial"/>
          <w:sz w:val="20"/>
          <w:szCs w:val="20"/>
        </w:rPr>
        <w:t xml:space="preserve">ballast </w:t>
      </w:r>
      <w:r w:rsidRPr="005827DA">
        <w:rPr>
          <w:rFonts w:ascii="Arial" w:hAnsi="Arial" w:cs="Arial"/>
          <w:sz w:val="20"/>
          <w:szCs w:val="20"/>
        </w:rPr>
        <w:lastRenderedPageBreak/>
        <w:t>management. Furthermore, the student instructor should learn how</w:t>
      </w:r>
      <w:r w:rsidRPr="005827DA">
        <w:rPr>
          <w:rFonts w:ascii="Arial" w:hAnsi="Arial" w:cs="Arial"/>
          <w:spacing w:val="-47"/>
          <w:sz w:val="20"/>
          <w:szCs w:val="20"/>
        </w:rPr>
        <w:t xml:space="preserve"> </w:t>
      </w:r>
      <w:r w:rsidRPr="005827DA">
        <w:rPr>
          <w:rFonts w:ascii="Arial" w:hAnsi="Arial" w:cs="Arial"/>
          <w:sz w:val="20"/>
          <w:szCs w:val="20"/>
        </w:rPr>
        <w:t>to identify student</w:t>
      </w:r>
      <w:r w:rsidRPr="005827DA">
        <w:rPr>
          <w:rFonts w:ascii="Arial" w:hAnsi="Arial" w:cs="Arial"/>
          <w:spacing w:val="-2"/>
          <w:sz w:val="20"/>
          <w:szCs w:val="20"/>
        </w:rPr>
        <w:t xml:space="preserve"> </w:t>
      </w:r>
      <w:r w:rsidRPr="005827DA">
        <w:rPr>
          <w:rFonts w:ascii="Arial" w:hAnsi="Arial" w:cs="Arial"/>
          <w:sz w:val="20"/>
          <w:szCs w:val="20"/>
        </w:rPr>
        <w:t>errors and</w:t>
      </w:r>
      <w:r w:rsidRPr="005827DA">
        <w:rPr>
          <w:rFonts w:ascii="Arial" w:hAnsi="Arial" w:cs="Arial"/>
          <w:spacing w:val="-2"/>
          <w:sz w:val="20"/>
          <w:szCs w:val="20"/>
        </w:rPr>
        <w:t xml:space="preserve"> </w:t>
      </w:r>
      <w:r w:rsidRPr="005827DA">
        <w:rPr>
          <w:rFonts w:ascii="Arial" w:hAnsi="Arial" w:cs="Arial"/>
          <w:sz w:val="20"/>
          <w:szCs w:val="20"/>
        </w:rPr>
        <w:t>how</w:t>
      </w:r>
      <w:r w:rsidRPr="005827DA">
        <w:rPr>
          <w:rFonts w:ascii="Arial" w:hAnsi="Arial" w:cs="Arial"/>
          <w:spacing w:val="1"/>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correct</w:t>
      </w:r>
      <w:r w:rsidRPr="005827DA">
        <w:rPr>
          <w:rFonts w:ascii="Arial" w:hAnsi="Arial" w:cs="Arial"/>
          <w:spacing w:val="-2"/>
          <w:sz w:val="20"/>
          <w:szCs w:val="20"/>
        </w:rPr>
        <w:t xml:space="preserve"> </w:t>
      </w:r>
      <w:r w:rsidRPr="005827DA">
        <w:rPr>
          <w:rFonts w:ascii="Arial" w:hAnsi="Arial" w:cs="Arial"/>
          <w:sz w:val="20"/>
          <w:szCs w:val="20"/>
        </w:rPr>
        <w:t>them</w:t>
      </w:r>
      <w:r w:rsidRPr="005827DA">
        <w:rPr>
          <w:rFonts w:ascii="Arial" w:hAnsi="Arial" w:cs="Arial"/>
          <w:spacing w:val="1"/>
          <w:sz w:val="20"/>
          <w:szCs w:val="20"/>
        </w:rPr>
        <w:t xml:space="preserve"> </w:t>
      </w:r>
      <w:r w:rsidRPr="005827DA">
        <w:rPr>
          <w:rFonts w:ascii="Arial" w:hAnsi="Arial" w:cs="Arial"/>
          <w:sz w:val="20"/>
          <w:szCs w:val="20"/>
        </w:rPr>
        <w:t>properly.</w:t>
      </w:r>
    </w:p>
    <w:p w14:paraId="6445D432" w14:textId="77777777" w:rsidR="00F20810" w:rsidRPr="005827DA" w:rsidRDefault="00F20810" w:rsidP="005827DA">
      <w:pPr>
        <w:pStyle w:val="ListParagraph"/>
        <w:numPr>
          <w:ilvl w:val="0"/>
          <w:numId w:val="253"/>
        </w:numPr>
        <w:tabs>
          <w:tab w:val="left" w:pos="90"/>
          <w:tab w:val="left" w:pos="2409"/>
        </w:tabs>
        <w:spacing w:before="119" w:line="276" w:lineRule="auto"/>
        <w:ind w:right="68" w:hanging="436"/>
        <w:jc w:val="both"/>
        <w:rPr>
          <w:rFonts w:ascii="Arial" w:hAnsi="Arial" w:cs="Arial"/>
          <w:sz w:val="20"/>
          <w:szCs w:val="20"/>
        </w:rPr>
      </w:pPr>
      <w:r w:rsidRPr="005827DA">
        <w:rPr>
          <w:rFonts w:ascii="Arial" w:hAnsi="Arial" w:cs="Arial"/>
          <w:sz w:val="20"/>
          <w:szCs w:val="20"/>
        </w:rPr>
        <w:t>Briefing</w:t>
      </w:r>
    </w:p>
    <w:p w14:paraId="65EA5C87" w14:textId="77777777" w:rsidR="00F20810" w:rsidRPr="005827DA" w:rsidRDefault="00F20810" w:rsidP="005827DA">
      <w:pPr>
        <w:pStyle w:val="BodyText"/>
        <w:tabs>
          <w:tab w:val="left" w:pos="90"/>
        </w:tabs>
        <w:spacing w:line="276" w:lineRule="auto"/>
        <w:ind w:left="2408"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student</w:t>
      </w:r>
      <w:r w:rsidRPr="005827DA">
        <w:rPr>
          <w:rFonts w:ascii="Arial" w:hAnsi="Arial" w:cs="Arial"/>
          <w:spacing w:val="-2"/>
          <w:sz w:val="20"/>
          <w:szCs w:val="20"/>
        </w:rPr>
        <w:t xml:space="preserve"> </w:t>
      </w:r>
      <w:r w:rsidRPr="005827DA">
        <w:rPr>
          <w:rFonts w:ascii="Arial" w:hAnsi="Arial" w:cs="Arial"/>
          <w:sz w:val="20"/>
          <w:szCs w:val="20"/>
        </w:rPr>
        <w:t>instructor has</w:t>
      </w:r>
      <w:r w:rsidRPr="005827DA">
        <w:rPr>
          <w:rFonts w:ascii="Arial" w:hAnsi="Arial" w:cs="Arial"/>
          <w:spacing w:val="-6"/>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explain:</w:t>
      </w:r>
    </w:p>
    <w:p w14:paraId="6AEC8321" w14:textId="77777777" w:rsidR="00F20810" w:rsidRPr="005827DA" w:rsidRDefault="00F20810" w:rsidP="005827DA">
      <w:pPr>
        <w:pStyle w:val="ListParagraph"/>
        <w:numPr>
          <w:ilvl w:val="1"/>
          <w:numId w:val="253"/>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4"/>
          <w:sz w:val="20"/>
          <w:szCs w:val="20"/>
        </w:rPr>
        <w:t xml:space="preserve"> </w:t>
      </w:r>
      <w:r w:rsidRPr="005827DA">
        <w:rPr>
          <w:rFonts w:ascii="Arial" w:hAnsi="Arial" w:cs="Arial"/>
          <w:sz w:val="20"/>
          <w:szCs w:val="20"/>
        </w:rPr>
        <w:t>minimum ballast;</w:t>
      </w:r>
    </w:p>
    <w:p w14:paraId="0E6F6BE6" w14:textId="77777777" w:rsidR="00F20810" w:rsidRPr="005827DA" w:rsidRDefault="00F20810" w:rsidP="005827DA">
      <w:pPr>
        <w:pStyle w:val="ListParagraph"/>
        <w:numPr>
          <w:ilvl w:val="1"/>
          <w:numId w:val="253"/>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arrangement</w:t>
      </w:r>
      <w:r w:rsidRPr="005827DA">
        <w:rPr>
          <w:rFonts w:ascii="Arial" w:hAnsi="Arial" w:cs="Arial"/>
          <w:spacing w:val="-2"/>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securing</w:t>
      </w:r>
      <w:r w:rsidRPr="005827DA">
        <w:rPr>
          <w:rFonts w:ascii="Arial" w:hAnsi="Arial" w:cs="Arial"/>
          <w:spacing w:val="-1"/>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ballast;</w:t>
      </w:r>
    </w:p>
    <w:p w14:paraId="638B010A" w14:textId="77777777" w:rsidR="00F20810" w:rsidRPr="005827DA" w:rsidRDefault="00F20810" w:rsidP="005827DA">
      <w:pPr>
        <w:pStyle w:val="ListParagraph"/>
        <w:numPr>
          <w:ilvl w:val="1"/>
          <w:numId w:val="253"/>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ballast</w:t>
      </w:r>
      <w:r w:rsidRPr="005827DA">
        <w:rPr>
          <w:rFonts w:ascii="Arial" w:hAnsi="Arial" w:cs="Arial"/>
          <w:spacing w:val="-1"/>
          <w:sz w:val="20"/>
          <w:szCs w:val="20"/>
        </w:rPr>
        <w:t xml:space="preserve"> </w:t>
      </w:r>
      <w:r w:rsidRPr="005827DA">
        <w:rPr>
          <w:rFonts w:ascii="Arial" w:hAnsi="Arial" w:cs="Arial"/>
          <w:sz w:val="20"/>
          <w:szCs w:val="20"/>
        </w:rPr>
        <w:t>requirement</w:t>
      </w:r>
      <w:r w:rsidRPr="005827DA">
        <w:rPr>
          <w:rFonts w:ascii="Arial" w:hAnsi="Arial" w:cs="Arial"/>
          <w:spacing w:val="-3"/>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expected</w:t>
      </w:r>
      <w:r w:rsidRPr="005827DA">
        <w:rPr>
          <w:rFonts w:ascii="Arial" w:hAnsi="Arial" w:cs="Arial"/>
          <w:spacing w:val="-2"/>
          <w:sz w:val="20"/>
          <w:szCs w:val="20"/>
        </w:rPr>
        <w:t xml:space="preserve"> </w:t>
      </w:r>
      <w:r w:rsidRPr="005827DA">
        <w:rPr>
          <w:rFonts w:ascii="Arial" w:hAnsi="Arial" w:cs="Arial"/>
          <w:sz w:val="20"/>
          <w:szCs w:val="20"/>
        </w:rPr>
        <w:t>ballast</w:t>
      </w:r>
      <w:r w:rsidRPr="005827DA">
        <w:rPr>
          <w:rFonts w:ascii="Arial" w:hAnsi="Arial" w:cs="Arial"/>
          <w:spacing w:val="-4"/>
          <w:sz w:val="20"/>
          <w:szCs w:val="20"/>
        </w:rPr>
        <w:t xml:space="preserve"> </w:t>
      </w:r>
      <w:r w:rsidRPr="005827DA">
        <w:rPr>
          <w:rFonts w:ascii="Arial" w:hAnsi="Arial" w:cs="Arial"/>
          <w:sz w:val="20"/>
          <w:szCs w:val="20"/>
        </w:rPr>
        <w:t>consumption;</w:t>
      </w:r>
      <w:r w:rsidRPr="005827DA">
        <w:rPr>
          <w:rFonts w:ascii="Arial" w:hAnsi="Arial" w:cs="Arial"/>
          <w:spacing w:val="-1"/>
          <w:sz w:val="20"/>
          <w:szCs w:val="20"/>
        </w:rPr>
        <w:t xml:space="preserve"> </w:t>
      </w:r>
      <w:r w:rsidRPr="005827DA">
        <w:rPr>
          <w:rFonts w:ascii="Arial" w:hAnsi="Arial" w:cs="Arial"/>
          <w:sz w:val="20"/>
          <w:szCs w:val="20"/>
        </w:rPr>
        <w:t>and</w:t>
      </w:r>
    </w:p>
    <w:p w14:paraId="66B3B618" w14:textId="77777777" w:rsidR="00F20810" w:rsidRPr="005827DA" w:rsidRDefault="00F20810" w:rsidP="005827DA">
      <w:pPr>
        <w:pStyle w:val="ListParagraph"/>
        <w:numPr>
          <w:ilvl w:val="1"/>
          <w:numId w:val="253"/>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3"/>
          <w:sz w:val="20"/>
          <w:szCs w:val="20"/>
        </w:rPr>
        <w:t xml:space="preserve"> </w:t>
      </w:r>
      <w:r w:rsidRPr="005827DA">
        <w:rPr>
          <w:rFonts w:ascii="Arial" w:hAnsi="Arial" w:cs="Arial"/>
          <w:sz w:val="20"/>
          <w:szCs w:val="20"/>
        </w:rPr>
        <w:t>ballast</w:t>
      </w:r>
      <w:r w:rsidRPr="005827DA">
        <w:rPr>
          <w:rFonts w:ascii="Arial" w:hAnsi="Arial" w:cs="Arial"/>
          <w:spacing w:val="-3"/>
          <w:sz w:val="20"/>
          <w:szCs w:val="20"/>
        </w:rPr>
        <w:t xml:space="preserve"> </w:t>
      </w:r>
      <w:r w:rsidRPr="005827DA">
        <w:rPr>
          <w:rFonts w:ascii="Arial" w:hAnsi="Arial" w:cs="Arial"/>
          <w:sz w:val="20"/>
          <w:szCs w:val="20"/>
        </w:rPr>
        <w:t>reserves.</w:t>
      </w:r>
    </w:p>
    <w:p w14:paraId="175DB247" w14:textId="77777777" w:rsidR="00F20810" w:rsidRPr="005827DA" w:rsidRDefault="00F20810" w:rsidP="005827DA">
      <w:pPr>
        <w:pStyle w:val="ListParagraph"/>
        <w:numPr>
          <w:ilvl w:val="0"/>
          <w:numId w:val="253"/>
        </w:numPr>
        <w:tabs>
          <w:tab w:val="left" w:pos="90"/>
          <w:tab w:val="left" w:pos="2408"/>
          <w:tab w:val="left" w:pos="2409"/>
        </w:tabs>
        <w:spacing w:before="121" w:line="276" w:lineRule="auto"/>
        <w:ind w:right="68" w:hanging="436"/>
        <w:jc w:val="both"/>
        <w:rPr>
          <w:rFonts w:ascii="Arial" w:hAnsi="Arial" w:cs="Arial"/>
          <w:sz w:val="20"/>
          <w:szCs w:val="20"/>
        </w:rPr>
      </w:pPr>
      <w:r w:rsidRPr="005827DA">
        <w:rPr>
          <w:rFonts w:ascii="Arial" w:hAnsi="Arial" w:cs="Arial"/>
          <w:sz w:val="20"/>
          <w:szCs w:val="20"/>
        </w:rPr>
        <w:t>Air</w:t>
      </w:r>
      <w:r w:rsidRPr="005827DA">
        <w:rPr>
          <w:rFonts w:ascii="Arial" w:hAnsi="Arial" w:cs="Arial"/>
          <w:spacing w:val="-1"/>
          <w:sz w:val="20"/>
          <w:szCs w:val="20"/>
        </w:rPr>
        <w:t xml:space="preserve"> </w:t>
      </w:r>
      <w:r w:rsidRPr="005827DA">
        <w:rPr>
          <w:rFonts w:ascii="Arial" w:hAnsi="Arial" w:cs="Arial"/>
          <w:sz w:val="20"/>
          <w:szCs w:val="20"/>
        </w:rPr>
        <w:t>exercise</w:t>
      </w:r>
    </w:p>
    <w:p w14:paraId="008D156E" w14:textId="77777777" w:rsidR="00F20810" w:rsidRPr="005827DA" w:rsidRDefault="00F20810" w:rsidP="005827DA">
      <w:pPr>
        <w:pStyle w:val="BodyText"/>
        <w:tabs>
          <w:tab w:val="left" w:pos="90"/>
        </w:tabs>
        <w:spacing w:line="276" w:lineRule="auto"/>
        <w:ind w:left="2408"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student</w:t>
      </w:r>
      <w:r w:rsidRPr="005827DA">
        <w:rPr>
          <w:rFonts w:ascii="Arial" w:hAnsi="Arial" w:cs="Arial"/>
          <w:spacing w:val="-3"/>
          <w:sz w:val="20"/>
          <w:szCs w:val="20"/>
        </w:rPr>
        <w:t xml:space="preserve"> </w:t>
      </w:r>
      <w:r w:rsidRPr="005827DA">
        <w:rPr>
          <w:rFonts w:ascii="Arial" w:hAnsi="Arial" w:cs="Arial"/>
          <w:sz w:val="20"/>
          <w:szCs w:val="20"/>
        </w:rPr>
        <w:t>instructor</w:t>
      </w:r>
      <w:r w:rsidRPr="005827DA">
        <w:rPr>
          <w:rFonts w:ascii="Arial" w:hAnsi="Arial" w:cs="Arial"/>
          <w:spacing w:val="-2"/>
          <w:sz w:val="20"/>
          <w:szCs w:val="20"/>
        </w:rPr>
        <w:t xml:space="preserve"> </w:t>
      </w:r>
      <w:r w:rsidRPr="005827DA">
        <w:rPr>
          <w:rFonts w:ascii="Arial" w:hAnsi="Arial" w:cs="Arial"/>
          <w:sz w:val="20"/>
          <w:szCs w:val="20"/>
        </w:rPr>
        <w:t>has</w:t>
      </w:r>
      <w:r w:rsidRPr="005827DA">
        <w:rPr>
          <w:rFonts w:ascii="Arial" w:hAnsi="Arial" w:cs="Arial"/>
          <w:spacing w:val="-6"/>
          <w:sz w:val="20"/>
          <w:szCs w:val="20"/>
        </w:rPr>
        <w:t xml:space="preserve"> </w:t>
      </w:r>
      <w:r w:rsidRPr="005827DA">
        <w:rPr>
          <w:rFonts w:ascii="Arial" w:hAnsi="Arial" w:cs="Arial"/>
          <w:sz w:val="20"/>
          <w:szCs w:val="20"/>
        </w:rPr>
        <w:t>to demonstrate:</w:t>
      </w:r>
    </w:p>
    <w:p w14:paraId="3F7BC2F3" w14:textId="77777777" w:rsidR="00F20810" w:rsidRPr="005827DA" w:rsidRDefault="00F20810" w:rsidP="005827DA">
      <w:pPr>
        <w:pStyle w:val="ListParagraph"/>
        <w:numPr>
          <w:ilvl w:val="1"/>
          <w:numId w:val="253"/>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determination</w:t>
      </w:r>
      <w:r w:rsidRPr="005827DA">
        <w:rPr>
          <w:rFonts w:ascii="Arial" w:hAnsi="Arial" w:cs="Arial"/>
          <w:spacing w:val="-4"/>
          <w:sz w:val="20"/>
          <w:szCs w:val="20"/>
        </w:rPr>
        <w:t xml:space="preserve"> </w:t>
      </w:r>
      <w:r w:rsidRPr="005827DA">
        <w:rPr>
          <w:rFonts w:ascii="Arial" w:hAnsi="Arial" w:cs="Arial"/>
          <w:sz w:val="20"/>
          <w:szCs w:val="20"/>
        </w:rPr>
        <w:t>of</w:t>
      </w:r>
      <w:r w:rsidRPr="005827DA">
        <w:rPr>
          <w:rFonts w:ascii="Arial" w:hAnsi="Arial" w:cs="Arial"/>
          <w:spacing w:val="-3"/>
          <w:sz w:val="20"/>
          <w:szCs w:val="20"/>
        </w:rPr>
        <w:t xml:space="preserve"> </w:t>
      </w:r>
      <w:r w:rsidRPr="005827DA">
        <w:rPr>
          <w:rFonts w:ascii="Arial" w:hAnsi="Arial" w:cs="Arial"/>
          <w:sz w:val="20"/>
          <w:szCs w:val="20"/>
        </w:rPr>
        <w:t>the</w:t>
      </w:r>
      <w:r w:rsidRPr="005827DA">
        <w:rPr>
          <w:rFonts w:ascii="Arial" w:hAnsi="Arial" w:cs="Arial"/>
          <w:spacing w:val="-3"/>
          <w:sz w:val="20"/>
          <w:szCs w:val="20"/>
        </w:rPr>
        <w:t xml:space="preserve"> </w:t>
      </w:r>
      <w:r w:rsidRPr="005827DA">
        <w:rPr>
          <w:rFonts w:ascii="Arial" w:hAnsi="Arial" w:cs="Arial"/>
          <w:sz w:val="20"/>
          <w:szCs w:val="20"/>
        </w:rPr>
        <w:t>minimum ballast</w:t>
      </w:r>
      <w:r w:rsidRPr="005827DA">
        <w:rPr>
          <w:rFonts w:ascii="Arial" w:hAnsi="Arial" w:cs="Arial"/>
          <w:spacing w:val="-2"/>
          <w:sz w:val="20"/>
          <w:szCs w:val="20"/>
        </w:rPr>
        <w:t xml:space="preserve"> </w:t>
      </w:r>
      <w:r w:rsidRPr="005827DA">
        <w:rPr>
          <w:rFonts w:ascii="Arial" w:hAnsi="Arial" w:cs="Arial"/>
          <w:sz w:val="20"/>
          <w:szCs w:val="20"/>
        </w:rPr>
        <w:t>requirement;</w:t>
      </w:r>
    </w:p>
    <w:p w14:paraId="09F2C1A5" w14:textId="77777777" w:rsidR="00F20810" w:rsidRPr="005827DA" w:rsidRDefault="00F20810" w:rsidP="005827DA">
      <w:pPr>
        <w:pStyle w:val="ListParagraph"/>
        <w:numPr>
          <w:ilvl w:val="1"/>
          <w:numId w:val="253"/>
        </w:numPr>
        <w:tabs>
          <w:tab w:val="left" w:pos="90"/>
          <w:tab w:val="left" w:pos="2975"/>
          <w:tab w:val="left" w:pos="2976"/>
        </w:tabs>
        <w:spacing w:before="118"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arrangement</w:t>
      </w:r>
      <w:r w:rsidRPr="005827DA">
        <w:rPr>
          <w:rFonts w:ascii="Arial" w:hAnsi="Arial" w:cs="Arial"/>
          <w:spacing w:val="-2"/>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securing</w:t>
      </w:r>
      <w:r w:rsidRPr="005827DA">
        <w:rPr>
          <w:rFonts w:ascii="Arial" w:hAnsi="Arial" w:cs="Arial"/>
          <w:spacing w:val="-1"/>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ballast;</w:t>
      </w:r>
    </w:p>
    <w:p w14:paraId="40FB7BF5" w14:textId="77777777" w:rsidR="00F20810" w:rsidRPr="005827DA" w:rsidRDefault="00F20810" w:rsidP="005827DA">
      <w:pPr>
        <w:pStyle w:val="ListParagraph"/>
        <w:numPr>
          <w:ilvl w:val="1"/>
          <w:numId w:val="253"/>
        </w:numPr>
        <w:tabs>
          <w:tab w:val="left" w:pos="90"/>
          <w:tab w:val="left" w:pos="2975"/>
          <w:tab w:val="left" w:pos="2976"/>
          <w:tab w:val="left" w:pos="3519"/>
          <w:tab w:val="left" w:pos="4350"/>
          <w:tab w:val="left" w:pos="5723"/>
          <w:tab w:val="left" w:pos="6938"/>
          <w:tab w:val="left" w:pos="7516"/>
          <w:tab w:val="left" w:pos="8582"/>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z w:val="20"/>
          <w:szCs w:val="20"/>
        </w:rPr>
        <w:tab/>
        <w:t>ballast</w:t>
      </w:r>
      <w:r w:rsidRPr="005827DA">
        <w:rPr>
          <w:rFonts w:ascii="Arial" w:hAnsi="Arial" w:cs="Arial"/>
          <w:sz w:val="20"/>
          <w:szCs w:val="20"/>
        </w:rPr>
        <w:tab/>
        <w:t>requirement</w:t>
      </w:r>
      <w:r w:rsidRPr="005827DA">
        <w:rPr>
          <w:rFonts w:ascii="Arial" w:hAnsi="Arial" w:cs="Arial"/>
          <w:sz w:val="20"/>
          <w:szCs w:val="20"/>
        </w:rPr>
        <w:tab/>
        <w:t>calculation</w:t>
      </w:r>
      <w:r w:rsidRPr="005827DA">
        <w:rPr>
          <w:rFonts w:ascii="Arial" w:hAnsi="Arial" w:cs="Arial"/>
          <w:sz w:val="20"/>
          <w:szCs w:val="20"/>
        </w:rPr>
        <w:tab/>
        <w:t>and</w:t>
      </w:r>
      <w:r w:rsidRPr="005827DA">
        <w:rPr>
          <w:rFonts w:ascii="Arial" w:hAnsi="Arial" w:cs="Arial"/>
          <w:sz w:val="20"/>
          <w:szCs w:val="20"/>
        </w:rPr>
        <w:tab/>
        <w:t>expected</w:t>
      </w:r>
      <w:r w:rsidRPr="005827DA">
        <w:rPr>
          <w:rFonts w:ascii="Arial" w:hAnsi="Arial" w:cs="Arial"/>
          <w:sz w:val="20"/>
          <w:szCs w:val="20"/>
        </w:rPr>
        <w:tab/>
      </w:r>
      <w:r w:rsidRPr="005827DA">
        <w:rPr>
          <w:rFonts w:ascii="Arial" w:hAnsi="Arial" w:cs="Arial"/>
          <w:spacing w:val="-1"/>
          <w:sz w:val="20"/>
          <w:szCs w:val="20"/>
        </w:rPr>
        <w:t>ballast</w:t>
      </w:r>
      <w:r w:rsidRPr="005827DA">
        <w:rPr>
          <w:rFonts w:ascii="Arial" w:hAnsi="Arial" w:cs="Arial"/>
          <w:spacing w:val="-47"/>
          <w:sz w:val="20"/>
          <w:szCs w:val="20"/>
        </w:rPr>
        <w:t xml:space="preserve"> </w:t>
      </w:r>
      <w:r w:rsidRPr="005827DA">
        <w:rPr>
          <w:rFonts w:ascii="Arial" w:hAnsi="Arial" w:cs="Arial"/>
          <w:sz w:val="20"/>
          <w:szCs w:val="20"/>
        </w:rPr>
        <w:t>consumption;</w:t>
      </w:r>
    </w:p>
    <w:p w14:paraId="0ACF3582" w14:textId="77777777" w:rsidR="00F20810" w:rsidRPr="005827DA" w:rsidRDefault="00F20810" w:rsidP="005827DA">
      <w:pPr>
        <w:pStyle w:val="ListParagraph"/>
        <w:numPr>
          <w:ilvl w:val="1"/>
          <w:numId w:val="253"/>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3"/>
          <w:sz w:val="20"/>
          <w:szCs w:val="20"/>
        </w:rPr>
        <w:t xml:space="preserve"> </w:t>
      </w:r>
      <w:r w:rsidRPr="005827DA">
        <w:rPr>
          <w:rFonts w:ascii="Arial" w:hAnsi="Arial" w:cs="Arial"/>
          <w:sz w:val="20"/>
          <w:szCs w:val="20"/>
        </w:rPr>
        <w:t>to</w:t>
      </w:r>
      <w:r w:rsidRPr="005827DA">
        <w:rPr>
          <w:rFonts w:ascii="Arial" w:hAnsi="Arial" w:cs="Arial"/>
          <w:spacing w:val="-2"/>
          <w:sz w:val="20"/>
          <w:szCs w:val="20"/>
        </w:rPr>
        <w:t xml:space="preserve"> </w:t>
      </w:r>
      <w:r w:rsidRPr="005827DA">
        <w:rPr>
          <w:rFonts w:ascii="Arial" w:hAnsi="Arial" w:cs="Arial"/>
          <w:sz w:val="20"/>
          <w:szCs w:val="20"/>
        </w:rPr>
        <w:t>secure</w:t>
      </w:r>
      <w:r w:rsidRPr="005827DA">
        <w:rPr>
          <w:rFonts w:ascii="Arial" w:hAnsi="Arial" w:cs="Arial"/>
          <w:spacing w:val="-3"/>
          <w:sz w:val="20"/>
          <w:szCs w:val="20"/>
        </w:rPr>
        <w:t xml:space="preserve"> </w:t>
      </w:r>
      <w:r w:rsidRPr="005827DA">
        <w:rPr>
          <w:rFonts w:ascii="Arial" w:hAnsi="Arial" w:cs="Arial"/>
          <w:sz w:val="20"/>
          <w:szCs w:val="20"/>
        </w:rPr>
        <w:t>ballast</w:t>
      </w:r>
      <w:r w:rsidRPr="005827DA">
        <w:rPr>
          <w:rFonts w:ascii="Arial" w:hAnsi="Arial" w:cs="Arial"/>
          <w:spacing w:val="-1"/>
          <w:sz w:val="20"/>
          <w:szCs w:val="20"/>
        </w:rPr>
        <w:t xml:space="preserve"> </w:t>
      </w:r>
      <w:r w:rsidRPr="005827DA">
        <w:rPr>
          <w:rFonts w:ascii="Arial" w:hAnsi="Arial" w:cs="Arial"/>
          <w:sz w:val="20"/>
          <w:szCs w:val="20"/>
        </w:rPr>
        <w:t>reserves;</w:t>
      </w:r>
    </w:p>
    <w:p w14:paraId="4A4464FD" w14:textId="77777777" w:rsidR="00F20810" w:rsidRPr="005827DA" w:rsidRDefault="00F20810" w:rsidP="005827DA">
      <w:pPr>
        <w:pStyle w:val="ListParagraph"/>
        <w:numPr>
          <w:ilvl w:val="1"/>
          <w:numId w:val="253"/>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7"/>
          <w:sz w:val="20"/>
          <w:szCs w:val="20"/>
        </w:rPr>
        <w:t xml:space="preserve"> </w:t>
      </w:r>
      <w:r w:rsidRPr="005827DA">
        <w:rPr>
          <w:rFonts w:ascii="Arial" w:hAnsi="Arial" w:cs="Arial"/>
          <w:sz w:val="20"/>
          <w:szCs w:val="20"/>
        </w:rPr>
        <w:t>to</w:t>
      </w:r>
      <w:r w:rsidRPr="005827DA">
        <w:rPr>
          <w:rFonts w:ascii="Arial" w:hAnsi="Arial" w:cs="Arial"/>
          <w:spacing w:val="8"/>
          <w:sz w:val="20"/>
          <w:szCs w:val="20"/>
        </w:rPr>
        <w:t xml:space="preserve"> </w:t>
      </w:r>
      <w:r w:rsidRPr="005827DA">
        <w:rPr>
          <w:rFonts w:ascii="Arial" w:hAnsi="Arial" w:cs="Arial"/>
          <w:sz w:val="20"/>
          <w:szCs w:val="20"/>
        </w:rPr>
        <w:t>advise</w:t>
      </w:r>
      <w:r w:rsidRPr="005827DA">
        <w:rPr>
          <w:rFonts w:ascii="Arial" w:hAnsi="Arial" w:cs="Arial"/>
          <w:spacing w:val="9"/>
          <w:sz w:val="20"/>
          <w:szCs w:val="20"/>
        </w:rPr>
        <w:t xml:space="preserve"> </w:t>
      </w:r>
      <w:r w:rsidRPr="005827DA">
        <w:rPr>
          <w:rFonts w:ascii="Arial" w:hAnsi="Arial" w:cs="Arial"/>
          <w:sz w:val="20"/>
          <w:szCs w:val="20"/>
        </w:rPr>
        <w:t>the</w:t>
      </w:r>
      <w:r w:rsidRPr="005827DA">
        <w:rPr>
          <w:rFonts w:ascii="Arial" w:hAnsi="Arial" w:cs="Arial"/>
          <w:spacing w:val="9"/>
          <w:sz w:val="20"/>
          <w:szCs w:val="20"/>
        </w:rPr>
        <w:t xml:space="preserve"> </w:t>
      </w:r>
      <w:r w:rsidRPr="005827DA">
        <w:rPr>
          <w:rFonts w:ascii="Arial" w:hAnsi="Arial" w:cs="Arial"/>
          <w:sz w:val="20"/>
          <w:szCs w:val="20"/>
        </w:rPr>
        <w:t>student</w:t>
      </w:r>
      <w:r w:rsidRPr="005827DA">
        <w:rPr>
          <w:rFonts w:ascii="Arial" w:hAnsi="Arial" w:cs="Arial"/>
          <w:spacing w:val="7"/>
          <w:sz w:val="20"/>
          <w:szCs w:val="20"/>
        </w:rPr>
        <w:t xml:space="preserve"> </w:t>
      </w:r>
      <w:r w:rsidRPr="005827DA">
        <w:rPr>
          <w:rFonts w:ascii="Arial" w:hAnsi="Arial" w:cs="Arial"/>
          <w:sz w:val="20"/>
          <w:szCs w:val="20"/>
        </w:rPr>
        <w:t>pilot</w:t>
      </w:r>
      <w:r w:rsidRPr="005827DA">
        <w:rPr>
          <w:rFonts w:ascii="Arial" w:hAnsi="Arial" w:cs="Arial"/>
          <w:spacing w:val="9"/>
          <w:sz w:val="20"/>
          <w:szCs w:val="20"/>
        </w:rPr>
        <w:t xml:space="preserve"> </w:t>
      </w:r>
      <w:r w:rsidRPr="005827DA">
        <w:rPr>
          <w:rFonts w:ascii="Arial" w:hAnsi="Arial" w:cs="Arial"/>
          <w:sz w:val="20"/>
          <w:szCs w:val="20"/>
        </w:rPr>
        <w:t>to</w:t>
      </w:r>
      <w:r w:rsidRPr="005827DA">
        <w:rPr>
          <w:rFonts w:ascii="Arial" w:hAnsi="Arial" w:cs="Arial"/>
          <w:spacing w:val="11"/>
          <w:sz w:val="20"/>
          <w:szCs w:val="20"/>
        </w:rPr>
        <w:t xml:space="preserve"> </w:t>
      </w:r>
      <w:r w:rsidRPr="005827DA">
        <w:rPr>
          <w:rFonts w:ascii="Arial" w:hAnsi="Arial" w:cs="Arial"/>
          <w:sz w:val="20"/>
          <w:szCs w:val="20"/>
        </w:rPr>
        <w:t>perform</w:t>
      </w:r>
      <w:r w:rsidRPr="005827DA">
        <w:rPr>
          <w:rFonts w:ascii="Arial" w:hAnsi="Arial" w:cs="Arial"/>
          <w:spacing w:val="7"/>
          <w:sz w:val="20"/>
          <w:szCs w:val="20"/>
        </w:rPr>
        <w:t xml:space="preserve"> </w:t>
      </w:r>
      <w:r w:rsidRPr="005827DA">
        <w:rPr>
          <w:rFonts w:ascii="Arial" w:hAnsi="Arial" w:cs="Arial"/>
          <w:sz w:val="20"/>
          <w:szCs w:val="20"/>
        </w:rPr>
        <w:t>the</w:t>
      </w:r>
      <w:r w:rsidRPr="005827DA">
        <w:rPr>
          <w:rFonts w:ascii="Arial" w:hAnsi="Arial" w:cs="Arial"/>
          <w:spacing w:val="6"/>
          <w:sz w:val="20"/>
          <w:szCs w:val="20"/>
        </w:rPr>
        <w:t xml:space="preserve"> </w:t>
      </w:r>
      <w:r w:rsidRPr="005827DA">
        <w:rPr>
          <w:rFonts w:ascii="Arial" w:hAnsi="Arial" w:cs="Arial"/>
          <w:sz w:val="20"/>
          <w:szCs w:val="20"/>
        </w:rPr>
        <w:t>ballast</w:t>
      </w:r>
      <w:r w:rsidRPr="005827DA">
        <w:rPr>
          <w:rFonts w:ascii="Arial" w:hAnsi="Arial" w:cs="Arial"/>
          <w:spacing w:val="7"/>
          <w:sz w:val="20"/>
          <w:szCs w:val="20"/>
        </w:rPr>
        <w:t xml:space="preserve"> </w:t>
      </w:r>
      <w:r w:rsidRPr="005827DA">
        <w:rPr>
          <w:rFonts w:ascii="Arial" w:hAnsi="Arial" w:cs="Arial"/>
          <w:sz w:val="20"/>
          <w:szCs w:val="20"/>
        </w:rPr>
        <w:t>management;</w:t>
      </w:r>
      <w:r w:rsidRPr="005827DA">
        <w:rPr>
          <w:rFonts w:ascii="Arial" w:hAnsi="Arial" w:cs="Arial"/>
          <w:spacing w:val="-47"/>
          <w:sz w:val="20"/>
          <w:szCs w:val="20"/>
        </w:rPr>
        <w:t xml:space="preserve"> </w:t>
      </w:r>
      <w:r w:rsidRPr="005827DA">
        <w:rPr>
          <w:rFonts w:ascii="Arial" w:hAnsi="Arial" w:cs="Arial"/>
          <w:sz w:val="20"/>
          <w:szCs w:val="20"/>
        </w:rPr>
        <w:t>and</w:t>
      </w:r>
    </w:p>
    <w:p w14:paraId="3CE3108E" w14:textId="77777777" w:rsidR="00F20810" w:rsidRPr="005827DA" w:rsidRDefault="00F20810" w:rsidP="005827DA">
      <w:pPr>
        <w:pStyle w:val="ListParagraph"/>
        <w:numPr>
          <w:ilvl w:val="1"/>
          <w:numId w:val="253"/>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2"/>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analyse</w:t>
      </w:r>
      <w:r w:rsidRPr="005827DA">
        <w:rPr>
          <w:rFonts w:ascii="Arial" w:hAnsi="Arial" w:cs="Arial"/>
          <w:spacing w:val="-2"/>
          <w:sz w:val="20"/>
          <w:szCs w:val="20"/>
        </w:rPr>
        <w:t xml:space="preserve"> </w:t>
      </w:r>
      <w:r w:rsidRPr="005827DA">
        <w:rPr>
          <w:rFonts w:ascii="Arial" w:hAnsi="Arial" w:cs="Arial"/>
          <w:sz w:val="20"/>
          <w:szCs w:val="20"/>
        </w:rPr>
        <w:t>and correct</w:t>
      </w:r>
      <w:r w:rsidRPr="005827DA">
        <w:rPr>
          <w:rFonts w:ascii="Arial" w:hAnsi="Arial" w:cs="Arial"/>
          <w:spacing w:val="-2"/>
          <w:sz w:val="20"/>
          <w:szCs w:val="20"/>
        </w:rPr>
        <w:t xml:space="preserve"> </w:t>
      </w:r>
      <w:r w:rsidRPr="005827DA">
        <w:rPr>
          <w:rFonts w:ascii="Arial" w:hAnsi="Arial" w:cs="Arial"/>
          <w:sz w:val="20"/>
          <w:szCs w:val="20"/>
        </w:rPr>
        <w:t>faults</w:t>
      </w:r>
      <w:r w:rsidRPr="005827DA">
        <w:rPr>
          <w:rFonts w:ascii="Arial" w:hAnsi="Arial" w:cs="Arial"/>
          <w:spacing w:val="-2"/>
          <w:sz w:val="20"/>
          <w:szCs w:val="20"/>
        </w:rPr>
        <w:t xml:space="preserve"> </w:t>
      </w:r>
      <w:r w:rsidRPr="005827DA">
        <w:rPr>
          <w:rFonts w:ascii="Arial" w:hAnsi="Arial" w:cs="Arial"/>
          <w:sz w:val="20"/>
          <w:szCs w:val="20"/>
        </w:rPr>
        <w:t>or errors</w:t>
      </w:r>
      <w:r w:rsidRPr="005827DA">
        <w:rPr>
          <w:rFonts w:ascii="Arial" w:hAnsi="Arial" w:cs="Arial"/>
          <w:spacing w:val="-1"/>
          <w:sz w:val="20"/>
          <w:szCs w:val="20"/>
        </w:rPr>
        <w:t xml:space="preserve"> </w:t>
      </w:r>
      <w:r w:rsidRPr="005827DA">
        <w:rPr>
          <w:rFonts w:ascii="Arial" w:hAnsi="Arial" w:cs="Arial"/>
          <w:sz w:val="20"/>
          <w:szCs w:val="20"/>
        </w:rPr>
        <w:t>of</w:t>
      </w:r>
      <w:r w:rsidRPr="005827DA">
        <w:rPr>
          <w:rFonts w:ascii="Arial" w:hAnsi="Arial" w:cs="Arial"/>
          <w:spacing w:val="-2"/>
          <w:sz w:val="20"/>
          <w:szCs w:val="20"/>
        </w:rPr>
        <w:t xml:space="preserve"> </w:t>
      </w:r>
      <w:r w:rsidRPr="005827DA">
        <w:rPr>
          <w:rFonts w:ascii="Arial" w:hAnsi="Arial" w:cs="Arial"/>
          <w:sz w:val="20"/>
          <w:szCs w:val="20"/>
        </w:rPr>
        <w:t>the student</w:t>
      </w:r>
      <w:r w:rsidRPr="005827DA">
        <w:rPr>
          <w:rFonts w:ascii="Arial" w:hAnsi="Arial" w:cs="Arial"/>
          <w:spacing w:val="1"/>
          <w:sz w:val="20"/>
          <w:szCs w:val="20"/>
        </w:rPr>
        <w:t xml:space="preserve"> </w:t>
      </w:r>
      <w:r w:rsidRPr="005827DA">
        <w:rPr>
          <w:rFonts w:ascii="Arial" w:hAnsi="Arial" w:cs="Arial"/>
          <w:sz w:val="20"/>
          <w:szCs w:val="20"/>
        </w:rPr>
        <w:t>pilot.</w:t>
      </w:r>
    </w:p>
    <w:p w14:paraId="6DFEFED6" w14:textId="77777777" w:rsidR="00F20810" w:rsidRPr="005827DA" w:rsidRDefault="00F20810" w:rsidP="005827DA">
      <w:pPr>
        <w:pStyle w:val="ListParagraph"/>
        <w:numPr>
          <w:ilvl w:val="0"/>
          <w:numId w:val="253"/>
        </w:numPr>
        <w:tabs>
          <w:tab w:val="left" w:pos="90"/>
          <w:tab w:val="left" w:pos="2408"/>
          <w:tab w:val="left" w:pos="2409"/>
        </w:tabs>
        <w:spacing w:line="276" w:lineRule="auto"/>
        <w:ind w:right="68" w:hanging="436"/>
        <w:jc w:val="both"/>
        <w:rPr>
          <w:rFonts w:ascii="Arial" w:hAnsi="Arial" w:cs="Arial"/>
          <w:sz w:val="20"/>
          <w:szCs w:val="20"/>
        </w:rPr>
      </w:pPr>
      <w:r w:rsidRPr="005827DA">
        <w:rPr>
          <w:rFonts w:ascii="Arial" w:hAnsi="Arial" w:cs="Arial"/>
          <w:sz w:val="20"/>
          <w:szCs w:val="20"/>
        </w:rPr>
        <w:t>Debriefing</w:t>
      </w:r>
    </w:p>
    <w:p w14:paraId="6A833D1E" w14:textId="77777777" w:rsidR="00F20810" w:rsidRPr="005827DA" w:rsidRDefault="00F20810" w:rsidP="005827DA">
      <w:pPr>
        <w:tabs>
          <w:tab w:val="left" w:pos="90"/>
        </w:tabs>
        <w:spacing w:line="276" w:lineRule="auto"/>
        <w:ind w:right="68" w:hanging="436"/>
        <w:jc w:val="both"/>
        <w:rPr>
          <w:rFonts w:ascii="Arial" w:eastAsia="Times New Roman" w:hAnsi="Arial" w:cs="Times New Roman"/>
          <w:b/>
          <w:bCs/>
          <w:sz w:val="20"/>
          <w:szCs w:val="20"/>
        </w:rPr>
      </w:pPr>
      <w:r w:rsidRPr="005827DA">
        <w:rPr>
          <w:rFonts w:ascii="Arial" w:eastAsia="Times New Roman" w:hAnsi="Arial" w:cs="Times New Roman"/>
          <w:b/>
          <w:bCs/>
          <w:sz w:val="20"/>
          <w:szCs w:val="20"/>
        </w:rPr>
        <w:t>Exercise 13: Approach from low level</w:t>
      </w:r>
    </w:p>
    <w:p w14:paraId="47CC9EF6" w14:textId="77777777" w:rsidR="00F20810" w:rsidRPr="005827DA" w:rsidRDefault="00F20810" w:rsidP="005827DA">
      <w:pPr>
        <w:pStyle w:val="ListParagraph"/>
        <w:numPr>
          <w:ilvl w:val="0"/>
          <w:numId w:val="255"/>
        </w:numPr>
        <w:tabs>
          <w:tab w:val="left" w:pos="90"/>
          <w:tab w:val="left" w:pos="2409"/>
        </w:tabs>
        <w:spacing w:line="276" w:lineRule="auto"/>
        <w:ind w:right="68" w:hanging="436"/>
        <w:jc w:val="both"/>
        <w:rPr>
          <w:rFonts w:ascii="Arial" w:hAnsi="Arial" w:cs="Arial"/>
          <w:sz w:val="20"/>
          <w:szCs w:val="20"/>
        </w:rPr>
      </w:pPr>
      <w:r w:rsidRPr="005827DA">
        <w:rPr>
          <w:rFonts w:ascii="Arial" w:hAnsi="Arial" w:cs="Arial"/>
          <w:sz w:val="20"/>
          <w:szCs w:val="20"/>
        </w:rPr>
        <w:t>Objective</w:t>
      </w:r>
    </w:p>
    <w:p w14:paraId="0FFB0EE6" w14:textId="77777777" w:rsidR="00F20810" w:rsidRPr="005827DA" w:rsidRDefault="00F20810" w:rsidP="005827DA">
      <w:pPr>
        <w:pStyle w:val="BodyText"/>
        <w:tabs>
          <w:tab w:val="left" w:pos="90"/>
        </w:tabs>
        <w:spacing w:before="121" w:line="276" w:lineRule="auto"/>
        <w:ind w:left="2408" w:right="68" w:hanging="436"/>
        <w:jc w:val="both"/>
        <w:rPr>
          <w:rFonts w:ascii="Arial" w:hAnsi="Arial" w:cs="Arial"/>
          <w:sz w:val="20"/>
          <w:szCs w:val="20"/>
        </w:rPr>
      </w:pPr>
      <w:r w:rsidRPr="005827DA">
        <w:rPr>
          <w:rFonts w:ascii="Arial" w:hAnsi="Arial" w:cs="Arial"/>
          <w:sz w:val="20"/>
          <w:szCs w:val="20"/>
        </w:rPr>
        <w:t>To advise the student instructor on how to explain and demonstrate the</w:t>
      </w:r>
      <w:r w:rsidRPr="005827DA">
        <w:rPr>
          <w:rFonts w:ascii="Arial" w:hAnsi="Arial" w:cs="Arial"/>
          <w:spacing w:val="1"/>
          <w:sz w:val="20"/>
          <w:szCs w:val="20"/>
        </w:rPr>
        <w:t xml:space="preserve"> </w:t>
      </w:r>
      <w:r w:rsidRPr="005827DA">
        <w:rPr>
          <w:rFonts w:ascii="Arial" w:hAnsi="Arial" w:cs="Arial"/>
          <w:sz w:val="20"/>
          <w:szCs w:val="20"/>
        </w:rPr>
        <w:t>approach from level. Furthermore, the student instructor should learn how</w:t>
      </w:r>
      <w:r w:rsidRPr="005827DA">
        <w:rPr>
          <w:rFonts w:ascii="Arial" w:hAnsi="Arial" w:cs="Arial"/>
          <w:spacing w:val="1"/>
          <w:sz w:val="20"/>
          <w:szCs w:val="20"/>
        </w:rPr>
        <w:t xml:space="preserve"> </w:t>
      </w:r>
      <w:r w:rsidRPr="005827DA">
        <w:rPr>
          <w:rFonts w:ascii="Arial" w:hAnsi="Arial" w:cs="Arial"/>
          <w:sz w:val="20"/>
          <w:szCs w:val="20"/>
        </w:rPr>
        <w:t>to identify student</w:t>
      </w:r>
      <w:r w:rsidRPr="005827DA">
        <w:rPr>
          <w:rFonts w:ascii="Arial" w:hAnsi="Arial" w:cs="Arial"/>
          <w:spacing w:val="-2"/>
          <w:sz w:val="20"/>
          <w:szCs w:val="20"/>
        </w:rPr>
        <w:t xml:space="preserve"> </w:t>
      </w:r>
      <w:r w:rsidRPr="005827DA">
        <w:rPr>
          <w:rFonts w:ascii="Arial" w:hAnsi="Arial" w:cs="Arial"/>
          <w:sz w:val="20"/>
          <w:szCs w:val="20"/>
        </w:rPr>
        <w:t>errors and</w:t>
      </w:r>
      <w:r w:rsidRPr="005827DA">
        <w:rPr>
          <w:rFonts w:ascii="Arial" w:hAnsi="Arial" w:cs="Arial"/>
          <w:spacing w:val="-2"/>
          <w:sz w:val="20"/>
          <w:szCs w:val="20"/>
        </w:rPr>
        <w:t xml:space="preserve"> </w:t>
      </w:r>
      <w:r w:rsidRPr="005827DA">
        <w:rPr>
          <w:rFonts w:ascii="Arial" w:hAnsi="Arial" w:cs="Arial"/>
          <w:sz w:val="20"/>
          <w:szCs w:val="20"/>
        </w:rPr>
        <w:t>how</w:t>
      </w:r>
      <w:r w:rsidRPr="005827DA">
        <w:rPr>
          <w:rFonts w:ascii="Arial" w:hAnsi="Arial" w:cs="Arial"/>
          <w:spacing w:val="1"/>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correct</w:t>
      </w:r>
      <w:r w:rsidRPr="005827DA">
        <w:rPr>
          <w:rFonts w:ascii="Arial" w:hAnsi="Arial" w:cs="Arial"/>
          <w:spacing w:val="-2"/>
          <w:sz w:val="20"/>
          <w:szCs w:val="20"/>
        </w:rPr>
        <w:t xml:space="preserve"> </w:t>
      </w:r>
      <w:r w:rsidRPr="005827DA">
        <w:rPr>
          <w:rFonts w:ascii="Arial" w:hAnsi="Arial" w:cs="Arial"/>
          <w:sz w:val="20"/>
          <w:szCs w:val="20"/>
        </w:rPr>
        <w:t>them</w:t>
      </w:r>
      <w:r w:rsidRPr="005827DA">
        <w:rPr>
          <w:rFonts w:ascii="Arial" w:hAnsi="Arial" w:cs="Arial"/>
          <w:spacing w:val="1"/>
          <w:sz w:val="20"/>
          <w:szCs w:val="20"/>
        </w:rPr>
        <w:t xml:space="preserve"> </w:t>
      </w:r>
      <w:r w:rsidRPr="005827DA">
        <w:rPr>
          <w:rFonts w:ascii="Arial" w:hAnsi="Arial" w:cs="Arial"/>
          <w:sz w:val="20"/>
          <w:szCs w:val="20"/>
        </w:rPr>
        <w:t>properly.</w:t>
      </w:r>
    </w:p>
    <w:p w14:paraId="2D7744A1" w14:textId="77777777" w:rsidR="00F20810" w:rsidRPr="005827DA" w:rsidRDefault="00F20810" w:rsidP="005827DA">
      <w:pPr>
        <w:pStyle w:val="ListParagraph"/>
        <w:numPr>
          <w:ilvl w:val="0"/>
          <w:numId w:val="255"/>
        </w:numPr>
        <w:tabs>
          <w:tab w:val="left" w:pos="90"/>
          <w:tab w:val="left" w:pos="2409"/>
        </w:tabs>
        <w:spacing w:line="276" w:lineRule="auto"/>
        <w:ind w:right="68" w:hanging="436"/>
        <w:jc w:val="both"/>
        <w:rPr>
          <w:rFonts w:ascii="Arial" w:hAnsi="Arial" w:cs="Arial"/>
          <w:sz w:val="20"/>
          <w:szCs w:val="20"/>
        </w:rPr>
      </w:pPr>
      <w:r w:rsidRPr="005827DA">
        <w:rPr>
          <w:rFonts w:ascii="Arial" w:hAnsi="Arial" w:cs="Arial"/>
          <w:sz w:val="20"/>
          <w:szCs w:val="20"/>
        </w:rPr>
        <w:t>Briefing</w:t>
      </w:r>
    </w:p>
    <w:p w14:paraId="53909B5F" w14:textId="77777777" w:rsidR="00F20810" w:rsidRPr="005827DA" w:rsidRDefault="00F20810" w:rsidP="005827DA">
      <w:pPr>
        <w:pStyle w:val="BodyText"/>
        <w:tabs>
          <w:tab w:val="left" w:pos="90"/>
        </w:tabs>
        <w:spacing w:before="121" w:line="276" w:lineRule="auto"/>
        <w:ind w:left="2408"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student</w:t>
      </w:r>
      <w:r w:rsidRPr="005827DA">
        <w:rPr>
          <w:rFonts w:ascii="Arial" w:hAnsi="Arial" w:cs="Arial"/>
          <w:spacing w:val="-2"/>
          <w:sz w:val="20"/>
          <w:szCs w:val="20"/>
        </w:rPr>
        <w:t xml:space="preserve"> </w:t>
      </w:r>
      <w:r w:rsidRPr="005827DA">
        <w:rPr>
          <w:rFonts w:ascii="Arial" w:hAnsi="Arial" w:cs="Arial"/>
          <w:sz w:val="20"/>
          <w:szCs w:val="20"/>
        </w:rPr>
        <w:t>instructor has</w:t>
      </w:r>
      <w:r w:rsidRPr="005827DA">
        <w:rPr>
          <w:rFonts w:ascii="Arial" w:hAnsi="Arial" w:cs="Arial"/>
          <w:spacing w:val="-6"/>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explain:</w:t>
      </w:r>
    </w:p>
    <w:p w14:paraId="6DA55EE8" w14:textId="77777777" w:rsidR="00F20810" w:rsidRPr="005827DA" w:rsidRDefault="00F20810" w:rsidP="005827DA">
      <w:pPr>
        <w:pStyle w:val="ListParagraph"/>
        <w:numPr>
          <w:ilvl w:val="1"/>
          <w:numId w:val="255"/>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pre-landing</w:t>
      </w:r>
      <w:r w:rsidRPr="005827DA">
        <w:rPr>
          <w:rFonts w:ascii="Arial" w:hAnsi="Arial" w:cs="Arial"/>
          <w:spacing w:val="-3"/>
          <w:sz w:val="20"/>
          <w:szCs w:val="20"/>
        </w:rPr>
        <w:t xml:space="preserve"> </w:t>
      </w:r>
      <w:r w:rsidRPr="005827DA">
        <w:rPr>
          <w:rFonts w:ascii="Arial" w:hAnsi="Arial" w:cs="Arial"/>
          <w:sz w:val="20"/>
          <w:szCs w:val="20"/>
        </w:rPr>
        <w:t>checks;</w:t>
      </w:r>
    </w:p>
    <w:p w14:paraId="7C36CA7C" w14:textId="77777777" w:rsidR="00F20810" w:rsidRPr="005827DA" w:rsidRDefault="00F20810" w:rsidP="005827DA">
      <w:pPr>
        <w:pStyle w:val="ListParagraph"/>
        <w:numPr>
          <w:ilvl w:val="1"/>
          <w:numId w:val="255"/>
        </w:numPr>
        <w:tabs>
          <w:tab w:val="left" w:pos="90"/>
          <w:tab w:val="left" w:pos="2975"/>
          <w:tab w:val="left" w:pos="2976"/>
        </w:tabs>
        <w:spacing w:before="118"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3"/>
          <w:sz w:val="20"/>
          <w:szCs w:val="20"/>
        </w:rPr>
        <w:t xml:space="preserve"> </w:t>
      </w:r>
      <w:r w:rsidRPr="005827DA">
        <w:rPr>
          <w:rFonts w:ascii="Arial" w:hAnsi="Arial" w:cs="Arial"/>
          <w:sz w:val="20"/>
          <w:szCs w:val="20"/>
        </w:rPr>
        <w:t>passenger</w:t>
      </w:r>
      <w:r w:rsidRPr="005827DA">
        <w:rPr>
          <w:rFonts w:ascii="Arial" w:hAnsi="Arial" w:cs="Arial"/>
          <w:spacing w:val="-2"/>
          <w:sz w:val="20"/>
          <w:szCs w:val="20"/>
        </w:rPr>
        <w:t xml:space="preserve"> </w:t>
      </w:r>
      <w:r w:rsidRPr="005827DA">
        <w:rPr>
          <w:rFonts w:ascii="Arial" w:hAnsi="Arial" w:cs="Arial"/>
          <w:sz w:val="20"/>
          <w:szCs w:val="20"/>
        </w:rPr>
        <w:t>pre-landing</w:t>
      </w:r>
      <w:r w:rsidRPr="005827DA">
        <w:rPr>
          <w:rFonts w:ascii="Arial" w:hAnsi="Arial" w:cs="Arial"/>
          <w:spacing w:val="-5"/>
          <w:sz w:val="20"/>
          <w:szCs w:val="20"/>
        </w:rPr>
        <w:t xml:space="preserve"> </w:t>
      </w:r>
      <w:r w:rsidRPr="005827DA">
        <w:rPr>
          <w:rFonts w:ascii="Arial" w:hAnsi="Arial" w:cs="Arial"/>
          <w:sz w:val="20"/>
          <w:szCs w:val="20"/>
        </w:rPr>
        <w:t>briefing;</w:t>
      </w:r>
    </w:p>
    <w:p w14:paraId="5D02FFF0" w14:textId="77777777" w:rsidR="00F20810" w:rsidRPr="005827DA" w:rsidRDefault="00F20810" w:rsidP="005827DA">
      <w:pPr>
        <w:pStyle w:val="ListParagraph"/>
        <w:numPr>
          <w:ilvl w:val="1"/>
          <w:numId w:val="255"/>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selection</w:t>
      </w:r>
      <w:r w:rsidRPr="005827DA">
        <w:rPr>
          <w:rFonts w:ascii="Arial" w:hAnsi="Arial" w:cs="Arial"/>
          <w:spacing w:val="-4"/>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fields;</w:t>
      </w:r>
    </w:p>
    <w:p w14:paraId="572194FE" w14:textId="77777777" w:rsidR="00F20810" w:rsidRPr="005827DA" w:rsidRDefault="00F20810" w:rsidP="005827DA">
      <w:pPr>
        <w:pStyle w:val="ListParagraph"/>
        <w:numPr>
          <w:ilvl w:val="1"/>
          <w:numId w:val="255"/>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use</w:t>
      </w:r>
      <w:r w:rsidRPr="005827DA">
        <w:rPr>
          <w:rFonts w:ascii="Arial" w:hAnsi="Arial" w:cs="Arial"/>
          <w:spacing w:val="-3"/>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burner</w:t>
      </w:r>
      <w:r w:rsidRPr="005827DA">
        <w:rPr>
          <w:rFonts w:ascii="Arial" w:hAnsi="Arial" w:cs="Arial"/>
          <w:spacing w:val="-4"/>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parachute</w:t>
      </w:r>
      <w:r w:rsidRPr="005827DA">
        <w:rPr>
          <w:rFonts w:ascii="Arial" w:hAnsi="Arial" w:cs="Arial"/>
          <w:spacing w:val="-1"/>
          <w:sz w:val="20"/>
          <w:szCs w:val="20"/>
        </w:rPr>
        <w:t xml:space="preserve"> </w:t>
      </w:r>
      <w:r w:rsidRPr="005827DA">
        <w:rPr>
          <w:rFonts w:ascii="Arial" w:hAnsi="Arial" w:cs="Arial"/>
          <w:sz w:val="20"/>
          <w:szCs w:val="20"/>
        </w:rPr>
        <w:t>(hot-air</w:t>
      </w:r>
      <w:r w:rsidRPr="005827DA">
        <w:rPr>
          <w:rFonts w:ascii="Arial" w:hAnsi="Arial" w:cs="Arial"/>
          <w:spacing w:val="-2"/>
          <w:sz w:val="20"/>
          <w:szCs w:val="20"/>
        </w:rPr>
        <w:t xml:space="preserve"> </w:t>
      </w:r>
      <w:r w:rsidRPr="005827DA">
        <w:rPr>
          <w:rFonts w:ascii="Arial" w:hAnsi="Arial" w:cs="Arial"/>
          <w:sz w:val="20"/>
          <w:szCs w:val="20"/>
        </w:rPr>
        <w:t>balloons);</w:t>
      </w:r>
    </w:p>
    <w:p w14:paraId="3E5DC950" w14:textId="77777777" w:rsidR="00F20810" w:rsidRPr="005827DA" w:rsidRDefault="00F20810" w:rsidP="005827DA">
      <w:pPr>
        <w:pStyle w:val="ListParagraph"/>
        <w:numPr>
          <w:ilvl w:val="1"/>
          <w:numId w:val="255"/>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use</w:t>
      </w:r>
      <w:r w:rsidRPr="005827DA">
        <w:rPr>
          <w:rFonts w:ascii="Arial" w:hAnsi="Arial" w:cs="Arial"/>
          <w:spacing w:val="-3"/>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ballast</w:t>
      </w:r>
      <w:r w:rsidRPr="005827DA">
        <w:rPr>
          <w:rFonts w:ascii="Arial" w:hAnsi="Arial" w:cs="Arial"/>
          <w:spacing w:val="-2"/>
          <w:sz w:val="20"/>
          <w:szCs w:val="20"/>
        </w:rPr>
        <w:t xml:space="preserve"> </w:t>
      </w:r>
      <w:r w:rsidRPr="005827DA">
        <w:rPr>
          <w:rFonts w:ascii="Arial" w:hAnsi="Arial" w:cs="Arial"/>
          <w:sz w:val="20"/>
          <w:szCs w:val="20"/>
        </w:rPr>
        <w:t>or</w:t>
      </w:r>
      <w:r w:rsidRPr="005827DA">
        <w:rPr>
          <w:rFonts w:ascii="Arial" w:hAnsi="Arial" w:cs="Arial"/>
          <w:spacing w:val="-1"/>
          <w:sz w:val="20"/>
          <w:szCs w:val="20"/>
        </w:rPr>
        <w:t xml:space="preserve"> </w:t>
      </w:r>
      <w:r w:rsidRPr="005827DA">
        <w:rPr>
          <w:rFonts w:ascii="Arial" w:hAnsi="Arial" w:cs="Arial"/>
          <w:sz w:val="20"/>
          <w:szCs w:val="20"/>
        </w:rPr>
        <w:t>parachute</w:t>
      </w:r>
      <w:r w:rsidRPr="005827DA">
        <w:rPr>
          <w:rFonts w:ascii="Arial" w:hAnsi="Arial" w:cs="Arial"/>
          <w:spacing w:val="-1"/>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valve</w:t>
      </w:r>
      <w:r w:rsidRPr="005827DA">
        <w:rPr>
          <w:rFonts w:ascii="Arial" w:hAnsi="Arial" w:cs="Arial"/>
          <w:spacing w:val="-2"/>
          <w:sz w:val="20"/>
          <w:szCs w:val="20"/>
        </w:rPr>
        <w:t xml:space="preserve"> </w:t>
      </w:r>
      <w:r w:rsidRPr="005827DA">
        <w:rPr>
          <w:rFonts w:ascii="Arial" w:hAnsi="Arial" w:cs="Arial"/>
          <w:sz w:val="20"/>
          <w:szCs w:val="20"/>
        </w:rPr>
        <w:t>(gas</w:t>
      </w:r>
      <w:r w:rsidRPr="005827DA">
        <w:rPr>
          <w:rFonts w:ascii="Arial" w:hAnsi="Arial" w:cs="Arial"/>
          <w:spacing w:val="-1"/>
          <w:sz w:val="20"/>
          <w:szCs w:val="20"/>
        </w:rPr>
        <w:t xml:space="preserve"> </w:t>
      </w:r>
      <w:r w:rsidRPr="005827DA">
        <w:rPr>
          <w:rFonts w:ascii="Arial" w:hAnsi="Arial" w:cs="Arial"/>
          <w:sz w:val="20"/>
          <w:szCs w:val="20"/>
        </w:rPr>
        <w:t>balloons);</w:t>
      </w:r>
    </w:p>
    <w:p w14:paraId="2F00D143" w14:textId="77777777" w:rsidR="00F20810" w:rsidRPr="005827DA" w:rsidRDefault="00F20810" w:rsidP="005827DA">
      <w:pPr>
        <w:pStyle w:val="ListParagraph"/>
        <w:numPr>
          <w:ilvl w:val="1"/>
          <w:numId w:val="255"/>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use</w:t>
      </w:r>
      <w:r w:rsidRPr="005827DA">
        <w:rPr>
          <w:rFonts w:ascii="Arial" w:hAnsi="Arial" w:cs="Arial"/>
          <w:spacing w:val="-3"/>
          <w:sz w:val="20"/>
          <w:szCs w:val="20"/>
        </w:rPr>
        <w:t xml:space="preserve"> </w:t>
      </w:r>
      <w:r w:rsidRPr="005827DA">
        <w:rPr>
          <w:rFonts w:ascii="Arial" w:hAnsi="Arial" w:cs="Arial"/>
          <w:sz w:val="20"/>
          <w:szCs w:val="20"/>
        </w:rPr>
        <w:t>of</w:t>
      </w:r>
      <w:r w:rsidRPr="005827DA">
        <w:rPr>
          <w:rFonts w:ascii="Arial" w:hAnsi="Arial" w:cs="Arial"/>
          <w:spacing w:val="-3"/>
          <w:sz w:val="20"/>
          <w:szCs w:val="20"/>
        </w:rPr>
        <w:t xml:space="preserve"> </w:t>
      </w:r>
      <w:r w:rsidRPr="005827DA">
        <w:rPr>
          <w:rFonts w:ascii="Arial" w:hAnsi="Arial" w:cs="Arial"/>
          <w:sz w:val="20"/>
          <w:szCs w:val="20"/>
        </w:rPr>
        <w:t>trail</w:t>
      </w:r>
      <w:r w:rsidRPr="005827DA">
        <w:rPr>
          <w:rFonts w:ascii="Arial" w:hAnsi="Arial" w:cs="Arial"/>
          <w:spacing w:val="-1"/>
          <w:sz w:val="20"/>
          <w:szCs w:val="20"/>
        </w:rPr>
        <w:t xml:space="preserve"> </w:t>
      </w:r>
      <w:r w:rsidRPr="005827DA">
        <w:rPr>
          <w:rFonts w:ascii="Arial" w:hAnsi="Arial" w:cs="Arial"/>
          <w:sz w:val="20"/>
          <w:szCs w:val="20"/>
        </w:rPr>
        <w:t>rope (if</w:t>
      </w:r>
      <w:r w:rsidRPr="005827DA">
        <w:rPr>
          <w:rFonts w:ascii="Arial" w:hAnsi="Arial" w:cs="Arial"/>
          <w:spacing w:val="-4"/>
          <w:sz w:val="20"/>
          <w:szCs w:val="20"/>
        </w:rPr>
        <w:t xml:space="preserve"> </w:t>
      </w:r>
      <w:r w:rsidRPr="005827DA">
        <w:rPr>
          <w:rFonts w:ascii="Arial" w:hAnsi="Arial" w:cs="Arial"/>
          <w:sz w:val="20"/>
          <w:szCs w:val="20"/>
        </w:rPr>
        <w:t>applicable)</w:t>
      </w:r>
      <w:r w:rsidRPr="005827DA">
        <w:rPr>
          <w:rFonts w:ascii="Arial" w:hAnsi="Arial" w:cs="Arial"/>
          <w:spacing w:val="1"/>
          <w:sz w:val="20"/>
          <w:szCs w:val="20"/>
        </w:rPr>
        <w:t xml:space="preserve"> </w:t>
      </w:r>
      <w:r w:rsidRPr="005827DA">
        <w:rPr>
          <w:rFonts w:ascii="Arial" w:hAnsi="Arial" w:cs="Arial"/>
          <w:sz w:val="20"/>
          <w:szCs w:val="20"/>
        </w:rPr>
        <w:t>(gas</w:t>
      </w:r>
      <w:r w:rsidRPr="005827DA">
        <w:rPr>
          <w:rFonts w:ascii="Arial" w:hAnsi="Arial" w:cs="Arial"/>
          <w:spacing w:val="-4"/>
          <w:sz w:val="20"/>
          <w:szCs w:val="20"/>
        </w:rPr>
        <w:t xml:space="preserve"> </w:t>
      </w:r>
      <w:r w:rsidRPr="005827DA">
        <w:rPr>
          <w:rFonts w:ascii="Arial" w:hAnsi="Arial" w:cs="Arial"/>
          <w:sz w:val="20"/>
          <w:szCs w:val="20"/>
        </w:rPr>
        <w:t>balloons);</w:t>
      </w:r>
    </w:p>
    <w:p w14:paraId="4D68D0F4" w14:textId="77777777" w:rsidR="00F20810" w:rsidRPr="005827DA" w:rsidRDefault="00F20810" w:rsidP="005827DA">
      <w:pPr>
        <w:pStyle w:val="ListParagraph"/>
        <w:numPr>
          <w:ilvl w:val="1"/>
          <w:numId w:val="255"/>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look-out</w:t>
      </w:r>
      <w:r w:rsidRPr="005827DA">
        <w:rPr>
          <w:rFonts w:ascii="Arial" w:hAnsi="Arial" w:cs="Arial"/>
          <w:spacing w:val="-3"/>
          <w:sz w:val="20"/>
          <w:szCs w:val="20"/>
        </w:rPr>
        <w:t xml:space="preserve"> </w:t>
      </w:r>
      <w:r w:rsidRPr="005827DA">
        <w:rPr>
          <w:rFonts w:ascii="Arial" w:hAnsi="Arial" w:cs="Arial"/>
          <w:sz w:val="20"/>
          <w:szCs w:val="20"/>
        </w:rPr>
        <w:t>procedures;</w:t>
      </w:r>
      <w:r w:rsidRPr="005827DA">
        <w:rPr>
          <w:rFonts w:ascii="Arial" w:hAnsi="Arial" w:cs="Arial"/>
          <w:spacing w:val="-2"/>
          <w:sz w:val="20"/>
          <w:szCs w:val="20"/>
        </w:rPr>
        <w:t xml:space="preserve"> </w:t>
      </w:r>
      <w:r w:rsidRPr="005827DA">
        <w:rPr>
          <w:rFonts w:ascii="Arial" w:hAnsi="Arial" w:cs="Arial"/>
          <w:sz w:val="20"/>
          <w:szCs w:val="20"/>
        </w:rPr>
        <w:t>and</w:t>
      </w:r>
    </w:p>
    <w:p w14:paraId="492503C5" w14:textId="77777777" w:rsidR="00F20810" w:rsidRPr="005827DA" w:rsidRDefault="00F20810" w:rsidP="005827DA">
      <w:pPr>
        <w:pStyle w:val="ListParagraph"/>
        <w:numPr>
          <w:ilvl w:val="1"/>
          <w:numId w:val="255"/>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missed</w:t>
      </w:r>
      <w:r w:rsidRPr="005827DA">
        <w:rPr>
          <w:rFonts w:ascii="Arial" w:hAnsi="Arial" w:cs="Arial"/>
          <w:spacing w:val="-5"/>
          <w:sz w:val="20"/>
          <w:szCs w:val="20"/>
        </w:rPr>
        <w:t xml:space="preserve"> </w:t>
      </w:r>
      <w:r w:rsidRPr="005827DA">
        <w:rPr>
          <w:rFonts w:ascii="Arial" w:hAnsi="Arial" w:cs="Arial"/>
          <w:sz w:val="20"/>
          <w:szCs w:val="20"/>
        </w:rPr>
        <w:t>approach</w:t>
      </w:r>
      <w:r w:rsidRPr="005827DA">
        <w:rPr>
          <w:rFonts w:ascii="Arial" w:hAnsi="Arial" w:cs="Arial"/>
          <w:spacing w:val="-2"/>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fly-on</w:t>
      </w:r>
      <w:r w:rsidRPr="005827DA">
        <w:rPr>
          <w:rFonts w:ascii="Arial" w:hAnsi="Arial" w:cs="Arial"/>
          <w:spacing w:val="-2"/>
          <w:sz w:val="20"/>
          <w:szCs w:val="20"/>
        </w:rPr>
        <w:t xml:space="preserve"> </w:t>
      </w:r>
      <w:r w:rsidRPr="005827DA">
        <w:rPr>
          <w:rFonts w:ascii="Arial" w:hAnsi="Arial" w:cs="Arial"/>
          <w:sz w:val="20"/>
          <w:szCs w:val="20"/>
        </w:rPr>
        <w:t>procedures.</w:t>
      </w:r>
    </w:p>
    <w:p w14:paraId="2C0E8252" w14:textId="77777777" w:rsidR="00F20810" w:rsidRPr="005827DA" w:rsidRDefault="00F20810" w:rsidP="005827DA">
      <w:pPr>
        <w:pStyle w:val="ListParagraph"/>
        <w:numPr>
          <w:ilvl w:val="0"/>
          <w:numId w:val="255"/>
        </w:numPr>
        <w:tabs>
          <w:tab w:val="left" w:pos="90"/>
          <w:tab w:val="left" w:pos="2408"/>
          <w:tab w:val="left" w:pos="2409"/>
        </w:tabs>
        <w:spacing w:line="276" w:lineRule="auto"/>
        <w:ind w:right="68" w:hanging="436"/>
        <w:jc w:val="both"/>
        <w:rPr>
          <w:rFonts w:ascii="Arial" w:hAnsi="Arial" w:cs="Arial"/>
          <w:sz w:val="20"/>
          <w:szCs w:val="20"/>
        </w:rPr>
      </w:pPr>
      <w:r w:rsidRPr="005827DA">
        <w:rPr>
          <w:rFonts w:ascii="Arial" w:hAnsi="Arial" w:cs="Arial"/>
          <w:sz w:val="20"/>
          <w:szCs w:val="20"/>
        </w:rPr>
        <w:t>Air</w:t>
      </w:r>
      <w:r w:rsidRPr="005827DA">
        <w:rPr>
          <w:rFonts w:ascii="Arial" w:hAnsi="Arial" w:cs="Arial"/>
          <w:spacing w:val="-1"/>
          <w:sz w:val="20"/>
          <w:szCs w:val="20"/>
        </w:rPr>
        <w:t xml:space="preserve"> </w:t>
      </w:r>
      <w:r w:rsidRPr="005827DA">
        <w:rPr>
          <w:rFonts w:ascii="Arial" w:hAnsi="Arial" w:cs="Arial"/>
          <w:sz w:val="20"/>
          <w:szCs w:val="20"/>
        </w:rPr>
        <w:t>exercise</w:t>
      </w:r>
    </w:p>
    <w:p w14:paraId="43AA50E4" w14:textId="77777777" w:rsidR="00F20810" w:rsidRPr="005827DA" w:rsidRDefault="00F20810" w:rsidP="005827DA">
      <w:pPr>
        <w:pStyle w:val="BodyText"/>
        <w:tabs>
          <w:tab w:val="left" w:pos="90"/>
        </w:tabs>
        <w:spacing w:line="276" w:lineRule="auto"/>
        <w:ind w:left="2408"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student</w:t>
      </w:r>
      <w:r w:rsidRPr="005827DA">
        <w:rPr>
          <w:rFonts w:ascii="Arial" w:hAnsi="Arial" w:cs="Arial"/>
          <w:spacing w:val="-3"/>
          <w:sz w:val="20"/>
          <w:szCs w:val="20"/>
        </w:rPr>
        <w:t xml:space="preserve"> </w:t>
      </w:r>
      <w:r w:rsidRPr="005827DA">
        <w:rPr>
          <w:rFonts w:ascii="Arial" w:hAnsi="Arial" w:cs="Arial"/>
          <w:sz w:val="20"/>
          <w:szCs w:val="20"/>
        </w:rPr>
        <w:t>instructor</w:t>
      </w:r>
      <w:r w:rsidRPr="005827DA">
        <w:rPr>
          <w:rFonts w:ascii="Arial" w:hAnsi="Arial" w:cs="Arial"/>
          <w:spacing w:val="-2"/>
          <w:sz w:val="20"/>
          <w:szCs w:val="20"/>
        </w:rPr>
        <w:t xml:space="preserve"> </w:t>
      </w:r>
      <w:r w:rsidRPr="005827DA">
        <w:rPr>
          <w:rFonts w:ascii="Arial" w:hAnsi="Arial" w:cs="Arial"/>
          <w:sz w:val="20"/>
          <w:szCs w:val="20"/>
        </w:rPr>
        <w:t>has</w:t>
      </w:r>
      <w:r w:rsidRPr="005827DA">
        <w:rPr>
          <w:rFonts w:ascii="Arial" w:hAnsi="Arial" w:cs="Arial"/>
          <w:spacing w:val="-6"/>
          <w:sz w:val="20"/>
          <w:szCs w:val="20"/>
        </w:rPr>
        <w:t xml:space="preserve"> </w:t>
      </w:r>
      <w:r w:rsidRPr="005827DA">
        <w:rPr>
          <w:rFonts w:ascii="Arial" w:hAnsi="Arial" w:cs="Arial"/>
          <w:sz w:val="20"/>
          <w:szCs w:val="20"/>
        </w:rPr>
        <w:t>to demonstrate:</w:t>
      </w:r>
    </w:p>
    <w:p w14:paraId="77EE1124" w14:textId="77777777" w:rsidR="00F20810" w:rsidRPr="005827DA" w:rsidRDefault="00F20810" w:rsidP="005827DA">
      <w:pPr>
        <w:pStyle w:val="ListParagraph"/>
        <w:numPr>
          <w:ilvl w:val="1"/>
          <w:numId w:val="255"/>
        </w:numPr>
        <w:tabs>
          <w:tab w:val="left" w:pos="90"/>
          <w:tab w:val="left" w:pos="2975"/>
          <w:tab w:val="left" w:pos="2976"/>
        </w:tabs>
        <w:spacing w:before="118"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use</w:t>
      </w:r>
      <w:r w:rsidRPr="005827DA">
        <w:rPr>
          <w:rFonts w:ascii="Arial" w:hAnsi="Arial" w:cs="Arial"/>
          <w:spacing w:val="-2"/>
          <w:sz w:val="20"/>
          <w:szCs w:val="20"/>
        </w:rPr>
        <w:t xml:space="preserve"> </w:t>
      </w:r>
      <w:r w:rsidRPr="005827DA">
        <w:rPr>
          <w:rFonts w:ascii="Arial" w:hAnsi="Arial" w:cs="Arial"/>
          <w:sz w:val="20"/>
          <w:szCs w:val="20"/>
        </w:rPr>
        <w:t>of</w:t>
      </w:r>
      <w:r w:rsidRPr="005827DA">
        <w:rPr>
          <w:rFonts w:ascii="Arial" w:hAnsi="Arial" w:cs="Arial"/>
          <w:spacing w:val="-2"/>
          <w:sz w:val="20"/>
          <w:szCs w:val="20"/>
        </w:rPr>
        <w:t xml:space="preserve"> </w:t>
      </w:r>
      <w:r w:rsidRPr="005827DA">
        <w:rPr>
          <w:rFonts w:ascii="Arial" w:hAnsi="Arial" w:cs="Arial"/>
          <w:sz w:val="20"/>
          <w:szCs w:val="20"/>
        </w:rPr>
        <w:t>the pre</w:t>
      </w:r>
      <w:r w:rsidRPr="005827DA">
        <w:rPr>
          <w:rFonts w:ascii="Arial" w:hAnsi="Arial" w:cs="Arial"/>
          <w:spacing w:val="-3"/>
          <w:sz w:val="20"/>
          <w:szCs w:val="20"/>
        </w:rPr>
        <w:t xml:space="preserve"> </w:t>
      </w:r>
      <w:r w:rsidRPr="005827DA">
        <w:rPr>
          <w:rFonts w:ascii="Arial" w:hAnsi="Arial" w:cs="Arial"/>
          <w:sz w:val="20"/>
          <w:szCs w:val="20"/>
        </w:rPr>
        <w:t>landing</w:t>
      </w:r>
      <w:r w:rsidRPr="005827DA">
        <w:rPr>
          <w:rFonts w:ascii="Arial" w:hAnsi="Arial" w:cs="Arial"/>
          <w:spacing w:val="-1"/>
          <w:sz w:val="20"/>
          <w:szCs w:val="20"/>
        </w:rPr>
        <w:t xml:space="preserve"> </w:t>
      </w:r>
      <w:r w:rsidRPr="005827DA">
        <w:rPr>
          <w:rFonts w:ascii="Arial" w:hAnsi="Arial" w:cs="Arial"/>
          <w:sz w:val="20"/>
          <w:szCs w:val="20"/>
        </w:rPr>
        <w:t>checks;</w:t>
      </w:r>
    </w:p>
    <w:p w14:paraId="03149BE0" w14:textId="77777777" w:rsidR="00F20810" w:rsidRPr="005827DA" w:rsidRDefault="00F20810" w:rsidP="005827DA">
      <w:pPr>
        <w:pStyle w:val="ListParagraph"/>
        <w:numPr>
          <w:ilvl w:val="1"/>
          <w:numId w:val="255"/>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selection</w:t>
      </w:r>
      <w:r w:rsidRPr="005827DA">
        <w:rPr>
          <w:rFonts w:ascii="Arial" w:hAnsi="Arial" w:cs="Arial"/>
          <w:spacing w:val="-4"/>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fields;</w:t>
      </w:r>
    </w:p>
    <w:p w14:paraId="48AC9559" w14:textId="77777777" w:rsidR="00F20810" w:rsidRPr="005827DA" w:rsidRDefault="00F20810" w:rsidP="005827DA">
      <w:pPr>
        <w:pStyle w:val="ListParagraph"/>
        <w:numPr>
          <w:ilvl w:val="1"/>
          <w:numId w:val="255"/>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use</w:t>
      </w:r>
      <w:r w:rsidRPr="005827DA">
        <w:rPr>
          <w:rFonts w:ascii="Arial" w:hAnsi="Arial" w:cs="Arial"/>
          <w:spacing w:val="-3"/>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burner</w:t>
      </w:r>
      <w:r w:rsidRPr="005827DA">
        <w:rPr>
          <w:rFonts w:ascii="Arial" w:hAnsi="Arial" w:cs="Arial"/>
          <w:spacing w:val="-4"/>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parachute</w:t>
      </w:r>
      <w:r w:rsidRPr="005827DA">
        <w:rPr>
          <w:rFonts w:ascii="Arial" w:hAnsi="Arial" w:cs="Arial"/>
          <w:spacing w:val="-1"/>
          <w:sz w:val="20"/>
          <w:szCs w:val="20"/>
        </w:rPr>
        <w:t xml:space="preserve"> </w:t>
      </w:r>
      <w:r w:rsidRPr="005827DA">
        <w:rPr>
          <w:rFonts w:ascii="Arial" w:hAnsi="Arial" w:cs="Arial"/>
          <w:sz w:val="20"/>
          <w:szCs w:val="20"/>
        </w:rPr>
        <w:t>(hot-air</w:t>
      </w:r>
      <w:r w:rsidRPr="005827DA">
        <w:rPr>
          <w:rFonts w:ascii="Arial" w:hAnsi="Arial" w:cs="Arial"/>
          <w:spacing w:val="-2"/>
          <w:sz w:val="20"/>
          <w:szCs w:val="20"/>
        </w:rPr>
        <w:t xml:space="preserve"> </w:t>
      </w:r>
      <w:r w:rsidRPr="005827DA">
        <w:rPr>
          <w:rFonts w:ascii="Arial" w:hAnsi="Arial" w:cs="Arial"/>
          <w:sz w:val="20"/>
          <w:szCs w:val="20"/>
        </w:rPr>
        <w:t>balloons);</w:t>
      </w:r>
    </w:p>
    <w:p w14:paraId="1FEA6149" w14:textId="77777777" w:rsidR="00F20810" w:rsidRPr="005827DA" w:rsidRDefault="00F20810" w:rsidP="005827DA">
      <w:pPr>
        <w:pStyle w:val="ListParagraph"/>
        <w:numPr>
          <w:ilvl w:val="1"/>
          <w:numId w:val="255"/>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use</w:t>
      </w:r>
      <w:r w:rsidRPr="005827DA">
        <w:rPr>
          <w:rFonts w:ascii="Arial" w:hAnsi="Arial" w:cs="Arial"/>
          <w:spacing w:val="-3"/>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ballast</w:t>
      </w:r>
      <w:r w:rsidRPr="005827DA">
        <w:rPr>
          <w:rFonts w:ascii="Arial" w:hAnsi="Arial" w:cs="Arial"/>
          <w:spacing w:val="-3"/>
          <w:sz w:val="20"/>
          <w:szCs w:val="20"/>
        </w:rPr>
        <w:t xml:space="preserve"> </w:t>
      </w:r>
      <w:r w:rsidRPr="005827DA">
        <w:rPr>
          <w:rFonts w:ascii="Arial" w:hAnsi="Arial" w:cs="Arial"/>
          <w:sz w:val="20"/>
          <w:szCs w:val="20"/>
        </w:rPr>
        <w:t>or</w:t>
      </w:r>
      <w:r w:rsidRPr="005827DA">
        <w:rPr>
          <w:rFonts w:ascii="Arial" w:hAnsi="Arial" w:cs="Arial"/>
          <w:spacing w:val="-1"/>
          <w:sz w:val="20"/>
          <w:szCs w:val="20"/>
        </w:rPr>
        <w:t xml:space="preserve"> </w:t>
      </w:r>
      <w:r w:rsidRPr="005827DA">
        <w:rPr>
          <w:rFonts w:ascii="Arial" w:hAnsi="Arial" w:cs="Arial"/>
          <w:sz w:val="20"/>
          <w:szCs w:val="20"/>
        </w:rPr>
        <w:t>parachute</w:t>
      </w:r>
      <w:r w:rsidRPr="005827DA">
        <w:rPr>
          <w:rFonts w:ascii="Arial" w:hAnsi="Arial" w:cs="Arial"/>
          <w:spacing w:val="-1"/>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valve</w:t>
      </w:r>
      <w:r w:rsidRPr="005827DA">
        <w:rPr>
          <w:rFonts w:ascii="Arial" w:hAnsi="Arial" w:cs="Arial"/>
          <w:spacing w:val="-3"/>
          <w:sz w:val="20"/>
          <w:szCs w:val="20"/>
        </w:rPr>
        <w:t xml:space="preserve"> </w:t>
      </w:r>
      <w:r w:rsidRPr="005827DA">
        <w:rPr>
          <w:rFonts w:ascii="Arial" w:hAnsi="Arial" w:cs="Arial"/>
          <w:sz w:val="20"/>
          <w:szCs w:val="20"/>
        </w:rPr>
        <w:t>(gas</w:t>
      </w:r>
      <w:r w:rsidRPr="005827DA">
        <w:rPr>
          <w:rFonts w:ascii="Arial" w:hAnsi="Arial" w:cs="Arial"/>
          <w:spacing w:val="-1"/>
          <w:sz w:val="20"/>
          <w:szCs w:val="20"/>
        </w:rPr>
        <w:t xml:space="preserve"> </w:t>
      </w:r>
      <w:r w:rsidRPr="005827DA">
        <w:rPr>
          <w:rFonts w:ascii="Arial" w:hAnsi="Arial" w:cs="Arial"/>
          <w:sz w:val="20"/>
          <w:szCs w:val="20"/>
        </w:rPr>
        <w:t>balloons);</w:t>
      </w:r>
    </w:p>
    <w:p w14:paraId="7DA2F1DA" w14:textId="77777777" w:rsidR="00F20810" w:rsidRPr="005827DA" w:rsidRDefault="00F20810" w:rsidP="005827DA">
      <w:pPr>
        <w:pStyle w:val="ListParagraph"/>
        <w:numPr>
          <w:ilvl w:val="1"/>
          <w:numId w:val="255"/>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lastRenderedPageBreak/>
        <w:t>the</w:t>
      </w:r>
      <w:r w:rsidRPr="005827DA">
        <w:rPr>
          <w:rFonts w:ascii="Arial" w:hAnsi="Arial" w:cs="Arial"/>
          <w:spacing w:val="-1"/>
          <w:sz w:val="20"/>
          <w:szCs w:val="20"/>
        </w:rPr>
        <w:t xml:space="preserve"> </w:t>
      </w:r>
      <w:r w:rsidRPr="005827DA">
        <w:rPr>
          <w:rFonts w:ascii="Arial" w:hAnsi="Arial" w:cs="Arial"/>
          <w:sz w:val="20"/>
          <w:szCs w:val="20"/>
        </w:rPr>
        <w:t>use</w:t>
      </w:r>
      <w:r w:rsidRPr="005827DA">
        <w:rPr>
          <w:rFonts w:ascii="Arial" w:hAnsi="Arial" w:cs="Arial"/>
          <w:spacing w:val="-3"/>
          <w:sz w:val="20"/>
          <w:szCs w:val="20"/>
        </w:rPr>
        <w:t xml:space="preserve"> </w:t>
      </w:r>
      <w:r w:rsidRPr="005827DA">
        <w:rPr>
          <w:rFonts w:ascii="Arial" w:hAnsi="Arial" w:cs="Arial"/>
          <w:sz w:val="20"/>
          <w:szCs w:val="20"/>
        </w:rPr>
        <w:t>of</w:t>
      </w:r>
      <w:r w:rsidRPr="005827DA">
        <w:rPr>
          <w:rFonts w:ascii="Arial" w:hAnsi="Arial" w:cs="Arial"/>
          <w:spacing w:val="-3"/>
          <w:sz w:val="20"/>
          <w:szCs w:val="20"/>
        </w:rPr>
        <w:t xml:space="preserve"> </w:t>
      </w:r>
      <w:r w:rsidRPr="005827DA">
        <w:rPr>
          <w:rFonts w:ascii="Arial" w:hAnsi="Arial" w:cs="Arial"/>
          <w:sz w:val="20"/>
          <w:szCs w:val="20"/>
        </w:rPr>
        <w:t>trail</w:t>
      </w:r>
      <w:r w:rsidRPr="005827DA">
        <w:rPr>
          <w:rFonts w:ascii="Arial" w:hAnsi="Arial" w:cs="Arial"/>
          <w:spacing w:val="-1"/>
          <w:sz w:val="20"/>
          <w:szCs w:val="20"/>
        </w:rPr>
        <w:t xml:space="preserve"> </w:t>
      </w:r>
      <w:r w:rsidRPr="005827DA">
        <w:rPr>
          <w:rFonts w:ascii="Arial" w:hAnsi="Arial" w:cs="Arial"/>
          <w:sz w:val="20"/>
          <w:szCs w:val="20"/>
        </w:rPr>
        <w:t>rope (if</w:t>
      </w:r>
      <w:r w:rsidRPr="005827DA">
        <w:rPr>
          <w:rFonts w:ascii="Arial" w:hAnsi="Arial" w:cs="Arial"/>
          <w:spacing w:val="-4"/>
          <w:sz w:val="20"/>
          <w:szCs w:val="20"/>
        </w:rPr>
        <w:t xml:space="preserve"> </w:t>
      </w:r>
      <w:r w:rsidRPr="005827DA">
        <w:rPr>
          <w:rFonts w:ascii="Arial" w:hAnsi="Arial" w:cs="Arial"/>
          <w:sz w:val="20"/>
          <w:szCs w:val="20"/>
        </w:rPr>
        <w:t>applicable)</w:t>
      </w:r>
      <w:r w:rsidRPr="005827DA">
        <w:rPr>
          <w:rFonts w:ascii="Arial" w:hAnsi="Arial" w:cs="Arial"/>
          <w:spacing w:val="1"/>
          <w:sz w:val="20"/>
          <w:szCs w:val="20"/>
        </w:rPr>
        <w:t xml:space="preserve"> </w:t>
      </w:r>
      <w:r w:rsidRPr="005827DA">
        <w:rPr>
          <w:rFonts w:ascii="Arial" w:hAnsi="Arial" w:cs="Arial"/>
          <w:sz w:val="20"/>
          <w:szCs w:val="20"/>
        </w:rPr>
        <w:t>(gas</w:t>
      </w:r>
      <w:r w:rsidRPr="005827DA">
        <w:rPr>
          <w:rFonts w:ascii="Arial" w:hAnsi="Arial" w:cs="Arial"/>
          <w:spacing w:val="-4"/>
          <w:sz w:val="20"/>
          <w:szCs w:val="20"/>
        </w:rPr>
        <w:t xml:space="preserve"> </w:t>
      </w:r>
      <w:r w:rsidRPr="005827DA">
        <w:rPr>
          <w:rFonts w:ascii="Arial" w:hAnsi="Arial" w:cs="Arial"/>
          <w:sz w:val="20"/>
          <w:szCs w:val="20"/>
        </w:rPr>
        <w:t>balloons);</w:t>
      </w:r>
    </w:p>
    <w:p w14:paraId="6F252B35" w14:textId="77777777" w:rsidR="00F20810" w:rsidRPr="005827DA" w:rsidRDefault="00F20810" w:rsidP="005827DA">
      <w:pPr>
        <w:pStyle w:val="ListParagraph"/>
        <w:numPr>
          <w:ilvl w:val="1"/>
          <w:numId w:val="255"/>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look-out</w:t>
      </w:r>
      <w:r w:rsidRPr="005827DA">
        <w:rPr>
          <w:rFonts w:ascii="Arial" w:hAnsi="Arial" w:cs="Arial"/>
          <w:spacing w:val="-1"/>
          <w:sz w:val="20"/>
          <w:szCs w:val="20"/>
        </w:rPr>
        <w:t xml:space="preserve"> </w:t>
      </w:r>
      <w:r w:rsidRPr="005827DA">
        <w:rPr>
          <w:rFonts w:ascii="Arial" w:hAnsi="Arial" w:cs="Arial"/>
          <w:sz w:val="20"/>
          <w:szCs w:val="20"/>
        </w:rPr>
        <w:t>procedures</w:t>
      </w:r>
      <w:r w:rsidRPr="005827DA">
        <w:rPr>
          <w:rFonts w:ascii="Arial" w:hAnsi="Arial" w:cs="Arial"/>
          <w:spacing w:val="-2"/>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how</w:t>
      </w:r>
      <w:r w:rsidRPr="005827DA">
        <w:rPr>
          <w:rFonts w:ascii="Arial" w:hAnsi="Arial" w:cs="Arial"/>
          <w:spacing w:val="-3"/>
          <w:sz w:val="20"/>
          <w:szCs w:val="20"/>
        </w:rPr>
        <w:t xml:space="preserve"> </w:t>
      </w:r>
      <w:r w:rsidRPr="005827DA">
        <w:rPr>
          <w:rFonts w:ascii="Arial" w:hAnsi="Arial" w:cs="Arial"/>
          <w:sz w:val="20"/>
          <w:szCs w:val="20"/>
        </w:rPr>
        <w:t>to</w:t>
      </w:r>
      <w:r w:rsidRPr="005827DA">
        <w:rPr>
          <w:rFonts w:ascii="Arial" w:hAnsi="Arial" w:cs="Arial"/>
          <w:spacing w:val="-3"/>
          <w:sz w:val="20"/>
          <w:szCs w:val="20"/>
        </w:rPr>
        <w:t xml:space="preserve"> </w:t>
      </w:r>
      <w:r w:rsidRPr="005827DA">
        <w:rPr>
          <w:rFonts w:ascii="Arial" w:hAnsi="Arial" w:cs="Arial"/>
          <w:sz w:val="20"/>
          <w:szCs w:val="20"/>
        </w:rPr>
        <w:t>avoid</w:t>
      </w:r>
      <w:r w:rsidRPr="005827DA">
        <w:rPr>
          <w:rFonts w:ascii="Arial" w:hAnsi="Arial" w:cs="Arial"/>
          <w:spacing w:val="-2"/>
          <w:sz w:val="20"/>
          <w:szCs w:val="20"/>
        </w:rPr>
        <w:t xml:space="preserve"> </w:t>
      </w:r>
      <w:r w:rsidRPr="005827DA">
        <w:rPr>
          <w:rFonts w:ascii="Arial" w:hAnsi="Arial" w:cs="Arial"/>
          <w:sz w:val="20"/>
          <w:szCs w:val="20"/>
        </w:rPr>
        <w:t>possible</w:t>
      </w:r>
      <w:r w:rsidRPr="005827DA">
        <w:rPr>
          <w:rFonts w:ascii="Arial" w:hAnsi="Arial" w:cs="Arial"/>
          <w:spacing w:val="-1"/>
          <w:sz w:val="20"/>
          <w:szCs w:val="20"/>
        </w:rPr>
        <w:t xml:space="preserve"> </w:t>
      </w:r>
      <w:r w:rsidRPr="005827DA">
        <w:rPr>
          <w:rFonts w:ascii="Arial" w:hAnsi="Arial" w:cs="Arial"/>
          <w:sz w:val="20"/>
          <w:szCs w:val="20"/>
        </w:rPr>
        <w:t>distractions;</w:t>
      </w:r>
    </w:p>
    <w:p w14:paraId="7FF7898F" w14:textId="77777777" w:rsidR="00F20810" w:rsidRPr="005827DA" w:rsidRDefault="00F20810" w:rsidP="005827DA">
      <w:pPr>
        <w:pStyle w:val="ListParagraph"/>
        <w:numPr>
          <w:ilvl w:val="1"/>
          <w:numId w:val="255"/>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missed approach</w:t>
      </w:r>
      <w:r w:rsidRPr="005827DA">
        <w:rPr>
          <w:rFonts w:ascii="Arial" w:hAnsi="Arial" w:cs="Arial"/>
          <w:spacing w:val="-1"/>
          <w:sz w:val="20"/>
          <w:szCs w:val="20"/>
        </w:rPr>
        <w:t xml:space="preserve"> </w:t>
      </w:r>
      <w:r w:rsidRPr="005827DA">
        <w:rPr>
          <w:rFonts w:ascii="Arial" w:hAnsi="Arial" w:cs="Arial"/>
          <w:sz w:val="20"/>
          <w:szCs w:val="20"/>
        </w:rPr>
        <w:t>and</w:t>
      </w:r>
      <w:r w:rsidRPr="005827DA">
        <w:rPr>
          <w:rFonts w:ascii="Arial" w:hAnsi="Arial" w:cs="Arial"/>
          <w:spacing w:val="-1"/>
          <w:sz w:val="20"/>
          <w:szCs w:val="20"/>
        </w:rPr>
        <w:t xml:space="preserve"> </w:t>
      </w:r>
      <w:r w:rsidRPr="005827DA">
        <w:rPr>
          <w:rFonts w:ascii="Arial" w:hAnsi="Arial" w:cs="Arial"/>
          <w:sz w:val="20"/>
          <w:szCs w:val="20"/>
        </w:rPr>
        <w:t>fly-on</w:t>
      </w:r>
      <w:r w:rsidRPr="005827DA">
        <w:rPr>
          <w:rFonts w:ascii="Arial" w:hAnsi="Arial" w:cs="Arial"/>
          <w:spacing w:val="-1"/>
          <w:sz w:val="20"/>
          <w:szCs w:val="20"/>
        </w:rPr>
        <w:t xml:space="preserve"> </w:t>
      </w:r>
      <w:r w:rsidRPr="005827DA">
        <w:rPr>
          <w:rFonts w:ascii="Arial" w:hAnsi="Arial" w:cs="Arial"/>
          <w:sz w:val="20"/>
          <w:szCs w:val="20"/>
        </w:rPr>
        <w:t>techniques;</w:t>
      </w:r>
    </w:p>
    <w:p w14:paraId="56653626" w14:textId="77777777" w:rsidR="00F20810" w:rsidRPr="005827DA" w:rsidRDefault="00F20810" w:rsidP="005827DA">
      <w:pPr>
        <w:pStyle w:val="ListParagraph"/>
        <w:numPr>
          <w:ilvl w:val="1"/>
          <w:numId w:val="255"/>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30"/>
          <w:sz w:val="20"/>
          <w:szCs w:val="20"/>
        </w:rPr>
        <w:t xml:space="preserve"> </w:t>
      </w:r>
      <w:r w:rsidRPr="005827DA">
        <w:rPr>
          <w:rFonts w:ascii="Arial" w:hAnsi="Arial" w:cs="Arial"/>
          <w:sz w:val="20"/>
          <w:szCs w:val="20"/>
        </w:rPr>
        <w:t>to</w:t>
      </w:r>
      <w:r w:rsidRPr="005827DA">
        <w:rPr>
          <w:rFonts w:ascii="Arial" w:hAnsi="Arial" w:cs="Arial"/>
          <w:spacing w:val="32"/>
          <w:sz w:val="20"/>
          <w:szCs w:val="20"/>
        </w:rPr>
        <w:t xml:space="preserve"> </w:t>
      </w:r>
      <w:r w:rsidRPr="005827DA">
        <w:rPr>
          <w:rFonts w:ascii="Arial" w:hAnsi="Arial" w:cs="Arial"/>
          <w:sz w:val="20"/>
          <w:szCs w:val="20"/>
        </w:rPr>
        <w:t>advise</w:t>
      </w:r>
      <w:r w:rsidRPr="005827DA">
        <w:rPr>
          <w:rFonts w:ascii="Arial" w:hAnsi="Arial" w:cs="Arial"/>
          <w:spacing w:val="31"/>
          <w:sz w:val="20"/>
          <w:szCs w:val="20"/>
        </w:rPr>
        <w:t xml:space="preserve"> </w:t>
      </w:r>
      <w:r w:rsidRPr="005827DA">
        <w:rPr>
          <w:rFonts w:ascii="Arial" w:hAnsi="Arial" w:cs="Arial"/>
          <w:sz w:val="20"/>
          <w:szCs w:val="20"/>
        </w:rPr>
        <w:t>the</w:t>
      </w:r>
      <w:r w:rsidRPr="005827DA">
        <w:rPr>
          <w:rFonts w:ascii="Arial" w:hAnsi="Arial" w:cs="Arial"/>
          <w:spacing w:val="31"/>
          <w:sz w:val="20"/>
          <w:szCs w:val="20"/>
        </w:rPr>
        <w:t xml:space="preserve"> </w:t>
      </w:r>
      <w:r w:rsidRPr="005827DA">
        <w:rPr>
          <w:rFonts w:ascii="Arial" w:hAnsi="Arial" w:cs="Arial"/>
          <w:sz w:val="20"/>
          <w:szCs w:val="20"/>
        </w:rPr>
        <w:t>student</w:t>
      </w:r>
      <w:r w:rsidRPr="005827DA">
        <w:rPr>
          <w:rFonts w:ascii="Arial" w:hAnsi="Arial" w:cs="Arial"/>
          <w:spacing w:val="31"/>
          <w:sz w:val="20"/>
          <w:szCs w:val="20"/>
        </w:rPr>
        <w:t xml:space="preserve"> </w:t>
      </w:r>
      <w:r w:rsidRPr="005827DA">
        <w:rPr>
          <w:rFonts w:ascii="Arial" w:hAnsi="Arial" w:cs="Arial"/>
          <w:sz w:val="20"/>
          <w:szCs w:val="20"/>
        </w:rPr>
        <w:t>pilot</w:t>
      </w:r>
      <w:r w:rsidRPr="005827DA">
        <w:rPr>
          <w:rFonts w:ascii="Arial" w:hAnsi="Arial" w:cs="Arial"/>
          <w:spacing w:val="31"/>
          <w:sz w:val="20"/>
          <w:szCs w:val="20"/>
        </w:rPr>
        <w:t xml:space="preserve"> </w:t>
      </w:r>
      <w:r w:rsidRPr="005827DA">
        <w:rPr>
          <w:rFonts w:ascii="Arial" w:hAnsi="Arial" w:cs="Arial"/>
          <w:sz w:val="20"/>
          <w:szCs w:val="20"/>
        </w:rPr>
        <w:t>to</w:t>
      </w:r>
      <w:r w:rsidRPr="005827DA">
        <w:rPr>
          <w:rFonts w:ascii="Arial" w:hAnsi="Arial" w:cs="Arial"/>
          <w:spacing w:val="32"/>
          <w:sz w:val="20"/>
          <w:szCs w:val="20"/>
        </w:rPr>
        <w:t xml:space="preserve"> </w:t>
      </w:r>
      <w:r w:rsidRPr="005827DA">
        <w:rPr>
          <w:rFonts w:ascii="Arial" w:hAnsi="Arial" w:cs="Arial"/>
          <w:sz w:val="20"/>
          <w:szCs w:val="20"/>
        </w:rPr>
        <w:t>perform</w:t>
      </w:r>
      <w:r w:rsidRPr="005827DA">
        <w:rPr>
          <w:rFonts w:ascii="Arial" w:hAnsi="Arial" w:cs="Arial"/>
          <w:spacing w:val="30"/>
          <w:sz w:val="20"/>
          <w:szCs w:val="20"/>
        </w:rPr>
        <w:t xml:space="preserve"> </w:t>
      </w:r>
      <w:r w:rsidRPr="005827DA">
        <w:rPr>
          <w:rFonts w:ascii="Arial" w:hAnsi="Arial" w:cs="Arial"/>
          <w:sz w:val="20"/>
          <w:szCs w:val="20"/>
        </w:rPr>
        <w:t>an</w:t>
      </w:r>
      <w:r w:rsidRPr="005827DA">
        <w:rPr>
          <w:rFonts w:ascii="Arial" w:hAnsi="Arial" w:cs="Arial"/>
          <w:spacing w:val="30"/>
          <w:sz w:val="20"/>
          <w:szCs w:val="20"/>
        </w:rPr>
        <w:t xml:space="preserve"> </w:t>
      </w:r>
      <w:r w:rsidRPr="005827DA">
        <w:rPr>
          <w:rFonts w:ascii="Arial" w:hAnsi="Arial" w:cs="Arial"/>
          <w:sz w:val="20"/>
          <w:szCs w:val="20"/>
        </w:rPr>
        <w:t>approach</w:t>
      </w:r>
      <w:r w:rsidRPr="005827DA">
        <w:rPr>
          <w:rFonts w:ascii="Arial" w:hAnsi="Arial" w:cs="Arial"/>
          <w:spacing w:val="30"/>
          <w:sz w:val="20"/>
          <w:szCs w:val="20"/>
        </w:rPr>
        <w:t xml:space="preserve"> </w:t>
      </w:r>
      <w:r w:rsidRPr="005827DA">
        <w:rPr>
          <w:rFonts w:ascii="Arial" w:hAnsi="Arial" w:cs="Arial"/>
          <w:sz w:val="20"/>
          <w:szCs w:val="20"/>
        </w:rPr>
        <w:t>from</w:t>
      </w:r>
      <w:r w:rsidRPr="005827DA">
        <w:rPr>
          <w:rFonts w:ascii="Arial" w:hAnsi="Arial" w:cs="Arial"/>
          <w:spacing w:val="31"/>
          <w:sz w:val="20"/>
          <w:szCs w:val="20"/>
        </w:rPr>
        <w:t xml:space="preserve"> </w:t>
      </w:r>
      <w:r w:rsidRPr="005827DA">
        <w:rPr>
          <w:rFonts w:ascii="Arial" w:hAnsi="Arial" w:cs="Arial"/>
          <w:sz w:val="20"/>
          <w:szCs w:val="20"/>
        </w:rPr>
        <w:t>low</w:t>
      </w:r>
      <w:r w:rsidRPr="005827DA">
        <w:rPr>
          <w:rFonts w:ascii="Arial" w:hAnsi="Arial" w:cs="Arial"/>
          <w:spacing w:val="-47"/>
          <w:sz w:val="20"/>
          <w:szCs w:val="20"/>
        </w:rPr>
        <w:t xml:space="preserve"> </w:t>
      </w:r>
      <w:r w:rsidRPr="005827DA">
        <w:rPr>
          <w:rFonts w:ascii="Arial" w:hAnsi="Arial" w:cs="Arial"/>
          <w:sz w:val="20"/>
          <w:szCs w:val="20"/>
        </w:rPr>
        <w:t>level; and</w:t>
      </w:r>
    </w:p>
    <w:p w14:paraId="03DB2BBF" w14:textId="77777777" w:rsidR="00F20810" w:rsidRPr="005827DA" w:rsidRDefault="00F20810" w:rsidP="005827DA">
      <w:pPr>
        <w:pStyle w:val="ListParagraph"/>
        <w:numPr>
          <w:ilvl w:val="1"/>
          <w:numId w:val="255"/>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2"/>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analyse</w:t>
      </w:r>
      <w:r w:rsidRPr="005827DA">
        <w:rPr>
          <w:rFonts w:ascii="Arial" w:hAnsi="Arial" w:cs="Arial"/>
          <w:spacing w:val="-2"/>
          <w:sz w:val="20"/>
          <w:szCs w:val="20"/>
        </w:rPr>
        <w:t xml:space="preserve"> </w:t>
      </w:r>
      <w:r w:rsidRPr="005827DA">
        <w:rPr>
          <w:rFonts w:ascii="Arial" w:hAnsi="Arial" w:cs="Arial"/>
          <w:sz w:val="20"/>
          <w:szCs w:val="20"/>
        </w:rPr>
        <w:t>and correct</w:t>
      </w:r>
      <w:r w:rsidRPr="005827DA">
        <w:rPr>
          <w:rFonts w:ascii="Arial" w:hAnsi="Arial" w:cs="Arial"/>
          <w:spacing w:val="-2"/>
          <w:sz w:val="20"/>
          <w:szCs w:val="20"/>
        </w:rPr>
        <w:t xml:space="preserve"> </w:t>
      </w:r>
      <w:r w:rsidRPr="005827DA">
        <w:rPr>
          <w:rFonts w:ascii="Arial" w:hAnsi="Arial" w:cs="Arial"/>
          <w:sz w:val="20"/>
          <w:szCs w:val="20"/>
        </w:rPr>
        <w:t>faults</w:t>
      </w:r>
      <w:r w:rsidRPr="005827DA">
        <w:rPr>
          <w:rFonts w:ascii="Arial" w:hAnsi="Arial" w:cs="Arial"/>
          <w:spacing w:val="-2"/>
          <w:sz w:val="20"/>
          <w:szCs w:val="20"/>
        </w:rPr>
        <w:t xml:space="preserve"> </w:t>
      </w:r>
      <w:r w:rsidRPr="005827DA">
        <w:rPr>
          <w:rFonts w:ascii="Arial" w:hAnsi="Arial" w:cs="Arial"/>
          <w:sz w:val="20"/>
          <w:szCs w:val="20"/>
        </w:rPr>
        <w:t>or errors</w:t>
      </w:r>
      <w:r w:rsidRPr="005827DA">
        <w:rPr>
          <w:rFonts w:ascii="Arial" w:hAnsi="Arial" w:cs="Arial"/>
          <w:spacing w:val="-1"/>
          <w:sz w:val="20"/>
          <w:szCs w:val="20"/>
        </w:rPr>
        <w:t xml:space="preserve"> </w:t>
      </w:r>
      <w:r w:rsidRPr="005827DA">
        <w:rPr>
          <w:rFonts w:ascii="Arial" w:hAnsi="Arial" w:cs="Arial"/>
          <w:sz w:val="20"/>
          <w:szCs w:val="20"/>
        </w:rPr>
        <w:t>of</w:t>
      </w:r>
      <w:r w:rsidRPr="005827DA">
        <w:rPr>
          <w:rFonts w:ascii="Arial" w:hAnsi="Arial" w:cs="Arial"/>
          <w:spacing w:val="-2"/>
          <w:sz w:val="20"/>
          <w:szCs w:val="20"/>
        </w:rPr>
        <w:t xml:space="preserve"> </w:t>
      </w:r>
      <w:r w:rsidRPr="005827DA">
        <w:rPr>
          <w:rFonts w:ascii="Arial" w:hAnsi="Arial" w:cs="Arial"/>
          <w:sz w:val="20"/>
          <w:szCs w:val="20"/>
        </w:rPr>
        <w:t>the student</w:t>
      </w:r>
      <w:r w:rsidRPr="005827DA">
        <w:rPr>
          <w:rFonts w:ascii="Arial" w:hAnsi="Arial" w:cs="Arial"/>
          <w:spacing w:val="1"/>
          <w:sz w:val="20"/>
          <w:szCs w:val="20"/>
        </w:rPr>
        <w:t xml:space="preserve"> </w:t>
      </w:r>
      <w:r w:rsidRPr="005827DA">
        <w:rPr>
          <w:rFonts w:ascii="Arial" w:hAnsi="Arial" w:cs="Arial"/>
          <w:sz w:val="20"/>
          <w:szCs w:val="20"/>
        </w:rPr>
        <w:t>pilot.</w:t>
      </w:r>
    </w:p>
    <w:p w14:paraId="0575A55E" w14:textId="7E03C722" w:rsidR="00F20810" w:rsidRPr="00A16E10" w:rsidRDefault="00F20810" w:rsidP="00A16E10">
      <w:pPr>
        <w:pStyle w:val="ListParagraph"/>
        <w:numPr>
          <w:ilvl w:val="0"/>
          <w:numId w:val="255"/>
        </w:numPr>
        <w:tabs>
          <w:tab w:val="left" w:pos="90"/>
          <w:tab w:val="left" w:pos="2408"/>
          <w:tab w:val="left" w:pos="2409"/>
        </w:tabs>
        <w:spacing w:before="118" w:line="276" w:lineRule="auto"/>
        <w:ind w:right="68" w:hanging="436"/>
        <w:jc w:val="both"/>
        <w:rPr>
          <w:rFonts w:ascii="Arial" w:hAnsi="Arial" w:cs="Arial"/>
          <w:sz w:val="20"/>
          <w:szCs w:val="20"/>
        </w:rPr>
      </w:pPr>
      <w:r w:rsidRPr="005827DA">
        <w:rPr>
          <w:rFonts w:ascii="Arial" w:hAnsi="Arial" w:cs="Arial"/>
          <w:sz w:val="20"/>
          <w:szCs w:val="20"/>
        </w:rPr>
        <w:t>Debriefing</w:t>
      </w:r>
    </w:p>
    <w:p w14:paraId="0D55B981" w14:textId="77777777" w:rsidR="00F20810" w:rsidRPr="005827DA" w:rsidRDefault="00F20810" w:rsidP="005827DA">
      <w:pPr>
        <w:tabs>
          <w:tab w:val="left" w:pos="90"/>
        </w:tabs>
        <w:spacing w:line="276" w:lineRule="auto"/>
        <w:ind w:right="68" w:hanging="436"/>
        <w:jc w:val="both"/>
        <w:rPr>
          <w:rFonts w:ascii="Arial" w:eastAsia="Times New Roman" w:hAnsi="Arial" w:cs="Times New Roman"/>
          <w:b/>
          <w:bCs/>
          <w:sz w:val="20"/>
          <w:szCs w:val="20"/>
        </w:rPr>
      </w:pPr>
      <w:r w:rsidRPr="005827DA">
        <w:rPr>
          <w:rFonts w:ascii="Arial" w:eastAsia="Times New Roman" w:hAnsi="Arial" w:cs="Times New Roman"/>
          <w:b/>
          <w:bCs/>
          <w:sz w:val="20"/>
          <w:szCs w:val="20"/>
        </w:rPr>
        <w:t>Exercise 14: Approach from high level</w:t>
      </w:r>
    </w:p>
    <w:p w14:paraId="2CBA3FBD" w14:textId="77777777" w:rsidR="00F20810" w:rsidRPr="005827DA" w:rsidRDefault="00F20810" w:rsidP="005827DA">
      <w:pPr>
        <w:pStyle w:val="ListParagraph"/>
        <w:numPr>
          <w:ilvl w:val="0"/>
          <w:numId w:val="254"/>
        </w:numPr>
        <w:tabs>
          <w:tab w:val="left" w:pos="90"/>
          <w:tab w:val="left" w:pos="2409"/>
        </w:tabs>
        <w:spacing w:line="276" w:lineRule="auto"/>
        <w:ind w:right="68" w:hanging="436"/>
        <w:jc w:val="both"/>
        <w:rPr>
          <w:rFonts w:ascii="Arial" w:hAnsi="Arial" w:cs="Arial"/>
          <w:sz w:val="20"/>
          <w:szCs w:val="20"/>
        </w:rPr>
      </w:pPr>
      <w:r w:rsidRPr="005827DA">
        <w:rPr>
          <w:rFonts w:ascii="Arial" w:hAnsi="Arial" w:cs="Arial"/>
          <w:sz w:val="20"/>
          <w:szCs w:val="20"/>
        </w:rPr>
        <w:t>Objective</w:t>
      </w:r>
    </w:p>
    <w:p w14:paraId="002C0025" w14:textId="77777777" w:rsidR="00F20810" w:rsidRPr="005827DA" w:rsidRDefault="00F20810" w:rsidP="005827DA">
      <w:pPr>
        <w:pStyle w:val="BodyText"/>
        <w:tabs>
          <w:tab w:val="left" w:pos="90"/>
        </w:tabs>
        <w:spacing w:before="121" w:line="276" w:lineRule="auto"/>
        <w:ind w:left="2408" w:right="68" w:hanging="436"/>
        <w:jc w:val="both"/>
        <w:rPr>
          <w:rFonts w:ascii="Arial" w:hAnsi="Arial" w:cs="Arial"/>
          <w:sz w:val="20"/>
          <w:szCs w:val="20"/>
        </w:rPr>
      </w:pPr>
      <w:r w:rsidRPr="005827DA">
        <w:rPr>
          <w:rFonts w:ascii="Arial" w:hAnsi="Arial" w:cs="Arial"/>
          <w:sz w:val="20"/>
          <w:szCs w:val="20"/>
        </w:rPr>
        <w:t>To advise the student instructor on how to explain and demonstrate the</w:t>
      </w:r>
      <w:r w:rsidRPr="005827DA">
        <w:rPr>
          <w:rFonts w:ascii="Arial" w:hAnsi="Arial" w:cs="Arial"/>
          <w:spacing w:val="1"/>
          <w:sz w:val="20"/>
          <w:szCs w:val="20"/>
        </w:rPr>
        <w:t xml:space="preserve"> </w:t>
      </w:r>
      <w:r w:rsidRPr="005827DA">
        <w:rPr>
          <w:rFonts w:ascii="Arial" w:hAnsi="Arial" w:cs="Arial"/>
          <w:sz w:val="20"/>
          <w:szCs w:val="20"/>
        </w:rPr>
        <w:t>approach from high level. Furthermore, the student instructor should learn</w:t>
      </w:r>
      <w:r w:rsidRPr="005827DA">
        <w:rPr>
          <w:rFonts w:ascii="Arial" w:hAnsi="Arial" w:cs="Arial"/>
          <w:spacing w:val="1"/>
          <w:sz w:val="20"/>
          <w:szCs w:val="20"/>
        </w:rPr>
        <w:t xml:space="preserve"> </w:t>
      </w:r>
      <w:r w:rsidRPr="005827DA">
        <w:rPr>
          <w:rFonts w:ascii="Arial" w:hAnsi="Arial" w:cs="Arial"/>
          <w:sz w:val="20"/>
          <w:szCs w:val="20"/>
        </w:rPr>
        <w:t>how</w:t>
      </w:r>
      <w:r w:rsidRPr="005827DA">
        <w:rPr>
          <w:rFonts w:ascii="Arial" w:hAnsi="Arial" w:cs="Arial"/>
          <w:spacing w:val="-2"/>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identify</w:t>
      </w:r>
      <w:r w:rsidRPr="005827DA">
        <w:rPr>
          <w:rFonts w:ascii="Arial" w:hAnsi="Arial" w:cs="Arial"/>
          <w:spacing w:val="-2"/>
          <w:sz w:val="20"/>
          <w:szCs w:val="20"/>
        </w:rPr>
        <w:t xml:space="preserve"> </w:t>
      </w:r>
      <w:r w:rsidRPr="005827DA">
        <w:rPr>
          <w:rFonts w:ascii="Arial" w:hAnsi="Arial" w:cs="Arial"/>
          <w:sz w:val="20"/>
          <w:szCs w:val="20"/>
        </w:rPr>
        <w:t>student</w:t>
      </w:r>
      <w:r w:rsidRPr="005827DA">
        <w:rPr>
          <w:rFonts w:ascii="Arial" w:hAnsi="Arial" w:cs="Arial"/>
          <w:spacing w:val="-2"/>
          <w:sz w:val="20"/>
          <w:szCs w:val="20"/>
        </w:rPr>
        <w:t xml:space="preserve"> </w:t>
      </w:r>
      <w:r w:rsidRPr="005827DA">
        <w:rPr>
          <w:rFonts w:ascii="Arial" w:hAnsi="Arial" w:cs="Arial"/>
          <w:sz w:val="20"/>
          <w:szCs w:val="20"/>
        </w:rPr>
        <w:t>errors and</w:t>
      </w:r>
      <w:r w:rsidRPr="005827DA">
        <w:rPr>
          <w:rFonts w:ascii="Arial" w:hAnsi="Arial" w:cs="Arial"/>
          <w:spacing w:val="-2"/>
          <w:sz w:val="20"/>
          <w:szCs w:val="20"/>
        </w:rPr>
        <w:t xml:space="preserve"> </w:t>
      </w:r>
      <w:r w:rsidRPr="005827DA">
        <w:rPr>
          <w:rFonts w:ascii="Arial" w:hAnsi="Arial" w:cs="Arial"/>
          <w:sz w:val="20"/>
          <w:szCs w:val="20"/>
        </w:rPr>
        <w:t>how</w:t>
      </w:r>
      <w:r w:rsidRPr="005827DA">
        <w:rPr>
          <w:rFonts w:ascii="Arial" w:hAnsi="Arial" w:cs="Arial"/>
          <w:spacing w:val="-2"/>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correct</w:t>
      </w:r>
      <w:r w:rsidRPr="005827DA">
        <w:rPr>
          <w:rFonts w:ascii="Arial" w:hAnsi="Arial" w:cs="Arial"/>
          <w:spacing w:val="-2"/>
          <w:sz w:val="20"/>
          <w:szCs w:val="20"/>
        </w:rPr>
        <w:t xml:space="preserve"> </w:t>
      </w:r>
      <w:r w:rsidRPr="005827DA">
        <w:rPr>
          <w:rFonts w:ascii="Arial" w:hAnsi="Arial" w:cs="Arial"/>
          <w:sz w:val="20"/>
          <w:szCs w:val="20"/>
        </w:rPr>
        <w:t>them</w:t>
      </w:r>
      <w:r w:rsidRPr="005827DA">
        <w:rPr>
          <w:rFonts w:ascii="Arial" w:hAnsi="Arial" w:cs="Arial"/>
          <w:spacing w:val="1"/>
          <w:sz w:val="20"/>
          <w:szCs w:val="20"/>
        </w:rPr>
        <w:t xml:space="preserve"> </w:t>
      </w:r>
      <w:r w:rsidRPr="005827DA">
        <w:rPr>
          <w:rFonts w:ascii="Arial" w:hAnsi="Arial" w:cs="Arial"/>
          <w:sz w:val="20"/>
          <w:szCs w:val="20"/>
        </w:rPr>
        <w:t>properly.</w:t>
      </w:r>
    </w:p>
    <w:p w14:paraId="330E2DAF" w14:textId="77777777" w:rsidR="00F20810" w:rsidRPr="005827DA" w:rsidRDefault="00F20810" w:rsidP="005827DA">
      <w:pPr>
        <w:pStyle w:val="ListParagraph"/>
        <w:numPr>
          <w:ilvl w:val="0"/>
          <w:numId w:val="254"/>
        </w:numPr>
        <w:tabs>
          <w:tab w:val="left" w:pos="90"/>
          <w:tab w:val="left" w:pos="2408"/>
          <w:tab w:val="left" w:pos="2409"/>
        </w:tabs>
        <w:spacing w:before="56" w:line="276" w:lineRule="auto"/>
        <w:ind w:right="68" w:hanging="436"/>
        <w:jc w:val="both"/>
        <w:rPr>
          <w:rFonts w:ascii="Arial" w:hAnsi="Arial" w:cs="Arial"/>
          <w:sz w:val="20"/>
          <w:szCs w:val="20"/>
        </w:rPr>
      </w:pPr>
      <w:r w:rsidRPr="005827DA">
        <w:rPr>
          <w:rFonts w:ascii="Arial" w:hAnsi="Arial" w:cs="Arial"/>
          <w:sz w:val="20"/>
          <w:szCs w:val="20"/>
        </w:rPr>
        <w:t>Briefing</w:t>
      </w:r>
    </w:p>
    <w:p w14:paraId="41FB6CCA" w14:textId="77777777" w:rsidR="00F20810" w:rsidRPr="005827DA" w:rsidRDefault="00F20810" w:rsidP="005827DA">
      <w:pPr>
        <w:pStyle w:val="BodyText"/>
        <w:tabs>
          <w:tab w:val="left" w:pos="90"/>
        </w:tabs>
        <w:spacing w:line="276" w:lineRule="auto"/>
        <w:ind w:left="2408"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student</w:t>
      </w:r>
      <w:r w:rsidRPr="005827DA">
        <w:rPr>
          <w:rFonts w:ascii="Arial" w:hAnsi="Arial" w:cs="Arial"/>
          <w:spacing w:val="-2"/>
          <w:sz w:val="20"/>
          <w:szCs w:val="20"/>
        </w:rPr>
        <w:t xml:space="preserve"> </w:t>
      </w:r>
      <w:r w:rsidRPr="005827DA">
        <w:rPr>
          <w:rFonts w:ascii="Arial" w:hAnsi="Arial" w:cs="Arial"/>
          <w:sz w:val="20"/>
          <w:szCs w:val="20"/>
        </w:rPr>
        <w:t>instructor</w:t>
      </w:r>
      <w:r w:rsidRPr="005827DA">
        <w:rPr>
          <w:rFonts w:ascii="Arial" w:hAnsi="Arial" w:cs="Arial"/>
          <w:spacing w:val="-1"/>
          <w:sz w:val="20"/>
          <w:szCs w:val="20"/>
        </w:rPr>
        <w:t xml:space="preserve"> </w:t>
      </w:r>
      <w:r w:rsidRPr="005827DA">
        <w:rPr>
          <w:rFonts w:ascii="Arial" w:hAnsi="Arial" w:cs="Arial"/>
          <w:sz w:val="20"/>
          <w:szCs w:val="20"/>
        </w:rPr>
        <w:t>has</w:t>
      </w:r>
      <w:r w:rsidRPr="005827DA">
        <w:rPr>
          <w:rFonts w:ascii="Arial" w:hAnsi="Arial" w:cs="Arial"/>
          <w:spacing w:val="-6"/>
          <w:sz w:val="20"/>
          <w:szCs w:val="20"/>
        </w:rPr>
        <w:t xml:space="preserve"> </w:t>
      </w:r>
      <w:r w:rsidRPr="005827DA">
        <w:rPr>
          <w:rFonts w:ascii="Arial" w:hAnsi="Arial" w:cs="Arial"/>
          <w:sz w:val="20"/>
          <w:szCs w:val="20"/>
        </w:rPr>
        <w:t>to</w:t>
      </w:r>
      <w:r w:rsidRPr="005827DA">
        <w:rPr>
          <w:rFonts w:ascii="Arial" w:hAnsi="Arial" w:cs="Arial"/>
          <w:spacing w:val="-2"/>
          <w:sz w:val="20"/>
          <w:szCs w:val="20"/>
        </w:rPr>
        <w:t xml:space="preserve"> </w:t>
      </w:r>
      <w:r w:rsidRPr="005827DA">
        <w:rPr>
          <w:rFonts w:ascii="Arial" w:hAnsi="Arial" w:cs="Arial"/>
          <w:sz w:val="20"/>
          <w:szCs w:val="20"/>
        </w:rPr>
        <w:t>explain:</w:t>
      </w:r>
    </w:p>
    <w:p w14:paraId="65895DEB" w14:textId="77777777" w:rsidR="00F20810" w:rsidRPr="005827DA" w:rsidRDefault="00F20810" w:rsidP="005827DA">
      <w:pPr>
        <w:pStyle w:val="ListParagraph"/>
        <w:numPr>
          <w:ilvl w:val="1"/>
          <w:numId w:val="254"/>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pre-landing</w:t>
      </w:r>
      <w:r w:rsidRPr="005827DA">
        <w:rPr>
          <w:rFonts w:ascii="Arial" w:hAnsi="Arial" w:cs="Arial"/>
          <w:spacing w:val="-2"/>
          <w:sz w:val="20"/>
          <w:szCs w:val="20"/>
        </w:rPr>
        <w:t xml:space="preserve"> </w:t>
      </w:r>
      <w:r w:rsidRPr="005827DA">
        <w:rPr>
          <w:rFonts w:ascii="Arial" w:hAnsi="Arial" w:cs="Arial"/>
          <w:sz w:val="20"/>
          <w:szCs w:val="20"/>
        </w:rPr>
        <w:t>checks;</w:t>
      </w:r>
    </w:p>
    <w:p w14:paraId="61E4E6B9" w14:textId="77777777" w:rsidR="00F20810" w:rsidRPr="005827DA" w:rsidRDefault="00F20810" w:rsidP="005827DA">
      <w:pPr>
        <w:pStyle w:val="ListParagraph"/>
        <w:numPr>
          <w:ilvl w:val="1"/>
          <w:numId w:val="254"/>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3"/>
          <w:sz w:val="20"/>
          <w:szCs w:val="20"/>
        </w:rPr>
        <w:t xml:space="preserve"> </w:t>
      </w:r>
      <w:r w:rsidRPr="005827DA">
        <w:rPr>
          <w:rFonts w:ascii="Arial" w:hAnsi="Arial" w:cs="Arial"/>
          <w:sz w:val="20"/>
          <w:szCs w:val="20"/>
        </w:rPr>
        <w:t>passenger</w:t>
      </w:r>
      <w:r w:rsidRPr="005827DA">
        <w:rPr>
          <w:rFonts w:ascii="Arial" w:hAnsi="Arial" w:cs="Arial"/>
          <w:spacing w:val="-2"/>
          <w:sz w:val="20"/>
          <w:szCs w:val="20"/>
        </w:rPr>
        <w:t xml:space="preserve"> </w:t>
      </w:r>
      <w:r w:rsidRPr="005827DA">
        <w:rPr>
          <w:rFonts w:ascii="Arial" w:hAnsi="Arial" w:cs="Arial"/>
          <w:sz w:val="20"/>
          <w:szCs w:val="20"/>
        </w:rPr>
        <w:t>pre-landing</w:t>
      </w:r>
      <w:r w:rsidRPr="005827DA">
        <w:rPr>
          <w:rFonts w:ascii="Arial" w:hAnsi="Arial" w:cs="Arial"/>
          <w:spacing w:val="-5"/>
          <w:sz w:val="20"/>
          <w:szCs w:val="20"/>
        </w:rPr>
        <w:t xml:space="preserve"> </w:t>
      </w:r>
      <w:r w:rsidRPr="005827DA">
        <w:rPr>
          <w:rFonts w:ascii="Arial" w:hAnsi="Arial" w:cs="Arial"/>
          <w:sz w:val="20"/>
          <w:szCs w:val="20"/>
        </w:rPr>
        <w:t>briefing;</w:t>
      </w:r>
    </w:p>
    <w:p w14:paraId="257425B2" w14:textId="77777777" w:rsidR="00F20810" w:rsidRPr="005827DA" w:rsidRDefault="00F20810" w:rsidP="005827DA">
      <w:pPr>
        <w:pStyle w:val="ListParagraph"/>
        <w:numPr>
          <w:ilvl w:val="1"/>
          <w:numId w:val="254"/>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selection</w:t>
      </w:r>
      <w:r w:rsidRPr="005827DA">
        <w:rPr>
          <w:rFonts w:ascii="Arial" w:hAnsi="Arial" w:cs="Arial"/>
          <w:spacing w:val="-6"/>
          <w:sz w:val="20"/>
          <w:szCs w:val="20"/>
        </w:rPr>
        <w:t xml:space="preserve"> </w:t>
      </w:r>
      <w:r w:rsidRPr="005827DA">
        <w:rPr>
          <w:rFonts w:ascii="Arial" w:hAnsi="Arial" w:cs="Arial"/>
          <w:sz w:val="20"/>
          <w:szCs w:val="20"/>
        </w:rPr>
        <w:t>of</w:t>
      </w:r>
      <w:r w:rsidRPr="005827DA">
        <w:rPr>
          <w:rFonts w:ascii="Arial" w:hAnsi="Arial" w:cs="Arial"/>
          <w:spacing w:val="-2"/>
          <w:sz w:val="20"/>
          <w:szCs w:val="20"/>
        </w:rPr>
        <w:t xml:space="preserve"> </w:t>
      </w:r>
      <w:r w:rsidRPr="005827DA">
        <w:rPr>
          <w:rFonts w:ascii="Arial" w:hAnsi="Arial" w:cs="Arial"/>
          <w:sz w:val="20"/>
          <w:szCs w:val="20"/>
        </w:rPr>
        <w:t>field;</w:t>
      </w:r>
    </w:p>
    <w:p w14:paraId="73D6D303" w14:textId="77777777" w:rsidR="00F20810" w:rsidRPr="005827DA" w:rsidRDefault="00F20810" w:rsidP="005827DA">
      <w:pPr>
        <w:pStyle w:val="ListParagraph"/>
        <w:numPr>
          <w:ilvl w:val="1"/>
          <w:numId w:val="254"/>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rate</w:t>
      </w:r>
      <w:r w:rsidRPr="005827DA">
        <w:rPr>
          <w:rFonts w:ascii="Arial" w:hAnsi="Arial" w:cs="Arial"/>
          <w:spacing w:val="-2"/>
          <w:sz w:val="20"/>
          <w:szCs w:val="20"/>
        </w:rPr>
        <w:t xml:space="preserve"> </w:t>
      </w:r>
      <w:r w:rsidRPr="005827DA">
        <w:rPr>
          <w:rFonts w:ascii="Arial" w:hAnsi="Arial" w:cs="Arial"/>
          <w:sz w:val="20"/>
          <w:szCs w:val="20"/>
        </w:rPr>
        <w:t>of descent;</w:t>
      </w:r>
    </w:p>
    <w:p w14:paraId="136A0085" w14:textId="77777777" w:rsidR="00F20810" w:rsidRPr="005827DA" w:rsidRDefault="00F20810" w:rsidP="005827DA">
      <w:pPr>
        <w:pStyle w:val="ListParagraph"/>
        <w:numPr>
          <w:ilvl w:val="1"/>
          <w:numId w:val="254"/>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use</w:t>
      </w:r>
      <w:r w:rsidRPr="005827DA">
        <w:rPr>
          <w:rFonts w:ascii="Arial" w:hAnsi="Arial" w:cs="Arial"/>
          <w:spacing w:val="-3"/>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burner</w:t>
      </w:r>
      <w:r w:rsidRPr="005827DA">
        <w:rPr>
          <w:rFonts w:ascii="Arial" w:hAnsi="Arial" w:cs="Arial"/>
          <w:spacing w:val="-4"/>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parachute</w:t>
      </w:r>
      <w:r w:rsidRPr="005827DA">
        <w:rPr>
          <w:rFonts w:ascii="Arial" w:hAnsi="Arial" w:cs="Arial"/>
          <w:spacing w:val="-1"/>
          <w:sz w:val="20"/>
          <w:szCs w:val="20"/>
        </w:rPr>
        <w:t xml:space="preserve"> </w:t>
      </w:r>
      <w:r w:rsidRPr="005827DA">
        <w:rPr>
          <w:rFonts w:ascii="Arial" w:hAnsi="Arial" w:cs="Arial"/>
          <w:sz w:val="20"/>
          <w:szCs w:val="20"/>
        </w:rPr>
        <w:t>(hot-air</w:t>
      </w:r>
      <w:r w:rsidRPr="005827DA">
        <w:rPr>
          <w:rFonts w:ascii="Arial" w:hAnsi="Arial" w:cs="Arial"/>
          <w:spacing w:val="-2"/>
          <w:sz w:val="20"/>
          <w:szCs w:val="20"/>
        </w:rPr>
        <w:t xml:space="preserve"> </w:t>
      </w:r>
      <w:r w:rsidRPr="005827DA">
        <w:rPr>
          <w:rFonts w:ascii="Arial" w:hAnsi="Arial" w:cs="Arial"/>
          <w:sz w:val="20"/>
          <w:szCs w:val="20"/>
        </w:rPr>
        <w:t>balloons);</w:t>
      </w:r>
    </w:p>
    <w:p w14:paraId="64A2AD7B" w14:textId="77777777" w:rsidR="00F20810" w:rsidRPr="005827DA" w:rsidRDefault="00F20810" w:rsidP="005827DA">
      <w:pPr>
        <w:pStyle w:val="ListParagraph"/>
        <w:numPr>
          <w:ilvl w:val="1"/>
          <w:numId w:val="254"/>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use</w:t>
      </w:r>
      <w:r w:rsidRPr="005827DA">
        <w:rPr>
          <w:rFonts w:ascii="Arial" w:hAnsi="Arial" w:cs="Arial"/>
          <w:spacing w:val="-3"/>
          <w:sz w:val="20"/>
          <w:szCs w:val="20"/>
        </w:rPr>
        <w:t xml:space="preserve"> </w:t>
      </w:r>
      <w:r w:rsidRPr="005827DA">
        <w:rPr>
          <w:rFonts w:ascii="Arial" w:hAnsi="Arial" w:cs="Arial"/>
          <w:sz w:val="20"/>
          <w:szCs w:val="20"/>
        </w:rPr>
        <w:t>of</w:t>
      </w:r>
      <w:r w:rsidRPr="005827DA">
        <w:rPr>
          <w:rFonts w:ascii="Arial" w:hAnsi="Arial" w:cs="Arial"/>
          <w:spacing w:val="-2"/>
          <w:sz w:val="20"/>
          <w:szCs w:val="20"/>
        </w:rPr>
        <w:t xml:space="preserve"> </w:t>
      </w:r>
      <w:r w:rsidRPr="005827DA">
        <w:rPr>
          <w:rFonts w:ascii="Arial" w:hAnsi="Arial" w:cs="Arial"/>
          <w:sz w:val="20"/>
          <w:szCs w:val="20"/>
        </w:rPr>
        <w:t>ballast</w:t>
      </w:r>
      <w:r w:rsidRPr="005827DA">
        <w:rPr>
          <w:rFonts w:ascii="Arial" w:hAnsi="Arial" w:cs="Arial"/>
          <w:spacing w:val="-2"/>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parachute</w:t>
      </w:r>
      <w:r w:rsidRPr="005827DA">
        <w:rPr>
          <w:rFonts w:ascii="Arial" w:hAnsi="Arial" w:cs="Arial"/>
          <w:spacing w:val="-2"/>
          <w:sz w:val="20"/>
          <w:szCs w:val="20"/>
        </w:rPr>
        <w:t xml:space="preserve"> </w:t>
      </w:r>
      <w:r w:rsidRPr="005827DA">
        <w:rPr>
          <w:rFonts w:ascii="Arial" w:hAnsi="Arial" w:cs="Arial"/>
          <w:sz w:val="20"/>
          <w:szCs w:val="20"/>
        </w:rPr>
        <w:t>(gas</w:t>
      </w:r>
      <w:r w:rsidRPr="005827DA">
        <w:rPr>
          <w:rFonts w:ascii="Arial" w:hAnsi="Arial" w:cs="Arial"/>
          <w:spacing w:val="-1"/>
          <w:sz w:val="20"/>
          <w:szCs w:val="20"/>
        </w:rPr>
        <w:t xml:space="preserve"> </w:t>
      </w:r>
      <w:r w:rsidRPr="005827DA">
        <w:rPr>
          <w:rFonts w:ascii="Arial" w:hAnsi="Arial" w:cs="Arial"/>
          <w:sz w:val="20"/>
          <w:szCs w:val="20"/>
        </w:rPr>
        <w:t>balloons);</w:t>
      </w:r>
    </w:p>
    <w:p w14:paraId="4FE6263E" w14:textId="77777777" w:rsidR="00F20810" w:rsidRPr="005827DA" w:rsidRDefault="00F20810" w:rsidP="005827DA">
      <w:pPr>
        <w:pStyle w:val="ListParagraph"/>
        <w:numPr>
          <w:ilvl w:val="1"/>
          <w:numId w:val="254"/>
        </w:numPr>
        <w:tabs>
          <w:tab w:val="left" w:pos="90"/>
          <w:tab w:val="left" w:pos="2975"/>
          <w:tab w:val="left" w:pos="2976"/>
        </w:tabs>
        <w:spacing w:before="118"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use</w:t>
      </w:r>
      <w:r w:rsidRPr="005827DA">
        <w:rPr>
          <w:rFonts w:ascii="Arial" w:hAnsi="Arial" w:cs="Arial"/>
          <w:spacing w:val="-3"/>
          <w:sz w:val="20"/>
          <w:szCs w:val="20"/>
        </w:rPr>
        <w:t xml:space="preserve"> </w:t>
      </w:r>
      <w:r w:rsidRPr="005827DA">
        <w:rPr>
          <w:rFonts w:ascii="Arial" w:hAnsi="Arial" w:cs="Arial"/>
          <w:sz w:val="20"/>
          <w:szCs w:val="20"/>
        </w:rPr>
        <w:t>of</w:t>
      </w:r>
      <w:r w:rsidRPr="005827DA">
        <w:rPr>
          <w:rFonts w:ascii="Arial" w:hAnsi="Arial" w:cs="Arial"/>
          <w:spacing w:val="-3"/>
          <w:sz w:val="20"/>
          <w:szCs w:val="20"/>
        </w:rPr>
        <w:t xml:space="preserve"> </w:t>
      </w:r>
      <w:r w:rsidRPr="005827DA">
        <w:rPr>
          <w:rFonts w:ascii="Arial" w:hAnsi="Arial" w:cs="Arial"/>
          <w:sz w:val="20"/>
          <w:szCs w:val="20"/>
        </w:rPr>
        <w:t>trail</w:t>
      </w:r>
      <w:r w:rsidRPr="005827DA">
        <w:rPr>
          <w:rFonts w:ascii="Arial" w:hAnsi="Arial" w:cs="Arial"/>
          <w:spacing w:val="-1"/>
          <w:sz w:val="20"/>
          <w:szCs w:val="20"/>
        </w:rPr>
        <w:t xml:space="preserve"> </w:t>
      </w:r>
      <w:r w:rsidRPr="005827DA">
        <w:rPr>
          <w:rFonts w:ascii="Arial" w:hAnsi="Arial" w:cs="Arial"/>
          <w:sz w:val="20"/>
          <w:szCs w:val="20"/>
        </w:rPr>
        <w:t>rope (if</w:t>
      </w:r>
      <w:r w:rsidRPr="005827DA">
        <w:rPr>
          <w:rFonts w:ascii="Arial" w:hAnsi="Arial" w:cs="Arial"/>
          <w:spacing w:val="-4"/>
          <w:sz w:val="20"/>
          <w:szCs w:val="20"/>
        </w:rPr>
        <w:t xml:space="preserve"> </w:t>
      </w:r>
      <w:r w:rsidRPr="005827DA">
        <w:rPr>
          <w:rFonts w:ascii="Arial" w:hAnsi="Arial" w:cs="Arial"/>
          <w:sz w:val="20"/>
          <w:szCs w:val="20"/>
        </w:rPr>
        <w:t>applicable)</w:t>
      </w:r>
      <w:r w:rsidRPr="005827DA">
        <w:rPr>
          <w:rFonts w:ascii="Arial" w:hAnsi="Arial" w:cs="Arial"/>
          <w:spacing w:val="1"/>
          <w:sz w:val="20"/>
          <w:szCs w:val="20"/>
        </w:rPr>
        <w:t xml:space="preserve"> </w:t>
      </w:r>
      <w:r w:rsidRPr="005827DA">
        <w:rPr>
          <w:rFonts w:ascii="Arial" w:hAnsi="Arial" w:cs="Arial"/>
          <w:sz w:val="20"/>
          <w:szCs w:val="20"/>
        </w:rPr>
        <w:t>(gas</w:t>
      </w:r>
      <w:r w:rsidRPr="005827DA">
        <w:rPr>
          <w:rFonts w:ascii="Arial" w:hAnsi="Arial" w:cs="Arial"/>
          <w:spacing w:val="-4"/>
          <w:sz w:val="20"/>
          <w:szCs w:val="20"/>
        </w:rPr>
        <w:t xml:space="preserve"> </w:t>
      </w:r>
      <w:r w:rsidRPr="005827DA">
        <w:rPr>
          <w:rFonts w:ascii="Arial" w:hAnsi="Arial" w:cs="Arial"/>
          <w:sz w:val="20"/>
          <w:szCs w:val="20"/>
        </w:rPr>
        <w:t>balloons);</w:t>
      </w:r>
    </w:p>
    <w:p w14:paraId="4B55FB34" w14:textId="77777777" w:rsidR="00F20810" w:rsidRPr="005827DA" w:rsidRDefault="00F20810" w:rsidP="005827DA">
      <w:pPr>
        <w:pStyle w:val="ListParagraph"/>
        <w:numPr>
          <w:ilvl w:val="1"/>
          <w:numId w:val="254"/>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look-out</w:t>
      </w:r>
      <w:r w:rsidRPr="005827DA">
        <w:rPr>
          <w:rFonts w:ascii="Arial" w:hAnsi="Arial" w:cs="Arial"/>
          <w:spacing w:val="-3"/>
          <w:sz w:val="20"/>
          <w:szCs w:val="20"/>
        </w:rPr>
        <w:t xml:space="preserve"> </w:t>
      </w:r>
      <w:r w:rsidRPr="005827DA">
        <w:rPr>
          <w:rFonts w:ascii="Arial" w:hAnsi="Arial" w:cs="Arial"/>
          <w:sz w:val="20"/>
          <w:szCs w:val="20"/>
        </w:rPr>
        <w:t>procedures;</w:t>
      </w:r>
      <w:r w:rsidRPr="005827DA">
        <w:rPr>
          <w:rFonts w:ascii="Arial" w:hAnsi="Arial" w:cs="Arial"/>
          <w:spacing w:val="-2"/>
          <w:sz w:val="20"/>
          <w:szCs w:val="20"/>
        </w:rPr>
        <w:t xml:space="preserve"> </w:t>
      </w:r>
      <w:r w:rsidRPr="005827DA">
        <w:rPr>
          <w:rFonts w:ascii="Arial" w:hAnsi="Arial" w:cs="Arial"/>
          <w:sz w:val="20"/>
          <w:szCs w:val="20"/>
        </w:rPr>
        <w:t>and</w:t>
      </w:r>
    </w:p>
    <w:p w14:paraId="3C92DC32" w14:textId="77777777" w:rsidR="00F20810" w:rsidRPr="005827DA" w:rsidRDefault="00F20810" w:rsidP="005827DA">
      <w:pPr>
        <w:pStyle w:val="ListParagraph"/>
        <w:numPr>
          <w:ilvl w:val="1"/>
          <w:numId w:val="254"/>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missed</w:t>
      </w:r>
      <w:r w:rsidRPr="005827DA">
        <w:rPr>
          <w:rFonts w:ascii="Arial" w:hAnsi="Arial" w:cs="Arial"/>
          <w:spacing w:val="-5"/>
          <w:sz w:val="20"/>
          <w:szCs w:val="20"/>
        </w:rPr>
        <w:t xml:space="preserve"> </w:t>
      </w:r>
      <w:r w:rsidRPr="005827DA">
        <w:rPr>
          <w:rFonts w:ascii="Arial" w:hAnsi="Arial" w:cs="Arial"/>
          <w:sz w:val="20"/>
          <w:szCs w:val="20"/>
        </w:rPr>
        <w:t>approach</w:t>
      </w:r>
      <w:r w:rsidRPr="005827DA">
        <w:rPr>
          <w:rFonts w:ascii="Arial" w:hAnsi="Arial" w:cs="Arial"/>
          <w:spacing w:val="-2"/>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fly-on</w:t>
      </w:r>
      <w:r w:rsidRPr="005827DA">
        <w:rPr>
          <w:rFonts w:ascii="Arial" w:hAnsi="Arial" w:cs="Arial"/>
          <w:spacing w:val="-2"/>
          <w:sz w:val="20"/>
          <w:szCs w:val="20"/>
        </w:rPr>
        <w:t xml:space="preserve"> </w:t>
      </w:r>
      <w:r w:rsidRPr="005827DA">
        <w:rPr>
          <w:rFonts w:ascii="Arial" w:hAnsi="Arial" w:cs="Arial"/>
          <w:sz w:val="20"/>
          <w:szCs w:val="20"/>
        </w:rPr>
        <w:t>procedures.</w:t>
      </w:r>
    </w:p>
    <w:p w14:paraId="69164FFD" w14:textId="77777777" w:rsidR="00F20810" w:rsidRPr="005827DA" w:rsidRDefault="00F20810" w:rsidP="005827DA">
      <w:pPr>
        <w:pStyle w:val="ListParagraph"/>
        <w:numPr>
          <w:ilvl w:val="0"/>
          <w:numId w:val="254"/>
        </w:numPr>
        <w:tabs>
          <w:tab w:val="left" w:pos="90"/>
          <w:tab w:val="left" w:pos="2408"/>
          <w:tab w:val="left" w:pos="2409"/>
        </w:tabs>
        <w:spacing w:line="276" w:lineRule="auto"/>
        <w:ind w:right="68" w:hanging="436"/>
        <w:jc w:val="both"/>
        <w:rPr>
          <w:rFonts w:ascii="Arial" w:hAnsi="Arial" w:cs="Arial"/>
          <w:sz w:val="20"/>
          <w:szCs w:val="20"/>
        </w:rPr>
      </w:pPr>
      <w:r w:rsidRPr="005827DA">
        <w:rPr>
          <w:rFonts w:ascii="Arial" w:hAnsi="Arial" w:cs="Arial"/>
          <w:sz w:val="20"/>
          <w:szCs w:val="20"/>
        </w:rPr>
        <w:t>Air</w:t>
      </w:r>
      <w:r w:rsidRPr="005827DA">
        <w:rPr>
          <w:rFonts w:ascii="Arial" w:hAnsi="Arial" w:cs="Arial"/>
          <w:spacing w:val="-1"/>
          <w:sz w:val="20"/>
          <w:szCs w:val="20"/>
        </w:rPr>
        <w:t xml:space="preserve"> </w:t>
      </w:r>
      <w:r w:rsidRPr="005827DA">
        <w:rPr>
          <w:rFonts w:ascii="Arial" w:hAnsi="Arial" w:cs="Arial"/>
          <w:sz w:val="20"/>
          <w:szCs w:val="20"/>
        </w:rPr>
        <w:t>exercise</w:t>
      </w:r>
    </w:p>
    <w:p w14:paraId="18079759" w14:textId="77777777" w:rsidR="00F20810" w:rsidRPr="005827DA" w:rsidRDefault="00F20810" w:rsidP="005827DA">
      <w:pPr>
        <w:pStyle w:val="BodyText"/>
        <w:tabs>
          <w:tab w:val="left" w:pos="90"/>
        </w:tabs>
        <w:spacing w:line="276" w:lineRule="auto"/>
        <w:ind w:left="2408"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student</w:t>
      </w:r>
      <w:r w:rsidRPr="005827DA">
        <w:rPr>
          <w:rFonts w:ascii="Arial" w:hAnsi="Arial" w:cs="Arial"/>
          <w:spacing w:val="-3"/>
          <w:sz w:val="20"/>
          <w:szCs w:val="20"/>
        </w:rPr>
        <w:t xml:space="preserve"> </w:t>
      </w:r>
      <w:r w:rsidRPr="005827DA">
        <w:rPr>
          <w:rFonts w:ascii="Arial" w:hAnsi="Arial" w:cs="Arial"/>
          <w:sz w:val="20"/>
          <w:szCs w:val="20"/>
        </w:rPr>
        <w:t>instructor</w:t>
      </w:r>
      <w:r w:rsidRPr="005827DA">
        <w:rPr>
          <w:rFonts w:ascii="Arial" w:hAnsi="Arial" w:cs="Arial"/>
          <w:spacing w:val="-2"/>
          <w:sz w:val="20"/>
          <w:szCs w:val="20"/>
        </w:rPr>
        <w:t xml:space="preserve"> </w:t>
      </w:r>
      <w:r w:rsidRPr="005827DA">
        <w:rPr>
          <w:rFonts w:ascii="Arial" w:hAnsi="Arial" w:cs="Arial"/>
          <w:sz w:val="20"/>
          <w:szCs w:val="20"/>
        </w:rPr>
        <w:t>has</w:t>
      </w:r>
      <w:r w:rsidRPr="005827DA">
        <w:rPr>
          <w:rFonts w:ascii="Arial" w:hAnsi="Arial" w:cs="Arial"/>
          <w:spacing w:val="-6"/>
          <w:sz w:val="20"/>
          <w:szCs w:val="20"/>
        </w:rPr>
        <w:t xml:space="preserve"> </w:t>
      </w:r>
      <w:r w:rsidRPr="005827DA">
        <w:rPr>
          <w:rFonts w:ascii="Arial" w:hAnsi="Arial" w:cs="Arial"/>
          <w:sz w:val="20"/>
          <w:szCs w:val="20"/>
        </w:rPr>
        <w:t>to demonstrate:</w:t>
      </w:r>
    </w:p>
    <w:p w14:paraId="7645DD29" w14:textId="77777777" w:rsidR="00F20810" w:rsidRPr="005827DA" w:rsidRDefault="00F20810" w:rsidP="005827DA">
      <w:pPr>
        <w:pStyle w:val="ListParagraph"/>
        <w:numPr>
          <w:ilvl w:val="1"/>
          <w:numId w:val="254"/>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pre-landing</w:t>
      </w:r>
      <w:r w:rsidRPr="005827DA">
        <w:rPr>
          <w:rFonts w:ascii="Arial" w:hAnsi="Arial" w:cs="Arial"/>
          <w:spacing w:val="-2"/>
          <w:sz w:val="20"/>
          <w:szCs w:val="20"/>
        </w:rPr>
        <w:t xml:space="preserve"> </w:t>
      </w:r>
      <w:r w:rsidRPr="005827DA">
        <w:rPr>
          <w:rFonts w:ascii="Arial" w:hAnsi="Arial" w:cs="Arial"/>
          <w:sz w:val="20"/>
          <w:szCs w:val="20"/>
        </w:rPr>
        <w:t>checks;</w:t>
      </w:r>
    </w:p>
    <w:p w14:paraId="7142780F" w14:textId="77777777" w:rsidR="00F20810" w:rsidRPr="005827DA" w:rsidRDefault="00F20810" w:rsidP="005827DA">
      <w:pPr>
        <w:pStyle w:val="ListParagraph"/>
        <w:numPr>
          <w:ilvl w:val="1"/>
          <w:numId w:val="254"/>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selection</w:t>
      </w:r>
      <w:r w:rsidRPr="005827DA">
        <w:rPr>
          <w:rFonts w:ascii="Arial" w:hAnsi="Arial" w:cs="Arial"/>
          <w:spacing w:val="-4"/>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field;</w:t>
      </w:r>
    </w:p>
    <w:p w14:paraId="1E04D58E" w14:textId="77777777" w:rsidR="00F20810" w:rsidRPr="005827DA" w:rsidRDefault="00F20810" w:rsidP="005827DA">
      <w:pPr>
        <w:pStyle w:val="ListParagraph"/>
        <w:numPr>
          <w:ilvl w:val="1"/>
          <w:numId w:val="254"/>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rate</w:t>
      </w:r>
      <w:r w:rsidRPr="005827DA">
        <w:rPr>
          <w:rFonts w:ascii="Arial" w:hAnsi="Arial" w:cs="Arial"/>
          <w:spacing w:val="-2"/>
          <w:sz w:val="20"/>
          <w:szCs w:val="20"/>
        </w:rPr>
        <w:t xml:space="preserve"> </w:t>
      </w:r>
      <w:r w:rsidRPr="005827DA">
        <w:rPr>
          <w:rFonts w:ascii="Arial" w:hAnsi="Arial" w:cs="Arial"/>
          <w:sz w:val="20"/>
          <w:szCs w:val="20"/>
        </w:rPr>
        <w:t>of descent;</w:t>
      </w:r>
    </w:p>
    <w:p w14:paraId="3A817709" w14:textId="77777777" w:rsidR="00F20810" w:rsidRPr="005827DA" w:rsidRDefault="00F20810" w:rsidP="005827DA">
      <w:pPr>
        <w:pStyle w:val="ListParagraph"/>
        <w:numPr>
          <w:ilvl w:val="1"/>
          <w:numId w:val="254"/>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use</w:t>
      </w:r>
      <w:r w:rsidRPr="005827DA">
        <w:rPr>
          <w:rFonts w:ascii="Arial" w:hAnsi="Arial" w:cs="Arial"/>
          <w:spacing w:val="-3"/>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burner</w:t>
      </w:r>
      <w:r w:rsidRPr="005827DA">
        <w:rPr>
          <w:rFonts w:ascii="Arial" w:hAnsi="Arial" w:cs="Arial"/>
          <w:spacing w:val="-4"/>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parachute</w:t>
      </w:r>
      <w:r w:rsidRPr="005827DA">
        <w:rPr>
          <w:rFonts w:ascii="Arial" w:hAnsi="Arial" w:cs="Arial"/>
          <w:spacing w:val="-1"/>
          <w:sz w:val="20"/>
          <w:szCs w:val="20"/>
        </w:rPr>
        <w:t xml:space="preserve"> </w:t>
      </w:r>
      <w:r w:rsidRPr="005827DA">
        <w:rPr>
          <w:rFonts w:ascii="Arial" w:hAnsi="Arial" w:cs="Arial"/>
          <w:sz w:val="20"/>
          <w:szCs w:val="20"/>
        </w:rPr>
        <w:t>(hot-air</w:t>
      </w:r>
      <w:r w:rsidRPr="005827DA">
        <w:rPr>
          <w:rFonts w:ascii="Arial" w:hAnsi="Arial" w:cs="Arial"/>
          <w:spacing w:val="-2"/>
          <w:sz w:val="20"/>
          <w:szCs w:val="20"/>
        </w:rPr>
        <w:t xml:space="preserve"> </w:t>
      </w:r>
      <w:r w:rsidRPr="005827DA">
        <w:rPr>
          <w:rFonts w:ascii="Arial" w:hAnsi="Arial" w:cs="Arial"/>
          <w:sz w:val="20"/>
          <w:szCs w:val="20"/>
        </w:rPr>
        <w:t>balloons);</w:t>
      </w:r>
    </w:p>
    <w:p w14:paraId="13C074EE" w14:textId="77777777" w:rsidR="00F20810" w:rsidRPr="005827DA" w:rsidRDefault="00F20810" w:rsidP="005827DA">
      <w:pPr>
        <w:pStyle w:val="ListParagraph"/>
        <w:numPr>
          <w:ilvl w:val="1"/>
          <w:numId w:val="254"/>
        </w:numPr>
        <w:tabs>
          <w:tab w:val="left" w:pos="90"/>
          <w:tab w:val="left" w:pos="2975"/>
          <w:tab w:val="left" w:pos="2976"/>
        </w:tabs>
        <w:spacing w:before="118"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use</w:t>
      </w:r>
      <w:r w:rsidRPr="005827DA">
        <w:rPr>
          <w:rFonts w:ascii="Arial" w:hAnsi="Arial" w:cs="Arial"/>
          <w:spacing w:val="-4"/>
          <w:sz w:val="20"/>
          <w:szCs w:val="20"/>
        </w:rPr>
        <w:t xml:space="preserve"> </w:t>
      </w:r>
      <w:r w:rsidRPr="005827DA">
        <w:rPr>
          <w:rFonts w:ascii="Arial" w:hAnsi="Arial" w:cs="Arial"/>
          <w:sz w:val="20"/>
          <w:szCs w:val="20"/>
        </w:rPr>
        <w:t>of</w:t>
      </w:r>
      <w:r w:rsidRPr="005827DA">
        <w:rPr>
          <w:rFonts w:ascii="Arial" w:hAnsi="Arial" w:cs="Arial"/>
          <w:spacing w:val="-2"/>
          <w:sz w:val="20"/>
          <w:szCs w:val="20"/>
        </w:rPr>
        <w:t xml:space="preserve"> </w:t>
      </w:r>
      <w:r w:rsidRPr="005827DA">
        <w:rPr>
          <w:rFonts w:ascii="Arial" w:hAnsi="Arial" w:cs="Arial"/>
          <w:sz w:val="20"/>
          <w:szCs w:val="20"/>
        </w:rPr>
        <w:t>ballast</w:t>
      </w:r>
      <w:r w:rsidRPr="005827DA">
        <w:rPr>
          <w:rFonts w:ascii="Arial" w:hAnsi="Arial" w:cs="Arial"/>
          <w:spacing w:val="-2"/>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parachute</w:t>
      </w:r>
      <w:r w:rsidRPr="005827DA">
        <w:rPr>
          <w:rFonts w:ascii="Arial" w:hAnsi="Arial" w:cs="Arial"/>
          <w:spacing w:val="-2"/>
          <w:sz w:val="20"/>
          <w:szCs w:val="20"/>
        </w:rPr>
        <w:t xml:space="preserve"> </w:t>
      </w:r>
      <w:r w:rsidRPr="005827DA">
        <w:rPr>
          <w:rFonts w:ascii="Arial" w:hAnsi="Arial" w:cs="Arial"/>
          <w:sz w:val="20"/>
          <w:szCs w:val="20"/>
        </w:rPr>
        <w:t>(gas</w:t>
      </w:r>
      <w:r w:rsidRPr="005827DA">
        <w:rPr>
          <w:rFonts w:ascii="Arial" w:hAnsi="Arial" w:cs="Arial"/>
          <w:spacing w:val="-2"/>
          <w:sz w:val="20"/>
          <w:szCs w:val="20"/>
        </w:rPr>
        <w:t xml:space="preserve"> </w:t>
      </w:r>
      <w:r w:rsidRPr="005827DA">
        <w:rPr>
          <w:rFonts w:ascii="Arial" w:hAnsi="Arial" w:cs="Arial"/>
          <w:sz w:val="20"/>
          <w:szCs w:val="20"/>
        </w:rPr>
        <w:t>balloons);</w:t>
      </w:r>
    </w:p>
    <w:p w14:paraId="59528E13" w14:textId="77777777" w:rsidR="00F20810" w:rsidRPr="005827DA" w:rsidRDefault="00F20810" w:rsidP="005827DA">
      <w:pPr>
        <w:pStyle w:val="ListParagraph"/>
        <w:numPr>
          <w:ilvl w:val="1"/>
          <w:numId w:val="254"/>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use</w:t>
      </w:r>
      <w:r w:rsidRPr="005827DA">
        <w:rPr>
          <w:rFonts w:ascii="Arial" w:hAnsi="Arial" w:cs="Arial"/>
          <w:spacing w:val="-3"/>
          <w:sz w:val="20"/>
          <w:szCs w:val="20"/>
        </w:rPr>
        <w:t xml:space="preserve"> </w:t>
      </w:r>
      <w:r w:rsidRPr="005827DA">
        <w:rPr>
          <w:rFonts w:ascii="Arial" w:hAnsi="Arial" w:cs="Arial"/>
          <w:sz w:val="20"/>
          <w:szCs w:val="20"/>
        </w:rPr>
        <w:t>of</w:t>
      </w:r>
      <w:r w:rsidRPr="005827DA">
        <w:rPr>
          <w:rFonts w:ascii="Arial" w:hAnsi="Arial" w:cs="Arial"/>
          <w:spacing w:val="-3"/>
          <w:sz w:val="20"/>
          <w:szCs w:val="20"/>
        </w:rPr>
        <w:t xml:space="preserve"> </w:t>
      </w:r>
      <w:r w:rsidRPr="005827DA">
        <w:rPr>
          <w:rFonts w:ascii="Arial" w:hAnsi="Arial" w:cs="Arial"/>
          <w:sz w:val="20"/>
          <w:szCs w:val="20"/>
        </w:rPr>
        <w:t>trail</w:t>
      </w:r>
      <w:r w:rsidRPr="005827DA">
        <w:rPr>
          <w:rFonts w:ascii="Arial" w:hAnsi="Arial" w:cs="Arial"/>
          <w:spacing w:val="-1"/>
          <w:sz w:val="20"/>
          <w:szCs w:val="20"/>
        </w:rPr>
        <w:t xml:space="preserve"> </w:t>
      </w:r>
      <w:r w:rsidRPr="005827DA">
        <w:rPr>
          <w:rFonts w:ascii="Arial" w:hAnsi="Arial" w:cs="Arial"/>
          <w:sz w:val="20"/>
          <w:szCs w:val="20"/>
        </w:rPr>
        <w:t>rope (if</w:t>
      </w:r>
      <w:r w:rsidRPr="005827DA">
        <w:rPr>
          <w:rFonts w:ascii="Arial" w:hAnsi="Arial" w:cs="Arial"/>
          <w:spacing w:val="-4"/>
          <w:sz w:val="20"/>
          <w:szCs w:val="20"/>
        </w:rPr>
        <w:t xml:space="preserve"> </w:t>
      </w:r>
      <w:r w:rsidRPr="005827DA">
        <w:rPr>
          <w:rFonts w:ascii="Arial" w:hAnsi="Arial" w:cs="Arial"/>
          <w:sz w:val="20"/>
          <w:szCs w:val="20"/>
        </w:rPr>
        <w:t>applicable)</w:t>
      </w:r>
      <w:r w:rsidRPr="005827DA">
        <w:rPr>
          <w:rFonts w:ascii="Arial" w:hAnsi="Arial" w:cs="Arial"/>
          <w:spacing w:val="1"/>
          <w:sz w:val="20"/>
          <w:szCs w:val="20"/>
        </w:rPr>
        <w:t xml:space="preserve"> </w:t>
      </w:r>
      <w:r w:rsidRPr="005827DA">
        <w:rPr>
          <w:rFonts w:ascii="Arial" w:hAnsi="Arial" w:cs="Arial"/>
          <w:sz w:val="20"/>
          <w:szCs w:val="20"/>
        </w:rPr>
        <w:t>(gas</w:t>
      </w:r>
      <w:r w:rsidRPr="005827DA">
        <w:rPr>
          <w:rFonts w:ascii="Arial" w:hAnsi="Arial" w:cs="Arial"/>
          <w:spacing w:val="-4"/>
          <w:sz w:val="20"/>
          <w:szCs w:val="20"/>
        </w:rPr>
        <w:t xml:space="preserve"> </w:t>
      </w:r>
      <w:r w:rsidRPr="005827DA">
        <w:rPr>
          <w:rFonts w:ascii="Arial" w:hAnsi="Arial" w:cs="Arial"/>
          <w:sz w:val="20"/>
          <w:szCs w:val="20"/>
        </w:rPr>
        <w:t>balloons);</w:t>
      </w:r>
    </w:p>
    <w:p w14:paraId="4F2150E8" w14:textId="77777777" w:rsidR="00F20810" w:rsidRPr="005827DA" w:rsidRDefault="00F20810" w:rsidP="005827DA">
      <w:pPr>
        <w:pStyle w:val="ListParagraph"/>
        <w:numPr>
          <w:ilvl w:val="1"/>
          <w:numId w:val="254"/>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look-out</w:t>
      </w:r>
      <w:r w:rsidRPr="005827DA">
        <w:rPr>
          <w:rFonts w:ascii="Arial" w:hAnsi="Arial" w:cs="Arial"/>
          <w:spacing w:val="-1"/>
          <w:sz w:val="20"/>
          <w:szCs w:val="20"/>
        </w:rPr>
        <w:t xml:space="preserve"> </w:t>
      </w:r>
      <w:r w:rsidRPr="005827DA">
        <w:rPr>
          <w:rFonts w:ascii="Arial" w:hAnsi="Arial" w:cs="Arial"/>
          <w:sz w:val="20"/>
          <w:szCs w:val="20"/>
        </w:rPr>
        <w:t>procedures and</w:t>
      </w:r>
      <w:r w:rsidRPr="005827DA">
        <w:rPr>
          <w:rFonts w:ascii="Arial" w:hAnsi="Arial" w:cs="Arial"/>
          <w:spacing w:val="-2"/>
          <w:sz w:val="20"/>
          <w:szCs w:val="20"/>
        </w:rPr>
        <w:t xml:space="preserve"> </w:t>
      </w:r>
      <w:r w:rsidRPr="005827DA">
        <w:rPr>
          <w:rFonts w:ascii="Arial" w:hAnsi="Arial" w:cs="Arial"/>
          <w:sz w:val="20"/>
          <w:szCs w:val="20"/>
        </w:rPr>
        <w:t>how</w:t>
      </w:r>
      <w:r w:rsidRPr="005827DA">
        <w:rPr>
          <w:rFonts w:ascii="Arial" w:hAnsi="Arial" w:cs="Arial"/>
          <w:spacing w:val="-3"/>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avoid</w:t>
      </w:r>
      <w:r w:rsidRPr="005827DA">
        <w:rPr>
          <w:rFonts w:ascii="Arial" w:hAnsi="Arial" w:cs="Arial"/>
          <w:spacing w:val="-2"/>
          <w:sz w:val="20"/>
          <w:szCs w:val="20"/>
        </w:rPr>
        <w:t xml:space="preserve"> </w:t>
      </w:r>
      <w:r w:rsidRPr="005827DA">
        <w:rPr>
          <w:rFonts w:ascii="Arial" w:hAnsi="Arial" w:cs="Arial"/>
          <w:sz w:val="20"/>
          <w:szCs w:val="20"/>
        </w:rPr>
        <w:t>potential</w:t>
      </w:r>
      <w:r w:rsidRPr="005827DA">
        <w:rPr>
          <w:rFonts w:ascii="Arial" w:hAnsi="Arial" w:cs="Arial"/>
          <w:spacing w:val="-3"/>
          <w:sz w:val="20"/>
          <w:szCs w:val="20"/>
        </w:rPr>
        <w:t xml:space="preserve"> </w:t>
      </w:r>
      <w:r w:rsidRPr="005827DA">
        <w:rPr>
          <w:rFonts w:ascii="Arial" w:hAnsi="Arial" w:cs="Arial"/>
          <w:sz w:val="20"/>
          <w:szCs w:val="20"/>
        </w:rPr>
        <w:t>distraction;</w:t>
      </w:r>
    </w:p>
    <w:p w14:paraId="4C29C499" w14:textId="77777777" w:rsidR="00F20810" w:rsidRPr="005827DA" w:rsidRDefault="00F20810" w:rsidP="005827DA">
      <w:pPr>
        <w:pStyle w:val="ListParagraph"/>
        <w:numPr>
          <w:ilvl w:val="1"/>
          <w:numId w:val="254"/>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missed approach</w:t>
      </w:r>
      <w:r w:rsidRPr="005827DA">
        <w:rPr>
          <w:rFonts w:ascii="Arial" w:hAnsi="Arial" w:cs="Arial"/>
          <w:spacing w:val="-1"/>
          <w:sz w:val="20"/>
          <w:szCs w:val="20"/>
        </w:rPr>
        <w:t xml:space="preserve"> </w:t>
      </w:r>
      <w:r w:rsidRPr="005827DA">
        <w:rPr>
          <w:rFonts w:ascii="Arial" w:hAnsi="Arial" w:cs="Arial"/>
          <w:sz w:val="20"/>
          <w:szCs w:val="20"/>
        </w:rPr>
        <w:t>and</w:t>
      </w:r>
      <w:r w:rsidRPr="005827DA">
        <w:rPr>
          <w:rFonts w:ascii="Arial" w:hAnsi="Arial" w:cs="Arial"/>
          <w:spacing w:val="-1"/>
          <w:sz w:val="20"/>
          <w:szCs w:val="20"/>
        </w:rPr>
        <w:t xml:space="preserve"> </w:t>
      </w:r>
      <w:r w:rsidRPr="005827DA">
        <w:rPr>
          <w:rFonts w:ascii="Arial" w:hAnsi="Arial" w:cs="Arial"/>
          <w:sz w:val="20"/>
          <w:szCs w:val="20"/>
        </w:rPr>
        <w:t>fly-on</w:t>
      </w:r>
      <w:r w:rsidRPr="005827DA">
        <w:rPr>
          <w:rFonts w:ascii="Arial" w:hAnsi="Arial" w:cs="Arial"/>
          <w:spacing w:val="-1"/>
          <w:sz w:val="20"/>
          <w:szCs w:val="20"/>
        </w:rPr>
        <w:t xml:space="preserve"> </w:t>
      </w:r>
      <w:r w:rsidRPr="005827DA">
        <w:rPr>
          <w:rFonts w:ascii="Arial" w:hAnsi="Arial" w:cs="Arial"/>
          <w:sz w:val="20"/>
          <w:szCs w:val="20"/>
        </w:rPr>
        <w:t>techniques;</w:t>
      </w:r>
    </w:p>
    <w:p w14:paraId="79680622" w14:textId="77777777" w:rsidR="00F20810" w:rsidRPr="005827DA" w:rsidRDefault="00F20810" w:rsidP="005827DA">
      <w:pPr>
        <w:pStyle w:val="ListParagraph"/>
        <w:numPr>
          <w:ilvl w:val="1"/>
          <w:numId w:val="254"/>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5"/>
          <w:sz w:val="20"/>
          <w:szCs w:val="20"/>
        </w:rPr>
        <w:t xml:space="preserve"> </w:t>
      </w:r>
      <w:r w:rsidRPr="005827DA">
        <w:rPr>
          <w:rFonts w:ascii="Arial" w:hAnsi="Arial" w:cs="Arial"/>
          <w:sz w:val="20"/>
          <w:szCs w:val="20"/>
        </w:rPr>
        <w:t>to</w:t>
      </w:r>
      <w:r w:rsidRPr="005827DA">
        <w:rPr>
          <w:rFonts w:ascii="Arial" w:hAnsi="Arial" w:cs="Arial"/>
          <w:spacing w:val="-4"/>
          <w:sz w:val="20"/>
          <w:szCs w:val="20"/>
        </w:rPr>
        <w:t xml:space="preserve"> </w:t>
      </w:r>
      <w:r w:rsidRPr="005827DA">
        <w:rPr>
          <w:rFonts w:ascii="Arial" w:hAnsi="Arial" w:cs="Arial"/>
          <w:sz w:val="20"/>
          <w:szCs w:val="20"/>
        </w:rPr>
        <w:t>advise</w:t>
      </w:r>
      <w:r w:rsidRPr="005827DA">
        <w:rPr>
          <w:rFonts w:ascii="Arial" w:hAnsi="Arial" w:cs="Arial"/>
          <w:spacing w:val="-5"/>
          <w:sz w:val="20"/>
          <w:szCs w:val="20"/>
        </w:rPr>
        <w:t xml:space="preserve"> </w:t>
      </w:r>
      <w:r w:rsidRPr="005827DA">
        <w:rPr>
          <w:rFonts w:ascii="Arial" w:hAnsi="Arial" w:cs="Arial"/>
          <w:sz w:val="20"/>
          <w:szCs w:val="20"/>
        </w:rPr>
        <w:t>the</w:t>
      </w:r>
      <w:r w:rsidRPr="005827DA">
        <w:rPr>
          <w:rFonts w:ascii="Arial" w:hAnsi="Arial" w:cs="Arial"/>
          <w:spacing w:val="-6"/>
          <w:sz w:val="20"/>
          <w:szCs w:val="20"/>
        </w:rPr>
        <w:t xml:space="preserve"> </w:t>
      </w:r>
      <w:r w:rsidRPr="005827DA">
        <w:rPr>
          <w:rFonts w:ascii="Arial" w:hAnsi="Arial" w:cs="Arial"/>
          <w:sz w:val="20"/>
          <w:szCs w:val="20"/>
        </w:rPr>
        <w:t>student</w:t>
      </w:r>
      <w:r w:rsidRPr="005827DA">
        <w:rPr>
          <w:rFonts w:ascii="Arial" w:hAnsi="Arial" w:cs="Arial"/>
          <w:spacing w:val="-8"/>
          <w:sz w:val="20"/>
          <w:szCs w:val="20"/>
        </w:rPr>
        <w:t xml:space="preserve"> </w:t>
      </w:r>
      <w:r w:rsidRPr="005827DA">
        <w:rPr>
          <w:rFonts w:ascii="Arial" w:hAnsi="Arial" w:cs="Arial"/>
          <w:sz w:val="20"/>
          <w:szCs w:val="20"/>
        </w:rPr>
        <w:t>pilot</w:t>
      </w:r>
      <w:r w:rsidRPr="005827DA">
        <w:rPr>
          <w:rFonts w:ascii="Arial" w:hAnsi="Arial" w:cs="Arial"/>
          <w:spacing w:val="-5"/>
          <w:sz w:val="20"/>
          <w:szCs w:val="20"/>
        </w:rPr>
        <w:t xml:space="preserve"> </w:t>
      </w:r>
      <w:r w:rsidRPr="005827DA">
        <w:rPr>
          <w:rFonts w:ascii="Arial" w:hAnsi="Arial" w:cs="Arial"/>
          <w:sz w:val="20"/>
          <w:szCs w:val="20"/>
        </w:rPr>
        <w:t>to</w:t>
      </w:r>
      <w:r w:rsidRPr="005827DA">
        <w:rPr>
          <w:rFonts w:ascii="Arial" w:hAnsi="Arial" w:cs="Arial"/>
          <w:spacing w:val="-3"/>
          <w:sz w:val="20"/>
          <w:szCs w:val="20"/>
        </w:rPr>
        <w:t xml:space="preserve"> </w:t>
      </w:r>
      <w:r w:rsidRPr="005827DA">
        <w:rPr>
          <w:rFonts w:ascii="Arial" w:hAnsi="Arial" w:cs="Arial"/>
          <w:sz w:val="20"/>
          <w:szCs w:val="20"/>
        </w:rPr>
        <w:t>perform</w:t>
      </w:r>
      <w:r w:rsidRPr="005827DA">
        <w:rPr>
          <w:rFonts w:ascii="Arial" w:hAnsi="Arial" w:cs="Arial"/>
          <w:spacing w:val="-5"/>
          <w:sz w:val="20"/>
          <w:szCs w:val="20"/>
        </w:rPr>
        <w:t xml:space="preserve"> </w:t>
      </w:r>
      <w:r w:rsidRPr="005827DA">
        <w:rPr>
          <w:rFonts w:ascii="Arial" w:hAnsi="Arial" w:cs="Arial"/>
          <w:sz w:val="20"/>
          <w:szCs w:val="20"/>
        </w:rPr>
        <w:t>an</w:t>
      </w:r>
      <w:r w:rsidRPr="005827DA">
        <w:rPr>
          <w:rFonts w:ascii="Arial" w:hAnsi="Arial" w:cs="Arial"/>
          <w:spacing w:val="-6"/>
          <w:sz w:val="20"/>
          <w:szCs w:val="20"/>
        </w:rPr>
        <w:t xml:space="preserve"> </w:t>
      </w:r>
      <w:r w:rsidRPr="005827DA">
        <w:rPr>
          <w:rFonts w:ascii="Arial" w:hAnsi="Arial" w:cs="Arial"/>
          <w:sz w:val="20"/>
          <w:szCs w:val="20"/>
        </w:rPr>
        <w:t>approach</w:t>
      </w:r>
      <w:r w:rsidRPr="005827DA">
        <w:rPr>
          <w:rFonts w:ascii="Arial" w:hAnsi="Arial" w:cs="Arial"/>
          <w:spacing w:val="-6"/>
          <w:sz w:val="20"/>
          <w:szCs w:val="20"/>
        </w:rPr>
        <w:t xml:space="preserve"> </w:t>
      </w:r>
      <w:r w:rsidRPr="005827DA">
        <w:rPr>
          <w:rFonts w:ascii="Arial" w:hAnsi="Arial" w:cs="Arial"/>
          <w:sz w:val="20"/>
          <w:szCs w:val="20"/>
        </w:rPr>
        <w:t>from</w:t>
      </w:r>
      <w:r w:rsidRPr="005827DA">
        <w:rPr>
          <w:rFonts w:ascii="Arial" w:hAnsi="Arial" w:cs="Arial"/>
          <w:spacing w:val="-5"/>
          <w:sz w:val="20"/>
          <w:szCs w:val="20"/>
        </w:rPr>
        <w:t xml:space="preserve"> </w:t>
      </w:r>
      <w:r w:rsidRPr="005827DA">
        <w:rPr>
          <w:rFonts w:ascii="Arial" w:hAnsi="Arial" w:cs="Arial"/>
          <w:sz w:val="20"/>
          <w:szCs w:val="20"/>
        </w:rPr>
        <w:t>a</w:t>
      </w:r>
      <w:r w:rsidRPr="005827DA">
        <w:rPr>
          <w:rFonts w:ascii="Arial" w:hAnsi="Arial" w:cs="Arial"/>
          <w:spacing w:val="-6"/>
          <w:sz w:val="20"/>
          <w:szCs w:val="20"/>
        </w:rPr>
        <w:t xml:space="preserve"> </w:t>
      </w:r>
      <w:r w:rsidRPr="005827DA">
        <w:rPr>
          <w:rFonts w:ascii="Arial" w:hAnsi="Arial" w:cs="Arial"/>
          <w:sz w:val="20"/>
          <w:szCs w:val="20"/>
        </w:rPr>
        <w:t>higher</w:t>
      </w:r>
      <w:r w:rsidRPr="005827DA">
        <w:rPr>
          <w:rFonts w:ascii="Arial" w:hAnsi="Arial" w:cs="Arial"/>
          <w:spacing w:val="-46"/>
          <w:sz w:val="20"/>
          <w:szCs w:val="20"/>
        </w:rPr>
        <w:t xml:space="preserve"> </w:t>
      </w:r>
      <w:r w:rsidRPr="005827DA">
        <w:rPr>
          <w:rFonts w:ascii="Arial" w:hAnsi="Arial" w:cs="Arial"/>
          <w:sz w:val="20"/>
          <w:szCs w:val="20"/>
        </w:rPr>
        <w:t>level; and</w:t>
      </w:r>
    </w:p>
    <w:p w14:paraId="26C03D6A" w14:textId="77777777" w:rsidR="00F20810" w:rsidRPr="005827DA" w:rsidRDefault="00F20810" w:rsidP="005827DA">
      <w:pPr>
        <w:pStyle w:val="ListParagraph"/>
        <w:numPr>
          <w:ilvl w:val="1"/>
          <w:numId w:val="254"/>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2"/>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analyse</w:t>
      </w:r>
      <w:r w:rsidRPr="005827DA">
        <w:rPr>
          <w:rFonts w:ascii="Arial" w:hAnsi="Arial" w:cs="Arial"/>
          <w:spacing w:val="-2"/>
          <w:sz w:val="20"/>
          <w:szCs w:val="20"/>
        </w:rPr>
        <w:t xml:space="preserve"> </w:t>
      </w:r>
      <w:r w:rsidRPr="005827DA">
        <w:rPr>
          <w:rFonts w:ascii="Arial" w:hAnsi="Arial" w:cs="Arial"/>
          <w:sz w:val="20"/>
          <w:szCs w:val="20"/>
        </w:rPr>
        <w:t>and correct</w:t>
      </w:r>
      <w:r w:rsidRPr="005827DA">
        <w:rPr>
          <w:rFonts w:ascii="Arial" w:hAnsi="Arial" w:cs="Arial"/>
          <w:spacing w:val="-2"/>
          <w:sz w:val="20"/>
          <w:szCs w:val="20"/>
        </w:rPr>
        <w:t xml:space="preserve"> </w:t>
      </w:r>
      <w:r w:rsidRPr="005827DA">
        <w:rPr>
          <w:rFonts w:ascii="Arial" w:hAnsi="Arial" w:cs="Arial"/>
          <w:sz w:val="20"/>
          <w:szCs w:val="20"/>
        </w:rPr>
        <w:t>faults</w:t>
      </w:r>
      <w:r w:rsidRPr="005827DA">
        <w:rPr>
          <w:rFonts w:ascii="Arial" w:hAnsi="Arial" w:cs="Arial"/>
          <w:spacing w:val="-2"/>
          <w:sz w:val="20"/>
          <w:szCs w:val="20"/>
        </w:rPr>
        <w:t xml:space="preserve"> </w:t>
      </w:r>
      <w:r w:rsidRPr="005827DA">
        <w:rPr>
          <w:rFonts w:ascii="Arial" w:hAnsi="Arial" w:cs="Arial"/>
          <w:sz w:val="20"/>
          <w:szCs w:val="20"/>
        </w:rPr>
        <w:t>or errors</w:t>
      </w:r>
      <w:r w:rsidRPr="005827DA">
        <w:rPr>
          <w:rFonts w:ascii="Arial" w:hAnsi="Arial" w:cs="Arial"/>
          <w:spacing w:val="-1"/>
          <w:sz w:val="20"/>
          <w:szCs w:val="20"/>
        </w:rPr>
        <w:t xml:space="preserve"> </w:t>
      </w:r>
      <w:r w:rsidRPr="005827DA">
        <w:rPr>
          <w:rFonts w:ascii="Arial" w:hAnsi="Arial" w:cs="Arial"/>
          <w:sz w:val="20"/>
          <w:szCs w:val="20"/>
        </w:rPr>
        <w:t>of</w:t>
      </w:r>
      <w:r w:rsidRPr="005827DA">
        <w:rPr>
          <w:rFonts w:ascii="Arial" w:hAnsi="Arial" w:cs="Arial"/>
          <w:spacing w:val="-2"/>
          <w:sz w:val="20"/>
          <w:szCs w:val="20"/>
        </w:rPr>
        <w:t xml:space="preserve"> </w:t>
      </w:r>
      <w:r w:rsidRPr="005827DA">
        <w:rPr>
          <w:rFonts w:ascii="Arial" w:hAnsi="Arial" w:cs="Arial"/>
          <w:sz w:val="20"/>
          <w:szCs w:val="20"/>
        </w:rPr>
        <w:t>the student</w:t>
      </w:r>
      <w:r w:rsidRPr="005827DA">
        <w:rPr>
          <w:rFonts w:ascii="Arial" w:hAnsi="Arial" w:cs="Arial"/>
          <w:spacing w:val="1"/>
          <w:sz w:val="20"/>
          <w:szCs w:val="20"/>
        </w:rPr>
        <w:t xml:space="preserve"> </w:t>
      </w:r>
      <w:r w:rsidRPr="005827DA">
        <w:rPr>
          <w:rFonts w:ascii="Arial" w:hAnsi="Arial" w:cs="Arial"/>
          <w:sz w:val="20"/>
          <w:szCs w:val="20"/>
        </w:rPr>
        <w:t>pilot.</w:t>
      </w:r>
    </w:p>
    <w:p w14:paraId="3800D71C" w14:textId="77777777" w:rsidR="00F20810" w:rsidRPr="005827DA" w:rsidRDefault="00F20810" w:rsidP="005827DA">
      <w:pPr>
        <w:pStyle w:val="ListParagraph"/>
        <w:numPr>
          <w:ilvl w:val="0"/>
          <w:numId w:val="254"/>
        </w:numPr>
        <w:tabs>
          <w:tab w:val="left" w:pos="90"/>
          <w:tab w:val="left" w:pos="2408"/>
          <w:tab w:val="left" w:pos="2409"/>
        </w:tabs>
        <w:spacing w:line="276" w:lineRule="auto"/>
        <w:ind w:right="68" w:hanging="436"/>
        <w:jc w:val="both"/>
        <w:rPr>
          <w:rFonts w:ascii="Arial" w:hAnsi="Arial" w:cs="Arial"/>
          <w:sz w:val="20"/>
          <w:szCs w:val="20"/>
        </w:rPr>
      </w:pPr>
      <w:r w:rsidRPr="005827DA">
        <w:rPr>
          <w:rFonts w:ascii="Arial" w:hAnsi="Arial" w:cs="Arial"/>
          <w:sz w:val="20"/>
          <w:szCs w:val="20"/>
        </w:rPr>
        <w:t>Debriefing</w:t>
      </w:r>
    </w:p>
    <w:p w14:paraId="13493194" w14:textId="77777777" w:rsidR="00F20810" w:rsidRPr="005827DA" w:rsidRDefault="00F20810" w:rsidP="005827DA">
      <w:pPr>
        <w:pStyle w:val="BodyText"/>
        <w:tabs>
          <w:tab w:val="left" w:pos="90"/>
        </w:tabs>
        <w:spacing w:before="9" w:line="276" w:lineRule="auto"/>
        <w:ind w:right="68" w:hanging="436"/>
        <w:jc w:val="both"/>
        <w:rPr>
          <w:rFonts w:ascii="Arial" w:hAnsi="Arial" w:cs="Arial"/>
          <w:sz w:val="20"/>
          <w:szCs w:val="20"/>
        </w:rPr>
      </w:pPr>
    </w:p>
    <w:p w14:paraId="79FFBD86" w14:textId="77777777" w:rsidR="00F20810" w:rsidRPr="005827DA" w:rsidRDefault="00F20810" w:rsidP="005827DA">
      <w:pPr>
        <w:tabs>
          <w:tab w:val="left" w:pos="90"/>
        </w:tabs>
        <w:spacing w:line="276" w:lineRule="auto"/>
        <w:ind w:right="68" w:hanging="436"/>
        <w:jc w:val="both"/>
        <w:rPr>
          <w:rFonts w:ascii="Arial" w:eastAsia="Times New Roman" w:hAnsi="Arial" w:cs="Times New Roman"/>
          <w:b/>
          <w:bCs/>
          <w:sz w:val="20"/>
          <w:szCs w:val="20"/>
        </w:rPr>
      </w:pPr>
      <w:r w:rsidRPr="005827DA">
        <w:rPr>
          <w:rFonts w:ascii="Arial" w:eastAsia="Times New Roman" w:hAnsi="Arial" w:cs="Times New Roman"/>
          <w:b/>
          <w:bCs/>
          <w:sz w:val="20"/>
          <w:szCs w:val="20"/>
        </w:rPr>
        <w:t>Exercise 15: Operation at low level</w:t>
      </w:r>
    </w:p>
    <w:p w14:paraId="6316B7D0" w14:textId="77777777" w:rsidR="00F20810" w:rsidRPr="005827DA" w:rsidRDefault="00F20810" w:rsidP="005827DA">
      <w:pPr>
        <w:pStyle w:val="ListParagraph"/>
        <w:numPr>
          <w:ilvl w:val="0"/>
          <w:numId w:val="256"/>
        </w:numPr>
        <w:tabs>
          <w:tab w:val="left" w:pos="90"/>
          <w:tab w:val="left" w:pos="2409"/>
        </w:tabs>
        <w:spacing w:line="276" w:lineRule="auto"/>
        <w:ind w:right="68" w:hanging="436"/>
        <w:jc w:val="both"/>
        <w:rPr>
          <w:rFonts w:ascii="Arial" w:hAnsi="Arial" w:cs="Arial"/>
          <w:sz w:val="20"/>
          <w:szCs w:val="20"/>
        </w:rPr>
      </w:pPr>
      <w:r w:rsidRPr="005827DA">
        <w:rPr>
          <w:rFonts w:ascii="Arial" w:hAnsi="Arial" w:cs="Arial"/>
          <w:sz w:val="20"/>
          <w:szCs w:val="20"/>
        </w:rPr>
        <w:t>Objective</w:t>
      </w:r>
    </w:p>
    <w:p w14:paraId="79968365" w14:textId="77777777" w:rsidR="00F20810" w:rsidRPr="005827DA" w:rsidRDefault="00F20810" w:rsidP="005827DA">
      <w:pPr>
        <w:pStyle w:val="BodyText"/>
        <w:tabs>
          <w:tab w:val="left" w:pos="90"/>
        </w:tabs>
        <w:spacing w:line="276" w:lineRule="auto"/>
        <w:ind w:left="2408" w:right="68" w:hanging="436"/>
        <w:jc w:val="both"/>
        <w:rPr>
          <w:rFonts w:ascii="Arial" w:hAnsi="Arial" w:cs="Arial"/>
          <w:sz w:val="20"/>
          <w:szCs w:val="20"/>
        </w:rPr>
      </w:pPr>
      <w:r w:rsidRPr="005827DA">
        <w:rPr>
          <w:rFonts w:ascii="Arial" w:hAnsi="Arial" w:cs="Arial"/>
          <w:sz w:val="20"/>
          <w:szCs w:val="20"/>
        </w:rPr>
        <w:lastRenderedPageBreak/>
        <w:t>To advise the student instructor on how to explain and demonstrate the</w:t>
      </w:r>
      <w:r w:rsidRPr="005827DA">
        <w:rPr>
          <w:rFonts w:ascii="Arial" w:hAnsi="Arial" w:cs="Arial"/>
          <w:spacing w:val="1"/>
          <w:sz w:val="20"/>
          <w:szCs w:val="20"/>
        </w:rPr>
        <w:t xml:space="preserve"> </w:t>
      </w:r>
      <w:r w:rsidRPr="005827DA">
        <w:rPr>
          <w:rFonts w:ascii="Arial" w:hAnsi="Arial" w:cs="Arial"/>
          <w:sz w:val="20"/>
          <w:szCs w:val="20"/>
        </w:rPr>
        <w:t>operation</w:t>
      </w:r>
      <w:r w:rsidRPr="005827DA">
        <w:rPr>
          <w:rFonts w:ascii="Arial" w:hAnsi="Arial" w:cs="Arial"/>
          <w:spacing w:val="-12"/>
          <w:sz w:val="20"/>
          <w:szCs w:val="20"/>
        </w:rPr>
        <w:t xml:space="preserve"> </w:t>
      </w:r>
      <w:r w:rsidRPr="005827DA">
        <w:rPr>
          <w:rFonts w:ascii="Arial" w:hAnsi="Arial" w:cs="Arial"/>
          <w:sz w:val="20"/>
          <w:szCs w:val="20"/>
        </w:rPr>
        <w:t>at</w:t>
      </w:r>
      <w:r w:rsidRPr="005827DA">
        <w:rPr>
          <w:rFonts w:ascii="Arial" w:hAnsi="Arial" w:cs="Arial"/>
          <w:spacing w:val="-10"/>
          <w:sz w:val="20"/>
          <w:szCs w:val="20"/>
        </w:rPr>
        <w:t xml:space="preserve"> </w:t>
      </w:r>
      <w:r w:rsidRPr="005827DA">
        <w:rPr>
          <w:rFonts w:ascii="Arial" w:hAnsi="Arial" w:cs="Arial"/>
          <w:sz w:val="20"/>
          <w:szCs w:val="20"/>
        </w:rPr>
        <w:t>a</w:t>
      </w:r>
      <w:r w:rsidRPr="005827DA">
        <w:rPr>
          <w:rFonts w:ascii="Arial" w:hAnsi="Arial" w:cs="Arial"/>
          <w:spacing w:val="-11"/>
          <w:sz w:val="20"/>
          <w:szCs w:val="20"/>
        </w:rPr>
        <w:t xml:space="preserve"> </w:t>
      </w:r>
      <w:r w:rsidRPr="005827DA">
        <w:rPr>
          <w:rFonts w:ascii="Arial" w:hAnsi="Arial" w:cs="Arial"/>
          <w:sz w:val="20"/>
          <w:szCs w:val="20"/>
        </w:rPr>
        <w:t>low</w:t>
      </w:r>
      <w:r w:rsidRPr="005827DA">
        <w:rPr>
          <w:rFonts w:ascii="Arial" w:hAnsi="Arial" w:cs="Arial"/>
          <w:spacing w:val="-11"/>
          <w:sz w:val="20"/>
          <w:szCs w:val="20"/>
        </w:rPr>
        <w:t xml:space="preserve"> </w:t>
      </w:r>
      <w:r w:rsidRPr="005827DA">
        <w:rPr>
          <w:rFonts w:ascii="Arial" w:hAnsi="Arial" w:cs="Arial"/>
          <w:sz w:val="20"/>
          <w:szCs w:val="20"/>
        </w:rPr>
        <w:t>height</w:t>
      </w:r>
      <w:r w:rsidRPr="005827DA">
        <w:rPr>
          <w:rFonts w:ascii="Arial" w:hAnsi="Arial" w:cs="Arial"/>
          <w:spacing w:val="-10"/>
          <w:sz w:val="20"/>
          <w:szCs w:val="20"/>
        </w:rPr>
        <w:t xml:space="preserve"> </w:t>
      </w:r>
      <w:r w:rsidRPr="005827DA">
        <w:rPr>
          <w:rFonts w:ascii="Arial" w:hAnsi="Arial" w:cs="Arial"/>
          <w:sz w:val="20"/>
          <w:szCs w:val="20"/>
        </w:rPr>
        <w:t>(1-20</w:t>
      </w:r>
      <w:r w:rsidRPr="005827DA">
        <w:rPr>
          <w:rFonts w:ascii="Arial" w:hAnsi="Arial" w:cs="Arial"/>
          <w:spacing w:val="-12"/>
          <w:sz w:val="20"/>
          <w:szCs w:val="20"/>
        </w:rPr>
        <w:t xml:space="preserve"> </w:t>
      </w:r>
      <w:r w:rsidRPr="005827DA">
        <w:rPr>
          <w:rFonts w:ascii="Arial" w:hAnsi="Arial" w:cs="Arial"/>
          <w:sz w:val="20"/>
          <w:szCs w:val="20"/>
        </w:rPr>
        <w:t>metres).</w:t>
      </w:r>
      <w:r w:rsidRPr="005827DA">
        <w:rPr>
          <w:rFonts w:ascii="Arial" w:hAnsi="Arial" w:cs="Arial"/>
          <w:spacing w:val="-11"/>
          <w:sz w:val="20"/>
          <w:szCs w:val="20"/>
        </w:rPr>
        <w:t xml:space="preserve"> </w:t>
      </w:r>
      <w:r w:rsidRPr="005827DA">
        <w:rPr>
          <w:rFonts w:ascii="Arial" w:hAnsi="Arial" w:cs="Arial"/>
          <w:sz w:val="20"/>
          <w:szCs w:val="20"/>
        </w:rPr>
        <w:t>Furthermore,</w:t>
      </w:r>
      <w:r w:rsidRPr="005827DA">
        <w:rPr>
          <w:rFonts w:ascii="Arial" w:hAnsi="Arial" w:cs="Arial"/>
          <w:spacing w:val="-11"/>
          <w:sz w:val="20"/>
          <w:szCs w:val="20"/>
        </w:rPr>
        <w:t xml:space="preserve"> </w:t>
      </w:r>
      <w:r w:rsidRPr="005827DA">
        <w:rPr>
          <w:rFonts w:ascii="Arial" w:hAnsi="Arial" w:cs="Arial"/>
          <w:sz w:val="20"/>
          <w:szCs w:val="20"/>
        </w:rPr>
        <w:t>the</w:t>
      </w:r>
      <w:r w:rsidRPr="005827DA">
        <w:rPr>
          <w:rFonts w:ascii="Arial" w:hAnsi="Arial" w:cs="Arial"/>
          <w:spacing w:val="-10"/>
          <w:sz w:val="20"/>
          <w:szCs w:val="20"/>
        </w:rPr>
        <w:t xml:space="preserve"> </w:t>
      </w:r>
      <w:r w:rsidRPr="005827DA">
        <w:rPr>
          <w:rFonts w:ascii="Arial" w:hAnsi="Arial" w:cs="Arial"/>
          <w:sz w:val="20"/>
          <w:szCs w:val="20"/>
        </w:rPr>
        <w:t>student</w:t>
      </w:r>
      <w:r w:rsidRPr="005827DA">
        <w:rPr>
          <w:rFonts w:ascii="Arial" w:hAnsi="Arial" w:cs="Arial"/>
          <w:spacing w:val="-10"/>
          <w:sz w:val="20"/>
          <w:szCs w:val="20"/>
        </w:rPr>
        <w:t xml:space="preserve"> </w:t>
      </w:r>
      <w:r w:rsidRPr="005827DA">
        <w:rPr>
          <w:rFonts w:ascii="Arial" w:hAnsi="Arial" w:cs="Arial"/>
          <w:sz w:val="20"/>
          <w:szCs w:val="20"/>
        </w:rPr>
        <w:t>instructor</w:t>
      </w:r>
      <w:r w:rsidRPr="005827DA">
        <w:rPr>
          <w:rFonts w:ascii="Arial" w:hAnsi="Arial" w:cs="Arial"/>
          <w:spacing w:val="-48"/>
          <w:sz w:val="20"/>
          <w:szCs w:val="20"/>
        </w:rPr>
        <w:t xml:space="preserve"> </w:t>
      </w:r>
      <w:r w:rsidRPr="005827DA">
        <w:rPr>
          <w:rFonts w:ascii="Arial" w:hAnsi="Arial" w:cs="Arial"/>
          <w:sz w:val="20"/>
          <w:szCs w:val="20"/>
        </w:rPr>
        <w:t>should</w:t>
      </w:r>
      <w:r w:rsidRPr="005827DA">
        <w:rPr>
          <w:rFonts w:ascii="Arial" w:hAnsi="Arial" w:cs="Arial"/>
          <w:spacing w:val="1"/>
          <w:sz w:val="20"/>
          <w:szCs w:val="20"/>
        </w:rPr>
        <w:t xml:space="preserve"> </w:t>
      </w:r>
      <w:r w:rsidRPr="005827DA">
        <w:rPr>
          <w:rFonts w:ascii="Arial" w:hAnsi="Arial" w:cs="Arial"/>
          <w:sz w:val="20"/>
          <w:szCs w:val="20"/>
        </w:rPr>
        <w:t>learn</w:t>
      </w:r>
      <w:r w:rsidRPr="005827DA">
        <w:rPr>
          <w:rFonts w:ascii="Arial" w:hAnsi="Arial" w:cs="Arial"/>
          <w:spacing w:val="1"/>
          <w:sz w:val="20"/>
          <w:szCs w:val="20"/>
        </w:rPr>
        <w:t xml:space="preserve"> </w:t>
      </w:r>
      <w:r w:rsidRPr="005827DA">
        <w:rPr>
          <w:rFonts w:ascii="Arial" w:hAnsi="Arial" w:cs="Arial"/>
          <w:sz w:val="20"/>
          <w:szCs w:val="20"/>
        </w:rPr>
        <w:t>how</w:t>
      </w:r>
      <w:r w:rsidRPr="005827DA">
        <w:rPr>
          <w:rFonts w:ascii="Arial" w:hAnsi="Arial" w:cs="Arial"/>
          <w:spacing w:val="1"/>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identify</w:t>
      </w:r>
      <w:r w:rsidRPr="005827DA">
        <w:rPr>
          <w:rFonts w:ascii="Arial" w:hAnsi="Arial" w:cs="Arial"/>
          <w:spacing w:val="1"/>
          <w:sz w:val="20"/>
          <w:szCs w:val="20"/>
        </w:rPr>
        <w:t xml:space="preserve"> </w:t>
      </w:r>
      <w:r w:rsidRPr="005827DA">
        <w:rPr>
          <w:rFonts w:ascii="Arial" w:hAnsi="Arial" w:cs="Arial"/>
          <w:sz w:val="20"/>
          <w:szCs w:val="20"/>
        </w:rPr>
        <w:t>student</w:t>
      </w:r>
      <w:r w:rsidRPr="005827DA">
        <w:rPr>
          <w:rFonts w:ascii="Arial" w:hAnsi="Arial" w:cs="Arial"/>
          <w:spacing w:val="1"/>
          <w:sz w:val="20"/>
          <w:szCs w:val="20"/>
        </w:rPr>
        <w:t xml:space="preserve"> </w:t>
      </w:r>
      <w:r w:rsidRPr="005827DA">
        <w:rPr>
          <w:rFonts w:ascii="Arial" w:hAnsi="Arial" w:cs="Arial"/>
          <w:sz w:val="20"/>
          <w:szCs w:val="20"/>
        </w:rPr>
        <w:t>errors</w:t>
      </w:r>
      <w:r w:rsidRPr="005827DA">
        <w:rPr>
          <w:rFonts w:ascii="Arial" w:hAnsi="Arial" w:cs="Arial"/>
          <w:spacing w:val="1"/>
          <w:sz w:val="20"/>
          <w:szCs w:val="20"/>
        </w:rPr>
        <w:t xml:space="preserve"> </w:t>
      </w:r>
      <w:r w:rsidRPr="005827DA">
        <w:rPr>
          <w:rFonts w:ascii="Arial" w:hAnsi="Arial" w:cs="Arial"/>
          <w:sz w:val="20"/>
          <w:szCs w:val="20"/>
        </w:rPr>
        <w:t>and</w:t>
      </w:r>
      <w:r w:rsidRPr="005827DA">
        <w:rPr>
          <w:rFonts w:ascii="Arial" w:hAnsi="Arial" w:cs="Arial"/>
          <w:spacing w:val="1"/>
          <w:sz w:val="20"/>
          <w:szCs w:val="20"/>
        </w:rPr>
        <w:t xml:space="preserve"> </w:t>
      </w:r>
      <w:r w:rsidRPr="005827DA">
        <w:rPr>
          <w:rFonts w:ascii="Arial" w:hAnsi="Arial" w:cs="Arial"/>
          <w:sz w:val="20"/>
          <w:szCs w:val="20"/>
        </w:rPr>
        <w:t>how</w:t>
      </w:r>
      <w:r w:rsidRPr="005827DA">
        <w:rPr>
          <w:rFonts w:ascii="Arial" w:hAnsi="Arial" w:cs="Arial"/>
          <w:spacing w:val="1"/>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correct</w:t>
      </w:r>
      <w:r w:rsidRPr="005827DA">
        <w:rPr>
          <w:rFonts w:ascii="Arial" w:hAnsi="Arial" w:cs="Arial"/>
          <w:spacing w:val="1"/>
          <w:sz w:val="20"/>
          <w:szCs w:val="20"/>
        </w:rPr>
        <w:t xml:space="preserve"> </w:t>
      </w:r>
      <w:r w:rsidRPr="005827DA">
        <w:rPr>
          <w:rFonts w:ascii="Arial" w:hAnsi="Arial" w:cs="Arial"/>
          <w:sz w:val="20"/>
          <w:szCs w:val="20"/>
        </w:rPr>
        <w:t>them</w:t>
      </w:r>
      <w:r w:rsidRPr="005827DA">
        <w:rPr>
          <w:rFonts w:ascii="Arial" w:hAnsi="Arial" w:cs="Arial"/>
          <w:spacing w:val="1"/>
          <w:sz w:val="20"/>
          <w:szCs w:val="20"/>
        </w:rPr>
        <w:t xml:space="preserve"> </w:t>
      </w:r>
      <w:r w:rsidRPr="005827DA">
        <w:rPr>
          <w:rFonts w:ascii="Arial" w:hAnsi="Arial" w:cs="Arial"/>
          <w:sz w:val="20"/>
          <w:szCs w:val="20"/>
        </w:rPr>
        <w:t>properly.</w:t>
      </w:r>
    </w:p>
    <w:p w14:paraId="1E3BBBEB" w14:textId="77777777" w:rsidR="00F20810" w:rsidRPr="005827DA" w:rsidRDefault="00F20810" w:rsidP="005827DA">
      <w:pPr>
        <w:pStyle w:val="ListParagraph"/>
        <w:numPr>
          <w:ilvl w:val="0"/>
          <w:numId w:val="256"/>
        </w:numPr>
        <w:tabs>
          <w:tab w:val="left" w:pos="90"/>
          <w:tab w:val="left" w:pos="2409"/>
        </w:tabs>
        <w:spacing w:before="122" w:line="276" w:lineRule="auto"/>
        <w:ind w:right="68" w:hanging="436"/>
        <w:jc w:val="both"/>
        <w:rPr>
          <w:rFonts w:ascii="Arial" w:hAnsi="Arial" w:cs="Arial"/>
          <w:sz w:val="20"/>
          <w:szCs w:val="20"/>
        </w:rPr>
      </w:pPr>
      <w:r w:rsidRPr="005827DA">
        <w:rPr>
          <w:rFonts w:ascii="Arial" w:hAnsi="Arial" w:cs="Arial"/>
          <w:sz w:val="20"/>
          <w:szCs w:val="20"/>
        </w:rPr>
        <w:t>Briefing</w:t>
      </w:r>
    </w:p>
    <w:p w14:paraId="74A4F485" w14:textId="77777777" w:rsidR="00F20810" w:rsidRPr="005827DA" w:rsidRDefault="00F20810" w:rsidP="005827DA">
      <w:pPr>
        <w:pStyle w:val="BodyText"/>
        <w:tabs>
          <w:tab w:val="left" w:pos="90"/>
        </w:tabs>
        <w:spacing w:line="276" w:lineRule="auto"/>
        <w:ind w:left="2408"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student</w:t>
      </w:r>
      <w:r w:rsidRPr="005827DA">
        <w:rPr>
          <w:rFonts w:ascii="Arial" w:hAnsi="Arial" w:cs="Arial"/>
          <w:spacing w:val="-2"/>
          <w:sz w:val="20"/>
          <w:szCs w:val="20"/>
        </w:rPr>
        <w:t xml:space="preserve"> </w:t>
      </w:r>
      <w:r w:rsidRPr="005827DA">
        <w:rPr>
          <w:rFonts w:ascii="Arial" w:hAnsi="Arial" w:cs="Arial"/>
          <w:sz w:val="20"/>
          <w:szCs w:val="20"/>
        </w:rPr>
        <w:t>instructor has</w:t>
      </w:r>
      <w:r w:rsidRPr="005827DA">
        <w:rPr>
          <w:rFonts w:ascii="Arial" w:hAnsi="Arial" w:cs="Arial"/>
          <w:spacing w:val="-6"/>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explain:</w:t>
      </w:r>
    </w:p>
    <w:p w14:paraId="77457D76" w14:textId="77777777" w:rsidR="00F20810" w:rsidRPr="005827DA" w:rsidRDefault="00F20810" w:rsidP="005827DA">
      <w:pPr>
        <w:pStyle w:val="ListParagraph"/>
        <w:numPr>
          <w:ilvl w:val="1"/>
          <w:numId w:val="256"/>
        </w:numPr>
        <w:tabs>
          <w:tab w:val="left" w:pos="90"/>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use</w:t>
      </w:r>
      <w:r w:rsidRPr="005827DA">
        <w:rPr>
          <w:rFonts w:ascii="Arial" w:hAnsi="Arial" w:cs="Arial"/>
          <w:spacing w:val="-3"/>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burner</w:t>
      </w:r>
      <w:r w:rsidRPr="005827DA">
        <w:rPr>
          <w:rFonts w:ascii="Arial" w:hAnsi="Arial" w:cs="Arial"/>
          <w:spacing w:val="-4"/>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parachute</w:t>
      </w:r>
      <w:r w:rsidRPr="005827DA">
        <w:rPr>
          <w:rFonts w:ascii="Arial" w:hAnsi="Arial" w:cs="Arial"/>
          <w:spacing w:val="-1"/>
          <w:sz w:val="20"/>
          <w:szCs w:val="20"/>
        </w:rPr>
        <w:t xml:space="preserve"> </w:t>
      </w:r>
      <w:r w:rsidRPr="005827DA">
        <w:rPr>
          <w:rFonts w:ascii="Arial" w:hAnsi="Arial" w:cs="Arial"/>
          <w:sz w:val="20"/>
          <w:szCs w:val="20"/>
        </w:rPr>
        <w:t>(hot-air</w:t>
      </w:r>
      <w:r w:rsidRPr="005827DA">
        <w:rPr>
          <w:rFonts w:ascii="Arial" w:hAnsi="Arial" w:cs="Arial"/>
          <w:spacing w:val="-2"/>
          <w:sz w:val="20"/>
          <w:szCs w:val="20"/>
        </w:rPr>
        <w:t xml:space="preserve"> </w:t>
      </w:r>
      <w:r w:rsidRPr="005827DA">
        <w:rPr>
          <w:rFonts w:ascii="Arial" w:hAnsi="Arial" w:cs="Arial"/>
          <w:sz w:val="20"/>
          <w:szCs w:val="20"/>
        </w:rPr>
        <w:t>balloons);</w:t>
      </w:r>
    </w:p>
    <w:p w14:paraId="3FEB0E7B" w14:textId="77777777" w:rsidR="00F20810" w:rsidRPr="005827DA" w:rsidRDefault="00F20810" w:rsidP="005827DA">
      <w:pPr>
        <w:pStyle w:val="ListParagraph"/>
        <w:numPr>
          <w:ilvl w:val="1"/>
          <w:numId w:val="256"/>
        </w:numPr>
        <w:tabs>
          <w:tab w:val="left" w:pos="90"/>
          <w:tab w:val="left" w:pos="2975"/>
          <w:tab w:val="left" w:pos="2976"/>
        </w:tabs>
        <w:spacing w:before="56"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use</w:t>
      </w:r>
      <w:r w:rsidRPr="005827DA">
        <w:rPr>
          <w:rFonts w:ascii="Arial" w:hAnsi="Arial" w:cs="Arial"/>
          <w:spacing w:val="-4"/>
          <w:sz w:val="20"/>
          <w:szCs w:val="20"/>
        </w:rPr>
        <w:t xml:space="preserve"> </w:t>
      </w:r>
      <w:r w:rsidRPr="005827DA">
        <w:rPr>
          <w:rFonts w:ascii="Arial" w:hAnsi="Arial" w:cs="Arial"/>
          <w:sz w:val="20"/>
          <w:szCs w:val="20"/>
        </w:rPr>
        <w:t>of</w:t>
      </w:r>
      <w:r w:rsidRPr="005827DA">
        <w:rPr>
          <w:rFonts w:ascii="Arial" w:hAnsi="Arial" w:cs="Arial"/>
          <w:spacing w:val="-2"/>
          <w:sz w:val="20"/>
          <w:szCs w:val="20"/>
        </w:rPr>
        <w:t xml:space="preserve"> </w:t>
      </w:r>
      <w:r w:rsidRPr="005827DA">
        <w:rPr>
          <w:rFonts w:ascii="Arial" w:hAnsi="Arial" w:cs="Arial"/>
          <w:sz w:val="20"/>
          <w:szCs w:val="20"/>
        </w:rPr>
        <w:t>ballast</w:t>
      </w:r>
      <w:r w:rsidRPr="005827DA">
        <w:rPr>
          <w:rFonts w:ascii="Arial" w:hAnsi="Arial" w:cs="Arial"/>
          <w:spacing w:val="-2"/>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parachute</w:t>
      </w:r>
      <w:r w:rsidRPr="005827DA">
        <w:rPr>
          <w:rFonts w:ascii="Arial" w:hAnsi="Arial" w:cs="Arial"/>
          <w:spacing w:val="-2"/>
          <w:sz w:val="20"/>
          <w:szCs w:val="20"/>
        </w:rPr>
        <w:t xml:space="preserve"> </w:t>
      </w:r>
      <w:r w:rsidRPr="005827DA">
        <w:rPr>
          <w:rFonts w:ascii="Arial" w:hAnsi="Arial" w:cs="Arial"/>
          <w:sz w:val="20"/>
          <w:szCs w:val="20"/>
        </w:rPr>
        <w:t>(gas</w:t>
      </w:r>
      <w:r w:rsidRPr="005827DA">
        <w:rPr>
          <w:rFonts w:ascii="Arial" w:hAnsi="Arial" w:cs="Arial"/>
          <w:spacing w:val="-2"/>
          <w:sz w:val="20"/>
          <w:szCs w:val="20"/>
        </w:rPr>
        <w:t xml:space="preserve"> </w:t>
      </w:r>
      <w:r w:rsidRPr="005827DA">
        <w:rPr>
          <w:rFonts w:ascii="Arial" w:hAnsi="Arial" w:cs="Arial"/>
          <w:sz w:val="20"/>
          <w:szCs w:val="20"/>
        </w:rPr>
        <w:t>balloons);</w:t>
      </w:r>
    </w:p>
    <w:p w14:paraId="37974CD7" w14:textId="77777777" w:rsidR="00F20810" w:rsidRPr="005827DA" w:rsidRDefault="00F20810" w:rsidP="005827DA">
      <w:pPr>
        <w:pStyle w:val="ListParagraph"/>
        <w:numPr>
          <w:ilvl w:val="1"/>
          <w:numId w:val="256"/>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look-out</w:t>
      </w:r>
      <w:r w:rsidRPr="005827DA">
        <w:rPr>
          <w:rFonts w:ascii="Arial" w:hAnsi="Arial" w:cs="Arial"/>
          <w:spacing w:val="-1"/>
          <w:sz w:val="20"/>
          <w:szCs w:val="20"/>
        </w:rPr>
        <w:t xml:space="preserve"> </w:t>
      </w:r>
      <w:r w:rsidRPr="005827DA">
        <w:rPr>
          <w:rFonts w:ascii="Arial" w:hAnsi="Arial" w:cs="Arial"/>
          <w:sz w:val="20"/>
          <w:szCs w:val="20"/>
        </w:rPr>
        <w:t>procedures;</w:t>
      </w:r>
    </w:p>
    <w:p w14:paraId="426BAADF" w14:textId="77777777" w:rsidR="00F20810" w:rsidRPr="005827DA" w:rsidRDefault="00F20810" w:rsidP="005827DA">
      <w:pPr>
        <w:pStyle w:val="ListParagraph"/>
        <w:numPr>
          <w:ilvl w:val="1"/>
          <w:numId w:val="256"/>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3"/>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avoid</w:t>
      </w:r>
      <w:r w:rsidRPr="005827DA">
        <w:rPr>
          <w:rFonts w:ascii="Arial" w:hAnsi="Arial" w:cs="Arial"/>
          <w:spacing w:val="-1"/>
          <w:sz w:val="20"/>
          <w:szCs w:val="20"/>
        </w:rPr>
        <w:t xml:space="preserve"> </w:t>
      </w:r>
      <w:r w:rsidRPr="005827DA">
        <w:rPr>
          <w:rFonts w:ascii="Arial" w:hAnsi="Arial" w:cs="Arial"/>
          <w:sz w:val="20"/>
          <w:szCs w:val="20"/>
        </w:rPr>
        <w:t>a contact</w:t>
      </w:r>
      <w:r w:rsidRPr="005827DA">
        <w:rPr>
          <w:rFonts w:ascii="Arial" w:hAnsi="Arial" w:cs="Arial"/>
          <w:spacing w:val="-2"/>
          <w:sz w:val="20"/>
          <w:szCs w:val="20"/>
        </w:rPr>
        <w:t xml:space="preserve"> </w:t>
      </w:r>
      <w:r w:rsidRPr="005827DA">
        <w:rPr>
          <w:rFonts w:ascii="Arial" w:hAnsi="Arial" w:cs="Arial"/>
          <w:sz w:val="20"/>
          <w:szCs w:val="20"/>
        </w:rPr>
        <w:t>with</w:t>
      </w:r>
      <w:r w:rsidRPr="005827DA">
        <w:rPr>
          <w:rFonts w:ascii="Arial" w:hAnsi="Arial" w:cs="Arial"/>
          <w:spacing w:val="-2"/>
          <w:sz w:val="20"/>
          <w:szCs w:val="20"/>
        </w:rPr>
        <w:t xml:space="preserve"> </w:t>
      </w:r>
      <w:r w:rsidRPr="005827DA">
        <w:rPr>
          <w:rFonts w:ascii="Arial" w:hAnsi="Arial" w:cs="Arial"/>
          <w:sz w:val="20"/>
          <w:szCs w:val="20"/>
        </w:rPr>
        <w:t>low-level</w:t>
      </w:r>
      <w:r w:rsidRPr="005827DA">
        <w:rPr>
          <w:rFonts w:ascii="Arial" w:hAnsi="Arial" w:cs="Arial"/>
          <w:spacing w:val="-3"/>
          <w:sz w:val="20"/>
          <w:szCs w:val="20"/>
        </w:rPr>
        <w:t xml:space="preserve"> </w:t>
      </w:r>
      <w:r w:rsidRPr="005827DA">
        <w:rPr>
          <w:rFonts w:ascii="Arial" w:hAnsi="Arial" w:cs="Arial"/>
          <w:sz w:val="20"/>
          <w:szCs w:val="20"/>
        </w:rPr>
        <w:t>obstacles;</w:t>
      </w:r>
    </w:p>
    <w:p w14:paraId="378713E4" w14:textId="77777777" w:rsidR="00F20810" w:rsidRPr="005827DA" w:rsidRDefault="00F20810" w:rsidP="005827DA">
      <w:pPr>
        <w:pStyle w:val="ListParagraph"/>
        <w:numPr>
          <w:ilvl w:val="1"/>
          <w:numId w:val="256"/>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11"/>
          <w:sz w:val="20"/>
          <w:szCs w:val="20"/>
        </w:rPr>
        <w:t xml:space="preserve"> </w:t>
      </w:r>
      <w:r w:rsidRPr="005827DA">
        <w:rPr>
          <w:rFonts w:ascii="Arial" w:hAnsi="Arial" w:cs="Arial"/>
          <w:sz w:val="20"/>
          <w:szCs w:val="20"/>
        </w:rPr>
        <w:t>to</w:t>
      </w:r>
      <w:r w:rsidRPr="005827DA">
        <w:rPr>
          <w:rFonts w:ascii="Arial" w:hAnsi="Arial" w:cs="Arial"/>
          <w:spacing w:val="13"/>
          <w:sz w:val="20"/>
          <w:szCs w:val="20"/>
        </w:rPr>
        <w:t xml:space="preserve"> </w:t>
      </w:r>
      <w:r w:rsidRPr="005827DA">
        <w:rPr>
          <w:rFonts w:ascii="Arial" w:hAnsi="Arial" w:cs="Arial"/>
          <w:sz w:val="20"/>
          <w:szCs w:val="20"/>
        </w:rPr>
        <w:t>avoid</w:t>
      </w:r>
      <w:r w:rsidRPr="005827DA">
        <w:rPr>
          <w:rFonts w:ascii="Arial" w:hAnsi="Arial" w:cs="Arial"/>
          <w:spacing w:val="12"/>
          <w:sz w:val="20"/>
          <w:szCs w:val="20"/>
        </w:rPr>
        <w:t xml:space="preserve"> </w:t>
      </w:r>
      <w:r w:rsidRPr="005827DA">
        <w:rPr>
          <w:rFonts w:ascii="Arial" w:hAnsi="Arial" w:cs="Arial"/>
          <w:sz w:val="20"/>
          <w:szCs w:val="20"/>
        </w:rPr>
        <w:t>sensitive</w:t>
      </w:r>
      <w:r w:rsidRPr="005827DA">
        <w:rPr>
          <w:rFonts w:ascii="Arial" w:hAnsi="Arial" w:cs="Arial"/>
          <w:spacing w:val="11"/>
          <w:sz w:val="20"/>
          <w:szCs w:val="20"/>
        </w:rPr>
        <w:t xml:space="preserve"> </w:t>
      </w:r>
      <w:r w:rsidRPr="005827DA">
        <w:rPr>
          <w:rFonts w:ascii="Arial" w:hAnsi="Arial" w:cs="Arial"/>
          <w:sz w:val="20"/>
          <w:szCs w:val="20"/>
        </w:rPr>
        <w:t>areas</w:t>
      </w:r>
      <w:r w:rsidRPr="005827DA">
        <w:rPr>
          <w:rFonts w:ascii="Arial" w:hAnsi="Arial" w:cs="Arial"/>
          <w:spacing w:val="13"/>
          <w:sz w:val="20"/>
          <w:szCs w:val="20"/>
        </w:rPr>
        <w:t xml:space="preserve"> </w:t>
      </w:r>
      <w:r w:rsidRPr="005827DA">
        <w:rPr>
          <w:rFonts w:ascii="Arial" w:hAnsi="Arial" w:cs="Arial"/>
          <w:sz w:val="20"/>
          <w:szCs w:val="20"/>
        </w:rPr>
        <w:t>(for</w:t>
      </w:r>
      <w:r w:rsidRPr="005827DA">
        <w:rPr>
          <w:rFonts w:ascii="Arial" w:hAnsi="Arial" w:cs="Arial"/>
          <w:spacing w:val="12"/>
          <w:sz w:val="20"/>
          <w:szCs w:val="20"/>
        </w:rPr>
        <w:t xml:space="preserve"> </w:t>
      </w:r>
      <w:r w:rsidRPr="005827DA">
        <w:rPr>
          <w:rFonts w:ascii="Arial" w:hAnsi="Arial" w:cs="Arial"/>
          <w:sz w:val="20"/>
          <w:szCs w:val="20"/>
        </w:rPr>
        <w:t>example,</w:t>
      </w:r>
      <w:r w:rsidRPr="005827DA">
        <w:rPr>
          <w:rFonts w:ascii="Arial" w:hAnsi="Arial" w:cs="Arial"/>
          <w:spacing w:val="14"/>
          <w:sz w:val="20"/>
          <w:szCs w:val="20"/>
        </w:rPr>
        <w:t xml:space="preserve"> </w:t>
      </w:r>
      <w:r w:rsidRPr="005827DA">
        <w:rPr>
          <w:rFonts w:ascii="Arial" w:hAnsi="Arial" w:cs="Arial"/>
          <w:sz w:val="20"/>
          <w:szCs w:val="20"/>
        </w:rPr>
        <w:t>nature</w:t>
      </w:r>
      <w:r w:rsidRPr="005827DA">
        <w:rPr>
          <w:rFonts w:ascii="Arial" w:hAnsi="Arial" w:cs="Arial"/>
          <w:spacing w:val="13"/>
          <w:sz w:val="20"/>
          <w:szCs w:val="20"/>
        </w:rPr>
        <w:t xml:space="preserve"> </w:t>
      </w:r>
      <w:r w:rsidRPr="005827DA">
        <w:rPr>
          <w:rFonts w:ascii="Arial" w:hAnsi="Arial" w:cs="Arial"/>
          <w:sz w:val="20"/>
          <w:szCs w:val="20"/>
        </w:rPr>
        <w:t>protection</w:t>
      </w:r>
      <w:r w:rsidRPr="005827DA">
        <w:rPr>
          <w:rFonts w:ascii="Arial" w:hAnsi="Arial" w:cs="Arial"/>
          <w:spacing w:val="9"/>
          <w:sz w:val="20"/>
          <w:szCs w:val="20"/>
        </w:rPr>
        <w:t xml:space="preserve"> </w:t>
      </w:r>
      <w:r w:rsidRPr="005827DA">
        <w:rPr>
          <w:rFonts w:ascii="Arial" w:hAnsi="Arial" w:cs="Arial"/>
          <w:sz w:val="20"/>
          <w:szCs w:val="20"/>
        </w:rPr>
        <w:t>areas);</w:t>
      </w:r>
      <w:r w:rsidRPr="005827DA">
        <w:rPr>
          <w:rFonts w:ascii="Arial" w:hAnsi="Arial" w:cs="Arial"/>
          <w:spacing w:val="-46"/>
          <w:sz w:val="20"/>
          <w:szCs w:val="20"/>
        </w:rPr>
        <w:t xml:space="preserve"> </w:t>
      </w:r>
      <w:r w:rsidRPr="005827DA">
        <w:rPr>
          <w:rFonts w:ascii="Arial" w:hAnsi="Arial" w:cs="Arial"/>
          <w:sz w:val="20"/>
          <w:szCs w:val="20"/>
        </w:rPr>
        <w:t>and</w:t>
      </w:r>
    </w:p>
    <w:p w14:paraId="5412D45D" w14:textId="77777777" w:rsidR="00F20810" w:rsidRPr="005827DA" w:rsidRDefault="00F20810" w:rsidP="005827DA">
      <w:pPr>
        <w:pStyle w:val="ListParagraph"/>
        <w:numPr>
          <w:ilvl w:val="1"/>
          <w:numId w:val="256"/>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landowner</w:t>
      </w:r>
      <w:r w:rsidRPr="005827DA">
        <w:rPr>
          <w:rFonts w:ascii="Arial" w:hAnsi="Arial" w:cs="Arial"/>
          <w:spacing w:val="-1"/>
          <w:sz w:val="20"/>
          <w:szCs w:val="20"/>
        </w:rPr>
        <w:t xml:space="preserve"> </w:t>
      </w:r>
      <w:r w:rsidRPr="005827DA">
        <w:rPr>
          <w:rFonts w:ascii="Arial" w:hAnsi="Arial" w:cs="Arial"/>
          <w:sz w:val="20"/>
          <w:szCs w:val="20"/>
        </w:rPr>
        <w:t>relations.</w:t>
      </w:r>
    </w:p>
    <w:p w14:paraId="7169D903" w14:textId="77777777" w:rsidR="00F20810" w:rsidRPr="005827DA" w:rsidRDefault="00F20810" w:rsidP="005827DA">
      <w:pPr>
        <w:pStyle w:val="ListParagraph"/>
        <w:numPr>
          <w:ilvl w:val="0"/>
          <w:numId w:val="256"/>
        </w:numPr>
        <w:tabs>
          <w:tab w:val="left" w:pos="90"/>
          <w:tab w:val="left" w:pos="2408"/>
          <w:tab w:val="left" w:pos="2409"/>
        </w:tabs>
        <w:spacing w:before="121" w:line="276" w:lineRule="auto"/>
        <w:ind w:right="68" w:hanging="436"/>
        <w:jc w:val="both"/>
        <w:rPr>
          <w:rFonts w:ascii="Arial" w:hAnsi="Arial" w:cs="Arial"/>
          <w:sz w:val="20"/>
          <w:szCs w:val="20"/>
        </w:rPr>
      </w:pPr>
      <w:r w:rsidRPr="005827DA">
        <w:rPr>
          <w:rFonts w:ascii="Arial" w:hAnsi="Arial" w:cs="Arial"/>
          <w:sz w:val="20"/>
          <w:szCs w:val="20"/>
        </w:rPr>
        <w:t>Air</w:t>
      </w:r>
      <w:r w:rsidRPr="005827DA">
        <w:rPr>
          <w:rFonts w:ascii="Arial" w:hAnsi="Arial" w:cs="Arial"/>
          <w:spacing w:val="-1"/>
          <w:sz w:val="20"/>
          <w:szCs w:val="20"/>
        </w:rPr>
        <w:t xml:space="preserve"> </w:t>
      </w:r>
      <w:r w:rsidRPr="005827DA">
        <w:rPr>
          <w:rFonts w:ascii="Arial" w:hAnsi="Arial" w:cs="Arial"/>
          <w:sz w:val="20"/>
          <w:szCs w:val="20"/>
        </w:rPr>
        <w:t>exercise</w:t>
      </w:r>
    </w:p>
    <w:p w14:paraId="04B73125" w14:textId="77777777" w:rsidR="00F20810" w:rsidRPr="005827DA" w:rsidRDefault="00F20810" w:rsidP="005827DA">
      <w:pPr>
        <w:pStyle w:val="BodyText"/>
        <w:tabs>
          <w:tab w:val="left" w:pos="90"/>
        </w:tabs>
        <w:spacing w:line="276" w:lineRule="auto"/>
        <w:ind w:left="2408"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student</w:t>
      </w:r>
      <w:r w:rsidRPr="005827DA">
        <w:rPr>
          <w:rFonts w:ascii="Arial" w:hAnsi="Arial" w:cs="Arial"/>
          <w:spacing w:val="-3"/>
          <w:sz w:val="20"/>
          <w:szCs w:val="20"/>
        </w:rPr>
        <w:t xml:space="preserve"> </w:t>
      </w:r>
      <w:r w:rsidRPr="005827DA">
        <w:rPr>
          <w:rFonts w:ascii="Arial" w:hAnsi="Arial" w:cs="Arial"/>
          <w:sz w:val="20"/>
          <w:szCs w:val="20"/>
        </w:rPr>
        <w:t>instructor</w:t>
      </w:r>
      <w:r w:rsidRPr="005827DA">
        <w:rPr>
          <w:rFonts w:ascii="Arial" w:hAnsi="Arial" w:cs="Arial"/>
          <w:spacing w:val="-2"/>
          <w:sz w:val="20"/>
          <w:szCs w:val="20"/>
        </w:rPr>
        <w:t xml:space="preserve"> </w:t>
      </w:r>
      <w:r w:rsidRPr="005827DA">
        <w:rPr>
          <w:rFonts w:ascii="Arial" w:hAnsi="Arial" w:cs="Arial"/>
          <w:sz w:val="20"/>
          <w:szCs w:val="20"/>
        </w:rPr>
        <w:t>has</w:t>
      </w:r>
      <w:r w:rsidRPr="005827DA">
        <w:rPr>
          <w:rFonts w:ascii="Arial" w:hAnsi="Arial" w:cs="Arial"/>
          <w:spacing w:val="-6"/>
          <w:sz w:val="20"/>
          <w:szCs w:val="20"/>
        </w:rPr>
        <w:t xml:space="preserve"> </w:t>
      </w:r>
      <w:r w:rsidRPr="005827DA">
        <w:rPr>
          <w:rFonts w:ascii="Arial" w:hAnsi="Arial" w:cs="Arial"/>
          <w:sz w:val="20"/>
          <w:szCs w:val="20"/>
        </w:rPr>
        <w:t>to demonstrate:</w:t>
      </w:r>
    </w:p>
    <w:p w14:paraId="02E4FF09" w14:textId="77777777" w:rsidR="00F20810" w:rsidRPr="005827DA" w:rsidRDefault="00F20810" w:rsidP="005827DA">
      <w:pPr>
        <w:pStyle w:val="ListParagraph"/>
        <w:numPr>
          <w:ilvl w:val="1"/>
          <w:numId w:val="256"/>
        </w:numPr>
        <w:tabs>
          <w:tab w:val="left" w:pos="90"/>
          <w:tab w:val="left" w:pos="2975"/>
          <w:tab w:val="left" w:pos="2976"/>
        </w:tabs>
        <w:spacing w:before="118"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use</w:t>
      </w:r>
      <w:r w:rsidRPr="005827DA">
        <w:rPr>
          <w:rFonts w:ascii="Arial" w:hAnsi="Arial" w:cs="Arial"/>
          <w:spacing w:val="-3"/>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burner</w:t>
      </w:r>
      <w:r w:rsidRPr="005827DA">
        <w:rPr>
          <w:rFonts w:ascii="Arial" w:hAnsi="Arial" w:cs="Arial"/>
          <w:spacing w:val="-4"/>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parachute</w:t>
      </w:r>
      <w:r w:rsidRPr="005827DA">
        <w:rPr>
          <w:rFonts w:ascii="Arial" w:hAnsi="Arial" w:cs="Arial"/>
          <w:spacing w:val="-1"/>
          <w:sz w:val="20"/>
          <w:szCs w:val="20"/>
        </w:rPr>
        <w:t xml:space="preserve"> </w:t>
      </w:r>
      <w:r w:rsidRPr="005827DA">
        <w:rPr>
          <w:rFonts w:ascii="Arial" w:hAnsi="Arial" w:cs="Arial"/>
          <w:sz w:val="20"/>
          <w:szCs w:val="20"/>
        </w:rPr>
        <w:t>(hot-air</w:t>
      </w:r>
      <w:r w:rsidRPr="005827DA">
        <w:rPr>
          <w:rFonts w:ascii="Arial" w:hAnsi="Arial" w:cs="Arial"/>
          <w:spacing w:val="-2"/>
          <w:sz w:val="20"/>
          <w:szCs w:val="20"/>
        </w:rPr>
        <w:t xml:space="preserve"> </w:t>
      </w:r>
      <w:r w:rsidRPr="005827DA">
        <w:rPr>
          <w:rFonts w:ascii="Arial" w:hAnsi="Arial" w:cs="Arial"/>
          <w:sz w:val="20"/>
          <w:szCs w:val="20"/>
        </w:rPr>
        <w:t>balloons);</w:t>
      </w:r>
    </w:p>
    <w:p w14:paraId="26189E4A" w14:textId="77777777" w:rsidR="00F20810" w:rsidRPr="005827DA" w:rsidRDefault="00F20810" w:rsidP="005827DA">
      <w:pPr>
        <w:pStyle w:val="ListParagraph"/>
        <w:numPr>
          <w:ilvl w:val="1"/>
          <w:numId w:val="256"/>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use</w:t>
      </w:r>
      <w:r w:rsidRPr="005827DA">
        <w:rPr>
          <w:rFonts w:ascii="Arial" w:hAnsi="Arial" w:cs="Arial"/>
          <w:spacing w:val="-4"/>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ballast</w:t>
      </w:r>
      <w:r w:rsidRPr="005827DA">
        <w:rPr>
          <w:rFonts w:ascii="Arial" w:hAnsi="Arial" w:cs="Arial"/>
          <w:spacing w:val="-2"/>
          <w:sz w:val="20"/>
          <w:szCs w:val="20"/>
        </w:rPr>
        <w:t xml:space="preserve"> </w:t>
      </w:r>
      <w:r w:rsidRPr="005827DA">
        <w:rPr>
          <w:rFonts w:ascii="Arial" w:hAnsi="Arial" w:cs="Arial"/>
          <w:sz w:val="20"/>
          <w:szCs w:val="20"/>
        </w:rPr>
        <w:t>and</w:t>
      </w:r>
      <w:r w:rsidRPr="005827DA">
        <w:rPr>
          <w:rFonts w:ascii="Arial" w:hAnsi="Arial" w:cs="Arial"/>
          <w:spacing w:val="-3"/>
          <w:sz w:val="20"/>
          <w:szCs w:val="20"/>
        </w:rPr>
        <w:t xml:space="preserve"> </w:t>
      </w:r>
      <w:r w:rsidRPr="005827DA">
        <w:rPr>
          <w:rFonts w:ascii="Arial" w:hAnsi="Arial" w:cs="Arial"/>
          <w:sz w:val="20"/>
          <w:szCs w:val="20"/>
        </w:rPr>
        <w:t>parachute</w:t>
      </w:r>
      <w:r w:rsidRPr="005827DA">
        <w:rPr>
          <w:rFonts w:ascii="Arial" w:hAnsi="Arial" w:cs="Arial"/>
          <w:spacing w:val="-1"/>
          <w:sz w:val="20"/>
          <w:szCs w:val="20"/>
        </w:rPr>
        <w:t xml:space="preserve"> </w:t>
      </w:r>
      <w:r w:rsidRPr="005827DA">
        <w:rPr>
          <w:rFonts w:ascii="Arial" w:hAnsi="Arial" w:cs="Arial"/>
          <w:sz w:val="20"/>
          <w:szCs w:val="20"/>
        </w:rPr>
        <w:t>(gas</w:t>
      </w:r>
      <w:r w:rsidRPr="005827DA">
        <w:rPr>
          <w:rFonts w:ascii="Arial" w:hAnsi="Arial" w:cs="Arial"/>
          <w:spacing w:val="-2"/>
          <w:sz w:val="20"/>
          <w:szCs w:val="20"/>
        </w:rPr>
        <w:t xml:space="preserve"> </w:t>
      </w:r>
      <w:r w:rsidRPr="005827DA">
        <w:rPr>
          <w:rFonts w:ascii="Arial" w:hAnsi="Arial" w:cs="Arial"/>
          <w:sz w:val="20"/>
          <w:szCs w:val="20"/>
        </w:rPr>
        <w:t>balloons);</w:t>
      </w:r>
    </w:p>
    <w:p w14:paraId="197D4232" w14:textId="77777777" w:rsidR="00F20810" w:rsidRPr="005827DA" w:rsidRDefault="00F20810" w:rsidP="005827DA">
      <w:pPr>
        <w:pStyle w:val="ListParagraph"/>
        <w:numPr>
          <w:ilvl w:val="1"/>
          <w:numId w:val="256"/>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look-out</w:t>
      </w:r>
      <w:r w:rsidRPr="005827DA">
        <w:rPr>
          <w:rFonts w:ascii="Arial" w:hAnsi="Arial" w:cs="Arial"/>
          <w:spacing w:val="-3"/>
          <w:sz w:val="20"/>
          <w:szCs w:val="20"/>
        </w:rPr>
        <w:t xml:space="preserve"> </w:t>
      </w:r>
      <w:r w:rsidRPr="005827DA">
        <w:rPr>
          <w:rFonts w:ascii="Arial" w:hAnsi="Arial" w:cs="Arial"/>
          <w:sz w:val="20"/>
          <w:szCs w:val="20"/>
        </w:rPr>
        <w:t>procedures</w:t>
      </w:r>
      <w:r w:rsidRPr="005827DA">
        <w:rPr>
          <w:rFonts w:ascii="Arial" w:hAnsi="Arial" w:cs="Arial"/>
          <w:spacing w:val="-1"/>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how</w:t>
      </w:r>
      <w:r w:rsidRPr="005827DA">
        <w:rPr>
          <w:rFonts w:ascii="Arial" w:hAnsi="Arial" w:cs="Arial"/>
          <w:spacing w:val="-3"/>
          <w:sz w:val="20"/>
          <w:szCs w:val="20"/>
        </w:rPr>
        <w:t xml:space="preserve"> </w:t>
      </w:r>
      <w:r w:rsidRPr="005827DA">
        <w:rPr>
          <w:rFonts w:ascii="Arial" w:hAnsi="Arial" w:cs="Arial"/>
          <w:sz w:val="20"/>
          <w:szCs w:val="20"/>
        </w:rPr>
        <w:t>to</w:t>
      </w:r>
      <w:r w:rsidRPr="005827DA">
        <w:rPr>
          <w:rFonts w:ascii="Arial" w:hAnsi="Arial" w:cs="Arial"/>
          <w:spacing w:val="-2"/>
          <w:sz w:val="20"/>
          <w:szCs w:val="20"/>
        </w:rPr>
        <w:t xml:space="preserve"> </w:t>
      </w:r>
      <w:r w:rsidRPr="005827DA">
        <w:rPr>
          <w:rFonts w:ascii="Arial" w:hAnsi="Arial" w:cs="Arial"/>
          <w:sz w:val="20"/>
          <w:szCs w:val="20"/>
        </w:rPr>
        <w:t>avoid</w:t>
      </w:r>
      <w:r w:rsidRPr="005827DA">
        <w:rPr>
          <w:rFonts w:ascii="Arial" w:hAnsi="Arial" w:cs="Arial"/>
          <w:spacing w:val="-2"/>
          <w:sz w:val="20"/>
          <w:szCs w:val="20"/>
        </w:rPr>
        <w:t xml:space="preserve"> </w:t>
      </w:r>
      <w:r w:rsidRPr="005827DA">
        <w:rPr>
          <w:rFonts w:ascii="Arial" w:hAnsi="Arial" w:cs="Arial"/>
          <w:sz w:val="20"/>
          <w:szCs w:val="20"/>
        </w:rPr>
        <w:t>potential</w:t>
      </w:r>
      <w:r w:rsidRPr="005827DA">
        <w:rPr>
          <w:rFonts w:ascii="Arial" w:hAnsi="Arial" w:cs="Arial"/>
          <w:spacing w:val="-4"/>
          <w:sz w:val="20"/>
          <w:szCs w:val="20"/>
        </w:rPr>
        <w:t xml:space="preserve"> </w:t>
      </w:r>
      <w:r w:rsidRPr="005827DA">
        <w:rPr>
          <w:rFonts w:ascii="Arial" w:hAnsi="Arial" w:cs="Arial"/>
          <w:sz w:val="20"/>
          <w:szCs w:val="20"/>
        </w:rPr>
        <w:t>distraction;</w:t>
      </w:r>
    </w:p>
    <w:p w14:paraId="75614350" w14:textId="77777777" w:rsidR="00F20810" w:rsidRPr="005827DA" w:rsidRDefault="00F20810" w:rsidP="005827DA">
      <w:pPr>
        <w:pStyle w:val="ListParagraph"/>
        <w:numPr>
          <w:ilvl w:val="1"/>
          <w:numId w:val="256"/>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3"/>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avoid</w:t>
      </w:r>
      <w:r w:rsidRPr="005827DA">
        <w:rPr>
          <w:rFonts w:ascii="Arial" w:hAnsi="Arial" w:cs="Arial"/>
          <w:spacing w:val="-1"/>
          <w:sz w:val="20"/>
          <w:szCs w:val="20"/>
        </w:rPr>
        <w:t xml:space="preserve"> </w:t>
      </w:r>
      <w:r w:rsidRPr="005827DA">
        <w:rPr>
          <w:rFonts w:ascii="Arial" w:hAnsi="Arial" w:cs="Arial"/>
          <w:sz w:val="20"/>
          <w:szCs w:val="20"/>
        </w:rPr>
        <w:t>low-level</w:t>
      </w:r>
      <w:r w:rsidRPr="005827DA">
        <w:rPr>
          <w:rFonts w:ascii="Arial" w:hAnsi="Arial" w:cs="Arial"/>
          <w:spacing w:val="-2"/>
          <w:sz w:val="20"/>
          <w:szCs w:val="20"/>
        </w:rPr>
        <w:t xml:space="preserve"> </w:t>
      </w:r>
      <w:r w:rsidRPr="005827DA">
        <w:rPr>
          <w:rFonts w:ascii="Arial" w:hAnsi="Arial" w:cs="Arial"/>
          <w:sz w:val="20"/>
          <w:szCs w:val="20"/>
        </w:rPr>
        <w:t>obstacles;</w:t>
      </w:r>
    </w:p>
    <w:p w14:paraId="2F605B62" w14:textId="77777777" w:rsidR="00F20810" w:rsidRPr="005827DA" w:rsidRDefault="00F20810" w:rsidP="005827DA">
      <w:pPr>
        <w:pStyle w:val="ListParagraph"/>
        <w:numPr>
          <w:ilvl w:val="1"/>
          <w:numId w:val="256"/>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good</w:t>
      </w:r>
      <w:r w:rsidRPr="005827DA">
        <w:rPr>
          <w:rFonts w:ascii="Arial" w:hAnsi="Arial" w:cs="Arial"/>
          <w:spacing w:val="-1"/>
          <w:sz w:val="20"/>
          <w:szCs w:val="20"/>
        </w:rPr>
        <w:t xml:space="preserve"> </w:t>
      </w:r>
      <w:r w:rsidRPr="005827DA">
        <w:rPr>
          <w:rFonts w:ascii="Arial" w:hAnsi="Arial" w:cs="Arial"/>
          <w:sz w:val="20"/>
          <w:szCs w:val="20"/>
        </w:rPr>
        <w:t>landowner</w:t>
      </w:r>
      <w:r w:rsidRPr="005827DA">
        <w:rPr>
          <w:rFonts w:ascii="Arial" w:hAnsi="Arial" w:cs="Arial"/>
          <w:spacing w:val="-3"/>
          <w:sz w:val="20"/>
          <w:szCs w:val="20"/>
        </w:rPr>
        <w:t xml:space="preserve"> </w:t>
      </w:r>
      <w:r w:rsidRPr="005827DA">
        <w:rPr>
          <w:rFonts w:ascii="Arial" w:hAnsi="Arial" w:cs="Arial"/>
          <w:sz w:val="20"/>
          <w:szCs w:val="20"/>
        </w:rPr>
        <w:t>relations;</w:t>
      </w:r>
    </w:p>
    <w:p w14:paraId="1E9E9A3E" w14:textId="77777777" w:rsidR="00F20810" w:rsidRPr="005827DA" w:rsidRDefault="00F20810" w:rsidP="005827DA">
      <w:pPr>
        <w:pStyle w:val="ListParagraph"/>
        <w:numPr>
          <w:ilvl w:val="1"/>
          <w:numId w:val="256"/>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2"/>
          <w:sz w:val="20"/>
          <w:szCs w:val="20"/>
        </w:rPr>
        <w:t xml:space="preserve"> </w:t>
      </w:r>
      <w:r w:rsidRPr="005827DA">
        <w:rPr>
          <w:rFonts w:ascii="Arial" w:hAnsi="Arial" w:cs="Arial"/>
          <w:sz w:val="20"/>
          <w:szCs w:val="20"/>
        </w:rPr>
        <w:t>to</w:t>
      </w:r>
      <w:r w:rsidRPr="005827DA">
        <w:rPr>
          <w:rFonts w:ascii="Arial" w:hAnsi="Arial" w:cs="Arial"/>
          <w:spacing w:val="4"/>
          <w:sz w:val="20"/>
          <w:szCs w:val="20"/>
        </w:rPr>
        <w:t xml:space="preserve"> </w:t>
      </w:r>
      <w:r w:rsidRPr="005827DA">
        <w:rPr>
          <w:rFonts w:ascii="Arial" w:hAnsi="Arial" w:cs="Arial"/>
          <w:sz w:val="20"/>
          <w:szCs w:val="20"/>
        </w:rPr>
        <w:t>advise</w:t>
      </w:r>
      <w:r w:rsidRPr="005827DA">
        <w:rPr>
          <w:rFonts w:ascii="Arial" w:hAnsi="Arial" w:cs="Arial"/>
          <w:spacing w:val="3"/>
          <w:sz w:val="20"/>
          <w:szCs w:val="20"/>
        </w:rPr>
        <w:t xml:space="preserve"> </w:t>
      </w:r>
      <w:r w:rsidRPr="005827DA">
        <w:rPr>
          <w:rFonts w:ascii="Arial" w:hAnsi="Arial" w:cs="Arial"/>
          <w:sz w:val="20"/>
          <w:szCs w:val="20"/>
        </w:rPr>
        <w:t>the</w:t>
      </w:r>
      <w:r w:rsidRPr="005827DA">
        <w:rPr>
          <w:rFonts w:ascii="Arial" w:hAnsi="Arial" w:cs="Arial"/>
          <w:spacing w:val="3"/>
          <w:sz w:val="20"/>
          <w:szCs w:val="20"/>
        </w:rPr>
        <w:t xml:space="preserve"> </w:t>
      </w:r>
      <w:r w:rsidRPr="005827DA">
        <w:rPr>
          <w:rFonts w:ascii="Arial" w:hAnsi="Arial" w:cs="Arial"/>
          <w:sz w:val="20"/>
          <w:szCs w:val="20"/>
        </w:rPr>
        <w:t>student pilot</w:t>
      </w:r>
      <w:r w:rsidRPr="005827DA">
        <w:rPr>
          <w:rFonts w:ascii="Arial" w:hAnsi="Arial" w:cs="Arial"/>
          <w:spacing w:val="3"/>
          <w:sz w:val="20"/>
          <w:szCs w:val="20"/>
        </w:rPr>
        <w:t xml:space="preserve"> </w:t>
      </w:r>
      <w:r w:rsidRPr="005827DA">
        <w:rPr>
          <w:rFonts w:ascii="Arial" w:hAnsi="Arial" w:cs="Arial"/>
          <w:sz w:val="20"/>
          <w:szCs w:val="20"/>
        </w:rPr>
        <w:t>to</w:t>
      </w:r>
      <w:r w:rsidRPr="005827DA">
        <w:rPr>
          <w:rFonts w:ascii="Arial" w:hAnsi="Arial" w:cs="Arial"/>
          <w:spacing w:val="3"/>
          <w:sz w:val="20"/>
          <w:szCs w:val="20"/>
        </w:rPr>
        <w:t xml:space="preserve"> </w:t>
      </w:r>
      <w:r w:rsidRPr="005827DA">
        <w:rPr>
          <w:rFonts w:ascii="Arial" w:hAnsi="Arial" w:cs="Arial"/>
          <w:sz w:val="20"/>
          <w:szCs w:val="20"/>
        </w:rPr>
        <w:t>operate</w:t>
      </w:r>
      <w:r w:rsidRPr="005827DA">
        <w:rPr>
          <w:rFonts w:ascii="Arial" w:hAnsi="Arial" w:cs="Arial"/>
          <w:spacing w:val="3"/>
          <w:sz w:val="20"/>
          <w:szCs w:val="20"/>
        </w:rPr>
        <w:t xml:space="preserve"> </w:t>
      </w:r>
      <w:r w:rsidRPr="005827DA">
        <w:rPr>
          <w:rFonts w:ascii="Arial" w:hAnsi="Arial" w:cs="Arial"/>
          <w:sz w:val="20"/>
          <w:szCs w:val="20"/>
        </w:rPr>
        <w:t>the</w:t>
      </w:r>
      <w:r w:rsidRPr="005827DA">
        <w:rPr>
          <w:rFonts w:ascii="Arial" w:hAnsi="Arial" w:cs="Arial"/>
          <w:spacing w:val="3"/>
          <w:sz w:val="20"/>
          <w:szCs w:val="20"/>
        </w:rPr>
        <w:t xml:space="preserve"> </w:t>
      </w:r>
      <w:r w:rsidRPr="005827DA">
        <w:rPr>
          <w:rFonts w:ascii="Arial" w:hAnsi="Arial" w:cs="Arial"/>
          <w:sz w:val="20"/>
          <w:szCs w:val="20"/>
        </w:rPr>
        <w:t>balloon</w:t>
      </w:r>
      <w:r w:rsidRPr="005827DA">
        <w:rPr>
          <w:rFonts w:ascii="Arial" w:hAnsi="Arial" w:cs="Arial"/>
          <w:spacing w:val="4"/>
          <w:sz w:val="20"/>
          <w:szCs w:val="20"/>
        </w:rPr>
        <w:t xml:space="preserve"> </w:t>
      </w:r>
      <w:r w:rsidRPr="005827DA">
        <w:rPr>
          <w:rFonts w:ascii="Arial" w:hAnsi="Arial" w:cs="Arial"/>
          <w:sz w:val="20"/>
          <w:szCs w:val="20"/>
        </w:rPr>
        <w:t>at</w:t>
      </w:r>
      <w:r w:rsidRPr="005827DA">
        <w:rPr>
          <w:rFonts w:ascii="Arial" w:hAnsi="Arial" w:cs="Arial"/>
          <w:spacing w:val="5"/>
          <w:sz w:val="20"/>
          <w:szCs w:val="20"/>
        </w:rPr>
        <w:t xml:space="preserve"> </w:t>
      </w:r>
      <w:r w:rsidRPr="005827DA">
        <w:rPr>
          <w:rFonts w:ascii="Arial" w:hAnsi="Arial" w:cs="Arial"/>
          <w:sz w:val="20"/>
          <w:szCs w:val="20"/>
        </w:rPr>
        <w:t>a</w:t>
      </w:r>
      <w:r w:rsidRPr="005827DA">
        <w:rPr>
          <w:rFonts w:ascii="Arial" w:hAnsi="Arial" w:cs="Arial"/>
          <w:spacing w:val="2"/>
          <w:sz w:val="20"/>
          <w:szCs w:val="20"/>
        </w:rPr>
        <w:t xml:space="preserve"> </w:t>
      </w:r>
      <w:r w:rsidRPr="005827DA">
        <w:rPr>
          <w:rFonts w:ascii="Arial" w:hAnsi="Arial" w:cs="Arial"/>
          <w:sz w:val="20"/>
          <w:szCs w:val="20"/>
        </w:rPr>
        <w:t>low</w:t>
      </w:r>
      <w:r w:rsidRPr="005827DA">
        <w:rPr>
          <w:rFonts w:ascii="Arial" w:hAnsi="Arial" w:cs="Arial"/>
          <w:spacing w:val="3"/>
          <w:sz w:val="20"/>
          <w:szCs w:val="20"/>
        </w:rPr>
        <w:t xml:space="preserve"> </w:t>
      </w:r>
      <w:r w:rsidRPr="005827DA">
        <w:rPr>
          <w:rFonts w:ascii="Arial" w:hAnsi="Arial" w:cs="Arial"/>
          <w:sz w:val="20"/>
          <w:szCs w:val="20"/>
        </w:rPr>
        <w:t>level;</w:t>
      </w:r>
      <w:r w:rsidRPr="005827DA">
        <w:rPr>
          <w:rFonts w:ascii="Arial" w:hAnsi="Arial" w:cs="Arial"/>
          <w:spacing w:val="-47"/>
          <w:sz w:val="20"/>
          <w:szCs w:val="20"/>
        </w:rPr>
        <w:t xml:space="preserve"> </w:t>
      </w:r>
      <w:r w:rsidRPr="005827DA">
        <w:rPr>
          <w:rFonts w:ascii="Arial" w:hAnsi="Arial" w:cs="Arial"/>
          <w:sz w:val="20"/>
          <w:szCs w:val="20"/>
        </w:rPr>
        <w:t>and</w:t>
      </w:r>
    </w:p>
    <w:p w14:paraId="458FF59E" w14:textId="77777777" w:rsidR="00F20810" w:rsidRPr="005827DA" w:rsidRDefault="00F20810" w:rsidP="005827DA">
      <w:pPr>
        <w:pStyle w:val="ListParagraph"/>
        <w:numPr>
          <w:ilvl w:val="1"/>
          <w:numId w:val="256"/>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2"/>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analyse</w:t>
      </w:r>
      <w:r w:rsidRPr="005827DA">
        <w:rPr>
          <w:rFonts w:ascii="Arial" w:hAnsi="Arial" w:cs="Arial"/>
          <w:spacing w:val="-2"/>
          <w:sz w:val="20"/>
          <w:szCs w:val="20"/>
        </w:rPr>
        <w:t xml:space="preserve"> </w:t>
      </w:r>
      <w:r w:rsidRPr="005827DA">
        <w:rPr>
          <w:rFonts w:ascii="Arial" w:hAnsi="Arial" w:cs="Arial"/>
          <w:sz w:val="20"/>
          <w:szCs w:val="20"/>
        </w:rPr>
        <w:t>and correct</w:t>
      </w:r>
      <w:r w:rsidRPr="005827DA">
        <w:rPr>
          <w:rFonts w:ascii="Arial" w:hAnsi="Arial" w:cs="Arial"/>
          <w:spacing w:val="-2"/>
          <w:sz w:val="20"/>
          <w:szCs w:val="20"/>
        </w:rPr>
        <w:t xml:space="preserve"> </w:t>
      </w:r>
      <w:r w:rsidRPr="005827DA">
        <w:rPr>
          <w:rFonts w:ascii="Arial" w:hAnsi="Arial" w:cs="Arial"/>
          <w:sz w:val="20"/>
          <w:szCs w:val="20"/>
        </w:rPr>
        <w:t>faults</w:t>
      </w:r>
      <w:r w:rsidRPr="005827DA">
        <w:rPr>
          <w:rFonts w:ascii="Arial" w:hAnsi="Arial" w:cs="Arial"/>
          <w:spacing w:val="-2"/>
          <w:sz w:val="20"/>
          <w:szCs w:val="20"/>
        </w:rPr>
        <w:t xml:space="preserve"> </w:t>
      </w:r>
      <w:r w:rsidRPr="005827DA">
        <w:rPr>
          <w:rFonts w:ascii="Arial" w:hAnsi="Arial" w:cs="Arial"/>
          <w:sz w:val="20"/>
          <w:szCs w:val="20"/>
        </w:rPr>
        <w:t>or errors</w:t>
      </w:r>
      <w:r w:rsidRPr="005827DA">
        <w:rPr>
          <w:rFonts w:ascii="Arial" w:hAnsi="Arial" w:cs="Arial"/>
          <w:spacing w:val="-1"/>
          <w:sz w:val="20"/>
          <w:szCs w:val="20"/>
        </w:rPr>
        <w:t xml:space="preserve"> </w:t>
      </w:r>
      <w:r w:rsidRPr="005827DA">
        <w:rPr>
          <w:rFonts w:ascii="Arial" w:hAnsi="Arial" w:cs="Arial"/>
          <w:sz w:val="20"/>
          <w:szCs w:val="20"/>
        </w:rPr>
        <w:t>of</w:t>
      </w:r>
      <w:r w:rsidRPr="005827DA">
        <w:rPr>
          <w:rFonts w:ascii="Arial" w:hAnsi="Arial" w:cs="Arial"/>
          <w:spacing w:val="-2"/>
          <w:sz w:val="20"/>
          <w:szCs w:val="20"/>
        </w:rPr>
        <w:t xml:space="preserve"> </w:t>
      </w:r>
      <w:r w:rsidRPr="005827DA">
        <w:rPr>
          <w:rFonts w:ascii="Arial" w:hAnsi="Arial" w:cs="Arial"/>
          <w:sz w:val="20"/>
          <w:szCs w:val="20"/>
        </w:rPr>
        <w:t>the student</w:t>
      </w:r>
      <w:r w:rsidRPr="005827DA">
        <w:rPr>
          <w:rFonts w:ascii="Arial" w:hAnsi="Arial" w:cs="Arial"/>
          <w:spacing w:val="1"/>
          <w:sz w:val="20"/>
          <w:szCs w:val="20"/>
        </w:rPr>
        <w:t xml:space="preserve"> </w:t>
      </w:r>
      <w:r w:rsidRPr="005827DA">
        <w:rPr>
          <w:rFonts w:ascii="Arial" w:hAnsi="Arial" w:cs="Arial"/>
          <w:sz w:val="20"/>
          <w:szCs w:val="20"/>
        </w:rPr>
        <w:t>pilot.</w:t>
      </w:r>
    </w:p>
    <w:p w14:paraId="3ECE97F9" w14:textId="77777777" w:rsidR="00F20810" w:rsidRPr="005827DA" w:rsidRDefault="00F20810" w:rsidP="005827DA">
      <w:pPr>
        <w:pStyle w:val="ListParagraph"/>
        <w:numPr>
          <w:ilvl w:val="0"/>
          <w:numId w:val="256"/>
        </w:numPr>
        <w:tabs>
          <w:tab w:val="left" w:pos="90"/>
          <w:tab w:val="left" w:pos="2408"/>
          <w:tab w:val="left" w:pos="2409"/>
        </w:tabs>
        <w:spacing w:line="276" w:lineRule="auto"/>
        <w:ind w:right="68" w:hanging="436"/>
        <w:jc w:val="both"/>
        <w:rPr>
          <w:rFonts w:ascii="Arial" w:hAnsi="Arial" w:cs="Arial"/>
          <w:sz w:val="20"/>
          <w:szCs w:val="20"/>
        </w:rPr>
      </w:pPr>
      <w:r w:rsidRPr="005827DA">
        <w:rPr>
          <w:rFonts w:ascii="Arial" w:hAnsi="Arial" w:cs="Arial"/>
          <w:sz w:val="20"/>
          <w:szCs w:val="20"/>
        </w:rPr>
        <w:t>Debriefing</w:t>
      </w:r>
    </w:p>
    <w:p w14:paraId="16A902AD" w14:textId="77777777" w:rsidR="00F20810" w:rsidRPr="005827DA" w:rsidRDefault="00F20810" w:rsidP="005827DA">
      <w:pPr>
        <w:pStyle w:val="BodyText"/>
        <w:tabs>
          <w:tab w:val="left" w:pos="90"/>
        </w:tabs>
        <w:spacing w:before="9" w:line="276" w:lineRule="auto"/>
        <w:ind w:right="68" w:hanging="436"/>
        <w:jc w:val="both"/>
        <w:rPr>
          <w:rFonts w:ascii="Arial" w:hAnsi="Arial" w:cs="Arial"/>
          <w:sz w:val="20"/>
          <w:szCs w:val="20"/>
        </w:rPr>
      </w:pPr>
    </w:p>
    <w:p w14:paraId="6CD86ACE" w14:textId="77777777" w:rsidR="00F20810" w:rsidRPr="005827DA" w:rsidRDefault="00F20810" w:rsidP="005827DA">
      <w:pPr>
        <w:tabs>
          <w:tab w:val="left" w:pos="90"/>
        </w:tabs>
        <w:spacing w:line="276" w:lineRule="auto"/>
        <w:ind w:right="68" w:hanging="436"/>
        <w:jc w:val="both"/>
        <w:rPr>
          <w:rFonts w:ascii="Arial" w:eastAsia="Times New Roman" w:hAnsi="Arial" w:cs="Times New Roman"/>
          <w:b/>
          <w:bCs/>
          <w:sz w:val="20"/>
          <w:szCs w:val="20"/>
        </w:rPr>
      </w:pPr>
      <w:r w:rsidRPr="005827DA">
        <w:rPr>
          <w:rFonts w:ascii="Arial" w:eastAsia="Times New Roman" w:hAnsi="Arial" w:cs="Times New Roman"/>
          <w:b/>
          <w:bCs/>
          <w:sz w:val="20"/>
          <w:szCs w:val="20"/>
        </w:rPr>
        <w:t>Exercise 16: Landing in different wind conditions</w:t>
      </w:r>
    </w:p>
    <w:p w14:paraId="4586575F" w14:textId="77777777" w:rsidR="00F20810" w:rsidRPr="005827DA" w:rsidRDefault="00F20810" w:rsidP="005827DA">
      <w:pPr>
        <w:pStyle w:val="ListParagraph"/>
        <w:numPr>
          <w:ilvl w:val="0"/>
          <w:numId w:val="257"/>
        </w:numPr>
        <w:tabs>
          <w:tab w:val="left" w:pos="90"/>
          <w:tab w:val="left" w:pos="2409"/>
        </w:tabs>
        <w:spacing w:line="276" w:lineRule="auto"/>
        <w:ind w:right="68" w:hanging="436"/>
        <w:jc w:val="both"/>
        <w:rPr>
          <w:rFonts w:ascii="Arial" w:hAnsi="Arial" w:cs="Arial"/>
          <w:sz w:val="20"/>
          <w:szCs w:val="20"/>
        </w:rPr>
      </w:pPr>
      <w:r w:rsidRPr="005827DA">
        <w:rPr>
          <w:rFonts w:ascii="Arial" w:hAnsi="Arial" w:cs="Arial"/>
          <w:sz w:val="20"/>
          <w:szCs w:val="20"/>
        </w:rPr>
        <w:t>Objective</w:t>
      </w:r>
    </w:p>
    <w:p w14:paraId="4DD2BF23" w14:textId="77777777" w:rsidR="00F20810" w:rsidRPr="005827DA" w:rsidRDefault="00F20810" w:rsidP="005827DA">
      <w:pPr>
        <w:pStyle w:val="BodyText"/>
        <w:tabs>
          <w:tab w:val="left" w:pos="90"/>
        </w:tabs>
        <w:spacing w:before="121" w:line="276" w:lineRule="auto"/>
        <w:ind w:left="2408" w:right="68" w:hanging="436"/>
        <w:jc w:val="both"/>
        <w:rPr>
          <w:rFonts w:ascii="Arial" w:hAnsi="Arial" w:cs="Arial"/>
          <w:sz w:val="20"/>
          <w:szCs w:val="20"/>
        </w:rPr>
      </w:pPr>
      <w:r w:rsidRPr="005827DA">
        <w:rPr>
          <w:rFonts w:ascii="Arial" w:hAnsi="Arial" w:cs="Arial"/>
          <w:spacing w:val="-1"/>
          <w:sz w:val="20"/>
          <w:szCs w:val="20"/>
        </w:rPr>
        <w:t>To</w:t>
      </w:r>
      <w:r w:rsidRPr="005827DA">
        <w:rPr>
          <w:rFonts w:ascii="Arial" w:hAnsi="Arial" w:cs="Arial"/>
          <w:spacing w:val="-10"/>
          <w:sz w:val="20"/>
          <w:szCs w:val="20"/>
        </w:rPr>
        <w:t xml:space="preserve"> </w:t>
      </w:r>
      <w:r w:rsidRPr="005827DA">
        <w:rPr>
          <w:rFonts w:ascii="Arial" w:hAnsi="Arial" w:cs="Arial"/>
          <w:spacing w:val="-1"/>
          <w:sz w:val="20"/>
          <w:szCs w:val="20"/>
        </w:rPr>
        <w:t>advise</w:t>
      </w:r>
      <w:r w:rsidRPr="005827DA">
        <w:rPr>
          <w:rFonts w:ascii="Arial" w:hAnsi="Arial" w:cs="Arial"/>
          <w:spacing w:val="-14"/>
          <w:sz w:val="20"/>
          <w:szCs w:val="20"/>
        </w:rPr>
        <w:t xml:space="preserve"> </w:t>
      </w:r>
      <w:r w:rsidRPr="005827DA">
        <w:rPr>
          <w:rFonts w:ascii="Arial" w:hAnsi="Arial" w:cs="Arial"/>
          <w:spacing w:val="-1"/>
          <w:sz w:val="20"/>
          <w:szCs w:val="20"/>
        </w:rPr>
        <w:t>the</w:t>
      </w:r>
      <w:r w:rsidRPr="005827DA">
        <w:rPr>
          <w:rFonts w:ascii="Arial" w:hAnsi="Arial" w:cs="Arial"/>
          <w:spacing w:val="-14"/>
          <w:sz w:val="20"/>
          <w:szCs w:val="20"/>
        </w:rPr>
        <w:t xml:space="preserve"> </w:t>
      </w:r>
      <w:r w:rsidRPr="005827DA">
        <w:rPr>
          <w:rFonts w:ascii="Arial" w:hAnsi="Arial" w:cs="Arial"/>
          <w:spacing w:val="-1"/>
          <w:sz w:val="20"/>
          <w:szCs w:val="20"/>
        </w:rPr>
        <w:t>student</w:t>
      </w:r>
      <w:r w:rsidRPr="005827DA">
        <w:rPr>
          <w:rFonts w:ascii="Arial" w:hAnsi="Arial" w:cs="Arial"/>
          <w:spacing w:val="-11"/>
          <w:sz w:val="20"/>
          <w:szCs w:val="20"/>
        </w:rPr>
        <w:t xml:space="preserve"> </w:t>
      </w:r>
      <w:r w:rsidRPr="005827DA">
        <w:rPr>
          <w:rFonts w:ascii="Arial" w:hAnsi="Arial" w:cs="Arial"/>
          <w:sz w:val="20"/>
          <w:szCs w:val="20"/>
        </w:rPr>
        <w:t>instructor</w:t>
      </w:r>
      <w:r w:rsidRPr="005827DA">
        <w:rPr>
          <w:rFonts w:ascii="Arial" w:hAnsi="Arial" w:cs="Arial"/>
          <w:spacing w:val="-14"/>
          <w:sz w:val="20"/>
          <w:szCs w:val="20"/>
        </w:rPr>
        <w:t xml:space="preserve"> </w:t>
      </w:r>
      <w:r w:rsidRPr="005827DA">
        <w:rPr>
          <w:rFonts w:ascii="Arial" w:hAnsi="Arial" w:cs="Arial"/>
          <w:sz w:val="20"/>
          <w:szCs w:val="20"/>
        </w:rPr>
        <w:t>on</w:t>
      </w:r>
      <w:r w:rsidRPr="005827DA">
        <w:rPr>
          <w:rFonts w:ascii="Arial" w:hAnsi="Arial" w:cs="Arial"/>
          <w:spacing w:val="-12"/>
          <w:sz w:val="20"/>
          <w:szCs w:val="20"/>
        </w:rPr>
        <w:t xml:space="preserve"> </w:t>
      </w:r>
      <w:r w:rsidRPr="005827DA">
        <w:rPr>
          <w:rFonts w:ascii="Arial" w:hAnsi="Arial" w:cs="Arial"/>
          <w:sz w:val="20"/>
          <w:szCs w:val="20"/>
        </w:rPr>
        <w:t>how</w:t>
      </w:r>
      <w:r w:rsidRPr="005827DA">
        <w:rPr>
          <w:rFonts w:ascii="Arial" w:hAnsi="Arial" w:cs="Arial"/>
          <w:spacing w:val="-14"/>
          <w:sz w:val="20"/>
          <w:szCs w:val="20"/>
        </w:rPr>
        <w:t xml:space="preserve"> </w:t>
      </w:r>
      <w:r w:rsidRPr="005827DA">
        <w:rPr>
          <w:rFonts w:ascii="Arial" w:hAnsi="Arial" w:cs="Arial"/>
          <w:sz w:val="20"/>
          <w:szCs w:val="20"/>
        </w:rPr>
        <w:t>to</w:t>
      </w:r>
      <w:r w:rsidRPr="005827DA">
        <w:rPr>
          <w:rFonts w:ascii="Arial" w:hAnsi="Arial" w:cs="Arial"/>
          <w:spacing w:val="-11"/>
          <w:sz w:val="20"/>
          <w:szCs w:val="20"/>
        </w:rPr>
        <w:t xml:space="preserve"> </w:t>
      </w:r>
      <w:r w:rsidRPr="005827DA">
        <w:rPr>
          <w:rFonts w:ascii="Arial" w:hAnsi="Arial" w:cs="Arial"/>
          <w:sz w:val="20"/>
          <w:szCs w:val="20"/>
        </w:rPr>
        <w:t>explain</w:t>
      </w:r>
      <w:r w:rsidRPr="005827DA">
        <w:rPr>
          <w:rFonts w:ascii="Arial" w:hAnsi="Arial" w:cs="Arial"/>
          <w:spacing w:val="-13"/>
          <w:sz w:val="20"/>
          <w:szCs w:val="20"/>
        </w:rPr>
        <w:t xml:space="preserve"> </w:t>
      </w:r>
      <w:r w:rsidRPr="005827DA">
        <w:rPr>
          <w:rFonts w:ascii="Arial" w:hAnsi="Arial" w:cs="Arial"/>
          <w:sz w:val="20"/>
          <w:szCs w:val="20"/>
        </w:rPr>
        <w:t>and</w:t>
      </w:r>
      <w:r w:rsidRPr="005827DA">
        <w:rPr>
          <w:rFonts w:ascii="Arial" w:hAnsi="Arial" w:cs="Arial"/>
          <w:spacing w:val="-15"/>
          <w:sz w:val="20"/>
          <w:szCs w:val="20"/>
        </w:rPr>
        <w:t xml:space="preserve"> </w:t>
      </w:r>
      <w:r w:rsidRPr="005827DA">
        <w:rPr>
          <w:rFonts w:ascii="Arial" w:hAnsi="Arial" w:cs="Arial"/>
          <w:sz w:val="20"/>
          <w:szCs w:val="20"/>
        </w:rPr>
        <w:t>demonstrate</w:t>
      </w:r>
      <w:r w:rsidRPr="005827DA">
        <w:rPr>
          <w:rFonts w:ascii="Arial" w:hAnsi="Arial" w:cs="Arial"/>
          <w:spacing w:val="-11"/>
          <w:sz w:val="20"/>
          <w:szCs w:val="20"/>
        </w:rPr>
        <w:t xml:space="preserve"> </w:t>
      </w:r>
      <w:r w:rsidRPr="005827DA">
        <w:rPr>
          <w:rFonts w:ascii="Arial" w:hAnsi="Arial" w:cs="Arial"/>
          <w:sz w:val="20"/>
          <w:szCs w:val="20"/>
        </w:rPr>
        <w:t>landings</w:t>
      </w:r>
      <w:r w:rsidRPr="005827DA">
        <w:rPr>
          <w:rFonts w:ascii="Arial" w:hAnsi="Arial" w:cs="Arial"/>
          <w:spacing w:val="-47"/>
          <w:sz w:val="20"/>
          <w:szCs w:val="20"/>
        </w:rPr>
        <w:t xml:space="preserve"> </w:t>
      </w:r>
      <w:r w:rsidRPr="005827DA">
        <w:rPr>
          <w:rFonts w:ascii="Arial" w:hAnsi="Arial" w:cs="Arial"/>
          <w:sz w:val="20"/>
          <w:szCs w:val="20"/>
        </w:rPr>
        <w:t>in different wind conditions. Furthermore, the student instructor should</w:t>
      </w:r>
      <w:r w:rsidRPr="005827DA">
        <w:rPr>
          <w:rFonts w:ascii="Arial" w:hAnsi="Arial" w:cs="Arial"/>
          <w:spacing w:val="1"/>
          <w:sz w:val="20"/>
          <w:szCs w:val="20"/>
        </w:rPr>
        <w:t xml:space="preserve"> </w:t>
      </w:r>
      <w:r w:rsidRPr="005827DA">
        <w:rPr>
          <w:rFonts w:ascii="Arial" w:hAnsi="Arial" w:cs="Arial"/>
          <w:sz w:val="20"/>
          <w:szCs w:val="20"/>
        </w:rPr>
        <w:t>learn</w:t>
      </w:r>
      <w:r w:rsidRPr="005827DA">
        <w:rPr>
          <w:rFonts w:ascii="Arial" w:hAnsi="Arial" w:cs="Arial"/>
          <w:spacing w:val="-2"/>
          <w:sz w:val="20"/>
          <w:szCs w:val="20"/>
        </w:rPr>
        <w:t xml:space="preserve"> </w:t>
      </w:r>
      <w:r w:rsidRPr="005827DA">
        <w:rPr>
          <w:rFonts w:ascii="Arial" w:hAnsi="Arial" w:cs="Arial"/>
          <w:sz w:val="20"/>
          <w:szCs w:val="20"/>
        </w:rPr>
        <w:t>how to</w:t>
      </w:r>
      <w:r w:rsidRPr="005827DA">
        <w:rPr>
          <w:rFonts w:ascii="Arial" w:hAnsi="Arial" w:cs="Arial"/>
          <w:spacing w:val="1"/>
          <w:sz w:val="20"/>
          <w:szCs w:val="20"/>
        </w:rPr>
        <w:t xml:space="preserve"> </w:t>
      </w:r>
      <w:r w:rsidRPr="005827DA">
        <w:rPr>
          <w:rFonts w:ascii="Arial" w:hAnsi="Arial" w:cs="Arial"/>
          <w:sz w:val="20"/>
          <w:szCs w:val="20"/>
        </w:rPr>
        <w:t>identify</w:t>
      </w:r>
      <w:r w:rsidRPr="005827DA">
        <w:rPr>
          <w:rFonts w:ascii="Arial" w:hAnsi="Arial" w:cs="Arial"/>
          <w:spacing w:val="-1"/>
          <w:sz w:val="20"/>
          <w:szCs w:val="20"/>
        </w:rPr>
        <w:t xml:space="preserve"> </w:t>
      </w:r>
      <w:r w:rsidRPr="005827DA">
        <w:rPr>
          <w:rFonts w:ascii="Arial" w:hAnsi="Arial" w:cs="Arial"/>
          <w:sz w:val="20"/>
          <w:szCs w:val="20"/>
        </w:rPr>
        <w:t>student</w:t>
      </w:r>
      <w:r w:rsidRPr="005827DA">
        <w:rPr>
          <w:rFonts w:ascii="Arial" w:hAnsi="Arial" w:cs="Arial"/>
          <w:spacing w:val="-1"/>
          <w:sz w:val="20"/>
          <w:szCs w:val="20"/>
        </w:rPr>
        <w:t xml:space="preserve"> </w:t>
      </w:r>
      <w:r w:rsidRPr="005827DA">
        <w:rPr>
          <w:rFonts w:ascii="Arial" w:hAnsi="Arial" w:cs="Arial"/>
          <w:sz w:val="20"/>
          <w:szCs w:val="20"/>
        </w:rPr>
        <w:t>errors and</w:t>
      </w:r>
      <w:r w:rsidRPr="005827DA">
        <w:rPr>
          <w:rFonts w:ascii="Arial" w:hAnsi="Arial" w:cs="Arial"/>
          <w:spacing w:val="-3"/>
          <w:sz w:val="20"/>
          <w:szCs w:val="20"/>
        </w:rPr>
        <w:t xml:space="preserve"> </w:t>
      </w:r>
      <w:r w:rsidRPr="005827DA">
        <w:rPr>
          <w:rFonts w:ascii="Arial" w:hAnsi="Arial" w:cs="Arial"/>
          <w:sz w:val="20"/>
          <w:szCs w:val="20"/>
        </w:rPr>
        <w:t>how</w:t>
      </w:r>
      <w:r w:rsidRPr="005827DA">
        <w:rPr>
          <w:rFonts w:ascii="Arial" w:hAnsi="Arial" w:cs="Arial"/>
          <w:spacing w:val="-3"/>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correct them properly.</w:t>
      </w:r>
    </w:p>
    <w:p w14:paraId="28FB8393" w14:textId="77777777" w:rsidR="00F20810" w:rsidRPr="005827DA" w:rsidRDefault="00F20810" w:rsidP="005827DA">
      <w:pPr>
        <w:pStyle w:val="ListParagraph"/>
        <w:numPr>
          <w:ilvl w:val="0"/>
          <w:numId w:val="257"/>
        </w:numPr>
        <w:tabs>
          <w:tab w:val="left" w:pos="90"/>
          <w:tab w:val="left" w:pos="2409"/>
        </w:tabs>
        <w:spacing w:before="121" w:line="276" w:lineRule="auto"/>
        <w:ind w:right="68" w:hanging="436"/>
        <w:jc w:val="both"/>
        <w:rPr>
          <w:rFonts w:ascii="Arial" w:hAnsi="Arial" w:cs="Arial"/>
          <w:sz w:val="20"/>
          <w:szCs w:val="20"/>
        </w:rPr>
      </w:pPr>
      <w:r w:rsidRPr="005827DA">
        <w:rPr>
          <w:rFonts w:ascii="Arial" w:hAnsi="Arial" w:cs="Arial"/>
          <w:sz w:val="20"/>
          <w:szCs w:val="20"/>
        </w:rPr>
        <w:t>Briefing</w:t>
      </w:r>
    </w:p>
    <w:p w14:paraId="53F35A6B" w14:textId="77777777" w:rsidR="00F20810" w:rsidRPr="005827DA" w:rsidRDefault="00F20810" w:rsidP="005827DA">
      <w:pPr>
        <w:pStyle w:val="BodyText"/>
        <w:tabs>
          <w:tab w:val="left" w:pos="90"/>
        </w:tabs>
        <w:spacing w:line="276" w:lineRule="auto"/>
        <w:ind w:left="2408"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student</w:t>
      </w:r>
      <w:r w:rsidRPr="005827DA">
        <w:rPr>
          <w:rFonts w:ascii="Arial" w:hAnsi="Arial" w:cs="Arial"/>
          <w:spacing w:val="-2"/>
          <w:sz w:val="20"/>
          <w:szCs w:val="20"/>
        </w:rPr>
        <w:t xml:space="preserve"> </w:t>
      </w:r>
      <w:r w:rsidRPr="005827DA">
        <w:rPr>
          <w:rFonts w:ascii="Arial" w:hAnsi="Arial" w:cs="Arial"/>
          <w:sz w:val="20"/>
          <w:szCs w:val="20"/>
        </w:rPr>
        <w:t>instructor has</w:t>
      </w:r>
      <w:r w:rsidRPr="005827DA">
        <w:rPr>
          <w:rFonts w:ascii="Arial" w:hAnsi="Arial" w:cs="Arial"/>
          <w:spacing w:val="-6"/>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explain:</w:t>
      </w:r>
    </w:p>
    <w:p w14:paraId="39E0A7AB" w14:textId="77777777" w:rsidR="00F20810" w:rsidRPr="005827DA" w:rsidRDefault="00F20810" w:rsidP="005827DA">
      <w:pPr>
        <w:pStyle w:val="ListParagraph"/>
        <w:numPr>
          <w:ilvl w:val="1"/>
          <w:numId w:val="257"/>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correct</w:t>
      </w:r>
      <w:r w:rsidRPr="005827DA">
        <w:rPr>
          <w:rFonts w:ascii="Arial" w:hAnsi="Arial" w:cs="Arial"/>
          <w:spacing w:val="-1"/>
          <w:sz w:val="20"/>
          <w:szCs w:val="20"/>
        </w:rPr>
        <w:t xml:space="preserve"> </w:t>
      </w:r>
      <w:r w:rsidRPr="005827DA">
        <w:rPr>
          <w:rFonts w:ascii="Arial" w:hAnsi="Arial" w:cs="Arial"/>
          <w:sz w:val="20"/>
          <w:szCs w:val="20"/>
        </w:rPr>
        <w:t>actions for</w:t>
      </w:r>
      <w:r w:rsidRPr="005827DA">
        <w:rPr>
          <w:rFonts w:ascii="Arial" w:hAnsi="Arial" w:cs="Arial"/>
          <w:spacing w:val="-3"/>
          <w:sz w:val="20"/>
          <w:szCs w:val="20"/>
        </w:rPr>
        <w:t xml:space="preserve"> </w:t>
      </w:r>
      <w:r w:rsidRPr="005827DA">
        <w:rPr>
          <w:rFonts w:ascii="Arial" w:hAnsi="Arial" w:cs="Arial"/>
          <w:sz w:val="20"/>
          <w:szCs w:val="20"/>
        </w:rPr>
        <w:t>turbulences during</w:t>
      </w:r>
      <w:r w:rsidRPr="005827DA">
        <w:rPr>
          <w:rFonts w:ascii="Arial" w:hAnsi="Arial" w:cs="Arial"/>
          <w:spacing w:val="-2"/>
          <w:sz w:val="20"/>
          <w:szCs w:val="20"/>
        </w:rPr>
        <w:t xml:space="preserve"> </w:t>
      </w: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approach</w:t>
      </w:r>
      <w:r w:rsidRPr="005827DA">
        <w:rPr>
          <w:rFonts w:ascii="Arial" w:hAnsi="Arial" w:cs="Arial"/>
          <w:spacing w:val="-2"/>
          <w:sz w:val="20"/>
          <w:szCs w:val="20"/>
        </w:rPr>
        <w:t xml:space="preserve"> </w:t>
      </w:r>
      <w:r w:rsidRPr="005827DA">
        <w:rPr>
          <w:rFonts w:ascii="Arial" w:hAnsi="Arial" w:cs="Arial"/>
          <w:sz w:val="20"/>
          <w:szCs w:val="20"/>
        </w:rPr>
        <w:t>or</w:t>
      </w:r>
      <w:r w:rsidRPr="005827DA">
        <w:rPr>
          <w:rFonts w:ascii="Arial" w:hAnsi="Arial" w:cs="Arial"/>
          <w:spacing w:val="-1"/>
          <w:sz w:val="20"/>
          <w:szCs w:val="20"/>
        </w:rPr>
        <w:t xml:space="preserve"> </w:t>
      </w:r>
      <w:r w:rsidRPr="005827DA">
        <w:rPr>
          <w:rFonts w:ascii="Arial" w:hAnsi="Arial" w:cs="Arial"/>
          <w:sz w:val="20"/>
          <w:szCs w:val="20"/>
        </w:rPr>
        <w:t>landing;</w:t>
      </w:r>
    </w:p>
    <w:p w14:paraId="7A8D1B11" w14:textId="77777777" w:rsidR="00F20810" w:rsidRPr="005827DA" w:rsidRDefault="00F20810" w:rsidP="005827DA">
      <w:pPr>
        <w:pStyle w:val="ListParagraph"/>
        <w:numPr>
          <w:ilvl w:val="1"/>
          <w:numId w:val="257"/>
        </w:numPr>
        <w:tabs>
          <w:tab w:val="left" w:pos="90"/>
          <w:tab w:val="left" w:pos="2975"/>
          <w:tab w:val="left" w:pos="2976"/>
        </w:tabs>
        <w:spacing w:before="118"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3"/>
          <w:sz w:val="20"/>
          <w:szCs w:val="20"/>
        </w:rPr>
        <w:t xml:space="preserve"> </w:t>
      </w:r>
      <w:r w:rsidRPr="005827DA">
        <w:rPr>
          <w:rFonts w:ascii="Arial" w:hAnsi="Arial" w:cs="Arial"/>
          <w:sz w:val="20"/>
          <w:szCs w:val="20"/>
        </w:rPr>
        <w:t>passenger</w:t>
      </w:r>
      <w:r w:rsidRPr="005827DA">
        <w:rPr>
          <w:rFonts w:ascii="Arial" w:hAnsi="Arial" w:cs="Arial"/>
          <w:spacing w:val="-2"/>
          <w:sz w:val="20"/>
          <w:szCs w:val="20"/>
        </w:rPr>
        <w:t xml:space="preserve"> </w:t>
      </w:r>
      <w:r w:rsidRPr="005827DA">
        <w:rPr>
          <w:rFonts w:ascii="Arial" w:hAnsi="Arial" w:cs="Arial"/>
          <w:sz w:val="20"/>
          <w:szCs w:val="20"/>
        </w:rPr>
        <w:t>pre-landing</w:t>
      </w:r>
      <w:r w:rsidRPr="005827DA">
        <w:rPr>
          <w:rFonts w:ascii="Arial" w:hAnsi="Arial" w:cs="Arial"/>
          <w:spacing w:val="-5"/>
          <w:sz w:val="20"/>
          <w:szCs w:val="20"/>
        </w:rPr>
        <w:t xml:space="preserve"> </w:t>
      </w:r>
      <w:r w:rsidRPr="005827DA">
        <w:rPr>
          <w:rFonts w:ascii="Arial" w:hAnsi="Arial" w:cs="Arial"/>
          <w:sz w:val="20"/>
          <w:szCs w:val="20"/>
        </w:rPr>
        <w:t>briefing;</w:t>
      </w:r>
    </w:p>
    <w:p w14:paraId="1254541D" w14:textId="77777777" w:rsidR="00F20810" w:rsidRPr="005827DA" w:rsidRDefault="00F20810" w:rsidP="005827DA">
      <w:pPr>
        <w:pStyle w:val="ListParagraph"/>
        <w:numPr>
          <w:ilvl w:val="1"/>
          <w:numId w:val="257"/>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use</w:t>
      </w:r>
      <w:r w:rsidRPr="005827DA">
        <w:rPr>
          <w:rFonts w:ascii="Arial" w:hAnsi="Arial" w:cs="Arial"/>
          <w:spacing w:val="-3"/>
          <w:sz w:val="20"/>
          <w:szCs w:val="20"/>
        </w:rPr>
        <w:t xml:space="preserve"> </w:t>
      </w:r>
      <w:r w:rsidRPr="005827DA">
        <w:rPr>
          <w:rFonts w:ascii="Arial" w:hAnsi="Arial" w:cs="Arial"/>
          <w:sz w:val="20"/>
          <w:szCs w:val="20"/>
        </w:rPr>
        <w:t>of burner</w:t>
      </w:r>
      <w:r w:rsidRPr="005827DA">
        <w:rPr>
          <w:rFonts w:ascii="Arial" w:hAnsi="Arial" w:cs="Arial"/>
          <w:spacing w:val="-3"/>
          <w:sz w:val="20"/>
          <w:szCs w:val="20"/>
        </w:rPr>
        <w:t xml:space="preserve"> </w:t>
      </w:r>
      <w:r w:rsidRPr="005827DA">
        <w:rPr>
          <w:rFonts w:ascii="Arial" w:hAnsi="Arial" w:cs="Arial"/>
          <w:sz w:val="20"/>
          <w:szCs w:val="20"/>
        </w:rPr>
        <w:t>and</w:t>
      </w:r>
      <w:r w:rsidRPr="005827DA">
        <w:rPr>
          <w:rFonts w:ascii="Arial" w:hAnsi="Arial" w:cs="Arial"/>
          <w:spacing w:val="-1"/>
          <w:sz w:val="20"/>
          <w:szCs w:val="20"/>
        </w:rPr>
        <w:t xml:space="preserve"> </w:t>
      </w:r>
      <w:r w:rsidRPr="005827DA">
        <w:rPr>
          <w:rFonts w:ascii="Arial" w:hAnsi="Arial" w:cs="Arial"/>
          <w:sz w:val="20"/>
          <w:szCs w:val="20"/>
        </w:rPr>
        <w:t>pilot</w:t>
      </w:r>
      <w:r w:rsidRPr="005827DA">
        <w:rPr>
          <w:rFonts w:ascii="Arial" w:hAnsi="Arial" w:cs="Arial"/>
          <w:spacing w:val="-5"/>
          <w:sz w:val="20"/>
          <w:szCs w:val="20"/>
        </w:rPr>
        <w:t xml:space="preserve"> </w:t>
      </w:r>
      <w:r w:rsidRPr="005827DA">
        <w:rPr>
          <w:rFonts w:ascii="Arial" w:hAnsi="Arial" w:cs="Arial"/>
          <w:sz w:val="20"/>
          <w:szCs w:val="20"/>
        </w:rPr>
        <w:t>lights</w:t>
      </w:r>
      <w:r w:rsidRPr="005827DA">
        <w:rPr>
          <w:rFonts w:ascii="Arial" w:hAnsi="Arial" w:cs="Arial"/>
          <w:spacing w:val="1"/>
          <w:sz w:val="20"/>
          <w:szCs w:val="20"/>
        </w:rPr>
        <w:t xml:space="preserve"> </w:t>
      </w:r>
      <w:r w:rsidRPr="005827DA">
        <w:rPr>
          <w:rFonts w:ascii="Arial" w:hAnsi="Arial" w:cs="Arial"/>
          <w:sz w:val="20"/>
          <w:szCs w:val="20"/>
        </w:rPr>
        <w:t>(hot-air</w:t>
      </w:r>
      <w:r w:rsidRPr="005827DA">
        <w:rPr>
          <w:rFonts w:ascii="Arial" w:hAnsi="Arial" w:cs="Arial"/>
          <w:spacing w:val="-5"/>
          <w:sz w:val="20"/>
          <w:szCs w:val="20"/>
        </w:rPr>
        <w:t xml:space="preserve"> </w:t>
      </w:r>
      <w:r w:rsidRPr="005827DA">
        <w:rPr>
          <w:rFonts w:ascii="Arial" w:hAnsi="Arial" w:cs="Arial"/>
          <w:sz w:val="20"/>
          <w:szCs w:val="20"/>
        </w:rPr>
        <w:t>balloons);</w:t>
      </w:r>
    </w:p>
    <w:p w14:paraId="482B969B" w14:textId="77777777" w:rsidR="00F20810" w:rsidRPr="005827DA" w:rsidRDefault="00F20810" w:rsidP="005827DA">
      <w:pPr>
        <w:pStyle w:val="ListParagraph"/>
        <w:numPr>
          <w:ilvl w:val="1"/>
          <w:numId w:val="257"/>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use</w:t>
      </w:r>
      <w:r w:rsidRPr="005827DA">
        <w:rPr>
          <w:rFonts w:ascii="Arial" w:hAnsi="Arial" w:cs="Arial"/>
          <w:spacing w:val="-3"/>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ballast,</w:t>
      </w:r>
      <w:r w:rsidRPr="005827DA">
        <w:rPr>
          <w:rFonts w:ascii="Arial" w:hAnsi="Arial" w:cs="Arial"/>
          <w:spacing w:val="-1"/>
          <w:sz w:val="20"/>
          <w:szCs w:val="20"/>
        </w:rPr>
        <w:t xml:space="preserve"> </w:t>
      </w:r>
      <w:r w:rsidRPr="005827DA">
        <w:rPr>
          <w:rFonts w:ascii="Arial" w:hAnsi="Arial" w:cs="Arial"/>
          <w:sz w:val="20"/>
          <w:szCs w:val="20"/>
        </w:rPr>
        <w:t>parachute, valve</w:t>
      </w:r>
      <w:r w:rsidRPr="005827DA">
        <w:rPr>
          <w:rFonts w:ascii="Arial" w:hAnsi="Arial" w:cs="Arial"/>
          <w:spacing w:val="-3"/>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rip</w:t>
      </w:r>
      <w:r w:rsidRPr="005827DA">
        <w:rPr>
          <w:rFonts w:ascii="Arial" w:hAnsi="Arial" w:cs="Arial"/>
          <w:spacing w:val="-2"/>
          <w:sz w:val="20"/>
          <w:szCs w:val="20"/>
        </w:rPr>
        <w:t xml:space="preserve"> </w:t>
      </w:r>
      <w:r w:rsidRPr="005827DA">
        <w:rPr>
          <w:rFonts w:ascii="Arial" w:hAnsi="Arial" w:cs="Arial"/>
          <w:sz w:val="20"/>
          <w:szCs w:val="20"/>
        </w:rPr>
        <w:t>panel (gas</w:t>
      </w:r>
      <w:r w:rsidRPr="005827DA">
        <w:rPr>
          <w:rFonts w:ascii="Arial" w:hAnsi="Arial" w:cs="Arial"/>
          <w:spacing w:val="-3"/>
          <w:sz w:val="20"/>
          <w:szCs w:val="20"/>
        </w:rPr>
        <w:t xml:space="preserve"> </w:t>
      </w:r>
      <w:r w:rsidRPr="005827DA">
        <w:rPr>
          <w:rFonts w:ascii="Arial" w:hAnsi="Arial" w:cs="Arial"/>
          <w:sz w:val="20"/>
          <w:szCs w:val="20"/>
        </w:rPr>
        <w:t>balloons);</w:t>
      </w:r>
    </w:p>
    <w:p w14:paraId="4B3D8961" w14:textId="77777777" w:rsidR="00F20810" w:rsidRPr="005827DA" w:rsidRDefault="00F20810" w:rsidP="005827DA">
      <w:pPr>
        <w:pStyle w:val="ListParagraph"/>
        <w:numPr>
          <w:ilvl w:val="1"/>
          <w:numId w:val="257"/>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use</w:t>
      </w:r>
      <w:r w:rsidRPr="005827DA">
        <w:rPr>
          <w:rFonts w:ascii="Arial" w:hAnsi="Arial" w:cs="Arial"/>
          <w:spacing w:val="-2"/>
          <w:sz w:val="20"/>
          <w:szCs w:val="20"/>
        </w:rPr>
        <w:t xml:space="preserve"> </w:t>
      </w:r>
      <w:r w:rsidRPr="005827DA">
        <w:rPr>
          <w:rFonts w:ascii="Arial" w:hAnsi="Arial" w:cs="Arial"/>
          <w:sz w:val="20"/>
          <w:szCs w:val="20"/>
        </w:rPr>
        <w:t>of parachute</w:t>
      </w:r>
      <w:r w:rsidRPr="005827DA">
        <w:rPr>
          <w:rFonts w:ascii="Arial" w:hAnsi="Arial" w:cs="Arial"/>
          <w:spacing w:val="-1"/>
          <w:sz w:val="20"/>
          <w:szCs w:val="20"/>
        </w:rPr>
        <w:t xml:space="preserve"> </w:t>
      </w:r>
      <w:r w:rsidRPr="005827DA">
        <w:rPr>
          <w:rFonts w:ascii="Arial" w:hAnsi="Arial" w:cs="Arial"/>
          <w:sz w:val="20"/>
          <w:szCs w:val="20"/>
        </w:rPr>
        <w:t>and</w:t>
      </w:r>
      <w:r w:rsidRPr="005827DA">
        <w:rPr>
          <w:rFonts w:ascii="Arial" w:hAnsi="Arial" w:cs="Arial"/>
          <w:spacing w:val="-3"/>
          <w:sz w:val="20"/>
          <w:szCs w:val="20"/>
        </w:rPr>
        <w:t xml:space="preserve"> </w:t>
      </w:r>
      <w:r w:rsidRPr="005827DA">
        <w:rPr>
          <w:rFonts w:ascii="Arial" w:hAnsi="Arial" w:cs="Arial"/>
          <w:sz w:val="20"/>
          <w:szCs w:val="20"/>
        </w:rPr>
        <w:t>turning</w:t>
      </w:r>
      <w:r w:rsidRPr="005827DA">
        <w:rPr>
          <w:rFonts w:ascii="Arial" w:hAnsi="Arial" w:cs="Arial"/>
          <w:spacing w:val="-1"/>
          <w:sz w:val="20"/>
          <w:szCs w:val="20"/>
        </w:rPr>
        <w:t xml:space="preserve"> </w:t>
      </w:r>
      <w:r w:rsidRPr="005827DA">
        <w:rPr>
          <w:rFonts w:ascii="Arial" w:hAnsi="Arial" w:cs="Arial"/>
          <w:sz w:val="20"/>
          <w:szCs w:val="20"/>
        </w:rPr>
        <w:t>vents</w:t>
      </w:r>
      <w:r w:rsidRPr="005827DA">
        <w:rPr>
          <w:rFonts w:ascii="Arial" w:hAnsi="Arial" w:cs="Arial"/>
          <w:spacing w:val="-1"/>
          <w:sz w:val="20"/>
          <w:szCs w:val="20"/>
        </w:rPr>
        <w:t xml:space="preserve"> </w:t>
      </w:r>
      <w:r w:rsidRPr="005827DA">
        <w:rPr>
          <w:rFonts w:ascii="Arial" w:hAnsi="Arial" w:cs="Arial"/>
          <w:sz w:val="20"/>
          <w:szCs w:val="20"/>
        </w:rPr>
        <w:t>(if</w:t>
      </w:r>
      <w:r w:rsidRPr="005827DA">
        <w:rPr>
          <w:rFonts w:ascii="Arial" w:hAnsi="Arial" w:cs="Arial"/>
          <w:spacing w:val="-3"/>
          <w:sz w:val="20"/>
          <w:szCs w:val="20"/>
        </w:rPr>
        <w:t xml:space="preserve"> </w:t>
      </w:r>
      <w:r w:rsidRPr="005827DA">
        <w:rPr>
          <w:rFonts w:ascii="Arial" w:hAnsi="Arial" w:cs="Arial"/>
          <w:sz w:val="20"/>
          <w:szCs w:val="20"/>
        </w:rPr>
        <w:t>applicable);</w:t>
      </w:r>
    </w:p>
    <w:p w14:paraId="12CC3C9C" w14:textId="77777777" w:rsidR="00F20810" w:rsidRPr="005827DA" w:rsidRDefault="00F20810" w:rsidP="005827DA">
      <w:pPr>
        <w:pStyle w:val="ListParagraph"/>
        <w:numPr>
          <w:ilvl w:val="1"/>
          <w:numId w:val="257"/>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look-out;</w:t>
      </w:r>
    </w:p>
    <w:p w14:paraId="403DF581" w14:textId="77777777" w:rsidR="00F20810" w:rsidRPr="005827DA" w:rsidRDefault="00F20810" w:rsidP="005827DA">
      <w:pPr>
        <w:pStyle w:val="ListParagraph"/>
        <w:numPr>
          <w:ilvl w:val="1"/>
          <w:numId w:val="257"/>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3"/>
          <w:sz w:val="20"/>
          <w:szCs w:val="20"/>
        </w:rPr>
        <w:t xml:space="preserve"> </w:t>
      </w:r>
      <w:r w:rsidRPr="005827DA">
        <w:rPr>
          <w:rFonts w:ascii="Arial" w:hAnsi="Arial" w:cs="Arial"/>
          <w:sz w:val="20"/>
          <w:szCs w:val="20"/>
        </w:rPr>
        <w:t>landing,</w:t>
      </w:r>
      <w:r w:rsidRPr="005827DA">
        <w:rPr>
          <w:rFonts w:ascii="Arial" w:hAnsi="Arial" w:cs="Arial"/>
          <w:spacing w:val="-2"/>
          <w:sz w:val="20"/>
          <w:szCs w:val="20"/>
        </w:rPr>
        <w:t xml:space="preserve"> </w:t>
      </w:r>
      <w:r w:rsidRPr="005827DA">
        <w:rPr>
          <w:rFonts w:ascii="Arial" w:hAnsi="Arial" w:cs="Arial"/>
          <w:sz w:val="20"/>
          <w:szCs w:val="20"/>
        </w:rPr>
        <w:t>dragging</w:t>
      </w:r>
      <w:r w:rsidRPr="005827DA">
        <w:rPr>
          <w:rFonts w:ascii="Arial" w:hAnsi="Arial" w:cs="Arial"/>
          <w:spacing w:val="-3"/>
          <w:sz w:val="20"/>
          <w:szCs w:val="20"/>
        </w:rPr>
        <w:t xml:space="preserve"> </w:t>
      </w:r>
      <w:r w:rsidRPr="005827DA">
        <w:rPr>
          <w:rFonts w:ascii="Arial" w:hAnsi="Arial" w:cs="Arial"/>
          <w:sz w:val="20"/>
          <w:szCs w:val="20"/>
        </w:rPr>
        <w:t>and</w:t>
      </w:r>
      <w:r w:rsidRPr="005827DA">
        <w:rPr>
          <w:rFonts w:ascii="Arial" w:hAnsi="Arial" w:cs="Arial"/>
          <w:spacing w:val="-3"/>
          <w:sz w:val="20"/>
          <w:szCs w:val="20"/>
        </w:rPr>
        <w:t xml:space="preserve"> </w:t>
      </w:r>
      <w:r w:rsidRPr="005827DA">
        <w:rPr>
          <w:rFonts w:ascii="Arial" w:hAnsi="Arial" w:cs="Arial"/>
          <w:sz w:val="20"/>
          <w:szCs w:val="20"/>
        </w:rPr>
        <w:t>deflation;</w:t>
      </w:r>
    </w:p>
    <w:p w14:paraId="24001E9F" w14:textId="77777777" w:rsidR="00F20810" w:rsidRPr="005827DA" w:rsidRDefault="00F20810" w:rsidP="005827DA">
      <w:pPr>
        <w:pStyle w:val="ListParagraph"/>
        <w:numPr>
          <w:ilvl w:val="1"/>
          <w:numId w:val="257"/>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 use</w:t>
      </w:r>
      <w:r w:rsidRPr="005827DA">
        <w:rPr>
          <w:rFonts w:ascii="Arial" w:hAnsi="Arial" w:cs="Arial"/>
          <w:spacing w:val="-2"/>
          <w:sz w:val="20"/>
          <w:szCs w:val="20"/>
        </w:rPr>
        <w:t xml:space="preserve"> </w:t>
      </w:r>
      <w:r w:rsidRPr="005827DA">
        <w:rPr>
          <w:rFonts w:ascii="Arial" w:hAnsi="Arial" w:cs="Arial"/>
          <w:sz w:val="20"/>
          <w:szCs w:val="20"/>
        </w:rPr>
        <w:t>of drop</w:t>
      </w:r>
      <w:r w:rsidRPr="005827DA">
        <w:rPr>
          <w:rFonts w:ascii="Arial" w:hAnsi="Arial" w:cs="Arial"/>
          <w:spacing w:val="-2"/>
          <w:sz w:val="20"/>
          <w:szCs w:val="20"/>
        </w:rPr>
        <w:t xml:space="preserve"> </w:t>
      </w:r>
      <w:r w:rsidRPr="005827DA">
        <w:rPr>
          <w:rFonts w:ascii="Arial" w:hAnsi="Arial" w:cs="Arial"/>
          <w:sz w:val="20"/>
          <w:szCs w:val="20"/>
        </w:rPr>
        <w:t>line; and</w:t>
      </w:r>
    </w:p>
    <w:p w14:paraId="33A37B8D" w14:textId="77777777" w:rsidR="00F20810" w:rsidRPr="005827DA" w:rsidRDefault="00F20810" w:rsidP="005827DA">
      <w:pPr>
        <w:pStyle w:val="ListParagraph"/>
        <w:numPr>
          <w:ilvl w:val="1"/>
          <w:numId w:val="257"/>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landowner</w:t>
      </w:r>
      <w:r w:rsidRPr="005827DA">
        <w:rPr>
          <w:rFonts w:ascii="Arial" w:hAnsi="Arial" w:cs="Arial"/>
          <w:spacing w:val="-2"/>
          <w:sz w:val="20"/>
          <w:szCs w:val="20"/>
        </w:rPr>
        <w:t xml:space="preserve"> </w:t>
      </w:r>
      <w:r w:rsidRPr="005827DA">
        <w:rPr>
          <w:rFonts w:ascii="Arial" w:hAnsi="Arial" w:cs="Arial"/>
          <w:sz w:val="20"/>
          <w:szCs w:val="20"/>
        </w:rPr>
        <w:t>relations.</w:t>
      </w:r>
    </w:p>
    <w:p w14:paraId="21C79622" w14:textId="77777777" w:rsidR="00F20810" w:rsidRPr="005827DA" w:rsidRDefault="00F20810" w:rsidP="005827DA">
      <w:pPr>
        <w:pStyle w:val="ListParagraph"/>
        <w:numPr>
          <w:ilvl w:val="0"/>
          <w:numId w:val="257"/>
        </w:numPr>
        <w:tabs>
          <w:tab w:val="left" w:pos="90"/>
          <w:tab w:val="left" w:pos="2408"/>
          <w:tab w:val="left" w:pos="2409"/>
        </w:tabs>
        <w:spacing w:before="56" w:line="276" w:lineRule="auto"/>
        <w:ind w:right="68" w:hanging="436"/>
        <w:jc w:val="both"/>
        <w:rPr>
          <w:rFonts w:ascii="Arial" w:hAnsi="Arial" w:cs="Arial"/>
          <w:sz w:val="20"/>
          <w:szCs w:val="20"/>
        </w:rPr>
      </w:pPr>
      <w:r w:rsidRPr="005827DA">
        <w:rPr>
          <w:rFonts w:ascii="Arial" w:hAnsi="Arial" w:cs="Arial"/>
          <w:sz w:val="20"/>
          <w:szCs w:val="20"/>
        </w:rPr>
        <w:lastRenderedPageBreak/>
        <w:t>Air</w:t>
      </w:r>
      <w:r w:rsidRPr="005827DA">
        <w:rPr>
          <w:rFonts w:ascii="Arial" w:hAnsi="Arial" w:cs="Arial"/>
          <w:spacing w:val="-1"/>
          <w:sz w:val="20"/>
          <w:szCs w:val="20"/>
        </w:rPr>
        <w:t xml:space="preserve"> </w:t>
      </w:r>
      <w:r w:rsidRPr="005827DA">
        <w:rPr>
          <w:rFonts w:ascii="Arial" w:hAnsi="Arial" w:cs="Arial"/>
          <w:sz w:val="20"/>
          <w:szCs w:val="20"/>
        </w:rPr>
        <w:t>exercise</w:t>
      </w:r>
    </w:p>
    <w:p w14:paraId="00D75BE4" w14:textId="77777777" w:rsidR="00F20810" w:rsidRPr="005827DA" w:rsidRDefault="00F20810" w:rsidP="005827DA">
      <w:pPr>
        <w:pStyle w:val="BodyText"/>
        <w:tabs>
          <w:tab w:val="left" w:pos="90"/>
        </w:tabs>
        <w:spacing w:line="276" w:lineRule="auto"/>
        <w:ind w:left="2408"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student</w:t>
      </w:r>
      <w:r w:rsidRPr="005827DA">
        <w:rPr>
          <w:rFonts w:ascii="Arial" w:hAnsi="Arial" w:cs="Arial"/>
          <w:spacing w:val="-3"/>
          <w:sz w:val="20"/>
          <w:szCs w:val="20"/>
        </w:rPr>
        <w:t xml:space="preserve"> </w:t>
      </w:r>
      <w:r w:rsidRPr="005827DA">
        <w:rPr>
          <w:rFonts w:ascii="Arial" w:hAnsi="Arial" w:cs="Arial"/>
          <w:sz w:val="20"/>
          <w:szCs w:val="20"/>
        </w:rPr>
        <w:t>instructor</w:t>
      </w:r>
      <w:r w:rsidRPr="005827DA">
        <w:rPr>
          <w:rFonts w:ascii="Arial" w:hAnsi="Arial" w:cs="Arial"/>
          <w:spacing w:val="-2"/>
          <w:sz w:val="20"/>
          <w:szCs w:val="20"/>
        </w:rPr>
        <w:t xml:space="preserve"> </w:t>
      </w:r>
      <w:r w:rsidRPr="005827DA">
        <w:rPr>
          <w:rFonts w:ascii="Arial" w:hAnsi="Arial" w:cs="Arial"/>
          <w:sz w:val="20"/>
          <w:szCs w:val="20"/>
        </w:rPr>
        <w:t>has</w:t>
      </w:r>
      <w:r w:rsidRPr="005827DA">
        <w:rPr>
          <w:rFonts w:ascii="Arial" w:hAnsi="Arial" w:cs="Arial"/>
          <w:spacing w:val="-6"/>
          <w:sz w:val="20"/>
          <w:szCs w:val="20"/>
        </w:rPr>
        <w:t xml:space="preserve"> </w:t>
      </w:r>
      <w:r w:rsidRPr="005827DA">
        <w:rPr>
          <w:rFonts w:ascii="Arial" w:hAnsi="Arial" w:cs="Arial"/>
          <w:sz w:val="20"/>
          <w:szCs w:val="20"/>
        </w:rPr>
        <w:t>to demonstrate:</w:t>
      </w:r>
    </w:p>
    <w:p w14:paraId="60ECDC85" w14:textId="77777777" w:rsidR="00F20810" w:rsidRPr="005827DA" w:rsidRDefault="00F20810" w:rsidP="005827DA">
      <w:pPr>
        <w:pStyle w:val="ListParagraph"/>
        <w:numPr>
          <w:ilvl w:val="1"/>
          <w:numId w:val="257"/>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pre-landing</w:t>
      </w:r>
      <w:r w:rsidRPr="005827DA">
        <w:rPr>
          <w:rFonts w:ascii="Arial" w:hAnsi="Arial" w:cs="Arial"/>
          <w:spacing w:val="-2"/>
          <w:sz w:val="20"/>
          <w:szCs w:val="20"/>
        </w:rPr>
        <w:t xml:space="preserve"> </w:t>
      </w:r>
      <w:r w:rsidRPr="005827DA">
        <w:rPr>
          <w:rFonts w:ascii="Arial" w:hAnsi="Arial" w:cs="Arial"/>
          <w:sz w:val="20"/>
          <w:szCs w:val="20"/>
        </w:rPr>
        <w:t>checks;</w:t>
      </w:r>
    </w:p>
    <w:p w14:paraId="79D4B7FA" w14:textId="77777777" w:rsidR="00F20810" w:rsidRPr="005827DA" w:rsidRDefault="00F20810" w:rsidP="005827DA">
      <w:pPr>
        <w:pStyle w:val="ListParagraph"/>
        <w:numPr>
          <w:ilvl w:val="1"/>
          <w:numId w:val="257"/>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4"/>
          <w:sz w:val="20"/>
          <w:szCs w:val="20"/>
        </w:rPr>
        <w:t xml:space="preserve"> </w:t>
      </w:r>
      <w:r w:rsidRPr="005827DA">
        <w:rPr>
          <w:rFonts w:ascii="Arial" w:hAnsi="Arial" w:cs="Arial"/>
          <w:sz w:val="20"/>
          <w:szCs w:val="20"/>
        </w:rPr>
        <w:t>passenger</w:t>
      </w:r>
      <w:r w:rsidRPr="005827DA">
        <w:rPr>
          <w:rFonts w:ascii="Arial" w:hAnsi="Arial" w:cs="Arial"/>
          <w:spacing w:val="-3"/>
          <w:sz w:val="20"/>
          <w:szCs w:val="20"/>
        </w:rPr>
        <w:t xml:space="preserve"> </w:t>
      </w:r>
      <w:r w:rsidRPr="005827DA">
        <w:rPr>
          <w:rFonts w:ascii="Arial" w:hAnsi="Arial" w:cs="Arial"/>
          <w:sz w:val="20"/>
          <w:szCs w:val="20"/>
        </w:rPr>
        <w:t>briefing;</w:t>
      </w:r>
    </w:p>
    <w:p w14:paraId="70A2D912" w14:textId="77777777" w:rsidR="00F20810" w:rsidRPr="005827DA" w:rsidRDefault="00F20810" w:rsidP="005827DA">
      <w:pPr>
        <w:pStyle w:val="ListParagraph"/>
        <w:numPr>
          <w:ilvl w:val="1"/>
          <w:numId w:val="257"/>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selection</w:t>
      </w:r>
      <w:r w:rsidRPr="005827DA">
        <w:rPr>
          <w:rFonts w:ascii="Arial" w:hAnsi="Arial" w:cs="Arial"/>
          <w:spacing w:val="-4"/>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field;</w:t>
      </w:r>
    </w:p>
    <w:p w14:paraId="326E6D11" w14:textId="77777777" w:rsidR="00F20810" w:rsidRPr="005827DA" w:rsidRDefault="00F20810" w:rsidP="005827DA">
      <w:pPr>
        <w:pStyle w:val="ListParagraph"/>
        <w:numPr>
          <w:ilvl w:val="1"/>
          <w:numId w:val="257"/>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 effect</w:t>
      </w:r>
      <w:r w:rsidRPr="005827DA">
        <w:rPr>
          <w:rFonts w:ascii="Arial" w:hAnsi="Arial" w:cs="Arial"/>
          <w:spacing w:val="-1"/>
          <w:sz w:val="20"/>
          <w:szCs w:val="20"/>
        </w:rPr>
        <w:t xml:space="preserve"> </w:t>
      </w:r>
      <w:r w:rsidRPr="005827DA">
        <w:rPr>
          <w:rFonts w:ascii="Arial" w:hAnsi="Arial" w:cs="Arial"/>
          <w:sz w:val="20"/>
          <w:szCs w:val="20"/>
        </w:rPr>
        <w:t>of</w:t>
      </w:r>
      <w:r w:rsidRPr="005827DA">
        <w:rPr>
          <w:rFonts w:ascii="Arial" w:hAnsi="Arial" w:cs="Arial"/>
          <w:spacing w:val="-2"/>
          <w:sz w:val="20"/>
          <w:szCs w:val="20"/>
        </w:rPr>
        <w:t xml:space="preserve"> </w:t>
      </w:r>
      <w:r w:rsidRPr="005827DA">
        <w:rPr>
          <w:rFonts w:ascii="Arial" w:hAnsi="Arial" w:cs="Arial"/>
          <w:sz w:val="20"/>
          <w:szCs w:val="20"/>
        </w:rPr>
        <w:t>turbulence;</w:t>
      </w:r>
    </w:p>
    <w:p w14:paraId="515B03CF" w14:textId="77777777" w:rsidR="00F20810" w:rsidRPr="005827DA" w:rsidRDefault="00F20810" w:rsidP="005827DA">
      <w:pPr>
        <w:pStyle w:val="ListParagraph"/>
        <w:numPr>
          <w:ilvl w:val="1"/>
          <w:numId w:val="257"/>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use</w:t>
      </w:r>
      <w:r w:rsidRPr="005827DA">
        <w:rPr>
          <w:rFonts w:ascii="Arial" w:hAnsi="Arial" w:cs="Arial"/>
          <w:spacing w:val="-3"/>
          <w:sz w:val="20"/>
          <w:szCs w:val="20"/>
        </w:rPr>
        <w:t xml:space="preserve"> </w:t>
      </w:r>
      <w:r w:rsidRPr="005827DA">
        <w:rPr>
          <w:rFonts w:ascii="Arial" w:hAnsi="Arial" w:cs="Arial"/>
          <w:sz w:val="20"/>
          <w:szCs w:val="20"/>
        </w:rPr>
        <w:t>of burner</w:t>
      </w:r>
      <w:r w:rsidRPr="005827DA">
        <w:rPr>
          <w:rFonts w:ascii="Arial" w:hAnsi="Arial" w:cs="Arial"/>
          <w:spacing w:val="-3"/>
          <w:sz w:val="20"/>
          <w:szCs w:val="20"/>
        </w:rPr>
        <w:t xml:space="preserve"> </w:t>
      </w:r>
      <w:r w:rsidRPr="005827DA">
        <w:rPr>
          <w:rFonts w:ascii="Arial" w:hAnsi="Arial" w:cs="Arial"/>
          <w:sz w:val="20"/>
          <w:szCs w:val="20"/>
        </w:rPr>
        <w:t>and</w:t>
      </w:r>
      <w:r w:rsidRPr="005827DA">
        <w:rPr>
          <w:rFonts w:ascii="Arial" w:hAnsi="Arial" w:cs="Arial"/>
          <w:spacing w:val="-1"/>
          <w:sz w:val="20"/>
          <w:szCs w:val="20"/>
        </w:rPr>
        <w:t xml:space="preserve"> </w:t>
      </w:r>
      <w:r w:rsidRPr="005827DA">
        <w:rPr>
          <w:rFonts w:ascii="Arial" w:hAnsi="Arial" w:cs="Arial"/>
          <w:sz w:val="20"/>
          <w:szCs w:val="20"/>
        </w:rPr>
        <w:t>pilot</w:t>
      </w:r>
      <w:r w:rsidRPr="005827DA">
        <w:rPr>
          <w:rFonts w:ascii="Arial" w:hAnsi="Arial" w:cs="Arial"/>
          <w:spacing w:val="-5"/>
          <w:sz w:val="20"/>
          <w:szCs w:val="20"/>
        </w:rPr>
        <w:t xml:space="preserve"> </w:t>
      </w:r>
      <w:r w:rsidRPr="005827DA">
        <w:rPr>
          <w:rFonts w:ascii="Arial" w:hAnsi="Arial" w:cs="Arial"/>
          <w:sz w:val="20"/>
          <w:szCs w:val="20"/>
        </w:rPr>
        <w:t>lights</w:t>
      </w:r>
      <w:r w:rsidRPr="005827DA">
        <w:rPr>
          <w:rFonts w:ascii="Arial" w:hAnsi="Arial" w:cs="Arial"/>
          <w:spacing w:val="1"/>
          <w:sz w:val="20"/>
          <w:szCs w:val="20"/>
        </w:rPr>
        <w:t xml:space="preserve"> </w:t>
      </w:r>
      <w:r w:rsidRPr="005827DA">
        <w:rPr>
          <w:rFonts w:ascii="Arial" w:hAnsi="Arial" w:cs="Arial"/>
          <w:sz w:val="20"/>
          <w:szCs w:val="20"/>
        </w:rPr>
        <w:t>(hot-air</w:t>
      </w:r>
      <w:r w:rsidRPr="005827DA">
        <w:rPr>
          <w:rFonts w:ascii="Arial" w:hAnsi="Arial" w:cs="Arial"/>
          <w:spacing w:val="-5"/>
          <w:sz w:val="20"/>
          <w:szCs w:val="20"/>
        </w:rPr>
        <w:t xml:space="preserve"> </w:t>
      </w:r>
      <w:r w:rsidRPr="005827DA">
        <w:rPr>
          <w:rFonts w:ascii="Arial" w:hAnsi="Arial" w:cs="Arial"/>
          <w:sz w:val="20"/>
          <w:szCs w:val="20"/>
        </w:rPr>
        <w:t>balloons);</w:t>
      </w:r>
    </w:p>
    <w:p w14:paraId="2BAE05DA" w14:textId="77777777" w:rsidR="00F20810" w:rsidRPr="005827DA" w:rsidRDefault="00F20810" w:rsidP="005827DA">
      <w:pPr>
        <w:pStyle w:val="ListParagraph"/>
        <w:numPr>
          <w:ilvl w:val="1"/>
          <w:numId w:val="257"/>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use</w:t>
      </w:r>
      <w:r w:rsidRPr="005827DA">
        <w:rPr>
          <w:rFonts w:ascii="Arial" w:hAnsi="Arial" w:cs="Arial"/>
          <w:spacing w:val="-3"/>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ballast,</w:t>
      </w:r>
      <w:r w:rsidRPr="005827DA">
        <w:rPr>
          <w:rFonts w:ascii="Arial" w:hAnsi="Arial" w:cs="Arial"/>
          <w:spacing w:val="-1"/>
          <w:sz w:val="20"/>
          <w:szCs w:val="20"/>
        </w:rPr>
        <w:t xml:space="preserve"> </w:t>
      </w:r>
      <w:r w:rsidRPr="005827DA">
        <w:rPr>
          <w:rFonts w:ascii="Arial" w:hAnsi="Arial" w:cs="Arial"/>
          <w:sz w:val="20"/>
          <w:szCs w:val="20"/>
        </w:rPr>
        <w:t>parachute, valve</w:t>
      </w:r>
      <w:r w:rsidRPr="005827DA">
        <w:rPr>
          <w:rFonts w:ascii="Arial" w:hAnsi="Arial" w:cs="Arial"/>
          <w:spacing w:val="-3"/>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rip</w:t>
      </w:r>
      <w:r w:rsidRPr="005827DA">
        <w:rPr>
          <w:rFonts w:ascii="Arial" w:hAnsi="Arial" w:cs="Arial"/>
          <w:spacing w:val="-2"/>
          <w:sz w:val="20"/>
          <w:szCs w:val="20"/>
        </w:rPr>
        <w:t xml:space="preserve"> </w:t>
      </w:r>
      <w:r w:rsidRPr="005827DA">
        <w:rPr>
          <w:rFonts w:ascii="Arial" w:hAnsi="Arial" w:cs="Arial"/>
          <w:sz w:val="20"/>
          <w:szCs w:val="20"/>
        </w:rPr>
        <w:t>panel (gas</w:t>
      </w:r>
      <w:r w:rsidRPr="005827DA">
        <w:rPr>
          <w:rFonts w:ascii="Arial" w:hAnsi="Arial" w:cs="Arial"/>
          <w:spacing w:val="-3"/>
          <w:sz w:val="20"/>
          <w:szCs w:val="20"/>
        </w:rPr>
        <w:t xml:space="preserve"> </w:t>
      </w:r>
      <w:r w:rsidRPr="005827DA">
        <w:rPr>
          <w:rFonts w:ascii="Arial" w:hAnsi="Arial" w:cs="Arial"/>
          <w:sz w:val="20"/>
          <w:szCs w:val="20"/>
        </w:rPr>
        <w:t>balloons);</w:t>
      </w:r>
    </w:p>
    <w:p w14:paraId="4E233404" w14:textId="77777777" w:rsidR="00F20810" w:rsidRPr="005827DA" w:rsidRDefault="00F20810" w:rsidP="005827DA">
      <w:pPr>
        <w:pStyle w:val="ListParagraph"/>
        <w:numPr>
          <w:ilvl w:val="1"/>
          <w:numId w:val="257"/>
        </w:numPr>
        <w:tabs>
          <w:tab w:val="left" w:pos="90"/>
          <w:tab w:val="left" w:pos="2975"/>
          <w:tab w:val="left" w:pos="2976"/>
        </w:tabs>
        <w:spacing w:before="118"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2"/>
          <w:sz w:val="20"/>
          <w:szCs w:val="20"/>
        </w:rPr>
        <w:t xml:space="preserve"> </w:t>
      </w:r>
      <w:r w:rsidRPr="005827DA">
        <w:rPr>
          <w:rFonts w:ascii="Arial" w:hAnsi="Arial" w:cs="Arial"/>
          <w:sz w:val="20"/>
          <w:szCs w:val="20"/>
        </w:rPr>
        <w:t>use</w:t>
      </w:r>
      <w:r w:rsidRPr="005827DA">
        <w:rPr>
          <w:rFonts w:ascii="Arial" w:hAnsi="Arial" w:cs="Arial"/>
          <w:spacing w:val="7"/>
          <w:sz w:val="20"/>
          <w:szCs w:val="20"/>
        </w:rPr>
        <w:t xml:space="preserve"> </w:t>
      </w:r>
      <w:r w:rsidRPr="005827DA">
        <w:rPr>
          <w:rFonts w:ascii="Arial" w:hAnsi="Arial" w:cs="Arial"/>
          <w:sz w:val="20"/>
          <w:szCs w:val="20"/>
        </w:rPr>
        <w:t>of</w:t>
      </w:r>
      <w:r w:rsidRPr="005827DA">
        <w:rPr>
          <w:rFonts w:ascii="Arial" w:hAnsi="Arial" w:cs="Arial"/>
          <w:spacing w:val="11"/>
          <w:sz w:val="20"/>
          <w:szCs w:val="20"/>
        </w:rPr>
        <w:t xml:space="preserve"> </w:t>
      </w:r>
      <w:r w:rsidRPr="005827DA">
        <w:rPr>
          <w:rFonts w:ascii="Arial" w:hAnsi="Arial" w:cs="Arial"/>
          <w:sz w:val="20"/>
          <w:szCs w:val="20"/>
        </w:rPr>
        <w:t>parachute</w:t>
      </w:r>
      <w:r w:rsidRPr="005827DA">
        <w:rPr>
          <w:rFonts w:ascii="Arial" w:hAnsi="Arial" w:cs="Arial"/>
          <w:spacing w:val="12"/>
          <w:sz w:val="20"/>
          <w:szCs w:val="20"/>
        </w:rPr>
        <w:t xml:space="preserve"> </w:t>
      </w:r>
      <w:r w:rsidRPr="005827DA">
        <w:rPr>
          <w:rFonts w:ascii="Arial" w:hAnsi="Arial" w:cs="Arial"/>
          <w:sz w:val="20"/>
          <w:szCs w:val="20"/>
        </w:rPr>
        <w:t>rapid</w:t>
      </w:r>
      <w:r w:rsidRPr="005827DA">
        <w:rPr>
          <w:rFonts w:ascii="Arial" w:hAnsi="Arial" w:cs="Arial"/>
          <w:spacing w:val="11"/>
          <w:sz w:val="20"/>
          <w:szCs w:val="20"/>
        </w:rPr>
        <w:t xml:space="preserve"> </w:t>
      </w:r>
      <w:r w:rsidRPr="005827DA">
        <w:rPr>
          <w:rFonts w:ascii="Arial" w:hAnsi="Arial" w:cs="Arial"/>
          <w:sz w:val="20"/>
          <w:szCs w:val="20"/>
        </w:rPr>
        <w:t>deflation</w:t>
      </w:r>
      <w:r w:rsidRPr="005827DA">
        <w:rPr>
          <w:rFonts w:ascii="Arial" w:hAnsi="Arial" w:cs="Arial"/>
          <w:spacing w:val="11"/>
          <w:sz w:val="20"/>
          <w:szCs w:val="20"/>
        </w:rPr>
        <w:t xml:space="preserve"> </w:t>
      </w:r>
      <w:r w:rsidRPr="005827DA">
        <w:rPr>
          <w:rFonts w:ascii="Arial" w:hAnsi="Arial" w:cs="Arial"/>
          <w:sz w:val="20"/>
          <w:szCs w:val="20"/>
        </w:rPr>
        <w:t>systems</w:t>
      </w:r>
      <w:r w:rsidRPr="005827DA">
        <w:rPr>
          <w:rFonts w:ascii="Arial" w:hAnsi="Arial" w:cs="Arial"/>
          <w:spacing w:val="9"/>
          <w:sz w:val="20"/>
          <w:szCs w:val="20"/>
        </w:rPr>
        <w:t xml:space="preserve"> </w:t>
      </w:r>
      <w:r w:rsidRPr="005827DA">
        <w:rPr>
          <w:rFonts w:ascii="Arial" w:hAnsi="Arial" w:cs="Arial"/>
          <w:sz w:val="20"/>
          <w:szCs w:val="20"/>
        </w:rPr>
        <w:t>(if</w:t>
      </w:r>
      <w:r w:rsidRPr="005827DA">
        <w:rPr>
          <w:rFonts w:ascii="Arial" w:hAnsi="Arial" w:cs="Arial"/>
          <w:spacing w:val="11"/>
          <w:sz w:val="20"/>
          <w:szCs w:val="20"/>
        </w:rPr>
        <w:t xml:space="preserve"> </w:t>
      </w:r>
      <w:r w:rsidRPr="005827DA">
        <w:rPr>
          <w:rFonts w:ascii="Arial" w:hAnsi="Arial" w:cs="Arial"/>
          <w:sz w:val="20"/>
          <w:szCs w:val="20"/>
        </w:rPr>
        <w:t>applicable)</w:t>
      </w:r>
      <w:r w:rsidRPr="005827DA">
        <w:rPr>
          <w:rFonts w:ascii="Arial" w:hAnsi="Arial" w:cs="Arial"/>
          <w:spacing w:val="12"/>
          <w:sz w:val="20"/>
          <w:szCs w:val="20"/>
        </w:rPr>
        <w:t xml:space="preserve"> </w:t>
      </w:r>
      <w:r w:rsidRPr="005827DA">
        <w:rPr>
          <w:rFonts w:ascii="Arial" w:hAnsi="Arial" w:cs="Arial"/>
          <w:sz w:val="20"/>
          <w:szCs w:val="20"/>
        </w:rPr>
        <w:t>and</w:t>
      </w:r>
      <w:r w:rsidRPr="005827DA">
        <w:rPr>
          <w:rFonts w:ascii="Arial" w:hAnsi="Arial" w:cs="Arial"/>
          <w:spacing w:val="-47"/>
          <w:sz w:val="20"/>
          <w:szCs w:val="20"/>
        </w:rPr>
        <w:t xml:space="preserve"> </w:t>
      </w:r>
      <w:r w:rsidRPr="005827DA">
        <w:rPr>
          <w:rFonts w:ascii="Arial" w:hAnsi="Arial" w:cs="Arial"/>
          <w:sz w:val="20"/>
          <w:szCs w:val="20"/>
        </w:rPr>
        <w:t>turning</w:t>
      </w:r>
      <w:r w:rsidRPr="005827DA">
        <w:rPr>
          <w:rFonts w:ascii="Arial" w:hAnsi="Arial" w:cs="Arial"/>
          <w:spacing w:val="-2"/>
          <w:sz w:val="20"/>
          <w:szCs w:val="20"/>
        </w:rPr>
        <w:t xml:space="preserve"> </w:t>
      </w:r>
      <w:r w:rsidRPr="005827DA">
        <w:rPr>
          <w:rFonts w:ascii="Arial" w:hAnsi="Arial" w:cs="Arial"/>
          <w:sz w:val="20"/>
          <w:szCs w:val="20"/>
        </w:rPr>
        <w:t>vents</w:t>
      </w:r>
      <w:r w:rsidRPr="005827DA">
        <w:rPr>
          <w:rFonts w:ascii="Arial" w:hAnsi="Arial" w:cs="Arial"/>
          <w:spacing w:val="-2"/>
          <w:sz w:val="20"/>
          <w:szCs w:val="20"/>
        </w:rPr>
        <w:t xml:space="preserve"> </w:t>
      </w:r>
      <w:r w:rsidRPr="005827DA">
        <w:rPr>
          <w:rFonts w:ascii="Arial" w:hAnsi="Arial" w:cs="Arial"/>
          <w:sz w:val="20"/>
          <w:szCs w:val="20"/>
        </w:rPr>
        <w:t>(if applicable)</w:t>
      </w:r>
      <w:r w:rsidRPr="005827DA">
        <w:rPr>
          <w:rFonts w:ascii="Arial" w:hAnsi="Arial" w:cs="Arial"/>
          <w:spacing w:val="-2"/>
          <w:sz w:val="20"/>
          <w:szCs w:val="20"/>
        </w:rPr>
        <w:t xml:space="preserve"> </w:t>
      </w:r>
      <w:r w:rsidRPr="005827DA">
        <w:rPr>
          <w:rFonts w:ascii="Arial" w:hAnsi="Arial" w:cs="Arial"/>
          <w:sz w:val="20"/>
          <w:szCs w:val="20"/>
        </w:rPr>
        <w:t>(hot-air</w:t>
      </w:r>
      <w:r w:rsidRPr="005827DA">
        <w:rPr>
          <w:rFonts w:ascii="Arial" w:hAnsi="Arial" w:cs="Arial"/>
          <w:spacing w:val="-4"/>
          <w:sz w:val="20"/>
          <w:szCs w:val="20"/>
        </w:rPr>
        <w:t xml:space="preserve"> </w:t>
      </w:r>
      <w:r w:rsidRPr="005827DA">
        <w:rPr>
          <w:rFonts w:ascii="Arial" w:hAnsi="Arial" w:cs="Arial"/>
          <w:sz w:val="20"/>
          <w:szCs w:val="20"/>
        </w:rPr>
        <w:t>balloons);</w:t>
      </w:r>
    </w:p>
    <w:p w14:paraId="378F63A8" w14:textId="77777777" w:rsidR="00F20810" w:rsidRPr="005827DA" w:rsidRDefault="00F20810" w:rsidP="005827DA">
      <w:pPr>
        <w:pStyle w:val="ListParagraph"/>
        <w:numPr>
          <w:ilvl w:val="1"/>
          <w:numId w:val="257"/>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look-out</w:t>
      </w:r>
      <w:r w:rsidRPr="005827DA">
        <w:rPr>
          <w:rFonts w:ascii="Arial" w:hAnsi="Arial" w:cs="Arial"/>
          <w:spacing w:val="-1"/>
          <w:sz w:val="20"/>
          <w:szCs w:val="20"/>
        </w:rPr>
        <w:t xml:space="preserve"> </w:t>
      </w:r>
      <w:r w:rsidRPr="005827DA">
        <w:rPr>
          <w:rFonts w:ascii="Arial" w:hAnsi="Arial" w:cs="Arial"/>
          <w:sz w:val="20"/>
          <w:szCs w:val="20"/>
        </w:rPr>
        <w:t>procedures</w:t>
      </w:r>
      <w:r w:rsidRPr="005827DA">
        <w:rPr>
          <w:rFonts w:ascii="Arial" w:hAnsi="Arial" w:cs="Arial"/>
          <w:spacing w:val="-1"/>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how</w:t>
      </w:r>
      <w:r w:rsidRPr="005827DA">
        <w:rPr>
          <w:rFonts w:ascii="Arial" w:hAnsi="Arial" w:cs="Arial"/>
          <w:spacing w:val="-4"/>
          <w:sz w:val="20"/>
          <w:szCs w:val="20"/>
        </w:rPr>
        <w:t xml:space="preserve"> </w:t>
      </w:r>
      <w:r w:rsidRPr="005827DA">
        <w:rPr>
          <w:rFonts w:ascii="Arial" w:hAnsi="Arial" w:cs="Arial"/>
          <w:sz w:val="20"/>
          <w:szCs w:val="20"/>
        </w:rPr>
        <w:t>to</w:t>
      </w:r>
      <w:r w:rsidRPr="005827DA">
        <w:rPr>
          <w:rFonts w:ascii="Arial" w:hAnsi="Arial" w:cs="Arial"/>
          <w:spacing w:val="-2"/>
          <w:sz w:val="20"/>
          <w:szCs w:val="20"/>
        </w:rPr>
        <w:t xml:space="preserve"> </w:t>
      </w:r>
      <w:r w:rsidRPr="005827DA">
        <w:rPr>
          <w:rFonts w:ascii="Arial" w:hAnsi="Arial" w:cs="Arial"/>
          <w:sz w:val="20"/>
          <w:szCs w:val="20"/>
        </w:rPr>
        <w:t>avoid</w:t>
      </w:r>
      <w:r w:rsidRPr="005827DA">
        <w:rPr>
          <w:rFonts w:ascii="Arial" w:hAnsi="Arial" w:cs="Arial"/>
          <w:spacing w:val="-2"/>
          <w:sz w:val="20"/>
          <w:szCs w:val="20"/>
        </w:rPr>
        <w:t xml:space="preserve"> </w:t>
      </w:r>
      <w:r w:rsidRPr="005827DA">
        <w:rPr>
          <w:rFonts w:ascii="Arial" w:hAnsi="Arial" w:cs="Arial"/>
          <w:sz w:val="20"/>
          <w:szCs w:val="20"/>
        </w:rPr>
        <w:t>potential</w:t>
      </w:r>
      <w:r w:rsidRPr="005827DA">
        <w:rPr>
          <w:rFonts w:ascii="Arial" w:hAnsi="Arial" w:cs="Arial"/>
          <w:spacing w:val="-4"/>
          <w:sz w:val="20"/>
          <w:szCs w:val="20"/>
        </w:rPr>
        <w:t xml:space="preserve"> </w:t>
      </w:r>
      <w:r w:rsidRPr="005827DA">
        <w:rPr>
          <w:rFonts w:ascii="Arial" w:hAnsi="Arial" w:cs="Arial"/>
          <w:sz w:val="20"/>
          <w:szCs w:val="20"/>
        </w:rPr>
        <w:t>distraction;</w:t>
      </w:r>
    </w:p>
    <w:p w14:paraId="12EEF495" w14:textId="77777777" w:rsidR="00F20810" w:rsidRPr="005827DA" w:rsidRDefault="00F20810" w:rsidP="005827DA">
      <w:pPr>
        <w:pStyle w:val="ListParagraph"/>
        <w:numPr>
          <w:ilvl w:val="1"/>
          <w:numId w:val="257"/>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landing,</w:t>
      </w:r>
      <w:r w:rsidRPr="005827DA">
        <w:rPr>
          <w:rFonts w:ascii="Arial" w:hAnsi="Arial" w:cs="Arial"/>
          <w:spacing w:val="-2"/>
          <w:sz w:val="20"/>
          <w:szCs w:val="20"/>
        </w:rPr>
        <w:t xml:space="preserve"> </w:t>
      </w:r>
      <w:r w:rsidRPr="005827DA">
        <w:rPr>
          <w:rFonts w:ascii="Arial" w:hAnsi="Arial" w:cs="Arial"/>
          <w:sz w:val="20"/>
          <w:szCs w:val="20"/>
        </w:rPr>
        <w:t>dragging</w:t>
      </w:r>
      <w:r w:rsidRPr="005827DA">
        <w:rPr>
          <w:rFonts w:ascii="Arial" w:hAnsi="Arial" w:cs="Arial"/>
          <w:spacing w:val="-2"/>
          <w:sz w:val="20"/>
          <w:szCs w:val="20"/>
        </w:rPr>
        <w:t xml:space="preserve"> </w:t>
      </w:r>
      <w:r w:rsidRPr="005827DA">
        <w:rPr>
          <w:rFonts w:ascii="Arial" w:hAnsi="Arial" w:cs="Arial"/>
          <w:sz w:val="20"/>
          <w:szCs w:val="20"/>
        </w:rPr>
        <w:t>and</w:t>
      </w:r>
      <w:r w:rsidRPr="005827DA">
        <w:rPr>
          <w:rFonts w:ascii="Arial" w:hAnsi="Arial" w:cs="Arial"/>
          <w:spacing w:val="-3"/>
          <w:sz w:val="20"/>
          <w:szCs w:val="20"/>
        </w:rPr>
        <w:t xml:space="preserve"> </w:t>
      </w:r>
      <w:r w:rsidRPr="005827DA">
        <w:rPr>
          <w:rFonts w:ascii="Arial" w:hAnsi="Arial" w:cs="Arial"/>
          <w:sz w:val="20"/>
          <w:szCs w:val="20"/>
        </w:rPr>
        <w:t>deflation</w:t>
      </w:r>
      <w:r w:rsidRPr="005827DA">
        <w:rPr>
          <w:rFonts w:ascii="Arial" w:hAnsi="Arial" w:cs="Arial"/>
          <w:spacing w:val="-3"/>
          <w:sz w:val="20"/>
          <w:szCs w:val="20"/>
        </w:rPr>
        <w:t xml:space="preserve"> </w:t>
      </w:r>
      <w:r w:rsidRPr="005827DA">
        <w:rPr>
          <w:rFonts w:ascii="Arial" w:hAnsi="Arial" w:cs="Arial"/>
          <w:sz w:val="20"/>
          <w:szCs w:val="20"/>
        </w:rPr>
        <w:t>procedures;</w:t>
      </w:r>
    </w:p>
    <w:p w14:paraId="7429B5B8" w14:textId="77777777" w:rsidR="00F20810" w:rsidRPr="005827DA" w:rsidRDefault="00F20810" w:rsidP="005827DA">
      <w:pPr>
        <w:pStyle w:val="ListParagraph"/>
        <w:numPr>
          <w:ilvl w:val="1"/>
          <w:numId w:val="257"/>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use</w:t>
      </w:r>
      <w:r w:rsidRPr="005827DA">
        <w:rPr>
          <w:rFonts w:ascii="Arial" w:hAnsi="Arial" w:cs="Arial"/>
          <w:spacing w:val="-2"/>
          <w:sz w:val="20"/>
          <w:szCs w:val="20"/>
        </w:rPr>
        <w:t xml:space="preserve"> </w:t>
      </w:r>
      <w:r w:rsidRPr="005827DA">
        <w:rPr>
          <w:rFonts w:ascii="Arial" w:hAnsi="Arial" w:cs="Arial"/>
          <w:sz w:val="20"/>
          <w:szCs w:val="20"/>
        </w:rPr>
        <w:t>of drop</w:t>
      </w:r>
      <w:r w:rsidRPr="005827DA">
        <w:rPr>
          <w:rFonts w:ascii="Arial" w:hAnsi="Arial" w:cs="Arial"/>
          <w:spacing w:val="-1"/>
          <w:sz w:val="20"/>
          <w:szCs w:val="20"/>
        </w:rPr>
        <w:t xml:space="preserve"> </w:t>
      </w:r>
      <w:r w:rsidRPr="005827DA">
        <w:rPr>
          <w:rFonts w:ascii="Arial" w:hAnsi="Arial" w:cs="Arial"/>
          <w:sz w:val="20"/>
          <w:szCs w:val="20"/>
        </w:rPr>
        <w:t>line</w:t>
      </w:r>
      <w:r w:rsidRPr="005827DA">
        <w:rPr>
          <w:rFonts w:ascii="Arial" w:hAnsi="Arial" w:cs="Arial"/>
          <w:spacing w:val="-2"/>
          <w:sz w:val="20"/>
          <w:szCs w:val="20"/>
        </w:rPr>
        <w:t xml:space="preserve"> </w:t>
      </w:r>
      <w:r w:rsidRPr="005827DA">
        <w:rPr>
          <w:rFonts w:ascii="Arial" w:hAnsi="Arial" w:cs="Arial"/>
          <w:sz w:val="20"/>
          <w:szCs w:val="20"/>
        </w:rPr>
        <w:t>(when</w:t>
      </w:r>
      <w:r w:rsidRPr="005827DA">
        <w:rPr>
          <w:rFonts w:ascii="Arial" w:hAnsi="Arial" w:cs="Arial"/>
          <w:spacing w:val="-2"/>
          <w:sz w:val="20"/>
          <w:szCs w:val="20"/>
        </w:rPr>
        <w:t xml:space="preserve"> </w:t>
      </w:r>
      <w:r w:rsidRPr="005827DA">
        <w:rPr>
          <w:rFonts w:ascii="Arial" w:hAnsi="Arial" w:cs="Arial"/>
          <w:sz w:val="20"/>
          <w:szCs w:val="20"/>
        </w:rPr>
        <w:t>appropriate)</w:t>
      </w:r>
    </w:p>
    <w:p w14:paraId="7F2D3985" w14:textId="77777777" w:rsidR="00F20810" w:rsidRPr="005827DA" w:rsidRDefault="00F20810" w:rsidP="005827DA">
      <w:pPr>
        <w:pStyle w:val="ListParagraph"/>
        <w:numPr>
          <w:ilvl w:val="1"/>
          <w:numId w:val="257"/>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1"/>
          <w:sz w:val="20"/>
          <w:szCs w:val="20"/>
        </w:rPr>
        <w:t xml:space="preserve"> </w:t>
      </w:r>
      <w:r w:rsidRPr="005827DA">
        <w:rPr>
          <w:rFonts w:ascii="Arial" w:hAnsi="Arial" w:cs="Arial"/>
          <w:sz w:val="20"/>
          <w:szCs w:val="20"/>
        </w:rPr>
        <w:t>to</w:t>
      </w:r>
      <w:r w:rsidRPr="005827DA">
        <w:rPr>
          <w:rFonts w:ascii="Arial" w:hAnsi="Arial" w:cs="Arial"/>
          <w:spacing w:val="5"/>
          <w:sz w:val="20"/>
          <w:szCs w:val="20"/>
        </w:rPr>
        <w:t xml:space="preserve"> </w:t>
      </w:r>
      <w:r w:rsidRPr="005827DA">
        <w:rPr>
          <w:rFonts w:ascii="Arial" w:hAnsi="Arial" w:cs="Arial"/>
          <w:sz w:val="20"/>
          <w:szCs w:val="20"/>
        </w:rPr>
        <w:t>advise</w:t>
      </w:r>
      <w:r w:rsidRPr="005827DA">
        <w:rPr>
          <w:rFonts w:ascii="Arial" w:hAnsi="Arial" w:cs="Arial"/>
          <w:spacing w:val="2"/>
          <w:sz w:val="20"/>
          <w:szCs w:val="20"/>
        </w:rPr>
        <w:t xml:space="preserve"> </w:t>
      </w: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student</w:t>
      </w:r>
      <w:r w:rsidRPr="005827DA">
        <w:rPr>
          <w:rFonts w:ascii="Arial" w:hAnsi="Arial" w:cs="Arial"/>
          <w:spacing w:val="2"/>
          <w:sz w:val="20"/>
          <w:szCs w:val="20"/>
        </w:rPr>
        <w:t xml:space="preserve"> </w:t>
      </w:r>
      <w:r w:rsidRPr="005827DA">
        <w:rPr>
          <w:rFonts w:ascii="Arial" w:hAnsi="Arial" w:cs="Arial"/>
          <w:sz w:val="20"/>
          <w:szCs w:val="20"/>
        </w:rPr>
        <w:t>pilot</w:t>
      </w:r>
      <w:r w:rsidRPr="005827DA">
        <w:rPr>
          <w:rFonts w:ascii="Arial" w:hAnsi="Arial" w:cs="Arial"/>
          <w:spacing w:val="2"/>
          <w:sz w:val="20"/>
          <w:szCs w:val="20"/>
        </w:rPr>
        <w:t xml:space="preserve"> </w:t>
      </w:r>
      <w:r w:rsidRPr="005827DA">
        <w:rPr>
          <w:rFonts w:ascii="Arial" w:hAnsi="Arial" w:cs="Arial"/>
          <w:sz w:val="20"/>
          <w:szCs w:val="20"/>
        </w:rPr>
        <w:t>to</w:t>
      </w:r>
      <w:r w:rsidRPr="005827DA">
        <w:rPr>
          <w:rFonts w:ascii="Arial" w:hAnsi="Arial" w:cs="Arial"/>
          <w:spacing w:val="3"/>
          <w:sz w:val="20"/>
          <w:szCs w:val="20"/>
        </w:rPr>
        <w:t xml:space="preserve"> </w:t>
      </w:r>
      <w:r w:rsidRPr="005827DA">
        <w:rPr>
          <w:rFonts w:ascii="Arial" w:hAnsi="Arial" w:cs="Arial"/>
          <w:sz w:val="20"/>
          <w:szCs w:val="20"/>
        </w:rPr>
        <w:t>perform</w:t>
      </w:r>
      <w:r w:rsidRPr="005827DA">
        <w:rPr>
          <w:rFonts w:ascii="Arial" w:hAnsi="Arial" w:cs="Arial"/>
          <w:spacing w:val="2"/>
          <w:sz w:val="20"/>
          <w:szCs w:val="20"/>
        </w:rPr>
        <w:t xml:space="preserve"> </w:t>
      </w:r>
      <w:r w:rsidRPr="005827DA">
        <w:rPr>
          <w:rFonts w:ascii="Arial" w:hAnsi="Arial" w:cs="Arial"/>
          <w:sz w:val="20"/>
          <w:szCs w:val="20"/>
        </w:rPr>
        <w:t>a</w:t>
      </w:r>
      <w:r w:rsidRPr="005827DA">
        <w:rPr>
          <w:rFonts w:ascii="Arial" w:hAnsi="Arial" w:cs="Arial"/>
          <w:spacing w:val="4"/>
          <w:sz w:val="20"/>
          <w:szCs w:val="20"/>
        </w:rPr>
        <w:t xml:space="preserve"> </w:t>
      </w:r>
      <w:r w:rsidRPr="005827DA">
        <w:rPr>
          <w:rFonts w:ascii="Arial" w:hAnsi="Arial" w:cs="Arial"/>
          <w:sz w:val="20"/>
          <w:szCs w:val="20"/>
        </w:rPr>
        <w:t>safe</w:t>
      </w:r>
      <w:r w:rsidRPr="005827DA">
        <w:rPr>
          <w:rFonts w:ascii="Arial" w:hAnsi="Arial" w:cs="Arial"/>
          <w:spacing w:val="3"/>
          <w:sz w:val="20"/>
          <w:szCs w:val="20"/>
        </w:rPr>
        <w:t xml:space="preserve"> </w:t>
      </w:r>
      <w:r w:rsidRPr="005827DA">
        <w:rPr>
          <w:rFonts w:ascii="Arial" w:hAnsi="Arial" w:cs="Arial"/>
          <w:sz w:val="20"/>
          <w:szCs w:val="20"/>
        </w:rPr>
        <w:t>landing</w:t>
      </w:r>
      <w:r w:rsidRPr="005827DA">
        <w:rPr>
          <w:rFonts w:ascii="Arial" w:hAnsi="Arial" w:cs="Arial"/>
          <w:spacing w:val="3"/>
          <w:sz w:val="20"/>
          <w:szCs w:val="20"/>
        </w:rPr>
        <w:t xml:space="preserve"> </w:t>
      </w:r>
      <w:r w:rsidRPr="005827DA">
        <w:rPr>
          <w:rFonts w:ascii="Arial" w:hAnsi="Arial" w:cs="Arial"/>
          <w:sz w:val="20"/>
          <w:szCs w:val="20"/>
        </w:rPr>
        <w:t>in</w:t>
      </w:r>
      <w:r w:rsidRPr="005827DA">
        <w:rPr>
          <w:rFonts w:ascii="Arial" w:hAnsi="Arial" w:cs="Arial"/>
          <w:spacing w:val="3"/>
          <w:sz w:val="20"/>
          <w:szCs w:val="20"/>
        </w:rPr>
        <w:t xml:space="preserve"> </w:t>
      </w:r>
      <w:r w:rsidRPr="005827DA">
        <w:rPr>
          <w:rFonts w:ascii="Arial" w:hAnsi="Arial" w:cs="Arial"/>
          <w:sz w:val="20"/>
          <w:szCs w:val="20"/>
        </w:rPr>
        <w:t>different</w:t>
      </w:r>
      <w:r w:rsidRPr="005827DA">
        <w:rPr>
          <w:rFonts w:ascii="Arial" w:hAnsi="Arial" w:cs="Arial"/>
          <w:spacing w:val="-47"/>
          <w:sz w:val="20"/>
          <w:szCs w:val="20"/>
        </w:rPr>
        <w:t xml:space="preserve"> </w:t>
      </w:r>
      <w:r w:rsidRPr="005827DA">
        <w:rPr>
          <w:rFonts w:ascii="Arial" w:hAnsi="Arial" w:cs="Arial"/>
          <w:sz w:val="20"/>
          <w:szCs w:val="20"/>
        </w:rPr>
        <w:t>wind</w:t>
      </w:r>
      <w:r w:rsidRPr="005827DA">
        <w:rPr>
          <w:rFonts w:ascii="Arial" w:hAnsi="Arial" w:cs="Arial"/>
          <w:spacing w:val="-2"/>
          <w:sz w:val="20"/>
          <w:szCs w:val="20"/>
        </w:rPr>
        <w:t xml:space="preserve"> </w:t>
      </w:r>
      <w:r w:rsidRPr="005827DA">
        <w:rPr>
          <w:rFonts w:ascii="Arial" w:hAnsi="Arial" w:cs="Arial"/>
          <w:sz w:val="20"/>
          <w:szCs w:val="20"/>
        </w:rPr>
        <w:t>conditions;</w:t>
      </w:r>
      <w:r w:rsidRPr="005827DA">
        <w:rPr>
          <w:rFonts w:ascii="Arial" w:hAnsi="Arial" w:cs="Arial"/>
          <w:spacing w:val="-2"/>
          <w:sz w:val="20"/>
          <w:szCs w:val="20"/>
        </w:rPr>
        <w:t xml:space="preserve"> </w:t>
      </w:r>
      <w:r w:rsidRPr="005827DA">
        <w:rPr>
          <w:rFonts w:ascii="Arial" w:hAnsi="Arial" w:cs="Arial"/>
          <w:sz w:val="20"/>
          <w:szCs w:val="20"/>
        </w:rPr>
        <w:t>and</w:t>
      </w:r>
    </w:p>
    <w:p w14:paraId="05048FE4" w14:textId="77777777" w:rsidR="00F20810" w:rsidRPr="005827DA" w:rsidRDefault="00F20810" w:rsidP="005827DA">
      <w:pPr>
        <w:pStyle w:val="ListParagraph"/>
        <w:numPr>
          <w:ilvl w:val="1"/>
          <w:numId w:val="257"/>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2"/>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analyse</w:t>
      </w:r>
      <w:r w:rsidRPr="005827DA">
        <w:rPr>
          <w:rFonts w:ascii="Arial" w:hAnsi="Arial" w:cs="Arial"/>
          <w:spacing w:val="-1"/>
          <w:sz w:val="20"/>
          <w:szCs w:val="20"/>
        </w:rPr>
        <w:t xml:space="preserve"> </w:t>
      </w:r>
      <w:r w:rsidRPr="005827DA">
        <w:rPr>
          <w:rFonts w:ascii="Arial" w:hAnsi="Arial" w:cs="Arial"/>
          <w:sz w:val="20"/>
          <w:szCs w:val="20"/>
        </w:rPr>
        <w:t>and</w:t>
      </w:r>
      <w:r w:rsidRPr="005827DA">
        <w:rPr>
          <w:rFonts w:ascii="Arial" w:hAnsi="Arial" w:cs="Arial"/>
          <w:spacing w:val="-1"/>
          <w:sz w:val="20"/>
          <w:szCs w:val="20"/>
        </w:rPr>
        <w:t xml:space="preserve"> </w:t>
      </w:r>
      <w:r w:rsidRPr="005827DA">
        <w:rPr>
          <w:rFonts w:ascii="Arial" w:hAnsi="Arial" w:cs="Arial"/>
          <w:sz w:val="20"/>
          <w:szCs w:val="20"/>
        </w:rPr>
        <w:t>correct</w:t>
      </w:r>
      <w:r w:rsidRPr="005827DA">
        <w:rPr>
          <w:rFonts w:ascii="Arial" w:hAnsi="Arial" w:cs="Arial"/>
          <w:spacing w:val="-1"/>
          <w:sz w:val="20"/>
          <w:szCs w:val="20"/>
        </w:rPr>
        <w:t xml:space="preserve"> </w:t>
      </w:r>
      <w:r w:rsidRPr="005827DA">
        <w:rPr>
          <w:rFonts w:ascii="Arial" w:hAnsi="Arial" w:cs="Arial"/>
          <w:sz w:val="20"/>
          <w:szCs w:val="20"/>
        </w:rPr>
        <w:t>faults</w:t>
      </w:r>
      <w:r w:rsidRPr="005827DA">
        <w:rPr>
          <w:rFonts w:ascii="Arial" w:hAnsi="Arial" w:cs="Arial"/>
          <w:spacing w:val="-2"/>
          <w:sz w:val="20"/>
          <w:szCs w:val="20"/>
        </w:rPr>
        <w:t xml:space="preserve"> </w:t>
      </w:r>
      <w:r w:rsidRPr="005827DA">
        <w:rPr>
          <w:rFonts w:ascii="Arial" w:hAnsi="Arial" w:cs="Arial"/>
          <w:sz w:val="20"/>
          <w:szCs w:val="20"/>
        </w:rPr>
        <w:t>or errors</w:t>
      </w:r>
      <w:r w:rsidRPr="005827DA">
        <w:rPr>
          <w:rFonts w:ascii="Arial" w:hAnsi="Arial" w:cs="Arial"/>
          <w:spacing w:val="-2"/>
          <w:sz w:val="20"/>
          <w:szCs w:val="20"/>
        </w:rPr>
        <w:t xml:space="preserve"> </w:t>
      </w:r>
      <w:r w:rsidRPr="005827DA">
        <w:rPr>
          <w:rFonts w:ascii="Arial" w:hAnsi="Arial" w:cs="Arial"/>
          <w:sz w:val="20"/>
          <w:szCs w:val="20"/>
        </w:rPr>
        <w:t>of</w:t>
      </w:r>
      <w:r w:rsidRPr="005827DA">
        <w:rPr>
          <w:rFonts w:ascii="Arial" w:hAnsi="Arial" w:cs="Arial"/>
          <w:spacing w:val="-2"/>
          <w:sz w:val="20"/>
          <w:szCs w:val="20"/>
        </w:rPr>
        <w:t xml:space="preserve"> </w:t>
      </w: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student pilot.</w:t>
      </w:r>
    </w:p>
    <w:p w14:paraId="705FA1D0" w14:textId="4F2AB603" w:rsidR="00F20810" w:rsidRPr="00A16E10" w:rsidRDefault="00F20810" w:rsidP="00A16E10">
      <w:pPr>
        <w:pStyle w:val="ListParagraph"/>
        <w:numPr>
          <w:ilvl w:val="0"/>
          <w:numId w:val="257"/>
        </w:numPr>
        <w:tabs>
          <w:tab w:val="left" w:pos="90"/>
          <w:tab w:val="left" w:pos="2408"/>
          <w:tab w:val="left" w:pos="2409"/>
        </w:tabs>
        <w:spacing w:line="276" w:lineRule="auto"/>
        <w:ind w:right="68" w:hanging="436"/>
        <w:jc w:val="both"/>
        <w:rPr>
          <w:rFonts w:ascii="Arial" w:hAnsi="Arial" w:cs="Arial"/>
          <w:sz w:val="20"/>
          <w:szCs w:val="20"/>
        </w:rPr>
      </w:pPr>
      <w:r w:rsidRPr="005827DA">
        <w:rPr>
          <w:rFonts w:ascii="Arial" w:hAnsi="Arial" w:cs="Arial"/>
          <w:sz w:val="20"/>
          <w:szCs w:val="20"/>
        </w:rPr>
        <w:t>Debriefing</w:t>
      </w:r>
    </w:p>
    <w:p w14:paraId="1FCFA9F7" w14:textId="77777777" w:rsidR="00F20810" w:rsidRPr="005827DA" w:rsidRDefault="00F20810" w:rsidP="005827DA">
      <w:pPr>
        <w:tabs>
          <w:tab w:val="left" w:pos="90"/>
        </w:tabs>
        <w:spacing w:line="276" w:lineRule="auto"/>
        <w:ind w:right="68" w:hanging="436"/>
        <w:jc w:val="both"/>
        <w:rPr>
          <w:rFonts w:ascii="Arial" w:eastAsia="Times New Roman" w:hAnsi="Arial" w:cs="Times New Roman"/>
          <w:b/>
          <w:bCs/>
          <w:sz w:val="20"/>
          <w:szCs w:val="20"/>
        </w:rPr>
      </w:pPr>
      <w:r w:rsidRPr="005827DA">
        <w:rPr>
          <w:rFonts w:ascii="Arial" w:eastAsia="Times New Roman" w:hAnsi="Arial" w:cs="Times New Roman"/>
          <w:b/>
          <w:bCs/>
          <w:sz w:val="20"/>
          <w:szCs w:val="20"/>
        </w:rPr>
        <w:t>Exercise 17: First solo flight</w:t>
      </w:r>
    </w:p>
    <w:p w14:paraId="7CB836E1" w14:textId="77777777" w:rsidR="00F20810" w:rsidRPr="005827DA" w:rsidRDefault="00F20810" w:rsidP="005827DA">
      <w:pPr>
        <w:pStyle w:val="ListParagraph"/>
        <w:numPr>
          <w:ilvl w:val="0"/>
          <w:numId w:val="258"/>
        </w:numPr>
        <w:tabs>
          <w:tab w:val="left" w:pos="90"/>
          <w:tab w:val="left" w:pos="2409"/>
        </w:tabs>
        <w:spacing w:line="276" w:lineRule="auto"/>
        <w:ind w:right="68" w:hanging="436"/>
        <w:jc w:val="both"/>
        <w:rPr>
          <w:rFonts w:ascii="Arial" w:hAnsi="Arial" w:cs="Arial"/>
          <w:sz w:val="20"/>
          <w:szCs w:val="20"/>
        </w:rPr>
      </w:pPr>
      <w:r w:rsidRPr="005827DA">
        <w:rPr>
          <w:rFonts w:ascii="Arial" w:hAnsi="Arial" w:cs="Arial"/>
          <w:sz w:val="20"/>
          <w:szCs w:val="20"/>
        </w:rPr>
        <w:t>Objective</w:t>
      </w:r>
    </w:p>
    <w:p w14:paraId="421E40E3" w14:textId="77777777" w:rsidR="00F20810" w:rsidRPr="005827DA" w:rsidRDefault="00F20810" w:rsidP="005827DA">
      <w:pPr>
        <w:pStyle w:val="BodyText"/>
        <w:tabs>
          <w:tab w:val="left" w:pos="90"/>
        </w:tabs>
        <w:spacing w:before="121" w:line="276" w:lineRule="auto"/>
        <w:ind w:left="2408" w:right="68" w:hanging="436"/>
        <w:jc w:val="both"/>
        <w:rPr>
          <w:rFonts w:ascii="Arial" w:hAnsi="Arial" w:cs="Arial"/>
          <w:sz w:val="20"/>
          <w:szCs w:val="20"/>
        </w:rPr>
      </w:pPr>
      <w:r w:rsidRPr="005827DA">
        <w:rPr>
          <w:rFonts w:ascii="Arial" w:hAnsi="Arial" w:cs="Arial"/>
          <w:spacing w:val="-1"/>
          <w:sz w:val="20"/>
          <w:szCs w:val="20"/>
        </w:rPr>
        <w:t>To</w:t>
      </w:r>
      <w:r w:rsidRPr="005827DA">
        <w:rPr>
          <w:rFonts w:ascii="Arial" w:hAnsi="Arial" w:cs="Arial"/>
          <w:spacing w:val="-8"/>
          <w:sz w:val="20"/>
          <w:szCs w:val="20"/>
        </w:rPr>
        <w:t xml:space="preserve"> </w:t>
      </w:r>
      <w:r w:rsidRPr="005827DA">
        <w:rPr>
          <w:rFonts w:ascii="Arial" w:hAnsi="Arial" w:cs="Arial"/>
          <w:spacing w:val="-1"/>
          <w:sz w:val="20"/>
          <w:szCs w:val="20"/>
        </w:rPr>
        <w:t>advise</w:t>
      </w:r>
      <w:r w:rsidRPr="005827DA">
        <w:rPr>
          <w:rFonts w:ascii="Arial" w:hAnsi="Arial" w:cs="Arial"/>
          <w:spacing w:val="-12"/>
          <w:sz w:val="20"/>
          <w:szCs w:val="20"/>
        </w:rPr>
        <w:t xml:space="preserve"> </w:t>
      </w:r>
      <w:r w:rsidRPr="005827DA">
        <w:rPr>
          <w:rFonts w:ascii="Arial" w:hAnsi="Arial" w:cs="Arial"/>
          <w:spacing w:val="-1"/>
          <w:sz w:val="20"/>
          <w:szCs w:val="20"/>
        </w:rPr>
        <w:t>the</w:t>
      </w:r>
      <w:r w:rsidRPr="005827DA">
        <w:rPr>
          <w:rFonts w:ascii="Arial" w:hAnsi="Arial" w:cs="Arial"/>
          <w:spacing w:val="-9"/>
          <w:sz w:val="20"/>
          <w:szCs w:val="20"/>
        </w:rPr>
        <w:t xml:space="preserve"> </w:t>
      </w:r>
      <w:r w:rsidRPr="005827DA">
        <w:rPr>
          <w:rFonts w:ascii="Arial" w:hAnsi="Arial" w:cs="Arial"/>
          <w:spacing w:val="-1"/>
          <w:sz w:val="20"/>
          <w:szCs w:val="20"/>
        </w:rPr>
        <w:t>student</w:t>
      </w:r>
      <w:r w:rsidRPr="005827DA">
        <w:rPr>
          <w:rFonts w:ascii="Arial" w:hAnsi="Arial" w:cs="Arial"/>
          <w:spacing w:val="-11"/>
          <w:sz w:val="20"/>
          <w:szCs w:val="20"/>
        </w:rPr>
        <w:t xml:space="preserve"> </w:t>
      </w:r>
      <w:r w:rsidRPr="005827DA">
        <w:rPr>
          <w:rFonts w:ascii="Arial" w:hAnsi="Arial" w:cs="Arial"/>
          <w:sz w:val="20"/>
          <w:szCs w:val="20"/>
        </w:rPr>
        <w:t>instructor</w:t>
      </w:r>
      <w:r w:rsidRPr="005827DA">
        <w:rPr>
          <w:rFonts w:ascii="Arial" w:hAnsi="Arial" w:cs="Arial"/>
          <w:spacing w:val="-12"/>
          <w:sz w:val="20"/>
          <w:szCs w:val="20"/>
        </w:rPr>
        <w:t xml:space="preserve"> </w:t>
      </w:r>
      <w:r w:rsidRPr="005827DA">
        <w:rPr>
          <w:rFonts w:ascii="Arial" w:hAnsi="Arial" w:cs="Arial"/>
          <w:sz w:val="20"/>
          <w:szCs w:val="20"/>
        </w:rPr>
        <w:t>on</w:t>
      </w:r>
      <w:r w:rsidRPr="005827DA">
        <w:rPr>
          <w:rFonts w:ascii="Arial" w:hAnsi="Arial" w:cs="Arial"/>
          <w:spacing w:val="-9"/>
          <w:sz w:val="20"/>
          <w:szCs w:val="20"/>
        </w:rPr>
        <w:t xml:space="preserve"> </w:t>
      </w:r>
      <w:r w:rsidRPr="005827DA">
        <w:rPr>
          <w:rFonts w:ascii="Arial" w:hAnsi="Arial" w:cs="Arial"/>
          <w:sz w:val="20"/>
          <w:szCs w:val="20"/>
        </w:rPr>
        <w:t>how</w:t>
      </w:r>
      <w:r w:rsidRPr="005827DA">
        <w:rPr>
          <w:rFonts w:ascii="Arial" w:hAnsi="Arial" w:cs="Arial"/>
          <w:spacing w:val="-9"/>
          <w:sz w:val="20"/>
          <w:szCs w:val="20"/>
        </w:rPr>
        <w:t xml:space="preserve"> </w:t>
      </w:r>
      <w:r w:rsidRPr="005827DA">
        <w:rPr>
          <w:rFonts w:ascii="Arial" w:hAnsi="Arial" w:cs="Arial"/>
          <w:sz w:val="20"/>
          <w:szCs w:val="20"/>
        </w:rPr>
        <w:t>to</w:t>
      </w:r>
      <w:r w:rsidRPr="005827DA">
        <w:rPr>
          <w:rFonts w:ascii="Arial" w:hAnsi="Arial" w:cs="Arial"/>
          <w:spacing w:val="-8"/>
          <w:sz w:val="20"/>
          <w:szCs w:val="20"/>
        </w:rPr>
        <w:t xml:space="preserve"> </w:t>
      </w:r>
      <w:r w:rsidRPr="005827DA">
        <w:rPr>
          <w:rFonts w:ascii="Arial" w:hAnsi="Arial" w:cs="Arial"/>
          <w:sz w:val="20"/>
          <w:szCs w:val="20"/>
        </w:rPr>
        <w:t>prepare</w:t>
      </w:r>
      <w:r w:rsidRPr="005827DA">
        <w:rPr>
          <w:rFonts w:ascii="Arial" w:hAnsi="Arial" w:cs="Arial"/>
          <w:spacing w:val="-9"/>
          <w:sz w:val="20"/>
          <w:szCs w:val="20"/>
        </w:rPr>
        <w:t xml:space="preserve"> </w:t>
      </w:r>
      <w:r w:rsidRPr="005827DA">
        <w:rPr>
          <w:rFonts w:ascii="Arial" w:hAnsi="Arial" w:cs="Arial"/>
          <w:sz w:val="20"/>
          <w:szCs w:val="20"/>
        </w:rPr>
        <w:t>students</w:t>
      </w:r>
      <w:r w:rsidRPr="005827DA">
        <w:rPr>
          <w:rFonts w:ascii="Arial" w:hAnsi="Arial" w:cs="Arial"/>
          <w:spacing w:val="-9"/>
          <w:sz w:val="20"/>
          <w:szCs w:val="20"/>
        </w:rPr>
        <w:t xml:space="preserve"> </w:t>
      </w:r>
      <w:r w:rsidRPr="005827DA">
        <w:rPr>
          <w:rFonts w:ascii="Arial" w:hAnsi="Arial" w:cs="Arial"/>
          <w:sz w:val="20"/>
          <w:szCs w:val="20"/>
        </w:rPr>
        <w:t>for</w:t>
      </w:r>
      <w:r w:rsidRPr="005827DA">
        <w:rPr>
          <w:rFonts w:ascii="Arial" w:hAnsi="Arial" w:cs="Arial"/>
          <w:spacing w:val="-11"/>
          <w:sz w:val="20"/>
          <w:szCs w:val="20"/>
        </w:rPr>
        <w:t xml:space="preserve"> </w:t>
      </w:r>
      <w:r w:rsidRPr="005827DA">
        <w:rPr>
          <w:rFonts w:ascii="Arial" w:hAnsi="Arial" w:cs="Arial"/>
          <w:sz w:val="20"/>
          <w:szCs w:val="20"/>
        </w:rPr>
        <w:t>the</w:t>
      </w:r>
      <w:r w:rsidRPr="005827DA">
        <w:rPr>
          <w:rFonts w:ascii="Arial" w:hAnsi="Arial" w:cs="Arial"/>
          <w:spacing w:val="-9"/>
          <w:sz w:val="20"/>
          <w:szCs w:val="20"/>
        </w:rPr>
        <w:t xml:space="preserve"> </w:t>
      </w:r>
      <w:r w:rsidRPr="005827DA">
        <w:rPr>
          <w:rFonts w:ascii="Arial" w:hAnsi="Arial" w:cs="Arial"/>
          <w:sz w:val="20"/>
          <w:szCs w:val="20"/>
        </w:rPr>
        <w:t>first</w:t>
      </w:r>
      <w:r w:rsidRPr="005827DA">
        <w:rPr>
          <w:rFonts w:ascii="Arial" w:hAnsi="Arial" w:cs="Arial"/>
          <w:spacing w:val="-11"/>
          <w:sz w:val="20"/>
          <w:szCs w:val="20"/>
        </w:rPr>
        <w:t xml:space="preserve"> </w:t>
      </w:r>
      <w:r w:rsidRPr="005827DA">
        <w:rPr>
          <w:rFonts w:ascii="Arial" w:hAnsi="Arial" w:cs="Arial"/>
          <w:sz w:val="20"/>
          <w:szCs w:val="20"/>
        </w:rPr>
        <w:t>solo</w:t>
      </w:r>
      <w:r w:rsidRPr="005827DA">
        <w:rPr>
          <w:rFonts w:ascii="Arial" w:hAnsi="Arial" w:cs="Arial"/>
          <w:spacing w:val="-47"/>
          <w:sz w:val="20"/>
          <w:szCs w:val="20"/>
        </w:rPr>
        <w:t xml:space="preserve"> </w:t>
      </w:r>
      <w:r w:rsidRPr="005827DA">
        <w:rPr>
          <w:rFonts w:ascii="Arial" w:hAnsi="Arial" w:cs="Arial"/>
          <w:sz w:val="20"/>
          <w:szCs w:val="20"/>
        </w:rPr>
        <w:t>flight. Furthermore, the student instructor should learn how to properly</w:t>
      </w:r>
      <w:r w:rsidRPr="005827DA">
        <w:rPr>
          <w:rFonts w:ascii="Arial" w:hAnsi="Arial" w:cs="Arial"/>
          <w:spacing w:val="1"/>
          <w:sz w:val="20"/>
          <w:szCs w:val="20"/>
        </w:rPr>
        <w:t xml:space="preserve"> </w:t>
      </w:r>
      <w:r w:rsidRPr="005827DA">
        <w:rPr>
          <w:rFonts w:ascii="Arial" w:hAnsi="Arial" w:cs="Arial"/>
          <w:sz w:val="20"/>
          <w:szCs w:val="20"/>
        </w:rPr>
        <w:t>assess the readiness and fitness of a student to fly solo on the day of the</w:t>
      </w:r>
      <w:r w:rsidRPr="005827DA">
        <w:rPr>
          <w:rFonts w:ascii="Arial" w:hAnsi="Arial" w:cs="Arial"/>
          <w:spacing w:val="1"/>
          <w:sz w:val="20"/>
          <w:szCs w:val="20"/>
        </w:rPr>
        <w:t xml:space="preserve"> </w:t>
      </w:r>
      <w:r w:rsidRPr="005827DA">
        <w:rPr>
          <w:rFonts w:ascii="Arial" w:hAnsi="Arial" w:cs="Arial"/>
          <w:sz w:val="20"/>
          <w:szCs w:val="20"/>
        </w:rPr>
        <w:t>intended</w:t>
      </w:r>
      <w:r w:rsidRPr="005827DA">
        <w:rPr>
          <w:rFonts w:ascii="Arial" w:hAnsi="Arial" w:cs="Arial"/>
          <w:spacing w:val="-1"/>
          <w:sz w:val="20"/>
          <w:szCs w:val="20"/>
        </w:rPr>
        <w:t xml:space="preserve"> </w:t>
      </w:r>
      <w:r w:rsidRPr="005827DA">
        <w:rPr>
          <w:rFonts w:ascii="Arial" w:hAnsi="Arial" w:cs="Arial"/>
          <w:sz w:val="20"/>
          <w:szCs w:val="20"/>
        </w:rPr>
        <w:t>solo</w:t>
      </w:r>
      <w:r w:rsidRPr="005827DA">
        <w:rPr>
          <w:rFonts w:ascii="Arial" w:hAnsi="Arial" w:cs="Arial"/>
          <w:spacing w:val="1"/>
          <w:sz w:val="20"/>
          <w:szCs w:val="20"/>
        </w:rPr>
        <w:t xml:space="preserve"> </w:t>
      </w:r>
      <w:r w:rsidRPr="005827DA">
        <w:rPr>
          <w:rFonts w:ascii="Arial" w:hAnsi="Arial" w:cs="Arial"/>
          <w:sz w:val="20"/>
          <w:szCs w:val="20"/>
        </w:rPr>
        <w:t>flight.</w:t>
      </w:r>
    </w:p>
    <w:p w14:paraId="1DAC14B7" w14:textId="77777777" w:rsidR="00F20810" w:rsidRPr="005827DA" w:rsidRDefault="00F20810" w:rsidP="005827DA">
      <w:pPr>
        <w:pStyle w:val="ListParagraph"/>
        <w:numPr>
          <w:ilvl w:val="0"/>
          <w:numId w:val="258"/>
        </w:numPr>
        <w:tabs>
          <w:tab w:val="left" w:pos="90"/>
          <w:tab w:val="left" w:pos="2409"/>
        </w:tabs>
        <w:spacing w:before="121" w:line="276" w:lineRule="auto"/>
        <w:ind w:right="68" w:hanging="436"/>
        <w:jc w:val="both"/>
        <w:rPr>
          <w:rFonts w:ascii="Arial" w:hAnsi="Arial" w:cs="Arial"/>
          <w:sz w:val="20"/>
          <w:szCs w:val="20"/>
        </w:rPr>
      </w:pPr>
      <w:r w:rsidRPr="005827DA">
        <w:rPr>
          <w:rFonts w:ascii="Arial" w:hAnsi="Arial" w:cs="Arial"/>
          <w:sz w:val="20"/>
          <w:szCs w:val="20"/>
        </w:rPr>
        <w:t>Briefing</w:t>
      </w:r>
    </w:p>
    <w:p w14:paraId="6DA3788F" w14:textId="77777777" w:rsidR="00F20810" w:rsidRPr="005827DA" w:rsidRDefault="00F20810" w:rsidP="005827DA">
      <w:pPr>
        <w:pStyle w:val="BodyText"/>
        <w:tabs>
          <w:tab w:val="left" w:pos="90"/>
        </w:tabs>
        <w:spacing w:line="276" w:lineRule="auto"/>
        <w:ind w:left="2408"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student</w:t>
      </w:r>
      <w:r w:rsidRPr="005827DA">
        <w:rPr>
          <w:rFonts w:ascii="Arial" w:hAnsi="Arial" w:cs="Arial"/>
          <w:spacing w:val="-2"/>
          <w:sz w:val="20"/>
          <w:szCs w:val="20"/>
        </w:rPr>
        <w:t xml:space="preserve"> </w:t>
      </w:r>
      <w:r w:rsidRPr="005827DA">
        <w:rPr>
          <w:rFonts w:ascii="Arial" w:hAnsi="Arial" w:cs="Arial"/>
          <w:sz w:val="20"/>
          <w:szCs w:val="20"/>
        </w:rPr>
        <w:t>instructor has</w:t>
      </w:r>
      <w:r w:rsidRPr="005827DA">
        <w:rPr>
          <w:rFonts w:ascii="Arial" w:hAnsi="Arial" w:cs="Arial"/>
          <w:spacing w:val="-6"/>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explain:</w:t>
      </w:r>
    </w:p>
    <w:p w14:paraId="3354FC1D" w14:textId="77777777" w:rsidR="00F20810" w:rsidRPr="005827DA" w:rsidRDefault="00F20810" w:rsidP="005827DA">
      <w:pPr>
        <w:pStyle w:val="ListParagraph"/>
        <w:numPr>
          <w:ilvl w:val="1"/>
          <w:numId w:val="258"/>
        </w:numPr>
        <w:tabs>
          <w:tab w:val="left" w:pos="90"/>
          <w:tab w:val="left" w:pos="2975"/>
          <w:tab w:val="left" w:pos="2976"/>
        </w:tabs>
        <w:spacing w:before="118"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limitations</w:t>
      </w:r>
      <w:r w:rsidRPr="005827DA">
        <w:rPr>
          <w:rFonts w:ascii="Arial" w:hAnsi="Arial" w:cs="Arial"/>
          <w:spacing w:val="-3"/>
          <w:sz w:val="20"/>
          <w:szCs w:val="20"/>
        </w:rPr>
        <w:t xml:space="preserve"> </w:t>
      </w:r>
      <w:r w:rsidRPr="005827DA">
        <w:rPr>
          <w:rFonts w:ascii="Arial" w:hAnsi="Arial" w:cs="Arial"/>
          <w:sz w:val="20"/>
          <w:szCs w:val="20"/>
        </w:rPr>
        <w:t>of the</w:t>
      </w:r>
      <w:r w:rsidRPr="005827DA">
        <w:rPr>
          <w:rFonts w:ascii="Arial" w:hAnsi="Arial" w:cs="Arial"/>
          <w:spacing w:val="-3"/>
          <w:sz w:val="20"/>
          <w:szCs w:val="20"/>
        </w:rPr>
        <w:t xml:space="preserve"> </w:t>
      </w:r>
      <w:r w:rsidRPr="005827DA">
        <w:rPr>
          <w:rFonts w:ascii="Arial" w:hAnsi="Arial" w:cs="Arial"/>
          <w:sz w:val="20"/>
          <w:szCs w:val="20"/>
        </w:rPr>
        <w:t>flight;</w:t>
      </w:r>
    </w:p>
    <w:p w14:paraId="5E58A93E" w14:textId="77777777" w:rsidR="00F20810" w:rsidRPr="005827DA" w:rsidRDefault="00F20810" w:rsidP="005827DA">
      <w:pPr>
        <w:pStyle w:val="ListParagraph"/>
        <w:numPr>
          <w:ilvl w:val="1"/>
          <w:numId w:val="258"/>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use</w:t>
      </w:r>
      <w:r w:rsidRPr="005827DA">
        <w:rPr>
          <w:rFonts w:ascii="Arial" w:hAnsi="Arial" w:cs="Arial"/>
          <w:spacing w:val="-2"/>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required</w:t>
      </w:r>
      <w:r w:rsidRPr="005827DA">
        <w:rPr>
          <w:rFonts w:ascii="Arial" w:hAnsi="Arial" w:cs="Arial"/>
          <w:spacing w:val="-1"/>
          <w:sz w:val="20"/>
          <w:szCs w:val="20"/>
        </w:rPr>
        <w:t xml:space="preserve"> </w:t>
      </w:r>
      <w:r w:rsidRPr="005827DA">
        <w:rPr>
          <w:rFonts w:ascii="Arial" w:hAnsi="Arial" w:cs="Arial"/>
          <w:sz w:val="20"/>
          <w:szCs w:val="20"/>
        </w:rPr>
        <w:t>equipment; and</w:t>
      </w:r>
    </w:p>
    <w:p w14:paraId="0A619F05" w14:textId="77777777" w:rsidR="00F20810" w:rsidRPr="005827DA" w:rsidRDefault="00F20810" w:rsidP="005827DA">
      <w:pPr>
        <w:pStyle w:val="ListParagraph"/>
        <w:numPr>
          <w:ilvl w:val="1"/>
          <w:numId w:val="258"/>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flight</w:t>
      </w:r>
      <w:r w:rsidRPr="005827DA">
        <w:rPr>
          <w:rFonts w:ascii="Arial" w:hAnsi="Arial" w:cs="Arial"/>
          <w:spacing w:val="-1"/>
          <w:sz w:val="20"/>
          <w:szCs w:val="20"/>
        </w:rPr>
        <w:t xml:space="preserve"> </w:t>
      </w:r>
      <w:r w:rsidRPr="005827DA">
        <w:rPr>
          <w:rFonts w:ascii="Arial" w:hAnsi="Arial" w:cs="Arial"/>
          <w:sz w:val="20"/>
          <w:szCs w:val="20"/>
        </w:rPr>
        <w:t>planning</w:t>
      </w:r>
      <w:r w:rsidRPr="005827DA">
        <w:rPr>
          <w:rFonts w:ascii="Arial" w:hAnsi="Arial" w:cs="Arial"/>
          <w:spacing w:val="-1"/>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references</w:t>
      </w:r>
      <w:r w:rsidRPr="005827DA">
        <w:rPr>
          <w:rFonts w:ascii="Arial" w:hAnsi="Arial" w:cs="Arial"/>
          <w:spacing w:val="-3"/>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manoeuvres.</w:t>
      </w:r>
    </w:p>
    <w:p w14:paraId="5E1E4115" w14:textId="77777777" w:rsidR="00F20810" w:rsidRPr="005827DA" w:rsidRDefault="00F20810" w:rsidP="005827DA">
      <w:pPr>
        <w:pStyle w:val="ListParagraph"/>
        <w:numPr>
          <w:ilvl w:val="0"/>
          <w:numId w:val="258"/>
        </w:numPr>
        <w:tabs>
          <w:tab w:val="left" w:pos="90"/>
          <w:tab w:val="left" w:pos="2408"/>
          <w:tab w:val="left" w:pos="2409"/>
        </w:tabs>
        <w:spacing w:before="121" w:line="276" w:lineRule="auto"/>
        <w:ind w:right="68" w:hanging="436"/>
        <w:jc w:val="both"/>
        <w:rPr>
          <w:rFonts w:ascii="Arial" w:hAnsi="Arial" w:cs="Arial"/>
          <w:sz w:val="20"/>
          <w:szCs w:val="20"/>
        </w:rPr>
      </w:pPr>
      <w:r w:rsidRPr="005827DA">
        <w:rPr>
          <w:rFonts w:ascii="Arial" w:hAnsi="Arial" w:cs="Arial"/>
          <w:sz w:val="20"/>
          <w:szCs w:val="20"/>
        </w:rPr>
        <w:t>Air</w:t>
      </w:r>
      <w:r w:rsidRPr="005827DA">
        <w:rPr>
          <w:rFonts w:ascii="Arial" w:hAnsi="Arial" w:cs="Arial"/>
          <w:spacing w:val="-1"/>
          <w:sz w:val="20"/>
          <w:szCs w:val="20"/>
        </w:rPr>
        <w:t xml:space="preserve"> </w:t>
      </w:r>
      <w:r w:rsidRPr="005827DA">
        <w:rPr>
          <w:rFonts w:ascii="Arial" w:hAnsi="Arial" w:cs="Arial"/>
          <w:sz w:val="20"/>
          <w:szCs w:val="20"/>
        </w:rPr>
        <w:t>exercise</w:t>
      </w:r>
    </w:p>
    <w:p w14:paraId="49B39A4B" w14:textId="77777777" w:rsidR="00F20810" w:rsidRPr="005827DA" w:rsidRDefault="00F20810" w:rsidP="005827DA">
      <w:pPr>
        <w:pStyle w:val="BodyText"/>
        <w:tabs>
          <w:tab w:val="left" w:pos="90"/>
        </w:tabs>
        <w:spacing w:line="276" w:lineRule="auto"/>
        <w:ind w:left="2408"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student</w:t>
      </w:r>
      <w:r w:rsidRPr="005827DA">
        <w:rPr>
          <w:rFonts w:ascii="Arial" w:hAnsi="Arial" w:cs="Arial"/>
          <w:spacing w:val="-2"/>
          <w:sz w:val="20"/>
          <w:szCs w:val="20"/>
        </w:rPr>
        <w:t xml:space="preserve"> </w:t>
      </w:r>
      <w:r w:rsidRPr="005827DA">
        <w:rPr>
          <w:rFonts w:ascii="Arial" w:hAnsi="Arial" w:cs="Arial"/>
          <w:sz w:val="20"/>
          <w:szCs w:val="20"/>
        </w:rPr>
        <w:t>instructor has</w:t>
      </w:r>
      <w:r w:rsidRPr="005827DA">
        <w:rPr>
          <w:rFonts w:ascii="Arial" w:hAnsi="Arial" w:cs="Arial"/>
          <w:spacing w:val="-5"/>
          <w:sz w:val="20"/>
          <w:szCs w:val="20"/>
        </w:rPr>
        <w:t xml:space="preserve"> </w:t>
      </w:r>
      <w:r w:rsidRPr="005827DA">
        <w:rPr>
          <w:rFonts w:ascii="Arial" w:hAnsi="Arial" w:cs="Arial"/>
          <w:sz w:val="20"/>
          <w:szCs w:val="20"/>
        </w:rPr>
        <w:t>to:</w:t>
      </w:r>
    </w:p>
    <w:p w14:paraId="0A331D05" w14:textId="77777777" w:rsidR="00F20810" w:rsidRPr="005827DA" w:rsidRDefault="00F20810" w:rsidP="005827DA">
      <w:pPr>
        <w:pStyle w:val="ListParagraph"/>
        <w:numPr>
          <w:ilvl w:val="1"/>
          <w:numId w:val="258"/>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evaluate whether the student should be authorised to fly solo, taking</w:t>
      </w:r>
      <w:r w:rsidRPr="005827DA">
        <w:rPr>
          <w:rFonts w:ascii="Arial" w:hAnsi="Arial" w:cs="Arial"/>
          <w:spacing w:val="-47"/>
          <w:sz w:val="20"/>
          <w:szCs w:val="20"/>
        </w:rPr>
        <w:t xml:space="preserve"> </w:t>
      </w:r>
      <w:r w:rsidRPr="005827DA">
        <w:rPr>
          <w:rFonts w:ascii="Arial" w:hAnsi="Arial" w:cs="Arial"/>
          <w:sz w:val="20"/>
          <w:szCs w:val="20"/>
        </w:rPr>
        <w:t>into consideration</w:t>
      </w:r>
      <w:r w:rsidRPr="005827DA">
        <w:rPr>
          <w:rFonts w:ascii="Arial" w:hAnsi="Arial" w:cs="Arial"/>
          <w:spacing w:val="-1"/>
          <w:sz w:val="20"/>
          <w:szCs w:val="20"/>
        </w:rPr>
        <w:t xml:space="preserve"> </w:t>
      </w:r>
      <w:r w:rsidRPr="005827DA">
        <w:rPr>
          <w:rFonts w:ascii="Arial" w:hAnsi="Arial" w:cs="Arial"/>
          <w:sz w:val="20"/>
          <w:szCs w:val="20"/>
        </w:rPr>
        <w:t>at least</w:t>
      </w:r>
      <w:r w:rsidRPr="005827DA">
        <w:rPr>
          <w:rFonts w:ascii="Arial" w:hAnsi="Arial" w:cs="Arial"/>
          <w:spacing w:val="-2"/>
          <w:sz w:val="20"/>
          <w:szCs w:val="20"/>
        </w:rPr>
        <w:t xml:space="preserve"> </w:t>
      </w:r>
      <w:r w:rsidRPr="005827DA">
        <w:rPr>
          <w:rFonts w:ascii="Arial" w:hAnsi="Arial" w:cs="Arial"/>
          <w:sz w:val="20"/>
          <w:szCs w:val="20"/>
        </w:rPr>
        <w:t>all</w:t>
      </w:r>
      <w:r w:rsidRPr="005827DA">
        <w:rPr>
          <w:rFonts w:ascii="Arial" w:hAnsi="Arial" w:cs="Arial"/>
          <w:spacing w:val="-1"/>
          <w:sz w:val="20"/>
          <w:szCs w:val="20"/>
        </w:rPr>
        <w:t xml:space="preserve"> </w:t>
      </w:r>
      <w:r w:rsidRPr="005827DA">
        <w:rPr>
          <w:rFonts w:ascii="Arial" w:hAnsi="Arial" w:cs="Arial"/>
          <w:sz w:val="20"/>
          <w:szCs w:val="20"/>
        </w:rPr>
        <w:t>of</w:t>
      </w:r>
      <w:r w:rsidRPr="005827DA">
        <w:rPr>
          <w:rFonts w:ascii="Arial" w:hAnsi="Arial" w:cs="Arial"/>
          <w:spacing w:val="-2"/>
          <w:sz w:val="20"/>
          <w:szCs w:val="20"/>
        </w:rPr>
        <w:t xml:space="preserve"> </w:t>
      </w:r>
      <w:r w:rsidRPr="005827DA">
        <w:rPr>
          <w:rFonts w:ascii="Arial" w:hAnsi="Arial" w:cs="Arial"/>
          <w:sz w:val="20"/>
          <w:szCs w:val="20"/>
        </w:rPr>
        <w:t>the following:</w:t>
      </w:r>
    </w:p>
    <w:p w14:paraId="65ED0043" w14:textId="77777777" w:rsidR="00F20810" w:rsidRPr="005827DA" w:rsidRDefault="00F20810" w:rsidP="005827DA">
      <w:pPr>
        <w:pStyle w:val="ListParagraph"/>
        <w:numPr>
          <w:ilvl w:val="2"/>
          <w:numId w:val="258"/>
        </w:numPr>
        <w:tabs>
          <w:tab w:val="left" w:pos="90"/>
          <w:tab w:val="left" w:pos="3544"/>
          <w:tab w:val="left" w:pos="3545"/>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experience of</w:t>
      </w:r>
      <w:r w:rsidRPr="005827DA">
        <w:rPr>
          <w:rFonts w:ascii="Arial" w:hAnsi="Arial" w:cs="Arial"/>
          <w:spacing w:val="-4"/>
          <w:sz w:val="20"/>
          <w:szCs w:val="20"/>
        </w:rPr>
        <w:t xml:space="preserve"> </w:t>
      </w: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student;</w:t>
      </w:r>
    </w:p>
    <w:p w14:paraId="502FF410" w14:textId="77777777" w:rsidR="00F20810" w:rsidRPr="005827DA" w:rsidRDefault="00F20810" w:rsidP="005827DA">
      <w:pPr>
        <w:pStyle w:val="ListParagraph"/>
        <w:numPr>
          <w:ilvl w:val="2"/>
          <w:numId w:val="258"/>
        </w:numPr>
        <w:tabs>
          <w:tab w:val="left" w:pos="90"/>
          <w:tab w:val="left" w:pos="3544"/>
          <w:tab w:val="left" w:pos="3545"/>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physical</w:t>
      </w:r>
      <w:r w:rsidRPr="005827DA">
        <w:rPr>
          <w:rFonts w:ascii="Arial" w:hAnsi="Arial" w:cs="Arial"/>
          <w:spacing w:val="-4"/>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mental fitness of</w:t>
      </w:r>
      <w:r w:rsidRPr="005827DA">
        <w:rPr>
          <w:rFonts w:ascii="Arial" w:hAnsi="Arial" w:cs="Arial"/>
          <w:spacing w:val="-4"/>
          <w:sz w:val="20"/>
          <w:szCs w:val="20"/>
        </w:rPr>
        <w:t xml:space="preserve"> </w:t>
      </w:r>
      <w:r w:rsidRPr="005827DA">
        <w:rPr>
          <w:rFonts w:ascii="Arial" w:hAnsi="Arial" w:cs="Arial"/>
          <w:sz w:val="20"/>
          <w:szCs w:val="20"/>
        </w:rPr>
        <w:t>the</w:t>
      </w:r>
      <w:r w:rsidRPr="005827DA">
        <w:rPr>
          <w:rFonts w:ascii="Arial" w:hAnsi="Arial" w:cs="Arial"/>
          <w:spacing w:val="-3"/>
          <w:sz w:val="20"/>
          <w:szCs w:val="20"/>
        </w:rPr>
        <w:t xml:space="preserve"> </w:t>
      </w:r>
      <w:r w:rsidRPr="005827DA">
        <w:rPr>
          <w:rFonts w:ascii="Arial" w:hAnsi="Arial" w:cs="Arial"/>
          <w:sz w:val="20"/>
          <w:szCs w:val="20"/>
        </w:rPr>
        <w:t>student;</w:t>
      </w:r>
    </w:p>
    <w:p w14:paraId="5AB2EEF7" w14:textId="77777777" w:rsidR="00F20810" w:rsidRPr="005827DA" w:rsidRDefault="00F20810" w:rsidP="005827DA">
      <w:pPr>
        <w:pStyle w:val="ListParagraph"/>
        <w:numPr>
          <w:ilvl w:val="2"/>
          <w:numId w:val="258"/>
        </w:numPr>
        <w:tabs>
          <w:tab w:val="left" w:pos="90"/>
          <w:tab w:val="left" w:pos="3544"/>
          <w:tab w:val="left" w:pos="3545"/>
        </w:tabs>
        <w:spacing w:before="118" w:line="276" w:lineRule="auto"/>
        <w:ind w:right="68" w:hanging="436"/>
        <w:jc w:val="both"/>
        <w:rPr>
          <w:rFonts w:ascii="Arial" w:hAnsi="Arial" w:cs="Arial"/>
          <w:sz w:val="20"/>
          <w:szCs w:val="20"/>
        </w:rPr>
      </w:pPr>
      <w:r w:rsidRPr="005827DA">
        <w:rPr>
          <w:rFonts w:ascii="Arial" w:hAnsi="Arial" w:cs="Arial"/>
          <w:sz w:val="20"/>
          <w:szCs w:val="20"/>
        </w:rPr>
        <w:t>weather</w:t>
      </w:r>
      <w:r w:rsidRPr="005827DA">
        <w:rPr>
          <w:rFonts w:ascii="Arial" w:hAnsi="Arial" w:cs="Arial"/>
          <w:spacing w:val="-3"/>
          <w:sz w:val="20"/>
          <w:szCs w:val="20"/>
        </w:rPr>
        <w:t xml:space="preserve"> </w:t>
      </w:r>
      <w:r w:rsidRPr="005827DA">
        <w:rPr>
          <w:rFonts w:ascii="Arial" w:hAnsi="Arial" w:cs="Arial"/>
          <w:sz w:val="20"/>
          <w:szCs w:val="20"/>
        </w:rPr>
        <w:t>conditions; and</w:t>
      </w:r>
    </w:p>
    <w:p w14:paraId="1D865BD0" w14:textId="77777777" w:rsidR="00F20810" w:rsidRPr="005827DA" w:rsidRDefault="00F20810" w:rsidP="005827DA">
      <w:pPr>
        <w:pStyle w:val="ListParagraph"/>
        <w:numPr>
          <w:ilvl w:val="2"/>
          <w:numId w:val="258"/>
        </w:numPr>
        <w:tabs>
          <w:tab w:val="left" w:pos="90"/>
          <w:tab w:val="left" w:pos="3544"/>
          <w:tab w:val="left" w:pos="3545"/>
        </w:tabs>
        <w:spacing w:before="56"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suitability</w:t>
      </w:r>
      <w:r w:rsidRPr="005827DA">
        <w:rPr>
          <w:rFonts w:ascii="Arial" w:hAnsi="Arial" w:cs="Arial"/>
          <w:spacing w:val="-3"/>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balloons</w:t>
      </w:r>
      <w:r w:rsidRPr="005827DA">
        <w:rPr>
          <w:rFonts w:ascii="Arial" w:hAnsi="Arial" w:cs="Arial"/>
          <w:spacing w:val="-1"/>
          <w:sz w:val="20"/>
          <w:szCs w:val="20"/>
        </w:rPr>
        <w:t xml:space="preserve"> </w:t>
      </w:r>
      <w:r w:rsidRPr="005827DA">
        <w:rPr>
          <w:rFonts w:ascii="Arial" w:hAnsi="Arial" w:cs="Arial"/>
          <w:sz w:val="20"/>
          <w:szCs w:val="20"/>
        </w:rPr>
        <w:t>for</w:t>
      </w:r>
      <w:r w:rsidRPr="005827DA">
        <w:rPr>
          <w:rFonts w:ascii="Arial" w:hAnsi="Arial" w:cs="Arial"/>
          <w:spacing w:val="-1"/>
          <w:sz w:val="20"/>
          <w:szCs w:val="20"/>
        </w:rPr>
        <w:t xml:space="preserve"> </w:t>
      </w:r>
      <w:r w:rsidRPr="005827DA">
        <w:rPr>
          <w:rFonts w:ascii="Arial" w:hAnsi="Arial" w:cs="Arial"/>
          <w:sz w:val="20"/>
          <w:szCs w:val="20"/>
        </w:rPr>
        <w:t>a</w:t>
      </w:r>
      <w:r w:rsidRPr="005827DA">
        <w:rPr>
          <w:rFonts w:ascii="Arial" w:hAnsi="Arial" w:cs="Arial"/>
          <w:spacing w:val="-1"/>
          <w:sz w:val="20"/>
          <w:szCs w:val="20"/>
        </w:rPr>
        <w:t xml:space="preserve"> </w:t>
      </w:r>
      <w:r w:rsidRPr="005827DA">
        <w:rPr>
          <w:rFonts w:ascii="Arial" w:hAnsi="Arial" w:cs="Arial"/>
          <w:sz w:val="20"/>
          <w:szCs w:val="20"/>
        </w:rPr>
        <w:t>solo</w:t>
      </w:r>
      <w:r w:rsidRPr="005827DA">
        <w:rPr>
          <w:rFonts w:ascii="Arial" w:hAnsi="Arial" w:cs="Arial"/>
          <w:spacing w:val="-1"/>
          <w:sz w:val="20"/>
          <w:szCs w:val="20"/>
        </w:rPr>
        <w:t xml:space="preserve"> </w:t>
      </w:r>
      <w:r w:rsidRPr="005827DA">
        <w:rPr>
          <w:rFonts w:ascii="Arial" w:hAnsi="Arial" w:cs="Arial"/>
          <w:sz w:val="20"/>
          <w:szCs w:val="20"/>
        </w:rPr>
        <w:t>flight;</w:t>
      </w:r>
    </w:p>
    <w:p w14:paraId="467D0B7C" w14:textId="77777777" w:rsidR="00F20810" w:rsidRPr="005827DA" w:rsidRDefault="00F20810" w:rsidP="005827DA">
      <w:pPr>
        <w:pStyle w:val="ListParagraph"/>
        <w:numPr>
          <w:ilvl w:val="1"/>
          <w:numId w:val="258"/>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monitor</w:t>
      </w:r>
      <w:r w:rsidRPr="005827DA">
        <w:rPr>
          <w:rFonts w:ascii="Arial" w:hAnsi="Arial" w:cs="Arial"/>
          <w:spacing w:val="-4"/>
          <w:sz w:val="20"/>
          <w:szCs w:val="20"/>
        </w:rPr>
        <w:t xml:space="preserve"> </w:t>
      </w: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pre-flight</w:t>
      </w:r>
      <w:r w:rsidRPr="005827DA">
        <w:rPr>
          <w:rFonts w:ascii="Arial" w:hAnsi="Arial" w:cs="Arial"/>
          <w:spacing w:val="-1"/>
          <w:sz w:val="20"/>
          <w:szCs w:val="20"/>
        </w:rPr>
        <w:t xml:space="preserve"> </w:t>
      </w:r>
      <w:r w:rsidRPr="005827DA">
        <w:rPr>
          <w:rFonts w:ascii="Arial" w:hAnsi="Arial" w:cs="Arial"/>
          <w:sz w:val="20"/>
          <w:szCs w:val="20"/>
        </w:rPr>
        <w:t>preparation;</w:t>
      </w:r>
    </w:p>
    <w:p w14:paraId="462E747B" w14:textId="77777777" w:rsidR="00F20810" w:rsidRPr="005827DA" w:rsidRDefault="00F20810" w:rsidP="005827DA">
      <w:pPr>
        <w:pStyle w:val="ListParagraph"/>
        <w:numPr>
          <w:ilvl w:val="1"/>
          <w:numId w:val="258"/>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brief</w:t>
      </w:r>
      <w:r w:rsidRPr="005827DA">
        <w:rPr>
          <w:rFonts w:ascii="Arial" w:hAnsi="Arial" w:cs="Arial"/>
          <w:spacing w:val="-2"/>
          <w:sz w:val="20"/>
          <w:szCs w:val="20"/>
        </w:rPr>
        <w:t xml:space="preserve"> </w:t>
      </w: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student</w:t>
      </w:r>
      <w:r w:rsidRPr="005827DA">
        <w:rPr>
          <w:rFonts w:ascii="Arial" w:hAnsi="Arial" w:cs="Arial"/>
          <w:spacing w:val="-1"/>
          <w:sz w:val="20"/>
          <w:szCs w:val="20"/>
        </w:rPr>
        <w:t xml:space="preserve"> </w:t>
      </w:r>
      <w:r w:rsidRPr="005827DA">
        <w:rPr>
          <w:rFonts w:ascii="Arial" w:hAnsi="Arial" w:cs="Arial"/>
          <w:sz w:val="20"/>
          <w:szCs w:val="20"/>
        </w:rPr>
        <w:t>(expected</w:t>
      </w:r>
      <w:r w:rsidRPr="005827DA">
        <w:rPr>
          <w:rFonts w:ascii="Arial" w:hAnsi="Arial" w:cs="Arial"/>
          <w:spacing w:val="-5"/>
          <w:sz w:val="20"/>
          <w:szCs w:val="20"/>
        </w:rPr>
        <w:t xml:space="preserve"> </w:t>
      </w:r>
      <w:r w:rsidRPr="005827DA">
        <w:rPr>
          <w:rFonts w:ascii="Arial" w:hAnsi="Arial" w:cs="Arial"/>
          <w:sz w:val="20"/>
          <w:szCs w:val="20"/>
        </w:rPr>
        <w:t>flight</w:t>
      </w:r>
      <w:r w:rsidRPr="005827DA">
        <w:rPr>
          <w:rFonts w:ascii="Arial" w:hAnsi="Arial" w:cs="Arial"/>
          <w:spacing w:val="-1"/>
          <w:sz w:val="20"/>
          <w:szCs w:val="20"/>
        </w:rPr>
        <w:t xml:space="preserve"> </w:t>
      </w:r>
      <w:r w:rsidRPr="005827DA">
        <w:rPr>
          <w:rFonts w:ascii="Arial" w:hAnsi="Arial" w:cs="Arial"/>
          <w:sz w:val="20"/>
          <w:szCs w:val="20"/>
        </w:rPr>
        <w:t>time</w:t>
      </w:r>
      <w:r w:rsidRPr="005827DA">
        <w:rPr>
          <w:rFonts w:ascii="Arial" w:hAnsi="Arial" w:cs="Arial"/>
          <w:spacing w:val="-3"/>
          <w:sz w:val="20"/>
          <w:szCs w:val="20"/>
        </w:rPr>
        <w:t xml:space="preserve"> </w:t>
      </w:r>
      <w:r w:rsidRPr="005827DA">
        <w:rPr>
          <w:rFonts w:ascii="Arial" w:hAnsi="Arial" w:cs="Arial"/>
          <w:sz w:val="20"/>
          <w:szCs w:val="20"/>
        </w:rPr>
        <w:t>or</w:t>
      </w:r>
      <w:r w:rsidRPr="005827DA">
        <w:rPr>
          <w:rFonts w:ascii="Arial" w:hAnsi="Arial" w:cs="Arial"/>
          <w:spacing w:val="-3"/>
          <w:sz w:val="20"/>
          <w:szCs w:val="20"/>
        </w:rPr>
        <w:t xml:space="preserve"> </w:t>
      </w:r>
      <w:r w:rsidRPr="005827DA">
        <w:rPr>
          <w:rFonts w:ascii="Arial" w:hAnsi="Arial" w:cs="Arial"/>
          <w:sz w:val="20"/>
          <w:szCs w:val="20"/>
        </w:rPr>
        <w:t>emergency</w:t>
      </w:r>
      <w:r w:rsidRPr="005827DA">
        <w:rPr>
          <w:rFonts w:ascii="Arial" w:hAnsi="Arial" w:cs="Arial"/>
          <w:spacing w:val="-1"/>
          <w:sz w:val="20"/>
          <w:szCs w:val="20"/>
        </w:rPr>
        <w:t xml:space="preserve"> </w:t>
      </w:r>
      <w:r w:rsidRPr="005827DA">
        <w:rPr>
          <w:rFonts w:ascii="Arial" w:hAnsi="Arial" w:cs="Arial"/>
          <w:sz w:val="20"/>
          <w:szCs w:val="20"/>
        </w:rPr>
        <w:t>actions);</w:t>
      </w:r>
    </w:p>
    <w:p w14:paraId="7F3763C1" w14:textId="77777777" w:rsidR="00F20810" w:rsidRPr="005827DA" w:rsidRDefault="00F20810" w:rsidP="005827DA">
      <w:pPr>
        <w:pStyle w:val="ListParagraph"/>
        <w:numPr>
          <w:ilvl w:val="1"/>
          <w:numId w:val="258"/>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monitor</w:t>
      </w:r>
      <w:r w:rsidRPr="005827DA">
        <w:rPr>
          <w:rFonts w:ascii="Arial" w:hAnsi="Arial" w:cs="Arial"/>
          <w:spacing w:val="-3"/>
          <w:sz w:val="20"/>
          <w:szCs w:val="20"/>
        </w:rPr>
        <w:t xml:space="preserve"> </w:t>
      </w:r>
      <w:r w:rsidRPr="005827DA">
        <w:rPr>
          <w:rFonts w:ascii="Arial" w:hAnsi="Arial" w:cs="Arial"/>
          <w:sz w:val="20"/>
          <w:szCs w:val="20"/>
        </w:rPr>
        <w:t>the flight</w:t>
      </w:r>
      <w:r w:rsidRPr="005827DA">
        <w:rPr>
          <w:rFonts w:ascii="Arial" w:hAnsi="Arial" w:cs="Arial"/>
          <w:spacing w:val="-2"/>
          <w:sz w:val="20"/>
          <w:szCs w:val="20"/>
        </w:rPr>
        <w:t xml:space="preserve"> </w:t>
      </w:r>
      <w:r w:rsidRPr="005827DA">
        <w:rPr>
          <w:rFonts w:ascii="Arial" w:hAnsi="Arial" w:cs="Arial"/>
          <w:sz w:val="20"/>
          <w:szCs w:val="20"/>
        </w:rPr>
        <w:t>as</w:t>
      </w:r>
      <w:r w:rsidRPr="005827DA">
        <w:rPr>
          <w:rFonts w:ascii="Arial" w:hAnsi="Arial" w:cs="Arial"/>
          <w:spacing w:val="-1"/>
          <w:sz w:val="20"/>
          <w:szCs w:val="20"/>
        </w:rPr>
        <w:t xml:space="preserve"> </w:t>
      </w:r>
      <w:r w:rsidRPr="005827DA">
        <w:rPr>
          <w:rFonts w:ascii="Arial" w:hAnsi="Arial" w:cs="Arial"/>
          <w:sz w:val="20"/>
          <w:szCs w:val="20"/>
        </w:rPr>
        <w:t>far as</w:t>
      </w:r>
      <w:r w:rsidRPr="005827DA">
        <w:rPr>
          <w:rFonts w:ascii="Arial" w:hAnsi="Arial" w:cs="Arial"/>
          <w:spacing w:val="-2"/>
          <w:sz w:val="20"/>
          <w:szCs w:val="20"/>
        </w:rPr>
        <w:t xml:space="preserve"> </w:t>
      </w:r>
      <w:r w:rsidRPr="005827DA">
        <w:rPr>
          <w:rFonts w:ascii="Arial" w:hAnsi="Arial" w:cs="Arial"/>
          <w:sz w:val="20"/>
          <w:szCs w:val="20"/>
        </w:rPr>
        <w:t>possible;</w:t>
      </w:r>
      <w:r w:rsidRPr="005827DA">
        <w:rPr>
          <w:rFonts w:ascii="Arial" w:hAnsi="Arial" w:cs="Arial"/>
          <w:spacing w:val="-2"/>
          <w:sz w:val="20"/>
          <w:szCs w:val="20"/>
        </w:rPr>
        <w:t xml:space="preserve"> </w:t>
      </w:r>
      <w:r w:rsidRPr="005827DA">
        <w:rPr>
          <w:rFonts w:ascii="Arial" w:hAnsi="Arial" w:cs="Arial"/>
          <w:sz w:val="20"/>
          <w:szCs w:val="20"/>
        </w:rPr>
        <w:t>and</w:t>
      </w:r>
    </w:p>
    <w:p w14:paraId="0AFAD17C" w14:textId="77777777" w:rsidR="00F20810" w:rsidRPr="005827DA" w:rsidRDefault="00F20810" w:rsidP="005827DA">
      <w:pPr>
        <w:pStyle w:val="ListParagraph"/>
        <w:numPr>
          <w:ilvl w:val="1"/>
          <w:numId w:val="258"/>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debrief the</w:t>
      </w:r>
      <w:r w:rsidRPr="005827DA">
        <w:rPr>
          <w:rFonts w:ascii="Arial" w:hAnsi="Arial" w:cs="Arial"/>
          <w:spacing w:val="-4"/>
          <w:sz w:val="20"/>
          <w:szCs w:val="20"/>
        </w:rPr>
        <w:t xml:space="preserve"> </w:t>
      </w:r>
      <w:r w:rsidRPr="005827DA">
        <w:rPr>
          <w:rFonts w:ascii="Arial" w:hAnsi="Arial" w:cs="Arial"/>
          <w:sz w:val="20"/>
          <w:szCs w:val="20"/>
        </w:rPr>
        <w:t>flight with</w:t>
      </w:r>
      <w:r w:rsidRPr="005827DA">
        <w:rPr>
          <w:rFonts w:ascii="Arial" w:hAnsi="Arial" w:cs="Arial"/>
          <w:spacing w:val="-4"/>
          <w:sz w:val="20"/>
          <w:szCs w:val="20"/>
        </w:rPr>
        <w:t xml:space="preserve"> </w:t>
      </w: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student.</w:t>
      </w:r>
    </w:p>
    <w:p w14:paraId="579F425D" w14:textId="1F5C46D9" w:rsidR="00F20810" w:rsidRPr="00A16E10" w:rsidRDefault="00F20810" w:rsidP="00A16E10">
      <w:pPr>
        <w:pStyle w:val="ListParagraph"/>
        <w:numPr>
          <w:ilvl w:val="0"/>
          <w:numId w:val="258"/>
        </w:numPr>
        <w:tabs>
          <w:tab w:val="left" w:pos="90"/>
          <w:tab w:val="left" w:pos="2408"/>
          <w:tab w:val="left" w:pos="2409"/>
        </w:tabs>
        <w:spacing w:line="276" w:lineRule="auto"/>
        <w:ind w:right="68" w:hanging="436"/>
        <w:jc w:val="both"/>
        <w:rPr>
          <w:rFonts w:ascii="Arial" w:hAnsi="Arial" w:cs="Arial"/>
          <w:sz w:val="20"/>
          <w:szCs w:val="20"/>
        </w:rPr>
      </w:pPr>
      <w:r w:rsidRPr="005827DA">
        <w:rPr>
          <w:rFonts w:ascii="Arial" w:hAnsi="Arial" w:cs="Arial"/>
          <w:sz w:val="20"/>
          <w:szCs w:val="20"/>
        </w:rPr>
        <w:lastRenderedPageBreak/>
        <w:t>Debriefing</w:t>
      </w:r>
    </w:p>
    <w:p w14:paraId="13C1CDD1" w14:textId="77777777" w:rsidR="00F20810" w:rsidRPr="005827DA" w:rsidRDefault="00F20810" w:rsidP="005827DA">
      <w:pPr>
        <w:tabs>
          <w:tab w:val="left" w:pos="90"/>
        </w:tabs>
        <w:spacing w:line="276" w:lineRule="auto"/>
        <w:ind w:right="68" w:hanging="436"/>
        <w:jc w:val="both"/>
        <w:rPr>
          <w:rFonts w:ascii="Arial" w:eastAsia="Times New Roman" w:hAnsi="Arial" w:cs="Times New Roman"/>
          <w:b/>
          <w:bCs/>
          <w:sz w:val="20"/>
          <w:szCs w:val="20"/>
        </w:rPr>
      </w:pPr>
      <w:r w:rsidRPr="005827DA">
        <w:rPr>
          <w:rFonts w:ascii="Arial" w:eastAsia="Times New Roman" w:hAnsi="Arial" w:cs="Times New Roman"/>
          <w:b/>
          <w:bCs/>
          <w:sz w:val="20"/>
          <w:szCs w:val="20"/>
        </w:rPr>
        <w:t>Exercise 18: Tethered flight (hot-air balloons)</w:t>
      </w:r>
    </w:p>
    <w:p w14:paraId="0D019136" w14:textId="77777777" w:rsidR="00F20810" w:rsidRPr="005827DA" w:rsidRDefault="00F20810" w:rsidP="005827DA">
      <w:pPr>
        <w:pStyle w:val="BodyText"/>
        <w:tabs>
          <w:tab w:val="left" w:pos="90"/>
        </w:tabs>
        <w:spacing w:line="276" w:lineRule="auto"/>
        <w:ind w:left="1980" w:right="68" w:hanging="8"/>
        <w:jc w:val="both"/>
        <w:rPr>
          <w:rFonts w:ascii="Arial" w:hAnsi="Arial" w:cs="Arial"/>
          <w:i/>
          <w:sz w:val="20"/>
          <w:szCs w:val="20"/>
        </w:rPr>
      </w:pPr>
      <w:r w:rsidRPr="005827DA">
        <w:rPr>
          <w:rFonts w:ascii="Arial" w:hAnsi="Arial" w:cs="Arial"/>
          <w:i/>
          <w:sz w:val="20"/>
          <w:szCs w:val="20"/>
        </w:rPr>
        <w:t>Note: This</w:t>
      </w:r>
      <w:r w:rsidRPr="005827DA">
        <w:rPr>
          <w:rFonts w:ascii="Arial" w:hAnsi="Arial" w:cs="Arial"/>
          <w:i/>
          <w:spacing w:val="1"/>
          <w:sz w:val="20"/>
          <w:szCs w:val="20"/>
        </w:rPr>
        <w:t xml:space="preserve"> </w:t>
      </w:r>
      <w:r w:rsidRPr="005827DA">
        <w:rPr>
          <w:rFonts w:ascii="Arial" w:hAnsi="Arial" w:cs="Arial"/>
          <w:i/>
          <w:sz w:val="20"/>
          <w:szCs w:val="20"/>
        </w:rPr>
        <w:t>exercise</w:t>
      </w:r>
      <w:r w:rsidRPr="005827DA">
        <w:rPr>
          <w:rFonts w:ascii="Arial" w:hAnsi="Arial" w:cs="Arial"/>
          <w:i/>
          <w:spacing w:val="1"/>
          <w:sz w:val="20"/>
          <w:szCs w:val="20"/>
        </w:rPr>
        <w:t xml:space="preserve"> </w:t>
      </w:r>
      <w:r w:rsidRPr="005827DA">
        <w:rPr>
          <w:rFonts w:ascii="Arial" w:hAnsi="Arial" w:cs="Arial"/>
          <w:i/>
          <w:sz w:val="20"/>
          <w:szCs w:val="20"/>
        </w:rPr>
        <w:t>constitutes</w:t>
      </w:r>
      <w:r w:rsidRPr="005827DA">
        <w:rPr>
          <w:rFonts w:ascii="Arial" w:hAnsi="Arial" w:cs="Arial"/>
          <w:i/>
          <w:spacing w:val="1"/>
          <w:sz w:val="20"/>
          <w:szCs w:val="20"/>
        </w:rPr>
        <w:t xml:space="preserve"> </w:t>
      </w:r>
      <w:r w:rsidRPr="005827DA">
        <w:rPr>
          <w:rFonts w:ascii="Arial" w:hAnsi="Arial" w:cs="Arial"/>
          <w:i/>
          <w:sz w:val="20"/>
          <w:szCs w:val="20"/>
        </w:rPr>
        <w:t>the</w:t>
      </w:r>
      <w:r w:rsidRPr="005827DA">
        <w:rPr>
          <w:rFonts w:ascii="Arial" w:hAnsi="Arial" w:cs="Arial"/>
          <w:i/>
          <w:spacing w:val="1"/>
          <w:sz w:val="20"/>
          <w:szCs w:val="20"/>
        </w:rPr>
        <w:t xml:space="preserve"> </w:t>
      </w:r>
      <w:r w:rsidRPr="005827DA">
        <w:rPr>
          <w:rFonts w:ascii="Arial" w:hAnsi="Arial" w:cs="Arial"/>
          <w:i/>
          <w:sz w:val="20"/>
          <w:szCs w:val="20"/>
        </w:rPr>
        <w:t>specific</w:t>
      </w:r>
      <w:r w:rsidRPr="005827DA">
        <w:rPr>
          <w:rFonts w:ascii="Arial" w:hAnsi="Arial" w:cs="Arial"/>
          <w:i/>
          <w:spacing w:val="1"/>
          <w:sz w:val="20"/>
          <w:szCs w:val="20"/>
        </w:rPr>
        <w:t xml:space="preserve"> </w:t>
      </w:r>
      <w:r w:rsidRPr="005827DA">
        <w:rPr>
          <w:rFonts w:ascii="Arial" w:hAnsi="Arial" w:cs="Arial"/>
          <w:i/>
          <w:sz w:val="20"/>
          <w:szCs w:val="20"/>
        </w:rPr>
        <w:t>training</w:t>
      </w:r>
      <w:r w:rsidRPr="005827DA">
        <w:rPr>
          <w:rFonts w:ascii="Arial" w:hAnsi="Arial" w:cs="Arial"/>
          <w:i/>
          <w:spacing w:val="1"/>
          <w:sz w:val="20"/>
          <w:szCs w:val="20"/>
        </w:rPr>
        <w:t xml:space="preserve"> </w:t>
      </w:r>
      <w:r w:rsidRPr="005827DA">
        <w:rPr>
          <w:rFonts w:ascii="Arial" w:hAnsi="Arial" w:cs="Arial"/>
          <w:i/>
          <w:sz w:val="20"/>
          <w:szCs w:val="20"/>
        </w:rPr>
        <w:t>referred</w:t>
      </w:r>
      <w:r w:rsidRPr="005827DA">
        <w:rPr>
          <w:rFonts w:ascii="Arial" w:hAnsi="Arial" w:cs="Arial"/>
          <w:i/>
          <w:spacing w:val="1"/>
          <w:sz w:val="20"/>
          <w:szCs w:val="20"/>
        </w:rPr>
        <w:t xml:space="preserve"> </w:t>
      </w:r>
      <w:r w:rsidRPr="005827DA">
        <w:rPr>
          <w:rFonts w:ascii="Arial" w:hAnsi="Arial" w:cs="Arial"/>
          <w:i/>
          <w:sz w:val="20"/>
          <w:szCs w:val="20"/>
        </w:rPr>
        <w:t>to</w:t>
      </w:r>
      <w:r w:rsidRPr="005827DA">
        <w:rPr>
          <w:rFonts w:ascii="Arial" w:hAnsi="Arial" w:cs="Arial"/>
          <w:i/>
          <w:spacing w:val="1"/>
          <w:sz w:val="20"/>
          <w:szCs w:val="20"/>
        </w:rPr>
        <w:t xml:space="preserve"> </w:t>
      </w:r>
      <w:r w:rsidRPr="005827DA">
        <w:rPr>
          <w:rFonts w:ascii="Arial" w:hAnsi="Arial" w:cs="Arial"/>
          <w:i/>
          <w:sz w:val="20"/>
          <w:szCs w:val="20"/>
        </w:rPr>
        <w:t>in</w:t>
      </w:r>
      <w:r w:rsidRPr="005827DA">
        <w:rPr>
          <w:rFonts w:ascii="Arial" w:hAnsi="Arial" w:cs="Arial"/>
          <w:i/>
          <w:spacing w:val="1"/>
          <w:sz w:val="20"/>
          <w:szCs w:val="20"/>
        </w:rPr>
        <w:t xml:space="preserve"> </w:t>
      </w:r>
      <w:r w:rsidRPr="005827DA">
        <w:rPr>
          <w:rFonts w:ascii="Arial" w:hAnsi="Arial" w:cs="Arial"/>
          <w:i/>
          <w:sz w:val="20"/>
          <w:szCs w:val="20"/>
        </w:rPr>
        <w:t>point</w:t>
      </w:r>
      <w:r w:rsidRPr="005827DA">
        <w:rPr>
          <w:rFonts w:ascii="Arial" w:hAnsi="Arial" w:cs="Arial"/>
          <w:i/>
          <w:spacing w:val="1"/>
          <w:sz w:val="20"/>
          <w:szCs w:val="20"/>
        </w:rPr>
        <w:t xml:space="preserve"> </w:t>
      </w:r>
      <w:r w:rsidRPr="005827DA">
        <w:rPr>
          <w:rFonts w:ascii="Arial" w:hAnsi="Arial" w:cs="Arial"/>
          <w:i/>
          <w:sz w:val="20"/>
          <w:szCs w:val="20"/>
        </w:rPr>
        <w:t>BFCL.315(a)(3)</w:t>
      </w:r>
      <w:r w:rsidRPr="005827DA">
        <w:rPr>
          <w:rFonts w:ascii="Arial" w:hAnsi="Arial" w:cs="Arial"/>
          <w:i/>
          <w:spacing w:val="1"/>
          <w:sz w:val="20"/>
          <w:szCs w:val="20"/>
        </w:rPr>
        <w:t xml:space="preserve"> </w:t>
      </w:r>
      <w:r w:rsidRPr="005827DA">
        <w:rPr>
          <w:rFonts w:ascii="Arial" w:hAnsi="Arial" w:cs="Arial"/>
          <w:i/>
          <w:sz w:val="20"/>
          <w:szCs w:val="20"/>
        </w:rPr>
        <w:t>regarding</w:t>
      </w:r>
      <w:r w:rsidRPr="005827DA">
        <w:rPr>
          <w:rFonts w:ascii="Arial" w:hAnsi="Arial" w:cs="Arial"/>
          <w:i/>
          <w:spacing w:val="1"/>
          <w:sz w:val="20"/>
          <w:szCs w:val="20"/>
        </w:rPr>
        <w:t xml:space="preserve"> </w:t>
      </w:r>
      <w:r w:rsidRPr="005827DA">
        <w:rPr>
          <w:rFonts w:ascii="Arial" w:hAnsi="Arial" w:cs="Arial"/>
          <w:i/>
          <w:sz w:val="20"/>
          <w:szCs w:val="20"/>
        </w:rPr>
        <w:t>instructional</w:t>
      </w:r>
      <w:r w:rsidRPr="005827DA">
        <w:rPr>
          <w:rFonts w:ascii="Arial" w:hAnsi="Arial" w:cs="Arial"/>
          <w:i/>
          <w:spacing w:val="1"/>
          <w:sz w:val="20"/>
          <w:szCs w:val="20"/>
        </w:rPr>
        <w:t xml:space="preserve"> </w:t>
      </w:r>
      <w:r w:rsidRPr="005827DA">
        <w:rPr>
          <w:rFonts w:ascii="Arial" w:hAnsi="Arial" w:cs="Arial"/>
          <w:i/>
          <w:sz w:val="20"/>
          <w:szCs w:val="20"/>
        </w:rPr>
        <w:t>privileges</w:t>
      </w:r>
      <w:r w:rsidRPr="005827DA">
        <w:rPr>
          <w:rFonts w:ascii="Arial" w:hAnsi="Arial" w:cs="Arial"/>
          <w:i/>
          <w:spacing w:val="1"/>
          <w:sz w:val="20"/>
          <w:szCs w:val="20"/>
        </w:rPr>
        <w:t xml:space="preserve"> </w:t>
      </w:r>
      <w:r w:rsidRPr="005827DA">
        <w:rPr>
          <w:rFonts w:ascii="Arial" w:hAnsi="Arial" w:cs="Arial"/>
          <w:i/>
          <w:sz w:val="20"/>
          <w:szCs w:val="20"/>
        </w:rPr>
        <w:t>for</w:t>
      </w:r>
      <w:r w:rsidRPr="005827DA">
        <w:rPr>
          <w:rFonts w:ascii="Arial" w:hAnsi="Arial" w:cs="Arial"/>
          <w:i/>
          <w:spacing w:val="1"/>
          <w:sz w:val="20"/>
          <w:szCs w:val="20"/>
        </w:rPr>
        <w:t xml:space="preserve"> </w:t>
      </w:r>
      <w:r w:rsidRPr="005827DA">
        <w:rPr>
          <w:rFonts w:ascii="Arial" w:hAnsi="Arial" w:cs="Arial"/>
          <w:i/>
          <w:sz w:val="20"/>
          <w:szCs w:val="20"/>
        </w:rPr>
        <w:t>the</w:t>
      </w:r>
      <w:r w:rsidRPr="005827DA">
        <w:rPr>
          <w:rFonts w:ascii="Arial" w:hAnsi="Arial" w:cs="Arial"/>
          <w:i/>
          <w:spacing w:val="1"/>
          <w:sz w:val="20"/>
          <w:szCs w:val="20"/>
        </w:rPr>
        <w:t xml:space="preserve"> </w:t>
      </w:r>
      <w:r w:rsidRPr="005827DA">
        <w:rPr>
          <w:rFonts w:ascii="Arial" w:hAnsi="Arial" w:cs="Arial"/>
          <w:i/>
          <w:sz w:val="20"/>
          <w:szCs w:val="20"/>
        </w:rPr>
        <w:t>tethered</w:t>
      </w:r>
      <w:r w:rsidRPr="005827DA">
        <w:rPr>
          <w:rFonts w:ascii="Arial" w:hAnsi="Arial" w:cs="Arial"/>
          <w:i/>
          <w:spacing w:val="1"/>
          <w:sz w:val="20"/>
          <w:szCs w:val="20"/>
        </w:rPr>
        <w:t xml:space="preserve"> </w:t>
      </w:r>
      <w:r w:rsidRPr="005827DA">
        <w:rPr>
          <w:rFonts w:ascii="Arial" w:hAnsi="Arial" w:cs="Arial"/>
          <w:i/>
          <w:sz w:val="20"/>
          <w:szCs w:val="20"/>
        </w:rPr>
        <w:t>flight</w:t>
      </w:r>
      <w:r w:rsidRPr="005827DA">
        <w:rPr>
          <w:rFonts w:ascii="Arial" w:hAnsi="Arial" w:cs="Arial"/>
          <w:i/>
          <w:spacing w:val="1"/>
          <w:sz w:val="20"/>
          <w:szCs w:val="20"/>
        </w:rPr>
        <w:t xml:space="preserve"> </w:t>
      </w:r>
      <w:r w:rsidRPr="005827DA">
        <w:rPr>
          <w:rFonts w:ascii="Arial" w:hAnsi="Arial" w:cs="Arial"/>
          <w:i/>
          <w:sz w:val="20"/>
          <w:szCs w:val="20"/>
        </w:rPr>
        <w:t>rating. It may be completed during the initial FI(B) training course or as a</w:t>
      </w:r>
      <w:r w:rsidRPr="005827DA">
        <w:rPr>
          <w:rFonts w:ascii="Arial" w:hAnsi="Arial" w:cs="Arial"/>
          <w:i/>
          <w:spacing w:val="1"/>
          <w:sz w:val="20"/>
          <w:szCs w:val="20"/>
        </w:rPr>
        <w:t xml:space="preserve"> </w:t>
      </w:r>
      <w:r w:rsidRPr="005827DA">
        <w:rPr>
          <w:rFonts w:ascii="Arial" w:hAnsi="Arial" w:cs="Arial"/>
          <w:i/>
          <w:sz w:val="20"/>
          <w:szCs w:val="20"/>
        </w:rPr>
        <w:t>separate</w:t>
      </w:r>
      <w:r w:rsidRPr="005827DA">
        <w:rPr>
          <w:rFonts w:ascii="Arial" w:hAnsi="Arial" w:cs="Arial"/>
          <w:i/>
          <w:spacing w:val="1"/>
          <w:sz w:val="20"/>
          <w:szCs w:val="20"/>
        </w:rPr>
        <w:t xml:space="preserve"> </w:t>
      </w:r>
      <w:r w:rsidRPr="005827DA">
        <w:rPr>
          <w:rFonts w:ascii="Arial" w:hAnsi="Arial" w:cs="Arial"/>
          <w:i/>
          <w:sz w:val="20"/>
          <w:szCs w:val="20"/>
        </w:rPr>
        <w:t>training,</w:t>
      </w:r>
      <w:r w:rsidRPr="005827DA">
        <w:rPr>
          <w:rFonts w:ascii="Arial" w:hAnsi="Arial" w:cs="Arial"/>
          <w:i/>
          <w:spacing w:val="1"/>
          <w:sz w:val="20"/>
          <w:szCs w:val="20"/>
        </w:rPr>
        <w:t xml:space="preserve"> </w:t>
      </w:r>
      <w:r w:rsidRPr="005827DA">
        <w:rPr>
          <w:rFonts w:ascii="Arial" w:hAnsi="Arial" w:cs="Arial"/>
          <w:i/>
          <w:sz w:val="20"/>
          <w:szCs w:val="20"/>
        </w:rPr>
        <w:t>provided</w:t>
      </w:r>
      <w:r w:rsidRPr="005827DA">
        <w:rPr>
          <w:rFonts w:ascii="Arial" w:hAnsi="Arial" w:cs="Arial"/>
          <w:i/>
          <w:spacing w:val="1"/>
          <w:sz w:val="20"/>
          <w:szCs w:val="20"/>
        </w:rPr>
        <w:t xml:space="preserve"> </w:t>
      </w:r>
      <w:r w:rsidRPr="005827DA">
        <w:rPr>
          <w:rFonts w:ascii="Arial" w:hAnsi="Arial" w:cs="Arial"/>
          <w:i/>
          <w:sz w:val="20"/>
          <w:szCs w:val="20"/>
        </w:rPr>
        <w:t>that</w:t>
      </w:r>
      <w:r w:rsidRPr="005827DA">
        <w:rPr>
          <w:rFonts w:ascii="Arial" w:hAnsi="Arial" w:cs="Arial"/>
          <w:i/>
          <w:spacing w:val="1"/>
          <w:sz w:val="20"/>
          <w:szCs w:val="20"/>
        </w:rPr>
        <w:t xml:space="preserve"> </w:t>
      </w:r>
      <w:r w:rsidRPr="005827DA">
        <w:rPr>
          <w:rFonts w:ascii="Arial" w:hAnsi="Arial" w:cs="Arial"/>
          <w:i/>
          <w:sz w:val="20"/>
          <w:szCs w:val="20"/>
        </w:rPr>
        <w:t>the</w:t>
      </w:r>
      <w:r w:rsidRPr="005827DA">
        <w:rPr>
          <w:rFonts w:ascii="Arial" w:hAnsi="Arial" w:cs="Arial"/>
          <w:i/>
          <w:spacing w:val="1"/>
          <w:sz w:val="20"/>
          <w:szCs w:val="20"/>
        </w:rPr>
        <w:t xml:space="preserve"> </w:t>
      </w:r>
      <w:r w:rsidRPr="005827DA">
        <w:rPr>
          <w:rFonts w:ascii="Arial" w:hAnsi="Arial" w:cs="Arial"/>
          <w:i/>
          <w:sz w:val="20"/>
          <w:szCs w:val="20"/>
        </w:rPr>
        <w:t>applicant</w:t>
      </w:r>
      <w:r w:rsidRPr="005827DA">
        <w:rPr>
          <w:rFonts w:ascii="Arial" w:hAnsi="Arial" w:cs="Arial"/>
          <w:i/>
          <w:spacing w:val="1"/>
          <w:sz w:val="20"/>
          <w:szCs w:val="20"/>
        </w:rPr>
        <w:t xml:space="preserve"> </w:t>
      </w:r>
      <w:r w:rsidRPr="005827DA">
        <w:rPr>
          <w:rFonts w:ascii="Arial" w:hAnsi="Arial" w:cs="Arial"/>
          <w:i/>
          <w:sz w:val="20"/>
          <w:szCs w:val="20"/>
        </w:rPr>
        <w:t>holds</w:t>
      </w:r>
      <w:r w:rsidRPr="005827DA">
        <w:rPr>
          <w:rFonts w:ascii="Arial" w:hAnsi="Arial" w:cs="Arial"/>
          <w:i/>
          <w:spacing w:val="1"/>
          <w:sz w:val="20"/>
          <w:szCs w:val="20"/>
        </w:rPr>
        <w:t xml:space="preserve"> </w:t>
      </w:r>
      <w:r w:rsidRPr="005827DA">
        <w:rPr>
          <w:rFonts w:ascii="Arial" w:hAnsi="Arial" w:cs="Arial"/>
          <w:i/>
          <w:sz w:val="20"/>
          <w:szCs w:val="20"/>
        </w:rPr>
        <w:t>the</w:t>
      </w:r>
      <w:r w:rsidRPr="005827DA">
        <w:rPr>
          <w:rFonts w:ascii="Arial" w:hAnsi="Arial" w:cs="Arial"/>
          <w:i/>
          <w:spacing w:val="1"/>
          <w:sz w:val="20"/>
          <w:szCs w:val="20"/>
        </w:rPr>
        <w:t xml:space="preserve"> </w:t>
      </w:r>
      <w:r w:rsidRPr="005827DA">
        <w:rPr>
          <w:rFonts w:ascii="Arial" w:hAnsi="Arial" w:cs="Arial"/>
          <w:i/>
          <w:sz w:val="20"/>
          <w:szCs w:val="20"/>
        </w:rPr>
        <w:t>tethered</w:t>
      </w:r>
      <w:r w:rsidRPr="005827DA">
        <w:rPr>
          <w:rFonts w:ascii="Arial" w:hAnsi="Arial" w:cs="Arial"/>
          <w:i/>
          <w:spacing w:val="1"/>
          <w:sz w:val="20"/>
          <w:szCs w:val="20"/>
        </w:rPr>
        <w:t xml:space="preserve"> </w:t>
      </w:r>
      <w:r w:rsidRPr="005827DA">
        <w:rPr>
          <w:rFonts w:ascii="Arial" w:hAnsi="Arial" w:cs="Arial"/>
          <w:i/>
          <w:sz w:val="20"/>
          <w:szCs w:val="20"/>
        </w:rPr>
        <w:t>flight</w:t>
      </w:r>
      <w:r w:rsidRPr="005827DA">
        <w:rPr>
          <w:rFonts w:ascii="Arial" w:hAnsi="Arial" w:cs="Arial"/>
          <w:i/>
          <w:spacing w:val="-47"/>
          <w:sz w:val="20"/>
          <w:szCs w:val="20"/>
        </w:rPr>
        <w:t xml:space="preserve"> </w:t>
      </w:r>
      <w:r w:rsidRPr="005827DA">
        <w:rPr>
          <w:rFonts w:ascii="Arial" w:hAnsi="Arial" w:cs="Arial"/>
          <w:i/>
          <w:sz w:val="20"/>
          <w:szCs w:val="20"/>
        </w:rPr>
        <w:t>rating.</w:t>
      </w:r>
    </w:p>
    <w:p w14:paraId="102C86A2" w14:textId="77777777" w:rsidR="00F20810" w:rsidRPr="005827DA" w:rsidRDefault="00F20810" w:rsidP="005827DA">
      <w:pPr>
        <w:pStyle w:val="ListParagraph"/>
        <w:numPr>
          <w:ilvl w:val="0"/>
          <w:numId w:val="259"/>
        </w:numPr>
        <w:tabs>
          <w:tab w:val="left" w:pos="90"/>
          <w:tab w:val="left" w:pos="2409"/>
        </w:tabs>
        <w:spacing w:before="122" w:line="276" w:lineRule="auto"/>
        <w:ind w:right="68" w:hanging="436"/>
        <w:jc w:val="both"/>
        <w:rPr>
          <w:rFonts w:ascii="Arial" w:hAnsi="Arial" w:cs="Arial"/>
          <w:sz w:val="20"/>
          <w:szCs w:val="20"/>
        </w:rPr>
      </w:pPr>
      <w:r w:rsidRPr="005827DA">
        <w:rPr>
          <w:rFonts w:ascii="Arial" w:hAnsi="Arial" w:cs="Arial"/>
          <w:sz w:val="20"/>
          <w:szCs w:val="20"/>
        </w:rPr>
        <w:t>Objective</w:t>
      </w:r>
    </w:p>
    <w:p w14:paraId="1735A94E" w14:textId="77777777" w:rsidR="00F20810" w:rsidRPr="005827DA" w:rsidRDefault="00F20810" w:rsidP="005827DA">
      <w:pPr>
        <w:pStyle w:val="BodyText"/>
        <w:tabs>
          <w:tab w:val="left" w:pos="90"/>
        </w:tabs>
        <w:spacing w:line="276" w:lineRule="auto"/>
        <w:ind w:left="2408" w:right="68" w:hanging="436"/>
        <w:jc w:val="both"/>
        <w:rPr>
          <w:rFonts w:ascii="Arial" w:hAnsi="Arial" w:cs="Arial"/>
          <w:sz w:val="20"/>
          <w:szCs w:val="20"/>
        </w:rPr>
      </w:pPr>
      <w:r w:rsidRPr="005827DA">
        <w:rPr>
          <w:rFonts w:ascii="Arial" w:hAnsi="Arial" w:cs="Arial"/>
          <w:sz w:val="20"/>
          <w:szCs w:val="20"/>
        </w:rPr>
        <w:t>To advise the student instructor on how to explain and demonstrate the</w:t>
      </w:r>
      <w:r w:rsidRPr="005827DA">
        <w:rPr>
          <w:rFonts w:ascii="Arial" w:hAnsi="Arial" w:cs="Arial"/>
          <w:spacing w:val="1"/>
          <w:sz w:val="20"/>
          <w:szCs w:val="20"/>
        </w:rPr>
        <w:t xml:space="preserve"> </w:t>
      </w:r>
      <w:r w:rsidRPr="005827DA">
        <w:rPr>
          <w:rFonts w:ascii="Arial" w:hAnsi="Arial" w:cs="Arial"/>
          <w:sz w:val="20"/>
          <w:szCs w:val="20"/>
        </w:rPr>
        <w:t>tethering</w:t>
      </w:r>
      <w:r w:rsidRPr="005827DA">
        <w:rPr>
          <w:rFonts w:ascii="Arial" w:hAnsi="Arial" w:cs="Arial"/>
          <w:spacing w:val="-7"/>
          <w:sz w:val="20"/>
          <w:szCs w:val="20"/>
        </w:rPr>
        <w:t xml:space="preserve"> </w:t>
      </w:r>
      <w:r w:rsidRPr="005827DA">
        <w:rPr>
          <w:rFonts w:ascii="Arial" w:hAnsi="Arial" w:cs="Arial"/>
          <w:sz w:val="20"/>
          <w:szCs w:val="20"/>
        </w:rPr>
        <w:t>techniques.</w:t>
      </w:r>
      <w:r w:rsidRPr="005827DA">
        <w:rPr>
          <w:rFonts w:ascii="Arial" w:hAnsi="Arial" w:cs="Arial"/>
          <w:spacing w:val="-3"/>
          <w:sz w:val="20"/>
          <w:szCs w:val="20"/>
        </w:rPr>
        <w:t xml:space="preserve"> </w:t>
      </w:r>
      <w:r w:rsidRPr="005827DA">
        <w:rPr>
          <w:rFonts w:ascii="Arial" w:hAnsi="Arial" w:cs="Arial"/>
          <w:sz w:val="20"/>
          <w:szCs w:val="20"/>
        </w:rPr>
        <w:t>Furthermore,</w:t>
      </w:r>
      <w:r w:rsidRPr="005827DA">
        <w:rPr>
          <w:rFonts w:ascii="Arial" w:hAnsi="Arial" w:cs="Arial"/>
          <w:spacing w:val="-5"/>
          <w:sz w:val="20"/>
          <w:szCs w:val="20"/>
        </w:rPr>
        <w:t xml:space="preserve"> </w:t>
      </w:r>
      <w:r w:rsidRPr="005827DA">
        <w:rPr>
          <w:rFonts w:ascii="Arial" w:hAnsi="Arial" w:cs="Arial"/>
          <w:sz w:val="20"/>
          <w:szCs w:val="20"/>
        </w:rPr>
        <w:t>the</w:t>
      </w:r>
      <w:r w:rsidRPr="005827DA">
        <w:rPr>
          <w:rFonts w:ascii="Arial" w:hAnsi="Arial" w:cs="Arial"/>
          <w:spacing w:val="-6"/>
          <w:sz w:val="20"/>
          <w:szCs w:val="20"/>
        </w:rPr>
        <w:t xml:space="preserve"> </w:t>
      </w:r>
      <w:r w:rsidRPr="005827DA">
        <w:rPr>
          <w:rFonts w:ascii="Arial" w:hAnsi="Arial" w:cs="Arial"/>
          <w:sz w:val="20"/>
          <w:szCs w:val="20"/>
        </w:rPr>
        <w:t>student</w:t>
      </w:r>
      <w:r w:rsidRPr="005827DA">
        <w:rPr>
          <w:rFonts w:ascii="Arial" w:hAnsi="Arial" w:cs="Arial"/>
          <w:spacing w:val="-5"/>
          <w:sz w:val="20"/>
          <w:szCs w:val="20"/>
        </w:rPr>
        <w:t xml:space="preserve"> </w:t>
      </w:r>
      <w:r w:rsidRPr="005827DA">
        <w:rPr>
          <w:rFonts w:ascii="Arial" w:hAnsi="Arial" w:cs="Arial"/>
          <w:sz w:val="20"/>
          <w:szCs w:val="20"/>
        </w:rPr>
        <w:t>instructor</w:t>
      </w:r>
      <w:r w:rsidRPr="005827DA">
        <w:rPr>
          <w:rFonts w:ascii="Arial" w:hAnsi="Arial" w:cs="Arial"/>
          <w:spacing w:val="-6"/>
          <w:sz w:val="20"/>
          <w:szCs w:val="20"/>
        </w:rPr>
        <w:t xml:space="preserve"> </w:t>
      </w:r>
      <w:r w:rsidRPr="005827DA">
        <w:rPr>
          <w:rFonts w:ascii="Arial" w:hAnsi="Arial" w:cs="Arial"/>
          <w:sz w:val="20"/>
          <w:szCs w:val="20"/>
        </w:rPr>
        <w:t>should</w:t>
      </w:r>
      <w:r w:rsidRPr="005827DA">
        <w:rPr>
          <w:rFonts w:ascii="Arial" w:hAnsi="Arial" w:cs="Arial"/>
          <w:spacing w:val="-5"/>
          <w:sz w:val="20"/>
          <w:szCs w:val="20"/>
        </w:rPr>
        <w:t xml:space="preserve"> </w:t>
      </w:r>
      <w:r w:rsidRPr="005827DA">
        <w:rPr>
          <w:rFonts w:ascii="Arial" w:hAnsi="Arial" w:cs="Arial"/>
          <w:sz w:val="20"/>
          <w:szCs w:val="20"/>
        </w:rPr>
        <w:t>learn</w:t>
      </w:r>
      <w:r w:rsidRPr="005827DA">
        <w:rPr>
          <w:rFonts w:ascii="Arial" w:hAnsi="Arial" w:cs="Arial"/>
          <w:spacing w:val="-5"/>
          <w:sz w:val="20"/>
          <w:szCs w:val="20"/>
        </w:rPr>
        <w:t xml:space="preserve"> </w:t>
      </w:r>
      <w:r w:rsidRPr="005827DA">
        <w:rPr>
          <w:rFonts w:ascii="Arial" w:hAnsi="Arial" w:cs="Arial"/>
          <w:sz w:val="20"/>
          <w:szCs w:val="20"/>
        </w:rPr>
        <w:t>how</w:t>
      </w:r>
      <w:r w:rsidRPr="005827DA">
        <w:rPr>
          <w:rFonts w:ascii="Arial" w:hAnsi="Arial" w:cs="Arial"/>
          <w:spacing w:val="-47"/>
          <w:sz w:val="20"/>
          <w:szCs w:val="20"/>
        </w:rPr>
        <w:t xml:space="preserve"> </w:t>
      </w:r>
      <w:r w:rsidRPr="005827DA">
        <w:rPr>
          <w:rFonts w:ascii="Arial" w:hAnsi="Arial" w:cs="Arial"/>
          <w:sz w:val="20"/>
          <w:szCs w:val="20"/>
        </w:rPr>
        <w:t>to identify student</w:t>
      </w:r>
      <w:r w:rsidRPr="005827DA">
        <w:rPr>
          <w:rFonts w:ascii="Arial" w:hAnsi="Arial" w:cs="Arial"/>
          <w:spacing w:val="-2"/>
          <w:sz w:val="20"/>
          <w:szCs w:val="20"/>
        </w:rPr>
        <w:t xml:space="preserve"> </w:t>
      </w:r>
      <w:r w:rsidRPr="005827DA">
        <w:rPr>
          <w:rFonts w:ascii="Arial" w:hAnsi="Arial" w:cs="Arial"/>
          <w:sz w:val="20"/>
          <w:szCs w:val="20"/>
        </w:rPr>
        <w:t>errors and</w:t>
      </w:r>
      <w:r w:rsidRPr="005827DA">
        <w:rPr>
          <w:rFonts w:ascii="Arial" w:hAnsi="Arial" w:cs="Arial"/>
          <w:spacing w:val="-2"/>
          <w:sz w:val="20"/>
          <w:szCs w:val="20"/>
        </w:rPr>
        <w:t xml:space="preserve"> </w:t>
      </w:r>
      <w:r w:rsidRPr="005827DA">
        <w:rPr>
          <w:rFonts w:ascii="Arial" w:hAnsi="Arial" w:cs="Arial"/>
          <w:sz w:val="20"/>
          <w:szCs w:val="20"/>
        </w:rPr>
        <w:t>how</w:t>
      </w:r>
      <w:r w:rsidRPr="005827DA">
        <w:rPr>
          <w:rFonts w:ascii="Arial" w:hAnsi="Arial" w:cs="Arial"/>
          <w:spacing w:val="1"/>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correct</w:t>
      </w:r>
      <w:r w:rsidRPr="005827DA">
        <w:rPr>
          <w:rFonts w:ascii="Arial" w:hAnsi="Arial" w:cs="Arial"/>
          <w:spacing w:val="-2"/>
          <w:sz w:val="20"/>
          <w:szCs w:val="20"/>
        </w:rPr>
        <w:t xml:space="preserve"> </w:t>
      </w:r>
      <w:r w:rsidRPr="005827DA">
        <w:rPr>
          <w:rFonts w:ascii="Arial" w:hAnsi="Arial" w:cs="Arial"/>
          <w:sz w:val="20"/>
          <w:szCs w:val="20"/>
        </w:rPr>
        <w:t>them</w:t>
      </w:r>
      <w:r w:rsidRPr="005827DA">
        <w:rPr>
          <w:rFonts w:ascii="Arial" w:hAnsi="Arial" w:cs="Arial"/>
          <w:spacing w:val="1"/>
          <w:sz w:val="20"/>
          <w:szCs w:val="20"/>
        </w:rPr>
        <w:t xml:space="preserve"> </w:t>
      </w:r>
      <w:r w:rsidRPr="005827DA">
        <w:rPr>
          <w:rFonts w:ascii="Arial" w:hAnsi="Arial" w:cs="Arial"/>
          <w:sz w:val="20"/>
          <w:szCs w:val="20"/>
        </w:rPr>
        <w:t>properly.</w:t>
      </w:r>
    </w:p>
    <w:p w14:paraId="00ACCE83" w14:textId="77777777" w:rsidR="00F20810" w:rsidRPr="005827DA" w:rsidRDefault="00F20810" w:rsidP="005827DA">
      <w:pPr>
        <w:pStyle w:val="ListParagraph"/>
        <w:numPr>
          <w:ilvl w:val="0"/>
          <w:numId w:val="259"/>
        </w:numPr>
        <w:tabs>
          <w:tab w:val="left" w:pos="90"/>
          <w:tab w:val="left" w:pos="2409"/>
        </w:tabs>
        <w:spacing w:before="119" w:line="276" w:lineRule="auto"/>
        <w:ind w:right="68" w:hanging="436"/>
        <w:jc w:val="both"/>
        <w:rPr>
          <w:rFonts w:ascii="Arial" w:hAnsi="Arial" w:cs="Arial"/>
          <w:sz w:val="20"/>
          <w:szCs w:val="20"/>
        </w:rPr>
      </w:pPr>
      <w:r w:rsidRPr="005827DA">
        <w:rPr>
          <w:rFonts w:ascii="Arial" w:hAnsi="Arial" w:cs="Arial"/>
          <w:sz w:val="20"/>
          <w:szCs w:val="20"/>
        </w:rPr>
        <w:t>Briefing</w:t>
      </w:r>
    </w:p>
    <w:p w14:paraId="007B1B69" w14:textId="77777777" w:rsidR="00F20810" w:rsidRPr="005827DA" w:rsidRDefault="00F20810" w:rsidP="005827DA">
      <w:pPr>
        <w:pStyle w:val="BodyText"/>
        <w:tabs>
          <w:tab w:val="left" w:pos="90"/>
        </w:tabs>
        <w:spacing w:line="276" w:lineRule="auto"/>
        <w:ind w:left="2408"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student</w:t>
      </w:r>
      <w:r w:rsidRPr="005827DA">
        <w:rPr>
          <w:rFonts w:ascii="Arial" w:hAnsi="Arial" w:cs="Arial"/>
          <w:spacing w:val="-2"/>
          <w:sz w:val="20"/>
          <w:szCs w:val="20"/>
        </w:rPr>
        <w:t xml:space="preserve"> </w:t>
      </w:r>
      <w:r w:rsidRPr="005827DA">
        <w:rPr>
          <w:rFonts w:ascii="Arial" w:hAnsi="Arial" w:cs="Arial"/>
          <w:sz w:val="20"/>
          <w:szCs w:val="20"/>
        </w:rPr>
        <w:t>instructor has</w:t>
      </w:r>
      <w:r w:rsidRPr="005827DA">
        <w:rPr>
          <w:rFonts w:ascii="Arial" w:hAnsi="Arial" w:cs="Arial"/>
          <w:spacing w:val="-6"/>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explain:</w:t>
      </w:r>
    </w:p>
    <w:p w14:paraId="0DD737E2" w14:textId="77777777" w:rsidR="00F20810" w:rsidRPr="005827DA" w:rsidRDefault="00F20810" w:rsidP="005827DA">
      <w:pPr>
        <w:pStyle w:val="ListParagraph"/>
        <w:numPr>
          <w:ilvl w:val="1"/>
          <w:numId w:val="259"/>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ground</w:t>
      </w:r>
      <w:r w:rsidRPr="005827DA">
        <w:rPr>
          <w:rFonts w:ascii="Arial" w:hAnsi="Arial" w:cs="Arial"/>
          <w:spacing w:val="-2"/>
          <w:sz w:val="20"/>
          <w:szCs w:val="20"/>
        </w:rPr>
        <w:t xml:space="preserve"> </w:t>
      </w:r>
      <w:r w:rsidRPr="005827DA">
        <w:rPr>
          <w:rFonts w:ascii="Arial" w:hAnsi="Arial" w:cs="Arial"/>
          <w:sz w:val="20"/>
          <w:szCs w:val="20"/>
        </w:rPr>
        <w:t>preparations;</w:t>
      </w:r>
    </w:p>
    <w:p w14:paraId="14878293" w14:textId="77777777" w:rsidR="00F20810" w:rsidRPr="005827DA" w:rsidRDefault="00F20810" w:rsidP="005827DA">
      <w:pPr>
        <w:pStyle w:val="ListParagraph"/>
        <w:numPr>
          <w:ilvl w:val="1"/>
          <w:numId w:val="259"/>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weather</w:t>
      </w:r>
      <w:r w:rsidRPr="005827DA">
        <w:rPr>
          <w:rFonts w:ascii="Arial" w:hAnsi="Arial" w:cs="Arial"/>
          <w:spacing w:val="-3"/>
          <w:sz w:val="20"/>
          <w:szCs w:val="20"/>
        </w:rPr>
        <w:t xml:space="preserve"> </w:t>
      </w:r>
      <w:r w:rsidRPr="005827DA">
        <w:rPr>
          <w:rFonts w:ascii="Arial" w:hAnsi="Arial" w:cs="Arial"/>
          <w:sz w:val="20"/>
          <w:szCs w:val="20"/>
        </w:rPr>
        <w:t>suitability;</w:t>
      </w:r>
    </w:p>
    <w:p w14:paraId="2DA905B3" w14:textId="77777777" w:rsidR="00F20810" w:rsidRPr="005827DA" w:rsidRDefault="00F20810" w:rsidP="005827DA">
      <w:pPr>
        <w:pStyle w:val="ListParagraph"/>
        <w:numPr>
          <w:ilvl w:val="1"/>
          <w:numId w:val="259"/>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tethering</w:t>
      </w:r>
      <w:r w:rsidRPr="005827DA">
        <w:rPr>
          <w:rFonts w:ascii="Arial" w:hAnsi="Arial" w:cs="Arial"/>
          <w:spacing w:val="-2"/>
          <w:sz w:val="20"/>
          <w:szCs w:val="20"/>
        </w:rPr>
        <w:t xml:space="preserve"> </w:t>
      </w:r>
      <w:r w:rsidRPr="005827DA">
        <w:rPr>
          <w:rFonts w:ascii="Arial" w:hAnsi="Arial" w:cs="Arial"/>
          <w:sz w:val="20"/>
          <w:szCs w:val="20"/>
        </w:rPr>
        <w:t>techniques and</w:t>
      </w:r>
      <w:r w:rsidRPr="005827DA">
        <w:rPr>
          <w:rFonts w:ascii="Arial" w:hAnsi="Arial" w:cs="Arial"/>
          <w:spacing w:val="-2"/>
          <w:sz w:val="20"/>
          <w:szCs w:val="20"/>
        </w:rPr>
        <w:t xml:space="preserve"> </w:t>
      </w:r>
      <w:r w:rsidRPr="005827DA">
        <w:rPr>
          <w:rFonts w:ascii="Arial" w:hAnsi="Arial" w:cs="Arial"/>
          <w:sz w:val="20"/>
          <w:szCs w:val="20"/>
        </w:rPr>
        <w:t>equipment;</w:t>
      </w:r>
    </w:p>
    <w:p w14:paraId="484C8060" w14:textId="77777777" w:rsidR="00F20810" w:rsidRPr="005827DA" w:rsidRDefault="00F20810" w:rsidP="005827DA">
      <w:pPr>
        <w:pStyle w:val="ListParagraph"/>
        <w:numPr>
          <w:ilvl w:val="1"/>
          <w:numId w:val="259"/>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4"/>
          <w:sz w:val="20"/>
          <w:szCs w:val="20"/>
        </w:rPr>
        <w:t xml:space="preserve"> </w:t>
      </w:r>
      <w:r w:rsidRPr="005827DA">
        <w:rPr>
          <w:rFonts w:ascii="Arial" w:hAnsi="Arial" w:cs="Arial"/>
          <w:sz w:val="20"/>
          <w:szCs w:val="20"/>
        </w:rPr>
        <w:t>maximum</w:t>
      </w:r>
      <w:r w:rsidRPr="005827DA">
        <w:rPr>
          <w:rFonts w:ascii="Arial" w:hAnsi="Arial" w:cs="Arial"/>
          <w:spacing w:val="-4"/>
          <w:sz w:val="20"/>
          <w:szCs w:val="20"/>
        </w:rPr>
        <w:t xml:space="preserve"> </w:t>
      </w:r>
      <w:r w:rsidRPr="005827DA">
        <w:rPr>
          <w:rFonts w:ascii="Arial" w:hAnsi="Arial" w:cs="Arial"/>
          <w:sz w:val="20"/>
          <w:szCs w:val="20"/>
        </w:rPr>
        <w:t>all-up-weight</w:t>
      </w:r>
      <w:r w:rsidRPr="005827DA">
        <w:rPr>
          <w:rFonts w:ascii="Arial" w:hAnsi="Arial" w:cs="Arial"/>
          <w:spacing w:val="-2"/>
          <w:sz w:val="20"/>
          <w:szCs w:val="20"/>
        </w:rPr>
        <w:t xml:space="preserve"> </w:t>
      </w:r>
      <w:r w:rsidRPr="005827DA">
        <w:rPr>
          <w:rFonts w:ascii="Arial" w:hAnsi="Arial" w:cs="Arial"/>
          <w:sz w:val="20"/>
          <w:szCs w:val="20"/>
        </w:rPr>
        <w:t>limitation;</w:t>
      </w:r>
    </w:p>
    <w:p w14:paraId="39E5CAFD" w14:textId="77777777" w:rsidR="00F20810" w:rsidRPr="005827DA" w:rsidRDefault="00F20810" w:rsidP="005827DA">
      <w:pPr>
        <w:pStyle w:val="ListParagraph"/>
        <w:numPr>
          <w:ilvl w:val="1"/>
          <w:numId w:val="259"/>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crowd</w:t>
      </w:r>
      <w:r w:rsidRPr="005827DA">
        <w:rPr>
          <w:rFonts w:ascii="Arial" w:hAnsi="Arial" w:cs="Arial"/>
          <w:spacing w:val="-4"/>
          <w:sz w:val="20"/>
          <w:szCs w:val="20"/>
        </w:rPr>
        <w:t xml:space="preserve"> </w:t>
      </w:r>
      <w:r w:rsidRPr="005827DA">
        <w:rPr>
          <w:rFonts w:ascii="Arial" w:hAnsi="Arial" w:cs="Arial"/>
          <w:sz w:val="20"/>
          <w:szCs w:val="20"/>
        </w:rPr>
        <w:t>control;</w:t>
      </w:r>
    </w:p>
    <w:p w14:paraId="3FA9217B" w14:textId="77777777" w:rsidR="00F20810" w:rsidRPr="005827DA" w:rsidRDefault="00F20810" w:rsidP="005827DA">
      <w:pPr>
        <w:pStyle w:val="ListParagraph"/>
        <w:numPr>
          <w:ilvl w:val="1"/>
          <w:numId w:val="259"/>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pre-take-off</w:t>
      </w:r>
      <w:r w:rsidRPr="005827DA">
        <w:rPr>
          <w:rFonts w:ascii="Arial" w:hAnsi="Arial" w:cs="Arial"/>
          <w:spacing w:val="-2"/>
          <w:sz w:val="20"/>
          <w:szCs w:val="20"/>
        </w:rPr>
        <w:t xml:space="preserve"> </w:t>
      </w:r>
      <w:r w:rsidRPr="005827DA">
        <w:rPr>
          <w:rFonts w:ascii="Arial" w:hAnsi="Arial" w:cs="Arial"/>
          <w:sz w:val="20"/>
          <w:szCs w:val="20"/>
        </w:rPr>
        <w:t>checks</w:t>
      </w:r>
      <w:r w:rsidRPr="005827DA">
        <w:rPr>
          <w:rFonts w:ascii="Arial" w:hAnsi="Arial" w:cs="Arial"/>
          <w:spacing w:val="-3"/>
          <w:sz w:val="20"/>
          <w:szCs w:val="20"/>
        </w:rPr>
        <w:t xml:space="preserve"> </w:t>
      </w:r>
      <w:r w:rsidRPr="005827DA">
        <w:rPr>
          <w:rFonts w:ascii="Arial" w:hAnsi="Arial" w:cs="Arial"/>
          <w:sz w:val="20"/>
          <w:szCs w:val="20"/>
        </w:rPr>
        <w:t>and</w:t>
      </w:r>
      <w:r w:rsidRPr="005827DA">
        <w:rPr>
          <w:rFonts w:ascii="Arial" w:hAnsi="Arial" w:cs="Arial"/>
          <w:spacing w:val="-3"/>
          <w:sz w:val="20"/>
          <w:szCs w:val="20"/>
        </w:rPr>
        <w:t xml:space="preserve"> </w:t>
      </w:r>
      <w:r w:rsidRPr="005827DA">
        <w:rPr>
          <w:rFonts w:ascii="Arial" w:hAnsi="Arial" w:cs="Arial"/>
          <w:sz w:val="20"/>
          <w:szCs w:val="20"/>
        </w:rPr>
        <w:t>briefings;</w:t>
      </w:r>
    </w:p>
    <w:p w14:paraId="56762FCB" w14:textId="77777777" w:rsidR="00F20810" w:rsidRPr="005827DA" w:rsidRDefault="00F20810" w:rsidP="005827DA">
      <w:pPr>
        <w:pStyle w:val="ListParagraph"/>
        <w:numPr>
          <w:ilvl w:val="1"/>
          <w:numId w:val="259"/>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heating</w:t>
      </w:r>
      <w:r w:rsidRPr="005827DA">
        <w:rPr>
          <w:rFonts w:ascii="Arial" w:hAnsi="Arial" w:cs="Arial"/>
          <w:spacing w:val="-3"/>
          <w:sz w:val="20"/>
          <w:szCs w:val="20"/>
        </w:rPr>
        <w:t xml:space="preserve"> </w:t>
      </w:r>
      <w:r w:rsidRPr="005827DA">
        <w:rPr>
          <w:rFonts w:ascii="Arial" w:hAnsi="Arial" w:cs="Arial"/>
          <w:sz w:val="20"/>
          <w:szCs w:val="20"/>
        </w:rPr>
        <w:t>for</w:t>
      </w:r>
      <w:r w:rsidRPr="005827DA">
        <w:rPr>
          <w:rFonts w:ascii="Arial" w:hAnsi="Arial" w:cs="Arial"/>
          <w:spacing w:val="-3"/>
          <w:sz w:val="20"/>
          <w:szCs w:val="20"/>
        </w:rPr>
        <w:t xml:space="preserve"> </w:t>
      </w:r>
      <w:r w:rsidRPr="005827DA">
        <w:rPr>
          <w:rFonts w:ascii="Arial" w:hAnsi="Arial" w:cs="Arial"/>
          <w:sz w:val="20"/>
          <w:szCs w:val="20"/>
        </w:rPr>
        <w:t>controlled</w:t>
      </w:r>
      <w:r w:rsidRPr="005827DA">
        <w:rPr>
          <w:rFonts w:ascii="Arial" w:hAnsi="Arial" w:cs="Arial"/>
          <w:spacing w:val="-2"/>
          <w:sz w:val="20"/>
          <w:szCs w:val="20"/>
        </w:rPr>
        <w:t xml:space="preserve"> </w:t>
      </w:r>
      <w:r w:rsidRPr="005827DA">
        <w:rPr>
          <w:rFonts w:ascii="Arial" w:hAnsi="Arial" w:cs="Arial"/>
          <w:sz w:val="20"/>
          <w:szCs w:val="20"/>
        </w:rPr>
        <w:t>lift-off;</w:t>
      </w:r>
    </w:p>
    <w:p w14:paraId="0F145CDC" w14:textId="77777777" w:rsidR="00F20810" w:rsidRPr="005827DA" w:rsidRDefault="00F20810" w:rsidP="005827DA">
      <w:pPr>
        <w:pStyle w:val="ListParagraph"/>
        <w:numPr>
          <w:ilvl w:val="1"/>
          <w:numId w:val="259"/>
        </w:numPr>
        <w:tabs>
          <w:tab w:val="left" w:pos="90"/>
          <w:tab w:val="left" w:pos="2975"/>
          <w:tab w:val="left" w:pos="2976"/>
        </w:tabs>
        <w:spacing w:before="118"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‘hands-off</w:t>
      </w:r>
      <w:r w:rsidRPr="005827DA">
        <w:rPr>
          <w:rFonts w:ascii="Arial" w:hAnsi="Arial" w:cs="Arial"/>
          <w:spacing w:val="-3"/>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hands-on’ procedure</w:t>
      </w:r>
      <w:r w:rsidRPr="005827DA">
        <w:rPr>
          <w:rFonts w:ascii="Arial" w:hAnsi="Arial" w:cs="Arial"/>
          <w:spacing w:val="-3"/>
          <w:sz w:val="20"/>
          <w:szCs w:val="20"/>
        </w:rPr>
        <w:t xml:space="preserve"> </w:t>
      </w:r>
      <w:r w:rsidRPr="005827DA">
        <w:rPr>
          <w:rFonts w:ascii="Arial" w:hAnsi="Arial" w:cs="Arial"/>
          <w:sz w:val="20"/>
          <w:szCs w:val="20"/>
        </w:rPr>
        <w:t>for</w:t>
      </w:r>
      <w:r w:rsidRPr="005827DA">
        <w:rPr>
          <w:rFonts w:ascii="Arial" w:hAnsi="Arial" w:cs="Arial"/>
          <w:spacing w:val="-3"/>
          <w:sz w:val="20"/>
          <w:szCs w:val="20"/>
        </w:rPr>
        <w:t xml:space="preserve"> </w:t>
      </w:r>
      <w:r w:rsidRPr="005827DA">
        <w:rPr>
          <w:rFonts w:ascii="Arial" w:hAnsi="Arial" w:cs="Arial"/>
          <w:sz w:val="20"/>
          <w:szCs w:val="20"/>
        </w:rPr>
        <w:t>ground</w:t>
      </w:r>
      <w:r w:rsidRPr="005827DA">
        <w:rPr>
          <w:rFonts w:ascii="Arial" w:hAnsi="Arial" w:cs="Arial"/>
          <w:spacing w:val="-1"/>
          <w:sz w:val="20"/>
          <w:szCs w:val="20"/>
        </w:rPr>
        <w:t xml:space="preserve"> </w:t>
      </w:r>
      <w:r w:rsidRPr="005827DA">
        <w:rPr>
          <w:rFonts w:ascii="Arial" w:hAnsi="Arial" w:cs="Arial"/>
          <w:sz w:val="20"/>
          <w:szCs w:val="20"/>
        </w:rPr>
        <w:t>crew;</w:t>
      </w:r>
    </w:p>
    <w:p w14:paraId="1B3B1CCC" w14:textId="77777777" w:rsidR="00F20810" w:rsidRPr="005827DA" w:rsidRDefault="00F20810" w:rsidP="005827DA">
      <w:pPr>
        <w:pStyle w:val="ListParagraph"/>
        <w:numPr>
          <w:ilvl w:val="1"/>
          <w:numId w:val="259"/>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3"/>
          <w:sz w:val="20"/>
          <w:szCs w:val="20"/>
        </w:rPr>
        <w:t xml:space="preserve"> </w:t>
      </w:r>
      <w:r w:rsidRPr="005827DA">
        <w:rPr>
          <w:rFonts w:ascii="Arial" w:hAnsi="Arial" w:cs="Arial"/>
          <w:sz w:val="20"/>
          <w:szCs w:val="20"/>
        </w:rPr>
        <w:t>procedures</w:t>
      </w:r>
      <w:r w:rsidRPr="005827DA">
        <w:rPr>
          <w:rFonts w:ascii="Arial" w:hAnsi="Arial" w:cs="Arial"/>
          <w:spacing w:val="-2"/>
          <w:sz w:val="20"/>
          <w:szCs w:val="20"/>
        </w:rPr>
        <w:t xml:space="preserve"> </w:t>
      </w:r>
      <w:r w:rsidRPr="005827DA">
        <w:rPr>
          <w:rFonts w:ascii="Arial" w:hAnsi="Arial" w:cs="Arial"/>
          <w:sz w:val="20"/>
          <w:szCs w:val="20"/>
        </w:rPr>
        <w:t>for</w:t>
      </w:r>
      <w:r w:rsidRPr="005827DA">
        <w:rPr>
          <w:rFonts w:ascii="Arial" w:hAnsi="Arial" w:cs="Arial"/>
          <w:spacing w:val="-2"/>
          <w:sz w:val="20"/>
          <w:szCs w:val="20"/>
        </w:rPr>
        <w:t xml:space="preserve"> </w:t>
      </w:r>
      <w:r w:rsidRPr="005827DA">
        <w:rPr>
          <w:rFonts w:ascii="Arial" w:hAnsi="Arial" w:cs="Arial"/>
          <w:sz w:val="20"/>
          <w:szCs w:val="20"/>
        </w:rPr>
        <w:t>boarding</w:t>
      </w:r>
      <w:r w:rsidRPr="005827DA">
        <w:rPr>
          <w:rFonts w:ascii="Arial" w:hAnsi="Arial" w:cs="Arial"/>
          <w:spacing w:val="-3"/>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disembarking</w:t>
      </w:r>
      <w:r w:rsidRPr="005827DA">
        <w:rPr>
          <w:rFonts w:ascii="Arial" w:hAnsi="Arial" w:cs="Arial"/>
          <w:spacing w:val="-3"/>
          <w:sz w:val="20"/>
          <w:szCs w:val="20"/>
        </w:rPr>
        <w:t xml:space="preserve"> </w:t>
      </w:r>
      <w:r w:rsidRPr="005827DA">
        <w:rPr>
          <w:rFonts w:ascii="Arial" w:hAnsi="Arial" w:cs="Arial"/>
          <w:sz w:val="20"/>
          <w:szCs w:val="20"/>
        </w:rPr>
        <w:t>passengers;</w:t>
      </w:r>
    </w:p>
    <w:p w14:paraId="45CC6C6A" w14:textId="77777777" w:rsidR="00F20810" w:rsidRPr="005827DA" w:rsidRDefault="00F20810" w:rsidP="005827DA">
      <w:pPr>
        <w:pStyle w:val="ListParagraph"/>
        <w:numPr>
          <w:ilvl w:val="1"/>
          <w:numId w:val="259"/>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assessment</w:t>
      </w:r>
      <w:r w:rsidRPr="005827DA">
        <w:rPr>
          <w:rFonts w:ascii="Arial" w:hAnsi="Arial" w:cs="Arial"/>
          <w:spacing w:val="-2"/>
          <w:sz w:val="20"/>
          <w:szCs w:val="20"/>
        </w:rPr>
        <w:t xml:space="preserve"> </w:t>
      </w:r>
      <w:r w:rsidRPr="005827DA">
        <w:rPr>
          <w:rFonts w:ascii="Arial" w:hAnsi="Arial" w:cs="Arial"/>
          <w:sz w:val="20"/>
          <w:szCs w:val="20"/>
        </w:rPr>
        <w:t>of</w:t>
      </w:r>
      <w:r w:rsidRPr="005827DA">
        <w:rPr>
          <w:rFonts w:ascii="Arial" w:hAnsi="Arial" w:cs="Arial"/>
          <w:spacing w:val="-2"/>
          <w:sz w:val="20"/>
          <w:szCs w:val="20"/>
        </w:rPr>
        <w:t xml:space="preserve"> </w:t>
      </w:r>
      <w:r w:rsidRPr="005827DA">
        <w:rPr>
          <w:rFonts w:ascii="Arial" w:hAnsi="Arial" w:cs="Arial"/>
          <w:sz w:val="20"/>
          <w:szCs w:val="20"/>
        </w:rPr>
        <w:t>wind</w:t>
      </w:r>
      <w:r w:rsidRPr="005827DA">
        <w:rPr>
          <w:rFonts w:ascii="Arial" w:hAnsi="Arial" w:cs="Arial"/>
          <w:spacing w:val="-2"/>
          <w:sz w:val="20"/>
          <w:szCs w:val="20"/>
        </w:rPr>
        <w:t xml:space="preserve"> </w:t>
      </w:r>
      <w:r w:rsidRPr="005827DA">
        <w:rPr>
          <w:rFonts w:ascii="Arial" w:hAnsi="Arial" w:cs="Arial"/>
          <w:sz w:val="20"/>
          <w:szCs w:val="20"/>
        </w:rPr>
        <w:t>and</w:t>
      </w:r>
      <w:r w:rsidRPr="005827DA">
        <w:rPr>
          <w:rFonts w:ascii="Arial" w:hAnsi="Arial" w:cs="Arial"/>
          <w:spacing w:val="-1"/>
          <w:sz w:val="20"/>
          <w:szCs w:val="20"/>
        </w:rPr>
        <w:t xml:space="preserve"> </w:t>
      </w:r>
      <w:r w:rsidRPr="005827DA">
        <w:rPr>
          <w:rFonts w:ascii="Arial" w:hAnsi="Arial" w:cs="Arial"/>
          <w:sz w:val="20"/>
          <w:szCs w:val="20"/>
        </w:rPr>
        <w:t>obstacles;</w:t>
      </w:r>
      <w:r w:rsidRPr="005827DA">
        <w:rPr>
          <w:rFonts w:ascii="Arial" w:hAnsi="Arial" w:cs="Arial"/>
          <w:spacing w:val="-1"/>
          <w:sz w:val="20"/>
          <w:szCs w:val="20"/>
        </w:rPr>
        <w:t xml:space="preserve"> </w:t>
      </w:r>
      <w:r w:rsidRPr="005827DA">
        <w:rPr>
          <w:rFonts w:ascii="Arial" w:hAnsi="Arial" w:cs="Arial"/>
          <w:sz w:val="20"/>
          <w:szCs w:val="20"/>
        </w:rPr>
        <w:t>and</w:t>
      </w:r>
    </w:p>
    <w:p w14:paraId="4E680216" w14:textId="77777777" w:rsidR="00F20810" w:rsidRPr="005827DA" w:rsidRDefault="00F20810" w:rsidP="005827DA">
      <w:pPr>
        <w:pStyle w:val="ListParagraph"/>
        <w:numPr>
          <w:ilvl w:val="1"/>
          <w:numId w:val="259"/>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controlled</w:t>
      </w:r>
      <w:r w:rsidRPr="005827DA">
        <w:rPr>
          <w:rFonts w:ascii="Arial" w:hAnsi="Arial" w:cs="Arial"/>
          <w:spacing w:val="-1"/>
          <w:sz w:val="20"/>
          <w:szCs w:val="20"/>
        </w:rPr>
        <w:t xml:space="preserve"> </w:t>
      </w:r>
      <w:r w:rsidRPr="005827DA">
        <w:rPr>
          <w:rFonts w:ascii="Arial" w:hAnsi="Arial" w:cs="Arial"/>
          <w:sz w:val="20"/>
          <w:szCs w:val="20"/>
        </w:rPr>
        <w:t>climb</w:t>
      </w:r>
      <w:r w:rsidRPr="005827DA">
        <w:rPr>
          <w:rFonts w:ascii="Arial" w:hAnsi="Arial" w:cs="Arial"/>
          <w:spacing w:val="-2"/>
          <w:sz w:val="20"/>
          <w:szCs w:val="20"/>
        </w:rPr>
        <w:t xml:space="preserve"> </w:t>
      </w:r>
      <w:r w:rsidRPr="005827DA">
        <w:rPr>
          <w:rFonts w:ascii="Arial" w:hAnsi="Arial" w:cs="Arial"/>
          <w:sz w:val="20"/>
          <w:szCs w:val="20"/>
        </w:rPr>
        <w:t>to a</w:t>
      </w:r>
      <w:r w:rsidRPr="005827DA">
        <w:rPr>
          <w:rFonts w:ascii="Arial" w:hAnsi="Arial" w:cs="Arial"/>
          <w:spacing w:val="-3"/>
          <w:sz w:val="20"/>
          <w:szCs w:val="20"/>
        </w:rPr>
        <w:t xml:space="preserve"> </w:t>
      </w:r>
      <w:r w:rsidRPr="005827DA">
        <w:rPr>
          <w:rFonts w:ascii="Arial" w:hAnsi="Arial" w:cs="Arial"/>
          <w:sz w:val="20"/>
          <w:szCs w:val="20"/>
        </w:rPr>
        <w:t>pre-defined</w:t>
      </w:r>
      <w:r w:rsidRPr="005827DA">
        <w:rPr>
          <w:rFonts w:ascii="Arial" w:hAnsi="Arial" w:cs="Arial"/>
          <w:spacing w:val="-1"/>
          <w:sz w:val="20"/>
          <w:szCs w:val="20"/>
        </w:rPr>
        <w:t xml:space="preserve"> </w:t>
      </w:r>
      <w:r w:rsidRPr="005827DA">
        <w:rPr>
          <w:rFonts w:ascii="Arial" w:hAnsi="Arial" w:cs="Arial"/>
          <w:sz w:val="20"/>
          <w:szCs w:val="20"/>
        </w:rPr>
        <w:t>altitude (at</w:t>
      </w:r>
      <w:r w:rsidRPr="005827DA">
        <w:rPr>
          <w:rFonts w:ascii="Arial" w:hAnsi="Arial" w:cs="Arial"/>
          <w:spacing w:val="-3"/>
          <w:sz w:val="20"/>
          <w:szCs w:val="20"/>
        </w:rPr>
        <w:t xml:space="preserve"> </w:t>
      </w:r>
      <w:r w:rsidRPr="005827DA">
        <w:rPr>
          <w:rFonts w:ascii="Arial" w:hAnsi="Arial" w:cs="Arial"/>
          <w:sz w:val="20"/>
          <w:szCs w:val="20"/>
        </w:rPr>
        <w:t>least</w:t>
      </w:r>
      <w:r w:rsidRPr="005827DA">
        <w:rPr>
          <w:rFonts w:ascii="Arial" w:hAnsi="Arial" w:cs="Arial"/>
          <w:spacing w:val="-3"/>
          <w:sz w:val="20"/>
          <w:szCs w:val="20"/>
        </w:rPr>
        <w:t xml:space="preserve"> </w:t>
      </w:r>
      <w:r w:rsidRPr="005827DA">
        <w:rPr>
          <w:rFonts w:ascii="Arial" w:hAnsi="Arial" w:cs="Arial"/>
          <w:sz w:val="20"/>
          <w:szCs w:val="20"/>
        </w:rPr>
        <w:t>60</w:t>
      </w:r>
      <w:r w:rsidRPr="005827DA">
        <w:rPr>
          <w:rFonts w:ascii="Arial" w:hAnsi="Arial" w:cs="Arial"/>
          <w:spacing w:val="-1"/>
          <w:sz w:val="20"/>
          <w:szCs w:val="20"/>
        </w:rPr>
        <w:t xml:space="preserve"> </w:t>
      </w:r>
      <w:r w:rsidRPr="005827DA">
        <w:rPr>
          <w:rFonts w:ascii="Arial" w:hAnsi="Arial" w:cs="Arial"/>
          <w:sz w:val="20"/>
          <w:szCs w:val="20"/>
        </w:rPr>
        <w:t>ft</w:t>
      </w:r>
      <w:r w:rsidRPr="005827DA">
        <w:rPr>
          <w:rFonts w:ascii="Arial" w:hAnsi="Arial" w:cs="Arial"/>
          <w:spacing w:val="-1"/>
          <w:sz w:val="20"/>
          <w:szCs w:val="20"/>
        </w:rPr>
        <w:t xml:space="preserve"> </w:t>
      </w:r>
      <w:r w:rsidRPr="005827DA">
        <w:rPr>
          <w:rFonts w:ascii="Arial" w:hAnsi="Arial" w:cs="Arial"/>
          <w:sz w:val="20"/>
          <w:szCs w:val="20"/>
        </w:rPr>
        <w:t>(20</w:t>
      </w:r>
      <w:r w:rsidRPr="005827DA">
        <w:rPr>
          <w:rFonts w:ascii="Arial" w:hAnsi="Arial" w:cs="Arial"/>
          <w:spacing w:val="-3"/>
          <w:sz w:val="20"/>
          <w:szCs w:val="20"/>
        </w:rPr>
        <w:t xml:space="preserve"> </w:t>
      </w:r>
      <w:r w:rsidRPr="005827DA">
        <w:rPr>
          <w:rFonts w:ascii="Arial" w:hAnsi="Arial" w:cs="Arial"/>
          <w:sz w:val="20"/>
          <w:szCs w:val="20"/>
        </w:rPr>
        <w:t>m)).</w:t>
      </w:r>
    </w:p>
    <w:p w14:paraId="0724EF32" w14:textId="77777777" w:rsidR="00F20810" w:rsidRPr="005827DA" w:rsidRDefault="00F20810" w:rsidP="005827DA">
      <w:pPr>
        <w:pStyle w:val="ListParagraph"/>
        <w:numPr>
          <w:ilvl w:val="0"/>
          <w:numId w:val="259"/>
        </w:numPr>
        <w:tabs>
          <w:tab w:val="left" w:pos="90"/>
          <w:tab w:val="left" w:pos="2408"/>
          <w:tab w:val="left" w:pos="2409"/>
        </w:tabs>
        <w:spacing w:line="276" w:lineRule="auto"/>
        <w:ind w:right="68" w:hanging="436"/>
        <w:jc w:val="both"/>
        <w:rPr>
          <w:rFonts w:ascii="Arial" w:hAnsi="Arial" w:cs="Arial"/>
          <w:sz w:val="20"/>
          <w:szCs w:val="20"/>
        </w:rPr>
      </w:pPr>
      <w:r w:rsidRPr="005827DA">
        <w:rPr>
          <w:rFonts w:ascii="Arial" w:hAnsi="Arial" w:cs="Arial"/>
          <w:sz w:val="20"/>
          <w:szCs w:val="20"/>
        </w:rPr>
        <w:t>Air</w:t>
      </w:r>
      <w:r w:rsidRPr="005827DA">
        <w:rPr>
          <w:rFonts w:ascii="Arial" w:hAnsi="Arial" w:cs="Arial"/>
          <w:spacing w:val="-1"/>
          <w:sz w:val="20"/>
          <w:szCs w:val="20"/>
        </w:rPr>
        <w:t xml:space="preserve"> </w:t>
      </w:r>
      <w:r w:rsidRPr="005827DA">
        <w:rPr>
          <w:rFonts w:ascii="Arial" w:hAnsi="Arial" w:cs="Arial"/>
          <w:sz w:val="20"/>
          <w:szCs w:val="20"/>
        </w:rPr>
        <w:t>exercise</w:t>
      </w:r>
    </w:p>
    <w:p w14:paraId="2EF9058A" w14:textId="77777777" w:rsidR="00F20810" w:rsidRPr="005827DA" w:rsidRDefault="00F20810" w:rsidP="005827DA">
      <w:pPr>
        <w:pStyle w:val="BodyText"/>
        <w:tabs>
          <w:tab w:val="left" w:pos="90"/>
        </w:tabs>
        <w:spacing w:before="121" w:line="276" w:lineRule="auto"/>
        <w:ind w:left="2408"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student</w:t>
      </w:r>
      <w:r w:rsidRPr="005827DA">
        <w:rPr>
          <w:rFonts w:ascii="Arial" w:hAnsi="Arial" w:cs="Arial"/>
          <w:spacing w:val="-3"/>
          <w:sz w:val="20"/>
          <w:szCs w:val="20"/>
        </w:rPr>
        <w:t xml:space="preserve"> </w:t>
      </w:r>
      <w:r w:rsidRPr="005827DA">
        <w:rPr>
          <w:rFonts w:ascii="Arial" w:hAnsi="Arial" w:cs="Arial"/>
          <w:sz w:val="20"/>
          <w:szCs w:val="20"/>
        </w:rPr>
        <w:t>instructor</w:t>
      </w:r>
      <w:r w:rsidRPr="005827DA">
        <w:rPr>
          <w:rFonts w:ascii="Arial" w:hAnsi="Arial" w:cs="Arial"/>
          <w:spacing w:val="-1"/>
          <w:sz w:val="20"/>
          <w:szCs w:val="20"/>
        </w:rPr>
        <w:t xml:space="preserve"> </w:t>
      </w:r>
      <w:r w:rsidRPr="005827DA">
        <w:rPr>
          <w:rFonts w:ascii="Arial" w:hAnsi="Arial" w:cs="Arial"/>
          <w:sz w:val="20"/>
          <w:szCs w:val="20"/>
        </w:rPr>
        <w:t>has</w:t>
      </w:r>
      <w:r w:rsidRPr="005827DA">
        <w:rPr>
          <w:rFonts w:ascii="Arial" w:hAnsi="Arial" w:cs="Arial"/>
          <w:spacing w:val="-6"/>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demonstrate:</w:t>
      </w:r>
    </w:p>
    <w:p w14:paraId="225657B3" w14:textId="77777777" w:rsidR="00F20810" w:rsidRPr="005827DA" w:rsidRDefault="00F20810" w:rsidP="005827DA">
      <w:pPr>
        <w:pStyle w:val="ListParagraph"/>
        <w:numPr>
          <w:ilvl w:val="1"/>
          <w:numId w:val="259"/>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3"/>
          <w:sz w:val="20"/>
          <w:szCs w:val="20"/>
        </w:rPr>
        <w:t xml:space="preserve"> </w:t>
      </w:r>
      <w:r w:rsidRPr="005827DA">
        <w:rPr>
          <w:rFonts w:ascii="Arial" w:hAnsi="Arial" w:cs="Arial"/>
          <w:sz w:val="20"/>
          <w:szCs w:val="20"/>
        </w:rPr>
        <w:t>ground</w:t>
      </w:r>
      <w:r w:rsidRPr="005827DA">
        <w:rPr>
          <w:rFonts w:ascii="Arial" w:hAnsi="Arial" w:cs="Arial"/>
          <w:spacing w:val="-4"/>
          <w:sz w:val="20"/>
          <w:szCs w:val="20"/>
        </w:rPr>
        <w:t xml:space="preserve"> </w:t>
      </w:r>
      <w:r w:rsidRPr="005827DA">
        <w:rPr>
          <w:rFonts w:ascii="Arial" w:hAnsi="Arial" w:cs="Arial"/>
          <w:sz w:val="20"/>
          <w:szCs w:val="20"/>
        </w:rPr>
        <w:t>preparations;</w:t>
      </w:r>
    </w:p>
    <w:p w14:paraId="656F3C53" w14:textId="77777777" w:rsidR="00F20810" w:rsidRPr="005827DA" w:rsidRDefault="00F20810" w:rsidP="005827DA">
      <w:pPr>
        <w:pStyle w:val="ListParagraph"/>
        <w:numPr>
          <w:ilvl w:val="1"/>
          <w:numId w:val="259"/>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tethering</w:t>
      </w:r>
      <w:r w:rsidRPr="005827DA">
        <w:rPr>
          <w:rFonts w:ascii="Arial" w:hAnsi="Arial" w:cs="Arial"/>
          <w:spacing w:val="-2"/>
          <w:sz w:val="20"/>
          <w:szCs w:val="20"/>
        </w:rPr>
        <w:t xml:space="preserve"> </w:t>
      </w:r>
      <w:r w:rsidRPr="005827DA">
        <w:rPr>
          <w:rFonts w:ascii="Arial" w:hAnsi="Arial" w:cs="Arial"/>
          <w:sz w:val="20"/>
          <w:szCs w:val="20"/>
        </w:rPr>
        <w:t>techniques;</w:t>
      </w:r>
    </w:p>
    <w:p w14:paraId="776A353C" w14:textId="77777777" w:rsidR="00F20810" w:rsidRPr="005827DA" w:rsidRDefault="00F20810" w:rsidP="005827DA">
      <w:pPr>
        <w:pStyle w:val="ListParagraph"/>
        <w:numPr>
          <w:ilvl w:val="1"/>
          <w:numId w:val="259"/>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understanding</w:t>
      </w:r>
      <w:r w:rsidRPr="005827DA">
        <w:rPr>
          <w:rFonts w:ascii="Arial" w:hAnsi="Arial" w:cs="Arial"/>
          <w:spacing w:val="-2"/>
          <w:sz w:val="20"/>
          <w:szCs w:val="20"/>
        </w:rPr>
        <w:t xml:space="preserve"> </w:t>
      </w:r>
      <w:r w:rsidRPr="005827DA">
        <w:rPr>
          <w:rFonts w:ascii="Arial" w:hAnsi="Arial" w:cs="Arial"/>
          <w:sz w:val="20"/>
          <w:szCs w:val="20"/>
        </w:rPr>
        <w:t>of</w:t>
      </w:r>
      <w:r w:rsidRPr="005827DA">
        <w:rPr>
          <w:rFonts w:ascii="Arial" w:hAnsi="Arial" w:cs="Arial"/>
          <w:spacing w:val="-3"/>
          <w:sz w:val="20"/>
          <w:szCs w:val="20"/>
        </w:rPr>
        <w:t xml:space="preserve"> </w:t>
      </w:r>
      <w:r w:rsidRPr="005827DA">
        <w:rPr>
          <w:rFonts w:ascii="Arial" w:hAnsi="Arial" w:cs="Arial"/>
          <w:sz w:val="20"/>
          <w:szCs w:val="20"/>
        </w:rPr>
        <w:t>maximum</w:t>
      </w:r>
      <w:r w:rsidRPr="005827DA">
        <w:rPr>
          <w:rFonts w:ascii="Arial" w:hAnsi="Arial" w:cs="Arial"/>
          <w:spacing w:val="-4"/>
          <w:sz w:val="20"/>
          <w:szCs w:val="20"/>
        </w:rPr>
        <w:t xml:space="preserve"> </w:t>
      </w:r>
      <w:r w:rsidRPr="005827DA">
        <w:rPr>
          <w:rFonts w:ascii="Arial" w:hAnsi="Arial" w:cs="Arial"/>
          <w:sz w:val="20"/>
          <w:szCs w:val="20"/>
        </w:rPr>
        <w:t>all-up-weight</w:t>
      </w:r>
      <w:r w:rsidRPr="005827DA">
        <w:rPr>
          <w:rFonts w:ascii="Arial" w:hAnsi="Arial" w:cs="Arial"/>
          <w:spacing w:val="-1"/>
          <w:sz w:val="20"/>
          <w:szCs w:val="20"/>
        </w:rPr>
        <w:t xml:space="preserve"> </w:t>
      </w:r>
      <w:r w:rsidRPr="005827DA">
        <w:rPr>
          <w:rFonts w:ascii="Arial" w:hAnsi="Arial" w:cs="Arial"/>
          <w:sz w:val="20"/>
          <w:szCs w:val="20"/>
        </w:rPr>
        <w:t>limitation;</w:t>
      </w:r>
    </w:p>
    <w:p w14:paraId="40892D04" w14:textId="77777777" w:rsidR="00F20810" w:rsidRPr="005827DA" w:rsidRDefault="00F20810" w:rsidP="005827DA">
      <w:pPr>
        <w:pStyle w:val="ListParagraph"/>
        <w:numPr>
          <w:ilvl w:val="1"/>
          <w:numId w:val="259"/>
        </w:numPr>
        <w:tabs>
          <w:tab w:val="left" w:pos="90"/>
          <w:tab w:val="left" w:pos="2975"/>
          <w:tab w:val="left" w:pos="2976"/>
        </w:tabs>
        <w:spacing w:before="118"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3"/>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perform</w:t>
      </w:r>
      <w:r w:rsidRPr="005827DA">
        <w:rPr>
          <w:rFonts w:ascii="Arial" w:hAnsi="Arial" w:cs="Arial"/>
          <w:spacing w:val="-1"/>
          <w:sz w:val="20"/>
          <w:szCs w:val="20"/>
        </w:rPr>
        <w:t xml:space="preserve"> </w:t>
      </w:r>
      <w:r w:rsidRPr="005827DA">
        <w:rPr>
          <w:rFonts w:ascii="Arial" w:hAnsi="Arial" w:cs="Arial"/>
          <w:sz w:val="20"/>
          <w:szCs w:val="20"/>
        </w:rPr>
        <w:t>crowd</w:t>
      </w:r>
      <w:r w:rsidRPr="005827DA">
        <w:rPr>
          <w:rFonts w:ascii="Arial" w:hAnsi="Arial" w:cs="Arial"/>
          <w:spacing w:val="-1"/>
          <w:sz w:val="20"/>
          <w:szCs w:val="20"/>
        </w:rPr>
        <w:t xml:space="preserve"> </w:t>
      </w:r>
      <w:r w:rsidRPr="005827DA">
        <w:rPr>
          <w:rFonts w:ascii="Arial" w:hAnsi="Arial" w:cs="Arial"/>
          <w:sz w:val="20"/>
          <w:szCs w:val="20"/>
        </w:rPr>
        <w:t>control;</w:t>
      </w:r>
    </w:p>
    <w:p w14:paraId="6990D3C8" w14:textId="77777777" w:rsidR="00F20810" w:rsidRPr="005827DA" w:rsidRDefault="00F20810" w:rsidP="005827DA">
      <w:pPr>
        <w:pStyle w:val="ListParagraph"/>
        <w:numPr>
          <w:ilvl w:val="1"/>
          <w:numId w:val="259"/>
        </w:numPr>
        <w:tabs>
          <w:tab w:val="left" w:pos="90"/>
          <w:tab w:val="left" w:pos="2975"/>
          <w:tab w:val="left" w:pos="2976"/>
        </w:tabs>
        <w:spacing w:before="56"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pre-take-off</w:t>
      </w:r>
      <w:r w:rsidRPr="005827DA">
        <w:rPr>
          <w:rFonts w:ascii="Arial" w:hAnsi="Arial" w:cs="Arial"/>
          <w:spacing w:val="-2"/>
          <w:sz w:val="20"/>
          <w:szCs w:val="20"/>
        </w:rPr>
        <w:t xml:space="preserve"> </w:t>
      </w:r>
      <w:r w:rsidRPr="005827DA">
        <w:rPr>
          <w:rFonts w:ascii="Arial" w:hAnsi="Arial" w:cs="Arial"/>
          <w:sz w:val="20"/>
          <w:szCs w:val="20"/>
        </w:rPr>
        <w:t>checks</w:t>
      </w:r>
      <w:r w:rsidRPr="005827DA">
        <w:rPr>
          <w:rFonts w:ascii="Arial" w:hAnsi="Arial" w:cs="Arial"/>
          <w:spacing w:val="-3"/>
          <w:sz w:val="20"/>
          <w:szCs w:val="20"/>
        </w:rPr>
        <w:t xml:space="preserve"> </w:t>
      </w:r>
      <w:r w:rsidRPr="005827DA">
        <w:rPr>
          <w:rFonts w:ascii="Arial" w:hAnsi="Arial" w:cs="Arial"/>
          <w:sz w:val="20"/>
          <w:szCs w:val="20"/>
        </w:rPr>
        <w:t>and</w:t>
      </w:r>
      <w:r w:rsidRPr="005827DA">
        <w:rPr>
          <w:rFonts w:ascii="Arial" w:hAnsi="Arial" w:cs="Arial"/>
          <w:spacing w:val="-3"/>
          <w:sz w:val="20"/>
          <w:szCs w:val="20"/>
        </w:rPr>
        <w:t xml:space="preserve"> </w:t>
      </w:r>
      <w:r w:rsidRPr="005827DA">
        <w:rPr>
          <w:rFonts w:ascii="Arial" w:hAnsi="Arial" w:cs="Arial"/>
          <w:sz w:val="20"/>
          <w:szCs w:val="20"/>
        </w:rPr>
        <w:t>briefings;</w:t>
      </w:r>
    </w:p>
    <w:p w14:paraId="74199DFC" w14:textId="77777777" w:rsidR="00F20810" w:rsidRPr="005827DA" w:rsidRDefault="00F20810" w:rsidP="005827DA">
      <w:pPr>
        <w:pStyle w:val="ListParagraph"/>
        <w:numPr>
          <w:ilvl w:val="1"/>
          <w:numId w:val="259"/>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heating</w:t>
      </w:r>
      <w:r w:rsidRPr="005827DA">
        <w:rPr>
          <w:rFonts w:ascii="Arial" w:hAnsi="Arial" w:cs="Arial"/>
          <w:spacing w:val="-3"/>
          <w:sz w:val="20"/>
          <w:szCs w:val="20"/>
        </w:rPr>
        <w:t xml:space="preserve"> </w:t>
      </w:r>
      <w:r w:rsidRPr="005827DA">
        <w:rPr>
          <w:rFonts w:ascii="Arial" w:hAnsi="Arial" w:cs="Arial"/>
          <w:sz w:val="20"/>
          <w:szCs w:val="20"/>
        </w:rPr>
        <w:t>for</w:t>
      </w:r>
      <w:r w:rsidRPr="005827DA">
        <w:rPr>
          <w:rFonts w:ascii="Arial" w:hAnsi="Arial" w:cs="Arial"/>
          <w:spacing w:val="-3"/>
          <w:sz w:val="20"/>
          <w:szCs w:val="20"/>
        </w:rPr>
        <w:t xml:space="preserve"> </w:t>
      </w:r>
      <w:r w:rsidRPr="005827DA">
        <w:rPr>
          <w:rFonts w:ascii="Arial" w:hAnsi="Arial" w:cs="Arial"/>
          <w:sz w:val="20"/>
          <w:szCs w:val="20"/>
        </w:rPr>
        <w:t>controlled</w:t>
      </w:r>
      <w:r w:rsidRPr="005827DA">
        <w:rPr>
          <w:rFonts w:ascii="Arial" w:hAnsi="Arial" w:cs="Arial"/>
          <w:spacing w:val="-2"/>
          <w:sz w:val="20"/>
          <w:szCs w:val="20"/>
        </w:rPr>
        <w:t xml:space="preserve"> </w:t>
      </w:r>
      <w:r w:rsidRPr="005827DA">
        <w:rPr>
          <w:rFonts w:ascii="Arial" w:hAnsi="Arial" w:cs="Arial"/>
          <w:sz w:val="20"/>
          <w:szCs w:val="20"/>
        </w:rPr>
        <w:t>lift-off;</w:t>
      </w:r>
    </w:p>
    <w:p w14:paraId="15CEAFD4" w14:textId="77777777" w:rsidR="00F20810" w:rsidRPr="005827DA" w:rsidRDefault="00F20810" w:rsidP="005827DA">
      <w:pPr>
        <w:pStyle w:val="ListParagraph"/>
        <w:numPr>
          <w:ilvl w:val="1"/>
          <w:numId w:val="259"/>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‘hands-off</w:t>
      </w:r>
      <w:r w:rsidRPr="005827DA">
        <w:rPr>
          <w:rFonts w:ascii="Arial" w:hAnsi="Arial" w:cs="Arial"/>
          <w:spacing w:val="-4"/>
          <w:sz w:val="20"/>
          <w:szCs w:val="20"/>
        </w:rPr>
        <w:t xml:space="preserve"> </w:t>
      </w:r>
      <w:r w:rsidRPr="005827DA">
        <w:rPr>
          <w:rFonts w:ascii="Arial" w:hAnsi="Arial" w:cs="Arial"/>
          <w:sz w:val="20"/>
          <w:szCs w:val="20"/>
        </w:rPr>
        <w:t>and</w:t>
      </w:r>
      <w:r w:rsidRPr="005827DA">
        <w:rPr>
          <w:rFonts w:ascii="Arial" w:hAnsi="Arial" w:cs="Arial"/>
          <w:spacing w:val="-1"/>
          <w:sz w:val="20"/>
          <w:szCs w:val="20"/>
        </w:rPr>
        <w:t xml:space="preserve"> </w:t>
      </w:r>
      <w:r w:rsidRPr="005827DA">
        <w:rPr>
          <w:rFonts w:ascii="Arial" w:hAnsi="Arial" w:cs="Arial"/>
          <w:sz w:val="20"/>
          <w:szCs w:val="20"/>
        </w:rPr>
        <w:t>hands-on’</w:t>
      </w:r>
      <w:r w:rsidRPr="005827DA">
        <w:rPr>
          <w:rFonts w:ascii="Arial" w:hAnsi="Arial" w:cs="Arial"/>
          <w:spacing w:val="-1"/>
          <w:sz w:val="20"/>
          <w:szCs w:val="20"/>
        </w:rPr>
        <w:t xml:space="preserve"> </w:t>
      </w:r>
      <w:r w:rsidRPr="005827DA">
        <w:rPr>
          <w:rFonts w:ascii="Arial" w:hAnsi="Arial" w:cs="Arial"/>
          <w:sz w:val="20"/>
          <w:szCs w:val="20"/>
        </w:rPr>
        <w:t>procedure</w:t>
      </w:r>
      <w:r w:rsidRPr="005827DA">
        <w:rPr>
          <w:rFonts w:ascii="Arial" w:hAnsi="Arial" w:cs="Arial"/>
          <w:spacing w:val="-2"/>
          <w:sz w:val="20"/>
          <w:szCs w:val="20"/>
        </w:rPr>
        <w:t xml:space="preserve"> </w:t>
      </w:r>
      <w:r w:rsidRPr="005827DA">
        <w:rPr>
          <w:rFonts w:ascii="Arial" w:hAnsi="Arial" w:cs="Arial"/>
          <w:sz w:val="20"/>
          <w:szCs w:val="20"/>
        </w:rPr>
        <w:t>for</w:t>
      </w:r>
      <w:r w:rsidRPr="005827DA">
        <w:rPr>
          <w:rFonts w:ascii="Arial" w:hAnsi="Arial" w:cs="Arial"/>
          <w:spacing w:val="-4"/>
          <w:sz w:val="20"/>
          <w:szCs w:val="20"/>
        </w:rPr>
        <w:t xml:space="preserve"> </w:t>
      </w:r>
      <w:r w:rsidRPr="005827DA">
        <w:rPr>
          <w:rFonts w:ascii="Arial" w:hAnsi="Arial" w:cs="Arial"/>
          <w:sz w:val="20"/>
          <w:szCs w:val="20"/>
        </w:rPr>
        <w:t>ground</w:t>
      </w:r>
      <w:r w:rsidRPr="005827DA">
        <w:rPr>
          <w:rFonts w:ascii="Arial" w:hAnsi="Arial" w:cs="Arial"/>
          <w:spacing w:val="-1"/>
          <w:sz w:val="20"/>
          <w:szCs w:val="20"/>
        </w:rPr>
        <w:t xml:space="preserve"> </w:t>
      </w:r>
      <w:r w:rsidRPr="005827DA">
        <w:rPr>
          <w:rFonts w:ascii="Arial" w:hAnsi="Arial" w:cs="Arial"/>
          <w:sz w:val="20"/>
          <w:szCs w:val="20"/>
        </w:rPr>
        <w:t>crew;</w:t>
      </w:r>
    </w:p>
    <w:p w14:paraId="353C256B" w14:textId="77777777" w:rsidR="00F20810" w:rsidRPr="005827DA" w:rsidRDefault="00F20810" w:rsidP="005827DA">
      <w:pPr>
        <w:pStyle w:val="ListParagraph"/>
        <w:numPr>
          <w:ilvl w:val="1"/>
          <w:numId w:val="259"/>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passenger</w:t>
      </w:r>
      <w:r w:rsidRPr="005827DA">
        <w:rPr>
          <w:rFonts w:ascii="Arial" w:hAnsi="Arial" w:cs="Arial"/>
          <w:spacing w:val="2"/>
          <w:sz w:val="20"/>
          <w:szCs w:val="20"/>
        </w:rPr>
        <w:t xml:space="preserve"> </w:t>
      </w:r>
      <w:r w:rsidRPr="005827DA">
        <w:rPr>
          <w:rFonts w:ascii="Arial" w:hAnsi="Arial" w:cs="Arial"/>
          <w:sz w:val="20"/>
          <w:szCs w:val="20"/>
        </w:rPr>
        <w:t>boarding</w:t>
      </w:r>
      <w:r w:rsidRPr="005827DA">
        <w:rPr>
          <w:rFonts w:ascii="Arial" w:hAnsi="Arial" w:cs="Arial"/>
          <w:spacing w:val="1"/>
          <w:sz w:val="20"/>
          <w:szCs w:val="20"/>
        </w:rPr>
        <w:t xml:space="preserve"> </w:t>
      </w:r>
      <w:r w:rsidRPr="005827DA">
        <w:rPr>
          <w:rFonts w:ascii="Arial" w:hAnsi="Arial" w:cs="Arial"/>
          <w:sz w:val="20"/>
          <w:szCs w:val="20"/>
        </w:rPr>
        <w:t>and</w:t>
      </w:r>
      <w:r w:rsidRPr="005827DA">
        <w:rPr>
          <w:rFonts w:ascii="Arial" w:hAnsi="Arial" w:cs="Arial"/>
          <w:spacing w:val="1"/>
          <w:sz w:val="20"/>
          <w:szCs w:val="20"/>
        </w:rPr>
        <w:t xml:space="preserve"> </w:t>
      </w:r>
      <w:r w:rsidRPr="005827DA">
        <w:rPr>
          <w:rFonts w:ascii="Arial" w:hAnsi="Arial" w:cs="Arial"/>
          <w:sz w:val="20"/>
          <w:szCs w:val="20"/>
        </w:rPr>
        <w:t>disembarkation;</w:t>
      </w:r>
      <w:r w:rsidRPr="005827DA">
        <w:rPr>
          <w:rFonts w:ascii="Arial" w:hAnsi="Arial" w:cs="Arial"/>
          <w:spacing w:val="3"/>
          <w:sz w:val="20"/>
          <w:szCs w:val="20"/>
        </w:rPr>
        <w:t xml:space="preserve"> </w:t>
      </w:r>
      <w:r w:rsidRPr="005827DA">
        <w:rPr>
          <w:rFonts w:ascii="Arial" w:hAnsi="Arial" w:cs="Arial"/>
          <w:sz w:val="20"/>
          <w:szCs w:val="20"/>
        </w:rPr>
        <w:t>exchange</w:t>
      </w:r>
      <w:r w:rsidRPr="005827DA">
        <w:rPr>
          <w:rFonts w:ascii="Arial" w:hAnsi="Arial" w:cs="Arial"/>
          <w:spacing w:val="2"/>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passengers</w:t>
      </w:r>
      <w:r w:rsidRPr="005827DA">
        <w:rPr>
          <w:rFonts w:ascii="Arial" w:hAnsi="Arial" w:cs="Arial"/>
          <w:spacing w:val="-47"/>
          <w:sz w:val="20"/>
          <w:szCs w:val="20"/>
        </w:rPr>
        <w:t xml:space="preserve"> </w:t>
      </w:r>
      <w:r w:rsidRPr="005827DA">
        <w:rPr>
          <w:rFonts w:ascii="Arial" w:hAnsi="Arial" w:cs="Arial"/>
          <w:sz w:val="20"/>
          <w:szCs w:val="20"/>
        </w:rPr>
        <w:t>between</w:t>
      </w:r>
      <w:r w:rsidRPr="005827DA">
        <w:rPr>
          <w:rFonts w:ascii="Arial" w:hAnsi="Arial" w:cs="Arial"/>
          <w:spacing w:val="-1"/>
          <w:sz w:val="20"/>
          <w:szCs w:val="20"/>
        </w:rPr>
        <w:t xml:space="preserve"> </w:t>
      </w:r>
      <w:r w:rsidRPr="005827DA">
        <w:rPr>
          <w:rFonts w:ascii="Arial" w:hAnsi="Arial" w:cs="Arial"/>
          <w:sz w:val="20"/>
          <w:szCs w:val="20"/>
        </w:rPr>
        <w:t>flights</w:t>
      </w:r>
    </w:p>
    <w:p w14:paraId="5F7445B2" w14:textId="77777777" w:rsidR="00F20810" w:rsidRPr="005827DA" w:rsidRDefault="00F20810" w:rsidP="005827DA">
      <w:pPr>
        <w:pStyle w:val="ListParagraph"/>
        <w:numPr>
          <w:ilvl w:val="1"/>
          <w:numId w:val="259"/>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assessment</w:t>
      </w:r>
      <w:r w:rsidRPr="005827DA">
        <w:rPr>
          <w:rFonts w:ascii="Arial" w:hAnsi="Arial" w:cs="Arial"/>
          <w:spacing w:val="-2"/>
          <w:sz w:val="20"/>
          <w:szCs w:val="20"/>
        </w:rPr>
        <w:t xml:space="preserve"> </w:t>
      </w:r>
      <w:r w:rsidRPr="005827DA">
        <w:rPr>
          <w:rFonts w:ascii="Arial" w:hAnsi="Arial" w:cs="Arial"/>
          <w:sz w:val="20"/>
          <w:szCs w:val="20"/>
        </w:rPr>
        <w:t>of</w:t>
      </w:r>
      <w:r w:rsidRPr="005827DA">
        <w:rPr>
          <w:rFonts w:ascii="Arial" w:hAnsi="Arial" w:cs="Arial"/>
          <w:spacing w:val="-2"/>
          <w:sz w:val="20"/>
          <w:szCs w:val="20"/>
        </w:rPr>
        <w:t xml:space="preserve"> </w:t>
      </w:r>
      <w:r w:rsidRPr="005827DA">
        <w:rPr>
          <w:rFonts w:ascii="Arial" w:hAnsi="Arial" w:cs="Arial"/>
          <w:sz w:val="20"/>
          <w:szCs w:val="20"/>
        </w:rPr>
        <w:t>wind</w:t>
      </w:r>
      <w:r w:rsidRPr="005827DA">
        <w:rPr>
          <w:rFonts w:ascii="Arial" w:hAnsi="Arial" w:cs="Arial"/>
          <w:spacing w:val="-2"/>
          <w:sz w:val="20"/>
          <w:szCs w:val="20"/>
        </w:rPr>
        <w:t xml:space="preserve"> </w:t>
      </w:r>
      <w:r w:rsidRPr="005827DA">
        <w:rPr>
          <w:rFonts w:ascii="Arial" w:hAnsi="Arial" w:cs="Arial"/>
          <w:sz w:val="20"/>
          <w:szCs w:val="20"/>
        </w:rPr>
        <w:t>and</w:t>
      </w:r>
      <w:r w:rsidRPr="005827DA">
        <w:rPr>
          <w:rFonts w:ascii="Arial" w:hAnsi="Arial" w:cs="Arial"/>
          <w:spacing w:val="-2"/>
          <w:sz w:val="20"/>
          <w:szCs w:val="20"/>
        </w:rPr>
        <w:t xml:space="preserve"> </w:t>
      </w:r>
      <w:r w:rsidRPr="005827DA">
        <w:rPr>
          <w:rFonts w:ascii="Arial" w:hAnsi="Arial" w:cs="Arial"/>
          <w:sz w:val="20"/>
          <w:szCs w:val="20"/>
        </w:rPr>
        <w:t>obstacles;</w:t>
      </w:r>
    </w:p>
    <w:p w14:paraId="0AA2B6FA" w14:textId="77777777" w:rsidR="00F20810" w:rsidRPr="005827DA" w:rsidRDefault="00F20810" w:rsidP="005827DA">
      <w:pPr>
        <w:pStyle w:val="ListParagraph"/>
        <w:numPr>
          <w:ilvl w:val="1"/>
          <w:numId w:val="259"/>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controlled</w:t>
      </w:r>
      <w:r w:rsidRPr="005827DA">
        <w:rPr>
          <w:rFonts w:ascii="Arial" w:hAnsi="Arial" w:cs="Arial"/>
          <w:spacing w:val="-1"/>
          <w:sz w:val="20"/>
          <w:szCs w:val="20"/>
        </w:rPr>
        <w:t xml:space="preserve"> </w:t>
      </w:r>
      <w:r w:rsidRPr="005827DA">
        <w:rPr>
          <w:rFonts w:ascii="Arial" w:hAnsi="Arial" w:cs="Arial"/>
          <w:sz w:val="20"/>
          <w:szCs w:val="20"/>
        </w:rPr>
        <w:t>climb;</w:t>
      </w:r>
    </w:p>
    <w:p w14:paraId="1F524B38" w14:textId="77777777" w:rsidR="00F20810" w:rsidRPr="005827DA" w:rsidRDefault="00F20810" w:rsidP="005827DA">
      <w:pPr>
        <w:pStyle w:val="ListParagraph"/>
        <w:numPr>
          <w:ilvl w:val="1"/>
          <w:numId w:val="259"/>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landing</w:t>
      </w:r>
      <w:r w:rsidRPr="005827DA">
        <w:rPr>
          <w:rFonts w:ascii="Arial" w:hAnsi="Arial" w:cs="Arial"/>
          <w:spacing w:val="-1"/>
          <w:sz w:val="20"/>
          <w:szCs w:val="20"/>
        </w:rPr>
        <w:t xml:space="preserve"> </w:t>
      </w:r>
      <w:r w:rsidRPr="005827DA">
        <w:rPr>
          <w:rFonts w:ascii="Arial" w:hAnsi="Arial" w:cs="Arial"/>
          <w:sz w:val="20"/>
          <w:szCs w:val="20"/>
        </w:rPr>
        <w:t>techniques;</w:t>
      </w:r>
    </w:p>
    <w:p w14:paraId="331C783D" w14:textId="77777777" w:rsidR="00F20810" w:rsidRPr="005827DA" w:rsidRDefault="00F20810" w:rsidP="005827DA">
      <w:pPr>
        <w:pStyle w:val="ListParagraph"/>
        <w:numPr>
          <w:ilvl w:val="1"/>
          <w:numId w:val="259"/>
        </w:numPr>
        <w:tabs>
          <w:tab w:val="left" w:pos="90"/>
          <w:tab w:val="left" w:pos="2975"/>
          <w:tab w:val="left" w:pos="2976"/>
        </w:tabs>
        <w:spacing w:before="118"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7"/>
          <w:sz w:val="20"/>
          <w:szCs w:val="20"/>
        </w:rPr>
        <w:t xml:space="preserve"> </w:t>
      </w:r>
      <w:r w:rsidRPr="005827DA">
        <w:rPr>
          <w:rFonts w:ascii="Arial" w:hAnsi="Arial" w:cs="Arial"/>
          <w:sz w:val="20"/>
          <w:szCs w:val="20"/>
        </w:rPr>
        <w:t>to</w:t>
      </w:r>
      <w:r w:rsidRPr="005827DA">
        <w:rPr>
          <w:rFonts w:ascii="Arial" w:hAnsi="Arial" w:cs="Arial"/>
          <w:spacing w:val="7"/>
          <w:sz w:val="20"/>
          <w:szCs w:val="20"/>
        </w:rPr>
        <w:t xml:space="preserve"> </w:t>
      </w:r>
      <w:r w:rsidRPr="005827DA">
        <w:rPr>
          <w:rFonts w:ascii="Arial" w:hAnsi="Arial" w:cs="Arial"/>
          <w:sz w:val="20"/>
          <w:szCs w:val="20"/>
        </w:rPr>
        <w:t>advise</w:t>
      </w:r>
      <w:r w:rsidRPr="005827DA">
        <w:rPr>
          <w:rFonts w:ascii="Arial" w:hAnsi="Arial" w:cs="Arial"/>
          <w:spacing w:val="7"/>
          <w:sz w:val="20"/>
          <w:szCs w:val="20"/>
        </w:rPr>
        <w:t xml:space="preserve"> </w:t>
      </w:r>
      <w:r w:rsidRPr="005827DA">
        <w:rPr>
          <w:rFonts w:ascii="Arial" w:hAnsi="Arial" w:cs="Arial"/>
          <w:sz w:val="20"/>
          <w:szCs w:val="20"/>
        </w:rPr>
        <w:t>the</w:t>
      </w:r>
      <w:r w:rsidRPr="005827DA">
        <w:rPr>
          <w:rFonts w:ascii="Arial" w:hAnsi="Arial" w:cs="Arial"/>
          <w:spacing w:val="7"/>
          <w:sz w:val="20"/>
          <w:szCs w:val="20"/>
        </w:rPr>
        <w:t xml:space="preserve"> </w:t>
      </w:r>
      <w:r w:rsidRPr="005827DA">
        <w:rPr>
          <w:rFonts w:ascii="Arial" w:hAnsi="Arial" w:cs="Arial"/>
          <w:sz w:val="20"/>
          <w:szCs w:val="20"/>
        </w:rPr>
        <w:t>student</w:t>
      </w:r>
      <w:r w:rsidRPr="005827DA">
        <w:rPr>
          <w:rFonts w:ascii="Arial" w:hAnsi="Arial" w:cs="Arial"/>
          <w:spacing w:val="7"/>
          <w:sz w:val="20"/>
          <w:szCs w:val="20"/>
        </w:rPr>
        <w:t xml:space="preserve"> </w:t>
      </w:r>
      <w:r w:rsidRPr="005827DA">
        <w:rPr>
          <w:rFonts w:ascii="Arial" w:hAnsi="Arial" w:cs="Arial"/>
          <w:sz w:val="20"/>
          <w:szCs w:val="20"/>
        </w:rPr>
        <w:t>pilot</w:t>
      </w:r>
      <w:r w:rsidRPr="005827DA">
        <w:rPr>
          <w:rFonts w:ascii="Arial" w:hAnsi="Arial" w:cs="Arial"/>
          <w:spacing w:val="7"/>
          <w:sz w:val="20"/>
          <w:szCs w:val="20"/>
        </w:rPr>
        <w:t xml:space="preserve"> </w:t>
      </w:r>
      <w:r w:rsidRPr="005827DA">
        <w:rPr>
          <w:rFonts w:ascii="Arial" w:hAnsi="Arial" w:cs="Arial"/>
          <w:sz w:val="20"/>
          <w:szCs w:val="20"/>
        </w:rPr>
        <w:t>on</w:t>
      </w:r>
      <w:r w:rsidRPr="005827DA">
        <w:rPr>
          <w:rFonts w:ascii="Arial" w:hAnsi="Arial" w:cs="Arial"/>
          <w:spacing w:val="5"/>
          <w:sz w:val="20"/>
          <w:szCs w:val="20"/>
        </w:rPr>
        <w:t xml:space="preserve"> </w:t>
      </w:r>
      <w:r w:rsidRPr="005827DA">
        <w:rPr>
          <w:rFonts w:ascii="Arial" w:hAnsi="Arial" w:cs="Arial"/>
          <w:sz w:val="20"/>
          <w:szCs w:val="20"/>
        </w:rPr>
        <w:t>how</w:t>
      </w:r>
      <w:r w:rsidRPr="005827DA">
        <w:rPr>
          <w:rFonts w:ascii="Arial" w:hAnsi="Arial" w:cs="Arial"/>
          <w:spacing w:val="8"/>
          <w:sz w:val="20"/>
          <w:szCs w:val="20"/>
        </w:rPr>
        <w:t xml:space="preserve"> </w:t>
      </w:r>
      <w:r w:rsidRPr="005827DA">
        <w:rPr>
          <w:rFonts w:ascii="Arial" w:hAnsi="Arial" w:cs="Arial"/>
          <w:sz w:val="20"/>
          <w:szCs w:val="20"/>
        </w:rPr>
        <w:t>to</w:t>
      </w:r>
      <w:r w:rsidRPr="005827DA">
        <w:rPr>
          <w:rFonts w:ascii="Arial" w:hAnsi="Arial" w:cs="Arial"/>
          <w:spacing w:val="7"/>
          <w:sz w:val="20"/>
          <w:szCs w:val="20"/>
        </w:rPr>
        <w:t xml:space="preserve"> </w:t>
      </w:r>
      <w:r w:rsidRPr="005827DA">
        <w:rPr>
          <w:rFonts w:ascii="Arial" w:hAnsi="Arial" w:cs="Arial"/>
          <w:sz w:val="20"/>
          <w:szCs w:val="20"/>
        </w:rPr>
        <w:t>perform</w:t>
      </w:r>
      <w:r w:rsidRPr="005827DA">
        <w:rPr>
          <w:rFonts w:ascii="Arial" w:hAnsi="Arial" w:cs="Arial"/>
          <w:spacing w:val="7"/>
          <w:sz w:val="20"/>
          <w:szCs w:val="20"/>
        </w:rPr>
        <w:t xml:space="preserve"> </w:t>
      </w:r>
      <w:r w:rsidRPr="005827DA">
        <w:rPr>
          <w:rFonts w:ascii="Arial" w:hAnsi="Arial" w:cs="Arial"/>
          <w:sz w:val="20"/>
          <w:szCs w:val="20"/>
        </w:rPr>
        <w:t>a</w:t>
      </w:r>
      <w:r w:rsidRPr="005827DA">
        <w:rPr>
          <w:rFonts w:ascii="Arial" w:hAnsi="Arial" w:cs="Arial"/>
          <w:spacing w:val="5"/>
          <w:sz w:val="20"/>
          <w:szCs w:val="20"/>
        </w:rPr>
        <w:t xml:space="preserve"> </w:t>
      </w:r>
      <w:r w:rsidRPr="005827DA">
        <w:rPr>
          <w:rFonts w:ascii="Arial" w:hAnsi="Arial" w:cs="Arial"/>
          <w:sz w:val="20"/>
          <w:szCs w:val="20"/>
        </w:rPr>
        <w:t>tethered</w:t>
      </w:r>
      <w:r w:rsidRPr="005827DA">
        <w:rPr>
          <w:rFonts w:ascii="Arial" w:hAnsi="Arial" w:cs="Arial"/>
          <w:spacing w:val="6"/>
          <w:sz w:val="20"/>
          <w:szCs w:val="20"/>
        </w:rPr>
        <w:t xml:space="preserve"> </w:t>
      </w:r>
      <w:r w:rsidRPr="005827DA">
        <w:rPr>
          <w:rFonts w:ascii="Arial" w:hAnsi="Arial" w:cs="Arial"/>
          <w:sz w:val="20"/>
          <w:szCs w:val="20"/>
        </w:rPr>
        <w:t>flight;</w:t>
      </w:r>
      <w:r w:rsidRPr="005827DA">
        <w:rPr>
          <w:rFonts w:ascii="Arial" w:hAnsi="Arial" w:cs="Arial"/>
          <w:spacing w:val="-47"/>
          <w:sz w:val="20"/>
          <w:szCs w:val="20"/>
        </w:rPr>
        <w:t xml:space="preserve"> </w:t>
      </w:r>
      <w:r w:rsidRPr="005827DA">
        <w:rPr>
          <w:rFonts w:ascii="Arial" w:hAnsi="Arial" w:cs="Arial"/>
          <w:sz w:val="20"/>
          <w:szCs w:val="20"/>
        </w:rPr>
        <w:t>and</w:t>
      </w:r>
    </w:p>
    <w:p w14:paraId="663D8E48" w14:textId="77777777" w:rsidR="00F20810" w:rsidRPr="005827DA" w:rsidRDefault="00F20810" w:rsidP="005827DA">
      <w:pPr>
        <w:pStyle w:val="ListParagraph"/>
        <w:numPr>
          <w:ilvl w:val="1"/>
          <w:numId w:val="259"/>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2"/>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analyse</w:t>
      </w:r>
      <w:r w:rsidRPr="005827DA">
        <w:rPr>
          <w:rFonts w:ascii="Arial" w:hAnsi="Arial" w:cs="Arial"/>
          <w:spacing w:val="-2"/>
          <w:sz w:val="20"/>
          <w:szCs w:val="20"/>
        </w:rPr>
        <w:t xml:space="preserve"> </w:t>
      </w:r>
      <w:r w:rsidRPr="005827DA">
        <w:rPr>
          <w:rFonts w:ascii="Arial" w:hAnsi="Arial" w:cs="Arial"/>
          <w:sz w:val="20"/>
          <w:szCs w:val="20"/>
        </w:rPr>
        <w:t>and correct</w:t>
      </w:r>
      <w:r w:rsidRPr="005827DA">
        <w:rPr>
          <w:rFonts w:ascii="Arial" w:hAnsi="Arial" w:cs="Arial"/>
          <w:spacing w:val="-2"/>
          <w:sz w:val="20"/>
          <w:szCs w:val="20"/>
        </w:rPr>
        <w:t xml:space="preserve"> </w:t>
      </w:r>
      <w:r w:rsidRPr="005827DA">
        <w:rPr>
          <w:rFonts w:ascii="Arial" w:hAnsi="Arial" w:cs="Arial"/>
          <w:sz w:val="20"/>
          <w:szCs w:val="20"/>
        </w:rPr>
        <w:t>faults</w:t>
      </w:r>
      <w:r w:rsidRPr="005827DA">
        <w:rPr>
          <w:rFonts w:ascii="Arial" w:hAnsi="Arial" w:cs="Arial"/>
          <w:spacing w:val="-2"/>
          <w:sz w:val="20"/>
          <w:szCs w:val="20"/>
        </w:rPr>
        <w:t xml:space="preserve"> </w:t>
      </w:r>
      <w:r w:rsidRPr="005827DA">
        <w:rPr>
          <w:rFonts w:ascii="Arial" w:hAnsi="Arial" w:cs="Arial"/>
          <w:sz w:val="20"/>
          <w:szCs w:val="20"/>
        </w:rPr>
        <w:t>or errors</w:t>
      </w:r>
      <w:r w:rsidRPr="005827DA">
        <w:rPr>
          <w:rFonts w:ascii="Arial" w:hAnsi="Arial" w:cs="Arial"/>
          <w:spacing w:val="-1"/>
          <w:sz w:val="20"/>
          <w:szCs w:val="20"/>
        </w:rPr>
        <w:t xml:space="preserve"> </w:t>
      </w:r>
      <w:r w:rsidRPr="005827DA">
        <w:rPr>
          <w:rFonts w:ascii="Arial" w:hAnsi="Arial" w:cs="Arial"/>
          <w:sz w:val="20"/>
          <w:szCs w:val="20"/>
        </w:rPr>
        <w:t>of</w:t>
      </w:r>
      <w:r w:rsidRPr="005827DA">
        <w:rPr>
          <w:rFonts w:ascii="Arial" w:hAnsi="Arial" w:cs="Arial"/>
          <w:spacing w:val="-2"/>
          <w:sz w:val="20"/>
          <w:szCs w:val="20"/>
        </w:rPr>
        <w:t xml:space="preserve"> </w:t>
      </w:r>
      <w:r w:rsidRPr="005827DA">
        <w:rPr>
          <w:rFonts w:ascii="Arial" w:hAnsi="Arial" w:cs="Arial"/>
          <w:sz w:val="20"/>
          <w:szCs w:val="20"/>
        </w:rPr>
        <w:t>the student</w:t>
      </w:r>
      <w:r w:rsidRPr="005827DA">
        <w:rPr>
          <w:rFonts w:ascii="Arial" w:hAnsi="Arial" w:cs="Arial"/>
          <w:spacing w:val="1"/>
          <w:sz w:val="20"/>
          <w:szCs w:val="20"/>
        </w:rPr>
        <w:t xml:space="preserve"> </w:t>
      </w:r>
      <w:r w:rsidRPr="005827DA">
        <w:rPr>
          <w:rFonts w:ascii="Arial" w:hAnsi="Arial" w:cs="Arial"/>
          <w:sz w:val="20"/>
          <w:szCs w:val="20"/>
        </w:rPr>
        <w:t>pilot.</w:t>
      </w:r>
    </w:p>
    <w:p w14:paraId="62883CFE" w14:textId="77777777" w:rsidR="00F20810" w:rsidRPr="005827DA" w:rsidRDefault="00F20810" w:rsidP="005827DA">
      <w:pPr>
        <w:pStyle w:val="ListParagraph"/>
        <w:numPr>
          <w:ilvl w:val="0"/>
          <w:numId w:val="259"/>
        </w:numPr>
        <w:tabs>
          <w:tab w:val="left" w:pos="90"/>
          <w:tab w:val="left" w:pos="2409"/>
        </w:tabs>
        <w:spacing w:line="276" w:lineRule="auto"/>
        <w:ind w:right="68" w:hanging="436"/>
        <w:jc w:val="both"/>
        <w:rPr>
          <w:rFonts w:ascii="Arial" w:hAnsi="Arial" w:cs="Arial"/>
          <w:sz w:val="20"/>
          <w:szCs w:val="20"/>
        </w:rPr>
      </w:pPr>
      <w:r w:rsidRPr="005827DA">
        <w:rPr>
          <w:rFonts w:ascii="Arial" w:hAnsi="Arial" w:cs="Arial"/>
          <w:sz w:val="20"/>
          <w:szCs w:val="20"/>
        </w:rPr>
        <w:t>Debriefing</w:t>
      </w:r>
    </w:p>
    <w:p w14:paraId="1F98B823" w14:textId="77777777" w:rsidR="00F20810" w:rsidRPr="005827DA" w:rsidRDefault="00F20810" w:rsidP="005827DA">
      <w:pPr>
        <w:tabs>
          <w:tab w:val="left" w:pos="90"/>
        </w:tabs>
        <w:spacing w:line="276" w:lineRule="auto"/>
        <w:ind w:right="68" w:hanging="436"/>
        <w:jc w:val="both"/>
        <w:rPr>
          <w:rFonts w:ascii="Arial" w:eastAsia="Times New Roman" w:hAnsi="Arial" w:cs="Times New Roman"/>
          <w:b/>
          <w:bCs/>
          <w:sz w:val="20"/>
          <w:szCs w:val="20"/>
        </w:rPr>
      </w:pPr>
      <w:r w:rsidRPr="005827DA">
        <w:rPr>
          <w:rFonts w:ascii="Arial" w:eastAsia="Times New Roman" w:hAnsi="Arial" w:cs="Times New Roman"/>
          <w:b/>
          <w:bCs/>
          <w:sz w:val="20"/>
          <w:szCs w:val="20"/>
        </w:rPr>
        <w:lastRenderedPageBreak/>
        <w:t>Exercise 19: Night flying</w:t>
      </w:r>
    </w:p>
    <w:p w14:paraId="40DCE4B7" w14:textId="77777777" w:rsidR="00F20810" w:rsidRPr="005827DA" w:rsidRDefault="00F20810" w:rsidP="005827DA">
      <w:pPr>
        <w:pStyle w:val="BodyText"/>
        <w:tabs>
          <w:tab w:val="left" w:pos="90"/>
        </w:tabs>
        <w:spacing w:before="121" w:line="276" w:lineRule="auto"/>
        <w:ind w:left="1980" w:right="68" w:hanging="8"/>
        <w:jc w:val="both"/>
        <w:rPr>
          <w:rFonts w:ascii="Arial" w:hAnsi="Arial" w:cs="Arial"/>
          <w:i/>
          <w:sz w:val="20"/>
          <w:szCs w:val="20"/>
        </w:rPr>
      </w:pPr>
      <w:r w:rsidRPr="005827DA">
        <w:rPr>
          <w:rFonts w:ascii="Arial" w:hAnsi="Arial" w:cs="Arial"/>
          <w:i/>
          <w:sz w:val="20"/>
          <w:szCs w:val="20"/>
        </w:rPr>
        <w:t>Note: This</w:t>
      </w:r>
      <w:r w:rsidRPr="005827DA">
        <w:rPr>
          <w:rFonts w:ascii="Arial" w:hAnsi="Arial" w:cs="Arial"/>
          <w:i/>
          <w:spacing w:val="1"/>
          <w:sz w:val="20"/>
          <w:szCs w:val="20"/>
        </w:rPr>
        <w:t xml:space="preserve"> </w:t>
      </w:r>
      <w:r w:rsidRPr="005827DA">
        <w:rPr>
          <w:rFonts w:ascii="Arial" w:hAnsi="Arial" w:cs="Arial"/>
          <w:i/>
          <w:sz w:val="20"/>
          <w:szCs w:val="20"/>
        </w:rPr>
        <w:t>exercise</w:t>
      </w:r>
      <w:r w:rsidRPr="005827DA">
        <w:rPr>
          <w:rFonts w:ascii="Arial" w:hAnsi="Arial" w:cs="Arial"/>
          <w:i/>
          <w:spacing w:val="1"/>
          <w:sz w:val="20"/>
          <w:szCs w:val="20"/>
        </w:rPr>
        <w:t xml:space="preserve"> </w:t>
      </w:r>
      <w:r w:rsidRPr="005827DA">
        <w:rPr>
          <w:rFonts w:ascii="Arial" w:hAnsi="Arial" w:cs="Arial"/>
          <w:i/>
          <w:sz w:val="20"/>
          <w:szCs w:val="20"/>
        </w:rPr>
        <w:t>constitutes</w:t>
      </w:r>
      <w:r w:rsidRPr="005827DA">
        <w:rPr>
          <w:rFonts w:ascii="Arial" w:hAnsi="Arial" w:cs="Arial"/>
          <w:i/>
          <w:spacing w:val="1"/>
          <w:sz w:val="20"/>
          <w:szCs w:val="20"/>
        </w:rPr>
        <w:t xml:space="preserve"> </w:t>
      </w:r>
      <w:r w:rsidRPr="005827DA">
        <w:rPr>
          <w:rFonts w:ascii="Arial" w:hAnsi="Arial" w:cs="Arial"/>
          <w:i/>
          <w:sz w:val="20"/>
          <w:szCs w:val="20"/>
        </w:rPr>
        <w:t>the</w:t>
      </w:r>
      <w:r w:rsidRPr="005827DA">
        <w:rPr>
          <w:rFonts w:ascii="Arial" w:hAnsi="Arial" w:cs="Arial"/>
          <w:i/>
          <w:spacing w:val="1"/>
          <w:sz w:val="20"/>
          <w:szCs w:val="20"/>
        </w:rPr>
        <w:t xml:space="preserve"> </w:t>
      </w:r>
      <w:r w:rsidRPr="005827DA">
        <w:rPr>
          <w:rFonts w:ascii="Arial" w:hAnsi="Arial" w:cs="Arial"/>
          <w:i/>
          <w:sz w:val="20"/>
          <w:szCs w:val="20"/>
        </w:rPr>
        <w:t>specific</w:t>
      </w:r>
      <w:r w:rsidRPr="005827DA">
        <w:rPr>
          <w:rFonts w:ascii="Arial" w:hAnsi="Arial" w:cs="Arial"/>
          <w:i/>
          <w:spacing w:val="1"/>
          <w:sz w:val="20"/>
          <w:szCs w:val="20"/>
        </w:rPr>
        <w:t xml:space="preserve"> </w:t>
      </w:r>
      <w:r w:rsidRPr="005827DA">
        <w:rPr>
          <w:rFonts w:ascii="Arial" w:hAnsi="Arial" w:cs="Arial"/>
          <w:i/>
          <w:sz w:val="20"/>
          <w:szCs w:val="20"/>
        </w:rPr>
        <w:t>training</w:t>
      </w:r>
      <w:r w:rsidRPr="005827DA">
        <w:rPr>
          <w:rFonts w:ascii="Arial" w:hAnsi="Arial" w:cs="Arial"/>
          <w:i/>
          <w:spacing w:val="1"/>
          <w:sz w:val="20"/>
          <w:szCs w:val="20"/>
        </w:rPr>
        <w:t xml:space="preserve"> </w:t>
      </w:r>
      <w:r w:rsidRPr="005827DA">
        <w:rPr>
          <w:rFonts w:ascii="Arial" w:hAnsi="Arial" w:cs="Arial"/>
          <w:i/>
          <w:sz w:val="20"/>
          <w:szCs w:val="20"/>
        </w:rPr>
        <w:t>referred</w:t>
      </w:r>
      <w:r w:rsidRPr="005827DA">
        <w:rPr>
          <w:rFonts w:ascii="Arial" w:hAnsi="Arial" w:cs="Arial"/>
          <w:i/>
          <w:spacing w:val="1"/>
          <w:sz w:val="20"/>
          <w:szCs w:val="20"/>
        </w:rPr>
        <w:t xml:space="preserve"> </w:t>
      </w:r>
      <w:r w:rsidRPr="005827DA">
        <w:rPr>
          <w:rFonts w:ascii="Arial" w:hAnsi="Arial" w:cs="Arial"/>
          <w:i/>
          <w:sz w:val="20"/>
          <w:szCs w:val="20"/>
        </w:rPr>
        <w:t>to</w:t>
      </w:r>
      <w:r w:rsidRPr="005827DA">
        <w:rPr>
          <w:rFonts w:ascii="Arial" w:hAnsi="Arial" w:cs="Arial"/>
          <w:i/>
          <w:spacing w:val="1"/>
          <w:sz w:val="20"/>
          <w:szCs w:val="20"/>
        </w:rPr>
        <w:t xml:space="preserve"> </w:t>
      </w:r>
      <w:r w:rsidRPr="005827DA">
        <w:rPr>
          <w:rFonts w:ascii="Arial" w:hAnsi="Arial" w:cs="Arial"/>
          <w:i/>
          <w:sz w:val="20"/>
          <w:szCs w:val="20"/>
        </w:rPr>
        <w:t>in</w:t>
      </w:r>
      <w:r w:rsidRPr="005827DA">
        <w:rPr>
          <w:rFonts w:ascii="Arial" w:hAnsi="Arial" w:cs="Arial"/>
          <w:i/>
          <w:spacing w:val="1"/>
          <w:sz w:val="20"/>
          <w:szCs w:val="20"/>
        </w:rPr>
        <w:t xml:space="preserve"> </w:t>
      </w:r>
      <w:r w:rsidRPr="005827DA">
        <w:rPr>
          <w:rFonts w:ascii="Arial" w:hAnsi="Arial" w:cs="Arial"/>
          <w:i/>
          <w:sz w:val="20"/>
          <w:szCs w:val="20"/>
        </w:rPr>
        <w:t>point</w:t>
      </w:r>
      <w:r w:rsidRPr="005827DA">
        <w:rPr>
          <w:rFonts w:ascii="Arial" w:hAnsi="Arial" w:cs="Arial"/>
          <w:i/>
          <w:spacing w:val="1"/>
          <w:sz w:val="20"/>
          <w:szCs w:val="20"/>
        </w:rPr>
        <w:t xml:space="preserve"> </w:t>
      </w:r>
      <w:r w:rsidRPr="005827DA">
        <w:rPr>
          <w:rFonts w:ascii="Arial" w:hAnsi="Arial" w:cs="Arial"/>
          <w:i/>
          <w:sz w:val="20"/>
          <w:szCs w:val="20"/>
        </w:rPr>
        <w:t>BFCL.315(a)(3) regarding instructional privileges for the night rating. It may</w:t>
      </w:r>
      <w:r w:rsidRPr="005827DA">
        <w:rPr>
          <w:rFonts w:ascii="Arial" w:hAnsi="Arial" w:cs="Arial"/>
          <w:i/>
          <w:spacing w:val="1"/>
          <w:sz w:val="20"/>
          <w:szCs w:val="20"/>
        </w:rPr>
        <w:t xml:space="preserve"> </w:t>
      </w:r>
      <w:r w:rsidRPr="005827DA">
        <w:rPr>
          <w:rFonts w:ascii="Arial" w:hAnsi="Arial" w:cs="Arial"/>
          <w:i/>
          <w:spacing w:val="-1"/>
          <w:sz w:val="20"/>
          <w:szCs w:val="20"/>
        </w:rPr>
        <w:t>be</w:t>
      </w:r>
      <w:r w:rsidRPr="005827DA">
        <w:rPr>
          <w:rFonts w:ascii="Arial" w:hAnsi="Arial" w:cs="Arial"/>
          <w:i/>
          <w:spacing w:val="-10"/>
          <w:sz w:val="20"/>
          <w:szCs w:val="20"/>
        </w:rPr>
        <w:t xml:space="preserve"> </w:t>
      </w:r>
      <w:r w:rsidRPr="005827DA">
        <w:rPr>
          <w:rFonts w:ascii="Arial" w:hAnsi="Arial" w:cs="Arial"/>
          <w:i/>
          <w:spacing w:val="-1"/>
          <w:sz w:val="20"/>
          <w:szCs w:val="20"/>
        </w:rPr>
        <w:t>completed</w:t>
      </w:r>
      <w:r w:rsidRPr="005827DA">
        <w:rPr>
          <w:rFonts w:ascii="Arial" w:hAnsi="Arial" w:cs="Arial"/>
          <w:i/>
          <w:spacing w:val="-9"/>
          <w:sz w:val="20"/>
          <w:szCs w:val="20"/>
        </w:rPr>
        <w:t xml:space="preserve"> </w:t>
      </w:r>
      <w:r w:rsidRPr="005827DA">
        <w:rPr>
          <w:rFonts w:ascii="Arial" w:hAnsi="Arial" w:cs="Arial"/>
          <w:i/>
          <w:sz w:val="20"/>
          <w:szCs w:val="20"/>
        </w:rPr>
        <w:t>during</w:t>
      </w:r>
      <w:r w:rsidRPr="005827DA">
        <w:rPr>
          <w:rFonts w:ascii="Arial" w:hAnsi="Arial" w:cs="Arial"/>
          <w:i/>
          <w:spacing w:val="-10"/>
          <w:sz w:val="20"/>
          <w:szCs w:val="20"/>
        </w:rPr>
        <w:t xml:space="preserve"> </w:t>
      </w:r>
      <w:r w:rsidRPr="005827DA">
        <w:rPr>
          <w:rFonts w:ascii="Arial" w:hAnsi="Arial" w:cs="Arial"/>
          <w:i/>
          <w:sz w:val="20"/>
          <w:szCs w:val="20"/>
        </w:rPr>
        <w:t>the</w:t>
      </w:r>
      <w:r w:rsidRPr="005827DA">
        <w:rPr>
          <w:rFonts w:ascii="Arial" w:hAnsi="Arial" w:cs="Arial"/>
          <w:i/>
          <w:spacing w:val="-9"/>
          <w:sz w:val="20"/>
          <w:szCs w:val="20"/>
        </w:rPr>
        <w:t xml:space="preserve"> </w:t>
      </w:r>
      <w:r w:rsidRPr="005827DA">
        <w:rPr>
          <w:rFonts w:ascii="Arial" w:hAnsi="Arial" w:cs="Arial"/>
          <w:i/>
          <w:sz w:val="20"/>
          <w:szCs w:val="20"/>
        </w:rPr>
        <w:t>initial</w:t>
      </w:r>
      <w:r w:rsidRPr="005827DA">
        <w:rPr>
          <w:rFonts w:ascii="Arial" w:hAnsi="Arial" w:cs="Arial"/>
          <w:i/>
          <w:spacing w:val="-10"/>
          <w:sz w:val="20"/>
          <w:szCs w:val="20"/>
        </w:rPr>
        <w:t xml:space="preserve"> </w:t>
      </w:r>
      <w:r w:rsidRPr="005827DA">
        <w:rPr>
          <w:rFonts w:ascii="Arial" w:hAnsi="Arial" w:cs="Arial"/>
          <w:i/>
          <w:sz w:val="20"/>
          <w:szCs w:val="20"/>
        </w:rPr>
        <w:t>FI(B)</w:t>
      </w:r>
      <w:r w:rsidRPr="005827DA">
        <w:rPr>
          <w:rFonts w:ascii="Arial" w:hAnsi="Arial" w:cs="Arial"/>
          <w:i/>
          <w:spacing w:val="-9"/>
          <w:sz w:val="20"/>
          <w:szCs w:val="20"/>
        </w:rPr>
        <w:t xml:space="preserve"> </w:t>
      </w:r>
      <w:r w:rsidRPr="005827DA">
        <w:rPr>
          <w:rFonts w:ascii="Arial" w:hAnsi="Arial" w:cs="Arial"/>
          <w:i/>
          <w:sz w:val="20"/>
          <w:szCs w:val="20"/>
        </w:rPr>
        <w:t>training</w:t>
      </w:r>
      <w:r w:rsidRPr="005827DA">
        <w:rPr>
          <w:rFonts w:ascii="Arial" w:hAnsi="Arial" w:cs="Arial"/>
          <w:i/>
          <w:spacing w:val="-10"/>
          <w:sz w:val="20"/>
          <w:szCs w:val="20"/>
        </w:rPr>
        <w:t xml:space="preserve"> </w:t>
      </w:r>
      <w:r w:rsidRPr="005827DA">
        <w:rPr>
          <w:rFonts w:ascii="Arial" w:hAnsi="Arial" w:cs="Arial"/>
          <w:i/>
          <w:sz w:val="20"/>
          <w:szCs w:val="20"/>
        </w:rPr>
        <w:t>course</w:t>
      </w:r>
      <w:r w:rsidRPr="005827DA">
        <w:rPr>
          <w:rFonts w:ascii="Arial" w:hAnsi="Arial" w:cs="Arial"/>
          <w:i/>
          <w:spacing w:val="-11"/>
          <w:sz w:val="20"/>
          <w:szCs w:val="20"/>
        </w:rPr>
        <w:t xml:space="preserve"> </w:t>
      </w:r>
      <w:r w:rsidRPr="005827DA">
        <w:rPr>
          <w:rFonts w:ascii="Arial" w:hAnsi="Arial" w:cs="Arial"/>
          <w:i/>
          <w:sz w:val="20"/>
          <w:szCs w:val="20"/>
        </w:rPr>
        <w:t>or</w:t>
      </w:r>
      <w:r w:rsidRPr="005827DA">
        <w:rPr>
          <w:rFonts w:ascii="Arial" w:hAnsi="Arial" w:cs="Arial"/>
          <w:i/>
          <w:spacing w:val="-12"/>
          <w:sz w:val="20"/>
          <w:szCs w:val="20"/>
        </w:rPr>
        <w:t xml:space="preserve"> </w:t>
      </w:r>
      <w:r w:rsidRPr="005827DA">
        <w:rPr>
          <w:rFonts w:ascii="Arial" w:hAnsi="Arial" w:cs="Arial"/>
          <w:i/>
          <w:sz w:val="20"/>
          <w:szCs w:val="20"/>
        </w:rPr>
        <w:t>as</w:t>
      </w:r>
      <w:r w:rsidRPr="005827DA">
        <w:rPr>
          <w:rFonts w:ascii="Arial" w:hAnsi="Arial" w:cs="Arial"/>
          <w:i/>
          <w:spacing w:val="-10"/>
          <w:sz w:val="20"/>
          <w:szCs w:val="20"/>
        </w:rPr>
        <w:t xml:space="preserve"> </w:t>
      </w:r>
      <w:r w:rsidRPr="005827DA">
        <w:rPr>
          <w:rFonts w:ascii="Arial" w:hAnsi="Arial" w:cs="Arial"/>
          <w:i/>
          <w:sz w:val="20"/>
          <w:szCs w:val="20"/>
        </w:rPr>
        <w:t>a</w:t>
      </w:r>
      <w:r w:rsidRPr="005827DA">
        <w:rPr>
          <w:rFonts w:ascii="Arial" w:hAnsi="Arial" w:cs="Arial"/>
          <w:i/>
          <w:spacing w:val="-10"/>
          <w:sz w:val="20"/>
          <w:szCs w:val="20"/>
        </w:rPr>
        <w:t xml:space="preserve"> </w:t>
      </w:r>
      <w:r w:rsidRPr="005827DA">
        <w:rPr>
          <w:rFonts w:ascii="Arial" w:hAnsi="Arial" w:cs="Arial"/>
          <w:i/>
          <w:sz w:val="20"/>
          <w:szCs w:val="20"/>
        </w:rPr>
        <w:t>separate</w:t>
      </w:r>
      <w:r w:rsidRPr="005827DA">
        <w:rPr>
          <w:rFonts w:ascii="Arial" w:hAnsi="Arial" w:cs="Arial"/>
          <w:i/>
          <w:spacing w:val="-9"/>
          <w:sz w:val="20"/>
          <w:szCs w:val="20"/>
        </w:rPr>
        <w:t xml:space="preserve"> </w:t>
      </w:r>
      <w:r w:rsidRPr="005827DA">
        <w:rPr>
          <w:rFonts w:ascii="Arial" w:hAnsi="Arial" w:cs="Arial"/>
          <w:i/>
          <w:sz w:val="20"/>
          <w:szCs w:val="20"/>
        </w:rPr>
        <w:t>training,</w:t>
      </w:r>
      <w:r w:rsidRPr="005827DA">
        <w:rPr>
          <w:rFonts w:ascii="Arial" w:hAnsi="Arial" w:cs="Arial"/>
          <w:i/>
          <w:spacing w:val="-47"/>
          <w:sz w:val="20"/>
          <w:szCs w:val="20"/>
        </w:rPr>
        <w:t xml:space="preserve"> </w:t>
      </w:r>
      <w:r w:rsidRPr="005827DA">
        <w:rPr>
          <w:rFonts w:ascii="Arial" w:hAnsi="Arial" w:cs="Arial"/>
          <w:i/>
          <w:sz w:val="20"/>
          <w:szCs w:val="20"/>
        </w:rPr>
        <w:t>provided</w:t>
      </w:r>
      <w:r w:rsidRPr="005827DA">
        <w:rPr>
          <w:rFonts w:ascii="Arial" w:hAnsi="Arial" w:cs="Arial"/>
          <w:i/>
          <w:spacing w:val="-3"/>
          <w:sz w:val="20"/>
          <w:szCs w:val="20"/>
        </w:rPr>
        <w:t xml:space="preserve"> </w:t>
      </w:r>
      <w:r w:rsidRPr="005827DA">
        <w:rPr>
          <w:rFonts w:ascii="Arial" w:hAnsi="Arial" w:cs="Arial"/>
          <w:i/>
          <w:sz w:val="20"/>
          <w:szCs w:val="20"/>
        </w:rPr>
        <w:t>that the</w:t>
      </w:r>
      <w:r w:rsidRPr="005827DA">
        <w:rPr>
          <w:rFonts w:ascii="Arial" w:hAnsi="Arial" w:cs="Arial"/>
          <w:i/>
          <w:spacing w:val="1"/>
          <w:sz w:val="20"/>
          <w:szCs w:val="20"/>
        </w:rPr>
        <w:t xml:space="preserve"> </w:t>
      </w:r>
      <w:r w:rsidRPr="005827DA">
        <w:rPr>
          <w:rFonts w:ascii="Arial" w:hAnsi="Arial" w:cs="Arial"/>
          <w:i/>
          <w:sz w:val="20"/>
          <w:szCs w:val="20"/>
        </w:rPr>
        <w:t>applicant</w:t>
      </w:r>
      <w:r w:rsidRPr="005827DA">
        <w:rPr>
          <w:rFonts w:ascii="Arial" w:hAnsi="Arial" w:cs="Arial"/>
          <w:i/>
          <w:spacing w:val="-2"/>
          <w:sz w:val="20"/>
          <w:szCs w:val="20"/>
        </w:rPr>
        <w:t xml:space="preserve"> </w:t>
      </w:r>
      <w:r w:rsidRPr="005827DA">
        <w:rPr>
          <w:rFonts w:ascii="Arial" w:hAnsi="Arial" w:cs="Arial"/>
          <w:i/>
          <w:sz w:val="20"/>
          <w:szCs w:val="20"/>
        </w:rPr>
        <w:t>holds the</w:t>
      </w:r>
      <w:r w:rsidRPr="005827DA">
        <w:rPr>
          <w:rFonts w:ascii="Arial" w:hAnsi="Arial" w:cs="Arial"/>
          <w:i/>
          <w:spacing w:val="-2"/>
          <w:sz w:val="20"/>
          <w:szCs w:val="20"/>
        </w:rPr>
        <w:t xml:space="preserve"> </w:t>
      </w:r>
      <w:r w:rsidRPr="005827DA">
        <w:rPr>
          <w:rFonts w:ascii="Arial" w:hAnsi="Arial" w:cs="Arial"/>
          <w:i/>
          <w:sz w:val="20"/>
          <w:szCs w:val="20"/>
        </w:rPr>
        <w:t>night rating.</w:t>
      </w:r>
    </w:p>
    <w:p w14:paraId="753F1DB0" w14:textId="77777777" w:rsidR="00F20810" w:rsidRPr="005827DA" w:rsidRDefault="00F20810" w:rsidP="005827DA">
      <w:pPr>
        <w:pStyle w:val="ListParagraph"/>
        <w:numPr>
          <w:ilvl w:val="0"/>
          <w:numId w:val="260"/>
        </w:numPr>
        <w:tabs>
          <w:tab w:val="left" w:pos="90"/>
          <w:tab w:val="left" w:pos="2409"/>
        </w:tabs>
        <w:spacing w:before="118" w:line="276" w:lineRule="auto"/>
        <w:ind w:right="68" w:hanging="436"/>
        <w:jc w:val="both"/>
        <w:rPr>
          <w:rFonts w:ascii="Arial" w:hAnsi="Arial" w:cs="Arial"/>
          <w:sz w:val="20"/>
          <w:szCs w:val="20"/>
        </w:rPr>
      </w:pPr>
      <w:r w:rsidRPr="005827DA">
        <w:rPr>
          <w:rFonts w:ascii="Arial" w:hAnsi="Arial" w:cs="Arial"/>
          <w:sz w:val="20"/>
          <w:szCs w:val="20"/>
        </w:rPr>
        <w:t>Objective</w:t>
      </w:r>
    </w:p>
    <w:p w14:paraId="1162E7A5" w14:textId="77777777" w:rsidR="00F20810" w:rsidRPr="005827DA" w:rsidRDefault="00F20810" w:rsidP="005827DA">
      <w:pPr>
        <w:pStyle w:val="BodyText"/>
        <w:tabs>
          <w:tab w:val="left" w:pos="90"/>
        </w:tabs>
        <w:spacing w:line="276" w:lineRule="auto"/>
        <w:ind w:left="2408" w:right="68" w:hanging="436"/>
        <w:jc w:val="both"/>
        <w:rPr>
          <w:rFonts w:ascii="Arial" w:hAnsi="Arial" w:cs="Arial"/>
          <w:sz w:val="20"/>
          <w:szCs w:val="20"/>
        </w:rPr>
      </w:pPr>
      <w:r w:rsidRPr="005827DA">
        <w:rPr>
          <w:rFonts w:ascii="Arial" w:hAnsi="Arial" w:cs="Arial"/>
          <w:sz w:val="20"/>
          <w:szCs w:val="20"/>
        </w:rPr>
        <w:t>To advise the student instructor on how to explain and demonstrate the</w:t>
      </w:r>
      <w:r w:rsidRPr="005827DA">
        <w:rPr>
          <w:rFonts w:ascii="Arial" w:hAnsi="Arial" w:cs="Arial"/>
          <w:spacing w:val="1"/>
          <w:sz w:val="20"/>
          <w:szCs w:val="20"/>
        </w:rPr>
        <w:t xml:space="preserve"> </w:t>
      </w:r>
      <w:r w:rsidRPr="005827DA">
        <w:rPr>
          <w:rFonts w:ascii="Arial" w:hAnsi="Arial" w:cs="Arial"/>
          <w:sz w:val="20"/>
          <w:szCs w:val="20"/>
        </w:rPr>
        <w:t>night flying techniques. Furthermore, the student instructor should learn</w:t>
      </w:r>
      <w:r w:rsidRPr="005827DA">
        <w:rPr>
          <w:rFonts w:ascii="Arial" w:hAnsi="Arial" w:cs="Arial"/>
          <w:spacing w:val="1"/>
          <w:sz w:val="20"/>
          <w:szCs w:val="20"/>
        </w:rPr>
        <w:t xml:space="preserve"> </w:t>
      </w:r>
      <w:r w:rsidRPr="005827DA">
        <w:rPr>
          <w:rFonts w:ascii="Arial" w:hAnsi="Arial" w:cs="Arial"/>
          <w:sz w:val="20"/>
          <w:szCs w:val="20"/>
        </w:rPr>
        <w:t>how</w:t>
      </w:r>
      <w:r w:rsidRPr="005827DA">
        <w:rPr>
          <w:rFonts w:ascii="Arial" w:hAnsi="Arial" w:cs="Arial"/>
          <w:spacing w:val="-2"/>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identify</w:t>
      </w:r>
      <w:r w:rsidRPr="005827DA">
        <w:rPr>
          <w:rFonts w:ascii="Arial" w:hAnsi="Arial" w:cs="Arial"/>
          <w:spacing w:val="-2"/>
          <w:sz w:val="20"/>
          <w:szCs w:val="20"/>
        </w:rPr>
        <w:t xml:space="preserve"> </w:t>
      </w:r>
      <w:r w:rsidRPr="005827DA">
        <w:rPr>
          <w:rFonts w:ascii="Arial" w:hAnsi="Arial" w:cs="Arial"/>
          <w:sz w:val="20"/>
          <w:szCs w:val="20"/>
        </w:rPr>
        <w:t>student</w:t>
      </w:r>
      <w:r w:rsidRPr="005827DA">
        <w:rPr>
          <w:rFonts w:ascii="Arial" w:hAnsi="Arial" w:cs="Arial"/>
          <w:spacing w:val="-2"/>
          <w:sz w:val="20"/>
          <w:szCs w:val="20"/>
        </w:rPr>
        <w:t xml:space="preserve"> </w:t>
      </w:r>
      <w:r w:rsidRPr="005827DA">
        <w:rPr>
          <w:rFonts w:ascii="Arial" w:hAnsi="Arial" w:cs="Arial"/>
          <w:sz w:val="20"/>
          <w:szCs w:val="20"/>
        </w:rPr>
        <w:t>errors and</w:t>
      </w:r>
      <w:r w:rsidRPr="005827DA">
        <w:rPr>
          <w:rFonts w:ascii="Arial" w:hAnsi="Arial" w:cs="Arial"/>
          <w:spacing w:val="-2"/>
          <w:sz w:val="20"/>
          <w:szCs w:val="20"/>
        </w:rPr>
        <w:t xml:space="preserve"> </w:t>
      </w:r>
      <w:r w:rsidRPr="005827DA">
        <w:rPr>
          <w:rFonts w:ascii="Arial" w:hAnsi="Arial" w:cs="Arial"/>
          <w:sz w:val="20"/>
          <w:szCs w:val="20"/>
        </w:rPr>
        <w:t>how</w:t>
      </w:r>
      <w:r w:rsidRPr="005827DA">
        <w:rPr>
          <w:rFonts w:ascii="Arial" w:hAnsi="Arial" w:cs="Arial"/>
          <w:spacing w:val="-2"/>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correct</w:t>
      </w:r>
      <w:r w:rsidRPr="005827DA">
        <w:rPr>
          <w:rFonts w:ascii="Arial" w:hAnsi="Arial" w:cs="Arial"/>
          <w:spacing w:val="-2"/>
          <w:sz w:val="20"/>
          <w:szCs w:val="20"/>
        </w:rPr>
        <w:t xml:space="preserve"> </w:t>
      </w:r>
      <w:r w:rsidRPr="005827DA">
        <w:rPr>
          <w:rFonts w:ascii="Arial" w:hAnsi="Arial" w:cs="Arial"/>
          <w:sz w:val="20"/>
          <w:szCs w:val="20"/>
        </w:rPr>
        <w:t>them</w:t>
      </w:r>
      <w:r w:rsidRPr="005827DA">
        <w:rPr>
          <w:rFonts w:ascii="Arial" w:hAnsi="Arial" w:cs="Arial"/>
          <w:spacing w:val="1"/>
          <w:sz w:val="20"/>
          <w:szCs w:val="20"/>
        </w:rPr>
        <w:t xml:space="preserve"> </w:t>
      </w:r>
      <w:r w:rsidRPr="005827DA">
        <w:rPr>
          <w:rFonts w:ascii="Arial" w:hAnsi="Arial" w:cs="Arial"/>
          <w:sz w:val="20"/>
          <w:szCs w:val="20"/>
        </w:rPr>
        <w:t>properly.</w:t>
      </w:r>
    </w:p>
    <w:p w14:paraId="1A5D5E6A" w14:textId="77777777" w:rsidR="00F20810" w:rsidRPr="005827DA" w:rsidRDefault="00F20810" w:rsidP="005827DA">
      <w:pPr>
        <w:pStyle w:val="ListParagraph"/>
        <w:numPr>
          <w:ilvl w:val="0"/>
          <w:numId w:val="260"/>
        </w:numPr>
        <w:tabs>
          <w:tab w:val="left" w:pos="90"/>
          <w:tab w:val="left" w:pos="2409"/>
        </w:tabs>
        <w:spacing w:before="121" w:line="276" w:lineRule="auto"/>
        <w:ind w:right="68" w:hanging="436"/>
        <w:jc w:val="both"/>
        <w:rPr>
          <w:rFonts w:ascii="Arial" w:hAnsi="Arial" w:cs="Arial"/>
          <w:sz w:val="20"/>
          <w:szCs w:val="20"/>
        </w:rPr>
      </w:pPr>
      <w:r w:rsidRPr="005827DA">
        <w:rPr>
          <w:rFonts w:ascii="Arial" w:hAnsi="Arial" w:cs="Arial"/>
          <w:sz w:val="20"/>
          <w:szCs w:val="20"/>
        </w:rPr>
        <w:t>Briefing</w:t>
      </w:r>
    </w:p>
    <w:p w14:paraId="0AFBC833" w14:textId="77777777" w:rsidR="00F20810" w:rsidRPr="005827DA" w:rsidRDefault="00F20810" w:rsidP="005827DA">
      <w:pPr>
        <w:pStyle w:val="BodyText"/>
        <w:tabs>
          <w:tab w:val="left" w:pos="90"/>
        </w:tabs>
        <w:spacing w:before="121" w:line="276" w:lineRule="auto"/>
        <w:ind w:left="2408"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student</w:t>
      </w:r>
      <w:r w:rsidRPr="005827DA">
        <w:rPr>
          <w:rFonts w:ascii="Arial" w:hAnsi="Arial" w:cs="Arial"/>
          <w:spacing w:val="-2"/>
          <w:sz w:val="20"/>
          <w:szCs w:val="20"/>
        </w:rPr>
        <w:t xml:space="preserve"> </w:t>
      </w:r>
      <w:r w:rsidRPr="005827DA">
        <w:rPr>
          <w:rFonts w:ascii="Arial" w:hAnsi="Arial" w:cs="Arial"/>
          <w:sz w:val="20"/>
          <w:szCs w:val="20"/>
        </w:rPr>
        <w:t>instructor has</w:t>
      </w:r>
      <w:r w:rsidRPr="005827DA">
        <w:rPr>
          <w:rFonts w:ascii="Arial" w:hAnsi="Arial" w:cs="Arial"/>
          <w:spacing w:val="-6"/>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explain:</w:t>
      </w:r>
    </w:p>
    <w:p w14:paraId="783C0F23" w14:textId="77777777" w:rsidR="00F20810" w:rsidRPr="005827DA" w:rsidRDefault="00F20810" w:rsidP="005827DA">
      <w:pPr>
        <w:pStyle w:val="ListParagraph"/>
        <w:numPr>
          <w:ilvl w:val="1"/>
          <w:numId w:val="260"/>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3"/>
          <w:sz w:val="20"/>
          <w:szCs w:val="20"/>
        </w:rPr>
        <w:t xml:space="preserve"> </w:t>
      </w:r>
      <w:r w:rsidRPr="005827DA">
        <w:rPr>
          <w:rFonts w:ascii="Arial" w:hAnsi="Arial" w:cs="Arial"/>
          <w:sz w:val="20"/>
          <w:szCs w:val="20"/>
        </w:rPr>
        <w:t>medical</w:t>
      </w:r>
      <w:r w:rsidRPr="005827DA">
        <w:rPr>
          <w:rFonts w:ascii="Arial" w:hAnsi="Arial" w:cs="Arial"/>
          <w:spacing w:val="-3"/>
          <w:sz w:val="20"/>
          <w:szCs w:val="20"/>
        </w:rPr>
        <w:t xml:space="preserve"> </w:t>
      </w:r>
      <w:r w:rsidRPr="005827DA">
        <w:rPr>
          <w:rFonts w:ascii="Arial" w:hAnsi="Arial" w:cs="Arial"/>
          <w:sz w:val="20"/>
          <w:szCs w:val="20"/>
        </w:rPr>
        <w:t>or physiological</w:t>
      </w:r>
      <w:r w:rsidRPr="005827DA">
        <w:rPr>
          <w:rFonts w:ascii="Arial" w:hAnsi="Arial" w:cs="Arial"/>
          <w:spacing w:val="-1"/>
          <w:sz w:val="20"/>
          <w:szCs w:val="20"/>
        </w:rPr>
        <w:t xml:space="preserve"> </w:t>
      </w:r>
      <w:r w:rsidRPr="005827DA">
        <w:rPr>
          <w:rFonts w:ascii="Arial" w:hAnsi="Arial" w:cs="Arial"/>
          <w:sz w:val="20"/>
          <w:szCs w:val="20"/>
        </w:rPr>
        <w:t>aspects</w:t>
      </w:r>
      <w:r w:rsidRPr="005827DA">
        <w:rPr>
          <w:rFonts w:ascii="Arial" w:hAnsi="Arial" w:cs="Arial"/>
          <w:spacing w:val="-4"/>
          <w:sz w:val="20"/>
          <w:szCs w:val="20"/>
        </w:rPr>
        <w:t xml:space="preserve"> </w:t>
      </w:r>
      <w:r w:rsidRPr="005827DA">
        <w:rPr>
          <w:rFonts w:ascii="Arial" w:hAnsi="Arial" w:cs="Arial"/>
          <w:sz w:val="20"/>
          <w:szCs w:val="20"/>
        </w:rPr>
        <w:t>of</w:t>
      </w:r>
      <w:r w:rsidRPr="005827DA">
        <w:rPr>
          <w:rFonts w:ascii="Arial" w:hAnsi="Arial" w:cs="Arial"/>
          <w:spacing w:val="-3"/>
          <w:sz w:val="20"/>
          <w:szCs w:val="20"/>
        </w:rPr>
        <w:t xml:space="preserve"> </w:t>
      </w:r>
      <w:r w:rsidRPr="005827DA">
        <w:rPr>
          <w:rFonts w:ascii="Arial" w:hAnsi="Arial" w:cs="Arial"/>
          <w:sz w:val="20"/>
          <w:szCs w:val="20"/>
        </w:rPr>
        <w:t>night</w:t>
      </w:r>
      <w:r w:rsidRPr="005827DA">
        <w:rPr>
          <w:rFonts w:ascii="Arial" w:hAnsi="Arial" w:cs="Arial"/>
          <w:spacing w:val="-1"/>
          <w:sz w:val="20"/>
          <w:szCs w:val="20"/>
        </w:rPr>
        <w:t xml:space="preserve"> </w:t>
      </w:r>
      <w:r w:rsidRPr="005827DA">
        <w:rPr>
          <w:rFonts w:ascii="Arial" w:hAnsi="Arial" w:cs="Arial"/>
          <w:sz w:val="20"/>
          <w:szCs w:val="20"/>
        </w:rPr>
        <w:t>vision;</w:t>
      </w:r>
    </w:p>
    <w:p w14:paraId="331D9DEA" w14:textId="77777777" w:rsidR="00F20810" w:rsidRPr="005827DA" w:rsidRDefault="00F20810" w:rsidP="005827DA">
      <w:pPr>
        <w:pStyle w:val="ListParagraph"/>
        <w:numPr>
          <w:ilvl w:val="1"/>
          <w:numId w:val="260"/>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1"/>
          <w:sz w:val="20"/>
          <w:szCs w:val="20"/>
        </w:rPr>
        <w:t xml:space="preserve"> </w:t>
      </w:r>
      <w:r w:rsidRPr="005827DA">
        <w:rPr>
          <w:rFonts w:ascii="Arial" w:hAnsi="Arial" w:cs="Arial"/>
          <w:sz w:val="20"/>
          <w:szCs w:val="20"/>
        </w:rPr>
        <w:t>flight</w:t>
      </w:r>
      <w:r w:rsidRPr="005827DA">
        <w:rPr>
          <w:rFonts w:ascii="Arial" w:hAnsi="Arial" w:cs="Arial"/>
          <w:spacing w:val="12"/>
          <w:sz w:val="20"/>
          <w:szCs w:val="20"/>
        </w:rPr>
        <w:t xml:space="preserve"> </w:t>
      </w:r>
      <w:r w:rsidRPr="005827DA">
        <w:rPr>
          <w:rFonts w:ascii="Arial" w:hAnsi="Arial" w:cs="Arial"/>
          <w:sz w:val="20"/>
          <w:szCs w:val="20"/>
        </w:rPr>
        <w:t>planning,</w:t>
      </w:r>
      <w:r w:rsidRPr="005827DA">
        <w:rPr>
          <w:rFonts w:ascii="Arial" w:hAnsi="Arial" w:cs="Arial"/>
          <w:spacing w:val="11"/>
          <w:sz w:val="20"/>
          <w:szCs w:val="20"/>
        </w:rPr>
        <w:t xml:space="preserve"> </w:t>
      </w:r>
      <w:r w:rsidRPr="005827DA">
        <w:rPr>
          <w:rFonts w:ascii="Arial" w:hAnsi="Arial" w:cs="Arial"/>
          <w:sz w:val="20"/>
          <w:szCs w:val="20"/>
        </w:rPr>
        <w:t>taking</w:t>
      </w:r>
      <w:r w:rsidRPr="005827DA">
        <w:rPr>
          <w:rFonts w:ascii="Arial" w:hAnsi="Arial" w:cs="Arial"/>
          <w:spacing w:val="11"/>
          <w:sz w:val="20"/>
          <w:szCs w:val="20"/>
        </w:rPr>
        <w:t xml:space="preserve"> </w:t>
      </w:r>
      <w:r w:rsidRPr="005827DA">
        <w:rPr>
          <w:rFonts w:ascii="Arial" w:hAnsi="Arial" w:cs="Arial"/>
          <w:sz w:val="20"/>
          <w:szCs w:val="20"/>
        </w:rPr>
        <w:t>into</w:t>
      </w:r>
      <w:r w:rsidRPr="005827DA">
        <w:rPr>
          <w:rFonts w:ascii="Arial" w:hAnsi="Arial" w:cs="Arial"/>
          <w:spacing w:val="14"/>
          <w:sz w:val="20"/>
          <w:szCs w:val="20"/>
        </w:rPr>
        <w:t xml:space="preserve"> </w:t>
      </w:r>
      <w:r w:rsidRPr="005827DA">
        <w:rPr>
          <w:rFonts w:ascii="Arial" w:hAnsi="Arial" w:cs="Arial"/>
          <w:sz w:val="20"/>
          <w:szCs w:val="20"/>
        </w:rPr>
        <w:t>account</w:t>
      </w:r>
      <w:r w:rsidRPr="005827DA">
        <w:rPr>
          <w:rFonts w:ascii="Arial" w:hAnsi="Arial" w:cs="Arial"/>
          <w:spacing w:val="11"/>
          <w:sz w:val="20"/>
          <w:szCs w:val="20"/>
        </w:rPr>
        <w:t xml:space="preserve"> </w:t>
      </w:r>
      <w:r w:rsidRPr="005827DA">
        <w:rPr>
          <w:rFonts w:ascii="Arial" w:hAnsi="Arial" w:cs="Arial"/>
          <w:sz w:val="20"/>
          <w:szCs w:val="20"/>
        </w:rPr>
        <w:t>the</w:t>
      </w:r>
      <w:r w:rsidRPr="005827DA">
        <w:rPr>
          <w:rFonts w:ascii="Arial" w:hAnsi="Arial" w:cs="Arial"/>
          <w:spacing w:val="10"/>
          <w:sz w:val="20"/>
          <w:szCs w:val="20"/>
        </w:rPr>
        <w:t xml:space="preserve"> </w:t>
      </w:r>
      <w:r w:rsidRPr="005827DA">
        <w:rPr>
          <w:rFonts w:ascii="Arial" w:hAnsi="Arial" w:cs="Arial"/>
          <w:sz w:val="20"/>
          <w:szCs w:val="20"/>
        </w:rPr>
        <w:t>obstacles</w:t>
      </w:r>
      <w:r w:rsidRPr="005827DA">
        <w:rPr>
          <w:rFonts w:ascii="Arial" w:hAnsi="Arial" w:cs="Arial"/>
          <w:spacing w:val="10"/>
          <w:sz w:val="20"/>
          <w:szCs w:val="20"/>
        </w:rPr>
        <w:t xml:space="preserve"> </w:t>
      </w:r>
      <w:r w:rsidRPr="005827DA">
        <w:rPr>
          <w:rFonts w:ascii="Arial" w:hAnsi="Arial" w:cs="Arial"/>
          <w:sz w:val="20"/>
          <w:szCs w:val="20"/>
        </w:rPr>
        <w:t>on</w:t>
      </w:r>
      <w:r w:rsidRPr="005827DA">
        <w:rPr>
          <w:rFonts w:ascii="Arial" w:hAnsi="Arial" w:cs="Arial"/>
          <w:spacing w:val="10"/>
          <w:sz w:val="20"/>
          <w:szCs w:val="20"/>
        </w:rPr>
        <w:t xml:space="preserve"> </w:t>
      </w:r>
      <w:r w:rsidRPr="005827DA">
        <w:rPr>
          <w:rFonts w:ascii="Arial" w:hAnsi="Arial" w:cs="Arial"/>
          <w:sz w:val="20"/>
          <w:szCs w:val="20"/>
        </w:rPr>
        <w:t>the</w:t>
      </w:r>
      <w:r w:rsidRPr="005827DA">
        <w:rPr>
          <w:rFonts w:ascii="Arial" w:hAnsi="Arial" w:cs="Arial"/>
          <w:spacing w:val="12"/>
          <w:sz w:val="20"/>
          <w:szCs w:val="20"/>
        </w:rPr>
        <w:t xml:space="preserve"> </w:t>
      </w:r>
      <w:r w:rsidRPr="005827DA">
        <w:rPr>
          <w:rFonts w:ascii="Arial" w:hAnsi="Arial" w:cs="Arial"/>
          <w:sz w:val="20"/>
          <w:szCs w:val="20"/>
        </w:rPr>
        <w:t>ground,</w:t>
      </w:r>
      <w:r w:rsidRPr="005827DA">
        <w:rPr>
          <w:rFonts w:ascii="Arial" w:hAnsi="Arial" w:cs="Arial"/>
          <w:spacing w:val="-47"/>
          <w:sz w:val="20"/>
          <w:szCs w:val="20"/>
        </w:rPr>
        <w:t xml:space="preserve"> </w:t>
      </w:r>
      <w:r w:rsidRPr="005827DA">
        <w:rPr>
          <w:rFonts w:ascii="Arial" w:hAnsi="Arial" w:cs="Arial"/>
          <w:sz w:val="20"/>
          <w:szCs w:val="20"/>
        </w:rPr>
        <w:t>night</w:t>
      </w:r>
      <w:r w:rsidRPr="005827DA">
        <w:rPr>
          <w:rFonts w:ascii="Arial" w:hAnsi="Arial" w:cs="Arial"/>
          <w:spacing w:val="-1"/>
          <w:sz w:val="20"/>
          <w:szCs w:val="20"/>
        </w:rPr>
        <w:t xml:space="preserve"> </w:t>
      </w:r>
      <w:r w:rsidRPr="005827DA">
        <w:rPr>
          <w:rFonts w:ascii="Arial" w:hAnsi="Arial" w:cs="Arial"/>
          <w:sz w:val="20"/>
          <w:szCs w:val="20"/>
        </w:rPr>
        <w:t>VMC</w:t>
      </w:r>
      <w:r w:rsidRPr="005827DA">
        <w:rPr>
          <w:rFonts w:ascii="Arial" w:hAnsi="Arial" w:cs="Arial"/>
          <w:spacing w:val="-2"/>
          <w:sz w:val="20"/>
          <w:szCs w:val="20"/>
        </w:rPr>
        <w:t xml:space="preserve"> </w:t>
      </w:r>
      <w:r w:rsidRPr="005827DA">
        <w:rPr>
          <w:rFonts w:ascii="Arial" w:hAnsi="Arial" w:cs="Arial"/>
          <w:sz w:val="20"/>
          <w:szCs w:val="20"/>
        </w:rPr>
        <w:t>minima, airspace;</w:t>
      </w:r>
    </w:p>
    <w:p w14:paraId="123FD893" w14:textId="77777777" w:rsidR="00F20810" w:rsidRPr="005827DA" w:rsidRDefault="00F20810" w:rsidP="005827DA">
      <w:pPr>
        <w:pStyle w:val="ListParagraph"/>
        <w:numPr>
          <w:ilvl w:val="1"/>
          <w:numId w:val="260"/>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use</w:t>
      </w:r>
      <w:r w:rsidRPr="005827DA">
        <w:rPr>
          <w:rFonts w:ascii="Arial" w:hAnsi="Arial" w:cs="Arial"/>
          <w:spacing w:val="-2"/>
          <w:sz w:val="20"/>
          <w:szCs w:val="20"/>
        </w:rPr>
        <w:t xml:space="preserve"> </w:t>
      </w:r>
      <w:r w:rsidRPr="005827DA">
        <w:rPr>
          <w:rFonts w:ascii="Arial" w:hAnsi="Arial" w:cs="Arial"/>
          <w:sz w:val="20"/>
          <w:szCs w:val="20"/>
        </w:rPr>
        <w:t>of lights</w:t>
      </w:r>
      <w:r w:rsidRPr="005827DA">
        <w:rPr>
          <w:rFonts w:ascii="Arial" w:hAnsi="Arial" w:cs="Arial"/>
          <w:spacing w:val="-2"/>
          <w:sz w:val="20"/>
          <w:szCs w:val="20"/>
        </w:rPr>
        <w:t xml:space="preserve"> </w:t>
      </w:r>
      <w:r w:rsidRPr="005827DA">
        <w:rPr>
          <w:rFonts w:ascii="Arial" w:hAnsi="Arial" w:cs="Arial"/>
          <w:sz w:val="20"/>
          <w:szCs w:val="20"/>
        </w:rPr>
        <w:t>for</w:t>
      </w:r>
      <w:r w:rsidRPr="005827DA">
        <w:rPr>
          <w:rFonts w:ascii="Arial" w:hAnsi="Arial" w:cs="Arial"/>
          <w:spacing w:val="-3"/>
          <w:sz w:val="20"/>
          <w:szCs w:val="20"/>
        </w:rPr>
        <w:t xml:space="preserve"> </w:t>
      </w:r>
      <w:r w:rsidRPr="005827DA">
        <w:rPr>
          <w:rFonts w:ascii="Arial" w:hAnsi="Arial" w:cs="Arial"/>
          <w:sz w:val="20"/>
          <w:szCs w:val="20"/>
        </w:rPr>
        <w:t>assembly,</w:t>
      </w:r>
      <w:r w:rsidRPr="005827DA">
        <w:rPr>
          <w:rFonts w:ascii="Arial" w:hAnsi="Arial" w:cs="Arial"/>
          <w:spacing w:val="1"/>
          <w:sz w:val="20"/>
          <w:szCs w:val="20"/>
        </w:rPr>
        <w:t xml:space="preserve"> </w:t>
      </w:r>
      <w:r w:rsidRPr="005827DA">
        <w:rPr>
          <w:rFonts w:ascii="Arial" w:hAnsi="Arial" w:cs="Arial"/>
          <w:sz w:val="20"/>
          <w:szCs w:val="20"/>
        </w:rPr>
        <w:t>layout and</w:t>
      </w:r>
      <w:r w:rsidRPr="005827DA">
        <w:rPr>
          <w:rFonts w:ascii="Arial" w:hAnsi="Arial" w:cs="Arial"/>
          <w:spacing w:val="-1"/>
          <w:sz w:val="20"/>
          <w:szCs w:val="20"/>
        </w:rPr>
        <w:t xml:space="preserve"> </w:t>
      </w:r>
      <w:r w:rsidRPr="005827DA">
        <w:rPr>
          <w:rFonts w:ascii="Arial" w:hAnsi="Arial" w:cs="Arial"/>
          <w:sz w:val="20"/>
          <w:szCs w:val="20"/>
        </w:rPr>
        <w:t>inflation;</w:t>
      </w:r>
    </w:p>
    <w:p w14:paraId="36644C94" w14:textId="77777777" w:rsidR="00F20810" w:rsidRPr="005827DA" w:rsidRDefault="00F20810" w:rsidP="005827DA">
      <w:pPr>
        <w:pStyle w:val="ListParagraph"/>
        <w:numPr>
          <w:ilvl w:val="1"/>
          <w:numId w:val="260"/>
        </w:numPr>
        <w:tabs>
          <w:tab w:val="left" w:pos="90"/>
          <w:tab w:val="left" w:pos="2975"/>
          <w:tab w:val="left" w:pos="2976"/>
        </w:tabs>
        <w:spacing w:before="118" w:line="276" w:lineRule="auto"/>
        <w:ind w:right="68" w:hanging="436"/>
        <w:jc w:val="both"/>
        <w:rPr>
          <w:rFonts w:ascii="Arial" w:hAnsi="Arial" w:cs="Arial"/>
          <w:sz w:val="20"/>
          <w:szCs w:val="20"/>
        </w:rPr>
      </w:pPr>
      <w:r w:rsidRPr="005827DA">
        <w:rPr>
          <w:rFonts w:ascii="Arial" w:hAnsi="Arial" w:cs="Arial"/>
          <w:spacing w:val="-1"/>
          <w:sz w:val="20"/>
          <w:szCs w:val="20"/>
        </w:rPr>
        <w:t>the</w:t>
      </w:r>
      <w:r w:rsidRPr="005827DA">
        <w:rPr>
          <w:rFonts w:ascii="Arial" w:hAnsi="Arial" w:cs="Arial"/>
          <w:spacing w:val="-12"/>
          <w:sz w:val="20"/>
          <w:szCs w:val="20"/>
        </w:rPr>
        <w:t xml:space="preserve"> </w:t>
      </w:r>
      <w:r w:rsidRPr="005827DA">
        <w:rPr>
          <w:rFonts w:ascii="Arial" w:hAnsi="Arial" w:cs="Arial"/>
          <w:spacing w:val="-1"/>
          <w:sz w:val="20"/>
          <w:szCs w:val="20"/>
        </w:rPr>
        <w:t>requirement</w:t>
      </w:r>
      <w:r w:rsidRPr="005827DA">
        <w:rPr>
          <w:rFonts w:ascii="Arial" w:hAnsi="Arial" w:cs="Arial"/>
          <w:spacing w:val="-11"/>
          <w:sz w:val="20"/>
          <w:szCs w:val="20"/>
        </w:rPr>
        <w:t xml:space="preserve"> </w:t>
      </w:r>
      <w:r w:rsidRPr="005827DA">
        <w:rPr>
          <w:rFonts w:ascii="Arial" w:hAnsi="Arial" w:cs="Arial"/>
          <w:spacing w:val="-1"/>
          <w:sz w:val="20"/>
          <w:szCs w:val="20"/>
        </w:rPr>
        <w:t>for</w:t>
      </w:r>
      <w:r w:rsidRPr="005827DA">
        <w:rPr>
          <w:rFonts w:ascii="Arial" w:hAnsi="Arial" w:cs="Arial"/>
          <w:spacing w:val="-14"/>
          <w:sz w:val="20"/>
          <w:szCs w:val="20"/>
        </w:rPr>
        <w:t xml:space="preserve"> </w:t>
      </w:r>
      <w:r w:rsidRPr="005827DA">
        <w:rPr>
          <w:rFonts w:ascii="Arial" w:hAnsi="Arial" w:cs="Arial"/>
          <w:sz w:val="20"/>
          <w:szCs w:val="20"/>
        </w:rPr>
        <w:t>torch</w:t>
      </w:r>
      <w:r w:rsidRPr="005827DA">
        <w:rPr>
          <w:rFonts w:ascii="Arial" w:hAnsi="Arial" w:cs="Arial"/>
          <w:spacing w:val="-12"/>
          <w:sz w:val="20"/>
          <w:szCs w:val="20"/>
        </w:rPr>
        <w:t xml:space="preserve"> </w:t>
      </w:r>
      <w:r w:rsidRPr="005827DA">
        <w:rPr>
          <w:rFonts w:ascii="Arial" w:hAnsi="Arial" w:cs="Arial"/>
          <w:sz w:val="20"/>
          <w:szCs w:val="20"/>
        </w:rPr>
        <w:t>or</w:t>
      </w:r>
      <w:r w:rsidRPr="005827DA">
        <w:rPr>
          <w:rFonts w:ascii="Arial" w:hAnsi="Arial" w:cs="Arial"/>
          <w:spacing w:val="-12"/>
          <w:sz w:val="20"/>
          <w:szCs w:val="20"/>
        </w:rPr>
        <w:t xml:space="preserve"> </w:t>
      </w:r>
      <w:r w:rsidRPr="005827DA">
        <w:rPr>
          <w:rFonts w:ascii="Arial" w:hAnsi="Arial" w:cs="Arial"/>
          <w:sz w:val="20"/>
          <w:szCs w:val="20"/>
        </w:rPr>
        <w:t>lights</w:t>
      </w:r>
      <w:r w:rsidRPr="005827DA">
        <w:rPr>
          <w:rFonts w:ascii="Arial" w:hAnsi="Arial" w:cs="Arial"/>
          <w:spacing w:val="-11"/>
          <w:sz w:val="20"/>
          <w:szCs w:val="20"/>
        </w:rPr>
        <w:t xml:space="preserve"> </w:t>
      </w:r>
      <w:r w:rsidRPr="005827DA">
        <w:rPr>
          <w:rFonts w:ascii="Arial" w:hAnsi="Arial" w:cs="Arial"/>
          <w:sz w:val="20"/>
          <w:szCs w:val="20"/>
        </w:rPr>
        <w:t>to</w:t>
      </w:r>
      <w:r w:rsidRPr="005827DA">
        <w:rPr>
          <w:rFonts w:ascii="Arial" w:hAnsi="Arial" w:cs="Arial"/>
          <w:spacing w:val="-10"/>
          <w:sz w:val="20"/>
          <w:szCs w:val="20"/>
        </w:rPr>
        <w:t xml:space="preserve"> </w:t>
      </w:r>
      <w:r w:rsidRPr="005827DA">
        <w:rPr>
          <w:rFonts w:ascii="Arial" w:hAnsi="Arial" w:cs="Arial"/>
          <w:sz w:val="20"/>
          <w:szCs w:val="20"/>
        </w:rPr>
        <w:t>be</w:t>
      </w:r>
      <w:r w:rsidRPr="005827DA">
        <w:rPr>
          <w:rFonts w:ascii="Arial" w:hAnsi="Arial" w:cs="Arial"/>
          <w:spacing w:val="-11"/>
          <w:sz w:val="20"/>
          <w:szCs w:val="20"/>
        </w:rPr>
        <w:t xml:space="preserve"> </w:t>
      </w:r>
      <w:r w:rsidRPr="005827DA">
        <w:rPr>
          <w:rFonts w:ascii="Arial" w:hAnsi="Arial" w:cs="Arial"/>
          <w:sz w:val="20"/>
          <w:szCs w:val="20"/>
        </w:rPr>
        <w:t>carried,</w:t>
      </w:r>
      <w:r w:rsidRPr="005827DA">
        <w:rPr>
          <w:rFonts w:ascii="Arial" w:hAnsi="Arial" w:cs="Arial"/>
          <w:spacing w:val="-14"/>
          <w:sz w:val="20"/>
          <w:szCs w:val="20"/>
        </w:rPr>
        <w:t xml:space="preserve"> </w:t>
      </w:r>
      <w:r w:rsidRPr="005827DA">
        <w:rPr>
          <w:rFonts w:ascii="Arial" w:hAnsi="Arial" w:cs="Arial"/>
          <w:sz w:val="20"/>
          <w:szCs w:val="20"/>
        </w:rPr>
        <w:t>(pre-flight</w:t>
      </w:r>
      <w:r w:rsidRPr="005827DA">
        <w:rPr>
          <w:rFonts w:ascii="Arial" w:hAnsi="Arial" w:cs="Arial"/>
          <w:spacing w:val="-11"/>
          <w:sz w:val="20"/>
          <w:szCs w:val="20"/>
        </w:rPr>
        <w:t xml:space="preserve"> </w:t>
      </w:r>
      <w:r w:rsidRPr="005827DA">
        <w:rPr>
          <w:rFonts w:ascii="Arial" w:hAnsi="Arial" w:cs="Arial"/>
          <w:sz w:val="20"/>
          <w:szCs w:val="20"/>
        </w:rPr>
        <w:t>inspection,</w:t>
      </w:r>
      <w:r w:rsidRPr="005827DA">
        <w:rPr>
          <w:rFonts w:ascii="Arial" w:hAnsi="Arial" w:cs="Arial"/>
          <w:spacing w:val="-47"/>
          <w:sz w:val="20"/>
          <w:szCs w:val="20"/>
        </w:rPr>
        <w:t xml:space="preserve"> </w:t>
      </w:r>
      <w:r w:rsidRPr="005827DA">
        <w:rPr>
          <w:rFonts w:ascii="Arial" w:hAnsi="Arial" w:cs="Arial"/>
          <w:sz w:val="20"/>
          <w:szCs w:val="20"/>
        </w:rPr>
        <w:t>etc.);</w:t>
      </w:r>
    </w:p>
    <w:p w14:paraId="40DAA70D" w14:textId="77777777" w:rsidR="00F20810" w:rsidRPr="005827DA" w:rsidRDefault="00F20810" w:rsidP="005827DA">
      <w:pPr>
        <w:pStyle w:val="ListParagraph"/>
        <w:numPr>
          <w:ilvl w:val="1"/>
          <w:numId w:val="260"/>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 use</w:t>
      </w:r>
      <w:r w:rsidRPr="005827DA">
        <w:rPr>
          <w:rFonts w:ascii="Arial" w:hAnsi="Arial" w:cs="Arial"/>
          <w:spacing w:val="-2"/>
          <w:sz w:val="20"/>
          <w:szCs w:val="20"/>
        </w:rPr>
        <w:t xml:space="preserve"> </w:t>
      </w:r>
      <w:r w:rsidRPr="005827DA">
        <w:rPr>
          <w:rFonts w:ascii="Arial" w:hAnsi="Arial" w:cs="Arial"/>
          <w:sz w:val="20"/>
          <w:szCs w:val="20"/>
        </w:rPr>
        <w:t>of</w:t>
      </w:r>
      <w:r w:rsidRPr="005827DA">
        <w:rPr>
          <w:rFonts w:ascii="Arial" w:hAnsi="Arial" w:cs="Arial"/>
          <w:spacing w:val="-1"/>
          <w:sz w:val="20"/>
          <w:szCs w:val="20"/>
        </w:rPr>
        <w:t xml:space="preserve"> </w:t>
      </w: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external</w:t>
      </w:r>
      <w:r w:rsidRPr="005827DA">
        <w:rPr>
          <w:rFonts w:ascii="Arial" w:hAnsi="Arial" w:cs="Arial"/>
          <w:spacing w:val="1"/>
          <w:sz w:val="20"/>
          <w:szCs w:val="20"/>
        </w:rPr>
        <w:t xml:space="preserve"> </w:t>
      </w:r>
      <w:r w:rsidRPr="005827DA">
        <w:rPr>
          <w:rFonts w:ascii="Arial" w:hAnsi="Arial" w:cs="Arial"/>
          <w:sz w:val="20"/>
          <w:szCs w:val="20"/>
        </w:rPr>
        <w:t>and</w:t>
      </w:r>
      <w:r w:rsidRPr="005827DA">
        <w:rPr>
          <w:rFonts w:ascii="Arial" w:hAnsi="Arial" w:cs="Arial"/>
          <w:spacing w:val="-1"/>
          <w:sz w:val="20"/>
          <w:szCs w:val="20"/>
        </w:rPr>
        <w:t xml:space="preserve"> </w:t>
      </w:r>
      <w:r w:rsidRPr="005827DA">
        <w:rPr>
          <w:rFonts w:ascii="Arial" w:hAnsi="Arial" w:cs="Arial"/>
          <w:sz w:val="20"/>
          <w:szCs w:val="20"/>
        </w:rPr>
        <w:t>instrument lights;</w:t>
      </w:r>
    </w:p>
    <w:p w14:paraId="1F477D09" w14:textId="77777777" w:rsidR="00F20810" w:rsidRPr="005827DA" w:rsidRDefault="00F20810" w:rsidP="005827DA">
      <w:pPr>
        <w:pStyle w:val="ListParagraph"/>
        <w:numPr>
          <w:ilvl w:val="1"/>
          <w:numId w:val="260"/>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3"/>
          <w:sz w:val="20"/>
          <w:szCs w:val="20"/>
        </w:rPr>
        <w:t xml:space="preserve"> </w:t>
      </w:r>
      <w:r w:rsidRPr="005827DA">
        <w:rPr>
          <w:rFonts w:ascii="Arial" w:hAnsi="Arial" w:cs="Arial"/>
          <w:sz w:val="20"/>
          <w:szCs w:val="20"/>
        </w:rPr>
        <w:t>night</w:t>
      </w:r>
      <w:r w:rsidRPr="005827DA">
        <w:rPr>
          <w:rFonts w:ascii="Arial" w:hAnsi="Arial" w:cs="Arial"/>
          <w:spacing w:val="-2"/>
          <w:sz w:val="20"/>
          <w:szCs w:val="20"/>
        </w:rPr>
        <w:t xml:space="preserve"> </w:t>
      </w:r>
      <w:r w:rsidRPr="005827DA">
        <w:rPr>
          <w:rFonts w:ascii="Arial" w:hAnsi="Arial" w:cs="Arial"/>
          <w:sz w:val="20"/>
          <w:szCs w:val="20"/>
        </w:rPr>
        <w:t>take-off</w:t>
      </w:r>
      <w:r w:rsidRPr="005827DA">
        <w:rPr>
          <w:rFonts w:ascii="Arial" w:hAnsi="Arial" w:cs="Arial"/>
          <w:spacing w:val="-2"/>
          <w:sz w:val="20"/>
          <w:szCs w:val="20"/>
        </w:rPr>
        <w:t xml:space="preserve"> </w:t>
      </w:r>
      <w:r w:rsidRPr="005827DA">
        <w:rPr>
          <w:rFonts w:ascii="Arial" w:hAnsi="Arial" w:cs="Arial"/>
          <w:sz w:val="20"/>
          <w:szCs w:val="20"/>
        </w:rPr>
        <w:t>procedure;</w:t>
      </w:r>
    </w:p>
    <w:p w14:paraId="1494778C" w14:textId="77777777" w:rsidR="00F20810" w:rsidRPr="005827DA" w:rsidRDefault="00F20810" w:rsidP="005827DA">
      <w:pPr>
        <w:pStyle w:val="ListParagraph"/>
        <w:numPr>
          <w:ilvl w:val="1"/>
          <w:numId w:val="260"/>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checklist</w:t>
      </w:r>
      <w:r w:rsidRPr="005827DA">
        <w:rPr>
          <w:rFonts w:ascii="Arial" w:hAnsi="Arial" w:cs="Arial"/>
          <w:spacing w:val="-1"/>
          <w:sz w:val="20"/>
          <w:szCs w:val="20"/>
        </w:rPr>
        <w:t xml:space="preserve"> </w:t>
      </w:r>
      <w:r w:rsidRPr="005827DA">
        <w:rPr>
          <w:rFonts w:ascii="Arial" w:hAnsi="Arial" w:cs="Arial"/>
          <w:sz w:val="20"/>
          <w:szCs w:val="20"/>
        </w:rPr>
        <w:t>procedures</w:t>
      </w:r>
      <w:r w:rsidRPr="005827DA">
        <w:rPr>
          <w:rFonts w:ascii="Arial" w:hAnsi="Arial" w:cs="Arial"/>
          <w:spacing w:val="-1"/>
          <w:sz w:val="20"/>
          <w:szCs w:val="20"/>
        </w:rPr>
        <w:t xml:space="preserve"> </w:t>
      </w:r>
      <w:r w:rsidRPr="005827DA">
        <w:rPr>
          <w:rFonts w:ascii="Arial" w:hAnsi="Arial" w:cs="Arial"/>
          <w:sz w:val="20"/>
          <w:szCs w:val="20"/>
        </w:rPr>
        <w:t>at</w:t>
      </w:r>
      <w:r w:rsidRPr="005827DA">
        <w:rPr>
          <w:rFonts w:ascii="Arial" w:hAnsi="Arial" w:cs="Arial"/>
          <w:spacing w:val="-4"/>
          <w:sz w:val="20"/>
          <w:szCs w:val="20"/>
        </w:rPr>
        <w:t xml:space="preserve"> </w:t>
      </w:r>
      <w:r w:rsidRPr="005827DA">
        <w:rPr>
          <w:rFonts w:ascii="Arial" w:hAnsi="Arial" w:cs="Arial"/>
          <w:sz w:val="20"/>
          <w:szCs w:val="20"/>
        </w:rPr>
        <w:t>night;</w:t>
      </w:r>
    </w:p>
    <w:p w14:paraId="1EBAEEF5" w14:textId="77777777" w:rsidR="00F20810" w:rsidRPr="005827DA" w:rsidRDefault="00F20810" w:rsidP="005827DA">
      <w:pPr>
        <w:pStyle w:val="ListParagraph"/>
        <w:numPr>
          <w:ilvl w:val="1"/>
          <w:numId w:val="260"/>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emergency</w:t>
      </w:r>
      <w:r w:rsidRPr="005827DA">
        <w:rPr>
          <w:rFonts w:ascii="Arial" w:hAnsi="Arial" w:cs="Arial"/>
          <w:spacing w:val="-1"/>
          <w:sz w:val="20"/>
          <w:szCs w:val="20"/>
        </w:rPr>
        <w:t xml:space="preserve"> </w:t>
      </w:r>
      <w:r w:rsidRPr="005827DA">
        <w:rPr>
          <w:rFonts w:ascii="Arial" w:hAnsi="Arial" w:cs="Arial"/>
          <w:sz w:val="20"/>
          <w:szCs w:val="20"/>
        </w:rPr>
        <w:t>procedures</w:t>
      </w:r>
      <w:r w:rsidRPr="005827DA">
        <w:rPr>
          <w:rFonts w:ascii="Arial" w:hAnsi="Arial" w:cs="Arial"/>
          <w:spacing w:val="-3"/>
          <w:sz w:val="20"/>
          <w:szCs w:val="20"/>
        </w:rPr>
        <w:t xml:space="preserve"> </w:t>
      </w:r>
      <w:r w:rsidRPr="005827DA">
        <w:rPr>
          <w:rFonts w:ascii="Arial" w:hAnsi="Arial" w:cs="Arial"/>
          <w:sz w:val="20"/>
          <w:szCs w:val="20"/>
        </w:rPr>
        <w:t>at night;</w:t>
      </w:r>
    </w:p>
    <w:p w14:paraId="046DF038" w14:textId="77777777" w:rsidR="00F20810" w:rsidRPr="005827DA" w:rsidRDefault="00F20810" w:rsidP="005827DA">
      <w:pPr>
        <w:pStyle w:val="ListParagraph"/>
        <w:numPr>
          <w:ilvl w:val="1"/>
          <w:numId w:val="260"/>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navigation</w:t>
      </w:r>
      <w:r w:rsidRPr="005827DA">
        <w:rPr>
          <w:rFonts w:ascii="Arial" w:hAnsi="Arial" w:cs="Arial"/>
          <w:spacing w:val="-2"/>
          <w:sz w:val="20"/>
          <w:szCs w:val="20"/>
        </w:rPr>
        <w:t xml:space="preserve"> </w:t>
      </w:r>
      <w:r w:rsidRPr="005827DA">
        <w:rPr>
          <w:rFonts w:ascii="Arial" w:hAnsi="Arial" w:cs="Arial"/>
          <w:sz w:val="20"/>
          <w:szCs w:val="20"/>
        </w:rPr>
        <w:t>principles</w:t>
      </w:r>
      <w:r w:rsidRPr="005827DA">
        <w:rPr>
          <w:rFonts w:ascii="Arial" w:hAnsi="Arial" w:cs="Arial"/>
          <w:spacing w:val="-2"/>
          <w:sz w:val="20"/>
          <w:szCs w:val="20"/>
        </w:rPr>
        <w:t xml:space="preserve"> </w:t>
      </w:r>
      <w:r w:rsidRPr="005827DA">
        <w:rPr>
          <w:rFonts w:ascii="Arial" w:hAnsi="Arial" w:cs="Arial"/>
          <w:sz w:val="20"/>
          <w:szCs w:val="20"/>
        </w:rPr>
        <w:t>at</w:t>
      </w:r>
      <w:r w:rsidRPr="005827DA">
        <w:rPr>
          <w:rFonts w:ascii="Arial" w:hAnsi="Arial" w:cs="Arial"/>
          <w:spacing w:val="-3"/>
          <w:sz w:val="20"/>
          <w:szCs w:val="20"/>
        </w:rPr>
        <w:t xml:space="preserve"> </w:t>
      </w:r>
      <w:r w:rsidRPr="005827DA">
        <w:rPr>
          <w:rFonts w:ascii="Arial" w:hAnsi="Arial" w:cs="Arial"/>
          <w:sz w:val="20"/>
          <w:szCs w:val="20"/>
        </w:rPr>
        <w:t>night;</w:t>
      </w:r>
      <w:r w:rsidRPr="005827DA">
        <w:rPr>
          <w:rFonts w:ascii="Arial" w:hAnsi="Arial" w:cs="Arial"/>
          <w:spacing w:val="1"/>
          <w:sz w:val="20"/>
          <w:szCs w:val="20"/>
        </w:rPr>
        <w:t xml:space="preserve"> </w:t>
      </w:r>
      <w:r w:rsidRPr="005827DA">
        <w:rPr>
          <w:rFonts w:ascii="Arial" w:hAnsi="Arial" w:cs="Arial"/>
          <w:sz w:val="20"/>
          <w:szCs w:val="20"/>
        </w:rPr>
        <w:t>and</w:t>
      </w:r>
    </w:p>
    <w:p w14:paraId="08A54533" w14:textId="77777777" w:rsidR="00F20810" w:rsidRPr="005827DA" w:rsidRDefault="00F20810" w:rsidP="005827DA">
      <w:pPr>
        <w:pStyle w:val="ListParagraph"/>
        <w:numPr>
          <w:ilvl w:val="1"/>
          <w:numId w:val="260"/>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9"/>
          <w:sz w:val="20"/>
          <w:szCs w:val="20"/>
        </w:rPr>
        <w:t xml:space="preserve"> </w:t>
      </w:r>
      <w:r w:rsidRPr="005827DA">
        <w:rPr>
          <w:rFonts w:ascii="Arial" w:hAnsi="Arial" w:cs="Arial"/>
          <w:sz w:val="20"/>
          <w:szCs w:val="20"/>
        </w:rPr>
        <w:t>map</w:t>
      </w:r>
      <w:r w:rsidRPr="005827DA">
        <w:rPr>
          <w:rFonts w:ascii="Arial" w:hAnsi="Arial" w:cs="Arial"/>
          <w:spacing w:val="8"/>
          <w:sz w:val="20"/>
          <w:szCs w:val="20"/>
        </w:rPr>
        <w:t xml:space="preserve"> </w:t>
      </w:r>
      <w:r w:rsidRPr="005827DA">
        <w:rPr>
          <w:rFonts w:ascii="Arial" w:hAnsi="Arial" w:cs="Arial"/>
          <w:sz w:val="20"/>
          <w:szCs w:val="20"/>
        </w:rPr>
        <w:t>marking</w:t>
      </w:r>
      <w:r w:rsidRPr="005827DA">
        <w:rPr>
          <w:rFonts w:ascii="Arial" w:hAnsi="Arial" w:cs="Arial"/>
          <w:spacing w:val="13"/>
          <w:sz w:val="20"/>
          <w:szCs w:val="20"/>
        </w:rPr>
        <w:t xml:space="preserve"> </w:t>
      </w:r>
      <w:r w:rsidRPr="005827DA">
        <w:rPr>
          <w:rFonts w:ascii="Arial" w:hAnsi="Arial" w:cs="Arial"/>
          <w:sz w:val="20"/>
          <w:szCs w:val="20"/>
        </w:rPr>
        <w:t>for</w:t>
      </w:r>
      <w:r w:rsidRPr="005827DA">
        <w:rPr>
          <w:rFonts w:ascii="Arial" w:hAnsi="Arial" w:cs="Arial"/>
          <w:spacing w:val="11"/>
          <w:sz w:val="20"/>
          <w:szCs w:val="20"/>
        </w:rPr>
        <w:t xml:space="preserve"> </w:t>
      </w:r>
      <w:r w:rsidRPr="005827DA">
        <w:rPr>
          <w:rFonts w:ascii="Arial" w:hAnsi="Arial" w:cs="Arial"/>
          <w:sz w:val="20"/>
          <w:szCs w:val="20"/>
        </w:rPr>
        <w:t>night</w:t>
      </w:r>
      <w:r w:rsidRPr="005827DA">
        <w:rPr>
          <w:rFonts w:ascii="Arial" w:hAnsi="Arial" w:cs="Arial"/>
          <w:spacing w:val="9"/>
          <w:sz w:val="20"/>
          <w:szCs w:val="20"/>
        </w:rPr>
        <w:t xml:space="preserve"> </w:t>
      </w:r>
      <w:r w:rsidRPr="005827DA">
        <w:rPr>
          <w:rFonts w:ascii="Arial" w:hAnsi="Arial" w:cs="Arial"/>
          <w:sz w:val="20"/>
          <w:szCs w:val="20"/>
        </w:rPr>
        <w:t>use</w:t>
      </w:r>
      <w:r w:rsidRPr="005827DA">
        <w:rPr>
          <w:rFonts w:ascii="Arial" w:hAnsi="Arial" w:cs="Arial"/>
          <w:spacing w:val="12"/>
          <w:sz w:val="20"/>
          <w:szCs w:val="20"/>
        </w:rPr>
        <w:t xml:space="preserve"> </w:t>
      </w:r>
      <w:r w:rsidRPr="005827DA">
        <w:rPr>
          <w:rFonts w:ascii="Arial" w:hAnsi="Arial" w:cs="Arial"/>
          <w:sz w:val="20"/>
          <w:szCs w:val="20"/>
        </w:rPr>
        <w:t>(highlighting</w:t>
      </w:r>
      <w:r w:rsidRPr="005827DA">
        <w:rPr>
          <w:rFonts w:ascii="Arial" w:hAnsi="Arial" w:cs="Arial"/>
          <w:spacing w:val="10"/>
          <w:sz w:val="20"/>
          <w:szCs w:val="20"/>
        </w:rPr>
        <w:t xml:space="preserve"> </w:t>
      </w:r>
      <w:r w:rsidRPr="005827DA">
        <w:rPr>
          <w:rFonts w:ascii="Arial" w:hAnsi="Arial" w:cs="Arial"/>
          <w:sz w:val="20"/>
          <w:szCs w:val="20"/>
        </w:rPr>
        <w:t>built</w:t>
      </w:r>
      <w:r w:rsidRPr="005827DA">
        <w:rPr>
          <w:rFonts w:ascii="Arial" w:hAnsi="Arial" w:cs="Arial"/>
          <w:spacing w:val="11"/>
          <w:sz w:val="20"/>
          <w:szCs w:val="20"/>
        </w:rPr>
        <w:t xml:space="preserve"> </w:t>
      </w:r>
      <w:r w:rsidRPr="005827DA">
        <w:rPr>
          <w:rFonts w:ascii="Arial" w:hAnsi="Arial" w:cs="Arial"/>
          <w:sz w:val="20"/>
          <w:szCs w:val="20"/>
        </w:rPr>
        <w:t>up</w:t>
      </w:r>
      <w:r w:rsidRPr="005827DA">
        <w:rPr>
          <w:rFonts w:ascii="Arial" w:hAnsi="Arial" w:cs="Arial"/>
          <w:spacing w:val="11"/>
          <w:sz w:val="20"/>
          <w:szCs w:val="20"/>
        </w:rPr>
        <w:t xml:space="preserve"> </w:t>
      </w:r>
      <w:r w:rsidRPr="005827DA">
        <w:rPr>
          <w:rFonts w:ascii="Arial" w:hAnsi="Arial" w:cs="Arial"/>
          <w:sz w:val="20"/>
          <w:szCs w:val="20"/>
        </w:rPr>
        <w:t>or</w:t>
      </w:r>
      <w:r w:rsidRPr="005827DA">
        <w:rPr>
          <w:rFonts w:ascii="Arial" w:hAnsi="Arial" w:cs="Arial"/>
          <w:spacing w:val="11"/>
          <w:sz w:val="20"/>
          <w:szCs w:val="20"/>
        </w:rPr>
        <w:t xml:space="preserve"> </w:t>
      </w:r>
      <w:r w:rsidRPr="005827DA">
        <w:rPr>
          <w:rFonts w:ascii="Arial" w:hAnsi="Arial" w:cs="Arial"/>
          <w:sz w:val="20"/>
          <w:szCs w:val="20"/>
        </w:rPr>
        <w:t>lit</w:t>
      </w:r>
      <w:r w:rsidRPr="005827DA">
        <w:rPr>
          <w:rFonts w:ascii="Arial" w:hAnsi="Arial" w:cs="Arial"/>
          <w:spacing w:val="11"/>
          <w:sz w:val="20"/>
          <w:szCs w:val="20"/>
        </w:rPr>
        <w:t xml:space="preserve"> </w:t>
      </w:r>
      <w:r w:rsidRPr="005827DA">
        <w:rPr>
          <w:rFonts w:ascii="Arial" w:hAnsi="Arial" w:cs="Arial"/>
          <w:sz w:val="20"/>
          <w:szCs w:val="20"/>
        </w:rPr>
        <w:t>areas</w:t>
      </w:r>
      <w:r w:rsidRPr="005827DA">
        <w:rPr>
          <w:rFonts w:ascii="Arial" w:hAnsi="Arial" w:cs="Arial"/>
          <w:spacing w:val="9"/>
          <w:sz w:val="20"/>
          <w:szCs w:val="20"/>
        </w:rPr>
        <w:t xml:space="preserve"> </w:t>
      </w:r>
      <w:r w:rsidRPr="005827DA">
        <w:rPr>
          <w:rFonts w:ascii="Arial" w:hAnsi="Arial" w:cs="Arial"/>
          <w:sz w:val="20"/>
          <w:szCs w:val="20"/>
        </w:rPr>
        <w:t>with</w:t>
      </w:r>
      <w:r w:rsidRPr="005827DA">
        <w:rPr>
          <w:rFonts w:ascii="Arial" w:hAnsi="Arial" w:cs="Arial"/>
          <w:spacing w:val="-47"/>
          <w:sz w:val="20"/>
          <w:szCs w:val="20"/>
        </w:rPr>
        <w:t xml:space="preserve"> </w:t>
      </w:r>
      <w:r w:rsidRPr="005827DA">
        <w:rPr>
          <w:rFonts w:ascii="Arial" w:hAnsi="Arial" w:cs="Arial"/>
          <w:sz w:val="20"/>
          <w:szCs w:val="20"/>
        </w:rPr>
        <w:t>thicker</w:t>
      </w:r>
      <w:r w:rsidRPr="005827DA">
        <w:rPr>
          <w:rFonts w:ascii="Arial" w:hAnsi="Arial" w:cs="Arial"/>
          <w:spacing w:val="-1"/>
          <w:sz w:val="20"/>
          <w:szCs w:val="20"/>
        </w:rPr>
        <w:t xml:space="preserve"> </w:t>
      </w:r>
      <w:r w:rsidRPr="005827DA">
        <w:rPr>
          <w:rFonts w:ascii="Arial" w:hAnsi="Arial" w:cs="Arial"/>
          <w:sz w:val="20"/>
          <w:szCs w:val="20"/>
        </w:rPr>
        <w:t>lines, etc.).</w:t>
      </w:r>
    </w:p>
    <w:p w14:paraId="475C797D" w14:textId="77777777" w:rsidR="00F20810" w:rsidRPr="005827DA" w:rsidRDefault="00F20810" w:rsidP="005827DA">
      <w:pPr>
        <w:pStyle w:val="ListParagraph"/>
        <w:numPr>
          <w:ilvl w:val="0"/>
          <w:numId w:val="260"/>
        </w:numPr>
        <w:tabs>
          <w:tab w:val="left" w:pos="90"/>
          <w:tab w:val="left" w:pos="2408"/>
          <w:tab w:val="left" w:pos="2409"/>
        </w:tabs>
        <w:spacing w:before="56" w:line="276" w:lineRule="auto"/>
        <w:ind w:right="68" w:hanging="436"/>
        <w:jc w:val="both"/>
        <w:rPr>
          <w:rFonts w:ascii="Arial" w:hAnsi="Arial" w:cs="Arial"/>
          <w:sz w:val="20"/>
          <w:szCs w:val="20"/>
        </w:rPr>
      </w:pPr>
      <w:r w:rsidRPr="005827DA">
        <w:rPr>
          <w:rFonts w:ascii="Arial" w:hAnsi="Arial" w:cs="Arial"/>
          <w:sz w:val="20"/>
          <w:szCs w:val="20"/>
        </w:rPr>
        <w:t>Air</w:t>
      </w:r>
      <w:r w:rsidRPr="005827DA">
        <w:rPr>
          <w:rFonts w:ascii="Arial" w:hAnsi="Arial" w:cs="Arial"/>
          <w:spacing w:val="-1"/>
          <w:sz w:val="20"/>
          <w:szCs w:val="20"/>
        </w:rPr>
        <w:t xml:space="preserve"> </w:t>
      </w:r>
      <w:r w:rsidRPr="005827DA">
        <w:rPr>
          <w:rFonts w:ascii="Arial" w:hAnsi="Arial" w:cs="Arial"/>
          <w:sz w:val="20"/>
          <w:szCs w:val="20"/>
        </w:rPr>
        <w:t>exercise</w:t>
      </w:r>
    </w:p>
    <w:p w14:paraId="41AD8095" w14:textId="77777777" w:rsidR="00F20810" w:rsidRPr="005827DA" w:rsidRDefault="00F20810" w:rsidP="005827DA">
      <w:pPr>
        <w:pStyle w:val="BodyText"/>
        <w:tabs>
          <w:tab w:val="left" w:pos="90"/>
        </w:tabs>
        <w:spacing w:line="276" w:lineRule="auto"/>
        <w:ind w:left="2408"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student</w:t>
      </w:r>
      <w:r w:rsidRPr="005827DA">
        <w:rPr>
          <w:rFonts w:ascii="Arial" w:hAnsi="Arial" w:cs="Arial"/>
          <w:spacing w:val="-3"/>
          <w:sz w:val="20"/>
          <w:szCs w:val="20"/>
        </w:rPr>
        <w:t xml:space="preserve"> </w:t>
      </w:r>
      <w:r w:rsidRPr="005827DA">
        <w:rPr>
          <w:rFonts w:ascii="Arial" w:hAnsi="Arial" w:cs="Arial"/>
          <w:sz w:val="20"/>
          <w:szCs w:val="20"/>
        </w:rPr>
        <w:t>instructor</w:t>
      </w:r>
      <w:r w:rsidRPr="005827DA">
        <w:rPr>
          <w:rFonts w:ascii="Arial" w:hAnsi="Arial" w:cs="Arial"/>
          <w:spacing w:val="-2"/>
          <w:sz w:val="20"/>
          <w:szCs w:val="20"/>
        </w:rPr>
        <w:t xml:space="preserve"> </w:t>
      </w:r>
      <w:r w:rsidRPr="005827DA">
        <w:rPr>
          <w:rFonts w:ascii="Arial" w:hAnsi="Arial" w:cs="Arial"/>
          <w:sz w:val="20"/>
          <w:szCs w:val="20"/>
        </w:rPr>
        <w:t>has</w:t>
      </w:r>
      <w:r w:rsidRPr="005827DA">
        <w:rPr>
          <w:rFonts w:ascii="Arial" w:hAnsi="Arial" w:cs="Arial"/>
          <w:spacing w:val="-6"/>
          <w:sz w:val="20"/>
          <w:szCs w:val="20"/>
        </w:rPr>
        <w:t xml:space="preserve"> </w:t>
      </w:r>
      <w:r w:rsidRPr="005827DA">
        <w:rPr>
          <w:rFonts w:ascii="Arial" w:hAnsi="Arial" w:cs="Arial"/>
          <w:sz w:val="20"/>
          <w:szCs w:val="20"/>
        </w:rPr>
        <w:t>to demonstrate:</w:t>
      </w:r>
    </w:p>
    <w:p w14:paraId="382ABB9B" w14:textId="77777777" w:rsidR="00F20810" w:rsidRPr="005827DA" w:rsidRDefault="00F20810" w:rsidP="005827DA">
      <w:pPr>
        <w:pStyle w:val="ListParagraph"/>
        <w:numPr>
          <w:ilvl w:val="1"/>
          <w:numId w:val="260"/>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use</w:t>
      </w:r>
      <w:r w:rsidRPr="005827DA">
        <w:rPr>
          <w:rFonts w:ascii="Arial" w:hAnsi="Arial" w:cs="Arial"/>
          <w:spacing w:val="-2"/>
          <w:sz w:val="20"/>
          <w:szCs w:val="20"/>
        </w:rPr>
        <w:t xml:space="preserve"> </w:t>
      </w:r>
      <w:r w:rsidRPr="005827DA">
        <w:rPr>
          <w:rFonts w:ascii="Arial" w:hAnsi="Arial" w:cs="Arial"/>
          <w:sz w:val="20"/>
          <w:szCs w:val="20"/>
        </w:rPr>
        <w:t>of lights</w:t>
      </w:r>
      <w:r w:rsidRPr="005827DA">
        <w:rPr>
          <w:rFonts w:ascii="Arial" w:hAnsi="Arial" w:cs="Arial"/>
          <w:spacing w:val="-2"/>
          <w:sz w:val="20"/>
          <w:szCs w:val="20"/>
        </w:rPr>
        <w:t xml:space="preserve"> </w:t>
      </w:r>
      <w:r w:rsidRPr="005827DA">
        <w:rPr>
          <w:rFonts w:ascii="Arial" w:hAnsi="Arial" w:cs="Arial"/>
          <w:sz w:val="20"/>
          <w:szCs w:val="20"/>
        </w:rPr>
        <w:t>for</w:t>
      </w:r>
      <w:r w:rsidRPr="005827DA">
        <w:rPr>
          <w:rFonts w:ascii="Arial" w:hAnsi="Arial" w:cs="Arial"/>
          <w:spacing w:val="-3"/>
          <w:sz w:val="20"/>
          <w:szCs w:val="20"/>
        </w:rPr>
        <w:t xml:space="preserve"> </w:t>
      </w:r>
      <w:r w:rsidRPr="005827DA">
        <w:rPr>
          <w:rFonts w:ascii="Arial" w:hAnsi="Arial" w:cs="Arial"/>
          <w:sz w:val="20"/>
          <w:szCs w:val="20"/>
        </w:rPr>
        <w:t>assembly,</w:t>
      </w:r>
      <w:r w:rsidRPr="005827DA">
        <w:rPr>
          <w:rFonts w:ascii="Arial" w:hAnsi="Arial" w:cs="Arial"/>
          <w:spacing w:val="1"/>
          <w:sz w:val="20"/>
          <w:szCs w:val="20"/>
        </w:rPr>
        <w:t xml:space="preserve"> </w:t>
      </w:r>
      <w:r w:rsidRPr="005827DA">
        <w:rPr>
          <w:rFonts w:ascii="Arial" w:hAnsi="Arial" w:cs="Arial"/>
          <w:sz w:val="20"/>
          <w:szCs w:val="20"/>
        </w:rPr>
        <w:t>layout and</w:t>
      </w:r>
      <w:r w:rsidRPr="005827DA">
        <w:rPr>
          <w:rFonts w:ascii="Arial" w:hAnsi="Arial" w:cs="Arial"/>
          <w:spacing w:val="-1"/>
          <w:sz w:val="20"/>
          <w:szCs w:val="20"/>
        </w:rPr>
        <w:t xml:space="preserve"> </w:t>
      </w:r>
      <w:r w:rsidRPr="005827DA">
        <w:rPr>
          <w:rFonts w:ascii="Arial" w:hAnsi="Arial" w:cs="Arial"/>
          <w:sz w:val="20"/>
          <w:szCs w:val="20"/>
        </w:rPr>
        <w:t>inflation;</w:t>
      </w:r>
    </w:p>
    <w:p w14:paraId="5A6BFD3A" w14:textId="77777777" w:rsidR="00F20810" w:rsidRPr="005827DA" w:rsidRDefault="00F20810" w:rsidP="005827DA">
      <w:pPr>
        <w:pStyle w:val="ListParagraph"/>
        <w:numPr>
          <w:ilvl w:val="1"/>
          <w:numId w:val="260"/>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1"/>
          <w:sz w:val="20"/>
          <w:szCs w:val="20"/>
        </w:rPr>
        <w:t xml:space="preserve"> </w:t>
      </w:r>
      <w:r w:rsidRPr="005827DA">
        <w:rPr>
          <w:rFonts w:ascii="Arial" w:hAnsi="Arial" w:cs="Arial"/>
          <w:sz w:val="20"/>
          <w:szCs w:val="20"/>
        </w:rPr>
        <w:t>flight</w:t>
      </w:r>
      <w:r w:rsidRPr="005827DA">
        <w:rPr>
          <w:rFonts w:ascii="Arial" w:hAnsi="Arial" w:cs="Arial"/>
          <w:spacing w:val="12"/>
          <w:sz w:val="20"/>
          <w:szCs w:val="20"/>
        </w:rPr>
        <w:t xml:space="preserve"> </w:t>
      </w:r>
      <w:r w:rsidRPr="005827DA">
        <w:rPr>
          <w:rFonts w:ascii="Arial" w:hAnsi="Arial" w:cs="Arial"/>
          <w:sz w:val="20"/>
          <w:szCs w:val="20"/>
        </w:rPr>
        <w:t>planning,</w:t>
      </w:r>
      <w:r w:rsidRPr="005827DA">
        <w:rPr>
          <w:rFonts w:ascii="Arial" w:hAnsi="Arial" w:cs="Arial"/>
          <w:spacing w:val="12"/>
          <w:sz w:val="20"/>
          <w:szCs w:val="20"/>
        </w:rPr>
        <w:t xml:space="preserve"> </w:t>
      </w:r>
      <w:r w:rsidRPr="005827DA">
        <w:rPr>
          <w:rFonts w:ascii="Arial" w:hAnsi="Arial" w:cs="Arial"/>
          <w:sz w:val="20"/>
          <w:szCs w:val="20"/>
        </w:rPr>
        <w:t>taking</w:t>
      </w:r>
      <w:r w:rsidRPr="005827DA">
        <w:rPr>
          <w:rFonts w:ascii="Arial" w:hAnsi="Arial" w:cs="Arial"/>
          <w:spacing w:val="10"/>
          <w:sz w:val="20"/>
          <w:szCs w:val="20"/>
        </w:rPr>
        <w:t xml:space="preserve"> </w:t>
      </w:r>
      <w:r w:rsidRPr="005827DA">
        <w:rPr>
          <w:rFonts w:ascii="Arial" w:hAnsi="Arial" w:cs="Arial"/>
          <w:sz w:val="20"/>
          <w:szCs w:val="20"/>
        </w:rPr>
        <w:t>into</w:t>
      </w:r>
      <w:r w:rsidRPr="005827DA">
        <w:rPr>
          <w:rFonts w:ascii="Arial" w:hAnsi="Arial" w:cs="Arial"/>
          <w:spacing w:val="14"/>
          <w:sz w:val="20"/>
          <w:szCs w:val="20"/>
        </w:rPr>
        <w:t xml:space="preserve"> </w:t>
      </w:r>
      <w:r w:rsidRPr="005827DA">
        <w:rPr>
          <w:rFonts w:ascii="Arial" w:hAnsi="Arial" w:cs="Arial"/>
          <w:sz w:val="20"/>
          <w:szCs w:val="20"/>
        </w:rPr>
        <w:t>account</w:t>
      </w:r>
      <w:r w:rsidRPr="005827DA">
        <w:rPr>
          <w:rFonts w:ascii="Arial" w:hAnsi="Arial" w:cs="Arial"/>
          <w:spacing w:val="12"/>
          <w:sz w:val="20"/>
          <w:szCs w:val="20"/>
        </w:rPr>
        <w:t xml:space="preserve"> </w:t>
      </w:r>
      <w:r w:rsidRPr="005827DA">
        <w:rPr>
          <w:rFonts w:ascii="Arial" w:hAnsi="Arial" w:cs="Arial"/>
          <w:sz w:val="20"/>
          <w:szCs w:val="20"/>
        </w:rPr>
        <w:t>the</w:t>
      </w:r>
      <w:r w:rsidRPr="005827DA">
        <w:rPr>
          <w:rFonts w:ascii="Arial" w:hAnsi="Arial" w:cs="Arial"/>
          <w:spacing w:val="10"/>
          <w:sz w:val="20"/>
          <w:szCs w:val="20"/>
        </w:rPr>
        <w:t xml:space="preserve"> </w:t>
      </w:r>
      <w:r w:rsidRPr="005827DA">
        <w:rPr>
          <w:rFonts w:ascii="Arial" w:hAnsi="Arial" w:cs="Arial"/>
          <w:sz w:val="20"/>
          <w:szCs w:val="20"/>
        </w:rPr>
        <w:t>obstacles</w:t>
      </w:r>
      <w:r w:rsidRPr="005827DA">
        <w:rPr>
          <w:rFonts w:ascii="Arial" w:hAnsi="Arial" w:cs="Arial"/>
          <w:spacing w:val="9"/>
          <w:sz w:val="20"/>
          <w:szCs w:val="20"/>
        </w:rPr>
        <w:t xml:space="preserve"> </w:t>
      </w:r>
      <w:r w:rsidRPr="005827DA">
        <w:rPr>
          <w:rFonts w:ascii="Arial" w:hAnsi="Arial" w:cs="Arial"/>
          <w:sz w:val="20"/>
          <w:szCs w:val="20"/>
        </w:rPr>
        <w:t>on</w:t>
      </w:r>
      <w:r w:rsidRPr="005827DA">
        <w:rPr>
          <w:rFonts w:ascii="Arial" w:hAnsi="Arial" w:cs="Arial"/>
          <w:spacing w:val="11"/>
          <w:sz w:val="20"/>
          <w:szCs w:val="20"/>
        </w:rPr>
        <w:t xml:space="preserve"> </w:t>
      </w:r>
      <w:r w:rsidRPr="005827DA">
        <w:rPr>
          <w:rFonts w:ascii="Arial" w:hAnsi="Arial" w:cs="Arial"/>
          <w:sz w:val="20"/>
          <w:szCs w:val="20"/>
        </w:rPr>
        <w:t>the</w:t>
      </w:r>
      <w:r w:rsidRPr="005827DA">
        <w:rPr>
          <w:rFonts w:ascii="Arial" w:hAnsi="Arial" w:cs="Arial"/>
          <w:spacing w:val="12"/>
          <w:sz w:val="20"/>
          <w:szCs w:val="20"/>
        </w:rPr>
        <w:t xml:space="preserve"> </w:t>
      </w:r>
      <w:r w:rsidRPr="005827DA">
        <w:rPr>
          <w:rFonts w:ascii="Arial" w:hAnsi="Arial" w:cs="Arial"/>
          <w:sz w:val="20"/>
          <w:szCs w:val="20"/>
        </w:rPr>
        <w:t>ground,</w:t>
      </w:r>
      <w:r w:rsidRPr="005827DA">
        <w:rPr>
          <w:rFonts w:ascii="Arial" w:hAnsi="Arial" w:cs="Arial"/>
          <w:spacing w:val="-47"/>
          <w:sz w:val="20"/>
          <w:szCs w:val="20"/>
        </w:rPr>
        <w:t xml:space="preserve"> </w:t>
      </w:r>
      <w:r w:rsidRPr="005827DA">
        <w:rPr>
          <w:rFonts w:ascii="Arial" w:hAnsi="Arial" w:cs="Arial"/>
          <w:sz w:val="20"/>
          <w:szCs w:val="20"/>
        </w:rPr>
        <w:t>night</w:t>
      </w:r>
      <w:r w:rsidRPr="005827DA">
        <w:rPr>
          <w:rFonts w:ascii="Arial" w:hAnsi="Arial" w:cs="Arial"/>
          <w:spacing w:val="-1"/>
          <w:sz w:val="20"/>
          <w:szCs w:val="20"/>
        </w:rPr>
        <w:t xml:space="preserve"> </w:t>
      </w:r>
      <w:r w:rsidRPr="005827DA">
        <w:rPr>
          <w:rFonts w:ascii="Arial" w:hAnsi="Arial" w:cs="Arial"/>
          <w:sz w:val="20"/>
          <w:szCs w:val="20"/>
        </w:rPr>
        <w:t>VMC</w:t>
      </w:r>
      <w:r w:rsidRPr="005827DA">
        <w:rPr>
          <w:rFonts w:ascii="Arial" w:hAnsi="Arial" w:cs="Arial"/>
          <w:spacing w:val="-2"/>
          <w:sz w:val="20"/>
          <w:szCs w:val="20"/>
        </w:rPr>
        <w:t xml:space="preserve"> </w:t>
      </w:r>
      <w:r w:rsidRPr="005827DA">
        <w:rPr>
          <w:rFonts w:ascii="Arial" w:hAnsi="Arial" w:cs="Arial"/>
          <w:sz w:val="20"/>
          <w:szCs w:val="20"/>
        </w:rPr>
        <w:t>minima, airspace;</w:t>
      </w:r>
    </w:p>
    <w:p w14:paraId="7BDE84B1" w14:textId="77777777" w:rsidR="00F20810" w:rsidRPr="005827DA" w:rsidRDefault="00F20810" w:rsidP="005827DA">
      <w:pPr>
        <w:pStyle w:val="ListParagraph"/>
        <w:numPr>
          <w:ilvl w:val="1"/>
          <w:numId w:val="260"/>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use</w:t>
      </w:r>
      <w:r w:rsidRPr="005827DA">
        <w:rPr>
          <w:rFonts w:ascii="Arial" w:hAnsi="Arial" w:cs="Arial"/>
          <w:spacing w:val="-3"/>
          <w:sz w:val="20"/>
          <w:szCs w:val="20"/>
        </w:rPr>
        <w:t xml:space="preserve"> </w:t>
      </w:r>
      <w:r w:rsidRPr="005827DA">
        <w:rPr>
          <w:rFonts w:ascii="Arial" w:hAnsi="Arial" w:cs="Arial"/>
          <w:sz w:val="20"/>
          <w:szCs w:val="20"/>
        </w:rPr>
        <w:t>of</w:t>
      </w:r>
      <w:r w:rsidRPr="005827DA">
        <w:rPr>
          <w:rFonts w:ascii="Arial" w:hAnsi="Arial" w:cs="Arial"/>
          <w:spacing w:val="-3"/>
          <w:sz w:val="20"/>
          <w:szCs w:val="20"/>
        </w:rPr>
        <w:t xml:space="preserve"> </w:t>
      </w:r>
      <w:r w:rsidRPr="005827DA">
        <w:rPr>
          <w:rFonts w:ascii="Arial" w:hAnsi="Arial" w:cs="Arial"/>
          <w:sz w:val="20"/>
          <w:szCs w:val="20"/>
        </w:rPr>
        <w:t>torch</w:t>
      </w:r>
      <w:r w:rsidRPr="005827DA">
        <w:rPr>
          <w:rFonts w:ascii="Arial" w:hAnsi="Arial" w:cs="Arial"/>
          <w:spacing w:val="-1"/>
          <w:sz w:val="20"/>
          <w:szCs w:val="20"/>
        </w:rPr>
        <w:t xml:space="preserve"> </w:t>
      </w:r>
      <w:r w:rsidRPr="005827DA">
        <w:rPr>
          <w:rFonts w:ascii="Arial" w:hAnsi="Arial" w:cs="Arial"/>
          <w:sz w:val="20"/>
          <w:szCs w:val="20"/>
        </w:rPr>
        <w:t>or</w:t>
      </w:r>
      <w:r w:rsidRPr="005827DA">
        <w:rPr>
          <w:rFonts w:ascii="Arial" w:hAnsi="Arial" w:cs="Arial"/>
          <w:spacing w:val="-4"/>
          <w:sz w:val="20"/>
          <w:szCs w:val="20"/>
        </w:rPr>
        <w:t xml:space="preserve"> </w:t>
      </w:r>
      <w:r w:rsidRPr="005827DA">
        <w:rPr>
          <w:rFonts w:ascii="Arial" w:hAnsi="Arial" w:cs="Arial"/>
          <w:sz w:val="20"/>
          <w:szCs w:val="20"/>
        </w:rPr>
        <w:t>lights for</w:t>
      </w:r>
      <w:r w:rsidRPr="005827DA">
        <w:rPr>
          <w:rFonts w:ascii="Arial" w:hAnsi="Arial" w:cs="Arial"/>
          <w:spacing w:val="-1"/>
          <w:sz w:val="20"/>
          <w:szCs w:val="20"/>
        </w:rPr>
        <w:t xml:space="preserve"> </w:t>
      </w:r>
      <w:r w:rsidRPr="005827DA">
        <w:rPr>
          <w:rFonts w:ascii="Arial" w:hAnsi="Arial" w:cs="Arial"/>
          <w:sz w:val="20"/>
          <w:szCs w:val="20"/>
        </w:rPr>
        <w:t>pre-flight</w:t>
      </w:r>
      <w:r w:rsidRPr="005827DA">
        <w:rPr>
          <w:rFonts w:ascii="Arial" w:hAnsi="Arial" w:cs="Arial"/>
          <w:spacing w:val="-1"/>
          <w:sz w:val="20"/>
          <w:szCs w:val="20"/>
        </w:rPr>
        <w:t xml:space="preserve"> </w:t>
      </w:r>
      <w:r w:rsidRPr="005827DA">
        <w:rPr>
          <w:rFonts w:ascii="Arial" w:hAnsi="Arial" w:cs="Arial"/>
          <w:sz w:val="20"/>
          <w:szCs w:val="20"/>
        </w:rPr>
        <w:t>inspection;</w:t>
      </w:r>
    </w:p>
    <w:p w14:paraId="22956659" w14:textId="77777777" w:rsidR="00F20810" w:rsidRPr="005827DA" w:rsidRDefault="00F20810" w:rsidP="005827DA">
      <w:pPr>
        <w:pStyle w:val="ListParagraph"/>
        <w:numPr>
          <w:ilvl w:val="1"/>
          <w:numId w:val="260"/>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use</w:t>
      </w:r>
      <w:r w:rsidRPr="005827DA">
        <w:rPr>
          <w:rFonts w:ascii="Arial" w:hAnsi="Arial" w:cs="Arial"/>
          <w:spacing w:val="-2"/>
          <w:sz w:val="20"/>
          <w:szCs w:val="20"/>
        </w:rPr>
        <w:t xml:space="preserve"> </w:t>
      </w:r>
      <w:r w:rsidRPr="005827DA">
        <w:rPr>
          <w:rFonts w:ascii="Arial" w:hAnsi="Arial" w:cs="Arial"/>
          <w:sz w:val="20"/>
          <w:szCs w:val="20"/>
        </w:rPr>
        <w:t>of</w:t>
      </w:r>
      <w:r w:rsidRPr="005827DA">
        <w:rPr>
          <w:rFonts w:ascii="Arial" w:hAnsi="Arial" w:cs="Arial"/>
          <w:spacing w:val="-2"/>
          <w:sz w:val="20"/>
          <w:szCs w:val="20"/>
        </w:rPr>
        <w:t xml:space="preserve"> </w:t>
      </w:r>
      <w:r w:rsidRPr="005827DA">
        <w:rPr>
          <w:rFonts w:ascii="Arial" w:hAnsi="Arial" w:cs="Arial"/>
          <w:sz w:val="20"/>
          <w:szCs w:val="20"/>
        </w:rPr>
        <w:t>external and</w:t>
      </w:r>
      <w:r w:rsidRPr="005827DA">
        <w:rPr>
          <w:rFonts w:ascii="Arial" w:hAnsi="Arial" w:cs="Arial"/>
          <w:spacing w:val="-1"/>
          <w:sz w:val="20"/>
          <w:szCs w:val="20"/>
        </w:rPr>
        <w:t xml:space="preserve"> </w:t>
      </w:r>
      <w:r w:rsidRPr="005827DA">
        <w:rPr>
          <w:rFonts w:ascii="Arial" w:hAnsi="Arial" w:cs="Arial"/>
          <w:sz w:val="20"/>
          <w:szCs w:val="20"/>
        </w:rPr>
        <w:t>instrument lights;</w:t>
      </w:r>
    </w:p>
    <w:p w14:paraId="58843B79" w14:textId="77777777" w:rsidR="00F20810" w:rsidRPr="005827DA" w:rsidRDefault="00F20810" w:rsidP="005827DA">
      <w:pPr>
        <w:pStyle w:val="ListParagraph"/>
        <w:numPr>
          <w:ilvl w:val="1"/>
          <w:numId w:val="260"/>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3"/>
          <w:sz w:val="20"/>
          <w:szCs w:val="20"/>
        </w:rPr>
        <w:t xml:space="preserve"> </w:t>
      </w:r>
      <w:r w:rsidRPr="005827DA">
        <w:rPr>
          <w:rFonts w:ascii="Arial" w:hAnsi="Arial" w:cs="Arial"/>
          <w:sz w:val="20"/>
          <w:szCs w:val="20"/>
        </w:rPr>
        <w:t>night</w:t>
      </w:r>
      <w:r w:rsidRPr="005827DA">
        <w:rPr>
          <w:rFonts w:ascii="Arial" w:hAnsi="Arial" w:cs="Arial"/>
          <w:spacing w:val="-2"/>
          <w:sz w:val="20"/>
          <w:szCs w:val="20"/>
        </w:rPr>
        <w:t xml:space="preserve"> </w:t>
      </w:r>
      <w:r w:rsidRPr="005827DA">
        <w:rPr>
          <w:rFonts w:ascii="Arial" w:hAnsi="Arial" w:cs="Arial"/>
          <w:sz w:val="20"/>
          <w:szCs w:val="20"/>
        </w:rPr>
        <w:t>take-off</w:t>
      </w:r>
      <w:r w:rsidRPr="005827DA">
        <w:rPr>
          <w:rFonts w:ascii="Arial" w:hAnsi="Arial" w:cs="Arial"/>
          <w:spacing w:val="-2"/>
          <w:sz w:val="20"/>
          <w:szCs w:val="20"/>
        </w:rPr>
        <w:t xml:space="preserve"> </w:t>
      </w:r>
      <w:r w:rsidRPr="005827DA">
        <w:rPr>
          <w:rFonts w:ascii="Arial" w:hAnsi="Arial" w:cs="Arial"/>
          <w:sz w:val="20"/>
          <w:szCs w:val="20"/>
        </w:rPr>
        <w:t>procedure;</w:t>
      </w:r>
    </w:p>
    <w:p w14:paraId="63EA744F" w14:textId="77777777" w:rsidR="00F20810" w:rsidRPr="005827DA" w:rsidRDefault="00F20810" w:rsidP="005827DA">
      <w:pPr>
        <w:pStyle w:val="ListParagraph"/>
        <w:numPr>
          <w:ilvl w:val="1"/>
          <w:numId w:val="260"/>
        </w:numPr>
        <w:tabs>
          <w:tab w:val="left" w:pos="90"/>
          <w:tab w:val="left" w:pos="2975"/>
          <w:tab w:val="left" w:pos="2976"/>
        </w:tabs>
        <w:spacing w:before="118"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3"/>
          <w:sz w:val="20"/>
          <w:szCs w:val="20"/>
        </w:rPr>
        <w:t xml:space="preserve"> </w:t>
      </w:r>
      <w:r w:rsidRPr="005827DA">
        <w:rPr>
          <w:rFonts w:ascii="Arial" w:hAnsi="Arial" w:cs="Arial"/>
          <w:sz w:val="20"/>
          <w:szCs w:val="20"/>
        </w:rPr>
        <w:t>to perform</w:t>
      </w:r>
      <w:r w:rsidRPr="005827DA">
        <w:rPr>
          <w:rFonts w:ascii="Arial" w:hAnsi="Arial" w:cs="Arial"/>
          <w:spacing w:val="-1"/>
          <w:sz w:val="20"/>
          <w:szCs w:val="20"/>
        </w:rPr>
        <w:t xml:space="preserve"> </w:t>
      </w:r>
      <w:r w:rsidRPr="005827DA">
        <w:rPr>
          <w:rFonts w:ascii="Arial" w:hAnsi="Arial" w:cs="Arial"/>
          <w:sz w:val="20"/>
          <w:szCs w:val="20"/>
        </w:rPr>
        <w:t>the</w:t>
      </w:r>
      <w:r w:rsidRPr="005827DA">
        <w:rPr>
          <w:rFonts w:ascii="Arial" w:hAnsi="Arial" w:cs="Arial"/>
          <w:spacing w:val="-3"/>
          <w:sz w:val="20"/>
          <w:szCs w:val="20"/>
        </w:rPr>
        <w:t xml:space="preserve"> </w:t>
      </w:r>
      <w:r w:rsidRPr="005827DA">
        <w:rPr>
          <w:rFonts w:ascii="Arial" w:hAnsi="Arial" w:cs="Arial"/>
          <w:sz w:val="20"/>
          <w:szCs w:val="20"/>
        </w:rPr>
        <w:t>checklist</w:t>
      </w:r>
      <w:r w:rsidRPr="005827DA">
        <w:rPr>
          <w:rFonts w:ascii="Arial" w:hAnsi="Arial" w:cs="Arial"/>
          <w:spacing w:val="1"/>
          <w:sz w:val="20"/>
          <w:szCs w:val="20"/>
        </w:rPr>
        <w:t xml:space="preserve"> </w:t>
      </w:r>
      <w:r w:rsidRPr="005827DA">
        <w:rPr>
          <w:rFonts w:ascii="Arial" w:hAnsi="Arial" w:cs="Arial"/>
          <w:sz w:val="20"/>
          <w:szCs w:val="20"/>
        </w:rPr>
        <w:t>procedures</w:t>
      </w:r>
      <w:r w:rsidRPr="005827DA">
        <w:rPr>
          <w:rFonts w:ascii="Arial" w:hAnsi="Arial" w:cs="Arial"/>
          <w:spacing w:val="-1"/>
          <w:sz w:val="20"/>
          <w:szCs w:val="20"/>
        </w:rPr>
        <w:t xml:space="preserve"> </w:t>
      </w:r>
      <w:r w:rsidRPr="005827DA">
        <w:rPr>
          <w:rFonts w:ascii="Arial" w:hAnsi="Arial" w:cs="Arial"/>
          <w:sz w:val="20"/>
          <w:szCs w:val="20"/>
        </w:rPr>
        <w:t>at</w:t>
      </w:r>
      <w:r w:rsidRPr="005827DA">
        <w:rPr>
          <w:rFonts w:ascii="Arial" w:hAnsi="Arial" w:cs="Arial"/>
          <w:spacing w:val="-1"/>
          <w:sz w:val="20"/>
          <w:szCs w:val="20"/>
        </w:rPr>
        <w:t xml:space="preserve"> </w:t>
      </w:r>
      <w:r w:rsidRPr="005827DA">
        <w:rPr>
          <w:rFonts w:ascii="Arial" w:hAnsi="Arial" w:cs="Arial"/>
          <w:sz w:val="20"/>
          <w:szCs w:val="20"/>
        </w:rPr>
        <w:t>night;</w:t>
      </w:r>
    </w:p>
    <w:p w14:paraId="347CF55C" w14:textId="77777777" w:rsidR="00F20810" w:rsidRPr="005827DA" w:rsidRDefault="00F20810" w:rsidP="005827DA">
      <w:pPr>
        <w:pStyle w:val="ListParagraph"/>
        <w:numPr>
          <w:ilvl w:val="1"/>
          <w:numId w:val="260"/>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3"/>
          <w:sz w:val="20"/>
          <w:szCs w:val="20"/>
        </w:rPr>
        <w:t xml:space="preserve"> </w:t>
      </w:r>
      <w:r w:rsidRPr="005827DA">
        <w:rPr>
          <w:rFonts w:ascii="Arial" w:hAnsi="Arial" w:cs="Arial"/>
          <w:sz w:val="20"/>
          <w:szCs w:val="20"/>
        </w:rPr>
        <w:t>to</w:t>
      </w:r>
      <w:r w:rsidRPr="005827DA">
        <w:rPr>
          <w:rFonts w:ascii="Arial" w:hAnsi="Arial" w:cs="Arial"/>
          <w:spacing w:val="-2"/>
          <w:sz w:val="20"/>
          <w:szCs w:val="20"/>
        </w:rPr>
        <w:t xml:space="preserve"> </w:t>
      </w:r>
      <w:r w:rsidRPr="005827DA">
        <w:rPr>
          <w:rFonts w:ascii="Arial" w:hAnsi="Arial" w:cs="Arial"/>
          <w:sz w:val="20"/>
          <w:szCs w:val="20"/>
        </w:rPr>
        <w:t>maintain</w:t>
      </w:r>
      <w:r w:rsidRPr="005827DA">
        <w:rPr>
          <w:rFonts w:ascii="Arial" w:hAnsi="Arial" w:cs="Arial"/>
          <w:spacing w:val="-5"/>
          <w:sz w:val="20"/>
          <w:szCs w:val="20"/>
        </w:rPr>
        <w:t xml:space="preserve"> </w:t>
      </w:r>
      <w:r w:rsidRPr="005827DA">
        <w:rPr>
          <w:rFonts w:ascii="Arial" w:hAnsi="Arial" w:cs="Arial"/>
          <w:sz w:val="20"/>
          <w:szCs w:val="20"/>
        </w:rPr>
        <w:t>safety altitude;</w:t>
      </w:r>
    </w:p>
    <w:p w14:paraId="38DD8B29" w14:textId="77777777" w:rsidR="00F20810" w:rsidRPr="005827DA" w:rsidRDefault="00F20810" w:rsidP="005827DA">
      <w:pPr>
        <w:pStyle w:val="ListParagraph"/>
        <w:numPr>
          <w:ilvl w:val="1"/>
          <w:numId w:val="260"/>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simulated</w:t>
      </w:r>
      <w:r w:rsidRPr="005827DA">
        <w:rPr>
          <w:rFonts w:ascii="Arial" w:hAnsi="Arial" w:cs="Arial"/>
          <w:spacing w:val="-2"/>
          <w:sz w:val="20"/>
          <w:szCs w:val="20"/>
        </w:rPr>
        <w:t xml:space="preserve"> </w:t>
      </w:r>
      <w:r w:rsidRPr="005827DA">
        <w:rPr>
          <w:rFonts w:ascii="Arial" w:hAnsi="Arial" w:cs="Arial"/>
          <w:sz w:val="20"/>
          <w:szCs w:val="20"/>
        </w:rPr>
        <w:t>night</w:t>
      </w:r>
      <w:r w:rsidRPr="005827DA">
        <w:rPr>
          <w:rFonts w:ascii="Arial" w:hAnsi="Arial" w:cs="Arial"/>
          <w:spacing w:val="-4"/>
          <w:sz w:val="20"/>
          <w:szCs w:val="20"/>
        </w:rPr>
        <w:t xml:space="preserve"> </w:t>
      </w:r>
      <w:r w:rsidRPr="005827DA">
        <w:rPr>
          <w:rFonts w:ascii="Arial" w:hAnsi="Arial" w:cs="Arial"/>
          <w:sz w:val="20"/>
          <w:szCs w:val="20"/>
        </w:rPr>
        <w:t>emergency</w:t>
      </w:r>
      <w:r w:rsidRPr="005827DA">
        <w:rPr>
          <w:rFonts w:ascii="Arial" w:hAnsi="Arial" w:cs="Arial"/>
          <w:spacing w:val="-1"/>
          <w:sz w:val="20"/>
          <w:szCs w:val="20"/>
        </w:rPr>
        <w:t xml:space="preserve"> </w:t>
      </w:r>
      <w:r w:rsidRPr="005827DA">
        <w:rPr>
          <w:rFonts w:ascii="Arial" w:hAnsi="Arial" w:cs="Arial"/>
          <w:sz w:val="20"/>
          <w:szCs w:val="20"/>
        </w:rPr>
        <w:t>procedures;</w:t>
      </w:r>
    </w:p>
    <w:p w14:paraId="26307B56" w14:textId="77777777" w:rsidR="00F20810" w:rsidRPr="005827DA" w:rsidRDefault="00F20810" w:rsidP="005827DA">
      <w:pPr>
        <w:pStyle w:val="ListParagraph"/>
        <w:numPr>
          <w:ilvl w:val="1"/>
          <w:numId w:val="260"/>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navigation</w:t>
      </w:r>
      <w:r w:rsidRPr="005827DA">
        <w:rPr>
          <w:rFonts w:ascii="Arial" w:hAnsi="Arial" w:cs="Arial"/>
          <w:spacing w:val="-2"/>
          <w:sz w:val="20"/>
          <w:szCs w:val="20"/>
        </w:rPr>
        <w:t xml:space="preserve"> </w:t>
      </w:r>
      <w:r w:rsidRPr="005827DA">
        <w:rPr>
          <w:rFonts w:ascii="Arial" w:hAnsi="Arial" w:cs="Arial"/>
          <w:sz w:val="20"/>
          <w:szCs w:val="20"/>
        </w:rPr>
        <w:t>principles</w:t>
      </w:r>
      <w:r w:rsidRPr="005827DA">
        <w:rPr>
          <w:rFonts w:ascii="Arial" w:hAnsi="Arial" w:cs="Arial"/>
          <w:spacing w:val="-3"/>
          <w:sz w:val="20"/>
          <w:szCs w:val="20"/>
        </w:rPr>
        <w:t xml:space="preserve"> </w:t>
      </w:r>
      <w:r w:rsidRPr="005827DA">
        <w:rPr>
          <w:rFonts w:ascii="Arial" w:hAnsi="Arial" w:cs="Arial"/>
          <w:sz w:val="20"/>
          <w:szCs w:val="20"/>
        </w:rPr>
        <w:t>at</w:t>
      </w:r>
      <w:r w:rsidRPr="005827DA">
        <w:rPr>
          <w:rFonts w:ascii="Arial" w:hAnsi="Arial" w:cs="Arial"/>
          <w:spacing w:val="-3"/>
          <w:sz w:val="20"/>
          <w:szCs w:val="20"/>
        </w:rPr>
        <w:t xml:space="preserve"> </w:t>
      </w:r>
      <w:r w:rsidRPr="005827DA">
        <w:rPr>
          <w:rFonts w:ascii="Arial" w:hAnsi="Arial" w:cs="Arial"/>
          <w:sz w:val="20"/>
          <w:szCs w:val="20"/>
        </w:rPr>
        <w:t>night;</w:t>
      </w:r>
    </w:p>
    <w:p w14:paraId="2CF86B1C" w14:textId="77777777" w:rsidR="00F20810" w:rsidRPr="005827DA" w:rsidRDefault="00F20810" w:rsidP="005827DA">
      <w:pPr>
        <w:pStyle w:val="ListParagraph"/>
        <w:numPr>
          <w:ilvl w:val="1"/>
          <w:numId w:val="260"/>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night</w:t>
      </w:r>
      <w:r w:rsidRPr="005827DA">
        <w:rPr>
          <w:rFonts w:ascii="Arial" w:hAnsi="Arial" w:cs="Arial"/>
          <w:spacing w:val="-2"/>
          <w:sz w:val="20"/>
          <w:szCs w:val="20"/>
        </w:rPr>
        <w:t xml:space="preserve"> </w:t>
      </w:r>
      <w:r w:rsidRPr="005827DA">
        <w:rPr>
          <w:rFonts w:ascii="Arial" w:hAnsi="Arial" w:cs="Arial"/>
          <w:sz w:val="20"/>
          <w:szCs w:val="20"/>
        </w:rPr>
        <w:t>cross-country</w:t>
      </w:r>
      <w:r w:rsidRPr="005827DA">
        <w:rPr>
          <w:rFonts w:ascii="Arial" w:hAnsi="Arial" w:cs="Arial"/>
          <w:spacing w:val="-4"/>
          <w:sz w:val="20"/>
          <w:szCs w:val="20"/>
        </w:rPr>
        <w:t xml:space="preserve"> </w:t>
      </w:r>
      <w:r w:rsidRPr="005827DA">
        <w:rPr>
          <w:rFonts w:ascii="Arial" w:hAnsi="Arial" w:cs="Arial"/>
          <w:sz w:val="20"/>
          <w:szCs w:val="20"/>
        </w:rPr>
        <w:t>techniques,</w:t>
      </w:r>
      <w:r w:rsidRPr="005827DA">
        <w:rPr>
          <w:rFonts w:ascii="Arial" w:hAnsi="Arial" w:cs="Arial"/>
          <w:spacing w:val="-1"/>
          <w:sz w:val="20"/>
          <w:szCs w:val="20"/>
        </w:rPr>
        <w:t xml:space="preserve"> </w:t>
      </w:r>
      <w:r w:rsidRPr="005827DA">
        <w:rPr>
          <w:rFonts w:ascii="Arial" w:hAnsi="Arial" w:cs="Arial"/>
          <w:sz w:val="20"/>
          <w:szCs w:val="20"/>
        </w:rPr>
        <w:t>as</w:t>
      </w:r>
      <w:r w:rsidRPr="005827DA">
        <w:rPr>
          <w:rFonts w:ascii="Arial" w:hAnsi="Arial" w:cs="Arial"/>
          <w:spacing w:val="-2"/>
          <w:sz w:val="20"/>
          <w:szCs w:val="20"/>
        </w:rPr>
        <w:t xml:space="preserve"> </w:t>
      </w:r>
      <w:r w:rsidRPr="005827DA">
        <w:rPr>
          <w:rFonts w:ascii="Arial" w:hAnsi="Arial" w:cs="Arial"/>
          <w:sz w:val="20"/>
          <w:szCs w:val="20"/>
        </w:rPr>
        <w:t>appropriate;</w:t>
      </w:r>
    </w:p>
    <w:p w14:paraId="5131D4FB" w14:textId="77777777" w:rsidR="00F20810" w:rsidRPr="005827DA" w:rsidRDefault="00F20810" w:rsidP="005827DA">
      <w:pPr>
        <w:pStyle w:val="ListParagraph"/>
        <w:numPr>
          <w:ilvl w:val="1"/>
          <w:numId w:val="260"/>
        </w:numPr>
        <w:tabs>
          <w:tab w:val="left" w:pos="90"/>
          <w:tab w:val="left" w:pos="2975"/>
          <w:tab w:val="left" w:pos="2976"/>
        </w:tabs>
        <w:spacing w:before="121"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3"/>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advise</w:t>
      </w:r>
      <w:r w:rsidRPr="005827DA">
        <w:rPr>
          <w:rFonts w:ascii="Arial" w:hAnsi="Arial" w:cs="Arial"/>
          <w:spacing w:val="-3"/>
          <w:sz w:val="20"/>
          <w:szCs w:val="20"/>
        </w:rPr>
        <w:t xml:space="preserve"> </w:t>
      </w:r>
      <w:r w:rsidRPr="005827DA">
        <w:rPr>
          <w:rFonts w:ascii="Arial" w:hAnsi="Arial" w:cs="Arial"/>
          <w:sz w:val="20"/>
          <w:szCs w:val="20"/>
        </w:rPr>
        <w:t>the</w:t>
      </w:r>
      <w:r w:rsidRPr="005827DA">
        <w:rPr>
          <w:rFonts w:ascii="Arial" w:hAnsi="Arial" w:cs="Arial"/>
          <w:spacing w:val="-2"/>
          <w:sz w:val="20"/>
          <w:szCs w:val="20"/>
        </w:rPr>
        <w:t xml:space="preserve"> </w:t>
      </w:r>
      <w:r w:rsidRPr="005827DA">
        <w:rPr>
          <w:rFonts w:ascii="Arial" w:hAnsi="Arial" w:cs="Arial"/>
          <w:sz w:val="20"/>
          <w:szCs w:val="20"/>
        </w:rPr>
        <w:t>student</w:t>
      </w:r>
      <w:r w:rsidRPr="005827DA">
        <w:rPr>
          <w:rFonts w:ascii="Arial" w:hAnsi="Arial" w:cs="Arial"/>
          <w:spacing w:val="-3"/>
          <w:sz w:val="20"/>
          <w:szCs w:val="20"/>
        </w:rPr>
        <w:t xml:space="preserve"> </w:t>
      </w:r>
      <w:r w:rsidRPr="005827DA">
        <w:rPr>
          <w:rFonts w:ascii="Arial" w:hAnsi="Arial" w:cs="Arial"/>
          <w:sz w:val="20"/>
          <w:szCs w:val="20"/>
        </w:rPr>
        <w:t>pilot to perform</w:t>
      </w:r>
      <w:r w:rsidRPr="005827DA">
        <w:rPr>
          <w:rFonts w:ascii="Arial" w:hAnsi="Arial" w:cs="Arial"/>
          <w:spacing w:val="1"/>
          <w:sz w:val="20"/>
          <w:szCs w:val="20"/>
        </w:rPr>
        <w:t xml:space="preserve"> </w:t>
      </w:r>
      <w:r w:rsidRPr="005827DA">
        <w:rPr>
          <w:rFonts w:ascii="Arial" w:hAnsi="Arial" w:cs="Arial"/>
          <w:sz w:val="20"/>
          <w:szCs w:val="20"/>
        </w:rPr>
        <w:t>a</w:t>
      </w:r>
      <w:r w:rsidRPr="005827DA">
        <w:rPr>
          <w:rFonts w:ascii="Arial" w:hAnsi="Arial" w:cs="Arial"/>
          <w:spacing w:val="-3"/>
          <w:sz w:val="20"/>
          <w:szCs w:val="20"/>
        </w:rPr>
        <w:t xml:space="preserve"> </w:t>
      </w:r>
      <w:r w:rsidRPr="005827DA">
        <w:rPr>
          <w:rFonts w:ascii="Arial" w:hAnsi="Arial" w:cs="Arial"/>
          <w:sz w:val="20"/>
          <w:szCs w:val="20"/>
        </w:rPr>
        <w:t>flight at</w:t>
      </w:r>
      <w:r w:rsidRPr="005827DA">
        <w:rPr>
          <w:rFonts w:ascii="Arial" w:hAnsi="Arial" w:cs="Arial"/>
          <w:spacing w:val="-3"/>
          <w:sz w:val="20"/>
          <w:szCs w:val="20"/>
        </w:rPr>
        <w:t xml:space="preserve"> </w:t>
      </w:r>
      <w:r w:rsidRPr="005827DA">
        <w:rPr>
          <w:rFonts w:ascii="Arial" w:hAnsi="Arial" w:cs="Arial"/>
          <w:sz w:val="20"/>
          <w:szCs w:val="20"/>
        </w:rPr>
        <w:t>night;</w:t>
      </w:r>
      <w:r w:rsidRPr="005827DA">
        <w:rPr>
          <w:rFonts w:ascii="Arial" w:hAnsi="Arial" w:cs="Arial"/>
          <w:spacing w:val="1"/>
          <w:sz w:val="20"/>
          <w:szCs w:val="20"/>
        </w:rPr>
        <w:t xml:space="preserve"> </w:t>
      </w:r>
      <w:r w:rsidRPr="005827DA">
        <w:rPr>
          <w:rFonts w:ascii="Arial" w:hAnsi="Arial" w:cs="Arial"/>
          <w:sz w:val="20"/>
          <w:szCs w:val="20"/>
        </w:rPr>
        <w:t>and</w:t>
      </w:r>
    </w:p>
    <w:p w14:paraId="7FC489C8" w14:textId="77777777" w:rsidR="00F20810" w:rsidRPr="005827DA" w:rsidRDefault="00F20810" w:rsidP="005827DA">
      <w:pPr>
        <w:pStyle w:val="ListParagraph"/>
        <w:numPr>
          <w:ilvl w:val="1"/>
          <w:numId w:val="260"/>
        </w:numPr>
        <w:tabs>
          <w:tab w:val="left" w:pos="90"/>
          <w:tab w:val="left" w:pos="2975"/>
          <w:tab w:val="left" w:pos="2976"/>
        </w:tabs>
        <w:spacing w:line="276" w:lineRule="auto"/>
        <w:ind w:right="68" w:hanging="436"/>
        <w:jc w:val="both"/>
        <w:rPr>
          <w:rFonts w:ascii="Arial" w:hAnsi="Arial" w:cs="Arial"/>
          <w:sz w:val="20"/>
          <w:szCs w:val="20"/>
        </w:rPr>
      </w:pPr>
      <w:r w:rsidRPr="005827DA">
        <w:rPr>
          <w:rFonts w:ascii="Arial" w:hAnsi="Arial" w:cs="Arial"/>
          <w:sz w:val="20"/>
          <w:szCs w:val="20"/>
        </w:rPr>
        <w:t>how</w:t>
      </w:r>
      <w:r w:rsidRPr="005827DA">
        <w:rPr>
          <w:rFonts w:ascii="Arial" w:hAnsi="Arial" w:cs="Arial"/>
          <w:spacing w:val="-2"/>
          <w:sz w:val="20"/>
          <w:szCs w:val="20"/>
        </w:rPr>
        <w:t xml:space="preserve"> </w:t>
      </w:r>
      <w:r w:rsidRPr="005827DA">
        <w:rPr>
          <w:rFonts w:ascii="Arial" w:hAnsi="Arial" w:cs="Arial"/>
          <w:sz w:val="20"/>
          <w:szCs w:val="20"/>
        </w:rPr>
        <w:t>to</w:t>
      </w:r>
      <w:r w:rsidRPr="005827DA">
        <w:rPr>
          <w:rFonts w:ascii="Arial" w:hAnsi="Arial" w:cs="Arial"/>
          <w:spacing w:val="-1"/>
          <w:sz w:val="20"/>
          <w:szCs w:val="20"/>
        </w:rPr>
        <w:t xml:space="preserve"> </w:t>
      </w:r>
      <w:r w:rsidRPr="005827DA">
        <w:rPr>
          <w:rFonts w:ascii="Arial" w:hAnsi="Arial" w:cs="Arial"/>
          <w:sz w:val="20"/>
          <w:szCs w:val="20"/>
        </w:rPr>
        <w:t>analyse</w:t>
      </w:r>
      <w:r w:rsidRPr="005827DA">
        <w:rPr>
          <w:rFonts w:ascii="Arial" w:hAnsi="Arial" w:cs="Arial"/>
          <w:spacing w:val="-2"/>
          <w:sz w:val="20"/>
          <w:szCs w:val="20"/>
        </w:rPr>
        <w:t xml:space="preserve"> </w:t>
      </w:r>
      <w:r w:rsidRPr="005827DA">
        <w:rPr>
          <w:rFonts w:ascii="Arial" w:hAnsi="Arial" w:cs="Arial"/>
          <w:sz w:val="20"/>
          <w:szCs w:val="20"/>
        </w:rPr>
        <w:t>and</w:t>
      </w:r>
      <w:r w:rsidRPr="005827DA">
        <w:rPr>
          <w:rFonts w:ascii="Arial" w:hAnsi="Arial" w:cs="Arial"/>
          <w:spacing w:val="-1"/>
          <w:sz w:val="20"/>
          <w:szCs w:val="20"/>
        </w:rPr>
        <w:t xml:space="preserve"> </w:t>
      </w:r>
      <w:r w:rsidRPr="005827DA">
        <w:rPr>
          <w:rFonts w:ascii="Arial" w:hAnsi="Arial" w:cs="Arial"/>
          <w:sz w:val="20"/>
          <w:szCs w:val="20"/>
        </w:rPr>
        <w:t>correct</w:t>
      </w:r>
      <w:r w:rsidRPr="005827DA">
        <w:rPr>
          <w:rFonts w:ascii="Arial" w:hAnsi="Arial" w:cs="Arial"/>
          <w:spacing w:val="-1"/>
          <w:sz w:val="20"/>
          <w:szCs w:val="20"/>
        </w:rPr>
        <w:t xml:space="preserve"> </w:t>
      </w:r>
      <w:r w:rsidRPr="005827DA">
        <w:rPr>
          <w:rFonts w:ascii="Arial" w:hAnsi="Arial" w:cs="Arial"/>
          <w:sz w:val="20"/>
          <w:szCs w:val="20"/>
        </w:rPr>
        <w:t>faults</w:t>
      </w:r>
      <w:r w:rsidRPr="005827DA">
        <w:rPr>
          <w:rFonts w:ascii="Arial" w:hAnsi="Arial" w:cs="Arial"/>
          <w:spacing w:val="-2"/>
          <w:sz w:val="20"/>
          <w:szCs w:val="20"/>
        </w:rPr>
        <w:t xml:space="preserve"> </w:t>
      </w:r>
      <w:r w:rsidRPr="005827DA">
        <w:rPr>
          <w:rFonts w:ascii="Arial" w:hAnsi="Arial" w:cs="Arial"/>
          <w:sz w:val="20"/>
          <w:szCs w:val="20"/>
        </w:rPr>
        <w:t>or errors</w:t>
      </w:r>
      <w:r w:rsidRPr="005827DA">
        <w:rPr>
          <w:rFonts w:ascii="Arial" w:hAnsi="Arial" w:cs="Arial"/>
          <w:spacing w:val="-2"/>
          <w:sz w:val="20"/>
          <w:szCs w:val="20"/>
        </w:rPr>
        <w:t xml:space="preserve"> </w:t>
      </w:r>
      <w:r w:rsidRPr="005827DA">
        <w:rPr>
          <w:rFonts w:ascii="Arial" w:hAnsi="Arial" w:cs="Arial"/>
          <w:sz w:val="20"/>
          <w:szCs w:val="20"/>
        </w:rPr>
        <w:t>of</w:t>
      </w:r>
      <w:r w:rsidRPr="005827DA">
        <w:rPr>
          <w:rFonts w:ascii="Arial" w:hAnsi="Arial" w:cs="Arial"/>
          <w:spacing w:val="-2"/>
          <w:sz w:val="20"/>
          <w:szCs w:val="20"/>
        </w:rPr>
        <w:t xml:space="preserve"> </w:t>
      </w:r>
      <w:r w:rsidRPr="005827DA">
        <w:rPr>
          <w:rFonts w:ascii="Arial" w:hAnsi="Arial" w:cs="Arial"/>
          <w:sz w:val="20"/>
          <w:szCs w:val="20"/>
        </w:rPr>
        <w:t>the</w:t>
      </w:r>
      <w:r w:rsidRPr="005827DA">
        <w:rPr>
          <w:rFonts w:ascii="Arial" w:hAnsi="Arial" w:cs="Arial"/>
          <w:spacing w:val="1"/>
          <w:sz w:val="20"/>
          <w:szCs w:val="20"/>
        </w:rPr>
        <w:t xml:space="preserve"> </w:t>
      </w:r>
      <w:r w:rsidRPr="005827DA">
        <w:rPr>
          <w:rFonts w:ascii="Arial" w:hAnsi="Arial" w:cs="Arial"/>
          <w:sz w:val="20"/>
          <w:szCs w:val="20"/>
        </w:rPr>
        <w:t>student pilot.</w:t>
      </w:r>
    </w:p>
    <w:p w14:paraId="31E6AD60" w14:textId="77777777" w:rsidR="00F20810" w:rsidRPr="005827DA" w:rsidRDefault="00F20810" w:rsidP="005827DA">
      <w:pPr>
        <w:pStyle w:val="ListParagraph"/>
        <w:numPr>
          <w:ilvl w:val="0"/>
          <w:numId w:val="260"/>
        </w:numPr>
        <w:tabs>
          <w:tab w:val="left" w:pos="90"/>
          <w:tab w:val="left" w:pos="2408"/>
          <w:tab w:val="left" w:pos="2409"/>
        </w:tabs>
        <w:spacing w:line="276" w:lineRule="auto"/>
        <w:ind w:right="68" w:hanging="436"/>
        <w:jc w:val="both"/>
        <w:rPr>
          <w:rFonts w:ascii="Arial" w:hAnsi="Arial" w:cs="Arial"/>
          <w:sz w:val="20"/>
          <w:szCs w:val="20"/>
        </w:rPr>
      </w:pPr>
      <w:r w:rsidRPr="005827DA">
        <w:rPr>
          <w:rFonts w:ascii="Arial" w:hAnsi="Arial" w:cs="Arial"/>
          <w:sz w:val="20"/>
          <w:szCs w:val="20"/>
        </w:rPr>
        <w:t>Debriefing</w:t>
      </w:r>
    </w:p>
    <w:p w14:paraId="79960F1E" w14:textId="77777777" w:rsidR="00ED31A1" w:rsidRPr="00ED31A1" w:rsidRDefault="00ED31A1" w:rsidP="00ED31A1">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714" w:name="BFCL.345__FI(B)_–_Assessment_of_competen"/>
      <w:bookmarkStart w:id="715" w:name="_bookmark291"/>
      <w:bookmarkStart w:id="716" w:name="_Toc153137456"/>
      <w:bookmarkEnd w:id="714"/>
      <w:bookmarkEnd w:id="715"/>
      <w:r w:rsidRPr="00ED31A1">
        <w:rPr>
          <w:rFonts w:ascii="Arial" w:eastAsia="Times New Roman" w:hAnsi="Arial" w:cs="Times New Roman"/>
          <w:b/>
          <w:iCs/>
          <w:color w:val="FFFFFF"/>
          <w:sz w:val="24"/>
        </w:rPr>
        <w:lastRenderedPageBreak/>
        <w:t>BFCL.345 FI(B) – Assessment of competence</w:t>
      </w:r>
      <w:bookmarkEnd w:id="716"/>
    </w:p>
    <w:p w14:paraId="0CCEEA89" w14:textId="77777777" w:rsidR="00ED31A1" w:rsidRPr="00ED31A1" w:rsidRDefault="00ED31A1" w:rsidP="00ED31A1">
      <w:pPr>
        <w:numPr>
          <w:ilvl w:val="0"/>
          <w:numId w:val="261"/>
        </w:numPr>
        <w:tabs>
          <w:tab w:val="left" w:pos="90"/>
          <w:tab w:val="left" w:pos="2975"/>
          <w:tab w:val="left" w:pos="2976"/>
        </w:tabs>
        <w:spacing w:before="118"/>
        <w:jc w:val="both"/>
        <w:rPr>
          <w:rFonts w:ascii="Arial" w:hAnsi="Arial" w:cs="Arial"/>
          <w:sz w:val="20"/>
        </w:rPr>
      </w:pPr>
      <w:r w:rsidRPr="00ED31A1">
        <w:rPr>
          <w:rFonts w:ascii="Arial" w:hAnsi="Arial" w:cs="Arial"/>
          <w:sz w:val="20"/>
        </w:rPr>
        <w:t>Applicants for the issue of an FI(B) certificate shall pass an assessment of competence on a balloon to demonstrate to an examiner qualified in accordance with point BFCL.415(c) the ability to instruct a student pilot to the level required for the issue of a BPL.</w:t>
      </w:r>
    </w:p>
    <w:p w14:paraId="79084E53" w14:textId="77777777" w:rsidR="00ED31A1" w:rsidRPr="00ED31A1" w:rsidRDefault="00ED31A1" w:rsidP="00ED31A1">
      <w:pPr>
        <w:numPr>
          <w:ilvl w:val="0"/>
          <w:numId w:val="261"/>
        </w:numPr>
        <w:tabs>
          <w:tab w:val="left" w:pos="90"/>
          <w:tab w:val="left" w:pos="2975"/>
          <w:tab w:val="left" w:pos="2976"/>
        </w:tabs>
        <w:spacing w:before="118"/>
        <w:jc w:val="both"/>
        <w:rPr>
          <w:rFonts w:ascii="Arial" w:hAnsi="Arial" w:cs="Arial"/>
          <w:sz w:val="20"/>
        </w:rPr>
      </w:pPr>
      <w:r w:rsidRPr="00ED31A1">
        <w:rPr>
          <w:rFonts w:ascii="Arial" w:hAnsi="Arial" w:cs="Arial"/>
          <w:sz w:val="20"/>
        </w:rPr>
        <w:t>The assessment shall include:</w:t>
      </w:r>
    </w:p>
    <w:p w14:paraId="4EB1CE12" w14:textId="77777777" w:rsidR="00ED31A1" w:rsidRPr="00ED31A1" w:rsidRDefault="00ED31A1" w:rsidP="00ED31A1">
      <w:pPr>
        <w:numPr>
          <w:ilvl w:val="1"/>
          <w:numId w:val="261"/>
        </w:numPr>
        <w:tabs>
          <w:tab w:val="left" w:pos="90"/>
          <w:tab w:val="left" w:pos="2975"/>
          <w:tab w:val="left" w:pos="2976"/>
        </w:tabs>
        <w:spacing w:before="118"/>
        <w:jc w:val="both"/>
        <w:rPr>
          <w:rFonts w:ascii="Arial" w:hAnsi="Arial" w:cs="Arial"/>
          <w:sz w:val="20"/>
        </w:rPr>
      </w:pPr>
      <w:r w:rsidRPr="00ED31A1">
        <w:rPr>
          <w:rFonts w:ascii="Arial" w:hAnsi="Arial" w:cs="Arial"/>
          <w:sz w:val="20"/>
        </w:rPr>
        <w:t>the demonstration of the competencies described in point BFCL.325 during pre-flight, post-flight and theoretical knowledge instruction;</w:t>
      </w:r>
    </w:p>
    <w:p w14:paraId="163B7590" w14:textId="77777777" w:rsidR="00ED31A1" w:rsidRPr="00ED31A1" w:rsidRDefault="00ED31A1" w:rsidP="00ED31A1">
      <w:pPr>
        <w:numPr>
          <w:ilvl w:val="1"/>
          <w:numId w:val="261"/>
        </w:numPr>
        <w:tabs>
          <w:tab w:val="left" w:pos="90"/>
          <w:tab w:val="left" w:pos="2975"/>
          <w:tab w:val="left" w:pos="2976"/>
        </w:tabs>
        <w:spacing w:before="118"/>
        <w:jc w:val="both"/>
        <w:rPr>
          <w:rFonts w:ascii="Arial" w:hAnsi="Arial" w:cs="Arial"/>
          <w:sz w:val="20"/>
        </w:rPr>
      </w:pPr>
      <w:r w:rsidRPr="00ED31A1">
        <w:rPr>
          <w:rFonts w:ascii="Arial" w:hAnsi="Arial" w:cs="Arial"/>
          <w:sz w:val="20"/>
        </w:rPr>
        <w:t>oral theoretical examinations on the ground, pre-flight and post-flight briefings, and in- flight demonstrations in the appropriate balloon class;</w:t>
      </w:r>
    </w:p>
    <w:p w14:paraId="33DF4C0B" w14:textId="6D1EF53C" w:rsidR="00F20810" w:rsidRPr="00A16E10" w:rsidRDefault="00ED31A1" w:rsidP="00A16E10">
      <w:pPr>
        <w:numPr>
          <w:ilvl w:val="1"/>
          <w:numId w:val="261"/>
        </w:numPr>
        <w:tabs>
          <w:tab w:val="left" w:pos="90"/>
          <w:tab w:val="left" w:pos="2975"/>
          <w:tab w:val="left" w:pos="2976"/>
        </w:tabs>
        <w:spacing w:before="118"/>
        <w:jc w:val="both"/>
        <w:rPr>
          <w:rFonts w:ascii="Arial" w:hAnsi="Arial" w:cs="Arial"/>
          <w:sz w:val="20"/>
        </w:rPr>
      </w:pPr>
      <w:r w:rsidRPr="00ED31A1">
        <w:rPr>
          <w:rFonts w:ascii="Arial" w:hAnsi="Arial" w:cs="Arial"/>
          <w:sz w:val="20"/>
        </w:rPr>
        <w:t>exercises adequate to evaluate the instructor’s competencies.</w:t>
      </w:r>
    </w:p>
    <w:p w14:paraId="18752368" w14:textId="77777777" w:rsidR="00F17A49" w:rsidRPr="00F17A49" w:rsidRDefault="00F17A49" w:rsidP="00F17A49">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717" w:name="AMC1_BFCL.345__FI(B)_–_Assessment_of_com"/>
      <w:bookmarkStart w:id="718" w:name="_bookmark292"/>
      <w:bookmarkStart w:id="719" w:name="_Toc153137457"/>
      <w:bookmarkEnd w:id="717"/>
      <w:bookmarkEnd w:id="718"/>
      <w:r w:rsidRPr="00F17A49">
        <w:rPr>
          <w:rFonts w:ascii="Arial" w:eastAsia="Times New Roman" w:hAnsi="Arial" w:cs="Times New Roman"/>
          <w:b/>
          <w:color w:val="FFFFFF"/>
          <w:sz w:val="24"/>
        </w:rPr>
        <w:t>AMC1 BFCL.345 FI(B) – Assessment of competence</w:t>
      </w:r>
      <w:bookmarkEnd w:id="719"/>
    </w:p>
    <w:p w14:paraId="60DC1C5A" w14:textId="77777777" w:rsidR="00F17A49" w:rsidRPr="00F17A49" w:rsidRDefault="00F17A49" w:rsidP="00F17A49">
      <w:pPr>
        <w:widowControl/>
        <w:autoSpaceDE/>
        <w:autoSpaceDN/>
        <w:spacing w:before="240" w:after="160" w:line="264" w:lineRule="auto"/>
        <w:jc w:val="both"/>
        <w:rPr>
          <w:rFonts w:ascii="Arial" w:eastAsiaTheme="minorHAnsi" w:hAnsi="Arial" w:cs="Arial"/>
          <w:b/>
          <w:bCs/>
          <w:sz w:val="20"/>
          <w:szCs w:val="20"/>
        </w:rPr>
      </w:pPr>
      <w:r w:rsidRPr="00F17A49">
        <w:rPr>
          <w:rFonts w:ascii="Arial" w:eastAsiaTheme="minorHAnsi" w:hAnsi="Arial" w:cs="Arial"/>
          <w:b/>
          <w:bCs/>
          <w:sz w:val="20"/>
          <w:szCs w:val="20"/>
        </w:rPr>
        <w:t>GENERAL</w:t>
      </w:r>
    </w:p>
    <w:p w14:paraId="7738A526" w14:textId="02A9E0E1" w:rsidR="00F17A49" w:rsidRPr="00F17A49" w:rsidRDefault="00F17A49" w:rsidP="00F17A49">
      <w:pPr>
        <w:pStyle w:val="BodyText"/>
        <w:numPr>
          <w:ilvl w:val="0"/>
          <w:numId w:val="262"/>
        </w:numPr>
        <w:tabs>
          <w:tab w:val="left" w:pos="90"/>
        </w:tabs>
        <w:ind w:right="26"/>
        <w:jc w:val="both"/>
        <w:rPr>
          <w:rFonts w:ascii="Arial" w:hAnsi="Arial" w:cs="Arial"/>
          <w:sz w:val="20"/>
        </w:rPr>
      </w:pPr>
      <w:r w:rsidRPr="00F17A49">
        <w:rPr>
          <w:rFonts w:ascii="Arial" w:hAnsi="Arial" w:cs="Arial"/>
          <w:sz w:val="20"/>
        </w:rPr>
        <w:t xml:space="preserve">The format and application form for the assessment of competence are determined by the </w:t>
      </w:r>
      <w:r w:rsidR="003C6906">
        <w:rPr>
          <w:rFonts w:ascii="Arial" w:hAnsi="Arial" w:cs="Arial"/>
          <w:sz w:val="20"/>
          <w:szCs w:val="20"/>
        </w:rPr>
        <w:t>CAC RA</w:t>
      </w:r>
      <w:r w:rsidRPr="00F17A49">
        <w:rPr>
          <w:rFonts w:ascii="Arial" w:hAnsi="Arial" w:cs="Arial"/>
          <w:sz w:val="20"/>
        </w:rPr>
        <w:t>.</w:t>
      </w:r>
    </w:p>
    <w:p w14:paraId="532497B1" w14:textId="77777777" w:rsidR="00F17A49" w:rsidRPr="00F17A49" w:rsidRDefault="00F17A49" w:rsidP="00F17A49">
      <w:pPr>
        <w:pStyle w:val="BodyText"/>
        <w:numPr>
          <w:ilvl w:val="0"/>
          <w:numId w:val="262"/>
        </w:numPr>
        <w:tabs>
          <w:tab w:val="left" w:pos="90"/>
        </w:tabs>
        <w:ind w:right="26"/>
        <w:jc w:val="both"/>
        <w:rPr>
          <w:rFonts w:ascii="Arial" w:hAnsi="Arial" w:cs="Arial"/>
          <w:sz w:val="20"/>
        </w:rPr>
      </w:pPr>
      <w:r w:rsidRPr="00F17A49">
        <w:rPr>
          <w:rFonts w:ascii="Arial" w:hAnsi="Arial" w:cs="Arial"/>
          <w:sz w:val="20"/>
        </w:rPr>
        <w:t>The balloon that is used for the assessment should meet the requirements for training aircraft.</w:t>
      </w:r>
    </w:p>
    <w:p w14:paraId="3DDC48ED" w14:textId="77777777" w:rsidR="00F17A49" w:rsidRPr="00F17A49" w:rsidRDefault="00F17A49" w:rsidP="00F17A49">
      <w:pPr>
        <w:pStyle w:val="BodyText"/>
        <w:numPr>
          <w:ilvl w:val="0"/>
          <w:numId w:val="262"/>
        </w:numPr>
        <w:tabs>
          <w:tab w:val="left" w:pos="90"/>
        </w:tabs>
        <w:ind w:right="26"/>
        <w:jc w:val="both"/>
        <w:rPr>
          <w:rFonts w:ascii="Arial" w:hAnsi="Arial" w:cs="Arial"/>
          <w:sz w:val="20"/>
        </w:rPr>
      </w:pPr>
      <w:r w:rsidRPr="00F17A49">
        <w:rPr>
          <w:rFonts w:ascii="Arial" w:hAnsi="Arial" w:cs="Arial"/>
          <w:sz w:val="20"/>
        </w:rPr>
        <w:t>The FE(B) acts as the PIC, except in circumstances agreed upon by the FE(B) when another FI(B) is designated as PIC for the flight.</w:t>
      </w:r>
    </w:p>
    <w:p w14:paraId="46E68DF4" w14:textId="77777777" w:rsidR="00F17A49" w:rsidRPr="00F17A49" w:rsidRDefault="00F17A49" w:rsidP="00F17A49">
      <w:pPr>
        <w:pStyle w:val="ListParagraph"/>
        <w:numPr>
          <w:ilvl w:val="0"/>
          <w:numId w:val="262"/>
        </w:numPr>
        <w:tabs>
          <w:tab w:val="left" w:pos="707"/>
        </w:tabs>
        <w:spacing w:before="56"/>
        <w:ind w:right="194"/>
        <w:jc w:val="both"/>
        <w:rPr>
          <w:rFonts w:ascii="Arial" w:hAnsi="Arial" w:cs="Arial"/>
          <w:sz w:val="20"/>
        </w:rPr>
      </w:pPr>
      <w:r w:rsidRPr="00F17A49">
        <w:rPr>
          <w:rFonts w:ascii="Arial" w:hAnsi="Arial" w:cs="Arial"/>
          <w:sz w:val="20"/>
        </w:rPr>
        <w:t>The</w:t>
      </w:r>
      <w:r w:rsidRPr="00F17A49">
        <w:rPr>
          <w:rFonts w:ascii="Arial" w:hAnsi="Arial" w:cs="Arial"/>
          <w:spacing w:val="-3"/>
          <w:sz w:val="20"/>
        </w:rPr>
        <w:t xml:space="preserve"> </w:t>
      </w:r>
      <w:r w:rsidRPr="00F17A49">
        <w:rPr>
          <w:rFonts w:ascii="Arial" w:hAnsi="Arial" w:cs="Arial"/>
          <w:sz w:val="20"/>
        </w:rPr>
        <w:t>‘student’</w:t>
      </w:r>
      <w:r w:rsidRPr="00F17A49">
        <w:rPr>
          <w:rFonts w:ascii="Arial" w:hAnsi="Arial" w:cs="Arial"/>
          <w:spacing w:val="-3"/>
          <w:sz w:val="20"/>
        </w:rPr>
        <w:t xml:space="preserve"> </w:t>
      </w:r>
      <w:r w:rsidRPr="00F17A49">
        <w:rPr>
          <w:rFonts w:ascii="Arial" w:hAnsi="Arial" w:cs="Arial"/>
          <w:sz w:val="20"/>
        </w:rPr>
        <w:t>is</w:t>
      </w:r>
      <w:r w:rsidRPr="00F17A49">
        <w:rPr>
          <w:rFonts w:ascii="Arial" w:hAnsi="Arial" w:cs="Arial"/>
          <w:spacing w:val="-3"/>
          <w:sz w:val="20"/>
        </w:rPr>
        <w:t xml:space="preserve"> </w:t>
      </w:r>
      <w:r w:rsidRPr="00F17A49">
        <w:rPr>
          <w:rFonts w:ascii="Arial" w:hAnsi="Arial" w:cs="Arial"/>
          <w:sz w:val="20"/>
        </w:rPr>
        <w:t>either</w:t>
      </w:r>
      <w:r w:rsidRPr="00F17A49">
        <w:rPr>
          <w:rFonts w:ascii="Arial" w:hAnsi="Arial" w:cs="Arial"/>
          <w:spacing w:val="-3"/>
          <w:sz w:val="20"/>
        </w:rPr>
        <w:t xml:space="preserve"> </w:t>
      </w:r>
      <w:r w:rsidRPr="00F17A49">
        <w:rPr>
          <w:rFonts w:ascii="Arial" w:hAnsi="Arial" w:cs="Arial"/>
          <w:sz w:val="20"/>
        </w:rPr>
        <w:t>a</w:t>
      </w:r>
      <w:r w:rsidRPr="00F17A49">
        <w:rPr>
          <w:rFonts w:ascii="Arial" w:hAnsi="Arial" w:cs="Arial"/>
          <w:spacing w:val="-3"/>
          <w:sz w:val="20"/>
        </w:rPr>
        <w:t xml:space="preserve"> </w:t>
      </w:r>
      <w:r w:rsidRPr="00F17A49">
        <w:rPr>
          <w:rFonts w:ascii="Arial" w:hAnsi="Arial" w:cs="Arial"/>
          <w:sz w:val="20"/>
        </w:rPr>
        <w:t>real</w:t>
      </w:r>
      <w:r w:rsidRPr="00F17A49">
        <w:rPr>
          <w:rFonts w:ascii="Arial" w:hAnsi="Arial" w:cs="Arial"/>
          <w:spacing w:val="-3"/>
          <w:sz w:val="20"/>
        </w:rPr>
        <w:t xml:space="preserve"> </w:t>
      </w:r>
      <w:r w:rsidRPr="00F17A49">
        <w:rPr>
          <w:rFonts w:ascii="Arial" w:hAnsi="Arial" w:cs="Arial"/>
          <w:sz w:val="20"/>
        </w:rPr>
        <w:t>balloon</w:t>
      </w:r>
      <w:r w:rsidRPr="00F17A49">
        <w:rPr>
          <w:rFonts w:ascii="Arial" w:hAnsi="Arial" w:cs="Arial"/>
          <w:spacing w:val="-4"/>
          <w:sz w:val="20"/>
        </w:rPr>
        <w:t xml:space="preserve"> </w:t>
      </w:r>
      <w:r w:rsidRPr="00F17A49">
        <w:rPr>
          <w:rFonts w:ascii="Arial" w:hAnsi="Arial" w:cs="Arial"/>
          <w:sz w:val="20"/>
        </w:rPr>
        <w:t>student</w:t>
      </w:r>
      <w:r w:rsidRPr="00F17A49">
        <w:rPr>
          <w:rFonts w:ascii="Arial" w:hAnsi="Arial" w:cs="Arial"/>
          <w:spacing w:val="-2"/>
          <w:sz w:val="20"/>
        </w:rPr>
        <w:t xml:space="preserve"> </w:t>
      </w:r>
      <w:r w:rsidRPr="00F17A49">
        <w:rPr>
          <w:rFonts w:ascii="Arial" w:hAnsi="Arial" w:cs="Arial"/>
          <w:sz w:val="20"/>
        </w:rPr>
        <w:t>pilot</w:t>
      </w:r>
      <w:r w:rsidRPr="00F17A49">
        <w:rPr>
          <w:rFonts w:ascii="Arial" w:hAnsi="Arial" w:cs="Arial"/>
          <w:spacing w:val="-3"/>
          <w:sz w:val="20"/>
        </w:rPr>
        <w:t xml:space="preserve"> </w:t>
      </w:r>
      <w:r w:rsidRPr="00F17A49">
        <w:rPr>
          <w:rFonts w:ascii="Arial" w:hAnsi="Arial" w:cs="Arial"/>
          <w:sz w:val="20"/>
        </w:rPr>
        <w:t>under</w:t>
      </w:r>
      <w:r w:rsidRPr="00F17A49">
        <w:rPr>
          <w:rFonts w:ascii="Arial" w:hAnsi="Arial" w:cs="Arial"/>
          <w:spacing w:val="-3"/>
          <w:sz w:val="20"/>
        </w:rPr>
        <w:t xml:space="preserve"> </w:t>
      </w:r>
      <w:r w:rsidRPr="00F17A49">
        <w:rPr>
          <w:rFonts w:ascii="Arial" w:hAnsi="Arial" w:cs="Arial"/>
          <w:sz w:val="20"/>
        </w:rPr>
        <w:t>training</w:t>
      </w:r>
      <w:r w:rsidRPr="00F17A49">
        <w:rPr>
          <w:rFonts w:ascii="Arial" w:hAnsi="Arial" w:cs="Arial"/>
          <w:spacing w:val="-4"/>
          <w:sz w:val="20"/>
        </w:rPr>
        <w:t xml:space="preserve"> </w:t>
      </w:r>
      <w:r w:rsidRPr="00F17A49">
        <w:rPr>
          <w:rFonts w:ascii="Arial" w:hAnsi="Arial" w:cs="Arial"/>
          <w:sz w:val="20"/>
        </w:rPr>
        <w:t>or,</w:t>
      </w:r>
      <w:r w:rsidRPr="00F17A49">
        <w:rPr>
          <w:rFonts w:ascii="Arial" w:hAnsi="Arial" w:cs="Arial"/>
          <w:spacing w:val="-3"/>
          <w:sz w:val="20"/>
        </w:rPr>
        <w:t xml:space="preserve"> </w:t>
      </w:r>
      <w:r w:rsidRPr="00F17A49">
        <w:rPr>
          <w:rFonts w:ascii="Arial" w:hAnsi="Arial" w:cs="Arial"/>
          <w:sz w:val="20"/>
        </w:rPr>
        <w:t>in</w:t>
      </w:r>
      <w:r w:rsidRPr="00F17A49">
        <w:rPr>
          <w:rFonts w:ascii="Arial" w:hAnsi="Arial" w:cs="Arial"/>
          <w:spacing w:val="-4"/>
          <w:sz w:val="20"/>
        </w:rPr>
        <w:t xml:space="preserve"> </w:t>
      </w:r>
      <w:r w:rsidRPr="00F17A49">
        <w:rPr>
          <w:rFonts w:ascii="Arial" w:hAnsi="Arial" w:cs="Arial"/>
          <w:sz w:val="20"/>
        </w:rPr>
        <w:t>all</w:t>
      </w:r>
      <w:r w:rsidRPr="00F17A49">
        <w:rPr>
          <w:rFonts w:ascii="Arial" w:hAnsi="Arial" w:cs="Arial"/>
          <w:spacing w:val="-5"/>
          <w:sz w:val="20"/>
        </w:rPr>
        <w:t xml:space="preserve"> </w:t>
      </w:r>
      <w:r w:rsidRPr="00F17A49">
        <w:rPr>
          <w:rFonts w:ascii="Arial" w:hAnsi="Arial" w:cs="Arial"/>
          <w:sz w:val="20"/>
        </w:rPr>
        <w:t>other</w:t>
      </w:r>
      <w:r w:rsidRPr="00F17A49">
        <w:rPr>
          <w:rFonts w:ascii="Arial" w:hAnsi="Arial" w:cs="Arial"/>
          <w:spacing w:val="-3"/>
          <w:sz w:val="20"/>
        </w:rPr>
        <w:t xml:space="preserve"> </w:t>
      </w:r>
      <w:r w:rsidRPr="00F17A49">
        <w:rPr>
          <w:rFonts w:ascii="Arial" w:hAnsi="Arial" w:cs="Arial"/>
          <w:sz w:val="20"/>
        </w:rPr>
        <w:t>cases,</w:t>
      </w:r>
      <w:r w:rsidRPr="00F17A49">
        <w:rPr>
          <w:rFonts w:ascii="Arial" w:hAnsi="Arial" w:cs="Arial"/>
          <w:spacing w:val="-3"/>
          <w:sz w:val="20"/>
        </w:rPr>
        <w:t xml:space="preserve"> </w:t>
      </w:r>
      <w:r w:rsidRPr="00F17A49">
        <w:rPr>
          <w:rFonts w:ascii="Arial" w:hAnsi="Arial" w:cs="Arial"/>
          <w:sz w:val="20"/>
        </w:rPr>
        <w:t>the</w:t>
      </w:r>
      <w:r w:rsidRPr="00F17A49">
        <w:rPr>
          <w:rFonts w:ascii="Arial" w:hAnsi="Arial" w:cs="Arial"/>
          <w:spacing w:val="-3"/>
          <w:sz w:val="20"/>
        </w:rPr>
        <w:t xml:space="preserve"> </w:t>
      </w:r>
      <w:r w:rsidRPr="00F17A49">
        <w:rPr>
          <w:rFonts w:ascii="Arial" w:hAnsi="Arial" w:cs="Arial"/>
          <w:sz w:val="20"/>
        </w:rPr>
        <w:t>FE(B)</w:t>
      </w:r>
      <w:r w:rsidRPr="00F17A49">
        <w:rPr>
          <w:rFonts w:ascii="Arial" w:hAnsi="Arial" w:cs="Arial"/>
          <w:spacing w:val="-47"/>
          <w:sz w:val="20"/>
        </w:rPr>
        <w:t xml:space="preserve"> </w:t>
      </w:r>
      <w:r w:rsidRPr="00F17A49">
        <w:rPr>
          <w:rFonts w:ascii="Arial" w:hAnsi="Arial" w:cs="Arial"/>
          <w:sz w:val="20"/>
        </w:rPr>
        <w:t>or</w:t>
      </w:r>
      <w:r w:rsidRPr="00F17A49">
        <w:rPr>
          <w:rFonts w:ascii="Arial" w:hAnsi="Arial" w:cs="Arial"/>
          <w:spacing w:val="-4"/>
          <w:sz w:val="20"/>
        </w:rPr>
        <w:t xml:space="preserve"> </w:t>
      </w:r>
      <w:r w:rsidRPr="00F17A49">
        <w:rPr>
          <w:rFonts w:ascii="Arial" w:hAnsi="Arial" w:cs="Arial"/>
          <w:sz w:val="20"/>
        </w:rPr>
        <w:t>another</w:t>
      </w:r>
      <w:r w:rsidRPr="00F17A49">
        <w:rPr>
          <w:rFonts w:ascii="Arial" w:hAnsi="Arial" w:cs="Arial"/>
          <w:spacing w:val="-6"/>
          <w:sz w:val="20"/>
        </w:rPr>
        <w:t xml:space="preserve"> </w:t>
      </w:r>
      <w:r w:rsidRPr="00F17A49">
        <w:rPr>
          <w:rFonts w:ascii="Arial" w:hAnsi="Arial" w:cs="Arial"/>
          <w:sz w:val="20"/>
        </w:rPr>
        <w:t>FI(B).</w:t>
      </w:r>
      <w:r w:rsidRPr="00F17A49">
        <w:rPr>
          <w:rFonts w:ascii="Arial" w:hAnsi="Arial" w:cs="Arial"/>
          <w:spacing w:val="-6"/>
          <w:sz w:val="20"/>
        </w:rPr>
        <w:t xml:space="preserve"> </w:t>
      </w:r>
      <w:r w:rsidRPr="00F17A49">
        <w:rPr>
          <w:rFonts w:ascii="Arial" w:hAnsi="Arial" w:cs="Arial"/>
          <w:sz w:val="20"/>
        </w:rPr>
        <w:t>The</w:t>
      </w:r>
      <w:r w:rsidRPr="00F17A49">
        <w:rPr>
          <w:rFonts w:ascii="Arial" w:hAnsi="Arial" w:cs="Arial"/>
          <w:spacing w:val="-7"/>
          <w:sz w:val="20"/>
        </w:rPr>
        <w:t xml:space="preserve"> </w:t>
      </w:r>
      <w:r w:rsidRPr="00F17A49">
        <w:rPr>
          <w:rFonts w:ascii="Arial" w:hAnsi="Arial" w:cs="Arial"/>
          <w:sz w:val="20"/>
        </w:rPr>
        <w:t>applicant</w:t>
      </w:r>
      <w:r w:rsidRPr="00F17A49">
        <w:rPr>
          <w:rFonts w:ascii="Arial" w:hAnsi="Arial" w:cs="Arial"/>
          <w:spacing w:val="-3"/>
          <w:sz w:val="20"/>
        </w:rPr>
        <w:t xml:space="preserve"> </w:t>
      </w:r>
      <w:r w:rsidRPr="00F17A49">
        <w:rPr>
          <w:rFonts w:ascii="Arial" w:hAnsi="Arial" w:cs="Arial"/>
          <w:sz w:val="20"/>
        </w:rPr>
        <w:t>is</w:t>
      </w:r>
      <w:r w:rsidRPr="00F17A49">
        <w:rPr>
          <w:rFonts w:ascii="Arial" w:hAnsi="Arial" w:cs="Arial"/>
          <w:spacing w:val="-3"/>
          <w:sz w:val="20"/>
        </w:rPr>
        <w:t xml:space="preserve"> </w:t>
      </w:r>
      <w:r w:rsidRPr="00F17A49">
        <w:rPr>
          <w:rFonts w:ascii="Arial" w:hAnsi="Arial" w:cs="Arial"/>
          <w:sz w:val="20"/>
        </w:rPr>
        <w:t>required</w:t>
      </w:r>
      <w:r w:rsidRPr="00F17A49">
        <w:rPr>
          <w:rFonts w:ascii="Arial" w:hAnsi="Arial" w:cs="Arial"/>
          <w:spacing w:val="-5"/>
          <w:sz w:val="20"/>
        </w:rPr>
        <w:t xml:space="preserve"> </w:t>
      </w:r>
      <w:r w:rsidRPr="00F17A49">
        <w:rPr>
          <w:rFonts w:ascii="Arial" w:hAnsi="Arial" w:cs="Arial"/>
          <w:sz w:val="20"/>
        </w:rPr>
        <w:t>to</w:t>
      </w:r>
      <w:r w:rsidRPr="00F17A49">
        <w:rPr>
          <w:rFonts w:ascii="Arial" w:hAnsi="Arial" w:cs="Arial"/>
          <w:spacing w:val="-4"/>
          <w:sz w:val="20"/>
        </w:rPr>
        <w:t xml:space="preserve"> </w:t>
      </w:r>
      <w:r w:rsidRPr="00F17A49">
        <w:rPr>
          <w:rFonts w:ascii="Arial" w:hAnsi="Arial" w:cs="Arial"/>
          <w:sz w:val="20"/>
        </w:rPr>
        <w:t>explain</w:t>
      </w:r>
      <w:r w:rsidRPr="00F17A49">
        <w:rPr>
          <w:rFonts w:ascii="Arial" w:hAnsi="Arial" w:cs="Arial"/>
          <w:spacing w:val="-6"/>
          <w:sz w:val="20"/>
        </w:rPr>
        <w:t xml:space="preserve"> </w:t>
      </w:r>
      <w:r w:rsidRPr="00F17A49">
        <w:rPr>
          <w:rFonts w:ascii="Arial" w:hAnsi="Arial" w:cs="Arial"/>
          <w:sz w:val="20"/>
        </w:rPr>
        <w:t>the</w:t>
      </w:r>
      <w:r w:rsidRPr="00F17A49">
        <w:rPr>
          <w:rFonts w:ascii="Arial" w:hAnsi="Arial" w:cs="Arial"/>
          <w:spacing w:val="-4"/>
          <w:sz w:val="20"/>
        </w:rPr>
        <w:t xml:space="preserve"> </w:t>
      </w:r>
      <w:r w:rsidRPr="00F17A49">
        <w:rPr>
          <w:rFonts w:ascii="Arial" w:hAnsi="Arial" w:cs="Arial"/>
          <w:sz w:val="20"/>
        </w:rPr>
        <w:t>relevant</w:t>
      </w:r>
      <w:r w:rsidRPr="00F17A49">
        <w:rPr>
          <w:rFonts w:ascii="Arial" w:hAnsi="Arial" w:cs="Arial"/>
          <w:spacing w:val="-5"/>
          <w:sz w:val="20"/>
        </w:rPr>
        <w:t xml:space="preserve"> </w:t>
      </w:r>
      <w:r w:rsidRPr="00F17A49">
        <w:rPr>
          <w:rFonts w:ascii="Arial" w:hAnsi="Arial" w:cs="Arial"/>
          <w:sz w:val="20"/>
        </w:rPr>
        <w:t>exercises</w:t>
      </w:r>
      <w:r w:rsidRPr="00F17A49">
        <w:rPr>
          <w:rFonts w:ascii="Arial" w:hAnsi="Arial" w:cs="Arial"/>
          <w:spacing w:val="-5"/>
          <w:sz w:val="20"/>
        </w:rPr>
        <w:t xml:space="preserve"> </w:t>
      </w:r>
      <w:r w:rsidRPr="00F17A49">
        <w:rPr>
          <w:rFonts w:ascii="Arial" w:hAnsi="Arial" w:cs="Arial"/>
          <w:sz w:val="20"/>
        </w:rPr>
        <w:t>and</w:t>
      </w:r>
      <w:r w:rsidRPr="00F17A49">
        <w:rPr>
          <w:rFonts w:ascii="Arial" w:hAnsi="Arial" w:cs="Arial"/>
          <w:spacing w:val="-5"/>
          <w:sz w:val="20"/>
        </w:rPr>
        <w:t xml:space="preserve"> </w:t>
      </w:r>
      <w:r w:rsidRPr="00F17A49">
        <w:rPr>
          <w:rFonts w:ascii="Arial" w:hAnsi="Arial" w:cs="Arial"/>
          <w:sz w:val="20"/>
        </w:rPr>
        <w:t>to</w:t>
      </w:r>
      <w:r w:rsidRPr="00F17A49">
        <w:rPr>
          <w:rFonts w:ascii="Arial" w:hAnsi="Arial" w:cs="Arial"/>
          <w:spacing w:val="-4"/>
          <w:sz w:val="20"/>
        </w:rPr>
        <w:t xml:space="preserve"> </w:t>
      </w:r>
      <w:r w:rsidRPr="00F17A49">
        <w:rPr>
          <w:rFonts w:ascii="Arial" w:hAnsi="Arial" w:cs="Arial"/>
          <w:sz w:val="20"/>
        </w:rPr>
        <w:t>demonstrate</w:t>
      </w:r>
      <w:r w:rsidRPr="00F17A49">
        <w:rPr>
          <w:rFonts w:ascii="Arial" w:hAnsi="Arial" w:cs="Arial"/>
          <w:spacing w:val="-47"/>
          <w:sz w:val="20"/>
        </w:rPr>
        <w:t xml:space="preserve"> </w:t>
      </w:r>
      <w:r w:rsidRPr="00F17A49">
        <w:rPr>
          <w:rFonts w:ascii="Arial" w:hAnsi="Arial" w:cs="Arial"/>
          <w:sz w:val="20"/>
        </w:rPr>
        <w:t>their conduct to the ‘student’, where appropriate. Thereafter, the ‘student’ executes the same</w:t>
      </w:r>
      <w:r w:rsidRPr="00F17A49">
        <w:rPr>
          <w:rFonts w:ascii="Arial" w:hAnsi="Arial" w:cs="Arial"/>
          <w:spacing w:val="-47"/>
          <w:sz w:val="20"/>
        </w:rPr>
        <w:t xml:space="preserve"> </w:t>
      </w:r>
      <w:r w:rsidRPr="00F17A49">
        <w:rPr>
          <w:rFonts w:ascii="Arial" w:hAnsi="Arial" w:cs="Arial"/>
          <w:sz w:val="20"/>
        </w:rPr>
        <w:t>manoeuvres which can include typical mistakes of inexperienced students. The applicant is</w:t>
      </w:r>
      <w:r w:rsidRPr="00F17A49">
        <w:rPr>
          <w:rFonts w:ascii="Arial" w:hAnsi="Arial" w:cs="Arial"/>
          <w:spacing w:val="1"/>
          <w:sz w:val="20"/>
        </w:rPr>
        <w:t xml:space="preserve"> </w:t>
      </w:r>
      <w:r w:rsidRPr="00F17A49">
        <w:rPr>
          <w:rFonts w:ascii="Arial" w:hAnsi="Arial" w:cs="Arial"/>
          <w:sz w:val="20"/>
        </w:rPr>
        <w:t>expected</w:t>
      </w:r>
      <w:r w:rsidRPr="00F17A49">
        <w:rPr>
          <w:rFonts w:ascii="Arial" w:hAnsi="Arial" w:cs="Arial"/>
          <w:spacing w:val="-1"/>
          <w:sz w:val="20"/>
        </w:rPr>
        <w:t xml:space="preserve"> </w:t>
      </w:r>
      <w:r w:rsidRPr="00F17A49">
        <w:rPr>
          <w:rFonts w:ascii="Arial" w:hAnsi="Arial" w:cs="Arial"/>
          <w:sz w:val="20"/>
        </w:rPr>
        <w:t>to</w:t>
      </w:r>
      <w:r w:rsidRPr="00F17A49">
        <w:rPr>
          <w:rFonts w:ascii="Arial" w:hAnsi="Arial" w:cs="Arial"/>
          <w:spacing w:val="1"/>
          <w:sz w:val="20"/>
        </w:rPr>
        <w:t xml:space="preserve"> </w:t>
      </w:r>
      <w:r w:rsidRPr="00F17A49">
        <w:rPr>
          <w:rFonts w:ascii="Arial" w:hAnsi="Arial" w:cs="Arial"/>
          <w:sz w:val="20"/>
        </w:rPr>
        <w:t>correct</w:t>
      </w:r>
      <w:r w:rsidRPr="00F17A49">
        <w:rPr>
          <w:rFonts w:ascii="Arial" w:hAnsi="Arial" w:cs="Arial"/>
          <w:spacing w:val="-2"/>
          <w:sz w:val="20"/>
        </w:rPr>
        <w:t xml:space="preserve"> </w:t>
      </w:r>
      <w:r w:rsidRPr="00F17A49">
        <w:rPr>
          <w:rFonts w:ascii="Arial" w:hAnsi="Arial" w:cs="Arial"/>
          <w:sz w:val="20"/>
        </w:rPr>
        <w:t>mistakes</w:t>
      </w:r>
      <w:r w:rsidRPr="00F17A49">
        <w:rPr>
          <w:rFonts w:ascii="Arial" w:hAnsi="Arial" w:cs="Arial"/>
          <w:spacing w:val="1"/>
          <w:sz w:val="20"/>
        </w:rPr>
        <w:t xml:space="preserve"> </w:t>
      </w:r>
      <w:r w:rsidRPr="00F17A49">
        <w:rPr>
          <w:rFonts w:ascii="Arial" w:hAnsi="Arial" w:cs="Arial"/>
          <w:sz w:val="20"/>
        </w:rPr>
        <w:t>orally</w:t>
      </w:r>
      <w:r w:rsidRPr="00F17A49">
        <w:rPr>
          <w:rFonts w:ascii="Arial" w:hAnsi="Arial" w:cs="Arial"/>
          <w:spacing w:val="-3"/>
          <w:sz w:val="20"/>
        </w:rPr>
        <w:t xml:space="preserve"> </w:t>
      </w:r>
      <w:r w:rsidRPr="00F17A49">
        <w:rPr>
          <w:rFonts w:ascii="Arial" w:hAnsi="Arial" w:cs="Arial"/>
          <w:sz w:val="20"/>
        </w:rPr>
        <w:t>or, if</w:t>
      </w:r>
      <w:r w:rsidRPr="00F17A49">
        <w:rPr>
          <w:rFonts w:ascii="Arial" w:hAnsi="Arial" w:cs="Arial"/>
          <w:spacing w:val="-4"/>
          <w:sz w:val="20"/>
        </w:rPr>
        <w:t xml:space="preserve"> </w:t>
      </w:r>
      <w:r w:rsidRPr="00F17A49">
        <w:rPr>
          <w:rFonts w:ascii="Arial" w:hAnsi="Arial" w:cs="Arial"/>
          <w:sz w:val="20"/>
        </w:rPr>
        <w:t>necessary, by</w:t>
      </w:r>
      <w:r w:rsidRPr="00F17A49">
        <w:rPr>
          <w:rFonts w:ascii="Arial" w:hAnsi="Arial" w:cs="Arial"/>
          <w:spacing w:val="-1"/>
          <w:sz w:val="20"/>
        </w:rPr>
        <w:t xml:space="preserve"> </w:t>
      </w:r>
      <w:r w:rsidRPr="00F17A49">
        <w:rPr>
          <w:rFonts w:ascii="Arial" w:hAnsi="Arial" w:cs="Arial"/>
          <w:sz w:val="20"/>
        </w:rPr>
        <w:t>intervening</w:t>
      </w:r>
      <w:r w:rsidRPr="00F17A49">
        <w:rPr>
          <w:rFonts w:ascii="Arial" w:hAnsi="Arial" w:cs="Arial"/>
          <w:spacing w:val="-1"/>
          <w:sz w:val="20"/>
        </w:rPr>
        <w:t xml:space="preserve"> </w:t>
      </w:r>
      <w:r w:rsidRPr="00F17A49">
        <w:rPr>
          <w:rFonts w:ascii="Arial" w:hAnsi="Arial" w:cs="Arial"/>
          <w:sz w:val="20"/>
        </w:rPr>
        <w:t>physically.</w:t>
      </w:r>
    </w:p>
    <w:p w14:paraId="15E0AC06" w14:textId="77777777" w:rsidR="00F17A49" w:rsidRPr="00F17A49" w:rsidRDefault="00F17A49" w:rsidP="00F17A49">
      <w:pPr>
        <w:pStyle w:val="ListParagraph"/>
        <w:numPr>
          <w:ilvl w:val="0"/>
          <w:numId w:val="262"/>
        </w:numPr>
        <w:tabs>
          <w:tab w:val="left" w:pos="707"/>
        </w:tabs>
        <w:spacing w:before="121"/>
        <w:ind w:right="193"/>
        <w:jc w:val="both"/>
        <w:rPr>
          <w:rFonts w:ascii="Arial" w:hAnsi="Arial" w:cs="Arial"/>
          <w:sz w:val="20"/>
        </w:rPr>
      </w:pPr>
      <w:r w:rsidRPr="00F17A49">
        <w:rPr>
          <w:rFonts w:ascii="Arial" w:hAnsi="Arial" w:cs="Arial"/>
          <w:sz w:val="20"/>
        </w:rPr>
        <w:t>If more than one flight is necessary in order to complete all relevant exercises, these flights</w:t>
      </w:r>
      <w:r w:rsidRPr="00F17A49">
        <w:rPr>
          <w:rFonts w:ascii="Arial" w:hAnsi="Arial" w:cs="Arial"/>
          <w:spacing w:val="1"/>
          <w:sz w:val="20"/>
        </w:rPr>
        <w:t xml:space="preserve"> </w:t>
      </w:r>
      <w:r w:rsidRPr="00F17A49">
        <w:rPr>
          <w:rFonts w:ascii="Arial" w:hAnsi="Arial" w:cs="Arial"/>
          <w:sz w:val="20"/>
        </w:rPr>
        <w:t>should be completed as close together in time as practicable and, in any case, within a period</w:t>
      </w:r>
      <w:r w:rsidRPr="00F17A49">
        <w:rPr>
          <w:rFonts w:ascii="Arial" w:hAnsi="Arial" w:cs="Arial"/>
          <w:spacing w:val="1"/>
          <w:sz w:val="20"/>
        </w:rPr>
        <w:t xml:space="preserve"> </w:t>
      </w:r>
      <w:r w:rsidRPr="00F17A49">
        <w:rPr>
          <w:rFonts w:ascii="Arial" w:hAnsi="Arial" w:cs="Arial"/>
          <w:sz w:val="20"/>
        </w:rPr>
        <w:t>of</w:t>
      </w:r>
      <w:r w:rsidRPr="00F17A49">
        <w:rPr>
          <w:rFonts w:ascii="Arial" w:hAnsi="Arial" w:cs="Arial"/>
          <w:spacing w:val="-6"/>
          <w:sz w:val="20"/>
        </w:rPr>
        <w:t xml:space="preserve"> </w:t>
      </w:r>
      <w:r w:rsidRPr="00F17A49">
        <w:rPr>
          <w:rFonts w:ascii="Arial" w:hAnsi="Arial" w:cs="Arial"/>
          <w:sz w:val="20"/>
        </w:rPr>
        <w:t>6</w:t>
      </w:r>
      <w:r w:rsidRPr="00F17A49">
        <w:rPr>
          <w:rFonts w:ascii="Arial" w:hAnsi="Arial" w:cs="Arial"/>
          <w:spacing w:val="-8"/>
          <w:sz w:val="20"/>
        </w:rPr>
        <w:t xml:space="preserve"> </w:t>
      </w:r>
      <w:r w:rsidRPr="00F17A49">
        <w:rPr>
          <w:rFonts w:ascii="Arial" w:hAnsi="Arial" w:cs="Arial"/>
          <w:sz w:val="20"/>
        </w:rPr>
        <w:t>months.</w:t>
      </w:r>
      <w:r w:rsidRPr="00F17A49">
        <w:rPr>
          <w:rFonts w:ascii="Arial" w:hAnsi="Arial" w:cs="Arial"/>
          <w:spacing w:val="-6"/>
          <w:sz w:val="20"/>
        </w:rPr>
        <w:t xml:space="preserve"> </w:t>
      </w:r>
      <w:r w:rsidRPr="00F17A49">
        <w:rPr>
          <w:rFonts w:ascii="Arial" w:hAnsi="Arial" w:cs="Arial"/>
          <w:sz w:val="20"/>
        </w:rPr>
        <w:t>In</w:t>
      </w:r>
      <w:r w:rsidRPr="00F17A49">
        <w:rPr>
          <w:rFonts w:ascii="Arial" w:hAnsi="Arial" w:cs="Arial"/>
          <w:spacing w:val="-6"/>
          <w:sz w:val="20"/>
        </w:rPr>
        <w:t xml:space="preserve"> </w:t>
      </w:r>
      <w:r w:rsidRPr="00F17A49">
        <w:rPr>
          <w:rFonts w:ascii="Arial" w:hAnsi="Arial" w:cs="Arial"/>
          <w:sz w:val="20"/>
        </w:rPr>
        <w:t>principle,</w:t>
      </w:r>
      <w:r w:rsidRPr="00F17A49">
        <w:rPr>
          <w:rFonts w:ascii="Arial" w:hAnsi="Arial" w:cs="Arial"/>
          <w:spacing w:val="-5"/>
          <w:sz w:val="20"/>
        </w:rPr>
        <w:t xml:space="preserve"> </w:t>
      </w:r>
      <w:r w:rsidRPr="00F17A49">
        <w:rPr>
          <w:rFonts w:ascii="Arial" w:hAnsi="Arial" w:cs="Arial"/>
          <w:sz w:val="20"/>
        </w:rPr>
        <w:t>failure</w:t>
      </w:r>
      <w:r w:rsidRPr="00F17A49">
        <w:rPr>
          <w:rFonts w:ascii="Arial" w:hAnsi="Arial" w:cs="Arial"/>
          <w:spacing w:val="-4"/>
          <w:sz w:val="20"/>
        </w:rPr>
        <w:t xml:space="preserve"> </w:t>
      </w:r>
      <w:r w:rsidRPr="00F17A49">
        <w:rPr>
          <w:rFonts w:ascii="Arial" w:hAnsi="Arial" w:cs="Arial"/>
          <w:sz w:val="20"/>
        </w:rPr>
        <w:t>in</w:t>
      </w:r>
      <w:r w:rsidRPr="00F17A49">
        <w:rPr>
          <w:rFonts w:ascii="Arial" w:hAnsi="Arial" w:cs="Arial"/>
          <w:spacing w:val="-6"/>
          <w:sz w:val="20"/>
        </w:rPr>
        <w:t xml:space="preserve"> </w:t>
      </w:r>
      <w:r w:rsidRPr="00F17A49">
        <w:rPr>
          <w:rFonts w:ascii="Arial" w:hAnsi="Arial" w:cs="Arial"/>
          <w:sz w:val="20"/>
        </w:rPr>
        <w:t>any</w:t>
      </w:r>
      <w:r w:rsidRPr="00F17A49">
        <w:rPr>
          <w:rFonts w:ascii="Arial" w:hAnsi="Arial" w:cs="Arial"/>
          <w:spacing w:val="-7"/>
          <w:sz w:val="20"/>
        </w:rPr>
        <w:t xml:space="preserve"> </w:t>
      </w:r>
      <w:r w:rsidRPr="00F17A49">
        <w:rPr>
          <w:rFonts w:ascii="Arial" w:hAnsi="Arial" w:cs="Arial"/>
          <w:sz w:val="20"/>
        </w:rPr>
        <w:t>exercise</w:t>
      </w:r>
      <w:r w:rsidRPr="00F17A49">
        <w:rPr>
          <w:rFonts w:ascii="Arial" w:hAnsi="Arial" w:cs="Arial"/>
          <w:spacing w:val="-4"/>
          <w:sz w:val="20"/>
        </w:rPr>
        <w:t xml:space="preserve"> </w:t>
      </w:r>
      <w:r w:rsidRPr="00F17A49">
        <w:rPr>
          <w:rFonts w:ascii="Arial" w:hAnsi="Arial" w:cs="Arial"/>
          <w:sz w:val="20"/>
        </w:rPr>
        <w:t>requires</w:t>
      </w:r>
      <w:r w:rsidRPr="00F17A49">
        <w:rPr>
          <w:rFonts w:ascii="Arial" w:hAnsi="Arial" w:cs="Arial"/>
          <w:spacing w:val="-6"/>
          <w:sz w:val="20"/>
        </w:rPr>
        <w:t xml:space="preserve"> </w:t>
      </w:r>
      <w:r w:rsidRPr="00F17A49">
        <w:rPr>
          <w:rFonts w:ascii="Arial" w:hAnsi="Arial" w:cs="Arial"/>
          <w:sz w:val="20"/>
        </w:rPr>
        <w:t>a</w:t>
      </w:r>
      <w:r w:rsidRPr="00F17A49">
        <w:rPr>
          <w:rFonts w:ascii="Arial" w:hAnsi="Arial" w:cs="Arial"/>
          <w:spacing w:val="-5"/>
          <w:sz w:val="20"/>
        </w:rPr>
        <w:t xml:space="preserve"> </w:t>
      </w:r>
      <w:r w:rsidRPr="00F17A49">
        <w:rPr>
          <w:rFonts w:ascii="Arial" w:hAnsi="Arial" w:cs="Arial"/>
          <w:sz w:val="20"/>
        </w:rPr>
        <w:t>retest</w:t>
      </w:r>
      <w:r w:rsidRPr="00F17A49">
        <w:rPr>
          <w:rFonts w:ascii="Arial" w:hAnsi="Arial" w:cs="Arial"/>
          <w:spacing w:val="-6"/>
          <w:sz w:val="20"/>
        </w:rPr>
        <w:t xml:space="preserve"> </w:t>
      </w:r>
      <w:r w:rsidRPr="00F17A49">
        <w:rPr>
          <w:rFonts w:ascii="Arial" w:hAnsi="Arial" w:cs="Arial"/>
          <w:sz w:val="20"/>
        </w:rPr>
        <w:t>covering</w:t>
      </w:r>
      <w:r w:rsidRPr="00F17A49">
        <w:rPr>
          <w:rFonts w:ascii="Arial" w:hAnsi="Arial" w:cs="Arial"/>
          <w:spacing w:val="-6"/>
          <w:sz w:val="20"/>
        </w:rPr>
        <w:t xml:space="preserve"> </w:t>
      </w:r>
      <w:r w:rsidRPr="00F17A49">
        <w:rPr>
          <w:rFonts w:ascii="Arial" w:hAnsi="Arial" w:cs="Arial"/>
          <w:sz w:val="20"/>
        </w:rPr>
        <w:t>all</w:t>
      </w:r>
      <w:r w:rsidRPr="00F17A49">
        <w:rPr>
          <w:rFonts w:ascii="Arial" w:hAnsi="Arial" w:cs="Arial"/>
          <w:spacing w:val="-8"/>
          <w:sz w:val="20"/>
        </w:rPr>
        <w:t xml:space="preserve"> </w:t>
      </w:r>
      <w:r w:rsidRPr="00F17A49">
        <w:rPr>
          <w:rFonts w:ascii="Arial" w:hAnsi="Arial" w:cs="Arial"/>
          <w:sz w:val="20"/>
        </w:rPr>
        <w:t>exercises,</w:t>
      </w:r>
      <w:r w:rsidRPr="00F17A49">
        <w:rPr>
          <w:rFonts w:ascii="Arial" w:hAnsi="Arial" w:cs="Arial"/>
          <w:spacing w:val="-8"/>
          <w:sz w:val="20"/>
        </w:rPr>
        <w:t xml:space="preserve"> </w:t>
      </w:r>
      <w:r w:rsidRPr="00F17A49">
        <w:rPr>
          <w:rFonts w:ascii="Arial" w:hAnsi="Arial" w:cs="Arial"/>
          <w:sz w:val="20"/>
        </w:rPr>
        <w:t>with</w:t>
      </w:r>
      <w:r w:rsidRPr="00F17A49">
        <w:rPr>
          <w:rFonts w:ascii="Arial" w:hAnsi="Arial" w:cs="Arial"/>
          <w:spacing w:val="-5"/>
          <w:sz w:val="20"/>
        </w:rPr>
        <w:t xml:space="preserve"> </w:t>
      </w:r>
      <w:r w:rsidRPr="00F17A49">
        <w:rPr>
          <w:rFonts w:ascii="Arial" w:hAnsi="Arial" w:cs="Arial"/>
          <w:sz w:val="20"/>
        </w:rPr>
        <w:t>the</w:t>
      </w:r>
      <w:r w:rsidRPr="00F17A49">
        <w:rPr>
          <w:rFonts w:ascii="Arial" w:hAnsi="Arial" w:cs="Arial"/>
          <w:spacing w:val="-47"/>
          <w:sz w:val="20"/>
        </w:rPr>
        <w:t xml:space="preserve"> </w:t>
      </w:r>
      <w:r w:rsidRPr="00F17A49">
        <w:rPr>
          <w:rFonts w:ascii="Arial" w:hAnsi="Arial" w:cs="Arial"/>
          <w:sz w:val="20"/>
        </w:rPr>
        <w:t>exception</w:t>
      </w:r>
      <w:r w:rsidRPr="00F17A49">
        <w:rPr>
          <w:rFonts w:ascii="Arial" w:hAnsi="Arial" w:cs="Arial"/>
          <w:spacing w:val="-6"/>
          <w:sz w:val="20"/>
        </w:rPr>
        <w:t xml:space="preserve"> </w:t>
      </w:r>
      <w:r w:rsidRPr="00F17A49">
        <w:rPr>
          <w:rFonts w:ascii="Arial" w:hAnsi="Arial" w:cs="Arial"/>
          <w:sz w:val="20"/>
        </w:rPr>
        <w:t>of</w:t>
      </w:r>
      <w:r w:rsidRPr="00F17A49">
        <w:rPr>
          <w:rFonts w:ascii="Arial" w:hAnsi="Arial" w:cs="Arial"/>
          <w:spacing w:val="-3"/>
          <w:sz w:val="20"/>
        </w:rPr>
        <w:t xml:space="preserve"> </w:t>
      </w:r>
      <w:r w:rsidRPr="00F17A49">
        <w:rPr>
          <w:rFonts w:ascii="Arial" w:hAnsi="Arial" w:cs="Arial"/>
          <w:sz w:val="20"/>
        </w:rPr>
        <w:t>those</w:t>
      </w:r>
      <w:r w:rsidRPr="00F17A49">
        <w:rPr>
          <w:rFonts w:ascii="Arial" w:hAnsi="Arial" w:cs="Arial"/>
          <w:spacing w:val="-3"/>
          <w:sz w:val="20"/>
        </w:rPr>
        <w:t xml:space="preserve"> </w:t>
      </w:r>
      <w:r w:rsidRPr="00F17A49">
        <w:rPr>
          <w:rFonts w:ascii="Arial" w:hAnsi="Arial" w:cs="Arial"/>
          <w:sz w:val="20"/>
        </w:rPr>
        <w:t>that</w:t>
      </w:r>
      <w:r w:rsidRPr="00F17A49">
        <w:rPr>
          <w:rFonts w:ascii="Arial" w:hAnsi="Arial" w:cs="Arial"/>
          <w:spacing w:val="-5"/>
          <w:sz w:val="20"/>
        </w:rPr>
        <w:t xml:space="preserve"> </w:t>
      </w:r>
      <w:r w:rsidRPr="00F17A49">
        <w:rPr>
          <w:rFonts w:ascii="Arial" w:hAnsi="Arial" w:cs="Arial"/>
          <w:sz w:val="20"/>
        </w:rPr>
        <w:t>may</w:t>
      </w:r>
      <w:r w:rsidRPr="00F17A49">
        <w:rPr>
          <w:rFonts w:ascii="Arial" w:hAnsi="Arial" w:cs="Arial"/>
          <w:spacing w:val="-3"/>
          <w:sz w:val="20"/>
        </w:rPr>
        <w:t xml:space="preserve"> </w:t>
      </w:r>
      <w:r w:rsidRPr="00F17A49">
        <w:rPr>
          <w:rFonts w:ascii="Arial" w:hAnsi="Arial" w:cs="Arial"/>
          <w:sz w:val="20"/>
        </w:rPr>
        <w:t>be</w:t>
      </w:r>
      <w:r w:rsidRPr="00F17A49">
        <w:rPr>
          <w:rFonts w:ascii="Arial" w:hAnsi="Arial" w:cs="Arial"/>
          <w:spacing w:val="-3"/>
          <w:sz w:val="20"/>
        </w:rPr>
        <w:t xml:space="preserve"> </w:t>
      </w:r>
      <w:r w:rsidRPr="00F17A49">
        <w:rPr>
          <w:rFonts w:ascii="Arial" w:hAnsi="Arial" w:cs="Arial"/>
          <w:sz w:val="20"/>
        </w:rPr>
        <w:t>retaken</w:t>
      </w:r>
      <w:r w:rsidRPr="00F17A49">
        <w:rPr>
          <w:rFonts w:ascii="Arial" w:hAnsi="Arial" w:cs="Arial"/>
          <w:spacing w:val="-6"/>
          <w:sz w:val="20"/>
        </w:rPr>
        <w:t xml:space="preserve"> </w:t>
      </w:r>
      <w:r w:rsidRPr="00F17A49">
        <w:rPr>
          <w:rFonts w:ascii="Arial" w:hAnsi="Arial" w:cs="Arial"/>
          <w:sz w:val="20"/>
        </w:rPr>
        <w:t>separately.</w:t>
      </w:r>
      <w:r w:rsidRPr="00F17A49">
        <w:rPr>
          <w:rFonts w:ascii="Arial" w:hAnsi="Arial" w:cs="Arial"/>
          <w:spacing w:val="-4"/>
          <w:sz w:val="20"/>
        </w:rPr>
        <w:t xml:space="preserve"> </w:t>
      </w:r>
      <w:r w:rsidRPr="00F17A49">
        <w:rPr>
          <w:rFonts w:ascii="Arial" w:hAnsi="Arial" w:cs="Arial"/>
          <w:sz w:val="20"/>
        </w:rPr>
        <w:t>The FE(B)</w:t>
      </w:r>
      <w:r w:rsidRPr="00F17A49">
        <w:rPr>
          <w:rFonts w:ascii="Arial" w:hAnsi="Arial" w:cs="Arial"/>
          <w:spacing w:val="-6"/>
          <w:sz w:val="20"/>
        </w:rPr>
        <w:t xml:space="preserve"> </w:t>
      </w:r>
      <w:r w:rsidRPr="00F17A49">
        <w:rPr>
          <w:rFonts w:ascii="Arial" w:hAnsi="Arial" w:cs="Arial"/>
          <w:sz w:val="20"/>
        </w:rPr>
        <w:t>may</w:t>
      </w:r>
      <w:r w:rsidRPr="00F17A49">
        <w:rPr>
          <w:rFonts w:ascii="Arial" w:hAnsi="Arial" w:cs="Arial"/>
          <w:spacing w:val="-3"/>
          <w:sz w:val="20"/>
        </w:rPr>
        <w:t xml:space="preserve"> </w:t>
      </w:r>
      <w:r w:rsidRPr="00F17A49">
        <w:rPr>
          <w:rFonts w:ascii="Arial" w:hAnsi="Arial" w:cs="Arial"/>
          <w:sz w:val="20"/>
        </w:rPr>
        <w:t>terminate</w:t>
      </w:r>
      <w:r w:rsidRPr="00F17A49">
        <w:rPr>
          <w:rFonts w:ascii="Arial" w:hAnsi="Arial" w:cs="Arial"/>
          <w:spacing w:val="-3"/>
          <w:sz w:val="20"/>
        </w:rPr>
        <w:t xml:space="preserve"> </w:t>
      </w:r>
      <w:r w:rsidRPr="00F17A49">
        <w:rPr>
          <w:rFonts w:ascii="Arial" w:hAnsi="Arial" w:cs="Arial"/>
          <w:sz w:val="20"/>
        </w:rPr>
        <w:t>the</w:t>
      </w:r>
      <w:r w:rsidRPr="00F17A49">
        <w:rPr>
          <w:rFonts w:ascii="Arial" w:hAnsi="Arial" w:cs="Arial"/>
          <w:spacing w:val="-5"/>
          <w:sz w:val="20"/>
        </w:rPr>
        <w:t xml:space="preserve"> </w:t>
      </w:r>
      <w:r w:rsidRPr="00F17A49">
        <w:rPr>
          <w:rFonts w:ascii="Arial" w:hAnsi="Arial" w:cs="Arial"/>
          <w:sz w:val="20"/>
        </w:rPr>
        <w:t>assessment</w:t>
      </w:r>
      <w:r w:rsidRPr="00F17A49">
        <w:rPr>
          <w:rFonts w:ascii="Arial" w:hAnsi="Arial" w:cs="Arial"/>
          <w:spacing w:val="-5"/>
          <w:sz w:val="20"/>
        </w:rPr>
        <w:t xml:space="preserve"> </w:t>
      </w:r>
      <w:r w:rsidRPr="00F17A49">
        <w:rPr>
          <w:rFonts w:ascii="Arial" w:hAnsi="Arial" w:cs="Arial"/>
          <w:sz w:val="20"/>
        </w:rPr>
        <w:t>at</w:t>
      </w:r>
      <w:r w:rsidRPr="00F17A49">
        <w:rPr>
          <w:rFonts w:ascii="Arial" w:hAnsi="Arial" w:cs="Arial"/>
          <w:spacing w:val="-48"/>
          <w:sz w:val="20"/>
        </w:rPr>
        <w:t xml:space="preserve"> </w:t>
      </w:r>
      <w:r w:rsidRPr="00F17A49">
        <w:rPr>
          <w:rFonts w:ascii="Arial" w:hAnsi="Arial" w:cs="Arial"/>
          <w:sz w:val="20"/>
        </w:rPr>
        <w:t>any</w:t>
      </w:r>
      <w:r w:rsidRPr="00F17A49">
        <w:rPr>
          <w:rFonts w:ascii="Arial" w:hAnsi="Arial" w:cs="Arial"/>
          <w:spacing w:val="-1"/>
          <w:sz w:val="20"/>
        </w:rPr>
        <w:t xml:space="preserve"> </w:t>
      </w:r>
      <w:r w:rsidRPr="00F17A49">
        <w:rPr>
          <w:rFonts w:ascii="Arial" w:hAnsi="Arial" w:cs="Arial"/>
          <w:sz w:val="20"/>
        </w:rPr>
        <w:t>stage</w:t>
      </w:r>
      <w:r w:rsidRPr="00F17A49">
        <w:rPr>
          <w:rFonts w:ascii="Arial" w:hAnsi="Arial" w:cs="Arial"/>
          <w:spacing w:val="-2"/>
          <w:sz w:val="20"/>
        </w:rPr>
        <w:t xml:space="preserve"> </w:t>
      </w:r>
      <w:r w:rsidRPr="00F17A49">
        <w:rPr>
          <w:rFonts w:ascii="Arial" w:hAnsi="Arial" w:cs="Arial"/>
          <w:sz w:val="20"/>
        </w:rPr>
        <w:t>if they</w:t>
      </w:r>
      <w:r w:rsidRPr="00F17A49">
        <w:rPr>
          <w:rFonts w:ascii="Arial" w:hAnsi="Arial" w:cs="Arial"/>
          <w:spacing w:val="-1"/>
          <w:sz w:val="20"/>
        </w:rPr>
        <w:t xml:space="preserve"> </w:t>
      </w:r>
      <w:r w:rsidRPr="00F17A49">
        <w:rPr>
          <w:rFonts w:ascii="Arial" w:hAnsi="Arial" w:cs="Arial"/>
          <w:sz w:val="20"/>
        </w:rPr>
        <w:t>consider</w:t>
      </w:r>
      <w:r w:rsidRPr="00F17A49">
        <w:rPr>
          <w:rFonts w:ascii="Arial" w:hAnsi="Arial" w:cs="Arial"/>
          <w:spacing w:val="-2"/>
          <w:sz w:val="20"/>
        </w:rPr>
        <w:t xml:space="preserve"> </w:t>
      </w:r>
      <w:r w:rsidRPr="00F17A49">
        <w:rPr>
          <w:rFonts w:ascii="Arial" w:hAnsi="Arial" w:cs="Arial"/>
          <w:sz w:val="20"/>
        </w:rPr>
        <w:t>that a retest</w:t>
      </w:r>
      <w:r w:rsidRPr="00F17A49">
        <w:rPr>
          <w:rFonts w:ascii="Arial" w:hAnsi="Arial" w:cs="Arial"/>
          <w:spacing w:val="-2"/>
          <w:sz w:val="20"/>
        </w:rPr>
        <w:t xml:space="preserve"> </w:t>
      </w:r>
      <w:r w:rsidRPr="00F17A49">
        <w:rPr>
          <w:rFonts w:ascii="Arial" w:hAnsi="Arial" w:cs="Arial"/>
          <w:sz w:val="20"/>
        </w:rPr>
        <w:t>is required.</w:t>
      </w:r>
    </w:p>
    <w:p w14:paraId="5706DEFC" w14:textId="75AF29DE" w:rsidR="00F20810" w:rsidRPr="00977334" w:rsidRDefault="00F17A49" w:rsidP="00977334">
      <w:pPr>
        <w:pStyle w:val="ListParagraph"/>
        <w:numPr>
          <w:ilvl w:val="0"/>
          <w:numId w:val="262"/>
        </w:numPr>
        <w:tabs>
          <w:tab w:val="left" w:pos="707"/>
        </w:tabs>
        <w:spacing w:before="119"/>
        <w:jc w:val="both"/>
        <w:rPr>
          <w:rFonts w:ascii="Arial" w:hAnsi="Arial" w:cs="Arial"/>
          <w:sz w:val="20"/>
        </w:rPr>
      </w:pPr>
      <w:r w:rsidRPr="00F17A49">
        <w:rPr>
          <w:rFonts w:ascii="Arial" w:hAnsi="Arial" w:cs="Arial"/>
          <w:sz w:val="20"/>
        </w:rPr>
        <w:t>The</w:t>
      </w:r>
      <w:r w:rsidRPr="00F17A49">
        <w:rPr>
          <w:rFonts w:ascii="Arial" w:hAnsi="Arial" w:cs="Arial"/>
          <w:spacing w:val="-1"/>
          <w:sz w:val="20"/>
        </w:rPr>
        <w:t xml:space="preserve"> </w:t>
      </w:r>
      <w:r w:rsidRPr="00F17A49">
        <w:rPr>
          <w:rFonts w:ascii="Arial" w:hAnsi="Arial" w:cs="Arial"/>
          <w:sz w:val="20"/>
        </w:rPr>
        <w:t>total</w:t>
      </w:r>
      <w:r w:rsidRPr="00F17A49">
        <w:rPr>
          <w:rFonts w:ascii="Arial" w:hAnsi="Arial" w:cs="Arial"/>
          <w:spacing w:val="-1"/>
          <w:sz w:val="20"/>
        </w:rPr>
        <w:t xml:space="preserve"> </w:t>
      </w:r>
      <w:r w:rsidRPr="00F17A49">
        <w:rPr>
          <w:rFonts w:ascii="Arial" w:hAnsi="Arial" w:cs="Arial"/>
          <w:sz w:val="20"/>
        </w:rPr>
        <w:t>flight</w:t>
      </w:r>
      <w:r w:rsidRPr="00F17A49">
        <w:rPr>
          <w:rFonts w:ascii="Arial" w:hAnsi="Arial" w:cs="Arial"/>
          <w:spacing w:val="-3"/>
          <w:sz w:val="20"/>
        </w:rPr>
        <w:t xml:space="preserve"> </w:t>
      </w:r>
      <w:r w:rsidRPr="00F17A49">
        <w:rPr>
          <w:rFonts w:ascii="Arial" w:hAnsi="Arial" w:cs="Arial"/>
          <w:sz w:val="20"/>
        </w:rPr>
        <w:t>time</w:t>
      </w:r>
      <w:r w:rsidRPr="00F17A49">
        <w:rPr>
          <w:rFonts w:ascii="Arial" w:hAnsi="Arial" w:cs="Arial"/>
          <w:spacing w:val="-3"/>
          <w:sz w:val="20"/>
        </w:rPr>
        <w:t xml:space="preserve"> </w:t>
      </w:r>
      <w:r w:rsidRPr="00F17A49">
        <w:rPr>
          <w:rFonts w:ascii="Arial" w:hAnsi="Arial" w:cs="Arial"/>
          <w:sz w:val="20"/>
        </w:rPr>
        <w:t>of</w:t>
      </w:r>
      <w:r w:rsidRPr="00F17A49">
        <w:rPr>
          <w:rFonts w:ascii="Arial" w:hAnsi="Arial" w:cs="Arial"/>
          <w:spacing w:val="-3"/>
          <w:sz w:val="20"/>
        </w:rPr>
        <w:t xml:space="preserve"> </w:t>
      </w:r>
      <w:r w:rsidRPr="00F17A49">
        <w:rPr>
          <w:rFonts w:ascii="Arial" w:hAnsi="Arial" w:cs="Arial"/>
          <w:sz w:val="20"/>
        </w:rPr>
        <w:t>the</w:t>
      </w:r>
      <w:r w:rsidRPr="00F17A49">
        <w:rPr>
          <w:rFonts w:ascii="Arial" w:hAnsi="Arial" w:cs="Arial"/>
          <w:spacing w:val="-3"/>
          <w:sz w:val="20"/>
        </w:rPr>
        <w:t xml:space="preserve"> </w:t>
      </w:r>
      <w:r w:rsidRPr="00F17A49">
        <w:rPr>
          <w:rFonts w:ascii="Arial" w:hAnsi="Arial" w:cs="Arial"/>
          <w:sz w:val="20"/>
        </w:rPr>
        <w:t>assessment</w:t>
      </w:r>
      <w:r w:rsidRPr="00F17A49">
        <w:rPr>
          <w:rFonts w:ascii="Arial" w:hAnsi="Arial" w:cs="Arial"/>
          <w:spacing w:val="-3"/>
          <w:sz w:val="20"/>
        </w:rPr>
        <w:t xml:space="preserve"> </w:t>
      </w:r>
      <w:r w:rsidRPr="00F17A49">
        <w:rPr>
          <w:rFonts w:ascii="Arial" w:hAnsi="Arial" w:cs="Arial"/>
          <w:sz w:val="20"/>
        </w:rPr>
        <w:t>of</w:t>
      </w:r>
      <w:r w:rsidRPr="00F17A49">
        <w:rPr>
          <w:rFonts w:ascii="Arial" w:hAnsi="Arial" w:cs="Arial"/>
          <w:spacing w:val="-4"/>
          <w:sz w:val="20"/>
        </w:rPr>
        <w:t xml:space="preserve"> </w:t>
      </w:r>
      <w:r w:rsidRPr="00F17A49">
        <w:rPr>
          <w:rFonts w:ascii="Arial" w:hAnsi="Arial" w:cs="Arial"/>
          <w:sz w:val="20"/>
        </w:rPr>
        <w:t>competence</w:t>
      </w:r>
      <w:r w:rsidRPr="00F17A49">
        <w:rPr>
          <w:rFonts w:ascii="Arial" w:hAnsi="Arial" w:cs="Arial"/>
          <w:spacing w:val="-3"/>
          <w:sz w:val="20"/>
        </w:rPr>
        <w:t xml:space="preserve"> </w:t>
      </w:r>
      <w:r w:rsidRPr="00F17A49">
        <w:rPr>
          <w:rFonts w:ascii="Arial" w:hAnsi="Arial" w:cs="Arial"/>
          <w:sz w:val="20"/>
        </w:rPr>
        <w:t>should</w:t>
      </w:r>
      <w:r w:rsidRPr="00F17A49">
        <w:rPr>
          <w:rFonts w:ascii="Arial" w:hAnsi="Arial" w:cs="Arial"/>
          <w:spacing w:val="-1"/>
          <w:sz w:val="20"/>
        </w:rPr>
        <w:t xml:space="preserve"> </w:t>
      </w:r>
      <w:r w:rsidRPr="00F17A49">
        <w:rPr>
          <w:rFonts w:ascii="Arial" w:hAnsi="Arial" w:cs="Arial"/>
          <w:sz w:val="20"/>
        </w:rPr>
        <w:t>be</w:t>
      </w:r>
      <w:r w:rsidRPr="00F17A49">
        <w:rPr>
          <w:rFonts w:ascii="Arial" w:hAnsi="Arial" w:cs="Arial"/>
          <w:spacing w:val="-1"/>
          <w:sz w:val="20"/>
        </w:rPr>
        <w:t xml:space="preserve"> </w:t>
      </w:r>
      <w:r w:rsidRPr="00F17A49">
        <w:rPr>
          <w:rFonts w:ascii="Arial" w:hAnsi="Arial" w:cs="Arial"/>
          <w:sz w:val="20"/>
        </w:rPr>
        <w:t>at</w:t>
      </w:r>
      <w:r w:rsidRPr="00F17A49">
        <w:rPr>
          <w:rFonts w:ascii="Arial" w:hAnsi="Arial" w:cs="Arial"/>
          <w:spacing w:val="-1"/>
          <w:sz w:val="20"/>
        </w:rPr>
        <w:t xml:space="preserve"> </w:t>
      </w:r>
      <w:r w:rsidRPr="00F17A49">
        <w:rPr>
          <w:rFonts w:ascii="Arial" w:hAnsi="Arial" w:cs="Arial"/>
          <w:sz w:val="20"/>
        </w:rPr>
        <w:t>least</w:t>
      </w:r>
      <w:r w:rsidRPr="00F17A49">
        <w:rPr>
          <w:rFonts w:ascii="Arial" w:hAnsi="Arial" w:cs="Arial"/>
          <w:spacing w:val="-3"/>
          <w:sz w:val="20"/>
        </w:rPr>
        <w:t xml:space="preserve"> </w:t>
      </w:r>
      <w:r w:rsidRPr="00F17A49">
        <w:rPr>
          <w:rFonts w:ascii="Arial" w:hAnsi="Arial" w:cs="Arial"/>
          <w:sz w:val="20"/>
        </w:rPr>
        <w:t>45</w:t>
      </w:r>
      <w:r w:rsidRPr="00F17A49">
        <w:rPr>
          <w:rFonts w:ascii="Arial" w:hAnsi="Arial" w:cs="Arial"/>
          <w:spacing w:val="-3"/>
          <w:sz w:val="20"/>
        </w:rPr>
        <w:t xml:space="preserve"> </w:t>
      </w:r>
      <w:r w:rsidRPr="00F17A49">
        <w:rPr>
          <w:rFonts w:ascii="Arial" w:hAnsi="Arial" w:cs="Arial"/>
          <w:sz w:val="20"/>
        </w:rPr>
        <w:t>minutes.</w:t>
      </w:r>
    </w:p>
    <w:p w14:paraId="3DA53C1E" w14:textId="77777777" w:rsidR="00F17A49" w:rsidRPr="00F17A49" w:rsidRDefault="00F17A49" w:rsidP="00F17A49">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720" w:name="_Toc153137458"/>
      <w:r w:rsidRPr="00F17A49">
        <w:rPr>
          <w:rFonts w:ascii="Arial" w:eastAsia="Times New Roman" w:hAnsi="Arial" w:cs="Times New Roman"/>
          <w:b/>
          <w:color w:val="FFFFFF"/>
          <w:sz w:val="24"/>
        </w:rPr>
        <w:t>AMC2 BFCL.345 FI(B) – Assessment of competence</w:t>
      </w:r>
      <w:bookmarkEnd w:id="720"/>
      <w:r w:rsidRPr="00F17A49">
        <w:rPr>
          <w:rFonts w:ascii="Arial" w:eastAsia="Times New Roman" w:hAnsi="Arial" w:cs="Times New Roman"/>
          <w:b/>
          <w:color w:val="FFFFFF"/>
          <w:sz w:val="24"/>
        </w:rPr>
        <w:tab/>
      </w:r>
    </w:p>
    <w:p w14:paraId="07002B2F" w14:textId="77777777" w:rsidR="00F17A49" w:rsidRPr="00F17A49" w:rsidRDefault="00F17A49" w:rsidP="00F17A49">
      <w:pPr>
        <w:widowControl/>
        <w:autoSpaceDE/>
        <w:autoSpaceDN/>
        <w:spacing w:before="240" w:after="160" w:line="264" w:lineRule="auto"/>
        <w:jc w:val="both"/>
        <w:rPr>
          <w:rFonts w:ascii="Arial" w:eastAsiaTheme="minorHAnsi" w:hAnsi="Arial" w:cs="Arial"/>
          <w:b/>
          <w:bCs/>
          <w:sz w:val="20"/>
          <w:szCs w:val="20"/>
        </w:rPr>
      </w:pPr>
      <w:r w:rsidRPr="00F17A49">
        <w:rPr>
          <w:rFonts w:ascii="Arial" w:eastAsiaTheme="minorHAnsi" w:hAnsi="Arial" w:cs="Arial"/>
          <w:b/>
          <w:bCs/>
          <w:sz w:val="20"/>
          <w:szCs w:val="20"/>
        </w:rPr>
        <w:t>CONTENT OF THE ASSESSMENT OF COMPETENCE</w:t>
      </w:r>
    </w:p>
    <w:p w14:paraId="3B493DEF" w14:textId="7FDCD59B" w:rsidR="00F17A49" w:rsidRDefault="00F17A49" w:rsidP="00977334">
      <w:pPr>
        <w:numPr>
          <w:ilvl w:val="0"/>
          <w:numId w:val="263"/>
        </w:numPr>
        <w:tabs>
          <w:tab w:val="left" w:pos="90"/>
          <w:tab w:val="left" w:pos="2975"/>
          <w:tab w:val="left" w:pos="2976"/>
        </w:tabs>
        <w:spacing w:before="118"/>
        <w:jc w:val="both"/>
        <w:rPr>
          <w:rFonts w:ascii="Arial" w:hAnsi="Arial" w:cs="Arial"/>
          <w:sz w:val="20"/>
        </w:rPr>
      </w:pPr>
      <w:r w:rsidRPr="00F17A49">
        <w:rPr>
          <w:rFonts w:ascii="Arial" w:hAnsi="Arial" w:cs="Arial"/>
          <w:sz w:val="20"/>
        </w:rPr>
        <w:t>The content of the assessment of competence for the FI(B) should be the following:</w:t>
      </w:r>
    </w:p>
    <w:p w14:paraId="55FBA51A" w14:textId="77777777" w:rsidR="00977334" w:rsidRPr="00977334" w:rsidRDefault="00977334" w:rsidP="00977334">
      <w:pPr>
        <w:tabs>
          <w:tab w:val="left" w:pos="90"/>
          <w:tab w:val="left" w:pos="2975"/>
          <w:tab w:val="left" w:pos="2976"/>
        </w:tabs>
        <w:spacing w:before="118"/>
        <w:ind w:left="706"/>
        <w:jc w:val="both"/>
        <w:rPr>
          <w:rFonts w:ascii="Arial" w:hAnsi="Arial" w:cs="Arial"/>
          <w:sz w:val="20"/>
        </w:rPr>
      </w:pPr>
    </w:p>
    <w:tbl>
      <w:tblPr>
        <w:tblStyle w:val="TableGrid31"/>
        <w:tblW w:w="0" w:type="auto"/>
        <w:tblInd w:w="421" w:type="dxa"/>
        <w:tblLayout w:type="fixed"/>
        <w:tblLook w:val="01E0" w:firstRow="1" w:lastRow="1" w:firstColumn="1" w:lastColumn="1" w:noHBand="0" w:noVBand="0"/>
      </w:tblPr>
      <w:tblGrid>
        <w:gridCol w:w="830"/>
        <w:gridCol w:w="20"/>
        <w:gridCol w:w="7644"/>
        <w:gridCol w:w="11"/>
      </w:tblGrid>
      <w:tr w:rsidR="00F17A49" w:rsidRPr="00F17A49" w14:paraId="530D9B4C" w14:textId="77777777" w:rsidTr="003710E2">
        <w:trPr>
          <w:gridAfter w:val="1"/>
          <w:wAfter w:w="11" w:type="dxa"/>
          <w:trHeight w:val="200"/>
        </w:trPr>
        <w:tc>
          <w:tcPr>
            <w:tcW w:w="8494" w:type="dxa"/>
            <w:gridSpan w:val="3"/>
            <w:shd w:val="clear" w:color="auto" w:fill="F2F2F2" w:themeFill="background1" w:themeFillShade="F2"/>
          </w:tcPr>
          <w:p w14:paraId="03D9BBFD" w14:textId="77777777" w:rsidR="00F17A49" w:rsidRPr="00F17A49" w:rsidRDefault="00F17A49" w:rsidP="00F17A49">
            <w:pPr>
              <w:pStyle w:val="TableParagraph"/>
              <w:spacing w:line="224" w:lineRule="exact"/>
              <w:ind w:left="86"/>
              <w:rPr>
                <w:rFonts w:ascii="Arial" w:hAnsi="Arial" w:cs="Arial"/>
                <w:b/>
              </w:rPr>
            </w:pPr>
            <w:r w:rsidRPr="00F17A49">
              <w:rPr>
                <w:rFonts w:ascii="Arial" w:hAnsi="Arial" w:cs="Arial"/>
                <w:b/>
              </w:rPr>
              <w:t>SECTION</w:t>
            </w:r>
            <w:r w:rsidRPr="00F17A49">
              <w:rPr>
                <w:rFonts w:ascii="Arial" w:hAnsi="Arial" w:cs="Arial"/>
                <w:b/>
                <w:spacing w:val="-4"/>
              </w:rPr>
              <w:t xml:space="preserve"> </w:t>
            </w:r>
            <w:r w:rsidRPr="00F17A49">
              <w:rPr>
                <w:rFonts w:ascii="Arial" w:hAnsi="Arial" w:cs="Arial"/>
                <w:b/>
              </w:rPr>
              <w:t>1:</w:t>
            </w:r>
            <w:r w:rsidRPr="00F17A49">
              <w:rPr>
                <w:rFonts w:ascii="Arial" w:hAnsi="Arial" w:cs="Arial"/>
                <w:b/>
                <w:spacing w:val="-4"/>
              </w:rPr>
              <w:t xml:space="preserve"> </w:t>
            </w:r>
            <w:r w:rsidRPr="00F17A49">
              <w:rPr>
                <w:rFonts w:ascii="Arial" w:hAnsi="Arial" w:cs="Arial"/>
                <w:b/>
              </w:rPr>
              <w:t>ORAL</w:t>
            </w:r>
            <w:r w:rsidRPr="00F17A49">
              <w:rPr>
                <w:rFonts w:ascii="Arial" w:hAnsi="Arial" w:cs="Arial"/>
                <w:b/>
                <w:spacing w:val="-5"/>
              </w:rPr>
              <w:t xml:space="preserve"> </w:t>
            </w:r>
            <w:r w:rsidRPr="00F17A49">
              <w:rPr>
                <w:rFonts w:ascii="Arial" w:hAnsi="Arial" w:cs="Arial"/>
                <w:b/>
              </w:rPr>
              <w:t>THEORETICAL</w:t>
            </w:r>
            <w:r w:rsidRPr="00F17A49">
              <w:rPr>
                <w:rFonts w:ascii="Arial" w:hAnsi="Arial" w:cs="Arial"/>
                <w:b/>
                <w:spacing w:val="-4"/>
              </w:rPr>
              <w:t xml:space="preserve"> </w:t>
            </w:r>
            <w:r w:rsidRPr="00F17A49">
              <w:rPr>
                <w:rFonts w:ascii="Arial" w:hAnsi="Arial" w:cs="Arial"/>
                <w:b/>
              </w:rPr>
              <w:t>KNOWLEDGE</w:t>
            </w:r>
            <w:r w:rsidRPr="00F17A49">
              <w:rPr>
                <w:rFonts w:ascii="Arial" w:hAnsi="Arial" w:cs="Arial"/>
                <w:b/>
                <w:spacing w:val="-3"/>
              </w:rPr>
              <w:t xml:space="preserve"> </w:t>
            </w:r>
            <w:r w:rsidRPr="00F17A49">
              <w:rPr>
                <w:rFonts w:ascii="Arial" w:hAnsi="Arial" w:cs="Arial"/>
                <w:b/>
              </w:rPr>
              <w:t>EXAMINATION</w:t>
            </w:r>
          </w:p>
        </w:tc>
      </w:tr>
      <w:tr w:rsidR="00F17A49" w:rsidRPr="00F17A49" w14:paraId="7509A9E2" w14:textId="77777777" w:rsidTr="003710E2">
        <w:trPr>
          <w:gridAfter w:val="1"/>
          <w:wAfter w:w="11" w:type="dxa"/>
          <w:trHeight w:val="202"/>
        </w:trPr>
        <w:tc>
          <w:tcPr>
            <w:tcW w:w="830" w:type="dxa"/>
          </w:tcPr>
          <w:p w14:paraId="4C0B89E7" w14:textId="77777777" w:rsidR="00F17A49" w:rsidRPr="00F17A49" w:rsidRDefault="00F17A49" w:rsidP="00F17A49">
            <w:pPr>
              <w:pStyle w:val="TableParagraph"/>
              <w:spacing w:line="225" w:lineRule="exact"/>
              <w:ind w:left="86"/>
              <w:rPr>
                <w:rFonts w:ascii="Arial" w:hAnsi="Arial" w:cs="Arial"/>
              </w:rPr>
            </w:pPr>
            <w:r w:rsidRPr="00F17A49">
              <w:rPr>
                <w:rFonts w:ascii="Arial" w:hAnsi="Arial" w:cs="Arial"/>
              </w:rPr>
              <w:t>1.1</w:t>
            </w:r>
          </w:p>
        </w:tc>
        <w:tc>
          <w:tcPr>
            <w:tcW w:w="7664" w:type="dxa"/>
            <w:gridSpan w:val="2"/>
          </w:tcPr>
          <w:p w14:paraId="71B62DD8" w14:textId="77777777" w:rsidR="00F17A49" w:rsidRPr="00F17A49" w:rsidRDefault="00F17A49" w:rsidP="00F17A49">
            <w:pPr>
              <w:pStyle w:val="TableParagraph"/>
              <w:spacing w:line="225" w:lineRule="exact"/>
              <w:rPr>
                <w:rFonts w:ascii="Arial" w:hAnsi="Arial" w:cs="Arial"/>
              </w:rPr>
            </w:pPr>
            <w:r w:rsidRPr="00F17A49">
              <w:rPr>
                <w:rFonts w:ascii="Arial" w:hAnsi="Arial" w:cs="Arial"/>
              </w:rPr>
              <w:t>Air</w:t>
            </w:r>
            <w:r w:rsidRPr="00F17A49">
              <w:rPr>
                <w:rFonts w:ascii="Arial" w:hAnsi="Arial" w:cs="Arial"/>
                <w:spacing w:val="-2"/>
              </w:rPr>
              <w:t xml:space="preserve"> </w:t>
            </w:r>
            <w:r w:rsidRPr="00F17A49">
              <w:rPr>
                <w:rFonts w:ascii="Arial" w:hAnsi="Arial" w:cs="Arial"/>
              </w:rPr>
              <w:t>law</w:t>
            </w:r>
          </w:p>
        </w:tc>
      </w:tr>
      <w:tr w:rsidR="00F17A49" w:rsidRPr="00F17A49" w14:paraId="390FD66A" w14:textId="77777777" w:rsidTr="003710E2">
        <w:trPr>
          <w:gridAfter w:val="1"/>
          <w:wAfter w:w="11" w:type="dxa"/>
          <w:trHeight w:val="200"/>
        </w:trPr>
        <w:tc>
          <w:tcPr>
            <w:tcW w:w="830" w:type="dxa"/>
          </w:tcPr>
          <w:p w14:paraId="0EC72B08" w14:textId="77777777" w:rsidR="00F17A49" w:rsidRPr="00F17A49" w:rsidRDefault="00F17A49" w:rsidP="00F17A49">
            <w:pPr>
              <w:pStyle w:val="TableParagraph"/>
              <w:spacing w:line="223" w:lineRule="exact"/>
              <w:ind w:left="86"/>
              <w:rPr>
                <w:rFonts w:ascii="Arial" w:hAnsi="Arial" w:cs="Arial"/>
              </w:rPr>
            </w:pPr>
            <w:r w:rsidRPr="00F17A49">
              <w:rPr>
                <w:rFonts w:ascii="Arial" w:hAnsi="Arial" w:cs="Arial"/>
              </w:rPr>
              <w:t>1.2</w:t>
            </w:r>
          </w:p>
        </w:tc>
        <w:tc>
          <w:tcPr>
            <w:tcW w:w="7664" w:type="dxa"/>
            <w:gridSpan w:val="2"/>
          </w:tcPr>
          <w:p w14:paraId="09CA82FD" w14:textId="77777777" w:rsidR="00F17A49" w:rsidRPr="00F17A49" w:rsidRDefault="00F17A49" w:rsidP="00F17A49">
            <w:pPr>
              <w:pStyle w:val="TableParagraph"/>
              <w:spacing w:line="223" w:lineRule="exact"/>
              <w:rPr>
                <w:rFonts w:ascii="Arial" w:hAnsi="Arial" w:cs="Arial"/>
              </w:rPr>
            </w:pPr>
            <w:r w:rsidRPr="00F17A49">
              <w:rPr>
                <w:rFonts w:ascii="Arial" w:hAnsi="Arial" w:cs="Arial"/>
              </w:rPr>
              <w:t>Aircraft</w:t>
            </w:r>
            <w:r w:rsidRPr="00F17A49">
              <w:rPr>
                <w:rFonts w:ascii="Arial" w:hAnsi="Arial" w:cs="Arial"/>
                <w:spacing w:val="-3"/>
              </w:rPr>
              <w:t xml:space="preserve"> </w:t>
            </w:r>
            <w:r w:rsidRPr="00F17A49">
              <w:rPr>
                <w:rFonts w:ascii="Arial" w:hAnsi="Arial" w:cs="Arial"/>
              </w:rPr>
              <w:t>general</w:t>
            </w:r>
            <w:r w:rsidRPr="00F17A49">
              <w:rPr>
                <w:rFonts w:ascii="Arial" w:hAnsi="Arial" w:cs="Arial"/>
                <w:spacing w:val="-3"/>
              </w:rPr>
              <w:t xml:space="preserve"> </w:t>
            </w:r>
            <w:r w:rsidRPr="00F17A49">
              <w:rPr>
                <w:rFonts w:ascii="Arial" w:hAnsi="Arial" w:cs="Arial"/>
              </w:rPr>
              <w:t>knowledge</w:t>
            </w:r>
          </w:p>
        </w:tc>
      </w:tr>
      <w:tr w:rsidR="00F17A49" w:rsidRPr="00F17A49" w14:paraId="537AB5E6" w14:textId="77777777" w:rsidTr="003710E2">
        <w:trPr>
          <w:gridAfter w:val="1"/>
          <w:wAfter w:w="11" w:type="dxa"/>
          <w:trHeight w:val="202"/>
        </w:trPr>
        <w:tc>
          <w:tcPr>
            <w:tcW w:w="830" w:type="dxa"/>
          </w:tcPr>
          <w:p w14:paraId="2FA16452" w14:textId="77777777" w:rsidR="00F17A49" w:rsidRPr="00F17A49" w:rsidRDefault="00F17A49" w:rsidP="00F17A49">
            <w:pPr>
              <w:pStyle w:val="TableParagraph"/>
              <w:spacing w:line="225" w:lineRule="exact"/>
              <w:ind w:left="86"/>
              <w:rPr>
                <w:rFonts w:ascii="Arial" w:hAnsi="Arial" w:cs="Arial"/>
              </w:rPr>
            </w:pPr>
            <w:r w:rsidRPr="00F17A49">
              <w:rPr>
                <w:rFonts w:ascii="Arial" w:hAnsi="Arial" w:cs="Arial"/>
              </w:rPr>
              <w:t>1.3</w:t>
            </w:r>
          </w:p>
        </w:tc>
        <w:tc>
          <w:tcPr>
            <w:tcW w:w="7664" w:type="dxa"/>
            <w:gridSpan w:val="2"/>
          </w:tcPr>
          <w:p w14:paraId="5D926006" w14:textId="77777777" w:rsidR="00F17A49" w:rsidRPr="00F17A49" w:rsidRDefault="00F17A49" w:rsidP="00F17A49">
            <w:pPr>
              <w:pStyle w:val="TableParagraph"/>
              <w:spacing w:line="225" w:lineRule="exact"/>
              <w:rPr>
                <w:rFonts w:ascii="Arial" w:hAnsi="Arial" w:cs="Arial"/>
              </w:rPr>
            </w:pPr>
            <w:r w:rsidRPr="00F17A49">
              <w:rPr>
                <w:rFonts w:ascii="Arial" w:hAnsi="Arial" w:cs="Arial"/>
              </w:rPr>
              <w:t>Flight</w:t>
            </w:r>
            <w:r w:rsidRPr="00F17A49">
              <w:rPr>
                <w:rFonts w:ascii="Arial" w:hAnsi="Arial" w:cs="Arial"/>
                <w:spacing w:val="-2"/>
              </w:rPr>
              <w:t xml:space="preserve"> </w:t>
            </w:r>
            <w:r w:rsidRPr="00F17A49">
              <w:rPr>
                <w:rFonts w:ascii="Arial" w:hAnsi="Arial" w:cs="Arial"/>
              </w:rPr>
              <w:t>performance</w:t>
            </w:r>
            <w:r w:rsidRPr="00F17A49">
              <w:rPr>
                <w:rFonts w:ascii="Arial" w:hAnsi="Arial" w:cs="Arial"/>
                <w:spacing w:val="-4"/>
              </w:rPr>
              <w:t xml:space="preserve"> </w:t>
            </w:r>
            <w:r w:rsidRPr="00F17A49">
              <w:rPr>
                <w:rFonts w:ascii="Arial" w:hAnsi="Arial" w:cs="Arial"/>
              </w:rPr>
              <w:t>and</w:t>
            </w:r>
            <w:r w:rsidRPr="00F17A49">
              <w:rPr>
                <w:rFonts w:ascii="Arial" w:hAnsi="Arial" w:cs="Arial"/>
                <w:spacing w:val="-1"/>
              </w:rPr>
              <w:t xml:space="preserve"> </w:t>
            </w:r>
            <w:r w:rsidRPr="00F17A49">
              <w:rPr>
                <w:rFonts w:ascii="Arial" w:hAnsi="Arial" w:cs="Arial"/>
              </w:rPr>
              <w:t>planning</w:t>
            </w:r>
          </w:p>
        </w:tc>
      </w:tr>
      <w:tr w:rsidR="00F17A49" w:rsidRPr="00F17A49" w14:paraId="27C0BEE8" w14:textId="77777777" w:rsidTr="003710E2">
        <w:trPr>
          <w:gridAfter w:val="1"/>
          <w:wAfter w:w="11" w:type="dxa"/>
          <w:trHeight w:val="200"/>
        </w:trPr>
        <w:tc>
          <w:tcPr>
            <w:tcW w:w="830" w:type="dxa"/>
          </w:tcPr>
          <w:p w14:paraId="25A10BBA" w14:textId="77777777" w:rsidR="00F17A49" w:rsidRPr="00F17A49" w:rsidRDefault="00F17A49" w:rsidP="00F17A49">
            <w:pPr>
              <w:pStyle w:val="TableParagraph"/>
              <w:spacing w:line="223" w:lineRule="exact"/>
              <w:ind w:left="86"/>
              <w:rPr>
                <w:rFonts w:ascii="Arial" w:hAnsi="Arial" w:cs="Arial"/>
              </w:rPr>
            </w:pPr>
            <w:r w:rsidRPr="00F17A49">
              <w:rPr>
                <w:rFonts w:ascii="Arial" w:hAnsi="Arial" w:cs="Arial"/>
              </w:rPr>
              <w:t>1.4</w:t>
            </w:r>
          </w:p>
        </w:tc>
        <w:tc>
          <w:tcPr>
            <w:tcW w:w="7664" w:type="dxa"/>
            <w:gridSpan w:val="2"/>
          </w:tcPr>
          <w:p w14:paraId="2E4BA9E0" w14:textId="77777777" w:rsidR="00F17A49" w:rsidRPr="00F17A49" w:rsidRDefault="00F17A49" w:rsidP="00F17A49">
            <w:pPr>
              <w:pStyle w:val="TableParagraph"/>
              <w:spacing w:line="223" w:lineRule="exact"/>
              <w:rPr>
                <w:rFonts w:ascii="Arial" w:hAnsi="Arial" w:cs="Arial"/>
              </w:rPr>
            </w:pPr>
            <w:r w:rsidRPr="00F17A49">
              <w:rPr>
                <w:rFonts w:ascii="Arial" w:hAnsi="Arial" w:cs="Arial"/>
              </w:rPr>
              <w:t>Human</w:t>
            </w:r>
            <w:r w:rsidRPr="00F17A49">
              <w:rPr>
                <w:rFonts w:ascii="Arial" w:hAnsi="Arial" w:cs="Arial"/>
                <w:spacing w:val="-1"/>
              </w:rPr>
              <w:t xml:space="preserve"> </w:t>
            </w:r>
            <w:r w:rsidRPr="00F17A49">
              <w:rPr>
                <w:rFonts w:ascii="Arial" w:hAnsi="Arial" w:cs="Arial"/>
              </w:rPr>
              <w:t>performance</w:t>
            </w:r>
            <w:r w:rsidRPr="00F17A49">
              <w:rPr>
                <w:rFonts w:ascii="Arial" w:hAnsi="Arial" w:cs="Arial"/>
                <w:spacing w:val="-3"/>
              </w:rPr>
              <w:t xml:space="preserve"> </w:t>
            </w:r>
            <w:r w:rsidRPr="00F17A49">
              <w:rPr>
                <w:rFonts w:ascii="Arial" w:hAnsi="Arial" w:cs="Arial"/>
              </w:rPr>
              <w:t>and</w:t>
            </w:r>
            <w:r w:rsidRPr="00F17A49">
              <w:rPr>
                <w:rFonts w:ascii="Arial" w:hAnsi="Arial" w:cs="Arial"/>
                <w:spacing w:val="-2"/>
              </w:rPr>
              <w:t xml:space="preserve"> </w:t>
            </w:r>
            <w:r w:rsidRPr="00F17A49">
              <w:rPr>
                <w:rFonts w:ascii="Arial" w:hAnsi="Arial" w:cs="Arial"/>
              </w:rPr>
              <w:t>limitations</w:t>
            </w:r>
          </w:p>
        </w:tc>
      </w:tr>
      <w:tr w:rsidR="00F17A49" w:rsidRPr="00F17A49" w14:paraId="7714E5D5" w14:textId="77777777" w:rsidTr="003710E2">
        <w:trPr>
          <w:gridAfter w:val="1"/>
          <w:wAfter w:w="11" w:type="dxa"/>
          <w:trHeight w:val="202"/>
        </w:trPr>
        <w:tc>
          <w:tcPr>
            <w:tcW w:w="830" w:type="dxa"/>
          </w:tcPr>
          <w:p w14:paraId="28689D87" w14:textId="77777777" w:rsidR="00F17A49" w:rsidRPr="00F17A49" w:rsidRDefault="00F17A49" w:rsidP="00F17A49">
            <w:pPr>
              <w:pStyle w:val="TableParagraph"/>
              <w:spacing w:line="225" w:lineRule="exact"/>
              <w:ind w:left="86"/>
              <w:rPr>
                <w:rFonts w:ascii="Arial" w:hAnsi="Arial" w:cs="Arial"/>
              </w:rPr>
            </w:pPr>
            <w:r w:rsidRPr="00F17A49">
              <w:rPr>
                <w:rFonts w:ascii="Arial" w:hAnsi="Arial" w:cs="Arial"/>
              </w:rPr>
              <w:t>1.5</w:t>
            </w:r>
          </w:p>
        </w:tc>
        <w:tc>
          <w:tcPr>
            <w:tcW w:w="7664" w:type="dxa"/>
            <w:gridSpan w:val="2"/>
          </w:tcPr>
          <w:p w14:paraId="50701650" w14:textId="77777777" w:rsidR="00F17A49" w:rsidRPr="00F17A49" w:rsidRDefault="00F17A49" w:rsidP="00F17A49">
            <w:pPr>
              <w:pStyle w:val="TableParagraph"/>
              <w:spacing w:line="225" w:lineRule="exact"/>
              <w:rPr>
                <w:rFonts w:ascii="Arial" w:hAnsi="Arial" w:cs="Arial"/>
              </w:rPr>
            </w:pPr>
            <w:r w:rsidRPr="00F17A49">
              <w:rPr>
                <w:rFonts w:ascii="Arial" w:hAnsi="Arial" w:cs="Arial"/>
              </w:rPr>
              <w:t>Meteorology</w:t>
            </w:r>
          </w:p>
        </w:tc>
      </w:tr>
      <w:tr w:rsidR="00F17A49" w:rsidRPr="00F17A49" w14:paraId="27ADAA04" w14:textId="77777777" w:rsidTr="003710E2">
        <w:trPr>
          <w:gridAfter w:val="1"/>
          <w:wAfter w:w="11" w:type="dxa"/>
          <w:trHeight w:val="199"/>
        </w:trPr>
        <w:tc>
          <w:tcPr>
            <w:tcW w:w="830" w:type="dxa"/>
          </w:tcPr>
          <w:p w14:paraId="77C2165C" w14:textId="77777777" w:rsidR="00F17A49" w:rsidRPr="00F17A49" w:rsidRDefault="00F17A49" w:rsidP="00F17A49">
            <w:pPr>
              <w:pStyle w:val="TableParagraph"/>
              <w:spacing w:line="223" w:lineRule="exact"/>
              <w:ind w:left="86"/>
              <w:rPr>
                <w:rFonts w:ascii="Arial" w:hAnsi="Arial" w:cs="Arial"/>
              </w:rPr>
            </w:pPr>
            <w:r w:rsidRPr="00F17A49">
              <w:rPr>
                <w:rFonts w:ascii="Arial" w:hAnsi="Arial" w:cs="Arial"/>
              </w:rPr>
              <w:t>1.6</w:t>
            </w:r>
          </w:p>
        </w:tc>
        <w:tc>
          <w:tcPr>
            <w:tcW w:w="7664" w:type="dxa"/>
            <w:gridSpan w:val="2"/>
          </w:tcPr>
          <w:p w14:paraId="6BE0BC88" w14:textId="77777777" w:rsidR="00F17A49" w:rsidRPr="00F17A49" w:rsidRDefault="00F17A49" w:rsidP="00F17A49">
            <w:pPr>
              <w:pStyle w:val="TableParagraph"/>
              <w:spacing w:line="223" w:lineRule="exact"/>
              <w:rPr>
                <w:rFonts w:ascii="Arial" w:hAnsi="Arial" w:cs="Arial"/>
              </w:rPr>
            </w:pPr>
            <w:r w:rsidRPr="00F17A49">
              <w:rPr>
                <w:rFonts w:ascii="Arial" w:hAnsi="Arial" w:cs="Arial"/>
              </w:rPr>
              <w:t>Navigation</w:t>
            </w:r>
          </w:p>
        </w:tc>
      </w:tr>
      <w:tr w:rsidR="00F17A49" w:rsidRPr="00F17A49" w14:paraId="03BEDFCF" w14:textId="77777777" w:rsidTr="003710E2">
        <w:trPr>
          <w:gridAfter w:val="1"/>
          <w:wAfter w:w="11" w:type="dxa"/>
          <w:trHeight w:val="202"/>
        </w:trPr>
        <w:tc>
          <w:tcPr>
            <w:tcW w:w="830" w:type="dxa"/>
          </w:tcPr>
          <w:p w14:paraId="4C6011A0" w14:textId="77777777" w:rsidR="00F17A49" w:rsidRPr="00F17A49" w:rsidRDefault="00F17A49" w:rsidP="00F17A49">
            <w:pPr>
              <w:pStyle w:val="TableParagraph"/>
              <w:spacing w:line="225" w:lineRule="exact"/>
              <w:ind w:left="86"/>
              <w:rPr>
                <w:rFonts w:ascii="Arial" w:hAnsi="Arial" w:cs="Arial"/>
              </w:rPr>
            </w:pPr>
            <w:r w:rsidRPr="00F17A49">
              <w:rPr>
                <w:rFonts w:ascii="Arial" w:hAnsi="Arial" w:cs="Arial"/>
              </w:rPr>
              <w:t>1.7</w:t>
            </w:r>
          </w:p>
        </w:tc>
        <w:tc>
          <w:tcPr>
            <w:tcW w:w="7664" w:type="dxa"/>
            <w:gridSpan w:val="2"/>
          </w:tcPr>
          <w:p w14:paraId="1C910D7B" w14:textId="77777777" w:rsidR="00F17A49" w:rsidRPr="00F17A49" w:rsidRDefault="00F17A49" w:rsidP="00F17A49">
            <w:pPr>
              <w:pStyle w:val="TableParagraph"/>
              <w:spacing w:line="225" w:lineRule="exact"/>
              <w:rPr>
                <w:rFonts w:ascii="Arial" w:hAnsi="Arial" w:cs="Arial"/>
              </w:rPr>
            </w:pPr>
            <w:r w:rsidRPr="00F17A49">
              <w:rPr>
                <w:rFonts w:ascii="Arial" w:hAnsi="Arial" w:cs="Arial"/>
              </w:rPr>
              <w:t>Operational</w:t>
            </w:r>
            <w:r w:rsidRPr="00F17A49">
              <w:rPr>
                <w:rFonts w:ascii="Arial" w:hAnsi="Arial" w:cs="Arial"/>
                <w:spacing w:val="-5"/>
              </w:rPr>
              <w:t xml:space="preserve"> </w:t>
            </w:r>
            <w:r w:rsidRPr="00F17A49">
              <w:rPr>
                <w:rFonts w:ascii="Arial" w:hAnsi="Arial" w:cs="Arial"/>
              </w:rPr>
              <w:t>procedures</w:t>
            </w:r>
          </w:p>
        </w:tc>
      </w:tr>
      <w:tr w:rsidR="00F17A49" w:rsidRPr="00F17A49" w14:paraId="5F65F7F9" w14:textId="77777777" w:rsidTr="003710E2">
        <w:trPr>
          <w:gridAfter w:val="1"/>
          <w:wAfter w:w="11" w:type="dxa"/>
          <w:trHeight w:val="200"/>
        </w:trPr>
        <w:tc>
          <w:tcPr>
            <w:tcW w:w="830" w:type="dxa"/>
          </w:tcPr>
          <w:p w14:paraId="4C9CBD8C" w14:textId="77777777" w:rsidR="00F17A49" w:rsidRPr="00F17A49" w:rsidRDefault="00F17A49" w:rsidP="00F17A49">
            <w:pPr>
              <w:pStyle w:val="TableParagraph"/>
              <w:spacing w:line="223" w:lineRule="exact"/>
              <w:ind w:left="86"/>
              <w:rPr>
                <w:rFonts w:ascii="Arial" w:hAnsi="Arial" w:cs="Arial"/>
              </w:rPr>
            </w:pPr>
            <w:r w:rsidRPr="00F17A49">
              <w:rPr>
                <w:rFonts w:ascii="Arial" w:hAnsi="Arial" w:cs="Arial"/>
              </w:rPr>
              <w:t>1.8</w:t>
            </w:r>
          </w:p>
        </w:tc>
        <w:tc>
          <w:tcPr>
            <w:tcW w:w="7664" w:type="dxa"/>
            <w:gridSpan w:val="2"/>
          </w:tcPr>
          <w:p w14:paraId="34208A4A" w14:textId="77777777" w:rsidR="00F17A49" w:rsidRPr="00F17A49" w:rsidRDefault="00F17A49" w:rsidP="00F17A49">
            <w:pPr>
              <w:pStyle w:val="TableParagraph"/>
              <w:spacing w:line="223" w:lineRule="exact"/>
              <w:rPr>
                <w:rFonts w:ascii="Arial" w:hAnsi="Arial" w:cs="Arial"/>
              </w:rPr>
            </w:pPr>
            <w:r w:rsidRPr="00F17A49">
              <w:rPr>
                <w:rFonts w:ascii="Arial" w:hAnsi="Arial" w:cs="Arial"/>
              </w:rPr>
              <w:t>Principles</w:t>
            </w:r>
            <w:r w:rsidRPr="00F17A49">
              <w:rPr>
                <w:rFonts w:ascii="Arial" w:hAnsi="Arial" w:cs="Arial"/>
                <w:spacing w:val="-4"/>
              </w:rPr>
              <w:t xml:space="preserve"> </w:t>
            </w:r>
            <w:r w:rsidRPr="00F17A49">
              <w:rPr>
                <w:rFonts w:ascii="Arial" w:hAnsi="Arial" w:cs="Arial"/>
              </w:rPr>
              <w:t>of</w:t>
            </w:r>
            <w:r w:rsidRPr="00F17A49">
              <w:rPr>
                <w:rFonts w:ascii="Arial" w:hAnsi="Arial" w:cs="Arial"/>
                <w:spacing w:val="-3"/>
              </w:rPr>
              <w:t xml:space="preserve"> </w:t>
            </w:r>
            <w:r w:rsidRPr="00F17A49">
              <w:rPr>
                <w:rFonts w:ascii="Arial" w:hAnsi="Arial" w:cs="Arial"/>
              </w:rPr>
              <w:t>flight</w:t>
            </w:r>
          </w:p>
        </w:tc>
      </w:tr>
      <w:tr w:rsidR="00F17A49" w:rsidRPr="00F17A49" w14:paraId="72DB48D3" w14:textId="77777777" w:rsidTr="003710E2">
        <w:trPr>
          <w:gridAfter w:val="1"/>
          <w:wAfter w:w="11" w:type="dxa"/>
          <w:trHeight w:val="199"/>
        </w:trPr>
        <w:tc>
          <w:tcPr>
            <w:tcW w:w="830" w:type="dxa"/>
          </w:tcPr>
          <w:p w14:paraId="65E6E30C" w14:textId="77777777" w:rsidR="00F17A49" w:rsidRPr="00F17A49" w:rsidRDefault="00F17A49" w:rsidP="00F17A49">
            <w:pPr>
              <w:pStyle w:val="TableParagraph"/>
              <w:spacing w:line="222" w:lineRule="exact"/>
              <w:ind w:left="86"/>
              <w:rPr>
                <w:rFonts w:ascii="Arial" w:hAnsi="Arial" w:cs="Arial"/>
              </w:rPr>
            </w:pPr>
            <w:r w:rsidRPr="00F17A49">
              <w:rPr>
                <w:rFonts w:ascii="Arial" w:hAnsi="Arial" w:cs="Arial"/>
              </w:rPr>
              <w:t>1.9</w:t>
            </w:r>
          </w:p>
        </w:tc>
        <w:tc>
          <w:tcPr>
            <w:tcW w:w="7664" w:type="dxa"/>
            <w:gridSpan w:val="2"/>
          </w:tcPr>
          <w:p w14:paraId="65A12A29" w14:textId="77777777" w:rsidR="00F17A49" w:rsidRPr="00F17A49" w:rsidRDefault="00F17A49" w:rsidP="00F17A49">
            <w:pPr>
              <w:pStyle w:val="TableParagraph"/>
              <w:spacing w:line="222" w:lineRule="exact"/>
              <w:rPr>
                <w:rFonts w:ascii="Arial" w:hAnsi="Arial" w:cs="Arial"/>
              </w:rPr>
            </w:pPr>
            <w:r w:rsidRPr="00F17A49">
              <w:rPr>
                <w:rFonts w:ascii="Arial" w:hAnsi="Arial" w:cs="Arial"/>
              </w:rPr>
              <w:t>Training</w:t>
            </w:r>
            <w:r w:rsidRPr="00F17A49">
              <w:rPr>
                <w:rFonts w:ascii="Arial" w:hAnsi="Arial" w:cs="Arial"/>
                <w:spacing w:val="-6"/>
              </w:rPr>
              <w:t xml:space="preserve"> </w:t>
            </w:r>
            <w:r w:rsidRPr="00F17A49">
              <w:rPr>
                <w:rFonts w:ascii="Arial" w:hAnsi="Arial" w:cs="Arial"/>
              </w:rPr>
              <w:t>administration</w:t>
            </w:r>
          </w:p>
        </w:tc>
      </w:tr>
      <w:tr w:rsidR="00F17A49" w:rsidRPr="00F17A49" w14:paraId="6E33F4E9" w14:textId="77777777" w:rsidTr="003710E2">
        <w:trPr>
          <w:gridAfter w:val="1"/>
          <w:wAfter w:w="11" w:type="dxa"/>
          <w:trHeight w:val="202"/>
        </w:trPr>
        <w:tc>
          <w:tcPr>
            <w:tcW w:w="830" w:type="dxa"/>
          </w:tcPr>
          <w:p w14:paraId="6185B000" w14:textId="77777777" w:rsidR="00F17A49" w:rsidRPr="00F17A49" w:rsidRDefault="00F17A49" w:rsidP="00F17A49">
            <w:pPr>
              <w:pStyle w:val="TableParagraph"/>
              <w:spacing w:line="225" w:lineRule="exact"/>
              <w:ind w:left="86"/>
              <w:rPr>
                <w:rFonts w:ascii="Arial" w:hAnsi="Arial" w:cs="Arial"/>
              </w:rPr>
            </w:pPr>
            <w:r w:rsidRPr="00F17A49">
              <w:rPr>
                <w:rFonts w:ascii="Arial" w:hAnsi="Arial" w:cs="Arial"/>
              </w:rPr>
              <w:t>1.10</w:t>
            </w:r>
          </w:p>
        </w:tc>
        <w:tc>
          <w:tcPr>
            <w:tcW w:w="7664" w:type="dxa"/>
            <w:gridSpan w:val="2"/>
          </w:tcPr>
          <w:p w14:paraId="60BDD8D3" w14:textId="77777777" w:rsidR="00F17A49" w:rsidRPr="00F17A49" w:rsidRDefault="00F17A49" w:rsidP="00F17A49">
            <w:pPr>
              <w:pStyle w:val="TableParagraph"/>
              <w:spacing w:line="225" w:lineRule="exact"/>
              <w:rPr>
                <w:rFonts w:ascii="Arial" w:hAnsi="Arial" w:cs="Arial"/>
              </w:rPr>
            </w:pPr>
            <w:r w:rsidRPr="00F17A49">
              <w:rPr>
                <w:rFonts w:ascii="Arial" w:hAnsi="Arial" w:cs="Arial"/>
              </w:rPr>
              <w:t>Assessment</w:t>
            </w:r>
            <w:r w:rsidRPr="00F17A49">
              <w:rPr>
                <w:rFonts w:ascii="Arial" w:hAnsi="Arial" w:cs="Arial"/>
                <w:spacing w:val="-3"/>
              </w:rPr>
              <w:t xml:space="preserve"> </w:t>
            </w:r>
            <w:r w:rsidRPr="00F17A49">
              <w:rPr>
                <w:rFonts w:ascii="Arial" w:hAnsi="Arial" w:cs="Arial"/>
              </w:rPr>
              <w:t>of</w:t>
            </w:r>
            <w:r w:rsidRPr="00F17A49">
              <w:rPr>
                <w:rFonts w:ascii="Arial" w:hAnsi="Arial" w:cs="Arial"/>
                <w:spacing w:val="-4"/>
              </w:rPr>
              <w:t xml:space="preserve"> </w:t>
            </w:r>
            <w:r w:rsidRPr="00F17A49">
              <w:rPr>
                <w:rFonts w:ascii="Arial" w:hAnsi="Arial" w:cs="Arial"/>
              </w:rPr>
              <w:t>a</w:t>
            </w:r>
            <w:r w:rsidRPr="00F17A49">
              <w:rPr>
                <w:rFonts w:ascii="Arial" w:hAnsi="Arial" w:cs="Arial"/>
                <w:spacing w:val="-3"/>
              </w:rPr>
              <w:t xml:space="preserve"> </w:t>
            </w:r>
            <w:r w:rsidRPr="00F17A49">
              <w:rPr>
                <w:rFonts w:ascii="Arial" w:hAnsi="Arial" w:cs="Arial"/>
              </w:rPr>
              <w:t>BPL</w:t>
            </w:r>
            <w:r w:rsidRPr="00F17A49">
              <w:rPr>
                <w:rFonts w:ascii="Arial" w:hAnsi="Arial" w:cs="Arial"/>
                <w:spacing w:val="-2"/>
              </w:rPr>
              <w:t xml:space="preserve"> </w:t>
            </w:r>
            <w:r w:rsidRPr="00F17A49">
              <w:rPr>
                <w:rFonts w:ascii="Arial" w:hAnsi="Arial" w:cs="Arial"/>
              </w:rPr>
              <w:t>student’s</w:t>
            </w:r>
            <w:r w:rsidRPr="00F17A49">
              <w:rPr>
                <w:rFonts w:ascii="Arial" w:hAnsi="Arial" w:cs="Arial"/>
                <w:spacing w:val="-3"/>
              </w:rPr>
              <w:t xml:space="preserve"> </w:t>
            </w:r>
            <w:r w:rsidRPr="00F17A49">
              <w:rPr>
                <w:rFonts w:ascii="Arial" w:hAnsi="Arial" w:cs="Arial"/>
              </w:rPr>
              <w:t>readiness</w:t>
            </w:r>
            <w:r w:rsidRPr="00F17A49">
              <w:rPr>
                <w:rFonts w:ascii="Arial" w:hAnsi="Arial" w:cs="Arial"/>
                <w:spacing w:val="-4"/>
              </w:rPr>
              <w:t xml:space="preserve"> </w:t>
            </w:r>
            <w:r w:rsidRPr="00F17A49">
              <w:rPr>
                <w:rFonts w:ascii="Arial" w:hAnsi="Arial" w:cs="Arial"/>
              </w:rPr>
              <w:t>for</w:t>
            </w:r>
            <w:r w:rsidRPr="00F17A49">
              <w:rPr>
                <w:rFonts w:ascii="Arial" w:hAnsi="Arial" w:cs="Arial"/>
                <w:spacing w:val="-3"/>
              </w:rPr>
              <w:t xml:space="preserve"> </w:t>
            </w:r>
            <w:r w:rsidRPr="00F17A49">
              <w:rPr>
                <w:rFonts w:ascii="Arial" w:hAnsi="Arial" w:cs="Arial"/>
              </w:rPr>
              <w:t>first</w:t>
            </w:r>
            <w:r w:rsidRPr="00F17A49">
              <w:rPr>
                <w:rFonts w:ascii="Arial" w:hAnsi="Arial" w:cs="Arial"/>
                <w:spacing w:val="-3"/>
              </w:rPr>
              <w:t xml:space="preserve"> </w:t>
            </w:r>
            <w:r w:rsidRPr="00F17A49">
              <w:rPr>
                <w:rFonts w:ascii="Arial" w:hAnsi="Arial" w:cs="Arial"/>
              </w:rPr>
              <w:t>solo</w:t>
            </w:r>
            <w:r w:rsidRPr="00F17A49">
              <w:rPr>
                <w:rFonts w:ascii="Arial" w:hAnsi="Arial" w:cs="Arial"/>
                <w:spacing w:val="1"/>
              </w:rPr>
              <w:t xml:space="preserve"> </w:t>
            </w:r>
            <w:r w:rsidRPr="00F17A49">
              <w:rPr>
                <w:rFonts w:ascii="Arial" w:hAnsi="Arial" w:cs="Arial"/>
              </w:rPr>
              <w:t>flight</w:t>
            </w:r>
          </w:p>
        </w:tc>
      </w:tr>
      <w:tr w:rsidR="00F17A49" w:rsidRPr="00F17A49" w14:paraId="7386B9E4" w14:textId="77777777" w:rsidTr="003710E2">
        <w:trPr>
          <w:gridAfter w:val="1"/>
          <w:wAfter w:w="11" w:type="dxa"/>
          <w:trHeight w:val="200"/>
        </w:trPr>
        <w:tc>
          <w:tcPr>
            <w:tcW w:w="830" w:type="dxa"/>
          </w:tcPr>
          <w:p w14:paraId="5A477BD0" w14:textId="77777777" w:rsidR="00F17A49" w:rsidRPr="00F17A49" w:rsidRDefault="00F17A49" w:rsidP="00F17A49">
            <w:pPr>
              <w:pStyle w:val="TableParagraph"/>
              <w:spacing w:line="223" w:lineRule="exact"/>
              <w:ind w:left="86"/>
              <w:rPr>
                <w:rFonts w:ascii="Arial" w:hAnsi="Arial" w:cs="Arial"/>
              </w:rPr>
            </w:pPr>
            <w:r w:rsidRPr="00F17A49">
              <w:rPr>
                <w:rFonts w:ascii="Arial" w:hAnsi="Arial" w:cs="Arial"/>
              </w:rPr>
              <w:t>1.11</w:t>
            </w:r>
          </w:p>
        </w:tc>
        <w:tc>
          <w:tcPr>
            <w:tcW w:w="7664" w:type="dxa"/>
            <w:gridSpan w:val="2"/>
          </w:tcPr>
          <w:p w14:paraId="0365CD6E" w14:textId="77777777" w:rsidR="00F17A49" w:rsidRPr="00F17A49" w:rsidRDefault="00F17A49" w:rsidP="00F17A49">
            <w:pPr>
              <w:pStyle w:val="TableParagraph"/>
              <w:spacing w:line="223" w:lineRule="exact"/>
              <w:rPr>
                <w:rFonts w:ascii="Arial" w:hAnsi="Arial" w:cs="Arial"/>
              </w:rPr>
            </w:pPr>
            <w:r w:rsidRPr="00F17A49">
              <w:rPr>
                <w:rFonts w:ascii="Arial" w:hAnsi="Arial" w:cs="Arial"/>
              </w:rPr>
              <w:t>Particularities</w:t>
            </w:r>
            <w:r w:rsidRPr="00F17A49">
              <w:rPr>
                <w:rFonts w:ascii="Arial" w:hAnsi="Arial" w:cs="Arial"/>
                <w:spacing w:val="-4"/>
              </w:rPr>
              <w:t xml:space="preserve"> </w:t>
            </w:r>
            <w:r w:rsidRPr="00F17A49">
              <w:rPr>
                <w:rFonts w:ascii="Arial" w:hAnsi="Arial" w:cs="Arial"/>
              </w:rPr>
              <w:t>of</w:t>
            </w:r>
            <w:r w:rsidRPr="00F17A49">
              <w:rPr>
                <w:rFonts w:ascii="Arial" w:hAnsi="Arial" w:cs="Arial"/>
                <w:spacing w:val="-4"/>
              </w:rPr>
              <w:t xml:space="preserve"> </w:t>
            </w:r>
            <w:r w:rsidRPr="00F17A49">
              <w:rPr>
                <w:rFonts w:ascii="Arial" w:hAnsi="Arial" w:cs="Arial"/>
              </w:rPr>
              <w:t>pre-flight</w:t>
            </w:r>
            <w:r w:rsidRPr="00F17A49">
              <w:rPr>
                <w:rFonts w:ascii="Arial" w:hAnsi="Arial" w:cs="Arial"/>
                <w:spacing w:val="-2"/>
              </w:rPr>
              <w:t xml:space="preserve"> </w:t>
            </w:r>
            <w:r w:rsidRPr="00F17A49">
              <w:rPr>
                <w:rFonts w:ascii="Arial" w:hAnsi="Arial" w:cs="Arial"/>
              </w:rPr>
              <w:t>briefing</w:t>
            </w:r>
            <w:r w:rsidRPr="00F17A49">
              <w:rPr>
                <w:rFonts w:ascii="Arial" w:hAnsi="Arial" w:cs="Arial"/>
                <w:spacing w:val="-3"/>
              </w:rPr>
              <w:t xml:space="preserve"> </w:t>
            </w:r>
            <w:r w:rsidRPr="00F17A49">
              <w:rPr>
                <w:rFonts w:ascii="Arial" w:hAnsi="Arial" w:cs="Arial"/>
              </w:rPr>
              <w:t>prior</w:t>
            </w:r>
            <w:r w:rsidRPr="00F17A49">
              <w:rPr>
                <w:rFonts w:ascii="Arial" w:hAnsi="Arial" w:cs="Arial"/>
                <w:spacing w:val="-1"/>
              </w:rPr>
              <w:t xml:space="preserve"> </w:t>
            </w:r>
            <w:r w:rsidRPr="00F17A49">
              <w:rPr>
                <w:rFonts w:ascii="Arial" w:hAnsi="Arial" w:cs="Arial"/>
              </w:rPr>
              <w:t>to</w:t>
            </w:r>
            <w:r w:rsidRPr="00F17A49">
              <w:rPr>
                <w:rFonts w:ascii="Arial" w:hAnsi="Arial" w:cs="Arial"/>
                <w:spacing w:val="-2"/>
              </w:rPr>
              <w:t xml:space="preserve"> </w:t>
            </w:r>
            <w:r w:rsidRPr="00F17A49">
              <w:rPr>
                <w:rFonts w:ascii="Arial" w:hAnsi="Arial" w:cs="Arial"/>
              </w:rPr>
              <w:t>the</w:t>
            </w:r>
            <w:r w:rsidRPr="00F17A49">
              <w:rPr>
                <w:rFonts w:ascii="Arial" w:hAnsi="Arial" w:cs="Arial"/>
                <w:spacing w:val="-3"/>
              </w:rPr>
              <w:t xml:space="preserve"> </w:t>
            </w:r>
            <w:r w:rsidRPr="00F17A49">
              <w:rPr>
                <w:rFonts w:ascii="Arial" w:hAnsi="Arial" w:cs="Arial"/>
              </w:rPr>
              <w:t>first</w:t>
            </w:r>
            <w:r w:rsidRPr="00F17A49">
              <w:rPr>
                <w:rFonts w:ascii="Arial" w:hAnsi="Arial" w:cs="Arial"/>
                <w:spacing w:val="-2"/>
              </w:rPr>
              <w:t xml:space="preserve"> </w:t>
            </w:r>
            <w:r w:rsidRPr="00F17A49">
              <w:rPr>
                <w:rFonts w:ascii="Arial" w:hAnsi="Arial" w:cs="Arial"/>
              </w:rPr>
              <w:t>solo</w:t>
            </w:r>
            <w:r w:rsidRPr="00F17A49">
              <w:rPr>
                <w:rFonts w:ascii="Arial" w:hAnsi="Arial" w:cs="Arial"/>
                <w:spacing w:val="-2"/>
              </w:rPr>
              <w:t xml:space="preserve"> </w:t>
            </w:r>
            <w:r w:rsidRPr="00F17A49">
              <w:rPr>
                <w:rFonts w:ascii="Arial" w:hAnsi="Arial" w:cs="Arial"/>
              </w:rPr>
              <w:t>flight</w:t>
            </w:r>
            <w:r w:rsidRPr="00F17A49">
              <w:rPr>
                <w:rFonts w:ascii="Arial" w:hAnsi="Arial" w:cs="Arial"/>
                <w:spacing w:val="-1"/>
              </w:rPr>
              <w:t xml:space="preserve"> </w:t>
            </w:r>
            <w:r w:rsidRPr="00F17A49">
              <w:rPr>
                <w:rFonts w:ascii="Arial" w:hAnsi="Arial" w:cs="Arial"/>
              </w:rPr>
              <w:t>of</w:t>
            </w:r>
            <w:r w:rsidRPr="00F17A49">
              <w:rPr>
                <w:rFonts w:ascii="Arial" w:hAnsi="Arial" w:cs="Arial"/>
                <w:spacing w:val="-4"/>
              </w:rPr>
              <w:t xml:space="preserve"> </w:t>
            </w:r>
            <w:r w:rsidRPr="00F17A49">
              <w:rPr>
                <w:rFonts w:ascii="Arial" w:hAnsi="Arial" w:cs="Arial"/>
              </w:rPr>
              <w:t>a</w:t>
            </w:r>
            <w:r w:rsidRPr="00F17A49">
              <w:rPr>
                <w:rFonts w:ascii="Arial" w:hAnsi="Arial" w:cs="Arial"/>
                <w:spacing w:val="-2"/>
              </w:rPr>
              <w:t xml:space="preserve"> </w:t>
            </w:r>
            <w:r w:rsidRPr="00F17A49">
              <w:rPr>
                <w:rFonts w:ascii="Arial" w:hAnsi="Arial" w:cs="Arial"/>
              </w:rPr>
              <w:t>BPL</w:t>
            </w:r>
            <w:r w:rsidRPr="00F17A49">
              <w:rPr>
                <w:rFonts w:ascii="Arial" w:hAnsi="Arial" w:cs="Arial"/>
                <w:spacing w:val="-2"/>
              </w:rPr>
              <w:t xml:space="preserve"> </w:t>
            </w:r>
            <w:r w:rsidRPr="00F17A49">
              <w:rPr>
                <w:rFonts w:ascii="Arial" w:hAnsi="Arial" w:cs="Arial"/>
              </w:rPr>
              <w:t>student</w:t>
            </w:r>
          </w:p>
        </w:tc>
      </w:tr>
      <w:tr w:rsidR="003C3A4F" w:rsidRPr="00F17A49" w14:paraId="4D8E497D" w14:textId="77777777" w:rsidTr="003710E2">
        <w:trPr>
          <w:gridAfter w:val="1"/>
          <w:wAfter w:w="11" w:type="dxa"/>
          <w:trHeight w:val="200"/>
        </w:trPr>
        <w:tc>
          <w:tcPr>
            <w:tcW w:w="8494" w:type="dxa"/>
            <w:gridSpan w:val="3"/>
            <w:shd w:val="clear" w:color="auto" w:fill="F2F2F2" w:themeFill="background1" w:themeFillShade="F2"/>
          </w:tcPr>
          <w:p w14:paraId="27F71932" w14:textId="29D88146" w:rsidR="003C3A4F" w:rsidRPr="00F17A49" w:rsidRDefault="003C3A4F" w:rsidP="003C3A4F">
            <w:pPr>
              <w:pStyle w:val="TableParagraph"/>
              <w:spacing w:line="223" w:lineRule="exact"/>
              <w:ind w:left="86"/>
              <w:rPr>
                <w:rFonts w:ascii="Arial" w:hAnsi="Arial" w:cs="Arial"/>
              </w:rPr>
            </w:pPr>
            <w:r w:rsidRPr="00670425">
              <w:rPr>
                <w:rFonts w:ascii="Arial" w:hAnsi="Arial" w:cs="Arial"/>
                <w:b/>
              </w:rPr>
              <w:t>SECTION</w:t>
            </w:r>
            <w:r w:rsidRPr="00670425">
              <w:rPr>
                <w:rFonts w:ascii="Arial" w:hAnsi="Arial" w:cs="Arial"/>
                <w:b/>
                <w:spacing w:val="-3"/>
              </w:rPr>
              <w:t xml:space="preserve"> </w:t>
            </w:r>
            <w:r w:rsidRPr="00670425">
              <w:rPr>
                <w:rFonts w:ascii="Arial" w:hAnsi="Arial" w:cs="Arial"/>
                <w:b/>
              </w:rPr>
              <w:t>2:</w:t>
            </w:r>
            <w:r w:rsidRPr="00670425">
              <w:rPr>
                <w:rFonts w:ascii="Arial" w:hAnsi="Arial" w:cs="Arial"/>
                <w:b/>
                <w:spacing w:val="-2"/>
              </w:rPr>
              <w:t xml:space="preserve"> </w:t>
            </w:r>
            <w:r w:rsidRPr="00670425">
              <w:rPr>
                <w:rFonts w:ascii="Arial" w:hAnsi="Arial" w:cs="Arial"/>
                <w:b/>
              </w:rPr>
              <w:t>PRE-FLIGHT</w:t>
            </w:r>
            <w:r w:rsidRPr="00670425">
              <w:rPr>
                <w:rFonts w:ascii="Arial" w:hAnsi="Arial" w:cs="Arial"/>
                <w:b/>
                <w:spacing w:val="-3"/>
              </w:rPr>
              <w:t xml:space="preserve"> </w:t>
            </w:r>
            <w:r w:rsidRPr="00670425">
              <w:rPr>
                <w:rFonts w:ascii="Arial" w:hAnsi="Arial" w:cs="Arial"/>
                <w:b/>
              </w:rPr>
              <w:t>BRIEFING</w:t>
            </w:r>
          </w:p>
        </w:tc>
      </w:tr>
      <w:tr w:rsidR="00F17A49" w:rsidRPr="00F17A49" w14:paraId="2B88368B" w14:textId="77777777" w:rsidTr="004517C0">
        <w:trPr>
          <w:trHeight w:val="202"/>
        </w:trPr>
        <w:tc>
          <w:tcPr>
            <w:tcW w:w="850" w:type="dxa"/>
            <w:gridSpan w:val="2"/>
          </w:tcPr>
          <w:p w14:paraId="5BB35100" w14:textId="77777777" w:rsidR="00F17A49" w:rsidRPr="00F17A49" w:rsidRDefault="00F17A49" w:rsidP="00F17A49">
            <w:pPr>
              <w:pStyle w:val="TableParagraph"/>
              <w:spacing w:line="225" w:lineRule="exact"/>
              <w:ind w:left="86"/>
              <w:rPr>
                <w:rFonts w:ascii="Arial" w:hAnsi="Arial" w:cs="Arial"/>
              </w:rPr>
            </w:pPr>
            <w:r w:rsidRPr="00F17A49">
              <w:rPr>
                <w:rFonts w:ascii="Arial" w:hAnsi="Arial" w:cs="Arial"/>
              </w:rPr>
              <w:lastRenderedPageBreak/>
              <w:t>2.1</w:t>
            </w:r>
          </w:p>
        </w:tc>
        <w:tc>
          <w:tcPr>
            <w:tcW w:w="7655" w:type="dxa"/>
            <w:gridSpan w:val="2"/>
          </w:tcPr>
          <w:p w14:paraId="09375A19" w14:textId="77777777" w:rsidR="00F17A49" w:rsidRPr="00F17A49" w:rsidRDefault="00F17A49" w:rsidP="00F17A49">
            <w:pPr>
              <w:pStyle w:val="TableParagraph"/>
              <w:spacing w:line="225" w:lineRule="exact"/>
              <w:rPr>
                <w:rFonts w:ascii="Arial" w:hAnsi="Arial" w:cs="Arial"/>
              </w:rPr>
            </w:pPr>
            <w:r w:rsidRPr="00F17A49">
              <w:rPr>
                <w:rFonts w:ascii="Arial" w:hAnsi="Arial" w:cs="Arial"/>
              </w:rPr>
              <w:t>Visual</w:t>
            </w:r>
            <w:r w:rsidRPr="00F17A49">
              <w:rPr>
                <w:rFonts w:ascii="Arial" w:hAnsi="Arial" w:cs="Arial"/>
                <w:spacing w:val="-5"/>
              </w:rPr>
              <w:t xml:space="preserve"> </w:t>
            </w:r>
            <w:r w:rsidRPr="00F17A49">
              <w:rPr>
                <w:rFonts w:ascii="Arial" w:hAnsi="Arial" w:cs="Arial"/>
              </w:rPr>
              <w:t>presentation</w:t>
            </w:r>
          </w:p>
        </w:tc>
      </w:tr>
      <w:tr w:rsidR="00F17A49" w:rsidRPr="00F17A49" w14:paraId="79CDDB0E" w14:textId="77777777" w:rsidTr="004517C0">
        <w:trPr>
          <w:trHeight w:val="199"/>
        </w:trPr>
        <w:tc>
          <w:tcPr>
            <w:tcW w:w="850" w:type="dxa"/>
            <w:gridSpan w:val="2"/>
          </w:tcPr>
          <w:p w14:paraId="23A13496" w14:textId="77777777" w:rsidR="00F17A49" w:rsidRPr="00F17A49" w:rsidRDefault="00F17A49" w:rsidP="00F17A49">
            <w:pPr>
              <w:pStyle w:val="TableParagraph"/>
              <w:spacing w:line="222" w:lineRule="exact"/>
              <w:ind w:left="86"/>
              <w:rPr>
                <w:rFonts w:ascii="Arial" w:hAnsi="Arial" w:cs="Arial"/>
              </w:rPr>
            </w:pPr>
            <w:r w:rsidRPr="00F17A49">
              <w:rPr>
                <w:rFonts w:ascii="Arial" w:hAnsi="Arial" w:cs="Arial"/>
              </w:rPr>
              <w:t>2.3</w:t>
            </w:r>
          </w:p>
        </w:tc>
        <w:tc>
          <w:tcPr>
            <w:tcW w:w="7655" w:type="dxa"/>
            <w:gridSpan w:val="2"/>
          </w:tcPr>
          <w:p w14:paraId="7A6B19E8" w14:textId="77777777" w:rsidR="00F17A49" w:rsidRPr="00F17A49" w:rsidRDefault="00F17A49" w:rsidP="00F17A49">
            <w:pPr>
              <w:pStyle w:val="TableParagraph"/>
              <w:spacing w:line="222" w:lineRule="exact"/>
              <w:rPr>
                <w:rFonts w:ascii="Arial" w:hAnsi="Arial" w:cs="Arial"/>
              </w:rPr>
            </w:pPr>
            <w:r w:rsidRPr="00F17A49">
              <w:rPr>
                <w:rFonts w:ascii="Arial" w:hAnsi="Arial" w:cs="Arial"/>
              </w:rPr>
              <w:t>Technical</w:t>
            </w:r>
            <w:r w:rsidRPr="00F17A49">
              <w:rPr>
                <w:rFonts w:ascii="Arial" w:hAnsi="Arial" w:cs="Arial"/>
                <w:spacing w:val="-3"/>
              </w:rPr>
              <w:t xml:space="preserve"> </w:t>
            </w:r>
            <w:r w:rsidRPr="00F17A49">
              <w:rPr>
                <w:rFonts w:ascii="Arial" w:hAnsi="Arial" w:cs="Arial"/>
              </w:rPr>
              <w:t>accuracy</w:t>
            </w:r>
          </w:p>
        </w:tc>
      </w:tr>
      <w:tr w:rsidR="00F17A49" w:rsidRPr="00F17A49" w14:paraId="5F94CF26" w14:textId="77777777" w:rsidTr="004517C0">
        <w:trPr>
          <w:trHeight w:val="202"/>
        </w:trPr>
        <w:tc>
          <w:tcPr>
            <w:tcW w:w="850" w:type="dxa"/>
            <w:gridSpan w:val="2"/>
          </w:tcPr>
          <w:p w14:paraId="69599900" w14:textId="77777777" w:rsidR="00F17A49" w:rsidRPr="00F17A49" w:rsidRDefault="00F17A49" w:rsidP="00F17A49">
            <w:pPr>
              <w:pStyle w:val="TableParagraph"/>
              <w:spacing w:line="225" w:lineRule="exact"/>
              <w:ind w:left="86"/>
              <w:rPr>
                <w:rFonts w:ascii="Arial" w:hAnsi="Arial" w:cs="Arial"/>
              </w:rPr>
            </w:pPr>
            <w:r w:rsidRPr="00F17A49">
              <w:rPr>
                <w:rFonts w:ascii="Arial" w:hAnsi="Arial" w:cs="Arial"/>
              </w:rPr>
              <w:t>2.4</w:t>
            </w:r>
          </w:p>
        </w:tc>
        <w:tc>
          <w:tcPr>
            <w:tcW w:w="7655" w:type="dxa"/>
            <w:gridSpan w:val="2"/>
          </w:tcPr>
          <w:p w14:paraId="2D4F8B03" w14:textId="77777777" w:rsidR="00F17A49" w:rsidRPr="00F17A49" w:rsidRDefault="00F17A49" w:rsidP="00F17A49">
            <w:pPr>
              <w:pStyle w:val="TableParagraph"/>
              <w:spacing w:line="225" w:lineRule="exact"/>
              <w:rPr>
                <w:rFonts w:ascii="Arial" w:hAnsi="Arial" w:cs="Arial"/>
              </w:rPr>
            </w:pPr>
            <w:r w:rsidRPr="00F17A49">
              <w:rPr>
                <w:rFonts w:ascii="Arial" w:hAnsi="Arial" w:cs="Arial"/>
              </w:rPr>
              <w:t>Clarity</w:t>
            </w:r>
            <w:r w:rsidRPr="00F17A49">
              <w:rPr>
                <w:rFonts w:ascii="Arial" w:hAnsi="Arial" w:cs="Arial"/>
                <w:spacing w:val="-3"/>
              </w:rPr>
              <w:t xml:space="preserve"> </w:t>
            </w:r>
            <w:r w:rsidRPr="00F17A49">
              <w:rPr>
                <w:rFonts w:ascii="Arial" w:hAnsi="Arial" w:cs="Arial"/>
              </w:rPr>
              <w:t>of</w:t>
            </w:r>
            <w:r w:rsidRPr="00F17A49">
              <w:rPr>
                <w:rFonts w:ascii="Arial" w:hAnsi="Arial" w:cs="Arial"/>
                <w:spacing w:val="-4"/>
              </w:rPr>
              <w:t xml:space="preserve"> </w:t>
            </w:r>
            <w:r w:rsidRPr="00F17A49">
              <w:rPr>
                <w:rFonts w:ascii="Arial" w:hAnsi="Arial" w:cs="Arial"/>
              </w:rPr>
              <w:t>explanation</w:t>
            </w:r>
          </w:p>
        </w:tc>
      </w:tr>
      <w:tr w:rsidR="00F17A49" w:rsidRPr="00F17A49" w14:paraId="3E629FF8" w14:textId="77777777" w:rsidTr="004517C0">
        <w:trPr>
          <w:trHeight w:val="200"/>
        </w:trPr>
        <w:tc>
          <w:tcPr>
            <w:tcW w:w="850" w:type="dxa"/>
            <w:gridSpan w:val="2"/>
          </w:tcPr>
          <w:p w14:paraId="6ADBD592" w14:textId="77777777" w:rsidR="00F17A49" w:rsidRPr="00F17A49" w:rsidRDefault="00F17A49" w:rsidP="00F17A49">
            <w:pPr>
              <w:pStyle w:val="TableParagraph"/>
              <w:spacing w:line="222" w:lineRule="exact"/>
              <w:ind w:left="86"/>
              <w:rPr>
                <w:rFonts w:ascii="Arial" w:hAnsi="Arial" w:cs="Arial"/>
              </w:rPr>
            </w:pPr>
            <w:r w:rsidRPr="00F17A49">
              <w:rPr>
                <w:rFonts w:ascii="Arial" w:hAnsi="Arial" w:cs="Arial"/>
              </w:rPr>
              <w:t>2.5</w:t>
            </w:r>
          </w:p>
        </w:tc>
        <w:tc>
          <w:tcPr>
            <w:tcW w:w="7655" w:type="dxa"/>
            <w:gridSpan w:val="2"/>
          </w:tcPr>
          <w:p w14:paraId="0E9D2A0B" w14:textId="77777777" w:rsidR="00F17A49" w:rsidRPr="00F17A49" w:rsidRDefault="00F17A49" w:rsidP="00F17A49">
            <w:pPr>
              <w:pStyle w:val="TableParagraph"/>
              <w:spacing w:line="222" w:lineRule="exact"/>
              <w:rPr>
                <w:rFonts w:ascii="Arial" w:hAnsi="Arial" w:cs="Arial"/>
              </w:rPr>
            </w:pPr>
            <w:r w:rsidRPr="00F17A49">
              <w:rPr>
                <w:rFonts w:ascii="Arial" w:hAnsi="Arial" w:cs="Arial"/>
              </w:rPr>
              <w:t>Clarity</w:t>
            </w:r>
            <w:r w:rsidRPr="00F17A49">
              <w:rPr>
                <w:rFonts w:ascii="Arial" w:hAnsi="Arial" w:cs="Arial"/>
                <w:spacing w:val="-3"/>
              </w:rPr>
              <w:t xml:space="preserve"> </w:t>
            </w:r>
            <w:r w:rsidRPr="00F17A49">
              <w:rPr>
                <w:rFonts w:ascii="Arial" w:hAnsi="Arial" w:cs="Arial"/>
              </w:rPr>
              <w:t>of</w:t>
            </w:r>
            <w:r w:rsidRPr="00F17A49">
              <w:rPr>
                <w:rFonts w:ascii="Arial" w:hAnsi="Arial" w:cs="Arial"/>
                <w:spacing w:val="-5"/>
              </w:rPr>
              <w:t xml:space="preserve"> </w:t>
            </w:r>
            <w:r w:rsidRPr="00F17A49">
              <w:rPr>
                <w:rFonts w:ascii="Arial" w:hAnsi="Arial" w:cs="Arial"/>
              </w:rPr>
              <w:t>speech</w:t>
            </w:r>
          </w:p>
        </w:tc>
      </w:tr>
      <w:tr w:rsidR="00F17A49" w:rsidRPr="00F17A49" w14:paraId="2E2E9921" w14:textId="77777777" w:rsidTr="004517C0">
        <w:trPr>
          <w:trHeight w:val="202"/>
        </w:trPr>
        <w:tc>
          <w:tcPr>
            <w:tcW w:w="850" w:type="dxa"/>
            <w:gridSpan w:val="2"/>
          </w:tcPr>
          <w:p w14:paraId="689FBADE" w14:textId="77777777" w:rsidR="00F17A49" w:rsidRPr="00F17A49" w:rsidRDefault="00F17A49" w:rsidP="00F17A49">
            <w:pPr>
              <w:pStyle w:val="TableParagraph"/>
              <w:spacing w:line="225" w:lineRule="exact"/>
              <w:ind w:left="86"/>
              <w:rPr>
                <w:rFonts w:ascii="Arial" w:hAnsi="Arial" w:cs="Arial"/>
              </w:rPr>
            </w:pPr>
            <w:r w:rsidRPr="00F17A49">
              <w:rPr>
                <w:rFonts w:ascii="Arial" w:hAnsi="Arial" w:cs="Arial"/>
              </w:rPr>
              <w:t>2.6</w:t>
            </w:r>
          </w:p>
        </w:tc>
        <w:tc>
          <w:tcPr>
            <w:tcW w:w="7655" w:type="dxa"/>
            <w:gridSpan w:val="2"/>
          </w:tcPr>
          <w:p w14:paraId="52D0C551" w14:textId="77777777" w:rsidR="00F17A49" w:rsidRPr="00F17A49" w:rsidRDefault="00F17A49" w:rsidP="00F17A49">
            <w:pPr>
              <w:pStyle w:val="TableParagraph"/>
              <w:spacing w:line="225" w:lineRule="exact"/>
              <w:rPr>
                <w:rFonts w:ascii="Arial" w:hAnsi="Arial" w:cs="Arial"/>
              </w:rPr>
            </w:pPr>
            <w:r w:rsidRPr="00F17A49">
              <w:rPr>
                <w:rFonts w:ascii="Arial" w:hAnsi="Arial" w:cs="Arial"/>
              </w:rPr>
              <w:t>Instructional</w:t>
            </w:r>
            <w:r w:rsidRPr="00F17A49">
              <w:rPr>
                <w:rFonts w:ascii="Arial" w:hAnsi="Arial" w:cs="Arial"/>
                <w:spacing w:val="-3"/>
              </w:rPr>
              <w:t xml:space="preserve"> </w:t>
            </w:r>
            <w:r w:rsidRPr="00F17A49">
              <w:rPr>
                <w:rFonts w:ascii="Arial" w:hAnsi="Arial" w:cs="Arial"/>
              </w:rPr>
              <w:t>technique</w:t>
            </w:r>
          </w:p>
        </w:tc>
      </w:tr>
      <w:tr w:rsidR="00F17A49" w:rsidRPr="00F17A49" w14:paraId="6C809054" w14:textId="77777777" w:rsidTr="004517C0">
        <w:trPr>
          <w:trHeight w:val="199"/>
        </w:trPr>
        <w:tc>
          <w:tcPr>
            <w:tcW w:w="850" w:type="dxa"/>
            <w:gridSpan w:val="2"/>
          </w:tcPr>
          <w:p w14:paraId="4CB5659F" w14:textId="77777777" w:rsidR="00F17A49" w:rsidRPr="00F17A49" w:rsidRDefault="00F17A49" w:rsidP="00F17A49">
            <w:pPr>
              <w:pStyle w:val="TableParagraph"/>
              <w:spacing w:line="223" w:lineRule="exact"/>
              <w:ind w:left="86"/>
              <w:rPr>
                <w:rFonts w:ascii="Arial" w:hAnsi="Arial" w:cs="Arial"/>
              </w:rPr>
            </w:pPr>
            <w:r w:rsidRPr="00F17A49">
              <w:rPr>
                <w:rFonts w:ascii="Arial" w:hAnsi="Arial" w:cs="Arial"/>
              </w:rPr>
              <w:t>2.7</w:t>
            </w:r>
          </w:p>
        </w:tc>
        <w:tc>
          <w:tcPr>
            <w:tcW w:w="7655" w:type="dxa"/>
            <w:gridSpan w:val="2"/>
          </w:tcPr>
          <w:p w14:paraId="66086E69" w14:textId="77777777" w:rsidR="00F17A49" w:rsidRPr="00F17A49" w:rsidRDefault="00F17A49" w:rsidP="00F17A49">
            <w:pPr>
              <w:pStyle w:val="TableParagraph"/>
              <w:spacing w:line="223" w:lineRule="exact"/>
              <w:rPr>
                <w:rFonts w:ascii="Arial" w:hAnsi="Arial" w:cs="Arial"/>
              </w:rPr>
            </w:pPr>
            <w:r w:rsidRPr="00F17A49">
              <w:rPr>
                <w:rFonts w:ascii="Arial" w:hAnsi="Arial" w:cs="Arial"/>
              </w:rPr>
              <w:t>Use</w:t>
            </w:r>
            <w:r w:rsidRPr="00F17A49">
              <w:rPr>
                <w:rFonts w:ascii="Arial" w:hAnsi="Arial" w:cs="Arial"/>
                <w:spacing w:val="-2"/>
              </w:rPr>
              <w:t xml:space="preserve"> </w:t>
            </w:r>
            <w:r w:rsidRPr="00F17A49">
              <w:rPr>
                <w:rFonts w:ascii="Arial" w:hAnsi="Arial" w:cs="Arial"/>
              </w:rPr>
              <w:t>of</w:t>
            </w:r>
            <w:r w:rsidRPr="00F17A49">
              <w:rPr>
                <w:rFonts w:ascii="Arial" w:hAnsi="Arial" w:cs="Arial"/>
                <w:spacing w:val="-2"/>
              </w:rPr>
              <w:t xml:space="preserve"> </w:t>
            </w:r>
            <w:r w:rsidRPr="00F17A49">
              <w:rPr>
                <w:rFonts w:ascii="Arial" w:hAnsi="Arial" w:cs="Arial"/>
              </w:rPr>
              <w:t>models</w:t>
            </w:r>
            <w:r w:rsidRPr="00F17A49">
              <w:rPr>
                <w:rFonts w:ascii="Arial" w:hAnsi="Arial" w:cs="Arial"/>
                <w:spacing w:val="-3"/>
              </w:rPr>
              <w:t xml:space="preserve"> </w:t>
            </w:r>
            <w:r w:rsidRPr="00F17A49">
              <w:rPr>
                <w:rFonts w:ascii="Arial" w:hAnsi="Arial" w:cs="Arial"/>
              </w:rPr>
              <w:t>and</w:t>
            </w:r>
            <w:r w:rsidRPr="00F17A49">
              <w:rPr>
                <w:rFonts w:ascii="Arial" w:hAnsi="Arial" w:cs="Arial"/>
                <w:spacing w:val="-1"/>
              </w:rPr>
              <w:t xml:space="preserve"> </w:t>
            </w:r>
            <w:r w:rsidRPr="00F17A49">
              <w:rPr>
                <w:rFonts w:ascii="Arial" w:hAnsi="Arial" w:cs="Arial"/>
              </w:rPr>
              <w:t>aids</w:t>
            </w:r>
          </w:p>
        </w:tc>
      </w:tr>
      <w:tr w:rsidR="00F17A49" w:rsidRPr="00F17A49" w14:paraId="520B0348" w14:textId="77777777" w:rsidTr="004517C0">
        <w:trPr>
          <w:trHeight w:val="203"/>
        </w:trPr>
        <w:tc>
          <w:tcPr>
            <w:tcW w:w="850" w:type="dxa"/>
            <w:gridSpan w:val="2"/>
          </w:tcPr>
          <w:p w14:paraId="1B2DCCB8" w14:textId="77777777" w:rsidR="00F17A49" w:rsidRPr="00F17A49" w:rsidRDefault="00F17A49" w:rsidP="00F17A49">
            <w:pPr>
              <w:pStyle w:val="TableParagraph"/>
              <w:spacing w:line="226" w:lineRule="exact"/>
              <w:ind w:left="86"/>
              <w:rPr>
                <w:rFonts w:ascii="Arial" w:hAnsi="Arial" w:cs="Arial"/>
              </w:rPr>
            </w:pPr>
            <w:r w:rsidRPr="00F17A49">
              <w:rPr>
                <w:rFonts w:ascii="Arial" w:hAnsi="Arial" w:cs="Arial"/>
              </w:rPr>
              <w:t>2.8</w:t>
            </w:r>
          </w:p>
        </w:tc>
        <w:tc>
          <w:tcPr>
            <w:tcW w:w="7655" w:type="dxa"/>
            <w:gridSpan w:val="2"/>
          </w:tcPr>
          <w:p w14:paraId="47137F64" w14:textId="77777777" w:rsidR="00F17A49" w:rsidRPr="00F17A49" w:rsidRDefault="00F17A49" w:rsidP="00F17A49">
            <w:pPr>
              <w:pStyle w:val="TableParagraph"/>
              <w:spacing w:line="226" w:lineRule="exact"/>
              <w:rPr>
                <w:rFonts w:ascii="Arial" w:hAnsi="Arial" w:cs="Arial"/>
              </w:rPr>
            </w:pPr>
            <w:r w:rsidRPr="00F17A49">
              <w:rPr>
                <w:rFonts w:ascii="Arial" w:hAnsi="Arial" w:cs="Arial"/>
              </w:rPr>
              <w:t>Student</w:t>
            </w:r>
            <w:r w:rsidRPr="00F17A49">
              <w:rPr>
                <w:rFonts w:ascii="Arial" w:hAnsi="Arial" w:cs="Arial"/>
                <w:spacing w:val="-4"/>
              </w:rPr>
              <w:t xml:space="preserve"> </w:t>
            </w:r>
            <w:r w:rsidRPr="00F17A49">
              <w:rPr>
                <w:rFonts w:ascii="Arial" w:hAnsi="Arial" w:cs="Arial"/>
              </w:rPr>
              <w:t>participation</w:t>
            </w:r>
          </w:p>
        </w:tc>
      </w:tr>
      <w:tr w:rsidR="003C3A4F" w:rsidRPr="00F17A49" w14:paraId="6D2B238E" w14:textId="77777777" w:rsidTr="003710E2">
        <w:trPr>
          <w:trHeight w:val="203"/>
        </w:trPr>
        <w:tc>
          <w:tcPr>
            <w:tcW w:w="8505" w:type="dxa"/>
            <w:gridSpan w:val="4"/>
            <w:shd w:val="clear" w:color="auto" w:fill="F2F2F2" w:themeFill="background1" w:themeFillShade="F2"/>
          </w:tcPr>
          <w:p w14:paraId="7F6F555F" w14:textId="399F1FFA" w:rsidR="003C3A4F" w:rsidRPr="00F17A49" w:rsidRDefault="003C3A4F" w:rsidP="00F17A49">
            <w:pPr>
              <w:pStyle w:val="TableParagraph"/>
              <w:spacing w:line="226" w:lineRule="exact"/>
              <w:rPr>
                <w:rFonts w:ascii="Arial" w:hAnsi="Arial" w:cs="Arial"/>
              </w:rPr>
            </w:pPr>
            <w:r w:rsidRPr="00F17A49">
              <w:rPr>
                <w:rFonts w:ascii="Arial" w:hAnsi="Arial" w:cs="Arial"/>
                <w:b/>
              </w:rPr>
              <w:t>SECTION</w:t>
            </w:r>
            <w:r w:rsidRPr="00F17A49">
              <w:rPr>
                <w:rFonts w:ascii="Arial" w:hAnsi="Arial" w:cs="Arial"/>
                <w:b/>
                <w:spacing w:val="-3"/>
              </w:rPr>
              <w:t xml:space="preserve"> </w:t>
            </w:r>
            <w:r w:rsidRPr="00F17A49">
              <w:rPr>
                <w:rFonts w:ascii="Arial" w:hAnsi="Arial" w:cs="Arial"/>
                <w:b/>
              </w:rPr>
              <w:t>3:</w:t>
            </w:r>
            <w:r w:rsidRPr="00F17A49">
              <w:rPr>
                <w:rFonts w:ascii="Arial" w:hAnsi="Arial" w:cs="Arial"/>
                <w:b/>
                <w:spacing w:val="-2"/>
              </w:rPr>
              <w:t xml:space="preserve"> </w:t>
            </w:r>
            <w:r w:rsidRPr="00F17A49">
              <w:rPr>
                <w:rFonts w:ascii="Arial" w:hAnsi="Arial" w:cs="Arial"/>
                <w:b/>
              </w:rPr>
              <w:t>FLIGHT</w:t>
            </w:r>
          </w:p>
        </w:tc>
      </w:tr>
      <w:tr w:rsidR="00F17A49" w:rsidRPr="00F17A49" w14:paraId="38A0A24C" w14:textId="77777777" w:rsidTr="004517C0">
        <w:trPr>
          <w:trHeight w:val="200"/>
        </w:trPr>
        <w:tc>
          <w:tcPr>
            <w:tcW w:w="850" w:type="dxa"/>
            <w:gridSpan w:val="2"/>
          </w:tcPr>
          <w:p w14:paraId="473B9A9E" w14:textId="77777777" w:rsidR="00F17A49" w:rsidRPr="00F17A49" w:rsidRDefault="00F17A49" w:rsidP="00F17A49">
            <w:pPr>
              <w:pStyle w:val="TableParagraph"/>
              <w:spacing w:line="223" w:lineRule="exact"/>
              <w:ind w:left="86"/>
              <w:rPr>
                <w:rFonts w:ascii="Arial" w:hAnsi="Arial" w:cs="Arial"/>
              </w:rPr>
            </w:pPr>
            <w:r w:rsidRPr="00F17A49">
              <w:rPr>
                <w:rFonts w:ascii="Arial" w:hAnsi="Arial" w:cs="Arial"/>
              </w:rPr>
              <w:t>3.1</w:t>
            </w:r>
          </w:p>
        </w:tc>
        <w:tc>
          <w:tcPr>
            <w:tcW w:w="7655" w:type="dxa"/>
            <w:gridSpan w:val="2"/>
          </w:tcPr>
          <w:p w14:paraId="54A77E2F" w14:textId="77777777" w:rsidR="00F17A49" w:rsidRPr="00F17A49" w:rsidRDefault="00F17A49" w:rsidP="00F17A49">
            <w:pPr>
              <w:pStyle w:val="TableParagraph"/>
              <w:spacing w:line="223" w:lineRule="exact"/>
              <w:rPr>
                <w:rFonts w:ascii="Arial" w:hAnsi="Arial" w:cs="Arial"/>
              </w:rPr>
            </w:pPr>
            <w:r w:rsidRPr="00F17A49">
              <w:rPr>
                <w:rFonts w:ascii="Arial" w:hAnsi="Arial" w:cs="Arial"/>
              </w:rPr>
              <w:t>Arrangement</w:t>
            </w:r>
            <w:r w:rsidRPr="00F17A49">
              <w:rPr>
                <w:rFonts w:ascii="Arial" w:hAnsi="Arial" w:cs="Arial"/>
                <w:spacing w:val="-2"/>
              </w:rPr>
              <w:t xml:space="preserve"> </w:t>
            </w:r>
            <w:r w:rsidRPr="00F17A49">
              <w:rPr>
                <w:rFonts w:ascii="Arial" w:hAnsi="Arial" w:cs="Arial"/>
              </w:rPr>
              <w:t>of</w:t>
            </w:r>
            <w:r w:rsidRPr="00F17A49">
              <w:rPr>
                <w:rFonts w:ascii="Arial" w:hAnsi="Arial" w:cs="Arial"/>
                <w:spacing w:val="-4"/>
              </w:rPr>
              <w:t xml:space="preserve"> </w:t>
            </w:r>
            <w:r w:rsidRPr="00F17A49">
              <w:rPr>
                <w:rFonts w:ascii="Arial" w:hAnsi="Arial" w:cs="Arial"/>
              </w:rPr>
              <w:t>demonstration</w:t>
            </w:r>
          </w:p>
        </w:tc>
      </w:tr>
      <w:tr w:rsidR="00F17A49" w:rsidRPr="00F17A49" w14:paraId="526D5ADA" w14:textId="77777777" w:rsidTr="004517C0">
        <w:trPr>
          <w:trHeight w:val="202"/>
        </w:trPr>
        <w:tc>
          <w:tcPr>
            <w:tcW w:w="850" w:type="dxa"/>
            <w:gridSpan w:val="2"/>
          </w:tcPr>
          <w:p w14:paraId="057F138E" w14:textId="77777777" w:rsidR="00F17A49" w:rsidRPr="00F17A49" w:rsidRDefault="00F17A49" w:rsidP="00F17A49">
            <w:pPr>
              <w:pStyle w:val="TableParagraph"/>
              <w:spacing w:line="225" w:lineRule="exact"/>
              <w:ind w:left="86"/>
              <w:rPr>
                <w:rFonts w:ascii="Arial" w:hAnsi="Arial" w:cs="Arial"/>
              </w:rPr>
            </w:pPr>
            <w:r w:rsidRPr="00F17A49">
              <w:rPr>
                <w:rFonts w:ascii="Arial" w:hAnsi="Arial" w:cs="Arial"/>
              </w:rPr>
              <w:t>3.2</w:t>
            </w:r>
          </w:p>
        </w:tc>
        <w:tc>
          <w:tcPr>
            <w:tcW w:w="7655" w:type="dxa"/>
            <w:gridSpan w:val="2"/>
          </w:tcPr>
          <w:p w14:paraId="771DEF2C" w14:textId="77777777" w:rsidR="00F17A49" w:rsidRPr="00F17A49" w:rsidRDefault="00F17A49" w:rsidP="00F17A49">
            <w:pPr>
              <w:pStyle w:val="TableParagraph"/>
              <w:spacing w:line="225" w:lineRule="exact"/>
              <w:rPr>
                <w:rFonts w:ascii="Arial" w:hAnsi="Arial" w:cs="Arial"/>
              </w:rPr>
            </w:pPr>
            <w:r w:rsidRPr="00F17A49">
              <w:rPr>
                <w:rFonts w:ascii="Arial" w:hAnsi="Arial" w:cs="Arial"/>
              </w:rPr>
              <w:t>Synchronisation</w:t>
            </w:r>
            <w:r w:rsidRPr="00F17A49">
              <w:rPr>
                <w:rFonts w:ascii="Arial" w:hAnsi="Arial" w:cs="Arial"/>
                <w:spacing w:val="-3"/>
              </w:rPr>
              <w:t xml:space="preserve"> </w:t>
            </w:r>
            <w:r w:rsidRPr="00F17A49">
              <w:rPr>
                <w:rFonts w:ascii="Arial" w:hAnsi="Arial" w:cs="Arial"/>
              </w:rPr>
              <w:t>of</w:t>
            </w:r>
            <w:r w:rsidRPr="00F17A49">
              <w:rPr>
                <w:rFonts w:ascii="Arial" w:hAnsi="Arial" w:cs="Arial"/>
                <w:spacing w:val="-6"/>
              </w:rPr>
              <w:t xml:space="preserve"> </w:t>
            </w:r>
            <w:r w:rsidRPr="00F17A49">
              <w:rPr>
                <w:rFonts w:ascii="Arial" w:hAnsi="Arial" w:cs="Arial"/>
              </w:rPr>
              <w:t>speech</w:t>
            </w:r>
            <w:r w:rsidRPr="00F17A49">
              <w:rPr>
                <w:rFonts w:ascii="Arial" w:hAnsi="Arial" w:cs="Arial"/>
                <w:spacing w:val="-3"/>
              </w:rPr>
              <w:t xml:space="preserve"> </w:t>
            </w:r>
            <w:r w:rsidRPr="00F17A49">
              <w:rPr>
                <w:rFonts w:ascii="Arial" w:hAnsi="Arial" w:cs="Arial"/>
              </w:rPr>
              <w:t>with</w:t>
            </w:r>
            <w:r w:rsidRPr="00F17A49">
              <w:rPr>
                <w:rFonts w:ascii="Arial" w:hAnsi="Arial" w:cs="Arial"/>
                <w:spacing w:val="-4"/>
              </w:rPr>
              <w:t xml:space="preserve"> </w:t>
            </w:r>
            <w:r w:rsidRPr="00F17A49">
              <w:rPr>
                <w:rFonts w:ascii="Arial" w:hAnsi="Arial" w:cs="Arial"/>
              </w:rPr>
              <w:t>demonstration</w:t>
            </w:r>
          </w:p>
        </w:tc>
      </w:tr>
      <w:tr w:rsidR="00F17A49" w:rsidRPr="00F17A49" w14:paraId="25E7F13A" w14:textId="77777777" w:rsidTr="004517C0">
        <w:trPr>
          <w:trHeight w:val="200"/>
        </w:trPr>
        <w:tc>
          <w:tcPr>
            <w:tcW w:w="850" w:type="dxa"/>
            <w:gridSpan w:val="2"/>
          </w:tcPr>
          <w:p w14:paraId="48433E61" w14:textId="77777777" w:rsidR="00F17A49" w:rsidRPr="00F17A49" w:rsidRDefault="00F17A49" w:rsidP="00F17A49">
            <w:pPr>
              <w:pStyle w:val="TableParagraph"/>
              <w:spacing w:line="223" w:lineRule="exact"/>
              <w:ind w:left="86"/>
              <w:rPr>
                <w:rFonts w:ascii="Arial" w:hAnsi="Arial" w:cs="Arial"/>
              </w:rPr>
            </w:pPr>
            <w:r w:rsidRPr="00F17A49">
              <w:rPr>
                <w:rFonts w:ascii="Arial" w:hAnsi="Arial" w:cs="Arial"/>
              </w:rPr>
              <w:t>3.3</w:t>
            </w:r>
          </w:p>
        </w:tc>
        <w:tc>
          <w:tcPr>
            <w:tcW w:w="7655" w:type="dxa"/>
            <w:gridSpan w:val="2"/>
          </w:tcPr>
          <w:p w14:paraId="56BCD944" w14:textId="77777777" w:rsidR="00F17A49" w:rsidRPr="00F17A49" w:rsidRDefault="00F17A49" w:rsidP="00F17A49">
            <w:pPr>
              <w:pStyle w:val="TableParagraph"/>
              <w:spacing w:line="223" w:lineRule="exact"/>
              <w:rPr>
                <w:rFonts w:ascii="Arial" w:hAnsi="Arial" w:cs="Arial"/>
              </w:rPr>
            </w:pPr>
            <w:r w:rsidRPr="00F17A49">
              <w:rPr>
                <w:rFonts w:ascii="Arial" w:hAnsi="Arial" w:cs="Arial"/>
              </w:rPr>
              <w:t>Correction</w:t>
            </w:r>
            <w:r w:rsidRPr="00F17A49">
              <w:rPr>
                <w:rFonts w:ascii="Arial" w:hAnsi="Arial" w:cs="Arial"/>
                <w:spacing w:val="-4"/>
              </w:rPr>
              <w:t xml:space="preserve"> </w:t>
            </w:r>
            <w:r w:rsidRPr="00F17A49">
              <w:rPr>
                <w:rFonts w:ascii="Arial" w:hAnsi="Arial" w:cs="Arial"/>
              </w:rPr>
              <w:t>of</w:t>
            </w:r>
            <w:r w:rsidRPr="00F17A49">
              <w:rPr>
                <w:rFonts w:ascii="Arial" w:hAnsi="Arial" w:cs="Arial"/>
                <w:spacing w:val="-5"/>
              </w:rPr>
              <w:t xml:space="preserve"> </w:t>
            </w:r>
            <w:r w:rsidRPr="00F17A49">
              <w:rPr>
                <w:rFonts w:ascii="Arial" w:hAnsi="Arial" w:cs="Arial"/>
              </w:rPr>
              <w:t>faults</w:t>
            </w:r>
          </w:p>
        </w:tc>
      </w:tr>
      <w:tr w:rsidR="00F17A49" w:rsidRPr="00F17A49" w14:paraId="0844212C" w14:textId="77777777" w:rsidTr="004517C0">
        <w:trPr>
          <w:trHeight w:val="202"/>
        </w:trPr>
        <w:tc>
          <w:tcPr>
            <w:tcW w:w="850" w:type="dxa"/>
            <w:gridSpan w:val="2"/>
          </w:tcPr>
          <w:p w14:paraId="4E1E0AA6" w14:textId="77777777" w:rsidR="00F17A49" w:rsidRPr="00F17A49" w:rsidRDefault="00F17A49" w:rsidP="00F17A49">
            <w:pPr>
              <w:pStyle w:val="TableParagraph"/>
              <w:spacing w:line="225" w:lineRule="exact"/>
              <w:ind w:left="86"/>
              <w:rPr>
                <w:rFonts w:ascii="Arial" w:hAnsi="Arial" w:cs="Arial"/>
              </w:rPr>
            </w:pPr>
            <w:r w:rsidRPr="00F17A49">
              <w:rPr>
                <w:rFonts w:ascii="Arial" w:hAnsi="Arial" w:cs="Arial"/>
              </w:rPr>
              <w:t>3.4</w:t>
            </w:r>
          </w:p>
        </w:tc>
        <w:tc>
          <w:tcPr>
            <w:tcW w:w="7655" w:type="dxa"/>
            <w:gridSpan w:val="2"/>
          </w:tcPr>
          <w:p w14:paraId="718B4E34" w14:textId="77777777" w:rsidR="00F17A49" w:rsidRPr="00F17A49" w:rsidRDefault="00F17A49" w:rsidP="00F17A49">
            <w:pPr>
              <w:pStyle w:val="TableParagraph"/>
              <w:spacing w:line="225" w:lineRule="exact"/>
              <w:rPr>
                <w:rFonts w:ascii="Arial" w:hAnsi="Arial" w:cs="Arial"/>
              </w:rPr>
            </w:pPr>
            <w:r w:rsidRPr="00F17A49">
              <w:rPr>
                <w:rFonts w:ascii="Arial" w:hAnsi="Arial" w:cs="Arial"/>
              </w:rPr>
              <w:t>Aircraft</w:t>
            </w:r>
            <w:r w:rsidRPr="00F17A49">
              <w:rPr>
                <w:rFonts w:ascii="Arial" w:hAnsi="Arial" w:cs="Arial"/>
                <w:spacing w:val="-3"/>
              </w:rPr>
              <w:t xml:space="preserve"> </w:t>
            </w:r>
            <w:r w:rsidRPr="00F17A49">
              <w:rPr>
                <w:rFonts w:ascii="Arial" w:hAnsi="Arial" w:cs="Arial"/>
              </w:rPr>
              <w:t>handling</w:t>
            </w:r>
          </w:p>
        </w:tc>
      </w:tr>
      <w:tr w:rsidR="00F17A49" w:rsidRPr="00F17A49" w14:paraId="2370F146" w14:textId="77777777" w:rsidTr="004517C0">
        <w:trPr>
          <w:trHeight w:val="200"/>
        </w:trPr>
        <w:tc>
          <w:tcPr>
            <w:tcW w:w="850" w:type="dxa"/>
            <w:gridSpan w:val="2"/>
          </w:tcPr>
          <w:p w14:paraId="38B94743" w14:textId="77777777" w:rsidR="00F17A49" w:rsidRPr="00F17A49" w:rsidRDefault="00F17A49" w:rsidP="00F17A49">
            <w:pPr>
              <w:pStyle w:val="TableParagraph"/>
              <w:spacing w:line="223" w:lineRule="exact"/>
              <w:ind w:left="86"/>
              <w:rPr>
                <w:rFonts w:ascii="Arial" w:hAnsi="Arial" w:cs="Arial"/>
              </w:rPr>
            </w:pPr>
            <w:r w:rsidRPr="00F17A49">
              <w:rPr>
                <w:rFonts w:ascii="Arial" w:hAnsi="Arial" w:cs="Arial"/>
              </w:rPr>
              <w:t>3.5</w:t>
            </w:r>
          </w:p>
        </w:tc>
        <w:tc>
          <w:tcPr>
            <w:tcW w:w="7655" w:type="dxa"/>
            <w:gridSpan w:val="2"/>
          </w:tcPr>
          <w:p w14:paraId="36EFAA9C" w14:textId="77777777" w:rsidR="00F17A49" w:rsidRPr="00F17A49" w:rsidRDefault="00F17A49" w:rsidP="00F17A49">
            <w:pPr>
              <w:pStyle w:val="TableParagraph"/>
              <w:spacing w:line="223" w:lineRule="exact"/>
              <w:rPr>
                <w:rFonts w:ascii="Arial" w:hAnsi="Arial" w:cs="Arial"/>
              </w:rPr>
            </w:pPr>
            <w:r w:rsidRPr="00F17A49">
              <w:rPr>
                <w:rFonts w:ascii="Arial" w:hAnsi="Arial" w:cs="Arial"/>
              </w:rPr>
              <w:t>Instructional</w:t>
            </w:r>
            <w:r w:rsidRPr="00F17A49">
              <w:rPr>
                <w:rFonts w:ascii="Arial" w:hAnsi="Arial" w:cs="Arial"/>
                <w:spacing w:val="-3"/>
              </w:rPr>
              <w:t xml:space="preserve"> </w:t>
            </w:r>
            <w:r w:rsidRPr="00F17A49">
              <w:rPr>
                <w:rFonts w:ascii="Arial" w:hAnsi="Arial" w:cs="Arial"/>
              </w:rPr>
              <w:t>technique</w:t>
            </w:r>
          </w:p>
        </w:tc>
      </w:tr>
      <w:tr w:rsidR="00F17A49" w:rsidRPr="00F17A49" w14:paraId="21EA83BF" w14:textId="77777777" w:rsidTr="004517C0">
        <w:trPr>
          <w:trHeight w:val="202"/>
        </w:trPr>
        <w:tc>
          <w:tcPr>
            <w:tcW w:w="850" w:type="dxa"/>
            <w:gridSpan w:val="2"/>
          </w:tcPr>
          <w:p w14:paraId="3EE4D2A9" w14:textId="77777777" w:rsidR="00F17A49" w:rsidRPr="00F17A49" w:rsidRDefault="00F17A49" w:rsidP="00F17A49">
            <w:pPr>
              <w:pStyle w:val="TableParagraph"/>
              <w:spacing w:line="225" w:lineRule="exact"/>
              <w:ind w:left="86"/>
              <w:rPr>
                <w:rFonts w:ascii="Arial" w:hAnsi="Arial" w:cs="Arial"/>
              </w:rPr>
            </w:pPr>
            <w:r w:rsidRPr="00F17A49">
              <w:rPr>
                <w:rFonts w:ascii="Arial" w:hAnsi="Arial" w:cs="Arial"/>
              </w:rPr>
              <w:t>3.6</w:t>
            </w:r>
          </w:p>
        </w:tc>
        <w:tc>
          <w:tcPr>
            <w:tcW w:w="7655" w:type="dxa"/>
            <w:gridSpan w:val="2"/>
          </w:tcPr>
          <w:p w14:paraId="6B727B21" w14:textId="77777777" w:rsidR="00F17A49" w:rsidRPr="00F17A49" w:rsidRDefault="00F17A49" w:rsidP="00F17A49">
            <w:pPr>
              <w:pStyle w:val="TableParagraph"/>
              <w:spacing w:line="225" w:lineRule="exact"/>
              <w:rPr>
                <w:rFonts w:ascii="Arial" w:hAnsi="Arial" w:cs="Arial"/>
              </w:rPr>
            </w:pPr>
            <w:r w:rsidRPr="00F17A49">
              <w:rPr>
                <w:rFonts w:ascii="Arial" w:hAnsi="Arial" w:cs="Arial"/>
              </w:rPr>
              <w:t>General</w:t>
            </w:r>
            <w:r w:rsidRPr="00F17A49">
              <w:rPr>
                <w:rFonts w:ascii="Arial" w:hAnsi="Arial" w:cs="Arial"/>
                <w:spacing w:val="-3"/>
              </w:rPr>
              <w:t xml:space="preserve"> </w:t>
            </w:r>
            <w:r w:rsidRPr="00F17A49">
              <w:rPr>
                <w:rFonts w:ascii="Arial" w:hAnsi="Arial" w:cs="Arial"/>
              </w:rPr>
              <w:t>airmanship</w:t>
            </w:r>
            <w:r w:rsidRPr="00F17A49">
              <w:rPr>
                <w:rFonts w:ascii="Arial" w:hAnsi="Arial" w:cs="Arial"/>
                <w:spacing w:val="-3"/>
              </w:rPr>
              <w:t xml:space="preserve"> </w:t>
            </w:r>
            <w:r w:rsidRPr="00F17A49">
              <w:rPr>
                <w:rFonts w:ascii="Arial" w:hAnsi="Arial" w:cs="Arial"/>
              </w:rPr>
              <w:t>and</w:t>
            </w:r>
            <w:r w:rsidRPr="00F17A49">
              <w:rPr>
                <w:rFonts w:ascii="Arial" w:hAnsi="Arial" w:cs="Arial"/>
                <w:spacing w:val="-3"/>
              </w:rPr>
              <w:t xml:space="preserve"> </w:t>
            </w:r>
            <w:r w:rsidRPr="00F17A49">
              <w:rPr>
                <w:rFonts w:ascii="Arial" w:hAnsi="Arial" w:cs="Arial"/>
              </w:rPr>
              <w:t>safety</w:t>
            </w:r>
          </w:p>
        </w:tc>
      </w:tr>
      <w:tr w:rsidR="00F17A49" w:rsidRPr="00F17A49" w14:paraId="41795DA7" w14:textId="77777777" w:rsidTr="004517C0">
        <w:trPr>
          <w:trHeight w:val="317"/>
        </w:trPr>
        <w:tc>
          <w:tcPr>
            <w:tcW w:w="850" w:type="dxa"/>
            <w:gridSpan w:val="2"/>
          </w:tcPr>
          <w:p w14:paraId="3CCCF973" w14:textId="77777777" w:rsidR="00F17A49" w:rsidRPr="00F17A49" w:rsidRDefault="00F17A49" w:rsidP="00F17A49">
            <w:pPr>
              <w:pStyle w:val="TableParagraph"/>
              <w:spacing w:line="224" w:lineRule="exact"/>
              <w:ind w:left="86"/>
              <w:rPr>
                <w:rFonts w:ascii="Arial" w:hAnsi="Arial" w:cs="Arial"/>
              </w:rPr>
            </w:pPr>
            <w:r w:rsidRPr="00F17A49">
              <w:rPr>
                <w:rFonts w:ascii="Arial" w:hAnsi="Arial" w:cs="Arial"/>
              </w:rPr>
              <w:t>3.7</w:t>
            </w:r>
          </w:p>
        </w:tc>
        <w:tc>
          <w:tcPr>
            <w:tcW w:w="7655" w:type="dxa"/>
            <w:gridSpan w:val="2"/>
          </w:tcPr>
          <w:p w14:paraId="1E8A7A0F" w14:textId="77777777" w:rsidR="00F17A49" w:rsidRPr="00F17A49" w:rsidRDefault="00F17A49" w:rsidP="00F17A49">
            <w:pPr>
              <w:pStyle w:val="TableParagraph"/>
              <w:spacing w:line="224" w:lineRule="exact"/>
              <w:rPr>
                <w:rFonts w:ascii="Arial" w:hAnsi="Arial" w:cs="Arial"/>
              </w:rPr>
            </w:pPr>
            <w:r w:rsidRPr="00F17A49">
              <w:rPr>
                <w:rFonts w:ascii="Arial" w:hAnsi="Arial" w:cs="Arial"/>
              </w:rPr>
              <w:t>Positioning</w:t>
            </w:r>
            <w:r w:rsidRPr="00F17A49">
              <w:rPr>
                <w:rFonts w:ascii="Arial" w:hAnsi="Arial" w:cs="Arial"/>
                <w:spacing w:val="-4"/>
              </w:rPr>
              <w:t xml:space="preserve"> </w:t>
            </w:r>
            <w:r w:rsidRPr="00F17A49">
              <w:rPr>
                <w:rFonts w:ascii="Arial" w:hAnsi="Arial" w:cs="Arial"/>
              </w:rPr>
              <w:t>and</w:t>
            </w:r>
            <w:r w:rsidRPr="00F17A49">
              <w:rPr>
                <w:rFonts w:ascii="Arial" w:hAnsi="Arial" w:cs="Arial"/>
                <w:spacing w:val="-2"/>
              </w:rPr>
              <w:t xml:space="preserve"> </w:t>
            </w:r>
            <w:r w:rsidRPr="00F17A49">
              <w:rPr>
                <w:rFonts w:ascii="Arial" w:hAnsi="Arial" w:cs="Arial"/>
              </w:rPr>
              <w:t>use</w:t>
            </w:r>
            <w:r w:rsidRPr="00F17A49">
              <w:rPr>
                <w:rFonts w:ascii="Arial" w:hAnsi="Arial" w:cs="Arial"/>
                <w:spacing w:val="-3"/>
              </w:rPr>
              <w:t xml:space="preserve"> </w:t>
            </w:r>
            <w:r w:rsidRPr="00F17A49">
              <w:rPr>
                <w:rFonts w:ascii="Arial" w:hAnsi="Arial" w:cs="Arial"/>
              </w:rPr>
              <w:t>of</w:t>
            </w:r>
            <w:r w:rsidRPr="00F17A49">
              <w:rPr>
                <w:rFonts w:ascii="Arial" w:hAnsi="Arial" w:cs="Arial"/>
                <w:spacing w:val="-4"/>
              </w:rPr>
              <w:t xml:space="preserve"> </w:t>
            </w:r>
            <w:r w:rsidRPr="00F17A49">
              <w:rPr>
                <w:rFonts w:ascii="Arial" w:hAnsi="Arial" w:cs="Arial"/>
              </w:rPr>
              <w:t>airspace</w:t>
            </w:r>
          </w:p>
        </w:tc>
      </w:tr>
      <w:tr w:rsidR="003710E2" w:rsidRPr="00F17A49" w14:paraId="7DC9889E" w14:textId="77777777" w:rsidTr="00CB779B">
        <w:trPr>
          <w:trHeight w:val="317"/>
        </w:trPr>
        <w:tc>
          <w:tcPr>
            <w:tcW w:w="8505" w:type="dxa"/>
            <w:gridSpan w:val="4"/>
            <w:shd w:val="clear" w:color="auto" w:fill="F2F2F2" w:themeFill="background1" w:themeFillShade="F2"/>
          </w:tcPr>
          <w:p w14:paraId="354045FB" w14:textId="6F2A16DB" w:rsidR="003710E2" w:rsidRPr="00F17A49" w:rsidRDefault="003710E2" w:rsidP="00F17A49">
            <w:pPr>
              <w:pStyle w:val="TableParagraph"/>
              <w:spacing w:line="224" w:lineRule="exact"/>
              <w:rPr>
                <w:rFonts w:ascii="Arial" w:hAnsi="Arial" w:cs="Arial"/>
              </w:rPr>
            </w:pPr>
            <w:r w:rsidRPr="00F17A49">
              <w:rPr>
                <w:rFonts w:ascii="Arial" w:hAnsi="Arial" w:cs="Arial"/>
                <w:b/>
              </w:rPr>
              <w:t>SECTION</w:t>
            </w:r>
            <w:r w:rsidRPr="00F17A49">
              <w:rPr>
                <w:rFonts w:ascii="Arial" w:hAnsi="Arial" w:cs="Arial"/>
                <w:b/>
                <w:spacing w:val="-4"/>
              </w:rPr>
              <w:t xml:space="preserve"> </w:t>
            </w:r>
            <w:r w:rsidRPr="00F17A49">
              <w:rPr>
                <w:rFonts w:ascii="Arial" w:hAnsi="Arial" w:cs="Arial"/>
                <w:b/>
              </w:rPr>
              <w:t>4:</w:t>
            </w:r>
            <w:r w:rsidRPr="00F17A49">
              <w:rPr>
                <w:rFonts w:ascii="Arial" w:hAnsi="Arial" w:cs="Arial"/>
                <w:b/>
                <w:spacing w:val="-4"/>
              </w:rPr>
              <w:t xml:space="preserve"> </w:t>
            </w:r>
            <w:r w:rsidRPr="00F17A49">
              <w:rPr>
                <w:rFonts w:ascii="Arial" w:hAnsi="Arial" w:cs="Arial"/>
                <w:b/>
              </w:rPr>
              <w:t>POST-FLIGHT</w:t>
            </w:r>
            <w:r w:rsidRPr="00F17A49">
              <w:rPr>
                <w:rFonts w:ascii="Arial" w:hAnsi="Arial" w:cs="Arial"/>
                <w:b/>
                <w:spacing w:val="-2"/>
              </w:rPr>
              <w:t xml:space="preserve"> </w:t>
            </w:r>
            <w:r w:rsidRPr="00F17A49">
              <w:rPr>
                <w:rFonts w:ascii="Arial" w:hAnsi="Arial" w:cs="Arial"/>
                <w:b/>
              </w:rPr>
              <w:t>DE-BRIEFING</w:t>
            </w:r>
          </w:p>
        </w:tc>
      </w:tr>
      <w:tr w:rsidR="00980219" w:rsidRPr="00F17A49" w14:paraId="258E6138" w14:textId="77777777" w:rsidTr="004517C0">
        <w:trPr>
          <w:trHeight w:val="317"/>
        </w:trPr>
        <w:tc>
          <w:tcPr>
            <w:tcW w:w="850" w:type="dxa"/>
            <w:gridSpan w:val="2"/>
          </w:tcPr>
          <w:p w14:paraId="0F278D3B" w14:textId="1130C929" w:rsidR="00980219" w:rsidRPr="00F17A49" w:rsidRDefault="004517C0" w:rsidP="004517C0">
            <w:pPr>
              <w:pStyle w:val="TableParagraph"/>
              <w:spacing w:line="224" w:lineRule="exact"/>
              <w:ind w:left="0"/>
              <w:rPr>
                <w:rFonts w:ascii="Arial" w:hAnsi="Arial" w:cs="Arial"/>
                <w:b/>
              </w:rPr>
            </w:pPr>
            <w:r>
              <w:rPr>
                <w:rFonts w:ascii="Arial" w:hAnsi="Arial" w:cs="Arial"/>
              </w:rPr>
              <w:t xml:space="preserve">  </w:t>
            </w:r>
            <w:r w:rsidR="00980219" w:rsidRPr="00F17A49">
              <w:rPr>
                <w:rFonts w:ascii="Arial" w:hAnsi="Arial" w:cs="Arial"/>
              </w:rPr>
              <w:t>4.1</w:t>
            </w:r>
          </w:p>
        </w:tc>
        <w:tc>
          <w:tcPr>
            <w:tcW w:w="7655" w:type="dxa"/>
            <w:gridSpan w:val="2"/>
          </w:tcPr>
          <w:p w14:paraId="5229B840" w14:textId="782CB26E" w:rsidR="00980219" w:rsidRPr="00F17A49" w:rsidRDefault="00980219" w:rsidP="00980219">
            <w:pPr>
              <w:pStyle w:val="TableParagraph"/>
              <w:spacing w:line="224" w:lineRule="exact"/>
              <w:rPr>
                <w:rFonts w:ascii="Arial" w:hAnsi="Arial" w:cs="Arial"/>
                <w:b/>
              </w:rPr>
            </w:pPr>
            <w:r w:rsidRPr="00F17A49">
              <w:rPr>
                <w:rFonts w:ascii="Arial" w:hAnsi="Arial" w:cs="Arial"/>
              </w:rPr>
              <w:t>Visual</w:t>
            </w:r>
            <w:r w:rsidRPr="00F17A49">
              <w:rPr>
                <w:rFonts w:ascii="Arial" w:hAnsi="Arial" w:cs="Arial"/>
                <w:spacing w:val="-5"/>
              </w:rPr>
              <w:t xml:space="preserve"> </w:t>
            </w:r>
            <w:r w:rsidRPr="00F17A49">
              <w:rPr>
                <w:rFonts w:ascii="Arial" w:hAnsi="Arial" w:cs="Arial"/>
              </w:rPr>
              <w:t>presentation</w:t>
            </w:r>
          </w:p>
        </w:tc>
      </w:tr>
      <w:tr w:rsidR="004517C0" w:rsidRPr="00F17A49" w14:paraId="50A46FDC" w14:textId="77777777" w:rsidTr="004517C0">
        <w:trPr>
          <w:trHeight w:val="317"/>
        </w:trPr>
        <w:tc>
          <w:tcPr>
            <w:tcW w:w="850" w:type="dxa"/>
            <w:gridSpan w:val="2"/>
          </w:tcPr>
          <w:p w14:paraId="01443D74" w14:textId="39CFDF00" w:rsidR="004517C0" w:rsidRPr="00F17A49" w:rsidRDefault="004517C0" w:rsidP="004517C0">
            <w:pPr>
              <w:pStyle w:val="TableParagraph"/>
              <w:spacing w:line="224" w:lineRule="exact"/>
              <w:ind w:left="0"/>
              <w:rPr>
                <w:rFonts w:ascii="Arial" w:hAnsi="Arial" w:cs="Arial"/>
              </w:rPr>
            </w:pPr>
            <w:r>
              <w:rPr>
                <w:rFonts w:ascii="Arial" w:hAnsi="Arial" w:cs="Arial"/>
              </w:rPr>
              <w:t xml:space="preserve">  </w:t>
            </w:r>
            <w:r w:rsidRPr="00F17A49">
              <w:rPr>
                <w:rFonts w:ascii="Arial" w:hAnsi="Arial" w:cs="Arial"/>
              </w:rPr>
              <w:t>4.2</w:t>
            </w:r>
          </w:p>
        </w:tc>
        <w:tc>
          <w:tcPr>
            <w:tcW w:w="7655" w:type="dxa"/>
            <w:gridSpan w:val="2"/>
          </w:tcPr>
          <w:p w14:paraId="31F64AE8" w14:textId="5963A2A3" w:rsidR="004517C0" w:rsidRPr="00F17A49" w:rsidRDefault="004517C0" w:rsidP="004517C0">
            <w:pPr>
              <w:pStyle w:val="TableParagraph"/>
              <w:spacing w:line="224" w:lineRule="exact"/>
              <w:rPr>
                <w:rFonts w:ascii="Arial" w:hAnsi="Arial" w:cs="Arial"/>
              </w:rPr>
            </w:pPr>
            <w:r w:rsidRPr="00F17A49">
              <w:rPr>
                <w:rFonts w:ascii="Arial" w:hAnsi="Arial" w:cs="Arial"/>
              </w:rPr>
              <w:t>Technical</w:t>
            </w:r>
            <w:r w:rsidRPr="00F17A49">
              <w:rPr>
                <w:rFonts w:ascii="Arial" w:hAnsi="Arial" w:cs="Arial"/>
                <w:spacing w:val="-3"/>
              </w:rPr>
              <w:t xml:space="preserve"> </w:t>
            </w:r>
            <w:r w:rsidRPr="00F17A49">
              <w:rPr>
                <w:rFonts w:ascii="Arial" w:hAnsi="Arial" w:cs="Arial"/>
              </w:rPr>
              <w:t>accuracy</w:t>
            </w:r>
          </w:p>
        </w:tc>
      </w:tr>
      <w:tr w:rsidR="004517C0" w:rsidRPr="00F17A49" w14:paraId="0B96A4F7" w14:textId="77777777" w:rsidTr="004517C0">
        <w:trPr>
          <w:trHeight w:val="317"/>
        </w:trPr>
        <w:tc>
          <w:tcPr>
            <w:tcW w:w="850" w:type="dxa"/>
            <w:gridSpan w:val="2"/>
          </w:tcPr>
          <w:p w14:paraId="1A2D9CB7" w14:textId="13545C60" w:rsidR="004517C0" w:rsidRPr="00F17A49" w:rsidRDefault="004517C0" w:rsidP="004517C0">
            <w:pPr>
              <w:pStyle w:val="TableParagraph"/>
              <w:spacing w:line="224" w:lineRule="exact"/>
              <w:ind w:left="0"/>
              <w:rPr>
                <w:rFonts w:ascii="Arial" w:hAnsi="Arial" w:cs="Arial"/>
              </w:rPr>
            </w:pPr>
            <w:r>
              <w:rPr>
                <w:rFonts w:ascii="Arial" w:hAnsi="Arial" w:cs="Arial"/>
              </w:rPr>
              <w:t xml:space="preserve">  </w:t>
            </w:r>
            <w:r w:rsidRPr="00F17A49">
              <w:rPr>
                <w:rFonts w:ascii="Arial" w:hAnsi="Arial" w:cs="Arial"/>
              </w:rPr>
              <w:t>4.3</w:t>
            </w:r>
          </w:p>
        </w:tc>
        <w:tc>
          <w:tcPr>
            <w:tcW w:w="7655" w:type="dxa"/>
            <w:gridSpan w:val="2"/>
          </w:tcPr>
          <w:p w14:paraId="62E1CD87" w14:textId="751B7968" w:rsidR="004517C0" w:rsidRPr="00F17A49" w:rsidRDefault="004517C0" w:rsidP="004517C0">
            <w:pPr>
              <w:pStyle w:val="TableParagraph"/>
              <w:spacing w:line="224" w:lineRule="exact"/>
              <w:rPr>
                <w:rFonts w:ascii="Arial" w:hAnsi="Arial" w:cs="Arial"/>
              </w:rPr>
            </w:pPr>
            <w:r w:rsidRPr="00F17A49">
              <w:rPr>
                <w:rFonts w:ascii="Arial" w:hAnsi="Arial" w:cs="Arial"/>
              </w:rPr>
              <w:t>Clarity</w:t>
            </w:r>
            <w:r w:rsidRPr="00F17A49">
              <w:rPr>
                <w:rFonts w:ascii="Arial" w:hAnsi="Arial" w:cs="Arial"/>
                <w:spacing w:val="-3"/>
              </w:rPr>
              <w:t xml:space="preserve"> </w:t>
            </w:r>
            <w:r w:rsidRPr="00F17A49">
              <w:rPr>
                <w:rFonts w:ascii="Arial" w:hAnsi="Arial" w:cs="Arial"/>
              </w:rPr>
              <w:t>of</w:t>
            </w:r>
            <w:r w:rsidRPr="00F17A49">
              <w:rPr>
                <w:rFonts w:ascii="Arial" w:hAnsi="Arial" w:cs="Arial"/>
                <w:spacing w:val="-4"/>
              </w:rPr>
              <w:t xml:space="preserve"> </w:t>
            </w:r>
            <w:r w:rsidRPr="00F17A49">
              <w:rPr>
                <w:rFonts w:ascii="Arial" w:hAnsi="Arial" w:cs="Arial"/>
              </w:rPr>
              <w:t>explanation</w:t>
            </w:r>
          </w:p>
        </w:tc>
      </w:tr>
      <w:tr w:rsidR="00CB779B" w:rsidRPr="00F17A49" w14:paraId="2722D8BC" w14:textId="77777777" w:rsidTr="004517C0">
        <w:trPr>
          <w:trHeight w:val="317"/>
        </w:trPr>
        <w:tc>
          <w:tcPr>
            <w:tcW w:w="850" w:type="dxa"/>
            <w:gridSpan w:val="2"/>
          </w:tcPr>
          <w:p w14:paraId="0B489D4D" w14:textId="23F625E3" w:rsidR="00CB779B" w:rsidRDefault="00CB779B" w:rsidP="00CB779B">
            <w:pPr>
              <w:pStyle w:val="TableParagraph"/>
              <w:spacing w:line="224" w:lineRule="exact"/>
              <w:ind w:left="0"/>
              <w:rPr>
                <w:rFonts w:ascii="Arial" w:hAnsi="Arial" w:cs="Arial"/>
              </w:rPr>
            </w:pPr>
            <w:r>
              <w:rPr>
                <w:rFonts w:ascii="Arial" w:hAnsi="Arial" w:cs="Arial"/>
              </w:rPr>
              <w:t xml:space="preserve">  </w:t>
            </w:r>
            <w:r w:rsidRPr="00F17A49">
              <w:rPr>
                <w:rFonts w:ascii="Arial" w:hAnsi="Arial" w:cs="Arial"/>
              </w:rPr>
              <w:t>4.4</w:t>
            </w:r>
          </w:p>
        </w:tc>
        <w:tc>
          <w:tcPr>
            <w:tcW w:w="7655" w:type="dxa"/>
            <w:gridSpan w:val="2"/>
          </w:tcPr>
          <w:p w14:paraId="7BC74805" w14:textId="1105DF34" w:rsidR="00CB779B" w:rsidRPr="00F17A49" w:rsidRDefault="00CB779B" w:rsidP="00CB779B">
            <w:pPr>
              <w:pStyle w:val="TableParagraph"/>
              <w:spacing w:line="224" w:lineRule="exact"/>
              <w:rPr>
                <w:rFonts w:ascii="Arial" w:hAnsi="Arial" w:cs="Arial"/>
              </w:rPr>
            </w:pPr>
            <w:r w:rsidRPr="00F17A49">
              <w:rPr>
                <w:rFonts w:ascii="Arial" w:hAnsi="Arial" w:cs="Arial"/>
              </w:rPr>
              <w:t>Clarity</w:t>
            </w:r>
            <w:r w:rsidRPr="00F17A49">
              <w:rPr>
                <w:rFonts w:ascii="Arial" w:hAnsi="Arial" w:cs="Arial"/>
                <w:spacing w:val="-3"/>
              </w:rPr>
              <w:t xml:space="preserve"> </w:t>
            </w:r>
            <w:r w:rsidRPr="00F17A49">
              <w:rPr>
                <w:rFonts w:ascii="Arial" w:hAnsi="Arial" w:cs="Arial"/>
              </w:rPr>
              <w:t>of</w:t>
            </w:r>
            <w:r w:rsidRPr="00F17A49">
              <w:rPr>
                <w:rFonts w:ascii="Arial" w:hAnsi="Arial" w:cs="Arial"/>
                <w:spacing w:val="-5"/>
              </w:rPr>
              <w:t xml:space="preserve"> </w:t>
            </w:r>
            <w:r w:rsidRPr="00F17A49">
              <w:rPr>
                <w:rFonts w:ascii="Arial" w:hAnsi="Arial" w:cs="Arial"/>
              </w:rPr>
              <w:t>speech</w:t>
            </w:r>
          </w:p>
        </w:tc>
      </w:tr>
      <w:tr w:rsidR="00CB779B" w:rsidRPr="00F17A49" w14:paraId="4AC68D95" w14:textId="77777777" w:rsidTr="004517C0">
        <w:trPr>
          <w:trHeight w:val="317"/>
        </w:trPr>
        <w:tc>
          <w:tcPr>
            <w:tcW w:w="850" w:type="dxa"/>
            <w:gridSpan w:val="2"/>
          </w:tcPr>
          <w:p w14:paraId="3A14984E" w14:textId="7AFE762F" w:rsidR="00CB779B" w:rsidRPr="00F17A49" w:rsidRDefault="00CB779B" w:rsidP="00CB779B">
            <w:pPr>
              <w:pStyle w:val="TableParagraph"/>
              <w:spacing w:line="224" w:lineRule="exact"/>
              <w:ind w:left="0"/>
              <w:rPr>
                <w:rFonts w:ascii="Arial" w:hAnsi="Arial" w:cs="Arial"/>
              </w:rPr>
            </w:pPr>
            <w:r>
              <w:rPr>
                <w:rFonts w:ascii="Arial" w:hAnsi="Arial" w:cs="Arial"/>
              </w:rPr>
              <w:t xml:space="preserve">  </w:t>
            </w:r>
            <w:r w:rsidRPr="00F17A49">
              <w:rPr>
                <w:rFonts w:ascii="Arial" w:hAnsi="Arial" w:cs="Arial"/>
              </w:rPr>
              <w:t>4.5</w:t>
            </w:r>
          </w:p>
        </w:tc>
        <w:tc>
          <w:tcPr>
            <w:tcW w:w="7655" w:type="dxa"/>
            <w:gridSpan w:val="2"/>
          </w:tcPr>
          <w:p w14:paraId="4323AD92" w14:textId="4E33509B" w:rsidR="00CB779B" w:rsidRPr="00F17A49" w:rsidRDefault="00CB779B" w:rsidP="00CB779B">
            <w:pPr>
              <w:pStyle w:val="TableParagraph"/>
              <w:spacing w:line="224" w:lineRule="exact"/>
              <w:rPr>
                <w:rFonts w:ascii="Arial" w:hAnsi="Arial" w:cs="Arial"/>
              </w:rPr>
            </w:pPr>
            <w:r w:rsidRPr="00F17A49">
              <w:rPr>
                <w:rFonts w:ascii="Arial" w:hAnsi="Arial" w:cs="Arial"/>
              </w:rPr>
              <w:t>Instructional</w:t>
            </w:r>
            <w:r w:rsidRPr="00F17A49">
              <w:rPr>
                <w:rFonts w:ascii="Arial" w:hAnsi="Arial" w:cs="Arial"/>
                <w:spacing w:val="-3"/>
              </w:rPr>
              <w:t xml:space="preserve"> </w:t>
            </w:r>
            <w:r w:rsidRPr="00F17A49">
              <w:rPr>
                <w:rFonts w:ascii="Arial" w:hAnsi="Arial" w:cs="Arial"/>
              </w:rPr>
              <w:t>technique</w:t>
            </w:r>
          </w:p>
        </w:tc>
      </w:tr>
      <w:tr w:rsidR="00CB779B" w:rsidRPr="00F17A49" w14:paraId="77A6C7EC" w14:textId="77777777" w:rsidTr="004517C0">
        <w:trPr>
          <w:trHeight w:val="317"/>
        </w:trPr>
        <w:tc>
          <w:tcPr>
            <w:tcW w:w="850" w:type="dxa"/>
            <w:gridSpan w:val="2"/>
          </w:tcPr>
          <w:p w14:paraId="58AE365D" w14:textId="64A7D201" w:rsidR="00CB779B" w:rsidRPr="00F17A49" w:rsidRDefault="00CB779B" w:rsidP="00CB779B">
            <w:pPr>
              <w:pStyle w:val="TableParagraph"/>
              <w:spacing w:line="224" w:lineRule="exact"/>
              <w:ind w:left="0"/>
              <w:rPr>
                <w:rFonts w:ascii="Arial" w:hAnsi="Arial" w:cs="Arial"/>
              </w:rPr>
            </w:pPr>
            <w:r>
              <w:rPr>
                <w:rFonts w:ascii="Arial" w:hAnsi="Arial" w:cs="Arial"/>
              </w:rPr>
              <w:t xml:space="preserve">  </w:t>
            </w:r>
            <w:r w:rsidRPr="00F17A49">
              <w:rPr>
                <w:rFonts w:ascii="Arial" w:hAnsi="Arial" w:cs="Arial"/>
              </w:rPr>
              <w:t>4.6</w:t>
            </w:r>
          </w:p>
        </w:tc>
        <w:tc>
          <w:tcPr>
            <w:tcW w:w="7655" w:type="dxa"/>
            <w:gridSpan w:val="2"/>
          </w:tcPr>
          <w:p w14:paraId="2E68703E" w14:textId="0885BBB1" w:rsidR="00CB779B" w:rsidRPr="00F17A49" w:rsidRDefault="00CB779B" w:rsidP="00CB779B">
            <w:pPr>
              <w:pStyle w:val="TableParagraph"/>
              <w:spacing w:line="224" w:lineRule="exact"/>
              <w:rPr>
                <w:rFonts w:ascii="Arial" w:hAnsi="Arial" w:cs="Arial"/>
              </w:rPr>
            </w:pPr>
            <w:r w:rsidRPr="00F17A49">
              <w:rPr>
                <w:rFonts w:ascii="Arial" w:hAnsi="Arial" w:cs="Arial"/>
              </w:rPr>
              <w:t>Use</w:t>
            </w:r>
            <w:r w:rsidRPr="00F17A49">
              <w:rPr>
                <w:rFonts w:ascii="Arial" w:hAnsi="Arial" w:cs="Arial"/>
                <w:spacing w:val="-2"/>
              </w:rPr>
              <w:t xml:space="preserve"> </w:t>
            </w:r>
            <w:r w:rsidRPr="00F17A49">
              <w:rPr>
                <w:rFonts w:ascii="Arial" w:hAnsi="Arial" w:cs="Arial"/>
              </w:rPr>
              <w:t>of</w:t>
            </w:r>
            <w:r w:rsidRPr="00F17A49">
              <w:rPr>
                <w:rFonts w:ascii="Arial" w:hAnsi="Arial" w:cs="Arial"/>
                <w:spacing w:val="-2"/>
              </w:rPr>
              <w:t xml:space="preserve"> </w:t>
            </w:r>
            <w:r w:rsidRPr="00F17A49">
              <w:rPr>
                <w:rFonts w:ascii="Arial" w:hAnsi="Arial" w:cs="Arial"/>
              </w:rPr>
              <w:t>models</w:t>
            </w:r>
            <w:r w:rsidRPr="00F17A49">
              <w:rPr>
                <w:rFonts w:ascii="Arial" w:hAnsi="Arial" w:cs="Arial"/>
                <w:spacing w:val="-3"/>
              </w:rPr>
              <w:t xml:space="preserve"> </w:t>
            </w:r>
            <w:r w:rsidRPr="00F17A49">
              <w:rPr>
                <w:rFonts w:ascii="Arial" w:hAnsi="Arial" w:cs="Arial"/>
              </w:rPr>
              <w:t>and</w:t>
            </w:r>
            <w:r w:rsidRPr="00F17A49">
              <w:rPr>
                <w:rFonts w:ascii="Arial" w:hAnsi="Arial" w:cs="Arial"/>
                <w:spacing w:val="-1"/>
              </w:rPr>
              <w:t xml:space="preserve"> </w:t>
            </w:r>
            <w:r w:rsidRPr="00F17A49">
              <w:rPr>
                <w:rFonts w:ascii="Arial" w:hAnsi="Arial" w:cs="Arial"/>
              </w:rPr>
              <w:t>aids</w:t>
            </w:r>
          </w:p>
        </w:tc>
      </w:tr>
      <w:tr w:rsidR="00CB779B" w:rsidRPr="00F17A49" w14:paraId="2C960C92" w14:textId="77777777" w:rsidTr="004517C0">
        <w:trPr>
          <w:trHeight w:val="317"/>
        </w:trPr>
        <w:tc>
          <w:tcPr>
            <w:tcW w:w="850" w:type="dxa"/>
            <w:gridSpan w:val="2"/>
          </w:tcPr>
          <w:p w14:paraId="404F5004" w14:textId="79115942" w:rsidR="00CB779B" w:rsidRPr="00F17A49" w:rsidRDefault="00CB779B" w:rsidP="00CB779B">
            <w:pPr>
              <w:pStyle w:val="TableParagraph"/>
              <w:spacing w:line="224" w:lineRule="exact"/>
              <w:ind w:left="0"/>
              <w:rPr>
                <w:rFonts w:ascii="Arial" w:hAnsi="Arial" w:cs="Arial"/>
              </w:rPr>
            </w:pPr>
            <w:r>
              <w:rPr>
                <w:rFonts w:ascii="Arial" w:hAnsi="Arial" w:cs="Arial"/>
              </w:rPr>
              <w:t xml:space="preserve">  </w:t>
            </w:r>
            <w:r w:rsidRPr="00F17A49">
              <w:rPr>
                <w:rFonts w:ascii="Arial" w:hAnsi="Arial" w:cs="Arial"/>
              </w:rPr>
              <w:t>4.7</w:t>
            </w:r>
          </w:p>
        </w:tc>
        <w:tc>
          <w:tcPr>
            <w:tcW w:w="7655" w:type="dxa"/>
            <w:gridSpan w:val="2"/>
          </w:tcPr>
          <w:p w14:paraId="3DBD91FB" w14:textId="06863C3B" w:rsidR="00CB779B" w:rsidRPr="00F17A49" w:rsidRDefault="00CB779B" w:rsidP="00CB779B">
            <w:pPr>
              <w:pStyle w:val="TableParagraph"/>
              <w:spacing w:line="224" w:lineRule="exact"/>
              <w:rPr>
                <w:rFonts w:ascii="Arial" w:hAnsi="Arial" w:cs="Arial"/>
              </w:rPr>
            </w:pPr>
            <w:r w:rsidRPr="00F17A49">
              <w:rPr>
                <w:rFonts w:ascii="Arial" w:hAnsi="Arial" w:cs="Arial"/>
              </w:rPr>
              <w:t>Student</w:t>
            </w:r>
            <w:r w:rsidRPr="00F17A49">
              <w:rPr>
                <w:rFonts w:ascii="Arial" w:hAnsi="Arial" w:cs="Arial"/>
                <w:spacing w:val="-4"/>
              </w:rPr>
              <w:t xml:space="preserve"> </w:t>
            </w:r>
            <w:r w:rsidRPr="00F17A49">
              <w:rPr>
                <w:rFonts w:ascii="Arial" w:hAnsi="Arial" w:cs="Arial"/>
              </w:rPr>
              <w:t>participation</w:t>
            </w:r>
          </w:p>
        </w:tc>
      </w:tr>
    </w:tbl>
    <w:p w14:paraId="680A9F17" w14:textId="77777777" w:rsidR="00F17A49" w:rsidRDefault="00F17A49" w:rsidP="00F17A49">
      <w:pPr>
        <w:tabs>
          <w:tab w:val="left" w:pos="90"/>
          <w:tab w:val="left" w:pos="2975"/>
          <w:tab w:val="left" w:pos="2976"/>
        </w:tabs>
        <w:spacing w:before="118"/>
        <w:ind w:left="706"/>
        <w:jc w:val="both"/>
        <w:rPr>
          <w:rFonts w:ascii="Arial" w:hAnsi="Arial" w:cs="Arial"/>
          <w:sz w:val="20"/>
        </w:rPr>
      </w:pPr>
    </w:p>
    <w:p w14:paraId="2B2E50F5" w14:textId="77777777" w:rsidR="00F17A49" w:rsidRPr="00F17A49" w:rsidRDefault="00F17A49" w:rsidP="00887C6A">
      <w:pPr>
        <w:numPr>
          <w:ilvl w:val="0"/>
          <w:numId w:val="263"/>
        </w:numPr>
        <w:tabs>
          <w:tab w:val="left" w:pos="90"/>
          <w:tab w:val="left" w:pos="2975"/>
          <w:tab w:val="left" w:pos="2976"/>
        </w:tabs>
        <w:spacing w:before="118" w:line="276" w:lineRule="auto"/>
        <w:jc w:val="both"/>
        <w:rPr>
          <w:rFonts w:ascii="Arial" w:hAnsi="Arial" w:cs="Arial"/>
          <w:sz w:val="20"/>
        </w:rPr>
      </w:pPr>
      <w:r w:rsidRPr="00F17A49">
        <w:rPr>
          <w:rFonts w:ascii="Arial" w:hAnsi="Arial" w:cs="Arial"/>
          <w:sz w:val="20"/>
        </w:rPr>
        <w:t>Section 1, the oral theoretical knowledge examination part of the assessment of competence, is divided into two parts:</w:t>
      </w:r>
    </w:p>
    <w:p w14:paraId="2AE4A078" w14:textId="77777777" w:rsidR="00F17A49" w:rsidRPr="00F17A49" w:rsidRDefault="00F17A49" w:rsidP="00887C6A">
      <w:pPr>
        <w:numPr>
          <w:ilvl w:val="1"/>
          <w:numId w:val="264"/>
        </w:numPr>
        <w:tabs>
          <w:tab w:val="left" w:pos="90"/>
          <w:tab w:val="left" w:pos="2975"/>
          <w:tab w:val="left" w:pos="2976"/>
        </w:tabs>
        <w:spacing w:before="118" w:line="276" w:lineRule="auto"/>
        <w:jc w:val="both"/>
        <w:rPr>
          <w:rFonts w:ascii="Arial" w:hAnsi="Arial" w:cs="Arial"/>
          <w:sz w:val="20"/>
        </w:rPr>
      </w:pPr>
      <w:r w:rsidRPr="00F17A49">
        <w:rPr>
          <w:rFonts w:ascii="Arial" w:hAnsi="Arial" w:cs="Arial"/>
          <w:sz w:val="20"/>
        </w:rPr>
        <w:t>The applicant is required to give a lecture under test conditions to other ‘student(s)’, one of whom will be the FE(B). The test lecture is to be selected from items of Section 1. The amount of time for the preparation of the test lecture is agreed upon beforehand with the FE(B). Appropriate literature may be used by the applicant. The test lecture should not exceed 45 minutes.</w:t>
      </w:r>
    </w:p>
    <w:p w14:paraId="1FECF0CA" w14:textId="77777777" w:rsidR="00F17A49" w:rsidRPr="00F17A49" w:rsidRDefault="00F17A49" w:rsidP="00887C6A">
      <w:pPr>
        <w:numPr>
          <w:ilvl w:val="1"/>
          <w:numId w:val="264"/>
        </w:numPr>
        <w:tabs>
          <w:tab w:val="left" w:pos="90"/>
          <w:tab w:val="left" w:pos="2975"/>
          <w:tab w:val="left" w:pos="2976"/>
        </w:tabs>
        <w:spacing w:before="118" w:line="276" w:lineRule="auto"/>
        <w:jc w:val="both"/>
        <w:rPr>
          <w:rFonts w:ascii="Arial" w:hAnsi="Arial" w:cs="Arial"/>
          <w:sz w:val="20"/>
        </w:rPr>
      </w:pPr>
      <w:r w:rsidRPr="00F17A49">
        <w:rPr>
          <w:rFonts w:ascii="Arial" w:hAnsi="Arial" w:cs="Arial"/>
          <w:sz w:val="20"/>
        </w:rPr>
        <w:t>The applicant is tested orally by an FE(B) for knowledge of items of Section 1 and the core instructor competencies (teaching and learning content given in the FI(B) training course).</w:t>
      </w:r>
    </w:p>
    <w:p w14:paraId="5FDE3D03" w14:textId="77777777" w:rsidR="00F17A49" w:rsidRPr="00F17A49" w:rsidRDefault="00F17A49" w:rsidP="00887C6A">
      <w:pPr>
        <w:numPr>
          <w:ilvl w:val="0"/>
          <w:numId w:val="263"/>
        </w:numPr>
        <w:tabs>
          <w:tab w:val="left" w:pos="90"/>
          <w:tab w:val="left" w:pos="2975"/>
          <w:tab w:val="left" w:pos="2976"/>
        </w:tabs>
        <w:spacing w:before="118" w:line="276" w:lineRule="auto"/>
        <w:jc w:val="both"/>
        <w:rPr>
          <w:rFonts w:ascii="Arial" w:hAnsi="Arial" w:cs="Arial"/>
          <w:sz w:val="20"/>
        </w:rPr>
      </w:pPr>
      <w:r w:rsidRPr="00F17A49">
        <w:rPr>
          <w:rFonts w:ascii="Arial" w:hAnsi="Arial" w:cs="Arial"/>
          <w:sz w:val="20"/>
        </w:rPr>
        <w:t>Sections 2, 3 and 4 comprise exercises to demonstrate the ability to be an FI(B) (for example, instructor demonstration exercises) chosen by the FE(B) from the flight syllabus of the FI(B) training course. The applicant is required to demonstrate FI(B) abilities, including briefing, flight instruction and de-briefing.</w:t>
      </w:r>
    </w:p>
    <w:p w14:paraId="6BD78ECD" w14:textId="77777777" w:rsidR="002C152F" w:rsidRPr="002C152F" w:rsidRDefault="002C152F" w:rsidP="002C152F">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721" w:name="_Toc153137459"/>
      <w:r w:rsidRPr="002C152F">
        <w:rPr>
          <w:rFonts w:ascii="Arial" w:eastAsia="Times New Roman" w:hAnsi="Arial" w:cs="Times New Roman"/>
          <w:b/>
          <w:color w:val="FFFFFF"/>
          <w:sz w:val="24"/>
        </w:rPr>
        <w:t>AMC3 BFCL.345 FI(B) – Assessment of competence</w:t>
      </w:r>
      <w:bookmarkEnd w:id="721"/>
      <w:r w:rsidRPr="002C152F">
        <w:rPr>
          <w:rFonts w:ascii="Arial" w:eastAsia="Times New Roman" w:hAnsi="Arial" w:cs="Times New Roman"/>
          <w:b/>
          <w:color w:val="FFFFFF"/>
          <w:sz w:val="24"/>
        </w:rPr>
        <w:tab/>
      </w:r>
    </w:p>
    <w:p w14:paraId="478E5232" w14:textId="2BEB46D8" w:rsidR="002C152F" w:rsidRDefault="002C152F" w:rsidP="002C152F">
      <w:pPr>
        <w:widowControl/>
        <w:autoSpaceDE/>
        <w:autoSpaceDN/>
        <w:spacing w:before="240" w:after="160" w:line="264" w:lineRule="auto"/>
        <w:jc w:val="both"/>
        <w:rPr>
          <w:rFonts w:ascii="Arial" w:eastAsiaTheme="minorHAnsi" w:hAnsi="Arial" w:cs="Arial"/>
          <w:b/>
          <w:bCs/>
          <w:sz w:val="20"/>
          <w:szCs w:val="20"/>
        </w:rPr>
      </w:pPr>
      <w:r w:rsidRPr="002C152F">
        <w:rPr>
          <w:rFonts w:ascii="Arial" w:eastAsiaTheme="minorHAnsi" w:hAnsi="Arial" w:cs="Arial"/>
          <w:b/>
          <w:bCs/>
          <w:sz w:val="20"/>
          <w:szCs w:val="20"/>
        </w:rPr>
        <w:t>APPLICATION AND REPORT FORM FOR THE FI(B) ASSESSMENT OF COMPETENCE</w:t>
      </w:r>
    </w:p>
    <w:p w14:paraId="7C09A3C2" w14:textId="23458C40" w:rsidR="000873F7" w:rsidRDefault="000873F7" w:rsidP="002C152F">
      <w:pPr>
        <w:widowControl/>
        <w:autoSpaceDE/>
        <w:autoSpaceDN/>
        <w:spacing w:before="240" w:after="160" w:line="264" w:lineRule="auto"/>
        <w:jc w:val="both"/>
        <w:rPr>
          <w:rFonts w:ascii="Arial" w:eastAsiaTheme="minorHAnsi" w:hAnsi="Arial" w:cs="Arial"/>
          <w:b/>
          <w:bCs/>
          <w:sz w:val="20"/>
          <w:szCs w:val="20"/>
        </w:rPr>
      </w:pPr>
    </w:p>
    <w:p w14:paraId="3E2243A6" w14:textId="438A0D53" w:rsidR="000873F7" w:rsidRDefault="000873F7" w:rsidP="002C152F">
      <w:pPr>
        <w:widowControl/>
        <w:autoSpaceDE/>
        <w:autoSpaceDN/>
        <w:spacing w:before="240" w:after="160" w:line="264" w:lineRule="auto"/>
        <w:jc w:val="both"/>
        <w:rPr>
          <w:rFonts w:ascii="Arial" w:eastAsiaTheme="minorHAnsi" w:hAnsi="Arial" w:cs="Arial"/>
          <w:b/>
          <w:bCs/>
          <w:sz w:val="20"/>
          <w:szCs w:val="20"/>
        </w:rPr>
      </w:pPr>
    </w:p>
    <w:p w14:paraId="3A8F7EFB" w14:textId="77777777" w:rsidR="000873F7" w:rsidRPr="002C152F" w:rsidRDefault="000873F7" w:rsidP="002C152F">
      <w:pPr>
        <w:widowControl/>
        <w:autoSpaceDE/>
        <w:autoSpaceDN/>
        <w:spacing w:before="240" w:after="160" w:line="264" w:lineRule="auto"/>
        <w:jc w:val="both"/>
        <w:rPr>
          <w:rFonts w:ascii="Arial" w:eastAsiaTheme="minorHAnsi" w:hAnsi="Arial" w:cs="Arial"/>
          <w:b/>
          <w:bCs/>
          <w:sz w:val="20"/>
          <w:szCs w:val="20"/>
        </w:rPr>
      </w:pPr>
    </w:p>
    <w:tbl>
      <w:tblPr>
        <w:tblStyle w:val="TableGrid31"/>
        <w:tblW w:w="9171" w:type="dxa"/>
        <w:tblLayout w:type="fixed"/>
        <w:tblLook w:val="01E0" w:firstRow="1" w:lastRow="1" w:firstColumn="1" w:lastColumn="1" w:noHBand="0" w:noVBand="0"/>
      </w:tblPr>
      <w:tblGrid>
        <w:gridCol w:w="498"/>
        <w:gridCol w:w="12"/>
        <w:gridCol w:w="1471"/>
        <w:gridCol w:w="433"/>
        <w:gridCol w:w="194"/>
        <w:gridCol w:w="374"/>
        <w:gridCol w:w="170"/>
        <w:gridCol w:w="1250"/>
        <w:gridCol w:w="245"/>
        <w:gridCol w:w="11"/>
        <w:gridCol w:w="380"/>
        <w:gridCol w:w="1109"/>
        <w:gridCol w:w="776"/>
        <w:gridCol w:w="175"/>
        <w:gridCol w:w="2059"/>
        <w:gridCol w:w="14"/>
      </w:tblGrid>
      <w:tr w:rsidR="002C152F" w:rsidRPr="002C152F" w14:paraId="67AC3C4E" w14:textId="77777777" w:rsidTr="00AC6D92">
        <w:trPr>
          <w:gridAfter w:val="1"/>
          <w:wAfter w:w="14" w:type="dxa"/>
          <w:trHeight w:val="297"/>
        </w:trPr>
        <w:tc>
          <w:tcPr>
            <w:tcW w:w="9171" w:type="dxa"/>
            <w:gridSpan w:val="15"/>
            <w:shd w:val="clear" w:color="auto" w:fill="F2F2F2" w:themeFill="background1" w:themeFillShade="F2"/>
          </w:tcPr>
          <w:p w14:paraId="39F42E97" w14:textId="77777777" w:rsidR="002C152F" w:rsidRPr="002C152F" w:rsidRDefault="002C152F" w:rsidP="00456F0A">
            <w:pPr>
              <w:pStyle w:val="TableParagraph"/>
              <w:spacing w:before="25"/>
              <w:ind w:left="107"/>
              <w:rPr>
                <w:rFonts w:ascii="Arial" w:hAnsi="Arial" w:cs="Arial"/>
                <w:b/>
              </w:rPr>
            </w:pPr>
            <w:r w:rsidRPr="002C152F">
              <w:rPr>
                <w:rFonts w:ascii="Arial" w:hAnsi="Arial" w:cs="Arial"/>
                <w:b/>
              </w:rPr>
              <w:lastRenderedPageBreak/>
              <w:t>APPLICATION</w:t>
            </w:r>
            <w:r w:rsidRPr="002C152F">
              <w:rPr>
                <w:rFonts w:ascii="Arial" w:hAnsi="Arial" w:cs="Arial"/>
                <w:b/>
                <w:spacing w:val="-3"/>
              </w:rPr>
              <w:t xml:space="preserve"> </w:t>
            </w:r>
            <w:r w:rsidRPr="002C152F">
              <w:rPr>
                <w:rFonts w:ascii="Arial" w:hAnsi="Arial" w:cs="Arial"/>
                <w:b/>
              </w:rPr>
              <w:t>AND</w:t>
            </w:r>
            <w:r w:rsidRPr="002C152F">
              <w:rPr>
                <w:rFonts w:ascii="Arial" w:hAnsi="Arial" w:cs="Arial"/>
                <w:b/>
                <w:spacing w:val="-3"/>
              </w:rPr>
              <w:t xml:space="preserve"> </w:t>
            </w:r>
            <w:r w:rsidRPr="002C152F">
              <w:rPr>
                <w:rFonts w:ascii="Arial" w:hAnsi="Arial" w:cs="Arial"/>
                <w:b/>
              </w:rPr>
              <w:t>REPORT</w:t>
            </w:r>
            <w:r w:rsidRPr="002C152F">
              <w:rPr>
                <w:rFonts w:ascii="Arial" w:hAnsi="Arial" w:cs="Arial"/>
                <w:b/>
                <w:spacing w:val="-3"/>
              </w:rPr>
              <w:t xml:space="preserve"> </w:t>
            </w:r>
            <w:r w:rsidRPr="002C152F">
              <w:rPr>
                <w:rFonts w:ascii="Arial" w:hAnsi="Arial" w:cs="Arial"/>
                <w:b/>
              </w:rPr>
              <w:t>FORM</w:t>
            </w:r>
            <w:r w:rsidRPr="002C152F">
              <w:rPr>
                <w:rFonts w:ascii="Arial" w:hAnsi="Arial" w:cs="Arial"/>
                <w:b/>
                <w:spacing w:val="-3"/>
              </w:rPr>
              <w:t xml:space="preserve"> </w:t>
            </w:r>
            <w:r w:rsidRPr="002C152F">
              <w:rPr>
                <w:rFonts w:ascii="Arial" w:hAnsi="Arial" w:cs="Arial"/>
                <w:b/>
              </w:rPr>
              <w:t>FOR</w:t>
            </w:r>
            <w:r w:rsidRPr="002C152F">
              <w:rPr>
                <w:rFonts w:ascii="Arial" w:hAnsi="Arial" w:cs="Arial"/>
                <w:b/>
                <w:spacing w:val="-2"/>
              </w:rPr>
              <w:t xml:space="preserve"> </w:t>
            </w:r>
            <w:r w:rsidRPr="002C152F">
              <w:rPr>
                <w:rFonts w:ascii="Arial" w:hAnsi="Arial" w:cs="Arial"/>
                <w:b/>
              </w:rPr>
              <w:t>THE</w:t>
            </w:r>
            <w:r w:rsidRPr="002C152F">
              <w:rPr>
                <w:rFonts w:ascii="Arial" w:hAnsi="Arial" w:cs="Arial"/>
                <w:b/>
                <w:spacing w:val="-4"/>
              </w:rPr>
              <w:t xml:space="preserve"> </w:t>
            </w:r>
            <w:r w:rsidRPr="002C152F">
              <w:rPr>
                <w:rFonts w:ascii="Arial" w:hAnsi="Arial" w:cs="Arial"/>
                <w:b/>
              </w:rPr>
              <w:t>FI(B)</w:t>
            </w:r>
            <w:r w:rsidRPr="002C152F">
              <w:rPr>
                <w:rFonts w:ascii="Arial" w:hAnsi="Arial" w:cs="Arial"/>
                <w:b/>
                <w:spacing w:val="-2"/>
              </w:rPr>
              <w:t xml:space="preserve"> </w:t>
            </w:r>
            <w:r w:rsidRPr="002C152F">
              <w:rPr>
                <w:rFonts w:ascii="Arial" w:hAnsi="Arial" w:cs="Arial"/>
                <w:b/>
              </w:rPr>
              <w:t>ASSESSMENT</w:t>
            </w:r>
            <w:r w:rsidRPr="002C152F">
              <w:rPr>
                <w:rFonts w:ascii="Arial" w:hAnsi="Arial" w:cs="Arial"/>
                <w:b/>
                <w:spacing w:val="-4"/>
              </w:rPr>
              <w:t xml:space="preserve"> </w:t>
            </w:r>
            <w:r w:rsidRPr="002C152F">
              <w:rPr>
                <w:rFonts w:ascii="Arial" w:hAnsi="Arial" w:cs="Arial"/>
                <w:b/>
              </w:rPr>
              <w:t>OF</w:t>
            </w:r>
            <w:r w:rsidRPr="002C152F">
              <w:rPr>
                <w:rFonts w:ascii="Arial" w:hAnsi="Arial" w:cs="Arial"/>
                <w:b/>
                <w:spacing w:val="-3"/>
              </w:rPr>
              <w:t xml:space="preserve"> </w:t>
            </w:r>
            <w:r w:rsidRPr="002C152F">
              <w:rPr>
                <w:rFonts w:ascii="Arial" w:hAnsi="Arial" w:cs="Arial"/>
                <w:b/>
              </w:rPr>
              <w:t>COMPETENCE</w:t>
            </w:r>
          </w:p>
        </w:tc>
      </w:tr>
      <w:tr w:rsidR="002C152F" w:rsidRPr="002C152F" w14:paraId="6F6A4FAF" w14:textId="77777777" w:rsidTr="000873F7">
        <w:trPr>
          <w:gridAfter w:val="1"/>
          <w:wAfter w:w="14" w:type="dxa"/>
          <w:trHeight w:val="534"/>
        </w:trPr>
        <w:tc>
          <w:tcPr>
            <w:tcW w:w="9171" w:type="dxa"/>
            <w:gridSpan w:val="15"/>
          </w:tcPr>
          <w:p w14:paraId="55927A4A" w14:textId="6E69A478" w:rsidR="002C152F" w:rsidRPr="002C152F" w:rsidRDefault="002C152F" w:rsidP="00456F0A">
            <w:pPr>
              <w:pStyle w:val="TableParagraph"/>
              <w:spacing w:before="23"/>
              <w:ind w:left="107" w:right="289"/>
              <w:rPr>
                <w:rFonts w:ascii="Arial" w:hAnsi="Arial" w:cs="Arial"/>
              </w:rPr>
            </w:pPr>
            <w:r w:rsidRPr="002C152F">
              <w:rPr>
                <w:rFonts w:ascii="Arial" w:hAnsi="Arial" w:cs="Arial"/>
              </w:rPr>
              <w:t>I</w:t>
            </w:r>
            <w:r w:rsidRPr="002C152F">
              <w:rPr>
                <w:rFonts w:ascii="Arial" w:hAnsi="Arial" w:cs="Arial"/>
                <w:spacing w:val="-3"/>
              </w:rPr>
              <w:t xml:space="preserve"> </w:t>
            </w:r>
            <w:r w:rsidRPr="002C152F">
              <w:rPr>
                <w:rFonts w:ascii="Arial" w:hAnsi="Arial" w:cs="Arial"/>
              </w:rPr>
              <w:t>hereby</w:t>
            </w:r>
            <w:r w:rsidRPr="002C152F">
              <w:rPr>
                <w:rFonts w:ascii="Arial" w:hAnsi="Arial" w:cs="Arial"/>
                <w:spacing w:val="-2"/>
              </w:rPr>
              <w:t xml:space="preserve"> </w:t>
            </w:r>
            <w:r w:rsidRPr="002C152F">
              <w:rPr>
                <w:rFonts w:ascii="Arial" w:hAnsi="Arial" w:cs="Arial"/>
              </w:rPr>
              <w:t>apply</w:t>
            </w:r>
            <w:r w:rsidRPr="002C152F">
              <w:rPr>
                <w:rFonts w:ascii="Arial" w:hAnsi="Arial" w:cs="Arial"/>
                <w:spacing w:val="-2"/>
              </w:rPr>
              <w:t xml:space="preserve"> </w:t>
            </w:r>
            <w:r w:rsidRPr="002C152F">
              <w:rPr>
                <w:rFonts w:ascii="Arial" w:hAnsi="Arial" w:cs="Arial"/>
              </w:rPr>
              <w:t>for</w:t>
            </w:r>
            <w:r w:rsidRPr="002C152F">
              <w:rPr>
                <w:rFonts w:ascii="Arial" w:hAnsi="Arial" w:cs="Arial"/>
                <w:spacing w:val="-2"/>
              </w:rPr>
              <w:t xml:space="preserve"> </w:t>
            </w:r>
            <w:r w:rsidRPr="002C152F">
              <w:rPr>
                <w:rFonts w:ascii="Arial" w:hAnsi="Arial" w:cs="Arial"/>
              </w:rPr>
              <w:t>the</w:t>
            </w:r>
            <w:r w:rsidRPr="002C152F">
              <w:rPr>
                <w:rFonts w:ascii="Arial" w:hAnsi="Arial" w:cs="Arial"/>
                <w:spacing w:val="-3"/>
              </w:rPr>
              <w:t xml:space="preserve"> </w:t>
            </w:r>
            <w:r w:rsidRPr="002C152F">
              <w:rPr>
                <w:rFonts w:ascii="Arial" w:hAnsi="Arial" w:cs="Arial"/>
              </w:rPr>
              <w:t>issue</w:t>
            </w:r>
            <w:r w:rsidRPr="002C152F">
              <w:rPr>
                <w:rFonts w:ascii="Arial" w:hAnsi="Arial" w:cs="Arial"/>
                <w:spacing w:val="-3"/>
              </w:rPr>
              <w:t xml:space="preserve"> </w:t>
            </w:r>
            <w:r w:rsidRPr="002C152F">
              <w:rPr>
                <w:rFonts w:ascii="Arial" w:hAnsi="Arial" w:cs="Arial"/>
              </w:rPr>
              <w:t>of</w:t>
            </w:r>
            <w:r w:rsidRPr="002C152F">
              <w:rPr>
                <w:rFonts w:ascii="Arial" w:hAnsi="Arial" w:cs="Arial"/>
                <w:spacing w:val="-1"/>
              </w:rPr>
              <w:t xml:space="preserve"> </w:t>
            </w:r>
            <w:r w:rsidRPr="002C152F">
              <w:rPr>
                <w:rFonts w:ascii="Arial" w:hAnsi="Arial" w:cs="Arial"/>
              </w:rPr>
              <w:t>a</w:t>
            </w:r>
            <w:r w:rsidRPr="002C152F">
              <w:rPr>
                <w:rFonts w:ascii="Arial" w:hAnsi="Arial" w:cs="Arial"/>
                <w:spacing w:val="-3"/>
              </w:rPr>
              <w:t xml:space="preserve"> </w:t>
            </w:r>
            <w:r w:rsidRPr="002C152F">
              <w:rPr>
                <w:rFonts w:ascii="Arial" w:hAnsi="Arial" w:cs="Arial"/>
              </w:rPr>
              <w:t>flight</w:t>
            </w:r>
            <w:r w:rsidRPr="002C152F">
              <w:rPr>
                <w:rFonts w:ascii="Arial" w:hAnsi="Arial" w:cs="Arial"/>
                <w:spacing w:val="-2"/>
              </w:rPr>
              <w:t xml:space="preserve"> </w:t>
            </w:r>
            <w:r w:rsidRPr="002C152F">
              <w:rPr>
                <w:rFonts w:ascii="Arial" w:hAnsi="Arial" w:cs="Arial"/>
              </w:rPr>
              <w:t>instructor</w:t>
            </w:r>
            <w:r w:rsidRPr="002C152F">
              <w:rPr>
                <w:rFonts w:ascii="Arial" w:hAnsi="Arial" w:cs="Arial"/>
                <w:spacing w:val="-2"/>
              </w:rPr>
              <w:t xml:space="preserve"> </w:t>
            </w:r>
            <w:r w:rsidRPr="002C152F">
              <w:rPr>
                <w:rFonts w:ascii="Arial" w:hAnsi="Arial" w:cs="Arial"/>
              </w:rPr>
              <w:t>certificate for</w:t>
            </w:r>
            <w:r w:rsidRPr="002C152F">
              <w:rPr>
                <w:rFonts w:ascii="Arial" w:hAnsi="Arial" w:cs="Arial"/>
                <w:spacing w:val="-2"/>
              </w:rPr>
              <w:t xml:space="preserve"> </w:t>
            </w:r>
            <w:r w:rsidRPr="002C152F">
              <w:rPr>
                <w:rFonts w:ascii="Arial" w:hAnsi="Arial" w:cs="Arial"/>
              </w:rPr>
              <w:t>balloons</w:t>
            </w:r>
            <w:r w:rsidRPr="002C152F">
              <w:rPr>
                <w:rFonts w:ascii="Arial" w:hAnsi="Arial" w:cs="Arial"/>
                <w:spacing w:val="-4"/>
              </w:rPr>
              <w:t xml:space="preserve"> </w:t>
            </w:r>
            <w:r w:rsidRPr="002C152F">
              <w:rPr>
                <w:rFonts w:ascii="Arial" w:hAnsi="Arial" w:cs="Arial"/>
              </w:rPr>
              <w:t>(FI(B))</w:t>
            </w:r>
            <w:r w:rsidRPr="002C152F">
              <w:rPr>
                <w:rFonts w:ascii="Arial" w:hAnsi="Arial" w:cs="Arial"/>
                <w:spacing w:val="-3"/>
              </w:rPr>
              <w:t xml:space="preserve"> </w:t>
            </w:r>
            <w:r w:rsidRPr="002C152F">
              <w:rPr>
                <w:rFonts w:ascii="Arial" w:hAnsi="Arial" w:cs="Arial"/>
              </w:rPr>
              <w:t>in</w:t>
            </w:r>
            <w:r w:rsidRPr="002C152F">
              <w:rPr>
                <w:rFonts w:ascii="Arial" w:hAnsi="Arial" w:cs="Arial"/>
                <w:spacing w:val="-2"/>
              </w:rPr>
              <w:t xml:space="preserve"> </w:t>
            </w:r>
            <w:r w:rsidRPr="002C152F">
              <w:rPr>
                <w:rFonts w:ascii="Arial" w:hAnsi="Arial" w:cs="Arial"/>
              </w:rPr>
              <w:t>accordance</w:t>
            </w:r>
            <w:r w:rsidRPr="002C152F">
              <w:rPr>
                <w:rFonts w:ascii="Arial" w:hAnsi="Arial" w:cs="Arial"/>
                <w:spacing w:val="-5"/>
              </w:rPr>
              <w:t xml:space="preserve"> </w:t>
            </w:r>
            <w:r w:rsidRPr="002C152F">
              <w:rPr>
                <w:rFonts w:ascii="Arial" w:hAnsi="Arial" w:cs="Arial"/>
              </w:rPr>
              <w:t>with</w:t>
            </w:r>
            <w:r w:rsidRPr="002C152F">
              <w:rPr>
                <w:rFonts w:ascii="Arial" w:hAnsi="Arial" w:cs="Arial"/>
                <w:spacing w:val="-2"/>
              </w:rPr>
              <w:t xml:space="preserve"> </w:t>
            </w:r>
            <w:r w:rsidRPr="002C152F">
              <w:rPr>
                <w:rFonts w:ascii="Arial" w:hAnsi="Arial" w:cs="Arial"/>
              </w:rPr>
              <w:t>Annex</w:t>
            </w:r>
            <w:r w:rsidRPr="002C152F">
              <w:rPr>
                <w:rFonts w:ascii="Arial" w:hAnsi="Arial" w:cs="Arial"/>
                <w:spacing w:val="-2"/>
              </w:rPr>
              <w:t xml:space="preserve"> </w:t>
            </w:r>
            <w:r w:rsidRPr="002C152F">
              <w:rPr>
                <w:rFonts w:ascii="Arial" w:hAnsi="Arial" w:cs="Arial"/>
              </w:rPr>
              <w:t>III</w:t>
            </w:r>
            <w:r w:rsidRPr="002C152F">
              <w:rPr>
                <w:rFonts w:ascii="Arial" w:hAnsi="Arial" w:cs="Arial"/>
                <w:spacing w:val="-42"/>
              </w:rPr>
              <w:t xml:space="preserve"> </w:t>
            </w:r>
            <w:r w:rsidRPr="002C152F">
              <w:rPr>
                <w:rFonts w:ascii="Arial" w:hAnsi="Arial" w:cs="Arial"/>
              </w:rPr>
              <w:t>(Part-BFCL)</w:t>
            </w:r>
            <w:r w:rsidRPr="002C152F">
              <w:rPr>
                <w:rFonts w:ascii="Arial" w:hAnsi="Arial" w:cs="Arial"/>
                <w:spacing w:val="-2"/>
              </w:rPr>
              <w:t xml:space="preserve"> </w:t>
            </w:r>
            <w:r w:rsidRPr="002C152F">
              <w:rPr>
                <w:rFonts w:ascii="Arial" w:hAnsi="Arial" w:cs="Arial"/>
              </w:rPr>
              <w:t xml:space="preserve">to </w:t>
            </w:r>
            <w:r w:rsidR="00357B15" w:rsidRPr="00357B15">
              <w:rPr>
                <w:rFonts w:ascii="Arial" w:hAnsi="Arial" w:cs="Arial"/>
              </w:rPr>
              <w:t>Balloon Operations Regulation</w:t>
            </w:r>
            <w:r w:rsidRPr="002C152F">
              <w:rPr>
                <w:rFonts w:ascii="Arial" w:hAnsi="Arial" w:cs="Arial"/>
              </w:rPr>
              <w:t>.</w:t>
            </w:r>
          </w:p>
        </w:tc>
      </w:tr>
      <w:tr w:rsidR="002C152F" w:rsidRPr="002C152F" w14:paraId="6C712429" w14:textId="77777777" w:rsidTr="00AC6D92">
        <w:trPr>
          <w:gridAfter w:val="1"/>
          <w:wAfter w:w="14" w:type="dxa"/>
          <w:trHeight w:val="242"/>
        </w:trPr>
        <w:tc>
          <w:tcPr>
            <w:tcW w:w="510" w:type="dxa"/>
            <w:gridSpan w:val="2"/>
            <w:shd w:val="clear" w:color="auto" w:fill="F2F2F2" w:themeFill="background1" w:themeFillShade="F2"/>
          </w:tcPr>
          <w:p w14:paraId="5C7FCE81" w14:textId="77777777" w:rsidR="002C152F" w:rsidRPr="002C152F" w:rsidRDefault="002C152F" w:rsidP="00456F0A">
            <w:pPr>
              <w:pStyle w:val="TableParagraph"/>
              <w:spacing w:line="222" w:lineRule="exact"/>
              <w:ind w:left="0" w:right="24"/>
              <w:jc w:val="center"/>
              <w:rPr>
                <w:rFonts w:ascii="Arial" w:hAnsi="Arial" w:cs="Arial"/>
                <w:b/>
              </w:rPr>
            </w:pPr>
            <w:r w:rsidRPr="002C152F">
              <w:rPr>
                <w:rFonts w:ascii="Arial" w:hAnsi="Arial" w:cs="Arial"/>
                <w:b/>
                <w:w w:val="99"/>
              </w:rPr>
              <w:t>1</w:t>
            </w:r>
          </w:p>
        </w:tc>
        <w:tc>
          <w:tcPr>
            <w:tcW w:w="8661" w:type="dxa"/>
            <w:gridSpan w:val="13"/>
            <w:shd w:val="clear" w:color="auto" w:fill="F2F2F2" w:themeFill="background1" w:themeFillShade="F2"/>
          </w:tcPr>
          <w:p w14:paraId="2E22144A" w14:textId="77777777" w:rsidR="002C152F" w:rsidRPr="002C152F" w:rsidRDefault="002C152F" w:rsidP="00456F0A">
            <w:pPr>
              <w:pStyle w:val="TableParagraph"/>
              <w:spacing w:line="222" w:lineRule="exact"/>
              <w:ind w:left="107"/>
              <w:rPr>
                <w:rFonts w:ascii="Arial" w:hAnsi="Arial" w:cs="Arial"/>
                <w:b/>
              </w:rPr>
            </w:pPr>
            <w:r w:rsidRPr="002C152F">
              <w:rPr>
                <w:rFonts w:ascii="Arial" w:hAnsi="Arial" w:cs="Arial"/>
                <w:b/>
              </w:rPr>
              <w:t>Applicant’s</w:t>
            </w:r>
            <w:r w:rsidRPr="002C152F">
              <w:rPr>
                <w:rFonts w:ascii="Arial" w:hAnsi="Arial" w:cs="Arial"/>
                <w:b/>
                <w:spacing w:val="-3"/>
              </w:rPr>
              <w:t xml:space="preserve"> </w:t>
            </w:r>
            <w:r w:rsidRPr="002C152F">
              <w:rPr>
                <w:rFonts w:ascii="Arial" w:hAnsi="Arial" w:cs="Arial"/>
                <w:b/>
              </w:rPr>
              <w:t>personal</w:t>
            </w:r>
            <w:r w:rsidRPr="002C152F">
              <w:rPr>
                <w:rFonts w:ascii="Arial" w:hAnsi="Arial" w:cs="Arial"/>
                <w:b/>
                <w:spacing w:val="-4"/>
              </w:rPr>
              <w:t xml:space="preserve"> </w:t>
            </w:r>
            <w:r w:rsidRPr="002C152F">
              <w:rPr>
                <w:rFonts w:ascii="Arial" w:hAnsi="Arial" w:cs="Arial"/>
                <w:b/>
              </w:rPr>
              <w:t>particulars:</w:t>
            </w:r>
          </w:p>
        </w:tc>
      </w:tr>
      <w:tr w:rsidR="002C152F" w:rsidRPr="002C152F" w14:paraId="2D306E46" w14:textId="77777777" w:rsidTr="000873F7">
        <w:trPr>
          <w:gridAfter w:val="1"/>
          <w:wAfter w:w="14" w:type="dxa"/>
          <w:trHeight w:val="489"/>
        </w:trPr>
        <w:tc>
          <w:tcPr>
            <w:tcW w:w="4409" w:type="dxa"/>
            <w:gridSpan w:val="8"/>
          </w:tcPr>
          <w:p w14:paraId="4B852B76" w14:textId="77777777" w:rsidR="002C152F" w:rsidRPr="002C152F" w:rsidRDefault="002C152F" w:rsidP="00456F0A">
            <w:pPr>
              <w:pStyle w:val="TableParagraph"/>
              <w:spacing w:before="1"/>
              <w:ind w:left="107"/>
              <w:rPr>
                <w:rFonts w:ascii="Arial" w:hAnsi="Arial" w:cs="Arial"/>
              </w:rPr>
            </w:pPr>
            <w:r w:rsidRPr="002C152F">
              <w:rPr>
                <w:rFonts w:ascii="Arial" w:hAnsi="Arial" w:cs="Arial"/>
              </w:rPr>
              <w:t>Applicant’s</w:t>
            </w:r>
            <w:r w:rsidRPr="002C152F">
              <w:rPr>
                <w:rFonts w:ascii="Arial" w:hAnsi="Arial" w:cs="Arial"/>
                <w:spacing w:val="-5"/>
              </w:rPr>
              <w:t xml:space="preserve"> </w:t>
            </w:r>
            <w:r w:rsidRPr="002C152F">
              <w:rPr>
                <w:rFonts w:ascii="Arial" w:hAnsi="Arial" w:cs="Arial"/>
              </w:rPr>
              <w:t>last</w:t>
            </w:r>
            <w:r w:rsidRPr="002C152F">
              <w:rPr>
                <w:rFonts w:ascii="Arial" w:hAnsi="Arial" w:cs="Arial"/>
                <w:spacing w:val="-4"/>
              </w:rPr>
              <w:t xml:space="preserve"> </w:t>
            </w:r>
            <w:r w:rsidRPr="002C152F">
              <w:rPr>
                <w:rFonts w:ascii="Arial" w:hAnsi="Arial" w:cs="Arial"/>
              </w:rPr>
              <w:t>name(s):</w:t>
            </w:r>
          </w:p>
        </w:tc>
        <w:tc>
          <w:tcPr>
            <w:tcW w:w="4762" w:type="dxa"/>
            <w:gridSpan w:val="7"/>
          </w:tcPr>
          <w:p w14:paraId="4EE11D5E" w14:textId="77777777" w:rsidR="002C152F" w:rsidRPr="002C152F" w:rsidRDefault="002C152F" w:rsidP="00456F0A">
            <w:pPr>
              <w:pStyle w:val="TableParagraph"/>
              <w:spacing w:before="1"/>
              <w:ind w:left="109"/>
              <w:rPr>
                <w:rFonts w:ascii="Arial" w:hAnsi="Arial" w:cs="Arial"/>
              </w:rPr>
            </w:pPr>
            <w:r w:rsidRPr="002C152F">
              <w:rPr>
                <w:rFonts w:ascii="Arial" w:hAnsi="Arial" w:cs="Arial"/>
              </w:rPr>
              <w:t>First</w:t>
            </w:r>
            <w:r w:rsidRPr="002C152F">
              <w:rPr>
                <w:rFonts w:ascii="Arial" w:hAnsi="Arial" w:cs="Arial"/>
                <w:spacing w:val="-5"/>
              </w:rPr>
              <w:t xml:space="preserve"> </w:t>
            </w:r>
            <w:r w:rsidRPr="002C152F">
              <w:rPr>
                <w:rFonts w:ascii="Arial" w:hAnsi="Arial" w:cs="Arial"/>
              </w:rPr>
              <w:t>name(s):</w:t>
            </w:r>
          </w:p>
        </w:tc>
      </w:tr>
      <w:tr w:rsidR="002C152F" w:rsidRPr="002C152F" w14:paraId="27DC927C" w14:textId="77777777" w:rsidTr="000873F7">
        <w:trPr>
          <w:gridAfter w:val="1"/>
          <w:wAfter w:w="14" w:type="dxa"/>
          <w:trHeight w:val="513"/>
        </w:trPr>
        <w:tc>
          <w:tcPr>
            <w:tcW w:w="3157" w:type="dxa"/>
            <w:gridSpan w:val="7"/>
          </w:tcPr>
          <w:p w14:paraId="36034614" w14:textId="77777777" w:rsidR="002C152F" w:rsidRPr="002C152F" w:rsidRDefault="002C152F" w:rsidP="00456F0A">
            <w:pPr>
              <w:pStyle w:val="TableParagraph"/>
              <w:spacing w:line="243" w:lineRule="exact"/>
              <w:ind w:left="107"/>
              <w:rPr>
                <w:rFonts w:ascii="Arial" w:hAnsi="Arial" w:cs="Arial"/>
              </w:rPr>
            </w:pPr>
            <w:r w:rsidRPr="002C152F">
              <w:rPr>
                <w:rFonts w:ascii="Arial" w:hAnsi="Arial" w:cs="Arial"/>
              </w:rPr>
              <w:t>Date</w:t>
            </w:r>
            <w:r w:rsidRPr="002C152F">
              <w:rPr>
                <w:rFonts w:ascii="Arial" w:hAnsi="Arial" w:cs="Arial"/>
                <w:spacing w:val="-3"/>
              </w:rPr>
              <w:t xml:space="preserve"> </w:t>
            </w:r>
            <w:r w:rsidRPr="002C152F">
              <w:rPr>
                <w:rFonts w:ascii="Arial" w:hAnsi="Arial" w:cs="Arial"/>
              </w:rPr>
              <w:t>of</w:t>
            </w:r>
            <w:r w:rsidRPr="002C152F">
              <w:rPr>
                <w:rFonts w:ascii="Arial" w:hAnsi="Arial" w:cs="Arial"/>
                <w:spacing w:val="-2"/>
              </w:rPr>
              <w:t xml:space="preserve"> </w:t>
            </w:r>
            <w:r w:rsidRPr="002C152F">
              <w:rPr>
                <w:rFonts w:ascii="Arial" w:hAnsi="Arial" w:cs="Arial"/>
              </w:rPr>
              <w:t>birth:</w:t>
            </w:r>
          </w:p>
        </w:tc>
        <w:tc>
          <w:tcPr>
            <w:tcW w:w="3000" w:type="dxa"/>
            <w:gridSpan w:val="5"/>
          </w:tcPr>
          <w:p w14:paraId="36A42E28" w14:textId="77777777" w:rsidR="002C152F" w:rsidRPr="002C152F" w:rsidRDefault="002C152F" w:rsidP="00456F0A">
            <w:pPr>
              <w:pStyle w:val="TableParagraph"/>
              <w:spacing w:line="243" w:lineRule="exact"/>
              <w:ind w:left="108"/>
              <w:rPr>
                <w:rFonts w:ascii="Arial" w:hAnsi="Arial" w:cs="Arial"/>
              </w:rPr>
            </w:pPr>
            <w:r w:rsidRPr="002C152F">
              <w:rPr>
                <w:rFonts w:ascii="Arial" w:hAnsi="Arial" w:cs="Arial"/>
              </w:rPr>
              <w:t>Telephone:</w:t>
            </w:r>
          </w:p>
        </w:tc>
        <w:tc>
          <w:tcPr>
            <w:tcW w:w="3014" w:type="dxa"/>
            <w:gridSpan w:val="3"/>
          </w:tcPr>
          <w:p w14:paraId="538B738C" w14:textId="77777777" w:rsidR="002C152F" w:rsidRPr="002C152F" w:rsidRDefault="002C152F" w:rsidP="00456F0A">
            <w:pPr>
              <w:pStyle w:val="TableParagraph"/>
              <w:spacing w:line="243" w:lineRule="exact"/>
              <w:ind w:left="111"/>
              <w:rPr>
                <w:rFonts w:ascii="Arial" w:hAnsi="Arial" w:cs="Arial"/>
              </w:rPr>
            </w:pPr>
            <w:r w:rsidRPr="002C152F">
              <w:rPr>
                <w:rFonts w:ascii="Arial" w:hAnsi="Arial" w:cs="Arial"/>
              </w:rPr>
              <w:t>Email:</w:t>
            </w:r>
          </w:p>
        </w:tc>
      </w:tr>
      <w:tr w:rsidR="002C152F" w:rsidRPr="002C152F" w14:paraId="19FE9529" w14:textId="77777777" w:rsidTr="000873F7">
        <w:trPr>
          <w:gridAfter w:val="1"/>
          <w:wAfter w:w="14" w:type="dxa"/>
          <w:trHeight w:val="566"/>
        </w:trPr>
        <w:tc>
          <w:tcPr>
            <w:tcW w:w="4409" w:type="dxa"/>
            <w:gridSpan w:val="8"/>
          </w:tcPr>
          <w:p w14:paraId="53EC639B" w14:textId="77777777" w:rsidR="002C152F" w:rsidRPr="002C152F" w:rsidRDefault="002C152F" w:rsidP="00456F0A">
            <w:pPr>
              <w:pStyle w:val="TableParagraph"/>
              <w:spacing w:before="1"/>
              <w:ind w:left="107"/>
              <w:rPr>
                <w:rFonts w:ascii="Arial" w:hAnsi="Arial" w:cs="Arial"/>
              </w:rPr>
            </w:pPr>
            <w:r w:rsidRPr="002C152F">
              <w:rPr>
                <w:rFonts w:ascii="Arial" w:hAnsi="Arial" w:cs="Arial"/>
              </w:rPr>
              <w:t>Address:</w:t>
            </w:r>
          </w:p>
        </w:tc>
        <w:tc>
          <w:tcPr>
            <w:tcW w:w="4762" w:type="dxa"/>
            <w:gridSpan w:val="7"/>
          </w:tcPr>
          <w:p w14:paraId="2EB612DE" w14:textId="77777777" w:rsidR="002C152F" w:rsidRPr="002C152F" w:rsidRDefault="002C152F" w:rsidP="00456F0A">
            <w:pPr>
              <w:pStyle w:val="TableParagraph"/>
              <w:spacing w:before="1"/>
              <w:ind w:left="109"/>
              <w:rPr>
                <w:rFonts w:ascii="Arial" w:hAnsi="Arial" w:cs="Arial"/>
              </w:rPr>
            </w:pPr>
            <w:r w:rsidRPr="002C152F">
              <w:rPr>
                <w:rFonts w:ascii="Arial" w:hAnsi="Arial" w:cs="Arial"/>
              </w:rPr>
              <w:t>Country:</w:t>
            </w:r>
          </w:p>
        </w:tc>
      </w:tr>
      <w:tr w:rsidR="002C152F" w:rsidRPr="002C152F" w14:paraId="33E659BB" w14:textId="77777777" w:rsidTr="000873F7">
        <w:trPr>
          <w:gridAfter w:val="1"/>
          <w:wAfter w:w="14" w:type="dxa"/>
          <w:trHeight w:val="517"/>
        </w:trPr>
        <w:tc>
          <w:tcPr>
            <w:tcW w:w="4409" w:type="dxa"/>
            <w:gridSpan w:val="8"/>
          </w:tcPr>
          <w:p w14:paraId="56ACF672" w14:textId="77777777" w:rsidR="002C152F" w:rsidRPr="002C152F" w:rsidRDefault="002C152F" w:rsidP="00456F0A">
            <w:pPr>
              <w:pStyle w:val="TableParagraph"/>
              <w:spacing w:line="243" w:lineRule="exact"/>
              <w:ind w:left="107"/>
              <w:rPr>
                <w:rFonts w:ascii="Arial" w:hAnsi="Arial" w:cs="Arial"/>
              </w:rPr>
            </w:pPr>
            <w:r w:rsidRPr="002C152F">
              <w:rPr>
                <w:rFonts w:ascii="Arial" w:hAnsi="Arial" w:cs="Arial"/>
              </w:rPr>
              <w:t>Date:</w:t>
            </w:r>
          </w:p>
        </w:tc>
        <w:tc>
          <w:tcPr>
            <w:tcW w:w="4762" w:type="dxa"/>
            <w:gridSpan w:val="7"/>
          </w:tcPr>
          <w:p w14:paraId="4477683A" w14:textId="77777777" w:rsidR="002C152F" w:rsidRPr="002C152F" w:rsidRDefault="002C152F" w:rsidP="00456F0A">
            <w:pPr>
              <w:pStyle w:val="TableParagraph"/>
              <w:spacing w:line="243" w:lineRule="exact"/>
              <w:ind w:left="109"/>
              <w:rPr>
                <w:rFonts w:ascii="Arial" w:hAnsi="Arial" w:cs="Arial"/>
              </w:rPr>
            </w:pPr>
            <w:r w:rsidRPr="002C152F">
              <w:rPr>
                <w:rFonts w:ascii="Arial" w:hAnsi="Arial" w:cs="Arial"/>
              </w:rPr>
              <w:t>Signature</w:t>
            </w:r>
            <w:r w:rsidRPr="002C152F">
              <w:rPr>
                <w:rFonts w:ascii="Arial" w:hAnsi="Arial" w:cs="Arial"/>
                <w:spacing w:val="-4"/>
              </w:rPr>
              <w:t xml:space="preserve"> </w:t>
            </w:r>
            <w:r w:rsidRPr="002C152F">
              <w:rPr>
                <w:rFonts w:ascii="Arial" w:hAnsi="Arial" w:cs="Arial"/>
              </w:rPr>
              <w:t>of</w:t>
            </w:r>
            <w:r w:rsidRPr="002C152F">
              <w:rPr>
                <w:rFonts w:ascii="Arial" w:hAnsi="Arial" w:cs="Arial"/>
                <w:spacing w:val="-4"/>
              </w:rPr>
              <w:t xml:space="preserve"> </w:t>
            </w:r>
            <w:r w:rsidRPr="002C152F">
              <w:rPr>
                <w:rFonts w:ascii="Arial" w:hAnsi="Arial" w:cs="Arial"/>
              </w:rPr>
              <w:t>the</w:t>
            </w:r>
            <w:r w:rsidRPr="002C152F">
              <w:rPr>
                <w:rFonts w:ascii="Arial" w:hAnsi="Arial" w:cs="Arial"/>
                <w:spacing w:val="-3"/>
              </w:rPr>
              <w:t xml:space="preserve"> </w:t>
            </w:r>
            <w:r w:rsidRPr="002C152F">
              <w:rPr>
                <w:rFonts w:ascii="Arial" w:hAnsi="Arial" w:cs="Arial"/>
              </w:rPr>
              <w:t>applicant:</w:t>
            </w:r>
          </w:p>
        </w:tc>
      </w:tr>
      <w:tr w:rsidR="002C152F" w:rsidRPr="002C152F" w14:paraId="389E649A" w14:textId="77777777" w:rsidTr="00AC6D92">
        <w:trPr>
          <w:gridAfter w:val="1"/>
          <w:wAfter w:w="14" w:type="dxa"/>
          <w:trHeight w:val="244"/>
        </w:trPr>
        <w:tc>
          <w:tcPr>
            <w:tcW w:w="510" w:type="dxa"/>
            <w:gridSpan w:val="2"/>
            <w:shd w:val="clear" w:color="auto" w:fill="F2F2F2" w:themeFill="background1" w:themeFillShade="F2"/>
          </w:tcPr>
          <w:p w14:paraId="270D1A8D" w14:textId="77777777" w:rsidR="002C152F" w:rsidRPr="002C152F" w:rsidRDefault="002C152F" w:rsidP="00456F0A">
            <w:pPr>
              <w:pStyle w:val="TableParagraph"/>
              <w:spacing w:before="1" w:line="223" w:lineRule="exact"/>
              <w:ind w:left="0" w:right="24"/>
              <w:jc w:val="center"/>
              <w:rPr>
                <w:rFonts w:ascii="Arial" w:hAnsi="Arial" w:cs="Arial"/>
                <w:b/>
              </w:rPr>
            </w:pPr>
            <w:r w:rsidRPr="002C152F">
              <w:rPr>
                <w:rFonts w:ascii="Arial" w:hAnsi="Arial" w:cs="Arial"/>
                <w:b/>
                <w:w w:val="99"/>
              </w:rPr>
              <w:t>2</w:t>
            </w:r>
          </w:p>
        </w:tc>
        <w:tc>
          <w:tcPr>
            <w:tcW w:w="8661" w:type="dxa"/>
            <w:gridSpan w:val="13"/>
            <w:shd w:val="clear" w:color="auto" w:fill="F2F2F2" w:themeFill="background1" w:themeFillShade="F2"/>
          </w:tcPr>
          <w:p w14:paraId="3CC04EDE" w14:textId="77777777" w:rsidR="002C152F" w:rsidRPr="002C152F" w:rsidRDefault="002C152F" w:rsidP="00456F0A">
            <w:pPr>
              <w:pStyle w:val="TableParagraph"/>
              <w:spacing w:before="1" w:line="223" w:lineRule="exact"/>
              <w:ind w:left="107"/>
              <w:rPr>
                <w:rFonts w:ascii="Arial" w:hAnsi="Arial" w:cs="Arial"/>
                <w:b/>
              </w:rPr>
            </w:pPr>
            <w:r w:rsidRPr="002C152F">
              <w:rPr>
                <w:rFonts w:ascii="Arial" w:hAnsi="Arial" w:cs="Arial"/>
                <w:b/>
              </w:rPr>
              <w:t>Licence</w:t>
            </w:r>
            <w:r w:rsidRPr="002C152F">
              <w:rPr>
                <w:rFonts w:ascii="Arial" w:hAnsi="Arial" w:cs="Arial"/>
                <w:b/>
                <w:spacing w:val="-4"/>
              </w:rPr>
              <w:t xml:space="preserve"> </w:t>
            </w:r>
            <w:r w:rsidRPr="002C152F">
              <w:rPr>
                <w:rFonts w:ascii="Arial" w:hAnsi="Arial" w:cs="Arial"/>
                <w:b/>
              </w:rPr>
              <w:t>details</w:t>
            </w:r>
          </w:p>
        </w:tc>
      </w:tr>
      <w:tr w:rsidR="002C152F" w:rsidRPr="002C152F" w14:paraId="4E319B32" w14:textId="77777777" w:rsidTr="000873F7">
        <w:trPr>
          <w:gridAfter w:val="1"/>
          <w:wAfter w:w="14" w:type="dxa"/>
          <w:trHeight w:val="311"/>
        </w:trPr>
        <w:tc>
          <w:tcPr>
            <w:tcW w:w="9171" w:type="dxa"/>
            <w:gridSpan w:val="15"/>
          </w:tcPr>
          <w:p w14:paraId="2F864C80" w14:textId="77777777" w:rsidR="002C152F" w:rsidRPr="002C152F" w:rsidRDefault="002C152F" w:rsidP="00456F0A">
            <w:pPr>
              <w:pStyle w:val="TableParagraph"/>
              <w:spacing w:line="243" w:lineRule="exact"/>
              <w:ind w:left="107"/>
              <w:rPr>
                <w:rFonts w:ascii="Arial" w:hAnsi="Arial" w:cs="Arial"/>
              </w:rPr>
            </w:pPr>
            <w:r w:rsidRPr="002C152F">
              <w:rPr>
                <w:rFonts w:ascii="Arial" w:hAnsi="Arial" w:cs="Arial"/>
              </w:rPr>
              <w:t>Licence</w:t>
            </w:r>
            <w:r w:rsidRPr="002C152F">
              <w:rPr>
                <w:rFonts w:ascii="Arial" w:hAnsi="Arial" w:cs="Arial"/>
                <w:spacing w:val="-5"/>
              </w:rPr>
              <w:t xml:space="preserve"> </w:t>
            </w:r>
            <w:r w:rsidRPr="002C152F">
              <w:rPr>
                <w:rFonts w:ascii="Arial" w:hAnsi="Arial" w:cs="Arial"/>
              </w:rPr>
              <w:t>number</w:t>
            </w:r>
            <w:r w:rsidRPr="002C152F">
              <w:rPr>
                <w:rFonts w:ascii="Arial" w:hAnsi="Arial" w:cs="Arial"/>
                <w:spacing w:val="-3"/>
              </w:rPr>
              <w:t xml:space="preserve"> </w:t>
            </w:r>
            <w:r w:rsidRPr="002C152F">
              <w:rPr>
                <w:rFonts w:ascii="Arial" w:hAnsi="Arial" w:cs="Arial"/>
              </w:rPr>
              <w:t>(BPL):</w:t>
            </w:r>
          </w:p>
        </w:tc>
      </w:tr>
      <w:tr w:rsidR="002C152F" w:rsidRPr="002C152F" w14:paraId="7F671AF5" w14:textId="77777777" w:rsidTr="000873F7">
        <w:trPr>
          <w:gridAfter w:val="1"/>
          <w:wAfter w:w="14" w:type="dxa"/>
          <w:trHeight w:val="731"/>
        </w:trPr>
        <w:tc>
          <w:tcPr>
            <w:tcW w:w="2612" w:type="dxa"/>
            <w:gridSpan w:val="5"/>
          </w:tcPr>
          <w:p w14:paraId="601BBF0E" w14:textId="77777777" w:rsidR="002C152F" w:rsidRPr="002C152F" w:rsidRDefault="002C152F" w:rsidP="00456F0A">
            <w:pPr>
              <w:pStyle w:val="TableParagraph"/>
              <w:spacing w:line="243" w:lineRule="exact"/>
              <w:ind w:left="107"/>
              <w:rPr>
                <w:rFonts w:ascii="Arial" w:hAnsi="Arial" w:cs="Arial"/>
              </w:rPr>
            </w:pPr>
            <w:r w:rsidRPr="002C152F">
              <w:rPr>
                <w:rFonts w:ascii="Arial" w:hAnsi="Arial" w:cs="Arial"/>
              </w:rPr>
              <w:t>Class</w:t>
            </w:r>
            <w:r w:rsidRPr="002C152F">
              <w:rPr>
                <w:rFonts w:ascii="Arial" w:hAnsi="Arial" w:cs="Arial"/>
                <w:spacing w:val="-11"/>
              </w:rPr>
              <w:t xml:space="preserve"> </w:t>
            </w:r>
            <w:r w:rsidRPr="002C152F">
              <w:rPr>
                <w:rFonts w:ascii="Arial" w:hAnsi="Arial" w:cs="Arial"/>
              </w:rPr>
              <w:t>extension(s):</w:t>
            </w:r>
          </w:p>
          <w:p w14:paraId="237D5986" w14:textId="77777777" w:rsidR="002C152F" w:rsidRPr="002C152F" w:rsidRDefault="002C152F" w:rsidP="00456F0A">
            <w:pPr>
              <w:pStyle w:val="TableParagraph"/>
              <w:ind w:left="107"/>
              <w:rPr>
                <w:rFonts w:ascii="Arial" w:hAnsi="Arial" w:cs="Arial"/>
                <w:i/>
              </w:rPr>
            </w:pPr>
            <w:r w:rsidRPr="002C152F">
              <w:rPr>
                <w:rFonts w:ascii="Arial" w:hAnsi="Arial" w:cs="Arial"/>
                <w:i/>
              </w:rPr>
              <w:t>(tick</w:t>
            </w:r>
            <w:r w:rsidRPr="002C152F">
              <w:rPr>
                <w:rFonts w:ascii="Arial" w:hAnsi="Arial" w:cs="Arial"/>
                <w:i/>
                <w:spacing w:val="-4"/>
              </w:rPr>
              <w:t xml:space="preserve"> </w:t>
            </w:r>
            <w:r w:rsidRPr="002C152F">
              <w:rPr>
                <w:rFonts w:ascii="Arial" w:hAnsi="Arial" w:cs="Arial"/>
                <w:i/>
              </w:rPr>
              <w:t>as</w:t>
            </w:r>
            <w:r w:rsidRPr="002C152F">
              <w:rPr>
                <w:rFonts w:ascii="Arial" w:hAnsi="Arial" w:cs="Arial"/>
                <w:i/>
                <w:spacing w:val="-5"/>
              </w:rPr>
              <w:t xml:space="preserve"> </w:t>
            </w:r>
            <w:r w:rsidRPr="002C152F">
              <w:rPr>
                <w:rFonts w:ascii="Arial" w:hAnsi="Arial" w:cs="Arial"/>
                <w:i/>
              </w:rPr>
              <w:t>applicable)</w:t>
            </w:r>
          </w:p>
        </w:tc>
        <w:tc>
          <w:tcPr>
            <w:tcW w:w="6559" w:type="dxa"/>
            <w:gridSpan w:val="10"/>
          </w:tcPr>
          <w:p w14:paraId="0194FEB8" w14:textId="17329AA8" w:rsidR="00977334" w:rsidRDefault="002C152F" w:rsidP="00977334">
            <w:pPr>
              <w:pStyle w:val="TableParagraph"/>
              <w:numPr>
                <w:ilvl w:val="0"/>
                <w:numId w:val="470"/>
              </w:numPr>
              <w:tabs>
                <w:tab w:val="left" w:pos="2852"/>
                <w:tab w:val="left" w:pos="3464"/>
                <w:tab w:val="left" w:pos="4071"/>
                <w:tab w:val="left" w:pos="4673"/>
              </w:tabs>
              <w:ind w:right="1750"/>
              <w:rPr>
                <w:rFonts w:ascii="Arial" w:hAnsi="Arial" w:cs="Arial"/>
                <w:spacing w:val="-42"/>
              </w:rPr>
            </w:pPr>
            <w:r w:rsidRPr="002C152F">
              <w:rPr>
                <w:rFonts w:ascii="Arial" w:hAnsi="Arial" w:cs="Arial"/>
              </w:rPr>
              <w:t>Hot-air</w:t>
            </w:r>
            <w:r w:rsidRPr="002C152F">
              <w:rPr>
                <w:rFonts w:ascii="Arial" w:hAnsi="Arial" w:cs="Arial"/>
                <w:spacing w:val="-5"/>
              </w:rPr>
              <w:t xml:space="preserve"> </w:t>
            </w:r>
            <w:r w:rsidRPr="002C152F">
              <w:rPr>
                <w:rFonts w:ascii="Arial" w:hAnsi="Arial" w:cs="Arial"/>
              </w:rPr>
              <w:t>balloons/Groups:</w:t>
            </w:r>
            <w:r w:rsidRPr="002C152F">
              <w:rPr>
                <w:rFonts w:ascii="Arial" w:hAnsi="Arial" w:cs="Arial"/>
              </w:rPr>
              <w:tab/>
            </w:r>
            <w:r w:rsidR="0048772A" w:rsidRPr="0048772A">
              <w:rPr>
                <w:rFonts w:ascii="Arial" w:hAnsi="Arial" w:cs="Arial"/>
                <w:sz w:val="28"/>
                <w:szCs w:val="28"/>
              </w:rPr>
              <w:sym w:font="Symbol" w:char="F0A0"/>
            </w:r>
            <w:r w:rsidR="0048772A">
              <w:rPr>
                <w:rFonts w:ascii="Arial" w:hAnsi="Arial" w:cs="Arial"/>
                <w:sz w:val="28"/>
                <w:szCs w:val="28"/>
              </w:rPr>
              <w:t xml:space="preserve"> </w:t>
            </w:r>
            <w:r w:rsidRPr="002C152F">
              <w:rPr>
                <w:rFonts w:ascii="Arial" w:hAnsi="Arial" w:cs="Arial"/>
              </w:rPr>
              <w:t>A</w:t>
            </w:r>
            <w:r w:rsidRPr="002C152F">
              <w:rPr>
                <w:rFonts w:ascii="Arial" w:hAnsi="Arial" w:cs="Arial"/>
              </w:rPr>
              <w:tab/>
            </w:r>
            <w:r w:rsidR="0048772A" w:rsidRPr="0048772A">
              <w:rPr>
                <w:rFonts w:ascii="Arial" w:hAnsi="Arial" w:cs="Arial"/>
                <w:sz w:val="28"/>
                <w:szCs w:val="28"/>
              </w:rPr>
              <w:sym w:font="Symbol" w:char="F0A0"/>
            </w:r>
            <w:r w:rsidR="0048772A">
              <w:rPr>
                <w:rFonts w:ascii="Arial" w:hAnsi="Arial" w:cs="Arial"/>
                <w:sz w:val="28"/>
                <w:szCs w:val="28"/>
              </w:rPr>
              <w:t xml:space="preserve"> </w:t>
            </w:r>
            <w:r w:rsidRPr="002C152F">
              <w:rPr>
                <w:rFonts w:ascii="Arial" w:hAnsi="Arial" w:cs="Arial"/>
              </w:rPr>
              <w:t>B</w:t>
            </w:r>
            <w:r w:rsidRPr="002C152F">
              <w:rPr>
                <w:rFonts w:ascii="Arial" w:hAnsi="Arial" w:cs="Arial"/>
              </w:rPr>
              <w:tab/>
            </w:r>
            <w:r w:rsidR="0048772A" w:rsidRPr="0048772A">
              <w:rPr>
                <w:rFonts w:ascii="Arial" w:hAnsi="Arial" w:cs="Arial"/>
                <w:sz w:val="28"/>
                <w:szCs w:val="28"/>
              </w:rPr>
              <w:sym w:font="Symbol" w:char="F0A0"/>
            </w:r>
            <w:r w:rsidR="0048772A">
              <w:rPr>
                <w:rFonts w:ascii="Arial" w:hAnsi="Arial" w:cs="Arial"/>
                <w:sz w:val="28"/>
                <w:szCs w:val="28"/>
              </w:rPr>
              <w:t xml:space="preserve"> </w:t>
            </w:r>
            <w:r w:rsidRPr="002C152F">
              <w:rPr>
                <w:rFonts w:ascii="Arial" w:hAnsi="Arial" w:cs="Arial"/>
              </w:rPr>
              <w:t>C</w:t>
            </w:r>
            <w:r w:rsidRPr="002C152F">
              <w:rPr>
                <w:rFonts w:ascii="Arial" w:hAnsi="Arial" w:cs="Arial"/>
              </w:rPr>
              <w:tab/>
            </w:r>
            <w:r w:rsidR="0048772A" w:rsidRPr="0048772A">
              <w:rPr>
                <w:rFonts w:ascii="Arial" w:hAnsi="Arial" w:cs="Arial"/>
                <w:sz w:val="28"/>
                <w:szCs w:val="28"/>
              </w:rPr>
              <w:sym w:font="Symbol" w:char="F0A0"/>
            </w:r>
            <w:r w:rsidR="0048772A">
              <w:rPr>
                <w:rFonts w:ascii="Arial" w:hAnsi="Arial" w:cs="Arial"/>
                <w:sz w:val="28"/>
                <w:szCs w:val="28"/>
              </w:rPr>
              <w:t xml:space="preserve"> </w:t>
            </w:r>
            <w:r w:rsidRPr="002C152F">
              <w:rPr>
                <w:rFonts w:ascii="Arial" w:hAnsi="Arial" w:cs="Arial"/>
                <w:spacing w:val="-4"/>
              </w:rPr>
              <w:t>D</w:t>
            </w:r>
            <w:r w:rsidRPr="002C152F">
              <w:rPr>
                <w:rFonts w:ascii="Arial" w:hAnsi="Arial" w:cs="Arial"/>
                <w:spacing w:val="-42"/>
              </w:rPr>
              <w:t xml:space="preserve"> </w:t>
            </w:r>
          </w:p>
          <w:p w14:paraId="1AE03090" w14:textId="6D4B6CAC" w:rsidR="002C152F" w:rsidRPr="002C152F" w:rsidRDefault="002C152F" w:rsidP="00977334">
            <w:pPr>
              <w:pStyle w:val="TableParagraph"/>
              <w:numPr>
                <w:ilvl w:val="0"/>
                <w:numId w:val="470"/>
              </w:numPr>
              <w:tabs>
                <w:tab w:val="left" w:pos="2852"/>
                <w:tab w:val="left" w:pos="3464"/>
                <w:tab w:val="left" w:pos="4071"/>
                <w:tab w:val="left" w:pos="4673"/>
              </w:tabs>
              <w:ind w:right="1750"/>
              <w:rPr>
                <w:rFonts w:ascii="Arial" w:hAnsi="Arial" w:cs="Arial"/>
              </w:rPr>
            </w:pPr>
            <w:r w:rsidRPr="002C152F">
              <w:rPr>
                <w:rFonts w:ascii="Arial" w:hAnsi="Arial" w:cs="Arial"/>
              </w:rPr>
              <w:t>Gas</w:t>
            </w:r>
            <w:r w:rsidRPr="002C152F">
              <w:rPr>
                <w:rFonts w:ascii="Arial" w:hAnsi="Arial" w:cs="Arial"/>
                <w:spacing w:val="-2"/>
              </w:rPr>
              <w:t xml:space="preserve"> </w:t>
            </w:r>
            <w:r w:rsidRPr="002C152F">
              <w:rPr>
                <w:rFonts w:ascii="Arial" w:hAnsi="Arial" w:cs="Arial"/>
              </w:rPr>
              <w:t>balloons</w:t>
            </w:r>
          </w:p>
          <w:p w14:paraId="25B3D7B6" w14:textId="77777777" w:rsidR="002C152F" w:rsidRPr="002C152F" w:rsidRDefault="002C152F" w:rsidP="00977334">
            <w:pPr>
              <w:pStyle w:val="TableParagraph"/>
              <w:numPr>
                <w:ilvl w:val="0"/>
                <w:numId w:val="470"/>
              </w:numPr>
              <w:spacing w:line="223" w:lineRule="exact"/>
              <w:rPr>
                <w:rFonts w:ascii="Arial" w:hAnsi="Arial" w:cs="Arial"/>
              </w:rPr>
            </w:pPr>
            <w:r w:rsidRPr="002C152F">
              <w:rPr>
                <w:rFonts w:ascii="Arial" w:hAnsi="Arial" w:cs="Arial"/>
              </w:rPr>
              <w:t>Hot-air</w:t>
            </w:r>
            <w:r w:rsidRPr="002C152F">
              <w:rPr>
                <w:rFonts w:ascii="Arial" w:hAnsi="Arial" w:cs="Arial"/>
                <w:spacing w:val="-3"/>
              </w:rPr>
              <w:t xml:space="preserve"> </w:t>
            </w:r>
            <w:r w:rsidRPr="002C152F">
              <w:rPr>
                <w:rFonts w:ascii="Arial" w:hAnsi="Arial" w:cs="Arial"/>
              </w:rPr>
              <w:t>airships</w:t>
            </w:r>
          </w:p>
        </w:tc>
      </w:tr>
      <w:tr w:rsidR="002C152F" w:rsidRPr="002C152F" w14:paraId="277A2CFA" w14:textId="77777777" w:rsidTr="000873F7">
        <w:trPr>
          <w:gridAfter w:val="1"/>
          <w:wAfter w:w="14" w:type="dxa"/>
          <w:trHeight w:val="489"/>
        </w:trPr>
        <w:tc>
          <w:tcPr>
            <w:tcW w:w="2612" w:type="dxa"/>
            <w:gridSpan w:val="5"/>
          </w:tcPr>
          <w:p w14:paraId="318231E6" w14:textId="77777777" w:rsidR="002C152F" w:rsidRPr="002C152F" w:rsidRDefault="002C152F" w:rsidP="00456F0A">
            <w:pPr>
              <w:pStyle w:val="TableParagraph"/>
              <w:spacing w:before="1" w:line="243" w:lineRule="exact"/>
              <w:ind w:left="107"/>
              <w:rPr>
                <w:rFonts w:ascii="Arial" w:hAnsi="Arial" w:cs="Arial"/>
              </w:rPr>
            </w:pPr>
            <w:r w:rsidRPr="002C152F">
              <w:rPr>
                <w:rFonts w:ascii="Arial" w:hAnsi="Arial" w:cs="Arial"/>
              </w:rPr>
              <w:t>Additional</w:t>
            </w:r>
            <w:r w:rsidRPr="002C152F">
              <w:rPr>
                <w:rFonts w:ascii="Arial" w:hAnsi="Arial" w:cs="Arial"/>
                <w:spacing w:val="-5"/>
              </w:rPr>
              <w:t xml:space="preserve"> </w:t>
            </w:r>
            <w:r w:rsidRPr="002C152F">
              <w:rPr>
                <w:rFonts w:ascii="Arial" w:hAnsi="Arial" w:cs="Arial"/>
              </w:rPr>
              <w:t>privileges:</w:t>
            </w:r>
          </w:p>
          <w:p w14:paraId="6AC118FF" w14:textId="77777777" w:rsidR="002C152F" w:rsidRPr="002C152F" w:rsidRDefault="002C152F" w:rsidP="00456F0A">
            <w:pPr>
              <w:pStyle w:val="TableParagraph"/>
              <w:spacing w:line="225" w:lineRule="exact"/>
              <w:ind w:left="107"/>
              <w:rPr>
                <w:rFonts w:ascii="Arial" w:hAnsi="Arial" w:cs="Arial"/>
                <w:i/>
              </w:rPr>
            </w:pPr>
            <w:r w:rsidRPr="002C152F">
              <w:rPr>
                <w:rFonts w:ascii="Arial" w:hAnsi="Arial" w:cs="Arial"/>
                <w:i/>
              </w:rPr>
              <w:t>(tick</w:t>
            </w:r>
            <w:r w:rsidRPr="002C152F">
              <w:rPr>
                <w:rFonts w:ascii="Arial" w:hAnsi="Arial" w:cs="Arial"/>
                <w:i/>
                <w:spacing w:val="-3"/>
              </w:rPr>
              <w:t xml:space="preserve"> </w:t>
            </w:r>
            <w:r w:rsidRPr="002C152F">
              <w:rPr>
                <w:rFonts w:ascii="Arial" w:hAnsi="Arial" w:cs="Arial"/>
                <w:i/>
              </w:rPr>
              <w:t>as</w:t>
            </w:r>
            <w:r w:rsidRPr="002C152F">
              <w:rPr>
                <w:rFonts w:ascii="Arial" w:hAnsi="Arial" w:cs="Arial"/>
                <w:i/>
                <w:spacing w:val="-3"/>
              </w:rPr>
              <w:t xml:space="preserve"> </w:t>
            </w:r>
            <w:r w:rsidRPr="002C152F">
              <w:rPr>
                <w:rFonts w:ascii="Arial" w:hAnsi="Arial" w:cs="Arial"/>
                <w:i/>
              </w:rPr>
              <w:t>applicable)</w:t>
            </w:r>
          </w:p>
        </w:tc>
        <w:tc>
          <w:tcPr>
            <w:tcW w:w="6559" w:type="dxa"/>
            <w:gridSpan w:val="10"/>
          </w:tcPr>
          <w:p w14:paraId="0CE8E3AE" w14:textId="77777777" w:rsidR="002C152F" w:rsidRPr="002C152F" w:rsidRDefault="002C152F" w:rsidP="00977334">
            <w:pPr>
              <w:pStyle w:val="TableParagraph"/>
              <w:numPr>
                <w:ilvl w:val="0"/>
                <w:numId w:val="471"/>
              </w:numPr>
              <w:spacing w:before="1" w:line="243" w:lineRule="exact"/>
              <w:rPr>
                <w:rFonts w:ascii="Arial" w:hAnsi="Arial" w:cs="Arial"/>
              </w:rPr>
            </w:pPr>
            <w:r w:rsidRPr="002C152F">
              <w:rPr>
                <w:rFonts w:ascii="Arial" w:hAnsi="Arial" w:cs="Arial"/>
              </w:rPr>
              <w:t>Tethered</w:t>
            </w:r>
            <w:r w:rsidRPr="002C152F">
              <w:rPr>
                <w:rFonts w:ascii="Arial" w:hAnsi="Arial" w:cs="Arial"/>
                <w:spacing w:val="-3"/>
              </w:rPr>
              <w:t xml:space="preserve"> </w:t>
            </w:r>
            <w:r w:rsidRPr="002C152F">
              <w:rPr>
                <w:rFonts w:ascii="Arial" w:hAnsi="Arial" w:cs="Arial"/>
              </w:rPr>
              <w:t>hot-air</w:t>
            </w:r>
            <w:r w:rsidRPr="002C152F">
              <w:rPr>
                <w:rFonts w:ascii="Arial" w:hAnsi="Arial" w:cs="Arial"/>
                <w:spacing w:val="-3"/>
              </w:rPr>
              <w:t xml:space="preserve"> </w:t>
            </w:r>
            <w:r w:rsidRPr="002C152F">
              <w:rPr>
                <w:rFonts w:ascii="Arial" w:hAnsi="Arial" w:cs="Arial"/>
              </w:rPr>
              <w:t>balloon</w:t>
            </w:r>
            <w:r w:rsidRPr="002C152F">
              <w:rPr>
                <w:rFonts w:ascii="Arial" w:hAnsi="Arial" w:cs="Arial"/>
                <w:spacing w:val="-2"/>
              </w:rPr>
              <w:t xml:space="preserve"> </w:t>
            </w:r>
            <w:r w:rsidRPr="002C152F">
              <w:rPr>
                <w:rFonts w:ascii="Arial" w:hAnsi="Arial" w:cs="Arial"/>
              </w:rPr>
              <w:t>flight</w:t>
            </w:r>
            <w:r w:rsidRPr="002C152F">
              <w:rPr>
                <w:rFonts w:ascii="Arial" w:hAnsi="Arial" w:cs="Arial"/>
                <w:spacing w:val="-3"/>
              </w:rPr>
              <w:t xml:space="preserve"> </w:t>
            </w:r>
            <w:r w:rsidRPr="002C152F">
              <w:rPr>
                <w:rFonts w:ascii="Arial" w:hAnsi="Arial" w:cs="Arial"/>
              </w:rPr>
              <w:t>rating</w:t>
            </w:r>
          </w:p>
          <w:p w14:paraId="5D73330C" w14:textId="77777777" w:rsidR="002C152F" w:rsidRPr="002C152F" w:rsidRDefault="002C152F" w:rsidP="00977334">
            <w:pPr>
              <w:pStyle w:val="TableParagraph"/>
              <w:numPr>
                <w:ilvl w:val="0"/>
                <w:numId w:val="471"/>
              </w:numPr>
              <w:spacing w:line="225" w:lineRule="exact"/>
              <w:rPr>
                <w:rFonts w:ascii="Arial" w:hAnsi="Arial" w:cs="Arial"/>
              </w:rPr>
            </w:pPr>
            <w:r w:rsidRPr="002C152F">
              <w:rPr>
                <w:rFonts w:ascii="Arial" w:hAnsi="Arial" w:cs="Arial"/>
              </w:rPr>
              <w:t>Night</w:t>
            </w:r>
            <w:r w:rsidRPr="002C152F">
              <w:rPr>
                <w:rFonts w:ascii="Arial" w:hAnsi="Arial" w:cs="Arial"/>
                <w:spacing w:val="-2"/>
              </w:rPr>
              <w:t xml:space="preserve"> </w:t>
            </w:r>
            <w:r w:rsidRPr="002C152F">
              <w:rPr>
                <w:rFonts w:ascii="Arial" w:hAnsi="Arial" w:cs="Arial"/>
              </w:rPr>
              <w:t>rating</w:t>
            </w:r>
          </w:p>
        </w:tc>
      </w:tr>
      <w:tr w:rsidR="002C152F" w:rsidRPr="002C152F" w14:paraId="2A0404FD" w14:textId="77777777" w:rsidTr="00AC6D92">
        <w:trPr>
          <w:gridAfter w:val="1"/>
          <w:wAfter w:w="14" w:type="dxa"/>
          <w:trHeight w:val="244"/>
        </w:trPr>
        <w:tc>
          <w:tcPr>
            <w:tcW w:w="510" w:type="dxa"/>
            <w:gridSpan w:val="2"/>
            <w:shd w:val="clear" w:color="auto" w:fill="F2F2F2" w:themeFill="background1" w:themeFillShade="F2"/>
          </w:tcPr>
          <w:p w14:paraId="151C2F97" w14:textId="77777777" w:rsidR="002C152F" w:rsidRPr="002C152F" w:rsidRDefault="002C152F" w:rsidP="00456F0A">
            <w:pPr>
              <w:pStyle w:val="TableParagraph"/>
              <w:spacing w:line="224" w:lineRule="exact"/>
              <w:ind w:left="0" w:right="24"/>
              <w:jc w:val="center"/>
              <w:rPr>
                <w:rFonts w:ascii="Arial" w:hAnsi="Arial" w:cs="Arial"/>
                <w:b/>
              </w:rPr>
            </w:pPr>
            <w:r w:rsidRPr="002C152F">
              <w:rPr>
                <w:rFonts w:ascii="Arial" w:hAnsi="Arial" w:cs="Arial"/>
                <w:b/>
                <w:w w:val="99"/>
              </w:rPr>
              <w:t>3</w:t>
            </w:r>
          </w:p>
        </w:tc>
        <w:tc>
          <w:tcPr>
            <w:tcW w:w="8661" w:type="dxa"/>
            <w:gridSpan w:val="13"/>
            <w:shd w:val="clear" w:color="auto" w:fill="F2F2F2" w:themeFill="background1" w:themeFillShade="F2"/>
          </w:tcPr>
          <w:p w14:paraId="755A733E" w14:textId="77777777" w:rsidR="002C152F" w:rsidRPr="002C152F" w:rsidRDefault="002C152F" w:rsidP="00456F0A">
            <w:pPr>
              <w:pStyle w:val="TableParagraph"/>
              <w:spacing w:line="224" w:lineRule="exact"/>
              <w:ind w:left="107"/>
              <w:rPr>
                <w:rFonts w:ascii="Arial" w:hAnsi="Arial" w:cs="Arial"/>
                <w:b/>
              </w:rPr>
            </w:pPr>
            <w:r w:rsidRPr="002C152F">
              <w:rPr>
                <w:rFonts w:ascii="Arial" w:hAnsi="Arial" w:cs="Arial"/>
                <w:b/>
              </w:rPr>
              <w:t>Pre-course</w:t>
            </w:r>
            <w:r w:rsidRPr="002C152F">
              <w:rPr>
                <w:rFonts w:ascii="Arial" w:hAnsi="Arial" w:cs="Arial"/>
                <w:b/>
                <w:spacing w:val="-5"/>
              </w:rPr>
              <w:t xml:space="preserve"> </w:t>
            </w:r>
            <w:r w:rsidRPr="002C152F">
              <w:rPr>
                <w:rFonts w:ascii="Arial" w:hAnsi="Arial" w:cs="Arial"/>
                <w:b/>
              </w:rPr>
              <w:t>flying</w:t>
            </w:r>
            <w:r w:rsidRPr="002C152F">
              <w:rPr>
                <w:rFonts w:ascii="Arial" w:hAnsi="Arial" w:cs="Arial"/>
                <w:b/>
                <w:spacing w:val="-6"/>
              </w:rPr>
              <w:t xml:space="preserve"> </w:t>
            </w:r>
            <w:r w:rsidRPr="002C152F">
              <w:rPr>
                <w:rFonts w:ascii="Arial" w:hAnsi="Arial" w:cs="Arial"/>
                <w:b/>
              </w:rPr>
              <w:t>experience</w:t>
            </w:r>
          </w:p>
        </w:tc>
      </w:tr>
      <w:tr w:rsidR="002C152F" w:rsidRPr="002C152F" w14:paraId="794C3F57" w14:textId="77777777" w:rsidTr="000873F7">
        <w:trPr>
          <w:gridAfter w:val="1"/>
          <w:wAfter w:w="14" w:type="dxa"/>
          <w:trHeight w:val="311"/>
        </w:trPr>
        <w:tc>
          <w:tcPr>
            <w:tcW w:w="2987" w:type="dxa"/>
            <w:gridSpan w:val="6"/>
          </w:tcPr>
          <w:p w14:paraId="7740344D" w14:textId="77777777" w:rsidR="002C152F" w:rsidRPr="002C152F" w:rsidRDefault="002C152F" w:rsidP="00456F0A">
            <w:pPr>
              <w:pStyle w:val="TableParagraph"/>
              <w:spacing w:before="32"/>
              <w:ind w:left="107"/>
              <w:rPr>
                <w:rFonts w:ascii="Arial" w:hAnsi="Arial" w:cs="Arial"/>
              </w:rPr>
            </w:pPr>
            <w:r w:rsidRPr="002C152F">
              <w:rPr>
                <w:rFonts w:ascii="Arial" w:hAnsi="Arial" w:cs="Arial"/>
              </w:rPr>
              <w:t>Flying</w:t>
            </w:r>
            <w:r w:rsidRPr="002C152F">
              <w:rPr>
                <w:rFonts w:ascii="Arial" w:hAnsi="Arial" w:cs="Arial"/>
                <w:spacing w:val="-4"/>
              </w:rPr>
              <w:t xml:space="preserve"> </w:t>
            </w:r>
            <w:r w:rsidRPr="002C152F">
              <w:rPr>
                <w:rFonts w:ascii="Arial" w:hAnsi="Arial" w:cs="Arial"/>
              </w:rPr>
              <w:t>hours</w:t>
            </w:r>
            <w:r w:rsidRPr="002C152F">
              <w:rPr>
                <w:rFonts w:ascii="Arial" w:hAnsi="Arial" w:cs="Arial"/>
                <w:spacing w:val="-4"/>
              </w:rPr>
              <w:t xml:space="preserve"> </w:t>
            </w:r>
            <w:r w:rsidRPr="002C152F">
              <w:rPr>
                <w:rFonts w:ascii="Arial" w:hAnsi="Arial" w:cs="Arial"/>
              </w:rPr>
              <w:t>in</w:t>
            </w:r>
            <w:r w:rsidRPr="002C152F">
              <w:rPr>
                <w:rFonts w:ascii="Arial" w:hAnsi="Arial" w:cs="Arial"/>
                <w:spacing w:val="-1"/>
              </w:rPr>
              <w:t xml:space="preserve"> </w:t>
            </w:r>
            <w:r w:rsidRPr="002C152F">
              <w:rPr>
                <w:rFonts w:ascii="Arial" w:hAnsi="Arial" w:cs="Arial"/>
              </w:rPr>
              <w:t>different</w:t>
            </w:r>
            <w:r w:rsidRPr="002C152F">
              <w:rPr>
                <w:rFonts w:ascii="Arial" w:hAnsi="Arial" w:cs="Arial"/>
                <w:spacing w:val="-2"/>
              </w:rPr>
              <w:t xml:space="preserve"> </w:t>
            </w:r>
            <w:r w:rsidRPr="002C152F">
              <w:rPr>
                <w:rFonts w:ascii="Arial" w:hAnsi="Arial" w:cs="Arial"/>
              </w:rPr>
              <w:t>classes</w:t>
            </w:r>
          </w:p>
        </w:tc>
        <w:tc>
          <w:tcPr>
            <w:tcW w:w="2059" w:type="dxa"/>
            <w:gridSpan w:val="5"/>
          </w:tcPr>
          <w:p w14:paraId="7523585E" w14:textId="77777777" w:rsidR="002C152F" w:rsidRPr="002C152F" w:rsidRDefault="002C152F" w:rsidP="00456F0A">
            <w:pPr>
              <w:pStyle w:val="TableParagraph"/>
              <w:spacing w:before="32"/>
              <w:ind w:left="419"/>
              <w:rPr>
                <w:rFonts w:ascii="Arial" w:hAnsi="Arial" w:cs="Arial"/>
              </w:rPr>
            </w:pPr>
            <w:r w:rsidRPr="002C152F">
              <w:rPr>
                <w:rFonts w:ascii="Arial" w:hAnsi="Arial" w:cs="Arial"/>
              </w:rPr>
              <w:t>Hot-air</w:t>
            </w:r>
            <w:r w:rsidRPr="002C152F">
              <w:rPr>
                <w:rFonts w:ascii="Arial" w:hAnsi="Arial" w:cs="Arial"/>
                <w:spacing w:val="-3"/>
              </w:rPr>
              <w:t xml:space="preserve"> </w:t>
            </w:r>
            <w:r w:rsidRPr="002C152F">
              <w:rPr>
                <w:rFonts w:ascii="Arial" w:hAnsi="Arial" w:cs="Arial"/>
              </w:rPr>
              <w:t>balloon</w:t>
            </w:r>
          </w:p>
        </w:tc>
        <w:tc>
          <w:tcPr>
            <w:tcW w:w="2063" w:type="dxa"/>
            <w:gridSpan w:val="3"/>
          </w:tcPr>
          <w:p w14:paraId="68020BA7" w14:textId="77777777" w:rsidR="002C152F" w:rsidRPr="002C152F" w:rsidRDefault="002C152F" w:rsidP="00456F0A">
            <w:pPr>
              <w:pStyle w:val="TableParagraph"/>
              <w:spacing w:before="32"/>
              <w:ind w:left="557"/>
              <w:rPr>
                <w:rFonts w:ascii="Arial" w:hAnsi="Arial" w:cs="Arial"/>
              </w:rPr>
            </w:pPr>
            <w:r w:rsidRPr="002C152F">
              <w:rPr>
                <w:rFonts w:ascii="Arial" w:hAnsi="Arial" w:cs="Arial"/>
              </w:rPr>
              <w:t>Gas</w:t>
            </w:r>
            <w:r w:rsidRPr="002C152F">
              <w:rPr>
                <w:rFonts w:ascii="Arial" w:hAnsi="Arial" w:cs="Arial"/>
                <w:spacing w:val="-3"/>
              </w:rPr>
              <w:t xml:space="preserve"> </w:t>
            </w:r>
            <w:r w:rsidRPr="002C152F">
              <w:rPr>
                <w:rFonts w:ascii="Arial" w:hAnsi="Arial" w:cs="Arial"/>
              </w:rPr>
              <w:t>balloon</w:t>
            </w:r>
          </w:p>
        </w:tc>
        <w:tc>
          <w:tcPr>
            <w:tcW w:w="2062" w:type="dxa"/>
          </w:tcPr>
          <w:p w14:paraId="3185E919" w14:textId="77777777" w:rsidR="002C152F" w:rsidRPr="002C152F" w:rsidRDefault="002C152F" w:rsidP="00456F0A">
            <w:pPr>
              <w:pStyle w:val="TableParagraph"/>
              <w:spacing w:before="32"/>
              <w:ind w:left="452"/>
              <w:rPr>
                <w:rFonts w:ascii="Arial" w:hAnsi="Arial" w:cs="Arial"/>
              </w:rPr>
            </w:pPr>
            <w:r w:rsidRPr="002C152F">
              <w:rPr>
                <w:rFonts w:ascii="Arial" w:hAnsi="Arial" w:cs="Arial"/>
              </w:rPr>
              <w:t>Hot-air</w:t>
            </w:r>
            <w:r w:rsidRPr="002C152F">
              <w:rPr>
                <w:rFonts w:ascii="Arial" w:hAnsi="Arial" w:cs="Arial"/>
                <w:spacing w:val="-3"/>
              </w:rPr>
              <w:t xml:space="preserve"> </w:t>
            </w:r>
            <w:r w:rsidRPr="002C152F">
              <w:rPr>
                <w:rFonts w:ascii="Arial" w:hAnsi="Arial" w:cs="Arial"/>
              </w:rPr>
              <w:t>airship</w:t>
            </w:r>
          </w:p>
        </w:tc>
      </w:tr>
      <w:tr w:rsidR="002C152F" w:rsidRPr="002C152F" w14:paraId="79FC49CD" w14:textId="77777777" w:rsidTr="000873F7">
        <w:trPr>
          <w:gridAfter w:val="1"/>
          <w:wAfter w:w="14" w:type="dxa"/>
          <w:trHeight w:val="338"/>
        </w:trPr>
        <w:tc>
          <w:tcPr>
            <w:tcW w:w="2987" w:type="dxa"/>
            <w:gridSpan w:val="6"/>
          </w:tcPr>
          <w:p w14:paraId="7D26F5F2" w14:textId="77777777" w:rsidR="002C152F" w:rsidRPr="002C152F" w:rsidRDefault="002C152F" w:rsidP="00456F0A">
            <w:pPr>
              <w:pStyle w:val="TableParagraph"/>
              <w:spacing w:before="47"/>
              <w:ind w:left="0" w:right="95"/>
              <w:jc w:val="right"/>
              <w:rPr>
                <w:rFonts w:ascii="Arial" w:hAnsi="Arial" w:cs="Arial"/>
              </w:rPr>
            </w:pPr>
            <w:r w:rsidRPr="002C152F">
              <w:rPr>
                <w:rFonts w:ascii="Arial" w:hAnsi="Arial" w:cs="Arial"/>
              </w:rPr>
              <w:t>PIC</w:t>
            </w:r>
          </w:p>
        </w:tc>
        <w:tc>
          <w:tcPr>
            <w:tcW w:w="2059" w:type="dxa"/>
            <w:gridSpan w:val="5"/>
          </w:tcPr>
          <w:p w14:paraId="5AB6432B" w14:textId="77777777" w:rsidR="002C152F" w:rsidRPr="002C152F" w:rsidRDefault="002C152F" w:rsidP="00456F0A">
            <w:pPr>
              <w:pStyle w:val="TableParagraph"/>
              <w:ind w:left="0"/>
              <w:rPr>
                <w:rFonts w:ascii="Arial" w:hAnsi="Arial" w:cs="Arial"/>
              </w:rPr>
            </w:pPr>
          </w:p>
        </w:tc>
        <w:tc>
          <w:tcPr>
            <w:tcW w:w="2063" w:type="dxa"/>
            <w:gridSpan w:val="3"/>
          </w:tcPr>
          <w:p w14:paraId="1D3BA503" w14:textId="77777777" w:rsidR="002C152F" w:rsidRPr="002C152F" w:rsidRDefault="002C152F" w:rsidP="00456F0A">
            <w:pPr>
              <w:pStyle w:val="TableParagraph"/>
              <w:ind w:left="0"/>
              <w:rPr>
                <w:rFonts w:ascii="Arial" w:hAnsi="Arial" w:cs="Arial"/>
              </w:rPr>
            </w:pPr>
          </w:p>
        </w:tc>
        <w:tc>
          <w:tcPr>
            <w:tcW w:w="2062" w:type="dxa"/>
          </w:tcPr>
          <w:p w14:paraId="14361625" w14:textId="77777777" w:rsidR="002C152F" w:rsidRPr="002C152F" w:rsidRDefault="002C152F" w:rsidP="00456F0A">
            <w:pPr>
              <w:pStyle w:val="TableParagraph"/>
              <w:ind w:left="0"/>
              <w:rPr>
                <w:rFonts w:ascii="Arial" w:hAnsi="Arial" w:cs="Arial"/>
              </w:rPr>
            </w:pPr>
          </w:p>
        </w:tc>
      </w:tr>
      <w:tr w:rsidR="002C152F" w:rsidRPr="002C152F" w14:paraId="46AA429E" w14:textId="77777777" w:rsidTr="000873F7">
        <w:trPr>
          <w:gridAfter w:val="1"/>
          <w:wAfter w:w="14" w:type="dxa"/>
          <w:trHeight w:val="297"/>
        </w:trPr>
        <w:tc>
          <w:tcPr>
            <w:tcW w:w="2987" w:type="dxa"/>
            <w:gridSpan w:val="6"/>
          </w:tcPr>
          <w:p w14:paraId="5EA83ECC" w14:textId="77777777" w:rsidR="002C152F" w:rsidRPr="002C152F" w:rsidRDefault="002C152F" w:rsidP="00456F0A">
            <w:pPr>
              <w:pStyle w:val="TableParagraph"/>
              <w:spacing w:before="25"/>
              <w:ind w:left="0" w:right="98"/>
              <w:jc w:val="right"/>
              <w:rPr>
                <w:rFonts w:ascii="Arial" w:hAnsi="Arial" w:cs="Arial"/>
              </w:rPr>
            </w:pPr>
            <w:r w:rsidRPr="002C152F">
              <w:rPr>
                <w:rFonts w:ascii="Arial" w:hAnsi="Arial" w:cs="Arial"/>
              </w:rPr>
              <w:t>Total</w:t>
            </w:r>
            <w:r w:rsidRPr="002C152F">
              <w:rPr>
                <w:rFonts w:ascii="Arial" w:hAnsi="Arial" w:cs="Arial"/>
                <w:spacing w:val="-3"/>
              </w:rPr>
              <w:t xml:space="preserve"> </w:t>
            </w:r>
            <w:r w:rsidRPr="002C152F">
              <w:rPr>
                <w:rFonts w:ascii="Arial" w:hAnsi="Arial" w:cs="Arial"/>
              </w:rPr>
              <w:t>time</w:t>
            </w:r>
          </w:p>
        </w:tc>
        <w:tc>
          <w:tcPr>
            <w:tcW w:w="2059" w:type="dxa"/>
            <w:gridSpan w:val="5"/>
          </w:tcPr>
          <w:p w14:paraId="777E05BA" w14:textId="77777777" w:rsidR="002C152F" w:rsidRPr="002C152F" w:rsidRDefault="002C152F" w:rsidP="00456F0A">
            <w:pPr>
              <w:pStyle w:val="TableParagraph"/>
              <w:ind w:left="0"/>
              <w:rPr>
                <w:rFonts w:ascii="Arial" w:hAnsi="Arial" w:cs="Arial"/>
              </w:rPr>
            </w:pPr>
          </w:p>
        </w:tc>
        <w:tc>
          <w:tcPr>
            <w:tcW w:w="2063" w:type="dxa"/>
            <w:gridSpan w:val="3"/>
          </w:tcPr>
          <w:p w14:paraId="38AEA6CF" w14:textId="77777777" w:rsidR="002C152F" w:rsidRPr="002C152F" w:rsidRDefault="002C152F" w:rsidP="00456F0A">
            <w:pPr>
              <w:pStyle w:val="TableParagraph"/>
              <w:ind w:left="0"/>
              <w:rPr>
                <w:rFonts w:ascii="Arial" w:hAnsi="Arial" w:cs="Arial"/>
              </w:rPr>
            </w:pPr>
          </w:p>
        </w:tc>
        <w:tc>
          <w:tcPr>
            <w:tcW w:w="2062" w:type="dxa"/>
          </w:tcPr>
          <w:p w14:paraId="1F421EF4" w14:textId="77777777" w:rsidR="002C152F" w:rsidRPr="002C152F" w:rsidRDefault="002C152F" w:rsidP="00456F0A">
            <w:pPr>
              <w:pStyle w:val="TableParagraph"/>
              <w:ind w:left="0"/>
              <w:rPr>
                <w:rFonts w:ascii="Arial" w:hAnsi="Arial" w:cs="Arial"/>
              </w:rPr>
            </w:pPr>
          </w:p>
        </w:tc>
      </w:tr>
      <w:tr w:rsidR="002C152F" w:rsidRPr="002C152F" w14:paraId="7D9BF07D" w14:textId="77777777" w:rsidTr="00AC6D92">
        <w:trPr>
          <w:gridAfter w:val="1"/>
          <w:wAfter w:w="14" w:type="dxa"/>
          <w:trHeight w:val="244"/>
        </w:trPr>
        <w:tc>
          <w:tcPr>
            <w:tcW w:w="510" w:type="dxa"/>
            <w:gridSpan w:val="2"/>
            <w:shd w:val="clear" w:color="auto" w:fill="F2F2F2" w:themeFill="background1" w:themeFillShade="F2"/>
          </w:tcPr>
          <w:p w14:paraId="0CCA8849" w14:textId="77777777" w:rsidR="002C152F" w:rsidRPr="002C152F" w:rsidRDefault="002C152F" w:rsidP="00456F0A">
            <w:pPr>
              <w:pStyle w:val="TableParagraph"/>
              <w:spacing w:line="225" w:lineRule="exact"/>
              <w:ind w:left="0" w:right="24"/>
              <w:jc w:val="center"/>
              <w:rPr>
                <w:rFonts w:ascii="Arial" w:hAnsi="Arial" w:cs="Arial"/>
                <w:b/>
              </w:rPr>
            </w:pPr>
            <w:r w:rsidRPr="002C152F">
              <w:rPr>
                <w:rFonts w:ascii="Arial" w:hAnsi="Arial" w:cs="Arial"/>
                <w:b/>
                <w:w w:val="99"/>
              </w:rPr>
              <w:t>4</w:t>
            </w:r>
          </w:p>
        </w:tc>
        <w:tc>
          <w:tcPr>
            <w:tcW w:w="8661" w:type="dxa"/>
            <w:gridSpan w:val="13"/>
            <w:shd w:val="clear" w:color="auto" w:fill="F2F2F2" w:themeFill="background1" w:themeFillShade="F2"/>
          </w:tcPr>
          <w:p w14:paraId="50DB06AD" w14:textId="77777777" w:rsidR="002C152F" w:rsidRPr="002C152F" w:rsidRDefault="002C152F" w:rsidP="00456F0A">
            <w:pPr>
              <w:pStyle w:val="TableParagraph"/>
              <w:spacing w:line="225" w:lineRule="exact"/>
              <w:ind w:left="107"/>
              <w:rPr>
                <w:rFonts w:ascii="Arial" w:hAnsi="Arial" w:cs="Arial"/>
                <w:b/>
              </w:rPr>
            </w:pPr>
            <w:r w:rsidRPr="002C152F">
              <w:rPr>
                <w:rFonts w:ascii="Arial" w:hAnsi="Arial" w:cs="Arial"/>
                <w:b/>
              </w:rPr>
              <w:t>Pre-entry</w:t>
            </w:r>
            <w:r w:rsidRPr="002C152F">
              <w:rPr>
                <w:rFonts w:ascii="Arial" w:hAnsi="Arial" w:cs="Arial"/>
                <w:b/>
                <w:spacing w:val="-5"/>
              </w:rPr>
              <w:t xml:space="preserve"> </w:t>
            </w:r>
            <w:r w:rsidRPr="002C152F">
              <w:rPr>
                <w:rFonts w:ascii="Arial" w:hAnsi="Arial" w:cs="Arial"/>
                <w:b/>
              </w:rPr>
              <w:t>assessment</w:t>
            </w:r>
          </w:p>
        </w:tc>
      </w:tr>
      <w:tr w:rsidR="002C152F" w:rsidRPr="002C152F" w14:paraId="78D67155" w14:textId="77777777" w:rsidTr="000873F7">
        <w:trPr>
          <w:gridAfter w:val="1"/>
          <w:wAfter w:w="14" w:type="dxa"/>
          <w:trHeight w:val="254"/>
        </w:trPr>
        <w:tc>
          <w:tcPr>
            <w:tcW w:w="9171" w:type="dxa"/>
            <w:gridSpan w:val="15"/>
          </w:tcPr>
          <w:p w14:paraId="6265DCDA" w14:textId="77777777" w:rsidR="002C152F" w:rsidRPr="002C152F" w:rsidRDefault="002C152F" w:rsidP="00456F0A">
            <w:pPr>
              <w:pStyle w:val="TableParagraph"/>
              <w:tabs>
                <w:tab w:val="left" w:leader="dot" w:pos="3079"/>
              </w:tabs>
              <w:spacing w:line="234" w:lineRule="exact"/>
              <w:ind w:left="107"/>
              <w:rPr>
                <w:rFonts w:ascii="Arial" w:hAnsi="Arial" w:cs="Arial"/>
                <w:i/>
              </w:rPr>
            </w:pPr>
            <w:r w:rsidRPr="002C152F">
              <w:rPr>
                <w:rFonts w:ascii="Arial" w:hAnsi="Arial" w:cs="Arial"/>
                <w:i/>
              </w:rPr>
              <w:t>I</w:t>
            </w:r>
            <w:r w:rsidRPr="002C152F">
              <w:rPr>
                <w:rFonts w:ascii="Arial" w:hAnsi="Arial" w:cs="Arial"/>
                <w:i/>
                <w:spacing w:val="-2"/>
              </w:rPr>
              <w:t xml:space="preserve"> </w:t>
            </w:r>
            <w:r w:rsidRPr="002C152F">
              <w:rPr>
                <w:rFonts w:ascii="Arial" w:hAnsi="Arial" w:cs="Arial"/>
                <w:i/>
              </w:rPr>
              <w:t>recommend</w:t>
            </w:r>
            <w:r w:rsidRPr="002C152F">
              <w:rPr>
                <w:rFonts w:ascii="Arial" w:hAnsi="Arial" w:cs="Arial"/>
                <w:i/>
              </w:rPr>
              <w:tab/>
              <w:t>for</w:t>
            </w:r>
            <w:r w:rsidRPr="002C152F">
              <w:rPr>
                <w:rFonts w:ascii="Arial" w:hAnsi="Arial" w:cs="Arial"/>
                <w:i/>
                <w:spacing w:val="-4"/>
              </w:rPr>
              <w:t xml:space="preserve"> </w:t>
            </w:r>
            <w:r w:rsidRPr="002C152F">
              <w:rPr>
                <w:rFonts w:ascii="Arial" w:hAnsi="Arial" w:cs="Arial"/>
                <w:i/>
              </w:rPr>
              <w:t>the</w:t>
            </w:r>
            <w:r w:rsidRPr="002C152F">
              <w:rPr>
                <w:rFonts w:ascii="Arial" w:hAnsi="Arial" w:cs="Arial"/>
                <w:i/>
                <w:spacing w:val="-3"/>
              </w:rPr>
              <w:t xml:space="preserve"> </w:t>
            </w:r>
            <w:r w:rsidRPr="002C152F">
              <w:rPr>
                <w:rFonts w:ascii="Arial" w:hAnsi="Arial" w:cs="Arial"/>
                <w:i/>
              </w:rPr>
              <w:t>FI(B)</w:t>
            </w:r>
            <w:r w:rsidRPr="002C152F">
              <w:rPr>
                <w:rFonts w:ascii="Arial" w:hAnsi="Arial" w:cs="Arial"/>
                <w:i/>
                <w:spacing w:val="-3"/>
              </w:rPr>
              <w:t xml:space="preserve"> </w:t>
            </w:r>
            <w:r w:rsidRPr="002C152F">
              <w:rPr>
                <w:rFonts w:ascii="Arial" w:hAnsi="Arial" w:cs="Arial"/>
                <w:i/>
              </w:rPr>
              <w:t>course.</w:t>
            </w:r>
          </w:p>
        </w:tc>
      </w:tr>
      <w:tr w:rsidR="002C152F" w:rsidRPr="002C152F" w14:paraId="5E4E7954" w14:textId="77777777" w:rsidTr="000873F7">
        <w:trPr>
          <w:gridAfter w:val="1"/>
          <w:wAfter w:w="14" w:type="dxa"/>
          <w:trHeight w:val="378"/>
        </w:trPr>
        <w:tc>
          <w:tcPr>
            <w:tcW w:w="4665" w:type="dxa"/>
            <w:gridSpan w:val="10"/>
          </w:tcPr>
          <w:p w14:paraId="55C6B76C" w14:textId="77777777" w:rsidR="002C152F" w:rsidRPr="002C152F" w:rsidRDefault="002C152F" w:rsidP="00456F0A">
            <w:pPr>
              <w:pStyle w:val="TableParagraph"/>
              <w:spacing w:line="243" w:lineRule="exact"/>
              <w:ind w:left="107"/>
              <w:rPr>
                <w:rFonts w:ascii="Arial" w:hAnsi="Arial" w:cs="Arial"/>
              </w:rPr>
            </w:pPr>
            <w:r w:rsidRPr="002C152F">
              <w:rPr>
                <w:rFonts w:ascii="Arial" w:hAnsi="Arial" w:cs="Arial"/>
              </w:rPr>
              <w:t>Name</w:t>
            </w:r>
            <w:r w:rsidRPr="002C152F">
              <w:rPr>
                <w:rFonts w:ascii="Arial" w:hAnsi="Arial" w:cs="Arial"/>
                <w:spacing w:val="-5"/>
              </w:rPr>
              <w:t xml:space="preserve"> </w:t>
            </w:r>
            <w:r w:rsidRPr="002C152F">
              <w:rPr>
                <w:rFonts w:ascii="Arial" w:hAnsi="Arial" w:cs="Arial"/>
              </w:rPr>
              <w:t>of</w:t>
            </w:r>
            <w:r w:rsidRPr="002C152F">
              <w:rPr>
                <w:rFonts w:ascii="Arial" w:hAnsi="Arial" w:cs="Arial"/>
                <w:spacing w:val="-5"/>
              </w:rPr>
              <w:t xml:space="preserve"> </w:t>
            </w:r>
            <w:r w:rsidRPr="002C152F">
              <w:rPr>
                <w:rFonts w:ascii="Arial" w:hAnsi="Arial" w:cs="Arial"/>
              </w:rPr>
              <w:t>ATO/DTO:</w:t>
            </w:r>
          </w:p>
        </w:tc>
        <w:tc>
          <w:tcPr>
            <w:tcW w:w="4506" w:type="dxa"/>
            <w:gridSpan w:val="5"/>
          </w:tcPr>
          <w:p w14:paraId="437799A7" w14:textId="77777777" w:rsidR="002C152F" w:rsidRPr="002C152F" w:rsidRDefault="002C152F" w:rsidP="00456F0A">
            <w:pPr>
              <w:pStyle w:val="TableParagraph"/>
              <w:spacing w:line="243" w:lineRule="exact"/>
              <w:ind w:left="107"/>
              <w:rPr>
                <w:rFonts w:ascii="Arial" w:hAnsi="Arial" w:cs="Arial"/>
              </w:rPr>
            </w:pPr>
            <w:r w:rsidRPr="002C152F">
              <w:rPr>
                <w:rFonts w:ascii="Arial" w:hAnsi="Arial" w:cs="Arial"/>
              </w:rPr>
              <w:t>Date</w:t>
            </w:r>
            <w:r w:rsidRPr="002C152F">
              <w:rPr>
                <w:rFonts w:ascii="Arial" w:hAnsi="Arial" w:cs="Arial"/>
                <w:spacing w:val="-4"/>
              </w:rPr>
              <w:t xml:space="preserve"> </w:t>
            </w:r>
            <w:r w:rsidRPr="002C152F">
              <w:rPr>
                <w:rFonts w:ascii="Arial" w:hAnsi="Arial" w:cs="Arial"/>
              </w:rPr>
              <w:t>of</w:t>
            </w:r>
            <w:r w:rsidRPr="002C152F">
              <w:rPr>
                <w:rFonts w:ascii="Arial" w:hAnsi="Arial" w:cs="Arial"/>
                <w:spacing w:val="-4"/>
              </w:rPr>
              <w:t xml:space="preserve"> </w:t>
            </w:r>
            <w:r w:rsidRPr="002C152F">
              <w:rPr>
                <w:rFonts w:ascii="Arial" w:hAnsi="Arial" w:cs="Arial"/>
              </w:rPr>
              <w:t>pre-entry</w:t>
            </w:r>
            <w:r w:rsidRPr="002C152F">
              <w:rPr>
                <w:rFonts w:ascii="Arial" w:hAnsi="Arial" w:cs="Arial"/>
                <w:spacing w:val="-2"/>
              </w:rPr>
              <w:t xml:space="preserve"> </w:t>
            </w:r>
            <w:r w:rsidRPr="002C152F">
              <w:rPr>
                <w:rFonts w:ascii="Arial" w:hAnsi="Arial" w:cs="Arial"/>
              </w:rPr>
              <w:t>assessment:</w:t>
            </w:r>
          </w:p>
        </w:tc>
      </w:tr>
      <w:tr w:rsidR="002C152F" w:rsidRPr="002C152F" w14:paraId="7C34E25D" w14:textId="77777777" w:rsidTr="000873F7">
        <w:trPr>
          <w:gridAfter w:val="1"/>
          <w:wAfter w:w="14" w:type="dxa"/>
          <w:trHeight w:val="510"/>
        </w:trPr>
        <w:tc>
          <w:tcPr>
            <w:tcW w:w="9171" w:type="dxa"/>
            <w:gridSpan w:val="15"/>
          </w:tcPr>
          <w:p w14:paraId="0391674F" w14:textId="77777777" w:rsidR="002C152F" w:rsidRPr="002C152F" w:rsidRDefault="002C152F" w:rsidP="00456F0A">
            <w:pPr>
              <w:pStyle w:val="TableParagraph"/>
              <w:spacing w:line="243" w:lineRule="exact"/>
              <w:ind w:left="107"/>
              <w:rPr>
                <w:rFonts w:ascii="Arial" w:hAnsi="Arial" w:cs="Arial"/>
              </w:rPr>
            </w:pPr>
            <w:r w:rsidRPr="002C152F">
              <w:rPr>
                <w:rFonts w:ascii="Arial" w:hAnsi="Arial" w:cs="Arial"/>
              </w:rPr>
              <w:t>Name</w:t>
            </w:r>
            <w:r w:rsidRPr="002C152F">
              <w:rPr>
                <w:rFonts w:ascii="Arial" w:hAnsi="Arial" w:cs="Arial"/>
                <w:spacing w:val="-4"/>
              </w:rPr>
              <w:t xml:space="preserve"> </w:t>
            </w:r>
            <w:r w:rsidRPr="002C152F">
              <w:rPr>
                <w:rFonts w:ascii="Arial" w:hAnsi="Arial" w:cs="Arial"/>
              </w:rPr>
              <w:t>(capital</w:t>
            </w:r>
            <w:r w:rsidRPr="002C152F">
              <w:rPr>
                <w:rFonts w:ascii="Arial" w:hAnsi="Arial" w:cs="Arial"/>
                <w:spacing w:val="-2"/>
              </w:rPr>
              <w:t xml:space="preserve"> </w:t>
            </w:r>
            <w:r w:rsidRPr="002C152F">
              <w:rPr>
                <w:rFonts w:ascii="Arial" w:hAnsi="Arial" w:cs="Arial"/>
              </w:rPr>
              <w:t>letters)</w:t>
            </w:r>
            <w:r w:rsidRPr="002C152F">
              <w:rPr>
                <w:rFonts w:ascii="Arial" w:hAnsi="Arial" w:cs="Arial"/>
                <w:spacing w:val="-3"/>
              </w:rPr>
              <w:t xml:space="preserve"> </w:t>
            </w:r>
            <w:r w:rsidRPr="002C152F">
              <w:rPr>
                <w:rFonts w:ascii="Arial" w:hAnsi="Arial" w:cs="Arial"/>
              </w:rPr>
              <w:t>of</w:t>
            </w:r>
            <w:r w:rsidRPr="002C152F">
              <w:rPr>
                <w:rFonts w:ascii="Arial" w:hAnsi="Arial" w:cs="Arial"/>
                <w:spacing w:val="-4"/>
              </w:rPr>
              <w:t xml:space="preserve"> </w:t>
            </w:r>
            <w:r w:rsidRPr="002C152F">
              <w:rPr>
                <w:rFonts w:ascii="Arial" w:hAnsi="Arial" w:cs="Arial"/>
              </w:rPr>
              <w:t>HT</w:t>
            </w:r>
            <w:r w:rsidRPr="002C152F">
              <w:rPr>
                <w:rFonts w:ascii="Arial" w:hAnsi="Arial" w:cs="Arial"/>
                <w:spacing w:val="-4"/>
              </w:rPr>
              <w:t xml:space="preserve"> </w:t>
            </w:r>
            <w:r w:rsidRPr="002C152F">
              <w:rPr>
                <w:rFonts w:ascii="Arial" w:hAnsi="Arial" w:cs="Arial"/>
              </w:rPr>
              <w:t>of</w:t>
            </w:r>
            <w:r w:rsidRPr="002C152F">
              <w:rPr>
                <w:rFonts w:ascii="Arial" w:hAnsi="Arial" w:cs="Arial"/>
                <w:spacing w:val="-1"/>
              </w:rPr>
              <w:t xml:space="preserve"> </w:t>
            </w:r>
            <w:r w:rsidRPr="002C152F">
              <w:rPr>
                <w:rFonts w:ascii="Arial" w:hAnsi="Arial" w:cs="Arial"/>
              </w:rPr>
              <w:t>the</w:t>
            </w:r>
            <w:r w:rsidRPr="002C152F">
              <w:rPr>
                <w:rFonts w:ascii="Arial" w:hAnsi="Arial" w:cs="Arial"/>
                <w:spacing w:val="-3"/>
              </w:rPr>
              <w:t xml:space="preserve"> </w:t>
            </w:r>
            <w:r w:rsidRPr="002C152F">
              <w:rPr>
                <w:rFonts w:ascii="Arial" w:hAnsi="Arial" w:cs="Arial"/>
              </w:rPr>
              <w:t>ATO/DTO:</w:t>
            </w:r>
          </w:p>
        </w:tc>
      </w:tr>
      <w:tr w:rsidR="002C152F" w:rsidRPr="002C152F" w14:paraId="22F473BA" w14:textId="77777777" w:rsidTr="000873F7">
        <w:trPr>
          <w:gridAfter w:val="1"/>
          <w:wAfter w:w="14" w:type="dxa"/>
          <w:trHeight w:val="510"/>
        </w:trPr>
        <w:tc>
          <w:tcPr>
            <w:tcW w:w="9171" w:type="dxa"/>
            <w:gridSpan w:val="15"/>
          </w:tcPr>
          <w:p w14:paraId="13DD117C" w14:textId="77777777" w:rsidR="002C152F" w:rsidRPr="002C152F" w:rsidRDefault="002C152F" w:rsidP="00456F0A">
            <w:pPr>
              <w:pStyle w:val="TableParagraph"/>
              <w:spacing w:before="1"/>
              <w:ind w:left="107"/>
              <w:rPr>
                <w:rFonts w:ascii="Arial" w:hAnsi="Arial" w:cs="Arial"/>
              </w:rPr>
            </w:pPr>
            <w:r w:rsidRPr="002C152F">
              <w:rPr>
                <w:rFonts w:ascii="Arial" w:hAnsi="Arial" w:cs="Arial"/>
              </w:rPr>
              <w:t>Name</w:t>
            </w:r>
            <w:r w:rsidRPr="002C152F">
              <w:rPr>
                <w:rFonts w:ascii="Arial" w:hAnsi="Arial" w:cs="Arial"/>
                <w:spacing w:val="-5"/>
              </w:rPr>
              <w:t xml:space="preserve"> </w:t>
            </w:r>
            <w:r w:rsidRPr="002C152F">
              <w:rPr>
                <w:rFonts w:ascii="Arial" w:hAnsi="Arial" w:cs="Arial"/>
              </w:rPr>
              <w:t>(capital</w:t>
            </w:r>
            <w:r w:rsidRPr="002C152F">
              <w:rPr>
                <w:rFonts w:ascii="Arial" w:hAnsi="Arial" w:cs="Arial"/>
                <w:spacing w:val="-3"/>
              </w:rPr>
              <w:t xml:space="preserve"> </w:t>
            </w:r>
            <w:r w:rsidRPr="002C152F">
              <w:rPr>
                <w:rFonts w:ascii="Arial" w:hAnsi="Arial" w:cs="Arial"/>
              </w:rPr>
              <w:t>letters),</w:t>
            </w:r>
            <w:r w:rsidRPr="002C152F">
              <w:rPr>
                <w:rFonts w:ascii="Arial" w:hAnsi="Arial" w:cs="Arial"/>
                <w:spacing w:val="-2"/>
              </w:rPr>
              <w:t xml:space="preserve"> </w:t>
            </w:r>
            <w:r w:rsidRPr="002C152F">
              <w:rPr>
                <w:rFonts w:ascii="Arial" w:hAnsi="Arial" w:cs="Arial"/>
              </w:rPr>
              <w:t>licence</w:t>
            </w:r>
            <w:r w:rsidRPr="002C152F">
              <w:rPr>
                <w:rFonts w:ascii="Arial" w:hAnsi="Arial" w:cs="Arial"/>
                <w:spacing w:val="-2"/>
              </w:rPr>
              <w:t xml:space="preserve"> </w:t>
            </w:r>
            <w:r w:rsidRPr="002C152F">
              <w:rPr>
                <w:rFonts w:ascii="Arial" w:hAnsi="Arial" w:cs="Arial"/>
              </w:rPr>
              <w:t>number</w:t>
            </w:r>
            <w:r w:rsidRPr="002C152F">
              <w:rPr>
                <w:rFonts w:ascii="Arial" w:hAnsi="Arial" w:cs="Arial"/>
                <w:spacing w:val="-3"/>
              </w:rPr>
              <w:t xml:space="preserve"> </w:t>
            </w:r>
            <w:r w:rsidRPr="002C152F">
              <w:rPr>
                <w:rFonts w:ascii="Arial" w:hAnsi="Arial" w:cs="Arial"/>
              </w:rPr>
              <w:t>and</w:t>
            </w:r>
            <w:r w:rsidRPr="002C152F">
              <w:rPr>
                <w:rFonts w:ascii="Arial" w:hAnsi="Arial" w:cs="Arial"/>
                <w:spacing w:val="1"/>
              </w:rPr>
              <w:t xml:space="preserve"> </w:t>
            </w:r>
            <w:r w:rsidRPr="002C152F">
              <w:rPr>
                <w:rFonts w:ascii="Arial" w:hAnsi="Arial" w:cs="Arial"/>
              </w:rPr>
              <w:t>signature</w:t>
            </w:r>
            <w:r w:rsidRPr="002C152F">
              <w:rPr>
                <w:rFonts w:ascii="Arial" w:hAnsi="Arial" w:cs="Arial"/>
                <w:spacing w:val="-3"/>
              </w:rPr>
              <w:t xml:space="preserve"> </w:t>
            </w:r>
            <w:r w:rsidRPr="002C152F">
              <w:rPr>
                <w:rFonts w:ascii="Arial" w:hAnsi="Arial" w:cs="Arial"/>
              </w:rPr>
              <w:t>of</w:t>
            </w:r>
            <w:r w:rsidRPr="002C152F">
              <w:rPr>
                <w:rFonts w:ascii="Arial" w:hAnsi="Arial" w:cs="Arial"/>
                <w:spacing w:val="-5"/>
              </w:rPr>
              <w:t xml:space="preserve"> </w:t>
            </w:r>
            <w:r w:rsidRPr="002C152F">
              <w:rPr>
                <w:rFonts w:ascii="Arial" w:hAnsi="Arial" w:cs="Arial"/>
              </w:rPr>
              <w:t>the</w:t>
            </w:r>
            <w:r w:rsidRPr="002C152F">
              <w:rPr>
                <w:rFonts w:ascii="Arial" w:hAnsi="Arial" w:cs="Arial"/>
                <w:spacing w:val="-4"/>
              </w:rPr>
              <w:t xml:space="preserve"> </w:t>
            </w:r>
            <w:r w:rsidRPr="002C152F">
              <w:rPr>
                <w:rFonts w:ascii="Arial" w:hAnsi="Arial" w:cs="Arial"/>
              </w:rPr>
              <w:t>FI(B)</w:t>
            </w:r>
            <w:r w:rsidRPr="002C152F">
              <w:rPr>
                <w:rFonts w:ascii="Arial" w:hAnsi="Arial" w:cs="Arial"/>
                <w:spacing w:val="-3"/>
              </w:rPr>
              <w:t xml:space="preserve"> </w:t>
            </w:r>
            <w:r w:rsidRPr="002C152F">
              <w:rPr>
                <w:rFonts w:ascii="Arial" w:hAnsi="Arial" w:cs="Arial"/>
              </w:rPr>
              <w:t>conducting</w:t>
            </w:r>
            <w:r w:rsidRPr="002C152F">
              <w:rPr>
                <w:rFonts w:ascii="Arial" w:hAnsi="Arial" w:cs="Arial"/>
                <w:spacing w:val="-4"/>
              </w:rPr>
              <w:t xml:space="preserve"> </w:t>
            </w:r>
            <w:r w:rsidRPr="002C152F">
              <w:rPr>
                <w:rFonts w:ascii="Arial" w:hAnsi="Arial" w:cs="Arial"/>
              </w:rPr>
              <w:t>the</w:t>
            </w:r>
            <w:r w:rsidRPr="002C152F">
              <w:rPr>
                <w:rFonts w:ascii="Arial" w:hAnsi="Arial" w:cs="Arial"/>
                <w:spacing w:val="-4"/>
              </w:rPr>
              <w:t xml:space="preserve"> </w:t>
            </w:r>
            <w:r w:rsidRPr="002C152F">
              <w:rPr>
                <w:rFonts w:ascii="Arial" w:hAnsi="Arial" w:cs="Arial"/>
              </w:rPr>
              <w:t>flight</w:t>
            </w:r>
            <w:r w:rsidRPr="002C152F">
              <w:rPr>
                <w:rFonts w:ascii="Arial" w:hAnsi="Arial" w:cs="Arial"/>
                <w:spacing w:val="-2"/>
              </w:rPr>
              <w:t xml:space="preserve"> </w:t>
            </w:r>
            <w:r w:rsidRPr="002C152F">
              <w:rPr>
                <w:rFonts w:ascii="Arial" w:hAnsi="Arial" w:cs="Arial"/>
              </w:rPr>
              <w:t>assessment</w:t>
            </w:r>
            <w:r w:rsidRPr="002C152F">
              <w:rPr>
                <w:rFonts w:ascii="Arial" w:hAnsi="Arial" w:cs="Arial"/>
                <w:spacing w:val="-3"/>
              </w:rPr>
              <w:t xml:space="preserve"> </w:t>
            </w:r>
            <w:r w:rsidRPr="002C152F">
              <w:rPr>
                <w:rFonts w:ascii="Arial" w:hAnsi="Arial" w:cs="Arial"/>
              </w:rPr>
              <w:t>(if</w:t>
            </w:r>
            <w:r w:rsidRPr="002C152F">
              <w:rPr>
                <w:rFonts w:ascii="Arial" w:hAnsi="Arial" w:cs="Arial"/>
                <w:spacing w:val="-42"/>
              </w:rPr>
              <w:t xml:space="preserve"> </w:t>
            </w:r>
            <w:r w:rsidRPr="002C152F">
              <w:rPr>
                <w:rFonts w:ascii="Arial" w:hAnsi="Arial" w:cs="Arial"/>
              </w:rPr>
              <w:t>applicable):</w:t>
            </w:r>
          </w:p>
        </w:tc>
      </w:tr>
      <w:tr w:rsidR="002C152F" w:rsidRPr="002C152F" w14:paraId="570EB25A" w14:textId="77777777" w:rsidTr="00AC6D92">
        <w:trPr>
          <w:gridAfter w:val="1"/>
          <w:wAfter w:w="14" w:type="dxa"/>
          <w:trHeight w:val="244"/>
        </w:trPr>
        <w:tc>
          <w:tcPr>
            <w:tcW w:w="510" w:type="dxa"/>
            <w:gridSpan w:val="2"/>
            <w:shd w:val="clear" w:color="auto" w:fill="F2F2F2" w:themeFill="background1" w:themeFillShade="F2"/>
          </w:tcPr>
          <w:p w14:paraId="17086A75" w14:textId="77777777" w:rsidR="002C152F" w:rsidRPr="002C152F" w:rsidRDefault="002C152F" w:rsidP="00456F0A">
            <w:pPr>
              <w:pStyle w:val="TableParagraph"/>
              <w:spacing w:before="1" w:line="223" w:lineRule="exact"/>
              <w:ind w:left="0" w:right="24"/>
              <w:jc w:val="center"/>
              <w:rPr>
                <w:rFonts w:ascii="Arial" w:hAnsi="Arial" w:cs="Arial"/>
                <w:b/>
              </w:rPr>
            </w:pPr>
            <w:r w:rsidRPr="002C152F">
              <w:rPr>
                <w:rFonts w:ascii="Arial" w:hAnsi="Arial" w:cs="Arial"/>
                <w:b/>
                <w:w w:val="99"/>
              </w:rPr>
              <w:t>5</w:t>
            </w:r>
          </w:p>
        </w:tc>
        <w:tc>
          <w:tcPr>
            <w:tcW w:w="8661" w:type="dxa"/>
            <w:gridSpan w:val="13"/>
            <w:shd w:val="clear" w:color="auto" w:fill="F2F2F2" w:themeFill="background1" w:themeFillShade="F2"/>
          </w:tcPr>
          <w:p w14:paraId="38E8D3B6" w14:textId="77777777" w:rsidR="002C152F" w:rsidRPr="002C152F" w:rsidRDefault="002C152F" w:rsidP="00456F0A">
            <w:pPr>
              <w:pStyle w:val="TableParagraph"/>
              <w:spacing w:before="1" w:line="223" w:lineRule="exact"/>
              <w:ind w:left="107"/>
              <w:rPr>
                <w:rFonts w:ascii="Arial" w:hAnsi="Arial" w:cs="Arial"/>
                <w:b/>
              </w:rPr>
            </w:pPr>
            <w:r w:rsidRPr="002C152F">
              <w:rPr>
                <w:rFonts w:ascii="Arial" w:hAnsi="Arial" w:cs="Arial"/>
                <w:b/>
              </w:rPr>
              <w:t>Declaration</w:t>
            </w:r>
            <w:r w:rsidRPr="002C152F">
              <w:rPr>
                <w:rFonts w:ascii="Arial" w:hAnsi="Arial" w:cs="Arial"/>
                <w:b/>
                <w:spacing w:val="-2"/>
              </w:rPr>
              <w:t xml:space="preserve"> </w:t>
            </w:r>
            <w:r w:rsidRPr="002C152F">
              <w:rPr>
                <w:rFonts w:ascii="Arial" w:hAnsi="Arial" w:cs="Arial"/>
                <w:b/>
              </w:rPr>
              <w:t>by</w:t>
            </w:r>
            <w:r w:rsidRPr="002C152F">
              <w:rPr>
                <w:rFonts w:ascii="Arial" w:hAnsi="Arial" w:cs="Arial"/>
                <w:b/>
                <w:spacing w:val="-3"/>
              </w:rPr>
              <w:t xml:space="preserve"> </w:t>
            </w:r>
            <w:r w:rsidRPr="002C152F">
              <w:rPr>
                <w:rFonts w:ascii="Arial" w:hAnsi="Arial" w:cs="Arial"/>
                <w:b/>
              </w:rPr>
              <w:t>the</w:t>
            </w:r>
            <w:r w:rsidRPr="002C152F">
              <w:rPr>
                <w:rFonts w:ascii="Arial" w:hAnsi="Arial" w:cs="Arial"/>
                <w:b/>
                <w:spacing w:val="-3"/>
              </w:rPr>
              <w:t xml:space="preserve"> </w:t>
            </w:r>
            <w:r w:rsidRPr="002C152F">
              <w:rPr>
                <w:rFonts w:ascii="Arial" w:hAnsi="Arial" w:cs="Arial"/>
                <w:b/>
              </w:rPr>
              <w:t>ATO/DTO</w:t>
            </w:r>
          </w:p>
        </w:tc>
      </w:tr>
      <w:tr w:rsidR="002C152F" w:rsidRPr="002C152F" w14:paraId="01DB5EA1" w14:textId="77777777" w:rsidTr="000873F7">
        <w:trPr>
          <w:gridAfter w:val="1"/>
          <w:wAfter w:w="14" w:type="dxa"/>
          <w:trHeight w:val="489"/>
        </w:trPr>
        <w:tc>
          <w:tcPr>
            <w:tcW w:w="9171" w:type="dxa"/>
            <w:gridSpan w:val="15"/>
          </w:tcPr>
          <w:p w14:paraId="5D78E44E" w14:textId="0D86AEAC" w:rsidR="002C152F" w:rsidRPr="002C152F" w:rsidRDefault="002C152F" w:rsidP="00636A11">
            <w:pPr>
              <w:pStyle w:val="TableParagraph"/>
              <w:tabs>
                <w:tab w:val="left" w:leader="dot" w:pos="3304"/>
              </w:tabs>
              <w:spacing w:before="1" w:line="243" w:lineRule="exact"/>
              <w:ind w:left="107"/>
              <w:rPr>
                <w:rFonts w:ascii="Arial" w:hAnsi="Arial" w:cs="Arial"/>
                <w:i/>
              </w:rPr>
            </w:pPr>
            <w:r w:rsidRPr="002C152F">
              <w:rPr>
                <w:rFonts w:ascii="Arial" w:hAnsi="Arial" w:cs="Arial"/>
                <w:i/>
              </w:rPr>
              <w:t>I</w:t>
            </w:r>
            <w:r w:rsidRPr="002C152F">
              <w:rPr>
                <w:rFonts w:ascii="Arial" w:hAnsi="Arial" w:cs="Arial"/>
                <w:i/>
                <w:spacing w:val="-1"/>
              </w:rPr>
              <w:t xml:space="preserve"> </w:t>
            </w:r>
            <w:r w:rsidRPr="002C152F">
              <w:rPr>
                <w:rFonts w:ascii="Arial" w:hAnsi="Arial" w:cs="Arial"/>
                <w:i/>
              </w:rPr>
              <w:t>certify</w:t>
            </w:r>
            <w:r w:rsidRPr="002C152F">
              <w:rPr>
                <w:rFonts w:ascii="Arial" w:hAnsi="Arial" w:cs="Arial"/>
                <w:i/>
                <w:spacing w:val="-2"/>
              </w:rPr>
              <w:t xml:space="preserve"> </w:t>
            </w:r>
            <w:r w:rsidRPr="002C152F">
              <w:rPr>
                <w:rFonts w:ascii="Arial" w:hAnsi="Arial" w:cs="Arial"/>
                <w:i/>
              </w:rPr>
              <w:t>that</w:t>
            </w:r>
            <w:r w:rsidRPr="002C152F">
              <w:rPr>
                <w:rFonts w:ascii="Arial" w:hAnsi="Arial" w:cs="Arial"/>
                <w:i/>
              </w:rPr>
              <w:tab/>
              <w:t>has</w:t>
            </w:r>
            <w:r w:rsidRPr="002C152F">
              <w:rPr>
                <w:rFonts w:ascii="Arial" w:hAnsi="Arial" w:cs="Arial"/>
                <w:i/>
                <w:spacing w:val="-4"/>
              </w:rPr>
              <w:t xml:space="preserve"> </w:t>
            </w:r>
            <w:r w:rsidRPr="002C152F">
              <w:rPr>
                <w:rFonts w:ascii="Arial" w:hAnsi="Arial" w:cs="Arial"/>
                <w:i/>
              </w:rPr>
              <w:t>satisfactorily</w:t>
            </w:r>
            <w:r w:rsidRPr="002C152F">
              <w:rPr>
                <w:rFonts w:ascii="Arial" w:hAnsi="Arial" w:cs="Arial"/>
                <w:i/>
                <w:spacing w:val="-3"/>
              </w:rPr>
              <w:t xml:space="preserve"> </w:t>
            </w:r>
            <w:r w:rsidRPr="002C152F">
              <w:rPr>
                <w:rFonts w:ascii="Arial" w:hAnsi="Arial" w:cs="Arial"/>
                <w:i/>
              </w:rPr>
              <w:t>completed</w:t>
            </w:r>
            <w:r w:rsidRPr="002C152F">
              <w:rPr>
                <w:rFonts w:ascii="Arial" w:hAnsi="Arial" w:cs="Arial"/>
                <w:i/>
                <w:spacing w:val="-3"/>
              </w:rPr>
              <w:t xml:space="preserve"> </w:t>
            </w:r>
            <w:r w:rsidRPr="002C152F">
              <w:rPr>
                <w:rFonts w:ascii="Arial" w:hAnsi="Arial" w:cs="Arial"/>
                <w:i/>
              </w:rPr>
              <w:t>an</w:t>
            </w:r>
            <w:r w:rsidRPr="002C152F">
              <w:rPr>
                <w:rFonts w:ascii="Arial" w:hAnsi="Arial" w:cs="Arial"/>
                <w:i/>
                <w:spacing w:val="-4"/>
              </w:rPr>
              <w:t xml:space="preserve"> </w:t>
            </w:r>
            <w:r w:rsidRPr="002C152F">
              <w:rPr>
                <w:rFonts w:ascii="Arial" w:hAnsi="Arial" w:cs="Arial"/>
                <w:i/>
              </w:rPr>
              <w:t>approved</w:t>
            </w:r>
            <w:r w:rsidRPr="002C152F">
              <w:rPr>
                <w:rFonts w:ascii="Arial" w:hAnsi="Arial" w:cs="Arial"/>
                <w:i/>
                <w:spacing w:val="-3"/>
              </w:rPr>
              <w:t xml:space="preserve"> </w:t>
            </w:r>
            <w:r w:rsidRPr="002C152F">
              <w:rPr>
                <w:rFonts w:ascii="Arial" w:hAnsi="Arial" w:cs="Arial"/>
                <w:i/>
              </w:rPr>
              <w:t>course</w:t>
            </w:r>
            <w:r w:rsidRPr="002C152F">
              <w:rPr>
                <w:rFonts w:ascii="Arial" w:hAnsi="Arial" w:cs="Arial"/>
                <w:i/>
                <w:spacing w:val="-2"/>
              </w:rPr>
              <w:t xml:space="preserve"> </w:t>
            </w:r>
            <w:r w:rsidRPr="002C152F">
              <w:rPr>
                <w:rFonts w:ascii="Arial" w:hAnsi="Arial" w:cs="Arial"/>
                <w:i/>
              </w:rPr>
              <w:t>of</w:t>
            </w:r>
            <w:r w:rsidRPr="002C152F">
              <w:rPr>
                <w:rFonts w:ascii="Arial" w:hAnsi="Arial" w:cs="Arial"/>
                <w:i/>
                <w:spacing w:val="-5"/>
              </w:rPr>
              <w:t xml:space="preserve"> </w:t>
            </w:r>
            <w:r w:rsidRPr="002C152F">
              <w:rPr>
                <w:rFonts w:ascii="Arial" w:hAnsi="Arial" w:cs="Arial"/>
                <w:i/>
              </w:rPr>
              <w:t>training</w:t>
            </w:r>
            <w:r w:rsidRPr="002C152F">
              <w:rPr>
                <w:rFonts w:ascii="Arial" w:hAnsi="Arial" w:cs="Arial"/>
                <w:i/>
                <w:spacing w:val="-2"/>
              </w:rPr>
              <w:t xml:space="preserve"> </w:t>
            </w:r>
            <w:r w:rsidRPr="002C152F">
              <w:rPr>
                <w:rFonts w:ascii="Arial" w:hAnsi="Arial" w:cs="Arial"/>
                <w:i/>
              </w:rPr>
              <w:t>for</w:t>
            </w:r>
            <w:r w:rsidRPr="002C152F">
              <w:rPr>
                <w:rFonts w:ascii="Arial" w:hAnsi="Arial" w:cs="Arial"/>
                <w:i/>
                <w:spacing w:val="-5"/>
              </w:rPr>
              <w:t xml:space="preserve"> </w:t>
            </w:r>
            <w:r w:rsidRPr="002C152F">
              <w:rPr>
                <w:rFonts w:ascii="Arial" w:hAnsi="Arial" w:cs="Arial"/>
                <w:i/>
              </w:rPr>
              <w:t>the</w:t>
            </w:r>
            <w:r w:rsidR="00636A11">
              <w:rPr>
                <w:rFonts w:ascii="Arial" w:hAnsi="Arial" w:cs="Arial"/>
                <w:i/>
              </w:rPr>
              <w:t xml:space="preserve"> </w:t>
            </w:r>
            <w:r w:rsidRPr="002C152F">
              <w:rPr>
                <w:rFonts w:ascii="Arial" w:hAnsi="Arial" w:cs="Arial"/>
                <w:i/>
              </w:rPr>
              <w:t>FI(B)</w:t>
            </w:r>
            <w:r w:rsidRPr="002C152F">
              <w:rPr>
                <w:rFonts w:ascii="Arial" w:hAnsi="Arial" w:cs="Arial"/>
                <w:i/>
                <w:spacing w:val="-5"/>
              </w:rPr>
              <w:t xml:space="preserve"> </w:t>
            </w:r>
            <w:r w:rsidRPr="002C152F">
              <w:rPr>
                <w:rFonts w:ascii="Arial" w:hAnsi="Arial" w:cs="Arial"/>
                <w:i/>
              </w:rPr>
              <w:t>certificate</w:t>
            </w:r>
            <w:r w:rsidRPr="002C152F">
              <w:rPr>
                <w:rFonts w:ascii="Arial" w:hAnsi="Arial" w:cs="Arial"/>
                <w:i/>
                <w:spacing w:val="-3"/>
              </w:rPr>
              <w:t xml:space="preserve"> </w:t>
            </w:r>
            <w:r w:rsidRPr="002C152F">
              <w:rPr>
                <w:rFonts w:ascii="Arial" w:hAnsi="Arial" w:cs="Arial"/>
                <w:i/>
              </w:rPr>
              <w:t>in</w:t>
            </w:r>
            <w:r w:rsidRPr="002C152F">
              <w:rPr>
                <w:rFonts w:ascii="Arial" w:hAnsi="Arial" w:cs="Arial"/>
                <w:i/>
                <w:spacing w:val="-3"/>
              </w:rPr>
              <w:t xml:space="preserve"> </w:t>
            </w:r>
            <w:r w:rsidRPr="002C152F">
              <w:rPr>
                <w:rFonts w:ascii="Arial" w:hAnsi="Arial" w:cs="Arial"/>
                <w:i/>
              </w:rPr>
              <w:t>accordance</w:t>
            </w:r>
            <w:r w:rsidRPr="002C152F">
              <w:rPr>
                <w:rFonts w:ascii="Arial" w:hAnsi="Arial" w:cs="Arial"/>
                <w:i/>
                <w:spacing w:val="-5"/>
              </w:rPr>
              <w:t xml:space="preserve"> </w:t>
            </w:r>
            <w:r w:rsidRPr="002C152F">
              <w:rPr>
                <w:rFonts w:ascii="Arial" w:hAnsi="Arial" w:cs="Arial"/>
                <w:i/>
              </w:rPr>
              <w:t>with</w:t>
            </w:r>
            <w:r w:rsidRPr="002C152F">
              <w:rPr>
                <w:rFonts w:ascii="Arial" w:hAnsi="Arial" w:cs="Arial"/>
                <w:i/>
                <w:spacing w:val="-3"/>
              </w:rPr>
              <w:t xml:space="preserve"> </w:t>
            </w:r>
            <w:r w:rsidRPr="002C152F">
              <w:rPr>
                <w:rFonts w:ascii="Arial" w:hAnsi="Arial" w:cs="Arial"/>
                <w:i/>
              </w:rPr>
              <w:t>the</w:t>
            </w:r>
            <w:r w:rsidRPr="002C152F">
              <w:rPr>
                <w:rFonts w:ascii="Arial" w:hAnsi="Arial" w:cs="Arial"/>
                <w:i/>
                <w:spacing w:val="-3"/>
              </w:rPr>
              <w:t xml:space="preserve"> </w:t>
            </w:r>
            <w:r w:rsidRPr="002C152F">
              <w:rPr>
                <w:rFonts w:ascii="Arial" w:hAnsi="Arial" w:cs="Arial"/>
                <w:i/>
              </w:rPr>
              <w:t>relevant</w:t>
            </w:r>
            <w:r w:rsidRPr="002C152F">
              <w:rPr>
                <w:rFonts w:ascii="Arial" w:hAnsi="Arial" w:cs="Arial"/>
                <w:i/>
                <w:spacing w:val="-3"/>
              </w:rPr>
              <w:t xml:space="preserve"> </w:t>
            </w:r>
            <w:r w:rsidRPr="002C152F">
              <w:rPr>
                <w:rFonts w:ascii="Arial" w:hAnsi="Arial" w:cs="Arial"/>
                <w:i/>
              </w:rPr>
              <w:t>syllabus.</w:t>
            </w:r>
          </w:p>
        </w:tc>
      </w:tr>
      <w:tr w:rsidR="002C152F" w:rsidRPr="002C152F" w14:paraId="0FEA32B4" w14:textId="77777777" w:rsidTr="000873F7">
        <w:trPr>
          <w:gridAfter w:val="1"/>
          <w:wAfter w:w="14" w:type="dxa"/>
          <w:trHeight w:val="378"/>
        </w:trPr>
        <w:tc>
          <w:tcPr>
            <w:tcW w:w="4665" w:type="dxa"/>
            <w:gridSpan w:val="10"/>
          </w:tcPr>
          <w:p w14:paraId="57C9F53E" w14:textId="77777777" w:rsidR="002C152F" w:rsidRPr="002C152F" w:rsidRDefault="002C152F" w:rsidP="00456F0A">
            <w:pPr>
              <w:pStyle w:val="TableParagraph"/>
              <w:spacing w:line="243" w:lineRule="exact"/>
              <w:ind w:left="107"/>
              <w:rPr>
                <w:rFonts w:ascii="Arial" w:hAnsi="Arial" w:cs="Arial"/>
              </w:rPr>
            </w:pPr>
            <w:r w:rsidRPr="002C152F">
              <w:rPr>
                <w:rFonts w:ascii="Arial" w:hAnsi="Arial" w:cs="Arial"/>
              </w:rPr>
              <w:t>Flying</w:t>
            </w:r>
            <w:r w:rsidRPr="002C152F">
              <w:rPr>
                <w:rFonts w:ascii="Arial" w:hAnsi="Arial" w:cs="Arial"/>
                <w:spacing w:val="-4"/>
              </w:rPr>
              <w:t xml:space="preserve"> </w:t>
            </w:r>
            <w:r w:rsidRPr="002C152F">
              <w:rPr>
                <w:rFonts w:ascii="Arial" w:hAnsi="Arial" w:cs="Arial"/>
              </w:rPr>
              <w:t>hours</w:t>
            </w:r>
            <w:r w:rsidRPr="002C152F">
              <w:rPr>
                <w:rFonts w:ascii="Arial" w:hAnsi="Arial" w:cs="Arial"/>
                <w:spacing w:val="-4"/>
              </w:rPr>
              <w:t xml:space="preserve"> </w:t>
            </w:r>
            <w:r w:rsidRPr="002C152F">
              <w:rPr>
                <w:rFonts w:ascii="Arial" w:hAnsi="Arial" w:cs="Arial"/>
              </w:rPr>
              <w:t>during</w:t>
            </w:r>
            <w:r w:rsidRPr="002C152F">
              <w:rPr>
                <w:rFonts w:ascii="Arial" w:hAnsi="Arial" w:cs="Arial"/>
                <w:spacing w:val="-3"/>
              </w:rPr>
              <w:t xml:space="preserve"> </w:t>
            </w:r>
            <w:r w:rsidRPr="002C152F">
              <w:rPr>
                <w:rFonts w:ascii="Arial" w:hAnsi="Arial" w:cs="Arial"/>
              </w:rPr>
              <w:t>the</w:t>
            </w:r>
            <w:r w:rsidRPr="002C152F">
              <w:rPr>
                <w:rFonts w:ascii="Arial" w:hAnsi="Arial" w:cs="Arial"/>
                <w:spacing w:val="-3"/>
              </w:rPr>
              <w:t xml:space="preserve"> </w:t>
            </w:r>
            <w:r w:rsidRPr="002C152F">
              <w:rPr>
                <w:rFonts w:ascii="Arial" w:hAnsi="Arial" w:cs="Arial"/>
              </w:rPr>
              <w:t>course:</w:t>
            </w:r>
          </w:p>
        </w:tc>
        <w:tc>
          <w:tcPr>
            <w:tcW w:w="4506" w:type="dxa"/>
            <w:gridSpan w:val="5"/>
          </w:tcPr>
          <w:p w14:paraId="79D2328D" w14:textId="77777777" w:rsidR="002C152F" w:rsidRPr="002C152F" w:rsidRDefault="002C152F" w:rsidP="00456F0A">
            <w:pPr>
              <w:pStyle w:val="TableParagraph"/>
              <w:spacing w:line="243" w:lineRule="exact"/>
              <w:ind w:left="107"/>
              <w:rPr>
                <w:rFonts w:ascii="Arial" w:hAnsi="Arial" w:cs="Arial"/>
              </w:rPr>
            </w:pPr>
            <w:r w:rsidRPr="002C152F">
              <w:rPr>
                <w:rFonts w:ascii="Arial" w:hAnsi="Arial" w:cs="Arial"/>
              </w:rPr>
              <w:t>Take-offs</w:t>
            </w:r>
            <w:r w:rsidRPr="002C152F">
              <w:rPr>
                <w:rFonts w:ascii="Arial" w:hAnsi="Arial" w:cs="Arial"/>
                <w:spacing w:val="-4"/>
              </w:rPr>
              <w:t xml:space="preserve"> </w:t>
            </w:r>
            <w:r w:rsidRPr="002C152F">
              <w:rPr>
                <w:rFonts w:ascii="Arial" w:hAnsi="Arial" w:cs="Arial"/>
              </w:rPr>
              <w:t>during</w:t>
            </w:r>
            <w:r w:rsidRPr="002C152F">
              <w:rPr>
                <w:rFonts w:ascii="Arial" w:hAnsi="Arial" w:cs="Arial"/>
                <w:spacing w:val="-3"/>
              </w:rPr>
              <w:t xml:space="preserve"> </w:t>
            </w:r>
            <w:r w:rsidRPr="002C152F">
              <w:rPr>
                <w:rFonts w:ascii="Arial" w:hAnsi="Arial" w:cs="Arial"/>
              </w:rPr>
              <w:t>the</w:t>
            </w:r>
            <w:r w:rsidRPr="002C152F">
              <w:rPr>
                <w:rFonts w:ascii="Arial" w:hAnsi="Arial" w:cs="Arial"/>
                <w:spacing w:val="-3"/>
              </w:rPr>
              <w:t xml:space="preserve"> </w:t>
            </w:r>
            <w:r w:rsidRPr="002C152F">
              <w:rPr>
                <w:rFonts w:ascii="Arial" w:hAnsi="Arial" w:cs="Arial"/>
              </w:rPr>
              <w:t>course:</w:t>
            </w:r>
          </w:p>
        </w:tc>
      </w:tr>
      <w:tr w:rsidR="002C152F" w:rsidRPr="002C152F" w14:paraId="0F0A9E69" w14:textId="77777777" w:rsidTr="000873F7">
        <w:trPr>
          <w:gridAfter w:val="1"/>
          <w:wAfter w:w="14" w:type="dxa"/>
          <w:trHeight w:val="378"/>
        </w:trPr>
        <w:tc>
          <w:tcPr>
            <w:tcW w:w="9171" w:type="dxa"/>
            <w:gridSpan w:val="15"/>
          </w:tcPr>
          <w:p w14:paraId="26A7D106" w14:textId="77777777" w:rsidR="002C152F" w:rsidRPr="002C152F" w:rsidRDefault="002C152F" w:rsidP="00456F0A">
            <w:pPr>
              <w:pStyle w:val="TableParagraph"/>
              <w:spacing w:line="243" w:lineRule="exact"/>
              <w:ind w:left="107"/>
              <w:rPr>
                <w:rFonts w:ascii="Arial" w:hAnsi="Arial" w:cs="Arial"/>
              </w:rPr>
            </w:pPr>
            <w:r w:rsidRPr="002C152F">
              <w:rPr>
                <w:rFonts w:ascii="Arial" w:hAnsi="Arial" w:cs="Arial"/>
              </w:rPr>
              <w:t>Name(s)</w:t>
            </w:r>
            <w:r w:rsidRPr="002C152F">
              <w:rPr>
                <w:rFonts w:ascii="Arial" w:hAnsi="Arial" w:cs="Arial"/>
                <w:spacing w:val="-3"/>
              </w:rPr>
              <w:t xml:space="preserve"> </w:t>
            </w:r>
            <w:r w:rsidRPr="002C152F">
              <w:rPr>
                <w:rFonts w:ascii="Arial" w:hAnsi="Arial" w:cs="Arial"/>
              </w:rPr>
              <w:t>of</w:t>
            </w:r>
            <w:r w:rsidRPr="002C152F">
              <w:rPr>
                <w:rFonts w:ascii="Arial" w:hAnsi="Arial" w:cs="Arial"/>
                <w:spacing w:val="-4"/>
              </w:rPr>
              <w:t xml:space="preserve"> </w:t>
            </w:r>
            <w:r w:rsidRPr="002C152F">
              <w:rPr>
                <w:rFonts w:ascii="Arial" w:hAnsi="Arial" w:cs="Arial"/>
              </w:rPr>
              <w:t>HT:</w:t>
            </w:r>
          </w:p>
        </w:tc>
      </w:tr>
      <w:tr w:rsidR="002C152F" w:rsidRPr="002C152F" w14:paraId="370B6E1F" w14:textId="77777777" w:rsidTr="000873F7">
        <w:trPr>
          <w:gridAfter w:val="1"/>
          <w:wAfter w:w="14" w:type="dxa"/>
          <w:trHeight w:val="376"/>
        </w:trPr>
        <w:tc>
          <w:tcPr>
            <w:tcW w:w="9171" w:type="dxa"/>
            <w:gridSpan w:val="15"/>
          </w:tcPr>
          <w:p w14:paraId="256BE3B5" w14:textId="77777777" w:rsidR="002C152F" w:rsidRPr="002C152F" w:rsidRDefault="002C152F" w:rsidP="00456F0A">
            <w:pPr>
              <w:pStyle w:val="TableParagraph"/>
              <w:spacing w:line="243" w:lineRule="exact"/>
              <w:ind w:left="107"/>
              <w:rPr>
                <w:rFonts w:ascii="Arial" w:hAnsi="Arial" w:cs="Arial"/>
              </w:rPr>
            </w:pPr>
            <w:r w:rsidRPr="002C152F">
              <w:rPr>
                <w:rFonts w:ascii="Arial" w:hAnsi="Arial" w:cs="Arial"/>
              </w:rPr>
              <w:t>Signature:</w:t>
            </w:r>
          </w:p>
        </w:tc>
      </w:tr>
      <w:tr w:rsidR="002C152F" w:rsidRPr="002C152F" w14:paraId="424485D3" w14:textId="77777777" w:rsidTr="000873F7">
        <w:trPr>
          <w:gridAfter w:val="1"/>
          <w:wAfter w:w="14" w:type="dxa"/>
          <w:trHeight w:val="381"/>
        </w:trPr>
        <w:tc>
          <w:tcPr>
            <w:tcW w:w="9171" w:type="dxa"/>
            <w:gridSpan w:val="15"/>
          </w:tcPr>
          <w:p w14:paraId="4C8C6D28" w14:textId="77777777" w:rsidR="002C152F" w:rsidRPr="002C152F" w:rsidRDefault="002C152F" w:rsidP="00456F0A">
            <w:pPr>
              <w:pStyle w:val="TableParagraph"/>
              <w:spacing w:before="1"/>
              <w:ind w:left="107"/>
              <w:rPr>
                <w:rFonts w:ascii="Arial" w:hAnsi="Arial" w:cs="Arial"/>
              </w:rPr>
            </w:pPr>
            <w:r w:rsidRPr="002C152F">
              <w:rPr>
                <w:rFonts w:ascii="Arial" w:hAnsi="Arial" w:cs="Arial"/>
              </w:rPr>
              <w:t>Name</w:t>
            </w:r>
            <w:r w:rsidRPr="002C152F">
              <w:rPr>
                <w:rFonts w:ascii="Arial" w:hAnsi="Arial" w:cs="Arial"/>
                <w:spacing w:val="-5"/>
              </w:rPr>
              <w:t xml:space="preserve"> </w:t>
            </w:r>
            <w:r w:rsidRPr="002C152F">
              <w:rPr>
                <w:rFonts w:ascii="Arial" w:hAnsi="Arial" w:cs="Arial"/>
              </w:rPr>
              <w:t>of</w:t>
            </w:r>
            <w:r w:rsidRPr="002C152F">
              <w:rPr>
                <w:rFonts w:ascii="Arial" w:hAnsi="Arial" w:cs="Arial"/>
                <w:spacing w:val="-5"/>
              </w:rPr>
              <w:t xml:space="preserve"> </w:t>
            </w:r>
            <w:r w:rsidRPr="002C152F">
              <w:rPr>
                <w:rFonts w:ascii="Arial" w:hAnsi="Arial" w:cs="Arial"/>
              </w:rPr>
              <w:t>ATO/DTO:</w:t>
            </w:r>
          </w:p>
        </w:tc>
      </w:tr>
      <w:tr w:rsidR="002C152F" w:rsidRPr="002C152F" w14:paraId="6F3C9F9D" w14:textId="77777777" w:rsidTr="005E15BF">
        <w:trPr>
          <w:gridAfter w:val="1"/>
          <w:wAfter w:w="14" w:type="dxa"/>
          <w:trHeight w:val="259"/>
        </w:trPr>
        <w:tc>
          <w:tcPr>
            <w:tcW w:w="9171" w:type="dxa"/>
            <w:gridSpan w:val="15"/>
            <w:shd w:val="clear" w:color="auto" w:fill="F2F2F2" w:themeFill="background1" w:themeFillShade="F2"/>
          </w:tcPr>
          <w:p w14:paraId="59CED7E0" w14:textId="4D26D34C" w:rsidR="002C152F" w:rsidRPr="002C152F" w:rsidRDefault="00636A11" w:rsidP="00636A11">
            <w:pPr>
              <w:pStyle w:val="TableParagraph"/>
              <w:spacing w:before="8" w:line="230" w:lineRule="exact"/>
              <w:ind w:right="1404"/>
              <w:jc w:val="center"/>
              <w:rPr>
                <w:rFonts w:ascii="Arial" w:hAnsi="Arial" w:cs="Arial"/>
                <w:b/>
                <w:i/>
              </w:rPr>
            </w:pPr>
            <w:r>
              <w:rPr>
                <w:rFonts w:ascii="Arial" w:hAnsi="Arial" w:cs="Arial"/>
                <w:b/>
                <w:i/>
              </w:rPr>
              <w:t xml:space="preserve">                            </w:t>
            </w:r>
            <w:r w:rsidR="002C152F" w:rsidRPr="002C152F">
              <w:rPr>
                <w:rFonts w:ascii="Arial" w:hAnsi="Arial" w:cs="Arial"/>
                <w:b/>
                <w:i/>
              </w:rPr>
              <w:t>FROM</w:t>
            </w:r>
            <w:r w:rsidR="002C152F" w:rsidRPr="002C152F">
              <w:rPr>
                <w:rFonts w:ascii="Arial" w:hAnsi="Arial" w:cs="Arial"/>
                <w:b/>
                <w:i/>
                <w:spacing w:val="-3"/>
              </w:rPr>
              <w:t xml:space="preserve"> </w:t>
            </w:r>
            <w:r w:rsidR="002C152F" w:rsidRPr="002C152F">
              <w:rPr>
                <w:rFonts w:ascii="Arial" w:hAnsi="Arial" w:cs="Arial"/>
                <w:b/>
                <w:i/>
              </w:rPr>
              <w:t>HERE</w:t>
            </w:r>
            <w:r w:rsidR="002C152F" w:rsidRPr="002C152F">
              <w:rPr>
                <w:rFonts w:ascii="Arial" w:hAnsi="Arial" w:cs="Arial"/>
                <w:b/>
                <w:i/>
                <w:spacing w:val="-2"/>
              </w:rPr>
              <w:t xml:space="preserve"> </w:t>
            </w:r>
            <w:r w:rsidR="002C152F" w:rsidRPr="002C152F">
              <w:rPr>
                <w:rFonts w:ascii="Arial" w:hAnsi="Arial" w:cs="Arial"/>
                <w:b/>
                <w:i/>
              </w:rPr>
              <w:t>TO</w:t>
            </w:r>
            <w:r w:rsidR="002C152F" w:rsidRPr="002C152F">
              <w:rPr>
                <w:rFonts w:ascii="Arial" w:hAnsi="Arial" w:cs="Arial"/>
                <w:b/>
                <w:i/>
                <w:spacing w:val="-3"/>
              </w:rPr>
              <w:t xml:space="preserve"> </w:t>
            </w:r>
            <w:r w:rsidR="002C152F" w:rsidRPr="002C152F">
              <w:rPr>
                <w:rFonts w:ascii="Arial" w:hAnsi="Arial" w:cs="Arial"/>
                <w:b/>
                <w:i/>
              </w:rPr>
              <w:t>BE</w:t>
            </w:r>
            <w:r w:rsidR="002C152F" w:rsidRPr="002C152F">
              <w:rPr>
                <w:rFonts w:ascii="Arial" w:hAnsi="Arial" w:cs="Arial"/>
                <w:b/>
                <w:i/>
                <w:spacing w:val="-1"/>
              </w:rPr>
              <w:t xml:space="preserve"> </w:t>
            </w:r>
            <w:r w:rsidR="002C152F" w:rsidRPr="002C152F">
              <w:rPr>
                <w:rFonts w:ascii="Arial" w:hAnsi="Arial" w:cs="Arial"/>
                <w:b/>
                <w:i/>
              </w:rPr>
              <w:t>COMPLETED</w:t>
            </w:r>
            <w:r w:rsidR="002C152F" w:rsidRPr="002C152F">
              <w:rPr>
                <w:rFonts w:ascii="Arial" w:hAnsi="Arial" w:cs="Arial"/>
                <w:b/>
                <w:i/>
                <w:spacing w:val="-3"/>
              </w:rPr>
              <w:t xml:space="preserve"> </w:t>
            </w:r>
            <w:r w:rsidR="002C152F" w:rsidRPr="002C152F">
              <w:rPr>
                <w:rFonts w:ascii="Arial" w:hAnsi="Arial" w:cs="Arial"/>
                <w:b/>
                <w:i/>
              </w:rPr>
              <w:t>BY</w:t>
            </w:r>
            <w:r w:rsidR="002C152F" w:rsidRPr="002C152F">
              <w:rPr>
                <w:rFonts w:ascii="Arial" w:hAnsi="Arial" w:cs="Arial"/>
                <w:b/>
                <w:i/>
                <w:spacing w:val="-1"/>
              </w:rPr>
              <w:t xml:space="preserve"> </w:t>
            </w:r>
            <w:r w:rsidR="002C152F" w:rsidRPr="002C152F">
              <w:rPr>
                <w:rFonts w:ascii="Arial" w:hAnsi="Arial" w:cs="Arial"/>
                <w:b/>
                <w:i/>
              </w:rPr>
              <w:t>THE</w:t>
            </w:r>
            <w:r w:rsidR="002C152F" w:rsidRPr="002C152F">
              <w:rPr>
                <w:rFonts w:ascii="Arial" w:hAnsi="Arial" w:cs="Arial"/>
                <w:b/>
                <w:i/>
                <w:spacing w:val="-2"/>
              </w:rPr>
              <w:t xml:space="preserve"> </w:t>
            </w:r>
            <w:r w:rsidR="002C152F" w:rsidRPr="002C152F">
              <w:rPr>
                <w:rFonts w:ascii="Arial" w:hAnsi="Arial" w:cs="Arial"/>
                <w:b/>
                <w:i/>
              </w:rPr>
              <w:t>EXAMINER</w:t>
            </w:r>
          </w:p>
        </w:tc>
      </w:tr>
      <w:tr w:rsidR="002C152F" w:rsidRPr="002C152F" w14:paraId="5C9CE748" w14:textId="77777777" w:rsidTr="00AC6D92">
        <w:trPr>
          <w:gridAfter w:val="1"/>
          <w:wAfter w:w="14" w:type="dxa"/>
          <w:trHeight w:val="239"/>
        </w:trPr>
        <w:tc>
          <w:tcPr>
            <w:tcW w:w="510" w:type="dxa"/>
            <w:gridSpan w:val="2"/>
            <w:shd w:val="clear" w:color="auto" w:fill="F2F2F2" w:themeFill="background1" w:themeFillShade="F2"/>
          </w:tcPr>
          <w:p w14:paraId="03C431D1" w14:textId="77777777" w:rsidR="002C152F" w:rsidRPr="002C152F" w:rsidRDefault="002C152F" w:rsidP="00456F0A">
            <w:pPr>
              <w:pStyle w:val="TableParagraph"/>
              <w:spacing w:line="220" w:lineRule="exact"/>
              <w:ind w:left="0" w:right="24"/>
              <w:jc w:val="center"/>
              <w:rPr>
                <w:rFonts w:ascii="Arial" w:hAnsi="Arial" w:cs="Arial"/>
                <w:b/>
              </w:rPr>
            </w:pPr>
            <w:r w:rsidRPr="002C152F">
              <w:rPr>
                <w:rFonts w:ascii="Arial" w:hAnsi="Arial" w:cs="Arial"/>
                <w:b/>
                <w:w w:val="99"/>
              </w:rPr>
              <w:t>6</w:t>
            </w:r>
          </w:p>
        </w:tc>
        <w:tc>
          <w:tcPr>
            <w:tcW w:w="8661" w:type="dxa"/>
            <w:gridSpan w:val="13"/>
            <w:shd w:val="clear" w:color="auto" w:fill="F2F2F2" w:themeFill="background1" w:themeFillShade="F2"/>
          </w:tcPr>
          <w:p w14:paraId="18B7C212" w14:textId="77777777" w:rsidR="002C152F" w:rsidRPr="002C152F" w:rsidRDefault="002C152F" w:rsidP="00456F0A">
            <w:pPr>
              <w:pStyle w:val="TableParagraph"/>
              <w:spacing w:line="220" w:lineRule="exact"/>
              <w:ind w:left="107"/>
              <w:rPr>
                <w:rFonts w:ascii="Arial" w:hAnsi="Arial" w:cs="Arial"/>
                <w:b/>
              </w:rPr>
            </w:pPr>
            <w:r w:rsidRPr="002C152F">
              <w:rPr>
                <w:rFonts w:ascii="Arial" w:hAnsi="Arial" w:cs="Arial"/>
                <w:b/>
              </w:rPr>
              <w:t>Result</w:t>
            </w:r>
            <w:r w:rsidRPr="002C152F">
              <w:rPr>
                <w:rFonts w:ascii="Arial" w:hAnsi="Arial" w:cs="Arial"/>
                <w:b/>
                <w:spacing w:val="-2"/>
              </w:rPr>
              <w:t xml:space="preserve"> </w:t>
            </w:r>
            <w:r w:rsidRPr="002C152F">
              <w:rPr>
                <w:rFonts w:ascii="Arial" w:hAnsi="Arial" w:cs="Arial"/>
                <w:b/>
              </w:rPr>
              <w:t>of</w:t>
            </w:r>
            <w:r w:rsidRPr="002C152F">
              <w:rPr>
                <w:rFonts w:ascii="Arial" w:hAnsi="Arial" w:cs="Arial"/>
                <w:b/>
                <w:spacing w:val="-3"/>
              </w:rPr>
              <w:t xml:space="preserve"> </w:t>
            </w:r>
            <w:r w:rsidRPr="002C152F">
              <w:rPr>
                <w:rFonts w:ascii="Arial" w:hAnsi="Arial" w:cs="Arial"/>
                <w:b/>
              </w:rPr>
              <w:t>the</w:t>
            </w:r>
            <w:r w:rsidRPr="002C152F">
              <w:rPr>
                <w:rFonts w:ascii="Arial" w:hAnsi="Arial" w:cs="Arial"/>
                <w:b/>
                <w:spacing w:val="-2"/>
              </w:rPr>
              <w:t xml:space="preserve"> </w:t>
            </w:r>
            <w:r w:rsidRPr="002C152F">
              <w:rPr>
                <w:rFonts w:ascii="Arial" w:hAnsi="Arial" w:cs="Arial"/>
                <w:b/>
              </w:rPr>
              <w:t>assessment</w:t>
            </w:r>
            <w:r w:rsidRPr="002C152F">
              <w:rPr>
                <w:rFonts w:ascii="Arial" w:hAnsi="Arial" w:cs="Arial"/>
                <w:b/>
                <w:spacing w:val="-2"/>
              </w:rPr>
              <w:t xml:space="preserve"> </w:t>
            </w:r>
            <w:r w:rsidRPr="002C152F">
              <w:rPr>
                <w:rFonts w:ascii="Arial" w:hAnsi="Arial" w:cs="Arial"/>
                <w:b/>
              </w:rPr>
              <w:t>of</w:t>
            </w:r>
            <w:r w:rsidRPr="002C152F">
              <w:rPr>
                <w:rFonts w:ascii="Arial" w:hAnsi="Arial" w:cs="Arial"/>
                <w:b/>
                <w:spacing w:val="-3"/>
              </w:rPr>
              <w:t xml:space="preserve"> </w:t>
            </w:r>
            <w:r w:rsidRPr="002C152F">
              <w:rPr>
                <w:rFonts w:ascii="Arial" w:hAnsi="Arial" w:cs="Arial"/>
                <w:b/>
              </w:rPr>
              <w:t>competence</w:t>
            </w:r>
          </w:p>
        </w:tc>
      </w:tr>
      <w:tr w:rsidR="002C152F" w:rsidRPr="002C152F" w14:paraId="224E1955" w14:textId="77777777" w:rsidTr="000873F7">
        <w:trPr>
          <w:gridAfter w:val="1"/>
          <w:wAfter w:w="14" w:type="dxa"/>
          <w:trHeight w:val="733"/>
        </w:trPr>
        <w:tc>
          <w:tcPr>
            <w:tcW w:w="2418" w:type="dxa"/>
            <w:gridSpan w:val="4"/>
          </w:tcPr>
          <w:p w14:paraId="0A619E95" w14:textId="20B26F5C" w:rsidR="002C152F" w:rsidRPr="002C152F" w:rsidRDefault="002C152F" w:rsidP="00636A11">
            <w:pPr>
              <w:pStyle w:val="TableParagraph"/>
              <w:spacing w:before="121"/>
              <w:ind w:left="107" w:right="-242"/>
              <w:rPr>
                <w:rFonts w:ascii="Arial" w:hAnsi="Arial" w:cs="Arial"/>
              </w:rPr>
            </w:pPr>
            <w:r w:rsidRPr="002C152F">
              <w:rPr>
                <w:rFonts w:ascii="Arial" w:hAnsi="Arial" w:cs="Arial"/>
              </w:rPr>
              <w:t>Oral theoretical</w:t>
            </w:r>
            <w:r w:rsidRPr="002C152F">
              <w:rPr>
                <w:rFonts w:ascii="Arial" w:hAnsi="Arial" w:cs="Arial"/>
                <w:spacing w:val="1"/>
              </w:rPr>
              <w:t xml:space="preserve"> </w:t>
            </w:r>
            <w:r w:rsidRPr="002C152F">
              <w:rPr>
                <w:rFonts w:ascii="Arial" w:hAnsi="Arial" w:cs="Arial"/>
              </w:rPr>
              <w:t>knowledge</w:t>
            </w:r>
            <w:r w:rsidR="00636A11">
              <w:rPr>
                <w:rFonts w:ascii="Arial" w:hAnsi="Arial" w:cs="Arial"/>
                <w:spacing w:val="-8"/>
              </w:rPr>
              <w:t xml:space="preserve"> </w:t>
            </w:r>
            <w:r w:rsidRPr="002C152F">
              <w:rPr>
                <w:rFonts w:ascii="Arial" w:hAnsi="Arial" w:cs="Arial"/>
              </w:rPr>
              <w:t>examination:</w:t>
            </w:r>
          </w:p>
        </w:tc>
        <w:tc>
          <w:tcPr>
            <w:tcW w:w="2247" w:type="dxa"/>
            <w:gridSpan w:val="6"/>
          </w:tcPr>
          <w:p w14:paraId="5E0D8368" w14:textId="77777777" w:rsidR="002C152F" w:rsidRPr="002C152F" w:rsidRDefault="002C152F" w:rsidP="00636A11">
            <w:pPr>
              <w:pStyle w:val="TableParagraph"/>
              <w:numPr>
                <w:ilvl w:val="0"/>
                <w:numId w:val="472"/>
              </w:numPr>
              <w:spacing w:line="243" w:lineRule="exact"/>
              <w:rPr>
                <w:rFonts w:ascii="Arial" w:hAnsi="Arial" w:cs="Arial"/>
              </w:rPr>
            </w:pPr>
            <w:r w:rsidRPr="002C152F">
              <w:rPr>
                <w:rFonts w:ascii="Arial" w:hAnsi="Arial" w:cs="Arial"/>
              </w:rPr>
              <w:t>Passed</w:t>
            </w:r>
          </w:p>
          <w:p w14:paraId="615BB50C" w14:textId="1AE7DD59" w:rsidR="00636A11" w:rsidRPr="00636A11" w:rsidRDefault="002C152F" w:rsidP="00636A11">
            <w:pPr>
              <w:pStyle w:val="TableParagraph"/>
              <w:numPr>
                <w:ilvl w:val="0"/>
                <w:numId w:val="472"/>
              </w:numPr>
              <w:spacing w:line="240" w:lineRule="atLeast"/>
              <w:ind w:right="-408"/>
              <w:rPr>
                <w:rFonts w:ascii="Arial" w:hAnsi="Arial" w:cs="Arial"/>
              </w:rPr>
            </w:pPr>
            <w:r w:rsidRPr="002C152F">
              <w:rPr>
                <w:rFonts w:ascii="Arial" w:hAnsi="Arial" w:cs="Arial"/>
                <w:spacing w:val="-1"/>
              </w:rPr>
              <w:t>Partially</w:t>
            </w:r>
            <w:r w:rsidR="00636A11">
              <w:rPr>
                <w:rFonts w:ascii="Arial" w:hAnsi="Arial" w:cs="Arial"/>
                <w:spacing w:val="-1"/>
              </w:rPr>
              <w:t xml:space="preserve"> </w:t>
            </w:r>
            <w:r w:rsidRPr="002C152F">
              <w:rPr>
                <w:rFonts w:ascii="Arial" w:hAnsi="Arial" w:cs="Arial"/>
              </w:rPr>
              <w:t>passed</w:t>
            </w:r>
          </w:p>
          <w:p w14:paraId="47771F59" w14:textId="0C101E01" w:rsidR="002C152F" w:rsidRPr="002C152F" w:rsidRDefault="002C152F" w:rsidP="00636A11">
            <w:pPr>
              <w:pStyle w:val="TableParagraph"/>
              <w:numPr>
                <w:ilvl w:val="0"/>
                <w:numId w:val="472"/>
              </w:numPr>
              <w:spacing w:line="240" w:lineRule="atLeast"/>
              <w:ind w:right="536"/>
              <w:rPr>
                <w:rFonts w:ascii="Arial" w:hAnsi="Arial" w:cs="Arial"/>
              </w:rPr>
            </w:pPr>
            <w:r w:rsidRPr="002C152F">
              <w:rPr>
                <w:rFonts w:ascii="Arial" w:hAnsi="Arial" w:cs="Arial"/>
              </w:rPr>
              <w:t>Failed</w:t>
            </w:r>
          </w:p>
        </w:tc>
        <w:tc>
          <w:tcPr>
            <w:tcW w:w="2269" w:type="dxa"/>
            <w:gridSpan w:val="3"/>
          </w:tcPr>
          <w:p w14:paraId="3FFA68C2" w14:textId="77777777" w:rsidR="002C152F" w:rsidRPr="002C152F" w:rsidRDefault="002C152F" w:rsidP="00456F0A">
            <w:pPr>
              <w:pStyle w:val="TableParagraph"/>
              <w:spacing w:before="11"/>
              <w:ind w:left="0"/>
              <w:rPr>
                <w:rFonts w:ascii="Arial" w:hAnsi="Arial" w:cs="Arial"/>
                <w:b/>
              </w:rPr>
            </w:pPr>
          </w:p>
          <w:p w14:paraId="0491A2A3" w14:textId="77777777" w:rsidR="002C152F" w:rsidRPr="002C152F" w:rsidRDefault="002C152F" w:rsidP="00456F0A">
            <w:pPr>
              <w:pStyle w:val="TableParagraph"/>
              <w:spacing w:before="1"/>
              <w:ind w:left="114"/>
              <w:rPr>
                <w:rFonts w:ascii="Arial" w:hAnsi="Arial" w:cs="Arial"/>
              </w:rPr>
            </w:pPr>
            <w:r w:rsidRPr="002C152F">
              <w:rPr>
                <w:rFonts w:ascii="Arial" w:hAnsi="Arial" w:cs="Arial"/>
              </w:rPr>
              <w:t>Practical</w:t>
            </w:r>
            <w:r w:rsidRPr="002C152F">
              <w:rPr>
                <w:rFonts w:ascii="Arial" w:hAnsi="Arial" w:cs="Arial"/>
                <w:spacing w:val="-2"/>
              </w:rPr>
              <w:t xml:space="preserve"> </w:t>
            </w:r>
            <w:r w:rsidRPr="002C152F">
              <w:rPr>
                <w:rFonts w:ascii="Arial" w:hAnsi="Arial" w:cs="Arial"/>
              </w:rPr>
              <w:t>part:</w:t>
            </w:r>
          </w:p>
        </w:tc>
        <w:tc>
          <w:tcPr>
            <w:tcW w:w="2237" w:type="dxa"/>
            <w:gridSpan w:val="2"/>
          </w:tcPr>
          <w:p w14:paraId="6218F79E" w14:textId="77777777" w:rsidR="002C152F" w:rsidRPr="002C152F" w:rsidRDefault="002C152F" w:rsidP="00636A11">
            <w:pPr>
              <w:pStyle w:val="TableParagraph"/>
              <w:numPr>
                <w:ilvl w:val="0"/>
                <w:numId w:val="473"/>
              </w:numPr>
              <w:spacing w:line="243" w:lineRule="exact"/>
              <w:rPr>
                <w:rFonts w:ascii="Arial" w:hAnsi="Arial" w:cs="Arial"/>
              </w:rPr>
            </w:pPr>
            <w:r w:rsidRPr="002C152F">
              <w:rPr>
                <w:rFonts w:ascii="Arial" w:hAnsi="Arial" w:cs="Arial"/>
              </w:rPr>
              <w:t>Passed</w:t>
            </w:r>
          </w:p>
          <w:p w14:paraId="6910E668" w14:textId="77777777" w:rsidR="00636A11" w:rsidRPr="00636A11" w:rsidRDefault="002C152F" w:rsidP="00636A11">
            <w:pPr>
              <w:pStyle w:val="TableParagraph"/>
              <w:numPr>
                <w:ilvl w:val="0"/>
                <w:numId w:val="473"/>
              </w:numPr>
              <w:spacing w:line="240" w:lineRule="atLeast"/>
              <w:ind w:right="128"/>
              <w:rPr>
                <w:rFonts w:ascii="Arial" w:hAnsi="Arial" w:cs="Arial"/>
              </w:rPr>
            </w:pPr>
            <w:r w:rsidRPr="002C152F">
              <w:rPr>
                <w:rFonts w:ascii="Arial" w:hAnsi="Arial" w:cs="Arial"/>
                <w:spacing w:val="-1"/>
              </w:rPr>
              <w:t xml:space="preserve">Partially </w:t>
            </w:r>
            <w:r w:rsidRPr="002C152F">
              <w:rPr>
                <w:rFonts w:ascii="Arial" w:hAnsi="Arial" w:cs="Arial"/>
              </w:rPr>
              <w:t>passed</w:t>
            </w:r>
          </w:p>
          <w:p w14:paraId="72E04F46" w14:textId="7EC1BA31" w:rsidR="002C152F" w:rsidRPr="002C152F" w:rsidRDefault="002C152F" w:rsidP="00636A11">
            <w:pPr>
              <w:pStyle w:val="TableParagraph"/>
              <w:numPr>
                <w:ilvl w:val="0"/>
                <w:numId w:val="473"/>
              </w:numPr>
              <w:spacing w:line="240" w:lineRule="atLeast"/>
              <w:ind w:right="522"/>
              <w:rPr>
                <w:rFonts w:ascii="Arial" w:hAnsi="Arial" w:cs="Arial"/>
              </w:rPr>
            </w:pPr>
            <w:r w:rsidRPr="002C152F">
              <w:rPr>
                <w:rFonts w:ascii="Arial" w:hAnsi="Arial" w:cs="Arial"/>
              </w:rPr>
              <w:t>Failed</w:t>
            </w:r>
          </w:p>
        </w:tc>
      </w:tr>
      <w:tr w:rsidR="00786341" w:rsidRPr="00276D5E" w14:paraId="7A73B212" w14:textId="77777777" w:rsidTr="000873F7">
        <w:trPr>
          <w:trHeight w:val="786"/>
        </w:trPr>
        <w:tc>
          <w:tcPr>
            <w:tcW w:w="9180" w:type="dxa"/>
            <w:gridSpan w:val="16"/>
          </w:tcPr>
          <w:p w14:paraId="292E90BF" w14:textId="77777777" w:rsidR="00786341" w:rsidRPr="00276D5E" w:rsidRDefault="00786341" w:rsidP="00456F0A">
            <w:pPr>
              <w:pStyle w:val="TableParagraph"/>
              <w:spacing w:line="243" w:lineRule="exact"/>
              <w:ind w:left="107"/>
              <w:rPr>
                <w:rFonts w:ascii="Arial" w:hAnsi="Arial" w:cs="Arial"/>
              </w:rPr>
            </w:pPr>
            <w:r w:rsidRPr="00276D5E">
              <w:rPr>
                <w:rFonts w:ascii="Arial" w:hAnsi="Arial" w:cs="Arial"/>
              </w:rPr>
              <w:t>Reasons</w:t>
            </w:r>
            <w:r w:rsidRPr="00276D5E">
              <w:rPr>
                <w:rFonts w:ascii="Arial" w:hAnsi="Arial" w:cs="Arial"/>
                <w:spacing w:val="-4"/>
              </w:rPr>
              <w:t xml:space="preserve"> </w:t>
            </w:r>
            <w:r w:rsidRPr="00276D5E">
              <w:rPr>
                <w:rFonts w:ascii="Arial" w:hAnsi="Arial" w:cs="Arial"/>
              </w:rPr>
              <w:t>and</w:t>
            </w:r>
            <w:r w:rsidRPr="00276D5E">
              <w:rPr>
                <w:rFonts w:ascii="Arial" w:hAnsi="Arial" w:cs="Arial"/>
                <w:spacing w:val="-2"/>
              </w:rPr>
              <w:t xml:space="preserve"> </w:t>
            </w:r>
            <w:r w:rsidRPr="00276D5E">
              <w:rPr>
                <w:rFonts w:ascii="Arial" w:hAnsi="Arial" w:cs="Arial"/>
              </w:rPr>
              <w:t>details</w:t>
            </w:r>
            <w:r w:rsidRPr="00276D5E">
              <w:rPr>
                <w:rFonts w:ascii="Arial" w:hAnsi="Arial" w:cs="Arial"/>
                <w:spacing w:val="-4"/>
              </w:rPr>
              <w:t xml:space="preserve"> </w:t>
            </w:r>
            <w:r w:rsidRPr="00276D5E">
              <w:rPr>
                <w:rFonts w:ascii="Arial" w:hAnsi="Arial" w:cs="Arial"/>
              </w:rPr>
              <w:t>in</w:t>
            </w:r>
            <w:r w:rsidRPr="00276D5E">
              <w:rPr>
                <w:rFonts w:ascii="Arial" w:hAnsi="Arial" w:cs="Arial"/>
                <w:spacing w:val="-1"/>
              </w:rPr>
              <w:t xml:space="preserve"> </w:t>
            </w:r>
            <w:r w:rsidRPr="00276D5E">
              <w:rPr>
                <w:rFonts w:ascii="Arial" w:hAnsi="Arial" w:cs="Arial"/>
              </w:rPr>
              <w:t>case</w:t>
            </w:r>
            <w:r w:rsidRPr="00276D5E">
              <w:rPr>
                <w:rFonts w:ascii="Arial" w:hAnsi="Arial" w:cs="Arial"/>
                <w:spacing w:val="-2"/>
              </w:rPr>
              <w:t xml:space="preserve"> </w:t>
            </w:r>
            <w:r w:rsidRPr="00276D5E">
              <w:rPr>
                <w:rFonts w:ascii="Arial" w:hAnsi="Arial" w:cs="Arial"/>
              </w:rPr>
              <w:t>of</w:t>
            </w:r>
            <w:r w:rsidRPr="00276D5E">
              <w:rPr>
                <w:rFonts w:ascii="Arial" w:hAnsi="Arial" w:cs="Arial"/>
                <w:spacing w:val="-1"/>
              </w:rPr>
              <w:t xml:space="preserve"> </w:t>
            </w:r>
            <w:r w:rsidRPr="00276D5E">
              <w:rPr>
                <w:rFonts w:ascii="Arial" w:hAnsi="Arial" w:cs="Arial"/>
              </w:rPr>
              <w:t>fail</w:t>
            </w:r>
            <w:r w:rsidRPr="00276D5E">
              <w:rPr>
                <w:rFonts w:ascii="Arial" w:hAnsi="Arial" w:cs="Arial"/>
                <w:spacing w:val="-3"/>
              </w:rPr>
              <w:t xml:space="preserve"> </w:t>
            </w:r>
            <w:r w:rsidRPr="00276D5E">
              <w:rPr>
                <w:rFonts w:ascii="Arial" w:hAnsi="Arial" w:cs="Arial"/>
              </w:rPr>
              <w:t>or</w:t>
            </w:r>
            <w:r w:rsidRPr="00276D5E">
              <w:rPr>
                <w:rFonts w:ascii="Arial" w:hAnsi="Arial" w:cs="Arial"/>
                <w:spacing w:val="-2"/>
              </w:rPr>
              <w:t xml:space="preserve"> </w:t>
            </w:r>
            <w:r w:rsidRPr="00276D5E">
              <w:rPr>
                <w:rFonts w:ascii="Arial" w:hAnsi="Arial" w:cs="Arial"/>
              </w:rPr>
              <w:t>partial</w:t>
            </w:r>
            <w:r w:rsidRPr="00276D5E">
              <w:rPr>
                <w:rFonts w:ascii="Arial" w:hAnsi="Arial" w:cs="Arial"/>
                <w:spacing w:val="-1"/>
              </w:rPr>
              <w:t xml:space="preserve"> </w:t>
            </w:r>
            <w:r w:rsidRPr="00276D5E">
              <w:rPr>
                <w:rFonts w:ascii="Arial" w:hAnsi="Arial" w:cs="Arial"/>
              </w:rPr>
              <w:t>pass/other</w:t>
            </w:r>
            <w:r w:rsidRPr="00276D5E">
              <w:rPr>
                <w:rFonts w:ascii="Arial" w:hAnsi="Arial" w:cs="Arial"/>
                <w:spacing w:val="-2"/>
              </w:rPr>
              <w:t xml:space="preserve"> </w:t>
            </w:r>
            <w:r w:rsidRPr="00276D5E">
              <w:rPr>
                <w:rFonts w:ascii="Arial" w:hAnsi="Arial" w:cs="Arial"/>
              </w:rPr>
              <w:t>remarks</w:t>
            </w:r>
            <w:r w:rsidRPr="00276D5E">
              <w:rPr>
                <w:rFonts w:ascii="Arial" w:hAnsi="Arial" w:cs="Arial"/>
                <w:spacing w:val="-3"/>
              </w:rPr>
              <w:t xml:space="preserve"> </w:t>
            </w:r>
            <w:r w:rsidRPr="00276D5E">
              <w:rPr>
                <w:rFonts w:ascii="Arial" w:hAnsi="Arial" w:cs="Arial"/>
              </w:rPr>
              <w:t>as</w:t>
            </w:r>
            <w:r w:rsidRPr="00276D5E">
              <w:rPr>
                <w:rFonts w:ascii="Arial" w:hAnsi="Arial" w:cs="Arial"/>
                <w:spacing w:val="-4"/>
              </w:rPr>
              <w:t xml:space="preserve"> </w:t>
            </w:r>
            <w:r w:rsidRPr="00276D5E">
              <w:rPr>
                <w:rFonts w:ascii="Arial" w:hAnsi="Arial" w:cs="Arial"/>
              </w:rPr>
              <w:t>necessary:</w:t>
            </w:r>
          </w:p>
        </w:tc>
      </w:tr>
      <w:tr w:rsidR="00786341" w:rsidRPr="00276D5E" w14:paraId="619D65D0" w14:textId="77777777" w:rsidTr="000873F7">
        <w:trPr>
          <w:trHeight w:val="489"/>
        </w:trPr>
        <w:tc>
          <w:tcPr>
            <w:tcW w:w="1984" w:type="dxa"/>
            <w:gridSpan w:val="3"/>
            <w:vMerge w:val="restart"/>
          </w:tcPr>
          <w:p w14:paraId="43834FB4" w14:textId="77777777" w:rsidR="00786341" w:rsidRPr="00276D5E" w:rsidRDefault="00786341" w:rsidP="00456F0A">
            <w:pPr>
              <w:pStyle w:val="TableParagraph"/>
              <w:spacing w:before="126"/>
              <w:ind w:left="107"/>
              <w:rPr>
                <w:rFonts w:ascii="Arial" w:hAnsi="Arial" w:cs="Arial"/>
              </w:rPr>
            </w:pPr>
            <w:r w:rsidRPr="00276D5E">
              <w:rPr>
                <w:rFonts w:ascii="Arial" w:hAnsi="Arial" w:cs="Arial"/>
              </w:rPr>
              <w:lastRenderedPageBreak/>
              <w:t>In</w:t>
            </w:r>
            <w:r w:rsidRPr="00276D5E">
              <w:rPr>
                <w:rFonts w:ascii="Arial" w:hAnsi="Arial" w:cs="Arial"/>
                <w:spacing w:val="-2"/>
              </w:rPr>
              <w:t xml:space="preserve"> </w:t>
            </w:r>
            <w:r w:rsidRPr="00276D5E">
              <w:rPr>
                <w:rFonts w:ascii="Arial" w:hAnsi="Arial" w:cs="Arial"/>
              </w:rPr>
              <w:t>case</w:t>
            </w:r>
            <w:r w:rsidRPr="00276D5E">
              <w:rPr>
                <w:rFonts w:ascii="Arial" w:hAnsi="Arial" w:cs="Arial"/>
                <w:spacing w:val="-2"/>
              </w:rPr>
              <w:t xml:space="preserve"> </w:t>
            </w:r>
            <w:r w:rsidRPr="00276D5E">
              <w:rPr>
                <w:rFonts w:ascii="Arial" w:hAnsi="Arial" w:cs="Arial"/>
              </w:rPr>
              <w:t>of</w:t>
            </w:r>
            <w:r w:rsidRPr="00276D5E">
              <w:rPr>
                <w:rFonts w:ascii="Arial" w:hAnsi="Arial" w:cs="Arial"/>
                <w:spacing w:val="-3"/>
              </w:rPr>
              <w:t xml:space="preserve"> </w:t>
            </w:r>
            <w:r w:rsidRPr="00276D5E">
              <w:rPr>
                <w:rFonts w:ascii="Arial" w:hAnsi="Arial" w:cs="Arial"/>
              </w:rPr>
              <w:t>fail:</w:t>
            </w:r>
          </w:p>
          <w:p w14:paraId="1F958D46" w14:textId="77777777" w:rsidR="00786341" w:rsidRPr="00276D5E" w:rsidRDefault="00786341" w:rsidP="00456F0A">
            <w:pPr>
              <w:pStyle w:val="TableParagraph"/>
              <w:spacing w:before="1"/>
              <w:ind w:left="107"/>
              <w:rPr>
                <w:rFonts w:ascii="Arial" w:hAnsi="Arial" w:cs="Arial"/>
                <w:i/>
              </w:rPr>
            </w:pPr>
            <w:r w:rsidRPr="00276D5E">
              <w:rPr>
                <w:rFonts w:ascii="Arial" w:hAnsi="Arial" w:cs="Arial"/>
                <w:i/>
              </w:rPr>
              <w:t>(tick</w:t>
            </w:r>
            <w:r w:rsidRPr="00276D5E">
              <w:rPr>
                <w:rFonts w:ascii="Arial" w:hAnsi="Arial" w:cs="Arial"/>
                <w:i/>
                <w:spacing w:val="-3"/>
              </w:rPr>
              <w:t xml:space="preserve"> </w:t>
            </w:r>
            <w:r w:rsidRPr="00276D5E">
              <w:rPr>
                <w:rFonts w:ascii="Arial" w:hAnsi="Arial" w:cs="Arial"/>
                <w:i/>
              </w:rPr>
              <w:t>as</w:t>
            </w:r>
            <w:r w:rsidRPr="00276D5E">
              <w:rPr>
                <w:rFonts w:ascii="Arial" w:hAnsi="Arial" w:cs="Arial"/>
                <w:i/>
                <w:spacing w:val="-3"/>
              </w:rPr>
              <w:t xml:space="preserve"> </w:t>
            </w:r>
            <w:r w:rsidRPr="00276D5E">
              <w:rPr>
                <w:rFonts w:ascii="Arial" w:hAnsi="Arial" w:cs="Arial"/>
                <w:i/>
              </w:rPr>
              <w:t>applicable)</w:t>
            </w:r>
          </w:p>
        </w:tc>
        <w:tc>
          <w:tcPr>
            <w:tcW w:w="7196" w:type="dxa"/>
            <w:gridSpan w:val="13"/>
          </w:tcPr>
          <w:p w14:paraId="47598AF3" w14:textId="77777777" w:rsidR="00786341" w:rsidRPr="00276D5E" w:rsidRDefault="00786341" w:rsidP="00F70121">
            <w:pPr>
              <w:pStyle w:val="TableParagraph"/>
              <w:numPr>
                <w:ilvl w:val="0"/>
                <w:numId w:val="474"/>
              </w:numPr>
              <w:spacing w:line="243" w:lineRule="exact"/>
              <w:rPr>
                <w:rFonts w:ascii="Arial" w:hAnsi="Arial" w:cs="Arial"/>
                <w:i/>
              </w:rPr>
            </w:pPr>
            <w:r w:rsidRPr="00276D5E">
              <w:rPr>
                <w:rFonts w:ascii="Arial" w:hAnsi="Arial" w:cs="Arial"/>
                <w:i/>
              </w:rPr>
              <w:t>I</w:t>
            </w:r>
            <w:r w:rsidRPr="00276D5E">
              <w:rPr>
                <w:rFonts w:ascii="Arial" w:hAnsi="Arial" w:cs="Arial"/>
                <w:i/>
                <w:spacing w:val="-3"/>
              </w:rPr>
              <w:t xml:space="preserve"> </w:t>
            </w:r>
            <w:r w:rsidRPr="00276D5E">
              <w:rPr>
                <w:rFonts w:ascii="Arial" w:hAnsi="Arial" w:cs="Arial"/>
                <w:i/>
              </w:rPr>
              <w:t>recommend</w:t>
            </w:r>
            <w:r w:rsidRPr="00276D5E">
              <w:rPr>
                <w:rFonts w:ascii="Arial" w:hAnsi="Arial" w:cs="Arial"/>
                <w:i/>
                <w:spacing w:val="-5"/>
              </w:rPr>
              <w:t xml:space="preserve"> </w:t>
            </w:r>
            <w:r w:rsidRPr="00276D5E">
              <w:rPr>
                <w:rFonts w:ascii="Arial" w:hAnsi="Arial" w:cs="Arial"/>
                <w:i/>
              </w:rPr>
              <w:t>further</w:t>
            </w:r>
            <w:r w:rsidRPr="00276D5E">
              <w:rPr>
                <w:rFonts w:ascii="Arial" w:hAnsi="Arial" w:cs="Arial"/>
                <w:i/>
                <w:spacing w:val="-5"/>
              </w:rPr>
              <w:t xml:space="preserve"> </w:t>
            </w:r>
            <w:r w:rsidRPr="00276D5E">
              <w:rPr>
                <w:rFonts w:ascii="Arial" w:hAnsi="Arial" w:cs="Arial"/>
                <w:i/>
              </w:rPr>
              <w:t>ground</w:t>
            </w:r>
            <w:r w:rsidRPr="00276D5E">
              <w:rPr>
                <w:rFonts w:ascii="Arial" w:hAnsi="Arial" w:cs="Arial"/>
                <w:i/>
                <w:spacing w:val="-3"/>
              </w:rPr>
              <w:t xml:space="preserve"> </w:t>
            </w:r>
            <w:r w:rsidRPr="00276D5E">
              <w:rPr>
                <w:rFonts w:ascii="Arial" w:hAnsi="Arial" w:cs="Arial"/>
                <w:i/>
              </w:rPr>
              <w:t>training</w:t>
            </w:r>
            <w:r w:rsidRPr="00276D5E">
              <w:rPr>
                <w:rFonts w:ascii="Arial" w:hAnsi="Arial" w:cs="Arial"/>
                <w:i/>
                <w:spacing w:val="-3"/>
              </w:rPr>
              <w:t xml:space="preserve"> </w:t>
            </w:r>
            <w:r w:rsidRPr="00276D5E">
              <w:rPr>
                <w:rFonts w:ascii="Arial" w:hAnsi="Arial" w:cs="Arial"/>
                <w:i/>
              </w:rPr>
              <w:t>before</w:t>
            </w:r>
            <w:r w:rsidRPr="00276D5E">
              <w:rPr>
                <w:rFonts w:ascii="Arial" w:hAnsi="Arial" w:cs="Arial"/>
                <w:i/>
                <w:spacing w:val="-3"/>
              </w:rPr>
              <w:t xml:space="preserve"> </w:t>
            </w:r>
            <w:r w:rsidRPr="00276D5E">
              <w:rPr>
                <w:rFonts w:ascii="Arial" w:hAnsi="Arial" w:cs="Arial"/>
                <w:i/>
              </w:rPr>
              <w:t>retest.</w:t>
            </w:r>
          </w:p>
          <w:p w14:paraId="513461EB" w14:textId="77777777" w:rsidR="00786341" w:rsidRPr="00276D5E" w:rsidRDefault="00786341" w:rsidP="00F70121">
            <w:pPr>
              <w:pStyle w:val="TableParagraph"/>
              <w:numPr>
                <w:ilvl w:val="0"/>
                <w:numId w:val="474"/>
              </w:numPr>
              <w:spacing w:line="225" w:lineRule="exact"/>
              <w:rPr>
                <w:rFonts w:ascii="Arial" w:hAnsi="Arial" w:cs="Arial"/>
                <w:i/>
              </w:rPr>
            </w:pPr>
            <w:r w:rsidRPr="00276D5E">
              <w:rPr>
                <w:rFonts w:ascii="Arial" w:hAnsi="Arial" w:cs="Arial"/>
                <w:i/>
              </w:rPr>
              <w:t>I</w:t>
            </w:r>
            <w:r w:rsidRPr="00276D5E">
              <w:rPr>
                <w:rFonts w:ascii="Arial" w:hAnsi="Arial" w:cs="Arial"/>
                <w:i/>
                <w:spacing w:val="-4"/>
              </w:rPr>
              <w:t xml:space="preserve"> </w:t>
            </w:r>
            <w:r w:rsidRPr="00276D5E">
              <w:rPr>
                <w:rFonts w:ascii="Arial" w:hAnsi="Arial" w:cs="Arial"/>
                <w:i/>
              </w:rPr>
              <w:t>recommend</w:t>
            </w:r>
            <w:r w:rsidRPr="00276D5E">
              <w:rPr>
                <w:rFonts w:ascii="Arial" w:hAnsi="Arial" w:cs="Arial"/>
                <w:i/>
                <w:spacing w:val="-5"/>
              </w:rPr>
              <w:t xml:space="preserve"> </w:t>
            </w:r>
            <w:r w:rsidRPr="00276D5E">
              <w:rPr>
                <w:rFonts w:ascii="Arial" w:hAnsi="Arial" w:cs="Arial"/>
                <w:i/>
              </w:rPr>
              <w:t>further</w:t>
            </w:r>
            <w:r w:rsidRPr="00276D5E">
              <w:rPr>
                <w:rFonts w:ascii="Arial" w:hAnsi="Arial" w:cs="Arial"/>
                <w:i/>
                <w:spacing w:val="-5"/>
              </w:rPr>
              <w:t xml:space="preserve"> </w:t>
            </w:r>
            <w:r w:rsidRPr="00276D5E">
              <w:rPr>
                <w:rFonts w:ascii="Arial" w:hAnsi="Arial" w:cs="Arial"/>
                <w:i/>
              </w:rPr>
              <w:t>flight</w:t>
            </w:r>
            <w:r w:rsidRPr="00276D5E">
              <w:rPr>
                <w:rFonts w:ascii="Arial" w:hAnsi="Arial" w:cs="Arial"/>
                <w:i/>
                <w:spacing w:val="-3"/>
              </w:rPr>
              <w:t xml:space="preserve"> </w:t>
            </w:r>
            <w:r w:rsidRPr="00276D5E">
              <w:rPr>
                <w:rFonts w:ascii="Arial" w:hAnsi="Arial" w:cs="Arial"/>
                <w:i/>
              </w:rPr>
              <w:t>training</w:t>
            </w:r>
            <w:r w:rsidRPr="00276D5E">
              <w:rPr>
                <w:rFonts w:ascii="Arial" w:hAnsi="Arial" w:cs="Arial"/>
                <w:i/>
                <w:spacing w:val="-3"/>
              </w:rPr>
              <w:t xml:space="preserve"> </w:t>
            </w:r>
            <w:r w:rsidRPr="00276D5E">
              <w:rPr>
                <w:rFonts w:ascii="Arial" w:hAnsi="Arial" w:cs="Arial"/>
                <w:i/>
              </w:rPr>
              <w:t>with</w:t>
            </w:r>
            <w:r w:rsidRPr="00276D5E">
              <w:rPr>
                <w:rFonts w:ascii="Arial" w:hAnsi="Arial" w:cs="Arial"/>
                <w:i/>
                <w:spacing w:val="-3"/>
              </w:rPr>
              <w:t xml:space="preserve"> </w:t>
            </w:r>
            <w:r w:rsidRPr="00276D5E">
              <w:rPr>
                <w:rFonts w:ascii="Arial" w:hAnsi="Arial" w:cs="Arial"/>
                <w:i/>
              </w:rPr>
              <w:t>an</w:t>
            </w:r>
            <w:r w:rsidRPr="00276D5E">
              <w:rPr>
                <w:rFonts w:ascii="Arial" w:hAnsi="Arial" w:cs="Arial"/>
                <w:i/>
                <w:spacing w:val="-3"/>
              </w:rPr>
              <w:t xml:space="preserve"> </w:t>
            </w:r>
            <w:r w:rsidRPr="00276D5E">
              <w:rPr>
                <w:rFonts w:ascii="Arial" w:hAnsi="Arial" w:cs="Arial"/>
                <w:i/>
              </w:rPr>
              <w:t>FI(B)</w:t>
            </w:r>
            <w:r w:rsidRPr="00276D5E">
              <w:rPr>
                <w:rFonts w:ascii="Arial" w:hAnsi="Arial" w:cs="Arial"/>
                <w:i/>
                <w:spacing w:val="-4"/>
              </w:rPr>
              <w:t xml:space="preserve"> </w:t>
            </w:r>
            <w:r w:rsidRPr="00276D5E">
              <w:rPr>
                <w:rFonts w:ascii="Arial" w:hAnsi="Arial" w:cs="Arial"/>
                <w:i/>
              </w:rPr>
              <w:t>before retest.</w:t>
            </w:r>
          </w:p>
        </w:tc>
      </w:tr>
      <w:tr w:rsidR="00786341" w:rsidRPr="00276D5E" w14:paraId="30C2A287" w14:textId="77777777" w:rsidTr="000873F7">
        <w:trPr>
          <w:trHeight w:val="244"/>
        </w:trPr>
        <w:tc>
          <w:tcPr>
            <w:tcW w:w="1984" w:type="dxa"/>
            <w:gridSpan w:val="3"/>
            <w:vMerge/>
          </w:tcPr>
          <w:p w14:paraId="6E57B68D" w14:textId="77777777" w:rsidR="00786341" w:rsidRPr="00276D5E" w:rsidRDefault="00786341" w:rsidP="00456F0A">
            <w:pPr>
              <w:rPr>
                <w:rFonts w:ascii="Arial" w:hAnsi="Arial" w:cs="Arial"/>
                <w:sz w:val="2"/>
                <w:szCs w:val="2"/>
              </w:rPr>
            </w:pPr>
          </w:p>
        </w:tc>
        <w:tc>
          <w:tcPr>
            <w:tcW w:w="7196" w:type="dxa"/>
            <w:gridSpan w:val="13"/>
          </w:tcPr>
          <w:p w14:paraId="36031ED5" w14:textId="77777777" w:rsidR="00786341" w:rsidRPr="00276D5E" w:rsidRDefault="00786341" w:rsidP="00F70121">
            <w:pPr>
              <w:pStyle w:val="TableParagraph"/>
              <w:numPr>
                <w:ilvl w:val="0"/>
                <w:numId w:val="474"/>
              </w:numPr>
              <w:spacing w:line="224" w:lineRule="exact"/>
              <w:rPr>
                <w:rFonts w:ascii="Arial" w:hAnsi="Arial" w:cs="Arial"/>
                <w:i/>
              </w:rPr>
            </w:pPr>
            <w:r w:rsidRPr="00276D5E">
              <w:rPr>
                <w:rFonts w:ascii="Arial" w:hAnsi="Arial" w:cs="Arial"/>
                <w:i/>
              </w:rPr>
              <w:t>I</w:t>
            </w:r>
            <w:r w:rsidRPr="00276D5E">
              <w:rPr>
                <w:rFonts w:ascii="Arial" w:hAnsi="Arial" w:cs="Arial"/>
                <w:i/>
                <w:spacing w:val="-4"/>
              </w:rPr>
              <w:t xml:space="preserve"> </w:t>
            </w:r>
            <w:r w:rsidRPr="00276D5E">
              <w:rPr>
                <w:rFonts w:ascii="Arial" w:hAnsi="Arial" w:cs="Arial"/>
                <w:i/>
              </w:rPr>
              <w:t>do</w:t>
            </w:r>
            <w:r w:rsidRPr="00276D5E">
              <w:rPr>
                <w:rFonts w:ascii="Arial" w:hAnsi="Arial" w:cs="Arial"/>
                <w:i/>
                <w:spacing w:val="-3"/>
              </w:rPr>
              <w:t xml:space="preserve"> </w:t>
            </w:r>
            <w:r w:rsidRPr="00276D5E">
              <w:rPr>
                <w:rFonts w:ascii="Arial" w:hAnsi="Arial" w:cs="Arial"/>
                <w:i/>
              </w:rPr>
              <w:t>not</w:t>
            </w:r>
            <w:r w:rsidRPr="00276D5E">
              <w:rPr>
                <w:rFonts w:ascii="Arial" w:hAnsi="Arial" w:cs="Arial"/>
                <w:i/>
                <w:spacing w:val="-3"/>
              </w:rPr>
              <w:t xml:space="preserve"> </w:t>
            </w:r>
            <w:r w:rsidRPr="00276D5E">
              <w:rPr>
                <w:rFonts w:ascii="Arial" w:hAnsi="Arial" w:cs="Arial"/>
                <w:i/>
              </w:rPr>
              <w:t>consider</w:t>
            </w:r>
            <w:r w:rsidRPr="00276D5E">
              <w:rPr>
                <w:rFonts w:ascii="Arial" w:hAnsi="Arial" w:cs="Arial"/>
                <w:i/>
                <w:spacing w:val="-5"/>
              </w:rPr>
              <w:t xml:space="preserve"> </w:t>
            </w:r>
            <w:r w:rsidRPr="00276D5E">
              <w:rPr>
                <w:rFonts w:ascii="Arial" w:hAnsi="Arial" w:cs="Arial"/>
                <w:i/>
              </w:rPr>
              <w:t>further</w:t>
            </w:r>
            <w:r w:rsidRPr="00276D5E">
              <w:rPr>
                <w:rFonts w:ascii="Arial" w:hAnsi="Arial" w:cs="Arial"/>
                <w:i/>
                <w:spacing w:val="-5"/>
              </w:rPr>
              <w:t xml:space="preserve"> </w:t>
            </w:r>
            <w:r w:rsidRPr="00276D5E">
              <w:rPr>
                <w:rFonts w:ascii="Arial" w:hAnsi="Arial" w:cs="Arial"/>
                <w:i/>
              </w:rPr>
              <w:t>flight</w:t>
            </w:r>
            <w:r w:rsidRPr="00276D5E">
              <w:rPr>
                <w:rFonts w:ascii="Arial" w:hAnsi="Arial" w:cs="Arial"/>
                <w:i/>
                <w:spacing w:val="-3"/>
              </w:rPr>
              <w:t xml:space="preserve"> </w:t>
            </w:r>
            <w:r w:rsidRPr="00276D5E">
              <w:rPr>
                <w:rFonts w:ascii="Arial" w:hAnsi="Arial" w:cs="Arial"/>
                <w:i/>
              </w:rPr>
              <w:t>or</w:t>
            </w:r>
            <w:r w:rsidRPr="00276D5E">
              <w:rPr>
                <w:rFonts w:ascii="Arial" w:hAnsi="Arial" w:cs="Arial"/>
                <w:i/>
                <w:spacing w:val="-5"/>
              </w:rPr>
              <w:t xml:space="preserve"> </w:t>
            </w:r>
            <w:r w:rsidRPr="00276D5E">
              <w:rPr>
                <w:rFonts w:ascii="Arial" w:hAnsi="Arial" w:cs="Arial"/>
                <w:i/>
              </w:rPr>
              <w:t>theoretical</w:t>
            </w:r>
            <w:r w:rsidRPr="00276D5E">
              <w:rPr>
                <w:rFonts w:ascii="Arial" w:hAnsi="Arial" w:cs="Arial"/>
                <w:i/>
                <w:spacing w:val="-3"/>
              </w:rPr>
              <w:t xml:space="preserve"> </w:t>
            </w:r>
            <w:r w:rsidRPr="00276D5E">
              <w:rPr>
                <w:rFonts w:ascii="Arial" w:hAnsi="Arial" w:cs="Arial"/>
                <w:i/>
              </w:rPr>
              <w:t>instruction</w:t>
            </w:r>
            <w:r w:rsidRPr="00276D5E">
              <w:rPr>
                <w:rFonts w:ascii="Arial" w:hAnsi="Arial" w:cs="Arial"/>
                <w:i/>
                <w:spacing w:val="-3"/>
              </w:rPr>
              <w:t xml:space="preserve"> </w:t>
            </w:r>
            <w:r w:rsidRPr="00276D5E">
              <w:rPr>
                <w:rFonts w:ascii="Arial" w:hAnsi="Arial" w:cs="Arial"/>
                <w:i/>
              </w:rPr>
              <w:t>necessary</w:t>
            </w:r>
            <w:r w:rsidRPr="00276D5E">
              <w:rPr>
                <w:rFonts w:ascii="Arial" w:hAnsi="Arial" w:cs="Arial"/>
                <w:i/>
                <w:spacing w:val="-4"/>
              </w:rPr>
              <w:t xml:space="preserve"> </w:t>
            </w:r>
            <w:r w:rsidRPr="00276D5E">
              <w:rPr>
                <w:rFonts w:ascii="Arial" w:hAnsi="Arial" w:cs="Arial"/>
                <w:i/>
              </w:rPr>
              <w:t>before</w:t>
            </w:r>
            <w:r w:rsidRPr="00276D5E">
              <w:rPr>
                <w:rFonts w:ascii="Arial" w:hAnsi="Arial" w:cs="Arial"/>
                <w:i/>
                <w:spacing w:val="-3"/>
              </w:rPr>
              <w:t xml:space="preserve"> </w:t>
            </w:r>
            <w:r w:rsidRPr="00276D5E">
              <w:rPr>
                <w:rFonts w:ascii="Arial" w:hAnsi="Arial" w:cs="Arial"/>
                <w:i/>
              </w:rPr>
              <w:t>retest.</w:t>
            </w:r>
          </w:p>
        </w:tc>
      </w:tr>
      <w:tr w:rsidR="00786341" w:rsidRPr="00276D5E" w14:paraId="68A42ECC" w14:textId="77777777" w:rsidTr="000873F7">
        <w:trPr>
          <w:trHeight w:val="2198"/>
        </w:trPr>
        <w:tc>
          <w:tcPr>
            <w:tcW w:w="9180" w:type="dxa"/>
            <w:gridSpan w:val="16"/>
          </w:tcPr>
          <w:p w14:paraId="35E1E405" w14:textId="77777777" w:rsidR="00786341" w:rsidRPr="00276D5E" w:rsidRDefault="00786341" w:rsidP="00F70121">
            <w:pPr>
              <w:pStyle w:val="TableParagraph"/>
              <w:spacing w:line="243" w:lineRule="exact"/>
              <w:ind w:left="107"/>
              <w:jc w:val="both"/>
              <w:rPr>
                <w:rFonts w:ascii="Arial" w:hAnsi="Arial" w:cs="Arial"/>
              </w:rPr>
            </w:pPr>
            <w:r w:rsidRPr="00276D5E">
              <w:rPr>
                <w:rFonts w:ascii="Arial" w:hAnsi="Arial" w:cs="Arial"/>
              </w:rPr>
              <w:t>I,</w:t>
            </w:r>
            <w:r w:rsidRPr="00276D5E">
              <w:rPr>
                <w:rFonts w:ascii="Arial" w:hAnsi="Arial" w:cs="Arial"/>
                <w:spacing w:val="-3"/>
              </w:rPr>
              <w:t xml:space="preserve"> </w:t>
            </w:r>
            <w:r w:rsidRPr="00276D5E">
              <w:rPr>
                <w:rFonts w:ascii="Arial" w:hAnsi="Arial" w:cs="Arial"/>
              </w:rPr>
              <w:t>the</w:t>
            </w:r>
            <w:r w:rsidRPr="00276D5E">
              <w:rPr>
                <w:rFonts w:ascii="Arial" w:hAnsi="Arial" w:cs="Arial"/>
                <w:spacing w:val="-4"/>
              </w:rPr>
              <w:t xml:space="preserve"> </w:t>
            </w:r>
            <w:r w:rsidRPr="00276D5E">
              <w:rPr>
                <w:rFonts w:ascii="Arial" w:hAnsi="Arial" w:cs="Arial"/>
              </w:rPr>
              <w:t>undersigning</w:t>
            </w:r>
            <w:r w:rsidRPr="00276D5E">
              <w:rPr>
                <w:rFonts w:ascii="Arial" w:hAnsi="Arial" w:cs="Arial"/>
                <w:spacing w:val="-3"/>
              </w:rPr>
              <w:t xml:space="preserve"> </w:t>
            </w:r>
            <w:r w:rsidRPr="00276D5E">
              <w:rPr>
                <w:rFonts w:ascii="Arial" w:hAnsi="Arial" w:cs="Arial"/>
              </w:rPr>
              <w:t>examiner:</w:t>
            </w:r>
          </w:p>
          <w:p w14:paraId="35F55887" w14:textId="67D9E2F6" w:rsidR="00786341" w:rsidRPr="00276D5E" w:rsidRDefault="00786341" w:rsidP="00F70121">
            <w:pPr>
              <w:pStyle w:val="TableParagraph"/>
              <w:numPr>
                <w:ilvl w:val="0"/>
                <w:numId w:val="265"/>
              </w:numPr>
              <w:tabs>
                <w:tab w:val="left" w:pos="331"/>
              </w:tabs>
              <w:ind w:left="330" w:right="203"/>
              <w:jc w:val="both"/>
              <w:rPr>
                <w:rFonts w:ascii="Arial" w:hAnsi="Arial" w:cs="Arial"/>
              </w:rPr>
            </w:pPr>
            <w:r w:rsidRPr="00276D5E">
              <w:rPr>
                <w:rFonts w:ascii="Arial" w:hAnsi="Arial" w:cs="Arial"/>
              </w:rPr>
              <w:t>have</w:t>
            </w:r>
            <w:r w:rsidRPr="00276D5E">
              <w:rPr>
                <w:rFonts w:ascii="Arial" w:hAnsi="Arial" w:cs="Arial"/>
                <w:spacing w:val="-4"/>
              </w:rPr>
              <w:t xml:space="preserve"> </w:t>
            </w:r>
            <w:r w:rsidRPr="00276D5E">
              <w:rPr>
                <w:rFonts w:ascii="Arial" w:hAnsi="Arial" w:cs="Arial"/>
              </w:rPr>
              <w:t>received</w:t>
            </w:r>
            <w:r w:rsidRPr="00276D5E">
              <w:rPr>
                <w:rFonts w:ascii="Arial" w:hAnsi="Arial" w:cs="Arial"/>
                <w:spacing w:val="-2"/>
              </w:rPr>
              <w:t xml:space="preserve"> </w:t>
            </w:r>
            <w:r w:rsidRPr="00276D5E">
              <w:rPr>
                <w:rFonts w:ascii="Arial" w:hAnsi="Arial" w:cs="Arial"/>
              </w:rPr>
              <w:t>information</w:t>
            </w:r>
            <w:r w:rsidRPr="00276D5E">
              <w:rPr>
                <w:rFonts w:ascii="Arial" w:hAnsi="Arial" w:cs="Arial"/>
                <w:spacing w:val="-1"/>
              </w:rPr>
              <w:t xml:space="preserve"> </w:t>
            </w:r>
            <w:r w:rsidRPr="00276D5E">
              <w:rPr>
                <w:rFonts w:ascii="Arial" w:hAnsi="Arial" w:cs="Arial"/>
              </w:rPr>
              <w:t>from</w:t>
            </w:r>
            <w:r w:rsidRPr="00276D5E">
              <w:rPr>
                <w:rFonts w:ascii="Arial" w:hAnsi="Arial" w:cs="Arial"/>
                <w:spacing w:val="-3"/>
              </w:rPr>
              <w:t xml:space="preserve"> </w:t>
            </w:r>
            <w:r w:rsidRPr="00276D5E">
              <w:rPr>
                <w:rFonts w:ascii="Arial" w:hAnsi="Arial" w:cs="Arial"/>
              </w:rPr>
              <w:t>the</w:t>
            </w:r>
            <w:r w:rsidRPr="00276D5E">
              <w:rPr>
                <w:rFonts w:ascii="Arial" w:hAnsi="Arial" w:cs="Arial"/>
                <w:spacing w:val="-3"/>
              </w:rPr>
              <w:t xml:space="preserve"> </w:t>
            </w:r>
            <w:r w:rsidRPr="00276D5E">
              <w:rPr>
                <w:rFonts w:ascii="Arial" w:hAnsi="Arial" w:cs="Arial"/>
              </w:rPr>
              <w:t>applicant</w:t>
            </w:r>
            <w:r w:rsidRPr="00276D5E">
              <w:rPr>
                <w:rFonts w:ascii="Arial" w:hAnsi="Arial" w:cs="Arial"/>
                <w:spacing w:val="-2"/>
              </w:rPr>
              <w:t xml:space="preserve"> </w:t>
            </w:r>
            <w:r w:rsidRPr="00276D5E">
              <w:rPr>
                <w:rFonts w:ascii="Arial" w:hAnsi="Arial" w:cs="Arial"/>
              </w:rPr>
              <w:t>regarding</w:t>
            </w:r>
            <w:r w:rsidRPr="00276D5E">
              <w:rPr>
                <w:rFonts w:ascii="Arial" w:hAnsi="Arial" w:cs="Arial"/>
                <w:spacing w:val="-3"/>
              </w:rPr>
              <w:t xml:space="preserve"> </w:t>
            </w:r>
            <w:r w:rsidRPr="00276D5E">
              <w:rPr>
                <w:rFonts w:ascii="Arial" w:hAnsi="Arial" w:cs="Arial"/>
              </w:rPr>
              <w:t>their</w:t>
            </w:r>
            <w:r w:rsidRPr="00276D5E">
              <w:rPr>
                <w:rFonts w:ascii="Arial" w:hAnsi="Arial" w:cs="Arial"/>
                <w:spacing w:val="-2"/>
              </w:rPr>
              <w:t xml:space="preserve"> </w:t>
            </w:r>
            <w:r w:rsidRPr="00276D5E">
              <w:rPr>
                <w:rFonts w:ascii="Arial" w:hAnsi="Arial" w:cs="Arial"/>
              </w:rPr>
              <w:t>experience</w:t>
            </w:r>
            <w:r w:rsidRPr="00276D5E">
              <w:rPr>
                <w:rFonts w:ascii="Arial" w:hAnsi="Arial" w:cs="Arial"/>
                <w:spacing w:val="-4"/>
              </w:rPr>
              <w:t xml:space="preserve"> </w:t>
            </w:r>
            <w:r w:rsidRPr="00276D5E">
              <w:rPr>
                <w:rFonts w:ascii="Arial" w:hAnsi="Arial" w:cs="Arial"/>
              </w:rPr>
              <w:t>and</w:t>
            </w:r>
            <w:r w:rsidRPr="00276D5E">
              <w:rPr>
                <w:rFonts w:ascii="Arial" w:hAnsi="Arial" w:cs="Arial"/>
                <w:spacing w:val="-2"/>
              </w:rPr>
              <w:t xml:space="preserve"> </w:t>
            </w:r>
            <w:r w:rsidRPr="00276D5E">
              <w:rPr>
                <w:rFonts w:ascii="Arial" w:hAnsi="Arial" w:cs="Arial"/>
              </w:rPr>
              <w:t>instruction,</w:t>
            </w:r>
            <w:r w:rsidRPr="00276D5E">
              <w:rPr>
                <w:rFonts w:ascii="Arial" w:hAnsi="Arial" w:cs="Arial"/>
                <w:spacing w:val="-2"/>
              </w:rPr>
              <w:t xml:space="preserve"> </w:t>
            </w:r>
            <w:r w:rsidRPr="00276D5E">
              <w:rPr>
                <w:rFonts w:ascii="Arial" w:hAnsi="Arial" w:cs="Arial"/>
              </w:rPr>
              <w:t>and</w:t>
            </w:r>
            <w:r w:rsidRPr="00276D5E">
              <w:rPr>
                <w:rFonts w:ascii="Arial" w:hAnsi="Arial" w:cs="Arial"/>
                <w:spacing w:val="-2"/>
              </w:rPr>
              <w:t xml:space="preserve"> </w:t>
            </w:r>
            <w:r w:rsidRPr="00276D5E">
              <w:rPr>
                <w:rFonts w:ascii="Arial" w:hAnsi="Arial" w:cs="Arial"/>
              </w:rPr>
              <w:t>found</w:t>
            </w:r>
            <w:r w:rsidRPr="00276D5E">
              <w:rPr>
                <w:rFonts w:ascii="Arial" w:hAnsi="Arial" w:cs="Arial"/>
                <w:spacing w:val="-2"/>
              </w:rPr>
              <w:t xml:space="preserve"> </w:t>
            </w:r>
            <w:r w:rsidRPr="00276D5E">
              <w:rPr>
                <w:rFonts w:ascii="Arial" w:hAnsi="Arial" w:cs="Arial"/>
              </w:rPr>
              <w:t>that</w:t>
            </w:r>
            <w:r w:rsidRPr="00276D5E">
              <w:rPr>
                <w:rFonts w:ascii="Arial" w:hAnsi="Arial" w:cs="Arial"/>
                <w:spacing w:val="-43"/>
              </w:rPr>
              <w:t xml:space="preserve"> </w:t>
            </w:r>
            <w:r w:rsidRPr="00276D5E">
              <w:rPr>
                <w:rFonts w:ascii="Arial" w:hAnsi="Arial" w:cs="Arial"/>
              </w:rPr>
              <w:t>the experience and instruction comply with the applicable requirements of Annex III (Part-BFCL) to</w:t>
            </w:r>
            <w:r w:rsidRPr="00357B15">
              <w:rPr>
                <w:rFonts w:ascii="Arial" w:hAnsi="Arial" w:cs="Arial"/>
              </w:rPr>
              <w:t xml:space="preserve"> </w:t>
            </w:r>
            <w:r w:rsidR="00357B15" w:rsidRPr="00357B15">
              <w:rPr>
                <w:rFonts w:ascii="Arial" w:hAnsi="Arial" w:cs="Arial"/>
              </w:rPr>
              <w:t>Balloon Operations Regulation</w:t>
            </w:r>
            <w:r w:rsidRPr="00276D5E">
              <w:rPr>
                <w:rFonts w:ascii="Arial" w:hAnsi="Arial" w:cs="Arial"/>
              </w:rPr>
              <w:t>;</w:t>
            </w:r>
          </w:p>
          <w:p w14:paraId="2051FC2D" w14:textId="77777777" w:rsidR="00786341" w:rsidRPr="00276D5E" w:rsidRDefault="00786341" w:rsidP="00F70121">
            <w:pPr>
              <w:pStyle w:val="TableParagraph"/>
              <w:numPr>
                <w:ilvl w:val="0"/>
                <w:numId w:val="265"/>
              </w:numPr>
              <w:tabs>
                <w:tab w:val="left" w:pos="331"/>
              </w:tabs>
              <w:ind w:left="330" w:right="140"/>
              <w:jc w:val="both"/>
              <w:rPr>
                <w:rFonts w:ascii="Arial" w:hAnsi="Arial" w:cs="Arial"/>
              </w:rPr>
            </w:pPr>
            <w:r w:rsidRPr="00276D5E">
              <w:rPr>
                <w:rFonts w:ascii="Arial" w:hAnsi="Arial" w:cs="Arial"/>
              </w:rPr>
              <w:t>confirm</w:t>
            </w:r>
            <w:r w:rsidRPr="00276D5E">
              <w:rPr>
                <w:rFonts w:ascii="Arial" w:hAnsi="Arial" w:cs="Arial"/>
                <w:spacing w:val="-5"/>
              </w:rPr>
              <w:t xml:space="preserve"> </w:t>
            </w:r>
            <w:r w:rsidRPr="00276D5E">
              <w:rPr>
                <w:rFonts w:ascii="Arial" w:hAnsi="Arial" w:cs="Arial"/>
              </w:rPr>
              <w:t>that</w:t>
            </w:r>
            <w:r w:rsidRPr="00276D5E">
              <w:rPr>
                <w:rFonts w:ascii="Arial" w:hAnsi="Arial" w:cs="Arial"/>
                <w:spacing w:val="-2"/>
              </w:rPr>
              <w:t xml:space="preserve"> </w:t>
            </w:r>
            <w:r w:rsidRPr="00276D5E">
              <w:rPr>
                <w:rFonts w:ascii="Arial" w:hAnsi="Arial" w:cs="Arial"/>
              </w:rPr>
              <w:t>all</w:t>
            </w:r>
            <w:r w:rsidRPr="00276D5E">
              <w:rPr>
                <w:rFonts w:ascii="Arial" w:hAnsi="Arial" w:cs="Arial"/>
                <w:spacing w:val="-2"/>
              </w:rPr>
              <w:t xml:space="preserve"> </w:t>
            </w:r>
            <w:r w:rsidRPr="00276D5E">
              <w:rPr>
                <w:rFonts w:ascii="Arial" w:hAnsi="Arial" w:cs="Arial"/>
              </w:rPr>
              <w:t>the</w:t>
            </w:r>
            <w:r w:rsidRPr="00276D5E">
              <w:rPr>
                <w:rFonts w:ascii="Arial" w:hAnsi="Arial" w:cs="Arial"/>
                <w:spacing w:val="-3"/>
              </w:rPr>
              <w:t xml:space="preserve"> </w:t>
            </w:r>
            <w:r w:rsidRPr="00276D5E">
              <w:rPr>
                <w:rFonts w:ascii="Arial" w:hAnsi="Arial" w:cs="Arial"/>
              </w:rPr>
              <w:t>required</w:t>
            </w:r>
            <w:r w:rsidRPr="00276D5E">
              <w:rPr>
                <w:rFonts w:ascii="Arial" w:hAnsi="Arial" w:cs="Arial"/>
                <w:spacing w:val="1"/>
              </w:rPr>
              <w:t xml:space="preserve"> </w:t>
            </w:r>
            <w:r w:rsidRPr="00276D5E">
              <w:rPr>
                <w:rFonts w:ascii="Arial" w:hAnsi="Arial" w:cs="Arial"/>
              </w:rPr>
              <w:t>manoeuvres</w:t>
            </w:r>
            <w:r w:rsidRPr="00276D5E">
              <w:rPr>
                <w:rFonts w:ascii="Arial" w:hAnsi="Arial" w:cs="Arial"/>
                <w:spacing w:val="-5"/>
              </w:rPr>
              <w:t xml:space="preserve"> </w:t>
            </w:r>
            <w:r w:rsidRPr="00276D5E">
              <w:rPr>
                <w:rFonts w:ascii="Arial" w:hAnsi="Arial" w:cs="Arial"/>
              </w:rPr>
              <w:t>and</w:t>
            </w:r>
            <w:r w:rsidRPr="00276D5E">
              <w:rPr>
                <w:rFonts w:ascii="Arial" w:hAnsi="Arial" w:cs="Arial"/>
                <w:spacing w:val="-2"/>
              </w:rPr>
              <w:t xml:space="preserve"> </w:t>
            </w:r>
            <w:r w:rsidRPr="00276D5E">
              <w:rPr>
                <w:rFonts w:ascii="Arial" w:hAnsi="Arial" w:cs="Arial"/>
              </w:rPr>
              <w:t>exercises</w:t>
            </w:r>
            <w:r w:rsidRPr="00276D5E">
              <w:rPr>
                <w:rFonts w:ascii="Arial" w:hAnsi="Arial" w:cs="Arial"/>
                <w:spacing w:val="-4"/>
              </w:rPr>
              <w:t xml:space="preserve"> </w:t>
            </w:r>
            <w:r w:rsidRPr="00276D5E">
              <w:rPr>
                <w:rFonts w:ascii="Arial" w:hAnsi="Arial" w:cs="Arial"/>
              </w:rPr>
              <w:t>have</w:t>
            </w:r>
            <w:r w:rsidRPr="00276D5E">
              <w:rPr>
                <w:rFonts w:ascii="Arial" w:hAnsi="Arial" w:cs="Arial"/>
                <w:spacing w:val="-3"/>
              </w:rPr>
              <w:t xml:space="preserve"> </w:t>
            </w:r>
            <w:r w:rsidRPr="00276D5E">
              <w:rPr>
                <w:rFonts w:ascii="Arial" w:hAnsi="Arial" w:cs="Arial"/>
              </w:rPr>
              <w:t>been</w:t>
            </w:r>
            <w:r w:rsidRPr="00276D5E">
              <w:rPr>
                <w:rFonts w:ascii="Arial" w:hAnsi="Arial" w:cs="Arial"/>
                <w:spacing w:val="-2"/>
              </w:rPr>
              <w:t xml:space="preserve"> </w:t>
            </w:r>
            <w:r w:rsidRPr="00276D5E">
              <w:rPr>
                <w:rFonts w:ascii="Arial" w:hAnsi="Arial" w:cs="Arial"/>
              </w:rPr>
              <w:t>completed,</w:t>
            </w:r>
            <w:r w:rsidRPr="00276D5E">
              <w:rPr>
                <w:rFonts w:ascii="Arial" w:hAnsi="Arial" w:cs="Arial"/>
                <w:spacing w:val="-2"/>
              </w:rPr>
              <w:t xml:space="preserve"> </w:t>
            </w:r>
            <w:r w:rsidRPr="00276D5E">
              <w:rPr>
                <w:rFonts w:ascii="Arial" w:hAnsi="Arial" w:cs="Arial"/>
              </w:rPr>
              <w:t>unless</w:t>
            </w:r>
            <w:r w:rsidRPr="00276D5E">
              <w:rPr>
                <w:rFonts w:ascii="Arial" w:hAnsi="Arial" w:cs="Arial"/>
                <w:spacing w:val="-4"/>
              </w:rPr>
              <w:t xml:space="preserve"> </w:t>
            </w:r>
            <w:r w:rsidRPr="00276D5E">
              <w:rPr>
                <w:rFonts w:ascii="Arial" w:hAnsi="Arial" w:cs="Arial"/>
              </w:rPr>
              <w:t>specified</w:t>
            </w:r>
            <w:r w:rsidRPr="00276D5E">
              <w:rPr>
                <w:rFonts w:ascii="Arial" w:hAnsi="Arial" w:cs="Arial"/>
                <w:spacing w:val="-3"/>
              </w:rPr>
              <w:t xml:space="preserve"> </w:t>
            </w:r>
            <w:r w:rsidRPr="00276D5E">
              <w:rPr>
                <w:rFonts w:ascii="Arial" w:hAnsi="Arial" w:cs="Arial"/>
              </w:rPr>
              <w:t>otherwise</w:t>
            </w:r>
            <w:r w:rsidRPr="00276D5E">
              <w:rPr>
                <w:rFonts w:ascii="Arial" w:hAnsi="Arial" w:cs="Arial"/>
                <w:spacing w:val="-42"/>
              </w:rPr>
              <w:t xml:space="preserve"> </w:t>
            </w:r>
            <w:r w:rsidRPr="00276D5E">
              <w:rPr>
                <w:rFonts w:ascii="Arial" w:hAnsi="Arial" w:cs="Arial"/>
              </w:rPr>
              <w:t>above</w:t>
            </w:r>
            <w:r w:rsidRPr="00276D5E">
              <w:rPr>
                <w:rFonts w:ascii="Arial" w:hAnsi="Arial" w:cs="Arial"/>
                <w:spacing w:val="-2"/>
              </w:rPr>
              <w:t xml:space="preserve"> </w:t>
            </w:r>
            <w:r w:rsidRPr="00276D5E">
              <w:rPr>
                <w:rFonts w:ascii="Arial" w:hAnsi="Arial" w:cs="Arial"/>
              </w:rPr>
              <w:t>in</w:t>
            </w:r>
            <w:r w:rsidRPr="00276D5E">
              <w:rPr>
                <w:rFonts w:ascii="Arial" w:hAnsi="Arial" w:cs="Arial"/>
                <w:spacing w:val="1"/>
              </w:rPr>
              <w:t xml:space="preserve"> </w:t>
            </w:r>
            <w:r w:rsidRPr="00276D5E">
              <w:rPr>
                <w:rFonts w:ascii="Arial" w:hAnsi="Arial" w:cs="Arial"/>
              </w:rPr>
              <w:t>the</w:t>
            </w:r>
            <w:r w:rsidRPr="00276D5E">
              <w:rPr>
                <w:rFonts w:ascii="Arial" w:hAnsi="Arial" w:cs="Arial"/>
                <w:spacing w:val="-1"/>
              </w:rPr>
              <w:t xml:space="preserve"> </w:t>
            </w:r>
            <w:r w:rsidRPr="00276D5E">
              <w:rPr>
                <w:rFonts w:ascii="Arial" w:hAnsi="Arial" w:cs="Arial"/>
              </w:rPr>
              <w:t>case</w:t>
            </w:r>
            <w:r w:rsidRPr="00276D5E">
              <w:rPr>
                <w:rFonts w:ascii="Arial" w:hAnsi="Arial" w:cs="Arial"/>
                <w:spacing w:val="-1"/>
              </w:rPr>
              <w:t xml:space="preserve"> </w:t>
            </w:r>
            <w:r w:rsidRPr="00276D5E">
              <w:rPr>
                <w:rFonts w:ascii="Arial" w:hAnsi="Arial" w:cs="Arial"/>
              </w:rPr>
              <w:t>of</w:t>
            </w:r>
            <w:r w:rsidRPr="00276D5E">
              <w:rPr>
                <w:rFonts w:ascii="Arial" w:hAnsi="Arial" w:cs="Arial"/>
                <w:spacing w:val="-2"/>
              </w:rPr>
              <w:t xml:space="preserve"> </w:t>
            </w:r>
            <w:r w:rsidRPr="00276D5E">
              <w:rPr>
                <w:rFonts w:ascii="Arial" w:hAnsi="Arial" w:cs="Arial"/>
              </w:rPr>
              <w:t>fail;</w:t>
            </w:r>
            <w:r w:rsidRPr="00276D5E">
              <w:rPr>
                <w:rFonts w:ascii="Arial" w:hAnsi="Arial" w:cs="Arial"/>
                <w:spacing w:val="-1"/>
              </w:rPr>
              <w:t xml:space="preserve"> </w:t>
            </w:r>
            <w:r w:rsidRPr="00276D5E">
              <w:rPr>
                <w:rFonts w:ascii="Arial" w:hAnsi="Arial" w:cs="Arial"/>
              </w:rPr>
              <w:t>and</w:t>
            </w:r>
          </w:p>
          <w:p w14:paraId="410B46B4" w14:textId="445198F9" w:rsidR="00786341" w:rsidRPr="00F70121" w:rsidRDefault="00786341" w:rsidP="00F70121">
            <w:pPr>
              <w:pStyle w:val="TableParagraph"/>
              <w:numPr>
                <w:ilvl w:val="0"/>
                <w:numId w:val="265"/>
              </w:numPr>
              <w:tabs>
                <w:tab w:val="left" w:pos="331"/>
              </w:tabs>
              <w:ind w:left="330" w:right="883"/>
              <w:jc w:val="both"/>
              <w:rPr>
                <w:rFonts w:ascii="Arial" w:hAnsi="Arial" w:cs="Arial"/>
              </w:rPr>
            </w:pPr>
            <w:r w:rsidRPr="00276D5E">
              <w:rPr>
                <w:rFonts w:ascii="Arial" w:hAnsi="Arial" w:cs="Arial"/>
              </w:rPr>
              <w:t>where applicable, have reviewed and applied the national procedures and requirements of the</w:t>
            </w:r>
            <w:r w:rsidRPr="00276D5E">
              <w:rPr>
                <w:rFonts w:ascii="Arial" w:hAnsi="Arial" w:cs="Arial"/>
                <w:spacing w:val="1"/>
              </w:rPr>
              <w:t xml:space="preserve"> </w:t>
            </w:r>
            <w:r w:rsidRPr="00276D5E">
              <w:rPr>
                <w:rFonts w:ascii="Arial" w:hAnsi="Arial" w:cs="Arial"/>
              </w:rPr>
              <w:t>applicant’s</w:t>
            </w:r>
            <w:r w:rsidRPr="00276D5E">
              <w:rPr>
                <w:rFonts w:ascii="Arial" w:hAnsi="Arial" w:cs="Arial"/>
                <w:spacing w:val="-4"/>
              </w:rPr>
              <w:t xml:space="preserve"> </w:t>
            </w:r>
            <w:r w:rsidRPr="00276D5E">
              <w:rPr>
                <w:rFonts w:ascii="Arial" w:hAnsi="Arial" w:cs="Arial"/>
              </w:rPr>
              <w:t>competent</w:t>
            </w:r>
            <w:r w:rsidRPr="00276D5E">
              <w:rPr>
                <w:rFonts w:ascii="Arial" w:hAnsi="Arial" w:cs="Arial"/>
                <w:spacing w:val="-2"/>
              </w:rPr>
              <w:t xml:space="preserve"> </w:t>
            </w:r>
            <w:r w:rsidRPr="00276D5E">
              <w:rPr>
                <w:rFonts w:ascii="Arial" w:hAnsi="Arial" w:cs="Arial"/>
              </w:rPr>
              <w:t>authority</w:t>
            </w:r>
            <w:r w:rsidRPr="00276D5E">
              <w:rPr>
                <w:rFonts w:ascii="Arial" w:hAnsi="Arial" w:cs="Arial"/>
                <w:spacing w:val="-2"/>
              </w:rPr>
              <w:t xml:space="preserve"> </w:t>
            </w:r>
            <w:r w:rsidRPr="00276D5E">
              <w:rPr>
                <w:rFonts w:ascii="Arial" w:hAnsi="Arial" w:cs="Arial"/>
              </w:rPr>
              <w:t>which</w:t>
            </w:r>
            <w:r w:rsidRPr="00276D5E">
              <w:rPr>
                <w:rFonts w:ascii="Arial" w:hAnsi="Arial" w:cs="Arial"/>
                <w:spacing w:val="-1"/>
              </w:rPr>
              <w:t xml:space="preserve"> </w:t>
            </w:r>
            <w:r w:rsidRPr="00276D5E">
              <w:rPr>
                <w:rFonts w:ascii="Arial" w:hAnsi="Arial" w:cs="Arial"/>
              </w:rPr>
              <w:t>is</w:t>
            </w:r>
            <w:r w:rsidRPr="00276D5E">
              <w:rPr>
                <w:rFonts w:ascii="Arial" w:hAnsi="Arial" w:cs="Arial"/>
                <w:spacing w:val="-4"/>
              </w:rPr>
              <w:t xml:space="preserve"> </w:t>
            </w:r>
            <w:r w:rsidRPr="00276D5E">
              <w:rPr>
                <w:rFonts w:ascii="Arial" w:hAnsi="Arial" w:cs="Arial"/>
              </w:rPr>
              <w:t>different</w:t>
            </w:r>
            <w:r w:rsidRPr="00276D5E">
              <w:rPr>
                <w:rFonts w:ascii="Arial" w:hAnsi="Arial" w:cs="Arial"/>
                <w:spacing w:val="-2"/>
              </w:rPr>
              <w:t xml:space="preserve"> </w:t>
            </w:r>
            <w:r w:rsidRPr="00276D5E">
              <w:rPr>
                <w:rFonts w:ascii="Arial" w:hAnsi="Arial" w:cs="Arial"/>
              </w:rPr>
              <w:t>from</w:t>
            </w:r>
            <w:r w:rsidRPr="00276D5E">
              <w:rPr>
                <w:rFonts w:ascii="Arial" w:hAnsi="Arial" w:cs="Arial"/>
                <w:spacing w:val="-3"/>
              </w:rPr>
              <w:t xml:space="preserve"> </w:t>
            </w:r>
            <w:r w:rsidRPr="00276D5E">
              <w:rPr>
                <w:rFonts w:ascii="Arial" w:hAnsi="Arial" w:cs="Arial"/>
              </w:rPr>
              <w:t>the</w:t>
            </w:r>
            <w:r w:rsidRPr="00276D5E">
              <w:rPr>
                <w:rFonts w:ascii="Arial" w:hAnsi="Arial" w:cs="Arial"/>
                <w:spacing w:val="-1"/>
              </w:rPr>
              <w:t xml:space="preserve"> </w:t>
            </w:r>
            <w:r w:rsidRPr="00276D5E">
              <w:rPr>
                <w:rFonts w:ascii="Arial" w:hAnsi="Arial" w:cs="Arial"/>
              </w:rPr>
              <w:t>competent</w:t>
            </w:r>
            <w:r w:rsidRPr="00276D5E">
              <w:rPr>
                <w:rFonts w:ascii="Arial" w:hAnsi="Arial" w:cs="Arial"/>
                <w:spacing w:val="-2"/>
              </w:rPr>
              <w:t xml:space="preserve"> </w:t>
            </w:r>
            <w:r w:rsidRPr="00276D5E">
              <w:rPr>
                <w:rFonts w:ascii="Arial" w:hAnsi="Arial" w:cs="Arial"/>
              </w:rPr>
              <w:t>authority</w:t>
            </w:r>
            <w:r w:rsidRPr="00276D5E">
              <w:rPr>
                <w:rFonts w:ascii="Arial" w:hAnsi="Arial" w:cs="Arial"/>
                <w:spacing w:val="-2"/>
              </w:rPr>
              <w:t xml:space="preserve"> </w:t>
            </w:r>
            <w:r w:rsidRPr="00276D5E">
              <w:rPr>
                <w:rFonts w:ascii="Arial" w:hAnsi="Arial" w:cs="Arial"/>
              </w:rPr>
              <w:t>that</w:t>
            </w:r>
            <w:r w:rsidRPr="00276D5E">
              <w:rPr>
                <w:rFonts w:ascii="Arial" w:hAnsi="Arial" w:cs="Arial"/>
                <w:spacing w:val="-2"/>
              </w:rPr>
              <w:t xml:space="preserve"> </w:t>
            </w:r>
            <w:r w:rsidRPr="00276D5E">
              <w:rPr>
                <w:rFonts w:ascii="Arial" w:hAnsi="Arial" w:cs="Arial"/>
              </w:rPr>
              <w:t>issued</w:t>
            </w:r>
            <w:r w:rsidRPr="00276D5E">
              <w:rPr>
                <w:rFonts w:ascii="Arial" w:hAnsi="Arial" w:cs="Arial"/>
                <w:spacing w:val="-2"/>
              </w:rPr>
              <w:t xml:space="preserve"> </w:t>
            </w:r>
            <w:r w:rsidRPr="00276D5E">
              <w:rPr>
                <w:rFonts w:ascii="Arial" w:hAnsi="Arial" w:cs="Arial"/>
              </w:rPr>
              <w:t>my</w:t>
            </w:r>
            <w:r w:rsidR="00F70121">
              <w:rPr>
                <w:rFonts w:ascii="Arial" w:hAnsi="Arial" w:cs="Arial"/>
              </w:rPr>
              <w:t xml:space="preserve"> </w:t>
            </w:r>
            <w:r w:rsidRPr="00F70121">
              <w:rPr>
                <w:rFonts w:ascii="Arial" w:hAnsi="Arial" w:cs="Arial"/>
              </w:rPr>
              <w:t>examiner</w:t>
            </w:r>
            <w:r w:rsidRPr="00F70121">
              <w:rPr>
                <w:rFonts w:ascii="Arial" w:hAnsi="Arial" w:cs="Arial"/>
                <w:spacing w:val="-3"/>
              </w:rPr>
              <w:t xml:space="preserve"> </w:t>
            </w:r>
            <w:r w:rsidRPr="00F70121">
              <w:rPr>
                <w:rFonts w:ascii="Arial" w:hAnsi="Arial" w:cs="Arial"/>
              </w:rPr>
              <w:t>certificate.</w:t>
            </w:r>
          </w:p>
        </w:tc>
      </w:tr>
      <w:tr w:rsidR="00786341" w:rsidRPr="00276D5E" w14:paraId="10A487F3" w14:textId="77777777" w:rsidTr="000873F7">
        <w:trPr>
          <w:trHeight w:val="486"/>
        </w:trPr>
        <w:tc>
          <w:tcPr>
            <w:tcW w:w="4654" w:type="dxa"/>
            <w:gridSpan w:val="9"/>
          </w:tcPr>
          <w:p w14:paraId="7DA425EB" w14:textId="77777777" w:rsidR="00786341" w:rsidRPr="00276D5E" w:rsidRDefault="00786341" w:rsidP="00456F0A">
            <w:pPr>
              <w:pStyle w:val="TableParagraph"/>
              <w:spacing w:line="243" w:lineRule="exact"/>
              <w:ind w:left="107"/>
              <w:rPr>
                <w:rFonts w:ascii="Arial" w:hAnsi="Arial" w:cs="Arial"/>
              </w:rPr>
            </w:pPr>
            <w:r w:rsidRPr="00276D5E">
              <w:rPr>
                <w:rFonts w:ascii="Arial" w:hAnsi="Arial" w:cs="Arial"/>
              </w:rPr>
              <w:t>Examiner’s</w:t>
            </w:r>
            <w:r w:rsidRPr="00276D5E">
              <w:rPr>
                <w:rFonts w:ascii="Arial" w:hAnsi="Arial" w:cs="Arial"/>
                <w:spacing w:val="-5"/>
              </w:rPr>
              <w:t xml:space="preserve"> </w:t>
            </w:r>
            <w:r w:rsidRPr="00276D5E">
              <w:rPr>
                <w:rFonts w:ascii="Arial" w:hAnsi="Arial" w:cs="Arial"/>
              </w:rPr>
              <w:t>certificate</w:t>
            </w:r>
            <w:r w:rsidRPr="00276D5E">
              <w:rPr>
                <w:rFonts w:ascii="Arial" w:hAnsi="Arial" w:cs="Arial"/>
                <w:spacing w:val="-4"/>
              </w:rPr>
              <w:t xml:space="preserve"> </w:t>
            </w:r>
            <w:r w:rsidRPr="00276D5E">
              <w:rPr>
                <w:rFonts w:ascii="Arial" w:hAnsi="Arial" w:cs="Arial"/>
              </w:rPr>
              <w:t>number:</w:t>
            </w:r>
          </w:p>
        </w:tc>
        <w:tc>
          <w:tcPr>
            <w:tcW w:w="4526" w:type="dxa"/>
            <w:gridSpan w:val="7"/>
          </w:tcPr>
          <w:p w14:paraId="1D4F9219" w14:textId="77777777" w:rsidR="00786341" w:rsidRPr="00276D5E" w:rsidRDefault="00786341" w:rsidP="00456F0A">
            <w:pPr>
              <w:pStyle w:val="TableParagraph"/>
              <w:spacing w:line="243" w:lineRule="exact"/>
              <w:ind w:left="106"/>
              <w:rPr>
                <w:rFonts w:ascii="Arial" w:hAnsi="Arial" w:cs="Arial"/>
              </w:rPr>
            </w:pPr>
            <w:r w:rsidRPr="00276D5E">
              <w:rPr>
                <w:rFonts w:ascii="Arial" w:hAnsi="Arial" w:cs="Arial"/>
              </w:rPr>
              <w:t>Examiner’s</w:t>
            </w:r>
            <w:r w:rsidRPr="00276D5E">
              <w:rPr>
                <w:rFonts w:ascii="Arial" w:hAnsi="Arial" w:cs="Arial"/>
                <w:spacing w:val="-5"/>
              </w:rPr>
              <w:t xml:space="preserve"> </w:t>
            </w:r>
            <w:r w:rsidRPr="00276D5E">
              <w:rPr>
                <w:rFonts w:ascii="Arial" w:hAnsi="Arial" w:cs="Arial"/>
              </w:rPr>
              <w:t>BPL</w:t>
            </w:r>
            <w:r w:rsidRPr="00276D5E">
              <w:rPr>
                <w:rFonts w:ascii="Arial" w:hAnsi="Arial" w:cs="Arial"/>
                <w:spacing w:val="-2"/>
              </w:rPr>
              <w:t xml:space="preserve"> </w:t>
            </w:r>
            <w:r w:rsidRPr="00276D5E">
              <w:rPr>
                <w:rFonts w:ascii="Arial" w:hAnsi="Arial" w:cs="Arial"/>
              </w:rPr>
              <w:t>number:</w:t>
            </w:r>
          </w:p>
        </w:tc>
      </w:tr>
      <w:tr w:rsidR="00786341" w:rsidRPr="00276D5E" w14:paraId="7DE00136" w14:textId="77777777" w:rsidTr="000873F7">
        <w:trPr>
          <w:trHeight w:val="489"/>
        </w:trPr>
        <w:tc>
          <w:tcPr>
            <w:tcW w:w="4654" w:type="dxa"/>
            <w:gridSpan w:val="9"/>
          </w:tcPr>
          <w:p w14:paraId="130037F7" w14:textId="77777777" w:rsidR="00786341" w:rsidRPr="00276D5E" w:rsidRDefault="00786341" w:rsidP="00456F0A">
            <w:pPr>
              <w:pStyle w:val="TableParagraph"/>
              <w:spacing w:line="243" w:lineRule="exact"/>
              <w:ind w:left="107"/>
              <w:rPr>
                <w:rFonts w:ascii="Arial" w:hAnsi="Arial" w:cs="Arial"/>
              </w:rPr>
            </w:pPr>
            <w:r w:rsidRPr="00276D5E">
              <w:rPr>
                <w:rFonts w:ascii="Arial" w:hAnsi="Arial" w:cs="Arial"/>
              </w:rPr>
              <w:t>Examiner’s</w:t>
            </w:r>
            <w:r w:rsidRPr="00276D5E">
              <w:rPr>
                <w:rFonts w:ascii="Arial" w:hAnsi="Arial" w:cs="Arial"/>
                <w:spacing w:val="-5"/>
              </w:rPr>
              <w:t xml:space="preserve"> </w:t>
            </w:r>
            <w:r w:rsidRPr="00276D5E">
              <w:rPr>
                <w:rFonts w:ascii="Arial" w:hAnsi="Arial" w:cs="Arial"/>
              </w:rPr>
              <w:t>name</w:t>
            </w:r>
            <w:r w:rsidRPr="00276D5E">
              <w:rPr>
                <w:rFonts w:ascii="Arial" w:hAnsi="Arial" w:cs="Arial"/>
                <w:spacing w:val="-3"/>
              </w:rPr>
              <w:t xml:space="preserve"> </w:t>
            </w:r>
            <w:r w:rsidRPr="00276D5E">
              <w:rPr>
                <w:rFonts w:ascii="Arial" w:hAnsi="Arial" w:cs="Arial"/>
              </w:rPr>
              <w:t>(capital</w:t>
            </w:r>
            <w:r w:rsidRPr="00276D5E">
              <w:rPr>
                <w:rFonts w:ascii="Arial" w:hAnsi="Arial" w:cs="Arial"/>
                <w:spacing w:val="-3"/>
              </w:rPr>
              <w:t xml:space="preserve"> </w:t>
            </w:r>
            <w:r w:rsidRPr="00276D5E">
              <w:rPr>
                <w:rFonts w:ascii="Arial" w:hAnsi="Arial" w:cs="Arial"/>
              </w:rPr>
              <w:t>letters):</w:t>
            </w:r>
          </w:p>
        </w:tc>
        <w:tc>
          <w:tcPr>
            <w:tcW w:w="4526" w:type="dxa"/>
            <w:gridSpan w:val="7"/>
          </w:tcPr>
          <w:p w14:paraId="0A6FCB89" w14:textId="77777777" w:rsidR="00786341" w:rsidRPr="00276D5E" w:rsidRDefault="00786341" w:rsidP="00456F0A">
            <w:pPr>
              <w:pStyle w:val="TableParagraph"/>
              <w:spacing w:line="243" w:lineRule="exact"/>
              <w:ind w:left="106"/>
              <w:rPr>
                <w:rFonts w:ascii="Arial" w:hAnsi="Arial" w:cs="Arial"/>
              </w:rPr>
            </w:pPr>
            <w:r w:rsidRPr="00276D5E">
              <w:rPr>
                <w:rFonts w:ascii="Arial" w:hAnsi="Arial" w:cs="Arial"/>
              </w:rPr>
              <w:t>Date</w:t>
            </w:r>
            <w:r w:rsidRPr="00276D5E">
              <w:rPr>
                <w:rFonts w:ascii="Arial" w:hAnsi="Arial" w:cs="Arial"/>
                <w:spacing w:val="-4"/>
              </w:rPr>
              <w:t xml:space="preserve"> </w:t>
            </w:r>
            <w:r w:rsidRPr="00276D5E">
              <w:rPr>
                <w:rFonts w:ascii="Arial" w:hAnsi="Arial" w:cs="Arial"/>
              </w:rPr>
              <w:t>and</w:t>
            </w:r>
            <w:r w:rsidRPr="00276D5E">
              <w:rPr>
                <w:rFonts w:ascii="Arial" w:hAnsi="Arial" w:cs="Arial"/>
                <w:spacing w:val="-2"/>
              </w:rPr>
              <w:t xml:space="preserve"> </w:t>
            </w:r>
            <w:r w:rsidRPr="00276D5E">
              <w:rPr>
                <w:rFonts w:ascii="Arial" w:hAnsi="Arial" w:cs="Arial"/>
              </w:rPr>
              <w:t>examiner’s</w:t>
            </w:r>
            <w:r w:rsidRPr="00276D5E">
              <w:rPr>
                <w:rFonts w:ascii="Arial" w:hAnsi="Arial" w:cs="Arial"/>
                <w:spacing w:val="-4"/>
              </w:rPr>
              <w:t xml:space="preserve"> </w:t>
            </w:r>
            <w:r w:rsidRPr="00276D5E">
              <w:rPr>
                <w:rFonts w:ascii="Arial" w:hAnsi="Arial" w:cs="Arial"/>
              </w:rPr>
              <w:t>signature:</w:t>
            </w:r>
          </w:p>
        </w:tc>
      </w:tr>
      <w:tr w:rsidR="00786341" w:rsidRPr="00276D5E" w14:paraId="2FB7598F" w14:textId="77777777" w:rsidTr="005E15BF">
        <w:trPr>
          <w:trHeight w:val="244"/>
        </w:trPr>
        <w:tc>
          <w:tcPr>
            <w:tcW w:w="498" w:type="dxa"/>
            <w:shd w:val="clear" w:color="auto" w:fill="F2F2F2" w:themeFill="background1" w:themeFillShade="F2"/>
          </w:tcPr>
          <w:p w14:paraId="159B6889" w14:textId="77777777" w:rsidR="00786341" w:rsidRPr="00276D5E" w:rsidRDefault="00786341" w:rsidP="00456F0A">
            <w:pPr>
              <w:pStyle w:val="TableParagraph"/>
              <w:spacing w:line="224" w:lineRule="exact"/>
              <w:ind w:left="107"/>
              <w:rPr>
                <w:rFonts w:ascii="Arial" w:hAnsi="Arial" w:cs="Arial"/>
                <w:b/>
              </w:rPr>
            </w:pPr>
            <w:r w:rsidRPr="00276D5E">
              <w:rPr>
                <w:rFonts w:ascii="Arial" w:hAnsi="Arial" w:cs="Arial"/>
                <w:b/>
                <w:w w:val="99"/>
              </w:rPr>
              <w:t>7</w:t>
            </w:r>
          </w:p>
        </w:tc>
        <w:tc>
          <w:tcPr>
            <w:tcW w:w="8682" w:type="dxa"/>
            <w:gridSpan w:val="15"/>
            <w:shd w:val="clear" w:color="auto" w:fill="F2F2F2" w:themeFill="background1" w:themeFillShade="F2"/>
          </w:tcPr>
          <w:p w14:paraId="06060340" w14:textId="77777777" w:rsidR="00786341" w:rsidRPr="00276D5E" w:rsidRDefault="00786341" w:rsidP="00456F0A">
            <w:pPr>
              <w:pStyle w:val="TableParagraph"/>
              <w:spacing w:line="224" w:lineRule="exact"/>
              <w:ind w:left="107"/>
              <w:rPr>
                <w:rFonts w:ascii="Arial" w:hAnsi="Arial" w:cs="Arial"/>
                <w:b/>
              </w:rPr>
            </w:pPr>
            <w:r w:rsidRPr="00276D5E">
              <w:rPr>
                <w:rFonts w:ascii="Arial" w:hAnsi="Arial" w:cs="Arial"/>
                <w:b/>
              </w:rPr>
              <w:t>Attachments</w:t>
            </w:r>
          </w:p>
        </w:tc>
      </w:tr>
      <w:tr w:rsidR="00786341" w:rsidRPr="00276D5E" w14:paraId="47C183D5" w14:textId="77777777" w:rsidTr="000873F7">
        <w:trPr>
          <w:trHeight w:val="484"/>
        </w:trPr>
        <w:tc>
          <w:tcPr>
            <w:tcW w:w="9180" w:type="dxa"/>
            <w:gridSpan w:val="16"/>
          </w:tcPr>
          <w:p w14:paraId="27F39C57" w14:textId="77777777" w:rsidR="00786341" w:rsidRPr="00276D5E" w:rsidRDefault="00786341" w:rsidP="00456F0A">
            <w:pPr>
              <w:pStyle w:val="TableParagraph"/>
              <w:spacing w:line="243" w:lineRule="exact"/>
              <w:ind w:left="107"/>
              <w:rPr>
                <w:rFonts w:ascii="Arial" w:hAnsi="Arial" w:cs="Arial"/>
              </w:rPr>
            </w:pPr>
            <w:r w:rsidRPr="00276D5E">
              <w:rPr>
                <w:rFonts w:ascii="Arial" w:hAnsi="Arial" w:cs="Arial"/>
              </w:rPr>
              <w:t>Detailed</w:t>
            </w:r>
            <w:r w:rsidRPr="00276D5E">
              <w:rPr>
                <w:rFonts w:ascii="Arial" w:hAnsi="Arial" w:cs="Arial"/>
                <w:spacing w:val="-2"/>
              </w:rPr>
              <w:t xml:space="preserve"> </w:t>
            </w:r>
            <w:r w:rsidRPr="00276D5E">
              <w:rPr>
                <w:rFonts w:ascii="Arial" w:hAnsi="Arial" w:cs="Arial"/>
              </w:rPr>
              <w:t>report</w:t>
            </w:r>
            <w:r w:rsidRPr="00276D5E">
              <w:rPr>
                <w:rFonts w:ascii="Arial" w:hAnsi="Arial" w:cs="Arial"/>
                <w:spacing w:val="-2"/>
              </w:rPr>
              <w:t xml:space="preserve"> </w:t>
            </w:r>
            <w:r w:rsidRPr="00276D5E">
              <w:rPr>
                <w:rFonts w:ascii="Arial" w:hAnsi="Arial" w:cs="Arial"/>
              </w:rPr>
              <w:t>as</w:t>
            </w:r>
            <w:r w:rsidRPr="00276D5E">
              <w:rPr>
                <w:rFonts w:ascii="Arial" w:hAnsi="Arial" w:cs="Arial"/>
                <w:spacing w:val="-4"/>
              </w:rPr>
              <w:t xml:space="preserve"> </w:t>
            </w:r>
            <w:r w:rsidRPr="00276D5E">
              <w:rPr>
                <w:rFonts w:ascii="Arial" w:hAnsi="Arial" w:cs="Arial"/>
              </w:rPr>
              <w:t>per</w:t>
            </w:r>
            <w:r w:rsidRPr="00276D5E">
              <w:rPr>
                <w:rFonts w:ascii="Arial" w:hAnsi="Arial" w:cs="Arial"/>
                <w:spacing w:val="-2"/>
              </w:rPr>
              <w:t xml:space="preserve"> </w:t>
            </w:r>
            <w:r w:rsidRPr="00276D5E">
              <w:rPr>
                <w:rFonts w:ascii="Arial" w:hAnsi="Arial" w:cs="Arial"/>
              </w:rPr>
              <w:t>AMC2</w:t>
            </w:r>
            <w:r w:rsidRPr="00276D5E">
              <w:rPr>
                <w:rFonts w:ascii="Arial" w:hAnsi="Arial" w:cs="Arial"/>
                <w:spacing w:val="-3"/>
              </w:rPr>
              <w:t xml:space="preserve"> </w:t>
            </w:r>
            <w:r w:rsidRPr="00276D5E">
              <w:rPr>
                <w:rFonts w:ascii="Arial" w:hAnsi="Arial" w:cs="Arial"/>
              </w:rPr>
              <w:t>BFCL.345</w:t>
            </w:r>
            <w:r w:rsidRPr="00276D5E">
              <w:rPr>
                <w:rFonts w:ascii="Arial" w:hAnsi="Arial" w:cs="Arial"/>
                <w:spacing w:val="-3"/>
              </w:rPr>
              <w:t xml:space="preserve"> </w:t>
            </w:r>
            <w:r w:rsidRPr="00276D5E">
              <w:rPr>
                <w:rFonts w:ascii="Arial" w:hAnsi="Arial" w:cs="Arial"/>
              </w:rPr>
              <w:t>to</w:t>
            </w:r>
            <w:r w:rsidRPr="00276D5E">
              <w:rPr>
                <w:rFonts w:ascii="Arial" w:hAnsi="Arial" w:cs="Arial"/>
                <w:spacing w:val="-2"/>
              </w:rPr>
              <w:t xml:space="preserve"> </w:t>
            </w:r>
            <w:r w:rsidRPr="00276D5E">
              <w:rPr>
                <w:rFonts w:ascii="Arial" w:hAnsi="Arial" w:cs="Arial"/>
              </w:rPr>
              <w:t>be</w:t>
            </w:r>
            <w:r w:rsidRPr="00276D5E">
              <w:rPr>
                <w:rFonts w:ascii="Arial" w:hAnsi="Arial" w:cs="Arial"/>
                <w:spacing w:val="-3"/>
              </w:rPr>
              <w:t xml:space="preserve"> </w:t>
            </w:r>
            <w:r w:rsidRPr="00276D5E">
              <w:rPr>
                <w:rFonts w:ascii="Arial" w:hAnsi="Arial" w:cs="Arial"/>
              </w:rPr>
              <w:t>attached</w:t>
            </w:r>
          </w:p>
        </w:tc>
      </w:tr>
      <w:tr w:rsidR="00786341" w:rsidRPr="00276D5E" w14:paraId="08C78967" w14:textId="77777777" w:rsidTr="000873F7">
        <w:trPr>
          <w:trHeight w:val="489"/>
        </w:trPr>
        <w:tc>
          <w:tcPr>
            <w:tcW w:w="9180" w:type="dxa"/>
            <w:gridSpan w:val="16"/>
          </w:tcPr>
          <w:p w14:paraId="0F213A55" w14:textId="3675D440" w:rsidR="00786341" w:rsidRPr="00276D5E" w:rsidRDefault="00786341" w:rsidP="00F70121">
            <w:pPr>
              <w:pStyle w:val="TableParagraph"/>
              <w:spacing w:line="243" w:lineRule="exact"/>
              <w:ind w:left="107"/>
              <w:rPr>
                <w:rFonts w:ascii="Arial" w:hAnsi="Arial" w:cs="Arial"/>
              </w:rPr>
            </w:pPr>
            <w:r w:rsidRPr="00276D5E">
              <w:rPr>
                <w:rFonts w:ascii="Arial" w:hAnsi="Arial" w:cs="Arial"/>
              </w:rPr>
              <w:t>Copy</w:t>
            </w:r>
            <w:r w:rsidRPr="00276D5E">
              <w:rPr>
                <w:rFonts w:ascii="Arial" w:hAnsi="Arial" w:cs="Arial"/>
                <w:spacing w:val="-2"/>
              </w:rPr>
              <w:t xml:space="preserve"> </w:t>
            </w:r>
            <w:r w:rsidRPr="00276D5E">
              <w:rPr>
                <w:rFonts w:ascii="Arial" w:hAnsi="Arial" w:cs="Arial"/>
              </w:rPr>
              <w:t>of</w:t>
            </w:r>
            <w:r w:rsidRPr="00276D5E">
              <w:rPr>
                <w:rFonts w:ascii="Arial" w:hAnsi="Arial" w:cs="Arial"/>
                <w:spacing w:val="-4"/>
              </w:rPr>
              <w:t xml:space="preserve"> </w:t>
            </w:r>
            <w:r w:rsidRPr="00276D5E">
              <w:rPr>
                <w:rFonts w:ascii="Arial" w:hAnsi="Arial" w:cs="Arial"/>
              </w:rPr>
              <w:t>the</w:t>
            </w:r>
            <w:r w:rsidRPr="00276D5E">
              <w:rPr>
                <w:rFonts w:ascii="Arial" w:hAnsi="Arial" w:cs="Arial"/>
                <w:spacing w:val="-3"/>
              </w:rPr>
              <w:t xml:space="preserve"> </w:t>
            </w:r>
            <w:r w:rsidRPr="00276D5E">
              <w:rPr>
                <w:rFonts w:ascii="Arial" w:hAnsi="Arial" w:cs="Arial"/>
              </w:rPr>
              <w:t>FE(B)</w:t>
            </w:r>
            <w:r w:rsidRPr="00276D5E">
              <w:rPr>
                <w:rFonts w:ascii="Arial" w:hAnsi="Arial" w:cs="Arial"/>
                <w:spacing w:val="-1"/>
              </w:rPr>
              <w:t xml:space="preserve"> </w:t>
            </w:r>
            <w:r w:rsidRPr="00276D5E">
              <w:rPr>
                <w:rFonts w:ascii="Arial" w:hAnsi="Arial" w:cs="Arial"/>
              </w:rPr>
              <w:t>certificate</w:t>
            </w:r>
            <w:r w:rsidRPr="00276D5E">
              <w:rPr>
                <w:rFonts w:ascii="Arial" w:hAnsi="Arial" w:cs="Arial"/>
                <w:spacing w:val="-3"/>
              </w:rPr>
              <w:t xml:space="preserve"> </w:t>
            </w:r>
            <w:r w:rsidRPr="00276D5E">
              <w:rPr>
                <w:rFonts w:ascii="Arial" w:hAnsi="Arial" w:cs="Arial"/>
              </w:rPr>
              <w:t>(in</w:t>
            </w:r>
            <w:r w:rsidRPr="00276D5E">
              <w:rPr>
                <w:rFonts w:ascii="Arial" w:hAnsi="Arial" w:cs="Arial"/>
                <w:spacing w:val="-2"/>
              </w:rPr>
              <w:t xml:space="preserve"> </w:t>
            </w:r>
            <w:r w:rsidRPr="00276D5E">
              <w:rPr>
                <w:rFonts w:ascii="Arial" w:hAnsi="Arial" w:cs="Arial"/>
              </w:rPr>
              <w:t>cases</w:t>
            </w:r>
            <w:r w:rsidRPr="00276D5E">
              <w:rPr>
                <w:rFonts w:ascii="Arial" w:hAnsi="Arial" w:cs="Arial"/>
                <w:spacing w:val="-1"/>
              </w:rPr>
              <w:t xml:space="preserve"> </w:t>
            </w:r>
            <w:r w:rsidRPr="00276D5E">
              <w:rPr>
                <w:rFonts w:ascii="Arial" w:hAnsi="Arial" w:cs="Arial"/>
              </w:rPr>
              <w:t>where</w:t>
            </w:r>
            <w:r w:rsidRPr="00276D5E">
              <w:rPr>
                <w:rFonts w:ascii="Arial" w:hAnsi="Arial" w:cs="Arial"/>
                <w:spacing w:val="-3"/>
              </w:rPr>
              <w:t xml:space="preserve"> </w:t>
            </w:r>
            <w:r w:rsidRPr="00276D5E">
              <w:rPr>
                <w:rFonts w:ascii="Arial" w:hAnsi="Arial" w:cs="Arial"/>
              </w:rPr>
              <w:t>the</w:t>
            </w:r>
            <w:r w:rsidRPr="00276D5E">
              <w:rPr>
                <w:rFonts w:ascii="Arial" w:hAnsi="Arial" w:cs="Arial"/>
                <w:spacing w:val="-3"/>
              </w:rPr>
              <w:t xml:space="preserve"> </w:t>
            </w:r>
            <w:r w:rsidRPr="00276D5E">
              <w:rPr>
                <w:rFonts w:ascii="Arial" w:hAnsi="Arial" w:cs="Arial"/>
              </w:rPr>
              <w:t>competent</w:t>
            </w:r>
            <w:r w:rsidRPr="00276D5E">
              <w:rPr>
                <w:rFonts w:ascii="Arial" w:hAnsi="Arial" w:cs="Arial"/>
                <w:spacing w:val="-2"/>
              </w:rPr>
              <w:t xml:space="preserve"> </w:t>
            </w:r>
            <w:r w:rsidRPr="00276D5E">
              <w:rPr>
                <w:rFonts w:ascii="Arial" w:hAnsi="Arial" w:cs="Arial"/>
              </w:rPr>
              <w:t>authority</w:t>
            </w:r>
            <w:r w:rsidRPr="00276D5E">
              <w:rPr>
                <w:rFonts w:ascii="Arial" w:hAnsi="Arial" w:cs="Arial"/>
                <w:spacing w:val="-2"/>
              </w:rPr>
              <w:t xml:space="preserve"> </w:t>
            </w:r>
            <w:r w:rsidRPr="00276D5E">
              <w:rPr>
                <w:rFonts w:ascii="Arial" w:hAnsi="Arial" w:cs="Arial"/>
              </w:rPr>
              <w:t>of</w:t>
            </w:r>
            <w:r w:rsidRPr="00276D5E">
              <w:rPr>
                <w:rFonts w:ascii="Arial" w:hAnsi="Arial" w:cs="Arial"/>
                <w:spacing w:val="-4"/>
              </w:rPr>
              <w:t xml:space="preserve"> </w:t>
            </w:r>
            <w:r w:rsidRPr="00276D5E">
              <w:rPr>
                <w:rFonts w:ascii="Arial" w:hAnsi="Arial" w:cs="Arial"/>
              </w:rPr>
              <w:t>the</w:t>
            </w:r>
            <w:r w:rsidRPr="00276D5E">
              <w:rPr>
                <w:rFonts w:ascii="Arial" w:hAnsi="Arial" w:cs="Arial"/>
                <w:spacing w:val="-3"/>
              </w:rPr>
              <w:t xml:space="preserve"> </w:t>
            </w:r>
            <w:r w:rsidRPr="00276D5E">
              <w:rPr>
                <w:rFonts w:ascii="Arial" w:hAnsi="Arial" w:cs="Arial"/>
              </w:rPr>
              <w:t>applicant</w:t>
            </w:r>
            <w:r w:rsidRPr="00276D5E">
              <w:rPr>
                <w:rFonts w:ascii="Arial" w:hAnsi="Arial" w:cs="Arial"/>
                <w:spacing w:val="-2"/>
              </w:rPr>
              <w:t xml:space="preserve"> </w:t>
            </w:r>
            <w:r w:rsidRPr="00276D5E">
              <w:rPr>
                <w:rFonts w:ascii="Arial" w:hAnsi="Arial" w:cs="Arial"/>
              </w:rPr>
              <w:t>is</w:t>
            </w:r>
            <w:r w:rsidRPr="00276D5E">
              <w:rPr>
                <w:rFonts w:ascii="Arial" w:hAnsi="Arial" w:cs="Arial"/>
                <w:spacing w:val="-4"/>
              </w:rPr>
              <w:t xml:space="preserve"> </w:t>
            </w:r>
            <w:r w:rsidRPr="00276D5E">
              <w:rPr>
                <w:rFonts w:ascii="Arial" w:hAnsi="Arial" w:cs="Arial"/>
              </w:rPr>
              <w:t>different</w:t>
            </w:r>
            <w:r w:rsidRPr="00276D5E">
              <w:rPr>
                <w:rFonts w:ascii="Arial" w:hAnsi="Arial" w:cs="Arial"/>
                <w:spacing w:val="-2"/>
              </w:rPr>
              <w:t xml:space="preserve"> </w:t>
            </w:r>
            <w:r w:rsidRPr="00276D5E">
              <w:rPr>
                <w:rFonts w:ascii="Arial" w:hAnsi="Arial" w:cs="Arial"/>
              </w:rPr>
              <w:t>from</w:t>
            </w:r>
            <w:r w:rsidRPr="00276D5E">
              <w:rPr>
                <w:rFonts w:ascii="Arial" w:hAnsi="Arial" w:cs="Arial"/>
                <w:spacing w:val="-3"/>
              </w:rPr>
              <w:t xml:space="preserve"> </w:t>
            </w:r>
            <w:r w:rsidRPr="00276D5E">
              <w:rPr>
                <w:rFonts w:ascii="Arial" w:hAnsi="Arial" w:cs="Arial"/>
              </w:rPr>
              <w:t>the</w:t>
            </w:r>
            <w:r w:rsidR="00F70121">
              <w:rPr>
                <w:rFonts w:ascii="Arial" w:hAnsi="Arial" w:cs="Arial"/>
              </w:rPr>
              <w:t xml:space="preserve"> </w:t>
            </w:r>
            <w:r w:rsidRPr="00276D5E">
              <w:rPr>
                <w:rFonts w:ascii="Arial" w:hAnsi="Arial" w:cs="Arial"/>
              </w:rPr>
              <w:t>competent</w:t>
            </w:r>
            <w:r w:rsidRPr="00276D5E">
              <w:rPr>
                <w:rFonts w:ascii="Arial" w:hAnsi="Arial" w:cs="Arial"/>
                <w:spacing w:val="-2"/>
              </w:rPr>
              <w:t xml:space="preserve"> </w:t>
            </w:r>
            <w:r w:rsidRPr="00276D5E">
              <w:rPr>
                <w:rFonts w:ascii="Arial" w:hAnsi="Arial" w:cs="Arial"/>
              </w:rPr>
              <w:t>authority</w:t>
            </w:r>
            <w:r w:rsidRPr="00276D5E">
              <w:rPr>
                <w:rFonts w:ascii="Arial" w:hAnsi="Arial" w:cs="Arial"/>
                <w:spacing w:val="-2"/>
              </w:rPr>
              <w:t xml:space="preserve"> </w:t>
            </w:r>
            <w:r w:rsidRPr="00276D5E">
              <w:rPr>
                <w:rFonts w:ascii="Arial" w:hAnsi="Arial" w:cs="Arial"/>
              </w:rPr>
              <w:t>of</w:t>
            </w:r>
            <w:r w:rsidRPr="00276D5E">
              <w:rPr>
                <w:rFonts w:ascii="Arial" w:hAnsi="Arial" w:cs="Arial"/>
                <w:spacing w:val="-4"/>
              </w:rPr>
              <w:t xml:space="preserve"> </w:t>
            </w:r>
            <w:r w:rsidRPr="00276D5E">
              <w:rPr>
                <w:rFonts w:ascii="Arial" w:hAnsi="Arial" w:cs="Arial"/>
              </w:rPr>
              <w:t>the</w:t>
            </w:r>
            <w:r w:rsidRPr="00276D5E">
              <w:rPr>
                <w:rFonts w:ascii="Arial" w:hAnsi="Arial" w:cs="Arial"/>
                <w:spacing w:val="-2"/>
              </w:rPr>
              <w:t xml:space="preserve"> </w:t>
            </w:r>
            <w:r w:rsidRPr="00276D5E">
              <w:rPr>
                <w:rFonts w:ascii="Arial" w:hAnsi="Arial" w:cs="Arial"/>
              </w:rPr>
              <w:t>examiner)</w:t>
            </w:r>
          </w:p>
        </w:tc>
      </w:tr>
    </w:tbl>
    <w:p w14:paraId="0C76F70D" w14:textId="77777777" w:rsidR="00973C18" w:rsidRPr="00973C18" w:rsidRDefault="00973C18" w:rsidP="00973C18">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722" w:name="_Toc153137460"/>
      <w:r w:rsidRPr="00973C18">
        <w:rPr>
          <w:rFonts w:ascii="Arial" w:eastAsia="Times New Roman" w:hAnsi="Arial" w:cs="Times New Roman"/>
          <w:b/>
          <w:iCs/>
          <w:color w:val="FFFFFF"/>
          <w:sz w:val="24"/>
        </w:rPr>
        <w:t>BFCL.360 FI(B) certificate – Recency requirements</w:t>
      </w:r>
      <w:bookmarkEnd w:id="722"/>
      <w:r w:rsidRPr="00973C18">
        <w:rPr>
          <w:rFonts w:ascii="Arial" w:eastAsia="Times New Roman" w:hAnsi="Arial" w:cs="Times New Roman"/>
          <w:b/>
          <w:iCs/>
          <w:color w:val="FFFFFF"/>
          <w:sz w:val="24"/>
        </w:rPr>
        <w:tab/>
      </w:r>
    </w:p>
    <w:p w14:paraId="4AF05270" w14:textId="77777777" w:rsidR="00973C18" w:rsidRPr="00973C18" w:rsidRDefault="00973C18" w:rsidP="00297373">
      <w:pPr>
        <w:pStyle w:val="ListParagraph"/>
        <w:numPr>
          <w:ilvl w:val="0"/>
          <w:numId w:val="266"/>
        </w:numPr>
        <w:tabs>
          <w:tab w:val="left" w:pos="707"/>
        </w:tabs>
        <w:spacing w:before="118" w:line="276" w:lineRule="auto"/>
        <w:ind w:right="68"/>
        <w:jc w:val="both"/>
        <w:rPr>
          <w:rFonts w:ascii="Arial" w:hAnsi="Arial" w:cs="Arial"/>
          <w:sz w:val="20"/>
        </w:rPr>
      </w:pPr>
      <w:r w:rsidRPr="00973C18">
        <w:rPr>
          <w:rFonts w:ascii="Arial" w:hAnsi="Arial" w:cs="Arial"/>
          <w:sz w:val="20"/>
        </w:rPr>
        <w:t>An FI(B) certificate holder shall only exercise the privileges of his or her certificate if he or she</w:t>
      </w:r>
      <w:r w:rsidRPr="00973C18">
        <w:rPr>
          <w:rFonts w:ascii="Arial" w:hAnsi="Arial" w:cs="Arial"/>
          <w:spacing w:val="1"/>
          <w:sz w:val="20"/>
        </w:rPr>
        <w:t xml:space="preserve"> </w:t>
      </w:r>
      <w:r w:rsidRPr="00973C18">
        <w:rPr>
          <w:rFonts w:ascii="Arial" w:hAnsi="Arial" w:cs="Arial"/>
          <w:sz w:val="20"/>
        </w:rPr>
        <w:t>has completed:</w:t>
      </w:r>
    </w:p>
    <w:p w14:paraId="00976CAE" w14:textId="77777777" w:rsidR="00973C18" w:rsidRPr="00973C18" w:rsidRDefault="00973C18" w:rsidP="00297373">
      <w:pPr>
        <w:pStyle w:val="ListParagraph"/>
        <w:numPr>
          <w:ilvl w:val="1"/>
          <w:numId w:val="266"/>
        </w:numPr>
        <w:tabs>
          <w:tab w:val="left" w:pos="1274"/>
        </w:tabs>
        <w:spacing w:line="276" w:lineRule="auto"/>
        <w:ind w:right="68" w:hanging="568"/>
        <w:jc w:val="both"/>
        <w:rPr>
          <w:rFonts w:ascii="Arial" w:hAnsi="Arial" w:cs="Arial"/>
          <w:sz w:val="20"/>
        </w:rPr>
      </w:pPr>
      <w:r w:rsidRPr="00973C18">
        <w:rPr>
          <w:rFonts w:ascii="Arial" w:hAnsi="Arial" w:cs="Arial"/>
          <w:sz w:val="20"/>
        </w:rPr>
        <w:t>within</w:t>
      </w:r>
      <w:r w:rsidRPr="00973C18">
        <w:rPr>
          <w:rFonts w:ascii="Arial" w:hAnsi="Arial" w:cs="Arial"/>
          <w:spacing w:val="-3"/>
          <w:sz w:val="20"/>
        </w:rPr>
        <w:t xml:space="preserve"> </w:t>
      </w:r>
      <w:r w:rsidRPr="00973C18">
        <w:rPr>
          <w:rFonts w:ascii="Arial" w:hAnsi="Arial" w:cs="Arial"/>
          <w:sz w:val="20"/>
        </w:rPr>
        <w:t>the last three</w:t>
      </w:r>
      <w:r w:rsidRPr="00973C18">
        <w:rPr>
          <w:rFonts w:ascii="Arial" w:hAnsi="Arial" w:cs="Arial"/>
          <w:spacing w:val="-3"/>
          <w:sz w:val="20"/>
        </w:rPr>
        <w:t xml:space="preserve"> </w:t>
      </w:r>
      <w:r w:rsidRPr="00973C18">
        <w:rPr>
          <w:rFonts w:ascii="Arial" w:hAnsi="Arial" w:cs="Arial"/>
          <w:sz w:val="20"/>
        </w:rPr>
        <w:t>years</w:t>
      </w:r>
      <w:r w:rsidRPr="00973C18">
        <w:rPr>
          <w:rFonts w:ascii="Arial" w:hAnsi="Arial" w:cs="Arial"/>
          <w:spacing w:val="-2"/>
          <w:sz w:val="20"/>
        </w:rPr>
        <w:t xml:space="preserve"> </w:t>
      </w:r>
      <w:r w:rsidRPr="00973C18">
        <w:rPr>
          <w:rFonts w:ascii="Arial" w:hAnsi="Arial" w:cs="Arial"/>
          <w:sz w:val="20"/>
        </w:rPr>
        <w:t>before</w:t>
      </w:r>
      <w:r w:rsidRPr="00973C18">
        <w:rPr>
          <w:rFonts w:ascii="Arial" w:hAnsi="Arial" w:cs="Arial"/>
          <w:spacing w:val="-3"/>
          <w:sz w:val="20"/>
        </w:rPr>
        <w:t xml:space="preserve"> </w:t>
      </w:r>
      <w:r w:rsidRPr="00973C18">
        <w:rPr>
          <w:rFonts w:ascii="Arial" w:hAnsi="Arial" w:cs="Arial"/>
          <w:sz w:val="20"/>
        </w:rPr>
        <w:t>the planned</w:t>
      </w:r>
      <w:r w:rsidRPr="00973C18">
        <w:rPr>
          <w:rFonts w:ascii="Arial" w:hAnsi="Arial" w:cs="Arial"/>
          <w:spacing w:val="-4"/>
          <w:sz w:val="20"/>
        </w:rPr>
        <w:t xml:space="preserve"> </w:t>
      </w:r>
      <w:r w:rsidRPr="00973C18">
        <w:rPr>
          <w:rFonts w:ascii="Arial" w:hAnsi="Arial" w:cs="Arial"/>
          <w:sz w:val="20"/>
        </w:rPr>
        <w:t>exercise of</w:t>
      </w:r>
      <w:r w:rsidRPr="00973C18">
        <w:rPr>
          <w:rFonts w:ascii="Arial" w:hAnsi="Arial" w:cs="Arial"/>
          <w:spacing w:val="-3"/>
          <w:sz w:val="20"/>
        </w:rPr>
        <w:t xml:space="preserve"> </w:t>
      </w:r>
      <w:r w:rsidRPr="00973C18">
        <w:rPr>
          <w:rFonts w:ascii="Arial" w:hAnsi="Arial" w:cs="Arial"/>
          <w:sz w:val="20"/>
        </w:rPr>
        <w:t>those privileges:</w:t>
      </w:r>
    </w:p>
    <w:p w14:paraId="4C310875" w14:textId="4B958CAE" w:rsidR="00973C18" w:rsidRPr="00973C18" w:rsidRDefault="00973C18" w:rsidP="00297373">
      <w:pPr>
        <w:pStyle w:val="ListParagraph"/>
        <w:numPr>
          <w:ilvl w:val="2"/>
          <w:numId w:val="266"/>
        </w:numPr>
        <w:tabs>
          <w:tab w:val="left" w:pos="1842"/>
        </w:tabs>
        <w:spacing w:before="121" w:line="276" w:lineRule="auto"/>
        <w:ind w:right="68"/>
        <w:jc w:val="both"/>
        <w:rPr>
          <w:rFonts w:ascii="Arial" w:hAnsi="Arial" w:cs="Arial"/>
          <w:sz w:val="20"/>
        </w:rPr>
      </w:pPr>
      <w:r w:rsidRPr="00973C18">
        <w:rPr>
          <w:rFonts w:ascii="Arial" w:hAnsi="Arial" w:cs="Arial"/>
          <w:sz w:val="20"/>
        </w:rPr>
        <w:t xml:space="preserve">instructor refresher training at an ATO, a DTO, or </w:t>
      </w:r>
      <w:r w:rsidR="003C6906">
        <w:rPr>
          <w:rFonts w:ascii="Arial" w:hAnsi="Arial" w:cs="Arial"/>
          <w:sz w:val="20"/>
          <w:szCs w:val="20"/>
        </w:rPr>
        <w:t xml:space="preserve">CAC RA </w:t>
      </w:r>
      <w:r w:rsidRPr="00973C18">
        <w:rPr>
          <w:rFonts w:ascii="Arial" w:hAnsi="Arial" w:cs="Arial"/>
          <w:sz w:val="20"/>
        </w:rPr>
        <w:t>during</w:t>
      </w:r>
      <w:r w:rsidRPr="00973C18">
        <w:rPr>
          <w:rFonts w:ascii="Arial" w:hAnsi="Arial" w:cs="Arial"/>
          <w:spacing w:val="1"/>
          <w:sz w:val="20"/>
        </w:rPr>
        <w:t xml:space="preserve"> </w:t>
      </w:r>
      <w:r w:rsidRPr="00973C18">
        <w:rPr>
          <w:rFonts w:ascii="Arial" w:hAnsi="Arial" w:cs="Arial"/>
          <w:sz w:val="20"/>
        </w:rPr>
        <w:t>which</w:t>
      </w:r>
      <w:r w:rsidRPr="00973C18">
        <w:rPr>
          <w:rFonts w:ascii="Arial" w:hAnsi="Arial" w:cs="Arial"/>
          <w:spacing w:val="-10"/>
          <w:sz w:val="20"/>
        </w:rPr>
        <w:t xml:space="preserve"> </w:t>
      </w:r>
      <w:r w:rsidRPr="00973C18">
        <w:rPr>
          <w:rFonts w:ascii="Arial" w:hAnsi="Arial" w:cs="Arial"/>
          <w:sz w:val="20"/>
        </w:rPr>
        <w:t>the</w:t>
      </w:r>
      <w:r w:rsidRPr="00973C18">
        <w:rPr>
          <w:rFonts w:ascii="Arial" w:hAnsi="Arial" w:cs="Arial"/>
          <w:spacing w:val="-8"/>
          <w:sz w:val="20"/>
        </w:rPr>
        <w:t xml:space="preserve"> </w:t>
      </w:r>
      <w:r w:rsidRPr="00973C18">
        <w:rPr>
          <w:rFonts w:ascii="Arial" w:hAnsi="Arial" w:cs="Arial"/>
          <w:sz w:val="20"/>
        </w:rPr>
        <w:t>holder</w:t>
      </w:r>
      <w:r w:rsidRPr="00973C18">
        <w:rPr>
          <w:rFonts w:ascii="Arial" w:hAnsi="Arial" w:cs="Arial"/>
          <w:spacing w:val="-8"/>
          <w:sz w:val="20"/>
        </w:rPr>
        <w:t xml:space="preserve"> </w:t>
      </w:r>
      <w:r w:rsidRPr="00973C18">
        <w:rPr>
          <w:rFonts w:ascii="Arial" w:hAnsi="Arial" w:cs="Arial"/>
          <w:sz w:val="20"/>
        </w:rPr>
        <w:t>shall</w:t>
      </w:r>
      <w:r w:rsidRPr="00973C18">
        <w:rPr>
          <w:rFonts w:ascii="Arial" w:hAnsi="Arial" w:cs="Arial"/>
          <w:spacing w:val="-9"/>
          <w:sz w:val="20"/>
        </w:rPr>
        <w:t xml:space="preserve"> </w:t>
      </w:r>
      <w:r w:rsidRPr="00973C18">
        <w:rPr>
          <w:rFonts w:ascii="Arial" w:hAnsi="Arial" w:cs="Arial"/>
          <w:sz w:val="20"/>
        </w:rPr>
        <w:t>receive</w:t>
      </w:r>
      <w:r w:rsidRPr="00973C18">
        <w:rPr>
          <w:rFonts w:ascii="Arial" w:hAnsi="Arial" w:cs="Arial"/>
          <w:spacing w:val="-8"/>
          <w:sz w:val="20"/>
        </w:rPr>
        <w:t xml:space="preserve"> </w:t>
      </w:r>
      <w:r w:rsidRPr="00973C18">
        <w:rPr>
          <w:rFonts w:ascii="Arial" w:hAnsi="Arial" w:cs="Arial"/>
          <w:sz w:val="20"/>
        </w:rPr>
        <w:t>theoretical</w:t>
      </w:r>
      <w:r w:rsidRPr="00973C18">
        <w:rPr>
          <w:rFonts w:ascii="Arial" w:hAnsi="Arial" w:cs="Arial"/>
          <w:spacing w:val="-11"/>
          <w:sz w:val="20"/>
        </w:rPr>
        <w:t xml:space="preserve"> </w:t>
      </w:r>
      <w:r w:rsidRPr="00973C18">
        <w:rPr>
          <w:rFonts w:ascii="Arial" w:hAnsi="Arial" w:cs="Arial"/>
          <w:sz w:val="20"/>
        </w:rPr>
        <w:t>knowledge</w:t>
      </w:r>
      <w:r w:rsidRPr="00973C18">
        <w:rPr>
          <w:rFonts w:ascii="Arial" w:hAnsi="Arial" w:cs="Arial"/>
          <w:spacing w:val="-7"/>
          <w:sz w:val="20"/>
        </w:rPr>
        <w:t xml:space="preserve"> </w:t>
      </w:r>
      <w:r w:rsidRPr="00973C18">
        <w:rPr>
          <w:rFonts w:ascii="Arial" w:hAnsi="Arial" w:cs="Arial"/>
          <w:sz w:val="20"/>
        </w:rPr>
        <w:t>instruction</w:t>
      </w:r>
      <w:r w:rsidRPr="00973C18">
        <w:rPr>
          <w:rFonts w:ascii="Arial" w:hAnsi="Arial" w:cs="Arial"/>
          <w:spacing w:val="-9"/>
          <w:sz w:val="20"/>
        </w:rPr>
        <w:t xml:space="preserve"> </w:t>
      </w:r>
      <w:r w:rsidRPr="00973C18">
        <w:rPr>
          <w:rFonts w:ascii="Arial" w:hAnsi="Arial" w:cs="Arial"/>
          <w:sz w:val="20"/>
        </w:rPr>
        <w:t>for</w:t>
      </w:r>
      <w:r w:rsidRPr="00973C18">
        <w:rPr>
          <w:rFonts w:ascii="Arial" w:hAnsi="Arial" w:cs="Arial"/>
          <w:spacing w:val="-8"/>
          <w:sz w:val="20"/>
        </w:rPr>
        <w:t xml:space="preserve"> </w:t>
      </w:r>
      <w:r w:rsidRPr="00973C18">
        <w:rPr>
          <w:rFonts w:ascii="Arial" w:hAnsi="Arial" w:cs="Arial"/>
          <w:sz w:val="20"/>
        </w:rPr>
        <w:t>refreshing</w:t>
      </w:r>
      <w:r w:rsidRPr="00973C18">
        <w:rPr>
          <w:rFonts w:ascii="Arial" w:hAnsi="Arial" w:cs="Arial"/>
          <w:spacing w:val="-10"/>
          <w:sz w:val="20"/>
        </w:rPr>
        <w:t xml:space="preserve"> </w:t>
      </w:r>
      <w:r w:rsidRPr="00973C18">
        <w:rPr>
          <w:rFonts w:ascii="Arial" w:hAnsi="Arial" w:cs="Arial"/>
          <w:sz w:val="20"/>
        </w:rPr>
        <w:t>and</w:t>
      </w:r>
      <w:r w:rsidRPr="00973C18">
        <w:rPr>
          <w:rFonts w:ascii="Arial" w:hAnsi="Arial" w:cs="Arial"/>
          <w:spacing w:val="-47"/>
          <w:sz w:val="20"/>
        </w:rPr>
        <w:t xml:space="preserve"> </w:t>
      </w:r>
      <w:r w:rsidRPr="00973C18">
        <w:rPr>
          <w:rFonts w:ascii="Arial" w:hAnsi="Arial" w:cs="Arial"/>
          <w:sz w:val="20"/>
        </w:rPr>
        <w:t>updating</w:t>
      </w:r>
      <w:r w:rsidRPr="00973C18">
        <w:rPr>
          <w:rFonts w:ascii="Arial" w:hAnsi="Arial" w:cs="Arial"/>
          <w:spacing w:val="-2"/>
          <w:sz w:val="20"/>
        </w:rPr>
        <w:t xml:space="preserve"> </w:t>
      </w:r>
      <w:r w:rsidRPr="00973C18">
        <w:rPr>
          <w:rFonts w:ascii="Arial" w:hAnsi="Arial" w:cs="Arial"/>
          <w:sz w:val="20"/>
        </w:rPr>
        <w:t>the</w:t>
      </w:r>
      <w:r w:rsidRPr="00973C18">
        <w:rPr>
          <w:rFonts w:ascii="Arial" w:hAnsi="Arial" w:cs="Arial"/>
          <w:spacing w:val="1"/>
          <w:sz w:val="20"/>
        </w:rPr>
        <w:t xml:space="preserve"> </w:t>
      </w:r>
      <w:r w:rsidRPr="00973C18">
        <w:rPr>
          <w:rFonts w:ascii="Arial" w:hAnsi="Arial" w:cs="Arial"/>
          <w:sz w:val="20"/>
        </w:rPr>
        <w:t>knowledge</w:t>
      </w:r>
      <w:r w:rsidRPr="00973C18">
        <w:rPr>
          <w:rFonts w:ascii="Arial" w:hAnsi="Arial" w:cs="Arial"/>
          <w:spacing w:val="-2"/>
          <w:sz w:val="20"/>
        </w:rPr>
        <w:t xml:space="preserve"> </w:t>
      </w:r>
      <w:r w:rsidRPr="00973C18">
        <w:rPr>
          <w:rFonts w:ascii="Arial" w:hAnsi="Arial" w:cs="Arial"/>
          <w:sz w:val="20"/>
        </w:rPr>
        <w:t>relevant for balloon</w:t>
      </w:r>
      <w:r w:rsidRPr="00973C18">
        <w:rPr>
          <w:rFonts w:ascii="Arial" w:hAnsi="Arial" w:cs="Arial"/>
          <w:spacing w:val="-1"/>
          <w:sz w:val="20"/>
        </w:rPr>
        <w:t xml:space="preserve"> </w:t>
      </w:r>
      <w:r w:rsidRPr="00973C18">
        <w:rPr>
          <w:rFonts w:ascii="Arial" w:hAnsi="Arial" w:cs="Arial"/>
          <w:sz w:val="20"/>
        </w:rPr>
        <w:t>instructors;</w:t>
      </w:r>
    </w:p>
    <w:p w14:paraId="101E41A8" w14:textId="77777777" w:rsidR="00973C18" w:rsidRPr="00973C18" w:rsidRDefault="00973C18" w:rsidP="00297373">
      <w:pPr>
        <w:pStyle w:val="ListParagraph"/>
        <w:numPr>
          <w:ilvl w:val="2"/>
          <w:numId w:val="266"/>
        </w:numPr>
        <w:tabs>
          <w:tab w:val="left" w:pos="1842"/>
        </w:tabs>
        <w:spacing w:line="276" w:lineRule="auto"/>
        <w:ind w:right="68"/>
        <w:jc w:val="both"/>
        <w:rPr>
          <w:rFonts w:ascii="Arial" w:hAnsi="Arial" w:cs="Arial"/>
          <w:sz w:val="20"/>
        </w:rPr>
      </w:pPr>
      <w:r w:rsidRPr="00973C18">
        <w:rPr>
          <w:rFonts w:ascii="Arial" w:hAnsi="Arial" w:cs="Arial"/>
          <w:sz w:val="20"/>
        </w:rPr>
        <w:t>at</w:t>
      </w:r>
      <w:r w:rsidRPr="00973C18">
        <w:rPr>
          <w:rFonts w:ascii="Arial" w:hAnsi="Arial" w:cs="Arial"/>
          <w:spacing w:val="-1"/>
          <w:sz w:val="20"/>
        </w:rPr>
        <w:t xml:space="preserve"> </w:t>
      </w:r>
      <w:r w:rsidRPr="00973C18">
        <w:rPr>
          <w:rFonts w:ascii="Arial" w:hAnsi="Arial" w:cs="Arial"/>
          <w:sz w:val="20"/>
        </w:rPr>
        <w:t>least</w:t>
      </w:r>
      <w:r w:rsidRPr="00973C18">
        <w:rPr>
          <w:rFonts w:ascii="Arial" w:hAnsi="Arial" w:cs="Arial"/>
          <w:spacing w:val="-1"/>
          <w:sz w:val="20"/>
        </w:rPr>
        <w:t xml:space="preserve"> </w:t>
      </w:r>
      <w:r w:rsidRPr="00973C18">
        <w:rPr>
          <w:rFonts w:ascii="Arial" w:hAnsi="Arial" w:cs="Arial"/>
          <w:sz w:val="20"/>
        </w:rPr>
        <w:t>6</w:t>
      </w:r>
      <w:r w:rsidRPr="00973C18">
        <w:rPr>
          <w:rFonts w:ascii="Arial" w:hAnsi="Arial" w:cs="Arial"/>
          <w:spacing w:val="-2"/>
          <w:sz w:val="20"/>
        </w:rPr>
        <w:t xml:space="preserve"> </w:t>
      </w:r>
      <w:r w:rsidRPr="00973C18">
        <w:rPr>
          <w:rFonts w:ascii="Arial" w:hAnsi="Arial" w:cs="Arial"/>
          <w:sz w:val="20"/>
        </w:rPr>
        <w:t>hours</w:t>
      </w:r>
      <w:r w:rsidRPr="00973C18">
        <w:rPr>
          <w:rFonts w:ascii="Arial" w:hAnsi="Arial" w:cs="Arial"/>
          <w:spacing w:val="-3"/>
          <w:sz w:val="20"/>
        </w:rPr>
        <w:t xml:space="preserve"> </w:t>
      </w:r>
      <w:r w:rsidRPr="00973C18">
        <w:rPr>
          <w:rFonts w:ascii="Arial" w:hAnsi="Arial" w:cs="Arial"/>
          <w:sz w:val="20"/>
        </w:rPr>
        <w:t>of</w:t>
      </w:r>
      <w:r w:rsidRPr="00973C18">
        <w:rPr>
          <w:rFonts w:ascii="Arial" w:hAnsi="Arial" w:cs="Arial"/>
          <w:spacing w:val="-1"/>
          <w:sz w:val="20"/>
        </w:rPr>
        <w:t xml:space="preserve"> </w:t>
      </w:r>
      <w:r w:rsidRPr="00973C18">
        <w:rPr>
          <w:rFonts w:ascii="Arial" w:hAnsi="Arial" w:cs="Arial"/>
          <w:sz w:val="20"/>
        </w:rPr>
        <w:t>flight</w:t>
      </w:r>
      <w:r w:rsidRPr="00973C18">
        <w:rPr>
          <w:rFonts w:ascii="Arial" w:hAnsi="Arial" w:cs="Arial"/>
          <w:spacing w:val="-2"/>
          <w:sz w:val="20"/>
        </w:rPr>
        <w:t xml:space="preserve"> </w:t>
      </w:r>
      <w:r w:rsidRPr="00973C18">
        <w:rPr>
          <w:rFonts w:ascii="Arial" w:hAnsi="Arial" w:cs="Arial"/>
          <w:sz w:val="20"/>
        </w:rPr>
        <w:t>instruction</w:t>
      </w:r>
      <w:r w:rsidRPr="00973C18">
        <w:rPr>
          <w:rFonts w:ascii="Arial" w:hAnsi="Arial" w:cs="Arial"/>
          <w:spacing w:val="-2"/>
          <w:sz w:val="20"/>
        </w:rPr>
        <w:t xml:space="preserve"> </w:t>
      </w:r>
      <w:r w:rsidRPr="00973C18">
        <w:rPr>
          <w:rFonts w:ascii="Arial" w:hAnsi="Arial" w:cs="Arial"/>
          <w:sz w:val="20"/>
        </w:rPr>
        <w:t>in balloons</w:t>
      </w:r>
      <w:r w:rsidRPr="00973C18">
        <w:rPr>
          <w:rFonts w:ascii="Arial" w:hAnsi="Arial" w:cs="Arial"/>
          <w:spacing w:val="-1"/>
          <w:sz w:val="20"/>
        </w:rPr>
        <w:t xml:space="preserve"> </w:t>
      </w:r>
      <w:r w:rsidRPr="00973C18">
        <w:rPr>
          <w:rFonts w:ascii="Arial" w:hAnsi="Arial" w:cs="Arial"/>
          <w:sz w:val="20"/>
        </w:rPr>
        <w:t>as</w:t>
      </w:r>
      <w:r w:rsidRPr="00973C18">
        <w:rPr>
          <w:rFonts w:ascii="Arial" w:hAnsi="Arial" w:cs="Arial"/>
          <w:spacing w:val="-1"/>
          <w:sz w:val="20"/>
        </w:rPr>
        <w:t xml:space="preserve"> </w:t>
      </w:r>
      <w:r w:rsidRPr="00973C18">
        <w:rPr>
          <w:rFonts w:ascii="Arial" w:hAnsi="Arial" w:cs="Arial"/>
          <w:sz w:val="20"/>
        </w:rPr>
        <w:t>FI(B); and</w:t>
      </w:r>
    </w:p>
    <w:p w14:paraId="73C97E1B" w14:textId="13C7C324" w:rsidR="00973C18" w:rsidRPr="00973C18" w:rsidRDefault="00973C18" w:rsidP="00297373">
      <w:pPr>
        <w:pStyle w:val="ListParagraph"/>
        <w:numPr>
          <w:ilvl w:val="1"/>
          <w:numId w:val="266"/>
        </w:numPr>
        <w:tabs>
          <w:tab w:val="left" w:pos="1274"/>
        </w:tabs>
        <w:spacing w:before="121" w:line="276" w:lineRule="auto"/>
        <w:ind w:right="68"/>
        <w:jc w:val="both"/>
        <w:rPr>
          <w:rFonts w:ascii="Arial" w:hAnsi="Arial" w:cs="Arial"/>
          <w:sz w:val="20"/>
        </w:rPr>
      </w:pPr>
      <w:r w:rsidRPr="00973C18">
        <w:rPr>
          <w:rFonts w:ascii="Arial" w:hAnsi="Arial" w:cs="Arial"/>
          <w:sz w:val="20"/>
        </w:rPr>
        <w:t>within the last nine years and in accordance with the procedures established for that</w:t>
      </w:r>
      <w:r w:rsidRPr="00973C18">
        <w:rPr>
          <w:rFonts w:ascii="Arial" w:hAnsi="Arial" w:cs="Arial"/>
          <w:spacing w:val="1"/>
          <w:sz w:val="20"/>
        </w:rPr>
        <w:t xml:space="preserve"> </w:t>
      </w:r>
      <w:r w:rsidRPr="00973C18">
        <w:rPr>
          <w:rFonts w:ascii="Arial" w:hAnsi="Arial" w:cs="Arial"/>
          <w:sz w:val="20"/>
        </w:rPr>
        <w:t xml:space="preserve">purpose by the </w:t>
      </w:r>
      <w:r w:rsidR="003C6906">
        <w:rPr>
          <w:rFonts w:ascii="Arial" w:hAnsi="Arial" w:cs="Arial"/>
          <w:sz w:val="20"/>
          <w:szCs w:val="20"/>
        </w:rPr>
        <w:t>CAC RA</w:t>
      </w:r>
      <w:r w:rsidRPr="00973C18">
        <w:rPr>
          <w:rFonts w:ascii="Arial" w:hAnsi="Arial" w:cs="Arial"/>
          <w:sz w:val="20"/>
        </w:rPr>
        <w:t>, one instruction flight on a balloon as FI(B) under</w:t>
      </w:r>
      <w:r w:rsidRPr="00973C18">
        <w:rPr>
          <w:rFonts w:ascii="Arial" w:hAnsi="Arial" w:cs="Arial"/>
          <w:spacing w:val="1"/>
          <w:sz w:val="20"/>
        </w:rPr>
        <w:t xml:space="preserve"> </w:t>
      </w:r>
      <w:r w:rsidRPr="00973C18">
        <w:rPr>
          <w:rFonts w:ascii="Arial" w:hAnsi="Arial" w:cs="Arial"/>
          <w:sz w:val="20"/>
        </w:rPr>
        <w:t>the supervision and to the satisfaction of an FI(B) who is qualified in accordance with</w:t>
      </w:r>
      <w:r w:rsidRPr="00973C18">
        <w:rPr>
          <w:rFonts w:ascii="Arial" w:hAnsi="Arial" w:cs="Arial"/>
          <w:spacing w:val="1"/>
          <w:sz w:val="20"/>
        </w:rPr>
        <w:t xml:space="preserve"> </w:t>
      </w:r>
      <w:r w:rsidRPr="00973C18">
        <w:rPr>
          <w:rFonts w:ascii="Arial" w:hAnsi="Arial" w:cs="Arial"/>
          <w:sz w:val="20"/>
        </w:rPr>
        <w:t>point</w:t>
      </w:r>
      <w:r w:rsidRPr="00973C18">
        <w:rPr>
          <w:rFonts w:ascii="Arial" w:hAnsi="Arial" w:cs="Arial"/>
          <w:spacing w:val="-1"/>
          <w:sz w:val="20"/>
        </w:rPr>
        <w:t xml:space="preserve"> </w:t>
      </w:r>
      <w:r w:rsidRPr="00973C18">
        <w:rPr>
          <w:rFonts w:ascii="Arial" w:hAnsi="Arial" w:cs="Arial"/>
          <w:sz w:val="20"/>
        </w:rPr>
        <w:t>BFCL.315(a)(4)</w:t>
      </w:r>
      <w:r w:rsidRPr="00973C18">
        <w:rPr>
          <w:rFonts w:ascii="Arial" w:hAnsi="Arial" w:cs="Arial"/>
          <w:spacing w:val="-3"/>
          <w:sz w:val="20"/>
        </w:rPr>
        <w:t xml:space="preserve"> </w:t>
      </w:r>
      <w:r w:rsidRPr="00973C18">
        <w:rPr>
          <w:rFonts w:ascii="Arial" w:hAnsi="Arial" w:cs="Arial"/>
          <w:sz w:val="20"/>
        </w:rPr>
        <w:t>and</w:t>
      </w:r>
      <w:r w:rsidRPr="00973C18">
        <w:rPr>
          <w:rFonts w:ascii="Arial" w:hAnsi="Arial" w:cs="Arial"/>
          <w:spacing w:val="-2"/>
          <w:sz w:val="20"/>
        </w:rPr>
        <w:t xml:space="preserve"> </w:t>
      </w:r>
      <w:r w:rsidRPr="00973C18">
        <w:rPr>
          <w:rFonts w:ascii="Arial" w:hAnsi="Arial" w:cs="Arial"/>
          <w:sz w:val="20"/>
        </w:rPr>
        <w:t>nominated</w:t>
      </w:r>
      <w:r w:rsidRPr="00973C18">
        <w:rPr>
          <w:rFonts w:ascii="Arial" w:hAnsi="Arial" w:cs="Arial"/>
          <w:spacing w:val="-1"/>
          <w:sz w:val="20"/>
        </w:rPr>
        <w:t xml:space="preserve"> </w:t>
      </w:r>
      <w:r w:rsidRPr="00973C18">
        <w:rPr>
          <w:rFonts w:ascii="Arial" w:hAnsi="Arial" w:cs="Arial"/>
          <w:sz w:val="20"/>
        </w:rPr>
        <w:t>by</w:t>
      </w:r>
      <w:r w:rsidRPr="00973C18">
        <w:rPr>
          <w:rFonts w:ascii="Arial" w:hAnsi="Arial" w:cs="Arial"/>
          <w:spacing w:val="-2"/>
          <w:sz w:val="20"/>
        </w:rPr>
        <w:t xml:space="preserve"> </w:t>
      </w:r>
      <w:r w:rsidRPr="00973C18">
        <w:rPr>
          <w:rFonts w:ascii="Arial" w:hAnsi="Arial" w:cs="Arial"/>
          <w:sz w:val="20"/>
        </w:rPr>
        <w:t>the</w:t>
      </w:r>
      <w:r w:rsidRPr="00973C18">
        <w:rPr>
          <w:rFonts w:ascii="Arial" w:hAnsi="Arial" w:cs="Arial"/>
          <w:spacing w:val="-3"/>
          <w:sz w:val="20"/>
        </w:rPr>
        <w:t xml:space="preserve"> </w:t>
      </w:r>
      <w:r w:rsidRPr="00973C18">
        <w:rPr>
          <w:rFonts w:ascii="Arial" w:hAnsi="Arial" w:cs="Arial"/>
          <w:sz w:val="20"/>
        </w:rPr>
        <w:t>head of</w:t>
      </w:r>
      <w:r w:rsidRPr="00973C18">
        <w:rPr>
          <w:rFonts w:ascii="Arial" w:hAnsi="Arial" w:cs="Arial"/>
          <w:spacing w:val="-1"/>
          <w:sz w:val="20"/>
        </w:rPr>
        <w:t xml:space="preserve"> </w:t>
      </w:r>
      <w:r w:rsidRPr="00973C18">
        <w:rPr>
          <w:rFonts w:ascii="Arial" w:hAnsi="Arial" w:cs="Arial"/>
          <w:sz w:val="20"/>
        </w:rPr>
        <w:t>training</w:t>
      </w:r>
      <w:r w:rsidRPr="00973C18">
        <w:rPr>
          <w:rFonts w:ascii="Arial" w:hAnsi="Arial" w:cs="Arial"/>
          <w:spacing w:val="-1"/>
          <w:sz w:val="20"/>
        </w:rPr>
        <w:t xml:space="preserve"> </w:t>
      </w:r>
      <w:r w:rsidRPr="00973C18">
        <w:rPr>
          <w:rFonts w:ascii="Arial" w:hAnsi="Arial" w:cs="Arial"/>
          <w:sz w:val="20"/>
        </w:rPr>
        <w:t>of an</w:t>
      </w:r>
      <w:r w:rsidRPr="00973C18">
        <w:rPr>
          <w:rFonts w:ascii="Arial" w:hAnsi="Arial" w:cs="Arial"/>
          <w:spacing w:val="-1"/>
          <w:sz w:val="20"/>
        </w:rPr>
        <w:t xml:space="preserve"> </w:t>
      </w:r>
      <w:r w:rsidRPr="00973C18">
        <w:rPr>
          <w:rFonts w:ascii="Arial" w:hAnsi="Arial" w:cs="Arial"/>
          <w:sz w:val="20"/>
        </w:rPr>
        <w:t>ATO or a</w:t>
      </w:r>
      <w:r w:rsidRPr="00973C18">
        <w:rPr>
          <w:rFonts w:ascii="Arial" w:hAnsi="Arial" w:cs="Arial"/>
          <w:spacing w:val="-3"/>
          <w:sz w:val="20"/>
        </w:rPr>
        <w:t xml:space="preserve"> </w:t>
      </w:r>
      <w:r w:rsidRPr="00973C18">
        <w:rPr>
          <w:rFonts w:ascii="Arial" w:hAnsi="Arial" w:cs="Arial"/>
          <w:sz w:val="20"/>
        </w:rPr>
        <w:t>DTO.</w:t>
      </w:r>
    </w:p>
    <w:p w14:paraId="13F7B4DE" w14:textId="77777777" w:rsidR="00973C18" w:rsidRPr="00973C18" w:rsidRDefault="00973C18" w:rsidP="00297373">
      <w:pPr>
        <w:pStyle w:val="ListParagraph"/>
        <w:numPr>
          <w:ilvl w:val="0"/>
          <w:numId w:val="266"/>
        </w:numPr>
        <w:tabs>
          <w:tab w:val="left" w:pos="707"/>
        </w:tabs>
        <w:spacing w:before="118" w:line="276" w:lineRule="auto"/>
        <w:ind w:right="68"/>
        <w:jc w:val="both"/>
        <w:rPr>
          <w:rFonts w:ascii="Arial" w:hAnsi="Arial" w:cs="Arial"/>
          <w:sz w:val="20"/>
        </w:rPr>
      </w:pPr>
      <w:r w:rsidRPr="00973C18">
        <w:rPr>
          <w:rFonts w:ascii="Arial" w:hAnsi="Arial" w:cs="Arial"/>
          <w:sz w:val="20"/>
        </w:rPr>
        <w:t>The</w:t>
      </w:r>
      <w:r w:rsidRPr="00973C18">
        <w:rPr>
          <w:rFonts w:ascii="Arial" w:hAnsi="Arial" w:cs="Arial"/>
          <w:spacing w:val="-4"/>
          <w:sz w:val="20"/>
        </w:rPr>
        <w:t xml:space="preserve"> </w:t>
      </w:r>
      <w:r w:rsidRPr="00973C18">
        <w:rPr>
          <w:rFonts w:ascii="Arial" w:hAnsi="Arial" w:cs="Arial"/>
          <w:sz w:val="20"/>
        </w:rPr>
        <w:t>hours</w:t>
      </w:r>
      <w:r w:rsidRPr="00973C18">
        <w:rPr>
          <w:rFonts w:ascii="Arial" w:hAnsi="Arial" w:cs="Arial"/>
          <w:spacing w:val="-7"/>
          <w:sz w:val="20"/>
        </w:rPr>
        <w:t xml:space="preserve"> </w:t>
      </w:r>
      <w:r w:rsidRPr="00973C18">
        <w:rPr>
          <w:rFonts w:ascii="Arial" w:hAnsi="Arial" w:cs="Arial"/>
          <w:sz w:val="20"/>
        </w:rPr>
        <w:t>flown</w:t>
      </w:r>
      <w:r w:rsidRPr="00973C18">
        <w:rPr>
          <w:rFonts w:ascii="Arial" w:hAnsi="Arial" w:cs="Arial"/>
          <w:spacing w:val="-4"/>
          <w:sz w:val="20"/>
        </w:rPr>
        <w:t xml:space="preserve"> </w:t>
      </w:r>
      <w:r w:rsidRPr="00973C18">
        <w:rPr>
          <w:rFonts w:ascii="Arial" w:hAnsi="Arial" w:cs="Arial"/>
          <w:sz w:val="20"/>
        </w:rPr>
        <w:t>as</w:t>
      </w:r>
      <w:r w:rsidRPr="00973C18">
        <w:rPr>
          <w:rFonts w:ascii="Arial" w:hAnsi="Arial" w:cs="Arial"/>
          <w:spacing w:val="-7"/>
          <w:sz w:val="20"/>
        </w:rPr>
        <w:t xml:space="preserve"> </w:t>
      </w:r>
      <w:r w:rsidRPr="00973C18">
        <w:rPr>
          <w:rFonts w:ascii="Arial" w:hAnsi="Arial" w:cs="Arial"/>
          <w:sz w:val="20"/>
        </w:rPr>
        <w:t>an</w:t>
      </w:r>
      <w:r w:rsidRPr="00973C18">
        <w:rPr>
          <w:rFonts w:ascii="Arial" w:hAnsi="Arial" w:cs="Arial"/>
          <w:spacing w:val="-7"/>
          <w:sz w:val="20"/>
        </w:rPr>
        <w:t xml:space="preserve"> </w:t>
      </w:r>
      <w:r w:rsidRPr="00973C18">
        <w:rPr>
          <w:rFonts w:ascii="Arial" w:hAnsi="Arial" w:cs="Arial"/>
          <w:sz w:val="20"/>
        </w:rPr>
        <w:t>FE(B)</w:t>
      </w:r>
      <w:r w:rsidRPr="00973C18">
        <w:rPr>
          <w:rFonts w:ascii="Arial" w:hAnsi="Arial" w:cs="Arial"/>
          <w:spacing w:val="-7"/>
          <w:sz w:val="20"/>
        </w:rPr>
        <w:t xml:space="preserve"> </w:t>
      </w:r>
      <w:r w:rsidRPr="00973C18">
        <w:rPr>
          <w:rFonts w:ascii="Arial" w:hAnsi="Arial" w:cs="Arial"/>
          <w:sz w:val="20"/>
        </w:rPr>
        <w:t>during</w:t>
      </w:r>
      <w:r w:rsidRPr="00973C18">
        <w:rPr>
          <w:rFonts w:ascii="Arial" w:hAnsi="Arial" w:cs="Arial"/>
          <w:spacing w:val="-5"/>
          <w:sz w:val="20"/>
        </w:rPr>
        <w:t xml:space="preserve"> </w:t>
      </w:r>
      <w:r w:rsidRPr="00973C18">
        <w:rPr>
          <w:rFonts w:ascii="Arial" w:hAnsi="Arial" w:cs="Arial"/>
          <w:sz w:val="20"/>
        </w:rPr>
        <w:t>skill</w:t>
      </w:r>
      <w:r w:rsidRPr="00973C18">
        <w:rPr>
          <w:rFonts w:ascii="Arial" w:hAnsi="Arial" w:cs="Arial"/>
          <w:spacing w:val="-7"/>
          <w:sz w:val="20"/>
        </w:rPr>
        <w:t xml:space="preserve"> </w:t>
      </w:r>
      <w:r w:rsidRPr="00973C18">
        <w:rPr>
          <w:rFonts w:ascii="Arial" w:hAnsi="Arial" w:cs="Arial"/>
          <w:sz w:val="20"/>
        </w:rPr>
        <w:t>tests,</w:t>
      </w:r>
      <w:r w:rsidRPr="00973C18">
        <w:rPr>
          <w:rFonts w:ascii="Arial" w:hAnsi="Arial" w:cs="Arial"/>
          <w:spacing w:val="-7"/>
          <w:sz w:val="20"/>
        </w:rPr>
        <w:t xml:space="preserve"> </w:t>
      </w:r>
      <w:r w:rsidRPr="00973C18">
        <w:rPr>
          <w:rFonts w:ascii="Arial" w:hAnsi="Arial" w:cs="Arial"/>
          <w:sz w:val="20"/>
        </w:rPr>
        <w:t>proficiency</w:t>
      </w:r>
      <w:r w:rsidRPr="00973C18">
        <w:rPr>
          <w:rFonts w:ascii="Arial" w:hAnsi="Arial" w:cs="Arial"/>
          <w:spacing w:val="-5"/>
          <w:sz w:val="20"/>
        </w:rPr>
        <w:t xml:space="preserve"> </w:t>
      </w:r>
      <w:r w:rsidRPr="00973C18">
        <w:rPr>
          <w:rFonts w:ascii="Arial" w:hAnsi="Arial" w:cs="Arial"/>
          <w:sz w:val="20"/>
        </w:rPr>
        <w:t>checks</w:t>
      </w:r>
      <w:r w:rsidRPr="00973C18">
        <w:rPr>
          <w:rFonts w:ascii="Arial" w:hAnsi="Arial" w:cs="Arial"/>
          <w:spacing w:val="-6"/>
          <w:sz w:val="20"/>
        </w:rPr>
        <w:t xml:space="preserve"> </w:t>
      </w:r>
      <w:r w:rsidRPr="00973C18">
        <w:rPr>
          <w:rFonts w:ascii="Arial" w:hAnsi="Arial" w:cs="Arial"/>
          <w:sz w:val="20"/>
        </w:rPr>
        <w:t>or</w:t>
      </w:r>
      <w:r w:rsidRPr="00973C18">
        <w:rPr>
          <w:rFonts w:ascii="Arial" w:hAnsi="Arial" w:cs="Arial"/>
          <w:spacing w:val="-7"/>
          <w:sz w:val="20"/>
        </w:rPr>
        <w:t xml:space="preserve"> </w:t>
      </w:r>
      <w:r w:rsidRPr="00973C18">
        <w:rPr>
          <w:rFonts w:ascii="Arial" w:hAnsi="Arial" w:cs="Arial"/>
          <w:sz w:val="20"/>
        </w:rPr>
        <w:t>assessments</w:t>
      </w:r>
      <w:r w:rsidRPr="00973C18">
        <w:rPr>
          <w:rFonts w:ascii="Arial" w:hAnsi="Arial" w:cs="Arial"/>
          <w:spacing w:val="-9"/>
          <w:sz w:val="20"/>
        </w:rPr>
        <w:t xml:space="preserve"> </w:t>
      </w:r>
      <w:r w:rsidRPr="00973C18">
        <w:rPr>
          <w:rFonts w:ascii="Arial" w:hAnsi="Arial" w:cs="Arial"/>
          <w:sz w:val="20"/>
        </w:rPr>
        <w:t>of</w:t>
      </w:r>
      <w:r w:rsidRPr="00973C18">
        <w:rPr>
          <w:rFonts w:ascii="Arial" w:hAnsi="Arial" w:cs="Arial"/>
          <w:spacing w:val="-3"/>
          <w:sz w:val="20"/>
        </w:rPr>
        <w:t xml:space="preserve"> </w:t>
      </w:r>
      <w:r w:rsidRPr="00973C18">
        <w:rPr>
          <w:rFonts w:ascii="Arial" w:hAnsi="Arial" w:cs="Arial"/>
          <w:sz w:val="20"/>
        </w:rPr>
        <w:t>competence</w:t>
      </w:r>
      <w:r w:rsidRPr="00973C18">
        <w:rPr>
          <w:rFonts w:ascii="Arial" w:hAnsi="Arial" w:cs="Arial"/>
          <w:spacing w:val="-48"/>
          <w:sz w:val="20"/>
        </w:rPr>
        <w:t xml:space="preserve"> </w:t>
      </w:r>
      <w:r w:rsidRPr="00973C18">
        <w:rPr>
          <w:rFonts w:ascii="Arial" w:hAnsi="Arial" w:cs="Arial"/>
          <w:sz w:val="20"/>
        </w:rPr>
        <w:t>shall</w:t>
      </w:r>
      <w:r w:rsidRPr="00973C18">
        <w:rPr>
          <w:rFonts w:ascii="Arial" w:hAnsi="Arial" w:cs="Arial"/>
          <w:spacing w:val="-2"/>
          <w:sz w:val="20"/>
        </w:rPr>
        <w:t xml:space="preserve"> </w:t>
      </w:r>
      <w:r w:rsidRPr="00973C18">
        <w:rPr>
          <w:rFonts w:ascii="Arial" w:hAnsi="Arial" w:cs="Arial"/>
          <w:sz w:val="20"/>
        </w:rPr>
        <w:t>be fully</w:t>
      </w:r>
      <w:r w:rsidRPr="00973C18">
        <w:rPr>
          <w:rFonts w:ascii="Arial" w:hAnsi="Arial" w:cs="Arial"/>
          <w:spacing w:val="-2"/>
          <w:sz w:val="20"/>
        </w:rPr>
        <w:t xml:space="preserve"> </w:t>
      </w:r>
      <w:r w:rsidRPr="00973C18">
        <w:rPr>
          <w:rFonts w:ascii="Arial" w:hAnsi="Arial" w:cs="Arial"/>
          <w:sz w:val="20"/>
        </w:rPr>
        <w:t>credited</w:t>
      </w:r>
      <w:r w:rsidRPr="00973C18">
        <w:rPr>
          <w:rFonts w:ascii="Arial" w:hAnsi="Arial" w:cs="Arial"/>
          <w:spacing w:val="-4"/>
          <w:sz w:val="20"/>
        </w:rPr>
        <w:t xml:space="preserve"> </w:t>
      </w:r>
      <w:r w:rsidRPr="00973C18">
        <w:rPr>
          <w:rFonts w:ascii="Arial" w:hAnsi="Arial" w:cs="Arial"/>
          <w:sz w:val="20"/>
        </w:rPr>
        <w:t>towards the requirement in paragraph</w:t>
      </w:r>
      <w:r w:rsidRPr="00973C18">
        <w:rPr>
          <w:rFonts w:ascii="Arial" w:hAnsi="Arial" w:cs="Arial"/>
          <w:spacing w:val="-1"/>
          <w:sz w:val="20"/>
        </w:rPr>
        <w:t xml:space="preserve"> </w:t>
      </w:r>
      <w:r w:rsidRPr="00973C18">
        <w:rPr>
          <w:rFonts w:ascii="Arial" w:hAnsi="Arial" w:cs="Arial"/>
          <w:sz w:val="20"/>
        </w:rPr>
        <w:t>(a)(1)(ii).</w:t>
      </w:r>
    </w:p>
    <w:p w14:paraId="20E26139" w14:textId="77777777" w:rsidR="00973C18" w:rsidRPr="00973C18" w:rsidRDefault="00973C18" w:rsidP="00297373">
      <w:pPr>
        <w:pStyle w:val="ListParagraph"/>
        <w:numPr>
          <w:ilvl w:val="0"/>
          <w:numId w:val="266"/>
        </w:numPr>
        <w:tabs>
          <w:tab w:val="left" w:pos="707"/>
        </w:tabs>
        <w:spacing w:before="121" w:line="276" w:lineRule="auto"/>
        <w:ind w:right="68"/>
        <w:jc w:val="both"/>
        <w:rPr>
          <w:rFonts w:ascii="Arial" w:hAnsi="Arial" w:cs="Arial"/>
          <w:sz w:val="20"/>
        </w:rPr>
      </w:pPr>
      <w:r w:rsidRPr="00973C18">
        <w:rPr>
          <w:rFonts w:ascii="Arial" w:hAnsi="Arial" w:cs="Arial"/>
          <w:sz w:val="20"/>
        </w:rPr>
        <w:t>If an FI(B) certificate holder has failed to complete the instruction flight under supervision to</w:t>
      </w:r>
      <w:r w:rsidRPr="00973C18">
        <w:rPr>
          <w:rFonts w:ascii="Arial" w:hAnsi="Arial" w:cs="Arial"/>
          <w:spacing w:val="1"/>
          <w:sz w:val="20"/>
        </w:rPr>
        <w:t xml:space="preserve"> </w:t>
      </w:r>
      <w:r w:rsidRPr="00973C18">
        <w:rPr>
          <w:rFonts w:ascii="Arial" w:hAnsi="Arial" w:cs="Arial"/>
          <w:sz w:val="20"/>
        </w:rPr>
        <w:t>the</w:t>
      </w:r>
      <w:r w:rsidRPr="00973C18">
        <w:rPr>
          <w:rFonts w:ascii="Arial" w:hAnsi="Arial" w:cs="Arial"/>
          <w:spacing w:val="-6"/>
          <w:sz w:val="20"/>
        </w:rPr>
        <w:t xml:space="preserve"> </w:t>
      </w:r>
      <w:r w:rsidRPr="00973C18">
        <w:rPr>
          <w:rFonts w:ascii="Arial" w:hAnsi="Arial" w:cs="Arial"/>
          <w:sz w:val="20"/>
        </w:rPr>
        <w:t>satisfaction</w:t>
      </w:r>
      <w:r w:rsidRPr="00973C18">
        <w:rPr>
          <w:rFonts w:ascii="Arial" w:hAnsi="Arial" w:cs="Arial"/>
          <w:spacing w:val="-9"/>
          <w:sz w:val="20"/>
        </w:rPr>
        <w:t xml:space="preserve"> </w:t>
      </w:r>
      <w:r w:rsidRPr="00973C18">
        <w:rPr>
          <w:rFonts w:ascii="Arial" w:hAnsi="Arial" w:cs="Arial"/>
          <w:sz w:val="20"/>
        </w:rPr>
        <w:t>of</w:t>
      </w:r>
      <w:r w:rsidRPr="00973C18">
        <w:rPr>
          <w:rFonts w:ascii="Arial" w:hAnsi="Arial" w:cs="Arial"/>
          <w:spacing w:val="-6"/>
          <w:sz w:val="20"/>
        </w:rPr>
        <w:t xml:space="preserve"> </w:t>
      </w:r>
      <w:r w:rsidRPr="00973C18">
        <w:rPr>
          <w:rFonts w:ascii="Arial" w:hAnsi="Arial" w:cs="Arial"/>
          <w:sz w:val="20"/>
        </w:rPr>
        <w:t>the</w:t>
      </w:r>
      <w:r w:rsidRPr="00973C18">
        <w:rPr>
          <w:rFonts w:ascii="Arial" w:hAnsi="Arial" w:cs="Arial"/>
          <w:spacing w:val="-5"/>
          <w:sz w:val="20"/>
        </w:rPr>
        <w:t xml:space="preserve"> </w:t>
      </w:r>
      <w:r w:rsidRPr="00973C18">
        <w:rPr>
          <w:rFonts w:ascii="Arial" w:hAnsi="Arial" w:cs="Arial"/>
          <w:sz w:val="20"/>
        </w:rPr>
        <w:t>FI(B)</w:t>
      </w:r>
      <w:r w:rsidRPr="00973C18">
        <w:rPr>
          <w:rFonts w:ascii="Arial" w:hAnsi="Arial" w:cs="Arial"/>
          <w:spacing w:val="-8"/>
          <w:sz w:val="20"/>
        </w:rPr>
        <w:t xml:space="preserve"> </w:t>
      </w:r>
      <w:r w:rsidRPr="00973C18">
        <w:rPr>
          <w:rFonts w:ascii="Arial" w:hAnsi="Arial" w:cs="Arial"/>
          <w:sz w:val="20"/>
        </w:rPr>
        <w:t>in</w:t>
      </w:r>
      <w:r w:rsidRPr="00973C18">
        <w:rPr>
          <w:rFonts w:ascii="Arial" w:hAnsi="Arial" w:cs="Arial"/>
          <w:spacing w:val="-7"/>
          <w:sz w:val="20"/>
        </w:rPr>
        <w:t xml:space="preserve"> </w:t>
      </w:r>
      <w:r w:rsidRPr="00973C18">
        <w:rPr>
          <w:rFonts w:ascii="Arial" w:hAnsi="Arial" w:cs="Arial"/>
          <w:sz w:val="20"/>
        </w:rPr>
        <w:t>accordance</w:t>
      </w:r>
      <w:r w:rsidRPr="00973C18">
        <w:rPr>
          <w:rFonts w:ascii="Arial" w:hAnsi="Arial" w:cs="Arial"/>
          <w:spacing w:val="-6"/>
          <w:sz w:val="20"/>
        </w:rPr>
        <w:t xml:space="preserve"> </w:t>
      </w:r>
      <w:r w:rsidRPr="00973C18">
        <w:rPr>
          <w:rFonts w:ascii="Arial" w:hAnsi="Arial" w:cs="Arial"/>
          <w:sz w:val="20"/>
        </w:rPr>
        <w:t>with</w:t>
      </w:r>
      <w:r w:rsidRPr="00973C18">
        <w:rPr>
          <w:rFonts w:ascii="Arial" w:hAnsi="Arial" w:cs="Arial"/>
          <w:spacing w:val="-6"/>
          <w:sz w:val="20"/>
        </w:rPr>
        <w:t xml:space="preserve"> </w:t>
      </w:r>
      <w:r w:rsidRPr="00973C18">
        <w:rPr>
          <w:rFonts w:ascii="Arial" w:hAnsi="Arial" w:cs="Arial"/>
          <w:sz w:val="20"/>
        </w:rPr>
        <w:t>paragraph</w:t>
      </w:r>
      <w:r w:rsidRPr="00973C18">
        <w:rPr>
          <w:rFonts w:ascii="Arial" w:hAnsi="Arial" w:cs="Arial"/>
          <w:spacing w:val="-6"/>
          <w:sz w:val="20"/>
        </w:rPr>
        <w:t xml:space="preserve"> </w:t>
      </w:r>
      <w:r w:rsidRPr="00973C18">
        <w:rPr>
          <w:rFonts w:ascii="Arial" w:hAnsi="Arial" w:cs="Arial"/>
          <w:sz w:val="20"/>
        </w:rPr>
        <w:t>(a)(2),</w:t>
      </w:r>
      <w:r w:rsidRPr="00973C18">
        <w:rPr>
          <w:rFonts w:ascii="Arial" w:hAnsi="Arial" w:cs="Arial"/>
          <w:spacing w:val="-4"/>
          <w:sz w:val="20"/>
        </w:rPr>
        <w:t xml:space="preserve"> </w:t>
      </w:r>
      <w:r w:rsidRPr="00973C18">
        <w:rPr>
          <w:rFonts w:ascii="Arial" w:hAnsi="Arial" w:cs="Arial"/>
          <w:sz w:val="20"/>
        </w:rPr>
        <w:t>he</w:t>
      </w:r>
      <w:r w:rsidRPr="00973C18">
        <w:rPr>
          <w:rFonts w:ascii="Arial" w:hAnsi="Arial" w:cs="Arial"/>
          <w:spacing w:val="-7"/>
          <w:sz w:val="20"/>
        </w:rPr>
        <w:t xml:space="preserve"> </w:t>
      </w:r>
      <w:r w:rsidRPr="00973C18">
        <w:rPr>
          <w:rFonts w:ascii="Arial" w:hAnsi="Arial" w:cs="Arial"/>
          <w:sz w:val="20"/>
        </w:rPr>
        <w:t>or</w:t>
      </w:r>
      <w:r w:rsidRPr="00973C18">
        <w:rPr>
          <w:rFonts w:ascii="Arial" w:hAnsi="Arial" w:cs="Arial"/>
          <w:spacing w:val="-6"/>
          <w:sz w:val="20"/>
        </w:rPr>
        <w:t xml:space="preserve"> </w:t>
      </w:r>
      <w:r w:rsidRPr="00973C18">
        <w:rPr>
          <w:rFonts w:ascii="Arial" w:hAnsi="Arial" w:cs="Arial"/>
          <w:sz w:val="20"/>
        </w:rPr>
        <w:t>she</w:t>
      </w:r>
      <w:r w:rsidRPr="00973C18">
        <w:rPr>
          <w:rFonts w:ascii="Arial" w:hAnsi="Arial" w:cs="Arial"/>
          <w:spacing w:val="-8"/>
          <w:sz w:val="20"/>
        </w:rPr>
        <w:t xml:space="preserve"> </w:t>
      </w:r>
      <w:r w:rsidRPr="00973C18">
        <w:rPr>
          <w:rFonts w:ascii="Arial" w:hAnsi="Arial" w:cs="Arial"/>
          <w:sz w:val="20"/>
        </w:rPr>
        <w:t>shall</w:t>
      </w:r>
      <w:r w:rsidRPr="00973C18">
        <w:rPr>
          <w:rFonts w:ascii="Arial" w:hAnsi="Arial" w:cs="Arial"/>
          <w:spacing w:val="-5"/>
          <w:sz w:val="20"/>
        </w:rPr>
        <w:t xml:space="preserve"> </w:t>
      </w:r>
      <w:r w:rsidRPr="00973C18">
        <w:rPr>
          <w:rFonts w:ascii="Arial" w:hAnsi="Arial" w:cs="Arial"/>
          <w:sz w:val="20"/>
        </w:rPr>
        <w:t>not</w:t>
      </w:r>
      <w:r w:rsidRPr="00973C18">
        <w:rPr>
          <w:rFonts w:ascii="Arial" w:hAnsi="Arial" w:cs="Arial"/>
          <w:spacing w:val="-5"/>
          <w:sz w:val="20"/>
        </w:rPr>
        <w:t xml:space="preserve"> </w:t>
      </w:r>
      <w:r w:rsidRPr="00973C18">
        <w:rPr>
          <w:rFonts w:ascii="Arial" w:hAnsi="Arial" w:cs="Arial"/>
          <w:sz w:val="20"/>
        </w:rPr>
        <w:t>exercise</w:t>
      </w:r>
      <w:r w:rsidRPr="00973C18">
        <w:rPr>
          <w:rFonts w:ascii="Arial" w:hAnsi="Arial" w:cs="Arial"/>
          <w:spacing w:val="-5"/>
          <w:sz w:val="20"/>
        </w:rPr>
        <w:t xml:space="preserve"> </w:t>
      </w:r>
      <w:r w:rsidRPr="00973C18">
        <w:rPr>
          <w:rFonts w:ascii="Arial" w:hAnsi="Arial" w:cs="Arial"/>
          <w:sz w:val="20"/>
        </w:rPr>
        <w:t>the</w:t>
      </w:r>
      <w:r w:rsidRPr="00973C18">
        <w:rPr>
          <w:rFonts w:ascii="Arial" w:hAnsi="Arial" w:cs="Arial"/>
          <w:spacing w:val="-47"/>
          <w:sz w:val="20"/>
        </w:rPr>
        <w:t xml:space="preserve"> </w:t>
      </w:r>
      <w:r w:rsidRPr="00973C18">
        <w:rPr>
          <w:rFonts w:ascii="Arial" w:hAnsi="Arial" w:cs="Arial"/>
          <w:sz w:val="20"/>
        </w:rPr>
        <w:t>privileges of the FI(B) certificate until he or she has successfully completed an assessment of</w:t>
      </w:r>
      <w:r w:rsidRPr="00973C18">
        <w:rPr>
          <w:rFonts w:ascii="Arial" w:hAnsi="Arial" w:cs="Arial"/>
          <w:spacing w:val="1"/>
          <w:sz w:val="20"/>
        </w:rPr>
        <w:t xml:space="preserve"> </w:t>
      </w:r>
      <w:r w:rsidRPr="00973C18">
        <w:rPr>
          <w:rFonts w:ascii="Arial" w:hAnsi="Arial" w:cs="Arial"/>
          <w:sz w:val="20"/>
        </w:rPr>
        <w:t>competence in</w:t>
      </w:r>
      <w:r w:rsidRPr="00973C18">
        <w:rPr>
          <w:rFonts w:ascii="Arial" w:hAnsi="Arial" w:cs="Arial"/>
          <w:spacing w:val="-1"/>
          <w:sz w:val="20"/>
        </w:rPr>
        <w:t xml:space="preserve"> </w:t>
      </w:r>
      <w:r w:rsidRPr="00973C18">
        <w:rPr>
          <w:rFonts w:ascii="Arial" w:hAnsi="Arial" w:cs="Arial"/>
          <w:sz w:val="20"/>
        </w:rPr>
        <w:t>accordance</w:t>
      </w:r>
      <w:r w:rsidRPr="00973C18">
        <w:rPr>
          <w:rFonts w:ascii="Arial" w:hAnsi="Arial" w:cs="Arial"/>
          <w:spacing w:val="-2"/>
          <w:sz w:val="20"/>
        </w:rPr>
        <w:t xml:space="preserve"> </w:t>
      </w:r>
      <w:r w:rsidRPr="00973C18">
        <w:rPr>
          <w:rFonts w:ascii="Arial" w:hAnsi="Arial" w:cs="Arial"/>
          <w:sz w:val="20"/>
        </w:rPr>
        <w:t>with point BFCL.345.</w:t>
      </w:r>
    </w:p>
    <w:p w14:paraId="27B88081" w14:textId="77777777" w:rsidR="00973C18" w:rsidRPr="00973C18" w:rsidRDefault="00973C18" w:rsidP="00297373">
      <w:pPr>
        <w:pStyle w:val="ListParagraph"/>
        <w:numPr>
          <w:ilvl w:val="0"/>
          <w:numId w:val="266"/>
        </w:numPr>
        <w:tabs>
          <w:tab w:val="left" w:pos="707"/>
        </w:tabs>
        <w:spacing w:before="56" w:line="276" w:lineRule="auto"/>
        <w:ind w:right="68"/>
        <w:jc w:val="both"/>
        <w:rPr>
          <w:rFonts w:ascii="Arial" w:hAnsi="Arial" w:cs="Arial"/>
          <w:sz w:val="20"/>
        </w:rPr>
      </w:pPr>
      <w:r w:rsidRPr="00973C18">
        <w:rPr>
          <w:rFonts w:ascii="Arial" w:hAnsi="Arial" w:cs="Arial"/>
          <w:sz w:val="20"/>
        </w:rPr>
        <w:t>To resume the exercise of the privileges of the FI(B) certificate, an FI(B) certificate holder who</w:t>
      </w:r>
      <w:r w:rsidRPr="00973C18">
        <w:rPr>
          <w:rFonts w:ascii="Arial" w:hAnsi="Arial" w:cs="Arial"/>
          <w:spacing w:val="1"/>
          <w:sz w:val="20"/>
        </w:rPr>
        <w:t xml:space="preserve"> </w:t>
      </w:r>
      <w:r w:rsidRPr="00973C18">
        <w:rPr>
          <w:rFonts w:ascii="Arial" w:hAnsi="Arial" w:cs="Arial"/>
          <w:sz w:val="20"/>
        </w:rPr>
        <w:t>does not comply with all the requirements of paragraph (a) shall comply with the requirement</w:t>
      </w:r>
      <w:r w:rsidRPr="00973C18">
        <w:rPr>
          <w:rFonts w:ascii="Arial" w:hAnsi="Arial" w:cs="Arial"/>
          <w:spacing w:val="-47"/>
          <w:sz w:val="20"/>
        </w:rPr>
        <w:t xml:space="preserve"> </w:t>
      </w:r>
      <w:r w:rsidRPr="00973C18">
        <w:rPr>
          <w:rFonts w:ascii="Arial" w:hAnsi="Arial" w:cs="Arial"/>
          <w:sz w:val="20"/>
        </w:rPr>
        <w:t>of</w:t>
      </w:r>
      <w:r w:rsidRPr="00973C18">
        <w:rPr>
          <w:rFonts w:ascii="Arial" w:hAnsi="Arial" w:cs="Arial"/>
          <w:spacing w:val="-1"/>
          <w:sz w:val="20"/>
        </w:rPr>
        <w:t xml:space="preserve"> </w:t>
      </w:r>
      <w:r w:rsidRPr="00973C18">
        <w:rPr>
          <w:rFonts w:ascii="Arial" w:hAnsi="Arial" w:cs="Arial"/>
          <w:sz w:val="20"/>
        </w:rPr>
        <w:t>paragraph</w:t>
      </w:r>
      <w:r w:rsidRPr="00973C18">
        <w:rPr>
          <w:rFonts w:ascii="Arial" w:hAnsi="Arial" w:cs="Arial"/>
          <w:spacing w:val="-1"/>
          <w:sz w:val="20"/>
        </w:rPr>
        <w:t xml:space="preserve"> </w:t>
      </w:r>
      <w:r w:rsidRPr="00973C18">
        <w:rPr>
          <w:rFonts w:ascii="Arial" w:hAnsi="Arial" w:cs="Arial"/>
          <w:sz w:val="20"/>
        </w:rPr>
        <w:t>(a)(1)(i) and</w:t>
      </w:r>
      <w:r w:rsidRPr="00973C18">
        <w:rPr>
          <w:rFonts w:ascii="Arial" w:hAnsi="Arial" w:cs="Arial"/>
          <w:spacing w:val="-3"/>
          <w:sz w:val="20"/>
        </w:rPr>
        <w:t xml:space="preserve"> </w:t>
      </w:r>
      <w:r w:rsidRPr="00973C18">
        <w:rPr>
          <w:rFonts w:ascii="Arial" w:hAnsi="Arial" w:cs="Arial"/>
          <w:sz w:val="20"/>
        </w:rPr>
        <w:t>of</w:t>
      </w:r>
      <w:r w:rsidRPr="00973C18">
        <w:rPr>
          <w:rFonts w:ascii="Arial" w:hAnsi="Arial" w:cs="Arial"/>
          <w:spacing w:val="2"/>
          <w:sz w:val="20"/>
        </w:rPr>
        <w:t xml:space="preserve"> </w:t>
      </w:r>
      <w:r w:rsidRPr="00973C18">
        <w:rPr>
          <w:rFonts w:ascii="Arial" w:hAnsi="Arial" w:cs="Arial"/>
          <w:sz w:val="20"/>
        </w:rPr>
        <w:t>point BFCL.345.</w:t>
      </w:r>
    </w:p>
    <w:p w14:paraId="6C26A290" w14:textId="77777777" w:rsidR="00973C18" w:rsidRDefault="00973C18" w:rsidP="00973C18">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723" w:name="_Toc153137461"/>
      <w:r w:rsidRPr="00973C18">
        <w:rPr>
          <w:rFonts w:ascii="Arial" w:eastAsia="Times New Roman" w:hAnsi="Arial" w:cs="Times New Roman"/>
          <w:b/>
          <w:color w:val="FFFFFF"/>
          <w:sz w:val="24"/>
        </w:rPr>
        <w:t>AMC1 BFCL.360(a)(1)(i) FI(B) certificate – Recency requirements</w:t>
      </w:r>
      <w:bookmarkEnd w:id="723"/>
    </w:p>
    <w:p w14:paraId="21375604" w14:textId="77777777" w:rsidR="00973C18" w:rsidRPr="00973C18" w:rsidRDefault="00973C18" w:rsidP="00973C18">
      <w:pPr>
        <w:widowControl/>
        <w:autoSpaceDE/>
        <w:autoSpaceDN/>
        <w:spacing w:before="240" w:after="160" w:line="264" w:lineRule="auto"/>
        <w:jc w:val="both"/>
        <w:rPr>
          <w:rFonts w:ascii="Arial" w:eastAsiaTheme="minorHAnsi" w:hAnsi="Arial" w:cs="Arial"/>
          <w:b/>
          <w:bCs/>
          <w:sz w:val="20"/>
          <w:szCs w:val="20"/>
        </w:rPr>
      </w:pPr>
      <w:r w:rsidRPr="00973C18">
        <w:rPr>
          <w:rFonts w:ascii="Arial" w:eastAsiaTheme="minorHAnsi" w:hAnsi="Arial" w:cs="Arial"/>
          <w:b/>
          <w:bCs/>
          <w:sz w:val="20"/>
          <w:szCs w:val="20"/>
        </w:rPr>
        <w:t>INSTRUCTOR REFRESHER TRAINING</w:t>
      </w:r>
    </w:p>
    <w:p w14:paraId="62EB99EA" w14:textId="1BD0F5A7" w:rsidR="00973C18" w:rsidRPr="00973C18" w:rsidRDefault="00973C18" w:rsidP="00297373">
      <w:pPr>
        <w:numPr>
          <w:ilvl w:val="0"/>
          <w:numId w:val="267"/>
        </w:numPr>
        <w:tabs>
          <w:tab w:val="left" w:pos="707"/>
        </w:tabs>
        <w:spacing w:before="118" w:line="276" w:lineRule="auto"/>
        <w:ind w:right="68"/>
        <w:jc w:val="both"/>
        <w:rPr>
          <w:rFonts w:ascii="Arial" w:hAnsi="Arial" w:cs="Arial"/>
          <w:sz w:val="20"/>
        </w:rPr>
      </w:pPr>
      <w:r w:rsidRPr="00973C18">
        <w:rPr>
          <w:rFonts w:ascii="Arial" w:hAnsi="Arial" w:cs="Arial"/>
          <w:sz w:val="20"/>
        </w:rPr>
        <w:t>The FI(B) refresher training should be held in the form of a seminar. Such seminars made</w:t>
      </w:r>
      <w:r w:rsidRPr="00973C18">
        <w:rPr>
          <w:rFonts w:ascii="Arial" w:hAnsi="Arial" w:cs="Arial"/>
          <w:spacing w:val="1"/>
          <w:sz w:val="20"/>
        </w:rPr>
        <w:t xml:space="preserve"> </w:t>
      </w:r>
      <w:r w:rsidRPr="00973C18">
        <w:rPr>
          <w:rFonts w:ascii="Arial" w:hAnsi="Arial" w:cs="Arial"/>
          <w:sz w:val="20"/>
        </w:rPr>
        <w:t>available</w:t>
      </w:r>
      <w:r w:rsidRPr="00973C18">
        <w:rPr>
          <w:rFonts w:ascii="Arial" w:hAnsi="Arial" w:cs="Arial"/>
          <w:spacing w:val="1"/>
          <w:sz w:val="20"/>
        </w:rPr>
        <w:t xml:space="preserve"> </w:t>
      </w:r>
      <w:r w:rsidRPr="00973C18">
        <w:rPr>
          <w:rFonts w:ascii="Arial" w:hAnsi="Arial" w:cs="Arial"/>
          <w:sz w:val="20"/>
        </w:rPr>
        <w:t>in</w:t>
      </w:r>
      <w:r w:rsidRPr="00973C18">
        <w:rPr>
          <w:rFonts w:ascii="Arial" w:hAnsi="Arial" w:cs="Arial"/>
          <w:spacing w:val="1"/>
          <w:sz w:val="20"/>
        </w:rPr>
        <w:t xml:space="preserve"> </w:t>
      </w:r>
      <w:r w:rsidR="005F5690">
        <w:rPr>
          <w:rFonts w:ascii="Arial" w:hAnsi="Arial" w:cs="Arial"/>
          <w:sz w:val="20"/>
        </w:rPr>
        <w:t xml:space="preserve">the Republic of Armenia </w:t>
      </w:r>
      <w:r w:rsidRPr="00973C18">
        <w:rPr>
          <w:rFonts w:ascii="Arial" w:hAnsi="Arial" w:cs="Arial"/>
          <w:sz w:val="20"/>
        </w:rPr>
        <w:t>should</w:t>
      </w:r>
      <w:r w:rsidRPr="00973C18">
        <w:rPr>
          <w:rFonts w:ascii="Arial" w:hAnsi="Arial" w:cs="Arial"/>
          <w:spacing w:val="1"/>
          <w:sz w:val="20"/>
        </w:rPr>
        <w:t xml:space="preserve"> </w:t>
      </w:r>
      <w:r w:rsidRPr="00973C18">
        <w:rPr>
          <w:rFonts w:ascii="Arial" w:hAnsi="Arial" w:cs="Arial"/>
          <w:sz w:val="20"/>
        </w:rPr>
        <w:t>have</w:t>
      </w:r>
      <w:r w:rsidRPr="00973C18">
        <w:rPr>
          <w:rFonts w:ascii="Arial" w:hAnsi="Arial" w:cs="Arial"/>
          <w:spacing w:val="1"/>
          <w:sz w:val="20"/>
        </w:rPr>
        <w:t xml:space="preserve"> </w:t>
      </w:r>
      <w:r w:rsidRPr="00973C18">
        <w:rPr>
          <w:rFonts w:ascii="Arial" w:hAnsi="Arial" w:cs="Arial"/>
          <w:sz w:val="20"/>
        </w:rPr>
        <w:t>due</w:t>
      </w:r>
      <w:r w:rsidRPr="00973C18">
        <w:rPr>
          <w:rFonts w:ascii="Arial" w:hAnsi="Arial" w:cs="Arial"/>
          <w:spacing w:val="1"/>
          <w:sz w:val="20"/>
        </w:rPr>
        <w:t xml:space="preserve"> </w:t>
      </w:r>
      <w:r w:rsidRPr="00973C18">
        <w:rPr>
          <w:rFonts w:ascii="Arial" w:hAnsi="Arial" w:cs="Arial"/>
          <w:sz w:val="20"/>
        </w:rPr>
        <w:t>regard</w:t>
      </w:r>
      <w:r w:rsidRPr="00973C18">
        <w:rPr>
          <w:rFonts w:ascii="Arial" w:hAnsi="Arial" w:cs="Arial"/>
          <w:spacing w:val="1"/>
          <w:sz w:val="20"/>
        </w:rPr>
        <w:t xml:space="preserve"> </w:t>
      </w:r>
      <w:r w:rsidRPr="00973C18">
        <w:rPr>
          <w:rFonts w:ascii="Arial" w:hAnsi="Arial" w:cs="Arial"/>
          <w:sz w:val="20"/>
        </w:rPr>
        <w:t>to</w:t>
      </w:r>
      <w:r w:rsidRPr="00973C18">
        <w:rPr>
          <w:rFonts w:ascii="Arial" w:hAnsi="Arial" w:cs="Arial"/>
          <w:spacing w:val="1"/>
          <w:sz w:val="20"/>
        </w:rPr>
        <w:t xml:space="preserve"> </w:t>
      </w:r>
      <w:r w:rsidRPr="00973C18">
        <w:rPr>
          <w:rFonts w:ascii="Arial" w:hAnsi="Arial" w:cs="Arial"/>
          <w:sz w:val="20"/>
        </w:rPr>
        <w:t>geographical</w:t>
      </w:r>
      <w:r w:rsidRPr="00973C18">
        <w:rPr>
          <w:rFonts w:ascii="Arial" w:hAnsi="Arial" w:cs="Arial"/>
          <w:spacing w:val="1"/>
          <w:sz w:val="20"/>
        </w:rPr>
        <w:t xml:space="preserve"> </w:t>
      </w:r>
      <w:r w:rsidRPr="00973C18">
        <w:rPr>
          <w:rFonts w:ascii="Arial" w:hAnsi="Arial" w:cs="Arial"/>
          <w:sz w:val="20"/>
        </w:rPr>
        <w:t>location,</w:t>
      </w:r>
      <w:r w:rsidRPr="00973C18">
        <w:rPr>
          <w:rFonts w:ascii="Arial" w:hAnsi="Arial" w:cs="Arial"/>
          <w:spacing w:val="1"/>
          <w:sz w:val="20"/>
        </w:rPr>
        <w:t xml:space="preserve"> </w:t>
      </w:r>
      <w:r w:rsidRPr="00973C18">
        <w:rPr>
          <w:rFonts w:ascii="Arial" w:hAnsi="Arial" w:cs="Arial"/>
          <w:sz w:val="20"/>
        </w:rPr>
        <w:t>number</w:t>
      </w:r>
      <w:r w:rsidRPr="00973C18">
        <w:rPr>
          <w:rFonts w:ascii="Arial" w:hAnsi="Arial" w:cs="Arial"/>
          <w:spacing w:val="1"/>
          <w:sz w:val="20"/>
        </w:rPr>
        <w:t xml:space="preserve"> </w:t>
      </w:r>
      <w:r w:rsidRPr="00973C18">
        <w:rPr>
          <w:rFonts w:ascii="Arial" w:hAnsi="Arial" w:cs="Arial"/>
          <w:sz w:val="20"/>
        </w:rPr>
        <w:lastRenderedPageBreak/>
        <w:t>of</w:t>
      </w:r>
      <w:r w:rsidRPr="00973C18">
        <w:rPr>
          <w:rFonts w:ascii="Arial" w:hAnsi="Arial" w:cs="Arial"/>
          <w:spacing w:val="-47"/>
          <w:sz w:val="20"/>
        </w:rPr>
        <w:t xml:space="preserve"> </w:t>
      </w:r>
      <w:r w:rsidRPr="00973C18">
        <w:rPr>
          <w:rFonts w:ascii="Arial" w:hAnsi="Arial" w:cs="Arial"/>
          <w:sz w:val="20"/>
        </w:rPr>
        <w:t>participants, and</w:t>
      </w:r>
      <w:r w:rsidRPr="00973C18">
        <w:rPr>
          <w:rFonts w:ascii="Arial" w:hAnsi="Arial" w:cs="Arial"/>
          <w:spacing w:val="-1"/>
          <w:sz w:val="20"/>
        </w:rPr>
        <w:t xml:space="preserve"> </w:t>
      </w:r>
      <w:r w:rsidRPr="00973C18">
        <w:rPr>
          <w:rFonts w:ascii="Arial" w:hAnsi="Arial" w:cs="Arial"/>
          <w:sz w:val="20"/>
        </w:rPr>
        <w:t>frequency</w:t>
      </w:r>
      <w:r w:rsidRPr="00973C18">
        <w:rPr>
          <w:rFonts w:ascii="Arial" w:hAnsi="Arial" w:cs="Arial"/>
          <w:spacing w:val="-2"/>
          <w:sz w:val="20"/>
        </w:rPr>
        <w:t xml:space="preserve"> </w:t>
      </w:r>
      <w:r w:rsidRPr="00973C18">
        <w:rPr>
          <w:rFonts w:ascii="Arial" w:hAnsi="Arial" w:cs="Arial"/>
          <w:sz w:val="20"/>
        </w:rPr>
        <w:t>throughout</w:t>
      </w:r>
      <w:r w:rsidRPr="00973C18">
        <w:rPr>
          <w:rFonts w:ascii="Arial" w:hAnsi="Arial" w:cs="Arial"/>
          <w:spacing w:val="-3"/>
          <w:sz w:val="20"/>
        </w:rPr>
        <w:t xml:space="preserve"> </w:t>
      </w:r>
      <w:r w:rsidRPr="00973C18">
        <w:rPr>
          <w:rFonts w:ascii="Arial" w:hAnsi="Arial" w:cs="Arial"/>
          <w:sz w:val="20"/>
        </w:rPr>
        <w:t>the</w:t>
      </w:r>
      <w:r w:rsidRPr="00973C18">
        <w:rPr>
          <w:rFonts w:ascii="Arial" w:hAnsi="Arial" w:cs="Arial"/>
          <w:spacing w:val="-2"/>
          <w:sz w:val="20"/>
        </w:rPr>
        <w:t xml:space="preserve"> </w:t>
      </w:r>
      <w:r w:rsidRPr="00973C18">
        <w:rPr>
          <w:rFonts w:ascii="Arial" w:hAnsi="Arial" w:cs="Arial"/>
          <w:sz w:val="20"/>
        </w:rPr>
        <w:t>territory</w:t>
      </w:r>
      <w:r w:rsidRPr="00973C18">
        <w:rPr>
          <w:rFonts w:ascii="Arial" w:hAnsi="Arial" w:cs="Arial"/>
          <w:spacing w:val="-2"/>
          <w:sz w:val="20"/>
        </w:rPr>
        <w:t xml:space="preserve"> </w:t>
      </w:r>
      <w:r w:rsidRPr="00973C18">
        <w:rPr>
          <w:rFonts w:ascii="Arial" w:hAnsi="Arial" w:cs="Arial"/>
          <w:sz w:val="20"/>
        </w:rPr>
        <w:t>of</w:t>
      </w:r>
      <w:r w:rsidRPr="00973C18">
        <w:rPr>
          <w:rFonts w:ascii="Arial" w:hAnsi="Arial" w:cs="Arial"/>
          <w:spacing w:val="-4"/>
          <w:sz w:val="20"/>
        </w:rPr>
        <w:t xml:space="preserve"> </w:t>
      </w:r>
      <w:r w:rsidR="005F5690">
        <w:rPr>
          <w:rFonts w:ascii="Arial" w:hAnsi="Arial" w:cs="Arial"/>
          <w:sz w:val="20"/>
        </w:rPr>
        <w:t xml:space="preserve">the Republic of Armenia </w:t>
      </w:r>
      <w:r w:rsidRPr="00973C18">
        <w:rPr>
          <w:rFonts w:ascii="Arial" w:hAnsi="Arial" w:cs="Arial"/>
          <w:sz w:val="20"/>
        </w:rPr>
        <w:t>concerned.</w:t>
      </w:r>
    </w:p>
    <w:p w14:paraId="037C8446" w14:textId="77777777" w:rsidR="00973C18" w:rsidRPr="00973C18" w:rsidRDefault="00973C18" w:rsidP="00297373">
      <w:pPr>
        <w:numPr>
          <w:ilvl w:val="0"/>
          <w:numId w:val="267"/>
        </w:numPr>
        <w:tabs>
          <w:tab w:val="left" w:pos="707"/>
        </w:tabs>
        <w:spacing w:before="119" w:line="276" w:lineRule="auto"/>
        <w:ind w:right="68"/>
        <w:jc w:val="both"/>
        <w:rPr>
          <w:rFonts w:ascii="Arial" w:hAnsi="Arial" w:cs="Arial"/>
          <w:sz w:val="20"/>
        </w:rPr>
      </w:pPr>
      <w:r w:rsidRPr="00973C18">
        <w:rPr>
          <w:rFonts w:ascii="Arial" w:hAnsi="Arial" w:cs="Arial"/>
          <w:sz w:val="20"/>
        </w:rPr>
        <w:t>Such seminars should run for at least 1 day (with a minimum of 6 hours of teaching time), and</w:t>
      </w:r>
      <w:r w:rsidRPr="00973C18">
        <w:rPr>
          <w:rFonts w:ascii="Arial" w:hAnsi="Arial" w:cs="Arial"/>
          <w:spacing w:val="1"/>
          <w:sz w:val="20"/>
        </w:rPr>
        <w:t xml:space="preserve"> </w:t>
      </w:r>
      <w:r w:rsidRPr="00973C18">
        <w:rPr>
          <w:rFonts w:ascii="Arial" w:hAnsi="Arial" w:cs="Arial"/>
          <w:sz w:val="20"/>
        </w:rPr>
        <w:t>attendance from participants will be required for the whole duration of the seminar including</w:t>
      </w:r>
      <w:r w:rsidRPr="00973C18">
        <w:rPr>
          <w:rFonts w:ascii="Arial" w:hAnsi="Arial" w:cs="Arial"/>
          <w:spacing w:val="1"/>
          <w:sz w:val="20"/>
        </w:rPr>
        <w:t xml:space="preserve"> </w:t>
      </w:r>
      <w:r w:rsidRPr="00973C18">
        <w:rPr>
          <w:rFonts w:ascii="Arial" w:hAnsi="Arial" w:cs="Arial"/>
          <w:sz w:val="20"/>
        </w:rPr>
        <w:t>breakout</w:t>
      </w:r>
      <w:r w:rsidRPr="00973C18">
        <w:rPr>
          <w:rFonts w:ascii="Arial" w:hAnsi="Arial" w:cs="Arial"/>
          <w:spacing w:val="-2"/>
          <w:sz w:val="20"/>
        </w:rPr>
        <w:t xml:space="preserve"> </w:t>
      </w:r>
      <w:r w:rsidRPr="00973C18">
        <w:rPr>
          <w:rFonts w:ascii="Arial" w:hAnsi="Arial" w:cs="Arial"/>
          <w:sz w:val="20"/>
        </w:rPr>
        <w:t>groups and</w:t>
      </w:r>
      <w:r w:rsidRPr="00973C18">
        <w:rPr>
          <w:rFonts w:ascii="Arial" w:hAnsi="Arial" w:cs="Arial"/>
          <w:spacing w:val="-3"/>
          <w:sz w:val="20"/>
        </w:rPr>
        <w:t xml:space="preserve"> </w:t>
      </w:r>
      <w:r w:rsidRPr="00973C18">
        <w:rPr>
          <w:rFonts w:ascii="Arial" w:hAnsi="Arial" w:cs="Arial"/>
          <w:sz w:val="20"/>
        </w:rPr>
        <w:t>workshops.</w:t>
      </w:r>
    </w:p>
    <w:p w14:paraId="5AEB11DF" w14:textId="77777777" w:rsidR="00973C18" w:rsidRPr="00973C18" w:rsidRDefault="00973C18" w:rsidP="00297373">
      <w:pPr>
        <w:numPr>
          <w:ilvl w:val="0"/>
          <w:numId w:val="267"/>
        </w:numPr>
        <w:tabs>
          <w:tab w:val="left" w:pos="707"/>
        </w:tabs>
        <w:spacing w:before="121" w:line="276" w:lineRule="auto"/>
        <w:ind w:right="68"/>
        <w:jc w:val="both"/>
        <w:rPr>
          <w:rFonts w:ascii="Arial" w:hAnsi="Arial" w:cs="Arial"/>
          <w:sz w:val="20"/>
        </w:rPr>
      </w:pPr>
      <w:r w:rsidRPr="00973C18">
        <w:rPr>
          <w:rFonts w:ascii="Arial" w:hAnsi="Arial" w:cs="Arial"/>
          <w:sz w:val="20"/>
        </w:rPr>
        <w:t>Some</w:t>
      </w:r>
      <w:r w:rsidRPr="00973C18">
        <w:rPr>
          <w:rFonts w:ascii="Arial" w:hAnsi="Arial" w:cs="Arial"/>
          <w:spacing w:val="1"/>
          <w:sz w:val="20"/>
        </w:rPr>
        <w:t xml:space="preserve"> </w:t>
      </w:r>
      <w:r w:rsidRPr="00973C18">
        <w:rPr>
          <w:rFonts w:ascii="Arial" w:hAnsi="Arial" w:cs="Arial"/>
          <w:sz w:val="20"/>
        </w:rPr>
        <w:t>experienced</w:t>
      </w:r>
      <w:r w:rsidRPr="00973C18">
        <w:rPr>
          <w:rFonts w:ascii="Arial" w:hAnsi="Arial" w:cs="Arial"/>
          <w:spacing w:val="1"/>
          <w:sz w:val="20"/>
        </w:rPr>
        <w:t xml:space="preserve"> </w:t>
      </w:r>
      <w:r w:rsidRPr="00973C18">
        <w:rPr>
          <w:rFonts w:ascii="Arial" w:hAnsi="Arial" w:cs="Arial"/>
          <w:sz w:val="20"/>
        </w:rPr>
        <w:t>FI(B)s</w:t>
      </w:r>
      <w:r w:rsidRPr="00973C18">
        <w:rPr>
          <w:rFonts w:ascii="Arial" w:hAnsi="Arial" w:cs="Arial"/>
          <w:spacing w:val="1"/>
          <w:sz w:val="20"/>
        </w:rPr>
        <w:t xml:space="preserve"> </w:t>
      </w:r>
      <w:r w:rsidRPr="00973C18">
        <w:rPr>
          <w:rFonts w:ascii="Arial" w:hAnsi="Arial" w:cs="Arial"/>
          <w:sz w:val="20"/>
        </w:rPr>
        <w:t>currently</w:t>
      </w:r>
      <w:r w:rsidRPr="00973C18">
        <w:rPr>
          <w:rFonts w:ascii="Arial" w:hAnsi="Arial" w:cs="Arial"/>
          <w:spacing w:val="1"/>
          <w:sz w:val="20"/>
        </w:rPr>
        <w:t xml:space="preserve"> </w:t>
      </w:r>
      <w:r w:rsidRPr="00973C18">
        <w:rPr>
          <w:rFonts w:ascii="Arial" w:hAnsi="Arial" w:cs="Arial"/>
          <w:sz w:val="20"/>
        </w:rPr>
        <w:t>involved</w:t>
      </w:r>
      <w:r w:rsidRPr="00973C18">
        <w:rPr>
          <w:rFonts w:ascii="Arial" w:hAnsi="Arial" w:cs="Arial"/>
          <w:spacing w:val="1"/>
          <w:sz w:val="20"/>
        </w:rPr>
        <w:t xml:space="preserve"> </w:t>
      </w:r>
      <w:r w:rsidRPr="00973C18">
        <w:rPr>
          <w:rFonts w:ascii="Arial" w:hAnsi="Arial" w:cs="Arial"/>
          <w:sz w:val="20"/>
        </w:rPr>
        <w:t>with</w:t>
      </w:r>
      <w:r w:rsidRPr="00973C18">
        <w:rPr>
          <w:rFonts w:ascii="Arial" w:hAnsi="Arial" w:cs="Arial"/>
          <w:spacing w:val="1"/>
          <w:sz w:val="20"/>
        </w:rPr>
        <w:t xml:space="preserve"> </w:t>
      </w:r>
      <w:r w:rsidRPr="00973C18">
        <w:rPr>
          <w:rFonts w:ascii="Arial" w:hAnsi="Arial" w:cs="Arial"/>
          <w:sz w:val="20"/>
        </w:rPr>
        <w:t>flying</w:t>
      </w:r>
      <w:r w:rsidRPr="00973C18">
        <w:rPr>
          <w:rFonts w:ascii="Arial" w:hAnsi="Arial" w:cs="Arial"/>
          <w:spacing w:val="1"/>
          <w:sz w:val="20"/>
        </w:rPr>
        <w:t xml:space="preserve"> </w:t>
      </w:r>
      <w:r w:rsidRPr="00973C18">
        <w:rPr>
          <w:rFonts w:ascii="Arial" w:hAnsi="Arial" w:cs="Arial"/>
          <w:sz w:val="20"/>
        </w:rPr>
        <w:t>training</w:t>
      </w:r>
      <w:r w:rsidRPr="00973C18">
        <w:rPr>
          <w:rFonts w:ascii="Arial" w:hAnsi="Arial" w:cs="Arial"/>
          <w:spacing w:val="1"/>
          <w:sz w:val="20"/>
        </w:rPr>
        <w:t xml:space="preserve"> </w:t>
      </w:r>
      <w:r w:rsidRPr="00973C18">
        <w:rPr>
          <w:rFonts w:ascii="Arial" w:hAnsi="Arial" w:cs="Arial"/>
          <w:sz w:val="20"/>
        </w:rPr>
        <w:t>and</w:t>
      </w:r>
      <w:r w:rsidRPr="00973C18">
        <w:rPr>
          <w:rFonts w:ascii="Arial" w:hAnsi="Arial" w:cs="Arial"/>
          <w:spacing w:val="1"/>
          <w:sz w:val="20"/>
        </w:rPr>
        <w:t xml:space="preserve"> </w:t>
      </w:r>
      <w:r w:rsidRPr="00973C18">
        <w:rPr>
          <w:rFonts w:ascii="Arial" w:hAnsi="Arial" w:cs="Arial"/>
          <w:sz w:val="20"/>
        </w:rPr>
        <w:t>with</w:t>
      </w:r>
      <w:r w:rsidRPr="00973C18">
        <w:rPr>
          <w:rFonts w:ascii="Arial" w:hAnsi="Arial" w:cs="Arial"/>
          <w:spacing w:val="1"/>
          <w:sz w:val="20"/>
        </w:rPr>
        <w:t xml:space="preserve"> </w:t>
      </w:r>
      <w:r w:rsidRPr="00973C18">
        <w:rPr>
          <w:rFonts w:ascii="Arial" w:hAnsi="Arial" w:cs="Arial"/>
          <w:sz w:val="20"/>
        </w:rPr>
        <w:t>a</w:t>
      </w:r>
      <w:r w:rsidRPr="00973C18">
        <w:rPr>
          <w:rFonts w:ascii="Arial" w:hAnsi="Arial" w:cs="Arial"/>
          <w:spacing w:val="1"/>
          <w:sz w:val="20"/>
        </w:rPr>
        <w:t xml:space="preserve"> </w:t>
      </w:r>
      <w:r w:rsidRPr="00973C18">
        <w:rPr>
          <w:rFonts w:ascii="Arial" w:hAnsi="Arial" w:cs="Arial"/>
          <w:sz w:val="20"/>
        </w:rPr>
        <w:t>practical</w:t>
      </w:r>
      <w:r w:rsidRPr="00973C18">
        <w:rPr>
          <w:rFonts w:ascii="Arial" w:hAnsi="Arial" w:cs="Arial"/>
          <w:spacing w:val="1"/>
          <w:sz w:val="20"/>
        </w:rPr>
        <w:t xml:space="preserve"> </w:t>
      </w:r>
      <w:r w:rsidRPr="00973C18">
        <w:rPr>
          <w:rFonts w:ascii="Arial" w:hAnsi="Arial" w:cs="Arial"/>
          <w:sz w:val="20"/>
        </w:rPr>
        <w:t>understanding of the recency requirements and the current instructional techniques should be</w:t>
      </w:r>
      <w:r w:rsidRPr="00973C18">
        <w:rPr>
          <w:rFonts w:ascii="Arial" w:hAnsi="Arial" w:cs="Arial"/>
          <w:spacing w:val="-47"/>
          <w:sz w:val="20"/>
        </w:rPr>
        <w:t xml:space="preserve"> </w:t>
      </w:r>
      <w:r w:rsidRPr="00973C18">
        <w:rPr>
          <w:rFonts w:ascii="Arial" w:hAnsi="Arial" w:cs="Arial"/>
          <w:sz w:val="20"/>
        </w:rPr>
        <w:t>included</w:t>
      </w:r>
      <w:r w:rsidRPr="00973C18">
        <w:rPr>
          <w:rFonts w:ascii="Arial" w:hAnsi="Arial" w:cs="Arial"/>
          <w:spacing w:val="-1"/>
          <w:sz w:val="20"/>
        </w:rPr>
        <w:t xml:space="preserve"> </w:t>
      </w:r>
      <w:r w:rsidRPr="00973C18">
        <w:rPr>
          <w:rFonts w:ascii="Arial" w:hAnsi="Arial" w:cs="Arial"/>
          <w:sz w:val="20"/>
        </w:rPr>
        <w:t>as speakers at these</w:t>
      </w:r>
      <w:r w:rsidRPr="00973C18">
        <w:rPr>
          <w:rFonts w:ascii="Arial" w:hAnsi="Arial" w:cs="Arial"/>
          <w:spacing w:val="1"/>
          <w:sz w:val="20"/>
        </w:rPr>
        <w:t xml:space="preserve"> </w:t>
      </w:r>
      <w:r w:rsidRPr="00973C18">
        <w:rPr>
          <w:rFonts w:ascii="Arial" w:hAnsi="Arial" w:cs="Arial"/>
          <w:sz w:val="20"/>
        </w:rPr>
        <w:t>seminars.</w:t>
      </w:r>
    </w:p>
    <w:p w14:paraId="07198ACE" w14:textId="53FA34FA" w:rsidR="00973C18" w:rsidRPr="00973C18" w:rsidRDefault="00973C18" w:rsidP="00297373">
      <w:pPr>
        <w:numPr>
          <w:ilvl w:val="0"/>
          <w:numId w:val="267"/>
        </w:numPr>
        <w:tabs>
          <w:tab w:val="left" w:pos="707"/>
        </w:tabs>
        <w:spacing w:before="121" w:line="276" w:lineRule="auto"/>
        <w:ind w:right="68"/>
        <w:jc w:val="both"/>
        <w:rPr>
          <w:rFonts w:ascii="Arial" w:hAnsi="Arial" w:cs="Arial"/>
          <w:sz w:val="20"/>
        </w:rPr>
      </w:pPr>
      <w:r w:rsidRPr="00973C18">
        <w:rPr>
          <w:rFonts w:ascii="Arial" w:hAnsi="Arial" w:cs="Arial"/>
          <w:sz w:val="20"/>
        </w:rPr>
        <w:t>The</w:t>
      </w:r>
      <w:r w:rsidRPr="00973C18">
        <w:rPr>
          <w:rFonts w:ascii="Arial" w:hAnsi="Arial" w:cs="Arial"/>
          <w:spacing w:val="-6"/>
          <w:sz w:val="20"/>
        </w:rPr>
        <w:t xml:space="preserve"> </w:t>
      </w:r>
      <w:r w:rsidRPr="00973C18">
        <w:rPr>
          <w:rFonts w:ascii="Arial" w:hAnsi="Arial" w:cs="Arial"/>
          <w:sz w:val="20"/>
        </w:rPr>
        <w:t>attendance</w:t>
      </w:r>
      <w:r w:rsidRPr="00973C18">
        <w:rPr>
          <w:rFonts w:ascii="Arial" w:hAnsi="Arial" w:cs="Arial"/>
          <w:spacing w:val="-7"/>
          <w:sz w:val="20"/>
        </w:rPr>
        <w:t xml:space="preserve"> </w:t>
      </w:r>
      <w:r w:rsidRPr="00973C18">
        <w:rPr>
          <w:rFonts w:ascii="Arial" w:hAnsi="Arial" w:cs="Arial"/>
          <w:sz w:val="20"/>
        </w:rPr>
        <w:t>form</w:t>
      </w:r>
      <w:r w:rsidRPr="00973C18">
        <w:rPr>
          <w:rFonts w:ascii="Arial" w:hAnsi="Arial" w:cs="Arial"/>
          <w:spacing w:val="-7"/>
          <w:sz w:val="20"/>
        </w:rPr>
        <w:t xml:space="preserve"> </w:t>
      </w:r>
      <w:r w:rsidRPr="00973C18">
        <w:rPr>
          <w:rFonts w:ascii="Arial" w:hAnsi="Arial" w:cs="Arial"/>
          <w:sz w:val="20"/>
        </w:rPr>
        <w:t>will</w:t>
      </w:r>
      <w:r w:rsidRPr="00973C18">
        <w:rPr>
          <w:rFonts w:ascii="Arial" w:hAnsi="Arial" w:cs="Arial"/>
          <w:spacing w:val="-9"/>
          <w:sz w:val="20"/>
        </w:rPr>
        <w:t xml:space="preserve"> </w:t>
      </w:r>
      <w:r w:rsidRPr="00973C18">
        <w:rPr>
          <w:rFonts w:ascii="Arial" w:hAnsi="Arial" w:cs="Arial"/>
          <w:sz w:val="20"/>
        </w:rPr>
        <w:t>be</w:t>
      </w:r>
      <w:r w:rsidRPr="00973C18">
        <w:rPr>
          <w:rFonts w:ascii="Arial" w:hAnsi="Arial" w:cs="Arial"/>
          <w:spacing w:val="-5"/>
          <w:sz w:val="20"/>
        </w:rPr>
        <w:t xml:space="preserve"> </w:t>
      </w:r>
      <w:r w:rsidRPr="00973C18">
        <w:rPr>
          <w:rFonts w:ascii="Arial" w:hAnsi="Arial" w:cs="Arial"/>
          <w:sz w:val="20"/>
        </w:rPr>
        <w:t>completed</w:t>
      </w:r>
      <w:r w:rsidRPr="00973C18">
        <w:rPr>
          <w:rFonts w:ascii="Arial" w:hAnsi="Arial" w:cs="Arial"/>
          <w:spacing w:val="-9"/>
          <w:sz w:val="20"/>
        </w:rPr>
        <w:t xml:space="preserve"> </w:t>
      </w:r>
      <w:r w:rsidRPr="00973C18">
        <w:rPr>
          <w:rFonts w:ascii="Arial" w:hAnsi="Arial" w:cs="Arial"/>
          <w:sz w:val="20"/>
        </w:rPr>
        <w:t>and</w:t>
      </w:r>
      <w:r w:rsidRPr="00973C18">
        <w:rPr>
          <w:rFonts w:ascii="Arial" w:hAnsi="Arial" w:cs="Arial"/>
          <w:spacing w:val="-6"/>
          <w:sz w:val="20"/>
        </w:rPr>
        <w:t xml:space="preserve"> </w:t>
      </w:r>
      <w:r w:rsidRPr="00973C18">
        <w:rPr>
          <w:rFonts w:ascii="Arial" w:hAnsi="Arial" w:cs="Arial"/>
          <w:sz w:val="20"/>
        </w:rPr>
        <w:t>signed</w:t>
      </w:r>
      <w:r w:rsidRPr="00973C18">
        <w:rPr>
          <w:rFonts w:ascii="Arial" w:hAnsi="Arial" w:cs="Arial"/>
          <w:spacing w:val="-7"/>
          <w:sz w:val="20"/>
        </w:rPr>
        <w:t xml:space="preserve"> </w:t>
      </w:r>
      <w:r w:rsidRPr="00973C18">
        <w:rPr>
          <w:rFonts w:ascii="Arial" w:hAnsi="Arial" w:cs="Arial"/>
          <w:sz w:val="20"/>
        </w:rPr>
        <w:t>by</w:t>
      </w:r>
      <w:r w:rsidRPr="00973C18">
        <w:rPr>
          <w:rFonts w:ascii="Arial" w:hAnsi="Arial" w:cs="Arial"/>
          <w:spacing w:val="-9"/>
          <w:sz w:val="20"/>
        </w:rPr>
        <w:t xml:space="preserve"> </w:t>
      </w:r>
      <w:r w:rsidRPr="00973C18">
        <w:rPr>
          <w:rFonts w:ascii="Arial" w:hAnsi="Arial" w:cs="Arial"/>
          <w:sz w:val="20"/>
        </w:rPr>
        <w:t>the</w:t>
      </w:r>
      <w:r w:rsidRPr="00973C18">
        <w:rPr>
          <w:rFonts w:ascii="Arial" w:hAnsi="Arial" w:cs="Arial"/>
          <w:spacing w:val="-8"/>
          <w:sz w:val="20"/>
        </w:rPr>
        <w:t xml:space="preserve"> </w:t>
      </w:r>
      <w:r w:rsidRPr="00973C18">
        <w:rPr>
          <w:rFonts w:ascii="Arial" w:hAnsi="Arial" w:cs="Arial"/>
          <w:sz w:val="20"/>
        </w:rPr>
        <w:t>organiser</w:t>
      </w:r>
      <w:r w:rsidRPr="00973C18">
        <w:rPr>
          <w:rFonts w:ascii="Arial" w:hAnsi="Arial" w:cs="Arial"/>
          <w:spacing w:val="-8"/>
          <w:sz w:val="20"/>
        </w:rPr>
        <w:t xml:space="preserve"> </w:t>
      </w:r>
      <w:r w:rsidRPr="00973C18">
        <w:rPr>
          <w:rFonts w:ascii="Arial" w:hAnsi="Arial" w:cs="Arial"/>
          <w:sz w:val="20"/>
        </w:rPr>
        <w:t>of</w:t>
      </w:r>
      <w:r w:rsidRPr="00973C18">
        <w:rPr>
          <w:rFonts w:ascii="Arial" w:hAnsi="Arial" w:cs="Arial"/>
          <w:spacing w:val="-8"/>
          <w:sz w:val="20"/>
        </w:rPr>
        <w:t xml:space="preserve"> </w:t>
      </w:r>
      <w:r w:rsidRPr="00973C18">
        <w:rPr>
          <w:rFonts w:ascii="Arial" w:hAnsi="Arial" w:cs="Arial"/>
          <w:sz w:val="20"/>
        </w:rPr>
        <w:t>the</w:t>
      </w:r>
      <w:r w:rsidRPr="00973C18">
        <w:rPr>
          <w:rFonts w:ascii="Arial" w:hAnsi="Arial" w:cs="Arial"/>
          <w:spacing w:val="-8"/>
          <w:sz w:val="20"/>
        </w:rPr>
        <w:t xml:space="preserve"> </w:t>
      </w:r>
      <w:r w:rsidRPr="00973C18">
        <w:rPr>
          <w:rFonts w:ascii="Arial" w:hAnsi="Arial" w:cs="Arial"/>
          <w:sz w:val="20"/>
        </w:rPr>
        <w:t>seminar</w:t>
      </w:r>
      <w:r w:rsidRPr="00973C18">
        <w:rPr>
          <w:rFonts w:ascii="Arial" w:hAnsi="Arial" w:cs="Arial"/>
          <w:spacing w:val="-6"/>
          <w:sz w:val="20"/>
        </w:rPr>
        <w:t xml:space="preserve"> </w:t>
      </w:r>
      <w:r w:rsidRPr="00973C18">
        <w:rPr>
          <w:rFonts w:ascii="Arial" w:hAnsi="Arial" w:cs="Arial"/>
          <w:sz w:val="20"/>
        </w:rPr>
        <w:t>as</w:t>
      </w:r>
      <w:r w:rsidRPr="00973C18">
        <w:rPr>
          <w:rFonts w:ascii="Arial" w:hAnsi="Arial" w:cs="Arial"/>
          <w:spacing w:val="-5"/>
          <w:sz w:val="20"/>
        </w:rPr>
        <w:t xml:space="preserve"> </w:t>
      </w:r>
      <w:r w:rsidRPr="00973C18">
        <w:rPr>
          <w:rFonts w:ascii="Arial" w:hAnsi="Arial" w:cs="Arial"/>
          <w:sz w:val="20"/>
        </w:rPr>
        <w:t>approved</w:t>
      </w:r>
      <w:r w:rsidRPr="00973C18">
        <w:rPr>
          <w:rFonts w:ascii="Arial" w:hAnsi="Arial" w:cs="Arial"/>
          <w:spacing w:val="-48"/>
          <w:sz w:val="20"/>
        </w:rPr>
        <w:t xml:space="preserve"> </w:t>
      </w:r>
      <w:r w:rsidRPr="00973C18">
        <w:rPr>
          <w:rFonts w:ascii="Arial" w:hAnsi="Arial" w:cs="Arial"/>
          <w:sz w:val="20"/>
        </w:rPr>
        <w:t>by</w:t>
      </w:r>
      <w:r w:rsidRPr="00973C18">
        <w:rPr>
          <w:rFonts w:ascii="Arial" w:hAnsi="Arial" w:cs="Arial"/>
          <w:spacing w:val="-2"/>
          <w:sz w:val="20"/>
        </w:rPr>
        <w:t xml:space="preserve"> </w:t>
      </w:r>
      <w:r w:rsidRPr="00973C18">
        <w:rPr>
          <w:rFonts w:ascii="Arial" w:hAnsi="Arial" w:cs="Arial"/>
          <w:sz w:val="20"/>
        </w:rPr>
        <w:t>the</w:t>
      </w:r>
      <w:r w:rsidRPr="00973C18">
        <w:rPr>
          <w:rFonts w:ascii="Arial" w:hAnsi="Arial" w:cs="Arial"/>
          <w:spacing w:val="-3"/>
          <w:sz w:val="20"/>
        </w:rPr>
        <w:t xml:space="preserve"> </w:t>
      </w:r>
      <w:r w:rsidR="003C6906">
        <w:rPr>
          <w:rFonts w:ascii="Arial" w:hAnsi="Arial" w:cs="Arial"/>
          <w:sz w:val="20"/>
          <w:szCs w:val="20"/>
        </w:rPr>
        <w:t>CAC RA</w:t>
      </w:r>
      <w:r w:rsidRPr="00973C18">
        <w:rPr>
          <w:rFonts w:ascii="Arial" w:hAnsi="Arial" w:cs="Arial"/>
          <w:sz w:val="20"/>
        </w:rPr>
        <w:t>,</w:t>
      </w:r>
      <w:r w:rsidRPr="00973C18">
        <w:rPr>
          <w:rFonts w:ascii="Arial" w:hAnsi="Arial" w:cs="Arial"/>
          <w:spacing w:val="-1"/>
          <w:sz w:val="20"/>
        </w:rPr>
        <w:t xml:space="preserve"> </w:t>
      </w:r>
      <w:r w:rsidRPr="00973C18">
        <w:rPr>
          <w:rFonts w:ascii="Arial" w:hAnsi="Arial" w:cs="Arial"/>
          <w:sz w:val="20"/>
        </w:rPr>
        <w:t>following</w:t>
      </w:r>
      <w:r w:rsidRPr="00973C18">
        <w:rPr>
          <w:rFonts w:ascii="Arial" w:hAnsi="Arial" w:cs="Arial"/>
          <w:spacing w:val="-4"/>
          <w:sz w:val="20"/>
        </w:rPr>
        <w:t xml:space="preserve"> </w:t>
      </w:r>
      <w:r w:rsidRPr="00973C18">
        <w:rPr>
          <w:rFonts w:ascii="Arial" w:hAnsi="Arial" w:cs="Arial"/>
          <w:sz w:val="20"/>
        </w:rPr>
        <w:t>attendance and</w:t>
      </w:r>
      <w:r w:rsidRPr="00973C18">
        <w:rPr>
          <w:rFonts w:ascii="Arial" w:hAnsi="Arial" w:cs="Arial"/>
          <w:spacing w:val="-3"/>
          <w:sz w:val="20"/>
        </w:rPr>
        <w:t xml:space="preserve"> </w:t>
      </w:r>
      <w:r w:rsidRPr="00973C18">
        <w:rPr>
          <w:rFonts w:ascii="Arial" w:hAnsi="Arial" w:cs="Arial"/>
          <w:sz w:val="20"/>
        </w:rPr>
        <w:t>satisfactory</w:t>
      </w:r>
      <w:r w:rsidRPr="00973C18">
        <w:rPr>
          <w:rFonts w:ascii="Arial" w:hAnsi="Arial" w:cs="Arial"/>
          <w:spacing w:val="-1"/>
          <w:sz w:val="20"/>
        </w:rPr>
        <w:t xml:space="preserve"> </w:t>
      </w:r>
      <w:r w:rsidRPr="00973C18">
        <w:rPr>
          <w:rFonts w:ascii="Arial" w:hAnsi="Arial" w:cs="Arial"/>
          <w:sz w:val="20"/>
        </w:rPr>
        <w:t>participation</w:t>
      </w:r>
      <w:r w:rsidRPr="00973C18">
        <w:rPr>
          <w:rFonts w:ascii="Arial" w:hAnsi="Arial" w:cs="Arial"/>
          <w:spacing w:val="-2"/>
          <w:sz w:val="20"/>
        </w:rPr>
        <w:t xml:space="preserve"> </w:t>
      </w:r>
      <w:r w:rsidRPr="00973C18">
        <w:rPr>
          <w:rFonts w:ascii="Arial" w:hAnsi="Arial" w:cs="Arial"/>
          <w:sz w:val="20"/>
        </w:rPr>
        <w:t>by</w:t>
      </w:r>
      <w:r w:rsidRPr="00973C18">
        <w:rPr>
          <w:rFonts w:ascii="Arial" w:hAnsi="Arial" w:cs="Arial"/>
          <w:spacing w:val="-1"/>
          <w:sz w:val="20"/>
        </w:rPr>
        <w:t xml:space="preserve"> </w:t>
      </w:r>
      <w:r w:rsidRPr="00973C18">
        <w:rPr>
          <w:rFonts w:ascii="Arial" w:hAnsi="Arial" w:cs="Arial"/>
          <w:sz w:val="20"/>
        </w:rPr>
        <w:t>the</w:t>
      </w:r>
      <w:r w:rsidRPr="00973C18">
        <w:rPr>
          <w:rFonts w:ascii="Arial" w:hAnsi="Arial" w:cs="Arial"/>
          <w:spacing w:val="-1"/>
          <w:sz w:val="20"/>
        </w:rPr>
        <w:t xml:space="preserve"> </w:t>
      </w:r>
      <w:r w:rsidRPr="00973C18">
        <w:rPr>
          <w:rFonts w:ascii="Arial" w:hAnsi="Arial" w:cs="Arial"/>
          <w:sz w:val="20"/>
        </w:rPr>
        <w:t>FI(B).</w:t>
      </w:r>
    </w:p>
    <w:p w14:paraId="79EEBECC" w14:textId="77777777" w:rsidR="00973C18" w:rsidRPr="00973C18" w:rsidRDefault="00973C18" w:rsidP="00297373">
      <w:pPr>
        <w:numPr>
          <w:ilvl w:val="0"/>
          <w:numId w:val="267"/>
        </w:numPr>
        <w:tabs>
          <w:tab w:val="left" w:pos="707"/>
        </w:tabs>
        <w:spacing w:before="118" w:line="276" w:lineRule="auto"/>
        <w:ind w:right="68"/>
        <w:jc w:val="both"/>
        <w:rPr>
          <w:rFonts w:ascii="Arial" w:hAnsi="Arial" w:cs="Arial"/>
          <w:sz w:val="20"/>
        </w:rPr>
      </w:pPr>
      <w:r w:rsidRPr="00973C18">
        <w:rPr>
          <w:rFonts w:ascii="Arial" w:hAnsi="Arial" w:cs="Arial"/>
          <w:sz w:val="20"/>
        </w:rPr>
        <w:t>The</w:t>
      </w:r>
      <w:r w:rsidRPr="00973C18">
        <w:rPr>
          <w:rFonts w:ascii="Arial" w:hAnsi="Arial" w:cs="Arial"/>
          <w:spacing w:val="-1"/>
          <w:sz w:val="20"/>
        </w:rPr>
        <w:t xml:space="preserve"> </w:t>
      </w:r>
      <w:r w:rsidRPr="00973C18">
        <w:rPr>
          <w:rFonts w:ascii="Arial" w:hAnsi="Arial" w:cs="Arial"/>
          <w:sz w:val="20"/>
        </w:rPr>
        <w:t>content</w:t>
      </w:r>
      <w:r w:rsidRPr="00973C18">
        <w:rPr>
          <w:rFonts w:ascii="Arial" w:hAnsi="Arial" w:cs="Arial"/>
          <w:spacing w:val="-3"/>
          <w:sz w:val="20"/>
        </w:rPr>
        <w:t xml:space="preserve"> </w:t>
      </w:r>
      <w:r w:rsidRPr="00973C18">
        <w:rPr>
          <w:rFonts w:ascii="Arial" w:hAnsi="Arial" w:cs="Arial"/>
          <w:sz w:val="20"/>
        </w:rPr>
        <w:t>of</w:t>
      </w:r>
      <w:r w:rsidRPr="00973C18">
        <w:rPr>
          <w:rFonts w:ascii="Arial" w:hAnsi="Arial" w:cs="Arial"/>
          <w:spacing w:val="-4"/>
          <w:sz w:val="20"/>
        </w:rPr>
        <w:t xml:space="preserve"> </w:t>
      </w:r>
      <w:r w:rsidRPr="00973C18">
        <w:rPr>
          <w:rFonts w:ascii="Arial" w:hAnsi="Arial" w:cs="Arial"/>
          <w:sz w:val="20"/>
        </w:rPr>
        <w:t>the FI(B)</w:t>
      </w:r>
      <w:r w:rsidRPr="00973C18">
        <w:rPr>
          <w:rFonts w:ascii="Arial" w:hAnsi="Arial" w:cs="Arial"/>
          <w:spacing w:val="-1"/>
          <w:sz w:val="20"/>
        </w:rPr>
        <w:t xml:space="preserve"> </w:t>
      </w:r>
      <w:r w:rsidRPr="00973C18">
        <w:rPr>
          <w:rFonts w:ascii="Arial" w:hAnsi="Arial" w:cs="Arial"/>
          <w:sz w:val="20"/>
        </w:rPr>
        <w:t>refresher</w:t>
      </w:r>
      <w:r w:rsidRPr="00973C18">
        <w:rPr>
          <w:rFonts w:ascii="Arial" w:hAnsi="Arial" w:cs="Arial"/>
          <w:spacing w:val="-1"/>
          <w:sz w:val="20"/>
        </w:rPr>
        <w:t xml:space="preserve"> </w:t>
      </w:r>
      <w:r w:rsidRPr="00973C18">
        <w:rPr>
          <w:rFonts w:ascii="Arial" w:hAnsi="Arial" w:cs="Arial"/>
          <w:sz w:val="20"/>
        </w:rPr>
        <w:t>seminar</w:t>
      </w:r>
      <w:r w:rsidRPr="00973C18">
        <w:rPr>
          <w:rFonts w:ascii="Arial" w:hAnsi="Arial" w:cs="Arial"/>
          <w:spacing w:val="-4"/>
          <w:sz w:val="20"/>
        </w:rPr>
        <w:t xml:space="preserve"> </w:t>
      </w:r>
      <w:r w:rsidRPr="00973C18">
        <w:rPr>
          <w:rFonts w:ascii="Arial" w:hAnsi="Arial" w:cs="Arial"/>
          <w:sz w:val="20"/>
        </w:rPr>
        <w:t>should</w:t>
      </w:r>
      <w:r w:rsidRPr="00973C18">
        <w:rPr>
          <w:rFonts w:ascii="Arial" w:hAnsi="Arial" w:cs="Arial"/>
          <w:spacing w:val="-2"/>
          <w:sz w:val="20"/>
        </w:rPr>
        <w:t xml:space="preserve"> </w:t>
      </w:r>
      <w:r w:rsidRPr="00973C18">
        <w:rPr>
          <w:rFonts w:ascii="Arial" w:hAnsi="Arial" w:cs="Arial"/>
          <w:sz w:val="20"/>
        </w:rPr>
        <w:t>be</w:t>
      </w:r>
      <w:r w:rsidRPr="00973C18">
        <w:rPr>
          <w:rFonts w:ascii="Arial" w:hAnsi="Arial" w:cs="Arial"/>
          <w:spacing w:val="-4"/>
          <w:sz w:val="20"/>
        </w:rPr>
        <w:t xml:space="preserve"> </w:t>
      </w:r>
      <w:r w:rsidRPr="00973C18">
        <w:rPr>
          <w:rFonts w:ascii="Arial" w:hAnsi="Arial" w:cs="Arial"/>
          <w:sz w:val="20"/>
        </w:rPr>
        <w:t>selected</w:t>
      </w:r>
      <w:r w:rsidRPr="00973C18">
        <w:rPr>
          <w:rFonts w:ascii="Arial" w:hAnsi="Arial" w:cs="Arial"/>
          <w:spacing w:val="-1"/>
          <w:sz w:val="20"/>
        </w:rPr>
        <w:t xml:space="preserve"> </w:t>
      </w:r>
      <w:r w:rsidRPr="00973C18">
        <w:rPr>
          <w:rFonts w:ascii="Arial" w:hAnsi="Arial" w:cs="Arial"/>
          <w:sz w:val="20"/>
        </w:rPr>
        <w:t>from</w:t>
      </w:r>
      <w:r w:rsidRPr="00973C18">
        <w:rPr>
          <w:rFonts w:ascii="Arial" w:hAnsi="Arial" w:cs="Arial"/>
          <w:spacing w:val="-3"/>
          <w:sz w:val="20"/>
        </w:rPr>
        <w:t xml:space="preserve"> </w:t>
      </w:r>
      <w:r w:rsidRPr="00973C18">
        <w:rPr>
          <w:rFonts w:ascii="Arial" w:hAnsi="Arial" w:cs="Arial"/>
          <w:sz w:val="20"/>
        </w:rPr>
        <w:t>the following:</w:t>
      </w:r>
    </w:p>
    <w:p w14:paraId="571AA0A1" w14:textId="77777777" w:rsidR="00973C18" w:rsidRPr="00973C18" w:rsidRDefault="00973C18" w:rsidP="00297373">
      <w:pPr>
        <w:numPr>
          <w:ilvl w:val="1"/>
          <w:numId w:val="267"/>
        </w:numPr>
        <w:tabs>
          <w:tab w:val="left" w:pos="1273"/>
          <w:tab w:val="left" w:pos="1274"/>
        </w:tabs>
        <w:spacing w:before="120" w:line="276" w:lineRule="auto"/>
        <w:ind w:right="68"/>
        <w:jc w:val="both"/>
        <w:rPr>
          <w:rFonts w:ascii="Arial" w:hAnsi="Arial" w:cs="Arial"/>
          <w:sz w:val="20"/>
        </w:rPr>
      </w:pPr>
      <w:r w:rsidRPr="00973C18">
        <w:rPr>
          <w:rFonts w:ascii="Arial" w:hAnsi="Arial" w:cs="Arial"/>
          <w:sz w:val="20"/>
        </w:rPr>
        <w:t>new</w:t>
      </w:r>
      <w:r w:rsidRPr="00973C18">
        <w:rPr>
          <w:rFonts w:ascii="Arial" w:hAnsi="Arial" w:cs="Arial"/>
          <w:spacing w:val="43"/>
          <w:sz w:val="20"/>
        </w:rPr>
        <w:t xml:space="preserve"> </w:t>
      </w:r>
      <w:r w:rsidRPr="00973C18">
        <w:rPr>
          <w:rFonts w:ascii="Arial" w:hAnsi="Arial" w:cs="Arial"/>
          <w:sz w:val="20"/>
        </w:rPr>
        <w:t>or</w:t>
      </w:r>
      <w:r w:rsidRPr="00973C18">
        <w:rPr>
          <w:rFonts w:ascii="Arial" w:hAnsi="Arial" w:cs="Arial"/>
          <w:spacing w:val="43"/>
          <w:sz w:val="20"/>
        </w:rPr>
        <w:t xml:space="preserve"> </w:t>
      </w:r>
      <w:r w:rsidRPr="00973C18">
        <w:rPr>
          <w:rFonts w:ascii="Arial" w:hAnsi="Arial" w:cs="Arial"/>
          <w:sz w:val="20"/>
        </w:rPr>
        <w:t>current</w:t>
      </w:r>
      <w:r w:rsidRPr="00973C18">
        <w:rPr>
          <w:rFonts w:ascii="Arial" w:hAnsi="Arial" w:cs="Arial"/>
          <w:spacing w:val="46"/>
          <w:sz w:val="20"/>
        </w:rPr>
        <w:t xml:space="preserve"> </w:t>
      </w:r>
      <w:r w:rsidRPr="00973C18">
        <w:rPr>
          <w:rFonts w:ascii="Arial" w:hAnsi="Arial" w:cs="Arial"/>
          <w:sz w:val="20"/>
        </w:rPr>
        <w:t>rules</w:t>
      </w:r>
      <w:r w:rsidRPr="00973C18">
        <w:rPr>
          <w:rFonts w:ascii="Arial" w:hAnsi="Arial" w:cs="Arial"/>
          <w:spacing w:val="43"/>
          <w:sz w:val="20"/>
        </w:rPr>
        <w:t xml:space="preserve"> </w:t>
      </w:r>
      <w:r w:rsidRPr="00973C18">
        <w:rPr>
          <w:rFonts w:ascii="Arial" w:hAnsi="Arial" w:cs="Arial"/>
          <w:sz w:val="20"/>
        </w:rPr>
        <w:t>or</w:t>
      </w:r>
      <w:r w:rsidRPr="00973C18">
        <w:rPr>
          <w:rFonts w:ascii="Arial" w:hAnsi="Arial" w:cs="Arial"/>
          <w:spacing w:val="43"/>
          <w:sz w:val="20"/>
        </w:rPr>
        <w:t xml:space="preserve"> </w:t>
      </w:r>
      <w:r w:rsidRPr="00973C18">
        <w:rPr>
          <w:rFonts w:ascii="Arial" w:hAnsi="Arial" w:cs="Arial"/>
          <w:sz w:val="20"/>
        </w:rPr>
        <w:t>regulations,</w:t>
      </w:r>
      <w:r w:rsidRPr="00973C18">
        <w:rPr>
          <w:rFonts w:ascii="Arial" w:hAnsi="Arial" w:cs="Arial"/>
          <w:spacing w:val="43"/>
          <w:sz w:val="20"/>
        </w:rPr>
        <w:t xml:space="preserve"> </w:t>
      </w:r>
      <w:r w:rsidRPr="00973C18">
        <w:rPr>
          <w:rFonts w:ascii="Arial" w:hAnsi="Arial" w:cs="Arial"/>
          <w:sz w:val="20"/>
        </w:rPr>
        <w:t>with</w:t>
      </w:r>
      <w:r w:rsidRPr="00973C18">
        <w:rPr>
          <w:rFonts w:ascii="Arial" w:hAnsi="Arial" w:cs="Arial"/>
          <w:spacing w:val="42"/>
          <w:sz w:val="20"/>
        </w:rPr>
        <w:t xml:space="preserve"> </w:t>
      </w:r>
      <w:r w:rsidRPr="00973C18">
        <w:rPr>
          <w:rFonts w:ascii="Arial" w:hAnsi="Arial" w:cs="Arial"/>
          <w:sz w:val="20"/>
        </w:rPr>
        <w:t>emphasis</w:t>
      </w:r>
      <w:r w:rsidRPr="00973C18">
        <w:rPr>
          <w:rFonts w:ascii="Arial" w:hAnsi="Arial" w:cs="Arial"/>
          <w:spacing w:val="43"/>
          <w:sz w:val="20"/>
        </w:rPr>
        <w:t xml:space="preserve"> </w:t>
      </w:r>
      <w:r w:rsidRPr="00973C18">
        <w:rPr>
          <w:rFonts w:ascii="Arial" w:hAnsi="Arial" w:cs="Arial"/>
          <w:sz w:val="20"/>
        </w:rPr>
        <w:t>on</w:t>
      </w:r>
      <w:r w:rsidRPr="00973C18">
        <w:rPr>
          <w:rFonts w:ascii="Arial" w:hAnsi="Arial" w:cs="Arial"/>
          <w:spacing w:val="43"/>
          <w:sz w:val="20"/>
        </w:rPr>
        <w:t xml:space="preserve"> </w:t>
      </w:r>
      <w:r w:rsidRPr="00973C18">
        <w:rPr>
          <w:rFonts w:ascii="Arial" w:hAnsi="Arial" w:cs="Arial"/>
          <w:sz w:val="20"/>
        </w:rPr>
        <w:t>knowledge</w:t>
      </w:r>
      <w:r w:rsidRPr="00973C18">
        <w:rPr>
          <w:rFonts w:ascii="Arial" w:hAnsi="Arial" w:cs="Arial"/>
          <w:spacing w:val="44"/>
          <w:sz w:val="20"/>
        </w:rPr>
        <w:t xml:space="preserve"> </w:t>
      </w:r>
      <w:r w:rsidRPr="00973C18">
        <w:rPr>
          <w:rFonts w:ascii="Arial" w:hAnsi="Arial" w:cs="Arial"/>
          <w:sz w:val="20"/>
        </w:rPr>
        <w:t>of</w:t>
      </w:r>
      <w:r w:rsidRPr="00973C18">
        <w:rPr>
          <w:rFonts w:ascii="Arial" w:hAnsi="Arial" w:cs="Arial"/>
          <w:spacing w:val="40"/>
          <w:sz w:val="20"/>
        </w:rPr>
        <w:t xml:space="preserve"> </w:t>
      </w:r>
      <w:r w:rsidRPr="00973C18">
        <w:rPr>
          <w:rFonts w:ascii="Arial" w:hAnsi="Arial" w:cs="Arial"/>
          <w:sz w:val="20"/>
        </w:rPr>
        <w:t>Part-BFCL</w:t>
      </w:r>
      <w:r w:rsidRPr="00973C18">
        <w:rPr>
          <w:rFonts w:ascii="Arial" w:hAnsi="Arial" w:cs="Arial"/>
          <w:spacing w:val="46"/>
          <w:sz w:val="20"/>
        </w:rPr>
        <w:t xml:space="preserve"> </w:t>
      </w:r>
      <w:r w:rsidRPr="00973C18">
        <w:rPr>
          <w:rFonts w:ascii="Arial" w:hAnsi="Arial" w:cs="Arial"/>
          <w:sz w:val="20"/>
        </w:rPr>
        <w:t>and</w:t>
      </w:r>
      <w:r w:rsidRPr="00973C18">
        <w:rPr>
          <w:rFonts w:ascii="Arial" w:hAnsi="Arial" w:cs="Arial"/>
          <w:spacing w:val="-47"/>
          <w:sz w:val="20"/>
        </w:rPr>
        <w:t xml:space="preserve"> </w:t>
      </w:r>
      <w:r w:rsidRPr="00973C18">
        <w:rPr>
          <w:rFonts w:ascii="Arial" w:hAnsi="Arial" w:cs="Arial"/>
          <w:sz w:val="20"/>
        </w:rPr>
        <w:t>operational requirements;</w:t>
      </w:r>
    </w:p>
    <w:p w14:paraId="33911888" w14:textId="77777777" w:rsidR="00973C18" w:rsidRPr="00973C18" w:rsidRDefault="00973C18" w:rsidP="00297373">
      <w:pPr>
        <w:numPr>
          <w:ilvl w:val="1"/>
          <w:numId w:val="267"/>
        </w:numPr>
        <w:tabs>
          <w:tab w:val="left" w:pos="1273"/>
          <w:tab w:val="left" w:pos="1274"/>
        </w:tabs>
        <w:spacing w:before="120" w:line="276" w:lineRule="auto"/>
        <w:ind w:right="68" w:hanging="568"/>
        <w:jc w:val="both"/>
        <w:rPr>
          <w:rFonts w:ascii="Arial" w:hAnsi="Arial" w:cs="Arial"/>
          <w:sz w:val="20"/>
        </w:rPr>
      </w:pPr>
      <w:r w:rsidRPr="00973C18">
        <w:rPr>
          <w:rFonts w:ascii="Arial" w:hAnsi="Arial" w:cs="Arial"/>
          <w:sz w:val="20"/>
        </w:rPr>
        <w:t>teaching</w:t>
      </w:r>
      <w:r w:rsidRPr="00973C18">
        <w:rPr>
          <w:rFonts w:ascii="Arial" w:hAnsi="Arial" w:cs="Arial"/>
          <w:spacing w:val="-1"/>
          <w:sz w:val="20"/>
        </w:rPr>
        <w:t xml:space="preserve"> </w:t>
      </w:r>
      <w:r w:rsidRPr="00973C18">
        <w:rPr>
          <w:rFonts w:ascii="Arial" w:hAnsi="Arial" w:cs="Arial"/>
          <w:sz w:val="20"/>
        </w:rPr>
        <w:t>and learning;</w:t>
      </w:r>
    </w:p>
    <w:p w14:paraId="6066DD4A" w14:textId="77777777" w:rsidR="00973C18" w:rsidRPr="00973C18" w:rsidRDefault="00973C18" w:rsidP="00297373">
      <w:pPr>
        <w:numPr>
          <w:ilvl w:val="1"/>
          <w:numId w:val="267"/>
        </w:numPr>
        <w:tabs>
          <w:tab w:val="left" w:pos="1273"/>
          <w:tab w:val="left" w:pos="1274"/>
        </w:tabs>
        <w:spacing w:before="121" w:line="276" w:lineRule="auto"/>
        <w:ind w:right="68" w:hanging="568"/>
        <w:jc w:val="both"/>
        <w:rPr>
          <w:rFonts w:ascii="Arial" w:hAnsi="Arial" w:cs="Arial"/>
          <w:sz w:val="20"/>
        </w:rPr>
      </w:pPr>
      <w:r w:rsidRPr="00973C18">
        <w:rPr>
          <w:rFonts w:ascii="Arial" w:hAnsi="Arial" w:cs="Arial"/>
          <w:sz w:val="20"/>
        </w:rPr>
        <w:t>instructional</w:t>
      </w:r>
      <w:r w:rsidRPr="00973C18">
        <w:rPr>
          <w:rFonts w:ascii="Arial" w:hAnsi="Arial" w:cs="Arial"/>
          <w:spacing w:val="-6"/>
          <w:sz w:val="20"/>
        </w:rPr>
        <w:t xml:space="preserve"> </w:t>
      </w:r>
      <w:r w:rsidRPr="00973C18">
        <w:rPr>
          <w:rFonts w:ascii="Arial" w:hAnsi="Arial" w:cs="Arial"/>
          <w:sz w:val="20"/>
        </w:rPr>
        <w:t>techniques;</w:t>
      </w:r>
    </w:p>
    <w:p w14:paraId="65444F73" w14:textId="77777777" w:rsidR="00973C18" w:rsidRPr="00973C18" w:rsidRDefault="00973C18" w:rsidP="00297373">
      <w:pPr>
        <w:numPr>
          <w:ilvl w:val="1"/>
          <w:numId w:val="267"/>
        </w:numPr>
        <w:tabs>
          <w:tab w:val="left" w:pos="1273"/>
          <w:tab w:val="left" w:pos="1274"/>
        </w:tabs>
        <w:spacing w:before="120" w:line="276" w:lineRule="auto"/>
        <w:ind w:right="68" w:hanging="568"/>
        <w:jc w:val="both"/>
        <w:rPr>
          <w:rFonts w:ascii="Arial" w:hAnsi="Arial" w:cs="Arial"/>
          <w:sz w:val="20"/>
        </w:rPr>
      </w:pPr>
      <w:r w:rsidRPr="00973C18">
        <w:rPr>
          <w:rFonts w:ascii="Arial" w:hAnsi="Arial" w:cs="Arial"/>
          <w:sz w:val="20"/>
        </w:rPr>
        <w:t>the</w:t>
      </w:r>
      <w:r w:rsidRPr="00973C18">
        <w:rPr>
          <w:rFonts w:ascii="Arial" w:hAnsi="Arial" w:cs="Arial"/>
          <w:spacing w:val="-2"/>
          <w:sz w:val="20"/>
        </w:rPr>
        <w:t xml:space="preserve"> </w:t>
      </w:r>
      <w:r w:rsidRPr="00973C18">
        <w:rPr>
          <w:rFonts w:ascii="Arial" w:hAnsi="Arial" w:cs="Arial"/>
          <w:sz w:val="20"/>
        </w:rPr>
        <w:t>role</w:t>
      </w:r>
      <w:r w:rsidRPr="00973C18">
        <w:rPr>
          <w:rFonts w:ascii="Arial" w:hAnsi="Arial" w:cs="Arial"/>
          <w:spacing w:val="-4"/>
          <w:sz w:val="20"/>
        </w:rPr>
        <w:t xml:space="preserve"> </w:t>
      </w:r>
      <w:r w:rsidRPr="00973C18">
        <w:rPr>
          <w:rFonts w:ascii="Arial" w:hAnsi="Arial" w:cs="Arial"/>
          <w:sz w:val="20"/>
        </w:rPr>
        <w:t>of</w:t>
      </w:r>
      <w:r w:rsidRPr="00973C18">
        <w:rPr>
          <w:rFonts w:ascii="Arial" w:hAnsi="Arial" w:cs="Arial"/>
          <w:spacing w:val="-1"/>
          <w:sz w:val="20"/>
        </w:rPr>
        <w:t xml:space="preserve"> </w:t>
      </w:r>
      <w:r w:rsidRPr="00973C18">
        <w:rPr>
          <w:rFonts w:ascii="Arial" w:hAnsi="Arial" w:cs="Arial"/>
          <w:sz w:val="20"/>
        </w:rPr>
        <w:t>the</w:t>
      </w:r>
      <w:r w:rsidRPr="00973C18">
        <w:rPr>
          <w:rFonts w:ascii="Arial" w:hAnsi="Arial" w:cs="Arial"/>
          <w:spacing w:val="-1"/>
          <w:sz w:val="20"/>
        </w:rPr>
        <w:t xml:space="preserve"> </w:t>
      </w:r>
      <w:r w:rsidRPr="00973C18">
        <w:rPr>
          <w:rFonts w:ascii="Arial" w:hAnsi="Arial" w:cs="Arial"/>
          <w:sz w:val="20"/>
        </w:rPr>
        <w:t>instructor;</w:t>
      </w:r>
    </w:p>
    <w:p w14:paraId="08A8DA61" w14:textId="77777777" w:rsidR="00973C18" w:rsidRPr="00973C18" w:rsidRDefault="00973C18" w:rsidP="00297373">
      <w:pPr>
        <w:numPr>
          <w:ilvl w:val="1"/>
          <w:numId w:val="267"/>
        </w:numPr>
        <w:tabs>
          <w:tab w:val="left" w:pos="1273"/>
          <w:tab w:val="left" w:pos="1274"/>
        </w:tabs>
        <w:spacing w:before="121" w:line="276" w:lineRule="auto"/>
        <w:ind w:right="68" w:hanging="568"/>
        <w:jc w:val="both"/>
        <w:rPr>
          <w:rFonts w:ascii="Arial" w:hAnsi="Arial" w:cs="Arial"/>
          <w:sz w:val="20"/>
        </w:rPr>
      </w:pPr>
      <w:r w:rsidRPr="00973C18">
        <w:rPr>
          <w:rFonts w:ascii="Arial" w:hAnsi="Arial" w:cs="Arial"/>
          <w:sz w:val="20"/>
        </w:rPr>
        <w:t>national</w:t>
      </w:r>
      <w:r w:rsidRPr="00973C18">
        <w:rPr>
          <w:rFonts w:ascii="Arial" w:hAnsi="Arial" w:cs="Arial"/>
          <w:spacing w:val="-2"/>
          <w:sz w:val="20"/>
        </w:rPr>
        <w:t xml:space="preserve"> </w:t>
      </w:r>
      <w:r w:rsidRPr="00973C18">
        <w:rPr>
          <w:rFonts w:ascii="Arial" w:hAnsi="Arial" w:cs="Arial"/>
          <w:sz w:val="20"/>
        </w:rPr>
        <w:t>regulations</w:t>
      </w:r>
      <w:r w:rsidRPr="00973C18">
        <w:rPr>
          <w:rFonts w:ascii="Arial" w:hAnsi="Arial" w:cs="Arial"/>
          <w:spacing w:val="-3"/>
          <w:sz w:val="20"/>
        </w:rPr>
        <w:t xml:space="preserve"> </w:t>
      </w:r>
      <w:r w:rsidRPr="00973C18">
        <w:rPr>
          <w:rFonts w:ascii="Arial" w:hAnsi="Arial" w:cs="Arial"/>
          <w:sz w:val="20"/>
        </w:rPr>
        <w:t>(as</w:t>
      </w:r>
      <w:r w:rsidRPr="00973C18">
        <w:rPr>
          <w:rFonts w:ascii="Arial" w:hAnsi="Arial" w:cs="Arial"/>
          <w:spacing w:val="-1"/>
          <w:sz w:val="20"/>
        </w:rPr>
        <w:t xml:space="preserve"> </w:t>
      </w:r>
      <w:r w:rsidRPr="00973C18">
        <w:rPr>
          <w:rFonts w:ascii="Arial" w:hAnsi="Arial" w:cs="Arial"/>
          <w:sz w:val="20"/>
        </w:rPr>
        <w:t>applicable);</w:t>
      </w:r>
    </w:p>
    <w:p w14:paraId="50CE686B" w14:textId="77777777" w:rsidR="00973C18" w:rsidRPr="00973C18" w:rsidRDefault="00973C18" w:rsidP="00297373">
      <w:pPr>
        <w:numPr>
          <w:ilvl w:val="1"/>
          <w:numId w:val="267"/>
        </w:numPr>
        <w:tabs>
          <w:tab w:val="left" w:pos="1273"/>
          <w:tab w:val="left" w:pos="1274"/>
        </w:tabs>
        <w:spacing w:before="120" w:line="276" w:lineRule="auto"/>
        <w:ind w:right="68" w:hanging="568"/>
        <w:jc w:val="both"/>
        <w:rPr>
          <w:rFonts w:ascii="Arial" w:hAnsi="Arial" w:cs="Arial"/>
          <w:sz w:val="20"/>
        </w:rPr>
      </w:pPr>
      <w:r w:rsidRPr="00973C18">
        <w:rPr>
          <w:rFonts w:ascii="Arial" w:hAnsi="Arial" w:cs="Arial"/>
          <w:sz w:val="20"/>
        </w:rPr>
        <w:t>human</w:t>
      </w:r>
      <w:r w:rsidRPr="00973C18">
        <w:rPr>
          <w:rFonts w:ascii="Arial" w:hAnsi="Arial" w:cs="Arial"/>
          <w:spacing w:val="-3"/>
          <w:sz w:val="20"/>
        </w:rPr>
        <w:t xml:space="preserve"> </w:t>
      </w:r>
      <w:r w:rsidRPr="00973C18">
        <w:rPr>
          <w:rFonts w:ascii="Arial" w:hAnsi="Arial" w:cs="Arial"/>
          <w:sz w:val="20"/>
        </w:rPr>
        <w:t>factors;</w:t>
      </w:r>
    </w:p>
    <w:p w14:paraId="1988BF05" w14:textId="77777777" w:rsidR="00973C18" w:rsidRPr="00973C18" w:rsidRDefault="00973C18" w:rsidP="00297373">
      <w:pPr>
        <w:numPr>
          <w:ilvl w:val="1"/>
          <w:numId w:val="267"/>
        </w:numPr>
        <w:tabs>
          <w:tab w:val="left" w:pos="1273"/>
          <w:tab w:val="left" w:pos="1274"/>
        </w:tabs>
        <w:spacing w:before="120" w:line="276" w:lineRule="auto"/>
        <w:ind w:right="68" w:hanging="568"/>
        <w:jc w:val="both"/>
        <w:rPr>
          <w:rFonts w:ascii="Arial" w:hAnsi="Arial" w:cs="Arial"/>
          <w:sz w:val="20"/>
        </w:rPr>
      </w:pPr>
      <w:r w:rsidRPr="00973C18">
        <w:rPr>
          <w:rFonts w:ascii="Arial" w:hAnsi="Arial" w:cs="Arial"/>
          <w:sz w:val="20"/>
        </w:rPr>
        <w:t>flight</w:t>
      </w:r>
      <w:r w:rsidRPr="00973C18">
        <w:rPr>
          <w:rFonts w:ascii="Arial" w:hAnsi="Arial" w:cs="Arial"/>
          <w:spacing w:val="-2"/>
          <w:sz w:val="20"/>
        </w:rPr>
        <w:t xml:space="preserve"> </w:t>
      </w:r>
      <w:r w:rsidRPr="00973C18">
        <w:rPr>
          <w:rFonts w:ascii="Arial" w:hAnsi="Arial" w:cs="Arial"/>
          <w:sz w:val="20"/>
        </w:rPr>
        <w:t>safety,</w:t>
      </w:r>
      <w:r w:rsidRPr="00973C18">
        <w:rPr>
          <w:rFonts w:ascii="Arial" w:hAnsi="Arial" w:cs="Arial"/>
          <w:spacing w:val="-2"/>
          <w:sz w:val="20"/>
        </w:rPr>
        <w:t xml:space="preserve"> </w:t>
      </w:r>
      <w:r w:rsidRPr="00973C18">
        <w:rPr>
          <w:rFonts w:ascii="Arial" w:hAnsi="Arial" w:cs="Arial"/>
          <w:sz w:val="20"/>
        </w:rPr>
        <w:t>incident</w:t>
      </w:r>
      <w:r w:rsidRPr="00973C18">
        <w:rPr>
          <w:rFonts w:ascii="Arial" w:hAnsi="Arial" w:cs="Arial"/>
          <w:spacing w:val="-3"/>
          <w:sz w:val="20"/>
        </w:rPr>
        <w:t xml:space="preserve"> </w:t>
      </w:r>
      <w:r w:rsidRPr="00973C18">
        <w:rPr>
          <w:rFonts w:ascii="Arial" w:hAnsi="Arial" w:cs="Arial"/>
          <w:sz w:val="20"/>
        </w:rPr>
        <w:t>and</w:t>
      </w:r>
      <w:r w:rsidRPr="00973C18">
        <w:rPr>
          <w:rFonts w:ascii="Arial" w:hAnsi="Arial" w:cs="Arial"/>
          <w:spacing w:val="-2"/>
          <w:sz w:val="20"/>
        </w:rPr>
        <w:t xml:space="preserve"> </w:t>
      </w:r>
      <w:r w:rsidRPr="00973C18">
        <w:rPr>
          <w:rFonts w:ascii="Arial" w:hAnsi="Arial" w:cs="Arial"/>
          <w:sz w:val="20"/>
        </w:rPr>
        <w:t>accident</w:t>
      </w:r>
      <w:r w:rsidRPr="00973C18">
        <w:rPr>
          <w:rFonts w:ascii="Arial" w:hAnsi="Arial" w:cs="Arial"/>
          <w:spacing w:val="-2"/>
          <w:sz w:val="20"/>
        </w:rPr>
        <w:t xml:space="preserve"> </w:t>
      </w:r>
      <w:r w:rsidRPr="00973C18">
        <w:rPr>
          <w:rFonts w:ascii="Arial" w:hAnsi="Arial" w:cs="Arial"/>
          <w:sz w:val="20"/>
        </w:rPr>
        <w:t>prevention;</w:t>
      </w:r>
    </w:p>
    <w:p w14:paraId="2E14D6BE" w14:textId="77777777" w:rsidR="00973C18" w:rsidRPr="00973C18" w:rsidRDefault="00973C18" w:rsidP="00297373">
      <w:pPr>
        <w:numPr>
          <w:ilvl w:val="1"/>
          <w:numId w:val="267"/>
        </w:numPr>
        <w:tabs>
          <w:tab w:val="left" w:pos="1273"/>
          <w:tab w:val="left" w:pos="1274"/>
        </w:tabs>
        <w:spacing w:before="120" w:line="276" w:lineRule="auto"/>
        <w:ind w:right="68" w:hanging="568"/>
        <w:jc w:val="both"/>
        <w:rPr>
          <w:rFonts w:ascii="Arial" w:hAnsi="Arial" w:cs="Arial"/>
          <w:sz w:val="20"/>
        </w:rPr>
      </w:pPr>
      <w:r w:rsidRPr="00973C18">
        <w:rPr>
          <w:rFonts w:ascii="Arial" w:hAnsi="Arial" w:cs="Arial"/>
          <w:sz w:val="20"/>
        </w:rPr>
        <w:t>airmanship;</w:t>
      </w:r>
    </w:p>
    <w:p w14:paraId="707F0C24" w14:textId="77777777" w:rsidR="00973C18" w:rsidRPr="00973C18" w:rsidRDefault="00973C18" w:rsidP="00297373">
      <w:pPr>
        <w:numPr>
          <w:ilvl w:val="1"/>
          <w:numId w:val="267"/>
        </w:numPr>
        <w:tabs>
          <w:tab w:val="left" w:pos="1273"/>
          <w:tab w:val="left" w:pos="1274"/>
        </w:tabs>
        <w:spacing w:before="118" w:line="276" w:lineRule="auto"/>
        <w:ind w:right="68" w:hanging="568"/>
        <w:jc w:val="both"/>
        <w:rPr>
          <w:rFonts w:ascii="Arial" w:hAnsi="Arial" w:cs="Arial"/>
          <w:sz w:val="20"/>
        </w:rPr>
      </w:pPr>
      <w:r w:rsidRPr="00973C18">
        <w:rPr>
          <w:rFonts w:ascii="Arial" w:hAnsi="Arial" w:cs="Arial"/>
          <w:sz w:val="20"/>
        </w:rPr>
        <w:t>legal</w:t>
      </w:r>
      <w:r w:rsidRPr="00973C18">
        <w:rPr>
          <w:rFonts w:ascii="Arial" w:hAnsi="Arial" w:cs="Arial"/>
          <w:spacing w:val="-2"/>
          <w:sz w:val="20"/>
        </w:rPr>
        <w:t xml:space="preserve"> </w:t>
      </w:r>
      <w:r w:rsidRPr="00973C18">
        <w:rPr>
          <w:rFonts w:ascii="Arial" w:hAnsi="Arial" w:cs="Arial"/>
          <w:sz w:val="20"/>
        </w:rPr>
        <w:t>aspects and</w:t>
      </w:r>
      <w:r w:rsidRPr="00973C18">
        <w:rPr>
          <w:rFonts w:ascii="Arial" w:hAnsi="Arial" w:cs="Arial"/>
          <w:spacing w:val="-2"/>
          <w:sz w:val="20"/>
        </w:rPr>
        <w:t xml:space="preserve"> </w:t>
      </w:r>
      <w:r w:rsidRPr="00973C18">
        <w:rPr>
          <w:rFonts w:ascii="Arial" w:hAnsi="Arial" w:cs="Arial"/>
          <w:sz w:val="20"/>
        </w:rPr>
        <w:t>enforcement</w:t>
      </w:r>
      <w:r w:rsidRPr="00973C18">
        <w:rPr>
          <w:rFonts w:ascii="Arial" w:hAnsi="Arial" w:cs="Arial"/>
          <w:spacing w:val="-1"/>
          <w:sz w:val="20"/>
        </w:rPr>
        <w:t xml:space="preserve"> </w:t>
      </w:r>
      <w:r w:rsidRPr="00973C18">
        <w:rPr>
          <w:rFonts w:ascii="Arial" w:hAnsi="Arial" w:cs="Arial"/>
          <w:sz w:val="20"/>
        </w:rPr>
        <w:t>procedures;</w:t>
      </w:r>
    </w:p>
    <w:p w14:paraId="5501A81B" w14:textId="77777777" w:rsidR="00973C18" w:rsidRPr="00973C18" w:rsidRDefault="00973C18" w:rsidP="00297373">
      <w:pPr>
        <w:numPr>
          <w:ilvl w:val="1"/>
          <w:numId w:val="267"/>
        </w:numPr>
        <w:tabs>
          <w:tab w:val="left" w:pos="1273"/>
          <w:tab w:val="left" w:pos="1274"/>
        </w:tabs>
        <w:spacing w:before="120" w:line="276" w:lineRule="auto"/>
        <w:ind w:right="68" w:hanging="568"/>
        <w:jc w:val="both"/>
        <w:rPr>
          <w:rFonts w:ascii="Arial" w:hAnsi="Arial" w:cs="Arial"/>
          <w:sz w:val="20"/>
        </w:rPr>
      </w:pPr>
      <w:r w:rsidRPr="00973C18">
        <w:rPr>
          <w:rFonts w:ascii="Arial" w:hAnsi="Arial" w:cs="Arial"/>
          <w:sz w:val="20"/>
        </w:rPr>
        <w:t>navigational</w:t>
      </w:r>
      <w:r w:rsidRPr="00973C18">
        <w:rPr>
          <w:rFonts w:ascii="Arial" w:hAnsi="Arial" w:cs="Arial"/>
          <w:spacing w:val="-5"/>
          <w:sz w:val="20"/>
        </w:rPr>
        <w:t xml:space="preserve"> </w:t>
      </w:r>
      <w:r w:rsidRPr="00973C18">
        <w:rPr>
          <w:rFonts w:ascii="Arial" w:hAnsi="Arial" w:cs="Arial"/>
          <w:sz w:val="20"/>
        </w:rPr>
        <w:t>skills</w:t>
      </w:r>
      <w:r w:rsidRPr="00973C18">
        <w:rPr>
          <w:rFonts w:ascii="Arial" w:hAnsi="Arial" w:cs="Arial"/>
          <w:spacing w:val="1"/>
          <w:sz w:val="20"/>
        </w:rPr>
        <w:t xml:space="preserve"> </w:t>
      </w:r>
      <w:r w:rsidRPr="00973C18">
        <w:rPr>
          <w:rFonts w:ascii="Arial" w:hAnsi="Arial" w:cs="Arial"/>
          <w:sz w:val="20"/>
        </w:rPr>
        <w:t>including</w:t>
      </w:r>
      <w:r w:rsidRPr="00973C18">
        <w:rPr>
          <w:rFonts w:ascii="Arial" w:hAnsi="Arial" w:cs="Arial"/>
          <w:spacing w:val="-4"/>
          <w:sz w:val="20"/>
        </w:rPr>
        <w:t xml:space="preserve"> </w:t>
      </w:r>
      <w:r w:rsidRPr="00973C18">
        <w:rPr>
          <w:rFonts w:ascii="Arial" w:hAnsi="Arial" w:cs="Arial"/>
          <w:sz w:val="20"/>
        </w:rPr>
        <w:t>new</w:t>
      </w:r>
      <w:r w:rsidRPr="00973C18">
        <w:rPr>
          <w:rFonts w:ascii="Arial" w:hAnsi="Arial" w:cs="Arial"/>
          <w:spacing w:val="-3"/>
          <w:sz w:val="20"/>
        </w:rPr>
        <w:t xml:space="preserve"> </w:t>
      </w:r>
      <w:r w:rsidRPr="00973C18">
        <w:rPr>
          <w:rFonts w:ascii="Arial" w:hAnsi="Arial" w:cs="Arial"/>
          <w:sz w:val="20"/>
        </w:rPr>
        <w:t>or</w:t>
      </w:r>
      <w:r w:rsidRPr="00973C18">
        <w:rPr>
          <w:rFonts w:ascii="Arial" w:hAnsi="Arial" w:cs="Arial"/>
          <w:spacing w:val="-1"/>
          <w:sz w:val="20"/>
        </w:rPr>
        <w:t xml:space="preserve"> </w:t>
      </w:r>
      <w:r w:rsidRPr="00973C18">
        <w:rPr>
          <w:rFonts w:ascii="Arial" w:hAnsi="Arial" w:cs="Arial"/>
          <w:sz w:val="20"/>
        </w:rPr>
        <w:t>current</w:t>
      </w:r>
      <w:r w:rsidRPr="00973C18">
        <w:rPr>
          <w:rFonts w:ascii="Arial" w:hAnsi="Arial" w:cs="Arial"/>
          <w:spacing w:val="-1"/>
          <w:sz w:val="20"/>
        </w:rPr>
        <w:t xml:space="preserve"> </w:t>
      </w:r>
      <w:r w:rsidRPr="00973C18">
        <w:rPr>
          <w:rFonts w:ascii="Arial" w:hAnsi="Arial" w:cs="Arial"/>
          <w:sz w:val="20"/>
        </w:rPr>
        <w:t>radio navigation</w:t>
      </w:r>
      <w:r w:rsidRPr="00973C18">
        <w:rPr>
          <w:rFonts w:ascii="Arial" w:hAnsi="Arial" w:cs="Arial"/>
          <w:spacing w:val="-2"/>
          <w:sz w:val="20"/>
        </w:rPr>
        <w:t xml:space="preserve"> </w:t>
      </w:r>
      <w:r w:rsidRPr="00973C18">
        <w:rPr>
          <w:rFonts w:ascii="Arial" w:hAnsi="Arial" w:cs="Arial"/>
          <w:sz w:val="20"/>
        </w:rPr>
        <w:t>aids;</w:t>
      </w:r>
    </w:p>
    <w:p w14:paraId="3B9AE45B" w14:textId="77777777" w:rsidR="00973C18" w:rsidRPr="00973C18" w:rsidRDefault="00973C18" w:rsidP="00297373">
      <w:pPr>
        <w:numPr>
          <w:ilvl w:val="1"/>
          <w:numId w:val="267"/>
        </w:numPr>
        <w:tabs>
          <w:tab w:val="left" w:pos="1273"/>
          <w:tab w:val="left" w:pos="1274"/>
        </w:tabs>
        <w:spacing w:before="121" w:line="276" w:lineRule="auto"/>
        <w:ind w:right="68" w:hanging="568"/>
        <w:jc w:val="both"/>
        <w:rPr>
          <w:rFonts w:ascii="Arial" w:hAnsi="Arial" w:cs="Arial"/>
          <w:sz w:val="20"/>
        </w:rPr>
      </w:pPr>
      <w:r w:rsidRPr="00973C18">
        <w:rPr>
          <w:rFonts w:ascii="Arial" w:hAnsi="Arial" w:cs="Arial"/>
          <w:sz w:val="20"/>
        </w:rPr>
        <w:t>weather-related</w:t>
      </w:r>
      <w:r w:rsidRPr="00973C18">
        <w:rPr>
          <w:rFonts w:ascii="Arial" w:hAnsi="Arial" w:cs="Arial"/>
          <w:spacing w:val="-2"/>
          <w:sz w:val="20"/>
        </w:rPr>
        <w:t xml:space="preserve"> </w:t>
      </w:r>
      <w:r w:rsidRPr="00973C18">
        <w:rPr>
          <w:rFonts w:ascii="Arial" w:hAnsi="Arial" w:cs="Arial"/>
          <w:sz w:val="20"/>
        </w:rPr>
        <w:t>topics</w:t>
      </w:r>
      <w:r w:rsidRPr="00973C18">
        <w:rPr>
          <w:rFonts w:ascii="Arial" w:hAnsi="Arial" w:cs="Arial"/>
          <w:spacing w:val="-1"/>
          <w:sz w:val="20"/>
        </w:rPr>
        <w:t xml:space="preserve"> </w:t>
      </w:r>
      <w:r w:rsidRPr="00973C18">
        <w:rPr>
          <w:rFonts w:ascii="Arial" w:hAnsi="Arial" w:cs="Arial"/>
          <w:sz w:val="20"/>
        </w:rPr>
        <w:t>including</w:t>
      </w:r>
      <w:r w:rsidRPr="00973C18">
        <w:rPr>
          <w:rFonts w:ascii="Arial" w:hAnsi="Arial" w:cs="Arial"/>
          <w:spacing w:val="-2"/>
          <w:sz w:val="20"/>
        </w:rPr>
        <w:t xml:space="preserve"> </w:t>
      </w:r>
      <w:r w:rsidRPr="00973C18">
        <w:rPr>
          <w:rFonts w:ascii="Arial" w:hAnsi="Arial" w:cs="Arial"/>
          <w:sz w:val="20"/>
        </w:rPr>
        <w:t>methods</w:t>
      </w:r>
      <w:r w:rsidRPr="00973C18">
        <w:rPr>
          <w:rFonts w:ascii="Arial" w:hAnsi="Arial" w:cs="Arial"/>
          <w:spacing w:val="-1"/>
          <w:sz w:val="20"/>
        </w:rPr>
        <w:t xml:space="preserve"> </w:t>
      </w:r>
      <w:r w:rsidRPr="00973C18">
        <w:rPr>
          <w:rFonts w:ascii="Arial" w:hAnsi="Arial" w:cs="Arial"/>
          <w:sz w:val="20"/>
        </w:rPr>
        <w:t>of</w:t>
      </w:r>
      <w:r w:rsidRPr="00973C18">
        <w:rPr>
          <w:rFonts w:ascii="Arial" w:hAnsi="Arial" w:cs="Arial"/>
          <w:spacing w:val="-4"/>
          <w:sz w:val="20"/>
        </w:rPr>
        <w:t xml:space="preserve"> </w:t>
      </w:r>
      <w:r w:rsidRPr="00973C18">
        <w:rPr>
          <w:rFonts w:ascii="Arial" w:hAnsi="Arial" w:cs="Arial"/>
          <w:sz w:val="20"/>
        </w:rPr>
        <w:t>distribution;</w:t>
      </w:r>
      <w:r w:rsidRPr="00973C18">
        <w:rPr>
          <w:rFonts w:ascii="Arial" w:hAnsi="Arial" w:cs="Arial"/>
          <w:spacing w:val="-2"/>
          <w:sz w:val="20"/>
        </w:rPr>
        <w:t xml:space="preserve"> </w:t>
      </w:r>
      <w:r w:rsidRPr="00973C18">
        <w:rPr>
          <w:rFonts w:ascii="Arial" w:hAnsi="Arial" w:cs="Arial"/>
          <w:sz w:val="20"/>
        </w:rPr>
        <w:t>and</w:t>
      </w:r>
    </w:p>
    <w:p w14:paraId="40375B03" w14:textId="5F679E12" w:rsidR="00973C18" w:rsidRPr="00973C18" w:rsidRDefault="00973C18" w:rsidP="00297373">
      <w:pPr>
        <w:numPr>
          <w:ilvl w:val="1"/>
          <w:numId w:val="267"/>
        </w:numPr>
        <w:tabs>
          <w:tab w:val="left" w:pos="1273"/>
          <w:tab w:val="left" w:pos="1274"/>
        </w:tabs>
        <w:spacing w:before="120" w:line="276" w:lineRule="auto"/>
        <w:ind w:right="68" w:hanging="568"/>
        <w:jc w:val="both"/>
        <w:rPr>
          <w:rFonts w:ascii="Arial" w:hAnsi="Arial" w:cs="Arial"/>
          <w:sz w:val="20"/>
        </w:rPr>
      </w:pPr>
      <w:r w:rsidRPr="00973C18">
        <w:rPr>
          <w:rFonts w:ascii="Arial" w:hAnsi="Arial" w:cs="Arial"/>
          <w:sz w:val="20"/>
        </w:rPr>
        <w:t>any</w:t>
      </w:r>
      <w:r w:rsidRPr="00973C18">
        <w:rPr>
          <w:rFonts w:ascii="Arial" w:hAnsi="Arial" w:cs="Arial"/>
          <w:spacing w:val="-1"/>
          <w:sz w:val="20"/>
        </w:rPr>
        <w:t xml:space="preserve"> </w:t>
      </w:r>
      <w:r w:rsidRPr="00973C18">
        <w:rPr>
          <w:rFonts w:ascii="Arial" w:hAnsi="Arial" w:cs="Arial"/>
          <w:sz w:val="20"/>
        </w:rPr>
        <w:t>additional</w:t>
      </w:r>
      <w:r w:rsidRPr="00973C18">
        <w:rPr>
          <w:rFonts w:ascii="Arial" w:hAnsi="Arial" w:cs="Arial"/>
          <w:spacing w:val="-4"/>
          <w:sz w:val="20"/>
        </w:rPr>
        <w:t xml:space="preserve"> </w:t>
      </w:r>
      <w:r w:rsidRPr="00973C18">
        <w:rPr>
          <w:rFonts w:ascii="Arial" w:hAnsi="Arial" w:cs="Arial"/>
          <w:sz w:val="20"/>
        </w:rPr>
        <w:t>topic</w:t>
      </w:r>
      <w:r w:rsidRPr="00973C18">
        <w:rPr>
          <w:rFonts w:ascii="Arial" w:hAnsi="Arial" w:cs="Arial"/>
          <w:spacing w:val="-3"/>
          <w:sz w:val="20"/>
        </w:rPr>
        <w:t xml:space="preserve"> </w:t>
      </w:r>
      <w:r w:rsidRPr="00973C18">
        <w:rPr>
          <w:rFonts w:ascii="Arial" w:hAnsi="Arial" w:cs="Arial"/>
          <w:sz w:val="20"/>
        </w:rPr>
        <w:t>selected</w:t>
      </w:r>
      <w:r w:rsidRPr="00973C18">
        <w:rPr>
          <w:rFonts w:ascii="Arial" w:hAnsi="Arial" w:cs="Arial"/>
          <w:spacing w:val="-2"/>
          <w:sz w:val="20"/>
        </w:rPr>
        <w:t xml:space="preserve"> </w:t>
      </w:r>
      <w:r w:rsidRPr="00973C18">
        <w:rPr>
          <w:rFonts w:ascii="Arial" w:hAnsi="Arial" w:cs="Arial"/>
          <w:sz w:val="20"/>
        </w:rPr>
        <w:t>by</w:t>
      </w:r>
      <w:r w:rsidRPr="00973C18">
        <w:rPr>
          <w:rFonts w:ascii="Arial" w:hAnsi="Arial" w:cs="Arial"/>
          <w:spacing w:val="-1"/>
          <w:sz w:val="20"/>
        </w:rPr>
        <w:t xml:space="preserve"> </w:t>
      </w:r>
      <w:r w:rsidRPr="00973C18">
        <w:rPr>
          <w:rFonts w:ascii="Arial" w:hAnsi="Arial" w:cs="Arial"/>
          <w:sz w:val="20"/>
        </w:rPr>
        <w:t>the</w:t>
      </w:r>
      <w:r w:rsidRPr="00973C18">
        <w:rPr>
          <w:rFonts w:ascii="Arial" w:hAnsi="Arial" w:cs="Arial"/>
          <w:spacing w:val="-3"/>
          <w:sz w:val="20"/>
        </w:rPr>
        <w:t xml:space="preserve"> </w:t>
      </w:r>
      <w:r w:rsidR="003C6906">
        <w:rPr>
          <w:rFonts w:ascii="Arial" w:hAnsi="Arial" w:cs="Arial"/>
          <w:sz w:val="20"/>
          <w:szCs w:val="20"/>
        </w:rPr>
        <w:t>CAC RA</w:t>
      </w:r>
      <w:r w:rsidRPr="00973C18">
        <w:rPr>
          <w:rFonts w:ascii="Arial" w:hAnsi="Arial" w:cs="Arial"/>
          <w:sz w:val="20"/>
        </w:rPr>
        <w:t>.</w:t>
      </w:r>
    </w:p>
    <w:p w14:paraId="26AB67C5" w14:textId="77777777" w:rsidR="00973C18" w:rsidRPr="00973C18" w:rsidRDefault="00973C18" w:rsidP="00297373">
      <w:pPr>
        <w:numPr>
          <w:ilvl w:val="0"/>
          <w:numId w:val="267"/>
        </w:numPr>
        <w:tabs>
          <w:tab w:val="left" w:pos="707"/>
        </w:tabs>
        <w:spacing w:before="121" w:line="276" w:lineRule="auto"/>
        <w:ind w:right="68"/>
        <w:jc w:val="both"/>
        <w:rPr>
          <w:rFonts w:ascii="Arial" w:hAnsi="Arial" w:cs="Arial"/>
          <w:sz w:val="20"/>
        </w:rPr>
      </w:pPr>
      <w:r w:rsidRPr="00973C18">
        <w:rPr>
          <w:rFonts w:ascii="Arial" w:hAnsi="Arial" w:cs="Arial"/>
          <w:sz w:val="20"/>
        </w:rPr>
        <w:t>Formal sessions should allow for a presentation time of 45 minutes, with 15 minutes for</w:t>
      </w:r>
      <w:r w:rsidRPr="00973C18">
        <w:rPr>
          <w:rFonts w:ascii="Arial" w:hAnsi="Arial" w:cs="Arial"/>
          <w:spacing w:val="1"/>
          <w:sz w:val="20"/>
        </w:rPr>
        <w:t xml:space="preserve"> </w:t>
      </w:r>
      <w:r w:rsidRPr="00973C18">
        <w:rPr>
          <w:rFonts w:ascii="Arial" w:hAnsi="Arial" w:cs="Arial"/>
          <w:sz w:val="20"/>
        </w:rPr>
        <w:t>questions. The use of visual aids is recommended, with interactive video and other teaching</w:t>
      </w:r>
      <w:r w:rsidRPr="00973C18">
        <w:rPr>
          <w:rFonts w:ascii="Arial" w:hAnsi="Arial" w:cs="Arial"/>
          <w:spacing w:val="1"/>
          <w:sz w:val="20"/>
        </w:rPr>
        <w:t xml:space="preserve"> </w:t>
      </w:r>
      <w:r w:rsidRPr="00973C18">
        <w:rPr>
          <w:rFonts w:ascii="Arial" w:hAnsi="Arial" w:cs="Arial"/>
          <w:sz w:val="20"/>
        </w:rPr>
        <w:t>aids</w:t>
      </w:r>
      <w:r w:rsidRPr="00973C18">
        <w:rPr>
          <w:rFonts w:ascii="Arial" w:hAnsi="Arial" w:cs="Arial"/>
          <w:spacing w:val="-1"/>
          <w:sz w:val="20"/>
        </w:rPr>
        <w:t xml:space="preserve"> </w:t>
      </w:r>
      <w:r w:rsidRPr="00973C18">
        <w:rPr>
          <w:rFonts w:ascii="Arial" w:hAnsi="Arial" w:cs="Arial"/>
          <w:sz w:val="20"/>
        </w:rPr>
        <w:t>(where</w:t>
      </w:r>
      <w:r w:rsidRPr="00973C18">
        <w:rPr>
          <w:rFonts w:ascii="Arial" w:hAnsi="Arial" w:cs="Arial"/>
          <w:spacing w:val="1"/>
          <w:sz w:val="20"/>
        </w:rPr>
        <w:t xml:space="preserve"> </w:t>
      </w:r>
      <w:r w:rsidRPr="00973C18">
        <w:rPr>
          <w:rFonts w:ascii="Arial" w:hAnsi="Arial" w:cs="Arial"/>
          <w:sz w:val="20"/>
        </w:rPr>
        <w:t>available)</w:t>
      </w:r>
      <w:r w:rsidRPr="00973C18">
        <w:rPr>
          <w:rFonts w:ascii="Arial" w:hAnsi="Arial" w:cs="Arial"/>
          <w:spacing w:val="1"/>
          <w:sz w:val="20"/>
        </w:rPr>
        <w:t xml:space="preserve"> </w:t>
      </w:r>
      <w:r w:rsidRPr="00973C18">
        <w:rPr>
          <w:rFonts w:ascii="Arial" w:hAnsi="Arial" w:cs="Arial"/>
          <w:sz w:val="20"/>
        </w:rPr>
        <w:t>for breakout groups</w:t>
      </w:r>
      <w:r w:rsidRPr="00973C18">
        <w:rPr>
          <w:rFonts w:ascii="Arial" w:hAnsi="Arial" w:cs="Arial"/>
          <w:spacing w:val="-3"/>
          <w:sz w:val="20"/>
        </w:rPr>
        <w:t xml:space="preserve"> </w:t>
      </w:r>
      <w:r w:rsidRPr="00973C18">
        <w:rPr>
          <w:rFonts w:ascii="Arial" w:hAnsi="Arial" w:cs="Arial"/>
          <w:sz w:val="20"/>
        </w:rPr>
        <w:t>and</w:t>
      </w:r>
      <w:r w:rsidRPr="00973C18">
        <w:rPr>
          <w:rFonts w:ascii="Arial" w:hAnsi="Arial" w:cs="Arial"/>
          <w:spacing w:val="-1"/>
          <w:sz w:val="20"/>
        </w:rPr>
        <w:t xml:space="preserve"> </w:t>
      </w:r>
      <w:r w:rsidRPr="00973C18">
        <w:rPr>
          <w:rFonts w:ascii="Arial" w:hAnsi="Arial" w:cs="Arial"/>
          <w:sz w:val="20"/>
        </w:rPr>
        <w:t>workshops.</w:t>
      </w:r>
    </w:p>
    <w:p w14:paraId="18B8B6B4" w14:textId="77777777" w:rsidR="00973C18" w:rsidRPr="00973C18" w:rsidRDefault="00973C18" w:rsidP="00973C18">
      <w:pPr>
        <w:keepNext/>
        <w:keepLines/>
        <w:widowControl/>
        <w:shd w:val="clear" w:color="auto" w:fill="339966"/>
        <w:autoSpaceDE/>
        <w:autoSpaceDN/>
        <w:spacing w:before="160" w:after="120" w:line="259" w:lineRule="auto"/>
        <w:outlineLvl w:val="4"/>
        <w:rPr>
          <w:rFonts w:ascii="Arial" w:eastAsia="Times New Roman" w:hAnsi="Arial" w:cs="Times New Roman"/>
          <w:b/>
          <w:color w:val="FFFFFF"/>
          <w:sz w:val="24"/>
        </w:rPr>
      </w:pPr>
      <w:bookmarkStart w:id="724" w:name="GM1_BFCL.360(a)(1)(i)__FI(B)_certificate"/>
      <w:bookmarkStart w:id="725" w:name="_bookmark297"/>
      <w:bookmarkStart w:id="726" w:name="_Toc153137462"/>
      <w:bookmarkEnd w:id="724"/>
      <w:bookmarkEnd w:id="725"/>
      <w:r w:rsidRPr="00973C18">
        <w:rPr>
          <w:rFonts w:ascii="Arial" w:eastAsia="Times New Roman" w:hAnsi="Arial" w:cs="Times New Roman"/>
          <w:b/>
          <w:color w:val="FFFFFF"/>
          <w:sz w:val="24"/>
        </w:rPr>
        <w:t>GM1 BFCL.360(a)(1)(i) FI(B) certificate – Recency requirements</w:t>
      </w:r>
      <w:bookmarkEnd w:id="726"/>
    </w:p>
    <w:p w14:paraId="0145CB78" w14:textId="77777777" w:rsidR="00973C18" w:rsidRPr="00973C18" w:rsidRDefault="00973C18" w:rsidP="00973C18">
      <w:pPr>
        <w:widowControl/>
        <w:autoSpaceDE/>
        <w:autoSpaceDN/>
        <w:spacing w:before="240" w:after="160" w:line="264" w:lineRule="auto"/>
        <w:jc w:val="both"/>
        <w:rPr>
          <w:rFonts w:ascii="Arial" w:eastAsiaTheme="minorHAnsi" w:hAnsi="Arial" w:cs="Arial"/>
          <w:b/>
          <w:bCs/>
          <w:sz w:val="20"/>
          <w:szCs w:val="20"/>
        </w:rPr>
      </w:pPr>
      <w:r w:rsidRPr="00973C18">
        <w:rPr>
          <w:rFonts w:ascii="Arial" w:eastAsiaTheme="minorHAnsi" w:hAnsi="Arial" w:cs="Arial"/>
          <w:b/>
          <w:bCs/>
          <w:sz w:val="20"/>
          <w:szCs w:val="20"/>
        </w:rPr>
        <w:t>FREQUENCY OF INSTRUCTOR REFRESHER TRAINING</w:t>
      </w:r>
    </w:p>
    <w:p w14:paraId="6D9B7749" w14:textId="77777777" w:rsidR="00973C18" w:rsidRPr="00B54998" w:rsidRDefault="00973C18" w:rsidP="00297373">
      <w:pPr>
        <w:pStyle w:val="BodyText"/>
        <w:spacing w:before="119" w:line="276" w:lineRule="auto"/>
        <w:ind w:right="68"/>
        <w:jc w:val="both"/>
        <w:rPr>
          <w:rFonts w:ascii="Arial" w:hAnsi="Arial" w:cs="Arial"/>
          <w:sz w:val="20"/>
        </w:rPr>
      </w:pPr>
      <w:r w:rsidRPr="00973C18">
        <w:rPr>
          <w:rFonts w:ascii="Arial" w:hAnsi="Arial" w:cs="Arial"/>
          <w:sz w:val="20"/>
        </w:rPr>
        <w:t>In order to maintain instructor privileges, point BFCL.360(a)(1)(i) requires FI(B) certificate holders to</w:t>
      </w:r>
      <w:r w:rsidRPr="00973C18">
        <w:rPr>
          <w:rFonts w:ascii="Arial" w:hAnsi="Arial" w:cs="Arial"/>
          <w:spacing w:val="1"/>
          <w:sz w:val="20"/>
        </w:rPr>
        <w:t xml:space="preserve"> </w:t>
      </w:r>
      <w:r w:rsidRPr="00973C18">
        <w:rPr>
          <w:rFonts w:ascii="Arial" w:hAnsi="Arial" w:cs="Arial"/>
          <w:sz w:val="20"/>
        </w:rPr>
        <w:t>complete</w:t>
      </w:r>
      <w:r w:rsidRPr="00973C18">
        <w:rPr>
          <w:rFonts w:ascii="Arial" w:hAnsi="Arial" w:cs="Arial"/>
          <w:spacing w:val="-4"/>
          <w:sz w:val="20"/>
        </w:rPr>
        <w:t xml:space="preserve"> </w:t>
      </w:r>
      <w:r w:rsidRPr="00973C18">
        <w:rPr>
          <w:rFonts w:ascii="Arial" w:hAnsi="Arial" w:cs="Arial"/>
          <w:sz w:val="20"/>
        </w:rPr>
        <w:t>instructor</w:t>
      </w:r>
      <w:r w:rsidRPr="00973C18">
        <w:rPr>
          <w:rFonts w:ascii="Arial" w:hAnsi="Arial" w:cs="Arial"/>
          <w:spacing w:val="-5"/>
          <w:sz w:val="20"/>
        </w:rPr>
        <w:t xml:space="preserve"> </w:t>
      </w:r>
      <w:r w:rsidRPr="00973C18">
        <w:rPr>
          <w:rFonts w:ascii="Arial" w:hAnsi="Arial" w:cs="Arial"/>
          <w:sz w:val="20"/>
        </w:rPr>
        <w:t>refresher</w:t>
      </w:r>
      <w:r w:rsidRPr="00973C18">
        <w:rPr>
          <w:rFonts w:ascii="Arial" w:hAnsi="Arial" w:cs="Arial"/>
          <w:spacing w:val="-4"/>
          <w:sz w:val="20"/>
        </w:rPr>
        <w:t xml:space="preserve"> </w:t>
      </w:r>
      <w:r w:rsidRPr="00973C18">
        <w:rPr>
          <w:rFonts w:ascii="Arial" w:hAnsi="Arial" w:cs="Arial"/>
          <w:sz w:val="20"/>
        </w:rPr>
        <w:t>training</w:t>
      </w:r>
      <w:r w:rsidRPr="00973C18">
        <w:rPr>
          <w:rFonts w:ascii="Arial" w:hAnsi="Arial" w:cs="Arial"/>
          <w:spacing w:val="-5"/>
          <w:sz w:val="20"/>
        </w:rPr>
        <w:t xml:space="preserve"> </w:t>
      </w:r>
      <w:r w:rsidRPr="00973C18">
        <w:rPr>
          <w:rFonts w:ascii="Arial" w:hAnsi="Arial" w:cs="Arial"/>
          <w:sz w:val="20"/>
        </w:rPr>
        <w:t>once</w:t>
      </w:r>
      <w:r w:rsidRPr="00973C18">
        <w:rPr>
          <w:rFonts w:ascii="Arial" w:hAnsi="Arial" w:cs="Arial"/>
          <w:spacing w:val="-5"/>
          <w:sz w:val="20"/>
        </w:rPr>
        <w:t xml:space="preserve"> </w:t>
      </w:r>
      <w:r w:rsidRPr="00973C18">
        <w:rPr>
          <w:rFonts w:ascii="Arial" w:hAnsi="Arial" w:cs="Arial"/>
          <w:sz w:val="20"/>
        </w:rPr>
        <w:t>in</w:t>
      </w:r>
      <w:r w:rsidRPr="00973C18">
        <w:rPr>
          <w:rFonts w:ascii="Arial" w:hAnsi="Arial" w:cs="Arial"/>
          <w:spacing w:val="-7"/>
          <w:sz w:val="20"/>
        </w:rPr>
        <w:t xml:space="preserve"> </w:t>
      </w:r>
      <w:r w:rsidRPr="00973C18">
        <w:rPr>
          <w:rFonts w:ascii="Arial" w:hAnsi="Arial" w:cs="Arial"/>
          <w:sz w:val="20"/>
        </w:rPr>
        <w:t>3</w:t>
      </w:r>
      <w:r w:rsidRPr="00973C18">
        <w:rPr>
          <w:rFonts w:ascii="Arial" w:hAnsi="Arial" w:cs="Arial"/>
          <w:spacing w:val="-5"/>
          <w:sz w:val="20"/>
        </w:rPr>
        <w:t xml:space="preserve"> </w:t>
      </w:r>
      <w:r w:rsidRPr="00973C18">
        <w:rPr>
          <w:rFonts w:ascii="Arial" w:hAnsi="Arial" w:cs="Arial"/>
          <w:sz w:val="20"/>
        </w:rPr>
        <w:t>years.</w:t>
      </w:r>
      <w:r w:rsidRPr="00973C18">
        <w:rPr>
          <w:rFonts w:ascii="Arial" w:hAnsi="Arial" w:cs="Arial"/>
          <w:spacing w:val="-6"/>
          <w:sz w:val="20"/>
        </w:rPr>
        <w:t xml:space="preserve"> </w:t>
      </w:r>
      <w:r w:rsidRPr="00973C18">
        <w:rPr>
          <w:rFonts w:ascii="Arial" w:hAnsi="Arial" w:cs="Arial"/>
          <w:sz w:val="20"/>
        </w:rPr>
        <w:t>However,</w:t>
      </w:r>
      <w:r w:rsidRPr="00973C18">
        <w:rPr>
          <w:rFonts w:ascii="Arial" w:hAnsi="Arial" w:cs="Arial"/>
          <w:spacing w:val="-3"/>
          <w:sz w:val="20"/>
        </w:rPr>
        <w:t xml:space="preserve"> </w:t>
      </w:r>
      <w:r w:rsidRPr="00973C18">
        <w:rPr>
          <w:rFonts w:ascii="Arial" w:hAnsi="Arial" w:cs="Arial"/>
          <w:sz w:val="20"/>
        </w:rPr>
        <w:t>ATOs</w:t>
      </w:r>
      <w:r w:rsidRPr="00973C18">
        <w:rPr>
          <w:rFonts w:ascii="Arial" w:hAnsi="Arial" w:cs="Arial"/>
          <w:spacing w:val="-5"/>
          <w:sz w:val="20"/>
        </w:rPr>
        <w:t xml:space="preserve"> </w:t>
      </w:r>
      <w:r w:rsidRPr="00973C18">
        <w:rPr>
          <w:rFonts w:ascii="Arial" w:hAnsi="Arial" w:cs="Arial"/>
          <w:sz w:val="20"/>
        </w:rPr>
        <w:t>or</w:t>
      </w:r>
      <w:r w:rsidRPr="00973C18">
        <w:rPr>
          <w:rFonts w:ascii="Arial" w:hAnsi="Arial" w:cs="Arial"/>
          <w:spacing w:val="-6"/>
          <w:sz w:val="20"/>
        </w:rPr>
        <w:t xml:space="preserve"> </w:t>
      </w:r>
      <w:r w:rsidRPr="00973C18">
        <w:rPr>
          <w:rFonts w:ascii="Arial" w:hAnsi="Arial" w:cs="Arial"/>
          <w:sz w:val="20"/>
        </w:rPr>
        <w:t>DTOs</w:t>
      </w:r>
      <w:r w:rsidRPr="00973C18">
        <w:rPr>
          <w:rFonts w:ascii="Arial" w:hAnsi="Arial" w:cs="Arial"/>
          <w:spacing w:val="-5"/>
          <w:sz w:val="20"/>
        </w:rPr>
        <w:t xml:space="preserve"> </w:t>
      </w:r>
      <w:r w:rsidRPr="00973C18">
        <w:rPr>
          <w:rFonts w:ascii="Arial" w:hAnsi="Arial" w:cs="Arial"/>
          <w:sz w:val="20"/>
        </w:rPr>
        <w:t>may</w:t>
      </w:r>
      <w:r w:rsidRPr="00973C18">
        <w:rPr>
          <w:rFonts w:ascii="Arial" w:hAnsi="Arial" w:cs="Arial"/>
          <w:spacing w:val="-3"/>
          <w:sz w:val="20"/>
        </w:rPr>
        <w:t xml:space="preserve"> </w:t>
      </w:r>
      <w:r w:rsidRPr="00973C18">
        <w:rPr>
          <w:rFonts w:ascii="Arial" w:hAnsi="Arial" w:cs="Arial"/>
          <w:sz w:val="20"/>
        </w:rPr>
        <w:t>decide</w:t>
      </w:r>
      <w:r w:rsidRPr="00973C18">
        <w:rPr>
          <w:rFonts w:ascii="Arial" w:hAnsi="Arial" w:cs="Arial"/>
          <w:spacing w:val="-5"/>
          <w:sz w:val="20"/>
        </w:rPr>
        <w:t xml:space="preserve"> </w:t>
      </w:r>
      <w:r w:rsidRPr="00973C18">
        <w:rPr>
          <w:rFonts w:ascii="Arial" w:hAnsi="Arial" w:cs="Arial"/>
          <w:sz w:val="20"/>
        </w:rPr>
        <w:t>to</w:t>
      </w:r>
      <w:r w:rsidRPr="00973C18">
        <w:rPr>
          <w:rFonts w:ascii="Arial" w:hAnsi="Arial" w:cs="Arial"/>
          <w:spacing w:val="-4"/>
          <w:sz w:val="20"/>
        </w:rPr>
        <w:t xml:space="preserve"> </w:t>
      </w:r>
      <w:r w:rsidRPr="00973C18">
        <w:rPr>
          <w:rFonts w:ascii="Arial" w:hAnsi="Arial" w:cs="Arial"/>
          <w:sz w:val="20"/>
        </w:rPr>
        <w:t>provide</w:t>
      </w:r>
      <w:r w:rsidRPr="00973C18">
        <w:rPr>
          <w:rFonts w:ascii="Arial" w:hAnsi="Arial" w:cs="Arial"/>
          <w:spacing w:val="-48"/>
          <w:sz w:val="20"/>
        </w:rPr>
        <w:t xml:space="preserve"> </w:t>
      </w:r>
      <w:r w:rsidRPr="00973C18">
        <w:rPr>
          <w:rFonts w:ascii="Arial" w:hAnsi="Arial" w:cs="Arial"/>
          <w:sz w:val="20"/>
        </w:rPr>
        <w:t>more frequent internal standardisation/refresher</w:t>
      </w:r>
      <w:r w:rsidRPr="00973C18">
        <w:rPr>
          <w:rFonts w:ascii="Arial" w:hAnsi="Arial" w:cs="Arial"/>
          <w:spacing w:val="-3"/>
          <w:sz w:val="20"/>
        </w:rPr>
        <w:t xml:space="preserve"> </w:t>
      </w:r>
      <w:r w:rsidRPr="00973C18">
        <w:rPr>
          <w:rFonts w:ascii="Arial" w:hAnsi="Arial" w:cs="Arial"/>
          <w:sz w:val="20"/>
        </w:rPr>
        <w:t>training</w:t>
      </w:r>
      <w:r w:rsidRPr="00973C18">
        <w:rPr>
          <w:rFonts w:ascii="Arial" w:hAnsi="Arial" w:cs="Arial"/>
          <w:spacing w:val="-1"/>
          <w:sz w:val="20"/>
        </w:rPr>
        <w:t xml:space="preserve"> </w:t>
      </w:r>
      <w:r w:rsidRPr="00973C18">
        <w:rPr>
          <w:rFonts w:ascii="Arial" w:hAnsi="Arial" w:cs="Arial"/>
          <w:sz w:val="20"/>
        </w:rPr>
        <w:t>to their</w:t>
      </w:r>
      <w:r w:rsidRPr="00973C18">
        <w:rPr>
          <w:rFonts w:ascii="Arial" w:hAnsi="Arial" w:cs="Arial"/>
          <w:spacing w:val="-3"/>
          <w:sz w:val="20"/>
        </w:rPr>
        <w:t xml:space="preserve"> </w:t>
      </w:r>
      <w:r w:rsidRPr="00973C18">
        <w:rPr>
          <w:rFonts w:ascii="Arial" w:hAnsi="Arial" w:cs="Arial"/>
          <w:sz w:val="20"/>
        </w:rPr>
        <w:t>instructors.</w:t>
      </w:r>
    </w:p>
    <w:p w14:paraId="003C0A4F" w14:textId="77777777" w:rsidR="00B54998" w:rsidRPr="00B54998" w:rsidRDefault="00B54998" w:rsidP="00B54998">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727" w:name="AMC1_BFCL.360(a)(2)_FI(B)_certificate_–_"/>
      <w:bookmarkStart w:id="728" w:name="_bookmark298"/>
      <w:bookmarkStart w:id="729" w:name="_Toc153137463"/>
      <w:bookmarkEnd w:id="727"/>
      <w:bookmarkEnd w:id="728"/>
      <w:r w:rsidRPr="00B54998">
        <w:rPr>
          <w:rFonts w:ascii="Arial" w:eastAsia="Times New Roman" w:hAnsi="Arial" w:cs="Times New Roman"/>
          <w:b/>
          <w:color w:val="FFFFFF"/>
          <w:sz w:val="24"/>
        </w:rPr>
        <w:t>AMC1 BFCL.360(a)(2) FI(B) certificate – Recency requirements</w:t>
      </w:r>
      <w:bookmarkEnd w:id="729"/>
    </w:p>
    <w:p w14:paraId="1A642F2D" w14:textId="77777777" w:rsidR="00B54998" w:rsidRPr="00B54998" w:rsidRDefault="00B54998" w:rsidP="00B54998">
      <w:pPr>
        <w:widowControl/>
        <w:autoSpaceDE/>
        <w:autoSpaceDN/>
        <w:spacing w:before="240" w:after="160" w:line="264" w:lineRule="auto"/>
        <w:jc w:val="both"/>
        <w:rPr>
          <w:rFonts w:ascii="Arial" w:eastAsiaTheme="minorHAnsi" w:hAnsi="Arial" w:cs="Arial"/>
          <w:b/>
          <w:bCs/>
          <w:sz w:val="20"/>
          <w:szCs w:val="20"/>
        </w:rPr>
      </w:pPr>
      <w:r w:rsidRPr="00B54998">
        <w:rPr>
          <w:rFonts w:ascii="Arial" w:eastAsiaTheme="minorHAnsi" w:hAnsi="Arial" w:cs="Arial"/>
          <w:b/>
          <w:bCs/>
          <w:sz w:val="20"/>
          <w:szCs w:val="20"/>
        </w:rPr>
        <w:t>INSTRUCTION FLIGHT UNDER SUPERVISION</w:t>
      </w:r>
    </w:p>
    <w:p w14:paraId="107286DA" w14:textId="77777777" w:rsidR="00B54998" w:rsidRPr="00B54998" w:rsidRDefault="00B54998" w:rsidP="00297373">
      <w:pPr>
        <w:numPr>
          <w:ilvl w:val="0"/>
          <w:numId w:val="268"/>
        </w:numPr>
        <w:tabs>
          <w:tab w:val="left" w:pos="707"/>
        </w:tabs>
        <w:spacing w:before="116" w:line="276" w:lineRule="auto"/>
        <w:ind w:right="68"/>
        <w:jc w:val="both"/>
        <w:rPr>
          <w:rFonts w:ascii="Arial" w:hAnsi="Arial" w:cs="Arial"/>
          <w:sz w:val="20"/>
        </w:rPr>
      </w:pPr>
      <w:r w:rsidRPr="00B54998">
        <w:rPr>
          <w:rFonts w:ascii="Arial" w:hAnsi="Arial" w:cs="Arial"/>
          <w:sz w:val="20"/>
        </w:rPr>
        <w:t>The aim of the instruction flight under supervision as per point BFCL.360(a)(2) is to confirm</w:t>
      </w:r>
      <w:r w:rsidRPr="00B54998">
        <w:rPr>
          <w:rFonts w:ascii="Arial" w:hAnsi="Arial" w:cs="Arial"/>
          <w:spacing w:val="1"/>
          <w:sz w:val="20"/>
        </w:rPr>
        <w:t xml:space="preserve"> </w:t>
      </w:r>
      <w:r w:rsidRPr="00B54998">
        <w:rPr>
          <w:rFonts w:ascii="Arial" w:hAnsi="Arial" w:cs="Arial"/>
          <w:sz w:val="20"/>
        </w:rPr>
        <w:t>continued</w:t>
      </w:r>
      <w:r w:rsidRPr="00B54998">
        <w:rPr>
          <w:rFonts w:ascii="Arial" w:hAnsi="Arial" w:cs="Arial"/>
          <w:spacing w:val="-1"/>
          <w:sz w:val="20"/>
        </w:rPr>
        <w:t xml:space="preserve"> </w:t>
      </w:r>
      <w:r w:rsidRPr="00B54998">
        <w:rPr>
          <w:rFonts w:ascii="Arial" w:hAnsi="Arial" w:cs="Arial"/>
          <w:sz w:val="20"/>
        </w:rPr>
        <w:t>instructor</w:t>
      </w:r>
      <w:r w:rsidRPr="00B54998">
        <w:rPr>
          <w:rFonts w:ascii="Arial" w:hAnsi="Arial" w:cs="Arial"/>
          <w:spacing w:val="-3"/>
          <w:sz w:val="20"/>
        </w:rPr>
        <w:t xml:space="preserve"> </w:t>
      </w:r>
      <w:r w:rsidRPr="00B54998">
        <w:rPr>
          <w:rFonts w:ascii="Arial" w:hAnsi="Arial" w:cs="Arial"/>
          <w:sz w:val="20"/>
        </w:rPr>
        <w:t>competency.</w:t>
      </w:r>
    </w:p>
    <w:p w14:paraId="14AC0F34" w14:textId="77777777" w:rsidR="00B54998" w:rsidRPr="00B54998" w:rsidRDefault="00B54998" w:rsidP="00297373">
      <w:pPr>
        <w:numPr>
          <w:ilvl w:val="0"/>
          <w:numId w:val="268"/>
        </w:numPr>
        <w:tabs>
          <w:tab w:val="left" w:pos="707"/>
        </w:tabs>
        <w:spacing w:before="121" w:line="276" w:lineRule="auto"/>
        <w:ind w:right="68"/>
        <w:jc w:val="both"/>
        <w:rPr>
          <w:rFonts w:ascii="Arial" w:hAnsi="Arial" w:cs="Arial"/>
          <w:sz w:val="20"/>
        </w:rPr>
      </w:pPr>
      <w:r w:rsidRPr="00B54998">
        <w:rPr>
          <w:rFonts w:ascii="Arial" w:hAnsi="Arial" w:cs="Arial"/>
          <w:sz w:val="20"/>
        </w:rPr>
        <w:t>The instruction flight under supervision should be arranged to ensure that the FI(B) being</w:t>
      </w:r>
      <w:r w:rsidRPr="00B54998">
        <w:rPr>
          <w:rFonts w:ascii="Arial" w:hAnsi="Arial" w:cs="Arial"/>
          <w:spacing w:val="1"/>
          <w:sz w:val="20"/>
        </w:rPr>
        <w:t xml:space="preserve"> </w:t>
      </w:r>
      <w:r w:rsidRPr="00B54998">
        <w:rPr>
          <w:rFonts w:ascii="Arial" w:hAnsi="Arial" w:cs="Arial"/>
          <w:sz w:val="20"/>
        </w:rPr>
        <w:t>supervised demonstrates, on the ground and during at least one flight, knowledge, skills and</w:t>
      </w:r>
      <w:r w:rsidRPr="00B54998">
        <w:rPr>
          <w:rFonts w:ascii="Arial" w:hAnsi="Arial" w:cs="Arial"/>
          <w:spacing w:val="1"/>
          <w:sz w:val="20"/>
        </w:rPr>
        <w:t xml:space="preserve"> </w:t>
      </w:r>
      <w:r w:rsidRPr="00B54998">
        <w:rPr>
          <w:rFonts w:ascii="Arial" w:hAnsi="Arial" w:cs="Arial"/>
          <w:sz w:val="20"/>
        </w:rPr>
        <w:t>attitudes relevant</w:t>
      </w:r>
      <w:r w:rsidRPr="00B54998">
        <w:rPr>
          <w:rFonts w:ascii="Arial" w:hAnsi="Arial" w:cs="Arial"/>
          <w:spacing w:val="-2"/>
          <w:sz w:val="20"/>
        </w:rPr>
        <w:t xml:space="preserve"> </w:t>
      </w:r>
      <w:r w:rsidRPr="00B54998">
        <w:rPr>
          <w:rFonts w:ascii="Arial" w:hAnsi="Arial" w:cs="Arial"/>
          <w:sz w:val="20"/>
        </w:rPr>
        <w:t>to</w:t>
      </w:r>
      <w:r w:rsidRPr="00B54998">
        <w:rPr>
          <w:rFonts w:ascii="Arial" w:hAnsi="Arial" w:cs="Arial"/>
          <w:spacing w:val="-1"/>
          <w:sz w:val="20"/>
        </w:rPr>
        <w:t xml:space="preserve"> </w:t>
      </w:r>
      <w:r w:rsidRPr="00B54998">
        <w:rPr>
          <w:rFonts w:ascii="Arial" w:hAnsi="Arial" w:cs="Arial"/>
          <w:sz w:val="20"/>
        </w:rPr>
        <w:t>the FI(B) task</w:t>
      </w:r>
      <w:r w:rsidRPr="00B54998">
        <w:rPr>
          <w:rFonts w:ascii="Arial" w:hAnsi="Arial" w:cs="Arial"/>
          <w:spacing w:val="-2"/>
          <w:sz w:val="20"/>
        </w:rPr>
        <w:t xml:space="preserve"> </w:t>
      </w:r>
      <w:r w:rsidRPr="00B54998">
        <w:rPr>
          <w:rFonts w:ascii="Arial" w:hAnsi="Arial" w:cs="Arial"/>
          <w:sz w:val="20"/>
        </w:rPr>
        <w:t>including</w:t>
      </w:r>
      <w:r w:rsidRPr="00B54998">
        <w:rPr>
          <w:rFonts w:ascii="Arial" w:hAnsi="Arial" w:cs="Arial"/>
          <w:spacing w:val="-1"/>
          <w:sz w:val="20"/>
        </w:rPr>
        <w:t xml:space="preserve"> </w:t>
      </w:r>
      <w:r w:rsidRPr="00B54998">
        <w:rPr>
          <w:rFonts w:ascii="Arial" w:hAnsi="Arial" w:cs="Arial"/>
          <w:sz w:val="20"/>
        </w:rPr>
        <w:t>at least</w:t>
      </w:r>
      <w:r w:rsidRPr="00B54998">
        <w:rPr>
          <w:rFonts w:ascii="Arial" w:hAnsi="Arial" w:cs="Arial"/>
          <w:spacing w:val="1"/>
          <w:sz w:val="20"/>
        </w:rPr>
        <w:t xml:space="preserve"> </w:t>
      </w:r>
      <w:r w:rsidRPr="00B54998">
        <w:rPr>
          <w:rFonts w:ascii="Arial" w:hAnsi="Arial" w:cs="Arial"/>
          <w:sz w:val="20"/>
        </w:rPr>
        <w:t>all</w:t>
      </w:r>
      <w:r w:rsidRPr="00B54998">
        <w:rPr>
          <w:rFonts w:ascii="Arial" w:hAnsi="Arial" w:cs="Arial"/>
          <w:spacing w:val="-4"/>
          <w:sz w:val="20"/>
        </w:rPr>
        <w:t xml:space="preserve"> </w:t>
      </w:r>
      <w:r w:rsidRPr="00B54998">
        <w:rPr>
          <w:rFonts w:ascii="Arial" w:hAnsi="Arial" w:cs="Arial"/>
          <w:sz w:val="20"/>
        </w:rPr>
        <w:t>of</w:t>
      </w:r>
      <w:r w:rsidRPr="00B54998">
        <w:rPr>
          <w:rFonts w:ascii="Arial" w:hAnsi="Arial" w:cs="Arial"/>
          <w:spacing w:val="-2"/>
          <w:sz w:val="20"/>
        </w:rPr>
        <w:t xml:space="preserve"> </w:t>
      </w:r>
      <w:r w:rsidRPr="00B54998">
        <w:rPr>
          <w:rFonts w:ascii="Arial" w:hAnsi="Arial" w:cs="Arial"/>
          <w:sz w:val="20"/>
        </w:rPr>
        <w:t>the</w:t>
      </w:r>
      <w:r w:rsidRPr="00B54998">
        <w:rPr>
          <w:rFonts w:ascii="Arial" w:hAnsi="Arial" w:cs="Arial"/>
          <w:spacing w:val="-1"/>
          <w:sz w:val="20"/>
        </w:rPr>
        <w:t xml:space="preserve"> </w:t>
      </w:r>
      <w:r w:rsidRPr="00B54998">
        <w:rPr>
          <w:rFonts w:ascii="Arial" w:hAnsi="Arial" w:cs="Arial"/>
          <w:sz w:val="20"/>
        </w:rPr>
        <w:t>following:</w:t>
      </w:r>
    </w:p>
    <w:p w14:paraId="27CFF7CB" w14:textId="77777777" w:rsidR="00B54998" w:rsidRPr="00B54998" w:rsidRDefault="00B54998" w:rsidP="00297373">
      <w:pPr>
        <w:numPr>
          <w:ilvl w:val="1"/>
          <w:numId w:val="268"/>
        </w:numPr>
        <w:tabs>
          <w:tab w:val="left" w:pos="1273"/>
          <w:tab w:val="left" w:pos="1274"/>
        </w:tabs>
        <w:spacing w:before="121" w:line="276" w:lineRule="auto"/>
        <w:ind w:right="68" w:hanging="568"/>
        <w:jc w:val="both"/>
        <w:rPr>
          <w:rFonts w:ascii="Arial" w:hAnsi="Arial" w:cs="Arial"/>
          <w:sz w:val="20"/>
        </w:rPr>
      </w:pPr>
      <w:r w:rsidRPr="00B54998">
        <w:rPr>
          <w:rFonts w:ascii="Arial" w:hAnsi="Arial" w:cs="Arial"/>
          <w:sz w:val="20"/>
        </w:rPr>
        <w:t>technical</w:t>
      </w:r>
      <w:r w:rsidRPr="00B54998">
        <w:rPr>
          <w:rFonts w:ascii="Arial" w:hAnsi="Arial" w:cs="Arial"/>
          <w:spacing w:val="-2"/>
          <w:sz w:val="20"/>
        </w:rPr>
        <w:t xml:space="preserve"> </w:t>
      </w:r>
      <w:r w:rsidRPr="00B54998">
        <w:rPr>
          <w:rFonts w:ascii="Arial" w:hAnsi="Arial" w:cs="Arial"/>
          <w:sz w:val="20"/>
        </w:rPr>
        <w:t>knowledge;</w:t>
      </w:r>
    </w:p>
    <w:p w14:paraId="7061F1BA" w14:textId="77777777" w:rsidR="00B54998" w:rsidRPr="00B54998" w:rsidRDefault="00B54998" w:rsidP="00297373">
      <w:pPr>
        <w:numPr>
          <w:ilvl w:val="1"/>
          <w:numId w:val="268"/>
        </w:numPr>
        <w:tabs>
          <w:tab w:val="left" w:pos="1273"/>
          <w:tab w:val="left" w:pos="1274"/>
        </w:tabs>
        <w:spacing w:before="120" w:line="276" w:lineRule="auto"/>
        <w:ind w:right="68" w:hanging="568"/>
        <w:jc w:val="both"/>
        <w:rPr>
          <w:rFonts w:ascii="Arial" w:hAnsi="Arial" w:cs="Arial"/>
          <w:sz w:val="20"/>
        </w:rPr>
      </w:pPr>
      <w:r w:rsidRPr="00B54998">
        <w:rPr>
          <w:rFonts w:ascii="Arial" w:hAnsi="Arial" w:cs="Arial"/>
          <w:sz w:val="20"/>
        </w:rPr>
        <w:t>ability</w:t>
      </w:r>
      <w:r w:rsidRPr="00B54998">
        <w:rPr>
          <w:rFonts w:ascii="Arial" w:hAnsi="Arial" w:cs="Arial"/>
          <w:spacing w:val="-1"/>
          <w:sz w:val="20"/>
        </w:rPr>
        <w:t xml:space="preserve"> </w:t>
      </w:r>
      <w:r w:rsidRPr="00B54998">
        <w:rPr>
          <w:rFonts w:ascii="Arial" w:hAnsi="Arial" w:cs="Arial"/>
          <w:sz w:val="20"/>
        </w:rPr>
        <w:t>to</w:t>
      </w:r>
      <w:r w:rsidRPr="00B54998">
        <w:rPr>
          <w:rFonts w:ascii="Arial" w:hAnsi="Arial" w:cs="Arial"/>
          <w:spacing w:val="1"/>
          <w:sz w:val="20"/>
        </w:rPr>
        <w:t xml:space="preserve"> </w:t>
      </w:r>
      <w:r w:rsidRPr="00B54998">
        <w:rPr>
          <w:rFonts w:ascii="Arial" w:hAnsi="Arial" w:cs="Arial"/>
          <w:sz w:val="20"/>
        </w:rPr>
        <w:t>teach a</w:t>
      </w:r>
      <w:r w:rsidRPr="00B54998">
        <w:rPr>
          <w:rFonts w:ascii="Arial" w:hAnsi="Arial" w:cs="Arial"/>
          <w:spacing w:val="-3"/>
          <w:sz w:val="20"/>
        </w:rPr>
        <w:t xml:space="preserve"> </w:t>
      </w:r>
      <w:r w:rsidRPr="00B54998">
        <w:rPr>
          <w:rFonts w:ascii="Arial" w:hAnsi="Arial" w:cs="Arial"/>
          <w:sz w:val="20"/>
        </w:rPr>
        <w:t>sample</w:t>
      </w:r>
      <w:r w:rsidRPr="00B54998">
        <w:rPr>
          <w:rFonts w:ascii="Arial" w:hAnsi="Arial" w:cs="Arial"/>
          <w:spacing w:val="-2"/>
          <w:sz w:val="20"/>
        </w:rPr>
        <w:t xml:space="preserve"> </w:t>
      </w:r>
      <w:r w:rsidRPr="00B54998">
        <w:rPr>
          <w:rFonts w:ascii="Arial" w:hAnsi="Arial" w:cs="Arial"/>
          <w:sz w:val="20"/>
        </w:rPr>
        <w:t>of</w:t>
      </w:r>
      <w:r w:rsidRPr="00B54998">
        <w:rPr>
          <w:rFonts w:ascii="Arial" w:hAnsi="Arial" w:cs="Arial"/>
          <w:spacing w:val="-3"/>
          <w:sz w:val="20"/>
        </w:rPr>
        <w:t xml:space="preserve"> </w:t>
      </w:r>
      <w:r w:rsidRPr="00B54998">
        <w:rPr>
          <w:rFonts w:ascii="Arial" w:hAnsi="Arial" w:cs="Arial"/>
          <w:sz w:val="20"/>
        </w:rPr>
        <w:t>the</w:t>
      </w:r>
      <w:r w:rsidRPr="00B54998">
        <w:rPr>
          <w:rFonts w:ascii="Arial" w:hAnsi="Arial" w:cs="Arial"/>
          <w:spacing w:val="1"/>
          <w:sz w:val="20"/>
        </w:rPr>
        <w:t xml:space="preserve"> </w:t>
      </w:r>
      <w:r w:rsidRPr="00B54998">
        <w:rPr>
          <w:rFonts w:ascii="Arial" w:hAnsi="Arial" w:cs="Arial"/>
          <w:sz w:val="20"/>
        </w:rPr>
        <w:t>air</w:t>
      </w:r>
      <w:r w:rsidRPr="00B54998">
        <w:rPr>
          <w:rFonts w:ascii="Arial" w:hAnsi="Arial" w:cs="Arial"/>
          <w:spacing w:val="-3"/>
          <w:sz w:val="20"/>
        </w:rPr>
        <w:t xml:space="preserve"> </w:t>
      </w:r>
      <w:r w:rsidRPr="00B54998">
        <w:rPr>
          <w:rFonts w:ascii="Arial" w:hAnsi="Arial" w:cs="Arial"/>
          <w:sz w:val="20"/>
        </w:rPr>
        <w:t>exercises</w:t>
      </w:r>
      <w:r w:rsidRPr="00B54998">
        <w:rPr>
          <w:rFonts w:ascii="Arial" w:hAnsi="Arial" w:cs="Arial"/>
          <w:spacing w:val="-2"/>
          <w:sz w:val="20"/>
        </w:rPr>
        <w:t xml:space="preserve"> </w:t>
      </w:r>
      <w:r w:rsidRPr="00B54998">
        <w:rPr>
          <w:rFonts w:ascii="Arial" w:hAnsi="Arial" w:cs="Arial"/>
          <w:sz w:val="20"/>
        </w:rPr>
        <w:t>from</w:t>
      </w:r>
      <w:r w:rsidRPr="00B54998">
        <w:rPr>
          <w:rFonts w:ascii="Arial" w:hAnsi="Arial" w:cs="Arial"/>
          <w:spacing w:val="-1"/>
          <w:sz w:val="20"/>
        </w:rPr>
        <w:t xml:space="preserve"> </w:t>
      </w:r>
      <w:r w:rsidRPr="00B54998">
        <w:rPr>
          <w:rFonts w:ascii="Arial" w:hAnsi="Arial" w:cs="Arial"/>
          <w:sz w:val="20"/>
        </w:rPr>
        <w:t>the</w:t>
      </w:r>
      <w:r w:rsidRPr="00B54998">
        <w:rPr>
          <w:rFonts w:ascii="Arial" w:hAnsi="Arial" w:cs="Arial"/>
          <w:spacing w:val="-2"/>
          <w:sz w:val="20"/>
        </w:rPr>
        <w:t xml:space="preserve"> </w:t>
      </w:r>
      <w:r w:rsidRPr="00B54998">
        <w:rPr>
          <w:rFonts w:ascii="Arial" w:hAnsi="Arial" w:cs="Arial"/>
          <w:sz w:val="20"/>
        </w:rPr>
        <w:t>BPL</w:t>
      </w:r>
      <w:r w:rsidRPr="00B54998">
        <w:rPr>
          <w:rFonts w:ascii="Arial" w:hAnsi="Arial" w:cs="Arial"/>
          <w:spacing w:val="-2"/>
          <w:sz w:val="20"/>
        </w:rPr>
        <w:t xml:space="preserve"> </w:t>
      </w:r>
      <w:r w:rsidRPr="00B54998">
        <w:rPr>
          <w:rFonts w:ascii="Arial" w:hAnsi="Arial" w:cs="Arial"/>
          <w:sz w:val="20"/>
        </w:rPr>
        <w:t>training</w:t>
      </w:r>
      <w:r w:rsidRPr="00B54998">
        <w:rPr>
          <w:rFonts w:ascii="Arial" w:hAnsi="Arial" w:cs="Arial"/>
          <w:spacing w:val="-1"/>
          <w:sz w:val="20"/>
        </w:rPr>
        <w:t xml:space="preserve"> </w:t>
      </w:r>
      <w:r w:rsidRPr="00B54998">
        <w:rPr>
          <w:rFonts w:ascii="Arial" w:hAnsi="Arial" w:cs="Arial"/>
          <w:sz w:val="20"/>
        </w:rPr>
        <w:t>course;</w:t>
      </w:r>
    </w:p>
    <w:p w14:paraId="78836DD2" w14:textId="77777777" w:rsidR="00B54998" w:rsidRPr="00B54998" w:rsidRDefault="00B54998" w:rsidP="00297373">
      <w:pPr>
        <w:numPr>
          <w:ilvl w:val="1"/>
          <w:numId w:val="268"/>
        </w:numPr>
        <w:tabs>
          <w:tab w:val="left" w:pos="1273"/>
          <w:tab w:val="left" w:pos="1274"/>
        </w:tabs>
        <w:spacing w:before="120" w:line="276" w:lineRule="auto"/>
        <w:ind w:right="68" w:hanging="568"/>
        <w:jc w:val="both"/>
        <w:rPr>
          <w:rFonts w:ascii="Arial" w:hAnsi="Arial" w:cs="Arial"/>
          <w:sz w:val="20"/>
        </w:rPr>
      </w:pPr>
      <w:r w:rsidRPr="00B54998">
        <w:rPr>
          <w:rFonts w:ascii="Arial" w:hAnsi="Arial" w:cs="Arial"/>
          <w:sz w:val="20"/>
        </w:rPr>
        <w:t>a</w:t>
      </w:r>
      <w:r w:rsidRPr="00B54998">
        <w:rPr>
          <w:rFonts w:ascii="Arial" w:hAnsi="Arial" w:cs="Arial"/>
          <w:spacing w:val="-2"/>
          <w:sz w:val="20"/>
        </w:rPr>
        <w:t xml:space="preserve"> </w:t>
      </w:r>
      <w:r w:rsidRPr="00B54998">
        <w:rPr>
          <w:rFonts w:ascii="Arial" w:hAnsi="Arial" w:cs="Arial"/>
          <w:sz w:val="20"/>
        </w:rPr>
        <w:t>sufficiently</w:t>
      </w:r>
      <w:r w:rsidRPr="00B54998">
        <w:rPr>
          <w:rFonts w:ascii="Arial" w:hAnsi="Arial" w:cs="Arial"/>
          <w:spacing w:val="-1"/>
          <w:sz w:val="20"/>
        </w:rPr>
        <w:t xml:space="preserve"> </w:t>
      </w:r>
      <w:r w:rsidRPr="00B54998">
        <w:rPr>
          <w:rFonts w:ascii="Arial" w:hAnsi="Arial" w:cs="Arial"/>
          <w:sz w:val="20"/>
        </w:rPr>
        <w:t>high</w:t>
      </w:r>
      <w:r w:rsidRPr="00B54998">
        <w:rPr>
          <w:rFonts w:ascii="Arial" w:hAnsi="Arial" w:cs="Arial"/>
          <w:spacing w:val="-3"/>
          <w:sz w:val="20"/>
        </w:rPr>
        <w:t xml:space="preserve"> </w:t>
      </w:r>
      <w:r w:rsidRPr="00B54998">
        <w:rPr>
          <w:rFonts w:ascii="Arial" w:hAnsi="Arial" w:cs="Arial"/>
          <w:sz w:val="20"/>
        </w:rPr>
        <w:t>standard</w:t>
      </w:r>
      <w:r w:rsidRPr="00B54998">
        <w:rPr>
          <w:rFonts w:ascii="Arial" w:hAnsi="Arial" w:cs="Arial"/>
          <w:spacing w:val="-5"/>
          <w:sz w:val="20"/>
        </w:rPr>
        <w:t xml:space="preserve"> </w:t>
      </w:r>
      <w:r w:rsidRPr="00B54998">
        <w:rPr>
          <w:rFonts w:ascii="Arial" w:hAnsi="Arial" w:cs="Arial"/>
          <w:sz w:val="20"/>
        </w:rPr>
        <w:t>of</w:t>
      </w:r>
      <w:r w:rsidRPr="00B54998">
        <w:rPr>
          <w:rFonts w:ascii="Arial" w:hAnsi="Arial" w:cs="Arial"/>
          <w:spacing w:val="-1"/>
          <w:sz w:val="20"/>
        </w:rPr>
        <w:t xml:space="preserve"> </w:t>
      </w:r>
      <w:r w:rsidRPr="00B54998">
        <w:rPr>
          <w:rFonts w:ascii="Arial" w:hAnsi="Arial" w:cs="Arial"/>
          <w:sz w:val="20"/>
        </w:rPr>
        <w:t>flying;</w:t>
      </w:r>
    </w:p>
    <w:p w14:paraId="6518F7DD" w14:textId="77777777" w:rsidR="00B54998" w:rsidRPr="00B54998" w:rsidRDefault="00B54998" w:rsidP="00297373">
      <w:pPr>
        <w:numPr>
          <w:ilvl w:val="1"/>
          <w:numId w:val="268"/>
        </w:numPr>
        <w:tabs>
          <w:tab w:val="left" w:pos="1273"/>
          <w:tab w:val="left" w:pos="1274"/>
        </w:tabs>
        <w:spacing w:before="118" w:line="276" w:lineRule="auto"/>
        <w:ind w:right="68" w:hanging="568"/>
        <w:jc w:val="both"/>
        <w:rPr>
          <w:rFonts w:ascii="Arial" w:hAnsi="Arial" w:cs="Arial"/>
          <w:sz w:val="20"/>
        </w:rPr>
      </w:pPr>
      <w:r w:rsidRPr="00B54998">
        <w:rPr>
          <w:rFonts w:ascii="Arial" w:hAnsi="Arial" w:cs="Arial"/>
          <w:sz w:val="20"/>
        </w:rPr>
        <w:lastRenderedPageBreak/>
        <w:t>application</w:t>
      </w:r>
      <w:r w:rsidRPr="00B54998">
        <w:rPr>
          <w:rFonts w:ascii="Arial" w:hAnsi="Arial" w:cs="Arial"/>
          <w:spacing w:val="-4"/>
          <w:sz w:val="20"/>
        </w:rPr>
        <w:t xml:space="preserve"> </w:t>
      </w:r>
      <w:r w:rsidRPr="00B54998">
        <w:rPr>
          <w:rFonts w:ascii="Arial" w:hAnsi="Arial" w:cs="Arial"/>
          <w:sz w:val="20"/>
        </w:rPr>
        <w:t>of instructing</w:t>
      </w:r>
      <w:r w:rsidRPr="00B54998">
        <w:rPr>
          <w:rFonts w:ascii="Arial" w:hAnsi="Arial" w:cs="Arial"/>
          <w:spacing w:val="-2"/>
          <w:sz w:val="20"/>
        </w:rPr>
        <w:t xml:space="preserve"> </w:t>
      </w:r>
      <w:r w:rsidRPr="00B54998">
        <w:rPr>
          <w:rFonts w:ascii="Arial" w:hAnsi="Arial" w:cs="Arial"/>
          <w:sz w:val="20"/>
        </w:rPr>
        <w:t>principles; and</w:t>
      </w:r>
    </w:p>
    <w:p w14:paraId="09E9CCC1" w14:textId="77777777" w:rsidR="00B54998" w:rsidRPr="00B54998" w:rsidRDefault="00B54998" w:rsidP="00297373">
      <w:pPr>
        <w:numPr>
          <w:ilvl w:val="1"/>
          <w:numId w:val="268"/>
        </w:numPr>
        <w:tabs>
          <w:tab w:val="left" w:pos="1273"/>
          <w:tab w:val="left" w:pos="1274"/>
        </w:tabs>
        <w:spacing w:before="120" w:line="276" w:lineRule="auto"/>
        <w:ind w:right="68" w:hanging="568"/>
        <w:jc w:val="both"/>
        <w:rPr>
          <w:rFonts w:ascii="Arial" w:hAnsi="Arial" w:cs="Arial"/>
          <w:sz w:val="20"/>
        </w:rPr>
      </w:pPr>
      <w:r w:rsidRPr="00B54998">
        <w:rPr>
          <w:rFonts w:ascii="Arial" w:hAnsi="Arial" w:cs="Arial"/>
          <w:sz w:val="20"/>
        </w:rPr>
        <w:t>application</w:t>
      </w:r>
      <w:r w:rsidRPr="00B54998">
        <w:rPr>
          <w:rFonts w:ascii="Arial" w:hAnsi="Arial" w:cs="Arial"/>
          <w:spacing w:val="-3"/>
          <w:sz w:val="20"/>
        </w:rPr>
        <w:t xml:space="preserve"> </w:t>
      </w:r>
      <w:r w:rsidRPr="00B54998">
        <w:rPr>
          <w:rFonts w:ascii="Arial" w:hAnsi="Arial" w:cs="Arial"/>
          <w:sz w:val="20"/>
        </w:rPr>
        <w:t>of</w:t>
      </w:r>
      <w:r w:rsidRPr="00B54998">
        <w:rPr>
          <w:rFonts w:ascii="Arial" w:hAnsi="Arial" w:cs="Arial"/>
          <w:spacing w:val="1"/>
          <w:sz w:val="20"/>
        </w:rPr>
        <w:t xml:space="preserve"> </w:t>
      </w:r>
      <w:r w:rsidRPr="00B54998">
        <w:rPr>
          <w:rFonts w:ascii="Arial" w:hAnsi="Arial" w:cs="Arial"/>
          <w:sz w:val="20"/>
        </w:rPr>
        <w:t>TEM.</w:t>
      </w:r>
    </w:p>
    <w:p w14:paraId="6960B811" w14:textId="77777777" w:rsidR="00B54998" w:rsidRPr="00B54998" w:rsidRDefault="00B54998" w:rsidP="00297373">
      <w:pPr>
        <w:numPr>
          <w:ilvl w:val="0"/>
          <w:numId w:val="268"/>
        </w:numPr>
        <w:tabs>
          <w:tab w:val="left" w:pos="706"/>
          <w:tab w:val="left" w:pos="707"/>
        </w:tabs>
        <w:spacing w:before="121" w:line="276" w:lineRule="auto"/>
        <w:ind w:right="68"/>
        <w:jc w:val="both"/>
        <w:rPr>
          <w:rFonts w:ascii="Arial" w:hAnsi="Arial" w:cs="Arial"/>
          <w:sz w:val="20"/>
        </w:rPr>
      </w:pPr>
      <w:r w:rsidRPr="00B54998">
        <w:rPr>
          <w:rFonts w:ascii="Arial" w:hAnsi="Arial" w:cs="Arial"/>
          <w:sz w:val="20"/>
        </w:rPr>
        <w:t>The</w:t>
      </w:r>
      <w:r w:rsidRPr="00B54998">
        <w:rPr>
          <w:rFonts w:ascii="Arial" w:hAnsi="Arial" w:cs="Arial"/>
          <w:spacing w:val="33"/>
          <w:sz w:val="20"/>
        </w:rPr>
        <w:t xml:space="preserve"> </w:t>
      </w:r>
      <w:r w:rsidRPr="00B54998">
        <w:rPr>
          <w:rFonts w:ascii="Arial" w:hAnsi="Arial" w:cs="Arial"/>
          <w:sz w:val="20"/>
        </w:rPr>
        <w:t>supervising</w:t>
      </w:r>
      <w:r w:rsidRPr="00B54998">
        <w:rPr>
          <w:rFonts w:ascii="Arial" w:hAnsi="Arial" w:cs="Arial"/>
          <w:spacing w:val="32"/>
          <w:sz w:val="20"/>
        </w:rPr>
        <w:t xml:space="preserve"> </w:t>
      </w:r>
      <w:r w:rsidRPr="00B54998">
        <w:rPr>
          <w:rFonts w:ascii="Arial" w:hAnsi="Arial" w:cs="Arial"/>
          <w:sz w:val="20"/>
        </w:rPr>
        <w:t>instructor</w:t>
      </w:r>
      <w:r w:rsidRPr="00B54998">
        <w:rPr>
          <w:rFonts w:ascii="Arial" w:hAnsi="Arial" w:cs="Arial"/>
          <w:spacing w:val="32"/>
          <w:sz w:val="20"/>
        </w:rPr>
        <w:t xml:space="preserve"> </w:t>
      </w:r>
      <w:r w:rsidRPr="00B54998">
        <w:rPr>
          <w:rFonts w:ascii="Arial" w:hAnsi="Arial" w:cs="Arial"/>
          <w:sz w:val="20"/>
        </w:rPr>
        <w:t>should</w:t>
      </w:r>
      <w:r w:rsidRPr="00B54998">
        <w:rPr>
          <w:rFonts w:ascii="Arial" w:hAnsi="Arial" w:cs="Arial"/>
          <w:spacing w:val="29"/>
          <w:sz w:val="20"/>
        </w:rPr>
        <w:t xml:space="preserve"> </w:t>
      </w:r>
      <w:r w:rsidRPr="00B54998">
        <w:rPr>
          <w:rFonts w:ascii="Arial" w:hAnsi="Arial" w:cs="Arial"/>
          <w:sz w:val="20"/>
        </w:rPr>
        <w:t>enter</w:t>
      </w:r>
      <w:r w:rsidRPr="00B54998">
        <w:rPr>
          <w:rFonts w:ascii="Arial" w:hAnsi="Arial" w:cs="Arial"/>
          <w:spacing w:val="31"/>
          <w:sz w:val="20"/>
        </w:rPr>
        <w:t xml:space="preserve"> </w:t>
      </w:r>
      <w:r w:rsidRPr="00B54998">
        <w:rPr>
          <w:rFonts w:ascii="Arial" w:hAnsi="Arial" w:cs="Arial"/>
          <w:sz w:val="20"/>
        </w:rPr>
        <w:t>the</w:t>
      </w:r>
      <w:r w:rsidRPr="00B54998">
        <w:rPr>
          <w:rFonts w:ascii="Arial" w:hAnsi="Arial" w:cs="Arial"/>
          <w:spacing w:val="30"/>
          <w:sz w:val="20"/>
        </w:rPr>
        <w:t xml:space="preserve"> </w:t>
      </w:r>
      <w:r w:rsidRPr="00B54998">
        <w:rPr>
          <w:rFonts w:ascii="Arial" w:hAnsi="Arial" w:cs="Arial"/>
          <w:sz w:val="20"/>
        </w:rPr>
        <w:t>successful</w:t>
      </w:r>
      <w:r w:rsidRPr="00B54998">
        <w:rPr>
          <w:rFonts w:ascii="Arial" w:hAnsi="Arial" w:cs="Arial"/>
          <w:spacing w:val="32"/>
          <w:sz w:val="20"/>
        </w:rPr>
        <w:t xml:space="preserve"> </w:t>
      </w:r>
      <w:r w:rsidRPr="00B54998">
        <w:rPr>
          <w:rFonts w:ascii="Arial" w:hAnsi="Arial" w:cs="Arial"/>
          <w:sz w:val="20"/>
        </w:rPr>
        <w:t>completion</w:t>
      </w:r>
      <w:r w:rsidRPr="00B54998">
        <w:rPr>
          <w:rFonts w:ascii="Arial" w:hAnsi="Arial" w:cs="Arial"/>
          <w:spacing w:val="29"/>
          <w:sz w:val="20"/>
        </w:rPr>
        <w:t xml:space="preserve"> </w:t>
      </w:r>
      <w:r w:rsidRPr="00B54998">
        <w:rPr>
          <w:rFonts w:ascii="Arial" w:hAnsi="Arial" w:cs="Arial"/>
          <w:sz w:val="20"/>
        </w:rPr>
        <w:t>of</w:t>
      </w:r>
      <w:r w:rsidRPr="00B54998">
        <w:rPr>
          <w:rFonts w:ascii="Arial" w:hAnsi="Arial" w:cs="Arial"/>
          <w:spacing w:val="30"/>
          <w:sz w:val="20"/>
        </w:rPr>
        <w:t xml:space="preserve"> </w:t>
      </w:r>
      <w:r w:rsidRPr="00B54998">
        <w:rPr>
          <w:rFonts w:ascii="Arial" w:hAnsi="Arial" w:cs="Arial"/>
          <w:sz w:val="20"/>
        </w:rPr>
        <w:t>the</w:t>
      </w:r>
      <w:r w:rsidRPr="00B54998">
        <w:rPr>
          <w:rFonts w:ascii="Arial" w:hAnsi="Arial" w:cs="Arial"/>
          <w:spacing w:val="30"/>
          <w:sz w:val="20"/>
        </w:rPr>
        <w:t xml:space="preserve"> </w:t>
      </w:r>
      <w:r w:rsidRPr="00B54998">
        <w:rPr>
          <w:rFonts w:ascii="Arial" w:hAnsi="Arial" w:cs="Arial"/>
          <w:sz w:val="20"/>
        </w:rPr>
        <w:t>flight</w:t>
      </w:r>
      <w:r w:rsidRPr="00B54998">
        <w:rPr>
          <w:rFonts w:ascii="Arial" w:hAnsi="Arial" w:cs="Arial"/>
          <w:spacing w:val="33"/>
          <w:sz w:val="20"/>
        </w:rPr>
        <w:t xml:space="preserve"> </w:t>
      </w:r>
      <w:r w:rsidRPr="00B54998">
        <w:rPr>
          <w:rFonts w:ascii="Arial" w:hAnsi="Arial" w:cs="Arial"/>
          <w:sz w:val="20"/>
        </w:rPr>
        <w:t>under</w:t>
      </w:r>
      <w:r w:rsidRPr="00B54998">
        <w:rPr>
          <w:rFonts w:ascii="Arial" w:hAnsi="Arial" w:cs="Arial"/>
          <w:spacing w:val="-47"/>
          <w:sz w:val="20"/>
        </w:rPr>
        <w:t xml:space="preserve"> </w:t>
      </w:r>
      <w:r w:rsidRPr="00B54998">
        <w:rPr>
          <w:rFonts w:ascii="Arial" w:hAnsi="Arial" w:cs="Arial"/>
          <w:sz w:val="20"/>
        </w:rPr>
        <w:t>supervision</w:t>
      </w:r>
      <w:r w:rsidRPr="00B54998">
        <w:rPr>
          <w:rFonts w:ascii="Arial" w:hAnsi="Arial" w:cs="Arial"/>
          <w:spacing w:val="-2"/>
          <w:sz w:val="20"/>
        </w:rPr>
        <w:t xml:space="preserve"> </w:t>
      </w:r>
      <w:r w:rsidRPr="00B54998">
        <w:rPr>
          <w:rFonts w:ascii="Arial" w:hAnsi="Arial" w:cs="Arial"/>
          <w:sz w:val="20"/>
        </w:rPr>
        <w:t>into</w:t>
      </w:r>
      <w:r w:rsidRPr="00B54998">
        <w:rPr>
          <w:rFonts w:ascii="Arial" w:hAnsi="Arial" w:cs="Arial"/>
          <w:spacing w:val="-2"/>
          <w:sz w:val="20"/>
        </w:rPr>
        <w:t xml:space="preserve"> </w:t>
      </w:r>
      <w:r w:rsidRPr="00B54998">
        <w:rPr>
          <w:rFonts w:ascii="Arial" w:hAnsi="Arial" w:cs="Arial"/>
          <w:sz w:val="20"/>
        </w:rPr>
        <w:t>the</w:t>
      </w:r>
      <w:r w:rsidRPr="00B54998">
        <w:rPr>
          <w:rFonts w:ascii="Arial" w:hAnsi="Arial" w:cs="Arial"/>
          <w:spacing w:val="1"/>
          <w:sz w:val="20"/>
        </w:rPr>
        <w:t xml:space="preserve"> </w:t>
      </w:r>
      <w:r w:rsidRPr="00B54998">
        <w:rPr>
          <w:rFonts w:ascii="Arial" w:hAnsi="Arial" w:cs="Arial"/>
          <w:sz w:val="20"/>
        </w:rPr>
        <w:t>logbook</w:t>
      </w:r>
      <w:r w:rsidRPr="00B54998">
        <w:rPr>
          <w:rFonts w:ascii="Arial" w:hAnsi="Arial" w:cs="Arial"/>
          <w:spacing w:val="1"/>
          <w:sz w:val="20"/>
        </w:rPr>
        <w:t xml:space="preserve"> </w:t>
      </w:r>
      <w:r w:rsidRPr="00B54998">
        <w:rPr>
          <w:rFonts w:ascii="Arial" w:hAnsi="Arial" w:cs="Arial"/>
          <w:sz w:val="20"/>
        </w:rPr>
        <w:t>of</w:t>
      </w:r>
      <w:r w:rsidRPr="00B54998">
        <w:rPr>
          <w:rFonts w:ascii="Arial" w:hAnsi="Arial" w:cs="Arial"/>
          <w:spacing w:val="-3"/>
          <w:sz w:val="20"/>
        </w:rPr>
        <w:t xml:space="preserve"> </w:t>
      </w:r>
      <w:r w:rsidRPr="00B54998">
        <w:rPr>
          <w:rFonts w:ascii="Arial" w:hAnsi="Arial" w:cs="Arial"/>
          <w:sz w:val="20"/>
        </w:rPr>
        <w:t>the</w:t>
      </w:r>
      <w:r w:rsidRPr="00B54998">
        <w:rPr>
          <w:rFonts w:ascii="Arial" w:hAnsi="Arial" w:cs="Arial"/>
          <w:spacing w:val="1"/>
          <w:sz w:val="20"/>
        </w:rPr>
        <w:t xml:space="preserve"> </w:t>
      </w:r>
      <w:r w:rsidRPr="00B54998">
        <w:rPr>
          <w:rFonts w:ascii="Arial" w:hAnsi="Arial" w:cs="Arial"/>
          <w:sz w:val="20"/>
        </w:rPr>
        <w:t>applicant.</w:t>
      </w:r>
    </w:p>
    <w:p w14:paraId="3E82479B" w14:textId="77777777" w:rsidR="00B54998" w:rsidRDefault="00B54998" w:rsidP="00973C18">
      <w:pPr>
        <w:rPr>
          <w:rFonts w:ascii="Arial" w:eastAsia="Times New Roman" w:hAnsi="Arial" w:cs="Times New Roman"/>
        </w:rPr>
      </w:pPr>
    </w:p>
    <w:p w14:paraId="2701E093" w14:textId="77777777" w:rsidR="00B54998" w:rsidRDefault="00B54998" w:rsidP="00973C18">
      <w:pPr>
        <w:rPr>
          <w:rFonts w:ascii="Arial" w:eastAsia="Times New Roman" w:hAnsi="Arial" w:cs="Times New Roman"/>
        </w:rPr>
      </w:pPr>
    </w:p>
    <w:p w14:paraId="0E112406" w14:textId="77777777" w:rsidR="00B54998" w:rsidRDefault="00B54998" w:rsidP="00973C18">
      <w:pPr>
        <w:rPr>
          <w:rFonts w:ascii="Arial" w:eastAsia="Times New Roman" w:hAnsi="Arial" w:cs="Times New Roman"/>
        </w:rPr>
      </w:pPr>
    </w:p>
    <w:p w14:paraId="429FABA2" w14:textId="77777777" w:rsidR="00B54998" w:rsidRDefault="00B54998" w:rsidP="00973C18">
      <w:pPr>
        <w:rPr>
          <w:rFonts w:ascii="Arial" w:eastAsia="Times New Roman" w:hAnsi="Arial" w:cs="Times New Roman"/>
        </w:rPr>
      </w:pPr>
    </w:p>
    <w:p w14:paraId="02883B33" w14:textId="77777777" w:rsidR="00B54998" w:rsidRDefault="00B54998" w:rsidP="00973C18">
      <w:pPr>
        <w:rPr>
          <w:rFonts w:ascii="Arial" w:eastAsia="Times New Roman" w:hAnsi="Arial" w:cs="Times New Roman"/>
        </w:rPr>
      </w:pPr>
    </w:p>
    <w:p w14:paraId="3F53C2BC" w14:textId="77777777" w:rsidR="00B54998" w:rsidRDefault="00B54998" w:rsidP="00973C18">
      <w:pPr>
        <w:rPr>
          <w:rFonts w:ascii="Arial" w:eastAsia="Times New Roman" w:hAnsi="Arial" w:cs="Times New Roman"/>
        </w:rPr>
      </w:pPr>
    </w:p>
    <w:p w14:paraId="0B626A6A" w14:textId="77777777" w:rsidR="00B54998" w:rsidRDefault="00B54998" w:rsidP="00973C18">
      <w:pPr>
        <w:rPr>
          <w:rFonts w:ascii="Arial" w:eastAsia="Times New Roman" w:hAnsi="Arial" w:cs="Times New Roman"/>
        </w:rPr>
      </w:pPr>
    </w:p>
    <w:p w14:paraId="59990CE5" w14:textId="77777777" w:rsidR="00B54998" w:rsidRDefault="00B54998" w:rsidP="00973C18">
      <w:pPr>
        <w:rPr>
          <w:rFonts w:ascii="Arial" w:eastAsia="Times New Roman" w:hAnsi="Arial" w:cs="Times New Roman"/>
        </w:rPr>
      </w:pPr>
    </w:p>
    <w:p w14:paraId="5F90835B" w14:textId="77777777" w:rsidR="00B54998" w:rsidRDefault="00B54998" w:rsidP="00973C18">
      <w:pPr>
        <w:rPr>
          <w:rFonts w:ascii="Arial" w:eastAsia="Times New Roman" w:hAnsi="Arial" w:cs="Times New Roman"/>
        </w:rPr>
      </w:pPr>
    </w:p>
    <w:p w14:paraId="460C35EA" w14:textId="77777777" w:rsidR="00B54998" w:rsidRDefault="00B54998" w:rsidP="00973C18">
      <w:pPr>
        <w:rPr>
          <w:rFonts w:ascii="Arial" w:eastAsia="Times New Roman" w:hAnsi="Arial" w:cs="Times New Roman"/>
        </w:rPr>
      </w:pPr>
    </w:p>
    <w:p w14:paraId="5D7D3583" w14:textId="77777777" w:rsidR="00B54998" w:rsidRDefault="00B54998" w:rsidP="00973C18">
      <w:pPr>
        <w:rPr>
          <w:rFonts w:ascii="Arial" w:eastAsia="Times New Roman" w:hAnsi="Arial" w:cs="Times New Roman"/>
        </w:rPr>
      </w:pPr>
    </w:p>
    <w:p w14:paraId="277AC4D3" w14:textId="77777777" w:rsidR="00B54998" w:rsidRDefault="00B54998" w:rsidP="00973C18">
      <w:pPr>
        <w:rPr>
          <w:rFonts w:ascii="Arial" w:eastAsia="Times New Roman" w:hAnsi="Arial" w:cs="Times New Roman"/>
        </w:rPr>
      </w:pPr>
    </w:p>
    <w:p w14:paraId="2BDD8B26" w14:textId="77777777" w:rsidR="00B54998" w:rsidRDefault="00B54998" w:rsidP="00973C18">
      <w:pPr>
        <w:rPr>
          <w:rFonts w:ascii="Arial" w:eastAsia="Times New Roman" w:hAnsi="Arial" w:cs="Times New Roman"/>
        </w:rPr>
      </w:pPr>
    </w:p>
    <w:p w14:paraId="6D3008FE" w14:textId="77777777" w:rsidR="00B54998" w:rsidRDefault="00B54998" w:rsidP="00973C18">
      <w:pPr>
        <w:rPr>
          <w:rFonts w:ascii="Arial" w:eastAsia="Times New Roman" w:hAnsi="Arial" w:cs="Times New Roman"/>
        </w:rPr>
      </w:pPr>
    </w:p>
    <w:p w14:paraId="66D5F075" w14:textId="77777777" w:rsidR="00B54998" w:rsidRDefault="00B54998" w:rsidP="00973C18">
      <w:pPr>
        <w:rPr>
          <w:rFonts w:ascii="Arial" w:eastAsia="Times New Roman" w:hAnsi="Arial" w:cs="Times New Roman"/>
        </w:rPr>
      </w:pPr>
    </w:p>
    <w:p w14:paraId="38769FD5" w14:textId="77777777" w:rsidR="00B54998" w:rsidRDefault="00B54998" w:rsidP="00973C18">
      <w:pPr>
        <w:rPr>
          <w:rFonts w:ascii="Arial" w:eastAsia="Times New Roman" w:hAnsi="Arial" w:cs="Times New Roman"/>
        </w:rPr>
      </w:pPr>
    </w:p>
    <w:p w14:paraId="39DE745D" w14:textId="77777777" w:rsidR="00B54998" w:rsidRDefault="00B54998" w:rsidP="00973C18">
      <w:pPr>
        <w:rPr>
          <w:rFonts w:ascii="Arial" w:eastAsia="Times New Roman" w:hAnsi="Arial" w:cs="Times New Roman"/>
        </w:rPr>
      </w:pPr>
    </w:p>
    <w:p w14:paraId="2622E04A" w14:textId="77777777" w:rsidR="00B54998" w:rsidRDefault="00B54998" w:rsidP="00973C18">
      <w:pPr>
        <w:rPr>
          <w:rFonts w:ascii="Arial" w:eastAsia="Times New Roman" w:hAnsi="Arial" w:cs="Times New Roman"/>
        </w:rPr>
      </w:pPr>
    </w:p>
    <w:p w14:paraId="23033BD2" w14:textId="77777777" w:rsidR="00B54998" w:rsidRDefault="00B54998" w:rsidP="00973C18">
      <w:pPr>
        <w:rPr>
          <w:rFonts w:ascii="Arial" w:eastAsia="Times New Roman" w:hAnsi="Arial" w:cs="Times New Roman"/>
        </w:rPr>
      </w:pPr>
    </w:p>
    <w:p w14:paraId="4E1A9EF6" w14:textId="77777777" w:rsidR="00B54998" w:rsidRDefault="00B54998" w:rsidP="00973C18">
      <w:pPr>
        <w:rPr>
          <w:rFonts w:ascii="Arial" w:eastAsia="Times New Roman" w:hAnsi="Arial" w:cs="Times New Roman"/>
        </w:rPr>
      </w:pPr>
    </w:p>
    <w:p w14:paraId="6E511BA1" w14:textId="77777777" w:rsidR="00B54998" w:rsidRDefault="00B54998" w:rsidP="00973C18">
      <w:pPr>
        <w:rPr>
          <w:rFonts w:ascii="Arial" w:eastAsia="Times New Roman" w:hAnsi="Arial" w:cs="Times New Roman"/>
        </w:rPr>
      </w:pPr>
    </w:p>
    <w:p w14:paraId="389DEEA4" w14:textId="77777777" w:rsidR="00B54998" w:rsidRDefault="00B54998" w:rsidP="00973C18">
      <w:pPr>
        <w:rPr>
          <w:rFonts w:ascii="Arial" w:eastAsia="Times New Roman" w:hAnsi="Arial" w:cs="Times New Roman"/>
        </w:rPr>
      </w:pPr>
    </w:p>
    <w:p w14:paraId="1DD8ECDC" w14:textId="77777777" w:rsidR="00B54998" w:rsidRDefault="00B54998" w:rsidP="00973C18">
      <w:pPr>
        <w:rPr>
          <w:rFonts w:ascii="Arial" w:eastAsia="Times New Roman" w:hAnsi="Arial" w:cs="Times New Roman"/>
        </w:rPr>
      </w:pPr>
    </w:p>
    <w:p w14:paraId="26038140" w14:textId="77777777" w:rsidR="00B54998" w:rsidRDefault="00B54998" w:rsidP="00973C18">
      <w:pPr>
        <w:rPr>
          <w:rFonts w:ascii="Arial" w:eastAsia="Times New Roman" w:hAnsi="Arial" w:cs="Times New Roman"/>
        </w:rPr>
      </w:pPr>
    </w:p>
    <w:p w14:paraId="6F82391B" w14:textId="77777777" w:rsidR="00B54998" w:rsidRDefault="00B54998" w:rsidP="00973C18">
      <w:pPr>
        <w:rPr>
          <w:rFonts w:ascii="Arial" w:eastAsia="Times New Roman" w:hAnsi="Arial" w:cs="Times New Roman"/>
        </w:rPr>
      </w:pPr>
    </w:p>
    <w:p w14:paraId="71D5BE3C" w14:textId="77777777" w:rsidR="00B54998" w:rsidRDefault="00B54998" w:rsidP="00973C18">
      <w:pPr>
        <w:rPr>
          <w:rFonts w:ascii="Arial" w:eastAsia="Times New Roman" w:hAnsi="Arial" w:cs="Times New Roman"/>
        </w:rPr>
      </w:pPr>
    </w:p>
    <w:p w14:paraId="2FF006B3" w14:textId="77777777" w:rsidR="00B54998" w:rsidRDefault="00B54998" w:rsidP="00973C18">
      <w:pPr>
        <w:rPr>
          <w:rFonts w:ascii="Arial" w:eastAsia="Times New Roman" w:hAnsi="Arial" w:cs="Times New Roman"/>
        </w:rPr>
      </w:pPr>
    </w:p>
    <w:p w14:paraId="263DC118" w14:textId="77777777" w:rsidR="00B54998" w:rsidRDefault="00B54998" w:rsidP="00973C18">
      <w:pPr>
        <w:rPr>
          <w:rFonts w:ascii="Arial" w:eastAsia="Times New Roman" w:hAnsi="Arial" w:cs="Times New Roman"/>
        </w:rPr>
      </w:pPr>
    </w:p>
    <w:p w14:paraId="2A2574CF" w14:textId="77777777" w:rsidR="00B54998" w:rsidRDefault="00B54998" w:rsidP="00973C18">
      <w:pPr>
        <w:rPr>
          <w:rFonts w:ascii="Arial" w:eastAsia="Times New Roman" w:hAnsi="Arial" w:cs="Times New Roman"/>
        </w:rPr>
      </w:pPr>
    </w:p>
    <w:p w14:paraId="79FF00CA" w14:textId="77777777" w:rsidR="00B54998" w:rsidRDefault="00B54998" w:rsidP="00973C18">
      <w:pPr>
        <w:rPr>
          <w:rFonts w:ascii="Arial" w:eastAsia="Times New Roman" w:hAnsi="Arial" w:cs="Times New Roman"/>
        </w:rPr>
      </w:pPr>
    </w:p>
    <w:p w14:paraId="46CE2C2F" w14:textId="77777777" w:rsidR="00B54998" w:rsidRDefault="00B54998" w:rsidP="00973C18">
      <w:pPr>
        <w:rPr>
          <w:rFonts w:ascii="Arial" w:eastAsia="Times New Roman" w:hAnsi="Arial" w:cs="Times New Roman"/>
        </w:rPr>
      </w:pPr>
    </w:p>
    <w:p w14:paraId="6E81E901" w14:textId="77777777" w:rsidR="00B54998" w:rsidRDefault="00B54998" w:rsidP="00973C18">
      <w:pPr>
        <w:rPr>
          <w:rFonts w:ascii="Arial" w:eastAsia="Times New Roman" w:hAnsi="Arial" w:cs="Times New Roman"/>
        </w:rPr>
      </w:pPr>
    </w:p>
    <w:p w14:paraId="08D4B4B7" w14:textId="77777777" w:rsidR="00B54998" w:rsidRDefault="00B54998" w:rsidP="00973C18">
      <w:pPr>
        <w:rPr>
          <w:rFonts w:ascii="Arial" w:eastAsia="Times New Roman" w:hAnsi="Arial" w:cs="Times New Roman"/>
        </w:rPr>
      </w:pPr>
    </w:p>
    <w:p w14:paraId="632592F1" w14:textId="77777777" w:rsidR="00B54998" w:rsidRDefault="00B54998" w:rsidP="00973C18">
      <w:pPr>
        <w:rPr>
          <w:rFonts w:ascii="Arial" w:eastAsia="Times New Roman" w:hAnsi="Arial" w:cs="Times New Roman"/>
        </w:rPr>
      </w:pPr>
    </w:p>
    <w:p w14:paraId="338305D0" w14:textId="77777777" w:rsidR="00B54998" w:rsidRDefault="00B54998" w:rsidP="00973C18">
      <w:pPr>
        <w:rPr>
          <w:rFonts w:ascii="Arial" w:eastAsia="Times New Roman" w:hAnsi="Arial" w:cs="Times New Roman"/>
        </w:rPr>
      </w:pPr>
    </w:p>
    <w:p w14:paraId="4482C35F" w14:textId="77777777" w:rsidR="00B54998" w:rsidRDefault="00B54998" w:rsidP="00973C18">
      <w:pPr>
        <w:rPr>
          <w:rFonts w:ascii="Arial" w:eastAsia="Times New Roman" w:hAnsi="Arial" w:cs="Times New Roman"/>
        </w:rPr>
      </w:pPr>
    </w:p>
    <w:p w14:paraId="678DDFF0" w14:textId="77777777" w:rsidR="00B54998" w:rsidRDefault="00B54998" w:rsidP="00973C18">
      <w:pPr>
        <w:rPr>
          <w:rFonts w:ascii="Arial" w:eastAsia="Times New Roman" w:hAnsi="Arial" w:cs="Times New Roman"/>
        </w:rPr>
      </w:pPr>
    </w:p>
    <w:p w14:paraId="48D4DE84" w14:textId="7227958F" w:rsidR="00B54998" w:rsidRDefault="00B54998" w:rsidP="00973C18">
      <w:pPr>
        <w:rPr>
          <w:rFonts w:ascii="Arial" w:eastAsia="Times New Roman" w:hAnsi="Arial" w:cs="Times New Roman"/>
        </w:rPr>
      </w:pPr>
    </w:p>
    <w:p w14:paraId="73A17E5D" w14:textId="1579B9E3" w:rsidR="00297373" w:rsidRDefault="00297373" w:rsidP="00973C18">
      <w:pPr>
        <w:rPr>
          <w:rFonts w:ascii="Arial" w:eastAsia="Times New Roman" w:hAnsi="Arial" w:cs="Times New Roman"/>
        </w:rPr>
      </w:pPr>
    </w:p>
    <w:p w14:paraId="27987E84" w14:textId="203A4960" w:rsidR="00297373" w:rsidRDefault="00297373" w:rsidP="00973C18">
      <w:pPr>
        <w:rPr>
          <w:rFonts w:ascii="Arial" w:eastAsia="Times New Roman" w:hAnsi="Arial" w:cs="Times New Roman"/>
        </w:rPr>
      </w:pPr>
    </w:p>
    <w:p w14:paraId="771D9CEC" w14:textId="77777777" w:rsidR="00297373" w:rsidRDefault="00297373" w:rsidP="00973C18">
      <w:pPr>
        <w:rPr>
          <w:rFonts w:ascii="Arial" w:eastAsia="Times New Roman" w:hAnsi="Arial" w:cs="Times New Roman"/>
        </w:rPr>
      </w:pPr>
    </w:p>
    <w:p w14:paraId="2969501C" w14:textId="77777777" w:rsidR="00B54998" w:rsidRDefault="00B54998" w:rsidP="00973C18">
      <w:pPr>
        <w:rPr>
          <w:rFonts w:ascii="Arial" w:eastAsia="Times New Roman" w:hAnsi="Arial" w:cs="Times New Roman"/>
        </w:rPr>
      </w:pPr>
    </w:p>
    <w:p w14:paraId="48331A10" w14:textId="77777777" w:rsidR="00B54998" w:rsidRDefault="00B54998" w:rsidP="00973C18">
      <w:pPr>
        <w:rPr>
          <w:rFonts w:ascii="Arial" w:eastAsia="Times New Roman" w:hAnsi="Arial" w:cs="Times New Roman"/>
        </w:rPr>
      </w:pPr>
    </w:p>
    <w:p w14:paraId="6B7BB41F" w14:textId="77777777" w:rsidR="00B54998" w:rsidRDefault="00B54998" w:rsidP="00973C18">
      <w:pPr>
        <w:rPr>
          <w:rFonts w:ascii="Arial" w:eastAsia="Times New Roman" w:hAnsi="Arial" w:cs="Times New Roman"/>
        </w:rPr>
      </w:pPr>
    </w:p>
    <w:p w14:paraId="3AB0E044" w14:textId="77777777" w:rsidR="00B54998" w:rsidRDefault="00B54998" w:rsidP="00973C18">
      <w:pPr>
        <w:rPr>
          <w:rFonts w:ascii="Arial" w:eastAsia="Times New Roman" w:hAnsi="Arial" w:cs="Times New Roman"/>
        </w:rPr>
      </w:pPr>
    </w:p>
    <w:p w14:paraId="2E985D95" w14:textId="77777777" w:rsidR="00B54998" w:rsidRDefault="00B54998" w:rsidP="00973C18">
      <w:pPr>
        <w:rPr>
          <w:rFonts w:ascii="Arial" w:eastAsia="Times New Roman" w:hAnsi="Arial" w:cs="Times New Roman"/>
        </w:rPr>
      </w:pPr>
    </w:p>
    <w:p w14:paraId="264ADE8B" w14:textId="77777777" w:rsidR="00B54998" w:rsidRDefault="00B54998" w:rsidP="00973C18">
      <w:pPr>
        <w:rPr>
          <w:rFonts w:ascii="Arial" w:eastAsia="Times New Roman" w:hAnsi="Arial" w:cs="Times New Roman"/>
        </w:rPr>
      </w:pPr>
    </w:p>
    <w:p w14:paraId="214843EE" w14:textId="77777777" w:rsidR="00B54998" w:rsidRPr="00B54998" w:rsidRDefault="00B54998" w:rsidP="00B54998">
      <w:pPr>
        <w:keepNext/>
        <w:keepLines/>
        <w:widowControl/>
        <w:autoSpaceDE/>
        <w:autoSpaceDN/>
        <w:spacing w:before="40" w:line="259" w:lineRule="auto"/>
        <w:jc w:val="center"/>
        <w:outlineLvl w:val="2"/>
        <w:rPr>
          <w:rFonts w:ascii="Arial" w:eastAsiaTheme="majorEastAsia" w:hAnsi="Arial" w:cs="Arial"/>
          <w:b/>
          <w:color w:val="00B0F0"/>
          <w:sz w:val="24"/>
          <w:szCs w:val="24"/>
        </w:rPr>
      </w:pPr>
      <w:bookmarkStart w:id="730" w:name="_Toc153137464"/>
      <w:r w:rsidRPr="00B54998">
        <w:rPr>
          <w:rFonts w:ascii="Arial" w:eastAsiaTheme="majorEastAsia" w:hAnsi="Arial" w:cs="Arial"/>
          <w:b/>
          <w:color w:val="00B0F0"/>
          <w:sz w:val="24"/>
          <w:szCs w:val="24"/>
        </w:rPr>
        <w:lastRenderedPageBreak/>
        <w:t>SUBPART FE — FLIGHT EXAMINERS</w:t>
      </w:r>
      <w:bookmarkStart w:id="731" w:name="Section_1_–_General_requirements"/>
      <w:bookmarkEnd w:id="730"/>
      <w:bookmarkEnd w:id="731"/>
      <w:r w:rsidRPr="00B54998">
        <w:rPr>
          <w:rFonts w:ascii="Arial" w:eastAsiaTheme="majorEastAsia" w:hAnsi="Arial" w:cs="Arial"/>
          <w:b/>
          <w:color w:val="00B0F0"/>
          <w:sz w:val="24"/>
          <w:szCs w:val="24"/>
        </w:rPr>
        <w:t xml:space="preserve"> </w:t>
      </w:r>
      <w:bookmarkStart w:id="732" w:name="_bookmark300"/>
      <w:bookmarkEnd w:id="732"/>
    </w:p>
    <w:p w14:paraId="6C62B53C" w14:textId="77777777" w:rsidR="00B54998" w:rsidRPr="00B54998" w:rsidRDefault="00B54998" w:rsidP="00B54998">
      <w:pPr>
        <w:keepNext/>
        <w:keepLines/>
        <w:spacing w:before="40"/>
        <w:jc w:val="center"/>
        <w:outlineLvl w:val="3"/>
        <w:rPr>
          <w:rFonts w:ascii="Arial" w:eastAsiaTheme="majorEastAsia" w:hAnsi="Arial" w:cs="Arial"/>
          <w:b/>
          <w:iCs/>
          <w:color w:val="2E74B5" w:themeColor="accent1" w:themeShade="BF"/>
          <w:sz w:val="24"/>
          <w:szCs w:val="24"/>
        </w:rPr>
      </w:pPr>
      <w:bookmarkStart w:id="733" w:name="_Toc153137465"/>
      <w:r w:rsidRPr="00B54998">
        <w:rPr>
          <w:rFonts w:ascii="Arial" w:eastAsiaTheme="majorEastAsia" w:hAnsi="Arial" w:cs="Arial"/>
          <w:b/>
          <w:iCs/>
          <w:color w:val="2E74B5" w:themeColor="accent1" w:themeShade="BF"/>
          <w:sz w:val="24"/>
          <w:szCs w:val="24"/>
        </w:rPr>
        <w:t>SECTION 1 – GENERAL REQUIREMENTS</w:t>
      </w:r>
      <w:bookmarkEnd w:id="733"/>
    </w:p>
    <w:p w14:paraId="21CFAC58" w14:textId="77777777" w:rsidR="00B54998" w:rsidRPr="00B54998" w:rsidRDefault="00B54998" w:rsidP="00B54998">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734" w:name="_Toc153137466"/>
      <w:r w:rsidRPr="00B54998">
        <w:rPr>
          <w:rFonts w:ascii="Arial" w:eastAsia="Times New Roman" w:hAnsi="Arial" w:cs="Times New Roman"/>
          <w:b/>
          <w:iCs/>
          <w:color w:val="FFFFFF"/>
          <w:sz w:val="24"/>
        </w:rPr>
        <w:t>BFCL.400 Balloon flight examiner certificates</w:t>
      </w:r>
      <w:bookmarkEnd w:id="734"/>
      <w:r w:rsidRPr="00B54998">
        <w:rPr>
          <w:rFonts w:ascii="Arial" w:eastAsia="Times New Roman" w:hAnsi="Arial" w:cs="Times New Roman"/>
          <w:b/>
          <w:iCs/>
          <w:color w:val="FFFFFF"/>
          <w:sz w:val="24"/>
        </w:rPr>
        <w:tab/>
      </w:r>
    </w:p>
    <w:p w14:paraId="37137506" w14:textId="77777777" w:rsidR="00B54998" w:rsidRPr="00B54998" w:rsidRDefault="00B54998" w:rsidP="00E532A6">
      <w:pPr>
        <w:pStyle w:val="ListParagraph"/>
        <w:numPr>
          <w:ilvl w:val="0"/>
          <w:numId w:val="269"/>
        </w:numPr>
        <w:tabs>
          <w:tab w:val="left" w:pos="707"/>
        </w:tabs>
        <w:spacing w:before="118"/>
        <w:jc w:val="both"/>
        <w:rPr>
          <w:rFonts w:ascii="Arial" w:hAnsi="Arial" w:cs="Arial"/>
          <w:sz w:val="20"/>
        </w:rPr>
      </w:pPr>
      <w:r w:rsidRPr="00B54998">
        <w:rPr>
          <w:rFonts w:ascii="Arial" w:hAnsi="Arial" w:cs="Arial"/>
          <w:sz w:val="20"/>
        </w:rPr>
        <w:t>General</w:t>
      </w:r>
    </w:p>
    <w:p w14:paraId="007D44D8" w14:textId="77777777" w:rsidR="00B54998" w:rsidRPr="00B54998" w:rsidRDefault="00B54998" w:rsidP="00E532A6">
      <w:pPr>
        <w:pStyle w:val="BodyText"/>
        <w:ind w:left="706"/>
        <w:jc w:val="both"/>
        <w:rPr>
          <w:rFonts w:ascii="Arial" w:hAnsi="Arial" w:cs="Arial"/>
          <w:sz w:val="20"/>
        </w:rPr>
      </w:pPr>
      <w:r w:rsidRPr="00B54998">
        <w:rPr>
          <w:rFonts w:ascii="Arial" w:hAnsi="Arial" w:cs="Arial"/>
          <w:sz w:val="20"/>
        </w:rPr>
        <w:t>An</w:t>
      </w:r>
      <w:r w:rsidRPr="00B54998">
        <w:rPr>
          <w:rFonts w:ascii="Arial" w:hAnsi="Arial" w:cs="Arial"/>
          <w:spacing w:val="-6"/>
          <w:sz w:val="20"/>
        </w:rPr>
        <w:t xml:space="preserve"> </w:t>
      </w:r>
      <w:r w:rsidRPr="00B54998">
        <w:rPr>
          <w:rFonts w:ascii="Arial" w:hAnsi="Arial" w:cs="Arial"/>
          <w:sz w:val="20"/>
        </w:rPr>
        <w:t>examiner</w:t>
      </w:r>
      <w:r w:rsidRPr="00B54998">
        <w:rPr>
          <w:rFonts w:ascii="Arial" w:hAnsi="Arial" w:cs="Arial"/>
          <w:spacing w:val="-5"/>
          <w:sz w:val="20"/>
        </w:rPr>
        <w:t xml:space="preserve"> </w:t>
      </w:r>
      <w:r w:rsidRPr="00B54998">
        <w:rPr>
          <w:rFonts w:ascii="Arial" w:hAnsi="Arial" w:cs="Arial"/>
          <w:sz w:val="20"/>
        </w:rPr>
        <w:t>shall</w:t>
      </w:r>
      <w:r w:rsidRPr="00B54998">
        <w:rPr>
          <w:rFonts w:ascii="Arial" w:hAnsi="Arial" w:cs="Arial"/>
          <w:spacing w:val="-6"/>
          <w:sz w:val="20"/>
        </w:rPr>
        <w:t xml:space="preserve"> </w:t>
      </w:r>
      <w:r w:rsidRPr="00B54998">
        <w:rPr>
          <w:rFonts w:ascii="Arial" w:hAnsi="Arial" w:cs="Arial"/>
          <w:sz w:val="20"/>
        </w:rPr>
        <w:t>only</w:t>
      </w:r>
      <w:r w:rsidRPr="00B54998">
        <w:rPr>
          <w:rFonts w:ascii="Arial" w:hAnsi="Arial" w:cs="Arial"/>
          <w:spacing w:val="-5"/>
          <w:sz w:val="20"/>
        </w:rPr>
        <w:t xml:space="preserve"> </w:t>
      </w:r>
      <w:r w:rsidRPr="00B54998">
        <w:rPr>
          <w:rFonts w:ascii="Arial" w:hAnsi="Arial" w:cs="Arial"/>
          <w:sz w:val="20"/>
        </w:rPr>
        <w:t>carry</w:t>
      </w:r>
      <w:r w:rsidRPr="00B54998">
        <w:rPr>
          <w:rFonts w:ascii="Arial" w:hAnsi="Arial" w:cs="Arial"/>
          <w:spacing w:val="-5"/>
          <w:sz w:val="20"/>
        </w:rPr>
        <w:t xml:space="preserve"> </w:t>
      </w:r>
      <w:r w:rsidRPr="00B54998">
        <w:rPr>
          <w:rFonts w:ascii="Arial" w:hAnsi="Arial" w:cs="Arial"/>
          <w:sz w:val="20"/>
        </w:rPr>
        <w:t>out</w:t>
      </w:r>
      <w:r w:rsidRPr="00B54998">
        <w:rPr>
          <w:rFonts w:ascii="Arial" w:hAnsi="Arial" w:cs="Arial"/>
          <w:spacing w:val="-5"/>
          <w:sz w:val="20"/>
        </w:rPr>
        <w:t xml:space="preserve"> </w:t>
      </w:r>
      <w:r w:rsidRPr="00B54998">
        <w:rPr>
          <w:rFonts w:ascii="Arial" w:hAnsi="Arial" w:cs="Arial"/>
          <w:sz w:val="20"/>
        </w:rPr>
        <w:t>skill</w:t>
      </w:r>
      <w:r w:rsidRPr="00B54998">
        <w:rPr>
          <w:rFonts w:ascii="Arial" w:hAnsi="Arial" w:cs="Arial"/>
          <w:spacing w:val="-6"/>
          <w:sz w:val="20"/>
        </w:rPr>
        <w:t xml:space="preserve"> </w:t>
      </w:r>
      <w:r w:rsidRPr="00B54998">
        <w:rPr>
          <w:rFonts w:ascii="Arial" w:hAnsi="Arial" w:cs="Arial"/>
          <w:sz w:val="20"/>
        </w:rPr>
        <w:t>tests,</w:t>
      </w:r>
      <w:r w:rsidRPr="00B54998">
        <w:rPr>
          <w:rFonts w:ascii="Arial" w:hAnsi="Arial" w:cs="Arial"/>
          <w:spacing w:val="-3"/>
          <w:sz w:val="20"/>
        </w:rPr>
        <w:t xml:space="preserve"> </w:t>
      </w:r>
      <w:r w:rsidRPr="00B54998">
        <w:rPr>
          <w:rFonts w:ascii="Arial" w:hAnsi="Arial" w:cs="Arial"/>
          <w:sz w:val="20"/>
        </w:rPr>
        <w:t>proficiency</w:t>
      </w:r>
      <w:r w:rsidRPr="00B54998">
        <w:rPr>
          <w:rFonts w:ascii="Arial" w:hAnsi="Arial" w:cs="Arial"/>
          <w:spacing w:val="-5"/>
          <w:sz w:val="20"/>
        </w:rPr>
        <w:t xml:space="preserve"> </w:t>
      </w:r>
      <w:r w:rsidRPr="00B54998">
        <w:rPr>
          <w:rFonts w:ascii="Arial" w:hAnsi="Arial" w:cs="Arial"/>
          <w:sz w:val="20"/>
        </w:rPr>
        <w:t>checks</w:t>
      </w:r>
      <w:r w:rsidRPr="00B54998">
        <w:rPr>
          <w:rFonts w:ascii="Arial" w:hAnsi="Arial" w:cs="Arial"/>
          <w:spacing w:val="-5"/>
          <w:sz w:val="20"/>
        </w:rPr>
        <w:t xml:space="preserve"> </w:t>
      </w:r>
      <w:r w:rsidRPr="00B54998">
        <w:rPr>
          <w:rFonts w:ascii="Arial" w:hAnsi="Arial" w:cs="Arial"/>
          <w:sz w:val="20"/>
        </w:rPr>
        <w:t>or</w:t>
      </w:r>
      <w:r w:rsidRPr="00B54998">
        <w:rPr>
          <w:rFonts w:ascii="Arial" w:hAnsi="Arial" w:cs="Arial"/>
          <w:spacing w:val="-6"/>
          <w:sz w:val="20"/>
        </w:rPr>
        <w:t xml:space="preserve"> </w:t>
      </w:r>
      <w:r w:rsidRPr="00B54998">
        <w:rPr>
          <w:rFonts w:ascii="Arial" w:hAnsi="Arial" w:cs="Arial"/>
          <w:sz w:val="20"/>
        </w:rPr>
        <w:t>assessments</w:t>
      </w:r>
      <w:r w:rsidRPr="00B54998">
        <w:rPr>
          <w:rFonts w:ascii="Arial" w:hAnsi="Arial" w:cs="Arial"/>
          <w:spacing w:val="-8"/>
          <w:sz w:val="20"/>
        </w:rPr>
        <w:t xml:space="preserve"> </w:t>
      </w:r>
      <w:r w:rsidRPr="00B54998">
        <w:rPr>
          <w:rFonts w:ascii="Arial" w:hAnsi="Arial" w:cs="Arial"/>
          <w:sz w:val="20"/>
        </w:rPr>
        <w:t>of</w:t>
      </w:r>
      <w:r w:rsidRPr="00B54998">
        <w:rPr>
          <w:rFonts w:ascii="Arial" w:hAnsi="Arial" w:cs="Arial"/>
          <w:spacing w:val="-3"/>
          <w:sz w:val="20"/>
        </w:rPr>
        <w:t xml:space="preserve"> </w:t>
      </w:r>
      <w:r w:rsidRPr="00B54998">
        <w:rPr>
          <w:rFonts w:ascii="Arial" w:hAnsi="Arial" w:cs="Arial"/>
          <w:sz w:val="20"/>
        </w:rPr>
        <w:t>competence</w:t>
      </w:r>
      <w:r w:rsidRPr="00B54998">
        <w:rPr>
          <w:rFonts w:ascii="Arial" w:hAnsi="Arial" w:cs="Arial"/>
          <w:spacing w:val="-3"/>
          <w:sz w:val="20"/>
        </w:rPr>
        <w:t xml:space="preserve"> </w:t>
      </w:r>
      <w:r w:rsidRPr="00B54998">
        <w:rPr>
          <w:rFonts w:ascii="Arial" w:hAnsi="Arial" w:cs="Arial"/>
          <w:sz w:val="20"/>
        </w:rPr>
        <w:t>in</w:t>
      </w:r>
      <w:r w:rsidRPr="00B54998">
        <w:rPr>
          <w:rFonts w:ascii="Arial" w:hAnsi="Arial" w:cs="Arial"/>
          <w:spacing w:val="-48"/>
          <w:sz w:val="20"/>
        </w:rPr>
        <w:t xml:space="preserve"> </w:t>
      </w:r>
      <w:r w:rsidRPr="00B54998">
        <w:rPr>
          <w:rFonts w:ascii="Arial" w:hAnsi="Arial" w:cs="Arial"/>
          <w:sz w:val="20"/>
        </w:rPr>
        <w:t>accordance with this Annex if he</w:t>
      </w:r>
      <w:r w:rsidRPr="00B54998">
        <w:rPr>
          <w:rFonts w:ascii="Arial" w:hAnsi="Arial" w:cs="Arial"/>
          <w:spacing w:val="-2"/>
          <w:sz w:val="20"/>
        </w:rPr>
        <w:t xml:space="preserve"> </w:t>
      </w:r>
      <w:r w:rsidRPr="00B54998">
        <w:rPr>
          <w:rFonts w:ascii="Arial" w:hAnsi="Arial" w:cs="Arial"/>
          <w:sz w:val="20"/>
        </w:rPr>
        <w:t>or she:</w:t>
      </w:r>
    </w:p>
    <w:p w14:paraId="60C6C7E4" w14:textId="77777777" w:rsidR="00B54998" w:rsidRPr="00B54998" w:rsidRDefault="00B54998" w:rsidP="00E532A6">
      <w:pPr>
        <w:pStyle w:val="ListParagraph"/>
        <w:numPr>
          <w:ilvl w:val="1"/>
          <w:numId w:val="269"/>
        </w:numPr>
        <w:tabs>
          <w:tab w:val="left" w:pos="1274"/>
        </w:tabs>
        <w:spacing w:before="119"/>
        <w:ind w:hanging="568"/>
        <w:jc w:val="both"/>
        <w:rPr>
          <w:rFonts w:ascii="Arial" w:hAnsi="Arial" w:cs="Arial"/>
          <w:sz w:val="20"/>
        </w:rPr>
      </w:pPr>
      <w:r w:rsidRPr="00B54998">
        <w:rPr>
          <w:rFonts w:ascii="Arial" w:hAnsi="Arial" w:cs="Arial"/>
          <w:sz w:val="20"/>
        </w:rPr>
        <w:t>holds:</w:t>
      </w:r>
    </w:p>
    <w:p w14:paraId="44EF633A" w14:textId="77777777" w:rsidR="00B54998" w:rsidRPr="00B54998" w:rsidRDefault="00B54998" w:rsidP="00E532A6">
      <w:pPr>
        <w:pStyle w:val="ListParagraph"/>
        <w:numPr>
          <w:ilvl w:val="2"/>
          <w:numId w:val="269"/>
        </w:numPr>
        <w:tabs>
          <w:tab w:val="left" w:pos="1842"/>
        </w:tabs>
        <w:jc w:val="both"/>
        <w:rPr>
          <w:rFonts w:ascii="Arial" w:hAnsi="Arial" w:cs="Arial"/>
          <w:sz w:val="20"/>
        </w:rPr>
      </w:pPr>
      <w:r w:rsidRPr="00B54998">
        <w:rPr>
          <w:rFonts w:ascii="Arial" w:hAnsi="Arial" w:cs="Arial"/>
          <w:sz w:val="20"/>
        </w:rPr>
        <w:t>a</w:t>
      </w:r>
      <w:r w:rsidRPr="00B54998">
        <w:rPr>
          <w:rFonts w:ascii="Arial" w:hAnsi="Arial" w:cs="Arial"/>
          <w:spacing w:val="-2"/>
          <w:sz w:val="20"/>
        </w:rPr>
        <w:t xml:space="preserve"> </w:t>
      </w:r>
      <w:r w:rsidRPr="00B54998">
        <w:rPr>
          <w:rFonts w:ascii="Arial" w:hAnsi="Arial" w:cs="Arial"/>
          <w:sz w:val="20"/>
        </w:rPr>
        <w:t>BPL</w:t>
      </w:r>
      <w:r w:rsidRPr="00B54998">
        <w:rPr>
          <w:rFonts w:ascii="Arial" w:hAnsi="Arial" w:cs="Arial"/>
          <w:spacing w:val="-4"/>
          <w:sz w:val="20"/>
        </w:rPr>
        <w:t xml:space="preserve"> </w:t>
      </w:r>
      <w:r w:rsidRPr="00B54998">
        <w:rPr>
          <w:rFonts w:ascii="Arial" w:hAnsi="Arial" w:cs="Arial"/>
          <w:sz w:val="20"/>
        </w:rPr>
        <w:t>including</w:t>
      </w:r>
      <w:r w:rsidRPr="00B54998">
        <w:rPr>
          <w:rFonts w:ascii="Arial" w:hAnsi="Arial" w:cs="Arial"/>
          <w:spacing w:val="-3"/>
          <w:sz w:val="20"/>
        </w:rPr>
        <w:t xml:space="preserve"> </w:t>
      </w:r>
      <w:r w:rsidRPr="00B54998">
        <w:rPr>
          <w:rFonts w:ascii="Arial" w:hAnsi="Arial" w:cs="Arial"/>
          <w:sz w:val="20"/>
        </w:rPr>
        <w:t>privileges,</w:t>
      </w:r>
      <w:r w:rsidRPr="00B54998">
        <w:rPr>
          <w:rFonts w:ascii="Arial" w:hAnsi="Arial" w:cs="Arial"/>
          <w:spacing w:val="-4"/>
          <w:sz w:val="20"/>
        </w:rPr>
        <w:t xml:space="preserve"> </w:t>
      </w:r>
      <w:r w:rsidRPr="00B54998">
        <w:rPr>
          <w:rFonts w:ascii="Arial" w:hAnsi="Arial" w:cs="Arial"/>
          <w:sz w:val="20"/>
        </w:rPr>
        <w:t>ratings</w:t>
      </w:r>
      <w:r w:rsidRPr="00B54998">
        <w:rPr>
          <w:rFonts w:ascii="Arial" w:hAnsi="Arial" w:cs="Arial"/>
          <w:spacing w:val="-2"/>
          <w:sz w:val="20"/>
        </w:rPr>
        <w:t xml:space="preserve"> </w:t>
      </w:r>
      <w:r w:rsidRPr="00B54998">
        <w:rPr>
          <w:rFonts w:ascii="Arial" w:hAnsi="Arial" w:cs="Arial"/>
          <w:sz w:val="20"/>
        </w:rPr>
        <w:t>and</w:t>
      </w:r>
      <w:r w:rsidRPr="00B54998">
        <w:rPr>
          <w:rFonts w:ascii="Arial" w:hAnsi="Arial" w:cs="Arial"/>
          <w:spacing w:val="-3"/>
          <w:sz w:val="20"/>
        </w:rPr>
        <w:t xml:space="preserve"> </w:t>
      </w:r>
      <w:r w:rsidRPr="00B54998">
        <w:rPr>
          <w:rFonts w:ascii="Arial" w:hAnsi="Arial" w:cs="Arial"/>
          <w:sz w:val="20"/>
        </w:rPr>
        <w:t>certificates</w:t>
      </w:r>
      <w:r w:rsidRPr="00B54998">
        <w:rPr>
          <w:rFonts w:ascii="Arial" w:hAnsi="Arial" w:cs="Arial"/>
          <w:spacing w:val="-5"/>
          <w:sz w:val="20"/>
        </w:rPr>
        <w:t xml:space="preserve"> </w:t>
      </w:r>
      <w:r w:rsidRPr="00B54998">
        <w:rPr>
          <w:rFonts w:ascii="Arial" w:hAnsi="Arial" w:cs="Arial"/>
          <w:sz w:val="20"/>
        </w:rPr>
        <w:t>for</w:t>
      </w:r>
      <w:r w:rsidRPr="00B54998">
        <w:rPr>
          <w:rFonts w:ascii="Arial" w:hAnsi="Arial" w:cs="Arial"/>
          <w:spacing w:val="-5"/>
          <w:sz w:val="20"/>
        </w:rPr>
        <w:t xml:space="preserve"> </w:t>
      </w:r>
      <w:r w:rsidRPr="00B54998">
        <w:rPr>
          <w:rFonts w:ascii="Arial" w:hAnsi="Arial" w:cs="Arial"/>
          <w:sz w:val="20"/>
        </w:rPr>
        <w:t>which</w:t>
      </w:r>
      <w:r w:rsidRPr="00B54998">
        <w:rPr>
          <w:rFonts w:ascii="Arial" w:hAnsi="Arial" w:cs="Arial"/>
          <w:spacing w:val="-3"/>
          <w:sz w:val="20"/>
        </w:rPr>
        <w:t xml:space="preserve"> </w:t>
      </w:r>
      <w:r w:rsidRPr="00B54998">
        <w:rPr>
          <w:rFonts w:ascii="Arial" w:hAnsi="Arial" w:cs="Arial"/>
          <w:sz w:val="20"/>
        </w:rPr>
        <w:t>he</w:t>
      </w:r>
      <w:r w:rsidRPr="00B54998">
        <w:rPr>
          <w:rFonts w:ascii="Arial" w:hAnsi="Arial" w:cs="Arial"/>
          <w:spacing w:val="-3"/>
          <w:sz w:val="20"/>
        </w:rPr>
        <w:t xml:space="preserve"> </w:t>
      </w:r>
      <w:r w:rsidRPr="00B54998">
        <w:rPr>
          <w:rFonts w:ascii="Arial" w:hAnsi="Arial" w:cs="Arial"/>
          <w:sz w:val="20"/>
        </w:rPr>
        <w:t>or</w:t>
      </w:r>
      <w:r w:rsidRPr="00B54998">
        <w:rPr>
          <w:rFonts w:ascii="Arial" w:hAnsi="Arial" w:cs="Arial"/>
          <w:spacing w:val="-2"/>
          <w:sz w:val="20"/>
        </w:rPr>
        <w:t xml:space="preserve"> </w:t>
      </w:r>
      <w:r w:rsidRPr="00B54998">
        <w:rPr>
          <w:rFonts w:ascii="Arial" w:hAnsi="Arial" w:cs="Arial"/>
          <w:sz w:val="20"/>
        </w:rPr>
        <w:t>she</w:t>
      </w:r>
      <w:r w:rsidRPr="00B54998">
        <w:rPr>
          <w:rFonts w:ascii="Arial" w:hAnsi="Arial" w:cs="Arial"/>
          <w:spacing w:val="-3"/>
          <w:sz w:val="20"/>
        </w:rPr>
        <w:t xml:space="preserve"> </w:t>
      </w:r>
      <w:r w:rsidRPr="00B54998">
        <w:rPr>
          <w:rFonts w:ascii="Arial" w:hAnsi="Arial" w:cs="Arial"/>
          <w:sz w:val="20"/>
        </w:rPr>
        <w:t>is</w:t>
      </w:r>
      <w:r w:rsidRPr="00B54998">
        <w:rPr>
          <w:rFonts w:ascii="Arial" w:hAnsi="Arial" w:cs="Arial"/>
          <w:spacing w:val="-5"/>
          <w:sz w:val="20"/>
        </w:rPr>
        <w:t xml:space="preserve"> </w:t>
      </w:r>
      <w:r w:rsidRPr="00B54998">
        <w:rPr>
          <w:rFonts w:ascii="Arial" w:hAnsi="Arial" w:cs="Arial"/>
          <w:sz w:val="20"/>
        </w:rPr>
        <w:t>authorised</w:t>
      </w:r>
      <w:r w:rsidRPr="00B54998">
        <w:rPr>
          <w:rFonts w:ascii="Arial" w:hAnsi="Arial" w:cs="Arial"/>
          <w:spacing w:val="-47"/>
          <w:sz w:val="20"/>
        </w:rPr>
        <w:t xml:space="preserve"> </w:t>
      </w:r>
      <w:r w:rsidRPr="00B54998">
        <w:rPr>
          <w:rFonts w:ascii="Arial" w:hAnsi="Arial" w:cs="Arial"/>
          <w:sz w:val="20"/>
        </w:rPr>
        <w:t>to conduct skill tests, proficiency checks or assessments of competence, and the</w:t>
      </w:r>
      <w:r w:rsidRPr="00B54998">
        <w:rPr>
          <w:rFonts w:ascii="Arial" w:hAnsi="Arial" w:cs="Arial"/>
          <w:spacing w:val="1"/>
          <w:sz w:val="20"/>
        </w:rPr>
        <w:t xml:space="preserve"> </w:t>
      </w:r>
      <w:r w:rsidRPr="00B54998">
        <w:rPr>
          <w:rFonts w:ascii="Arial" w:hAnsi="Arial" w:cs="Arial"/>
          <w:sz w:val="20"/>
        </w:rPr>
        <w:t>privileges</w:t>
      </w:r>
      <w:r w:rsidRPr="00B54998">
        <w:rPr>
          <w:rFonts w:ascii="Arial" w:hAnsi="Arial" w:cs="Arial"/>
          <w:spacing w:val="-1"/>
          <w:sz w:val="20"/>
        </w:rPr>
        <w:t xml:space="preserve"> </w:t>
      </w:r>
      <w:r w:rsidRPr="00B54998">
        <w:rPr>
          <w:rFonts w:ascii="Arial" w:hAnsi="Arial" w:cs="Arial"/>
          <w:sz w:val="20"/>
        </w:rPr>
        <w:t>to</w:t>
      </w:r>
      <w:r w:rsidRPr="00B54998">
        <w:rPr>
          <w:rFonts w:ascii="Arial" w:hAnsi="Arial" w:cs="Arial"/>
          <w:spacing w:val="-1"/>
          <w:sz w:val="20"/>
        </w:rPr>
        <w:t xml:space="preserve"> </w:t>
      </w:r>
      <w:r w:rsidRPr="00B54998">
        <w:rPr>
          <w:rFonts w:ascii="Arial" w:hAnsi="Arial" w:cs="Arial"/>
          <w:sz w:val="20"/>
        </w:rPr>
        <w:t>instruct</w:t>
      </w:r>
      <w:r w:rsidRPr="00B54998">
        <w:rPr>
          <w:rFonts w:ascii="Arial" w:hAnsi="Arial" w:cs="Arial"/>
          <w:spacing w:val="-2"/>
          <w:sz w:val="20"/>
        </w:rPr>
        <w:t xml:space="preserve"> </w:t>
      </w:r>
      <w:r w:rsidRPr="00B54998">
        <w:rPr>
          <w:rFonts w:ascii="Arial" w:hAnsi="Arial" w:cs="Arial"/>
          <w:sz w:val="20"/>
        </w:rPr>
        <w:t>for</w:t>
      </w:r>
      <w:r w:rsidRPr="00B54998">
        <w:rPr>
          <w:rFonts w:ascii="Arial" w:hAnsi="Arial" w:cs="Arial"/>
          <w:spacing w:val="-3"/>
          <w:sz w:val="20"/>
        </w:rPr>
        <w:t xml:space="preserve"> </w:t>
      </w:r>
      <w:r w:rsidRPr="00B54998">
        <w:rPr>
          <w:rFonts w:ascii="Arial" w:hAnsi="Arial" w:cs="Arial"/>
          <w:sz w:val="20"/>
        </w:rPr>
        <w:t>them;</w:t>
      </w:r>
    </w:p>
    <w:p w14:paraId="2EBE6E81" w14:textId="77777777" w:rsidR="00B54998" w:rsidRPr="00B54998" w:rsidRDefault="00B54998" w:rsidP="00E532A6">
      <w:pPr>
        <w:pStyle w:val="ListParagraph"/>
        <w:numPr>
          <w:ilvl w:val="2"/>
          <w:numId w:val="269"/>
        </w:numPr>
        <w:tabs>
          <w:tab w:val="left" w:pos="1842"/>
        </w:tabs>
        <w:spacing w:before="121"/>
        <w:jc w:val="both"/>
        <w:rPr>
          <w:rFonts w:ascii="Arial" w:hAnsi="Arial" w:cs="Arial"/>
          <w:sz w:val="20"/>
        </w:rPr>
      </w:pPr>
      <w:r w:rsidRPr="00B54998">
        <w:rPr>
          <w:rFonts w:ascii="Arial" w:hAnsi="Arial" w:cs="Arial"/>
          <w:sz w:val="20"/>
        </w:rPr>
        <w:t>an FE(B) certificate including privileges appropriate to the skill test, proficiency</w:t>
      </w:r>
      <w:r w:rsidRPr="00B54998">
        <w:rPr>
          <w:rFonts w:ascii="Arial" w:hAnsi="Arial" w:cs="Arial"/>
          <w:spacing w:val="1"/>
          <w:sz w:val="20"/>
        </w:rPr>
        <w:t xml:space="preserve"> </w:t>
      </w:r>
      <w:r w:rsidRPr="00B54998">
        <w:rPr>
          <w:rFonts w:ascii="Arial" w:hAnsi="Arial" w:cs="Arial"/>
          <w:sz w:val="20"/>
        </w:rPr>
        <w:t>check or assessment of competence conducted, issued in accordance with this</w:t>
      </w:r>
      <w:r w:rsidRPr="00B54998">
        <w:rPr>
          <w:rFonts w:ascii="Arial" w:hAnsi="Arial" w:cs="Arial"/>
          <w:spacing w:val="1"/>
          <w:sz w:val="20"/>
        </w:rPr>
        <w:t xml:space="preserve"> </w:t>
      </w:r>
      <w:r w:rsidRPr="00B54998">
        <w:rPr>
          <w:rFonts w:ascii="Arial" w:hAnsi="Arial" w:cs="Arial"/>
          <w:sz w:val="20"/>
        </w:rPr>
        <w:t>Subpart;</w:t>
      </w:r>
    </w:p>
    <w:p w14:paraId="5AA21ACF" w14:textId="77777777" w:rsidR="00B54998" w:rsidRPr="00B54998" w:rsidRDefault="00B54998" w:rsidP="00E532A6">
      <w:pPr>
        <w:pStyle w:val="ListParagraph"/>
        <w:numPr>
          <w:ilvl w:val="1"/>
          <w:numId w:val="269"/>
        </w:numPr>
        <w:tabs>
          <w:tab w:val="left" w:pos="1274"/>
        </w:tabs>
        <w:spacing w:before="121"/>
        <w:jc w:val="both"/>
        <w:rPr>
          <w:rFonts w:ascii="Arial" w:hAnsi="Arial" w:cs="Arial"/>
          <w:sz w:val="20"/>
        </w:rPr>
      </w:pPr>
      <w:r w:rsidRPr="00B54998">
        <w:rPr>
          <w:rFonts w:ascii="Arial" w:hAnsi="Arial" w:cs="Arial"/>
          <w:sz w:val="20"/>
        </w:rPr>
        <w:t>is entitled to act as PIC in a balloon during the skill test, proficiency check or assessment</w:t>
      </w:r>
      <w:r w:rsidRPr="00B54998">
        <w:rPr>
          <w:rFonts w:ascii="Arial" w:hAnsi="Arial" w:cs="Arial"/>
          <w:spacing w:val="-47"/>
          <w:sz w:val="20"/>
        </w:rPr>
        <w:t xml:space="preserve"> </w:t>
      </w:r>
      <w:r w:rsidRPr="00B54998">
        <w:rPr>
          <w:rFonts w:ascii="Arial" w:hAnsi="Arial" w:cs="Arial"/>
          <w:sz w:val="20"/>
        </w:rPr>
        <w:t>of competence.</w:t>
      </w:r>
    </w:p>
    <w:p w14:paraId="17EB7023" w14:textId="2E29B90A" w:rsidR="00B54998" w:rsidRPr="00B54998" w:rsidRDefault="00B54998" w:rsidP="00E532A6">
      <w:pPr>
        <w:pStyle w:val="ListParagraph"/>
        <w:numPr>
          <w:ilvl w:val="0"/>
          <w:numId w:val="269"/>
        </w:numPr>
        <w:tabs>
          <w:tab w:val="left" w:pos="707"/>
        </w:tabs>
        <w:spacing w:before="118"/>
        <w:jc w:val="both"/>
        <w:rPr>
          <w:rFonts w:ascii="Arial" w:hAnsi="Arial" w:cs="Arial"/>
          <w:sz w:val="20"/>
        </w:rPr>
      </w:pPr>
      <w:r w:rsidRPr="00B54998">
        <w:rPr>
          <w:rFonts w:ascii="Arial" w:hAnsi="Arial" w:cs="Arial"/>
          <w:sz w:val="20"/>
        </w:rPr>
        <w:t>Examinations</w:t>
      </w:r>
      <w:r w:rsidRPr="00B54998">
        <w:rPr>
          <w:rFonts w:ascii="Arial" w:hAnsi="Arial" w:cs="Arial"/>
          <w:spacing w:val="-3"/>
          <w:sz w:val="20"/>
        </w:rPr>
        <w:t xml:space="preserve"> </w:t>
      </w:r>
      <w:r w:rsidRPr="00B54998">
        <w:rPr>
          <w:rFonts w:ascii="Arial" w:hAnsi="Arial" w:cs="Arial"/>
          <w:sz w:val="20"/>
        </w:rPr>
        <w:t>conducted</w:t>
      </w:r>
      <w:r w:rsidRPr="00B54998">
        <w:rPr>
          <w:rFonts w:ascii="Arial" w:hAnsi="Arial" w:cs="Arial"/>
          <w:spacing w:val="-3"/>
          <w:sz w:val="20"/>
        </w:rPr>
        <w:t xml:space="preserve"> </w:t>
      </w:r>
      <w:r w:rsidRPr="00B54998">
        <w:rPr>
          <w:rFonts w:ascii="Arial" w:hAnsi="Arial" w:cs="Arial"/>
          <w:sz w:val="20"/>
        </w:rPr>
        <w:t>outside the</w:t>
      </w:r>
      <w:r w:rsidRPr="00B54998">
        <w:rPr>
          <w:rFonts w:ascii="Arial" w:hAnsi="Arial" w:cs="Arial"/>
          <w:spacing w:val="-2"/>
          <w:sz w:val="20"/>
        </w:rPr>
        <w:t xml:space="preserve"> </w:t>
      </w:r>
      <w:r w:rsidRPr="00B54998">
        <w:rPr>
          <w:rFonts w:ascii="Arial" w:hAnsi="Arial" w:cs="Arial"/>
          <w:sz w:val="20"/>
        </w:rPr>
        <w:t>territory</w:t>
      </w:r>
      <w:r w:rsidRPr="00B54998">
        <w:rPr>
          <w:rFonts w:ascii="Arial" w:hAnsi="Arial" w:cs="Arial"/>
          <w:spacing w:val="-3"/>
          <w:sz w:val="20"/>
        </w:rPr>
        <w:t xml:space="preserve"> </w:t>
      </w:r>
      <w:r w:rsidRPr="00B54998">
        <w:rPr>
          <w:rFonts w:ascii="Arial" w:hAnsi="Arial" w:cs="Arial"/>
          <w:sz w:val="20"/>
        </w:rPr>
        <w:t>of</w:t>
      </w:r>
      <w:r w:rsidRPr="00B54998">
        <w:rPr>
          <w:rFonts w:ascii="Arial" w:hAnsi="Arial" w:cs="Arial"/>
          <w:spacing w:val="-1"/>
          <w:sz w:val="20"/>
        </w:rPr>
        <w:t xml:space="preserve"> </w:t>
      </w:r>
      <w:r w:rsidR="005F5690">
        <w:rPr>
          <w:rFonts w:ascii="Arial" w:hAnsi="Arial" w:cs="Arial"/>
          <w:sz w:val="20"/>
        </w:rPr>
        <w:t>the Republic of Armenia</w:t>
      </w:r>
    </w:p>
    <w:p w14:paraId="3E39A8A3" w14:textId="2608CDFA" w:rsidR="00B54998" w:rsidRPr="00B54998" w:rsidRDefault="00B54998" w:rsidP="00E532A6">
      <w:pPr>
        <w:pStyle w:val="ListParagraph"/>
        <w:numPr>
          <w:ilvl w:val="1"/>
          <w:numId w:val="269"/>
        </w:numPr>
        <w:tabs>
          <w:tab w:val="left" w:pos="1274"/>
        </w:tabs>
        <w:jc w:val="both"/>
        <w:rPr>
          <w:rFonts w:ascii="Arial" w:hAnsi="Arial" w:cs="Arial"/>
          <w:sz w:val="20"/>
        </w:rPr>
      </w:pPr>
      <w:r w:rsidRPr="00B54998">
        <w:rPr>
          <w:rFonts w:ascii="Arial" w:hAnsi="Arial" w:cs="Arial"/>
          <w:sz w:val="20"/>
        </w:rPr>
        <w:t>By way of derogation from paragraph (a)(1), in the case of skill tests and proficiency</w:t>
      </w:r>
      <w:r w:rsidRPr="00B54998">
        <w:rPr>
          <w:rFonts w:ascii="Arial" w:hAnsi="Arial" w:cs="Arial"/>
          <w:spacing w:val="1"/>
          <w:sz w:val="20"/>
        </w:rPr>
        <w:t xml:space="preserve"> </w:t>
      </w:r>
      <w:r w:rsidRPr="00B54998">
        <w:rPr>
          <w:rFonts w:ascii="Arial" w:hAnsi="Arial" w:cs="Arial"/>
          <w:sz w:val="20"/>
        </w:rPr>
        <w:t xml:space="preserve">checks performed outside the territory for which </w:t>
      </w:r>
      <w:r w:rsidR="00BE47FC">
        <w:rPr>
          <w:rFonts w:ascii="Arial" w:hAnsi="Arial" w:cs="Arial"/>
          <w:sz w:val="20"/>
        </w:rPr>
        <w:t xml:space="preserve">the Republic of Armenia is </w:t>
      </w:r>
      <w:r w:rsidRPr="00B54998">
        <w:rPr>
          <w:rFonts w:ascii="Arial" w:hAnsi="Arial" w:cs="Arial"/>
          <w:sz w:val="20"/>
        </w:rPr>
        <w:t>responsible under</w:t>
      </w:r>
      <w:r w:rsidRPr="00B54998">
        <w:rPr>
          <w:rFonts w:ascii="Arial" w:hAnsi="Arial" w:cs="Arial"/>
          <w:spacing w:val="1"/>
          <w:sz w:val="20"/>
        </w:rPr>
        <w:t xml:space="preserve"> </w:t>
      </w:r>
      <w:r w:rsidRPr="00B54998">
        <w:rPr>
          <w:rFonts w:ascii="Arial" w:hAnsi="Arial" w:cs="Arial"/>
          <w:sz w:val="20"/>
        </w:rPr>
        <w:t xml:space="preserve">the Chicago Convention, the </w:t>
      </w:r>
      <w:r w:rsidR="003C6906">
        <w:rPr>
          <w:rFonts w:ascii="Arial" w:hAnsi="Arial" w:cs="Arial"/>
          <w:sz w:val="20"/>
          <w:szCs w:val="20"/>
        </w:rPr>
        <w:t xml:space="preserve">CAC RA </w:t>
      </w:r>
      <w:r w:rsidRPr="00B54998">
        <w:rPr>
          <w:rFonts w:ascii="Arial" w:hAnsi="Arial" w:cs="Arial"/>
          <w:sz w:val="20"/>
        </w:rPr>
        <w:t>shall issue an examiner certificate to</w:t>
      </w:r>
      <w:r w:rsidRPr="00B54998">
        <w:rPr>
          <w:rFonts w:ascii="Arial" w:hAnsi="Arial" w:cs="Arial"/>
          <w:spacing w:val="1"/>
          <w:sz w:val="20"/>
        </w:rPr>
        <w:t xml:space="preserve"> </w:t>
      </w:r>
      <w:r w:rsidRPr="00B54998">
        <w:rPr>
          <w:rFonts w:ascii="Arial" w:hAnsi="Arial" w:cs="Arial"/>
          <w:sz w:val="20"/>
        </w:rPr>
        <w:t>an applicant who holds a balloon pilot licence that is compliant with Annex 1 to the</w:t>
      </w:r>
      <w:r w:rsidRPr="00B54998">
        <w:rPr>
          <w:rFonts w:ascii="Arial" w:hAnsi="Arial" w:cs="Arial"/>
          <w:spacing w:val="1"/>
          <w:sz w:val="20"/>
        </w:rPr>
        <w:t xml:space="preserve"> </w:t>
      </w:r>
      <w:r w:rsidRPr="00B54998">
        <w:rPr>
          <w:rFonts w:ascii="Arial" w:hAnsi="Arial" w:cs="Arial"/>
          <w:sz w:val="20"/>
        </w:rPr>
        <w:t>Chicago Convention,</w:t>
      </w:r>
      <w:r w:rsidRPr="00B54998">
        <w:rPr>
          <w:rFonts w:ascii="Arial" w:hAnsi="Arial" w:cs="Arial"/>
          <w:spacing w:val="-3"/>
          <w:sz w:val="20"/>
        </w:rPr>
        <w:t xml:space="preserve"> </w:t>
      </w:r>
      <w:r w:rsidRPr="00B54998">
        <w:rPr>
          <w:rFonts w:ascii="Arial" w:hAnsi="Arial" w:cs="Arial"/>
          <w:sz w:val="20"/>
        </w:rPr>
        <w:t>provided that the</w:t>
      </w:r>
      <w:r w:rsidRPr="00B54998">
        <w:rPr>
          <w:rFonts w:ascii="Arial" w:hAnsi="Arial" w:cs="Arial"/>
          <w:spacing w:val="1"/>
          <w:sz w:val="20"/>
        </w:rPr>
        <w:t xml:space="preserve"> </w:t>
      </w:r>
      <w:r w:rsidRPr="00B54998">
        <w:rPr>
          <w:rFonts w:ascii="Arial" w:hAnsi="Arial" w:cs="Arial"/>
          <w:sz w:val="20"/>
        </w:rPr>
        <w:t>applicant:</w:t>
      </w:r>
    </w:p>
    <w:p w14:paraId="4507385A" w14:textId="77777777" w:rsidR="00B54998" w:rsidRPr="00B54998" w:rsidRDefault="00B54998" w:rsidP="00E532A6">
      <w:pPr>
        <w:pStyle w:val="ListParagraph"/>
        <w:numPr>
          <w:ilvl w:val="2"/>
          <w:numId w:val="269"/>
        </w:numPr>
        <w:tabs>
          <w:tab w:val="left" w:pos="1842"/>
        </w:tabs>
        <w:spacing w:before="122"/>
        <w:jc w:val="both"/>
        <w:rPr>
          <w:rFonts w:ascii="Arial" w:hAnsi="Arial" w:cs="Arial"/>
          <w:sz w:val="20"/>
        </w:rPr>
      </w:pPr>
      <w:r w:rsidRPr="00B54998">
        <w:rPr>
          <w:rFonts w:ascii="Arial" w:hAnsi="Arial" w:cs="Arial"/>
          <w:sz w:val="20"/>
        </w:rPr>
        <w:t>holds</w:t>
      </w:r>
      <w:r w:rsidRPr="00B54998">
        <w:rPr>
          <w:rFonts w:ascii="Arial" w:hAnsi="Arial" w:cs="Arial"/>
          <w:spacing w:val="-4"/>
          <w:sz w:val="20"/>
        </w:rPr>
        <w:t xml:space="preserve"> </w:t>
      </w:r>
      <w:r w:rsidRPr="00B54998">
        <w:rPr>
          <w:rFonts w:ascii="Arial" w:hAnsi="Arial" w:cs="Arial"/>
          <w:sz w:val="20"/>
        </w:rPr>
        <w:t>at</w:t>
      </w:r>
      <w:r w:rsidRPr="00B54998">
        <w:rPr>
          <w:rFonts w:ascii="Arial" w:hAnsi="Arial" w:cs="Arial"/>
          <w:spacing w:val="-3"/>
          <w:sz w:val="20"/>
        </w:rPr>
        <w:t xml:space="preserve"> </w:t>
      </w:r>
      <w:r w:rsidRPr="00B54998">
        <w:rPr>
          <w:rFonts w:ascii="Arial" w:hAnsi="Arial" w:cs="Arial"/>
          <w:sz w:val="20"/>
        </w:rPr>
        <w:t>least</w:t>
      </w:r>
      <w:r w:rsidRPr="00B54998">
        <w:rPr>
          <w:rFonts w:ascii="Arial" w:hAnsi="Arial" w:cs="Arial"/>
          <w:spacing w:val="-3"/>
          <w:sz w:val="20"/>
        </w:rPr>
        <w:t xml:space="preserve"> </w:t>
      </w:r>
      <w:r w:rsidRPr="00B54998">
        <w:rPr>
          <w:rFonts w:ascii="Arial" w:hAnsi="Arial" w:cs="Arial"/>
          <w:sz w:val="20"/>
        </w:rPr>
        <w:t>a</w:t>
      </w:r>
      <w:r w:rsidRPr="00B54998">
        <w:rPr>
          <w:rFonts w:ascii="Arial" w:hAnsi="Arial" w:cs="Arial"/>
          <w:spacing w:val="-4"/>
          <w:sz w:val="20"/>
        </w:rPr>
        <w:t xml:space="preserve"> </w:t>
      </w:r>
      <w:r w:rsidRPr="00B54998">
        <w:rPr>
          <w:rFonts w:ascii="Arial" w:hAnsi="Arial" w:cs="Arial"/>
          <w:sz w:val="20"/>
        </w:rPr>
        <w:t>licence</w:t>
      </w:r>
      <w:r w:rsidRPr="00B54998">
        <w:rPr>
          <w:rFonts w:ascii="Arial" w:hAnsi="Arial" w:cs="Arial"/>
          <w:spacing w:val="-3"/>
          <w:sz w:val="20"/>
        </w:rPr>
        <w:t xml:space="preserve"> </w:t>
      </w:r>
      <w:r w:rsidRPr="00B54998">
        <w:rPr>
          <w:rFonts w:ascii="Arial" w:hAnsi="Arial" w:cs="Arial"/>
          <w:sz w:val="20"/>
        </w:rPr>
        <w:t>including,</w:t>
      </w:r>
      <w:r w:rsidRPr="00B54998">
        <w:rPr>
          <w:rFonts w:ascii="Arial" w:hAnsi="Arial" w:cs="Arial"/>
          <w:spacing w:val="-3"/>
          <w:sz w:val="20"/>
        </w:rPr>
        <w:t xml:space="preserve"> </w:t>
      </w:r>
      <w:r w:rsidRPr="00B54998">
        <w:rPr>
          <w:rFonts w:ascii="Arial" w:hAnsi="Arial" w:cs="Arial"/>
          <w:sz w:val="20"/>
        </w:rPr>
        <w:t>where</w:t>
      </w:r>
      <w:r w:rsidRPr="00B54998">
        <w:rPr>
          <w:rFonts w:ascii="Arial" w:hAnsi="Arial" w:cs="Arial"/>
          <w:spacing w:val="-4"/>
          <w:sz w:val="20"/>
        </w:rPr>
        <w:t xml:space="preserve"> </w:t>
      </w:r>
      <w:r w:rsidRPr="00B54998">
        <w:rPr>
          <w:rFonts w:ascii="Arial" w:hAnsi="Arial" w:cs="Arial"/>
          <w:sz w:val="20"/>
        </w:rPr>
        <w:t>relevant,</w:t>
      </w:r>
      <w:r w:rsidRPr="00B54998">
        <w:rPr>
          <w:rFonts w:ascii="Arial" w:hAnsi="Arial" w:cs="Arial"/>
          <w:spacing w:val="-3"/>
          <w:sz w:val="20"/>
        </w:rPr>
        <w:t xml:space="preserve"> </w:t>
      </w:r>
      <w:r w:rsidRPr="00B54998">
        <w:rPr>
          <w:rFonts w:ascii="Arial" w:hAnsi="Arial" w:cs="Arial"/>
          <w:sz w:val="20"/>
        </w:rPr>
        <w:t>privileges,</w:t>
      </w:r>
      <w:r w:rsidRPr="00B54998">
        <w:rPr>
          <w:rFonts w:ascii="Arial" w:hAnsi="Arial" w:cs="Arial"/>
          <w:spacing w:val="-2"/>
          <w:sz w:val="20"/>
        </w:rPr>
        <w:t xml:space="preserve"> </w:t>
      </w:r>
      <w:r w:rsidRPr="00B54998">
        <w:rPr>
          <w:rFonts w:ascii="Arial" w:hAnsi="Arial" w:cs="Arial"/>
          <w:sz w:val="20"/>
        </w:rPr>
        <w:t>ratings,</w:t>
      </w:r>
      <w:r w:rsidRPr="00B54998">
        <w:rPr>
          <w:rFonts w:ascii="Arial" w:hAnsi="Arial" w:cs="Arial"/>
          <w:spacing w:val="-7"/>
          <w:sz w:val="20"/>
        </w:rPr>
        <w:t xml:space="preserve"> </w:t>
      </w:r>
      <w:r w:rsidRPr="00B54998">
        <w:rPr>
          <w:rFonts w:ascii="Arial" w:hAnsi="Arial" w:cs="Arial"/>
          <w:sz w:val="20"/>
        </w:rPr>
        <w:t>or</w:t>
      </w:r>
      <w:r w:rsidRPr="00B54998">
        <w:rPr>
          <w:rFonts w:ascii="Arial" w:hAnsi="Arial" w:cs="Arial"/>
          <w:spacing w:val="-3"/>
          <w:sz w:val="20"/>
        </w:rPr>
        <w:t xml:space="preserve"> </w:t>
      </w:r>
      <w:r w:rsidRPr="00B54998">
        <w:rPr>
          <w:rFonts w:ascii="Arial" w:hAnsi="Arial" w:cs="Arial"/>
          <w:sz w:val="20"/>
        </w:rPr>
        <w:t>certificates</w:t>
      </w:r>
      <w:r w:rsidRPr="00B54998">
        <w:rPr>
          <w:rFonts w:ascii="Arial" w:hAnsi="Arial" w:cs="Arial"/>
          <w:spacing w:val="-47"/>
          <w:sz w:val="20"/>
        </w:rPr>
        <w:t xml:space="preserve"> </w:t>
      </w:r>
      <w:r w:rsidRPr="00B54998">
        <w:rPr>
          <w:rFonts w:ascii="Arial" w:hAnsi="Arial" w:cs="Arial"/>
          <w:sz w:val="20"/>
        </w:rPr>
        <w:t>equivalent to those for which he or she is authorised to conduct skill tests or</w:t>
      </w:r>
      <w:r w:rsidRPr="00B54998">
        <w:rPr>
          <w:rFonts w:ascii="Arial" w:hAnsi="Arial" w:cs="Arial"/>
          <w:spacing w:val="1"/>
          <w:sz w:val="20"/>
        </w:rPr>
        <w:t xml:space="preserve"> </w:t>
      </w:r>
      <w:r w:rsidRPr="00B54998">
        <w:rPr>
          <w:rFonts w:ascii="Arial" w:hAnsi="Arial" w:cs="Arial"/>
          <w:sz w:val="20"/>
        </w:rPr>
        <w:t>proficiency</w:t>
      </w:r>
      <w:r w:rsidRPr="00B54998">
        <w:rPr>
          <w:rFonts w:ascii="Arial" w:hAnsi="Arial" w:cs="Arial"/>
          <w:spacing w:val="-1"/>
          <w:sz w:val="20"/>
        </w:rPr>
        <w:t xml:space="preserve"> </w:t>
      </w:r>
      <w:r w:rsidRPr="00B54998">
        <w:rPr>
          <w:rFonts w:ascii="Arial" w:hAnsi="Arial" w:cs="Arial"/>
          <w:sz w:val="20"/>
        </w:rPr>
        <w:t>checks;</w:t>
      </w:r>
    </w:p>
    <w:p w14:paraId="4109A4F2" w14:textId="77777777" w:rsidR="00B54998" w:rsidRPr="00B54998" w:rsidRDefault="00B54998" w:rsidP="00E532A6">
      <w:pPr>
        <w:pStyle w:val="ListParagraph"/>
        <w:numPr>
          <w:ilvl w:val="2"/>
          <w:numId w:val="269"/>
        </w:numPr>
        <w:tabs>
          <w:tab w:val="left" w:pos="1842"/>
        </w:tabs>
        <w:spacing w:before="123" w:line="237" w:lineRule="auto"/>
        <w:jc w:val="both"/>
        <w:rPr>
          <w:rFonts w:ascii="Arial" w:hAnsi="Arial" w:cs="Arial"/>
          <w:sz w:val="20"/>
        </w:rPr>
      </w:pPr>
      <w:r w:rsidRPr="00B54998">
        <w:rPr>
          <w:rFonts w:ascii="Arial" w:hAnsi="Arial" w:cs="Arial"/>
          <w:sz w:val="20"/>
        </w:rPr>
        <w:t>complies with the requirements established in this Subpart for the issue of the</w:t>
      </w:r>
      <w:r w:rsidRPr="00B54998">
        <w:rPr>
          <w:rFonts w:ascii="Arial" w:hAnsi="Arial" w:cs="Arial"/>
          <w:spacing w:val="1"/>
          <w:sz w:val="20"/>
        </w:rPr>
        <w:t xml:space="preserve"> </w:t>
      </w:r>
      <w:r w:rsidRPr="00B54998">
        <w:rPr>
          <w:rFonts w:ascii="Arial" w:hAnsi="Arial" w:cs="Arial"/>
          <w:sz w:val="20"/>
        </w:rPr>
        <w:t>relevant</w:t>
      </w:r>
      <w:r w:rsidRPr="00B54998">
        <w:rPr>
          <w:rFonts w:ascii="Arial" w:hAnsi="Arial" w:cs="Arial"/>
          <w:spacing w:val="-1"/>
          <w:sz w:val="20"/>
        </w:rPr>
        <w:t xml:space="preserve"> </w:t>
      </w:r>
      <w:r w:rsidRPr="00B54998">
        <w:rPr>
          <w:rFonts w:ascii="Arial" w:hAnsi="Arial" w:cs="Arial"/>
          <w:sz w:val="20"/>
        </w:rPr>
        <w:t>examiner certificate;</w:t>
      </w:r>
    </w:p>
    <w:p w14:paraId="2A099FFF" w14:textId="70877C21" w:rsidR="00B54998" w:rsidRPr="00B54998" w:rsidRDefault="00B54998" w:rsidP="00E532A6">
      <w:pPr>
        <w:pStyle w:val="ListParagraph"/>
        <w:numPr>
          <w:ilvl w:val="2"/>
          <w:numId w:val="269"/>
        </w:numPr>
        <w:tabs>
          <w:tab w:val="left" w:pos="1842"/>
        </w:tabs>
        <w:spacing w:before="121"/>
        <w:jc w:val="both"/>
        <w:rPr>
          <w:rFonts w:ascii="Arial" w:hAnsi="Arial" w:cs="Arial"/>
          <w:sz w:val="20"/>
        </w:rPr>
      </w:pPr>
      <w:r w:rsidRPr="00B54998">
        <w:rPr>
          <w:rFonts w:ascii="Arial" w:hAnsi="Arial" w:cs="Arial"/>
          <w:sz w:val="20"/>
        </w:rPr>
        <w:t xml:space="preserve">demonstrates to the </w:t>
      </w:r>
      <w:r w:rsidR="003C6906">
        <w:rPr>
          <w:rFonts w:ascii="Arial" w:hAnsi="Arial" w:cs="Arial"/>
          <w:sz w:val="20"/>
          <w:szCs w:val="20"/>
        </w:rPr>
        <w:t xml:space="preserve">CAC RA </w:t>
      </w:r>
      <w:r w:rsidRPr="00B54998">
        <w:rPr>
          <w:rFonts w:ascii="Arial" w:hAnsi="Arial" w:cs="Arial"/>
          <w:sz w:val="20"/>
        </w:rPr>
        <w:t>an adequate level of knowledge of</w:t>
      </w:r>
      <w:r w:rsidRPr="00B54998">
        <w:rPr>
          <w:rFonts w:ascii="Arial" w:hAnsi="Arial" w:cs="Arial"/>
          <w:spacing w:val="1"/>
          <w:sz w:val="20"/>
        </w:rPr>
        <w:t xml:space="preserve"> </w:t>
      </w:r>
      <w:r w:rsidRPr="00B54998">
        <w:rPr>
          <w:rFonts w:ascii="Arial" w:hAnsi="Arial" w:cs="Arial"/>
          <w:sz w:val="20"/>
        </w:rPr>
        <w:t>European</w:t>
      </w:r>
      <w:r w:rsidRPr="00B54998">
        <w:rPr>
          <w:rFonts w:ascii="Arial" w:hAnsi="Arial" w:cs="Arial"/>
          <w:spacing w:val="1"/>
          <w:sz w:val="20"/>
        </w:rPr>
        <w:t xml:space="preserve"> </w:t>
      </w:r>
      <w:r w:rsidRPr="00B54998">
        <w:rPr>
          <w:rFonts w:ascii="Arial" w:hAnsi="Arial" w:cs="Arial"/>
          <w:sz w:val="20"/>
        </w:rPr>
        <w:t>aviation</w:t>
      </w:r>
      <w:r w:rsidRPr="00B54998">
        <w:rPr>
          <w:rFonts w:ascii="Arial" w:hAnsi="Arial" w:cs="Arial"/>
          <w:spacing w:val="1"/>
          <w:sz w:val="20"/>
        </w:rPr>
        <w:t xml:space="preserve"> </w:t>
      </w:r>
      <w:r w:rsidRPr="00B54998">
        <w:rPr>
          <w:rFonts w:ascii="Arial" w:hAnsi="Arial" w:cs="Arial"/>
          <w:sz w:val="20"/>
        </w:rPr>
        <w:t>safety</w:t>
      </w:r>
      <w:r w:rsidRPr="00B54998">
        <w:rPr>
          <w:rFonts w:ascii="Arial" w:hAnsi="Arial" w:cs="Arial"/>
          <w:spacing w:val="1"/>
          <w:sz w:val="20"/>
        </w:rPr>
        <w:t xml:space="preserve"> </w:t>
      </w:r>
      <w:r w:rsidRPr="00B54998">
        <w:rPr>
          <w:rFonts w:ascii="Arial" w:hAnsi="Arial" w:cs="Arial"/>
          <w:sz w:val="20"/>
        </w:rPr>
        <w:t>rules</w:t>
      </w:r>
      <w:r w:rsidRPr="00B54998">
        <w:rPr>
          <w:rFonts w:ascii="Arial" w:hAnsi="Arial" w:cs="Arial"/>
          <w:spacing w:val="1"/>
          <w:sz w:val="20"/>
        </w:rPr>
        <w:t xml:space="preserve"> </w:t>
      </w:r>
      <w:r w:rsidRPr="00B54998">
        <w:rPr>
          <w:rFonts w:ascii="Arial" w:hAnsi="Arial" w:cs="Arial"/>
          <w:sz w:val="20"/>
        </w:rPr>
        <w:t>to</w:t>
      </w:r>
      <w:r w:rsidRPr="00B54998">
        <w:rPr>
          <w:rFonts w:ascii="Arial" w:hAnsi="Arial" w:cs="Arial"/>
          <w:spacing w:val="1"/>
          <w:sz w:val="20"/>
        </w:rPr>
        <w:t xml:space="preserve"> </w:t>
      </w:r>
      <w:r w:rsidRPr="00B54998">
        <w:rPr>
          <w:rFonts w:ascii="Arial" w:hAnsi="Arial" w:cs="Arial"/>
          <w:sz w:val="20"/>
        </w:rPr>
        <w:t>be</w:t>
      </w:r>
      <w:r w:rsidRPr="00B54998">
        <w:rPr>
          <w:rFonts w:ascii="Arial" w:hAnsi="Arial" w:cs="Arial"/>
          <w:spacing w:val="1"/>
          <w:sz w:val="20"/>
        </w:rPr>
        <w:t xml:space="preserve"> </w:t>
      </w:r>
      <w:r w:rsidRPr="00B54998">
        <w:rPr>
          <w:rFonts w:ascii="Arial" w:hAnsi="Arial" w:cs="Arial"/>
          <w:sz w:val="20"/>
        </w:rPr>
        <w:t>able</w:t>
      </w:r>
      <w:r w:rsidRPr="00B54998">
        <w:rPr>
          <w:rFonts w:ascii="Arial" w:hAnsi="Arial" w:cs="Arial"/>
          <w:spacing w:val="1"/>
          <w:sz w:val="20"/>
        </w:rPr>
        <w:t xml:space="preserve"> </w:t>
      </w:r>
      <w:r w:rsidRPr="00B54998">
        <w:rPr>
          <w:rFonts w:ascii="Arial" w:hAnsi="Arial" w:cs="Arial"/>
          <w:sz w:val="20"/>
        </w:rPr>
        <w:t>to</w:t>
      </w:r>
      <w:r w:rsidRPr="00B54998">
        <w:rPr>
          <w:rFonts w:ascii="Arial" w:hAnsi="Arial" w:cs="Arial"/>
          <w:spacing w:val="1"/>
          <w:sz w:val="20"/>
        </w:rPr>
        <w:t xml:space="preserve"> </w:t>
      </w:r>
      <w:r w:rsidRPr="00B54998">
        <w:rPr>
          <w:rFonts w:ascii="Arial" w:hAnsi="Arial" w:cs="Arial"/>
          <w:sz w:val="20"/>
        </w:rPr>
        <w:t>exercise</w:t>
      </w:r>
      <w:r w:rsidRPr="00B54998">
        <w:rPr>
          <w:rFonts w:ascii="Arial" w:hAnsi="Arial" w:cs="Arial"/>
          <w:spacing w:val="1"/>
          <w:sz w:val="20"/>
        </w:rPr>
        <w:t xml:space="preserve"> </w:t>
      </w:r>
      <w:r w:rsidRPr="00B54998">
        <w:rPr>
          <w:rFonts w:ascii="Arial" w:hAnsi="Arial" w:cs="Arial"/>
          <w:sz w:val="20"/>
        </w:rPr>
        <w:t>examiner</w:t>
      </w:r>
      <w:r w:rsidRPr="00B54998">
        <w:rPr>
          <w:rFonts w:ascii="Arial" w:hAnsi="Arial" w:cs="Arial"/>
          <w:spacing w:val="1"/>
          <w:sz w:val="20"/>
        </w:rPr>
        <w:t xml:space="preserve"> </w:t>
      </w:r>
      <w:r w:rsidRPr="00B54998">
        <w:rPr>
          <w:rFonts w:ascii="Arial" w:hAnsi="Arial" w:cs="Arial"/>
          <w:sz w:val="20"/>
        </w:rPr>
        <w:t>privileges</w:t>
      </w:r>
      <w:r w:rsidRPr="00B54998">
        <w:rPr>
          <w:rFonts w:ascii="Arial" w:hAnsi="Arial" w:cs="Arial"/>
          <w:spacing w:val="1"/>
          <w:sz w:val="20"/>
        </w:rPr>
        <w:t xml:space="preserve"> </w:t>
      </w:r>
      <w:r w:rsidRPr="00B54998">
        <w:rPr>
          <w:rFonts w:ascii="Arial" w:hAnsi="Arial" w:cs="Arial"/>
          <w:sz w:val="20"/>
        </w:rPr>
        <w:t>in</w:t>
      </w:r>
      <w:r w:rsidRPr="00B54998">
        <w:rPr>
          <w:rFonts w:ascii="Arial" w:hAnsi="Arial" w:cs="Arial"/>
          <w:spacing w:val="1"/>
          <w:sz w:val="20"/>
        </w:rPr>
        <w:t xml:space="preserve"> </w:t>
      </w:r>
      <w:r w:rsidRPr="00B54998">
        <w:rPr>
          <w:rFonts w:ascii="Arial" w:hAnsi="Arial" w:cs="Arial"/>
          <w:sz w:val="20"/>
        </w:rPr>
        <w:t>accordance with this Annex.</w:t>
      </w:r>
    </w:p>
    <w:p w14:paraId="4E4BC96F" w14:textId="77777777" w:rsidR="00B54998" w:rsidRPr="00B54998" w:rsidRDefault="00B54998" w:rsidP="00E532A6">
      <w:pPr>
        <w:pStyle w:val="ListParagraph"/>
        <w:numPr>
          <w:ilvl w:val="1"/>
          <w:numId w:val="269"/>
        </w:numPr>
        <w:tabs>
          <w:tab w:val="left" w:pos="1274"/>
        </w:tabs>
        <w:spacing w:before="121"/>
        <w:jc w:val="both"/>
        <w:rPr>
          <w:rFonts w:ascii="Arial" w:hAnsi="Arial" w:cs="Arial"/>
          <w:sz w:val="20"/>
        </w:rPr>
      </w:pPr>
      <w:r w:rsidRPr="00B54998">
        <w:rPr>
          <w:rFonts w:ascii="Arial" w:hAnsi="Arial" w:cs="Arial"/>
          <w:sz w:val="20"/>
        </w:rPr>
        <w:t>The certificate referred to in subparagraph (1) shall be limited to performing skill tests</w:t>
      </w:r>
      <w:r w:rsidRPr="00B54998">
        <w:rPr>
          <w:rFonts w:ascii="Arial" w:hAnsi="Arial" w:cs="Arial"/>
          <w:spacing w:val="1"/>
          <w:sz w:val="20"/>
        </w:rPr>
        <w:t xml:space="preserve"> </w:t>
      </w:r>
      <w:r w:rsidRPr="00B54998">
        <w:rPr>
          <w:rFonts w:ascii="Arial" w:hAnsi="Arial" w:cs="Arial"/>
          <w:sz w:val="20"/>
        </w:rPr>
        <w:t>and</w:t>
      </w:r>
      <w:r w:rsidRPr="00B54998">
        <w:rPr>
          <w:rFonts w:ascii="Arial" w:hAnsi="Arial" w:cs="Arial"/>
          <w:spacing w:val="-2"/>
          <w:sz w:val="20"/>
        </w:rPr>
        <w:t xml:space="preserve"> </w:t>
      </w:r>
      <w:r w:rsidRPr="00B54998">
        <w:rPr>
          <w:rFonts w:ascii="Arial" w:hAnsi="Arial" w:cs="Arial"/>
          <w:sz w:val="20"/>
        </w:rPr>
        <w:t>proficiency checks:</w:t>
      </w:r>
    </w:p>
    <w:p w14:paraId="4C7B9252" w14:textId="43119D96" w:rsidR="00B54998" w:rsidRPr="00B54998" w:rsidRDefault="00B54998" w:rsidP="00E532A6">
      <w:pPr>
        <w:pStyle w:val="ListParagraph"/>
        <w:numPr>
          <w:ilvl w:val="2"/>
          <w:numId w:val="269"/>
        </w:numPr>
        <w:tabs>
          <w:tab w:val="left" w:pos="1842"/>
        </w:tabs>
        <w:spacing w:before="121"/>
        <w:jc w:val="both"/>
        <w:rPr>
          <w:rFonts w:ascii="Arial" w:hAnsi="Arial" w:cs="Arial"/>
          <w:sz w:val="20"/>
        </w:rPr>
      </w:pPr>
      <w:r w:rsidRPr="00B54998">
        <w:rPr>
          <w:rFonts w:ascii="Arial" w:hAnsi="Arial" w:cs="Arial"/>
          <w:sz w:val="20"/>
        </w:rPr>
        <w:t xml:space="preserve">outside the territory for which </w:t>
      </w:r>
      <w:r w:rsidR="00BE47FC">
        <w:rPr>
          <w:rFonts w:ascii="Arial" w:hAnsi="Arial" w:cs="Arial"/>
          <w:sz w:val="20"/>
        </w:rPr>
        <w:t>the Republic of Armenia is</w:t>
      </w:r>
      <w:r w:rsidRPr="00B54998">
        <w:rPr>
          <w:rFonts w:ascii="Arial" w:hAnsi="Arial" w:cs="Arial"/>
          <w:sz w:val="20"/>
        </w:rPr>
        <w:t xml:space="preserve"> responsible under the Chicago</w:t>
      </w:r>
      <w:r w:rsidRPr="00B54998">
        <w:rPr>
          <w:rFonts w:ascii="Arial" w:hAnsi="Arial" w:cs="Arial"/>
          <w:spacing w:val="1"/>
          <w:sz w:val="20"/>
        </w:rPr>
        <w:t xml:space="preserve"> </w:t>
      </w:r>
      <w:r w:rsidRPr="00B54998">
        <w:rPr>
          <w:rFonts w:ascii="Arial" w:hAnsi="Arial" w:cs="Arial"/>
          <w:sz w:val="20"/>
        </w:rPr>
        <w:t>Convention;</w:t>
      </w:r>
      <w:r w:rsidRPr="00B54998">
        <w:rPr>
          <w:rFonts w:ascii="Arial" w:hAnsi="Arial" w:cs="Arial"/>
          <w:spacing w:val="-1"/>
          <w:sz w:val="20"/>
        </w:rPr>
        <w:t xml:space="preserve"> </w:t>
      </w:r>
      <w:r w:rsidRPr="00B54998">
        <w:rPr>
          <w:rFonts w:ascii="Arial" w:hAnsi="Arial" w:cs="Arial"/>
          <w:sz w:val="20"/>
        </w:rPr>
        <w:t>and</w:t>
      </w:r>
    </w:p>
    <w:p w14:paraId="3BA93C51" w14:textId="77777777" w:rsidR="00B54998" w:rsidRPr="00B54998" w:rsidRDefault="00B54998" w:rsidP="00E532A6">
      <w:pPr>
        <w:pStyle w:val="ListParagraph"/>
        <w:numPr>
          <w:ilvl w:val="2"/>
          <w:numId w:val="269"/>
        </w:numPr>
        <w:tabs>
          <w:tab w:val="left" w:pos="1842"/>
        </w:tabs>
        <w:jc w:val="both"/>
        <w:rPr>
          <w:rFonts w:ascii="Arial" w:hAnsi="Arial" w:cs="Arial"/>
          <w:sz w:val="20"/>
        </w:rPr>
      </w:pPr>
      <w:r w:rsidRPr="00B54998">
        <w:rPr>
          <w:rFonts w:ascii="Arial" w:hAnsi="Arial" w:cs="Arial"/>
          <w:sz w:val="20"/>
        </w:rPr>
        <w:t>to a pilot who has sufficient knowledge of the language in which the test/check is</w:t>
      </w:r>
      <w:r w:rsidRPr="00B54998">
        <w:rPr>
          <w:rFonts w:ascii="Arial" w:hAnsi="Arial" w:cs="Arial"/>
          <w:spacing w:val="1"/>
          <w:sz w:val="20"/>
        </w:rPr>
        <w:t xml:space="preserve"> </w:t>
      </w:r>
      <w:r w:rsidRPr="00B54998">
        <w:rPr>
          <w:rFonts w:ascii="Arial" w:hAnsi="Arial" w:cs="Arial"/>
          <w:sz w:val="20"/>
        </w:rPr>
        <w:t>provided.</w:t>
      </w:r>
    </w:p>
    <w:p w14:paraId="667BB1CF" w14:textId="77777777" w:rsidR="00B54998" w:rsidRPr="00B54998" w:rsidRDefault="00B54998" w:rsidP="00B54998">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735" w:name="BFCL.405__Limitation_of_privileges_in_ca"/>
      <w:bookmarkStart w:id="736" w:name="_bookmark302"/>
      <w:bookmarkStart w:id="737" w:name="_Toc153137467"/>
      <w:bookmarkEnd w:id="735"/>
      <w:bookmarkEnd w:id="736"/>
      <w:r w:rsidRPr="00B54998">
        <w:rPr>
          <w:rFonts w:ascii="Arial" w:eastAsia="Times New Roman" w:hAnsi="Arial" w:cs="Times New Roman"/>
          <w:b/>
          <w:iCs/>
          <w:color w:val="FFFFFF"/>
          <w:sz w:val="24"/>
        </w:rPr>
        <w:t>BFCL.405 Limitation of privileges in case of vested interests</w:t>
      </w:r>
      <w:bookmarkEnd w:id="737"/>
    </w:p>
    <w:p w14:paraId="32614FDB" w14:textId="77777777" w:rsidR="00B54998" w:rsidRPr="00B54998" w:rsidRDefault="00B54998" w:rsidP="00B54998">
      <w:pPr>
        <w:pStyle w:val="BodyText"/>
        <w:spacing w:before="0"/>
        <w:jc w:val="both"/>
        <w:rPr>
          <w:rFonts w:ascii="Arial" w:hAnsi="Arial" w:cs="Arial"/>
          <w:sz w:val="20"/>
        </w:rPr>
      </w:pPr>
      <w:r w:rsidRPr="00B54998">
        <w:rPr>
          <w:rFonts w:ascii="Arial" w:hAnsi="Arial" w:cs="Arial"/>
          <w:sz w:val="20"/>
        </w:rPr>
        <w:t>A</w:t>
      </w:r>
      <w:r w:rsidRPr="00B54998">
        <w:rPr>
          <w:rFonts w:ascii="Arial" w:hAnsi="Arial" w:cs="Arial"/>
          <w:spacing w:val="-2"/>
          <w:sz w:val="20"/>
        </w:rPr>
        <w:t xml:space="preserve"> </w:t>
      </w:r>
      <w:r w:rsidRPr="00B54998">
        <w:rPr>
          <w:rFonts w:ascii="Arial" w:hAnsi="Arial" w:cs="Arial"/>
          <w:sz w:val="20"/>
        </w:rPr>
        <w:t>balloon</w:t>
      </w:r>
      <w:r w:rsidRPr="00B54998">
        <w:rPr>
          <w:rFonts w:ascii="Arial" w:hAnsi="Arial" w:cs="Arial"/>
          <w:spacing w:val="-5"/>
          <w:sz w:val="20"/>
        </w:rPr>
        <w:t xml:space="preserve"> </w:t>
      </w:r>
      <w:r w:rsidRPr="00B54998">
        <w:rPr>
          <w:rFonts w:ascii="Arial" w:hAnsi="Arial" w:cs="Arial"/>
          <w:sz w:val="20"/>
        </w:rPr>
        <w:t>examiner</w:t>
      </w:r>
      <w:r w:rsidRPr="00B54998">
        <w:rPr>
          <w:rFonts w:ascii="Arial" w:hAnsi="Arial" w:cs="Arial"/>
          <w:spacing w:val="-3"/>
          <w:sz w:val="20"/>
        </w:rPr>
        <w:t xml:space="preserve"> </w:t>
      </w:r>
      <w:r w:rsidRPr="00B54998">
        <w:rPr>
          <w:rFonts w:ascii="Arial" w:hAnsi="Arial" w:cs="Arial"/>
          <w:sz w:val="20"/>
        </w:rPr>
        <w:t>shall</w:t>
      </w:r>
      <w:r w:rsidRPr="00B54998">
        <w:rPr>
          <w:rFonts w:ascii="Arial" w:hAnsi="Arial" w:cs="Arial"/>
          <w:spacing w:val="-1"/>
          <w:sz w:val="20"/>
        </w:rPr>
        <w:t xml:space="preserve"> </w:t>
      </w:r>
      <w:r w:rsidRPr="00B54998">
        <w:rPr>
          <w:rFonts w:ascii="Arial" w:hAnsi="Arial" w:cs="Arial"/>
          <w:sz w:val="20"/>
        </w:rPr>
        <w:t>not</w:t>
      </w:r>
      <w:r w:rsidRPr="00B54998">
        <w:rPr>
          <w:rFonts w:ascii="Arial" w:hAnsi="Arial" w:cs="Arial"/>
          <w:spacing w:val="-2"/>
          <w:sz w:val="20"/>
        </w:rPr>
        <w:t xml:space="preserve"> </w:t>
      </w:r>
      <w:r w:rsidRPr="00B54998">
        <w:rPr>
          <w:rFonts w:ascii="Arial" w:hAnsi="Arial" w:cs="Arial"/>
          <w:sz w:val="20"/>
        </w:rPr>
        <w:t>conduct:</w:t>
      </w:r>
    </w:p>
    <w:p w14:paraId="5A414F7C" w14:textId="77777777" w:rsidR="00B54998" w:rsidRPr="00B54998" w:rsidRDefault="00B54998" w:rsidP="00E532A6">
      <w:pPr>
        <w:pStyle w:val="ListParagraph"/>
        <w:numPr>
          <w:ilvl w:val="0"/>
          <w:numId w:val="270"/>
        </w:numPr>
        <w:tabs>
          <w:tab w:val="left" w:pos="707"/>
        </w:tabs>
        <w:ind w:right="68"/>
        <w:jc w:val="both"/>
        <w:rPr>
          <w:rFonts w:ascii="Arial" w:hAnsi="Arial" w:cs="Arial"/>
          <w:sz w:val="20"/>
        </w:rPr>
      </w:pPr>
      <w:r w:rsidRPr="00B54998">
        <w:rPr>
          <w:rFonts w:ascii="Arial" w:hAnsi="Arial" w:cs="Arial"/>
          <w:sz w:val="20"/>
        </w:rPr>
        <w:t>a skill test or assessment of competence of an applicant for the issue of a licence, rating or</w:t>
      </w:r>
      <w:r w:rsidRPr="00B54998">
        <w:rPr>
          <w:rFonts w:ascii="Arial" w:hAnsi="Arial" w:cs="Arial"/>
          <w:spacing w:val="1"/>
          <w:sz w:val="20"/>
        </w:rPr>
        <w:t xml:space="preserve"> </w:t>
      </w:r>
      <w:r w:rsidRPr="00B54998">
        <w:rPr>
          <w:rFonts w:ascii="Arial" w:hAnsi="Arial" w:cs="Arial"/>
          <w:sz w:val="20"/>
        </w:rPr>
        <w:t>certificate</w:t>
      </w:r>
      <w:r w:rsidRPr="00B54998">
        <w:rPr>
          <w:rFonts w:ascii="Arial" w:hAnsi="Arial" w:cs="Arial"/>
          <w:spacing w:val="-7"/>
          <w:sz w:val="20"/>
        </w:rPr>
        <w:t xml:space="preserve"> </w:t>
      </w:r>
      <w:r w:rsidRPr="00B54998">
        <w:rPr>
          <w:rFonts w:ascii="Arial" w:hAnsi="Arial" w:cs="Arial"/>
          <w:sz w:val="20"/>
        </w:rPr>
        <w:t>to</w:t>
      </w:r>
      <w:r w:rsidRPr="00B54998">
        <w:rPr>
          <w:rFonts w:ascii="Arial" w:hAnsi="Arial" w:cs="Arial"/>
          <w:spacing w:val="-6"/>
          <w:sz w:val="20"/>
        </w:rPr>
        <w:t xml:space="preserve"> </w:t>
      </w:r>
      <w:r w:rsidRPr="00B54998">
        <w:rPr>
          <w:rFonts w:ascii="Arial" w:hAnsi="Arial" w:cs="Arial"/>
          <w:sz w:val="20"/>
        </w:rPr>
        <w:t>whom</w:t>
      </w:r>
      <w:r w:rsidRPr="00B54998">
        <w:rPr>
          <w:rFonts w:ascii="Arial" w:hAnsi="Arial" w:cs="Arial"/>
          <w:spacing w:val="-5"/>
          <w:sz w:val="20"/>
        </w:rPr>
        <w:t xml:space="preserve"> </w:t>
      </w:r>
      <w:r w:rsidRPr="00B54998">
        <w:rPr>
          <w:rFonts w:ascii="Arial" w:hAnsi="Arial" w:cs="Arial"/>
          <w:sz w:val="20"/>
        </w:rPr>
        <w:t>he</w:t>
      </w:r>
      <w:r w:rsidRPr="00B54998">
        <w:rPr>
          <w:rFonts w:ascii="Arial" w:hAnsi="Arial" w:cs="Arial"/>
          <w:spacing w:val="-7"/>
          <w:sz w:val="20"/>
        </w:rPr>
        <w:t xml:space="preserve"> </w:t>
      </w:r>
      <w:r w:rsidRPr="00B54998">
        <w:rPr>
          <w:rFonts w:ascii="Arial" w:hAnsi="Arial" w:cs="Arial"/>
          <w:sz w:val="20"/>
        </w:rPr>
        <w:t>or</w:t>
      </w:r>
      <w:r w:rsidRPr="00B54998">
        <w:rPr>
          <w:rFonts w:ascii="Arial" w:hAnsi="Arial" w:cs="Arial"/>
          <w:spacing w:val="-6"/>
          <w:sz w:val="20"/>
        </w:rPr>
        <w:t xml:space="preserve"> </w:t>
      </w:r>
      <w:r w:rsidRPr="00B54998">
        <w:rPr>
          <w:rFonts w:ascii="Arial" w:hAnsi="Arial" w:cs="Arial"/>
          <w:sz w:val="20"/>
        </w:rPr>
        <w:t>she</w:t>
      </w:r>
      <w:r w:rsidRPr="00B54998">
        <w:rPr>
          <w:rFonts w:ascii="Arial" w:hAnsi="Arial" w:cs="Arial"/>
          <w:spacing w:val="-5"/>
          <w:sz w:val="20"/>
        </w:rPr>
        <w:t xml:space="preserve"> </w:t>
      </w:r>
      <w:r w:rsidRPr="00B54998">
        <w:rPr>
          <w:rFonts w:ascii="Arial" w:hAnsi="Arial" w:cs="Arial"/>
          <w:sz w:val="20"/>
        </w:rPr>
        <w:t>has</w:t>
      </w:r>
      <w:r w:rsidRPr="00B54998">
        <w:rPr>
          <w:rFonts w:ascii="Arial" w:hAnsi="Arial" w:cs="Arial"/>
          <w:spacing w:val="-5"/>
          <w:sz w:val="20"/>
        </w:rPr>
        <w:t xml:space="preserve"> </w:t>
      </w:r>
      <w:r w:rsidRPr="00B54998">
        <w:rPr>
          <w:rFonts w:ascii="Arial" w:hAnsi="Arial" w:cs="Arial"/>
          <w:sz w:val="20"/>
        </w:rPr>
        <w:t>provided</w:t>
      </w:r>
      <w:r w:rsidRPr="00B54998">
        <w:rPr>
          <w:rFonts w:ascii="Arial" w:hAnsi="Arial" w:cs="Arial"/>
          <w:spacing w:val="-8"/>
          <w:sz w:val="20"/>
        </w:rPr>
        <w:t xml:space="preserve"> </w:t>
      </w:r>
      <w:r w:rsidRPr="00B54998">
        <w:rPr>
          <w:rFonts w:ascii="Arial" w:hAnsi="Arial" w:cs="Arial"/>
          <w:sz w:val="20"/>
        </w:rPr>
        <w:t>more</w:t>
      </w:r>
      <w:r w:rsidRPr="00B54998">
        <w:rPr>
          <w:rFonts w:ascii="Arial" w:hAnsi="Arial" w:cs="Arial"/>
          <w:spacing w:val="-7"/>
          <w:sz w:val="20"/>
        </w:rPr>
        <w:t xml:space="preserve"> </w:t>
      </w:r>
      <w:r w:rsidRPr="00B54998">
        <w:rPr>
          <w:rFonts w:ascii="Arial" w:hAnsi="Arial" w:cs="Arial"/>
          <w:sz w:val="20"/>
        </w:rPr>
        <w:t>than</w:t>
      </w:r>
      <w:r w:rsidRPr="00B54998">
        <w:rPr>
          <w:rFonts w:ascii="Arial" w:hAnsi="Arial" w:cs="Arial"/>
          <w:spacing w:val="-9"/>
          <w:sz w:val="20"/>
        </w:rPr>
        <w:t xml:space="preserve"> </w:t>
      </w:r>
      <w:r w:rsidRPr="00B54998">
        <w:rPr>
          <w:rFonts w:ascii="Arial" w:hAnsi="Arial" w:cs="Arial"/>
          <w:sz w:val="20"/>
        </w:rPr>
        <w:t>50</w:t>
      </w:r>
      <w:r w:rsidRPr="00B54998">
        <w:rPr>
          <w:rFonts w:ascii="Arial" w:hAnsi="Arial" w:cs="Arial"/>
          <w:spacing w:val="-2"/>
          <w:sz w:val="20"/>
        </w:rPr>
        <w:t xml:space="preserve"> </w:t>
      </w:r>
      <w:r w:rsidRPr="00B54998">
        <w:rPr>
          <w:rFonts w:ascii="Arial" w:hAnsi="Arial" w:cs="Arial"/>
          <w:sz w:val="20"/>
        </w:rPr>
        <w:t>%</w:t>
      </w:r>
      <w:r w:rsidRPr="00B54998">
        <w:rPr>
          <w:rFonts w:ascii="Arial" w:hAnsi="Arial" w:cs="Arial"/>
          <w:spacing w:val="-7"/>
          <w:sz w:val="20"/>
        </w:rPr>
        <w:t xml:space="preserve"> </w:t>
      </w:r>
      <w:r w:rsidRPr="00B54998">
        <w:rPr>
          <w:rFonts w:ascii="Arial" w:hAnsi="Arial" w:cs="Arial"/>
          <w:sz w:val="20"/>
        </w:rPr>
        <w:t>of</w:t>
      </w:r>
      <w:r w:rsidRPr="00B54998">
        <w:rPr>
          <w:rFonts w:ascii="Arial" w:hAnsi="Arial" w:cs="Arial"/>
          <w:spacing w:val="-7"/>
          <w:sz w:val="20"/>
        </w:rPr>
        <w:t xml:space="preserve"> </w:t>
      </w:r>
      <w:r w:rsidRPr="00B54998">
        <w:rPr>
          <w:rFonts w:ascii="Arial" w:hAnsi="Arial" w:cs="Arial"/>
          <w:sz w:val="20"/>
        </w:rPr>
        <w:t>the</w:t>
      </w:r>
      <w:r w:rsidRPr="00B54998">
        <w:rPr>
          <w:rFonts w:ascii="Arial" w:hAnsi="Arial" w:cs="Arial"/>
          <w:spacing w:val="-8"/>
          <w:sz w:val="20"/>
        </w:rPr>
        <w:t xml:space="preserve"> </w:t>
      </w:r>
      <w:r w:rsidRPr="00B54998">
        <w:rPr>
          <w:rFonts w:ascii="Arial" w:hAnsi="Arial" w:cs="Arial"/>
          <w:sz w:val="20"/>
        </w:rPr>
        <w:t>required</w:t>
      </w:r>
      <w:r w:rsidRPr="00B54998">
        <w:rPr>
          <w:rFonts w:ascii="Arial" w:hAnsi="Arial" w:cs="Arial"/>
          <w:spacing w:val="-6"/>
          <w:sz w:val="20"/>
        </w:rPr>
        <w:t xml:space="preserve"> </w:t>
      </w:r>
      <w:r w:rsidRPr="00B54998">
        <w:rPr>
          <w:rFonts w:ascii="Arial" w:hAnsi="Arial" w:cs="Arial"/>
          <w:sz w:val="20"/>
        </w:rPr>
        <w:t>flight</w:t>
      </w:r>
      <w:r w:rsidRPr="00B54998">
        <w:rPr>
          <w:rFonts w:ascii="Arial" w:hAnsi="Arial" w:cs="Arial"/>
          <w:spacing w:val="-8"/>
          <w:sz w:val="20"/>
        </w:rPr>
        <w:t xml:space="preserve"> </w:t>
      </w:r>
      <w:r w:rsidRPr="00B54998">
        <w:rPr>
          <w:rFonts w:ascii="Arial" w:hAnsi="Arial" w:cs="Arial"/>
          <w:sz w:val="20"/>
        </w:rPr>
        <w:t>instruction</w:t>
      </w:r>
      <w:r w:rsidRPr="00B54998">
        <w:rPr>
          <w:rFonts w:ascii="Arial" w:hAnsi="Arial" w:cs="Arial"/>
          <w:spacing w:val="-9"/>
          <w:sz w:val="20"/>
        </w:rPr>
        <w:t xml:space="preserve"> </w:t>
      </w:r>
      <w:r w:rsidRPr="00B54998">
        <w:rPr>
          <w:rFonts w:ascii="Arial" w:hAnsi="Arial" w:cs="Arial"/>
          <w:sz w:val="20"/>
        </w:rPr>
        <w:t>for</w:t>
      </w:r>
      <w:r w:rsidRPr="00B54998">
        <w:rPr>
          <w:rFonts w:ascii="Arial" w:hAnsi="Arial" w:cs="Arial"/>
          <w:spacing w:val="-47"/>
          <w:sz w:val="20"/>
        </w:rPr>
        <w:t xml:space="preserve"> </w:t>
      </w:r>
      <w:r w:rsidRPr="00B54998">
        <w:rPr>
          <w:rFonts w:ascii="Arial" w:hAnsi="Arial" w:cs="Arial"/>
          <w:sz w:val="20"/>
        </w:rPr>
        <w:t>the licence, rating or certificate for which the skill test or assessment of competence is taken;</w:t>
      </w:r>
      <w:r w:rsidRPr="00B54998">
        <w:rPr>
          <w:rFonts w:ascii="Arial" w:hAnsi="Arial" w:cs="Arial"/>
          <w:spacing w:val="1"/>
          <w:sz w:val="20"/>
        </w:rPr>
        <w:t xml:space="preserve"> </w:t>
      </w:r>
      <w:r w:rsidRPr="00B54998">
        <w:rPr>
          <w:rFonts w:ascii="Arial" w:hAnsi="Arial" w:cs="Arial"/>
          <w:sz w:val="20"/>
        </w:rPr>
        <w:t>or</w:t>
      </w:r>
    </w:p>
    <w:p w14:paraId="16933A77" w14:textId="77777777" w:rsidR="00B54998" w:rsidRPr="00B54998" w:rsidRDefault="00B54998" w:rsidP="00E532A6">
      <w:pPr>
        <w:pStyle w:val="ListParagraph"/>
        <w:numPr>
          <w:ilvl w:val="0"/>
          <w:numId w:val="270"/>
        </w:numPr>
        <w:tabs>
          <w:tab w:val="left" w:pos="707"/>
        </w:tabs>
        <w:spacing w:before="121"/>
        <w:ind w:right="68"/>
        <w:jc w:val="both"/>
        <w:rPr>
          <w:rFonts w:ascii="Arial" w:hAnsi="Arial" w:cs="Arial"/>
          <w:sz w:val="20"/>
        </w:rPr>
      </w:pPr>
      <w:r w:rsidRPr="00B54998">
        <w:rPr>
          <w:rFonts w:ascii="Arial" w:hAnsi="Arial" w:cs="Arial"/>
          <w:sz w:val="20"/>
        </w:rPr>
        <w:t>a</w:t>
      </w:r>
      <w:r w:rsidRPr="00B54998">
        <w:rPr>
          <w:rFonts w:ascii="Arial" w:hAnsi="Arial" w:cs="Arial"/>
          <w:spacing w:val="-4"/>
          <w:sz w:val="20"/>
        </w:rPr>
        <w:t xml:space="preserve"> </w:t>
      </w:r>
      <w:r w:rsidRPr="00B54998">
        <w:rPr>
          <w:rFonts w:ascii="Arial" w:hAnsi="Arial" w:cs="Arial"/>
          <w:sz w:val="20"/>
        </w:rPr>
        <w:t>skill</w:t>
      </w:r>
      <w:r w:rsidRPr="00B54998">
        <w:rPr>
          <w:rFonts w:ascii="Arial" w:hAnsi="Arial" w:cs="Arial"/>
          <w:spacing w:val="-6"/>
          <w:sz w:val="20"/>
        </w:rPr>
        <w:t xml:space="preserve"> </w:t>
      </w:r>
      <w:r w:rsidRPr="00B54998">
        <w:rPr>
          <w:rFonts w:ascii="Arial" w:hAnsi="Arial" w:cs="Arial"/>
          <w:sz w:val="20"/>
        </w:rPr>
        <w:t>test,</w:t>
      </w:r>
      <w:r w:rsidRPr="00B54998">
        <w:rPr>
          <w:rFonts w:ascii="Arial" w:hAnsi="Arial" w:cs="Arial"/>
          <w:spacing w:val="-5"/>
          <w:sz w:val="20"/>
        </w:rPr>
        <w:t xml:space="preserve"> </w:t>
      </w:r>
      <w:r w:rsidRPr="00B54998">
        <w:rPr>
          <w:rFonts w:ascii="Arial" w:hAnsi="Arial" w:cs="Arial"/>
          <w:sz w:val="20"/>
        </w:rPr>
        <w:t>proficiency</w:t>
      </w:r>
      <w:r w:rsidRPr="00B54998">
        <w:rPr>
          <w:rFonts w:ascii="Arial" w:hAnsi="Arial" w:cs="Arial"/>
          <w:spacing w:val="-5"/>
          <w:sz w:val="20"/>
        </w:rPr>
        <w:t xml:space="preserve"> </w:t>
      </w:r>
      <w:r w:rsidRPr="00B54998">
        <w:rPr>
          <w:rFonts w:ascii="Arial" w:hAnsi="Arial" w:cs="Arial"/>
          <w:sz w:val="20"/>
        </w:rPr>
        <w:t>check</w:t>
      </w:r>
      <w:r w:rsidRPr="00B54998">
        <w:rPr>
          <w:rFonts w:ascii="Arial" w:hAnsi="Arial" w:cs="Arial"/>
          <w:spacing w:val="-5"/>
          <w:sz w:val="20"/>
        </w:rPr>
        <w:t xml:space="preserve"> </w:t>
      </w:r>
      <w:r w:rsidRPr="00B54998">
        <w:rPr>
          <w:rFonts w:ascii="Arial" w:hAnsi="Arial" w:cs="Arial"/>
          <w:sz w:val="20"/>
        </w:rPr>
        <w:t>or</w:t>
      </w:r>
      <w:r w:rsidRPr="00B54998">
        <w:rPr>
          <w:rFonts w:ascii="Arial" w:hAnsi="Arial" w:cs="Arial"/>
          <w:spacing w:val="-3"/>
          <w:sz w:val="20"/>
        </w:rPr>
        <w:t xml:space="preserve"> </w:t>
      </w:r>
      <w:r w:rsidRPr="00B54998">
        <w:rPr>
          <w:rFonts w:ascii="Arial" w:hAnsi="Arial" w:cs="Arial"/>
          <w:sz w:val="20"/>
        </w:rPr>
        <w:t>assessment</w:t>
      </w:r>
      <w:r w:rsidRPr="00B54998">
        <w:rPr>
          <w:rFonts w:ascii="Arial" w:hAnsi="Arial" w:cs="Arial"/>
          <w:spacing w:val="-5"/>
          <w:sz w:val="20"/>
        </w:rPr>
        <w:t xml:space="preserve"> </w:t>
      </w:r>
      <w:r w:rsidRPr="00B54998">
        <w:rPr>
          <w:rFonts w:ascii="Arial" w:hAnsi="Arial" w:cs="Arial"/>
          <w:sz w:val="20"/>
        </w:rPr>
        <w:t>of</w:t>
      </w:r>
      <w:r w:rsidRPr="00B54998">
        <w:rPr>
          <w:rFonts w:ascii="Arial" w:hAnsi="Arial" w:cs="Arial"/>
          <w:spacing w:val="-6"/>
          <w:sz w:val="20"/>
        </w:rPr>
        <w:t xml:space="preserve"> </w:t>
      </w:r>
      <w:r w:rsidRPr="00B54998">
        <w:rPr>
          <w:rFonts w:ascii="Arial" w:hAnsi="Arial" w:cs="Arial"/>
          <w:sz w:val="20"/>
        </w:rPr>
        <w:t>competence</w:t>
      </w:r>
      <w:r w:rsidRPr="00B54998">
        <w:rPr>
          <w:rFonts w:ascii="Arial" w:hAnsi="Arial" w:cs="Arial"/>
          <w:spacing w:val="-5"/>
          <w:sz w:val="20"/>
        </w:rPr>
        <w:t xml:space="preserve"> </w:t>
      </w:r>
      <w:r w:rsidRPr="00B54998">
        <w:rPr>
          <w:rFonts w:ascii="Arial" w:hAnsi="Arial" w:cs="Arial"/>
          <w:sz w:val="20"/>
        </w:rPr>
        <w:t>whenever</w:t>
      </w:r>
      <w:r w:rsidRPr="00B54998">
        <w:rPr>
          <w:rFonts w:ascii="Arial" w:hAnsi="Arial" w:cs="Arial"/>
          <w:spacing w:val="-5"/>
          <w:sz w:val="20"/>
        </w:rPr>
        <w:t xml:space="preserve"> </w:t>
      </w:r>
      <w:r w:rsidRPr="00B54998">
        <w:rPr>
          <w:rFonts w:ascii="Arial" w:hAnsi="Arial" w:cs="Arial"/>
          <w:sz w:val="20"/>
        </w:rPr>
        <w:t>he</w:t>
      </w:r>
      <w:r w:rsidRPr="00B54998">
        <w:rPr>
          <w:rFonts w:ascii="Arial" w:hAnsi="Arial" w:cs="Arial"/>
          <w:spacing w:val="-7"/>
          <w:sz w:val="20"/>
        </w:rPr>
        <w:t xml:space="preserve"> </w:t>
      </w:r>
      <w:r w:rsidRPr="00B54998">
        <w:rPr>
          <w:rFonts w:ascii="Arial" w:hAnsi="Arial" w:cs="Arial"/>
          <w:sz w:val="20"/>
        </w:rPr>
        <w:t>or</w:t>
      </w:r>
      <w:r w:rsidRPr="00B54998">
        <w:rPr>
          <w:rFonts w:ascii="Arial" w:hAnsi="Arial" w:cs="Arial"/>
          <w:spacing w:val="-6"/>
          <w:sz w:val="20"/>
        </w:rPr>
        <w:t xml:space="preserve"> </w:t>
      </w:r>
      <w:r w:rsidRPr="00B54998">
        <w:rPr>
          <w:rFonts w:ascii="Arial" w:hAnsi="Arial" w:cs="Arial"/>
          <w:sz w:val="20"/>
        </w:rPr>
        <w:t>she</w:t>
      </w:r>
      <w:r w:rsidRPr="00B54998">
        <w:rPr>
          <w:rFonts w:ascii="Arial" w:hAnsi="Arial" w:cs="Arial"/>
          <w:spacing w:val="-4"/>
          <w:sz w:val="20"/>
        </w:rPr>
        <w:t xml:space="preserve"> </w:t>
      </w:r>
      <w:r w:rsidRPr="00B54998">
        <w:rPr>
          <w:rFonts w:ascii="Arial" w:hAnsi="Arial" w:cs="Arial"/>
          <w:sz w:val="20"/>
        </w:rPr>
        <w:t>feels</w:t>
      </w:r>
      <w:r w:rsidRPr="00B54998">
        <w:rPr>
          <w:rFonts w:ascii="Arial" w:hAnsi="Arial" w:cs="Arial"/>
          <w:spacing w:val="-6"/>
          <w:sz w:val="20"/>
        </w:rPr>
        <w:t xml:space="preserve"> </w:t>
      </w:r>
      <w:r w:rsidRPr="00B54998">
        <w:rPr>
          <w:rFonts w:ascii="Arial" w:hAnsi="Arial" w:cs="Arial"/>
          <w:sz w:val="20"/>
        </w:rPr>
        <w:t>that</w:t>
      </w:r>
      <w:r w:rsidRPr="00B54998">
        <w:rPr>
          <w:rFonts w:ascii="Arial" w:hAnsi="Arial" w:cs="Arial"/>
          <w:spacing w:val="-6"/>
          <w:sz w:val="20"/>
        </w:rPr>
        <w:t xml:space="preserve"> </w:t>
      </w:r>
      <w:r w:rsidRPr="00B54998">
        <w:rPr>
          <w:rFonts w:ascii="Arial" w:hAnsi="Arial" w:cs="Arial"/>
          <w:sz w:val="20"/>
        </w:rPr>
        <w:t>his</w:t>
      </w:r>
      <w:r w:rsidRPr="00B54998">
        <w:rPr>
          <w:rFonts w:ascii="Arial" w:hAnsi="Arial" w:cs="Arial"/>
          <w:spacing w:val="-6"/>
          <w:sz w:val="20"/>
        </w:rPr>
        <w:t xml:space="preserve"> </w:t>
      </w:r>
      <w:r w:rsidRPr="00B54998">
        <w:rPr>
          <w:rFonts w:ascii="Arial" w:hAnsi="Arial" w:cs="Arial"/>
          <w:sz w:val="20"/>
        </w:rPr>
        <w:t>or</w:t>
      </w:r>
      <w:r w:rsidRPr="00B54998">
        <w:rPr>
          <w:rFonts w:ascii="Arial" w:hAnsi="Arial" w:cs="Arial"/>
          <w:spacing w:val="-48"/>
          <w:sz w:val="20"/>
        </w:rPr>
        <w:t xml:space="preserve"> </w:t>
      </w:r>
      <w:r w:rsidRPr="00B54998">
        <w:rPr>
          <w:rFonts w:ascii="Arial" w:hAnsi="Arial" w:cs="Arial"/>
          <w:sz w:val="20"/>
        </w:rPr>
        <w:t>her</w:t>
      </w:r>
      <w:r w:rsidRPr="00B54998">
        <w:rPr>
          <w:rFonts w:ascii="Arial" w:hAnsi="Arial" w:cs="Arial"/>
          <w:spacing w:val="-1"/>
          <w:sz w:val="20"/>
        </w:rPr>
        <w:t xml:space="preserve"> </w:t>
      </w:r>
      <w:r w:rsidRPr="00B54998">
        <w:rPr>
          <w:rFonts w:ascii="Arial" w:hAnsi="Arial" w:cs="Arial"/>
          <w:sz w:val="20"/>
        </w:rPr>
        <w:t>objectivity</w:t>
      </w:r>
      <w:r w:rsidRPr="00B54998">
        <w:rPr>
          <w:rFonts w:ascii="Arial" w:hAnsi="Arial" w:cs="Arial"/>
          <w:spacing w:val="-2"/>
          <w:sz w:val="20"/>
        </w:rPr>
        <w:t xml:space="preserve"> </w:t>
      </w:r>
      <w:r w:rsidRPr="00B54998">
        <w:rPr>
          <w:rFonts w:ascii="Arial" w:hAnsi="Arial" w:cs="Arial"/>
          <w:sz w:val="20"/>
        </w:rPr>
        <w:t>may be</w:t>
      </w:r>
      <w:r w:rsidRPr="00B54998">
        <w:rPr>
          <w:rFonts w:ascii="Arial" w:hAnsi="Arial" w:cs="Arial"/>
          <w:spacing w:val="-3"/>
          <w:sz w:val="20"/>
        </w:rPr>
        <w:t xml:space="preserve"> </w:t>
      </w:r>
      <w:r w:rsidRPr="00B54998">
        <w:rPr>
          <w:rFonts w:ascii="Arial" w:hAnsi="Arial" w:cs="Arial"/>
          <w:sz w:val="20"/>
        </w:rPr>
        <w:t>affected.</w:t>
      </w:r>
    </w:p>
    <w:p w14:paraId="2936A8B8" w14:textId="77777777" w:rsidR="009163BF" w:rsidRPr="009163BF" w:rsidRDefault="009163BF" w:rsidP="009163BF">
      <w:pPr>
        <w:keepNext/>
        <w:keepLines/>
        <w:widowControl/>
        <w:shd w:val="clear" w:color="auto" w:fill="339966"/>
        <w:autoSpaceDE/>
        <w:autoSpaceDN/>
        <w:spacing w:before="160" w:after="120" w:line="259" w:lineRule="auto"/>
        <w:outlineLvl w:val="4"/>
        <w:rPr>
          <w:rFonts w:ascii="Arial" w:eastAsia="Times New Roman" w:hAnsi="Arial" w:cs="Times New Roman"/>
          <w:b/>
          <w:color w:val="FFFFFF"/>
          <w:sz w:val="24"/>
        </w:rPr>
      </w:pPr>
      <w:bookmarkStart w:id="738" w:name="GM1_BFCL.405__Limitation_of_privileges_i"/>
      <w:bookmarkStart w:id="739" w:name="_bookmark303"/>
      <w:bookmarkStart w:id="740" w:name="_Toc153137468"/>
      <w:bookmarkEnd w:id="738"/>
      <w:bookmarkEnd w:id="739"/>
      <w:r w:rsidRPr="009163BF">
        <w:rPr>
          <w:rFonts w:ascii="Arial" w:eastAsia="Times New Roman" w:hAnsi="Arial" w:cs="Times New Roman"/>
          <w:b/>
          <w:color w:val="FFFFFF"/>
          <w:sz w:val="24"/>
        </w:rPr>
        <w:t>GM1 BFCL.405 Limitation of privileges in case of vested interests</w:t>
      </w:r>
      <w:bookmarkEnd w:id="740"/>
    </w:p>
    <w:p w14:paraId="30F36B3E" w14:textId="77777777" w:rsidR="009163BF" w:rsidRPr="009163BF" w:rsidRDefault="009163BF" w:rsidP="00E532A6">
      <w:pPr>
        <w:pStyle w:val="BodyText"/>
        <w:spacing w:before="117" w:line="276" w:lineRule="auto"/>
        <w:ind w:right="68"/>
        <w:jc w:val="both"/>
        <w:rPr>
          <w:rFonts w:ascii="Arial" w:hAnsi="Arial" w:cs="Arial"/>
          <w:sz w:val="20"/>
        </w:rPr>
      </w:pPr>
      <w:r w:rsidRPr="009163BF">
        <w:rPr>
          <w:rFonts w:ascii="Arial" w:hAnsi="Arial" w:cs="Arial"/>
          <w:sz w:val="20"/>
        </w:rPr>
        <w:t>Examples of a situation where examiners should consider if their objectivity is affected are when the</w:t>
      </w:r>
      <w:r w:rsidRPr="009163BF">
        <w:rPr>
          <w:rFonts w:ascii="Arial" w:hAnsi="Arial" w:cs="Arial"/>
          <w:spacing w:val="1"/>
          <w:sz w:val="20"/>
        </w:rPr>
        <w:t xml:space="preserve"> </w:t>
      </w:r>
      <w:r w:rsidRPr="009163BF">
        <w:rPr>
          <w:rFonts w:ascii="Arial" w:hAnsi="Arial" w:cs="Arial"/>
          <w:sz w:val="20"/>
        </w:rPr>
        <w:t>applicant is a relative or a friend of the examiner, or when they are linked by economic interests or</w:t>
      </w:r>
      <w:r w:rsidRPr="009163BF">
        <w:rPr>
          <w:rFonts w:ascii="Arial" w:hAnsi="Arial" w:cs="Arial"/>
          <w:spacing w:val="1"/>
          <w:sz w:val="20"/>
        </w:rPr>
        <w:t xml:space="preserve"> </w:t>
      </w:r>
      <w:r w:rsidRPr="009163BF">
        <w:rPr>
          <w:rFonts w:ascii="Arial" w:hAnsi="Arial" w:cs="Arial"/>
          <w:sz w:val="20"/>
        </w:rPr>
        <w:t>political affiliations, etc. It is acknowledged that in small sport/industry like ballooning, it is likely that</w:t>
      </w:r>
      <w:r w:rsidRPr="009163BF">
        <w:rPr>
          <w:rFonts w:ascii="Arial" w:hAnsi="Arial" w:cs="Arial"/>
          <w:spacing w:val="-47"/>
          <w:sz w:val="20"/>
        </w:rPr>
        <w:t xml:space="preserve"> </w:t>
      </w:r>
      <w:r w:rsidRPr="009163BF">
        <w:rPr>
          <w:rFonts w:ascii="Arial" w:hAnsi="Arial" w:cs="Arial"/>
          <w:sz w:val="20"/>
        </w:rPr>
        <w:t>examiners</w:t>
      </w:r>
      <w:r w:rsidRPr="009163BF">
        <w:rPr>
          <w:rFonts w:ascii="Arial" w:hAnsi="Arial" w:cs="Arial"/>
          <w:spacing w:val="-1"/>
          <w:sz w:val="20"/>
        </w:rPr>
        <w:t xml:space="preserve"> </w:t>
      </w:r>
      <w:r w:rsidRPr="009163BF">
        <w:rPr>
          <w:rFonts w:ascii="Arial" w:hAnsi="Arial" w:cs="Arial"/>
          <w:sz w:val="20"/>
        </w:rPr>
        <w:t>and</w:t>
      </w:r>
      <w:r w:rsidRPr="009163BF">
        <w:rPr>
          <w:rFonts w:ascii="Arial" w:hAnsi="Arial" w:cs="Arial"/>
          <w:spacing w:val="-1"/>
          <w:sz w:val="20"/>
        </w:rPr>
        <w:t xml:space="preserve"> </w:t>
      </w:r>
      <w:r w:rsidRPr="009163BF">
        <w:rPr>
          <w:rFonts w:ascii="Arial" w:hAnsi="Arial" w:cs="Arial"/>
          <w:sz w:val="20"/>
        </w:rPr>
        <w:t>candidates</w:t>
      </w:r>
      <w:r w:rsidRPr="009163BF">
        <w:rPr>
          <w:rFonts w:ascii="Arial" w:hAnsi="Arial" w:cs="Arial"/>
          <w:spacing w:val="-2"/>
          <w:sz w:val="20"/>
        </w:rPr>
        <w:t xml:space="preserve"> </w:t>
      </w:r>
      <w:r w:rsidRPr="009163BF">
        <w:rPr>
          <w:rFonts w:ascii="Arial" w:hAnsi="Arial" w:cs="Arial"/>
          <w:sz w:val="20"/>
        </w:rPr>
        <w:t>will be</w:t>
      </w:r>
      <w:r w:rsidRPr="009163BF">
        <w:rPr>
          <w:rFonts w:ascii="Arial" w:hAnsi="Arial" w:cs="Arial"/>
          <w:spacing w:val="1"/>
          <w:sz w:val="20"/>
        </w:rPr>
        <w:t xml:space="preserve"> </w:t>
      </w:r>
      <w:r w:rsidRPr="009163BF">
        <w:rPr>
          <w:rFonts w:ascii="Arial" w:hAnsi="Arial" w:cs="Arial"/>
          <w:sz w:val="20"/>
        </w:rPr>
        <w:t>known</w:t>
      </w:r>
      <w:r w:rsidRPr="009163BF">
        <w:rPr>
          <w:rFonts w:ascii="Arial" w:hAnsi="Arial" w:cs="Arial"/>
          <w:spacing w:val="-3"/>
          <w:sz w:val="20"/>
        </w:rPr>
        <w:t xml:space="preserve"> </w:t>
      </w:r>
      <w:r w:rsidRPr="009163BF">
        <w:rPr>
          <w:rFonts w:ascii="Arial" w:hAnsi="Arial" w:cs="Arial"/>
          <w:sz w:val="20"/>
        </w:rPr>
        <w:t>to</w:t>
      </w:r>
      <w:r w:rsidRPr="009163BF">
        <w:rPr>
          <w:rFonts w:ascii="Arial" w:hAnsi="Arial" w:cs="Arial"/>
          <w:spacing w:val="-2"/>
          <w:sz w:val="20"/>
        </w:rPr>
        <w:t xml:space="preserve"> </w:t>
      </w:r>
      <w:r w:rsidRPr="009163BF">
        <w:rPr>
          <w:rFonts w:ascii="Arial" w:hAnsi="Arial" w:cs="Arial"/>
          <w:sz w:val="20"/>
        </w:rPr>
        <w:t>each</w:t>
      </w:r>
      <w:r w:rsidRPr="009163BF">
        <w:rPr>
          <w:rFonts w:ascii="Arial" w:hAnsi="Arial" w:cs="Arial"/>
          <w:spacing w:val="-3"/>
          <w:sz w:val="20"/>
        </w:rPr>
        <w:t xml:space="preserve"> </w:t>
      </w:r>
      <w:r w:rsidRPr="009163BF">
        <w:rPr>
          <w:rFonts w:ascii="Arial" w:hAnsi="Arial" w:cs="Arial"/>
          <w:sz w:val="20"/>
        </w:rPr>
        <w:t>other in</w:t>
      </w:r>
      <w:r w:rsidRPr="009163BF">
        <w:rPr>
          <w:rFonts w:ascii="Arial" w:hAnsi="Arial" w:cs="Arial"/>
          <w:spacing w:val="-1"/>
          <w:sz w:val="20"/>
        </w:rPr>
        <w:t xml:space="preserve"> </w:t>
      </w:r>
      <w:r w:rsidRPr="009163BF">
        <w:rPr>
          <w:rFonts w:ascii="Arial" w:hAnsi="Arial" w:cs="Arial"/>
          <w:sz w:val="20"/>
        </w:rPr>
        <w:t>many cases.</w:t>
      </w:r>
    </w:p>
    <w:p w14:paraId="0565FF8C" w14:textId="77777777" w:rsidR="00B54998" w:rsidRDefault="00B54998" w:rsidP="009163BF">
      <w:pPr>
        <w:jc w:val="both"/>
        <w:rPr>
          <w:rFonts w:ascii="Arial" w:eastAsia="Times New Roman" w:hAnsi="Arial" w:cs="Times New Roman"/>
          <w:sz w:val="20"/>
        </w:rPr>
      </w:pPr>
    </w:p>
    <w:p w14:paraId="35093F0E" w14:textId="77777777" w:rsidR="009163BF" w:rsidRPr="009163BF" w:rsidRDefault="009163BF" w:rsidP="009163BF">
      <w:pPr>
        <w:keepNext/>
        <w:keepLines/>
        <w:widowControl/>
        <w:shd w:val="clear" w:color="auto" w:fill="339966"/>
        <w:autoSpaceDE/>
        <w:autoSpaceDN/>
        <w:spacing w:before="160" w:after="120" w:line="259" w:lineRule="auto"/>
        <w:outlineLvl w:val="4"/>
        <w:rPr>
          <w:rFonts w:ascii="Arial" w:eastAsia="Times New Roman" w:hAnsi="Arial" w:cs="Times New Roman"/>
          <w:b/>
          <w:color w:val="FFFFFF"/>
          <w:sz w:val="24"/>
        </w:rPr>
      </w:pPr>
      <w:bookmarkStart w:id="741" w:name="GM1_BFCL.405(a)__Limitation_of_privilege"/>
      <w:bookmarkStart w:id="742" w:name="_bookmark304"/>
      <w:bookmarkStart w:id="743" w:name="_Toc153137469"/>
      <w:bookmarkEnd w:id="741"/>
      <w:bookmarkEnd w:id="742"/>
      <w:r w:rsidRPr="009163BF">
        <w:rPr>
          <w:rFonts w:ascii="Arial" w:eastAsia="Times New Roman" w:hAnsi="Arial" w:cs="Times New Roman"/>
          <w:b/>
          <w:color w:val="FFFFFF"/>
          <w:sz w:val="24"/>
        </w:rPr>
        <w:lastRenderedPageBreak/>
        <w:t>GM1 BFCL.405(a) Limitation of privileges in case of vested interests</w:t>
      </w:r>
      <w:bookmarkEnd w:id="743"/>
    </w:p>
    <w:p w14:paraId="3EC4C178" w14:textId="77777777" w:rsidR="009163BF" w:rsidRPr="009163BF" w:rsidRDefault="009163BF" w:rsidP="009163BF">
      <w:pPr>
        <w:widowControl/>
        <w:autoSpaceDE/>
        <w:autoSpaceDN/>
        <w:spacing w:before="240" w:after="160" w:line="264" w:lineRule="auto"/>
        <w:jc w:val="both"/>
        <w:rPr>
          <w:rFonts w:ascii="Arial" w:eastAsiaTheme="minorHAnsi" w:hAnsi="Arial" w:cs="Arial"/>
          <w:b/>
          <w:bCs/>
          <w:sz w:val="20"/>
          <w:szCs w:val="20"/>
        </w:rPr>
      </w:pPr>
      <w:r w:rsidRPr="009163BF">
        <w:rPr>
          <w:rFonts w:ascii="Arial" w:eastAsiaTheme="minorHAnsi" w:hAnsi="Arial" w:cs="Arial"/>
          <w:b/>
          <w:bCs/>
          <w:sz w:val="20"/>
          <w:szCs w:val="20"/>
        </w:rPr>
        <w:t>EXAMINERS WHO PROVIDED INSTRUCTION TO THE CANDIDATE</w:t>
      </w:r>
    </w:p>
    <w:p w14:paraId="1D3EFA14" w14:textId="77777777" w:rsidR="009163BF" w:rsidRPr="009163BF" w:rsidRDefault="009163BF" w:rsidP="00E532A6">
      <w:pPr>
        <w:pStyle w:val="BodyText"/>
        <w:spacing w:before="119" w:line="276" w:lineRule="auto"/>
        <w:ind w:right="68"/>
        <w:jc w:val="both"/>
        <w:rPr>
          <w:rFonts w:ascii="Arial" w:hAnsi="Arial" w:cs="Arial"/>
          <w:sz w:val="20"/>
        </w:rPr>
      </w:pPr>
      <w:r w:rsidRPr="009163BF">
        <w:rPr>
          <w:rFonts w:ascii="Arial" w:hAnsi="Arial" w:cs="Arial"/>
          <w:sz w:val="20"/>
        </w:rPr>
        <w:t>Point BFCL.405(a) allows an examiner to have been involved, as a flight instructor, into 50 % of the</w:t>
      </w:r>
      <w:r w:rsidRPr="009163BF">
        <w:rPr>
          <w:rFonts w:ascii="Arial" w:hAnsi="Arial" w:cs="Arial"/>
          <w:spacing w:val="1"/>
          <w:sz w:val="20"/>
        </w:rPr>
        <w:t xml:space="preserve"> </w:t>
      </w:r>
      <w:r w:rsidRPr="009163BF">
        <w:rPr>
          <w:rFonts w:ascii="Arial" w:hAnsi="Arial" w:cs="Arial"/>
          <w:sz w:val="20"/>
        </w:rPr>
        <w:t>candidate’s flight instruction. It is recommended that in such cases that 50 % should be spread</w:t>
      </w:r>
      <w:r w:rsidRPr="009163BF">
        <w:rPr>
          <w:rFonts w:ascii="Arial" w:hAnsi="Arial" w:cs="Arial"/>
          <w:spacing w:val="1"/>
          <w:sz w:val="20"/>
        </w:rPr>
        <w:t xml:space="preserve"> </w:t>
      </w:r>
      <w:r w:rsidRPr="009163BF">
        <w:rPr>
          <w:rFonts w:ascii="Arial" w:hAnsi="Arial" w:cs="Arial"/>
          <w:sz w:val="20"/>
        </w:rPr>
        <w:t>throughout</w:t>
      </w:r>
      <w:r w:rsidRPr="009163BF">
        <w:rPr>
          <w:rFonts w:ascii="Arial" w:hAnsi="Arial" w:cs="Arial"/>
          <w:spacing w:val="-10"/>
          <w:sz w:val="20"/>
        </w:rPr>
        <w:t xml:space="preserve"> </w:t>
      </w:r>
      <w:r w:rsidRPr="009163BF">
        <w:rPr>
          <w:rFonts w:ascii="Arial" w:hAnsi="Arial" w:cs="Arial"/>
          <w:sz w:val="20"/>
        </w:rPr>
        <w:t>the</w:t>
      </w:r>
      <w:r w:rsidRPr="009163BF">
        <w:rPr>
          <w:rFonts w:ascii="Arial" w:hAnsi="Arial" w:cs="Arial"/>
          <w:spacing w:val="-7"/>
          <w:sz w:val="20"/>
        </w:rPr>
        <w:t xml:space="preserve"> </w:t>
      </w:r>
      <w:r w:rsidRPr="009163BF">
        <w:rPr>
          <w:rFonts w:ascii="Arial" w:hAnsi="Arial" w:cs="Arial"/>
          <w:sz w:val="20"/>
        </w:rPr>
        <w:t>course,</w:t>
      </w:r>
      <w:r w:rsidRPr="009163BF">
        <w:rPr>
          <w:rFonts w:ascii="Arial" w:hAnsi="Arial" w:cs="Arial"/>
          <w:spacing w:val="-7"/>
          <w:sz w:val="20"/>
        </w:rPr>
        <w:t xml:space="preserve"> </w:t>
      </w:r>
      <w:r w:rsidRPr="009163BF">
        <w:rPr>
          <w:rFonts w:ascii="Arial" w:hAnsi="Arial" w:cs="Arial"/>
          <w:sz w:val="20"/>
        </w:rPr>
        <w:t>and</w:t>
      </w:r>
      <w:r w:rsidRPr="009163BF">
        <w:rPr>
          <w:rFonts w:ascii="Arial" w:hAnsi="Arial" w:cs="Arial"/>
          <w:spacing w:val="-10"/>
          <w:sz w:val="20"/>
        </w:rPr>
        <w:t xml:space="preserve"> </w:t>
      </w:r>
      <w:r w:rsidRPr="009163BF">
        <w:rPr>
          <w:rFonts w:ascii="Arial" w:hAnsi="Arial" w:cs="Arial"/>
          <w:sz w:val="20"/>
        </w:rPr>
        <w:t>not</w:t>
      </w:r>
      <w:r w:rsidRPr="009163BF">
        <w:rPr>
          <w:rFonts w:ascii="Arial" w:hAnsi="Arial" w:cs="Arial"/>
          <w:spacing w:val="-7"/>
          <w:sz w:val="20"/>
        </w:rPr>
        <w:t xml:space="preserve"> </w:t>
      </w:r>
      <w:r w:rsidRPr="009163BF">
        <w:rPr>
          <w:rFonts w:ascii="Arial" w:hAnsi="Arial" w:cs="Arial"/>
          <w:sz w:val="20"/>
        </w:rPr>
        <w:t>performed</w:t>
      </w:r>
      <w:r w:rsidRPr="009163BF">
        <w:rPr>
          <w:rFonts w:ascii="Arial" w:hAnsi="Arial" w:cs="Arial"/>
          <w:spacing w:val="-10"/>
          <w:sz w:val="20"/>
        </w:rPr>
        <w:t xml:space="preserve"> </w:t>
      </w:r>
      <w:r w:rsidRPr="009163BF">
        <w:rPr>
          <w:rFonts w:ascii="Arial" w:hAnsi="Arial" w:cs="Arial"/>
          <w:sz w:val="20"/>
        </w:rPr>
        <w:t>towards</w:t>
      </w:r>
      <w:r w:rsidRPr="009163BF">
        <w:rPr>
          <w:rFonts w:ascii="Arial" w:hAnsi="Arial" w:cs="Arial"/>
          <w:spacing w:val="-10"/>
          <w:sz w:val="20"/>
        </w:rPr>
        <w:t xml:space="preserve"> </w:t>
      </w:r>
      <w:r w:rsidRPr="009163BF">
        <w:rPr>
          <w:rFonts w:ascii="Arial" w:hAnsi="Arial" w:cs="Arial"/>
          <w:sz w:val="20"/>
        </w:rPr>
        <w:t>the</w:t>
      </w:r>
      <w:r w:rsidRPr="009163BF">
        <w:rPr>
          <w:rFonts w:ascii="Arial" w:hAnsi="Arial" w:cs="Arial"/>
          <w:spacing w:val="-7"/>
          <w:sz w:val="20"/>
        </w:rPr>
        <w:t xml:space="preserve"> </w:t>
      </w:r>
      <w:r w:rsidRPr="009163BF">
        <w:rPr>
          <w:rFonts w:ascii="Arial" w:hAnsi="Arial" w:cs="Arial"/>
          <w:sz w:val="20"/>
        </w:rPr>
        <w:t>end</w:t>
      </w:r>
      <w:r w:rsidRPr="009163BF">
        <w:rPr>
          <w:rFonts w:ascii="Arial" w:hAnsi="Arial" w:cs="Arial"/>
          <w:spacing w:val="-10"/>
          <w:sz w:val="20"/>
        </w:rPr>
        <w:t xml:space="preserve"> </w:t>
      </w:r>
      <w:r w:rsidRPr="009163BF">
        <w:rPr>
          <w:rFonts w:ascii="Arial" w:hAnsi="Arial" w:cs="Arial"/>
          <w:sz w:val="20"/>
        </w:rPr>
        <w:t>of</w:t>
      </w:r>
      <w:r w:rsidRPr="009163BF">
        <w:rPr>
          <w:rFonts w:ascii="Arial" w:hAnsi="Arial" w:cs="Arial"/>
          <w:spacing w:val="-8"/>
          <w:sz w:val="20"/>
        </w:rPr>
        <w:t xml:space="preserve"> </w:t>
      </w:r>
      <w:r w:rsidRPr="009163BF">
        <w:rPr>
          <w:rFonts w:ascii="Arial" w:hAnsi="Arial" w:cs="Arial"/>
          <w:sz w:val="20"/>
        </w:rPr>
        <w:t>the</w:t>
      </w:r>
      <w:r w:rsidRPr="009163BF">
        <w:rPr>
          <w:rFonts w:ascii="Arial" w:hAnsi="Arial" w:cs="Arial"/>
          <w:spacing w:val="-9"/>
          <w:sz w:val="20"/>
        </w:rPr>
        <w:t xml:space="preserve"> </w:t>
      </w:r>
      <w:r w:rsidRPr="009163BF">
        <w:rPr>
          <w:rFonts w:ascii="Arial" w:hAnsi="Arial" w:cs="Arial"/>
          <w:sz w:val="20"/>
        </w:rPr>
        <w:t>course.</w:t>
      </w:r>
      <w:r w:rsidRPr="009163BF">
        <w:rPr>
          <w:rFonts w:ascii="Arial" w:hAnsi="Arial" w:cs="Arial"/>
          <w:spacing w:val="-7"/>
          <w:sz w:val="20"/>
        </w:rPr>
        <w:t xml:space="preserve"> </w:t>
      </w:r>
      <w:r w:rsidRPr="009163BF">
        <w:rPr>
          <w:rFonts w:ascii="Arial" w:hAnsi="Arial" w:cs="Arial"/>
          <w:sz w:val="20"/>
        </w:rPr>
        <w:t>ATOs</w:t>
      </w:r>
      <w:r w:rsidRPr="009163BF">
        <w:rPr>
          <w:rFonts w:ascii="Arial" w:hAnsi="Arial" w:cs="Arial"/>
          <w:spacing w:val="-7"/>
          <w:sz w:val="20"/>
        </w:rPr>
        <w:t xml:space="preserve"> </w:t>
      </w:r>
      <w:r w:rsidRPr="009163BF">
        <w:rPr>
          <w:rFonts w:ascii="Arial" w:hAnsi="Arial" w:cs="Arial"/>
          <w:sz w:val="20"/>
        </w:rPr>
        <w:t>and</w:t>
      </w:r>
      <w:r w:rsidRPr="009163BF">
        <w:rPr>
          <w:rFonts w:ascii="Arial" w:hAnsi="Arial" w:cs="Arial"/>
          <w:spacing w:val="-9"/>
          <w:sz w:val="20"/>
        </w:rPr>
        <w:t xml:space="preserve"> </w:t>
      </w:r>
      <w:r w:rsidRPr="009163BF">
        <w:rPr>
          <w:rFonts w:ascii="Arial" w:hAnsi="Arial" w:cs="Arial"/>
          <w:sz w:val="20"/>
        </w:rPr>
        <w:t>DTOs</w:t>
      </w:r>
      <w:r w:rsidRPr="009163BF">
        <w:rPr>
          <w:rFonts w:ascii="Arial" w:hAnsi="Arial" w:cs="Arial"/>
          <w:spacing w:val="-9"/>
          <w:sz w:val="20"/>
        </w:rPr>
        <w:t xml:space="preserve"> </w:t>
      </w:r>
      <w:r w:rsidRPr="009163BF">
        <w:rPr>
          <w:rFonts w:ascii="Arial" w:hAnsi="Arial" w:cs="Arial"/>
          <w:sz w:val="20"/>
        </w:rPr>
        <w:t>should</w:t>
      </w:r>
      <w:r w:rsidRPr="009163BF">
        <w:rPr>
          <w:rFonts w:ascii="Arial" w:hAnsi="Arial" w:cs="Arial"/>
          <w:spacing w:val="-8"/>
          <w:sz w:val="20"/>
        </w:rPr>
        <w:t xml:space="preserve"> </w:t>
      </w:r>
      <w:r w:rsidRPr="009163BF">
        <w:rPr>
          <w:rFonts w:ascii="Arial" w:hAnsi="Arial" w:cs="Arial"/>
          <w:sz w:val="20"/>
        </w:rPr>
        <w:t>plan</w:t>
      </w:r>
      <w:r w:rsidRPr="009163BF">
        <w:rPr>
          <w:rFonts w:ascii="Arial" w:hAnsi="Arial" w:cs="Arial"/>
          <w:spacing w:val="-47"/>
          <w:sz w:val="20"/>
        </w:rPr>
        <w:t xml:space="preserve"> </w:t>
      </w:r>
      <w:r w:rsidRPr="009163BF">
        <w:rPr>
          <w:rFonts w:ascii="Arial" w:hAnsi="Arial" w:cs="Arial"/>
          <w:sz w:val="20"/>
        </w:rPr>
        <w:t>and</w:t>
      </w:r>
      <w:r w:rsidRPr="009163BF">
        <w:rPr>
          <w:rFonts w:ascii="Arial" w:hAnsi="Arial" w:cs="Arial"/>
          <w:spacing w:val="-2"/>
          <w:sz w:val="20"/>
        </w:rPr>
        <w:t xml:space="preserve"> </w:t>
      </w:r>
      <w:r w:rsidRPr="009163BF">
        <w:rPr>
          <w:rFonts w:ascii="Arial" w:hAnsi="Arial" w:cs="Arial"/>
          <w:sz w:val="20"/>
        </w:rPr>
        <w:t>arrange</w:t>
      </w:r>
      <w:r w:rsidRPr="009163BF">
        <w:rPr>
          <w:rFonts w:ascii="Arial" w:hAnsi="Arial" w:cs="Arial"/>
          <w:spacing w:val="1"/>
          <w:sz w:val="20"/>
        </w:rPr>
        <w:t xml:space="preserve"> </w:t>
      </w:r>
      <w:r w:rsidRPr="009163BF">
        <w:rPr>
          <w:rFonts w:ascii="Arial" w:hAnsi="Arial" w:cs="Arial"/>
          <w:sz w:val="20"/>
        </w:rPr>
        <w:t>assignments between</w:t>
      </w:r>
      <w:r w:rsidRPr="009163BF">
        <w:rPr>
          <w:rFonts w:ascii="Arial" w:hAnsi="Arial" w:cs="Arial"/>
          <w:spacing w:val="-1"/>
          <w:sz w:val="20"/>
        </w:rPr>
        <w:t xml:space="preserve"> </w:t>
      </w:r>
      <w:r w:rsidRPr="009163BF">
        <w:rPr>
          <w:rFonts w:ascii="Arial" w:hAnsi="Arial" w:cs="Arial"/>
          <w:sz w:val="20"/>
        </w:rPr>
        <w:t>instructors and</w:t>
      </w:r>
      <w:r w:rsidRPr="009163BF">
        <w:rPr>
          <w:rFonts w:ascii="Arial" w:hAnsi="Arial" w:cs="Arial"/>
          <w:spacing w:val="-2"/>
          <w:sz w:val="20"/>
        </w:rPr>
        <w:t xml:space="preserve"> </w:t>
      </w:r>
      <w:r w:rsidRPr="009163BF">
        <w:rPr>
          <w:rFonts w:ascii="Arial" w:hAnsi="Arial" w:cs="Arial"/>
          <w:sz w:val="20"/>
        </w:rPr>
        <w:t>students appropriately.</w:t>
      </w:r>
    </w:p>
    <w:p w14:paraId="140C90CF" w14:textId="77777777" w:rsidR="009163BF" w:rsidRPr="009163BF" w:rsidRDefault="009163BF" w:rsidP="009163BF">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744" w:name="BFCL.410__Conduct_of_skill_tests,_profic"/>
      <w:bookmarkStart w:id="745" w:name="_bookmark305"/>
      <w:bookmarkStart w:id="746" w:name="_Toc153137470"/>
      <w:bookmarkEnd w:id="744"/>
      <w:bookmarkEnd w:id="745"/>
      <w:r w:rsidRPr="009163BF">
        <w:rPr>
          <w:rFonts w:ascii="Arial" w:eastAsia="Times New Roman" w:hAnsi="Arial" w:cs="Times New Roman"/>
          <w:b/>
          <w:iCs/>
          <w:color w:val="FFFFFF"/>
          <w:sz w:val="24"/>
        </w:rPr>
        <w:t>BFCL.410 Conduct of skill tests, proficiency checks and assessments of competence</w:t>
      </w:r>
      <w:bookmarkEnd w:id="746"/>
    </w:p>
    <w:p w14:paraId="411C09E0" w14:textId="77777777" w:rsidR="009163BF" w:rsidRPr="009163BF" w:rsidRDefault="009163BF" w:rsidP="00E532A6">
      <w:pPr>
        <w:pStyle w:val="ListParagraph"/>
        <w:numPr>
          <w:ilvl w:val="0"/>
          <w:numId w:val="271"/>
        </w:numPr>
        <w:tabs>
          <w:tab w:val="left" w:pos="707"/>
        </w:tabs>
        <w:spacing w:before="117" w:line="276" w:lineRule="auto"/>
        <w:ind w:right="68"/>
        <w:jc w:val="both"/>
        <w:rPr>
          <w:rFonts w:ascii="Arial" w:hAnsi="Arial" w:cs="Arial"/>
          <w:sz w:val="20"/>
        </w:rPr>
      </w:pPr>
      <w:r w:rsidRPr="009163BF">
        <w:rPr>
          <w:rFonts w:ascii="Arial" w:hAnsi="Arial" w:cs="Arial"/>
          <w:sz w:val="20"/>
        </w:rPr>
        <w:t>When conducting skill tests, proficiency checks and assessments of competence, a balloon</w:t>
      </w:r>
      <w:r w:rsidRPr="009163BF">
        <w:rPr>
          <w:rFonts w:ascii="Arial" w:hAnsi="Arial" w:cs="Arial"/>
          <w:spacing w:val="1"/>
          <w:sz w:val="20"/>
        </w:rPr>
        <w:t xml:space="preserve"> </w:t>
      </w:r>
      <w:r w:rsidRPr="009163BF">
        <w:rPr>
          <w:rFonts w:ascii="Arial" w:hAnsi="Arial" w:cs="Arial"/>
          <w:sz w:val="20"/>
        </w:rPr>
        <w:t>examiner shall</w:t>
      </w:r>
      <w:r w:rsidRPr="009163BF">
        <w:rPr>
          <w:rFonts w:ascii="Arial" w:hAnsi="Arial" w:cs="Arial"/>
          <w:spacing w:val="-1"/>
          <w:sz w:val="20"/>
        </w:rPr>
        <w:t xml:space="preserve"> </w:t>
      </w:r>
      <w:r w:rsidRPr="009163BF">
        <w:rPr>
          <w:rFonts w:ascii="Arial" w:hAnsi="Arial" w:cs="Arial"/>
          <w:sz w:val="20"/>
        </w:rPr>
        <w:t>do</w:t>
      </w:r>
      <w:r w:rsidRPr="009163BF">
        <w:rPr>
          <w:rFonts w:ascii="Arial" w:hAnsi="Arial" w:cs="Arial"/>
          <w:spacing w:val="1"/>
          <w:sz w:val="20"/>
        </w:rPr>
        <w:t xml:space="preserve"> </w:t>
      </w:r>
      <w:r w:rsidRPr="009163BF">
        <w:rPr>
          <w:rFonts w:ascii="Arial" w:hAnsi="Arial" w:cs="Arial"/>
          <w:sz w:val="20"/>
        </w:rPr>
        <w:t>all</w:t>
      </w:r>
      <w:r w:rsidRPr="009163BF">
        <w:rPr>
          <w:rFonts w:ascii="Arial" w:hAnsi="Arial" w:cs="Arial"/>
          <w:spacing w:val="-3"/>
          <w:sz w:val="20"/>
        </w:rPr>
        <w:t xml:space="preserve"> </w:t>
      </w:r>
      <w:r w:rsidRPr="009163BF">
        <w:rPr>
          <w:rFonts w:ascii="Arial" w:hAnsi="Arial" w:cs="Arial"/>
          <w:sz w:val="20"/>
        </w:rPr>
        <w:t>of</w:t>
      </w:r>
      <w:r w:rsidRPr="009163BF">
        <w:rPr>
          <w:rFonts w:ascii="Arial" w:hAnsi="Arial" w:cs="Arial"/>
          <w:spacing w:val="-2"/>
          <w:sz w:val="20"/>
        </w:rPr>
        <w:t xml:space="preserve"> </w:t>
      </w:r>
      <w:r w:rsidRPr="009163BF">
        <w:rPr>
          <w:rFonts w:ascii="Arial" w:hAnsi="Arial" w:cs="Arial"/>
          <w:sz w:val="20"/>
        </w:rPr>
        <w:t>the</w:t>
      </w:r>
      <w:r w:rsidRPr="009163BF">
        <w:rPr>
          <w:rFonts w:ascii="Arial" w:hAnsi="Arial" w:cs="Arial"/>
          <w:spacing w:val="-3"/>
          <w:sz w:val="20"/>
        </w:rPr>
        <w:t xml:space="preserve"> </w:t>
      </w:r>
      <w:r w:rsidRPr="009163BF">
        <w:rPr>
          <w:rFonts w:ascii="Arial" w:hAnsi="Arial" w:cs="Arial"/>
          <w:sz w:val="20"/>
        </w:rPr>
        <w:t>following:</w:t>
      </w:r>
    </w:p>
    <w:p w14:paraId="6BB3A473" w14:textId="77777777" w:rsidR="009163BF" w:rsidRPr="009163BF" w:rsidRDefault="009163BF" w:rsidP="00E532A6">
      <w:pPr>
        <w:pStyle w:val="ListParagraph"/>
        <w:numPr>
          <w:ilvl w:val="1"/>
          <w:numId w:val="271"/>
        </w:numPr>
        <w:tabs>
          <w:tab w:val="left" w:pos="1274"/>
        </w:tabs>
        <w:spacing w:before="121" w:line="276" w:lineRule="auto"/>
        <w:ind w:right="68"/>
        <w:jc w:val="both"/>
        <w:rPr>
          <w:rFonts w:ascii="Arial" w:hAnsi="Arial" w:cs="Arial"/>
          <w:sz w:val="20"/>
        </w:rPr>
      </w:pPr>
      <w:r w:rsidRPr="009163BF">
        <w:rPr>
          <w:rFonts w:ascii="Arial" w:hAnsi="Arial" w:cs="Arial"/>
          <w:sz w:val="20"/>
        </w:rPr>
        <w:t>ensure that communication with the applicant can be established without language</w:t>
      </w:r>
      <w:r w:rsidRPr="009163BF">
        <w:rPr>
          <w:rFonts w:ascii="Arial" w:hAnsi="Arial" w:cs="Arial"/>
          <w:spacing w:val="1"/>
          <w:sz w:val="20"/>
        </w:rPr>
        <w:t xml:space="preserve"> </w:t>
      </w:r>
      <w:r w:rsidRPr="009163BF">
        <w:rPr>
          <w:rFonts w:ascii="Arial" w:hAnsi="Arial" w:cs="Arial"/>
          <w:sz w:val="20"/>
        </w:rPr>
        <w:t>barriers;</w:t>
      </w:r>
    </w:p>
    <w:p w14:paraId="65B8B3F4" w14:textId="77777777" w:rsidR="009163BF" w:rsidRPr="009163BF" w:rsidRDefault="009163BF" w:rsidP="00E532A6">
      <w:pPr>
        <w:pStyle w:val="ListParagraph"/>
        <w:numPr>
          <w:ilvl w:val="1"/>
          <w:numId w:val="271"/>
        </w:numPr>
        <w:tabs>
          <w:tab w:val="left" w:pos="1274"/>
        </w:tabs>
        <w:spacing w:line="276" w:lineRule="auto"/>
        <w:ind w:right="68"/>
        <w:jc w:val="both"/>
        <w:rPr>
          <w:rFonts w:ascii="Arial" w:hAnsi="Arial" w:cs="Arial"/>
          <w:sz w:val="20"/>
        </w:rPr>
      </w:pPr>
      <w:r w:rsidRPr="009163BF">
        <w:rPr>
          <w:rFonts w:ascii="Arial" w:hAnsi="Arial" w:cs="Arial"/>
          <w:sz w:val="20"/>
        </w:rPr>
        <w:t>verify that the applicant complies with all the qualification, training and experience</w:t>
      </w:r>
      <w:r w:rsidRPr="009163BF">
        <w:rPr>
          <w:rFonts w:ascii="Arial" w:hAnsi="Arial" w:cs="Arial"/>
          <w:spacing w:val="1"/>
          <w:sz w:val="20"/>
        </w:rPr>
        <w:t xml:space="preserve"> </w:t>
      </w:r>
      <w:r w:rsidRPr="009163BF">
        <w:rPr>
          <w:rFonts w:ascii="Arial" w:hAnsi="Arial" w:cs="Arial"/>
          <w:spacing w:val="-1"/>
          <w:sz w:val="20"/>
        </w:rPr>
        <w:t>requirements</w:t>
      </w:r>
      <w:r w:rsidRPr="009163BF">
        <w:rPr>
          <w:rFonts w:ascii="Arial" w:hAnsi="Arial" w:cs="Arial"/>
          <w:spacing w:val="-14"/>
          <w:sz w:val="20"/>
        </w:rPr>
        <w:t xml:space="preserve"> </w:t>
      </w:r>
      <w:r w:rsidRPr="009163BF">
        <w:rPr>
          <w:rFonts w:ascii="Arial" w:hAnsi="Arial" w:cs="Arial"/>
          <w:sz w:val="20"/>
        </w:rPr>
        <w:t>of</w:t>
      </w:r>
      <w:r w:rsidRPr="009163BF">
        <w:rPr>
          <w:rFonts w:ascii="Arial" w:hAnsi="Arial" w:cs="Arial"/>
          <w:spacing w:val="-11"/>
          <w:sz w:val="20"/>
        </w:rPr>
        <w:t xml:space="preserve"> </w:t>
      </w:r>
      <w:r w:rsidRPr="009163BF">
        <w:rPr>
          <w:rFonts w:ascii="Arial" w:hAnsi="Arial" w:cs="Arial"/>
          <w:sz w:val="20"/>
        </w:rPr>
        <w:t>this</w:t>
      </w:r>
      <w:r w:rsidRPr="009163BF">
        <w:rPr>
          <w:rFonts w:ascii="Arial" w:hAnsi="Arial" w:cs="Arial"/>
          <w:spacing w:val="-11"/>
          <w:sz w:val="20"/>
        </w:rPr>
        <w:t xml:space="preserve"> </w:t>
      </w:r>
      <w:r w:rsidRPr="009163BF">
        <w:rPr>
          <w:rFonts w:ascii="Arial" w:hAnsi="Arial" w:cs="Arial"/>
          <w:sz w:val="20"/>
        </w:rPr>
        <w:t>Annex</w:t>
      </w:r>
      <w:r w:rsidRPr="009163BF">
        <w:rPr>
          <w:rFonts w:ascii="Arial" w:hAnsi="Arial" w:cs="Arial"/>
          <w:spacing w:val="-13"/>
          <w:sz w:val="20"/>
        </w:rPr>
        <w:t xml:space="preserve"> </w:t>
      </w:r>
      <w:r w:rsidRPr="009163BF">
        <w:rPr>
          <w:rFonts w:ascii="Arial" w:hAnsi="Arial" w:cs="Arial"/>
          <w:sz w:val="20"/>
        </w:rPr>
        <w:t>for</w:t>
      </w:r>
      <w:r w:rsidRPr="009163BF">
        <w:rPr>
          <w:rFonts w:ascii="Arial" w:hAnsi="Arial" w:cs="Arial"/>
          <w:spacing w:val="-12"/>
          <w:sz w:val="20"/>
        </w:rPr>
        <w:t xml:space="preserve"> </w:t>
      </w:r>
      <w:r w:rsidRPr="009163BF">
        <w:rPr>
          <w:rFonts w:ascii="Arial" w:hAnsi="Arial" w:cs="Arial"/>
          <w:sz w:val="20"/>
        </w:rPr>
        <w:t>the</w:t>
      </w:r>
      <w:r w:rsidRPr="009163BF">
        <w:rPr>
          <w:rFonts w:ascii="Arial" w:hAnsi="Arial" w:cs="Arial"/>
          <w:spacing w:val="-13"/>
          <w:sz w:val="20"/>
        </w:rPr>
        <w:t xml:space="preserve"> </w:t>
      </w:r>
      <w:r w:rsidRPr="009163BF">
        <w:rPr>
          <w:rFonts w:ascii="Arial" w:hAnsi="Arial" w:cs="Arial"/>
          <w:sz w:val="20"/>
        </w:rPr>
        <w:t>issue,</w:t>
      </w:r>
      <w:r w:rsidRPr="009163BF">
        <w:rPr>
          <w:rFonts w:ascii="Arial" w:hAnsi="Arial" w:cs="Arial"/>
          <w:spacing w:val="-10"/>
          <w:sz w:val="20"/>
        </w:rPr>
        <w:t xml:space="preserve"> </w:t>
      </w:r>
      <w:r w:rsidRPr="009163BF">
        <w:rPr>
          <w:rFonts w:ascii="Arial" w:hAnsi="Arial" w:cs="Arial"/>
          <w:sz w:val="20"/>
        </w:rPr>
        <w:t>revalidation</w:t>
      </w:r>
      <w:r w:rsidRPr="009163BF">
        <w:rPr>
          <w:rFonts w:ascii="Arial" w:hAnsi="Arial" w:cs="Arial"/>
          <w:spacing w:val="-14"/>
          <w:sz w:val="20"/>
        </w:rPr>
        <w:t xml:space="preserve"> </w:t>
      </w:r>
      <w:r w:rsidRPr="009163BF">
        <w:rPr>
          <w:rFonts w:ascii="Arial" w:hAnsi="Arial" w:cs="Arial"/>
          <w:sz w:val="20"/>
        </w:rPr>
        <w:t>or</w:t>
      </w:r>
      <w:r w:rsidRPr="009163BF">
        <w:rPr>
          <w:rFonts w:ascii="Arial" w:hAnsi="Arial" w:cs="Arial"/>
          <w:spacing w:val="-11"/>
          <w:sz w:val="20"/>
        </w:rPr>
        <w:t xml:space="preserve"> </w:t>
      </w:r>
      <w:r w:rsidRPr="009163BF">
        <w:rPr>
          <w:rFonts w:ascii="Arial" w:hAnsi="Arial" w:cs="Arial"/>
          <w:sz w:val="20"/>
        </w:rPr>
        <w:t>renewal</w:t>
      </w:r>
      <w:r w:rsidRPr="009163BF">
        <w:rPr>
          <w:rFonts w:ascii="Arial" w:hAnsi="Arial" w:cs="Arial"/>
          <w:spacing w:val="-14"/>
          <w:sz w:val="20"/>
        </w:rPr>
        <w:t xml:space="preserve"> </w:t>
      </w:r>
      <w:r w:rsidRPr="009163BF">
        <w:rPr>
          <w:rFonts w:ascii="Arial" w:hAnsi="Arial" w:cs="Arial"/>
          <w:sz w:val="20"/>
        </w:rPr>
        <w:t>of</w:t>
      </w:r>
      <w:r w:rsidRPr="009163BF">
        <w:rPr>
          <w:rFonts w:ascii="Arial" w:hAnsi="Arial" w:cs="Arial"/>
          <w:spacing w:val="-14"/>
          <w:sz w:val="20"/>
        </w:rPr>
        <w:t xml:space="preserve"> </w:t>
      </w:r>
      <w:r w:rsidRPr="009163BF">
        <w:rPr>
          <w:rFonts w:ascii="Arial" w:hAnsi="Arial" w:cs="Arial"/>
          <w:sz w:val="20"/>
        </w:rPr>
        <w:t>the</w:t>
      </w:r>
      <w:r w:rsidRPr="009163BF">
        <w:rPr>
          <w:rFonts w:ascii="Arial" w:hAnsi="Arial" w:cs="Arial"/>
          <w:spacing w:val="-11"/>
          <w:sz w:val="20"/>
        </w:rPr>
        <w:t xml:space="preserve"> </w:t>
      </w:r>
      <w:r w:rsidRPr="009163BF">
        <w:rPr>
          <w:rFonts w:ascii="Arial" w:hAnsi="Arial" w:cs="Arial"/>
          <w:sz w:val="20"/>
        </w:rPr>
        <w:t>licence,</w:t>
      </w:r>
      <w:r w:rsidRPr="009163BF">
        <w:rPr>
          <w:rFonts w:ascii="Arial" w:hAnsi="Arial" w:cs="Arial"/>
          <w:spacing w:val="-10"/>
          <w:sz w:val="20"/>
        </w:rPr>
        <w:t xml:space="preserve"> </w:t>
      </w:r>
      <w:r w:rsidRPr="009163BF">
        <w:rPr>
          <w:rFonts w:ascii="Arial" w:hAnsi="Arial" w:cs="Arial"/>
          <w:sz w:val="20"/>
        </w:rPr>
        <w:t>privileges,</w:t>
      </w:r>
      <w:r w:rsidRPr="009163BF">
        <w:rPr>
          <w:rFonts w:ascii="Arial" w:hAnsi="Arial" w:cs="Arial"/>
          <w:spacing w:val="-48"/>
          <w:sz w:val="20"/>
        </w:rPr>
        <w:t xml:space="preserve"> </w:t>
      </w:r>
      <w:r w:rsidRPr="009163BF">
        <w:rPr>
          <w:rFonts w:ascii="Arial" w:hAnsi="Arial" w:cs="Arial"/>
          <w:sz w:val="20"/>
        </w:rPr>
        <w:t>rating</w:t>
      </w:r>
      <w:r w:rsidRPr="009163BF">
        <w:rPr>
          <w:rFonts w:ascii="Arial" w:hAnsi="Arial" w:cs="Arial"/>
          <w:spacing w:val="1"/>
          <w:sz w:val="20"/>
        </w:rPr>
        <w:t xml:space="preserve"> </w:t>
      </w:r>
      <w:r w:rsidRPr="009163BF">
        <w:rPr>
          <w:rFonts w:ascii="Arial" w:hAnsi="Arial" w:cs="Arial"/>
          <w:sz w:val="20"/>
        </w:rPr>
        <w:t>or</w:t>
      </w:r>
      <w:r w:rsidRPr="009163BF">
        <w:rPr>
          <w:rFonts w:ascii="Arial" w:hAnsi="Arial" w:cs="Arial"/>
          <w:spacing w:val="1"/>
          <w:sz w:val="20"/>
        </w:rPr>
        <w:t xml:space="preserve"> </w:t>
      </w:r>
      <w:r w:rsidRPr="009163BF">
        <w:rPr>
          <w:rFonts w:ascii="Arial" w:hAnsi="Arial" w:cs="Arial"/>
          <w:sz w:val="20"/>
        </w:rPr>
        <w:t>certificate</w:t>
      </w:r>
      <w:r w:rsidRPr="009163BF">
        <w:rPr>
          <w:rFonts w:ascii="Arial" w:hAnsi="Arial" w:cs="Arial"/>
          <w:spacing w:val="1"/>
          <w:sz w:val="20"/>
        </w:rPr>
        <w:t xml:space="preserve"> </w:t>
      </w:r>
      <w:r w:rsidRPr="009163BF">
        <w:rPr>
          <w:rFonts w:ascii="Arial" w:hAnsi="Arial" w:cs="Arial"/>
          <w:sz w:val="20"/>
        </w:rPr>
        <w:t>for</w:t>
      </w:r>
      <w:r w:rsidRPr="009163BF">
        <w:rPr>
          <w:rFonts w:ascii="Arial" w:hAnsi="Arial" w:cs="Arial"/>
          <w:spacing w:val="1"/>
          <w:sz w:val="20"/>
        </w:rPr>
        <w:t xml:space="preserve"> </w:t>
      </w:r>
      <w:r w:rsidRPr="009163BF">
        <w:rPr>
          <w:rFonts w:ascii="Arial" w:hAnsi="Arial" w:cs="Arial"/>
          <w:sz w:val="20"/>
        </w:rPr>
        <w:t>which</w:t>
      </w:r>
      <w:r w:rsidRPr="009163BF">
        <w:rPr>
          <w:rFonts w:ascii="Arial" w:hAnsi="Arial" w:cs="Arial"/>
          <w:spacing w:val="1"/>
          <w:sz w:val="20"/>
        </w:rPr>
        <w:t xml:space="preserve"> </w:t>
      </w:r>
      <w:r w:rsidRPr="009163BF">
        <w:rPr>
          <w:rFonts w:ascii="Arial" w:hAnsi="Arial" w:cs="Arial"/>
          <w:sz w:val="20"/>
        </w:rPr>
        <w:t>the</w:t>
      </w:r>
      <w:r w:rsidRPr="009163BF">
        <w:rPr>
          <w:rFonts w:ascii="Arial" w:hAnsi="Arial" w:cs="Arial"/>
          <w:spacing w:val="1"/>
          <w:sz w:val="20"/>
        </w:rPr>
        <w:t xml:space="preserve"> </w:t>
      </w:r>
      <w:r w:rsidRPr="009163BF">
        <w:rPr>
          <w:rFonts w:ascii="Arial" w:hAnsi="Arial" w:cs="Arial"/>
          <w:sz w:val="20"/>
        </w:rPr>
        <w:t>skill</w:t>
      </w:r>
      <w:r w:rsidRPr="009163BF">
        <w:rPr>
          <w:rFonts w:ascii="Arial" w:hAnsi="Arial" w:cs="Arial"/>
          <w:spacing w:val="1"/>
          <w:sz w:val="20"/>
        </w:rPr>
        <w:t xml:space="preserve"> </w:t>
      </w:r>
      <w:r w:rsidRPr="009163BF">
        <w:rPr>
          <w:rFonts w:ascii="Arial" w:hAnsi="Arial" w:cs="Arial"/>
          <w:sz w:val="20"/>
        </w:rPr>
        <w:t>test,</w:t>
      </w:r>
      <w:r w:rsidRPr="009163BF">
        <w:rPr>
          <w:rFonts w:ascii="Arial" w:hAnsi="Arial" w:cs="Arial"/>
          <w:spacing w:val="1"/>
          <w:sz w:val="20"/>
        </w:rPr>
        <w:t xml:space="preserve"> </w:t>
      </w:r>
      <w:r w:rsidRPr="009163BF">
        <w:rPr>
          <w:rFonts w:ascii="Arial" w:hAnsi="Arial" w:cs="Arial"/>
          <w:sz w:val="20"/>
        </w:rPr>
        <w:t>proficiency</w:t>
      </w:r>
      <w:r w:rsidRPr="009163BF">
        <w:rPr>
          <w:rFonts w:ascii="Arial" w:hAnsi="Arial" w:cs="Arial"/>
          <w:spacing w:val="1"/>
          <w:sz w:val="20"/>
        </w:rPr>
        <w:t xml:space="preserve"> </w:t>
      </w:r>
      <w:r w:rsidRPr="009163BF">
        <w:rPr>
          <w:rFonts w:ascii="Arial" w:hAnsi="Arial" w:cs="Arial"/>
          <w:sz w:val="20"/>
        </w:rPr>
        <w:t>check</w:t>
      </w:r>
      <w:r w:rsidRPr="009163BF">
        <w:rPr>
          <w:rFonts w:ascii="Arial" w:hAnsi="Arial" w:cs="Arial"/>
          <w:spacing w:val="1"/>
          <w:sz w:val="20"/>
        </w:rPr>
        <w:t xml:space="preserve"> </w:t>
      </w:r>
      <w:r w:rsidRPr="009163BF">
        <w:rPr>
          <w:rFonts w:ascii="Arial" w:hAnsi="Arial" w:cs="Arial"/>
          <w:sz w:val="20"/>
        </w:rPr>
        <w:t>or</w:t>
      </w:r>
      <w:r w:rsidRPr="009163BF">
        <w:rPr>
          <w:rFonts w:ascii="Arial" w:hAnsi="Arial" w:cs="Arial"/>
          <w:spacing w:val="1"/>
          <w:sz w:val="20"/>
        </w:rPr>
        <w:t xml:space="preserve"> </w:t>
      </w:r>
      <w:r w:rsidRPr="009163BF">
        <w:rPr>
          <w:rFonts w:ascii="Arial" w:hAnsi="Arial" w:cs="Arial"/>
          <w:sz w:val="20"/>
        </w:rPr>
        <w:t>assessment</w:t>
      </w:r>
      <w:r w:rsidRPr="009163BF">
        <w:rPr>
          <w:rFonts w:ascii="Arial" w:hAnsi="Arial" w:cs="Arial"/>
          <w:spacing w:val="1"/>
          <w:sz w:val="20"/>
        </w:rPr>
        <w:t xml:space="preserve"> </w:t>
      </w:r>
      <w:r w:rsidRPr="009163BF">
        <w:rPr>
          <w:rFonts w:ascii="Arial" w:hAnsi="Arial" w:cs="Arial"/>
          <w:sz w:val="20"/>
        </w:rPr>
        <w:t>of</w:t>
      </w:r>
      <w:r w:rsidRPr="009163BF">
        <w:rPr>
          <w:rFonts w:ascii="Arial" w:hAnsi="Arial" w:cs="Arial"/>
          <w:spacing w:val="1"/>
          <w:sz w:val="20"/>
        </w:rPr>
        <w:t xml:space="preserve"> </w:t>
      </w:r>
      <w:r w:rsidRPr="009163BF">
        <w:rPr>
          <w:rFonts w:ascii="Arial" w:hAnsi="Arial" w:cs="Arial"/>
          <w:sz w:val="20"/>
        </w:rPr>
        <w:t>competence</w:t>
      </w:r>
      <w:r w:rsidRPr="009163BF">
        <w:rPr>
          <w:rFonts w:ascii="Arial" w:hAnsi="Arial" w:cs="Arial"/>
          <w:spacing w:val="1"/>
          <w:sz w:val="20"/>
        </w:rPr>
        <w:t xml:space="preserve"> </w:t>
      </w:r>
      <w:r w:rsidRPr="009163BF">
        <w:rPr>
          <w:rFonts w:ascii="Arial" w:hAnsi="Arial" w:cs="Arial"/>
          <w:sz w:val="20"/>
        </w:rPr>
        <w:t>is</w:t>
      </w:r>
      <w:r w:rsidRPr="009163BF">
        <w:rPr>
          <w:rFonts w:ascii="Arial" w:hAnsi="Arial" w:cs="Arial"/>
          <w:spacing w:val="-3"/>
          <w:sz w:val="20"/>
        </w:rPr>
        <w:t xml:space="preserve"> </w:t>
      </w:r>
      <w:r w:rsidRPr="009163BF">
        <w:rPr>
          <w:rFonts w:ascii="Arial" w:hAnsi="Arial" w:cs="Arial"/>
          <w:sz w:val="20"/>
        </w:rPr>
        <w:t>taken;</w:t>
      </w:r>
      <w:r w:rsidRPr="009163BF">
        <w:rPr>
          <w:rFonts w:ascii="Arial" w:hAnsi="Arial" w:cs="Arial"/>
          <w:spacing w:val="1"/>
          <w:sz w:val="20"/>
        </w:rPr>
        <w:t xml:space="preserve"> </w:t>
      </w:r>
      <w:r w:rsidRPr="009163BF">
        <w:rPr>
          <w:rFonts w:ascii="Arial" w:hAnsi="Arial" w:cs="Arial"/>
          <w:sz w:val="20"/>
        </w:rPr>
        <w:t>and</w:t>
      </w:r>
    </w:p>
    <w:p w14:paraId="79DC924C" w14:textId="77777777" w:rsidR="009163BF" w:rsidRPr="009163BF" w:rsidRDefault="009163BF" w:rsidP="00E532A6">
      <w:pPr>
        <w:pStyle w:val="ListParagraph"/>
        <w:numPr>
          <w:ilvl w:val="1"/>
          <w:numId w:val="271"/>
        </w:numPr>
        <w:tabs>
          <w:tab w:val="left" w:pos="1274"/>
        </w:tabs>
        <w:spacing w:line="276" w:lineRule="auto"/>
        <w:ind w:right="68"/>
        <w:jc w:val="both"/>
        <w:rPr>
          <w:rFonts w:ascii="Arial" w:hAnsi="Arial" w:cs="Arial"/>
          <w:sz w:val="20"/>
        </w:rPr>
      </w:pPr>
      <w:r w:rsidRPr="009163BF">
        <w:rPr>
          <w:rFonts w:ascii="Arial" w:hAnsi="Arial" w:cs="Arial"/>
          <w:sz w:val="20"/>
        </w:rPr>
        <w:t>make the applicant aware of the consequences of providing incomplete, inaccurate or</w:t>
      </w:r>
      <w:r w:rsidRPr="009163BF">
        <w:rPr>
          <w:rFonts w:ascii="Arial" w:hAnsi="Arial" w:cs="Arial"/>
          <w:spacing w:val="1"/>
          <w:sz w:val="20"/>
        </w:rPr>
        <w:t xml:space="preserve"> </w:t>
      </w:r>
      <w:r w:rsidRPr="009163BF">
        <w:rPr>
          <w:rFonts w:ascii="Arial" w:hAnsi="Arial" w:cs="Arial"/>
          <w:sz w:val="20"/>
        </w:rPr>
        <w:t>false information</w:t>
      </w:r>
      <w:r w:rsidRPr="009163BF">
        <w:rPr>
          <w:rFonts w:ascii="Arial" w:hAnsi="Arial" w:cs="Arial"/>
          <w:spacing w:val="-1"/>
          <w:sz w:val="20"/>
        </w:rPr>
        <w:t xml:space="preserve"> </w:t>
      </w:r>
      <w:r w:rsidRPr="009163BF">
        <w:rPr>
          <w:rFonts w:ascii="Arial" w:hAnsi="Arial" w:cs="Arial"/>
          <w:sz w:val="20"/>
        </w:rPr>
        <w:t>related</w:t>
      </w:r>
      <w:r w:rsidRPr="009163BF">
        <w:rPr>
          <w:rFonts w:ascii="Arial" w:hAnsi="Arial" w:cs="Arial"/>
          <w:spacing w:val="-4"/>
          <w:sz w:val="20"/>
        </w:rPr>
        <w:t xml:space="preserve"> </w:t>
      </w:r>
      <w:r w:rsidRPr="009163BF">
        <w:rPr>
          <w:rFonts w:ascii="Arial" w:hAnsi="Arial" w:cs="Arial"/>
          <w:sz w:val="20"/>
        </w:rPr>
        <w:t>to his</w:t>
      </w:r>
      <w:r w:rsidRPr="009163BF">
        <w:rPr>
          <w:rFonts w:ascii="Arial" w:hAnsi="Arial" w:cs="Arial"/>
          <w:spacing w:val="-3"/>
          <w:sz w:val="20"/>
        </w:rPr>
        <w:t xml:space="preserve"> </w:t>
      </w:r>
      <w:r w:rsidRPr="009163BF">
        <w:rPr>
          <w:rFonts w:ascii="Arial" w:hAnsi="Arial" w:cs="Arial"/>
          <w:sz w:val="20"/>
        </w:rPr>
        <w:t>or her training</w:t>
      </w:r>
      <w:r w:rsidRPr="009163BF">
        <w:rPr>
          <w:rFonts w:ascii="Arial" w:hAnsi="Arial" w:cs="Arial"/>
          <w:spacing w:val="-2"/>
          <w:sz w:val="20"/>
        </w:rPr>
        <w:t xml:space="preserve"> </w:t>
      </w:r>
      <w:r w:rsidRPr="009163BF">
        <w:rPr>
          <w:rFonts w:ascii="Arial" w:hAnsi="Arial" w:cs="Arial"/>
          <w:sz w:val="20"/>
        </w:rPr>
        <w:t>and</w:t>
      </w:r>
      <w:r w:rsidRPr="009163BF">
        <w:rPr>
          <w:rFonts w:ascii="Arial" w:hAnsi="Arial" w:cs="Arial"/>
          <w:spacing w:val="-1"/>
          <w:sz w:val="20"/>
        </w:rPr>
        <w:t xml:space="preserve"> </w:t>
      </w:r>
      <w:r w:rsidRPr="009163BF">
        <w:rPr>
          <w:rFonts w:ascii="Arial" w:hAnsi="Arial" w:cs="Arial"/>
          <w:sz w:val="20"/>
        </w:rPr>
        <w:t>flight experience.</w:t>
      </w:r>
    </w:p>
    <w:p w14:paraId="1DE554B7" w14:textId="77777777" w:rsidR="009163BF" w:rsidRPr="009163BF" w:rsidRDefault="009163BF" w:rsidP="00E532A6">
      <w:pPr>
        <w:pStyle w:val="ListParagraph"/>
        <w:numPr>
          <w:ilvl w:val="0"/>
          <w:numId w:val="271"/>
        </w:numPr>
        <w:tabs>
          <w:tab w:val="left" w:pos="707"/>
        </w:tabs>
        <w:spacing w:before="56" w:line="276" w:lineRule="auto"/>
        <w:ind w:right="68"/>
        <w:jc w:val="both"/>
        <w:rPr>
          <w:rFonts w:ascii="Arial" w:hAnsi="Arial" w:cs="Arial"/>
          <w:sz w:val="20"/>
        </w:rPr>
      </w:pPr>
      <w:r w:rsidRPr="009163BF">
        <w:rPr>
          <w:rFonts w:ascii="Arial" w:hAnsi="Arial" w:cs="Arial"/>
          <w:sz w:val="20"/>
        </w:rPr>
        <w:t>After completion of the skill test, proficiency check or assessment of competence, the balloon</w:t>
      </w:r>
      <w:r w:rsidRPr="009163BF">
        <w:rPr>
          <w:rFonts w:ascii="Arial" w:hAnsi="Arial" w:cs="Arial"/>
          <w:spacing w:val="1"/>
          <w:sz w:val="20"/>
        </w:rPr>
        <w:t xml:space="preserve"> </w:t>
      </w:r>
      <w:r w:rsidRPr="009163BF">
        <w:rPr>
          <w:rFonts w:ascii="Arial" w:hAnsi="Arial" w:cs="Arial"/>
          <w:sz w:val="20"/>
        </w:rPr>
        <w:t>examiner</w:t>
      </w:r>
      <w:r w:rsidRPr="009163BF">
        <w:rPr>
          <w:rFonts w:ascii="Arial" w:hAnsi="Arial" w:cs="Arial"/>
          <w:spacing w:val="-1"/>
          <w:sz w:val="20"/>
        </w:rPr>
        <w:t xml:space="preserve"> </w:t>
      </w:r>
      <w:r w:rsidRPr="009163BF">
        <w:rPr>
          <w:rFonts w:ascii="Arial" w:hAnsi="Arial" w:cs="Arial"/>
          <w:sz w:val="20"/>
        </w:rPr>
        <w:t>shall:</w:t>
      </w:r>
    </w:p>
    <w:p w14:paraId="01EFA190" w14:textId="77777777" w:rsidR="009163BF" w:rsidRPr="009163BF" w:rsidRDefault="009163BF" w:rsidP="00E532A6">
      <w:pPr>
        <w:pStyle w:val="ListParagraph"/>
        <w:numPr>
          <w:ilvl w:val="1"/>
          <w:numId w:val="271"/>
        </w:numPr>
        <w:tabs>
          <w:tab w:val="left" w:pos="1274"/>
        </w:tabs>
        <w:spacing w:before="121" w:line="276" w:lineRule="auto"/>
        <w:ind w:right="68"/>
        <w:jc w:val="both"/>
        <w:rPr>
          <w:rFonts w:ascii="Arial" w:hAnsi="Arial" w:cs="Arial"/>
          <w:sz w:val="20"/>
        </w:rPr>
      </w:pPr>
      <w:r w:rsidRPr="009163BF">
        <w:rPr>
          <w:rFonts w:ascii="Arial" w:hAnsi="Arial" w:cs="Arial"/>
          <w:sz w:val="20"/>
        </w:rPr>
        <w:t>inform the applicant of the results of the skill test, proficiency check or assessment of</w:t>
      </w:r>
      <w:r w:rsidRPr="009163BF">
        <w:rPr>
          <w:rFonts w:ascii="Arial" w:hAnsi="Arial" w:cs="Arial"/>
          <w:spacing w:val="1"/>
          <w:sz w:val="20"/>
        </w:rPr>
        <w:t xml:space="preserve"> </w:t>
      </w:r>
      <w:r w:rsidRPr="009163BF">
        <w:rPr>
          <w:rFonts w:ascii="Arial" w:hAnsi="Arial" w:cs="Arial"/>
          <w:sz w:val="20"/>
        </w:rPr>
        <w:t>competence;</w:t>
      </w:r>
    </w:p>
    <w:p w14:paraId="6115C3D0" w14:textId="37E92C28" w:rsidR="009163BF" w:rsidRPr="009163BF" w:rsidRDefault="009163BF" w:rsidP="00E532A6">
      <w:pPr>
        <w:pStyle w:val="ListParagraph"/>
        <w:numPr>
          <w:ilvl w:val="1"/>
          <w:numId w:val="271"/>
        </w:numPr>
        <w:tabs>
          <w:tab w:val="left" w:pos="1274"/>
        </w:tabs>
        <w:spacing w:line="276" w:lineRule="auto"/>
        <w:ind w:right="68"/>
        <w:jc w:val="both"/>
        <w:rPr>
          <w:rFonts w:ascii="Arial" w:hAnsi="Arial" w:cs="Arial"/>
          <w:sz w:val="20"/>
        </w:rPr>
      </w:pPr>
      <w:r w:rsidRPr="009163BF">
        <w:rPr>
          <w:rFonts w:ascii="Arial" w:hAnsi="Arial" w:cs="Arial"/>
          <w:sz w:val="20"/>
        </w:rPr>
        <w:t>in the event of a pass in an assessment of competence for the revalidation or renewal,</w:t>
      </w:r>
      <w:r w:rsidRPr="009163BF">
        <w:rPr>
          <w:rFonts w:ascii="Arial" w:hAnsi="Arial" w:cs="Arial"/>
          <w:spacing w:val="1"/>
          <w:sz w:val="20"/>
        </w:rPr>
        <w:t xml:space="preserve"> </w:t>
      </w:r>
      <w:r w:rsidRPr="009163BF">
        <w:rPr>
          <w:rFonts w:ascii="Arial" w:hAnsi="Arial" w:cs="Arial"/>
          <w:sz w:val="20"/>
        </w:rPr>
        <w:t>endorse the</w:t>
      </w:r>
      <w:r w:rsidRPr="009163BF">
        <w:rPr>
          <w:rFonts w:ascii="Arial" w:hAnsi="Arial" w:cs="Arial"/>
          <w:spacing w:val="1"/>
          <w:sz w:val="20"/>
        </w:rPr>
        <w:t xml:space="preserve"> </w:t>
      </w:r>
      <w:r w:rsidRPr="009163BF">
        <w:rPr>
          <w:rFonts w:ascii="Arial" w:hAnsi="Arial" w:cs="Arial"/>
          <w:sz w:val="20"/>
        </w:rPr>
        <w:t>new</w:t>
      </w:r>
      <w:r w:rsidRPr="009163BF">
        <w:rPr>
          <w:rFonts w:ascii="Arial" w:hAnsi="Arial" w:cs="Arial"/>
          <w:spacing w:val="1"/>
          <w:sz w:val="20"/>
        </w:rPr>
        <w:t xml:space="preserve"> </w:t>
      </w:r>
      <w:r w:rsidRPr="009163BF">
        <w:rPr>
          <w:rFonts w:ascii="Arial" w:hAnsi="Arial" w:cs="Arial"/>
          <w:sz w:val="20"/>
        </w:rPr>
        <w:t>expiry date</w:t>
      </w:r>
      <w:r w:rsidRPr="009163BF">
        <w:rPr>
          <w:rFonts w:ascii="Arial" w:hAnsi="Arial" w:cs="Arial"/>
          <w:spacing w:val="1"/>
          <w:sz w:val="20"/>
        </w:rPr>
        <w:t xml:space="preserve"> </w:t>
      </w:r>
      <w:r w:rsidRPr="009163BF">
        <w:rPr>
          <w:rFonts w:ascii="Arial" w:hAnsi="Arial" w:cs="Arial"/>
          <w:sz w:val="20"/>
        </w:rPr>
        <w:t>on the</w:t>
      </w:r>
      <w:r w:rsidRPr="009163BF">
        <w:rPr>
          <w:rFonts w:ascii="Arial" w:hAnsi="Arial" w:cs="Arial"/>
          <w:spacing w:val="1"/>
          <w:sz w:val="20"/>
        </w:rPr>
        <w:t xml:space="preserve"> </w:t>
      </w:r>
      <w:r w:rsidRPr="009163BF">
        <w:rPr>
          <w:rFonts w:ascii="Arial" w:hAnsi="Arial" w:cs="Arial"/>
          <w:sz w:val="20"/>
        </w:rPr>
        <w:t>applicant’s</w:t>
      </w:r>
      <w:r w:rsidRPr="009163BF">
        <w:rPr>
          <w:rFonts w:ascii="Arial" w:hAnsi="Arial" w:cs="Arial"/>
          <w:spacing w:val="1"/>
          <w:sz w:val="20"/>
        </w:rPr>
        <w:t xml:space="preserve"> </w:t>
      </w:r>
      <w:r w:rsidRPr="009163BF">
        <w:rPr>
          <w:rFonts w:ascii="Arial" w:hAnsi="Arial" w:cs="Arial"/>
          <w:sz w:val="20"/>
        </w:rPr>
        <w:t>licence or</w:t>
      </w:r>
      <w:r w:rsidRPr="009163BF">
        <w:rPr>
          <w:rFonts w:ascii="Arial" w:hAnsi="Arial" w:cs="Arial"/>
          <w:spacing w:val="1"/>
          <w:sz w:val="20"/>
        </w:rPr>
        <w:t xml:space="preserve"> </w:t>
      </w:r>
      <w:r w:rsidRPr="009163BF">
        <w:rPr>
          <w:rFonts w:ascii="Arial" w:hAnsi="Arial" w:cs="Arial"/>
          <w:sz w:val="20"/>
        </w:rPr>
        <w:t>certificate, if</w:t>
      </w:r>
      <w:r w:rsidRPr="009163BF">
        <w:rPr>
          <w:rFonts w:ascii="Arial" w:hAnsi="Arial" w:cs="Arial"/>
          <w:spacing w:val="1"/>
          <w:sz w:val="20"/>
        </w:rPr>
        <w:t xml:space="preserve"> </w:t>
      </w:r>
      <w:r w:rsidRPr="009163BF">
        <w:rPr>
          <w:rFonts w:ascii="Arial" w:hAnsi="Arial" w:cs="Arial"/>
          <w:sz w:val="20"/>
        </w:rPr>
        <w:t>specifically</w:t>
      </w:r>
      <w:r w:rsidRPr="009163BF">
        <w:rPr>
          <w:rFonts w:ascii="Arial" w:hAnsi="Arial" w:cs="Arial"/>
          <w:spacing w:val="1"/>
          <w:sz w:val="20"/>
        </w:rPr>
        <w:t xml:space="preserve"> </w:t>
      </w:r>
      <w:r w:rsidRPr="009163BF">
        <w:rPr>
          <w:rFonts w:ascii="Arial" w:hAnsi="Arial" w:cs="Arial"/>
          <w:sz w:val="20"/>
        </w:rPr>
        <w:t xml:space="preserve">authorised for that purpose by the </w:t>
      </w:r>
      <w:r w:rsidR="003C6906">
        <w:rPr>
          <w:rFonts w:ascii="Arial" w:hAnsi="Arial" w:cs="Arial"/>
          <w:sz w:val="20"/>
          <w:szCs w:val="20"/>
        </w:rPr>
        <w:t xml:space="preserve">CAC RA  </w:t>
      </w:r>
      <w:r w:rsidRPr="009163BF">
        <w:rPr>
          <w:rFonts w:ascii="Arial" w:hAnsi="Arial" w:cs="Arial"/>
          <w:sz w:val="20"/>
        </w:rPr>
        <w:t>that is responsible for the</w:t>
      </w:r>
      <w:r w:rsidRPr="009163BF">
        <w:rPr>
          <w:rFonts w:ascii="Arial" w:hAnsi="Arial" w:cs="Arial"/>
          <w:spacing w:val="1"/>
          <w:sz w:val="20"/>
        </w:rPr>
        <w:t xml:space="preserve"> </w:t>
      </w:r>
      <w:r w:rsidRPr="009163BF">
        <w:rPr>
          <w:rFonts w:ascii="Arial" w:hAnsi="Arial" w:cs="Arial"/>
          <w:sz w:val="20"/>
        </w:rPr>
        <w:t>applicant’s licence;</w:t>
      </w:r>
    </w:p>
    <w:p w14:paraId="1B05ECBE" w14:textId="5062DA23" w:rsidR="009163BF" w:rsidRPr="009163BF" w:rsidRDefault="009163BF" w:rsidP="00E532A6">
      <w:pPr>
        <w:pStyle w:val="ListParagraph"/>
        <w:numPr>
          <w:ilvl w:val="1"/>
          <w:numId w:val="271"/>
        </w:numPr>
        <w:tabs>
          <w:tab w:val="left" w:pos="1274"/>
        </w:tabs>
        <w:spacing w:before="119" w:line="276" w:lineRule="auto"/>
        <w:ind w:right="68"/>
        <w:jc w:val="both"/>
        <w:rPr>
          <w:rFonts w:ascii="Arial" w:hAnsi="Arial" w:cs="Arial"/>
          <w:sz w:val="20"/>
        </w:rPr>
      </w:pPr>
      <w:r w:rsidRPr="009163BF">
        <w:rPr>
          <w:rFonts w:ascii="Arial" w:hAnsi="Arial" w:cs="Arial"/>
          <w:sz w:val="20"/>
        </w:rPr>
        <w:t>provide</w:t>
      </w:r>
      <w:r w:rsidRPr="009163BF">
        <w:rPr>
          <w:rFonts w:ascii="Arial" w:hAnsi="Arial" w:cs="Arial"/>
          <w:spacing w:val="1"/>
          <w:sz w:val="20"/>
        </w:rPr>
        <w:t xml:space="preserve"> </w:t>
      </w:r>
      <w:r w:rsidRPr="009163BF">
        <w:rPr>
          <w:rFonts w:ascii="Arial" w:hAnsi="Arial" w:cs="Arial"/>
          <w:sz w:val="20"/>
        </w:rPr>
        <w:t>the</w:t>
      </w:r>
      <w:r w:rsidRPr="009163BF">
        <w:rPr>
          <w:rFonts w:ascii="Arial" w:hAnsi="Arial" w:cs="Arial"/>
          <w:spacing w:val="1"/>
          <w:sz w:val="20"/>
        </w:rPr>
        <w:t xml:space="preserve"> </w:t>
      </w:r>
      <w:r w:rsidRPr="009163BF">
        <w:rPr>
          <w:rFonts w:ascii="Arial" w:hAnsi="Arial" w:cs="Arial"/>
          <w:sz w:val="20"/>
        </w:rPr>
        <w:t>applicant</w:t>
      </w:r>
      <w:r w:rsidRPr="009163BF">
        <w:rPr>
          <w:rFonts w:ascii="Arial" w:hAnsi="Arial" w:cs="Arial"/>
          <w:spacing w:val="1"/>
          <w:sz w:val="20"/>
        </w:rPr>
        <w:t xml:space="preserve"> </w:t>
      </w:r>
      <w:r w:rsidRPr="009163BF">
        <w:rPr>
          <w:rFonts w:ascii="Arial" w:hAnsi="Arial" w:cs="Arial"/>
          <w:sz w:val="20"/>
        </w:rPr>
        <w:t>with</w:t>
      </w:r>
      <w:r w:rsidRPr="009163BF">
        <w:rPr>
          <w:rFonts w:ascii="Arial" w:hAnsi="Arial" w:cs="Arial"/>
          <w:spacing w:val="1"/>
          <w:sz w:val="20"/>
        </w:rPr>
        <w:t xml:space="preserve"> </w:t>
      </w:r>
      <w:r w:rsidRPr="009163BF">
        <w:rPr>
          <w:rFonts w:ascii="Arial" w:hAnsi="Arial" w:cs="Arial"/>
          <w:sz w:val="20"/>
        </w:rPr>
        <w:t>a</w:t>
      </w:r>
      <w:r w:rsidRPr="009163BF">
        <w:rPr>
          <w:rFonts w:ascii="Arial" w:hAnsi="Arial" w:cs="Arial"/>
          <w:spacing w:val="1"/>
          <w:sz w:val="20"/>
        </w:rPr>
        <w:t xml:space="preserve"> </w:t>
      </w:r>
      <w:r w:rsidRPr="009163BF">
        <w:rPr>
          <w:rFonts w:ascii="Arial" w:hAnsi="Arial" w:cs="Arial"/>
          <w:sz w:val="20"/>
        </w:rPr>
        <w:t>signed</w:t>
      </w:r>
      <w:r w:rsidRPr="009163BF">
        <w:rPr>
          <w:rFonts w:ascii="Arial" w:hAnsi="Arial" w:cs="Arial"/>
          <w:spacing w:val="1"/>
          <w:sz w:val="20"/>
        </w:rPr>
        <w:t xml:space="preserve"> </w:t>
      </w:r>
      <w:r w:rsidRPr="009163BF">
        <w:rPr>
          <w:rFonts w:ascii="Arial" w:hAnsi="Arial" w:cs="Arial"/>
          <w:sz w:val="20"/>
        </w:rPr>
        <w:t>report</w:t>
      </w:r>
      <w:r w:rsidRPr="009163BF">
        <w:rPr>
          <w:rFonts w:ascii="Arial" w:hAnsi="Arial" w:cs="Arial"/>
          <w:spacing w:val="1"/>
          <w:sz w:val="20"/>
        </w:rPr>
        <w:t xml:space="preserve"> </w:t>
      </w:r>
      <w:r w:rsidRPr="009163BF">
        <w:rPr>
          <w:rFonts w:ascii="Arial" w:hAnsi="Arial" w:cs="Arial"/>
          <w:sz w:val="20"/>
        </w:rPr>
        <w:t>of</w:t>
      </w:r>
      <w:r w:rsidRPr="009163BF">
        <w:rPr>
          <w:rFonts w:ascii="Arial" w:hAnsi="Arial" w:cs="Arial"/>
          <w:spacing w:val="1"/>
          <w:sz w:val="20"/>
        </w:rPr>
        <w:t xml:space="preserve"> </w:t>
      </w:r>
      <w:r w:rsidRPr="009163BF">
        <w:rPr>
          <w:rFonts w:ascii="Arial" w:hAnsi="Arial" w:cs="Arial"/>
          <w:sz w:val="20"/>
        </w:rPr>
        <w:t>the</w:t>
      </w:r>
      <w:r w:rsidRPr="009163BF">
        <w:rPr>
          <w:rFonts w:ascii="Arial" w:hAnsi="Arial" w:cs="Arial"/>
          <w:spacing w:val="1"/>
          <w:sz w:val="20"/>
        </w:rPr>
        <w:t xml:space="preserve"> </w:t>
      </w:r>
      <w:r w:rsidRPr="009163BF">
        <w:rPr>
          <w:rFonts w:ascii="Arial" w:hAnsi="Arial" w:cs="Arial"/>
          <w:sz w:val="20"/>
        </w:rPr>
        <w:t>skill</w:t>
      </w:r>
      <w:r w:rsidRPr="009163BF">
        <w:rPr>
          <w:rFonts w:ascii="Arial" w:hAnsi="Arial" w:cs="Arial"/>
          <w:spacing w:val="1"/>
          <w:sz w:val="20"/>
        </w:rPr>
        <w:t xml:space="preserve"> </w:t>
      </w:r>
      <w:r w:rsidRPr="009163BF">
        <w:rPr>
          <w:rFonts w:ascii="Arial" w:hAnsi="Arial" w:cs="Arial"/>
          <w:sz w:val="20"/>
        </w:rPr>
        <w:t>test,</w:t>
      </w:r>
      <w:r w:rsidRPr="009163BF">
        <w:rPr>
          <w:rFonts w:ascii="Arial" w:hAnsi="Arial" w:cs="Arial"/>
          <w:spacing w:val="1"/>
          <w:sz w:val="20"/>
        </w:rPr>
        <w:t xml:space="preserve"> </w:t>
      </w:r>
      <w:r w:rsidRPr="009163BF">
        <w:rPr>
          <w:rFonts w:ascii="Arial" w:hAnsi="Arial" w:cs="Arial"/>
          <w:sz w:val="20"/>
        </w:rPr>
        <w:t>proficiency</w:t>
      </w:r>
      <w:r w:rsidRPr="009163BF">
        <w:rPr>
          <w:rFonts w:ascii="Arial" w:hAnsi="Arial" w:cs="Arial"/>
          <w:spacing w:val="1"/>
          <w:sz w:val="20"/>
        </w:rPr>
        <w:t xml:space="preserve"> </w:t>
      </w:r>
      <w:r w:rsidRPr="009163BF">
        <w:rPr>
          <w:rFonts w:ascii="Arial" w:hAnsi="Arial" w:cs="Arial"/>
          <w:sz w:val="20"/>
        </w:rPr>
        <w:t>check</w:t>
      </w:r>
      <w:r w:rsidRPr="009163BF">
        <w:rPr>
          <w:rFonts w:ascii="Arial" w:hAnsi="Arial" w:cs="Arial"/>
          <w:spacing w:val="1"/>
          <w:sz w:val="20"/>
        </w:rPr>
        <w:t xml:space="preserve"> </w:t>
      </w:r>
      <w:r w:rsidRPr="009163BF">
        <w:rPr>
          <w:rFonts w:ascii="Arial" w:hAnsi="Arial" w:cs="Arial"/>
          <w:sz w:val="20"/>
        </w:rPr>
        <w:t>or</w:t>
      </w:r>
      <w:r w:rsidRPr="009163BF">
        <w:rPr>
          <w:rFonts w:ascii="Arial" w:hAnsi="Arial" w:cs="Arial"/>
          <w:spacing w:val="1"/>
          <w:sz w:val="20"/>
        </w:rPr>
        <w:t xml:space="preserve"> </w:t>
      </w:r>
      <w:r w:rsidRPr="009163BF">
        <w:rPr>
          <w:rFonts w:ascii="Arial" w:hAnsi="Arial" w:cs="Arial"/>
          <w:sz w:val="20"/>
        </w:rPr>
        <w:t>assessment of competence and submit without undue delay copies of the report to the</w:t>
      </w:r>
      <w:r w:rsidRPr="009163BF">
        <w:rPr>
          <w:rFonts w:ascii="Arial" w:hAnsi="Arial" w:cs="Arial"/>
          <w:spacing w:val="1"/>
          <w:sz w:val="20"/>
        </w:rPr>
        <w:t xml:space="preserve"> </w:t>
      </w:r>
      <w:r w:rsidR="003C6906">
        <w:rPr>
          <w:rFonts w:ascii="Arial" w:hAnsi="Arial" w:cs="Arial"/>
          <w:sz w:val="20"/>
          <w:szCs w:val="20"/>
        </w:rPr>
        <w:t xml:space="preserve">CAC RA </w:t>
      </w:r>
      <w:r w:rsidRPr="009163BF">
        <w:rPr>
          <w:rFonts w:ascii="Arial" w:hAnsi="Arial" w:cs="Arial"/>
          <w:sz w:val="20"/>
        </w:rPr>
        <w:t>that</w:t>
      </w:r>
      <w:r w:rsidRPr="009163BF">
        <w:rPr>
          <w:rFonts w:ascii="Arial" w:hAnsi="Arial" w:cs="Arial"/>
          <w:spacing w:val="-7"/>
          <w:sz w:val="20"/>
        </w:rPr>
        <w:t xml:space="preserve"> </w:t>
      </w:r>
      <w:r w:rsidRPr="009163BF">
        <w:rPr>
          <w:rFonts w:ascii="Arial" w:hAnsi="Arial" w:cs="Arial"/>
          <w:sz w:val="20"/>
        </w:rPr>
        <w:t>is</w:t>
      </w:r>
      <w:r w:rsidRPr="009163BF">
        <w:rPr>
          <w:rFonts w:ascii="Arial" w:hAnsi="Arial" w:cs="Arial"/>
          <w:spacing w:val="-8"/>
          <w:sz w:val="20"/>
        </w:rPr>
        <w:t xml:space="preserve"> </w:t>
      </w:r>
      <w:r w:rsidRPr="009163BF">
        <w:rPr>
          <w:rFonts w:ascii="Arial" w:hAnsi="Arial" w:cs="Arial"/>
          <w:sz w:val="20"/>
        </w:rPr>
        <w:t>responsible</w:t>
      </w:r>
      <w:r w:rsidRPr="009163BF">
        <w:rPr>
          <w:rFonts w:ascii="Arial" w:hAnsi="Arial" w:cs="Arial"/>
          <w:spacing w:val="-7"/>
          <w:sz w:val="20"/>
        </w:rPr>
        <w:t xml:space="preserve"> </w:t>
      </w:r>
      <w:r w:rsidRPr="009163BF">
        <w:rPr>
          <w:rFonts w:ascii="Arial" w:hAnsi="Arial" w:cs="Arial"/>
          <w:sz w:val="20"/>
        </w:rPr>
        <w:t>for</w:t>
      </w:r>
      <w:r w:rsidRPr="009163BF">
        <w:rPr>
          <w:rFonts w:ascii="Arial" w:hAnsi="Arial" w:cs="Arial"/>
          <w:spacing w:val="-6"/>
          <w:sz w:val="20"/>
        </w:rPr>
        <w:t xml:space="preserve"> </w:t>
      </w:r>
      <w:r w:rsidRPr="009163BF">
        <w:rPr>
          <w:rFonts w:ascii="Arial" w:hAnsi="Arial" w:cs="Arial"/>
          <w:sz w:val="20"/>
        </w:rPr>
        <w:t>the</w:t>
      </w:r>
      <w:r w:rsidRPr="009163BF">
        <w:rPr>
          <w:rFonts w:ascii="Arial" w:hAnsi="Arial" w:cs="Arial"/>
          <w:spacing w:val="-7"/>
          <w:sz w:val="20"/>
        </w:rPr>
        <w:t xml:space="preserve"> </w:t>
      </w:r>
      <w:r w:rsidRPr="009163BF">
        <w:rPr>
          <w:rFonts w:ascii="Arial" w:hAnsi="Arial" w:cs="Arial"/>
          <w:sz w:val="20"/>
        </w:rPr>
        <w:t>applicant’s</w:t>
      </w:r>
      <w:r w:rsidRPr="009163BF">
        <w:rPr>
          <w:rFonts w:ascii="Arial" w:hAnsi="Arial" w:cs="Arial"/>
          <w:spacing w:val="-5"/>
          <w:sz w:val="20"/>
        </w:rPr>
        <w:t xml:space="preserve"> </w:t>
      </w:r>
      <w:r w:rsidRPr="009163BF">
        <w:rPr>
          <w:rFonts w:ascii="Arial" w:hAnsi="Arial" w:cs="Arial"/>
          <w:sz w:val="20"/>
        </w:rPr>
        <w:t>licence,</w:t>
      </w:r>
      <w:r w:rsidRPr="009163BF">
        <w:rPr>
          <w:rFonts w:ascii="Arial" w:hAnsi="Arial" w:cs="Arial"/>
          <w:spacing w:val="-5"/>
          <w:sz w:val="20"/>
        </w:rPr>
        <w:t xml:space="preserve"> </w:t>
      </w:r>
      <w:r w:rsidRPr="009163BF">
        <w:rPr>
          <w:rFonts w:ascii="Arial" w:hAnsi="Arial" w:cs="Arial"/>
          <w:sz w:val="20"/>
        </w:rPr>
        <w:t>and</w:t>
      </w:r>
      <w:r w:rsidRPr="009163BF">
        <w:rPr>
          <w:rFonts w:ascii="Arial" w:hAnsi="Arial" w:cs="Arial"/>
          <w:spacing w:val="-8"/>
          <w:sz w:val="20"/>
        </w:rPr>
        <w:t xml:space="preserve"> </w:t>
      </w:r>
      <w:r w:rsidRPr="009163BF">
        <w:rPr>
          <w:rFonts w:ascii="Arial" w:hAnsi="Arial" w:cs="Arial"/>
          <w:sz w:val="20"/>
        </w:rPr>
        <w:t>to</w:t>
      </w:r>
      <w:r w:rsidRPr="009163BF">
        <w:rPr>
          <w:rFonts w:ascii="Arial" w:hAnsi="Arial" w:cs="Arial"/>
          <w:spacing w:val="-6"/>
          <w:sz w:val="20"/>
        </w:rPr>
        <w:t xml:space="preserve"> </w:t>
      </w:r>
      <w:r w:rsidRPr="009163BF">
        <w:rPr>
          <w:rFonts w:ascii="Arial" w:hAnsi="Arial" w:cs="Arial"/>
          <w:sz w:val="20"/>
        </w:rPr>
        <w:t>the</w:t>
      </w:r>
      <w:r w:rsidRPr="009163BF">
        <w:rPr>
          <w:rFonts w:ascii="Arial" w:hAnsi="Arial" w:cs="Arial"/>
          <w:spacing w:val="-7"/>
          <w:sz w:val="20"/>
        </w:rPr>
        <w:t xml:space="preserve"> </w:t>
      </w:r>
      <w:r w:rsidR="002C3FB9">
        <w:rPr>
          <w:rFonts w:ascii="Arial" w:hAnsi="Arial" w:cs="Arial"/>
          <w:sz w:val="20"/>
          <w:szCs w:val="20"/>
        </w:rPr>
        <w:t>CAC RA</w:t>
      </w:r>
      <w:r w:rsidR="002C3FB9" w:rsidRPr="004A51D5">
        <w:rPr>
          <w:rFonts w:ascii="Arial" w:hAnsi="Arial" w:cs="Arial"/>
          <w:spacing w:val="1"/>
          <w:sz w:val="20"/>
          <w:szCs w:val="20"/>
        </w:rPr>
        <w:t xml:space="preserve"> </w:t>
      </w:r>
      <w:r w:rsidRPr="009163BF">
        <w:rPr>
          <w:rFonts w:ascii="Arial" w:hAnsi="Arial" w:cs="Arial"/>
          <w:sz w:val="20"/>
        </w:rPr>
        <w:t>that</w:t>
      </w:r>
      <w:r w:rsidRPr="009163BF">
        <w:rPr>
          <w:rFonts w:ascii="Arial" w:hAnsi="Arial" w:cs="Arial"/>
          <w:spacing w:val="-3"/>
          <w:sz w:val="20"/>
        </w:rPr>
        <w:t xml:space="preserve"> </w:t>
      </w:r>
      <w:r w:rsidRPr="009163BF">
        <w:rPr>
          <w:rFonts w:ascii="Arial" w:hAnsi="Arial" w:cs="Arial"/>
          <w:sz w:val="20"/>
        </w:rPr>
        <w:t>issued</w:t>
      </w:r>
      <w:r w:rsidRPr="009163BF">
        <w:rPr>
          <w:rFonts w:ascii="Arial" w:hAnsi="Arial" w:cs="Arial"/>
          <w:spacing w:val="-1"/>
          <w:sz w:val="20"/>
        </w:rPr>
        <w:t xml:space="preserve"> </w:t>
      </w:r>
      <w:r w:rsidRPr="009163BF">
        <w:rPr>
          <w:rFonts w:ascii="Arial" w:hAnsi="Arial" w:cs="Arial"/>
          <w:sz w:val="20"/>
        </w:rPr>
        <w:t>the</w:t>
      </w:r>
      <w:r w:rsidRPr="009163BF">
        <w:rPr>
          <w:rFonts w:ascii="Arial" w:hAnsi="Arial" w:cs="Arial"/>
          <w:spacing w:val="1"/>
          <w:sz w:val="20"/>
        </w:rPr>
        <w:t xml:space="preserve"> </w:t>
      </w:r>
      <w:r w:rsidRPr="009163BF">
        <w:rPr>
          <w:rFonts w:ascii="Arial" w:hAnsi="Arial" w:cs="Arial"/>
          <w:sz w:val="20"/>
        </w:rPr>
        <w:t>examiner</w:t>
      </w:r>
      <w:r w:rsidRPr="009163BF">
        <w:rPr>
          <w:rFonts w:ascii="Arial" w:hAnsi="Arial" w:cs="Arial"/>
          <w:spacing w:val="-3"/>
          <w:sz w:val="20"/>
        </w:rPr>
        <w:t xml:space="preserve"> </w:t>
      </w:r>
      <w:r w:rsidRPr="009163BF">
        <w:rPr>
          <w:rFonts w:ascii="Arial" w:hAnsi="Arial" w:cs="Arial"/>
          <w:sz w:val="20"/>
        </w:rPr>
        <w:t>certificate. The</w:t>
      </w:r>
      <w:r w:rsidRPr="009163BF">
        <w:rPr>
          <w:rFonts w:ascii="Arial" w:hAnsi="Arial" w:cs="Arial"/>
          <w:spacing w:val="-2"/>
          <w:sz w:val="20"/>
        </w:rPr>
        <w:t xml:space="preserve"> </w:t>
      </w:r>
      <w:r w:rsidRPr="009163BF">
        <w:rPr>
          <w:rFonts w:ascii="Arial" w:hAnsi="Arial" w:cs="Arial"/>
          <w:sz w:val="20"/>
        </w:rPr>
        <w:t>report shall</w:t>
      </w:r>
      <w:r w:rsidRPr="009163BF">
        <w:rPr>
          <w:rFonts w:ascii="Arial" w:hAnsi="Arial" w:cs="Arial"/>
          <w:spacing w:val="-1"/>
          <w:sz w:val="20"/>
        </w:rPr>
        <w:t xml:space="preserve"> </w:t>
      </w:r>
      <w:r w:rsidRPr="009163BF">
        <w:rPr>
          <w:rFonts w:ascii="Arial" w:hAnsi="Arial" w:cs="Arial"/>
          <w:sz w:val="20"/>
        </w:rPr>
        <w:t>include:</w:t>
      </w:r>
    </w:p>
    <w:p w14:paraId="4D57E7E6" w14:textId="77777777" w:rsidR="009163BF" w:rsidRPr="009163BF" w:rsidRDefault="009163BF" w:rsidP="00E532A6">
      <w:pPr>
        <w:pStyle w:val="ListParagraph"/>
        <w:numPr>
          <w:ilvl w:val="2"/>
          <w:numId w:val="271"/>
        </w:numPr>
        <w:tabs>
          <w:tab w:val="left" w:pos="1842"/>
        </w:tabs>
        <w:spacing w:before="121" w:line="276" w:lineRule="auto"/>
        <w:ind w:right="68"/>
        <w:jc w:val="both"/>
        <w:rPr>
          <w:rFonts w:ascii="Arial" w:hAnsi="Arial" w:cs="Arial"/>
          <w:sz w:val="20"/>
        </w:rPr>
      </w:pPr>
      <w:r w:rsidRPr="009163BF">
        <w:rPr>
          <w:rFonts w:ascii="Arial" w:hAnsi="Arial" w:cs="Arial"/>
          <w:sz w:val="20"/>
        </w:rPr>
        <w:t>a</w:t>
      </w:r>
      <w:r w:rsidRPr="009163BF">
        <w:rPr>
          <w:rFonts w:ascii="Arial" w:hAnsi="Arial" w:cs="Arial"/>
          <w:spacing w:val="1"/>
          <w:sz w:val="20"/>
        </w:rPr>
        <w:t xml:space="preserve"> </w:t>
      </w:r>
      <w:r w:rsidRPr="009163BF">
        <w:rPr>
          <w:rFonts w:ascii="Arial" w:hAnsi="Arial" w:cs="Arial"/>
          <w:sz w:val="20"/>
        </w:rPr>
        <w:t>declaration</w:t>
      </w:r>
      <w:r w:rsidRPr="009163BF">
        <w:rPr>
          <w:rFonts w:ascii="Arial" w:hAnsi="Arial" w:cs="Arial"/>
          <w:spacing w:val="1"/>
          <w:sz w:val="20"/>
        </w:rPr>
        <w:t xml:space="preserve"> </w:t>
      </w:r>
      <w:r w:rsidRPr="009163BF">
        <w:rPr>
          <w:rFonts w:ascii="Arial" w:hAnsi="Arial" w:cs="Arial"/>
          <w:sz w:val="20"/>
        </w:rPr>
        <w:t>that</w:t>
      </w:r>
      <w:r w:rsidRPr="009163BF">
        <w:rPr>
          <w:rFonts w:ascii="Arial" w:hAnsi="Arial" w:cs="Arial"/>
          <w:spacing w:val="1"/>
          <w:sz w:val="20"/>
        </w:rPr>
        <w:t xml:space="preserve"> </w:t>
      </w:r>
      <w:r w:rsidRPr="009163BF">
        <w:rPr>
          <w:rFonts w:ascii="Arial" w:hAnsi="Arial" w:cs="Arial"/>
          <w:sz w:val="20"/>
        </w:rPr>
        <w:t>the</w:t>
      </w:r>
      <w:r w:rsidRPr="009163BF">
        <w:rPr>
          <w:rFonts w:ascii="Arial" w:hAnsi="Arial" w:cs="Arial"/>
          <w:spacing w:val="1"/>
          <w:sz w:val="20"/>
        </w:rPr>
        <w:t xml:space="preserve"> </w:t>
      </w:r>
      <w:r w:rsidRPr="009163BF">
        <w:rPr>
          <w:rFonts w:ascii="Arial" w:hAnsi="Arial" w:cs="Arial"/>
          <w:sz w:val="20"/>
        </w:rPr>
        <w:t>balloon</w:t>
      </w:r>
      <w:r w:rsidRPr="009163BF">
        <w:rPr>
          <w:rFonts w:ascii="Arial" w:hAnsi="Arial" w:cs="Arial"/>
          <w:spacing w:val="1"/>
          <w:sz w:val="20"/>
        </w:rPr>
        <w:t xml:space="preserve"> </w:t>
      </w:r>
      <w:r w:rsidRPr="009163BF">
        <w:rPr>
          <w:rFonts w:ascii="Arial" w:hAnsi="Arial" w:cs="Arial"/>
          <w:sz w:val="20"/>
        </w:rPr>
        <w:t>examiner</w:t>
      </w:r>
      <w:r w:rsidRPr="009163BF">
        <w:rPr>
          <w:rFonts w:ascii="Arial" w:hAnsi="Arial" w:cs="Arial"/>
          <w:spacing w:val="1"/>
          <w:sz w:val="20"/>
        </w:rPr>
        <w:t xml:space="preserve"> </w:t>
      </w:r>
      <w:r w:rsidRPr="009163BF">
        <w:rPr>
          <w:rFonts w:ascii="Arial" w:hAnsi="Arial" w:cs="Arial"/>
          <w:sz w:val="20"/>
        </w:rPr>
        <w:t>has</w:t>
      </w:r>
      <w:r w:rsidRPr="009163BF">
        <w:rPr>
          <w:rFonts w:ascii="Arial" w:hAnsi="Arial" w:cs="Arial"/>
          <w:spacing w:val="1"/>
          <w:sz w:val="20"/>
        </w:rPr>
        <w:t xml:space="preserve"> </w:t>
      </w:r>
      <w:r w:rsidRPr="009163BF">
        <w:rPr>
          <w:rFonts w:ascii="Arial" w:hAnsi="Arial" w:cs="Arial"/>
          <w:sz w:val="20"/>
        </w:rPr>
        <w:t>received</w:t>
      </w:r>
      <w:r w:rsidRPr="009163BF">
        <w:rPr>
          <w:rFonts w:ascii="Arial" w:hAnsi="Arial" w:cs="Arial"/>
          <w:spacing w:val="1"/>
          <w:sz w:val="20"/>
        </w:rPr>
        <w:t xml:space="preserve"> </w:t>
      </w:r>
      <w:r w:rsidRPr="009163BF">
        <w:rPr>
          <w:rFonts w:ascii="Arial" w:hAnsi="Arial" w:cs="Arial"/>
          <w:sz w:val="20"/>
        </w:rPr>
        <w:t>information</w:t>
      </w:r>
      <w:r w:rsidRPr="009163BF">
        <w:rPr>
          <w:rFonts w:ascii="Arial" w:hAnsi="Arial" w:cs="Arial"/>
          <w:spacing w:val="1"/>
          <w:sz w:val="20"/>
        </w:rPr>
        <w:t xml:space="preserve"> </w:t>
      </w:r>
      <w:r w:rsidRPr="009163BF">
        <w:rPr>
          <w:rFonts w:ascii="Arial" w:hAnsi="Arial" w:cs="Arial"/>
          <w:sz w:val="20"/>
        </w:rPr>
        <w:t>from</w:t>
      </w:r>
      <w:r w:rsidRPr="009163BF">
        <w:rPr>
          <w:rFonts w:ascii="Arial" w:hAnsi="Arial" w:cs="Arial"/>
          <w:spacing w:val="1"/>
          <w:sz w:val="20"/>
        </w:rPr>
        <w:t xml:space="preserve"> </w:t>
      </w:r>
      <w:r w:rsidRPr="009163BF">
        <w:rPr>
          <w:rFonts w:ascii="Arial" w:hAnsi="Arial" w:cs="Arial"/>
          <w:sz w:val="20"/>
        </w:rPr>
        <w:t>the</w:t>
      </w:r>
      <w:r w:rsidRPr="009163BF">
        <w:rPr>
          <w:rFonts w:ascii="Arial" w:hAnsi="Arial" w:cs="Arial"/>
          <w:spacing w:val="1"/>
          <w:sz w:val="20"/>
        </w:rPr>
        <w:t xml:space="preserve"> </w:t>
      </w:r>
      <w:r w:rsidRPr="009163BF">
        <w:rPr>
          <w:rFonts w:ascii="Arial" w:hAnsi="Arial" w:cs="Arial"/>
          <w:sz w:val="20"/>
        </w:rPr>
        <w:t>applicant</w:t>
      </w:r>
      <w:r w:rsidRPr="009163BF">
        <w:rPr>
          <w:rFonts w:ascii="Arial" w:hAnsi="Arial" w:cs="Arial"/>
          <w:spacing w:val="1"/>
          <w:sz w:val="20"/>
        </w:rPr>
        <w:t xml:space="preserve"> </w:t>
      </w:r>
      <w:r w:rsidRPr="009163BF">
        <w:rPr>
          <w:rFonts w:ascii="Arial" w:hAnsi="Arial" w:cs="Arial"/>
          <w:sz w:val="20"/>
        </w:rPr>
        <w:t>regarding</w:t>
      </w:r>
      <w:r w:rsidRPr="009163BF">
        <w:rPr>
          <w:rFonts w:ascii="Arial" w:hAnsi="Arial" w:cs="Arial"/>
          <w:spacing w:val="1"/>
          <w:sz w:val="20"/>
        </w:rPr>
        <w:t xml:space="preserve"> </w:t>
      </w:r>
      <w:r w:rsidRPr="009163BF">
        <w:rPr>
          <w:rFonts w:ascii="Arial" w:hAnsi="Arial" w:cs="Arial"/>
          <w:sz w:val="20"/>
        </w:rPr>
        <w:t>his</w:t>
      </w:r>
      <w:r w:rsidRPr="009163BF">
        <w:rPr>
          <w:rFonts w:ascii="Arial" w:hAnsi="Arial" w:cs="Arial"/>
          <w:spacing w:val="1"/>
          <w:sz w:val="20"/>
        </w:rPr>
        <w:t xml:space="preserve"> </w:t>
      </w:r>
      <w:r w:rsidRPr="009163BF">
        <w:rPr>
          <w:rFonts w:ascii="Arial" w:hAnsi="Arial" w:cs="Arial"/>
          <w:sz w:val="20"/>
        </w:rPr>
        <w:t>or</w:t>
      </w:r>
      <w:r w:rsidRPr="009163BF">
        <w:rPr>
          <w:rFonts w:ascii="Arial" w:hAnsi="Arial" w:cs="Arial"/>
          <w:spacing w:val="1"/>
          <w:sz w:val="20"/>
        </w:rPr>
        <w:t xml:space="preserve"> </w:t>
      </w:r>
      <w:r w:rsidRPr="009163BF">
        <w:rPr>
          <w:rFonts w:ascii="Arial" w:hAnsi="Arial" w:cs="Arial"/>
          <w:sz w:val="20"/>
        </w:rPr>
        <w:t>her</w:t>
      </w:r>
      <w:r w:rsidRPr="009163BF">
        <w:rPr>
          <w:rFonts w:ascii="Arial" w:hAnsi="Arial" w:cs="Arial"/>
          <w:spacing w:val="1"/>
          <w:sz w:val="20"/>
        </w:rPr>
        <w:t xml:space="preserve"> </w:t>
      </w:r>
      <w:r w:rsidRPr="009163BF">
        <w:rPr>
          <w:rFonts w:ascii="Arial" w:hAnsi="Arial" w:cs="Arial"/>
          <w:sz w:val="20"/>
        </w:rPr>
        <w:t>experience</w:t>
      </w:r>
      <w:r w:rsidRPr="009163BF">
        <w:rPr>
          <w:rFonts w:ascii="Arial" w:hAnsi="Arial" w:cs="Arial"/>
          <w:spacing w:val="1"/>
          <w:sz w:val="20"/>
        </w:rPr>
        <w:t xml:space="preserve"> </w:t>
      </w:r>
      <w:r w:rsidRPr="009163BF">
        <w:rPr>
          <w:rFonts w:ascii="Arial" w:hAnsi="Arial" w:cs="Arial"/>
          <w:sz w:val="20"/>
        </w:rPr>
        <w:t>and</w:t>
      </w:r>
      <w:r w:rsidRPr="009163BF">
        <w:rPr>
          <w:rFonts w:ascii="Arial" w:hAnsi="Arial" w:cs="Arial"/>
          <w:spacing w:val="1"/>
          <w:sz w:val="20"/>
        </w:rPr>
        <w:t xml:space="preserve"> </w:t>
      </w:r>
      <w:r w:rsidRPr="009163BF">
        <w:rPr>
          <w:rFonts w:ascii="Arial" w:hAnsi="Arial" w:cs="Arial"/>
          <w:sz w:val="20"/>
        </w:rPr>
        <w:t>instruction,</w:t>
      </w:r>
      <w:r w:rsidRPr="009163BF">
        <w:rPr>
          <w:rFonts w:ascii="Arial" w:hAnsi="Arial" w:cs="Arial"/>
          <w:spacing w:val="1"/>
          <w:sz w:val="20"/>
        </w:rPr>
        <w:t xml:space="preserve"> </w:t>
      </w:r>
      <w:r w:rsidRPr="009163BF">
        <w:rPr>
          <w:rFonts w:ascii="Arial" w:hAnsi="Arial" w:cs="Arial"/>
          <w:sz w:val="20"/>
        </w:rPr>
        <w:t>and</w:t>
      </w:r>
      <w:r w:rsidRPr="009163BF">
        <w:rPr>
          <w:rFonts w:ascii="Arial" w:hAnsi="Arial" w:cs="Arial"/>
          <w:spacing w:val="1"/>
          <w:sz w:val="20"/>
        </w:rPr>
        <w:t xml:space="preserve"> </w:t>
      </w:r>
      <w:r w:rsidRPr="009163BF">
        <w:rPr>
          <w:rFonts w:ascii="Arial" w:hAnsi="Arial" w:cs="Arial"/>
          <w:sz w:val="20"/>
        </w:rPr>
        <w:t>found</w:t>
      </w:r>
      <w:r w:rsidRPr="009163BF">
        <w:rPr>
          <w:rFonts w:ascii="Arial" w:hAnsi="Arial" w:cs="Arial"/>
          <w:spacing w:val="1"/>
          <w:sz w:val="20"/>
        </w:rPr>
        <w:t xml:space="preserve"> </w:t>
      </w:r>
      <w:r w:rsidRPr="009163BF">
        <w:rPr>
          <w:rFonts w:ascii="Arial" w:hAnsi="Arial" w:cs="Arial"/>
          <w:sz w:val="20"/>
        </w:rPr>
        <w:t>that</w:t>
      </w:r>
      <w:r w:rsidRPr="009163BF">
        <w:rPr>
          <w:rFonts w:ascii="Arial" w:hAnsi="Arial" w:cs="Arial"/>
          <w:spacing w:val="1"/>
          <w:sz w:val="20"/>
        </w:rPr>
        <w:t xml:space="preserve"> </w:t>
      </w:r>
      <w:r w:rsidRPr="009163BF">
        <w:rPr>
          <w:rFonts w:ascii="Arial" w:hAnsi="Arial" w:cs="Arial"/>
          <w:sz w:val="20"/>
        </w:rPr>
        <w:t>experience</w:t>
      </w:r>
      <w:r w:rsidRPr="009163BF">
        <w:rPr>
          <w:rFonts w:ascii="Arial" w:hAnsi="Arial" w:cs="Arial"/>
          <w:spacing w:val="-7"/>
          <w:sz w:val="20"/>
        </w:rPr>
        <w:t xml:space="preserve"> </w:t>
      </w:r>
      <w:r w:rsidRPr="009163BF">
        <w:rPr>
          <w:rFonts w:ascii="Arial" w:hAnsi="Arial" w:cs="Arial"/>
          <w:sz w:val="20"/>
        </w:rPr>
        <w:t>and</w:t>
      </w:r>
      <w:r w:rsidRPr="009163BF">
        <w:rPr>
          <w:rFonts w:ascii="Arial" w:hAnsi="Arial" w:cs="Arial"/>
          <w:spacing w:val="-9"/>
          <w:sz w:val="20"/>
        </w:rPr>
        <w:t xml:space="preserve"> </w:t>
      </w:r>
      <w:r w:rsidRPr="009163BF">
        <w:rPr>
          <w:rFonts w:ascii="Arial" w:hAnsi="Arial" w:cs="Arial"/>
          <w:sz w:val="20"/>
        </w:rPr>
        <w:t>instruction</w:t>
      </w:r>
      <w:r w:rsidRPr="009163BF">
        <w:rPr>
          <w:rFonts w:ascii="Arial" w:hAnsi="Arial" w:cs="Arial"/>
          <w:spacing w:val="-9"/>
          <w:sz w:val="20"/>
        </w:rPr>
        <w:t xml:space="preserve"> </w:t>
      </w:r>
      <w:r w:rsidRPr="009163BF">
        <w:rPr>
          <w:rFonts w:ascii="Arial" w:hAnsi="Arial" w:cs="Arial"/>
          <w:sz w:val="20"/>
        </w:rPr>
        <w:t>comply</w:t>
      </w:r>
      <w:r w:rsidRPr="009163BF">
        <w:rPr>
          <w:rFonts w:ascii="Arial" w:hAnsi="Arial" w:cs="Arial"/>
          <w:spacing w:val="-8"/>
          <w:sz w:val="20"/>
        </w:rPr>
        <w:t xml:space="preserve"> </w:t>
      </w:r>
      <w:r w:rsidRPr="009163BF">
        <w:rPr>
          <w:rFonts w:ascii="Arial" w:hAnsi="Arial" w:cs="Arial"/>
          <w:sz w:val="20"/>
        </w:rPr>
        <w:t>with</w:t>
      </w:r>
      <w:r w:rsidRPr="009163BF">
        <w:rPr>
          <w:rFonts w:ascii="Arial" w:hAnsi="Arial" w:cs="Arial"/>
          <w:spacing w:val="-8"/>
          <w:sz w:val="20"/>
        </w:rPr>
        <w:t xml:space="preserve"> </w:t>
      </w:r>
      <w:r w:rsidRPr="009163BF">
        <w:rPr>
          <w:rFonts w:ascii="Arial" w:hAnsi="Arial" w:cs="Arial"/>
          <w:sz w:val="20"/>
        </w:rPr>
        <w:t>the</w:t>
      </w:r>
      <w:r w:rsidRPr="009163BF">
        <w:rPr>
          <w:rFonts w:ascii="Arial" w:hAnsi="Arial" w:cs="Arial"/>
          <w:spacing w:val="-8"/>
          <w:sz w:val="20"/>
        </w:rPr>
        <w:t xml:space="preserve"> </w:t>
      </w:r>
      <w:r w:rsidRPr="009163BF">
        <w:rPr>
          <w:rFonts w:ascii="Arial" w:hAnsi="Arial" w:cs="Arial"/>
          <w:sz w:val="20"/>
        </w:rPr>
        <w:t>applicable</w:t>
      </w:r>
      <w:r w:rsidRPr="009163BF">
        <w:rPr>
          <w:rFonts w:ascii="Arial" w:hAnsi="Arial" w:cs="Arial"/>
          <w:spacing w:val="-10"/>
          <w:sz w:val="20"/>
        </w:rPr>
        <w:t xml:space="preserve"> </w:t>
      </w:r>
      <w:r w:rsidRPr="009163BF">
        <w:rPr>
          <w:rFonts w:ascii="Arial" w:hAnsi="Arial" w:cs="Arial"/>
          <w:sz w:val="20"/>
        </w:rPr>
        <w:t>requirements</w:t>
      </w:r>
      <w:r w:rsidRPr="009163BF">
        <w:rPr>
          <w:rFonts w:ascii="Arial" w:hAnsi="Arial" w:cs="Arial"/>
          <w:spacing w:val="-8"/>
          <w:sz w:val="20"/>
        </w:rPr>
        <w:t xml:space="preserve"> </w:t>
      </w:r>
      <w:r w:rsidRPr="009163BF">
        <w:rPr>
          <w:rFonts w:ascii="Arial" w:hAnsi="Arial" w:cs="Arial"/>
          <w:sz w:val="20"/>
        </w:rPr>
        <w:t>of</w:t>
      </w:r>
      <w:r w:rsidRPr="009163BF">
        <w:rPr>
          <w:rFonts w:ascii="Arial" w:hAnsi="Arial" w:cs="Arial"/>
          <w:spacing w:val="-8"/>
          <w:sz w:val="20"/>
        </w:rPr>
        <w:t xml:space="preserve"> </w:t>
      </w:r>
      <w:r w:rsidRPr="009163BF">
        <w:rPr>
          <w:rFonts w:ascii="Arial" w:hAnsi="Arial" w:cs="Arial"/>
          <w:sz w:val="20"/>
        </w:rPr>
        <w:t>this</w:t>
      </w:r>
      <w:r w:rsidRPr="009163BF">
        <w:rPr>
          <w:rFonts w:ascii="Arial" w:hAnsi="Arial" w:cs="Arial"/>
          <w:spacing w:val="-8"/>
          <w:sz w:val="20"/>
        </w:rPr>
        <w:t xml:space="preserve"> </w:t>
      </w:r>
      <w:r w:rsidRPr="009163BF">
        <w:rPr>
          <w:rFonts w:ascii="Arial" w:hAnsi="Arial" w:cs="Arial"/>
          <w:sz w:val="20"/>
        </w:rPr>
        <w:t>Annex;</w:t>
      </w:r>
    </w:p>
    <w:p w14:paraId="40684935" w14:textId="77777777" w:rsidR="009163BF" w:rsidRPr="009163BF" w:rsidRDefault="009163BF" w:rsidP="00E532A6">
      <w:pPr>
        <w:pStyle w:val="ListParagraph"/>
        <w:numPr>
          <w:ilvl w:val="2"/>
          <w:numId w:val="271"/>
        </w:numPr>
        <w:tabs>
          <w:tab w:val="left" w:pos="1842"/>
        </w:tabs>
        <w:spacing w:before="121" w:line="276" w:lineRule="auto"/>
        <w:ind w:right="68"/>
        <w:jc w:val="both"/>
        <w:rPr>
          <w:rFonts w:ascii="Arial" w:hAnsi="Arial" w:cs="Arial"/>
          <w:sz w:val="20"/>
        </w:rPr>
      </w:pPr>
      <w:r w:rsidRPr="009163BF">
        <w:rPr>
          <w:rFonts w:ascii="Arial" w:hAnsi="Arial" w:cs="Arial"/>
          <w:sz w:val="20"/>
        </w:rPr>
        <w:t>confirmation</w:t>
      </w:r>
      <w:r w:rsidRPr="009163BF">
        <w:rPr>
          <w:rFonts w:ascii="Arial" w:hAnsi="Arial" w:cs="Arial"/>
          <w:spacing w:val="1"/>
          <w:sz w:val="20"/>
        </w:rPr>
        <w:t xml:space="preserve"> </w:t>
      </w:r>
      <w:r w:rsidRPr="009163BF">
        <w:rPr>
          <w:rFonts w:ascii="Arial" w:hAnsi="Arial" w:cs="Arial"/>
          <w:sz w:val="20"/>
        </w:rPr>
        <w:t>that</w:t>
      </w:r>
      <w:r w:rsidRPr="009163BF">
        <w:rPr>
          <w:rFonts w:ascii="Arial" w:hAnsi="Arial" w:cs="Arial"/>
          <w:spacing w:val="1"/>
          <w:sz w:val="20"/>
        </w:rPr>
        <w:t xml:space="preserve"> </w:t>
      </w:r>
      <w:r w:rsidRPr="009163BF">
        <w:rPr>
          <w:rFonts w:ascii="Arial" w:hAnsi="Arial" w:cs="Arial"/>
          <w:sz w:val="20"/>
        </w:rPr>
        <w:t>all</w:t>
      </w:r>
      <w:r w:rsidRPr="009163BF">
        <w:rPr>
          <w:rFonts w:ascii="Arial" w:hAnsi="Arial" w:cs="Arial"/>
          <w:spacing w:val="1"/>
          <w:sz w:val="20"/>
        </w:rPr>
        <w:t xml:space="preserve"> </w:t>
      </w:r>
      <w:r w:rsidRPr="009163BF">
        <w:rPr>
          <w:rFonts w:ascii="Arial" w:hAnsi="Arial" w:cs="Arial"/>
          <w:sz w:val="20"/>
        </w:rPr>
        <w:t>the</w:t>
      </w:r>
      <w:r w:rsidRPr="009163BF">
        <w:rPr>
          <w:rFonts w:ascii="Arial" w:hAnsi="Arial" w:cs="Arial"/>
          <w:spacing w:val="1"/>
          <w:sz w:val="20"/>
        </w:rPr>
        <w:t xml:space="preserve"> </w:t>
      </w:r>
      <w:r w:rsidRPr="009163BF">
        <w:rPr>
          <w:rFonts w:ascii="Arial" w:hAnsi="Arial" w:cs="Arial"/>
          <w:sz w:val="20"/>
        </w:rPr>
        <w:t>required</w:t>
      </w:r>
      <w:r w:rsidRPr="009163BF">
        <w:rPr>
          <w:rFonts w:ascii="Arial" w:hAnsi="Arial" w:cs="Arial"/>
          <w:spacing w:val="1"/>
          <w:sz w:val="20"/>
        </w:rPr>
        <w:t xml:space="preserve"> </w:t>
      </w:r>
      <w:r w:rsidRPr="009163BF">
        <w:rPr>
          <w:rFonts w:ascii="Arial" w:hAnsi="Arial" w:cs="Arial"/>
          <w:sz w:val="20"/>
        </w:rPr>
        <w:t>manoeuvres</w:t>
      </w:r>
      <w:r w:rsidRPr="009163BF">
        <w:rPr>
          <w:rFonts w:ascii="Arial" w:hAnsi="Arial" w:cs="Arial"/>
          <w:spacing w:val="1"/>
          <w:sz w:val="20"/>
        </w:rPr>
        <w:t xml:space="preserve"> </w:t>
      </w:r>
      <w:r w:rsidRPr="009163BF">
        <w:rPr>
          <w:rFonts w:ascii="Arial" w:hAnsi="Arial" w:cs="Arial"/>
          <w:sz w:val="20"/>
        </w:rPr>
        <w:t>and</w:t>
      </w:r>
      <w:r w:rsidRPr="009163BF">
        <w:rPr>
          <w:rFonts w:ascii="Arial" w:hAnsi="Arial" w:cs="Arial"/>
          <w:spacing w:val="1"/>
          <w:sz w:val="20"/>
        </w:rPr>
        <w:t xml:space="preserve"> </w:t>
      </w:r>
      <w:r w:rsidRPr="009163BF">
        <w:rPr>
          <w:rFonts w:ascii="Arial" w:hAnsi="Arial" w:cs="Arial"/>
          <w:sz w:val="20"/>
        </w:rPr>
        <w:t>exercises</w:t>
      </w:r>
      <w:r w:rsidRPr="009163BF">
        <w:rPr>
          <w:rFonts w:ascii="Arial" w:hAnsi="Arial" w:cs="Arial"/>
          <w:spacing w:val="1"/>
          <w:sz w:val="20"/>
        </w:rPr>
        <w:t xml:space="preserve"> </w:t>
      </w:r>
      <w:r w:rsidRPr="009163BF">
        <w:rPr>
          <w:rFonts w:ascii="Arial" w:hAnsi="Arial" w:cs="Arial"/>
          <w:sz w:val="20"/>
        </w:rPr>
        <w:t>have</w:t>
      </w:r>
      <w:r w:rsidRPr="009163BF">
        <w:rPr>
          <w:rFonts w:ascii="Arial" w:hAnsi="Arial" w:cs="Arial"/>
          <w:spacing w:val="1"/>
          <w:sz w:val="20"/>
        </w:rPr>
        <w:t xml:space="preserve"> </w:t>
      </w:r>
      <w:r w:rsidRPr="009163BF">
        <w:rPr>
          <w:rFonts w:ascii="Arial" w:hAnsi="Arial" w:cs="Arial"/>
          <w:sz w:val="20"/>
        </w:rPr>
        <w:t>been</w:t>
      </w:r>
      <w:r w:rsidRPr="009163BF">
        <w:rPr>
          <w:rFonts w:ascii="Arial" w:hAnsi="Arial" w:cs="Arial"/>
          <w:spacing w:val="1"/>
          <w:sz w:val="20"/>
        </w:rPr>
        <w:t xml:space="preserve"> </w:t>
      </w:r>
      <w:r w:rsidRPr="009163BF">
        <w:rPr>
          <w:rFonts w:ascii="Arial" w:hAnsi="Arial" w:cs="Arial"/>
          <w:sz w:val="20"/>
        </w:rPr>
        <w:t>completed,</w:t>
      </w:r>
      <w:r w:rsidRPr="009163BF">
        <w:rPr>
          <w:rFonts w:ascii="Arial" w:hAnsi="Arial" w:cs="Arial"/>
          <w:spacing w:val="1"/>
          <w:sz w:val="20"/>
        </w:rPr>
        <w:t xml:space="preserve"> </w:t>
      </w:r>
      <w:r w:rsidRPr="009163BF">
        <w:rPr>
          <w:rFonts w:ascii="Arial" w:hAnsi="Arial" w:cs="Arial"/>
          <w:sz w:val="20"/>
        </w:rPr>
        <w:t>as</w:t>
      </w:r>
      <w:r w:rsidRPr="009163BF">
        <w:rPr>
          <w:rFonts w:ascii="Arial" w:hAnsi="Arial" w:cs="Arial"/>
          <w:spacing w:val="1"/>
          <w:sz w:val="20"/>
        </w:rPr>
        <w:t xml:space="preserve"> </w:t>
      </w:r>
      <w:r w:rsidRPr="009163BF">
        <w:rPr>
          <w:rFonts w:ascii="Arial" w:hAnsi="Arial" w:cs="Arial"/>
          <w:sz w:val="20"/>
        </w:rPr>
        <w:t>well</w:t>
      </w:r>
      <w:r w:rsidRPr="009163BF">
        <w:rPr>
          <w:rFonts w:ascii="Arial" w:hAnsi="Arial" w:cs="Arial"/>
          <w:spacing w:val="1"/>
          <w:sz w:val="20"/>
        </w:rPr>
        <w:t xml:space="preserve"> </w:t>
      </w:r>
      <w:r w:rsidRPr="009163BF">
        <w:rPr>
          <w:rFonts w:ascii="Arial" w:hAnsi="Arial" w:cs="Arial"/>
          <w:sz w:val="20"/>
        </w:rPr>
        <w:t>as</w:t>
      </w:r>
      <w:r w:rsidRPr="009163BF">
        <w:rPr>
          <w:rFonts w:ascii="Arial" w:hAnsi="Arial" w:cs="Arial"/>
          <w:spacing w:val="1"/>
          <w:sz w:val="20"/>
        </w:rPr>
        <w:t xml:space="preserve"> </w:t>
      </w:r>
      <w:r w:rsidRPr="009163BF">
        <w:rPr>
          <w:rFonts w:ascii="Arial" w:hAnsi="Arial" w:cs="Arial"/>
          <w:sz w:val="20"/>
        </w:rPr>
        <w:t>information</w:t>
      </w:r>
      <w:r w:rsidRPr="009163BF">
        <w:rPr>
          <w:rFonts w:ascii="Arial" w:hAnsi="Arial" w:cs="Arial"/>
          <w:spacing w:val="1"/>
          <w:sz w:val="20"/>
        </w:rPr>
        <w:t xml:space="preserve"> </w:t>
      </w:r>
      <w:r w:rsidRPr="009163BF">
        <w:rPr>
          <w:rFonts w:ascii="Arial" w:hAnsi="Arial" w:cs="Arial"/>
          <w:sz w:val="20"/>
        </w:rPr>
        <w:t>on</w:t>
      </w:r>
      <w:r w:rsidRPr="009163BF">
        <w:rPr>
          <w:rFonts w:ascii="Arial" w:hAnsi="Arial" w:cs="Arial"/>
          <w:spacing w:val="1"/>
          <w:sz w:val="20"/>
        </w:rPr>
        <w:t xml:space="preserve"> </w:t>
      </w:r>
      <w:r w:rsidRPr="009163BF">
        <w:rPr>
          <w:rFonts w:ascii="Arial" w:hAnsi="Arial" w:cs="Arial"/>
          <w:sz w:val="20"/>
        </w:rPr>
        <w:t>the</w:t>
      </w:r>
      <w:r w:rsidRPr="009163BF">
        <w:rPr>
          <w:rFonts w:ascii="Arial" w:hAnsi="Arial" w:cs="Arial"/>
          <w:spacing w:val="1"/>
          <w:sz w:val="20"/>
        </w:rPr>
        <w:t xml:space="preserve"> </w:t>
      </w:r>
      <w:r w:rsidRPr="009163BF">
        <w:rPr>
          <w:rFonts w:ascii="Arial" w:hAnsi="Arial" w:cs="Arial"/>
          <w:sz w:val="20"/>
        </w:rPr>
        <w:t>verbal</w:t>
      </w:r>
      <w:r w:rsidRPr="009163BF">
        <w:rPr>
          <w:rFonts w:ascii="Arial" w:hAnsi="Arial" w:cs="Arial"/>
          <w:spacing w:val="1"/>
          <w:sz w:val="20"/>
        </w:rPr>
        <w:t xml:space="preserve"> </w:t>
      </w:r>
      <w:r w:rsidRPr="009163BF">
        <w:rPr>
          <w:rFonts w:ascii="Arial" w:hAnsi="Arial" w:cs="Arial"/>
          <w:sz w:val="20"/>
        </w:rPr>
        <w:t>theoretical</w:t>
      </w:r>
      <w:r w:rsidRPr="009163BF">
        <w:rPr>
          <w:rFonts w:ascii="Arial" w:hAnsi="Arial" w:cs="Arial"/>
          <w:spacing w:val="1"/>
          <w:sz w:val="20"/>
        </w:rPr>
        <w:t xml:space="preserve"> </w:t>
      </w:r>
      <w:r w:rsidRPr="009163BF">
        <w:rPr>
          <w:rFonts w:ascii="Arial" w:hAnsi="Arial" w:cs="Arial"/>
          <w:sz w:val="20"/>
        </w:rPr>
        <w:t>knowledge</w:t>
      </w:r>
      <w:r w:rsidRPr="009163BF">
        <w:rPr>
          <w:rFonts w:ascii="Arial" w:hAnsi="Arial" w:cs="Arial"/>
          <w:spacing w:val="1"/>
          <w:sz w:val="20"/>
        </w:rPr>
        <w:t xml:space="preserve"> </w:t>
      </w:r>
      <w:r w:rsidRPr="009163BF">
        <w:rPr>
          <w:rFonts w:ascii="Arial" w:hAnsi="Arial" w:cs="Arial"/>
          <w:spacing w:val="-1"/>
          <w:sz w:val="20"/>
        </w:rPr>
        <w:t>examination,</w:t>
      </w:r>
      <w:r w:rsidRPr="009163BF">
        <w:rPr>
          <w:rFonts w:ascii="Arial" w:hAnsi="Arial" w:cs="Arial"/>
          <w:spacing w:val="-12"/>
          <w:sz w:val="20"/>
        </w:rPr>
        <w:t xml:space="preserve"> </w:t>
      </w:r>
      <w:r w:rsidRPr="009163BF">
        <w:rPr>
          <w:rFonts w:ascii="Arial" w:hAnsi="Arial" w:cs="Arial"/>
          <w:spacing w:val="-1"/>
          <w:sz w:val="20"/>
        </w:rPr>
        <w:t>when</w:t>
      </w:r>
      <w:r w:rsidRPr="009163BF">
        <w:rPr>
          <w:rFonts w:ascii="Arial" w:hAnsi="Arial" w:cs="Arial"/>
          <w:spacing w:val="-7"/>
          <w:sz w:val="20"/>
        </w:rPr>
        <w:t xml:space="preserve"> </w:t>
      </w:r>
      <w:r w:rsidRPr="009163BF">
        <w:rPr>
          <w:rFonts w:ascii="Arial" w:hAnsi="Arial" w:cs="Arial"/>
          <w:sz w:val="20"/>
        </w:rPr>
        <w:t>applicable.</w:t>
      </w:r>
      <w:r w:rsidRPr="009163BF">
        <w:rPr>
          <w:rFonts w:ascii="Arial" w:hAnsi="Arial" w:cs="Arial"/>
          <w:spacing w:val="-7"/>
          <w:sz w:val="20"/>
        </w:rPr>
        <w:t xml:space="preserve"> </w:t>
      </w:r>
      <w:r w:rsidRPr="009163BF">
        <w:rPr>
          <w:rFonts w:ascii="Arial" w:hAnsi="Arial" w:cs="Arial"/>
          <w:sz w:val="20"/>
        </w:rPr>
        <w:t>If</w:t>
      </w:r>
      <w:r w:rsidRPr="009163BF">
        <w:rPr>
          <w:rFonts w:ascii="Arial" w:hAnsi="Arial" w:cs="Arial"/>
          <w:spacing w:val="-10"/>
          <w:sz w:val="20"/>
        </w:rPr>
        <w:t xml:space="preserve"> </w:t>
      </w:r>
      <w:r w:rsidRPr="009163BF">
        <w:rPr>
          <w:rFonts w:ascii="Arial" w:hAnsi="Arial" w:cs="Arial"/>
          <w:sz w:val="20"/>
        </w:rPr>
        <w:t>an</w:t>
      </w:r>
      <w:r w:rsidRPr="009163BF">
        <w:rPr>
          <w:rFonts w:ascii="Arial" w:hAnsi="Arial" w:cs="Arial"/>
          <w:spacing w:val="-8"/>
          <w:sz w:val="20"/>
        </w:rPr>
        <w:t xml:space="preserve"> </w:t>
      </w:r>
      <w:r w:rsidRPr="009163BF">
        <w:rPr>
          <w:rFonts w:ascii="Arial" w:hAnsi="Arial" w:cs="Arial"/>
          <w:sz w:val="20"/>
        </w:rPr>
        <w:t>item</w:t>
      </w:r>
      <w:r w:rsidRPr="009163BF">
        <w:rPr>
          <w:rFonts w:ascii="Arial" w:hAnsi="Arial" w:cs="Arial"/>
          <w:spacing w:val="-6"/>
          <w:sz w:val="20"/>
        </w:rPr>
        <w:t xml:space="preserve"> </w:t>
      </w:r>
      <w:r w:rsidRPr="009163BF">
        <w:rPr>
          <w:rFonts w:ascii="Arial" w:hAnsi="Arial" w:cs="Arial"/>
          <w:sz w:val="20"/>
        </w:rPr>
        <w:t>has</w:t>
      </w:r>
      <w:r w:rsidRPr="009163BF">
        <w:rPr>
          <w:rFonts w:ascii="Arial" w:hAnsi="Arial" w:cs="Arial"/>
          <w:spacing w:val="-9"/>
          <w:sz w:val="20"/>
        </w:rPr>
        <w:t xml:space="preserve"> </w:t>
      </w:r>
      <w:r w:rsidRPr="009163BF">
        <w:rPr>
          <w:rFonts w:ascii="Arial" w:hAnsi="Arial" w:cs="Arial"/>
          <w:sz w:val="20"/>
        </w:rPr>
        <w:t>been</w:t>
      </w:r>
      <w:r w:rsidRPr="009163BF">
        <w:rPr>
          <w:rFonts w:ascii="Arial" w:hAnsi="Arial" w:cs="Arial"/>
          <w:spacing w:val="-7"/>
          <w:sz w:val="20"/>
        </w:rPr>
        <w:t xml:space="preserve"> </w:t>
      </w:r>
      <w:r w:rsidRPr="009163BF">
        <w:rPr>
          <w:rFonts w:ascii="Arial" w:hAnsi="Arial" w:cs="Arial"/>
          <w:sz w:val="20"/>
        </w:rPr>
        <w:t>failed,</w:t>
      </w:r>
      <w:r w:rsidRPr="009163BF">
        <w:rPr>
          <w:rFonts w:ascii="Arial" w:hAnsi="Arial" w:cs="Arial"/>
          <w:spacing w:val="-7"/>
          <w:sz w:val="20"/>
        </w:rPr>
        <w:t xml:space="preserve"> </w:t>
      </w:r>
      <w:r w:rsidRPr="009163BF">
        <w:rPr>
          <w:rFonts w:ascii="Arial" w:hAnsi="Arial" w:cs="Arial"/>
          <w:sz w:val="20"/>
        </w:rPr>
        <w:t>the</w:t>
      </w:r>
      <w:r w:rsidRPr="009163BF">
        <w:rPr>
          <w:rFonts w:ascii="Arial" w:hAnsi="Arial" w:cs="Arial"/>
          <w:spacing w:val="-9"/>
          <w:sz w:val="20"/>
        </w:rPr>
        <w:t xml:space="preserve"> </w:t>
      </w:r>
      <w:r w:rsidRPr="009163BF">
        <w:rPr>
          <w:rFonts w:ascii="Arial" w:hAnsi="Arial" w:cs="Arial"/>
          <w:sz w:val="20"/>
        </w:rPr>
        <w:t>examiner</w:t>
      </w:r>
      <w:r w:rsidRPr="009163BF">
        <w:rPr>
          <w:rFonts w:ascii="Arial" w:hAnsi="Arial" w:cs="Arial"/>
          <w:spacing w:val="-9"/>
          <w:sz w:val="20"/>
        </w:rPr>
        <w:t xml:space="preserve"> </w:t>
      </w:r>
      <w:r w:rsidRPr="009163BF">
        <w:rPr>
          <w:rFonts w:ascii="Arial" w:hAnsi="Arial" w:cs="Arial"/>
          <w:sz w:val="20"/>
        </w:rPr>
        <w:t>shall</w:t>
      </w:r>
      <w:r w:rsidRPr="009163BF">
        <w:rPr>
          <w:rFonts w:ascii="Arial" w:hAnsi="Arial" w:cs="Arial"/>
          <w:spacing w:val="-10"/>
          <w:sz w:val="20"/>
        </w:rPr>
        <w:t xml:space="preserve"> </w:t>
      </w:r>
      <w:r w:rsidRPr="009163BF">
        <w:rPr>
          <w:rFonts w:ascii="Arial" w:hAnsi="Arial" w:cs="Arial"/>
          <w:sz w:val="20"/>
        </w:rPr>
        <w:t>record</w:t>
      </w:r>
      <w:r w:rsidRPr="009163BF">
        <w:rPr>
          <w:rFonts w:ascii="Arial" w:hAnsi="Arial" w:cs="Arial"/>
          <w:spacing w:val="-47"/>
          <w:sz w:val="20"/>
        </w:rPr>
        <w:t xml:space="preserve"> </w:t>
      </w:r>
      <w:r w:rsidRPr="009163BF">
        <w:rPr>
          <w:rFonts w:ascii="Arial" w:hAnsi="Arial" w:cs="Arial"/>
          <w:sz w:val="20"/>
        </w:rPr>
        <w:t>the reasons for</w:t>
      </w:r>
      <w:r w:rsidRPr="009163BF">
        <w:rPr>
          <w:rFonts w:ascii="Arial" w:hAnsi="Arial" w:cs="Arial"/>
          <w:spacing w:val="-2"/>
          <w:sz w:val="20"/>
        </w:rPr>
        <w:t xml:space="preserve"> </w:t>
      </w:r>
      <w:r w:rsidRPr="009163BF">
        <w:rPr>
          <w:rFonts w:ascii="Arial" w:hAnsi="Arial" w:cs="Arial"/>
          <w:sz w:val="20"/>
        </w:rPr>
        <w:t>this assessment;</w:t>
      </w:r>
    </w:p>
    <w:p w14:paraId="7BCD4A3F" w14:textId="77777777" w:rsidR="009163BF" w:rsidRPr="009163BF" w:rsidRDefault="009163BF" w:rsidP="00E532A6">
      <w:pPr>
        <w:pStyle w:val="ListParagraph"/>
        <w:numPr>
          <w:ilvl w:val="2"/>
          <w:numId w:val="271"/>
        </w:numPr>
        <w:tabs>
          <w:tab w:val="left" w:pos="1842"/>
        </w:tabs>
        <w:spacing w:before="119" w:line="276" w:lineRule="auto"/>
        <w:ind w:right="68"/>
        <w:jc w:val="both"/>
        <w:rPr>
          <w:rFonts w:ascii="Arial" w:hAnsi="Arial" w:cs="Arial"/>
          <w:sz w:val="20"/>
        </w:rPr>
      </w:pPr>
      <w:r w:rsidRPr="009163BF">
        <w:rPr>
          <w:rFonts w:ascii="Arial" w:hAnsi="Arial" w:cs="Arial"/>
          <w:sz w:val="20"/>
        </w:rPr>
        <w:t>the</w:t>
      </w:r>
      <w:r w:rsidRPr="009163BF">
        <w:rPr>
          <w:rFonts w:ascii="Arial" w:hAnsi="Arial" w:cs="Arial"/>
          <w:spacing w:val="-1"/>
          <w:sz w:val="20"/>
        </w:rPr>
        <w:t xml:space="preserve"> </w:t>
      </w:r>
      <w:r w:rsidRPr="009163BF">
        <w:rPr>
          <w:rFonts w:ascii="Arial" w:hAnsi="Arial" w:cs="Arial"/>
          <w:sz w:val="20"/>
        </w:rPr>
        <w:t>results</w:t>
      </w:r>
      <w:r w:rsidRPr="009163BF">
        <w:rPr>
          <w:rFonts w:ascii="Arial" w:hAnsi="Arial" w:cs="Arial"/>
          <w:spacing w:val="-3"/>
          <w:sz w:val="20"/>
        </w:rPr>
        <w:t xml:space="preserve"> </w:t>
      </w:r>
      <w:r w:rsidRPr="009163BF">
        <w:rPr>
          <w:rFonts w:ascii="Arial" w:hAnsi="Arial" w:cs="Arial"/>
          <w:sz w:val="20"/>
        </w:rPr>
        <w:t>of</w:t>
      </w:r>
      <w:r w:rsidRPr="009163BF">
        <w:rPr>
          <w:rFonts w:ascii="Arial" w:hAnsi="Arial" w:cs="Arial"/>
          <w:spacing w:val="-1"/>
          <w:sz w:val="20"/>
        </w:rPr>
        <w:t xml:space="preserve"> </w:t>
      </w:r>
      <w:r w:rsidRPr="009163BF">
        <w:rPr>
          <w:rFonts w:ascii="Arial" w:hAnsi="Arial" w:cs="Arial"/>
          <w:sz w:val="20"/>
        </w:rPr>
        <w:t>the</w:t>
      </w:r>
      <w:r w:rsidRPr="009163BF">
        <w:rPr>
          <w:rFonts w:ascii="Arial" w:hAnsi="Arial" w:cs="Arial"/>
          <w:spacing w:val="-3"/>
          <w:sz w:val="20"/>
        </w:rPr>
        <w:t xml:space="preserve"> </w:t>
      </w:r>
      <w:r w:rsidRPr="009163BF">
        <w:rPr>
          <w:rFonts w:ascii="Arial" w:hAnsi="Arial" w:cs="Arial"/>
          <w:sz w:val="20"/>
        </w:rPr>
        <w:t>skill</w:t>
      </w:r>
      <w:r w:rsidRPr="009163BF">
        <w:rPr>
          <w:rFonts w:ascii="Arial" w:hAnsi="Arial" w:cs="Arial"/>
          <w:spacing w:val="-3"/>
          <w:sz w:val="20"/>
        </w:rPr>
        <w:t xml:space="preserve"> </w:t>
      </w:r>
      <w:r w:rsidRPr="009163BF">
        <w:rPr>
          <w:rFonts w:ascii="Arial" w:hAnsi="Arial" w:cs="Arial"/>
          <w:sz w:val="20"/>
        </w:rPr>
        <w:t>test,</w:t>
      </w:r>
      <w:r w:rsidRPr="009163BF">
        <w:rPr>
          <w:rFonts w:ascii="Arial" w:hAnsi="Arial" w:cs="Arial"/>
          <w:spacing w:val="-5"/>
          <w:sz w:val="20"/>
        </w:rPr>
        <w:t xml:space="preserve"> </w:t>
      </w:r>
      <w:r w:rsidRPr="009163BF">
        <w:rPr>
          <w:rFonts w:ascii="Arial" w:hAnsi="Arial" w:cs="Arial"/>
          <w:sz w:val="20"/>
        </w:rPr>
        <w:t>proficiency</w:t>
      </w:r>
      <w:r w:rsidRPr="009163BF">
        <w:rPr>
          <w:rFonts w:ascii="Arial" w:hAnsi="Arial" w:cs="Arial"/>
          <w:spacing w:val="-1"/>
          <w:sz w:val="20"/>
        </w:rPr>
        <w:t xml:space="preserve"> </w:t>
      </w:r>
      <w:r w:rsidRPr="009163BF">
        <w:rPr>
          <w:rFonts w:ascii="Arial" w:hAnsi="Arial" w:cs="Arial"/>
          <w:sz w:val="20"/>
        </w:rPr>
        <w:t>check</w:t>
      </w:r>
      <w:r w:rsidRPr="009163BF">
        <w:rPr>
          <w:rFonts w:ascii="Arial" w:hAnsi="Arial" w:cs="Arial"/>
          <w:spacing w:val="-3"/>
          <w:sz w:val="20"/>
        </w:rPr>
        <w:t xml:space="preserve"> </w:t>
      </w:r>
      <w:r w:rsidRPr="009163BF">
        <w:rPr>
          <w:rFonts w:ascii="Arial" w:hAnsi="Arial" w:cs="Arial"/>
          <w:sz w:val="20"/>
        </w:rPr>
        <w:t>or</w:t>
      </w:r>
      <w:r w:rsidRPr="009163BF">
        <w:rPr>
          <w:rFonts w:ascii="Arial" w:hAnsi="Arial" w:cs="Arial"/>
          <w:spacing w:val="-1"/>
          <w:sz w:val="20"/>
        </w:rPr>
        <w:t xml:space="preserve"> </w:t>
      </w:r>
      <w:r w:rsidRPr="009163BF">
        <w:rPr>
          <w:rFonts w:ascii="Arial" w:hAnsi="Arial" w:cs="Arial"/>
          <w:sz w:val="20"/>
        </w:rPr>
        <w:t>assessment</w:t>
      </w:r>
      <w:r w:rsidRPr="009163BF">
        <w:rPr>
          <w:rFonts w:ascii="Arial" w:hAnsi="Arial" w:cs="Arial"/>
          <w:spacing w:val="-3"/>
          <w:sz w:val="20"/>
        </w:rPr>
        <w:t xml:space="preserve"> </w:t>
      </w:r>
      <w:r w:rsidRPr="009163BF">
        <w:rPr>
          <w:rFonts w:ascii="Arial" w:hAnsi="Arial" w:cs="Arial"/>
          <w:sz w:val="20"/>
        </w:rPr>
        <w:t>of</w:t>
      </w:r>
      <w:r w:rsidRPr="009163BF">
        <w:rPr>
          <w:rFonts w:ascii="Arial" w:hAnsi="Arial" w:cs="Arial"/>
          <w:spacing w:val="-4"/>
          <w:sz w:val="20"/>
        </w:rPr>
        <w:t xml:space="preserve"> </w:t>
      </w:r>
      <w:r w:rsidRPr="009163BF">
        <w:rPr>
          <w:rFonts w:ascii="Arial" w:hAnsi="Arial" w:cs="Arial"/>
          <w:sz w:val="20"/>
        </w:rPr>
        <w:t>competence;</w:t>
      </w:r>
    </w:p>
    <w:p w14:paraId="0DA6447B" w14:textId="474583F2" w:rsidR="009163BF" w:rsidRPr="009163BF" w:rsidRDefault="009163BF" w:rsidP="00E532A6">
      <w:pPr>
        <w:pStyle w:val="ListParagraph"/>
        <w:numPr>
          <w:ilvl w:val="2"/>
          <w:numId w:val="271"/>
        </w:numPr>
        <w:tabs>
          <w:tab w:val="left" w:pos="1842"/>
        </w:tabs>
        <w:spacing w:line="276" w:lineRule="auto"/>
        <w:ind w:right="68"/>
        <w:jc w:val="both"/>
        <w:rPr>
          <w:rFonts w:ascii="Arial" w:hAnsi="Arial" w:cs="Arial"/>
          <w:sz w:val="20"/>
        </w:rPr>
      </w:pPr>
      <w:r w:rsidRPr="009163BF">
        <w:rPr>
          <w:rFonts w:ascii="Arial" w:hAnsi="Arial" w:cs="Arial"/>
          <w:sz w:val="20"/>
        </w:rPr>
        <w:t>a declaration that the balloon examiner has reviewed and applied the national</w:t>
      </w:r>
      <w:r w:rsidRPr="009163BF">
        <w:rPr>
          <w:rFonts w:ascii="Arial" w:hAnsi="Arial" w:cs="Arial"/>
          <w:spacing w:val="1"/>
          <w:sz w:val="20"/>
        </w:rPr>
        <w:t xml:space="preserve"> </w:t>
      </w:r>
      <w:r w:rsidRPr="009163BF">
        <w:rPr>
          <w:rFonts w:ascii="Arial" w:hAnsi="Arial" w:cs="Arial"/>
          <w:sz w:val="20"/>
        </w:rPr>
        <w:t>procedures</w:t>
      </w:r>
      <w:r w:rsidRPr="009163BF">
        <w:rPr>
          <w:rFonts w:ascii="Arial" w:hAnsi="Arial" w:cs="Arial"/>
          <w:spacing w:val="1"/>
          <w:sz w:val="20"/>
        </w:rPr>
        <w:t xml:space="preserve"> </w:t>
      </w:r>
      <w:r w:rsidRPr="009163BF">
        <w:rPr>
          <w:rFonts w:ascii="Arial" w:hAnsi="Arial" w:cs="Arial"/>
          <w:sz w:val="20"/>
        </w:rPr>
        <w:t>and</w:t>
      </w:r>
      <w:r w:rsidRPr="009163BF">
        <w:rPr>
          <w:rFonts w:ascii="Arial" w:hAnsi="Arial" w:cs="Arial"/>
          <w:spacing w:val="1"/>
          <w:sz w:val="20"/>
        </w:rPr>
        <w:t xml:space="preserve"> </w:t>
      </w:r>
      <w:r w:rsidRPr="009163BF">
        <w:rPr>
          <w:rFonts w:ascii="Arial" w:hAnsi="Arial" w:cs="Arial"/>
          <w:sz w:val="20"/>
        </w:rPr>
        <w:t>requirements</w:t>
      </w:r>
      <w:r w:rsidRPr="009163BF">
        <w:rPr>
          <w:rFonts w:ascii="Arial" w:hAnsi="Arial" w:cs="Arial"/>
          <w:spacing w:val="1"/>
          <w:sz w:val="20"/>
        </w:rPr>
        <w:t xml:space="preserve"> </w:t>
      </w:r>
      <w:r w:rsidRPr="009163BF">
        <w:rPr>
          <w:rFonts w:ascii="Arial" w:hAnsi="Arial" w:cs="Arial"/>
          <w:sz w:val="20"/>
        </w:rPr>
        <w:t>of</w:t>
      </w:r>
      <w:r w:rsidRPr="009163BF">
        <w:rPr>
          <w:rFonts w:ascii="Arial" w:hAnsi="Arial" w:cs="Arial"/>
          <w:spacing w:val="1"/>
          <w:sz w:val="20"/>
        </w:rPr>
        <w:t xml:space="preserve"> </w:t>
      </w:r>
      <w:r w:rsidRPr="009163BF">
        <w:rPr>
          <w:rFonts w:ascii="Arial" w:hAnsi="Arial" w:cs="Arial"/>
          <w:sz w:val="20"/>
        </w:rPr>
        <w:t>the</w:t>
      </w:r>
      <w:r w:rsidRPr="009163BF">
        <w:rPr>
          <w:rFonts w:ascii="Arial" w:hAnsi="Arial" w:cs="Arial"/>
          <w:spacing w:val="1"/>
          <w:sz w:val="20"/>
        </w:rPr>
        <w:t xml:space="preserve"> </w:t>
      </w:r>
      <w:r w:rsidRPr="009163BF">
        <w:rPr>
          <w:rFonts w:ascii="Arial" w:hAnsi="Arial" w:cs="Arial"/>
          <w:sz w:val="20"/>
        </w:rPr>
        <w:t>applicant’s</w:t>
      </w:r>
      <w:r w:rsidRPr="009163BF">
        <w:rPr>
          <w:rFonts w:ascii="Arial" w:hAnsi="Arial" w:cs="Arial"/>
          <w:spacing w:val="1"/>
          <w:sz w:val="20"/>
        </w:rPr>
        <w:t xml:space="preserve"> </w:t>
      </w:r>
      <w:r w:rsidR="002C3FB9">
        <w:rPr>
          <w:rFonts w:ascii="Arial" w:hAnsi="Arial" w:cs="Arial"/>
          <w:sz w:val="20"/>
          <w:szCs w:val="20"/>
        </w:rPr>
        <w:t>CAC RA</w:t>
      </w:r>
      <w:r w:rsidR="002C3FB9" w:rsidRPr="004A51D5">
        <w:rPr>
          <w:rFonts w:ascii="Arial" w:hAnsi="Arial" w:cs="Arial"/>
          <w:spacing w:val="1"/>
          <w:sz w:val="20"/>
          <w:szCs w:val="20"/>
        </w:rPr>
        <w:t xml:space="preserve"> </w:t>
      </w:r>
      <w:r w:rsidRPr="009163BF">
        <w:rPr>
          <w:rFonts w:ascii="Arial" w:hAnsi="Arial" w:cs="Arial"/>
          <w:sz w:val="20"/>
        </w:rPr>
        <w:t>if</w:t>
      </w:r>
      <w:r w:rsidRPr="009163BF">
        <w:rPr>
          <w:rFonts w:ascii="Arial" w:hAnsi="Arial" w:cs="Arial"/>
          <w:spacing w:val="1"/>
          <w:sz w:val="20"/>
        </w:rPr>
        <w:t xml:space="preserve"> </w:t>
      </w:r>
      <w:r w:rsidRPr="009163BF">
        <w:rPr>
          <w:rFonts w:ascii="Arial" w:hAnsi="Arial" w:cs="Arial"/>
          <w:sz w:val="20"/>
        </w:rPr>
        <w:t>the</w:t>
      </w:r>
      <w:r w:rsidRPr="009163BF">
        <w:rPr>
          <w:rFonts w:ascii="Arial" w:hAnsi="Arial" w:cs="Arial"/>
          <w:spacing w:val="1"/>
          <w:sz w:val="20"/>
        </w:rPr>
        <w:t xml:space="preserve"> </w:t>
      </w:r>
      <w:r w:rsidR="002C3FB9">
        <w:rPr>
          <w:rFonts w:ascii="Arial" w:hAnsi="Arial" w:cs="Arial"/>
          <w:sz w:val="20"/>
          <w:szCs w:val="20"/>
        </w:rPr>
        <w:t>CAC RA</w:t>
      </w:r>
      <w:r w:rsidR="002C3FB9" w:rsidRPr="004A51D5">
        <w:rPr>
          <w:rFonts w:ascii="Arial" w:hAnsi="Arial" w:cs="Arial"/>
          <w:spacing w:val="1"/>
          <w:sz w:val="20"/>
          <w:szCs w:val="20"/>
        </w:rPr>
        <w:t xml:space="preserve"> </w:t>
      </w:r>
      <w:r w:rsidRPr="009163BF">
        <w:rPr>
          <w:rFonts w:ascii="Arial" w:hAnsi="Arial" w:cs="Arial"/>
          <w:sz w:val="20"/>
        </w:rPr>
        <w:t>that is responsible for the applicant’s licence is not the one</w:t>
      </w:r>
      <w:r w:rsidRPr="009163BF">
        <w:rPr>
          <w:rFonts w:ascii="Arial" w:hAnsi="Arial" w:cs="Arial"/>
          <w:spacing w:val="1"/>
          <w:sz w:val="20"/>
        </w:rPr>
        <w:t xml:space="preserve"> </w:t>
      </w:r>
      <w:r w:rsidRPr="009163BF">
        <w:rPr>
          <w:rFonts w:ascii="Arial" w:hAnsi="Arial" w:cs="Arial"/>
          <w:sz w:val="20"/>
        </w:rPr>
        <w:t>that issued</w:t>
      </w:r>
      <w:r w:rsidRPr="009163BF">
        <w:rPr>
          <w:rFonts w:ascii="Arial" w:hAnsi="Arial" w:cs="Arial"/>
          <w:spacing w:val="-2"/>
          <w:sz w:val="20"/>
        </w:rPr>
        <w:t xml:space="preserve"> </w:t>
      </w:r>
      <w:r w:rsidRPr="009163BF">
        <w:rPr>
          <w:rFonts w:ascii="Arial" w:hAnsi="Arial" w:cs="Arial"/>
          <w:sz w:val="20"/>
        </w:rPr>
        <w:t>the</w:t>
      </w:r>
      <w:r w:rsidRPr="009163BF">
        <w:rPr>
          <w:rFonts w:ascii="Arial" w:hAnsi="Arial" w:cs="Arial"/>
          <w:spacing w:val="-2"/>
          <w:sz w:val="20"/>
        </w:rPr>
        <w:t xml:space="preserve"> </w:t>
      </w:r>
      <w:r w:rsidRPr="009163BF">
        <w:rPr>
          <w:rFonts w:ascii="Arial" w:hAnsi="Arial" w:cs="Arial"/>
          <w:sz w:val="20"/>
        </w:rPr>
        <w:t>examiner’s</w:t>
      </w:r>
      <w:r w:rsidRPr="009163BF">
        <w:rPr>
          <w:rFonts w:ascii="Arial" w:hAnsi="Arial" w:cs="Arial"/>
          <w:spacing w:val="-2"/>
          <w:sz w:val="20"/>
        </w:rPr>
        <w:t xml:space="preserve"> </w:t>
      </w:r>
      <w:r w:rsidRPr="009163BF">
        <w:rPr>
          <w:rFonts w:ascii="Arial" w:hAnsi="Arial" w:cs="Arial"/>
          <w:sz w:val="20"/>
        </w:rPr>
        <w:t>certificate;</w:t>
      </w:r>
    </w:p>
    <w:p w14:paraId="3E9DE43F" w14:textId="0E7A77D4" w:rsidR="009163BF" w:rsidRPr="009163BF" w:rsidRDefault="009163BF" w:rsidP="00E532A6">
      <w:pPr>
        <w:pStyle w:val="ListParagraph"/>
        <w:numPr>
          <w:ilvl w:val="2"/>
          <w:numId w:val="271"/>
        </w:numPr>
        <w:tabs>
          <w:tab w:val="left" w:pos="1842"/>
        </w:tabs>
        <w:spacing w:before="121" w:line="276" w:lineRule="auto"/>
        <w:ind w:right="68"/>
        <w:jc w:val="both"/>
        <w:rPr>
          <w:rFonts w:ascii="Arial" w:hAnsi="Arial" w:cs="Arial"/>
          <w:sz w:val="20"/>
        </w:rPr>
      </w:pPr>
      <w:r w:rsidRPr="009163BF">
        <w:rPr>
          <w:rFonts w:ascii="Arial" w:hAnsi="Arial" w:cs="Arial"/>
          <w:sz w:val="20"/>
        </w:rPr>
        <w:t>a copy of the balloon examiner certificate containing the scope of his or her</w:t>
      </w:r>
      <w:r w:rsidRPr="009163BF">
        <w:rPr>
          <w:rFonts w:ascii="Arial" w:hAnsi="Arial" w:cs="Arial"/>
          <w:spacing w:val="1"/>
          <w:sz w:val="20"/>
        </w:rPr>
        <w:t xml:space="preserve"> </w:t>
      </w:r>
      <w:r w:rsidRPr="009163BF">
        <w:rPr>
          <w:rFonts w:ascii="Arial" w:hAnsi="Arial" w:cs="Arial"/>
          <w:sz w:val="20"/>
        </w:rPr>
        <w:t>privileges as balloon examiner in the case of skill tests, proficiency checks or</w:t>
      </w:r>
      <w:r w:rsidRPr="009163BF">
        <w:rPr>
          <w:rFonts w:ascii="Arial" w:hAnsi="Arial" w:cs="Arial"/>
          <w:spacing w:val="1"/>
          <w:sz w:val="20"/>
        </w:rPr>
        <w:t xml:space="preserve"> </w:t>
      </w:r>
      <w:r w:rsidRPr="009163BF">
        <w:rPr>
          <w:rFonts w:ascii="Arial" w:hAnsi="Arial" w:cs="Arial"/>
          <w:sz w:val="20"/>
        </w:rPr>
        <w:t xml:space="preserve">assessments of competence of an applicant whose </w:t>
      </w:r>
      <w:r w:rsidR="002C3FB9">
        <w:rPr>
          <w:rFonts w:ascii="Arial" w:hAnsi="Arial" w:cs="Arial"/>
          <w:sz w:val="20"/>
          <w:szCs w:val="20"/>
        </w:rPr>
        <w:t>CAC RA</w:t>
      </w:r>
      <w:r w:rsidR="002C3FB9" w:rsidRPr="004A51D5">
        <w:rPr>
          <w:rFonts w:ascii="Arial" w:hAnsi="Arial" w:cs="Arial"/>
          <w:spacing w:val="1"/>
          <w:sz w:val="20"/>
          <w:szCs w:val="20"/>
        </w:rPr>
        <w:t xml:space="preserve"> </w:t>
      </w:r>
      <w:r w:rsidRPr="009163BF">
        <w:rPr>
          <w:rFonts w:ascii="Arial" w:hAnsi="Arial" w:cs="Arial"/>
          <w:sz w:val="20"/>
        </w:rPr>
        <w:t>is not the</w:t>
      </w:r>
      <w:r w:rsidRPr="009163BF">
        <w:rPr>
          <w:rFonts w:ascii="Arial" w:hAnsi="Arial" w:cs="Arial"/>
          <w:spacing w:val="-47"/>
          <w:sz w:val="20"/>
        </w:rPr>
        <w:t xml:space="preserve"> </w:t>
      </w:r>
      <w:r w:rsidRPr="009163BF">
        <w:rPr>
          <w:rFonts w:ascii="Arial" w:hAnsi="Arial" w:cs="Arial"/>
          <w:sz w:val="20"/>
        </w:rPr>
        <w:t>one that issued</w:t>
      </w:r>
      <w:r w:rsidRPr="009163BF">
        <w:rPr>
          <w:rFonts w:ascii="Arial" w:hAnsi="Arial" w:cs="Arial"/>
          <w:spacing w:val="-3"/>
          <w:sz w:val="20"/>
        </w:rPr>
        <w:t xml:space="preserve"> </w:t>
      </w:r>
      <w:r w:rsidRPr="009163BF">
        <w:rPr>
          <w:rFonts w:ascii="Arial" w:hAnsi="Arial" w:cs="Arial"/>
          <w:sz w:val="20"/>
        </w:rPr>
        <w:t>the</w:t>
      </w:r>
      <w:r w:rsidRPr="009163BF">
        <w:rPr>
          <w:rFonts w:ascii="Arial" w:hAnsi="Arial" w:cs="Arial"/>
          <w:spacing w:val="-2"/>
          <w:sz w:val="20"/>
        </w:rPr>
        <w:t xml:space="preserve"> </w:t>
      </w:r>
      <w:r w:rsidRPr="009163BF">
        <w:rPr>
          <w:rFonts w:ascii="Arial" w:hAnsi="Arial" w:cs="Arial"/>
          <w:sz w:val="20"/>
        </w:rPr>
        <w:t>examiner’s certificate.</w:t>
      </w:r>
    </w:p>
    <w:p w14:paraId="4A4A1C41" w14:textId="77777777" w:rsidR="009163BF" w:rsidRPr="009163BF" w:rsidRDefault="009163BF" w:rsidP="00E532A6">
      <w:pPr>
        <w:pStyle w:val="ListParagraph"/>
        <w:numPr>
          <w:ilvl w:val="0"/>
          <w:numId w:val="271"/>
        </w:numPr>
        <w:tabs>
          <w:tab w:val="left" w:pos="707"/>
        </w:tabs>
        <w:spacing w:before="119" w:line="276" w:lineRule="auto"/>
        <w:ind w:right="68"/>
        <w:jc w:val="both"/>
        <w:rPr>
          <w:rFonts w:ascii="Arial" w:hAnsi="Arial" w:cs="Arial"/>
          <w:sz w:val="20"/>
        </w:rPr>
      </w:pPr>
      <w:r w:rsidRPr="009163BF">
        <w:rPr>
          <w:rFonts w:ascii="Arial" w:hAnsi="Arial" w:cs="Arial"/>
          <w:sz w:val="20"/>
        </w:rPr>
        <w:t>The balloon examiner shall maintain the records for five years with details of all skill tests,</w:t>
      </w:r>
      <w:r w:rsidRPr="009163BF">
        <w:rPr>
          <w:rFonts w:ascii="Arial" w:hAnsi="Arial" w:cs="Arial"/>
          <w:spacing w:val="1"/>
          <w:sz w:val="20"/>
        </w:rPr>
        <w:t xml:space="preserve"> </w:t>
      </w:r>
      <w:r w:rsidRPr="009163BF">
        <w:rPr>
          <w:rFonts w:ascii="Arial" w:hAnsi="Arial" w:cs="Arial"/>
          <w:sz w:val="20"/>
        </w:rPr>
        <w:lastRenderedPageBreak/>
        <w:t>proficiency</w:t>
      </w:r>
      <w:r w:rsidRPr="009163BF">
        <w:rPr>
          <w:rFonts w:ascii="Arial" w:hAnsi="Arial" w:cs="Arial"/>
          <w:spacing w:val="-1"/>
          <w:sz w:val="20"/>
        </w:rPr>
        <w:t xml:space="preserve"> </w:t>
      </w:r>
      <w:r w:rsidRPr="009163BF">
        <w:rPr>
          <w:rFonts w:ascii="Arial" w:hAnsi="Arial" w:cs="Arial"/>
          <w:sz w:val="20"/>
        </w:rPr>
        <w:t>checks</w:t>
      </w:r>
      <w:r w:rsidRPr="009163BF">
        <w:rPr>
          <w:rFonts w:ascii="Arial" w:hAnsi="Arial" w:cs="Arial"/>
          <w:spacing w:val="1"/>
          <w:sz w:val="20"/>
        </w:rPr>
        <w:t xml:space="preserve"> </w:t>
      </w:r>
      <w:r w:rsidRPr="009163BF">
        <w:rPr>
          <w:rFonts w:ascii="Arial" w:hAnsi="Arial" w:cs="Arial"/>
          <w:sz w:val="20"/>
        </w:rPr>
        <w:t>and</w:t>
      </w:r>
      <w:r w:rsidRPr="009163BF">
        <w:rPr>
          <w:rFonts w:ascii="Arial" w:hAnsi="Arial" w:cs="Arial"/>
          <w:spacing w:val="-3"/>
          <w:sz w:val="20"/>
        </w:rPr>
        <w:t xml:space="preserve"> </w:t>
      </w:r>
      <w:r w:rsidRPr="009163BF">
        <w:rPr>
          <w:rFonts w:ascii="Arial" w:hAnsi="Arial" w:cs="Arial"/>
          <w:sz w:val="20"/>
        </w:rPr>
        <w:t>assessments</w:t>
      </w:r>
      <w:r w:rsidRPr="009163BF">
        <w:rPr>
          <w:rFonts w:ascii="Arial" w:hAnsi="Arial" w:cs="Arial"/>
          <w:spacing w:val="-2"/>
          <w:sz w:val="20"/>
        </w:rPr>
        <w:t xml:space="preserve"> </w:t>
      </w:r>
      <w:r w:rsidRPr="009163BF">
        <w:rPr>
          <w:rFonts w:ascii="Arial" w:hAnsi="Arial" w:cs="Arial"/>
          <w:sz w:val="20"/>
        </w:rPr>
        <w:t>of</w:t>
      </w:r>
      <w:r w:rsidRPr="009163BF">
        <w:rPr>
          <w:rFonts w:ascii="Arial" w:hAnsi="Arial" w:cs="Arial"/>
          <w:spacing w:val="-3"/>
          <w:sz w:val="20"/>
        </w:rPr>
        <w:t xml:space="preserve"> </w:t>
      </w:r>
      <w:r w:rsidRPr="009163BF">
        <w:rPr>
          <w:rFonts w:ascii="Arial" w:hAnsi="Arial" w:cs="Arial"/>
          <w:sz w:val="20"/>
        </w:rPr>
        <w:t>competence</w:t>
      </w:r>
      <w:r w:rsidRPr="009163BF">
        <w:rPr>
          <w:rFonts w:ascii="Arial" w:hAnsi="Arial" w:cs="Arial"/>
          <w:spacing w:val="-2"/>
          <w:sz w:val="20"/>
        </w:rPr>
        <w:t xml:space="preserve"> </w:t>
      </w:r>
      <w:r w:rsidRPr="009163BF">
        <w:rPr>
          <w:rFonts w:ascii="Arial" w:hAnsi="Arial" w:cs="Arial"/>
          <w:sz w:val="20"/>
        </w:rPr>
        <w:t>performed and</w:t>
      </w:r>
      <w:r w:rsidRPr="009163BF">
        <w:rPr>
          <w:rFonts w:ascii="Arial" w:hAnsi="Arial" w:cs="Arial"/>
          <w:spacing w:val="-4"/>
          <w:sz w:val="20"/>
        </w:rPr>
        <w:t xml:space="preserve"> </w:t>
      </w:r>
      <w:r w:rsidRPr="009163BF">
        <w:rPr>
          <w:rFonts w:ascii="Arial" w:hAnsi="Arial" w:cs="Arial"/>
          <w:sz w:val="20"/>
        </w:rPr>
        <w:t>their results.</w:t>
      </w:r>
    </w:p>
    <w:p w14:paraId="182ABB83" w14:textId="3580A8B4" w:rsidR="009163BF" w:rsidRPr="009163BF" w:rsidRDefault="009163BF" w:rsidP="00E532A6">
      <w:pPr>
        <w:pStyle w:val="ListParagraph"/>
        <w:numPr>
          <w:ilvl w:val="0"/>
          <w:numId w:val="271"/>
        </w:numPr>
        <w:tabs>
          <w:tab w:val="left" w:pos="707"/>
        </w:tabs>
        <w:spacing w:line="276" w:lineRule="auto"/>
        <w:ind w:right="68"/>
        <w:jc w:val="both"/>
        <w:rPr>
          <w:rFonts w:ascii="Arial" w:hAnsi="Arial" w:cs="Arial"/>
          <w:sz w:val="20"/>
        </w:rPr>
      </w:pPr>
      <w:r w:rsidRPr="009163BF">
        <w:rPr>
          <w:rFonts w:ascii="Arial" w:hAnsi="Arial" w:cs="Arial"/>
          <w:sz w:val="20"/>
        </w:rPr>
        <w:t>Upon</w:t>
      </w:r>
      <w:r w:rsidRPr="009163BF">
        <w:rPr>
          <w:rFonts w:ascii="Arial" w:hAnsi="Arial" w:cs="Arial"/>
          <w:spacing w:val="1"/>
          <w:sz w:val="20"/>
        </w:rPr>
        <w:t xml:space="preserve"> </w:t>
      </w:r>
      <w:r w:rsidRPr="009163BF">
        <w:rPr>
          <w:rFonts w:ascii="Arial" w:hAnsi="Arial" w:cs="Arial"/>
          <w:sz w:val="20"/>
        </w:rPr>
        <w:t>request</w:t>
      </w:r>
      <w:r w:rsidRPr="009163BF">
        <w:rPr>
          <w:rFonts w:ascii="Arial" w:hAnsi="Arial" w:cs="Arial"/>
          <w:spacing w:val="1"/>
          <w:sz w:val="20"/>
        </w:rPr>
        <w:t xml:space="preserve"> </w:t>
      </w:r>
      <w:r w:rsidRPr="009163BF">
        <w:rPr>
          <w:rFonts w:ascii="Arial" w:hAnsi="Arial" w:cs="Arial"/>
          <w:sz w:val="20"/>
        </w:rPr>
        <w:t>by</w:t>
      </w:r>
      <w:r w:rsidRPr="009163BF">
        <w:rPr>
          <w:rFonts w:ascii="Arial" w:hAnsi="Arial" w:cs="Arial"/>
          <w:spacing w:val="1"/>
          <w:sz w:val="20"/>
        </w:rPr>
        <w:t xml:space="preserve"> </w:t>
      </w:r>
      <w:r w:rsidRPr="009163BF">
        <w:rPr>
          <w:rFonts w:ascii="Arial" w:hAnsi="Arial" w:cs="Arial"/>
          <w:sz w:val="20"/>
        </w:rPr>
        <w:t>the</w:t>
      </w:r>
      <w:r w:rsidRPr="009163BF">
        <w:rPr>
          <w:rFonts w:ascii="Arial" w:hAnsi="Arial" w:cs="Arial"/>
          <w:spacing w:val="1"/>
          <w:sz w:val="20"/>
        </w:rPr>
        <w:t xml:space="preserve"> </w:t>
      </w:r>
      <w:r w:rsidR="002C3FB9">
        <w:rPr>
          <w:rFonts w:ascii="Arial" w:hAnsi="Arial" w:cs="Arial"/>
          <w:sz w:val="20"/>
          <w:szCs w:val="20"/>
        </w:rPr>
        <w:t>CAC RA</w:t>
      </w:r>
      <w:r w:rsidR="002C3FB9" w:rsidRPr="004A51D5">
        <w:rPr>
          <w:rFonts w:ascii="Arial" w:hAnsi="Arial" w:cs="Arial"/>
          <w:spacing w:val="1"/>
          <w:sz w:val="20"/>
          <w:szCs w:val="20"/>
        </w:rPr>
        <w:t xml:space="preserve"> </w:t>
      </w:r>
      <w:r w:rsidRPr="009163BF">
        <w:rPr>
          <w:rFonts w:ascii="Arial" w:hAnsi="Arial" w:cs="Arial"/>
          <w:sz w:val="20"/>
        </w:rPr>
        <w:t>that</w:t>
      </w:r>
      <w:r w:rsidRPr="009163BF">
        <w:rPr>
          <w:rFonts w:ascii="Arial" w:hAnsi="Arial" w:cs="Arial"/>
          <w:spacing w:val="1"/>
          <w:sz w:val="20"/>
        </w:rPr>
        <w:t xml:space="preserve"> </w:t>
      </w:r>
      <w:r w:rsidRPr="009163BF">
        <w:rPr>
          <w:rFonts w:ascii="Arial" w:hAnsi="Arial" w:cs="Arial"/>
          <w:sz w:val="20"/>
        </w:rPr>
        <w:t>is</w:t>
      </w:r>
      <w:r w:rsidRPr="009163BF">
        <w:rPr>
          <w:rFonts w:ascii="Arial" w:hAnsi="Arial" w:cs="Arial"/>
          <w:spacing w:val="1"/>
          <w:sz w:val="20"/>
        </w:rPr>
        <w:t xml:space="preserve"> </w:t>
      </w:r>
      <w:r w:rsidRPr="009163BF">
        <w:rPr>
          <w:rFonts w:ascii="Arial" w:hAnsi="Arial" w:cs="Arial"/>
          <w:sz w:val="20"/>
        </w:rPr>
        <w:t>responsible</w:t>
      </w:r>
      <w:r w:rsidRPr="009163BF">
        <w:rPr>
          <w:rFonts w:ascii="Arial" w:hAnsi="Arial" w:cs="Arial"/>
          <w:spacing w:val="1"/>
          <w:sz w:val="20"/>
        </w:rPr>
        <w:t xml:space="preserve"> </w:t>
      </w:r>
      <w:r w:rsidRPr="009163BF">
        <w:rPr>
          <w:rFonts w:ascii="Arial" w:hAnsi="Arial" w:cs="Arial"/>
          <w:sz w:val="20"/>
        </w:rPr>
        <w:t>for</w:t>
      </w:r>
      <w:r w:rsidRPr="009163BF">
        <w:rPr>
          <w:rFonts w:ascii="Arial" w:hAnsi="Arial" w:cs="Arial"/>
          <w:spacing w:val="1"/>
          <w:sz w:val="20"/>
        </w:rPr>
        <w:t xml:space="preserve"> </w:t>
      </w:r>
      <w:r w:rsidRPr="009163BF">
        <w:rPr>
          <w:rFonts w:ascii="Arial" w:hAnsi="Arial" w:cs="Arial"/>
          <w:sz w:val="20"/>
        </w:rPr>
        <w:t>the</w:t>
      </w:r>
      <w:r w:rsidRPr="009163BF">
        <w:rPr>
          <w:rFonts w:ascii="Arial" w:hAnsi="Arial" w:cs="Arial"/>
          <w:spacing w:val="1"/>
          <w:sz w:val="20"/>
        </w:rPr>
        <w:t xml:space="preserve"> </w:t>
      </w:r>
      <w:r w:rsidRPr="009163BF">
        <w:rPr>
          <w:rFonts w:ascii="Arial" w:hAnsi="Arial" w:cs="Arial"/>
          <w:sz w:val="20"/>
        </w:rPr>
        <w:t>balloon</w:t>
      </w:r>
      <w:r w:rsidRPr="009163BF">
        <w:rPr>
          <w:rFonts w:ascii="Arial" w:hAnsi="Arial" w:cs="Arial"/>
          <w:spacing w:val="1"/>
          <w:sz w:val="20"/>
        </w:rPr>
        <w:t xml:space="preserve"> </w:t>
      </w:r>
      <w:r w:rsidRPr="009163BF">
        <w:rPr>
          <w:rFonts w:ascii="Arial" w:hAnsi="Arial" w:cs="Arial"/>
          <w:sz w:val="20"/>
        </w:rPr>
        <w:t>examiner</w:t>
      </w:r>
      <w:r w:rsidRPr="009163BF">
        <w:rPr>
          <w:rFonts w:ascii="Arial" w:hAnsi="Arial" w:cs="Arial"/>
          <w:spacing w:val="1"/>
          <w:sz w:val="20"/>
        </w:rPr>
        <w:t xml:space="preserve"> </w:t>
      </w:r>
      <w:r w:rsidRPr="009163BF">
        <w:rPr>
          <w:rFonts w:ascii="Arial" w:hAnsi="Arial" w:cs="Arial"/>
          <w:spacing w:val="-1"/>
          <w:sz w:val="20"/>
        </w:rPr>
        <w:t>certificate,</w:t>
      </w:r>
      <w:r w:rsidRPr="009163BF">
        <w:rPr>
          <w:rFonts w:ascii="Arial" w:hAnsi="Arial" w:cs="Arial"/>
          <w:spacing w:val="-14"/>
          <w:sz w:val="20"/>
        </w:rPr>
        <w:t xml:space="preserve"> </w:t>
      </w:r>
      <w:r w:rsidRPr="009163BF">
        <w:rPr>
          <w:rFonts w:ascii="Arial" w:hAnsi="Arial" w:cs="Arial"/>
          <w:spacing w:val="-1"/>
          <w:sz w:val="20"/>
        </w:rPr>
        <w:t>or</w:t>
      </w:r>
      <w:r w:rsidRPr="009163BF">
        <w:rPr>
          <w:rFonts w:ascii="Arial" w:hAnsi="Arial" w:cs="Arial"/>
          <w:spacing w:val="-12"/>
          <w:sz w:val="20"/>
        </w:rPr>
        <w:t xml:space="preserve"> </w:t>
      </w:r>
      <w:r w:rsidRPr="009163BF">
        <w:rPr>
          <w:rFonts w:ascii="Arial" w:hAnsi="Arial" w:cs="Arial"/>
          <w:sz w:val="20"/>
        </w:rPr>
        <w:t>the</w:t>
      </w:r>
      <w:r w:rsidRPr="009163BF">
        <w:rPr>
          <w:rFonts w:ascii="Arial" w:hAnsi="Arial" w:cs="Arial"/>
          <w:spacing w:val="-14"/>
          <w:sz w:val="20"/>
        </w:rPr>
        <w:t xml:space="preserve"> </w:t>
      </w:r>
      <w:r w:rsidR="002C3FB9">
        <w:rPr>
          <w:rFonts w:ascii="Arial" w:hAnsi="Arial" w:cs="Arial"/>
          <w:sz w:val="20"/>
          <w:szCs w:val="20"/>
        </w:rPr>
        <w:t>CAC RA</w:t>
      </w:r>
      <w:r w:rsidR="002C3FB9" w:rsidRPr="004A51D5">
        <w:rPr>
          <w:rFonts w:ascii="Arial" w:hAnsi="Arial" w:cs="Arial"/>
          <w:spacing w:val="1"/>
          <w:sz w:val="20"/>
          <w:szCs w:val="20"/>
        </w:rPr>
        <w:t xml:space="preserve"> </w:t>
      </w:r>
      <w:r w:rsidRPr="009163BF">
        <w:rPr>
          <w:rFonts w:ascii="Arial" w:hAnsi="Arial" w:cs="Arial"/>
          <w:sz w:val="20"/>
        </w:rPr>
        <w:t>that</w:t>
      </w:r>
      <w:r w:rsidRPr="009163BF">
        <w:rPr>
          <w:rFonts w:ascii="Arial" w:hAnsi="Arial" w:cs="Arial"/>
          <w:spacing w:val="-14"/>
          <w:sz w:val="20"/>
        </w:rPr>
        <w:t xml:space="preserve"> </w:t>
      </w:r>
      <w:r w:rsidRPr="009163BF">
        <w:rPr>
          <w:rFonts w:ascii="Arial" w:hAnsi="Arial" w:cs="Arial"/>
          <w:sz w:val="20"/>
        </w:rPr>
        <w:t>is</w:t>
      </w:r>
      <w:r w:rsidRPr="009163BF">
        <w:rPr>
          <w:rFonts w:ascii="Arial" w:hAnsi="Arial" w:cs="Arial"/>
          <w:spacing w:val="-11"/>
          <w:sz w:val="20"/>
        </w:rPr>
        <w:t xml:space="preserve"> </w:t>
      </w:r>
      <w:r w:rsidRPr="009163BF">
        <w:rPr>
          <w:rFonts w:ascii="Arial" w:hAnsi="Arial" w:cs="Arial"/>
          <w:sz w:val="20"/>
        </w:rPr>
        <w:t>responsible</w:t>
      </w:r>
      <w:r w:rsidRPr="009163BF">
        <w:rPr>
          <w:rFonts w:ascii="Arial" w:hAnsi="Arial" w:cs="Arial"/>
          <w:spacing w:val="-12"/>
          <w:sz w:val="20"/>
        </w:rPr>
        <w:t xml:space="preserve"> </w:t>
      </w:r>
      <w:r w:rsidRPr="009163BF">
        <w:rPr>
          <w:rFonts w:ascii="Arial" w:hAnsi="Arial" w:cs="Arial"/>
          <w:sz w:val="20"/>
        </w:rPr>
        <w:t>for</w:t>
      </w:r>
      <w:r w:rsidRPr="009163BF">
        <w:rPr>
          <w:rFonts w:ascii="Arial" w:hAnsi="Arial" w:cs="Arial"/>
          <w:spacing w:val="-12"/>
          <w:sz w:val="20"/>
        </w:rPr>
        <w:t xml:space="preserve"> </w:t>
      </w:r>
      <w:r w:rsidRPr="009163BF">
        <w:rPr>
          <w:rFonts w:ascii="Arial" w:hAnsi="Arial" w:cs="Arial"/>
          <w:sz w:val="20"/>
        </w:rPr>
        <w:t>the</w:t>
      </w:r>
      <w:r w:rsidRPr="009163BF">
        <w:rPr>
          <w:rFonts w:ascii="Arial" w:hAnsi="Arial" w:cs="Arial"/>
          <w:spacing w:val="-11"/>
          <w:sz w:val="20"/>
        </w:rPr>
        <w:t xml:space="preserve"> </w:t>
      </w:r>
      <w:r w:rsidRPr="009163BF">
        <w:rPr>
          <w:rFonts w:ascii="Arial" w:hAnsi="Arial" w:cs="Arial"/>
          <w:sz w:val="20"/>
        </w:rPr>
        <w:t>applicant’s</w:t>
      </w:r>
      <w:r w:rsidRPr="009163BF">
        <w:rPr>
          <w:rFonts w:ascii="Arial" w:hAnsi="Arial" w:cs="Arial"/>
          <w:spacing w:val="-11"/>
          <w:sz w:val="20"/>
        </w:rPr>
        <w:t xml:space="preserve"> </w:t>
      </w:r>
      <w:r w:rsidRPr="009163BF">
        <w:rPr>
          <w:rFonts w:ascii="Arial" w:hAnsi="Arial" w:cs="Arial"/>
          <w:sz w:val="20"/>
        </w:rPr>
        <w:t>licence,</w:t>
      </w:r>
      <w:r w:rsidRPr="009163BF">
        <w:rPr>
          <w:rFonts w:ascii="Arial" w:hAnsi="Arial" w:cs="Arial"/>
          <w:spacing w:val="-11"/>
          <w:sz w:val="20"/>
        </w:rPr>
        <w:t xml:space="preserve"> </w:t>
      </w:r>
      <w:r w:rsidRPr="009163BF">
        <w:rPr>
          <w:rFonts w:ascii="Arial" w:hAnsi="Arial" w:cs="Arial"/>
          <w:sz w:val="20"/>
        </w:rPr>
        <w:t>the</w:t>
      </w:r>
      <w:r w:rsidRPr="009163BF">
        <w:rPr>
          <w:rFonts w:ascii="Arial" w:hAnsi="Arial" w:cs="Arial"/>
          <w:spacing w:val="-14"/>
          <w:sz w:val="20"/>
        </w:rPr>
        <w:t xml:space="preserve"> </w:t>
      </w:r>
      <w:r w:rsidRPr="009163BF">
        <w:rPr>
          <w:rFonts w:ascii="Arial" w:hAnsi="Arial" w:cs="Arial"/>
          <w:sz w:val="20"/>
        </w:rPr>
        <w:t>balloon</w:t>
      </w:r>
      <w:r w:rsidRPr="009163BF">
        <w:rPr>
          <w:rFonts w:ascii="Arial" w:hAnsi="Arial" w:cs="Arial"/>
          <w:spacing w:val="-47"/>
          <w:sz w:val="20"/>
        </w:rPr>
        <w:t xml:space="preserve"> </w:t>
      </w:r>
      <w:r w:rsidRPr="009163BF">
        <w:rPr>
          <w:rFonts w:ascii="Arial" w:hAnsi="Arial" w:cs="Arial"/>
          <w:sz w:val="20"/>
        </w:rPr>
        <w:t>examiner shall submit all records and reports, and any other information, as required, for</w:t>
      </w:r>
      <w:r w:rsidRPr="009163BF">
        <w:rPr>
          <w:rFonts w:ascii="Arial" w:hAnsi="Arial" w:cs="Arial"/>
          <w:spacing w:val="1"/>
          <w:sz w:val="20"/>
        </w:rPr>
        <w:t xml:space="preserve"> </w:t>
      </w:r>
      <w:r w:rsidRPr="009163BF">
        <w:rPr>
          <w:rFonts w:ascii="Arial" w:hAnsi="Arial" w:cs="Arial"/>
          <w:sz w:val="20"/>
        </w:rPr>
        <w:t>oversight</w:t>
      </w:r>
      <w:r w:rsidRPr="009163BF">
        <w:rPr>
          <w:rFonts w:ascii="Arial" w:hAnsi="Arial" w:cs="Arial"/>
          <w:spacing w:val="-1"/>
          <w:sz w:val="20"/>
        </w:rPr>
        <w:t xml:space="preserve"> </w:t>
      </w:r>
      <w:r w:rsidRPr="009163BF">
        <w:rPr>
          <w:rFonts w:ascii="Arial" w:hAnsi="Arial" w:cs="Arial"/>
          <w:sz w:val="20"/>
        </w:rPr>
        <w:t>activities.</w:t>
      </w:r>
    </w:p>
    <w:p w14:paraId="3A685886" w14:textId="77777777" w:rsidR="009163BF" w:rsidRPr="009163BF" w:rsidRDefault="009163BF" w:rsidP="009163BF">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747" w:name="AMC1_BFCL.410(b)(3)__Conduct_of_skill_te"/>
      <w:bookmarkStart w:id="748" w:name="_bookmark306"/>
      <w:bookmarkStart w:id="749" w:name="_Toc153137471"/>
      <w:bookmarkEnd w:id="747"/>
      <w:bookmarkEnd w:id="748"/>
      <w:r w:rsidRPr="009163BF">
        <w:rPr>
          <w:rFonts w:ascii="Arial" w:eastAsia="Times New Roman" w:hAnsi="Arial" w:cs="Times New Roman"/>
          <w:b/>
          <w:color w:val="FFFFFF"/>
          <w:sz w:val="24"/>
        </w:rPr>
        <w:t>AMC1 BFCL.410(b)(3) Conduct of skill tests, proficiency checks and assessments of competence</w:t>
      </w:r>
      <w:bookmarkEnd w:id="749"/>
    </w:p>
    <w:p w14:paraId="5018CE8A" w14:textId="77777777" w:rsidR="009163BF" w:rsidRPr="009163BF" w:rsidRDefault="009163BF" w:rsidP="009163BF">
      <w:pPr>
        <w:widowControl/>
        <w:autoSpaceDE/>
        <w:autoSpaceDN/>
        <w:spacing w:before="240" w:after="160" w:line="264" w:lineRule="auto"/>
        <w:jc w:val="both"/>
        <w:rPr>
          <w:rFonts w:ascii="Arial" w:eastAsiaTheme="minorHAnsi" w:hAnsi="Arial" w:cs="Arial"/>
          <w:b/>
          <w:bCs/>
          <w:sz w:val="20"/>
          <w:szCs w:val="20"/>
        </w:rPr>
      </w:pPr>
      <w:r w:rsidRPr="009163BF">
        <w:rPr>
          <w:rFonts w:ascii="Arial" w:eastAsiaTheme="minorHAnsi" w:hAnsi="Arial" w:cs="Arial"/>
          <w:b/>
          <w:bCs/>
          <w:sz w:val="20"/>
          <w:szCs w:val="20"/>
        </w:rPr>
        <w:t>APPLICATION AND REPORT FORM FOR THE BPL SKILL TEST OR PROFICIENCY CHECK</w:t>
      </w:r>
    </w:p>
    <w:tbl>
      <w:tblPr>
        <w:tblStyle w:val="TableGrid31"/>
        <w:tblW w:w="9026" w:type="dxa"/>
        <w:tblLayout w:type="fixed"/>
        <w:tblLook w:val="01E0" w:firstRow="1" w:lastRow="1" w:firstColumn="1" w:lastColumn="1" w:noHBand="0" w:noVBand="0"/>
      </w:tblPr>
      <w:tblGrid>
        <w:gridCol w:w="355"/>
        <w:gridCol w:w="931"/>
        <w:gridCol w:w="967"/>
        <w:gridCol w:w="218"/>
        <w:gridCol w:w="533"/>
        <w:gridCol w:w="1245"/>
        <w:gridCol w:w="258"/>
        <w:gridCol w:w="1500"/>
        <w:gridCol w:w="755"/>
        <w:gridCol w:w="2255"/>
        <w:gridCol w:w="9"/>
      </w:tblGrid>
      <w:tr w:rsidR="009163BF" w:rsidRPr="00276D5E" w14:paraId="59C85F49" w14:textId="77777777" w:rsidTr="00AC6D92">
        <w:trPr>
          <w:trHeight w:val="352"/>
        </w:trPr>
        <w:tc>
          <w:tcPr>
            <w:tcW w:w="9014" w:type="dxa"/>
            <w:gridSpan w:val="11"/>
            <w:shd w:val="clear" w:color="auto" w:fill="F2F2F2" w:themeFill="background1" w:themeFillShade="F2"/>
          </w:tcPr>
          <w:p w14:paraId="62B8775F" w14:textId="77777777" w:rsidR="009163BF" w:rsidRPr="00456F0A" w:rsidRDefault="009163BF" w:rsidP="00456F0A">
            <w:pPr>
              <w:pStyle w:val="TableParagraph"/>
              <w:spacing w:before="54"/>
              <w:ind w:left="107"/>
              <w:rPr>
                <w:rFonts w:ascii="Arial" w:hAnsi="Arial" w:cs="Arial"/>
                <w:b/>
              </w:rPr>
            </w:pPr>
            <w:r w:rsidRPr="00456F0A">
              <w:rPr>
                <w:rFonts w:ascii="Arial" w:hAnsi="Arial" w:cs="Arial"/>
                <w:b/>
              </w:rPr>
              <w:t>APPLICATION</w:t>
            </w:r>
            <w:r w:rsidRPr="00456F0A">
              <w:rPr>
                <w:rFonts w:ascii="Arial" w:hAnsi="Arial" w:cs="Arial"/>
                <w:b/>
                <w:spacing w:val="-3"/>
              </w:rPr>
              <w:t xml:space="preserve"> </w:t>
            </w:r>
            <w:r w:rsidRPr="00456F0A">
              <w:rPr>
                <w:rFonts w:ascii="Arial" w:hAnsi="Arial" w:cs="Arial"/>
                <w:b/>
              </w:rPr>
              <w:t>AND</w:t>
            </w:r>
            <w:r w:rsidRPr="00456F0A">
              <w:rPr>
                <w:rFonts w:ascii="Arial" w:hAnsi="Arial" w:cs="Arial"/>
                <w:b/>
                <w:spacing w:val="-4"/>
              </w:rPr>
              <w:t xml:space="preserve"> </w:t>
            </w:r>
            <w:r w:rsidRPr="00456F0A">
              <w:rPr>
                <w:rFonts w:ascii="Arial" w:hAnsi="Arial" w:cs="Arial"/>
                <w:b/>
              </w:rPr>
              <w:t>REPORT</w:t>
            </w:r>
            <w:r w:rsidRPr="00456F0A">
              <w:rPr>
                <w:rFonts w:ascii="Arial" w:hAnsi="Arial" w:cs="Arial"/>
                <w:b/>
                <w:spacing w:val="-4"/>
              </w:rPr>
              <w:t xml:space="preserve"> </w:t>
            </w:r>
            <w:r w:rsidRPr="00456F0A">
              <w:rPr>
                <w:rFonts w:ascii="Arial" w:hAnsi="Arial" w:cs="Arial"/>
                <w:b/>
              </w:rPr>
              <w:t>FORM</w:t>
            </w:r>
            <w:r w:rsidRPr="00456F0A">
              <w:rPr>
                <w:rFonts w:ascii="Arial" w:hAnsi="Arial" w:cs="Arial"/>
                <w:b/>
                <w:spacing w:val="-3"/>
              </w:rPr>
              <w:t xml:space="preserve"> </w:t>
            </w:r>
            <w:r w:rsidRPr="00456F0A">
              <w:rPr>
                <w:rFonts w:ascii="Arial" w:hAnsi="Arial" w:cs="Arial"/>
                <w:b/>
              </w:rPr>
              <w:t>FOR</w:t>
            </w:r>
            <w:r w:rsidRPr="00456F0A">
              <w:rPr>
                <w:rFonts w:ascii="Arial" w:hAnsi="Arial" w:cs="Arial"/>
                <w:b/>
                <w:spacing w:val="-1"/>
              </w:rPr>
              <w:t xml:space="preserve"> </w:t>
            </w:r>
            <w:r w:rsidRPr="00456F0A">
              <w:rPr>
                <w:rFonts w:ascii="Arial" w:hAnsi="Arial" w:cs="Arial"/>
                <w:b/>
              </w:rPr>
              <w:t>THE</w:t>
            </w:r>
            <w:r w:rsidRPr="00456F0A">
              <w:rPr>
                <w:rFonts w:ascii="Arial" w:hAnsi="Arial" w:cs="Arial"/>
                <w:b/>
                <w:spacing w:val="-2"/>
              </w:rPr>
              <w:t xml:space="preserve"> </w:t>
            </w:r>
            <w:r w:rsidRPr="00456F0A">
              <w:rPr>
                <w:rFonts w:ascii="Arial" w:hAnsi="Arial" w:cs="Arial"/>
                <w:b/>
              </w:rPr>
              <w:t>BPL</w:t>
            </w:r>
            <w:r w:rsidRPr="00456F0A">
              <w:rPr>
                <w:rFonts w:ascii="Arial" w:hAnsi="Arial" w:cs="Arial"/>
                <w:b/>
                <w:spacing w:val="-3"/>
              </w:rPr>
              <w:t xml:space="preserve"> </w:t>
            </w:r>
            <w:r w:rsidRPr="00456F0A">
              <w:rPr>
                <w:rFonts w:ascii="Arial" w:hAnsi="Arial" w:cs="Arial"/>
                <w:b/>
              </w:rPr>
              <w:t>SKILL TEST</w:t>
            </w:r>
            <w:r w:rsidRPr="00456F0A">
              <w:rPr>
                <w:rFonts w:ascii="Arial" w:hAnsi="Arial" w:cs="Arial"/>
                <w:b/>
                <w:spacing w:val="-1"/>
              </w:rPr>
              <w:t xml:space="preserve"> </w:t>
            </w:r>
            <w:r w:rsidRPr="00456F0A">
              <w:rPr>
                <w:rFonts w:ascii="Arial" w:hAnsi="Arial" w:cs="Arial"/>
                <w:b/>
              </w:rPr>
              <w:t>OR</w:t>
            </w:r>
            <w:r w:rsidRPr="00456F0A">
              <w:rPr>
                <w:rFonts w:ascii="Arial" w:hAnsi="Arial" w:cs="Arial"/>
                <w:b/>
                <w:spacing w:val="-4"/>
              </w:rPr>
              <w:t xml:space="preserve"> </w:t>
            </w:r>
            <w:r w:rsidRPr="00456F0A">
              <w:rPr>
                <w:rFonts w:ascii="Arial" w:hAnsi="Arial" w:cs="Arial"/>
                <w:b/>
              </w:rPr>
              <w:t>PROFICIENCY</w:t>
            </w:r>
            <w:r w:rsidRPr="00456F0A">
              <w:rPr>
                <w:rFonts w:ascii="Arial" w:hAnsi="Arial" w:cs="Arial"/>
                <w:b/>
                <w:spacing w:val="-4"/>
              </w:rPr>
              <w:t xml:space="preserve"> </w:t>
            </w:r>
            <w:r w:rsidRPr="00456F0A">
              <w:rPr>
                <w:rFonts w:ascii="Arial" w:hAnsi="Arial" w:cs="Arial"/>
                <w:b/>
              </w:rPr>
              <w:t>CHECK</w:t>
            </w:r>
          </w:p>
        </w:tc>
      </w:tr>
      <w:tr w:rsidR="009163BF" w:rsidRPr="00276D5E" w14:paraId="13D91755" w14:textId="77777777" w:rsidTr="00AC6D92">
        <w:trPr>
          <w:trHeight w:val="976"/>
        </w:trPr>
        <w:tc>
          <w:tcPr>
            <w:tcW w:w="1286" w:type="dxa"/>
            <w:gridSpan w:val="2"/>
            <w:vMerge w:val="restart"/>
          </w:tcPr>
          <w:p w14:paraId="76FC634F" w14:textId="77777777" w:rsidR="009163BF" w:rsidRPr="00276D5E" w:rsidRDefault="009163BF" w:rsidP="00456F0A">
            <w:pPr>
              <w:pStyle w:val="TableParagraph"/>
              <w:ind w:left="0"/>
              <w:rPr>
                <w:rFonts w:ascii="Arial" w:hAnsi="Arial" w:cs="Arial"/>
                <w:i/>
              </w:rPr>
            </w:pPr>
          </w:p>
          <w:p w14:paraId="4B7ACE33" w14:textId="77777777" w:rsidR="009163BF" w:rsidRPr="00276D5E" w:rsidRDefault="009163BF" w:rsidP="00456F0A">
            <w:pPr>
              <w:pStyle w:val="TableParagraph"/>
              <w:ind w:left="0"/>
              <w:rPr>
                <w:rFonts w:ascii="Arial" w:hAnsi="Arial" w:cs="Arial"/>
                <w:i/>
              </w:rPr>
            </w:pPr>
          </w:p>
          <w:p w14:paraId="41456826" w14:textId="77777777" w:rsidR="009163BF" w:rsidRPr="00276D5E" w:rsidRDefault="009163BF" w:rsidP="00456F0A">
            <w:pPr>
              <w:pStyle w:val="TableParagraph"/>
              <w:spacing w:before="3"/>
              <w:ind w:left="0"/>
              <w:rPr>
                <w:rFonts w:ascii="Arial" w:hAnsi="Arial" w:cs="Arial"/>
                <w:i/>
              </w:rPr>
            </w:pPr>
          </w:p>
          <w:p w14:paraId="1EB949AE" w14:textId="77777777" w:rsidR="009163BF" w:rsidRPr="00276D5E" w:rsidRDefault="009163BF" w:rsidP="00AC6D92">
            <w:pPr>
              <w:pStyle w:val="TableParagraph"/>
              <w:ind w:left="107"/>
              <w:rPr>
                <w:rFonts w:ascii="Arial" w:hAnsi="Arial" w:cs="Arial"/>
              </w:rPr>
            </w:pPr>
            <w:r w:rsidRPr="00276D5E">
              <w:rPr>
                <w:rFonts w:ascii="Arial" w:hAnsi="Arial" w:cs="Arial"/>
              </w:rPr>
              <w:t>Tick as</w:t>
            </w:r>
            <w:r w:rsidRPr="00276D5E">
              <w:rPr>
                <w:rFonts w:ascii="Arial" w:hAnsi="Arial" w:cs="Arial"/>
                <w:spacing w:val="1"/>
              </w:rPr>
              <w:t xml:space="preserve"> </w:t>
            </w:r>
            <w:r w:rsidRPr="00276D5E">
              <w:rPr>
                <w:rFonts w:ascii="Arial" w:hAnsi="Arial" w:cs="Arial"/>
              </w:rPr>
              <w:t>applicable</w:t>
            </w:r>
          </w:p>
        </w:tc>
        <w:tc>
          <w:tcPr>
            <w:tcW w:w="7728" w:type="dxa"/>
            <w:gridSpan w:val="9"/>
          </w:tcPr>
          <w:p w14:paraId="454C63D0" w14:textId="6D4DFDE5" w:rsidR="009163BF" w:rsidRPr="00276D5E" w:rsidRDefault="009163BF" w:rsidP="00456F0A">
            <w:pPr>
              <w:pStyle w:val="TableParagraph"/>
              <w:ind w:left="108"/>
              <w:rPr>
                <w:rFonts w:ascii="Arial" w:hAnsi="Arial" w:cs="Arial"/>
              </w:rPr>
            </w:pPr>
            <w:r w:rsidRPr="00276D5E">
              <w:rPr>
                <w:rFonts w:ascii="Arial" w:hAnsi="Arial" w:cs="Arial"/>
              </w:rPr>
              <w:t>I</w:t>
            </w:r>
            <w:r w:rsidRPr="00276D5E">
              <w:rPr>
                <w:rFonts w:ascii="Arial" w:hAnsi="Arial" w:cs="Arial"/>
                <w:spacing w:val="-3"/>
              </w:rPr>
              <w:t xml:space="preserve"> </w:t>
            </w:r>
            <w:r w:rsidRPr="00276D5E">
              <w:rPr>
                <w:rFonts w:ascii="Arial" w:hAnsi="Arial" w:cs="Arial"/>
              </w:rPr>
              <w:t>hereby</w:t>
            </w:r>
            <w:r w:rsidRPr="00276D5E">
              <w:rPr>
                <w:rFonts w:ascii="Arial" w:hAnsi="Arial" w:cs="Arial"/>
                <w:spacing w:val="-2"/>
              </w:rPr>
              <w:t xml:space="preserve"> </w:t>
            </w:r>
            <w:r w:rsidRPr="00276D5E">
              <w:rPr>
                <w:rFonts w:ascii="Arial" w:hAnsi="Arial" w:cs="Arial"/>
              </w:rPr>
              <w:t>apply</w:t>
            </w:r>
            <w:r w:rsidRPr="00276D5E">
              <w:rPr>
                <w:rFonts w:ascii="Arial" w:hAnsi="Arial" w:cs="Arial"/>
                <w:spacing w:val="-2"/>
              </w:rPr>
              <w:t xml:space="preserve"> </w:t>
            </w:r>
            <w:r w:rsidRPr="00276D5E">
              <w:rPr>
                <w:rFonts w:ascii="Arial" w:hAnsi="Arial" w:cs="Arial"/>
              </w:rPr>
              <w:t>for</w:t>
            </w:r>
            <w:r w:rsidRPr="00276D5E">
              <w:rPr>
                <w:rFonts w:ascii="Arial" w:hAnsi="Arial" w:cs="Arial"/>
                <w:spacing w:val="-2"/>
              </w:rPr>
              <w:t xml:space="preserve"> </w:t>
            </w:r>
            <w:r w:rsidRPr="00276D5E">
              <w:rPr>
                <w:rFonts w:ascii="Arial" w:hAnsi="Arial" w:cs="Arial"/>
              </w:rPr>
              <w:t>the</w:t>
            </w:r>
            <w:r w:rsidRPr="00276D5E">
              <w:rPr>
                <w:rFonts w:ascii="Arial" w:hAnsi="Arial" w:cs="Arial"/>
                <w:spacing w:val="-3"/>
              </w:rPr>
              <w:t xml:space="preserve"> </w:t>
            </w:r>
            <w:r w:rsidRPr="00276D5E">
              <w:rPr>
                <w:rFonts w:ascii="Arial" w:hAnsi="Arial" w:cs="Arial"/>
              </w:rPr>
              <w:t>issue</w:t>
            </w:r>
            <w:r w:rsidRPr="00276D5E">
              <w:rPr>
                <w:rFonts w:ascii="Arial" w:hAnsi="Arial" w:cs="Arial"/>
                <w:spacing w:val="-3"/>
              </w:rPr>
              <w:t xml:space="preserve"> </w:t>
            </w:r>
            <w:r w:rsidRPr="00276D5E">
              <w:rPr>
                <w:rFonts w:ascii="Arial" w:hAnsi="Arial" w:cs="Arial"/>
              </w:rPr>
              <w:t>of</w:t>
            </w:r>
            <w:r w:rsidRPr="00276D5E">
              <w:rPr>
                <w:rFonts w:ascii="Arial" w:hAnsi="Arial" w:cs="Arial"/>
                <w:spacing w:val="-1"/>
              </w:rPr>
              <w:t xml:space="preserve"> </w:t>
            </w:r>
            <w:r w:rsidRPr="00276D5E">
              <w:rPr>
                <w:rFonts w:ascii="Arial" w:hAnsi="Arial" w:cs="Arial"/>
              </w:rPr>
              <w:t>the</w:t>
            </w:r>
            <w:r w:rsidRPr="00276D5E">
              <w:rPr>
                <w:rFonts w:ascii="Arial" w:hAnsi="Arial" w:cs="Arial"/>
                <w:spacing w:val="-3"/>
              </w:rPr>
              <w:t xml:space="preserve"> </w:t>
            </w:r>
            <w:r w:rsidRPr="00276D5E">
              <w:rPr>
                <w:rFonts w:ascii="Arial" w:hAnsi="Arial" w:cs="Arial"/>
              </w:rPr>
              <w:t>following,</w:t>
            </w:r>
            <w:r w:rsidRPr="00276D5E">
              <w:rPr>
                <w:rFonts w:ascii="Arial" w:hAnsi="Arial" w:cs="Arial"/>
                <w:spacing w:val="-2"/>
              </w:rPr>
              <w:t xml:space="preserve"> </w:t>
            </w:r>
            <w:r w:rsidRPr="00276D5E">
              <w:rPr>
                <w:rFonts w:ascii="Arial" w:hAnsi="Arial" w:cs="Arial"/>
              </w:rPr>
              <w:t>in</w:t>
            </w:r>
            <w:r w:rsidRPr="00276D5E">
              <w:rPr>
                <w:rFonts w:ascii="Arial" w:hAnsi="Arial" w:cs="Arial"/>
                <w:spacing w:val="-2"/>
              </w:rPr>
              <w:t xml:space="preserve"> </w:t>
            </w:r>
            <w:r w:rsidRPr="00276D5E">
              <w:rPr>
                <w:rFonts w:ascii="Arial" w:hAnsi="Arial" w:cs="Arial"/>
              </w:rPr>
              <w:t>accordance</w:t>
            </w:r>
            <w:r w:rsidRPr="00276D5E">
              <w:rPr>
                <w:rFonts w:ascii="Arial" w:hAnsi="Arial" w:cs="Arial"/>
                <w:spacing w:val="-1"/>
              </w:rPr>
              <w:t xml:space="preserve"> </w:t>
            </w:r>
            <w:r w:rsidRPr="00276D5E">
              <w:rPr>
                <w:rFonts w:ascii="Arial" w:hAnsi="Arial" w:cs="Arial"/>
              </w:rPr>
              <w:t>with</w:t>
            </w:r>
            <w:r w:rsidRPr="00276D5E">
              <w:rPr>
                <w:rFonts w:ascii="Arial" w:hAnsi="Arial" w:cs="Arial"/>
                <w:spacing w:val="-2"/>
              </w:rPr>
              <w:t xml:space="preserve"> </w:t>
            </w:r>
            <w:r w:rsidRPr="00276D5E">
              <w:rPr>
                <w:rFonts w:ascii="Arial" w:hAnsi="Arial" w:cs="Arial"/>
              </w:rPr>
              <w:t>Annex</w:t>
            </w:r>
            <w:r w:rsidRPr="00276D5E">
              <w:rPr>
                <w:rFonts w:ascii="Arial" w:hAnsi="Arial" w:cs="Arial"/>
                <w:spacing w:val="-2"/>
              </w:rPr>
              <w:t xml:space="preserve"> </w:t>
            </w:r>
            <w:r w:rsidRPr="00276D5E">
              <w:rPr>
                <w:rFonts w:ascii="Arial" w:hAnsi="Arial" w:cs="Arial"/>
              </w:rPr>
              <w:t>III</w:t>
            </w:r>
            <w:r w:rsidRPr="00276D5E">
              <w:rPr>
                <w:rFonts w:ascii="Arial" w:hAnsi="Arial" w:cs="Arial"/>
                <w:spacing w:val="-3"/>
              </w:rPr>
              <w:t xml:space="preserve"> </w:t>
            </w:r>
            <w:r w:rsidRPr="00276D5E">
              <w:rPr>
                <w:rFonts w:ascii="Arial" w:hAnsi="Arial" w:cs="Arial"/>
              </w:rPr>
              <w:t>(Part-BFCL)</w:t>
            </w:r>
            <w:r w:rsidRPr="00276D5E">
              <w:rPr>
                <w:rFonts w:ascii="Arial" w:hAnsi="Arial" w:cs="Arial"/>
                <w:spacing w:val="-3"/>
              </w:rPr>
              <w:t xml:space="preserve"> </w:t>
            </w:r>
            <w:r w:rsidRPr="00276D5E">
              <w:rPr>
                <w:rFonts w:ascii="Arial" w:hAnsi="Arial" w:cs="Arial"/>
              </w:rPr>
              <w:t>to</w:t>
            </w:r>
            <w:r w:rsidRPr="00276D5E">
              <w:rPr>
                <w:rFonts w:ascii="Arial" w:hAnsi="Arial" w:cs="Arial"/>
                <w:spacing w:val="-42"/>
              </w:rPr>
              <w:t xml:space="preserve"> </w:t>
            </w:r>
            <w:r w:rsidR="00357B15" w:rsidRPr="00357B15">
              <w:rPr>
                <w:rFonts w:ascii="Arial" w:hAnsi="Arial" w:cs="Arial"/>
              </w:rPr>
              <w:t>Balloon Operations Regulation</w:t>
            </w:r>
            <w:r w:rsidRPr="00276D5E">
              <w:rPr>
                <w:rFonts w:ascii="Arial" w:hAnsi="Arial" w:cs="Arial"/>
              </w:rPr>
              <w:t>:</w:t>
            </w:r>
          </w:p>
          <w:p w14:paraId="1E9E06F8" w14:textId="77777777" w:rsidR="009163BF" w:rsidRPr="00276D5E" w:rsidRDefault="009163BF" w:rsidP="009163BF">
            <w:pPr>
              <w:pStyle w:val="TableParagraph"/>
              <w:spacing w:line="243" w:lineRule="exact"/>
              <w:rPr>
                <w:rFonts w:ascii="Arial" w:hAnsi="Arial" w:cs="Arial"/>
              </w:rPr>
            </w:pPr>
            <w:r w:rsidRPr="009163BF">
              <w:rPr>
                <w:rFonts w:ascii="Arial" w:hAnsi="Arial" w:cs="Arial"/>
                <w:sz w:val="32"/>
              </w:rPr>
              <w:t>□</w:t>
            </w:r>
            <w:r>
              <w:rPr>
                <w:rFonts w:ascii="Arial" w:hAnsi="Arial" w:cs="Arial"/>
                <w:sz w:val="32"/>
              </w:rPr>
              <w:t xml:space="preserve"> </w:t>
            </w:r>
            <w:r w:rsidRPr="00276D5E">
              <w:rPr>
                <w:rFonts w:ascii="Arial" w:hAnsi="Arial" w:cs="Arial"/>
              </w:rPr>
              <w:t>Balloon</w:t>
            </w:r>
            <w:r w:rsidRPr="00276D5E">
              <w:rPr>
                <w:rFonts w:ascii="Arial" w:hAnsi="Arial" w:cs="Arial"/>
                <w:spacing w:val="-2"/>
              </w:rPr>
              <w:t xml:space="preserve"> </w:t>
            </w:r>
            <w:r w:rsidRPr="00276D5E">
              <w:rPr>
                <w:rFonts w:ascii="Arial" w:hAnsi="Arial" w:cs="Arial"/>
              </w:rPr>
              <w:t>pilot</w:t>
            </w:r>
            <w:r w:rsidRPr="00276D5E">
              <w:rPr>
                <w:rFonts w:ascii="Arial" w:hAnsi="Arial" w:cs="Arial"/>
                <w:spacing w:val="-2"/>
              </w:rPr>
              <w:t xml:space="preserve"> </w:t>
            </w:r>
            <w:r w:rsidRPr="00276D5E">
              <w:rPr>
                <w:rFonts w:ascii="Arial" w:hAnsi="Arial" w:cs="Arial"/>
              </w:rPr>
              <w:t>licence</w:t>
            </w:r>
            <w:r w:rsidRPr="00276D5E">
              <w:rPr>
                <w:rFonts w:ascii="Arial" w:hAnsi="Arial" w:cs="Arial"/>
                <w:spacing w:val="-4"/>
              </w:rPr>
              <w:t xml:space="preserve"> </w:t>
            </w:r>
            <w:r w:rsidRPr="00276D5E">
              <w:rPr>
                <w:rFonts w:ascii="Arial" w:hAnsi="Arial" w:cs="Arial"/>
              </w:rPr>
              <w:t>(BPL)</w:t>
            </w:r>
          </w:p>
          <w:p w14:paraId="2F7E1ADB" w14:textId="77777777" w:rsidR="009163BF" w:rsidRPr="00276D5E" w:rsidRDefault="009163BF" w:rsidP="009163BF">
            <w:pPr>
              <w:pStyle w:val="TableParagraph"/>
              <w:spacing w:line="225" w:lineRule="exact"/>
              <w:rPr>
                <w:rFonts w:ascii="Arial" w:hAnsi="Arial" w:cs="Arial"/>
              </w:rPr>
            </w:pPr>
            <w:r w:rsidRPr="009163BF">
              <w:rPr>
                <w:rFonts w:ascii="Arial" w:hAnsi="Arial" w:cs="Arial"/>
                <w:sz w:val="32"/>
              </w:rPr>
              <w:t>□</w:t>
            </w:r>
            <w:r>
              <w:rPr>
                <w:rFonts w:ascii="Arial" w:hAnsi="Arial" w:cs="Arial"/>
                <w:sz w:val="32"/>
              </w:rPr>
              <w:t xml:space="preserve"> </w:t>
            </w:r>
            <w:r w:rsidRPr="00276D5E">
              <w:rPr>
                <w:rFonts w:ascii="Arial" w:hAnsi="Arial" w:cs="Arial"/>
              </w:rPr>
              <w:t>Commercial</w:t>
            </w:r>
            <w:r w:rsidRPr="00276D5E">
              <w:rPr>
                <w:rFonts w:ascii="Arial" w:hAnsi="Arial" w:cs="Arial"/>
                <w:spacing w:val="-5"/>
              </w:rPr>
              <w:t xml:space="preserve"> </w:t>
            </w:r>
            <w:r w:rsidRPr="00276D5E">
              <w:rPr>
                <w:rFonts w:ascii="Arial" w:hAnsi="Arial" w:cs="Arial"/>
              </w:rPr>
              <w:t>operation</w:t>
            </w:r>
            <w:r w:rsidRPr="00276D5E">
              <w:rPr>
                <w:rFonts w:ascii="Arial" w:hAnsi="Arial" w:cs="Arial"/>
                <w:spacing w:val="-4"/>
              </w:rPr>
              <w:t xml:space="preserve"> </w:t>
            </w:r>
            <w:r w:rsidRPr="00276D5E">
              <w:rPr>
                <w:rFonts w:ascii="Arial" w:hAnsi="Arial" w:cs="Arial"/>
              </w:rPr>
              <w:t>rating</w:t>
            </w:r>
          </w:p>
        </w:tc>
      </w:tr>
      <w:tr w:rsidR="009163BF" w:rsidRPr="00276D5E" w14:paraId="27EBE904" w14:textId="77777777" w:rsidTr="00AC6D92">
        <w:trPr>
          <w:trHeight w:val="976"/>
        </w:trPr>
        <w:tc>
          <w:tcPr>
            <w:tcW w:w="1286" w:type="dxa"/>
            <w:gridSpan w:val="2"/>
            <w:vMerge/>
          </w:tcPr>
          <w:p w14:paraId="0A60CE35" w14:textId="77777777" w:rsidR="009163BF" w:rsidRPr="00276D5E" w:rsidRDefault="009163BF" w:rsidP="00456F0A">
            <w:pPr>
              <w:rPr>
                <w:rFonts w:ascii="Arial" w:hAnsi="Arial" w:cs="Arial"/>
                <w:sz w:val="2"/>
                <w:szCs w:val="2"/>
              </w:rPr>
            </w:pPr>
          </w:p>
        </w:tc>
        <w:tc>
          <w:tcPr>
            <w:tcW w:w="7728" w:type="dxa"/>
            <w:gridSpan w:val="9"/>
          </w:tcPr>
          <w:p w14:paraId="3ED36ED1" w14:textId="54F37210" w:rsidR="009163BF" w:rsidRPr="00276D5E" w:rsidRDefault="009163BF" w:rsidP="00456F0A">
            <w:pPr>
              <w:pStyle w:val="TableParagraph"/>
              <w:ind w:left="108"/>
              <w:rPr>
                <w:rFonts w:ascii="Arial" w:hAnsi="Arial" w:cs="Arial"/>
              </w:rPr>
            </w:pPr>
            <w:r w:rsidRPr="00276D5E">
              <w:rPr>
                <w:rFonts w:ascii="Arial" w:hAnsi="Arial" w:cs="Arial"/>
              </w:rPr>
              <w:t>I</w:t>
            </w:r>
            <w:r w:rsidRPr="00276D5E">
              <w:rPr>
                <w:rFonts w:ascii="Arial" w:hAnsi="Arial" w:cs="Arial"/>
                <w:spacing w:val="-3"/>
              </w:rPr>
              <w:t xml:space="preserve"> </w:t>
            </w:r>
            <w:r w:rsidRPr="00276D5E">
              <w:rPr>
                <w:rFonts w:ascii="Arial" w:hAnsi="Arial" w:cs="Arial"/>
              </w:rPr>
              <w:t>hereby</w:t>
            </w:r>
            <w:r w:rsidRPr="00276D5E">
              <w:rPr>
                <w:rFonts w:ascii="Arial" w:hAnsi="Arial" w:cs="Arial"/>
                <w:spacing w:val="-2"/>
              </w:rPr>
              <w:t xml:space="preserve"> </w:t>
            </w:r>
            <w:r w:rsidRPr="00276D5E">
              <w:rPr>
                <w:rFonts w:ascii="Arial" w:hAnsi="Arial" w:cs="Arial"/>
              </w:rPr>
              <w:t>report</w:t>
            </w:r>
            <w:r w:rsidRPr="00276D5E">
              <w:rPr>
                <w:rFonts w:ascii="Arial" w:hAnsi="Arial" w:cs="Arial"/>
                <w:spacing w:val="-2"/>
              </w:rPr>
              <w:t xml:space="preserve"> </w:t>
            </w:r>
            <w:r w:rsidRPr="00276D5E">
              <w:rPr>
                <w:rFonts w:ascii="Arial" w:hAnsi="Arial" w:cs="Arial"/>
              </w:rPr>
              <w:t>the</w:t>
            </w:r>
            <w:r w:rsidRPr="00276D5E">
              <w:rPr>
                <w:rFonts w:ascii="Arial" w:hAnsi="Arial" w:cs="Arial"/>
                <w:spacing w:val="-3"/>
              </w:rPr>
              <w:t xml:space="preserve"> </w:t>
            </w:r>
            <w:r w:rsidRPr="00276D5E">
              <w:rPr>
                <w:rFonts w:ascii="Arial" w:hAnsi="Arial" w:cs="Arial"/>
              </w:rPr>
              <w:t>following,</w:t>
            </w:r>
            <w:r w:rsidRPr="00276D5E">
              <w:rPr>
                <w:rFonts w:ascii="Arial" w:hAnsi="Arial" w:cs="Arial"/>
                <w:spacing w:val="1"/>
              </w:rPr>
              <w:t xml:space="preserve"> </w:t>
            </w:r>
            <w:r w:rsidRPr="00276D5E">
              <w:rPr>
                <w:rFonts w:ascii="Arial" w:hAnsi="Arial" w:cs="Arial"/>
              </w:rPr>
              <w:t>in</w:t>
            </w:r>
            <w:r w:rsidRPr="00276D5E">
              <w:rPr>
                <w:rFonts w:ascii="Arial" w:hAnsi="Arial" w:cs="Arial"/>
                <w:spacing w:val="-2"/>
              </w:rPr>
              <w:t xml:space="preserve"> </w:t>
            </w:r>
            <w:r w:rsidRPr="00276D5E">
              <w:rPr>
                <w:rFonts w:ascii="Arial" w:hAnsi="Arial" w:cs="Arial"/>
              </w:rPr>
              <w:t>accordance</w:t>
            </w:r>
            <w:r w:rsidRPr="00276D5E">
              <w:rPr>
                <w:rFonts w:ascii="Arial" w:hAnsi="Arial" w:cs="Arial"/>
                <w:spacing w:val="-4"/>
              </w:rPr>
              <w:t xml:space="preserve"> </w:t>
            </w:r>
            <w:r w:rsidRPr="00276D5E">
              <w:rPr>
                <w:rFonts w:ascii="Arial" w:hAnsi="Arial" w:cs="Arial"/>
              </w:rPr>
              <w:t>with</w:t>
            </w:r>
            <w:r w:rsidRPr="00276D5E">
              <w:rPr>
                <w:rFonts w:ascii="Arial" w:hAnsi="Arial" w:cs="Arial"/>
                <w:spacing w:val="-2"/>
              </w:rPr>
              <w:t xml:space="preserve"> </w:t>
            </w:r>
            <w:r w:rsidRPr="00276D5E">
              <w:rPr>
                <w:rFonts w:ascii="Arial" w:hAnsi="Arial" w:cs="Arial"/>
              </w:rPr>
              <w:t>Annex</w:t>
            </w:r>
            <w:r w:rsidRPr="00276D5E">
              <w:rPr>
                <w:rFonts w:ascii="Arial" w:hAnsi="Arial" w:cs="Arial"/>
                <w:spacing w:val="-2"/>
              </w:rPr>
              <w:t xml:space="preserve"> </w:t>
            </w:r>
            <w:r w:rsidRPr="00276D5E">
              <w:rPr>
                <w:rFonts w:ascii="Arial" w:hAnsi="Arial" w:cs="Arial"/>
              </w:rPr>
              <w:t>III</w:t>
            </w:r>
            <w:r w:rsidRPr="00276D5E">
              <w:rPr>
                <w:rFonts w:ascii="Arial" w:hAnsi="Arial" w:cs="Arial"/>
                <w:spacing w:val="-2"/>
              </w:rPr>
              <w:t xml:space="preserve"> </w:t>
            </w:r>
            <w:r w:rsidRPr="00276D5E">
              <w:rPr>
                <w:rFonts w:ascii="Arial" w:hAnsi="Arial" w:cs="Arial"/>
              </w:rPr>
              <w:t>(Part-BFCL)</w:t>
            </w:r>
            <w:r w:rsidRPr="00276D5E">
              <w:rPr>
                <w:rFonts w:ascii="Arial" w:hAnsi="Arial" w:cs="Arial"/>
                <w:spacing w:val="-3"/>
              </w:rPr>
              <w:t xml:space="preserve"> </w:t>
            </w:r>
            <w:r w:rsidRPr="00276D5E">
              <w:rPr>
                <w:rFonts w:ascii="Arial" w:hAnsi="Arial" w:cs="Arial"/>
              </w:rPr>
              <w:t>t</w:t>
            </w:r>
            <w:r w:rsidRPr="00357B15">
              <w:rPr>
                <w:rFonts w:ascii="Arial" w:hAnsi="Arial" w:cs="Arial"/>
              </w:rPr>
              <w:t>o</w:t>
            </w:r>
            <w:r w:rsidRPr="00357B15">
              <w:rPr>
                <w:rFonts w:ascii="Arial" w:hAnsi="Arial" w:cs="Arial"/>
                <w:spacing w:val="-2"/>
              </w:rPr>
              <w:t xml:space="preserve"> </w:t>
            </w:r>
            <w:r w:rsidR="00357B15" w:rsidRPr="00357B15">
              <w:rPr>
                <w:rFonts w:ascii="Arial" w:hAnsi="Arial" w:cs="Arial"/>
              </w:rPr>
              <w:t>Balloon Operations Regulation</w:t>
            </w:r>
            <w:r w:rsidRPr="00357B15">
              <w:rPr>
                <w:rFonts w:ascii="Arial" w:hAnsi="Arial" w:cs="Arial"/>
              </w:rPr>
              <w:t>:</w:t>
            </w:r>
          </w:p>
          <w:p w14:paraId="504F1E2B" w14:textId="77777777" w:rsidR="009163BF" w:rsidRPr="00276D5E" w:rsidRDefault="009163BF" w:rsidP="009163BF">
            <w:pPr>
              <w:pStyle w:val="TableParagraph"/>
              <w:spacing w:line="244" w:lineRule="exact"/>
              <w:rPr>
                <w:rFonts w:ascii="Arial" w:hAnsi="Arial" w:cs="Arial"/>
              </w:rPr>
            </w:pPr>
            <w:r w:rsidRPr="009163BF">
              <w:rPr>
                <w:rFonts w:ascii="Arial" w:hAnsi="Arial" w:cs="Arial"/>
                <w:sz w:val="32"/>
              </w:rPr>
              <w:t>□</w:t>
            </w:r>
            <w:r>
              <w:rPr>
                <w:rFonts w:ascii="Arial" w:hAnsi="Arial" w:cs="Arial"/>
                <w:sz w:val="32"/>
              </w:rPr>
              <w:t xml:space="preserve"> </w:t>
            </w:r>
            <w:r w:rsidRPr="00276D5E">
              <w:rPr>
                <w:rFonts w:ascii="Arial" w:hAnsi="Arial" w:cs="Arial"/>
              </w:rPr>
              <w:t>Proficiency</w:t>
            </w:r>
            <w:r w:rsidRPr="00276D5E">
              <w:rPr>
                <w:rFonts w:ascii="Arial" w:hAnsi="Arial" w:cs="Arial"/>
                <w:spacing w:val="-3"/>
              </w:rPr>
              <w:t xml:space="preserve"> </w:t>
            </w:r>
            <w:r w:rsidRPr="00276D5E">
              <w:rPr>
                <w:rFonts w:ascii="Arial" w:hAnsi="Arial" w:cs="Arial"/>
              </w:rPr>
              <w:t>check</w:t>
            </w:r>
            <w:r w:rsidRPr="00276D5E">
              <w:rPr>
                <w:rFonts w:ascii="Arial" w:hAnsi="Arial" w:cs="Arial"/>
                <w:spacing w:val="-2"/>
              </w:rPr>
              <w:t xml:space="preserve"> </w:t>
            </w:r>
            <w:r w:rsidRPr="00276D5E">
              <w:rPr>
                <w:rFonts w:ascii="Arial" w:hAnsi="Arial" w:cs="Arial"/>
              </w:rPr>
              <w:t>(BPL</w:t>
            </w:r>
            <w:r w:rsidRPr="00276D5E">
              <w:rPr>
                <w:rFonts w:ascii="Arial" w:hAnsi="Arial" w:cs="Arial"/>
                <w:spacing w:val="-1"/>
              </w:rPr>
              <w:t xml:space="preserve"> </w:t>
            </w:r>
            <w:r w:rsidRPr="00276D5E">
              <w:rPr>
                <w:rFonts w:ascii="Arial" w:hAnsi="Arial" w:cs="Arial"/>
              </w:rPr>
              <w:t>—</w:t>
            </w:r>
            <w:r w:rsidRPr="00276D5E">
              <w:rPr>
                <w:rFonts w:ascii="Arial" w:hAnsi="Arial" w:cs="Arial"/>
                <w:spacing w:val="-3"/>
              </w:rPr>
              <w:t xml:space="preserve"> </w:t>
            </w:r>
            <w:r w:rsidRPr="00276D5E">
              <w:rPr>
                <w:rFonts w:ascii="Arial" w:hAnsi="Arial" w:cs="Arial"/>
              </w:rPr>
              <w:t>recency)</w:t>
            </w:r>
          </w:p>
          <w:p w14:paraId="06453416" w14:textId="77777777" w:rsidR="009163BF" w:rsidRPr="00276D5E" w:rsidRDefault="009163BF" w:rsidP="009163BF">
            <w:pPr>
              <w:pStyle w:val="TableParagraph"/>
              <w:spacing w:line="225" w:lineRule="exact"/>
              <w:rPr>
                <w:rFonts w:ascii="Arial" w:hAnsi="Arial" w:cs="Arial"/>
              </w:rPr>
            </w:pPr>
            <w:r w:rsidRPr="009163BF">
              <w:rPr>
                <w:rFonts w:ascii="Arial" w:hAnsi="Arial" w:cs="Arial"/>
                <w:sz w:val="32"/>
              </w:rPr>
              <w:t>□</w:t>
            </w:r>
            <w:r>
              <w:rPr>
                <w:rFonts w:ascii="Arial" w:hAnsi="Arial" w:cs="Arial"/>
                <w:sz w:val="32"/>
              </w:rPr>
              <w:t xml:space="preserve"> </w:t>
            </w:r>
            <w:r w:rsidRPr="00276D5E">
              <w:rPr>
                <w:rFonts w:ascii="Arial" w:hAnsi="Arial" w:cs="Arial"/>
              </w:rPr>
              <w:t>Proficiency</w:t>
            </w:r>
            <w:r w:rsidRPr="00276D5E">
              <w:rPr>
                <w:rFonts w:ascii="Arial" w:hAnsi="Arial" w:cs="Arial"/>
                <w:spacing w:val="-3"/>
              </w:rPr>
              <w:t xml:space="preserve"> </w:t>
            </w:r>
            <w:r w:rsidRPr="00276D5E">
              <w:rPr>
                <w:rFonts w:ascii="Arial" w:hAnsi="Arial" w:cs="Arial"/>
              </w:rPr>
              <w:t>check</w:t>
            </w:r>
            <w:r w:rsidRPr="00276D5E">
              <w:rPr>
                <w:rFonts w:ascii="Arial" w:hAnsi="Arial" w:cs="Arial"/>
                <w:spacing w:val="-3"/>
              </w:rPr>
              <w:t xml:space="preserve"> </w:t>
            </w:r>
            <w:r w:rsidRPr="00276D5E">
              <w:rPr>
                <w:rFonts w:ascii="Arial" w:hAnsi="Arial" w:cs="Arial"/>
              </w:rPr>
              <w:t>(commercial</w:t>
            </w:r>
            <w:r w:rsidRPr="00276D5E">
              <w:rPr>
                <w:rFonts w:ascii="Arial" w:hAnsi="Arial" w:cs="Arial"/>
                <w:spacing w:val="-3"/>
              </w:rPr>
              <w:t xml:space="preserve"> </w:t>
            </w:r>
            <w:r w:rsidRPr="00276D5E">
              <w:rPr>
                <w:rFonts w:ascii="Arial" w:hAnsi="Arial" w:cs="Arial"/>
              </w:rPr>
              <w:t>operation</w:t>
            </w:r>
            <w:r w:rsidRPr="00276D5E">
              <w:rPr>
                <w:rFonts w:ascii="Arial" w:hAnsi="Arial" w:cs="Arial"/>
                <w:spacing w:val="-4"/>
              </w:rPr>
              <w:t xml:space="preserve"> </w:t>
            </w:r>
            <w:r w:rsidRPr="00276D5E">
              <w:rPr>
                <w:rFonts w:ascii="Arial" w:hAnsi="Arial" w:cs="Arial"/>
              </w:rPr>
              <w:t>rating)</w:t>
            </w:r>
          </w:p>
        </w:tc>
      </w:tr>
      <w:tr w:rsidR="009163BF" w:rsidRPr="00276D5E" w14:paraId="77759BF2" w14:textId="77777777" w:rsidTr="005E15BF">
        <w:trPr>
          <w:trHeight w:val="244"/>
        </w:trPr>
        <w:tc>
          <w:tcPr>
            <w:tcW w:w="355" w:type="dxa"/>
            <w:shd w:val="clear" w:color="auto" w:fill="F2F2F2" w:themeFill="background1" w:themeFillShade="F2"/>
          </w:tcPr>
          <w:p w14:paraId="2056FAB3" w14:textId="77777777" w:rsidR="009163BF" w:rsidRPr="00276D5E" w:rsidRDefault="009163BF" w:rsidP="00456F0A">
            <w:pPr>
              <w:pStyle w:val="TableParagraph"/>
              <w:spacing w:line="224" w:lineRule="exact"/>
              <w:ind w:left="107"/>
              <w:rPr>
                <w:rFonts w:ascii="Arial" w:hAnsi="Arial" w:cs="Arial"/>
                <w:b/>
              </w:rPr>
            </w:pPr>
            <w:r w:rsidRPr="00276D5E">
              <w:rPr>
                <w:rFonts w:ascii="Arial" w:hAnsi="Arial" w:cs="Arial"/>
                <w:b/>
                <w:w w:val="99"/>
              </w:rPr>
              <w:t>1</w:t>
            </w:r>
          </w:p>
        </w:tc>
        <w:tc>
          <w:tcPr>
            <w:tcW w:w="8659" w:type="dxa"/>
            <w:gridSpan w:val="10"/>
            <w:shd w:val="clear" w:color="auto" w:fill="F2F2F2" w:themeFill="background1" w:themeFillShade="F2"/>
          </w:tcPr>
          <w:p w14:paraId="43DC5A00" w14:textId="77777777" w:rsidR="009163BF" w:rsidRPr="00276D5E" w:rsidRDefault="009163BF" w:rsidP="00456F0A">
            <w:pPr>
              <w:pStyle w:val="TableParagraph"/>
              <w:spacing w:line="224" w:lineRule="exact"/>
              <w:ind w:left="108"/>
              <w:rPr>
                <w:rFonts w:ascii="Arial" w:hAnsi="Arial" w:cs="Arial"/>
                <w:b/>
              </w:rPr>
            </w:pPr>
            <w:r w:rsidRPr="00276D5E">
              <w:rPr>
                <w:rFonts w:ascii="Arial" w:hAnsi="Arial" w:cs="Arial"/>
                <w:b/>
              </w:rPr>
              <w:t>Applicant’s</w:t>
            </w:r>
            <w:r w:rsidRPr="00276D5E">
              <w:rPr>
                <w:rFonts w:ascii="Arial" w:hAnsi="Arial" w:cs="Arial"/>
                <w:b/>
                <w:spacing w:val="-3"/>
              </w:rPr>
              <w:t xml:space="preserve"> </w:t>
            </w:r>
            <w:r w:rsidRPr="00276D5E">
              <w:rPr>
                <w:rFonts w:ascii="Arial" w:hAnsi="Arial" w:cs="Arial"/>
                <w:b/>
              </w:rPr>
              <w:t>personal</w:t>
            </w:r>
            <w:r w:rsidRPr="00276D5E">
              <w:rPr>
                <w:rFonts w:ascii="Arial" w:hAnsi="Arial" w:cs="Arial"/>
                <w:b/>
                <w:spacing w:val="-4"/>
              </w:rPr>
              <w:t xml:space="preserve"> </w:t>
            </w:r>
            <w:r w:rsidRPr="00276D5E">
              <w:rPr>
                <w:rFonts w:ascii="Arial" w:hAnsi="Arial" w:cs="Arial"/>
                <w:b/>
              </w:rPr>
              <w:t>particulars:</w:t>
            </w:r>
          </w:p>
        </w:tc>
      </w:tr>
      <w:tr w:rsidR="009163BF" w:rsidRPr="00276D5E" w14:paraId="1C082A58" w14:textId="77777777" w:rsidTr="00AC6D92">
        <w:trPr>
          <w:trHeight w:val="489"/>
        </w:trPr>
        <w:tc>
          <w:tcPr>
            <w:tcW w:w="4249" w:type="dxa"/>
            <w:gridSpan w:val="6"/>
          </w:tcPr>
          <w:p w14:paraId="75EC8CF8" w14:textId="77777777" w:rsidR="009163BF" w:rsidRPr="00276D5E" w:rsidRDefault="009163BF" w:rsidP="00456F0A">
            <w:pPr>
              <w:pStyle w:val="TableParagraph"/>
              <w:spacing w:line="243" w:lineRule="exact"/>
              <w:ind w:left="107"/>
              <w:rPr>
                <w:rFonts w:ascii="Arial" w:hAnsi="Arial" w:cs="Arial"/>
              </w:rPr>
            </w:pPr>
            <w:r w:rsidRPr="00276D5E">
              <w:rPr>
                <w:rFonts w:ascii="Arial" w:hAnsi="Arial" w:cs="Arial"/>
              </w:rPr>
              <w:t>Applicant’s</w:t>
            </w:r>
            <w:r w:rsidRPr="00276D5E">
              <w:rPr>
                <w:rFonts w:ascii="Arial" w:hAnsi="Arial" w:cs="Arial"/>
                <w:spacing w:val="-5"/>
              </w:rPr>
              <w:t xml:space="preserve"> </w:t>
            </w:r>
            <w:r w:rsidRPr="00276D5E">
              <w:rPr>
                <w:rFonts w:ascii="Arial" w:hAnsi="Arial" w:cs="Arial"/>
              </w:rPr>
              <w:t>last</w:t>
            </w:r>
            <w:r w:rsidRPr="00276D5E">
              <w:rPr>
                <w:rFonts w:ascii="Arial" w:hAnsi="Arial" w:cs="Arial"/>
                <w:spacing w:val="-4"/>
              </w:rPr>
              <w:t xml:space="preserve"> </w:t>
            </w:r>
            <w:r w:rsidRPr="00276D5E">
              <w:rPr>
                <w:rFonts w:ascii="Arial" w:hAnsi="Arial" w:cs="Arial"/>
              </w:rPr>
              <w:t>name(s):</w:t>
            </w:r>
          </w:p>
        </w:tc>
        <w:tc>
          <w:tcPr>
            <w:tcW w:w="4765" w:type="dxa"/>
            <w:gridSpan w:val="5"/>
          </w:tcPr>
          <w:p w14:paraId="0EE90241" w14:textId="77777777" w:rsidR="009163BF" w:rsidRPr="00276D5E" w:rsidRDefault="009163BF" w:rsidP="00456F0A">
            <w:pPr>
              <w:pStyle w:val="TableParagraph"/>
              <w:spacing w:line="243" w:lineRule="exact"/>
              <w:ind w:left="109"/>
              <w:rPr>
                <w:rFonts w:ascii="Arial" w:hAnsi="Arial" w:cs="Arial"/>
              </w:rPr>
            </w:pPr>
            <w:r w:rsidRPr="00276D5E">
              <w:rPr>
                <w:rFonts w:ascii="Arial" w:hAnsi="Arial" w:cs="Arial"/>
              </w:rPr>
              <w:t>First</w:t>
            </w:r>
            <w:r w:rsidRPr="00276D5E">
              <w:rPr>
                <w:rFonts w:ascii="Arial" w:hAnsi="Arial" w:cs="Arial"/>
                <w:spacing w:val="-5"/>
              </w:rPr>
              <w:t xml:space="preserve"> </w:t>
            </w:r>
            <w:r w:rsidRPr="00276D5E">
              <w:rPr>
                <w:rFonts w:ascii="Arial" w:hAnsi="Arial" w:cs="Arial"/>
              </w:rPr>
              <w:t>name(s):</w:t>
            </w:r>
          </w:p>
        </w:tc>
      </w:tr>
      <w:tr w:rsidR="009163BF" w:rsidRPr="00276D5E" w14:paraId="206D622C" w14:textId="77777777" w:rsidTr="00AC6D92">
        <w:trPr>
          <w:trHeight w:val="486"/>
        </w:trPr>
        <w:tc>
          <w:tcPr>
            <w:tcW w:w="3004" w:type="dxa"/>
            <w:gridSpan w:val="5"/>
          </w:tcPr>
          <w:p w14:paraId="004D2453" w14:textId="77777777" w:rsidR="009163BF" w:rsidRPr="00276D5E" w:rsidRDefault="009163BF" w:rsidP="00456F0A">
            <w:pPr>
              <w:pStyle w:val="TableParagraph"/>
              <w:spacing w:line="243" w:lineRule="exact"/>
              <w:ind w:left="107"/>
              <w:rPr>
                <w:rFonts w:ascii="Arial" w:hAnsi="Arial" w:cs="Arial"/>
              </w:rPr>
            </w:pPr>
            <w:r w:rsidRPr="00276D5E">
              <w:rPr>
                <w:rFonts w:ascii="Arial" w:hAnsi="Arial" w:cs="Arial"/>
              </w:rPr>
              <w:t>Date</w:t>
            </w:r>
            <w:r w:rsidRPr="00276D5E">
              <w:rPr>
                <w:rFonts w:ascii="Arial" w:hAnsi="Arial" w:cs="Arial"/>
                <w:spacing w:val="-3"/>
              </w:rPr>
              <w:t xml:space="preserve"> </w:t>
            </w:r>
            <w:r w:rsidRPr="00276D5E">
              <w:rPr>
                <w:rFonts w:ascii="Arial" w:hAnsi="Arial" w:cs="Arial"/>
              </w:rPr>
              <w:t>of</w:t>
            </w:r>
            <w:r w:rsidRPr="00276D5E">
              <w:rPr>
                <w:rFonts w:ascii="Arial" w:hAnsi="Arial" w:cs="Arial"/>
                <w:spacing w:val="-3"/>
              </w:rPr>
              <w:t xml:space="preserve"> </w:t>
            </w:r>
            <w:r w:rsidRPr="00276D5E">
              <w:rPr>
                <w:rFonts w:ascii="Arial" w:hAnsi="Arial" w:cs="Arial"/>
              </w:rPr>
              <w:t>birth:</w:t>
            </w:r>
          </w:p>
        </w:tc>
        <w:tc>
          <w:tcPr>
            <w:tcW w:w="3003" w:type="dxa"/>
            <w:gridSpan w:val="3"/>
          </w:tcPr>
          <w:p w14:paraId="2A773A07" w14:textId="77777777" w:rsidR="009163BF" w:rsidRPr="00276D5E" w:rsidRDefault="009163BF" w:rsidP="00456F0A">
            <w:pPr>
              <w:pStyle w:val="TableParagraph"/>
              <w:spacing w:line="243" w:lineRule="exact"/>
              <w:ind w:left="109"/>
              <w:rPr>
                <w:rFonts w:ascii="Arial" w:hAnsi="Arial" w:cs="Arial"/>
              </w:rPr>
            </w:pPr>
            <w:r w:rsidRPr="00276D5E">
              <w:rPr>
                <w:rFonts w:ascii="Arial" w:hAnsi="Arial" w:cs="Arial"/>
              </w:rPr>
              <w:t>Telephone:</w:t>
            </w:r>
          </w:p>
        </w:tc>
        <w:tc>
          <w:tcPr>
            <w:tcW w:w="3007" w:type="dxa"/>
            <w:gridSpan w:val="3"/>
          </w:tcPr>
          <w:p w14:paraId="3AF9E906" w14:textId="77777777" w:rsidR="009163BF" w:rsidRPr="00276D5E" w:rsidRDefault="009163BF" w:rsidP="00456F0A">
            <w:pPr>
              <w:pStyle w:val="TableParagraph"/>
              <w:spacing w:line="243" w:lineRule="exact"/>
              <w:ind w:left="111"/>
              <w:rPr>
                <w:rFonts w:ascii="Arial" w:hAnsi="Arial" w:cs="Arial"/>
              </w:rPr>
            </w:pPr>
            <w:r w:rsidRPr="00276D5E">
              <w:rPr>
                <w:rFonts w:ascii="Arial" w:hAnsi="Arial" w:cs="Arial"/>
              </w:rPr>
              <w:t>Email:</w:t>
            </w:r>
          </w:p>
        </w:tc>
      </w:tr>
      <w:tr w:rsidR="009163BF" w:rsidRPr="00276D5E" w14:paraId="710734FD" w14:textId="77777777" w:rsidTr="00AC6D92">
        <w:trPr>
          <w:trHeight w:val="575"/>
        </w:trPr>
        <w:tc>
          <w:tcPr>
            <w:tcW w:w="4249" w:type="dxa"/>
            <w:gridSpan w:val="6"/>
          </w:tcPr>
          <w:p w14:paraId="1F5C0768" w14:textId="77777777" w:rsidR="009163BF" w:rsidRPr="00276D5E" w:rsidRDefault="009163BF" w:rsidP="00456F0A">
            <w:pPr>
              <w:pStyle w:val="TableParagraph"/>
              <w:spacing w:line="243" w:lineRule="exact"/>
              <w:ind w:left="107"/>
              <w:rPr>
                <w:rFonts w:ascii="Arial" w:hAnsi="Arial" w:cs="Arial"/>
              </w:rPr>
            </w:pPr>
            <w:r w:rsidRPr="00276D5E">
              <w:rPr>
                <w:rFonts w:ascii="Arial" w:hAnsi="Arial" w:cs="Arial"/>
              </w:rPr>
              <w:t>Address:</w:t>
            </w:r>
          </w:p>
        </w:tc>
        <w:tc>
          <w:tcPr>
            <w:tcW w:w="4765" w:type="dxa"/>
            <w:gridSpan w:val="5"/>
          </w:tcPr>
          <w:p w14:paraId="2894D6F5" w14:textId="77777777" w:rsidR="009163BF" w:rsidRPr="00276D5E" w:rsidRDefault="009163BF" w:rsidP="00456F0A">
            <w:pPr>
              <w:pStyle w:val="TableParagraph"/>
              <w:spacing w:line="243" w:lineRule="exact"/>
              <w:ind w:left="109"/>
              <w:rPr>
                <w:rFonts w:ascii="Arial" w:hAnsi="Arial" w:cs="Arial"/>
              </w:rPr>
            </w:pPr>
            <w:r w:rsidRPr="00276D5E">
              <w:rPr>
                <w:rFonts w:ascii="Arial" w:hAnsi="Arial" w:cs="Arial"/>
              </w:rPr>
              <w:t>Country:</w:t>
            </w:r>
          </w:p>
        </w:tc>
      </w:tr>
      <w:tr w:rsidR="009163BF" w:rsidRPr="00276D5E" w14:paraId="6B1D4FBC" w14:textId="77777777" w:rsidTr="00AC6D92">
        <w:trPr>
          <w:trHeight w:val="546"/>
        </w:trPr>
        <w:tc>
          <w:tcPr>
            <w:tcW w:w="4249" w:type="dxa"/>
            <w:gridSpan w:val="6"/>
          </w:tcPr>
          <w:p w14:paraId="3C88D2C2" w14:textId="77777777" w:rsidR="009163BF" w:rsidRPr="00276D5E" w:rsidRDefault="009163BF" w:rsidP="00456F0A">
            <w:pPr>
              <w:pStyle w:val="TableParagraph"/>
              <w:spacing w:before="1"/>
              <w:ind w:left="107"/>
              <w:rPr>
                <w:rFonts w:ascii="Arial" w:hAnsi="Arial" w:cs="Arial"/>
              </w:rPr>
            </w:pPr>
            <w:r w:rsidRPr="00276D5E">
              <w:rPr>
                <w:rFonts w:ascii="Arial" w:hAnsi="Arial" w:cs="Arial"/>
              </w:rPr>
              <w:t>Date:</w:t>
            </w:r>
          </w:p>
        </w:tc>
        <w:tc>
          <w:tcPr>
            <w:tcW w:w="4765" w:type="dxa"/>
            <w:gridSpan w:val="5"/>
          </w:tcPr>
          <w:p w14:paraId="680A3843" w14:textId="77777777" w:rsidR="009163BF" w:rsidRPr="00276D5E" w:rsidRDefault="009163BF" w:rsidP="00456F0A">
            <w:pPr>
              <w:pStyle w:val="TableParagraph"/>
              <w:spacing w:before="1"/>
              <w:ind w:left="109"/>
              <w:rPr>
                <w:rFonts w:ascii="Arial" w:hAnsi="Arial" w:cs="Arial"/>
              </w:rPr>
            </w:pPr>
            <w:r w:rsidRPr="00276D5E">
              <w:rPr>
                <w:rFonts w:ascii="Arial" w:hAnsi="Arial" w:cs="Arial"/>
              </w:rPr>
              <w:t>Signature:</w:t>
            </w:r>
          </w:p>
        </w:tc>
      </w:tr>
      <w:tr w:rsidR="009163BF" w:rsidRPr="00276D5E" w14:paraId="637DFD4A" w14:textId="77777777" w:rsidTr="005E15BF">
        <w:trPr>
          <w:trHeight w:val="244"/>
        </w:trPr>
        <w:tc>
          <w:tcPr>
            <w:tcW w:w="355" w:type="dxa"/>
            <w:shd w:val="clear" w:color="auto" w:fill="F2F2F2" w:themeFill="background1" w:themeFillShade="F2"/>
          </w:tcPr>
          <w:p w14:paraId="5E88C0A1" w14:textId="77777777" w:rsidR="009163BF" w:rsidRPr="00276D5E" w:rsidRDefault="009163BF" w:rsidP="00456F0A">
            <w:pPr>
              <w:pStyle w:val="TableParagraph"/>
              <w:spacing w:line="224" w:lineRule="exact"/>
              <w:ind w:left="107"/>
              <w:rPr>
                <w:rFonts w:ascii="Arial" w:hAnsi="Arial" w:cs="Arial"/>
                <w:b/>
              </w:rPr>
            </w:pPr>
            <w:r w:rsidRPr="00276D5E">
              <w:rPr>
                <w:rFonts w:ascii="Arial" w:hAnsi="Arial" w:cs="Arial"/>
                <w:b/>
                <w:w w:val="99"/>
              </w:rPr>
              <w:t>2</w:t>
            </w:r>
          </w:p>
        </w:tc>
        <w:tc>
          <w:tcPr>
            <w:tcW w:w="8659" w:type="dxa"/>
            <w:gridSpan w:val="10"/>
            <w:shd w:val="clear" w:color="auto" w:fill="F2F2F2" w:themeFill="background1" w:themeFillShade="F2"/>
          </w:tcPr>
          <w:p w14:paraId="3F52B888" w14:textId="77777777" w:rsidR="009163BF" w:rsidRPr="00276D5E" w:rsidRDefault="009163BF" w:rsidP="00456F0A">
            <w:pPr>
              <w:pStyle w:val="TableParagraph"/>
              <w:spacing w:line="224" w:lineRule="exact"/>
              <w:ind w:left="108"/>
              <w:rPr>
                <w:rFonts w:ascii="Arial" w:hAnsi="Arial" w:cs="Arial"/>
                <w:b/>
              </w:rPr>
            </w:pPr>
            <w:r w:rsidRPr="00276D5E">
              <w:rPr>
                <w:rFonts w:ascii="Arial" w:hAnsi="Arial" w:cs="Arial"/>
                <w:b/>
              </w:rPr>
              <w:t>Licence</w:t>
            </w:r>
            <w:r w:rsidRPr="00276D5E">
              <w:rPr>
                <w:rFonts w:ascii="Arial" w:hAnsi="Arial" w:cs="Arial"/>
                <w:b/>
                <w:spacing w:val="-4"/>
              </w:rPr>
              <w:t xml:space="preserve"> </w:t>
            </w:r>
            <w:r w:rsidRPr="00276D5E">
              <w:rPr>
                <w:rFonts w:ascii="Arial" w:hAnsi="Arial" w:cs="Arial"/>
                <w:b/>
              </w:rPr>
              <w:t>details</w:t>
            </w:r>
          </w:p>
        </w:tc>
      </w:tr>
      <w:tr w:rsidR="009163BF" w:rsidRPr="00276D5E" w14:paraId="6870FA5F" w14:textId="77777777" w:rsidTr="00AC6D92">
        <w:trPr>
          <w:trHeight w:val="352"/>
        </w:trPr>
        <w:tc>
          <w:tcPr>
            <w:tcW w:w="9014" w:type="dxa"/>
            <w:gridSpan w:val="11"/>
          </w:tcPr>
          <w:p w14:paraId="736AEF73" w14:textId="77777777" w:rsidR="009163BF" w:rsidRPr="00276D5E" w:rsidRDefault="009163BF" w:rsidP="00456F0A">
            <w:pPr>
              <w:pStyle w:val="TableParagraph"/>
              <w:spacing w:line="243" w:lineRule="exact"/>
              <w:ind w:left="107"/>
              <w:rPr>
                <w:rFonts w:ascii="Arial" w:hAnsi="Arial" w:cs="Arial"/>
              </w:rPr>
            </w:pPr>
            <w:r w:rsidRPr="00276D5E">
              <w:rPr>
                <w:rFonts w:ascii="Arial" w:hAnsi="Arial" w:cs="Arial"/>
              </w:rPr>
              <w:t>Licence</w:t>
            </w:r>
            <w:r w:rsidRPr="00276D5E">
              <w:rPr>
                <w:rFonts w:ascii="Arial" w:hAnsi="Arial" w:cs="Arial"/>
                <w:spacing w:val="-4"/>
              </w:rPr>
              <w:t xml:space="preserve"> </w:t>
            </w:r>
            <w:r w:rsidRPr="00276D5E">
              <w:rPr>
                <w:rFonts w:ascii="Arial" w:hAnsi="Arial" w:cs="Arial"/>
              </w:rPr>
              <w:t>number</w:t>
            </w:r>
            <w:r w:rsidRPr="00276D5E">
              <w:rPr>
                <w:rFonts w:ascii="Arial" w:hAnsi="Arial" w:cs="Arial"/>
                <w:spacing w:val="-2"/>
              </w:rPr>
              <w:t xml:space="preserve"> </w:t>
            </w:r>
            <w:r w:rsidRPr="00276D5E">
              <w:rPr>
                <w:rFonts w:ascii="Arial" w:hAnsi="Arial" w:cs="Arial"/>
              </w:rPr>
              <w:t>(if</w:t>
            </w:r>
            <w:r w:rsidRPr="00276D5E">
              <w:rPr>
                <w:rFonts w:ascii="Arial" w:hAnsi="Arial" w:cs="Arial"/>
                <w:spacing w:val="-3"/>
              </w:rPr>
              <w:t xml:space="preserve"> </w:t>
            </w:r>
            <w:r w:rsidRPr="00276D5E">
              <w:rPr>
                <w:rFonts w:ascii="Arial" w:hAnsi="Arial" w:cs="Arial"/>
              </w:rPr>
              <w:t>applicable):</w:t>
            </w:r>
          </w:p>
        </w:tc>
      </w:tr>
      <w:tr w:rsidR="009163BF" w:rsidRPr="00276D5E" w14:paraId="3E6C6E2C" w14:textId="77777777" w:rsidTr="00AC6D92">
        <w:trPr>
          <w:trHeight w:val="727"/>
        </w:trPr>
        <w:tc>
          <w:tcPr>
            <w:tcW w:w="2471" w:type="dxa"/>
            <w:gridSpan w:val="4"/>
          </w:tcPr>
          <w:p w14:paraId="5142086B" w14:textId="77777777" w:rsidR="009163BF" w:rsidRPr="00276D5E" w:rsidRDefault="009163BF" w:rsidP="00456F0A">
            <w:pPr>
              <w:pStyle w:val="TableParagraph"/>
              <w:spacing w:line="243" w:lineRule="exact"/>
              <w:ind w:left="107"/>
              <w:rPr>
                <w:rFonts w:ascii="Arial" w:hAnsi="Arial" w:cs="Arial"/>
              </w:rPr>
            </w:pPr>
            <w:r w:rsidRPr="00276D5E">
              <w:rPr>
                <w:rFonts w:ascii="Arial" w:hAnsi="Arial" w:cs="Arial"/>
              </w:rPr>
              <w:t>Class</w:t>
            </w:r>
            <w:r w:rsidRPr="00276D5E">
              <w:rPr>
                <w:rFonts w:ascii="Arial" w:hAnsi="Arial" w:cs="Arial"/>
                <w:spacing w:val="-11"/>
              </w:rPr>
              <w:t xml:space="preserve"> </w:t>
            </w:r>
            <w:r w:rsidRPr="00276D5E">
              <w:rPr>
                <w:rFonts w:ascii="Arial" w:hAnsi="Arial" w:cs="Arial"/>
              </w:rPr>
              <w:t>extension(s):</w:t>
            </w:r>
          </w:p>
          <w:p w14:paraId="6D49DF03" w14:textId="77777777" w:rsidR="009163BF" w:rsidRPr="00276D5E" w:rsidRDefault="009163BF" w:rsidP="00456F0A">
            <w:pPr>
              <w:pStyle w:val="TableParagraph"/>
              <w:ind w:left="107"/>
              <w:rPr>
                <w:rFonts w:ascii="Arial" w:hAnsi="Arial" w:cs="Arial"/>
                <w:i/>
              </w:rPr>
            </w:pPr>
            <w:r w:rsidRPr="00276D5E">
              <w:rPr>
                <w:rFonts w:ascii="Arial" w:hAnsi="Arial" w:cs="Arial"/>
                <w:i/>
              </w:rPr>
              <w:t>(tick</w:t>
            </w:r>
            <w:r w:rsidRPr="00276D5E">
              <w:rPr>
                <w:rFonts w:ascii="Arial" w:hAnsi="Arial" w:cs="Arial"/>
                <w:i/>
                <w:spacing w:val="-4"/>
              </w:rPr>
              <w:t xml:space="preserve"> </w:t>
            </w:r>
            <w:r w:rsidRPr="00276D5E">
              <w:rPr>
                <w:rFonts w:ascii="Arial" w:hAnsi="Arial" w:cs="Arial"/>
                <w:i/>
              </w:rPr>
              <w:t>as</w:t>
            </w:r>
            <w:r w:rsidRPr="00276D5E">
              <w:rPr>
                <w:rFonts w:ascii="Arial" w:hAnsi="Arial" w:cs="Arial"/>
                <w:i/>
                <w:spacing w:val="-5"/>
              </w:rPr>
              <w:t xml:space="preserve"> </w:t>
            </w:r>
            <w:r w:rsidRPr="00276D5E">
              <w:rPr>
                <w:rFonts w:ascii="Arial" w:hAnsi="Arial" w:cs="Arial"/>
                <w:i/>
              </w:rPr>
              <w:t>applicable)</w:t>
            </w:r>
          </w:p>
        </w:tc>
        <w:tc>
          <w:tcPr>
            <w:tcW w:w="6543" w:type="dxa"/>
            <w:gridSpan w:val="7"/>
          </w:tcPr>
          <w:p w14:paraId="45FD76BE" w14:textId="77777777" w:rsidR="009163BF" w:rsidRDefault="009163BF" w:rsidP="009163BF">
            <w:pPr>
              <w:pStyle w:val="TableParagraph"/>
              <w:tabs>
                <w:tab w:val="left" w:pos="2852"/>
                <w:tab w:val="left" w:pos="3421"/>
                <w:tab w:val="left" w:pos="3980"/>
                <w:tab w:val="left" w:pos="4537"/>
              </w:tabs>
              <w:ind w:right="1870"/>
              <w:rPr>
                <w:rFonts w:ascii="Arial" w:hAnsi="Arial" w:cs="Arial"/>
                <w:spacing w:val="-42"/>
              </w:rPr>
            </w:pPr>
            <w:r w:rsidRPr="009163BF">
              <w:rPr>
                <w:rFonts w:ascii="Arial" w:hAnsi="Arial" w:cs="Arial"/>
                <w:sz w:val="32"/>
              </w:rPr>
              <w:t>□</w:t>
            </w:r>
            <w:r>
              <w:rPr>
                <w:rFonts w:ascii="Arial" w:hAnsi="Arial" w:cs="Arial"/>
                <w:sz w:val="32"/>
              </w:rPr>
              <w:t xml:space="preserve"> </w:t>
            </w:r>
            <w:r w:rsidRPr="00276D5E">
              <w:rPr>
                <w:rFonts w:ascii="Arial" w:hAnsi="Arial" w:cs="Arial"/>
              </w:rPr>
              <w:t>Hot-air</w:t>
            </w:r>
            <w:r w:rsidRPr="00276D5E">
              <w:rPr>
                <w:rFonts w:ascii="Arial" w:hAnsi="Arial" w:cs="Arial"/>
                <w:spacing w:val="-5"/>
              </w:rPr>
              <w:t xml:space="preserve"> </w:t>
            </w:r>
            <w:r w:rsidRPr="00276D5E">
              <w:rPr>
                <w:rFonts w:ascii="Arial" w:hAnsi="Arial" w:cs="Arial"/>
              </w:rPr>
              <w:t>balloons/Groups:</w:t>
            </w:r>
            <w:r w:rsidRPr="00276D5E">
              <w:rPr>
                <w:rFonts w:ascii="Arial" w:hAnsi="Arial" w:cs="Arial"/>
              </w:rPr>
              <w:tab/>
            </w:r>
            <w:r w:rsidRPr="009163BF">
              <w:rPr>
                <w:rFonts w:ascii="Arial" w:hAnsi="Arial" w:cs="Arial"/>
                <w:sz w:val="32"/>
              </w:rPr>
              <w:t>□</w:t>
            </w:r>
            <w:r>
              <w:rPr>
                <w:rFonts w:ascii="Arial" w:hAnsi="Arial" w:cs="Arial"/>
                <w:sz w:val="32"/>
              </w:rPr>
              <w:t xml:space="preserve"> </w:t>
            </w:r>
            <w:r w:rsidRPr="00276D5E">
              <w:rPr>
                <w:rFonts w:ascii="Arial" w:hAnsi="Arial" w:cs="Arial"/>
              </w:rPr>
              <w:t>A</w:t>
            </w:r>
            <w:r w:rsidRPr="00276D5E">
              <w:rPr>
                <w:rFonts w:ascii="Arial" w:hAnsi="Arial" w:cs="Arial"/>
              </w:rPr>
              <w:tab/>
            </w:r>
            <w:r w:rsidRPr="009163BF">
              <w:rPr>
                <w:rFonts w:ascii="Arial" w:hAnsi="Arial" w:cs="Arial"/>
                <w:sz w:val="32"/>
              </w:rPr>
              <w:t>□</w:t>
            </w:r>
            <w:r>
              <w:rPr>
                <w:rFonts w:ascii="Arial" w:hAnsi="Arial" w:cs="Arial"/>
                <w:sz w:val="32"/>
              </w:rPr>
              <w:t xml:space="preserve"> </w:t>
            </w:r>
            <w:r w:rsidRPr="00276D5E">
              <w:rPr>
                <w:rFonts w:ascii="Arial" w:hAnsi="Arial" w:cs="Arial"/>
              </w:rPr>
              <w:t>B</w:t>
            </w:r>
            <w:r w:rsidRPr="00276D5E">
              <w:rPr>
                <w:rFonts w:ascii="Arial" w:hAnsi="Arial" w:cs="Arial"/>
              </w:rPr>
              <w:tab/>
            </w:r>
            <w:r w:rsidRPr="009163BF">
              <w:rPr>
                <w:rFonts w:ascii="Arial" w:hAnsi="Arial" w:cs="Arial"/>
                <w:sz w:val="32"/>
              </w:rPr>
              <w:t>□</w:t>
            </w:r>
            <w:r>
              <w:rPr>
                <w:rFonts w:ascii="Arial" w:hAnsi="Arial" w:cs="Arial"/>
                <w:sz w:val="32"/>
              </w:rPr>
              <w:t xml:space="preserve"> </w:t>
            </w:r>
            <w:r w:rsidRPr="00276D5E">
              <w:rPr>
                <w:rFonts w:ascii="Arial" w:hAnsi="Arial" w:cs="Arial"/>
              </w:rPr>
              <w:t>C</w:t>
            </w:r>
            <w:r w:rsidRPr="00276D5E">
              <w:rPr>
                <w:rFonts w:ascii="Arial" w:hAnsi="Arial" w:cs="Arial"/>
              </w:rPr>
              <w:tab/>
            </w:r>
            <w:r w:rsidRPr="009163BF">
              <w:rPr>
                <w:rFonts w:ascii="Arial" w:hAnsi="Arial" w:cs="Arial"/>
                <w:sz w:val="32"/>
              </w:rPr>
              <w:t>□</w:t>
            </w:r>
            <w:r>
              <w:rPr>
                <w:rFonts w:ascii="Arial" w:hAnsi="Arial" w:cs="Arial"/>
                <w:sz w:val="32"/>
              </w:rPr>
              <w:t xml:space="preserve"> </w:t>
            </w:r>
            <w:r w:rsidRPr="00276D5E">
              <w:rPr>
                <w:rFonts w:ascii="Arial" w:hAnsi="Arial" w:cs="Arial"/>
                <w:spacing w:val="-4"/>
              </w:rPr>
              <w:t>D</w:t>
            </w:r>
            <w:r w:rsidRPr="00276D5E">
              <w:rPr>
                <w:rFonts w:ascii="Arial" w:hAnsi="Arial" w:cs="Arial"/>
                <w:spacing w:val="-42"/>
              </w:rPr>
              <w:t xml:space="preserve"> </w:t>
            </w:r>
          </w:p>
          <w:p w14:paraId="27C12C38" w14:textId="77777777" w:rsidR="009163BF" w:rsidRPr="00276D5E" w:rsidRDefault="009163BF" w:rsidP="009163BF">
            <w:pPr>
              <w:pStyle w:val="TableParagraph"/>
              <w:tabs>
                <w:tab w:val="left" w:pos="2852"/>
                <w:tab w:val="left" w:pos="3421"/>
                <w:tab w:val="left" w:pos="3980"/>
                <w:tab w:val="left" w:pos="4537"/>
              </w:tabs>
              <w:ind w:right="1870"/>
              <w:rPr>
                <w:rFonts w:ascii="Arial" w:hAnsi="Arial" w:cs="Arial"/>
              </w:rPr>
            </w:pPr>
            <w:r w:rsidRPr="009163BF">
              <w:rPr>
                <w:rFonts w:ascii="Arial" w:hAnsi="Arial" w:cs="Arial"/>
                <w:sz w:val="32"/>
              </w:rPr>
              <w:t>□</w:t>
            </w:r>
            <w:r>
              <w:rPr>
                <w:rFonts w:ascii="Arial" w:hAnsi="Arial" w:cs="Arial"/>
                <w:sz w:val="32"/>
              </w:rPr>
              <w:t xml:space="preserve"> </w:t>
            </w:r>
            <w:r w:rsidRPr="00276D5E">
              <w:rPr>
                <w:rFonts w:ascii="Arial" w:hAnsi="Arial" w:cs="Arial"/>
              </w:rPr>
              <w:t>Gas</w:t>
            </w:r>
            <w:r w:rsidRPr="00276D5E">
              <w:rPr>
                <w:rFonts w:ascii="Arial" w:hAnsi="Arial" w:cs="Arial"/>
                <w:spacing w:val="-2"/>
              </w:rPr>
              <w:t xml:space="preserve"> </w:t>
            </w:r>
            <w:r w:rsidRPr="00276D5E">
              <w:rPr>
                <w:rFonts w:ascii="Arial" w:hAnsi="Arial" w:cs="Arial"/>
              </w:rPr>
              <w:t>balloons</w:t>
            </w:r>
          </w:p>
          <w:p w14:paraId="38CA27FA" w14:textId="77777777" w:rsidR="009163BF" w:rsidRPr="00276D5E" w:rsidRDefault="009163BF" w:rsidP="009163BF">
            <w:pPr>
              <w:pStyle w:val="TableParagraph"/>
              <w:spacing w:line="220" w:lineRule="exact"/>
              <w:rPr>
                <w:rFonts w:ascii="Arial" w:hAnsi="Arial" w:cs="Arial"/>
              </w:rPr>
            </w:pPr>
            <w:r w:rsidRPr="009163BF">
              <w:rPr>
                <w:rFonts w:ascii="Arial" w:hAnsi="Arial" w:cs="Arial"/>
                <w:sz w:val="32"/>
              </w:rPr>
              <w:t>□</w:t>
            </w:r>
            <w:r>
              <w:rPr>
                <w:rFonts w:ascii="Arial" w:hAnsi="Arial" w:cs="Arial"/>
                <w:sz w:val="32"/>
              </w:rPr>
              <w:t xml:space="preserve"> </w:t>
            </w:r>
            <w:r w:rsidRPr="00276D5E">
              <w:rPr>
                <w:rFonts w:ascii="Arial" w:hAnsi="Arial" w:cs="Arial"/>
              </w:rPr>
              <w:t>Hot-air</w:t>
            </w:r>
            <w:r w:rsidRPr="00276D5E">
              <w:rPr>
                <w:rFonts w:ascii="Arial" w:hAnsi="Arial" w:cs="Arial"/>
                <w:spacing w:val="-3"/>
              </w:rPr>
              <w:t xml:space="preserve"> </w:t>
            </w:r>
            <w:r w:rsidRPr="00276D5E">
              <w:rPr>
                <w:rFonts w:ascii="Arial" w:hAnsi="Arial" w:cs="Arial"/>
              </w:rPr>
              <w:t>airships</w:t>
            </w:r>
          </w:p>
        </w:tc>
      </w:tr>
      <w:tr w:rsidR="009163BF" w:rsidRPr="00276D5E" w14:paraId="76E1F53E" w14:textId="77777777" w:rsidTr="005E15BF">
        <w:trPr>
          <w:trHeight w:val="254"/>
        </w:trPr>
        <w:tc>
          <w:tcPr>
            <w:tcW w:w="9014" w:type="dxa"/>
            <w:gridSpan w:val="11"/>
            <w:shd w:val="clear" w:color="auto" w:fill="F2F2F2" w:themeFill="background1" w:themeFillShade="F2"/>
          </w:tcPr>
          <w:p w14:paraId="60CB6B58" w14:textId="77777777" w:rsidR="009163BF" w:rsidRPr="00456F0A" w:rsidRDefault="009163BF" w:rsidP="00456F0A">
            <w:pPr>
              <w:pStyle w:val="TableParagraph"/>
              <w:spacing w:before="3" w:line="230" w:lineRule="exact"/>
              <w:ind w:left="1503" w:right="1635" w:hanging="360"/>
              <w:jc w:val="center"/>
              <w:rPr>
                <w:rFonts w:ascii="Arial" w:hAnsi="Arial" w:cs="Arial"/>
                <w:b/>
                <w:i/>
              </w:rPr>
            </w:pPr>
            <w:r w:rsidRPr="00456F0A">
              <w:rPr>
                <w:rFonts w:ascii="Arial" w:hAnsi="Arial" w:cs="Arial"/>
                <w:b/>
                <w:i/>
              </w:rPr>
              <w:t>FROM</w:t>
            </w:r>
            <w:r w:rsidRPr="00456F0A">
              <w:rPr>
                <w:rFonts w:ascii="Arial" w:hAnsi="Arial" w:cs="Arial"/>
                <w:b/>
                <w:i/>
                <w:spacing w:val="-3"/>
              </w:rPr>
              <w:t xml:space="preserve"> </w:t>
            </w:r>
            <w:r w:rsidRPr="00456F0A">
              <w:rPr>
                <w:rFonts w:ascii="Arial" w:hAnsi="Arial" w:cs="Arial"/>
                <w:b/>
                <w:i/>
              </w:rPr>
              <w:t>HERE</w:t>
            </w:r>
            <w:r w:rsidRPr="00456F0A">
              <w:rPr>
                <w:rFonts w:ascii="Arial" w:hAnsi="Arial" w:cs="Arial"/>
                <w:b/>
                <w:i/>
                <w:spacing w:val="-2"/>
              </w:rPr>
              <w:t xml:space="preserve"> </w:t>
            </w:r>
            <w:r w:rsidRPr="00456F0A">
              <w:rPr>
                <w:rFonts w:ascii="Arial" w:hAnsi="Arial" w:cs="Arial"/>
                <w:b/>
                <w:i/>
              </w:rPr>
              <w:t>TO</w:t>
            </w:r>
            <w:r w:rsidRPr="00456F0A">
              <w:rPr>
                <w:rFonts w:ascii="Arial" w:hAnsi="Arial" w:cs="Arial"/>
                <w:b/>
                <w:i/>
                <w:spacing w:val="-3"/>
              </w:rPr>
              <w:t xml:space="preserve"> </w:t>
            </w:r>
            <w:r w:rsidRPr="00456F0A">
              <w:rPr>
                <w:rFonts w:ascii="Arial" w:hAnsi="Arial" w:cs="Arial"/>
                <w:b/>
                <w:i/>
              </w:rPr>
              <w:t>BE</w:t>
            </w:r>
            <w:r w:rsidRPr="00456F0A">
              <w:rPr>
                <w:rFonts w:ascii="Arial" w:hAnsi="Arial" w:cs="Arial"/>
                <w:b/>
                <w:i/>
                <w:spacing w:val="-1"/>
              </w:rPr>
              <w:t xml:space="preserve"> </w:t>
            </w:r>
            <w:r w:rsidRPr="00456F0A">
              <w:rPr>
                <w:rFonts w:ascii="Arial" w:hAnsi="Arial" w:cs="Arial"/>
                <w:b/>
                <w:i/>
              </w:rPr>
              <w:t>COMPLETED</w:t>
            </w:r>
            <w:r w:rsidRPr="00456F0A">
              <w:rPr>
                <w:rFonts w:ascii="Arial" w:hAnsi="Arial" w:cs="Arial"/>
                <w:b/>
                <w:i/>
                <w:spacing w:val="-3"/>
              </w:rPr>
              <w:t xml:space="preserve"> </w:t>
            </w:r>
            <w:r w:rsidRPr="00456F0A">
              <w:rPr>
                <w:rFonts w:ascii="Arial" w:hAnsi="Arial" w:cs="Arial"/>
                <w:b/>
                <w:i/>
              </w:rPr>
              <w:t>BY</w:t>
            </w:r>
            <w:r w:rsidRPr="00456F0A">
              <w:rPr>
                <w:rFonts w:ascii="Arial" w:hAnsi="Arial" w:cs="Arial"/>
                <w:b/>
                <w:i/>
                <w:spacing w:val="-1"/>
              </w:rPr>
              <w:t xml:space="preserve"> </w:t>
            </w:r>
            <w:r w:rsidRPr="00456F0A">
              <w:rPr>
                <w:rFonts w:ascii="Arial" w:hAnsi="Arial" w:cs="Arial"/>
                <w:b/>
                <w:i/>
              </w:rPr>
              <w:t>THE</w:t>
            </w:r>
            <w:r w:rsidRPr="00456F0A">
              <w:rPr>
                <w:rFonts w:ascii="Arial" w:hAnsi="Arial" w:cs="Arial"/>
                <w:b/>
                <w:i/>
                <w:spacing w:val="-2"/>
              </w:rPr>
              <w:t xml:space="preserve"> </w:t>
            </w:r>
            <w:r w:rsidRPr="00456F0A">
              <w:rPr>
                <w:rFonts w:ascii="Arial" w:hAnsi="Arial" w:cs="Arial"/>
                <w:b/>
                <w:i/>
              </w:rPr>
              <w:t>EXAMINER</w:t>
            </w:r>
          </w:p>
        </w:tc>
      </w:tr>
      <w:tr w:rsidR="009163BF" w:rsidRPr="00276D5E" w14:paraId="6091814D" w14:textId="77777777" w:rsidTr="005E15BF">
        <w:trPr>
          <w:trHeight w:val="239"/>
        </w:trPr>
        <w:tc>
          <w:tcPr>
            <w:tcW w:w="355" w:type="dxa"/>
            <w:shd w:val="clear" w:color="auto" w:fill="F2F2F2" w:themeFill="background1" w:themeFillShade="F2"/>
          </w:tcPr>
          <w:p w14:paraId="558A4967" w14:textId="77777777" w:rsidR="009163BF" w:rsidRPr="00276D5E" w:rsidRDefault="009163BF" w:rsidP="00456F0A">
            <w:pPr>
              <w:pStyle w:val="TableParagraph"/>
              <w:spacing w:line="220" w:lineRule="exact"/>
              <w:ind w:left="107"/>
              <w:rPr>
                <w:rFonts w:ascii="Arial" w:hAnsi="Arial" w:cs="Arial"/>
                <w:b/>
              </w:rPr>
            </w:pPr>
            <w:r w:rsidRPr="00276D5E">
              <w:rPr>
                <w:rFonts w:ascii="Arial" w:hAnsi="Arial" w:cs="Arial"/>
                <w:b/>
                <w:w w:val="99"/>
              </w:rPr>
              <w:t>3</w:t>
            </w:r>
          </w:p>
        </w:tc>
        <w:tc>
          <w:tcPr>
            <w:tcW w:w="8659" w:type="dxa"/>
            <w:gridSpan w:val="10"/>
            <w:shd w:val="clear" w:color="auto" w:fill="F2F2F2" w:themeFill="background1" w:themeFillShade="F2"/>
          </w:tcPr>
          <w:p w14:paraId="352ED441" w14:textId="77777777" w:rsidR="009163BF" w:rsidRPr="00276D5E" w:rsidRDefault="009163BF" w:rsidP="00456F0A">
            <w:pPr>
              <w:pStyle w:val="TableParagraph"/>
              <w:spacing w:line="220" w:lineRule="exact"/>
              <w:ind w:left="108"/>
              <w:rPr>
                <w:rFonts w:ascii="Arial" w:hAnsi="Arial" w:cs="Arial"/>
                <w:b/>
              </w:rPr>
            </w:pPr>
            <w:r w:rsidRPr="00276D5E">
              <w:rPr>
                <w:rFonts w:ascii="Arial" w:hAnsi="Arial" w:cs="Arial"/>
                <w:b/>
              </w:rPr>
              <w:t>Details</w:t>
            </w:r>
            <w:r w:rsidRPr="00276D5E">
              <w:rPr>
                <w:rFonts w:ascii="Arial" w:hAnsi="Arial" w:cs="Arial"/>
                <w:b/>
                <w:spacing w:val="-4"/>
              </w:rPr>
              <w:t xml:space="preserve"> </w:t>
            </w:r>
            <w:r w:rsidRPr="00276D5E">
              <w:rPr>
                <w:rFonts w:ascii="Arial" w:hAnsi="Arial" w:cs="Arial"/>
                <w:b/>
              </w:rPr>
              <w:t>of</w:t>
            </w:r>
            <w:r w:rsidRPr="00276D5E">
              <w:rPr>
                <w:rFonts w:ascii="Arial" w:hAnsi="Arial" w:cs="Arial"/>
                <w:b/>
                <w:spacing w:val="-4"/>
              </w:rPr>
              <w:t xml:space="preserve"> </w:t>
            </w:r>
            <w:r w:rsidRPr="00276D5E">
              <w:rPr>
                <w:rFonts w:ascii="Arial" w:hAnsi="Arial" w:cs="Arial"/>
                <w:b/>
              </w:rPr>
              <w:t>the</w:t>
            </w:r>
            <w:r w:rsidRPr="00276D5E">
              <w:rPr>
                <w:rFonts w:ascii="Arial" w:hAnsi="Arial" w:cs="Arial"/>
                <w:b/>
                <w:spacing w:val="-3"/>
              </w:rPr>
              <w:t xml:space="preserve"> </w:t>
            </w:r>
            <w:r w:rsidRPr="00276D5E">
              <w:rPr>
                <w:rFonts w:ascii="Arial" w:hAnsi="Arial" w:cs="Arial"/>
                <w:b/>
              </w:rPr>
              <w:t>skill</w:t>
            </w:r>
            <w:r w:rsidRPr="00276D5E">
              <w:rPr>
                <w:rFonts w:ascii="Arial" w:hAnsi="Arial" w:cs="Arial"/>
                <w:b/>
                <w:spacing w:val="-5"/>
              </w:rPr>
              <w:t xml:space="preserve"> </w:t>
            </w:r>
            <w:r w:rsidRPr="00276D5E">
              <w:rPr>
                <w:rFonts w:ascii="Arial" w:hAnsi="Arial" w:cs="Arial"/>
                <w:b/>
              </w:rPr>
              <w:t>test/proficiency</w:t>
            </w:r>
            <w:r w:rsidRPr="00276D5E">
              <w:rPr>
                <w:rFonts w:ascii="Arial" w:hAnsi="Arial" w:cs="Arial"/>
                <w:b/>
                <w:spacing w:val="-4"/>
              </w:rPr>
              <w:t xml:space="preserve"> </w:t>
            </w:r>
            <w:r w:rsidRPr="00276D5E">
              <w:rPr>
                <w:rFonts w:ascii="Arial" w:hAnsi="Arial" w:cs="Arial"/>
                <w:b/>
              </w:rPr>
              <w:t>check</w:t>
            </w:r>
            <w:r w:rsidRPr="00276D5E">
              <w:rPr>
                <w:rFonts w:ascii="Arial" w:hAnsi="Arial" w:cs="Arial"/>
                <w:b/>
                <w:spacing w:val="-3"/>
              </w:rPr>
              <w:t xml:space="preserve"> </w:t>
            </w:r>
            <w:r w:rsidRPr="00276D5E">
              <w:rPr>
                <w:rFonts w:ascii="Arial" w:hAnsi="Arial" w:cs="Arial"/>
                <w:b/>
              </w:rPr>
              <w:t>flight</w:t>
            </w:r>
          </w:p>
        </w:tc>
      </w:tr>
      <w:tr w:rsidR="009163BF" w:rsidRPr="00276D5E" w14:paraId="0BFA48A0" w14:textId="77777777" w:rsidTr="00AC6D92">
        <w:trPr>
          <w:trHeight w:val="489"/>
        </w:trPr>
        <w:tc>
          <w:tcPr>
            <w:tcW w:w="3004" w:type="dxa"/>
            <w:gridSpan w:val="5"/>
          </w:tcPr>
          <w:p w14:paraId="491A4FF2" w14:textId="77777777" w:rsidR="009163BF" w:rsidRPr="00276D5E" w:rsidRDefault="009163BF" w:rsidP="00456F0A">
            <w:pPr>
              <w:pStyle w:val="TableParagraph"/>
              <w:spacing w:line="243" w:lineRule="exact"/>
              <w:ind w:left="107"/>
              <w:rPr>
                <w:rFonts w:ascii="Arial" w:hAnsi="Arial" w:cs="Arial"/>
              </w:rPr>
            </w:pPr>
            <w:r w:rsidRPr="00276D5E">
              <w:rPr>
                <w:rFonts w:ascii="Arial" w:hAnsi="Arial" w:cs="Arial"/>
              </w:rPr>
              <w:t>Date:</w:t>
            </w:r>
          </w:p>
        </w:tc>
        <w:tc>
          <w:tcPr>
            <w:tcW w:w="3003" w:type="dxa"/>
            <w:gridSpan w:val="3"/>
          </w:tcPr>
          <w:p w14:paraId="1179E31D" w14:textId="77777777" w:rsidR="009163BF" w:rsidRPr="00276D5E" w:rsidRDefault="009163BF" w:rsidP="00456F0A">
            <w:pPr>
              <w:pStyle w:val="TableParagraph"/>
              <w:spacing w:line="243" w:lineRule="exact"/>
              <w:ind w:left="109"/>
              <w:rPr>
                <w:rFonts w:ascii="Arial" w:hAnsi="Arial" w:cs="Arial"/>
              </w:rPr>
            </w:pPr>
            <w:r w:rsidRPr="00276D5E">
              <w:rPr>
                <w:rFonts w:ascii="Arial" w:hAnsi="Arial" w:cs="Arial"/>
              </w:rPr>
              <w:t>Class/group</w:t>
            </w:r>
            <w:r w:rsidRPr="00276D5E">
              <w:rPr>
                <w:rFonts w:ascii="Arial" w:hAnsi="Arial" w:cs="Arial"/>
                <w:spacing w:val="-3"/>
              </w:rPr>
              <w:t xml:space="preserve"> </w:t>
            </w:r>
            <w:r w:rsidRPr="00276D5E">
              <w:rPr>
                <w:rFonts w:ascii="Arial" w:hAnsi="Arial" w:cs="Arial"/>
              </w:rPr>
              <w:t>of</w:t>
            </w:r>
            <w:r w:rsidRPr="00276D5E">
              <w:rPr>
                <w:rFonts w:ascii="Arial" w:hAnsi="Arial" w:cs="Arial"/>
                <w:spacing w:val="-4"/>
              </w:rPr>
              <w:t xml:space="preserve"> </w:t>
            </w:r>
            <w:r w:rsidRPr="00276D5E">
              <w:rPr>
                <w:rFonts w:ascii="Arial" w:hAnsi="Arial" w:cs="Arial"/>
              </w:rPr>
              <w:t>balloon:</w:t>
            </w:r>
          </w:p>
        </w:tc>
        <w:tc>
          <w:tcPr>
            <w:tcW w:w="3007" w:type="dxa"/>
            <w:gridSpan w:val="3"/>
          </w:tcPr>
          <w:p w14:paraId="0C0A8E1B" w14:textId="77777777" w:rsidR="009163BF" w:rsidRPr="00276D5E" w:rsidRDefault="009163BF" w:rsidP="00456F0A">
            <w:pPr>
              <w:pStyle w:val="TableParagraph"/>
              <w:spacing w:line="243" w:lineRule="exact"/>
              <w:ind w:left="111"/>
              <w:rPr>
                <w:rFonts w:ascii="Arial" w:hAnsi="Arial" w:cs="Arial"/>
              </w:rPr>
            </w:pPr>
            <w:r w:rsidRPr="00276D5E">
              <w:rPr>
                <w:rFonts w:ascii="Arial" w:hAnsi="Arial" w:cs="Arial"/>
              </w:rPr>
              <w:t>Registration:</w:t>
            </w:r>
          </w:p>
        </w:tc>
      </w:tr>
      <w:tr w:rsidR="009163BF" w:rsidRPr="00276D5E" w14:paraId="7FDA5A65" w14:textId="77777777" w:rsidTr="00AC6D92">
        <w:trPr>
          <w:trHeight w:val="338"/>
        </w:trPr>
        <w:tc>
          <w:tcPr>
            <w:tcW w:w="2253" w:type="dxa"/>
            <w:gridSpan w:val="3"/>
          </w:tcPr>
          <w:p w14:paraId="1BC0D90D" w14:textId="77777777" w:rsidR="009163BF" w:rsidRPr="00276D5E" w:rsidRDefault="009163BF" w:rsidP="00456F0A">
            <w:pPr>
              <w:pStyle w:val="TableParagraph"/>
              <w:spacing w:before="44"/>
              <w:ind w:left="107"/>
              <w:rPr>
                <w:rFonts w:ascii="Arial" w:hAnsi="Arial" w:cs="Arial"/>
              </w:rPr>
            </w:pPr>
            <w:r w:rsidRPr="00276D5E">
              <w:rPr>
                <w:rFonts w:ascii="Arial" w:hAnsi="Arial" w:cs="Arial"/>
              </w:rPr>
              <w:t>Take-off</w:t>
            </w:r>
            <w:r w:rsidRPr="00276D5E">
              <w:rPr>
                <w:rFonts w:ascii="Arial" w:hAnsi="Arial" w:cs="Arial"/>
                <w:spacing w:val="-3"/>
              </w:rPr>
              <w:t xml:space="preserve"> </w:t>
            </w:r>
            <w:r w:rsidRPr="00276D5E">
              <w:rPr>
                <w:rFonts w:ascii="Arial" w:hAnsi="Arial" w:cs="Arial"/>
              </w:rPr>
              <w:t>site:</w:t>
            </w:r>
          </w:p>
        </w:tc>
        <w:tc>
          <w:tcPr>
            <w:tcW w:w="2252" w:type="dxa"/>
            <w:gridSpan w:val="4"/>
          </w:tcPr>
          <w:p w14:paraId="505380AB" w14:textId="77777777" w:rsidR="009163BF" w:rsidRPr="00276D5E" w:rsidRDefault="009163BF" w:rsidP="00456F0A">
            <w:pPr>
              <w:pStyle w:val="TableParagraph"/>
              <w:spacing w:before="44"/>
              <w:ind w:left="108"/>
              <w:rPr>
                <w:rFonts w:ascii="Arial" w:hAnsi="Arial" w:cs="Arial"/>
              </w:rPr>
            </w:pPr>
            <w:r w:rsidRPr="00276D5E">
              <w:rPr>
                <w:rFonts w:ascii="Arial" w:hAnsi="Arial" w:cs="Arial"/>
              </w:rPr>
              <w:t>Take-off</w:t>
            </w:r>
            <w:r w:rsidRPr="00276D5E">
              <w:rPr>
                <w:rFonts w:ascii="Arial" w:hAnsi="Arial" w:cs="Arial"/>
                <w:spacing w:val="-5"/>
              </w:rPr>
              <w:t xml:space="preserve"> </w:t>
            </w:r>
            <w:r w:rsidRPr="00276D5E">
              <w:rPr>
                <w:rFonts w:ascii="Arial" w:hAnsi="Arial" w:cs="Arial"/>
              </w:rPr>
              <w:t>time:</w:t>
            </w:r>
          </w:p>
        </w:tc>
        <w:tc>
          <w:tcPr>
            <w:tcW w:w="2255" w:type="dxa"/>
            <w:gridSpan w:val="2"/>
          </w:tcPr>
          <w:p w14:paraId="2E7BFBC3" w14:textId="77777777" w:rsidR="009163BF" w:rsidRPr="00276D5E" w:rsidRDefault="009163BF" w:rsidP="00456F0A">
            <w:pPr>
              <w:pStyle w:val="TableParagraph"/>
              <w:spacing w:before="44"/>
              <w:ind w:left="110"/>
              <w:rPr>
                <w:rFonts w:ascii="Arial" w:hAnsi="Arial" w:cs="Arial"/>
              </w:rPr>
            </w:pPr>
            <w:r w:rsidRPr="00276D5E">
              <w:rPr>
                <w:rFonts w:ascii="Arial" w:hAnsi="Arial" w:cs="Arial"/>
              </w:rPr>
              <w:t>Landing</w:t>
            </w:r>
            <w:r w:rsidRPr="00276D5E">
              <w:rPr>
                <w:rFonts w:ascii="Arial" w:hAnsi="Arial" w:cs="Arial"/>
                <w:spacing w:val="-4"/>
              </w:rPr>
              <w:t xml:space="preserve"> </w:t>
            </w:r>
            <w:r w:rsidRPr="00276D5E">
              <w:rPr>
                <w:rFonts w:ascii="Arial" w:hAnsi="Arial" w:cs="Arial"/>
              </w:rPr>
              <w:t>time:</w:t>
            </w:r>
          </w:p>
        </w:tc>
        <w:tc>
          <w:tcPr>
            <w:tcW w:w="2254" w:type="dxa"/>
            <w:gridSpan w:val="2"/>
          </w:tcPr>
          <w:p w14:paraId="657620EF" w14:textId="77777777" w:rsidR="009163BF" w:rsidRPr="00276D5E" w:rsidRDefault="009163BF" w:rsidP="00456F0A">
            <w:pPr>
              <w:pStyle w:val="TableParagraph"/>
              <w:spacing w:before="44"/>
              <w:ind w:left="111"/>
              <w:rPr>
                <w:rFonts w:ascii="Arial" w:hAnsi="Arial" w:cs="Arial"/>
              </w:rPr>
            </w:pPr>
            <w:r w:rsidRPr="00276D5E">
              <w:rPr>
                <w:rFonts w:ascii="Arial" w:hAnsi="Arial" w:cs="Arial"/>
              </w:rPr>
              <w:t>Flight</w:t>
            </w:r>
            <w:r w:rsidRPr="00276D5E">
              <w:rPr>
                <w:rFonts w:ascii="Arial" w:hAnsi="Arial" w:cs="Arial"/>
                <w:spacing w:val="-3"/>
              </w:rPr>
              <w:t xml:space="preserve"> </w:t>
            </w:r>
            <w:r w:rsidRPr="00276D5E">
              <w:rPr>
                <w:rFonts w:ascii="Arial" w:hAnsi="Arial" w:cs="Arial"/>
              </w:rPr>
              <w:t>time:</w:t>
            </w:r>
          </w:p>
        </w:tc>
      </w:tr>
      <w:tr w:rsidR="009163BF" w:rsidRPr="00276D5E" w14:paraId="44FD38A1" w14:textId="77777777" w:rsidTr="00AC6D92">
        <w:trPr>
          <w:trHeight w:val="294"/>
        </w:trPr>
        <w:tc>
          <w:tcPr>
            <w:tcW w:w="2253" w:type="dxa"/>
            <w:gridSpan w:val="3"/>
          </w:tcPr>
          <w:p w14:paraId="76CAD245" w14:textId="77777777" w:rsidR="009163BF" w:rsidRPr="00276D5E" w:rsidRDefault="009163BF" w:rsidP="00456F0A">
            <w:pPr>
              <w:pStyle w:val="TableParagraph"/>
              <w:ind w:left="0"/>
              <w:rPr>
                <w:rFonts w:ascii="Arial" w:hAnsi="Arial" w:cs="Arial"/>
              </w:rPr>
            </w:pPr>
          </w:p>
        </w:tc>
        <w:tc>
          <w:tcPr>
            <w:tcW w:w="2252" w:type="dxa"/>
            <w:gridSpan w:val="4"/>
          </w:tcPr>
          <w:p w14:paraId="5DF18B63" w14:textId="77777777" w:rsidR="009163BF" w:rsidRPr="00276D5E" w:rsidRDefault="009163BF" w:rsidP="00456F0A">
            <w:pPr>
              <w:pStyle w:val="TableParagraph"/>
              <w:ind w:left="0"/>
              <w:rPr>
                <w:rFonts w:ascii="Arial" w:hAnsi="Arial" w:cs="Arial"/>
              </w:rPr>
            </w:pPr>
          </w:p>
        </w:tc>
        <w:tc>
          <w:tcPr>
            <w:tcW w:w="2255" w:type="dxa"/>
            <w:gridSpan w:val="2"/>
          </w:tcPr>
          <w:p w14:paraId="167D4B94" w14:textId="77777777" w:rsidR="009163BF" w:rsidRPr="00276D5E" w:rsidRDefault="009163BF" w:rsidP="00456F0A">
            <w:pPr>
              <w:pStyle w:val="TableParagraph"/>
              <w:ind w:left="0"/>
              <w:rPr>
                <w:rFonts w:ascii="Arial" w:hAnsi="Arial" w:cs="Arial"/>
              </w:rPr>
            </w:pPr>
          </w:p>
        </w:tc>
        <w:tc>
          <w:tcPr>
            <w:tcW w:w="2254" w:type="dxa"/>
            <w:gridSpan w:val="2"/>
          </w:tcPr>
          <w:p w14:paraId="5FC934D8" w14:textId="77777777" w:rsidR="009163BF" w:rsidRPr="00276D5E" w:rsidRDefault="009163BF" w:rsidP="00456F0A">
            <w:pPr>
              <w:pStyle w:val="TableParagraph"/>
              <w:ind w:left="0"/>
              <w:rPr>
                <w:rFonts w:ascii="Arial" w:hAnsi="Arial" w:cs="Arial"/>
              </w:rPr>
            </w:pPr>
          </w:p>
        </w:tc>
      </w:tr>
      <w:tr w:rsidR="009163BF" w:rsidRPr="00276D5E" w14:paraId="5029F8C6" w14:textId="77777777" w:rsidTr="00AC6D92">
        <w:trPr>
          <w:trHeight w:val="292"/>
        </w:trPr>
        <w:tc>
          <w:tcPr>
            <w:tcW w:w="2253" w:type="dxa"/>
            <w:gridSpan w:val="3"/>
          </w:tcPr>
          <w:p w14:paraId="4172637C" w14:textId="77777777" w:rsidR="009163BF" w:rsidRPr="00276D5E" w:rsidRDefault="009163BF" w:rsidP="00456F0A">
            <w:pPr>
              <w:pStyle w:val="TableParagraph"/>
              <w:ind w:left="0"/>
              <w:rPr>
                <w:rFonts w:ascii="Arial" w:hAnsi="Arial" w:cs="Arial"/>
              </w:rPr>
            </w:pPr>
          </w:p>
        </w:tc>
        <w:tc>
          <w:tcPr>
            <w:tcW w:w="2252" w:type="dxa"/>
            <w:gridSpan w:val="4"/>
          </w:tcPr>
          <w:p w14:paraId="5C5F7492" w14:textId="77777777" w:rsidR="009163BF" w:rsidRPr="00276D5E" w:rsidRDefault="009163BF" w:rsidP="00456F0A">
            <w:pPr>
              <w:pStyle w:val="TableParagraph"/>
              <w:ind w:left="0"/>
              <w:rPr>
                <w:rFonts w:ascii="Arial" w:hAnsi="Arial" w:cs="Arial"/>
              </w:rPr>
            </w:pPr>
          </w:p>
        </w:tc>
        <w:tc>
          <w:tcPr>
            <w:tcW w:w="2255" w:type="dxa"/>
            <w:gridSpan w:val="2"/>
          </w:tcPr>
          <w:p w14:paraId="5507EDCA" w14:textId="77777777" w:rsidR="009163BF" w:rsidRPr="00276D5E" w:rsidRDefault="009163BF" w:rsidP="00456F0A">
            <w:pPr>
              <w:pStyle w:val="TableParagraph"/>
              <w:ind w:left="0"/>
              <w:rPr>
                <w:rFonts w:ascii="Arial" w:hAnsi="Arial" w:cs="Arial"/>
              </w:rPr>
            </w:pPr>
          </w:p>
        </w:tc>
        <w:tc>
          <w:tcPr>
            <w:tcW w:w="2254" w:type="dxa"/>
            <w:gridSpan w:val="2"/>
          </w:tcPr>
          <w:p w14:paraId="2C3A35AD" w14:textId="77777777" w:rsidR="009163BF" w:rsidRPr="00276D5E" w:rsidRDefault="009163BF" w:rsidP="00456F0A">
            <w:pPr>
              <w:pStyle w:val="TableParagraph"/>
              <w:ind w:left="0"/>
              <w:rPr>
                <w:rFonts w:ascii="Arial" w:hAnsi="Arial" w:cs="Arial"/>
              </w:rPr>
            </w:pPr>
          </w:p>
        </w:tc>
      </w:tr>
      <w:tr w:rsidR="009163BF" w:rsidRPr="00276D5E" w14:paraId="70992457" w14:textId="77777777" w:rsidTr="00AC6D92">
        <w:trPr>
          <w:trHeight w:val="294"/>
        </w:trPr>
        <w:tc>
          <w:tcPr>
            <w:tcW w:w="2253" w:type="dxa"/>
            <w:gridSpan w:val="3"/>
          </w:tcPr>
          <w:p w14:paraId="7539B658" w14:textId="77777777" w:rsidR="009163BF" w:rsidRPr="00276D5E" w:rsidRDefault="009163BF" w:rsidP="00456F0A">
            <w:pPr>
              <w:pStyle w:val="TableParagraph"/>
              <w:ind w:left="0"/>
              <w:rPr>
                <w:rFonts w:ascii="Arial" w:hAnsi="Arial" w:cs="Arial"/>
              </w:rPr>
            </w:pPr>
          </w:p>
        </w:tc>
        <w:tc>
          <w:tcPr>
            <w:tcW w:w="2252" w:type="dxa"/>
            <w:gridSpan w:val="4"/>
          </w:tcPr>
          <w:p w14:paraId="421535D2" w14:textId="77777777" w:rsidR="009163BF" w:rsidRPr="00276D5E" w:rsidRDefault="009163BF" w:rsidP="00456F0A">
            <w:pPr>
              <w:pStyle w:val="TableParagraph"/>
              <w:ind w:left="0"/>
              <w:rPr>
                <w:rFonts w:ascii="Arial" w:hAnsi="Arial" w:cs="Arial"/>
              </w:rPr>
            </w:pPr>
          </w:p>
        </w:tc>
        <w:tc>
          <w:tcPr>
            <w:tcW w:w="2255" w:type="dxa"/>
            <w:gridSpan w:val="2"/>
          </w:tcPr>
          <w:p w14:paraId="42BE89D6" w14:textId="77777777" w:rsidR="009163BF" w:rsidRPr="00276D5E" w:rsidRDefault="009163BF" w:rsidP="00456F0A">
            <w:pPr>
              <w:pStyle w:val="TableParagraph"/>
              <w:ind w:left="0"/>
              <w:rPr>
                <w:rFonts w:ascii="Arial" w:hAnsi="Arial" w:cs="Arial"/>
              </w:rPr>
            </w:pPr>
          </w:p>
        </w:tc>
        <w:tc>
          <w:tcPr>
            <w:tcW w:w="2254" w:type="dxa"/>
            <w:gridSpan w:val="2"/>
          </w:tcPr>
          <w:p w14:paraId="22BABAB3" w14:textId="77777777" w:rsidR="009163BF" w:rsidRPr="00276D5E" w:rsidRDefault="009163BF" w:rsidP="00456F0A">
            <w:pPr>
              <w:pStyle w:val="TableParagraph"/>
              <w:ind w:left="0"/>
              <w:rPr>
                <w:rFonts w:ascii="Arial" w:hAnsi="Arial" w:cs="Arial"/>
              </w:rPr>
            </w:pPr>
          </w:p>
        </w:tc>
      </w:tr>
      <w:tr w:rsidR="009163BF" w:rsidRPr="00276D5E" w14:paraId="20E1ABBA" w14:textId="77777777" w:rsidTr="00AC6D92">
        <w:trPr>
          <w:trHeight w:val="294"/>
        </w:trPr>
        <w:tc>
          <w:tcPr>
            <w:tcW w:w="2253" w:type="dxa"/>
            <w:gridSpan w:val="3"/>
          </w:tcPr>
          <w:p w14:paraId="3E140A1A" w14:textId="77777777" w:rsidR="009163BF" w:rsidRPr="00276D5E" w:rsidRDefault="009163BF" w:rsidP="00456F0A">
            <w:pPr>
              <w:pStyle w:val="TableParagraph"/>
              <w:ind w:left="0"/>
              <w:rPr>
                <w:rFonts w:ascii="Arial" w:hAnsi="Arial" w:cs="Arial"/>
              </w:rPr>
            </w:pPr>
          </w:p>
        </w:tc>
        <w:tc>
          <w:tcPr>
            <w:tcW w:w="2252" w:type="dxa"/>
            <w:gridSpan w:val="4"/>
          </w:tcPr>
          <w:p w14:paraId="21D461E3" w14:textId="77777777" w:rsidR="009163BF" w:rsidRPr="00276D5E" w:rsidRDefault="009163BF" w:rsidP="00456F0A">
            <w:pPr>
              <w:pStyle w:val="TableParagraph"/>
              <w:ind w:left="0"/>
              <w:rPr>
                <w:rFonts w:ascii="Arial" w:hAnsi="Arial" w:cs="Arial"/>
              </w:rPr>
            </w:pPr>
          </w:p>
        </w:tc>
        <w:tc>
          <w:tcPr>
            <w:tcW w:w="2255" w:type="dxa"/>
            <w:gridSpan w:val="2"/>
          </w:tcPr>
          <w:p w14:paraId="6BBBFE28" w14:textId="77777777" w:rsidR="009163BF" w:rsidRPr="00276D5E" w:rsidRDefault="009163BF" w:rsidP="00456F0A">
            <w:pPr>
              <w:pStyle w:val="TableParagraph"/>
              <w:ind w:left="0"/>
              <w:rPr>
                <w:rFonts w:ascii="Arial" w:hAnsi="Arial" w:cs="Arial"/>
              </w:rPr>
            </w:pPr>
          </w:p>
        </w:tc>
        <w:tc>
          <w:tcPr>
            <w:tcW w:w="2254" w:type="dxa"/>
            <w:gridSpan w:val="2"/>
          </w:tcPr>
          <w:p w14:paraId="26122351" w14:textId="77777777" w:rsidR="009163BF" w:rsidRPr="00276D5E" w:rsidRDefault="009163BF" w:rsidP="00456F0A">
            <w:pPr>
              <w:pStyle w:val="TableParagraph"/>
              <w:ind w:left="0"/>
              <w:rPr>
                <w:rFonts w:ascii="Arial" w:hAnsi="Arial" w:cs="Arial"/>
              </w:rPr>
            </w:pPr>
          </w:p>
        </w:tc>
      </w:tr>
      <w:tr w:rsidR="009163BF" w:rsidRPr="00276D5E" w14:paraId="1B7B29D1" w14:textId="77777777" w:rsidTr="00AC6D92">
        <w:trPr>
          <w:trHeight w:val="294"/>
        </w:trPr>
        <w:tc>
          <w:tcPr>
            <w:tcW w:w="6760" w:type="dxa"/>
            <w:gridSpan w:val="9"/>
          </w:tcPr>
          <w:p w14:paraId="0C85B51F" w14:textId="77777777" w:rsidR="009163BF" w:rsidRPr="00276D5E" w:rsidRDefault="009163BF" w:rsidP="00456F0A">
            <w:pPr>
              <w:pStyle w:val="TableParagraph"/>
              <w:spacing w:before="25"/>
              <w:ind w:left="0" w:right="94"/>
              <w:jc w:val="right"/>
              <w:rPr>
                <w:rFonts w:ascii="Arial" w:hAnsi="Arial" w:cs="Arial"/>
              </w:rPr>
            </w:pPr>
            <w:r w:rsidRPr="00276D5E">
              <w:rPr>
                <w:rFonts w:ascii="Arial" w:hAnsi="Arial" w:cs="Arial"/>
              </w:rPr>
              <w:t>Total</w:t>
            </w:r>
            <w:r w:rsidRPr="00276D5E">
              <w:rPr>
                <w:rFonts w:ascii="Arial" w:hAnsi="Arial" w:cs="Arial"/>
                <w:spacing w:val="-3"/>
              </w:rPr>
              <w:t xml:space="preserve"> </w:t>
            </w:r>
            <w:r w:rsidRPr="00276D5E">
              <w:rPr>
                <w:rFonts w:ascii="Arial" w:hAnsi="Arial" w:cs="Arial"/>
              </w:rPr>
              <w:t>flight</w:t>
            </w:r>
            <w:r w:rsidRPr="00276D5E">
              <w:rPr>
                <w:rFonts w:ascii="Arial" w:hAnsi="Arial" w:cs="Arial"/>
                <w:spacing w:val="-3"/>
              </w:rPr>
              <w:t xml:space="preserve"> </w:t>
            </w:r>
            <w:r w:rsidRPr="00276D5E">
              <w:rPr>
                <w:rFonts w:ascii="Arial" w:hAnsi="Arial" w:cs="Arial"/>
              </w:rPr>
              <w:t>time:</w:t>
            </w:r>
          </w:p>
        </w:tc>
        <w:tc>
          <w:tcPr>
            <w:tcW w:w="2254" w:type="dxa"/>
            <w:gridSpan w:val="2"/>
          </w:tcPr>
          <w:p w14:paraId="008222BC" w14:textId="77777777" w:rsidR="009163BF" w:rsidRPr="00276D5E" w:rsidRDefault="009163BF" w:rsidP="00456F0A">
            <w:pPr>
              <w:pStyle w:val="TableParagraph"/>
              <w:ind w:left="0"/>
              <w:rPr>
                <w:rFonts w:ascii="Arial" w:hAnsi="Arial" w:cs="Arial"/>
              </w:rPr>
            </w:pPr>
          </w:p>
        </w:tc>
      </w:tr>
      <w:tr w:rsidR="009163BF" w:rsidRPr="00276D5E" w14:paraId="4E248D63" w14:textId="77777777" w:rsidTr="005E15BF">
        <w:trPr>
          <w:trHeight w:val="244"/>
        </w:trPr>
        <w:tc>
          <w:tcPr>
            <w:tcW w:w="355" w:type="dxa"/>
            <w:shd w:val="clear" w:color="auto" w:fill="F2F2F2" w:themeFill="background1" w:themeFillShade="F2"/>
          </w:tcPr>
          <w:p w14:paraId="5EFFEE26" w14:textId="77777777" w:rsidR="009163BF" w:rsidRPr="00276D5E" w:rsidRDefault="009163BF" w:rsidP="00456F0A">
            <w:pPr>
              <w:pStyle w:val="TableParagraph"/>
              <w:spacing w:before="1" w:line="223" w:lineRule="exact"/>
              <w:ind w:left="107"/>
              <w:rPr>
                <w:rFonts w:ascii="Arial" w:hAnsi="Arial" w:cs="Arial"/>
                <w:b/>
              </w:rPr>
            </w:pPr>
            <w:r w:rsidRPr="00276D5E">
              <w:rPr>
                <w:rFonts w:ascii="Arial" w:hAnsi="Arial" w:cs="Arial"/>
                <w:b/>
                <w:w w:val="99"/>
              </w:rPr>
              <w:t>4</w:t>
            </w:r>
          </w:p>
        </w:tc>
        <w:tc>
          <w:tcPr>
            <w:tcW w:w="8659" w:type="dxa"/>
            <w:gridSpan w:val="10"/>
            <w:shd w:val="clear" w:color="auto" w:fill="F2F2F2" w:themeFill="background1" w:themeFillShade="F2"/>
          </w:tcPr>
          <w:p w14:paraId="1B600821" w14:textId="77777777" w:rsidR="009163BF" w:rsidRPr="00276D5E" w:rsidRDefault="009163BF" w:rsidP="00456F0A">
            <w:pPr>
              <w:pStyle w:val="TableParagraph"/>
              <w:spacing w:before="1" w:line="223" w:lineRule="exact"/>
              <w:ind w:left="108"/>
              <w:rPr>
                <w:rFonts w:ascii="Arial" w:hAnsi="Arial" w:cs="Arial"/>
                <w:b/>
              </w:rPr>
            </w:pPr>
            <w:r w:rsidRPr="00276D5E">
              <w:rPr>
                <w:rFonts w:ascii="Arial" w:hAnsi="Arial" w:cs="Arial"/>
                <w:b/>
              </w:rPr>
              <w:t>Result</w:t>
            </w:r>
            <w:r w:rsidRPr="00276D5E">
              <w:rPr>
                <w:rFonts w:ascii="Arial" w:hAnsi="Arial" w:cs="Arial"/>
                <w:b/>
                <w:spacing w:val="-2"/>
              </w:rPr>
              <w:t xml:space="preserve"> </w:t>
            </w:r>
            <w:r w:rsidRPr="00276D5E">
              <w:rPr>
                <w:rFonts w:ascii="Arial" w:hAnsi="Arial" w:cs="Arial"/>
                <w:b/>
              </w:rPr>
              <w:t>of</w:t>
            </w:r>
            <w:r w:rsidRPr="00276D5E">
              <w:rPr>
                <w:rFonts w:ascii="Arial" w:hAnsi="Arial" w:cs="Arial"/>
                <w:b/>
                <w:spacing w:val="-2"/>
              </w:rPr>
              <w:t xml:space="preserve"> </w:t>
            </w:r>
            <w:r w:rsidRPr="00276D5E">
              <w:rPr>
                <w:rFonts w:ascii="Arial" w:hAnsi="Arial" w:cs="Arial"/>
                <w:b/>
              </w:rPr>
              <w:t>the</w:t>
            </w:r>
            <w:r w:rsidRPr="00276D5E">
              <w:rPr>
                <w:rFonts w:ascii="Arial" w:hAnsi="Arial" w:cs="Arial"/>
                <w:b/>
                <w:spacing w:val="-1"/>
              </w:rPr>
              <w:t xml:space="preserve"> </w:t>
            </w:r>
            <w:r w:rsidRPr="00276D5E">
              <w:rPr>
                <w:rFonts w:ascii="Arial" w:hAnsi="Arial" w:cs="Arial"/>
                <w:b/>
              </w:rPr>
              <w:t>test</w:t>
            </w:r>
            <w:r w:rsidRPr="00276D5E">
              <w:rPr>
                <w:rFonts w:ascii="Arial" w:hAnsi="Arial" w:cs="Arial"/>
                <w:b/>
                <w:spacing w:val="-1"/>
              </w:rPr>
              <w:t xml:space="preserve"> </w:t>
            </w:r>
            <w:r w:rsidRPr="00276D5E">
              <w:rPr>
                <w:rFonts w:ascii="Arial" w:hAnsi="Arial" w:cs="Arial"/>
                <w:b/>
              </w:rPr>
              <w:t>or</w:t>
            </w:r>
            <w:r w:rsidRPr="00276D5E">
              <w:rPr>
                <w:rFonts w:ascii="Arial" w:hAnsi="Arial" w:cs="Arial"/>
                <w:b/>
                <w:spacing w:val="-3"/>
              </w:rPr>
              <w:t xml:space="preserve"> </w:t>
            </w:r>
            <w:r w:rsidRPr="00276D5E">
              <w:rPr>
                <w:rFonts w:ascii="Arial" w:hAnsi="Arial" w:cs="Arial"/>
                <w:b/>
              </w:rPr>
              <w:t>check</w:t>
            </w:r>
          </w:p>
        </w:tc>
      </w:tr>
      <w:tr w:rsidR="009163BF" w:rsidRPr="00276D5E" w14:paraId="1D7B106B" w14:textId="77777777" w:rsidTr="00AC6D92">
        <w:trPr>
          <w:trHeight w:val="489"/>
        </w:trPr>
        <w:tc>
          <w:tcPr>
            <w:tcW w:w="9014" w:type="dxa"/>
            <w:gridSpan w:val="11"/>
          </w:tcPr>
          <w:p w14:paraId="6B510008" w14:textId="77777777" w:rsidR="009163BF" w:rsidRPr="00276D5E" w:rsidRDefault="009163BF" w:rsidP="004B3B61">
            <w:pPr>
              <w:pStyle w:val="TableParagraph"/>
              <w:spacing w:before="1" w:line="243" w:lineRule="exact"/>
              <w:ind w:left="107"/>
              <w:rPr>
                <w:rFonts w:ascii="Arial" w:hAnsi="Arial" w:cs="Arial"/>
              </w:rPr>
            </w:pPr>
            <w:r w:rsidRPr="00276D5E">
              <w:rPr>
                <w:rFonts w:ascii="Arial" w:hAnsi="Arial" w:cs="Arial"/>
              </w:rPr>
              <w:t>Skill</w:t>
            </w:r>
            <w:r w:rsidRPr="00276D5E">
              <w:rPr>
                <w:rFonts w:ascii="Arial" w:hAnsi="Arial" w:cs="Arial"/>
                <w:spacing w:val="-4"/>
              </w:rPr>
              <w:t xml:space="preserve"> </w:t>
            </w:r>
            <w:r w:rsidRPr="00276D5E">
              <w:rPr>
                <w:rFonts w:ascii="Arial" w:hAnsi="Arial" w:cs="Arial"/>
              </w:rPr>
              <w:t>test/proficiency</w:t>
            </w:r>
            <w:r w:rsidRPr="00276D5E">
              <w:rPr>
                <w:rFonts w:ascii="Arial" w:hAnsi="Arial" w:cs="Arial"/>
                <w:spacing w:val="-3"/>
              </w:rPr>
              <w:t xml:space="preserve"> </w:t>
            </w:r>
            <w:r w:rsidRPr="00276D5E">
              <w:rPr>
                <w:rFonts w:ascii="Arial" w:hAnsi="Arial" w:cs="Arial"/>
              </w:rPr>
              <w:t>check</w:t>
            </w:r>
            <w:r w:rsidRPr="00276D5E">
              <w:rPr>
                <w:rFonts w:ascii="Arial" w:hAnsi="Arial" w:cs="Arial"/>
                <w:spacing w:val="-2"/>
              </w:rPr>
              <w:t xml:space="preserve"> </w:t>
            </w:r>
            <w:r w:rsidRPr="00276D5E">
              <w:rPr>
                <w:rFonts w:ascii="Arial" w:hAnsi="Arial" w:cs="Arial"/>
              </w:rPr>
              <w:t>details</w:t>
            </w:r>
            <w:r w:rsidRPr="00276D5E">
              <w:rPr>
                <w:rFonts w:ascii="Arial" w:hAnsi="Arial" w:cs="Arial"/>
                <w:spacing w:val="-5"/>
              </w:rPr>
              <w:t xml:space="preserve"> </w:t>
            </w:r>
            <w:r w:rsidRPr="00276D5E">
              <w:rPr>
                <w:rFonts w:ascii="Arial" w:hAnsi="Arial" w:cs="Arial"/>
              </w:rPr>
              <w:t>(including</w:t>
            </w:r>
            <w:r w:rsidRPr="00276D5E">
              <w:rPr>
                <w:rFonts w:ascii="Arial" w:hAnsi="Arial" w:cs="Arial"/>
                <w:spacing w:val="-3"/>
              </w:rPr>
              <w:t xml:space="preserve"> </w:t>
            </w:r>
            <w:r w:rsidRPr="00276D5E">
              <w:rPr>
                <w:rFonts w:ascii="Arial" w:hAnsi="Arial" w:cs="Arial"/>
              </w:rPr>
              <w:t>information</w:t>
            </w:r>
            <w:r w:rsidRPr="00276D5E">
              <w:rPr>
                <w:rFonts w:ascii="Arial" w:hAnsi="Arial" w:cs="Arial"/>
                <w:spacing w:val="-2"/>
              </w:rPr>
              <w:t xml:space="preserve"> </w:t>
            </w:r>
            <w:r w:rsidRPr="00276D5E">
              <w:rPr>
                <w:rFonts w:ascii="Arial" w:hAnsi="Arial" w:cs="Arial"/>
              </w:rPr>
              <w:t>on</w:t>
            </w:r>
            <w:r w:rsidRPr="00276D5E">
              <w:rPr>
                <w:rFonts w:ascii="Arial" w:hAnsi="Arial" w:cs="Arial"/>
                <w:spacing w:val="-2"/>
              </w:rPr>
              <w:t xml:space="preserve"> </w:t>
            </w:r>
            <w:r w:rsidRPr="00276D5E">
              <w:rPr>
                <w:rFonts w:ascii="Arial" w:hAnsi="Arial" w:cs="Arial"/>
              </w:rPr>
              <w:t>oral</w:t>
            </w:r>
            <w:r w:rsidRPr="00276D5E">
              <w:rPr>
                <w:rFonts w:ascii="Arial" w:hAnsi="Arial" w:cs="Arial"/>
                <w:spacing w:val="-3"/>
              </w:rPr>
              <w:t xml:space="preserve"> </w:t>
            </w:r>
            <w:r w:rsidRPr="00276D5E">
              <w:rPr>
                <w:rFonts w:ascii="Arial" w:hAnsi="Arial" w:cs="Arial"/>
              </w:rPr>
              <w:t>theoretical</w:t>
            </w:r>
            <w:r w:rsidRPr="00276D5E">
              <w:rPr>
                <w:rFonts w:ascii="Arial" w:hAnsi="Arial" w:cs="Arial"/>
                <w:spacing w:val="-3"/>
              </w:rPr>
              <w:t xml:space="preserve"> </w:t>
            </w:r>
            <w:r w:rsidRPr="00276D5E">
              <w:rPr>
                <w:rFonts w:ascii="Arial" w:hAnsi="Arial" w:cs="Arial"/>
              </w:rPr>
              <w:t>knowledge</w:t>
            </w:r>
            <w:r w:rsidRPr="00276D5E">
              <w:rPr>
                <w:rFonts w:ascii="Arial" w:hAnsi="Arial" w:cs="Arial"/>
                <w:spacing w:val="-3"/>
              </w:rPr>
              <w:t xml:space="preserve"> </w:t>
            </w:r>
            <w:r w:rsidRPr="00276D5E">
              <w:rPr>
                <w:rFonts w:ascii="Arial" w:hAnsi="Arial" w:cs="Arial"/>
              </w:rPr>
              <w:t>examination,</w:t>
            </w:r>
            <w:r w:rsidRPr="00276D5E">
              <w:rPr>
                <w:rFonts w:ascii="Arial" w:hAnsi="Arial" w:cs="Arial"/>
                <w:spacing w:val="-3"/>
              </w:rPr>
              <w:t xml:space="preserve"> </w:t>
            </w:r>
            <w:r w:rsidR="004B3B61">
              <w:rPr>
                <w:rFonts w:ascii="Arial" w:hAnsi="Arial" w:cs="Arial"/>
              </w:rPr>
              <w:t xml:space="preserve">where </w:t>
            </w:r>
            <w:r w:rsidRPr="00276D5E">
              <w:rPr>
                <w:rFonts w:ascii="Arial" w:hAnsi="Arial" w:cs="Arial"/>
              </w:rPr>
              <w:t>applicable):</w:t>
            </w:r>
          </w:p>
        </w:tc>
      </w:tr>
      <w:tr w:rsidR="009163BF" w:rsidRPr="00276D5E" w14:paraId="5813C8B6" w14:textId="77777777" w:rsidTr="00AC6D92">
        <w:trPr>
          <w:trHeight w:val="338"/>
        </w:trPr>
        <w:tc>
          <w:tcPr>
            <w:tcW w:w="3004" w:type="dxa"/>
            <w:gridSpan w:val="5"/>
          </w:tcPr>
          <w:p w14:paraId="1531A6B9" w14:textId="77777777" w:rsidR="009163BF" w:rsidRPr="00276D5E" w:rsidRDefault="009163BF" w:rsidP="00456F0A">
            <w:pPr>
              <w:pStyle w:val="TableParagraph"/>
              <w:spacing w:before="47"/>
              <w:ind w:left="107"/>
              <w:rPr>
                <w:rFonts w:ascii="Arial" w:hAnsi="Arial" w:cs="Arial"/>
              </w:rPr>
            </w:pPr>
            <w:r w:rsidRPr="00276D5E">
              <w:rPr>
                <w:rFonts w:ascii="Arial" w:hAnsi="Arial" w:cs="Arial"/>
              </w:rPr>
              <w:t>Passed</w:t>
            </w:r>
            <w:r>
              <w:rPr>
                <w:rFonts w:ascii="Arial" w:hAnsi="Arial" w:cs="Arial"/>
              </w:rPr>
              <w:t xml:space="preserve"> </w:t>
            </w:r>
            <w:r w:rsidRPr="009163BF">
              <w:rPr>
                <w:rFonts w:ascii="Arial" w:hAnsi="Arial" w:cs="Arial"/>
                <w:sz w:val="32"/>
              </w:rPr>
              <w:t>□</w:t>
            </w:r>
          </w:p>
        </w:tc>
        <w:tc>
          <w:tcPr>
            <w:tcW w:w="3003" w:type="dxa"/>
            <w:gridSpan w:val="3"/>
          </w:tcPr>
          <w:p w14:paraId="2CD5D67C" w14:textId="77777777" w:rsidR="009163BF" w:rsidRPr="00276D5E" w:rsidRDefault="009163BF" w:rsidP="00456F0A">
            <w:pPr>
              <w:pStyle w:val="TableParagraph"/>
              <w:spacing w:before="47"/>
              <w:ind w:left="109"/>
              <w:rPr>
                <w:rFonts w:ascii="Arial" w:hAnsi="Arial" w:cs="Arial"/>
              </w:rPr>
            </w:pPr>
            <w:r w:rsidRPr="00276D5E">
              <w:rPr>
                <w:rFonts w:ascii="Arial" w:hAnsi="Arial" w:cs="Arial"/>
              </w:rPr>
              <w:t>Partially</w:t>
            </w:r>
            <w:r w:rsidRPr="00276D5E">
              <w:rPr>
                <w:rFonts w:ascii="Arial" w:hAnsi="Arial" w:cs="Arial"/>
                <w:spacing w:val="-3"/>
              </w:rPr>
              <w:t xml:space="preserve"> </w:t>
            </w:r>
            <w:r w:rsidRPr="00276D5E">
              <w:rPr>
                <w:rFonts w:ascii="Arial" w:hAnsi="Arial" w:cs="Arial"/>
              </w:rPr>
              <w:t>passed</w:t>
            </w:r>
            <w:r>
              <w:rPr>
                <w:rFonts w:ascii="Arial" w:hAnsi="Arial" w:cs="Arial"/>
              </w:rPr>
              <w:t xml:space="preserve"> </w:t>
            </w:r>
            <w:r w:rsidRPr="009163BF">
              <w:rPr>
                <w:rFonts w:ascii="Arial" w:hAnsi="Arial" w:cs="Arial"/>
                <w:sz w:val="32"/>
              </w:rPr>
              <w:t>□</w:t>
            </w:r>
          </w:p>
        </w:tc>
        <w:tc>
          <w:tcPr>
            <w:tcW w:w="3007" w:type="dxa"/>
            <w:gridSpan w:val="3"/>
          </w:tcPr>
          <w:p w14:paraId="22920D45" w14:textId="77777777" w:rsidR="009163BF" w:rsidRPr="00276D5E" w:rsidRDefault="009163BF" w:rsidP="00456F0A">
            <w:pPr>
              <w:pStyle w:val="TableParagraph"/>
              <w:spacing w:before="47"/>
              <w:ind w:left="111"/>
              <w:rPr>
                <w:rFonts w:ascii="Arial" w:hAnsi="Arial" w:cs="Arial"/>
              </w:rPr>
            </w:pPr>
            <w:r w:rsidRPr="00276D5E">
              <w:rPr>
                <w:rFonts w:ascii="Arial" w:hAnsi="Arial" w:cs="Arial"/>
              </w:rPr>
              <w:t>Failed</w:t>
            </w:r>
            <w:r>
              <w:rPr>
                <w:rFonts w:ascii="Arial" w:hAnsi="Arial" w:cs="Arial"/>
              </w:rPr>
              <w:t xml:space="preserve"> </w:t>
            </w:r>
            <w:r w:rsidRPr="009163BF">
              <w:rPr>
                <w:rFonts w:ascii="Arial" w:hAnsi="Arial" w:cs="Arial"/>
                <w:sz w:val="32"/>
              </w:rPr>
              <w:t>□</w:t>
            </w:r>
          </w:p>
        </w:tc>
      </w:tr>
      <w:tr w:rsidR="009163BF" w:rsidRPr="00276D5E" w14:paraId="1277434F" w14:textId="77777777" w:rsidTr="005E15BF">
        <w:trPr>
          <w:trHeight w:val="244"/>
        </w:trPr>
        <w:tc>
          <w:tcPr>
            <w:tcW w:w="355" w:type="dxa"/>
            <w:shd w:val="clear" w:color="auto" w:fill="F2F2F2" w:themeFill="background1" w:themeFillShade="F2"/>
          </w:tcPr>
          <w:p w14:paraId="0A07D440" w14:textId="77777777" w:rsidR="009163BF" w:rsidRPr="00276D5E" w:rsidRDefault="009163BF" w:rsidP="00456F0A">
            <w:pPr>
              <w:pStyle w:val="TableParagraph"/>
              <w:spacing w:before="1" w:line="223" w:lineRule="exact"/>
              <w:ind w:left="107"/>
              <w:rPr>
                <w:rFonts w:ascii="Arial" w:hAnsi="Arial" w:cs="Arial"/>
                <w:b/>
              </w:rPr>
            </w:pPr>
            <w:r w:rsidRPr="00276D5E">
              <w:rPr>
                <w:rFonts w:ascii="Arial" w:hAnsi="Arial" w:cs="Arial"/>
                <w:b/>
                <w:w w:val="99"/>
              </w:rPr>
              <w:t>5</w:t>
            </w:r>
          </w:p>
        </w:tc>
        <w:tc>
          <w:tcPr>
            <w:tcW w:w="8659" w:type="dxa"/>
            <w:gridSpan w:val="10"/>
            <w:shd w:val="clear" w:color="auto" w:fill="F2F2F2" w:themeFill="background1" w:themeFillShade="F2"/>
          </w:tcPr>
          <w:p w14:paraId="69663E77" w14:textId="77777777" w:rsidR="009163BF" w:rsidRPr="00276D5E" w:rsidRDefault="009163BF" w:rsidP="00456F0A">
            <w:pPr>
              <w:pStyle w:val="TableParagraph"/>
              <w:spacing w:before="1" w:line="223" w:lineRule="exact"/>
              <w:ind w:left="108"/>
              <w:rPr>
                <w:rFonts w:ascii="Arial" w:hAnsi="Arial" w:cs="Arial"/>
                <w:b/>
              </w:rPr>
            </w:pPr>
            <w:r w:rsidRPr="00276D5E">
              <w:rPr>
                <w:rFonts w:ascii="Arial" w:hAnsi="Arial" w:cs="Arial"/>
                <w:b/>
              </w:rPr>
              <w:t>Remarks</w:t>
            </w:r>
          </w:p>
        </w:tc>
      </w:tr>
      <w:tr w:rsidR="009163BF" w:rsidRPr="00276D5E" w14:paraId="224C193C" w14:textId="77777777" w:rsidTr="00AC6D92">
        <w:trPr>
          <w:trHeight w:val="702"/>
        </w:trPr>
        <w:tc>
          <w:tcPr>
            <w:tcW w:w="9014" w:type="dxa"/>
            <w:gridSpan w:val="11"/>
          </w:tcPr>
          <w:p w14:paraId="045DECA5" w14:textId="77777777" w:rsidR="009163BF" w:rsidRPr="00276D5E" w:rsidRDefault="009163BF" w:rsidP="00456F0A">
            <w:pPr>
              <w:pStyle w:val="TableParagraph"/>
              <w:spacing w:line="243" w:lineRule="exact"/>
              <w:ind w:left="107"/>
              <w:rPr>
                <w:rFonts w:ascii="Arial" w:hAnsi="Arial" w:cs="Arial"/>
              </w:rPr>
            </w:pPr>
            <w:r w:rsidRPr="00276D5E">
              <w:rPr>
                <w:rFonts w:ascii="Arial" w:hAnsi="Arial" w:cs="Arial"/>
              </w:rPr>
              <w:lastRenderedPageBreak/>
              <w:t>Reasons</w:t>
            </w:r>
            <w:r w:rsidRPr="00276D5E">
              <w:rPr>
                <w:rFonts w:ascii="Arial" w:hAnsi="Arial" w:cs="Arial"/>
                <w:spacing w:val="-4"/>
              </w:rPr>
              <w:t xml:space="preserve"> </w:t>
            </w:r>
            <w:r w:rsidRPr="00276D5E">
              <w:rPr>
                <w:rFonts w:ascii="Arial" w:hAnsi="Arial" w:cs="Arial"/>
              </w:rPr>
              <w:t>and</w:t>
            </w:r>
            <w:r w:rsidRPr="00276D5E">
              <w:rPr>
                <w:rFonts w:ascii="Arial" w:hAnsi="Arial" w:cs="Arial"/>
                <w:spacing w:val="-2"/>
              </w:rPr>
              <w:t xml:space="preserve"> </w:t>
            </w:r>
            <w:r w:rsidRPr="00276D5E">
              <w:rPr>
                <w:rFonts w:ascii="Arial" w:hAnsi="Arial" w:cs="Arial"/>
              </w:rPr>
              <w:t>details</w:t>
            </w:r>
            <w:r w:rsidRPr="00276D5E">
              <w:rPr>
                <w:rFonts w:ascii="Arial" w:hAnsi="Arial" w:cs="Arial"/>
                <w:spacing w:val="-4"/>
              </w:rPr>
              <w:t xml:space="preserve"> </w:t>
            </w:r>
            <w:r w:rsidRPr="00276D5E">
              <w:rPr>
                <w:rFonts w:ascii="Arial" w:hAnsi="Arial" w:cs="Arial"/>
              </w:rPr>
              <w:t>in</w:t>
            </w:r>
            <w:r w:rsidRPr="00276D5E">
              <w:rPr>
                <w:rFonts w:ascii="Arial" w:hAnsi="Arial" w:cs="Arial"/>
                <w:spacing w:val="-1"/>
              </w:rPr>
              <w:t xml:space="preserve"> </w:t>
            </w:r>
            <w:r w:rsidRPr="00276D5E">
              <w:rPr>
                <w:rFonts w:ascii="Arial" w:hAnsi="Arial" w:cs="Arial"/>
              </w:rPr>
              <w:t>case</w:t>
            </w:r>
            <w:r w:rsidRPr="00276D5E">
              <w:rPr>
                <w:rFonts w:ascii="Arial" w:hAnsi="Arial" w:cs="Arial"/>
                <w:spacing w:val="-2"/>
              </w:rPr>
              <w:t xml:space="preserve"> </w:t>
            </w:r>
            <w:r w:rsidRPr="00276D5E">
              <w:rPr>
                <w:rFonts w:ascii="Arial" w:hAnsi="Arial" w:cs="Arial"/>
              </w:rPr>
              <w:t>of</w:t>
            </w:r>
            <w:r w:rsidRPr="00276D5E">
              <w:rPr>
                <w:rFonts w:ascii="Arial" w:hAnsi="Arial" w:cs="Arial"/>
                <w:spacing w:val="-1"/>
              </w:rPr>
              <w:t xml:space="preserve"> </w:t>
            </w:r>
            <w:r w:rsidRPr="00276D5E">
              <w:rPr>
                <w:rFonts w:ascii="Arial" w:hAnsi="Arial" w:cs="Arial"/>
              </w:rPr>
              <w:t>fail</w:t>
            </w:r>
            <w:r w:rsidRPr="00276D5E">
              <w:rPr>
                <w:rFonts w:ascii="Arial" w:hAnsi="Arial" w:cs="Arial"/>
                <w:spacing w:val="-3"/>
              </w:rPr>
              <w:t xml:space="preserve"> </w:t>
            </w:r>
            <w:r w:rsidRPr="00276D5E">
              <w:rPr>
                <w:rFonts w:ascii="Arial" w:hAnsi="Arial" w:cs="Arial"/>
              </w:rPr>
              <w:t>or</w:t>
            </w:r>
            <w:r w:rsidRPr="00276D5E">
              <w:rPr>
                <w:rFonts w:ascii="Arial" w:hAnsi="Arial" w:cs="Arial"/>
                <w:spacing w:val="-2"/>
              </w:rPr>
              <w:t xml:space="preserve"> </w:t>
            </w:r>
            <w:r w:rsidRPr="00276D5E">
              <w:rPr>
                <w:rFonts w:ascii="Arial" w:hAnsi="Arial" w:cs="Arial"/>
              </w:rPr>
              <w:t>partial</w:t>
            </w:r>
            <w:r w:rsidRPr="00276D5E">
              <w:rPr>
                <w:rFonts w:ascii="Arial" w:hAnsi="Arial" w:cs="Arial"/>
                <w:spacing w:val="-1"/>
              </w:rPr>
              <w:t xml:space="preserve"> </w:t>
            </w:r>
            <w:r w:rsidRPr="00276D5E">
              <w:rPr>
                <w:rFonts w:ascii="Arial" w:hAnsi="Arial" w:cs="Arial"/>
              </w:rPr>
              <w:t>pass/other</w:t>
            </w:r>
            <w:r w:rsidRPr="00276D5E">
              <w:rPr>
                <w:rFonts w:ascii="Arial" w:hAnsi="Arial" w:cs="Arial"/>
                <w:spacing w:val="-2"/>
              </w:rPr>
              <w:t xml:space="preserve"> </w:t>
            </w:r>
            <w:r w:rsidRPr="00276D5E">
              <w:rPr>
                <w:rFonts w:ascii="Arial" w:hAnsi="Arial" w:cs="Arial"/>
              </w:rPr>
              <w:t>remarks</w:t>
            </w:r>
            <w:r w:rsidRPr="00276D5E">
              <w:rPr>
                <w:rFonts w:ascii="Arial" w:hAnsi="Arial" w:cs="Arial"/>
                <w:spacing w:val="-3"/>
              </w:rPr>
              <w:t xml:space="preserve"> </w:t>
            </w:r>
            <w:r w:rsidRPr="00276D5E">
              <w:rPr>
                <w:rFonts w:ascii="Arial" w:hAnsi="Arial" w:cs="Arial"/>
              </w:rPr>
              <w:t>as</w:t>
            </w:r>
            <w:r w:rsidRPr="00276D5E">
              <w:rPr>
                <w:rFonts w:ascii="Arial" w:hAnsi="Arial" w:cs="Arial"/>
                <w:spacing w:val="-4"/>
              </w:rPr>
              <w:t xml:space="preserve"> </w:t>
            </w:r>
            <w:r w:rsidRPr="00276D5E">
              <w:rPr>
                <w:rFonts w:ascii="Arial" w:hAnsi="Arial" w:cs="Arial"/>
              </w:rPr>
              <w:t>necessary:</w:t>
            </w:r>
          </w:p>
        </w:tc>
      </w:tr>
      <w:tr w:rsidR="009163BF" w:rsidRPr="00276D5E" w14:paraId="60D2F6E4" w14:textId="77777777" w:rsidTr="005E15BF">
        <w:trPr>
          <w:gridAfter w:val="1"/>
          <w:wAfter w:w="9" w:type="dxa"/>
          <w:trHeight w:val="244"/>
        </w:trPr>
        <w:tc>
          <w:tcPr>
            <w:tcW w:w="355" w:type="dxa"/>
            <w:shd w:val="clear" w:color="auto" w:fill="F2F2F2" w:themeFill="background1" w:themeFillShade="F2"/>
          </w:tcPr>
          <w:p w14:paraId="5C70DB7A" w14:textId="77777777" w:rsidR="009163BF" w:rsidRPr="00276D5E" w:rsidRDefault="009163BF" w:rsidP="00456F0A">
            <w:pPr>
              <w:pStyle w:val="TableParagraph"/>
              <w:spacing w:line="224" w:lineRule="exact"/>
              <w:ind w:left="107"/>
              <w:rPr>
                <w:rFonts w:ascii="Arial" w:hAnsi="Arial" w:cs="Arial"/>
                <w:b/>
              </w:rPr>
            </w:pPr>
            <w:r w:rsidRPr="00276D5E">
              <w:rPr>
                <w:rFonts w:ascii="Arial" w:hAnsi="Arial" w:cs="Arial"/>
                <w:b/>
                <w:w w:val="99"/>
              </w:rPr>
              <w:t>6</w:t>
            </w:r>
          </w:p>
        </w:tc>
        <w:tc>
          <w:tcPr>
            <w:tcW w:w="8662" w:type="dxa"/>
            <w:gridSpan w:val="9"/>
            <w:shd w:val="clear" w:color="auto" w:fill="F2F2F2" w:themeFill="background1" w:themeFillShade="F2"/>
          </w:tcPr>
          <w:p w14:paraId="70A0B880" w14:textId="77777777" w:rsidR="009163BF" w:rsidRPr="00276D5E" w:rsidRDefault="009163BF" w:rsidP="00456F0A">
            <w:pPr>
              <w:pStyle w:val="TableParagraph"/>
              <w:spacing w:line="224" w:lineRule="exact"/>
              <w:ind w:left="108"/>
              <w:rPr>
                <w:rFonts w:ascii="Arial" w:hAnsi="Arial" w:cs="Arial"/>
                <w:b/>
              </w:rPr>
            </w:pPr>
            <w:r w:rsidRPr="00276D5E">
              <w:rPr>
                <w:rFonts w:ascii="Arial" w:hAnsi="Arial" w:cs="Arial"/>
                <w:b/>
              </w:rPr>
              <w:t>Examiner’s</w:t>
            </w:r>
            <w:r w:rsidRPr="00276D5E">
              <w:rPr>
                <w:rFonts w:ascii="Arial" w:hAnsi="Arial" w:cs="Arial"/>
                <w:b/>
                <w:spacing w:val="-5"/>
              </w:rPr>
              <w:t xml:space="preserve"> </w:t>
            </w:r>
            <w:r w:rsidRPr="00276D5E">
              <w:rPr>
                <w:rFonts w:ascii="Arial" w:hAnsi="Arial" w:cs="Arial"/>
                <w:b/>
              </w:rPr>
              <w:t>declarations</w:t>
            </w:r>
            <w:r w:rsidRPr="00276D5E">
              <w:rPr>
                <w:rFonts w:ascii="Arial" w:hAnsi="Arial" w:cs="Arial"/>
                <w:b/>
                <w:spacing w:val="-4"/>
              </w:rPr>
              <w:t xml:space="preserve"> </w:t>
            </w:r>
            <w:r w:rsidRPr="00276D5E">
              <w:rPr>
                <w:rFonts w:ascii="Arial" w:hAnsi="Arial" w:cs="Arial"/>
                <w:b/>
              </w:rPr>
              <w:t>and</w:t>
            </w:r>
            <w:r w:rsidRPr="00276D5E">
              <w:rPr>
                <w:rFonts w:ascii="Arial" w:hAnsi="Arial" w:cs="Arial"/>
                <w:b/>
                <w:spacing w:val="-4"/>
              </w:rPr>
              <w:t xml:space="preserve"> </w:t>
            </w:r>
            <w:r w:rsidRPr="00276D5E">
              <w:rPr>
                <w:rFonts w:ascii="Arial" w:hAnsi="Arial" w:cs="Arial"/>
                <w:b/>
              </w:rPr>
              <w:t>details</w:t>
            </w:r>
          </w:p>
        </w:tc>
      </w:tr>
      <w:tr w:rsidR="009163BF" w:rsidRPr="00276D5E" w14:paraId="0FB43464" w14:textId="77777777" w:rsidTr="00AC6D92">
        <w:trPr>
          <w:gridAfter w:val="1"/>
          <w:wAfter w:w="9" w:type="dxa"/>
          <w:trHeight w:val="2197"/>
        </w:trPr>
        <w:tc>
          <w:tcPr>
            <w:tcW w:w="9017" w:type="dxa"/>
            <w:gridSpan w:val="10"/>
          </w:tcPr>
          <w:p w14:paraId="1856745A" w14:textId="77777777" w:rsidR="009163BF" w:rsidRPr="00276D5E" w:rsidRDefault="009163BF" w:rsidP="004B3B61">
            <w:pPr>
              <w:pStyle w:val="TableParagraph"/>
              <w:spacing w:line="243" w:lineRule="exact"/>
              <w:ind w:left="107"/>
              <w:jc w:val="both"/>
              <w:rPr>
                <w:rFonts w:ascii="Arial" w:hAnsi="Arial" w:cs="Arial"/>
              </w:rPr>
            </w:pPr>
            <w:r w:rsidRPr="00276D5E">
              <w:rPr>
                <w:rFonts w:ascii="Arial" w:hAnsi="Arial" w:cs="Arial"/>
              </w:rPr>
              <w:t>I,</w:t>
            </w:r>
            <w:r w:rsidRPr="00276D5E">
              <w:rPr>
                <w:rFonts w:ascii="Arial" w:hAnsi="Arial" w:cs="Arial"/>
                <w:spacing w:val="-3"/>
              </w:rPr>
              <w:t xml:space="preserve"> </w:t>
            </w:r>
            <w:r w:rsidRPr="00276D5E">
              <w:rPr>
                <w:rFonts w:ascii="Arial" w:hAnsi="Arial" w:cs="Arial"/>
              </w:rPr>
              <w:t>the</w:t>
            </w:r>
            <w:r w:rsidRPr="00276D5E">
              <w:rPr>
                <w:rFonts w:ascii="Arial" w:hAnsi="Arial" w:cs="Arial"/>
                <w:spacing w:val="-4"/>
              </w:rPr>
              <w:t xml:space="preserve"> </w:t>
            </w:r>
            <w:r w:rsidRPr="00276D5E">
              <w:rPr>
                <w:rFonts w:ascii="Arial" w:hAnsi="Arial" w:cs="Arial"/>
              </w:rPr>
              <w:t>undersigning</w:t>
            </w:r>
            <w:r w:rsidRPr="00276D5E">
              <w:rPr>
                <w:rFonts w:ascii="Arial" w:hAnsi="Arial" w:cs="Arial"/>
                <w:spacing w:val="-3"/>
              </w:rPr>
              <w:t xml:space="preserve"> </w:t>
            </w:r>
            <w:r w:rsidRPr="00276D5E">
              <w:rPr>
                <w:rFonts w:ascii="Arial" w:hAnsi="Arial" w:cs="Arial"/>
              </w:rPr>
              <w:t>examiner:</w:t>
            </w:r>
          </w:p>
          <w:p w14:paraId="47BA6D46" w14:textId="54D20FF6" w:rsidR="009163BF" w:rsidRPr="00276D5E" w:rsidRDefault="009163BF" w:rsidP="004B3B61">
            <w:pPr>
              <w:pStyle w:val="TableParagraph"/>
              <w:numPr>
                <w:ilvl w:val="0"/>
                <w:numId w:val="272"/>
              </w:numPr>
              <w:tabs>
                <w:tab w:val="left" w:pos="346"/>
              </w:tabs>
              <w:ind w:right="187"/>
              <w:jc w:val="both"/>
              <w:rPr>
                <w:rFonts w:ascii="Arial" w:hAnsi="Arial" w:cs="Arial"/>
              </w:rPr>
            </w:pPr>
            <w:r w:rsidRPr="00276D5E">
              <w:rPr>
                <w:rFonts w:ascii="Arial" w:hAnsi="Arial" w:cs="Arial"/>
              </w:rPr>
              <w:t>have</w:t>
            </w:r>
            <w:r w:rsidRPr="00276D5E">
              <w:rPr>
                <w:rFonts w:ascii="Arial" w:hAnsi="Arial" w:cs="Arial"/>
                <w:spacing w:val="-4"/>
              </w:rPr>
              <w:t xml:space="preserve"> </w:t>
            </w:r>
            <w:r w:rsidRPr="00276D5E">
              <w:rPr>
                <w:rFonts w:ascii="Arial" w:hAnsi="Arial" w:cs="Arial"/>
              </w:rPr>
              <w:t>received</w:t>
            </w:r>
            <w:r w:rsidRPr="00276D5E">
              <w:rPr>
                <w:rFonts w:ascii="Arial" w:hAnsi="Arial" w:cs="Arial"/>
                <w:spacing w:val="-2"/>
              </w:rPr>
              <w:t xml:space="preserve"> </w:t>
            </w:r>
            <w:r w:rsidRPr="00276D5E">
              <w:rPr>
                <w:rFonts w:ascii="Arial" w:hAnsi="Arial" w:cs="Arial"/>
              </w:rPr>
              <w:t>information</w:t>
            </w:r>
            <w:r w:rsidRPr="00276D5E">
              <w:rPr>
                <w:rFonts w:ascii="Arial" w:hAnsi="Arial" w:cs="Arial"/>
                <w:spacing w:val="-1"/>
              </w:rPr>
              <w:t xml:space="preserve"> </w:t>
            </w:r>
            <w:r w:rsidRPr="00276D5E">
              <w:rPr>
                <w:rFonts w:ascii="Arial" w:hAnsi="Arial" w:cs="Arial"/>
              </w:rPr>
              <w:t>from</w:t>
            </w:r>
            <w:r w:rsidRPr="00276D5E">
              <w:rPr>
                <w:rFonts w:ascii="Arial" w:hAnsi="Arial" w:cs="Arial"/>
                <w:spacing w:val="-3"/>
              </w:rPr>
              <w:t xml:space="preserve"> </w:t>
            </w:r>
            <w:r w:rsidRPr="00276D5E">
              <w:rPr>
                <w:rFonts w:ascii="Arial" w:hAnsi="Arial" w:cs="Arial"/>
              </w:rPr>
              <w:t>the</w:t>
            </w:r>
            <w:r w:rsidRPr="00276D5E">
              <w:rPr>
                <w:rFonts w:ascii="Arial" w:hAnsi="Arial" w:cs="Arial"/>
                <w:spacing w:val="-4"/>
              </w:rPr>
              <w:t xml:space="preserve"> </w:t>
            </w:r>
            <w:r w:rsidRPr="00276D5E">
              <w:rPr>
                <w:rFonts w:ascii="Arial" w:hAnsi="Arial" w:cs="Arial"/>
              </w:rPr>
              <w:t>applicant</w:t>
            </w:r>
            <w:r w:rsidRPr="00276D5E">
              <w:rPr>
                <w:rFonts w:ascii="Arial" w:hAnsi="Arial" w:cs="Arial"/>
                <w:spacing w:val="-2"/>
              </w:rPr>
              <w:t xml:space="preserve"> </w:t>
            </w:r>
            <w:r w:rsidRPr="00276D5E">
              <w:rPr>
                <w:rFonts w:ascii="Arial" w:hAnsi="Arial" w:cs="Arial"/>
              </w:rPr>
              <w:t>regarding</w:t>
            </w:r>
            <w:r w:rsidRPr="00276D5E">
              <w:rPr>
                <w:rFonts w:ascii="Arial" w:hAnsi="Arial" w:cs="Arial"/>
                <w:spacing w:val="-3"/>
              </w:rPr>
              <w:t xml:space="preserve"> </w:t>
            </w:r>
            <w:r w:rsidRPr="00276D5E">
              <w:rPr>
                <w:rFonts w:ascii="Arial" w:hAnsi="Arial" w:cs="Arial"/>
              </w:rPr>
              <w:t>their</w:t>
            </w:r>
            <w:r w:rsidRPr="00276D5E">
              <w:rPr>
                <w:rFonts w:ascii="Arial" w:hAnsi="Arial" w:cs="Arial"/>
                <w:spacing w:val="-2"/>
              </w:rPr>
              <w:t xml:space="preserve"> </w:t>
            </w:r>
            <w:r w:rsidRPr="00276D5E">
              <w:rPr>
                <w:rFonts w:ascii="Arial" w:hAnsi="Arial" w:cs="Arial"/>
              </w:rPr>
              <w:t>experience</w:t>
            </w:r>
            <w:r w:rsidRPr="00276D5E">
              <w:rPr>
                <w:rFonts w:ascii="Arial" w:hAnsi="Arial" w:cs="Arial"/>
                <w:spacing w:val="-4"/>
              </w:rPr>
              <w:t xml:space="preserve"> </w:t>
            </w:r>
            <w:r w:rsidRPr="00276D5E">
              <w:rPr>
                <w:rFonts w:ascii="Arial" w:hAnsi="Arial" w:cs="Arial"/>
              </w:rPr>
              <w:t>and</w:t>
            </w:r>
            <w:r w:rsidRPr="00276D5E">
              <w:rPr>
                <w:rFonts w:ascii="Arial" w:hAnsi="Arial" w:cs="Arial"/>
                <w:spacing w:val="-3"/>
              </w:rPr>
              <w:t xml:space="preserve"> </w:t>
            </w:r>
            <w:r w:rsidRPr="00276D5E">
              <w:rPr>
                <w:rFonts w:ascii="Arial" w:hAnsi="Arial" w:cs="Arial"/>
              </w:rPr>
              <w:t>instruction,</w:t>
            </w:r>
            <w:r w:rsidRPr="00276D5E">
              <w:rPr>
                <w:rFonts w:ascii="Arial" w:hAnsi="Arial" w:cs="Arial"/>
                <w:spacing w:val="-2"/>
              </w:rPr>
              <w:t xml:space="preserve"> </w:t>
            </w:r>
            <w:r w:rsidRPr="00276D5E">
              <w:rPr>
                <w:rFonts w:ascii="Arial" w:hAnsi="Arial" w:cs="Arial"/>
              </w:rPr>
              <w:t>and</w:t>
            </w:r>
            <w:r w:rsidRPr="00276D5E">
              <w:rPr>
                <w:rFonts w:ascii="Arial" w:hAnsi="Arial" w:cs="Arial"/>
                <w:spacing w:val="-2"/>
              </w:rPr>
              <w:t xml:space="preserve"> </w:t>
            </w:r>
            <w:r w:rsidRPr="00276D5E">
              <w:rPr>
                <w:rFonts w:ascii="Arial" w:hAnsi="Arial" w:cs="Arial"/>
              </w:rPr>
              <w:t>found</w:t>
            </w:r>
            <w:r w:rsidRPr="00276D5E">
              <w:rPr>
                <w:rFonts w:ascii="Arial" w:hAnsi="Arial" w:cs="Arial"/>
                <w:spacing w:val="-2"/>
              </w:rPr>
              <w:t xml:space="preserve"> </w:t>
            </w:r>
            <w:r w:rsidRPr="00276D5E">
              <w:rPr>
                <w:rFonts w:ascii="Arial" w:hAnsi="Arial" w:cs="Arial"/>
              </w:rPr>
              <w:t>that</w:t>
            </w:r>
            <w:r w:rsidRPr="00276D5E">
              <w:rPr>
                <w:rFonts w:ascii="Arial" w:hAnsi="Arial" w:cs="Arial"/>
                <w:spacing w:val="-43"/>
              </w:rPr>
              <w:t xml:space="preserve"> </w:t>
            </w:r>
            <w:r w:rsidRPr="00276D5E">
              <w:rPr>
                <w:rFonts w:ascii="Arial" w:hAnsi="Arial" w:cs="Arial"/>
              </w:rPr>
              <w:t>the experience and instruction comply with the applicable requirements of Annex III (Part-BFCL) to</w:t>
            </w:r>
            <w:r w:rsidRPr="00276D5E">
              <w:rPr>
                <w:rFonts w:ascii="Arial" w:hAnsi="Arial" w:cs="Arial"/>
                <w:spacing w:val="1"/>
              </w:rPr>
              <w:t xml:space="preserve"> </w:t>
            </w:r>
            <w:r w:rsidR="00357B15" w:rsidRPr="00357B15">
              <w:rPr>
                <w:rFonts w:ascii="Arial" w:hAnsi="Arial" w:cs="Arial"/>
              </w:rPr>
              <w:t>Balloon Operations Regulation</w:t>
            </w:r>
            <w:r w:rsidRPr="00357B15">
              <w:rPr>
                <w:rFonts w:ascii="Arial" w:hAnsi="Arial" w:cs="Arial"/>
              </w:rPr>
              <w:t>;</w:t>
            </w:r>
          </w:p>
          <w:p w14:paraId="55FEE255" w14:textId="77777777" w:rsidR="009163BF" w:rsidRPr="00276D5E" w:rsidRDefault="009163BF" w:rsidP="004B3B61">
            <w:pPr>
              <w:pStyle w:val="TableParagraph"/>
              <w:numPr>
                <w:ilvl w:val="0"/>
                <w:numId w:val="272"/>
              </w:numPr>
              <w:tabs>
                <w:tab w:val="left" w:pos="346"/>
              </w:tabs>
              <w:ind w:right="125"/>
              <w:jc w:val="both"/>
              <w:rPr>
                <w:rFonts w:ascii="Arial" w:hAnsi="Arial" w:cs="Arial"/>
              </w:rPr>
            </w:pPr>
            <w:r w:rsidRPr="00276D5E">
              <w:rPr>
                <w:rFonts w:ascii="Arial" w:hAnsi="Arial" w:cs="Arial"/>
              </w:rPr>
              <w:t>confirm</w:t>
            </w:r>
            <w:r w:rsidRPr="00276D5E">
              <w:rPr>
                <w:rFonts w:ascii="Arial" w:hAnsi="Arial" w:cs="Arial"/>
                <w:spacing w:val="-5"/>
              </w:rPr>
              <w:t xml:space="preserve"> </w:t>
            </w:r>
            <w:r w:rsidRPr="00276D5E">
              <w:rPr>
                <w:rFonts w:ascii="Arial" w:hAnsi="Arial" w:cs="Arial"/>
              </w:rPr>
              <w:t>that</w:t>
            </w:r>
            <w:r w:rsidRPr="00276D5E">
              <w:rPr>
                <w:rFonts w:ascii="Arial" w:hAnsi="Arial" w:cs="Arial"/>
                <w:spacing w:val="-2"/>
              </w:rPr>
              <w:t xml:space="preserve"> </w:t>
            </w:r>
            <w:r w:rsidRPr="00276D5E">
              <w:rPr>
                <w:rFonts w:ascii="Arial" w:hAnsi="Arial" w:cs="Arial"/>
              </w:rPr>
              <w:t>all</w:t>
            </w:r>
            <w:r w:rsidRPr="00276D5E">
              <w:rPr>
                <w:rFonts w:ascii="Arial" w:hAnsi="Arial" w:cs="Arial"/>
                <w:spacing w:val="-2"/>
              </w:rPr>
              <w:t xml:space="preserve"> </w:t>
            </w:r>
            <w:r w:rsidRPr="00276D5E">
              <w:rPr>
                <w:rFonts w:ascii="Arial" w:hAnsi="Arial" w:cs="Arial"/>
              </w:rPr>
              <w:t>the</w:t>
            </w:r>
            <w:r w:rsidRPr="00276D5E">
              <w:rPr>
                <w:rFonts w:ascii="Arial" w:hAnsi="Arial" w:cs="Arial"/>
                <w:spacing w:val="-4"/>
              </w:rPr>
              <w:t xml:space="preserve"> </w:t>
            </w:r>
            <w:r w:rsidRPr="00276D5E">
              <w:rPr>
                <w:rFonts w:ascii="Arial" w:hAnsi="Arial" w:cs="Arial"/>
              </w:rPr>
              <w:t>required</w:t>
            </w:r>
            <w:r w:rsidRPr="00276D5E">
              <w:rPr>
                <w:rFonts w:ascii="Arial" w:hAnsi="Arial" w:cs="Arial"/>
                <w:spacing w:val="1"/>
              </w:rPr>
              <w:t xml:space="preserve"> </w:t>
            </w:r>
            <w:r w:rsidRPr="00276D5E">
              <w:rPr>
                <w:rFonts w:ascii="Arial" w:hAnsi="Arial" w:cs="Arial"/>
              </w:rPr>
              <w:t>manoeuvres</w:t>
            </w:r>
            <w:r w:rsidRPr="00276D5E">
              <w:rPr>
                <w:rFonts w:ascii="Arial" w:hAnsi="Arial" w:cs="Arial"/>
                <w:spacing w:val="-4"/>
              </w:rPr>
              <w:t xml:space="preserve"> </w:t>
            </w:r>
            <w:r w:rsidRPr="00276D5E">
              <w:rPr>
                <w:rFonts w:ascii="Arial" w:hAnsi="Arial" w:cs="Arial"/>
              </w:rPr>
              <w:t>and</w:t>
            </w:r>
            <w:r w:rsidRPr="00276D5E">
              <w:rPr>
                <w:rFonts w:ascii="Arial" w:hAnsi="Arial" w:cs="Arial"/>
                <w:spacing w:val="-3"/>
              </w:rPr>
              <w:t xml:space="preserve"> </w:t>
            </w:r>
            <w:r w:rsidRPr="00276D5E">
              <w:rPr>
                <w:rFonts w:ascii="Arial" w:hAnsi="Arial" w:cs="Arial"/>
              </w:rPr>
              <w:t>exercises</w:t>
            </w:r>
            <w:r w:rsidRPr="00276D5E">
              <w:rPr>
                <w:rFonts w:ascii="Arial" w:hAnsi="Arial" w:cs="Arial"/>
                <w:spacing w:val="-4"/>
              </w:rPr>
              <w:t xml:space="preserve"> </w:t>
            </w:r>
            <w:r w:rsidRPr="00276D5E">
              <w:rPr>
                <w:rFonts w:ascii="Arial" w:hAnsi="Arial" w:cs="Arial"/>
              </w:rPr>
              <w:t>have</w:t>
            </w:r>
            <w:r w:rsidRPr="00276D5E">
              <w:rPr>
                <w:rFonts w:ascii="Arial" w:hAnsi="Arial" w:cs="Arial"/>
                <w:spacing w:val="-3"/>
              </w:rPr>
              <w:t xml:space="preserve"> </w:t>
            </w:r>
            <w:r w:rsidRPr="00276D5E">
              <w:rPr>
                <w:rFonts w:ascii="Arial" w:hAnsi="Arial" w:cs="Arial"/>
              </w:rPr>
              <w:t>been</w:t>
            </w:r>
            <w:r w:rsidRPr="00276D5E">
              <w:rPr>
                <w:rFonts w:ascii="Arial" w:hAnsi="Arial" w:cs="Arial"/>
                <w:spacing w:val="-3"/>
              </w:rPr>
              <w:t xml:space="preserve"> </w:t>
            </w:r>
            <w:r w:rsidRPr="00276D5E">
              <w:rPr>
                <w:rFonts w:ascii="Arial" w:hAnsi="Arial" w:cs="Arial"/>
              </w:rPr>
              <w:t>completed,</w:t>
            </w:r>
            <w:r w:rsidRPr="00276D5E">
              <w:rPr>
                <w:rFonts w:ascii="Arial" w:hAnsi="Arial" w:cs="Arial"/>
                <w:spacing w:val="-2"/>
              </w:rPr>
              <w:t xml:space="preserve"> </w:t>
            </w:r>
            <w:r w:rsidRPr="00276D5E">
              <w:rPr>
                <w:rFonts w:ascii="Arial" w:hAnsi="Arial" w:cs="Arial"/>
              </w:rPr>
              <w:t>unless</w:t>
            </w:r>
            <w:r w:rsidRPr="00276D5E">
              <w:rPr>
                <w:rFonts w:ascii="Arial" w:hAnsi="Arial" w:cs="Arial"/>
                <w:spacing w:val="-4"/>
              </w:rPr>
              <w:t xml:space="preserve"> </w:t>
            </w:r>
            <w:r w:rsidRPr="00276D5E">
              <w:rPr>
                <w:rFonts w:ascii="Arial" w:hAnsi="Arial" w:cs="Arial"/>
              </w:rPr>
              <w:t>specified</w:t>
            </w:r>
            <w:r w:rsidRPr="00276D5E">
              <w:rPr>
                <w:rFonts w:ascii="Arial" w:hAnsi="Arial" w:cs="Arial"/>
                <w:spacing w:val="-3"/>
              </w:rPr>
              <w:t xml:space="preserve"> </w:t>
            </w:r>
            <w:r w:rsidRPr="00276D5E">
              <w:rPr>
                <w:rFonts w:ascii="Arial" w:hAnsi="Arial" w:cs="Arial"/>
              </w:rPr>
              <w:t>otherwise</w:t>
            </w:r>
            <w:r w:rsidRPr="00276D5E">
              <w:rPr>
                <w:rFonts w:ascii="Arial" w:hAnsi="Arial" w:cs="Arial"/>
                <w:spacing w:val="-42"/>
              </w:rPr>
              <w:t xml:space="preserve"> </w:t>
            </w:r>
            <w:r w:rsidRPr="00276D5E">
              <w:rPr>
                <w:rFonts w:ascii="Arial" w:hAnsi="Arial" w:cs="Arial"/>
              </w:rPr>
              <w:t>above</w:t>
            </w:r>
            <w:r w:rsidRPr="00276D5E">
              <w:rPr>
                <w:rFonts w:ascii="Arial" w:hAnsi="Arial" w:cs="Arial"/>
                <w:spacing w:val="-2"/>
              </w:rPr>
              <w:t xml:space="preserve"> </w:t>
            </w:r>
            <w:r w:rsidRPr="00276D5E">
              <w:rPr>
                <w:rFonts w:ascii="Arial" w:hAnsi="Arial" w:cs="Arial"/>
              </w:rPr>
              <w:t>in</w:t>
            </w:r>
            <w:r w:rsidRPr="00276D5E">
              <w:rPr>
                <w:rFonts w:ascii="Arial" w:hAnsi="Arial" w:cs="Arial"/>
                <w:spacing w:val="1"/>
              </w:rPr>
              <w:t xml:space="preserve"> </w:t>
            </w:r>
            <w:r w:rsidRPr="00276D5E">
              <w:rPr>
                <w:rFonts w:ascii="Arial" w:hAnsi="Arial" w:cs="Arial"/>
              </w:rPr>
              <w:t>the</w:t>
            </w:r>
            <w:r w:rsidRPr="00276D5E">
              <w:rPr>
                <w:rFonts w:ascii="Arial" w:hAnsi="Arial" w:cs="Arial"/>
                <w:spacing w:val="-1"/>
              </w:rPr>
              <w:t xml:space="preserve"> </w:t>
            </w:r>
            <w:r w:rsidRPr="00276D5E">
              <w:rPr>
                <w:rFonts w:ascii="Arial" w:hAnsi="Arial" w:cs="Arial"/>
              </w:rPr>
              <w:t>case</w:t>
            </w:r>
            <w:r w:rsidRPr="00276D5E">
              <w:rPr>
                <w:rFonts w:ascii="Arial" w:hAnsi="Arial" w:cs="Arial"/>
                <w:spacing w:val="-1"/>
              </w:rPr>
              <w:t xml:space="preserve"> </w:t>
            </w:r>
            <w:r w:rsidRPr="00276D5E">
              <w:rPr>
                <w:rFonts w:ascii="Arial" w:hAnsi="Arial" w:cs="Arial"/>
              </w:rPr>
              <w:t>of</w:t>
            </w:r>
            <w:r w:rsidRPr="00276D5E">
              <w:rPr>
                <w:rFonts w:ascii="Arial" w:hAnsi="Arial" w:cs="Arial"/>
                <w:spacing w:val="-2"/>
              </w:rPr>
              <w:t xml:space="preserve"> </w:t>
            </w:r>
            <w:r w:rsidRPr="00276D5E">
              <w:rPr>
                <w:rFonts w:ascii="Arial" w:hAnsi="Arial" w:cs="Arial"/>
              </w:rPr>
              <w:t>fail</w:t>
            </w:r>
            <w:r w:rsidRPr="00276D5E">
              <w:rPr>
                <w:rFonts w:ascii="Arial" w:hAnsi="Arial" w:cs="Arial"/>
                <w:spacing w:val="-1"/>
              </w:rPr>
              <w:t xml:space="preserve"> </w:t>
            </w:r>
            <w:r w:rsidRPr="00276D5E">
              <w:rPr>
                <w:rFonts w:ascii="Arial" w:hAnsi="Arial" w:cs="Arial"/>
              </w:rPr>
              <w:t>or partial pass;</w:t>
            </w:r>
            <w:r w:rsidRPr="00276D5E">
              <w:rPr>
                <w:rFonts w:ascii="Arial" w:hAnsi="Arial" w:cs="Arial"/>
                <w:spacing w:val="-1"/>
              </w:rPr>
              <w:t xml:space="preserve"> </w:t>
            </w:r>
            <w:r w:rsidRPr="00276D5E">
              <w:rPr>
                <w:rFonts w:ascii="Arial" w:hAnsi="Arial" w:cs="Arial"/>
              </w:rPr>
              <w:t>and</w:t>
            </w:r>
          </w:p>
          <w:p w14:paraId="2E3DB0CB" w14:textId="77777777" w:rsidR="009163BF" w:rsidRPr="004B3B61" w:rsidRDefault="009163BF" w:rsidP="004B3B61">
            <w:pPr>
              <w:pStyle w:val="TableParagraph"/>
              <w:numPr>
                <w:ilvl w:val="0"/>
                <w:numId w:val="272"/>
              </w:numPr>
              <w:tabs>
                <w:tab w:val="left" w:pos="346"/>
              </w:tabs>
              <w:spacing w:before="1"/>
              <w:ind w:right="868"/>
              <w:jc w:val="both"/>
              <w:rPr>
                <w:rFonts w:ascii="Arial" w:hAnsi="Arial" w:cs="Arial"/>
              </w:rPr>
            </w:pPr>
            <w:r w:rsidRPr="00276D5E">
              <w:rPr>
                <w:rFonts w:ascii="Arial" w:hAnsi="Arial" w:cs="Arial"/>
              </w:rPr>
              <w:t>where applicable, have reviewed and applied the national procedures and requirements of the</w:t>
            </w:r>
            <w:r w:rsidRPr="00276D5E">
              <w:rPr>
                <w:rFonts w:ascii="Arial" w:hAnsi="Arial" w:cs="Arial"/>
                <w:spacing w:val="1"/>
              </w:rPr>
              <w:t xml:space="preserve"> </w:t>
            </w:r>
            <w:r w:rsidRPr="00276D5E">
              <w:rPr>
                <w:rFonts w:ascii="Arial" w:hAnsi="Arial" w:cs="Arial"/>
              </w:rPr>
              <w:t>applicant’s</w:t>
            </w:r>
            <w:r w:rsidRPr="00276D5E">
              <w:rPr>
                <w:rFonts w:ascii="Arial" w:hAnsi="Arial" w:cs="Arial"/>
                <w:spacing w:val="-5"/>
              </w:rPr>
              <w:t xml:space="preserve"> </w:t>
            </w:r>
            <w:r w:rsidRPr="00276D5E">
              <w:rPr>
                <w:rFonts w:ascii="Arial" w:hAnsi="Arial" w:cs="Arial"/>
              </w:rPr>
              <w:t>competent</w:t>
            </w:r>
            <w:r w:rsidRPr="00276D5E">
              <w:rPr>
                <w:rFonts w:ascii="Arial" w:hAnsi="Arial" w:cs="Arial"/>
                <w:spacing w:val="-2"/>
              </w:rPr>
              <w:t xml:space="preserve"> </w:t>
            </w:r>
            <w:r w:rsidRPr="00276D5E">
              <w:rPr>
                <w:rFonts w:ascii="Arial" w:hAnsi="Arial" w:cs="Arial"/>
              </w:rPr>
              <w:t>authority</w:t>
            </w:r>
            <w:r w:rsidRPr="00276D5E">
              <w:rPr>
                <w:rFonts w:ascii="Arial" w:hAnsi="Arial" w:cs="Arial"/>
                <w:spacing w:val="-2"/>
              </w:rPr>
              <w:t xml:space="preserve"> </w:t>
            </w:r>
            <w:r w:rsidRPr="00276D5E">
              <w:rPr>
                <w:rFonts w:ascii="Arial" w:hAnsi="Arial" w:cs="Arial"/>
              </w:rPr>
              <w:t>which</w:t>
            </w:r>
            <w:r w:rsidRPr="00276D5E">
              <w:rPr>
                <w:rFonts w:ascii="Arial" w:hAnsi="Arial" w:cs="Arial"/>
                <w:spacing w:val="-1"/>
              </w:rPr>
              <w:t xml:space="preserve"> </w:t>
            </w:r>
            <w:r w:rsidRPr="00276D5E">
              <w:rPr>
                <w:rFonts w:ascii="Arial" w:hAnsi="Arial" w:cs="Arial"/>
              </w:rPr>
              <w:t>is</w:t>
            </w:r>
            <w:r w:rsidRPr="00276D5E">
              <w:rPr>
                <w:rFonts w:ascii="Arial" w:hAnsi="Arial" w:cs="Arial"/>
                <w:spacing w:val="-4"/>
              </w:rPr>
              <w:t xml:space="preserve"> </w:t>
            </w:r>
            <w:r w:rsidRPr="00276D5E">
              <w:rPr>
                <w:rFonts w:ascii="Arial" w:hAnsi="Arial" w:cs="Arial"/>
              </w:rPr>
              <w:t>different</w:t>
            </w:r>
            <w:r w:rsidRPr="00276D5E">
              <w:rPr>
                <w:rFonts w:ascii="Arial" w:hAnsi="Arial" w:cs="Arial"/>
                <w:spacing w:val="-3"/>
              </w:rPr>
              <w:t xml:space="preserve"> </w:t>
            </w:r>
            <w:r w:rsidRPr="00276D5E">
              <w:rPr>
                <w:rFonts w:ascii="Arial" w:hAnsi="Arial" w:cs="Arial"/>
              </w:rPr>
              <w:t>from</w:t>
            </w:r>
            <w:r w:rsidRPr="00276D5E">
              <w:rPr>
                <w:rFonts w:ascii="Arial" w:hAnsi="Arial" w:cs="Arial"/>
                <w:spacing w:val="-3"/>
              </w:rPr>
              <w:t xml:space="preserve"> </w:t>
            </w:r>
            <w:r w:rsidRPr="00276D5E">
              <w:rPr>
                <w:rFonts w:ascii="Arial" w:hAnsi="Arial" w:cs="Arial"/>
              </w:rPr>
              <w:t>the</w:t>
            </w:r>
            <w:r w:rsidRPr="00276D5E">
              <w:rPr>
                <w:rFonts w:ascii="Arial" w:hAnsi="Arial" w:cs="Arial"/>
                <w:spacing w:val="-1"/>
              </w:rPr>
              <w:t xml:space="preserve"> </w:t>
            </w:r>
            <w:r w:rsidRPr="00276D5E">
              <w:rPr>
                <w:rFonts w:ascii="Arial" w:hAnsi="Arial" w:cs="Arial"/>
              </w:rPr>
              <w:t>competent</w:t>
            </w:r>
            <w:r w:rsidRPr="00276D5E">
              <w:rPr>
                <w:rFonts w:ascii="Arial" w:hAnsi="Arial" w:cs="Arial"/>
                <w:spacing w:val="-2"/>
              </w:rPr>
              <w:t xml:space="preserve"> </w:t>
            </w:r>
            <w:r w:rsidRPr="00276D5E">
              <w:rPr>
                <w:rFonts w:ascii="Arial" w:hAnsi="Arial" w:cs="Arial"/>
              </w:rPr>
              <w:t>authority</w:t>
            </w:r>
            <w:r w:rsidRPr="00276D5E">
              <w:rPr>
                <w:rFonts w:ascii="Arial" w:hAnsi="Arial" w:cs="Arial"/>
                <w:spacing w:val="-3"/>
              </w:rPr>
              <w:t xml:space="preserve"> </w:t>
            </w:r>
            <w:r w:rsidRPr="00276D5E">
              <w:rPr>
                <w:rFonts w:ascii="Arial" w:hAnsi="Arial" w:cs="Arial"/>
              </w:rPr>
              <w:t>that</w:t>
            </w:r>
            <w:r w:rsidRPr="00276D5E">
              <w:rPr>
                <w:rFonts w:ascii="Arial" w:hAnsi="Arial" w:cs="Arial"/>
                <w:spacing w:val="-2"/>
              </w:rPr>
              <w:t xml:space="preserve"> </w:t>
            </w:r>
            <w:r w:rsidRPr="00276D5E">
              <w:rPr>
                <w:rFonts w:ascii="Arial" w:hAnsi="Arial" w:cs="Arial"/>
              </w:rPr>
              <w:t>issued</w:t>
            </w:r>
            <w:r w:rsidRPr="00276D5E">
              <w:rPr>
                <w:rFonts w:ascii="Arial" w:hAnsi="Arial" w:cs="Arial"/>
                <w:spacing w:val="-2"/>
              </w:rPr>
              <w:t xml:space="preserve"> </w:t>
            </w:r>
            <w:r w:rsidRPr="00276D5E">
              <w:rPr>
                <w:rFonts w:ascii="Arial" w:hAnsi="Arial" w:cs="Arial"/>
              </w:rPr>
              <w:t>my</w:t>
            </w:r>
            <w:r w:rsidR="004B3B61">
              <w:rPr>
                <w:rFonts w:ascii="Arial" w:hAnsi="Arial" w:cs="Arial"/>
              </w:rPr>
              <w:t xml:space="preserve"> </w:t>
            </w:r>
            <w:r w:rsidRPr="004B3B61">
              <w:rPr>
                <w:rFonts w:ascii="Arial" w:hAnsi="Arial" w:cs="Arial"/>
              </w:rPr>
              <w:t>examiner</w:t>
            </w:r>
            <w:r w:rsidRPr="004B3B61">
              <w:rPr>
                <w:rFonts w:ascii="Arial" w:hAnsi="Arial" w:cs="Arial"/>
                <w:spacing w:val="-3"/>
              </w:rPr>
              <w:t xml:space="preserve"> </w:t>
            </w:r>
            <w:r w:rsidRPr="004B3B61">
              <w:rPr>
                <w:rFonts w:ascii="Arial" w:hAnsi="Arial" w:cs="Arial"/>
              </w:rPr>
              <w:t>certificate.</w:t>
            </w:r>
          </w:p>
        </w:tc>
      </w:tr>
      <w:tr w:rsidR="009163BF" w:rsidRPr="00276D5E" w14:paraId="6C6C7448" w14:textId="77777777" w:rsidTr="00AC6D92">
        <w:trPr>
          <w:gridAfter w:val="1"/>
          <w:wAfter w:w="9" w:type="dxa"/>
          <w:trHeight w:val="376"/>
        </w:trPr>
        <w:tc>
          <w:tcPr>
            <w:tcW w:w="4507" w:type="dxa"/>
            <w:gridSpan w:val="7"/>
          </w:tcPr>
          <w:p w14:paraId="0F4A8F3D" w14:textId="77777777" w:rsidR="009163BF" w:rsidRPr="00276D5E" w:rsidRDefault="009163BF" w:rsidP="00456F0A">
            <w:pPr>
              <w:pStyle w:val="TableParagraph"/>
              <w:spacing w:line="243" w:lineRule="exact"/>
              <w:ind w:left="107"/>
              <w:rPr>
                <w:rFonts w:ascii="Arial" w:hAnsi="Arial" w:cs="Arial"/>
              </w:rPr>
            </w:pPr>
            <w:r w:rsidRPr="00276D5E">
              <w:rPr>
                <w:rFonts w:ascii="Arial" w:hAnsi="Arial" w:cs="Arial"/>
              </w:rPr>
              <w:t>Examiner’s</w:t>
            </w:r>
            <w:r w:rsidRPr="00276D5E">
              <w:rPr>
                <w:rFonts w:ascii="Arial" w:hAnsi="Arial" w:cs="Arial"/>
                <w:spacing w:val="-5"/>
              </w:rPr>
              <w:t xml:space="preserve"> </w:t>
            </w:r>
            <w:r w:rsidRPr="00276D5E">
              <w:rPr>
                <w:rFonts w:ascii="Arial" w:hAnsi="Arial" w:cs="Arial"/>
              </w:rPr>
              <w:t>certificate</w:t>
            </w:r>
            <w:r w:rsidRPr="00276D5E">
              <w:rPr>
                <w:rFonts w:ascii="Arial" w:hAnsi="Arial" w:cs="Arial"/>
                <w:spacing w:val="-4"/>
              </w:rPr>
              <w:t xml:space="preserve"> </w:t>
            </w:r>
            <w:r w:rsidRPr="00276D5E">
              <w:rPr>
                <w:rFonts w:ascii="Arial" w:hAnsi="Arial" w:cs="Arial"/>
              </w:rPr>
              <w:t>number:</w:t>
            </w:r>
          </w:p>
        </w:tc>
        <w:tc>
          <w:tcPr>
            <w:tcW w:w="4510" w:type="dxa"/>
            <w:gridSpan w:val="3"/>
          </w:tcPr>
          <w:p w14:paraId="3A65BF66" w14:textId="77777777" w:rsidR="009163BF" w:rsidRPr="00276D5E" w:rsidRDefault="009163BF" w:rsidP="00456F0A">
            <w:pPr>
              <w:pStyle w:val="TableParagraph"/>
              <w:spacing w:line="243" w:lineRule="exact"/>
              <w:ind w:left="108"/>
              <w:rPr>
                <w:rFonts w:ascii="Arial" w:hAnsi="Arial" w:cs="Arial"/>
              </w:rPr>
            </w:pPr>
            <w:r w:rsidRPr="00276D5E">
              <w:rPr>
                <w:rFonts w:ascii="Arial" w:hAnsi="Arial" w:cs="Arial"/>
              </w:rPr>
              <w:t>Examiner’s</w:t>
            </w:r>
            <w:r w:rsidRPr="00276D5E">
              <w:rPr>
                <w:rFonts w:ascii="Arial" w:hAnsi="Arial" w:cs="Arial"/>
                <w:spacing w:val="-5"/>
              </w:rPr>
              <w:t xml:space="preserve"> </w:t>
            </w:r>
            <w:r w:rsidRPr="00276D5E">
              <w:rPr>
                <w:rFonts w:ascii="Arial" w:hAnsi="Arial" w:cs="Arial"/>
              </w:rPr>
              <w:t>BPL</w:t>
            </w:r>
            <w:r w:rsidRPr="00276D5E">
              <w:rPr>
                <w:rFonts w:ascii="Arial" w:hAnsi="Arial" w:cs="Arial"/>
                <w:spacing w:val="-2"/>
              </w:rPr>
              <w:t xml:space="preserve"> </w:t>
            </w:r>
            <w:r w:rsidRPr="00276D5E">
              <w:rPr>
                <w:rFonts w:ascii="Arial" w:hAnsi="Arial" w:cs="Arial"/>
              </w:rPr>
              <w:t>number:</w:t>
            </w:r>
          </w:p>
        </w:tc>
      </w:tr>
      <w:tr w:rsidR="009163BF" w:rsidRPr="00276D5E" w14:paraId="4D9B014B" w14:textId="77777777" w:rsidTr="00AC6D92">
        <w:trPr>
          <w:gridAfter w:val="1"/>
          <w:wAfter w:w="9" w:type="dxa"/>
          <w:trHeight w:val="376"/>
        </w:trPr>
        <w:tc>
          <w:tcPr>
            <w:tcW w:w="4507" w:type="dxa"/>
            <w:gridSpan w:val="7"/>
          </w:tcPr>
          <w:p w14:paraId="17B5F242" w14:textId="77777777" w:rsidR="009163BF" w:rsidRPr="00276D5E" w:rsidRDefault="009163BF" w:rsidP="00456F0A">
            <w:pPr>
              <w:pStyle w:val="TableParagraph"/>
              <w:spacing w:line="243" w:lineRule="exact"/>
              <w:ind w:left="107"/>
              <w:rPr>
                <w:rFonts w:ascii="Arial" w:hAnsi="Arial" w:cs="Arial"/>
              </w:rPr>
            </w:pPr>
            <w:r w:rsidRPr="00276D5E">
              <w:rPr>
                <w:rFonts w:ascii="Arial" w:hAnsi="Arial" w:cs="Arial"/>
              </w:rPr>
              <w:t>Examiner’s</w:t>
            </w:r>
            <w:r w:rsidRPr="00276D5E">
              <w:rPr>
                <w:rFonts w:ascii="Arial" w:hAnsi="Arial" w:cs="Arial"/>
                <w:spacing w:val="-5"/>
              </w:rPr>
              <w:t xml:space="preserve"> </w:t>
            </w:r>
            <w:r w:rsidRPr="00276D5E">
              <w:rPr>
                <w:rFonts w:ascii="Arial" w:hAnsi="Arial" w:cs="Arial"/>
              </w:rPr>
              <w:t>name</w:t>
            </w:r>
            <w:r w:rsidRPr="00276D5E">
              <w:rPr>
                <w:rFonts w:ascii="Arial" w:hAnsi="Arial" w:cs="Arial"/>
                <w:spacing w:val="-3"/>
              </w:rPr>
              <w:t xml:space="preserve"> </w:t>
            </w:r>
            <w:r w:rsidRPr="00276D5E">
              <w:rPr>
                <w:rFonts w:ascii="Arial" w:hAnsi="Arial" w:cs="Arial"/>
              </w:rPr>
              <w:t>(capital</w:t>
            </w:r>
            <w:r w:rsidRPr="00276D5E">
              <w:rPr>
                <w:rFonts w:ascii="Arial" w:hAnsi="Arial" w:cs="Arial"/>
                <w:spacing w:val="-3"/>
              </w:rPr>
              <w:t xml:space="preserve"> </w:t>
            </w:r>
            <w:r w:rsidRPr="00276D5E">
              <w:rPr>
                <w:rFonts w:ascii="Arial" w:hAnsi="Arial" w:cs="Arial"/>
              </w:rPr>
              <w:t>letters):</w:t>
            </w:r>
          </w:p>
        </w:tc>
        <w:tc>
          <w:tcPr>
            <w:tcW w:w="4510" w:type="dxa"/>
            <w:gridSpan w:val="3"/>
          </w:tcPr>
          <w:p w14:paraId="3A1B8A72" w14:textId="77777777" w:rsidR="009163BF" w:rsidRPr="00276D5E" w:rsidRDefault="009163BF" w:rsidP="00456F0A">
            <w:pPr>
              <w:pStyle w:val="TableParagraph"/>
              <w:spacing w:line="243" w:lineRule="exact"/>
              <w:ind w:left="108"/>
              <w:rPr>
                <w:rFonts w:ascii="Arial" w:hAnsi="Arial" w:cs="Arial"/>
              </w:rPr>
            </w:pPr>
            <w:r w:rsidRPr="00276D5E">
              <w:rPr>
                <w:rFonts w:ascii="Arial" w:hAnsi="Arial" w:cs="Arial"/>
              </w:rPr>
              <w:t>Date</w:t>
            </w:r>
            <w:r w:rsidRPr="00276D5E">
              <w:rPr>
                <w:rFonts w:ascii="Arial" w:hAnsi="Arial" w:cs="Arial"/>
                <w:spacing w:val="-4"/>
              </w:rPr>
              <w:t xml:space="preserve"> </w:t>
            </w:r>
            <w:r w:rsidRPr="00276D5E">
              <w:rPr>
                <w:rFonts w:ascii="Arial" w:hAnsi="Arial" w:cs="Arial"/>
              </w:rPr>
              <w:t>and</w:t>
            </w:r>
            <w:r w:rsidRPr="00276D5E">
              <w:rPr>
                <w:rFonts w:ascii="Arial" w:hAnsi="Arial" w:cs="Arial"/>
                <w:spacing w:val="-2"/>
              </w:rPr>
              <w:t xml:space="preserve"> </w:t>
            </w:r>
            <w:r w:rsidRPr="00276D5E">
              <w:rPr>
                <w:rFonts w:ascii="Arial" w:hAnsi="Arial" w:cs="Arial"/>
              </w:rPr>
              <w:t>examiner’s</w:t>
            </w:r>
            <w:r w:rsidRPr="00276D5E">
              <w:rPr>
                <w:rFonts w:ascii="Arial" w:hAnsi="Arial" w:cs="Arial"/>
                <w:spacing w:val="-4"/>
              </w:rPr>
              <w:t xml:space="preserve"> </w:t>
            </w:r>
            <w:r w:rsidRPr="00276D5E">
              <w:rPr>
                <w:rFonts w:ascii="Arial" w:hAnsi="Arial" w:cs="Arial"/>
              </w:rPr>
              <w:t>signature:</w:t>
            </w:r>
          </w:p>
        </w:tc>
      </w:tr>
      <w:tr w:rsidR="009163BF" w:rsidRPr="00276D5E" w14:paraId="05C39EAF" w14:textId="77777777" w:rsidTr="005E15BF">
        <w:trPr>
          <w:gridAfter w:val="1"/>
          <w:wAfter w:w="9" w:type="dxa"/>
          <w:trHeight w:val="244"/>
        </w:trPr>
        <w:tc>
          <w:tcPr>
            <w:tcW w:w="355" w:type="dxa"/>
            <w:shd w:val="clear" w:color="auto" w:fill="F2F2F2" w:themeFill="background1" w:themeFillShade="F2"/>
          </w:tcPr>
          <w:p w14:paraId="4E8D77D5" w14:textId="77777777" w:rsidR="009163BF" w:rsidRPr="00276D5E" w:rsidRDefault="009163BF" w:rsidP="00456F0A">
            <w:pPr>
              <w:pStyle w:val="TableParagraph"/>
              <w:spacing w:line="224" w:lineRule="exact"/>
              <w:ind w:left="107"/>
              <w:rPr>
                <w:rFonts w:ascii="Arial" w:hAnsi="Arial" w:cs="Arial"/>
                <w:b/>
              </w:rPr>
            </w:pPr>
            <w:r w:rsidRPr="00276D5E">
              <w:rPr>
                <w:rFonts w:ascii="Arial" w:hAnsi="Arial" w:cs="Arial"/>
                <w:b/>
                <w:w w:val="99"/>
              </w:rPr>
              <w:t>7</w:t>
            </w:r>
          </w:p>
        </w:tc>
        <w:tc>
          <w:tcPr>
            <w:tcW w:w="8662" w:type="dxa"/>
            <w:gridSpan w:val="9"/>
            <w:shd w:val="clear" w:color="auto" w:fill="F2F2F2" w:themeFill="background1" w:themeFillShade="F2"/>
          </w:tcPr>
          <w:p w14:paraId="243AFB33" w14:textId="77777777" w:rsidR="009163BF" w:rsidRPr="00276D5E" w:rsidRDefault="009163BF" w:rsidP="00456F0A">
            <w:pPr>
              <w:pStyle w:val="TableParagraph"/>
              <w:spacing w:line="224" w:lineRule="exact"/>
              <w:ind w:left="108"/>
              <w:rPr>
                <w:rFonts w:ascii="Arial" w:hAnsi="Arial" w:cs="Arial"/>
                <w:b/>
              </w:rPr>
            </w:pPr>
            <w:r w:rsidRPr="00276D5E">
              <w:rPr>
                <w:rFonts w:ascii="Arial" w:hAnsi="Arial" w:cs="Arial"/>
                <w:b/>
              </w:rPr>
              <w:t>Attachments</w:t>
            </w:r>
          </w:p>
        </w:tc>
      </w:tr>
      <w:tr w:rsidR="009163BF" w:rsidRPr="00276D5E" w14:paraId="14AEFF1D" w14:textId="77777777" w:rsidTr="00AC6D92">
        <w:trPr>
          <w:gridAfter w:val="1"/>
          <w:wAfter w:w="9" w:type="dxa"/>
          <w:trHeight w:val="489"/>
        </w:trPr>
        <w:tc>
          <w:tcPr>
            <w:tcW w:w="9017" w:type="dxa"/>
            <w:gridSpan w:val="10"/>
          </w:tcPr>
          <w:p w14:paraId="3CAB5A2B" w14:textId="77777777" w:rsidR="009163BF" w:rsidRPr="00276D5E" w:rsidRDefault="009163BF" w:rsidP="004B3B61">
            <w:pPr>
              <w:pStyle w:val="TableParagraph"/>
              <w:spacing w:line="244" w:lineRule="exact"/>
              <w:ind w:left="107"/>
              <w:rPr>
                <w:rFonts w:ascii="Arial" w:hAnsi="Arial" w:cs="Arial"/>
              </w:rPr>
            </w:pPr>
            <w:r w:rsidRPr="00276D5E">
              <w:rPr>
                <w:rFonts w:ascii="Arial" w:hAnsi="Arial" w:cs="Arial"/>
              </w:rPr>
              <w:t>Detailed</w:t>
            </w:r>
            <w:r w:rsidRPr="00276D5E">
              <w:rPr>
                <w:rFonts w:ascii="Arial" w:hAnsi="Arial" w:cs="Arial"/>
                <w:spacing w:val="-3"/>
              </w:rPr>
              <w:t xml:space="preserve"> </w:t>
            </w:r>
            <w:r w:rsidRPr="00276D5E">
              <w:rPr>
                <w:rFonts w:ascii="Arial" w:hAnsi="Arial" w:cs="Arial"/>
              </w:rPr>
              <w:t>report</w:t>
            </w:r>
            <w:r w:rsidRPr="00276D5E">
              <w:rPr>
                <w:rFonts w:ascii="Arial" w:hAnsi="Arial" w:cs="Arial"/>
                <w:spacing w:val="-2"/>
              </w:rPr>
              <w:t xml:space="preserve"> </w:t>
            </w:r>
            <w:r w:rsidRPr="00276D5E">
              <w:rPr>
                <w:rFonts w:ascii="Arial" w:hAnsi="Arial" w:cs="Arial"/>
              </w:rPr>
              <w:t>of</w:t>
            </w:r>
            <w:r w:rsidRPr="00276D5E">
              <w:rPr>
                <w:rFonts w:ascii="Arial" w:hAnsi="Arial" w:cs="Arial"/>
                <w:spacing w:val="-1"/>
              </w:rPr>
              <w:t xml:space="preserve"> </w:t>
            </w:r>
            <w:r w:rsidRPr="00276D5E">
              <w:rPr>
                <w:rFonts w:ascii="Arial" w:hAnsi="Arial" w:cs="Arial"/>
              </w:rPr>
              <w:t>skill</w:t>
            </w:r>
            <w:r w:rsidRPr="00276D5E">
              <w:rPr>
                <w:rFonts w:ascii="Arial" w:hAnsi="Arial" w:cs="Arial"/>
                <w:spacing w:val="-3"/>
              </w:rPr>
              <w:t xml:space="preserve"> </w:t>
            </w:r>
            <w:r w:rsidRPr="00276D5E">
              <w:rPr>
                <w:rFonts w:ascii="Arial" w:hAnsi="Arial" w:cs="Arial"/>
              </w:rPr>
              <w:t>test</w:t>
            </w:r>
            <w:r w:rsidRPr="00276D5E">
              <w:rPr>
                <w:rFonts w:ascii="Arial" w:hAnsi="Arial" w:cs="Arial"/>
                <w:spacing w:val="-3"/>
              </w:rPr>
              <w:t xml:space="preserve"> </w:t>
            </w:r>
            <w:r w:rsidRPr="00276D5E">
              <w:rPr>
                <w:rFonts w:ascii="Arial" w:hAnsi="Arial" w:cs="Arial"/>
              </w:rPr>
              <w:t>or</w:t>
            </w:r>
            <w:r w:rsidRPr="00276D5E">
              <w:rPr>
                <w:rFonts w:ascii="Arial" w:hAnsi="Arial" w:cs="Arial"/>
                <w:spacing w:val="-2"/>
              </w:rPr>
              <w:t xml:space="preserve"> </w:t>
            </w:r>
            <w:r w:rsidRPr="00276D5E">
              <w:rPr>
                <w:rFonts w:ascii="Arial" w:hAnsi="Arial" w:cs="Arial"/>
              </w:rPr>
              <w:t>proficiency</w:t>
            </w:r>
            <w:r w:rsidRPr="00276D5E">
              <w:rPr>
                <w:rFonts w:ascii="Arial" w:hAnsi="Arial" w:cs="Arial"/>
                <w:spacing w:val="-2"/>
              </w:rPr>
              <w:t xml:space="preserve"> </w:t>
            </w:r>
            <w:r w:rsidRPr="00276D5E">
              <w:rPr>
                <w:rFonts w:ascii="Arial" w:hAnsi="Arial" w:cs="Arial"/>
              </w:rPr>
              <w:t>check</w:t>
            </w:r>
            <w:r w:rsidRPr="00276D5E">
              <w:rPr>
                <w:rFonts w:ascii="Arial" w:hAnsi="Arial" w:cs="Arial"/>
                <w:spacing w:val="-2"/>
              </w:rPr>
              <w:t xml:space="preserve"> </w:t>
            </w:r>
            <w:r w:rsidRPr="00276D5E">
              <w:rPr>
                <w:rFonts w:ascii="Arial" w:hAnsi="Arial" w:cs="Arial"/>
              </w:rPr>
              <w:t>as</w:t>
            </w:r>
            <w:r w:rsidRPr="00276D5E">
              <w:rPr>
                <w:rFonts w:ascii="Arial" w:hAnsi="Arial" w:cs="Arial"/>
                <w:spacing w:val="-3"/>
              </w:rPr>
              <w:t xml:space="preserve"> </w:t>
            </w:r>
            <w:r w:rsidRPr="00276D5E">
              <w:rPr>
                <w:rFonts w:ascii="Arial" w:hAnsi="Arial" w:cs="Arial"/>
              </w:rPr>
              <w:t>per</w:t>
            </w:r>
            <w:r w:rsidRPr="00276D5E">
              <w:rPr>
                <w:rFonts w:ascii="Arial" w:hAnsi="Arial" w:cs="Arial"/>
                <w:spacing w:val="-3"/>
              </w:rPr>
              <w:t xml:space="preserve"> </w:t>
            </w:r>
            <w:r w:rsidRPr="00276D5E">
              <w:rPr>
                <w:rFonts w:ascii="Arial" w:hAnsi="Arial" w:cs="Arial"/>
              </w:rPr>
              <w:t>AMC1</w:t>
            </w:r>
            <w:r w:rsidRPr="00276D5E">
              <w:rPr>
                <w:rFonts w:ascii="Arial" w:hAnsi="Arial" w:cs="Arial"/>
                <w:spacing w:val="-3"/>
              </w:rPr>
              <w:t xml:space="preserve"> </w:t>
            </w:r>
            <w:r w:rsidRPr="00276D5E">
              <w:rPr>
                <w:rFonts w:ascii="Arial" w:hAnsi="Arial" w:cs="Arial"/>
              </w:rPr>
              <w:t>BFCL.145</w:t>
            </w:r>
            <w:r w:rsidRPr="00276D5E">
              <w:rPr>
                <w:rFonts w:ascii="Arial" w:hAnsi="Arial" w:cs="Arial"/>
                <w:spacing w:val="-3"/>
              </w:rPr>
              <w:t xml:space="preserve"> </w:t>
            </w:r>
            <w:r w:rsidRPr="00276D5E">
              <w:rPr>
                <w:rFonts w:ascii="Arial" w:hAnsi="Arial" w:cs="Arial"/>
              </w:rPr>
              <w:t>or</w:t>
            </w:r>
            <w:r w:rsidRPr="00276D5E">
              <w:rPr>
                <w:rFonts w:ascii="Arial" w:hAnsi="Arial" w:cs="Arial"/>
                <w:spacing w:val="-2"/>
              </w:rPr>
              <w:t xml:space="preserve"> </w:t>
            </w:r>
            <w:r w:rsidRPr="00276D5E">
              <w:rPr>
                <w:rFonts w:ascii="Arial" w:hAnsi="Arial" w:cs="Arial"/>
              </w:rPr>
              <w:t>AMC1</w:t>
            </w:r>
            <w:r w:rsidRPr="00276D5E">
              <w:rPr>
                <w:rFonts w:ascii="Arial" w:hAnsi="Arial" w:cs="Arial"/>
                <w:spacing w:val="-4"/>
              </w:rPr>
              <w:t xml:space="preserve"> </w:t>
            </w:r>
            <w:r w:rsidRPr="00276D5E">
              <w:rPr>
                <w:rFonts w:ascii="Arial" w:hAnsi="Arial" w:cs="Arial"/>
              </w:rPr>
              <w:t>BFCL.215</w:t>
            </w:r>
            <w:r w:rsidRPr="00276D5E">
              <w:rPr>
                <w:rFonts w:ascii="Arial" w:hAnsi="Arial" w:cs="Arial"/>
                <w:spacing w:val="-2"/>
              </w:rPr>
              <w:t xml:space="preserve"> </w:t>
            </w:r>
            <w:r w:rsidRPr="00276D5E">
              <w:rPr>
                <w:rFonts w:ascii="Arial" w:hAnsi="Arial" w:cs="Arial"/>
              </w:rPr>
              <w:t>(as</w:t>
            </w:r>
            <w:r w:rsidRPr="00276D5E">
              <w:rPr>
                <w:rFonts w:ascii="Arial" w:hAnsi="Arial" w:cs="Arial"/>
                <w:spacing w:val="-4"/>
              </w:rPr>
              <w:t xml:space="preserve"> </w:t>
            </w:r>
            <w:r w:rsidRPr="00276D5E">
              <w:rPr>
                <w:rFonts w:ascii="Arial" w:hAnsi="Arial" w:cs="Arial"/>
              </w:rPr>
              <w:t>applicable)</w:t>
            </w:r>
            <w:r w:rsidRPr="00276D5E">
              <w:rPr>
                <w:rFonts w:ascii="Arial" w:hAnsi="Arial" w:cs="Arial"/>
                <w:spacing w:val="-3"/>
              </w:rPr>
              <w:t xml:space="preserve"> </w:t>
            </w:r>
            <w:r w:rsidR="004B3B61">
              <w:rPr>
                <w:rFonts w:ascii="Arial" w:hAnsi="Arial" w:cs="Arial"/>
              </w:rPr>
              <w:t xml:space="preserve">to </w:t>
            </w:r>
            <w:r w:rsidRPr="00276D5E">
              <w:rPr>
                <w:rFonts w:ascii="Arial" w:hAnsi="Arial" w:cs="Arial"/>
              </w:rPr>
              <w:t>be</w:t>
            </w:r>
            <w:r w:rsidRPr="00276D5E">
              <w:rPr>
                <w:rFonts w:ascii="Arial" w:hAnsi="Arial" w:cs="Arial"/>
                <w:spacing w:val="-3"/>
              </w:rPr>
              <w:t xml:space="preserve"> </w:t>
            </w:r>
            <w:r w:rsidRPr="00276D5E">
              <w:rPr>
                <w:rFonts w:ascii="Arial" w:hAnsi="Arial" w:cs="Arial"/>
              </w:rPr>
              <w:t>attached</w:t>
            </w:r>
          </w:p>
        </w:tc>
      </w:tr>
      <w:tr w:rsidR="009163BF" w:rsidRPr="00276D5E" w14:paraId="2770C61E" w14:textId="77777777" w:rsidTr="00AC6D92">
        <w:trPr>
          <w:gridAfter w:val="1"/>
          <w:wAfter w:w="9" w:type="dxa"/>
          <w:trHeight w:val="489"/>
        </w:trPr>
        <w:tc>
          <w:tcPr>
            <w:tcW w:w="9017" w:type="dxa"/>
            <w:gridSpan w:val="10"/>
          </w:tcPr>
          <w:p w14:paraId="187DA6B2" w14:textId="77777777" w:rsidR="009163BF" w:rsidRPr="00276D5E" w:rsidRDefault="009163BF" w:rsidP="004B3B61">
            <w:pPr>
              <w:pStyle w:val="TableParagraph"/>
              <w:spacing w:line="243" w:lineRule="exact"/>
              <w:ind w:left="107"/>
              <w:rPr>
                <w:rFonts w:ascii="Arial" w:hAnsi="Arial" w:cs="Arial"/>
              </w:rPr>
            </w:pPr>
            <w:r w:rsidRPr="00276D5E">
              <w:rPr>
                <w:rFonts w:ascii="Arial" w:hAnsi="Arial" w:cs="Arial"/>
              </w:rPr>
              <w:t>Copy</w:t>
            </w:r>
            <w:r w:rsidRPr="00276D5E">
              <w:rPr>
                <w:rFonts w:ascii="Arial" w:hAnsi="Arial" w:cs="Arial"/>
                <w:spacing w:val="-2"/>
              </w:rPr>
              <w:t xml:space="preserve"> </w:t>
            </w:r>
            <w:r w:rsidRPr="00276D5E">
              <w:rPr>
                <w:rFonts w:ascii="Arial" w:hAnsi="Arial" w:cs="Arial"/>
              </w:rPr>
              <w:t>of</w:t>
            </w:r>
            <w:r w:rsidRPr="00276D5E">
              <w:rPr>
                <w:rFonts w:ascii="Arial" w:hAnsi="Arial" w:cs="Arial"/>
                <w:spacing w:val="-4"/>
              </w:rPr>
              <w:t xml:space="preserve"> </w:t>
            </w:r>
            <w:r w:rsidRPr="00276D5E">
              <w:rPr>
                <w:rFonts w:ascii="Arial" w:hAnsi="Arial" w:cs="Arial"/>
              </w:rPr>
              <w:t>the</w:t>
            </w:r>
            <w:r w:rsidRPr="00276D5E">
              <w:rPr>
                <w:rFonts w:ascii="Arial" w:hAnsi="Arial" w:cs="Arial"/>
                <w:spacing w:val="-3"/>
              </w:rPr>
              <w:t xml:space="preserve"> </w:t>
            </w:r>
            <w:r w:rsidRPr="00276D5E">
              <w:rPr>
                <w:rFonts w:ascii="Arial" w:hAnsi="Arial" w:cs="Arial"/>
              </w:rPr>
              <w:t>FE(B)</w:t>
            </w:r>
            <w:r w:rsidRPr="00276D5E">
              <w:rPr>
                <w:rFonts w:ascii="Arial" w:hAnsi="Arial" w:cs="Arial"/>
                <w:spacing w:val="-3"/>
              </w:rPr>
              <w:t xml:space="preserve"> </w:t>
            </w:r>
            <w:r w:rsidRPr="00276D5E">
              <w:rPr>
                <w:rFonts w:ascii="Arial" w:hAnsi="Arial" w:cs="Arial"/>
              </w:rPr>
              <w:t>certificate</w:t>
            </w:r>
            <w:r w:rsidRPr="00276D5E">
              <w:rPr>
                <w:rFonts w:ascii="Arial" w:hAnsi="Arial" w:cs="Arial"/>
                <w:spacing w:val="-3"/>
              </w:rPr>
              <w:t xml:space="preserve"> </w:t>
            </w:r>
            <w:r w:rsidRPr="00276D5E">
              <w:rPr>
                <w:rFonts w:ascii="Arial" w:hAnsi="Arial" w:cs="Arial"/>
              </w:rPr>
              <w:t>(in</w:t>
            </w:r>
            <w:r w:rsidRPr="00276D5E">
              <w:rPr>
                <w:rFonts w:ascii="Arial" w:hAnsi="Arial" w:cs="Arial"/>
                <w:spacing w:val="-2"/>
              </w:rPr>
              <w:t xml:space="preserve"> </w:t>
            </w:r>
            <w:r w:rsidRPr="00276D5E">
              <w:rPr>
                <w:rFonts w:ascii="Arial" w:hAnsi="Arial" w:cs="Arial"/>
              </w:rPr>
              <w:t>cases</w:t>
            </w:r>
            <w:r w:rsidRPr="00276D5E">
              <w:rPr>
                <w:rFonts w:ascii="Arial" w:hAnsi="Arial" w:cs="Arial"/>
                <w:spacing w:val="-1"/>
              </w:rPr>
              <w:t xml:space="preserve"> </w:t>
            </w:r>
            <w:r w:rsidRPr="00276D5E">
              <w:rPr>
                <w:rFonts w:ascii="Arial" w:hAnsi="Arial" w:cs="Arial"/>
              </w:rPr>
              <w:t>where</w:t>
            </w:r>
            <w:r w:rsidRPr="00276D5E">
              <w:rPr>
                <w:rFonts w:ascii="Arial" w:hAnsi="Arial" w:cs="Arial"/>
                <w:spacing w:val="-3"/>
              </w:rPr>
              <w:t xml:space="preserve"> </w:t>
            </w:r>
            <w:r w:rsidRPr="00276D5E">
              <w:rPr>
                <w:rFonts w:ascii="Arial" w:hAnsi="Arial" w:cs="Arial"/>
              </w:rPr>
              <w:t>the</w:t>
            </w:r>
            <w:r w:rsidRPr="00276D5E">
              <w:rPr>
                <w:rFonts w:ascii="Arial" w:hAnsi="Arial" w:cs="Arial"/>
                <w:spacing w:val="-3"/>
              </w:rPr>
              <w:t xml:space="preserve"> </w:t>
            </w:r>
            <w:r w:rsidRPr="00276D5E">
              <w:rPr>
                <w:rFonts w:ascii="Arial" w:hAnsi="Arial" w:cs="Arial"/>
              </w:rPr>
              <w:t>competent</w:t>
            </w:r>
            <w:r w:rsidRPr="00276D5E">
              <w:rPr>
                <w:rFonts w:ascii="Arial" w:hAnsi="Arial" w:cs="Arial"/>
                <w:spacing w:val="-2"/>
              </w:rPr>
              <w:t xml:space="preserve"> </w:t>
            </w:r>
            <w:r w:rsidRPr="00276D5E">
              <w:rPr>
                <w:rFonts w:ascii="Arial" w:hAnsi="Arial" w:cs="Arial"/>
              </w:rPr>
              <w:t>authority</w:t>
            </w:r>
            <w:r w:rsidRPr="00276D5E">
              <w:rPr>
                <w:rFonts w:ascii="Arial" w:hAnsi="Arial" w:cs="Arial"/>
                <w:spacing w:val="-2"/>
              </w:rPr>
              <w:t xml:space="preserve"> </w:t>
            </w:r>
            <w:r w:rsidRPr="00276D5E">
              <w:rPr>
                <w:rFonts w:ascii="Arial" w:hAnsi="Arial" w:cs="Arial"/>
              </w:rPr>
              <w:t>of</w:t>
            </w:r>
            <w:r w:rsidRPr="00276D5E">
              <w:rPr>
                <w:rFonts w:ascii="Arial" w:hAnsi="Arial" w:cs="Arial"/>
                <w:spacing w:val="-4"/>
              </w:rPr>
              <w:t xml:space="preserve"> </w:t>
            </w:r>
            <w:r w:rsidRPr="00276D5E">
              <w:rPr>
                <w:rFonts w:ascii="Arial" w:hAnsi="Arial" w:cs="Arial"/>
              </w:rPr>
              <w:t>the</w:t>
            </w:r>
            <w:r w:rsidRPr="00276D5E">
              <w:rPr>
                <w:rFonts w:ascii="Arial" w:hAnsi="Arial" w:cs="Arial"/>
                <w:spacing w:val="-3"/>
              </w:rPr>
              <w:t xml:space="preserve"> </w:t>
            </w:r>
            <w:r w:rsidRPr="00276D5E">
              <w:rPr>
                <w:rFonts w:ascii="Arial" w:hAnsi="Arial" w:cs="Arial"/>
              </w:rPr>
              <w:t>applicant</w:t>
            </w:r>
            <w:r w:rsidRPr="00276D5E">
              <w:rPr>
                <w:rFonts w:ascii="Arial" w:hAnsi="Arial" w:cs="Arial"/>
                <w:spacing w:val="-2"/>
              </w:rPr>
              <w:t xml:space="preserve"> </w:t>
            </w:r>
            <w:r w:rsidRPr="00276D5E">
              <w:rPr>
                <w:rFonts w:ascii="Arial" w:hAnsi="Arial" w:cs="Arial"/>
              </w:rPr>
              <w:t>is</w:t>
            </w:r>
            <w:r w:rsidRPr="00276D5E">
              <w:rPr>
                <w:rFonts w:ascii="Arial" w:hAnsi="Arial" w:cs="Arial"/>
                <w:spacing w:val="-4"/>
              </w:rPr>
              <w:t xml:space="preserve"> </w:t>
            </w:r>
            <w:r w:rsidRPr="00276D5E">
              <w:rPr>
                <w:rFonts w:ascii="Arial" w:hAnsi="Arial" w:cs="Arial"/>
              </w:rPr>
              <w:t>different</w:t>
            </w:r>
            <w:r w:rsidRPr="00276D5E">
              <w:rPr>
                <w:rFonts w:ascii="Arial" w:hAnsi="Arial" w:cs="Arial"/>
                <w:spacing w:val="-2"/>
              </w:rPr>
              <w:t xml:space="preserve"> </w:t>
            </w:r>
            <w:r w:rsidRPr="00276D5E">
              <w:rPr>
                <w:rFonts w:ascii="Arial" w:hAnsi="Arial" w:cs="Arial"/>
              </w:rPr>
              <w:t>from</w:t>
            </w:r>
            <w:r w:rsidRPr="00276D5E">
              <w:rPr>
                <w:rFonts w:ascii="Arial" w:hAnsi="Arial" w:cs="Arial"/>
                <w:spacing w:val="-3"/>
              </w:rPr>
              <w:t xml:space="preserve"> </w:t>
            </w:r>
            <w:r w:rsidR="004B3B61">
              <w:rPr>
                <w:rFonts w:ascii="Arial" w:hAnsi="Arial" w:cs="Arial"/>
              </w:rPr>
              <w:t xml:space="preserve">the </w:t>
            </w:r>
            <w:r w:rsidRPr="00276D5E">
              <w:rPr>
                <w:rFonts w:ascii="Arial" w:hAnsi="Arial" w:cs="Arial"/>
              </w:rPr>
              <w:t>competent</w:t>
            </w:r>
            <w:r w:rsidRPr="00276D5E">
              <w:rPr>
                <w:rFonts w:ascii="Arial" w:hAnsi="Arial" w:cs="Arial"/>
                <w:spacing w:val="-2"/>
              </w:rPr>
              <w:t xml:space="preserve"> </w:t>
            </w:r>
            <w:r w:rsidRPr="00276D5E">
              <w:rPr>
                <w:rFonts w:ascii="Arial" w:hAnsi="Arial" w:cs="Arial"/>
              </w:rPr>
              <w:t>authority</w:t>
            </w:r>
            <w:r w:rsidRPr="00276D5E">
              <w:rPr>
                <w:rFonts w:ascii="Arial" w:hAnsi="Arial" w:cs="Arial"/>
                <w:spacing w:val="-2"/>
              </w:rPr>
              <w:t xml:space="preserve"> </w:t>
            </w:r>
            <w:r w:rsidRPr="00276D5E">
              <w:rPr>
                <w:rFonts w:ascii="Arial" w:hAnsi="Arial" w:cs="Arial"/>
              </w:rPr>
              <w:t>of</w:t>
            </w:r>
            <w:r w:rsidRPr="00276D5E">
              <w:rPr>
                <w:rFonts w:ascii="Arial" w:hAnsi="Arial" w:cs="Arial"/>
                <w:spacing w:val="-4"/>
              </w:rPr>
              <w:t xml:space="preserve"> </w:t>
            </w:r>
            <w:r w:rsidRPr="00276D5E">
              <w:rPr>
                <w:rFonts w:ascii="Arial" w:hAnsi="Arial" w:cs="Arial"/>
              </w:rPr>
              <w:t>the</w:t>
            </w:r>
            <w:r w:rsidRPr="00276D5E">
              <w:rPr>
                <w:rFonts w:ascii="Arial" w:hAnsi="Arial" w:cs="Arial"/>
                <w:spacing w:val="-2"/>
              </w:rPr>
              <w:t xml:space="preserve"> </w:t>
            </w:r>
            <w:r w:rsidRPr="00276D5E">
              <w:rPr>
                <w:rFonts w:ascii="Arial" w:hAnsi="Arial" w:cs="Arial"/>
              </w:rPr>
              <w:t>examiner)</w:t>
            </w:r>
          </w:p>
        </w:tc>
      </w:tr>
    </w:tbl>
    <w:p w14:paraId="2C6D435E" w14:textId="77777777" w:rsidR="009163BF" w:rsidRDefault="009163BF" w:rsidP="009163BF">
      <w:pPr>
        <w:jc w:val="both"/>
        <w:rPr>
          <w:rFonts w:ascii="Arial" w:eastAsia="Times New Roman" w:hAnsi="Arial" w:cs="Times New Roman"/>
          <w:sz w:val="20"/>
        </w:rPr>
      </w:pPr>
    </w:p>
    <w:p w14:paraId="76BE3826" w14:textId="77777777" w:rsidR="00EE2815" w:rsidRDefault="00EE2815" w:rsidP="009163BF">
      <w:pPr>
        <w:jc w:val="both"/>
        <w:rPr>
          <w:rFonts w:ascii="Arial" w:eastAsia="Times New Roman" w:hAnsi="Arial" w:cs="Times New Roman"/>
          <w:sz w:val="20"/>
        </w:rPr>
      </w:pPr>
    </w:p>
    <w:p w14:paraId="7A7D032F" w14:textId="77777777" w:rsidR="00EE2815" w:rsidRDefault="00EE2815" w:rsidP="009163BF">
      <w:pPr>
        <w:jc w:val="both"/>
        <w:rPr>
          <w:rFonts w:ascii="Arial" w:eastAsia="Times New Roman" w:hAnsi="Arial" w:cs="Times New Roman"/>
          <w:sz w:val="20"/>
        </w:rPr>
      </w:pPr>
    </w:p>
    <w:p w14:paraId="28F02C2B" w14:textId="77777777" w:rsidR="00EE2815" w:rsidRDefault="00EE2815" w:rsidP="009163BF">
      <w:pPr>
        <w:jc w:val="both"/>
        <w:rPr>
          <w:rFonts w:ascii="Arial" w:eastAsia="Times New Roman" w:hAnsi="Arial" w:cs="Times New Roman"/>
          <w:sz w:val="20"/>
        </w:rPr>
      </w:pPr>
    </w:p>
    <w:p w14:paraId="20DB3E79" w14:textId="77777777" w:rsidR="00EE2815" w:rsidRDefault="00EE2815" w:rsidP="009163BF">
      <w:pPr>
        <w:jc w:val="both"/>
        <w:rPr>
          <w:rFonts w:ascii="Arial" w:eastAsia="Times New Roman" w:hAnsi="Arial" w:cs="Times New Roman"/>
          <w:sz w:val="20"/>
        </w:rPr>
      </w:pPr>
    </w:p>
    <w:p w14:paraId="15F85B10" w14:textId="77777777" w:rsidR="00EE2815" w:rsidRDefault="00EE2815" w:rsidP="009163BF">
      <w:pPr>
        <w:jc w:val="both"/>
        <w:rPr>
          <w:rFonts w:ascii="Arial" w:eastAsia="Times New Roman" w:hAnsi="Arial" w:cs="Times New Roman"/>
          <w:sz w:val="20"/>
        </w:rPr>
      </w:pPr>
    </w:p>
    <w:p w14:paraId="73CA23A4" w14:textId="77777777" w:rsidR="00EE2815" w:rsidRDefault="00EE2815" w:rsidP="009163BF">
      <w:pPr>
        <w:jc w:val="both"/>
        <w:rPr>
          <w:rFonts w:ascii="Arial" w:eastAsia="Times New Roman" w:hAnsi="Arial" w:cs="Times New Roman"/>
          <w:sz w:val="20"/>
        </w:rPr>
      </w:pPr>
    </w:p>
    <w:p w14:paraId="2CC63893" w14:textId="77777777" w:rsidR="00EE2815" w:rsidRDefault="00EE2815" w:rsidP="009163BF">
      <w:pPr>
        <w:jc w:val="both"/>
        <w:rPr>
          <w:rFonts w:ascii="Arial" w:eastAsia="Times New Roman" w:hAnsi="Arial" w:cs="Times New Roman"/>
          <w:sz w:val="20"/>
        </w:rPr>
      </w:pPr>
    </w:p>
    <w:p w14:paraId="4B752BC1" w14:textId="77777777" w:rsidR="00EE2815" w:rsidRDefault="00EE2815" w:rsidP="009163BF">
      <w:pPr>
        <w:jc w:val="both"/>
        <w:rPr>
          <w:rFonts w:ascii="Arial" w:eastAsia="Times New Roman" w:hAnsi="Arial" w:cs="Times New Roman"/>
          <w:sz w:val="20"/>
        </w:rPr>
      </w:pPr>
    </w:p>
    <w:p w14:paraId="691C6879" w14:textId="77777777" w:rsidR="00EE2815" w:rsidRDefault="00EE2815" w:rsidP="009163BF">
      <w:pPr>
        <w:jc w:val="both"/>
        <w:rPr>
          <w:rFonts w:ascii="Arial" w:eastAsia="Times New Roman" w:hAnsi="Arial" w:cs="Times New Roman"/>
          <w:sz w:val="20"/>
        </w:rPr>
      </w:pPr>
    </w:p>
    <w:p w14:paraId="01E0D03D" w14:textId="77777777" w:rsidR="00EE2815" w:rsidRDefault="00EE2815" w:rsidP="009163BF">
      <w:pPr>
        <w:jc w:val="both"/>
        <w:rPr>
          <w:rFonts w:ascii="Arial" w:eastAsia="Times New Roman" w:hAnsi="Arial" w:cs="Times New Roman"/>
          <w:sz w:val="20"/>
        </w:rPr>
      </w:pPr>
    </w:p>
    <w:p w14:paraId="28A16551" w14:textId="77777777" w:rsidR="00EE2815" w:rsidRDefault="00EE2815" w:rsidP="009163BF">
      <w:pPr>
        <w:jc w:val="both"/>
        <w:rPr>
          <w:rFonts w:ascii="Arial" w:eastAsia="Times New Roman" w:hAnsi="Arial" w:cs="Times New Roman"/>
          <w:sz w:val="20"/>
        </w:rPr>
      </w:pPr>
    </w:p>
    <w:p w14:paraId="52B88DE6" w14:textId="77777777" w:rsidR="00EE2815" w:rsidRDefault="00EE2815" w:rsidP="009163BF">
      <w:pPr>
        <w:jc w:val="both"/>
        <w:rPr>
          <w:rFonts w:ascii="Arial" w:eastAsia="Times New Roman" w:hAnsi="Arial" w:cs="Times New Roman"/>
          <w:sz w:val="20"/>
        </w:rPr>
      </w:pPr>
    </w:p>
    <w:p w14:paraId="0D288740" w14:textId="77777777" w:rsidR="00EE2815" w:rsidRDefault="00EE2815" w:rsidP="009163BF">
      <w:pPr>
        <w:jc w:val="both"/>
        <w:rPr>
          <w:rFonts w:ascii="Arial" w:eastAsia="Times New Roman" w:hAnsi="Arial" w:cs="Times New Roman"/>
          <w:sz w:val="20"/>
        </w:rPr>
      </w:pPr>
    </w:p>
    <w:p w14:paraId="66D95BCB" w14:textId="77777777" w:rsidR="00EE2815" w:rsidRDefault="00EE2815" w:rsidP="009163BF">
      <w:pPr>
        <w:jc w:val="both"/>
        <w:rPr>
          <w:rFonts w:ascii="Arial" w:eastAsia="Times New Roman" w:hAnsi="Arial" w:cs="Times New Roman"/>
          <w:sz w:val="20"/>
        </w:rPr>
      </w:pPr>
    </w:p>
    <w:p w14:paraId="3BA367C4" w14:textId="77777777" w:rsidR="00EE2815" w:rsidRDefault="00EE2815" w:rsidP="009163BF">
      <w:pPr>
        <w:jc w:val="both"/>
        <w:rPr>
          <w:rFonts w:ascii="Arial" w:eastAsia="Times New Roman" w:hAnsi="Arial" w:cs="Times New Roman"/>
          <w:sz w:val="20"/>
        </w:rPr>
      </w:pPr>
    </w:p>
    <w:p w14:paraId="06D0AF0F" w14:textId="77777777" w:rsidR="00EE2815" w:rsidRDefault="00EE2815" w:rsidP="009163BF">
      <w:pPr>
        <w:jc w:val="both"/>
        <w:rPr>
          <w:rFonts w:ascii="Arial" w:eastAsia="Times New Roman" w:hAnsi="Arial" w:cs="Times New Roman"/>
          <w:sz w:val="20"/>
        </w:rPr>
      </w:pPr>
    </w:p>
    <w:p w14:paraId="0ED898A9" w14:textId="77777777" w:rsidR="00EE2815" w:rsidRDefault="00EE2815" w:rsidP="009163BF">
      <w:pPr>
        <w:jc w:val="both"/>
        <w:rPr>
          <w:rFonts w:ascii="Arial" w:eastAsia="Times New Roman" w:hAnsi="Arial" w:cs="Times New Roman"/>
          <w:sz w:val="20"/>
        </w:rPr>
      </w:pPr>
    </w:p>
    <w:p w14:paraId="164C15A0" w14:textId="77777777" w:rsidR="00EE2815" w:rsidRDefault="00EE2815" w:rsidP="009163BF">
      <w:pPr>
        <w:jc w:val="both"/>
        <w:rPr>
          <w:rFonts w:ascii="Arial" w:eastAsia="Times New Roman" w:hAnsi="Arial" w:cs="Times New Roman"/>
          <w:sz w:val="20"/>
        </w:rPr>
      </w:pPr>
    </w:p>
    <w:p w14:paraId="7FE653EB" w14:textId="77777777" w:rsidR="00EE2815" w:rsidRDefault="00EE2815" w:rsidP="009163BF">
      <w:pPr>
        <w:jc w:val="both"/>
        <w:rPr>
          <w:rFonts w:ascii="Arial" w:eastAsia="Times New Roman" w:hAnsi="Arial" w:cs="Times New Roman"/>
          <w:sz w:val="20"/>
        </w:rPr>
      </w:pPr>
    </w:p>
    <w:p w14:paraId="422E526F" w14:textId="77777777" w:rsidR="00EE2815" w:rsidRDefault="00EE2815" w:rsidP="009163BF">
      <w:pPr>
        <w:jc w:val="both"/>
        <w:rPr>
          <w:rFonts w:ascii="Arial" w:eastAsia="Times New Roman" w:hAnsi="Arial" w:cs="Times New Roman"/>
          <w:sz w:val="20"/>
        </w:rPr>
      </w:pPr>
    </w:p>
    <w:p w14:paraId="061D541B" w14:textId="77777777" w:rsidR="00EE2815" w:rsidRDefault="00EE2815" w:rsidP="009163BF">
      <w:pPr>
        <w:jc w:val="both"/>
        <w:rPr>
          <w:rFonts w:ascii="Arial" w:eastAsia="Times New Roman" w:hAnsi="Arial" w:cs="Times New Roman"/>
          <w:sz w:val="20"/>
        </w:rPr>
      </w:pPr>
    </w:p>
    <w:p w14:paraId="2E3032E0" w14:textId="77777777" w:rsidR="00EE2815" w:rsidRDefault="00EE2815" w:rsidP="009163BF">
      <w:pPr>
        <w:jc w:val="both"/>
        <w:rPr>
          <w:rFonts w:ascii="Arial" w:eastAsia="Times New Roman" w:hAnsi="Arial" w:cs="Times New Roman"/>
          <w:sz w:val="20"/>
        </w:rPr>
      </w:pPr>
    </w:p>
    <w:p w14:paraId="0A1C9584" w14:textId="77777777" w:rsidR="00EE2815" w:rsidRDefault="00EE2815" w:rsidP="009163BF">
      <w:pPr>
        <w:jc w:val="both"/>
        <w:rPr>
          <w:rFonts w:ascii="Arial" w:eastAsia="Times New Roman" w:hAnsi="Arial" w:cs="Times New Roman"/>
          <w:sz w:val="20"/>
        </w:rPr>
      </w:pPr>
    </w:p>
    <w:p w14:paraId="05A0B024" w14:textId="77777777" w:rsidR="00EE2815" w:rsidRDefault="00EE2815" w:rsidP="009163BF">
      <w:pPr>
        <w:jc w:val="both"/>
        <w:rPr>
          <w:rFonts w:ascii="Arial" w:eastAsia="Times New Roman" w:hAnsi="Arial" w:cs="Times New Roman"/>
          <w:sz w:val="20"/>
        </w:rPr>
      </w:pPr>
    </w:p>
    <w:p w14:paraId="0091F7A0" w14:textId="77777777" w:rsidR="00EE2815" w:rsidRDefault="00EE2815" w:rsidP="009163BF">
      <w:pPr>
        <w:jc w:val="both"/>
        <w:rPr>
          <w:rFonts w:ascii="Arial" w:eastAsia="Times New Roman" w:hAnsi="Arial" w:cs="Times New Roman"/>
          <w:sz w:val="20"/>
        </w:rPr>
      </w:pPr>
    </w:p>
    <w:p w14:paraId="7AD55E7B" w14:textId="77777777" w:rsidR="00EE2815" w:rsidRDefault="00EE2815" w:rsidP="009163BF">
      <w:pPr>
        <w:jc w:val="both"/>
        <w:rPr>
          <w:rFonts w:ascii="Arial" w:eastAsia="Times New Roman" w:hAnsi="Arial" w:cs="Times New Roman"/>
          <w:sz w:val="20"/>
        </w:rPr>
      </w:pPr>
    </w:p>
    <w:p w14:paraId="66969F13" w14:textId="77777777" w:rsidR="00EE2815" w:rsidRDefault="00EE2815" w:rsidP="009163BF">
      <w:pPr>
        <w:jc w:val="both"/>
        <w:rPr>
          <w:rFonts w:ascii="Arial" w:eastAsia="Times New Roman" w:hAnsi="Arial" w:cs="Times New Roman"/>
          <w:sz w:val="20"/>
        </w:rPr>
      </w:pPr>
    </w:p>
    <w:p w14:paraId="3B61942A" w14:textId="77777777" w:rsidR="00EE2815" w:rsidRDefault="00EE2815" w:rsidP="009163BF">
      <w:pPr>
        <w:jc w:val="both"/>
        <w:rPr>
          <w:rFonts w:ascii="Arial" w:eastAsia="Times New Roman" w:hAnsi="Arial" w:cs="Times New Roman"/>
          <w:sz w:val="20"/>
        </w:rPr>
      </w:pPr>
    </w:p>
    <w:p w14:paraId="297DD731" w14:textId="77777777" w:rsidR="00EE2815" w:rsidRDefault="00EE2815" w:rsidP="009163BF">
      <w:pPr>
        <w:jc w:val="both"/>
        <w:rPr>
          <w:rFonts w:ascii="Arial" w:eastAsia="Times New Roman" w:hAnsi="Arial" w:cs="Times New Roman"/>
          <w:sz w:val="20"/>
        </w:rPr>
      </w:pPr>
    </w:p>
    <w:p w14:paraId="5BB534A9" w14:textId="77777777" w:rsidR="00EE2815" w:rsidRDefault="00EE2815" w:rsidP="009163BF">
      <w:pPr>
        <w:jc w:val="both"/>
        <w:rPr>
          <w:rFonts w:ascii="Arial" w:eastAsia="Times New Roman" w:hAnsi="Arial" w:cs="Times New Roman"/>
          <w:sz w:val="20"/>
        </w:rPr>
      </w:pPr>
    </w:p>
    <w:p w14:paraId="51B22AA2" w14:textId="77777777" w:rsidR="00EE2815" w:rsidRDefault="00EE2815" w:rsidP="009163BF">
      <w:pPr>
        <w:jc w:val="both"/>
        <w:rPr>
          <w:rFonts w:ascii="Arial" w:eastAsia="Times New Roman" w:hAnsi="Arial" w:cs="Times New Roman"/>
          <w:sz w:val="20"/>
        </w:rPr>
      </w:pPr>
    </w:p>
    <w:p w14:paraId="3B1A70A1" w14:textId="77777777" w:rsidR="00EE2815" w:rsidRDefault="00EE2815" w:rsidP="009163BF">
      <w:pPr>
        <w:jc w:val="both"/>
        <w:rPr>
          <w:rFonts w:ascii="Arial" w:eastAsia="Times New Roman" w:hAnsi="Arial" w:cs="Times New Roman"/>
          <w:sz w:val="20"/>
        </w:rPr>
      </w:pPr>
    </w:p>
    <w:p w14:paraId="4791AAFC" w14:textId="77777777" w:rsidR="00EE2815" w:rsidRDefault="00EE2815" w:rsidP="009163BF">
      <w:pPr>
        <w:jc w:val="both"/>
        <w:rPr>
          <w:rFonts w:ascii="Arial" w:eastAsia="Times New Roman" w:hAnsi="Arial" w:cs="Times New Roman"/>
          <w:sz w:val="20"/>
        </w:rPr>
      </w:pPr>
    </w:p>
    <w:p w14:paraId="3A595B91" w14:textId="77777777" w:rsidR="00EE2815" w:rsidRDefault="00EE2815" w:rsidP="009163BF">
      <w:pPr>
        <w:jc w:val="both"/>
        <w:rPr>
          <w:rFonts w:ascii="Arial" w:eastAsia="Times New Roman" w:hAnsi="Arial" w:cs="Times New Roman"/>
          <w:sz w:val="20"/>
        </w:rPr>
      </w:pPr>
    </w:p>
    <w:p w14:paraId="111A913C" w14:textId="77777777" w:rsidR="00EE2815" w:rsidRPr="00EE2815" w:rsidRDefault="00EE2815" w:rsidP="00EE2815">
      <w:pPr>
        <w:keepNext/>
        <w:keepLines/>
        <w:spacing w:before="40"/>
        <w:jc w:val="center"/>
        <w:outlineLvl w:val="3"/>
        <w:rPr>
          <w:rFonts w:ascii="Arial" w:eastAsiaTheme="majorEastAsia" w:hAnsi="Arial" w:cs="Arial"/>
          <w:b/>
          <w:iCs/>
          <w:color w:val="2E74B5" w:themeColor="accent1" w:themeShade="BF"/>
          <w:sz w:val="24"/>
          <w:szCs w:val="24"/>
        </w:rPr>
      </w:pPr>
      <w:bookmarkStart w:id="750" w:name="_Toc153137472"/>
      <w:r w:rsidRPr="00EE2815">
        <w:rPr>
          <w:rFonts w:ascii="Arial" w:eastAsiaTheme="majorEastAsia" w:hAnsi="Arial" w:cs="Arial"/>
          <w:b/>
          <w:iCs/>
          <w:color w:val="2E74B5" w:themeColor="accent1" w:themeShade="BF"/>
          <w:sz w:val="24"/>
          <w:szCs w:val="24"/>
        </w:rPr>
        <w:lastRenderedPageBreak/>
        <w:t>SECTION 2 – FLIGHT EXAMINER CERTIFICATE FOR BALLOONS – FE(B)</w:t>
      </w:r>
      <w:bookmarkEnd w:id="750"/>
    </w:p>
    <w:p w14:paraId="4342702E" w14:textId="77777777" w:rsidR="00EE2815" w:rsidRPr="00EE2815" w:rsidRDefault="00EE2815" w:rsidP="00EE2815">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751" w:name="BFCL.415__FE(B)_certificate_–_Privileges"/>
      <w:bookmarkStart w:id="752" w:name="_bookmark308"/>
      <w:bookmarkStart w:id="753" w:name="_Toc153137473"/>
      <w:bookmarkEnd w:id="751"/>
      <w:bookmarkEnd w:id="752"/>
      <w:r w:rsidRPr="00EE2815">
        <w:rPr>
          <w:rFonts w:ascii="Arial" w:eastAsia="Times New Roman" w:hAnsi="Arial" w:cs="Times New Roman"/>
          <w:b/>
          <w:iCs/>
          <w:color w:val="FFFFFF"/>
          <w:sz w:val="24"/>
        </w:rPr>
        <w:t>BFCL.415 FE(B) certificate – Privileges and conditions</w:t>
      </w:r>
      <w:bookmarkEnd w:id="753"/>
    </w:p>
    <w:p w14:paraId="66D67631" w14:textId="7FEE77AD" w:rsidR="00EE2815" w:rsidRPr="00EE2815" w:rsidRDefault="00EE2815" w:rsidP="00D91E6C">
      <w:pPr>
        <w:pStyle w:val="BodyText"/>
        <w:spacing w:before="117"/>
        <w:ind w:right="68"/>
        <w:jc w:val="both"/>
        <w:rPr>
          <w:rFonts w:ascii="Arial" w:hAnsi="Arial" w:cs="Arial"/>
          <w:sz w:val="20"/>
        </w:rPr>
      </w:pPr>
      <w:r w:rsidRPr="00EE2815">
        <w:rPr>
          <w:rFonts w:ascii="Arial" w:hAnsi="Arial" w:cs="Arial"/>
          <w:sz w:val="20"/>
        </w:rPr>
        <w:t>Subject</w:t>
      </w:r>
      <w:r w:rsidRPr="00EE2815">
        <w:rPr>
          <w:rFonts w:ascii="Arial" w:hAnsi="Arial" w:cs="Arial"/>
          <w:spacing w:val="-8"/>
          <w:sz w:val="20"/>
        </w:rPr>
        <w:t xml:space="preserve"> </w:t>
      </w:r>
      <w:r w:rsidRPr="00EE2815">
        <w:rPr>
          <w:rFonts w:ascii="Arial" w:hAnsi="Arial" w:cs="Arial"/>
          <w:sz w:val="20"/>
        </w:rPr>
        <w:t>to</w:t>
      </w:r>
      <w:r w:rsidRPr="00EE2815">
        <w:rPr>
          <w:rFonts w:ascii="Arial" w:hAnsi="Arial" w:cs="Arial"/>
          <w:spacing w:val="-10"/>
          <w:sz w:val="20"/>
        </w:rPr>
        <w:t xml:space="preserve"> </w:t>
      </w:r>
      <w:r w:rsidRPr="00EE2815">
        <w:rPr>
          <w:rFonts w:ascii="Arial" w:hAnsi="Arial" w:cs="Arial"/>
          <w:sz w:val="20"/>
        </w:rPr>
        <w:t>compliance</w:t>
      </w:r>
      <w:r w:rsidRPr="00EE2815">
        <w:rPr>
          <w:rFonts w:ascii="Arial" w:hAnsi="Arial" w:cs="Arial"/>
          <w:spacing w:val="-10"/>
          <w:sz w:val="20"/>
        </w:rPr>
        <w:t xml:space="preserve"> </w:t>
      </w:r>
      <w:r w:rsidRPr="00EE2815">
        <w:rPr>
          <w:rFonts w:ascii="Arial" w:hAnsi="Arial" w:cs="Arial"/>
          <w:sz w:val="20"/>
        </w:rPr>
        <w:t>of</w:t>
      </w:r>
      <w:r w:rsidRPr="00EE2815">
        <w:rPr>
          <w:rFonts w:ascii="Arial" w:hAnsi="Arial" w:cs="Arial"/>
          <w:spacing w:val="-11"/>
          <w:sz w:val="20"/>
        </w:rPr>
        <w:t xml:space="preserve"> </w:t>
      </w:r>
      <w:r w:rsidRPr="00EE2815">
        <w:rPr>
          <w:rFonts w:ascii="Arial" w:hAnsi="Arial" w:cs="Arial"/>
          <w:sz w:val="20"/>
        </w:rPr>
        <w:t>the</w:t>
      </w:r>
      <w:r w:rsidRPr="00EE2815">
        <w:rPr>
          <w:rFonts w:ascii="Arial" w:hAnsi="Arial" w:cs="Arial"/>
          <w:spacing w:val="-8"/>
          <w:sz w:val="20"/>
        </w:rPr>
        <w:t xml:space="preserve"> </w:t>
      </w:r>
      <w:r w:rsidRPr="00EE2815">
        <w:rPr>
          <w:rFonts w:ascii="Arial" w:hAnsi="Arial" w:cs="Arial"/>
          <w:sz w:val="20"/>
        </w:rPr>
        <w:t>applicant</w:t>
      </w:r>
      <w:r w:rsidRPr="00EE2815">
        <w:rPr>
          <w:rFonts w:ascii="Arial" w:hAnsi="Arial" w:cs="Arial"/>
          <w:spacing w:val="-10"/>
          <w:sz w:val="20"/>
        </w:rPr>
        <w:t xml:space="preserve"> </w:t>
      </w:r>
      <w:r w:rsidRPr="00EE2815">
        <w:rPr>
          <w:rFonts w:ascii="Arial" w:hAnsi="Arial" w:cs="Arial"/>
          <w:sz w:val="20"/>
        </w:rPr>
        <w:t>with</w:t>
      </w:r>
      <w:r w:rsidRPr="00EE2815">
        <w:rPr>
          <w:rFonts w:ascii="Arial" w:hAnsi="Arial" w:cs="Arial"/>
          <w:spacing w:val="-9"/>
          <w:sz w:val="20"/>
        </w:rPr>
        <w:t xml:space="preserve"> </w:t>
      </w:r>
      <w:r w:rsidRPr="00EE2815">
        <w:rPr>
          <w:rFonts w:ascii="Arial" w:hAnsi="Arial" w:cs="Arial"/>
          <w:sz w:val="20"/>
        </w:rPr>
        <w:t>point</w:t>
      </w:r>
      <w:r w:rsidRPr="00EE2815">
        <w:rPr>
          <w:rFonts w:ascii="Arial" w:hAnsi="Arial" w:cs="Arial"/>
          <w:spacing w:val="-7"/>
          <w:sz w:val="20"/>
        </w:rPr>
        <w:t xml:space="preserve"> </w:t>
      </w:r>
      <w:r w:rsidRPr="00FC1D2C">
        <w:rPr>
          <w:rFonts w:ascii="Arial" w:hAnsi="Arial" w:cs="Arial"/>
          <w:sz w:val="20"/>
        </w:rPr>
        <w:t xml:space="preserve">BFCL.420 </w:t>
      </w:r>
      <w:r w:rsidRPr="00EE2815">
        <w:rPr>
          <w:rFonts w:ascii="Arial" w:hAnsi="Arial" w:cs="Arial"/>
          <w:sz w:val="20"/>
        </w:rPr>
        <w:t>and</w:t>
      </w:r>
      <w:r w:rsidRPr="00EE2815">
        <w:rPr>
          <w:rFonts w:ascii="Arial" w:hAnsi="Arial" w:cs="Arial"/>
          <w:spacing w:val="-11"/>
          <w:sz w:val="20"/>
        </w:rPr>
        <w:t xml:space="preserve"> </w:t>
      </w:r>
      <w:r w:rsidRPr="00EE2815">
        <w:rPr>
          <w:rFonts w:ascii="Arial" w:hAnsi="Arial" w:cs="Arial"/>
          <w:sz w:val="20"/>
        </w:rPr>
        <w:t>with</w:t>
      </w:r>
      <w:r w:rsidRPr="00EE2815">
        <w:rPr>
          <w:rFonts w:ascii="Arial" w:hAnsi="Arial" w:cs="Arial"/>
          <w:spacing w:val="-12"/>
          <w:sz w:val="20"/>
        </w:rPr>
        <w:t xml:space="preserve"> </w:t>
      </w:r>
      <w:r w:rsidRPr="00EE2815">
        <w:rPr>
          <w:rFonts w:ascii="Arial" w:hAnsi="Arial" w:cs="Arial"/>
          <w:sz w:val="20"/>
        </w:rPr>
        <w:t>the</w:t>
      </w:r>
      <w:r w:rsidRPr="00EE2815">
        <w:rPr>
          <w:rFonts w:ascii="Arial" w:hAnsi="Arial" w:cs="Arial"/>
          <w:spacing w:val="-10"/>
          <w:sz w:val="20"/>
        </w:rPr>
        <w:t xml:space="preserve"> </w:t>
      </w:r>
      <w:r w:rsidRPr="00EE2815">
        <w:rPr>
          <w:rFonts w:ascii="Arial" w:hAnsi="Arial" w:cs="Arial"/>
          <w:sz w:val="20"/>
        </w:rPr>
        <w:t>following</w:t>
      </w:r>
      <w:r w:rsidRPr="00EE2815">
        <w:rPr>
          <w:rFonts w:ascii="Arial" w:hAnsi="Arial" w:cs="Arial"/>
          <w:spacing w:val="-13"/>
          <w:sz w:val="20"/>
        </w:rPr>
        <w:t xml:space="preserve"> </w:t>
      </w:r>
      <w:r w:rsidRPr="00EE2815">
        <w:rPr>
          <w:rFonts w:ascii="Arial" w:hAnsi="Arial" w:cs="Arial"/>
          <w:sz w:val="20"/>
        </w:rPr>
        <w:t>conditions,</w:t>
      </w:r>
      <w:r w:rsidRPr="00EE2815">
        <w:rPr>
          <w:rFonts w:ascii="Arial" w:hAnsi="Arial" w:cs="Arial"/>
          <w:spacing w:val="-8"/>
          <w:sz w:val="20"/>
        </w:rPr>
        <w:t xml:space="preserve"> </w:t>
      </w:r>
      <w:r w:rsidRPr="00EE2815">
        <w:rPr>
          <w:rFonts w:ascii="Arial" w:hAnsi="Arial" w:cs="Arial"/>
          <w:sz w:val="20"/>
        </w:rPr>
        <w:t>an</w:t>
      </w:r>
      <w:r w:rsidRPr="00EE2815">
        <w:rPr>
          <w:rFonts w:ascii="Arial" w:hAnsi="Arial" w:cs="Arial"/>
          <w:spacing w:val="-12"/>
          <w:sz w:val="20"/>
        </w:rPr>
        <w:t xml:space="preserve"> </w:t>
      </w:r>
      <w:r w:rsidRPr="00EE2815">
        <w:rPr>
          <w:rFonts w:ascii="Arial" w:hAnsi="Arial" w:cs="Arial"/>
          <w:sz w:val="20"/>
        </w:rPr>
        <w:t>FE(B)</w:t>
      </w:r>
      <w:r w:rsidRPr="00EE2815">
        <w:rPr>
          <w:rFonts w:ascii="Arial" w:hAnsi="Arial" w:cs="Arial"/>
          <w:spacing w:val="-47"/>
          <w:sz w:val="20"/>
        </w:rPr>
        <w:t xml:space="preserve"> </w:t>
      </w:r>
      <w:r w:rsidRPr="00EE2815">
        <w:rPr>
          <w:rFonts w:ascii="Arial" w:hAnsi="Arial" w:cs="Arial"/>
          <w:sz w:val="20"/>
        </w:rPr>
        <w:t>certificate</w:t>
      </w:r>
      <w:r w:rsidRPr="00EE2815">
        <w:rPr>
          <w:rFonts w:ascii="Arial" w:hAnsi="Arial" w:cs="Arial"/>
          <w:spacing w:val="-1"/>
          <w:sz w:val="20"/>
        </w:rPr>
        <w:t xml:space="preserve"> </w:t>
      </w:r>
      <w:r w:rsidRPr="00EE2815">
        <w:rPr>
          <w:rFonts w:ascii="Arial" w:hAnsi="Arial" w:cs="Arial"/>
          <w:sz w:val="20"/>
        </w:rPr>
        <w:t>shall be</w:t>
      </w:r>
      <w:r w:rsidRPr="00EE2815">
        <w:rPr>
          <w:rFonts w:ascii="Arial" w:hAnsi="Arial" w:cs="Arial"/>
          <w:spacing w:val="1"/>
          <w:sz w:val="20"/>
        </w:rPr>
        <w:t xml:space="preserve"> </w:t>
      </w:r>
      <w:r w:rsidRPr="00EE2815">
        <w:rPr>
          <w:rFonts w:ascii="Arial" w:hAnsi="Arial" w:cs="Arial"/>
          <w:sz w:val="20"/>
        </w:rPr>
        <w:t>issued</w:t>
      </w:r>
      <w:r w:rsidRPr="00EE2815">
        <w:rPr>
          <w:rFonts w:ascii="Arial" w:hAnsi="Arial" w:cs="Arial"/>
          <w:spacing w:val="-3"/>
          <w:sz w:val="20"/>
        </w:rPr>
        <w:t xml:space="preserve"> </w:t>
      </w:r>
      <w:r w:rsidRPr="00EE2815">
        <w:rPr>
          <w:rFonts w:ascii="Arial" w:hAnsi="Arial" w:cs="Arial"/>
          <w:sz w:val="20"/>
        </w:rPr>
        <w:t>upon</w:t>
      </w:r>
      <w:r w:rsidRPr="00EE2815">
        <w:rPr>
          <w:rFonts w:ascii="Arial" w:hAnsi="Arial" w:cs="Arial"/>
          <w:spacing w:val="-2"/>
          <w:sz w:val="20"/>
        </w:rPr>
        <w:t xml:space="preserve"> </w:t>
      </w:r>
      <w:r w:rsidRPr="00EE2815">
        <w:rPr>
          <w:rFonts w:ascii="Arial" w:hAnsi="Arial" w:cs="Arial"/>
          <w:sz w:val="20"/>
        </w:rPr>
        <w:t>application</w:t>
      </w:r>
      <w:r w:rsidRPr="00EE2815">
        <w:rPr>
          <w:rFonts w:ascii="Arial" w:hAnsi="Arial" w:cs="Arial"/>
          <w:spacing w:val="-1"/>
          <w:sz w:val="20"/>
        </w:rPr>
        <w:t xml:space="preserve"> </w:t>
      </w:r>
      <w:r w:rsidRPr="00EE2815">
        <w:rPr>
          <w:rFonts w:ascii="Arial" w:hAnsi="Arial" w:cs="Arial"/>
          <w:sz w:val="20"/>
        </w:rPr>
        <w:t>with</w:t>
      </w:r>
      <w:r w:rsidRPr="00EE2815">
        <w:rPr>
          <w:rFonts w:ascii="Arial" w:hAnsi="Arial" w:cs="Arial"/>
          <w:spacing w:val="-1"/>
          <w:sz w:val="20"/>
        </w:rPr>
        <w:t xml:space="preserve"> </w:t>
      </w:r>
      <w:r w:rsidRPr="00EE2815">
        <w:rPr>
          <w:rFonts w:ascii="Arial" w:hAnsi="Arial" w:cs="Arial"/>
          <w:sz w:val="20"/>
        </w:rPr>
        <w:t>privileges</w:t>
      </w:r>
      <w:r w:rsidRPr="00EE2815">
        <w:rPr>
          <w:rFonts w:ascii="Arial" w:hAnsi="Arial" w:cs="Arial"/>
          <w:spacing w:val="1"/>
          <w:sz w:val="20"/>
        </w:rPr>
        <w:t xml:space="preserve"> </w:t>
      </w:r>
      <w:r w:rsidRPr="00EE2815">
        <w:rPr>
          <w:rFonts w:ascii="Arial" w:hAnsi="Arial" w:cs="Arial"/>
          <w:sz w:val="20"/>
        </w:rPr>
        <w:t>to</w:t>
      </w:r>
      <w:r w:rsidRPr="00EE2815">
        <w:rPr>
          <w:rFonts w:ascii="Arial" w:hAnsi="Arial" w:cs="Arial"/>
          <w:spacing w:val="1"/>
          <w:sz w:val="20"/>
        </w:rPr>
        <w:t xml:space="preserve"> </w:t>
      </w:r>
      <w:r w:rsidRPr="00EE2815">
        <w:rPr>
          <w:rFonts w:ascii="Arial" w:hAnsi="Arial" w:cs="Arial"/>
          <w:sz w:val="20"/>
        </w:rPr>
        <w:t>conduct:</w:t>
      </w:r>
    </w:p>
    <w:p w14:paraId="4C811BB4" w14:textId="77777777" w:rsidR="00EE2815" w:rsidRPr="00EE2815" w:rsidRDefault="00EE2815" w:rsidP="00D91E6C">
      <w:pPr>
        <w:pStyle w:val="ListParagraph"/>
        <w:numPr>
          <w:ilvl w:val="0"/>
          <w:numId w:val="273"/>
        </w:numPr>
        <w:tabs>
          <w:tab w:val="left" w:pos="707"/>
        </w:tabs>
        <w:spacing w:before="121"/>
        <w:ind w:left="705" w:right="68"/>
        <w:jc w:val="both"/>
        <w:rPr>
          <w:rFonts w:ascii="Arial" w:hAnsi="Arial" w:cs="Arial"/>
          <w:sz w:val="20"/>
        </w:rPr>
      </w:pPr>
      <w:r w:rsidRPr="00EE2815">
        <w:rPr>
          <w:rFonts w:ascii="Arial" w:hAnsi="Arial" w:cs="Arial"/>
          <w:sz w:val="20"/>
        </w:rPr>
        <w:t>skill</w:t>
      </w:r>
      <w:r w:rsidRPr="00EE2815">
        <w:rPr>
          <w:rFonts w:ascii="Arial" w:hAnsi="Arial" w:cs="Arial"/>
          <w:spacing w:val="-2"/>
          <w:sz w:val="20"/>
        </w:rPr>
        <w:t xml:space="preserve"> </w:t>
      </w:r>
      <w:r w:rsidRPr="00EE2815">
        <w:rPr>
          <w:rFonts w:ascii="Arial" w:hAnsi="Arial" w:cs="Arial"/>
          <w:sz w:val="20"/>
        </w:rPr>
        <w:t>tests</w:t>
      </w:r>
      <w:r w:rsidRPr="00EE2815">
        <w:rPr>
          <w:rFonts w:ascii="Arial" w:hAnsi="Arial" w:cs="Arial"/>
          <w:spacing w:val="-4"/>
          <w:sz w:val="20"/>
        </w:rPr>
        <w:t xml:space="preserve"> </w:t>
      </w:r>
      <w:r w:rsidRPr="00EE2815">
        <w:rPr>
          <w:rFonts w:ascii="Arial" w:hAnsi="Arial" w:cs="Arial"/>
          <w:sz w:val="20"/>
        </w:rPr>
        <w:t>and</w:t>
      </w:r>
      <w:r w:rsidRPr="00EE2815">
        <w:rPr>
          <w:rFonts w:ascii="Arial" w:hAnsi="Arial" w:cs="Arial"/>
          <w:spacing w:val="-2"/>
          <w:sz w:val="20"/>
        </w:rPr>
        <w:t xml:space="preserve"> </w:t>
      </w:r>
      <w:r w:rsidRPr="00EE2815">
        <w:rPr>
          <w:rFonts w:ascii="Arial" w:hAnsi="Arial" w:cs="Arial"/>
          <w:sz w:val="20"/>
        </w:rPr>
        <w:t>proficiency</w:t>
      </w:r>
      <w:r w:rsidRPr="00EE2815">
        <w:rPr>
          <w:rFonts w:ascii="Arial" w:hAnsi="Arial" w:cs="Arial"/>
          <w:spacing w:val="-2"/>
          <w:sz w:val="20"/>
        </w:rPr>
        <w:t xml:space="preserve"> </w:t>
      </w:r>
      <w:r w:rsidRPr="00EE2815">
        <w:rPr>
          <w:rFonts w:ascii="Arial" w:hAnsi="Arial" w:cs="Arial"/>
          <w:sz w:val="20"/>
        </w:rPr>
        <w:t>checks</w:t>
      </w:r>
      <w:r w:rsidRPr="00EE2815">
        <w:rPr>
          <w:rFonts w:ascii="Arial" w:hAnsi="Arial" w:cs="Arial"/>
          <w:spacing w:val="-4"/>
          <w:sz w:val="20"/>
        </w:rPr>
        <w:t xml:space="preserve"> </w:t>
      </w:r>
      <w:r w:rsidRPr="00EE2815">
        <w:rPr>
          <w:rFonts w:ascii="Arial" w:hAnsi="Arial" w:cs="Arial"/>
          <w:sz w:val="20"/>
        </w:rPr>
        <w:t>for</w:t>
      </w:r>
      <w:r w:rsidRPr="00EE2815">
        <w:rPr>
          <w:rFonts w:ascii="Arial" w:hAnsi="Arial" w:cs="Arial"/>
          <w:spacing w:val="-4"/>
          <w:sz w:val="20"/>
        </w:rPr>
        <w:t xml:space="preserve"> </w:t>
      </w:r>
      <w:r w:rsidRPr="00EE2815">
        <w:rPr>
          <w:rFonts w:ascii="Arial" w:hAnsi="Arial" w:cs="Arial"/>
          <w:sz w:val="20"/>
        </w:rPr>
        <w:t>the</w:t>
      </w:r>
      <w:r w:rsidRPr="00EE2815">
        <w:rPr>
          <w:rFonts w:ascii="Arial" w:hAnsi="Arial" w:cs="Arial"/>
          <w:spacing w:val="-3"/>
          <w:sz w:val="20"/>
        </w:rPr>
        <w:t xml:space="preserve"> </w:t>
      </w:r>
      <w:r w:rsidRPr="00EE2815">
        <w:rPr>
          <w:rFonts w:ascii="Arial" w:hAnsi="Arial" w:cs="Arial"/>
          <w:sz w:val="20"/>
        </w:rPr>
        <w:t>BPL</w:t>
      </w:r>
      <w:r w:rsidRPr="00EE2815">
        <w:rPr>
          <w:rFonts w:ascii="Arial" w:hAnsi="Arial" w:cs="Arial"/>
          <w:spacing w:val="-2"/>
          <w:sz w:val="20"/>
        </w:rPr>
        <w:t xml:space="preserve"> </w:t>
      </w:r>
      <w:r w:rsidRPr="00EE2815">
        <w:rPr>
          <w:rFonts w:ascii="Arial" w:hAnsi="Arial" w:cs="Arial"/>
          <w:sz w:val="20"/>
        </w:rPr>
        <w:t>and</w:t>
      </w:r>
      <w:r w:rsidRPr="00EE2815">
        <w:rPr>
          <w:rFonts w:ascii="Arial" w:hAnsi="Arial" w:cs="Arial"/>
          <w:spacing w:val="-2"/>
          <w:sz w:val="20"/>
        </w:rPr>
        <w:t xml:space="preserve"> </w:t>
      </w:r>
      <w:r w:rsidRPr="00EE2815">
        <w:rPr>
          <w:rFonts w:ascii="Arial" w:hAnsi="Arial" w:cs="Arial"/>
          <w:sz w:val="20"/>
        </w:rPr>
        <w:t>skill</w:t>
      </w:r>
      <w:r w:rsidRPr="00EE2815">
        <w:rPr>
          <w:rFonts w:ascii="Arial" w:hAnsi="Arial" w:cs="Arial"/>
          <w:spacing w:val="-4"/>
          <w:sz w:val="20"/>
        </w:rPr>
        <w:t xml:space="preserve"> </w:t>
      </w:r>
      <w:r w:rsidRPr="00EE2815">
        <w:rPr>
          <w:rFonts w:ascii="Arial" w:hAnsi="Arial" w:cs="Arial"/>
          <w:sz w:val="20"/>
        </w:rPr>
        <w:t>tests</w:t>
      </w:r>
      <w:r w:rsidRPr="00EE2815">
        <w:rPr>
          <w:rFonts w:ascii="Arial" w:hAnsi="Arial" w:cs="Arial"/>
          <w:spacing w:val="-4"/>
          <w:sz w:val="20"/>
        </w:rPr>
        <w:t xml:space="preserve"> </w:t>
      </w:r>
      <w:r w:rsidRPr="00EE2815">
        <w:rPr>
          <w:rFonts w:ascii="Arial" w:hAnsi="Arial" w:cs="Arial"/>
          <w:sz w:val="20"/>
        </w:rPr>
        <w:t>for</w:t>
      </w:r>
      <w:r w:rsidRPr="00EE2815">
        <w:rPr>
          <w:rFonts w:ascii="Arial" w:hAnsi="Arial" w:cs="Arial"/>
          <w:spacing w:val="-3"/>
          <w:sz w:val="20"/>
        </w:rPr>
        <w:t xml:space="preserve"> </w:t>
      </w:r>
      <w:r w:rsidRPr="00EE2815">
        <w:rPr>
          <w:rFonts w:ascii="Arial" w:hAnsi="Arial" w:cs="Arial"/>
          <w:sz w:val="20"/>
        </w:rPr>
        <w:t>the</w:t>
      </w:r>
      <w:r w:rsidRPr="00EE2815">
        <w:rPr>
          <w:rFonts w:ascii="Arial" w:hAnsi="Arial" w:cs="Arial"/>
          <w:spacing w:val="-3"/>
          <w:sz w:val="20"/>
        </w:rPr>
        <w:t xml:space="preserve"> </w:t>
      </w:r>
      <w:r w:rsidRPr="00EE2815">
        <w:rPr>
          <w:rFonts w:ascii="Arial" w:hAnsi="Arial" w:cs="Arial"/>
          <w:sz w:val="20"/>
        </w:rPr>
        <w:t>extension</w:t>
      </w:r>
      <w:r w:rsidRPr="00EE2815">
        <w:rPr>
          <w:rFonts w:ascii="Arial" w:hAnsi="Arial" w:cs="Arial"/>
          <w:spacing w:val="-5"/>
          <w:sz w:val="20"/>
        </w:rPr>
        <w:t xml:space="preserve"> </w:t>
      </w:r>
      <w:r w:rsidRPr="00EE2815">
        <w:rPr>
          <w:rFonts w:ascii="Arial" w:hAnsi="Arial" w:cs="Arial"/>
          <w:sz w:val="20"/>
        </w:rPr>
        <w:t>of</w:t>
      </w:r>
      <w:r w:rsidRPr="00EE2815">
        <w:rPr>
          <w:rFonts w:ascii="Arial" w:hAnsi="Arial" w:cs="Arial"/>
          <w:spacing w:val="-3"/>
          <w:sz w:val="20"/>
        </w:rPr>
        <w:t xml:space="preserve"> </w:t>
      </w:r>
      <w:r w:rsidRPr="00EE2815">
        <w:rPr>
          <w:rFonts w:ascii="Arial" w:hAnsi="Arial" w:cs="Arial"/>
          <w:sz w:val="20"/>
        </w:rPr>
        <w:t>the privileges</w:t>
      </w:r>
      <w:r w:rsidRPr="00EE2815">
        <w:rPr>
          <w:rFonts w:ascii="Arial" w:hAnsi="Arial" w:cs="Arial"/>
          <w:spacing w:val="-3"/>
          <w:sz w:val="20"/>
        </w:rPr>
        <w:t xml:space="preserve"> </w:t>
      </w:r>
      <w:r w:rsidRPr="00EE2815">
        <w:rPr>
          <w:rFonts w:ascii="Arial" w:hAnsi="Arial" w:cs="Arial"/>
          <w:sz w:val="20"/>
        </w:rPr>
        <w:t>to</w:t>
      </w:r>
      <w:r w:rsidRPr="00EE2815">
        <w:rPr>
          <w:rFonts w:ascii="Arial" w:hAnsi="Arial" w:cs="Arial"/>
          <w:spacing w:val="-47"/>
          <w:sz w:val="20"/>
        </w:rPr>
        <w:t xml:space="preserve"> </w:t>
      </w:r>
      <w:r w:rsidRPr="00EE2815">
        <w:rPr>
          <w:rFonts w:ascii="Arial" w:hAnsi="Arial" w:cs="Arial"/>
          <w:sz w:val="20"/>
        </w:rPr>
        <w:t>another balloon class, provided that the applicant has completed 250 hours of flight time as</w:t>
      </w:r>
      <w:r w:rsidRPr="00EE2815">
        <w:rPr>
          <w:rFonts w:ascii="Arial" w:hAnsi="Arial" w:cs="Arial"/>
          <w:spacing w:val="1"/>
          <w:sz w:val="20"/>
        </w:rPr>
        <w:t xml:space="preserve"> </w:t>
      </w:r>
      <w:r w:rsidRPr="00EE2815">
        <w:rPr>
          <w:rFonts w:ascii="Arial" w:hAnsi="Arial" w:cs="Arial"/>
          <w:sz w:val="20"/>
        </w:rPr>
        <w:t>pilot on balloons, including 50 hours of flight instruction covering the full syllabus of a BPL</w:t>
      </w:r>
      <w:r w:rsidRPr="00EE2815">
        <w:rPr>
          <w:rFonts w:ascii="Arial" w:hAnsi="Arial" w:cs="Arial"/>
          <w:spacing w:val="1"/>
          <w:sz w:val="20"/>
        </w:rPr>
        <w:t xml:space="preserve"> </w:t>
      </w:r>
      <w:r w:rsidRPr="00EE2815">
        <w:rPr>
          <w:rFonts w:ascii="Arial" w:hAnsi="Arial" w:cs="Arial"/>
          <w:sz w:val="20"/>
        </w:rPr>
        <w:t>training</w:t>
      </w:r>
      <w:r w:rsidRPr="00EE2815">
        <w:rPr>
          <w:rFonts w:ascii="Arial" w:hAnsi="Arial" w:cs="Arial"/>
          <w:spacing w:val="-1"/>
          <w:sz w:val="20"/>
        </w:rPr>
        <w:t xml:space="preserve"> </w:t>
      </w:r>
      <w:r w:rsidRPr="00EE2815">
        <w:rPr>
          <w:rFonts w:ascii="Arial" w:hAnsi="Arial" w:cs="Arial"/>
          <w:sz w:val="20"/>
        </w:rPr>
        <w:t>course;</w:t>
      </w:r>
    </w:p>
    <w:p w14:paraId="1010A36F" w14:textId="0F21C127" w:rsidR="00EE2815" w:rsidRPr="00EE2815" w:rsidRDefault="00EE2815" w:rsidP="00D91E6C">
      <w:pPr>
        <w:pStyle w:val="ListParagraph"/>
        <w:numPr>
          <w:ilvl w:val="0"/>
          <w:numId w:val="273"/>
        </w:numPr>
        <w:tabs>
          <w:tab w:val="left" w:pos="707"/>
        </w:tabs>
        <w:spacing w:before="119"/>
        <w:ind w:left="705" w:right="68"/>
        <w:jc w:val="both"/>
        <w:rPr>
          <w:rFonts w:ascii="Arial" w:hAnsi="Arial" w:cs="Arial"/>
          <w:sz w:val="20"/>
        </w:rPr>
      </w:pPr>
      <w:r w:rsidRPr="00EE2815">
        <w:rPr>
          <w:rFonts w:ascii="Arial" w:hAnsi="Arial" w:cs="Arial"/>
          <w:sz w:val="20"/>
        </w:rPr>
        <w:t>skill tests and proficiency checks for the commercial operation rating as specified in point</w:t>
      </w:r>
      <w:r w:rsidRPr="00EE2815">
        <w:rPr>
          <w:rFonts w:ascii="Arial" w:hAnsi="Arial" w:cs="Arial"/>
          <w:color w:val="0000FF"/>
          <w:spacing w:val="1"/>
          <w:sz w:val="20"/>
        </w:rPr>
        <w:t xml:space="preserve"> </w:t>
      </w:r>
      <w:r w:rsidRPr="00FC1D2C">
        <w:rPr>
          <w:rFonts w:ascii="Arial" w:hAnsi="Arial" w:cs="Arial"/>
          <w:sz w:val="20"/>
        </w:rPr>
        <w:t>BFCL.215</w:t>
      </w:r>
      <w:r w:rsidRPr="00EE2815">
        <w:rPr>
          <w:rFonts w:ascii="Arial" w:hAnsi="Arial" w:cs="Arial"/>
          <w:sz w:val="20"/>
        </w:rPr>
        <w:t>, provided that the applicant complies with the experience requirements set out in</w:t>
      </w:r>
      <w:r w:rsidRPr="00FC1D2C">
        <w:rPr>
          <w:rFonts w:ascii="Arial" w:hAnsi="Arial" w:cs="Arial"/>
          <w:sz w:val="20"/>
        </w:rPr>
        <w:t xml:space="preserve"> </w:t>
      </w:r>
      <w:r w:rsidRPr="00EE2815">
        <w:rPr>
          <w:rFonts w:ascii="Arial" w:hAnsi="Arial" w:cs="Arial"/>
          <w:sz w:val="20"/>
        </w:rPr>
        <w:t>paragraph (a) and has received specific training during an examiner standardisation course in</w:t>
      </w:r>
      <w:r w:rsidRPr="00FC1D2C">
        <w:rPr>
          <w:rFonts w:ascii="Arial" w:hAnsi="Arial" w:cs="Arial"/>
          <w:sz w:val="20"/>
        </w:rPr>
        <w:t xml:space="preserve"> </w:t>
      </w:r>
      <w:r w:rsidRPr="00EE2815">
        <w:rPr>
          <w:rFonts w:ascii="Arial" w:hAnsi="Arial" w:cs="Arial"/>
          <w:sz w:val="20"/>
        </w:rPr>
        <w:t>accordance with point</w:t>
      </w:r>
      <w:r w:rsidRPr="00FC1D2C">
        <w:rPr>
          <w:rFonts w:ascii="Arial" w:hAnsi="Arial" w:cs="Arial"/>
          <w:sz w:val="20"/>
        </w:rPr>
        <w:t xml:space="preserve"> BFCL.430;</w:t>
      </w:r>
    </w:p>
    <w:p w14:paraId="695A8109" w14:textId="77777777" w:rsidR="00EE2815" w:rsidRPr="00EE2815" w:rsidRDefault="00EE2815" w:rsidP="00D91E6C">
      <w:pPr>
        <w:pStyle w:val="ListParagraph"/>
        <w:numPr>
          <w:ilvl w:val="0"/>
          <w:numId w:val="273"/>
        </w:numPr>
        <w:tabs>
          <w:tab w:val="left" w:pos="707"/>
        </w:tabs>
        <w:spacing w:before="121"/>
        <w:ind w:left="705" w:right="68"/>
        <w:jc w:val="both"/>
        <w:rPr>
          <w:rFonts w:ascii="Arial" w:hAnsi="Arial" w:cs="Arial"/>
          <w:sz w:val="20"/>
        </w:rPr>
      </w:pPr>
      <w:r w:rsidRPr="00EE2815">
        <w:rPr>
          <w:rFonts w:ascii="Arial" w:hAnsi="Arial" w:cs="Arial"/>
          <w:sz w:val="20"/>
        </w:rPr>
        <w:t>assessments</w:t>
      </w:r>
      <w:r w:rsidRPr="00EE2815">
        <w:rPr>
          <w:rFonts w:ascii="Arial" w:hAnsi="Arial" w:cs="Arial"/>
          <w:spacing w:val="-10"/>
          <w:sz w:val="20"/>
        </w:rPr>
        <w:t xml:space="preserve"> </w:t>
      </w:r>
      <w:r w:rsidRPr="00EE2815">
        <w:rPr>
          <w:rFonts w:ascii="Arial" w:hAnsi="Arial" w:cs="Arial"/>
          <w:sz w:val="20"/>
        </w:rPr>
        <w:t>of</w:t>
      </w:r>
      <w:r w:rsidRPr="00EE2815">
        <w:rPr>
          <w:rFonts w:ascii="Arial" w:hAnsi="Arial" w:cs="Arial"/>
          <w:spacing w:val="-7"/>
          <w:sz w:val="20"/>
        </w:rPr>
        <w:t xml:space="preserve"> </w:t>
      </w:r>
      <w:r w:rsidRPr="00EE2815">
        <w:rPr>
          <w:rFonts w:ascii="Arial" w:hAnsi="Arial" w:cs="Arial"/>
          <w:sz w:val="20"/>
        </w:rPr>
        <w:t>competence</w:t>
      </w:r>
      <w:r w:rsidRPr="00EE2815">
        <w:rPr>
          <w:rFonts w:ascii="Arial" w:hAnsi="Arial" w:cs="Arial"/>
          <w:spacing w:val="-6"/>
          <w:sz w:val="20"/>
        </w:rPr>
        <w:t xml:space="preserve"> </w:t>
      </w:r>
      <w:r w:rsidRPr="00EE2815">
        <w:rPr>
          <w:rFonts w:ascii="Arial" w:hAnsi="Arial" w:cs="Arial"/>
          <w:sz w:val="20"/>
        </w:rPr>
        <w:t>for</w:t>
      </w:r>
      <w:r w:rsidRPr="00EE2815">
        <w:rPr>
          <w:rFonts w:ascii="Arial" w:hAnsi="Arial" w:cs="Arial"/>
          <w:spacing w:val="-8"/>
          <w:sz w:val="20"/>
        </w:rPr>
        <w:t xml:space="preserve"> </w:t>
      </w:r>
      <w:r w:rsidRPr="00EE2815">
        <w:rPr>
          <w:rFonts w:ascii="Arial" w:hAnsi="Arial" w:cs="Arial"/>
          <w:sz w:val="20"/>
        </w:rPr>
        <w:t>the</w:t>
      </w:r>
      <w:r w:rsidRPr="00EE2815">
        <w:rPr>
          <w:rFonts w:ascii="Arial" w:hAnsi="Arial" w:cs="Arial"/>
          <w:spacing w:val="-7"/>
          <w:sz w:val="20"/>
        </w:rPr>
        <w:t xml:space="preserve"> </w:t>
      </w:r>
      <w:r w:rsidRPr="00EE2815">
        <w:rPr>
          <w:rFonts w:ascii="Arial" w:hAnsi="Arial" w:cs="Arial"/>
          <w:sz w:val="20"/>
        </w:rPr>
        <w:t>issue</w:t>
      </w:r>
      <w:r w:rsidRPr="00EE2815">
        <w:rPr>
          <w:rFonts w:ascii="Arial" w:hAnsi="Arial" w:cs="Arial"/>
          <w:spacing w:val="-6"/>
          <w:sz w:val="20"/>
        </w:rPr>
        <w:t xml:space="preserve"> </w:t>
      </w:r>
      <w:r w:rsidRPr="00EE2815">
        <w:rPr>
          <w:rFonts w:ascii="Arial" w:hAnsi="Arial" w:cs="Arial"/>
          <w:sz w:val="20"/>
        </w:rPr>
        <w:t>of</w:t>
      </w:r>
      <w:r w:rsidRPr="00EE2815">
        <w:rPr>
          <w:rFonts w:ascii="Arial" w:hAnsi="Arial" w:cs="Arial"/>
          <w:spacing w:val="-7"/>
          <w:sz w:val="20"/>
        </w:rPr>
        <w:t xml:space="preserve"> </w:t>
      </w:r>
      <w:r w:rsidRPr="00EE2815">
        <w:rPr>
          <w:rFonts w:ascii="Arial" w:hAnsi="Arial" w:cs="Arial"/>
          <w:sz w:val="20"/>
        </w:rPr>
        <w:t>an</w:t>
      </w:r>
      <w:r w:rsidRPr="00EE2815">
        <w:rPr>
          <w:rFonts w:ascii="Arial" w:hAnsi="Arial" w:cs="Arial"/>
          <w:spacing w:val="-9"/>
          <w:sz w:val="20"/>
        </w:rPr>
        <w:t xml:space="preserve"> </w:t>
      </w:r>
      <w:r w:rsidRPr="00EE2815">
        <w:rPr>
          <w:rFonts w:ascii="Arial" w:hAnsi="Arial" w:cs="Arial"/>
          <w:sz w:val="20"/>
        </w:rPr>
        <w:t>FI(B)</w:t>
      </w:r>
      <w:r w:rsidRPr="00EE2815">
        <w:rPr>
          <w:rFonts w:ascii="Arial" w:hAnsi="Arial" w:cs="Arial"/>
          <w:spacing w:val="-7"/>
          <w:sz w:val="20"/>
        </w:rPr>
        <w:t xml:space="preserve"> </w:t>
      </w:r>
      <w:r w:rsidRPr="00EE2815">
        <w:rPr>
          <w:rFonts w:ascii="Arial" w:hAnsi="Arial" w:cs="Arial"/>
          <w:sz w:val="20"/>
        </w:rPr>
        <w:t>certificate,</w:t>
      </w:r>
      <w:r w:rsidRPr="00EE2815">
        <w:rPr>
          <w:rFonts w:ascii="Arial" w:hAnsi="Arial" w:cs="Arial"/>
          <w:spacing w:val="-7"/>
          <w:sz w:val="20"/>
        </w:rPr>
        <w:t xml:space="preserve"> </w:t>
      </w:r>
      <w:r w:rsidRPr="00EE2815">
        <w:rPr>
          <w:rFonts w:ascii="Arial" w:hAnsi="Arial" w:cs="Arial"/>
          <w:sz w:val="20"/>
        </w:rPr>
        <w:t>provided</w:t>
      </w:r>
      <w:r w:rsidRPr="00EE2815">
        <w:rPr>
          <w:rFonts w:ascii="Arial" w:hAnsi="Arial" w:cs="Arial"/>
          <w:spacing w:val="-8"/>
          <w:sz w:val="20"/>
        </w:rPr>
        <w:t xml:space="preserve"> </w:t>
      </w:r>
      <w:r w:rsidRPr="00EE2815">
        <w:rPr>
          <w:rFonts w:ascii="Arial" w:hAnsi="Arial" w:cs="Arial"/>
          <w:sz w:val="20"/>
        </w:rPr>
        <w:t>that</w:t>
      </w:r>
      <w:r w:rsidRPr="00EE2815">
        <w:rPr>
          <w:rFonts w:ascii="Arial" w:hAnsi="Arial" w:cs="Arial"/>
          <w:spacing w:val="-7"/>
          <w:sz w:val="20"/>
        </w:rPr>
        <w:t xml:space="preserve"> </w:t>
      </w:r>
      <w:r w:rsidRPr="00EE2815">
        <w:rPr>
          <w:rFonts w:ascii="Arial" w:hAnsi="Arial" w:cs="Arial"/>
          <w:sz w:val="20"/>
        </w:rPr>
        <w:t>the</w:t>
      </w:r>
      <w:r w:rsidRPr="00EE2815">
        <w:rPr>
          <w:rFonts w:ascii="Arial" w:hAnsi="Arial" w:cs="Arial"/>
          <w:spacing w:val="-9"/>
          <w:sz w:val="20"/>
        </w:rPr>
        <w:t xml:space="preserve"> </w:t>
      </w:r>
      <w:r w:rsidRPr="00EE2815">
        <w:rPr>
          <w:rFonts w:ascii="Arial" w:hAnsi="Arial" w:cs="Arial"/>
          <w:sz w:val="20"/>
        </w:rPr>
        <w:t>applicant</w:t>
      </w:r>
      <w:r w:rsidRPr="00EE2815">
        <w:rPr>
          <w:rFonts w:ascii="Arial" w:hAnsi="Arial" w:cs="Arial"/>
          <w:spacing w:val="-7"/>
          <w:sz w:val="20"/>
        </w:rPr>
        <w:t xml:space="preserve"> </w:t>
      </w:r>
      <w:r w:rsidRPr="00EE2815">
        <w:rPr>
          <w:rFonts w:ascii="Arial" w:hAnsi="Arial" w:cs="Arial"/>
          <w:sz w:val="20"/>
        </w:rPr>
        <w:t>has:</w:t>
      </w:r>
    </w:p>
    <w:p w14:paraId="50151A73" w14:textId="77777777" w:rsidR="00EE2815" w:rsidRPr="00EE2815" w:rsidRDefault="00EE2815" w:rsidP="00D91E6C">
      <w:pPr>
        <w:pStyle w:val="ListParagraph"/>
        <w:numPr>
          <w:ilvl w:val="1"/>
          <w:numId w:val="273"/>
        </w:numPr>
        <w:tabs>
          <w:tab w:val="left" w:pos="1274"/>
        </w:tabs>
        <w:ind w:left="1272" w:right="68"/>
        <w:jc w:val="both"/>
        <w:rPr>
          <w:rFonts w:ascii="Arial" w:hAnsi="Arial" w:cs="Arial"/>
          <w:sz w:val="20"/>
        </w:rPr>
      </w:pPr>
      <w:r w:rsidRPr="00EE2815">
        <w:rPr>
          <w:rFonts w:ascii="Arial" w:hAnsi="Arial" w:cs="Arial"/>
          <w:sz w:val="20"/>
        </w:rPr>
        <w:t>completed 350 hours of flight time as pilot on balloons, including 5 hours of instruction</w:t>
      </w:r>
      <w:r w:rsidRPr="00EE2815">
        <w:rPr>
          <w:rFonts w:ascii="Arial" w:hAnsi="Arial" w:cs="Arial"/>
          <w:spacing w:val="1"/>
          <w:sz w:val="20"/>
        </w:rPr>
        <w:t xml:space="preserve"> </w:t>
      </w:r>
      <w:r w:rsidRPr="00EE2815">
        <w:rPr>
          <w:rFonts w:ascii="Arial" w:hAnsi="Arial" w:cs="Arial"/>
          <w:sz w:val="20"/>
        </w:rPr>
        <w:t>to an</w:t>
      </w:r>
      <w:r w:rsidRPr="00EE2815">
        <w:rPr>
          <w:rFonts w:ascii="Arial" w:hAnsi="Arial" w:cs="Arial"/>
          <w:spacing w:val="-3"/>
          <w:sz w:val="20"/>
        </w:rPr>
        <w:t xml:space="preserve"> </w:t>
      </w:r>
      <w:r w:rsidRPr="00EE2815">
        <w:rPr>
          <w:rFonts w:ascii="Arial" w:hAnsi="Arial" w:cs="Arial"/>
          <w:sz w:val="20"/>
        </w:rPr>
        <w:t>applicant for</w:t>
      </w:r>
      <w:r w:rsidRPr="00EE2815">
        <w:rPr>
          <w:rFonts w:ascii="Arial" w:hAnsi="Arial" w:cs="Arial"/>
          <w:spacing w:val="1"/>
          <w:sz w:val="20"/>
        </w:rPr>
        <w:t xml:space="preserve"> </w:t>
      </w:r>
      <w:r w:rsidRPr="00EE2815">
        <w:rPr>
          <w:rFonts w:ascii="Arial" w:hAnsi="Arial" w:cs="Arial"/>
          <w:sz w:val="20"/>
        </w:rPr>
        <w:t>the</w:t>
      </w:r>
      <w:r w:rsidRPr="00EE2815">
        <w:rPr>
          <w:rFonts w:ascii="Arial" w:hAnsi="Arial" w:cs="Arial"/>
          <w:spacing w:val="-3"/>
          <w:sz w:val="20"/>
        </w:rPr>
        <w:t xml:space="preserve"> </w:t>
      </w:r>
      <w:r w:rsidRPr="00EE2815">
        <w:rPr>
          <w:rFonts w:ascii="Arial" w:hAnsi="Arial" w:cs="Arial"/>
          <w:sz w:val="20"/>
        </w:rPr>
        <w:t>FI(B)</w:t>
      </w:r>
      <w:r w:rsidRPr="00EE2815">
        <w:rPr>
          <w:rFonts w:ascii="Arial" w:hAnsi="Arial" w:cs="Arial"/>
          <w:spacing w:val="-2"/>
          <w:sz w:val="20"/>
        </w:rPr>
        <w:t xml:space="preserve"> </w:t>
      </w:r>
      <w:r w:rsidRPr="00EE2815">
        <w:rPr>
          <w:rFonts w:ascii="Arial" w:hAnsi="Arial" w:cs="Arial"/>
          <w:sz w:val="20"/>
        </w:rPr>
        <w:t>certificate;</w:t>
      </w:r>
    </w:p>
    <w:p w14:paraId="54A481FF" w14:textId="073B1AB3" w:rsidR="00EE2815" w:rsidRPr="00EE2815" w:rsidRDefault="00EE2815" w:rsidP="00D91E6C">
      <w:pPr>
        <w:pStyle w:val="ListParagraph"/>
        <w:numPr>
          <w:ilvl w:val="1"/>
          <w:numId w:val="273"/>
        </w:numPr>
        <w:tabs>
          <w:tab w:val="left" w:pos="1274"/>
        </w:tabs>
        <w:spacing w:before="121"/>
        <w:ind w:left="1272" w:right="68"/>
        <w:jc w:val="both"/>
        <w:rPr>
          <w:rFonts w:ascii="Arial" w:hAnsi="Arial" w:cs="Arial"/>
          <w:sz w:val="20"/>
        </w:rPr>
      </w:pPr>
      <w:r w:rsidRPr="00EE2815">
        <w:rPr>
          <w:rFonts w:ascii="Arial" w:hAnsi="Arial" w:cs="Arial"/>
          <w:sz w:val="20"/>
        </w:rPr>
        <w:t>received specific training during an examiner standardisation course in accordance with</w:t>
      </w:r>
      <w:r w:rsidRPr="00EE2815">
        <w:rPr>
          <w:rFonts w:ascii="Arial" w:hAnsi="Arial" w:cs="Arial"/>
          <w:spacing w:val="1"/>
          <w:sz w:val="20"/>
        </w:rPr>
        <w:t xml:space="preserve"> </w:t>
      </w:r>
      <w:r w:rsidRPr="00EE2815">
        <w:rPr>
          <w:rFonts w:ascii="Arial" w:hAnsi="Arial" w:cs="Arial"/>
          <w:sz w:val="20"/>
        </w:rPr>
        <w:t>point</w:t>
      </w:r>
      <w:r w:rsidRPr="00FC1D2C">
        <w:rPr>
          <w:rFonts w:ascii="Arial" w:hAnsi="Arial" w:cs="Arial"/>
          <w:sz w:val="20"/>
        </w:rPr>
        <w:t xml:space="preserve"> BFCL.430.</w:t>
      </w:r>
    </w:p>
    <w:p w14:paraId="461BF3C5" w14:textId="77777777" w:rsidR="00744621" w:rsidRPr="00744621" w:rsidRDefault="00744621" w:rsidP="00744621">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754" w:name="AMC1_BFCL.415(b)__FE(B)_certificate_–_Pr"/>
      <w:bookmarkStart w:id="755" w:name="_bookmark309"/>
      <w:bookmarkStart w:id="756" w:name="_Toc153137474"/>
      <w:bookmarkEnd w:id="754"/>
      <w:bookmarkEnd w:id="755"/>
      <w:r w:rsidRPr="00744621">
        <w:rPr>
          <w:rFonts w:ascii="Arial" w:eastAsia="Times New Roman" w:hAnsi="Arial" w:cs="Times New Roman"/>
          <w:b/>
          <w:color w:val="FFFFFF"/>
          <w:sz w:val="24"/>
        </w:rPr>
        <w:t>BFCL.415(b) FE(B) certificate – Privileges and conditions</w:t>
      </w:r>
      <w:bookmarkEnd w:id="756"/>
    </w:p>
    <w:p w14:paraId="3963A821" w14:textId="77777777" w:rsidR="00744621" w:rsidRPr="00744621" w:rsidRDefault="00744621" w:rsidP="00744621">
      <w:pPr>
        <w:widowControl/>
        <w:autoSpaceDE/>
        <w:autoSpaceDN/>
        <w:spacing w:before="240" w:after="160" w:line="264" w:lineRule="auto"/>
        <w:jc w:val="both"/>
        <w:rPr>
          <w:rFonts w:ascii="Arial" w:eastAsiaTheme="minorHAnsi" w:hAnsi="Arial" w:cs="Arial"/>
          <w:b/>
          <w:bCs/>
          <w:sz w:val="20"/>
          <w:szCs w:val="20"/>
        </w:rPr>
      </w:pPr>
      <w:r w:rsidRPr="00744621">
        <w:rPr>
          <w:rFonts w:ascii="Arial" w:eastAsiaTheme="minorHAnsi" w:hAnsi="Arial" w:cs="Arial"/>
          <w:b/>
          <w:bCs/>
          <w:sz w:val="20"/>
          <w:szCs w:val="20"/>
        </w:rPr>
        <w:t>SPECIFIC TRAINING FOR EXAMINER PRIVILEGES RELATED TO THE COMMERCIAL OPERATION RATING</w:t>
      </w:r>
    </w:p>
    <w:p w14:paraId="3F35D27B" w14:textId="77777777" w:rsidR="00744621" w:rsidRPr="00744621" w:rsidRDefault="00744621" w:rsidP="00744621">
      <w:pPr>
        <w:pStyle w:val="BodyText"/>
        <w:spacing w:before="118"/>
        <w:jc w:val="both"/>
        <w:rPr>
          <w:rFonts w:ascii="Arial" w:hAnsi="Arial" w:cs="Arial"/>
          <w:sz w:val="20"/>
        </w:rPr>
      </w:pPr>
      <w:r w:rsidRPr="00744621">
        <w:rPr>
          <w:rFonts w:ascii="Arial" w:hAnsi="Arial" w:cs="Arial"/>
          <w:sz w:val="20"/>
        </w:rPr>
        <w:t>The</w:t>
      </w:r>
      <w:r w:rsidRPr="00744621">
        <w:rPr>
          <w:rFonts w:ascii="Arial" w:hAnsi="Arial" w:cs="Arial"/>
          <w:spacing w:val="-2"/>
          <w:sz w:val="20"/>
        </w:rPr>
        <w:t xml:space="preserve"> </w:t>
      </w:r>
      <w:r w:rsidRPr="00744621">
        <w:rPr>
          <w:rFonts w:ascii="Arial" w:hAnsi="Arial" w:cs="Arial"/>
          <w:sz w:val="20"/>
        </w:rPr>
        <w:t>specific</w:t>
      </w:r>
      <w:r w:rsidRPr="00744621">
        <w:rPr>
          <w:rFonts w:ascii="Arial" w:hAnsi="Arial" w:cs="Arial"/>
          <w:spacing w:val="-2"/>
          <w:sz w:val="20"/>
        </w:rPr>
        <w:t xml:space="preserve"> </w:t>
      </w:r>
      <w:r w:rsidRPr="00744621">
        <w:rPr>
          <w:rFonts w:ascii="Arial" w:hAnsi="Arial" w:cs="Arial"/>
          <w:sz w:val="20"/>
        </w:rPr>
        <w:t>training</w:t>
      </w:r>
      <w:r w:rsidRPr="00744621">
        <w:rPr>
          <w:rFonts w:ascii="Arial" w:hAnsi="Arial" w:cs="Arial"/>
          <w:spacing w:val="-2"/>
          <w:sz w:val="20"/>
        </w:rPr>
        <w:t xml:space="preserve"> </w:t>
      </w:r>
      <w:r w:rsidRPr="00744621">
        <w:rPr>
          <w:rFonts w:ascii="Arial" w:hAnsi="Arial" w:cs="Arial"/>
          <w:sz w:val="20"/>
        </w:rPr>
        <w:t>for</w:t>
      </w:r>
      <w:r w:rsidRPr="00744621">
        <w:rPr>
          <w:rFonts w:ascii="Arial" w:hAnsi="Arial" w:cs="Arial"/>
          <w:spacing w:val="-2"/>
          <w:sz w:val="20"/>
        </w:rPr>
        <w:t xml:space="preserve"> </w:t>
      </w:r>
      <w:r w:rsidRPr="00744621">
        <w:rPr>
          <w:rFonts w:ascii="Arial" w:hAnsi="Arial" w:cs="Arial"/>
          <w:sz w:val="20"/>
        </w:rPr>
        <w:t>examiner</w:t>
      </w:r>
      <w:r w:rsidRPr="00744621">
        <w:rPr>
          <w:rFonts w:ascii="Arial" w:hAnsi="Arial" w:cs="Arial"/>
          <w:spacing w:val="-1"/>
          <w:sz w:val="20"/>
        </w:rPr>
        <w:t xml:space="preserve"> </w:t>
      </w:r>
      <w:r w:rsidRPr="00744621">
        <w:rPr>
          <w:rFonts w:ascii="Arial" w:hAnsi="Arial" w:cs="Arial"/>
          <w:sz w:val="20"/>
        </w:rPr>
        <w:t>privileges</w:t>
      </w:r>
      <w:r w:rsidRPr="00744621">
        <w:rPr>
          <w:rFonts w:ascii="Arial" w:hAnsi="Arial" w:cs="Arial"/>
          <w:spacing w:val="-4"/>
          <w:sz w:val="20"/>
        </w:rPr>
        <w:t xml:space="preserve"> </w:t>
      </w:r>
      <w:r w:rsidRPr="00744621">
        <w:rPr>
          <w:rFonts w:ascii="Arial" w:hAnsi="Arial" w:cs="Arial"/>
          <w:sz w:val="20"/>
        </w:rPr>
        <w:t>related</w:t>
      </w:r>
      <w:r w:rsidRPr="00744621">
        <w:rPr>
          <w:rFonts w:ascii="Arial" w:hAnsi="Arial" w:cs="Arial"/>
          <w:spacing w:val="-2"/>
          <w:sz w:val="20"/>
        </w:rPr>
        <w:t xml:space="preserve"> </w:t>
      </w:r>
      <w:r w:rsidRPr="00744621">
        <w:rPr>
          <w:rFonts w:ascii="Arial" w:hAnsi="Arial" w:cs="Arial"/>
          <w:sz w:val="20"/>
        </w:rPr>
        <w:t>to</w:t>
      </w:r>
      <w:r w:rsidRPr="00744621">
        <w:rPr>
          <w:rFonts w:ascii="Arial" w:hAnsi="Arial" w:cs="Arial"/>
          <w:spacing w:val="-1"/>
          <w:sz w:val="20"/>
        </w:rPr>
        <w:t xml:space="preserve"> </w:t>
      </w:r>
      <w:r w:rsidRPr="00744621">
        <w:rPr>
          <w:rFonts w:ascii="Arial" w:hAnsi="Arial" w:cs="Arial"/>
          <w:sz w:val="20"/>
        </w:rPr>
        <w:t>the</w:t>
      </w:r>
      <w:r w:rsidRPr="00744621">
        <w:rPr>
          <w:rFonts w:ascii="Arial" w:hAnsi="Arial" w:cs="Arial"/>
          <w:spacing w:val="-3"/>
          <w:sz w:val="20"/>
        </w:rPr>
        <w:t xml:space="preserve"> </w:t>
      </w:r>
      <w:r w:rsidRPr="00744621">
        <w:rPr>
          <w:rFonts w:ascii="Arial" w:hAnsi="Arial" w:cs="Arial"/>
          <w:sz w:val="20"/>
        </w:rPr>
        <w:t>commercial</w:t>
      </w:r>
      <w:r w:rsidRPr="00744621">
        <w:rPr>
          <w:rFonts w:ascii="Arial" w:hAnsi="Arial" w:cs="Arial"/>
          <w:spacing w:val="-5"/>
          <w:sz w:val="20"/>
        </w:rPr>
        <w:t xml:space="preserve"> </w:t>
      </w:r>
      <w:r w:rsidRPr="00744621">
        <w:rPr>
          <w:rFonts w:ascii="Arial" w:hAnsi="Arial" w:cs="Arial"/>
          <w:sz w:val="20"/>
        </w:rPr>
        <w:t>operation</w:t>
      </w:r>
      <w:r w:rsidRPr="00744621">
        <w:rPr>
          <w:rFonts w:ascii="Arial" w:hAnsi="Arial" w:cs="Arial"/>
          <w:spacing w:val="-2"/>
          <w:sz w:val="20"/>
        </w:rPr>
        <w:t xml:space="preserve"> </w:t>
      </w:r>
      <w:r w:rsidRPr="00744621">
        <w:rPr>
          <w:rFonts w:ascii="Arial" w:hAnsi="Arial" w:cs="Arial"/>
          <w:sz w:val="20"/>
        </w:rPr>
        <w:t>rating</w:t>
      </w:r>
      <w:r w:rsidRPr="00744621">
        <w:rPr>
          <w:rFonts w:ascii="Arial" w:hAnsi="Arial" w:cs="Arial"/>
          <w:spacing w:val="-4"/>
          <w:sz w:val="20"/>
        </w:rPr>
        <w:t xml:space="preserve"> </w:t>
      </w:r>
      <w:r w:rsidRPr="00744621">
        <w:rPr>
          <w:rFonts w:ascii="Arial" w:hAnsi="Arial" w:cs="Arial"/>
          <w:sz w:val="20"/>
        </w:rPr>
        <w:t>should:</w:t>
      </w:r>
    </w:p>
    <w:p w14:paraId="0ED88005" w14:textId="77777777" w:rsidR="00744621" w:rsidRPr="00744621" w:rsidRDefault="00744621" w:rsidP="00744621">
      <w:pPr>
        <w:pStyle w:val="ListParagraph"/>
        <w:numPr>
          <w:ilvl w:val="0"/>
          <w:numId w:val="274"/>
        </w:numPr>
        <w:tabs>
          <w:tab w:val="left" w:pos="706"/>
          <w:tab w:val="left" w:pos="707"/>
        </w:tabs>
        <w:spacing w:before="121"/>
        <w:ind w:right="192"/>
        <w:jc w:val="both"/>
        <w:rPr>
          <w:rFonts w:ascii="Arial" w:hAnsi="Arial" w:cs="Arial"/>
          <w:sz w:val="20"/>
        </w:rPr>
      </w:pPr>
      <w:r w:rsidRPr="00744621">
        <w:rPr>
          <w:rFonts w:ascii="Arial" w:hAnsi="Arial" w:cs="Arial"/>
          <w:sz w:val="20"/>
        </w:rPr>
        <w:t>be</w:t>
      </w:r>
      <w:r w:rsidRPr="00744621">
        <w:rPr>
          <w:rFonts w:ascii="Arial" w:hAnsi="Arial" w:cs="Arial"/>
          <w:spacing w:val="17"/>
          <w:sz w:val="20"/>
        </w:rPr>
        <w:t xml:space="preserve"> </w:t>
      </w:r>
      <w:r w:rsidRPr="00744621">
        <w:rPr>
          <w:rFonts w:ascii="Arial" w:hAnsi="Arial" w:cs="Arial"/>
          <w:sz w:val="20"/>
        </w:rPr>
        <w:t>completed</w:t>
      </w:r>
      <w:r w:rsidRPr="00744621">
        <w:rPr>
          <w:rFonts w:ascii="Arial" w:hAnsi="Arial" w:cs="Arial"/>
          <w:spacing w:val="17"/>
          <w:sz w:val="20"/>
        </w:rPr>
        <w:t xml:space="preserve"> </w:t>
      </w:r>
      <w:r w:rsidRPr="00744621">
        <w:rPr>
          <w:rFonts w:ascii="Arial" w:hAnsi="Arial" w:cs="Arial"/>
          <w:sz w:val="20"/>
        </w:rPr>
        <w:t>under</w:t>
      </w:r>
      <w:r w:rsidRPr="00744621">
        <w:rPr>
          <w:rFonts w:ascii="Arial" w:hAnsi="Arial" w:cs="Arial"/>
          <w:spacing w:val="17"/>
          <w:sz w:val="20"/>
        </w:rPr>
        <w:t xml:space="preserve"> </w:t>
      </w:r>
      <w:r w:rsidRPr="00744621">
        <w:rPr>
          <w:rFonts w:ascii="Arial" w:hAnsi="Arial" w:cs="Arial"/>
          <w:sz w:val="20"/>
        </w:rPr>
        <w:t>the</w:t>
      </w:r>
      <w:r w:rsidRPr="00744621">
        <w:rPr>
          <w:rFonts w:ascii="Arial" w:hAnsi="Arial" w:cs="Arial"/>
          <w:spacing w:val="18"/>
          <w:sz w:val="20"/>
        </w:rPr>
        <w:t xml:space="preserve"> </w:t>
      </w:r>
      <w:r w:rsidRPr="00744621">
        <w:rPr>
          <w:rFonts w:ascii="Arial" w:hAnsi="Arial" w:cs="Arial"/>
          <w:sz w:val="20"/>
        </w:rPr>
        <w:t>supervision</w:t>
      </w:r>
      <w:r w:rsidRPr="00744621">
        <w:rPr>
          <w:rFonts w:ascii="Arial" w:hAnsi="Arial" w:cs="Arial"/>
          <w:spacing w:val="13"/>
          <w:sz w:val="20"/>
        </w:rPr>
        <w:t xml:space="preserve"> </w:t>
      </w:r>
      <w:r w:rsidRPr="00744621">
        <w:rPr>
          <w:rFonts w:ascii="Arial" w:hAnsi="Arial" w:cs="Arial"/>
          <w:sz w:val="20"/>
        </w:rPr>
        <w:t>of</w:t>
      </w:r>
      <w:r w:rsidRPr="00744621">
        <w:rPr>
          <w:rFonts w:ascii="Arial" w:hAnsi="Arial" w:cs="Arial"/>
          <w:spacing w:val="17"/>
          <w:sz w:val="20"/>
        </w:rPr>
        <w:t xml:space="preserve"> </w:t>
      </w:r>
      <w:r w:rsidRPr="00744621">
        <w:rPr>
          <w:rFonts w:ascii="Arial" w:hAnsi="Arial" w:cs="Arial"/>
          <w:sz w:val="20"/>
        </w:rPr>
        <w:t>an</w:t>
      </w:r>
      <w:r w:rsidRPr="00744621">
        <w:rPr>
          <w:rFonts w:ascii="Arial" w:hAnsi="Arial" w:cs="Arial"/>
          <w:spacing w:val="17"/>
          <w:sz w:val="20"/>
        </w:rPr>
        <w:t xml:space="preserve"> </w:t>
      </w:r>
      <w:r w:rsidRPr="00744621">
        <w:rPr>
          <w:rFonts w:ascii="Arial" w:hAnsi="Arial" w:cs="Arial"/>
          <w:sz w:val="20"/>
        </w:rPr>
        <w:t>FE(B)</w:t>
      </w:r>
      <w:r w:rsidRPr="00744621">
        <w:rPr>
          <w:rFonts w:ascii="Arial" w:hAnsi="Arial" w:cs="Arial"/>
          <w:spacing w:val="17"/>
          <w:sz w:val="20"/>
        </w:rPr>
        <w:t xml:space="preserve"> </w:t>
      </w:r>
      <w:r w:rsidRPr="00744621">
        <w:rPr>
          <w:rFonts w:ascii="Arial" w:hAnsi="Arial" w:cs="Arial"/>
          <w:sz w:val="20"/>
        </w:rPr>
        <w:t>who</w:t>
      </w:r>
      <w:r w:rsidRPr="00744621">
        <w:rPr>
          <w:rFonts w:ascii="Arial" w:hAnsi="Arial" w:cs="Arial"/>
          <w:spacing w:val="18"/>
          <w:sz w:val="20"/>
        </w:rPr>
        <w:t xml:space="preserve"> </w:t>
      </w:r>
      <w:r w:rsidRPr="00744621">
        <w:rPr>
          <w:rFonts w:ascii="Arial" w:hAnsi="Arial" w:cs="Arial"/>
          <w:sz w:val="20"/>
        </w:rPr>
        <w:t>holds</w:t>
      </w:r>
      <w:r w:rsidRPr="00744621">
        <w:rPr>
          <w:rFonts w:ascii="Arial" w:hAnsi="Arial" w:cs="Arial"/>
          <w:spacing w:val="18"/>
          <w:sz w:val="20"/>
        </w:rPr>
        <w:t xml:space="preserve"> </w:t>
      </w:r>
      <w:r w:rsidRPr="00744621">
        <w:rPr>
          <w:rFonts w:ascii="Arial" w:hAnsi="Arial" w:cs="Arial"/>
          <w:sz w:val="20"/>
        </w:rPr>
        <w:t>the</w:t>
      </w:r>
      <w:r w:rsidRPr="00744621">
        <w:rPr>
          <w:rFonts w:ascii="Arial" w:hAnsi="Arial" w:cs="Arial"/>
          <w:spacing w:val="17"/>
          <w:sz w:val="20"/>
        </w:rPr>
        <w:t xml:space="preserve"> </w:t>
      </w:r>
      <w:r w:rsidRPr="00744621">
        <w:rPr>
          <w:rFonts w:ascii="Arial" w:hAnsi="Arial" w:cs="Arial"/>
          <w:sz w:val="20"/>
        </w:rPr>
        <w:t>privileges</w:t>
      </w:r>
      <w:r w:rsidRPr="00744621">
        <w:rPr>
          <w:rFonts w:ascii="Arial" w:hAnsi="Arial" w:cs="Arial"/>
          <w:spacing w:val="17"/>
          <w:sz w:val="20"/>
        </w:rPr>
        <w:t xml:space="preserve"> </w:t>
      </w:r>
      <w:r w:rsidRPr="00744621">
        <w:rPr>
          <w:rFonts w:ascii="Arial" w:hAnsi="Arial" w:cs="Arial"/>
          <w:sz w:val="20"/>
        </w:rPr>
        <w:t>in</w:t>
      </w:r>
      <w:r w:rsidRPr="00744621">
        <w:rPr>
          <w:rFonts w:ascii="Arial" w:hAnsi="Arial" w:cs="Arial"/>
          <w:spacing w:val="16"/>
          <w:sz w:val="20"/>
        </w:rPr>
        <w:t xml:space="preserve"> </w:t>
      </w:r>
      <w:r w:rsidRPr="00744621">
        <w:rPr>
          <w:rFonts w:ascii="Arial" w:hAnsi="Arial" w:cs="Arial"/>
          <w:sz w:val="20"/>
        </w:rPr>
        <w:t>accordance</w:t>
      </w:r>
      <w:r w:rsidRPr="00744621">
        <w:rPr>
          <w:rFonts w:ascii="Arial" w:hAnsi="Arial" w:cs="Arial"/>
          <w:spacing w:val="16"/>
          <w:sz w:val="20"/>
        </w:rPr>
        <w:t xml:space="preserve"> </w:t>
      </w:r>
      <w:r w:rsidRPr="00744621">
        <w:rPr>
          <w:rFonts w:ascii="Arial" w:hAnsi="Arial" w:cs="Arial"/>
          <w:sz w:val="20"/>
        </w:rPr>
        <w:t>with</w:t>
      </w:r>
      <w:r w:rsidRPr="00744621">
        <w:rPr>
          <w:rFonts w:ascii="Arial" w:hAnsi="Arial" w:cs="Arial"/>
          <w:spacing w:val="-47"/>
          <w:sz w:val="20"/>
        </w:rPr>
        <w:t xml:space="preserve"> </w:t>
      </w:r>
      <w:r w:rsidRPr="00744621">
        <w:rPr>
          <w:rFonts w:ascii="Arial" w:hAnsi="Arial" w:cs="Arial"/>
          <w:sz w:val="20"/>
        </w:rPr>
        <w:t>point</w:t>
      </w:r>
      <w:r w:rsidRPr="00744621">
        <w:rPr>
          <w:rFonts w:ascii="Arial" w:hAnsi="Arial" w:cs="Arial"/>
          <w:spacing w:val="-1"/>
          <w:sz w:val="20"/>
        </w:rPr>
        <w:t xml:space="preserve"> </w:t>
      </w:r>
      <w:r w:rsidRPr="00744621">
        <w:rPr>
          <w:rFonts w:ascii="Arial" w:hAnsi="Arial" w:cs="Arial"/>
          <w:sz w:val="20"/>
        </w:rPr>
        <w:t>BFCL.415(b); and</w:t>
      </w:r>
    </w:p>
    <w:p w14:paraId="22B3F04C" w14:textId="77777777" w:rsidR="00744621" w:rsidRPr="00744621" w:rsidRDefault="00744621" w:rsidP="00744621">
      <w:pPr>
        <w:pStyle w:val="ListParagraph"/>
        <w:numPr>
          <w:ilvl w:val="0"/>
          <w:numId w:val="274"/>
        </w:numPr>
        <w:tabs>
          <w:tab w:val="left" w:pos="706"/>
          <w:tab w:val="left" w:pos="707"/>
        </w:tabs>
        <w:jc w:val="both"/>
        <w:rPr>
          <w:rFonts w:ascii="Arial" w:hAnsi="Arial" w:cs="Arial"/>
          <w:sz w:val="20"/>
        </w:rPr>
      </w:pPr>
      <w:r w:rsidRPr="00744621">
        <w:rPr>
          <w:rFonts w:ascii="Arial" w:hAnsi="Arial" w:cs="Arial"/>
          <w:sz w:val="20"/>
        </w:rPr>
        <w:t>include at least all</w:t>
      </w:r>
      <w:r w:rsidRPr="00744621">
        <w:rPr>
          <w:rFonts w:ascii="Arial" w:hAnsi="Arial" w:cs="Arial"/>
          <w:spacing w:val="-3"/>
          <w:sz w:val="20"/>
        </w:rPr>
        <w:t xml:space="preserve"> </w:t>
      </w:r>
      <w:r w:rsidRPr="00744621">
        <w:rPr>
          <w:rFonts w:ascii="Arial" w:hAnsi="Arial" w:cs="Arial"/>
          <w:sz w:val="20"/>
        </w:rPr>
        <w:t>of</w:t>
      </w:r>
      <w:r w:rsidRPr="00744621">
        <w:rPr>
          <w:rFonts w:ascii="Arial" w:hAnsi="Arial" w:cs="Arial"/>
          <w:spacing w:val="-2"/>
          <w:sz w:val="20"/>
        </w:rPr>
        <w:t xml:space="preserve"> </w:t>
      </w:r>
      <w:r w:rsidRPr="00744621">
        <w:rPr>
          <w:rFonts w:ascii="Arial" w:hAnsi="Arial" w:cs="Arial"/>
          <w:sz w:val="20"/>
        </w:rPr>
        <w:t>the</w:t>
      </w:r>
      <w:r w:rsidRPr="00744621">
        <w:rPr>
          <w:rFonts w:ascii="Arial" w:hAnsi="Arial" w:cs="Arial"/>
          <w:spacing w:val="-1"/>
          <w:sz w:val="20"/>
        </w:rPr>
        <w:t xml:space="preserve"> </w:t>
      </w:r>
      <w:r w:rsidRPr="00744621">
        <w:rPr>
          <w:rFonts w:ascii="Arial" w:hAnsi="Arial" w:cs="Arial"/>
          <w:sz w:val="20"/>
        </w:rPr>
        <w:t>following:</w:t>
      </w:r>
    </w:p>
    <w:p w14:paraId="6C165B17" w14:textId="77777777" w:rsidR="00744621" w:rsidRPr="00744621" w:rsidRDefault="00744621" w:rsidP="00744621">
      <w:pPr>
        <w:pStyle w:val="ListParagraph"/>
        <w:numPr>
          <w:ilvl w:val="1"/>
          <w:numId w:val="274"/>
        </w:numPr>
        <w:tabs>
          <w:tab w:val="left" w:pos="1273"/>
          <w:tab w:val="left" w:pos="1274"/>
        </w:tabs>
        <w:ind w:hanging="568"/>
        <w:jc w:val="both"/>
        <w:rPr>
          <w:rFonts w:ascii="Arial" w:hAnsi="Arial" w:cs="Arial"/>
          <w:sz w:val="20"/>
        </w:rPr>
      </w:pPr>
      <w:r w:rsidRPr="00744621">
        <w:rPr>
          <w:rFonts w:ascii="Arial" w:hAnsi="Arial" w:cs="Arial"/>
          <w:sz w:val="20"/>
        </w:rPr>
        <w:t>the</w:t>
      </w:r>
      <w:r w:rsidRPr="00744621">
        <w:rPr>
          <w:rFonts w:ascii="Arial" w:hAnsi="Arial" w:cs="Arial"/>
          <w:spacing w:val="-1"/>
          <w:sz w:val="20"/>
        </w:rPr>
        <w:t xml:space="preserve"> </w:t>
      </w:r>
      <w:r w:rsidRPr="00744621">
        <w:rPr>
          <w:rFonts w:ascii="Arial" w:hAnsi="Arial" w:cs="Arial"/>
          <w:sz w:val="20"/>
        </w:rPr>
        <w:t>requirements</w:t>
      </w:r>
      <w:r w:rsidRPr="00744621">
        <w:rPr>
          <w:rFonts w:ascii="Arial" w:hAnsi="Arial" w:cs="Arial"/>
          <w:spacing w:val="-3"/>
          <w:sz w:val="20"/>
        </w:rPr>
        <w:t xml:space="preserve"> </w:t>
      </w:r>
      <w:r w:rsidRPr="00744621">
        <w:rPr>
          <w:rFonts w:ascii="Arial" w:hAnsi="Arial" w:cs="Arial"/>
          <w:sz w:val="20"/>
        </w:rPr>
        <w:t>of</w:t>
      </w:r>
      <w:r w:rsidRPr="00744621">
        <w:rPr>
          <w:rFonts w:ascii="Arial" w:hAnsi="Arial" w:cs="Arial"/>
          <w:spacing w:val="-3"/>
          <w:sz w:val="20"/>
        </w:rPr>
        <w:t xml:space="preserve"> </w:t>
      </w:r>
      <w:r w:rsidRPr="00744621">
        <w:rPr>
          <w:rFonts w:ascii="Arial" w:hAnsi="Arial" w:cs="Arial"/>
          <w:sz w:val="20"/>
        </w:rPr>
        <w:t>Part-BFCL</w:t>
      </w:r>
      <w:r w:rsidRPr="00744621">
        <w:rPr>
          <w:rFonts w:ascii="Arial" w:hAnsi="Arial" w:cs="Arial"/>
          <w:spacing w:val="-1"/>
          <w:sz w:val="20"/>
        </w:rPr>
        <w:t xml:space="preserve"> </w:t>
      </w:r>
      <w:r w:rsidRPr="00744621">
        <w:rPr>
          <w:rFonts w:ascii="Arial" w:hAnsi="Arial" w:cs="Arial"/>
          <w:sz w:val="20"/>
        </w:rPr>
        <w:t>for</w:t>
      </w:r>
      <w:r w:rsidRPr="00744621">
        <w:rPr>
          <w:rFonts w:ascii="Arial" w:hAnsi="Arial" w:cs="Arial"/>
          <w:spacing w:val="-4"/>
          <w:sz w:val="20"/>
        </w:rPr>
        <w:t xml:space="preserve"> </w:t>
      </w:r>
      <w:r w:rsidRPr="00744621">
        <w:rPr>
          <w:rFonts w:ascii="Arial" w:hAnsi="Arial" w:cs="Arial"/>
          <w:sz w:val="20"/>
        </w:rPr>
        <w:t>the</w:t>
      </w:r>
      <w:r w:rsidRPr="00744621">
        <w:rPr>
          <w:rFonts w:ascii="Arial" w:hAnsi="Arial" w:cs="Arial"/>
          <w:spacing w:val="-3"/>
          <w:sz w:val="20"/>
        </w:rPr>
        <w:t xml:space="preserve"> </w:t>
      </w:r>
      <w:r w:rsidRPr="00744621">
        <w:rPr>
          <w:rFonts w:ascii="Arial" w:hAnsi="Arial" w:cs="Arial"/>
          <w:sz w:val="20"/>
        </w:rPr>
        <w:t>commercial</w:t>
      </w:r>
      <w:r w:rsidRPr="00744621">
        <w:rPr>
          <w:rFonts w:ascii="Arial" w:hAnsi="Arial" w:cs="Arial"/>
          <w:spacing w:val="-4"/>
          <w:sz w:val="20"/>
        </w:rPr>
        <w:t xml:space="preserve"> </w:t>
      </w:r>
      <w:r w:rsidRPr="00744621">
        <w:rPr>
          <w:rFonts w:ascii="Arial" w:hAnsi="Arial" w:cs="Arial"/>
          <w:sz w:val="20"/>
        </w:rPr>
        <w:t>operation</w:t>
      </w:r>
      <w:r w:rsidRPr="00744621">
        <w:rPr>
          <w:rFonts w:ascii="Arial" w:hAnsi="Arial" w:cs="Arial"/>
          <w:spacing w:val="-2"/>
          <w:sz w:val="20"/>
        </w:rPr>
        <w:t xml:space="preserve"> </w:t>
      </w:r>
      <w:r w:rsidRPr="00744621">
        <w:rPr>
          <w:rFonts w:ascii="Arial" w:hAnsi="Arial" w:cs="Arial"/>
          <w:sz w:val="20"/>
        </w:rPr>
        <w:t>rating;</w:t>
      </w:r>
    </w:p>
    <w:p w14:paraId="30B16623" w14:textId="77777777" w:rsidR="00744621" w:rsidRPr="00744621" w:rsidRDefault="00744621" w:rsidP="00D91E6C">
      <w:pPr>
        <w:pStyle w:val="ListParagraph"/>
        <w:numPr>
          <w:ilvl w:val="1"/>
          <w:numId w:val="274"/>
        </w:numPr>
        <w:tabs>
          <w:tab w:val="left" w:pos="1273"/>
          <w:tab w:val="left" w:pos="1274"/>
        </w:tabs>
        <w:spacing w:before="121"/>
        <w:ind w:right="68"/>
        <w:jc w:val="both"/>
        <w:rPr>
          <w:rFonts w:ascii="Arial" w:hAnsi="Arial" w:cs="Arial"/>
          <w:sz w:val="20"/>
        </w:rPr>
      </w:pPr>
      <w:r w:rsidRPr="00744621">
        <w:rPr>
          <w:rFonts w:ascii="Arial" w:hAnsi="Arial" w:cs="Arial"/>
          <w:sz w:val="20"/>
        </w:rPr>
        <w:t>theoretical</w:t>
      </w:r>
      <w:r w:rsidRPr="00744621">
        <w:rPr>
          <w:rFonts w:ascii="Arial" w:hAnsi="Arial" w:cs="Arial"/>
          <w:spacing w:val="1"/>
          <w:sz w:val="20"/>
        </w:rPr>
        <w:t xml:space="preserve"> </w:t>
      </w:r>
      <w:r w:rsidRPr="00744621">
        <w:rPr>
          <w:rFonts w:ascii="Arial" w:hAnsi="Arial" w:cs="Arial"/>
          <w:sz w:val="20"/>
        </w:rPr>
        <w:t>knowledge</w:t>
      </w:r>
      <w:r w:rsidRPr="00744621">
        <w:rPr>
          <w:rFonts w:ascii="Arial" w:hAnsi="Arial" w:cs="Arial"/>
          <w:spacing w:val="2"/>
          <w:sz w:val="20"/>
        </w:rPr>
        <w:t xml:space="preserve"> </w:t>
      </w:r>
      <w:r w:rsidRPr="00744621">
        <w:rPr>
          <w:rFonts w:ascii="Arial" w:hAnsi="Arial" w:cs="Arial"/>
          <w:sz w:val="20"/>
        </w:rPr>
        <w:t>necessary</w:t>
      </w:r>
      <w:r w:rsidRPr="00744621">
        <w:rPr>
          <w:rFonts w:ascii="Arial" w:hAnsi="Arial" w:cs="Arial"/>
          <w:spacing w:val="2"/>
          <w:sz w:val="20"/>
        </w:rPr>
        <w:t xml:space="preserve"> </w:t>
      </w:r>
      <w:r w:rsidRPr="00744621">
        <w:rPr>
          <w:rFonts w:ascii="Arial" w:hAnsi="Arial" w:cs="Arial"/>
          <w:sz w:val="20"/>
        </w:rPr>
        <w:t>for</w:t>
      </w:r>
      <w:r w:rsidRPr="00744621">
        <w:rPr>
          <w:rFonts w:ascii="Arial" w:hAnsi="Arial" w:cs="Arial"/>
          <w:spacing w:val="4"/>
          <w:sz w:val="20"/>
        </w:rPr>
        <w:t xml:space="preserve"> </w:t>
      </w:r>
      <w:r w:rsidRPr="00744621">
        <w:rPr>
          <w:rFonts w:ascii="Arial" w:hAnsi="Arial" w:cs="Arial"/>
          <w:sz w:val="20"/>
        </w:rPr>
        <w:t>the</w:t>
      </w:r>
      <w:r w:rsidRPr="00744621">
        <w:rPr>
          <w:rFonts w:ascii="Arial" w:hAnsi="Arial" w:cs="Arial"/>
          <w:spacing w:val="4"/>
          <w:sz w:val="20"/>
        </w:rPr>
        <w:t xml:space="preserve"> </w:t>
      </w:r>
      <w:r w:rsidRPr="00744621">
        <w:rPr>
          <w:rFonts w:ascii="Arial" w:hAnsi="Arial" w:cs="Arial"/>
          <w:sz w:val="20"/>
        </w:rPr>
        <w:t>conduct</w:t>
      </w:r>
      <w:r w:rsidRPr="00744621">
        <w:rPr>
          <w:rFonts w:ascii="Arial" w:hAnsi="Arial" w:cs="Arial"/>
          <w:spacing w:val="2"/>
          <w:sz w:val="20"/>
        </w:rPr>
        <w:t xml:space="preserve"> </w:t>
      </w:r>
      <w:r w:rsidRPr="00744621">
        <w:rPr>
          <w:rFonts w:ascii="Arial" w:hAnsi="Arial" w:cs="Arial"/>
          <w:sz w:val="20"/>
        </w:rPr>
        <w:t>of</w:t>
      </w:r>
      <w:r w:rsidRPr="00744621">
        <w:rPr>
          <w:rFonts w:ascii="Arial" w:hAnsi="Arial" w:cs="Arial"/>
          <w:spacing w:val="1"/>
          <w:sz w:val="20"/>
        </w:rPr>
        <w:t xml:space="preserve"> </w:t>
      </w:r>
      <w:r w:rsidRPr="00744621">
        <w:rPr>
          <w:rFonts w:ascii="Arial" w:hAnsi="Arial" w:cs="Arial"/>
          <w:sz w:val="20"/>
        </w:rPr>
        <w:t>skill</w:t>
      </w:r>
      <w:r w:rsidRPr="00744621">
        <w:rPr>
          <w:rFonts w:ascii="Arial" w:hAnsi="Arial" w:cs="Arial"/>
          <w:spacing w:val="3"/>
          <w:sz w:val="20"/>
        </w:rPr>
        <w:t xml:space="preserve"> </w:t>
      </w:r>
      <w:r w:rsidRPr="00744621">
        <w:rPr>
          <w:rFonts w:ascii="Arial" w:hAnsi="Arial" w:cs="Arial"/>
          <w:sz w:val="20"/>
        </w:rPr>
        <w:t>tests</w:t>
      </w:r>
      <w:r w:rsidRPr="00744621">
        <w:rPr>
          <w:rFonts w:ascii="Arial" w:hAnsi="Arial" w:cs="Arial"/>
          <w:spacing w:val="2"/>
          <w:sz w:val="20"/>
        </w:rPr>
        <w:t xml:space="preserve"> </w:t>
      </w:r>
      <w:r w:rsidRPr="00744621">
        <w:rPr>
          <w:rFonts w:ascii="Arial" w:hAnsi="Arial" w:cs="Arial"/>
          <w:sz w:val="20"/>
        </w:rPr>
        <w:t>and</w:t>
      </w:r>
      <w:r w:rsidRPr="00744621">
        <w:rPr>
          <w:rFonts w:ascii="Arial" w:hAnsi="Arial" w:cs="Arial"/>
          <w:spacing w:val="3"/>
          <w:sz w:val="20"/>
        </w:rPr>
        <w:t xml:space="preserve"> </w:t>
      </w:r>
      <w:r w:rsidRPr="00744621">
        <w:rPr>
          <w:rFonts w:ascii="Arial" w:hAnsi="Arial" w:cs="Arial"/>
          <w:sz w:val="20"/>
        </w:rPr>
        <w:t>proficiency</w:t>
      </w:r>
      <w:r w:rsidRPr="00744621">
        <w:rPr>
          <w:rFonts w:ascii="Arial" w:hAnsi="Arial" w:cs="Arial"/>
          <w:spacing w:val="2"/>
          <w:sz w:val="20"/>
        </w:rPr>
        <w:t xml:space="preserve"> </w:t>
      </w:r>
      <w:r w:rsidRPr="00744621">
        <w:rPr>
          <w:rFonts w:ascii="Arial" w:hAnsi="Arial" w:cs="Arial"/>
          <w:sz w:val="20"/>
        </w:rPr>
        <w:t>checks</w:t>
      </w:r>
      <w:r w:rsidRPr="00744621">
        <w:rPr>
          <w:rFonts w:ascii="Arial" w:hAnsi="Arial" w:cs="Arial"/>
          <w:spacing w:val="1"/>
          <w:sz w:val="20"/>
        </w:rPr>
        <w:t xml:space="preserve"> </w:t>
      </w:r>
      <w:r w:rsidRPr="00744621">
        <w:rPr>
          <w:rFonts w:ascii="Arial" w:hAnsi="Arial" w:cs="Arial"/>
          <w:sz w:val="20"/>
        </w:rPr>
        <w:t>for</w:t>
      </w:r>
      <w:r w:rsidRPr="00744621">
        <w:rPr>
          <w:rFonts w:ascii="Arial" w:hAnsi="Arial" w:cs="Arial"/>
          <w:spacing w:val="-46"/>
          <w:sz w:val="20"/>
        </w:rPr>
        <w:t xml:space="preserve"> </w:t>
      </w:r>
      <w:r w:rsidRPr="00744621">
        <w:rPr>
          <w:rFonts w:ascii="Arial" w:hAnsi="Arial" w:cs="Arial"/>
          <w:sz w:val="20"/>
        </w:rPr>
        <w:t>the</w:t>
      </w:r>
      <w:r w:rsidRPr="00744621">
        <w:rPr>
          <w:rFonts w:ascii="Arial" w:hAnsi="Arial" w:cs="Arial"/>
          <w:spacing w:val="-1"/>
          <w:sz w:val="20"/>
        </w:rPr>
        <w:t xml:space="preserve"> </w:t>
      </w:r>
      <w:r w:rsidRPr="00744621">
        <w:rPr>
          <w:rFonts w:ascii="Arial" w:hAnsi="Arial" w:cs="Arial"/>
          <w:sz w:val="20"/>
        </w:rPr>
        <w:t>commercial</w:t>
      </w:r>
      <w:r w:rsidRPr="00744621">
        <w:rPr>
          <w:rFonts w:ascii="Arial" w:hAnsi="Arial" w:cs="Arial"/>
          <w:spacing w:val="-3"/>
          <w:sz w:val="20"/>
        </w:rPr>
        <w:t xml:space="preserve"> </w:t>
      </w:r>
      <w:r w:rsidRPr="00744621">
        <w:rPr>
          <w:rFonts w:ascii="Arial" w:hAnsi="Arial" w:cs="Arial"/>
          <w:sz w:val="20"/>
        </w:rPr>
        <w:t>operation</w:t>
      </w:r>
      <w:r w:rsidRPr="00744621">
        <w:rPr>
          <w:rFonts w:ascii="Arial" w:hAnsi="Arial" w:cs="Arial"/>
          <w:spacing w:val="-1"/>
          <w:sz w:val="20"/>
        </w:rPr>
        <w:t xml:space="preserve"> </w:t>
      </w:r>
      <w:r w:rsidRPr="00744621">
        <w:rPr>
          <w:rFonts w:ascii="Arial" w:hAnsi="Arial" w:cs="Arial"/>
          <w:sz w:val="20"/>
        </w:rPr>
        <w:t>rating</w:t>
      </w:r>
      <w:r w:rsidRPr="00744621">
        <w:rPr>
          <w:rFonts w:ascii="Arial" w:hAnsi="Arial" w:cs="Arial"/>
          <w:spacing w:val="-2"/>
          <w:sz w:val="20"/>
        </w:rPr>
        <w:t xml:space="preserve"> </w:t>
      </w:r>
      <w:r w:rsidRPr="00744621">
        <w:rPr>
          <w:rFonts w:ascii="Arial" w:hAnsi="Arial" w:cs="Arial"/>
          <w:sz w:val="20"/>
        </w:rPr>
        <w:t>in accordance</w:t>
      </w:r>
      <w:r w:rsidRPr="00744621">
        <w:rPr>
          <w:rFonts w:ascii="Arial" w:hAnsi="Arial" w:cs="Arial"/>
          <w:spacing w:val="-2"/>
          <w:sz w:val="20"/>
        </w:rPr>
        <w:t xml:space="preserve"> </w:t>
      </w:r>
      <w:r w:rsidRPr="00744621">
        <w:rPr>
          <w:rFonts w:ascii="Arial" w:hAnsi="Arial" w:cs="Arial"/>
          <w:sz w:val="20"/>
        </w:rPr>
        <w:t>with AMC1</w:t>
      </w:r>
      <w:r w:rsidRPr="00744621">
        <w:rPr>
          <w:rFonts w:ascii="Arial" w:hAnsi="Arial" w:cs="Arial"/>
          <w:spacing w:val="-3"/>
          <w:sz w:val="20"/>
        </w:rPr>
        <w:t xml:space="preserve"> </w:t>
      </w:r>
      <w:r w:rsidRPr="00744621">
        <w:rPr>
          <w:rFonts w:ascii="Arial" w:hAnsi="Arial" w:cs="Arial"/>
          <w:sz w:val="20"/>
        </w:rPr>
        <w:t>BFCL.215(b)(4);</w:t>
      </w:r>
      <w:r w:rsidRPr="00744621">
        <w:rPr>
          <w:rFonts w:ascii="Arial" w:hAnsi="Arial" w:cs="Arial"/>
          <w:spacing w:val="-2"/>
          <w:sz w:val="20"/>
        </w:rPr>
        <w:t xml:space="preserve"> </w:t>
      </w:r>
      <w:r w:rsidRPr="00744621">
        <w:rPr>
          <w:rFonts w:ascii="Arial" w:hAnsi="Arial" w:cs="Arial"/>
          <w:sz w:val="20"/>
        </w:rPr>
        <w:t>and</w:t>
      </w:r>
    </w:p>
    <w:p w14:paraId="20A80C08" w14:textId="77777777" w:rsidR="00EE2815" w:rsidRPr="00744621" w:rsidRDefault="00744621" w:rsidP="00D91E6C">
      <w:pPr>
        <w:pStyle w:val="ListParagraph"/>
        <w:numPr>
          <w:ilvl w:val="1"/>
          <w:numId w:val="274"/>
        </w:numPr>
        <w:tabs>
          <w:tab w:val="left" w:pos="1274"/>
        </w:tabs>
        <w:spacing w:before="118"/>
        <w:ind w:right="68"/>
        <w:jc w:val="both"/>
        <w:rPr>
          <w:rFonts w:ascii="Arial" w:hAnsi="Arial" w:cs="Arial"/>
          <w:sz w:val="20"/>
        </w:rPr>
      </w:pPr>
      <w:r w:rsidRPr="00744621">
        <w:rPr>
          <w:rFonts w:ascii="Arial" w:hAnsi="Arial" w:cs="Arial"/>
          <w:sz w:val="20"/>
        </w:rPr>
        <w:t>the conduct of one skill test or proficiency check for the commercial operation rating</w:t>
      </w:r>
      <w:r w:rsidRPr="00744621">
        <w:rPr>
          <w:rFonts w:ascii="Arial" w:hAnsi="Arial" w:cs="Arial"/>
          <w:spacing w:val="1"/>
          <w:sz w:val="20"/>
        </w:rPr>
        <w:t xml:space="preserve"> </w:t>
      </w:r>
      <w:r w:rsidRPr="00744621">
        <w:rPr>
          <w:rFonts w:ascii="Arial" w:hAnsi="Arial" w:cs="Arial"/>
          <w:sz w:val="20"/>
        </w:rPr>
        <w:t>which,</w:t>
      </w:r>
      <w:r w:rsidRPr="00744621">
        <w:rPr>
          <w:rFonts w:ascii="Arial" w:hAnsi="Arial" w:cs="Arial"/>
          <w:spacing w:val="-2"/>
          <w:sz w:val="20"/>
        </w:rPr>
        <w:t xml:space="preserve"> </w:t>
      </w:r>
      <w:r w:rsidRPr="00744621">
        <w:rPr>
          <w:rFonts w:ascii="Arial" w:hAnsi="Arial" w:cs="Arial"/>
          <w:sz w:val="20"/>
        </w:rPr>
        <w:t>if</w:t>
      </w:r>
      <w:r w:rsidRPr="00744621">
        <w:rPr>
          <w:rFonts w:ascii="Arial" w:hAnsi="Arial" w:cs="Arial"/>
          <w:spacing w:val="-3"/>
          <w:sz w:val="20"/>
        </w:rPr>
        <w:t xml:space="preserve"> </w:t>
      </w:r>
      <w:r w:rsidRPr="00744621">
        <w:rPr>
          <w:rFonts w:ascii="Arial" w:hAnsi="Arial" w:cs="Arial"/>
          <w:sz w:val="20"/>
        </w:rPr>
        <w:t>conducted</w:t>
      </w:r>
      <w:r w:rsidRPr="00744621">
        <w:rPr>
          <w:rFonts w:ascii="Arial" w:hAnsi="Arial" w:cs="Arial"/>
          <w:spacing w:val="-3"/>
          <w:sz w:val="20"/>
        </w:rPr>
        <w:t xml:space="preserve"> </w:t>
      </w:r>
      <w:r w:rsidRPr="00744621">
        <w:rPr>
          <w:rFonts w:ascii="Arial" w:hAnsi="Arial" w:cs="Arial"/>
          <w:sz w:val="20"/>
        </w:rPr>
        <w:t>during</w:t>
      </w:r>
      <w:r w:rsidRPr="00744621">
        <w:rPr>
          <w:rFonts w:ascii="Arial" w:hAnsi="Arial" w:cs="Arial"/>
          <w:spacing w:val="-3"/>
          <w:sz w:val="20"/>
        </w:rPr>
        <w:t xml:space="preserve"> </w:t>
      </w:r>
      <w:r w:rsidRPr="00744621">
        <w:rPr>
          <w:rFonts w:ascii="Arial" w:hAnsi="Arial" w:cs="Arial"/>
          <w:sz w:val="20"/>
        </w:rPr>
        <w:t>an</w:t>
      </w:r>
      <w:r w:rsidRPr="00744621">
        <w:rPr>
          <w:rFonts w:ascii="Arial" w:hAnsi="Arial" w:cs="Arial"/>
          <w:spacing w:val="-3"/>
          <w:sz w:val="20"/>
        </w:rPr>
        <w:t xml:space="preserve"> </w:t>
      </w:r>
      <w:r w:rsidRPr="00744621">
        <w:rPr>
          <w:rFonts w:ascii="Arial" w:hAnsi="Arial" w:cs="Arial"/>
          <w:sz w:val="20"/>
        </w:rPr>
        <w:t>initial</w:t>
      </w:r>
      <w:r w:rsidRPr="00744621">
        <w:rPr>
          <w:rFonts w:ascii="Arial" w:hAnsi="Arial" w:cs="Arial"/>
          <w:spacing w:val="-3"/>
          <w:sz w:val="20"/>
        </w:rPr>
        <w:t xml:space="preserve"> </w:t>
      </w:r>
      <w:r w:rsidRPr="00744621">
        <w:rPr>
          <w:rFonts w:ascii="Arial" w:hAnsi="Arial" w:cs="Arial"/>
          <w:sz w:val="20"/>
        </w:rPr>
        <w:t>examiner</w:t>
      </w:r>
      <w:r w:rsidRPr="00744621">
        <w:rPr>
          <w:rFonts w:ascii="Arial" w:hAnsi="Arial" w:cs="Arial"/>
          <w:spacing w:val="-2"/>
          <w:sz w:val="20"/>
        </w:rPr>
        <w:t xml:space="preserve"> </w:t>
      </w:r>
      <w:r w:rsidRPr="00744621">
        <w:rPr>
          <w:rFonts w:ascii="Arial" w:hAnsi="Arial" w:cs="Arial"/>
          <w:sz w:val="20"/>
        </w:rPr>
        <w:t>standardisation</w:t>
      </w:r>
      <w:r w:rsidRPr="00744621">
        <w:rPr>
          <w:rFonts w:ascii="Arial" w:hAnsi="Arial" w:cs="Arial"/>
          <w:spacing w:val="-3"/>
          <w:sz w:val="20"/>
        </w:rPr>
        <w:t xml:space="preserve"> </w:t>
      </w:r>
      <w:r w:rsidRPr="00744621">
        <w:rPr>
          <w:rFonts w:ascii="Arial" w:hAnsi="Arial" w:cs="Arial"/>
          <w:sz w:val="20"/>
        </w:rPr>
        <w:t>course</w:t>
      </w:r>
      <w:r w:rsidRPr="00744621">
        <w:rPr>
          <w:rFonts w:ascii="Arial" w:hAnsi="Arial" w:cs="Arial"/>
          <w:spacing w:val="-2"/>
          <w:sz w:val="20"/>
        </w:rPr>
        <w:t xml:space="preserve"> </w:t>
      </w:r>
      <w:r w:rsidRPr="00744621">
        <w:rPr>
          <w:rFonts w:ascii="Arial" w:hAnsi="Arial" w:cs="Arial"/>
          <w:sz w:val="20"/>
        </w:rPr>
        <w:t>in</w:t>
      </w:r>
      <w:r w:rsidRPr="00744621">
        <w:rPr>
          <w:rFonts w:ascii="Arial" w:hAnsi="Arial" w:cs="Arial"/>
          <w:spacing w:val="-3"/>
          <w:sz w:val="20"/>
        </w:rPr>
        <w:t xml:space="preserve"> </w:t>
      </w:r>
      <w:r w:rsidRPr="00744621">
        <w:rPr>
          <w:rFonts w:ascii="Arial" w:hAnsi="Arial" w:cs="Arial"/>
          <w:sz w:val="20"/>
        </w:rPr>
        <w:t>accordance</w:t>
      </w:r>
      <w:r w:rsidRPr="00744621">
        <w:rPr>
          <w:rFonts w:ascii="Arial" w:hAnsi="Arial" w:cs="Arial"/>
          <w:spacing w:val="-2"/>
          <w:sz w:val="20"/>
        </w:rPr>
        <w:t xml:space="preserve"> </w:t>
      </w:r>
      <w:r w:rsidRPr="00744621">
        <w:rPr>
          <w:rFonts w:ascii="Arial" w:hAnsi="Arial" w:cs="Arial"/>
          <w:sz w:val="20"/>
        </w:rPr>
        <w:t>with</w:t>
      </w:r>
      <w:r w:rsidRPr="00744621">
        <w:rPr>
          <w:rFonts w:ascii="Arial" w:hAnsi="Arial" w:cs="Arial"/>
          <w:spacing w:val="-47"/>
          <w:sz w:val="20"/>
        </w:rPr>
        <w:t xml:space="preserve"> </w:t>
      </w:r>
      <w:r w:rsidRPr="00744621">
        <w:rPr>
          <w:rFonts w:ascii="Arial" w:hAnsi="Arial" w:cs="Arial"/>
          <w:sz w:val="20"/>
        </w:rPr>
        <w:t>point BFCL.430, should be completed in addition to the skill test or proficiency check for</w:t>
      </w:r>
      <w:r w:rsidRPr="00744621">
        <w:rPr>
          <w:rFonts w:ascii="Arial" w:hAnsi="Arial" w:cs="Arial"/>
          <w:spacing w:val="1"/>
          <w:sz w:val="20"/>
        </w:rPr>
        <w:t xml:space="preserve"> </w:t>
      </w:r>
      <w:r w:rsidRPr="00744621">
        <w:rPr>
          <w:rFonts w:ascii="Arial" w:hAnsi="Arial" w:cs="Arial"/>
          <w:sz w:val="20"/>
        </w:rPr>
        <w:t>the</w:t>
      </w:r>
      <w:r w:rsidRPr="00744621">
        <w:rPr>
          <w:rFonts w:ascii="Arial" w:hAnsi="Arial" w:cs="Arial"/>
          <w:spacing w:val="-1"/>
          <w:sz w:val="20"/>
        </w:rPr>
        <w:t xml:space="preserve"> </w:t>
      </w:r>
      <w:r w:rsidRPr="00744621">
        <w:rPr>
          <w:rFonts w:ascii="Arial" w:hAnsi="Arial" w:cs="Arial"/>
          <w:sz w:val="20"/>
        </w:rPr>
        <w:t>BPL,</w:t>
      </w:r>
      <w:r w:rsidRPr="00744621">
        <w:rPr>
          <w:rFonts w:ascii="Arial" w:hAnsi="Arial" w:cs="Arial"/>
          <w:spacing w:val="-2"/>
          <w:sz w:val="20"/>
        </w:rPr>
        <w:t xml:space="preserve"> </w:t>
      </w:r>
      <w:r w:rsidRPr="00744621">
        <w:rPr>
          <w:rFonts w:ascii="Arial" w:hAnsi="Arial" w:cs="Arial"/>
          <w:sz w:val="20"/>
        </w:rPr>
        <w:t>as required</w:t>
      </w:r>
      <w:r w:rsidRPr="00744621">
        <w:rPr>
          <w:rFonts w:ascii="Arial" w:hAnsi="Arial" w:cs="Arial"/>
          <w:spacing w:val="-4"/>
          <w:sz w:val="20"/>
        </w:rPr>
        <w:t xml:space="preserve"> </w:t>
      </w:r>
      <w:r w:rsidRPr="00744621">
        <w:rPr>
          <w:rFonts w:ascii="Arial" w:hAnsi="Arial" w:cs="Arial"/>
          <w:sz w:val="20"/>
        </w:rPr>
        <w:t>by point BFCL.430(b)(1).</w:t>
      </w:r>
    </w:p>
    <w:p w14:paraId="69E25509" w14:textId="77777777" w:rsidR="00744621" w:rsidRPr="00744621" w:rsidRDefault="00744621" w:rsidP="00D91E6C">
      <w:pPr>
        <w:keepNext/>
        <w:keepLines/>
        <w:widowControl/>
        <w:shd w:val="clear" w:color="auto" w:fill="ED7D31"/>
        <w:autoSpaceDE/>
        <w:autoSpaceDN/>
        <w:spacing w:before="160" w:after="120" w:line="259" w:lineRule="auto"/>
        <w:ind w:right="68"/>
        <w:outlineLvl w:val="4"/>
        <w:rPr>
          <w:rFonts w:ascii="Arial" w:eastAsia="Times New Roman" w:hAnsi="Arial" w:cs="Times New Roman"/>
          <w:b/>
          <w:color w:val="FFFFFF"/>
          <w:sz w:val="24"/>
        </w:rPr>
      </w:pPr>
      <w:bookmarkStart w:id="757" w:name="AMC1_BFCL.415(c)(2)__FE(B)_certificate_–"/>
      <w:bookmarkStart w:id="758" w:name="_bookmark310"/>
      <w:bookmarkStart w:id="759" w:name="_Toc153137475"/>
      <w:bookmarkEnd w:id="757"/>
      <w:bookmarkEnd w:id="758"/>
      <w:r w:rsidRPr="00744621">
        <w:rPr>
          <w:rFonts w:ascii="Arial" w:eastAsia="Times New Roman" w:hAnsi="Arial" w:cs="Times New Roman"/>
          <w:b/>
          <w:color w:val="FFFFFF"/>
          <w:sz w:val="24"/>
        </w:rPr>
        <w:t>AMC1 BFCL.415(c)(2) FE(B) certificate – Privileges and conditions</w:t>
      </w:r>
      <w:bookmarkEnd w:id="759"/>
    </w:p>
    <w:p w14:paraId="2AE53B13" w14:textId="77777777" w:rsidR="00744621" w:rsidRPr="00744621" w:rsidRDefault="00744621" w:rsidP="00744621">
      <w:pPr>
        <w:widowControl/>
        <w:autoSpaceDE/>
        <w:autoSpaceDN/>
        <w:spacing w:before="240" w:after="160" w:line="264" w:lineRule="auto"/>
        <w:jc w:val="both"/>
        <w:rPr>
          <w:rFonts w:ascii="Arial" w:eastAsiaTheme="minorHAnsi" w:hAnsi="Arial" w:cs="Arial"/>
          <w:b/>
          <w:bCs/>
          <w:sz w:val="20"/>
          <w:szCs w:val="20"/>
        </w:rPr>
      </w:pPr>
      <w:r w:rsidRPr="00744621">
        <w:rPr>
          <w:rFonts w:ascii="Arial" w:eastAsiaTheme="minorHAnsi" w:hAnsi="Arial" w:cs="Arial"/>
          <w:b/>
          <w:bCs/>
          <w:sz w:val="20"/>
          <w:szCs w:val="20"/>
        </w:rPr>
        <w:t>SPECIFIC TRAINING FOR EXAMINER PRIVILEGES RELATED TO THE FI(B) CERTIFICATE</w:t>
      </w:r>
    </w:p>
    <w:p w14:paraId="37180498" w14:textId="77777777" w:rsidR="00744621" w:rsidRPr="00744621" w:rsidRDefault="00744621" w:rsidP="00744621">
      <w:pPr>
        <w:pStyle w:val="BodyText"/>
        <w:spacing w:before="118"/>
        <w:jc w:val="both"/>
        <w:rPr>
          <w:rFonts w:ascii="Arial" w:hAnsi="Arial" w:cs="Arial"/>
          <w:sz w:val="20"/>
        </w:rPr>
      </w:pPr>
      <w:r w:rsidRPr="00744621">
        <w:rPr>
          <w:rFonts w:ascii="Arial" w:hAnsi="Arial" w:cs="Arial"/>
          <w:sz w:val="20"/>
        </w:rPr>
        <w:t>Specific</w:t>
      </w:r>
      <w:r w:rsidRPr="00744621">
        <w:rPr>
          <w:rFonts w:ascii="Arial" w:hAnsi="Arial" w:cs="Arial"/>
          <w:spacing w:val="-2"/>
          <w:sz w:val="20"/>
        </w:rPr>
        <w:t xml:space="preserve"> </w:t>
      </w:r>
      <w:r w:rsidRPr="00744621">
        <w:rPr>
          <w:rFonts w:ascii="Arial" w:hAnsi="Arial" w:cs="Arial"/>
          <w:sz w:val="20"/>
        </w:rPr>
        <w:t>training</w:t>
      </w:r>
      <w:r w:rsidRPr="00744621">
        <w:rPr>
          <w:rFonts w:ascii="Arial" w:hAnsi="Arial" w:cs="Arial"/>
          <w:spacing w:val="-2"/>
          <w:sz w:val="20"/>
        </w:rPr>
        <w:t xml:space="preserve"> </w:t>
      </w:r>
      <w:r w:rsidRPr="00744621">
        <w:rPr>
          <w:rFonts w:ascii="Arial" w:hAnsi="Arial" w:cs="Arial"/>
          <w:sz w:val="20"/>
        </w:rPr>
        <w:t>for</w:t>
      </w:r>
      <w:r w:rsidRPr="00744621">
        <w:rPr>
          <w:rFonts w:ascii="Arial" w:hAnsi="Arial" w:cs="Arial"/>
          <w:spacing w:val="-1"/>
          <w:sz w:val="20"/>
        </w:rPr>
        <w:t xml:space="preserve"> </w:t>
      </w:r>
      <w:r w:rsidRPr="00744621">
        <w:rPr>
          <w:rFonts w:ascii="Arial" w:hAnsi="Arial" w:cs="Arial"/>
          <w:sz w:val="20"/>
        </w:rPr>
        <w:t>examiner</w:t>
      </w:r>
      <w:r w:rsidRPr="00744621">
        <w:rPr>
          <w:rFonts w:ascii="Arial" w:hAnsi="Arial" w:cs="Arial"/>
          <w:spacing w:val="-1"/>
          <w:sz w:val="20"/>
        </w:rPr>
        <w:t xml:space="preserve"> </w:t>
      </w:r>
      <w:r w:rsidRPr="00744621">
        <w:rPr>
          <w:rFonts w:ascii="Arial" w:hAnsi="Arial" w:cs="Arial"/>
          <w:sz w:val="20"/>
        </w:rPr>
        <w:t>privileges</w:t>
      </w:r>
      <w:r w:rsidRPr="00744621">
        <w:rPr>
          <w:rFonts w:ascii="Arial" w:hAnsi="Arial" w:cs="Arial"/>
          <w:spacing w:val="-1"/>
          <w:sz w:val="20"/>
        </w:rPr>
        <w:t xml:space="preserve"> </w:t>
      </w:r>
      <w:r w:rsidRPr="00744621">
        <w:rPr>
          <w:rFonts w:ascii="Arial" w:hAnsi="Arial" w:cs="Arial"/>
          <w:sz w:val="20"/>
        </w:rPr>
        <w:t>related</w:t>
      </w:r>
      <w:r w:rsidRPr="00744621">
        <w:rPr>
          <w:rFonts w:ascii="Arial" w:hAnsi="Arial" w:cs="Arial"/>
          <w:spacing w:val="-4"/>
          <w:sz w:val="20"/>
        </w:rPr>
        <w:t xml:space="preserve"> </w:t>
      </w:r>
      <w:r w:rsidRPr="00744621">
        <w:rPr>
          <w:rFonts w:ascii="Arial" w:hAnsi="Arial" w:cs="Arial"/>
          <w:sz w:val="20"/>
        </w:rPr>
        <w:t>to</w:t>
      </w:r>
      <w:r w:rsidRPr="00744621">
        <w:rPr>
          <w:rFonts w:ascii="Arial" w:hAnsi="Arial" w:cs="Arial"/>
          <w:spacing w:val="-2"/>
          <w:sz w:val="20"/>
        </w:rPr>
        <w:t xml:space="preserve"> </w:t>
      </w:r>
      <w:r w:rsidRPr="00744621">
        <w:rPr>
          <w:rFonts w:ascii="Arial" w:hAnsi="Arial" w:cs="Arial"/>
          <w:sz w:val="20"/>
        </w:rPr>
        <w:t>the</w:t>
      </w:r>
      <w:r w:rsidRPr="00744621">
        <w:rPr>
          <w:rFonts w:ascii="Arial" w:hAnsi="Arial" w:cs="Arial"/>
          <w:spacing w:val="-3"/>
          <w:sz w:val="20"/>
        </w:rPr>
        <w:t xml:space="preserve"> </w:t>
      </w:r>
      <w:r w:rsidRPr="00744621">
        <w:rPr>
          <w:rFonts w:ascii="Arial" w:hAnsi="Arial" w:cs="Arial"/>
          <w:sz w:val="20"/>
        </w:rPr>
        <w:t>FI(B)</w:t>
      </w:r>
      <w:r w:rsidRPr="00744621">
        <w:rPr>
          <w:rFonts w:ascii="Arial" w:hAnsi="Arial" w:cs="Arial"/>
          <w:spacing w:val="-1"/>
          <w:sz w:val="20"/>
        </w:rPr>
        <w:t xml:space="preserve"> </w:t>
      </w:r>
      <w:r w:rsidRPr="00744621">
        <w:rPr>
          <w:rFonts w:ascii="Arial" w:hAnsi="Arial" w:cs="Arial"/>
          <w:sz w:val="20"/>
        </w:rPr>
        <w:t>certificate</w:t>
      </w:r>
      <w:r w:rsidRPr="00744621">
        <w:rPr>
          <w:rFonts w:ascii="Arial" w:hAnsi="Arial" w:cs="Arial"/>
          <w:spacing w:val="-3"/>
          <w:sz w:val="20"/>
        </w:rPr>
        <w:t xml:space="preserve"> </w:t>
      </w:r>
      <w:r w:rsidRPr="00744621">
        <w:rPr>
          <w:rFonts w:ascii="Arial" w:hAnsi="Arial" w:cs="Arial"/>
          <w:sz w:val="20"/>
        </w:rPr>
        <w:t>should:</w:t>
      </w:r>
    </w:p>
    <w:p w14:paraId="2F751A01" w14:textId="77777777" w:rsidR="00744621" w:rsidRPr="00744621" w:rsidRDefault="00744621" w:rsidP="00D91E6C">
      <w:pPr>
        <w:pStyle w:val="ListParagraph"/>
        <w:numPr>
          <w:ilvl w:val="0"/>
          <w:numId w:val="275"/>
        </w:numPr>
        <w:tabs>
          <w:tab w:val="left" w:pos="706"/>
          <w:tab w:val="left" w:pos="707"/>
        </w:tabs>
        <w:ind w:right="68"/>
        <w:jc w:val="both"/>
        <w:rPr>
          <w:rFonts w:ascii="Arial" w:hAnsi="Arial" w:cs="Arial"/>
          <w:sz w:val="20"/>
        </w:rPr>
      </w:pPr>
      <w:r w:rsidRPr="00744621">
        <w:rPr>
          <w:rFonts w:ascii="Arial" w:hAnsi="Arial" w:cs="Arial"/>
          <w:sz w:val="20"/>
        </w:rPr>
        <w:t>be</w:t>
      </w:r>
      <w:r w:rsidRPr="00744621">
        <w:rPr>
          <w:rFonts w:ascii="Arial" w:hAnsi="Arial" w:cs="Arial"/>
          <w:spacing w:val="17"/>
          <w:sz w:val="20"/>
        </w:rPr>
        <w:t xml:space="preserve"> </w:t>
      </w:r>
      <w:r w:rsidRPr="00744621">
        <w:rPr>
          <w:rFonts w:ascii="Arial" w:hAnsi="Arial" w:cs="Arial"/>
          <w:sz w:val="20"/>
        </w:rPr>
        <w:t>completed</w:t>
      </w:r>
      <w:r w:rsidRPr="00744621">
        <w:rPr>
          <w:rFonts w:ascii="Arial" w:hAnsi="Arial" w:cs="Arial"/>
          <w:spacing w:val="17"/>
          <w:sz w:val="20"/>
        </w:rPr>
        <w:t xml:space="preserve"> </w:t>
      </w:r>
      <w:r w:rsidRPr="00744621">
        <w:rPr>
          <w:rFonts w:ascii="Arial" w:hAnsi="Arial" w:cs="Arial"/>
          <w:sz w:val="20"/>
        </w:rPr>
        <w:t>under</w:t>
      </w:r>
      <w:r w:rsidRPr="00744621">
        <w:rPr>
          <w:rFonts w:ascii="Arial" w:hAnsi="Arial" w:cs="Arial"/>
          <w:spacing w:val="17"/>
          <w:sz w:val="20"/>
        </w:rPr>
        <w:t xml:space="preserve"> </w:t>
      </w:r>
      <w:r w:rsidRPr="00744621">
        <w:rPr>
          <w:rFonts w:ascii="Arial" w:hAnsi="Arial" w:cs="Arial"/>
          <w:sz w:val="20"/>
        </w:rPr>
        <w:t>the</w:t>
      </w:r>
      <w:r w:rsidRPr="00744621">
        <w:rPr>
          <w:rFonts w:ascii="Arial" w:hAnsi="Arial" w:cs="Arial"/>
          <w:spacing w:val="17"/>
          <w:sz w:val="20"/>
        </w:rPr>
        <w:t xml:space="preserve"> </w:t>
      </w:r>
      <w:r w:rsidRPr="00744621">
        <w:rPr>
          <w:rFonts w:ascii="Arial" w:hAnsi="Arial" w:cs="Arial"/>
          <w:sz w:val="20"/>
        </w:rPr>
        <w:t>supervision</w:t>
      </w:r>
      <w:r w:rsidRPr="00744621">
        <w:rPr>
          <w:rFonts w:ascii="Arial" w:hAnsi="Arial" w:cs="Arial"/>
          <w:spacing w:val="13"/>
          <w:sz w:val="20"/>
        </w:rPr>
        <w:t xml:space="preserve"> </w:t>
      </w:r>
      <w:r w:rsidRPr="00744621">
        <w:rPr>
          <w:rFonts w:ascii="Arial" w:hAnsi="Arial" w:cs="Arial"/>
          <w:sz w:val="20"/>
        </w:rPr>
        <w:t>of</w:t>
      </w:r>
      <w:r w:rsidRPr="00744621">
        <w:rPr>
          <w:rFonts w:ascii="Arial" w:hAnsi="Arial" w:cs="Arial"/>
          <w:spacing w:val="17"/>
          <w:sz w:val="20"/>
        </w:rPr>
        <w:t xml:space="preserve"> </w:t>
      </w:r>
      <w:r w:rsidRPr="00744621">
        <w:rPr>
          <w:rFonts w:ascii="Arial" w:hAnsi="Arial" w:cs="Arial"/>
          <w:sz w:val="20"/>
        </w:rPr>
        <w:t>an</w:t>
      </w:r>
      <w:r w:rsidRPr="00744621">
        <w:rPr>
          <w:rFonts w:ascii="Arial" w:hAnsi="Arial" w:cs="Arial"/>
          <w:spacing w:val="16"/>
          <w:sz w:val="20"/>
        </w:rPr>
        <w:t xml:space="preserve"> </w:t>
      </w:r>
      <w:r w:rsidRPr="00744621">
        <w:rPr>
          <w:rFonts w:ascii="Arial" w:hAnsi="Arial" w:cs="Arial"/>
          <w:sz w:val="20"/>
        </w:rPr>
        <w:t>FE(B)</w:t>
      </w:r>
      <w:r w:rsidRPr="00744621">
        <w:rPr>
          <w:rFonts w:ascii="Arial" w:hAnsi="Arial" w:cs="Arial"/>
          <w:spacing w:val="17"/>
          <w:sz w:val="20"/>
        </w:rPr>
        <w:t xml:space="preserve"> </w:t>
      </w:r>
      <w:r w:rsidRPr="00744621">
        <w:rPr>
          <w:rFonts w:ascii="Arial" w:hAnsi="Arial" w:cs="Arial"/>
          <w:sz w:val="20"/>
        </w:rPr>
        <w:t>who</w:t>
      </w:r>
      <w:r w:rsidRPr="00744621">
        <w:rPr>
          <w:rFonts w:ascii="Arial" w:hAnsi="Arial" w:cs="Arial"/>
          <w:spacing w:val="18"/>
          <w:sz w:val="20"/>
        </w:rPr>
        <w:t xml:space="preserve"> </w:t>
      </w:r>
      <w:r w:rsidRPr="00744621">
        <w:rPr>
          <w:rFonts w:ascii="Arial" w:hAnsi="Arial" w:cs="Arial"/>
          <w:sz w:val="20"/>
        </w:rPr>
        <w:t>holds</w:t>
      </w:r>
      <w:r w:rsidRPr="00744621">
        <w:rPr>
          <w:rFonts w:ascii="Arial" w:hAnsi="Arial" w:cs="Arial"/>
          <w:spacing w:val="17"/>
          <w:sz w:val="20"/>
        </w:rPr>
        <w:t xml:space="preserve"> </w:t>
      </w:r>
      <w:r w:rsidRPr="00744621">
        <w:rPr>
          <w:rFonts w:ascii="Arial" w:hAnsi="Arial" w:cs="Arial"/>
          <w:sz w:val="20"/>
        </w:rPr>
        <w:t>the</w:t>
      </w:r>
      <w:r w:rsidRPr="00744621">
        <w:rPr>
          <w:rFonts w:ascii="Arial" w:hAnsi="Arial" w:cs="Arial"/>
          <w:spacing w:val="17"/>
          <w:sz w:val="20"/>
        </w:rPr>
        <w:t xml:space="preserve"> </w:t>
      </w:r>
      <w:r w:rsidRPr="00744621">
        <w:rPr>
          <w:rFonts w:ascii="Arial" w:hAnsi="Arial" w:cs="Arial"/>
          <w:sz w:val="20"/>
        </w:rPr>
        <w:t>privileges</w:t>
      </w:r>
      <w:r w:rsidRPr="00744621">
        <w:rPr>
          <w:rFonts w:ascii="Arial" w:hAnsi="Arial" w:cs="Arial"/>
          <w:spacing w:val="17"/>
          <w:sz w:val="20"/>
        </w:rPr>
        <w:t xml:space="preserve"> </w:t>
      </w:r>
      <w:r w:rsidRPr="00744621">
        <w:rPr>
          <w:rFonts w:ascii="Arial" w:hAnsi="Arial" w:cs="Arial"/>
          <w:sz w:val="20"/>
        </w:rPr>
        <w:t>in</w:t>
      </w:r>
      <w:r w:rsidRPr="00744621">
        <w:rPr>
          <w:rFonts w:ascii="Arial" w:hAnsi="Arial" w:cs="Arial"/>
          <w:spacing w:val="16"/>
          <w:sz w:val="20"/>
        </w:rPr>
        <w:t xml:space="preserve"> </w:t>
      </w:r>
      <w:r w:rsidRPr="00744621">
        <w:rPr>
          <w:rFonts w:ascii="Arial" w:hAnsi="Arial" w:cs="Arial"/>
          <w:sz w:val="20"/>
        </w:rPr>
        <w:t>accordance</w:t>
      </w:r>
      <w:r w:rsidRPr="00744621">
        <w:rPr>
          <w:rFonts w:ascii="Arial" w:hAnsi="Arial" w:cs="Arial"/>
          <w:spacing w:val="15"/>
          <w:sz w:val="20"/>
        </w:rPr>
        <w:t xml:space="preserve"> </w:t>
      </w:r>
      <w:r w:rsidRPr="00744621">
        <w:rPr>
          <w:rFonts w:ascii="Arial" w:hAnsi="Arial" w:cs="Arial"/>
          <w:sz w:val="20"/>
        </w:rPr>
        <w:t>with</w:t>
      </w:r>
      <w:r w:rsidRPr="00744621">
        <w:rPr>
          <w:rFonts w:ascii="Arial" w:hAnsi="Arial" w:cs="Arial"/>
          <w:spacing w:val="-47"/>
          <w:sz w:val="20"/>
        </w:rPr>
        <w:t xml:space="preserve"> </w:t>
      </w:r>
      <w:r w:rsidRPr="00744621">
        <w:rPr>
          <w:rFonts w:ascii="Arial" w:hAnsi="Arial" w:cs="Arial"/>
          <w:sz w:val="20"/>
        </w:rPr>
        <w:t>point</w:t>
      </w:r>
      <w:r w:rsidRPr="00744621">
        <w:rPr>
          <w:rFonts w:ascii="Arial" w:hAnsi="Arial" w:cs="Arial"/>
          <w:spacing w:val="-1"/>
          <w:sz w:val="20"/>
        </w:rPr>
        <w:t xml:space="preserve"> </w:t>
      </w:r>
      <w:r w:rsidRPr="00744621">
        <w:rPr>
          <w:rFonts w:ascii="Arial" w:hAnsi="Arial" w:cs="Arial"/>
          <w:sz w:val="20"/>
        </w:rPr>
        <w:t>BFCL.415(c);</w:t>
      </w:r>
      <w:r w:rsidRPr="00744621">
        <w:rPr>
          <w:rFonts w:ascii="Arial" w:hAnsi="Arial" w:cs="Arial"/>
          <w:spacing w:val="1"/>
          <w:sz w:val="20"/>
        </w:rPr>
        <w:t xml:space="preserve"> </w:t>
      </w:r>
      <w:r w:rsidRPr="00744621">
        <w:rPr>
          <w:rFonts w:ascii="Arial" w:hAnsi="Arial" w:cs="Arial"/>
          <w:sz w:val="20"/>
        </w:rPr>
        <w:t>and</w:t>
      </w:r>
    </w:p>
    <w:p w14:paraId="3A736996" w14:textId="77777777" w:rsidR="00744621" w:rsidRPr="00744621" w:rsidRDefault="00744621" w:rsidP="00D91E6C">
      <w:pPr>
        <w:pStyle w:val="ListParagraph"/>
        <w:numPr>
          <w:ilvl w:val="0"/>
          <w:numId w:val="275"/>
        </w:numPr>
        <w:tabs>
          <w:tab w:val="left" w:pos="706"/>
          <w:tab w:val="left" w:pos="707"/>
        </w:tabs>
        <w:spacing w:before="121"/>
        <w:ind w:right="68"/>
        <w:jc w:val="both"/>
        <w:rPr>
          <w:rFonts w:ascii="Arial" w:hAnsi="Arial" w:cs="Arial"/>
          <w:sz w:val="20"/>
        </w:rPr>
      </w:pPr>
      <w:r w:rsidRPr="00744621">
        <w:rPr>
          <w:rFonts w:ascii="Arial" w:hAnsi="Arial" w:cs="Arial"/>
          <w:sz w:val="20"/>
        </w:rPr>
        <w:t>include at least all</w:t>
      </w:r>
      <w:r w:rsidRPr="00744621">
        <w:rPr>
          <w:rFonts w:ascii="Arial" w:hAnsi="Arial" w:cs="Arial"/>
          <w:spacing w:val="-3"/>
          <w:sz w:val="20"/>
        </w:rPr>
        <w:t xml:space="preserve"> </w:t>
      </w:r>
      <w:r w:rsidRPr="00744621">
        <w:rPr>
          <w:rFonts w:ascii="Arial" w:hAnsi="Arial" w:cs="Arial"/>
          <w:sz w:val="20"/>
        </w:rPr>
        <w:t>of</w:t>
      </w:r>
      <w:r w:rsidRPr="00744621">
        <w:rPr>
          <w:rFonts w:ascii="Arial" w:hAnsi="Arial" w:cs="Arial"/>
          <w:spacing w:val="-2"/>
          <w:sz w:val="20"/>
        </w:rPr>
        <w:t xml:space="preserve"> </w:t>
      </w:r>
      <w:r w:rsidRPr="00744621">
        <w:rPr>
          <w:rFonts w:ascii="Arial" w:hAnsi="Arial" w:cs="Arial"/>
          <w:sz w:val="20"/>
        </w:rPr>
        <w:t>the</w:t>
      </w:r>
      <w:r w:rsidRPr="00744621">
        <w:rPr>
          <w:rFonts w:ascii="Arial" w:hAnsi="Arial" w:cs="Arial"/>
          <w:spacing w:val="-1"/>
          <w:sz w:val="20"/>
        </w:rPr>
        <w:t xml:space="preserve"> </w:t>
      </w:r>
      <w:r w:rsidRPr="00744621">
        <w:rPr>
          <w:rFonts w:ascii="Arial" w:hAnsi="Arial" w:cs="Arial"/>
          <w:sz w:val="20"/>
        </w:rPr>
        <w:t>following:</w:t>
      </w:r>
    </w:p>
    <w:p w14:paraId="78A6756F" w14:textId="77777777" w:rsidR="00744621" w:rsidRPr="00744621" w:rsidRDefault="00744621" w:rsidP="00D91E6C">
      <w:pPr>
        <w:pStyle w:val="ListParagraph"/>
        <w:numPr>
          <w:ilvl w:val="1"/>
          <w:numId w:val="275"/>
        </w:numPr>
        <w:tabs>
          <w:tab w:val="left" w:pos="1273"/>
          <w:tab w:val="left" w:pos="1274"/>
        </w:tabs>
        <w:ind w:right="68" w:hanging="568"/>
        <w:jc w:val="both"/>
        <w:rPr>
          <w:rFonts w:ascii="Arial" w:hAnsi="Arial" w:cs="Arial"/>
          <w:sz w:val="20"/>
        </w:rPr>
      </w:pPr>
      <w:r w:rsidRPr="00744621">
        <w:rPr>
          <w:rFonts w:ascii="Arial" w:hAnsi="Arial" w:cs="Arial"/>
          <w:sz w:val="20"/>
        </w:rPr>
        <w:t>the</w:t>
      </w:r>
      <w:r w:rsidRPr="00744621">
        <w:rPr>
          <w:rFonts w:ascii="Arial" w:hAnsi="Arial" w:cs="Arial"/>
          <w:spacing w:val="-1"/>
          <w:sz w:val="20"/>
        </w:rPr>
        <w:t xml:space="preserve"> </w:t>
      </w:r>
      <w:r w:rsidRPr="00744621">
        <w:rPr>
          <w:rFonts w:ascii="Arial" w:hAnsi="Arial" w:cs="Arial"/>
          <w:sz w:val="20"/>
        </w:rPr>
        <w:t>requirements</w:t>
      </w:r>
      <w:r w:rsidRPr="00744621">
        <w:rPr>
          <w:rFonts w:ascii="Arial" w:hAnsi="Arial" w:cs="Arial"/>
          <w:spacing w:val="-3"/>
          <w:sz w:val="20"/>
        </w:rPr>
        <w:t xml:space="preserve"> </w:t>
      </w:r>
      <w:r w:rsidRPr="00744621">
        <w:rPr>
          <w:rFonts w:ascii="Arial" w:hAnsi="Arial" w:cs="Arial"/>
          <w:sz w:val="20"/>
        </w:rPr>
        <w:t>of</w:t>
      </w:r>
      <w:r w:rsidRPr="00744621">
        <w:rPr>
          <w:rFonts w:ascii="Arial" w:hAnsi="Arial" w:cs="Arial"/>
          <w:spacing w:val="-3"/>
          <w:sz w:val="20"/>
        </w:rPr>
        <w:t xml:space="preserve"> </w:t>
      </w:r>
      <w:r w:rsidRPr="00744621">
        <w:rPr>
          <w:rFonts w:ascii="Arial" w:hAnsi="Arial" w:cs="Arial"/>
          <w:sz w:val="20"/>
        </w:rPr>
        <w:t>Part-BFCL</w:t>
      </w:r>
      <w:r w:rsidRPr="00744621">
        <w:rPr>
          <w:rFonts w:ascii="Arial" w:hAnsi="Arial" w:cs="Arial"/>
          <w:spacing w:val="-1"/>
          <w:sz w:val="20"/>
        </w:rPr>
        <w:t xml:space="preserve"> </w:t>
      </w:r>
      <w:r w:rsidRPr="00744621">
        <w:rPr>
          <w:rFonts w:ascii="Arial" w:hAnsi="Arial" w:cs="Arial"/>
          <w:sz w:val="20"/>
        </w:rPr>
        <w:t>for</w:t>
      </w:r>
      <w:r w:rsidRPr="00744621">
        <w:rPr>
          <w:rFonts w:ascii="Arial" w:hAnsi="Arial" w:cs="Arial"/>
          <w:spacing w:val="-4"/>
          <w:sz w:val="20"/>
        </w:rPr>
        <w:t xml:space="preserve"> </w:t>
      </w:r>
      <w:r w:rsidRPr="00744621">
        <w:rPr>
          <w:rFonts w:ascii="Arial" w:hAnsi="Arial" w:cs="Arial"/>
          <w:sz w:val="20"/>
        </w:rPr>
        <w:t>the</w:t>
      </w:r>
      <w:r w:rsidRPr="00744621">
        <w:rPr>
          <w:rFonts w:ascii="Arial" w:hAnsi="Arial" w:cs="Arial"/>
          <w:spacing w:val="-3"/>
          <w:sz w:val="20"/>
        </w:rPr>
        <w:t xml:space="preserve"> </w:t>
      </w:r>
      <w:r w:rsidRPr="00744621">
        <w:rPr>
          <w:rFonts w:ascii="Arial" w:hAnsi="Arial" w:cs="Arial"/>
          <w:sz w:val="20"/>
        </w:rPr>
        <w:t>FI(B)</w:t>
      </w:r>
      <w:r w:rsidRPr="00744621">
        <w:rPr>
          <w:rFonts w:ascii="Arial" w:hAnsi="Arial" w:cs="Arial"/>
          <w:spacing w:val="-2"/>
          <w:sz w:val="20"/>
        </w:rPr>
        <w:t xml:space="preserve"> </w:t>
      </w:r>
      <w:r w:rsidRPr="00744621">
        <w:rPr>
          <w:rFonts w:ascii="Arial" w:hAnsi="Arial" w:cs="Arial"/>
          <w:sz w:val="20"/>
        </w:rPr>
        <w:t>certificate;</w:t>
      </w:r>
    </w:p>
    <w:p w14:paraId="24F40A47" w14:textId="77777777" w:rsidR="00744621" w:rsidRPr="00744621" w:rsidRDefault="00744621" w:rsidP="00D91E6C">
      <w:pPr>
        <w:pStyle w:val="ListParagraph"/>
        <w:numPr>
          <w:ilvl w:val="1"/>
          <w:numId w:val="275"/>
        </w:numPr>
        <w:tabs>
          <w:tab w:val="left" w:pos="1273"/>
          <w:tab w:val="left" w:pos="1274"/>
        </w:tabs>
        <w:spacing w:before="118"/>
        <w:ind w:right="68" w:hanging="568"/>
        <w:jc w:val="both"/>
        <w:rPr>
          <w:rFonts w:ascii="Arial" w:hAnsi="Arial" w:cs="Arial"/>
          <w:sz w:val="20"/>
        </w:rPr>
      </w:pPr>
      <w:r w:rsidRPr="00744621">
        <w:rPr>
          <w:rFonts w:ascii="Arial" w:hAnsi="Arial" w:cs="Arial"/>
          <w:sz w:val="20"/>
        </w:rPr>
        <w:t>the</w:t>
      </w:r>
      <w:r w:rsidRPr="00744621">
        <w:rPr>
          <w:rFonts w:ascii="Arial" w:hAnsi="Arial" w:cs="Arial"/>
          <w:spacing w:val="-1"/>
          <w:sz w:val="20"/>
        </w:rPr>
        <w:t xml:space="preserve"> </w:t>
      </w:r>
      <w:r w:rsidRPr="00744621">
        <w:rPr>
          <w:rFonts w:ascii="Arial" w:hAnsi="Arial" w:cs="Arial"/>
          <w:sz w:val="20"/>
        </w:rPr>
        <w:t>content</w:t>
      </w:r>
      <w:r w:rsidRPr="00744621">
        <w:rPr>
          <w:rFonts w:ascii="Arial" w:hAnsi="Arial" w:cs="Arial"/>
          <w:spacing w:val="-3"/>
          <w:sz w:val="20"/>
        </w:rPr>
        <w:t xml:space="preserve"> </w:t>
      </w:r>
      <w:r w:rsidRPr="00744621">
        <w:rPr>
          <w:rFonts w:ascii="Arial" w:hAnsi="Arial" w:cs="Arial"/>
          <w:sz w:val="20"/>
        </w:rPr>
        <w:t>of</w:t>
      </w:r>
      <w:r w:rsidRPr="00744621">
        <w:rPr>
          <w:rFonts w:ascii="Arial" w:hAnsi="Arial" w:cs="Arial"/>
          <w:spacing w:val="-4"/>
          <w:sz w:val="20"/>
        </w:rPr>
        <w:t xml:space="preserve"> </w:t>
      </w:r>
      <w:r w:rsidRPr="00744621">
        <w:rPr>
          <w:rFonts w:ascii="Arial" w:hAnsi="Arial" w:cs="Arial"/>
          <w:sz w:val="20"/>
        </w:rPr>
        <w:t>AMC1</w:t>
      </w:r>
      <w:r w:rsidRPr="00744621">
        <w:rPr>
          <w:rFonts w:ascii="Arial" w:hAnsi="Arial" w:cs="Arial"/>
          <w:spacing w:val="-1"/>
          <w:sz w:val="20"/>
        </w:rPr>
        <w:t xml:space="preserve"> </w:t>
      </w:r>
      <w:r w:rsidRPr="00744621">
        <w:rPr>
          <w:rFonts w:ascii="Arial" w:hAnsi="Arial" w:cs="Arial"/>
          <w:sz w:val="20"/>
        </w:rPr>
        <w:t>BFCL.345, AMC2</w:t>
      </w:r>
      <w:r w:rsidRPr="00744621">
        <w:rPr>
          <w:rFonts w:ascii="Arial" w:hAnsi="Arial" w:cs="Arial"/>
          <w:spacing w:val="-3"/>
          <w:sz w:val="20"/>
        </w:rPr>
        <w:t xml:space="preserve"> </w:t>
      </w:r>
      <w:r w:rsidRPr="00744621">
        <w:rPr>
          <w:rFonts w:ascii="Arial" w:hAnsi="Arial" w:cs="Arial"/>
          <w:sz w:val="20"/>
        </w:rPr>
        <w:t>BFCL.345</w:t>
      </w:r>
      <w:r w:rsidRPr="00744621">
        <w:rPr>
          <w:rFonts w:ascii="Arial" w:hAnsi="Arial" w:cs="Arial"/>
          <w:spacing w:val="-1"/>
          <w:sz w:val="20"/>
        </w:rPr>
        <w:t xml:space="preserve"> </w:t>
      </w:r>
      <w:r w:rsidRPr="00744621">
        <w:rPr>
          <w:rFonts w:ascii="Arial" w:hAnsi="Arial" w:cs="Arial"/>
          <w:sz w:val="20"/>
        </w:rPr>
        <w:t>and</w:t>
      </w:r>
      <w:r w:rsidRPr="00744621">
        <w:rPr>
          <w:rFonts w:ascii="Arial" w:hAnsi="Arial" w:cs="Arial"/>
          <w:spacing w:val="-2"/>
          <w:sz w:val="20"/>
        </w:rPr>
        <w:t xml:space="preserve"> </w:t>
      </w:r>
      <w:r w:rsidRPr="00744621">
        <w:rPr>
          <w:rFonts w:ascii="Arial" w:hAnsi="Arial" w:cs="Arial"/>
          <w:sz w:val="20"/>
        </w:rPr>
        <w:t>AMC3</w:t>
      </w:r>
      <w:r w:rsidRPr="00744621">
        <w:rPr>
          <w:rFonts w:ascii="Arial" w:hAnsi="Arial" w:cs="Arial"/>
          <w:spacing w:val="-2"/>
          <w:sz w:val="20"/>
        </w:rPr>
        <w:t xml:space="preserve"> </w:t>
      </w:r>
      <w:r w:rsidRPr="00744621">
        <w:rPr>
          <w:rFonts w:ascii="Arial" w:hAnsi="Arial" w:cs="Arial"/>
          <w:sz w:val="20"/>
        </w:rPr>
        <w:t>BFCL.345;</w:t>
      </w:r>
      <w:r w:rsidRPr="00744621">
        <w:rPr>
          <w:rFonts w:ascii="Arial" w:hAnsi="Arial" w:cs="Arial"/>
          <w:spacing w:val="-1"/>
          <w:sz w:val="20"/>
        </w:rPr>
        <w:t xml:space="preserve"> </w:t>
      </w:r>
      <w:r w:rsidRPr="00744621">
        <w:rPr>
          <w:rFonts w:ascii="Arial" w:hAnsi="Arial" w:cs="Arial"/>
          <w:sz w:val="20"/>
        </w:rPr>
        <w:t>and</w:t>
      </w:r>
    </w:p>
    <w:p w14:paraId="413B0F73" w14:textId="77777777" w:rsidR="00744621" w:rsidRPr="00744621" w:rsidRDefault="00744621" w:rsidP="00D91E6C">
      <w:pPr>
        <w:pStyle w:val="ListParagraph"/>
        <w:numPr>
          <w:ilvl w:val="1"/>
          <w:numId w:val="275"/>
        </w:numPr>
        <w:tabs>
          <w:tab w:val="left" w:pos="1274"/>
        </w:tabs>
        <w:ind w:right="68"/>
        <w:jc w:val="both"/>
        <w:rPr>
          <w:rFonts w:ascii="Arial" w:hAnsi="Arial" w:cs="Arial"/>
          <w:sz w:val="20"/>
        </w:rPr>
      </w:pPr>
      <w:r w:rsidRPr="00744621">
        <w:rPr>
          <w:rFonts w:ascii="Arial" w:hAnsi="Arial" w:cs="Arial"/>
          <w:spacing w:val="-1"/>
          <w:sz w:val="20"/>
        </w:rPr>
        <w:t>the</w:t>
      </w:r>
      <w:r w:rsidRPr="00744621">
        <w:rPr>
          <w:rFonts w:ascii="Arial" w:hAnsi="Arial" w:cs="Arial"/>
          <w:spacing w:val="-12"/>
          <w:sz w:val="20"/>
        </w:rPr>
        <w:t xml:space="preserve"> </w:t>
      </w:r>
      <w:r w:rsidRPr="00744621">
        <w:rPr>
          <w:rFonts w:ascii="Arial" w:hAnsi="Arial" w:cs="Arial"/>
          <w:spacing w:val="-1"/>
          <w:sz w:val="20"/>
        </w:rPr>
        <w:t>conduct</w:t>
      </w:r>
      <w:r w:rsidRPr="00744621">
        <w:rPr>
          <w:rFonts w:ascii="Arial" w:hAnsi="Arial" w:cs="Arial"/>
          <w:spacing w:val="-11"/>
          <w:sz w:val="20"/>
        </w:rPr>
        <w:t xml:space="preserve"> </w:t>
      </w:r>
      <w:r w:rsidRPr="00744621">
        <w:rPr>
          <w:rFonts w:ascii="Arial" w:hAnsi="Arial" w:cs="Arial"/>
          <w:spacing w:val="-1"/>
          <w:sz w:val="20"/>
        </w:rPr>
        <w:t>of</w:t>
      </w:r>
      <w:r w:rsidRPr="00744621">
        <w:rPr>
          <w:rFonts w:ascii="Arial" w:hAnsi="Arial" w:cs="Arial"/>
          <w:spacing w:val="-15"/>
          <w:sz w:val="20"/>
        </w:rPr>
        <w:t xml:space="preserve"> </w:t>
      </w:r>
      <w:r w:rsidRPr="00744621">
        <w:rPr>
          <w:rFonts w:ascii="Arial" w:hAnsi="Arial" w:cs="Arial"/>
          <w:sz w:val="20"/>
        </w:rPr>
        <w:t>one</w:t>
      </w:r>
      <w:r w:rsidRPr="00744621">
        <w:rPr>
          <w:rFonts w:ascii="Arial" w:hAnsi="Arial" w:cs="Arial"/>
          <w:spacing w:val="-11"/>
          <w:sz w:val="20"/>
        </w:rPr>
        <w:t xml:space="preserve"> </w:t>
      </w:r>
      <w:r w:rsidRPr="00744621">
        <w:rPr>
          <w:rFonts w:ascii="Arial" w:hAnsi="Arial" w:cs="Arial"/>
          <w:sz w:val="20"/>
        </w:rPr>
        <w:t>assessment</w:t>
      </w:r>
      <w:r w:rsidRPr="00744621">
        <w:rPr>
          <w:rFonts w:ascii="Arial" w:hAnsi="Arial" w:cs="Arial"/>
          <w:spacing w:val="-11"/>
          <w:sz w:val="20"/>
        </w:rPr>
        <w:t xml:space="preserve"> </w:t>
      </w:r>
      <w:r w:rsidRPr="00744621">
        <w:rPr>
          <w:rFonts w:ascii="Arial" w:hAnsi="Arial" w:cs="Arial"/>
          <w:sz w:val="20"/>
        </w:rPr>
        <w:t>of</w:t>
      </w:r>
      <w:r w:rsidRPr="00744621">
        <w:rPr>
          <w:rFonts w:ascii="Arial" w:hAnsi="Arial" w:cs="Arial"/>
          <w:spacing w:val="-15"/>
          <w:sz w:val="20"/>
        </w:rPr>
        <w:t xml:space="preserve"> </w:t>
      </w:r>
      <w:r w:rsidRPr="00744621">
        <w:rPr>
          <w:rFonts w:ascii="Arial" w:hAnsi="Arial" w:cs="Arial"/>
          <w:sz w:val="20"/>
        </w:rPr>
        <w:t>competence</w:t>
      </w:r>
      <w:r w:rsidRPr="00744621">
        <w:rPr>
          <w:rFonts w:ascii="Arial" w:hAnsi="Arial" w:cs="Arial"/>
          <w:spacing w:val="-14"/>
          <w:sz w:val="20"/>
        </w:rPr>
        <w:t xml:space="preserve"> </w:t>
      </w:r>
      <w:r w:rsidRPr="00744621">
        <w:rPr>
          <w:rFonts w:ascii="Arial" w:hAnsi="Arial" w:cs="Arial"/>
          <w:sz w:val="20"/>
        </w:rPr>
        <w:t>for</w:t>
      </w:r>
      <w:r w:rsidRPr="00744621">
        <w:rPr>
          <w:rFonts w:ascii="Arial" w:hAnsi="Arial" w:cs="Arial"/>
          <w:spacing w:val="-13"/>
          <w:sz w:val="20"/>
        </w:rPr>
        <w:t xml:space="preserve"> </w:t>
      </w:r>
      <w:r w:rsidRPr="00744621">
        <w:rPr>
          <w:rFonts w:ascii="Arial" w:hAnsi="Arial" w:cs="Arial"/>
          <w:sz w:val="20"/>
        </w:rPr>
        <w:t>the</w:t>
      </w:r>
      <w:r w:rsidRPr="00744621">
        <w:rPr>
          <w:rFonts w:ascii="Arial" w:hAnsi="Arial" w:cs="Arial"/>
          <w:spacing w:val="-12"/>
          <w:sz w:val="20"/>
        </w:rPr>
        <w:t xml:space="preserve"> </w:t>
      </w:r>
      <w:r w:rsidRPr="00744621">
        <w:rPr>
          <w:rFonts w:ascii="Arial" w:hAnsi="Arial" w:cs="Arial"/>
          <w:sz w:val="20"/>
        </w:rPr>
        <w:t>FI(B)</w:t>
      </w:r>
      <w:r w:rsidRPr="00744621">
        <w:rPr>
          <w:rFonts w:ascii="Arial" w:hAnsi="Arial" w:cs="Arial"/>
          <w:spacing w:val="-12"/>
          <w:sz w:val="20"/>
        </w:rPr>
        <w:t xml:space="preserve"> </w:t>
      </w:r>
      <w:r w:rsidRPr="00744621">
        <w:rPr>
          <w:rFonts w:ascii="Arial" w:hAnsi="Arial" w:cs="Arial"/>
          <w:sz w:val="20"/>
        </w:rPr>
        <w:t>certificate</w:t>
      </w:r>
      <w:r w:rsidRPr="00744621">
        <w:rPr>
          <w:rFonts w:ascii="Arial" w:hAnsi="Arial" w:cs="Arial"/>
          <w:spacing w:val="-13"/>
          <w:sz w:val="20"/>
        </w:rPr>
        <w:t xml:space="preserve"> </w:t>
      </w:r>
      <w:r w:rsidRPr="00744621">
        <w:rPr>
          <w:rFonts w:ascii="Arial" w:hAnsi="Arial" w:cs="Arial"/>
          <w:sz w:val="20"/>
        </w:rPr>
        <w:t>which,</w:t>
      </w:r>
      <w:r w:rsidRPr="00744621">
        <w:rPr>
          <w:rFonts w:ascii="Arial" w:hAnsi="Arial" w:cs="Arial"/>
          <w:spacing w:val="-12"/>
          <w:sz w:val="20"/>
        </w:rPr>
        <w:t xml:space="preserve"> </w:t>
      </w:r>
      <w:r w:rsidRPr="00744621">
        <w:rPr>
          <w:rFonts w:ascii="Arial" w:hAnsi="Arial" w:cs="Arial"/>
          <w:sz w:val="20"/>
        </w:rPr>
        <w:t>if</w:t>
      </w:r>
      <w:r w:rsidRPr="00744621">
        <w:rPr>
          <w:rFonts w:ascii="Arial" w:hAnsi="Arial" w:cs="Arial"/>
          <w:spacing w:val="-12"/>
          <w:sz w:val="20"/>
        </w:rPr>
        <w:t xml:space="preserve"> </w:t>
      </w:r>
      <w:r w:rsidRPr="00744621">
        <w:rPr>
          <w:rFonts w:ascii="Arial" w:hAnsi="Arial" w:cs="Arial"/>
          <w:sz w:val="20"/>
        </w:rPr>
        <w:t>conducted</w:t>
      </w:r>
      <w:r w:rsidRPr="00744621">
        <w:rPr>
          <w:rFonts w:ascii="Arial" w:hAnsi="Arial" w:cs="Arial"/>
          <w:spacing w:val="-47"/>
          <w:sz w:val="20"/>
        </w:rPr>
        <w:t xml:space="preserve"> </w:t>
      </w:r>
      <w:r w:rsidRPr="00744621">
        <w:rPr>
          <w:rFonts w:ascii="Arial" w:hAnsi="Arial" w:cs="Arial"/>
          <w:sz w:val="20"/>
        </w:rPr>
        <w:t>during an initial examiner standardisation course in accordance with point BFCL.430,</w:t>
      </w:r>
      <w:r w:rsidRPr="00744621">
        <w:rPr>
          <w:rFonts w:ascii="Arial" w:hAnsi="Arial" w:cs="Arial"/>
          <w:spacing w:val="1"/>
          <w:sz w:val="20"/>
        </w:rPr>
        <w:t xml:space="preserve"> </w:t>
      </w:r>
      <w:r w:rsidRPr="00744621">
        <w:rPr>
          <w:rFonts w:ascii="Arial" w:hAnsi="Arial" w:cs="Arial"/>
          <w:sz w:val="20"/>
        </w:rPr>
        <w:t>should be completed in addition to the skill test or proficiency check for the BPL, as</w:t>
      </w:r>
      <w:r w:rsidRPr="00744621">
        <w:rPr>
          <w:rFonts w:ascii="Arial" w:hAnsi="Arial" w:cs="Arial"/>
          <w:spacing w:val="1"/>
          <w:sz w:val="20"/>
        </w:rPr>
        <w:t xml:space="preserve"> </w:t>
      </w:r>
      <w:r w:rsidRPr="00744621">
        <w:rPr>
          <w:rFonts w:ascii="Arial" w:hAnsi="Arial" w:cs="Arial"/>
          <w:sz w:val="20"/>
        </w:rPr>
        <w:t>required</w:t>
      </w:r>
      <w:r w:rsidRPr="00744621">
        <w:rPr>
          <w:rFonts w:ascii="Arial" w:hAnsi="Arial" w:cs="Arial"/>
          <w:spacing w:val="-2"/>
          <w:sz w:val="20"/>
        </w:rPr>
        <w:t xml:space="preserve"> </w:t>
      </w:r>
      <w:r w:rsidRPr="00744621">
        <w:rPr>
          <w:rFonts w:ascii="Arial" w:hAnsi="Arial" w:cs="Arial"/>
          <w:sz w:val="20"/>
        </w:rPr>
        <w:t>by point BFCL.430(b)(1).</w:t>
      </w:r>
    </w:p>
    <w:p w14:paraId="11CC7776" w14:textId="77777777" w:rsidR="00744621" w:rsidRPr="00744621" w:rsidRDefault="00744621" w:rsidP="00744621">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760" w:name="BFCL.420__FE(B)_certificate_–_Prerequisi"/>
      <w:bookmarkStart w:id="761" w:name="_bookmark311"/>
      <w:bookmarkStart w:id="762" w:name="_Toc153137476"/>
      <w:bookmarkEnd w:id="760"/>
      <w:bookmarkEnd w:id="761"/>
      <w:r w:rsidRPr="00744621">
        <w:rPr>
          <w:rFonts w:ascii="Arial" w:eastAsia="Times New Roman" w:hAnsi="Arial" w:cs="Times New Roman"/>
          <w:b/>
          <w:iCs/>
          <w:color w:val="FFFFFF"/>
          <w:sz w:val="24"/>
        </w:rPr>
        <w:lastRenderedPageBreak/>
        <w:t>BFCL.420 FE(B) certificate – Prerequisites and requirements</w:t>
      </w:r>
      <w:bookmarkEnd w:id="762"/>
    </w:p>
    <w:p w14:paraId="6C0FA4AF" w14:textId="77777777" w:rsidR="00744621" w:rsidRPr="00744621" w:rsidRDefault="00744621" w:rsidP="00744621">
      <w:pPr>
        <w:jc w:val="both"/>
        <w:rPr>
          <w:rFonts w:ascii="Arial" w:hAnsi="Arial" w:cs="Arial"/>
          <w:sz w:val="20"/>
        </w:rPr>
      </w:pPr>
      <w:r w:rsidRPr="00744621">
        <w:rPr>
          <w:rFonts w:ascii="Arial" w:hAnsi="Arial" w:cs="Arial"/>
          <w:sz w:val="20"/>
        </w:rPr>
        <w:t>Applicants</w:t>
      </w:r>
      <w:r w:rsidRPr="00744621">
        <w:rPr>
          <w:rFonts w:ascii="Arial" w:hAnsi="Arial" w:cs="Arial"/>
          <w:spacing w:val="-2"/>
          <w:sz w:val="20"/>
        </w:rPr>
        <w:t xml:space="preserve"> </w:t>
      </w:r>
      <w:r w:rsidRPr="00744621">
        <w:rPr>
          <w:rFonts w:ascii="Arial" w:hAnsi="Arial" w:cs="Arial"/>
          <w:sz w:val="20"/>
        </w:rPr>
        <w:t>for</w:t>
      </w:r>
      <w:r w:rsidRPr="00744621">
        <w:rPr>
          <w:rFonts w:ascii="Arial" w:hAnsi="Arial" w:cs="Arial"/>
          <w:spacing w:val="-3"/>
          <w:sz w:val="20"/>
        </w:rPr>
        <w:t xml:space="preserve"> </w:t>
      </w:r>
      <w:r w:rsidRPr="00744621">
        <w:rPr>
          <w:rFonts w:ascii="Arial" w:hAnsi="Arial" w:cs="Arial"/>
          <w:sz w:val="20"/>
        </w:rPr>
        <w:t>an</w:t>
      </w:r>
      <w:r w:rsidRPr="00744621">
        <w:rPr>
          <w:rFonts w:ascii="Arial" w:hAnsi="Arial" w:cs="Arial"/>
          <w:spacing w:val="-2"/>
          <w:sz w:val="20"/>
        </w:rPr>
        <w:t xml:space="preserve"> </w:t>
      </w:r>
      <w:r w:rsidRPr="00744621">
        <w:rPr>
          <w:rFonts w:ascii="Arial" w:hAnsi="Arial" w:cs="Arial"/>
          <w:sz w:val="20"/>
        </w:rPr>
        <w:t>FE(B)</w:t>
      </w:r>
      <w:r w:rsidRPr="00744621">
        <w:rPr>
          <w:rFonts w:ascii="Arial" w:hAnsi="Arial" w:cs="Arial"/>
          <w:spacing w:val="-4"/>
          <w:sz w:val="20"/>
        </w:rPr>
        <w:t xml:space="preserve"> </w:t>
      </w:r>
      <w:r w:rsidRPr="00744621">
        <w:rPr>
          <w:rFonts w:ascii="Arial" w:hAnsi="Arial" w:cs="Arial"/>
          <w:sz w:val="20"/>
        </w:rPr>
        <w:t>certificate</w:t>
      </w:r>
      <w:r w:rsidRPr="00744621">
        <w:rPr>
          <w:rFonts w:ascii="Arial" w:hAnsi="Arial" w:cs="Arial"/>
          <w:spacing w:val="-1"/>
          <w:sz w:val="20"/>
        </w:rPr>
        <w:t xml:space="preserve"> </w:t>
      </w:r>
      <w:r w:rsidRPr="00744621">
        <w:rPr>
          <w:rFonts w:ascii="Arial" w:hAnsi="Arial" w:cs="Arial"/>
          <w:sz w:val="20"/>
        </w:rPr>
        <w:t>shall:</w:t>
      </w:r>
    </w:p>
    <w:p w14:paraId="2F2DBDF8" w14:textId="77777777" w:rsidR="00744621" w:rsidRPr="00744621" w:rsidRDefault="00744621" w:rsidP="00744621">
      <w:pPr>
        <w:pStyle w:val="ListParagraph"/>
        <w:numPr>
          <w:ilvl w:val="0"/>
          <w:numId w:val="276"/>
        </w:numPr>
        <w:tabs>
          <w:tab w:val="left" w:pos="706"/>
          <w:tab w:val="left" w:pos="707"/>
        </w:tabs>
        <w:jc w:val="both"/>
        <w:rPr>
          <w:rFonts w:ascii="Arial" w:hAnsi="Arial" w:cs="Arial"/>
          <w:sz w:val="20"/>
        </w:rPr>
      </w:pPr>
      <w:r w:rsidRPr="00744621">
        <w:rPr>
          <w:rFonts w:ascii="Arial" w:hAnsi="Arial" w:cs="Arial"/>
          <w:sz w:val="20"/>
        </w:rPr>
        <w:t>comply</w:t>
      </w:r>
      <w:r w:rsidRPr="00744621">
        <w:rPr>
          <w:rFonts w:ascii="Arial" w:hAnsi="Arial" w:cs="Arial"/>
          <w:spacing w:val="-4"/>
          <w:sz w:val="20"/>
        </w:rPr>
        <w:t xml:space="preserve"> </w:t>
      </w:r>
      <w:r w:rsidRPr="00744621">
        <w:rPr>
          <w:rFonts w:ascii="Arial" w:hAnsi="Arial" w:cs="Arial"/>
          <w:sz w:val="20"/>
        </w:rPr>
        <w:t>with</w:t>
      </w:r>
      <w:r w:rsidRPr="00744621">
        <w:rPr>
          <w:rFonts w:ascii="Arial" w:hAnsi="Arial" w:cs="Arial"/>
          <w:spacing w:val="-1"/>
          <w:sz w:val="20"/>
        </w:rPr>
        <w:t xml:space="preserve"> </w:t>
      </w:r>
      <w:r w:rsidRPr="00744621">
        <w:rPr>
          <w:rFonts w:ascii="Arial" w:hAnsi="Arial" w:cs="Arial"/>
          <w:sz w:val="20"/>
        </w:rPr>
        <w:t>the requirements of</w:t>
      </w:r>
      <w:r w:rsidRPr="00744621">
        <w:rPr>
          <w:rFonts w:ascii="Arial" w:hAnsi="Arial" w:cs="Arial"/>
          <w:spacing w:val="-5"/>
          <w:sz w:val="20"/>
        </w:rPr>
        <w:t xml:space="preserve"> </w:t>
      </w:r>
      <w:r w:rsidRPr="00744621">
        <w:rPr>
          <w:rFonts w:ascii="Arial" w:hAnsi="Arial" w:cs="Arial"/>
          <w:sz w:val="20"/>
        </w:rPr>
        <w:t>subparagraphs</w:t>
      </w:r>
      <w:r w:rsidRPr="00744621">
        <w:rPr>
          <w:rFonts w:ascii="Arial" w:hAnsi="Arial" w:cs="Arial"/>
          <w:spacing w:val="-1"/>
          <w:sz w:val="20"/>
        </w:rPr>
        <w:t xml:space="preserve"> </w:t>
      </w:r>
      <w:r w:rsidRPr="00744621">
        <w:rPr>
          <w:rFonts w:ascii="Arial" w:hAnsi="Arial" w:cs="Arial"/>
          <w:sz w:val="20"/>
        </w:rPr>
        <w:t>(a)(1)(i)</w:t>
      </w:r>
      <w:r w:rsidRPr="00744621">
        <w:rPr>
          <w:rFonts w:ascii="Arial" w:hAnsi="Arial" w:cs="Arial"/>
          <w:spacing w:val="-1"/>
          <w:sz w:val="20"/>
        </w:rPr>
        <w:t xml:space="preserve"> </w:t>
      </w:r>
      <w:r w:rsidRPr="00744621">
        <w:rPr>
          <w:rFonts w:ascii="Arial" w:hAnsi="Arial" w:cs="Arial"/>
          <w:sz w:val="20"/>
        </w:rPr>
        <w:t>and</w:t>
      </w:r>
      <w:r w:rsidRPr="00744621">
        <w:rPr>
          <w:rFonts w:ascii="Arial" w:hAnsi="Arial" w:cs="Arial"/>
          <w:spacing w:val="-2"/>
          <w:sz w:val="20"/>
        </w:rPr>
        <w:t xml:space="preserve"> </w:t>
      </w:r>
      <w:r w:rsidRPr="00744621">
        <w:rPr>
          <w:rFonts w:ascii="Arial" w:hAnsi="Arial" w:cs="Arial"/>
          <w:sz w:val="20"/>
        </w:rPr>
        <w:t>(2)</w:t>
      </w:r>
      <w:r w:rsidRPr="00744621">
        <w:rPr>
          <w:rFonts w:ascii="Arial" w:hAnsi="Arial" w:cs="Arial"/>
          <w:spacing w:val="-3"/>
          <w:sz w:val="20"/>
        </w:rPr>
        <w:t xml:space="preserve"> </w:t>
      </w:r>
      <w:r w:rsidRPr="00744621">
        <w:rPr>
          <w:rFonts w:ascii="Arial" w:hAnsi="Arial" w:cs="Arial"/>
          <w:sz w:val="20"/>
        </w:rPr>
        <w:t>of</w:t>
      </w:r>
      <w:r w:rsidRPr="00744621">
        <w:rPr>
          <w:rFonts w:ascii="Arial" w:hAnsi="Arial" w:cs="Arial"/>
          <w:spacing w:val="-2"/>
          <w:sz w:val="20"/>
        </w:rPr>
        <w:t xml:space="preserve"> </w:t>
      </w:r>
      <w:r w:rsidRPr="00744621">
        <w:rPr>
          <w:rFonts w:ascii="Arial" w:hAnsi="Arial" w:cs="Arial"/>
          <w:sz w:val="20"/>
        </w:rPr>
        <w:t>point</w:t>
      </w:r>
      <w:r w:rsidRPr="00744621">
        <w:rPr>
          <w:rFonts w:ascii="Arial" w:hAnsi="Arial" w:cs="Arial"/>
          <w:color w:val="0000FF"/>
          <w:spacing w:val="-2"/>
          <w:sz w:val="20"/>
        </w:rPr>
        <w:t xml:space="preserve"> </w:t>
      </w:r>
      <w:hyperlink w:anchor="_bookmark301" w:history="1">
        <w:r w:rsidRPr="00744621">
          <w:rPr>
            <w:rFonts w:ascii="Arial" w:eastAsiaTheme="minorHAnsi" w:hAnsi="Arial" w:cs="Arial"/>
            <w:i/>
            <w:iCs/>
            <w:color w:val="002060"/>
            <w:sz w:val="20"/>
            <w:szCs w:val="20"/>
            <w:u w:val="single"/>
          </w:rPr>
          <w:t>BFCL.400</w:t>
        </w:r>
      </w:hyperlink>
      <w:r w:rsidRPr="00744621">
        <w:rPr>
          <w:rFonts w:ascii="Arial" w:hAnsi="Arial" w:cs="Arial"/>
          <w:sz w:val="20"/>
        </w:rPr>
        <w:t>;</w:t>
      </w:r>
    </w:p>
    <w:p w14:paraId="08DD9842" w14:textId="77777777" w:rsidR="00744621" w:rsidRPr="00744621" w:rsidRDefault="00744621" w:rsidP="00744621">
      <w:pPr>
        <w:pStyle w:val="ListParagraph"/>
        <w:numPr>
          <w:ilvl w:val="0"/>
          <w:numId w:val="276"/>
        </w:numPr>
        <w:tabs>
          <w:tab w:val="left" w:pos="706"/>
          <w:tab w:val="left" w:pos="707"/>
        </w:tabs>
        <w:jc w:val="both"/>
        <w:rPr>
          <w:rFonts w:ascii="Arial" w:hAnsi="Arial" w:cs="Arial"/>
          <w:sz w:val="20"/>
        </w:rPr>
      </w:pPr>
      <w:r w:rsidRPr="00744621">
        <w:rPr>
          <w:rFonts w:ascii="Arial" w:hAnsi="Arial" w:cs="Arial"/>
          <w:sz w:val="20"/>
        </w:rPr>
        <w:t>have</w:t>
      </w:r>
      <w:r w:rsidRPr="00744621">
        <w:rPr>
          <w:rFonts w:ascii="Arial" w:hAnsi="Arial" w:cs="Arial"/>
          <w:spacing w:val="-1"/>
          <w:sz w:val="20"/>
        </w:rPr>
        <w:t xml:space="preserve"> </w:t>
      </w:r>
      <w:r w:rsidRPr="00744621">
        <w:rPr>
          <w:rFonts w:ascii="Arial" w:hAnsi="Arial" w:cs="Arial"/>
          <w:sz w:val="20"/>
        </w:rPr>
        <w:t>completed</w:t>
      </w:r>
      <w:r w:rsidRPr="00744621">
        <w:rPr>
          <w:rFonts w:ascii="Arial" w:hAnsi="Arial" w:cs="Arial"/>
          <w:spacing w:val="-1"/>
          <w:sz w:val="20"/>
        </w:rPr>
        <w:t xml:space="preserve"> </w:t>
      </w:r>
      <w:r w:rsidRPr="00744621">
        <w:rPr>
          <w:rFonts w:ascii="Arial" w:hAnsi="Arial" w:cs="Arial"/>
          <w:sz w:val="20"/>
        </w:rPr>
        <w:t>the</w:t>
      </w:r>
      <w:r w:rsidRPr="00744621">
        <w:rPr>
          <w:rFonts w:ascii="Arial" w:hAnsi="Arial" w:cs="Arial"/>
          <w:spacing w:val="-3"/>
          <w:sz w:val="20"/>
        </w:rPr>
        <w:t xml:space="preserve"> </w:t>
      </w:r>
      <w:r w:rsidRPr="00744621">
        <w:rPr>
          <w:rFonts w:ascii="Arial" w:hAnsi="Arial" w:cs="Arial"/>
          <w:sz w:val="20"/>
        </w:rPr>
        <w:t>FE(B)</w:t>
      </w:r>
      <w:r w:rsidRPr="00744621">
        <w:rPr>
          <w:rFonts w:ascii="Arial" w:hAnsi="Arial" w:cs="Arial"/>
          <w:spacing w:val="-4"/>
          <w:sz w:val="20"/>
        </w:rPr>
        <w:t xml:space="preserve"> </w:t>
      </w:r>
      <w:r w:rsidRPr="00744621">
        <w:rPr>
          <w:rFonts w:ascii="Arial" w:hAnsi="Arial" w:cs="Arial"/>
          <w:sz w:val="20"/>
        </w:rPr>
        <w:t>standardisation</w:t>
      </w:r>
      <w:r w:rsidRPr="00744621">
        <w:rPr>
          <w:rFonts w:ascii="Arial" w:hAnsi="Arial" w:cs="Arial"/>
          <w:spacing w:val="-2"/>
          <w:sz w:val="20"/>
        </w:rPr>
        <w:t xml:space="preserve"> </w:t>
      </w:r>
      <w:r w:rsidRPr="00744621">
        <w:rPr>
          <w:rFonts w:ascii="Arial" w:hAnsi="Arial" w:cs="Arial"/>
          <w:sz w:val="20"/>
        </w:rPr>
        <w:t>course in</w:t>
      </w:r>
      <w:r w:rsidRPr="00744621">
        <w:rPr>
          <w:rFonts w:ascii="Arial" w:hAnsi="Arial" w:cs="Arial"/>
          <w:spacing w:val="-2"/>
          <w:sz w:val="20"/>
        </w:rPr>
        <w:t xml:space="preserve"> </w:t>
      </w:r>
      <w:r w:rsidRPr="00744621">
        <w:rPr>
          <w:rFonts w:ascii="Arial" w:hAnsi="Arial" w:cs="Arial"/>
          <w:sz w:val="20"/>
        </w:rPr>
        <w:t>accordance</w:t>
      </w:r>
      <w:r w:rsidRPr="00744621">
        <w:rPr>
          <w:rFonts w:ascii="Arial" w:hAnsi="Arial" w:cs="Arial"/>
          <w:spacing w:val="-3"/>
          <w:sz w:val="20"/>
        </w:rPr>
        <w:t xml:space="preserve"> </w:t>
      </w:r>
      <w:r w:rsidRPr="00744621">
        <w:rPr>
          <w:rFonts w:ascii="Arial" w:hAnsi="Arial" w:cs="Arial"/>
          <w:sz w:val="20"/>
        </w:rPr>
        <w:t>with</w:t>
      </w:r>
      <w:r w:rsidRPr="00744621">
        <w:rPr>
          <w:rFonts w:ascii="Arial" w:hAnsi="Arial" w:cs="Arial"/>
          <w:spacing w:val="-2"/>
          <w:sz w:val="20"/>
        </w:rPr>
        <w:t xml:space="preserve"> </w:t>
      </w:r>
      <w:r w:rsidRPr="00744621">
        <w:rPr>
          <w:rFonts w:ascii="Arial" w:hAnsi="Arial" w:cs="Arial"/>
          <w:sz w:val="20"/>
        </w:rPr>
        <w:t>point</w:t>
      </w:r>
      <w:r w:rsidRPr="00744621">
        <w:rPr>
          <w:rFonts w:ascii="Arial" w:hAnsi="Arial" w:cs="Arial"/>
          <w:color w:val="0000FF"/>
          <w:spacing w:val="-2"/>
          <w:sz w:val="20"/>
        </w:rPr>
        <w:t xml:space="preserve"> </w:t>
      </w:r>
      <w:hyperlink w:anchor="_bookmark313" w:history="1">
        <w:r w:rsidRPr="00744621">
          <w:rPr>
            <w:rFonts w:ascii="Arial" w:eastAsiaTheme="minorHAnsi" w:hAnsi="Arial" w:cs="Arial"/>
            <w:i/>
            <w:iCs/>
            <w:color w:val="002060"/>
            <w:sz w:val="20"/>
            <w:szCs w:val="20"/>
            <w:u w:val="single"/>
          </w:rPr>
          <w:t>BFCL.430</w:t>
        </w:r>
      </w:hyperlink>
      <w:r w:rsidRPr="00744621">
        <w:rPr>
          <w:rFonts w:ascii="Arial" w:hAnsi="Arial" w:cs="Arial"/>
          <w:sz w:val="20"/>
        </w:rPr>
        <w:t>;</w:t>
      </w:r>
    </w:p>
    <w:p w14:paraId="3826C231" w14:textId="77777777" w:rsidR="00744621" w:rsidRPr="00744621" w:rsidRDefault="00744621" w:rsidP="00744621">
      <w:pPr>
        <w:pStyle w:val="ListParagraph"/>
        <w:numPr>
          <w:ilvl w:val="0"/>
          <w:numId w:val="276"/>
        </w:numPr>
        <w:tabs>
          <w:tab w:val="left" w:pos="706"/>
          <w:tab w:val="left" w:pos="707"/>
        </w:tabs>
        <w:spacing w:before="121"/>
        <w:jc w:val="both"/>
        <w:rPr>
          <w:rFonts w:ascii="Arial" w:hAnsi="Arial" w:cs="Arial"/>
          <w:sz w:val="20"/>
        </w:rPr>
      </w:pPr>
      <w:r w:rsidRPr="00744621">
        <w:rPr>
          <w:rFonts w:ascii="Arial" w:hAnsi="Arial" w:cs="Arial"/>
          <w:sz w:val="20"/>
        </w:rPr>
        <w:t>have</w:t>
      </w:r>
      <w:r w:rsidRPr="00744621">
        <w:rPr>
          <w:rFonts w:ascii="Arial" w:hAnsi="Arial" w:cs="Arial"/>
          <w:spacing w:val="-1"/>
          <w:sz w:val="20"/>
        </w:rPr>
        <w:t xml:space="preserve"> </w:t>
      </w:r>
      <w:r w:rsidRPr="00744621">
        <w:rPr>
          <w:rFonts w:ascii="Arial" w:hAnsi="Arial" w:cs="Arial"/>
          <w:sz w:val="20"/>
        </w:rPr>
        <w:t>completed</w:t>
      </w:r>
      <w:r w:rsidRPr="00744621">
        <w:rPr>
          <w:rFonts w:ascii="Arial" w:hAnsi="Arial" w:cs="Arial"/>
          <w:spacing w:val="-1"/>
          <w:sz w:val="20"/>
        </w:rPr>
        <w:t xml:space="preserve"> </w:t>
      </w:r>
      <w:r w:rsidRPr="00744621">
        <w:rPr>
          <w:rFonts w:ascii="Arial" w:hAnsi="Arial" w:cs="Arial"/>
          <w:sz w:val="20"/>
        </w:rPr>
        <w:t>an</w:t>
      </w:r>
      <w:r w:rsidRPr="00744621">
        <w:rPr>
          <w:rFonts w:ascii="Arial" w:hAnsi="Arial" w:cs="Arial"/>
          <w:spacing w:val="-1"/>
          <w:sz w:val="20"/>
        </w:rPr>
        <w:t xml:space="preserve"> </w:t>
      </w:r>
      <w:r w:rsidRPr="00744621">
        <w:rPr>
          <w:rFonts w:ascii="Arial" w:hAnsi="Arial" w:cs="Arial"/>
          <w:sz w:val="20"/>
        </w:rPr>
        <w:t>assessment</w:t>
      </w:r>
      <w:r w:rsidRPr="00744621">
        <w:rPr>
          <w:rFonts w:ascii="Arial" w:hAnsi="Arial" w:cs="Arial"/>
          <w:spacing w:val="-3"/>
          <w:sz w:val="20"/>
        </w:rPr>
        <w:t xml:space="preserve"> </w:t>
      </w:r>
      <w:r w:rsidRPr="00744621">
        <w:rPr>
          <w:rFonts w:ascii="Arial" w:hAnsi="Arial" w:cs="Arial"/>
          <w:sz w:val="20"/>
        </w:rPr>
        <w:t>of</w:t>
      </w:r>
      <w:r w:rsidRPr="00744621">
        <w:rPr>
          <w:rFonts w:ascii="Arial" w:hAnsi="Arial" w:cs="Arial"/>
          <w:spacing w:val="-4"/>
          <w:sz w:val="20"/>
        </w:rPr>
        <w:t xml:space="preserve"> </w:t>
      </w:r>
      <w:r w:rsidRPr="00744621">
        <w:rPr>
          <w:rFonts w:ascii="Arial" w:hAnsi="Arial" w:cs="Arial"/>
          <w:sz w:val="20"/>
        </w:rPr>
        <w:t>competence in accordance</w:t>
      </w:r>
      <w:r w:rsidRPr="00744621">
        <w:rPr>
          <w:rFonts w:ascii="Arial" w:hAnsi="Arial" w:cs="Arial"/>
          <w:spacing w:val="-3"/>
          <w:sz w:val="20"/>
        </w:rPr>
        <w:t xml:space="preserve"> </w:t>
      </w:r>
      <w:r w:rsidRPr="00744621">
        <w:rPr>
          <w:rFonts w:ascii="Arial" w:hAnsi="Arial" w:cs="Arial"/>
          <w:sz w:val="20"/>
        </w:rPr>
        <w:t>with</w:t>
      </w:r>
      <w:r w:rsidRPr="00744621">
        <w:rPr>
          <w:rFonts w:ascii="Arial" w:hAnsi="Arial" w:cs="Arial"/>
          <w:spacing w:val="-2"/>
          <w:sz w:val="20"/>
        </w:rPr>
        <w:t xml:space="preserve"> </w:t>
      </w:r>
      <w:r w:rsidRPr="00744621">
        <w:rPr>
          <w:rFonts w:ascii="Arial" w:hAnsi="Arial" w:cs="Arial"/>
          <w:sz w:val="20"/>
        </w:rPr>
        <w:t>point</w:t>
      </w:r>
      <w:r w:rsidRPr="00744621">
        <w:rPr>
          <w:rFonts w:ascii="Arial" w:hAnsi="Arial" w:cs="Arial"/>
          <w:color w:val="0000FF"/>
          <w:sz w:val="20"/>
        </w:rPr>
        <w:t xml:space="preserve"> </w:t>
      </w:r>
      <w:hyperlink w:anchor="_bookmark317" w:history="1">
        <w:r w:rsidRPr="00744621">
          <w:rPr>
            <w:rFonts w:ascii="Arial" w:eastAsiaTheme="minorHAnsi" w:hAnsi="Arial" w:cs="Arial"/>
            <w:i/>
            <w:iCs/>
            <w:color w:val="002060"/>
            <w:sz w:val="20"/>
            <w:szCs w:val="20"/>
            <w:u w:val="single"/>
          </w:rPr>
          <w:t>BFCL.445</w:t>
        </w:r>
      </w:hyperlink>
      <w:r w:rsidRPr="00744621">
        <w:rPr>
          <w:rFonts w:ascii="Arial" w:hAnsi="Arial" w:cs="Arial"/>
          <w:sz w:val="20"/>
        </w:rPr>
        <w:t>;</w:t>
      </w:r>
    </w:p>
    <w:p w14:paraId="41F49DB4" w14:textId="77777777" w:rsidR="00744621" w:rsidRPr="00744621" w:rsidRDefault="00744621" w:rsidP="00744621">
      <w:pPr>
        <w:pStyle w:val="ListParagraph"/>
        <w:numPr>
          <w:ilvl w:val="0"/>
          <w:numId w:val="276"/>
        </w:numPr>
        <w:tabs>
          <w:tab w:val="left" w:pos="706"/>
          <w:tab w:val="left" w:pos="707"/>
        </w:tabs>
        <w:spacing w:before="117"/>
        <w:jc w:val="both"/>
        <w:rPr>
          <w:rFonts w:ascii="Arial" w:hAnsi="Arial" w:cs="Arial"/>
          <w:sz w:val="20"/>
        </w:rPr>
      </w:pPr>
      <w:r w:rsidRPr="00744621">
        <w:rPr>
          <w:rFonts w:ascii="Arial" w:hAnsi="Arial" w:cs="Arial"/>
          <w:sz w:val="20"/>
        </w:rPr>
        <w:t>demonstrate</w:t>
      </w:r>
      <w:r w:rsidRPr="00744621">
        <w:rPr>
          <w:rFonts w:ascii="Arial" w:hAnsi="Arial" w:cs="Arial"/>
          <w:spacing w:val="-1"/>
          <w:sz w:val="20"/>
        </w:rPr>
        <w:t xml:space="preserve"> </w:t>
      </w:r>
      <w:r w:rsidRPr="00744621">
        <w:rPr>
          <w:rFonts w:ascii="Arial" w:hAnsi="Arial" w:cs="Arial"/>
          <w:sz w:val="20"/>
        </w:rPr>
        <w:t>relevant</w:t>
      </w:r>
      <w:r w:rsidRPr="00744621">
        <w:rPr>
          <w:rFonts w:ascii="Arial" w:hAnsi="Arial" w:cs="Arial"/>
          <w:spacing w:val="-1"/>
          <w:sz w:val="20"/>
        </w:rPr>
        <w:t xml:space="preserve"> </w:t>
      </w:r>
      <w:r w:rsidRPr="00744621">
        <w:rPr>
          <w:rFonts w:ascii="Arial" w:hAnsi="Arial" w:cs="Arial"/>
          <w:sz w:val="20"/>
        </w:rPr>
        <w:t>background</w:t>
      </w:r>
      <w:r w:rsidRPr="00744621">
        <w:rPr>
          <w:rFonts w:ascii="Arial" w:hAnsi="Arial" w:cs="Arial"/>
          <w:spacing w:val="-2"/>
          <w:sz w:val="20"/>
        </w:rPr>
        <w:t xml:space="preserve"> </w:t>
      </w:r>
      <w:r w:rsidRPr="00744621">
        <w:rPr>
          <w:rFonts w:ascii="Arial" w:hAnsi="Arial" w:cs="Arial"/>
          <w:sz w:val="20"/>
        </w:rPr>
        <w:t>related</w:t>
      </w:r>
      <w:r w:rsidRPr="00744621">
        <w:rPr>
          <w:rFonts w:ascii="Arial" w:hAnsi="Arial" w:cs="Arial"/>
          <w:spacing w:val="-5"/>
          <w:sz w:val="20"/>
        </w:rPr>
        <w:t xml:space="preserve"> </w:t>
      </w:r>
      <w:r w:rsidRPr="00744621">
        <w:rPr>
          <w:rFonts w:ascii="Arial" w:hAnsi="Arial" w:cs="Arial"/>
          <w:sz w:val="20"/>
        </w:rPr>
        <w:t>to the</w:t>
      </w:r>
      <w:r w:rsidRPr="00744621">
        <w:rPr>
          <w:rFonts w:ascii="Arial" w:hAnsi="Arial" w:cs="Arial"/>
          <w:spacing w:val="-3"/>
          <w:sz w:val="20"/>
        </w:rPr>
        <w:t xml:space="preserve"> </w:t>
      </w:r>
      <w:r w:rsidRPr="00744621">
        <w:rPr>
          <w:rFonts w:ascii="Arial" w:hAnsi="Arial" w:cs="Arial"/>
          <w:sz w:val="20"/>
        </w:rPr>
        <w:t>privileges</w:t>
      </w:r>
      <w:r w:rsidRPr="00744621">
        <w:rPr>
          <w:rFonts w:ascii="Arial" w:hAnsi="Arial" w:cs="Arial"/>
          <w:spacing w:val="-3"/>
          <w:sz w:val="20"/>
        </w:rPr>
        <w:t xml:space="preserve"> </w:t>
      </w:r>
      <w:r w:rsidRPr="00744621">
        <w:rPr>
          <w:rFonts w:ascii="Arial" w:hAnsi="Arial" w:cs="Arial"/>
          <w:sz w:val="20"/>
        </w:rPr>
        <w:t>of</w:t>
      </w:r>
      <w:r w:rsidRPr="00744621">
        <w:rPr>
          <w:rFonts w:ascii="Arial" w:hAnsi="Arial" w:cs="Arial"/>
          <w:spacing w:val="-2"/>
          <w:sz w:val="20"/>
        </w:rPr>
        <w:t xml:space="preserve"> </w:t>
      </w:r>
      <w:r w:rsidRPr="00744621">
        <w:rPr>
          <w:rFonts w:ascii="Arial" w:hAnsi="Arial" w:cs="Arial"/>
          <w:sz w:val="20"/>
        </w:rPr>
        <w:t>the FE(B)</w:t>
      </w:r>
      <w:r w:rsidRPr="00744621">
        <w:rPr>
          <w:rFonts w:ascii="Arial" w:hAnsi="Arial" w:cs="Arial"/>
          <w:spacing w:val="-4"/>
          <w:sz w:val="20"/>
        </w:rPr>
        <w:t xml:space="preserve"> </w:t>
      </w:r>
      <w:r w:rsidRPr="00744621">
        <w:rPr>
          <w:rFonts w:ascii="Arial" w:hAnsi="Arial" w:cs="Arial"/>
          <w:sz w:val="20"/>
        </w:rPr>
        <w:t>certificate;</w:t>
      </w:r>
      <w:r w:rsidRPr="00744621">
        <w:rPr>
          <w:rFonts w:ascii="Arial" w:hAnsi="Arial" w:cs="Arial"/>
          <w:spacing w:val="-1"/>
          <w:sz w:val="20"/>
        </w:rPr>
        <w:t xml:space="preserve"> </w:t>
      </w:r>
      <w:r w:rsidRPr="00744621">
        <w:rPr>
          <w:rFonts w:ascii="Arial" w:hAnsi="Arial" w:cs="Arial"/>
          <w:sz w:val="20"/>
        </w:rPr>
        <w:t>and</w:t>
      </w:r>
    </w:p>
    <w:p w14:paraId="6052DC4E" w14:textId="5FDC8080" w:rsidR="00744621" w:rsidRPr="00744621" w:rsidRDefault="00744621" w:rsidP="00D91E6C">
      <w:pPr>
        <w:pStyle w:val="ListParagraph"/>
        <w:numPr>
          <w:ilvl w:val="0"/>
          <w:numId w:val="276"/>
        </w:numPr>
        <w:tabs>
          <w:tab w:val="left" w:pos="707"/>
        </w:tabs>
        <w:spacing w:before="121"/>
        <w:ind w:right="68"/>
        <w:jc w:val="both"/>
        <w:rPr>
          <w:rFonts w:ascii="Arial" w:hAnsi="Arial" w:cs="Arial"/>
          <w:sz w:val="20"/>
        </w:rPr>
      </w:pPr>
      <w:r w:rsidRPr="00744621">
        <w:rPr>
          <w:rFonts w:ascii="Arial" w:hAnsi="Arial" w:cs="Arial"/>
          <w:sz w:val="20"/>
        </w:rPr>
        <w:t>demonstrate that he or she has not been subject to any sanctions, including the suspension,</w:t>
      </w:r>
      <w:r w:rsidRPr="00744621">
        <w:rPr>
          <w:rFonts w:ascii="Arial" w:hAnsi="Arial" w:cs="Arial"/>
          <w:spacing w:val="1"/>
          <w:sz w:val="20"/>
        </w:rPr>
        <w:t xml:space="preserve"> </w:t>
      </w:r>
      <w:r w:rsidRPr="00744621">
        <w:rPr>
          <w:rFonts w:ascii="Arial" w:hAnsi="Arial" w:cs="Arial"/>
          <w:sz w:val="20"/>
        </w:rPr>
        <w:t>limitation</w:t>
      </w:r>
      <w:r w:rsidRPr="00744621">
        <w:rPr>
          <w:rFonts w:ascii="Arial" w:hAnsi="Arial" w:cs="Arial"/>
          <w:spacing w:val="-5"/>
          <w:sz w:val="20"/>
        </w:rPr>
        <w:t xml:space="preserve"> </w:t>
      </w:r>
      <w:r w:rsidRPr="00744621">
        <w:rPr>
          <w:rFonts w:ascii="Arial" w:hAnsi="Arial" w:cs="Arial"/>
          <w:sz w:val="20"/>
        </w:rPr>
        <w:t>or</w:t>
      </w:r>
      <w:r w:rsidRPr="00744621">
        <w:rPr>
          <w:rFonts w:ascii="Arial" w:hAnsi="Arial" w:cs="Arial"/>
          <w:spacing w:val="-2"/>
          <w:sz w:val="20"/>
        </w:rPr>
        <w:t xml:space="preserve"> </w:t>
      </w:r>
      <w:r w:rsidRPr="00744621">
        <w:rPr>
          <w:rFonts w:ascii="Arial" w:hAnsi="Arial" w:cs="Arial"/>
          <w:sz w:val="20"/>
        </w:rPr>
        <w:t>revocation</w:t>
      </w:r>
      <w:r w:rsidRPr="00744621">
        <w:rPr>
          <w:rFonts w:ascii="Arial" w:hAnsi="Arial" w:cs="Arial"/>
          <w:spacing w:val="-5"/>
          <w:sz w:val="20"/>
        </w:rPr>
        <w:t xml:space="preserve"> </w:t>
      </w:r>
      <w:r w:rsidRPr="00744621">
        <w:rPr>
          <w:rFonts w:ascii="Arial" w:hAnsi="Arial" w:cs="Arial"/>
          <w:sz w:val="20"/>
        </w:rPr>
        <w:t>of</w:t>
      </w:r>
      <w:r w:rsidRPr="00744621">
        <w:rPr>
          <w:rFonts w:ascii="Arial" w:hAnsi="Arial" w:cs="Arial"/>
          <w:spacing w:val="-5"/>
          <w:sz w:val="20"/>
        </w:rPr>
        <w:t xml:space="preserve"> </w:t>
      </w:r>
      <w:r w:rsidRPr="00744621">
        <w:rPr>
          <w:rFonts w:ascii="Arial" w:hAnsi="Arial" w:cs="Arial"/>
          <w:sz w:val="20"/>
        </w:rPr>
        <w:t>any</w:t>
      </w:r>
      <w:r w:rsidRPr="00744621">
        <w:rPr>
          <w:rFonts w:ascii="Arial" w:hAnsi="Arial" w:cs="Arial"/>
          <w:spacing w:val="-2"/>
          <w:sz w:val="20"/>
        </w:rPr>
        <w:t xml:space="preserve"> </w:t>
      </w:r>
      <w:r w:rsidRPr="00744621">
        <w:rPr>
          <w:rFonts w:ascii="Arial" w:hAnsi="Arial" w:cs="Arial"/>
          <w:sz w:val="20"/>
        </w:rPr>
        <w:t>of</w:t>
      </w:r>
      <w:r w:rsidRPr="00744621">
        <w:rPr>
          <w:rFonts w:ascii="Arial" w:hAnsi="Arial" w:cs="Arial"/>
          <w:spacing w:val="-5"/>
          <w:sz w:val="20"/>
        </w:rPr>
        <w:t xml:space="preserve"> </w:t>
      </w:r>
      <w:r w:rsidRPr="00744621">
        <w:rPr>
          <w:rFonts w:ascii="Arial" w:hAnsi="Arial" w:cs="Arial"/>
          <w:sz w:val="20"/>
        </w:rPr>
        <w:t>his</w:t>
      </w:r>
      <w:r w:rsidRPr="00744621">
        <w:rPr>
          <w:rFonts w:ascii="Arial" w:hAnsi="Arial" w:cs="Arial"/>
          <w:spacing w:val="-5"/>
          <w:sz w:val="20"/>
        </w:rPr>
        <w:t xml:space="preserve"> </w:t>
      </w:r>
      <w:r w:rsidRPr="00744621">
        <w:rPr>
          <w:rFonts w:ascii="Arial" w:hAnsi="Arial" w:cs="Arial"/>
          <w:sz w:val="20"/>
        </w:rPr>
        <w:t>or</w:t>
      </w:r>
      <w:r w:rsidRPr="00744621">
        <w:rPr>
          <w:rFonts w:ascii="Arial" w:hAnsi="Arial" w:cs="Arial"/>
          <w:spacing w:val="-2"/>
          <w:sz w:val="20"/>
        </w:rPr>
        <w:t xml:space="preserve"> </w:t>
      </w:r>
      <w:r w:rsidRPr="00744621">
        <w:rPr>
          <w:rFonts w:ascii="Arial" w:hAnsi="Arial" w:cs="Arial"/>
          <w:sz w:val="20"/>
        </w:rPr>
        <w:t>her</w:t>
      </w:r>
      <w:r w:rsidRPr="00744621">
        <w:rPr>
          <w:rFonts w:ascii="Arial" w:hAnsi="Arial" w:cs="Arial"/>
          <w:spacing w:val="-4"/>
          <w:sz w:val="20"/>
        </w:rPr>
        <w:t xml:space="preserve"> </w:t>
      </w:r>
      <w:r w:rsidRPr="00744621">
        <w:rPr>
          <w:rFonts w:ascii="Arial" w:hAnsi="Arial" w:cs="Arial"/>
          <w:sz w:val="20"/>
        </w:rPr>
        <w:t>licences,</w:t>
      </w:r>
      <w:r w:rsidRPr="00744621">
        <w:rPr>
          <w:rFonts w:ascii="Arial" w:hAnsi="Arial" w:cs="Arial"/>
          <w:spacing w:val="-1"/>
          <w:sz w:val="20"/>
        </w:rPr>
        <w:t xml:space="preserve"> </w:t>
      </w:r>
      <w:r w:rsidRPr="00744621">
        <w:rPr>
          <w:rFonts w:ascii="Arial" w:hAnsi="Arial" w:cs="Arial"/>
          <w:sz w:val="20"/>
        </w:rPr>
        <w:t>ratings</w:t>
      </w:r>
      <w:r w:rsidRPr="00744621">
        <w:rPr>
          <w:rFonts w:ascii="Arial" w:hAnsi="Arial" w:cs="Arial"/>
          <w:spacing w:val="-2"/>
          <w:sz w:val="20"/>
        </w:rPr>
        <w:t xml:space="preserve"> </w:t>
      </w:r>
      <w:r w:rsidRPr="00744621">
        <w:rPr>
          <w:rFonts w:ascii="Arial" w:hAnsi="Arial" w:cs="Arial"/>
          <w:sz w:val="20"/>
        </w:rPr>
        <w:t>or</w:t>
      </w:r>
      <w:r w:rsidRPr="00744621">
        <w:rPr>
          <w:rFonts w:ascii="Arial" w:hAnsi="Arial" w:cs="Arial"/>
          <w:spacing w:val="-5"/>
          <w:sz w:val="20"/>
        </w:rPr>
        <w:t xml:space="preserve"> </w:t>
      </w:r>
      <w:r w:rsidRPr="00744621">
        <w:rPr>
          <w:rFonts w:ascii="Arial" w:hAnsi="Arial" w:cs="Arial"/>
          <w:sz w:val="20"/>
        </w:rPr>
        <w:t>certificates</w:t>
      </w:r>
      <w:r w:rsidRPr="00744621">
        <w:rPr>
          <w:rFonts w:ascii="Arial" w:hAnsi="Arial" w:cs="Arial"/>
          <w:spacing w:val="-1"/>
          <w:sz w:val="20"/>
        </w:rPr>
        <w:t xml:space="preserve"> </w:t>
      </w:r>
      <w:r w:rsidRPr="00744621">
        <w:rPr>
          <w:rFonts w:ascii="Arial" w:hAnsi="Arial" w:cs="Arial"/>
          <w:sz w:val="20"/>
        </w:rPr>
        <w:t>issued</w:t>
      </w:r>
      <w:r w:rsidRPr="00744621">
        <w:rPr>
          <w:rFonts w:ascii="Arial" w:hAnsi="Arial" w:cs="Arial"/>
          <w:spacing w:val="-5"/>
          <w:sz w:val="20"/>
        </w:rPr>
        <w:t xml:space="preserve"> </w:t>
      </w:r>
      <w:r w:rsidRPr="00744621">
        <w:rPr>
          <w:rFonts w:ascii="Arial" w:hAnsi="Arial" w:cs="Arial"/>
          <w:sz w:val="20"/>
        </w:rPr>
        <w:t>in</w:t>
      </w:r>
      <w:r w:rsidRPr="00744621">
        <w:rPr>
          <w:rFonts w:ascii="Arial" w:hAnsi="Arial" w:cs="Arial"/>
          <w:spacing w:val="-3"/>
          <w:sz w:val="20"/>
        </w:rPr>
        <w:t xml:space="preserve"> </w:t>
      </w:r>
      <w:r w:rsidRPr="00744621">
        <w:rPr>
          <w:rFonts w:ascii="Arial" w:hAnsi="Arial" w:cs="Arial"/>
          <w:sz w:val="20"/>
        </w:rPr>
        <w:t>accordance</w:t>
      </w:r>
      <w:r w:rsidRPr="00744621">
        <w:rPr>
          <w:rFonts w:ascii="Arial" w:hAnsi="Arial" w:cs="Arial"/>
          <w:spacing w:val="-48"/>
          <w:sz w:val="20"/>
        </w:rPr>
        <w:t xml:space="preserve"> </w:t>
      </w:r>
      <w:r w:rsidRPr="00744621">
        <w:rPr>
          <w:rFonts w:ascii="Arial" w:hAnsi="Arial" w:cs="Arial"/>
          <w:sz w:val="20"/>
        </w:rPr>
        <w:t xml:space="preserve">with this Annex, with Annex I (Part-FCL) to </w:t>
      </w:r>
      <w:hyperlink r:id="rId87" w:history="1">
        <w:r w:rsidR="004E5319">
          <w:rPr>
            <w:rStyle w:val="Hyperlink"/>
            <w:rFonts w:ascii="Arial" w:hAnsi="Arial" w:cs="Arial"/>
            <w:sz w:val="20"/>
            <w:szCs w:val="20"/>
          </w:rPr>
          <w:t>the order N 3-N of the Minister of Territorial Administration and Infrastructure of RA, dated 11.02.2022</w:t>
        </w:r>
      </w:hyperlink>
      <w:r w:rsidRPr="00744621">
        <w:rPr>
          <w:rFonts w:ascii="Arial" w:hAnsi="Arial" w:cs="Arial"/>
          <w:sz w:val="20"/>
        </w:rPr>
        <w:t xml:space="preserve">, for non-compliance with </w:t>
      </w:r>
      <w:hyperlink r:id="rId88" w:history="1">
        <w:r w:rsidR="005C2A3C" w:rsidRPr="004073D2">
          <w:rPr>
            <w:rStyle w:val="Hyperlink"/>
            <w:rFonts w:ascii="Arial" w:hAnsi="Arial" w:cs="Arial"/>
            <w:sz w:val="20"/>
            <w:szCs w:val="20"/>
          </w:rPr>
          <w:t>Law on Aviation of the Republic of Armenia</w:t>
        </w:r>
      </w:hyperlink>
      <w:r w:rsidR="005C2A3C">
        <w:rPr>
          <w:rFonts w:ascii="Arial" w:hAnsi="Arial" w:cs="Arial"/>
          <w:sz w:val="20"/>
          <w:szCs w:val="20"/>
        </w:rPr>
        <w:t xml:space="preserve"> </w:t>
      </w:r>
      <w:r w:rsidRPr="00744621">
        <w:rPr>
          <w:rFonts w:ascii="Arial" w:hAnsi="Arial" w:cs="Arial"/>
          <w:sz w:val="20"/>
        </w:rPr>
        <w:t>and</w:t>
      </w:r>
      <w:r w:rsidRPr="00744621">
        <w:rPr>
          <w:rFonts w:ascii="Arial" w:hAnsi="Arial" w:cs="Arial"/>
          <w:spacing w:val="-1"/>
          <w:sz w:val="20"/>
        </w:rPr>
        <w:t xml:space="preserve"> </w:t>
      </w:r>
      <w:r w:rsidRPr="00744621">
        <w:rPr>
          <w:rFonts w:ascii="Arial" w:hAnsi="Arial" w:cs="Arial"/>
          <w:sz w:val="20"/>
        </w:rPr>
        <w:t>its delegated and</w:t>
      </w:r>
      <w:r w:rsidRPr="00744621">
        <w:rPr>
          <w:rFonts w:ascii="Arial" w:hAnsi="Arial" w:cs="Arial"/>
          <w:spacing w:val="-2"/>
          <w:sz w:val="20"/>
        </w:rPr>
        <w:t xml:space="preserve"> </w:t>
      </w:r>
      <w:r w:rsidRPr="00744621">
        <w:rPr>
          <w:rFonts w:ascii="Arial" w:hAnsi="Arial" w:cs="Arial"/>
          <w:sz w:val="20"/>
        </w:rPr>
        <w:t>implementing</w:t>
      </w:r>
      <w:r w:rsidRPr="00744621">
        <w:rPr>
          <w:rFonts w:ascii="Arial" w:hAnsi="Arial" w:cs="Arial"/>
          <w:spacing w:val="-1"/>
          <w:sz w:val="20"/>
        </w:rPr>
        <w:t xml:space="preserve"> </w:t>
      </w:r>
      <w:r w:rsidRPr="00744621">
        <w:rPr>
          <w:rFonts w:ascii="Arial" w:hAnsi="Arial" w:cs="Arial"/>
          <w:sz w:val="20"/>
        </w:rPr>
        <w:t>acts</w:t>
      </w:r>
      <w:r w:rsidRPr="00744621">
        <w:rPr>
          <w:rFonts w:ascii="Arial" w:hAnsi="Arial" w:cs="Arial"/>
          <w:spacing w:val="-1"/>
          <w:sz w:val="20"/>
        </w:rPr>
        <w:t xml:space="preserve"> </w:t>
      </w:r>
      <w:r w:rsidRPr="00744621">
        <w:rPr>
          <w:rFonts w:ascii="Arial" w:hAnsi="Arial" w:cs="Arial"/>
          <w:sz w:val="20"/>
        </w:rPr>
        <w:t>during</w:t>
      </w:r>
      <w:r w:rsidRPr="00744621">
        <w:rPr>
          <w:rFonts w:ascii="Arial" w:hAnsi="Arial" w:cs="Arial"/>
          <w:spacing w:val="-2"/>
          <w:sz w:val="20"/>
        </w:rPr>
        <w:t xml:space="preserve"> </w:t>
      </w:r>
      <w:r w:rsidRPr="00744621">
        <w:rPr>
          <w:rFonts w:ascii="Arial" w:hAnsi="Arial" w:cs="Arial"/>
          <w:sz w:val="20"/>
        </w:rPr>
        <w:t>the</w:t>
      </w:r>
      <w:r w:rsidRPr="00744621">
        <w:rPr>
          <w:rFonts w:ascii="Arial" w:hAnsi="Arial" w:cs="Arial"/>
          <w:spacing w:val="1"/>
          <w:sz w:val="20"/>
        </w:rPr>
        <w:t xml:space="preserve"> </w:t>
      </w:r>
      <w:r w:rsidRPr="00744621">
        <w:rPr>
          <w:rFonts w:ascii="Arial" w:hAnsi="Arial" w:cs="Arial"/>
          <w:sz w:val="20"/>
        </w:rPr>
        <w:t>last three</w:t>
      </w:r>
      <w:r w:rsidRPr="00744621">
        <w:rPr>
          <w:rFonts w:ascii="Arial" w:hAnsi="Arial" w:cs="Arial"/>
          <w:spacing w:val="-2"/>
          <w:sz w:val="20"/>
        </w:rPr>
        <w:t xml:space="preserve"> </w:t>
      </w:r>
      <w:r w:rsidRPr="00744621">
        <w:rPr>
          <w:rFonts w:ascii="Arial" w:hAnsi="Arial" w:cs="Arial"/>
          <w:sz w:val="20"/>
        </w:rPr>
        <w:t>years.</w:t>
      </w:r>
    </w:p>
    <w:p w14:paraId="65DA74F9" w14:textId="77777777" w:rsidR="00E611A3" w:rsidRPr="00E611A3" w:rsidRDefault="00E611A3" w:rsidP="00E611A3">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763" w:name="AMC1_BFCL.420(d)__FE(B)_certificate_–_Pr"/>
      <w:bookmarkStart w:id="764" w:name="_bookmark312"/>
      <w:bookmarkStart w:id="765" w:name="_Toc153137477"/>
      <w:bookmarkEnd w:id="763"/>
      <w:bookmarkEnd w:id="764"/>
      <w:r w:rsidRPr="00E611A3">
        <w:rPr>
          <w:rFonts w:ascii="Arial" w:eastAsia="Times New Roman" w:hAnsi="Arial" w:cs="Times New Roman"/>
          <w:b/>
          <w:color w:val="FFFFFF"/>
          <w:sz w:val="24"/>
        </w:rPr>
        <w:t>AMC1 BFCL.420(d) FE(B) certificate – Prerequisites and requirements</w:t>
      </w:r>
      <w:bookmarkEnd w:id="765"/>
    </w:p>
    <w:p w14:paraId="08C67018" w14:textId="77777777" w:rsidR="00E611A3" w:rsidRPr="00E611A3" w:rsidRDefault="00E611A3" w:rsidP="00E611A3">
      <w:pPr>
        <w:widowControl/>
        <w:autoSpaceDE/>
        <w:autoSpaceDN/>
        <w:spacing w:before="240" w:after="160" w:line="264" w:lineRule="auto"/>
        <w:jc w:val="both"/>
        <w:rPr>
          <w:rFonts w:ascii="Arial" w:eastAsiaTheme="minorHAnsi" w:hAnsi="Arial" w:cs="Arial"/>
          <w:b/>
          <w:bCs/>
          <w:sz w:val="20"/>
          <w:szCs w:val="20"/>
        </w:rPr>
      </w:pPr>
      <w:r w:rsidRPr="00E611A3">
        <w:rPr>
          <w:rFonts w:ascii="Arial" w:eastAsiaTheme="minorHAnsi" w:hAnsi="Arial" w:cs="Arial"/>
          <w:b/>
          <w:bCs/>
          <w:sz w:val="20"/>
          <w:szCs w:val="20"/>
        </w:rPr>
        <w:t>EVALUATION OF THE RELEVANT BACKGROUND OF AN APPLICANT</w:t>
      </w:r>
    </w:p>
    <w:p w14:paraId="3FC6F0F5" w14:textId="6C8DBEDD" w:rsidR="00E611A3" w:rsidRPr="00E611A3" w:rsidRDefault="00E611A3" w:rsidP="00D91E6C">
      <w:pPr>
        <w:pStyle w:val="BodyText"/>
        <w:spacing w:before="116" w:line="276" w:lineRule="auto"/>
        <w:ind w:right="68"/>
        <w:jc w:val="both"/>
        <w:rPr>
          <w:rFonts w:ascii="Arial" w:hAnsi="Arial" w:cs="Arial"/>
          <w:sz w:val="20"/>
        </w:rPr>
      </w:pPr>
      <w:r w:rsidRPr="00E611A3">
        <w:rPr>
          <w:rFonts w:ascii="Arial" w:hAnsi="Arial" w:cs="Arial"/>
          <w:sz w:val="20"/>
        </w:rPr>
        <w:t>When</w:t>
      </w:r>
      <w:r w:rsidRPr="00E611A3">
        <w:rPr>
          <w:rFonts w:ascii="Arial" w:hAnsi="Arial" w:cs="Arial"/>
          <w:spacing w:val="1"/>
          <w:sz w:val="20"/>
        </w:rPr>
        <w:t xml:space="preserve"> </w:t>
      </w:r>
      <w:r w:rsidRPr="00E611A3">
        <w:rPr>
          <w:rFonts w:ascii="Arial" w:hAnsi="Arial" w:cs="Arial"/>
          <w:sz w:val="20"/>
        </w:rPr>
        <w:t>evaluating</w:t>
      </w:r>
      <w:r w:rsidRPr="00E611A3">
        <w:rPr>
          <w:rFonts w:ascii="Arial" w:hAnsi="Arial" w:cs="Arial"/>
          <w:spacing w:val="1"/>
          <w:sz w:val="20"/>
        </w:rPr>
        <w:t xml:space="preserve"> </w:t>
      </w:r>
      <w:r w:rsidRPr="00E611A3">
        <w:rPr>
          <w:rFonts w:ascii="Arial" w:hAnsi="Arial" w:cs="Arial"/>
          <w:sz w:val="20"/>
        </w:rPr>
        <w:t>the</w:t>
      </w:r>
      <w:r w:rsidRPr="00E611A3">
        <w:rPr>
          <w:rFonts w:ascii="Arial" w:hAnsi="Arial" w:cs="Arial"/>
          <w:spacing w:val="1"/>
          <w:sz w:val="20"/>
        </w:rPr>
        <w:t xml:space="preserve"> </w:t>
      </w:r>
      <w:r w:rsidRPr="00E611A3">
        <w:rPr>
          <w:rFonts w:ascii="Arial" w:hAnsi="Arial" w:cs="Arial"/>
          <w:sz w:val="20"/>
        </w:rPr>
        <w:t>applicant’s</w:t>
      </w:r>
      <w:r w:rsidRPr="00E611A3">
        <w:rPr>
          <w:rFonts w:ascii="Arial" w:hAnsi="Arial" w:cs="Arial"/>
          <w:spacing w:val="1"/>
          <w:sz w:val="20"/>
        </w:rPr>
        <w:t xml:space="preserve"> </w:t>
      </w:r>
      <w:r w:rsidRPr="00E611A3">
        <w:rPr>
          <w:rFonts w:ascii="Arial" w:hAnsi="Arial" w:cs="Arial"/>
          <w:sz w:val="20"/>
        </w:rPr>
        <w:t>background,</w:t>
      </w:r>
      <w:r w:rsidRPr="00E611A3">
        <w:rPr>
          <w:rFonts w:ascii="Arial" w:hAnsi="Arial" w:cs="Arial"/>
          <w:spacing w:val="1"/>
          <w:sz w:val="20"/>
        </w:rPr>
        <w:t xml:space="preserve"> </w:t>
      </w:r>
      <w:r w:rsidRPr="00E611A3">
        <w:rPr>
          <w:rFonts w:ascii="Arial" w:hAnsi="Arial" w:cs="Arial"/>
          <w:sz w:val="20"/>
        </w:rPr>
        <w:t>the</w:t>
      </w:r>
      <w:r w:rsidRPr="00E611A3">
        <w:rPr>
          <w:rFonts w:ascii="Arial" w:hAnsi="Arial" w:cs="Arial"/>
          <w:spacing w:val="1"/>
          <w:sz w:val="20"/>
        </w:rPr>
        <w:t xml:space="preserve"> </w:t>
      </w:r>
      <w:r w:rsidR="003C6906">
        <w:rPr>
          <w:rFonts w:ascii="Arial" w:hAnsi="Arial" w:cs="Arial"/>
          <w:sz w:val="20"/>
          <w:szCs w:val="20"/>
        </w:rPr>
        <w:t xml:space="preserve">CAC RA </w:t>
      </w:r>
      <w:r w:rsidRPr="00E611A3">
        <w:rPr>
          <w:rFonts w:ascii="Arial" w:hAnsi="Arial" w:cs="Arial"/>
          <w:sz w:val="20"/>
        </w:rPr>
        <w:t>should</w:t>
      </w:r>
      <w:r w:rsidRPr="00E611A3">
        <w:rPr>
          <w:rFonts w:ascii="Arial" w:hAnsi="Arial" w:cs="Arial"/>
          <w:spacing w:val="1"/>
          <w:sz w:val="20"/>
        </w:rPr>
        <w:t xml:space="preserve"> </w:t>
      </w:r>
      <w:r w:rsidRPr="00E611A3">
        <w:rPr>
          <w:rFonts w:ascii="Arial" w:hAnsi="Arial" w:cs="Arial"/>
          <w:sz w:val="20"/>
        </w:rPr>
        <w:t>evaluate</w:t>
      </w:r>
      <w:r w:rsidRPr="00E611A3">
        <w:rPr>
          <w:rFonts w:ascii="Arial" w:hAnsi="Arial" w:cs="Arial"/>
          <w:spacing w:val="1"/>
          <w:sz w:val="20"/>
        </w:rPr>
        <w:t xml:space="preserve"> </w:t>
      </w:r>
      <w:r w:rsidRPr="00E611A3">
        <w:rPr>
          <w:rFonts w:ascii="Arial" w:hAnsi="Arial" w:cs="Arial"/>
          <w:sz w:val="20"/>
        </w:rPr>
        <w:t>the</w:t>
      </w:r>
      <w:r w:rsidRPr="00E611A3">
        <w:rPr>
          <w:rFonts w:ascii="Arial" w:hAnsi="Arial" w:cs="Arial"/>
          <w:spacing w:val="1"/>
          <w:sz w:val="20"/>
        </w:rPr>
        <w:t xml:space="preserve"> </w:t>
      </w:r>
      <w:r w:rsidRPr="00E611A3">
        <w:rPr>
          <w:rFonts w:ascii="Arial" w:hAnsi="Arial" w:cs="Arial"/>
          <w:sz w:val="20"/>
        </w:rPr>
        <w:t>personality</w:t>
      </w:r>
      <w:r w:rsidRPr="00E611A3">
        <w:rPr>
          <w:rFonts w:ascii="Arial" w:hAnsi="Arial" w:cs="Arial"/>
          <w:spacing w:val="-1"/>
          <w:sz w:val="20"/>
        </w:rPr>
        <w:t xml:space="preserve"> </w:t>
      </w:r>
      <w:r w:rsidRPr="00E611A3">
        <w:rPr>
          <w:rFonts w:ascii="Arial" w:hAnsi="Arial" w:cs="Arial"/>
          <w:sz w:val="20"/>
        </w:rPr>
        <w:t>and</w:t>
      </w:r>
      <w:r w:rsidRPr="00E611A3">
        <w:rPr>
          <w:rFonts w:ascii="Arial" w:hAnsi="Arial" w:cs="Arial"/>
          <w:spacing w:val="-1"/>
          <w:sz w:val="20"/>
        </w:rPr>
        <w:t xml:space="preserve"> </w:t>
      </w:r>
      <w:r w:rsidRPr="00E611A3">
        <w:rPr>
          <w:rFonts w:ascii="Arial" w:hAnsi="Arial" w:cs="Arial"/>
          <w:sz w:val="20"/>
        </w:rPr>
        <w:t>character</w:t>
      </w:r>
      <w:r w:rsidRPr="00E611A3">
        <w:rPr>
          <w:rFonts w:ascii="Arial" w:hAnsi="Arial" w:cs="Arial"/>
          <w:spacing w:val="-3"/>
          <w:sz w:val="20"/>
        </w:rPr>
        <w:t xml:space="preserve"> </w:t>
      </w:r>
      <w:r w:rsidRPr="00E611A3">
        <w:rPr>
          <w:rFonts w:ascii="Arial" w:hAnsi="Arial" w:cs="Arial"/>
          <w:sz w:val="20"/>
        </w:rPr>
        <w:t>of the applicant,</w:t>
      </w:r>
      <w:r w:rsidRPr="00E611A3">
        <w:rPr>
          <w:rFonts w:ascii="Arial" w:hAnsi="Arial" w:cs="Arial"/>
          <w:spacing w:val="-3"/>
          <w:sz w:val="20"/>
        </w:rPr>
        <w:t xml:space="preserve"> </w:t>
      </w:r>
      <w:r w:rsidRPr="00E611A3">
        <w:rPr>
          <w:rFonts w:ascii="Arial" w:hAnsi="Arial" w:cs="Arial"/>
          <w:sz w:val="20"/>
        </w:rPr>
        <w:t>and</w:t>
      </w:r>
      <w:r w:rsidRPr="00E611A3">
        <w:rPr>
          <w:rFonts w:ascii="Arial" w:hAnsi="Arial" w:cs="Arial"/>
          <w:spacing w:val="-1"/>
          <w:sz w:val="20"/>
        </w:rPr>
        <w:t xml:space="preserve"> </w:t>
      </w:r>
      <w:r w:rsidRPr="00E611A3">
        <w:rPr>
          <w:rFonts w:ascii="Arial" w:hAnsi="Arial" w:cs="Arial"/>
          <w:sz w:val="20"/>
        </w:rPr>
        <w:t>their</w:t>
      </w:r>
      <w:r w:rsidRPr="00E611A3">
        <w:rPr>
          <w:rFonts w:ascii="Arial" w:hAnsi="Arial" w:cs="Arial"/>
          <w:spacing w:val="-2"/>
          <w:sz w:val="20"/>
        </w:rPr>
        <w:t xml:space="preserve"> </w:t>
      </w:r>
      <w:r w:rsidRPr="00E611A3">
        <w:rPr>
          <w:rFonts w:ascii="Arial" w:hAnsi="Arial" w:cs="Arial"/>
          <w:sz w:val="20"/>
        </w:rPr>
        <w:t>cooperation</w:t>
      </w:r>
      <w:r w:rsidRPr="00E611A3">
        <w:rPr>
          <w:rFonts w:ascii="Arial" w:hAnsi="Arial" w:cs="Arial"/>
          <w:spacing w:val="-2"/>
          <w:sz w:val="20"/>
        </w:rPr>
        <w:t xml:space="preserve"> </w:t>
      </w:r>
      <w:r w:rsidRPr="00E611A3">
        <w:rPr>
          <w:rFonts w:ascii="Arial" w:hAnsi="Arial" w:cs="Arial"/>
          <w:sz w:val="20"/>
        </w:rPr>
        <w:t>with</w:t>
      </w:r>
      <w:r w:rsidRPr="00E611A3">
        <w:rPr>
          <w:rFonts w:ascii="Arial" w:hAnsi="Arial" w:cs="Arial"/>
          <w:spacing w:val="-3"/>
          <w:sz w:val="20"/>
        </w:rPr>
        <w:t xml:space="preserve"> </w:t>
      </w:r>
      <w:r w:rsidRPr="00E611A3">
        <w:rPr>
          <w:rFonts w:ascii="Arial" w:hAnsi="Arial" w:cs="Arial"/>
          <w:sz w:val="20"/>
        </w:rPr>
        <w:t>the</w:t>
      </w:r>
      <w:r w:rsidRPr="00E611A3">
        <w:rPr>
          <w:rFonts w:ascii="Arial" w:hAnsi="Arial" w:cs="Arial"/>
          <w:spacing w:val="-2"/>
          <w:sz w:val="20"/>
        </w:rPr>
        <w:t xml:space="preserve"> </w:t>
      </w:r>
      <w:r w:rsidR="003C6906">
        <w:rPr>
          <w:rFonts w:ascii="Arial" w:hAnsi="Arial" w:cs="Arial"/>
          <w:sz w:val="20"/>
          <w:szCs w:val="20"/>
        </w:rPr>
        <w:t>CAC RA</w:t>
      </w:r>
      <w:r w:rsidRPr="00E611A3">
        <w:rPr>
          <w:rFonts w:ascii="Arial" w:hAnsi="Arial" w:cs="Arial"/>
          <w:sz w:val="20"/>
        </w:rPr>
        <w:t>.</w:t>
      </w:r>
      <w:r w:rsidR="003C6906">
        <w:rPr>
          <w:rFonts w:ascii="Arial" w:hAnsi="Arial" w:cs="Arial"/>
          <w:sz w:val="20"/>
        </w:rPr>
        <w:t xml:space="preserve"> </w:t>
      </w:r>
    </w:p>
    <w:p w14:paraId="4E16AF3C" w14:textId="40DA17FC" w:rsidR="00744621" w:rsidRPr="00C1427A" w:rsidRDefault="00E611A3" w:rsidP="00D91E6C">
      <w:pPr>
        <w:pStyle w:val="BodyText"/>
        <w:spacing w:before="121" w:line="276" w:lineRule="auto"/>
        <w:ind w:right="68"/>
        <w:jc w:val="both"/>
        <w:rPr>
          <w:rFonts w:ascii="Arial" w:hAnsi="Arial" w:cs="Arial"/>
          <w:sz w:val="20"/>
        </w:rPr>
      </w:pPr>
      <w:r w:rsidRPr="00E611A3">
        <w:rPr>
          <w:rFonts w:ascii="Arial" w:hAnsi="Arial" w:cs="Arial"/>
          <w:sz w:val="20"/>
        </w:rPr>
        <w:t>The</w:t>
      </w:r>
      <w:r w:rsidRPr="00E611A3">
        <w:rPr>
          <w:rFonts w:ascii="Arial" w:hAnsi="Arial" w:cs="Arial"/>
          <w:spacing w:val="-7"/>
          <w:sz w:val="20"/>
        </w:rPr>
        <w:t xml:space="preserve"> </w:t>
      </w:r>
      <w:r w:rsidR="003C6906">
        <w:rPr>
          <w:rFonts w:ascii="Arial" w:hAnsi="Arial" w:cs="Arial"/>
          <w:sz w:val="20"/>
          <w:szCs w:val="20"/>
        </w:rPr>
        <w:t xml:space="preserve">CAC RA </w:t>
      </w:r>
      <w:r w:rsidRPr="00E611A3">
        <w:rPr>
          <w:rFonts w:ascii="Arial" w:hAnsi="Arial" w:cs="Arial"/>
          <w:sz w:val="20"/>
        </w:rPr>
        <w:t>may</w:t>
      </w:r>
      <w:r w:rsidRPr="00E611A3">
        <w:rPr>
          <w:rFonts w:ascii="Arial" w:hAnsi="Arial" w:cs="Arial"/>
          <w:spacing w:val="-5"/>
          <w:sz w:val="20"/>
        </w:rPr>
        <w:t xml:space="preserve"> </w:t>
      </w:r>
      <w:r w:rsidRPr="00E611A3">
        <w:rPr>
          <w:rFonts w:ascii="Arial" w:hAnsi="Arial" w:cs="Arial"/>
          <w:sz w:val="20"/>
        </w:rPr>
        <w:t>also</w:t>
      </w:r>
      <w:r w:rsidRPr="00E611A3">
        <w:rPr>
          <w:rFonts w:ascii="Arial" w:hAnsi="Arial" w:cs="Arial"/>
          <w:spacing w:val="-4"/>
          <w:sz w:val="20"/>
        </w:rPr>
        <w:t xml:space="preserve"> </w:t>
      </w:r>
      <w:r w:rsidRPr="00E611A3">
        <w:rPr>
          <w:rFonts w:ascii="Arial" w:hAnsi="Arial" w:cs="Arial"/>
          <w:sz w:val="20"/>
        </w:rPr>
        <w:t>take</w:t>
      </w:r>
      <w:r w:rsidRPr="00E611A3">
        <w:rPr>
          <w:rFonts w:ascii="Arial" w:hAnsi="Arial" w:cs="Arial"/>
          <w:spacing w:val="-5"/>
          <w:sz w:val="20"/>
        </w:rPr>
        <w:t xml:space="preserve"> </w:t>
      </w:r>
      <w:r w:rsidRPr="00E611A3">
        <w:rPr>
          <w:rFonts w:ascii="Arial" w:hAnsi="Arial" w:cs="Arial"/>
          <w:sz w:val="20"/>
        </w:rPr>
        <w:t>into</w:t>
      </w:r>
      <w:r w:rsidRPr="00E611A3">
        <w:rPr>
          <w:rFonts w:ascii="Arial" w:hAnsi="Arial" w:cs="Arial"/>
          <w:spacing w:val="-4"/>
          <w:sz w:val="20"/>
        </w:rPr>
        <w:t xml:space="preserve"> </w:t>
      </w:r>
      <w:r w:rsidRPr="00E611A3">
        <w:rPr>
          <w:rFonts w:ascii="Arial" w:hAnsi="Arial" w:cs="Arial"/>
          <w:sz w:val="20"/>
        </w:rPr>
        <w:t>account</w:t>
      </w:r>
      <w:r w:rsidRPr="00E611A3">
        <w:rPr>
          <w:rFonts w:ascii="Arial" w:hAnsi="Arial" w:cs="Arial"/>
          <w:spacing w:val="-5"/>
          <w:sz w:val="20"/>
        </w:rPr>
        <w:t xml:space="preserve"> </w:t>
      </w:r>
      <w:r w:rsidRPr="00E611A3">
        <w:rPr>
          <w:rFonts w:ascii="Arial" w:hAnsi="Arial" w:cs="Arial"/>
          <w:sz w:val="20"/>
        </w:rPr>
        <w:t>whether</w:t>
      </w:r>
      <w:r w:rsidRPr="00E611A3">
        <w:rPr>
          <w:rFonts w:ascii="Arial" w:hAnsi="Arial" w:cs="Arial"/>
          <w:spacing w:val="-5"/>
          <w:sz w:val="20"/>
        </w:rPr>
        <w:t xml:space="preserve"> </w:t>
      </w:r>
      <w:r w:rsidRPr="00E611A3">
        <w:rPr>
          <w:rFonts w:ascii="Arial" w:hAnsi="Arial" w:cs="Arial"/>
          <w:sz w:val="20"/>
        </w:rPr>
        <w:t>the</w:t>
      </w:r>
      <w:r w:rsidRPr="00E611A3">
        <w:rPr>
          <w:rFonts w:ascii="Arial" w:hAnsi="Arial" w:cs="Arial"/>
          <w:spacing w:val="-8"/>
          <w:sz w:val="20"/>
        </w:rPr>
        <w:t xml:space="preserve"> </w:t>
      </w:r>
      <w:r w:rsidRPr="00E611A3">
        <w:rPr>
          <w:rFonts w:ascii="Arial" w:hAnsi="Arial" w:cs="Arial"/>
          <w:sz w:val="20"/>
        </w:rPr>
        <w:t>applicant</w:t>
      </w:r>
      <w:r w:rsidRPr="00E611A3">
        <w:rPr>
          <w:rFonts w:ascii="Arial" w:hAnsi="Arial" w:cs="Arial"/>
          <w:spacing w:val="-5"/>
          <w:sz w:val="20"/>
        </w:rPr>
        <w:t xml:space="preserve"> </w:t>
      </w:r>
      <w:r w:rsidRPr="00E611A3">
        <w:rPr>
          <w:rFonts w:ascii="Arial" w:hAnsi="Arial" w:cs="Arial"/>
          <w:sz w:val="20"/>
        </w:rPr>
        <w:t>has</w:t>
      </w:r>
      <w:r w:rsidRPr="00E611A3">
        <w:rPr>
          <w:rFonts w:ascii="Arial" w:hAnsi="Arial" w:cs="Arial"/>
          <w:spacing w:val="-6"/>
          <w:sz w:val="20"/>
        </w:rPr>
        <w:t xml:space="preserve"> </w:t>
      </w:r>
      <w:r w:rsidRPr="00E611A3">
        <w:rPr>
          <w:rFonts w:ascii="Arial" w:hAnsi="Arial" w:cs="Arial"/>
          <w:sz w:val="20"/>
        </w:rPr>
        <w:t>been</w:t>
      </w:r>
      <w:r w:rsidRPr="00E611A3">
        <w:rPr>
          <w:rFonts w:ascii="Arial" w:hAnsi="Arial" w:cs="Arial"/>
          <w:spacing w:val="-6"/>
          <w:sz w:val="20"/>
        </w:rPr>
        <w:t xml:space="preserve"> </w:t>
      </w:r>
      <w:r w:rsidRPr="00E611A3">
        <w:rPr>
          <w:rFonts w:ascii="Arial" w:hAnsi="Arial" w:cs="Arial"/>
          <w:sz w:val="20"/>
        </w:rPr>
        <w:t>convicted</w:t>
      </w:r>
      <w:r w:rsidRPr="00E611A3">
        <w:rPr>
          <w:rFonts w:ascii="Arial" w:hAnsi="Arial" w:cs="Arial"/>
          <w:spacing w:val="-6"/>
          <w:sz w:val="20"/>
        </w:rPr>
        <w:t xml:space="preserve"> </w:t>
      </w:r>
      <w:r w:rsidRPr="00E611A3">
        <w:rPr>
          <w:rFonts w:ascii="Arial" w:hAnsi="Arial" w:cs="Arial"/>
          <w:sz w:val="20"/>
        </w:rPr>
        <w:t>of</w:t>
      </w:r>
      <w:r w:rsidRPr="00E611A3">
        <w:rPr>
          <w:rFonts w:ascii="Arial" w:hAnsi="Arial" w:cs="Arial"/>
          <w:spacing w:val="-6"/>
          <w:sz w:val="20"/>
        </w:rPr>
        <w:t xml:space="preserve"> </w:t>
      </w:r>
      <w:r w:rsidRPr="00E611A3">
        <w:rPr>
          <w:rFonts w:ascii="Arial" w:hAnsi="Arial" w:cs="Arial"/>
          <w:sz w:val="20"/>
        </w:rPr>
        <w:t>any</w:t>
      </w:r>
      <w:r w:rsidRPr="00E611A3">
        <w:rPr>
          <w:rFonts w:ascii="Arial" w:hAnsi="Arial" w:cs="Arial"/>
          <w:spacing w:val="-48"/>
          <w:sz w:val="20"/>
        </w:rPr>
        <w:t xml:space="preserve"> </w:t>
      </w:r>
      <w:r w:rsidRPr="00E611A3">
        <w:rPr>
          <w:rFonts w:ascii="Arial" w:hAnsi="Arial" w:cs="Arial"/>
          <w:sz w:val="20"/>
        </w:rPr>
        <w:t>relevant</w:t>
      </w:r>
      <w:r w:rsidRPr="00E611A3">
        <w:rPr>
          <w:rFonts w:ascii="Arial" w:hAnsi="Arial" w:cs="Arial"/>
          <w:spacing w:val="1"/>
          <w:sz w:val="20"/>
        </w:rPr>
        <w:t xml:space="preserve"> </w:t>
      </w:r>
      <w:r w:rsidRPr="00E611A3">
        <w:rPr>
          <w:rFonts w:ascii="Arial" w:hAnsi="Arial" w:cs="Arial"/>
          <w:sz w:val="20"/>
        </w:rPr>
        <w:t>criminal</w:t>
      </w:r>
      <w:r w:rsidRPr="00E611A3">
        <w:rPr>
          <w:rFonts w:ascii="Arial" w:hAnsi="Arial" w:cs="Arial"/>
          <w:spacing w:val="1"/>
          <w:sz w:val="20"/>
        </w:rPr>
        <w:t xml:space="preserve"> </w:t>
      </w:r>
      <w:r w:rsidRPr="00E611A3">
        <w:rPr>
          <w:rFonts w:ascii="Arial" w:hAnsi="Arial" w:cs="Arial"/>
          <w:sz w:val="20"/>
        </w:rPr>
        <w:t>or</w:t>
      </w:r>
      <w:r w:rsidRPr="00E611A3">
        <w:rPr>
          <w:rFonts w:ascii="Arial" w:hAnsi="Arial" w:cs="Arial"/>
          <w:spacing w:val="1"/>
          <w:sz w:val="20"/>
        </w:rPr>
        <w:t xml:space="preserve"> </w:t>
      </w:r>
      <w:r w:rsidRPr="00E611A3">
        <w:rPr>
          <w:rFonts w:ascii="Arial" w:hAnsi="Arial" w:cs="Arial"/>
          <w:sz w:val="20"/>
        </w:rPr>
        <w:t>other</w:t>
      </w:r>
      <w:r w:rsidRPr="00E611A3">
        <w:rPr>
          <w:rFonts w:ascii="Arial" w:hAnsi="Arial" w:cs="Arial"/>
          <w:spacing w:val="1"/>
          <w:sz w:val="20"/>
        </w:rPr>
        <w:t xml:space="preserve"> </w:t>
      </w:r>
      <w:r w:rsidRPr="00E611A3">
        <w:rPr>
          <w:rFonts w:ascii="Arial" w:hAnsi="Arial" w:cs="Arial"/>
          <w:sz w:val="20"/>
        </w:rPr>
        <w:t>offences,</w:t>
      </w:r>
      <w:r w:rsidRPr="00E611A3">
        <w:rPr>
          <w:rFonts w:ascii="Arial" w:hAnsi="Arial" w:cs="Arial"/>
          <w:spacing w:val="1"/>
          <w:sz w:val="20"/>
        </w:rPr>
        <w:t xml:space="preserve"> </w:t>
      </w:r>
      <w:r w:rsidRPr="00E611A3">
        <w:rPr>
          <w:rFonts w:ascii="Arial" w:hAnsi="Arial" w:cs="Arial"/>
          <w:sz w:val="20"/>
        </w:rPr>
        <w:t>taking</w:t>
      </w:r>
      <w:r w:rsidRPr="00E611A3">
        <w:rPr>
          <w:rFonts w:ascii="Arial" w:hAnsi="Arial" w:cs="Arial"/>
          <w:spacing w:val="1"/>
          <w:sz w:val="20"/>
        </w:rPr>
        <w:t xml:space="preserve"> </w:t>
      </w:r>
      <w:r w:rsidRPr="00E611A3">
        <w:rPr>
          <w:rFonts w:ascii="Arial" w:hAnsi="Arial" w:cs="Arial"/>
          <w:sz w:val="20"/>
        </w:rPr>
        <w:t>into</w:t>
      </w:r>
      <w:r w:rsidRPr="00E611A3">
        <w:rPr>
          <w:rFonts w:ascii="Arial" w:hAnsi="Arial" w:cs="Arial"/>
          <w:spacing w:val="1"/>
          <w:sz w:val="20"/>
        </w:rPr>
        <w:t xml:space="preserve"> </w:t>
      </w:r>
      <w:r w:rsidRPr="00E611A3">
        <w:rPr>
          <w:rFonts w:ascii="Arial" w:hAnsi="Arial" w:cs="Arial"/>
          <w:sz w:val="20"/>
        </w:rPr>
        <w:t>account</w:t>
      </w:r>
      <w:r w:rsidRPr="00E611A3">
        <w:rPr>
          <w:rFonts w:ascii="Arial" w:hAnsi="Arial" w:cs="Arial"/>
          <w:spacing w:val="1"/>
          <w:sz w:val="20"/>
        </w:rPr>
        <w:t xml:space="preserve"> </w:t>
      </w:r>
      <w:r w:rsidRPr="00E611A3">
        <w:rPr>
          <w:rFonts w:ascii="Arial" w:hAnsi="Arial" w:cs="Arial"/>
          <w:sz w:val="20"/>
        </w:rPr>
        <w:t>national</w:t>
      </w:r>
      <w:r w:rsidRPr="00E611A3">
        <w:rPr>
          <w:rFonts w:ascii="Arial" w:hAnsi="Arial" w:cs="Arial"/>
          <w:spacing w:val="1"/>
          <w:sz w:val="20"/>
        </w:rPr>
        <w:t xml:space="preserve"> </w:t>
      </w:r>
      <w:r w:rsidRPr="00E611A3">
        <w:rPr>
          <w:rFonts w:ascii="Arial" w:hAnsi="Arial" w:cs="Arial"/>
          <w:sz w:val="20"/>
        </w:rPr>
        <w:t>law</w:t>
      </w:r>
      <w:r w:rsidRPr="00E611A3">
        <w:rPr>
          <w:rFonts w:ascii="Arial" w:hAnsi="Arial" w:cs="Arial"/>
          <w:spacing w:val="1"/>
          <w:sz w:val="20"/>
        </w:rPr>
        <w:t xml:space="preserve"> </w:t>
      </w:r>
      <w:r w:rsidRPr="00E611A3">
        <w:rPr>
          <w:rFonts w:ascii="Arial" w:hAnsi="Arial" w:cs="Arial"/>
          <w:sz w:val="20"/>
        </w:rPr>
        <w:t>and</w:t>
      </w:r>
      <w:r w:rsidRPr="00E611A3">
        <w:rPr>
          <w:rFonts w:ascii="Arial" w:hAnsi="Arial" w:cs="Arial"/>
          <w:spacing w:val="1"/>
          <w:sz w:val="20"/>
        </w:rPr>
        <w:t xml:space="preserve"> </w:t>
      </w:r>
      <w:r w:rsidRPr="00E611A3">
        <w:rPr>
          <w:rFonts w:ascii="Arial" w:hAnsi="Arial" w:cs="Arial"/>
          <w:sz w:val="20"/>
        </w:rPr>
        <w:t>principles</w:t>
      </w:r>
      <w:r w:rsidRPr="00E611A3">
        <w:rPr>
          <w:rFonts w:ascii="Arial" w:hAnsi="Arial" w:cs="Arial"/>
          <w:spacing w:val="1"/>
          <w:sz w:val="20"/>
        </w:rPr>
        <w:t xml:space="preserve"> </w:t>
      </w:r>
      <w:r w:rsidRPr="00E611A3">
        <w:rPr>
          <w:rFonts w:ascii="Arial" w:hAnsi="Arial" w:cs="Arial"/>
          <w:sz w:val="20"/>
        </w:rPr>
        <w:t>of</w:t>
      </w:r>
      <w:r w:rsidRPr="00E611A3">
        <w:rPr>
          <w:rFonts w:ascii="Arial" w:hAnsi="Arial" w:cs="Arial"/>
          <w:spacing w:val="1"/>
          <w:sz w:val="20"/>
        </w:rPr>
        <w:t xml:space="preserve"> </w:t>
      </w:r>
      <w:r w:rsidRPr="00E611A3">
        <w:rPr>
          <w:rFonts w:ascii="Arial" w:hAnsi="Arial" w:cs="Arial"/>
          <w:sz w:val="20"/>
        </w:rPr>
        <w:t>non-</w:t>
      </w:r>
      <w:r w:rsidRPr="00E611A3">
        <w:rPr>
          <w:rFonts w:ascii="Arial" w:hAnsi="Arial" w:cs="Arial"/>
          <w:spacing w:val="1"/>
          <w:sz w:val="20"/>
        </w:rPr>
        <w:t xml:space="preserve"> </w:t>
      </w:r>
      <w:r w:rsidRPr="00E611A3">
        <w:rPr>
          <w:rFonts w:ascii="Arial" w:hAnsi="Arial" w:cs="Arial"/>
          <w:sz w:val="20"/>
        </w:rPr>
        <w:t>discrimination.</w:t>
      </w:r>
    </w:p>
    <w:p w14:paraId="574D6E88" w14:textId="77777777" w:rsidR="00C1427A" w:rsidRPr="00C1427A" w:rsidRDefault="00C1427A" w:rsidP="00C1427A">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766" w:name="BFCL.430__FE(B)_certificate_–_Standardis"/>
      <w:bookmarkStart w:id="767" w:name="_bookmark313"/>
      <w:bookmarkStart w:id="768" w:name="_Toc153137478"/>
      <w:bookmarkEnd w:id="766"/>
      <w:bookmarkEnd w:id="767"/>
      <w:r w:rsidRPr="00C1427A">
        <w:rPr>
          <w:rFonts w:ascii="Arial" w:eastAsia="Times New Roman" w:hAnsi="Arial" w:cs="Times New Roman"/>
          <w:b/>
          <w:iCs/>
          <w:color w:val="FFFFFF"/>
          <w:sz w:val="24"/>
        </w:rPr>
        <w:t>BFCL.430 FE(B) certificate – Standardisation course</w:t>
      </w:r>
      <w:bookmarkEnd w:id="768"/>
    </w:p>
    <w:p w14:paraId="50963A29" w14:textId="5EA668D7" w:rsidR="00C1427A" w:rsidRPr="00C1427A" w:rsidRDefault="00C1427A" w:rsidP="00D91E6C">
      <w:pPr>
        <w:pStyle w:val="ListParagraph"/>
        <w:numPr>
          <w:ilvl w:val="0"/>
          <w:numId w:val="277"/>
        </w:numPr>
        <w:tabs>
          <w:tab w:val="left" w:pos="707"/>
        </w:tabs>
        <w:spacing w:before="117"/>
        <w:ind w:right="68"/>
        <w:jc w:val="both"/>
        <w:rPr>
          <w:rFonts w:ascii="Arial" w:hAnsi="Arial" w:cs="Arial"/>
          <w:sz w:val="20"/>
        </w:rPr>
      </w:pPr>
      <w:r w:rsidRPr="00C1427A">
        <w:rPr>
          <w:rFonts w:ascii="Arial" w:hAnsi="Arial" w:cs="Arial"/>
          <w:sz w:val="20"/>
        </w:rPr>
        <w:t>Applicants for an FE(B) certificate shall take a standardisation course which is provided either</w:t>
      </w:r>
      <w:r w:rsidRPr="00C1427A">
        <w:rPr>
          <w:rFonts w:ascii="Arial" w:hAnsi="Arial" w:cs="Arial"/>
          <w:spacing w:val="1"/>
          <w:sz w:val="20"/>
        </w:rPr>
        <w:t xml:space="preserve"> </w:t>
      </w:r>
      <w:r w:rsidRPr="00C1427A">
        <w:rPr>
          <w:rFonts w:ascii="Arial" w:hAnsi="Arial" w:cs="Arial"/>
          <w:sz w:val="20"/>
        </w:rPr>
        <w:t>by</w:t>
      </w:r>
      <w:r w:rsidRPr="00C1427A">
        <w:rPr>
          <w:rFonts w:ascii="Arial" w:hAnsi="Arial" w:cs="Arial"/>
          <w:spacing w:val="-1"/>
          <w:sz w:val="20"/>
        </w:rPr>
        <w:t xml:space="preserve"> </w:t>
      </w:r>
      <w:r w:rsidRPr="00C1427A">
        <w:rPr>
          <w:rFonts w:ascii="Arial" w:hAnsi="Arial" w:cs="Arial"/>
          <w:sz w:val="20"/>
        </w:rPr>
        <w:t>the</w:t>
      </w:r>
      <w:r w:rsidRPr="00C1427A">
        <w:rPr>
          <w:rFonts w:ascii="Arial" w:hAnsi="Arial" w:cs="Arial"/>
          <w:spacing w:val="-2"/>
          <w:sz w:val="20"/>
        </w:rPr>
        <w:t xml:space="preserve"> </w:t>
      </w:r>
      <w:r w:rsidR="003C6906">
        <w:rPr>
          <w:rFonts w:ascii="Arial" w:hAnsi="Arial" w:cs="Arial"/>
          <w:sz w:val="20"/>
          <w:szCs w:val="20"/>
        </w:rPr>
        <w:t xml:space="preserve">CAC RA </w:t>
      </w:r>
      <w:r w:rsidRPr="00C1427A">
        <w:rPr>
          <w:rFonts w:ascii="Arial" w:hAnsi="Arial" w:cs="Arial"/>
          <w:sz w:val="20"/>
        </w:rPr>
        <w:t>or</w:t>
      </w:r>
      <w:r w:rsidRPr="00C1427A">
        <w:rPr>
          <w:rFonts w:ascii="Arial" w:hAnsi="Arial" w:cs="Arial"/>
          <w:spacing w:val="-3"/>
          <w:sz w:val="20"/>
        </w:rPr>
        <w:t xml:space="preserve"> </w:t>
      </w:r>
      <w:r w:rsidRPr="00C1427A">
        <w:rPr>
          <w:rFonts w:ascii="Arial" w:hAnsi="Arial" w:cs="Arial"/>
          <w:sz w:val="20"/>
        </w:rPr>
        <w:t>by an</w:t>
      </w:r>
      <w:r w:rsidRPr="00C1427A">
        <w:rPr>
          <w:rFonts w:ascii="Arial" w:hAnsi="Arial" w:cs="Arial"/>
          <w:spacing w:val="-4"/>
          <w:sz w:val="20"/>
        </w:rPr>
        <w:t xml:space="preserve"> </w:t>
      </w:r>
      <w:r w:rsidRPr="00C1427A">
        <w:rPr>
          <w:rFonts w:ascii="Arial" w:hAnsi="Arial" w:cs="Arial"/>
          <w:sz w:val="20"/>
        </w:rPr>
        <w:t>ATO</w:t>
      </w:r>
      <w:r w:rsidRPr="00C1427A">
        <w:rPr>
          <w:rFonts w:ascii="Arial" w:hAnsi="Arial" w:cs="Arial"/>
          <w:spacing w:val="-2"/>
          <w:sz w:val="20"/>
        </w:rPr>
        <w:t xml:space="preserve"> </w:t>
      </w:r>
      <w:r w:rsidRPr="00C1427A">
        <w:rPr>
          <w:rFonts w:ascii="Arial" w:hAnsi="Arial" w:cs="Arial"/>
          <w:sz w:val="20"/>
        </w:rPr>
        <w:t>or a</w:t>
      </w:r>
      <w:r w:rsidRPr="00C1427A">
        <w:rPr>
          <w:rFonts w:ascii="Arial" w:hAnsi="Arial" w:cs="Arial"/>
          <w:spacing w:val="-3"/>
          <w:sz w:val="20"/>
        </w:rPr>
        <w:t xml:space="preserve"> </w:t>
      </w:r>
      <w:r w:rsidRPr="00C1427A">
        <w:rPr>
          <w:rFonts w:ascii="Arial" w:hAnsi="Arial" w:cs="Arial"/>
          <w:sz w:val="20"/>
        </w:rPr>
        <w:t>DTO and</w:t>
      </w:r>
      <w:r w:rsidRPr="00C1427A">
        <w:rPr>
          <w:rFonts w:ascii="Arial" w:hAnsi="Arial" w:cs="Arial"/>
          <w:spacing w:val="-1"/>
          <w:sz w:val="20"/>
        </w:rPr>
        <w:t xml:space="preserve"> </w:t>
      </w:r>
      <w:r w:rsidRPr="00C1427A">
        <w:rPr>
          <w:rFonts w:ascii="Arial" w:hAnsi="Arial" w:cs="Arial"/>
          <w:sz w:val="20"/>
        </w:rPr>
        <w:t>approved by</w:t>
      </w:r>
      <w:r w:rsidRPr="00C1427A">
        <w:rPr>
          <w:rFonts w:ascii="Arial" w:hAnsi="Arial" w:cs="Arial"/>
          <w:spacing w:val="-2"/>
          <w:sz w:val="20"/>
        </w:rPr>
        <w:t xml:space="preserve"> </w:t>
      </w:r>
      <w:r w:rsidRPr="00C1427A">
        <w:rPr>
          <w:rFonts w:ascii="Arial" w:hAnsi="Arial" w:cs="Arial"/>
          <w:sz w:val="20"/>
        </w:rPr>
        <w:t xml:space="preserve">that </w:t>
      </w:r>
      <w:r w:rsidR="002C3FB9">
        <w:rPr>
          <w:rFonts w:ascii="Arial" w:hAnsi="Arial" w:cs="Arial"/>
          <w:sz w:val="20"/>
          <w:szCs w:val="20"/>
        </w:rPr>
        <w:t>CAC RA</w:t>
      </w:r>
      <w:r w:rsidRPr="00C1427A">
        <w:rPr>
          <w:rFonts w:ascii="Arial" w:hAnsi="Arial" w:cs="Arial"/>
          <w:sz w:val="20"/>
        </w:rPr>
        <w:t>.</w:t>
      </w:r>
    </w:p>
    <w:p w14:paraId="2E42202C" w14:textId="77777777" w:rsidR="00C1427A" w:rsidRPr="00C1427A" w:rsidRDefault="00C1427A" w:rsidP="00D91E6C">
      <w:pPr>
        <w:pStyle w:val="ListParagraph"/>
        <w:numPr>
          <w:ilvl w:val="0"/>
          <w:numId w:val="277"/>
        </w:numPr>
        <w:tabs>
          <w:tab w:val="left" w:pos="707"/>
        </w:tabs>
        <w:spacing w:before="121"/>
        <w:ind w:right="68"/>
        <w:jc w:val="both"/>
        <w:rPr>
          <w:rFonts w:ascii="Arial" w:hAnsi="Arial" w:cs="Arial"/>
          <w:sz w:val="20"/>
        </w:rPr>
      </w:pPr>
      <w:r w:rsidRPr="00C1427A">
        <w:rPr>
          <w:rFonts w:ascii="Arial" w:hAnsi="Arial" w:cs="Arial"/>
          <w:sz w:val="20"/>
        </w:rPr>
        <w:t>The</w:t>
      </w:r>
      <w:r w:rsidRPr="00C1427A">
        <w:rPr>
          <w:rFonts w:ascii="Arial" w:hAnsi="Arial" w:cs="Arial"/>
          <w:spacing w:val="-9"/>
          <w:sz w:val="20"/>
        </w:rPr>
        <w:t xml:space="preserve"> </w:t>
      </w:r>
      <w:r w:rsidRPr="00C1427A">
        <w:rPr>
          <w:rFonts w:ascii="Arial" w:hAnsi="Arial" w:cs="Arial"/>
          <w:sz w:val="20"/>
        </w:rPr>
        <w:t>standardisation</w:t>
      </w:r>
      <w:r w:rsidRPr="00C1427A">
        <w:rPr>
          <w:rFonts w:ascii="Arial" w:hAnsi="Arial" w:cs="Arial"/>
          <w:spacing w:val="-11"/>
          <w:sz w:val="20"/>
        </w:rPr>
        <w:t xml:space="preserve"> </w:t>
      </w:r>
      <w:r w:rsidRPr="00C1427A">
        <w:rPr>
          <w:rFonts w:ascii="Arial" w:hAnsi="Arial" w:cs="Arial"/>
          <w:sz w:val="20"/>
        </w:rPr>
        <w:t>course</w:t>
      </w:r>
      <w:r w:rsidRPr="00C1427A">
        <w:rPr>
          <w:rFonts w:ascii="Arial" w:hAnsi="Arial" w:cs="Arial"/>
          <w:spacing w:val="-10"/>
          <w:sz w:val="20"/>
        </w:rPr>
        <w:t xml:space="preserve"> </w:t>
      </w:r>
      <w:r w:rsidRPr="00C1427A">
        <w:rPr>
          <w:rFonts w:ascii="Arial" w:hAnsi="Arial" w:cs="Arial"/>
          <w:sz w:val="20"/>
        </w:rPr>
        <w:t>shall</w:t>
      </w:r>
      <w:r w:rsidRPr="00C1427A">
        <w:rPr>
          <w:rFonts w:ascii="Arial" w:hAnsi="Arial" w:cs="Arial"/>
          <w:spacing w:val="-8"/>
          <w:sz w:val="20"/>
        </w:rPr>
        <w:t xml:space="preserve"> </w:t>
      </w:r>
      <w:r w:rsidRPr="00C1427A">
        <w:rPr>
          <w:rFonts w:ascii="Arial" w:hAnsi="Arial" w:cs="Arial"/>
          <w:sz w:val="20"/>
        </w:rPr>
        <w:t>be</w:t>
      </w:r>
      <w:r w:rsidRPr="00C1427A">
        <w:rPr>
          <w:rFonts w:ascii="Arial" w:hAnsi="Arial" w:cs="Arial"/>
          <w:spacing w:val="-7"/>
          <w:sz w:val="20"/>
        </w:rPr>
        <w:t xml:space="preserve"> </w:t>
      </w:r>
      <w:r w:rsidRPr="00C1427A">
        <w:rPr>
          <w:rFonts w:ascii="Arial" w:hAnsi="Arial" w:cs="Arial"/>
          <w:sz w:val="20"/>
        </w:rPr>
        <w:t>tailored</w:t>
      </w:r>
      <w:r w:rsidRPr="00C1427A">
        <w:rPr>
          <w:rFonts w:ascii="Arial" w:hAnsi="Arial" w:cs="Arial"/>
          <w:spacing w:val="-11"/>
          <w:sz w:val="20"/>
        </w:rPr>
        <w:t xml:space="preserve"> </w:t>
      </w:r>
      <w:r w:rsidRPr="00C1427A">
        <w:rPr>
          <w:rFonts w:ascii="Arial" w:hAnsi="Arial" w:cs="Arial"/>
          <w:sz w:val="20"/>
        </w:rPr>
        <w:t>to</w:t>
      </w:r>
      <w:r w:rsidRPr="00C1427A">
        <w:rPr>
          <w:rFonts w:ascii="Arial" w:hAnsi="Arial" w:cs="Arial"/>
          <w:spacing w:val="-9"/>
          <w:sz w:val="20"/>
        </w:rPr>
        <w:t xml:space="preserve"> </w:t>
      </w:r>
      <w:r w:rsidRPr="00C1427A">
        <w:rPr>
          <w:rFonts w:ascii="Arial" w:hAnsi="Arial" w:cs="Arial"/>
          <w:sz w:val="20"/>
        </w:rPr>
        <w:t>the</w:t>
      </w:r>
      <w:r w:rsidRPr="00C1427A">
        <w:rPr>
          <w:rFonts w:ascii="Arial" w:hAnsi="Arial" w:cs="Arial"/>
          <w:spacing w:val="-8"/>
          <w:sz w:val="20"/>
        </w:rPr>
        <w:t xml:space="preserve"> </w:t>
      </w:r>
      <w:r w:rsidRPr="00C1427A">
        <w:rPr>
          <w:rFonts w:ascii="Arial" w:hAnsi="Arial" w:cs="Arial"/>
          <w:sz w:val="20"/>
        </w:rPr>
        <w:t>balloon</w:t>
      </w:r>
      <w:r w:rsidRPr="00C1427A">
        <w:rPr>
          <w:rFonts w:ascii="Arial" w:hAnsi="Arial" w:cs="Arial"/>
          <w:spacing w:val="-9"/>
          <w:sz w:val="20"/>
        </w:rPr>
        <w:t xml:space="preserve"> </w:t>
      </w:r>
      <w:r w:rsidRPr="00C1427A">
        <w:rPr>
          <w:rFonts w:ascii="Arial" w:hAnsi="Arial" w:cs="Arial"/>
          <w:sz w:val="20"/>
        </w:rPr>
        <w:t>flight</w:t>
      </w:r>
      <w:r w:rsidRPr="00C1427A">
        <w:rPr>
          <w:rFonts w:ascii="Arial" w:hAnsi="Arial" w:cs="Arial"/>
          <w:spacing w:val="-10"/>
          <w:sz w:val="20"/>
        </w:rPr>
        <w:t xml:space="preserve"> </w:t>
      </w:r>
      <w:r w:rsidRPr="00C1427A">
        <w:rPr>
          <w:rFonts w:ascii="Arial" w:hAnsi="Arial" w:cs="Arial"/>
          <w:sz w:val="20"/>
        </w:rPr>
        <w:t>examiner</w:t>
      </w:r>
      <w:r w:rsidRPr="00C1427A">
        <w:rPr>
          <w:rFonts w:ascii="Arial" w:hAnsi="Arial" w:cs="Arial"/>
          <w:spacing w:val="-10"/>
          <w:sz w:val="20"/>
        </w:rPr>
        <w:t xml:space="preserve"> </w:t>
      </w:r>
      <w:r w:rsidRPr="00C1427A">
        <w:rPr>
          <w:rFonts w:ascii="Arial" w:hAnsi="Arial" w:cs="Arial"/>
          <w:sz w:val="20"/>
        </w:rPr>
        <w:t>privileges</w:t>
      </w:r>
      <w:r w:rsidRPr="00C1427A">
        <w:rPr>
          <w:rFonts w:ascii="Arial" w:hAnsi="Arial" w:cs="Arial"/>
          <w:spacing w:val="-8"/>
          <w:sz w:val="20"/>
        </w:rPr>
        <w:t xml:space="preserve"> </w:t>
      </w:r>
      <w:r w:rsidRPr="00C1427A">
        <w:rPr>
          <w:rFonts w:ascii="Arial" w:hAnsi="Arial" w:cs="Arial"/>
          <w:sz w:val="20"/>
        </w:rPr>
        <w:t>sought</w:t>
      </w:r>
      <w:r w:rsidRPr="00C1427A">
        <w:rPr>
          <w:rFonts w:ascii="Arial" w:hAnsi="Arial" w:cs="Arial"/>
          <w:spacing w:val="-7"/>
          <w:sz w:val="20"/>
        </w:rPr>
        <w:t xml:space="preserve"> </w:t>
      </w:r>
      <w:r w:rsidRPr="00C1427A">
        <w:rPr>
          <w:rFonts w:ascii="Arial" w:hAnsi="Arial" w:cs="Arial"/>
          <w:sz w:val="20"/>
        </w:rPr>
        <w:t>and</w:t>
      </w:r>
      <w:r w:rsidRPr="00C1427A">
        <w:rPr>
          <w:rFonts w:ascii="Arial" w:hAnsi="Arial" w:cs="Arial"/>
          <w:spacing w:val="-47"/>
          <w:sz w:val="20"/>
        </w:rPr>
        <w:t xml:space="preserve"> </w:t>
      </w:r>
      <w:r w:rsidRPr="00C1427A">
        <w:rPr>
          <w:rFonts w:ascii="Arial" w:hAnsi="Arial" w:cs="Arial"/>
          <w:sz w:val="20"/>
        </w:rPr>
        <w:t>shall</w:t>
      </w:r>
      <w:r w:rsidRPr="00C1427A">
        <w:rPr>
          <w:rFonts w:ascii="Arial" w:hAnsi="Arial" w:cs="Arial"/>
          <w:spacing w:val="-2"/>
          <w:sz w:val="20"/>
        </w:rPr>
        <w:t xml:space="preserve"> </w:t>
      </w:r>
      <w:r w:rsidRPr="00C1427A">
        <w:rPr>
          <w:rFonts w:ascii="Arial" w:hAnsi="Arial" w:cs="Arial"/>
          <w:sz w:val="20"/>
        </w:rPr>
        <w:t>consist of</w:t>
      </w:r>
      <w:r w:rsidRPr="00C1427A">
        <w:rPr>
          <w:rFonts w:ascii="Arial" w:hAnsi="Arial" w:cs="Arial"/>
          <w:spacing w:val="-3"/>
          <w:sz w:val="20"/>
        </w:rPr>
        <w:t xml:space="preserve"> </w:t>
      </w:r>
      <w:r w:rsidRPr="00C1427A">
        <w:rPr>
          <w:rFonts w:ascii="Arial" w:hAnsi="Arial" w:cs="Arial"/>
          <w:sz w:val="20"/>
        </w:rPr>
        <w:t>theoretical</w:t>
      </w:r>
      <w:r w:rsidRPr="00C1427A">
        <w:rPr>
          <w:rFonts w:ascii="Arial" w:hAnsi="Arial" w:cs="Arial"/>
          <w:spacing w:val="-3"/>
          <w:sz w:val="20"/>
        </w:rPr>
        <w:t xml:space="preserve"> </w:t>
      </w:r>
      <w:r w:rsidRPr="00C1427A">
        <w:rPr>
          <w:rFonts w:ascii="Arial" w:hAnsi="Arial" w:cs="Arial"/>
          <w:sz w:val="20"/>
        </w:rPr>
        <w:t>and</w:t>
      </w:r>
      <w:r w:rsidRPr="00C1427A">
        <w:rPr>
          <w:rFonts w:ascii="Arial" w:hAnsi="Arial" w:cs="Arial"/>
          <w:spacing w:val="-2"/>
          <w:sz w:val="20"/>
        </w:rPr>
        <w:t xml:space="preserve"> </w:t>
      </w:r>
      <w:r w:rsidRPr="00C1427A">
        <w:rPr>
          <w:rFonts w:ascii="Arial" w:hAnsi="Arial" w:cs="Arial"/>
          <w:sz w:val="20"/>
        </w:rPr>
        <w:t>practical</w:t>
      </w:r>
      <w:r w:rsidRPr="00C1427A">
        <w:rPr>
          <w:rFonts w:ascii="Arial" w:hAnsi="Arial" w:cs="Arial"/>
          <w:spacing w:val="-1"/>
          <w:sz w:val="20"/>
        </w:rPr>
        <w:t xml:space="preserve"> </w:t>
      </w:r>
      <w:r w:rsidRPr="00C1427A">
        <w:rPr>
          <w:rFonts w:ascii="Arial" w:hAnsi="Arial" w:cs="Arial"/>
          <w:sz w:val="20"/>
        </w:rPr>
        <w:t>instruction,</w:t>
      </w:r>
      <w:r w:rsidRPr="00C1427A">
        <w:rPr>
          <w:rFonts w:ascii="Arial" w:hAnsi="Arial" w:cs="Arial"/>
          <w:spacing w:val="-3"/>
          <w:sz w:val="20"/>
        </w:rPr>
        <w:t xml:space="preserve"> </w:t>
      </w:r>
      <w:r w:rsidRPr="00C1427A">
        <w:rPr>
          <w:rFonts w:ascii="Arial" w:hAnsi="Arial" w:cs="Arial"/>
          <w:sz w:val="20"/>
        </w:rPr>
        <w:t>including, at least:</w:t>
      </w:r>
    </w:p>
    <w:p w14:paraId="39D8F354" w14:textId="77777777" w:rsidR="00C1427A" w:rsidRPr="00C1427A" w:rsidRDefault="00C1427A" w:rsidP="00D91E6C">
      <w:pPr>
        <w:pStyle w:val="ListParagraph"/>
        <w:numPr>
          <w:ilvl w:val="1"/>
          <w:numId w:val="277"/>
        </w:numPr>
        <w:tabs>
          <w:tab w:val="left" w:pos="1274"/>
        </w:tabs>
        <w:ind w:right="68"/>
        <w:jc w:val="both"/>
        <w:rPr>
          <w:rFonts w:ascii="Arial" w:hAnsi="Arial" w:cs="Arial"/>
          <w:sz w:val="20"/>
        </w:rPr>
      </w:pPr>
      <w:r w:rsidRPr="00C1427A">
        <w:rPr>
          <w:rFonts w:ascii="Arial" w:hAnsi="Arial" w:cs="Arial"/>
          <w:sz w:val="20"/>
        </w:rPr>
        <w:t>the conduct of at least one skill test, proficiency check or assessment of competence for</w:t>
      </w:r>
      <w:r w:rsidRPr="00C1427A">
        <w:rPr>
          <w:rFonts w:ascii="Arial" w:hAnsi="Arial" w:cs="Arial"/>
          <w:spacing w:val="-47"/>
          <w:sz w:val="20"/>
        </w:rPr>
        <w:t xml:space="preserve"> </w:t>
      </w:r>
      <w:r w:rsidRPr="00C1427A">
        <w:rPr>
          <w:rFonts w:ascii="Arial" w:hAnsi="Arial" w:cs="Arial"/>
          <w:sz w:val="20"/>
        </w:rPr>
        <w:t>the</w:t>
      </w:r>
      <w:r w:rsidRPr="00C1427A">
        <w:rPr>
          <w:rFonts w:ascii="Arial" w:hAnsi="Arial" w:cs="Arial"/>
          <w:spacing w:val="-1"/>
          <w:sz w:val="20"/>
        </w:rPr>
        <w:t xml:space="preserve"> </w:t>
      </w:r>
      <w:r w:rsidRPr="00C1427A">
        <w:rPr>
          <w:rFonts w:ascii="Arial" w:hAnsi="Arial" w:cs="Arial"/>
          <w:sz w:val="20"/>
        </w:rPr>
        <w:t>BPL</w:t>
      </w:r>
      <w:r w:rsidRPr="00C1427A">
        <w:rPr>
          <w:rFonts w:ascii="Arial" w:hAnsi="Arial" w:cs="Arial"/>
          <w:spacing w:val="-2"/>
          <w:sz w:val="20"/>
        </w:rPr>
        <w:t xml:space="preserve"> </w:t>
      </w:r>
      <w:r w:rsidRPr="00C1427A">
        <w:rPr>
          <w:rFonts w:ascii="Arial" w:hAnsi="Arial" w:cs="Arial"/>
          <w:sz w:val="20"/>
        </w:rPr>
        <w:t>or associated ratings or certificates;</w:t>
      </w:r>
    </w:p>
    <w:p w14:paraId="52FBB1F5" w14:textId="77777777" w:rsidR="00C1427A" w:rsidRPr="00C1427A" w:rsidRDefault="00C1427A" w:rsidP="00D91E6C">
      <w:pPr>
        <w:pStyle w:val="ListParagraph"/>
        <w:numPr>
          <w:ilvl w:val="1"/>
          <w:numId w:val="277"/>
        </w:numPr>
        <w:tabs>
          <w:tab w:val="left" w:pos="1274"/>
        </w:tabs>
        <w:spacing w:before="121"/>
        <w:ind w:right="68"/>
        <w:jc w:val="both"/>
        <w:rPr>
          <w:rFonts w:ascii="Arial" w:hAnsi="Arial" w:cs="Arial"/>
          <w:sz w:val="20"/>
        </w:rPr>
      </w:pPr>
      <w:r w:rsidRPr="00C1427A">
        <w:rPr>
          <w:rFonts w:ascii="Arial" w:hAnsi="Arial" w:cs="Arial"/>
          <w:spacing w:val="-1"/>
          <w:sz w:val="20"/>
        </w:rPr>
        <w:t>instruction</w:t>
      </w:r>
      <w:r w:rsidRPr="00C1427A">
        <w:rPr>
          <w:rFonts w:ascii="Arial" w:hAnsi="Arial" w:cs="Arial"/>
          <w:spacing w:val="-15"/>
          <w:sz w:val="20"/>
        </w:rPr>
        <w:t xml:space="preserve"> </w:t>
      </w:r>
      <w:r w:rsidRPr="00C1427A">
        <w:rPr>
          <w:rFonts w:ascii="Arial" w:hAnsi="Arial" w:cs="Arial"/>
          <w:sz w:val="20"/>
        </w:rPr>
        <w:t>on</w:t>
      </w:r>
      <w:r w:rsidRPr="00C1427A">
        <w:rPr>
          <w:rFonts w:ascii="Arial" w:hAnsi="Arial" w:cs="Arial"/>
          <w:spacing w:val="-13"/>
          <w:sz w:val="20"/>
        </w:rPr>
        <w:t xml:space="preserve"> </w:t>
      </w:r>
      <w:r w:rsidRPr="00C1427A">
        <w:rPr>
          <w:rFonts w:ascii="Arial" w:hAnsi="Arial" w:cs="Arial"/>
          <w:sz w:val="20"/>
        </w:rPr>
        <w:t>the</w:t>
      </w:r>
      <w:r w:rsidRPr="00C1427A">
        <w:rPr>
          <w:rFonts w:ascii="Arial" w:hAnsi="Arial" w:cs="Arial"/>
          <w:spacing w:val="-11"/>
          <w:sz w:val="20"/>
        </w:rPr>
        <w:t xml:space="preserve"> </w:t>
      </w:r>
      <w:r w:rsidRPr="00C1427A">
        <w:rPr>
          <w:rFonts w:ascii="Arial" w:hAnsi="Arial" w:cs="Arial"/>
          <w:sz w:val="20"/>
        </w:rPr>
        <w:t>applicable</w:t>
      </w:r>
      <w:r w:rsidRPr="00C1427A">
        <w:rPr>
          <w:rFonts w:ascii="Arial" w:hAnsi="Arial" w:cs="Arial"/>
          <w:spacing w:val="-11"/>
          <w:sz w:val="20"/>
        </w:rPr>
        <w:t xml:space="preserve"> </w:t>
      </w:r>
      <w:r w:rsidRPr="00C1427A">
        <w:rPr>
          <w:rFonts w:ascii="Arial" w:hAnsi="Arial" w:cs="Arial"/>
          <w:sz w:val="20"/>
        </w:rPr>
        <w:t>requirements</w:t>
      </w:r>
      <w:r w:rsidRPr="00C1427A">
        <w:rPr>
          <w:rFonts w:ascii="Arial" w:hAnsi="Arial" w:cs="Arial"/>
          <w:spacing w:val="-14"/>
          <w:sz w:val="20"/>
        </w:rPr>
        <w:t xml:space="preserve"> </w:t>
      </w:r>
      <w:r w:rsidRPr="00C1427A">
        <w:rPr>
          <w:rFonts w:ascii="Arial" w:hAnsi="Arial" w:cs="Arial"/>
          <w:sz w:val="20"/>
        </w:rPr>
        <w:t>of</w:t>
      </w:r>
      <w:r w:rsidRPr="00C1427A">
        <w:rPr>
          <w:rFonts w:ascii="Arial" w:hAnsi="Arial" w:cs="Arial"/>
          <w:spacing w:val="-12"/>
          <w:sz w:val="20"/>
        </w:rPr>
        <w:t xml:space="preserve"> </w:t>
      </w:r>
      <w:r w:rsidRPr="00C1427A">
        <w:rPr>
          <w:rFonts w:ascii="Arial" w:hAnsi="Arial" w:cs="Arial"/>
          <w:sz w:val="20"/>
        </w:rPr>
        <w:t>this</w:t>
      </w:r>
      <w:r w:rsidRPr="00C1427A">
        <w:rPr>
          <w:rFonts w:ascii="Arial" w:hAnsi="Arial" w:cs="Arial"/>
          <w:spacing w:val="-12"/>
          <w:sz w:val="20"/>
        </w:rPr>
        <w:t xml:space="preserve"> </w:t>
      </w:r>
      <w:r w:rsidRPr="00C1427A">
        <w:rPr>
          <w:rFonts w:ascii="Arial" w:hAnsi="Arial" w:cs="Arial"/>
          <w:sz w:val="20"/>
        </w:rPr>
        <w:t>Annex</w:t>
      </w:r>
      <w:r w:rsidRPr="00C1427A">
        <w:rPr>
          <w:rFonts w:ascii="Arial" w:hAnsi="Arial" w:cs="Arial"/>
          <w:spacing w:val="-11"/>
          <w:sz w:val="20"/>
        </w:rPr>
        <w:t xml:space="preserve"> </w:t>
      </w:r>
      <w:r w:rsidRPr="00C1427A">
        <w:rPr>
          <w:rFonts w:ascii="Arial" w:hAnsi="Arial" w:cs="Arial"/>
          <w:sz w:val="20"/>
        </w:rPr>
        <w:t>and</w:t>
      </w:r>
      <w:r w:rsidRPr="00C1427A">
        <w:rPr>
          <w:rFonts w:ascii="Arial" w:hAnsi="Arial" w:cs="Arial"/>
          <w:spacing w:val="-13"/>
          <w:sz w:val="20"/>
        </w:rPr>
        <w:t xml:space="preserve"> </w:t>
      </w:r>
      <w:r w:rsidRPr="00C1427A">
        <w:rPr>
          <w:rFonts w:ascii="Arial" w:hAnsi="Arial" w:cs="Arial"/>
          <w:sz w:val="20"/>
        </w:rPr>
        <w:t>the</w:t>
      </w:r>
      <w:r w:rsidRPr="00C1427A">
        <w:rPr>
          <w:rFonts w:ascii="Arial" w:hAnsi="Arial" w:cs="Arial"/>
          <w:spacing w:val="-14"/>
          <w:sz w:val="20"/>
        </w:rPr>
        <w:t xml:space="preserve"> </w:t>
      </w:r>
      <w:r w:rsidRPr="00C1427A">
        <w:rPr>
          <w:rFonts w:ascii="Arial" w:hAnsi="Arial" w:cs="Arial"/>
          <w:sz w:val="20"/>
        </w:rPr>
        <w:t>applicable</w:t>
      </w:r>
      <w:r w:rsidRPr="00C1427A">
        <w:rPr>
          <w:rFonts w:ascii="Arial" w:hAnsi="Arial" w:cs="Arial"/>
          <w:spacing w:val="-12"/>
          <w:sz w:val="20"/>
        </w:rPr>
        <w:t xml:space="preserve"> </w:t>
      </w:r>
      <w:r w:rsidRPr="00C1427A">
        <w:rPr>
          <w:rFonts w:ascii="Arial" w:hAnsi="Arial" w:cs="Arial"/>
          <w:sz w:val="20"/>
        </w:rPr>
        <w:t>air</w:t>
      </w:r>
      <w:r w:rsidRPr="00C1427A">
        <w:rPr>
          <w:rFonts w:ascii="Arial" w:hAnsi="Arial" w:cs="Arial"/>
          <w:spacing w:val="-15"/>
          <w:sz w:val="20"/>
        </w:rPr>
        <w:t xml:space="preserve"> </w:t>
      </w:r>
      <w:r w:rsidRPr="00C1427A">
        <w:rPr>
          <w:rFonts w:ascii="Arial" w:hAnsi="Arial" w:cs="Arial"/>
          <w:sz w:val="20"/>
        </w:rPr>
        <w:t>operations</w:t>
      </w:r>
      <w:r w:rsidRPr="00C1427A">
        <w:rPr>
          <w:rFonts w:ascii="Arial" w:hAnsi="Arial" w:cs="Arial"/>
          <w:spacing w:val="-48"/>
          <w:sz w:val="20"/>
        </w:rPr>
        <w:t xml:space="preserve"> </w:t>
      </w:r>
      <w:r w:rsidRPr="00C1427A">
        <w:rPr>
          <w:rFonts w:ascii="Arial" w:hAnsi="Arial" w:cs="Arial"/>
          <w:sz w:val="20"/>
        </w:rPr>
        <w:t>requirements,</w:t>
      </w:r>
      <w:r w:rsidRPr="00C1427A">
        <w:rPr>
          <w:rFonts w:ascii="Arial" w:hAnsi="Arial" w:cs="Arial"/>
          <w:spacing w:val="1"/>
          <w:sz w:val="20"/>
        </w:rPr>
        <w:t xml:space="preserve"> </w:t>
      </w:r>
      <w:r w:rsidRPr="00C1427A">
        <w:rPr>
          <w:rFonts w:ascii="Arial" w:hAnsi="Arial" w:cs="Arial"/>
          <w:sz w:val="20"/>
        </w:rPr>
        <w:t>the</w:t>
      </w:r>
      <w:r w:rsidRPr="00C1427A">
        <w:rPr>
          <w:rFonts w:ascii="Arial" w:hAnsi="Arial" w:cs="Arial"/>
          <w:spacing w:val="1"/>
          <w:sz w:val="20"/>
        </w:rPr>
        <w:t xml:space="preserve"> </w:t>
      </w:r>
      <w:r w:rsidRPr="00C1427A">
        <w:rPr>
          <w:rFonts w:ascii="Arial" w:hAnsi="Arial" w:cs="Arial"/>
          <w:sz w:val="20"/>
        </w:rPr>
        <w:t>conduct</w:t>
      </w:r>
      <w:r w:rsidRPr="00C1427A">
        <w:rPr>
          <w:rFonts w:ascii="Arial" w:hAnsi="Arial" w:cs="Arial"/>
          <w:spacing w:val="1"/>
          <w:sz w:val="20"/>
        </w:rPr>
        <w:t xml:space="preserve"> </w:t>
      </w:r>
      <w:r w:rsidRPr="00C1427A">
        <w:rPr>
          <w:rFonts w:ascii="Arial" w:hAnsi="Arial" w:cs="Arial"/>
          <w:sz w:val="20"/>
        </w:rPr>
        <w:t>of</w:t>
      </w:r>
      <w:r w:rsidRPr="00C1427A">
        <w:rPr>
          <w:rFonts w:ascii="Arial" w:hAnsi="Arial" w:cs="Arial"/>
          <w:spacing w:val="1"/>
          <w:sz w:val="20"/>
        </w:rPr>
        <w:t xml:space="preserve"> </w:t>
      </w:r>
      <w:r w:rsidRPr="00C1427A">
        <w:rPr>
          <w:rFonts w:ascii="Arial" w:hAnsi="Arial" w:cs="Arial"/>
          <w:sz w:val="20"/>
        </w:rPr>
        <w:t>skill</w:t>
      </w:r>
      <w:r w:rsidRPr="00C1427A">
        <w:rPr>
          <w:rFonts w:ascii="Arial" w:hAnsi="Arial" w:cs="Arial"/>
          <w:spacing w:val="1"/>
          <w:sz w:val="20"/>
        </w:rPr>
        <w:t xml:space="preserve"> </w:t>
      </w:r>
      <w:r w:rsidRPr="00C1427A">
        <w:rPr>
          <w:rFonts w:ascii="Arial" w:hAnsi="Arial" w:cs="Arial"/>
          <w:sz w:val="20"/>
        </w:rPr>
        <w:t>tests,</w:t>
      </w:r>
      <w:r w:rsidRPr="00C1427A">
        <w:rPr>
          <w:rFonts w:ascii="Arial" w:hAnsi="Arial" w:cs="Arial"/>
          <w:spacing w:val="1"/>
          <w:sz w:val="20"/>
        </w:rPr>
        <w:t xml:space="preserve"> </w:t>
      </w:r>
      <w:r w:rsidRPr="00C1427A">
        <w:rPr>
          <w:rFonts w:ascii="Arial" w:hAnsi="Arial" w:cs="Arial"/>
          <w:sz w:val="20"/>
        </w:rPr>
        <w:t>proficiency</w:t>
      </w:r>
      <w:r w:rsidRPr="00C1427A">
        <w:rPr>
          <w:rFonts w:ascii="Arial" w:hAnsi="Arial" w:cs="Arial"/>
          <w:spacing w:val="1"/>
          <w:sz w:val="20"/>
        </w:rPr>
        <w:t xml:space="preserve"> </w:t>
      </w:r>
      <w:r w:rsidRPr="00C1427A">
        <w:rPr>
          <w:rFonts w:ascii="Arial" w:hAnsi="Arial" w:cs="Arial"/>
          <w:sz w:val="20"/>
        </w:rPr>
        <w:t>checks</w:t>
      </w:r>
      <w:r w:rsidRPr="00C1427A">
        <w:rPr>
          <w:rFonts w:ascii="Arial" w:hAnsi="Arial" w:cs="Arial"/>
          <w:spacing w:val="1"/>
          <w:sz w:val="20"/>
        </w:rPr>
        <w:t xml:space="preserve"> </w:t>
      </w:r>
      <w:r w:rsidRPr="00C1427A">
        <w:rPr>
          <w:rFonts w:ascii="Arial" w:hAnsi="Arial" w:cs="Arial"/>
          <w:sz w:val="20"/>
        </w:rPr>
        <w:t>and</w:t>
      </w:r>
      <w:r w:rsidRPr="00C1427A">
        <w:rPr>
          <w:rFonts w:ascii="Arial" w:hAnsi="Arial" w:cs="Arial"/>
          <w:spacing w:val="1"/>
          <w:sz w:val="20"/>
        </w:rPr>
        <w:t xml:space="preserve"> </w:t>
      </w:r>
      <w:r w:rsidRPr="00C1427A">
        <w:rPr>
          <w:rFonts w:ascii="Arial" w:hAnsi="Arial" w:cs="Arial"/>
          <w:sz w:val="20"/>
        </w:rPr>
        <w:t>assessments</w:t>
      </w:r>
      <w:r w:rsidRPr="00C1427A">
        <w:rPr>
          <w:rFonts w:ascii="Arial" w:hAnsi="Arial" w:cs="Arial"/>
          <w:spacing w:val="1"/>
          <w:sz w:val="20"/>
        </w:rPr>
        <w:t xml:space="preserve"> </w:t>
      </w:r>
      <w:r w:rsidRPr="00C1427A">
        <w:rPr>
          <w:rFonts w:ascii="Arial" w:hAnsi="Arial" w:cs="Arial"/>
          <w:sz w:val="20"/>
        </w:rPr>
        <w:t>of</w:t>
      </w:r>
      <w:r w:rsidRPr="00C1427A">
        <w:rPr>
          <w:rFonts w:ascii="Arial" w:hAnsi="Arial" w:cs="Arial"/>
          <w:spacing w:val="1"/>
          <w:sz w:val="20"/>
        </w:rPr>
        <w:t xml:space="preserve"> </w:t>
      </w:r>
      <w:r w:rsidRPr="00C1427A">
        <w:rPr>
          <w:rFonts w:ascii="Arial" w:hAnsi="Arial" w:cs="Arial"/>
          <w:sz w:val="20"/>
        </w:rPr>
        <w:t>competence,</w:t>
      </w:r>
      <w:r w:rsidRPr="00C1427A">
        <w:rPr>
          <w:rFonts w:ascii="Arial" w:hAnsi="Arial" w:cs="Arial"/>
          <w:spacing w:val="-3"/>
          <w:sz w:val="20"/>
        </w:rPr>
        <w:t xml:space="preserve"> </w:t>
      </w:r>
      <w:r w:rsidRPr="00C1427A">
        <w:rPr>
          <w:rFonts w:ascii="Arial" w:hAnsi="Arial" w:cs="Arial"/>
          <w:sz w:val="20"/>
        </w:rPr>
        <w:t>and</w:t>
      </w:r>
      <w:r w:rsidRPr="00C1427A">
        <w:rPr>
          <w:rFonts w:ascii="Arial" w:hAnsi="Arial" w:cs="Arial"/>
          <w:spacing w:val="-1"/>
          <w:sz w:val="20"/>
        </w:rPr>
        <w:t xml:space="preserve"> </w:t>
      </w:r>
      <w:r w:rsidRPr="00C1427A">
        <w:rPr>
          <w:rFonts w:ascii="Arial" w:hAnsi="Arial" w:cs="Arial"/>
          <w:sz w:val="20"/>
        </w:rPr>
        <w:t>their documentation</w:t>
      </w:r>
      <w:r w:rsidRPr="00C1427A">
        <w:rPr>
          <w:rFonts w:ascii="Arial" w:hAnsi="Arial" w:cs="Arial"/>
          <w:spacing w:val="-1"/>
          <w:sz w:val="20"/>
        </w:rPr>
        <w:t xml:space="preserve"> </w:t>
      </w:r>
      <w:r w:rsidRPr="00C1427A">
        <w:rPr>
          <w:rFonts w:ascii="Arial" w:hAnsi="Arial" w:cs="Arial"/>
          <w:sz w:val="20"/>
        </w:rPr>
        <w:t>and</w:t>
      </w:r>
      <w:r w:rsidRPr="00C1427A">
        <w:rPr>
          <w:rFonts w:ascii="Arial" w:hAnsi="Arial" w:cs="Arial"/>
          <w:spacing w:val="-1"/>
          <w:sz w:val="20"/>
        </w:rPr>
        <w:t xml:space="preserve"> </w:t>
      </w:r>
      <w:r w:rsidRPr="00C1427A">
        <w:rPr>
          <w:rFonts w:ascii="Arial" w:hAnsi="Arial" w:cs="Arial"/>
          <w:sz w:val="20"/>
        </w:rPr>
        <w:t>reporting;</w:t>
      </w:r>
    </w:p>
    <w:p w14:paraId="1CE6F90B" w14:textId="77777777" w:rsidR="00C1427A" w:rsidRPr="00C1427A" w:rsidRDefault="00C1427A" w:rsidP="00D91E6C">
      <w:pPr>
        <w:pStyle w:val="ListParagraph"/>
        <w:numPr>
          <w:ilvl w:val="1"/>
          <w:numId w:val="277"/>
        </w:numPr>
        <w:tabs>
          <w:tab w:val="left" w:pos="1274"/>
        </w:tabs>
        <w:spacing w:before="119"/>
        <w:ind w:right="68" w:hanging="568"/>
        <w:jc w:val="both"/>
        <w:rPr>
          <w:rFonts w:ascii="Arial" w:hAnsi="Arial" w:cs="Arial"/>
          <w:sz w:val="20"/>
        </w:rPr>
      </w:pPr>
      <w:r w:rsidRPr="00C1427A">
        <w:rPr>
          <w:rFonts w:ascii="Arial" w:hAnsi="Arial" w:cs="Arial"/>
          <w:sz w:val="20"/>
        </w:rPr>
        <w:t>a</w:t>
      </w:r>
      <w:r w:rsidRPr="00C1427A">
        <w:rPr>
          <w:rFonts w:ascii="Arial" w:hAnsi="Arial" w:cs="Arial"/>
          <w:spacing w:val="-1"/>
          <w:sz w:val="20"/>
        </w:rPr>
        <w:t xml:space="preserve"> </w:t>
      </w:r>
      <w:r w:rsidRPr="00C1427A">
        <w:rPr>
          <w:rFonts w:ascii="Arial" w:hAnsi="Arial" w:cs="Arial"/>
          <w:sz w:val="20"/>
        </w:rPr>
        <w:t>briefing</w:t>
      </w:r>
      <w:r w:rsidRPr="00C1427A">
        <w:rPr>
          <w:rFonts w:ascii="Arial" w:hAnsi="Arial" w:cs="Arial"/>
          <w:spacing w:val="-2"/>
          <w:sz w:val="20"/>
        </w:rPr>
        <w:t xml:space="preserve"> </w:t>
      </w:r>
      <w:r w:rsidRPr="00C1427A">
        <w:rPr>
          <w:rFonts w:ascii="Arial" w:hAnsi="Arial" w:cs="Arial"/>
          <w:sz w:val="20"/>
        </w:rPr>
        <w:t>on</w:t>
      </w:r>
      <w:r w:rsidRPr="00C1427A">
        <w:rPr>
          <w:rFonts w:ascii="Arial" w:hAnsi="Arial" w:cs="Arial"/>
          <w:spacing w:val="-3"/>
          <w:sz w:val="20"/>
        </w:rPr>
        <w:t xml:space="preserve"> </w:t>
      </w:r>
      <w:r w:rsidRPr="00C1427A">
        <w:rPr>
          <w:rFonts w:ascii="Arial" w:hAnsi="Arial" w:cs="Arial"/>
          <w:sz w:val="20"/>
        </w:rPr>
        <w:t>the</w:t>
      </w:r>
      <w:r w:rsidRPr="00C1427A">
        <w:rPr>
          <w:rFonts w:ascii="Arial" w:hAnsi="Arial" w:cs="Arial"/>
          <w:spacing w:val="-1"/>
          <w:sz w:val="20"/>
        </w:rPr>
        <w:t xml:space="preserve"> </w:t>
      </w:r>
      <w:r w:rsidRPr="00C1427A">
        <w:rPr>
          <w:rFonts w:ascii="Arial" w:hAnsi="Arial" w:cs="Arial"/>
          <w:sz w:val="20"/>
        </w:rPr>
        <w:t>following:</w:t>
      </w:r>
    </w:p>
    <w:p w14:paraId="63ECEA32" w14:textId="77777777" w:rsidR="00C1427A" w:rsidRPr="00C1427A" w:rsidRDefault="00C1427A" w:rsidP="00D91E6C">
      <w:pPr>
        <w:pStyle w:val="ListParagraph"/>
        <w:numPr>
          <w:ilvl w:val="2"/>
          <w:numId w:val="277"/>
        </w:numPr>
        <w:tabs>
          <w:tab w:val="left" w:pos="1841"/>
          <w:tab w:val="left" w:pos="1842"/>
        </w:tabs>
        <w:ind w:right="68"/>
        <w:jc w:val="both"/>
        <w:rPr>
          <w:rFonts w:ascii="Arial" w:hAnsi="Arial" w:cs="Arial"/>
          <w:sz w:val="20"/>
        </w:rPr>
      </w:pPr>
      <w:r w:rsidRPr="00C1427A">
        <w:rPr>
          <w:rFonts w:ascii="Arial" w:hAnsi="Arial" w:cs="Arial"/>
          <w:sz w:val="20"/>
        </w:rPr>
        <w:t>national</w:t>
      </w:r>
      <w:r w:rsidRPr="00C1427A">
        <w:rPr>
          <w:rFonts w:ascii="Arial" w:hAnsi="Arial" w:cs="Arial"/>
          <w:spacing w:val="-2"/>
          <w:sz w:val="20"/>
        </w:rPr>
        <w:t xml:space="preserve"> </w:t>
      </w:r>
      <w:r w:rsidRPr="00C1427A">
        <w:rPr>
          <w:rFonts w:ascii="Arial" w:hAnsi="Arial" w:cs="Arial"/>
          <w:sz w:val="20"/>
        </w:rPr>
        <w:t>administrative</w:t>
      </w:r>
      <w:r w:rsidRPr="00C1427A">
        <w:rPr>
          <w:rFonts w:ascii="Arial" w:hAnsi="Arial" w:cs="Arial"/>
          <w:spacing w:val="-3"/>
          <w:sz w:val="20"/>
        </w:rPr>
        <w:t xml:space="preserve"> </w:t>
      </w:r>
      <w:r w:rsidRPr="00C1427A">
        <w:rPr>
          <w:rFonts w:ascii="Arial" w:hAnsi="Arial" w:cs="Arial"/>
          <w:sz w:val="20"/>
        </w:rPr>
        <w:t>procedures;</w:t>
      </w:r>
    </w:p>
    <w:p w14:paraId="12E159C8" w14:textId="77777777" w:rsidR="00C1427A" w:rsidRPr="00C1427A" w:rsidRDefault="00C1427A" w:rsidP="00D91E6C">
      <w:pPr>
        <w:pStyle w:val="ListParagraph"/>
        <w:numPr>
          <w:ilvl w:val="2"/>
          <w:numId w:val="277"/>
        </w:numPr>
        <w:tabs>
          <w:tab w:val="left" w:pos="1841"/>
          <w:tab w:val="left" w:pos="1842"/>
        </w:tabs>
        <w:ind w:right="68"/>
        <w:jc w:val="both"/>
        <w:rPr>
          <w:rFonts w:ascii="Arial" w:hAnsi="Arial" w:cs="Arial"/>
          <w:sz w:val="20"/>
        </w:rPr>
      </w:pPr>
      <w:r w:rsidRPr="00C1427A">
        <w:rPr>
          <w:rFonts w:ascii="Arial" w:hAnsi="Arial" w:cs="Arial"/>
          <w:sz w:val="20"/>
        </w:rPr>
        <w:t>requirements</w:t>
      </w:r>
      <w:r w:rsidRPr="00C1427A">
        <w:rPr>
          <w:rFonts w:ascii="Arial" w:hAnsi="Arial" w:cs="Arial"/>
          <w:spacing w:val="-2"/>
          <w:sz w:val="20"/>
        </w:rPr>
        <w:t xml:space="preserve"> </w:t>
      </w:r>
      <w:r w:rsidRPr="00C1427A">
        <w:rPr>
          <w:rFonts w:ascii="Arial" w:hAnsi="Arial" w:cs="Arial"/>
          <w:sz w:val="20"/>
        </w:rPr>
        <w:t>for</w:t>
      </w:r>
      <w:r w:rsidRPr="00C1427A">
        <w:rPr>
          <w:rFonts w:ascii="Arial" w:hAnsi="Arial" w:cs="Arial"/>
          <w:spacing w:val="-1"/>
          <w:sz w:val="20"/>
        </w:rPr>
        <w:t xml:space="preserve"> </w:t>
      </w:r>
      <w:r w:rsidRPr="00C1427A">
        <w:rPr>
          <w:rFonts w:ascii="Arial" w:hAnsi="Arial" w:cs="Arial"/>
          <w:sz w:val="20"/>
        </w:rPr>
        <w:t>the protection</w:t>
      </w:r>
      <w:r w:rsidRPr="00C1427A">
        <w:rPr>
          <w:rFonts w:ascii="Arial" w:hAnsi="Arial" w:cs="Arial"/>
          <w:spacing w:val="-4"/>
          <w:sz w:val="20"/>
        </w:rPr>
        <w:t xml:space="preserve"> </w:t>
      </w:r>
      <w:r w:rsidRPr="00C1427A">
        <w:rPr>
          <w:rFonts w:ascii="Arial" w:hAnsi="Arial" w:cs="Arial"/>
          <w:sz w:val="20"/>
        </w:rPr>
        <w:t>of</w:t>
      </w:r>
      <w:r w:rsidRPr="00C1427A">
        <w:rPr>
          <w:rFonts w:ascii="Arial" w:hAnsi="Arial" w:cs="Arial"/>
          <w:spacing w:val="-1"/>
          <w:sz w:val="20"/>
        </w:rPr>
        <w:t xml:space="preserve"> </w:t>
      </w:r>
      <w:r w:rsidRPr="00C1427A">
        <w:rPr>
          <w:rFonts w:ascii="Arial" w:hAnsi="Arial" w:cs="Arial"/>
          <w:sz w:val="20"/>
        </w:rPr>
        <w:t>personal</w:t>
      </w:r>
      <w:r w:rsidRPr="00C1427A">
        <w:rPr>
          <w:rFonts w:ascii="Arial" w:hAnsi="Arial" w:cs="Arial"/>
          <w:spacing w:val="-1"/>
          <w:sz w:val="20"/>
        </w:rPr>
        <w:t xml:space="preserve"> </w:t>
      </w:r>
      <w:r w:rsidRPr="00C1427A">
        <w:rPr>
          <w:rFonts w:ascii="Arial" w:hAnsi="Arial" w:cs="Arial"/>
          <w:sz w:val="20"/>
        </w:rPr>
        <w:t>data;</w:t>
      </w:r>
    </w:p>
    <w:p w14:paraId="6A3E0A6C" w14:textId="77777777" w:rsidR="00C1427A" w:rsidRPr="00C1427A" w:rsidRDefault="00C1427A" w:rsidP="00D91E6C">
      <w:pPr>
        <w:pStyle w:val="ListParagraph"/>
        <w:numPr>
          <w:ilvl w:val="2"/>
          <w:numId w:val="277"/>
        </w:numPr>
        <w:tabs>
          <w:tab w:val="left" w:pos="1841"/>
          <w:tab w:val="left" w:pos="1842"/>
        </w:tabs>
        <w:spacing w:before="121"/>
        <w:ind w:right="68"/>
        <w:jc w:val="both"/>
        <w:rPr>
          <w:rFonts w:ascii="Arial" w:hAnsi="Arial" w:cs="Arial"/>
          <w:sz w:val="20"/>
        </w:rPr>
      </w:pPr>
      <w:r w:rsidRPr="00C1427A">
        <w:rPr>
          <w:rFonts w:ascii="Arial" w:hAnsi="Arial" w:cs="Arial"/>
          <w:sz w:val="20"/>
        </w:rPr>
        <w:t>examiner’s</w:t>
      </w:r>
      <w:r w:rsidRPr="00C1427A">
        <w:rPr>
          <w:rFonts w:ascii="Arial" w:hAnsi="Arial" w:cs="Arial"/>
          <w:spacing w:val="-2"/>
          <w:sz w:val="20"/>
        </w:rPr>
        <w:t xml:space="preserve"> </w:t>
      </w:r>
      <w:r w:rsidRPr="00C1427A">
        <w:rPr>
          <w:rFonts w:ascii="Arial" w:hAnsi="Arial" w:cs="Arial"/>
          <w:sz w:val="20"/>
        </w:rPr>
        <w:t>liability;</w:t>
      </w:r>
    </w:p>
    <w:p w14:paraId="6922B6FC" w14:textId="77777777" w:rsidR="00C1427A" w:rsidRPr="00C1427A" w:rsidRDefault="00C1427A" w:rsidP="00D91E6C">
      <w:pPr>
        <w:pStyle w:val="ListParagraph"/>
        <w:numPr>
          <w:ilvl w:val="2"/>
          <w:numId w:val="277"/>
        </w:numPr>
        <w:tabs>
          <w:tab w:val="left" w:pos="1841"/>
          <w:tab w:val="left" w:pos="1842"/>
        </w:tabs>
        <w:ind w:right="68"/>
        <w:jc w:val="both"/>
        <w:rPr>
          <w:rFonts w:ascii="Arial" w:hAnsi="Arial" w:cs="Arial"/>
          <w:sz w:val="20"/>
        </w:rPr>
      </w:pPr>
      <w:r w:rsidRPr="00C1427A">
        <w:rPr>
          <w:rFonts w:ascii="Arial" w:hAnsi="Arial" w:cs="Arial"/>
          <w:sz w:val="20"/>
        </w:rPr>
        <w:t>examiner’s</w:t>
      </w:r>
      <w:r w:rsidRPr="00C1427A">
        <w:rPr>
          <w:rFonts w:ascii="Arial" w:hAnsi="Arial" w:cs="Arial"/>
          <w:spacing w:val="-1"/>
          <w:sz w:val="20"/>
        </w:rPr>
        <w:t xml:space="preserve"> </w:t>
      </w:r>
      <w:r w:rsidRPr="00C1427A">
        <w:rPr>
          <w:rFonts w:ascii="Arial" w:hAnsi="Arial" w:cs="Arial"/>
          <w:sz w:val="20"/>
        </w:rPr>
        <w:t>accident</w:t>
      </w:r>
      <w:r w:rsidRPr="00C1427A">
        <w:rPr>
          <w:rFonts w:ascii="Arial" w:hAnsi="Arial" w:cs="Arial"/>
          <w:spacing w:val="-1"/>
          <w:sz w:val="20"/>
        </w:rPr>
        <w:t xml:space="preserve"> </w:t>
      </w:r>
      <w:r w:rsidRPr="00C1427A">
        <w:rPr>
          <w:rFonts w:ascii="Arial" w:hAnsi="Arial" w:cs="Arial"/>
          <w:sz w:val="20"/>
        </w:rPr>
        <w:t>insurance;</w:t>
      </w:r>
    </w:p>
    <w:p w14:paraId="73D2D502" w14:textId="77777777" w:rsidR="00C1427A" w:rsidRPr="00C1427A" w:rsidRDefault="00C1427A" w:rsidP="00D91E6C">
      <w:pPr>
        <w:pStyle w:val="ListParagraph"/>
        <w:numPr>
          <w:ilvl w:val="2"/>
          <w:numId w:val="277"/>
        </w:numPr>
        <w:tabs>
          <w:tab w:val="left" w:pos="1841"/>
          <w:tab w:val="left" w:pos="1842"/>
        </w:tabs>
        <w:ind w:right="68"/>
        <w:jc w:val="both"/>
        <w:rPr>
          <w:rFonts w:ascii="Arial" w:hAnsi="Arial" w:cs="Arial"/>
          <w:sz w:val="20"/>
        </w:rPr>
      </w:pPr>
      <w:r w:rsidRPr="00C1427A">
        <w:rPr>
          <w:rFonts w:ascii="Arial" w:hAnsi="Arial" w:cs="Arial"/>
          <w:sz w:val="20"/>
        </w:rPr>
        <w:t>national fees;</w:t>
      </w:r>
      <w:r w:rsidRPr="00C1427A">
        <w:rPr>
          <w:rFonts w:ascii="Arial" w:hAnsi="Arial" w:cs="Arial"/>
          <w:spacing w:val="-1"/>
          <w:sz w:val="20"/>
        </w:rPr>
        <w:t xml:space="preserve"> </w:t>
      </w:r>
      <w:r w:rsidRPr="00C1427A">
        <w:rPr>
          <w:rFonts w:ascii="Arial" w:hAnsi="Arial" w:cs="Arial"/>
          <w:sz w:val="20"/>
        </w:rPr>
        <w:t>and</w:t>
      </w:r>
    </w:p>
    <w:p w14:paraId="7A42AA67" w14:textId="77777777" w:rsidR="00C1427A" w:rsidRPr="00C1427A" w:rsidRDefault="00C1427A" w:rsidP="00D91E6C">
      <w:pPr>
        <w:pStyle w:val="ListParagraph"/>
        <w:numPr>
          <w:ilvl w:val="2"/>
          <w:numId w:val="277"/>
        </w:numPr>
        <w:tabs>
          <w:tab w:val="left" w:pos="1842"/>
        </w:tabs>
        <w:ind w:right="68"/>
        <w:jc w:val="both"/>
        <w:rPr>
          <w:rFonts w:ascii="Arial" w:hAnsi="Arial" w:cs="Arial"/>
          <w:sz w:val="20"/>
        </w:rPr>
      </w:pPr>
      <w:r w:rsidRPr="00C1427A">
        <w:rPr>
          <w:rFonts w:ascii="Arial" w:hAnsi="Arial" w:cs="Arial"/>
          <w:sz w:val="20"/>
        </w:rPr>
        <w:t>information on how to access the information contained in points (i) to (v) when</w:t>
      </w:r>
      <w:r w:rsidRPr="00C1427A">
        <w:rPr>
          <w:rFonts w:ascii="Arial" w:hAnsi="Arial" w:cs="Arial"/>
          <w:spacing w:val="1"/>
          <w:sz w:val="20"/>
        </w:rPr>
        <w:t xml:space="preserve"> </w:t>
      </w:r>
      <w:r w:rsidRPr="00C1427A">
        <w:rPr>
          <w:rFonts w:ascii="Arial" w:hAnsi="Arial" w:cs="Arial"/>
          <w:sz w:val="20"/>
        </w:rPr>
        <w:t>conducting skill tests, proficiency checks or assessments of competence of an</w:t>
      </w:r>
      <w:r w:rsidRPr="00C1427A">
        <w:rPr>
          <w:rFonts w:ascii="Arial" w:hAnsi="Arial" w:cs="Arial"/>
          <w:spacing w:val="1"/>
          <w:sz w:val="20"/>
        </w:rPr>
        <w:t xml:space="preserve"> </w:t>
      </w:r>
      <w:r w:rsidRPr="00C1427A">
        <w:rPr>
          <w:rFonts w:ascii="Arial" w:hAnsi="Arial" w:cs="Arial"/>
          <w:sz w:val="20"/>
        </w:rPr>
        <w:t>applicant whose competent authority is not the one that issued the examiner</w:t>
      </w:r>
      <w:r w:rsidRPr="00C1427A">
        <w:rPr>
          <w:rFonts w:ascii="Arial" w:hAnsi="Arial" w:cs="Arial"/>
          <w:spacing w:val="1"/>
          <w:sz w:val="20"/>
        </w:rPr>
        <w:t xml:space="preserve"> </w:t>
      </w:r>
      <w:r w:rsidRPr="00C1427A">
        <w:rPr>
          <w:rFonts w:ascii="Arial" w:hAnsi="Arial" w:cs="Arial"/>
          <w:sz w:val="20"/>
        </w:rPr>
        <w:t>certificate.</w:t>
      </w:r>
    </w:p>
    <w:p w14:paraId="6A903B35" w14:textId="77777777" w:rsidR="00C1427A" w:rsidRPr="00C1427A" w:rsidRDefault="00C1427A" w:rsidP="00D91E6C">
      <w:pPr>
        <w:pStyle w:val="ListParagraph"/>
        <w:numPr>
          <w:ilvl w:val="0"/>
          <w:numId w:val="277"/>
        </w:numPr>
        <w:tabs>
          <w:tab w:val="left" w:pos="707"/>
        </w:tabs>
        <w:spacing w:before="119"/>
        <w:ind w:right="68"/>
        <w:jc w:val="both"/>
        <w:rPr>
          <w:rFonts w:ascii="Arial" w:hAnsi="Arial" w:cs="Arial"/>
          <w:sz w:val="20"/>
        </w:rPr>
      </w:pPr>
      <w:r w:rsidRPr="00C1427A">
        <w:rPr>
          <w:rFonts w:ascii="Arial" w:hAnsi="Arial" w:cs="Arial"/>
          <w:sz w:val="20"/>
        </w:rPr>
        <w:t>An FE(B) certificate holder shall not conduct skill tests, proficiency checks or assessments of</w:t>
      </w:r>
      <w:r w:rsidRPr="00C1427A">
        <w:rPr>
          <w:rFonts w:ascii="Arial" w:hAnsi="Arial" w:cs="Arial"/>
          <w:spacing w:val="1"/>
          <w:sz w:val="20"/>
        </w:rPr>
        <w:t xml:space="preserve"> </w:t>
      </w:r>
      <w:r w:rsidRPr="00C1427A">
        <w:rPr>
          <w:rFonts w:ascii="Arial" w:hAnsi="Arial" w:cs="Arial"/>
          <w:sz w:val="20"/>
        </w:rPr>
        <w:t>competence</w:t>
      </w:r>
      <w:r w:rsidRPr="00C1427A">
        <w:rPr>
          <w:rFonts w:ascii="Arial" w:hAnsi="Arial" w:cs="Arial"/>
          <w:spacing w:val="-12"/>
          <w:sz w:val="20"/>
        </w:rPr>
        <w:t xml:space="preserve"> </w:t>
      </w:r>
      <w:r w:rsidRPr="00C1427A">
        <w:rPr>
          <w:rFonts w:ascii="Arial" w:hAnsi="Arial" w:cs="Arial"/>
          <w:sz w:val="20"/>
        </w:rPr>
        <w:t>of</w:t>
      </w:r>
      <w:r w:rsidRPr="00C1427A">
        <w:rPr>
          <w:rFonts w:ascii="Arial" w:hAnsi="Arial" w:cs="Arial"/>
          <w:spacing w:val="-10"/>
          <w:sz w:val="20"/>
        </w:rPr>
        <w:t xml:space="preserve"> </w:t>
      </w:r>
      <w:r w:rsidRPr="00C1427A">
        <w:rPr>
          <w:rFonts w:ascii="Arial" w:hAnsi="Arial" w:cs="Arial"/>
          <w:sz w:val="20"/>
        </w:rPr>
        <w:t>an</w:t>
      </w:r>
      <w:r w:rsidRPr="00C1427A">
        <w:rPr>
          <w:rFonts w:ascii="Arial" w:hAnsi="Arial" w:cs="Arial"/>
          <w:spacing w:val="-10"/>
          <w:sz w:val="20"/>
        </w:rPr>
        <w:t xml:space="preserve"> </w:t>
      </w:r>
      <w:r w:rsidRPr="00C1427A">
        <w:rPr>
          <w:rFonts w:ascii="Arial" w:hAnsi="Arial" w:cs="Arial"/>
          <w:sz w:val="20"/>
        </w:rPr>
        <w:t>applicant</w:t>
      </w:r>
      <w:r w:rsidRPr="00C1427A">
        <w:rPr>
          <w:rFonts w:ascii="Arial" w:hAnsi="Arial" w:cs="Arial"/>
          <w:spacing w:val="-9"/>
          <w:sz w:val="20"/>
        </w:rPr>
        <w:t xml:space="preserve"> </w:t>
      </w:r>
      <w:r w:rsidRPr="00C1427A">
        <w:rPr>
          <w:rFonts w:ascii="Arial" w:hAnsi="Arial" w:cs="Arial"/>
          <w:sz w:val="20"/>
        </w:rPr>
        <w:t>whose</w:t>
      </w:r>
      <w:r w:rsidRPr="00C1427A">
        <w:rPr>
          <w:rFonts w:ascii="Arial" w:hAnsi="Arial" w:cs="Arial"/>
          <w:spacing w:val="-9"/>
          <w:sz w:val="20"/>
        </w:rPr>
        <w:t xml:space="preserve"> </w:t>
      </w:r>
      <w:r w:rsidRPr="00C1427A">
        <w:rPr>
          <w:rFonts w:ascii="Arial" w:hAnsi="Arial" w:cs="Arial"/>
          <w:sz w:val="20"/>
        </w:rPr>
        <w:t>competent</w:t>
      </w:r>
      <w:r w:rsidRPr="00C1427A">
        <w:rPr>
          <w:rFonts w:ascii="Arial" w:hAnsi="Arial" w:cs="Arial"/>
          <w:spacing w:val="-9"/>
          <w:sz w:val="20"/>
        </w:rPr>
        <w:t xml:space="preserve"> </w:t>
      </w:r>
      <w:r w:rsidRPr="00C1427A">
        <w:rPr>
          <w:rFonts w:ascii="Arial" w:hAnsi="Arial" w:cs="Arial"/>
          <w:sz w:val="20"/>
        </w:rPr>
        <w:t>authority</w:t>
      </w:r>
      <w:r w:rsidRPr="00C1427A">
        <w:rPr>
          <w:rFonts w:ascii="Arial" w:hAnsi="Arial" w:cs="Arial"/>
          <w:spacing w:val="-8"/>
          <w:sz w:val="20"/>
        </w:rPr>
        <w:t xml:space="preserve"> </w:t>
      </w:r>
      <w:r w:rsidRPr="00C1427A">
        <w:rPr>
          <w:rFonts w:ascii="Arial" w:hAnsi="Arial" w:cs="Arial"/>
          <w:sz w:val="20"/>
        </w:rPr>
        <w:t>is</w:t>
      </w:r>
      <w:r w:rsidRPr="00C1427A">
        <w:rPr>
          <w:rFonts w:ascii="Arial" w:hAnsi="Arial" w:cs="Arial"/>
          <w:spacing w:val="-10"/>
          <w:sz w:val="20"/>
        </w:rPr>
        <w:t xml:space="preserve"> </w:t>
      </w:r>
      <w:r w:rsidRPr="00C1427A">
        <w:rPr>
          <w:rFonts w:ascii="Arial" w:hAnsi="Arial" w:cs="Arial"/>
          <w:sz w:val="20"/>
        </w:rPr>
        <w:t>not</w:t>
      </w:r>
      <w:r w:rsidRPr="00C1427A">
        <w:rPr>
          <w:rFonts w:ascii="Arial" w:hAnsi="Arial" w:cs="Arial"/>
          <w:spacing w:val="-11"/>
          <w:sz w:val="20"/>
        </w:rPr>
        <w:t xml:space="preserve"> </w:t>
      </w:r>
      <w:r w:rsidRPr="00C1427A">
        <w:rPr>
          <w:rFonts w:ascii="Arial" w:hAnsi="Arial" w:cs="Arial"/>
          <w:sz w:val="20"/>
        </w:rPr>
        <w:t>the</w:t>
      </w:r>
      <w:r w:rsidRPr="00C1427A">
        <w:rPr>
          <w:rFonts w:ascii="Arial" w:hAnsi="Arial" w:cs="Arial"/>
          <w:spacing w:val="-9"/>
          <w:sz w:val="20"/>
        </w:rPr>
        <w:t xml:space="preserve"> </w:t>
      </w:r>
      <w:r w:rsidRPr="00C1427A">
        <w:rPr>
          <w:rFonts w:ascii="Arial" w:hAnsi="Arial" w:cs="Arial"/>
          <w:sz w:val="20"/>
        </w:rPr>
        <w:t>one</w:t>
      </w:r>
      <w:r w:rsidRPr="00C1427A">
        <w:rPr>
          <w:rFonts w:ascii="Arial" w:hAnsi="Arial" w:cs="Arial"/>
          <w:spacing w:val="-9"/>
          <w:sz w:val="20"/>
        </w:rPr>
        <w:t xml:space="preserve"> </w:t>
      </w:r>
      <w:r w:rsidRPr="00C1427A">
        <w:rPr>
          <w:rFonts w:ascii="Arial" w:hAnsi="Arial" w:cs="Arial"/>
          <w:sz w:val="20"/>
        </w:rPr>
        <w:t>that</w:t>
      </w:r>
      <w:r w:rsidRPr="00C1427A">
        <w:rPr>
          <w:rFonts w:ascii="Arial" w:hAnsi="Arial" w:cs="Arial"/>
          <w:spacing w:val="-10"/>
          <w:sz w:val="20"/>
        </w:rPr>
        <w:t xml:space="preserve"> </w:t>
      </w:r>
      <w:r w:rsidRPr="00C1427A">
        <w:rPr>
          <w:rFonts w:ascii="Arial" w:hAnsi="Arial" w:cs="Arial"/>
          <w:sz w:val="20"/>
        </w:rPr>
        <w:t>issued</w:t>
      </w:r>
      <w:r w:rsidRPr="00C1427A">
        <w:rPr>
          <w:rFonts w:ascii="Arial" w:hAnsi="Arial" w:cs="Arial"/>
          <w:spacing w:val="-12"/>
          <w:sz w:val="20"/>
        </w:rPr>
        <w:t xml:space="preserve"> </w:t>
      </w:r>
      <w:r w:rsidRPr="00C1427A">
        <w:rPr>
          <w:rFonts w:ascii="Arial" w:hAnsi="Arial" w:cs="Arial"/>
          <w:sz w:val="20"/>
        </w:rPr>
        <w:t>the</w:t>
      </w:r>
      <w:r w:rsidRPr="00C1427A">
        <w:rPr>
          <w:rFonts w:ascii="Arial" w:hAnsi="Arial" w:cs="Arial"/>
          <w:spacing w:val="-9"/>
          <w:sz w:val="20"/>
        </w:rPr>
        <w:t xml:space="preserve"> </w:t>
      </w:r>
      <w:r w:rsidRPr="00C1427A">
        <w:rPr>
          <w:rFonts w:ascii="Arial" w:hAnsi="Arial" w:cs="Arial"/>
          <w:sz w:val="20"/>
        </w:rPr>
        <w:t>examiner</w:t>
      </w:r>
      <w:r w:rsidRPr="00C1427A">
        <w:rPr>
          <w:rFonts w:ascii="Arial" w:hAnsi="Arial" w:cs="Arial"/>
          <w:spacing w:val="-47"/>
          <w:sz w:val="20"/>
        </w:rPr>
        <w:t xml:space="preserve"> </w:t>
      </w:r>
      <w:r w:rsidRPr="00C1427A">
        <w:rPr>
          <w:rFonts w:ascii="Arial" w:hAnsi="Arial" w:cs="Arial"/>
          <w:sz w:val="20"/>
        </w:rPr>
        <w:t>certificate,</w:t>
      </w:r>
      <w:r w:rsidRPr="00C1427A">
        <w:rPr>
          <w:rFonts w:ascii="Arial" w:hAnsi="Arial" w:cs="Arial"/>
          <w:spacing w:val="1"/>
          <w:sz w:val="20"/>
        </w:rPr>
        <w:t xml:space="preserve"> </w:t>
      </w:r>
      <w:r w:rsidRPr="00C1427A">
        <w:rPr>
          <w:rFonts w:ascii="Arial" w:hAnsi="Arial" w:cs="Arial"/>
          <w:sz w:val="20"/>
        </w:rPr>
        <w:t>unless</w:t>
      </w:r>
      <w:r w:rsidRPr="00C1427A">
        <w:rPr>
          <w:rFonts w:ascii="Arial" w:hAnsi="Arial" w:cs="Arial"/>
          <w:spacing w:val="1"/>
          <w:sz w:val="20"/>
        </w:rPr>
        <w:t xml:space="preserve"> </w:t>
      </w:r>
      <w:r w:rsidRPr="00C1427A">
        <w:rPr>
          <w:rFonts w:ascii="Arial" w:hAnsi="Arial" w:cs="Arial"/>
          <w:sz w:val="20"/>
        </w:rPr>
        <w:t>he</w:t>
      </w:r>
      <w:r w:rsidRPr="00C1427A">
        <w:rPr>
          <w:rFonts w:ascii="Arial" w:hAnsi="Arial" w:cs="Arial"/>
          <w:spacing w:val="1"/>
          <w:sz w:val="20"/>
        </w:rPr>
        <w:t xml:space="preserve"> </w:t>
      </w:r>
      <w:r w:rsidRPr="00C1427A">
        <w:rPr>
          <w:rFonts w:ascii="Arial" w:hAnsi="Arial" w:cs="Arial"/>
          <w:sz w:val="20"/>
        </w:rPr>
        <w:t>or</w:t>
      </w:r>
      <w:r w:rsidRPr="00C1427A">
        <w:rPr>
          <w:rFonts w:ascii="Arial" w:hAnsi="Arial" w:cs="Arial"/>
          <w:spacing w:val="1"/>
          <w:sz w:val="20"/>
        </w:rPr>
        <w:t xml:space="preserve"> </w:t>
      </w:r>
      <w:r w:rsidRPr="00C1427A">
        <w:rPr>
          <w:rFonts w:ascii="Arial" w:hAnsi="Arial" w:cs="Arial"/>
          <w:sz w:val="20"/>
        </w:rPr>
        <w:t>she</w:t>
      </w:r>
      <w:r w:rsidRPr="00C1427A">
        <w:rPr>
          <w:rFonts w:ascii="Arial" w:hAnsi="Arial" w:cs="Arial"/>
          <w:spacing w:val="1"/>
          <w:sz w:val="20"/>
        </w:rPr>
        <w:t xml:space="preserve"> </w:t>
      </w:r>
      <w:r w:rsidRPr="00C1427A">
        <w:rPr>
          <w:rFonts w:ascii="Arial" w:hAnsi="Arial" w:cs="Arial"/>
          <w:sz w:val="20"/>
        </w:rPr>
        <w:t>has</w:t>
      </w:r>
      <w:r w:rsidRPr="00C1427A">
        <w:rPr>
          <w:rFonts w:ascii="Arial" w:hAnsi="Arial" w:cs="Arial"/>
          <w:spacing w:val="1"/>
          <w:sz w:val="20"/>
        </w:rPr>
        <w:t xml:space="preserve"> </w:t>
      </w:r>
      <w:r w:rsidRPr="00C1427A">
        <w:rPr>
          <w:rFonts w:ascii="Arial" w:hAnsi="Arial" w:cs="Arial"/>
          <w:sz w:val="20"/>
        </w:rPr>
        <w:t>reviewed</w:t>
      </w:r>
      <w:r w:rsidRPr="00C1427A">
        <w:rPr>
          <w:rFonts w:ascii="Arial" w:hAnsi="Arial" w:cs="Arial"/>
          <w:spacing w:val="1"/>
          <w:sz w:val="20"/>
        </w:rPr>
        <w:t xml:space="preserve"> </w:t>
      </w:r>
      <w:r w:rsidRPr="00C1427A">
        <w:rPr>
          <w:rFonts w:ascii="Arial" w:hAnsi="Arial" w:cs="Arial"/>
          <w:sz w:val="20"/>
        </w:rPr>
        <w:t>the</w:t>
      </w:r>
      <w:r w:rsidRPr="00C1427A">
        <w:rPr>
          <w:rFonts w:ascii="Arial" w:hAnsi="Arial" w:cs="Arial"/>
          <w:spacing w:val="1"/>
          <w:sz w:val="20"/>
        </w:rPr>
        <w:t xml:space="preserve"> </w:t>
      </w:r>
      <w:r w:rsidRPr="00C1427A">
        <w:rPr>
          <w:rFonts w:ascii="Arial" w:hAnsi="Arial" w:cs="Arial"/>
          <w:sz w:val="20"/>
        </w:rPr>
        <w:t>latest</w:t>
      </w:r>
      <w:r w:rsidRPr="00C1427A">
        <w:rPr>
          <w:rFonts w:ascii="Arial" w:hAnsi="Arial" w:cs="Arial"/>
          <w:spacing w:val="1"/>
          <w:sz w:val="20"/>
        </w:rPr>
        <w:t xml:space="preserve"> </w:t>
      </w:r>
      <w:r w:rsidRPr="00C1427A">
        <w:rPr>
          <w:rFonts w:ascii="Arial" w:hAnsi="Arial" w:cs="Arial"/>
          <w:sz w:val="20"/>
        </w:rPr>
        <w:t>available</w:t>
      </w:r>
      <w:r w:rsidRPr="00C1427A">
        <w:rPr>
          <w:rFonts w:ascii="Arial" w:hAnsi="Arial" w:cs="Arial"/>
          <w:spacing w:val="1"/>
          <w:sz w:val="20"/>
        </w:rPr>
        <w:t xml:space="preserve"> </w:t>
      </w:r>
      <w:r w:rsidRPr="00C1427A">
        <w:rPr>
          <w:rFonts w:ascii="Arial" w:hAnsi="Arial" w:cs="Arial"/>
          <w:sz w:val="20"/>
        </w:rPr>
        <w:t>information</w:t>
      </w:r>
      <w:r w:rsidRPr="00C1427A">
        <w:rPr>
          <w:rFonts w:ascii="Arial" w:hAnsi="Arial" w:cs="Arial"/>
          <w:spacing w:val="1"/>
          <w:sz w:val="20"/>
        </w:rPr>
        <w:t xml:space="preserve"> </w:t>
      </w:r>
      <w:r w:rsidRPr="00C1427A">
        <w:rPr>
          <w:rFonts w:ascii="Arial" w:hAnsi="Arial" w:cs="Arial"/>
          <w:sz w:val="20"/>
        </w:rPr>
        <w:t>containing</w:t>
      </w:r>
      <w:r w:rsidRPr="00C1427A">
        <w:rPr>
          <w:rFonts w:ascii="Arial" w:hAnsi="Arial" w:cs="Arial"/>
          <w:spacing w:val="1"/>
          <w:sz w:val="20"/>
        </w:rPr>
        <w:t xml:space="preserve"> </w:t>
      </w:r>
      <w:r w:rsidRPr="00C1427A">
        <w:rPr>
          <w:rFonts w:ascii="Arial" w:hAnsi="Arial" w:cs="Arial"/>
          <w:sz w:val="20"/>
        </w:rPr>
        <w:t>the</w:t>
      </w:r>
      <w:r w:rsidRPr="00C1427A">
        <w:rPr>
          <w:rFonts w:ascii="Arial" w:hAnsi="Arial" w:cs="Arial"/>
          <w:spacing w:val="-48"/>
          <w:sz w:val="20"/>
        </w:rPr>
        <w:t xml:space="preserve"> </w:t>
      </w:r>
      <w:r w:rsidRPr="00C1427A">
        <w:rPr>
          <w:rFonts w:ascii="Arial" w:hAnsi="Arial" w:cs="Arial"/>
          <w:sz w:val="20"/>
        </w:rPr>
        <w:t>relevant</w:t>
      </w:r>
      <w:r w:rsidRPr="00C1427A">
        <w:rPr>
          <w:rFonts w:ascii="Arial" w:hAnsi="Arial" w:cs="Arial"/>
          <w:spacing w:val="-1"/>
          <w:sz w:val="20"/>
        </w:rPr>
        <w:t xml:space="preserve"> </w:t>
      </w:r>
      <w:r w:rsidRPr="00C1427A">
        <w:rPr>
          <w:rFonts w:ascii="Arial" w:hAnsi="Arial" w:cs="Arial"/>
          <w:sz w:val="20"/>
        </w:rPr>
        <w:t>national procedures</w:t>
      </w:r>
      <w:r w:rsidRPr="00C1427A">
        <w:rPr>
          <w:rFonts w:ascii="Arial" w:hAnsi="Arial" w:cs="Arial"/>
          <w:spacing w:val="1"/>
          <w:sz w:val="20"/>
        </w:rPr>
        <w:t xml:space="preserve"> </w:t>
      </w:r>
      <w:r w:rsidRPr="00C1427A">
        <w:rPr>
          <w:rFonts w:ascii="Arial" w:hAnsi="Arial" w:cs="Arial"/>
          <w:sz w:val="20"/>
        </w:rPr>
        <w:t>of</w:t>
      </w:r>
      <w:r w:rsidRPr="00C1427A">
        <w:rPr>
          <w:rFonts w:ascii="Arial" w:hAnsi="Arial" w:cs="Arial"/>
          <w:spacing w:val="-3"/>
          <w:sz w:val="20"/>
        </w:rPr>
        <w:t xml:space="preserve"> </w:t>
      </w:r>
      <w:r w:rsidRPr="00C1427A">
        <w:rPr>
          <w:rFonts w:ascii="Arial" w:hAnsi="Arial" w:cs="Arial"/>
          <w:sz w:val="20"/>
        </w:rPr>
        <w:t>the</w:t>
      </w:r>
      <w:r w:rsidRPr="00C1427A">
        <w:rPr>
          <w:rFonts w:ascii="Arial" w:hAnsi="Arial" w:cs="Arial"/>
          <w:spacing w:val="-3"/>
          <w:sz w:val="20"/>
        </w:rPr>
        <w:t xml:space="preserve"> </w:t>
      </w:r>
      <w:r w:rsidRPr="00C1427A">
        <w:rPr>
          <w:rFonts w:ascii="Arial" w:hAnsi="Arial" w:cs="Arial"/>
          <w:sz w:val="20"/>
        </w:rPr>
        <w:t>applicant’s</w:t>
      </w:r>
      <w:r w:rsidRPr="00C1427A">
        <w:rPr>
          <w:rFonts w:ascii="Arial" w:hAnsi="Arial" w:cs="Arial"/>
          <w:spacing w:val="1"/>
          <w:sz w:val="20"/>
        </w:rPr>
        <w:t xml:space="preserve"> </w:t>
      </w:r>
      <w:r w:rsidRPr="00C1427A">
        <w:rPr>
          <w:rFonts w:ascii="Arial" w:hAnsi="Arial" w:cs="Arial"/>
          <w:sz w:val="20"/>
        </w:rPr>
        <w:t>competent authority.</w:t>
      </w:r>
    </w:p>
    <w:p w14:paraId="3A3C61F5" w14:textId="77777777" w:rsidR="00C1427A" w:rsidRPr="00C1427A" w:rsidRDefault="00C1427A" w:rsidP="00C1427A">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769" w:name="AMC1_BFCL.430__FE(B)_certificate_–_Stand"/>
      <w:bookmarkStart w:id="770" w:name="_bookmark314"/>
      <w:bookmarkStart w:id="771" w:name="_Toc153137479"/>
      <w:bookmarkEnd w:id="769"/>
      <w:bookmarkEnd w:id="770"/>
      <w:r w:rsidRPr="00C1427A">
        <w:rPr>
          <w:rFonts w:ascii="Arial" w:eastAsia="Times New Roman" w:hAnsi="Arial" w:cs="Times New Roman"/>
          <w:b/>
          <w:color w:val="FFFFFF"/>
          <w:sz w:val="24"/>
        </w:rPr>
        <w:t>AMC1 BFCL.430 FE(B) certificate – Standardisation course</w:t>
      </w:r>
      <w:bookmarkEnd w:id="771"/>
    </w:p>
    <w:p w14:paraId="3986B797" w14:textId="77777777" w:rsidR="00C1427A" w:rsidRPr="00C1427A" w:rsidRDefault="00C1427A" w:rsidP="00C1427A">
      <w:pPr>
        <w:pStyle w:val="ListParagraph"/>
        <w:numPr>
          <w:ilvl w:val="0"/>
          <w:numId w:val="278"/>
        </w:numPr>
        <w:tabs>
          <w:tab w:val="left" w:pos="706"/>
          <w:tab w:val="left" w:pos="707"/>
        </w:tabs>
        <w:spacing w:before="0"/>
        <w:jc w:val="both"/>
        <w:rPr>
          <w:rFonts w:ascii="Arial" w:hAnsi="Arial" w:cs="Arial"/>
          <w:sz w:val="20"/>
        </w:rPr>
      </w:pPr>
      <w:r w:rsidRPr="00C1427A">
        <w:rPr>
          <w:rFonts w:ascii="Arial" w:hAnsi="Arial" w:cs="Arial"/>
          <w:sz w:val="20"/>
        </w:rPr>
        <w:t>GENERAL</w:t>
      </w:r>
    </w:p>
    <w:p w14:paraId="003DEF8E" w14:textId="297AB9B9" w:rsidR="00C1427A" w:rsidRPr="00C1427A" w:rsidRDefault="00C1427A" w:rsidP="00C1427A">
      <w:pPr>
        <w:pStyle w:val="ListParagraph"/>
        <w:numPr>
          <w:ilvl w:val="1"/>
          <w:numId w:val="278"/>
        </w:numPr>
        <w:tabs>
          <w:tab w:val="left" w:pos="1274"/>
        </w:tabs>
        <w:ind w:right="196"/>
        <w:jc w:val="both"/>
        <w:rPr>
          <w:rFonts w:ascii="Arial" w:hAnsi="Arial" w:cs="Arial"/>
          <w:sz w:val="20"/>
        </w:rPr>
      </w:pPr>
      <w:r w:rsidRPr="00C1427A">
        <w:rPr>
          <w:rFonts w:ascii="Arial" w:hAnsi="Arial" w:cs="Arial"/>
          <w:sz w:val="20"/>
        </w:rPr>
        <w:t xml:space="preserve">When issuing an approval for the conduct of FE(B) standardisation courses to an ATO </w:t>
      </w:r>
      <w:r w:rsidRPr="00C1427A">
        <w:rPr>
          <w:rFonts w:ascii="Arial" w:hAnsi="Arial" w:cs="Arial"/>
          <w:sz w:val="20"/>
        </w:rPr>
        <w:lastRenderedPageBreak/>
        <w:t>or</w:t>
      </w:r>
      <w:r w:rsidRPr="00C1427A">
        <w:rPr>
          <w:rFonts w:ascii="Arial" w:hAnsi="Arial" w:cs="Arial"/>
          <w:spacing w:val="1"/>
          <w:sz w:val="20"/>
        </w:rPr>
        <w:t xml:space="preserve"> </w:t>
      </w:r>
      <w:r w:rsidRPr="00C1427A">
        <w:rPr>
          <w:rFonts w:ascii="Arial" w:hAnsi="Arial" w:cs="Arial"/>
          <w:sz w:val="20"/>
        </w:rPr>
        <w:t xml:space="preserve">a DTO, the </w:t>
      </w:r>
      <w:r w:rsidR="003C6906">
        <w:rPr>
          <w:rFonts w:ascii="Arial" w:hAnsi="Arial" w:cs="Arial"/>
          <w:sz w:val="20"/>
          <w:szCs w:val="20"/>
        </w:rPr>
        <w:t xml:space="preserve">CAC RA </w:t>
      </w:r>
      <w:r w:rsidRPr="00C1427A">
        <w:rPr>
          <w:rFonts w:ascii="Arial" w:hAnsi="Arial" w:cs="Arial"/>
          <w:sz w:val="20"/>
        </w:rPr>
        <w:t>should monitor the execution of these courses through</w:t>
      </w:r>
      <w:r w:rsidRPr="00C1427A">
        <w:rPr>
          <w:rFonts w:ascii="Arial" w:hAnsi="Arial" w:cs="Arial"/>
          <w:spacing w:val="1"/>
          <w:sz w:val="20"/>
        </w:rPr>
        <w:t xml:space="preserve"> </w:t>
      </w:r>
      <w:r w:rsidRPr="00C1427A">
        <w:rPr>
          <w:rFonts w:ascii="Arial" w:hAnsi="Arial" w:cs="Arial"/>
          <w:sz w:val="20"/>
        </w:rPr>
        <w:t>appropriate</w:t>
      </w:r>
      <w:r w:rsidRPr="00C1427A">
        <w:rPr>
          <w:rFonts w:ascii="Arial" w:hAnsi="Arial" w:cs="Arial"/>
          <w:spacing w:val="-3"/>
          <w:sz w:val="20"/>
        </w:rPr>
        <w:t xml:space="preserve"> </w:t>
      </w:r>
      <w:r w:rsidRPr="00C1427A">
        <w:rPr>
          <w:rFonts w:ascii="Arial" w:hAnsi="Arial" w:cs="Arial"/>
          <w:sz w:val="20"/>
        </w:rPr>
        <w:t>oversight</w:t>
      </w:r>
      <w:r w:rsidRPr="00C1427A">
        <w:rPr>
          <w:rFonts w:ascii="Arial" w:hAnsi="Arial" w:cs="Arial"/>
          <w:spacing w:val="-2"/>
          <w:sz w:val="20"/>
        </w:rPr>
        <w:t xml:space="preserve"> </w:t>
      </w:r>
      <w:r w:rsidRPr="00C1427A">
        <w:rPr>
          <w:rFonts w:ascii="Arial" w:hAnsi="Arial" w:cs="Arial"/>
          <w:sz w:val="20"/>
        </w:rPr>
        <w:t>measures.</w:t>
      </w:r>
    </w:p>
    <w:p w14:paraId="631BC9F0" w14:textId="77777777" w:rsidR="00C1427A" w:rsidRPr="00C1427A" w:rsidRDefault="00C1427A" w:rsidP="00C1427A">
      <w:pPr>
        <w:pStyle w:val="ListParagraph"/>
        <w:numPr>
          <w:ilvl w:val="1"/>
          <w:numId w:val="278"/>
        </w:numPr>
        <w:tabs>
          <w:tab w:val="left" w:pos="1274"/>
        </w:tabs>
        <w:spacing w:before="118"/>
        <w:ind w:right="201"/>
        <w:jc w:val="both"/>
        <w:rPr>
          <w:rFonts w:ascii="Arial" w:hAnsi="Arial" w:cs="Arial"/>
          <w:sz w:val="20"/>
        </w:rPr>
      </w:pPr>
      <w:r w:rsidRPr="00C1427A">
        <w:rPr>
          <w:rFonts w:ascii="Arial" w:hAnsi="Arial" w:cs="Arial"/>
          <w:sz w:val="20"/>
        </w:rPr>
        <w:t>An FE(B) standardisation course should last at least 1 day, divided into theoretical and</w:t>
      </w:r>
      <w:r w:rsidRPr="00C1427A">
        <w:rPr>
          <w:rFonts w:ascii="Arial" w:hAnsi="Arial" w:cs="Arial"/>
          <w:spacing w:val="1"/>
          <w:sz w:val="20"/>
        </w:rPr>
        <w:t xml:space="preserve"> </w:t>
      </w:r>
      <w:r w:rsidRPr="00C1427A">
        <w:rPr>
          <w:rFonts w:ascii="Arial" w:hAnsi="Arial" w:cs="Arial"/>
          <w:sz w:val="20"/>
        </w:rPr>
        <w:t>practical training.</w:t>
      </w:r>
    </w:p>
    <w:p w14:paraId="3C1EF499" w14:textId="057F9680" w:rsidR="00C1427A" w:rsidRPr="00C1427A" w:rsidRDefault="00C1427A" w:rsidP="00C1427A">
      <w:pPr>
        <w:pStyle w:val="ListParagraph"/>
        <w:numPr>
          <w:ilvl w:val="1"/>
          <w:numId w:val="278"/>
        </w:numPr>
        <w:tabs>
          <w:tab w:val="left" w:pos="1274"/>
        </w:tabs>
        <w:spacing w:before="122"/>
        <w:ind w:right="198"/>
        <w:jc w:val="both"/>
        <w:rPr>
          <w:rFonts w:ascii="Arial" w:hAnsi="Arial" w:cs="Arial"/>
          <w:sz w:val="20"/>
        </w:rPr>
      </w:pPr>
      <w:r w:rsidRPr="00C1427A">
        <w:rPr>
          <w:rFonts w:ascii="Arial" w:hAnsi="Arial" w:cs="Arial"/>
          <w:sz w:val="20"/>
        </w:rPr>
        <w:t xml:space="preserve">The </w:t>
      </w:r>
      <w:r w:rsidR="003C6906">
        <w:rPr>
          <w:rFonts w:ascii="Arial" w:hAnsi="Arial" w:cs="Arial"/>
          <w:sz w:val="20"/>
          <w:szCs w:val="20"/>
        </w:rPr>
        <w:t>CAC RA</w:t>
      </w:r>
      <w:r w:rsidRPr="00C1427A">
        <w:rPr>
          <w:rFonts w:ascii="Arial" w:hAnsi="Arial" w:cs="Arial"/>
          <w:sz w:val="20"/>
        </w:rPr>
        <w:t>, the ATO or the DTO should determine any further training</w:t>
      </w:r>
      <w:r w:rsidRPr="00C1427A">
        <w:rPr>
          <w:rFonts w:ascii="Arial" w:hAnsi="Arial" w:cs="Arial"/>
          <w:spacing w:val="1"/>
          <w:sz w:val="20"/>
        </w:rPr>
        <w:t xml:space="preserve"> </w:t>
      </w:r>
      <w:r w:rsidRPr="00C1427A">
        <w:rPr>
          <w:rFonts w:ascii="Arial" w:hAnsi="Arial" w:cs="Arial"/>
          <w:sz w:val="20"/>
        </w:rPr>
        <w:t>required</w:t>
      </w:r>
      <w:r w:rsidRPr="00C1427A">
        <w:rPr>
          <w:rFonts w:ascii="Arial" w:hAnsi="Arial" w:cs="Arial"/>
          <w:spacing w:val="-3"/>
          <w:sz w:val="20"/>
        </w:rPr>
        <w:t xml:space="preserve"> </w:t>
      </w:r>
      <w:r w:rsidRPr="00C1427A">
        <w:rPr>
          <w:rFonts w:ascii="Arial" w:hAnsi="Arial" w:cs="Arial"/>
          <w:sz w:val="20"/>
        </w:rPr>
        <w:t>before</w:t>
      </w:r>
      <w:r w:rsidRPr="00C1427A">
        <w:rPr>
          <w:rFonts w:ascii="Arial" w:hAnsi="Arial" w:cs="Arial"/>
          <w:spacing w:val="-2"/>
          <w:sz w:val="20"/>
        </w:rPr>
        <w:t xml:space="preserve"> </w:t>
      </w:r>
      <w:r w:rsidRPr="00C1427A">
        <w:rPr>
          <w:rFonts w:ascii="Arial" w:hAnsi="Arial" w:cs="Arial"/>
          <w:sz w:val="20"/>
        </w:rPr>
        <w:t>presenting</w:t>
      </w:r>
      <w:r w:rsidRPr="00C1427A">
        <w:rPr>
          <w:rFonts w:ascii="Arial" w:hAnsi="Arial" w:cs="Arial"/>
          <w:spacing w:val="-5"/>
          <w:sz w:val="20"/>
        </w:rPr>
        <w:t xml:space="preserve"> </w:t>
      </w:r>
      <w:r w:rsidRPr="00C1427A">
        <w:rPr>
          <w:rFonts w:ascii="Arial" w:hAnsi="Arial" w:cs="Arial"/>
          <w:sz w:val="20"/>
        </w:rPr>
        <w:t>the</w:t>
      </w:r>
      <w:r w:rsidRPr="00C1427A">
        <w:rPr>
          <w:rFonts w:ascii="Arial" w:hAnsi="Arial" w:cs="Arial"/>
          <w:spacing w:val="-1"/>
          <w:sz w:val="20"/>
        </w:rPr>
        <w:t xml:space="preserve"> </w:t>
      </w:r>
      <w:r w:rsidRPr="00C1427A">
        <w:rPr>
          <w:rFonts w:ascii="Arial" w:hAnsi="Arial" w:cs="Arial"/>
          <w:sz w:val="20"/>
        </w:rPr>
        <w:t>candidate</w:t>
      </w:r>
      <w:r w:rsidRPr="00C1427A">
        <w:rPr>
          <w:rFonts w:ascii="Arial" w:hAnsi="Arial" w:cs="Arial"/>
          <w:spacing w:val="-1"/>
          <w:sz w:val="20"/>
        </w:rPr>
        <w:t xml:space="preserve"> </w:t>
      </w:r>
      <w:r w:rsidRPr="00C1427A">
        <w:rPr>
          <w:rFonts w:ascii="Arial" w:hAnsi="Arial" w:cs="Arial"/>
          <w:sz w:val="20"/>
        </w:rPr>
        <w:t>for</w:t>
      </w:r>
      <w:r w:rsidRPr="00C1427A">
        <w:rPr>
          <w:rFonts w:ascii="Arial" w:hAnsi="Arial" w:cs="Arial"/>
          <w:spacing w:val="-1"/>
          <w:sz w:val="20"/>
        </w:rPr>
        <w:t xml:space="preserve"> </w:t>
      </w:r>
      <w:r w:rsidRPr="00C1427A">
        <w:rPr>
          <w:rFonts w:ascii="Arial" w:hAnsi="Arial" w:cs="Arial"/>
          <w:sz w:val="20"/>
        </w:rPr>
        <w:t>the</w:t>
      </w:r>
      <w:r w:rsidRPr="00C1427A">
        <w:rPr>
          <w:rFonts w:ascii="Arial" w:hAnsi="Arial" w:cs="Arial"/>
          <w:spacing w:val="-4"/>
          <w:sz w:val="20"/>
        </w:rPr>
        <w:t xml:space="preserve"> </w:t>
      </w:r>
      <w:r w:rsidRPr="00C1427A">
        <w:rPr>
          <w:rFonts w:ascii="Arial" w:hAnsi="Arial" w:cs="Arial"/>
          <w:sz w:val="20"/>
        </w:rPr>
        <w:t>examiner</w:t>
      </w:r>
      <w:r w:rsidRPr="00C1427A">
        <w:rPr>
          <w:rFonts w:ascii="Arial" w:hAnsi="Arial" w:cs="Arial"/>
          <w:spacing w:val="-2"/>
          <w:sz w:val="20"/>
        </w:rPr>
        <w:t xml:space="preserve"> </w:t>
      </w:r>
      <w:r w:rsidRPr="00C1427A">
        <w:rPr>
          <w:rFonts w:ascii="Arial" w:hAnsi="Arial" w:cs="Arial"/>
          <w:sz w:val="20"/>
        </w:rPr>
        <w:t>assessment</w:t>
      </w:r>
      <w:r w:rsidRPr="00C1427A">
        <w:rPr>
          <w:rFonts w:ascii="Arial" w:hAnsi="Arial" w:cs="Arial"/>
          <w:spacing w:val="-4"/>
          <w:sz w:val="20"/>
        </w:rPr>
        <w:t xml:space="preserve"> </w:t>
      </w:r>
      <w:r w:rsidRPr="00C1427A">
        <w:rPr>
          <w:rFonts w:ascii="Arial" w:hAnsi="Arial" w:cs="Arial"/>
          <w:sz w:val="20"/>
        </w:rPr>
        <w:t>of</w:t>
      </w:r>
      <w:r w:rsidRPr="00C1427A">
        <w:rPr>
          <w:rFonts w:ascii="Arial" w:hAnsi="Arial" w:cs="Arial"/>
          <w:spacing w:val="-2"/>
          <w:sz w:val="20"/>
        </w:rPr>
        <w:t xml:space="preserve"> </w:t>
      </w:r>
      <w:r w:rsidRPr="00C1427A">
        <w:rPr>
          <w:rFonts w:ascii="Arial" w:hAnsi="Arial" w:cs="Arial"/>
          <w:sz w:val="20"/>
        </w:rPr>
        <w:t>competence.</w:t>
      </w:r>
    </w:p>
    <w:p w14:paraId="0A9A75D7" w14:textId="77777777" w:rsidR="00C1427A" w:rsidRPr="00C1427A" w:rsidRDefault="00C1427A" w:rsidP="00C1427A">
      <w:pPr>
        <w:pStyle w:val="ListParagraph"/>
        <w:numPr>
          <w:ilvl w:val="0"/>
          <w:numId w:val="278"/>
        </w:numPr>
        <w:tabs>
          <w:tab w:val="left" w:pos="706"/>
          <w:tab w:val="left" w:pos="707"/>
        </w:tabs>
        <w:jc w:val="both"/>
        <w:rPr>
          <w:rFonts w:ascii="Arial" w:hAnsi="Arial" w:cs="Arial"/>
          <w:sz w:val="20"/>
        </w:rPr>
      </w:pPr>
      <w:r w:rsidRPr="00C1427A">
        <w:rPr>
          <w:rFonts w:ascii="Arial" w:hAnsi="Arial" w:cs="Arial"/>
          <w:sz w:val="20"/>
        </w:rPr>
        <w:t>CONTENT</w:t>
      </w:r>
    </w:p>
    <w:p w14:paraId="62A76DEE" w14:textId="77777777" w:rsidR="00C1427A" w:rsidRPr="00C1427A" w:rsidRDefault="00C1427A" w:rsidP="00C1427A">
      <w:pPr>
        <w:pStyle w:val="ListParagraph"/>
        <w:numPr>
          <w:ilvl w:val="1"/>
          <w:numId w:val="278"/>
        </w:numPr>
        <w:tabs>
          <w:tab w:val="left" w:pos="1273"/>
          <w:tab w:val="left" w:pos="1274"/>
        </w:tabs>
        <w:ind w:hanging="568"/>
        <w:jc w:val="both"/>
        <w:rPr>
          <w:rFonts w:ascii="Arial" w:hAnsi="Arial" w:cs="Arial"/>
          <w:sz w:val="20"/>
        </w:rPr>
      </w:pPr>
      <w:r w:rsidRPr="00C1427A">
        <w:rPr>
          <w:rFonts w:ascii="Arial" w:hAnsi="Arial" w:cs="Arial"/>
          <w:sz w:val="20"/>
        </w:rPr>
        <w:t>Theoretical</w:t>
      </w:r>
      <w:r w:rsidRPr="00C1427A">
        <w:rPr>
          <w:rFonts w:ascii="Arial" w:hAnsi="Arial" w:cs="Arial"/>
          <w:spacing w:val="-4"/>
          <w:sz w:val="20"/>
        </w:rPr>
        <w:t xml:space="preserve"> </w:t>
      </w:r>
      <w:r w:rsidRPr="00C1427A">
        <w:rPr>
          <w:rFonts w:ascii="Arial" w:hAnsi="Arial" w:cs="Arial"/>
          <w:sz w:val="20"/>
        </w:rPr>
        <w:t>training</w:t>
      </w:r>
    </w:p>
    <w:p w14:paraId="4C311F79" w14:textId="77777777" w:rsidR="00C1427A" w:rsidRPr="00C1427A" w:rsidRDefault="00C1427A" w:rsidP="00C1427A">
      <w:pPr>
        <w:pStyle w:val="ListParagraph"/>
        <w:numPr>
          <w:ilvl w:val="2"/>
          <w:numId w:val="278"/>
        </w:numPr>
        <w:tabs>
          <w:tab w:val="left" w:pos="1841"/>
          <w:tab w:val="left" w:pos="1842"/>
        </w:tabs>
        <w:jc w:val="both"/>
        <w:rPr>
          <w:rFonts w:ascii="Arial" w:hAnsi="Arial" w:cs="Arial"/>
          <w:sz w:val="20"/>
        </w:rPr>
      </w:pPr>
      <w:r w:rsidRPr="00C1427A">
        <w:rPr>
          <w:rFonts w:ascii="Arial" w:hAnsi="Arial" w:cs="Arial"/>
          <w:sz w:val="20"/>
        </w:rPr>
        <w:t>The</w:t>
      </w:r>
      <w:r w:rsidRPr="00C1427A">
        <w:rPr>
          <w:rFonts w:ascii="Arial" w:hAnsi="Arial" w:cs="Arial"/>
          <w:spacing w:val="-1"/>
          <w:sz w:val="20"/>
        </w:rPr>
        <w:t xml:space="preserve"> </w:t>
      </w:r>
      <w:r w:rsidRPr="00C1427A">
        <w:rPr>
          <w:rFonts w:ascii="Arial" w:hAnsi="Arial" w:cs="Arial"/>
          <w:sz w:val="20"/>
        </w:rPr>
        <w:t>theoretical</w:t>
      </w:r>
      <w:r w:rsidRPr="00C1427A">
        <w:rPr>
          <w:rFonts w:ascii="Arial" w:hAnsi="Arial" w:cs="Arial"/>
          <w:spacing w:val="-3"/>
          <w:sz w:val="20"/>
        </w:rPr>
        <w:t xml:space="preserve"> </w:t>
      </w:r>
      <w:r w:rsidRPr="00C1427A">
        <w:rPr>
          <w:rFonts w:ascii="Arial" w:hAnsi="Arial" w:cs="Arial"/>
          <w:sz w:val="20"/>
        </w:rPr>
        <w:t>training</w:t>
      </w:r>
      <w:r w:rsidRPr="00C1427A">
        <w:rPr>
          <w:rFonts w:ascii="Arial" w:hAnsi="Arial" w:cs="Arial"/>
          <w:spacing w:val="-1"/>
          <w:sz w:val="20"/>
        </w:rPr>
        <w:t xml:space="preserve"> </w:t>
      </w:r>
      <w:r w:rsidRPr="00C1427A">
        <w:rPr>
          <w:rFonts w:ascii="Arial" w:hAnsi="Arial" w:cs="Arial"/>
          <w:sz w:val="20"/>
        </w:rPr>
        <w:t>should</w:t>
      </w:r>
      <w:r w:rsidRPr="00C1427A">
        <w:rPr>
          <w:rFonts w:ascii="Arial" w:hAnsi="Arial" w:cs="Arial"/>
          <w:spacing w:val="-2"/>
          <w:sz w:val="20"/>
        </w:rPr>
        <w:t xml:space="preserve"> </w:t>
      </w:r>
      <w:r w:rsidRPr="00C1427A">
        <w:rPr>
          <w:rFonts w:ascii="Arial" w:hAnsi="Arial" w:cs="Arial"/>
          <w:sz w:val="20"/>
        </w:rPr>
        <w:t>cover</w:t>
      </w:r>
      <w:r w:rsidRPr="00C1427A">
        <w:rPr>
          <w:rFonts w:ascii="Arial" w:hAnsi="Arial" w:cs="Arial"/>
          <w:spacing w:val="-2"/>
          <w:sz w:val="20"/>
        </w:rPr>
        <w:t xml:space="preserve"> </w:t>
      </w:r>
      <w:r w:rsidRPr="00C1427A">
        <w:rPr>
          <w:rFonts w:ascii="Arial" w:hAnsi="Arial" w:cs="Arial"/>
          <w:sz w:val="20"/>
        </w:rPr>
        <w:t>at least:</w:t>
      </w:r>
    </w:p>
    <w:p w14:paraId="139140E6" w14:textId="77777777" w:rsidR="00C1427A" w:rsidRPr="00C1427A" w:rsidRDefault="00C1427A" w:rsidP="00C1427A">
      <w:pPr>
        <w:pStyle w:val="ListParagraph"/>
        <w:numPr>
          <w:ilvl w:val="3"/>
          <w:numId w:val="278"/>
        </w:numPr>
        <w:tabs>
          <w:tab w:val="left" w:pos="2408"/>
          <w:tab w:val="left" w:pos="2409"/>
        </w:tabs>
        <w:spacing w:before="56"/>
        <w:jc w:val="both"/>
        <w:rPr>
          <w:rFonts w:ascii="Arial" w:hAnsi="Arial" w:cs="Arial"/>
          <w:sz w:val="20"/>
        </w:rPr>
      </w:pPr>
      <w:r w:rsidRPr="00C1427A">
        <w:rPr>
          <w:rFonts w:ascii="Arial" w:hAnsi="Arial" w:cs="Arial"/>
          <w:sz w:val="20"/>
        </w:rPr>
        <w:t>the</w:t>
      </w:r>
      <w:r w:rsidRPr="00C1427A">
        <w:rPr>
          <w:rFonts w:ascii="Arial" w:hAnsi="Arial" w:cs="Arial"/>
          <w:spacing w:val="-1"/>
          <w:sz w:val="20"/>
        </w:rPr>
        <w:t xml:space="preserve"> </w:t>
      </w:r>
      <w:r w:rsidRPr="00C1427A">
        <w:rPr>
          <w:rFonts w:ascii="Arial" w:hAnsi="Arial" w:cs="Arial"/>
          <w:sz w:val="20"/>
        </w:rPr>
        <w:t>contents</w:t>
      </w:r>
      <w:r w:rsidRPr="00C1427A">
        <w:rPr>
          <w:rFonts w:ascii="Arial" w:hAnsi="Arial" w:cs="Arial"/>
          <w:spacing w:val="-3"/>
          <w:sz w:val="20"/>
        </w:rPr>
        <w:t xml:space="preserve"> </w:t>
      </w:r>
      <w:r w:rsidRPr="00C1427A">
        <w:rPr>
          <w:rFonts w:ascii="Arial" w:hAnsi="Arial" w:cs="Arial"/>
          <w:sz w:val="20"/>
        </w:rPr>
        <w:t>of</w:t>
      </w:r>
      <w:r w:rsidRPr="00C1427A">
        <w:rPr>
          <w:rFonts w:ascii="Arial" w:hAnsi="Arial" w:cs="Arial"/>
          <w:spacing w:val="-4"/>
          <w:sz w:val="20"/>
        </w:rPr>
        <w:t xml:space="preserve"> </w:t>
      </w:r>
      <w:r w:rsidRPr="00C1427A">
        <w:rPr>
          <w:rFonts w:ascii="Arial" w:hAnsi="Arial" w:cs="Arial"/>
          <w:sz w:val="20"/>
        </w:rPr>
        <w:t>AMC2</w:t>
      </w:r>
      <w:r w:rsidRPr="00C1427A">
        <w:rPr>
          <w:rFonts w:ascii="Arial" w:hAnsi="Arial" w:cs="Arial"/>
          <w:spacing w:val="-1"/>
          <w:sz w:val="20"/>
        </w:rPr>
        <w:t xml:space="preserve"> </w:t>
      </w:r>
      <w:r w:rsidRPr="00C1427A">
        <w:rPr>
          <w:rFonts w:ascii="Arial" w:hAnsi="Arial" w:cs="Arial"/>
          <w:sz w:val="20"/>
        </w:rPr>
        <w:t>BFCL.430</w:t>
      </w:r>
      <w:r w:rsidRPr="00C1427A">
        <w:rPr>
          <w:rFonts w:ascii="Arial" w:hAnsi="Arial" w:cs="Arial"/>
          <w:spacing w:val="-3"/>
          <w:sz w:val="20"/>
        </w:rPr>
        <w:t xml:space="preserve"> </w:t>
      </w:r>
      <w:r w:rsidRPr="00C1427A">
        <w:rPr>
          <w:rFonts w:ascii="Arial" w:hAnsi="Arial" w:cs="Arial"/>
          <w:sz w:val="20"/>
        </w:rPr>
        <w:t>and</w:t>
      </w:r>
      <w:r w:rsidRPr="00C1427A">
        <w:rPr>
          <w:rFonts w:ascii="Arial" w:hAnsi="Arial" w:cs="Arial"/>
          <w:spacing w:val="-2"/>
          <w:sz w:val="20"/>
        </w:rPr>
        <w:t xml:space="preserve"> </w:t>
      </w:r>
      <w:r w:rsidRPr="00C1427A">
        <w:rPr>
          <w:rFonts w:ascii="Arial" w:hAnsi="Arial" w:cs="Arial"/>
          <w:sz w:val="20"/>
        </w:rPr>
        <w:t>the</w:t>
      </w:r>
      <w:r w:rsidRPr="00C1427A">
        <w:rPr>
          <w:rFonts w:ascii="Arial" w:hAnsi="Arial" w:cs="Arial"/>
          <w:spacing w:val="-3"/>
          <w:sz w:val="20"/>
        </w:rPr>
        <w:t xml:space="preserve"> </w:t>
      </w:r>
      <w:r w:rsidRPr="00C1427A">
        <w:rPr>
          <w:rFonts w:ascii="Arial" w:hAnsi="Arial" w:cs="Arial"/>
          <w:sz w:val="20"/>
        </w:rPr>
        <w:t>flight</w:t>
      </w:r>
      <w:r w:rsidRPr="00C1427A">
        <w:rPr>
          <w:rFonts w:ascii="Arial" w:hAnsi="Arial" w:cs="Arial"/>
          <w:spacing w:val="-1"/>
          <w:sz w:val="20"/>
        </w:rPr>
        <w:t xml:space="preserve"> </w:t>
      </w:r>
      <w:r w:rsidRPr="00C1427A">
        <w:rPr>
          <w:rFonts w:ascii="Arial" w:hAnsi="Arial" w:cs="Arial"/>
          <w:sz w:val="20"/>
        </w:rPr>
        <w:t>examiner</w:t>
      </w:r>
      <w:r w:rsidRPr="00C1427A">
        <w:rPr>
          <w:rFonts w:ascii="Arial" w:hAnsi="Arial" w:cs="Arial"/>
          <w:spacing w:val="-1"/>
          <w:sz w:val="20"/>
        </w:rPr>
        <w:t xml:space="preserve"> </w:t>
      </w:r>
      <w:r w:rsidRPr="00C1427A">
        <w:rPr>
          <w:rFonts w:ascii="Arial" w:hAnsi="Arial" w:cs="Arial"/>
          <w:sz w:val="20"/>
        </w:rPr>
        <w:t>manual</w:t>
      </w:r>
      <w:r w:rsidRPr="00C1427A">
        <w:rPr>
          <w:rFonts w:ascii="Arial" w:hAnsi="Arial" w:cs="Arial"/>
          <w:spacing w:val="-1"/>
          <w:sz w:val="20"/>
        </w:rPr>
        <w:t xml:space="preserve"> </w:t>
      </w:r>
      <w:r w:rsidRPr="00C1427A">
        <w:rPr>
          <w:rFonts w:ascii="Arial" w:hAnsi="Arial" w:cs="Arial"/>
          <w:sz w:val="20"/>
        </w:rPr>
        <w:t>(FEM);</w:t>
      </w:r>
    </w:p>
    <w:p w14:paraId="46736629" w14:textId="77777777" w:rsidR="00C1427A" w:rsidRPr="00C1427A" w:rsidRDefault="00C1427A" w:rsidP="00C1427A">
      <w:pPr>
        <w:pStyle w:val="ListParagraph"/>
        <w:numPr>
          <w:ilvl w:val="3"/>
          <w:numId w:val="278"/>
        </w:numPr>
        <w:tabs>
          <w:tab w:val="left" w:pos="2408"/>
          <w:tab w:val="left" w:pos="2409"/>
        </w:tabs>
        <w:jc w:val="both"/>
        <w:rPr>
          <w:rFonts w:ascii="Arial" w:hAnsi="Arial" w:cs="Arial"/>
          <w:sz w:val="20"/>
        </w:rPr>
      </w:pPr>
      <w:r w:rsidRPr="00C1427A">
        <w:rPr>
          <w:rFonts w:ascii="Arial" w:hAnsi="Arial" w:cs="Arial"/>
          <w:sz w:val="20"/>
        </w:rPr>
        <w:t>Part-BFCL</w:t>
      </w:r>
      <w:r w:rsidRPr="00C1427A">
        <w:rPr>
          <w:rFonts w:ascii="Arial" w:hAnsi="Arial" w:cs="Arial"/>
          <w:spacing w:val="-1"/>
          <w:sz w:val="20"/>
        </w:rPr>
        <w:t xml:space="preserve"> </w:t>
      </w:r>
      <w:r w:rsidRPr="00C1427A">
        <w:rPr>
          <w:rFonts w:ascii="Arial" w:hAnsi="Arial" w:cs="Arial"/>
          <w:sz w:val="20"/>
        </w:rPr>
        <w:t>and</w:t>
      </w:r>
      <w:r w:rsidRPr="00C1427A">
        <w:rPr>
          <w:rFonts w:ascii="Arial" w:hAnsi="Arial" w:cs="Arial"/>
          <w:spacing w:val="-1"/>
          <w:sz w:val="20"/>
        </w:rPr>
        <w:t xml:space="preserve"> </w:t>
      </w:r>
      <w:r w:rsidRPr="00C1427A">
        <w:rPr>
          <w:rFonts w:ascii="Arial" w:hAnsi="Arial" w:cs="Arial"/>
          <w:sz w:val="20"/>
        </w:rPr>
        <w:t>the</w:t>
      </w:r>
      <w:r w:rsidRPr="00C1427A">
        <w:rPr>
          <w:rFonts w:ascii="Arial" w:hAnsi="Arial" w:cs="Arial"/>
          <w:spacing w:val="-2"/>
          <w:sz w:val="20"/>
        </w:rPr>
        <w:t xml:space="preserve"> </w:t>
      </w:r>
      <w:r w:rsidRPr="00C1427A">
        <w:rPr>
          <w:rFonts w:ascii="Arial" w:hAnsi="Arial" w:cs="Arial"/>
          <w:sz w:val="20"/>
        </w:rPr>
        <w:t>related</w:t>
      </w:r>
      <w:r w:rsidRPr="00C1427A">
        <w:rPr>
          <w:rFonts w:ascii="Arial" w:hAnsi="Arial" w:cs="Arial"/>
          <w:spacing w:val="-2"/>
          <w:sz w:val="20"/>
        </w:rPr>
        <w:t xml:space="preserve"> </w:t>
      </w:r>
      <w:r w:rsidRPr="00C1427A">
        <w:rPr>
          <w:rFonts w:ascii="Arial" w:hAnsi="Arial" w:cs="Arial"/>
          <w:sz w:val="20"/>
        </w:rPr>
        <w:t>AMC and</w:t>
      </w:r>
      <w:r w:rsidRPr="00C1427A">
        <w:rPr>
          <w:rFonts w:ascii="Arial" w:hAnsi="Arial" w:cs="Arial"/>
          <w:spacing w:val="-2"/>
          <w:sz w:val="20"/>
        </w:rPr>
        <w:t xml:space="preserve"> </w:t>
      </w:r>
      <w:r w:rsidRPr="00C1427A">
        <w:rPr>
          <w:rFonts w:ascii="Arial" w:hAnsi="Arial" w:cs="Arial"/>
          <w:sz w:val="20"/>
        </w:rPr>
        <w:t>GM that are</w:t>
      </w:r>
      <w:r w:rsidRPr="00C1427A">
        <w:rPr>
          <w:rFonts w:ascii="Arial" w:hAnsi="Arial" w:cs="Arial"/>
          <w:spacing w:val="-3"/>
          <w:sz w:val="20"/>
        </w:rPr>
        <w:t xml:space="preserve"> </w:t>
      </w:r>
      <w:r w:rsidRPr="00C1427A">
        <w:rPr>
          <w:rFonts w:ascii="Arial" w:hAnsi="Arial" w:cs="Arial"/>
          <w:sz w:val="20"/>
        </w:rPr>
        <w:t>relevant to</w:t>
      </w:r>
      <w:r w:rsidRPr="00C1427A">
        <w:rPr>
          <w:rFonts w:ascii="Arial" w:hAnsi="Arial" w:cs="Arial"/>
          <w:spacing w:val="-2"/>
          <w:sz w:val="20"/>
        </w:rPr>
        <w:t xml:space="preserve"> </w:t>
      </w:r>
      <w:r w:rsidRPr="00C1427A">
        <w:rPr>
          <w:rFonts w:ascii="Arial" w:hAnsi="Arial" w:cs="Arial"/>
          <w:sz w:val="20"/>
        </w:rPr>
        <w:t>their</w:t>
      </w:r>
      <w:r w:rsidRPr="00C1427A">
        <w:rPr>
          <w:rFonts w:ascii="Arial" w:hAnsi="Arial" w:cs="Arial"/>
          <w:spacing w:val="-3"/>
          <w:sz w:val="20"/>
        </w:rPr>
        <w:t xml:space="preserve"> </w:t>
      </w:r>
      <w:r w:rsidRPr="00C1427A">
        <w:rPr>
          <w:rFonts w:ascii="Arial" w:hAnsi="Arial" w:cs="Arial"/>
          <w:sz w:val="20"/>
        </w:rPr>
        <w:t>duties;</w:t>
      </w:r>
    </w:p>
    <w:p w14:paraId="54230BFC" w14:textId="77777777" w:rsidR="00C1427A" w:rsidRPr="00C1427A" w:rsidRDefault="00C1427A" w:rsidP="00C1427A">
      <w:pPr>
        <w:pStyle w:val="ListParagraph"/>
        <w:numPr>
          <w:ilvl w:val="3"/>
          <w:numId w:val="278"/>
        </w:numPr>
        <w:tabs>
          <w:tab w:val="left" w:pos="2408"/>
          <w:tab w:val="left" w:pos="2409"/>
        </w:tabs>
        <w:spacing w:before="121"/>
        <w:ind w:right="197"/>
        <w:jc w:val="both"/>
        <w:rPr>
          <w:rFonts w:ascii="Arial" w:hAnsi="Arial" w:cs="Arial"/>
          <w:sz w:val="20"/>
        </w:rPr>
      </w:pPr>
      <w:r w:rsidRPr="00C1427A">
        <w:rPr>
          <w:rFonts w:ascii="Arial" w:hAnsi="Arial" w:cs="Arial"/>
          <w:sz w:val="20"/>
        </w:rPr>
        <w:t>operational requirements and the related AMC and GM that are relevant to</w:t>
      </w:r>
      <w:r w:rsidRPr="00C1427A">
        <w:rPr>
          <w:rFonts w:ascii="Arial" w:hAnsi="Arial" w:cs="Arial"/>
          <w:spacing w:val="-47"/>
          <w:sz w:val="20"/>
        </w:rPr>
        <w:t xml:space="preserve"> </w:t>
      </w:r>
      <w:r w:rsidRPr="00C1427A">
        <w:rPr>
          <w:rFonts w:ascii="Arial" w:hAnsi="Arial" w:cs="Arial"/>
          <w:sz w:val="20"/>
        </w:rPr>
        <w:t>their duties;</w:t>
      </w:r>
    </w:p>
    <w:p w14:paraId="5F8F9B43" w14:textId="77777777" w:rsidR="00C1427A" w:rsidRPr="00C1427A" w:rsidRDefault="00C1427A" w:rsidP="00C1427A">
      <w:pPr>
        <w:pStyle w:val="ListParagraph"/>
        <w:numPr>
          <w:ilvl w:val="3"/>
          <w:numId w:val="278"/>
        </w:numPr>
        <w:tabs>
          <w:tab w:val="left" w:pos="2408"/>
          <w:tab w:val="left" w:pos="2409"/>
        </w:tabs>
        <w:jc w:val="both"/>
        <w:rPr>
          <w:rFonts w:ascii="Arial" w:hAnsi="Arial" w:cs="Arial"/>
          <w:sz w:val="20"/>
        </w:rPr>
      </w:pPr>
      <w:r w:rsidRPr="00C1427A">
        <w:rPr>
          <w:rFonts w:ascii="Arial" w:hAnsi="Arial" w:cs="Arial"/>
          <w:sz w:val="20"/>
        </w:rPr>
        <w:t>national</w:t>
      </w:r>
      <w:r w:rsidRPr="00C1427A">
        <w:rPr>
          <w:rFonts w:ascii="Arial" w:hAnsi="Arial" w:cs="Arial"/>
          <w:spacing w:val="-2"/>
          <w:sz w:val="20"/>
        </w:rPr>
        <w:t xml:space="preserve"> </w:t>
      </w:r>
      <w:r w:rsidRPr="00C1427A">
        <w:rPr>
          <w:rFonts w:ascii="Arial" w:hAnsi="Arial" w:cs="Arial"/>
          <w:sz w:val="20"/>
        </w:rPr>
        <w:t>requirements</w:t>
      </w:r>
      <w:r w:rsidRPr="00C1427A">
        <w:rPr>
          <w:rFonts w:ascii="Arial" w:hAnsi="Arial" w:cs="Arial"/>
          <w:spacing w:val="-1"/>
          <w:sz w:val="20"/>
        </w:rPr>
        <w:t xml:space="preserve"> </w:t>
      </w:r>
      <w:r w:rsidRPr="00C1427A">
        <w:rPr>
          <w:rFonts w:ascii="Arial" w:hAnsi="Arial" w:cs="Arial"/>
          <w:sz w:val="20"/>
        </w:rPr>
        <w:t>that</w:t>
      </w:r>
      <w:r w:rsidRPr="00C1427A">
        <w:rPr>
          <w:rFonts w:ascii="Arial" w:hAnsi="Arial" w:cs="Arial"/>
          <w:spacing w:val="-4"/>
          <w:sz w:val="20"/>
        </w:rPr>
        <w:t xml:space="preserve"> </w:t>
      </w:r>
      <w:r w:rsidRPr="00C1427A">
        <w:rPr>
          <w:rFonts w:ascii="Arial" w:hAnsi="Arial" w:cs="Arial"/>
          <w:sz w:val="20"/>
        </w:rPr>
        <w:t>are relevant</w:t>
      </w:r>
      <w:r w:rsidRPr="00C1427A">
        <w:rPr>
          <w:rFonts w:ascii="Arial" w:hAnsi="Arial" w:cs="Arial"/>
          <w:spacing w:val="-1"/>
          <w:sz w:val="20"/>
        </w:rPr>
        <w:t xml:space="preserve"> </w:t>
      </w:r>
      <w:r w:rsidRPr="00C1427A">
        <w:rPr>
          <w:rFonts w:ascii="Arial" w:hAnsi="Arial" w:cs="Arial"/>
          <w:sz w:val="20"/>
        </w:rPr>
        <w:t>to</w:t>
      </w:r>
      <w:r w:rsidRPr="00C1427A">
        <w:rPr>
          <w:rFonts w:ascii="Arial" w:hAnsi="Arial" w:cs="Arial"/>
          <w:spacing w:val="-1"/>
          <w:sz w:val="20"/>
        </w:rPr>
        <w:t xml:space="preserve"> </w:t>
      </w:r>
      <w:r w:rsidRPr="00C1427A">
        <w:rPr>
          <w:rFonts w:ascii="Arial" w:hAnsi="Arial" w:cs="Arial"/>
          <w:sz w:val="20"/>
        </w:rPr>
        <w:t>their</w:t>
      </w:r>
      <w:r w:rsidRPr="00C1427A">
        <w:rPr>
          <w:rFonts w:ascii="Arial" w:hAnsi="Arial" w:cs="Arial"/>
          <w:spacing w:val="-1"/>
          <w:sz w:val="20"/>
        </w:rPr>
        <w:t xml:space="preserve"> </w:t>
      </w:r>
      <w:r w:rsidRPr="00C1427A">
        <w:rPr>
          <w:rFonts w:ascii="Arial" w:hAnsi="Arial" w:cs="Arial"/>
          <w:sz w:val="20"/>
        </w:rPr>
        <w:t>examination</w:t>
      </w:r>
      <w:r w:rsidRPr="00C1427A">
        <w:rPr>
          <w:rFonts w:ascii="Arial" w:hAnsi="Arial" w:cs="Arial"/>
          <w:spacing w:val="-3"/>
          <w:sz w:val="20"/>
        </w:rPr>
        <w:t xml:space="preserve"> </w:t>
      </w:r>
      <w:r w:rsidRPr="00C1427A">
        <w:rPr>
          <w:rFonts w:ascii="Arial" w:hAnsi="Arial" w:cs="Arial"/>
          <w:sz w:val="20"/>
        </w:rPr>
        <w:t>duties;</w:t>
      </w:r>
    </w:p>
    <w:p w14:paraId="23443594" w14:textId="77777777" w:rsidR="00C1427A" w:rsidRPr="00C1427A" w:rsidRDefault="00C1427A" w:rsidP="00C1427A">
      <w:pPr>
        <w:pStyle w:val="ListParagraph"/>
        <w:numPr>
          <w:ilvl w:val="3"/>
          <w:numId w:val="278"/>
        </w:numPr>
        <w:tabs>
          <w:tab w:val="left" w:pos="2408"/>
          <w:tab w:val="left" w:pos="2409"/>
        </w:tabs>
        <w:ind w:right="198"/>
        <w:jc w:val="both"/>
        <w:rPr>
          <w:rFonts w:ascii="Arial" w:hAnsi="Arial" w:cs="Arial"/>
          <w:sz w:val="20"/>
        </w:rPr>
      </w:pPr>
      <w:r w:rsidRPr="00C1427A">
        <w:rPr>
          <w:rFonts w:ascii="Arial" w:hAnsi="Arial" w:cs="Arial"/>
          <w:sz w:val="20"/>
        </w:rPr>
        <w:t>fundamentals</w:t>
      </w:r>
      <w:r w:rsidRPr="00C1427A">
        <w:rPr>
          <w:rFonts w:ascii="Arial" w:hAnsi="Arial" w:cs="Arial"/>
          <w:spacing w:val="22"/>
          <w:sz w:val="20"/>
        </w:rPr>
        <w:t xml:space="preserve"> </w:t>
      </w:r>
      <w:r w:rsidRPr="00C1427A">
        <w:rPr>
          <w:rFonts w:ascii="Arial" w:hAnsi="Arial" w:cs="Arial"/>
          <w:sz w:val="20"/>
        </w:rPr>
        <w:t>of</w:t>
      </w:r>
      <w:r w:rsidRPr="00C1427A">
        <w:rPr>
          <w:rFonts w:ascii="Arial" w:hAnsi="Arial" w:cs="Arial"/>
          <w:spacing w:val="23"/>
          <w:sz w:val="20"/>
        </w:rPr>
        <w:t xml:space="preserve"> </w:t>
      </w:r>
      <w:r w:rsidRPr="00C1427A">
        <w:rPr>
          <w:rFonts w:ascii="Arial" w:hAnsi="Arial" w:cs="Arial"/>
          <w:sz w:val="20"/>
        </w:rPr>
        <w:t>human</w:t>
      </w:r>
      <w:r w:rsidRPr="00C1427A">
        <w:rPr>
          <w:rFonts w:ascii="Arial" w:hAnsi="Arial" w:cs="Arial"/>
          <w:spacing w:val="24"/>
          <w:sz w:val="20"/>
        </w:rPr>
        <w:t xml:space="preserve"> </w:t>
      </w:r>
      <w:r w:rsidRPr="00C1427A">
        <w:rPr>
          <w:rFonts w:ascii="Arial" w:hAnsi="Arial" w:cs="Arial"/>
          <w:sz w:val="20"/>
        </w:rPr>
        <w:t>performance</w:t>
      </w:r>
      <w:r w:rsidRPr="00C1427A">
        <w:rPr>
          <w:rFonts w:ascii="Arial" w:hAnsi="Arial" w:cs="Arial"/>
          <w:spacing w:val="24"/>
          <w:sz w:val="20"/>
        </w:rPr>
        <w:t xml:space="preserve"> </w:t>
      </w:r>
      <w:r w:rsidRPr="00C1427A">
        <w:rPr>
          <w:rFonts w:ascii="Arial" w:hAnsi="Arial" w:cs="Arial"/>
          <w:sz w:val="20"/>
        </w:rPr>
        <w:t>and</w:t>
      </w:r>
      <w:r w:rsidRPr="00C1427A">
        <w:rPr>
          <w:rFonts w:ascii="Arial" w:hAnsi="Arial" w:cs="Arial"/>
          <w:spacing w:val="22"/>
          <w:sz w:val="20"/>
        </w:rPr>
        <w:t xml:space="preserve"> </w:t>
      </w:r>
      <w:r w:rsidRPr="00C1427A">
        <w:rPr>
          <w:rFonts w:ascii="Arial" w:hAnsi="Arial" w:cs="Arial"/>
          <w:sz w:val="20"/>
        </w:rPr>
        <w:t>limitations</w:t>
      </w:r>
      <w:r w:rsidRPr="00C1427A">
        <w:rPr>
          <w:rFonts w:ascii="Arial" w:hAnsi="Arial" w:cs="Arial"/>
          <w:spacing w:val="25"/>
          <w:sz w:val="20"/>
        </w:rPr>
        <w:t xml:space="preserve"> </w:t>
      </w:r>
      <w:r w:rsidRPr="00C1427A">
        <w:rPr>
          <w:rFonts w:ascii="Arial" w:hAnsi="Arial" w:cs="Arial"/>
          <w:sz w:val="20"/>
        </w:rPr>
        <w:t>that</w:t>
      </w:r>
      <w:r w:rsidRPr="00C1427A">
        <w:rPr>
          <w:rFonts w:ascii="Arial" w:hAnsi="Arial" w:cs="Arial"/>
          <w:spacing w:val="23"/>
          <w:sz w:val="20"/>
        </w:rPr>
        <w:t xml:space="preserve"> </w:t>
      </w:r>
      <w:r w:rsidRPr="00C1427A">
        <w:rPr>
          <w:rFonts w:ascii="Arial" w:hAnsi="Arial" w:cs="Arial"/>
          <w:sz w:val="20"/>
        </w:rPr>
        <w:t>are</w:t>
      </w:r>
      <w:r w:rsidRPr="00C1427A">
        <w:rPr>
          <w:rFonts w:ascii="Arial" w:hAnsi="Arial" w:cs="Arial"/>
          <w:spacing w:val="25"/>
          <w:sz w:val="20"/>
        </w:rPr>
        <w:t xml:space="preserve"> </w:t>
      </w:r>
      <w:r w:rsidRPr="00C1427A">
        <w:rPr>
          <w:rFonts w:ascii="Arial" w:hAnsi="Arial" w:cs="Arial"/>
          <w:sz w:val="20"/>
        </w:rPr>
        <w:t>relevant</w:t>
      </w:r>
      <w:r w:rsidRPr="00C1427A">
        <w:rPr>
          <w:rFonts w:ascii="Arial" w:hAnsi="Arial" w:cs="Arial"/>
          <w:spacing w:val="24"/>
          <w:sz w:val="20"/>
        </w:rPr>
        <w:t xml:space="preserve"> </w:t>
      </w:r>
      <w:r w:rsidRPr="00C1427A">
        <w:rPr>
          <w:rFonts w:ascii="Arial" w:hAnsi="Arial" w:cs="Arial"/>
          <w:sz w:val="20"/>
        </w:rPr>
        <w:t>to</w:t>
      </w:r>
      <w:r w:rsidRPr="00C1427A">
        <w:rPr>
          <w:rFonts w:ascii="Arial" w:hAnsi="Arial" w:cs="Arial"/>
          <w:spacing w:val="-47"/>
          <w:sz w:val="20"/>
        </w:rPr>
        <w:t xml:space="preserve"> </w:t>
      </w:r>
      <w:r w:rsidRPr="00C1427A">
        <w:rPr>
          <w:rFonts w:ascii="Arial" w:hAnsi="Arial" w:cs="Arial"/>
          <w:sz w:val="20"/>
        </w:rPr>
        <w:t>flight</w:t>
      </w:r>
      <w:r w:rsidRPr="00C1427A">
        <w:rPr>
          <w:rFonts w:ascii="Arial" w:hAnsi="Arial" w:cs="Arial"/>
          <w:spacing w:val="-1"/>
          <w:sz w:val="20"/>
        </w:rPr>
        <w:t xml:space="preserve"> </w:t>
      </w:r>
      <w:r w:rsidRPr="00C1427A">
        <w:rPr>
          <w:rFonts w:ascii="Arial" w:hAnsi="Arial" w:cs="Arial"/>
          <w:sz w:val="20"/>
        </w:rPr>
        <w:t>examination;</w:t>
      </w:r>
    </w:p>
    <w:p w14:paraId="0AC8393F" w14:textId="77777777" w:rsidR="00C1427A" w:rsidRPr="00C1427A" w:rsidRDefault="00C1427A" w:rsidP="00C1427A">
      <w:pPr>
        <w:pStyle w:val="ListParagraph"/>
        <w:numPr>
          <w:ilvl w:val="3"/>
          <w:numId w:val="278"/>
        </w:numPr>
        <w:tabs>
          <w:tab w:val="left" w:pos="2408"/>
          <w:tab w:val="left" w:pos="2409"/>
        </w:tabs>
        <w:spacing w:before="123" w:line="237" w:lineRule="auto"/>
        <w:ind w:right="194"/>
        <w:jc w:val="both"/>
        <w:rPr>
          <w:rFonts w:ascii="Arial" w:hAnsi="Arial" w:cs="Arial"/>
          <w:sz w:val="20"/>
        </w:rPr>
      </w:pPr>
      <w:r w:rsidRPr="00C1427A">
        <w:rPr>
          <w:rFonts w:ascii="Arial" w:hAnsi="Arial" w:cs="Arial"/>
          <w:sz w:val="20"/>
        </w:rPr>
        <w:t>fundamentals</w:t>
      </w:r>
      <w:r w:rsidRPr="00C1427A">
        <w:rPr>
          <w:rFonts w:ascii="Arial" w:hAnsi="Arial" w:cs="Arial"/>
          <w:spacing w:val="-8"/>
          <w:sz w:val="20"/>
        </w:rPr>
        <w:t xml:space="preserve"> </w:t>
      </w:r>
      <w:r w:rsidRPr="00C1427A">
        <w:rPr>
          <w:rFonts w:ascii="Arial" w:hAnsi="Arial" w:cs="Arial"/>
          <w:sz w:val="20"/>
        </w:rPr>
        <w:t>of</w:t>
      </w:r>
      <w:r w:rsidRPr="00C1427A">
        <w:rPr>
          <w:rFonts w:ascii="Arial" w:hAnsi="Arial" w:cs="Arial"/>
          <w:spacing w:val="-8"/>
          <w:sz w:val="20"/>
        </w:rPr>
        <w:t xml:space="preserve"> </w:t>
      </w:r>
      <w:r w:rsidRPr="00C1427A">
        <w:rPr>
          <w:rFonts w:ascii="Arial" w:hAnsi="Arial" w:cs="Arial"/>
          <w:sz w:val="20"/>
        </w:rPr>
        <w:t>evaluation</w:t>
      </w:r>
      <w:r w:rsidRPr="00C1427A">
        <w:rPr>
          <w:rFonts w:ascii="Arial" w:hAnsi="Arial" w:cs="Arial"/>
          <w:spacing w:val="-9"/>
          <w:sz w:val="20"/>
        </w:rPr>
        <w:t xml:space="preserve"> </w:t>
      </w:r>
      <w:r w:rsidRPr="00C1427A">
        <w:rPr>
          <w:rFonts w:ascii="Arial" w:hAnsi="Arial" w:cs="Arial"/>
          <w:sz w:val="20"/>
        </w:rPr>
        <w:t>that</w:t>
      </w:r>
      <w:r w:rsidRPr="00C1427A">
        <w:rPr>
          <w:rFonts w:ascii="Arial" w:hAnsi="Arial" w:cs="Arial"/>
          <w:spacing w:val="-6"/>
          <w:sz w:val="20"/>
        </w:rPr>
        <w:t xml:space="preserve"> </w:t>
      </w:r>
      <w:r w:rsidRPr="00C1427A">
        <w:rPr>
          <w:rFonts w:ascii="Arial" w:hAnsi="Arial" w:cs="Arial"/>
          <w:sz w:val="20"/>
        </w:rPr>
        <w:t>are</w:t>
      </w:r>
      <w:r w:rsidRPr="00C1427A">
        <w:rPr>
          <w:rFonts w:ascii="Arial" w:hAnsi="Arial" w:cs="Arial"/>
          <w:spacing w:val="-5"/>
          <w:sz w:val="20"/>
        </w:rPr>
        <w:t xml:space="preserve"> </w:t>
      </w:r>
      <w:r w:rsidRPr="00C1427A">
        <w:rPr>
          <w:rFonts w:ascii="Arial" w:hAnsi="Arial" w:cs="Arial"/>
          <w:sz w:val="20"/>
        </w:rPr>
        <w:t>relevant</w:t>
      </w:r>
      <w:r w:rsidRPr="00C1427A">
        <w:rPr>
          <w:rFonts w:ascii="Arial" w:hAnsi="Arial" w:cs="Arial"/>
          <w:spacing w:val="-7"/>
          <w:sz w:val="20"/>
        </w:rPr>
        <w:t xml:space="preserve"> </w:t>
      </w:r>
      <w:r w:rsidRPr="00C1427A">
        <w:rPr>
          <w:rFonts w:ascii="Arial" w:hAnsi="Arial" w:cs="Arial"/>
          <w:sz w:val="20"/>
        </w:rPr>
        <w:t>to</w:t>
      </w:r>
      <w:r w:rsidRPr="00C1427A">
        <w:rPr>
          <w:rFonts w:ascii="Arial" w:hAnsi="Arial" w:cs="Arial"/>
          <w:spacing w:val="-6"/>
          <w:sz w:val="20"/>
        </w:rPr>
        <w:t xml:space="preserve"> </w:t>
      </w:r>
      <w:r w:rsidRPr="00C1427A">
        <w:rPr>
          <w:rFonts w:ascii="Arial" w:hAnsi="Arial" w:cs="Arial"/>
          <w:sz w:val="20"/>
        </w:rPr>
        <w:t>an</w:t>
      </w:r>
      <w:r w:rsidRPr="00C1427A">
        <w:rPr>
          <w:rFonts w:ascii="Arial" w:hAnsi="Arial" w:cs="Arial"/>
          <w:spacing w:val="-6"/>
          <w:sz w:val="20"/>
        </w:rPr>
        <w:t xml:space="preserve"> </w:t>
      </w:r>
      <w:r w:rsidRPr="00C1427A">
        <w:rPr>
          <w:rFonts w:ascii="Arial" w:hAnsi="Arial" w:cs="Arial"/>
          <w:sz w:val="20"/>
        </w:rPr>
        <w:t>applicant’s</w:t>
      </w:r>
      <w:r w:rsidRPr="00C1427A">
        <w:rPr>
          <w:rFonts w:ascii="Arial" w:hAnsi="Arial" w:cs="Arial"/>
          <w:spacing w:val="-5"/>
          <w:sz w:val="20"/>
        </w:rPr>
        <w:t xml:space="preserve"> </w:t>
      </w:r>
      <w:r w:rsidRPr="00C1427A">
        <w:rPr>
          <w:rFonts w:ascii="Arial" w:hAnsi="Arial" w:cs="Arial"/>
          <w:sz w:val="20"/>
        </w:rPr>
        <w:t>performance;</w:t>
      </w:r>
      <w:r w:rsidRPr="00C1427A">
        <w:rPr>
          <w:rFonts w:ascii="Arial" w:hAnsi="Arial" w:cs="Arial"/>
          <w:spacing w:val="-47"/>
          <w:sz w:val="20"/>
        </w:rPr>
        <w:t xml:space="preserve"> </w:t>
      </w:r>
      <w:r w:rsidRPr="00C1427A">
        <w:rPr>
          <w:rFonts w:ascii="Arial" w:hAnsi="Arial" w:cs="Arial"/>
          <w:sz w:val="20"/>
        </w:rPr>
        <w:t>and</w:t>
      </w:r>
    </w:p>
    <w:p w14:paraId="3E48EE7E" w14:textId="77777777" w:rsidR="00C1427A" w:rsidRPr="00C1427A" w:rsidRDefault="00C1427A" w:rsidP="00C1427A">
      <w:pPr>
        <w:pStyle w:val="ListParagraph"/>
        <w:numPr>
          <w:ilvl w:val="3"/>
          <w:numId w:val="278"/>
        </w:numPr>
        <w:tabs>
          <w:tab w:val="left" w:pos="2408"/>
          <w:tab w:val="left" w:pos="2409"/>
        </w:tabs>
        <w:spacing w:before="121"/>
        <w:jc w:val="both"/>
        <w:rPr>
          <w:rFonts w:ascii="Arial" w:hAnsi="Arial" w:cs="Arial"/>
          <w:sz w:val="20"/>
        </w:rPr>
      </w:pPr>
      <w:r w:rsidRPr="00C1427A">
        <w:rPr>
          <w:rFonts w:ascii="Arial" w:hAnsi="Arial" w:cs="Arial"/>
          <w:sz w:val="20"/>
        </w:rPr>
        <w:t>the</w:t>
      </w:r>
      <w:r w:rsidRPr="00C1427A">
        <w:rPr>
          <w:rFonts w:ascii="Arial" w:hAnsi="Arial" w:cs="Arial"/>
          <w:spacing w:val="-3"/>
          <w:sz w:val="20"/>
        </w:rPr>
        <w:t xml:space="preserve"> </w:t>
      </w:r>
      <w:r w:rsidRPr="00C1427A">
        <w:rPr>
          <w:rFonts w:ascii="Arial" w:hAnsi="Arial" w:cs="Arial"/>
          <w:sz w:val="20"/>
        </w:rPr>
        <w:t>management</w:t>
      </w:r>
      <w:r w:rsidRPr="00C1427A">
        <w:rPr>
          <w:rFonts w:ascii="Arial" w:hAnsi="Arial" w:cs="Arial"/>
          <w:spacing w:val="-3"/>
          <w:sz w:val="20"/>
        </w:rPr>
        <w:t xml:space="preserve"> </w:t>
      </w:r>
      <w:r w:rsidRPr="00C1427A">
        <w:rPr>
          <w:rFonts w:ascii="Arial" w:hAnsi="Arial" w:cs="Arial"/>
          <w:sz w:val="20"/>
        </w:rPr>
        <w:t>system</w:t>
      </w:r>
      <w:r w:rsidRPr="00C1427A">
        <w:rPr>
          <w:rFonts w:ascii="Arial" w:hAnsi="Arial" w:cs="Arial"/>
          <w:spacing w:val="-1"/>
          <w:sz w:val="20"/>
        </w:rPr>
        <w:t xml:space="preserve"> </w:t>
      </w:r>
      <w:r w:rsidRPr="00C1427A">
        <w:rPr>
          <w:rFonts w:ascii="Arial" w:hAnsi="Arial" w:cs="Arial"/>
          <w:sz w:val="20"/>
        </w:rPr>
        <w:t>of</w:t>
      </w:r>
      <w:r w:rsidRPr="00C1427A">
        <w:rPr>
          <w:rFonts w:ascii="Arial" w:hAnsi="Arial" w:cs="Arial"/>
          <w:spacing w:val="-4"/>
          <w:sz w:val="20"/>
        </w:rPr>
        <w:t xml:space="preserve"> </w:t>
      </w:r>
      <w:r w:rsidRPr="00C1427A">
        <w:rPr>
          <w:rFonts w:ascii="Arial" w:hAnsi="Arial" w:cs="Arial"/>
          <w:sz w:val="20"/>
        </w:rPr>
        <w:t>ATOs and</w:t>
      </w:r>
      <w:r w:rsidRPr="00C1427A">
        <w:rPr>
          <w:rFonts w:ascii="Arial" w:hAnsi="Arial" w:cs="Arial"/>
          <w:spacing w:val="-3"/>
          <w:sz w:val="20"/>
        </w:rPr>
        <w:t xml:space="preserve"> </w:t>
      </w:r>
      <w:r w:rsidRPr="00C1427A">
        <w:rPr>
          <w:rFonts w:ascii="Arial" w:hAnsi="Arial" w:cs="Arial"/>
          <w:sz w:val="20"/>
        </w:rPr>
        <w:t>the</w:t>
      </w:r>
      <w:r w:rsidRPr="00C1427A">
        <w:rPr>
          <w:rFonts w:ascii="Arial" w:hAnsi="Arial" w:cs="Arial"/>
          <w:spacing w:val="-3"/>
          <w:sz w:val="20"/>
        </w:rPr>
        <w:t xml:space="preserve"> </w:t>
      </w:r>
      <w:r w:rsidRPr="00C1427A">
        <w:rPr>
          <w:rFonts w:ascii="Arial" w:hAnsi="Arial" w:cs="Arial"/>
          <w:sz w:val="20"/>
        </w:rPr>
        <w:t>organisational</w:t>
      </w:r>
      <w:r w:rsidRPr="00C1427A">
        <w:rPr>
          <w:rFonts w:ascii="Arial" w:hAnsi="Arial" w:cs="Arial"/>
          <w:spacing w:val="-1"/>
          <w:sz w:val="20"/>
        </w:rPr>
        <w:t xml:space="preserve"> </w:t>
      </w:r>
      <w:r w:rsidRPr="00C1427A">
        <w:rPr>
          <w:rFonts w:ascii="Arial" w:hAnsi="Arial" w:cs="Arial"/>
          <w:sz w:val="20"/>
        </w:rPr>
        <w:t>structure</w:t>
      </w:r>
      <w:r w:rsidRPr="00C1427A">
        <w:rPr>
          <w:rFonts w:ascii="Arial" w:hAnsi="Arial" w:cs="Arial"/>
          <w:spacing w:val="-2"/>
          <w:sz w:val="20"/>
        </w:rPr>
        <w:t xml:space="preserve"> </w:t>
      </w:r>
      <w:r w:rsidRPr="00C1427A">
        <w:rPr>
          <w:rFonts w:ascii="Arial" w:hAnsi="Arial" w:cs="Arial"/>
          <w:sz w:val="20"/>
        </w:rPr>
        <w:t>of</w:t>
      </w:r>
      <w:r w:rsidRPr="00C1427A">
        <w:rPr>
          <w:rFonts w:ascii="Arial" w:hAnsi="Arial" w:cs="Arial"/>
          <w:spacing w:val="-4"/>
          <w:sz w:val="20"/>
        </w:rPr>
        <w:t xml:space="preserve"> </w:t>
      </w:r>
      <w:r w:rsidRPr="00C1427A">
        <w:rPr>
          <w:rFonts w:ascii="Arial" w:hAnsi="Arial" w:cs="Arial"/>
          <w:sz w:val="20"/>
        </w:rPr>
        <w:t>DTOs.</w:t>
      </w:r>
    </w:p>
    <w:p w14:paraId="0EF231FE" w14:textId="4C02BDA3" w:rsidR="00C1427A" w:rsidRPr="00C1427A" w:rsidRDefault="00C1427A" w:rsidP="00C1427A">
      <w:pPr>
        <w:pStyle w:val="ListParagraph"/>
        <w:numPr>
          <w:ilvl w:val="2"/>
          <w:numId w:val="278"/>
        </w:numPr>
        <w:tabs>
          <w:tab w:val="left" w:pos="1842"/>
        </w:tabs>
        <w:spacing w:before="121"/>
        <w:ind w:right="196"/>
        <w:jc w:val="both"/>
        <w:rPr>
          <w:rFonts w:ascii="Arial" w:hAnsi="Arial" w:cs="Arial"/>
          <w:sz w:val="20"/>
        </w:rPr>
      </w:pPr>
      <w:r w:rsidRPr="00C1427A">
        <w:rPr>
          <w:rFonts w:ascii="Arial" w:hAnsi="Arial" w:cs="Arial"/>
          <w:sz w:val="20"/>
        </w:rPr>
        <w:t>Examiners should also be briefed on the protection requirements for personal</w:t>
      </w:r>
      <w:r w:rsidRPr="00C1427A">
        <w:rPr>
          <w:rFonts w:ascii="Arial" w:hAnsi="Arial" w:cs="Arial"/>
          <w:spacing w:val="1"/>
          <w:sz w:val="20"/>
        </w:rPr>
        <w:t xml:space="preserve"> </w:t>
      </w:r>
      <w:r w:rsidRPr="00C1427A">
        <w:rPr>
          <w:rFonts w:ascii="Arial" w:hAnsi="Arial" w:cs="Arial"/>
          <w:sz w:val="20"/>
        </w:rPr>
        <w:t xml:space="preserve">data, liability, accident insurance and fees, as applicable in </w:t>
      </w:r>
      <w:r w:rsidR="00BE47FC">
        <w:rPr>
          <w:rFonts w:ascii="Arial" w:hAnsi="Arial" w:cs="Arial"/>
          <w:sz w:val="20"/>
        </w:rPr>
        <w:t xml:space="preserve">the Republic of Armenia </w:t>
      </w:r>
      <w:r w:rsidRPr="00C1427A">
        <w:rPr>
          <w:rFonts w:ascii="Arial" w:hAnsi="Arial" w:cs="Arial"/>
          <w:sz w:val="20"/>
        </w:rPr>
        <w:t>concerned.</w:t>
      </w:r>
    </w:p>
    <w:p w14:paraId="7C74850F" w14:textId="77777777" w:rsidR="00C1427A" w:rsidRPr="00C1427A" w:rsidRDefault="00C1427A" w:rsidP="00C1427A">
      <w:pPr>
        <w:pStyle w:val="ListParagraph"/>
        <w:numPr>
          <w:ilvl w:val="2"/>
          <w:numId w:val="278"/>
        </w:numPr>
        <w:tabs>
          <w:tab w:val="left" w:pos="1842"/>
        </w:tabs>
        <w:spacing w:before="121"/>
        <w:ind w:right="195"/>
        <w:jc w:val="both"/>
        <w:rPr>
          <w:rFonts w:ascii="Arial" w:hAnsi="Arial" w:cs="Arial"/>
          <w:sz w:val="20"/>
        </w:rPr>
      </w:pPr>
      <w:r w:rsidRPr="00C1427A">
        <w:rPr>
          <w:rFonts w:ascii="Arial" w:hAnsi="Arial" w:cs="Arial"/>
          <w:sz w:val="20"/>
        </w:rPr>
        <w:t>All</w:t>
      </w:r>
      <w:r w:rsidRPr="00C1427A">
        <w:rPr>
          <w:rFonts w:ascii="Arial" w:hAnsi="Arial" w:cs="Arial"/>
          <w:spacing w:val="-1"/>
          <w:sz w:val="20"/>
        </w:rPr>
        <w:t xml:space="preserve"> </w:t>
      </w:r>
      <w:r w:rsidRPr="00C1427A">
        <w:rPr>
          <w:rFonts w:ascii="Arial" w:hAnsi="Arial" w:cs="Arial"/>
          <w:sz w:val="20"/>
        </w:rPr>
        <w:t>the</w:t>
      </w:r>
      <w:r w:rsidRPr="00C1427A">
        <w:rPr>
          <w:rFonts w:ascii="Arial" w:hAnsi="Arial" w:cs="Arial"/>
          <w:spacing w:val="-4"/>
          <w:sz w:val="20"/>
        </w:rPr>
        <w:t xml:space="preserve"> </w:t>
      </w:r>
      <w:r w:rsidRPr="00C1427A">
        <w:rPr>
          <w:rFonts w:ascii="Arial" w:hAnsi="Arial" w:cs="Arial"/>
          <w:sz w:val="20"/>
        </w:rPr>
        <w:t>items</w:t>
      </w:r>
      <w:r w:rsidRPr="00C1427A">
        <w:rPr>
          <w:rFonts w:ascii="Arial" w:hAnsi="Arial" w:cs="Arial"/>
          <w:spacing w:val="-3"/>
          <w:sz w:val="20"/>
        </w:rPr>
        <w:t xml:space="preserve"> </w:t>
      </w:r>
      <w:r w:rsidRPr="00C1427A">
        <w:rPr>
          <w:rFonts w:ascii="Arial" w:hAnsi="Arial" w:cs="Arial"/>
          <w:sz w:val="20"/>
        </w:rPr>
        <w:t>above</w:t>
      </w:r>
      <w:r w:rsidRPr="00C1427A">
        <w:rPr>
          <w:rFonts w:ascii="Arial" w:hAnsi="Arial" w:cs="Arial"/>
          <w:spacing w:val="-3"/>
          <w:sz w:val="20"/>
        </w:rPr>
        <w:t xml:space="preserve"> </w:t>
      </w:r>
      <w:r w:rsidRPr="00C1427A">
        <w:rPr>
          <w:rFonts w:ascii="Arial" w:hAnsi="Arial" w:cs="Arial"/>
          <w:sz w:val="20"/>
        </w:rPr>
        <w:t>are</w:t>
      </w:r>
      <w:r w:rsidRPr="00C1427A">
        <w:rPr>
          <w:rFonts w:ascii="Arial" w:hAnsi="Arial" w:cs="Arial"/>
          <w:spacing w:val="-3"/>
          <w:sz w:val="20"/>
        </w:rPr>
        <w:t xml:space="preserve"> </w:t>
      </w:r>
      <w:r w:rsidRPr="00C1427A">
        <w:rPr>
          <w:rFonts w:ascii="Arial" w:hAnsi="Arial" w:cs="Arial"/>
          <w:sz w:val="20"/>
        </w:rPr>
        <w:t>the</w:t>
      </w:r>
      <w:r w:rsidRPr="00C1427A">
        <w:rPr>
          <w:rFonts w:ascii="Arial" w:hAnsi="Arial" w:cs="Arial"/>
          <w:spacing w:val="-5"/>
          <w:sz w:val="20"/>
        </w:rPr>
        <w:t xml:space="preserve"> </w:t>
      </w:r>
      <w:r w:rsidRPr="00C1427A">
        <w:rPr>
          <w:rFonts w:ascii="Arial" w:hAnsi="Arial" w:cs="Arial"/>
          <w:sz w:val="20"/>
        </w:rPr>
        <w:t>core</w:t>
      </w:r>
      <w:r w:rsidRPr="00C1427A">
        <w:rPr>
          <w:rFonts w:ascii="Arial" w:hAnsi="Arial" w:cs="Arial"/>
          <w:spacing w:val="-2"/>
          <w:sz w:val="20"/>
        </w:rPr>
        <w:t xml:space="preserve"> </w:t>
      </w:r>
      <w:r w:rsidRPr="00C1427A">
        <w:rPr>
          <w:rFonts w:ascii="Arial" w:hAnsi="Arial" w:cs="Arial"/>
          <w:sz w:val="20"/>
        </w:rPr>
        <w:t>knowledge</w:t>
      </w:r>
      <w:r w:rsidRPr="00C1427A">
        <w:rPr>
          <w:rFonts w:ascii="Arial" w:hAnsi="Arial" w:cs="Arial"/>
          <w:spacing w:val="-3"/>
          <w:sz w:val="20"/>
        </w:rPr>
        <w:t xml:space="preserve"> </w:t>
      </w:r>
      <w:r w:rsidRPr="00C1427A">
        <w:rPr>
          <w:rFonts w:ascii="Arial" w:hAnsi="Arial" w:cs="Arial"/>
          <w:sz w:val="20"/>
        </w:rPr>
        <w:t>requirements for</w:t>
      </w:r>
      <w:r w:rsidRPr="00C1427A">
        <w:rPr>
          <w:rFonts w:ascii="Arial" w:hAnsi="Arial" w:cs="Arial"/>
          <w:spacing w:val="-2"/>
          <w:sz w:val="20"/>
        </w:rPr>
        <w:t xml:space="preserve"> </w:t>
      </w:r>
      <w:r w:rsidRPr="00C1427A">
        <w:rPr>
          <w:rFonts w:ascii="Arial" w:hAnsi="Arial" w:cs="Arial"/>
          <w:sz w:val="20"/>
        </w:rPr>
        <w:t>an</w:t>
      </w:r>
      <w:r w:rsidRPr="00C1427A">
        <w:rPr>
          <w:rFonts w:ascii="Arial" w:hAnsi="Arial" w:cs="Arial"/>
          <w:spacing w:val="-4"/>
          <w:sz w:val="20"/>
        </w:rPr>
        <w:t xml:space="preserve"> </w:t>
      </w:r>
      <w:r w:rsidRPr="00C1427A">
        <w:rPr>
          <w:rFonts w:ascii="Arial" w:hAnsi="Arial" w:cs="Arial"/>
          <w:sz w:val="20"/>
        </w:rPr>
        <w:t>examiner</w:t>
      </w:r>
      <w:r w:rsidRPr="00C1427A">
        <w:rPr>
          <w:rFonts w:ascii="Arial" w:hAnsi="Arial" w:cs="Arial"/>
          <w:spacing w:val="-2"/>
          <w:sz w:val="20"/>
        </w:rPr>
        <w:t xml:space="preserve"> </w:t>
      </w:r>
      <w:r w:rsidRPr="00C1427A">
        <w:rPr>
          <w:rFonts w:ascii="Arial" w:hAnsi="Arial" w:cs="Arial"/>
          <w:sz w:val="20"/>
        </w:rPr>
        <w:t>and</w:t>
      </w:r>
      <w:r w:rsidRPr="00C1427A">
        <w:rPr>
          <w:rFonts w:ascii="Arial" w:hAnsi="Arial" w:cs="Arial"/>
          <w:spacing w:val="-2"/>
          <w:sz w:val="20"/>
        </w:rPr>
        <w:t xml:space="preserve"> </w:t>
      </w:r>
      <w:r w:rsidRPr="00C1427A">
        <w:rPr>
          <w:rFonts w:ascii="Arial" w:hAnsi="Arial" w:cs="Arial"/>
          <w:sz w:val="20"/>
        </w:rPr>
        <w:t>are</w:t>
      </w:r>
      <w:r w:rsidRPr="00C1427A">
        <w:rPr>
          <w:rFonts w:ascii="Arial" w:hAnsi="Arial" w:cs="Arial"/>
          <w:spacing w:val="-47"/>
          <w:sz w:val="20"/>
        </w:rPr>
        <w:t xml:space="preserve"> </w:t>
      </w:r>
      <w:r w:rsidRPr="00C1427A">
        <w:rPr>
          <w:rFonts w:ascii="Arial" w:hAnsi="Arial" w:cs="Arial"/>
          <w:sz w:val="20"/>
        </w:rPr>
        <w:t>recommended as the core course material. This core course material may be</w:t>
      </w:r>
      <w:r w:rsidRPr="00C1427A">
        <w:rPr>
          <w:rFonts w:ascii="Arial" w:hAnsi="Arial" w:cs="Arial"/>
          <w:spacing w:val="1"/>
          <w:sz w:val="20"/>
        </w:rPr>
        <w:t xml:space="preserve"> </w:t>
      </w:r>
      <w:r w:rsidRPr="00C1427A">
        <w:rPr>
          <w:rFonts w:ascii="Arial" w:hAnsi="Arial" w:cs="Arial"/>
          <w:sz w:val="20"/>
        </w:rPr>
        <w:t>studied</w:t>
      </w:r>
      <w:r w:rsidRPr="00C1427A">
        <w:rPr>
          <w:rFonts w:ascii="Arial" w:hAnsi="Arial" w:cs="Arial"/>
          <w:spacing w:val="1"/>
          <w:sz w:val="20"/>
        </w:rPr>
        <w:t xml:space="preserve"> </w:t>
      </w:r>
      <w:r w:rsidRPr="00C1427A">
        <w:rPr>
          <w:rFonts w:ascii="Arial" w:hAnsi="Arial" w:cs="Arial"/>
          <w:sz w:val="20"/>
        </w:rPr>
        <w:t>before</w:t>
      </w:r>
      <w:r w:rsidRPr="00C1427A">
        <w:rPr>
          <w:rFonts w:ascii="Arial" w:hAnsi="Arial" w:cs="Arial"/>
          <w:spacing w:val="1"/>
          <w:sz w:val="20"/>
        </w:rPr>
        <w:t xml:space="preserve"> </w:t>
      </w:r>
      <w:r w:rsidRPr="00C1427A">
        <w:rPr>
          <w:rFonts w:ascii="Arial" w:hAnsi="Arial" w:cs="Arial"/>
          <w:sz w:val="20"/>
        </w:rPr>
        <w:t>the</w:t>
      </w:r>
      <w:r w:rsidRPr="00C1427A">
        <w:rPr>
          <w:rFonts w:ascii="Arial" w:hAnsi="Arial" w:cs="Arial"/>
          <w:spacing w:val="1"/>
          <w:sz w:val="20"/>
        </w:rPr>
        <w:t xml:space="preserve"> </w:t>
      </w:r>
      <w:r w:rsidRPr="00C1427A">
        <w:rPr>
          <w:rFonts w:ascii="Arial" w:hAnsi="Arial" w:cs="Arial"/>
          <w:sz w:val="20"/>
        </w:rPr>
        <w:t>recommended</w:t>
      </w:r>
      <w:r w:rsidRPr="00C1427A">
        <w:rPr>
          <w:rFonts w:ascii="Arial" w:hAnsi="Arial" w:cs="Arial"/>
          <w:spacing w:val="1"/>
          <w:sz w:val="20"/>
        </w:rPr>
        <w:t xml:space="preserve"> </w:t>
      </w:r>
      <w:r w:rsidRPr="00C1427A">
        <w:rPr>
          <w:rFonts w:ascii="Arial" w:hAnsi="Arial" w:cs="Arial"/>
          <w:sz w:val="20"/>
        </w:rPr>
        <w:t>examiner</w:t>
      </w:r>
      <w:r w:rsidRPr="00C1427A">
        <w:rPr>
          <w:rFonts w:ascii="Arial" w:hAnsi="Arial" w:cs="Arial"/>
          <w:spacing w:val="1"/>
          <w:sz w:val="20"/>
        </w:rPr>
        <w:t xml:space="preserve"> </w:t>
      </w:r>
      <w:r w:rsidRPr="00C1427A">
        <w:rPr>
          <w:rFonts w:ascii="Arial" w:hAnsi="Arial" w:cs="Arial"/>
          <w:sz w:val="20"/>
        </w:rPr>
        <w:t>training</w:t>
      </w:r>
      <w:r w:rsidRPr="00C1427A">
        <w:rPr>
          <w:rFonts w:ascii="Arial" w:hAnsi="Arial" w:cs="Arial"/>
          <w:spacing w:val="1"/>
          <w:sz w:val="20"/>
        </w:rPr>
        <w:t xml:space="preserve"> </w:t>
      </w:r>
      <w:r w:rsidRPr="00C1427A">
        <w:rPr>
          <w:rFonts w:ascii="Arial" w:hAnsi="Arial" w:cs="Arial"/>
          <w:sz w:val="20"/>
        </w:rPr>
        <w:t>is</w:t>
      </w:r>
      <w:r w:rsidRPr="00C1427A">
        <w:rPr>
          <w:rFonts w:ascii="Arial" w:hAnsi="Arial" w:cs="Arial"/>
          <w:spacing w:val="1"/>
          <w:sz w:val="20"/>
        </w:rPr>
        <w:t xml:space="preserve"> </w:t>
      </w:r>
      <w:r w:rsidRPr="00C1427A">
        <w:rPr>
          <w:rFonts w:ascii="Arial" w:hAnsi="Arial" w:cs="Arial"/>
          <w:sz w:val="20"/>
        </w:rPr>
        <w:t>commenced.</w:t>
      </w:r>
      <w:r w:rsidRPr="00C1427A">
        <w:rPr>
          <w:rFonts w:ascii="Arial" w:hAnsi="Arial" w:cs="Arial"/>
          <w:spacing w:val="1"/>
          <w:sz w:val="20"/>
        </w:rPr>
        <w:t xml:space="preserve"> </w:t>
      </w:r>
      <w:r w:rsidRPr="00C1427A">
        <w:rPr>
          <w:rFonts w:ascii="Arial" w:hAnsi="Arial" w:cs="Arial"/>
          <w:sz w:val="20"/>
        </w:rPr>
        <w:t>The</w:t>
      </w:r>
      <w:r w:rsidRPr="00C1427A">
        <w:rPr>
          <w:rFonts w:ascii="Arial" w:hAnsi="Arial" w:cs="Arial"/>
          <w:spacing w:val="1"/>
          <w:sz w:val="20"/>
        </w:rPr>
        <w:t xml:space="preserve"> </w:t>
      </w:r>
      <w:r w:rsidRPr="00C1427A">
        <w:rPr>
          <w:rFonts w:ascii="Arial" w:hAnsi="Arial" w:cs="Arial"/>
          <w:sz w:val="20"/>
        </w:rPr>
        <w:t>core</w:t>
      </w:r>
      <w:r w:rsidRPr="00C1427A">
        <w:rPr>
          <w:rFonts w:ascii="Arial" w:hAnsi="Arial" w:cs="Arial"/>
          <w:spacing w:val="-47"/>
          <w:sz w:val="20"/>
        </w:rPr>
        <w:t xml:space="preserve"> </w:t>
      </w:r>
      <w:r w:rsidRPr="00C1427A">
        <w:rPr>
          <w:rFonts w:ascii="Arial" w:hAnsi="Arial" w:cs="Arial"/>
          <w:sz w:val="20"/>
        </w:rPr>
        <w:t>course</w:t>
      </w:r>
      <w:r w:rsidRPr="00C1427A">
        <w:rPr>
          <w:rFonts w:ascii="Arial" w:hAnsi="Arial" w:cs="Arial"/>
          <w:spacing w:val="-3"/>
          <w:sz w:val="20"/>
        </w:rPr>
        <w:t xml:space="preserve"> </w:t>
      </w:r>
      <w:r w:rsidRPr="00C1427A">
        <w:rPr>
          <w:rFonts w:ascii="Arial" w:hAnsi="Arial" w:cs="Arial"/>
          <w:sz w:val="20"/>
        </w:rPr>
        <w:t>may utilise</w:t>
      </w:r>
      <w:r w:rsidRPr="00C1427A">
        <w:rPr>
          <w:rFonts w:ascii="Arial" w:hAnsi="Arial" w:cs="Arial"/>
          <w:spacing w:val="1"/>
          <w:sz w:val="20"/>
        </w:rPr>
        <w:t xml:space="preserve"> </w:t>
      </w:r>
      <w:r w:rsidRPr="00C1427A">
        <w:rPr>
          <w:rFonts w:ascii="Arial" w:hAnsi="Arial" w:cs="Arial"/>
          <w:sz w:val="20"/>
        </w:rPr>
        <w:t>any suitable training</w:t>
      </w:r>
      <w:r w:rsidRPr="00C1427A">
        <w:rPr>
          <w:rFonts w:ascii="Arial" w:hAnsi="Arial" w:cs="Arial"/>
          <w:spacing w:val="-2"/>
          <w:sz w:val="20"/>
        </w:rPr>
        <w:t xml:space="preserve"> </w:t>
      </w:r>
      <w:r w:rsidRPr="00C1427A">
        <w:rPr>
          <w:rFonts w:ascii="Arial" w:hAnsi="Arial" w:cs="Arial"/>
          <w:sz w:val="20"/>
        </w:rPr>
        <w:t>format.</w:t>
      </w:r>
    </w:p>
    <w:p w14:paraId="1D217B99" w14:textId="77777777" w:rsidR="00C1427A" w:rsidRPr="00C1427A" w:rsidRDefault="00C1427A" w:rsidP="00C1427A">
      <w:pPr>
        <w:pStyle w:val="ListParagraph"/>
        <w:numPr>
          <w:ilvl w:val="1"/>
          <w:numId w:val="278"/>
        </w:numPr>
        <w:tabs>
          <w:tab w:val="left" w:pos="1274"/>
        </w:tabs>
        <w:spacing w:before="118"/>
        <w:ind w:hanging="568"/>
        <w:jc w:val="both"/>
        <w:rPr>
          <w:rFonts w:ascii="Arial" w:hAnsi="Arial" w:cs="Arial"/>
          <w:sz w:val="20"/>
        </w:rPr>
      </w:pPr>
      <w:r w:rsidRPr="00C1427A">
        <w:rPr>
          <w:rFonts w:ascii="Arial" w:hAnsi="Arial" w:cs="Arial"/>
          <w:sz w:val="20"/>
        </w:rPr>
        <w:t>Practical</w:t>
      </w:r>
      <w:r w:rsidRPr="00C1427A">
        <w:rPr>
          <w:rFonts w:ascii="Arial" w:hAnsi="Arial" w:cs="Arial"/>
          <w:spacing w:val="-1"/>
          <w:sz w:val="20"/>
        </w:rPr>
        <w:t xml:space="preserve"> </w:t>
      </w:r>
      <w:r w:rsidRPr="00C1427A">
        <w:rPr>
          <w:rFonts w:ascii="Arial" w:hAnsi="Arial" w:cs="Arial"/>
          <w:sz w:val="20"/>
        </w:rPr>
        <w:t>training</w:t>
      </w:r>
    </w:p>
    <w:p w14:paraId="288F6CD5" w14:textId="77777777" w:rsidR="00C1427A" w:rsidRPr="00C1427A" w:rsidRDefault="00C1427A" w:rsidP="00C1427A">
      <w:pPr>
        <w:pStyle w:val="ListParagraph"/>
        <w:numPr>
          <w:ilvl w:val="2"/>
          <w:numId w:val="278"/>
        </w:numPr>
        <w:tabs>
          <w:tab w:val="left" w:pos="1842"/>
        </w:tabs>
        <w:spacing w:before="121"/>
        <w:jc w:val="both"/>
        <w:rPr>
          <w:rFonts w:ascii="Arial" w:hAnsi="Arial" w:cs="Arial"/>
          <w:sz w:val="20"/>
        </w:rPr>
      </w:pPr>
      <w:r w:rsidRPr="00C1427A">
        <w:rPr>
          <w:rFonts w:ascii="Arial" w:hAnsi="Arial" w:cs="Arial"/>
          <w:sz w:val="20"/>
        </w:rPr>
        <w:t>Practical</w:t>
      </w:r>
      <w:r w:rsidRPr="00C1427A">
        <w:rPr>
          <w:rFonts w:ascii="Arial" w:hAnsi="Arial" w:cs="Arial"/>
          <w:spacing w:val="-1"/>
          <w:sz w:val="20"/>
        </w:rPr>
        <w:t xml:space="preserve"> </w:t>
      </w:r>
      <w:r w:rsidRPr="00C1427A">
        <w:rPr>
          <w:rFonts w:ascii="Arial" w:hAnsi="Arial" w:cs="Arial"/>
          <w:sz w:val="20"/>
        </w:rPr>
        <w:t>training</w:t>
      </w:r>
      <w:r w:rsidRPr="00C1427A">
        <w:rPr>
          <w:rFonts w:ascii="Arial" w:hAnsi="Arial" w:cs="Arial"/>
          <w:spacing w:val="-2"/>
          <w:sz w:val="20"/>
        </w:rPr>
        <w:t xml:space="preserve"> </w:t>
      </w:r>
      <w:r w:rsidRPr="00C1427A">
        <w:rPr>
          <w:rFonts w:ascii="Arial" w:hAnsi="Arial" w:cs="Arial"/>
          <w:sz w:val="20"/>
        </w:rPr>
        <w:t>should</w:t>
      </w:r>
      <w:r w:rsidRPr="00C1427A">
        <w:rPr>
          <w:rFonts w:ascii="Arial" w:hAnsi="Arial" w:cs="Arial"/>
          <w:spacing w:val="-2"/>
          <w:sz w:val="20"/>
        </w:rPr>
        <w:t xml:space="preserve"> </w:t>
      </w:r>
      <w:r w:rsidRPr="00C1427A">
        <w:rPr>
          <w:rFonts w:ascii="Arial" w:hAnsi="Arial" w:cs="Arial"/>
          <w:sz w:val="20"/>
        </w:rPr>
        <w:t>include at</w:t>
      </w:r>
      <w:r w:rsidRPr="00C1427A">
        <w:rPr>
          <w:rFonts w:ascii="Arial" w:hAnsi="Arial" w:cs="Arial"/>
          <w:spacing w:val="-1"/>
          <w:sz w:val="20"/>
        </w:rPr>
        <w:t xml:space="preserve"> </w:t>
      </w:r>
      <w:r w:rsidRPr="00C1427A">
        <w:rPr>
          <w:rFonts w:ascii="Arial" w:hAnsi="Arial" w:cs="Arial"/>
          <w:sz w:val="20"/>
        </w:rPr>
        <w:t>least:</w:t>
      </w:r>
    </w:p>
    <w:p w14:paraId="214EEF76" w14:textId="77777777" w:rsidR="00C1427A" w:rsidRPr="00C1427A" w:rsidRDefault="00C1427A" w:rsidP="00C1427A">
      <w:pPr>
        <w:pStyle w:val="ListParagraph"/>
        <w:numPr>
          <w:ilvl w:val="3"/>
          <w:numId w:val="278"/>
        </w:numPr>
        <w:tabs>
          <w:tab w:val="left" w:pos="2409"/>
        </w:tabs>
        <w:ind w:right="197"/>
        <w:jc w:val="both"/>
        <w:rPr>
          <w:rFonts w:ascii="Arial" w:hAnsi="Arial" w:cs="Arial"/>
          <w:sz w:val="20"/>
        </w:rPr>
      </w:pPr>
      <w:r w:rsidRPr="00C1427A">
        <w:rPr>
          <w:rFonts w:ascii="Arial" w:hAnsi="Arial" w:cs="Arial"/>
          <w:sz w:val="20"/>
        </w:rPr>
        <w:t>knowledge and management of the test for which the certificate is to be</w:t>
      </w:r>
      <w:r w:rsidRPr="00C1427A">
        <w:rPr>
          <w:rFonts w:ascii="Arial" w:hAnsi="Arial" w:cs="Arial"/>
          <w:spacing w:val="1"/>
          <w:sz w:val="20"/>
        </w:rPr>
        <w:t xml:space="preserve"> </w:t>
      </w:r>
      <w:r w:rsidRPr="00C1427A">
        <w:rPr>
          <w:rFonts w:ascii="Arial" w:hAnsi="Arial" w:cs="Arial"/>
          <w:sz w:val="20"/>
        </w:rPr>
        <w:t>sought.</w:t>
      </w:r>
      <w:r w:rsidRPr="00C1427A">
        <w:rPr>
          <w:rFonts w:ascii="Arial" w:hAnsi="Arial" w:cs="Arial"/>
          <w:spacing w:val="-1"/>
          <w:sz w:val="20"/>
        </w:rPr>
        <w:t xml:space="preserve"> </w:t>
      </w:r>
      <w:r w:rsidRPr="00C1427A">
        <w:rPr>
          <w:rFonts w:ascii="Arial" w:hAnsi="Arial" w:cs="Arial"/>
          <w:sz w:val="20"/>
        </w:rPr>
        <w:t>These</w:t>
      </w:r>
      <w:r w:rsidRPr="00C1427A">
        <w:rPr>
          <w:rFonts w:ascii="Arial" w:hAnsi="Arial" w:cs="Arial"/>
          <w:spacing w:val="1"/>
          <w:sz w:val="20"/>
        </w:rPr>
        <w:t xml:space="preserve"> </w:t>
      </w:r>
      <w:r w:rsidRPr="00C1427A">
        <w:rPr>
          <w:rFonts w:ascii="Arial" w:hAnsi="Arial" w:cs="Arial"/>
          <w:sz w:val="20"/>
        </w:rPr>
        <w:t>are described</w:t>
      </w:r>
      <w:r w:rsidRPr="00C1427A">
        <w:rPr>
          <w:rFonts w:ascii="Arial" w:hAnsi="Arial" w:cs="Arial"/>
          <w:spacing w:val="-1"/>
          <w:sz w:val="20"/>
        </w:rPr>
        <w:t xml:space="preserve"> </w:t>
      </w:r>
      <w:r w:rsidRPr="00C1427A">
        <w:rPr>
          <w:rFonts w:ascii="Arial" w:hAnsi="Arial" w:cs="Arial"/>
          <w:sz w:val="20"/>
        </w:rPr>
        <w:t>in</w:t>
      </w:r>
      <w:r w:rsidRPr="00C1427A">
        <w:rPr>
          <w:rFonts w:ascii="Arial" w:hAnsi="Arial" w:cs="Arial"/>
          <w:spacing w:val="-1"/>
          <w:sz w:val="20"/>
        </w:rPr>
        <w:t xml:space="preserve"> </w:t>
      </w:r>
      <w:r w:rsidRPr="00C1427A">
        <w:rPr>
          <w:rFonts w:ascii="Arial" w:hAnsi="Arial" w:cs="Arial"/>
          <w:sz w:val="20"/>
        </w:rPr>
        <w:t>the relevant</w:t>
      </w:r>
      <w:r w:rsidRPr="00C1427A">
        <w:rPr>
          <w:rFonts w:ascii="Arial" w:hAnsi="Arial" w:cs="Arial"/>
          <w:spacing w:val="-3"/>
          <w:sz w:val="20"/>
        </w:rPr>
        <w:t xml:space="preserve"> </w:t>
      </w:r>
      <w:r w:rsidRPr="00C1427A">
        <w:rPr>
          <w:rFonts w:ascii="Arial" w:hAnsi="Arial" w:cs="Arial"/>
          <w:sz w:val="20"/>
        </w:rPr>
        <w:t>modules</w:t>
      </w:r>
      <w:r w:rsidRPr="00C1427A">
        <w:rPr>
          <w:rFonts w:ascii="Arial" w:hAnsi="Arial" w:cs="Arial"/>
          <w:spacing w:val="-2"/>
          <w:sz w:val="20"/>
        </w:rPr>
        <w:t xml:space="preserve"> </w:t>
      </w:r>
      <w:r w:rsidRPr="00C1427A">
        <w:rPr>
          <w:rFonts w:ascii="Arial" w:hAnsi="Arial" w:cs="Arial"/>
          <w:sz w:val="20"/>
        </w:rPr>
        <w:t>in</w:t>
      </w:r>
      <w:r w:rsidRPr="00C1427A">
        <w:rPr>
          <w:rFonts w:ascii="Arial" w:hAnsi="Arial" w:cs="Arial"/>
          <w:spacing w:val="-1"/>
          <w:sz w:val="20"/>
        </w:rPr>
        <w:t xml:space="preserve"> </w:t>
      </w:r>
      <w:r w:rsidRPr="00C1427A">
        <w:rPr>
          <w:rFonts w:ascii="Arial" w:hAnsi="Arial" w:cs="Arial"/>
          <w:sz w:val="20"/>
        </w:rPr>
        <w:t>the FEM; and</w:t>
      </w:r>
    </w:p>
    <w:p w14:paraId="6C4551AA" w14:textId="77777777" w:rsidR="00C1427A" w:rsidRPr="00C1427A" w:rsidRDefault="00C1427A" w:rsidP="00C1427A">
      <w:pPr>
        <w:pStyle w:val="ListParagraph"/>
        <w:numPr>
          <w:ilvl w:val="3"/>
          <w:numId w:val="278"/>
        </w:numPr>
        <w:tabs>
          <w:tab w:val="left" w:pos="2409"/>
        </w:tabs>
        <w:jc w:val="both"/>
        <w:rPr>
          <w:rFonts w:ascii="Arial" w:hAnsi="Arial" w:cs="Arial"/>
          <w:sz w:val="20"/>
        </w:rPr>
      </w:pPr>
      <w:r w:rsidRPr="00C1427A">
        <w:rPr>
          <w:rFonts w:ascii="Arial" w:hAnsi="Arial" w:cs="Arial"/>
          <w:sz w:val="20"/>
        </w:rPr>
        <w:t>knowledge</w:t>
      </w:r>
      <w:r w:rsidRPr="00C1427A">
        <w:rPr>
          <w:rFonts w:ascii="Arial" w:hAnsi="Arial" w:cs="Arial"/>
          <w:spacing w:val="-9"/>
          <w:sz w:val="20"/>
        </w:rPr>
        <w:t xml:space="preserve"> </w:t>
      </w:r>
      <w:r w:rsidRPr="00C1427A">
        <w:rPr>
          <w:rFonts w:ascii="Arial" w:hAnsi="Arial" w:cs="Arial"/>
          <w:sz w:val="20"/>
        </w:rPr>
        <w:t>of</w:t>
      </w:r>
      <w:r w:rsidRPr="00C1427A">
        <w:rPr>
          <w:rFonts w:ascii="Arial" w:hAnsi="Arial" w:cs="Arial"/>
          <w:spacing w:val="-10"/>
          <w:sz w:val="20"/>
        </w:rPr>
        <w:t xml:space="preserve"> </w:t>
      </w:r>
      <w:r w:rsidRPr="00C1427A">
        <w:rPr>
          <w:rFonts w:ascii="Arial" w:hAnsi="Arial" w:cs="Arial"/>
          <w:sz w:val="20"/>
        </w:rPr>
        <w:t>the</w:t>
      </w:r>
      <w:r w:rsidRPr="00C1427A">
        <w:rPr>
          <w:rFonts w:ascii="Arial" w:hAnsi="Arial" w:cs="Arial"/>
          <w:spacing w:val="-8"/>
          <w:sz w:val="20"/>
        </w:rPr>
        <w:t xml:space="preserve"> </w:t>
      </w:r>
      <w:r w:rsidRPr="00C1427A">
        <w:rPr>
          <w:rFonts w:ascii="Arial" w:hAnsi="Arial" w:cs="Arial"/>
          <w:sz w:val="20"/>
        </w:rPr>
        <w:t>administrative</w:t>
      </w:r>
      <w:r w:rsidRPr="00C1427A">
        <w:rPr>
          <w:rFonts w:ascii="Arial" w:hAnsi="Arial" w:cs="Arial"/>
          <w:spacing w:val="-9"/>
          <w:sz w:val="20"/>
        </w:rPr>
        <w:t xml:space="preserve"> </w:t>
      </w:r>
      <w:r w:rsidRPr="00C1427A">
        <w:rPr>
          <w:rFonts w:ascii="Arial" w:hAnsi="Arial" w:cs="Arial"/>
          <w:sz w:val="20"/>
        </w:rPr>
        <w:t>procedures</w:t>
      </w:r>
      <w:r w:rsidRPr="00C1427A">
        <w:rPr>
          <w:rFonts w:ascii="Arial" w:hAnsi="Arial" w:cs="Arial"/>
          <w:spacing w:val="-8"/>
          <w:sz w:val="20"/>
        </w:rPr>
        <w:t xml:space="preserve"> </w:t>
      </w:r>
      <w:r w:rsidRPr="00C1427A">
        <w:rPr>
          <w:rFonts w:ascii="Arial" w:hAnsi="Arial" w:cs="Arial"/>
          <w:sz w:val="20"/>
        </w:rPr>
        <w:t>pertaining</w:t>
      </w:r>
      <w:r w:rsidRPr="00C1427A">
        <w:rPr>
          <w:rFonts w:ascii="Arial" w:hAnsi="Arial" w:cs="Arial"/>
          <w:spacing w:val="-10"/>
          <w:sz w:val="20"/>
        </w:rPr>
        <w:t xml:space="preserve"> </w:t>
      </w:r>
      <w:r w:rsidRPr="00C1427A">
        <w:rPr>
          <w:rFonts w:ascii="Arial" w:hAnsi="Arial" w:cs="Arial"/>
          <w:sz w:val="20"/>
        </w:rPr>
        <w:t>to</w:t>
      </w:r>
      <w:r w:rsidRPr="00C1427A">
        <w:rPr>
          <w:rFonts w:ascii="Arial" w:hAnsi="Arial" w:cs="Arial"/>
          <w:spacing w:val="-8"/>
          <w:sz w:val="20"/>
        </w:rPr>
        <w:t xml:space="preserve"> </w:t>
      </w:r>
      <w:r w:rsidRPr="00C1427A">
        <w:rPr>
          <w:rFonts w:ascii="Arial" w:hAnsi="Arial" w:cs="Arial"/>
          <w:sz w:val="20"/>
        </w:rPr>
        <w:t>that</w:t>
      </w:r>
      <w:r w:rsidRPr="00C1427A">
        <w:rPr>
          <w:rFonts w:ascii="Arial" w:hAnsi="Arial" w:cs="Arial"/>
          <w:spacing w:val="-8"/>
          <w:sz w:val="20"/>
        </w:rPr>
        <w:t xml:space="preserve"> </w:t>
      </w:r>
      <w:r w:rsidRPr="00C1427A">
        <w:rPr>
          <w:rFonts w:ascii="Arial" w:hAnsi="Arial" w:cs="Arial"/>
          <w:sz w:val="20"/>
        </w:rPr>
        <w:t>test</w:t>
      </w:r>
      <w:r w:rsidRPr="00C1427A">
        <w:rPr>
          <w:rFonts w:ascii="Arial" w:hAnsi="Arial" w:cs="Arial"/>
          <w:spacing w:val="-8"/>
          <w:sz w:val="20"/>
        </w:rPr>
        <w:t xml:space="preserve"> </w:t>
      </w:r>
      <w:r w:rsidRPr="00C1427A">
        <w:rPr>
          <w:rFonts w:ascii="Arial" w:hAnsi="Arial" w:cs="Arial"/>
          <w:sz w:val="20"/>
        </w:rPr>
        <w:t>or</w:t>
      </w:r>
      <w:r w:rsidRPr="00C1427A">
        <w:rPr>
          <w:rFonts w:ascii="Arial" w:hAnsi="Arial" w:cs="Arial"/>
          <w:spacing w:val="-9"/>
          <w:sz w:val="20"/>
        </w:rPr>
        <w:t xml:space="preserve"> </w:t>
      </w:r>
      <w:r w:rsidRPr="00C1427A">
        <w:rPr>
          <w:rFonts w:ascii="Arial" w:hAnsi="Arial" w:cs="Arial"/>
          <w:sz w:val="20"/>
        </w:rPr>
        <w:t>check.</w:t>
      </w:r>
    </w:p>
    <w:p w14:paraId="3A5AD1C2" w14:textId="77777777" w:rsidR="00C1427A" w:rsidRPr="00C1427A" w:rsidRDefault="00C1427A" w:rsidP="00C1427A">
      <w:pPr>
        <w:pStyle w:val="ListParagraph"/>
        <w:numPr>
          <w:ilvl w:val="2"/>
          <w:numId w:val="278"/>
        </w:numPr>
        <w:tabs>
          <w:tab w:val="left" w:pos="1842"/>
        </w:tabs>
        <w:spacing w:before="121"/>
        <w:ind w:right="194"/>
        <w:jc w:val="both"/>
        <w:rPr>
          <w:rFonts w:ascii="Arial" w:hAnsi="Arial" w:cs="Arial"/>
          <w:sz w:val="20"/>
        </w:rPr>
      </w:pPr>
      <w:r w:rsidRPr="00C1427A">
        <w:rPr>
          <w:rFonts w:ascii="Arial" w:hAnsi="Arial" w:cs="Arial"/>
          <w:spacing w:val="-1"/>
          <w:sz w:val="20"/>
        </w:rPr>
        <w:t>For</w:t>
      </w:r>
      <w:r w:rsidRPr="00C1427A">
        <w:rPr>
          <w:rFonts w:ascii="Arial" w:hAnsi="Arial" w:cs="Arial"/>
          <w:spacing w:val="-9"/>
          <w:sz w:val="20"/>
        </w:rPr>
        <w:t xml:space="preserve"> </w:t>
      </w:r>
      <w:r w:rsidRPr="00C1427A">
        <w:rPr>
          <w:rFonts w:ascii="Arial" w:hAnsi="Arial" w:cs="Arial"/>
          <w:spacing w:val="-1"/>
          <w:sz w:val="20"/>
        </w:rPr>
        <w:t>an</w:t>
      </w:r>
      <w:r w:rsidRPr="00C1427A">
        <w:rPr>
          <w:rFonts w:ascii="Arial" w:hAnsi="Arial" w:cs="Arial"/>
          <w:spacing w:val="-9"/>
          <w:sz w:val="20"/>
        </w:rPr>
        <w:t xml:space="preserve"> </w:t>
      </w:r>
      <w:r w:rsidRPr="00C1427A">
        <w:rPr>
          <w:rFonts w:ascii="Arial" w:hAnsi="Arial" w:cs="Arial"/>
          <w:spacing w:val="-1"/>
          <w:sz w:val="20"/>
        </w:rPr>
        <w:t>initial</w:t>
      </w:r>
      <w:r w:rsidRPr="00C1427A">
        <w:rPr>
          <w:rFonts w:ascii="Arial" w:hAnsi="Arial" w:cs="Arial"/>
          <w:spacing w:val="-13"/>
          <w:sz w:val="20"/>
        </w:rPr>
        <w:t xml:space="preserve"> </w:t>
      </w:r>
      <w:r w:rsidRPr="00C1427A">
        <w:rPr>
          <w:rFonts w:ascii="Arial" w:hAnsi="Arial" w:cs="Arial"/>
          <w:spacing w:val="-1"/>
          <w:sz w:val="20"/>
        </w:rPr>
        <w:t>examiner</w:t>
      </w:r>
      <w:r w:rsidRPr="00C1427A">
        <w:rPr>
          <w:rFonts w:ascii="Arial" w:hAnsi="Arial" w:cs="Arial"/>
          <w:spacing w:val="-10"/>
          <w:sz w:val="20"/>
        </w:rPr>
        <w:t xml:space="preserve"> </w:t>
      </w:r>
      <w:r w:rsidRPr="00C1427A">
        <w:rPr>
          <w:rFonts w:ascii="Arial" w:hAnsi="Arial" w:cs="Arial"/>
          <w:sz w:val="20"/>
        </w:rPr>
        <w:t>certificate,</w:t>
      </w:r>
      <w:r w:rsidRPr="00C1427A">
        <w:rPr>
          <w:rFonts w:ascii="Arial" w:hAnsi="Arial" w:cs="Arial"/>
          <w:spacing w:val="-9"/>
          <w:sz w:val="20"/>
        </w:rPr>
        <w:t xml:space="preserve"> </w:t>
      </w:r>
      <w:r w:rsidRPr="00C1427A">
        <w:rPr>
          <w:rFonts w:ascii="Arial" w:hAnsi="Arial" w:cs="Arial"/>
          <w:sz w:val="20"/>
        </w:rPr>
        <w:t>practical</w:t>
      </w:r>
      <w:r w:rsidRPr="00C1427A">
        <w:rPr>
          <w:rFonts w:ascii="Arial" w:hAnsi="Arial" w:cs="Arial"/>
          <w:spacing w:val="-11"/>
          <w:sz w:val="20"/>
        </w:rPr>
        <w:t xml:space="preserve"> </w:t>
      </w:r>
      <w:r w:rsidRPr="00C1427A">
        <w:rPr>
          <w:rFonts w:ascii="Arial" w:hAnsi="Arial" w:cs="Arial"/>
          <w:sz w:val="20"/>
        </w:rPr>
        <w:t>training</w:t>
      </w:r>
      <w:r w:rsidRPr="00C1427A">
        <w:rPr>
          <w:rFonts w:ascii="Arial" w:hAnsi="Arial" w:cs="Arial"/>
          <w:spacing w:val="-9"/>
          <w:sz w:val="20"/>
        </w:rPr>
        <w:t xml:space="preserve"> </w:t>
      </w:r>
      <w:r w:rsidRPr="00C1427A">
        <w:rPr>
          <w:rFonts w:ascii="Arial" w:hAnsi="Arial" w:cs="Arial"/>
          <w:sz w:val="20"/>
        </w:rPr>
        <w:t>should</w:t>
      </w:r>
      <w:r w:rsidRPr="00C1427A">
        <w:rPr>
          <w:rFonts w:ascii="Arial" w:hAnsi="Arial" w:cs="Arial"/>
          <w:spacing w:val="-10"/>
          <w:sz w:val="20"/>
        </w:rPr>
        <w:t xml:space="preserve"> </w:t>
      </w:r>
      <w:r w:rsidRPr="00C1427A">
        <w:rPr>
          <w:rFonts w:ascii="Arial" w:hAnsi="Arial" w:cs="Arial"/>
          <w:sz w:val="20"/>
        </w:rPr>
        <w:t>include</w:t>
      </w:r>
      <w:r w:rsidRPr="00C1427A">
        <w:rPr>
          <w:rFonts w:ascii="Arial" w:hAnsi="Arial" w:cs="Arial"/>
          <w:spacing w:val="-8"/>
          <w:sz w:val="20"/>
        </w:rPr>
        <w:t xml:space="preserve"> </w:t>
      </w:r>
      <w:r w:rsidRPr="00C1427A">
        <w:rPr>
          <w:rFonts w:ascii="Arial" w:hAnsi="Arial" w:cs="Arial"/>
          <w:sz w:val="20"/>
        </w:rPr>
        <w:t>the</w:t>
      </w:r>
      <w:r w:rsidRPr="00C1427A">
        <w:rPr>
          <w:rFonts w:ascii="Arial" w:hAnsi="Arial" w:cs="Arial"/>
          <w:spacing w:val="-9"/>
          <w:sz w:val="20"/>
        </w:rPr>
        <w:t xml:space="preserve"> </w:t>
      </w:r>
      <w:r w:rsidRPr="00C1427A">
        <w:rPr>
          <w:rFonts w:ascii="Arial" w:hAnsi="Arial" w:cs="Arial"/>
          <w:sz w:val="20"/>
        </w:rPr>
        <w:t>examination</w:t>
      </w:r>
      <w:r w:rsidRPr="00C1427A">
        <w:rPr>
          <w:rFonts w:ascii="Arial" w:hAnsi="Arial" w:cs="Arial"/>
          <w:spacing w:val="-47"/>
          <w:sz w:val="20"/>
        </w:rPr>
        <w:t xml:space="preserve"> </w:t>
      </w:r>
      <w:r w:rsidRPr="00C1427A">
        <w:rPr>
          <w:rFonts w:ascii="Arial" w:hAnsi="Arial" w:cs="Arial"/>
          <w:sz w:val="20"/>
        </w:rPr>
        <w:t>of the test profile sought, consisting of the conduct of at least one test or check</w:t>
      </w:r>
      <w:r w:rsidRPr="00C1427A">
        <w:rPr>
          <w:rFonts w:ascii="Arial" w:hAnsi="Arial" w:cs="Arial"/>
          <w:spacing w:val="1"/>
          <w:sz w:val="20"/>
        </w:rPr>
        <w:t xml:space="preserve"> </w:t>
      </w:r>
      <w:r w:rsidRPr="00C1427A">
        <w:rPr>
          <w:rFonts w:ascii="Arial" w:hAnsi="Arial" w:cs="Arial"/>
          <w:sz w:val="20"/>
        </w:rPr>
        <w:t>profiles in the role of an examiner, including briefing, conduct of the skill test and</w:t>
      </w:r>
      <w:r w:rsidRPr="00C1427A">
        <w:rPr>
          <w:rFonts w:ascii="Arial" w:hAnsi="Arial" w:cs="Arial"/>
          <w:spacing w:val="1"/>
          <w:sz w:val="20"/>
        </w:rPr>
        <w:t xml:space="preserve"> </w:t>
      </w:r>
      <w:r w:rsidRPr="00C1427A">
        <w:rPr>
          <w:rFonts w:ascii="Arial" w:hAnsi="Arial" w:cs="Arial"/>
          <w:sz w:val="20"/>
        </w:rPr>
        <w:t>proficiency check, assessment of the applicant to whom the test or check is given,</w:t>
      </w:r>
      <w:r w:rsidRPr="00C1427A">
        <w:rPr>
          <w:rFonts w:ascii="Arial" w:hAnsi="Arial" w:cs="Arial"/>
          <w:spacing w:val="-47"/>
          <w:sz w:val="20"/>
        </w:rPr>
        <w:t xml:space="preserve"> </w:t>
      </w:r>
      <w:r w:rsidRPr="00C1427A">
        <w:rPr>
          <w:rFonts w:ascii="Arial" w:hAnsi="Arial" w:cs="Arial"/>
          <w:sz w:val="20"/>
        </w:rPr>
        <w:t>debriefing</w:t>
      </w:r>
      <w:r w:rsidRPr="00C1427A">
        <w:rPr>
          <w:rFonts w:ascii="Arial" w:hAnsi="Arial" w:cs="Arial"/>
          <w:spacing w:val="-2"/>
          <w:sz w:val="20"/>
        </w:rPr>
        <w:t xml:space="preserve"> </w:t>
      </w:r>
      <w:r w:rsidRPr="00C1427A">
        <w:rPr>
          <w:rFonts w:ascii="Arial" w:hAnsi="Arial" w:cs="Arial"/>
          <w:sz w:val="20"/>
        </w:rPr>
        <w:t>and</w:t>
      </w:r>
      <w:r w:rsidRPr="00C1427A">
        <w:rPr>
          <w:rFonts w:ascii="Arial" w:hAnsi="Arial" w:cs="Arial"/>
          <w:spacing w:val="-2"/>
          <w:sz w:val="20"/>
        </w:rPr>
        <w:t xml:space="preserve"> </w:t>
      </w:r>
      <w:r w:rsidRPr="00C1427A">
        <w:rPr>
          <w:rFonts w:ascii="Arial" w:hAnsi="Arial" w:cs="Arial"/>
          <w:sz w:val="20"/>
        </w:rPr>
        <w:t>recording</w:t>
      </w:r>
      <w:r w:rsidRPr="00C1427A">
        <w:rPr>
          <w:rFonts w:ascii="Arial" w:hAnsi="Arial" w:cs="Arial"/>
          <w:spacing w:val="-1"/>
          <w:sz w:val="20"/>
        </w:rPr>
        <w:t xml:space="preserve"> </w:t>
      </w:r>
      <w:r w:rsidRPr="00C1427A">
        <w:rPr>
          <w:rFonts w:ascii="Arial" w:hAnsi="Arial" w:cs="Arial"/>
          <w:sz w:val="20"/>
        </w:rPr>
        <w:t>or</w:t>
      </w:r>
      <w:r w:rsidRPr="00C1427A">
        <w:rPr>
          <w:rFonts w:ascii="Arial" w:hAnsi="Arial" w:cs="Arial"/>
          <w:spacing w:val="-4"/>
          <w:sz w:val="20"/>
        </w:rPr>
        <w:t xml:space="preserve"> </w:t>
      </w:r>
      <w:r w:rsidRPr="00C1427A">
        <w:rPr>
          <w:rFonts w:ascii="Arial" w:hAnsi="Arial" w:cs="Arial"/>
          <w:sz w:val="20"/>
        </w:rPr>
        <w:t>documentation</w:t>
      </w:r>
      <w:r w:rsidRPr="00C1427A">
        <w:rPr>
          <w:rFonts w:ascii="Arial" w:hAnsi="Arial" w:cs="Arial"/>
          <w:spacing w:val="-1"/>
          <w:sz w:val="20"/>
        </w:rPr>
        <w:t xml:space="preserve"> </w:t>
      </w:r>
      <w:r w:rsidRPr="00C1427A">
        <w:rPr>
          <w:rFonts w:ascii="Arial" w:hAnsi="Arial" w:cs="Arial"/>
          <w:sz w:val="20"/>
        </w:rPr>
        <w:t>under</w:t>
      </w:r>
      <w:r w:rsidRPr="00C1427A">
        <w:rPr>
          <w:rFonts w:ascii="Arial" w:hAnsi="Arial" w:cs="Arial"/>
          <w:spacing w:val="-3"/>
          <w:sz w:val="20"/>
        </w:rPr>
        <w:t xml:space="preserve"> </w:t>
      </w:r>
      <w:r w:rsidRPr="00C1427A">
        <w:rPr>
          <w:rFonts w:ascii="Arial" w:hAnsi="Arial" w:cs="Arial"/>
          <w:sz w:val="20"/>
        </w:rPr>
        <w:t>the</w:t>
      </w:r>
      <w:r w:rsidRPr="00C1427A">
        <w:rPr>
          <w:rFonts w:ascii="Arial" w:hAnsi="Arial" w:cs="Arial"/>
          <w:spacing w:val="-2"/>
          <w:sz w:val="20"/>
        </w:rPr>
        <w:t xml:space="preserve"> </w:t>
      </w:r>
      <w:r w:rsidRPr="00C1427A">
        <w:rPr>
          <w:rFonts w:ascii="Arial" w:hAnsi="Arial" w:cs="Arial"/>
          <w:sz w:val="20"/>
        </w:rPr>
        <w:t>supervision</w:t>
      </w:r>
      <w:r w:rsidRPr="00C1427A">
        <w:rPr>
          <w:rFonts w:ascii="Arial" w:hAnsi="Arial" w:cs="Arial"/>
          <w:spacing w:val="-2"/>
          <w:sz w:val="20"/>
        </w:rPr>
        <w:t xml:space="preserve"> </w:t>
      </w:r>
      <w:r w:rsidRPr="00C1427A">
        <w:rPr>
          <w:rFonts w:ascii="Arial" w:hAnsi="Arial" w:cs="Arial"/>
          <w:sz w:val="20"/>
        </w:rPr>
        <w:t>of</w:t>
      </w:r>
      <w:r w:rsidRPr="00C1427A">
        <w:rPr>
          <w:rFonts w:ascii="Arial" w:hAnsi="Arial" w:cs="Arial"/>
          <w:spacing w:val="-3"/>
          <w:sz w:val="20"/>
        </w:rPr>
        <w:t xml:space="preserve"> </w:t>
      </w:r>
      <w:r w:rsidRPr="00C1427A">
        <w:rPr>
          <w:rFonts w:ascii="Arial" w:hAnsi="Arial" w:cs="Arial"/>
          <w:sz w:val="20"/>
        </w:rPr>
        <w:t>an</w:t>
      </w:r>
      <w:r w:rsidRPr="00C1427A">
        <w:rPr>
          <w:rFonts w:ascii="Arial" w:hAnsi="Arial" w:cs="Arial"/>
          <w:spacing w:val="-1"/>
          <w:sz w:val="20"/>
        </w:rPr>
        <w:t xml:space="preserve"> </w:t>
      </w:r>
      <w:r w:rsidRPr="00C1427A">
        <w:rPr>
          <w:rFonts w:ascii="Arial" w:hAnsi="Arial" w:cs="Arial"/>
          <w:sz w:val="20"/>
        </w:rPr>
        <w:t>examiner.</w:t>
      </w:r>
    </w:p>
    <w:p w14:paraId="492DC1A3" w14:textId="77777777" w:rsidR="00C1427A" w:rsidRPr="00C1427A" w:rsidRDefault="00C1427A" w:rsidP="00C1427A">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772" w:name="_Toc153137480"/>
      <w:r w:rsidRPr="00C1427A">
        <w:rPr>
          <w:rFonts w:ascii="Arial" w:eastAsia="Times New Roman" w:hAnsi="Arial" w:cs="Times New Roman"/>
          <w:b/>
          <w:color w:val="FFFFFF"/>
          <w:sz w:val="24"/>
        </w:rPr>
        <w:t>AMC2 BFCL.430 FE(B) certificate – Standardisation course</w:t>
      </w:r>
      <w:bookmarkEnd w:id="772"/>
      <w:r w:rsidRPr="00C1427A">
        <w:rPr>
          <w:rFonts w:ascii="Arial" w:eastAsia="Times New Roman" w:hAnsi="Arial" w:cs="Times New Roman"/>
          <w:b/>
          <w:color w:val="FFFFFF"/>
          <w:sz w:val="24"/>
        </w:rPr>
        <w:tab/>
      </w:r>
    </w:p>
    <w:p w14:paraId="7B6A72F6" w14:textId="77777777" w:rsidR="00C1427A" w:rsidRPr="00C1427A" w:rsidRDefault="00C1427A" w:rsidP="00C1427A">
      <w:pPr>
        <w:widowControl/>
        <w:autoSpaceDE/>
        <w:autoSpaceDN/>
        <w:spacing w:before="240" w:after="160" w:line="264" w:lineRule="auto"/>
        <w:jc w:val="both"/>
        <w:rPr>
          <w:rFonts w:ascii="Arial" w:eastAsiaTheme="minorHAnsi" w:hAnsi="Arial" w:cs="Arial"/>
          <w:b/>
          <w:bCs/>
          <w:sz w:val="20"/>
          <w:szCs w:val="20"/>
        </w:rPr>
      </w:pPr>
      <w:r w:rsidRPr="00C1427A">
        <w:rPr>
          <w:rFonts w:ascii="Arial" w:eastAsiaTheme="minorHAnsi" w:hAnsi="Arial" w:cs="Arial"/>
          <w:b/>
          <w:bCs/>
          <w:sz w:val="20"/>
          <w:szCs w:val="20"/>
        </w:rPr>
        <w:t>STANDARDISATION ARRANGEMENTS FOR EXAMINERS</w:t>
      </w:r>
    </w:p>
    <w:p w14:paraId="3DC94506" w14:textId="77777777" w:rsidR="00C1427A" w:rsidRPr="00C1427A" w:rsidRDefault="00C1427A" w:rsidP="00D91E6C">
      <w:pPr>
        <w:pStyle w:val="ListParagraph"/>
        <w:numPr>
          <w:ilvl w:val="0"/>
          <w:numId w:val="279"/>
        </w:numPr>
        <w:tabs>
          <w:tab w:val="left" w:pos="707"/>
        </w:tabs>
        <w:spacing w:before="118"/>
        <w:ind w:right="68"/>
        <w:jc w:val="both"/>
        <w:rPr>
          <w:rFonts w:ascii="Arial" w:hAnsi="Arial" w:cs="Arial"/>
          <w:sz w:val="20"/>
          <w:szCs w:val="20"/>
        </w:rPr>
      </w:pPr>
      <w:r w:rsidRPr="00C1427A">
        <w:rPr>
          <w:rFonts w:ascii="Arial" w:hAnsi="Arial" w:cs="Arial"/>
          <w:sz w:val="20"/>
          <w:szCs w:val="20"/>
        </w:rPr>
        <w:t>General</w:t>
      </w:r>
    </w:p>
    <w:p w14:paraId="6D69C22E" w14:textId="77777777" w:rsidR="00C1427A" w:rsidRPr="00C1427A" w:rsidRDefault="00C1427A" w:rsidP="00D91E6C">
      <w:pPr>
        <w:pStyle w:val="ListParagraph"/>
        <w:numPr>
          <w:ilvl w:val="1"/>
          <w:numId w:val="279"/>
        </w:numPr>
        <w:tabs>
          <w:tab w:val="left" w:pos="1274"/>
        </w:tabs>
        <w:spacing w:before="121"/>
        <w:ind w:right="68" w:hanging="568"/>
        <w:jc w:val="both"/>
        <w:rPr>
          <w:rFonts w:ascii="Arial" w:hAnsi="Arial" w:cs="Arial"/>
          <w:sz w:val="20"/>
          <w:szCs w:val="20"/>
        </w:rPr>
      </w:pPr>
      <w:r w:rsidRPr="00C1427A">
        <w:rPr>
          <w:rFonts w:ascii="Arial" w:hAnsi="Arial" w:cs="Arial"/>
          <w:sz w:val="20"/>
          <w:szCs w:val="20"/>
        </w:rPr>
        <w:t>An</w:t>
      </w:r>
      <w:r w:rsidRPr="00C1427A">
        <w:rPr>
          <w:rFonts w:ascii="Arial" w:hAnsi="Arial" w:cs="Arial"/>
          <w:spacing w:val="-3"/>
          <w:sz w:val="20"/>
          <w:szCs w:val="20"/>
        </w:rPr>
        <w:t xml:space="preserve"> </w:t>
      </w:r>
      <w:r w:rsidRPr="00C1427A">
        <w:rPr>
          <w:rFonts w:ascii="Arial" w:hAnsi="Arial" w:cs="Arial"/>
          <w:sz w:val="20"/>
          <w:szCs w:val="20"/>
        </w:rPr>
        <w:t>examiner</w:t>
      </w:r>
      <w:r w:rsidRPr="00C1427A">
        <w:rPr>
          <w:rFonts w:ascii="Arial" w:hAnsi="Arial" w:cs="Arial"/>
          <w:spacing w:val="-1"/>
          <w:sz w:val="20"/>
          <w:szCs w:val="20"/>
        </w:rPr>
        <w:t xml:space="preserve"> </w:t>
      </w:r>
      <w:r w:rsidRPr="00C1427A">
        <w:rPr>
          <w:rFonts w:ascii="Arial" w:hAnsi="Arial" w:cs="Arial"/>
          <w:sz w:val="20"/>
          <w:szCs w:val="20"/>
        </w:rPr>
        <w:t>should</w:t>
      </w:r>
      <w:r w:rsidRPr="00C1427A">
        <w:rPr>
          <w:rFonts w:ascii="Arial" w:hAnsi="Arial" w:cs="Arial"/>
          <w:spacing w:val="-1"/>
          <w:sz w:val="20"/>
          <w:szCs w:val="20"/>
        </w:rPr>
        <w:t xml:space="preserve"> </w:t>
      </w:r>
      <w:r w:rsidRPr="00C1427A">
        <w:rPr>
          <w:rFonts w:ascii="Arial" w:hAnsi="Arial" w:cs="Arial"/>
          <w:sz w:val="20"/>
          <w:szCs w:val="20"/>
        </w:rPr>
        <w:t>allow</w:t>
      </w:r>
      <w:r w:rsidRPr="00C1427A">
        <w:rPr>
          <w:rFonts w:ascii="Arial" w:hAnsi="Arial" w:cs="Arial"/>
          <w:spacing w:val="-3"/>
          <w:sz w:val="20"/>
          <w:szCs w:val="20"/>
        </w:rPr>
        <w:t xml:space="preserve"> </w:t>
      </w:r>
      <w:r w:rsidRPr="00C1427A">
        <w:rPr>
          <w:rFonts w:ascii="Arial" w:hAnsi="Arial" w:cs="Arial"/>
          <w:sz w:val="20"/>
          <w:szCs w:val="20"/>
        </w:rPr>
        <w:t>an</w:t>
      </w:r>
      <w:r w:rsidRPr="00C1427A">
        <w:rPr>
          <w:rFonts w:ascii="Arial" w:hAnsi="Arial" w:cs="Arial"/>
          <w:spacing w:val="-1"/>
          <w:sz w:val="20"/>
          <w:szCs w:val="20"/>
        </w:rPr>
        <w:t xml:space="preserve"> </w:t>
      </w:r>
      <w:r w:rsidRPr="00C1427A">
        <w:rPr>
          <w:rFonts w:ascii="Arial" w:hAnsi="Arial" w:cs="Arial"/>
          <w:sz w:val="20"/>
          <w:szCs w:val="20"/>
        </w:rPr>
        <w:t>applicant</w:t>
      </w:r>
      <w:r w:rsidRPr="00C1427A">
        <w:rPr>
          <w:rFonts w:ascii="Arial" w:hAnsi="Arial" w:cs="Arial"/>
          <w:spacing w:val="-1"/>
          <w:sz w:val="20"/>
          <w:szCs w:val="20"/>
        </w:rPr>
        <w:t xml:space="preserve"> </w:t>
      </w:r>
      <w:r w:rsidRPr="00C1427A">
        <w:rPr>
          <w:rFonts w:ascii="Arial" w:hAnsi="Arial" w:cs="Arial"/>
          <w:sz w:val="20"/>
          <w:szCs w:val="20"/>
        </w:rPr>
        <w:t>adequate</w:t>
      </w:r>
      <w:r w:rsidRPr="00C1427A">
        <w:rPr>
          <w:rFonts w:ascii="Arial" w:hAnsi="Arial" w:cs="Arial"/>
          <w:spacing w:val="-3"/>
          <w:sz w:val="20"/>
          <w:szCs w:val="20"/>
        </w:rPr>
        <w:t xml:space="preserve"> </w:t>
      </w:r>
      <w:r w:rsidRPr="00C1427A">
        <w:rPr>
          <w:rFonts w:ascii="Arial" w:hAnsi="Arial" w:cs="Arial"/>
          <w:sz w:val="20"/>
          <w:szCs w:val="20"/>
        </w:rPr>
        <w:t>time</w:t>
      </w:r>
      <w:r w:rsidRPr="00C1427A">
        <w:rPr>
          <w:rFonts w:ascii="Arial" w:hAnsi="Arial" w:cs="Arial"/>
          <w:spacing w:val="-2"/>
          <w:sz w:val="20"/>
          <w:szCs w:val="20"/>
        </w:rPr>
        <w:t xml:space="preserve"> </w:t>
      </w:r>
      <w:r w:rsidRPr="00C1427A">
        <w:rPr>
          <w:rFonts w:ascii="Arial" w:hAnsi="Arial" w:cs="Arial"/>
          <w:sz w:val="20"/>
          <w:szCs w:val="20"/>
        </w:rPr>
        <w:t>to prepare</w:t>
      </w:r>
      <w:r w:rsidRPr="00C1427A">
        <w:rPr>
          <w:rFonts w:ascii="Arial" w:hAnsi="Arial" w:cs="Arial"/>
          <w:spacing w:val="1"/>
          <w:sz w:val="20"/>
          <w:szCs w:val="20"/>
        </w:rPr>
        <w:t xml:space="preserve"> </w:t>
      </w:r>
      <w:r w:rsidRPr="00C1427A">
        <w:rPr>
          <w:rFonts w:ascii="Arial" w:hAnsi="Arial" w:cs="Arial"/>
          <w:sz w:val="20"/>
          <w:szCs w:val="20"/>
        </w:rPr>
        <w:t>for</w:t>
      </w:r>
      <w:r w:rsidRPr="00C1427A">
        <w:rPr>
          <w:rFonts w:ascii="Arial" w:hAnsi="Arial" w:cs="Arial"/>
          <w:spacing w:val="-1"/>
          <w:sz w:val="20"/>
          <w:szCs w:val="20"/>
        </w:rPr>
        <w:t xml:space="preserve"> </w:t>
      </w:r>
      <w:r w:rsidRPr="00C1427A">
        <w:rPr>
          <w:rFonts w:ascii="Arial" w:hAnsi="Arial" w:cs="Arial"/>
          <w:sz w:val="20"/>
          <w:szCs w:val="20"/>
        </w:rPr>
        <w:t>a</w:t>
      </w:r>
      <w:r w:rsidRPr="00C1427A">
        <w:rPr>
          <w:rFonts w:ascii="Arial" w:hAnsi="Arial" w:cs="Arial"/>
          <w:spacing w:val="-3"/>
          <w:sz w:val="20"/>
          <w:szCs w:val="20"/>
        </w:rPr>
        <w:t xml:space="preserve"> </w:t>
      </w:r>
      <w:r w:rsidRPr="00C1427A">
        <w:rPr>
          <w:rFonts w:ascii="Arial" w:hAnsi="Arial" w:cs="Arial"/>
          <w:sz w:val="20"/>
          <w:szCs w:val="20"/>
        </w:rPr>
        <w:t>test</w:t>
      </w:r>
      <w:r w:rsidRPr="00C1427A">
        <w:rPr>
          <w:rFonts w:ascii="Arial" w:hAnsi="Arial" w:cs="Arial"/>
          <w:spacing w:val="-3"/>
          <w:sz w:val="20"/>
          <w:szCs w:val="20"/>
        </w:rPr>
        <w:t xml:space="preserve"> </w:t>
      </w:r>
      <w:r w:rsidRPr="00C1427A">
        <w:rPr>
          <w:rFonts w:ascii="Arial" w:hAnsi="Arial" w:cs="Arial"/>
          <w:sz w:val="20"/>
          <w:szCs w:val="20"/>
        </w:rPr>
        <w:t>or</w:t>
      </w:r>
      <w:r w:rsidRPr="00C1427A">
        <w:rPr>
          <w:rFonts w:ascii="Arial" w:hAnsi="Arial" w:cs="Arial"/>
          <w:spacing w:val="-1"/>
          <w:sz w:val="20"/>
          <w:szCs w:val="20"/>
        </w:rPr>
        <w:t xml:space="preserve"> </w:t>
      </w:r>
      <w:r w:rsidRPr="00C1427A">
        <w:rPr>
          <w:rFonts w:ascii="Arial" w:hAnsi="Arial" w:cs="Arial"/>
          <w:sz w:val="20"/>
          <w:szCs w:val="20"/>
        </w:rPr>
        <w:t>check.</w:t>
      </w:r>
    </w:p>
    <w:p w14:paraId="0D4B5819" w14:textId="77777777" w:rsidR="00C1427A" w:rsidRPr="00C1427A" w:rsidRDefault="00C1427A" w:rsidP="00D91E6C">
      <w:pPr>
        <w:pStyle w:val="ListParagraph"/>
        <w:numPr>
          <w:ilvl w:val="1"/>
          <w:numId w:val="279"/>
        </w:numPr>
        <w:tabs>
          <w:tab w:val="left" w:pos="1274"/>
        </w:tabs>
        <w:ind w:right="68"/>
        <w:jc w:val="both"/>
        <w:rPr>
          <w:rFonts w:ascii="Arial" w:hAnsi="Arial" w:cs="Arial"/>
          <w:sz w:val="20"/>
          <w:szCs w:val="20"/>
        </w:rPr>
      </w:pPr>
      <w:r w:rsidRPr="00C1427A">
        <w:rPr>
          <w:rFonts w:ascii="Arial" w:hAnsi="Arial" w:cs="Arial"/>
          <w:sz w:val="20"/>
          <w:szCs w:val="20"/>
        </w:rPr>
        <w:t>An examiner should plan a test or check flight so that all required exercises can be</w:t>
      </w:r>
      <w:r w:rsidRPr="00C1427A">
        <w:rPr>
          <w:rFonts w:ascii="Arial" w:hAnsi="Arial" w:cs="Arial"/>
          <w:spacing w:val="1"/>
          <w:sz w:val="20"/>
          <w:szCs w:val="20"/>
        </w:rPr>
        <w:t xml:space="preserve"> </w:t>
      </w:r>
      <w:r w:rsidRPr="00C1427A">
        <w:rPr>
          <w:rFonts w:ascii="Arial" w:hAnsi="Arial" w:cs="Arial"/>
          <w:sz w:val="20"/>
          <w:szCs w:val="20"/>
        </w:rPr>
        <w:t>performed</w:t>
      </w:r>
      <w:r w:rsidRPr="00C1427A">
        <w:rPr>
          <w:rFonts w:ascii="Arial" w:hAnsi="Arial" w:cs="Arial"/>
          <w:spacing w:val="-8"/>
          <w:sz w:val="20"/>
          <w:szCs w:val="20"/>
        </w:rPr>
        <w:t xml:space="preserve"> </w:t>
      </w:r>
      <w:r w:rsidRPr="00C1427A">
        <w:rPr>
          <w:rFonts w:ascii="Arial" w:hAnsi="Arial" w:cs="Arial"/>
          <w:sz w:val="20"/>
          <w:szCs w:val="20"/>
        </w:rPr>
        <w:t>while</w:t>
      </w:r>
      <w:r w:rsidRPr="00C1427A">
        <w:rPr>
          <w:rFonts w:ascii="Arial" w:hAnsi="Arial" w:cs="Arial"/>
          <w:spacing w:val="-4"/>
          <w:sz w:val="20"/>
          <w:szCs w:val="20"/>
        </w:rPr>
        <w:t xml:space="preserve"> </w:t>
      </w:r>
      <w:r w:rsidRPr="00C1427A">
        <w:rPr>
          <w:rFonts w:ascii="Arial" w:hAnsi="Arial" w:cs="Arial"/>
          <w:sz w:val="20"/>
          <w:szCs w:val="20"/>
        </w:rPr>
        <w:t>allowing</w:t>
      </w:r>
      <w:r w:rsidRPr="00C1427A">
        <w:rPr>
          <w:rFonts w:ascii="Arial" w:hAnsi="Arial" w:cs="Arial"/>
          <w:spacing w:val="-9"/>
          <w:sz w:val="20"/>
          <w:szCs w:val="20"/>
        </w:rPr>
        <w:t xml:space="preserve"> </w:t>
      </w:r>
      <w:r w:rsidRPr="00C1427A">
        <w:rPr>
          <w:rFonts w:ascii="Arial" w:hAnsi="Arial" w:cs="Arial"/>
          <w:sz w:val="20"/>
          <w:szCs w:val="20"/>
        </w:rPr>
        <w:t>sufficient</w:t>
      </w:r>
      <w:r w:rsidRPr="00C1427A">
        <w:rPr>
          <w:rFonts w:ascii="Arial" w:hAnsi="Arial" w:cs="Arial"/>
          <w:spacing w:val="-5"/>
          <w:sz w:val="20"/>
          <w:szCs w:val="20"/>
        </w:rPr>
        <w:t xml:space="preserve"> </w:t>
      </w:r>
      <w:r w:rsidRPr="00C1427A">
        <w:rPr>
          <w:rFonts w:ascii="Arial" w:hAnsi="Arial" w:cs="Arial"/>
          <w:sz w:val="20"/>
          <w:szCs w:val="20"/>
        </w:rPr>
        <w:t>time</w:t>
      </w:r>
      <w:r w:rsidRPr="00C1427A">
        <w:rPr>
          <w:rFonts w:ascii="Arial" w:hAnsi="Arial" w:cs="Arial"/>
          <w:spacing w:val="-6"/>
          <w:sz w:val="20"/>
          <w:szCs w:val="20"/>
        </w:rPr>
        <w:t xml:space="preserve"> </w:t>
      </w:r>
      <w:r w:rsidRPr="00C1427A">
        <w:rPr>
          <w:rFonts w:ascii="Arial" w:hAnsi="Arial" w:cs="Arial"/>
          <w:sz w:val="20"/>
          <w:szCs w:val="20"/>
        </w:rPr>
        <w:t>for</w:t>
      </w:r>
      <w:r w:rsidRPr="00C1427A">
        <w:rPr>
          <w:rFonts w:ascii="Arial" w:hAnsi="Arial" w:cs="Arial"/>
          <w:spacing w:val="-8"/>
          <w:sz w:val="20"/>
          <w:szCs w:val="20"/>
        </w:rPr>
        <w:t xml:space="preserve"> </w:t>
      </w:r>
      <w:r w:rsidRPr="00C1427A">
        <w:rPr>
          <w:rFonts w:ascii="Arial" w:hAnsi="Arial" w:cs="Arial"/>
          <w:sz w:val="20"/>
          <w:szCs w:val="20"/>
        </w:rPr>
        <w:t>each</w:t>
      </w:r>
      <w:r w:rsidRPr="00C1427A">
        <w:rPr>
          <w:rFonts w:ascii="Arial" w:hAnsi="Arial" w:cs="Arial"/>
          <w:spacing w:val="-7"/>
          <w:sz w:val="20"/>
          <w:szCs w:val="20"/>
        </w:rPr>
        <w:t xml:space="preserve"> </w:t>
      </w:r>
      <w:r w:rsidRPr="00C1427A">
        <w:rPr>
          <w:rFonts w:ascii="Arial" w:hAnsi="Arial" w:cs="Arial"/>
          <w:sz w:val="20"/>
          <w:szCs w:val="20"/>
        </w:rPr>
        <w:t>of</w:t>
      </w:r>
      <w:r w:rsidRPr="00C1427A">
        <w:rPr>
          <w:rFonts w:ascii="Arial" w:hAnsi="Arial" w:cs="Arial"/>
          <w:spacing w:val="-7"/>
          <w:sz w:val="20"/>
          <w:szCs w:val="20"/>
        </w:rPr>
        <w:t xml:space="preserve"> </w:t>
      </w:r>
      <w:r w:rsidRPr="00C1427A">
        <w:rPr>
          <w:rFonts w:ascii="Arial" w:hAnsi="Arial" w:cs="Arial"/>
          <w:sz w:val="20"/>
          <w:szCs w:val="20"/>
        </w:rPr>
        <w:t>the</w:t>
      </w:r>
      <w:r w:rsidRPr="00C1427A">
        <w:rPr>
          <w:rFonts w:ascii="Arial" w:hAnsi="Arial" w:cs="Arial"/>
          <w:spacing w:val="-5"/>
          <w:sz w:val="20"/>
          <w:szCs w:val="20"/>
        </w:rPr>
        <w:t xml:space="preserve"> </w:t>
      </w:r>
      <w:r w:rsidRPr="00C1427A">
        <w:rPr>
          <w:rFonts w:ascii="Arial" w:hAnsi="Arial" w:cs="Arial"/>
          <w:sz w:val="20"/>
          <w:szCs w:val="20"/>
        </w:rPr>
        <w:t>exercises</w:t>
      </w:r>
      <w:r w:rsidRPr="00C1427A">
        <w:rPr>
          <w:rFonts w:ascii="Arial" w:hAnsi="Arial" w:cs="Arial"/>
          <w:spacing w:val="-4"/>
          <w:sz w:val="20"/>
          <w:szCs w:val="20"/>
        </w:rPr>
        <w:t xml:space="preserve"> </w:t>
      </w:r>
      <w:r w:rsidRPr="00C1427A">
        <w:rPr>
          <w:rFonts w:ascii="Arial" w:hAnsi="Arial" w:cs="Arial"/>
          <w:sz w:val="20"/>
          <w:szCs w:val="20"/>
        </w:rPr>
        <w:t>and</w:t>
      </w:r>
      <w:r w:rsidRPr="00C1427A">
        <w:rPr>
          <w:rFonts w:ascii="Arial" w:hAnsi="Arial" w:cs="Arial"/>
          <w:spacing w:val="-9"/>
          <w:sz w:val="20"/>
          <w:szCs w:val="20"/>
        </w:rPr>
        <w:t xml:space="preserve"> </w:t>
      </w:r>
      <w:r w:rsidRPr="00C1427A">
        <w:rPr>
          <w:rFonts w:ascii="Arial" w:hAnsi="Arial" w:cs="Arial"/>
          <w:sz w:val="20"/>
          <w:szCs w:val="20"/>
        </w:rPr>
        <w:t>with</w:t>
      </w:r>
      <w:r w:rsidRPr="00C1427A">
        <w:rPr>
          <w:rFonts w:ascii="Arial" w:hAnsi="Arial" w:cs="Arial"/>
          <w:spacing w:val="-5"/>
          <w:sz w:val="20"/>
          <w:szCs w:val="20"/>
        </w:rPr>
        <w:t xml:space="preserve"> </w:t>
      </w:r>
      <w:r w:rsidRPr="00C1427A">
        <w:rPr>
          <w:rFonts w:ascii="Arial" w:hAnsi="Arial" w:cs="Arial"/>
          <w:sz w:val="20"/>
          <w:szCs w:val="20"/>
        </w:rPr>
        <w:t>due</w:t>
      </w:r>
      <w:r w:rsidRPr="00C1427A">
        <w:rPr>
          <w:rFonts w:ascii="Arial" w:hAnsi="Arial" w:cs="Arial"/>
          <w:spacing w:val="-6"/>
          <w:sz w:val="20"/>
          <w:szCs w:val="20"/>
        </w:rPr>
        <w:t xml:space="preserve"> </w:t>
      </w:r>
      <w:r w:rsidRPr="00C1427A">
        <w:rPr>
          <w:rFonts w:ascii="Arial" w:hAnsi="Arial" w:cs="Arial"/>
          <w:sz w:val="20"/>
          <w:szCs w:val="20"/>
        </w:rPr>
        <w:t>regard</w:t>
      </w:r>
      <w:r w:rsidRPr="00C1427A">
        <w:rPr>
          <w:rFonts w:ascii="Arial" w:hAnsi="Arial" w:cs="Arial"/>
          <w:spacing w:val="-7"/>
          <w:sz w:val="20"/>
          <w:szCs w:val="20"/>
        </w:rPr>
        <w:t xml:space="preserve"> </w:t>
      </w:r>
      <w:r w:rsidRPr="00C1427A">
        <w:rPr>
          <w:rFonts w:ascii="Arial" w:hAnsi="Arial" w:cs="Arial"/>
          <w:sz w:val="20"/>
          <w:szCs w:val="20"/>
        </w:rPr>
        <w:t>to</w:t>
      </w:r>
      <w:r w:rsidRPr="00C1427A">
        <w:rPr>
          <w:rFonts w:ascii="Arial" w:hAnsi="Arial" w:cs="Arial"/>
          <w:spacing w:val="-47"/>
          <w:sz w:val="20"/>
          <w:szCs w:val="20"/>
        </w:rPr>
        <w:t xml:space="preserve"> </w:t>
      </w:r>
      <w:r w:rsidRPr="00C1427A">
        <w:rPr>
          <w:rFonts w:ascii="Arial" w:hAnsi="Arial" w:cs="Arial"/>
          <w:sz w:val="20"/>
          <w:szCs w:val="20"/>
        </w:rPr>
        <w:t>the</w:t>
      </w:r>
      <w:r w:rsidRPr="00C1427A">
        <w:rPr>
          <w:rFonts w:ascii="Arial" w:hAnsi="Arial" w:cs="Arial"/>
          <w:spacing w:val="-1"/>
          <w:sz w:val="20"/>
          <w:szCs w:val="20"/>
        </w:rPr>
        <w:t xml:space="preserve"> </w:t>
      </w:r>
      <w:r w:rsidRPr="00C1427A">
        <w:rPr>
          <w:rFonts w:ascii="Arial" w:hAnsi="Arial" w:cs="Arial"/>
          <w:sz w:val="20"/>
          <w:szCs w:val="20"/>
        </w:rPr>
        <w:t>weather</w:t>
      </w:r>
      <w:r w:rsidRPr="00C1427A">
        <w:rPr>
          <w:rFonts w:ascii="Arial" w:hAnsi="Arial" w:cs="Arial"/>
          <w:spacing w:val="-3"/>
          <w:sz w:val="20"/>
          <w:szCs w:val="20"/>
        </w:rPr>
        <w:t xml:space="preserve"> </w:t>
      </w:r>
      <w:r w:rsidRPr="00C1427A">
        <w:rPr>
          <w:rFonts w:ascii="Arial" w:hAnsi="Arial" w:cs="Arial"/>
          <w:sz w:val="20"/>
          <w:szCs w:val="20"/>
        </w:rPr>
        <w:t>conditions,</w:t>
      </w:r>
      <w:r w:rsidRPr="00C1427A">
        <w:rPr>
          <w:rFonts w:ascii="Arial" w:hAnsi="Arial" w:cs="Arial"/>
          <w:spacing w:val="-3"/>
          <w:sz w:val="20"/>
          <w:szCs w:val="20"/>
        </w:rPr>
        <w:t xml:space="preserve"> </w:t>
      </w:r>
      <w:r w:rsidRPr="00C1427A">
        <w:rPr>
          <w:rFonts w:ascii="Arial" w:hAnsi="Arial" w:cs="Arial"/>
          <w:sz w:val="20"/>
          <w:szCs w:val="20"/>
        </w:rPr>
        <w:t>traffic situation,</w:t>
      </w:r>
      <w:r w:rsidRPr="00C1427A">
        <w:rPr>
          <w:rFonts w:ascii="Arial" w:hAnsi="Arial" w:cs="Arial"/>
          <w:spacing w:val="-1"/>
          <w:sz w:val="20"/>
          <w:szCs w:val="20"/>
        </w:rPr>
        <w:t xml:space="preserve"> </w:t>
      </w:r>
      <w:r w:rsidRPr="00C1427A">
        <w:rPr>
          <w:rFonts w:ascii="Arial" w:hAnsi="Arial" w:cs="Arial"/>
          <w:sz w:val="20"/>
          <w:szCs w:val="20"/>
        </w:rPr>
        <w:t>ATC</w:t>
      </w:r>
      <w:r w:rsidRPr="00C1427A">
        <w:rPr>
          <w:rFonts w:ascii="Arial" w:hAnsi="Arial" w:cs="Arial"/>
          <w:spacing w:val="-3"/>
          <w:sz w:val="20"/>
          <w:szCs w:val="20"/>
        </w:rPr>
        <w:t xml:space="preserve"> </w:t>
      </w:r>
      <w:r w:rsidRPr="00C1427A">
        <w:rPr>
          <w:rFonts w:ascii="Arial" w:hAnsi="Arial" w:cs="Arial"/>
          <w:sz w:val="20"/>
          <w:szCs w:val="20"/>
        </w:rPr>
        <w:t>requirements</w:t>
      </w:r>
      <w:r w:rsidRPr="00C1427A">
        <w:rPr>
          <w:rFonts w:ascii="Arial" w:hAnsi="Arial" w:cs="Arial"/>
          <w:spacing w:val="-1"/>
          <w:sz w:val="20"/>
          <w:szCs w:val="20"/>
        </w:rPr>
        <w:t xml:space="preserve"> </w:t>
      </w:r>
      <w:r w:rsidRPr="00C1427A">
        <w:rPr>
          <w:rFonts w:ascii="Arial" w:hAnsi="Arial" w:cs="Arial"/>
          <w:sz w:val="20"/>
          <w:szCs w:val="20"/>
        </w:rPr>
        <w:t>and</w:t>
      </w:r>
      <w:r w:rsidRPr="00C1427A">
        <w:rPr>
          <w:rFonts w:ascii="Arial" w:hAnsi="Arial" w:cs="Arial"/>
          <w:spacing w:val="-2"/>
          <w:sz w:val="20"/>
          <w:szCs w:val="20"/>
        </w:rPr>
        <w:t xml:space="preserve"> </w:t>
      </w:r>
      <w:r w:rsidRPr="00C1427A">
        <w:rPr>
          <w:rFonts w:ascii="Arial" w:hAnsi="Arial" w:cs="Arial"/>
          <w:sz w:val="20"/>
          <w:szCs w:val="20"/>
        </w:rPr>
        <w:t>local procedures.</w:t>
      </w:r>
    </w:p>
    <w:p w14:paraId="1E7F7473" w14:textId="77777777" w:rsidR="00C1427A" w:rsidRPr="00C1427A" w:rsidRDefault="00C1427A" w:rsidP="00D91E6C">
      <w:pPr>
        <w:pStyle w:val="ListParagraph"/>
        <w:numPr>
          <w:ilvl w:val="0"/>
          <w:numId w:val="279"/>
        </w:numPr>
        <w:tabs>
          <w:tab w:val="left" w:pos="707"/>
        </w:tabs>
        <w:spacing w:before="121"/>
        <w:ind w:right="68"/>
        <w:jc w:val="both"/>
        <w:rPr>
          <w:rFonts w:ascii="Arial" w:hAnsi="Arial" w:cs="Arial"/>
          <w:sz w:val="20"/>
          <w:szCs w:val="20"/>
        </w:rPr>
      </w:pPr>
      <w:r w:rsidRPr="00C1427A">
        <w:rPr>
          <w:rFonts w:ascii="Arial" w:hAnsi="Arial" w:cs="Arial"/>
          <w:sz w:val="20"/>
          <w:szCs w:val="20"/>
        </w:rPr>
        <w:t>Purpose</w:t>
      </w:r>
      <w:r w:rsidRPr="00C1427A">
        <w:rPr>
          <w:rFonts w:ascii="Arial" w:hAnsi="Arial" w:cs="Arial"/>
          <w:spacing w:val="1"/>
          <w:sz w:val="20"/>
          <w:szCs w:val="20"/>
        </w:rPr>
        <w:t xml:space="preserve"> </w:t>
      </w:r>
      <w:r w:rsidRPr="00C1427A">
        <w:rPr>
          <w:rFonts w:ascii="Arial" w:hAnsi="Arial" w:cs="Arial"/>
          <w:sz w:val="20"/>
          <w:szCs w:val="20"/>
        </w:rPr>
        <w:t>of</w:t>
      </w:r>
      <w:r w:rsidRPr="00C1427A">
        <w:rPr>
          <w:rFonts w:ascii="Arial" w:hAnsi="Arial" w:cs="Arial"/>
          <w:spacing w:val="-3"/>
          <w:sz w:val="20"/>
          <w:szCs w:val="20"/>
        </w:rPr>
        <w:t xml:space="preserve"> </w:t>
      </w:r>
      <w:r w:rsidRPr="00C1427A">
        <w:rPr>
          <w:rFonts w:ascii="Arial" w:hAnsi="Arial" w:cs="Arial"/>
          <w:sz w:val="20"/>
          <w:szCs w:val="20"/>
        </w:rPr>
        <w:t>a test</w:t>
      </w:r>
      <w:r w:rsidRPr="00C1427A">
        <w:rPr>
          <w:rFonts w:ascii="Arial" w:hAnsi="Arial" w:cs="Arial"/>
          <w:spacing w:val="-2"/>
          <w:sz w:val="20"/>
          <w:szCs w:val="20"/>
        </w:rPr>
        <w:t xml:space="preserve"> </w:t>
      </w:r>
      <w:r w:rsidRPr="00C1427A">
        <w:rPr>
          <w:rFonts w:ascii="Arial" w:hAnsi="Arial" w:cs="Arial"/>
          <w:sz w:val="20"/>
          <w:szCs w:val="20"/>
        </w:rPr>
        <w:t>or</w:t>
      </w:r>
      <w:r w:rsidRPr="00C1427A">
        <w:rPr>
          <w:rFonts w:ascii="Arial" w:hAnsi="Arial" w:cs="Arial"/>
          <w:spacing w:val="-2"/>
          <w:sz w:val="20"/>
          <w:szCs w:val="20"/>
        </w:rPr>
        <w:t xml:space="preserve"> </w:t>
      </w:r>
      <w:r w:rsidRPr="00C1427A">
        <w:rPr>
          <w:rFonts w:ascii="Arial" w:hAnsi="Arial" w:cs="Arial"/>
          <w:sz w:val="20"/>
          <w:szCs w:val="20"/>
        </w:rPr>
        <w:t>check</w:t>
      </w:r>
    </w:p>
    <w:p w14:paraId="1AA3308D" w14:textId="77777777" w:rsidR="00C1427A" w:rsidRPr="00C1427A" w:rsidRDefault="00C1427A" w:rsidP="00D91E6C">
      <w:pPr>
        <w:pStyle w:val="ListParagraph"/>
        <w:numPr>
          <w:ilvl w:val="1"/>
          <w:numId w:val="279"/>
        </w:numPr>
        <w:tabs>
          <w:tab w:val="left" w:pos="1274"/>
        </w:tabs>
        <w:spacing w:before="122" w:line="237" w:lineRule="auto"/>
        <w:ind w:right="68"/>
        <w:jc w:val="both"/>
        <w:rPr>
          <w:rFonts w:ascii="Arial" w:hAnsi="Arial" w:cs="Arial"/>
          <w:sz w:val="20"/>
          <w:szCs w:val="20"/>
        </w:rPr>
      </w:pPr>
      <w:r w:rsidRPr="00C1427A">
        <w:rPr>
          <w:rFonts w:ascii="Arial" w:hAnsi="Arial" w:cs="Arial"/>
          <w:sz w:val="20"/>
          <w:szCs w:val="20"/>
        </w:rPr>
        <w:t>Determination through practical demonstration during a test or check that an applicant</w:t>
      </w:r>
      <w:r w:rsidRPr="00C1427A">
        <w:rPr>
          <w:rFonts w:ascii="Arial" w:hAnsi="Arial" w:cs="Arial"/>
          <w:spacing w:val="1"/>
          <w:sz w:val="20"/>
          <w:szCs w:val="20"/>
        </w:rPr>
        <w:t xml:space="preserve"> </w:t>
      </w:r>
      <w:r w:rsidRPr="00C1427A">
        <w:rPr>
          <w:rFonts w:ascii="Arial" w:hAnsi="Arial" w:cs="Arial"/>
          <w:sz w:val="20"/>
          <w:szCs w:val="20"/>
        </w:rPr>
        <w:t>has</w:t>
      </w:r>
      <w:r w:rsidRPr="00C1427A">
        <w:rPr>
          <w:rFonts w:ascii="Arial" w:hAnsi="Arial" w:cs="Arial"/>
          <w:spacing w:val="-1"/>
          <w:sz w:val="20"/>
          <w:szCs w:val="20"/>
        </w:rPr>
        <w:t xml:space="preserve"> </w:t>
      </w:r>
      <w:r w:rsidRPr="00C1427A">
        <w:rPr>
          <w:rFonts w:ascii="Arial" w:hAnsi="Arial" w:cs="Arial"/>
          <w:sz w:val="20"/>
          <w:szCs w:val="20"/>
        </w:rPr>
        <w:t>acquired</w:t>
      </w:r>
      <w:r w:rsidRPr="00C1427A">
        <w:rPr>
          <w:rFonts w:ascii="Arial" w:hAnsi="Arial" w:cs="Arial"/>
          <w:spacing w:val="-1"/>
          <w:sz w:val="20"/>
          <w:szCs w:val="20"/>
        </w:rPr>
        <w:t xml:space="preserve"> </w:t>
      </w:r>
      <w:r w:rsidRPr="00C1427A">
        <w:rPr>
          <w:rFonts w:ascii="Arial" w:hAnsi="Arial" w:cs="Arial"/>
          <w:sz w:val="20"/>
          <w:szCs w:val="20"/>
        </w:rPr>
        <w:t>or</w:t>
      </w:r>
      <w:r w:rsidRPr="00C1427A">
        <w:rPr>
          <w:rFonts w:ascii="Arial" w:hAnsi="Arial" w:cs="Arial"/>
          <w:spacing w:val="-3"/>
          <w:sz w:val="20"/>
          <w:szCs w:val="20"/>
        </w:rPr>
        <w:t xml:space="preserve"> </w:t>
      </w:r>
      <w:r w:rsidRPr="00C1427A">
        <w:rPr>
          <w:rFonts w:ascii="Arial" w:hAnsi="Arial" w:cs="Arial"/>
          <w:sz w:val="20"/>
          <w:szCs w:val="20"/>
        </w:rPr>
        <w:t>maintained</w:t>
      </w:r>
      <w:r w:rsidRPr="00C1427A">
        <w:rPr>
          <w:rFonts w:ascii="Arial" w:hAnsi="Arial" w:cs="Arial"/>
          <w:spacing w:val="-3"/>
          <w:sz w:val="20"/>
          <w:szCs w:val="20"/>
        </w:rPr>
        <w:t xml:space="preserve"> </w:t>
      </w:r>
      <w:r w:rsidRPr="00C1427A">
        <w:rPr>
          <w:rFonts w:ascii="Arial" w:hAnsi="Arial" w:cs="Arial"/>
          <w:sz w:val="20"/>
          <w:szCs w:val="20"/>
        </w:rPr>
        <w:t>the required level</w:t>
      </w:r>
      <w:r w:rsidRPr="00C1427A">
        <w:rPr>
          <w:rFonts w:ascii="Arial" w:hAnsi="Arial" w:cs="Arial"/>
          <w:spacing w:val="-3"/>
          <w:sz w:val="20"/>
          <w:szCs w:val="20"/>
        </w:rPr>
        <w:t xml:space="preserve"> </w:t>
      </w:r>
      <w:r w:rsidRPr="00C1427A">
        <w:rPr>
          <w:rFonts w:ascii="Arial" w:hAnsi="Arial" w:cs="Arial"/>
          <w:sz w:val="20"/>
          <w:szCs w:val="20"/>
        </w:rPr>
        <w:t>of</w:t>
      </w:r>
      <w:r w:rsidRPr="00C1427A">
        <w:rPr>
          <w:rFonts w:ascii="Arial" w:hAnsi="Arial" w:cs="Arial"/>
          <w:spacing w:val="-2"/>
          <w:sz w:val="20"/>
          <w:szCs w:val="20"/>
        </w:rPr>
        <w:t xml:space="preserve"> </w:t>
      </w:r>
      <w:r w:rsidRPr="00C1427A">
        <w:rPr>
          <w:rFonts w:ascii="Arial" w:hAnsi="Arial" w:cs="Arial"/>
          <w:sz w:val="20"/>
          <w:szCs w:val="20"/>
        </w:rPr>
        <w:t>knowledge and</w:t>
      </w:r>
      <w:r w:rsidRPr="00C1427A">
        <w:rPr>
          <w:rFonts w:ascii="Arial" w:hAnsi="Arial" w:cs="Arial"/>
          <w:spacing w:val="-1"/>
          <w:sz w:val="20"/>
          <w:szCs w:val="20"/>
        </w:rPr>
        <w:t xml:space="preserve"> </w:t>
      </w:r>
      <w:r w:rsidRPr="00C1427A">
        <w:rPr>
          <w:rFonts w:ascii="Arial" w:hAnsi="Arial" w:cs="Arial"/>
          <w:sz w:val="20"/>
          <w:szCs w:val="20"/>
        </w:rPr>
        <w:t>skill</w:t>
      </w:r>
      <w:r w:rsidRPr="00C1427A">
        <w:rPr>
          <w:rFonts w:ascii="Arial" w:hAnsi="Arial" w:cs="Arial"/>
          <w:spacing w:val="-3"/>
          <w:sz w:val="20"/>
          <w:szCs w:val="20"/>
        </w:rPr>
        <w:t xml:space="preserve"> </w:t>
      </w:r>
      <w:r w:rsidRPr="00C1427A">
        <w:rPr>
          <w:rFonts w:ascii="Arial" w:hAnsi="Arial" w:cs="Arial"/>
          <w:sz w:val="20"/>
          <w:szCs w:val="20"/>
        </w:rPr>
        <w:t>or proficiency.</w:t>
      </w:r>
    </w:p>
    <w:p w14:paraId="018A63B9" w14:textId="77777777" w:rsidR="00C1427A" w:rsidRPr="00C1427A" w:rsidRDefault="00C1427A" w:rsidP="00D91E6C">
      <w:pPr>
        <w:pStyle w:val="ListParagraph"/>
        <w:numPr>
          <w:ilvl w:val="1"/>
          <w:numId w:val="279"/>
        </w:numPr>
        <w:tabs>
          <w:tab w:val="left" w:pos="1274"/>
        </w:tabs>
        <w:spacing w:before="56"/>
        <w:ind w:right="68"/>
        <w:jc w:val="both"/>
        <w:rPr>
          <w:rFonts w:ascii="Arial" w:hAnsi="Arial" w:cs="Arial"/>
          <w:sz w:val="20"/>
          <w:szCs w:val="20"/>
        </w:rPr>
      </w:pPr>
      <w:r w:rsidRPr="00C1427A">
        <w:rPr>
          <w:rFonts w:ascii="Arial" w:hAnsi="Arial" w:cs="Arial"/>
          <w:sz w:val="20"/>
          <w:szCs w:val="20"/>
        </w:rPr>
        <w:t>Improvement of training and flight instruction in ATOs or DTOs through feedback from</w:t>
      </w:r>
      <w:r w:rsidRPr="00C1427A">
        <w:rPr>
          <w:rFonts w:ascii="Arial" w:hAnsi="Arial" w:cs="Arial"/>
          <w:spacing w:val="1"/>
          <w:sz w:val="20"/>
          <w:szCs w:val="20"/>
        </w:rPr>
        <w:t xml:space="preserve"> </w:t>
      </w:r>
      <w:r w:rsidRPr="00C1427A">
        <w:rPr>
          <w:rFonts w:ascii="Arial" w:hAnsi="Arial" w:cs="Arial"/>
          <w:sz w:val="20"/>
          <w:szCs w:val="20"/>
        </w:rPr>
        <w:t>examiners</w:t>
      </w:r>
      <w:r w:rsidRPr="00C1427A">
        <w:rPr>
          <w:rFonts w:ascii="Arial" w:hAnsi="Arial" w:cs="Arial"/>
          <w:spacing w:val="-1"/>
          <w:sz w:val="20"/>
          <w:szCs w:val="20"/>
        </w:rPr>
        <w:t xml:space="preserve"> </w:t>
      </w:r>
      <w:r w:rsidRPr="00C1427A">
        <w:rPr>
          <w:rFonts w:ascii="Arial" w:hAnsi="Arial" w:cs="Arial"/>
          <w:sz w:val="20"/>
          <w:szCs w:val="20"/>
        </w:rPr>
        <w:t>about</w:t>
      </w:r>
      <w:r w:rsidRPr="00C1427A">
        <w:rPr>
          <w:rFonts w:ascii="Arial" w:hAnsi="Arial" w:cs="Arial"/>
          <w:spacing w:val="-1"/>
          <w:sz w:val="20"/>
          <w:szCs w:val="20"/>
        </w:rPr>
        <w:t xml:space="preserve"> </w:t>
      </w:r>
      <w:r w:rsidRPr="00C1427A">
        <w:rPr>
          <w:rFonts w:ascii="Arial" w:hAnsi="Arial" w:cs="Arial"/>
          <w:sz w:val="20"/>
          <w:szCs w:val="20"/>
        </w:rPr>
        <w:t>items</w:t>
      </w:r>
      <w:r w:rsidRPr="00C1427A">
        <w:rPr>
          <w:rFonts w:ascii="Arial" w:hAnsi="Arial" w:cs="Arial"/>
          <w:spacing w:val="-3"/>
          <w:sz w:val="20"/>
          <w:szCs w:val="20"/>
        </w:rPr>
        <w:t xml:space="preserve"> </w:t>
      </w:r>
      <w:r w:rsidRPr="00C1427A">
        <w:rPr>
          <w:rFonts w:ascii="Arial" w:hAnsi="Arial" w:cs="Arial"/>
          <w:sz w:val="20"/>
          <w:szCs w:val="20"/>
        </w:rPr>
        <w:t>or</w:t>
      </w:r>
      <w:r w:rsidRPr="00C1427A">
        <w:rPr>
          <w:rFonts w:ascii="Arial" w:hAnsi="Arial" w:cs="Arial"/>
          <w:spacing w:val="-1"/>
          <w:sz w:val="20"/>
          <w:szCs w:val="20"/>
        </w:rPr>
        <w:t xml:space="preserve"> </w:t>
      </w:r>
      <w:r w:rsidRPr="00C1427A">
        <w:rPr>
          <w:rFonts w:ascii="Arial" w:hAnsi="Arial" w:cs="Arial"/>
          <w:sz w:val="20"/>
          <w:szCs w:val="20"/>
        </w:rPr>
        <w:t>sections of</w:t>
      </w:r>
      <w:r w:rsidRPr="00C1427A">
        <w:rPr>
          <w:rFonts w:ascii="Arial" w:hAnsi="Arial" w:cs="Arial"/>
          <w:spacing w:val="-4"/>
          <w:sz w:val="20"/>
          <w:szCs w:val="20"/>
        </w:rPr>
        <w:t xml:space="preserve"> </w:t>
      </w:r>
      <w:r w:rsidRPr="00C1427A">
        <w:rPr>
          <w:rFonts w:ascii="Arial" w:hAnsi="Arial" w:cs="Arial"/>
          <w:sz w:val="20"/>
          <w:szCs w:val="20"/>
        </w:rPr>
        <w:t>tests</w:t>
      </w:r>
      <w:r w:rsidRPr="00C1427A">
        <w:rPr>
          <w:rFonts w:ascii="Arial" w:hAnsi="Arial" w:cs="Arial"/>
          <w:spacing w:val="-3"/>
          <w:sz w:val="20"/>
          <w:szCs w:val="20"/>
        </w:rPr>
        <w:t xml:space="preserve"> </w:t>
      </w:r>
      <w:r w:rsidRPr="00C1427A">
        <w:rPr>
          <w:rFonts w:ascii="Arial" w:hAnsi="Arial" w:cs="Arial"/>
          <w:sz w:val="20"/>
          <w:szCs w:val="20"/>
        </w:rPr>
        <w:t>or</w:t>
      </w:r>
      <w:r w:rsidRPr="00C1427A">
        <w:rPr>
          <w:rFonts w:ascii="Arial" w:hAnsi="Arial" w:cs="Arial"/>
          <w:spacing w:val="-1"/>
          <w:sz w:val="20"/>
          <w:szCs w:val="20"/>
        </w:rPr>
        <w:t xml:space="preserve"> </w:t>
      </w:r>
      <w:r w:rsidRPr="00C1427A">
        <w:rPr>
          <w:rFonts w:ascii="Arial" w:hAnsi="Arial" w:cs="Arial"/>
          <w:sz w:val="20"/>
          <w:szCs w:val="20"/>
        </w:rPr>
        <w:t>checks</w:t>
      </w:r>
      <w:r w:rsidRPr="00C1427A">
        <w:rPr>
          <w:rFonts w:ascii="Arial" w:hAnsi="Arial" w:cs="Arial"/>
          <w:spacing w:val="-4"/>
          <w:sz w:val="20"/>
          <w:szCs w:val="20"/>
        </w:rPr>
        <w:t xml:space="preserve"> </w:t>
      </w:r>
      <w:r w:rsidRPr="00C1427A">
        <w:rPr>
          <w:rFonts w:ascii="Arial" w:hAnsi="Arial" w:cs="Arial"/>
          <w:sz w:val="20"/>
          <w:szCs w:val="20"/>
        </w:rPr>
        <w:t>that are</w:t>
      </w:r>
      <w:r w:rsidRPr="00C1427A">
        <w:rPr>
          <w:rFonts w:ascii="Arial" w:hAnsi="Arial" w:cs="Arial"/>
          <w:spacing w:val="-3"/>
          <w:sz w:val="20"/>
          <w:szCs w:val="20"/>
        </w:rPr>
        <w:t xml:space="preserve"> </w:t>
      </w:r>
      <w:r w:rsidRPr="00C1427A">
        <w:rPr>
          <w:rFonts w:ascii="Arial" w:hAnsi="Arial" w:cs="Arial"/>
          <w:sz w:val="20"/>
          <w:szCs w:val="20"/>
        </w:rPr>
        <w:t>most frequently</w:t>
      </w:r>
      <w:r w:rsidRPr="00C1427A">
        <w:rPr>
          <w:rFonts w:ascii="Arial" w:hAnsi="Arial" w:cs="Arial"/>
          <w:spacing w:val="-1"/>
          <w:sz w:val="20"/>
          <w:szCs w:val="20"/>
        </w:rPr>
        <w:t xml:space="preserve"> </w:t>
      </w:r>
      <w:r w:rsidRPr="00C1427A">
        <w:rPr>
          <w:rFonts w:ascii="Arial" w:hAnsi="Arial" w:cs="Arial"/>
          <w:sz w:val="20"/>
          <w:szCs w:val="20"/>
        </w:rPr>
        <w:t>failed.</w:t>
      </w:r>
    </w:p>
    <w:p w14:paraId="35206329" w14:textId="77777777" w:rsidR="00C1427A" w:rsidRPr="00C1427A" w:rsidRDefault="00C1427A" w:rsidP="00D91E6C">
      <w:pPr>
        <w:pStyle w:val="ListParagraph"/>
        <w:numPr>
          <w:ilvl w:val="1"/>
          <w:numId w:val="279"/>
        </w:numPr>
        <w:tabs>
          <w:tab w:val="left" w:pos="1274"/>
        </w:tabs>
        <w:spacing w:before="121"/>
        <w:ind w:right="68"/>
        <w:jc w:val="both"/>
        <w:rPr>
          <w:rFonts w:ascii="Arial" w:hAnsi="Arial" w:cs="Arial"/>
          <w:sz w:val="20"/>
          <w:szCs w:val="20"/>
        </w:rPr>
      </w:pPr>
      <w:r w:rsidRPr="00C1427A">
        <w:rPr>
          <w:rFonts w:ascii="Arial" w:hAnsi="Arial" w:cs="Arial"/>
          <w:sz w:val="20"/>
          <w:szCs w:val="20"/>
        </w:rPr>
        <w:lastRenderedPageBreak/>
        <w:t>Assistance in maintaining and, where possible, improving air safety standards by having</w:t>
      </w:r>
      <w:r w:rsidRPr="00C1427A">
        <w:rPr>
          <w:rFonts w:ascii="Arial" w:hAnsi="Arial" w:cs="Arial"/>
          <w:spacing w:val="1"/>
          <w:sz w:val="20"/>
          <w:szCs w:val="20"/>
        </w:rPr>
        <w:t xml:space="preserve"> </w:t>
      </w:r>
      <w:r w:rsidRPr="00C1427A">
        <w:rPr>
          <w:rFonts w:ascii="Arial" w:hAnsi="Arial" w:cs="Arial"/>
          <w:sz w:val="20"/>
          <w:szCs w:val="20"/>
        </w:rPr>
        <w:t>examiners</w:t>
      </w:r>
      <w:r w:rsidRPr="00C1427A">
        <w:rPr>
          <w:rFonts w:ascii="Arial" w:hAnsi="Arial" w:cs="Arial"/>
          <w:spacing w:val="-1"/>
          <w:sz w:val="20"/>
          <w:szCs w:val="20"/>
        </w:rPr>
        <w:t xml:space="preserve"> </w:t>
      </w:r>
      <w:r w:rsidRPr="00C1427A">
        <w:rPr>
          <w:rFonts w:ascii="Arial" w:hAnsi="Arial" w:cs="Arial"/>
          <w:sz w:val="20"/>
          <w:szCs w:val="20"/>
        </w:rPr>
        <w:t>display</w:t>
      </w:r>
      <w:r w:rsidRPr="00C1427A">
        <w:rPr>
          <w:rFonts w:ascii="Arial" w:hAnsi="Arial" w:cs="Arial"/>
          <w:spacing w:val="-1"/>
          <w:sz w:val="20"/>
          <w:szCs w:val="20"/>
        </w:rPr>
        <w:t xml:space="preserve"> </w:t>
      </w:r>
      <w:r w:rsidRPr="00C1427A">
        <w:rPr>
          <w:rFonts w:ascii="Arial" w:hAnsi="Arial" w:cs="Arial"/>
          <w:sz w:val="20"/>
          <w:szCs w:val="20"/>
        </w:rPr>
        <w:t>good</w:t>
      </w:r>
      <w:r w:rsidRPr="00C1427A">
        <w:rPr>
          <w:rFonts w:ascii="Arial" w:hAnsi="Arial" w:cs="Arial"/>
          <w:spacing w:val="-1"/>
          <w:sz w:val="20"/>
          <w:szCs w:val="20"/>
        </w:rPr>
        <w:t xml:space="preserve"> </w:t>
      </w:r>
      <w:r w:rsidRPr="00C1427A">
        <w:rPr>
          <w:rFonts w:ascii="Arial" w:hAnsi="Arial" w:cs="Arial"/>
          <w:sz w:val="20"/>
          <w:szCs w:val="20"/>
        </w:rPr>
        <w:t>airmanship</w:t>
      </w:r>
      <w:r w:rsidRPr="00C1427A">
        <w:rPr>
          <w:rFonts w:ascii="Arial" w:hAnsi="Arial" w:cs="Arial"/>
          <w:spacing w:val="-2"/>
          <w:sz w:val="20"/>
          <w:szCs w:val="20"/>
        </w:rPr>
        <w:t xml:space="preserve"> </w:t>
      </w:r>
      <w:r w:rsidRPr="00C1427A">
        <w:rPr>
          <w:rFonts w:ascii="Arial" w:hAnsi="Arial" w:cs="Arial"/>
          <w:sz w:val="20"/>
          <w:szCs w:val="20"/>
        </w:rPr>
        <w:t>and</w:t>
      </w:r>
      <w:r w:rsidRPr="00C1427A">
        <w:rPr>
          <w:rFonts w:ascii="Arial" w:hAnsi="Arial" w:cs="Arial"/>
          <w:spacing w:val="-1"/>
          <w:sz w:val="20"/>
          <w:szCs w:val="20"/>
        </w:rPr>
        <w:t xml:space="preserve"> </w:t>
      </w:r>
      <w:r w:rsidRPr="00C1427A">
        <w:rPr>
          <w:rFonts w:ascii="Arial" w:hAnsi="Arial" w:cs="Arial"/>
          <w:sz w:val="20"/>
          <w:szCs w:val="20"/>
        </w:rPr>
        <w:t>flight</w:t>
      </w:r>
      <w:r w:rsidRPr="00C1427A">
        <w:rPr>
          <w:rFonts w:ascii="Arial" w:hAnsi="Arial" w:cs="Arial"/>
          <w:spacing w:val="-1"/>
          <w:sz w:val="20"/>
          <w:szCs w:val="20"/>
        </w:rPr>
        <w:t xml:space="preserve"> </w:t>
      </w:r>
      <w:r w:rsidRPr="00C1427A">
        <w:rPr>
          <w:rFonts w:ascii="Arial" w:hAnsi="Arial" w:cs="Arial"/>
          <w:sz w:val="20"/>
          <w:szCs w:val="20"/>
        </w:rPr>
        <w:t>discipline</w:t>
      </w:r>
      <w:r w:rsidRPr="00C1427A">
        <w:rPr>
          <w:rFonts w:ascii="Arial" w:hAnsi="Arial" w:cs="Arial"/>
          <w:spacing w:val="1"/>
          <w:sz w:val="20"/>
          <w:szCs w:val="20"/>
        </w:rPr>
        <w:t xml:space="preserve"> </w:t>
      </w:r>
      <w:r w:rsidRPr="00C1427A">
        <w:rPr>
          <w:rFonts w:ascii="Arial" w:hAnsi="Arial" w:cs="Arial"/>
          <w:sz w:val="20"/>
          <w:szCs w:val="20"/>
        </w:rPr>
        <w:t>during</w:t>
      </w:r>
      <w:r w:rsidRPr="00C1427A">
        <w:rPr>
          <w:rFonts w:ascii="Arial" w:hAnsi="Arial" w:cs="Arial"/>
          <w:spacing w:val="-2"/>
          <w:sz w:val="20"/>
          <w:szCs w:val="20"/>
        </w:rPr>
        <w:t xml:space="preserve"> </w:t>
      </w:r>
      <w:r w:rsidRPr="00C1427A">
        <w:rPr>
          <w:rFonts w:ascii="Arial" w:hAnsi="Arial" w:cs="Arial"/>
          <w:sz w:val="20"/>
          <w:szCs w:val="20"/>
        </w:rPr>
        <w:t>tests</w:t>
      </w:r>
      <w:r w:rsidRPr="00C1427A">
        <w:rPr>
          <w:rFonts w:ascii="Arial" w:hAnsi="Arial" w:cs="Arial"/>
          <w:spacing w:val="-1"/>
          <w:sz w:val="20"/>
          <w:szCs w:val="20"/>
        </w:rPr>
        <w:t xml:space="preserve"> </w:t>
      </w:r>
      <w:r w:rsidRPr="00C1427A">
        <w:rPr>
          <w:rFonts w:ascii="Arial" w:hAnsi="Arial" w:cs="Arial"/>
          <w:sz w:val="20"/>
          <w:szCs w:val="20"/>
        </w:rPr>
        <w:t>or</w:t>
      </w:r>
      <w:r w:rsidRPr="00C1427A">
        <w:rPr>
          <w:rFonts w:ascii="Arial" w:hAnsi="Arial" w:cs="Arial"/>
          <w:spacing w:val="-1"/>
          <w:sz w:val="20"/>
          <w:szCs w:val="20"/>
        </w:rPr>
        <w:t xml:space="preserve"> </w:t>
      </w:r>
      <w:r w:rsidRPr="00C1427A">
        <w:rPr>
          <w:rFonts w:ascii="Arial" w:hAnsi="Arial" w:cs="Arial"/>
          <w:sz w:val="20"/>
          <w:szCs w:val="20"/>
        </w:rPr>
        <w:t>checks.</w:t>
      </w:r>
    </w:p>
    <w:p w14:paraId="3688E327" w14:textId="77777777" w:rsidR="00C1427A" w:rsidRPr="00C1427A" w:rsidRDefault="00C1427A" w:rsidP="00D91E6C">
      <w:pPr>
        <w:pStyle w:val="ListParagraph"/>
        <w:numPr>
          <w:ilvl w:val="0"/>
          <w:numId w:val="279"/>
        </w:numPr>
        <w:tabs>
          <w:tab w:val="left" w:pos="707"/>
        </w:tabs>
        <w:ind w:right="68"/>
        <w:jc w:val="both"/>
        <w:rPr>
          <w:rFonts w:ascii="Arial" w:hAnsi="Arial" w:cs="Arial"/>
          <w:sz w:val="20"/>
          <w:szCs w:val="20"/>
        </w:rPr>
      </w:pPr>
      <w:r w:rsidRPr="00C1427A">
        <w:rPr>
          <w:rFonts w:ascii="Arial" w:hAnsi="Arial" w:cs="Arial"/>
          <w:sz w:val="20"/>
          <w:szCs w:val="20"/>
        </w:rPr>
        <w:t>Conduct</w:t>
      </w:r>
      <w:r w:rsidRPr="00C1427A">
        <w:rPr>
          <w:rFonts w:ascii="Arial" w:hAnsi="Arial" w:cs="Arial"/>
          <w:spacing w:val="-3"/>
          <w:sz w:val="20"/>
          <w:szCs w:val="20"/>
        </w:rPr>
        <w:t xml:space="preserve"> </w:t>
      </w:r>
      <w:r w:rsidRPr="00C1427A">
        <w:rPr>
          <w:rFonts w:ascii="Arial" w:hAnsi="Arial" w:cs="Arial"/>
          <w:sz w:val="20"/>
          <w:szCs w:val="20"/>
        </w:rPr>
        <w:t>of a</w:t>
      </w:r>
      <w:r w:rsidRPr="00C1427A">
        <w:rPr>
          <w:rFonts w:ascii="Arial" w:hAnsi="Arial" w:cs="Arial"/>
          <w:spacing w:val="-2"/>
          <w:sz w:val="20"/>
          <w:szCs w:val="20"/>
        </w:rPr>
        <w:t xml:space="preserve"> </w:t>
      </w:r>
      <w:r w:rsidRPr="00C1427A">
        <w:rPr>
          <w:rFonts w:ascii="Arial" w:hAnsi="Arial" w:cs="Arial"/>
          <w:sz w:val="20"/>
          <w:szCs w:val="20"/>
        </w:rPr>
        <w:t>test or</w:t>
      </w:r>
      <w:r w:rsidRPr="00C1427A">
        <w:rPr>
          <w:rFonts w:ascii="Arial" w:hAnsi="Arial" w:cs="Arial"/>
          <w:spacing w:val="-3"/>
          <w:sz w:val="20"/>
          <w:szCs w:val="20"/>
        </w:rPr>
        <w:t xml:space="preserve"> </w:t>
      </w:r>
      <w:r w:rsidRPr="00C1427A">
        <w:rPr>
          <w:rFonts w:ascii="Arial" w:hAnsi="Arial" w:cs="Arial"/>
          <w:sz w:val="20"/>
          <w:szCs w:val="20"/>
        </w:rPr>
        <w:t>check</w:t>
      </w:r>
    </w:p>
    <w:p w14:paraId="3C7F2A8B" w14:textId="77777777" w:rsidR="00C1427A" w:rsidRPr="00C1427A" w:rsidRDefault="00C1427A" w:rsidP="00D91E6C">
      <w:pPr>
        <w:pStyle w:val="ListParagraph"/>
        <w:numPr>
          <w:ilvl w:val="1"/>
          <w:numId w:val="279"/>
        </w:numPr>
        <w:tabs>
          <w:tab w:val="left" w:pos="1274"/>
        </w:tabs>
        <w:ind w:right="68"/>
        <w:jc w:val="both"/>
        <w:rPr>
          <w:rFonts w:ascii="Arial" w:hAnsi="Arial" w:cs="Arial"/>
          <w:sz w:val="20"/>
          <w:szCs w:val="20"/>
        </w:rPr>
      </w:pPr>
      <w:r w:rsidRPr="00C1427A">
        <w:rPr>
          <w:rFonts w:ascii="Arial" w:hAnsi="Arial" w:cs="Arial"/>
          <w:sz w:val="20"/>
          <w:szCs w:val="20"/>
        </w:rPr>
        <w:t>An examiner will ensure that an applicant completes a test or check in accordance with</w:t>
      </w:r>
      <w:r w:rsidRPr="00C1427A">
        <w:rPr>
          <w:rFonts w:ascii="Arial" w:hAnsi="Arial" w:cs="Arial"/>
          <w:spacing w:val="1"/>
          <w:sz w:val="20"/>
          <w:szCs w:val="20"/>
        </w:rPr>
        <w:t xml:space="preserve"> </w:t>
      </w:r>
      <w:r w:rsidRPr="00C1427A">
        <w:rPr>
          <w:rFonts w:ascii="Arial" w:hAnsi="Arial" w:cs="Arial"/>
          <w:sz w:val="20"/>
          <w:szCs w:val="20"/>
        </w:rPr>
        <w:t>the</w:t>
      </w:r>
      <w:r w:rsidRPr="00C1427A">
        <w:rPr>
          <w:rFonts w:ascii="Arial" w:hAnsi="Arial" w:cs="Arial"/>
          <w:spacing w:val="-7"/>
          <w:sz w:val="20"/>
          <w:szCs w:val="20"/>
        </w:rPr>
        <w:t xml:space="preserve"> </w:t>
      </w:r>
      <w:r w:rsidRPr="00C1427A">
        <w:rPr>
          <w:rFonts w:ascii="Arial" w:hAnsi="Arial" w:cs="Arial"/>
          <w:sz w:val="20"/>
          <w:szCs w:val="20"/>
        </w:rPr>
        <w:t>Part-BFCL</w:t>
      </w:r>
      <w:r w:rsidRPr="00C1427A">
        <w:rPr>
          <w:rFonts w:ascii="Arial" w:hAnsi="Arial" w:cs="Arial"/>
          <w:spacing w:val="-4"/>
          <w:sz w:val="20"/>
          <w:szCs w:val="20"/>
        </w:rPr>
        <w:t xml:space="preserve"> </w:t>
      </w:r>
      <w:r w:rsidRPr="00C1427A">
        <w:rPr>
          <w:rFonts w:ascii="Arial" w:hAnsi="Arial" w:cs="Arial"/>
          <w:sz w:val="20"/>
          <w:szCs w:val="20"/>
        </w:rPr>
        <w:t>requirements</w:t>
      </w:r>
      <w:r w:rsidRPr="00C1427A">
        <w:rPr>
          <w:rFonts w:ascii="Arial" w:hAnsi="Arial" w:cs="Arial"/>
          <w:spacing w:val="-4"/>
          <w:sz w:val="20"/>
          <w:szCs w:val="20"/>
        </w:rPr>
        <w:t xml:space="preserve"> </w:t>
      </w:r>
      <w:r w:rsidRPr="00C1427A">
        <w:rPr>
          <w:rFonts w:ascii="Arial" w:hAnsi="Arial" w:cs="Arial"/>
          <w:sz w:val="20"/>
          <w:szCs w:val="20"/>
        </w:rPr>
        <w:t>and</w:t>
      </w:r>
      <w:r w:rsidRPr="00C1427A">
        <w:rPr>
          <w:rFonts w:ascii="Arial" w:hAnsi="Arial" w:cs="Arial"/>
          <w:spacing w:val="-5"/>
          <w:sz w:val="20"/>
          <w:szCs w:val="20"/>
        </w:rPr>
        <w:t xml:space="preserve"> </w:t>
      </w:r>
      <w:r w:rsidRPr="00C1427A">
        <w:rPr>
          <w:rFonts w:ascii="Arial" w:hAnsi="Arial" w:cs="Arial"/>
          <w:sz w:val="20"/>
          <w:szCs w:val="20"/>
        </w:rPr>
        <w:t>is</w:t>
      </w:r>
      <w:r w:rsidRPr="00C1427A">
        <w:rPr>
          <w:rFonts w:ascii="Arial" w:hAnsi="Arial" w:cs="Arial"/>
          <w:spacing w:val="-4"/>
          <w:sz w:val="20"/>
          <w:szCs w:val="20"/>
        </w:rPr>
        <w:t xml:space="preserve"> </w:t>
      </w:r>
      <w:r w:rsidRPr="00C1427A">
        <w:rPr>
          <w:rFonts w:ascii="Arial" w:hAnsi="Arial" w:cs="Arial"/>
          <w:sz w:val="20"/>
          <w:szCs w:val="20"/>
        </w:rPr>
        <w:t>assessed</w:t>
      </w:r>
      <w:r w:rsidRPr="00C1427A">
        <w:rPr>
          <w:rFonts w:ascii="Arial" w:hAnsi="Arial" w:cs="Arial"/>
          <w:spacing w:val="-4"/>
          <w:sz w:val="20"/>
          <w:szCs w:val="20"/>
        </w:rPr>
        <w:t xml:space="preserve"> </w:t>
      </w:r>
      <w:r w:rsidRPr="00C1427A">
        <w:rPr>
          <w:rFonts w:ascii="Arial" w:hAnsi="Arial" w:cs="Arial"/>
          <w:sz w:val="20"/>
          <w:szCs w:val="20"/>
        </w:rPr>
        <w:t>against</w:t>
      </w:r>
      <w:r w:rsidRPr="00C1427A">
        <w:rPr>
          <w:rFonts w:ascii="Arial" w:hAnsi="Arial" w:cs="Arial"/>
          <w:spacing w:val="-5"/>
          <w:sz w:val="20"/>
          <w:szCs w:val="20"/>
        </w:rPr>
        <w:t xml:space="preserve"> </w:t>
      </w:r>
      <w:r w:rsidRPr="00C1427A">
        <w:rPr>
          <w:rFonts w:ascii="Arial" w:hAnsi="Arial" w:cs="Arial"/>
          <w:sz w:val="20"/>
          <w:szCs w:val="20"/>
        </w:rPr>
        <w:t>the</w:t>
      </w:r>
      <w:r w:rsidRPr="00C1427A">
        <w:rPr>
          <w:rFonts w:ascii="Arial" w:hAnsi="Arial" w:cs="Arial"/>
          <w:spacing w:val="-4"/>
          <w:sz w:val="20"/>
          <w:szCs w:val="20"/>
        </w:rPr>
        <w:t xml:space="preserve"> </w:t>
      </w:r>
      <w:r w:rsidRPr="00C1427A">
        <w:rPr>
          <w:rFonts w:ascii="Arial" w:hAnsi="Arial" w:cs="Arial"/>
          <w:sz w:val="20"/>
          <w:szCs w:val="20"/>
        </w:rPr>
        <w:t>required</w:t>
      </w:r>
      <w:r w:rsidRPr="00C1427A">
        <w:rPr>
          <w:rFonts w:ascii="Arial" w:hAnsi="Arial" w:cs="Arial"/>
          <w:spacing w:val="-8"/>
          <w:sz w:val="20"/>
          <w:szCs w:val="20"/>
        </w:rPr>
        <w:t xml:space="preserve"> </w:t>
      </w:r>
      <w:r w:rsidRPr="00C1427A">
        <w:rPr>
          <w:rFonts w:ascii="Arial" w:hAnsi="Arial" w:cs="Arial"/>
          <w:sz w:val="20"/>
          <w:szCs w:val="20"/>
        </w:rPr>
        <w:t>test</w:t>
      </w:r>
      <w:r w:rsidRPr="00C1427A">
        <w:rPr>
          <w:rFonts w:ascii="Arial" w:hAnsi="Arial" w:cs="Arial"/>
          <w:spacing w:val="-6"/>
          <w:sz w:val="20"/>
          <w:szCs w:val="20"/>
        </w:rPr>
        <w:t xml:space="preserve"> </w:t>
      </w:r>
      <w:r w:rsidRPr="00C1427A">
        <w:rPr>
          <w:rFonts w:ascii="Arial" w:hAnsi="Arial" w:cs="Arial"/>
          <w:sz w:val="20"/>
          <w:szCs w:val="20"/>
        </w:rPr>
        <w:t>or</w:t>
      </w:r>
      <w:r w:rsidRPr="00C1427A">
        <w:rPr>
          <w:rFonts w:ascii="Arial" w:hAnsi="Arial" w:cs="Arial"/>
          <w:spacing w:val="-4"/>
          <w:sz w:val="20"/>
          <w:szCs w:val="20"/>
        </w:rPr>
        <w:t xml:space="preserve"> </w:t>
      </w:r>
      <w:r w:rsidRPr="00C1427A">
        <w:rPr>
          <w:rFonts w:ascii="Arial" w:hAnsi="Arial" w:cs="Arial"/>
          <w:sz w:val="20"/>
          <w:szCs w:val="20"/>
        </w:rPr>
        <w:t>check</w:t>
      </w:r>
      <w:r w:rsidRPr="00C1427A">
        <w:rPr>
          <w:rFonts w:ascii="Arial" w:hAnsi="Arial" w:cs="Arial"/>
          <w:spacing w:val="-5"/>
          <w:sz w:val="20"/>
          <w:szCs w:val="20"/>
        </w:rPr>
        <w:t xml:space="preserve"> </w:t>
      </w:r>
      <w:r w:rsidRPr="00C1427A">
        <w:rPr>
          <w:rFonts w:ascii="Arial" w:hAnsi="Arial" w:cs="Arial"/>
          <w:sz w:val="20"/>
          <w:szCs w:val="20"/>
        </w:rPr>
        <w:t>standards.</w:t>
      </w:r>
    </w:p>
    <w:p w14:paraId="758FF0B5" w14:textId="77777777" w:rsidR="00C1427A" w:rsidRPr="00C1427A" w:rsidRDefault="00C1427A" w:rsidP="00D91E6C">
      <w:pPr>
        <w:pStyle w:val="ListParagraph"/>
        <w:numPr>
          <w:ilvl w:val="1"/>
          <w:numId w:val="279"/>
        </w:numPr>
        <w:tabs>
          <w:tab w:val="left" w:pos="1274"/>
        </w:tabs>
        <w:spacing w:before="123" w:line="237" w:lineRule="auto"/>
        <w:ind w:right="68"/>
        <w:jc w:val="both"/>
        <w:rPr>
          <w:rFonts w:ascii="Arial" w:hAnsi="Arial" w:cs="Arial"/>
          <w:sz w:val="20"/>
          <w:szCs w:val="20"/>
        </w:rPr>
      </w:pPr>
      <w:r w:rsidRPr="00C1427A">
        <w:rPr>
          <w:rFonts w:ascii="Arial" w:hAnsi="Arial" w:cs="Arial"/>
          <w:sz w:val="20"/>
          <w:szCs w:val="20"/>
        </w:rPr>
        <w:t>Each item within a test or check section should be completed and assessed separately.</w:t>
      </w:r>
      <w:r w:rsidRPr="00C1427A">
        <w:rPr>
          <w:rFonts w:ascii="Arial" w:hAnsi="Arial" w:cs="Arial"/>
          <w:spacing w:val="1"/>
          <w:sz w:val="20"/>
          <w:szCs w:val="20"/>
        </w:rPr>
        <w:t xml:space="preserve"> </w:t>
      </w:r>
      <w:r w:rsidRPr="00C1427A">
        <w:rPr>
          <w:rFonts w:ascii="Arial" w:hAnsi="Arial" w:cs="Arial"/>
          <w:sz w:val="20"/>
          <w:szCs w:val="20"/>
        </w:rPr>
        <w:t>The</w:t>
      </w:r>
      <w:r w:rsidRPr="00C1427A">
        <w:rPr>
          <w:rFonts w:ascii="Arial" w:hAnsi="Arial" w:cs="Arial"/>
          <w:spacing w:val="-1"/>
          <w:sz w:val="20"/>
          <w:szCs w:val="20"/>
        </w:rPr>
        <w:t xml:space="preserve"> </w:t>
      </w:r>
      <w:r w:rsidRPr="00C1427A">
        <w:rPr>
          <w:rFonts w:ascii="Arial" w:hAnsi="Arial" w:cs="Arial"/>
          <w:sz w:val="20"/>
          <w:szCs w:val="20"/>
        </w:rPr>
        <w:t>test</w:t>
      </w:r>
      <w:r w:rsidRPr="00C1427A">
        <w:rPr>
          <w:rFonts w:ascii="Arial" w:hAnsi="Arial" w:cs="Arial"/>
          <w:spacing w:val="-3"/>
          <w:sz w:val="20"/>
          <w:szCs w:val="20"/>
        </w:rPr>
        <w:t xml:space="preserve"> </w:t>
      </w:r>
      <w:r w:rsidRPr="00C1427A">
        <w:rPr>
          <w:rFonts w:ascii="Arial" w:hAnsi="Arial" w:cs="Arial"/>
          <w:sz w:val="20"/>
          <w:szCs w:val="20"/>
        </w:rPr>
        <w:t>or check</w:t>
      </w:r>
      <w:r w:rsidRPr="00C1427A">
        <w:rPr>
          <w:rFonts w:ascii="Arial" w:hAnsi="Arial" w:cs="Arial"/>
          <w:spacing w:val="-3"/>
          <w:sz w:val="20"/>
          <w:szCs w:val="20"/>
        </w:rPr>
        <w:t xml:space="preserve"> </w:t>
      </w:r>
      <w:r w:rsidRPr="00C1427A">
        <w:rPr>
          <w:rFonts w:ascii="Arial" w:hAnsi="Arial" w:cs="Arial"/>
          <w:sz w:val="20"/>
          <w:szCs w:val="20"/>
        </w:rPr>
        <w:t>schedule,</w:t>
      </w:r>
      <w:r w:rsidRPr="00C1427A">
        <w:rPr>
          <w:rFonts w:ascii="Arial" w:hAnsi="Arial" w:cs="Arial"/>
          <w:spacing w:val="-3"/>
          <w:sz w:val="20"/>
          <w:szCs w:val="20"/>
        </w:rPr>
        <w:t xml:space="preserve"> </w:t>
      </w:r>
      <w:r w:rsidRPr="00C1427A">
        <w:rPr>
          <w:rFonts w:ascii="Arial" w:hAnsi="Arial" w:cs="Arial"/>
          <w:sz w:val="20"/>
          <w:szCs w:val="20"/>
        </w:rPr>
        <w:t>as</w:t>
      </w:r>
      <w:r w:rsidRPr="00C1427A">
        <w:rPr>
          <w:rFonts w:ascii="Arial" w:hAnsi="Arial" w:cs="Arial"/>
          <w:spacing w:val="-1"/>
          <w:sz w:val="20"/>
          <w:szCs w:val="20"/>
        </w:rPr>
        <w:t xml:space="preserve"> </w:t>
      </w:r>
      <w:r w:rsidRPr="00C1427A">
        <w:rPr>
          <w:rFonts w:ascii="Arial" w:hAnsi="Arial" w:cs="Arial"/>
          <w:sz w:val="20"/>
          <w:szCs w:val="20"/>
        </w:rPr>
        <w:t>briefed,</w:t>
      </w:r>
      <w:r w:rsidRPr="00C1427A">
        <w:rPr>
          <w:rFonts w:ascii="Arial" w:hAnsi="Arial" w:cs="Arial"/>
          <w:spacing w:val="-3"/>
          <w:sz w:val="20"/>
          <w:szCs w:val="20"/>
        </w:rPr>
        <w:t xml:space="preserve"> </w:t>
      </w:r>
      <w:r w:rsidRPr="00C1427A">
        <w:rPr>
          <w:rFonts w:ascii="Arial" w:hAnsi="Arial" w:cs="Arial"/>
          <w:sz w:val="20"/>
          <w:szCs w:val="20"/>
        </w:rPr>
        <w:t>should</w:t>
      </w:r>
      <w:r w:rsidRPr="00C1427A">
        <w:rPr>
          <w:rFonts w:ascii="Arial" w:hAnsi="Arial" w:cs="Arial"/>
          <w:spacing w:val="-2"/>
          <w:sz w:val="20"/>
          <w:szCs w:val="20"/>
        </w:rPr>
        <w:t xml:space="preserve"> </w:t>
      </w:r>
      <w:r w:rsidRPr="00C1427A">
        <w:rPr>
          <w:rFonts w:ascii="Arial" w:hAnsi="Arial" w:cs="Arial"/>
          <w:sz w:val="20"/>
          <w:szCs w:val="20"/>
        </w:rPr>
        <w:t>normally</w:t>
      </w:r>
      <w:r w:rsidRPr="00C1427A">
        <w:rPr>
          <w:rFonts w:ascii="Arial" w:hAnsi="Arial" w:cs="Arial"/>
          <w:spacing w:val="-1"/>
          <w:sz w:val="20"/>
          <w:szCs w:val="20"/>
        </w:rPr>
        <w:t xml:space="preserve"> </w:t>
      </w:r>
      <w:r w:rsidRPr="00C1427A">
        <w:rPr>
          <w:rFonts w:ascii="Arial" w:hAnsi="Arial" w:cs="Arial"/>
          <w:sz w:val="20"/>
          <w:szCs w:val="20"/>
        </w:rPr>
        <w:t>not be altered</w:t>
      </w:r>
      <w:r w:rsidRPr="00C1427A">
        <w:rPr>
          <w:rFonts w:ascii="Arial" w:hAnsi="Arial" w:cs="Arial"/>
          <w:spacing w:val="-3"/>
          <w:sz w:val="20"/>
          <w:szCs w:val="20"/>
        </w:rPr>
        <w:t xml:space="preserve"> </w:t>
      </w:r>
      <w:r w:rsidRPr="00C1427A">
        <w:rPr>
          <w:rFonts w:ascii="Arial" w:hAnsi="Arial" w:cs="Arial"/>
          <w:sz w:val="20"/>
          <w:szCs w:val="20"/>
        </w:rPr>
        <w:t>by</w:t>
      </w:r>
      <w:r w:rsidRPr="00C1427A">
        <w:rPr>
          <w:rFonts w:ascii="Arial" w:hAnsi="Arial" w:cs="Arial"/>
          <w:spacing w:val="-1"/>
          <w:sz w:val="20"/>
          <w:szCs w:val="20"/>
        </w:rPr>
        <w:t xml:space="preserve"> </w:t>
      </w:r>
      <w:r w:rsidRPr="00C1427A">
        <w:rPr>
          <w:rFonts w:ascii="Arial" w:hAnsi="Arial" w:cs="Arial"/>
          <w:sz w:val="20"/>
          <w:szCs w:val="20"/>
        </w:rPr>
        <w:t>an</w:t>
      </w:r>
      <w:r w:rsidRPr="00C1427A">
        <w:rPr>
          <w:rFonts w:ascii="Arial" w:hAnsi="Arial" w:cs="Arial"/>
          <w:spacing w:val="-3"/>
          <w:sz w:val="20"/>
          <w:szCs w:val="20"/>
        </w:rPr>
        <w:t xml:space="preserve"> </w:t>
      </w:r>
      <w:r w:rsidRPr="00C1427A">
        <w:rPr>
          <w:rFonts w:ascii="Arial" w:hAnsi="Arial" w:cs="Arial"/>
          <w:sz w:val="20"/>
          <w:szCs w:val="20"/>
        </w:rPr>
        <w:t>examiner.</w:t>
      </w:r>
    </w:p>
    <w:p w14:paraId="2E124445" w14:textId="77777777" w:rsidR="00C1427A" w:rsidRPr="00C1427A" w:rsidRDefault="00C1427A" w:rsidP="00D91E6C">
      <w:pPr>
        <w:pStyle w:val="ListParagraph"/>
        <w:numPr>
          <w:ilvl w:val="1"/>
          <w:numId w:val="279"/>
        </w:numPr>
        <w:tabs>
          <w:tab w:val="left" w:pos="1274"/>
        </w:tabs>
        <w:spacing w:before="121"/>
        <w:ind w:right="68"/>
        <w:jc w:val="both"/>
        <w:rPr>
          <w:rFonts w:ascii="Arial" w:hAnsi="Arial" w:cs="Arial"/>
          <w:sz w:val="20"/>
          <w:szCs w:val="20"/>
        </w:rPr>
      </w:pPr>
      <w:r w:rsidRPr="00C1427A">
        <w:rPr>
          <w:rFonts w:ascii="Arial" w:hAnsi="Arial" w:cs="Arial"/>
          <w:sz w:val="20"/>
          <w:szCs w:val="20"/>
        </w:rPr>
        <w:t>A marginal or questionable performance of a test or check item should not influence an</w:t>
      </w:r>
      <w:r w:rsidRPr="00C1427A">
        <w:rPr>
          <w:rFonts w:ascii="Arial" w:hAnsi="Arial" w:cs="Arial"/>
          <w:spacing w:val="1"/>
          <w:sz w:val="20"/>
          <w:szCs w:val="20"/>
        </w:rPr>
        <w:t xml:space="preserve"> </w:t>
      </w:r>
      <w:r w:rsidRPr="00C1427A">
        <w:rPr>
          <w:rFonts w:ascii="Arial" w:hAnsi="Arial" w:cs="Arial"/>
          <w:sz w:val="20"/>
          <w:szCs w:val="20"/>
        </w:rPr>
        <w:t>examiner’s</w:t>
      </w:r>
      <w:r w:rsidRPr="00C1427A">
        <w:rPr>
          <w:rFonts w:ascii="Arial" w:hAnsi="Arial" w:cs="Arial"/>
          <w:spacing w:val="-1"/>
          <w:sz w:val="20"/>
          <w:szCs w:val="20"/>
        </w:rPr>
        <w:t xml:space="preserve"> </w:t>
      </w:r>
      <w:r w:rsidRPr="00C1427A">
        <w:rPr>
          <w:rFonts w:ascii="Arial" w:hAnsi="Arial" w:cs="Arial"/>
          <w:sz w:val="20"/>
          <w:szCs w:val="20"/>
        </w:rPr>
        <w:t>assessment</w:t>
      </w:r>
      <w:r w:rsidRPr="00C1427A">
        <w:rPr>
          <w:rFonts w:ascii="Arial" w:hAnsi="Arial" w:cs="Arial"/>
          <w:spacing w:val="-1"/>
          <w:sz w:val="20"/>
          <w:szCs w:val="20"/>
        </w:rPr>
        <w:t xml:space="preserve"> </w:t>
      </w:r>
      <w:r w:rsidRPr="00C1427A">
        <w:rPr>
          <w:rFonts w:ascii="Arial" w:hAnsi="Arial" w:cs="Arial"/>
          <w:sz w:val="20"/>
          <w:szCs w:val="20"/>
        </w:rPr>
        <w:t>of any subsequent</w:t>
      </w:r>
      <w:r w:rsidRPr="00C1427A">
        <w:rPr>
          <w:rFonts w:ascii="Arial" w:hAnsi="Arial" w:cs="Arial"/>
          <w:spacing w:val="-1"/>
          <w:sz w:val="20"/>
          <w:szCs w:val="20"/>
        </w:rPr>
        <w:t xml:space="preserve"> </w:t>
      </w:r>
      <w:r w:rsidRPr="00C1427A">
        <w:rPr>
          <w:rFonts w:ascii="Arial" w:hAnsi="Arial" w:cs="Arial"/>
          <w:sz w:val="20"/>
          <w:szCs w:val="20"/>
        </w:rPr>
        <w:t>items.</w:t>
      </w:r>
    </w:p>
    <w:p w14:paraId="0DD1CFEE" w14:textId="77777777" w:rsidR="00C1427A" w:rsidRPr="00C1427A" w:rsidRDefault="00C1427A" w:rsidP="00D91E6C">
      <w:pPr>
        <w:pStyle w:val="ListParagraph"/>
        <w:numPr>
          <w:ilvl w:val="1"/>
          <w:numId w:val="279"/>
        </w:numPr>
        <w:tabs>
          <w:tab w:val="left" w:pos="1274"/>
        </w:tabs>
        <w:spacing w:before="121"/>
        <w:ind w:right="68"/>
        <w:jc w:val="both"/>
        <w:rPr>
          <w:rFonts w:ascii="Arial" w:hAnsi="Arial" w:cs="Arial"/>
          <w:sz w:val="20"/>
          <w:szCs w:val="20"/>
        </w:rPr>
      </w:pPr>
      <w:r w:rsidRPr="00C1427A">
        <w:rPr>
          <w:rFonts w:ascii="Arial" w:hAnsi="Arial" w:cs="Arial"/>
          <w:sz w:val="20"/>
          <w:szCs w:val="20"/>
        </w:rPr>
        <w:t>An examiner should verify the requirements and limitations of a test or check with an</w:t>
      </w:r>
      <w:r w:rsidRPr="00C1427A">
        <w:rPr>
          <w:rFonts w:ascii="Arial" w:hAnsi="Arial" w:cs="Arial"/>
          <w:spacing w:val="1"/>
          <w:sz w:val="20"/>
          <w:szCs w:val="20"/>
        </w:rPr>
        <w:t xml:space="preserve"> </w:t>
      </w:r>
      <w:r w:rsidRPr="00C1427A">
        <w:rPr>
          <w:rFonts w:ascii="Arial" w:hAnsi="Arial" w:cs="Arial"/>
          <w:sz w:val="20"/>
          <w:szCs w:val="20"/>
        </w:rPr>
        <w:t>applicant</w:t>
      </w:r>
      <w:r w:rsidRPr="00C1427A">
        <w:rPr>
          <w:rFonts w:ascii="Arial" w:hAnsi="Arial" w:cs="Arial"/>
          <w:spacing w:val="-1"/>
          <w:sz w:val="20"/>
          <w:szCs w:val="20"/>
        </w:rPr>
        <w:t xml:space="preserve"> </w:t>
      </w:r>
      <w:r w:rsidRPr="00C1427A">
        <w:rPr>
          <w:rFonts w:ascii="Arial" w:hAnsi="Arial" w:cs="Arial"/>
          <w:sz w:val="20"/>
          <w:szCs w:val="20"/>
        </w:rPr>
        <w:t>during</w:t>
      </w:r>
      <w:r w:rsidRPr="00C1427A">
        <w:rPr>
          <w:rFonts w:ascii="Arial" w:hAnsi="Arial" w:cs="Arial"/>
          <w:spacing w:val="-1"/>
          <w:sz w:val="20"/>
          <w:szCs w:val="20"/>
        </w:rPr>
        <w:t xml:space="preserve"> </w:t>
      </w:r>
      <w:r w:rsidRPr="00C1427A">
        <w:rPr>
          <w:rFonts w:ascii="Arial" w:hAnsi="Arial" w:cs="Arial"/>
          <w:sz w:val="20"/>
          <w:szCs w:val="20"/>
        </w:rPr>
        <w:t>the</w:t>
      </w:r>
      <w:r w:rsidRPr="00C1427A">
        <w:rPr>
          <w:rFonts w:ascii="Arial" w:hAnsi="Arial" w:cs="Arial"/>
          <w:spacing w:val="1"/>
          <w:sz w:val="20"/>
          <w:szCs w:val="20"/>
        </w:rPr>
        <w:t xml:space="preserve"> </w:t>
      </w:r>
      <w:r w:rsidRPr="00C1427A">
        <w:rPr>
          <w:rFonts w:ascii="Arial" w:hAnsi="Arial" w:cs="Arial"/>
          <w:sz w:val="20"/>
          <w:szCs w:val="20"/>
        </w:rPr>
        <w:t>pre-flight briefing.</w:t>
      </w:r>
    </w:p>
    <w:p w14:paraId="45228E2A" w14:textId="77777777" w:rsidR="00C1427A" w:rsidRPr="00C1427A" w:rsidRDefault="00C1427A" w:rsidP="00D91E6C">
      <w:pPr>
        <w:pStyle w:val="ListParagraph"/>
        <w:numPr>
          <w:ilvl w:val="1"/>
          <w:numId w:val="279"/>
        </w:numPr>
        <w:tabs>
          <w:tab w:val="left" w:pos="1274"/>
        </w:tabs>
        <w:spacing w:before="121"/>
        <w:ind w:right="68"/>
        <w:jc w:val="both"/>
        <w:rPr>
          <w:rFonts w:ascii="Arial" w:hAnsi="Arial" w:cs="Arial"/>
          <w:sz w:val="20"/>
          <w:szCs w:val="20"/>
        </w:rPr>
      </w:pPr>
      <w:r w:rsidRPr="00C1427A">
        <w:rPr>
          <w:rFonts w:ascii="Arial" w:hAnsi="Arial" w:cs="Arial"/>
          <w:sz w:val="20"/>
          <w:szCs w:val="20"/>
        </w:rPr>
        <w:t>When a test or check is completed or discontinued, an examiner should debrief the</w:t>
      </w:r>
      <w:r w:rsidRPr="00C1427A">
        <w:rPr>
          <w:rFonts w:ascii="Arial" w:hAnsi="Arial" w:cs="Arial"/>
          <w:spacing w:val="1"/>
          <w:sz w:val="20"/>
          <w:szCs w:val="20"/>
        </w:rPr>
        <w:t xml:space="preserve"> </w:t>
      </w:r>
      <w:r w:rsidRPr="00C1427A">
        <w:rPr>
          <w:rFonts w:ascii="Arial" w:hAnsi="Arial" w:cs="Arial"/>
          <w:sz w:val="20"/>
          <w:szCs w:val="20"/>
        </w:rPr>
        <w:t>applicant</w:t>
      </w:r>
      <w:r w:rsidRPr="00C1427A">
        <w:rPr>
          <w:rFonts w:ascii="Arial" w:hAnsi="Arial" w:cs="Arial"/>
          <w:spacing w:val="-2"/>
          <w:sz w:val="20"/>
          <w:szCs w:val="20"/>
        </w:rPr>
        <w:t xml:space="preserve"> </w:t>
      </w:r>
      <w:r w:rsidRPr="00C1427A">
        <w:rPr>
          <w:rFonts w:ascii="Arial" w:hAnsi="Arial" w:cs="Arial"/>
          <w:sz w:val="20"/>
          <w:szCs w:val="20"/>
        </w:rPr>
        <w:t>and</w:t>
      </w:r>
      <w:r w:rsidRPr="00C1427A">
        <w:rPr>
          <w:rFonts w:ascii="Arial" w:hAnsi="Arial" w:cs="Arial"/>
          <w:spacing w:val="-2"/>
          <w:sz w:val="20"/>
          <w:szCs w:val="20"/>
        </w:rPr>
        <w:t xml:space="preserve"> </w:t>
      </w:r>
      <w:r w:rsidRPr="00C1427A">
        <w:rPr>
          <w:rFonts w:ascii="Arial" w:hAnsi="Arial" w:cs="Arial"/>
          <w:sz w:val="20"/>
          <w:szCs w:val="20"/>
        </w:rPr>
        <w:t>give reasons</w:t>
      </w:r>
      <w:r w:rsidRPr="00C1427A">
        <w:rPr>
          <w:rFonts w:ascii="Arial" w:hAnsi="Arial" w:cs="Arial"/>
          <w:spacing w:val="-4"/>
          <w:sz w:val="20"/>
          <w:szCs w:val="20"/>
        </w:rPr>
        <w:t xml:space="preserve"> </w:t>
      </w:r>
      <w:r w:rsidRPr="00C1427A">
        <w:rPr>
          <w:rFonts w:ascii="Arial" w:hAnsi="Arial" w:cs="Arial"/>
          <w:sz w:val="20"/>
          <w:szCs w:val="20"/>
        </w:rPr>
        <w:t>for</w:t>
      </w:r>
      <w:r w:rsidRPr="00C1427A">
        <w:rPr>
          <w:rFonts w:ascii="Arial" w:hAnsi="Arial" w:cs="Arial"/>
          <w:spacing w:val="-1"/>
          <w:sz w:val="20"/>
          <w:szCs w:val="20"/>
        </w:rPr>
        <w:t xml:space="preserve"> </w:t>
      </w:r>
      <w:r w:rsidRPr="00C1427A">
        <w:rPr>
          <w:rFonts w:ascii="Arial" w:hAnsi="Arial" w:cs="Arial"/>
          <w:sz w:val="20"/>
          <w:szCs w:val="20"/>
        </w:rPr>
        <w:t>items</w:t>
      </w:r>
      <w:r w:rsidRPr="00C1427A">
        <w:rPr>
          <w:rFonts w:ascii="Arial" w:hAnsi="Arial" w:cs="Arial"/>
          <w:spacing w:val="-3"/>
          <w:sz w:val="20"/>
          <w:szCs w:val="20"/>
        </w:rPr>
        <w:t xml:space="preserve"> </w:t>
      </w:r>
      <w:r w:rsidRPr="00C1427A">
        <w:rPr>
          <w:rFonts w:ascii="Arial" w:hAnsi="Arial" w:cs="Arial"/>
          <w:sz w:val="20"/>
          <w:szCs w:val="20"/>
        </w:rPr>
        <w:t>or</w:t>
      </w:r>
      <w:r w:rsidRPr="00C1427A">
        <w:rPr>
          <w:rFonts w:ascii="Arial" w:hAnsi="Arial" w:cs="Arial"/>
          <w:spacing w:val="-3"/>
          <w:sz w:val="20"/>
          <w:szCs w:val="20"/>
        </w:rPr>
        <w:t xml:space="preserve"> </w:t>
      </w:r>
      <w:r w:rsidRPr="00C1427A">
        <w:rPr>
          <w:rFonts w:ascii="Arial" w:hAnsi="Arial" w:cs="Arial"/>
          <w:sz w:val="20"/>
          <w:szCs w:val="20"/>
        </w:rPr>
        <w:t>sections</w:t>
      </w:r>
      <w:r w:rsidRPr="00C1427A">
        <w:rPr>
          <w:rFonts w:ascii="Arial" w:hAnsi="Arial" w:cs="Arial"/>
          <w:spacing w:val="-5"/>
          <w:sz w:val="20"/>
          <w:szCs w:val="20"/>
        </w:rPr>
        <w:t xml:space="preserve"> </w:t>
      </w:r>
      <w:r w:rsidRPr="00C1427A">
        <w:rPr>
          <w:rFonts w:ascii="Arial" w:hAnsi="Arial" w:cs="Arial"/>
          <w:sz w:val="20"/>
          <w:szCs w:val="20"/>
        </w:rPr>
        <w:t>failed.</w:t>
      </w:r>
      <w:r w:rsidRPr="00C1427A">
        <w:rPr>
          <w:rFonts w:ascii="Arial" w:hAnsi="Arial" w:cs="Arial"/>
          <w:spacing w:val="-4"/>
          <w:sz w:val="20"/>
          <w:szCs w:val="20"/>
        </w:rPr>
        <w:t xml:space="preserve"> </w:t>
      </w:r>
      <w:r w:rsidRPr="00C1427A">
        <w:rPr>
          <w:rFonts w:ascii="Arial" w:hAnsi="Arial" w:cs="Arial"/>
          <w:sz w:val="20"/>
          <w:szCs w:val="20"/>
        </w:rPr>
        <w:t>In</w:t>
      </w:r>
      <w:r w:rsidRPr="00C1427A">
        <w:rPr>
          <w:rFonts w:ascii="Arial" w:hAnsi="Arial" w:cs="Arial"/>
          <w:spacing w:val="-2"/>
          <w:sz w:val="20"/>
          <w:szCs w:val="20"/>
        </w:rPr>
        <w:t xml:space="preserve"> </w:t>
      </w:r>
      <w:r w:rsidRPr="00C1427A">
        <w:rPr>
          <w:rFonts w:ascii="Arial" w:hAnsi="Arial" w:cs="Arial"/>
          <w:sz w:val="20"/>
          <w:szCs w:val="20"/>
        </w:rPr>
        <w:t>case</w:t>
      </w:r>
      <w:r w:rsidRPr="00C1427A">
        <w:rPr>
          <w:rFonts w:ascii="Arial" w:hAnsi="Arial" w:cs="Arial"/>
          <w:spacing w:val="-3"/>
          <w:sz w:val="20"/>
          <w:szCs w:val="20"/>
        </w:rPr>
        <w:t xml:space="preserve"> </w:t>
      </w:r>
      <w:r w:rsidRPr="00C1427A">
        <w:rPr>
          <w:rFonts w:ascii="Arial" w:hAnsi="Arial" w:cs="Arial"/>
          <w:sz w:val="20"/>
          <w:szCs w:val="20"/>
        </w:rPr>
        <w:t>of</w:t>
      </w:r>
      <w:r w:rsidRPr="00C1427A">
        <w:rPr>
          <w:rFonts w:ascii="Arial" w:hAnsi="Arial" w:cs="Arial"/>
          <w:spacing w:val="-2"/>
          <w:sz w:val="20"/>
          <w:szCs w:val="20"/>
        </w:rPr>
        <w:t xml:space="preserve"> </w:t>
      </w:r>
      <w:r w:rsidRPr="00C1427A">
        <w:rPr>
          <w:rFonts w:ascii="Arial" w:hAnsi="Arial" w:cs="Arial"/>
          <w:sz w:val="20"/>
          <w:szCs w:val="20"/>
        </w:rPr>
        <w:t>a</w:t>
      </w:r>
      <w:r w:rsidRPr="00C1427A">
        <w:rPr>
          <w:rFonts w:ascii="Arial" w:hAnsi="Arial" w:cs="Arial"/>
          <w:spacing w:val="-4"/>
          <w:sz w:val="20"/>
          <w:szCs w:val="20"/>
        </w:rPr>
        <w:t xml:space="preserve"> </w:t>
      </w:r>
      <w:r w:rsidRPr="00C1427A">
        <w:rPr>
          <w:rFonts w:ascii="Arial" w:hAnsi="Arial" w:cs="Arial"/>
          <w:sz w:val="20"/>
          <w:szCs w:val="20"/>
        </w:rPr>
        <w:t>failed</w:t>
      </w:r>
      <w:r w:rsidRPr="00C1427A">
        <w:rPr>
          <w:rFonts w:ascii="Arial" w:hAnsi="Arial" w:cs="Arial"/>
          <w:spacing w:val="-5"/>
          <w:sz w:val="20"/>
          <w:szCs w:val="20"/>
        </w:rPr>
        <w:t xml:space="preserve"> </w:t>
      </w:r>
      <w:r w:rsidRPr="00C1427A">
        <w:rPr>
          <w:rFonts w:ascii="Arial" w:hAnsi="Arial" w:cs="Arial"/>
          <w:sz w:val="20"/>
          <w:szCs w:val="20"/>
        </w:rPr>
        <w:t>or</w:t>
      </w:r>
      <w:r w:rsidRPr="00C1427A">
        <w:rPr>
          <w:rFonts w:ascii="Arial" w:hAnsi="Arial" w:cs="Arial"/>
          <w:spacing w:val="-4"/>
          <w:sz w:val="20"/>
          <w:szCs w:val="20"/>
        </w:rPr>
        <w:t xml:space="preserve"> </w:t>
      </w:r>
      <w:r w:rsidRPr="00C1427A">
        <w:rPr>
          <w:rFonts w:ascii="Arial" w:hAnsi="Arial" w:cs="Arial"/>
          <w:sz w:val="20"/>
          <w:szCs w:val="20"/>
        </w:rPr>
        <w:t>discontinued</w:t>
      </w:r>
      <w:r w:rsidRPr="00C1427A">
        <w:rPr>
          <w:rFonts w:ascii="Arial" w:hAnsi="Arial" w:cs="Arial"/>
          <w:spacing w:val="-48"/>
          <w:sz w:val="20"/>
          <w:szCs w:val="20"/>
        </w:rPr>
        <w:t xml:space="preserve"> </w:t>
      </w:r>
      <w:r w:rsidRPr="00C1427A">
        <w:rPr>
          <w:rFonts w:ascii="Arial" w:hAnsi="Arial" w:cs="Arial"/>
          <w:sz w:val="20"/>
          <w:szCs w:val="20"/>
        </w:rPr>
        <w:t>skill test and proficiency check, the examiner should provide appropriate advice to assist</w:t>
      </w:r>
      <w:r w:rsidRPr="00C1427A">
        <w:rPr>
          <w:rFonts w:ascii="Arial" w:hAnsi="Arial" w:cs="Arial"/>
          <w:spacing w:val="-48"/>
          <w:sz w:val="20"/>
          <w:szCs w:val="20"/>
        </w:rPr>
        <w:t xml:space="preserve"> </w:t>
      </w:r>
      <w:r w:rsidRPr="00C1427A">
        <w:rPr>
          <w:rFonts w:ascii="Arial" w:hAnsi="Arial" w:cs="Arial"/>
          <w:sz w:val="20"/>
          <w:szCs w:val="20"/>
        </w:rPr>
        <w:t>the</w:t>
      </w:r>
      <w:r w:rsidRPr="00C1427A">
        <w:rPr>
          <w:rFonts w:ascii="Arial" w:hAnsi="Arial" w:cs="Arial"/>
          <w:spacing w:val="-1"/>
          <w:sz w:val="20"/>
          <w:szCs w:val="20"/>
        </w:rPr>
        <w:t xml:space="preserve"> </w:t>
      </w:r>
      <w:r w:rsidRPr="00C1427A">
        <w:rPr>
          <w:rFonts w:ascii="Arial" w:hAnsi="Arial" w:cs="Arial"/>
          <w:sz w:val="20"/>
          <w:szCs w:val="20"/>
        </w:rPr>
        <w:t>applicant in</w:t>
      </w:r>
      <w:r w:rsidRPr="00C1427A">
        <w:rPr>
          <w:rFonts w:ascii="Arial" w:hAnsi="Arial" w:cs="Arial"/>
          <w:spacing w:val="-1"/>
          <w:sz w:val="20"/>
          <w:szCs w:val="20"/>
        </w:rPr>
        <w:t xml:space="preserve"> </w:t>
      </w:r>
      <w:r w:rsidRPr="00C1427A">
        <w:rPr>
          <w:rFonts w:ascii="Arial" w:hAnsi="Arial" w:cs="Arial"/>
          <w:sz w:val="20"/>
          <w:szCs w:val="20"/>
        </w:rPr>
        <w:t>retests</w:t>
      </w:r>
      <w:r w:rsidRPr="00C1427A">
        <w:rPr>
          <w:rFonts w:ascii="Arial" w:hAnsi="Arial" w:cs="Arial"/>
          <w:spacing w:val="-2"/>
          <w:sz w:val="20"/>
          <w:szCs w:val="20"/>
        </w:rPr>
        <w:t xml:space="preserve"> </w:t>
      </w:r>
      <w:r w:rsidRPr="00C1427A">
        <w:rPr>
          <w:rFonts w:ascii="Arial" w:hAnsi="Arial" w:cs="Arial"/>
          <w:sz w:val="20"/>
          <w:szCs w:val="20"/>
        </w:rPr>
        <w:t>or rechecks.</w:t>
      </w:r>
    </w:p>
    <w:p w14:paraId="59B4BDA5" w14:textId="77777777" w:rsidR="00C1427A" w:rsidRPr="00C1427A" w:rsidRDefault="00C1427A" w:rsidP="00D91E6C">
      <w:pPr>
        <w:pStyle w:val="ListParagraph"/>
        <w:numPr>
          <w:ilvl w:val="1"/>
          <w:numId w:val="279"/>
        </w:numPr>
        <w:tabs>
          <w:tab w:val="left" w:pos="1274"/>
        </w:tabs>
        <w:spacing w:before="118"/>
        <w:ind w:right="68"/>
        <w:jc w:val="both"/>
        <w:rPr>
          <w:rFonts w:ascii="Arial" w:hAnsi="Arial" w:cs="Arial"/>
          <w:sz w:val="20"/>
          <w:szCs w:val="20"/>
        </w:rPr>
      </w:pPr>
      <w:r w:rsidRPr="00C1427A">
        <w:rPr>
          <w:rFonts w:ascii="Arial" w:hAnsi="Arial" w:cs="Arial"/>
          <w:sz w:val="20"/>
          <w:szCs w:val="20"/>
        </w:rPr>
        <w:t>Any</w:t>
      </w:r>
      <w:r w:rsidRPr="00C1427A">
        <w:rPr>
          <w:rFonts w:ascii="Arial" w:hAnsi="Arial" w:cs="Arial"/>
          <w:spacing w:val="1"/>
          <w:sz w:val="20"/>
          <w:szCs w:val="20"/>
        </w:rPr>
        <w:t xml:space="preserve"> </w:t>
      </w:r>
      <w:r w:rsidRPr="00C1427A">
        <w:rPr>
          <w:rFonts w:ascii="Arial" w:hAnsi="Arial" w:cs="Arial"/>
          <w:sz w:val="20"/>
          <w:szCs w:val="20"/>
        </w:rPr>
        <w:t>comment on, or disagreement with, an examiner’s test or check evaluation or</w:t>
      </w:r>
      <w:r w:rsidRPr="00C1427A">
        <w:rPr>
          <w:rFonts w:ascii="Arial" w:hAnsi="Arial" w:cs="Arial"/>
          <w:spacing w:val="1"/>
          <w:sz w:val="20"/>
          <w:szCs w:val="20"/>
        </w:rPr>
        <w:t xml:space="preserve"> </w:t>
      </w:r>
      <w:r w:rsidRPr="00C1427A">
        <w:rPr>
          <w:rFonts w:ascii="Arial" w:hAnsi="Arial" w:cs="Arial"/>
          <w:sz w:val="20"/>
          <w:szCs w:val="20"/>
        </w:rPr>
        <w:t>assessment made during a debriefing will be recorded by the examiner on the test or</w:t>
      </w:r>
      <w:r w:rsidRPr="00C1427A">
        <w:rPr>
          <w:rFonts w:ascii="Arial" w:hAnsi="Arial" w:cs="Arial"/>
          <w:spacing w:val="1"/>
          <w:sz w:val="20"/>
          <w:szCs w:val="20"/>
        </w:rPr>
        <w:t xml:space="preserve"> </w:t>
      </w:r>
      <w:r w:rsidRPr="00C1427A">
        <w:rPr>
          <w:rFonts w:ascii="Arial" w:hAnsi="Arial" w:cs="Arial"/>
          <w:sz w:val="20"/>
          <w:szCs w:val="20"/>
        </w:rPr>
        <w:t>check</w:t>
      </w:r>
      <w:r w:rsidRPr="00C1427A">
        <w:rPr>
          <w:rFonts w:ascii="Arial" w:hAnsi="Arial" w:cs="Arial"/>
          <w:spacing w:val="-1"/>
          <w:sz w:val="20"/>
          <w:szCs w:val="20"/>
        </w:rPr>
        <w:t xml:space="preserve"> </w:t>
      </w:r>
      <w:r w:rsidRPr="00C1427A">
        <w:rPr>
          <w:rFonts w:ascii="Arial" w:hAnsi="Arial" w:cs="Arial"/>
          <w:sz w:val="20"/>
          <w:szCs w:val="20"/>
        </w:rPr>
        <w:t>report, and</w:t>
      </w:r>
      <w:r w:rsidRPr="00C1427A">
        <w:rPr>
          <w:rFonts w:ascii="Arial" w:hAnsi="Arial" w:cs="Arial"/>
          <w:spacing w:val="-2"/>
          <w:sz w:val="20"/>
          <w:szCs w:val="20"/>
        </w:rPr>
        <w:t xml:space="preserve"> </w:t>
      </w:r>
      <w:r w:rsidRPr="00C1427A">
        <w:rPr>
          <w:rFonts w:ascii="Arial" w:hAnsi="Arial" w:cs="Arial"/>
          <w:sz w:val="20"/>
          <w:szCs w:val="20"/>
        </w:rPr>
        <w:t>will</w:t>
      </w:r>
      <w:r w:rsidRPr="00C1427A">
        <w:rPr>
          <w:rFonts w:ascii="Arial" w:hAnsi="Arial" w:cs="Arial"/>
          <w:spacing w:val="-3"/>
          <w:sz w:val="20"/>
          <w:szCs w:val="20"/>
        </w:rPr>
        <w:t xml:space="preserve"> </w:t>
      </w:r>
      <w:r w:rsidRPr="00C1427A">
        <w:rPr>
          <w:rFonts w:ascii="Arial" w:hAnsi="Arial" w:cs="Arial"/>
          <w:sz w:val="20"/>
          <w:szCs w:val="20"/>
        </w:rPr>
        <w:t>be</w:t>
      </w:r>
      <w:r w:rsidRPr="00C1427A">
        <w:rPr>
          <w:rFonts w:ascii="Arial" w:hAnsi="Arial" w:cs="Arial"/>
          <w:spacing w:val="-1"/>
          <w:sz w:val="20"/>
          <w:szCs w:val="20"/>
        </w:rPr>
        <w:t xml:space="preserve"> </w:t>
      </w:r>
      <w:r w:rsidRPr="00C1427A">
        <w:rPr>
          <w:rFonts w:ascii="Arial" w:hAnsi="Arial" w:cs="Arial"/>
          <w:sz w:val="20"/>
          <w:szCs w:val="20"/>
        </w:rPr>
        <w:t>signed by</w:t>
      </w:r>
      <w:r w:rsidRPr="00C1427A">
        <w:rPr>
          <w:rFonts w:ascii="Arial" w:hAnsi="Arial" w:cs="Arial"/>
          <w:spacing w:val="-1"/>
          <w:sz w:val="20"/>
          <w:szCs w:val="20"/>
        </w:rPr>
        <w:t xml:space="preserve"> </w:t>
      </w:r>
      <w:r w:rsidRPr="00C1427A">
        <w:rPr>
          <w:rFonts w:ascii="Arial" w:hAnsi="Arial" w:cs="Arial"/>
          <w:sz w:val="20"/>
          <w:szCs w:val="20"/>
        </w:rPr>
        <w:t>the</w:t>
      </w:r>
      <w:r w:rsidRPr="00C1427A">
        <w:rPr>
          <w:rFonts w:ascii="Arial" w:hAnsi="Arial" w:cs="Arial"/>
          <w:spacing w:val="-3"/>
          <w:sz w:val="20"/>
          <w:szCs w:val="20"/>
        </w:rPr>
        <w:t xml:space="preserve"> </w:t>
      </w:r>
      <w:r w:rsidRPr="00C1427A">
        <w:rPr>
          <w:rFonts w:ascii="Arial" w:hAnsi="Arial" w:cs="Arial"/>
          <w:sz w:val="20"/>
          <w:szCs w:val="20"/>
        </w:rPr>
        <w:t>examiner</w:t>
      </w:r>
      <w:r w:rsidRPr="00C1427A">
        <w:rPr>
          <w:rFonts w:ascii="Arial" w:hAnsi="Arial" w:cs="Arial"/>
          <w:spacing w:val="-3"/>
          <w:sz w:val="20"/>
          <w:szCs w:val="20"/>
        </w:rPr>
        <w:t xml:space="preserve"> </w:t>
      </w:r>
      <w:r w:rsidRPr="00C1427A">
        <w:rPr>
          <w:rFonts w:ascii="Arial" w:hAnsi="Arial" w:cs="Arial"/>
          <w:sz w:val="20"/>
          <w:szCs w:val="20"/>
        </w:rPr>
        <w:t>and</w:t>
      </w:r>
      <w:r w:rsidRPr="00C1427A">
        <w:rPr>
          <w:rFonts w:ascii="Arial" w:hAnsi="Arial" w:cs="Arial"/>
          <w:spacing w:val="-3"/>
          <w:sz w:val="20"/>
          <w:szCs w:val="20"/>
        </w:rPr>
        <w:t xml:space="preserve"> </w:t>
      </w:r>
      <w:r w:rsidRPr="00C1427A">
        <w:rPr>
          <w:rFonts w:ascii="Arial" w:hAnsi="Arial" w:cs="Arial"/>
          <w:sz w:val="20"/>
          <w:szCs w:val="20"/>
        </w:rPr>
        <w:t>countersigned</w:t>
      </w:r>
      <w:r w:rsidRPr="00C1427A">
        <w:rPr>
          <w:rFonts w:ascii="Arial" w:hAnsi="Arial" w:cs="Arial"/>
          <w:spacing w:val="-4"/>
          <w:sz w:val="20"/>
          <w:szCs w:val="20"/>
        </w:rPr>
        <w:t xml:space="preserve"> </w:t>
      </w:r>
      <w:r w:rsidRPr="00C1427A">
        <w:rPr>
          <w:rFonts w:ascii="Arial" w:hAnsi="Arial" w:cs="Arial"/>
          <w:sz w:val="20"/>
          <w:szCs w:val="20"/>
        </w:rPr>
        <w:t>by the applicant.</w:t>
      </w:r>
    </w:p>
    <w:p w14:paraId="05DC3B5C" w14:textId="77777777" w:rsidR="00C1427A" w:rsidRPr="00C1427A" w:rsidRDefault="00C1427A" w:rsidP="00D91E6C">
      <w:pPr>
        <w:pStyle w:val="ListParagraph"/>
        <w:numPr>
          <w:ilvl w:val="0"/>
          <w:numId w:val="279"/>
        </w:numPr>
        <w:tabs>
          <w:tab w:val="left" w:pos="707"/>
        </w:tabs>
        <w:spacing w:before="121"/>
        <w:ind w:right="68"/>
        <w:jc w:val="both"/>
        <w:rPr>
          <w:rFonts w:ascii="Arial" w:hAnsi="Arial" w:cs="Arial"/>
          <w:sz w:val="20"/>
          <w:szCs w:val="20"/>
        </w:rPr>
      </w:pPr>
      <w:r w:rsidRPr="00C1427A">
        <w:rPr>
          <w:rFonts w:ascii="Arial" w:hAnsi="Arial" w:cs="Arial"/>
          <w:sz w:val="20"/>
          <w:szCs w:val="20"/>
        </w:rPr>
        <w:t>Examiner</w:t>
      </w:r>
      <w:r w:rsidRPr="00C1427A">
        <w:rPr>
          <w:rFonts w:ascii="Arial" w:hAnsi="Arial" w:cs="Arial"/>
          <w:spacing w:val="-2"/>
          <w:sz w:val="20"/>
          <w:szCs w:val="20"/>
        </w:rPr>
        <w:t xml:space="preserve"> </w:t>
      </w:r>
      <w:r w:rsidRPr="00C1427A">
        <w:rPr>
          <w:rFonts w:ascii="Arial" w:hAnsi="Arial" w:cs="Arial"/>
          <w:sz w:val="20"/>
          <w:szCs w:val="20"/>
        </w:rPr>
        <w:t>preparation</w:t>
      </w:r>
    </w:p>
    <w:p w14:paraId="6CDDF8C8" w14:textId="77777777" w:rsidR="00C1427A" w:rsidRPr="00C1427A" w:rsidRDefault="00C1427A" w:rsidP="00D91E6C">
      <w:pPr>
        <w:pStyle w:val="ListParagraph"/>
        <w:numPr>
          <w:ilvl w:val="1"/>
          <w:numId w:val="279"/>
        </w:numPr>
        <w:tabs>
          <w:tab w:val="left" w:pos="1274"/>
        </w:tabs>
        <w:ind w:right="68"/>
        <w:jc w:val="both"/>
        <w:rPr>
          <w:rFonts w:ascii="Arial" w:hAnsi="Arial" w:cs="Arial"/>
          <w:sz w:val="20"/>
          <w:szCs w:val="20"/>
        </w:rPr>
      </w:pPr>
      <w:r w:rsidRPr="00C1427A">
        <w:rPr>
          <w:rFonts w:ascii="Arial" w:hAnsi="Arial" w:cs="Arial"/>
          <w:spacing w:val="-1"/>
          <w:sz w:val="20"/>
          <w:szCs w:val="20"/>
        </w:rPr>
        <w:t>An</w:t>
      </w:r>
      <w:r w:rsidRPr="00C1427A">
        <w:rPr>
          <w:rFonts w:ascii="Arial" w:hAnsi="Arial" w:cs="Arial"/>
          <w:spacing w:val="-11"/>
          <w:sz w:val="20"/>
          <w:szCs w:val="20"/>
        </w:rPr>
        <w:t xml:space="preserve"> </w:t>
      </w:r>
      <w:r w:rsidRPr="00C1427A">
        <w:rPr>
          <w:rFonts w:ascii="Arial" w:hAnsi="Arial" w:cs="Arial"/>
          <w:spacing w:val="-1"/>
          <w:sz w:val="20"/>
          <w:szCs w:val="20"/>
        </w:rPr>
        <w:t>examiner</w:t>
      </w:r>
      <w:r w:rsidRPr="00C1427A">
        <w:rPr>
          <w:rFonts w:ascii="Arial" w:hAnsi="Arial" w:cs="Arial"/>
          <w:spacing w:val="-11"/>
          <w:sz w:val="20"/>
          <w:szCs w:val="20"/>
        </w:rPr>
        <w:t xml:space="preserve"> </w:t>
      </w:r>
      <w:r w:rsidRPr="00C1427A">
        <w:rPr>
          <w:rFonts w:ascii="Arial" w:hAnsi="Arial" w:cs="Arial"/>
          <w:spacing w:val="-1"/>
          <w:sz w:val="20"/>
          <w:szCs w:val="20"/>
        </w:rPr>
        <w:t>should</w:t>
      </w:r>
      <w:r w:rsidRPr="00C1427A">
        <w:rPr>
          <w:rFonts w:ascii="Arial" w:hAnsi="Arial" w:cs="Arial"/>
          <w:spacing w:val="-10"/>
          <w:sz w:val="20"/>
          <w:szCs w:val="20"/>
        </w:rPr>
        <w:t xml:space="preserve"> </w:t>
      </w:r>
      <w:r w:rsidRPr="00C1427A">
        <w:rPr>
          <w:rFonts w:ascii="Arial" w:hAnsi="Arial" w:cs="Arial"/>
          <w:spacing w:val="-1"/>
          <w:sz w:val="20"/>
          <w:szCs w:val="20"/>
        </w:rPr>
        <w:t>supervise</w:t>
      </w:r>
      <w:r w:rsidRPr="00C1427A">
        <w:rPr>
          <w:rFonts w:ascii="Arial" w:hAnsi="Arial" w:cs="Arial"/>
          <w:spacing w:val="-9"/>
          <w:sz w:val="20"/>
          <w:szCs w:val="20"/>
        </w:rPr>
        <w:t xml:space="preserve"> </w:t>
      </w:r>
      <w:r w:rsidRPr="00C1427A">
        <w:rPr>
          <w:rFonts w:ascii="Arial" w:hAnsi="Arial" w:cs="Arial"/>
          <w:sz w:val="20"/>
          <w:szCs w:val="20"/>
        </w:rPr>
        <w:t>all</w:t>
      </w:r>
      <w:r w:rsidRPr="00C1427A">
        <w:rPr>
          <w:rFonts w:ascii="Arial" w:hAnsi="Arial" w:cs="Arial"/>
          <w:spacing w:val="-10"/>
          <w:sz w:val="20"/>
          <w:szCs w:val="20"/>
        </w:rPr>
        <w:t xml:space="preserve"> </w:t>
      </w:r>
      <w:r w:rsidRPr="00C1427A">
        <w:rPr>
          <w:rFonts w:ascii="Arial" w:hAnsi="Arial" w:cs="Arial"/>
          <w:sz w:val="20"/>
          <w:szCs w:val="20"/>
        </w:rPr>
        <w:t>aspects</w:t>
      </w:r>
      <w:r w:rsidRPr="00C1427A">
        <w:rPr>
          <w:rFonts w:ascii="Arial" w:hAnsi="Arial" w:cs="Arial"/>
          <w:spacing w:val="-12"/>
          <w:sz w:val="20"/>
          <w:szCs w:val="20"/>
        </w:rPr>
        <w:t xml:space="preserve"> </w:t>
      </w:r>
      <w:r w:rsidRPr="00C1427A">
        <w:rPr>
          <w:rFonts w:ascii="Arial" w:hAnsi="Arial" w:cs="Arial"/>
          <w:sz w:val="20"/>
          <w:szCs w:val="20"/>
        </w:rPr>
        <w:t>of</w:t>
      </w:r>
      <w:r w:rsidRPr="00C1427A">
        <w:rPr>
          <w:rFonts w:ascii="Arial" w:hAnsi="Arial" w:cs="Arial"/>
          <w:spacing w:val="-10"/>
          <w:sz w:val="20"/>
          <w:szCs w:val="20"/>
        </w:rPr>
        <w:t xml:space="preserve"> </w:t>
      </w:r>
      <w:r w:rsidRPr="00C1427A">
        <w:rPr>
          <w:rFonts w:ascii="Arial" w:hAnsi="Arial" w:cs="Arial"/>
          <w:sz w:val="20"/>
          <w:szCs w:val="20"/>
        </w:rPr>
        <w:t>the</w:t>
      </w:r>
      <w:r w:rsidRPr="00C1427A">
        <w:rPr>
          <w:rFonts w:ascii="Arial" w:hAnsi="Arial" w:cs="Arial"/>
          <w:spacing w:val="-9"/>
          <w:sz w:val="20"/>
          <w:szCs w:val="20"/>
        </w:rPr>
        <w:t xml:space="preserve"> </w:t>
      </w:r>
      <w:r w:rsidRPr="00C1427A">
        <w:rPr>
          <w:rFonts w:ascii="Arial" w:hAnsi="Arial" w:cs="Arial"/>
          <w:sz w:val="20"/>
          <w:szCs w:val="20"/>
        </w:rPr>
        <w:t>test</w:t>
      </w:r>
      <w:r w:rsidRPr="00C1427A">
        <w:rPr>
          <w:rFonts w:ascii="Arial" w:hAnsi="Arial" w:cs="Arial"/>
          <w:spacing w:val="-11"/>
          <w:sz w:val="20"/>
          <w:szCs w:val="20"/>
        </w:rPr>
        <w:t xml:space="preserve"> </w:t>
      </w:r>
      <w:r w:rsidRPr="00C1427A">
        <w:rPr>
          <w:rFonts w:ascii="Arial" w:hAnsi="Arial" w:cs="Arial"/>
          <w:sz w:val="20"/>
          <w:szCs w:val="20"/>
        </w:rPr>
        <w:t>or</w:t>
      </w:r>
      <w:r w:rsidRPr="00C1427A">
        <w:rPr>
          <w:rFonts w:ascii="Arial" w:hAnsi="Arial" w:cs="Arial"/>
          <w:spacing w:val="-14"/>
          <w:sz w:val="20"/>
          <w:szCs w:val="20"/>
        </w:rPr>
        <w:t xml:space="preserve"> </w:t>
      </w:r>
      <w:r w:rsidRPr="00C1427A">
        <w:rPr>
          <w:rFonts w:ascii="Arial" w:hAnsi="Arial" w:cs="Arial"/>
          <w:sz w:val="20"/>
          <w:szCs w:val="20"/>
        </w:rPr>
        <w:t>check</w:t>
      </w:r>
      <w:r w:rsidRPr="00C1427A">
        <w:rPr>
          <w:rFonts w:ascii="Arial" w:hAnsi="Arial" w:cs="Arial"/>
          <w:spacing w:val="-9"/>
          <w:sz w:val="20"/>
          <w:szCs w:val="20"/>
        </w:rPr>
        <w:t xml:space="preserve"> </w:t>
      </w:r>
      <w:r w:rsidRPr="00C1427A">
        <w:rPr>
          <w:rFonts w:ascii="Arial" w:hAnsi="Arial" w:cs="Arial"/>
          <w:sz w:val="20"/>
          <w:szCs w:val="20"/>
        </w:rPr>
        <w:t>flight</w:t>
      </w:r>
      <w:r w:rsidRPr="00C1427A">
        <w:rPr>
          <w:rFonts w:ascii="Arial" w:hAnsi="Arial" w:cs="Arial"/>
          <w:spacing w:val="-11"/>
          <w:sz w:val="20"/>
          <w:szCs w:val="20"/>
        </w:rPr>
        <w:t xml:space="preserve"> </w:t>
      </w:r>
      <w:r w:rsidRPr="00C1427A">
        <w:rPr>
          <w:rFonts w:ascii="Arial" w:hAnsi="Arial" w:cs="Arial"/>
          <w:sz w:val="20"/>
          <w:szCs w:val="20"/>
        </w:rPr>
        <w:t>preparation,</w:t>
      </w:r>
      <w:r w:rsidRPr="00C1427A">
        <w:rPr>
          <w:rFonts w:ascii="Arial" w:hAnsi="Arial" w:cs="Arial"/>
          <w:spacing w:val="-9"/>
          <w:sz w:val="20"/>
          <w:szCs w:val="20"/>
        </w:rPr>
        <w:t xml:space="preserve"> </w:t>
      </w:r>
      <w:r w:rsidRPr="00C1427A">
        <w:rPr>
          <w:rFonts w:ascii="Arial" w:hAnsi="Arial" w:cs="Arial"/>
          <w:sz w:val="20"/>
          <w:szCs w:val="20"/>
        </w:rPr>
        <w:t>including,</w:t>
      </w:r>
      <w:r w:rsidRPr="00C1427A">
        <w:rPr>
          <w:rFonts w:ascii="Arial" w:hAnsi="Arial" w:cs="Arial"/>
          <w:spacing w:val="-47"/>
          <w:sz w:val="20"/>
          <w:szCs w:val="20"/>
        </w:rPr>
        <w:t xml:space="preserve"> </w:t>
      </w:r>
      <w:r w:rsidRPr="00C1427A">
        <w:rPr>
          <w:rFonts w:ascii="Arial" w:hAnsi="Arial" w:cs="Arial"/>
          <w:sz w:val="20"/>
          <w:szCs w:val="20"/>
        </w:rPr>
        <w:t>where</w:t>
      </w:r>
      <w:r w:rsidRPr="00C1427A">
        <w:rPr>
          <w:rFonts w:ascii="Arial" w:hAnsi="Arial" w:cs="Arial"/>
          <w:spacing w:val="-1"/>
          <w:sz w:val="20"/>
          <w:szCs w:val="20"/>
        </w:rPr>
        <w:t xml:space="preserve"> </w:t>
      </w:r>
      <w:r w:rsidRPr="00C1427A">
        <w:rPr>
          <w:rFonts w:ascii="Arial" w:hAnsi="Arial" w:cs="Arial"/>
          <w:sz w:val="20"/>
          <w:szCs w:val="20"/>
        </w:rPr>
        <w:t>necessary,</w:t>
      </w:r>
      <w:r w:rsidRPr="00C1427A">
        <w:rPr>
          <w:rFonts w:ascii="Arial" w:hAnsi="Arial" w:cs="Arial"/>
          <w:spacing w:val="-2"/>
          <w:sz w:val="20"/>
          <w:szCs w:val="20"/>
        </w:rPr>
        <w:t xml:space="preserve"> </w:t>
      </w:r>
      <w:r w:rsidRPr="00C1427A">
        <w:rPr>
          <w:rFonts w:ascii="Arial" w:hAnsi="Arial" w:cs="Arial"/>
          <w:sz w:val="20"/>
          <w:szCs w:val="20"/>
        </w:rPr>
        <w:t>obtaining</w:t>
      </w:r>
      <w:r w:rsidRPr="00C1427A">
        <w:rPr>
          <w:rFonts w:ascii="Arial" w:hAnsi="Arial" w:cs="Arial"/>
          <w:spacing w:val="-3"/>
          <w:sz w:val="20"/>
          <w:szCs w:val="20"/>
        </w:rPr>
        <w:t xml:space="preserve"> </w:t>
      </w:r>
      <w:r w:rsidRPr="00C1427A">
        <w:rPr>
          <w:rFonts w:ascii="Arial" w:hAnsi="Arial" w:cs="Arial"/>
          <w:sz w:val="20"/>
          <w:szCs w:val="20"/>
        </w:rPr>
        <w:t>or assuring</w:t>
      </w:r>
      <w:r w:rsidRPr="00C1427A">
        <w:rPr>
          <w:rFonts w:ascii="Arial" w:hAnsi="Arial" w:cs="Arial"/>
          <w:spacing w:val="-1"/>
          <w:sz w:val="20"/>
          <w:szCs w:val="20"/>
        </w:rPr>
        <w:t xml:space="preserve"> </w:t>
      </w:r>
      <w:r w:rsidRPr="00C1427A">
        <w:rPr>
          <w:rFonts w:ascii="Arial" w:hAnsi="Arial" w:cs="Arial"/>
          <w:sz w:val="20"/>
          <w:szCs w:val="20"/>
        </w:rPr>
        <w:t>an ATC</w:t>
      </w:r>
      <w:r w:rsidRPr="00C1427A">
        <w:rPr>
          <w:rFonts w:ascii="Arial" w:hAnsi="Arial" w:cs="Arial"/>
          <w:spacing w:val="-2"/>
          <w:sz w:val="20"/>
          <w:szCs w:val="20"/>
        </w:rPr>
        <w:t xml:space="preserve"> </w:t>
      </w:r>
      <w:r w:rsidRPr="00C1427A">
        <w:rPr>
          <w:rFonts w:ascii="Arial" w:hAnsi="Arial" w:cs="Arial"/>
          <w:sz w:val="20"/>
          <w:szCs w:val="20"/>
        </w:rPr>
        <w:t>clearance/liaison.</w:t>
      </w:r>
    </w:p>
    <w:p w14:paraId="1A9E11FC" w14:textId="77777777" w:rsidR="00C1427A" w:rsidRPr="00C1427A" w:rsidRDefault="00C1427A" w:rsidP="00D91E6C">
      <w:pPr>
        <w:pStyle w:val="ListParagraph"/>
        <w:numPr>
          <w:ilvl w:val="1"/>
          <w:numId w:val="279"/>
        </w:numPr>
        <w:tabs>
          <w:tab w:val="left" w:pos="1274"/>
        </w:tabs>
        <w:spacing w:before="121"/>
        <w:ind w:right="68"/>
        <w:jc w:val="both"/>
        <w:rPr>
          <w:rFonts w:ascii="Arial" w:hAnsi="Arial" w:cs="Arial"/>
          <w:sz w:val="20"/>
          <w:szCs w:val="20"/>
        </w:rPr>
      </w:pPr>
      <w:r w:rsidRPr="00C1427A">
        <w:rPr>
          <w:rFonts w:ascii="Arial" w:hAnsi="Arial" w:cs="Arial"/>
          <w:sz w:val="20"/>
          <w:szCs w:val="20"/>
        </w:rPr>
        <w:t>An examiner will plan a test or check in accordance with the Part-BFCL requirements.</w:t>
      </w:r>
      <w:r w:rsidRPr="00C1427A">
        <w:rPr>
          <w:rFonts w:ascii="Arial" w:hAnsi="Arial" w:cs="Arial"/>
          <w:spacing w:val="1"/>
          <w:sz w:val="20"/>
          <w:szCs w:val="20"/>
        </w:rPr>
        <w:t xml:space="preserve"> </w:t>
      </w:r>
      <w:r w:rsidRPr="00C1427A">
        <w:rPr>
          <w:rFonts w:ascii="Arial" w:hAnsi="Arial" w:cs="Arial"/>
          <w:sz w:val="20"/>
          <w:szCs w:val="20"/>
        </w:rPr>
        <w:t>Only the manoeuvres and procedures set out in the appropriate test or check form will</w:t>
      </w:r>
      <w:r w:rsidRPr="00C1427A">
        <w:rPr>
          <w:rFonts w:ascii="Arial" w:hAnsi="Arial" w:cs="Arial"/>
          <w:spacing w:val="1"/>
          <w:sz w:val="20"/>
          <w:szCs w:val="20"/>
        </w:rPr>
        <w:t xml:space="preserve"> </w:t>
      </w:r>
      <w:r w:rsidRPr="00C1427A">
        <w:rPr>
          <w:rFonts w:ascii="Arial" w:hAnsi="Arial" w:cs="Arial"/>
          <w:sz w:val="20"/>
          <w:szCs w:val="20"/>
        </w:rPr>
        <w:t>be</w:t>
      </w:r>
      <w:r w:rsidRPr="00C1427A">
        <w:rPr>
          <w:rFonts w:ascii="Arial" w:hAnsi="Arial" w:cs="Arial"/>
          <w:spacing w:val="-3"/>
          <w:sz w:val="20"/>
          <w:szCs w:val="20"/>
        </w:rPr>
        <w:t xml:space="preserve"> </w:t>
      </w:r>
      <w:r w:rsidRPr="00C1427A">
        <w:rPr>
          <w:rFonts w:ascii="Arial" w:hAnsi="Arial" w:cs="Arial"/>
          <w:sz w:val="20"/>
          <w:szCs w:val="20"/>
        </w:rPr>
        <w:t>undertaken.</w:t>
      </w:r>
      <w:r w:rsidRPr="00C1427A">
        <w:rPr>
          <w:rFonts w:ascii="Arial" w:hAnsi="Arial" w:cs="Arial"/>
          <w:spacing w:val="-4"/>
          <w:sz w:val="20"/>
          <w:szCs w:val="20"/>
        </w:rPr>
        <w:t xml:space="preserve"> </w:t>
      </w:r>
      <w:r w:rsidRPr="00C1427A">
        <w:rPr>
          <w:rFonts w:ascii="Arial" w:hAnsi="Arial" w:cs="Arial"/>
          <w:sz w:val="20"/>
          <w:szCs w:val="20"/>
        </w:rPr>
        <w:t>The</w:t>
      </w:r>
      <w:r w:rsidRPr="00C1427A">
        <w:rPr>
          <w:rFonts w:ascii="Arial" w:hAnsi="Arial" w:cs="Arial"/>
          <w:spacing w:val="-3"/>
          <w:sz w:val="20"/>
          <w:szCs w:val="20"/>
        </w:rPr>
        <w:t xml:space="preserve"> </w:t>
      </w:r>
      <w:r w:rsidRPr="00C1427A">
        <w:rPr>
          <w:rFonts w:ascii="Arial" w:hAnsi="Arial" w:cs="Arial"/>
          <w:sz w:val="20"/>
          <w:szCs w:val="20"/>
        </w:rPr>
        <w:t>same</w:t>
      </w:r>
      <w:r w:rsidRPr="00C1427A">
        <w:rPr>
          <w:rFonts w:ascii="Arial" w:hAnsi="Arial" w:cs="Arial"/>
          <w:spacing w:val="-3"/>
          <w:sz w:val="20"/>
          <w:szCs w:val="20"/>
        </w:rPr>
        <w:t xml:space="preserve"> </w:t>
      </w:r>
      <w:r w:rsidRPr="00C1427A">
        <w:rPr>
          <w:rFonts w:ascii="Arial" w:hAnsi="Arial" w:cs="Arial"/>
          <w:sz w:val="20"/>
          <w:szCs w:val="20"/>
        </w:rPr>
        <w:t>examiner</w:t>
      </w:r>
      <w:r w:rsidRPr="00C1427A">
        <w:rPr>
          <w:rFonts w:ascii="Arial" w:hAnsi="Arial" w:cs="Arial"/>
          <w:spacing w:val="-3"/>
          <w:sz w:val="20"/>
          <w:szCs w:val="20"/>
        </w:rPr>
        <w:t xml:space="preserve"> </w:t>
      </w:r>
      <w:r w:rsidRPr="00C1427A">
        <w:rPr>
          <w:rFonts w:ascii="Arial" w:hAnsi="Arial" w:cs="Arial"/>
          <w:sz w:val="20"/>
          <w:szCs w:val="20"/>
        </w:rPr>
        <w:t>should</w:t>
      </w:r>
      <w:r w:rsidRPr="00C1427A">
        <w:rPr>
          <w:rFonts w:ascii="Arial" w:hAnsi="Arial" w:cs="Arial"/>
          <w:spacing w:val="-3"/>
          <w:sz w:val="20"/>
          <w:szCs w:val="20"/>
        </w:rPr>
        <w:t xml:space="preserve"> </w:t>
      </w:r>
      <w:r w:rsidRPr="00C1427A">
        <w:rPr>
          <w:rFonts w:ascii="Arial" w:hAnsi="Arial" w:cs="Arial"/>
          <w:sz w:val="20"/>
          <w:szCs w:val="20"/>
        </w:rPr>
        <w:t>not</w:t>
      </w:r>
      <w:r w:rsidRPr="00C1427A">
        <w:rPr>
          <w:rFonts w:ascii="Arial" w:hAnsi="Arial" w:cs="Arial"/>
          <w:spacing w:val="-3"/>
          <w:sz w:val="20"/>
          <w:szCs w:val="20"/>
        </w:rPr>
        <w:t xml:space="preserve"> </w:t>
      </w:r>
      <w:r w:rsidRPr="00C1427A">
        <w:rPr>
          <w:rFonts w:ascii="Arial" w:hAnsi="Arial" w:cs="Arial"/>
          <w:sz w:val="20"/>
          <w:szCs w:val="20"/>
        </w:rPr>
        <w:t>re-examine</w:t>
      </w:r>
      <w:r w:rsidRPr="00C1427A">
        <w:rPr>
          <w:rFonts w:ascii="Arial" w:hAnsi="Arial" w:cs="Arial"/>
          <w:spacing w:val="-3"/>
          <w:sz w:val="20"/>
          <w:szCs w:val="20"/>
        </w:rPr>
        <w:t xml:space="preserve"> </w:t>
      </w:r>
      <w:r w:rsidRPr="00C1427A">
        <w:rPr>
          <w:rFonts w:ascii="Arial" w:hAnsi="Arial" w:cs="Arial"/>
          <w:sz w:val="20"/>
          <w:szCs w:val="20"/>
        </w:rPr>
        <w:t>a</w:t>
      </w:r>
      <w:r w:rsidRPr="00C1427A">
        <w:rPr>
          <w:rFonts w:ascii="Arial" w:hAnsi="Arial" w:cs="Arial"/>
          <w:spacing w:val="-3"/>
          <w:sz w:val="20"/>
          <w:szCs w:val="20"/>
        </w:rPr>
        <w:t xml:space="preserve"> </w:t>
      </w:r>
      <w:r w:rsidRPr="00C1427A">
        <w:rPr>
          <w:rFonts w:ascii="Arial" w:hAnsi="Arial" w:cs="Arial"/>
          <w:sz w:val="20"/>
          <w:szCs w:val="20"/>
        </w:rPr>
        <w:t>failed</w:t>
      </w:r>
      <w:r w:rsidRPr="00C1427A">
        <w:rPr>
          <w:rFonts w:ascii="Arial" w:hAnsi="Arial" w:cs="Arial"/>
          <w:spacing w:val="-4"/>
          <w:sz w:val="20"/>
          <w:szCs w:val="20"/>
        </w:rPr>
        <w:t xml:space="preserve"> </w:t>
      </w:r>
      <w:r w:rsidRPr="00C1427A">
        <w:rPr>
          <w:rFonts w:ascii="Arial" w:hAnsi="Arial" w:cs="Arial"/>
          <w:sz w:val="20"/>
          <w:szCs w:val="20"/>
        </w:rPr>
        <w:t>applicant</w:t>
      </w:r>
      <w:r w:rsidRPr="00C1427A">
        <w:rPr>
          <w:rFonts w:ascii="Arial" w:hAnsi="Arial" w:cs="Arial"/>
          <w:spacing w:val="-4"/>
          <w:sz w:val="20"/>
          <w:szCs w:val="20"/>
        </w:rPr>
        <w:t xml:space="preserve"> </w:t>
      </w:r>
      <w:r w:rsidRPr="00C1427A">
        <w:rPr>
          <w:rFonts w:ascii="Arial" w:hAnsi="Arial" w:cs="Arial"/>
          <w:sz w:val="20"/>
          <w:szCs w:val="20"/>
        </w:rPr>
        <w:t>without</w:t>
      </w:r>
      <w:r w:rsidRPr="00C1427A">
        <w:rPr>
          <w:rFonts w:ascii="Arial" w:hAnsi="Arial" w:cs="Arial"/>
          <w:spacing w:val="-3"/>
          <w:sz w:val="20"/>
          <w:szCs w:val="20"/>
        </w:rPr>
        <w:t xml:space="preserve"> </w:t>
      </w:r>
      <w:r w:rsidRPr="00C1427A">
        <w:rPr>
          <w:rFonts w:ascii="Arial" w:hAnsi="Arial" w:cs="Arial"/>
          <w:sz w:val="20"/>
          <w:szCs w:val="20"/>
        </w:rPr>
        <w:t>the</w:t>
      </w:r>
      <w:r w:rsidRPr="00C1427A">
        <w:rPr>
          <w:rFonts w:ascii="Arial" w:hAnsi="Arial" w:cs="Arial"/>
          <w:spacing w:val="-48"/>
          <w:sz w:val="20"/>
          <w:szCs w:val="20"/>
        </w:rPr>
        <w:t xml:space="preserve"> </w:t>
      </w:r>
      <w:r w:rsidRPr="00C1427A">
        <w:rPr>
          <w:rFonts w:ascii="Arial" w:hAnsi="Arial" w:cs="Arial"/>
          <w:sz w:val="20"/>
          <w:szCs w:val="20"/>
        </w:rPr>
        <w:t>agreement</w:t>
      </w:r>
      <w:r w:rsidRPr="00C1427A">
        <w:rPr>
          <w:rFonts w:ascii="Arial" w:hAnsi="Arial" w:cs="Arial"/>
          <w:spacing w:val="-2"/>
          <w:sz w:val="20"/>
          <w:szCs w:val="20"/>
        </w:rPr>
        <w:t xml:space="preserve"> </w:t>
      </w:r>
      <w:r w:rsidRPr="00C1427A">
        <w:rPr>
          <w:rFonts w:ascii="Arial" w:hAnsi="Arial" w:cs="Arial"/>
          <w:sz w:val="20"/>
          <w:szCs w:val="20"/>
        </w:rPr>
        <w:t>of</w:t>
      </w:r>
      <w:r w:rsidRPr="00C1427A">
        <w:rPr>
          <w:rFonts w:ascii="Arial" w:hAnsi="Arial" w:cs="Arial"/>
          <w:spacing w:val="-2"/>
          <w:sz w:val="20"/>
          <w:szCs w:val="20"/>
        </w:rPr>
        <w:t xml:space="preserve"> </w:t>
      </w:r>
      <w:r w:rsidRPr="00C1427A">
        <w:rPr>
          <w:rFonts w:ascii="Arial" w:hAnsi="Arial" w:cs="Arial"/>
          <w:sz w:val="20"/>
          <w:szCs w:val="20"/>
        </w:rPr>
        <w:t>the applicant.</w:t>
      </w:r>
    </w:p>
    <w:p w14:paraId="3D24B7CE" w14:textId="77777777" w:rsidR="00C1427A" w:rsidRPr="00C1427A" w:rsidRDefault="00C1427A" w:rsidP="00D91E6C">
      <w:pPr>
        <w:pStyle w:val="ListParagraph"/>
        <w:numPr>
          <w:ilvl w:val="0"/>
          <w:numId w:val="279"/>
        </w:numPr>
        <w:tabs>
          <w:tab w:val="left" w:pos="707"/>
        </w:tabs>
        <w:spacing w:before="119"/>
        <w:ind w:right="68"/>
        <w:jc w:val="both"/>
        <w:rPr>
          <w:rFonts w:ascii="Arial" w:hAnsi="Arial" w:cs="Arial"/>
          <w:sz w:val="20"/>
          <w:szCs w:val="20"/>
        </w:rPr>
      </w:pPr>
      <w:r w:rsidRPr="00C1427A">
        <w:rPr>
          <w:rFonts w:ascii="Arial" w:hAnsi="Arial" w:cs="Arial"/>
          <w:sz w:val="20"/>
          <w:szCs w:val="20"/>
        </w:rPr>
        <w:t>Examiner</w:t>
      </w:r>
      <w:r w:rsidRPr="00C1427A">
        <w:rPr>
          <w:rFonts w:ascii="Arial" w:hAnsi="Arial" w:cs="Arial"/>
          <w:spacing w:val="-2"/>
          <w:sz w:val="20"/>
          <w:szCs w:val="20"/>
        </w:rPr>
        <w:t xml:space="preserve"> </w:t>
      </w:r>
      <w:r w:rsidRPr="00C1427A">
        <w:rPr>
          <w:rFonts w:ascii="Arial" w:hAnsi="Arial" w:cs="Arial"/>
          <w:sz w:val="20"/>
          <w:szCs w:val="20"/>
        </w:rPr>
        <w:t>approach</w:t>
      </w:r>
    </w:p>
    <w:p w14:paraId="44AC29B6" w14:textId="77777777" w:rsidR="00C1427A" w:rsidRPr="00C1427A" w:rsidRDefault="00C1427A" w:rsidP="00D91E6C">
      <w:pPr>
        <w:pStyle w:val="BodyText"/>
        <w:ind w:left="706" w:right="68"/>
        <w:jc w:val="both"/>
        <w:rPr>
          <w:rFonts w:ascii="Arial" w:hAnsi="Arial" w:cs="Arial"/>
          <w:sz w:val="20"/>
          <w:szCs w:val="20"/>
        </w:rPr>
      </w:pPr>
      <w:r w:rsidRPr="00C1427A">
        <w:rPr>
          <w:rFonts w:ascii="Arial" w:hAnsi="Arial" w:cs="Arial"/>
          <w:sz w:val="20"/>
          <w:szCs w:val="20"/>
        </w:rPr>
        <w:t>An</w:t>
      </w:r>
      <w:r w:rsidRPr="00C1427A">
        <w:rPr>
          <w:rFonts w:ascii="Arial" w:hAnsi="Arial" w:cs="Arial"/>
          <w:spacing w:val="-10"/>
          <w:sz w:val="20"/>
          <w:szCs w:val="20"/>
        </w:rPr>
        <w:t xml:space="preserve"> </w:t>
      </w:r>
      <w:r w:rsidRPr="00C1427A">
        <w:rPr>
          <w:rFonts w:ascii="Arial" w:hAnsi="Arial" w:cs="Arial"/>
          <w:sz w:val="20"/>
          <w:szCs w:val="20"/>
        </w:rPr>
        <w:t>examiner</w:t>
      </w:r>
      <w:r w:rsidRPr="00C1427A">
        <w:rPr>
          <w:rFonts w:ascii="Arial" w:hAnsi="Arial" w:cs="Arial"/>
          <w:spacing w:val="-10"/>
          <w:sz w:val="20"/>
          <w:szCs w:val="20"/>
        </w:rPr>
        <w:t xml:space="preserve"> </w:t>
      </w:r>
      <w:r w:rsidRPr="00C1427A">
        <w:rPr>
          <w:rFonts w:ascii="Arial" w:hAnsi="Arial" w:cs="Arial"/>
          <w:sz w:val="20"/>
          <w:szCs w:val="20"/>
        </w:rPr>
        <w:t>should</w:t>
      </w:r>
      <w:r w:rsidRPr="00C1427A">
        <w:rPr>
          <w:rFonts w:ascii="Arial" w:hAnsi="Arial" w:cs="Arial"/>
          <w:spacing w:val="-12"/>
          <w:sz w:val="20"/>
          <w:szCs w:val="20"/>
        </w:rPr>
        <w:t xml:space="preserve"> </w:t>
      </w:r>
      <w:r w:rsidRPr="00C1427A">
        <w:rPr>
          <w:rFonts w:ascii="Arial" w:hAnsi="Arial" w:cs="Arial"/>
          <w:sz w:val="20"/>
          <w:szCs w:val="20"/>
        </w:rPr>
        <w:t>encourage</w:t>
      </w:r>
      <w:r w:rsidRPr="00C1427A">
        <w:rPr>
          <w:rFonts w:ascii="Arial" w:hAnsi="Arial" w:cs="Arial"/>
          <w:spacing w:val="-7"/>
          <w:sz w:val="20"/>
          <w:szCs w:val="20"/>
        </w:rPr>
        <w:t xml:space="preserve"> </w:t>
      </w:r>
      <w:r w:rsidRPr="00C1427A">
        <w:rPr>
          <w:rFonts w:ascii="Arial" w:hAnsi="Arial" w:cs="Arial"/>
          <w:sz w:val="20"/>
          <w:szCs w:val="20"/>
        </w:rPr>
        <w:t>a</w:t>
      </w:r>
      <w:r w:rsidRPr="00C1427A">
        <w:rPr>
          <w:rFonts w:ascii="Arial" w:hAnsi="Arial" w:cs="Arial"/>
          <w:spacing w:val="-11"/>
          <w:sz w:val="20"/>
          <w:szCs w:val="20"/>
        </w:rPr>
        <w:t xml:space="preserve"> </w:t>
      </w:r>
      <w:r w:rsidRPr="00C1427A">
        <w:rPr>
          <w:rFonts w:ascii="Arial" w:hAnsi="Arial" w:cs="Arial"/>
          <w:sz w:val="20"/>
          <w:szCs w:val="20"/>
        </w:rPr>
        <w:t>friendly</w:t>
      </w:r>
      <w:r w:rsidRPr="00C1427A">
        <w:rPr>
          <w:rFonts w:ascii="Arial" w:hAnsi="Arial" w:cs="Arial"/>
          <w:spacing w:val="-10"/>
          <w:sz w:val="20"/>
          <w:szCs w:val="20"/>
        </w:rPr>
        <w:t xml:space="preserve"> </w:t>
      </w:r>
      <w:r w:rsidRPr="00C1427A">
        <w:rPr>
          <w:rFonts w:ascii="Arial" w:hAnsi="Arial" w:cs="Arial"/>
          <w:sz w:val="20"/>
          <w:szCs w:val="20"/>
        </w:rPr>
        <w:t>and</w:t>
      </w:r>
      <w:r w:rsidRPr="00C1427A">
        <w:rPr>
          <w:rFonts w:ascii="Arial" w:hAnsi="Arial" w:cs="Arial"/>
          <w:spacing w:val="-9"/>
          <w:sz w:val="20"/>
          <w:szCs w:val="20"/>
        </w:rPr>
        <w:t xml:space="preserve"> </w:t>
      </w:r>
      <w:r w:rsidRPr="00C1427A">
        <w:rPr>
          <w:rFonts w:ascii="Arial" w:hAnsi="Arial" w:cs="Arial"/>
          <w:sz w:val="20"/>
          <w:szCs w:val="20"/>
        </w:rPr>
        <w:t>relaxed</w:t>
      </w:r>
      <w:r w:rsidRPr="00C1427A">
        <w:rPr>
          <w:rFonts w:ascii="Arial" w:hAnsi="Arial" w:cs="Arial"/>
          <w:spacing w:val="-11"/>
          <w:sz w:val="20"/>
          <w:szCs w:val="20"/>
        </w:rPr>
        <w:t xml:space="preserve"> </w:t>
      </w:r>
      <w:r w:rsidRPr="00C1427A">
        <w:rPr>
          <w:rFonts w:ascii="Arial" w:hAnsi="Arial" w:cs="Arial"/>
          <w:sz w:val="20"/>
          <w:szCs w:val="20"/>
        </w:rPr>
        <w:t>atmosphere</w:t>
      </w:r>
      <w:r w:rsidRPr="00C1427A">
        <w:rPr>
          <w:rFonts w:ascii="Arial" w:hAnsi="Arial" w:cs="Arial"/>
          <w:spacing w:val="-10"/>
          <w:sz w:val="20"/>
          <w:szCs w:val="20"/>
        </w:rPr>
        <w:t xml:space="preserve"> </w:t>
      </w:r>
      <w:r w:rsidRPr="00C1427A">
        <w:rPr>
          <w:rFonts w:ascii="Arial" w:hAnsi="Arial" w:cs="Arial"/>
          <w:sz w:val="20"/>
          <w:szCs w:val="20"/>
        </w:rPr>
        <w:t>both</w:t>
      </w:r>
      <w:r w:rsidRPr="00C1427A">
        <w:rPr>
          <w:rFonts w:ascii="Arial" w:hAnsi="Arial" w:cs="Arial"/>
          <w:spacing w:val="-8"/>
          <w:sz w:val="20"/>
          <w:szCs w:val="20"/>
        </w:rPr>
        <w:t xml:space="preserve"> </w:t>
      </w:r>
      <w:r w:rsidRPr="00C1427A">
        <w:rPr>
          <w:rFonts w:ascii="Arial" w:hAnsi="Arial" w:cs="Arial"/>
          <w:sz w:val="20"/>
          <w:szCs w:val="20"/>
        </w:rPr>
        <w:t>before</w:t>
      </w:r>
      <w:r w:rsidRPr="00C1427A">
        <w:rPr>
          <w:rFonts w:ascii="Arial" w:hAnsi="Arial" w:cs="Arial"/>
          <w:spacing w:val="-8"/>
          <w:sz w:val="20"/>
          <w:szCs w:val="20"/>
        </w:rPr>
        <w:t xml:space="preserve"> </w:t>
      </w:r>
      <w:r w:rsidRPr="00C1427A">
        <w:rPr>
          <w:rFonts w:ascii="Arial" w:hAnsi="Arial" w:cs="Arial"/>
          <w:sz w:val="20"/>
          <w:szCs w:val="20"/>
        </w:rPr>
        <w:t>and</w:t>
      </w:r>
      <w:r w:rsidRPr="00C1427A">
        <w:rPr>
          <w:rFonts w:ascii="Arial" w:hAnsi="Arial" w:cs="Arial"/>
          <w:spacing w:val="-11"/>
          <w:sz w:val="20"/>
          <w:szCs w:val="20"/>
        </w:rPr>
        <w:t xml:space="preserve"> </w:t>
      </w:r>
      <w:r w:rsidRPr="00C1427A">
        <w:rPr>
          <w:rFonts w:ascii="Arial" w:hAnsi="Arial" w:cs="Arial"/>
          <w:sz w:val="20"/>
          <w:szCs w:val="20"/>
        </w:rPr>
        <w:t>during</w:t>
      </w:r>
      <w:r w:rsidRPr="00C1427A">
        <w:rPr>
          <w:rFonts w:ascii="Arial" w:hAnsi="Arial" w:cs="Arial"/>
          <w:spacing w:val="-9"/>
          <w:sz w:val="20"/>
          <w:szCs w:val="20"/>
        </w:rPr>
        <w:t xml:space="preserve"> </w:t>
      </w:r>
      <w:r w:rsidRPr="00C1427A">
        <w:rPr>
          <w:rFonts w:ascii="Arial" w:hAnsi="Arial" w:cs="Arial"/>
          <w:sz w:val="20"/>
          <w:szCs w:val="20"/>
        </w:rPr>
        <w:t>a</w:t>
      </w:r>
      <w:r w:rsidRPr="00C1427A">
        <w:rPr>
          <w:rFonts w:ascii="Arial" w:hAnsi="Arial" w:cs="Arial"/>
          <w:spacing w:val="-11"/>
          <w:sz w:val="20"/>
          <w:szCs w:val="20"/>
        </w:rPr>
        <w:t xml:space="preserve"> </w:t>
      </w:r>
      <w:r w:rsidRPr="00C1427A">
        <w:rPr>
          <w:rFonts w:ascii="Arial" w:hAnsi="Arial" w:cs="Arial"/>
          <w:sz w:val="20"/>
          <w:szCs w:val="20"/>
        </w:rPr>
        <w:t>test</w:t>
      </w:r>
      <w:r w:rsidRPr="00C1427A">
        <w:rPr>
          <w:rFonts w:ascii="Arial" w:hAnsi="Arial" w:cs="Arial"/>
          <w:spacing w:val="-47"/>
          <w:sz w:val="20"/>
          <w:szCs w:val="20"/>
        </w:rPr>
        <w:t xml:space="preserve"> </w:t>
      </w:r>
      <w:r w:rsidRPr="00C1427A">
        <w:rPr>
          <w:rFonts w:ascii="Arial" w:hAnsi="Arial" w:cs="Arial"/>
          <w:sz w:val="20"/>
          <w:szCs w:val="20"/>
        </w:rPr>
        <w:t>or check flight. A negative or hostile approach should not be used. During the test or check</w:t>
      </w:r>
      <w:r w:rsidRPr="00C1427A">
        <w:rPr>
          <w:rFonts w:ascii="Arial" w:hAnsi="Arial" w:cs="Arial"/>
          <w:spacing w:val="1"/>
          <w:sz w:val="20"/>
          <w:szCs w:val="20"/>
        </w:rPr>
        <w:t xml:space="preserve"> </w:t>
      </w:r>
      <w:r w:rsidRPr="00C1427A">
        <w:rPr>
          <w:rFonts w:ascii="Arial" w:hAnsi="Arial" w:cs="Arial"/>
          <w:sz w:val="20"/>
          <w:szCs w:val="20"/>
        </w:rPr>
        <w:t>flight, the examiner should avoid negative comments or criticisms, and all assessments should</w:t>
      </w:r>
      <w:r w:rsidRPr="00C1427A">
        <w:rPr>
          <w:rFonts w:ascii="Arial" w:hAnsi="Arial" w:cs="Arial"/>
          <w:spacing w:val="1"/>
          <w:sz w:val="20"/>
          <w:szCs w:val="20"/>
        </w:rPr>
        <w:t xml:space="preserve"> </w:t>
      </w:r>
      <w:r w:rsidRPr="00C1427A">
        <w:rPr>
          <w:rFonts w:ascii="Arial" w:hAnsi="Arial" w:cs="Arial"/>
          <w:sz w:val="20"/>
          <w:szCs w:val="20"/>
        </w:rPr>
        <w:t>be reserved</w:t>
      </w:r>
      <w:r w:rsidRPr="00C1427A">
        <w:rPr>
          <w:rFonts w:ascii="Arial" w:hAnsi="Arial" w:cs="Arial"/>
          <w:spacing w:val="-3"/>
          <w:sz w:val="20"/>
          <w:szCs w:val="20"/>
        </w:rPr>
        <w:t xml:space="preserve"> </w:t>
      </w:r>
      <w:r w:rsidRPr="00C1427A">
        <w:rPr>
          <w:rFonts w:ascii="Arial" w:hAnsi="Arial" w:cs="Arial"/>
          <w:sz w:val="20"/>
          <w:szCs w:val="20"/>
        </w:rPr>
        <w:t>for</w:t>
      </w:r>
      <w:r w:rsidRPr="00C1427A">
        <w:rPr>
          <w:rFonts w:ascii="Arial" w:hAnsi="Arial" w:cs="Arial"/>
          <w:spacing w:val="-3"/>
          <w:sz w:val="20"/>
          <w:szCs w:val="20"/>
        </w:rPr>
        <w:t xml:space="preserve"> </w:t>
      </w:r>
      <w:r w:rsidRPr="00C1427A">
        <w:rPr>
          <w:rFonts w:ascii="Arial" w:hAnsi="Arial" w:cs="Arial"/>
          <w:sz w:val="20"/>
          <w:szCs w:val="20"/>
        </w:rPr>
        <w:t>the</w:t>
      </w:r>
      <w:r w:rsidRPr="00C1427A">
        <w:rPr>
          <w:rFonts w:ascii="Arial" w:hAnsi="Arial" w:cs="Arial"/>
          <w:spacing w:val="1"/>
          <w:sz w:val="20"/>
          <w:szCs w:val="20"/>
        </w:rPr>
        <w:t xml:space="preserve"> </w:t>
      </w:r>
      <w:r w:rsidRPr="00C1427A">
        <w:rPr>
          <w:rFonts w:ascii="Arial" w:hAnsi="Arial" w:cs="Arial"/>
          <w:sz w:val="20"/>
          <w:szCs w:val="20"/>
        </w:rPr>
        <w:t>debriefing.</w:t>
      </w:r>
    </w:p>
    <w:p w14:paraId="1BC8F6B9" w14:textId="77777777" w:rsidR="00C1427A" w:rsidRPr="00C1427A" w:rsidRDefault="00C1427A" w:rsidP="00D91E6C">
      <w:pPr>
        <w:pStyle w:val="ListParagraph"/>
        <w:numPr>
          <w:ilvl w:val="0"/>
          <w:numId w:val="279"/>
        </w:numPr>
        <w:tabs>
          <w:tab w:val="left" w:pos="707"/>
        </w:tabs>
        <w:spacing w:before="121"/>
        <w:ind w:right="68"/>
        <w:jc w:val="both"/>
        <w:rPr>
          <w:rFonts w:ascii="Arial" w:hAnsi="Arial" w:cs="Arial"/>
          <w:sz w:val="20"/>
          <w:szCs w:val="20"/>
        </w:rPr>
      </w:pPr>
      <w:r w:rsidRPr="00C1427A">
        <w:rPr>
          <w:rFonts w:ascii="Arial" w:hAnsi="Arial" w:cs="Arial"/>
          <w:sz w:val="20"/>
          <w:szCs w:val="20"/>
        </w:rPr>
        <w:t>Assessment</w:t>
      </w:r>
      <w:r w:rsidRPr="00C1427A">
        <w:rPr>
          <w:rFonts w:ascii="Arial" w:hAnsi="Arial" w:cs="Arial"/>
          <w:spacing w:val="-4"/>
          <w:sz w:val="20"/>
          <w:szCs w:val="20"/>
        </w:rPr>
        <w:t xml:space="preserve"> </w:t>
      </w:r>
      <w:r w:rsidRPr="00C1427A">
        <w:rPr>
          <w:rFonts w:ascii="Arial" w:hAnsi="Arial" w:cs="Arial"/>
          <w:sz w:val="20"/>
          <w:szCs w:val="20"/>
        </w:rPr>
        <w:t>system</w:t>
      </w:r>
    </w:p>
    <w:p w14:paraId="07ADD540" w14:textId="77777777" w:rsidR="00C1427A" w:rsidRPr="00C1427A" w:rsidRDefault="00C1427A" w:rsidP="00D91E6C">
      <w:pPr>
        <w:pStyle w:val="BodyText"/>
        <w:ind w:left="706" w:right="68"/>
        <w:jc w:val="both"/>
        <w:rPr>
          <w:rFonts w:ascii="Arial" w:hAnsi="Arial" w:cs="Arial"/>
          <w:sz w:val="20"/>
          <w:szCs w:val="20"/>
        </w:rPr>
      </w:pPr>
      <w:r w:rsidRPr="00C1427A">
        <w:rPr>
          <w:rFonts w:ascii="Arial" w:hAnsi="Arial" w:cs="Arial"/>
          <w:sz w:val="20"/>
          <w:szCs w:val="20"/>
        </w:rPr>
        <w:t>Although test or checks may specify flight test tolerances, an applicant should not be expected</w:t>
      </w:r>
      <w:r w:rsidRPr="00D91E6C">
        <w:rPr>
          <w:rFonts w:ascii="Arial" w:hAnsi="Arial" w:cs="Arial"/>
          <w:sz w:val="20"/>
          <w:szCs w:val="20"/>
        </w:rPr>
        <w:t xml:space="preserve"> </w:t>
      </w:r>
      <w:r w:rsidRPr="00C1427A">
        <w:rPr>
          <w:rFonts w:ascii="Arial" w:hAnsi="Arial" w:cs="Arial"/>
          <w:sz w:val="20"/>
          <w:szCs w:val="20"/>
        </w:rPr>
        <w:t>to achieve these at the expense of smoothness or stable flight. An examiner should make due</w:t>
      </w:r>
      <w:r w:rsidRPr="00D91E6C">
        <w:rPr>
          <w:rFonts w:ascii="Arial" w:hAnsi="Arial" w:cs="Arial"/>
          <w:sz w:val="20"/>
          <w:szCs w:val="20"/>
        </w:rPr>
        <w:t xml:space="preserve"> </w:t>
      </w:r>
      <w:r w:rsidRPr="00C1427A">
        <w:rPr>
          <w:rFonts w:ascii="Arial" w:hAnsi="Arial" w:cs="Arial"/>
          <w:sz w:val="20"/>
          <w:szCs w:val="20"/>
        </w:rPr>
        <w:t>allowance for unavoidable deviations due to turbulence, ATC instructions, etc. An examiner</w:t>
      </w:r>
      <w:r w:rsidRPr="00D91E6C">
        <w:rPr>
          <w:rFonts w:ascii="Arial" w:hAnsi="Arial" w:cs="Arial"/>
          <w:sz w:val="20"/>
          <w:szCs w:val="20"/>
        </w:rPr>
        <w:t xml:space="preserve"> </w:t>
      </w:r>
      <w:r w:rsidRPr="00C1427A">
        <w:rPr>
          <w:rFonts w:ascii="Arial" w:hAnsi="Arial" w:cs="Arial"/>
          <w:sz w:val="20"/>
          <w:szCs w:val="20"/>
        </w:rPr>
        <w:t>should</w:t>
      </w:r>
      <w:r w:rsidRPr="00D91E6C">
        <w:rPr>
          <w:rFonts w:ascii="Arial" w:hAnsi="Arial" w:cs="Arial"/>
          <w:sz w:val="20"/>
          <w:szCs w:val="20"/>
        </w:rPr>
        <w:t xml:space="preserve"> </w:t>
      </w:r>
      <w:r w:rsidRPr="00C1427A">
        <w:rPr>
          <w:rFonts w:ascii="Arial" w:hAnsi="Arial" w:cs="Arial"/>
          <w:sz w:val="20"/>
          <w:szCs w:val="20"/>
        </w:rPr>
        <w:t>terminate</w:t>
      </w:r>
      <w:r w:rsidRPr="00D91E6C">
        <w:rPr>
          <w:rFonts w:ascii="Arial" w:hAnsi="Arial" w:cs="Arial"/>
          <w:sz w:val="20"/>
          <w:szCs w:val="20"/>
        </w:rPr>
        <w:t xml:space="preserve"> </w:t>
      </w:r>
      <w:r w:rsidRPr="00C1427A">
        <w:rPr>
          <w:rFonts w:ascii="Arial" w:hAnsi="Arial" w:cs="Arial"/>
          <w:sz w:val="20"/>
          <w:szCs w:val="20"/>
        </w:rPr>
        <w:t>a</w:t>
      </w:r>
      <w:r w:rsidRPr="00D91E6C">
        <w:rPr>
          <w:rFonts w:ascii="Arial" w:hAnsi="Arial" w:cs="Arial"/>
          <w:sz w:val="20"/>
          <w:szCs w:val="20"/>
        </w:rPr>
        <w:t xml:space="preserve"> </w:t>
      </w:r>
      <w:r w:rsidRPr="00C1427A">
        <w:rPr>
          <w:rFonts w:ascii="Arial" w:hAnsi="Arial" w:cs="Arial"/>
          <w:sz w:val="20"/>
          <w:szCs w:val="20"/>
        </w:rPr>
        <w:t>test</w:t>
      </w:r>
      <w:r w:rsidRPr="00D91E6C">
        <w:rPr>
          <w:rFonts w:ascii="Arial" w:hAnsi="Arial" w:cs="Arial"/>
          <w:sz w:val="20"/>
          <w:szCs w:val="20"/>
        </w:rPr>
        <w:t xml:space="preserve"> </w:t>
      </w:r>
      <w:r w:rsidRPr="00C1427A">
        <w:rPr>
          <w:rFonts w:ascii="Arial" w:hAnsi="Arial" w:cs="Arial"/>
          <w:sz w:val="20"/>
          <w:szCs w:val="20"/>
        </w:rPr>
        <w:t>or</w:t>
      </w:r>
      <w:r w:rsidRPr="00D91E6C">
        <w:rPr>
          <w:rFonts w:ascii="Arial" w:hAnsi="Arial" w:cs="Arial"/>
          <w:sz w:val="20"/>
          <w:szCs w:val="20"/>
        </w:rPr>
        <w:t xml:space="preserve"> </w:t>
      </w:r>
      <w:r w:rsidRPr="00C1427A">
        <w:rPr>
          <w:rFonts w:ascii="Arial" w:hAnsi="Arial" w:cs="Arial"/>
          <w:sz w:val="20"/>
          <w:szCs w:val="20"/>
        </w:rPr>
        <w:t>check</w:t>
      </w:r>
      <w:r w:rsidRPr="00D91E6C">
        <w:rPr>
          <w:rFonts w:ascii="Arial" w:hAnsi="Arial" w:cs="Arial"/>
          <w:sz w:val="20"/>
          <w:szCs w:val="20"/>
        </w:rPr>
        <w:t xml:space="preserve"> </w:t>
      </w:r>
      <w:r w:rsidRPr="00C1427A">
        <w:rPr>
          <w:rFonts w:ascii="Arial" w:hAnsi="Arial" w:cs="Arial"/>
          <w:sz w:val="20"/>
          <w:szCs w:val="20"/>
        </w:rPr>
        <w:t>only</w:t>
      </w:r>
      <w:r w:rsidRPr="00D91E6C">
        <w:rPr>
          <w:rFonts w:ascii="Arial" w:hAnsi="Arial" w:cs="Arial"/>
          <w:sz w:val="20"/>
          <w:szCs w:val="20"/>
        </w:rPr>
        <w:t xml:space="preserve"> </w:t>
      </w:r>
      <w:r w:rsidRPr="00C1427A">
        <w:rPr>
          <w:rFonts w:ascii="Arial" w:hAnsi="Arial" w:cs="Arial"/>
          <w:sz w:val="20"/>
          <w:szCs w:val="20"/>
        </w:rPr>
        <w:t>either</w:t>
      </w:r>
      <w:r w:rsidRPr="00D91E6C">
        <w:rPr>
          <w:rFonts w:ascii="Arial" w:hAnsi="Arial" w:cs="Arial"/>
          <w:sz w:val="20"/>
          <w:szCs w:val="20"/>
        </w:rPr>
        <w:t xml:space="preserve"> </w:t>
      </w:r>
      <w:r w:rsidRPr="00C1427A">
        <w:rPr>
          <w:rFonts w:ascii="Arial" w:hAnsi="Arial" w:cs="Arial"/>
          <w:sz w:val="20"/>
          <w:szCs w:val="20"/>
        </w:rPr>
        <w:t>when</w:t>
      </w:r>
      <w:r w:rsidRPr="00D91E6C">
        <w:rPr>
          <w:rFonts w:ascii="Arial" w:hAnsi="Arial" w:cs="Arial"/>
          <w:sz w:val="20"/>
          <w:szCs w:val="20"/>
        </w:rPr>
        <w:t xml:space="preserve"> </w:t>
      </w:r>
      <w:r w:rsidRPr="00C1427A">
        <w:rPr>
          <w:rFonts w:ascii="Arial" w:hAnsi="Arial" w:cs="Arial"/>
          <w:sz w:val="20"/>
          <w:szCs w:val="20"/>
        </w:rPr>
        <w:t>it</w:t>
      </w:r>
      <w:r w:rsidRPr="00D91E6C">
        <w:rPr>
          <w:rFonts w:ascii="Arial" w:hAnsi="Arial" w:cs="Arial"/>
          <w:sz w:val="20"/>
          <w:szCs w:val="20"/>
        </w:rPr>
        <w:t xml:space="preserve"> </w:t>
      </w:r>
      <w:r w:rsidRPr="00C1427A">
        <w:rPr>
          <w:rFonts w:ascii="Arial" w:hAnsi="Arial" w:cs="Arial"/>
          <w:sz w:val="20"/>
          <w:szCs w:val="20"/>
        </w:rPr>
        <w:t>is</w:t>
      </w:r>
      <w:r w:rsidRPr="00D91E6C">
        <w:rPr>
          <w:rFonts w:ascii="Arial" w:hAnsi="Arial" w:cs="Arial"/>
          <w:sz w:val="20"/>
          <w:szCs w:val="20"/>
        </w:rPr>
        <w:t xml:space="preserve"> </w:t>
      </w:r>
      <w:r w:rsidRPr="00C1427A">
        <w:rPr>
          <w:rFonts w:ascii="Arial" w:hAnsi="Arial" w:cs="Arial"/>
          <w:sz w:val="20"/>
          <w:szCs w:val="20"/>
        </w:rPr>
        <w:t>clear</w:t>
      </w:r>
      <w:r w:rsidRPr="00D91E6C">
        <w:rPr>
          <w:rFonts w:ascii="Arial" w:hAnsi="Arial" w:cs="Arial"/>
          <w:sz w:val="20"/>
          <w:szCs w:val="20"/>
        </w:rPr>
        <w:t xml:space="preserve"> </w:t>
      </w:r>
      <w:r w:rsidRPr="00C1427A">
        <w:rPr>
          <w:rFonts w:ascii="Arial" w:hAnsi="Arial" w:cs="Arial"/>
          <w:sz w:val="20"/>
          <w:szCs w:val="20"/>
        </w:rPr>
        <w:t>that</w:t>
      </w:r>
      <w:r w:rsidRPr="00D91E6C">
        <w:rPr>
          <w:rFonts w:ascii="Arial" w:hAnsi="Arial" w:cs="Arial"/>
          <w:sz w:val="20"/>
          <w:szCs w:val="20"/>
        </w:rPr>
        <w:t xml:space="preserve"> </w:t>
      </w:r>
      <w:r w:rsidRPr="00C1427A">
        <w:rPr>
          <w:rFonts w:ascii="Arial" w:hAnsi="Arial" w:cs="Arial"/>
          <w:sz w:val="20"/>
          <w:szCs w:val="20"/>
        </w:rPr>
        <w:t>the</w:t>
      </w:r>
      <w:r w:rsidRPr="00D91E6C">
        <w:rPr>
          <w:rFonts w:ascii="Arial" w:hAnsi="Arial" w:cs="Arial"/>
          <w:sz w:val="20"/>
          <w:szCs w:val="20"/>
        </w:rPr>
        <w:t xml:space="preserve"> </w:t>
      </w:r>
      <w:r w:rsidRPr="00C1427A">
        <w:rPr>
          <w:rFonts w:ascii="Arial" w:hAnsi="Arial" w:cs="Arial"/>
          <w:sz w:val="20"/>
          <w:szCs w:val="20"/>
        </w:rPr>
        <w:t>applicant</w:t>
      </w:r>
      <w:r w:rsidRPr="00D91E6C">
        <w:rPr>
          <w:rFonts w:ascii="Arial" w:hAnsi="Arial" w:cs="Arial"/>
          <w:sz w:val="20"/>
          <w:szCs w:val="20"/>
        </w:rPr>
        <w:t xml:space="preserve"> </w:t>
      </w:r>
      <w:r w:rsidRPr="00C1427A">
        <w:rPr>
          <w:rFonts w:ascii="Arial" w:hAnsi="Arial" w:cs="Arial"/>
          <w:sz w:val="20"/>
          <w:szCs w:val="20"/>
        </w:rPr>
        <w:t>has</w:t>
      </w:r>
      <w:r w:rsidRPr="00D91E6C">
        <w:rPr>
          <w:rFonts w:ascii="Arial" w:hAnsi="Arial" w:cs="Arial"/>
          <w:sz w:val="20"/>
          <w:szCs w:val="20"/>
        </w:rPr>
        <w:t xml:space="preserve"> </w:t>
      </w:r>
      <w:r w:rsidRPr="00C1427A">
        <w:rPr>
          <w:rFonts w:ascii="Arial" w:hAnsi="Arial" w:cs="Arial"/>
          <w:sz w:val="20"/>
          <w:szCs w:val="20"/>
        </w:rPr>
        <w:t>not</w:t>
      </w:r>
      <w:r w:rsidRPr="00D91E6C">
        <w:rPr>
          <w:rFonts w:ascii="Arial" w:hAnsi="Arial" w:cs="Arial"/>
          <w:sz w:val="20"/>
          <w:szCs w:val="20"/>
        </w:rPr>
        <w:t xml:space="preserve"> </w:t>
      </w:r>
      <w:r w:rsidRPr="00C1427A">
        <w:rPr>
          <w:rFonts w:ascii="Arial" w:hAnsi="Arial" w:cs="Arial"/>
          <w:sz w:val="20"/>
          <w:szCs w:val="20"/>
        </w:rPr>
        <w:t>been</w:t>
      </w:r>
      <w:r w:rsidRPr="00D91E6C">
        <w:rPr>
          <w:rFonts w:ascii="Arial" w:hAnsi="Arial" w:cs="Arial"/>
          <w:sz w:val="20"/>
          <w:szCs w:val="20"/>
        </w:rPr>
        <w:t xml:space="preserve"> </w:t>
      </w:r>
      <w:r w:rsidRPr="00C1427A">
        <w:rPr>
          <w:rFonts w:ascii="Arial" w:hAnsi="Arial" w:cs="Arial"/>
          <w:sz w:val="20"/>
          <w:szCs w:val="20"/>
        </w:rPr>
        <w:t>able</w:t>
      </w:r>
      <w:r w:rsidRPr="00D91E6C">
        <w:rPr>
          <w:rFonts w:ascii="Arial" w:hAnsi="Arial" w:cs="Arial"/>
          <w:sz w:val="20"/>
          <w:szCs w:val="20"/>
        </w:rPr>
        <w:t xml:space="preserve"> </w:t>
      </w:r>
      <w:r w:rsidRPr="00C1427A">
        <w:rPr>
          <w:rFonts w:ascii="Arial" w:hAnsi="Arial" w:cs="Arial"/>
          <w:sz w:val="20"/>
          <w:szCs w:val="20"/>
        </w:rPr>
        <w:t>to</w:t>
      </w:r>
      <w:r w:rsidRPr="00D91E6C">
        <w:rPr>
          <w:rFonts w:ascii="Arial" w:hAnsi="Arial" w:cs="Arial"/>
          <w:sz w:val="20"/>
          <w:szCs w:val="20"/>
        </w:rPr>
        <w:t xml:space="preserve"> </w:t>
      </w:r>
      <w:r w:rsidRPr="00C1427A">
        <w:rPr>
          <w:rFonts w:ascii="Arial" w:hAnsi="Arial" w:cs="Arial"/>
          <w:sz w:val="20"/>
          <w:szCs w:val="20"/>
        </w:rPr>
        <w:t>demonstrate</w:t>
      </w:r>
      <w:r w:rsidRPr="00D91E6C">
        <w:rPr>
          <w:rFonts w:ascii="Arial" w:hAnsi="Arial" w:cs="Arial"/>
          <w:sz w:val="20"/>
          <w:szCs w:val="20"/>
        </w:rPr>
        <w:t xml:space="preserve"> </w:t>
      </w:r>
      <w:r w:rsidRPr="00C1427A">
        <w:rPr>
          <w:rFonts w:ascii="Arial" w:hAnsi="Arial" w:cs="Arial"/>
          <w:sz w:val="20"/>
          <w:szCs w:val="20"/>
        </w:rPr>
        <w:t>the</w:t>
      </w:r>
      <w:r w:rsidRPr="00D91E6C">
        <w:rPr>
          <w:rFonts w:ascii="Arial" w:hAnsi="Arial" w:cs="Arial"/>
          <w:sz w:val="20"/>
          <w:szCs w:val="20"/>
        </w:rPr>
        <w:t xml:space="preserve"> </w:t>
      </w:r>
      <w:r w:rsidRPr="00C1427A">
        <w:rPr>
          <w:rFonts w:ascii="Arial" w:hAnsi="Arial" w:cs="Arial"/>
          <w:sz w:val="20"/>
          <w:szCs w:val="20"/>
        </w:rPr>
        <w:t>required</w:t>
      </w:r>
      <w:r w:rsidRPr="00D91E6C">
        <w:rPr>
          <w:rFonts w:ascii="Arial" w:hAnsi="Arial" w:cs="Arial"/>
          <w:sz w:val="20"/>
          <w:szCs w:val="20"/>
        </w:rPr>
        <w:t xml:space="preserve"> </w:t>
      </w:r>
      <w:r w:rsidRPr="00C1427A">
        <w:rPr>
          <w:rFonts w:ascii="Arial" w:hAnsi="Arial" w:cs="Arial"/>
          <w:sz w:val="20"/>
          <w:szCs w:val="20"/>
        </w:rPr>
        <w:t>level</w:t>
      </w:r>
      <w:r w:rsidRPr="00D91E6C">
        <w:rPr>
          <w:rFonts w:ascii="Arial" w:hAnsi="Arial" w:cs="Arial"/>
          <w:sz w:val="20"/>
          <w:szCs w:val="20"/>
        </w:rPr>
        <w:t xml:space="preserve"> </w:t>
      </w:r>
      <w:r w:rsidRPr="00C1427A">
        <w:rPr>
          <w:rFonts w:ascii="Arial" w:hAnsi="Arial" w:cs="Arial"/>
          <w:sz w:val="20"/>
          <w:szCs w:val="20"/>
        </w:rPr>
        <w:t>of</w:t>
      </w:r>
      <w:r w:rsidRPr="00D91E6C">
        <w:rPr>
          <w:rFonts w:ascii="Arial" w:hAnsi="Arial" w:cs="Arial"/>
          <w:sz w:val="20"/>
          <w:szCs w:val="20"/>
        </w:rPr>
        <w:t xml:space="preserve"> </w:t>
      </w:r>
      <w:r w:rsidRPr="00C1427A">
        <w:rPr>
          <w:rFonts w:ascii="Arial" w:hAnsi="Arial" w:cs="Arial"/>
          <w:sz w:val="20"/>
          <w:szCs w:val="20"/>
        </w:rPr>
        <w:t>knowledge,</w:t>
      </w:r>
      <w:r w:rsidRPr="00D91E6C">
        <w:rPr>
          <w:rFonts w:ascii="Arial" w:hAnsi="Arial" w:cs="Arial"/>
          <w:sz w:val="20"/>
          <w:szCs w:val="20"/>
        </w:rPr>
        <w:t xml:space="preserve"> </w:t>
      </w:r>
      <w:r w:rsidRPr="00C1427A">
        <w:rPr>
          <w:rFonts w:ascii="Arial" w:hAnsi="Arial" w:cs="Arial"/>
          <w:sz w:val="20"/>
          <w:szCs w:val="20"/>
        </w:rPr>
        <w:t>skill</w:t>
      </w:r>
      <w:r w:rsidRPr="00D91E6C">
        <w:rPr>
          <w:rFonts w:ascii="Arial" w:hAnsi="Arial" w:cs="Arial"/>
          <w:sz w:val="20"/>
          <w:szCs w:val="20"/>
        </w:rPr>
        <w:t xml:space="preserve"> </w:t>
      </w:r>
      <w:r w:rsidRPr="00C1427A">
        <w:rPr>
          <w:rFonts w:ascii="Arial" w:hAnsi="Arial" w:cs="Arial"/>
          <w:sz w:val="20"/>
          <w:szCs w:val="20"/>
        </w:rPr>
        <w:t>or</w:t>
      </w:r>
      <w:r w:rsidRPr="00D91E6C">
        <w:rPr>
          <w:rFonts w:ascii="Arial" w:hAnsi="Arial" w:cs="Arial"/>
          <w:sz w:val="20"/>
          <w:szCs w:val="20"/>
        </w:rPr>
        <w:t xml:space="preserve"> </w:t>
      </w:r>
      <w:r w:rsidRPr="00C1427A">
        <w:rPr>
          <w:rFonts w:ascii="Arial" w:hAnsi="Arial" w:cs="Arial"/>
          <w:sz w:val="20"/>
          <w:szCs w:val="20"/>
        </w:rPr>
        <w:t>proficiency</w:t>
      </w:r>
      <w:r w:rsidRPr="00D91E6C">
        <w:rPr>
          <w:rFonts w:ascii="Arial" w:hAnsi="Arial" w:cs="Arial"/>
          <w:sz w:val="20"/>
          <w:szCs w:val="20"/>
        </w:rPr>
        <w:t xml:space="preserve"> </w:t>
      </w:r>
      <w:r w:rsidRPr="00C1427A">
        <w:rPr>
          <w:rFonts w:ascii="Arial" w:hAnsi="Arial" w:cs="Arial"/>
          <w:sz w:val="20"/>
          <w:szCs w:val="20"/>
        </w:rPr>
        <w:t>and</w:t>
      </w:r>
      <w:r w:rsidRPr="00D91E6C">
        <w:rPr>
          <w:rFonts w:ascii="Arial" w:hAnsi="Arial" w:cs="Arial"/>
          <w:sz w:val="20"/>
          <w:szCs w:val="20"/>
        </w:rPr>
        <w:t xml:space="preserve"> </w:t>
      </w:r>
      <w:r w:rsidRPr="00C1427A">
        <w:rPr>
          <w:rFonts w:ascii="Arial" w:hAnsi="Arial" w:cs="Arial"/>
          <w:sz w:val="20"/>
          <w:szCs w:val="20"/>
        </w:rPr>
        <w:t>that</w:t>
      </w:r>
      <w:r w:rsidRPr="00D91E6C">
        <w:rPr>
          <w:rFonts w:ascii="Arial" w:hAnsi="Arial" w:cs="Arial"/>
          <w:sz w:val="20"/>
          <w:szCs w:val="20"/>
        </w:rPr>
        <w:t xml:space="preserve"> </w:t>
      </w:r>
      <w:r w:rsidRPr="00C1427A">
        <w:rPr>
          <w:rFonts w:ascii="Arial" w:hAnsi="Arial" w:cs="Arial"/>
          <w:sz w:val="20"/>
          <w:szCs w:val="20"/>
        </w:rPr>
        <w:t>a</w:t>
      </w:r>
      <w:r w:rsidRPr="00D91E6C">
        <w:rPr>
          <w:rFonts w:ascii="Arial" w:hAnsi="Arial" w:cs="Arial"/>
          <w:sz w:val="20"/>
          <w:szCs w:val="20"/>
        </w:rPr>
        <w:t xml:space="preserve"> </w:t>
      </w:r>
      <w:r w:rsidRPr="00C1427A">
        <w:rPr>
          <w:rFonts w:ascii="Arial" w:hAnsi="Arial" w:cs="Arial"/>
          <w:sz w:val="20"/>
          <w:szCs w:val="20"/>
        </w:rPr>
        <w:t>full</w:t>
      </w:r>
      <w:r w:rsidRPr="00D91E6C">
        <w:rPr>
          <w:rFonts w:ascii="Arial" w:hAnsi="Arial" w:cs="Arial"/>
          <w:sz w:val="20"/>
          <w:szCs w:val="20"/>
        </w:rPr>
        <w:t xml:space="preserve"> </w:t>
      </w:r>
      <w:r w:rsidRPr="00C1427A">
        <w:rPr>
          <w:rFonts w:ascii="Arial" w:hAnsi="Arial" w:cs="Arial"/>
          <w:sz w:val="20"/>
          <w:szCs w:val="20"/>
        </w:rPr>
        <w:t>retest</w:t>
      </w:r>
      <w:r w:rsidRPr="00D91E6C">
        <w:rPr>
          <w:rFonts w:ascii="Arial" w:hAnsi="Arial" w:cs="Arial"/>
          <w:sz w:val="20"/>
          <w:szCs w:val="20"/>
        </w:rPr>
        <w:t xml:space="preserve"> </w:t>
      </w:r>
      <w:r w:rsidRPr="00C1427A">
        <w:rPr>
          <w:rFonts w:ascii="Arial" w:hAnsi="Arial" w:cs="Arial"/>
          <w:sz w:val="20"/>
          <w:szCs w:val="20"/>
        </w:rPr>
        <w:t>will</w:t>
      </w:r>
      <w:r w:rsidRPr="00D91E6C">
        <w:rPr>
          <w:rFonts w:ascii="Arial" w:hAnsi="Arial" w:cs="Arial"/>
          <w:sz w:val="20"/>
          <w:szCs w:val="20"/>
        </w:rPr>
        <w:t xml:space="preserve"> </w:t>
      </w:r>
      <w:r w:rsidRPr="00C1427A">
        <w:rPr>
          <w:rFonts w:ascii="Arial" w:hAnsi="Arial" w:cs="Arial"/>
          <w:sz w:val="20"/>
          <w:szCs w:val="20"/>
        </w:rPr>
        <w:t>be</w:t>
      </w:r>
      <w:r w:rsidRPr="00D91E6C">
        <w:rPr>
          <w:rFonts w:ascii="Arial" w:hAnsi="Arial" w:cs="Arial"/>
          <w:sz w:val="20"/>
          <w:szCs w:val="20"/>
        </w:rPr>
        <w:t xml:space="preserve"> necessary or for safety reasons. </w:t>
      </w:r>
      <w:r w:rsidRPr="00C1427A">
        <w:rPr>
          <w:rFonts w:ascii="Arial" w:hAnsi="Arial" w:cs="Arial"/>
          <w:sz w:val="20"/>
          <w:szCs w:val="20"/>
        </w:rPr>
        <w:t>An</w:t>
      </w:r>
      <w:r w:rsidRPr="00D91E6C">
        <w:rPr>
          <w:rFonts w:ascii="Arial" w:hAnsi="Arial" w:cs="Arial"/>
          <w:sz w:val="20"/>
          <w:szCs w:val="20"/>
        </w:rPr>
        <w:t xml:space="preserve"> </w:t>
      </w:r>
      <w:r w:rsidRPr="00C1427A">
        <w:rPr>
          <w:rFonts w:ascii="Arial" w:hAnsi="Arial" w:cs="Arial"/>
          <w:sz w:val="20"/>
          <w:szCs w:val="20"/>
        </w:rPr>
        <w:t>examiner</w:t>
      </w:r>
      <w:r w:rsidRPr="00D91E6C">
        <w:rPr>
          <w:rFonts w:ascii="Arial" w:hAnsi="Arial" w:cs="Arial"/>
          <w:sz w:val="20"/>
          <w:szCs w:val="20"/>
        </w:rPr>
        <w:t xml:space="preserve"> </w:t>
      </w:r>
      <w:r w:rsidRPr="00C1427A">
        <w:rPr>
          <w:rFonts w:ascii="Arial" w:hAnsi="Arial" w:cs="Arial"/>
          <w:sz w:val="20"/>
          <w:szCs w:val="20"/>
        </w:rPr>
        <w:t>will</w:t>
      </w:r>
      <w:r w:rsidRPr="00D91E6C">
        <w:rPr>
          <w:rFonts w:ascii="Arial" w:hAnsi="Arial" w:cs="Arial"/>
          <w:sz w:val="20"/>
          <w:szCs w:val="20"/>
        </w:rPr>
        <w:t xml:space="preserve"> </w:t>
      </w:r>
      <w:r w:rsidRPr="00C1427A">
        <w:rPr>
          <w:rFonts w:ascii="Arial" w:hAnsi="Arial" w:cs="Arial"/>
          <w:sz w:val="20"/>
          <w:szCs w:val="20"/>
        </w:rPr>
        <w:t>use</w:t>
      </w:r>
      <w:r w:rsidRPr="00D91E6C">
        <w:rPr>
          <w:rFonts w:ascii="Arial" w:hAnsi="Arial" w:cs="Arial"/>
          <w:sz w:val="20"/>
          <w:szCs w:val="20"/>
        </w:rPr>
        <w:t xml:space="preserve"> </w:t>
      </w:r>
      <w:r w:rsidRPr="00C1427A">
        <w:rPr>
          <w:rFonts w:ascii="Arial" w:hAnsi="Arial" w:cs="Arial"/>
          <w:sz w:val="20"/>
          <w:szCs w:val="20"/>
        </w:rPr>
        <w:t>one</w:t>
      </w:r>
      <w:r w:rsidRPr="00D91E6C">
        <w:rPr>
          <w:rFonts w:ascii="Arial" w:hAnsi="Arial" w:cs="Arial"/>
          <w:sz w:val="20"/>
          <w:szCs w:val="20"/>
        </w:rPr>
        <w:t xml:space="preserve"> </w:t>
      </w:r>
      <w:r w:rsidRPr="00C1427A">
        <w:rPr>
          <w:rFonts w:ascii="Arial" w:hAnsi="Arial" w:cs="Arial"/>
          <w:sz w:val="20"/>
          <w:szCs w:val="20"/>
        </w:rPr>
        <w:t>of</w:t>
      </w:r>
      <w:r w:rsidRPr="00D91E6C">
        <w:rPr>
          <w:rFonts w:ascii="Arial" w:hAnsi="Arial" w:cs="Arial"/>
          <w:sz w:val="20"/>
          <w:szCs w:val="20"/>
        </w:rPr>
        <w:t xml:space="preserve"> </w:t>
      </w:r>
      <w:r w:rsidRPr="00C1427A">
        <w:rPr>
          <w:rFonts w:ascii="Arial" w:hAnsi="Arial" w:cs="Arial"/>
          <w:sz w:val="20"/>
          <w:szCs w:val="20"/>
        </w:rPr>
        <w:t>the</w:t>
      </w:r>
      <w:r w:rsidRPr="00D91E6C">
        <w:rPr>
          <w:rFonts w:ascii="Arial" w:hAnsi="Arial" w:cs="Arial"/>
          <w:sz w:val="20"/>
          <w:szCs w:val="20"/>
        </w:rPr>
        <w:t xml:space="preserve"> </w:t>
      </w:r>
      <w:r w:rsidRPr="00C1427A">
        <w:rPr>
          <w:rFonts w:ascii="Arial" w:hAnsi="Arial" w:cs="Arial"/>
          <w:sz w:val="20"/>
          <w:szCs w:val="20"/>
        </w:rPr>
        <w:t>following</w:t>
      </w:r>
      <w:r w:rsidRPr="00D91E6C">
        <w:rPr>
          <w:rFonts w:ascii="Arial" w:hAnsi="Arial" w:cs="Arial"/>
          <w:sz w:val="20"/>
          <w:szCs w:val="20"/>
        </w:rPr>
        <w:t xml:space="preserve"> </w:t>
      </w:r>
      <w:r w:rsidRPr="00C1427A">
        <w:rPr>
          <w:rFonts w:ascii="Arial" w:hAnsi="Arial" w:cs="Arial"/>
          <w:sz w:val="20"/>
          <w:szCs w:val="20"/>
        </w:rPr>
        <w:t>terms</w:t>
      </w:r>
      <w:r w:rsidRPr="00D91E6C">
        <w:rPr>
          <w:rFonts w:ascii="Arial" w:hAnsi="Arial" w:cs="Arial"/>
          <w:sz w:val="20"/>
          <w:szCs w:val="20"/>
        </w:rPr>
        <w:t xml:space="preserve"> </w:t>
      </w:r>
      <w:r w:rsidRPr="00C1427A">
        <w:rPr>
          <w:rFonts w:ascii="Arial" w:hAnsi="Arial" w:cs="Arial"/>
          <w:sz w:val="20"/>
          <w:szCs w:val="20"/>
        </w:rPr>
        <w:t>for</w:t>
      </w:r>
      <w:r w:rsidRPr="00D91E6C">
        <w:rPr>
          <w:rFonts w:ascii="Arial" w:hAnsi="Arial" w:cs="Arial"/>
          <w:sz w:val="20"/>
          <w:szCs w:val="20"/>
        </w:rPr>
        <w:t xml:space="preserve"> </w:t>
      </w:r>
      <w:r w:rsidRPr="00C1427A">
        <w:rPr>
          <w:rFonts w:ascii="Arial" w:hAnsi="Arial" w:cs="Arial"/>
          <w:sz w:val="20"/>
          <w:szCs w:val="20"/>
        </w:rPr>
        <w:t>assessment:</w:t>
      </w:r>
    </w:p>
    <w:p w14:paraId="32DABB03" w14:textId="77777777" w:rsidR="00C1427A" w:rsidRPr="00C1427A" w:rsidRDefault="00C1427A" w:rsidP="00D91E6C">
      <w:pPr>
        <w:pStyle w:val="ListParagraph"/>
        <w:numPr>
          <w:ilvl w:val="1"/>
          <w:numId w:val="279"/>
        </w:numPr>
        <w:tabs>
          <w:tab w:val="left" w:pos="1274"/>
        </w:tabs>
        <w:spacing w:before="56"/>
        <w:ind w:right="68"/>
        <w:jc w:val="both"/>
        <w:rPr>
          <w:rFonts w:ascii="Arial" w:hAnsi="Arial" w:cs="Arial"/>
          <w:sz w:val="20"/>
          <w:szCs w:val="20"/>
        </w:rPr>
      </w:pPr>
      <w:r w:rsidRPr="00C1427A">
        <w:rPr>
          <w:rFonts w:ascii="Arial" w:hAnsi="Arial" w:cs="Arial"/>
          <w:sz w:val="20"/>
          <w:szCs w:val="20"/>
        </w:rPr>
        <w:t>a ‘pass’ provided that the applicant demonstrates the required level of knowledge, skill</w:t>
      </w:r>
      <w:r w:rsidRPr="00C1427A">
        <w:rPr>
          <w:rFonts w:ascii="Arial" w:hAnsi="Arial" w:cs="Arial"/>
          <w:spacing w:val="1"/>
          <w:sz w:val="20"/>
          <w:szCs w:val="20"/>
        </w:rPr>
        <w:t xml:space="preserve"> </w:t>
      </w:r>
      <w:r w:rsidRPr="00C1427A">
        <w:rPr>
          <w:rFonts w:ascii="Arial" w:hAnsi="Arial" w:cs="Arial"/>
          <w:sz w:val="20"/>
          <w:szCs w:val="20"/>
        </w:rPr>
        <w:t>or proficiency and, where applicable, remains within the flight test tolerances for the</w:t>
      </w:r>
      <w:r w:rsidRPr="00C1427A">
        <w:rPr>
          <w:rFonts w:ascii="Arial" w:hAnsi="Arial" w:cs="Arial"/>
          <w:spacing w:val="1"/>
          <w:sz w:val="20"/>
          <w:szCs w:val="20"/>
        </w:rPr>
        <w:t xml:space="preserve"> </w:t>
      </w:r>
      <w:r w:rsidRPr="00C1427A">
        <w:rPr>
          <w:rFonts w:ascii="Arial" w:hAnsi="Arial" w:cs="Arial"/>
          <w:sz w:val="20"/>
          <w:szCs w:val="20"/>
        </w:rPr>
        <w:t>licence</w:t>
      </w:r>
      <w:r w:rsidRPr="00C1427A">
        <w:rPr>
          <w:rFonts w:ascii="Arial" w:hAnsi="Arial" w:cs="Arial"/>
          <w:spacing w:val="-2"/>
          <w:sz w:val="20"/>
          <w:szCs w:val="20"/>
        </w:rPr>
        <w:t xml:space="preserve"> </w:t>
      </w:r>
      <w:r w:rsidRPr="00C1427A">
        <w:rPr>
          <w:rFonts w:ascii="Arial" w:hAnsi="Arial" w:cs="Arial"/>
          <w:sz w:val="20"/>
          <w:szCs w:val="20"/>
        </w:rPr>
        <w:t>or rating;</w:t>
      </w:r>
    </w:p>
    <w:p w14:paraId="0C4535DD" w14:textId="77777777" w:rsidR="00C1427A" w:rsidRPr="00C1427A" w:rsidRDefault="00C1427A" w:rsidP="00D91E6C">
      <w:pPr>
        <w:pStyle w:val="ListParagraph"/>
        <w:numPr>
          <w:ilvl w:val="1"/>
          <w:numId w:val="279"/>
        </w:numPr>
        <w:tabs>
          <w:tab w:val="left" w:pos="1274"/>
        </w:tabs>
        <w:spacing w:before="121"/>
        <w:ind w:right="68" w:hanging="568"/>
        <w:jc w:val="both"/>
        <w:rPr>
          <w:rFonts w:ascii="Arial" w:hAnsi="Arial" w:cs="Arial"/>
          <w:sz w:val="20"/>
          <w:szCs w:val="20"/>
        </w:rPr>
      </w:pPr>
      <w:r w:rsidRPr="00C1427A">
        <w:rPr>
          <w:rFonts w:ascii="Arial" w:hAnsi="Arial" w:cs="Arial"/>
          <w:sz w:val="20"/>
          <w:szCs w:val="20"/>
        </w:rPr>
        <w:t>a</w:t>
      </w:r>
      <w:r w:rsidRPr="00C1427A">
        <w:rPr>
          <w:rFonts w:ascii="Arial" w:hAnsi="Arial" w:cs="Arial"/>
          <w:spacing w:val="-1"/>
          <w:sz w:val="20"/>
          <w:szCs w:val="20"/>
        </w:rPr>
        <w:t xml:space="preserve"> </w:t>
      </w:r>
      <w:r w:rsidRPr="00C1427A">
        <w:rPr>
          <w:rFonts w:ascii="Arial" w:hAnsi="Arial" w:cs="Arial"/>
          <w:sz w:val="20"/>
          <w:szCs w:val="20"/>
        </w:rPr>
        <w:t>‘fail’ provided</w:t>
      </w:r>
      <w:r w:rsidRPr="00C1427A">
        <w:rPr>
          <w:rFonts w:ascii="Arial" w:hAnsi="Arial" w:cs="Arial"/>
          <w:spacing w:val="-3"/>
          <w:sz w:val="20"/>
          <w:szCs w:val="20"/>
        </w:rPr>
        <w:t xml:space="preserve"> </w:t>
      </w:r>
      <w:r w:rsidRPr="00C1427A">
        <w:rPr>
          <w:rFonts w:ascii="Arial" w:hAnsi="Arial" w:cs="Arial"/>
          <w:sz w:val="20"/>
          <w:szCs w:val="20"/>
        </w:rPr>
        <w:t>that any</w:t>
      </w:r>
      <w:r w:rsidRPr="00C1427A">
        <w:rPr>
          <w:rFonts w:ascii="Arial" w:hAnsi="Arial" w:cs="Arial"/>
          <w:spacing w:val="-1"/>
          <w:sz w:val="20"/>
          <w:szCs w:val="20"/>
        </w:rPr>
        <w:t xml:space="preserve"> </w:t>
      </w:r>
      <w:r w:rsidRPr="00C1427A">
        <w:rPr>
          <w:rFonts w:ascii="Arial" w:hAnsi="Arial" w:cs="Arial"/>
          <w:sz w:val="20"/>
          <w:szCs w:val="20"/>
        </w:rPr>
        <w:t>of</w:t>
      </w:r>
      <w:r w:rsidRPr="00C1427A">
        <w:rPr>
          <w:rFonts w:ascii="Arial" w:hAnsi="Arial" w:cs="Arial"/>
          <w:spacing w:val="-3"/>
          <w:sz w:val="20"/>
          <w:szCs w:val="20"/>
        </w:rPr>
        <w:t xml:space="preserve"> </w:t>
      </w:r>
      <w:r w:rsidRPr="00C1427A">
        <w:rPr>
          <w:rFonts w:ascii="Arial" w:hAnsi="Arial" w:cs="Arial"/>
          <w:sz w:val="20"/>
          <w:szCs w:val="20"/>
        </w:rPr>
        <w:t>the</w:t>
      </w:r>
      <w:r w:rsidRPr="00C1427A">
        <w:rPr>
          <w:rFonts w:ascii="Arial" w:hAnsi="Arial" w:cs="Arial"/>
          <w:spacing w:val="1"/>
          <w:sz w:val="20"/>
          <w:szCs w:val="20"/>
        </w:rPr>
        <w:t xml:space="preserve"> </w:t>
      </w:r>
      <w:r w:rsidRPr="00C1427A">
        <w:rPr>
          <w:rFonts w:ascii="Arial" w:hAnsi="Arial" w:cs="Arial"/>
          <w:sz w:val="20"/>
          <w:szCs w:val="20"/>
        </w:rPr>
        <w:t>following</w:t>
      </w:r>
      <w:r w:rsidRPr="00C1427A">
        <w:rPr>
          <w:rFonts w:ascii="Arial" w:hAnsi="Arial" w:cs="Arial"/>
          <w:spacing w:val="-3"/>
          <w:sz w:val="20"/>
          <w:szCs w:val="20"/>
        </w:rPr>
        <w:t xml:space="preserve"> </w:t>
      </w:r>
      <w:r w:rsidRPr="00C1427A">
        <w:rPr>
          <w:rFonts w:ascii="Arial" w:hAnsi="Arial" w:cs="Arial"/>
          <w:sz w:val="20"/>
          <w:szCs w:val="20"/>
        </w:rPr>
        <w:t>apply:</w:t>
      </w:r>
    </w:p>
    <w:p w14:paraId="5630159B" w14:textId="77777777" w:rsidR="00C1427A" w:rsidRPr="00C1427A" w:rsidRDefault="00C1427A" w:rsidP="00D91E6C">
      <w:pPr>
        <w:pStyle w:val="ListParagraph"/>
        <w:numPr>
          <w:ilvl w:val="2"/>
          <w:numId w:val="279"/>
        </w:numPr>
        <w:tabs>
          <w:tab w:val="left" w:pos="1842"/>
        </w:tabs>
        <w:ind w:right="68"/>
        <w:jc w:val="both"/>
        <w:rPr>
          <w:rFonts w:ascii="Arial" w:hAnsi="Arial" w:cs="Arial"/>
          <w:sz w:val="20"/>
          <w:szCs w:val="20"/>
        </w:rPr>
      </w:pPr>
      <w:r w:rsidRPr="00C1427A">
        <w:rPr>
          <w:rFonts w:ascii="Arial" w:hAnsi="Arial" w:cs="Arial"/>
          <w:sz w:val="20"/>
          <w:szCs w:val="20"/>
        </w:rPr>
        <w:t>the flight test tolerances have been exceeded after the examiner has made due</w:t>
      </w:r>
      <w:r w:rsidRPr="00C1427A">
        <w:rPr>
          <w:rFonts w:ascii="Arial" w:hAnsi="Arial" w:cs="Arial"/>
          <w:spacing w:val="1"/>
          <w:sz w:val="20"/>
          <w:szCs w:val="20"/>
        </w:rPr>
        <w:t xml:space="preserve"> </w:t>
      </w:r>
      <w:r w:rsidRPr="00C1427A">
        <w:rPr>
          <w:rFonts w:ascii="Arial" w:hAnsi="Arial" w:cs="Arial"/>
          <w:sz w:val="20"/>
          <w:szCs w:val="20"/>
        </w:rPr>
        <w:t>allowance for turbulence</w:t>
      </w:r>
      <w:r w:rsidRPr="00C1427A">
        <w:rPr>
          <w:rFonts w:ascii="Arial" w:hAnsi="Arial" w:cs="Arial"/>
          <w:spacing w:val="-2"/>
          <w:sz w:val="20"/>
          <w:szCs w:val="20"/>
        </w:rPr>
        <w:t xml:space="preserve"> </w:t>
      </w:r>
      <w:r w:rsidRPr="00C1427A">
        <w:rPr>
          <w:rFonts w:ascii="Arial" w:hAnsi="Arial" w:cs="Arial"/>
          <w:sz w:val="20"/>
          <w:szCs w:val="20"/>
        </w:rPr>
        <w:t>or ATC instructions;</w:t>
      </w:r>
    </w:p>
    <w:p w14:paraId="0DB9CF9A" w14:textId="77777777" w:rsidR="00C1427A" w:rsidRPr="00C1427A" w:rsidRDefault="00C1427A" w:rsidP="00D91E6C">
      <w:pPr>
        <w:pStyle w:val="ListParagraph"/>
        <w:numPr>
          <w:ilvl w:val="2"/>
          <w:numId w:val="279"/>
        </w:numPr>
        <w:tabs>
          <w:tab w:val="left" w:pos="1842"/>
        </w:tabs>
        <w:spacing w:before="121"/>
        <w:ind w:right="68"/>
        <w:jc w:val="both"/>
        <w:rPr>
          <w:rFonts w:ascii="Arial" w:hAnsi="Arial" w:cs="Arial"/>
          <w:sz w:val="20"/>
          <w:szCs w:val="20"/>
        </w:rPr>
      </w:pPr>
      <w:r w:rsidRPr="00C1427A">
        <w:rPr>
          <w:rFonts w:ascii="Arial" w:hAnsi="Arial" w:cs="Arial"/>
          <w:sz w:val="20"/>
          <w:szCs w:val="20"/>
        </w:rPr>
        <w:t>the</w:t>
      </w:r>
      <w:r w:rsidRPr="00C1427A">
        <w:rPr>
          <w:rFonts w:ascii="Arial" w:hAnsi="Arial" w:cs="Arial"/>
          <w:spacing w:val="-1"/>
          <w:sz w:val="20"/>
          <w:szCs w:val="20"/>
        </w:rPr>
        <w:t xml:space="preserve"> </w:t>
      </w:r>
      <w:r w:rsidRPr="00C1427A">
        <w:rPr>
          <w:rFonts w:ascii="Arial" w:hAnsi="Arial" w:cs="Arial"/>
          <w:sz w:val="20"/>
          <w:szCs w:val="20"/>
        </w:rPr>
        <w:t>aim</w:t>
      </w:r>
      <w:r w:rsidRPr="00C1427A">
        <w:rPr>
          <w:rFonts w:ascii="Arial" w:hAnsi="Arial" w:cs="Arial"/>
          <w:spacing w:val="-1"/>
          <w:sz w:val="20"/>
          <w:szCs w:val="20"/>
        </w:rPr>
        <w:t xml:space="preserve"> </w:t>
      </w:r>
      <w:r w:rsidRPr="00C1427A">
        <w:rPr>
          <w:rFonts w:ascii="Arial" w:hAnsi="Arial" w:cs="Arial"/>
          <w:sz w:val="20"/>
          <w:szCs w:val="20"/>
        </w:rPr>
        <w:t>of the</w:t>
      </w:r>
      <w:r w:rsidRPr="00C1427A">
        <w:rPr>
          <w:rFonts w:ascii="Arial" w:hAnsi="Arial" w:cs="Arial"/>
          <w:spacing w:val="-3"/>
          <w:sz w:val="20"/>
          <w:szCs w:val="20"/>
        </w:rPr>
        <w:t xml:space="preserve"> </w:t>
      </w:r>
      <w:r w:rsidRPr="00C1427A">
        <w:rPr>
          <w:rFonts w:ascii="Arial" w:hAnsi="Arial" w:cs="Arial"/>
          <w:sz w:val="20"/>
          <w:szCs w:val="20"/>
        </w:rPr>
        <w:t>test</w:t>
      </w:r>
      <w:r w:rsidRPr="00C1427A">
        <w:rPr>
          <w:rFonts w:ascii="Arial" w:hAnsi="Arial" w:cs="Arial"/>
          <w:spacing w:val="-2"/>
          <w:sz w:val="20"/>
          <w:szCs w:val="20"/>
        </w:rPr>
        <w:t xml:space="preserve"> </w:t>
      </w:r>
      <w:r w:rsidRPr="00C1427A">
        <w:rPr>
          <w:rFonts w:ascii="Arial" w:hAnsi="Arial" w:cs="Arial"/>
          <w:sz w:val="20"/>
          <w:szCs w:val="20"/>
        </w:rPr>
        <w:t>or check is not</w:t>
      </w:r>
      <w:r w:rsidRPr="00C1427A">
        <w:rPr>
          <w:rFonts w:ascii="Arial" w:hAnsi="Arial" w:cs="Arial"/>
          <w:spacing w:val="-2"/>
          <w:sz w:val="20"/>
          <w:szCs w:val="20"/>
        </w:rPr>
        <w:t xml:space="preserve"> </w:t>
      </w:r>
      <w:r w:rsidRPr="00C1427A">
        <w:rPr>
          <w:rFonts w:ascii="Arial" w:hAnsi="Arial" w:cs="Arial"/>
          <w:sz w:val="20"/>
          <w:szCs w:val="20"/>
        </w:rPr>
        <w:t>met;</w:t>
      </w:r>
    </w:p>
    <w:p w14:paraId="2C5DF6D3" w14:textId="77777777" w:rsidR="00C1427A" w:rsidRPr="00C1427A" w:rsidRDefault="00C1427A" w:rsidP="00D91E6C">
      <w:pPr>
        <w:pStyle w:val="ListParagraph"/>
        <w:numPr>
          <w:ilvl w:val="2"/>
          <w:numId w:val="279"/>
        </w:numPr>
        <w:tabs>
          <w:tab w:val="left" w:pos="1841"/>
          <w:tab w:val="left" w:pos="1842"/>
        </w:tabs>
        <w:spacing w:before="122" w:line="237" w:lineRule="auto"/>
        <w:ind w:right="68"/>
        <w:rPr>
          <w:rFonts w:ascii="Arial" w:hAnsi="Arial" w:cs="Arial"/>
          <w:sz w:val="20"/>
          <w:szCs w:val="20"/>
        </w:rPr>
      </w:pPr>
      <w:r w:rsidRPr="00C1427A">
        <w:rPr>
          <w:rFonts w:ascii="Arial" w:hAnsi="Arial" w:cs="Arial"/>
          <w:sz w:val="20"/>
          <w:szCs w:val="20"/>
        </w:rPr>
        <w:t>the</w:t>
      </w:r>
      <w:r w:rsidRPr="00C1427A">
        <w:rPr>
          <w:rFonts w:ascii="Arial" w:hAnsi="Arial" w:cs="Arial"/>
          <w:spacing w:val="6"/>
          <w:sz w:val="20"/>
          <w:szCs w:val="20"/>
        </w:rPr>
        <w:t xml:space="preserve"> </w:t>
      </w:r>
      <w:r w:rsidRPr="00C1427A">
        <w:rPr>
          <w:rFonts w:ascii="Arial" w:hAnsi="Arial" w:cs="Arial"/>
          <w:sz w:val="20"/>
          <w:szCs w:val="20"/>
        </w:rPr>
        <w:t>aim</w:t>
      </w:r>
      <w:r w:rsidRPr="00C1427A">
        <w:rPr>
          <w:rFonts w:ascii="Arial" w:hAnsi="Arial" w:cs="Arial"/>
          <w:spacing w:val="5"/>
          <w:sz w:val="20"/>
          <w:szCs w:val="20"/>
        </w:rPr>
        <w:t xml:space="preserve"> </w:t>
      </w:r>
      <w:r w:rsidRPr="00C1427A">
        <w:rPr>
          <w:rFonts w:ascii="Arial" w:hAnsi="Arial" w:cs="Arial"/>
          <w:sz w:val="20"/>
          <w:szCs w:val="20"/>
        </w:rPr>
        <w:t>of</w:t>
      </w:r>
      <w:r w:rsidRPr="00C1427A">
        <w:rPr>
          <w:rFonts w:ascii="Arial" w:hAnsi="Arial" w:cs="Arial"/>
          <w:spacing w:val="7"/>
          <w:sz w:val="20"/>
          <w:szCs w:val="20"/>
        </w:rPr>
        <w:t xml:space="preserve"> </w:t>
      </w:r>
      <w:r w:rsidRPr="00C1427A">
        <w:rPr>
          <w:rFonts w:ascii="Arial" w:hAnsi="Arial" w:cs="Arial"/>
          <w:sz w:val="20"/>
          <w:szCs w:val="20"/>
        </w:rPr>
        <w:t>the</w:t>
      </w:r>
      <w:r w:rsidRPr="00C1427A">
        <w:rPr>
          <w:rFonts w:ascii="Arial" w:hAnsi="Arial" w:cs="Arial"/>
          <w:spacing w:val="8"/>
          <w:sz w:val="20"/>
          <w:szCs w:val="20"/>
        </w:rPr>
        <w:t xml:space="preserve"> </w:t>
      </w:r>
      <w:r w:rsidRPr="00C1427A">
        <w:rPr>
          <w:rFonts w:ascii="Arial" w:hAnsi="Arial" w:cs="Arial"/>
          <w:sz w:val="20"/>
          <w:szCs w:val="20"/>
        </w:rPr>
        <w:t>exercise</w:t>
      </w:r>
      <w:r w:rsidRPr="00C1427A">
        <w:rPr>
          <w:rFonts w:ascii="Arial" w:hAnsi="Arial" w:cs="Arial"/>
          <w:spacing w:val="8"/>
          <w:sz w:val="20"/>
          <w:szCs w:val="20"/>
        </w:rPr>
        <w:t xml:space="preserve"> </w:t>
      </w:r>
      <w:r w:rsidRPr="00C1427A">
        <w:rPr>
          <w:rFonts w:ascii="Arial" w:hAnsi="Arial" w:cs="Arial"/>
          <w:sz w:val="20"/>
          <w:szCs w:val="20"/>
        </w:rPr>
        <w:t>is</w:t>
      </w:r>
      <w:r w:rsidRPr="00C1427A">
        <w:rPr>
          <w:rFonts w:ascii="Arial" w:hAnsi="Arial" w:cs="Arial"/>
          <w:spacing w:val="5"/>
          <w:sz w:val="20"/>
          <w:szCs w:val="20"/>
        </w:rPr>
        <w:t xml:space="preserve"> </w:t>
      </w:r>
      <w:r w:rsidRPr="00C1427A">
        <w:rPr>
          <w:rFonts w:ascii="Arial" w:hAnsi="Arial" w:cs="Arial"/>
          <w:sz w:val="20"/>
          <w:szCs w:val="20"/>
        </w:rPr>
        <w:t>met</w:t>
      </w:r>
      <w:r w:rsidRPr="00C1427A">
        <w:rPr>
          <w:rFonts w:ascii="Arial" w:hAnsi="Arial" w:cs="Arial"/>
          <w:spacing w:val="8"/>
          <w:sz w:val="20"/>
          <w:szCs w:val="20"/>
        </w:rPr>
        <w:t xml:space="preserve"> </w:t>
      </w:r>
      <w:r w:rsidRPr="00C1427A">
        <w:rPr>
          <w:rFonts w:ascii="Arial" w:hAnsi="Arial" w:cs="Arial"/>
          <w:sz w:val="20"/>
          <w:szCs w:val="20"/>
        </w:rPr>
        <w:t>but</w:t>
      </w:r>
      <w:r w:rsidRPr="00C1427A">
        <w:rPr>
          <w:rFonts w:ascii="Arial" w:hAnsi="Arial" w:cs="Arial"/>
          <w:spacing w:val="5"/>
          <w:sz w:val="20"/>
          <w:szCs w:val="20"/>
        </w:rPr>
        <w:t xml:space="preserve"> </w:t>
      </w:r>
      <w:r w:rsidRPr="00C1427A">
        <w:rPr>
          <w:rFonts w:ascii="Arial" w:hAnsi="Arial" w:cs="Arial"/>
          <w:sz w:val="20"/>
          <w:szCs w:val="20"/>
        </w:rPr>
        <w:t>at</w:t>
      </w:r>
      <w:r w:rsidRPr="00C1427A">
        <w:rPr>
          <w:rFonts w:ascii="Arial" w:hAnsi="Arial" w:cs="Arial"/>
          <w:spacing w:val="7"/>
          <w:sz w:val="20"/>
          <w:szCs w:val="20"/>
        </w:rPr>
        <w:t xml:space="preserve"> </w:t>
      </w:r>
      <w:r w:rsidRPr="00C1427A">
        <w:rPr>
          <w:rFonts w:ascii="Arial" w:hAnsi="Arial" w:cs="Arial"/>
          <w:sz w:val="20"/>
          <w:szCs w:val="20"/>
        </w:rPr>
        <w:t>the</w:t>
      </w:r>
      <w:r w:rsidRPr="00C1427A">
        <w:rPr>
          <w:rFonts w:ascii="Arial" w:hAnsi="Arial" w:cs="Arial"/>
          <w:spacing w:val="5"/>
          <w:sz w:val="20"/>
          <w:szCs w:val="20"/>
        </w:rPr>
        <w:t xml:space="preserve"> </w:t>
      </w:r>
      <w:r w:rsidRPr="00C1427A">
        <w:rPr>
          <w:rFonts w:ascii="Arial" w:hAnsi="Arial" w:cs="Arial"/>
          <w:sz w:val="20"/>
          <w:szCs w:val="20"/>
        </w:rPr>
        <w:t>expense</w:t>
      </w:r>
      <w:r w:rsidRPr="00C1427A">
        <w:rPr>
          <w:rFonts w:ascii="Arial" w:hAnsi="Arial" w:cs="Arial"/>
          <w:spacing w:val="8"/>
          <w:sz w:val="20"/>
          <w:szCs w:val="20"/>
        </w:rPr>
        <w:t xml:space="preserve"> </w:t>
      </w:r>
      <w:r w:rsidRPr="00C1427A">
        <w:rPr>
          <w:rFonts w:ascii="Arial" w:hAnsi="Arial" w:cs="Arial"/>
          <w:sz w:val="20"/>
          <w:szCs w:val="20"/>
        </w:rPr>
        <w:t>of</w:t>
      </w:r>
      <w:r w:rsidRPr="00C1427A">
        <w:rPr>
          <w:rFonts w:ascii="Arial" w:hAnsi="Arial" w:cs="Arial"/>
          <w:spacing w:val="4"/>
          <w:sz w:val="20"/>
          <w:szCs w:val="20"/>
        </w:rPr>
        <w:t xml:space="preserve"> </w:t>
      </w:r>
      <w:r w:rsidRPr="00C1427A">
        <w:rPr>
          <w:rFonts w:ascii="Arial" w:hAnsi="Arial" w:cs="Arial"/>
          <w:sz w:val="20"/>
          <w:szCs w:val="20"/>
        </w:rPr>
        <w:t>safe</w:t>
      </w:r>
      <w:r w:rsidRPr="00C1427A">
        <w:rPr>
          <w:rFonts w:ascii="Arial" w:hAnsi="Arial" w:cs="Arial"/>
          <w:spacing w:val="7"/>
          <w:sz w:val="20"/>
          <w:szCs w:val="20"/>
        </w:rPr>
        <w:t xml:space="preserve"> </w:t>
      </w:r>
      <w:r w:rsidRPr="00C1427A">
        <w:rPr>
          <w:rFonts w:ascii="Arial" w:hAnsi="Arial" w:cs="Arial"/>
          <w:sz w:val="20"/>
          <w:szCs w:val="20"/>
        </w:rPr>
        <w:t>flight,</w:t>
      </w:r>
      <w:r w:rsidRPr="00C1427A">
        <w:rPr>
          <w:rFonts w:ascii="Arial" w:hAnsi="Arial" w:cs="Arial"/>
          <w:spacing w:val="8"/>
          <w:sz w:val="20"/>
          <w:szCs w:val="20"/>
        </w:rPr>
        <w:t xml:space="preserve"> </w:t>
      </w:r>
      <w:r w:rsidRPr="00C1427A">
        <w:rPr>
          <w:rFonts w:ascii="Arial" w:hAnsi="Arial" w:cs="Arial"/>
          <w:sz w:val="20"/>
          <w:szCs w:val="20"/>
        </w:rPr>
        <w:t>violation</w:t>
      </w:r>
      <w:r w:rsidRPr="00C1427A">
        <w:rPr>
          <w:rFonts w:ascii="Arial" w:hAnsi="Arial" w:cs="Arial"/>
          <w:spacing w:val="6"/>
          <w:sz w:val="20"/>
          <w:szCs w:val="20"/>
        </w:rPr>
        <w:t xml:space="preserve"> </w:t>
      </w:r>
      <w:r w:rsidRPr="00C1427A">
        <w:rPr>
          <w:rFonts w:ascii="Arial" w:hAnsi="Arial" w:cs="Arial"/>
          <w:sz w:val="20"/>
          <w:szCs w:val="20"/>
        </w:rPr>
        <w:t>of</w:t>
      </w:r>
      <w:r w:rsidRPr="00C1427A">
        <w:rPr>
          <w:rFonts w:ascii="Arial" w:hAnsi="Arial" w:cs="Arial"/>
          <w:spacing w:val="4"/>
          <w:sz w:val="20"/>
          <w:szCs w:val="20"/>
        </w:rPr>
        <w:t xml:space="preserve"> </w:t>
      </w:r>
      <w:r w:rsidRPr="00C1427A">
        <w:rPr>
          <w:rFonts w:ascii="Arial" w:hAnsi="Arial" w:cs="Arial"/>
          <w:sz w:val="20"/>
          <w:szCs w:val="20"/>
        </w:rPr>
        <w:t>a</w:t>
      </w:r>
      <w:r w:rsidRPr="00C1427A">
        <w:rPr>
          <w:rFonts w:ascii="Arial" w:hAnsi="Arial" w:cs="Arial"/>
          <w:spacing w:val="7"/>
          <w:sz w:val="20"/>
          <w:szCs w:val="20"/>
        </w:rPr>
        <w:t xml:space="preserve"> </w:t>
      </w:r>
      <w:r w:rsidRPr="00C1427A">
        <w:rPr>
          <w:rFonts w:ascii="Arial" w:hAnsi="Arial" w:cs="Arial"/>
          <w:sz w:val="20"/>
          <w:szCs w:val="20"/>
        </w:rPr>
        <w:t>rule</w:t>
      </w:r>
      <w:r w:rsidRPr="00C1427A">
        <w:rPr>
          <w:rFonts w:ascii="Arial" w:hAnsi="Arial" w:cs="Arial"/>
          <w:spacing w:val="-47"/>
          <w:sz w:val="20"/>
          <w:szCs w:val="20"/>
        </w:rPr>
        <w:t xml:space="preserve"> </w:t>
      </w:r>
      <w:r w:rsidRPr="00C1427A">
        <w:rPr>
          <w:rFonts w:ascii="Arial" w:hAnsi="Arial" w:cs="Arial"/>
          <w:sz w:val="20"/>
          <w:szCs w:val="20"/>
        </w:rPr>
        <w:t>or</w:t>
      </w:r>
      <w:r w:rsidRPr="00C1427A">
        <w:rPr>
          <w:rFonts w:ascii="Arial" w:hAnsi="Arial" w:cs="Arial"/>
          <w:spacing w:val="-1"/>
          <w:sz w:val="20"/>
          <w:szCs w:val="20"/>
        </w:rPr>
        <w:t xml:space="preserve"> </w:t>
      </w:r>
      <w:r w:rsidRPr="00C1427A">
        <w:rPr>
          <w:rFonts w:ascii="Arial" w:hAnsi="Arial" w:cs="Arial"/>
          <w:sz w:val="20"/>
          <w:szCs w:val="20"/>
        </w:rPr>
        <w:t>regulation, poor</w:t>
      </w:r>
      <w:r w:rsidRPr="00C1427A">
        <w:rPr>
          <w:rFonts w:ascii="Arial" w:hAnsi="Arial" w:cs="Arial"/>
          <w:spacing w:val="-3"/>
          <w:sz w:val="20"/>
          <w:szCs w:val="20"/>
        </w:rPr>
        <w:t xml:space="preserve"> </w:t>
      </w:r>
      <w:r w:rsidRPr="00C1427A">
        <w:rPr>
          <w:rFonts w:ascii="Arial" w:hAnsi="Arial" w:cs="Arial"/>
          <w:sz w:val="20"/>
          <w:szCs w:val="20"/>
        </w:rPr>
        <w:t>airmanship</w:t>
      </w:r>
      <w:r w:rsidRPr="00C1427A">
        <w:rPr>
          <w:rFonts w:ascii="Arial" w:hAnsi="Arial" w:cs="Arial"/>
          <w:spacing w:val="-1"/>
          <w:sz w:val="20"/>
          <w:szCs w:val="20"/>
        </w:rPr>
        <w:t xml:space="preserve"> </w:t>
      </w:r>
      <w:r w:rsidRPr="00C1427A">
        <w:rPr>
          <w:rFonts w:ascii="Arial" w:hAnsi="Arial" w:cs="Arial"/>
          <w:sz w:val="20"/>
          <w:szCs w:val="20"/>
        </w:rPr>
        <w:t>or poor</w:t>
      </w:r>
      <w:r w:rsidRPr="00C1427A">
        <w:rPr>
          <w:rFonts w:ascii="Arial" w:hAnsi="Arial" w:cs="Arial"/>
          <w:spacing w:val="-2"/>
          <w:sz w:val="20"/>
          <w:szCs w:val="20"/>
        </w:rPr>
        <w:t xml:space="preserve"> </w:t>
      </w:r>
      <w:r w:rsidRPr="00C1427A">
        <w:rPr>
          <w:rFonts w:ascii="Arial" w:hAnsi="Arial" w:cs="Arial"/>
          <w:sz w:val="20"/>
          <w:szCs w:val="20"/>
        </w:rPr>
        <w:t>control;</w:t>
      </w:r>
    </w:p>
    <w:p w14:paraId="2BD2D91E" w14:textId="77777777" w:rsidR="00C1427A" w:rsidRPr="00C1427A" w:rsidRDefault="00C1427A" w:rsidP="00D91E6C">
      <w:pPr>
        <w:pStyle w:val="ListParagraph"/>
        <w:numPr>
          <w:ilvl w:val="2"/>
          <w:numId w:val="279"/>
        </w:numPr>
        <w:tabs>
          <w:tab w:val="left" w:pos="1841"/>
          <w:tab w:val="left" w:pos="1842"/>
        </w:tabs>
        <w:spacing w:before="121"/>
        <w:ind w:right="68"/>
        <w:rPr>
          <w:rFonts w:ascii="Arial" w:hAnsi="Arial" w:cs="Arial"/>
          <w:sz w:val="20"/>
          <w:szCs w:val="20"/>
        </w:rPr>
      </w:pPr>
      <w:r w:rsidRPr="00C1427A">
        <w:rPr>
          <w:rFonts w:ascii="Arial" w:hAnsi="Arial" w:cs="Arial"/>
          <w:sz w:val="20"/>
          <w:szCs w:val="20"/>
        </w:rPr>
        <w:t>an</w:t>
      </w:r>
      <w:r w:rsidRPr="00C1427A">
        <w:rPr>
          <w:rFonts w:ascii="Arial" w:hAnsi="Arial" w:cs="Arial"/>
          <w:spacing w:val="-2"/>
          <w:sz w:val="20"/>
          <w:szCs w:val="20"/>
        </w:rPr>
        <w:t xml:space="preserve"> </w:t>
      </w:r>
      <w:r w:rsidRPr="00C1427A">
        <w:rPr>
          <w:rFonts w:ascii="Arial" w:hAnsi="Arial" w:cs="Arial"/>
          <w:sz w:val="20"/>
          <w:szCs w:val="20"/>
        </w:rPr>
        <w:t>acceptable</w:t>
      </w:r>
      <w:r w:rsidRPr="00C1427A">
        <w:rPr>
          <w:rFonts w:ascii="Arial" w:hAnsi="Arial" w:cs="Arial"/>
          <w:spacing w:val="1"/>
          <w:sz w:val="20"/>
          <w:szCs w:val="20"/>
        </w:rPr>
        <w:t xml:space="preserve"> </w:t>
      </w:r>
      <w:r w:rsidRPr="00C1427A">
        <w:rPr>
          <w:rFonts w:ascii="Arial" w:hAnsi="Arial" w:cs="Arial"/>
          <w:sz w:val="20"/>
          <w:szCs w:val="20"/>
        </w:rPr>
        <w:t>level</w:t>
      </w:r>
      <w:r w:rsidRPr="00C1427A">
        <w:rPr>
          <w:rFonts w:ascii="Arial" w:hAnsi="Arial" w:cs="Arial"/>
          <w:spacing w:val="-3"/>
          <w:sz w:val="20"/>
          <w:szCs w:val="20"/>
        </w:rPr>
        <w:t xml:space="preserve"> </w:t>
      </w:r>
      <w:r w:rsidRPr="00C1427A">
        <w:rPr>
          <w:rFonts w:ascii="Arial" w:hAnsi="Arial" w:cs="Arial"/>
          <w:sz w:val="20"/>
          <w:szCs w:val="20"/>
        </w:rPr>
        <w:t>of</w:t>
      </w:r>
      <w:r w:rsidRPr="00C1427A">
        <w:rPr>
          <w:rFonts w:ascii="Arial" w:hAnsi="Arial" w:cs="Arial"/>
          <w:spacing w:val="-2"/>
          <w:sz w:val="20"/>
          <w:szCs w:val="20"/>
        </w:rPr>
        <w:t xml:space="preserve"> </w:t>
      </w:r>
      <w:r w:rsidRPr="00C1427A">
        <w:rPr>
          <w:rFonts w:ascii="Arial" w:hAnsi="Arial" w:cs="Arial"/>
          <w:sz w:val="20"/>
          <w:szCs w:val="20"/>
        </w:rPr>
        <w:t>knowledge is</w:t>
      </w:r>
      <w:r w:rsidRPr="00C1427A">
        <w:rPr>
          <w:rFonts w:ascii="Arial" w:hAnsi="Arial" w:cs="Arial"/>
          <w:spacing w:val="-3"/>
          <w:sz w:val="20"/>
          <w:szCs w:val="20"/>
        </w:rPr>
        <w:t xml:space="preserve"> </w:t>
      </w:r>
      <w:r w:rsidRPr="00C1427A">
        <w:rPr>
          <w:rFonts w:ascii="Arial" w:hAnsi="Arial" w:cs="Arial"/>
          <w:sz w:val="20"/>
          <w:szCs w:val="20"/>
        </w:rPr>
        <w:t>not</w:t>
      </w:r>
      <w:r w:rsidRPr="00C1427A">
        <w:rPr>
          <w:rFonts w:ascii="Arial" w:hAnsi="Arial" w:cs="Arial"/>
          <w:spacing w:val="-2"/>
          <w:sz w:val="20"/>
          <w:szCs w:val="20"/>
        </w:rPr>
        <w:t xml:space="preserve"> </w:t>
      </w:r>
      <w:r w:rsidRPr="00C1427A">
        <w:rPr>
          <w:rFonts w:ascii="Arial" w:hAnsi="Arial" w:cs="Arial"/>
          <w:sz w:val="20"/>
          <w:szCs w:val="20"/>
        </w:rPr>
        <w:t>demonstrated;</w:t>
      </w:r>
    </w:p>
    <w:p w14:paraId="52E00CEB" w14:textId="77777777" w:rsidR="00C1427A" w:rsidRPr="00C1427A" w:rsidRDefault="00C1427A" w:rsidP="00D91E6C">
      <w:pPr>
        <w:pStyle w:val="ListParagraph"/>
        <w:numPr>
          <w:ilvl w:val="2"/>
          <w:numId w:val="279"/>
        </w:numPr>
        <w:tabs>
          <w:tab w:val="left" w:pos="1841"/>
          <w:tab w:val="left" w:pos="1842"/>
        </w:tabs>
        <w:spacing w:before="121"/>
        <w:ind w:right="68"/>
        <w:rPr>
          <w:rFonts w:ascii="Arial" w:hAnsi="Arial" w:cs="Arial"/>
          <w:sz w:val="20"/>
          <w:szCs w:val="20"/>
        </w:rPr>
      </w:pPr>
      <w:r w:rsidRPr="00C1427A">
        <w:rPr>
          <w:rFonts w:ascii="Arial" w:hAnsi="Arial" w:cs="Arial"/>
          <w:sz w:val="20"/>
          <w:szCs w:val="20"/>
        </w:rPr>
        <w:t>an</w:t>
      </w:r>
      <w:r w:rsidRPr="00C1427A">
        <w:rPr>
          <w:rFonts w:ascii="Arial" w:hAnsi="Arial" w:cs="Arial"/>
          <w:spacing w:val="-3"/>
          <w:sz w:val="20"/>
          <w:szCs w:val="20"/>
        </w:rPr>
        <w:t xml:space="preserve"> </w:t>
      </w:r>
      <w:r w:rsidRPr="00C1427A">
        <w:rPr>
          <w:rFonts w:ascii="Arial" w:hAnsi="Arial" w:cs="Arial"/>
          <w:sz w:val="20"/>
          <w:szCs w:val="20"/>
        </w:rPr>
        <w:t>acceptable level</w:t>
      </w:r>
      <w:r w:rsidRPr="00C1427A">
        <w:rPr>
          <w:rFonts w:ascii="Arial" w:hAnsi="Arial" w:cs="Arial"/>
          <w:spacing w:val="-4"/>
          <w:sz w:val="20"/>
          <w:szCs w:val="20"/>
        </w:rPr>
        <w:t xml:space="preserve"> </w:t>
      </w:r>
      <w:r w:rsidRPr="00C1427A">
        <w:rPr>
          <w:rFonts w:ascii="Arial" w:hAnsi="Arial" w:cs="Arial"/>
          <w:sz w:val="20"/>
          <w:szCs w:val="20"/>
        </w:rPr>
        <w:t>of</w:t>
      </w:r>
      <w:r w:rsidRPr="00C1427A">
        <w:rPr>
          <w:rFonts w:ascii="Arial" w:hAnsi="Arial" w:cs="Arial"/>
          <w:spacing w:val="-1"/>
          <w:sz w:val="20"/>
          <w:szCs w:val="20"/>
        </w:rPr>
        <w:t xml:space="preserve"> </w:t>
      </w:r>
      <w:r w:rsidRPr="00C1427A">
        <w:rPr>
          <w:rFonts w:ascii="Arial" w:hAnsi="Arial" w:cs="Arial"/>
          <w:sz w:val="20"/>
          <w:szCs w:val="20"/>
        </w:rPr>
        <w:t>flight</w:t>
      </w:r>
      <w:r w:rsidRPr="00C1427A">
        <w:rPr>
          <w:rFonts w:ascii="Arial" w:hAnsi="Arial" w:cs="Arial"/>
          <w:spacing w:val="-3"/>
          <w:sz w:val="20"/>
          <w:szCs w:val="20"/>
        </w:rPr>
        <w:t xml:space="preserve"> </w:t>
      </w:r>
      <w:r w:rsidRPr="00C1427A">
        <w:rPr>
          <w:rFonts w:ascii="Arial" w:hAnsi="Arial" w:cs="Arial"/>
          <w:sz w:val="20"/>
          <w:szCs w:val="20"/>
        </w:rPr>
        <w:t>management</w:t>
      </w:r>
      <w:r w:rsidRPr="00C1427A">
        <w:rPr>
          <w:rFonts w:ascii="Arial" w:hAnsi="Arial" w:cs="Arial"/>
          <w:spacing w:val="-2"/>
          <w:sz w:val="20"/>
          <w:szCs w:val="20"/>
        </w:rPr>
        <w:t xml:space="preserve"> </w:t>
      </w:r>
      <w:r w:rsidRPr="00C1427A">
        <w:rPr>
          <w:rFonts w:ascii="Arial" w:hAnsi="Arial" w:cs="Arial"/>
          <w:sz w:val="20"/>
          <w:szCs w:val="20"/>
        </w:rPr>
        <w:t>is</w:t>
      </w:r>
      <w:r w:rsidRPr="00C1427A">
        <w:rPr>
          <w:rFonts w:ascii="Arial" w:hAnsi="Arial" w:cs="Arial"/>
          <w:spacing w:val="1"/>
          <w:sz w:val="20"/>
          <w:szCs w:val="20"/>
        </w:rPr>
        <w:t xml:space="preserve"> </w:t>
      </w:r>
      <w:r w:rsidRPr="00C1427A">
        <w:rPr>
          <w:rFonts w:ascii="Arial" w:hAnsi="Arial" w:cs="Arial"/>
          <w:sz w:val="20"/>
          <w:szCs w:val="20"/>
        </w:rPr>
        <w:t>not</w:t>
      </w:r>
      <w:r w:rsidRPr="00C1427A">
        <w:rPr>
          <w:rFonts w:ascii="Arial" w:hAnsi="Arial" w:cs="Arial"/>
          <w:spacing w:val="-2"/>
          <w:sz w:val="20"/>
          <w:szCs w:val="20"/>
        </w:rPr>
        <w:t xml:space="preserve"> </w:t>
      </w:r>
      <w:r w:rsidRPr="00C1427A">
        <w:rPr>
          <w:rFonts w:ascii="Arial" w:hAnsi="Arial" w:cs="Arial"/>
          <w:sz w:val="20"/>
          <w:szCs w:val="20"/>
        </w:rPr>
        <w:t>demonstrated;</w:t>
      </w:r>
      <w:r w:rsidRPr="00C1427A">
        <w:rPr>
          <w:rFonts w:ascii="Arial" w:hAnsi="Arial" w:cs="Arial"/>
          <w:spacing w:val="-3"/>
          <w:sz w:val="20"/>
          <w:szCs w:val="20"/>
        </w:rPr>
        <w:t xml:space="preserve"> </w:t>
      </w:r>
      <w:r w:rsidRPr="00C1427A">
        <w:rPr>
          <w:rFonts w:ascii="Arial" w:hAnsi="Arial" w:cs="Arial"/>
          <w:sz w:val="20"/>
          <w:szCs w:val="20"/>
        </w:rPr>
        <w:t>and</w:t>
      </w:r>
    </w:p>
    <w:p w14:paraId="785C75F9" w14:textId="77777777" w:rsidR="00C1427A" w:rsidRPr="00C1427A" w:rsidRDefault="00C1427A" w:rsidP="00D91E6C">
      <w:pPr>
        <w:pStyle w:val="ListParagraph"/>
        <w:numPr>
          <w:ilvl w:val="2"/>
          <w:numId w:val="279"/>
        </w:numPr>
        <w:tabs>
          <w:tab w:val="left" w:pos="1841"/>
          <w:tab w:val="left" w:pos="1842"/>
        </w:tabs>
        <w:ind w:right="68"/>
        <w:rPr>
          <w:rFonts w:ascii="Arial" w:hAnsi="Arial" w:cs="Arial"/>
          <w:sz w:val="20"/>
          <w:szCs w:val="20"/>
        </w:rPr>
      </w:pPr>
      <w:r w:rsidRPr="00C1427A">
        <w:rPr>
          <w:rFonts w:ascii="Arial" w:hAnsi="Arial" w:cs="Arial"/>
          <w:sz w:val="20"/>
          <w:szCs w:val="20"/>
        </w:rPr>
        <w:t>the</w:t>
      </w:r>
      <w:r w:rsidRPr="00C1427A">
        <w:rPr>
          <w:rFonts w:ascii="Arial" w:hAnsi="Arial" w:cs="Arial"/>
          <w:spacing w:val="-8"/>
          <w:sz w:val="20"/>
          <w:szCs w:val="20"/>
        </w:rPr>
        <w:t xml:space="preserve"> </w:t>
      </w:r>
      <w:r w:rsidRPr="00C1427A">
        <w:rPr>
          <w:rFonts w:ascii="Arial" w:hAnsi="Arial" w:cs="Arial"/>
          <w:sz w:val="20"/>
          <w:szCs w:val="20"/>
        </w:rPr>
        <w:t>intervention</w:t>
      </w:r>
      <w:r w:rsidRPr="00C1427A">
        <w:rPr>
          <w:rFonts w:ascii="Arial" w:hAnsi="Arial" w:cs="Arial"/>
          <w:spacing w:val="-9"/>
          <w:sz w:val="20"/>
          <w:szCs w:val="20"/>
        </w:rPr>
        <w:t xml:space="preserve"> </w:t>
      </w:r>
      <w:r w:rsidRPr="00C1427A">
        <w:rPr>
          <w:rFonts w:ascii="Arial" w:hAnsi="Arial" w:cs="Arial"/>
          <w:sz w:val="20"/>
          <w:szCs w:val="20"/>
        </w:rPr>
        <w:t>of</w:t>
      </w:r>
      <w:r w:rsidRPr="00C1427A">
        <w:rPr>
          <w:rFonts w:ascii="Arial" w:hAnsi="Arial" w:cs="Arial"/>
          <w:spacing w:val="-7"/>
          <w:sz w:val="20"/>
          <w:szCs w:val="20"/>
        </w:rPr>
        <w:t xml:space="preserve"> </w:t>
      </w:r>
      <w:r w:rsidRPr="00C1427A">
        <w:rPr>
          <w:rFonts w:ascii="Arial" w:hAnsi="Arial" w:cs="Arial"/>
          <w:sz w:val="20"/>
          <w:szCs w:val="20"/>
        </w:rPr>
        <w:t>the</w:t>
      </w:r>
      <w:r w:rsidRPr="00C1427A">
        <w:rPr>
          <w:rFonts w:ascii="Arial" w:hAnsi="Arial" w:cs="Arial"/>
          <w:spacing w:val="-8"/>
          <w:sz w:val="20"/>
          <w:szCs w:val="20"/>
        </w:rPr>
        <w:t xml:space="preserve"> </w:t>
      </w:r>
      <w:r w:rsidRPr="00C1427A">
        <w:rPr>
          <w:rFonts w:ascii="Arial" w:hAnsi="Arial" w:cs="Arial"/>
          <w:sz w:val="20"/>
          <w:szCs w:val="20"/>
        </w:rPr>
        <w:t>examiner</w:t>
      </w:r>
      <w:r w:rsidRPr="00C1427A">
        <w:rPr>
          <w:rFonts w:ascii="Arial" w:hAnsi="Arial" w:cs="Arial"/>
          <w:spacing w:val="-7"/>
          <w:sz w:val="20"/>
          <w:szCs w:val="20"/>
        </w:rPr>
        <w:t xml:space="preserve"> </w:t>
      </w:r>
      <w:r w:rsidRPr="00C1427A">
        <w:rPr>
          <w:rFonts w:ascii="Arial" w:hAnsi="Arial" w:cs="Arial"/>
          <w:sz w:val="20"/>
          <w:szCs w:val="20"/>
        </w:rPr>
        <w:t>or</w:t>
      </w:r>
      <w:r w:rsidRPr="00C1427A">
        <w:rPr>
          <w:rFonts w:ascii="Arial" w:hAnsi="Arial" w:cs="Arial"/>
          <w:spacing w:val="-8"/>
          <w:sz w:val="20"/>
          <w:szCs w:val="20"/>
        </w:rPr>
        <w:t xml:space="preserve"> </w:t>
      </w:r>
      <w:r w:rsidRPr="00C1427A">
        <w:rPr>
          <w:rFonts w:ascii="Arial" w:hAnsi="Arial" w:cs="Arial"/>
          <w:sz w:val="20"/>
          <w:szCs w:val="20"/>
        </w:rPr>
        <w:t>safety</w:t>
      </w:r>
      <w:r w:rsidRPr="00C1427A">
        <w:rPr>
          <w:rFonts w:ascii="Arial" w:hAnsi="Arial" w:cs="Arial"/>
          <w:spacing w:val="-6"/>
          <w:sz w:val="20"/>
          <w:szCs w:val="20"/>
        </w:rPr>
        <w:t xml:space="preserve"> </w:t>
      </w:r>
      <w:r w:rsidRPr="00C1427A">
        <w:rPr>
          <w:rFonts w:ascii="Arial" w:hAnsi="Arial" w:cs="Arial"/>
          <w:sz w:val="20"/>
          <w:szCs w:val="20"/>
        </w:rPr>
        <w:t>pilot</w:t>
      </w:r>
      <w:r w:rsidRPr="00C1427A">
        <w:rPr>
          <w:rFonts w:ascii="Arial" w:hAnsi="Arial" w:cs="Arial"/>
          <w:spacing w:val="-7"/>
          <w:sz w:val="20"/>
          <w:szCs w:val="20"/>
        </w:rPr>
        <w:t xml:space="preserve"> </w:t>
      </w:r>
      <w:r w:rsidRPr="00C1427A">
        <w:rPr>
          <w:rFonts w:ascii="Arial" w:hAnsi="Arial" w:cs="Arial"/>
          <w:sz w:val="20"/>
          <w:szCs w:val="20"/>
        </w:rPr>
        <w:t>is</w:t>
      </w:r>
      <w:r w:rsidRPr="00C1427A">
        <w:rPr>
          <w:rFonts w:ascii="Arial" w:hAnsi="Arial" w:cs="Arial"/>
          <w:spacing w:val="-7"/>
          <w:sz w:val="20"/>
          <w:szCs w:val="20"/>
        </w:rPr>
        <w:t xml:space="preserve"> </w:t>
      </w:r>
      <w:r w:rsidRPr="00C1427A">
        <w:rPr>
          <w:rFonts w:ascii="Arial" w:hAnsi="Arial" w:cs="Arial"/>
          <w:sz w:val="20"/>
          <w:szCs w:val="20"/>
        </w:rPr>
        <w:t>required</w:t>
      </w:r>
      <w:r w:rsidRPr="00C1427A">
        <w:rPr>
          <w:rFonts w:ascii="Arial" w:hAnsi="Arial" w:cs="Arial"/>
          <w:spacing w:val="-9"/>
          <w:sz w:val="20"/>
          <w:szCs w:val="20"/>
        </w:rPr>
        <w:t xml:space="preserve"> </w:t>
      </w:r>
      <w:r w:rsidRPr="00C1427A">
        <w:rPr>
          <w:rFonts w:ascii="Arial" w:hAnsi="Arial" w:cs="Arial"/>
          <w:sz w:val="20"/>
          <w:szCs w:val="20"/>
        </w:rPr>
        <w:t>in</w:t>
      </w:r>
      <w:r w:rsidRPr="00C1427A">
        <w:rPr>
          <w:rFonts w:ascii="Arial" w:hAnsi="Arial" w:cs="Arial"/>
          <w:spacing w:val="-8"/>
          <w:sz w:val="20"/>
          <w:szCs w:val="20"/>
        </w:rPr>
        <w:t xml:space="preserve"> </w:t>
      </w:r>
      <w:r w:rsidRPr="00C1427A">
        <w:rPr>
          <w:rFonts w:ascii="Arial" w:hAnsi="Arial" w:cs="Arial"/>
          <w:sz w:val="20"/>
          <w:szCs w:val="20"/>
        </w:rPr>
        <w:t>the</w:t>
      </w:r>
      <w:r w:rsidRPr="00C1427A">
        <w:rPr>
          <w:rFonts w:ascii="Arial" w:hAnsi="Arial" w:cs="Arial"/>
          <w:spacing w:val="-8"/>
          <w:sz w:val="20"/>
          <w:szCs w:val="20"/>
        </w:rPr>
        <w:t xml:space="preserve"> </w:t>
      </w:r>
      <w:r w:rsidRPr="00C1427A">
        <w:rPr>
          <w:rFonts w:ascii="Arial" w:hAnsi="Arial" w:cs="Arial"/>
          <w:sz w:val="20"/>
          <w:szCs w:val="20"/>
        </w:rPr>
        <w:t>interest</w:t>
      </w:r>
      <w:r w:rsidRPr="00C1427A">
        <w:rPr>
          <w:rFonts w:ascii="Arial" w:hAnsi="Arial" w:cs="Arial"/>
          <w:spacing w:val="-9"/>
          <w:sz w:val="20"/>
          <w:szCs w:val="20"/>
        </w:rPr>
        <w:t xml:space="preserve"> </w:t>
      </w:r>
      <w:r w:rsidRPr="00C1427A">
        <w:rPr>
          <w:rFonts w:ascii="Arial" w:hAnsi="Arial" w:cs="Arial"/>
          <w:sz w:val="20"/>
          <w:szCs w:val="20"/>
        </w:rPr>
        <w:t>of</w:t>
      </w:r>
      <w:r w:rsidRPr="00C1427A">
        <w:rPr>
          <w:rFonts w:ascii="Arial" w:hAnsi="Arial" w:cs="Arial"/>
          <w:spacing w:val="-8"/>
          <w:sz w:val="20"/>
          <w:szCs w:val="20"/>
        </w:rPr>
        <w:t xml:space="preserve"> </w:t>
      </w:r>
      <w:r w:rsidRPr="00C1427A">
        <w:rPr>
          <w:rFonts w:ascii="Arial" w:hAnsi="Arial" w:cs="Arial"/>
          <w:sz w:val="20"/>
          <w:szCs w:val="20"/>
        </w:rPr>
        <w:t>safety;</w:t>
      </w:r>
      <w:r w:rsidRPr="00C1427A">
        <w:rPr>
          <w:rFonts w:ascii="Arial" w:hAnsi="Arial" w:cs="Arial"/>
          <w:spacing w:val="-46"/>
          <w:sz w:val="20"/>
          <w:szCs w:val="20"/>
        </w:rPr>
        <w:t xml:space="preserve"> </w:t>
      </w:r>
      <w:r w:rsidRPr="00C1427A">
        <w:rPr>
          <w:rFonts w:ascii="Arial" w:hAnsi="Arial" w:cs="Arial"/>
          <w:sz w:val="20"/>
          <w:szCs w:val="20"/>
        </w:rPr>
        <w:t>and</w:t>
      </w:r>
    </w:p>
    <w:p w14:paraId="0E26D329" w14:textId="77777777" w:rsidR="00C1427A" w:rsidRPr="00C1427A" w:rsidRDefault="00C1427A" w:rsidP="00D91E6C">
      <w:pPr>
        <w:pStyle w:val="ListParagraph"/>
        <w:numPr>
          <w:ilvl w:val="1"/>
          <w:numId w:val="279"/>
        </w:numPr>
        <w:tabs>
          <w:tab w:val="left" w:pos="1273"/>
          <w:tab w:val="left" w:pos="1274"/>
        </w:tabs>
        <w:spacing w:before="121"/>
        <w:ind w:right="68"/>
        <w:rPr>
          <w:rFonts w:ascii="Arial" w:hAnsi="Arial" w:cs="Arial"/>
          <w:sz w:val="20"/>
          <w:szCs w:val="20"/>
        </w:rPr>
      </w:pPr>
      <w:r w:rsidRPr="00C1427A">
        <w:rPr>
          <w:rFonts w:ascii="Arial" w:hAnsi="Arial" w:cs="Arial"/>
          <w:sz w:val="20"/>
          <w:szCs w:val="20"/>
        </w:rPr>
        <w:t>a</w:t>
      </w:r>
      <w:r w:rsidRPr="00C1427A">
        <w:rPr>
          <w:rFonts w:ascii="Arial" w:hAnsi="Arial" w:cs="Arial"/>
          <w:spacing w:val="-3"/>
          <w:sz w:val="20"/>
          <w:szCs w:val="20"/>
        </w:rPr>
        <w:t xml:space="preserve"> </w:t>
      </w:r>
      <w:r w:rsidRPr="00C1427A">
        <w:rPr>
          <w:rFonts w:ascii="Arial" w:hAnsi="Arial" w:cs="Arial"/>
          <w:sz w:val="20"/>
          <w:szCs w:val="20"/>
        </w:rPr>
        <w:t>‘partial</w:t>
      </w:r>
      <w:r w:rsidRPr="00C1427A">
        <w:rPr>
          <w:rFonts w:ascii="Arial" w:hAnsi="Arial" w:cs="Arial"/>
          <w:spacing w:val="-6"/>
          <w:sz w:val="20"/>
          <w:szCs w:val="20"/>
        </w:rPr>
        <w:t xml:space="preserve"> </w:t>
      </w:r>
      <w:r w:rsidRPr="00C1427A">
        <w:rPr>
          <w:rFonts w:ascii="Arial" w:hAnsi="Arial" w:cs="Arial"/>
          <w:sz w:val="20"/>
          <w:szCs w:val="20"/>
        </w:rPr>
        <w:t>pass’</w:t>
      </w:r>
      <w:r w:rsidRPr="00C1427A">
        <w:rPr>
          <w:rFonts w:ascii="Arial" w:hAnsi="Arial" w:cs="Arial"/>
          <w:spacing w:val="-5"/>
          <w:sz w:val="20"/>
          <w:szCs w:val="20"/>
        </w:rPr>
        <w:t xml:space="preserve"> </w:t>
      </w:r>
      <w:r w:rsidRPr="00C1427A">
        <w:rPr>
          <w:rFonts w:ascii="Arial" w:hAnsi="Arial" w:cs="Arial"/>
          <w:sz w:val="20"/>
          <w:szCs w:val="20"/>
        </w:rPr>
        <w:t>in</w:t>
      </w:r>
      <w:r w:rsidRPr="00C1427A">
        <w:rPr>
          <w:rFonts w:ascii="Arial" w:hAnsi="Arial" w:cs="Arial"/>
          <w:spacing w:val="-3"/>
          <w:sz w:val="20"/>
          <w:szCs w:val="20"/>
        </w:rPr>
        <w:t xml:space="preserve"> </w:t>
      </w:r>
      <w:r w:rsidRPr="00C1427A">
        <w:rPr>
          <w:rFonts w:ascii="Arial" w:hAnsi="Arial" w:cs="Arial"/>
          <w:sz w:val="20"/>
          <w:szCs w:val="20"/>
        </w:rPr>
        <w:t>accordance</w:t>
      </w:r>
      <w:r w:rsidRPr="00C1427A">
        <w:rPr>
          <w:rFonts w:ascii="Arial" w:hAnsi="Arial" w:cs="Arial"/>
          <w:spacing w:val="-4"/>
          <w:sz w:val="20"/>
          <w:szCs w:val="20"/>
        </w:rPr>
        <w:t xml:space="preserve"> </w:t>
      </w:r>
      <w:r w:rsidRPr="00C1427A">
        <w:rPr>
          <w:rFonts w:ascii="Arial" w:hAnsi="Arial" w:cs="Arial"/>
          <w:sz w:val="20"/>
          <w:szCs w:val="20"/>
        </w:rPr>
        <w:t>with</w:t>
      </w:r>
      <w:r w:rsidRPr="00C1427A">
        <w:rPr>
          <w:rFonts w:ascii="Arial" w:hAnsi="Arial" w:cs="Arial"/>
          <w:spacing w:val="-6"/>
          <w:sz w:val="20"/>
          <w:szCs w:val="20"/>
        </w:rPr>
        <w:t xml:space="preserve"> </w:t>
      </w:r>
      <w:r w:rsidRPr="00C1427A">
        <w:rPr>
          <w:rFonts w:ascii="Arial" w:hAnsi="Arial" w:cs="Arial"/>
          <w:sz w:val="20"/>
          <w:szCs w:val="20"/>
        </w:rPr>
        <w:t>the</w:t>
      </w:r>
      <w:r w:rsidRPr="00C1427A">
        <w:rPr>
          <w:rFonts w:ascii="Arial" w:hAnsi="Arial" w:cs="Arial"/>
          <w:spacing w:val="-5"/>
          <w:sz w:val="20"/>
          <w:szCs w:val="20"/>
        </w:rPr>
        <w:t xml:space="preserve"> </w:t>
      </w:r>
      <w:r w:rsidRPr="00C1427A">
        <w:rPr>
          <w:rFonts w:ascii="Arial" w:hAnsi="Arial" w:cs="Arial"/>
          <w:sz w:val="20"/>
          <w:szCs w:val="20"/>
        </w:rPr>
        <w:t>criteria</w:t>
      </w:r>
      <w:r w:rsidRPr="00C1427A">
        <w:rPr>
          <w:rFonts w:ascii="Arial" w:hAnsi="Arial" w:cs="Arial"/>
          <w:spacing w:val="-5"/>
          <w:sz w:val="20"/>
          <w:szCs w:val="20"/>
        </w:rPr>
        <w:t xml:space="preserve"> </w:t>
      </w:r>
      <w:r w:rsidRPr="00C1427A">
        <w:rPr>
          <w:rFonts w:ascii="Arial" w:hAnsi="Arial" w:cs="Arial"/>
          <w:sz w:val="20"/>
          <w:szCs w:val="20"/>
        </w:rPr>
        <w:t>shown</w:t>
      </w:r>
      <w:r w:rsidRPr="00C1427A">
        <w:rPr>
          <w:rFonts w:ascii="Arial" w:hAnsi="Arial" w:cs="Arial"/>
          <w:spacing w:val="-5"/>
          <w:sz w:val="20"/>
          <w:szCs w:val="20"/>
        </w:rPr>
        <w:t xml:space="preserve"> </w:t>
      </w:r>
      <w:r w:rsidRPr="00C1427A">
        <w:rPr>
          <w:rFonts w:ascii="Arial" w:hAnsi="Arial" w:cs="Arial"/>
          <w:sz w:val="20"/>
          <w:szCs w:val="20"/>
        </w:rPr>
        <w:t>in</w:t>
      </w:r>
      <w:r w:rsidRPr="00C1427A">
        <w:rPr>
          <w:rFonts w:ascii="Arial" w:hAnsi="Arial" w:cs="Arial"/>
          <w:spacing w:val="-3"/>
          <w:sz w:val="20"/>
          <w:szCs w:val="20"/>
        </w:rPr>
        <w:t xml:space="preserve"> </w:t>
      </w:r>
      <w:r w:rsidRPr="00C1427A">
        <w:rPr>
          <w:rFonts w:ascii="Arial" w:hAnsi="Arial" w:cs="Arial"/>
          <w:sz w:val="20"/>
          <w:szCs w:val="20"/>
        </w:rPr>
        <w:t>the</w:t>
      </w:r>
      <w:r w:rsidRPr="00C1427A">
        <w:rPr>
          <w:rFonts w:ascii="Arial" w:hAnsi="Arial" w:cs="Arial"/>
          <w:spacing w:val="-5"/>
          <w:sz w:val="20"/>
          <w:szCs w:val="20"/>
        </w:rPr>
        <w:t xml:space="preserve"> </w:t>
      </w:r>
      <w:r w:rsidRPr="00C1427A">
        <w:rPr>
          <w:rFonts w:ascii="Arial" w:hAnsi="Arial" w:cs="Arial"/>
          <w:sz w:val="20"/>
          <w:szCs w:val="20"/>
        </w:rPr>
        <w:t>relevant</w:t>
      </w:r>
      <w:r w:rsidRPr="00C1427A">
        <w:rPr>
          <w:rFonts w:ascii="Arial" w:hAnsi="Arial" w:cs="Arial"/>
          <w:spacing w:val="-5"/>
          <w:sz w:val="20"/>
          <w:szCs w:val="20"/>
        </w:rPr>
        <w:t xml:space="preserve"> </w:t>
      </w:r>
      <w:r w:rsidRPr="00C1427A">
        <w:rPr>
          <w:rFonts w:ascii="Arial" w:hAnsi="Arial" w:cs="Arial"/>
          <w:sz w:val="20"/>
          <w:szCs w:val="20"/>
        </w:rPr>
        <w:t>skill</w:t>
      </w:r>
      <w:r w:rsidRPr="00C1427A">
        <w:rPr>
          <w:rFonts w:ascii="Arial" w:hAnsi="Arial" w:cs="Arial"/>
          <w:spacing w:val="-3"/>
          <w:sz w:val="20"/>
          <w:szCs w:val="20"/>
        </w:rPr>
        <w:t xml:space="preserve"> </w:t>
      </w:r>
      <w:r w:rsidRPr="00C1427A">
        <w:rPr>
          <w:rFonts w:ascii="Arial" w:hAnsi="Arial" w:cs="Arial"/>
          <w:sz w:val="20"/>
          <w:szCs w:val="20"/>
        </w:rPr>
        <w:t>test</w:t>
      </w:r>
      <w:r w:rsidRPr="00C1427A">
        <w:rPr>
          <w:rFonts w:ascii="Arial" w:hAnsi="Arial" w:cs="Arial"/>
          <w:spacing w:val="-4"/>
          <w:sz w:val="20"/>
          <w:szCs w:val="20"/>
        </w:rPr>
        <w:t xml:space="preserve"> </w:t>
      </w:r>
      <w:r w:rsidRPr="00C1427A">
        <w:rPr>
          <w:rFonts w:ascii="Arial" w:hAnsi="Arial" w:cs="Arial"/>
          <w:sz w:val="20"/>
          <w:szCs w:val="20"/>
        </w:rPr>
        <w:t>appendix</w:t>
      </w:r>
      <w:r w:rsidRPr="00C1427A">
        <w:rPr>
          <w:rFonts w:ascii="Arial" w:hAnsi="Arial" w:cs="Arial"/>
          <w:spacing w:val="-2"/>
          <w:sz w:val="20"/>
          <w:szCs w:val="20"/>
        </w:rPr>
        <w:t xml:space="preserve"> </w:t>
      </w:r>
      <w:r w:rsidRPr="00C1427A">
        <w:rPr>
          <w:rFonts w:ascii="Arial" w:hAnsi="Arial" w:cs="Arial"/>
          <w:sz w:val="20"/>
          <w:szCs w:val="20"/>
        </w:rPr>
        <w:t>to</w:t>
      </w:r>
      <w:r w:rsidRPr="00C1427A">
        <w:rPr>
          <w:rFonts w:ascii="Arial" w:hAnsi="Arial" w:cs="Arial"/>
          <w:spacing w:val="-47"/>
          <w:sz w:val="20"/>
          <w:szCs w:val="20"/>
        </w:rPr>
        <w:t xml:space="preserve"> </w:t>
      </w:r>
      <w:r w:rsidRPr="00C1427A">
        <w:rPr>
          <w:rFonts w:ascii="Arial" w:hAnsi="Arial" w:cs="Arial"/>
          <w:sz w:val="20"/>
          <w:szCs w:val="20"/>
        </w:rPr>
        <w:t>Part-BFCL.</w:t>
      </w:r>
    </w:p>
    <w:p w14:paraId="027F8F8F" w14:textId="77777777" w:rsidR="00C1427A" w:rsidRPr="00C1427A" w:rsidRDefault="00C1427A" w:rsidP="00D91E6C">
      <w:pPr>
        <w:pStyle w:val="ListParagraph"/>
        <w:numPr>
          <w:ilvl w:val="0"/>
          <w:numId w:val="279"/>
        </w:numPr>
        <w:tabs>
          <w:tab w:val="left" w:pos="707"/>
        </w:tabs>
        <w:ind w:right="68"/>
        <w:jc w:val="both"/>
        <w:rPr>
          <w:rFonts w:ascii="Arial" w:hAnsi="Arial" w:cs="Arial"/>
          <w:sz w:val="20"/>
          <w:szCs w:val="20"/>
        </w:rPr>
      </w:pPr>
      <w:r w:rsidRPr="00C1427A">
        <w:rPr>
          <w:rFonts w:ascii="Arial" w:hAnsi="Arial" w:cs="Arial"/>
          <w:sz w:val="20"/>
          <w:szCs w:val="20"/>
        </w:rPr>
        <w:lastRenderedPageBreak/>
        <w:t>Method</w:t>
      </w:r>
      <w:r w:rsidRPr="00C1427A">
        <w:rPr>
          <w:rFonts w:ascii="Arial" w:hAnsi="Arial" w:cs="Arial"/>
          <w:spacing w:val="-2"/>
          <w:sz w:val="20"/>
          <w:szCs w:val="20"/>
        </w:rPr>
        <w:t xml:space="preserve"> </w:t>
      </w:r>
      <w:r w:rsidRPr="00C1427A">
        <w:rPr>
          <w:rFonts w:ascii="Arial" w:hAnsi="Arial" w:cs="Arial"/>
          <w:sz w:val="20"/>
          <w:szCs w:val="20"/>
        </w:rPr>
        <w:t>and</w:t>
      </w:r>
      <w:r w:rsidRPr="00C1427A">
        <w:rPr>
          <w:rFonts w:ascii="Arial" w:hAnsi="Arial" w:cs="Arial"/>
          <w:spacing w:val="-1"/>
          <w:sz w:val="20"/>
          <w:szCs w:val="20"/>
        </w:rPr>
        <w:t xml:space="preserve"> </w:t>
      </w:r>
      <w:r w:rsidRPr="00C1427A">
        <w:rPr>
          <w:rFonts w:ascii="Arial" w:hAnsi="Arial" w:cs="Arial"/>
          <w:sz w:val="20"/>
          <w:szCs w:val="20"/>
        </w:rPr>
        <w:t>contents</w:t>
      </w:r>
      <w:r w:rsidRPr="00C1427A">
        <w:rPr>
          <w:rFonts w:ascii="Arial" w:hAnsi="Arial" w:cs="Arial"/>
          <w:spacing w:val="-2"/>
          <w:sz w:val="20"/>
          <w:szCs w:val="20"/>
        </w:rPr>
        <w:t xml:space="preserve"> </w:t>
      </w:r>
      <w:r w:rsidRPr="00C1427A">
        <w:rPr>
          <w:rFonts w:ascii="Arial" w:hAnsi="Arial" w:cs="Arial"/>
          <w:sz w:val="20"/>
          <w:szCs w:val="20"/>
        </w:rPr>
        <w:t>of</w:t>
      </w:r>
      <w:r w:rsidRPr="00C1427A">
        <w:rPr>
          <w:rFonts w:ascii="Arial" w:hAnsi="Arial" w:cs="Arial"/>
          <w:spacing w:val="-1"/>
          <w:sz w:val="20"/>
          <w:szCs w:val="20"/>
        </w:rPr>
        <w:t xml:space="preserve"> </w:t>
      </w:r>
      <w:r w:rsidRPr="00C1427A">
        <w:rPr>
          <w:rFonts w:ascii="Arial" w:hAnsi="Arial" w:cs="Arial"/>
          <w:sz w:val="20"/>
          <w:szCs w:val="20"/>
        </w:rPr>
        <w:t>the</w:t>
      </w:r>
      <w:r w:rsidRPr="00C1427A">
        <w:rPr>
          <w:rFonts w:ascii="Arial" w:hAnsi="Arial" w:cs="Arial"/>
          <w:spacing w:val="1"/>
          <w:sz w:val="20"/>
          <w:szCs w:val="20"/>
        </w:rPr>
        <w:t xml:space="preserve"> </w:t>
      </w:r>
      <w:r w:rsidRPr="00C1427A">
        <w:rPr>
          <w:rFonts w:ascii="Arial" w:hAnsi="Arial" w:cs="Arial"/>
          <w:sz w:val="20"/>
          <w:szCs w:val="20"/>
        </w:rPr>
        <w:t>test</w:t>
      </w:r>
      <w:r w:rsidRPr="00C1427A">
        <w:rPr>
          <w:rFonts w:ascii="Arial" w:hAnsi="Arial" w:cs="Arial"/>
          <w:spacing w:val="-2"/>
          <w:sz w:val="20"/>
          <w:szCs w:val="20"/>
        </w:rPr>
        <w:t xml:space="preserve"> </w:t>
      </w:r>
      <w:r w:rsidRPr="00C1427A">
        <w:rPr>
          <w:rFonts w:ascii="Arial" w:hAnsi="Arial" w:cs="Arial"/>
          <w:sz w:val="20"/>
          <w:szCs w:val="20"/>
        </w:rPr>
        <w:t>or</w:t>
      </w:r>
      <w:r w:rsidRPr="00C1427A">
        <w:rPr>
          <w:rFonts w:ascii="Arial" w:hAnsi="Arial" w:cs="Arial"/>
          <w:spacing w:val="-1"/>
          <w:sz w:val="20"/>
          <w:szCs w:val="20"/>
        </w:rPr>
        <w:t xml:space="preserve"> </w:t>
      </w:r>
      <w:r w:rsidRPr="00C1427A">
        <w:rPr>
          <w:rFonts w:ascii="Arial" w:hAnsi="Arial" w:cs="Arial"/>
          <w:sz w:val="20"/>
          <w:szCs w:val="20"/>
        </w:rPr>
        <w:t>check</w:t>
      </w:r>
    </w:p>
    <w:p w14:paraId="72B3153F" w14:textId="00755F47" w:rsidR="00C1427A" w:rsidRPr="00C1427A" w:rsidRDefault="00C1427A" w:rsidP="00D91E6C">
      <w:pPr>
        <w:pStyle w:val="ListParagraph"/>
        <w:numPr>
          <w:ilvl w:val="1"/>
          <w:numId w:val="279"/>
        </w:numPr>
        <w:tabs>
          <w:tab w:val="left" w:pos="1274"/>
        </w:tabs>
        <w:spacing w:before="121"/>
        <w:ind w:right="68"/>
        <w:jc w:val="both"/>
        <w:rPr>
          <w:rFonts w:ascii="Arial" w:hAnsi="Arial" w:cs="Arial"/>
          <w:sz w:val="20"/>
          <w:szCs w:val="20"/>
        </w:rPr>
      </w:pPr>
      <w:r w:rsidRPr="00C1427A">
        <w:rPr>
          <w:rFonts w:ascii="Arial" w:hAnsi="Arial" w:cs="Arial"/>
          <w:sz w:val="20"/>
          <w:szCs w:val="20"/>
        </w:rPr>
        <w:t>Before undertaking a test or check, an examiner will verify that the balloon intended to</w:t>
      </w:r>
      <w:r w:rsidRPr="00C1427A">
        <w:rPr>
          <w:rFonts w:ascii="Arial" w:hAnsi="Arial" w:cs="Arial"/>
          <w:spacing w:val="1"/>
          <w:sz w:val="20"/>
          <w:szCs w:val="20"/>
        </w:rPr>
        <w:t xml:space="preserve"> </w:t>
      </w:r>
      <w:r w:rsidRPr="00C1427A">
        <w:rPr>
          <w:rFonts w:ascii="Arial" w:hAnsi="Arial" w:cs="Arial"/>
          <w:sz w:val="20"/>
          <w:szCs w:val="20"/>
        </w:rPr>
        <w:t>be used is suitable and appropriately equipped for the test or check. Aircraft that fall</w:t>
      </w:r>
      <w:r w:rsidRPr="00C1427A">
        <w:rPr>
          <w:rFonts w:ascii="Arial" w:hAnsi="Arial" w:cs="Arial"/>
          <w:spacing w:val="1"/>
          <w:sz w:val="20"/>
          <w:szCs w:val="20"/>
        </w:rPr>
        <w:t xml:space="preserve"> </w:t>
      </w:r>
      <w:r w:rsidRPr="00C1427A">
        <w:rPr>
          <w:rFonts w:ascii="Arial" w:hAnsi="Arial" w:cs="Arial"/>
          <w:sz w:val="20"/>
          <w:szCs w:val="20"/>
        </w:rPr>
        <w:t>under points (a), (b), (c), or (d) of Annex I to the Basic Regulation can be used, provided</w:t>
      </w:r>
      <w:r w:rsidRPr="00C1427A">
        <w:rPr>
          <w:rFonts w:ascii="Arial" w:hAnsi="Arial" w:cs="Arial"/>
          <w:spacing w:val="1"/>
          <w:sz w:val="20"/>
          <w:szCs w:val="20"/>
        </w:rPr>
        <w:t xml:space="preserve"> </w:t>
      </w:r>
      <w:r w:rsidRPr="00C1427A">
        <w:rPr>
          <w:rFonts w:ascii="Arial" w:hAnsi="Arial" w:cs="Arial"/>
          <w:sz w:val="20"/>
          <w:szCs w:val="20"/>
        </w:rPr>
        <w:t>that they are subject to an authorisation as per point ORA.ATO.135 of Annex VII (Part-</w:t>
      </w:r>
      <w:r w:rsidRPr="00C1427A">
        <w:rPr>
          <w:rFonts w:ascii="Arial" w:hAnsi="Arial" w:cs="Arial"/>
          <w:spacing w:val="1"/>
          <w:sz w:val="20"/>
          <w:szCs w:val="20"/>
        </w:rPr>
        <w:t xml:space="preserve"> </w:t>
      </w:r>
      <w:r w:rsidRPr="00C1427A">
        <w:rPr>
          <w:rFonts w:ascii="Arial" w:hAnsi="Arial" w:cs="Arial"/>
          <w:sz w:val="20"/>
          <w:szCs w:val="20"/>
        </w:rPr>
        <w:t>ORA)</w:t>
      </w:r>
      <w:r w:rsidRPr="00C1427A">
        <w:rPr>
          <w:rFonts w:ascii="Arial" w:hAnsi="Arial" w:cs="Arial"/>
          <w:spacing w:val="-4"/>
          <w:sz w:val="20"/>
          <w:szCs w:val="20"/>
        </w:rPr>
        <w:t xml:space="preserve"> </w:t>
      </w:r>
      <w:r w:rsidRPr="00C1427A">
        <w:rPr>
          <w:rFonts w:ascii="Arial" w:hAnsi="Arial" w:cs="Arial"/>
          <w:sz w:val="20"/>
          <w:szCs w:val="20"/>
        </w:rPr>
        <w:t>or</w:t>
      </w:r>
      <w:r w:rsidRPr="00C1427A">
        <w:rPr>
          <w:rFonts w:ascii="Arial" w:hAnsi="Arial" w:cs="Arial"/>
          <w:spacing w:val="-2"/>
          <w:sz w:val="20"/>
          <w:szCs w:val="20"/>
        </w:rPr>
        <w:t xml:space="preserve"> </w:t>
      </w:r>
      <w:r w:rsidRPr="00C1427A">
        <w:rPr>
          <w:rFonts w:ascii="Arial" w:hAnsi="Arial" w:cs="Arial"/>
          <w:sz w:val="20"/>
          <w:szCs w:val="20"/>
        </w:rPr>
        <w:t>point</w:t>
      </w:r>
      <w:r w:rsidRPr="00C1427A">
        <w:rPr>
          <w:rFonts w:ascii="Arial" w:hAnsi="Arial" w:cs="Arial"/>
          <w:spacing w:val="-1"/>
          <w:sz w:val="20"/>
          <w:szCs w:val="20"/>
        </w:rPr>
        <w:t xml:space="preserve"> </w:t>
      </w:r>
      <w:r w:rsidRPr="00C1427A">
        <w:rPr>
          <w:rFonts w:ascii="Arial" w:hAnsi="Arial" w:cs="Arial"/>
          <w:sz w:val="20"/>
          <w:szCs w:val="20"/>
        </w:rPr>
        <w:t>DTO.GEN.240</w:t>
      </w:r>
      <w:r w:rsidRPr="00C1427A">
        <w:rPr>
          <w:rFonts w:ascii="Arial" w:hAnsi="Arial" w:cs="Arial"/>
          <w:spacing w:val="-2"/>
          <w:sz w:val="20"/>
          <w:szCs w:val="20"/>
        </w:rPr>
        <w:t xml:space="preserve"> </w:t>
      </w:r>
      <w:r w:rsidRPr="00C1427A">
        <w:rPr>
          <w:rFonts w:ascii="Arial" w:hAnsi="Arial" w:cs="Arial"/>
          <w:sz w:val="20"/>
          <w:szCs w:val="20"/>
        </w:rPr>
        <w:t>of</w:t>
      </w:r>
      <w:r w:rsidRPr="00C1427A">
        <w:rPr>
          <w:rFonts w:ascii="Arial" w:hAnsi="Arial" w:cs="Arial"/>
          <w:spacing w:val="-4"/>
          <w:sz w:val="20"/>
          <w:szCs w:val="20"/>
        </w:rPr>
        <w:t xml:space="preserve"> </w:t>
      </w:r>
      <w:r w:rsidRPr="00C1427A">
        <w:rPr>
          <w:rFonts w:ascii="Arial" w:hAnsi="Arial" w:cs="Arial"/>
          <w:sz w:val="20"/>
          <w:szCs w:val="20"/>
        </w:rPr>
        <w:t>Annex</w:t>
      </w:r>
      <w:r w:rsidRPr="00C1427A">
        <w:rPr>
          <w:rFonts w:ascii="Arial" w:hAnsi="Arial" w:cs="Arial"/>
          <w:spacing w:val="-2"/>
          <w:sz w:val="20"/>
          <w:szCs w:val="20"/>
        </w:rPr>
        <w:t xml:space="preserve"> </w:t>
      </w:r>
      <w:r w:rsidRPr="00C1427A">
        <w:rPr>
          <w:rFonts w:ascii="Arial" w:hAnsi="Arial" w:cs="Arial"/>
          <w:sz w:val="20"/>
          <w:szCs w:val="20"/>
        </w:rPr>
        <w:t>VIII</w:t>
      </w:r>
      <w:r w:rsidRPr="00C1427A">
        <w:rPr>
          <w:rFonts w:ascii="Arial" w:hAnsi="Arial" w:cs="Arial"/>
          <w:spacing w:val="-4"/>
          <w:sz w:val="20"/>
          <w:szCs w:val="20"/>
        </w:rPr>
        <w:t xml:space="preserve"> </w:t>
      </w:r>
      <w:r w:rsidRPr="00C1427A">
        <w:rPr>
          <w:rFonts w:ascii="Arial" w:hAnsi="Arial" w:cs="Arial"/>
          <w:sz w:val="20"/>
          <w:szCs w:val="20"/>
        </w:rPr>
        <w:t>(Part-DTO)</w:t>
      </w:r>
      <w:r w:rsidRPr="00C1427A">
        <w:rPr>
          <w:rFonts w:ascii="Arial" w:hAnsi="Arial" w:cs="Arial"/>
          <w:spacing w:val="-4"/>
          <w:sz w:val="20"/>
          <w:szCs w:val="20"/>
        </w:rPr>
        <w:t xml:space="preserve"> </w:t>
      </w:r>
      <w:r w:rsidRPr="00C1427A">
        <w:rPr>
          <w:rFonts w:ascii="Arial" w:hAnsi="Arial" w:cs="Arial"/>
          <w:sz w:val="20"/>
          <w:szCs w:val="20"/>
        </w:rPr>
        <w:t xml:space="preserve">to </w:t>
      </w:r>
      <w:hyperlink r:id="rId89" w:history="1">
        <w:r w:rsidR="00033430">
          <w:rPr>
            <w:rStyle w:val="Hyperlink"/>
            <w:rFonts w:ascii="Arial" w:hAnsi="Arial" w:cs="Arial"/>
            <w:sz w:val="20"/>
            <w:szCs w:val="20"/>
          </w:rPr>
          <w:t>the order N 3-N of the Minister of Territorial Administration and Infrastructure of RA, dated 11.02.2022</w:t>
        </w:r>
      </w:hyperlink>
      <w:r w:rsidRPr="00033430">
        <w:rPr>
          <w:rFonts w:ascii="Arial" w:hAnsi="Arial" w:cs="Arial"/>
          <w:sz w:val="20"/>
          <w:szCs w:val="20"/>
        </w:rPr>
        <w:t>.</w:t>
      </w:r>
    </w:p>
    <w:p w14:paraId="5B4309D9" w14:textId="77777777" w:rsidR="00C1427A" w:rsidRPr="00C1427A" w:rsidRDefault="00C1427A" w:rsidP="00D91E6C">
      <w:pPr>
        <w:pStyle w:val="ListParagraph"/>
        <w:numPr>
          <w:ilvl w:val="1"/>
          <w:numId w:val="279"/>
        </w:numPr>
        <w:tabs>
          <w:tab w:val="left" w:pos="1274"/>
        </w:tabs>
        <w:spacing w:before="118"/>
        <w:ind w:right="68" w:hanging="568"/>
        <w:jc w:val="both"/>
        <w:rPr>
          <w:rFonts w:ascii="Arial" w:hAnsi="Arial" w:cs="Arial"/>
          <w:sz w:val="20"/>
          <w:szCs w:val="20"/>
        </w:rPr>
      </w:pPr>
      <w:r w:rsidRPr="00C1427A">
        <w:rPr>
          <w:rFonts w:ascii="Arial" w:hAnsi="Arial" w:cs="Arial"/>
          <w:sz w:val="20"/>
          <w:szCs w:val="20"/>
        </w:rPr>
        <w:t>A</w:t>
      </w:r>
      <w:r w:rsidRPr="00C1427A">
        <w:rPr>
          <w:rFonts w:ascii="Arial" w:hAnsi="Arial" w:cs="Arial"/>
          <w:spacing w:val="-1"/>
          <w:sz w:val="20"/>
          <w:szCs w:val="20"/>
        </w:rPr>
        <w:t xml:space="preserve"> </w:t>
      </w:r>
      <w:r w:rsidRPr="00C1427A">
        <w:rPr>
          <w:rFonts w:ascii="Arial" w:hAnsi="Arial" w:cs="Arial"/>
          <w:sz w:val="20"/>
          <w:szCs w:val="20"/>
        </w:rPr>
        <w:t>test</w:t>
      </w:r>
      <w:r w:rsidRPr="00C1427A">
        <w:rPr>
          <w:rFonts w:ascii="Arial" w:hAnsi="Arial" w:cs="Arial"/>
          <w:spacing w:val="-2"/>
          <w:sz w:val="20"/>
          <w:szCs w:val="20"/>
        </w:rPr>
        <w:t xml:space="preserve"> </w:t>
      </w:r>
      <w:r w:rsidRPr="00C1427A">
        <w:rPr>
          <w:rFonts w:ascii="Arial" w:hAnsi="Arial" w:cs="Arial"/>
          <w:sz w:val="20"/>
          <w:szCs w:val="20"/>
        </w:rPr>
        <w:t>or</w:t>
      </w:r>
      <w:r w:rsidRPr="00C1427A">
        <w:rPr>
          <w:rFonts w:ascii="Arial" w:hAnsi="Arial" w:cs="Arial"/>
          <w:spacing w:val="-4"/>
          <w:sz w:val="20"/>
          <w:szCs w:val="20"/>
        </w:rPr>
        <w:t xml:space="preserve"> </w:t>
      </w:r>
      <w:r w:rsidRPr="00C1427A">
        <w:rPr>
          <w:rFonts w:ascii="Arial" w:hAnsi="Arial" w:cs="Arial"/>
          <w:sz w:val="20"/>
          <w:szCs w:val="20"/>
        </w:rPr>
        <w:t>check</w:t>
      </w:r>
      <w:r w:rsidRPr="00C1427A">
        <w:rPr>
          <w:rFonts w:ascii="Arial" w:hAnsi="Arial" w:cs="Arial"/>
          <w:spacing w:val="1"/>
          <w:sz w:val="20"/>
          <w:szCs w:val="20"/>
        </w:rPr>
        <w:t xml:space="preserve"> </w:t>
      </w:r>
      <w:r w:rsidRPr="00C1427A">
        <w:rPr>
          <w:rFonts w:ascii="Arial" w:hAnsi="Arial" w:cs="Arial"/>
          <w:sz w:val="20"/>
          <w:szCs w:val="20"/>
        </w:rPr>
        <w:t>flight</w:t>
      </w:r>
      <w:r w:rsidRPr="00C1427A">
        <w:rPr>
          <w:rFonts w:ascii="Arial" w:hAnsi="Arial" w:cs="Arial"/>
          <w:spacing w:val="-3"/>
          <w:sz w:val="20"/>
          <w:szCs w:val="20"/>
        </w:rPr>
        <w:t xml:space="preserve"> </w:t>
      </w:r>
      <w:r w:rsidRPr="00C1427A">
        <w:rPr>
          <w:rFonts w:ascii="Arial" w:hAnsi="Arial" w:cs="Arial"/>
          <w:sz w:val="20"/>
          <w:szCs w:val="20"/>
        </w:rPr>
        <w:t>will be conducted</w:t>
      </w:r>
      <w:r w:rsidRPr="00C1427A">
        <w:rPr>
          <w:rFonts w:ascii="Arial" w:hAnsi="Arial" w:cs="Arial"/>
          <w:spacing w:val="-1"/>
          <w:sz w:val="20"/>
          <w:szCs w:val="20"/>
        </w:rPr>
        <w:t xml:space="preserve"> </w:t>
      </w:r>
      <w:r w:rsidRPr="00C1427A">
        <w:rPr>
          <w:rFonts w:ascii="Arial" w:hAnsi="Arial" w:cs="Arial"/>
          <w:sz w:val="20"/>
          <w:szCs w:val="20"/>
        </w:rPr>
        <w:t>in</w:t>
      </w:r>
      <w:r w:rsidRPr="00C1427A">
        <w:rPr>
          <w:rFonts w:ascii="Arial" w:hAnsi="Arial" w:cs="Arial"/>
          <w:spacing w:val="1"/>
          <w:sz w:val="20"/>
          <w:szCs w:val="20"/>
        </w:rPr>
        <w:t xml:space="preserve"> </w:t>
      </w:r>
      <w:r w:rsidRPr="00C1427A">
        <w:rPr>
          <w:rFonts w:ascii="Arial" w:hAnsi="Arial" w:cs="Arial"/>
          <w:sz w:val="20"/>
          <w:szCs w:val="20"/>
        </w:rPr>
        <w:t>accordance</w:t>
      </w:r>
      <w:r w:rsidRPr="00C1427A">
        <w:rPr>
          <w:rFonts w:ascii="Arial" w:hAnsi="Arial" w:cs="Arial"/>
          <w:spacing w:val="-2"/>
          <w:sz w:val="20"/>
          <w:szCs w:val="20"/>
        </w:rPr>
        <w:t xml:space="preserve"> </w:t>
      </w:r>
      <w:r w:rsidRPr="00C1427A">
        <w:rPr>
          <w:rFonts w:ascii="Arial" w:hAnsi="Arial" w:cs="Arial"/>
          <w:sz w:val="20"/>
          <w:szCs w:val="20"/>
        </w:rPr>
        <w:t>with the</w:t>
      </w:r>
      <w:r w:rsidRPr="00C1427A">
        <w:rPr>
          <w:rFonts w:ascii="Arial" w:hAnsi="Arial" w:cs="Arial"/>
          <w:spacing w:val="-3"/>
          <w:sz w:val="20"/>
          <w:szCs w:val="20"/>
        </w:rPr>
        <w:t xml:space="preserve"> </w:t>
      </w:r>
      <w:r w:rsidRPr="00C1427A">
        <w:rPr>
          <w:rFonts w:ascii="Arial" w:hAnsi="Arial" w:cs="Arial"/>
          <w:sz w:val="20"/>
          <w:szCs w:val="20"/>
        </w:rPr>
        <w:t>AFM.</w:t>
      </w:r>
    </w:p>
    <w:p w14:paraId="35DDB342" w14:textId="77777777" w:rsidR="00C1427A" w:rsidRPr="00C1427A" w:rsidRDefault="00C1427A" w:rsidP="00D91E6C">
      <w:pPr>
        <w:pStyle w:val="ListParagraph"/>
        <w:numPr>
          <w:ilvl w:val="1"/>
          <w:numId w:val="279"/>
        </w:numPr>
        <w:tabs>
          <w:tab w:val="left" w:pos="1274"/>
        </w:tabs>
        <w:spacing w:before="121"/>
        <w:ind w:right="68"/>
        <w:jc w:val="both"/>
        <w:rPr>
          <w:rFonts w:ascii="Arial" w:hAnsi="Arial" w:cs="Arial"/>
          <w:sz w:val="20"/>
          <w:szCs w:val="20"/>
        </w:rPr>
      </w:pPr>
      <w:r w:rsidRPr="00C1427A">
        <w:rPr>
          <w:rFonts w:ascii="Arial" w:hAnsi="Arial" w:cs="Arial"/>
          <w:sz w:val="20"/>
          <w:szCs w:val="20"/>
        </w:rPr>
        <w:t>A</w:t>
      </w:r>
      <w:r w:rsidRPr="00C1427A">
        <w:rPr>
          <w:rFonts w:ascii="Arial" w:hAnsi="Arial" w:cs="Arial"/>
          <w:spacing w:val="-6"/>
          <w:sz w:val="20"/>
          <w:szCs w:val="20"/>
        </w:rPr>
        <w:t xml:space="preserve"> </w:t>
      </w:r>
      <w:r w:rsidRPr="00C1427A">
        <w:rPr>
          <w:rFonts w:ascii="Arial" w:hAnsi="Arial" w:cs="Arial"/>
          <w:sz w:val="20"/>
          <w:szCs w:val="20"/>
        </w:rPr>
        <w:t>test</w:t>
      </w:r>
      <w:r w:rsidRPr="00C1427A">
        <w:rPr>
          <w:rFonts w:ascii="Arial" w:hAnsi="Arial" w:cs="Arial"/>
          <w:spacing w:val="-7"/>
          <w:sz w:val="20"/>
          <w:szCs w:val="20"/>
        </w:rPr>
        <w:t xml:space="preserve"> </w:t>
      </w:r>
      <w:r w:rsidRPr="00C1427A">
        <w:rPr>
          <w:rFonts w:ascii="Arial" w:hAnsi="Arial" w:cs="Arial"/>
          <w:sz w:val="20"/>
          <w:szCs w:val="20"/>
        </w:rPr>
        <w:t>or</w:t>
      </w:r>
      <w:r w:rsidRPr="00C1427A">
        <w:rPr>
          <w:rFonts w:ascii="Arial" w:hAnsi="Arial" w:cs="Arial"/>
          <w:spacing w:val="-5"/>
          <w:sz w:val="20"/>
          <w:szCs w:val="20"/>
        </w:rPr>
        <w:t xml:space="preserve"> </w:t>
      </w:r>
      <w:r w:rsidRPr="00C1427A">
        <w:rPr>
          <w:rFonts w:ascii="Arial" w:hAnsi="Arial" w:cs="Arial"/>
          <w:sz w:val="20"/>
          <w:szCs w:val="20"/>
        </w:rPr>
        <w:t>check</w:t>
      </w:r>
      <w:r w:rsidRPr="00C1427A">
        <w:rPr>
          <w:rFonts w:ascii="Arial" w:hAnsi="Arial" w:cs="Arial"/>
          <w:spacing w:val="-4"/>
          <w:sz w:val="20"/>
          <w:szCs w:val="20"/>
        </w:rPr>
        <w:t xml:space="preserve"> </w:t>
      </w:r>
      <w:r w:rsidRPr="00C1427A">
        <w:rPr>
          <w:rFonts w:ascii="Arial" w:hAnsi="Arial" w:cs="Arial"/>
          <w:sz w:val="20"/>
          <w:szCs w:val="20"/>
        </w:rPr>
        <w:t>flight</w:t>
      </w:r>
      <w:r w:rsidRPr="00C1427A">
        <w:rPr>
          <w:rFonts w:ascii="Arial" w:hAnsi="Arial" w:cs="Arial"/>
          <w:spacing w:val="-4"/>
          <w:sz w:val="20"/>
          <w:szCs w:val="20"/>
        </w:rPr>
        <w:t xml:space="preserve"> </w:t>
      </w:r>
      <w:r w:rsidRPr="00C1427A">
        <w:rPr>
          <w:rFonts w:ascii="Arial" w:hAnsi="Arial" w:cs="Arial"/>
          <w:sz w:val="20"/>
          <w:szCs w:val="20"/>
        </w:rPr>
        <w:t>will</w:t>
      </w:r>
      <w:r w:rsidRPr="00C1427A">
        <w:rPr>
          <w:rFonts w:ascii="Arial" w:hAnsi="Arial" w:cs="Arial"/>
          <w:spacing w:val="-6"/>
          <w:sz w:val="20"/>
          <w:szCs w:val="20"/>
        </w:rPr>
        <w:t xml:space="preserve"> </w:t>
      </w:r>
      <w:r w:rsidRPr="00C1427A">
        <w:rPr>
          <w:rFonts w:ascii="Arial" w:hAnsi="Arial" w:cs="Arial"/>
          <w:sz w:val="20"/>
          <w:szCs w:val="20"/>
        </w:rPr>
        <w:t>be</w:t>
      </w:r>
      <w:r w:rsidRPr="00C1427A">
        <w:rPr>
          <w:rFonts w:ascii="Arial" w:hAnsi="Arial" w:cs="Arial"/>
          <w:spacing w:val="-6"/>
          <w:sz w:val="20"/>
          <w:szCs w:val="20"/>
        </w:rPr>
        <w:t xml:space="preserve"> </w:t>
      </w:r>
      <w:r w:rsidRPr="00C1427A">
        <w:rPr>
          <w:rFonts w:ascii="Arial" w:hAnsi="Arial" w:cs="Arial"/>
          <w:sz w:val="20"/>
          <w:szCs w:val="20"/>
        </w:rPr>
        <w:t>conducted</w:t>
      </w:r>
      <w:r w:rsidRPr="00C1427A">
        <w:rPr>
          <w:rFonts w:ascii="Arial" w:hAnsi="Arial" w:cs="Arial"/>
          <w:spacing w:val="-5"/>
          <w:sz w:val="20"/>
          <w:szCs w:val="20"/>
        </w:rPr>
        <w:t xml:space="preserve"> </w:t>
      </w:r>
      <w:r w:rsidRPr="00C1427A">
        <w:rPr>
          <w:rFonts w:ascii="Arial" w:hAnsi="Arial" w:cs="Arial"/>
          <w:sz w:val="20"/>
          <w:szCs w:val="20"/>
        </w:rPr>
        <w:t>within</w:t>
      </w:r>
      <w:r w:rsidRPr="00C1427A">
        <w:rPr>
          <w:rFonts w:ascii="Arial" w:hAnsi="Arial" w:cs="Arial"/>
          <w:spacing w:val="-5"/>
          <w:sz w:val="20"/>
          <w:szCs w:val="20"/>
        </w:rPr>
        <w:t xml:space="preserve"> </w:t>
      </w:r>
      <w:r w:rsidRPr="00C1427A">
        <w:rPr>
          <w:rFonts w:ascii="Arial" w:hAnsi="Arial" w:cs="Arial"/>
          <w:sz w:val="20"/>
          <w:szCs w:val="20"/>
        </w:rPr>
        <w:t>the</w:t>
      </w:r>
      <w:r w:rsidRPr="00C1427A">
        <w:rPr>
          <w:rFonts w:ascii="Arial" w:hAnsi="Arial" w:cs="Arial"/>
          <w:spacing w:val="-5"/>
          <w:sz w:val="20"/>
          <w:szCs w:val="20"/>
        </w:rPr>
        <w:t xml:space="preserve"> </w:t>
      </w:r>
      <w:r w:rsidRPr="00C1427A">
        <w:rPr>
          <w:rFonts w:ascii="Arial" w:hAnsi="Arial" w:cs="Arial"/>
          <w:sz w:val="20"/>
          <w:szCs w:val="20"/>
        </w:rPr>
        <w:t>limitations</w:t>
      </w:r>
      <w:r w:rsidRPr="00C1427A">
        <w:rPr>
          <w:rFonts w:ascii="Arial" w:hAnsi="Arial" w:cs="Arial"/>
          <w:spacing w:val="-5"/>
          <w:sz w:val="20"/>
          <w:szCs w:val="20"/>
        </w:rPr>
        <w:t xml:space="preserve"> </w:t>
      </w:r>
      <w:r w:rsidRPr="00C1427A">
        <w:rPr>
          <w:rFonts w:ascii="Arial" w:hAnsi="Arial" w:cs="Arial"/>
          <w:sz w:val="20"/>
          <w:szCs w:val="20"/>
        </w:rPr>
        <w:t>contained</w:t>
      </w:r>
      <w:r w:rsidRPr="00C1427A">
        <w:rPr>
          <w:rFonts w:ascii="Arial" w:hAnsi="Arial" w:cs="Arial"/>
          <w:spacing w:val="-6"/>
          <w:sz w:val="20"/>
          <w:szCs w:val="20"/>
        </w:rPr>
        <w:t xml:space="preserve"> </w:t>
      </w:r>
      <w:r w:rsidRPr="00C1427A">
        <w:rPr>
          <w:rFonts w:ascii="Arial" w:hAnsi="Arial" w:cs="Arial"/>
          <w:sz w:val="20"/>
          <w:szCs w:val="20"/>
        </w:rPr>
        <w:t>in</w:t>
      </w:r>
      <w:r w:rsidRPr="00C1427A">
        <w:rPr>
          <w:rFonts w:ascii="Arial" w:hAnsi="Arial" w:cs="Arial"/>
          <w:spacing w:val="-6"/>
          <w:sz w:val="20"/>
          <w:szCs w:val="20"/>
        </w:rPr>
        <w:t xml:space="preserve"> </w:t>
      </w:r>
      <w:r w:rsidRPr="00C1427A">
        <w:rPr>
          <w:rFonts w:ascii="Arial" w:hAnsi="Arial" w:cs="Arial"/>
          <w:sz w:val="20"/>
          <w:szCs w:val="20"/>
        </w:rPr>
        <w:t>the</w:t>
      </w:r>
      <w:r w:rsidRPr="00C1427A">
        <w:rPr>
          <w:rFonts w:ascii="Arial" w:hAnsi="Arial" w:cs="Arial"/>
          <w:spacing w:val="-7"/>
          <w:sz w:val="20"/>
          <w:szCs w:val="20"/>
        </w:rPr>
        <w:t xml:space="preserve"> </w:t>
      </w:r>
      <w:r w:rsidRPr="00C1427A">
        <w:rPr>
          <w:rFonts w:ascii="Arial" w:hAnsi="Arial" w:cs="Arial"/>
          <w:sz w:val="20"/>
          <w:szCs w:val="20"/>
        </w:rPr>
        <w:t>operations</w:t>
      </w:r>
      <w:r w:rsidRPr="00C1427A">
        <w:rPr>
          <w:rFonts w:ascii="Arial" w:hAnsi="Arial" w:cs="Arial"/>
          <w:spacing w:val="-47"/>
          <w:sz w:val="20"/>
          <w:szCs w:val="20"/>
        </w:rPr>
        <w:t xml:space="preserve"> </w:t>
      </w:r>
      <w:r w:rsidRPr="00C1427A">
        <w:rPr>
          <w:rFonts w:ascii="Arial" w:hAnsi="Arial" w:cs="Arial"/>
          <w:sz w:val="20"/>
          <w:szCs w:val="20"/>
        </w:rPr>
        <w:t>manual</w:t>
      </w:r>
      <w:r w:rsidRPr="00C1427A">
        <w:rPr>
          <w:rFonts w:ascii="Arial" w:hAnsi="Arial" w:cs="Arial"/>
          <w:spacing w:val="-4"/>
          <w:sz w:val="20"/>
          <w:szCs w:val="20"/>
        </w:rPr>
        <w:t xml:space="preserve"> </w:t>
      </w:r>
      <w:r w:rsidRPr="00C1427A">
        <w:rPr>
          <w:rFonts w:ascii="Arial" w:hAnsi="Arial" w:cs="Arial"/>
          <w:sz w:val="20"/>
          <w:szCs w:val="20"/>
        </w:rPr>
        <w:t>of an</w:t>
      </w:r>
      <w:r w:rsidRPr="00C1427A">
        <w:rPr>
          <w:rFonts w:ascii="Arial" w:hAnsi="Arial" w:cs="Arial"/>
          <w:spacing w:val="-4"/>
          <w:sz w:val="20"/>
          <w:szCs w:val="20"/>
        </w:rPr>
        <w:t xml:space="preserve"> </w:t>
      </w:r>
      <w:r w:rsidRPr="00C1427A">
        <w:rPr>
          <w:rFonts w:ascii="Arial" w:hAnsi="Arial" w:cs="Arial"/>
          <w:sz w:val="20"/>
          <w:szCs w:val="20"/>
        </w:rPr>
        <w:t>ATO</w:t>
      </w:r>
      <w:r w:rsidRPr="00C1427A">
        <w:rPr>
          <w:rFonts w:ascii="Arial" w:hAnsi="Arial" w:cs="Arial"/>
          <w:spacing w:val="-4"/>
          <w:sz w:val="20"/>
          <w:szCs w:val="20"/>
        </w:rPr>
        <w:t xml:space="preserve"> </w:t>
      </w:r>
      <w:r w:rsidRPr="00C1427A">
        <w:rPr>
          <w:rFonts w:ascii="Arial" w:hAnsi="Arial" w:cs="Arial"/>
          <w:sz w:val="20"/>
          <w:szCs w:val="20"/>
        </w:rPr>
        <w:t>or</w:t>
      </w:r>
      <w:r w:rsidRPr="00C1427A">
        <w:rPr>
          <w:rFonts w:ascii="Arial" w:hAnsi="Arial" w:cs="Arial"/>
          <w:spacing w:val="-1"/>
          <w:sz w:val="20"/>
          <w:szCs w:val="20"/>
        </w:rPr>
        <w:t xml:space="preserve"> </w:t>
      </w:r>
      <w:r w:rsidRPr="00C1427A">
        <w:rPr>
          <w:rFonts w:ascii="Arial" w:hAnsi="Arial" w:cs="Arial"/>
          <w:sz w:val="20"/>
          <w:szCs w:val="20"/>
        </w:rPr>
        <w:t>the</w:t>
      </w:r>
      <w:r w:rsidRPr="00C1427A">
        <w:rPr>
          <w:rFonts w:ascii="Arial" w:hAnsi="Arial" w:cs="Arial"/>
          <w:spacing w:val="1"/>
          <w:sz w:val="20"/>
          <w:szCs w:val="20"/>
        </w:rPr>
        <w:t xml:space="preserve"> </w:t>
      </w:r>
      <w:r w:rsidRPr="00C1427A">
        <w:rPr>
          <w:rFonts w:ascii="Arial" w:hAnsi="Arial" w:cs="Arial"/>
          <w:sz w:val="20"/>
          <w:szCs w:val="20"/>
        </w:rPr>
        <w:t>balloon</w:t>
      </w:r>
      <w:r w:rsidRPr="00C1427A">
        <w:rPr>
          <w:rFonts w:ascii="Arial" w:hAnsi="Arial" w:cs="Arial"/>
          <w:spacing w:val="-5"/>
          <w:sz w:val="20"/>
          <w:szCs w:val="20"/>
        </w:rPr>
        <w:t xml:space="preserve"> </w:t>
      </w:r>
      <w:r w:rsidRPr="00C1427A">
        <w:rPr>
          <w:rFonts w:ascii="Arial" w:hAnsi="Arial" w:cs="Arial"/>
          <w:sz w:val="20"/>
          <w:szCs w:val="20"/>
        </w:rPr>
        <w:t>operator for</w:t>
      </w:r>
      <w:r w:rsidRPr="00C1427A">
        <w:rPr>
          <w:rFonts w:ascii="Arial" w:hAnsi="Arial" w:cs="Arial"/>
          <w:spacing w:val="-2"/>
          <w:sz w:val="20"/>
          <w:szCs w:val="20"/>
        </w:rPr>
        <w:t xml:space="preserve"> </w:t>
      </w:r>
      <w:r w:rsidRPr="00C1427A">
        <w:rPr>
          <w:rFonts w:ascii="Arial" w:hAnsi="Arial" w:cs="Arial"/>
          <w:sz w:val="20"/>
          <w:szCs w:val="20"/>
        </w:rPr>
        <w:t>which</w:t>
      </w:r>
      <w:r w:rsidRPr="00C1427A">
        <w:rPr>
          <w:rFonts w:ascii="Arial" w:hAnsi="Arial" w:cs="Arial"/>
          <w:spacing w:val="-4"/>
          <w:sz w:val="20"/>
          <w:szCs w:val="20"/>
        </w:rPr>
        <w:t xml:space="preserve"> </w:t>
      </w:r>
      <w:r w:rsidRPr="00C1427A">
        <w:rPr>
          <w:rFonts w:ascii="Arial" w:hAnsi="Arial" w:cs="Arial"/>
          <w:sz w:val="20"/>
          <w:szCs w:val="20"/>
        </w:rPr>
        <w:t>the</w:t>
      </w:r>
      <w:r w:rsidRPr="00C1427A">
        <w:rPr>
          <w:rFonts w:ascii="Arial" w:hAnsi="Arial" w:cs="Arial"/>
          <w:spacing w:val="1"/>
          <w:sz w:val="20"/>
          <w:szCs w:val="20"/>
        </w:rPr>
        <w:t xml:space="preserve"> </w:t>
      </w:r>
      <w:r w:rsidRPr="00C1427A">
        <w:rPr>
          <w:rFonts w:ascii="Arial" w:hAnsi="Arial" w:cs="Arial"/>
          <w:sz w:val="20"/>
          <w:szCs w:val="20"/>
        </w:rPr>
        <w:t>applicant</w:t>
      </w:r>
      <w:r w:rsidRPr="00C1427A">
        <w:rPr>
          <w:rFonts w:ascii="Arial" w:hAnsi="Arial" w:cs="Arial"/>
          <w:spacing w:val="-1"/>
          <w:sz w:val="20"/>
          <w:szCs w:val="20"/>
        </w:rPr>
        <w:t xml:space="preserve"> </w:t>
      </w:r>
      <w:r w:rsidRPr="00C1427A">
        <w:rPr>
          <w:rFonts w:ascii="Arial" w:hAnsi="Arial" w:cs="Arial"/>
          <w:sz w:val="20"/>
          <w:szCs w:val="20"/>
        </w:rPr>
        <w:t>is flying,</w:t>
      </w:r>
      <w:r w:rsidRPr="00C1427A">
        <w:rPr>
          <w:rFonts w:ascii="Arial" w:hAnsi="Arial" w:cs="Arial"/>
          <w:spacing w:val="-1"/>
          <w:sz w:val="20"/>
          <w:szCs w:val="20"/>
        </w:rPr>
        <w:t xml:space="preserve"> </w:t>
      </w:r>
      <w:r w:rsidRPr="00C1427A">
        <w:rPr>
          <w:rFonts w:ascii="Arial" w:hAnsi="Arial" w:cs="Arial"/>
          <w:sz w:val="20"/>
          <w:szCs w:val="20"/>
        </w:rPr>
        <w:t>as</w:t>
      </w:r>
      <w:r w:rsidRPr="00C1427A">
        <w:rPr>
          <w:rFonts w:ascii="Arial" w:hAnsi="Arial" w:cs="Arial"/>
          <w:spacing w:val="-2"/>
          <w:sz w:val="20"/>
          <w:szCs w:val="20"/>
        </w:rPr>
        <w:t xml:space="preserve"> </w:t>
      </w:r>
      <w:r w:rsidRPr="00C1427A">
        <w:rPr>
          <w:rFonts w:ascii="Arial" w:hAnsi="Arial" w:cs="Arial"/>
          <w:sz w:val="20"/>
          <w:szCs w:val="20"/>
        </w:rPr>
        <w:t>applicable,</w:t>
      </w:r>
      <w:r w:rsidRPr="00C1427A">
        <w:rPr>
          <w:rFonts w:ascii="Arial" w:hAnsi="Arial" w:cs="Arial"/>
          <w:spacing w:val="-48"/>
          <w:sz w:val="20"/>
          <w:szCs w:val="20"/>
        </w:rPr>
        <w:t xml:space="preserve"> </w:t>
      </w:r>
      <w:r w:rsidRPr="00C1427A">
        <w:rPr>
          <w:rFonts w:ascii="Arial" w:hAnsi="Arial" w:cs="Arial"/>
          <w:sz w:val="20"/>
          <w:szCs w:val="20"/>
        </w:rPr>
        <w:t>or,</w:t>
      </w:r>
      <w:r w:rsidRPr="00C1427A">
        <w:rPr>
          <w:rFonts w:ascii="Arial" w:hAnsi="Arial" w:cs="Arial"/>
          <w:spacing w:val="-1"/>
          <w:sz w:val="20"/>
          <w:szCs w:val="20"/>
        </w:rPr>
        <w:t xml:space="preserve"> </w:t>
      </w:r>
      <w:r w:rsidRPr="00C1427A">
        <w:rPr>
          <w:rFonts w:ascii="Arial" w:hAnsi="Arial" w:cs="Arial"/>
          <w:sz w:val="20"/>
          <w:szCs w:val="20"/>
        </w:rPr>
        <w:t>if available,</w:t>
      </w:r>
      <w:r w:rsidRPr="00C1427A">
        <w:rPr>
          <w:rFonts w:ascii="Arial" w:hAnsi="Arial" w:cs="Arial"/>
          <w:spacing w:val="-3"/>
          <w:sz w:val="20"/>
          <w:szCs w:val="20"/>
        </w:rPr>
        <w:t xml:space="preserve"> </w:t>
      </w:r>
      <w:r w:rsidRPr="00C1427A">
        <w:rPr>
          <w:rFonts w:ascii="Arial" w:hAnsi="Arial" w:cs="Arial"/>
          <w:sz w:val="20"/>
          <w:szCs w:val="20"/>
        </w:rPr>
        <w:t>within</w:t>
      </w:r>
      <w:r w:rsidRPr="00C1427A">
        <w:rPr>
          <w:rFonts w:ascii="Arial" w:hAnsi="Arial" w:cs="Arial"/>
          <w:spacing w:val="-3"/>
          <w:sz w:val="20"/>
          <w:szCs w:val="20"/>
        </w:rPr>
        <w:t xml:space="preserve"> </w:t>
      </w:r>
      <w:r w:rsidRPr="00C1427A">
        <w:rPr>
          <w:rFonts w:ascii="Arial" w:hAnsi="Arial" w:cs="Arial"/>
          <w:sz w:val="20"/>
          <w:szCs w:val="20"/>
        </w:rPr>
        <w:t>the limitations placed by</w:t>
      </w:r>
      <w:r w:rsidRPr="00C1427A">
        <w:rPr>
          <w:rFonts w:ascii="Arial" w:hAnsi="Arial" w:cs="Arial"/>
          <w:spacing w:val="-3"/>
          <w:sz w:val="20"/>
          <w:szCs w:val="20"/>
        </w:rPr>
        <w:t xml:space="preserve"> </w:t>
      </w:r>
      <w:r w:rsidRPr="00C1427A">
        <w:rPr>
          <w:rFonts w:ascii="Arial" w:hAnsi="Arial" w:cs="Arial"/>
          <w:sz w:val="20"/>
          <w:szCs w:val="20"/>
        </w:rPr>
        <w:t>the</w:t>
      </w:r>
      <w:r w:rsidRPr="00C1427A">
        <w:rPr>
          <w:rFonts w:ascii="Arial" w:hAnsi="Arial" w:cs="Arial"/>
          <w:spacing w:val="-2"/>
          <w:sz w:val="20"/>
          <w:szCs w:val="20"/>
        </w:rPr>
        <w:t xml:space="preserve"> </w:t>
      </w:r>
      <w:r w:rsidRPr="00C1427A">
        <w:rPr>
          <w:rFonts w:ascii="Arial" w:hAnsi="Arial" w:cs="Arial"/>
          <w:sz w:val="20"/>
          <w:szCs w:val="20"/>
        </w:rPr>
        <w:t>DTO.</w:t>
      </w:r>
    </w:p>
    <w:p w14:paraId="1532B442" w14:textId="77777777" w:rsidR="00C1427A" w:rsidRPr="00C1427A" w:rsidRDefault="00C1427A" w:rsidP="00D91E6C">
      <w:pPr>
        <w:pStyle w:val="ListParagraph"/>
        <w:numPr>
          <w:ilvl w:val="1"/>
          <w:numId w:val="279"/>
        </w:numPr>
        <w:tabs>
          <w:tab w:val="left" w:pos="1274"/>
        </w:tabs>
        <w:spacing w:before="121"/>
        <w:ind w:right="68" w:hanging="568"/>
        <w:jc w:val="both"/>
        <w:rPr>
          <w:rFonts w:ascii="Arial" w:hAnsi="Arial" w:cs="Arial"/>
          <w:sz w:val="20"/>
          <w:szCs w:val="20"/>
        </w:rPr>
      </w:pPr>
      <w:r w:rsidRPr="00C1427A">
        <w:rPr>
          <w:rFonts w:ascii="Arial" w:hAnsi="Arial" w:cs="Arial"/>
          <w:sz w:val="20"/>
          <w:szCs w:val="20"/>
        </w:rPr>
        <w:t>Contents</w:t>
      </w:r>
    </w:p>
    <w:p w14:paraId="553A142D" w14:textId="77777777" w:rsidR="00C1427A" w:rsidRPr="00C1427A" w:rsidRDefault="00C1427A" w:rsidP="00D91E6C">
      <w:pPr>
        <w:pStyle w:val="BodyText"/>
        <w:ind w:left="1273" w:right="68"/>
        <w:jc w:val="both"/>
        <w:rPr>
          <w:rFonts w:ascii="Arial" w:hAnsi="Arial" w:cs="Arial"/>
          <w:sz w:val="20"/>
          <w:szCs w:val="20"/>
        </w:rPr>
      </w:pPr>
      <w:r w:rsidRPr="00C1427A">
        <w:rPr>
          <w:rFonts w:ascii="Arial" w:hAnsi="Arial" w:cs="Arial"/>
          <w:sz w:val="20"/>
          <w:szCs w:val="20"/>
        </w:rPr>
        <w:t>A test</w:t>
      </w:r>
      <w:r w:rsidRPr="00C1427A">
        <w:rPr>
          <w:rFonts w:ascii="Arial" w:hAnsi="Arial" w:cs="Arial"/>
          <w:spacing w:val="-2"/>
          <w:sz w:val="20"/>
          <w:szCs w:val="20"/>
        </w:rPr>
        <w:t xml:space="preserve"> </w:t>
      </w:r>
      <w:r w:rsidRPr="00C1427A">
        <w:rPr>
          <w:rFonts w:ascii="Arial" w:hAnsi="Arial" w:cs="Arial"/>
          <w:sz w:val="20"/>
          <w:szCs w:val="20"/>
        </w:rPr>
        <w:t>or</w:t>
      </w:r>
      <w:r w:rsidRPr="00C1427A">
        <w:rPr>
          <w:rFonts w:ascii="Arial" w:hAnsi="Arial" w:cs="Arial"/>
          <w:spacing w:val="-3"/>
          <w:sz w:val="20"/>
          <w:szCs w:val="20"/>
        </w:rPr>
        <w:t xml:space="preserve"> </w:t>
      </w:r>
      <w:r w:rsidRPr="00C1427A">
        <w:rPr>
          <w:rFonts w:ascii="Arial" w:hAnsi="Arial" w:cs="Arial"/>
          <w:sz w:val="20"/>
          <w:szCs w:val="20"/>
        </w:rPr>
        <w:t>check</w:t>
      </w:r>
      <w:r w:rsidRPr="00C1427A">
        <w:rPr>
          <w:rFonts w:ascii="Arial" w:hAnsi="Arial" w:cs="Arial"/>
          <w:spacing w:val="1"/>
          <w:sz w:val="20"/>
          <w:szCs w:val="20"/>
        </w:rPr>
        <w:t xml:space="preserve"> </w:t>
      </w:r>
      <w:r w:rsidRPr="00C1427A">
        <w:rPr>
          <w:rFonts w:ascii="Arial" w:hAnsi="Arial" w:cs="Arial"/>
          <w:sz w:val="20"/>
          <w:szCs w:val="20"/>
        </w:rPr>
        <w:t>is</w:t>
      </w:r>
      <w:r w:rsidRPr="00C1427A">
        <w:rPr>
          <w:rFonts w:ascii="Arial" w:hAnsi="Arial" w:cs="Arial"/>
          <w:spacing w:val="-2"/>
          <w:sz w:val="20"/>
          <w:szCs w:val="20"/>
        </w:rPr>
        <w:t xml:space="preserve"> </w:t>
      </w:r>
      <w:r w:rsidRPr="00C1427A">
        <w:rPr>
          <w:rFonts w:ascii="Arial" w:hAnsi="Arial" w:cs="Arial"/>
          <w:sz w:val="20"/>
          <w:szCs w:val="20"/>
        </w:rPr>
        <w:t>comprised</w:t>
      </w:r>
      <w:r w:rsidRPr="00C1427A">
        <w:rPr>
          <w:rFonts w:ascii="Arial" w:hAnsi="Arial" w:cs="Arial"/>
          <w:spacing w:val="-1"/>
          <w:sz w:val="20"/>
          <w:szCs w:val="20"/>
        </w:rPr>
        <w:t xml:space="preserve"> </w:t>
      </w:r>
      <w:r w:rsidRPr="00C1427A">
        <w:rPr>
          <w:rFonts w:ascii="Arial" w:hAnsi="Arial" w:cs="Arial"/>
          <w:sz w:val="20"/>
          <w:szCs w:val="20"/>
        </w:rPr>
        <w:t>of:</w:t>
      </w:r>
    </w:p>
    <w:p w14:paraId="3024F823" w14:textId="77777777" w:rsidR="00C1427A" w:rsidRPr="00C1427A" w:rsidRDefault="00C1427A" w:rsidP="00D91E6C">
      <w:pPr>
        <w:pStyle w:val="ListParagraph"/>
        <w:numPr>
          <w:ilvl w:val="2"/>
          <w:numId w:val="279"/>
        </w:numPr>
        <w:tabs>
          <w:tab w:val="left" w:pos="1842"/>
        </w:tabs>
        <w:spacing w:before="118"/>
        <w:ind w:right="68"/>
        <w:jc w:val="both"/>
        <w:rPr>
          <w:rFonts w:ascii="Arial" w:hAnsi="Arial" w:cs="Arial"/>
          <w:sz w:val="20"/>
          <w:szCs w:val="20"/>
        </w:rPr>
      </w:pPr>
      <w:r w:rsidRPr="00C1427A">
        <w:rPr>
          <w:rFonts w:ascii="Arial" w:hAnsi="Arial" w:cs="Arial"/>
          <w:sz w:val="20"/>
          <w:szCs w:val="20"/>
        </w:rPr>
        <w:t>oral</w:t>
      </w:r>
      <w:r w:rsidRPr="00C1427A">
        <w:rPr>
          <w:rFonts w:ascii="Arial" w:hAnsi="Arial" w:cs="Arial"/>
          <w:spacing w:val="-2"/>
          <w:sz w:val="20"/>
          <w:szCs w:val="20"/>
        </w:rPr>
        <w:t xml:space="preserve"> </w:t>
      </w:r>
      <w:r w:rsidRPr="00C1427A">
        <w:rPr>
          <w:rFonts w:ascii="Arial" w:hAnsi="Arial" w:cs="Arial"/>
          <w:sz w:val="20"/>
          <w:szCs w:val="20"/>
        </w:rPr>
        <w:t>examination</w:t>
      </w:r>
      <w:r w:rsidRPr="00C1427A">
        <w:rPr>
          <w:rFonts w:ascii="Arial" w:hAnsi="Arial" w:cs="Arial"/>
          <w:spacing w:val="-3"/>
          <w:sz w:val="20"/>
          <w:szCs w:val="20"/>
        </w:rPr>
        <w:t xml:space="preserve"> </w:t>
      </w:r>
      <w:r w:rsidRPr="00C1427A">
        <w:rPr>
          <w:rFonts w:ascii="Arial" w:hAnsi="Arial" w:cs="Arial"/>
          <w:sz w:val="20"/>
          <w:szCs w:val="20"/>
        </w:rPr>
        <w:t>on</w:t>
      </w:r>
      <w:r w:rsidRPr="00C1427A">
        <w:rPr>
          <w:rFonts w:ascii="Arial" w:hAnsi="Arial" w:cs="Arial"/>
          <w:spacing w:val="-3"/>
          <w:sz w:val="20"/>
          <w:szCs w:val="20"/>
        </w:rPr>
        <w:t xml:space="preserve"> </w:t>
      </w:r>
      <w:r w:rsidRPr="00C1427A">
        <w:rPr>
          <w:rFonts w:ascii="Arial" w:hAnsi="Arial" w:cs="Arial"/>
          <w:sz w:val="20"/>
          <w:szCs w:val="20"/>
        </w:rPr>
        <w:t>the</w:t>
      </w:r>
      <w:r w:rsidRPr="00C1427A">
        <w:rPr>
          <w:rFonts w:ascii="Arial" w:hAnsi="Arial" w:cs="Arial"/>
          <w:spacing w:val="-1"/>
          <w:sz w:val="20"/>
          <w:szCs w:val="20"/>
        </w:rPr>
        <w:t xml:space="preserve"> </w:t>
      </w:r>
      <w:r w:rsidRPr="00C1427A">
        <w:rPr>
          <w:rFonts w:ascii="Arial" w:hAnsi="Arial" w:cs="Arial"/>
          <w:sz w:val="20"/>
          <w:szCs w:val="20"/>
        </w:rPr>
        <w:t>ground</w:t>
      </w:r>
      <w:r w:rsidRPr="00C1427A">
        <w:rPr>
          <w:rFonts w:ascii="Arial" w:hAnsi="Arial" w:cs="Arial"/>
          <w:spacing w:val="-1"/>
          <w:sz w:val="20"/>
          <w:szCs w:val="20"/>
        </w:rPr>
        <w:t xml:space="preserve"> </w:t>
      </w:r>
      <w:r w:rsidRPr="00C1427A">
        <w:rPr>
          <w:rFonts w:ascii="Arial" w:hAnsi="Arial" w:cs="Arial"/>
          <w:sz w:val="20"/>
          <w:szCs w:val="20"/>
        </w:rPr>
        <w:t>(where</w:t>
      </w:r>
      <w:r w:rsidRPr="00C1427A">
        <w:rPr>
          <w:rFonts w:ascii="Arial" w:hAnsi="Arial" w:cs="Arial"/>
          <w:spacing w:val="1"/>
          <w:sz w:val="20"/>
          <w:szCs w:val="20"/>
        </w:rPr>
        <w:t xml:space="preserve"> </w:t>
      </w:r>
      <w:r w:rsidRPr="00C1427A">
        <w:rPr>
          <w:rFonts w:ascii="Arial" w:hAnsi="Arial" w:cs="Arial"/>
          <w:sz w:val="20"/>
          <w:szCs w:val="20"/>
        </w:rPr>
        <w:t>applicable)</w:t>
      </w:r>
      <w:r w:rsidRPr="00C1427A">
        <w:rPr>
          <w:rFonts w:ascii="Arial" w:hAnsi="Arial" w:cs="Arial"/>
          <w:spacing w:val="-2"/>
          <w:sz w:val="20"/>
          <w:szCs w:val="20"/>
        </w:rPr>
        <w:t xml:space="preserve"> </w:t>
      </w:r>
      <w:r w:rsidRPr="00C1427A">
        <w:rPr>
          <w:rFonts w:ascii="Arial" w:hAnsi="Arial" w:cs="Arial"/>
          <w:sz w:val="20"/>
          <w:szCs w:val="20"/>
        </w:rPr>
        <w:t>which</w:t>
      </w:r>
      <w:r w:rsidRPr="00C1427A">
        <w:rPr>
          <w:rFonts w:ascii="Arial" w:hAnsi="Arial" w:cs="Arial"/>
          <w:spacing w:val="-2"/>
          <w:sz w:val="20"/>
          <w:szCs w:val="20"/>
        </w:rPr>
        <w:t xml:space="preserve"> </w:t>
      </w:r>
      <w:r w:rsidRPr="00C1427A">
        <w:rPr>
          <w:rFonts w:ascii="Arial" w:hAnsi="Arial" w:cs="Arial"/>
          <w:sz w:val="20"/>
          <w:szCs w:val="20"/>
        </w:rPr>
        <w:t>should</w:t>
      </w:r>
      <w:r w:rsidRPr="00C1427A">
        <w:rPr>
          <w:rFonts w:ascii="Arial" w:hAnsi="Arial" w:cs="Arial"/>
          <w:spacing w:val="-1"/>
          <w:sz w:val="20"/>
          <w:szCs w:val="20"/>
        </w:rPr>
        <w:t xml:space="preserve"> </w:t>
      </w:r>
      <w:r w:rsidRPr="00C1427A">
        <w:rPr>
          <w:rFonts w:ascii="Arial" w:hAnsi="Arial" w:cs="Arial"/>
          <w:sz w:val="20"/>
          <w:szCs w:val="20"/>
        </w:rPr>
        <w:t>include:</w:t>
      </w:r>
    </w:p>
    <w:p w14:paraId="15501EE0" w14:textId="77777777" w:rsidR="00C1427A" w:rsidRPr="00C1427A" w:rsidRDefault="00C1427A" w:rsidP="00D91E6C">
      <w:pPr>
        <w:pStyle w:val="ListParagraph"/>
        <w:numPr>
          <w:ilvl w:val="3"/>
          <w:numId w:val="279"/>
        </w:numPr>
        <w:tabs>
          <w:tab w:val="left" w:pos="2409"/>
        </w:tabs>
        <w:ind w:right="68"/>
        <w:jc w:val="both"/>
        <w:rPr>
          <w:rFonts w:ascii="Arial" w:hAnsi="Arial" w:cs="Arial"/>
          <w:sz w:val="20"/>
          <w:szCs w:val="20"/>
        </w:rPr>
      </w:pPr>
      <w:r w:rsidRPr="00C1427A">
        <w:rPr>
          <w:rFonts w:ascii="Arial" w:hAnsi="Arial" w:cs="Arial"/>
          <w:sz w:val="20"/>
          <w:szCs w:val="20"/>
        </w:rPr>
        <w:t>balloon</w:t>
      </w:r>
      <w:r w:rsidRPr="00C1427A">
        <w:rPr>
          <w:rFonts w:ascii="Arial" w:hAnsi="Arial" w:cs="Arial"/>
          <w:spacing w:val="-3"/>
          <w:sz w:val="20"/>
          <w:szCs w:val="20"/>
        </w:rPr>
        <w:t xml:space="preserve"> </w:t>
      </w:r>
      <w:r w:rsidRPr="00C1427A">
        <w:rPr>
          <w:rFonts w:ascii="Arial" w:hAnsi="Arial" w:cs="Arial"/>
          <w:sz w:val="20"/>
          <w:szCs w:val="20"/>
        </w:rPr>
        <w:t>general</w:t>
      </w:r>
      <w:r w:rsidRPr="00C1427A">
        <w:rPr>
          <w:rFonts w:ascii="Arial" w:hAnsi="Arial" w:cs="Arial"/>
          <w:spacing w:val="-1"/>
          <w:sz w:val="20"/>
          <w:szCs w:val="20"/>
        </w:rPr>
        <w:t xml:space="preserve"> </w:t>
      </w:r>
      <w:r w:rsidRPr="00C1427A">
        <w:rPr>
          <w:rFonts w:ascii="Arial" w:hAnsi="Arial" w:cs="Arial"/>
          <w:sz w:val="20"/>
          <w:szCs w:val="20"/>
        </w:rPr>
        <w:t>knowledge</w:t>
      </w:r>
      <w:r w:rsidRPr="00C1427A">
        <w:rPr>
          <w:rFonts w:ascii="Arial" w:hAnsi="Arial" w:cs="Arial"/>
          <w:spacing w:val="-3"/>
          <w:sz w:val="20"/>
          <w:szCs w:val="20"/>
        </w:rPr>
        <w:t xml:space="preserve"> </w:t>
      </w:r>
      <w:r w:rsidRPr="00C1427A">
        <w:rPr>
          <w:rFonts w:ascii="Arial" w:hAnsi="Arial" w:cs="Arial"/>
          <w:sz w:val="20"/>
          <w:szCs w:val="20"/>
        </w:rPr>
        <w:t>and</w:t>
      </w:r>
      <w:r w:rsidRPr="00C1427A">
        <w:rPr>
          <w:rFonts w:ascii="Arial" w:hAnsi="Arial" w:cs="Arial"/>
          <w:spacing w:val="-2"/>
          <w:sz w:val="20"/>
          <w:szCs w:val="20"/>
        </w:rPr>
        <w:t xml:space="preserve"> </w:t>
      </w:r>
      <w:r w:rsidRPr="00C1427A">
        <w:rPr>
          <w:rFonts w:ascii="Arial" w:hAnsi="Arial" w:cs="Arial"/>
          <w:sz w:val="20"/>
          <w:szCs w:val="20"/>
        </w:rPr>
        <w:t>performance;</w:t>
      </w:r>
    </w:p>
    <w:p w14:paraId="3DBD27C7" w14:textId="77777777" w:rsidR="00C1427A" w:rsidRPr="00C1427A" w:rsidRDefault="00C1427A" w:rsidP="00D91E6C">
      <w:pPr>
        <w:pStyle w:val="ListParagraph"/>
        <w:numPr>
          <w:ilvl w:val="3"/>
          <w:numId w:val="279"/>
        </w:numPr>
        <w:tabs>
          <w:tab w:val="left" w:pos="2409"/>
        </w:tabs>
        <w:ind w:right="68"/>
        <w:jc w:val="both"/>
        <w:rPr>
          <w:rFonts w:ascii="Arial" w:hAnsi="Arial" w:cs="Arial"/>
          <w:sz w:val="20"/>
          <w:szCs w:val="20"/>
        </w:rPr>
      </w:pPr>
      <w:r w:rsidRPr="00C1427A">
        <w:rPr>
          <w:rFonts w:ascii="Arial" w:hAnsi="Arial" w:cs="Arial"/>
          <w:sz w:val="20"/>
          <w:szCs w:val="20"/>
        </w:rPr>
        <w:t>planning</w:t>
      </w:r>
      <w:r w:rsidRPr="00C1427A">
        <w:rPr>
          <w:rFonts w:ascii="Arial" w:hAnsi="Arial" w:cs="Arial"/>
          <w:spacing w:val="-2"/>
          <w:sz w:val="20"/>
          <w:szCs w:val="20"/>
        </w:rPr>
        <w:t xml:space="preserve"> </w:t>
      </w:r>
      <w:r w:rsidRPr="00C1427A">
        <w:rPr>
          <w:rFonts w:ascii="Arial" w:hAnsi="Arial" w:cs="Arial"/>
          <w:sz w:val="20"/>
          <w:szCs w:val="20"/>
        </w:rPr>
        <w:t>and</w:t>
      </w:r>
      <w:r w:rsidRPr="00C1427A">
        <w:rPr>
          <w:rFonts w:ascii="Arial" w:hAnsi="Arial" w:cs="Arial"/>
          <w:spacing w:val="-1"/>
          <w:sz w:val="20"/>
          <w:szCs w:val="20"/>
        </w:rPr>
        <w:t xml:space="preserve"> </w:t>
      </w:r>
      <w:r w:rsidRPr="00C1427A">
        <w:rPr>
          <w:rFonts w:ascii="Arial" w:hAnsi="Arial" w:cs="Arial"/>
          <w:sz w:val="20"/>
          <w:szCs w:val="20"/>
        </w:rPr>
        <w:t>operational</w:t>
      </w:r>
      <w:r w:rsidRPr="00C1427A">
        <w:rPr>
          <w:rFonts w:ascii="Arial" w:hAnsi="Arial" w:cs="Arial"/>
          <w:spacing w:val="-3"/>
          <w:sz w:val="20"/>
          <w:szCs w:val="20"/>
        </w:rPr>
        <w:t xml:space="preserve"> </w:t>
      </w:r>
      <w:r w:rsidRPr="00C1427A">
        <w:rPr>
          <w:rFonts w:ascii="Arial" w:hAnsi="Arial" w:cs="Arial"/>
          <w:sz w:val="20"/>
          <w:szCs w:val="20"/>
        </w:rPr>
        <w:t>procedures;</w:t>
      </w:r>
    </w:p>
    <w:p w14:paraId="1CABE42C" w14:textId="77777777" w:rsidR="00C1427A" w:rsidRPr="00C1427A" w:rsidRDefault="00C1427A" w:rsidP="00D91E6C">
      <w:pPr>
        <w:pStyle w:val="ListParagraph"/>
        <w:numPr>
          <w:ilvl w:val="3"/>
          <w:numId w:val="279"/>
        </w:numPr>
        <w:tabs>
          <w:tab w:val="left" w:pos="2409"/>
        </w:tabs>
        <w:spacing w:before="121"/>
        <w:ind w:right="68"/>
        <w:jc w:val="both"/>
        <w:rPr>
          <w:rFonts w:ascii="Arial" w:hAnsi="Arial" w:cs="Arial"/>
          <w:sz w:val="20"/>
          <w:szCs w:val="20"/>
        </w:rPr>
      </w:pPr>
      <w:r w:rsidRPr="00C1427A">
        <w:rPr>
          <w:rFonts w:ascii="Arial" w:hAnsi="Arial" w:cs="Arial"/>
          <w:sz w:val="20"/>
          <w:szCs w:val="20"/>
        </w:rPr>
        <w:t>theoretical knowledge in the common subjects as per point BFCL.135(a)(1)</w:t>
      </w:r>
      <w:r w:rsidRPr="00C1427A">
        <w:rPr>
          <w:rFonts w:ascii="Arial" w:hAnsi="Arial" w:cs="Arial"/>
          <w:spacing w:val="1"/>
          <w:sz w:val="20"/>
          <w:szCs w:val="20"/>
        </w:rPr>
        <w:t xml:space="preserve"> </w:t>
      </w:r>
      <w:r w:rsidRPr="00C1427A">
        <w:rPr>
          <w:rFonts w:ascii="Arial" w:hAnsi="Arial" w:cs="Arial"/>
          <w:sz w:val="20"/>
          <w:szCs w:val="20"/>
        </w:rPr>
        <w:t>in cases where the applicant receives a credit in accordance with point</w:t>
      </w:r>
      <w:r w:rsidRPr="00C1427A">
        <w:rPr>
          <w:rFonts w:ascii="Arial" w:hAnsi="Arial" w:cs="Arial"/>
          <w:spacing w:val="1"/>
          <w:sz w:val="20"/>
          <w:szCs w:val="20"/>
        </w:rPr>
        <w:t xml:space="preserve"> </w:t>
      </w:r>
      <w:r w:rsidRPr="00C1427A">
        <w:rPr>
          <w:rFonts w:ascii="Arial" w:hAnsi="Arial" w:cs="Arial"/>
          <w:sz w:val="20"/>
          <w:szCs w:val="20"/>
        </w:rPr>
        <w:t>BFCL.140(a), based on a licence the privileges of which were not exercised</w:t>
      </w:r>
      <w:r w:rsidRPr="00C1427A">
        <w:rPr>
          <w:rFonts w:ascii="Arial" w:hAnsi="Arial" w:cs="Arial"/>
          <w:spacing w:val="1"/>
          <w:sz w:val="20"/>
          <w:szCs w:val="20"/>
        </w:rPr>
        <w:t xml:space="preserve"> </w:t>
      </w:r>
      <w:r w:rsidRPr="00C1427A">
        <w:rPr>
          <w:rFonts w:ascii="Arial" w:hAnsi="Arial" w:cs="Arial"/>
          <w:sz w:val="20"/>
          <w:szCs w:val="20"/>
        </w:rPr>
        <w:t>for</w:t>
      </w:r>
      <w:r w:rsidRPr="00C1427A">
        <w:rPr>
          <w:rFonts w:ascii="Arial" w:hAnsi="Arial" w:cs="Arial"/>
          <w:spacing w:val="-2"/>
          <w:sz w:val="20"/>
          <w:szCs w:val="20"/>
        </w:rPr>
        <w:t xml:space="preserve"> </w:t>
      </w:r>
      <w:r w:rsidRPr="00C1427A">
        <w:rPr>
          <w:rFonts w:ascii="Arial" w:hAnsi="Arial" w:cs="Arial"/>
          <w:sz w:val="20"/>
          <w:szCs w:val="20"/>
        </w:rPr>
        <w:t>more</w:t>
      </w:r>
      <w:r w:rsidRPr="00C1427A">
        <w:rPr>
          <w:rFonts w:ascii="Arial" w:hAnsi="Arial" w:cs="Arial"/>
          <w:spacing w:val="1"/>
          <w:sz w:val="20"/>
          <w:szCs w:val="20"/>
        </w:rPr>
        <w:t xml:space="preserve"> </w:t>
      </w:r>
      <w:r w:rsidRPr="00C1427A">
        <w:rPr>
          <w:rFonts w:ascii="Arial" w:hAnsi="Arial" w:cs="Arial"/>
          <w:sz w:val="20"/>
          <w:szCs w:val="20"/>
        </w:rPr>
        <w:t>than</w:t>
      </w:r>
      <w:r w:rsidRPr="00C1427A">
        <w:rPr>
          <w:rFonts w:ascii="Arial" w:hAnsi="Arial" w:cs="Arial"/>
          <w:spacing w:val="-3"/>
          <w:sz w:val="20"/>
          <w:szCs w:val="20"/>
        </w:rPr>
        <w:t xml:space="preserve"> </w:t>
      </w:r>
      <w:r w:rsidRPr="00C1427A">
        <w:rPr>
          <w:rFonts w:ascii="Arial" w:hAnsi="Arial" w:cs="Arial"/>
          <w:sz w:val="20"/>
          <w:szCs w:val="20"/>
        </w:rPr>
        <w:t>2</w:t>
      </w:r>
      <w:r w:rsidRPr="00C1427A">
        <w:rPr>
          <w:rFonts w:ascii="Arial" w:hAnsi="Arial" w:cs="Arial"/>
          <w:spacing w:val="-2"/>
          <w:sz w:val="20"/>
          <w:szCs w:val="20"/>
        </w:rPr>
        <w:t xml:space="preserve"> </w:t>
      </w:r>
      <w:r w:rsidRPr="00C1427A">
        <w:rPr>
          <w:rFonts w:ascii="Arial" w:hAnsi="Arial" w:cs="Arial"/>
          <w:sz w:val="20"/>
          <w:szCs w:val="20"/>
        </w:rPr>
        <w:t>years; and</w:t>
      </w:r>
    </w:p>
    <w:p w14:paraId="095D2E86" w14:textId="77777777" w:rsidR="00C1427A" w:rsidRPr="00C1427A" w:rsidRDefault="00C1427A" w:rsidP="00D91E6C">
      <w:pPr>
        <w:pStyle w:val="ListParagraph"/>
        <w:numPr>
          <w:ilvl w:val="3"/>
          <w:numId w:val="279"/>
        </w:numPr>
        <w:tabs>
          <w:tab w:val="left" w:pos="2409"/>
        </w:tabs>
        <w:spacing w:before="121"/>
        <w:ind w:right="68"/>
        <w:jc w:val="both"/>
        <w:rPr>
          <w:rFonts w:ascii="Arial" w:hAnsi="Arial" w:cs="Arial"/>
          <w:sz w:val="20"/>
          <w:szCs w:val="20"/>
        </w:rPr>
      </w:pPr>
      <w:r w:rsidRPr="00C1427A">
        <w:rPr>
          <w:rFonts w:ascii="Arial" w:hAnsi="Arial" w:cs="Arial"/>
          <w:sz w:val="20"/>
          <w:szCs w:val="20"/>
        </w:rPr>
        <w:t>other</w:t>
      </w:r>
      <w:r w:rsidRPr="00C1427A">
        <w:rPr>
          <w:rFonts w:ascii="Arial" w:hAnsi="Arial" w:cs="Arial"/>
          <w:spacing w:val="-3"/>
          <w:sz w:val="20"/>
          <w:szCs w:val="20"/>
        </w:rPr>
        <w:t xml:space="preserve"> </w:t>
      </w:r>
      <w:r w:rsidRPr="00C1427A">
        <w:rPr>
          <w:rFonts w:ascii="Arial" w:hAnsi="Arial" w:cs="Arial"/>
          <w:sz w:val="20"/>
          <w:szCs w:val="20"/>
        </w:rPr>
        <w:t>relevant items</w:t>
      </w:r>
      <w:r w:rsidRPr="00C1427A">
        <w:rPr>
          <w:rFonts w:ascii="Arial" w:hAnsi="Arial" w:cs="Arial"/>
          <w:spacing w:val="-2"/>
          <w:sz w:val="20"/>
          <w:szCs w:val="20"/>
        </w:rPr>
        <w:t xml:space="preserve"> </w:t>
      </w:r>
      <w:r w:rsidRPr="00C1427A">
        <w:rPr>
          <w:rFonts w:ascii="Arial" w:hAnsi="Arial" w:cs="Arial"/>
          <w:sz w:val="20"/>
          <w:szCs w:val="20"/>
        </w:rPr>
        <w:t>or</w:t>
      </w:r>
      <w:r w:rsidRPr="00C1427A">
        <w:rPr>
          <w:rFonts w:ascii="Arial" w:hAnsi="Arial" w:cs="Arial"/>
          <w:spacing w:val="2"/>
          <w:sz w:val="20"/>
          <w:szCs w:val="20"/>
        </w:rPr>
        <w:t xml:space="preserve"> </w:t>
      </w:r>
      <w:r w:rsidRPr="00C1427A">
        <w:rPr>
          <w:rFonts w:ascii="Arial" w:hAnsi="Arial" w:cs="Arial"/>
          <w:sz w:val="20"/>
          <w:szCs w:val="20"/>
        </w:rPr>
        <w:t>sections</w:t>
      </w:r>
      <w:r w:rsidRPr="00C1427A">
        <w:rPr>
          <w:rFonts w:ascii="Arial" w:hAnsi="Arial" w:cs="Arial"/>
          <w:spacing w:val="-3"/>
          <w:sz w:val="20"/>
          <w:szCs w:val="20"/>
        </w:rPr>
        <w:t xml:space="preserve"> </w:t>
      </w:r>
      <w:r w:rsidRPr="00C1427A">
        <w:rPr>
          <w:rFonts w:ascii="Arial" w:hAnsi="Arial" w:cs="Arial"/>
          <w:sz w:val="20"/>
          <w:szCs w:val="20"/>
        </w:rPr>
        <w:t>of the</w:t>
      </w:r>
      <w:r w:rsidRPr="00C1427A">
        <w:rPr>
          <w:rFonts w:ascii="Arial" w:hAnsi="Arial" w:cs="Arial"/>
          <w:spacing w:val="1"/>
          <w:sz w:val="20"/>
          <w:szCs w:val="20"/>
        </w:rPr>
        <w:t xml:space="preserve"> </w:t>
      </w:r>
      <w:r w:rsidRPr="00C1427A">
        <w:rPr>
          <w:rFonts w:ascii="Arial" w:hAnsi="Arial" w:cs="Arial"/>
          <w:sz w:val="20"/>
          <w:szCs w:val="20"/>
        </w:rPr>
        <w:t>test</w:t>
      </w:r>
      <w:r w:rsidRPr="00C1427A">
        <w:rPr>
          <w:rFonts w:ascii="Arial" w:hAnsi="Arial" w:cs="Arial"/>
          <w:spacing w:val="-2"/>
          <w:sz w:val="20"/>
          <w:szCs w:val="20"/>
        </w:rPr>
        <w:t xml:space="preserve"> </w:t>
      </w:r>
      <w:r w:rsidRPr="00C1427A">
        <w:rPr>
          <w:rFonts w:ascii="Arial" w:hAnsi="Arial" w:cs="Arial"/>
          <w:sz w:val="20"/>
          <w:szCs w:val="20"/>
        </w:rPr>
        <w:t>or</w:t>
      </w:r>
      <w:r w:rsidRPr="00C1427A">
        <w:rPr>
          <w:rFonts w:ascii="Arial" w:hAnsi="Arial" w:cs="Arial"/>
          <w:spacing w:val="-3"/>
          <w:sz w:val="20"/>
          <w:szCs w:val="20"/>
        </w:rPr>
        <w:t xml:space="preserve"> </w:t>
      </w:r>
      <w:r w:rsidRPr="00C1427A">
        <w:rPr>
          <w:rFonts w:ascii="Arial" w:hAnsi="Arial" w:cs="Arial"/>
          <w:sz w:val="20"/>
          <w:szCs w:val="20"/>
        </w:rPr>
        <w:t>check;</w:t>
      </w:r>
    </w:p>
    <w:p w14:paraId="56CE898B" w14:textId="77777777" w:rsidR="00C1427A" w:rsidRPr="00C1427A" w:rsidRDefault="00C1427A" w:rsidP="00D91E6C">
      <w:pPr>
        <w:pStyle w:val="ListParagraph"/>
        <w:numPr>
          <w:ilvl w:val="2"/>
          <w:numId w:val="279"/>
        </w:numPr>
        <w:tabs>
          <w:tab w:val="left" w:pos="1842"/>
        </w:tabs>
        <w:ind w:right="68"/>
        <w:jc w:val="both"/>
        <w:rPr>
          <w:rFonts w:ascii="Arial" w:hAnsi="Arial" w:cs="Arial"/>
          <w:sz w:val="20"/>
          <w:szCs w:val="20"/>
        </w:rPr>
      </w:pPr>
      <w:r w:rsidRPr="00C1427A">
        <w:rPr>
          <w:rFonts w:ascii="Arial" w:hAnsi="Arial" w:cs="Arial"/>
          <w:sz w:val="20"/>
          <w:szCs w:val="20"/>
        </w:rPr>
        <w:t>pre-flight</w:t>
      </w:r>
      <w:r w:rsidRPr="00C1427A">
        <w:rPr>
          <w:rFonts w:ascii="Arial" w:hAnsi="Arial" w:cs="Arial"/>
          <w:spacing w:val="-2"/>
          <w:sz w:val="20"/>
          <w:szCs w:val="20"/>
        </w:rPr>
        <w:t xml:space="preserve"> </w:t>
      </w:r>
      <w:r w:rsidRPr="00C1427A">
        <w:rPr>
          <w:rFonts w:ascii="Arial" w:hAnsi="Arial" w:cs="Arial"/>
          <w:sz w:val="20"/>
          <w:szCs w:val="20"/>
        </w:rPr>
        <w:t>briefing</w:t>
      </w:r>
      <w:r w:rsidRPr="00C1427A">
        <w:rPr>
          <w:rFonts w:ascii="Arial" w:hAnsi="Arial" w:cs="Arial"/>
          <w:spacing w:val="-2"/>
          <w:sz w:val="20"/>
          <w:szCs w:val="20"/>
        </w:rPr>
        <w:t xml:space="preserve"> </w:t>
      </w:r>
      <w:r w:rsidRPr="00C1427A">
        <w:rPr>
          <w:rFonts w:ascii="Arial" w:hAnsi="Arial" w:cs="Arial"/>
          <w:sz w:val="20"/>
          <w:szCs w:val="20"/>
        </w:rPr>
        <w:t>which</w:t>
      </w:r>
      <w:r w:rsidRPr="00C1427A">
        <w:rPr>
          <w:rFonts w:ascii="Arial" w:hAnsi="Arial" w:cs="Arial"/>
          <w:spacing w:val="-2"/>
          <w:sz w:val="20"/>
          <w:szCs w:val="20"/>
        </w:rPr>
        <w:t xml:space="preserve"> </w:t>
      </w:r>
      <w:r w:rsidRPr="00C1427A">
        <w:rPr>
          <w:rFonts w:ascii="Arial" w:hAnsi="Arial" w:cs="Arial"/>
          <w:sz w:val="20"/>
          <w:szCs w:val="20"/>
        </w:rPr>
        <w:t>should</w:t>
      </w:r>
      <w:r w:rsidRPr="00C1427A">
        <w:rPr>
          <w:rFonts w:ascii="Arial" w:hAnsi="Arial" w:cs="Arial"/>
          <w:spacing w:val="-2"/>
          <w:sz w:val="20"/>
          <w:szCs w:val="20"/>
        </w:rPr>
        <w:t xml:space="preserve"> </w:t>
      </w:r>
      <w:r w:rsidRPr="00C1427A">
        <w:rPr>
          <w:rFonts w:ascii="Arial" w:hAnsi="Arial" w:cs="Arial"/>
          <w:sz w:val="20"/>
          <w:szCs w:val="20"/>
        </w:rPr>
        <w:t>include:</w:t>
      </w:r>
    </w:p>
    <w:p w14:paraId="4C7F828C" w14:textId="77777777" w:rsidR="00C1427A" w:rsidRPr="00C1427A" w:rsidRDefault="00C1427A" w:rsidP="00D91E6C">
      <w:pPr>
        <w:pStyle w:val="ListParagraph"/>
        <w:numPr>
          <w:ilvl w:val="3"/>
          <w:numId w:val="279"/>
        </w:numPr>
        <w:tabs>
          <w:tab w:val="left" w:pos="2409"/>
        </w:tabs>
        <w:spacing w:before="121"/>
        <w:ind w:right="68"/>
        <w:jc w:val="both"/>
        <w:rPr>
          <w:rFonts w:ascii="Arial" w:hAnsi="Arial" w:cs="Arial"/>
          <w:sz w:val="20"/>
          <w:szCs w:val="20"/>
        </w:rPr>
      </w:pPr>
      <w:r w:rsidRPr="00C1427A">
        <w:rPr>
          <w:rFonts w:ascii="Arial" w:hAnsi="Arial" w:cs="Arial"/>
          <w:sz w:val="20"/>
          <w:szCs w:val="20"/>
        </w:rPr>
        <w:t>test</w:t>
      </w:r>
      <w:r w:rsidRPr="00C1427A">
        <w:rPr>
          <w:rFonts w:ascii="Arial" w:hAnsi="Arial" w:cs="Arial"/>
          <w:spacing w:val="-2"/>
          <w:sz w:val="20"/>
          <w:szCs w:val="20"/>
        </w:rPr>
        <w:t xml:space="preserve"> </w:t>
      </w:r>
      <w:r w:rsidRPr="00C1427A">
        <w:rPr>
          <w:rFonts w:ascii="Arial" w:hAnsi="Arial" w:cs="Arial"/>
          <w:sz w:val="20"/>
          <w:szCs w:val="20"/>
        </w:rPr>
        <w:t>or</w:t>
      </w:r>
      <w:r w:rsidRPr="00C1427A">
        <w:rPr>
          <w:rFonts w:ascii="Arial" w:hAnsi="Arial" w:cs="Arial"/>
          <w:spacing w:val="-2"/>
          <w:sz w:val="20"/>
          <w:szCs w:val="20"/>
        </w:rPr>
        <w:t xml:space="preserve"> </w:t>
      </w:r>
      <w:r w:rsidRPr="00C1427A">
        <w:rPr>
          <w:rFonts w:ascii="Arial" w:hAnsi="Arial" w:cs="Arial"/>
          <w:sz w:val="20"/>
          <w:szCs w:val="20"/>
        </w:rPr>
        <w:t>check</w:t>
      </w:r>
      <w:r w:rsidRPr="00C1427A">
        <w:rPr>
          <w:rFonts w:ascii="Arial" w:hAnsi="Arial" w:cs="Arial"/>
          <w:spacing w:val="-2"/>
          <w:sz w:val="20"/>
          <w:szCs w:val="20"/>
        </w:rPr>
        <w:t xml:space="preserve"> </w:t>
      </w:r>
      <w:r w:rsidRPr="00C1427A">
        <w:rPr>
          <w:rFonts w:ascii="Arial" w:hAnsi="Arial" w:cs="Arial"/>
          <w:sz w:val="20"/>
          <w:szCs w:val="20"/>
        </w:rPr>
        <w:t>sequence;</w:t>
      </w:r>
      <w:r w:rsidRPr="00C1427A">
        <w:rPr>
          <w:rFonts w:ascii="Arial" w:hAnsi="Arial" w:cs="Arial"/>
          <w:spacing w:val="-1"/>
          <w:sz w:val="20"/>
          <w:szCs w:val="20"/>
        </w:rPr>
        <w:t xml:space="preserve"> </w:t>
      </w:r>
      <w:r w:rsidRPr="00C1427A">
        <w:rPr>
          <w:rFonts w:ascii="Arial" w:hAnsi="Arial" w:cs="Arial"/>
          <w:sz w:val="20"/>
          <w:szCs w:val="20"/>
        </w:rPr>
        <w:t>and</w:t>
      </w:r>
    </w:p>
    <w:p w14:paraId="52C001A9" w14:textId="77777777" w:rsidR="00C1427A" w:rsidRPr="00C1427A" w:rsidRDefault="00C1427A" w:rsidP="00D91E6C">
      <w:pPr>
        <w:pStyle w:val="ListParagraph"/>
        <w:numPr>
          <w:ilvl w:val="3"/>
          <w:numId w:val="279"/>
        </w:numPr>
        <w:tabs>
          <w:tab w:val="left" w:pos="2409"/>
        </w:tabs>
        <w:spacing w:before="118"/>
        <w:ind w:right="68"/>
        <w:jc w:val="both"/>
        <w:rPr>
          <w:rFonts w:ascii="Arial" w:hAnsi="Arial" w:cs="Arial"/>
          <w:sz w:val="20"/>
          <w:szCs w:val="20"/>
        </w:rPr>
      </w:pPr>
      <w:r w:rsidRPr="00C1427A">
        <w:rPr>
          <w:rFonts w:ascii="Arial" w:hAnsi="Arial" w:cs="Arial"/>
          <w:sz w:val="20"/>
          <w:szCs w:val="20"/>
        </w:rPr>
        <w:t>safety</w:t>
      </w:r>
      <w:r w:rsidRPr="00C1427A">
        <w:rPr>
          <w:rFonts w:ascii="Arial" w:hAnsi="Arial" w:cs="Arial"/>
          <w:spacing w:val="-5"/>
          <w:sz w:val="20"/>
          <w:szCs w:val="20"/>
        </w:rPr>
        <w:t xml:space="preserve"> </w:t>
      </w:r>
      <w:r w:rsidRPr="00C1427A">
        <w:rPr>
          <w:rFonts w:ascii="Arial" w:hAnsi="Arial" w:cs="Arial"/>
          <w:sz w:val="20"/>
          <w:szCs w:val="20"/>
        </w:rPr>
        <w:t>considerations.</w:t>
      </w:r>
    </w:p>
    <w:p w14:paraId="2B0C9134" w14:textId="77777777" w:rsidR="00C1427A" w:rsidRPr="00C1427A" w:rsidRDefault="00C1427A" w:rsidP="00D91E6C">
      <w:pPr>
        <w:pStyle w:val="ListParagraph"/>
        <w:numPr>
          <w:ilvl w:val="2"/>
          <w:numId w:val="279"/>
        </w:numPr>
        <w:tabs>
          <w:tab w:val="left" w:pos="1842"/>
        </w:tabs>
        <w:spacing w:before="56"/>
        <w:ind w:right="68"/>
        <w:jc w:val="both"/>
        <w:rPr>
          <w:rFonts w:ascii="Arial" w:hAnsi="Arial" w:cs="Arial"/>
          <w:sz w:val="20"/>
          <w:szCs w:val="20"/>
        </w:rPr>
      </w:pPr>
      <w:r w:rsidRPr="00C1427A">
        <w:rPr>
          <w:rFonts w:ascii="Arial" w:hAnsi="Arial" w:cs="Arial"/>
          <w:sz w:val="20"/>
          <w:szCs w:val="20"/>
        </w:rPr>
        <w:t>in-flight</w:t>
      </w:r>
      <w:r w:rsidRPr="00C1427A">
        <w:rPr>
          <w:rFonts w:ascii="Arial" w:hAnsi="Arial" w:cs="Arial"/>
          <w:spacing w:val="-3"/>
          <w:sz w:val="20"/>
          <w:szCs w:val="20"/>
        </w:rPr>
        <w:t xml:space="preserve"> </w:t>
      </w:r>
      <w:r w:rsidRPr="00C1427A">
        <w:rPr>
          <w:rFonts w:ascii="Arial" w:hAnsi="Arial" w:cs="Arial"/>
          <w:sz w:val="20"/>
          <w:szCs w:val="20"/>
        </w:rPr>
        <w:t>exercises</w:t>
      </w:r>
      <w:r w:rsidRPr="00C1427A">
        <w:rPr>
          <w:rFonts w:ascii="Arial" w:hAnsi="Arial" w:cs="Arial"/>
          <w:spacing w:val="-5"/>
          <w:sz w:val="20"/>
          <w:szCs w:val="20"/>
        </w:rPr>
        <w:t xml:space="preserve"> </w:t>
      </w:r>
      <w:r w:rsidRPr="00C1427A">
        <w:rPr>
          <w:rFonts w:ascii="Arial" w:hAnsi="Arial" w:cs="Arial"/>
          <w:sz w:val="20"/>
          <w:szCs w:val="20"/>
        </w:rPr>
        <w:t>which</w:t>
      </w:r>
      <w:r w:rsidRPr="00C1427A">
        <w:rPr>
          <w:rFonts w:ascii="Arial" w:hAnsi="Arial" w:cs="Arial"/>
          <w:spacing w:val="-7"/>
          <w:sz w:val="20"/>
          <w:szCs w:val="20"/>
        </w:rPr>
        <w:t xml:space="preserve"> </w:t>
      </w:r>
      <w:r w:rsidRPr="00C1427A">
        <w:rPr>
          <w:rFonts w:ascii="Arial" w:hAnsi="Arial" w:cs="Arial"/>
          <w:sz w:val="20"/>
          <w:szCs w:val="20"/>
        </w:rPr>
        <w:t>should</w:t>
      </w:r>
      <w:r w:rsidRPr="00C1427A">
        <w:rPr>
          <w:rFonts w:ascii="Arial" w:hAnsi="Arial" w:cs="Arial"/>
          <w:spacing w:val="-3"/>
          <w:sz w:val="20"/>
          <w:szCs w:val="20"/>
        </w:rPr>
        <w:t xml:space="preserve"> </w:t>
      </w:r>
      <w:r w:rsidRPr="00C1427A">
        <w:rPr>
          <w:rFonts w:ascii="Arial" w:hAnsi="Arial" w:cs="Arial"/>
          <w:sz w:val="20"/>
          <w:szCs w:val="20"/>
        </w:rPr>
        <w:t>include</w:t>
      </w:r>
      <w:r w:rsidRPr="00C1427A">
        <w:rPr>
          <w:rFonts w:ascii="Arial" w:hAnsi="Arial" w:cs="Arial"/>
          <w:spacing w:val="-5"/>
          <w:sz w:val="20"/>
          <w:szCs w:val="20"/>
        </w:rPr>
        <w:t xml:space="preserve"> </w:t>
      </w:r>
      <w:r w:rsidRPr="00C1427A">
        <w:rPr>
          <w:rFonts w:ascii="Arial" w:hAnsi="Arial" w:cs="Arial"/>
          <w:sz w:val="20"/>
          <w:szCs w:val="20"/>
        </w:rPr>
        <w:t>each</w:t>
      </w:r>
      <w:r w:rsidRPr="00C1427A">
        <w:rPr>
          <w:rFonts w:ascii="Arial" w:hAnsi="Arial" w:cs="Arial"/>
          <w:spacing w:val="-6"/>
          <w:sz w:val="20"/>
          <w:szCs w:val="20"/>
        </w:rPr>
        <w:t xml:space="preserve"> </w:t>
      </w:r>
      <w:r w:rsidRPr="00C1427A">
        <w:rPr>
          <w:rFonts w:ascii="Arial" w:hAnsi="Arial" w:cs="Arial"/>
          <w:sz w:val="20"/>
          <w:szCs w:val="20"/>
        </w:rPr>
        <w:t>relevant</w:t>
      </w:r>
      <w:r w:rsidRPr="00C1427A">
        <w:rPr>
          <w:rFonts w:ascii="Arial" w:hAnsi="Arial" w:cs="Arial"/>
          <w:spacing w:val="-4"/>
          <w:sz w:val="20"/>
          <w:szCs w:val="20"/>
        </w:rPr>
        <w:t xml:space="preserve"> </w:t>
      </w:r>
      <w:r w:rsidRPr="00C1427A">
        <w:rPr>
          <w:rFonts w:ascii="Arial" w:hAnsi="Arial" w:cs="Arial"/>
          <w:sz w:val="20"/>
          <w:szCs w:val="20"/>
        </w:rPr>
        <w:t>item</w:t>
      </w:r>
      <w:r w:rsidRPr="00C1427A">
        <w:rPr>
          <w:rFonts w:ascii="Arial" w:hAnsi="Arial" w:cs="Arial"/>
          <w:spacing w:val="-7"/>
          <w:sz w:val="20"/>
          <w:szCs w:val="20"/>
        </w:rPr>
        <w:t xml:space="preserve"> </w:t>
      </w:r>
      <w:r w:rsidRPr="00C1427A">
        <w:rPr>
          <w:rFonts w:ascii="Arial" w:hAnsi="Arial" w:cs="Arial"/>
          <w:sz w:val="20"/>
          <w:szCs w:val="20"/>
        </w:rPr>
        <w:t>or</w:t>
      </w:r>
      <w:r w:rsidRPr="00C1427A">
        <w:rPr>
          <w:rFonts w:ascii="Arial" w:hAnsi="Arial" w:cs="Arial"/>
          <w:spacing w:val="-3"/>
          <w:sz w:val="20"/>
          <w:szCs w:val="20"/>
        </w:rPr>
        <w:t xml:space="preserve"> </w:t>
      </w:r>
      <w:r w:rsidRPr="00C1427A">
        <w:rPr>
          <w:rFonts w:ascii="Arial" w:hAnsi="Arial" w:cs="Arial"/>
          <w:sz w:val="20"/>
          <w:szCs w:val="20"/>
        </w:rPr>
        <w:t>section</w:t>
      </w:r>
      <w:r w:rsidRPr="00C1427A">
        <w:rPr>
          <w:rFonts w:ascii="Arial" w:hAnsi="Arial" w:cs="Arial"/>
          <w:spacing w:val="-6"/>
          <w:sz w:val="20"/>
          <w:szCs w:val="20"/>
        </w:rPr>
        <w:t xml:space="preserve"> </w:t>
      </w:r>
      <w:r w:rsidRPr="00C1427A">
        <w:rPr>
          <w:rFonts w:ascii="Arial" w:hAnsi="Arial" w:cs="Arial"/>
          <w:sz w:val="20"/>
          <w:szCs w:val="20"/>
        </w:rPr>
        <w:t>of</w:t>
      </w:r>
      <w:r w:rsidRPr="00C1427A">
        <w:rPr>
          <w:rFonts w:ascii="Arial" w:hAnsi="Arial" w:cs="Arial"/>
          <w:spacing w:val="-5"/>
          <w:sz w:val="20"/>
          <w:szCs w:val="20"/>
        </w:rPr>
        <w:t xml:space="preserve"> </w:t>
      </w:r>
      <w:r w:rsidRPr="00C1427A">
        <w:rPr>
          <w:rFonts w:ascii="Arial" w:hAnsi="Arial" w:cs="Arial"/>
          <w:sz w:val="20"/>
          <w:szCs w:val="20"/>
        </w:rPr>
        <w:t>the</w:t>
      </w:r>
      <w:r w:rsidRPr="00C1427A">
        <w:rPr>
          <w:rFonts w:ascii="Arial" w:hAnsi="Arial" w:cs="Arial"/>
          <w:spacing w:val="-6"/>
          <w:sz w:val="20"/>
          <w:szCs w:val="20"/>
        </w:rPr>
        <w:t xml:space="preserve"> </w:t>
      </w:r>
      <w:r w:rsidRPr="00C1427A">
        <w:rPr>
          <w:rFonts w:ascii="Arial" w:hAnsi="Arial" w:cs="Arial"/>
          <w:sz w:val="20"/>
          <w:szCs w:val="20"/>
        </w:rPr>
        <w:t>test</w:t>
      </w:r>
      <w:r w:rsidRPr="00C1427A">
        <w:rPr>
          <w:rFonts w:ascii="Arial" w:hAnsi="Arial" w:cs="Arial"/>
          <w:spacing w:val="-5"/>
          <w:sz w:val="20"/>
          <w:szCs w:val="20"/>
        </w:rPr>
        <w:t xml:space="preserve"> </w:t>
      </w:r>
      <w:r w:rsidRPr="00C1427A">
        <w:rPr>
          <w:rFonts w:ascii="Arial" w:hAnsi="Arial" w:cs="Arial"/>
          <w:sz w:val="20"/>
          <w:szCs w:val="20"/>
        </w:rPr>
        <w:t>or</w:t>
      </w:r>
      <w:r w:rsidRPr="00C1427A">
        <w:rPr>
          <w:rFonts w:ascii="Arial" w:hAnsi="Arial" w:cs="Arial"/>
          <w:spacing w:val="-47"/>
          <w:sz w:val="20"/>
          <w:szCs w:val="20"/>
        </w:rPr>
        <w:t xml:space="preserve"> </w:t>
      </w:r>
      <w:r w:rsidRPr="00C1427A">
        <w:rPr>
          <w:rFonts w:ascii="Arial" w:hAnsi="Arial" w:cs="Arial"/>
          <w:sz w:val="20"/>
          <w:szCs w:val="20"/>
        </w:rPr>
        <w:t>check;</w:t>
      </w:r>
      <w:r w:rsidRPr="00C1427A">
        <w:rPr>
          <w:rFonts w:ascii="Arial" w:hAnsi="Arial" w:cs="Arial"/>
          <w:spacing w:val="-1"/>
          <w:sz w:val="20"/>
          <w:szCs w:val="20"/>
        </w:rPr>
        <w:t xml:space="preserve"> </w:t>
      </w:r>
      <w:r w:rsidRPr="00C1427A">
        <w:rPr>
          <w:rFonts w:ascii="Arial" w:hAnsi="Arial" w:cs="Arial"/>
          <w:sz w:val="20"/>
          <w:szCs w:val="20"/>
        </w:rPr>
        <w:t>and</w:t>
      </w:r>
    </w:p>
    <w:p w14:paraId="1C2B4572" w14:textId="77777777" w:rsidR="00C1427A" w:rsidRPr="00C1427A" w:rsidRDefault="00C1427A" w:rsidP="00D91E6C">
      <w:pPr>
        <w:pStyle w:val="ListParagraph"/>
        <w:numPr>
          <w:ilvl w:val="2"/>
          <w:numId w:val="279"/>
        </w:numPr>
        <w:tabs>
          <w:tab w:val="left" w:pos="1842"/>
        </w:tabs>
        <w:spacing w:before="121"/>
        <w:ind w:right="68"/>
        <w:jc w:val="both"/>
        <w:rPr>
          <w:rFonts w:ascii="Arial" w:hAnsi="Arial" w:cs="Arial"/>
          <w:sz w:val="20"/>
          <w:szCs w:val="20"/>
        </w:rPr>
      </w:pPr>
      <w:r w:rsidRPr="00C1427A">
        <w:rPr>
          <w:rFonts w:ascii="Arial" w:hAnsi="Arial" w:cs="Arial"/>
          <w:sz w:val="20"/>
          <w:szCs w:val="20"/>
        </w:rPr>
        <w:t>post-flight</w:t>
      </w:r>
      <w:r w:rsidRPr="00C1427A">
        <w:rPr>
          <w:rFonts w:ascii="Arial" w:hAnsi="Arial" w:cs="Arial"/>
          <w:spacing w:val="-2"/>
          <w:sz w:val="20"/>
          <w:szCs w:val="20"/>
        </w:rPr>
        <w:t xml:space="preserve"> </w:t>
      </w:r>
      <w:r w:rsidRPr="00C1427A">
        <w:rPr>
          <w:rFonts w:ascii="Arial" w:hAnsi="Arial" w:cs="Arial"/>
          <w:sz w:val="20"/>
          <w:szCs w:val="20"/>
        </w:rPr>
        <w:t>debriefing</w:t>
      </w:r>
      <w:r w:rsidRPr="00C1427A">
        <w:rPr>
          <w:rFonts w:ascii="Arial" w:hAnsi="Arial" w:cs="Arial"/>
          <w:spacing w:val="-3"/>
          <w:sz w:val="20"/>
          <w:szCs w:val="20"/>
        </w:rPr>
        <w:t xml:space="preserve"> </w:t>
      </w:r>
      <w:r w:rsidRPr="00C1427A">
        <w:rPr>
          <w:rFonts w:ascii="Arial" w:hAnsi="Arial" w:cs="Arial"/>
          <w:sz w:val="20"/>
          <w:szCs w:val="20"/>
        </w:rPr>
        <w:t>which</w:t>
      </w:r>
      <w:r w:rsidRPr="00C1427A">
        <w:rPr>
          <w:rFonts w:ascii="Arial" w:hAnsi="Arial" w:cs="Arial"/>
          <w:spacing w:val="-2"/>
          <w:sz w:val="20"/>
          <w:szCs w:val="20"/>
        </w:rPr>
        <w:t xml:space="preserve"> </w:t>
      </w:r>
      <w:r w:rsidRPr="00C1427A">
        <w:rPr>
          <w:rFonts w:ascii="Arial" w:hAnsi="Arial" w:cs="Arial"/>
          <w:sz w:val="20"/>
          <w:szCs w:val="20"/>
        </w:rPr>
        <w:t>should</w:t>
      </w:r>
      <w:r w:rsidRPr="00C1427A">
        <w:rPr>
          <w:rFonts w:ascii="Arial" w:hAnsi="Arial" w:cs="Arial"/>
          <w:spacing w:val="-3"/>
          <w:sz w:val="20"/>
          <w:szCs w:val="20"/>
        </w:rPr>
        <w:t xml:space="preserve"> </w:t>
      </w:r>
      <w:r w:rsidRPr="00C1427A">
        <w:rPr>
          <w:rFonts w:ascii="Arial" w:hAnsi="Arial" w:cs="Arial"/>
          <w:sz w:val="20"/>
          <w:szCs w:val="20"/>
        </w:rPr>
        <w:t>include:</w:t>
      </w:r>
    </w:p>
    <w:p w14:paraId="4313D9D1" w14:textId="77777777" w:rsidR="00C1427A" w:rsidRPr="00C1427A" w:rsidRDefault="00C1427A" w:rsidP="00D91E6C">
      <w:pPr>
        <w:pStyle w:val="ListParagraph"/>
        <w:numPr>
          <w:ilvl w:val="3"/>
          <w:numId w:val="279"/>
        </w:numPr>
        <w:tabs>
          <w:tab w:val="left" w:pos="2409"/>
        </w:tabs>
        <w:ind w:right="68"/>
        <w:jc w:val="both"/>
        <w:rPr>
          <w:rFonts w:ascii="Arial" w:hAnsi="Arial" w:cs="Arial"/>
          <w:sz w:val="20"/>
          <w:szCs w:val="20"/>
        </w:rPr>
      </w:pPr>
      <w:r w:rsidRPr="00C1427A">
        <w:rPr>
          <w:rFonts w:ascii="Arial" w:hAnsi="Arial" w:cs="Arial"/>
          <w:sz w:val="20"/>
          <w:szCs w:val="20"/>
        </w:rPr>
        <w:t>assessment</w:t>
      </w:r>
      <w:r w:rsidRPr="00C1427A">
        <w:rPr>
          <w:rFonts w:ascii="Arial" w:hAnsi="Arial" w:cs="Arial"/>
          <w:spacing w:val="-2"/>
          <w:sz w:val="20"/>
          <w:szCs w:val="20"/>
        </w:rPr>
        <w:t xml:space="preserve"> </w:t>
      </w:r>
      <w:r w:rsidRPr="00C1427A">
        <w:rPr>
          <w:rFonts w:ascii="Arial" w:hAnsi="Arial" w:cs="Arial"/>
          <w:sz w:val="20"/>
          <w:szCs w:val="20"/>
        </w:rPr>
        <w:t>or</w:t>
      </w:r>
      <w:r w:rsidRPr="00C1427A">
        <w:rPr>
          <w:rFonts w:ascii="Arial" w:hAnsi="Arial" w:cs="Arial"/>
          <w:spacing w:val="-3"/>
          <w:sz w:val="20"/>
          <w:szCs w:val="20"/>
        </w:rPr>
        <w:t xml:space="preserve"> </w:t>
      </w:r>
      <w:r w:rsidRPr="00C1427A">
        <w:rPr>
          <w:rFonts w:ascii="Arial" w:hAnsi="Arial" w:cs="Arial"/>
          <w:sz w:val="20"/>
          <w:szCs w:val="20"/>
        </w:rPr>
        <w:t>evaluation</w:t>
      </w:r>
      <w:r w:rsidRPr="00C1427A">
        <w:rPr>
          <w:rFonts w:ascii="Arial" w:hAnsi="Arial" w:cs="Arial"/>
          <w:spacing w:val="-4"/>
          <w:sz w:val="20"/>
          <w:szCs w:val="20"/>
        </w:rPr>
        <w:t xml:space="preserve"> </w:t>
      </w:r>
      <w:r w:rsidRPr="00C1427A">
        <w:rPr>
          <w:rFonts w:ascii="Arial" w:hAnsi="Arial" w:cs="Arial"/>
          <w:sz w:val="20"/>
          <w:szCs w:val="20"/>
        </w:rPr>
        <w:t>of the</w:t>
      </w:r>
      <w:r w:rsidRPr="00C1427A">
        <w:rPr>
          <w:rFonts w:ascii="Arial" w:hAnsi="Arial" w:cs="Arial"/>
          <w:spacing w:val="1"/>
          <w:sz w:val="20"/>
          <w:szCs w:val="20"/>
        </w:rPr>
        <w:t xml:space="preserve"> </w:t>
      </w:r>
      <w:r w:rsidRPr="00C1427A">
        <w:rPr>
          <w:rFonts w:ascii="Arial" w:hAnsi="Arial" w:cs="Arial"/>
          <w:sz w:val="20"/>
          <w:szCs w:val="20"/>
        </w:rPr>
        <w:t>applicant; and</w:t>
      </w:r>
    </w:p>
    <w:p w14:paraId="6B97F1A1" w14:textId="77777777" w:rsidR="00C1427A" w:rsidRPr="00C1427A" w:rsidRDefault="00C1427A" w:rsidP="00D91E6C">
      <w:pPr>
        <w:pStyle w:val="ListParagraph"/>
        <w:numPr>
          <w:ilvl w:val="3"/>
          <w:numId w:val="279"/>
        </w:numPr>
        <w:tabs>
          <w:tab w:val="left" w:pos="2409"/>
        </w:tabs>
        <w:ind w:right="68"/>
        <w:jc w:val="both"/>
        <w:rPr>
          <w:rFonts w:ascii="Arial" w:hAnsi="Arial" w:cs="Arial"/>
          <w:sz w:val="20"/>
          <w:szCs w:val="20"/>
        </w:rPr>
      </w:pPr>
      <w:r w:rsidRPr="00C1427A">
        <w:rPr>
          <w:rFonts w:ascii="Arial" w:hAnsi="Arial" w:cs="Arial"/>
          <w:sz w:val="20"/>
          <w:szCs w:val="20"/>
        </w:rPr>
        <w:t>documentation of the test or check with the applicant’s FI(B) present, if</w:t>
      </w:r>
      <w:r w:rsidRPr="00C1427A">
        <w:rPr>
          <w:rFonts w:ascii="Arial" w:hAnsi="Arial" w:cs="Arial"/>
          <w:spacing w:val="1"/>
          <w:sz w:val="20"/>
          <w:szCs w:val="20"/>
        </w:rPr>
        <w:t xml:space="preserve"> </w:t>
      </w:r>
      <w:r w:rsidRPr="00C1427A">
        <w:rPr>
          <w:rFonts w:ascii="Arial" w:hAnsi="Arial" w:cs="Arial"/>
          <w:sz w:val="20"/>
          <w:szCs w:val="20"/>
        </w:rPr>
        <w:t>possible.</w:t>
      </w:r>
    </w:p>
    <w:p w14:paraId="3F1D8B00" w14:textId="77777777" w:rsidR="00C1427A" w:rsidRPr="00C1427A" w:rsidRDefault="00C1427A" w:rsidP="00D91E6C">
      <w:pPr>
        <w:pStyle w:val="ListParagraph"/>
        <w:numPr>
          <w:ilvl w:val="1"/>
          <w:numId w:val="279"/>
        </w:numPr>
        <w:tabs>
          <w:tab w:val="left" w:pos="1274"/>
        </w:tabs>
        <w:spacing w:before="121"/>
        <w:ind w:right="68"/>
        <w:jc w:val="both"/>
        <w:rPr>
          <w:rFonts w:ascii="Arial" w:hAnsi="Arial" w:cs="Arial"/>
          <w:sz w:val="20"/>
          <w:szCs w:val="20"/>
        </w:rPr>
      </w:pPr>
      <w:r w:rsidRPr="00C1427A">
        <w:rPr>
          <w:rFonts w:ascii="Arial" w:hAnsi="Arial" w:cs="Arial"/>
          <w:sz w:val="20"/>
          <w:szCs w:val="20"/>
        </w:rPr>
        <w:t>A test or check is intended to simulate a practical flight. Thus, an examiner may set</w:t>
      </w:r>
      <w:r w:rsidRPr="00C1427A">
        <w:rPr>
          <w:rFonts w:ascii="Arial" w:hAnsi="Arial" w:cs="Arial"/>
          <w:spacing w:val="1"/>
          <w:sz w:val="20"/>
          <w:szCs w:val="20"/>
        </w:rPr>
        <w:t xml:space="preserve"> </w:t>
      </w:r>
      <w:r w:rsidRPr="00C1427A">
        <w:rPr>
          <w:rFonts w:ascii="Arial" w:hAnsi="Arial" w:cs="Arial"/>
          <w:sz w:val="20"/>
          <w:szCs w:val="20"/>
        </w:rPr>
        <w:t>practical scenarios for an applicant while ensuring that the applicant is not confused and</w:t>
      </w:r>
      <w:r w:rsidRPr="00C1427A">
        <w:rPr>
          <w:rFonts w:ascii="Arial" w:hAnsi="Arial" w:cs="Arial"/>
          <w:spacing w:val="-47"/>
          <w:sz w:val="20"/>
          <w:szCs w:val="20"/>
        </w:rPr>
        <w:t xml:space="preserve"> </w:t>
      </w:r>
      <w:r w:rsidRPr="00C1427A">
        <w:rPr>
          <w:rFonts w:ascii="Arial" w:hAnsi="Arial" w:cs="Arial"/>
          <w:sz w:val="20"/>
          <w:szCs w:val="20"/>
        </w:rPr>
        <w:t>air</w:t>
      </w:r>
      <w:r w:rsidRPr="00C1427A">
        <w:rPr>
          <w:rFonts w:ascii="Arial" w:hAnsi="Arial" w:cs="Arial"/>
          <w:spacing w:val="-2"/>
          <w:sz w:val="20"/>
          <w:szCs w:val="20"/>
        </w:rPr>
        <w:t xml:space="preserve"> </w:t>
      </w:r>
      <w:r w:rsidRPr="00C1427A">
        <w:rPr>
          <w:rFonts w:ascii="Arial" w:hAnsi="Arial" w:cs="Arial"/>
          <w:sz w:val="20"/>
          <w:szCs w:val="20"/>
        </w:rPr>
        <w:t>safety is not</w:t>
      </w:r>
      <w:r w:rsidRPr="00C1427A">
        <w:rPr>
          <w:rFonts w:ascii="Arial" w:hAnsi="Arial" w:cs="Arial"/>
          <w:spacing w:val="-2"/>
          <w:sz w:val="20"/>
          <w:szCs w:val="20"/>
        </w:rPr>
        <w:t xml:space="preserve"> </w:t>
      </w:r>
      <w:r w:rsidRPr="00C1427A">
        <w:rPr>
          <w:rFonts w:ascii="Arial" w:hAnsi="Arial" w:cs="Arial"/>
          <w:sz w:val="20"/>
          <w:szCs w:val="20"/>
        </w:rPr>
        <w:t>compromised.</w:t>
      </w:r>
    </w:p>
    <w:p w14:paraId="6B6A4CD9" w14:textId="77777777" w:rsidR="00C1427A" w:rsidRPr="00C1427A" w:rsidRDefault="00C1427A" w:rsidP="00D91E6C">
      <w:pPr>
        <w:pStyle w:val="ListParagraph"/>
        <w:numPr>
          <w:ilvl w:val="1"/>
          <w:numId w:val="279"/>
        </w:numPr>
        <w:tabs>
          <w:tab w:val="left" w:pos="1274"/>
        </w:tabs>
        <w:spacing w:before="118"/>
        <w:ind w:right="68"/>
        <w:jc w:val="both"/>
        <w:rPr>
          <w:rFonts w:ascii="Arial" w:hAnsi="Arial" w:cs="Arial"/>
          <w:sz w:val="20"/>
          <w:szCs w:val="20"/>
        </w:rPr>
      </w:pPr>
      <w:r w:rsidRPr="00C1427A">
        <w:rPr>
          <w:rFonts w:ascii="Arial" w:hAnsi="Arial" w:cs="Arial"/>
          <w:sz w:val="20"/>
          <w:szCs w:val="20"/>
        </w:rPr>
        <w:t>An examiner should maintain a flight log and assessment record during the test or check</w:t>
      </w:r>
      <w:r w:rsidRPr="00C1427A">
        <w:rPr>
          <w:rFonts w:ascii="Arial" w:hAnsi="Arial" w:cs="Arial"/>
          <w:spacing w:val="-47"/>
          <w:sz w:val="20"/>
          <w:szCs w:val="20"/>
        </w:rPr>
        <w:t xml:space="preserve"> </w:t>
      </w:r>
      <w:r w:rsidRPr="00C1427A">
        <w:rPr>
          <w:rFonts w:ascii="Arial" w:hAnsi="Arial" w:cs="Arial"/>
          <w:sz w:val="20"/>
          <w:szCs w:val="20"/>
        </w:rPr>
        <w:t>for</w:t>
      </w:r>
      <w:r w:rsidRPr="00C1427A">
        <w:rPr>
          <w:rFonts w:ascii="Arial" w:hAnsi="Arial" w:cs="Arial"/>
          <w:spacing w:val="-1"/>
          <w:sz w:val="20"/>
          <w:szCs w:val="20"/>
        </w:rPr>
        <w:t xml:space="preserve"> </w:t>
      </w:r>
      <w:r w:rsidRPr="00C1427A">
        <w:rPr>
          <w:rFonts w:ascii="Arial" w:hAnsi="Arial" w:cs="Arial"/>
          <w:sz w:val="20"/>
          <w:szCs w:val="20"/>
        </w:rPr>
        <w:t>reference</w:t>
      </w:r>
      <w:r w:rsidRPr="00C1427A">
        <w:rPr>
          <w:rFonts w:ascii="Arial" w:hAnsi="Arial" w:cs="Arial"/>
          <w:spacing w:val="1"/>
          <w:sz w:val="20"/>
          <w:szCs w:val="20"/>
        </w:rPr>
        <w:t xml:space="preserve"> </w:t>
      </w:r>
      <w:r w:rsidRPr="00C1427A">
        <w:rPr>
          <w:rFonts w:ascii="Arial" w:hAnsi="Arial" w:cs="Arial"/>
          <w:sz w:val="20"/>
          <w:szCs w:val="20"/>
        </w:rPr>
        <w:t>during</w:t>
      </w:r>
      <w:r w:rsidRPr="00C1427A">
        <w:rPr>
          <w:rFonts w:ascii="Arial" w:hAnsi="Arial" w:cs="Arial"/>
          <w:spacing w:val="-1"/>
          <w:sz w:val="20"/>
          <w:szCs w:val="20"/>
        </w:rPr>
        <w:t xml:space="preserve"> </w:t>
      </w:r>
      <w:r w:rsidRPr="00C1427A">
        <w:rPr>
          <w:rFonts w:ascii="Arial" w:hAnsi="Arial" w:cs="Arial"/>
          <w:sz w:val="20"/>
          <w:szCs w:val="20"/>
        </w:rPr>
        <w:t>the</w:t>
      </w:r>
      <w:r w:rsidRPr="00C1427A">
        <w:rPr>
          <w:rFonts w:ascii="Arial" w:hAnsi="Arial" w:cs="Arial"/>
          <w:spacing w:val="1"/>
          <w:sz w:val="20"/>
          <w:szCs w:val="20"/>
        </w:rPr>
        <w:t xml:space="preserve"> </w:t>
      </w:r>
      <w:r w:rsidRPr="00C1427A">
        <w:rPr>
          <w:rFonts w:ascii="Arial" w:hAnsi="Arial" w:cs="Arial"/>
          <w:sz w:val="20"/>
          <w:szCs w:val="20"/>
        </w:rPr>
        <w:t>post-flight debriefing.</w:t>
      </w:r>
    </w:p>
    <w:p w14:paraId="68131678" w14:textId="77777777" w:rsidR="00C1427A" w:rsidRPr="00C1427A" w:rsidRDefault="00C1427A" w:rsidP="00D91E6C">
      <w:pPr>
        <w:pStyle w:val="ListParagraph"/>
        <w:numPr>
          <w:ilvl w:val="1"/>
          <w:numId w:val="279"/>
        </w:numPr>
        <w:tabs>
          <w:tab w:val="left" w:pos="1274"/>
        </w:tabs>
        <w:spacing w:before="121"/>
        <w:ind w:right="68"/>
        <w:jc w:val="both"/>
        <w:rPr>
          <w:rFonts w:ascii="Arial" w:hAnsi="Arial" w:cs="Arial"/>
          <w:sz w:val="20"/>
          <w:szCs w:val="20"/>
        </w:rPr>
      </w:pPr>
      <w:r w:rsidRPr="00C1427A">
        <w:rPr>
          <w:rFonts w:ascii="Arial" w:hAnsi="Arial" w:cs="Arial"/>
          <w:sz w:val="20"/>
          <w:szCs w:val="20"/>
        </w:rPr>
        <w:t>An examiner should be flexible with regard to the possibility of changes arising to pre-</w:t>
      </w:r>
      <w:r w:rsidRPr="00C1427A">
        <w:rPr>
          <w:rFonts w:ascii="Arial" w:hAnsi="Arial" w:cs="Arial"/>
          <w:spacing w:val="1"/>
          <w:sz w:val="20"/>
          <w:szCs w:val="20"/>
        </w:rPr>
        <w:t xml:space="preserve"> </w:t>
      </w:r>
      <w:r w:rsidRPr="00C1427A">
        <w:rPr>
          <w:rFonts w:ascii="Arial" w:hAnsi="Arial" w:cs="Arial"/>
          <w:spacing w:val="-1"/>
          <w:sz w:val="20"/>
          <w:szCs w:val="20"/>
        </w:rPr>
        <w:t>flight</w:t>
      </w:r>
      <w:r w:rsidRPr="00C1427A">
        <w:rPr>
          <w:rFonts w:ascii="Arial" w:hAnsi="Arial" w:cs="Arial"/>
          <w:spacing w:val="-10"/>
          <w:sz w:val="20"/>
          <w:szCs w:val="20"/>
        </w:rPr>
        <w:t xml:space="preserve"> </w:t>
      </w:r>
      <w:r w:rsidRPr="00C1427A">
        <w:rPr>
          <w:rFonts w:ascii="Arial" w:hAnsi="Arial" w:cs="Arial"/>
          <w:spacing w:val="-1"/>
          <w:sz w:val="20"/>
          <w:szCs w:val="20"/>
        </w:rPr>
        <w:t>briefings</w:t>
      </w:r>
      <w:r w:rsidRPr="00C1427A">
        <w:rPr>
          <w:rFonts w:ascii="Arial" w:hAnsi="Arial" w:cs="Arial"/>
          <w:spacing w:val="-9"/>
          <w:sz w:val="20"/>
          <w:szCs w:val="20"/>
        </w:rPr>
        <w:t xml:space="preserve"> </w:t>
      </w:r>
      <w:r w:rsidRPr="00C1427A">
        <w:rPr>
          <w:rFonts w:ascii="Arial" w:hAnsi="Arial" w:cs="Arial"/>
          <w:sz w:val="20"/>
          <w:szCs w:val="20"/>
        </w:rPr>
        <w:t>due</w:t>
      </w:r>
      <w:r w:rsidRPr="00C1427A">
        <w:rPr>
          <w:rFonts w:ascii="Arial" w:hAnsi="Arial" w:cs="Arial"/>
          <w:spacing w:val="-10"/>
          <w:sz w:val="20"/>
          <w:szCs w:val="20"/>
        </w:rPr>
        <w:t xml:space="preserve"> </w:t>
      </w:r>
      <w:r w:rsidRPr="00C1427A">
        <w:rPr>
          <w:rFonts w:ascii="Arial" w:hAnsi="Arial" w:cs="Arial"/>
          <w:sz w:val="20"/>
          <w:szCs w:val="20"/>
        </w:rPr>
        <w:t>to</w:t>
      </w:r>
      <w:r w:rsidRPr="00C1427A">
        <w:rPr>
          <w:rFonts w:ascii="Arial" w:hAnsi="Arial" w:cs="Arial"/>
          <w:spacing w:val="-8"/>
          <w:sz w:val="20"/>
          <w:szCs w:val="20"/>
        </w:rPr>
        <w:t xml:space="preserve"> </w:t>
      </w:r>
      <w:r w:rsidRPr="00C1427A">
        <w:rPr>
          <w:rFonts w:ascii="Arial" w:hAnsi="Arial" w:cs="Arial"/>
          <w:sz w:val="20"/>
          <w:szCs w:val="20"/>
        </w:rPr>
        <w:t>ATC</w:t>
      </w:r>
      <w:r w:rsidRPr="00C1427A">
        <w:rPr>
          <w:rFonts w:ascii="Arial" w:hAnsi="Arial" w:cs="Arial"/>
          <w:spacing w:val="-13"/>
          <w:sz w:val="20"/>
          <w:szCs w:val="20"/>
        </w:rPr>
        <w:t xml:space="preserve"> </w:t>
      </w:r>
      <w:r w:rsidRPr="00C1427A">
        <w:rPr>
          <w:rFonts w:ascii="Arial" w:hAnsi="Arial" w:cs="Arial"/>
          <w:sz w:val="20"/>
          <w:szCs w:val="20"/>
        </w:rPr>
        <w:t>instructions,</w:t>
      </w:r>
      <w:r w:rsidRPr="00C1427A">
        <w:rPr>
          <w:rFonts w:ascii="Arial" w:hAnsi="Arial" w:cs="Arial"/>
          <w:spacing w:val="-12"/>
          <w:sz w:val="20"/>
          <w:szCs w:val="20"/>
        </w:rPr>
        <w:t xml:space="preserve"> </w:t>
      </w:r>
      <w:r w:rsidRPr="00C1427A">
        <w:rPr>
          <w:rFonts w:ascii="Arial" w:hAnsi="Arial" w:cs="Arial"/>
          <w:sz w:val="20"/>
          <w:szCs w:val="20"/>
        </w:rPr>
        <w:t>or</w:t>
      </w:r>
      <w:r w:rsidRPr="00C1427A">
        <w:rPr>
          <w:rFonts w:ascii="Arial" w:hAnsi="Arial" w:cs="Arial"/>
          <w:spacing w:val="-13"/>
          <w:sz w:val="20"/>
          <w:szCs w:val="20"/>
        </w:rPr>
        <w:t xml:space="preserve"> </w:t>
      </w:r>
      <w:r w:rsidRPr="00C1427A">
        <w:rPr>
          <w:rFonts w:ascii="Arial" w:hAnsi="Arial" w:cs="Arial"/>
          <w:sz w:val="20"/>
          <w:szCs w:val="20"/>
        </w:rPr>
        <w:t>other</w:t>
      </w:r>
      <w:r w:rsidRPr="00C1427A">
        <w:rPr>
          <w:rFonts w:ascii="Arial" w:hAnsi="Arial" w:cs="Arial"/>
          <w:spacing w:val="-10"/>
          <w:sz w:val="20"/>
          <w:szCs w:val="20"/>
        </w:rPr>
        <w:t xml:space="preserve"> </w:t>
      </w:r>
      <w:r w:rsidRPr="00C1427A">
        <w:rPr>
          <w:rFonts w:ascii="Arial" w:hAnsi="Arial" w:cs="Arial"/>
          <w:sz w:val="20"/>
          <w:szCs w:val="20"/>
        </w:rPr>
        <w:t>circumstances</w:t>
      </w:r>
      <w:r w:rsidRPr="00C1427A">
        <w:rPr>
          <w:rFonts w:ascii="Arial" w:hAnsi="Arial" w:cs="Arial"/>
          <w:spacing w:val="-9"/>
          <w:sz w:val="20"/>
          <w:szCs w:val="20"/>
        </w:rPr>
        <w:t xml:space="preserve"> </w:t>
      </w:r>
      <w:r w:rsidRPr="00C1427A">
        <w:rPr>
          <w:rFonts w:ascii="Arial" w:hAnsi="Arial" w:cs="Arial"/>
          <w:sz w:val="20"/>
          <w:szCs w:val="20"/>
        </w:rPr>
        <w:t>affecting</w:t>
      </w:r>
      <w:r w:rsidRPr="00C1427A">
        <w:rPr>
          <w:rFonts w:ascii="Arial" w:hAnsi="Arial" w:cs="Arial"/>
          <w:spacing w:val="-11"/>
          <w:sz w:val="20"/>
          <w:szCs w:val="20"/>
        </w:rPr>
        <w:t xml:space="preserve"> </w:t>
      </w:r>
      <w:r w:rsidRPr="00C1427A">
        <w:rPr>
          <w:rFonts w:ascii="Arial" w:hAnsi="Arial" w:cs="Arial"/>
          <w:sz w:val="20"/>
          <w:szCs w:val="20"/>
        </w:rPr>
        <w:t>the</w:t>
      </w:r>
      <w:r w:rsidRPr="00C1427A">
        <w:rPr>
          <w:rFonts w:ascii="Arial" w:hAnsi="Arial" w:cs="Arial"/>
          <w:spacing w:val="-9"/>
          <w:sz w:val="20"/>
          <w:szCs w:val="20"/>
        </w:rPr>
        <w:t xml:space="preserve"> </w:t>
      </w:r>
      <w:r w:rsidRPr="00C1427A">
        <w:rPr>
          <w:rFonts w:ascii="Arial" w:hAnsi="Arial" w:cs="Arial"/>
          <w:sz w:val="20"/>
          <w:szCs w:val="20"/>
        </w:rPr>
        <w:t>test</w:t>
      </w:r>
      <w:r w:rsidRPr="00C1427A">
        <w:rPr>
          <w:rFonts w:ascii="Arial" w:hAnsi="Arial" w:cs="Arial"/>
          <w:spacing w:val="-12"/>
          <w:sz w:val="20"/>
          <w:szCs w:val="20"/>
        </w:rPr>
        <w:t xml:space="preserve"> </w:t>
      </w:r>
      <w:r w:rsidRPr="00C1427A">
        <w:rPr>
          <w:rFonts w:ascii="Arial" w:hAnsi="Arial" w:cs="Arial"/>
          <w:sz w:val="20"/>
          <w:szCs w:val="20"/>
        </w:rPr>
        <w:t>or</w:t>
      </w:r>
      <w:r w:rsidRPr="00C1427A">
        <w:rPr>
          <w:rFonts w:ascii="Arial" w:hAnsi="Arial" w:cs="Arial"/>
          <w:spacing w:val="-9"/>
          <w:sz w:val="20"/>
          <w:szCs w:val="20"/>
        </w:rPr>
        <w:t xml:space="preserve"> </w:t>
      </w:r>
      <w:r w:rsidRPr="00C1427A">
        <w:rPr>
          <w:rFonts w:ascii="Arial" w:hAnsi="Arial" w:cs="Arial"/>
          <w:sz w:val="20"/>
          <w:szCs w:val="20"/>
        </w:rPr>
        <w:t>check.</w:t>
      </w:r>
    </w:p>
    <w:p w14:paraId="3F51DA54" w14:textId="77777777" w:rsidR="00C1427A" w:rsidRPr="00C1427A" w:rsidRDefault="00C1427A" w:rsidP="00D91E6C">
      <w:pPr>
        <w:pStyle w:val="ListParagraph"/>
        <w:numPr>
          <w:ilvl w:val="1"/>
          <w:numId w:val="279"/>
        </w:numPr>
        <w:tabs>
          <w:tab w:val="left" w:pos="1274"/>
        </w:tabs>
        <w:spacing w:before="121"/>
        <w:ind w:right="68"/>
        <w:jc w:val="both"/>
        <w:rPr>
          <w:rFonts w:ascii="Arial" w:hAnsi="Arial" w:cs="Arial"/>
          <w:sz w:val="20"/>
          <w:szCs w:val="20"/>
        </w:rPr>
      </w:pPr>
      <w:r w:rsidRPr="00C1427A">
        <w:rPr>
          <w:rFonts w:ascii="Arial" w:hAnsi="Arial" w:cs="Arial"/>
          <w:sz w:val="20"/>
          <w:szCs w:val="20"/>
        </w:rPr>
        <w:t>Where</w:t>
      </w:r>
      <w:r w:rsidRPr="00C1427A">
        <w:rPr>
          <w:rFonts w:ascii="Arial" w:hAnsi="Arial" w:cs="Arial"/>
          <w:spacing w:val="-5"/>
          <w:sz w:val="20"/>
          <w:szCs w:val="20"/>
        </w:rPr>
        <w:t xml:space="preserve"> </w:t>
      </w:r>
      <w:r w:rsidRPr="00C1427A">
        <w:rPr>
          <w:rFonts w:ascii="Arial" w:hAnsi="Arial" w:cs="Arial"/>
          <w:sz w:val="20"/>
          <w:szCs w:val="20"/>
        </w:rPr>
        <w:t>changes</w:t>
      </w:r>
      <w:r w:rsidRPr="00C1427A">
        <w:rPr>
          <w:rFonts w:ascii="Arial" w:hAnsi="Arial" w:cs="Arial"/>
          <w:spacing w:val="-1"/>
          <w:sz w:val="20"/>
          <w:szCs w:val="20"/>
        </w:rPr>
        <w:t xml:space="preserve"> </w:t>
      </w:r>
      <w:r w:rsidRPr="00C1427A">
        <w:rPr>
          <w:rFonts w:ascii="Arial" w:hAnsi="Arial" w:cs="Arial"/>
          <w:sz w:val="20"/>
          <w:szCs w:val="20"/>
        </w:rPr>
        <w:t>arise</w:t>
      </w:r>
      <w:r w:rsidRPr="00C1427A">
        <w:rPr>
          <w:rFonts w:ascii="Arial" w:hAnsi="Arial" w:cs="Arial"/>
          <w:spacing w:val="-3"/>
          <w:sz w:val="20"/>
          <w:szCs w:val="20"/>
        </w:rPr>
        <w:t xml:space="preserve"> </w:t>
      </w:r>
      <w:r w:rsidRPr="00C1427A">
        <w:rPr>
          <w:rFonts w:ascii="Arial" w:hAnsi="Arial" w:cs="Arial"/>
          <w:sz w:val="20"/>
          <w:szCs w:val="20"/>
        </w:rPr>
        <w:t>to</w:t>
      </w:r>
      <w:r w:rsidRPr="00C1427A">
        <w:rPr>
          <w:rFonts w:ascii="Arial" w:hAnsi="Arial" w:cs="Arial"/>
          <w:spacing w:val="-1"/>
          <w:sz w:val="20"/>
          <w:szCs w:val="20"/>
        </w:rPr>
        <w:t xml:space="preserve"> </w:t>
      </w:r>
      <w:r w:rsidRPr="00C1427A">
        <w:rPr>
          <w:rFonts w:ascii="Arial" w:hAnsi="Arial" w:cs="Arial"/>
          <w:sz w:val="20"/>
          <w:szCs w:val="20"/>
        </w:rPr>
        <w:t>a</w:t>
      </w:r>
      <w:r w:rsidRPr="00C1427A">
        <w:rPr>
          <w:rFonts w:ascii="Arial" w:hAnsi="Arial" w:cs="Arial"/>
          <w:spacing w:val="-5"/>
          <w:sz w:val="20"/>
          <w:szCs w:val="20"/>
        </w:rPr>
        <w:t xml:space="preserve"> </w:t>
      </w:r>
      <w:r w:rsidRPr="00C1427A">
        <w:rPr>
          <w:rFonts w:ascii="Arial" w:hAnsi="Arial" w:cs="Arial"/>
          <w:sz w:val="20"/>
          <w:szCs w:val="20"/>
        </w:rPr>
        <w:t>planned</w:t>
      </w:r>
      <w:r w:rsidRPr="00C1427A">
        <w:rPr>
          <w:rFonts w:ascii="Arial" w:hAnsi="Arial" w:cs="Arial"/>
          <w:spacing w:val="-3"/>
          <w:sz w:val="20"/>
          <w:szCs w:val="20"/>
        </w:rPr>
        <w:t xml:space="preserve"> </w:t>
      </w:r>
      <w:r w:rsidRPr="00C1427A">
        <w:rPr>
          <w:rFonts w:ascii="Arial" w:hAnsi="Arial" w:cs="Arial"/>
          <w:sz w:val="20"/>
          <w:szCs w:val="20"/>
        </w:rPr>
        <w:t>test</w:t>
      </w:r>
      <w:r w:rsidRPr="00C1427A">
        <w:rPr>
          <w:rFonts w:ascii="Arial" w:hAnsi="Arial" w:cs="Arial"/>
          <w:spacing w:val="-4"/>
          <w:sz w:val="20"/>
          <w:szCs w:val="20"/>
        </w:rPr>
        <w:t xml:space="preserve"> </w:t>
      </w:r>
      <w:r w:rsidRPr="00C1427A">
        <w:rPr>
          <w:rFonts w:ascii="Arial" w:hAnsi="Arial" w:cs="Arial"/>
          <w:sz w:val="20"/>
          <w:szCs w:val="20"/>
        </w:rPr>
        <w:t>or</w:t>
      </w:r>
      <w:r w:rsidRPr="00C1427A">
        <w:rPr>
          <w:rFonts w:ascii="Arial" w:hAnsi="Arial" w:cs="Arial"/>
          <w:spacing w:val="-6"/>
          <w:sz w:val="20"/>
          <w:szCs w:val="20"/>
        </w:rPr>
        <w:t xml:space="preserve"> </w:t>
      </w:r>
      <w:r w:rsidRPr="00C1427A">
        <w:rPr>
          <w:rFonts w:ascii="Arial" w:hAnsi="Arial" w:cs="Arial"/>
          <w:sz w:val="20"/>
          <w:szCs w:val="20"/>
        </w:rPr>
        <w:t>check,</w:t>
      </w:r>
      <w:r w:rsidRPr="00C1427A">
        <w:rPr>
          <w:rFonts w:ascii="Arial" w:hAnsi="Arial" w:cs="Arial"/>
          <w:spacing w:val="-2"/>
          <w:sz w:val="20"/>
          <w:szCs w:val="20"/>
        </w:rPr>
        <w:t xml:space="preserve"> </w:t>
      </w:r>
      <w:r w:rsidRPr="00C1427A">
        <w:rPr>
          <w:rFonts w:ascii="Arial" w:hAnsi="Arial" w:cs="Arial"/>
          <w:sz w:val="20"/>
          <w:szCs w:val="20"/>
        </w:rPr>
        <w:t>an</w:t>
      </w:r>
      <w:r w:rsidRPr="00C1427A">
        <w:rPr>
          <w:rFonts w:ascii="Arial" w:hAnsi="Arial" w:cs="Arial"/>
          <w:spacing w:val="-5"/>
          <w:sz w:val="20"/>
          <w:szCs w:val="20"/>
        </w:rPr>
        <w:t xml:space="preserve"> </w:t>
      </w:r>
      <w:r w:rsidRPr="00C1427A">
        <w:rPr>
          <w:rFonts w:ascii="Arial" w:hAnsi="Arial" w:cs="Arial"/>
          <w:sz w:val="20"/>
          <w:szCs w:val="20"/>
        </w:rPr>
        <w:t>examiner</w:t>
      </w:r>
      <w:r w:rsidRPr="00C1427A">
        <w:rPr>
          <w:rFonts w:ascii="Arial" w:hAnsi="Arial" w:cs="Arial"/>
          <w:spacing w:val="-5"/>
          <w:sz w:val="20"/>
          <w:szCs w:val="20"/>
        </w:rPr>
        <w:t xml:space="preserve"> </w:t>
      </w:r>
      <w:r w:rsidRPr="00C1427A">
        <w:rPr>
          <w:rFonts w:ascii="Arial" w:hAnsi="Arial" w:cs="Arial"/>
          <w:sz w:val="20"/>
          <w:szCs w:val="20"/>
        </w:rPr>
        <w:t>should</w:t>
      </w:r>
      <w:r w:rsidRPr="00C1427A">
        <w:rPr>
          <w:rFonts w:ascii="Arial" w:hAnsi="Arial" w:cs="Arial"/>
          <w:spacing w:val="-4"/>
          <w:sz w:val="20"/>
          <w:szCs w:val="20"/>
        </w:rPr>
        <w:t xml:space="preserve"> </w:t>
      </w:r>
      <w:r w:rsidRPr="00C1427A">
        <w:rPr>
          <w:rFonts w:ascii="Arial" w:hAnsi="Arial" w:cs="Arial"/>
          <w:sz w:val="20"/>
          <w:szCs w:val="20"/>
        </w:rPr>
        <w:t>be</w:t>
      </w:r>
      <w:r w:rsidRPr="00C1427A">
        <w:rPr>
          <w:rFonts w:ascii="Arial" w:hAnsi="Arial" w:cs="Arial"/>
          <w:spacing w:val="-4"/>
          <w:sz w:val="20"/>
          <w:szCs w:val="20"/>
        </w:rPr>
        <w:t xml:space="preserve"> </w:t>
      </w:r>
      <w:r w:rsidRPr="00C1427A">
        <w:rPr>
          <w:rFonts w:ascii="Arial" w:hAnsi="Arial" w:cs="Arial"/>
          <w:sz w:val="20"/>
          <w:szCs w:val="20"/>
        </w:rPr>
        <w:t>satisfied</w:t>
      </w:r>
      <w:r w:rsidRPr="00C1427A">
        <w:rPr>
          <w:rFonts w:ascii="Arial" w:hAnsi="Arial" w:cs="Arial"/>
          <w:spacing w:val="-9"/>
          <w:sz w:val="20"/>
          <w:szCs w:val="20"/>
        </w:rPr>
        <w:t xml:space="preserve"> </w:t>
      </w:r>
      <w:r w:rsidRPr="00C1427A">
        <w:rPr>
          <w:rFonts w:ascii="Arial" w:hAnsi="Arial" w:cs="Arial"/>
          <w:sz w:val="20"/>
          <w:szCs w:val="20"/>
        </w:rPr>
        <w:t>that</w:t>
      </w:r>
      <w:r w:rsidRPr="00C1427A">
        <w:rPr>
          <w:rFonts w:ascii="Arial" w:hAnsi="Arial" w:cs="Arial"/>
          <w:spacing w:val="-2"/>
          <w:sz w:val="20"/>
          <w:szCs w:val="20"/>
        </w:rPr>
        <w:t xml:space="preserve"> </w:t>
      </w:r>
      <w:r w:rsidRPr="00C1427A">
        <w:rPr>
          <w:rFonts w:ascii="Arial" w:hAnsi="Arial" w:cs="Arial"/>
          <w:sz w:val="20"/>
          <w:szCs w:val="20"/>
        </w:rPr>
        <w:t>the</w:t>
      </w:r>
      <w:r w:rsidRPr="00C1427A">
        <w:rPr>
          <w:rFonts w:ascii="Arial" w:hAnsi="Arial" w:cs="Arial"/>
          <w:spacing w:val="-47"/>
          <w:sz w:val="20"/>
          <w:szCs w:val="20"/>
        </w:rPr>
        <w:t xml:space="preserve"> </w:t>
      </w:r>
      <w:r w:rsidRPr="00C1427A">
        <w:rPr>
          <w:rFonts w:ascii="Arial" w:hAnsi="Arial" w:cs="Arial"/>
          <w:spacing w:val="-1"/>
          <w:sz w:val="20"/>
          <w:szCs w:val="20"/>
        </w:rPr>
        <w:t>applicant</w:t>
      </w:r>
      <w:r w:rsidRPr="00C1427A">
        <w:rPr>
          <w:rFonts w:ascii="Arial" w:hAnsi="Arial" w:cs="Arial"/>
          <w:spacing w:val="-9"/>
          <w:sz w:val="20"/>
          <w:szCs w:val="20"/>
        </w:rPr>
        <w:t xml:space="preserve"> </w:t>
      </w:r>
      <w:r w:rsidRPr="00C1427A">
        <w:rPr>
          <w:rFonts w:ascii="Arial" w:hAnsi="Arial" w:cs="Arial"/>
          <w:sz w:val="20"/>
          <w:szCs w:val="20"/>
        </w:rPr>
        <w:t>understands</w:t>
      </w:r>
      <w:r w:rsidRPr="00C1427A">
        <w:rPr>
          <w:rFonts w:ascii="Arial" w:hAnsi="Arial" w:cs="Arial"/>
          <w:spacing w:val="-12"/>
          <w:sz w:val="20"/>
          <w:szCs w:val="20"/>
        </w:rPr>
        <w:t xml:space="preserve"> </w:t>
      </w:r>
      <w:r w:rsidRPr="00C1427A">
        <w:rPr>
          <w:rFonts w:ascii="Arial" w:hAnsi="Arial" w:cs="Arial"/>
          <w:sz w:val="20"/>
          <w:szCs w:val="20"/>
        </w:rPr>
        <w:t>and</w:t>
      </w:r>
      <w:r w:rsidRPr="00C1427A">
        <w:rPr>
          <w:rFonts w:ascii="Arial" w:hAnsi="Arial" w:cs="Arial"/>
          <w:spacing w:val="-13"/>
          <w:sz w:val="20"/>
          <w:szCs w:val="20"/>
        </w:rPr>
        <w:t xml:space="preserve"> </w:t>
      </w:r>
      <w:r w:rsidRPr="00C1427A">
        <w:rPr>
          <w:rFonts w:ascii="Arial" w:hAnsi="Arial" w:cs="Arial"/>
          <w:sz w:val="20"/>
          <w:szCs w:val="20"/>
        </w:rPr>
        <w:t>accepts</w:t>
      </w:r>
      <w:r w:rsidRPr="00C1427A">
        <w:rPr>
          <w:rFonts w:ascii="Arial" w:hAnsi="Arial" w:cs="Arial"/>
          <w:spacing w:val="-11"/>
          <w:sz w:val="20"/>
          <w:szCs w:val="20"/>
        </w:rPr>
        <w:t xml:space="preserve"> </w:t>
      </w:r>
      <w:r w:rsidRPr="00C1427A">
        <w:rPr>
          <w:rFonts w:ascii="Arial" w:hAnsi="Arial" w:cs="Arial"/>
          <w:sz w:val="20"/>
          <w:szCs w:val="20"/>
        </w:rPr>
        <w:t>the</w:t>
      </w:r>
      <w:r w:rsidRPr="00C1427A">
        <w:rPr>
          <w:rFonts w:ascii="Arial" w:hAnsi="Arial" w:cs="Arial"/>
          <w:spacing w:val="-12"/>
          <w:sz w:val="20"/>
          <w:szCs w:val="20"/>
        </w:rPr>
        <w:t xml:space="preserve"> </w:t>
      </w:r>
      <w:r w:rsidRPr="00C1427A">
        <w:rPr>
          <w:rFonts w:ascii="Arial" w:hAnsi="Arial" w:cs="Arial"/>
          <w:sz w:val="20"/>
          <w:szCs w:val="20"/>
        </w:rPr>
        <w:t>changes.</w:t>
      </w:r>
      <w:r w:rsidRPr="00C1427A">
        <w:rPr>
          <w:rFonts w:ascii="Arial" w:hAnsi="Arial" w:cs="Arial"/>
          <w:spacing w:val="-12"/>
          <w:sz w:val="20"/>
          <w:szCs w:val="20"/>
        </w:rPr>
        <w:t xml:space="preserve"> </w:t>
      </w:r>
      <w:r w:rsidRPr="00C1427A">
        <w:rPr>
          <w:rFonts w:ascii="Arial" w:hAnsi="Arial" w:cs="Arial"/>
          <w:sz w:val="20"/>
          <w:szCs w:val="20"/>
        </w:rPr>
        <w:t>Otherwise,</w:t>
      </w:r>
      <w:r w:rsidRPr="00C1427A">
        <w:rPr>
          <w:rFonts w:ascii="Arial" w:hAnsi="Arial" w:cs="Arial"/>
          <w:spacing w:val="-10"/>
          <w:sz w:val="20"/>
          <w:szCs w:val="20"/>
        </w:rPr>
        <w:t xml:space="preserve"> </w:t>
      </w:r>
      <w:r w:rsidRPr="00C1427A">
        <w:rPr>
          <w:rFonts w:ascii="Arial" w:hAnsi="Arial" w:cs="Arial"/>
          <w:sz w:val="20"/>
          <w:szCs w:val="20"/>
        </w:rPr>
        <w:t>the</w:t>
      </w:r>
      <w:r w:rsidRPr="00C1427A">
        <w:rPr>
          <w:rFonts w:ascii="Arial" w:hAnsi="Arial" w:cs="Arial"/>
          <w:spacing w:val="-12"/>
          <w:sz w:val="20"/>
          <w:szCs w:val="20"/>
        </w:rPr>
        <w:t xml:space="preserve"> </w:t>
      </w:r>
      <w:r w:rsidRPr="00C1427A">
        <w:rPr>
          <w:rFonts w:ascii="Arial" w:hAnsi="Arial" w:cs="Arial"/>
          <w:sz w:val="20"/>
          <w:szCs w:val="20"/>
        </w:rPr>
        <w:t>test</w:t>
      </w:r>
      <w:r w:rsidRPr="00C1427A">
        <w:rPr>
          <w:rFonts w:ascii="Arial" w:hAnsi="Arial" w:cs="Arial"/>
          <w:spacing w:val="-11"/>
          <w:sz w:val="20"/>
          <w:szCs w:val="20"/>
        </w:rPr>
        <w:t xml:space="preserve"> </w:t>
      </w:r>
      <w:r w:rsidRPr="00C1427A">
        <w:rPr>
          <w:rFonts w:ascii="Arial" w:hAnsi="Arial" w:cs="Arial"/>
          <w:sz w:val="20"/>
          <w:szCs w:val="20"/>
        </w:rPr>
        <w:t>or</w:t>
      </w:r>
      <w:r w:rsidRPr="00C1427A">
        <w:rPr>
          <w:rFonts w:ascii="Arial" w:hAnsi="Arial" w:cs="Arial"/>
          <w:spacing w:val="-12"/>
          <w:sz w:val="20"/>
          <w:szCs w:val="20"/>
        </w:rPr>
        <w:t xml:space="preserve"> </w:t>
      </w:r>
      <w:r w:rsidRPr="00C1427A">
        <w:rPr>
          <w:rFonts w:ascii="Arial" w:hAnsi="Arial" w:cs="Arial"/>
          <w:sz w:val="20"/>
          <w:szCs w:val="20"/>
        </w:rPr>
        <w:t>check</w:t>
      </w:r>
      <w:r w:rsidRPr="00C1427A">
        <w:rPr>
          <w:rFonts w:ascii="Arial" w:hAnsi="Arial" w:cs="Arial"/>
          <w:spacing w:val="-11"/>
          <w:sz w:val="20"/>
          <w:szCs w:val="20"/>
        </w:rPr>
        <w:t xml:space="preserve"> </w:t>
      </w:r>
      <w:r w:rsidRPr="00C1427A">
        <w:rPr>
          <w:rFonts w:ascii="Arial" w:hAnsi="Arial" w:cs="Arial"/>
          <w:sz w:val="20"/>
          <w:szCs w:val="20"/>
        </w:rPr>
        <w:t>flight</w:t>
      </w:r>
      <w:r w:rsidRPr="00C1427A">
        <w:rPr>
          <w:rFonts w:ascii="Arial" w:hAnsi="Arial" w:cs="Arial"/>
          <w:spacing w:val="-9"/>
          <w:sz w:val="20"/>
          <w:szCs w:val="20"/>
        </w:rPr>
        <w:t xml:space="preserve"> </w:t>
      </w:r>
      <w:r w:rsidRPr="00C1427A">
        <w:rPr>
          <w:rFonts w:ascii="Arial" w:hAnsi="Arial" w:cs="Arial"/>
          <w:sz w:val="20"/>
          <w:szCs w:val="20"/>
        </w:rPr>
        <w:t>should</w:t>
      </w:r>
      <w:r w:rsidRPr="00C1427A">
        <w:rPr>
          <w:rFonts w:ascii="Arial" w:hAnsi="Arial" w:cs="Arial"/>
          <w:spacing w:val="-47"/>
          <w:sz w:val="20"/>
          <w:szCs w:val="20"/>
        </w:rPr>
        <w:t xml:space="preserve"> </w:t>
      </w:r>
      <w:r w:rsidRPr="00C1427A">
        <w:rPr>
          <w:rFonts w:ascii="Arial" w:hAnsi="Arial" w:cs="Arial"/>
          <w:sz w:val="20"/>
          <w:szCs w:val="20"/>
        </w:rPr>
        <w:t>be terminated.</w:t>
      </w:r>
    </w:p>
    <w:p w14:paraId="42318F19" w14:textId="77777777" w:rsidR="00C1427A" w:rsidRPr="00C1427A" w:rsidRDefault="00C1427A" w:rsidP="00D91E6C">
      <w:pPr>
        <w:pStyle w:val="ListParagraph"/>
        <w:numPr>
          <w:ilvl w:val="1"/>
          <w:numId w:val="279"/>
        </w:numPr>
        <w:tabs>
          <w:tab w:val="left" w:pos="1274"/>
        </w:tabs>
        <w:ind w:right="68"/>
        <w:jc w:val="both"/>
        <w:rPr>
          <w:rFonts w:ascii="Arial" w:hAnsi="Arial" w:cs="Arial"/>
          <w:sz w:val="20"/>
          <w:szCs w:val="20"/>
        </w:rPr>
      </w:pPr>
      <w:r w:rsidRPr="00C1427A">
        <w:rPr>
          <w:rFonts w:ascii="Arial" w:hAnsi="Arial" w:cs="Arial"/>
          <w:sz w:val="20"/>
          <w:szCs w:val="20"/>
        </w:rPr>
        <w:t>Should an applicant choose not to continue a test or check for reasons considered</w:t>
      </w:r>
      <w:r w:rsidRPr="00C1427A">
        <w:rPr>
          <w:rFonts w:ascii="Arial" w:hAnsi="Arial" w:cs="Arial"/>
          <w:spacing w:val="1"/>
          <w:sz w:val="20"/>
          <w:szCs w:val="20"/>
        </w:rPr>
        <w:t xml:space="preserve"> </w:t>
      </w:r>
      <w:r w:rsidRPr="00C1427A">
        <w:rPr>
          <w:rFonts w:ascii="Arial" w:hAnsi="Arial" w:cs="Arial"/>
          <w:sz w:val="20"/>
          <w:szCs w:val="20"/>
        </w:rPr>
        <w:t>inadequate</w:t>
      </w:r>
      <w:r w:rsidRPr="00C1427A">
        <w:rPr>
          <w:rFonts w:ascii="Arial" w:hAnsi="Arial" w:cs="Arial"/>
          <w:spacing w:val="-5"/>
          <w:sz w:val="20"/>
          <w:szCs w:val="20"/>
        </w:rPr>
        <w:t xml:space="preserve"> </w:t>
      </w:r>
      <w:r w:rsidRPr="00C1427A">
        <w:rPr>
          <w:rFonts w:ascii="Arial" w:hAnsi="Arial" w:cs="Arial"/>
          <w:sz w:val="20"/>
          <w:szCs w:val="20"/>
        </w:rPr>
        <w:t>by</w:t>
      </w:r>
      <w:r w:rsidRPr="00C1427A">
        <w:rPr>
          <w:rFonts w:ascii="Arial" w:hAnsi="Arial" w:cs="Arial"/>
          <w:spacing w:val="-5"/>
          <w:sz w:val="20"/>
          <w:szCs w:val="20"/>
        </w:rPr>
        <w:t xml:space="preserve"> </w:t>
      </w:r>
      <w:r w:rsidRPr="00C1427A">
        <w:rPr>
          <w:rFonts w:ascii="Arial" w:hAnsi="Arial" w:cs="Arial"/>
          <w:sz w:val="20"/>
          <w:szCs w:val="20"/>
        </w:rPr>
        <w:t>an</w:t>
      </w:r>
      <w:r w:rsidRPr="00C1427A">
        <w:rPr>
          <w:rFonts w:ascii="Arial" w:hAnsi="Arial" w:cs="Arial"/>
          <w:spacing w:val="-6"/>
          <w:sz w:val="20"/>
          <w:szCs w:val="20"/>
        </w:rPr>
        <w:t xml:space="preserve"> </w:t>
      </w:r>
      <w:r w:rsidRPr="00C1427A">
        <w:rPr>
          <w:rFonts w:ascii="Arial" w:hAnsi="Arial" w:cs="Arial"/>
          <w:sz w:val="20"/>
          <w:szCs w:val="20"/>
        </w:rPr>
        <w:t>examiner,</w:t>
      </w:r>
      <w:r w:rsidRPr="00C1427A">
        <w:rPr>
          <w:rFonts w:ascii="Arial" w:hAnsi="Arial" w:cs="Arial"/>
          <w:spacing w:val="-5"/>
          <w:sz w:val="20"/>
          <w:szCs w:val="20"/>
        </w:rPr>
        <w:t xml:space="preserve"> </w:t>
      </w:r>
      <w:r w:rsidRPr="00C1427A">
        <w:rPr>
          <w:rFonts w:ascii="Arial" w:hAnsi="Arial" w:cs="Arial"/>
          <w:sz w:val="20"/>
          <w:szCs w:val="20"/>
        </w:rPr>
        <w:t>the</w:t>
      </w:r>
      <w:r w:rsidRPr="00C1427A">
        <w:rPr>
          <w:rFonts w:ascii="Arial" w:hAnsi="Arial" w:cs="Arial"/>
          <w:spacing w:val="-5"/>
          <w:sz w:val="20"/>
          <w:szCs w:val="20"/>
        </w:rPr>
        <w:t xml:space="preserve"> </w:t>
      </w:r>
      <w:r w:rsidRPr="00C1427A">
        <w:rPr>
          <w:rFonts w:ascii="Arial" w:hAnsi="Arial" w:cs="Arial"/>
          <w:sz w:val="20"/>
          <w:szCs w:val="20"/>
        </w:rPr>
        <w:t>applicant</w:t>
      </w:r>
      <w:r w:rsidRPr="00C1427A">
        <w:rPr>
          <w:rFonts w:ascii="Arial" w:hAnsi="Arial" w:cs="Arial"/>
          <w:spacing w:val="-5"/>
          <w:sz w:val="20"/>
          <w:szCs w:val="20"/>
        </w:rPr>
        <w:t xml:space="preserve"> </w:t>
      </w:r>
      <w:r w:rsidRPr="00C1427A">
        <w:rPr>
          <w:rFonts w:ascii="Arial" w:hAnsi="Arial" w:cs="Arial"/>
          <w:sz w:val="20"/>
          <w:szCs w:val="20"/>
        </w:rPr>
        <w:t>will</w:t>
      </w:r>
      <w:r w:rsidRPr="00C1427A">
        <w:rPr>
          <w:rFonts w:ascii="Arial" w:hAnsi="Arial" w:cs="Arial"/>
          <w:spacing w:val="-6"/>
          <w:sz w:val="20"/>
          <w:szCs w:val="20"/>
        </w:rPr>
        <w:t xml:space="preserve"> </w:t>
      </w:r>
      <w:r w:rsidRPr="00C1427A">
        <w:rPr>
          <w:rFonts w:ascii="Arial" w:hAnsi="Arial" w:cs="Arial"/>
          <w:sz w:val="20"/>
          <w:szCs w:val="20"/>
        </w:rPr>
        <w:t>be</w:t>
      </w:r>
      <w:r w:rsidRPr="00C1427A">
        <w:rPr>
          <w:rFonts w:ascii="Arial" w:hAnsi="Arial" w:cs="Arial"/>
          <w:spacing w:val="-5"/>
          <w:sz w:val="20"/>
          <w:szCs w:val="20"/>
        </w:rPr>
        <w:t xml:space="preserve"> </w:t>
      </w:r>
      <w:r w:rsidRPr="00C1427A">
        <w:rPr>
          <w:rFonts w:ascii="Arial" w:hAnsi="Arial" w:cs="Arial"/>
          <w:sz w:val="20"/>
          <w:szCs w:val="20"/>
        </w:rPr>
        <w:t>assessed</w:t>
      </w:r>
      <w:r w:rsidRPr="00C1427A">
        <w:rPr>
          <w:rFonts w:ascii="Arial" w:hAnsi="Arial" w:cs="Arial"/>
          <w:spacing w:val="-6"/>
          <w:sz w:val="20"/>
          <w:szCs w:val="20"/>
        </w:rPr>
        <w:t xml:space="preserve"> </w:t>
      </w:r>
      <w:r w:rsidRPr="00C1427A">
        <w:rPr>
          <w:rFonts w:ascii="Arial" w:hAnsi="Arial" w:cs="Arial"/>
          <w:sz w:val="20"/>
          <w:szCs w:val="20"/>
        </w:rPr>
        <w:t>as</w:t>
      </w:r>
      <w:r w:rsidRPr="00C1427A">
        <w:rPr>
          <w:rFonts w:ascii="Arial" w:hAnsi="Arial" w:cs="Arial"/>
          <w:spacing w:val="-5"/>
          <w:sz w:val="20"/>
          <w:szCs w:val="20"/>
        </w:rPr>
        <w:t xml:space="preserve"> </w:t>
      </w:r>
      <w:r w:rsidRPr="00C1427A">
        <w:rPr>
          <w:rFonts w:ascii="Arial" w:hAnsi="Arial" w:cs="Arial"/>
          <w:sz w:val="20"/>
          <w:szCs w:val="20"/>
        </w:rPr>
        <w:t>having</w:t>
      </w:r>
      <w:r w:rsidRPr="00C1427A">
        <w:rPr>
          <w:rFonts w:ascii="Arial" w:hAnsi="Arial" w:cs="Arial"/>
          <w:spacing w:val="-6"/>
          <w:sz w:val="20"/>
          <w:szCs w:val="20"/>
        </w:rPr>
        <w:t xml:space="preserve"> </w:t>
      </w:r>
      <w:r w:rsidRPr="00C1427A">
        <w:rPr>
          <w:rFonts w:ascii="Arial" w:hAnsi="Arial" w:cs="Arial"/>
          <w:sz w:val="20"/>
          <w:szCs w:val="20"/>
        </w:rPr>
        <w:t>failed</w:t>
      </w:r>
      <w:r w:rsidRPr="00C1427A">
        <w:rPr>
          <w:rFonts w:ascii="Arial" w:hAnsi="Arial" w:cs="Arial"/>
          <w:spacing w:val="-8"/>
          <w:sz w:val="20"/>
          <w:szCs w:val="20"/>
        </w:rPr>
        <w:t xml:space="preserve"> </w:t>
      </w:r>
      <w:r w:rsidRPr="00C1427A">
        <w:rPr>
          <w:rFonts w:ascii="Arial" w:hAnsi="Arial" w:cs="Arial"/>
          <w:sz w:val="20"/>
          <w:szCs w:val="20"/>
        </w:rPr>
        <w:t>those</w:t>
      </w:r>
      <w:r w:rsidRPr="00C1427A">
        <w:rPr>
          <w:rFonts w:ascii="Arial" w:hAnsi="Arial" w:cs="Arial"/>
          <w:spacing w:val="-5"/>
          <w:sz w:val="20"/>
          <w:szCs w:val="20"/>
        </w:rPr>
        <w:t xml:space="preserve"> </w:t>
      </w:r>
      <w:r w:rsidRPr="00C1427A">
        <w:rPr>
          <w:rFonts w:ascii="Arial" w:hAnsi="Arial" w:cs="Arial"/>
          <w:sz w:val="20"/>
          <w:szCs w:val="20"/>
        </w:rPr>
        <w:t>items</w:t>
      </w:r>
      <w:r w:rsidRPr="00C1427A">
        <w:rPr>
          <w:rFonts w:ascii="Arial" w:hAnsi="Arial" w:cs="Arial"/>
          <w:spacing w:val="-8"/>
          <w:sz w:val="20"/>
          <w:szCs w:val="20"/>
        </w:rPr>
        <w:t xml:space="preserve"> </w:t>
      </w:r>
      <w:r w:rsidRPr="00C1427A">
        <w:rPr>
          <w:rFonts w:ascii="Arial" w:hAnsi="Arial" w:cs="Arial"/>
          <w:sz w:val="20"/>
          <w:szCs w:val="20"/>
        </w:rPr>
        <w:t>or</w:t>
      </w:r>
      <w:r w:rsidRPr="00C1427A">
        <w:rPr>
          <w:rFonts w:ascii="Arial" w:hAnsi="Arial" w:cs="Arial"/>
          <w:spacing w:val="-47"/>
          <w:sz w:val="20"/>
          <w:szCs w:val="20"/>
        </w:rPr>
        <w:t xml:space="preserve"> </w:t>
      </w:r>
      <w:r w:rsidRPr="00C1427A">
        <w:rPr>
          <w:rFonts w:ascii="Arial" w:hAnsi="Arial" w:cs="Arial"/>
          <w:sz w:val="20"/>
          <w:szCs w:val="20"/>
        </w:rPr>
        <w:t>sections</w:t>
      </w:r>
      <w:r w:rsidRPr="00C1427A">
        <w:rPr>
          <w:rFonts w:ascii="Arial" w:hAnsi="Arial" w:cs="Arial"/>
          <w:spacing w:val="1"/>
          <w:sz w:val="20"/>
          <w:szCs w:val="20"/>
        </w:rPr>
        <w:t xml:space="preserve"> </w:t>
      </w:r>
      <w:r w:rsidRPr="00C1427A">
        <w:rPr>
          <w:rFonts w:ascii="Arial" w:hAnsi="Arial" w:cs="Arial"/>
          <w:sz w:val="20"/>
          <w:szCs w:val="20"/>
        </w:rPr>
        <w:t>not</w:t>
      </w:r>
      <w:r w:rsidRPr="00C1427A">
        <w:rPr>
          <w:rFonts w:ascii="Arial" w:hAnsi="Arial" w:cs="Arial"/>
          <w:spacing w:val="1"/>
          <w:sz w:val="20"/>
          <w:szCs w:val="20"/>
        </w:rPr>
        <w:t xml:space="preserve"> </w:t>
      </w:r>
      <w:r w:rsidRPr="00C1427A">
        <w:rPr>
          <w:rFonts w:ascii="Arial" w:hAnsi="Arial" w:cs="Arial"/>
          <w:sz w:val="20"/>
          <w:szCs w:val="20"/>
        </w:rPr>
        <w:t>attempted.</w:t>
      </w:r>
      <w:r w:rsidRPr="00C1427A">
        <w:rPr>
          <w:rFonts w:ascii="Arial" w:hAnsi="Arial" w:cs="Arial"/>
          <w:spacing w:val="1"/>
          <w:sz w:val="20"/>
          <w:szCs w:val="20"/>
        </w:rPr>
        <w:t xml:space="preserve"> </w:t>
      </w:r>
      <w:r w:rsidRPr="00C1427A">
        <w:rPr>
          <w:rFonts w:ascii="Arial" w:hAnsi="Arial" w:cs="Arial"/>
          <w:sz w:val="20"/>
          <w:szCs w:val="20"/>
        </w:rPr>
        <w:t>If</w:t>
      </w:r>
      <w:r w:rsidRPr="00C1427A">
        <w:rPr>
          <w:rFonts w:ascii="Arial" w:hAnsi="Arial" w:cs="Arial"/>
          <w:spacing w:val="1"/>
          <w:sz w:val="20"/>
          <w:szCs w:val="20"/>
        </w:rPr>
        <w:t xml:space="preserve"> </w:t>
      </w:r>
      <w:r w:rsidRPr="00C1427A">
        <w:rPr>
          <w:rFonts w:ascii="Arial" w:hAnsi="Arial" w:cs="Arial"/>
          <w:sz w:val="20"/>
          <w:szCs w:val="20"/>
        </w:rPr>
        <w:t>the</w:t>
      </w:r>
      <w:r w:rsidRPr="00C1427A">
        <w:rPr>
          <w:rFonts w:ascii="Arial" w:hAnsi="Arial" w:cs="Arial"/>
          <w:spacing w:val="1"/>
          <w:sz w:val="20"/>
          <w:szCs w:val="20"/>
        </w:rPr>
        <w:t xml:space="preserve"> </w:t>
      </w:r>
      <w:r w:rsidRPr="00C1427A">
        <w:rPr>
          <w:rFonts w:ascii="Arial" w:hAnsi="Arial" w:cs="Arial"/>
          <w:sz w:val="20"/>
          <w:szCs w:val="20"/>
        </w:rPr>
        <w:t>test</w:t>
      </w:r>
      <w:r w:rsidRPr="00C1427A">
        <w:rPr>
          <w:rFonts w:ascii="Arial" w:hAnsi="Arial" w:cs="Arial"/>
          <w:spacing w:val="1"/>
          <w:sz w:val="20"/>
          <w:szCs w:val="20"/>
        </w:rPr>
        <w:t xml:space="preserve"> </w:t>
      </w:r>
      <w:r w:rsidRPr="00C1427A">
        <w:rPr>
          <w:rFonts w:ascii="Arial" w:hAnsi="Arial" w:cs="Arial"/>
          <w:sz w:val="20"/>
          <w:szCs w:val="20"/>
        </w:rPr>
        <w:t>or</w:t>
      </w:r>
      <w:r w:rsidRPr="00C1427A">
        <w:rPr>
          <w:rFonts w:ascii="Arial" w:hAnsi="Arial" w:cs="Arial"/>
          <w:spacing w:val="1"/>
          <w:sz w:val="20"/>
          <w:szCs w:val="20"/>
        </w:rPr>
        <w:t xml:space="preserve"> </w:t>
      </w:r>
      <w:r w:rsidRPr="00C1427A">
        <w:rPr>
          <w:rFonts w:ascii="Arial" w:hAnsi="Arial" w:cs="Arial"/>
          <w:sz w:val="20"/>
          <w:szCs w:val="20"/>
        </w:rPr>
        <w:t>check</w:t>
      </w:r>
      <w:r w:rsidRPr="00C1427A">
        <w:rPr>
          <w:rFonts w:ascii="Arial" w:hAnsi="Arial" w:cs="Arial"/>
          <w:spacing w:val="1"/>
          <w:sz w:val="20"/>
          <w:szCs w:val="20"/>
        </w:rPr>
        <w:t xml:space="preserve"> </w:t>
      </w:r>
      <w:r w:rsidRPr="00C1427A">
        <w:rPr>
          <w:rFonts w:ascii="Arial" w:hAnsi="Arial" w:cs="Arial"/>
          <w:sz w:val="20"/>
          <w:szCs w:val="20"/>
        </w:rPr>
        <w:t>is</w:t>
      </w:r>
      <w:r w:rsidRPr="00C1427A">
        <w:rPr>
          <w:rFonts w:ascii="Arial" w:hAnsi="Arial" w:cs="Arial"/>
          <w:spacing w:val="1"/>
          <w:sz w:val="20"/>
          <w:szCs w:val="20"/>
        </w:rPr>
        <w:t xml:space="preserve"> </w:t>
      </w:r>
      <w:r w:rsidRPr="00C1427A">
        <w:rPr>
          <w:rFonts w:ascii="Arial" w:hAnsi="Arial" w:cs="Arial"/>
          <w:sz w:val="20"/>
          <w:szCs w:val="20"/>
        </w:rPr>
        <w:t>terminated</w:t>
      </w:r>
      <w:r w:rsidRPr="00C1427A">
        <w:rPr>
          <w:rFonts w:ascii="Arial" w:hAnsi="Arial" w:cs="Arial"/>
          <w:spacing w:val="1"/>
          <w:sz w:val="20"/>
          <w:szCs w:val="20"/>
        </w:rPr>
        <w:t xml:space="preserve"> </w:t>
      </w:r>
      <w:r w:rsidRPr="00C1427A">
        <w:rPr>
          <w:rFonts w:ascii="Arial" w:hAnsi="Arial" w:cs="Arial"/>
          <w:sz w:val="20"/>
          <w:szCs w:val="20"/>
        </w:rPr>
        <w:t>for</w:t>
      </w:r>
      <w:r w:rsidRPr="00C1427A">
        <w:rPr>
          <w:rFonts w:ascii="Arial" w:hAnsi="Arial" w:cs="Arial"/>
          <w:spacing w:val="1"/>
          <w:sz w:val="20"/>
          <w:szCs w:val="20"/>
        </w:rPr>
        <w:t xml:space="preserve"> </w:t>
      </w:r>
      <w:r w:rsidRPr="00C1427A">
        <w:rPr>
          <w:rFonts w:ascii="Arial" w:hAnsi="Arial" w:cs="Arial"/>
          <w:sz w:val="20"/>
          <w:szCs w:val="20"/>
        </w:rPr>
        <w:t>reasons</w:t>
      </w:r>
      <w:r w:rsidRPr="00C1427A">
        <w:rPr>
          <w:rFonts w:ascii="Arial" w:hAnsi="Arial" w:cs="Arial"/>
          <w:spacing w:val="1"/>
          <w:sz w:val="20"/>
          <w:szCs w:val="20"/>
        </w:rPr>
        <w:t xml:space="preserve"> </w:t>
      </w:r>
      <w:r w:rsidRPr="00C1427A">
        <w:rPr>
          <w:rFonts w:ascii="Arial" w:hAnsi="Arial" w:cs="Arial"/>
          <w:sz w:val="20"/>
          <w:szCs w:val="20"/>
        </w:rPr>
        <w:t>considered</w:t>
      </w:r>
      <w:r w:rsidRPr="00C1427A">
        <w:rPr>
          <w:rFonts w:ascii="Arial" w:hAnsi="Arial" w:cs="Arial"/>
          <w:spacing w:val="1"/>
          <w:sz w:val="20"/>
          <w:szCs w:val="20"/>
        </w:rPr>
        <w:t xml:space="preserve"> </w:t>
      </w:r>
      <w:r w:rsidRPr="00C1427A">
        <w:rPr>
          <w:rFonts w:ascii="Arial" w:hAnsi="Arial" w:cs="Arial"/>
          <w:sz w:val="20"/>
          <w:szCs w:val="20"/>
        </w:rPr>
        <w:t>adequate by the examiner, only these items or sections not completed will be tested</w:t>
      </w:r>
      <w:r w:rsidRPr="00C1427A">
        <w:rPr>
          <w:rFonts w:ascii="Arial" w:hAnsi="Arial" w:cs="Arial"/>
          <w:spacing w:val="1"/>
          <w:sz w:val="20"/>
          <w:szCs w:val="20"/>
        </w:rPr>
        <w:t xml:space="preserve"> </w:t>
      </w:r>
      <w:r w:rsidRPr="00C1427A">
        <w:rPr>
          <w:rFonts w:ascii="Arial" w:hAnsi="Arial" w:cs="Arial"/>
          <w:sz w:val="20"/>
          <w:szCs w:val="20"/>
        </w:rPr>
        <w:t>during</w:t>
      </w:r>
      <w:r w:rsidRPr="00C1427A">
        <w:rPr>
          <w:rFonts w:ascii="Arial" w:hAnsi="Arial" w:cs="Arial"/>
          <w:spacing w:val="-2"/>
          <w:sz w:val="20"/>
          <w:szCs w:val="20"/>
        </w:rPr>
        <w:t xml:space="preserve"> </w:t>
      </w:r>
      <w:r w:rsidRPr="00C1427A">
        <w:rPr>
          <w:rFonts w:ascii="Arial" w:hAnsi="Arial" w:cs="Arial"/>
          <w:sz w:val="20"/>
          <w:szCs w:val="20"/>
        </w:rPr>
        <w:t>a subsequent test</w:t>
      </w:r>
      <w:r w:rsidRPr="00C1427A">
        <w:rPr>
          <w:rFonts w:ascii="Arial" w:hAnsi="Arial" w:cs="Arial"/>
          <w:spacing w:val="-2"/>
          <w:sz w:val="20"/>
          <w:szCs w:val="20"/>
        </w:rPr>
        <w:t xml:space="preserve"> </w:t>
      </w:r>
      <w:r w:rsidRPr="00C1427A">
        <w:rPr>
          <w:rFonts w:ascii="Arial" w:hAnsi="Arial" w:cs="Arial"/>
          <w:sz w:val="20"/>
          <w:szCs w:val="20"/>
        </w:rPr>
        <w:t>or check.</w:t>
      </w:r>
    </w:p>
    <w:p w14:paraId="024B8FF9" w14:textId="77777777" w:rsidR="00C1427A" w:rsidRPr="00C1427A" w:rsidRDefault="00C1427A" w:rsidP="00D91E6C">
      <w:pPr>
        <w:pStyle w:val="ListParagraph"/>
        <w:numPr>
          <w:ilvl w:val="1"/>
          <w:numId w:val="279"/>
        </w:numPr>
        <w:tabs>
          <w:tab w:val="left" w:pos="1274"/>
        </w:tabs>
        <w:spacing w:before="119"/>
        <w:ind w:right="68"/>
        <w:jc w:val="both"/>
        <w:rPr>
          <w:rFonts w:ascii="Arial" w:hAnsi="Arial" w:cs="Arial"/>
          <w:sz w:val="20"/>
          <w:szCs w:val="20"/>
        </w:rPr>
      </w:pPr>
      <w:r w:rsidRPr="00C1427A">
        <w:rPr>
          <w:rFonts w:ascii="Arial" w:hAnsi="Arial" w:cs="Arial"/>
          <w:sz w:val="20"/>
          <w:szCs w:val="20"/>
        </w:rPr>
        <w:t>An examiner may terminate a test or check at any stage if it is considered that the</w:t>
      </w:r>
      <w:r w:rsidRPr="00C1427A">
        <w:rPr>
          <w:rFonts w:ascii="Arial" w:hAnsi="Arial" w:cs="Arial"/>
          <w:spacing w:val="1"/>
          <w:sz w:val="20"/>
          <w:szCs w:val="20"/>
        </w:rPr>
        <w:t xml:space="preserve"> </w:t>
      </w:r>
      <w:r w:rsidRPr="00C1427A">
        <w:rPr>
          <w:rFonts w:ascii="Arial" w:hAnsi="Arial" w:cs="Arial"/>
          <w:sz w:val="20"/>
          <w:szCs w:val="20"/>
        </w:rPr>
        <w:t>applicant’s competency requires a complete</w:t>
      </w:r>
      <w:r w:rsidRPr="00C1427A">
        <w:rPr>
          <w:rFonts w:ascii="Arial" w:hAnsi="Arial" w:cs="Arial"/>
          <w:spacing w:val="-3"/>
          <w:sz w:val="20"/>
          <w:szCs w:val="20"/>
        </w:rPr>
        <w:t xml:space="preserve"> </w:t>
      </w:r>
      <w:r w:rsidRPr="00C1427A">
        <w:rPr>
          <w:rFonts w:ascii="Arial" w:hAnsi="Arial" w:cs="Arial"/>
          <w:sz w:val="20"/>
          <w:szCs w:val="20"/>
        </w:rPr>
        <w:t>retest</w:t>
      </w:r>
      <w:r w:rsidRPr="00C1427A">
        <w:rPr>
          <w:rFonts w:ascii="Arial" w:hAnsi="Arial" w:cs="Arial"/>
          <w:spacing w:val="-2"/>
          <w:sz w:val="20"/>
          <w:szCs w:val="20"/>
        </w:rPr>
        <w:t xml:space="preserve"> </w:t>
      </w:r>
      <w:r w:rsidRPr="00C1427A">
        <w:rPr>
          <w:rFonts w:ascii="Arial" w:hAnsi="Arial" w:cs="Arial"/>
          <w:sz w:val="20"/>
          <w:szCs w:val="20"/>
        </w:rPr>
        <w:t>or</w:t>
      </w:r>
      <w:r w:rsidRPr="00C1427A">
        <w:rPr>
          <w:rFonts w:ascii="Arial" w:hAnsi="Arial" w:cs="Arial"/>
          <w:spacing w:val="-3"/>
          <w:sz w:val="20"/>
          <w:szCs w:val="20"/>
        </w:rPr>
        <w:t xml:space="preserve"> </w:t>
      </w:r>
      <w:r w:rsidRPr="00C1427A">
        <w:rPr>
          <w:rFonts w:ascii="Arial" w:hAnsi="Arial" w:cs="Arial"/>
          <w:sz w:val="20"/>
          <w:szCs w:val="20"/>
        </w:rPr>
        <w:t>recheck.</w:t>
      </w:r>
    </w:p>
    <w:p w14:paraId="27DEE76D" w14:textId="77777777" w:rsidR="00B00F0A" w:rsidRPr="00B00F0A" w:rsidRDefault="00B00F0A" w:rsidP="00B00F0A">
      <w:pPr>
        <w:keepNext/>
        <w:keepLines/>
        <w:widowControl/>
        <w:shd w:val="clear" w:color="auto" w:fill="339966"/>
        <w:autoSpaceDE/>
        <w:autoSpaceDN/>
        <w:spacing w:before="160" w:after="120" w:line="259" w:lineRule="auto"/>
        <w:outlineLvl w:val="4"/>
        <w:rPr>
          <w:rFonts w:ascii="Arial" w:eastAsia="Times New Roman" w:hAnsi="Arial" w:cs="Times New Roman"/>
          <w:b/>
          <w:color w:val="FFFFFF"/>
          <w:sz w:val="24"/>
        </w:rPr>
      </w:pPr>
      <w:bookmarkStart w:id="773" w:name="GM1_BFCL.430__FE(B)_certificate_–_Standa"/>
      <w:bookmarkStart w:id="774" w:name="_bookmark316"/>
      <w:bookmarkStart w:id="775" w:name="_Toc153137481"/>
      <w:bookmarkEnd w:id="773"/>
      <w:bookmarkEnd w:id="774"/>
      <w:r w:rsidRPr="00B00F0A">
        <w:rPr>
          <w:rFonts w:ascii="Arial" w:eastAsia="Times New Roman" w:hAnsi="Arial" w:cs="Times New Roman"/>
          <w:b/>
          <w:color w:val="FFFFFF"/>
          <w:sz w:val="24"/>
        </w:rPr>
        <w:t>GM1 BFCL.430 FE(B) certificate – Standardisation course</w:t>
      </w:r>
      <w:bookmarkEnd w:id="775"/>
    </w:p>
    <w:p w14:paraId="2D60FB45" w14:textId="77777777" w:rsidR="00B00F0A" w:rsidRDefault="00B00F0A" w:rsidP="00B00F0A">
      <w:pPr>
        <w:widowControl/>
        <w:autoSpaceDE/>
        <w:autoSpaceDN/>
        <w:spacing w:before="240" w:after="160" w:line="264" w:lineRule="auto"/>
        <w:jc w:val="both"/>
        <w:rPr>
          <w:rFonts w:ascii="Arial" w:eastAsiaTheme="minorHAnsi" w:hAnsi="Arial" w:cs="Arial"/>
          <w:b/>
          <w:bCs/>
          <w:sz w:val="20"/>
          <w:szCs w:val="20"/>
        </w:rPr>
      </w:pPr>
      <w:r w:rsidRPr="00B00F0A">
        <w:rPr>
          <w:rFonts w:ascii="Arial" w:eastAsiaTheme="minorHAnsi" w:hAnsi="Arial" w:cs="Arial"/>
          <w:b/>
          <w:bCs/>
          <w:sz w:val="20"/>
          <w:szCs w:val="20"/>
        </w:rPr>
        <w:t>PLANNING OF TESTS AND CHECKS</w:t>
      </w:r>
    </w:p>
    <w:p w14:paraId="7C945929" w14:textId="77777777" w:rsidR="00B00F0A" w:rsidRPr="00033430" w:rsidRDefault="00B00F0A" w:rsidP="00B00F0A">
      <w:pPr>
        <w:pStyle w:val="ListParagraph"/>
        <w:numPr>
          <w:ilvl w:val="0"/>
          <w:numId w:val="280"/>
        </w:numPr>
        <w:tabs>
          <w:tab w:val="left" w:pos="707"/>
        </w:tabs>
        <w:spacing w:before="121" w:line="237" w:lineRule="auto"/>
        <w:ind w:right="200"/>
        <w:jc w:val="both"/>
        <w:rPr>
          <w:rFonts w:ascii="Arial" w:hAnsi="Arial" w:cs="Arial"/>
          <w:sz w:val="20"/>
          <w:szCs w:val="20"/>
        </w:rPr>
      </w:pPr>
      <w:r w:rsidRPr="00033430">
        <w:rPr>
          <w:rFonts w:ascii="Arial" w:hAnsi="Arial" w:cs="Arial"/>
          <w:sz w:val="20"/>
          <w:szCs w:val="20"/>
        </w:rPr>
        <w:lastRenderedPageBreak/>
        <w:t>An FE(B) should plan not more than a total of two skill tests, proficiency checks or assessments</w:t>
      </w:r>
      <w:r w:rsidRPr="00033430">
        <w:rPr>
          <w:rFonts w:ascii="Arial" w:hAnsi="Arial" w:cs="Arial"/>
          <w:spacing w:val="-47"/>
          <w:sz w:val="20"/>
          <w:szCs w:val="20"/>
        </w:rPr>
        <w:t xml:space="preserve"> </w:t>
      </w:r>
      <w:r w:rsidRPr="00033430">
        <w:rPr>
          <w:rFonts w:ascii="Arial" w:hAnsi="Arial" w:cs="Arial"/>
          <w:sz w:val="20"/>
          <w:szCs w:val="20"/>
        </w:rPr>
        <w:t>of</w:t>
      </w:r>
      <w:r w:rsidRPr="00033430">
        <w:rPr>
          <w:rFonts w:ascii="Arial" w:hAnsi="Arial" w:cs="Arial"/>
          <w:spacing w:val="-1"/>
          <w:sz w:val="20"/>
          <w:szCs w:val="20"/>
        </w:rPr>
        <w:t xml:space="preserve"> </w:t>
      </w:r>
      <w:r w:rsidRPr="00033430">
        <w:rPr>
          <w:rFonts w:ascii="Arial" w:hAnsi="Arial" w:cs="Arial"/>
          <w:sz w:val="20"/>
          <w:szCs w:val="20"/>
        </w:rPr>
        <w:t>competence</w:t>
      </w:r>
      <w:r w:rsidRPr="00033430">
        <w:rPr>
          <w:rFonts w:ascii="Arial" w:hAnsi="Arial" w:cs="Arial"/>
          <w:spacing w:val="1"/>
          <w:sz w:val="20"/>
          <w:szCs w:val="20"/>
        </w:rPr>
        <w:t xml:space="preserve"> </w:t>
      </w:r>
      <w:r w:rsidRPr="00033430">
        <w:rPr>
          <w:rFonts w:ascii="Arial" w:hAnsi="Arial" w:cs="Arial"/>
          <w:sz w:val="20"/>
          <w:szCs w:val="20"/>
        </w:rPr>
        <w:t>per day.</w:t>
      </w:r>
    </w:p>
    <w:p w14:paraId="622D6497" w14:textId="77777777" w:rsidR="00B00F0A" w:rsidRPr="00033430" w:rsidRDefault="00B00F0A" w:rsidP="00B00F0A">
      <w:pPr>
        <w:pStyle w:val="ListParagraph"/>
        <w:numPr>
          <w:ilvl w:val="0"/>
          <w:numId w:val="280"/>
        </w:numPr>
        <w:tabs>
          <w:tab w:val="left" w:pos="707"/>
        </w:tabs>
        <w:spacing w:before="121"/>
        <w:ind w:right="196"/>
        <w:jc w:val="both"/>
        <w:rPr>
          <w:rFonts w:ascii="Arial" w:hAnsi="Arial" w:cs="Arial"/>
          <w:sz w:val="20"/>
          <w:szCs w:val="20"/>
        </w:rPr>
      </w:pPr>
      <w:r w:rsidRPr="00033430">
        <w:rPr>
          <w:rFonts w:ascii="Arial" w:hAnsi="Arial" w:cs="Arial"/>
          <w:sz w:val="20"/>
          <w:szCs w:val="20"/>
        </w:rPr>
        <w:t>An FE(B) should plan at least 2 hours for a skill test, proficiency check or assessment of</w:t>
      </w:r>
      <w:r w:rsidRPr="00033430">
        <w:rPr>
          <w:rFonts w:ascii="Arial" w:hAnsi="Arial" w:cs="Arial"/>
          <w:spacing w:val="1"/>
          <w:sz w:val="20"/>
          <w:szCs w:val="20"/>
        </w:rPr>
        <w:t xml:space="preserve"> </w:t>
      </w:r>
      <w:r w:rsidRPr="00033430">
        <w:rPr>
          <w:rFonts w:ascii="Arial" w:hAnsi="Arial" w:cs="Arial"/>
          <w:sz w:val="20"/>
          <w:szCs w:val="20"/>
        </w:rPr>
        <w:t>competence,</w:t>
      </w:r>
      <w:r w:rsidRPr="00033430">
        <w:rPr>
          <w:rFonts w:ascii="Arial" w:hAnsi="Arial" w:cs="Arial"/>
          <w:spacing w:val="1"/>
          <w:sz w:val="20"/>
          <w:szCs w:val="20"/>
        </w:rPr>
        <w:t xml:space="preserve"> </w:t>
      </w:r>
      <w:r w:rsidRPr="00033430">
        <w:rPr>
          <w:rFonts w:ascii="Arial" w:hAnsi="Arial" w:cs="Arial"/>
          <w:sz w:val="20"/>
          <w:szCs w:val="20"/>
        </w:rPr>
        <w:t>including</w:t>
      </w:r>
      <w:r w:rsidRPr="00033430">
        <w:rPr>
          <w:rFonts w:ascii="Arial" w:hAnsi="Arial" w:cs="Arial"/>
          <w:spacing w:val="1"/>
          <w:sz w:val="20"/>
          <w:szCs w:val="20"/>
        </w:rPr>
        <w:t xml:space="preserve"> </w:t>
      </w:r>
      <w:r w:rsidRPr="00033430">
        <w:rPr>
          <w:rFonts w:ascii="Arial" w:hAnsi="Arial" w:cs="Arial"/>
          <w:sz w:val="20"/>
          <w:szCs w:val="20"/>
        </w:rPr>
        <w:t>pre-flight</w:t>
      </w:r>
      <w:r w:rsidRPr="00033430">
        <w:rPr>
          <w:rFonts w:ascii="Arial" w:hAnsi="Arial" w:cs="Arial"/>
          <w:spacing w:val="1"/>
          <w:sz w:val="20"/>
          <w:szCs w:val="20"/>
        </w:rPr>
        <w:t xml:space="preserve"> </w:t>
      </w:r>
      <w:r w:rsidRPr="00033430">
        <w:rPr>
          <w:rFonts w:ascii="Arial" w:hAnsi="Arial" w:cs="Arial"/>
          <w:sz w:val="20"/>
          <w:szCs w:val="20"/>
        </w:rPr>
        <w:t>briefing</w:t>
      </w:r>
      <w:r w:rsidRPr="00033430">
        <w:rPr>
          <w:rFonts w:ascii="Arial" w:hAnsi="Arial" w:cs="Arial"/>
          <w:spacing w:val="1"/>
          <w:sz w:val="20"/>
          <w:szCs w:val="20"/>
        </w:rPr>
        <w:t xml:space="preserve"> </w:t>
      </w:r>
      <w:r w:rsidRPr="00033430">
        <w:rPr>
          <w:rFonts w:ascii="Arial" w:hAnsi="Arial" w:cs="Arial"/>
          <w:sz w:val="20"/>
          <w:szCs w:val="20"/>
        </w:rPr>
        <w:t>and</w:t>
      </w:r>
      <w:r w:rsidRPr="00033430">
        <w:rPr>
          <w:rFonts w:ascii="Arial" w:hAnsi="Arial" w:cs="Arial"/>
          <w:spacing w:val="1"/>
          <w:sz w:val="20"/>
          <w:szCs w:val="20"/>
        </w:rPr>
        <w:t xml:space="preserve"> </w:t>
      </w:r>
      <w:r w:rsidRPr="00033430">
        <w:rPr>
          <w:rFonts w:ascii="Arial" w:hAnsi="Arial" w:cs="Arial"/>
          <w:sz w:val="20"/>
          <w:szCs w:val="20"/>
        </w:rPr>
        <w:t>preparation,</w:t>
      </w:r>
      <w:r w:rsidRPr="00033430">
        <w:rPr>
          <w:rFonts w:ascii="Arial" w:hAnsi="Arial" w:cs="Arial"/>
          <w:spacing w:val="1"/>
          <w:sz w:val="20"/>
          <w:szCs w:val="20"/>
        </w:rPr>
        <w:t xml:space="preserve"> </w:t>
      </w:r>
      <w:r w:rsidRPr="00033430">
        <w:rPr>
          <w:rFonts w:ascii="Arial" w:hAnsi="Arial" w:cs="Arial"/>
          <w:sz w:val="20"/>
          <w:szCs w:val="20"/>
        </w:rPr>
        <w:t>conduct</w:t>
      </w:r>
      <w:r w:rsidRPr="00033430">
        <w:rPr>
          <w:rFonts w:ascii="Arial" w:hAnsi="Arial" w:cs="Arial"/>
          <w:spacing w:val="1"/>
          <w:sz w:val="20"/>
          <w:szCs w:val="20"/>
        </w:rPr>
        <w:t xml:space="preserve"> </w:t>
      </w:r>
      <w:r w:rsidRPr="00033430">
        <w:rPr>
          <w:rFonts w:ascii="Arial" w:hAnsi="Arial" w:cs="Arial"/>
          <w:sz w:val="20"/>
          <w:szCs w:val="20"/>
        </w:rPr>
        <w:t>of</w:t>
      </w:r>
      <w:r w:rsidRPr="00033430">
        <w:rPr>
          <w:rFonts w:ascii="Arial" w:hAnsi="Arial" w:cs="Arial"/>
          <w:spacing w:val="1"/>
          <w:sz w:val="20"/>
          <w:szCs w:val="20"/>
        </w:rPr>
        <w:t xml:space="preserve"> </w:t>
      </w:r>
      <w:r w:rsidRPr="00033430">
        <w:rPr>
          <w:rFonts w:ascii="Arial" w:hAnsi="Arial" w:cs="Arial"/>
          <w:sz w:val="20"/>
          <w:szCs w:val="20"/>
        </w:rPr>
        <w:t>the</w:t>
      </w:r>
      <w:r w:rsidRPr="00033430">
        <w:rPr>
          <w:rFonts w:ascii="Arial" w:hAnsi="Arial" w:cs="Arial"/>
          <w:spacing w:val="1"/>
          <w:sz w:val="20"/>
          <w:szCs w:val="20"/>
        </w:rPr>
        <w:t xml:space="preserve"> </w:t>
      </w:r>
      <w:r w:rsidRPr="00033430">
        <w:rPr>
          <w:rFonts w:ascii="Arial" w:hAnsi="Arial" w:cs="Arial"/>
          <w:sz w:val="20"/>
          <w:szCs w:val="20"/>
        </w:rPr>
        <w:t>test,</w:t>
      </w:r>
      <w:r w:rsidRPr="00033430">
        <w:rPr>
          <w:rFonts w:ascii="Arial" w:hAnsi="Arial" w:cs="Arial"/>
          <w:spacing w:val="1"/>
          <w:sz w:val="20"/>
          <w:szCs w:val="20"/>
        </w:rPr>
        <w:t xml:space="preserve"> </w:t>
      </w:r>
      <w:r w:rsidRPr="00033430">
        <w:rPr>
          <w:rFonts w:ascii="Arial" w:hAnsi="Arial" w:cs="Arial"/>
          <w:sz w:val="20"/>
          <w:szCs w:val="20"/>
        </w:rPr>
        <w:t>check</w:t>
      </w:r>
      <w:r w:rsidRPr="00033430">
        <w:rPr>
          <w:rFonts w:ascii="Arial" w:hAnsi="Arial" w:cs="Arial"/>
          <w:spacing w:val="1"/>
          <w:sz w:val="20"/>
          <w:szCs w:val="20"/>
        </w:rPr>
        <w:t xml:space="preserve"> </w:t>
      </w:r>
      <w:r w:rsidRPr="00033430">
        <w:rPr>
          <w:rFonts w:ascii="Arial" w:hAnsi="Arial" w:cs="Arial"/>
          <w:sz w:val="20"/>
          <w:szCs w:val="20"/>
        </w:rPr>
        <w:t>or</w:t>
      </w:r>
      <w:r w:rsidRPr="00033430">
        <w:rPr>
          <w:rFonts w:ascii="Arial" w:hAnsi="Arial" w:cs="Arial"/>
          <w:spacing w:val="1"/>
          <w:sz w:val="20"/>
          <w:szCs w:val="20"/>
        </w:rPr>
        <w:t xml:space="preserve"> </w:t>
      </w:r>
      <w:r w:rsidRPr="00033430">
        <w:rPr>
          <w:rFonts w:ascii="Arial" w:hAnsi="Arial" w:cs="Arial"/>
          <w:sz w:val="20"/>
          <w:szCs w:val="20"/>
        </w:rPr>
        <w:t>assessment</w:t>
      </w:r>
      <w:r w:rsidRPr="00033430">
        <w:rPr>
          <w:rFonts w:ascii="Arial" w:hAnsi="Arial" w:cs="Arial"/>
          <w:spacing w:val="-3"/>
          <w:sz w:val="20"/>
          <w:szCs w:val="20"/>
        </w:rPr>
        <w:t xml:space="preserve"> </w:t>
      </w:r>
      <w:r w:rsidRPr="00033430">
        <w:rPr>
          <w:rFonts w:ascii="Arial" w:hAnsi="Arial" w:cs="Arial"/>
          <w:sz w:val="20"/>
          <w:szCs w:val="20"/>
        </w:rPr>
        <w:t>of</w:t>
      </w:r>
      <w:r w:rsidRPr="00033430">
        <w:rPr>
          <w:rFonts w:ascii="Arial" w:hAnsi="Arial" w:cs="Arial"/>
          <w:spacing w:val="-3"/>
          <w:sz w:val="20"/>
          <w:szCs w:val="20"/>
        </w:rPr>
        <w:t xml:space="preserve"> </w:t>
      </w:r>
      <w:r w:rsidRPr="00033430">
        <w:rPr>
          <w:rFonts w:ascii="Arial" w:hAnsi="Arial" w:cs="Arial"/>
          <w:sz w:val="20"/>
          <w:szCs w:val="20"/>
        </w:rPr>
        <w:t>competence,</w:t>
      </w:r>
      <w:r w:rsidRPr="00033430">
        <w:rPr>
          <w:rFonts w:ascii="Arial" w:hAnsi="Arial" w:cs="Arial"/>
          <w:spacing w:val="-1"/>
          <w:sz w:val="20"/>
          <w:szCs w:val="20"/>
        </w:rPr>
        <w:t xml:space="preserve"> </w:t>
      </w:r>
      <w:r w:rsidRPr="00033430">
        <w:rPr>
          <w:rFonts w:ascii="Arial" w:hAnsi="Arial" w:cs="Arial"/>
          <w:sz w:val="20"/>
          <w:szCs w:val="20"/>
        </w:rPr>
        <w:t>de-briefing, evaluation</w:t>
      </w:r>
      <w:r w:rsidRPr="00033430">
        <w:rPr>
          <w:rFonts w:ascii="Arial" w:hAnsi="Arial" w:cs="Arial"/>
          <w:spacing w:val="-2"/>
          <w:sz w:val="20"/>
          <w:szCs w:val="20"/>
        </w:rPr>
        <w:t xml:space="preserve"> </w:t>
      </w:r>
      <w:r w:rsidRPr="00033430">
        <w:rPr>
          <w:rFonts w:ascii="Arial" w:hAnsi="Arial" w:cs="Arial"/>
          <w:sz w:val="20"/>
          <w:szCs w:val="20"/>
        </w:rPr>
        <w:t>of</w:t>
      </w:r>
      <w:r w:rsidRPr="00033430">
        <w:rPr>
          <w:rFonts w:ascii="Arial" w:hAnsi="Arial" w:cs="Arial"/>
          <w:spacing w:val="-2"/>
          <w:sz w:val="20"/>
          <w:szCs w:val="20"/>
        </w:rPr>
        <w:t xml:space="preserve"> </w:t>
      </w:r>
      <w:r w:rsidRPr="00033430">
        <w:rPr>
          <w:rFonts w:ascii="Arial" w:hAnsi="Arial" w:cs="Arial"/>
          <w:sz w:val="20"/>
          <w:szCs w:val="20"/>
        </w:rPr>
        <w:t>the</w:t>
      </w:r>
      <w:r w:rsidRPr="00033430">
        <w:rPr>
          <w:rFonts w:ascii="Arial" w:hAnsi="Arial" w:cs="Arial"/>
          <w:spacing w:val="-1"/>
          <w:sz w:val="20"/>
          <w:szCs w:val="20"/>
        </w:rPr>
        <w:t xml:space="preserve"> </w:t>
      </w:r>
      <w:r w:rsidRPr="00033430">
        <w:rPr>
          <w:rFonts w:ascii="Arial" w:hAnsi="Arial" w:cs="Arial"/>
          <w:sz w:val="20"/>
          <w:szCs w:val="20"/>
        </w:rPr>
        <w:t>applicant and</w:t>
      </w:r>
      <w:r w:rsidRPr="00033430">
        <w:rPr>
          <w:rFonts w:ascii="Arial" w:hAnsi="Arial" w:cs="Arial"/>
          <w:spacing w:val="-2"/>
          <w:sz w:val="20"/>
          <w:szCs w:val="20"/>
        </w:rPr>
        <w:t xml:space="preserve"> </w:t>
      </w:r>
      <w:r w:rsidRPr="00033430">
        <w:rPr>
          <w:rFonts w:ascii="Arial" w:hAnsi="Arial" w:cs="Arial"/>
          <w:sz w:val="20"/>
          <w:szCs w:val="20"/>
        </w:rPr>
        <w:t>documentation.</w:t>
      </w:r>
    </w:p>
    <w:p w14:paraId="0278E7E0" w14:textId="77777777" w:rsidR="00B00F0A" w:rsidRPr="00B00F0A" w:rsidRDefault="00B00F0A" w:rsidP="00B00F0A">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776" w:name="BFCL.445__FE(B)_certificate_–_Assessment"/>
      <w:bookmarkStart w:id="777" w:name="_bookmark317"/>
      <w:bookmarkStart w:id="778" w:name="_Toc153137482"/>
      <w:bookmarkEnd w:id="776"/>
      <w:bookmarkEnd w:id="777"/>
      <w:r w:rsidRPr="00B00F0A">
        <w:rPr>
          <w:rFonts w:ascii="Arial" w:eastAsia="Times New Roman" w:hAnsi="Arial" w:cs="Times New Roman"/>
          <w:b/>
          <w:iCs/>
          <w:color w:val="FFFFFF"/>
          <w:sz w:val="24"/>
        </w:rPr>
        <w:t>BFCL.445 FE(B) certificate – Assessment of competence</w:t>
      </w:r>
      <w:bookmarkEnd w:id="778"/>
    </w:p>
    <w:p w14:paraId="736428E1" w14:textId="4AE970FB" w:rsidR="00B00F0A" w:rsidRPr="00B00F0A" w:rsidRDefault="00B00F0A" w:rsidP="00D91E6C">
      <w:pPr>
        <w:pStyle w:val="BodyText"/>
        <w:spacing w:before="118" w:line="276" w:lineRule="auto"/>
        <w:ind w:right="68"/>
        <w:jc w:val="both"/>
        <w:rPr>
          <w:rFonts w:ascii="Arial" w:hAnsi="Arial" w:cs="Arial"/>
          <w:sz w:val="20"/>
        </w:rPr>
      </w:pPr>
      <w:r w:rsidRPr="00B00F0A">
        <w:rPr>
          <w:rFonts w:ascii="Arial" w:hAnsi="Arial" w:cs="Arial"/>
          <w:sz w:val="20"/>
        </w:rPr>
        <w:t>An</w:t>
      </w:r>
      <w:r w:rsidRPr="00B00F0A">
        <w:rPr>
          <w:rFonts w:ascii="Arial" w:hAnsi="Arial" w:cs="Arial"/>
          <w:spacing w:val="-7"/>
          <w:sz w:val="20"/>
        </w:rPr>
        <w:t xml:space="preserve"> </w:t>
      </w:r>
      <w:r w:rsidRPr="00B00F0A">
        <w:rPr>
          <w:rFonts w:ascii="Arial" w:hAnsi="Arial" w:cs="Arial"/>
          <w:sz w:val="20"/>
        </w:rPr>
        <w:t>applicant</w:t>
      </w:r>
      <w:r w:rsidRPr="00B00F0A">
        <w:rPr>
          <w:rFonts w:ascii="Arial" w:hAnsi="Arial" w:cs="Arial"/>
          <w:spacing w:val="-5"/>
          <w:sz w:val="20"/>
        </w:rPr>
        <w:t xml:space="preserve"> </w:t>
      </w:r>
      <w:r w:rsidRPr="00B00F0A">
        <w:rPr>
          <w:rFonts w:ascii="Arial" w:hAnsi="Arial" w:cs="Arial"/>
          <w:sz w:val="20"/>
        </w:rPr>
        <w:t>for</w:t>
      </w:r>
      <w:r w:rsidRPr="00B00F0A">
        <w:rPr>
          <w:rFonts w:ascii="Arial" w:hAnsi="Arial" w:cs="Arial"/>
          <w:spacing w:val="-8"/>
          <w:sz w:val="20"/>
        </w:rPr>
        <w:t xml:space="preserve"> </w:t>
      </w:r>
      <w:r w:rsidRPr="00B00F0A">
        <w:rPr>
          <w:rFonts w:ascii="Arial" w:hAnsi="Arial" w:cs="Arial"/>
          <w:sz w:val="20"/>
        </w:rPr>
        <w:t>the</w:t>
      </w:r>
      <w:r w:rsidRPr="00B00F0A">
        <w:rPr>
          <w:rFonts w:ascii="Arial" w:hAnsi="Arial" w:cs="Arial"/>
          <w:spacing w:val="-6"/>
          <w:sz w:val="20"/>
        </w:rPr>
        <w:t xml:space="preserve"> </w:t>
      </w:r>
      <w:r w:rsidRPr="00B00F0A">
        <w:rPr>
          <w:rFonts w:ascii="Arial" w:hAnsi="Arial" w:cs="Arial"/>
          <w:sz w:val="20"/>
        </w:rPr>
        <w:t>initial</w:t>
      </w:r>
      <w:r w:rsidRPr="00B00F0A">
        <w:rPr>
          <w:rFonts w:ascii="Arial" w:hAnsi="Arial" w:cs="Arial"/>
          <w:spacing w:val="-6"/>
          <w:sz w:val="20"/>
        </w:rPr>
        <w:t xml:space="preserve"> </w:t>
      </w:r>
      <w:r w:rsidRPr="00B00F0A">
        <w:rPr>
          <w:rFonts w:ascii="Arial" w:hAnsi="Arial" w:cs="Arial"/>
          <w:sz w:val="20"/>
        </w:rPr>
        <w:t>issue</w:t>
      </w:r>
      <w:r w:rsidRPr="00B00F0A">
        <w:rPr>
          <w:rFonts w:ascii="Arial" w:hAnsi="Arial" w:cs="Arial"/>
          <w:spacing w:val="-5"/>
          <w:sz w:val="20"/>
        </w:rPr>
        <w:t xml:space="preserve"> </w:t>
      </w:r>
      <w:r w:rsidRPr="00B00F0A">
        <w:rPr>
          <w:rFonts w:ascii="Arial" w:hAnsi="Arial" w:cs="Arial"/>
          <w:sz w:val="20"/>
        </w:rPr>
        <w:t>of</w:t>
      </w:r>
      <w:r w:rsidRPr="00B00F0A">
        <w:rPr>
          <w:rFonts w:ascii="Arial" w:hAnsi="Arial" w:cs="Arial"/>
          <w:spacing w:val="-8"/>
          <w:sz w:val="20"/>
        </w:rPr>
        <w:t xml:space="preserve"> </w:t>
      </w:r>
      <w:r w:rsidRPr="00B00F0A">
        <w:rPr>
          <w:rFonts w:ascii="Arial" w:hAnsi="Arial" w:cs="Arial"/>
          <w:sz w:val="20"/>
        </w:rPr>
        <w:t>an</w:t>
      </w:r>
      <w:r w:rsidRPr="00B00F0A">
        <w:rPr>
          <w:rFonts w:ascii="Arial" w:hAnsi="Arial" w:cs="Arial"/>
          <w:spacing w:val="-5"/>
          <w:sz w:val="20"/>
        </w:rPr>
        <w:t xml:space="preserve"> </w:t>
      </w:r>
      <w:r w:rsidRPr="00B00F0A">
        <w:rPr>
          <w:rFonts w:ascii="Arial" w:hAnsi="Arial" w:cs="Arial"/>
          <w:sz w:val="20"/>
        </w:rPr>
        <w:t>FE(B)</w:t>
      </w:r>
      <w:r w:rsidRPr="00B00F0A">
        <w:rPr>
          <w:rFonts w:ascii="Arial" w:hAnsi="Arial" w:cs="Arial"/>
          <w:spacing w:val="-8"/>
          <w:sz w:val="20"/>
        </w:rPr>
        <w:t xml:space="preserve"> </w:t>
      </w:r>
      <w:r w:rsidRPr="00B00F0A">
        <w:rPr>
          <w:rFonts w:ascii="Arial" w:hAnsi="Arial" w:cs="Arial"/>
          <w:sz w:val="20"/>
        </w:rPr>
        <w:t>certificate</w:t>
      </w:r>
      <w:r w:rsidRPr="00B00F0A">
        <w:rPr>
          <w:rFonts w:ascii="Arial" w:hAnsi="Arial" w:cs="Arial"/>
          <w:spacing w:val="-7"/>
          <w:sz w:val="20"/>
        </w:rPr>
        <w:t xml:space="preserve"> </w:t>
      </w:r>
      <w:r w:rsidRPr="00B00F0A">
        <w:rPr>
          <w:rFonts w:ascii="Arial" w:hAnsi="Arial" w:cs="Arial"/>
          <w:sz w:val="20"/>
        </w:rPr>
        <w:t>shall</w:t>
      </w:r>
      <w:r w:rsidRPr="00B00F0A">
        <w:rPr>
          <w:rFonts w:ascii="Arial" w:hAnsi="Arial" w:cs="Arial"/>
          <w:spacing w:val="-5"/>
          <w:sz w:val="20"/>
        </w:rPr>
        <w:t xml:space="preserve"> </w:t>
      </w:r>
      <w:r w:rsidRPr="00B00F0A">
        <w:rPr>
          <w:rFonts w:ascii="Arial" w:hAnsi="Arial" w:cs="Arial"/>
          <w:sz w:val="20"/>
        </w:rPr>
        <w:t>demonstrate</w:t>
      </w:r>
      <w:r w:rsidRPr="00B00F0A">
        <w:rPr>
          <w:rFonts w:ascii="Arial" w:hAnsi="Arial" w:cs="Arial"/>
          <w:spacing w:val="-5"/>
          <w:sz w:val="20"/>
        </w:rPr>
        <w:t xml:space="preserve"> </w:t>
      </w:r>
      <w:r w:rsidRPr="00B00F0A">
        <w:rPr>
          <w:rFonts w:ascii="Arial" w:hAnsi="Arial" w:cs="Arial"/>
          <w:sz w:val="20"/>
        </w:rPr>
        <w:t>his</w:t>
      </w:r>
      <w:r w:rsidRPr="00B00F0A">
        <w:rPr>
          <w:rFonts w:ascii="Arial" w:hAnsi="Arial" w:cs="Arial"/>
          <w:spacing w:val="-7"/>
          <w:sz w:val="20"/>
        </w:rPr>
        <w:t xml:space="preserve"> </w:t>
      </w:r>
      <w:r w:rsidRPr="00B00F0A">
        <w:rPr>
          <w:rFonts w:ascii="Arial" w:hAnsi="Arial" w:cs="Arial"/>
          <w:sz w:val="20"/>
        </w:rPr>
        <w:t>or</w:t>
      </w:r>
      <w:r w:rsidRPr="00B00F0A">
        <w:rPr>
          <w:rFonts w:ascii="Arial" w:hAnsi="Arial" w:cs="Arial"/>
          <w:spacing w:val="-6"/>
          <w:sz w:val="20"/>
        </w:rPr>
        <w:t xml:space="preserve"> </w:t>
      </w:r>
      <w:r w:rsidRPr="00B00F0A">
        <w:rPr>
          <w:rFonts w:ascii="Arial" w:hAnsi="Arial" w:cs="Arial"/>
          <w:sz w:val="20"/>
        </w:rPr>
        <w:t>her</w:t>
      </w:r>
      <w:r w:rsidRPr="00B00F0A">
        <w:rPr>
          <w:rFonts w:ascii="Arial" w:hAnsi="Arial" w:cs="Arial"/>
          <w:spacing w:val="-6"/>
          <w:sz w:val="20"/>
        </w:rPr>
        <w:t xml:space="preserve"> </w:t>
      </w:r>
      <w:r w:rsidRPr="00B00F0A">
        <w:rPr>
          <w:rFonts w:ascii="Arial" w:hAnsi="Arial" w:cs="Arial"/>
          <w:sz w:val="20"/>
        </w:rPr>
        <w:t>competences</w:t>
      </w:r>
      <w:r w:rsidRPr="00B00F0A">
        <w:rPr>
          <w:rFonts w:ascii="Arial" w:hAnsi="Arial" w:cs="Arial"/>
          <w:spacing w:val="-6"/>
          <w:sz w:val="20"/>
        </w:rPr>
        <w:t xml:space="preserve"> </w:t>
      </w:r>
      <w:r w:rsidRPr="00B00F0A">
        <w:rPr>
          <w:rFonts w:ascii="Arial" w:hAnsi="Arial" w:cs="Arial"/>
          <w:sz w:val="20"/>
        </w:rPr>
        <w:t>as</w:t>
      </w:r>
      <w:r w:rsidRPr="00B00F0A">
        <w:rPr>
          <w:rFonts w:ascii="Arial" w:hAnsi="Arial" w:cs="Arial"/>
          <w:spacing w:val="-6"/>
          <w:sz w:val="20"/>
        </w:rPr>
        <w:t xml:space="preserve"> </w:t>
      </w:r>
      <w:r w:rsidRPr="00B00F0A">
        <w:rPr>
          <w:rFonts w:ascii="Arial" w:hAnsi="Arial" w:cs="Arial"/>
          <w:sz w:val="20"/>
        </w:rPr>
        <w:t>an</w:t>
      </w:r>
      <w:r w:rsidRPr="00B00F0A">
        <w:rPr>
          <w:rFonts w:ascii="Arial" w:hAnsi="Arial" w:cs="Arial"/>
          <w:spacing w:val="-47"/>
          <w:sz w:val="20"/>
        </w:rPr>
        <w:t xml:space="preserve"> </w:t>
      </w:r>
      <w:r w:rsidRPr="00B00F0A">
        <w:rPr>
          <w:rFonts w:ascii="Arial" w:hAnsi="Arial" w:cs="Arial"/>
          <w:sz w:val="20"/>
        </w:rPr>
        <w:t xml:space="preserve">FE(B) to an inspector from the </w:t>
      </w:r>
      <w:r w:rsidR="002C3FB9">
        <w:rPr>
          <w:rFonts w:ascii="Arial" w:hAnsi="Arial" w:cs="Arial"/>
          <w:sz w:val="20"/>
          <w:szCs w:val="20"/>
        </w:rPr>
        <w:t>CAC RA</w:t>
      </w:r>
      <w:r w:rsidRPr="00B00F0A">
        <w:rPr>
          <w:rFonts w:ascii="Arial" w:hAnsi="Arial" w:cs="Arial"/>
          <w:sz w:val="20"/>
        </w:rPr>
        <w:t>. During the assessment</w:t>
      </w:r>
      <w:r w:rsidRPr="00B00F0A">
        <w:rPr>
          <w:rFonts w:ascii="Arial" w:hAnsi="Arial" w:cs="Arial"/>
          <w:spacing w:val="1"/>
          <w:sz w:val="20"/>
        </w:rPr>
        <w:t xml:space="preserve"> </w:t>
      </w:r>
      <w:r w:rsidRPr="00B00F0A">
        <w:rPr>
          <w:rFonts w:ascii="Arial" w:hAnsi="Arial" w:cs="Arial"/>
          <w:sz w:val="20"/>
        </w:rPr>
        <w:t>of</w:t>
      </w:r>
      <w:r w:rsidRPr="00B00F0A">
        <w:rPr>
          <w:rFonts w:ascii="Arial" w:hAnsi="Arial" w:cs="Arial"/>
          <w:spacing w:val="1"/>
          <w:sz w:val="20"/>
        </w:rPr>
        <w:t xml:space="preserve"> </w:t>
      </w:r>
      <w:r w:rsidRPr="00B00F0A">
        <w:rPr>
          <w:rFonts w:ascii="Arial" w:hAnsi="Arial" w:cs="Arial"/>
          <w:sz w:val="20"/>
        </w:rPr>
        <w:t>competence,</w:t>
      </w:r>
      <w:r w:rsidRPr="00B00F0A">
        <w:rPr>
          <w:rFonts w:ascii="Arial" w:hAnsi="Arial" w:cs="Arial"/>
          <w:spacing w:val="1"/>
          <w:sz w:val="20"/>
        </w:rPr>
        <w:t xml:space="preserve"> </w:t>
      </w:r>
      <w:r w:rsidRPr="00B00F0A">
        <w:rPr>
          <w:rFonts w:ascii="Arial" w:hAnsi="Arial" w:cs="Arial"/>
          <w:sz w:val="20"/>
        </w:rPr>
        <w:t>the</w:t>
      </w:r>
      <w:r w:rsidRPr="00B00F0A">
        <w:rPr>
          <w:rFonts w:ascii="Arial" w:hAnsi="Arial" w:cs="Arial"/>
          <w:spacing w:val="1"/>
          <w:sz w:val="20"/>
        </w:rPr>
        <w:t xml:space="preserve"> </w:t>
      </w:r>
      <w:r w:rsidRPr="00B00F0A">
        <w:rPr>
          <w:rFonts w:ascii="Arial" w:hAnsi="Arial" w:cs="Arial"/>
          <w:sz w:val="20"/>
        </w:rPr>
        <w:t>applicant</w:t>
      </w:r>
      <w:r w:rsidRPr="00B00F0A">
        <w:rPr>
          <w:rFonts w:ascii="Arial" w:hAnsi="Arial" w:cs="Arial"/>
          <w:spacing w:val="1"/>
          <w:sz w:val="20"/>
        </w:rPr>
        <w:t xml:space="preserve"> </w:t>
      </w:r>
      <w:r w:rsidRPr="00B00F0A">
        <w:rPr>
          <w:rFonts w:ascii="Arial" w:hAnsi="Arial" w:cs="Arial"/>
          <w:sz w:val="20"/>
        </w:rPr>
        <w:t>shall</w:t>
      </w:r>
      <w:r w:rsidRPr="00B00F0A">
        <w:rPr>
          <w:rFonts w:ascii="Arial" w:hAnsi="Arial" w:cs="Arial"/>
          <w:spacing w:val="1"/>
          <w:sz w:val="20"/>
        </w:rPr>
        <w:t xml:space="preserve"> </w:t>
      </w:r>
      <w:r w:rsidRPr="00B00F0A">
        <w:rPr>
          <w:rFonts w:ascii="Arial" w:hAnsi="Arial" w:cs="Arial"/>
          <w:sz w:val="20"/>
        </w:rPr>
        <w:t>conduct</w:t>
      </w:r>
      <w:r w:rsidRPr="00B00F0A">
        <w:rPr>
          <w:rFonts w:ascii="Arial" w:hAnsi="Arial" w:cs="Arial"/>
          <w:spacing w:val="1"/>
          <w:sz w:val="20"/>
        </w:rPr>
        <w:t xml:space="preserve"> </w:t>
      </w:r>
      <w:r w:rsidRPr="00B00F0A">
        <w:rPr>
          <w:rFonts w:ascii="Arial" w:hAnsi="Arial" w:cs="Arial"/>
          <w:sz w:val="20"/>
        </w:rPr>
        <w:t>a</w:t>
      </w:r>
      <w:r w:rsidRPr="00B00F0A">
        <w:rPr>
          <w:rFonts w:ascii="Arial" w:hAnsi="Arial" w:cs="Arial"/>
          <w:spacing w:val="1"/>
          <w:sz w:val="20"/>
        </w:rPr>
        <w:t xml:space="preserve"> </w:t>
      </w:r>
      <w:r w:rsidRPr="00B00F0A">
        <w:rPr>
          <w:rFonts w:ascii="Arial" w:hAnsi="Arial" w:cs="Arial"/>
          <w:sz w:val="20"/>
        </w:rPr>
        <w:t>skill</w:t>
      </w:r>
      <w:r w:rsidRPr="00B00F0A">
        <w:rPr>
          <w:rFonts w:ascii="Arial" w:hAnsi="Arial" w:cs="Arial"/>
          <w:spacing w:val="1"/>
          <w:sz w:val="20"/>
        </w:rPr>
        <w:t xml:space="preserve"> </w:t>
      </w:r>
      <w:r w:rsidRPr="00B00F0A">
        <w:rPr>
          <w:rFonts w:ascii="Arial" w:hAnsi="Arial" w:cs="Arial"/>
          <w:sz w:val="20"/>
        </w:rPr>
        <w:t>test,</w:t>
      </w:r>
      <w:r w:rsidRPr="00B00F0A">
        <w:rPr>
          <w:rFonts w:ascii="Arial" w:hAnsi="Arial" w:cs="Arial"/>
          <w:spacing w:val="1"/>
          <w:sz w:val="20"/>
        </w:rPr>
        <w:t xml:space="preserve"> </w:t>
      </w:r>
      <w:r w:rsidRPr="00B00F0A">
        <w:rPr>
          <w:rFonts w:ascii="Arial" w:hAnsi="Arial" w:cs="Arial"/>
          <w:sz w:val="20"/>
        </w:rPr>
        <w:t>proficiency</w:t>
      </w:r>
      <w:r w:rsidRPr="00B00F0A">
        <w:rPr>
          <w:rFonts w:ascii="Arial" w:hAnsi="Arial" w:cs="Arial"/>
          <w:spacing w:val="1"/>
          <w:sz w:val="20"/>
        </w:rPr>
        <w:t xml:space="preserve"> </w:t>
      </w:r>
      <w:r w:rsidRPr="00B00F0A">
        <w:rPr>
          <w:rFonts w:ascii="Arial" w:hAnsi="Arial" w:cs="Arial"/>
          <w:sz w:val="20"/>
        </w:rPr>
        <w:t>check</w:t>
      </w:r>
      <w:r w:rsidRPr="00B00F0A">
        <w:rPr>
          <w:rFonts w:ascii="Arial" w:hAnsi="Arial" w:cs="Arial"/>
          <w:spacing w:val="1"/>
          <w:sz w:val="20"/>
        </w:rPr>
        <w:t xml:space="preserve"> </w:t>
      </w:r>
      <w:r w:rsidRPr="00B00F0A">
        <w:rPr>
          <w:rFonts w:ascii="Arial" w:hAnsi="Arial" w:cs="Arial"/>
          <w:sz w:val="20"/>
        </w:rPr>
        <w:t>or</w:t>
      </w:r>
      <w:r w:rsidRPr="00B00F0A">
        <w:rPr>
          <w:rFonts w:ascii="Arial" w:hAnsi="Arial" w:cs="Arial"/>
          <w:spacing w:val="1"/>
          <w:sz w:val="20"/>
        </w:rPr>
        <w:t xml:space="preserve"> </w:t>
      </w:r>
      <w:r w:rsidRPr="00B00F0A">
        <w:rPr>
          <w:rFonts w:ascii="Arial" w:hAnsi="Arial" w:cs="Arial"/>
          <w:sz w:val="20"/>
        </w:rPr>
        <w:t>assessment</w:t>
      </w:r>
      <w:r w:rsidRPr="00B00F0A">
        <w:rPr>
          <w:rFonts w:ascii="Arial" w:hAnsi="Arial" w:cs="Arial"/>
          <w:spacing w:val="1"/>
          <w:sz w:val="20"/>
        </w:rPr>
        <w:t xml:space="preserve"> </w:t>
      </w:r>
      <w:r w:rsidRPr="00B00F0A">
        <w:rPr>
          <w:rFonts w:ascii="Arial" w:hAnsi="Arial" w:cs="Arial"/>
          <w:sz w:val="20"/>
        </w:rPr>
        <w:t>of</w:t>
      </w:r>
      <w:r w:rsidRPr="00B00F0A">
        <w:rPr>
          <w:rFonts w:ascii="Arial" w:hAnsi="Arial" w:cs="Arial"/>
          <w:spacing w:val="1"/>
          <w:sz w:val="20"/>
        </w:rPr>
        <w:t xml:space="preserve"> </w:t>
      </w:r>
      <w:r w:rsidRPr="00B00F0A">
        <w:rPr>
          <w:rFonts w:ascii="Arial" w:hAnsi="Arial" w:cs="Arial"/>
          <w:sz w:val="20"/>
        </w:rPr>
        <w:t>competence,</w:t>
      </w:r>
      <w:r w:rsidRPr="00B00F0A">
        <w:rPr>
          <w:rFonts w:ascii="Arial" w:hAnsi="Arial" w:cs="Arial"/>
          <w:spacing w:val="1"/>
          <w:sz w:val="20"/>
        </w:rPr>
        <w:t xml:space="preserve"> </w:t>
      </w:r>
      <w:r w:rsidRPr="00B00F0A">
        <w:rPr>
          <w:rFonts w:ascii="Arial" w:hAnsi="Arial" w:cs="Arial"/>
          <w:sz w:val="20"/>
        </w:rPr>
        <w:t>including</w:t>
      </w:r>
      <w:r w:rsidRPr="00B00F0A">
        <w:rPr>
          <w:rFonts w:ascii="Arial" w:hAnsi="Arial" w:cs="Arial"/>
          <w:spacing w:val="1"/>
          <w:sz w:val="20"/>
        </w:rPr>
        <w:t xml:space="preserve"> </w:t>
      </w:r>
      <w:r w:rsidRPr="00B00F0A">
        <w:rPr>
          <w:rFonts w:ascii="Arial" w:hAnsi="Arial" w:cs="Arial"/>
          <w:sz w:val="20"/>
        </w:rPr>
        <w:t>briefing,</w:t>
      </w:r>
      <w:r w:rsidRPr="00B00F0A">
        <w:rPr>
          <w:rFonts w:ascii="Arial" w:hAnsi="Arial" w:cs="Arial"/>
          <w:spacing w:val="1"/>
          <w:sz w:val="20"/>
        </w:rPr>
        <w:t xml:space="preserve"> </w:t>
      </w:r>
      <w:r w:rsidRPr="00B00F0A">
        <w:rPr>
          <w:rFonts w:ascii="Arial" w:hAnsi="Arial" w:cs="Arial"/>
          <w:sz w:val="20"/>
        </w:rPr>
        <w:t>conduct</w:t>
      </w:r>
      <w:r w:rsidRPr="00B00F0A">
        <w:rPr>
          <w:rFonts w:ascii="Arial" w:hAnsi="Arial" w:cs="Arial"/>
          <w:spacing w:val="1"/>
          <w:sz w:val="20"/>
        </w:rPr>
        <w:t xml:space="preserve"> </w:t>
      </w:r>
      <w:r w:rsidRPr="00B00F0A">
        <w:rPr>
          <w:rFonts w:ascii="Arial" w:hAnsi="Arial" w:cs="Arial"/>
          <w:sz w:val="20"/>
        </w:rPr>
        <w:t>of</w:t>
      </w:r>
      <w:r w:rsidRPr="00B00F0A">
        <w:rPr>
          <w:rFonts w:ascii="Arial" w:hAnsi="Arial" w:cs="Arial"/>
          <w:spacing w:val="1"/>
          <w:sz w:val="20"/>
        </w:rPr>
        <w:t xml:space="preserve"> </w:t>
      </w:r>
      <w:r w:rsidRPr="00B00F0A">
        <w:rPr>
          <w:rFonts w:ascii="Arial" w:hAnsi="Arial" w:cs="Arial"/>
          <w:sz w:val="20"/>
        </w:rPr>
        <w:t>the</w:t>
      </w:r>
      <w:r w:rsidRPr="00B00F0A">
        <w:rPr>
          <w:rFonts w:ascii="Arial" w:hAnsi="Arial" w:cs="Arial"/>
          <w:spacing w:val="1"/>
          <w:sz w:val="20"/>
        </w:rPr>
        <w:t xml:space="preserve"> </w:t>
      </w:r>
      <w:r w:rsidRPr="00B00F0A">
        <w:rPr>
          <w:rFonts w:ascii="Arial" w:hAnsi="Arial" w:cs="Arial"/>
          <w:sz w:val="20"/>
        </w:rPr>
        <w:t>skill</w:t>
      </w:r>
      <w:r w:rsidRPr="00B00F0A">
        <w:rPr>
          <w:rFonts w:ascii="Arial" w:hAnsi="Arial" w:cs="Arial"/>
          <w:spacing w:val="1"/>
          <w:sz w:val="20"/>
        </w:rPr>
        <w:t xml:space="preserve"> </w:t>
      </w:r>
      <w:r w:rsidRPr="00B00F0A">
        <w:rPr>
          <w:rFonts w:ascii="Arial" w:hAnsi="Arial" w:cs="Arial"/>
          <w:sz w:val="20"/>
        </w:rPr>
        <w:t>test,</w:t>
      </w:r>
      <w:r w:rsidRPr="00B00F0A">
        <w:rPr>
          <w:rFonts w:ascii="Arial" w:hAnsi="Arial" w:cs="Arial"/>
          <w:spacing w:val="1"/>
          <w:sz w:val="20"/>
        </w:rPr>
        <w:t xml:space="preserve"> </w:t>
      </w:r>
      <w:r w:rsidRPr="00B00F0A">
        <w:rPr>
          <w:rFonts w:ascii="Arial" w:hAnsi="Arial" w:cs="Arial"/>
          <w:sz w:val="20"/>
        </w:rPr>
        <w:t>proficiency</w:t>
      </w:r>
      <w:r w:rsidRPr="00B00F0A">
        <w:rPr>
          <w:rFonts w:ascii="Arial" w:hAnsi="Arial" w:cs="Arial"/>
          <w:spacing w:val="1"/>
          <w:sz w:val="20"/>
        </w:rPr>
        <w:t xml:space="preserve"> </w:t>
      </w:r>
      <w:r w:rsidRPr="00B00F0A">
        <w:rPr>
          <w:rFonts w:ascii="Arial" w:hAnsi="Arial" w:cs="Arial"/>
          <w:sz w:val="20"/>
        </w:rPr>
        <w:t>check</w:t>
      </w:r>
      <w:r w:rsidRPr="00B00F0A">
        <w:rPr>
          <w:rFonts w:ascii="Arial" w:hAnsi="Arial" w:cs="Arial"/>
          <w:spacing w:val="1"/>
          <w:sz w:val="20"/>
        </w:rPr>
        <w:t xml:space="preserve"> </w:t>
      </w:r>
      <w:r w:rsidRPr="00B00F0A">
        <w:rPr>
          <w:rFonts w:ascii="Arial" w:hAnsi="Arial" w:cs="Arial"/>
          <w:sz w:val="20"/>
        </w:rPr>
        <w:t>or</w:t>
      </w:r>
      <w:r w:rsidRPr="00B00F0A">
        <w:rPr>
          <w:rFonts w:ascii="Arial" w:hAnsi="Arial" w:cs="Arial"/>
          <w:spacing w:val="1"/>
          <w:sz w:val="20"/>
        </w:rPr>
        <w:t xml:space="preserve"> </w:t>
      </w:r>
      <w:r w:rsidRPr="00B00F0A">
        <w:rPr>
          <w:rFonts w:ascii="Arial" w:hAnsi="Arial" w:cs="Arial"/>
          <w:sz w:val="20"/>
        </w:rPr>
        <w:t>assessment</w:t>
      </w:r>
      <w:r w:rsidRPr="00B00F0A">
        <w:rPr>
          <w:rFonts w:ascii="Arial" w:hAnsi="Arial" w:cs="Arial"/>
          <w:spacing w:val="1"/>
          <w:sz w:val="20"/>
        </w:rPr>
        <w:t xml:space="preserve"> </w:t>
      </w:r>
      <w:r w:rsidRPr="00B00F0A">
        <w:rPr>
          <w:rFonts w:ascii="Arial" w:hAnsi="Arial" w:cs="Arial"/>
          <w:sz w:val="20"/>
        </w:rPr>
        <w:t>of</w:t>
      </w:r>
      <w:r w:rsidRPr="00B00F0A">
        <w:rPr>
          <w:rFonts w:ascii="Arial" w:hAnsi="Arial" w:cs="Arial"/>
          <w:spacing w:val="1"/>
          <w:sz w:val="20"/>
        </w:rPr>
        <w:t xml:space="preserve"> </w:t>
      </w:r>
      <w:r w:rsidRPr="00B00F0A">
        <w:rPr>
          <w:rFonts w:ascii="Arial" w:hAnsi="Arial" w:cs="Arial"/>
          <w:sz w:val="20"/>
        </w:rPr>
        <w:t>competence,</w:t>
      </w:r>
      <w:r w:rsidRPr="00B00F0A">
        <w:rPr>
          <w:rFonts w:ascii="Arial" w:hAnsi="Arial" w:cs="Arial"/>
          <w:spacing w:val="-10"/>
          <w:sz w:val="20"/>
        </w:rPr>
        <w:t xml:space="preserve"> </w:t>
      </w:r>
      <w:r w:rsidRPr="00B00F0A">
        <w:rPr>
          <w:rFonts w:ascii="Arial" w:hAnsi="Arial" w:cs="Arial"/>
          <w:sz w:val="20"/>
        </w:rPr>
        <w:t>and</w:t>
      </w:r>
      <w:r w:rsidRPr="00B00F0A">
        <w:rPr>
          <w:rFonts w:ascii="Arial" w:hAnsi="Arial" w:cs="Arial"/>
          <w:spacing w:val="-11"/>
          <w:sz w:val="20"/>
        </w:rPr>
        <w:t xml:space="preserve"> </w:t>
      </w:r>
      <w:r w:rsidRPr="00B00F0A">
        <w:rPr>
          <w:rFonts w:ascii="Arial" w:hAnsi="Arial" w:cs="Arial"/>
          <w:sz w:val="20"/>
        </w:rPr>
        <w:t>assessment</w:t>
      </w:r>
      <w:r w:rsidRPr="00B00F0A">
        <w:rPr>
          <w:rFonts w:ascii="Arial" w:hAnsi="Arial" w:cs="Arial"/>
          <w:spacing w:val="-9"/>
          <w:sz w:val="20"/>
        </w:rPr>
        <w:t xml:space="preserve"> </w:t>
      </w:r>
      <w:r w:rsidRPr="00B00F0A">
        <w:rPr>
          <w:rFonts w:ascii="Arial" w:hAnsi="Arial" w:cs="Arial"/>
          <w:sz w:val="20"/>
        </w:rPr>
        <w:t>of</w:t>
      </w:r>
      <w:r w:rsidRPr="00B00F0A">
        <w:rPr>
          <w:rFonts w:ascii="Arial" w:hAnsi="Arial" w:cs="Arial"/>
          <w:spacing w:val="-11"/>
          <w:sz w:val="20"/>
        </w:rPr>
        <w:t xml:space="preserve"> </w:t>
      </w:r>
      <w:r w:rsidRPr="00B00F0A">
        <w:rPr>
          <w:rFonts w:ascii="Arial" w:hAnsi="Arial" w:cs="Arial"/>
          <w:sz w:val="20"/>
        </w:rPr>
        <w:t>the</w:t>
      </w:r>
      <w:r w:rsidRPr="00B00F0A">
        <w:rPr>
          <w:rFonts w:ascii="Arial" w:hAnsi="Arial" w:cs="Arial"/>
          <w:spacing w:val="-10"/>
          <w:sz w:val="20"/>
        </w:rPr>
        <w:t xml:space="preserve"> </w:t>
      </w:r>
      <w:r w:rsidRPr="00B00F0A">
        <w:rPr>
          <w:rFonts w:ascii="Arial" w:hAnsi="Arial" w:cs="Arial"/>
          <w:sz w:val="20"/>
        </w:rPr>
        <w:t>person</w:t>
      </w:r>
      <w:r w:rsidRPr="00B00F0A">
        <w:rPr>
          <w:rFonts w:ascii="Arial" w:hAnsi="Arial" w:cs="Arial"/>
          <w:spacing w:val="-10"/>
          <w:sz w:val="20"/>
        </w:rPr>
        <w:t xml:space="preserve"> </w:t>
      </w:r>
      <w:r w:rsidRPr="00B00F0A">
        <w:rPr>
          <w:rFonts w:ascii="Arial" w:hAnsi="Arial" w:cs="Arial"/>
          <w:sz w:val="20"/>
        </w:rPr>
        <w:t>to</w:t>
      </w:r>
      <w:r w:rsidRPr="00B00F0A">
        <w:rPr>
          <w:rFonts w:ascii="Arial" w:hAnsi="Arial" w:cs="Arial"/>
          <w:spacing w:val="-9"/>
          <w:sz w:val="20"/>
        </w:rPr>
        <w:t xml:space="preserve"> </w:t>
      </w:r>
      <w:r w:rsidRPr="00B00F0A">
        <w:rPr>
          <w:rFonts w:ascii="Arial" w:hAnsi="Arial" w:cs="Arial"/>
          <w:sz w:val="20"/>
        </w:rPr>
        <w:t>whom</w:t>
      </w:r>
      <w:r w:rsidRPr="00B00F0A">
        <w:rPr>
          <w:rFonts w:ascii="Arial" w:hAnsi="Arial" w:cs="Arial"/>
          <w:spacing w:val="-9"/>
          <w:sz w:val="20"/>
        </w:rPr>
        <w:t xml:space="preserve"> </w:t>
      </w:r>
      <w:r w:rsidRPr="00B00F0A">
        <w:rPr>
          <w:rFonts w:ascii="Arial" w:hAnsi="Arial" w:cs="Arial"/>
          <w:sz w:val="20"/>
        </w:rPr>
        <w:t>the</w:t>
      </w:r>
      <w:r w:rsidRPr="00B00F0A">
        <w:rPr>
          <w:rFonts w:ascii="Arial" w:hAnsi="Arial" w:cs="Arial"/>
          <w:spacing w:val="-9"/>
          <w:sz w:val="20"/>
        </w:rPr>
        <w:t xml:space="preserve"> </w:t>
      </w:r>
      <w:r w:rsidRPr="00B00F0A">
        <w:rPr>
          <w:rFonts w:ascii="Arial" w:hAnsi="Arial" w:cs="Arial"/>
          <w:sz w:val="20"/>
        </w:rPr>
        <w:t>test,</w:t>
      </w:r>
      <w:r w:rsidRPr="00B00F0A">
        <w:rPr>
          <w:rFonts w:ascii="Arial" w:hAnsi="Arial" w:cs="Arial"/>
          <w:spacing w:val="-10"/>
          <w:sz w:val="20"/>
        </w:rPr>
        <w:t xml:space="preserve"> </w:t>
      </w:r>
      <w:r w:rsidRPr="00B00F0A">
        <w:rPr>
          <w:rFonts w:ascii="Arial" w:hAnsi="Arial" w:cs="Arial"/>
          <w:sz w:val="20"/>
        </w:rPr>
        <w:t>check</w:t>
      </w:r>
      <w:r w:rsidRPr="00B00F0A">
        <w:rPr>
          <w:rFonts w:ascii="Arial" w:hAnsi="Arial" w:cs="Arial"/>
          <w:spacing w:val="-12"/>
          <w:sz w:val="20"/>
        </w:rPr>
        <w:t xml:space="preserve"> </w:t>
      </w:r>
      <w:r w:rsidRPr="00B00F0A">
        <w:rPr>
          <w:rFonts w:ascii="Arial" w:hAnsi="Arial" w:cs="Arial"/>
          <w:sz w:val="20"/>
        </w:rPr>
        <w:t>or</w:t>
      </w:r>
      <w:r w:rsidRPr="00B00F0A">
        <w:rPr>
          <w:rFonts w:ascii="Arial" w:hAnsi="Arial" w:cs="Arial"/>
          <w:spacing w:val="-9"/>
          <w:sz w:val="20"/>
        </w:rPr>
        <w:t xml:space="preserve"> </w:t>
      </w:r>
      <w:r w:rsidRPr="00B00F0A">
        <w:rPr>
          <w:rFonts w:ascii="Arial" w:hAnsi="Arial" w:cs="Arial"/>
          <w:sz w:val="20"/>
        </w:rPr>
        <w:t>assessment</w:t>
      </w:r>
      <w:r w:rsidRPr="00B00F0A">
        <w:rPr>
          <w:rFonts w:ascii="Arial" w:hAnsi="Arial" w:cs="Arial"/>
          <w:spacing w:val="-10"/>
          <w:sz w:val="20"/>
        </w:rPr>
        <w:t xml:space="preserve"> </w:t>
      </w:r>
      <w:r w:rsidRPr="00B00F0A">
        <w:rPr>
          <w:rFonts w:ascii="Arial" w:hAnsi="Arial" w:cs="Arial"/>
          <w:sz w:val="20"/>
        </w:rPr>
        <w:t>is</w:t>
      </w:r>
      <w:r w:rsidRPr="00B00F0A">
        <w:rPr>
          <w:rFonts w:ascii="Arial" w:hAnsi="Arial" w:cs="Arial"/>
          <w:spacing w:val="-11"/>
          <w:sz w:val="20"/>
        </w:rPr>
        <w:t xml:space="preserve"> </w:t>
      </w:r>
      <w:r w:rsidRPr="00B00F0A">
        <w:rPr>
          <w:rFonts w:ascii="Arial" w:hAnsi="Arial" w:cs="Arial"/>
          <w:sz w:val="20"/>
        </w:rPr>
        <w:t>given,</w:t>
      </w:r>
      <w:r w:rsidRPr="00B00F0A">
        <w:rPr>
          <w:rFonts w:ascii="Arial" w:hAnsi="Arial" w:cs="Arial"/>
          <w:spacing w:val="-9"/>
          <w:sz w:val="20"/>
        </w:rPr>
        <w:t xml:space="preserve"> </w:t>
      </w:r>
      <w:r w:rsidRPr="00B00F0A">
        <w:rPr>
          <w:rFonts w:ascii="Arial" w:hAnsi="Arial" w:cs="Arial"/>
          <w:sz w:val="20"/>
        </w:rPr>
        <w:t>debriefing</w:t>
      </w:r>
      <w:r w:rsidRPr="00B00F0A">
        <w:rPr>
          <w:rFonts w:ascii="Arial" w:hAnsi="Arial" w:cs="Arial"/>
          <w:spacing w:val="-48"/>
          <w:sz w:val="20"/>
        </w:rPr>
        <w:t xml:space="preserve"> </w:t>
      </w:r>
      <w:r w:rsidRPr="00B00F0A">
        <w:rPr>
          <w:rFonts w:ascii="Arial" w:hAnsi="Arial" w:cs="Arial"/>
          <w:sz w:val="20"/>
        </w:rPr>
        <w:t>and</w:t>
      </w:r>
      <w:r w:rsidRPr="00B00F0A">
        <w:rPr>
          <w:rFonts w:ascii="Arial" w:hAnsi="Arial" w:cs="Arial"/>
          <w:spacing w:val="-1"/>
          <w:sz w:val="20"/>
        </w:rPr>
        <w:t xml:space="preserve"> </w:t>
      </w:r>
      <w:r w:rsidRPr="00B00F0A">
        <w:rPr>
          <w:rFonts w:ascii="Arial" w:hAnsi="Arial" w:cs="Arial"/>
          <w:sz w:val="20"/>
        </w:rPr>
        <w:t>recording</w:t>
      </w:r>
      <w:r w:rsidRPr="00B00F0A">
        <w:rPr>
          <w:rFonts w:ascii="Arial" w:hAnsi="Arial" w:cs="Arial"/>
          <w:spacing w:val="-1"/>
          <w:sz w:val="20"/>
        </w:rPr>
        <w:t xml:space="preserve"> </w:t>
      </w:r>
      <w:r w:rsidRPr="00B00F0A">
        <w:rPr>
          <w:rFonts w:ascii="Arial" w:hAnsi="Arial" w:cs="Arial"/>
          <w:sz w:val="20"/>
        </w:rPr>
        <w:t>documentation.</w:t>
      </w:r>
    </w:p>
    <w:p w14:paraId="64813BE5" w14:textId="77777777" w:rsidR="00F261A3" w:rsidRDefault="00F261A3" w:rsidP="00F261A3">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779" w:name="_Toc153137483"/>
      <w:r w:rsidRPr="00F261A3">
        <w:rPr>
          <w:rFonts w:ascii="Arial" w:eastAsia="Times New Roman" w:hAnsi="Arial" w:cs="Times New Roman"/>
          <w:b/>
          <w:color w:val="FFFFFF"/>
          <w:sz w:val="24"/>
        </w:rPr>
        <w:t>AMC1 BFCL.445 FE(B) certificate – Assessment of competence</w:t>
      </w:r>
      <w:bookmarkEnd w:id="779"/>
    </w:p>
    <w:p w14:paraId="4CE3B035" w14:textId="77777777" w:rsidR="00F261A3" w:rsidRPr="00F261A3" w:rsidRDefault="00F261A3" w:rsidP="00F261A3">
      <w:pPr>
        <w:pStyle w:val="ListParagraph"/>
        <w:numPr>
          <w:ilvl w:val="0"/>
          <w:numId w:val="281"/>
        </w:numPr>
        <w:tabs>
          <w:tab w:val="left" w:pos="706"/>
          <w:tab w:val="left" w:pos="707"/>
        </w:tabs>
        <w:spacing w:before="118"/>
        <w:jc w:val="both"/>
        <w:rPr>
          <w:rFonts w:ascii="Arial" w:hAnsi="Arial" w:cs="Arial"/>
          <w:sz w:val="20"/>
        </w:rPr>
      </w:pPr>
      <w:r w:rsidRPr="00F261A3">
        <w:rPr>
          <w:rFonts w:ascii="Arial" w:hAnsi="Arial" w:cs="Arial"/>
          <w:sz w:val="20"/>
        </w:rPr>
        <w:t>GENERAL</w:t>
      </w:r>
    </w:p>
    <w:p w14:paraId="55EBD04C" w14:textId="52DEC880" w:rsidR="00F261A3" w:rsidRPr="00F261A3" w:rsidRDefault="00F261A3" w:rsidP="00F261A3">
      <w:pPr>
        <w:pStyle w:val="BodyText"/>
        <w:ind w:left="706" w:right="196"/>
        <w:jc w:val="both"/>
        <w:rPr>
          <w:rFonts w:ascii="Arial" w:hAnsi="Arial" w:cs="Arial"/>
          <w:sz w:val="20"/>
        </w:rPr>
      </w:pPr>
      <w:r w:rsidRPr="00F261A3">
        <w:rPr>
          <w:rFonts w:ascii="Arial" w:hAnsi="Arial" w:cs="Arial"/>
          <w:sz w:val="20"/>
        </w:rPr>
        <w:t xml:space="preserve">The </w:t>
      </w:r>
      <w:r w:rsidR="003C6906">
        <w:rPr>
          <w:rFonts w:ascii="Arial" w:hAnsi="Arial" w:cs="Arial"/>
          <w:sz w:val="20"/>
          <w:szCs w:val="20"/>
        </w:rPr>
        <w:t xml:space="preserve">CAC RA </w:t>
      </w:r>
      <w:r w:rsidRPr="00F261A3">
        <w:rPr>
          <w:rFonts w:ascii="Arial" w:hAnsi="Arial" w:cs="Arial"/>
          <w:sz w:val="20"/>
        </w:rPr>
        <w:t>may nominate either one of its inspectors or a senior examiner to</w:t>
      </w:r>
      <w:r w:rsidRPr="00F261A3">
        <w:rPr>
          <w:rFonts w:ascii="Arial" w:hAnsi="Arial" w:cs="Arial"/>
          <w:spacing w:val="1"/>
          <w:sz w:val="20"/>
        </w:rPr>
        <w:t xml:space="preserve"> </w:t>
      </w:r>
      <w:r w:rsidRPr="00F261A3">
        <w:rPr>
          <w:rFonts w:ascii="Arial" w:hAnsi="Arial" w:cs="Arial"/>
          <w:sz w:val="20"/>
        </w:rPr>
        <w:t>assess</w:t>
      </w:r>
      <w:r w:rsidRPr="00F261A3">
        <w:rPr>
          <w:rFonts w:ascii="Arial" w:hAnsi="Arial" w:cs="Arial"/>
          <w:spacing w:val="-3"/>
          <w:sz w:val="20"/>
        </w:rPr>
        <w:t xml:space="preserve"> </w:t>
      </w:r>
      <w:r w:rsidRPr="00F261A3">
        <w:rPr>
          <w:rFonts w:ascii="Arial" w:hAnsi="Arial" w:cs="Arial"/>
          <w:sz w:val="20"/>
        </w:rPr>
        <w:t>the competence</w:t>
      </w:r>
      <w:r w:rsidRPr="00F261A3">
        <w:rPr>
          <w:rFonts w:ascii="Arial" w:hAnsi="Arial" w:cs="Arial"/>
          <w:spacing w:val="-2"/>
          <w:sz w:val="20"/>
        </w:rPr>
        <w:t xml:space="preserve"> </w:t>
      </w:r>
      <w:r w:rsidRPr="00F261A3">
        <w:rPr>
          <w:rFonts w:ascii="Arial" w:hAnsi="Arial" w:cs="Arial"/>
          <w:sz w:val="20"/>
        </w:rPr>
        <w:t>of</w:t>
      </w:r>
      <w:r w:rsidRPr="00F261A3">
        <w:rPr>
          <w:rFonts w:ascii="Arial" w:hAnsi="Arial" w:cs="Arial"/>
          <w:spacing w:val="-2"/>
          <w:sz w:val="20"/>
        </w:rPr>
        <w:t xml:space="preserve"> </w:t>
      </w:r>
      <w:r w:rsidRPr="00F261A3">
        <w:rPr>
          <w:rFonts w:ascii="Arial" w:hAnsi="Arial" w:cs="Arial"/>
          <w:sz w:val="20"/>
        </w:rPr>
        <w:t>applicants</w:t>
      </w:r>
      <w:r w:rsidRPr="00F261A3">
        <w:rPr>
          <w:rFonts w:ascii="Arial" w:hAnsi="Arial" w:cs="Arial"/>
          <w:spacing w:val="1"/>
          <w:sz w:val="20"/>
        </w:rPr>
        <w:t xml:space="preserve"> </w:t>
      </w:r>
      <w:r w:rsidRPr="00F261A3">
        <w:rPr>
          <w:rFonts w:ascii="Arial" w:hAnsi="Arial" w:cs="Arial"/>
          <w:sz w:val="20"/>
        </w:rPr>
        <w:t>for</w:t>
      </w:r>
      <w:r w:rsidRPr="00F261A3">
        <w:rPr>
          <w:rFonts w:ascii="Arial" w:hAnsi="Arial" w:cs="Arial"/>
          <w:spacing w:val="-3"/>
          <w:sz w:val="20"/>
        </w:rPr>
        <w:t xml:space="preserve"> </w:t>
      </w:r>
      <w:r w:rsidRPr="00F261A3">
        <w:rPr>
          <w:rFonts w:ascii="Arial" w:hAnsi="Arial" w:cs="Arial"/>
          <w:sz w:val="20"/>
        </w:rPr>
        <w:t>the</w:t>
      </w:r>
      <w:r w:rsidRPr="00F261A3">
        <w:rPr>
          <w:rFonts w:ascii="Arial" w:hAnsi="Arial" w:cs="Arial"/>
          <w:spacing w:val="1"/>
          <w:sz w:val="20"/>
        </w:rPr>
        <w:t xml:space="preserve"> </w:t>
      </w:r>
      <w:r w:rsidRPr="00F261A3">
        <w:rPr>
          <w:rFonts w:ascii="Arial" w:hAnsi="Arial" w:cs="Arial"/>
          <w:sz w:val="20"/>
        </w:rPr>
        <w:t>FE(B)</w:t>
      </w:r>
      <w:r w:rsidRPr="00F261A3">
        <w:rPr>
          <w:rFonts w:ascii="Arial" w:hAnsi="Arial" w:cs="Arial"/>
          <w:spacing w:val="-2"/>
          <w:sz w:val="20"/>
        </w:rPr>
        <w:t xml:space="preserve"> </w:t>
      </w:r>
      <w:r w:rsidRPr="00F261A3">
        <w:rPr>
          <w:rFonts w:ascii="Arial" w:hAnsi="Arial" w:cs="Arial"/>
          <w:sz w:val="20"/>
        </w:rPr>
        <w:t>certificate.</w:t>
      </w:r>
    </w:p>
    <w:p w14:paraId="52A2D4CA" w14:textId="77777777" w:rsidR="00F261A3" w:rsidRPr="00F261A3" w:rsidRDefault="00F261A3" w:rsidP="00F261A3">
      <w:pPr>
        <w:pStyle w:val="ListParagraph"/>
        <w:numPr>
          <w:ilvl w:val="0"/>
          <w:numId w:val="281"/>
        </w:numPr>
        <w:tabs>
          <w:tab w:val="left" w:pos="706"/>
          <w:tab w:val="left" w:pos="707"/>
        </w:tabs>
        <w:spacing w:before="121"/>
        <w:jc w:val="both"/>
        <w:rPr>
          <w:rFonts w:ascii="Arial" w:hAnsi="Arial" w:cs="Arial"/>
          <w:sz w:val="20"/>
        </w:rPr>
      </w:pPr>
      <w:r w:rsidRPr="00F261A3">
        <w:rPr>
          <w:rFonts w:ascii="Arial" w:hAnsi="Arial" w:cs="Arial"/>
          <w:sz w:val="20"/>
        </w:rPr>
        <w:t>DEFINITIONS</w:t>
      </w:r>
    </w:p>
    <w:p w14:paraId="4BCA39C6" w14:textId="4862D1AF" w:rsidR="00F261A3" w:rsidRPr="00F261A3" w:rsidRDefault="00F261A3" w:rsidP="00F261A3">
      <w:pPr>
        <w:pStyle w:val="ListParagraph"/>
        <w:numPr>
          <w:ilvl w:val="1"/>
          <w:numId w:val="281"/>
        </w:numPr>
        <w:tabs>
          <w:tab w:val="left" w:pos="1274"/>
        </w:tabs>
        <w:ind w:right="200"/>
        <w:jc w:val="both"/>
        <w:rPr>
          <w:rFonts w:ascii="Arial" w:hAnsi="Arial" w:cs="Arial"/>
          <w:sz w:val="20"/>
        </w:rPr>
      </w:pPr>
      <w:r w:rsidRPr="00F261A3">
        <w:rPr>
          <w:rFonts w:ascii="Arial" w:hAnsi="Arial" w:cs="Arial"/>
          <w:sz w:val="20"/>
        </w:rPr>
        <w:t xml:space="preserve">‘Inspector/senior examiner’: the inspector of the </w:t>
      </w:r>
      <w:r w:rsidR="003C6906">
        <w:rPr>
          <w:rFonts w:ascii="Arial" w:hAnsi="Arial" w:cs="Arial"/>
          <w:sz w:val="20"/>
          <w:szCs w:val="20"/>
        </w:rPr>
        <w:t xml:space="preserve">CAC RA </w:t>
      </w:r>
      <w:r w:rsidRPr="00F261A3">
        <w:rPr>
          <w:rFonts w:ascii="Arial" w:hAnsi="Arial" w:cs="Arial"/>
          <w:sz w:val="20"/>
        </w:rPr>
        <w:t>or the senior</w:t>
      </w:r>
      <w:r w:rsidRPr="00F261A3">
        <w:rPr>
          <w:rFonts w:ascii="Arial" w:hAnsi="Arial" w:cs="Arial"/>
          <w:spacing w:val="1"/>
          <w:sz w:val="20"/>
        </w:rPr>
        <w:t xml:space="preserve"> </w:t>
      </w:r>
      <w:r w:rsidRPr="00F261A3">
        <w:rPr>
          <w:rFonts w:ascii="Arial" w:hAnsi="Arial" w:cs="Arial"/>
          <w:sz w:val="20"/>
        </w:rPr>
        <w:t>examiner</w:t>
      </w:r>
      <w:r w:rsidRPr="00F261A3">
        <w:rPr>
          <w:rFonts w:ascii="Arial" w:hAnsi="Arial" w:cs="Arial"/>
          <w:spacing w:val="-3"/>
          <w:sz w:val="20"/>
        </w:rPr>
        <w:t xml:space="preserve"> </w:t>
      </w:r>
      <w:r w:rsidRPr="00F261A3">
        <w:rPr>
          <w:rFonts w:ascii="Arial" w:hAnsi="Arial" w:cs="Arial"/>
          <w:sz w:val="20"/>
        </w:rPr>
        <w:t>who</w:t>
      </w:r>
      <w:r w:rsidRPr="00F261A3">
        <w:rPr>
          <w:rFonts w:ascii="Arial" w:hAnsi="Arial" w:cs="Arial"/>
          <w:spacing w:val="1"/>
          <w:sz w:val="20"/>
        </w:rPr>
        <w:t xml:space="preserve"> </w:t>
      </w:r>
      <w:r w:rsidRPr="00F261A3">
        <w:rPr>
          <w:rFonts w:ascii="Arial" w:hAnsi="Arial" w:cs="Arial"/>
          <w:sz w:val="20"/>
        </w:rPr>
        <w:t>is</w:t>
      </w:r>
      <w:r w:rsidRPr="00F261A3">
        <w:rPr>
          <w:rFonts w:ascii="Arial" w:hAnsi="Arial" w:cs="Arial"/>
          <w:spacing w:val="-2"/>
          <w:sz w:val="20"/>
        </w:rPr>
        <w:t xml:space="preserve"> </w:t>
      </w:r>
      <w:r w:rsidRPr="00F261A3">
        <w:rPr>
          <w:rFonts w:ascii="Arial" w:hAnsi="Arial" w:cs="Arial"/>
          <w:sz w:val="20"/>
        </w:rPr>
        <w:t>conducting</w:t>
      </w:r>
      <w:r w:rsidRPr="00F261A3">
        <w:rPr>
          <w:rFonts w:ascii="Arial" w:hAnsi="Arial" w:cs="Arial"/>
          <w:spacing w:val="-2"/>
          <w:sz w:val="20"/>
        </w:rPr>
        <w:t xml:space="preserve"> </w:t>
      </w:r>
      <w:r w:rsidRPr="00F261A3">
        <w:rPr>
          <w:rFonts w:ascii="Arial" w:hAnsi="Arial" w:cs="Arial"/>
          <w:sz w:val="20"/>
        </w:rPr>
        <w:t>the examiner competence</w:t>
      </w:r>
      <w:r w:rsidRPr="00F261A3">
        <w:rPr>
          <w:rFonts w:ascii="Arial" w:hAnsi="Arial" w:cs="Arial"/>
          <w:spacing w:val="1"/>
          <w:sz w:val="20"/>
        </w:rPr>
        <w:t xml:space="preserve"> </w:t>
      </w:r>
      <w:r w:rsidRPr="00F261A3">
        <w:rPr>
          <w:rFonts w:ascii="Arial" w:hAnsi="Arial" w:cs="Arial"/>
          <w:sz w:val="20"/>
        </w:rPr>
        <w:t>assessment.</w:t>
      </w:r>
    </w:p>
    <w:p w14:paraId="28174C74" w14:textId="77777777" w:rsidR="00F261A3" w:rsidRPr="00F261A3" w:rsidRDefault="00F261A3" w:rsidP="00F261A3">
      <w:pPr>
        <w:pStyle w:val="ListParagraph"/>
        <w:numPr>
          <w:ilvl w:val="1"/>
          <w:numId w:val="281"/>
        </w:numPr>
        <w:tabs>
          <w:tab w:val="left" w:pos="1274"/>
        </w:tabs>
        <w:ind w:hanging="568"/>
        <w:jc w:val="both"/>
        <w:rPr>
          <w:rFonts w:ascii="Arial" w:hAnsi="Arial" w:cs="Arial"/>
          <w:sz w:val="20"/>
        </w:rPr>
      </w:pPr>
      <w:r w:rsidRPr="00F261A3">
        <w:rPr>
          <w:rFonts w:ascii="Arial" w:hAnsi="Arial" w:cs="Arial"/>
          <w:sz w:val="20"/>
        </w:rPr>
        <w:t>‘Examiner</w:t>
      </w:r>
      <w:r w:rsidRPr="00F261A3">
        <w:rPr>
          <w:rFonts w:ascii="Arial" w:hAnsi="Arial" w:cs="Arial"/>
          <w:spacing w:val="-1"/>
          <w:sz w:val="20"/>
        </w:rPr>
        <w:t xml:space="preserve"> </w:t>
      </w:r>
      <w:r w:rsidRPr="00F261A3">
        <w:rPr>
          <w:rFonts w:ascii="Arial" w:hAnsi="Arial" w:cs="Arial"/>
          <w:sz w:val="20"/>
        </w:rPr>
        <w:t>applicant’:</w:t>
      </w:r>
      <w:r w:rsidRPr="00F261A3">
        <w:rPr>
          <w:rFonts w:ascii="Arial" w:hAnsi="Arial" w:cs="Arial"/>
          <w:spacing w:val="-1"/>
          <w:sz w:val="20"/>
        </w:rPr>
        <w:t xml:space="preserve"> </w:t>
      </w:r>
      <w:r w:rsidRPr="00F261A3">
        <w:rPr>
          <w:rFonts w:ascii="Arial" w:hAnsi="Arial" w:cs="Arial"/>
          <w:sz w:val="20"/>
        </w:rPr>
        <w:t>the person</w:t>
      </w:r>
      <w:r w:rsidRPr="00F261A3">
        <w:rPr>
          <w:rFonts w:ascii="Arial" w:hAnsi="Arial" w:cs="Arial"/>
          <w:spacing w:val="-2"/>
          <w:sz w:val="20"/>
        </w:rPr>
        <w:t xml:space="preserve"> </w:t>
      </w:r>
      <w:r w:rsidRPr="00F261A3">
        <w:rPr>
          <w:rFonts w:ascii="Arial" w:hAnsi="Arial" w:cs="Arial"/>
          <w:sz w:val="20"/>
        </w:rPr>
        <w:t>seeking</w:t>
      </w:r>
      <w:r w:rsidRPr="00F261A3">
        <w:rPr>
          <w:rFonts w:ascii="Arial" w:hAnsi="Arial" w:cs="Arial"/>
          <w:spacing w:val="-2"/>
          <w:sz w:val="20"/>
        </w:rPr>
        <w:t xml:space="preserve"> </w:t>
      </w:r>
      <w:r w:rsidRPr="00F261A3">
        <w:rPr>
          <w:rFonts w:ascii="Arial" w:hAnsi="Arial" w:cs="Arial"/>
          <w:sz w:val="20"/>
        </w:rPr>
        <w:t>certification</w:t>
      </w:r>
      <w:r w:rsidRPr="00F261A3">
        <w:rPr>
          <w:rFonts w:ascii="Arial" w:hAnsi="Arial" w:cs="Arial"/>
          <w:spacing w:val="-4"/>
          <w:sz w:val="20"/>
        </w:rPr>
        <w:t xml:space="preserve"> </w:t>
      </w:r>
      <w:r w:rsidRPr="00F261A3">
        <w:rPr>
          <w:rFonts w:ascii="Arial" w:hAnsi="Arial" w:cs="Arial"/>
          <w:sz w:val="20"/>
        </w:rPr>
        <w:t>as</w:t>
      </w:r>
      <w:r w:rsidRPr="00F261A3">
        <w:rPr>
          <w:rFonts w:ascii="Arial" w:hAnsi="Arial" w:cs="Arial"/>
          <w:spacing w:val="-1"/>
          <w:sz w:val="20"/>
        </w:rPr>
        <w:t xml:space="preserve"> </w:t>
      </w:r>
      <w:r w:rsidRPr="00F261A3">
        <w:rPr>
          <w:rFonts w:ascii="Arial" w:hAnsi="Arial" w:cs="Arial"/>
          <w:sz w:val="20"/>
        </w:rPr>
        <w:t>an</w:t>
      </w:r>
      <w:r w:rsidRPr="00F261A3">
        <w:rPr>
          <w:rFonts w:ascii="Arial" w:hAnsi="Arial" w:cs="Arial"/>
          <w:spacing w:val="-1"/>
          <w:sz w:val="20"/>
        </w:rPr>
        <w:t xml:space="preserve"> </w:t>
      </w:r>
      <w:r w:rsidRPr="00F261A3">
        <w:rPr>
          <w:rFonts w:ascii="Arial" w:hAnsi="Arial" w:cs="Arial"/>
          <w:sz w:val="20"/>
        </w:rPr>
        <w:t>examiner.</w:t>
      </w:r>
    </w:p>
    <w:p w14:paraId="20DCCAB8" w14:textId="2F74DF71" w:rsidR="00F261A3" w:rsidRPr="00F261A3" w:rsidRDefault="00F261A3" w:rsidP="00F261A3">
      <w:pPr>
        <w:pStyle w:val="ListParagraph"/>
        <w:numPr>
          <w:ilvl w:val="1"/>
          <w:numId w:val="281"/>
        </w:numPr>
        <w:tabs>
          <w:tab w:val="left" w:pos="1274"/>
        </w:tabs>
        <w:spacing w:before="118"/>
        <w:ind w:right="195"/>
        <w:jc w:val="both"/>
        <w:rPr>
          <w:rFonts w:ascii="Arial" w:hAnsi="Arial" w:cs="Arial"/>
          <w:sz w:val="20"/>
        </w:rPr>
      </w:pPr>
      <w:r w:rsidRPr="00F261A3">
        <w:rPr>
          <w:rFonts w:ascii="Arial" w:hAnsi="Arial" w:cs="Arial"/>
          <w:sz w:val="20"/>
        </w:rPr>
        <w:t>‘Candidate’: the person being tested or checked by the examiner applicant. This person</w:t>
      </w:r>
      <w:r w:rsidRPr="00F261A3">
        <w:rPr>
          <w:rFonts w:ascii="Arial" w:hAnsi="Arial" w:cs="Arial"/>
          <w:spacing w:val="1"/>
          <w:sz w:val="20"/>
        </w:rPr>
        <w:t xml:space="preserve"> </w:t>
      </w:r>
      <w:r w:rsidRPr="00F261A3">
        <w:rPr>
          <w:rFonts w:ascii="Arial" w:hAnsi="Arial" w:cs="Arial"/>
          <w:sz w:val="20"/>
        </w:rPr>
        <w:t>may be a pilot for whom the test or check would be required, or the inspector of the</w:t>
      </w:r>
      <w:r w:rsidRPr="00F261A3">
        <w:rPr>
          <w:rFonts w:ascii="Arial" w:hAnsi="Arial" w:cs="Arial"/>
          <w:spacing w:val="1"/>
          <w:sz w:val="20"/>
        </w:rPr>
        <w:t xml:space="preserve"> </w:t>
      </w:r>
      <w:r w:rsidR="003C6906">
        <w:rPr>
          <w:rFonts w:ascii="Arial" w:hAnsi="Arial" w:cs="Arial"/>
          <w:sz w:val="20"/>
          <w:szCs w:val="20"/>
        </w:rPr>
        <w:t xml:space="preserve">CAC RA </w:t>
      </w:r>
      <w:r w:rsidRPr="00F261A3">
        <w:rPr>
          <w:rFonts w:ascii="Arial" w:hAnsi="Arial" w:cs="Arial"/>
          <w:sz w:val="20"/>
        </w:rPr>
        <w:t>or</w:t>
      </w:r>
      <w:r w:rsidRPr="00F261A3">
        <w:rPr>
          <w:rFonts w:ascii="Arial" w:hAnsi="Arial" w:cs="Arial"/>
          <w:spacing w:val="-10"/>
          <w:sz w:val="20"/>
        </w:rPr>
        <w:t xml:space="preserve"> </w:t>
      </w:r>
      <w:r w:rsidRPr="00F261A3">
        <w:rPr>
          <w:rFonts w:ascii="Arial" w:hAnsi="Arial" w:cs="Arial"/>
          <w:sz w:val="20"/>
        </w:rPr>
        <w:t>the</w:t>
      </w:r>
      <w:r w:rsidRPr="00F261A3">
        <w:rPr>
          <w:rFonts w:ascii="Arial" w:hAnsi="Arial" w:cs="Arial"/>
          <w:spacing w:val="-10"/>
          <w:sz w:val="20"/>
        </w:rPr>
        <w:t xml:space="preserve"> </w:t>
      </w:r>
      <w:r w:rsidRPr="00F261A3">
        <w:rPr>
          <w:rFonts w:ascii="Arial" w:hAnsi="Arial" w:cs="Arial"/>
          <w:sz w:val="20"/>
        </w:rPr>
        <w:t>senior</w:t>
      </w:r>
      <w:r w:rsidRPr="00F261A3">
        <w:rPr>
          <w:rFonts w:ascii="Arial" w:hAnsi="Arial" w:cs="Arial"/>
          <w:spacing w:val="-9"/>
          <w:sz w:val="20"/>
        </w:rPr>
        <w:t xml:space="preserve"> </w:t>
      </w:r>
      <w:r w:rsidRPr="00F261A3">
        <w:rPr>
          <w:rFonts w:ascii="Arial" w:hAnsi="Arial" w:cs="Arial"/>
          <w:sz w:val="20"/>
        </w:rPr>
        <w:t>examiner</w:t>
      </w:r>
      <w:r w:rsidRPr="00F261A3">
        <w:rPr>
          <w:rFonts w:ascii="Arial" w:hAnsi="Arial" w:cs="Arial"/>
          <w:spacing w:val="-10"/>
          <w:sz w:val="20"/>
        </w:rPr>
        <w:t xml:space="preserve"> </w:t>
      </w:r>
      <w:r w:rsidRPr="00F261A3">
        <w:rPr>
          <w:rFonts w:ascii="Arial" w:hAnsi="Arial" w:cs="Arial"/>
          <w:sz w:val="20"/>
        </w:rPr>
        <w:t>who</w:t>
      </w:r>
      <w:r w:rsidRPr="00F261A3">
        <w:rPr>
          <w:rFonts w:ascii="Arial" w:hAnsi="Arial" w:cs="Arial"/>
          <w:spacing w:val="-8"/>
          <w:sz w:val="20"/>
        </w:rPr>
        <w:t xml:space="preserve"> </w:t>
      </w:r>
      <w:r w:rsidRPr="00F261A3">
        <w:rPr>
          <w:rFonts w:ascii="Arial" w:hAnsi="Arial" w:cs="Arial"/>
          <w:sz w:val="20"/>
        </w:rPr>
        <w:t>is</w:t>
      </w:r>
      <w:r w:rsidRPr="00F261A3">
        <w:rPr>
          <w:rFonts w:ascii="Arial" w:hAnsi="Arial" w:cs="Arial"/>
          <w:spacing w:val="-8"/>
          <w:sz w:val="20"/>
        </w:rPr>
        <w:t xml:space="preserve"> </w:t>
      </w:r>
      <w:r w:rsidRPr="00F261A3">
        <w:rPr>
          <w:rFonts w:ascii="Arial" w:hAnsi="Arial" w:cs="Arial"/>
          <w:sz w:val="20"/>
        </w:rPr>
        <w:t>conducting</w:t>
      </w:r>
      <w:r w:rsidRPr="00F261A3">
        <w:rPr>
          <w:rFonts w:ascii="Arial" w:hAnsi="Arial" w:cs="Arial"/>
          <w:spacing w:val="-8"/>
          <w:sz w:val="20"/>
        </w:rPr>
        <w:t xml:space="preserve"> </w:t>
      </w:r>
      <w:r w:rsidRPr="00F261A3">
        <w:rPr>
          <w:rFonts w:ascii="Arial" w:hAnsi="Arial" w:cs="Arial"/>
          <w:sz w:val="20"/>
        </w:rPr>
        <w:t>the</w:t>
      </w:r>
      <w:r w:rsidRPr="00F261A3">
        <w:rPr>
          <w:rFonts w:ascii="Arial" w:hAnsi="Arial" w:cs="Arial"/>
          <w:spacing w:val="-8"/>
          <w:sz w:val="20"/>
        </w:rPr>
        <w:t xml:space="preserve"> </w:t>
      </w:r>
      <w:r w:rsidRPr="00F261A3">
        <w:rPr>
          <w:rFonts w:ascii="Arial" w:hAnsi="Arial" w:cs="Arial"/>
          <w:sz w:val="20"/>
        </w:rPr>
        <w:t>examiner</w:t>
      </w:r>
      <w:r w:rsidRPr="00F261A3">
        <w:rPr>
          <w:rFonts w:ascii="Arial" w:hAnsi="Arial" w:cs="Arial"/>
          <w:spacing w:val="-7"/>
          <w:sz w:val="20"/>
        </w:rPr>
        <w:t xml:space="preserve"> </w:t>
      </w:r>
      <w:r w:rsidRPr="00F261A3">
        <w:rPr>
          <w:rFonts w:ascii="Arial" w:hAnsi="Arial" w:cs="Arial"/>
          <w:sz w:val="20"/>
        </w:rPr>
        <w:t>certification</w:t>
      </w:r>
      <w:r w:rsidRPr="00F261A3">
        <w:rPr>
          <w:rFonts w:ascii="Arial" w:hAnsi="Arial" w:cs="Arial"/>
          <w:spacing w:val="-47"/>
          <w:sz w:val="20"/>
        </w:rPr>
        <w:t xml:space="preserve"> </w:t>
      </w:r>
      <w:r w:rsidRPr="00F261A3">
        <w:rPr>
          <w:rFonts w:ascii="Arial" w:hAnsi="Arial" w:cs="Arial"/>
          <w:sz w:val="20"/>
        </w:rPr>
        <w:t>acceptance</w:t>
      </w:r>
      <w:r w:rsidRPr="00F261A3">
        <w:rPr>
          <w:rFonts w:ascii="Arial" w:hAnsi="Arial" w:cs="Arial"/>
          <w:spacing w:val="1"/>
          <w:sz w:val="20"/>
        </w:rPr>
        <w:t xml:space="preserve"> </w:t>
      </w:r>
      <w:r w:rsidRPr="00F261A3">
        <w:rPr>
          <w:rFonts w:ascii="Arial" w:hAnsi="Arial" w:cs="Arial"/>
          <w:sz w:val="20"/>
        </w:rPr>
        <w:t>test.</w:t>
      </w:r>
    </w:p>
    <w:p w14:paraId="5159C0BF" w14:textId="77777777" w:rsidR="00F261A3" w:rsidRPr="00F261A3" w:rsidRDefault="00F261A3" w:rsidP="00F261A3">
      <w:pPr>
        <w:pStyle w:val="ListParagraph"/>
        <w:numPr>
          <w:ilvl w:val="0"/>
          <w:numId w:val="281"/>
        </w:numPr>
        <w:tabs>
          <w:tab w:val="left" w:pos="706"/>
          <w:tab w:val="left" w:pos="707"/>
        </w:tabs>
        <w:spacing w:before="122"/>
        <w:jc w:val="both"/>
        <w:rPr>
          <w:rFonts w:ascii="Arial" w:hAnsi="Arial" w:cs="Arial"/>
          <w:sz w:val="20"/>
        </w:rPr>
      </w:pPr>
      <w:r w:rsidRPr="00F261A3">
        <w:rPr>
          <w:rFonts w:ascii="Arial" w:hAnsi="Arial" w:cs="Arial"/>
          <w:sz w:val="20"/>
        </w:rPr>
        <w:t>CONDUCT</w:t>
      </w:r>
      <w:r w:rsidRPr="00F261A3">
        <w:rPr>
          <w:rFonts w:ascii="Arial" w:hAnsi="Arial" w:cs="Arial"/>
          <w:spacing w:val="-3"/>
          <w:sz w:val="20"/>
        </w:rPr>
        <w:t xml:space="preserve"> </w:t>
      </w:r>
      <w:r w:rsidRPr="00F261A3">
        <w:rPr>
          <w:rFonts w:ascii="Arial" w:hAnsi="Arial" w:cs="Arial"/>
          <w:sz w:val="20"/>
        </w:rPr>
        <w:t>OF</w:t>
      </w:r>
      <w:r w:rsidRPr="00F261A3">
        <w:rPr>
          <w:rFonts w:ascii="Arial" w:hAnsi="Arial" w:cs="Arial"/>
          <w:spacing w:val="-4"/>
          <w:sz w:val="20"/>
        </w:rPr>
        <w:t xml:space="preserve"> </w:t>
      </w:r>
      <w:r w:rsidRPr="00F261A3">
        <w:rPr>
          <w:rFonts w:ascii="Arial" w:hAnsi="Arial" w:cs="Arial"/>
          <w:sz w:val="20"/>
        </w:rPr>
        <w:t>THE</w:t>
      </w:r>
      <w:r w:rsidRPr="00F261A3">
        <w:rPr>
          <w:rFonts w:ascii="Arial" w:hAnsi="Arial" w:cs="Arial"/>
          <w:spacing w:val="-1"/>
          <w:sz w:val="20"/>
        </w:rPr>
        <w:t xml:space="preserve"> </w:t>
      </w:r>
      <w:r w:rsidRPr="00F261A3">
        <w:rPr>
          <w:rFonts w:ascii="Arial" w:hAnsi="Arial" w:cs="Arial"/>
          <w:sz w:val="20"/>
        </w:rPr>
        <w:t>ASSESSMENT</w:t>
      </w:r>
    </w:p>
    <w:p w14:paraId="7B44394C" w14:textId="77777777" w:rsidR="00F261A3" w:rsidRPr="00F261A3" w:rsidRDefault="00F261A3" w:rsidP="00F261A3">
      <w:pPr>
        <w:pStyle w:val="BodyText"/>
        <w:ind w:left="706" w:right="192"/>
        <w:jc w:val="both"/>
        <w:rPr>
          <w:rFonts w:ascii="Arial" w:hAnsi="Arial" w:cs="Arial"/>
          <w:sz w:val="20"/>
        </w:rPr>
      </w:pPr>
      <w:r w:rsidRPr="00F261A3">
        <w:rPr>
          <w:rFonts w:ascii="Arial" w:hAnsi="Arial" w:cs="Arial"/>
          <w:sz w:val="20"/>
        </w:rPr>
        <w:t>An inspector/senior examiner will observe all examiner applicants conducting a test on a</w:t>
      </w:r>
      <w:r w:rsidRPr="00F261A3">
        <w:rPr>
          <w:rFonts w:ascii="Arial" w:hAnsi="Arial" w:cs="Arial"/>
          <w:spacing w:val="1"/>
          <w:sz w:val="20"/>
        </w:rPr>
        <w:t xml:space="preserve"> </w:t>
      </w:r>
      <w:r w:rsidRPr="00F261A3">
        <w:rPr>
          <w:rFonts w:ascii="Arial" w:hAnsi="Arial" w:cs="Arial"/>
          <w:sz w:val="20"/>
        </w:rPr>
        <w:t>‘candidate’</w:t>
      </w:r>
      <w:r w:rsidRPr="00F261A3">
        <w:rPr>
          <w:rFonts w:ascii="Arial" w:hAnsi="Arial" w:cs="Arial"/>
          <w:spacing w:val="-5"/>
          <w:sz w:val="20"/>
        </w:rPr>
        <w:t xml:space="preserve"> </w:t>
      </w:r>
      <w:r w:rsidRPr="00F261A3">
        <w:rPr>
          <w:rFonts w:ascii="Arial" w:hAnsi="Arial" w:cs="Arial"/>
          <w:sz w:val="20"/>
        </w:rPr>
        <w:t>in</w:t>
      </w:r>
      <w:r w:rsidRPr="00F261A3">
        <w:rPr>
          <w:rFonts w:ascii="Arial" w:hAnsi="Arial" w:cs="Arial"/>
          <w:spacing w:val="-9"/>
          <w:sz w:val="20"/>
        </w:rPr>
        <w:t xml:space="preserve"> </w:t>
      </w:r>
      <w:r w:rsidRPr="00F261A3">
        <w:rPr>
          <w:rFonts w:ascii="Arial" w:hAnsi="Arial" w:cs="Arial"/>
          <w:sz w:val="20"/>
        </w:rPr>
        <w:t>a</w:t>
      </w:r>
      <w:r w:rsidRPr="00F261A3">
        <w:rPr>
          <w:rFonts w:ascii="Arial" w:hAnsi="Arial" w:cs="Arial"/>
          <w:spacing w:val="-5"/>
          <w:sz w:val="20"/>
        </w:rPr>
        <w:t xml:space="preserve"> </w:t>
      </w:r>
      <w:r w:rsidRPr="00F261A3">
        <w:rPr>
          <w:rFonts w:ascii="Arial" w:hAnsi="Arial" w:cs="Arial"/>
          <w:sz w:val="20"/>
        </w:rPr>
        <w:t>balloon</w:t>
      </w:r>
      <w:r w:rsidRPr="00F261A3">
        <w:rPr>
          <w:rFonts w:ascii="Arial" w:hAnsi="Arial" w:cs="Arial"/>
          <w:spacing w:val="-9"/>
          <w:sz w:val="20"/>
        </w:rPr>
        <w:t xml:space="preserve"> </w:t>
      </w:r>
      <w:r w:rsidRPr="00F261A3">
        <w:rPr>
          <w:rFonts w:ascii="Arial" w:hAnsi="Arial" w:cs="Arial"/>
          <w:sz w:val="20"/>
        </w:rPr>
        <w:t>for</w:t>
      </w:r>
      <w:r w:rsidRPr="00F261A3">
        <w:rPr>
          <w:rFonts w:ascii="Arial" w:hAnsi="Arial" w:cs="Arial"/>
          <w:spacing w:val="-10"/>
          <w:sz w:val="20"/>
        </w:rPr>
        <w:t xml:space="preserve"> </w:t>
      </w:r>
      <w:r w:rsidRPr="00F261A3">
        <w:rPr>
          <w:rFonts w:ascii="Arial" w:hAnsi="Arial" w:cs="Arial"/>
          <w:sz w:val="20"/>
        </w:rPr>
        <w:t>which</w:t>
      </w:r>
      <w:r w:rsidRPr="00F261A3">
        <w:rPr>
          <w:rFonts w:ascii="Arial" w:hAnsi="Arial" w:cs="Arial"/>
          <w:spacing w:val="-5"/>
          <w:sz w:val="20"/>
        </w:rPr>
        <w:t xml:space="preserve"> </w:t>
      </w:r>
      <w:r w:rsidRPr="00F261A3">
        <w:rPr>
          <w:rFonts w:ascii="Arial" w:hAnsi="Arial" w:cs="Arial"/>
          <w:sz w:val="20"/>
        </w:rPr>
        <w:t>examiner</w:t>
      </w:r>
      <w:r w:rsidRPr="00F261A3">
        <w:rPr>
          <w:rFonts w:ascii="Arial" w:hAnsi="Arial" w:cs="Arial"/>
          <w:spacing w:val="-5"/>
          <w:sz w:val="20"/>
        </w:rPr>
        <w:t xml:space="preserve"> </w:t>
      </w:r>
      <w:r w:rsidRPr="00F261A3">
        <w:rPr>
          <w:rFonts w:ascii="Arial" w:hAnsi="Arial" w:cs="Arial"/>
          <w:sz w:val="20"/>
        </w:rPr>
        <w:t>certificate</w:t>
      </w:r>
      <w:r w:rsidRPr="00F261A3">
        <w:rPr>
          <w:rFonts w:ascii="Arial" w:hAnsi="Arial" w:cs="Arial"/>
          <w:spacing w:val="-7"/>
          <w:sz w:val="20"/>
        </w:rPr>
        <w:t xml:space="preserve"> </w:t>
      </w:r>
      <w:r w:rsidRPr="00F261A3">
        <w:rPr>
          <w:rFonts w:ascii="Arial" w:hAnsi="Arial" w:cs="Arial"/>
          <w:sz w:val="20"/>
        </w:rPr>
        <w:t>is</w:t>
      </w:r>
      <w:r w:rsidRPr="00F261A3">
        <w:rPr>
          <w:rFonts w:ascii="Arial" w:hAnsi="Arial" w:cs="Arial"/>
          <w:spacing w:val="-5"/>
          <w:sz w:val="20"/>
        </w:rPr>
        <w:t xml:space="preserve"> </w:t>
      </w:r>
      <w:r w:rsidRPr="00F261A3">
        <w:rPr>
          <w:rFonts w:ascii="Arial" w:hAnsi="Arial" w:cs="Arial"/>
          <w:sz w:val="20"/>
        </w:rPr>
        <w:t>sought.</w:t>
      </w:r>
      <w:r w:rsidRPr="00F261A3">
        <w:rPr>
          <w:rFonts w:ascii="Arial" w:hAnsi="Arial" w:cs="Arial"/>
          <w:spacing w:val="-8"/>
          <w:sz w:val="20"/>
        </w:rPr>
        <w:t xml:space="preserve"> </w:t>
      </w:r>
      <w:r w:rsidRPr="00F261A3">
        <w:rPr>
          <w:rFonts w:ascii="Arial" w:hAnsi="Arial" w:cs="Arial"/>
          <w:sz w:val="20"/>
        </w:rPr>
        <w:t>Items</w:t>
      </w:r>
      <w:r w:rsidRPr="00F261A3">
        <w:rPr>
          <w:rFonts w:ascii="Arial" w:hAnsi="Arial" w:cs="Arial"/>
          <w:spacing w:val="-7"/>
          <w:sz w:val="20"/>
        </w:rPr>
        <w:t xml:space="preserve"> </w:t>
      </w:r>
      <w:r w:rsidRPr="00F261A3">
        <w:rPr>
          <w:rFonts w:ascii="Arial" w:hAnsi="Arial" w:cs="Arial"/>
          <w:sz w:val="20"/>
        </w:rPr>
        <w:t>from</w:t>
      </w:r>
      <w:r w:rsidRPr="00F261A3">
        <w:rPr>
          <w:rFonts w:ascii="Arial" w:hAnsi="Arial" w:cs="Arial"/>
          <w:spacing w:val="-7"/>
          <w:sz w:val="20"/>
        </w:rPr>
        <w:t xml:space="preserve"> </w:t>
      </w:r>
      <w:r w:rsidRPr="00F261A3">
        <w:rPr>
          <w:rFonts w:ascii="Arial" w:hAnsi="Arial" w:cs="Arial"/>
          <w:sz w:val="20"/>
        </w:rPr>
        <w:t>the</w:t>
      </w:r>
      <w:r w:rsidRPr="00F261A3">
        <w:rPr>
          <w:rFonts w:ascii="Arial" w:hAnsi="Arial" w:cs="Arial"/>
          <w:spacing w:val="-7"/>
          <w:sz w:val="20"/>
        </w:rPr>
        <w:t xml:space="preserve"> </w:t>
      </w:r>
      <w:r w:rsidRPr="00F261A3">
        <w:rPr>
          <w:rFonts w:ascii="Arial" w:hAnsi="Arial" w:cs="Arial"/>
          <w:sz w:val="20"/>
        </w:rPr>
        <w:t>related</w:t>
      </w:r>
      <w:r w:rsidRPr="00F261A3">
        <w:rPr>
          <w:rFonts w:ascii="Arial" w:hAnsi="Arial" w:cs="Arial"/>
          <w:spacing w:val="-6"/>
          <w:sz w:val="20"/>
        </w:rPr>
        <w:t xml:space="preserve"> </w:t>
      </w:r>
      <w:r w:rsidRPr="00F261A3">
        <w:rPr>
          <w:rFonts w:ascii="Arial" w:hAnsi="Arial" w:cs="Arial"/>
          <w:sz w:val="20"/>
        </w:rPr>
        <w:t>training</w:t>
      </w:r>
      <w:r w:rsidRPr="00F261A3">
        <w:rPr>
          <w:rFonts w:ascii="Arial" w:hAnsi="Arial" w:cs="Arial"/>
          <w:spacing w:val="-47"/>
          <w:sz w:val="20"/>
        </w:rPr>
        <w:t xml:space="preserve"> </w:t>
      </w:r>
      <w:r w:rsidRPr="00F261A3">
        <w:rPr>
          <w:rFonts w:ascii="Arial" w:hAnsi="Arial" w:cs="Arial"/>
          <w:sz w:val="20"/>
        </w:rPr>
        <w:t>course</w:t>
      </w:r>
      <w:r w:rsidRPr="00F261A3">
        <w:rPr>
          <w:rFonts w:ascii="Arial" w:hAnsi="Arial" w:cs="Arial"/>
          <w:spacing w:val="1"/>
          <w:sz w:val="20"/>
        </w:rPr>
        <w:t xml:space="preserve"> </w:t>
      </w:r>
      <w:r w:rsidRPr="00F261A3">
        <w:rPr>
          <w:rFonts w:ascii="Arial" w:hAnsi="Arial" w:cs="Arial"/>
          <w:sz w:val="20"/>
        </w:rPr>
        <w:t>and</w:t>
      </w:r>
      <w:r w:rsidRPr="00F261A3">
        <w:rPr>
          <w:rFonts w:ascii="Arial" w:hAnsi="Arial" w:cs="Arial"/>
          <w:spacing w:val="1"/>
          <w:sz w:val="20"/>
        </w:rPr>
        <w:t xml:space="preserve"> </w:t>
      </w:r>
      <w:r w:rsidRPr="00F261A3">
        <w:rPr>
          <w:rFonts w:ascii="Arial" w:hAnsi="Arial" w:cs="Arial"/>
          <w:sz w:val="20"/>
        </w:rPr>
        <w:t>test</w:t>
      </w:r>
      <w:r w:rsidRPr="00F261A3">
        <w:rPr>
          <w:rFonts w:ascii="Arial" w:hAnsi="Arial" w:cs="Arial"/>
          <w:spacing w:val="1"/>
          <w:sz w:val="20"/>
        </w:rPr>
        <w:t xml:space="preserve"> </w:t>
      </w:r>
      <w:r w:rsidRPr="00F261A3">
        <w:rPr>
          <w:rFonts w:ascii="Arial" w:hAnsi="Arial" w:cs="Arial"/>
          <w:sz w:val="20"/>
        </w:rPr>
        <w:t>or</w:t>
      </w:r>
      <w:r w:rsidRPr="00F261A3">
        <w:rPr>
          <w:rFonts w:ascii="Arial" w:hAnsi="Arial" w:cs="Arial"/>
          <w:spacing w:val="1"/>
          <w:sz w:val="20"/>
        </w:rPr>
        <w:t xml:space="preserve"> </w:t>
      </w:r>
      <w:r w:rsidRPr="00F261A3">
        <w:rPr>
          <w:rFonts w:ascii="Arial" w:hAnsi="Arial" w:cs="Arial"/>
          <w:sz w:val="20"/>
        </w:rPr>
        <w:t>check</w:t>
      </w:r>
      <w:r w:rsidRPr="00F261A3">
        <w:rPr>
          <w:rFonts w:ascii="Arial" w:hAnsi="Arial" w:cs="Arial"/>
          <w:spacing w:val="1"/>
          <w:sz w:val="20"/>
        </w:rPr>
        <w:t xml:space="preserve"> </w:t>
      </w:r>
      <w:r w:rsidRPr="00F261A3">
        <w:rPr>
          <w:rFonts w:ascii="Arial" w:hAnsi="Arial" w:cs="Arial"/>
          <w:sz w:val="20"/>
        </w:rPr>
        <w:t>schedule</w:t>
      </w:r>
      <w:r w:rsidRPr="00F261A3">
        <w:rPr>
          <w:rFonts w:ascii="Arial" w:hAnsi="Arial" w:cs="Arial"/>
          <w:spacing w:val="1"/>
          <w:sz w:val="20"/>
        </w:rPr>
        <w:t xml:space="preserve"> </w:t>
      </w:r>
      <w:r w:rsidRPr="00F261A3">
        <w:rPr>
          <w:rFonts w:ascii="Arial" w:hAnsi="Arial" w:cs="Arial"/>
          <w:sz w:val="20"/>
        </w:rPr>
        <w:t>will</w:t>
      </w:r>
      <w:r w:rsidRPr="00F261A3">
        <w:rPr>
          <w:rFonts w:ascii="Arial" w:hAnsi="Arial" w:cs="Arial"/>
          <w:spacing w:val="1"/>
          <w:sz w:val="20"/>
        </w:rPr>
        <w:t xml:space="preserve"> </w:t>
      </w:r>
      <w:r w:rsidRPr="00F261A3">
        <w:rPr>
          <w:rFonts w:ascii="Arial" w:hAnsi="Arial" w:cs="Arial"/>
          <w:sz w:val="20"/>
        </w:rPr>
        <w:t>be</w:t>
      </w:r>
      <w:r w:rsidRPr="00F261A3">
        <w:rPr>
          <w:rFonts w:ascii="Arial" w:hAnsi="Arial" w:cs="Arial"/>
          <w:spacing w:val="1"/>
          <w:sz w:val="20"/>
        </w:rPr>
        <w:t xml:space="preserve"> </w:t>
      </w:r>
      <w:r w:rsidRPr="00F261A3">
        <w:rPr>
          <w:rFonts w:ascii="Arial" w:hAnsi="Arial" w:cs="Arial"/>
          <w:sz w:val="20"/>
        </w:rPr>
        <w:t>selected</w:t>
      </w:r>
      <w:r w:rsidRPr="00F261A3">
        <w:rPr>
          <w:rFonts w:ascii="Arial" w:hAnsi="Arial" w:cs="Arial"/>
          <w:spacing w:val="1"/>
          <w:sz w:val="20"/>
        </w:rPr>
        <w:t xml:space="preserve"> </w:t>
      </w:r>
      <w:r w:rsidRPr="00F261A3">
        <w:rPr>
          <w:rFonts w:ascii="Arial" w:hAnsi="Arial" w:cs="Arial"/>
          <w:sz w:val="20"/>
        </w:rPr>
        <w:t>by</w:t>
      </w:r>
      <w:r w:rsidRPr="00F261A3">
        <w:rPr>
          <w:rFonts w:ascii="Arial" w:hAnsi="Arial" w:cs="Arial"/>
          <w:spacing w:val="1"/>
          <w:sz w:val="20"/>
        </w:rPr>
        <w:t xml:space="preserve"> </w:t>
      </w:r>
      <w:r w:rsidRPr="00F261A3">
        <w:rPr>
          <w:rFonts w:ascii="Arial" w:hAnsi="Arial" w:cs="Arial"/>
          <w:sz w:val="20"/>
        </w:rPr>
        <w:t>the</w:t>
      </w:r>
      <w:r w:rsidRPr="00F261A3">
        <w:rPr>
          <w:rFonts w:ascii="Arial" w:hAnsi="Arial" w:cs="Arial"/>
          <w:spacing w:val="1"/>
          <w:sz w:val="20"/>
        </w:rPr>
        <w:t xml:space="preserve"> </w:t>
      </w:r>
      <w:r w:rsidRPr="00F261A3">
        <w:rPr>
          <w:rFonts w:ascii="Arial" w:hAnsi="Arial" w:cs="Arial"/>
          <w:sz w:val="20"/>
        </w:rPr>
        <w:t>inspector/senior</w:t>
      </w:r>
      <w:r w:rsidRPr="00F261A3">
        <w:rPr>
          <w:rFonts w:ascii="Arial" w:hAnsi="Arial" w:cs="Arial"/>
          <w:spacing w:val="1"/>
          <w:sz w:val="20"/>
        </w:rPr>
        <w:t xml:space="preserve"> </w:t>
      </w:r>
      <w:r w:rsidRPr="00F261A3">
        <w:rPr>
          <w:rFonts w:ascii="Arial" w:hAnsi="Arial" w:cs="Arial"/>
          <w:sz w:val="20"/>
        </w:rPr>
        <w:t>examiner</w:t>
      </w:r>
      <w:r w:rsidRPr="00F261A3">
        <w:rPr>
          <w:rFonts w:ascii="Arial" w:hAnsi="Arial" w:cs="Arial"/>
          <w:spacing w:val="1"/>
          <w:sz w:val="20"/>
        </w:rPr>
        <w:t xml:space="preserve"> </w:t>
      </w:r>
      <w:r w:rsidRPr="00F261A3">
        <w:rPr>
          <w:rFonts w:ascii="Arial" w:hAnsi="Arial" w:cs="Arial"/>
          <w:sz w:val="20"/>
        </w:rPr>
        <w:t>for</w:t>
      </w:r>
      <w:r w:rsidRPr="00F261A3">
        <w:rPr>
          <w:rFonts w:ascii="Arial" w:hAnsi="Arial" w:cs="Arial"/>
          <w:spacing w:val="-47"/>
          <w:sz w:val="20"/>
        </w:rPr>
        <w:t xml:space="preserve"> </w:t>
      </w:r>
      <w:r w:rsidRPr="00F261A3">
        <w:rPr>
          <w:rFonts w:ascii="Arial" w:hAnsi="Arial" w:cs="Arial"/>
          <w:sz w:val="20"/>
        </w:rPr>
        <w:t>examination</w:t>
      </w:r>
      <w:r w:rsidRPr="00F261A3">
        <w:rPr>
          <w:rFonts w:ascii="Arial" w:hAnsi="Arial" w:cs="Arial"/>
          <w:spacing w:val="1"/>
          <w:sz w:val="20"/>
        </w:rPr>
        <w:t xml:space="preserve"> </w:t>
      </w:r>
      <w:r w:rsidRPr="00F261A3">
        <w:rPr>
          <w:rFonts w:ascii="Arial" w:hAnsi="Arial" w:cs="Arial"/>
          <w:sz w:val="20"/>
        </w:rPr>
        <w:t>of</w:t>
      </w:r>
      <w:r w:rsidRPr="00F261A3">
        <w:rPr>
          <w:rFonts w:ascii="Arial" w:hAnsi="Arial" w:cs="Arial"/>
          <w:spacing w:val="1"/>
          <w:sz w:val="20"/>
        </w:rPr>
        <w:t xml:space="preserve"> </w:t>
      </w:r>
      <w:r w:rsidRPr="00F261A3">
        <w:rPr>
          <w:rFonts w:ascii="Arial" w:hAnsi="Arial" w:cs="Arial"/>
          <w:sz w:val="20"/>
        </w:rPr>
        <w:t>the</w:t>
      </w:r>
      <w:r w:rsidRPr="00F261A3">
        <w:rPr>
          <w:rFonts w:ascii="Arial" w:hAnsi="Arial" w:cs="Arial"/>
          <w:spacing w:val="1"/>
          <w:sz w:val="20"/>
        </w:rPr>
        <w:t xml:space="preserve"> </w:t>
      </w:r>
      <w:r w:rsidRPr="00F261A3">
        <w:rPr>
          <w:rFonts w:ascii="Arial" w:hAnsi="Arial" w:cs="Arial"/>
          <w:sz w:val="20"/>
        </w:rPr>
        <w:t>‘candidate’</w:t>
      </w:r>
      <w:r w:rsidRPr="00F261A3">
        <w:rPr>
          <w:rFonts w:ascii="Arial" w:hAnsi="Arial" w:cs="Arial"/>
          <w:spacing w:val="1"/>
          <w:sz w:val="20"/>
        </w:rPr>
        <w:t xml:space="preserve"> </w:t>
      </w:r>
      <w:r w:rsidRPr="00F261A3">
        <w:rPr>
          <w:rFonts w:ascii="Arial" w:hAnsi="Arial" w:cs="Arial"/>
          <w:sz w:val="20"/>
        </w:rPr>
        <w:t>by</w:t>
      </w:r>
      <w:r w:rsidRPr="00F261A3">
        <w:rPr>
          <w:rFonts w:ascii="Arial" w:hAnsi="Arial" w:cs="Arial"/>
          <w:spacing w:val="1"/>
          <w:sz w:val="20"/>
        </w:rPr>
        <w:t xml:space="preserve"> </w:t>
      </w:r>
      <w:r w:rsidRPr="00F261A3">
        <w:rPr>
          <w:rFonts w:ascii="Arial" w:hAnsi="Arial" w:cs="Arial"/>
          <w:sz w:val="20"/>
        </w:rPr>
        <w:t>the</w:t>
      </w:r>
      <w:r w:rsidRPr="00F261A3">
        <w:rPr>
          <w:rFonts w:ascii="Arial" w:hAnsi="Arial" w:cs="Arial"/>
          <w:spacing w:val="1"/>
          <w:sz w:val="20"/>
        </w:rPr>
        <w:t xml:space="preserve"> </w:t>
      </w:r>
      <w:r w:rsidRPr="00F261A3">
        <w:rPr>
          <w:rFonts w:ascii="Arial" w:hAnsi="Arial" w:cs="Arial"/>
          <w:sz w:val="20"/>
        </w:rPr>
        <w:t>examiner</w:t>
      </w:r>
      <w:r w:rsidRPr="00F261A3">
        <w:rPr>
          <w:rFonts w:ascii="Arial" w:hAnsi="Arial" w:cs="Arial"/>
          <w:spacing w:val="1"/>
          <w:sz w:val="20"/>
        </w:rPr>
        <w:t xml:space="preserve"> </w:t>
      </w:r>
      <w:r w:rsidRPr="00F261A3">
        <w:rPr>
          <w:rFonts w:ascii="Arial" w:hAnsi="Arial" w:cs="Arial"/>
          <w:sz w:val="20"/>
        </w:rPr>
        <w:t>applicant.</w:t>
      </w:r>
      <w:r w:rsidRPr="00F261A3">
        <w:rPr>
          <w:rFonts w:ascii="Arial" w:hAnsi="Arial" w:cs="Arial"/>
          <w:spacing w:val="1"/>
          <w:sz w:val="20"/>
        </w:rPr>
        <w:t xml:space="preserve"> </w:t>
      </w:r>
      <w:r w:rsidRPr="00F261A3">
        <w:rPr>
          <w:rFonts w:ascii="Arial" w:hAnsi="Arial" w:cs="Arial"/>
          <w:sz w:val="20"/>
        </w:rPr>
        <w:t>Having</w:t>
      </w:r>
      <w:r w:rsidRPr="00F261A3">
        <w:rPr>
          <w:rFonts w:ascii="Arial" w:hAnsi="Arial" w:cs="Arial"/>
          <w:spacing w:val="1"/>
          <w:sz w:val="20"/>
        </w:rPr>
        <w:t xml:space="preserve"> </w:t>
      </w:r>
      <w:r w:rsidRPr="00F261A3">
        <w:rPr>
          <w:rFonts w:ascii="Arial" w:hAnsi="Arial" w:cs="Arial"/>
          <w:sz w:val="20"/>
        </w:rPr>
        <w:t>agreed</w:t>
      </w:r>
      <w:r w:rsidRPr="00F261A3">
        <w:rPr>
          <w:rFonts w:ascii="Arial" w:hAnsi="Arial" w:cs="Arial"/>
          <w:spacing w:val="1"/>
          <w:sz w:val="20"/>
        </w:rPr>
        <w:t xml:space="preserve"> </w:t>
      </w:r>
      <w:r w:rsidRPr="00F261A3">
        <w:rPr>
          <w:rFonts w:ascii="Arial" w:hAnsi="Arial" w:cs="Arial"/>
          <w:sz w:val="20"/>
        </w:rPr>
        <w:t>with</w:t>
      </w:r>
      <w:r w:rsidRPr="00F261A3">
        <w:rPr>
          <w:rFonts w:ascii="Arial" w:hAnsi="Arial" w:cs="Arial"/>
          <w:spacing w:val="1"/>
          <w:sz w:val="20"/>
        </w:rPr>
        <w:t xml:space="preserve"> </w:t>
      </w:r>
      <w:r w:rsidRPr="00F261A3">
        <w:rPr>
          <w:rFonts w:ascii="Arial" w:hAnsi="Arial" w:cs="Arial"/>
          <w:sz w:val="20"/>
        </w:rPr>
        <w:t>the</w:t>
      </w:r>
      <w:r w:rsidRPr="00F261A3">
        <w:rPr>
          <w:rFonts w:ascii="Arial" w:hAnsi="Arial" w:cs="Arial"/>
          <w:spacing w:val="1"/>
          <w:sz w:val="20"/>
        </w:rPr>
        <w:t xml:space="preserve"> </w:t>
      </w:r>
      <w:r w:rsidRPr="00F261A3">
        <w:rPr>
          <w:rFonts w:ascii="Arial" w:hAnsi="Arial" w:cs="Arial"/>
          <w:sz w:val="20"/>
        </w:rPr>
        <w:t>inspector/senior examiner the content of the test, the examiner applicant will be expected to</w:t>
      </w:r>
      <w:r w:rsidRPr="00F261A3">
        <w:rPr>
          <w:rFonts w:ascii="Arial" w:hAnsi="Arial" w:cs="Arial"/>
          <w:spacing w:val="1"/>
          <w:sz w:val="20"/>
        </w:rPr>
        <w:t xml:space="preserve"> </w:t>
      </w:r>
      <w:r w:rsidRPr="00F261A3">
        <w:rPr>
          <w:rFonts w:ascii="Arial" w:hAnsi="Arial" w:cs="Arial"/>
          <w:sz w:val="20"/>
        </w:rPr>
        <w:t>manage the entire test. This will include briefing, the conduct of the flight, assessment and</w:t>
      </w:r>
      <w:r w:rsidRPr="00F261A3">
        <w:rPr>
          <w:rFonts w:ascii="Arial" w:hAnsi="Arial" w:cs="Arial"/>
          <w:spacing w:val="1"/>
          <w:sz w:val="20"/>
        </w:rPr>
        <w:t xml:space="preserve"> </w:t>
      </w:r>
      <w:r w:rsidRPr="00F261A3">
        <w:rPr>
          <w:rFonts w:ascii="Arial" w:hAnsi="Arial" w:cs="Arial"/>
          <w:sz w:val="20"/>
        </w:rPr>
        <w:t>debriefing of the ‘candidate’. The inspector/senior examiner will discuss the assessment with</w:t>
      </w:r>
      <w:r w:rsidRPr="00F261A3">
        <w:rPr>
          <w:rFonts w:ascii="Arial" w:hAnsi="Arial" w:cs="Arial"/>
          <w:spacing w:val="1"/>
          <w:sz w:val="20"/>
        </w:rPr>
        <w:t xml:space="preserve"> </w:t>
      </w:r>
      <w:r w:rsidRPr="00F261A3">
        <w:rPr>
          <w:rFonts w:ascii="Arial" w:hAnsi="Arial" w:cs="Arial"/>
          <w:sz w:val="20"/>
        </w:rPr>
        <w:t>the</w:t>
      </w:r>
      <w:r w:rsidRPr="00F261A3">
        <w:rPr>
          <w:rFonts w:ascii="Arial" w:hAnsi="Arial" w:cs="Arial"/>
          <w:spacing w:val="-1"/>
          <w:sz w:val="20"/>
        </w:rPr>
        <w:t xml:space="preserve"> </w:t>
      </w:r>
      <w:r w:rsidRPr="00F261A3">
        <w:rPr>
          <w:rFonts w:ascii="Arial" w:hAnsi="Arial" w:cs="Arial"/>
          <w:sz w:val="20"/>
        </w:rPr>
        <w:t>examiner applicant before</w:t>
      </w:r>
      <w:r w:rsidRPr="00F261A3">
        <w:rPr>
          <w:rFonts w:ascii="Arial" w:hAnsi="Arial" w:cs="Arial"/>
          <w:spacing w:val="-3"/>
          <w:sz w:val="20"/>
        </w:rPr>
        <w:t xml:space="preserve"> </w:t>
      </w:r>
      <w:r w:rsidRPr="00F261A3">
        <w:rPr>
          <w:rFonts w:ascii="Arial" w:hAnsi="Arial" w:cs="Arial"/>
          <w:sz w:val="20"/>
        </w:rPr>
        <w:t>the ‘candidate’ is</w:t>
      </w:r>
      <w:r w:rsidRPr="00F261A3">
        <w:rPr>
          <w:rFonts w:ascii="Arial" w:hAnsi="Arial" w:cs="Arial"/>
          <w:spacing w:val="-3"/>
          <w:sz w:val="20"/>
        </w:rPr>
        <w:t xml:space="preserve"> </w:t>
      </w:r>
      <w:r w:rsidRPr="00F261A3">
        <w:rPr>
          <w:rFonts w:ascii="Arial" w:hAnsi="Arial" w:cs="Arial"/>
          <w:sz w:val="20"/>
        </w:rPr>
        <w:t>debriefed</w:t>
      </w:r>
      <w:r w:rsidRPr="00F261A3">
        <w:rPr>
          <w:rFonts w:ascii="Arial" w:hAnsi="Arial" w:cs="Arial"/>
          <w:spacing w:val="-1"/>
          <w:sz w:val="20"/>
        </w:rPr>
        <w:t xml:space="preserve"> </w:t>
      </w:r>
      <w:r w:rsidRPr="00F261A3">
        <w:rPr>
          <w:rFonts w:ascii="Arial" w:hAnsi="Arial" w:cs="Arial"/>
          <w:sz w:val="20"/>
        </w:rPr>
        <w:t>and</w:t>
      </w:r>
      <w:r w:rsidRPr="00F261A3">
        <w:rPr>
          <w:rFonts w:ascii="Arial" w:hAnsi="Arial" w:cs="Arial"/>
          <w:spacing w:val="-1"/>
          <w:sz w:val="20"/>
        </w:rPr>
        <w:t xml:space="preserve"> </w:t>
      </w:r>
      <w:r w:rsidRPr="00F261A3">
        <w:rPr>
          <w:rFonts w:ascii="Arial" w:hAnsi="Arial" w:cs="Arial"/>
          <w:sz w:val="20"/>
        </w:rPr>
        <w:t>informed of</w:t>
      </w:r>
      <w:r w:rsidRPr="00F261A3">
        <w:rPr>
          <w:rFonts w:ascii="Arial" w:hAnsi="Arial" w:cs="Arial"/>
          <w:spacing w:val="-4"/>
          <w:sz w:val="20"/>
        </w:rPr>
        <w:t xml:space="preserve"> </w:t>
      </w:r>
      <w:r w:rsidRPr="00F261A3">
        <w:rPr>
          <w:rFonts w:ascii="Arial" w:hAnsi="Arial" w:cs="Arial"/>
          <w:sz w:val="20"/>
        </w:rPr>
        <w:t>the</w:t>
      </w:r>
      <w:r w:rsidRPr="00F261A3">
        <w:rPr>
          <w:rFonts w:ascii="Arial" w:hAnsi="Arial" w:cs="Arial"/>
          <w:spacing w:val="-2"/>
          <w:sz w:val="20"/>
        </w:rPr>
        <w:t xml:space="preserve"> </w:t>
      </w:r>
      <w:r w:rsidRPr="00F261A3">
        <w:rPr>
          <w:rFonts w:ascii="Arial" w:hAnsi="Arial" w:cs="Arial"/>
          <w:sz w:val="20"/>
        </w:rPr>
        <w:t>result.</w:t>
      </w:r>
    </w:p>
    <w:p w14:paraId="0357179E" w14:textId="77777777" w:rsidR="00F261A3" w:rsidRPr="00F261A3" w:rsidRDefault="00F261A3" w:rsidP="00F261A3">
      <w:pPr>
        <w:pStyle w:val="ListParagraph"/>
        <w:numPr>
          <w:ilvl w:val="0"/>
          <w:numId w:val="281"/>
        </w:numPr>
        <w:tabs>
          <w:tab w:val="left" w:pos="706"/>
          <w:tab w:val="left" w:pos="707"/>
        </w:tabs>
        <w:jc w:val="both"/>
        <w:rPr>
          <w:rFonts w:ascii="Arial" w:hAnsi="Arial" w:cs="Arial"/>
          <w:sz w:val="20"/>
        </w:rPr>
      </w:pPr>
      <w:r w:rsidRPr="00F261A3">
        <w:rPr>
          <w:rFonts w:ascii="Arial" w:hAnsi="Arial" w:cs="Arial"/>
          <w:sz w:val="20"/>
        </w:rPr>
        <w:t>BRIEFING</w:t>
      </w:r>
      <w:r w:rsidRPr="00F261A3">
        <w:rPr>
          <w:rFonts w:ascii="Arial" w:hAnsi="Arial" w:cs="Arial"/>
          <w:spacing w:val="-2"/>
          <w:sz w:val="20"/>
        </w:rPr>
        <w:t xml:space="preserve"> </w:t>
      </w:r>
      <w:r w:rsidRPr="00F261A3">
        <w:rPr>
          <w:rFonts w:ascii="Arial" w:hAnsi="Arial" w:cs="Arial"/>
          <w:sz w:val="20"/>
        </w:rPr>
        <w:t>THE</w:t>
      </w:r>
      <w:r w:rsidRPr="00F261A3">
        <w:rPr>
          <w:rFonts w:ascii="Arial" w:hAnsi="Arial" w:cs="Arial"/>
          <w:spacing w:val="-2"/>
          <w:sz w:val="20"/>
        </w:rPr>
        <w:t xml:space="preserve"> </w:t>
      </w:r>
      <w:r w:rsidRPr="00F261A3">
        <w:rPr>
          <w:rFonts w:ascii="Arial" w:hAnsi="Arial" w:cs="Arial"/>
          <w:sz w:val="20"/>
        </w:rPr>
        <w:t>‘CANDIDATE’</w:t>
      </w:r>
    </w:p>
    <w:p w14:paraId="3F31B761" w14:textId="77777777" w:rsidR="00F261A3" w:rsidRPr="00F261A3" w:rsidRDefault="00F261A3" w:rsidP="00F261A3">
      <w:pPr>
        <w:pStyle w:val="ListParagraph"/>
        <w:numPr>
          <w:ilvl w:val="1"/>
          <w:numId w:val="281"/>
        </w:numPr>
        <w:tabs>
          <w:tab w:val="left" w:pos="1273"/>
          <w:tab w:val="left" w:pos="1274"/>
        </w:tabs>
        <w:ind w:right="200"/>
        <w:jc w:val="both"/>
        <w:rPr>
          <w:rFonts w:ascii="Arial" w:hAnsi="Arial" w:cs="Arial"/>
          <w:sz w:val="20"/>
        </w:rPr>
      </w:pPr>
      <w:r w:rsidRPr="00F261A3">
        <w:rPr>
          <w:rFonts w:ascii="Arial" w:hAnsi="Arial" w:cs="Arial"/>
          <w:sz w:val="20"/>
        </w:rPr>
        <w:t>The</w:t>
      </w:r>
      <w:r w:rsidRPr="00F261A3">
        <w:rPr>
          <w:rFonts w:ascii="Arial" w:hAnsi="Arial" w:cs="Arial"/>
          <w:spacing w:val="29"/>
          <w:sz w:val="20"/>
        </w:rPr>
        <w:t xml:space="preserve"> </w:t>
      </w:r>
      <w:r w:rsidRPr="00F261A3">
        <w:rPr>
          <w:rFonts w:ascii="Arial" w:hAnsi="Arial" w:cs="Arial"/>
          <w:sz w:val="20"/>
        </w:rPr>
        <w:t>‘candidate’</w:t>
      </w:r>
      <w:r w:rsidRPr="00F261A3">
        <w:rPr>
          <w:rFonts w:ascii="Arial" w:hAnsi="Arial" w:cs="Arial"/>
          <w:spacing w:val="30"/>
          <w:sz w:val="20"/>
        </w:rPr>
        <w:t xml:space="preserve"> </w:t>
      </w:r>
      <w:r w:rsidRPr="00F261A3">
        <w:rPr>
          <w:rFonts w:ascii="Arial" w:hAnsi="Arial" w:cs="Arial"/>
          <w:sz w:val="20"/>
        </w:rPr>
        <w:t>should</w:t>
      </w:r>
      <w:r w:rsidRPr="00F261A3">
        <w:rPr>
          <w:rFonts w:ascii="Arial" w:hAnsi="Arial" w:cs="Arial"/>
          <w:spacing w:val="29"/>
          <w:sz w:val="20"/>
        </w:rPr>
        <w:t xml:space="preserve"> </w:t>
      </w:r>
      <w:r w:rsidRPr="00F261A3">
        <w:rPr>
          <w:rFonts w:ascii="Arial" w:hAnsi="Arial" w:cs="Arial"/>
          <w:sz w:val="20"/>
        </w:rPr>
        <w:t>be</w:t>
      </w:r>
      <w:r w:rsidRPr="00F261A3">
        <w:rPr>
          <w:rFonts w:ascii="Arial" w:hAnsi="Arial" w:cs="Arial"/>
          <w:spacing w:val="28"/>
          <w:sz w:val="20"/>
        </w:rPr>
        <w:t xml:space="preserve"> </w:t>
      </w:r>
      <w:r w:rsidRPr="00F261A3">
        <w:rPr>
          <w:rFonts w:ascii="Arial" w:hAnsi="Arial" w:cs="Arial"/>
          <w:sz w:val="20"/>
        </w:rPr>
        <w:t>given</w:t>
      </w:r>
      <w:r w:rsidRPr="00F261A3">
        <w:rPr>
          <w:rFonts w:ascii="Arial" w:hAnsi="Arial" w:cs="Arial"/>
          <w:spacing w:val="26"/>
          <w:sz w:val="20"/>
        </w:rPr>
        <w:t xml:space="preserve"> </w:t>
      </w:r>
      <w:r w:rsidRPr="00F261A3">
        <w:rPr>
          <w:rFonts w:ascii="Arial" w:hAnsi="Arial" w:cs="Arial"/>
          <w:sz w:val="20"/>
        </w:rPr>
        <w:t>time</w:t>
      </w:r>
      <w:r w:rsidRPr="00F261A3">
        <w:rPr>
          <w:rFonts w:ascii="Arial" w:hAnsi="Arial" w:cs="Arial"/>
          <w:spacing w:val="30"/>
          <w:sz w:val="20"/>
        </w:rPr>
        <w:t xml:space="preserve"> </w:t>
      </w:r>
      <w:r w:rsidRPr="00F261A3">
        <w:rPr>
          <w:rFonts w:ascii="Arial" w:hAnsi="Arial" w:cs="Arial"/>
          <w:sz w:val="20"/>
        </w:rPr>
        <w:t>and</w:t>
      </w:r>
      <w:r w:rsidRPr="00F261A3">
        <w:rPr>
          <w:rFonts w:ascii="Arial" w:hAnsi="Arial" w:cs="Arial"/>
          <w:spacing w:val="29"/>
          <w:sz w:val="20"/>
        </w:rPr>
        <w:t xml:space="preserve"> </w:t>
      </w:r>
      <w:r w:rsidRPr="00F261A3">
        <w:rPr>
          <w:rFonts w:ascii="Arial" w:hAnsi="Arial" w:cs="Arial"/>
          <w:sz w:val="20"/>
        </w:rPr>
        <w:t>facilities</w:t>
      </w:r>
      <w:r w:rsidRPr="00F261A3">
        <w:rPr>
          <w:rFonts w:ascii="Arial" w:hAnsi="Arial" w:cs="Arial"/>
          <w:spacing w:val="28"/>
          <w:sz w:val="20"/>
        </w:rPr>
        <w:t xml:space="preserve"> </w:t>
      </w:r>
      <w:r w:rsidRPr="00F261A3">
        <w:rPr>
          <w:rFonts w:ascii="Arial" w:hAnsi="Arial" w:cs="Arial"/>
          <w:sz w:val="20"/>
        </w:rPr>
        <w:t>to</w:t>
      </w:r>
      <w:r w:rsidRPr="00F261A3">
        <w:rPr>
          <w:rFonts w:ascii="Arial" w:hAnsi="Arial" w:cs="Arial"/>
          <w:spacing w:val="32"/>
          <w:sz w:val="20"/>
        </w:rPr>
        <w:t xml:space="preserve"> </w:t>
      </w:r>
      <w:r w:rsidRPr="00F261A3">
        <w:rPr>
          <w:rFonts w:ascii="Arial" w:hAnsi="Arial" w:cs="Arial"/>
          <w:sz w:val="20"/>
        </w:rPr>
        <w:t>prepare</w:t>
      </w:r>
      <w:r w:rsidRPr="00F261A3">
        <w:rPr>
          <w:rFonts w:ascii="Arial" w:hAnsi="Arial" w:cs="Arial"/>
          <w:spacing w:val="30"/>
          <w:sz w:val="20"/>
        </w:rPr>
        <w:t xml:space="preserve"> </w:t>
      </w:r>
      <w:r w:rsidRPr="00F261A3">
        <w:rPr>
          <w:rFonts w:ascii="Arial" w:hAnsi="Arial" w:cs="Arial"/>
          <w:sz w:val="20"/>
        </w:rPr>
        <w:t>for</w:t>
      </w:r>
      <w:r w:rsidRPr="00F261A3">
        <w:rPr>
          <w:rFonts w:ascii="Arial" w:hAnsi="Arial" w:cs="Arial"/>
          <w:spacing w:val="29"/>
          <w:sz w:val="20"/>
        </w:rPr>
        <w:t xml:space="preserve"> </w:t>
      </w:r>
      <w:r w:rsidRPr="00F261A3">
        <w:rPr>
          <w:rFonts w:ascii="Arial" w:hAnsi="Arial" w:cs="Arial"/>
          <w:sz w:val="20"/>
        </w:rPr>
        <w:t>the</w:t>
      </w:r>
      <w:r w:rsidRPr="00F261A3">
        <w:rPr>
          <w:rFonts w:ascii="Arial" w:hAnsi="Arial" w:cs="Arial"/>
          <w:spacing w:val="27"/>
          <w:sz w:val="20"/>
        </w:rPr>
        <w:t xml:space="preserve"> </w:t>
      </w:r>
      <w:r w:rsidRPr="00F261A3">
        <w:rPr>
          <w:rFonts w:ascii="Arial" w:hAnsi="Arial" w:cs="Arial"/>
          <w:sz w:val="20"/>
        </w:rPr>
        <w:t>test</w:t>
      </w:r>
      <w:r w:rsidRPr="00F261A3">
        <w:rPr>
          <w:rFonts w:ascii="Arial" w:hAnsi="Arial" w:cs="Arial"/>
          <w:spacing w:val="30"/>
          <w:sz w:val="20"/>
        </w:rPr>
        <w:t xml:space="preserve"> </w:t>
      </w:r>
      <w:r w:rsidRPr="00F261A3">
        <w:rPr>
          <w:rFonts w:ascii="Arial" w:hAnsi="Arial" w:cs="Arial"/>
          <w:sz w:val="20"/>
        </w:rPr>
        <w:t>flight.</w:t>
      </w:r>
      <w:r w:rsidRPr="00F261A3">
        <w:rPr>
          <w:rFonts w:ascii="Arial" w:hAnsi="Arial" w:cs="Arial"/>
          <w:spacing w:val="30"/>
          <w:sz w:val="20"/>
        </w:rPr>
        <w:t xml:space="preserve"> </w:t>
      </w:r>
      <w:r w:rsidRPr="00F261A3">
        <w:rPr>
          <w:rFonts w:ascii="Arial" w:hAnsi="Arial" w:cs="Arial"/>
          <w:sz w:val="20"/>
        </w:rPr>
        <w:t>The</w:t>
      </w:r>
      <w:r w:rsidRPr="00F261A3">
        <w:rPr>
          <w:rFonts w:ascii="Arial" w:hAnsi="Arial" w:cs="Arial"/>
          <w:spacing w:val="-47"/>
          <w:sz w:val="20"/>
        </w:rPr>
        <w:t xml:space="preserve"> </w:t>
      </w:r>
      <w:r w:rsidRPr="00F261A3">
        <w:rPr>
          <w:rFonts w:ascii="Arial" w:hAnsi="Arial" w:cs="Arial"/>
          <w:sz w:val="20"/>
        </w:rPr>
        <w:t>briefing</w:t>
      </w:r>
      <w:r w:rsidRPr="00F261A3">
        <w:rPr>
          <w:rFonts w:ascii="Arial" w:hAnsi="Arial" w:cs="Arial"/>
          <w:spacing w:val="-2"/>
          <w:sz w:val="20"/>
        </w:rPr>
        <w:t xml:space="preserve"> </w:t>
      </w:r>
      <w:r w:rsidRPr="00F261A3">
        <w:rPr>
          <w:rFonts w:ascii="Arial" w:hAnsi="Arial" w:cs="Arial"/>
          <w:sz w:val="20"/>
        </w:rPr>
        <w:t>should</w:t>
      </w:r>
      <w:r w:rsidRPr="00F261A3">
        <w:rPr>
          <w:rFonts w:ascii="Arial" w:hAnsi="Arial" w:cs="Arial"/>
          <w:spacing w:val="-1"/>
          <w:sz w:val="20"/>
        </w:rPr>
        <w:t xml:space="preserve"> </w:t>
      </w:r>
      <w:r w:rsidRPr="00F261A3">
        <w:rPr>
          <w:rFonts w:ascii="Arial" w:hAnsi="Arial" w:cs="Arial"/>
          <w:sz w:val="20"/>
        </w:rPr>
        <w:t>cover the</w:t>
      </w:r>
      <w:r w:rsidRPr="00F261A3">
        <w:rPr>
          <w:rFonts w:ascii="Arial" w:hAnsi="Arial" w:cs="Arial"/>
          <w:spacing w:val="-3"/>
          <w:sz w:val="20"/>
        </w:rPr>
        <w:t xml:space="preserve"> </w:t>
      </w:r>
      <w:r w:rsidRPr="00F261A3">
        <w:rPr>
          <w:rFonts w:ascii="Arial" w:hAnsi="Arial" w:cs="Arial"/>
          <w:sz w:val="20"/>
        </w:rPr>
        <w:t>following:</w:t>
      </w:r>
    </w:p>
    <w:p w14:paraId="7154D9CE" w14:textId="77777777" w:rsidR="00F261A3" w:rsidRPr="00F261A3" w:rsidRDefault="00F261A3" w:rsidP="00F261A3">
      <w:pPr>
        <w:pStyle w:val="ListParagraph"/>
        <w:numPr>
          <w:ilvl w:val="2"/>
          <w:numId w:val="281"/>
        </w:numPr>
        <w:tabs>
          <w:tab w:val="left" w:pos="1841"/>
          <w:tab w:val="left" w:pos="1842"/>
        </w:tabs>
        <w:spacing w:before="121"/>
        <w:jc w:val="both"/>
        <w:rPr>
          <w:rFonts w:ascii="Arial" w:hAnsi="Arial" w:cs="Arial"/>
          <w:sz w:val="20"/>
        </w:rPr>
      </w:pPr>
      <w:r w:rsidRPr="00F261A3">
        <w:rPr>
          <w:rFonts w:ascii="Arial" w:hAnsi="Arial" w:cs="Arial"/>
          <w:sz w:val="20"/>
        </w:rPr>
        <w:t>the</w:t>
      </w:r>
      <w:r w:rsidRPr="00F261A3">
        <w:rPr>
          <w:rFonts w:ascii="Arial" w:hAnsi="Arial" w:cs="Arial"/>
          <w:spacing w:val="-1"/>
          <w:sz w:val="20"/>
        </w:rPr>
        <w:t xml:space="preserve"> </w:t>
      </w:r>
      <w:r w:rsidRPr="00F261A3">
        <w:rPr>
          <w:rFonts w:ascii="Arial" w:hAnsi="Arial" w:cs="Arial"/>
          <w:sz w:val="20"/>
        </w:rPr>
        <w:t>objective</w:t>
      </w:r>
      <w:r w:rsidRPr="00F261A3">
        <w:rPr>
          <w:rFonts w:ascii="Arial" w:hAnsi="Arial" w:cs="Arial"/>
          <w:spacing w:val="-3"/>
          <w:sz w:val="20"/>
        </w:rPr>
        <w:t xml:space="preserve"> </w:t>
      </w:r>
      <w:r w:rsidRPr="00F261A3">
        <w:rPr>
          <w:rFonts w:ascii="Arial" w:hAnsi="Arial" w:cs="Arial"/>
          <w:sz w:val="20"/>
        </w:rPr>
        <w:t>of</w:t>
      </w:r>
      <w:r w:rsidRPr="00F261A3">
        <w:rPr>
          <w:rFonts w:ascii="Arial" w:hAnsi="Arial" w:cs="Arial"/>
          <w:spacing w:val="-3"/>
          <w:sz w:val="20"/>
        </w:rPr>
        <w:t xml:space="preserve"> </w:t>
      </w:r>
      <w:r w:rsidRPr="00F261A3">
        <w:rPr>
          <w:rFonts w:ascii="Arial" w:hAnsi="Arial" w:cs="Arial"/>
          <w:sz w:val="20"/>
        </w:rPr>
        <w:t>the</w:t>
      </w:r>
      <w:r w:rsidRPr="00F261A3">
        <w:rPr>
          <w:rFonts w:ascii="Arial" w:hAnsi="Arial" w:cs="Arial"/>
          <w:spacing w:val="-1"/>
          <w:sz w:val="20"/>
        </w:rPr>
        <w:t xml:space="preserve"> </w:t>
      </w:r>
      <w:r w:rsidRPr="00F261A3">
        <w:rPr>
          <w:rFonts w:ascii="Arial" w:hAnsi="Arial" w:cs="Arial"/>
          <w:sz w:val="20"/>
        </w:rPr>
        <w:t>flight;</w:t>
      </w:r>
    </w:p>
    <w:p w14:paraId="5F349E4F" w14:textId="77777777" w:rsidR="00F261A3" w:rsidRPr="00F261A3" w:rsidRDefault="00F261A3" w:rsidP="00F261A3">
      <w:pPr>
        <w:pStyle w:val="ListParagraph"/>
        <w:numPr>
          <w:ilvl w:val="2"/>
          <w:numId w:val="281"/>
        </w:numPr>
        <w:tabs>
          <w:tab w:val="left" w:pos="1841"/>
          <w:tab w:val="left" w:pos="1842"/>
        </w:tabs>
        <w:jc w:val="both"/>
        <w:rPr>
          <w:rFonts w:ascii="Arial" w:hAnsi="Arial" w:cs="Arial"/>
          <w:sz w:val="20"/>
        </w:rPr>
      </w:pPr>
      <w:r w:rsidRPr="00F261A3">
        <w:rPr>
          <w:rFonts w:ascii="Arial" w:hAnsi="Arial" w:cs="Arial"/>
          <w:sz w:val="20"/>
        </w:rPr>
        <w:t>licensing</w:t>
      </w:r>
      <w:r w:rsidRPr="00F261A3">
        <w:rPr>
          <w:rFonts w:ascii="Arial" w:hAnsi="Arial" w:cs="Arial"/>
          <w:spacing w:val="-3"/>
          <w:sz w:val="20"/>
        </w:rPr>
        <w:t xml:space="preserve"> </w:t>
      </w:r>
      <w:r w:rsidRPr="00F261A3">
        <w:rPr>
          <w:rFonts w:ascii="Arial" w:hAnsi="Arial" w:cs="Arial"/>
          <w:sz w:val="20"/>
        </w:rPr>
        <w:t>checks,</w:t>
      </w:r>
      <w:r w:rsidRPr="00F261A3">
        <w:rPr>
          <w:rFonts w:ascii="Arial" w:hAnsi="Arial" w:cs="Arial"/>
          <w:spacing w:val="-1"/>
          <w:sz w:val="20"/>
        </w:rPr>
        <w:t xml:space="preserve"> </w:t>
      </w:r>
      <w:r w:rsidRPr="00F261A3">
        <w:rPr>
          <w:rFonts w:ascii="Arial" w:hAnsi="Arial" w:cs="Arial"/>
          <w:sz w:val="20"/>
        </w:rPr>
        <w:t>as</w:t>
      </w:r>
      <w:r w:rsidRPr="00F261A3">
        <w:rPr>
          <w:rFonts w:ascii="Arial" w:hAnsi="Arial" w:cs="Arial"/>
          <w:spacing w:val="-4"/>
          <w:sz w:val="20"/>
        </w:rPr>
        <w:t xml:space="preserve"> </w:t>
      </w:r>
      <w:r w:rsidRPr="00F261A3">
        <w:rPr>
          <w:rFonts w:ascii="Arial" w:hAnsi="Arial" w:cs="Arial"/>
          <w:sz w:val="20"/>
        </w:rPr>
        <w:t>necessary;</w:t>
      </w:r>
    </w:p>
    <w:p w14:paraId="00AA1AE3" w14:textId="77777777" w:rsidR="00F261A3" w:rsidRPr="00F261A3" w:rsidRDefault="00F261A3" w:rsidP="00F261A3">
      <w:pPr>
        <w:pStyle w:val="ListParagraph"/>
        <w:numPr>
          <w:ilvl w:val="2"/>
          <w:numId w:val="281"/>
        </w:numPr>
        <w:tabs>
          <w:tab w:val="left" w:pos="1841"/>
          <w:tab w:val="left" w:pos="1842"/>
        </w:tabs>
        <w:jc w:val="both"/>
        <w:rPr>
          <w:rFonts w:ascii="Arial" w:hAnsi="Arial" w:cs="Arial"/>
          <w:sz w:val="20"/>
        </w:rPr>
      </w:pPr>
      <w:r w:rsidRPr="00F261A3">
        <w:rPr>
          <w:rFonts w:ascii="Arial" w:hAnsi="Arial" w:cs="Arial"/>
          <w:sz w:val="20"/>
        </w:rPr>
        <w:t>freedom</w:t>
      </w:r>
      <w:r w:rsidRPr="00F261A3">
        <w:rPr>
          <w:rFonts w:ascii="Arial" w:hAnsi="Arial" w:cs="Arial"/>
          <w:spacing w:val="-1"/>
          <w:sz w:val="20"/>
        </w:rPr>
        <w:t xml:space="preserve"> </w:t>
      </w:r>
      <w:r w:rsidRPr="00F261A3">
        <w:rPr>
          <w:rFonts w:ascii="Arial" w:hAnsi="Arial" w:cs="Arial"/>
          <w:sz w:val="20"/>
        </w:rPr>
        <w:t>for</w:t>
      </w:r>
      <w:r w:rsidRPr="00F261A3">
        <w:rPr>
          <w:rFonts w:ascii="Arial" w:hAnsi="Arial" w:cs="Arial"/>
          <w:spacing w:val="-4"/>
          <w:sz w:val="20"/>
        </w:rPr>
        <w:t xml:space="preserve"> </w:t>
      </w:r>
      <w:r w:rsidRPr="00F261A3">
        <w:rPr>
          <w:rFonts w:ascii="Arial" w:hAnsi="Arial" w:cs="Arial"/>
          <w:sz w:val="20"/>
        </w:rPr>
        <w:t>the</w:t>
      </w:r>
      <w:r w:rsidRPr="00F261A3">
        <w:rPr>
          <w:rFonts w:ascii="Arial" w:hAnsi="Arial" w:cs="Arial"/>
          <w:spacing w:val="-1"/>
          <w:sz w:val="20"/>
        </w:rPr>
        <w:t xml:space="preserve"> </w:t>
      </w:r>
      <w:r w:rsidRPr="00F261A3">
        <w:rPr>
          <w:rFonts w:ascii="Arial" w:hAnsi="Arial" w:cs="Arial"/>
          <w:sz w:val="20"/>
        </w:rPr>
        <w:t>‘candidate’</w:t>
      </w:r>
      <w:r w:rsidRPr="00F261A3">
        <w:rPr>
          <w:rFonts w:ascii="Arial" w:hAnsi="Arial" w:cs="Arial"/>
          <w:spacing w:val="-2"/>
          <w:sz w:val="20"/>
        </w:rPr>
        <w:t xml:space="preserve"> </w:t>
      </w:r>
      <w:r w:rsidRPr="00F261A3">
        <w:rPr>
          <w:rFonts w:ascii="Arial" w:hAnsi="Arial" w:cs="Arial"/>
          <w:sz w:val="20"/>
        </w:rPr>
        <w:t>to</w:t>
      </w:r>
      <w:r w:rsidRPr="00F261A3">
        <w:rPr>
          <w:rFonts w:ascii="Arial" w:hAnsi="Arial" w:cs="Arial"/>
          <w:spacing w:val="-4"/>
          <w:sz w:val="20"/>
        </w:rPr>
        <w:t xml:space="preserve"> </w:t>
      </w:r>
      <w:r w:rsidRPr="00F261A3">
        <w:rPr>
          <w:rFonts w:ascii="Arial" w:hAnsi="Arial" w:cs="Arial"/>
          <w:sz w:val="20"/>
        </w:rPr>
        <w:t>ask</w:t>
      </w:r>
      <w:r w:rsidRPr="00F261A3">
        <w:rPr>
          <w:rFonts w:ascii="Arial" w:hAnsi="Arial" w:cs="Arial"/>
          <w:spacing w:val="-1"/>
          <w:sz w:val="20"/>
        </w:rPr>
        <w:t xml:space="preserve"> </w:t>
      </w:r>
      <w:r w:rsidRPr="00F261A3">
        <w:rPr>
          <w:rFonts w:ascii="Arial" w:hAnsi="Arial" w:cs="Arial"/>
          <w:sz w:val="20"/>
        </w:rPr>
        <w:t>questions;</w:t>
      </w:r>
    </w:p>
    <w:p w14:paraId="18D6364E" w14:textId="77777777" w:rsidR="00F261A3" w:rsidRPr="00F261A3" w:rsidRDefault="00F261A3" w:rsidP="00F261A3">
      <w:pPr>
        <w:pStyle w:val="ListParagraph"/>
        <w:numPr>
          <w:ilvl w:val="2"/>
          <w:numId w:val="281"/>
        </w:numPr>
        <w:tabs>
          <w:tab w:val="left" w:pos="1841"/>
          <w:tab w:val="left" w:pos="1842"/>
        </w:tabs>
        <w:jc w:val="both"/>
        <w:rPr>
          <w:rFonts w:ascii="Arial" w:hAnsi="Arial" w:cs="Arial"/>
          <w:sz w:val="20"/>
        </w:rPr>
      </w:pPr>
      <w:r w:rsidRPr="00F261A3">
        <w:rPr>
          <w:rFonts w:ascii="Arial" w:hAnsi="Arial" w:cs="Arial"/>
          <w:sz w:val="20"/>
        </w:rPr>
        <w:t>operating</w:t>
      </w:r>
      <w:r w:rsidRPr="00F261A3">
        <w:rPr>
          <w:rFonts w:ascii="Arial" w:hAnsi="Arial" w:cs="Arial"/>
          <w:spacing w:val="-3"/>
          <w:sz w:val="20"/>
        </w:rPr>
        <w:t xml:space="preserve"> </w:t>
      </w:r>
      <w:r w:rsidRPr="00F261A3">
        <w:rPr>
          <w:rFonts w:ascii="Arial" w:hAnsi="Arial" w:cs="Arial"/>
          <w:sz w:val="20"/>
        </w:rPr>
        <w:t>procedures</w:t>
      </w:r>
      <w:r w:rsidRPr="00F261A3">
        <w:rPr>
          <w:rFonts w:ascii="Arial" w:hAnsi="Arial" w:cs="Arial"/>
          <w:spacing w:val="-1"/>
          <w:sz w:val="20"/>
        </w:rPr>
        <w:t xml:space="preserve"> </w:t>
      </w:r>
      <w:r w:rsidRPr="00F261A3">
        <w:rPr>
          <w:rFonts w:ascii="Arial" w:hAnsi="Arial" w:cs="Arial"/>
          <w:sz w:val="20"/>
        </w:rPr>
        <w:t>to be</w:t>
      </w:r>
      <w:r w:rsidRPr="00F261A3">
        <w:rPr>
          <w:rFonts w:ascii="Arial" w:hAnsi="Arial" w:cs="Arial"/>
          <w:spacing w:val="-4"/>
          <w:sz w:val="20"/>
        </w:rPr>
        <w:t xml:space="preserve"> </w:t>
      </w:r>
      <w:r w:rsidRPr="00F261A3">
        <w:rPr>
          <w:rFonts w:ascii="Arial" w:hAnsi="Arial" w:cs="Arial"/>
          <w:sz w:val="20"/>
        </w:rPr>
        <w:t>followed</w:t>
      </w:r>
      <w:r w:rsidRPr="00F261A3">
        <w:rPr>
          <w:rFonts w:ascii="Arial" w:hAnsi="Arial" w:cs="Arial"/>
          <w:spacing w:val="-3"/>
          <w:sz w:val="20"/>
        </w:rPr>
        <w:t xml:space="preserve"> </w:t>
      </w:r>
      <w:r w:rsidRPr="00F261A3">
        <w:rPr>
          <w:rFonts w:ascii="Arial" w:hAnsi="Arial" w:cs="Arial"/>
          <w:sz w:val="20"/>
        </w:rPr>
        <w:t>(for</w:t>
      </w:r>
      <w:r w:rsidRPr="00F261A3">
        <w:rPr>
          <w:rFonts w:ascii="Arial" w:hAnsi="Arial" w:cs="Arial"/>
          <w:spacing w:val="-4"/>
          <w:sz w:val="20"/>
        </w:rPr>
        <w:t xml:space="preserve"> </w:t>
      </w:r>
      <w:r w:rsidRPr="00F261A3">
        <w:rPr>
          <w:rFonts w:ascii="Arial" w:hAnsi="Arial" w:cs="Arial"/>
          <w:sz w:val="20"/>
        </w:rPr>
        <w:t>example,</w:t>
      </w:r>
      <w:r w:rsidRPr="00F261A3">
        <w:rPr>
          <w:rFonts w:ascii="Arial" w:hAnsi="Arial" w:cs="Arial"/>
          <w:spacing w:val="-1"/>
          <w:sz w:val="20"/>
        </w:rPr>
        <w:t xml:space="preserve"> </w:t>
      </w:r>
      <w:r w:rsidRPr="00F261A3">
        <w:rPr>
          <w:rFonts w:ascii="Arial" w:hAnsi="Arial" w:cs="Arial"/>
          <w:sz w:val="20"/>
        </w:rPr>
        <w:t>the</w:t>
      </w:r>
      <w:r w:rsidRPr="00F261A3">
        <w:rPr>
          <w:rFonts w:ascii="Arial" w:hAnsi="Arial" w:cs="Arial"/>
          <w:spacing w:val="-3"/>
          <w:sz w:val="20"/>
        </w:rPr>
        <w:t xml:space="preserve"> </w:t>
      </w:r>
      <w:r w:rsidRPr="00F261A3">
        <w:rPr>
          <w:rFonts w:ascii="Arial" w:hAnsi="Arial" w:cs="Arial"/>
          <w:sz w:val="20"/>
        </w:rPr>
        <w:t>operator's</w:t>
      </w:r>
      <w:r w:rsidRPr="00F261A3">
        <w:rPr>
          <w:rFonts w:ascii="Arial" w:hAnsi="Arial" w:cs="Arial"/>
          <w:spacing w:val="-3"/>
          <w:sz w:val="20"/>
        </w:rPr>
        <w:t xml:space="preserve"> </w:t>
      </w:r>
      <w:r w:rsidRPr="00F261A3">
        <w:rPr>
          <w:rFonts w:ascii="Arial" w:hAnsi="Arial" w:cs="Arial"/>
          <w:sz w:val="20"/>
        </w:rPr>
        <w:t>manual);</w:t>
      </w:r>
    </w:p>
    <w:p w14:paraId="6CEE1EE2" w14:textId="77777777" w:rsidR="00F261A3" w:rsidRPr="00F261A3" w:rsidRDefault="00F261A3" w:rsidP="00F261A3">
      <w:pPr>
        <w:pStyle w:val="ListParagraph"/>
        <w:numPr>
          <w:ilvl w:val="2"/>
          <w:numId w:val="281"/>
        </w:numPr>
        <w:tabs>
          <w:tab w:val="left" w:pos="1841"/>
          <w:tab w:val="left" w:pos="1842"/>
        </w:tabs>
        <w:spacing w:before="118"/>
        <w:jc w:val="both"/>
        <w:rPr>
          <w:rFonts w:ascii="Arial" w:hAnsi="Arial" w:cs="Arial"/>
          <w:sz w:val="20"/>
        </w:rPr>
      </w:pPr>
      <w:r w:rsidRPr="00F261A3">
        <w:rPr>
          <w:rFonts w:ascii="Arial" w:hAnsi="Arial" w:cs="Arial"/>
          <w:sz w:val="20"/>
        </w:rPr>
        <w:t>weather</w:t>
      </w:r>
      <w:r w:rsidRPr="00F261A3">
        <w:rPr>
          <w:rFonts w:ascii="Arial" w:hAnsi="Arial" w:cs="Arial"/>
          <w:spacing w:val="-4"/>
          <w:sz w:val="20"/>
        </w:rPr>
        <w:t xml:space="preserve"> </w:t>
      </w:r>
      <w:r w:rsidRPr="00F261A3">
        <w:rPr>
          <w:rFonts w:ascii="Arial" w:hAnsi="Arial" w:cs="Arial"/>
          <w:sz w:val="20"/>
        </w:rPr>
        <w:t>assessment;</w:t>
      </w:r>
    </w:p>
    <w:p w14:paraId="0623B390" w14:textId="77777777" w:rsidR="00F261A3" w:rsidRPr="00F261A3" w:rsidRDefault="00F261A3" w:rsidP="00F261A3">
      <w:pPr>
        <w:pStyle w:val="ListParagraph"/>
        <w:numPr>
          <w:ilvl w:val="2"/>
          <w:numId w:val="281"/>
        </w:numPr>
        <w:tabs>
          <w:tab w:val="left" w:pos="1841"/>
          <w:tab w:val="left" w:pos="1842"/>
        </w:tabs>
        <w:jc w:val="both"/>
        <w:rPr>
          <w:rFonts w:ascii="Arial" w:hAnsi="Arial" w:cs="Arial"/>
          <w:sz w:val="20"/>
        </w:rPr>
      </w:pPr>
      <w:r w:rsidRPr="00F261A3">
        <w:rPr>
          <w:rFonts w:ascii="Arial" w:hAnsi="Arial" w:cs="Arial"/>
          <w:sz w:val="20"/>
        </w:rPr>
        <w:t>operating</w:t>
      </w:r>
      <w:r w:rsidRPr="00F261A3">
        <w:rPr>
          <w:rFonts w:ascii="Arial" w:hAnsi="Arial" w:cs="Arial"/>
          <w:spacing w:val="-3"/>
          <w:sz w:val="20"/>
        </w:rPr>
        <w:t xml:space="preserve"> </w:t>
      </w:r>
      <w:r w:rsidRPr="00F261A3">
        <w:rPr>
          <w:rFonts w:ascii="Arial" w:hAnsi="Arial" w:cs="Arial"/>
          <w:sz w:val="20"/>
        </w:rPr>
        <w:t>capacity</w:t>
      </w:r>
      <w:r w:rsidRPr="00F261A3">
        <w:rPr>
          <w:rFonts w:ascii="Arial" w:hAnsi="Arial" w:cs="Arial"/>
          <w:spacing w:val="-2"/>
          <w:sz w:val="20"/>
        </w:rPr>
        <w:t xml:space="preserve"> </w:t>
      </w:r>
      <w:r w:rsidRPr="00F261A3">
        <w:rPr>
          <w:rFonts w:ascii="Arial" w:hAnsi="Arial" w:cs="Arial"/>
          <w:sz w:val="20"/>
        </w:rPr>
        <w:t>of</w:t>
      </w:r>
      <w:r w:rsidRPr="00F261A3">
        <w:rPr>
          <w:rFonts w:ascii="Arial" w:hAnsi="Arial" w:cs="Arial"/>
          <w:spacing w:val="-3"/>
          <w:sz w:val="20"/>
        </w:rPr>
        <w:t xml:space="preserve"> </w:t>
      </w:r>
      <w:r w:rsidRPr="00F261A3">
        <w:rPr>
          <w:rFonts w:ascii="Arial" w:hAnsi="Arial" w:cs="Arial"/>
          <w:sz w:val="20"/>
        </w:rPr>
        <w:t>‘candidate’ and</w:t>
      </w:r>
      <w:r w:rsidRPr="00F261A3">
        <w:rPr>
          <w:rFonts w:ascii="Arial" w:hAnsi="Arial" w:cs="Arial"/>
          <w:spacing w:val="-1"/>
          <w:sz w:val="20"/>
        </w:rPr>
        <w:t xml:space="preserve"> </w:t>
      </w:r>
      <w:r w:rsidRPr="00F261A3">
        <w:rPr>
          <w:rFonts w:ascii="Arial" w:hAnsi="Arial" w:cs="Arial"/>
          <w:sz w:val="20"/>
        </w:rPr>
        <w:t>examiner;</w:t>
      </w:r>
    </w:p>
    <w:p w14:paraId="22AC42F4" w14:textId="77777777" w:rsidR="00F261A3" w:rsidRPr="00F261A3" w:rsidRDefault="00F261A3" w:rsidP="00F261A3">
      <w:pPr>
        <w:pStyle w:val="ListParagraph"/>
        <w:numPr>
          <w:ilvl w:val="2"/>
          <w:numId w:val="281"/>
        </w:numPr>
        <w:tabs>
          <w:tab w:val="left" w:pos="1841"/>
          <w:tab w:val="left" w:pos="1842"/>
        </w:tabs>
        <w:spacing w:before="121"/>
        <w:jc w:val="both"/>
        <w:rPr>
          <w:rFonts w:ascii="Arial" w:hAnsi="Arial" w:cs="Arial"/>
          <w:sz w:val="20"/>
        </w:rPr>
      </w:pPr>
      <w:r w:rsidRPr="00F261A3">
        <w:rPr>
          <w:rFonts w:ascii="Arial" w:hAnsi="Arial" w:cs="Arial"/>
          <w:sz w:val="20"/>
        </w:rPr>
        <w:t>aims</w:t>
      </w:r>
      <w:r w:rsidRPr="00F261A3">
        <w:rPr>
          <w:rFonts w:ascii="Arial" w:hAnsi="Arial" w:cs="Arial"/>
          <w:spacing w:val="-3"/>
          <w:sz w:val="20"/>
        </w:rPr>
        <w:t xml:space="preserve"> </w:t>
      </w:r>
      <w:r w:rsidRPr="00F261A3">
        <w:rPr>
          <w:rFonts w:ascii="Arial" w:hAnsi="Arial" w:cs="Arial"/>
          <w:sz w:val="20"/>
        </w:rPr>
        <w:t>to be identified</w:t>
      </w:r>
      <w:r w:rsidRPr="00F261A3">
        <w:rPr>
          <w:rFonts w:ascii="Arial" w:hAnsi="Arial" w:cs="Arial"/>
          <w:spacing w:val="-1"/>
          <w:sz w:val="20"/>
        </w:rPr>
        <w:t xml:space="preserve"> </w:t>
      </w:r>
      <w:r w:rsidRPr="00F261A3">
        <w:rPr>
          <w:rFonts w:ascii="Arial" w:hAnsi="Arial" w:cs="Arial"/>
          <w:sz w:val="20"/>
        </w:rPr>
        <w:t>by</w:t>
      </w:r>
      <w:r w:rsidRPr="00F261A3">
        <w:rPr>
          <w:rFonts w:ascii="Arial" w:hAnsi="Arial" w:cs="Arial"/>
          <w:spacing w:val="-1"/>
          <w:sz w:val="20"/>
        </w:rPr>
        <w:t xml:space="preserve"> </w:t>
      </w:r>
      <w:r w:rsidRPr="00F261A3">
        <w:rPr>
          <w:rFonts w:ascii="Arial" w:hAnsi="Arial" w:cs="Arial"/>
          <w:sz w:val="20"/>
        </w:rPr>
        <w:t>‘candidate’;</w:t>
      </w:r>
    </w:p>
    <w:p w14:paraId="4591417D" w14:textId="77777777" w:rsidR="00F261A3" w:rsidRPr="00F261A3" w:rsidRDefault="00F261A3" w:rsidP="00F261A3">
      <w:pPr>
        <w:pStyle w:val="ListParagraph"/>
        <w:numPr>
          <w:ilvl w:val="2"/>
          <w:numId w:val="281"/>
        </w:numPr>
        <w:tabs>
          <w:tab w:val="left" w:pos="1842"/>
        </w:tabs>
        <w:ind w:right="198"/>
        <w:jc w:val="both"/>
        <w:rPr>
          <w:rFonts w:ascii="Arial" w:hAnsi="Arial" w:cs="Arial"/>
          <w:sz w:val="20"/>
        </w:rPr>
      </w:pPr>
      <w:r w:rsidRPr="00F261A3">
        <w:rPr>
          <w:rFonts w:ascii="Arial" w:hAnsi="Arial" w:cs="Arial"/>
          <w:sz w:val="20"/>
        </w:rPr>
        <w:t>simulated</w:t>
      </w:r>
      <w:r w:rsidRPr="00F261A3">
        <w:rPr>
          <w:rFonts w:ascii="Arial" w:hAnsi="Arial" w:cs="Arial"/>
          <w:spacing w:val="1"/>
          <w:sz w:val="20"/>
        </w:rPr>
        <w:t xml:space="preserve"> </w:t>
      </w:r>
      <w:r w:rsidRPr="00F261A3">
        <w:rPr>
          <w:rFonts w:ascii="Arial" w:hAnsi="Arial" w:cs="Arial"/>
          <w:sz w:val="20"/>
        </w:rPr>
        <w:t>weather</w:t>
      </w:r>
      <w:r w:rsidRPr="00F261A3">
        <w:rPr>
          <w:rFonts w:ascii="Arial" w:hAnsi="Arial" w:cs="Arial"/>
          <w:spacing w:val="1"/>
          <w:sz w:val="20"/>
        </w:rPr>
        <w:t xml:space="preserve"> </w:t>
      </w:r>
      <w:r w:rsidRPr="00F261A3">
        <w:rPr>
          <w:rFonts w:ascii="Arial" w:hAnsi="Arial" w:cs="Arial"/>
          <w:sz w:val="20"/>
        </w:rPr>
        <w:t>assumptions</w:t>
      </w:r>
      <w:r w:rsidRPr="00F261A3">
        <w:rPr>
          <w:rFonts w:ascii="Arial" w:hAnsi="Arial" w:cs="Arial"/>
          <w:spacing w:val="1"/>
          <w:sz w:val="20"/>
        </w:rPr>
        <w:t xml:space="preserve"> </w:t>
      </w:r>
      <w:r w:rsidRPr="00F261A3">
        <w:rPr>
          <w:rFonts w:ascii="Arial" w:hAnsi="Arial" w:cs="Arial"/>
          <w:sz w:val="20"/>
        </w:rPr>
        <w:t>(for</w:t>
      </w:r>
      <w:r w:rsidRPr="00F261A3">
        <w:rPr>
          <w:rFonts w:ascii="Arial" w:hAnsi="Arial" w:cs="Arial"/>
          <w:spacing w:val="1"/>
          <w:sz w:val="20"/>
        </w:rPr>
        <w:t xml:space="preserve"> </w:t>
      </w:r>
      <w:r w:rsidRPr="00F261A3">
        <w:rPr>
          <w:rFonts w:ascii="Arial" w:hAnsi="Arial" w:cs="Arial"/>
          <w:sz w:val="20"/>
        </w:rPr>
        <w:t>example,</w:t>
      </w:r>
      <w:r w:rsidRPr="00F261A3">
        <w:rPr>
          <w:rFonts w:ascii="Arial" w:hAnsi="Arial" w:cs="Arial"/>
          <w:spacing w:val="1"/>
          <w:sz w:val="20"/>
        </w:rPr>
        <w:t xml:space="preserve"> </w:t>
      </w:r>
      <w:r w:rsidRPr="00F261A3">
        <w:rPr>
          <w:rFonts w:ascii="Arial" w:hAnsi="Arial" w:cs="Arial"/>
          <w:sz w:val="20"/>
        </w:rPr>
        <w:t>wind</w:t>
      </w:r>
      <w:r w:rsidRPr="00F261A3">
        <w:rPr>
          <w:rFonts w:ascii="Arial" w:hAnsi="Arial" w:cs="Arial"/>
          <w:spacing w:val="1"/>
          <w:sz w:val="20"/>
        </w:rPr>
        <w:t xml:space="preserve"> </w:t>
      </w:r>
      <w:r w:rsidRPr="00F261A3">
        <w:rPr>
          <w:rFonts w:ascii="Arial" w:hAnsi="Arial" w:cs="Arial"/>
          <w:sz w:val="20"/>
        </w:rPr>
        <w:t>speed</w:t>
      </w:r>
      <w:r w:rsidRPr="00F261A3">
        <w:rPr>
          <w:rFonts w:ascii="Arial" w:hAnsi="Arial" w:cs="Arial"/>
          <w:spacing w:val="1"/>
          <w:sz w:val="20"/>
        </w:rPr>
        <w:t xml:space="preserve"> </w:t>
      </w:r>
      <w:r w:rsidRPr="00F261A3">
        <w:rPr>
          <w:rFonts w:ascii="Arial" w:hAnsi="Arial" w:cs="Arial"/>
          <w:sz w:val="20"/>
        </w:rPr>
        <w:t>and</w:t>
      </w:r>
      <w:r w:rsidRPr="00F261A3">
        <w:rPr>
          <w:rFonts w:ascii="Arial" w:hAnsi="Arial" w:cs="Arial"/>
          <w:spacing w:val="1"/>
          <w:sz w:val="20"/>
        </w:rPr>
        <w:t xml:space="preserve"> </w:t>
      </w:r>
      <w:r w:rsidRPr="00F261A3">
        <w:rPr>
          <w:rFonts w:ascii="Arial" w:hAnsi="Arial" w:cs="Arial"/>
          <w:sz w:val="20"/>
        </w:rPr>
        <w:t>visibility</w:t>
      </w:r>
      <w:r w:rsidRPr="00F261A3">
        <w:rPr>
          <w:rFonts w:ascii="Arial" w:hAnsi="Arial" w:cs="Arial"/>
          <w:spacing w:val="1"/>
          <w:sz w:val="20"/>
        </w:rPr>
        <w:t xml:space="preserve"> </w:t>
      </w:r>
      <w:r w:rsidRPr="00F261A3">
        <w:rPr>
          <w:rFonts w:ascii="Arial" w:hAnsi="Arial" w:cs="Arial"/>
          <w:sz w:val="20"/>
        </w:rPr>
        <w:t>cloud</w:t>
      </w:r>
      <w:r w:rsidRPr="00F261A3">
        <w:rPr>
          <w:rFonts w:ascii="Arial" w:hAnsi="Arial" w:cs="Arial"/>
          <w:spacing w:val="-47"/>
          <w:sz w:val="20"/>
        </w:rPr>
        <w:t xml:space="preserve"> </w:t>
      </w:r>
      <w:r w:rsidRPr="00F261A3">
        <w:rPr>
          <w:rFonts w:ascii="Arial" w:hAnsi="Arial" w:cs="Arial"/>
          <w:sz w:val="20"/>
        </w:rPr>
        <w:t>base);</w:t>
      </w:r>
    </w:p>
    <w:p w14:paraId="708A30BF" w14:textId="77777777" w:rsidR="00F261A3" w:rsidRPr="00F261A3" w:rsidRDefault="00F261A3" w:rsidP="00F261A3">
      <w:pPr>
        <w:pStyle w:val="ListParagraph"/>
        <w:numPr>
          <w:ilvl w:val="2"/>
          <w:numId w:val="281"/>
        </w:numPr>
        <w:tabs>
          <w:tab w:val="left" w:pos="1841"/>
          <w:tab w:val="left" w:pos="1842"/>
        </w:tabs>
        <w:spacing w:before="121"/>
        <w:jc w:val="both"/>
        <w:rPr>
          <w:rFonts w:ascii="Arial" w:hAnsi="Arial" w:cs="Arial"/>
          <w:sz w:val="20"/>
        </w:rPr>
      </w:pPr>
      <w:r w:rsidRPr="00F261A3">
        <w:rPr>
          <w:rFonts w:ascii="Arial" w:hAnsi="Arial" w:cs="Arial"/>
          <w:sz w:val="20"/>
        </w:rPr>
        <w:t>contents</w:t>
      </w:r>
      <w:r w:rsidRPr="00F261A3">
        <w:rPr>
          <w:rFonts w:ascii="Arial" w:hAnsi="Arial" w:cs="Arial"/>
          <w:spacing w:val="-3"/>
          <w:sz w:val="20"/>
        </w:rPr>
        <w:t xml:space="preserve"> </w:t>
      </w:r>
      <w:r w:rsidRPr="00F261A3">
        <w:rPr>
          <w:rFonts w:ascii="Arial" w:hAnsi="Arial" w:cs="Arial"/>
          <w:sz w:val="20"/>
        </w:rPr>
        <w:t>of</w:t>
      </w:r>
      <w:r w:rsidRPr="00F261A3">
        <w:rPr>
          <w:rFonts w:ascii="Arial" w:hAnsi="Arial" w:cs="Arial"/>
          <w:spacing w:val="-1"/>
          <w:sz w:val="20"/>
        </w:rPr>
        <w:t xml:space="preserve"> </w:t>
      </w:r>
      <w:r w:rsidRPr="00F261A3">
        <w:rPr>
          <w:rFonts w:ascii="Arial" w:hAnsi="Arial" w:cs="Arial"/>
          <w:sz w:val="20"/>
        </w:rPr>
        <w:t>the</w:t>
      </w:r>
      <w:r w:rsidRPr="00F261A3">
        <w:rPr>
          <w:rFonts w:ascii="Arial" w:hAnsi="Arial" w:cs="Arial"/>
          <w:spacing w:val="-3"/>
          <w:sz w:val="20"/>
        </w:rPr>
        <w:t xml:space="preserve"> </w:t>
      </w:r>
      <w:r w:rsidRPr="00F261A3">
        <w:rPr>
          <w:rFonts w:ascii="Arial" w:hAnsi="Arial" w:cs="Arial"/>
          <w:sz w:val="20"/>
        </w:rPr>
        <w:t>exercise</w:t>
      </w:r>
      <w:r w:rsidRPr="00F261A3">
        <w:rPr>
          <w:rFonts w:ascii="Arial" w:hAnsi="Arial" w:cs="Arial"/>
          <w:spacing w:val="1"/>
          <w:sz w:val="20"/>
        </w:rPr>
        <w:t xml:space="preserve"> </w:t>
      </w:r>
      <w:r w:rsidRPr="00F261A3">
        <w:rPr>
          <w:rFonts w:ascii="Arial" w:hAnsi="Arial" w:cs="Arial"/>
          <w:sz w:val="20"/>
        </w:rPr>
        <w:t>to</w:t>
      </w:r>
      <w:r w:rsidRPr="00F261A3">
        <w:rPr>
          <w:rFonts w:ascii="Arial" w:hAnsi="Arial" w:cs="Arial"/>
          <w:spacing w:val="-2"/>
          <w:sz w:val="20"/>
        </w:rPr>
        <w:t xml:space="preserve"> </w:t>
      </w:r>
      <w:r w:rsidRPr="00F261A3">
        <w:rPr>
          <w:rFonts w:ascii="Arial" w:hAnsi="Arial" w:cs="Arial"/>
          <w:sz w:val="20"/>
        </w:rPr>
        <w:t>be performed;</w:t>
      </w:r>
    </w:p>
    <w:p w14:paraId="007D1583" w14:textId="77777777" w:rsidR="00F261A3" w:rsidRPr="00F261A3" w:rsidRDefault="00F261A3" w:rsidP="00F261A3">
      <w:pPr>
        <w:pStyle w:val="ListParagraph"/>
        <w:numPr>
          <w:ilvl w:val="2"/>
          <w:numId w:val="281"/>
        </w:numPr>
        <w:tabs>
          <w:tab w:val="left" w:pos="1841"/>
          <w:tab w:val="left" w:pos="1842"/>
        </w:tabs>
        <w:jc w:val="both"/>
        <w:rPr>
          <w:rFonts w:ascii="Arial" w:hAnsi="Arial" w:cs="Arial"/>
          <w:sz w:val="20"/>
        </w:rPr>
      </w:pPr>
      <w:r w:rsidRPr="00F261A3">
        <w:rPr>
          <w:rFonts w:ascii="Arial" w:hAnsi="Arial" w:cs="Arial"/>
          <w:sz w:val="20"/>
        </w:rPr>
        <w:t>use</w:t>
      </w:r>
      <w:r w:rsidRPr="00F261A3">
        <w:rPr>
          <w:rFonts w:ascii="Arial" w:hAnsi="Arial" w:cs="Arial"/>
          <w:spacing w:val="1"/>
          <w:sz w:val="20"/>
        </w:rPr>
        <w:t xml:space="preserve"> </w:t>
      </w:r>
      <w:r w:rsidRPr="00F261A3">
        <w:rPr>
          <w:rFonts w:ascii="Arial" w:hAnsi="Arial" w:cs="Arial"/>
          <w:sz w:val="20"/>
        </w:rPr>
        <w:t>of</w:t>
      </w:r>
      <w:r w:rsidRPr="00F261A3">
        <w:rPr>
          <w:rFonts w:ascii="Arial" w:hAnsi="Arial" w:cs="Arial"/>
          <w:spacing w:val="-2"/>
          <w:sz w:val="20"/>
        </w:rPr>
        <w:t xml:space="preserve"> </w:t>
      </w:r>
      <w:r w:rsidRPr="00F261A3">
        <w:rPr>
          <w:rFonts w:ascii="Arial" w:hAnsi="Arial" w:cs="Arial"/>
          <w:sz w:val="20"/>
        </w:rPr>
        <w:t>R/T;</w:t>
      </w:r>
    </w:p>
    <w:p w14:paraId="59AEFB76" w14:textId="77777777" w:rsidR="00F261A3" w:rsidRPr="00F261A3" w:rsidRDefault="00F261A3" w:rsidP="00F261A3">
      <w:pPr>
        <w:pStyle w:val="ListParagraph"/>
        <w:numPr>
          <w:ilvl w:val="2"/>
          <w:numId w:val="281"/>
        </w:numPr>
        <w:tabs>
          <w:tab w:val="left" w:pos="1841"/>
          <w:tab w:val="left" w:pos="1842"/>
        </w:tabs>
        <w:spacing w:before="121"/>
        <w:jc w:val="both"/>
        <w:rPr>
          <w:rFonts w:ascii="Arial" w:hAnsi="Arial" w:cs="Arial"/>
          <w:sz w:val="20"/>
        </w:rPr>
      </w:pPr>
      <w:r w:rsidRPr="00F261A3">
        <w:rPr>
          <w:rFonts w:ascii="Arial" w:hAnsi="Arial" w:cs="Arial"/>
          <w:sz w:val="20"/>
        </w:rPr>
        <w:t>respective</w:t>
      </w:r>
      <w:r w:rsidRPr="00F261A3">
        <w:rPr>
          <w:rFonts w:ascii="Arial" w:hAnsi="Arial" w:cs="Arial"/>
          <w:spacing w:val="-8"/>
          <w:sz w:val="20"/>
        </w:rPr>
        <w:t xml:space="preserve"> </w:t>
      </w:r>
      <w:r w:rsidRPr="00F261A3">
        <w:rPr>
          <w:rFonts w:ascii="Arial" w:hAnsi="Arial" w:cs="Arial"/>
          <w:sz w:val="20"/>
        </w:rPr>
        <w:t>roles</w:t>
      </w:r>
      <w:r w:rsidRPr="00F261A3">
        <w:rPr>
          <w:rFonts w:ascii="Arial" w:hAnsi="Arial" w:cs="Arial"/>
          <w:spacing w:val="-10"/>
          <w:sz w:val="20"/>
        </w:rPr>
        <w:t xml:space="preserve"> </w:t>
      </w:r>
      <w:r w:rsidRPr="00F261A3">
        <w:rPr>
          <w:rFonts w:ascii="Arial" w:hAnsi="Arial" w:cs="Arial"/>
          <w:sz w:val="20"/>
        </w:rPr>
        <w:t>of</w:t>
      </w:r>
      <w:r w:rsidRPr="00F261A3">
        <w:rPr>
          <w:rFonts w:ascii="Arial" w:hAnsi="Arial" w:cs="Arial"/>
          <w:spacing w:val="-8"/>
          <w:sz w:val="20"/>
        </w:rPr>
        <w:t xml:space="preserve"> </w:t>
      </w:r>
      <w:r w:rsidRPr="00F261A3">
        <w:rPr>
          <w:rFonts w:ascii="Arial" w:hAnsi="Arial" w:cs="Arial"/>
          <w:sz w:val="20"/>
        </w:rPr>
        <w:t>‘candidate’</w:t>
      </w:r>
      <w:r w:rsidRPr="00F261A3">
        <w:rPr>
          <w:rFonts w:ascii="Arial" w:hAnsi="Arial" w:cs="Arial"/>
          <w:spacing w:val="-8"/>
          <w:sz w:val="20"/>
        </w:rPr>
        <w:t xml:space="preserve"> </w:t>
      </w:r>
      <w:r w:rsidRPr="00F261A3">
        <w:rPr>
          <w:rFonts w:ascii="Arial" w:hAnsi="Arial" w:cs="Arial"/>
          <w:sz w:val="20"/>
        </w:rPr>
        <w:t>and</w:t>
      </w:r>
      <w:r w:rsidRPr="00F261A3">
        <w:rPr>
          <w:rFonts w:ascii="Arial" w:hAnsi="Arial" w:cs="Arial"/>
          <w:spacing w:val="-9"/>
          <w:sz w:val="20"/>
        </w:rPr>
        <w:t xml:space="preserve"> </w:t>
      </w:r>
      <w:r w:rsidRPr="00F261A3">
        <w:rPr>
          <w:rFonts w:ascii="Arial" w:hAnsi="Arial" w:cs="Arial"/>
          <w:sz w:val="20"/>
        </w:rPr>
        <w:t>examiner</w:t>
      </w:r>
      <w:r w:rsidRPr="00F261A3">
        <w:rPr>
          <w:rFonts w:ascii="Arial" w:hAnsi="Arial" w:cs="Arial"/>
          <w:spacing w:val="-8"/>
          <w:sz w:val="20"/>
        </w:rPr>
        <w:t xml:space="preserve"> </w:t>
      </w:r>
      <w:r w:rsidRPr="00F261A3">
        <w:rPr>
          <w:rFonts w:ascii="Arial" w:hAnsi="Arial" w:cs="Arial"/>
          <w:sz w:val="20"/>
        </w:rPr>
        <w:t>(for</w:t>
      </w:r>
      <w:r w:rsidRPr="00F261A3">
        <w:rPr>
          <w:rFonts w:ascii="Arial" w:hAnsi="Arial" w:cs="Arial"/>
          <w:spacing w:val="-8"/>
          <w:sz w:val="20"/>
        </w:rPr>
        <w:t xml:space="preserve"> </w:t>
      </w:r>
      <w:r w:rsidRPr="00F261A3">
        <w:rPr>
          <w:rFonts w:ascii="Arial" w:hAnsi="Arial" w:cs="Arial"/>
          <w:sz w:val="20"/>
        </w:rPr>
        <w:t>example,</w:t>
      </w:r>
      <w:r w:rsidRPr="00F261A3">
        <w:rPr>
          <w:rFonts w:ascii="Arial" w:hAnsi="Arial" w:cs="Arial"/>
          <w:spacing w:val="-8"/>
          <w:sz w:val="20"/>
        </w:rPr>
        <w:t xml:space="preserve"> </w:t>
      </w:r>
      <w:r w:rsidRPr="00F261A3">
        <w:rPr>
          <w:rFonts w:ascii="Arial" w:hAnsi="Arial" w:cs="Arial"/>
          <w:sz w:val="20"/>
        </w:rPr>
        <w:t>during</w:t>
      </w:r>
      <w:r w:rsidRPr="00F261A3">
        <w:rPr>
          <w:rFonts w:ascii="Arial" w:hAnsi="Arial" w:cs="Arial"/>
          <w:spacing w:val="-9"/>
          <w:sz w:val="20"/>
        </w:rPr>
        <w:t xml:space="preserve"> </w:t>
      </w:r>
      <w:r w:rsidRPr="00F261A3">
        <w:rPr>
          <w:rFonts w:ascii="Arial" w:hAnsi="Arial" w:cs="Arial"/>
          <w:sz w:val="20"/>
        </w:rPr>
        <w:t>emergency);</w:t>
      </w:r>
      <w:r w:rsidRPr="00F261A3">
        <w:rPr>
          <w:rFonts w:ascii="Arial" w:hAnsi="Arial" w:cs="Arial"/>
          <w:spacing w:val="-7"/>
          <w:sz w:val="20"/>
        </w:rPr>
        <w:t xml:space="preserve"> </w:t>
      </w:r>
      <w:r w:rsidRPr="00F261A3">
        <w:rPr>
          <w:rFonts w:ascii="Arial" w:hAnsi="Arial" w:cs="Arial"/>
          <w:sz w:val="20"/>
        </w:rPr>
        <w:t>and</w:t>
      </w:r>
    </w:p>
    <w:p w14:paraId="28F1B28A" w14:textId="77777777" w:rsidR="00F261A3" w:rsidRPr="00F261A3" w:rsidRDefault="00F261A3" w:rsidP="00F261A3">
      <w:pPr>
        <w:pStyle w:val="ListParagraph"/>
        <w:numPr>
          <w:ilvl w:val="2"/>
          <w:numId w:val="281"/>
        </w:numPr>
        <w:tabs>
          <w:tab w:val="left" w:pos="1841"/>
          <w:tab w:val="left" w:pos="1842"/>
        </w:tabs>
        <w:jc w:val="both"/>
        <w:rPr>
          <w:rFonts w:ascii="Arial" w:hAnsi="Arial" w:cs="Arial"/>
          <w:sz w:val="20"/>
        </w:rPr>
      </w:pPr>
      <w:r w:rsidRPr="00F261A3">
        <w:rPr>
          <w:rFonts w:ascii="Arial" w:hAnsi="Arial" w:cs="Arial"/>
          <w:sz w:val="20"/>
        </w:rPr>
        <w:t>administrative</w:t>
      </w:r>
      <w:r w:rsidRPr="00F261A3">
        <w:rPr>
          <w:rFonts w:ascii="Arial" w:hAnsi="Arial" w:cs="Arial"/>
          <w:spacing w:val="-4"/>
          <w:sz w:val="20"/>
        </w:rPr>
        <w:t xml:space="preserve"> </w:t>
      </w:r>
      <w:r w:rsidRPr="00F261A3">
        <w:rPr>
          <w:rFonts w:ascii="Arial" w:hAnsi="Arial" w:cs="Arial"/>
          <w:sz w:val="20"/>
        </w:rPr>
        <w:t>procedures</w:t>
      </w:r>
      <w:r w:rsidRPr="00F261A3">
        <w:rPr>
          <w:rFonts w:ascii="Arial" w:hAnsi="Arial" w:cs="Arial"/>
          <w:spacing w:val="-4"/>
          <w:sz w:val="20"/>
        </w:rPr>
        <w:t xml:space="preserve"> </w:t>
      </w:r>
      <w:r w:rsidRPr="00F261A3">
        <w:rPr>
          <w:rFonts w:ascii="Arial" w:hAnsi="Arial" w:cs="Arial"/>
          <w:sz w:val="20"/>
        </w:rPr>
        <w:t>(for</w:t>
      </w:r>
      <w:r w:rsidRPr="00F261A3">
        <w:rPr>
          <w:rFonts w:ascii="Arial" w:hAnsi="Arial" w:cs="Arial"/>
          <w:spacing w:val="-4"/>
          <w:sz w:val="20"/>
        </w:rPr>
        <w:t xml:space="preserve"> </w:t>
      </w:r>
      <w:r w:rsidRPr="00F261A3">
        <w:rPr>
          <w:rFonts w:ascii="Arial" w:hAnsi="Arial" w:cs="Arial"/>
          <w:sz w:val="20"/>
        </w:rPr>
        <w:t>example,</w:t>
      </w:r>
      <w:r w:rsidRPr="00F261A3">
        <w:rPr>
          <w:rFonts w:ascii="Arial" w:hAnsi="Arial" w:cs="Arial"/>
          <w:spacing w:val="-2"/>
          <w:sz w:val="20"/>
        </w:rPr>
        <w:t xml:space="preserve"> </w:t>
      </w:r>
      <w:r w:rsidRPr="00F261A3">
        <w:rPr>
          <w:rFonts w:ascii="Arial" w:hAnsi="Arial" w:cs="Arial"/>
          <w:sz w:val="20"/>
        </w:rPr>
        <w:t>submission</w:t>
      </w:r>
      <w:r w:rsidRPr="00F261A3">
        <w:rPr>
          <w:rFonts w:ascii="Arial" w:hAnsi="Arial" w:cs="Arial"/>
          <w:spacing w:val="-5"/>
          <w:sz w:val="20"/>
        </w:rPr>
        <w:t xml:space="preserve"> </w:t>
      </w:r>
      <w:r w:rsidRPr="00F261A3">
        <w:rPr>
          <w:rFonts w:ascii="Arial" w:hAnsi="Arial" w:cs="Arial"/>
          <w:sz w:val="20"/>
        </w:rPr>
        <w:t>of</w:t>
      </w:r>
      <w:r w:rsidRPr="00F261A3">
        <w:rPr>
          <w:rFonts w:ascii="Arial" w:hAnsi="Arial" w:cs="Arial"/>
          <w:spacing w:val="-2"/>
          <w:sz w:val="20"/>
        </w:rPr>
        <w:t xml:space="preserve"> </w:t>
      </w:r>
      <w:r w:rsidRPr="00F261A3">
        <w:rPr>
          <w:rFonts w:ascii="Arial" w:hAnsi="Arial" w:cs="Arial"/>
          <w:sz w:val="20"/>
        </w:rPr>
        <w:t>flight</w:t>
      </w:r>
      <w:r w:rsidRPr="00F261A3">
        <w:rPr>
          <w:rFonts w:ascii="Arial" w:hAnsi="Arial" w:cs="Arial"/>
          <w:spacing w:val="-2"/>
          <w:sz w:val="20"/>
        </w:rPr>
        <w:t xml:space="preserve"> </w:t>
      </w:r>
      <w:r w:rsidRPr="00F261A3">
        <w:rPr>
          <w:rFonts w:ascii="Arial" w:hAnsi="Arial" w:cs="Arial"/>
          <w:sz w:val="20"/>
        </w:rPr>
        <w:t>plan).</w:t>
      </w:r>
    </w:p>
    <w:p w14:paraId="5B5B20D0" w14:textId="77777777" w:rsidR="00F261A3" w:rsidRPr="00F261A3" w:rsidRDefault="00F261A3" w:rsidP="00F261A3">
      <w:pPr>
        <w:pStyle w:val="ListParagraph"/>
        <w:numPr>
          <w:ilvl w:val="1"/>
          <w:numId w:val="281"/>
        </w:numPr>
        <w:tabs>
          <w:tab w:val="left" w:pos="1273"/>
          <w:tab w:val="left" w:pos="1274"/>
        </w:tabs>
        <w:spacing w:before="56"/>
        <w:ind w:right="197"/>
        <w:jc w:val="both"/>
        <w:rPr>
          <w:rFonts w:ascii="Arial" w:hAnsi="Arial" w:cs="Arial"/>
          <w:sz w:val="20"/>
        </w:rPr>
      </w:pPr>
      <w:r w:rsidRPr="00F261A3">
        <w:rPr>
          <w:rFonts w:ascii="Arial" w:hAnsi="Arial" w:cs="Arial"/>
          <w:sz w:val="20"/>
        </w:rPr>
        <w:lastRenderedPageBreak/>
        <w:t>The</w:t>
      </w:r>
      <w:r w:rsidRPr="00F261A3">
        <w:rPr>
          <w:rFonts w:ascii="Arial" w:hAnsi="Arial" w:cs="Arial"/>
          <w:spacing w:val="6"/>
          <w:sz w:val="20"/>
        </w:rPr>
        <w:t xml:space="preserve"> </w:t>
      </w:r>
      <w:r w:rsidRPr="00F261A3">
        <w:rPr>
          <w:rFonts w:ascii="Arial" w:hAnsi="Arial" w:cs="Arial"/>
          <w:sz w:val="20"/>
        </w:rPr>
        <w:t>examiner</w:t>
      </w:r>
      <w:r w:rsidRPr="00F261A3">
        <w:rPr>
          <w:rFonts w:ascii="Arial" w:hAnsi="Arial" w:cs="Arial"/>
          <w:spacing w:val="4"/>
          <w:sz w:val="20"/>
        </w:rPr>
        <w:t xml:space="preserve"> </w:t>
      </w:r>
      <w:r w:rsidRPr="00F261A3">
        <w:rPr>
          <w:rFonts w:ascii="Arial" w:hAnsi="Arial" w:cs="Arial"/>
          <w:sz w:val="20"/>
        </w:rPr>
        <w:t>applicant</w:t>
      </w:r>
      <w:r w:rsidRPr="00F261A3">
        <w:rPr>
          <w:rFonts w:ascii="Arial" w:hAnsi="Arial" w:cs="Arial"/>
          <w:spacing w:val="8"/>
          <w:sz w:val="20"/>
        </w:rPr>
        <w:t xml:space="preserve"> </w:t>
      </w:r>
      <w:r w:rsidRPr="00F261A3">
        <w:rPr>
          <w:rFonts w:ascii="Arial" w:hAnsi="Arial" w:cs="Arial"/>
          <w:sz w:val="20"/>
        </w:rPr>
        <w:t>should</w:t>
      </w:r>
      <w:r w:rsidRPr="00F261A3">
        <w:rPr>
          <w:rFonts w:ascii="Arial" w:hAnsi="Arial" w:cs="Arial"/>
          <w:spacing w:val="5"/>
          <w:sz w:val="20"/>
        </w:rPr>
        <w:t xml:space="preserve"> </w:t>
      </w:r>
      <w:r w:rsidRPr="00F261A3">
        <w:rPr>
          <w:rFonts w:ascii="Arial" w:hAnsi="Arial" w:cs="Arial"/>
          <w:sz w:val="20"/>
        </w:rPr>
        <w:t>maintain</w:t>
      </w:r>
      <w:r w:rsidRPr="00F261A3">
        <w:rPr>
          <w:rFonts w:ascii="Arial" w:hAnsi="Arial" w:cs="Arial"/>
          <w:spacing w:val="3"/>
          <w:sz w:val="20"/>
        </w:rPr>
        <w:t xml:space="preserve"> </w:t>
      </w:r>
      <w:r w:rsidRPr="00F261A3">
        <w:rPr>
          <w:rFonts w:ascii="Arial" w:hAnsi="Arial" w:cs="Arial"/>
          <w:sz w:val="20"/>
        </w:rPr>
        <w:t>the</w:t>
      </w:r>
      <w:r w:rsidRPr="00F261A3">
        <w:rPr>
          <w:rFonts w:ascii="Arial" w:hAnsi="Arial" w:cs="Arial"/>
          <w:spacing w:val="7"/>
          <w:sz w:val="20"/>
        </w:rPr>
        <w:t xml:space="preserve"> </w:t>
      </w:r>
      <w:r w:rsidRPr="00F261A3">
        <w:rPr>
          <w:rFonts w:ascii="Arial" w:hAnsi="Arial" w:cs="Arial"/>
          <w:sz w:val="20"/>
        </w:rPr>
        <w:t>necessary</w:t>
      </w:r>
      <w:r w:rsidRPr="00F261A3">
        <w:rPr>
          <w:rFonts w:ascii="Arial" w:hAnsi="Arial" w:cs="Arial"/>
          <w:spacing w:val="7"/>
          <w:sz w:val="20"/>
        </w:rPr>
        <w:t xml:space="preserve"> </w:t>
      </w:r>
      <w:r w:rsidRPr="00F261A3">
        <w:rPr>
          <w:rFonts w:ascii="Arial" w:hAnsi="Arial" w:cs="Arial"/>
          <w:sz w:val="20"/>
        </w:rPr>
        <w:t>level</w:t>
      </w:r>
      <w:r w:rsidRPr="00F261A3">
        <w:rPr>
          <w:rFonts w:ascii="Arial" w:hAnsi="Arial" w:cs="Arial"/>
          <w:spacing w:val="4"/>
          <w:sz w:val="20"/>
        </w:rPr>
        <w:t xml:space="preserve"> </w:t>
      </w:r>
      <w:r w:rsidRPr="00F261A3">
        <w:rPr>
          <w:rFonts w:ascii="Arial" w:hAnsi="Arial" w:cs="Arial"/>
          <w:sz w:val="20"/>
        </w:rPr>
        <w:t>of</w:t>
      </w:r>
      <w:r w:rsidRPr="00F261A3">
        <w:rPr>
          <w:rFonts w:ascii="Arial" w:hAnsi="Arial" w:cs="Arial"/>
          <w:spacing w:val="7"/>
          <w:sz w:val="20"/>
        </w:rPr>
        <w:t xml:space="preserve"> </w:t>
      </w:r>
      <w:r w:rsidRPr="00F261A3">
        <w:rPr>
          <w:rFonts w:ascii="Arial" w:hAnsi="Arial" w:cs="Arial"/>
          <w:sz w:val="20"/>
        </w:rPr>
        <w:t>communication</w:t>
      </w:r>
      <w:r w:rsidRPr="00F261A3">
        <w:rPr>
          <w:rFonts w:ascii="Arial" w:hAnsi="Arial" w:cs="Arial"/>
          <w:spacing w:val="3"/>
          <w:sz w:val="20"/>
        </w:rPr>
        <w:t xml:space="preserve"> </w:t>
      </w:r>
      <w:r w:rsidRPr="00F261A3">
        <w:rPr>
          <w:rFonts w:ascii="Arial" w:hAnsi="Arial" w:cs="Arial"/>
          <w:sz w:val="20"/>
        </w:rPr>
        <w:t>with</w:t>
      </w:r>
      <w:r w:rsidRPr="00F261A3">
        <w:rPr>
          <w:rFonts w:ascii="Arial" w:hAnsi="Arial" w:cs="Arial"/>
          <w:spacing w:val="6"/>
          <w:sz w:val="20"/>
        </w:rPr>
        <w:t xml:space="preserve"> </w:t>
      </w:r>
      <w:r w:rsidRPr="00F261A3">
        <w:rPr>
          <w:rFonts w:ascii="Arial" w:hAnsi="Arial" w:cs="Arial"/>
          <w:sz w:val="20"/>
        </w:rPr>
        <w:t>the</w:t>
      </w:r>
      <w:r w:rsidRPr="00F261A3">
        <w:rPr>
          <w:rFonts w:ascii="Arial" w:hAnsi="Arial" w:cs="Arial"/>
          <w:spacing w:val="-46"/>
          <w:sz w:val="20"/>
        </w:rPr>
        <w:t xml:space="preserve"> </w:t>
      </w:r>
      <w:r w:rsidRPr="00F261A3">
        <w:rPr>
          <w:rFonts w:ascii="Arial" w:hAnsi="Arial" w:cs="Arial"/>
          <w:sz w:val="20"/>
        </w:rPr>
        <w:t>‘candidate’.</w:t>
      </w:r>
      <w:r w:rsidRPr="00F261A3">
        <w:rPr>
          <w:rFonts w:ascii="Arial" w:hAnsi="Arial" w:cs="Arial"/>
          <w:spacing w:val="-1"/>
          <w:sz w:val="20"/>
        </w:rPr>
        <w:t xml:space="preserve"> </w:t>
      </w:r>
      <w:r w:rsidRPr="00F261A3">
        <w:rPr>
          <w:rFonts w:ascii="Arial" w:hAnsi="Arial" w:cs="Arial"/>
          <w:sz w:val="20"/>
        </w:rPr>
        <w:t>The</w:t>
      </w:r>
      <w:r w:rsidRPr="00F261A3">
        <w:rPr>
          <w:rFonts w:ascii="Arial" w:hAnsi="Arial" w:cs="Arial"/>
          <w:spacing w:val="-4"/>
          <w:sz w:val="20"/>
        </w:rPr>
        <w:t xml:space="preserve"> </w:t>
      </w:r>
      <w:r w:rsidRPr="00F261A3">
        <w:rPr>
          <w:rFonts w:ascii="Arial" w:hAnsi="Arial" w:cs="Arial"/>
          <w:sz w:val="20"/>
        </w:rPr>
        <w:t>following</w:t>
      </w:r>
      <w:r w:rsidRPr="00F261A3">
        <w:rPr>
          <w:rFonts w:ascii="Arial" w:hAnsi="Arial" w:cs="Arial"/>
          <w:spacing w:val="-5"/>
          <w:sz w:val="20"/>
        </w:rPr>
        <w:t xml:space="preserve"> </w:t>
      </w:r>
      <w:r w:rsidRPr="00F261A3">
        <w:rPr>
          <w:rFonts w:ascii="Arial" w:hAnsi="Arial" w:cs="Arial"/>
          <w:sz w:val="20"/>
        </w:rPr>
        <w:t>check details</w:t>
      </w:r>
      <w:r w:rsidRPr="00F261A3">
        <w:rPr>
          <w:rFonts w:ascii="Arial" w:hAnsi="Arial" w:cs="Arial"/>
          <w:spacing w:val="-1"/>
          <w:sz w:val="20"/>
        </w:rPr>
        <w:t xml:space="preserve"> </w:t>
      </w:r>
      <w:r w:rsidRPr="00F261A3">
        <w:rPr>
          <w:rFonts w:ascii="Arial" w:hAnsi="Arial" w:cs="Arial"/>
          <w:sz w:val="20"/>
        </w:rPr>
        <w:t>should</w:t>
      </w:r>
      <w:r w:rsidRPr="00F261A3">
        <w:rPr>
          <w:rFonts w:ascii="Arial" w:hAnsi="Arial" w:cs="Arial"/>
          <w:spacing w:val="-2"/>
          <w:sz w:val="20"/>
        </w:rPr>
        <w:t xml:space="preserve"> </w:t>
      </w:r>
      <w:r w:rsidRPr="00F261A3">
        <w:rPr>
          <w:rFonts w:ascii="Arial" w:hAnsi="Arial" w:cs="Arial"/>
          <w:sz w:val="20"/>
        </w:rPr>
        <w:t>be followed</w:t>
      </w:r>
      <w:r w:rsidRPr="00F261A3">
        <w:rPr>
          <w:rFonts w:ascii="Arial" w:hAnsi="Arial" w:cs="Arial"/>
          <w:spacing w:val="-2"/>
          <w:sz w:val="20"/>
        </w:rPr>
        <w:t xml:space="preserve"> </w:t>
      </w:r>
      <w:r w:rsidRPr="00F261A3">
        <w:rPr>
          <w:rFonts w:ascii="Arial" w:hAnsi="Arial" w:cs="Arial"/>
          <w:sz w:val="20"/>
        </w:rPr>
        <w:t>by</w:t>
      </w:r>
      <w:r w:rsidRPr="00F261A3">
        <w:rPr>
          <w:rFonts w:ascii="Arial" w:hAnsi="Arial" w:cs="Arial"/>
          <w:spacing w:val="-3"/>
          <w:sz w:val="20"/>
        </w:rPr>
        <w:t xml:space="preserve"> </w:t>
      </w:r>
      <w:r w:rsidRPr="00F261A3">
        <w:rPr>
          <w:rFonts w:ascii="Arial" w:hAnsi="Arial" w:cs="Arial"/>
          <w:sz w:val="20"/>
        </w:rPr>
        <w:t>the</w:t>
      </w:r>
      <w:r w:rsidRPr="00F261A3">
        <w:rPr>
          <w:rFonts w:ascii="Arial" w:hAnsi="Arial" w:cs="Arial"/>
          <w:spacing w:val="-3"/>
          <w:sz w:val="20"/>
        </w:rPr>
        <w:t xml:space="preserve"> </w:t>
      </w:r>
      <w:r w:rsidRPr="00F261A3">
        <w:rPr>
          <w:rFonts w:ascii="Arial" w:hAnsi="Arial" w:cs="Arial"/>
          <w:sz w:val="20"/>
        </w:rPr>
        <w:t>examiner applicant:</w:t>
      </w:r>
    </w:p>
    <w:p w14:paraId="5206ACBE" w14:textId="77777777" w:rsidR="00F261A3" w:rsidRPr="00F261A3" w:rsidRDefault="00F261A3" w:rsidP="00F261A3">
      <w:pPr>
        <w:pStyle w:val="ListParagraph"/>
        <w:numPr>
          <w:ilvl w:val="2"/>
          <w:numId w:val="281"/>
        </w:numPr>
        <w:tabs>
          <w:tab w:val="left" w:pos="1841"/>
          <w:tab w:val="left" w:pos="1842"/>
        </w:tabs>
        <w:spacing w:before="121"/>
        <w:jc w:val="both"/>
        <w:rPr>
          <w:rFonts w:ascii="Arial" w:hAnsi="Arial" w:cs="Arial"/>
          <w:sz w:val="20"/>
        </w:rPr>
      </w:pPr>
      <w:r w:rsidRPr="00F261A3">
        <w:rPr>
          <w:rFonts w:ascii="Arial" w:hAnsi="Arial" w:cs="Arial"/>
          <w:sz w:val="20"/>
        </w:rPr>
        <w:t>the</w:t>
      </w:r>
      <w:r w:rsidRPr="00F261A3">
        <w:rPr>
          <w:rFonts w:ascii="Arial" w:hAnsi="Arial" w:cs="Arial"/>
          <w:spacing w:val="-2"/>
          <w:sz w:val="20"/>
        </w:rPr>
        <w:t xml:space="preserve"> </w:t>
      </w:r>
      <w:r w:rsidRPr="00F261A3">
        <w:rPr>
          <w:rFonts w:ascii="Arial" w:hAnsi="Arial" w:cs="Arial"/>
          <w:sz w:val="20"/>
        </w:rPr>
        <w:t>need</w:t>
      </w:r>
      <w:r w:rsidRPr="00F261A3">
        <w:rPr>
          <w:rFonts w:ascii="Arial" w:hAnsi="Arial" w:cs="Arial"/>
          <w:spacing w:val="-5"/>
          <w:sz w:val="20"/>
        </w:rPr>
        <w:t xml:space="preserve"> </w:t>
      </w:r>
      <w:r w:rsidRPr="00F261A3">
        <w:rPr>
          <w:rFonts w:ascii="Arial" w:hAnsi="Arial" w:cs="Arial"/>
          <w:sz w:val="20"/>
        </w:rPr>
        <w:t>to</w:t>
      </w:r>
      <w:r w:rsidRPr="00F261A3">
        <w:rPr>
          <w:rFonts w:ascii="Arial" w:hAnsi="Arial" w:cs="Arial"/>
          <w:spacing w:val="-3"/>
          <w:sz w:val="20"/>
        </w:rPr>
        <w:t xml:space="preserve"> </w:t>
      </w:r>
      <w:r w:rsidRPr="00F261A3">
        <w:rPr>
          <w:rFonts w:ascii="Arial" w:hAnsi="Arial" w:cs="Arial"/>
          <w:sz w:val="20"/>
        </w:rPr>
        <w:t>give the</w:t>
      </w:r>
      <w:r w:rsidRPr="00F261A3">
        <w:rPr>
          <w:rFonts w:ascii="Arial" w:hAnsi="Arial" w:cs="Arial"/>
          <w:spacing w:val="-4"/>
          <w:sz w:val="20"/>
        </w:rPr>
        <w:t xml:space="preserve"> </w:t>
      </w:r>
      <w:r w:rsidRPr="00F261A3">
        <w:rPr>
          <w:rFonts w:ascii="Arial" w:hAnsi="Arial" w:cs="Arial"/>
          <w:sz w:val="20"/>
        </w:rPr>
        <w:t>‘candidate’</w:t>
      </w:r>
      <w:r w:rsidRPr="00F261A3">
        <w:rPr>
          <w:rFonts w:ascii="Arial" w:hAnsi="Arial" w:cs="Arial"/>
          <w:spacing w:val="-1"/>
          <w:sz w:val="20"/>
        </w:rPr>
        <w:t xml:space="preserve"> </w:t>
      </w:r>
      <w:r w:rsidRPr="00F261A3">
        <w:rPr>
          <w:rFonts w:ascii="Arial" w:hAnsi="Arial" w:cs="Arial"/>
          <w:sz w:val="20"/>
        </w:rPr>
        <w:t>precise</w:t>
      </w:r>
      <w:r w:rsidRPr="00F261A3">
        <w:rPr>
          <w:rFonts w:ascii="Arial" w:hAnsi="Arial" w:cs="Arial"/>
          <w:spacing w:val="-1"/>
          <w:sz w:val="20"/>
        </w:rPr>
        <w:t xml:space="preserve"> </w:t>
      </w:r>
      <w:r w:rsidRPr="00F261A3">
        <w:rPr>
          <w:rFonts w:ascii="Arial" w:hAnsi="Arial" w:cs="Arial"/>
          <w:sz w:val="20"/>
        </w:rPr>
        <w:t>instructions;</w:t>
      </w:r>
    </w:p>
    <w:p w14:paraId="651DE56A" w14:textId="77777777" w:rsidR="00F261A3" w:rsidRPr="00F261A3" w:rsidRDefault="00F261A3" w:rsidP="00F261A3">
      <w:pPr>
        <w:pStyle w:val="ListParagraph"/>
        <w:numPr>
          <w:ilvl w:val="2"/>
          <w:numId w:val="281"/>
        </w:numPr>
        <w:tabs>
          <w:tab w:val="left" w:pos="1841"/>
          <w:tab w:val="left" w:pos="1842"/>
        </w:tabs>
        <w:jc w:val="both"/>
        <w:rPr>
          <w:rFonts w:ascii="Arial" w:hAnsi="Arial" w:cs="Arial"/>
          <w:sz w:val="20"/>
        </w:rPr>
      </w:pPr>
      <w:r w:rsidRPr="00F261A3">
        <w:rPr>
          <w:rFonts w:ascii="Arial" w:hAnsi="Arial" w:cs="Arial"/>
          <w:sz w:val="20"/>
        </w:rPr>
        <w:t>responsibility</w:t>
      </w:r>
      <w:r w:rsidRPr="00F261A3">
        <w:rPr>
          <w:rFonts w:ascii="Arial" w:hAnsi="Arial" w:cs="Arial"/>
          <w:spacing w:val="-2"/>
          <w:sz w:val="20"/>
        </w:rPr>
        <w:t xml:space="preserve"> </w:t>
      </w:r>
      <w:r w:rsidRPr="00F261A3">
        <w:rPr>
          <w:rFonts w:ascii="Arial" w:hAnsi="Arial" w:cs="Arial"/>
          <w:sz w:val="20"/>
        </w:rPr>
        <w:t>for</w:t>
      </w:r>
      <w:r w:rsidRPr="00F261A3">
        <w:rPr>
          <w:rFonts w:ascii="Arial" w:hAnsi="Arial" w:cs="Arial"/>
          <w:spacing w:val="-2"/>
          <w:sz w:val="20"/>
        </w:rPr>
        <w:t xml:space="preserve"> </w:t>
      </w:r>
      <w:r w:rsidRPr="00F261A3">
        <w:rPr>
          <w:rFonts w:ascii="Arial" w:hAnsi="Arial" w:cs="Arial"/>
          <w:sz w:val="20"/>
        </w:rPr>
        <w:t>the</w:t>
      </w:r>
      <w:r w:rsidRPr="00F261A3">
        <w:rPr>
          <w:rFonts w:ascii="Arial" w:hAnsi="Arial" w:cs="Arial"/>
          <w:spacing w:val="-3"/>
          <w:sz w:val="20"/>
        </w:rPr>
        <w:t xml:space="preserve"> </w:t>
      </w:r>
      <w:r w:rsidRPr="00F261A3">
        <w:rPr>
          <w:rFonts w:ascii="Arial" w:hAnsi="Arial" w:cs="Arial"/>
          <w:sz w:val="20"/>
        </w:rPr>
        <w:t>safe</w:t>
      </w:r>
      <w:r w:rsidRPr="00F261A3">
        <w:rPr>
          <w:rFonts w:ascii="Arial" w:hAnsi="Arial" w:cs="Arial"/>
          <w:spacing w:val="-4"/>
          <w:sz w:val="20"/>
        </w:rPr>
        <w:t xml:space="preserve"> </w:t>
      </w:r>
      <w:r w:rsidRPr="00F261A3">
        <w:rPr>
          <w:rFonts w:ascii="Arial" w:hAnsi="Arial" w:cs="Arial"/>
          <w:sz w:val="20"/>
        </w:rPr>
        <w:t>conduct</w:t>
      </w:r>
      <w:r w:rsidRPr="00F261A3">
        <w:rPr>
          <w:rFonts w:ascii="Arial" w:hAnsi="Arial" w:cs="Arial"/>
          <w:spacing w:val="-3"/>
          <w:sz w:val="20"/>
        </w:rPr>
        <w:t xml:space="preserve"> </w:t>
      </w:r>
      <w:r w:rsidRPr="00F261A3">
        <w:rPr>
          <w:rFonts w:ascii="Arial" w:hAnsi="Arial" w:cs="Arial"/>
          <w:sz w:val="20"/>
        </w:rPr>
        <w:t>of</w:t>
      </w:r>
      <w:r w:rsidRPr="00F261A3">
        <w:rPr>
          <w:rFonts w:ascii="Arial" w:hAnsi="Arial" w:cs="Arial"/>
          <w:spacing w:val="-2"/>
          <w:sz w:val="20"/>
        </w:rPr>
        <w:t xml:space="preserve"> </w:t>
      </w:r>
      <w:r w:rsidRPr="00F261A3">
        <w:rPr>
          <w:rFonts w:ascii="Arial" w:hAnsi="Arial" w:cs="Arial"/>
          <w:sz w:val="20"/>
        </w:rPr>
        <w:t>the</w:t>
      </w:r>
      <w:r w:rsidRPr="00F261A3">
        <w:rPr>
          <w:rFonts w:ascii="Arial" w:hAnsi="Arial" w:cs="Arial"/>
          <w:spacing w:val="-3"/>
          <w:sz w:val="20"/>
        </w:rPr>
        <w:t xml:space="preserve"> </w:t>
      </w:r>
      <w:r w:rsidRPr="00F261A3">
        <w:rPr>
          <w:rFonts w:ascii="Arial" w:hAnsi="Arial" w:cs="Arial"/>
          <w:sz w:val="20"/>
        </w:rPr>
        <w:t>flight;</w:t>
      </w:r>
    </w:p>
    <w:p w14:paraId="46F6FF08" w14:textId="77777777" w:rsidR="00F261A3" w:rsidRPr="00F261A3" w:rsidRDefault="00F261A3" w:rsidP="00F261A3">
      <w:pPr>
        <w:pStyle w:val="ListParagraph"/>
        <w:numPr>
          <w:ilvl w:val="2"/>
          <w:numId w:val="281"/>
        </w:numPr>
        <w:tabs>
          <w:tab w:val="left" w:pos="1841"/>
          <w:tab w:val="left" w:pos="1842"/>
        </w:tabs>
        <w:jc w:val="both"/>
        <w:rPr>
          <w:rFonts w:ascii="Arial" w:hAnsi="Arial" w:cs="Arial"/>
          <w:sz w:val="20"/>
        </w:rPr>
      </w:pPr>
      <w:r w:rsidRPr="00F261A3">
        <w:rPr>
          <w:rFonts w:ascii="Arial" w:hAnsi="Arial" w:cs="Arial"/>
          <w:sz w:val="20"/>
        </w:rPr>
        <w:t>intervention</w:t>
      </w:r>
      <w:r w:rsidRPr="00F261A3">
        <w:rPr>
          <w:rFonts w:ascii="Arial" w:hAnsi="Arial" w:cs="Arial"/>
          <w:spacing w:val="-4"/>
          <w:sz w:val="20"/>
        </w:rPr>
        <w:t xml:space="preserve"> </w:t>
      </w:r>
      <w:r w:rsidRPr="00F261A3">
        <w:rPr>
          <w:rFonts w:ascii="Arial" w:hAnsi="Arial" w:cs="Arial"/>
          <w:sz w:val="20"/>
        </w:rPr>
        <w:t>by</w:t>
      </w:r>
      <w:r w:rsidRPr="00F261A3">
        <w:rPr>
          <w:rFonts w:ascii="Arial" w:hAnsi="Arial" w:cs="Arial"/>
          <w:spacing w:val="-3"/>
          <w:sz w:val="20"/>
        </w:rPr>
        <w:t xml:space="preserve"> </w:t>
      </w:r>
      <w:r w:rsidRPr="00F261A3">
        <w:rPr>
          <w:rFonts w:ascii="Arial" w:hAnsi="Arial" w:cs="Arial"/>
          <w:sz w:val="20"/>
        </w:rPr>
        <w:t>the</w:t>
      </w:r>
      <w:r w:rsidRPr="00F261A3">
        <w:rPr>
          <w:rFonts w:ascii="Arial" w:hAnsi="Arial" w:cs="Arial"/>
          <w:spacing w:val="-5"/>
          <w:sz w:val="20"/>
        </w:rPr>
        <w:t xml:space="preserve"> </w:t>
      </w:r>
      <w:r w:rsidRPr="00F261A3">
        <w:rPr>
          <w:rFonts w:ascii="Arial" w:hAnsi="Arial" w:cs="Arial"/>
          <w:sz w:val="20"/>
        </w:rPr>
        <w:t>examiner,</w:t>
      </w:r>
      <w:r w:rsidRPr="00F261A3">
        <w:rPr>
          <w:rFonts w:ascii="Arial" w:hAnsi="Arial" w:cs="Arial"/>
          <w:spacing w:val="-3"/>
          <w:sz w:val="20"/>
        </w:rPr>
        <w:t xml:space="preserve"> </w:t>
      </w:r>
      <w:r w:rsidRPr="00F261A3">
        <w:rPr>
          <w:rFonts w:ascii="Arial" w:hAnsi="Arial" w:cs="Arial"/>
          <w:sz w:val="20"/>
        </w:rPr>
        <w:t>when</w:t>
      </w:r>
      <w:r w:rsidRPr="00F261A3">
        <w:rPr>
          <w:rFonts w:ascii="Arial" w:hAnsi="Arial" w:cs="Arial"/>
          <w:spacing w:val="-3"/>
          <w:sz w:val="20"/>
        </w:rPr>
        <w:t xml:space="preserve"> </w:t>
      </w:r>
      <w:r w:rsidRPr="00F261A3">
        <w:rPr>
          <w:rFonts w:ascii="Arial" w:hAnsi="Arial" w:cs="Arial"/>
          <w:sz w:val="20"/>
        </w:rPr>
        <w:t>necessary;</w:t>
      </w:r>
    </w:p>
    <w:p w14:paraId="0CA2A27D" w14:textId="77777777" w:rsidR="00F261A3" w:rsidRPr="00F261A3" w:rsidRDefault="00F261A3" w:rsidP="00F261A3">
      <w:pPr>
        <w:pStyle w:val="ListParagraph"/>
        <w:numPr>
          <w:ilvl w:val="2"/>
          <w:numId w:val="281"/>
        </w:numPr>
        <w:tabs>
          <w:tab w:val="left" w:pos="1841"/>
          <w:tab w:val="left" w:pos="1842"/>
        </w:tabs>
        <w:ind w:right="197"/>
        <w:jc w:val="both"/>
        <w:rPr>
          <w:rFonts w:ascii="Arial" w:hAnsi="Arial" w:cs="Arial"/>
          <w:sz w:val="20"/>
        </w:rPr>
      </w:pPr>
      <w:r w:rsidRPr="00F261A3">
        <w:rPr>
          <w:rFonts w:ascii="Arial" w:hAnsi="Arial" w:cs="Arial"/>
          <w:sz w:val="20"/>
        </w:rPr>
        <w:t>liaison</w:t>
      </w:r>
      <w:r w:rsidRPr="00F261A3">
        <w:rPr>
          <w:rFonts w:ascii="Arial" w:hAnsi="Arial" w:cs="Arial"/>
          <w:spacing w:val="32"/>
          <w:sz w:val="20"/>
        </w:rPr>
        <w:t xml:space="preserve"> </w:t>
      </w:r>
      <w:r w:rsidRPr="00F261A3">
        <w:rPr>
          <w:rFonts w:ascii="Arial" w:hAnsi="Arial" w:cs="Arial"/>
          <w:sz w:val="20"/>
        </w:rPr>
        <w:t>with</w:t>
      </w:r>
      <w:r w:rsidRPr="00F261A3">
        <w:rPr>
          <w:rFonts w:ascii="Arial" w:hAnsi="Arial" w:cs="Arial"/>
          <w:spacing w:val="33"/>
          <w:sz w:val="20"/>
        </w:rPr>
        <w:t xml:space="preserve"> </w:t>
      </w:r>
      <w:r w:rsidRPr="00F261A3">
        <w:rPr>
          <w:rFonts w:ascii="Arial" w:hAnsi="Arial" w:cs="Arial"/>
          <w:sz w:val="20"/>
        </w:rPr>
        <w:t>ATC</w:t>
      </w:r>
      <w:r w:rsidRPr="00F261A3">
        <w:rPr>
          <w:rFonts w:ascii="Arial" w:hAnsi="Arial" w:cs="Arial"/>
          <w:spacing w:val="33"/>
          <w:sz w:val="20"/>
        </w:rPr>
        <w:t xml:space="preserve"> </w:t>
      </w:r>
      <w:r w:rsidRPr="00F261A3">
        <w:rPr>
          <w:rFonts w:ascii="Arial" w:hAnsi="Arial" w:cs="Arial"/>
          <w:sz w:val="20"/>
        </w:rPr>
        <w:t>(where</w:t>
      </w:r>
      <w:r w:rsidRPr="00F261A3">
        <w:rPr>
          <w:rFonts w:ascii="Arial" w:hAnsi="Arial" w:cs="Arial"/>
          <w:spacing w:val="34"/>
          <w:sz w:val="20"/>
        </w:rPr>
        <w:t xml:space="preserve"> </w:t>
      </w:r>
      <w:r w:rsidRPr="00F261A3">
        <w:rPr>
          <w:rFonts w:ascii="Arial" w:hAnsi="Arial" w:cs="Arial"/>
          <w:sz w:val="20"/>
        </w:rPr>
        <w:t>required)</w:t>
      </w:r>
      <w:r w:rsidRPr="00F261A3">
        <w:rPr>
          <w:rFonts w:ascii="Arial" w:hAnsi="Arial" w:cs="Arial"/>
          <w:spacing w:val="33"/>
          <w:sz w:val="20"/>
        </w:rPr>
        <w:t xml:space="preserve"> </w:t>
      </w:r>
      <w:r w:rsidRPr="00F261A3">
        <w:rPr>
          <w:rFonts w:ascii="Arial" w:hAnsi="Arial" w:cs="Arial"/>
          <w:sz w:val="20"/>
        </w:rPr>
        <w:t>and</w:t>
      </w:r>
      <w:r w:rsidRPr="00F261A3">
        <w:rPr>
          <w:rFonts w:ascii="Arial" w:hAnsi="Arial" w:cs="Arial"/>
          <w:spacing w:val="32"/>
          <w:sz w:val="20"/>
        </w:rPr>
        <w:t xml:space="preserve"> </w:t>
      </w:r>
      <w:r w:rsidRPr="00F261A3">
        <w:rPr>
          <w:rFonts w:ascii="Arial" w:hAnsi="Arial" w:cs="Arial"/>
          <w:sz w:val="20"/>
        </w:rPr>
        <w:t>the</w:t>
      </w:r>
      <w:r w:rsidRPr="00F261A3">
        <w:rPr>
          <w:rFonts w:ascii="Arial" w:hAnsi="Arial" w:cs="Arial"/>
          <w:spacing w:val="34"/>
          <w:sz w:val="20"/>
        </w:rPr>
        <w:t xml:space="preserve"> </w:t>
      </w:r>
      <w:r w:rsidRPr="00F261A3">
        <w:rPr>
          <w:rFonts w:ascii="Arial" w:hAnsi="Arial" w:cs="Arial"/>
          <w:sz w:val="20"/>
        </w:rPr>
        <w:t>need</w:t>
      </w:r>
      <w:r w:rsidRPr="00F261A3">
        <w:rPr>
          <w:rFonts w:ascii="Arial" w:hAnsi="Arial" w:cs="Arial"/>
          <w:spacing w:val="32"/>
          <w:sz w:val="20"/>
        </w:rPr>
        <w:t xml:space="preserve"> </w:t>
      </w:r>
      <w:r w:rsidRPr="00F261A3">
        <w:rPr>
          <w:rFonts w:ascii="Arial" w:hAnsi="Arial" w:cs="Arial"/>
          <w:sz w:val="20"/>
        </w:rPr>
        <w:t>for</w:t>
      </w:r>
      <w:r w:rsidRPr="00F261A3">
        <w:rPr>
          <w:rFonts w:ascii="Arial" w:hAnsi="Arial" w:cs="Arial"/>
          <w:spacing w:val="30"/>
          <w:sz w:val="20"/>
        </w:rPr>
        <w:t xml:space="preserve"> </w:t>
      </w:r>
      <w:r w:rsidRPr="00F261A3">
        <w:rPr>
          <w:rFonts w:ascii="Arial" w:hAnsi="Arial" w:cs="Arial"/>
          <w:sz w:val="20"/>
        </w:rPr>
        <w:t>concise,</w:t>
      </w:r>
      <w:r w:rsidRPr="00F261A3">
        <w:rPr>
          <w:rFonts w:ascii="Arial" w:hAnsi="Arial" w:cs="Arial"/>
          <w:spacing w:val="34"/>
          <w:sz w:val="20"/>
        </w:rPr>
        <w:t xml:space="preserve"> </w:t>
      </w:r>
      <w:r w:rsidRPr="00F261A3">
        <w:rPr>
          <w:rFonts w:ascii="Arial" w:hAnsi="Arial" w:cs="Arial"/>
          <w:sz w:val="20"/>
        </w:rPr>
        <w:t>easily</w:t>
      </w:r>
      <w:r w:rsidRPr="00F261A3">
        <w:rPr>
          <w:rFonts w:ascii="Arial" w:hAnsi="Arial" w:cs="Arial"/>
          <w:spacing w:val="33"/>
          <w:sz w:val="20"/>
        </w:rPr>
        <w:t xml:space="preserve"> </w:t>
      </w:r>
      <w:r w:rsidRPr="00F261A3">
        <w:rPr>
          <w:rFonts w:ascii="Arial" w:hAnsi="Arial" w:cs="Arial"/>
          <w:sz w:val="20"/>
        </w:rPr>
        <w:t>understood</w:t>
      </w:r>
      <w:r w:rsidRPr="00F261A3">
        <w:rPr>
          <w:rFonts w:ascii="Arial" w:hAnsi="Arial" w:cs="Arial"/>
          <w:spacing w:val="-47"/>
          <w:sz w:val="20"/>
        </w:rPr>
        <w:t xml:space="preserve"> </w:t>
      </w:r>
      <w:r w:rsidRPr="00F261A3">
        <w:rPr>
          <w:rFonts w:ascii="Arial" w:hAnsi="Arial" w:cs="Arial"/>
          <w:sz w:val="20"/>
        </w:rPr>
        <w:t>intentions;</w:t>
      </w:r>
    </w:p>
    <w:p w14:paraId="56403AF3" w14:textId="77777777" w:rsidR="00F261A3" w:rsidRPr="00F261A3" w:rsidRDefault="00F261A3" w:rsidP="00F261A3">
      <w:pPr>
        <w:pStyle w:val="ListParagraph"/>
        <w:numPr>
          <w:ilvl w:val="2"/>
          <w:numId w:val="281"/>
        </w:numPr>
        <w:tabs>
          <w:tab w:val="left" w:pos="1841"/>
          <w:tab w:val="left" w:pos="1842"/>
        </w:tabs>
        <w:spacing w:before="123" w:line="237" w:lineRule="auto"/>
        <w:ind w:right="198"/>
        <w:jc w:val="both"/>
        <w:rPr>
          <w:rFonts w:ascii="Arial" w:hAnsi="Arial" w:cs="Arial"/>
          <w:sz w:val="20"/>
        </w:rPr>
      </w:pPr>
      <w:r w:rsidRPr="00F261A3">
        <w:rPr>
          <w:rFonts w:ascii="Arial" w:hAnsi="Arial" w:cs="Arial"/>
          <w:sz w:val="20"/>
        </w:rPr>
        <w:t>prompting</w:t>
      </w:r>
      <w:r w:rsidRPr="00F261A3">
        <w:rPr>
          <w:rFonts w:ascii="Arial" w:hAnsi="Arial" w:cs="Arial"/>
          <w:spacing w:val="11"/>
          <w:sz w:val="20"/>
        </w:rPr>
        <w:t xml:space="preserve"> </w:t>
      </w:r>
      <w:r w:rsidRPr="00F261A3">
        <w:rPr>
          <w:rFonts w:ascii="Arial" w:hAnsi="Arial" w:cs="Arial"/>
          <w:sz w:val="20"/>
        </w:rPr>
        <w:t>the</w:t>
      </w:r>
      <w:r w:rsidRPr="00F261A3">
        <w:rPr>
          <w:rFonts w:ascii="Arial" w:hAnsi="Arial" w:cs="Arial"/>
          <w:spacing w:val="12"/>
          <w:sz w:val="20"/>
        </w:rPr>
        <w:t xml:space="preserve"> </w:t>
      </w:r>
      <w:r w:rsidRPr="00F261A3">
        <w:rPr>
          <w:rFonts w:ascii="Arial" w:hAnsi="Arial" w:cs="Arial"/>
          <w:sz w:val="20"/>
        </w:rPr>
        <w:t>‘candidate’</w:t>
      </w:r>
      <w:r w:rsidRPr="00F261A3">
        <w:rPr>
          <w:rFonts w:ascii="Arial" w:hAnsi="Arial" w:cs="Arial"/>
          <w:spacing w:val="12"/>
          <w:sz w:val="20"/>
        </w:rPr>
        <w:t xml:space="preserve"> </w:t>
      </w:r>
      <w:r w:rsidRPr="00F261A3">
        <w:rPr>
          <w:rFonts w:ascii="Arial" w:hAnsi="Arial" w:cs="Arial"/>
          <w:sz w:val="20"/>
        </w:rPr>
        <w:t>about</w:t>
      </w:r>
      <w:r w:rsidRPr="00F261A3">
        <w:rPr>
          <w:rFonts w:ascii="Arial" w:hAnsi="Arial" w:cs="Arial"/>
          <w:spacing w:val="12"/>
          <w:sz w:val="20"/>
        </w:rPr>
        <w:t xml:space="preserve"> </w:t>
      </w:r>
      <w:r w:rsidRPr="00F261A3">
        <w:rPr>
          <w:rFonts w:ascii="Arial" w:hAnsi="Arial" w:cs="Arial"/>
          <w:sz w:val="20"/>
        </w:rPr>
        <w:t>required</w:t>
      </w:r>
      <w:r w:rsidRPr="00F261A3">
        <w:rPr>
          <w:rFonts w:ascii="Arial" w:hAnsi="Arial" w:cs="Arial"/>
          <w:spacing w:val="11"/>
          <w:sz w:val="20"/>
        </w:rPr>
        <w:t xml:space="preserve"> </w:t>
      </w:r>
      <w:r w:rsidRPr="00F261A3">
        <w:rPr>
          <w:rFonts w:ascii="Arial" w:hAnsi="Arial" w:cs="Arial"/>
          <w:sz w:val="20"/>
        </w:rPr>
        <w:t>sequence</w:t>
      </w:r>
      <w:r w:rsidRPr="00F261A3">
        <w:rPr>
          <w:rFonts w:ascii="Arial" w:hAnsi="Arial" w:cs="Arial"/>
          <w:spacing w:val="12"/>
          <w:sz w:val="20"/>
        </w:rPr>
        <w:t xml:space="preserve"> </w:t>
      </w:r>
      <w:r w:rsidRPr="00F261A3">
        <w:rPr>
          <w:rFonts w:ascii="Arial" w:hAnsi="Arial" w:cs="Arial"/>
          <w:sz w:val="20"/>
        </w:rPr>
        <w:t>of</w:t>
      </w:r>
      <w:r w:rsidRPr="00F261A3">
        <w:rPr>
          <w:rFonts w:ascii="Arial" w:hAnsi="Arial" w:cs="Arial"/>
          <w:spacing w:val="11"/>
          <w:sz w:val="20"/>
        </w:rPr>
        <w:t xml:space="preserve"> </w:t>
      </w:r>
      <w:r w:rsidRPr="00F261A3">
        <w:rPr>
          <w:rFonts w:ascii="Arial" w:hAnsi="Arial" w:cs="Arial"/>
          <w:sz w:val="20"/>
        </w:rPr>
        <w:t>events</w:t>
      </w:r>
      <w:r w:rsidRPr="00F261A3">
        <w:rPr>
          <w:rFonts w:ascii="Arial" w:hAnsi="Arial" w:cs="Arial"/>
          <w:spacing w:val="12"/>
          <w:sz w:val="20"/>
        </w:rPr>
        <w:t xml:space="preserve"> </w:t>
      </w:r>
      <w:r w:rsidRPr="00F261A3">
        <w:rPr>
          <w:rFonts w:ascii="Arial" w:hAnsi="Arial" w:cs="Arial"/>
          <w:sz w:val="20"/>
        </w:rPr>
        <w:t>(for</w:t>
      </w:r>
      <w:r w:rsidRPr="00F261A3">
        <w:rPr>
          <w:rFonts w:ascii="Arial" w:hAnsi="Arial" w:cs="Arial"/>
          <w:spacing w:val="12"/>
          <w:sz w:val="20"/>
        </w:rPr>
        <w:t xml:space="preserve"> </w:t>
      </w:r>
      <w:r w:rsidRPr="00F261A3">
        <w:rPr>
          <w:rFonts w:ascii="Arial" w:hAnsi="Arial" w:cs="Arial"/>
          <w:sz w:val="20"/>
        </w:rPr>
        <w:t>example,</w:t>
      </w:r>
      <w:r w:rsidRPr="00F261A3">
        <w:rPr>
          <w:rFonts w:ascii="Arial" w:hAnsi="Arial" w:cs="Arial"/>
          <w:spacing w:val="-47"/>
          <w:sz w:val="20"/>
        </w:rPr>
        <w:t xml:space="preserve"> </w:t>
      </w:r>
      <w:r w:rsidRPr="00F261A3">
        <w:rPr>
          <w:rFonts w:ascii="Arial" w:hAnsi="Arial" w:cs="Arial"/>
          <w:sz w:val="20"/>
        </w:rPr>
        <w:t>following</w:t>
      </w:r>
      <w:r w:rsidRPr="00F261A3">
        <w:rPr>
          <w:rFonts w:ascii="Arial" w:hAnsi="Arial" w:cs="Arial"/>
          <w:spacing w:val="-3"/>
          <w:sz w:val="20"/>
        </w:rPr>
        <w:t xml:space="preserve"> </w:t>
      </w:r>
      <w:r w:rsidRPr="00F261A3">
        <w:rPr>
          <w:rFonts w:ascii="Arial" w:hAnsi="Arial" w:cs="Arial"/>
          <w:sz w:val="20"/>
        </w:rPr>
        <w:t>an aborted</w:t>
      </w:r>
      <w:r w:rsidRPr="00F261A3">
        <w:rPr>
          <w:rFonts w:ascii="Arial" w:hAnsi="Arial" w:cs="Arial"/>
          <w:spacing w:val="-1"/>
          <w:sz w:val="20"/>
        </w:rPr>
        <w:t xml:space="preserve"> </w:t>
      </w:r>
      <w:r w:rsidRPr="00F261A3">
        <w:rPr>
          <w:rFonts w:ascii="Arial" w:hAnsi="Arial" w:cs="Arial"/>
          <w:sz w:val="20"/>
        </w:rPr>
        <w:t>landing);</w:t>
      </w:r>
      <w:r w:rsidRPr="00F261A3">
        <w:rPr>
          <w:rFonts w:ascii="Arial" w:hAnsi="Arial" w:cs="Arial"/>
          <w:spacing w:val="1"/>
          <w:sz w:val="20"/>
        </w:rPr>
        <w:t xml:space="preserve"> </w:t>
      </w:r>
      <w:r w:rsidRPr="00F261A3">
        <w:rPr>
          <w:rFonts w:ascii="Arial" w:hAnsi="Arial" w:cs="Arial"/>
          <w:sz w:val="20"/>
        </w:rPr>
        <w:t>and</w:t>
      </w:r>
    </w:p>
    <w:p w14:paraId="79225630" w14:textId="77777777" w:rsidR="00F261A3" w:rsidRPr="00F261A3" w:rsidRDefault="00F261A3" w:rsidP="00F261A3">
      <w:pPr>
        <w:pStyle w:val="ListParagraph"/>
        <w:numPr>
          <w:ilvl w:val="2"/>
          <w:numId w:val="281"/>
        </w:numPr>
        <w:tabs>
          <w:tab w:val="left" w:pos="1841"/>
          <w:tab w:val="left" w:pos="1842"/>
        </w:tabs>
        <w:spacing w:before="121"/>
        <w:jc w:val="both"/>
        <w:rPr>
          <w:rFonts w:ascii="Arial" w:hAnsi="Arial" w:cs="Arial"/>
          <w:sz w:val="20"/>
        </w:rPr>
      </w:pPr>
      <w:r w:rsidRPr="00F261A3">
        <w:rPr>
          <w:rFonts w:ascii="Arial" w:hAnsi="Arial" w:cs="Arial"/>
          <w:sz w:val="20"/>
        </w:rPr>
        <w:t>keeping</w:t>
      </w:r>
      <w:r w:rsidRPr="00F261A3">
        <w:rPr>
          <w:rFonts w:ascii="Arial" w:hAnsi="Arial" w:cs="Arial"/>
          <w:spacing w:val="-3"/>
          <w:sz w:val="20"/>
        </w:rPr>
        <w:t xml:space="preserve"> </w:t>
      </w:r>
      <w:r w:rsidRPr="00F261A3">
        <w:rPr>
          <w:rFonts w:ascii="Arial" w:hAnsi="Arial" w:cs="Arial"/>
          <w:sz w:val="20"/>
        </w:rPr>
        <w:t>brief,</w:t>
      </w:r>
      <w:r w:rsidRPr="00F261A3">
        <w:rPr>
          <w:rFonts w:ascii="Arial" w:hAnsi="Arial" w:cs="Arial"/>
          <w:spacing w:val="-3"/>
          <w:sz w:val="20"/>
        </w:rPr>
        <w:t xml:space="preserve"> </w:t>
      </w:r>
      <w:r w:rsidRPr="00F261A3">
        <w:rPr>
          <w:rFonts w:ascii="Arial" w:hAnsi="Arial" w:cs="Arial"/>
          <w:sz w:val="20"/>
        </w:rPr>
        <w:t>factual</w:t>
      </w:r>
      <w:r w:rsidRPr="00F261A3">
        <w:rPr>
          <w:rFonts w:ascii="Arial" w:hAnsi="Arial" w:cs="Arial"/>
          <w:spacing w:val="-1"/>
          <w:sz w:val="20"/>
        </w:rPr>
        <w:t xml:space="preserve"> </w:t>
      </w:r>
      <w:r w:rsidRPr="00F261A3">
        <w:rPr>
          <w:rFonts w:ascii="Arial" w:hAnsi="Arial" w:cs="Arial"/>
          <w:sz w:val="20"/>
        </w:rPr>
        <w:t>and</w:t>
      </w:r>
      <w:r w:rsidRPr="00F261A3">
        <w:rPr>
          <w:rFonts w:ascii="Arial" w:hAnsi="Arial" w:cs="Arial"/>
          <w:spacing w:val="-3"/>
          <w:sz w:val="20"/>
        </w:rPr>
        <w:t xml:space="preserve"> </w:t>
      </w:r>
      <w:r w:rsidRPr="00F261A3">
        <w:rPr>
          <w:rFonts w:ascii="Arial" w:hAnsi="Arial" w:cs="Arial"/>
          <w:sz w:val="20"/>
        </w:rPr>
        <w:t>unobtrusive notes.</w:t>
      </w:r>
    </w:p>
    <w:p w14:paraId="35516E71" w14:textId="77777777" w:rsidR="00F261A3" w:rsidRPr="00F261A3" w:rsidRDefault="00F261A3" w:rsidP="00F261A3">
      <w:pPr>
        <w:pStyle w:val="ListParagraph"/>
        <w:numPr>
          <w:ilvl w:val="0"/>
          <w:numId w:val="281"/>
        </w:numPr>
        <w:tabs>
          <w:tab w:val="left" w:pos="706"/>
          <w:tab w:val="left" w:pos="707"/>
        </w:tabs>
        <w:spacing w:before="121"/>
        <w:jc w:val="both"/>
        <w:rPr>
          <w:rFonts w:ascii="Arial" w:hAnsi="Arial" w:cs="Arial"/>
          <w:sz w:val="20"/>
        </w:rPr>
      </w:pPr>
      <w:r w:rsidRPr="00F261A3">
        <w:rPr>
          <w:rFonts w:ascii="Arial" w:hAnsi="Arial" w:cs="Arial"/>
          <w:sz w:val="20"/>
        </w:rPr>
        <w:t>ASSESSMENT</w:t>
      </w:r>
    </w:p>
    <w:p w14:paraId="1006BA66" w14:textId="77777777" w:rsidR="00F261A3" w:rsidRPr="00F261A3" w:rsidRDefault="00F261A3" w:rsidP="00F261A3">
      <w:pPr>
        <w:pStyle w:val="BodyText"/>
        <w:ind w:left="706"/>
        <w:jc w:val="both"/>
        <w:rPr>
          <w:rFonts w:ascii="Arial" w:hAnsi="Arial" w:cs="Arial"/>
          <w:sz w:val="20"/>
        </w:rPr>
      </w:pPr>
      <w:r w:rsidRPr="00F261A3">
        <w:rPr>
          <w:rFonts w:ascii="Arial" w:hAnsi="Arial" w:cs="Arial"/>
          <w:sz w:val="20"/>
        </w:rPr>
        <w:t>The examiner</w:t>
      </w:r>
      <w:r w:rsidRPr="00F261A3">
        <w:rPr>
          <w:rFonts w:ascii="Arial" w:hAnsi="Arial" w:cs="Arial"/>
          <w:spacing w:val="2"/>
          <w:sz w:val="20"/>
        </w:rPr>
        <w:t xml:space="preserve"> </w:t>
      </w:r>
      <w:r w:rsidRPr="00F261A3">
        <w:rPr>
          <w:rFonts w:ascii="Arial" w:hAnsi="Arial" w:cs="Arial"/>
          <w:sz w:val="20"/>
        </w:rPr>
        <w:t>applicant</w:t>
      </w:r>
      <w:r w:rsidRPr="00F261A3">
        <w:rPr>
          <w:rFonts w:ascii="Arial" w:hAnsi="Arial" w:cs="Arial"/>
          <w:spacing w:val="-1"/>
          <w:sz w:val="20"/>
        </w:rPr>
        <w:t xml:space="preserve"> </w:t>
      </w:r>
      <w:r w:rsidRPr="00F261A3">
        <w:rPr>
          <w:rFonts w:ascii="Arial" w:hAnsi="Arial" w:cs="Arial"/>
          <w:sz w:val="20"/>
        </w:rPr>
        <w:t>should</w:t>
      </w:r>
      <w:r w:rsidRPr="00F261A3">
        <w:rPr>
          <w:rFonts w:ascii="Arial" w:hAnsi="Arial" w:cs="Arial"/>
          <w:spacing w:val="-1"/>
          <w:sz w:val="20"/>
        </w:rPr>
        <w:t xml:space="preserve"> </w:t>
      </w:r>
      <w:r w:rsidRPr="00F261A3">
        <w:rPr>
          <w:rFonts w:ascii="Arial" w:hAnsi="Arial" w:cs="Arial"/>
          <w:sz w:val="20"/>
        </w:rPr>
        <w:t>refer</w:t>
      </w:r>
      <w:r w:rsidRPr="00F261A3">
        <w:rPr>
          <w:rFonts w:ascii="Arial" w:hAnsi="Arial" w:cs="Arial"/>
          <w:spacing w:val="2"/>
          <w:sz w:val="20"/>
        </w:rPr>
        <w:t xml:space="preserve"> </w:t>
      </w:r>
      <w:r w:rsidRPr="00F261A3">
        <w:rPr>
          <w:rFonts w:ascii="Arial" w:hAnsi="Arial" w:cs="Arial"/>
          <w:sz w:val="20"/>
        </w:rPr>
        <w:t>to the</w:t>
      </w:r>
      <w:r w:rsidRPr="00F261A3">
        <w:rPr>
          <w:rFonts w:ascii="Arial" w:hAnsi="Arial" w:cs="Arial"/>
          <w:spacing w:val="2"/>
          <w:sz w:val="20"/>
        </w:rPr>
        <w:t xml:space="preserve"> </w:t>
      </w:r>
      <w:r w:rsidRPr="00F261A3">
        <w:rPr>
          <w:rFonts w:ascii="Arial" w:hAnsi="Arial" w:cs="Arial"/>
          <w:sz w:val="20"/>
        </w:rPr>
        <w:t>flight</w:t>
      </w:r>
      <w:r w:rsidRPr="00F261A3">
        <w:rPr>
          <w:rFonts w:ascii="Arial" w:hAnsi="Arial" w:cs="Arial"/>
          <w:spacing w:val="-2"/>
          <w:sz w:val="20"/>
        </w:rPr>
        <w:t xml:space="preserve"> </w:t>
      </w:r>
      <w:r w:rsidRPr="00F261A3">
        <w:rPr>
          <w:rFonts w:ascii="Arial" w:hAnsi="Arial" w:cs="Arial"/>
          <w:sz w:val="20"/>
        </w:rPr>
        <w:t>test</w:t>
      </w:r>
      <w:r w:rsidRPr="00F261A3">
        <w:rPr>
          <w:rFonts w:ascii="Arial" w:hAnsi="Arial" w:cs="Arial"/>
          <w:spacing w:val="-1"/>
          <w:sz w:val="20"/>
        </w:rPr>
        <w:t xml:space="preserve"> </w:t>
      </w:r>
      <w:r w:rsidRPr="00F261A3">
        <w:rPr>
          <w:rFonts w:ascii="Arial" w:hAnsi="Arial" w:cs="Arial"/>
          <w:sz w:val="20"/>
        </w:rPr>
        <w:t>tolerances</w:t>
      </w:r>
      <w:r w:rsidRPr="00F261A3">
        <w:rPr>
          <w:rFonts w:ascii="Arial" w:hAnsi="Arial" w:cs="Arial"/>
          <w:spacing w:val="2"/>
          <w:sz w:val="20"/>
        </w:rPr>
        <w:t xml:space="preserve"> </w:t>
      </w:r>
      <w:r w:rsidRPr="00F261A3">
        <w:rPr>
          <w:rFonts w:ascii="Arial" w:hAnsi="Arial" w:cs="Arial"/>
          <w:sz w:val="20"/>
        </w:rPr>
        <w:t>given in</w:t>
      </w:r>
      <w:r w:rsidRPr="00F261A3">
        <w:rPr>
          <w:rFonts w:ascii="Arial" w:hAnsi="Arial" w:cs="Arial"/>
          <w:spacing w:val="-2"/>
          <w:sz w:val="20"/>
        </w:rPr>
        <w:t xml:space="preserve"> </w:t>
      </w:r>
      <w:r w:rsidRPr="00F261A3">
        <w:rPr>
          <w:rFonts w:ascii="Arial" w:hAnsi="Arial" w:cs="Arial"/>
          <w:sz w:val="20"/>
        </w:rPr>
        <w:t>the</w:t>
      </w:r>
      <w:r w:rsidRPr="00F261A3">
        <w:rPr>
          <w:rFonts w:ascii="Arial" w:hAnsi="Arial" w:cs="Arial"/>
          <w:spacing w:val="-1"/>
          <w:sz w:val="20"/>
        </w:rPr>
        <w:t xml:space="preserve"> </w:t>
      </w:r>
      <w:r w:rsidRPr="00F261A3">
        <w:rPr>
          <w:rFonts w:ascii="Arial" w:hAnsi="Arial" w:cs="Arial"/>
          <w:sz w:val="20"/>
        </w:rPr>
        <w:t>relevant</w:t>
      </w:r>
      <w:r w:rsidRPr="00F261A3">
        <w:rPr>
          <w:rFonts w:ascii="Arial" w:hAnsi="Arial" w:cs="Arial"/>
          <w:spacing w:val="2"/>
          <w:sz w:val="20"/>
        </w:rPr>
        <w:t xml:space="preserve"> </w:t>
      </w:r>
      <w:r w:rsidRPr="00F261A3">
        <w:rPr>
          <w:rFonts w:ascii="Arial" w:hAnsi="Arial" w:cs="Arial"/>
          <w:sz w:val="20"/>
        </w:rPr>
        <w:t>skill test.</w:t>
      </w:r>
      <w:r w:rsidRPr="00F261A3">
        <w:rPr>
          <w:rFonts w:ascii="Arial" w:hAnsi="Arial" w:cs="Arial"/>
          <w:spacing w:val="-46"/>
          <w:sz w:val="20"/>
        </w:rPr>
        <w:t xml:space="preserve"> </w:t>
      </w:r>
      <w:r w:rsidRPr="00F261A3">
        <w:rPr>
          <w:rFonts w:ascii="Arial" w:hAnsi="Arial" w:cs="Arial"/>
          <w:sz w:val="20"/>
        </w:rPr>
        <w:t>Attention</w:t>
      </w:r>
      <w:r w:rsidRPr="00F261A3">
        <w:rPr>
          <w:rFonts w:ascii="Arial" w:hAnsi="Arial" w:cs="Arial"/>
          <w:spacing w:val="-2"/>
          <w:sz w:val="20"/>
        </w:rPr>
        <w:t xml:space="preserve"> </w:t>
      </w:r>
      <w:r w:rsidRPr="00F261A3">
        <w:rPr>
          <w:rFonts w:ascii="Arial" w:hAnsi="Arial" w:cs="Arial"/>
          <w:sz w:val="20"/>
        </w:rPr>
        <w:t>should</w:t>
      </w:r>
      <w:r w:rsidRPr="00F261A3">
        <w:rPr>
          <w:rFonts w:ascii="Arial" w:hAnsi="Arial" w:cs="Arial"/>
          <w:spacing w:val="-1"/>
          <w:sz w:val="20"/>
        </w:rPr>
        <w:t xml:space="preserve"> </w:t>
      </w:r>
      <w:r w:rsidRPr="00F261A3">
        <w:rPr>
          <w:rFonts w:ascii="Arial" w:hAnsi="Arial" w:cs="Arial"/>
          <w:sz w:val="20"/>
        </w:rPr>
        <w:t>be</w:t>
      </w:r>
      <w:r w:rsidRPr="00F261A3">
        <w:rPr>
          <w:rFonts w:ascii="Arial" w:hAnsi="Arial" w:cs="Arial"/>
          <w:spacing w:val="1"/>
          <w:sz w:val="20"/>
        </w:rPr>
        <w:t xml:space="preserve"> </w:t>
      </w:r>
      <w:r w:rsidRPr="00F261A3">
        <w:rPr>
          <w:rFonts w:ascii="Arial" w:hAnsi="Arial" w:cs="Arial"/>
          <w:sz w:val="20"/>
        </w:rPr>
        <w:t>paid</w:t>
      </w:r>
      <w:r w:rsidRPr="00F261A3">
        <w:rPr>
          <w:rFonts w:ascii="Arial" w:hAnsi="Arial" w:cs="Arial"/>
          <w:spacing w:val="-2"/>
          <w:sz w:val="20"/>
        </w:rPr>
        <w:t xml:space="preserve"> </w:t>
      </w:r>
      <w:r w:rsidRPr="00F261A3">
        <w:rPr>
          <w:rFonts w:ascii="Arial" w:hAnsi="Arial" w:cs="Arial"/>
          <w:sz w:val="20"/>
        </w:rPr>
        <w:t>to</w:t>
      </w:r>
      <w:r w:rsidRPr="00F261A3">
        <w:rPr>
          <w:rFonts w:ascii="Arial" w:hAnsi="Arial" w:cs="Arial"/>
          <w:spacing w:val="-2"/>
          <w:sz w:val="20"/>
        </w:rPr>
        <w:t xml:space="preserve"> </w:t>
      </w:r>
      <w:r w:rsidRPr="00F261A3">
        <w:rPr>
          <w:rFonts w:ascii="Arial" w:hAnsi="Arial" w:cs="Arial"/>
          <w:sz w:val="20"/>
        </w:rPr>
        <w:t>the</w:t>
      </w:r>
      <w:r w:rsidRPr="00F261A3">
        <w:rPr>
          <w:rFonts w:ascii="Arial" w:hAnsi="Arial" w:cs="Arial"/>
          <w:spacing w:val="1"/>
          <w:sz w:val="20"/>
        </w:rPr>
        <w:t xml:space="preserve"> </w:t>
      </w:r>
      <w:r w:rsidRPr="00F261A3">
        <w:rPr>
          <w:rFonts w:ascii="Arial" w:hAnsi="Arial" w:cs="Arial"/>
          <w:sz w:val="20"/>
        </w:rPr>
        <w:t>following</w:t>
      </w:r>
      <w:r w:rsidRPr="00F261A3">
        <w:rPr>
          <w:rFonts w:ascii="Arial" w:hAnsi="Arial" w:cs="Arial"/>
          <w:spacing w:val="-2"/>
          <w:sz w:val="20"/>
        </w:rPr>
        <w:t xml:space="preserve"> </w:t>
      </w:r>
      <w:r w:rsidRPr="00F261A3">
        <w:rPr>
          <w:rFonts w:ascii="Arial" w:hAnsi="Arial" w:cs="Arial"/>
          <w:sz w:val="20"/>
        </w:rPr>
        <w:t>points:</w:t>
      </w:r>
    </w:p>
    <w:p w14:paraId="6D298A42" w14:textId="77777777" w:rsidR="00F261A3" w:rsidRPr="00F261A3" w:rsidRDefault="00F261A3" w:rsidP="00F261A3">
      <w:pPr>
        <w:pStyle w:val="ListParagraph"/>
        <w:numPr>
          <w:ilvl w:val="1"/>
          <w:numId w:val="281"/>
        </w:numPr>
        <w:tabs>
          <w:tab w:val="left" w:pos="1273"/>
          <w:tab w:val="left" w:pos="1274"/>
        </w:tabs>
        <w:spacing w:before="121"/>
        <w:ind w:hanging="568"/>
        <w:jc w:val="both"/>
        <w:rPr>
          <w:rFonts w:ascii="Arial" w:hAnsi="Arial" w:cs="Arial"/>
          <w:sz w:val="20"/>
        </w:rPr>
      </w:pPr>
      <w:r w:rsidRPr="00F261A3">
        <w:rPr>
          <w:rFonts w:ascii="Arial" w:hAnsi="Arial" w:cs="Arial"/>
          <w:sz w:val="20"/>
        </w:rPr>
        <w:t>questions</w:t>
      </w:r>
      <w:r w:rsidRPr="00F261A3">
        <w:rPr>
          <w:rFonts w:ascii="Arial" w:hAnsi="Arial" w:cs="Arial"/>
          <w:spacing w:val="-3"/>
          <w:sz w:val="20"/>
        </w:rPr>
        <w:t xml:space="preserve"> </w:t>
      </w:r>
      <w:r w:rsidRPr="00F261A3">
        <w:rPr>
          <w:rFonts w:ascii="Arial" w:hAnsi="Arial" w:cs="Arial"/>
          <w:sz w:val="20"/>
        </w:rPr>
        <w:t>from</w:t>
      </w:r>
      <w:r w:rsidRPr="00F261A3">
        <w:rPr>
          <w:rFonts w:ascii="Arial" w:hAnsi="Arial" w:cs="Arial"/>
          <w:spacing w:val="-1"/>
          <w:sz w:val="20"/>
        </w:rPr>
        <w:t xml:space="preserve"> </w:t>
      </w:r>
      <w:r w:rsidRPr="00F261A3">
        <w:rPr>
          <w:rFonts w:ascii="Arial" w:hAnsi="Arial" w:cs="Arial"/>
          <w:sz w:val="20"/>
        </w:rPr>
        <w:t>the</w:t>
      </w:r>
      <w:r w:rsidRPr="00F261A3">
        <w:rPr>
          <w:rFonts w:ascii="Arial" w:hAnsi="Arial" w:cs="Arial"/>
          <w:spacing w:val="-1"/>
          <w:sz w:val="20"/>
        </w:rPr>
        <w:t xml:space="preserve"> </w:t>
      </w:r>
      <w:r w:rsidRPr="00F261A3">
        <w:rPr>
          <w:rFonts w:ascii="Arial" w:hAnsi="Arial" w:cs="Arial"/>
          <w:sz w:val="20"/>
        </w:rPr>
        <w:t>‘candidate’;</w:t>
      </w:r>
    </w:p>
    <w:p w14:paraId="6DA9F072" w14:textId="77777777" w:rsidR="00F261A3" w:rsidRPr="00F261A3" w:rsidRDefault="00F261A3" w:rsidP="00F261A3">
      <w:pPr>
        <w:pStyle w:val="ListParagraph"/>
        <w:numPr>
          <w:ilvl w:val="1"/>
          <w:numId w:val="281"/>
        </w:numPr>
        <w:tabs>
          <w:tab w:val="left" w:pos="1273"/>
          <w:tab w:val="left" w:pos="1274"/>
        </w:tabs>
        <w:ind w:hanging="568"/>
        <w:jc w:val="both"/>
        <w:rPr>
          <w:rFonts w:ascii="Arial" w:hAnsi="Arial" w:cs="Arial"/>
          <w:sz w:val="20"/>
        </w:rPr>
      </w:pPr>
      <w:r w:rsidRPr="00F261A3">
        <w:rPr>
          <w:rFonts w:ascii="Arial" w:hAnsi="Arial" w:cs="Arial"/>
          <w:sz w:val="20"/>
        </w:rPr>
        <w:t>giving</w:t>
      </w:r>
      <w:r w:rsidRPr="00F261A3">
        <w:rPr>
          <w:rFonts w:ascii="Arial" w:hAnsi="Arial" w:cs="Arial"/>
          <w:spacing w:val="-4"/>
          <w:sz w:val="20"/>
        </w:rPr>
        <w:t xml:space="preserve"> </w:t>
      </w:r>
      <w:r w:rsidRPr="00F261A3">
        <w:rPr>
          <w:rFonts w:ascii="Arial" w:hAnsi="Arial" w:cs="Arial"/>
          <w:sz w:val="20"/>
        </w:rPr>
        <w:t>the results</w:t>
      </w:r>
      <w:r w:rsidRPr="00F261A3">
        <w:rPr>
          <w:rFonts w:ascii="Arial" w:hAnsi="Arial" w:cs="Arial"/>
          <w:spacing w:val="-3"/>
          <w:sz w:val="20"/>
        </w:rPr>
        <w:t xml:space="preserve"> </w:t>
      </w:r>
      <w:r w:rsidRPr="00F261A3">
        <w:rPr>
          <w:rFonts w:ascii="Arial" w:hAnsi="Arial" w:cs="Arial"/>
          <w:sz w:val="20"/>
        </w:rPr>
        <w:t>of</w:t>
      </w:r>
      <w:r w:rsidRPr="00F261A3">
        <w:rPr>
          <w:rFonts w:ascii="Arial" w:hAnsi="Arial" w:cs="Arial"/>
          <w:spacing w:val="-1"/>
          <w:sz w:val="20"/>
        </w:rPr>
        <w:t xml:space="preserve"> </w:t>
      </w:r>
      <w:r w:rsidRPr="00F261A3">
        <w:rPr>
          <w:rFonts w:ascii="Arial" w:hAnsi="Arial" w:cs="Arial"/>
          <w:sz w:val="20"/>
        </w:rPr>
        <w:t>the test</w:t>
      </w:r>
      <w:r w:rsidRPr="00F261A3">
        <w:rPr>
          <w:rFonts w:ascii="Arial" w:hAnsi="Arial" w:cs="Arial"/>
          <w:spacing w:val="-1"/>
          <w:sz w:val="20"/>
        </w:rPr>
        <w:t xml:space="preserve"> </w:t>
      </w:r>
      <w:r w:rsidRPr="00F261A3">
        <w:rPr>
          <w:rFonts w:ascii="Arial" w:hAnsi="Arial" w:cs="Arial"/>
          <w:sz w:val="20"/>
        </w:rPr>
        <w:t>and</w:t>
      </w:r>
      <w:r w:rsidRPr="00F261A3">
        <w:rPr>
          <w:rFonts w:ascii="Arial" w:hAnsi="Arial" w:cs="Arial"/>
          <w:spacing w:val="-2"/>
          <w:sz w:val="20"/>
        </w:rPr>
        <w:t xml:space="preserve"> </w:t>
      </w:r>
      <w:r w:rsidRPr="00F261A3">
        <w:rPr>
          <w:rFonts w:ascii="Arial" w:hAnsi="Arial" w:cs="Arial"/>
          <w:sz w:val="20"/>
        </w:rPr>
        <w:t>any</w:t>
      </w:r>
      <w:r w:rsidRPr="00F261A3">
        <w:rPr>
          <w:rFonts w:ascii="Arial" w:hAnsi="Arial" w:cs="Arial"/>
          <w:spacing w:val="-1"/>
          <w:sz w:val="20"/>
        </w:rPr>
        <w:t xml:space="preserve"> </w:t>
      </w:r>
      <w:r w:rsidRPr="00F261A3">
        <w:rPr>
          <w:rFonts w:ascii="Arial" w:hAnsi="Arial" w:cs="Arial"/>
          <w:sz w:val="20"/>
        </w:rPr>
        <w:t>sections</w:t>
      </w:r>
      <w:r w:rsidRPr="00F261A3">
        <w:rPr>
          <w:rFonts w:ascii="Arial" w:hAnsi="Arial" w:cs="Arial"/>
          <w:spacing w:val="-1"/>
          <w:sz w:val="20"/>
        </w:rPr>
        <w:t xml:space="preserve"> </w:t>
      </w:r>
      <w:r w:rsidRPr="00F261A3">
        <w:rPr>
          <w:rFonts w:ascii="Arial" w:hAnsi="Arial" w:cs="Arial"/>
          <w:sz w:val="20"/>
        </w:rPr>
        <w:t>failed; and</w:t>
      </w:r>
    </w:p>
    <w:p w14:paraId="2B7A49F7" w14:textId="77777777" w:rsidR="00F261A3" w:rsidRPr="00F261A3" w:rsidRDefault="00F261A3" w:rsidP="00F261A3">
      <w:pPr>
        <w:pStyle w:val="ListParagraph"/>
        <w:numPr>
          <w:ilvl w:val="1"/>
          <w:numId w:val="281"/>
        </w:numPr>
        <w:tabs>
          <w:tab w:val="left" w:pos="1273"/>
          <w:tab w:val="left" w:pos="1274"/>
        </w:tabs>
        <w:ind w:hanging="568"/>
        <w:jc w:val="both"/>
        <w:rPr>
          <w:rFonts w:ascii="Arial" w:hAnsi="Arial" w:cs="Arial"/>
          <w:sz w:val="20"/>
        </w:rPr>
      </w:pPr>
      <w:r w:rsidRPr="00F261A3">
        <w:rPr>
          <w:rFonts w:ascii="Arial" w:hAnsi="Arial" w:cs="Arial"/>
          <w:sz w:val="20"/>
        </w:rPr>
        <w:t>giving</w:t>
      </w:r>
      <w:r w:rsidRPr="00F261A3">
        <w:rPr>
          <w:rFonts w:ascii="Arial" w:hAnsi="Arial" w:cs="Arial"/>
          <w:spacing w:val="-3"/>
          <w:sz w:val="20"/>
        </w:rPr>
        <w:t xml:space="preserve"> </w:t>
      </w:r>
      <w:r w:rsidRPr="00F261A3">
        <w:rPr>
          <w:rFonts w:ascii="Arial" w:hAnsi="Arial" w:cs="Arial"/>
          <w:sz w:val="20"/>
        </w:rPr>
        <w:t>the reasons</w:t>
      </w:r>
      <w:r w:rsidRPr="00F261A3">
        <w:rPr>
          <w:rFonts w:ascii="Arial" w:hAnsi="Arial" w:cs="Arial"/>
          <w:spacing w:val="-4"/>
          <w:sz w:val="20"/>
        </w:rPr>
        <w:t xml:space="preserve"> </w:t>
      </w:r>
      <w:r w:rsidRPr="00F261A3">
        <w:rPr>
          <w:rFonts w:ascii="Arial" w:hAnsi="Arial" w:cs="Arial"/>
          <w:sz w:val="20"/>
        </w:rPr>
        <w:t>for</w:t>
      </w:r>
      <w:r w:rsidRPr="00F261A3">
        <w:rPr>
          <w:rFonts w:ascii="Arial" w:hAnsi="Arial" w:cs="Arial"/>
          <w:spacing w:val="-4"/>
          <w:sz w:val="20"/>
        </w:rPr>
        <w:t xml:space="preserve"> </w:t>
      </w:r>
      <w:r w:rsidRPr="00F261A3">
        <w:rPr>
          <w:rFonts w:ascii="Arial" w:hAnsi="Arial" w:cs="Arial"/>
          <w:sz w:val="20"/>
        </w:rPr>
        <w:t>failure.</w:t>
      </w:r>
    </w:p>
    <w:p w14:paraId="0D7448A6" w14:textId="77777777" w:rsidR="00F261A3" w:rsidRPr="00F261A3" w:rsidRDefault="00F261A3" w:rsidP="00F261A3">
      <w:pPr>
        <w:pStyle w:val="ListParagraph"/>
        <w:numPr>
          <w:ilvl w:val="0"/>
          <w:numId w:val="281"/>
        </w:numPr>
        <w:tabs>
          <w:tab w:val="left" w:pos="706"/>
          <w:tab w:val="left" w:pos="707"/>
        </w:tabs>
        <w:spacing w:before="121"/>
        <w:jc w:val="both"/>
        <w:rPr>
          <w:rFonts w:ascii="Arial" w:hAnsi="Arial" w:cs="Arial"/>
          <w:sz w:val="20"/>
        </w:rPr>
      </w:pPr>
      <w:r w:rsidRPr="00F261A3">
        <w:rPr>
          <w:rFonts w:ascii="Arial" w:hAnsi="Arial" w:cs="Arial"/>
          <w:sz w:val="20"/>
        </w:rPr>
        <w:t>DEBRIEFING</w:t>
      </w:r>
    </w:p>
    <w:p w14:paraId="4113B975" w14:textId="77777777" w:rsidR="00F261A3" w:rsidRPr="00F261A3" w:rsidRDefault="00F261A3" w:rsidP="00F261A3">
      <w:pPr>
        <w:pStyle w:val="BodyText"/>
        <w:spacing w:before="117"/>
        <w:ind w:left="706" w:right="196"/>
        <w:jc w:val="both"/>
        <w:rPr>
          <w:rFonts w:ascii="Arial" w:hAnsi="Arial" w:cs="Arial"/>
          <w:sz w:val="20"/>
        </w:rPr>
      </w:pPr>
      <w:r w:rsidRPr="00F261A3">
        <w:rPr>
          <w:rFonts w:ascii="Arial" w:hAnsi="Arial" w:cs="Arial"/>
          <w:sz w:val="20"/>
        </w:rPr>
        <w:t>The examiner applicant should demonstrate to the inspector the ability to conduct a fair,</w:t>
      </w:r>
      <w:r w:rsidRPr="00F261A3">
        <w:rPr>
          <w:rFonts w:ascii="Arial" w:hAnsi="Arial" w:cs="Arial"/>
          <w:spacing w:val="1"/>
          <w:sz w:val="20"/>
        </w:rPr>
        <w:t xml:space="preserve"> </w:t>
      </w:r>
      <w:r w:rsidRPr="00F261A3">
        <w:rPr>
          <w:rFonts w:ascii="Arial" w:hAnsi="Arial" w:cs="Arial"/>
          <w:sz w:val="20"/>
        </w:rPr>
        <w:t>unbiased debriefing of the ‘candidate’ based on identifiable factual items. A balance between</w:t>
      </w:r>
      <w:r w:rsidRPr="00F261A3">
        <w:rPr>
          <w:rFonts w:ascii="Arial" w:hAnsi="Arial" w:cs="Arial"/>
          <w:spacing w:val="1"/>
          <w:sz w:val="20"/>
        </w:rPr>
        <w:t xml:space="preserve"> </w:t>
      </w:r>
      <w:r w:rsidRPr="00F261A3">
        <w:rPr>
          <w:rFonts w:ascii="Arial" w:hAnsi="Arial" w:cs="Arial"/>
          <w:sz w:val="20"/>
        </w:rPr>
        <w:t>friendliness and firmness should be evident. The following points should be discussed with the</w:t>
      </w:r>
      <w:r w:rsidRPr="00F261A3">
        <w:rPr>
          <w:rFonts w:ascii="Arial" w:hAnsi="Arial" w:cs="Arial"/>
          <w:spacing w:val="-47"/>
          <w:sz w:val="20"/>
        </w:rPr>
        <w:t xml:space="preserve"> </w:t>
      </w:r>
      <w:r w:rsidRPr="00F261A3">
        <w:rPr>
          <w:rFonts w:ascii="Arial" w:hAnsi="Arial" w:cs="Arial"/>
          <w:sz w:val="20"/>
        </w:rPr>
        <w:t>‘candidate’,</w:t>
      </w:r>
      <w:r w:rsidRPr="00F261A3">
        <w:rPr>
          <w:rFonts w:ascii="Arial" w:hAnsi="Arial" w:cs="Arial"/>
          <w:spacing w:val="-1"/>
          <w:sz w:val="20"/>
        </w:rPr>
        <w:t xml:space="preserve"> </w:t>
      </w:r>
      <w:r w:rsidRPr="00F261A3">
        <w:rPr>
          <w:rFonts w:ascii="Arial" w:hAnsi="Arial" w:cs="Arial"/>
          <w:sz w:val="20"/>
        </w:rPr>
        <w:t>at the</w:t>
      </w:r>
      <w:r w:rsidRPr="00F261A3">
        <w:rPr>
          <w:rFonts w:ascii="Arial" w:hAnsi="Arial" w:cs="Arial"/>
          <w:spacing w:val="-3"/>
          <w:sz w:val="20"/>
        </w:rPr>
        <w:t xml:space="preserve"> </w:t>
      </w:r>
      <w:r w:rsidRPr="00F261A3">
        <w:rPr>
          <w:rFonts w:ascii="Arial" w:hAnsi="Arial" w:cs="Arial"/>
          <w:sz w:val="20"/>
        </w:rPr>
        <w:t>applicant’s</w:t>
      </w:r>
      <w:r w:rsidRPr="00F261A3">
        <w:rPr>
          <w:rFonts w:ascii="Arial" w:hAnsi="Arial" w:cs="Arial"/>
          <w:spacing w:val="1"/>
          <w:sz w:val="20"/>
        </w:rPr>
        <w:t xml:space="preserve"> </w:t>
      </w:r>
      <w:r w:rsidRPr="00F261A3">
        <w:rPr>
          <w:rFonts w:ascii="Arial" w:hAnsi="Arial" w:cs="Arial"/>
          <w:sz w:val="20"/>
        </w:rPr>
        <w:t>discretion:</w:t>
      </w:r>
    </w:p>
    <w:p w14:paraId="2CBE9D57" w14:textId="77777777" w:rsidR="00F261A3" w:rsidRPr="00F261A3" w:rsidRDefault="00F261A3" w:rsidP="00F261A3">
      <w:pPr>
        <w:pStyle w:val="ListParagraph"/>
        <w:numPr>
          <w:ilvl w:val="1"/>
          <w:numId w:val="281"/>
        </w:numPr>
        <w:tabs>
          <w:tab w:val="left" w:pos="1273"/>
          <w:tab w:val="left" w:pos="1274"/>
        </w:tabs>
        <w:spacing w:before="122"/>
        <w:ind w:hanging="568"/>
        <w:jc w:val="both"/>
        <w:rPr>
          <w:rFonts w:ascii="Arial" w:hAnsi="Arial" w:cs="Arial"/>
          <w:sz w:val="20"/>
        </w:rPr>
      </w:pPr>
      <w:r w:rsidRPr="00F261A3">
        <w:rPr>
          <w:rFonts w:ascii="Arial" w:hAnsi="Arial" w:cs="Arial"/>
          <w:sz w:val="20"/>
        </w:rPr>
        <w:t>advising</w:t>
      </w:r>
      <w:r w:rsidRPr="00F261A3">
        <w:rPr>
          <w:rFonts w:ascii="Arial" w:hAnsi="Arial" w:cs="Arial"/>
          <w:spacing w:val="-1"/>
          <w:sz w:val="20"/>
        </w:rPr>
        <w:t xml:space="preserve"> </w:t>
      </w:r>
      <w:r w:rsidRPr="00F261A3">
        <w:rPr>
          <w:rFonts w:ascii="Arial" w:hAnsi="Arial" w:cs="Arial"/>
          <w:sz w:val="20"/>
        </w:rPr>
        <w:t>the</w:t>
      </w:r>
      <w:r w:rsidRPr="00F261A3">
        <w:rPr>
          <w:rFonts w:ascii="Arial" w:hAnsi="Arial" w:cs="Arial"/>
          <w:spacing w:val="-2"/>
          <w:sz w:val="20"/>
        </w:rPr>
        <w:t xml:space="preserve"> </w:t>
      </w:r>
      <w:r w:rsidRPr="00F261A3">
        <w:rPr>
          <w:rFonts w:ascii="Arial" w:hAnsi="Arial" w:cs="Arial"/>
          <w:sz w:val="20"/>
        </w:rPr>
        <w:t>candidate</w:t>
      </w:r>
      <w:r w:rsidRPr="00F261A3">
        <w:rPr>
          <w:rFonts w:ascii="Arial" w:hAnsi="Arial" w:cs="Arial"/>
          <w:spacing w:val="-2"/>
          <w:sz w:val="20"/>
        </w:rPr>
        <w:t xml:space="preserve"> </w:t>
      </w:r>
      <w:r w:rsidRPr="00F261A3">
        <w:rPr>
          <w:rFonts w:ascii="Arial" w:hAnsi="Arial" w:cs="Arial"/>
          <w:sz w:val="20"/>
        </w:rPr>
        <w:t>on how</w:t>
      </w:r>
      <w:r w:rsidRPr="00F261A3">
        <w:rPr>
          <w:rFonts w:ascii="Arial" w:hAnsi="Arial" w:cs="Arial"/>
          <w:spacing w:val="-2"/>
          <w:sz w:val="20"/>
        </w:rPr>
        <w:t xml:space="preserve"> </w:t>
      </w:r>
      <w:r w:rsidRPr="00F261A3">
        <w:rPr>
          <w:rFonts w:ascii="Arial" w:hAnsi="Arial" w:cs="Arial"/>
          <w:sz w:val="20"/>
        </w:rPr>
        <w:t>to</w:t>
      </w:r>
      <w:r w:rsidRPr="00F261A3">
        <w:rPr>
          <w:rFonts w:ascii="Arial" w:hAnsi="Arial" w:cs="Arial"/>
          <w:spacing w:val="-1"/>
          <w:sz w:val="20"/>
        </w:rPr>
        <w:t xml:space="preserve"> </w:t>
      </w:r>
      <w:r w:rsidRPr="00F261A3">
        <w:rPr>
          <w:rFonts w:ascii="Arial" w:hAnsi="Arial" w:cs="Arial"/>
          <w:sz w:val="20"/>
        </w:rPr>
        <w:t>avoid</w:t>
      </w:r>
      <w:r w:rsidRPr="00F261A3">
        <w:rPr>
          <w:rFonts w:ascii="Arial" w:hAnsi="Arial" w:cs="Arial"/>
          <w:spacing w:val="-3"/>
          <w:sz w:val="20"/>
        </w:rPr>
        <w:t xml:space="preserve"> </w:t>
      </w:r>
      <w:r w:rsidRPr="00F261A3">
        <w:rPr>
          <w:rFonts w:ascii="Arial" w:hAnsi="Arial" w:cs="Arial"/>
          <w:sz w:val="20"/>
        </w:rPr>
        <w:t>or</w:t>
      </w:r>
      <w:r w:rsidRPr="00F261A3">
        <w:rPr>
          <w:rFonts w:ascii="Arial" w:hAnsi="Arial" w:cs="Arial"/>
          <w:spacing w:val="1"/>
          <w:sz w:val="20"/>
        </w:rPr>
        <w:t xml:space="preserve"> </w:t>
      </w:r>
      <w:r w:rsidRPr="00F261A3">
        <w:rPr>
          <w:rFonts w:ascii="Arial" w:hAnsi="Arial" w:cs="Arial"/>
          <w:sz w:val="20"/>
        </w:rPr>
        <w:t>correct</w:t>
      </w:r>
      <w:r w:rsidRPr="00F261A3">
        <w:rPr>
          <w:rFonts w:ascii="Arial" w:hAnsi="Arial" w:cs="Arial"/>
          <w:spacing w:val="-2"/>
          <w:sz w:val="20"/>
        </w:rPr>
        <w:t xml:space="preserve"> </w:t>
      </w:r>
      <w:r w:rsidRPr="00F261A3">
        <w:rPr>
          <w:rFonts w:ascii="Arial" w:hAnsi="Arial" w:cs="Arial"/>
          <w:sz w:val="20"/>
        </w:rPr>
        <w:t>mistakes;</w:t>
      </w:r>
    </w:p>
    <w:p w14:paraId="27A6D24C" w14:textId="77777777" w:rsidR="00F261A3" w:rsidRPr="00F261A3" w:rsidRDefault="00F261A3" w:rsidP="00F261A3">
      <w:pPr>
        <w:pStyle w:val="ListParagraph"/>
        <w:numPr>
          <w:ilvl w:val="1"/>
          <w:numId w:val="281"/>
        </w:numPr>
        <w:tabs>
          <w:tab w:val="left" w:pos="1273"/>
          <w:tab w:val="left" w:pos="1274"/>
        </w:tabs>
        <w:ind w:hanging="568"/>
        <w:jc w:val="both"/>
        <w:rPr>
          <w:rFonts w:ascii="Arial" w:hAnsi="Arial" w:cs="Arial"/>
          <w:sz w:val="20"/>
        </w:rPr>
      </w:pPr>
      <w:r w:rsidRPr="00F261A3">
        <w:rPr>
          <w:rFonts w:ascii="Arial" w:hAnsi="Arial" w:cs="Arial"/>
          <w:sz w:val="20"/>
        </w:rPr>
        <w:t>mentioning</w:t>
      </w:r>
      <w:r w:rsidRPr="00F261A3">
        <w:rPr>
          <w:rFonts w:ascii="Arial" w:hAnsi="Arial" w:cs="Arial"/>
          <w:spacing w:val="-2"/>
          <w:sz w:val="20"/>
        </w:rPr>
        <w:t xml:space="preserve"> </w:t>
      </w:r>
      <w:r w:rsidRPr="00F261A3">
        <w:rPr>
          <w:rFonts w:ascii="Arial" w:hAnsi="Arial" w:cs="Arial"/>
          <w:sz w:val="20"/>
        </w:rPr>
        <w:t>any</w:t>
      </w:r>
      <w:r w:rsidRPr="00F261A3">
        <w:rPr>
          <w:rFonts w:ascii="Arial" w:hAnsi="Arial" w:cs="Arial"/>
          <w:spacing w:val="-2"/>
          <w:sz w:val="20"/>
        </w:rPr>
        <w:t xml:space="preserve"> </w:t>
      </w:r>
      <w:r w:rsidRPr="00F261A3">
        <w:rPr>
          <w:rFonts w:ascii="Arial" w:hAnsi="Arial" w:cs="Arial"/>
          <w:sz w:val="20"/>
        </w:rPr>
        <w:t>other points of</w:t>
      </w:r>
      <w:r w:rsidRPr="00F261A3">
        <w:rPr>
          <w:rFonts w:ascii="Arial" w:hAnsi="Arial" w:cs="Arial"/>
          <w:spacing w:val="-3"/>
          <w:sz w:val="20"/>
        </w:rPr>
        <w:t xml:space="preserve"> </w:t>
      </w:r>
      <w:r w:rsidRPr="00F261A3">
        <w:rPr>
          <w:rFonts w:ascii="Arial" w:hAnsi="Arial" w:cs="Arial"/>
          <w:sz w:val="20"/>
        </w:rPr>
        <w:t>criticism</w:t>
      </w:r>
      <w:r w:rsidRPr="00F261A3">
        <w:rPr>
          <w:rFonts w:ascii="Arial" w:hAnsi="Arial" w:cs="Arial"/>
          <w:spacing w:val="-1"/>
          <w:sz w:val="20"/>
        </w:rPr>
        <w:t xml:space="preserve"> </w:t>
      </w:r>
      <w:r w:rsidRPr="00F261A3">
        <w:rPr>
          <w:rFonts w:ascii="Arial" w:hAnsi="Arial" w:cs="Arial"/>
          <w:sz w:val="20"/>
        </w:rPr>
        <w:t>noted; and</w:t>
      </w:r>
    </w:p>
    <w:p w14:paraId="45DE7038" w14:textId="77777777" w:rsidR="00F261A3" w:rsidRPr="00F261A3" w:rsidRDefault="00F261A3" w:rsidP="00F261A3">
      <w:pPr>
        <w:pStyle w:val="ListParagraph"/>
        <w:numPr>
          <w:ilvl w:val="1"/>
          <w:numId w:val="281"/>
        </w:numPr>
        <w:tabs>
          <w:tab w:val="left" w:pos="1273"/>
          <w:tab w:val="left" w:pos="1274"/>
        </w:tabs>
        <w:ind w:hanging="568"/>
        <w:jc w:val="both"/>
        <w:rPr>
          <w:rFonts w:ascii="Arial" w:hAnsi="Arial" w:cs="Arial"/>
          <w:sz w:val="20"/>
        </w:rPr>
      </w:pPr>
      <w:r w:rsidRPr="00F261A3">
        <w:rPr>
          <w:rFonts w:ascii="Arial" w:hAnsi="Arial" w:cs="Arial"/>
          <w:sz w:val="20"/>
        </w:rPr>
        <w:t>giving</w:t>
      </w:r>
      <w:r w:rsidRPr="00F261A3">
        <w:rPr>
          <w:rFonts w:ascii="Arial" w:hAnsi="Arial" w:cs="Arial"/>
          <w:spacing w:val="-4"/>
          <w:sz w:val="20"/>
        </w:rPr>
        <w:t xml:space="preserve"> </w:t>
      </w:r>
      <w:r w:rsidRPr="00F261A3">
        <w:rPr>
          <w:rFonts w:ascii="Arial" w:hAnsi="Arial" w:cs="Arial"/>
          <w:sz w:val="20"/>
        </w:rPr>
        <w:t>any</w:t>
      </w:r>
      <w:r w:rsidRPr="00F261A3">
        <w:rPr>
          <w:rFonts w:ascii="Arial" w:hAnsi="Arial" w:cs="Arial"/>
          <w:spacing w:val="-1"/>
          <w:sz w:val="20"/>
        </w:rPr>
        <w:t xml:space="preserve"> </w:t>
      </w:r>
      <w:r w:rsidRPr="00F261A3">
        <w:rPr>
          <w:rFonts w:ascii="Arial" w:hAnsi="Arial" w:cs="Arial"/>
          <w:sz w:val="20"/>
        </w:rPr>
        <w:t>advice</w:t>
      </w:r>
      <w:r w:rsidRPr="00F261A3">
        <w:rPr>
          <w:rFonts w:ascii="Arial" w:hAnsi="Arial" w:cs="Arial"/>
          <w:spacing w:val="-4"/>
          <w:sz w:val="20"/>
        </w:rPr>
        <w:t xml:space="preserve"> </w:t>
      </w:r>
      <w:r w:rsidRPr="00F261A3">
        <w:rPr>
          <w:rFonts w:ascii="Arial" w:hAnsi="Arial" w:cs="Arial"/>
          <w:sz w:val="20"/>
        </w:rPr>
        <w:t>considered</w:t>
      </w:r>
      <w:r w:rsidRPr="00F261A3">
        <w:rPr>
          <w:rFonts w:ascii="Arial" w:hAnsi="Arial" w:cs="Arial"/>
          <w:spacing w:val="-2"/>
          <w:sz w:val="20"/>
        </w:rPr>
        <w:t xml:space="preserve"> </w:t>
      </w:r>
      <w:r w:rsidRPr="00F261A3">
        <w:rPr>
          <w:rFonts w:ascii="Arial" w:hAnsi="Arial" w:cs="Arial"/>
          <w:sz w:val="20"/>
        </w:rPr>
        <w:t>helpful.</w:t>
      </w:r>
    </w:p>
    <w:p w14:paraId="0184008B" w14:textId="77777777" w:rsidR="00F261A3" w:rsidRPr="00F261A3" w:rsidRDefault="00F261A3" w:rsidP="00F261A3">
      <w:pPr>
        <w:pStyle w:val="ListParagraph"/>
        <w:numPr>
          <w:ilvl w:val="0"/>
          <w:numId w:val="281"/>
        </w:numPr>
        <w:tabs>
          <w:tab w:val="left" w:pos="706"/>
          <w:tab w:val="left" w:pos="707"/>
        </w:tabs>
        <w:spacing w:before="121"/>
        <w:jc w:val="both"/>
        <w:rPr>
          <w:rFonts w:ascii="Arial" w:hAnsi="Arial" w:cs="Arial"/>
          <w:sz w:val="20"/>
        </w:rPr>
      </w:pPr>
      <w:r w:rsidRPr="00F261A3">
        <w:rPr>
          <w:rFonts w:ascii="Arial" w:hAnsi="Arial" w:cs="Arial"/>
          <w:sz w:val="20"/>
        </w:rPr>
        <w:t>RECORDING</w:t>
      </w:r>
      <w:r w:rsidRPr="00F261A3">
        <w:rPr>
          <w:rFonts w:ascii="Arial" w:hAnsi="Arial" w:cs="Arial"/>
          <w:spacing w:val="-4"/>
          <w:sz w:val="20"/>
        </w:rPr>
        <w:t xml:space="preserve"> </w:t>
      </w:r>
      <w:r w:rsidRPr="00F261A3">
        <w:rPr>
          <w:rFonts w:ascii="Arial" w:hAnsi="Arial" w:cs="Arial"/>
          <w:sz w:val="20"/>
        </w:rPr>
        <w:t>OR</w:t>
      </w:r>
      <w:r w:rsidRPr="00F261A3">
        <w:rPr>
          <w:rFonts w:ascii="Arial" w:hAnsi="Arial" w:cs="Arial"/>
          <w:spacing w:val="-5"/>
          <w:sz w:val="20"/>
        </w:rPr>
        <w:t xml:space="preserve"> </w:t>
      </w:r>
      <w:r w:rsidRPr="00F261A3">
        <w:rPr>
          <w:rFonts w:ascii="Arial" w:hAnsi="Arial" w:cs="Arial"/>
          <w:sz w:val="20"/>
        </w:rPr>
        <w:t>DOCUMENTATION</w:t>
      </w:r>
    </w:p>
    <w:p w14:paraId="40159310" w14:textId="77777777" w:rsidR="00F261A3" w:rsidRPr="00F261A3" w:rsidRDefault="00F261A3" w:rsidP="00F261A3">
      <w:pPr>
        <w:pStyle w:val="BodyText"/>
        <w:ind w:left="706" w:right="203"/>
        <w:jc w:val="both"/>
        <w:rPr>
          <w:rFonts w:ascii="Arial" w:hAnsi="Arial" w:cs="Arial"/>
          <w:sz w:val="20"/>
        </w:rPr>
      </w:pPr>
      <w:r w:rsidRPr="00F261A3">
        <w:rPr>
          <w:rFonts w:ascii="Arial" w:hAnsi="Arial" w:cs="Arial"/>
          <w:sz w:val="20"/>
        </w:rPr>
        <w:t>The</w:t>
      </w:r>
      <w:r w:rsidRPr="00F261A3">
        <w:rPr>
          <w:rFonts w:ascii="Arial" w:hAnsi="Arial" w:cs="Arial"/>
          <w:spacing w:val="1"/>
          <w:sz w:val="20"/>
        </w:rPr>
        <w:t xml:space="preserve"> </w:t>
      </w:r>
      <w:r w:rsidRPr="00F261A3">
        <w:rPr>
          <w:rFonts w:ascii="Arial" w:hAnsi="Arial" w:cs="Arial"/>
          <w:sz w:val="20"/>
        </w:rPr>
        <w:t>examiner</w:t>
      </w:r>
      <w:r w:rsidRPr="00F261A3">
        <w:rPr>
          <w:rFonts w:ascii="Arial" w:hAnsi="Arial" w:cs="Arial"/>
          <w:spacing w:val="1"/>
          <w:sz w:val="20"/>
        </w:rPr>
        <w:t xml:space="preserve"> </w:t>
      </w:r>
      <w:r w:rsidRPr="00F261A3">
        <w:rPr>
          <w:rFonts w:ascii="Arial" w:hAnsi="Arial" w:cs="Arial"/>
          <w:sz w:val="20"/>
        </w:rPr>
        <w:t>applicant</w:t>
      </w:r>
      <w:r w:rsidRPr="00F261A3">
        <w:rPr>
          <w:rFonts w:ascii="Arial" w:hAnsi="Arial" w:cs="Arial"/>
          <w:spacing w:val="1"/>
          <w:sz w:val="20"/>
        </w:rPr>
        <w:t xml:space="preserve"> </w:t>
      </w:r>
      <w:r w:rsidRPr="00F261A3">
        <w:rPr>
          <w:rFonts w:ascii="Arial" w:hAnsi="Arial" w:cs="Arial"/>
          <w:sz w:val="20"/>
        </w:rPr>
        <w:t>should</w:t>
      </w:r>
      <w:r w:rsidRPr="00F261A3">
        <w:rPr>
          <w:rFonts w:ascii="Arial" w:hAnsi="Arial" w:cs="Arial"/>
          <w:spacing w:val="1"/>
          <w:sz w:val="20"/>
        </w:rPr>
        <w:t xml:space="preserve"> </w:t>
      </w:r>
      <w:r w:rsidRPr="00F261A3">
        <w:rPr>
          <w:rFonts w:ascii="Arial" w:hAnsi="Arial" w:cs="Arial"/>
          <w:sz w:val="20"/>
        </w:rPr>
        <w:t>demonstrate</w:t>
      </w:r>
      <w:r w:rsidRPr="00F261A3">
        <w:rPr>
          <w:rFonts w:ascii="Arial" w:hAnsi="Arial" w:cs="Arial"/>
          <w:spacing w:val="1"/>
          <w:sz w:val="20"/>
        </w:rPr>
        <w:t xml:space="preserve"> </w:t>
      </w:r>
      <w:r w:rsidRPr="00F261A3">
        <w:rPr>
          <w:rFonts w:ascii="Arial" w:hAnsi="Arial" w:cs="Arial"/>
          <w:sz w:val="20"/>
        </w:rPr>
        <w:t>to</w:t>
      </w:r>
      <w:r w:rsidRPr="00F261A3">
        <w:rPr>
          <w:rFonts w:ascii="Arial" w:hAnsi="Arial" w:cs="Arial"/>
          <w:spacing w:val="1"/>
          <w:sz w:val="20"/>
        </w:rPr>
        <w:t xml:space="preserve"> </w:t>
      </w:r>
      <w:r w:rsidRPr="00F261A3">
        <w:rPr>
          <w:rFonts w:ascii="Arial" w:hAnsi="Arial" w:cs="Arial"/>
          <w:sz w:val="20"/>
        </w:rPr>
        <w:t>the</w:t>
      </w:r>
      <w:r w:rsidRPr="00F261A3">
        <w:rPr>
          <w:rFonts w:ascii="Arial" w:hAnsi="Arial" w:cs="Arial"/>
          <w:spacing w:val="1"/>
          <w:sz w:val="20"/>
        </w:rPr>
        <w:t xml:space="preserve"> </w:t>
      </w:r>
      <w:r w:rsidRPr="00F261A3">
        <w:rPr>
          <w:rFonts w:ascii="Arial" w:hAnsi="Arial" w:cs="Arial"/>
          <w:sz w:val="20"/>
        </w:rPr>
        <w:t>inspector</w:t>
      </w:r>
      <w:r w:rsidRPr="00F261A3">
        <w:rPr>
          <w:rFonts w:ascii="Arial" w:hAnsi="Arial" w:cs="Arial"/>
          <w:spacing w:val="1"/>
          <w:sz w:val="20"/>
        </w:rPr>
        <w:t xml:space="preserve"> </w:t>
      </w:r>
      <w:r w:rsidRPr="00F261A3">
        <w:rPr>
          <w:rFonts w:ascii="Arial" w:hAnsi="Arial" w:cs="Arial"/>
          <w:sz w:val="20"/>
        </w:rPr>
        <w:t>the</w:t>
      </w:r>
      <w:r w:rsidRPr="00F261A3">
        <w:rPr>
          <w:rFonts w:ascii="Arial" w:hAnsi="Arial" w:cs="Arial"/>
          <w:spacing w:val="1"/>
          <w:sz w:val="20"/>
        </w:rPr>
        <w:t xml:space="preserve"> </w:t>
      </w:r>
      <w:r w:rsidRPr="00F261A3">
        <w:rPr>
          <w:rFonts w:ascii="Arial" w:hAnsi="Arial" w:cs="Arial"/>
          <w:sz w:val="20"/>
        </w:rPr>
        <w:t>ability</w:t>
      </w:r>
      <w:r w:rsidRPr="00F261A3">
        <w:rPr>
          <w:rFonts w:ascii="Arial" w:hAnsi="Arial" w:cs="Arial"/>
          <w:spacing w:val="1"/>
          <w:sz w:val="20"/>
        </w:rPr>
        <w:t xml:space="preserve"> </w:t>
      </w:r>
      <w:r w:rsidRPr="00F261A3">
        <w:rPr>
          <w:rFonts w:ascii="Arial" w:hAnsi="Arial" w:cs="Arial"/>
          <w:sz w:val="20"/>
        </w:rPr>
        <w:t>to</w:t>
      </w:r>
      <w:r w:rsidRPr="00F261A3">
        <w:rPr>
          <w:rFonts w:ascii="Arial" w:hAnsi="Arial" w:cs="Arial"/>
          <w:spacing w:val="1"/>
          <w:sz w:val="20"/>
        </w:rPr>
        <w:t xml:space="preserve"> </w:t>
      </w:r>
      <w:r w:rsidRPr="00F261A3">
        <w:rPr>
          <w:rFonts w:ascii="Arial" w:hAnsi="Arial" w:cs="Arial"/>
          <w:sz w:val="20"/>
        </w:rPr>
        <w:t>complete</w:t>
      </w:r>
      <w:r w:rsidRPr="00F261A3">
        <w:rPr>
          <w:rFonts w:ascii="Arial" w:hAnsi="Arial" w:cs="Arial"/>
          <w:spacing w:val="1"/>
          <w:sz w:val="20"/>
        </w:rPr>
        <w:t xml:space="preserve"> </w:t>
      </w:r>
      <w:r w:rsidRPr="00F261A3">
        <w:rPr>
          <w:rFonts w:ascii="Arial" w:hAnsi="Arial" w:cs="Arial"/>
          <w:sz w:val="20"/>
        </w:rPr>
        <w:t>the</w:t>
      </w:r>
      <w:r w:rsidRPr="00F261A3">
        <w:rPr>
          <w:rFonts w:ascii="Arial" w:hAnsi="Arial" w:cs="Arial"/>
          <w:spacing w:val="-47"/>
          <w:sz w:val="20"/>
        </w:rPr>
        <w:t xml:space="preserve"> </w:t>
      </w:r>
      <w:r w:rsidRPr="00F261A3">
        <w:rPr>
          <w:rFonts w:ascii="Arial" w:hAnsi="Arial" w:cs="Arial"/>
          <w:sz w:val="20"/>
        </w:rPr>
        <w:t>relevant</w:t>
      </w:r>
      <w:r w:rsidRPr="00F261A3">
        <w:rPr>
          <w:rFonts w:ascii="Arial" w:hAnsi="Arial" w:cs="Arial"/>
          <w:spacing w:val="-1"/>
          <w:sz w:val="20"/>
        </w:rPr>
        <w:t xml:space="preserve"> </w:t>
      </w:r>
      <w:r w:rsidRPr="00F261A3">
        <w:rPr>
          <w:rFonts w:ascii="Arial" w:hAnsi="Arial" w:cs="Arial"/>
          <w:sz w:val="20"/>
        </w:rPr>
        <w:t>records</w:t>
      </w:r>
      <w:r w:rsidRPr="00F261A3">
        <w:rPr>
          <w:rFonts w:ascii="Arial" w:hAnsi="Arial" w:cs="Arial"/>
          <w:spacing w:val="-2"/>
          <w:sz w:val="20"/>
        </w:rPr>
        <w:t xml:space="preserve"> </w:t>
      </w:r>
      <w:r w:rsidRPr="00F261A3">
        <w:rPr>
          <w:rFonts w:ascii="Arial" w:hAnsi="Arial" w:cs="Arial"/>
          <w:sz w:val="20"/>
        </w:rPr>
        <w:t>correctly.</w:t>
      </w:r>
      <w:r w:rsidRPr="00F261A3">
        <w:rPr>
          <w:rFonts w:ascii="Arial" w:hAnsi="Arial" w:cs="Arial"/>
          <w:spacing w:val="-3"/>
          <w:sz w:val="20"/>
        </w:rPr>
        <w:t xml:space="preserve"> </w:t>
      </w:r>
      <w:r w:rsidRPr="00F261A3">
        <w:rPr>
          <w:rFonts w:ascii="Arial" w:hAnsi="Arial" w:cs="Arial"/>
          <w:sz w:val="20"/>
        </w:rPr>
        <w:t>These records</w:t>
      </w:r>
      <w:r w:rsidRPr="00F261A3">
        <w:rPr>
          <w:rFonts w:ascii="Arial" w:hAnsi="Arial" w:cs="Arial"/>
          <w:spacing w:val="-2"/>
          <w:sz w:val="20"/>
        </w:rPr>
        <w:t xml:space="preserve"> </w:t>
      </w:r>
      <w:r w:rsidRPr="00F261A3">
        <w:rPr>
          <w:rFonts w:ascii="Arial" w:hAnsi="Arial" w:cs="Arial"/>
          <w:sz w:val="20"/>
        </w:rPr>
        <w:t>may</w:t>
      </w:r>
      <w:r w:rsidRPr="00F261A3">
        <w:rPr>
          <w:rFonts w:ascii="Arial" w:hAnsi="Arial" w:cs="Arial"/>
          <w:spacing w:val="-2"/>
          <w:sz w:val="20"/>
        </w:rPr>
        <w:t xml:space="preserve"> </w:t>
      </w:r>
      <w:r w:rsidRPr="00F261A3">
        <w:rPr>
          <w:rFonts w:ascii="Arial" w:hAnsi="Arial" w:cs="Arial"/>
          <w:sz w:val="20"/>
        </w:rPr>
        <w:t>be:</w:t>
      </w:r>
    </w:p>
    <w:p w14:paraId="16B799FE" w14:textId="77777777" w:rsidR="00F261A3" w:rsidRPr="00F261A3" w:rsidRDefault="00F261A3" w:rsidP="00F261A3">
      <w:pPr>
        <w:pStyle w:val="ListParagraph"/>
        <w:numPr>
          <w:ilvl w:val="1"/>
          <w:numId w:val="281"/>
        </w:numPr>
        <w:tabs>
          <w:tab w:val="left" w:pos="1273"/>
          <w:tab w:val="left" w:pos="1274"/>
        </w:tabs>
        <w:spacing w:before="118"/>
        <w:ind w:hanging="568"/>
        <w:jc w:val="both"/>
        <w:rPr>
          <w:rFonts w:ascii="Arial" w:hAnsi="Arial" w:cs="Arial"/>
          <w:sz w:val="20"/>
        </w:rPr>
      </w:pPr>
      <w:r w:rsidRPr="00F261A3">
        <w:rPr>
          <w:rFonts w:ascii="Arial" w:hAnsi="Arial" w:cs="Arial"/>
          <w:sz w:val="20"/>
        </w:rPr>
        <w:t>the</w:t>
      </w:r>
      <w:r w:rsidRPr="00F261A3">
        <w:rPr>
          <w:rFonts w:ascii="Arial" w:hAnsi="Arial" w:cs="Arial"/>
          <w:spacing w:val="-1"/>
          <w:sz w:val="20"/>
        </w:rPr>
        <w:t xml:space="preserve"> </w:t>
      </w:r>
      <w:r w:rsidRPr="00F261A3">
        <w:rPr>
          <w:rFonts w:ascii="Arial" w:hAnsi="Arial" w:cs="Arial"/>
          <w:sz w:val="20"/>
        </w:rPr>
        <w:t>relevant</w:t>
      </w:r>
      <w:r w:rsidRPr="00F261A3">
        <w:rPr>
          <w:rFonts w:ascii="Arial" w:hAnsi="Arial" w:cs="Arial"/>
          <w:spacing w:val="-2"/>
          <w:sz w:val="20"/>
        </w:rPr>
        <w:t xml:space="preserve"> </w:t>
      </w:r>
      <w:r w:rsidRPr="00F261A3">
        <w:rPr>
          <w:rFonts w:ascii="Arial" w:hAnsi="Arial" w:cs="Arial"/>
          <w:sz w:val="20"/>
        </w:rPr>
        <w:t>test</w:t>
      </w:r>
      <w:r w:rsidRPr="00F261A3">
        <w:rPr>
          <w:rFonts w:ascii="Arial" w:hAnsi="Arial" w:cs="Arial"/>
          <w:spacing w:val="-2"/>
          <w:sz w:val="20"/>
        </w:rPr>
        <w:t xml:space="preserve"> </w:t>
      </w:r>
      <w:r w:rsidRPr="00F261A3">
        <w:rPr>
          <w:rFonts w:ascii="Arial" w:hAnsi="Arial" w:cs="Arial"/>
          <w:sz w:val="20"/>
        </w:rPr>
        <w:t>or check form;</w:t>
      </w:r>
    </w:p>
    <w:p w14:paraId="1C9B67AA" w14:textId="77777777" w:rsidR="00F261A3" w:rsidRPr="00F261A3" w:rsidRDefault="00F261A3" w:rsidP="00F261A3">
      <w:pPr>
        <w:pStyle w:val="ListParagraph"/>
        <w:numPr>
          <w:ilvl w:val="1"/>
          <w:numId w:val="281"/>
        </w:numPr>
        <w:tabs>
          <w:tab w:val="left" w:pos="1273"/>
          <w:tab w:val="left" w:pos="1274"/>
        </w:tabs>
        <w:ind w:hanging="568"/>
        <w:jc w:val="both"/>
        <w:rPr>
          <w:rFonts w:ascii="Arial" w:hAnsi="Arial" w:cs="Arial"/>
          <w:sz w:val="20"/>
        </w:rPr>
      </w:pPr>
      <w:r w:rsidRPr="00F261A3">
        <w:rPr>
          <w:rFonts w:ascii="Arial" w:hAnsi="Arial" w:cs="Arial"/>
          <w:sz w:val="20"/>
        </w:rPr>
        <w:t>the</w:t>
      </w:r>
      <w:r w:rsidRPr="00F261A3">
        <w:rPr>
          <w:rFonts w:ascii="Arial" w:hAnsi="Arial" w:cs="Arial"/>
          <w:spacing w:val="-1"/>
          <w:sz w:val="20"/>
        </w:rPr>
        <w:t xml:space="preserve"> </w:t>
      </w:r>
      <w:r w:rsidRPr="00F261A3">
        <w:rPr>
          <w:rFonts w:ascii="Arial" w:hAnsi="Arial" w:cs="Arial"/>
          <w:sz w:val="20"/>
        </w:rPr>
        <w:t>licence entry;</w:t>
      </w:r>
    </w:p>
    <w:p w14:paraId="10E495B0" w14:textId="77777777" w:rsidR="00F261A3" w:rsidRPr="00F261A3" w:rsidRDefault="00F261A3" w:rsidP="00F261A3">
      <w:pPr>
        <w:pStyle w:val="ListParagraph"/>
        <w:numPr>
          <w:ilvl w:val="1"/>
          <w:numId w:val="281"/>
        </w:numPr>
        <w:tabs>
          <w:tab w:val="left" w:pos="1273"/>
          <w:tab w:val="left" w:pos="1274"/>
        </w:tabs>
        <w:ind w:hanging="568"/>
        <w:jc w:val="both"/>
        <w:rPr>
          <w:rFonts w:ascii="Arial" w:hAnsi="Arial" w:cs="Arial"/>
          <w:sz w:val="20"/>
        </w:rPr>
      </w:pPr>
      <w:r w:rsidRPr="00F261A3">
        <w:rPr>
          <w:rFonts w:ascii="Arial" w:hAnsi="Arial" w:cs="Arial"/>
          <w:sz w:val="20"/>
        </w:rPr>
        <w:t>the</w:t>
      </w:r>
      <w:r w:rsidRPr="00F261A3">
        <w:rPr>
          <w:rFonts w:ascii="Arial" w:hAnsi="Arial" w:cs="Arial"/>
          <w:spacing w:val="-1"/>
          <w:sz w:val="20"/>
        </w:rPr>
        <w:t xml:space="preserve"> </w:t>
      </w:r>
      <w:r w:rsidRPr="00F261A3">
        <w:rPr>
          <w:rFonts w:ascii="Arial" w:hAnsi="Arial" w:cs="Arial"/>
          <w:sz w:val="20"/>
        </w:rPr>
        <w:t>notification</w:t>
      </w:r>
      <w:r w:rsidRPr="00F261A3">
        <w:rPr>
          <w:rFonts w:ascii="Arial" w:hAnsi="Arial" w:cs="Arial"/>
          <w:spacing w:val="-3"/>
          <w:sz w:val="20"/>
        </w:rPr>
        <w:t xml:space="preserve"> </w:t>
      </w:r>
      <w:r w:rsidRPr="00F261A3">
        <w:rPr>
          <w:rFonts w:ascii="Arial" w:hAnsi="Arial" w:cs="Arial"/>
          <w:sz w:val="20"/>
        </w:rPr>
        <w:t>of</w:t>
      </w:r>
      <w:r w:rsidRPr="00F261A3">
        <w:rPr>
          <w:rFonts w:ascii="Arial" w:hAnsi="Arial" w:cs="Arial"/>
          <w:spacing w:val="-1"/>
          <w:sz w:val="20"/>
        </w:rPr>
        <w:t xml:space="preserve"> </w:t>
      </w:r>
      <w:r w:rsidRPr="00F261A3">
        <w:rPr>
          <w:rFonts w:ascii="Arial" w:hAnsi="Arial" w:cs="Arial"/>
          <w:sz w:val="20"/>
        </w:rPr>
        <w:t>failure form; and</w:t>
      </w:r>
    </w:p>
    <w:p w14:paraId="2C4F4BDE" w14:textId="77777777" w:rsidR="00F261A3" w:rsidRPr="00F261A3" w:rsidRDefault="00F261A3" w:rsidP="00F261A3">
      <w:pPr>
        <w:pStyle w:val="ListParagraph"/>
        <w:numPr>
          <w:ilvl w:val="1"/>
          <w:numId w:val="281"/>
        </w:numPr>
        <w:tabs>
          <w:tab w:val="left" w:pos="1273"/>
          <w:tab w:val="left" w:pos="1274"/>
        </w:tabs>
        <w:spacing w:before="121"/>
        <w:ind w:right="197"/>
        <w:jc w:val="both"/>
        <w:rPr>
          <w:rFonts w:ascii="Arial" w:hAnsi="Arial" w:cs="Arial"/>
          <w:sz w:val="20"/>
        </w:rPr>
      </w:pPr>
      <w:r w:rsidRPr="00F261A3">
        <w:rPr>
          <w:rFonts w:ascii="Arial" w:hAnsi="Arial" w:cs="Arial"/>
          <w:sz w:val="20"/>
        </w:rPr>
        <w:t>relevant</w:t>
      </w:r>
      <w:r w:rsidRPr="00F261A3">
        <w:rPr>
          <w:rFonts w:ascii="Arial" w:hAnsi="Arial" w:cs="Arial"/>
          <w:spacing w:val="48"/>
          <w:sz w:val="20"/>
        </w:rPr>
        <w:t xml:space="preserve"> </w:t>
      </w:r>
      <w:r w:rsidRPr="00F261A3">
        <w:rPr>
          <w:rFonts w:ascii="Arial" w:hAnsi="Arial" w:cs="Arial"/>
          <w:sz w:val="20"/>
        </w:rPr>
        <w:t>company</w:t>
      </w:r>
      <w:r w:rsidRPr="00F261A3">
        <w:rPr>
          <w:rFonts w:ascii="Arial" w:hAnsi="Arial" w:cs="Arial"/>
          <w:spacing w:val="48"/>
          <w:sz w:val="20"/>
        </w:rPr>
        <w:t xml:space="preserve"> </w:t>
      </w:r>
      <w:r w:rsidRPr="00F261A3">
        <w:rPr>
          <w:rFonts w:ascii="Arial" w:hAnsi="Arial" w:cs="Arial"/>
          <w:sz w:val="20"/>
        </w:rPr>
        <w:t>forms</w:t>
      </w:r>
      <w:r w:rsidRPr="00F261A3">
        <w:rPr>
          <w:rFonts w:ascii="Arial" w:hAnsi="Arial" w:cs="Arial"/>
          <w:spacing w:val="43"/>
          <w:sz w:val="20"/>
        </w:rPr>
        <w:t xml:space="preserve"> </w:t>
      </w:r>
      <w:r w:rsidRPr="00F261A3">
        <w:rPr>
          <w:rFonts w:ascii="Arial" w:hAnsi="Arial" w:cs="Arial"/>
          <w:sz w:val="20"/>
        </w:rPr>
        <w:t>where</w:t>
      </w:r>
      <w:r w:rsidRPr="00F261A3">
        <w:rPr>
          <w:rFonts w:ascii="Arial" w:hAnsi="Arial" w:cs="Arial"/>
          <w:spacing w:val="45"/>
          <w:sz w:val="20"/>
        </w:rPr>
        <w:t xml:space="preserve"> </w:t>
      </w:r>
      <w:r w:rsidRPr="00F261A3">
        <w:rPr>
          <w:rFonts w:ascii="Arial" w:hAnsi="Arial" w:cs="Arial"/>
          <w:sz w:val="20"/>
        </w:rPr>
        <w:t>the</w:t>
      </w:r>
      <w:r w:rsidRPr="00F261A3">
        <w:rPr>
          <w:rFonts w:ascii="Arial" w:hAnsi="Arial" w:cs="Arial"/>
          <w:spacing w:val="47"/>
          <w:sz w:val="20"/>
        </w:rPr>
        <w:t xml:space="preserve"> </w:t>
      </w:r>
      <w:r w:rsidRPr="00F261A3">
        <w:rPr>
          <w:rFonts w:ascii="Arial" w:hAnsi="Arial" w:cs="Arial"/>
          <w:sz w:val="20"/>
        </w:rPr>
        <w:t>examiner</w:t>
      </w:r>
      <w:r w:rsidRPr="00F261A3">
        <w:rPr>
          <w:rFonts w:ascii="Arial" w:hAnsi="Arial" w:cs="Arial"/>
          <w:spacing w:val="48"/>
          <w:sz w:val="20"/>
        </w:rPr>
        <w:t xml:space="preserve"> </w:t>
      </w:r>
      <w:r w:rsidRPr="00F261A3">
        <w:rPr>
          <w:rFonts w:ascii="Arial" w:hAnsi="Arial" w:cs="Arial"/>
          <w:sz w:val="20"/>
        </w:rPr>
        <w:t>has</w:t>
      </w:r>
      <w:r w:rsidRPr="00F261A3">
        <w:rPr>
          <w:rFonts w:ascii="Arial" w:hAnsi="Arial" w:cs="Arial"/>
          <w:spacing w:val="45"/>
          <w:sz w:val="20"/>
        </w:rPr>
        <w:t xml:space="preserve"> </w:t>
      </w:r>
      <w:r w:rsidRPr="00F261A3">
        <w:rPr>
          <w:rFonts w:ascii="Arial" w:hAnsi="Arial" w:cs="Arial"/>
          <w:sz w:val="20"/>
        </w:rPr>
        <w:t>privileges</w:t>
      </w:r>
      <w:r w:rsidRPr="00F261A3">
        <w:rPr>
          <w:rFonts w:ascii="Arial" w:hAnsi="Arial" w:cs="Arial"/>
          <w:spacing w:val="46"/>
          <w:sz w:val="20"/>
        </w:rPr>
        <w:t xml:space="preserve"> </w:t>
      </w:r>
      <w:r w:rsidRPr="00F261A3">
        <w:rPr>
          <w:rFonts w:ascii="Arial" w:hAnsi="Arial" w:cs="Arial"/>
          <w:sz w:val="20"/>
        </w:rPr>
        <w:t>of</w:t>
      </w:r>
      <w:r w:rsidRPr="00F261A3">
        <w:rPr>
          <w:rFonts w:ascii="Arial" w:hAnsi="Arial" w:cs="Arial"/>
          <w:spacing w:val="48"/>
          <w:sz w:val="20"/>
        </w:rPr>
        <w:t xml:space="preserve"> </w:t>
      </w:r>
      <w:r w:rsidRPr="00F261A3">
        <w:rPr>
          <w:rFonts w:ascii="Arial" w:hAnsi="Arial" w:cs="Arial"/>
          <w:sz w:val="20"/>
        </w:rPr>
        <w:t>conducting</w:t>
      </w:r>
      <w:r w:rsidRPr="00F261A3">
        <w:rPr>
          <w:rFonts w:ascii="Arial" w:hAnsi="Arial" w:cs="Arial"/>
          <w:spacing w:val="46"/>
          <w:sz w:val="20"/>
        </w:rPr>
        <w:t xml:space="preserve"> </w:t>
      </w:r>
      <w:r w:rsidRPr="00F261A3">
        <w:rPr>
          <w:rFonts w:ascii="Arial" w:hAnsi="Arial" w:cs="Arial"/>
          <w:sz w:val="20"/>
        </w:rPr>
        <w:t>operator</w:t>
      </w:r>
      <w:r w:rsidRPr="00F261A3">
        <w:rPr>
          <w:rFonts w:ascii="Arial" w:hAnsi="Arial" w:cs="Arial"/>
          <w:spacing w:val="-47"/>
          <w:sz w:val="20"/>
        </w:rPr>
        <w:t xml:space="preserve"> </w:t>
      </w:r>
      <w:r w:rsidRPr="00F261A3">
        <w:rPr>
          <w:rFonts w:ascii="Arial" w:hAnsi="Arial" w:cs="Arial"/>
          <w:sz w:val="20"/>
        </w:rPr>
        <w:t>proficiency</w:t>
      </w:r>
      <w:r w:rsidRPr="00F261A3">
        <w:rPr>
          <w:rFonts w:ascii="Arial" w:hAnsi="Arial" w:cs="Arial"/>
          <w:spacing w:val="-1"/>
          <w:sz w:val="20"/>
        </w:rPr>
        <w:t xml:space="preserve"> </w:t>
      </w:r>
      <w:r w:rsidRPr="00F261A3">
        <w:rPr>
          <w:rFonts w:ascii="Arial" w:hAnsi="Arial" w:cs="Arial"/>
          <w:sz w:val="20"/>
        </w:rPr>
        <w:t>checks.</w:t>
      </w:r>
    </w:p>
    <w:p w14:paraId="791E4FB3" w14:textId="77777777" w:rsidR="00F261A3" w:rsidRPr="00F261A3" w:rsidRDefault="00F261A3" w:rsidP="00F261A3">
      <w:pPr>
        <w:pStyle w:val="ListParagraph"/>
        <w:numPr>
          <w:ilvl w:val="0"/>
          <w:numId w:val="281"/>
        </w:numPr>
        <w:tabs>
          <w:tab w:val="left" w:pos="706"/>
          <w:tab w:val="left" w:pos="707"/>
        </w:tabs>
        <w:spacing w:before="121"/>
        <w:jc w:val="both"/>
        <w:rPr>
          <w:rFonts w:ascii="Arial" w:hAnsi="Arial" w:cs="Arial"/>
          <w:sz w:val="20"/>
        </w:rPr>
      </w:pPr>
      <w:r w:rsidRPr="00F261A3">
        <w:rPr>
          <w:rFonts w:ascii="Arial" w:hAnsi="Arial" w:cs="Arial"/>
          <w:sz w:val="20"/>
        </w:rPr>
        <w:t>DEMONSTRATION</w:t>
      </w:r>
      <w:r w:rsidRPr="00F261A3">
        <w:rPr>
          <w:rFonts w:ascii="Arial" w:hAnsi="Arial" w:cs="Arial"/>
          <w:spacing w:val="-8"/>
          <w:sz w:val="20"/>
        </w:rPr>
        <w:t xml:space="preserve"> </w:t>
      </w:r>
      <w:r w:rsidRPr="00F261A3">
        <w:rPr>
          <w:rFonts w:ascii="Arial" w:hAnsi="Arial" w:cs="Arial"/>
          <w:sz w:val="20"/>
        </w:rPr>
        <w:t>OF</w:t>
      </w:r>
      <w:r w:rsidRPr="00F261A3">
        <w:rPr>
          <w:rFonts w:ascii="Arial" w:hAnsi="Arial" w:cs="Arial"/>
          <w:spacing w:val="-5"/>
          <w:sz w:val="20"/>
        </w:rPr>
        <w:t xml:space="preserve"> </w:t>
      </w:r>
      <w:r w:rsidRPr="00F261A3">
        <w:rPr>
          <w:rFonts w:ascii="Arial" w:hAnsi="Arial" w:cs="Arial"/>
          <w:sz w:val="20"/>
        </w:rPr>
        <w:t>THEORETICAL</w:t>
      </w:r>
      <w:r w:rsidRPr="00F261A3">
        <w:rPr>
          <w:rFonts w:ascii="Arial" w:hAnsi="Arial" w:cs="Arial"/>
          <w:spacing w:val="-4"/>
          <w:sz w:val="20"/>
        </w:rPr>
        <w:t xml:space="preserve"> </w:t>
      </w:r>
      <w:r w:rsidRPr="00F261A3">
        <w:rPr>
          <w:rFonts w:ascii="Arial" w:hAnsi="Arial" w:cs="Arial"/>
          <w:sz w:val="20"/>
        </w:rPr>
        <w:t>KNOWLEDGE</w:t>
      </w:r>
    </w:p>
    <w:p w14:paraId="1AE46DE1" w14:textId="77777777" w:rsidR="00F261A3" w:rsidRPr="00F261A3" w:rsidRDefault="00F261A3" w:rsidP="00F261A3">
      <w:pPr>
        <w:pStyle w:val="BodyText"/>
        <w:ind w:left="706" w:right="196"/>
        <w:jc w:val="both"/>
        <w:rPr>
          <w:rFonts w:ascii="Arial" w:hAnsi="Arial" w:cs="Arial"/>
          <w:sz w:val="20"/>
        </w:rPr>
      </w:pPr>
      <w:r w:rsidRPr="00F261A3">
        <w:rPr>
          <w:rFonts w:ascii="Arial" w:hAnsi="Arial" w:cs="Arial"/>
          <w:sz w:val="20"/>
        </w:rPr>
        <w:t>The examiner applicant should demonstrate to the inspector a satisfactory knowledge of the</w:t>
      </w:r>
      <w:r w:rsidRPr="00F261A3">
        <w:rPr>
          <w:rFonts w:ascii="Arial" w:hAnsi="Arial" w:cs="Arial"/>
          <w:spacing w:val="1"/>
          <w:sz w:val="20"/>
        </w:rPr>
        <w:t xml:space="preserve"> </w:t>
      </w:r>
      <w:r w:rsidRPr="00F261A3">
        <w:rPr>
          <w:rFonts w:ascii="Arial" w:hAnsi="Arial" w:cs="Arial"/>
          <w:sz w:val="20"/>
        </w:rPr>
        <w:t>regulatory</w:t>
      </w:r>
      <w:r w:rsidRPr="00F261A3">
        <w:rPr>
          <w:rFonts w:ascii="Arial" w:hAnsi="Arial" w:cs="Arial"/>
          <w:spacing w:val="-1"/>
          <w:sz w:val="20"/>
        </w:rPr>
        <w:t xml:space="preserve"> </w:t>
      </w:r>
      <w:r w:rsidRPr="00F261A3">
        <w:rPr>
          <w:rFonts w:ascii="Arial" w:hAnsi="Arial" w:cs="Arial"/>
          <w:sz w:val="20"/>
        </w:rPr>
        <w:t>requirements associated with the</w:t>
      </w:r>
      <w:r w:rsidRPr="00F261A3">
        <w:rPr>
          <w:rFonts w:ascii="Arial" w:hAnsi="Arial" w:cs="Arial"/>
          <w:spacing w:val="-2"/>
          <w:sz w:val="20"/>
        </w:rPr>
        <w:t xml:space="preserve"> </w:t>
      </w:r>
      <w:r w:rsidRPr="00F261A3">
        <w:rPr>
          <w:rFonts w:ascii="Arial" w:hAnsi="Arial" w:cs="Arial"/>
          <w:sz w:val="20"/>
        </w:rPr>
        <w:t>function</w:t>
      </w:r>
      <w:r w:rsidRPr="00F261A3">
        <w:rPr>
          <w:rFonts w:ascii="Arial" w:hAnsi="Arial" w:cs="Arial"/>
          <w:spacing w:val="-3"/>
          <w:sz w:val="20"/>
        </w:rPr>
        <w:t xml:space="preserve"> </w:t>
      </w:r>
      <w:r w:rsidRPr="00F261A3">
        <w:rPr>
          <w:rFonts w:ascii="Arial" w:hAnsi="Arial" w:cs="Arial"/>
          <w:sz w:val="20"/>
        </w:rPr>
        <w:t>of an</w:t>
      </w:r>
      <w:r w:rsidRPr="00F261A3">
        <w:rPr>
          <w:rFonts w:ascii="Arial" w:hAnsi="Arial" w:cs="Arial"/>
          <w:spacing w:val="-3"/>
          <w:sz w:val="20"/>
        </w:rPr>
        <w:t xml:space="preserve"> </w:t>
      </w:r>
      <w:r w:rsidRPr="00F261A3">
        <w:rPr>
          <w:rFonts w:ascii="Arial" w:hAnsi="Arial" w:cs="Arial"/>
          <w:sz w:val="20"/>
        </w:rPr>
        <w:t>examiner.</w:t>
      </w:r>
    </w:p>
    <w:p w14:paraId="48582149" w14:textId="77777777" w:rsidR="00F261A3" w:rsidRPr="00F261A3" w:rsidRDefault="00F261A3" w:rsidP="00F261A3">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780" w:name="AMC1_BFCL.445;_BFCL.460__FE(B)_certifica"/>
      <w:bookmarkStart w:id="781" w:name="_bookmark319"/>
      <w:bookmarkStart w:id="782" w:name="_Toc153137484"/>
      <w:bookmarkEnd w:id="780"/>
      <w:bookmarkEnd w:id="781"/>
      <w:r w:rsidRPr="00F261A3">
        <w:rPr>
          <w:rFonts w:ascii="Arial" w:eastAsia="Times New Roman" w:hAnsi="Arial" w:cs="Times New Roman"/>
          <w:b/>
          <w:color w:val="FFFFFF"/>
          <w:sz w:val="24"/>
        </w:rPr>
        <w:t>AMC1 BFCL.445; BFCL.460 FE(B) certificate – Assessment of competence; FE(B) certificate – Validity, revalidation and renewal</w:t>
      </w:r>
      <w:bookmarkEnd w:id="782"/>
    </w:p>
    <w:p w14:paraId="7801D179" w14:textId="77777777" w:rsidR="00F261A3" w:rsidRPr="00F261A3" w:rsidRDefault="00F261A3" w:rsidP="00F261A3">
      <w:pPr>
        <w:widowControl/>
        <w:autoSpaceDE/>
        <w:autoSpaceDN/>
        <w:spacing w:before="240" w:after="160" w:line="264" w:lineRule="auto"/>
        <w:jc w:val="both"/>
        <w:rPr>
          <w:rFonts w:ascii="Arial" w:eastAsiaTheme="minorHAnsi" w:hAnsi="Arial" w:cs="Arial"/>
          <w:b/>
          <w:bCs/>
          <w:sz w:val="20"/>
          <w:szCs w:val="20"/>
        </w:rPr>
      </w:pPr>
      <w:r w:rsidRPr="00F261A3">
        <w:rPr>
          <w:rFonts w:ascii="Arial" w:eastAsiaTheme="minorHAnsi" w:hAnsi="Arial" w:cs="Arial"/>
          <w:b/>
          <w:bCs/>
          <w:sz w:val="20"/>
          <w:szCs w:val="20"/>
        </w:rPr>
        <w:t>QUALIFICATION OF SENIOR EXAMINERS</w:t>
      </w:r>
    </w:p>
    <w:p w14:paraId="78CDF4A2" w14:textId="593F9E40" w:rsidR="00F261A3" w:rsidRPr="00F261A3" w:rsidRDefault="00F261A3" w:rsidP="00D91E6C">
      <w:pPr>
        <w:pStyle w:val="ListParagraph"/>
        <w:numPr>
          <w:ilvl w:val="0"/>
          <w:numId w:val="282"/>
        </w:numPr>
        <w:tabs>
          <w:tab w:val="left" w:pos="706"/>
          <w:tab w:val="left" w:pos="707"/>
        </w:tabs>
        <w:spacing w:before="119"/>
        <w:ind w:right="68"/>
        <w:jc w:val="both"/>
        <w:rPr>
          <w:rFonts w:ascii="Arial" w:hAnsi="Arial" w:cs="Arial"/>
          <w:sz w:val="20"/>
        </w:rPr>
      </w:pPr>
      <w:r w:rsidRPr="00F261A3">
        <w:rPr>
          <w:rFonts w:ascii="Arial" w:hAnsi="Arial" w:cs="Arial"/>
          <w:sz w:val="20"/>
        </w:rPr>
        <w:t>A</w:t>
      </w:r>
      <w:r w:rsidRPr="00F261A3">
        <w:rPr>
          <w:rFonts w:ascii="Arial" w:hAnsi="Arial" w:cs="Arial"/>
          <w:spacing w:val="41"/>
          <w:sz w:val="20"/>
        </w:rPr>
        <w:t xml:space="preserve"> </w:t>
      </w:r>
      <w:r w:rsidRPr="00F261A3">
        <w:rPr>
          <w:rFonts w:ascii="Arial" w:hAnsi="Arial" w:cs="Arial"/>
          <w:sz w:val="20"/>
        </w:rPr>
        <w:t>senior</w:t>
      </w:r>
      <w:r w:rsidRPr="00F261A3">
        <w:rPr>
          <w:rFonts w:ascii="Arial" w:hAnsi="Arial" w:cs="Arial"/>
          <w:spacing w:val="39"/>
          <w:sz w:val="20"/>
        </w:rPr>
        <w:t xml:space="preserve"> </w:t>
      </w:r>
      <w:r w:rsidRPr="00F261A3">
        <w:rPr>
          <w:rFonts w:ascii="Arial" w:hAnsi="Arial" w:cs="Arial"/>
          <w:sz w:val="20"/>
        </w:rPr>
        <w:t>examiner</w:t>
      </w:r>
      <w:r w:rsidRPr="00F261A3">
        <w:rPr>
          <w:rFonts w:ascii="Arial" w:hAnsi="Arial" w:cs="Arial"/>
          <w:spacing w:val="39"/>
          <w:sz w:val="20"/>
        </w:rPr>
        <w:t xml:space="preserve"> </w:t>
      </w:r>
      <w:r w:rsidRPr="00F261A3">
        <w:rPr>
          <w:rFonts w:ascii="Arial" w:hAnsi="Arial" w:cs="Arial"/>
          <w:sz w:val="20"/>
        </w:rPr>
        <w:t>specifically</w:t>
      </w:r>
      <w:r w:rsidRPr="00F261A3">
        <w:rPr>
          <w:rFonts w:ascii="Arial" w:hAnsi="Arial" w:cs="Arial"/>
          <w:spacing w:val="40"/>
          <w:sz w:val="20"/>
        </w:rPr>
        <w:t xml:space="preserve"> </w:t>
      </w:r>
      <w:r w:rsidRPr="00F261A3">
        <w:rPr>
          <w:rFonts w:ascii="Arial" w:hAnsi="Arial" w:cs="Arial"/>
          <w:sz w:val="20"/>
        </w:rPr>
        <w:t>tasked</w:t>
      </w:r>
      <w:r w:rsidRPr="00F261A3">
        <w:rPr>
          <w:rFonts w:ascii="Arial" w:hAnsi="Arial" w:cs="Arial"/>
          <w:spacing w:val="41"/>
          <w:sz w:val="20"/>
        </w:rPr>
        <w:t xml:space="preserve"> </w:t>
      </w:r>
      <w:r w:rsidRPr="00F261A3">
        <w:rPr>
          <w:rFonts w:ascii="Arial" w:hAnsi="Arial" w:cs="Arial"/>
          <w:sz w:val="20"/>
        </w:rPr>
        <w:t>by</w:t>
      </w:r>
      <w:r w:rsidRPr="00F261A3">
        <w:rPr>
          <w:rFonts w:ascii="Arial" w:hAnsi="Arial" w:cs="Arial"/>
          <w:spacing w:val="40"/>
          <w:sz w:val="20"/>
        </w:rPr>
        <w:t xml:space="preserve"> </w:t>
      </w:r>
      <w:r w:rsidRPr="00F261A3">
        <w:rPr>
          <w:rFonts w:ascii="Arial" w:hAnsi="Arial" w:cs="Arial"/>
          <w:sz w:val="20"/>
        </w:rPr>
        <w:t>the</w:t>
      </w:r>
      <w:r w:rsidRPr="00F261A3">
        <w:rPr>
          <w:rFonts w:ascii="Arial" w:hAnsi="Arial" w:cs="Arial"/>
          <w:spacing w:val="39"/>
          <w:sz w:val="20"/>
        </w:rPr>
        <w:t xml:space="preserve"> </w:t>
      </w:r>
      <w:r w:rsidR="003C6906">
        <w:rPr>
          <w:rFonts w:ascii="Arial" w:hAnsi="Arial" w:cs="Arial"/>
          <w:sz w:val="20"/>
          <w:szCs w:val="20"/>
        </w:rPr>
        <w:t xml:space="preserve">CAC RA </w:t>
      </w:r>
      <w:r w:rsidRPr="00F261A3">
        <w:rPr>
          <w:rFonts w:ascii="Arial" w:hAnsi="Arial" w:cs="Arial"/>
          <w:sz w:val="20"/>
        </w:rPr>
        <w:t>to</w:t>
      </w:r>
      <w:r w:rsidRPr="00F261A3">
        <w:rPr>
          <w:rFonts w:ascii="Arial" w:hAnsi="Arial" w:cs="Arial"/>
          <w:spacing w:val="38"/>
          <w:sz w:val="20"/>
        </w:rPr>
        <w:t xml:space="preserve"> </w:t>
      </w:r>
      <w:r w:rsidRPr="00F261A3">
        <w:rPr>
          <w:rFonts w:ascii="Arial" w:hAnsi="Arial" w:cs="Arial"/>
          <w:sz w:val="20"/>
        </w:rPr>
        <w:t>observe</w:t>
      </w:r>
      <w:r w:rsidRPr="00F261A3">
        <w:rPr>
          <w:rFonts w:ascii="Arial" w:hAnsi="Arial" w:cs="Arial"/>
          <w:spacing w:val="42"/>
          <w:sz w:val="20"/>
        </w:rPr>
        <w:t xml:space="preserve"> </w:t>
      </w:r>
      <w:r w:rsidRPr="00F261A3">
        <w:rPr>
          <w:rFonts w:ascii="Arial" w:hAnsi="Arial" w:cs="Arial"/>
          <w:sz w:val="20"/>
        </w:rPr>
        <w:t>skill</w:t>
      </w:r>
      <w:r w:rsidRPr="00F261A3">
        <w:rPr>
          <w:rFonts w:ascii="Arial" w:hAnsi="Arial" w:cs="Arial"/>
          <w:spacing w:val="38"/>
          <w:sz w:val="20"/>
        </w:rPr>
        <w:t xml:space="preserve"> </w:t>
      </w:r>
      <w:r w:rsidRPr="00F261A3">
        <w:rPr>
          <w:rFonts w:ascii="Arial" w:hAnsi="Arial" w:cs="Arial"/>
          <w:sz w:val="20"/>
        </w:rPr>
        <w:t>tests</w:t>
      </w:r>
      <w:r w:rsidRPr="00F261A3">
        <w:rPr>
          <w:rFonts w:ascii="Arial" w:hAnsi="Arial" w:cs="Arial"/>
          <w:spacing w:val="37"/>
          <w:sz w:val="20"/>
        </w:rPr>
        <w:t xml:space="preserve"> </w:t>
      </w:r>
      <w:r w:rsidRPr="00F261A3">
        <w:rPr>
          <w:rFonts w:ascii="Arial" w:hAnsi="Arial" w:cs="Arial"/>
          <w:sz w:val="20"/>
        </w:rPr>
        <w:t>or</w:t>
      </w:r>
      <w:r w:rsidRPr="00F261A3">
        <w:rPr>
          <w:rFonts w:ascii="Arial" w:hAnsi="Arial" w:cs="Arial"/>
          <w:spacing w:val="-47"/>
          <w:sz w:val="20"/>
        </w:rPr>
        <w:t xml:space="preserve"> </w:t>
      </w:r>
      <w:r w:rsidRPr="00F261A3">
        <w:rPr>
          <w:rFonts w:ascii="Arial" w:hAnsi="Arial" w:cs="Arial"/>
          <w:sz w:val="20"/>
        </w:rPr>
        <w:t>proficiency</w:t>
      </w:r>
      <w:r w:rsidRPr="00F261A3">
        <w:rPr>
          <w:rFonts w:ascii="Arial" w:hAnsi="Arial" w:cs="Arial"/>
          <w:spacing w:val="-1"/>
          <w:sz w:val="20"/>
        </w:rPr>
        <w:t xml:space="preserve"> </w:t>
      </w:r>
      <w:r w:rsidRPr="00F261A3">
        <w:rPr>
          <w:rFonts w:ascii="Arial" w:hAnsi="Arial" w:cs="Arial"/>
          <w:sz w:val="20"/>
        </w:rPr>
        <w:t>checks</w:t>
      </w:r>
      <w:r w:rsidRPr="00F261A3">
        <w:rPr>
          <w:rFonts w:ascii="Arial" w:hAnsi="Arial" w:cs="Arial"/>
          <w:spacing w:val="1"/>
          <w:sz w:val="20"/>
        </w:rPr>
        <w:t xml:space="preserve"> </w:t>
      </w:r>
      <w:r w:rsidRPr="00F261A3">
        <w:rPr>
          <w:rFonts w:ascii="Arial" w:hAnsi="Arial" w:cs="Arial"/>
          <w:sz w:val="20"/>
        </w:rPr>
        <w:t>for</w:t>
      </w:r>
      <w:r w:rsidRPr="00F261A3">
        <w:rPr>
          <w:rFonts w:ascii="Arial" w:hAnsi="Arial" w:cs="Arial"/>
          <w:spacing w:val="-2"/>
          <w:sz w:val="20"/>
        </w:rPr>
        <w:t xml:space="preserve"> </w:t>
      </w:r>
      <w:r w:rsidRPr="00F261A3">
        <w:rPr>
          <w:rFonts w:ascii="Arial" w:hAnsi="Arial" w:cs="Arial"/>
          <w:sz w:val="20"/>
        </w:rPr>
        <w:t>the revalidation</w:t>
      </w:r>
      <w:r w:rsidRPr="00F261A3">
        <w:rPr>
          <w:rFonts w:ascii="Arial" w:hAnsi="Arial" w:cs="Arial"/>
          <w:spacing w:val="-4"/>
          <w:sz w:val="20"/>
        </w:rPr>
        <w:t xml:space="preserve"> </w:t>
      </w:r>
      <w:r w:rsidRPr="00F261A3">
        <w:rPr>
          <w:rFonts w:ascii="Arial" w:hAnsi="Arial" w:cs="Arial"/>
          <w:sz w:val="20"/>
        </w:rPr>
        <w:t>of examiner certificates</w:t>
      </w:r>
      <w:r w:rsidRPr="00F261A3">
        <w:rPr>
          <w:rFonts w:ascii="Arial" w:hAnsi="Arial" w:cs="Arial"/>
          <w:spacing w:val="-2"/>
          <w:sz w:val="20"/>
        </w:rPr>
        <w:t xml:space="preserve"> </w:t>
      </w:r>
      <w:r w:rsidRPr="00F261A3">
        <w:rPr>
          <w:rFonts w:ascii="Arial" w:hAnsi="Arial" w:cs="Arial"/>
          <w:sz w:val="20"/>
        </w:rPr>
        <w:t>should:</w:t>
      </w:r>
    </w:p>
    <w:p w14:paraId="102ED76D" w14:textId="77777777" w:rsidR="00F261A3" w:rsidRPr="00F261A3" w:rsidRDefault="00F261A3" w:rsidP="00D91E6C">
      <w:pPr>
        <w:pStyle w:val="ListParagraph"/>
        <w:numPr>
          <w:ilvl w:val="1"/>
          <w:numId w:val="282"/>
        </w:numPr>
        <w:tabs>
          <w:tab w:val="left" w:pos="1273"/>
          <w:tab w:val="left" w:pos="1274"/>
        </w:tabs>
        <w:spacing w:before="118"/>
        <w:ind w:right="68" w:hanging="568"/>
        <w:jc w:val="both"/>
        <w:rPr>
          <w:rFonts w:ascii="Arial" w:hAnsi="Arial" w:cs="Arial"/>
          <w:sz w:val="20"/>
        </w:rPr>
      </w:pPr>
      <w:r w:rsidRPr="00F261A3">
        <w:rPr>
          <w:rFonts w:ascii="Arial" w:hAnsi="Arial" w:cs="Arial"/>
          <w:sz w:val="20"/>
        </w:rPr>
        <w:t>hold</w:t>
      </w:r>
      <w:r w:rsidRPr="00F261A3">
        <w:rPr>
          <w:rFonts w:ascii="Arial" w:hAnsi="Arial" w:cs="Arial"/>
          <w:spacing w:val="-2"/>
          <w:sz w:val="20"/>
        </w:rPr>
        <w:t xml:space="preserve"> </w:t>
      </w:r>
      <w:r w:rsidRPr="00F261A3">
        <w:rPr>
          <w:rFonts w:ascii="Arial" w:hAnsi="Arial" w:cs="Arial"/>
          <w:sz w:val="20"/>
        </w:rPr>
        <w:t>a</w:t>
      </w:r>
      <w:r w:rsidRPr="00F261A3">
        <w:rPr>
          <w:rFonts w:ascii="Arial" w:hAnsi="Arial" w:cs="Arial"/>
          <w:spacing w:val="-2"/>
          <w:sz w:val="20"/>
        </w:rPr>
        <w:t xml:space="preserve"> </w:t>
      </w:r>
      <w:r w:rsidRPr="00F261A3">
        <w:rPr>
          <w:rFonts w:ascii="Arial" w:hAnsi="Arial" w:cs="Arial"/>
          <w:sz w:val="20"/>
        </w:rPr>
        <w:t>valid</w:t>
      </w:r>
      <w:r w:rsidRPr="00F261A3">
        <w:rPr>
          <w:rFonts w:ascii="Arial" w:hAnsi="Arial" w:cs="Arial"/>
          <w:spacing w:val="-2"/>
          <w:sz w:val="20"/>
        </w:rPr>
        <w:t xml:space="preserve"> </w:t>
      </w:r>
      <w:r w:rsidRPr="00F261A3">
        <w:rPr>
          <w:rFonts w:ascii="Arial" w:hAnsi="Arial" w:cs="Arial"/>
          <w:sz w:val="20"/>
        </w:rPr>
        <w:t>or</w:t>
      </w:r>
      <w:r w:rsidRPr="00F261A3">
        <w:rPr>
          <w:rFonts w:ascii="Arial" w:hAnsi="Arial" w:cs="Arial"/>
          <w:spacing w:val="-3"/>
          <w:sz w:val="20"/>
        </w:rPr>
        <w:t xml:space="preserve"> </w:t>
      </w:r>
      <w:r w:rsidRPr="00F261A3">
        <w:rPr>
          <w:rFonts w:ascii="Arial" w:hAnsi="Arial" w:cs="Arial"/>
          <w:sz w:val="20"/>
        </w:rPr>
        <w:t>current</w:t>
      </w:r>
      <w:r w:rsidRPr="00F261A3">
        <w:rPr>
          <w:rFonts w:ascii="Arial" w:hAnsi="Arial" w:cs="Arial"/>
          <w:spacing w:val="-3"/>
          <w:sz w:val="20"/>
        </w:rPr>
        <w:t xml:space="preserve"> </w:t>
      </w:r>
      <w:r w:rsidRPr="00F261A3">
        <w:rPr>
          <w:rFonts w:ascii="Arial" w:hAnsi="Arial" w:cs="Arial"/>
          <w:sz w:val="20"/>
        </w:rPr>
        <w:t>examiner</w:t>
      </w:r>
      <w:r w:rsidRPr="00F261A3">
        <w:rPr>
          <w:rFonts w:ascii="Arial" w:hAnsi="Arial" w:cs="Arial"/>
          <w:spacing w:val="-2"/>
          <w:sz w:val="20"/>
        </w:rPr>
        <w:t xml:space="preserve"> </w:t>
      </w:r>
      <w:r w:rsidRPr="00F261A3">
        <w:rPr>
          <w:rFonts w:ascii="Arial" w:hAnsi="Arial" w:cs="Arial"/>
          <w:sz w:val="20"/>
        </w:rPr>
        <w:t>certificate</w:t>
      </w:r>
      <w:r w:rsidRPr="00F261A3">
        <w:rPr>
          <w:rFonts w:ascii="Arial" w:hAnsi="Arial" w:cs="Arial"/>
          <w:spacing w:val="-2"/>
          <w:sz w:val="20"/>
        </w:rPr>
        <w:t xml:space="preserve"> </w:t>
      </w:r>
      <w:r w:rsidRPr="00F261A3">
        <w:rPr>
          <w:rFonts w:ascii="Arial" w:hAnsi="Arial" w:cs="Arial"/>
          <w:sz w:val="20"/>
        </w:rPr>
        <w:t>appropriate</w:t>
      </w:r>
      <w:r w:rsidRPr="00F261A3">
        <w:rPr>
          <w:rFonts w:ascii="Arial" w:hAnsi="Arial" w:cs="Arial"/>
          <w:spacing w:val="-1"/>
          <w:sz w:val="20"/>
        </w:rPr>
        <w:t xml:space="preserve"> </w:t>
      </w:r>
      <w:r w:rsidRPr="00F261A3">
        <w:rPr>
          <w:rFonts w:ascii="Arial" w:hAnsi="Arial" w:cs="Arial"/>
          <w:sz w:val="20"/>
        </w:rPr>
        <w:t>to</w:t>
      </w:r>
      <w:r w:rsidRPr="00F261A3">
        <w:rPr>
          <w:rFonts w:ascii="Arial" w:hAnsi="Arial" w:cs="Arial"/>
          <w:spacing w:val="1"/>
          <w:sz w:val="20"/>
        </w:rPr>
        <w:t xml:space="preserve"> </w:t>
      </w:r>
      <w:r w:rsidRPr="00F261A3">
        <w:rPr>
          <w:rFonts w:ascii="Arial" w:hAnsi="Arial" w:cs="Arial"/>
          <w:sz w:val="20"/>
        </w:rPr>
        <w:t>the privileges being</w:t>
      </w:r>
      <w:r w:rsidRPr="00F261A3">
        <w:rPr>
          <w:rFonts w:ascii="Arial" w:hAnsi="Arial" w:cs="Arial"/>
          <w:spacing w:val="-2"/>
          <w:sz w:val="20"/>
        </w:rPr>
        <w:t xml:space="preserve"> </w:t>
      </w:r>
      <w:r w:rsidRPr="00F261A3">
        <w:rPr>
          <w:rFonts w:ascii="Arial" w:hAnsi="Arial" w:cs="Arial"/>
          <w:sz w:val="20"/>
        </w:rPr>
        <w:t>granted;</w:t>
      </w:r>
    </w:p>
    <w:p w14:paraId="700B2BB7" w14:textId="0EE6734E" w:rsidR="00F261A3" w:rsidRPr="00F261A3" w:rsidRDefault="00F261A3" w:rsidP="00D91E6C">
      <w:pPr>
        <w:pStyle w:val="ListParagraph"/>
        <w:numPr>
          <w:ilvl w:val="1"/>
          <w:numId w:val="282"/>
        </w:numPr>
        <w:tabs>
          <w:tab w:val="left" w:pos="1273"/>
          <w:tab w:val="left" w:pos="1274"/>
        </w:tabs>
        <w:ind w:right="68" w:hanging="568"/>
        <w:jc w:val="both"/>
        <w:rPr>
          <w:rFonts w:ascii="Arial" w:hAnsi="Arial" w:cs="Arial"/>
          <w:sz w:val="20"/>
        </w:rPr>
      </w:pPr>
      <w:r w:rsidRPr="00F261A3">
        <w:rPr>
          <w:rFonts w:ascii="Arial" w:hAnsi="Arial" w:cs="Arial"/>
          <w:sz w:val="20"/>
        </w:rPr>
        <w:t>have</w:t>
      </w:r>
      <w:r w:rsidRPr="00F261A3">
        <w:rPr>
          <w:rFonts w:ascii="Arial" w:hAnsi="Arial" w:cs="Arial"/>
          <w:spacing w:val="-3"/>
          <w:sz w:val="20"/>
        </w:rPr>
        <w:t xml:space="preserve"> </w:t>
      </w:r>
      <w:r w:rsidRPr="00F261A3">
        <w:rPr>
          <w:rFonts w:ascii="Arial" w:hAnsi="Arial" w:cs="Arial"/>
          <w:sz w:val="20"/>
        </w:rPr>
        <w:t>examiner</w:t>
      </w:r>
      <w:r w:rsidRPr="00F261A3">
        <w:rPr>
          <w:rFonts w:ascii="Arial" w:hAnsi="Arial" w:cs="Arial"/>
          <w:spacing w:val="-2"/>
          <w:sz w:val="20"/>
        </w:rPr>
        <w:t xml:space="preserve"> </w:t>
      </w:r>
      <w:r w:rsidRPr="00F261A3">
        <w:rPr>
          <w:rFonts w:ascii="Arial" w:hAnsi="Arial" w:cs="Arial"/>
          <w:sz w:val="20"/>
        </w:rPr>
        <w:t>experience</w:t>
      </w:r>
      <w:r w:rsidRPr="00F261A3">
        <w:rPr>
          <w:rFonts w:ascii="Arial" w:hAnsi="Arial" w:cs="Arial"/>
          <w:spacing w:val="-2"/>
          <w:sz w:val="20"/>
        </w:rPr>
        <w:t xml:space="preserve"> </w:t>
      </w:r>
      <w:r w:rsidRPr="00F261A3">
        <w:rPr>
          <w:rFonts w:ascii="Arial" w:hAnsi="Arial" w:cs="Arial"/>
          <w:sz w:val="20"/>
        </w:rPr>
        <w:t>of a</w:t>
      </w:r>
      <w:r w:rsidRPr="00F261A3">
        <w:rPr>
          <w:rFonts w:ascii="Arial" w:hAnsi="Arial" w:cs="Arial"/>
          <w:spacing w:val="-1"/>
          <w:sz w:val="20"/>
        </w:rPr>
        <w:t xml:space="preserve"> </w:t>
      </w:r>
      <w:r w:rsidRPr="00F261A3">
        <w:rPr>
          <w:rFonts w:ascii="Arial" w:hAnsi="Arial" w:cs="Arial"/>
          <w:sz w:val="20"/>
        </w:rPr>
        <w:t>level acceptable</w:t>
      </w:r>
      <w:r w:rsidRPr="00F261A3">
        <w:rPr>
          <w:rFonts w:ascii="Arial" w:hAnsi="Arial" w:cs="Arial"/>
          <w:spacing w:val="-3"/>
          <w:sz w:val="20"/>
        </w:rPr>
        <w:t xml:space="preserve"> </w:t>
      </w:r>
      <w:r w:rsidRPr="00F261A3">
        <w:rPr>
          <w:rFonts w:ascii="Arial" w:hAnsi="Arial" w:cs="Arial"/>
          <w:sz w:val="20"/>
        </w:rPr>
        <w:t>to</w:t>
      </w:r>
      <w:r w:rsidRPr="00F261A3">
        <w:rPr>
          <w:rFonts w:ascii="Arial" w:hAnsi="Arial" w:cs="Arial"/>
          <w:spacing w:val="-2"/>
          <w:sz w:val="20"/>
        </w:rPr>
        <w:t xml:space="preserve"> </w:t>
      </w:r>
      <w:r w:rsidRPr="00F261A3">
        <w:rPr>
          <w:rFonts w:ascii="Arial" w:hAnsi="Arial" w:cs="Arial"/>
          <w:sz w:val="20"/>
        </w:rPr>
        <w:t>the</w:t>
      </w:r>
      <w:r w:rsidRPr="00F261A3">
        <w:rPr>
          <w:rFonts w:ascii="Arial" w:hAnsi="Arial" w:cs="Arial"/>
          <w:spacing w:val="-3"/>
          <w:sz w:val="20"/>
        </w:rPr>
        <w:t xml:space="preserve"> </w:t>
      </w:r>
      <w:r w:rsidR="003C6906">
        <w:rPr>
          <w:rFonts w:ascii="Arial" w:hAnsi="Arial" w:cs="Arial"/>
          <w:sz w:val="20"/>
          <w:szCs w:val="20"/>
        </w:rPr>
        <w:t>CAC RA</w:t>
      </w:r>
      <w:r w:rsidRPr="00F261A3">
        <w:rPr>
          <w:rFonts w:ascii="Arial" w:hAnsi="Arial" w:cs="Arial"/>
          <w:sz w:val="20"/>
        </w:rPr>
        <w:t>;</w:t>
      </w:r>
      <w:r w:rsidRPr="00F261A3">
        <w:rPr>
          <w:rFonts w:ascii="Arial" w:hAnsi="Arial" w:cs="Arial"/>
          <w:spacing w:val="-2"/>
          <w:sz w:val="20"/>
        </w:rPr>
        <w:t xml:space="preserve"> </w:t>
      </w:r>
      <w:r w:rsidRPr="00F261A3">
        <w:rPr>
          <w:rFonts w:ascii="Arial" w:hAnsi="Arial" w:cs="Arial"/>
          <w:sz w:val="20"/>
        </w:rPr>
        <w:t>and</w:t>
      </w:r>
    </w:p>
    <w:p w14:paraId="7798F161" w14:textId="77777777" w:rsidR="00F261A3" w:rsidRPr="00F261A3" w:rsidRDefault="00F261A3" w:rsidP="00D91E6C">
      <w:pPr>
        <w:pStyle w:val="ListParagraph"/>
        <w:numPr>
          <w:ilvl w:val="1"/>
          <w:numId w:val="282"/>
        </w:numPr>
        <w:tabs>
          <w:tab w:val="left" w:pos="1273"/>
          <w:tab w:val="left" w:pos="1274"/>
        </w:tabs>
        <w:ind w:right="68" w:hanging="568"/>
        <w:jc w:val="both"/>
        <w:rPr>
          <w:rFonts w:ascii="Arial" w:hAnsi="Arial" w:cs="Arial"/>
          <w:sz w:val="20"/>
        </w:rPr>
      </w:pPr>
      <w:r w:rsidRPr="00F261A3">
        <w:rPr>
          <w:rFonts w:ascii="Arial" w:hAnsi="Arial" w:cs="Arial"/>
          <w:sz w:val="20"/>
        </w:rPr>
        <w:t>have conducted</w:t>
      </w:r>
      <w:r w:rsidRPr="00F261A3">
        <w:rPr>
          <w:rFonts w:ascii="Arial" w:hAnsi="Arial" w:cs="Arial"/>
          <w:spacing w:val="-5"/>
          <w:sz w:val="20"/>
        </w:rPr>
        <w:t xml:space="preserve"> </w:t>
      </w:r>
      <w:r w:rsidRPr="00F261A3">
        <w:rPr>
          <w:rFonts w:ascii="Arial" w:hAnsi="Arial" w:cs="Arial"/>
          <w:sz w:val="20"/>
        </w:rPr>
        <w:t>a number</w:t>
      </w:r>
      <w:r w:rsidRPr="00F261A3">
        <w:rPr>
          <w:rFonts w:ascii="Arial" w:hAnsi="Arial" w:cs="Arial"/>
          <w:spacing w:val="-3"/>
          <w:sz w:val="20"/>
        </w:rPr>
        <w:t xml:space="preserve"> </w:t>
      </w:r>
      <w:r w:rsidRPr="00F261A3">
        <w:rPr>
          <w:rFonts w:ascii="Arial" w:hAnsi="Arial" w:cs="Arial"/>
          <w:sz w:val="20"/>
        </w:rPr>
        <w:t>of</w:t>
      </w:r>
      <w:r w:rsidRPr="00F261A3">
        <w:rPr>
          <w:rFonts w:ascii="Arial" w:hAnsi="Arial" w:cs="Arial"/>
          <w:spacing w:val="-1"/>
          <w:sz w:val="20"/>
        </w:rPr>
        <w:t xml:space="preserve"> </w:t>
      </w:r>
      <w:r w:rsidRPr="00F261A3">
        <w:rPr>
          <w:rFonts w:ascii="Arial" w:hAnsi="Arial" w:cs="Arial"/>
          <w:sz w:val="20"/>
        </w:rPr>
        <w:t>skill</w:t>
      </w:r>
      <w:r w:rsidRPr="00F261A3">
        <w:rPr>
          <w:rFonts w:ascii="Arial" w:hAnsi="Arial" w:cs="Arial"/>
          <w:spacing w:val="-3"/>
          <w:sz w:val="20"/>
        </w:rPr>
        <w:t xml:space="preserve"> </w:t>
      </w:r>
      <w:r w:rsidRPr="00F261A3">
        <w:rPr>
          <w:rFonts w:ascii="Arial" w:hAnsi="Arial" w:cs="Arial"/>
          <w:sz w:val="20"/>
        </w:rPr>
        <w:t>tests</w:t>
      </w:r>
      <w:r w:rsidRPr="00F261A3">
        <w:rPr>
          <w:rFonts w:ascii="Arial" w:hAnsi="Arial" w:cs="Arial"/>
          <w:spacing w:val="-3"/>
          <w:sz w:val="20"/>
        </w:rPr>
        <w:t xml:space="preserve"> </w:t>
      </w:r>
      <w:r w:rsidRPr="00F261A3">
        <w:rPr>
          <w:rFonts w:ascii="Arial" w:hAnsi="Arial" w:cs="Arial"/>
          <w:sz w:val="20"/>
        </w:rPr>
        <w:t>or</w:t>
      </w:r>
      <w:r w:rsidRPr="00F261A3">
        <w:rPr>
          <w:rFonts w:ascii="Arial" w:hAnsi="Arial" w:cs="Arial"/>
          <w:spacing w:val="-1"/>
          <w:sz w:val="20"/>
        </w:rPr>
        <w:t xml:space="preserve"> </w:t>
      </w:r>
      <w:r w:rsidRPr="00F261A3">
        <w:rPr>
          <w:rFonts w:ascii="Arial" w:hAnsi="Arial" w:cs="Arial"/>
          <w:sz w:val="20"/>
        </w:rPr>
        <w:t>proficiency</w:t>
      </w:r>
      <w:r w:rsidRPr="00F261A3">
        <w:rPr>
          <w:rFonts w:ascii="Arial" w:hAnsi="Arial" w:cs="Arial"/>
          <w:spacing w:val="-2"/>
          <w:sz w:val="20"/>
        </w:rPr>
        <w:t xml:space="preserve"> </w:t>
      </w:r>
      <w:r w:rsidRPr="00F261A3">
        <w:rPr>
          <w:rFonts w:ascii="Arial" w:hAnsi="Arial" w:cs="Arial"/>
          <w:sz w:val="20"/>
        </w:rPr>
        <w:t>checks</w:t>
      </w:r>
      <w:r w:rsidRPr="00F261A3">
        <w:rPr>
          <w:rFonts w:ascii="Arial" w:hAnsi="Arial" w:cs="Arial"/>
          <w:spacing w:val="-3"/>
          <w:sz w:val="20"/>
        </w:rPr>
        <w:t xml:space="preserve"> </w:t>
      </w:r>
      <w:r w:rsidRPr="00F261A3">
        <w:rPr>
          <w:rFonts w:ascii="Arial" w:hAnsi="Arial" w:cs="Arial"/>
          <w:sz w:val="20"/>
        </w:rPr>
        <w:t>as</w:t>
      </w:r>
      <w:r w:rsidRPr="00F261A3">
        <w:rPr>
          <w:rFonts w:ascii="Arial" w:hAnsi="Arial" w:cs="Arial"/>
          <w:spacing w:val="-1"/>
          <w:sz w:val="20"/>
        </w:rPr>
        <w:t xml:space="preserve"> </w:t>
      </w:r>
      <w:r w:rsidRPr="00F261A3">
        <w:rPr>
          <w:rFonts w:ascii="Arial" w:hAnsi="Arial" w:cs="Arial"/>
          <w:sz w:val="20"/>
        </w:rPr>
        <w:t>an FE(B).</w:t>
      </w:r>
    </w:p>
    <w:p w14:paraId="417117A4" w14:textId="739F91B1" w:rsidR="00F261A3" w:rsidRPr="00F261A3" w:rsidRDefault="00F261A3" w:rsidP="00D91E6C">
      <w:pPr>
        <w:pStyle w:val="ListParagraph"/>
        <w:numPr>
          <w:ilvl w:val="0"/>
          <w:numId w:val="282"/>
        </w:numPr>
        <w:tabs>
          <w:tab w:val="left" w:pos="707"/>
        </w:tabs>
        <w:spacing w:before="121"/>
        <w:ind w:right="68"/>
        <w:jc w:val="both"/>
        <w:rPr>
          <w:rFonts w:ascii="Arial" w:hAnsi="Arial" w:cs="Arial"/>
          <w:sz w:val="20"/>
        </w:rPr>
      </w:pPr>
      <w:r w:rsidRPr="00F261A3">
        <w:rPr>
          <w:rFonts w:ascii="Arial" w:hAnsi="Arial" w:cs="Arial"/>
          <w:sz w:val="20"/>
        </w:rPr>
        <w:t xml:space="preserve">The </w:t>
      </w:r>
      <w:r w:rsidR="003C6906">
        <w:rPr>
          <w:rFonts w:ascii="Arial" w:hAnsi="Arial" w:cs="Arial"/>
          <w:sz w:val="20"/>
          <w:szCs w:val="20"/>
        </w:rPr>
        <w:t xml:space="preserve">CAC RA </w:t>
      </w:r>
      <w:r w:rsidRPr="00F261A3">
        <w:rPr>
          <w:rFonts w:ascii="Arial" w:hAnsi="Arial" w:cs="Arial"/>
          <w:sz w:val="20"/>
        </w:rPr>
        <w:t>may conduct a pre-assessment of the applicant or candidate carrying</w:t>
      </w:r>
      <w:r w:rsidRPr="00F261A3">
        <w:rPr>
          <w:rFonts w:ascii="Arial" w:hAnsi="Arial" w:cs="Arial"/>
          <w:spacing w:val="-47"/>
          <w:sz w:val="20"/>
        </w:rPr>
        <w:t xml:space="preserve"> </w:t>
      </w:r>
      <w:r w:rsidRPr="00F261A3">
        <w:rPr>
          <w:rFonts w:ascii="Arial" w:hAnsi="Arial" w:cs="Arial"/>
          <w:sz w:val="20"/>
        </w:rPr>
        <w:t xml:space="preserve">out a skill test and proficiency check under the supervision of an inspector of the </w:t>
      </w:r>
      <w:r w:rsidR="003C6906">
        <w:rPr>
          <w:rFonts w:ascii="Arial" w:hAnsi="Arial" w:cs="Arial"/>
          <w:sz w:val="20"/>
          <w:szCs w:val="20"/>
        </w:rPr>
        <w:t>CAC RA</w:t>
      </w:r>
      <w:r w:rsidRPr="00F261A3">
        <w:rPr>
          <w:rFonts w:ascii="Arial" w:hAnsi="Arial" w:cs="Arial"/>
          <w:sz w:val="20"/>
        </w:rPr>
        <w:t>.</w:t>
      </w:r>
    </w:p>
    <w:p w14:paraId="2AA4BCBB" w14:textId="70795379" w:rsidR="00F261A3" w:rsidRPr="00F261A3" w:rsidRDefault="00F261A3" w:rsidP="00D91E6C">
      <w:pPr>
        <w:pStyle w:val="ListParagraph"/>
        <w:numPr>
          <w:ilvl w:val="0"/>
          <w:numId w:val="282"/>
        </w:numPr>
        <w:tabs>
          <w:tab w:val="left" w:pos="707"/>
        </w:tabs>
        <w:spacing w:before="121"/>
        <w:ind w:right="68"/>
        <w:jc w:val="both"/>
        <w:rPr>
          <w:rFonts w:ascii="Arial" w:hAnsi="Arial" w:cs="Arial"/>
          <w:sz w:val="20"/>
        </w:rPr>
      </w:pPr>
      <w:r w:rsidRPr="00F261A3">
        <w:rPr>
          <w:rFonts w:ascii="Arial" w:hAnsi="Arial" w:cs="Arial"/>
          <w:sz w:val="20"/>
        </w:rPr>
        <w:lastRenderedPageBreak/>
        <w:t>Applicants</w:t>
      </w:r>
      <w:r w:rsidRPr="00F261A3">
        <w:rPr>
          <w:rFonts w:ascii="Arial" w:hAnsi="Arial" w:cs="Arial"/>
          <w:spacing w:val="-6"/>
          <w:sz w:val="20"/>
        </w:rPr>
        <w:t xml:space="preserve"> </w:t>
      </w:r>
      <w:r w:rsidRPr="00F261A3">
        <w:rPr>
          <w:rFonts w:ascii="Arial" w:hAnsi="Arial" w:cs="Arial"/>
          <w:sz w:val="20"/>
        </w:rPr>
        <w:t>should</w:t>
      </w:r>
      <w:r w:rsidRPr="00F261A3">
        <w:rPr>
          <w:rFonts w:ascii="Arial" w:hAnsi="Arial" w:cs="Arial"/>
          <w:spacing w:val="-7"/>
          <w:sz w:val="20"/>
        </w:rPr>
        <w:t xml:space="preserve"> </w:t>
      </w:r>
      <w:r w:rsidRPr="00F261A3">
        <w:rPr>
          <w:rFonts w:ascii="Arial" w:hAnsi="Arial" w:cs="Arial"/>
          <w:sz w:val="20"/>
        </w:rPr>
        <w:t>be</w:t>
      </w:r>
      <w:r w:rsidRPr="00F261A3">
        <w:rPr>
          <w:rFonts w:ascii="Arial" w:hAnsi="Arial" w:cs="Arial"/>
          <w:spacing w:val="-6"/>
          <w:sz w:val="20"/>
        </w:rPr>
        <w:t xml:space="preserve"> </w:t>
      </w:r>
      <w:r w:rsidRPr="00F261A3">
        <w:rPr>
          <w:rFonts w:ascii="Arial" w:hAnsi="Arial" w:cs="Arial"/>
          <w:sz w:val="20"/>
        </w:rPr>
        <w:t>required</w:t>
      </w:r>
      <w:r w:rsidRPr="00F261A3">
        <w:rPr>
          <w:rFonts w:ascii="Arial" w:hAnsi="Arial" w:cs="Arial"/>
          <w:spacing w:val="-6"/>
          <w:sz w:val="20"/>
        </w:rPr>
        <w:t xml:space="preserve"> </w:t>
      </w:r>
      <w:r w:rsidRPr="00F261A3">
        <w:rPr>
          <w:rFonts w:ascii="Arial" w:hAnsi="Arial" w:cs="Arial"/>
          <w:sz w:val="20"/>
        </w:rPr>
        <w:t>to</w:t>
      </w:r>
      <w:r w:rsidRPr="00F261A3">
        <w:rPr>
          <w:rFonts w:ascii="Arial" w:hAnsi="Arial" w:cs="Arial"/>
          <w:spacing w:val="-5"/>
          <w:sz w:val="20"/>
        </w:rPr>
        <w:t xml:space="preserve"> </w:t>
      </w:r>
      <w:r w:rsidRPr="00F261A3">
        <w:rPr>
          <w:rFonts w:ascii="Arial" w:hAnsi="Arial" w:cs="Arial"/>
          <w:sz w:val="20"/>
        </w:rPr>
        <w:t>attend</w:t>
      </w:r>
      <w:r w:rsidRPr="00F261A3">
        <w:rPr>
          <w:rFonts w:ascii="Arial" w:hAnsi="Arial" w:cs="Arial"/>
          <w:spacing w:val="-7"/>
          <w:sz w:val="20"/>
        </w:rPr>
        <w:t xml:space="preserve"> </w:t>
      </w:r>
      <w:r w:rsidRPr="00F261A3">
        <w:rPr>
          <w:rFonts w:ascii="Arial" w:hAnsi="Arial" w:cs="Arial"/>
          <w:sz w:val="20"/>
        </w:rPr>
        <w:t>a</w:t>
      </w:r>
      <w:r w:rsidRPr="00F261A3">
        <w:rPr>
          <w:rFonts w:ascii="Arial" w:hAnsi="Arial" w:cs="Arial"/>
          <w:spacing w:val="-8"/>
          <w:sz w:val="20"/>
        </w:rPr>
        <w:t xml:space="preserve"> </w:t>
      </w:r>
      <w:r w:rsidRPr="00F261A3">
        <w:rPr>
          <w:rFonts w:ascii="Arial" w:hAnsi="Arial" w:cs="Arial"/>
          <w:sz w:val="20"/>
        </w:rPr>
        <w:t>senior</w:t>
      </w:r>
      <w:r w:rsidRPr="00F261A3">
        <w:rPr>
          <w:rFonts w:ascii="Arial" w:hAnsi="Arial" w:cs="Arial"/>
          <w:spacing w:val="-9"/>
          <w:sz w:val="20"/>
        </w:rPr>
        <w:t xml:space="preserve"> </w:t>
      </w:r>
      <w:r w:rsidRPr="00F261A3">
        <w:rPr>
          <w:rFonts w:ascii="Arial" w:hAnsi="Arial" w:cs="Arial"/>
          <w:sz w:val="20"/>
        </w:rPr>
        <w:t>examiner</w:t>
      </w:r>
      <w:r w:rsidRPr="00F261A3">
        <w:rPr>
          <w:rFonts w:ascii="Arial" w:hAnsi="Arial" w:cs="Arial"/>
          <w:spacing w:val="-5"/>
          <w:sz w:val="20"/>
        </w:rPr>
        <w:t xml:space="preserve"> </w:t>
      </w:r>
      <w:r w:rsidRPr="00F261A3">
        <w:rPr>
          <w:rFonts w:ascii="Arial" w:hAnsi="Arial" w:cs="Arial"/>
          <w:sz w:val="20"/>
        </w:rPr>
        <w:t>briefing,</w:t>
      </w:r>
      <w:r w:rsidRPr="00F261A3">
        <w:rPr>
          <w:rFonts w:ascii="Arial" w:hAnsi="Arial" w:cs="Arial"/>
          <w:spacing w:val="-5"/>
          <w:sz w:val="20"/>
        </w:rPr>
        <w:t xml:space="preserve"> </w:t>
      </w:r>
      <w:r w:rsidRPr="00F261A3">
        <w:rPr>
          <w:rFonts w:ascii="Arial" w:hAnsi="Arial" w:cs="Arial"/>
          <w:sz w:val="20"/>
        </w:rPr>
        <w:t>course</w:t>
      </w:r>
      <w:r w:rsidRPr="00F261A3">
        <w:rPr>
          <w:rFonts w:ascii="Arial" w:hAnsi="Arial" w:cs="Arial"/>
          <w:spacing w:val="-8"/>
          <w:sz w:val="20"/>
        </w:rPr>
        <w:t xml:space="preserve"> </w:t>
      </w:r>
      <w:r w:rsidRPr="00F261A3">
        <w:rPr>
          <w:rFonts w:ascii="Arial" w:hAnsi="Arial" w:cs="Arial"/>
          <w:sz w:val="20"/>
        </w:rPr>
        <w:t>or</w:t>
      </w:r>
      <w:r w:rsidRPr="00F261A3">
        <w:rPr>
          <w:rFonts w:ascii="Arial" w:hAnsi="Arial" w:cs="Arial"/>
          <w:spacing w:val="-6"/>
          <w:sz w:val="20"/>
        </w:rPr>
        <w:t xml:space="preserve"> </w:t>
      </w:r>
      <w:r w:rsidRPr="00F261A3">
        <w:rPr>
          <w:rFonts w:ascii="Arial" w:hAnsi="Arial" w:cs="Arial"/>
          <w:sz w:val="20"/>
        </w:rPr>
        <w:t>seminar</w:t>
      </w:r>
      <w:r w:rsidRPr="00F261A3">
        <w:rPr>
          <w:rFonts w:ascii="Arial" w:hAnsi="Arial" w:cs="Arial"/>
          <w:spacing w:val="-7"/>
          <w:sz w:val="20"/>
        </w:rPr>
        <w:t xml:space="preserve"> </w:t>
      </w:r>
      <w:r w:rsidRPr="00F261A3">
        <w:rPr>
          <w:rFonts w:ascii="Arial" w:hAnsi="Arial" w:cs="Arial"/>
          <w:sz w:val="20"/>
        </w:rPr>
        <w:t>arranged</w:t>
      </w:r>
      <w:r w:rsidRPr="00F261A3">
        <w:rPr>
          <w:rFonts w:ascii="Arial" w:hAnsi="Arial" w:cs="Arial"/>
          <w:spacing w:val="-47"/>
          <w:sz w:val="20"/>
        </w:rPr>
        <w:t xml:space="preserve"> </w:t>
      </w:r>
      <w:r w:rsidRPr="00F261A3">
        <w:rPr>
          <w:rFonts w:ascii="Arial" w:hAnsi="Arial" w:cs="Arial"/>
          <w:sz w:val="20"/>
        </w:rPr>
        <w:t xml:space="preserve">by the </w:t>
      </w:r>
      <w:r w:rsidR="003C6906">
        <w:rPr>
          <w:rFonts w:ascii="Arial" w:hAnsi="Arial" w:cs="Arial"/>
          <w:sz w:val="20"/>
          <w:szCs w:val="20"/>
        </w:rPr>
        <w:t>CAC RA</w:t>
      </w:r>
      <w:r w:rsidRPr="00F261A3">
        <w:rPr>
          <w:rFonts w:ascii="Arial" w:hAnsi="Arial" w:cs="Arial"/>
          <w:sz w:val="20"/>
        </w:rPr>
        <w:t xml:space="preserve">. The content and duration will be determined by the </w:t>
      </w:r>
      <w:r w:rsidR="003C6906">
        <w:rPr>
          <w:rFonts w:ascii="Arial" w:hAnsi="Arial" w:cs="Arial"/>
          <w:sz w:val="20"/>
          <w:szCs w:val="20"/>
        </w:rPr>
        <w:t xml:space="preserve">CAC RA </w:t>
      </w:r>
      <w:r w:rsidRPr="00F261A3">
        <w:rPr>
          <w:rFonts w:ascii="Arial" w:hAnsi="Arial" w:cs="Arial"/>
          <w:sz w:val="20"/>
        </w:rPr>
        <w:t>and</w:t>
      </w:r>
      <w:r w:rsidRPr="00F261A3">
        <w:rPr>
          <w:rFonts w:ascii="Arial" w:hAnsi="Arial" w:cs="Arial"/>
          <w:spacing w:val="-1"/>
          <w:sz w:val="20"/>
        </w:rPr>
        <w:t xml:space="preserve"> </w:t>
      </w:r>
      <w:r w:rsidRPr="00F261A3">
        <w:rPr>
          <w:rFonts w:ascii="Arial" w:hAnsi="Arial" w:cs="Arial"/>
          <w:sz w:val="20"/>
        </w:rPr>
        <w:t>should</w:t>
      </w:r>
      <w:r w:rsidRPr="00F261A3">
        <w:rPr>
          <w:rFonts w:ascii="Arial" w:hAnsi="Arial" w:cs="Arial"/>
          <w:spacing w:val="-1"/>
          <w:sz w:val="20"/>
        </w:rPr>
        <w:t xml:space="preserve"> </w:t>
      </w:r>
      <w:r w:rsidRPr="00F261A3">
        <w:rPr>
          <w:rFonts w:ascii="Arial" w:hAnsi="Arial" w:cs="Arial"/>
          <w:sz w:val="20"/>
        </w:rPr>
        <w:t>include:</w:t>
      </w:r>
    </w:p>
    <w:p w14:paraId="0CE916B9" w14:textId="77777777" w:rsidR="00F261A3" w:rsidRPr="00F261A3" w:rsidRDefault="00F261A3" w:rsidP="00D91E6C">
      <w:pPr>
        <w:pStyle w:val="ListParagraph"/>
        <w:numPr>
          <w:ilvl w:val="1"/>
          <w:numId w:val="282"/>
        </w:numPr>
        <w:tabs>
          <w:tab w:val="left" w:pos="1273"/>
          <w:tab w:val="left" w:pos="1274"/>
        </w:tabs>
        <w:spacing w:before="121"/>
        <w:ind w:right="68" w:hanging="568"/>
        <w:jc w:val="both"/>
        <w:rPr>
          <w:rFonts w:ascii="Arial" w:hAnsi="Arial" w:cs="Arial"/>
          <w:sz w:val="20"/>
        </w:rPr>
      </w:pPr>
      <w:r w:rsidRPr="00F261A3">
        <w:rPr>
          <w:rFonts w:ascii="Arial" w:hAnsi="Arial" w:cs="Arial"/>
          <w:sz w:val="20"/>
        </w:rPr>
        <w:t>pre-course</w:t>
      </w:r>
      <w:r w:rsidRPr="00F261A3">
        <w:rPr>
          <w:rFonts w:ascii="Arial" w:hAnsi="Arial" w:cs="Arial"/>
          <w:spacing w:val="-4"/>
          <w:sz w:val="20"/>
        </w:rPr>
        <w:t xml:space="preserve"> </w:t>
      </w:r>
      <w:r w:rsidRPr="00F261A3">
        <w:rPr>
          <w:rFonts w:ascii="Arial" w:hAnsi="Arial" w:cs="Arial"/>
          <w:sz w:val="20"/>
        </w:rPr>
        <w:t>self-study;</w:t>
      </w:r>
    </w:p>
    <w:p w14:paraId="651960F1" w14:textId="77777777" w:rsidR="00F261A3" w:rsidRPr="00F261A3" w:rsidRDefault="00F261A3" w:rsidP="00D91E6C">
      <w:pPr>
        <w:pStyle w:val="ListParagraph"/>
        <w:numPr>
          <w:ilvl w:val="1"/>
          <w:numId w:val="282"/>
        </w:numPr>
        <w:tabs>
          <w:tab w:val="left" w:pos="1273"/>
          <w:tab w:val="left" w:pos="1274"/>
        </w:tabs>
        <w:spacing w:before="117"/>
        <w:ind w:right="68" w:hanging="568"/>
        <w:jc w:val="both"/>
        <w:rPr>
          <w:rFonts w:ascii="Arial" w:hAnsi="Arial" w:cs="Arial"/>
          <w:sz w:val="20"/>
        </w:rPr>
      </w:pPr>
      <w:r w:rsidRPr="00F261A3">
        <w:rPr>
          <w:rFonts w:ascii="Arial" w:hAnsi="Arial" w:cs="Arial"/>
          <w:sz w:val="20"/>
        </w:rPr>
        <w:t>legislation;</w:t>
      </w:r>
    </w:p>
    <w:p w14:paraId="19A8DE10" w14:textId="77777777" w:rsidR="00F261A3" w:rsidRPr="00F261A3" w:rsidRDefault="00F261A3" w:rsidP="00D91E6C">
      <w:pPr>
        <w:pStyle w:val="ListParagraph"/>
        <w:numPr>
          <w:ilvl w:val="1"/>
          <w:numId w:val="282"/>
        </w:numPr>
        <w:tabs>
          <w:tab w:val="left" w:pos="1273"/>
          <w:tab w:val="left" w:pos="1274"/>
        </w:tabs>
        <w:spacing w:before="121"/>
        <w:ind w:right="68" w:hanging="568"/>
        <w:jc w:val="both"/>
        <w:rPr>
          <w:rFonts w:ascii="Arial" w:hAnsi="Arial" w:cs="Arial"/>
          <w:sz w:val="20"/>
        </w:rPr>
      </w:pPr>
      <w:r w:rsidRPr="00F261A3">
        <w:rPr>
          <w:rFonts w:ascii="Arial" w:hAnsi="Arial" w:cs="Arial"/>
          <w:sz w:val="20"/>
        </w:rPr>
        <w:t>the</w:t>
      </w:r>
      <w:r w:rsidRPr="00F261A3">
        <w:rPr>
          <w:rFonts w:ascii="Arial" w:hAnsi="Arial" w:cs="Arial"/>
          <w:spacing w:val="-2"/>
          <w:sz w:val="20"/>
        </w:rPr>
        <w:t xml:space="preserve"> </w:t>
      </w:r>
      <w:r w:rsidRPr="00F261A3">
        <w:rPr>
          <w:rFonts w:ascii="Arial" w:hAnsi="Arial" w:cs="Arial"/>
          <w:sz w:val="20"/>
        </w:rPr>
        <w:t>role</w:t>
      </w:r>
      <w:r w:rsidRPr="00F261A3">
        <w:rPr>
          <w:rFonts w:ascii="Arial" w:hAnsi="Arial" w:cs="Arial"/>
          <w:spacing w:val="-3"/>
          <w:sz w:val="20"/>
        </w:rPr>
        <w:t xml:space="preserve"> </w:t>
      </w:r>
      <w:r w:rsidRPr="00F261A3">
        <w:rPr>
          <w:rFonts w:ascii="Arial" w:hAnsi="Arial" w:cs="Arial"/>
          <w:sz w:val="20"/>
        </w:rPr>
        <w:t>of</w:t>
      </w:r>
      <w:r w:rsidRPr="00F261A3">
        <w:rPr>
          <w:rFonts w:ascii="Arial" w:hAnsi="Arial" w:cs="Arial"/>
          <w:spacing w:val="-1"/>
          <w:sz w:val="20"/>
        </w:rPr>
        <w:t xml:space="preserve"> </w:t>
      </w:r>
      <w:r w:rsidRPr="00F261A3">
        <w:rPr>
          <w:rFonts w:ascii="Arial" w:hAnsi="Arial" w:cs="Arial"/>
          <w:sz w:val="20"/>
        </w:rPr>
        <w:t>the senior</w:t>
      </w:r>
      <w:r w:rsidRPr="00F261A3">
        <w:rPr>
          <w:rFonts w:ascii="Arial" w:hAnsi="Arial" w:cs="Arial"/>
          <w:spacing w:val="-3"/>
          <w:sz w:val="20"/>
        </w:rPr>
        <w:t xml:space="preserve"> </w:t>
      </w:r>
      <w:r w:rsidRPr="00F261A3">
        <w:rPr>
          <w:rFonts w:ascii="Arial" w:hAnsi="Arial" w:cs="Arial"/>
          <w:sz w:val="20"/>
        </w:rPr>
        <w:t>examiner;</w:t>
      </w:r>
    </w:p>
    <w:p w14:paraId="7E5BBD7D" w14:textId="77777777" w:rsidR="00F261A3" w:rsidRPr="00F261A3" w:rsidRDefault="00F261A3" w:rsidP="00D91E6C">
      <w:pPr>
        <w:pStyle w:val="ListParagraph"/>
        <w:numPr>
          <w:ilvl w:val="1"/>
          <w:numId w:val="282"/>
        </w:numPr>
        <w:tabs>
          <w:tab w:val="left" w:pos="1273"/>
          <w:tab w:val="left" w:pos="1274"/>
        </w:tabs>
        <w:ind w:right="68" w:hanging="568"/>
        <w:jc w:val="both"/>
        <w:rPr>
          <w:rFonts w:ascii="Arial" w:hAnsi="Arial" w:cs="Arial"/>
          <w:sz w:val="20"/>
        </w:rPr>
      </w:pPr>
      <w:r w:rsidRPr="00F261A3">
        <w:rPr>
          <w:rFonts w:ascii="Arial" w:hAnsi="Arial" w:cs="Arial"/>
          <w:sz w:val="20"/>
        </w:rPr>
        <w:t>an</w:t>
      </w:r>
      <w:r w:rsidRPr="00F261A3">
        <w:rPr>
          <w:rFonts w:ascii="Arial" w:hAnsi="Arial" w:cs="Arial"/>
          <w:spacing w:val="-4"/>
          <w:sz w:val="20"/>
        </w:rPr>
        <w:t xml:space="preserve"> </w:t>
      </w:r>
      <w:r w:rsidRPr="00F261A3">
        <w:rPr>
          <w:rFonts w:ascii="Arial" w:hAnsi="Arial" w:cs="Arial"/>
          <w:sz w:val="20"/>
        </w:rPr>
        <w:t>examiner</w:t>
      </w:r>
      <w:r w:rsidRPr="00F261A3">
        <w:rPr>
          <w:rFonts w:ascii="Arial" w:hAnsi="Arial" w:cs="Arial"/>
          <w:spacing w:val="-2"/>
          <w:sz w:val="20"/>
        </w:rPr>
        <w:t xml:space="preserve"> </w:t>
      </w:r>
      <w:r w:rsidRPr="00F261A3">
        <w:rPr>
          <w:rFonts w:ascii="Arial" w:hAnsi="Arial" w:cs="Arial"/>
          <w:sz w:val="20"/>
        </w:rPr>
        <w:t>assessment;</w:t>
      </w:r>
      <w:r w:rsidRPr="00F261A3">
        <w:rPr>
          <w:rFonts w:ascii="Arial" w:hAnsi="Arial" w:cs="Arial"/>
          <w:spacing w:val="-1"/>
          <w:sz w:val="20"/>
        </w:rPr>
        <w:t xml:space="preserve"> </w:t>
      </w:r>
      <w:r w:rsidRPr="00F261A3">
        <w:rPr>
          <w:rFonts w:ascii="Arial" w:hAnsi="Arial" w:cs="Arial"/>
          <w:sz w:val="20"/>
        </w:rPr>
        <w:t>and</w:t>
      </w:r>
    </w:p>
    <w:p w14:paraId="20814EA9" w14:textId="77777777" w:rsidR="00F261A3" w:rsidRPr="00F261A3" w:rsidRDefault="00F261A3" w:rsidP="00D91E6C">
      <w:pPr>
        <w:pStyle w:val="ListParagraph"/>
        <w:numPr>
          <w:ilvl w:val="1"/>
          <w:numId w:val="282"/>
        </w:numPr>
        <w:tabs>
          <w:tab w:val="left" w:pos="1273"/>
          <w:tab w:val="left" w:pos="1274"/>
        </w:tabs>
        <w:ind w:right="68" w:hanging="568"/>
        <w:jc w:val="both"/>
        <w:rPr>
          <w:rFonts w:ascii="Arial" w:hAnsi="Arial" w:cs="Arial"/>
          <w:sz w:val="20"/>
        </w:rPr>
      </w:pPr>
      <w:r w:rsidRPr="00F261A3">
        <w:rPr>
          <w:rFonts w:ascii="Arial" w:hAnsi="Arial" w:cs="Arial"/>
          <w:sz w:val="20"/>
        </w:rPr>
        <w:t>national</w:t>
      </w:r>
      <w:r w:rsidRPr="00F261A3">
        <w:rPr>
          <w:rFonts w:ascii="Arial" w:hAnsi="Arial" w:cs="Arial"/>
          <w:spacing w:val="-2"/>
          <w:sz w:val="20"/>
        </w:rPr>
        <w:t xml:space="preserve"> </w:t>
      </w:r>
      <w:r w:rsidRPr="00F261A3">
        <w:rPr>
          <w:rFonts w:ascii="Arial" w:hAnsi="Arial" w:cs="Arial"/>
          <w:sz w:val="20"/>
        </w:rPr>
        <w:t>administrative</w:t>
      </w:r>
      <w:r w:rsidRPr="00F261A3">
        <w:rPr>
          <w:rFonts w:ascii="Arial" w:hAnsi="Arial" w:cs="Arial"/>
          <w:spacing w:val="-4"/>
          <w:sz w:val="20"/>
        </w:rPr>
        <w:t xml:space="preserve"> </w:t>
      </w:r>
      <w:r w:rsidRPr="00F261A3">
        <w:rPr>
          <w:rFonts w:ascii="Arial" w:hAnsi="Arial" w:cs="Arial"/>
          <w:sz w:val="20"/>
        </w:rPr>
        <w:t>requirements.</w:t>
      </w:r>
    </w:p>
    <w:p w14:paraId="1BB372C0" w14:textId="5D6ED761" w:rsidR="00F261A3" w:rsidRPr="00F261A3" w:rsidRDefault="00F261A3" w:rsidP="00D91E6C">
      <w:pPr>
        <w:pStyle w:val="ListParagraph"/>
        <w:numPr>
          <w:ilvl w:val="0"/>
          <w:numId w:val="282"/>
        </w:numPr>
        <w:tabs>
          <w:tab w:val="left" w:pos="707"/>
        </w:tabs>
        <w:ind w:right="68"/>
        <w:jc w:val="both"/>
        <w:rPr>
          <w:rFonts w:ascii="Arial" w:hAnsi="Arial" w:cs="Arial"/>
          <w:sz w:val="20"/>
        </w:rPr>
      </w:pPr>
      <w:r w:rsidRPr="00F261A3">
        <w:rPr>
          <w:rFonts w:ascii="Arial" w:hAnsi="Arial" w:cs="Arial"/>
          <w:spacing w:val="-1"/>
          <w:sz w:val="20"/>
        </w:rPr>
        <w:t>The</w:t>
      </w:r>
      <w:r w:rsidRPr="00F261A3">
        <w:rPr>
          <w:rFonts w:ascii="Arial" w:hAnsi="Arial" w:cs="Arial"/>
          <w:spacing w:val="-9"/>
          <w:sz w:val="20"/>
        </w:rPr>
        <w:t xml:space="preserve"> </w:t>
      </w:r>
      <w:r w:rsidRPr="00F261A3">
        <w:rPr>
          <w:rFonts w:ascii="Arial" w:hAnsi="Arial" w:cs="Arial"/>
          <w:spacing w:val="-1"/>
          <w:sz w:val="20"/>
        </w:rPr>
        <w:t>validity</w:t>
      </w:r>
      <w:r w:rsidRPr="00F261A3">
        <w:rPr>
          <w:rFonts w:ascii="Arial" w:hAnsi="Arial" w:cs="Arial"/>
          <w:spacing w:val="-11"/>
          <w:sz w:val="20"/>
        </w:rPr>
        <w:t xml:space="preserve"> </w:t>
      </w:r>
      <w:r w:rsidRPr="00F261A3">
        <w:rPr>
          <w:rFonts w:ascii="Arial" w:hAnsi="Arial" w:cs="Arial"/>
          <w:sz w:val="20"/>
        </w:rPr>
        <w:t>of</w:t>
      </w:r>
      <w:r w:rsidRPr="00F261A3">
        <w:rPr>
          <w:rFonts w:ascii="Arial" w:hAnsi="Arial" w:cs="Arial"/>
          <w:spacing w:val="-10"/>
          <w:sz w:val="20"/>
        </w:rPr>
        <w:t xml:space="preserve"> </w:t>
      </w:r>
      <w:r w:rsidRPr="00F261A3">
        <w:rPr>
          <w:rFonts w:ascii="Arial" w:hAnsi="Arial" w:cs="Arial"/>
          <w:sz w:val="20"/>
        </w:rPr>
        <w:t>the</w:t>
      </w:r>
      <w:r w:rsidRPr="00F261A3">
        <w:rPr>
          <w:rFonts w:ascii="Arial" w:hAnsi="Arial" w:cs="Arial"/>
          <w:spacing w:val="-9"/>
          <w:sz w:val="20"/>
        </w:rPr>
        <w:t xml:space="preserve"> </w:t>
      </w:r>
      <w:r w:rsidRPr="00F261A3">
        <w:rPr>
          <w:rFonts w:ascii="Arial" w:hAnsi="Arial" w:cs="Arial"/>
          <w:sz w:val="20"/>
        </w:rPr>
        <w:t>authorisation</w:t>
      </w:r>
      <w:r w:rsidRPr="00F261A3">
        <w:rPr>
          <w:rFonts w:ascii="Arial" w:hAnsi="Arial" w:cs="Arial"/>
          <w:spacing w:val="-10"/>
          <w:sz w:val="20"/>
        </w:rPr>
        <w:t xml:space="preserve"> </w:t>
      </w:r>
      <w:r w:rsidRPr="00F261A3">
        <w:rPr>
          <w:rFonts w:ascii="Arial" w:hAnsi="Arial" w:cs="Arial"/>
          <w:sz w:val="20"/>
        </w:rPr>
        <w:t>should</w:t>
      </w:r>
      <w:r w:rsidRPr="00F261A3">
        <w:rPr>
          <w:rFonts w:ascii="Arial" w:hAnsi="Arial" w:cs="Arial"/>
          <w:spacing w:val="-10"/>
          <w:sz w:val="20"/>
        </w:rPr>
        <w:t xml:space="preserve"> </w:t>
      </w:r>
      <w:r w:rsidRPr="00F261A3">
        <w:rPr>
          <w:rFonts w:ascii="Arial" w:hAnsi="Arial" w:cs="Arial"/>
          <w:sz w:val="20"/>
        </w:rPr>
        <w:t>not</w:t>
      </w:r>
      <w:r w:rsidRPr="00F261A3">
        <w:rPr>
          <w:rFonts w:ascii="Arial" w:hAnsi="Arial" w:cs="Arial"/>
          <w:spacing w:val="-11"/>
          <w:sz w:val="20"/>
        </w:rPr>
        <w:t xml:space="preserve"> </w:t>
      </w:r>
      <w:r w:rsidRPr="00F261A3">
        <w:rPr>
          <w:rFonts w:ascii="Arial" w:hAnsi="Arial" w:cs="Arial"/>
          <w:sz w:val="20"/>
        </w:rPr>
        <w:t>exceed</w:t>
      </w:r>
      <w:r w:rsidRPr="00F261A3">
        <w:rPr>
          <w:rFonts w:ascii="Arial" w:hAnsi="Arial" w:cs="Arial"/>
          <w:spacing w:val="-13"/>
          <w:sz w:val="20"/>
        </w:rPr>
        <w:t xml:space="preserve"> </w:t>
      </w:r>
      <w:r w:rsidRPr="00F261A3">
        <w:rPr>
          <w:rFonts w:ascii="Arial" w:hAnsi="Arial" w:cs="Arial"/>
          <w:sz w:val="20"/>
        </w:rPr>
        <w:t>the</w:t>
      </w:r>
      <w:r w:rsidRPr="00F261A3">
        <w:rPr>
          <w:rFonts w:ascii="Arial" w:hAnsi="Arial" w:cs="Arial"/>
          <w:spacing w:val="-8"/>
          <w:sz w:val="20"/>
        </w:rPr>
        <w:t xml:space="preserve"> </w:t>
      </w:r>
      <w:r w:rsidRPr="00F261A3">
        <w:rPr>
          <w:rFonts w:ascii="Arial" w:hAnsi="Arial" w:cs="Arial"/>
          <w:sz w:val="20"/>
        </w:rPr>
        <w:t>validity</w:t>
      </w:r>
      <w:r w:rsidRPr="00F261A3">
        <w:rPr>
          <w:rFonts w:ascii="Arial" w:hAnsi="Arial" w:cs="Arial"/>
          <w:spacing w:val="-11"/>
          <w:sz w:val="20"/>
        </w:rPr>
        <w:t xml:space="preserve"> </w:t>
      </w:r>
      <w:r w:rsidRPr="00F261A3">
        <w:rPr>
          <w:rFonts w:ascii="Arial" w:hAnsi="Arial" w:cs="Arial"/>
          <w:sz w:val="20"/>
        </w:rPr>
        <w:t>of</w:t>
      </w:r>
      <w:r w:rsidRPr="00F261A3">
        <w:rPr>
          <w:rFonts w:ascii="Arial" w:hAnsi="Arial" w:cs="Arial"/>
          <w:spacing w:val="-10"/>
          <w:sz w:val="20"/>
        </w:rPr>
        <w:t xml:space="preserve"> </w:t>
      </w:r>
      <w:r w:rsidRPr="00F261A3">
        <w:rPr>
          <w:rFonts w:ascii="Arial" w:hAnsi="Arial" w:cs="Arial"/>
          <w:sz w:val="20"/>
        </w:rPr>
        <w:t>the</w:t>
      </w:r>
      <w:r w:rsidRPr="00F261A3">
        <w:rPr>
          <w:rFonts w:ascii="Arial" w:hAnsi="Arial" w:cs="Arial"/>
          <w:spacing w:val="-12"/>
          <w:sz w:val="20"/>
        </w:rPr>
        <w:t xml:space="preserve"> </w:t>
      </w:r>
      <w:r w:rsidRPr="00F261A3">
        <w:rPr>
          <w:rFonts w:ascii="Arial" w:hAnsi="Arial" w:cs="Arial"/>
          <w:sz w:val="20"/>
        </w:rPr>
        <w:t>examiner’s</w:t>
      </w:r>
      <w:r w:rsidRPr="00F261A3">
        <w:rPr>
          <w:rFonts w:ascii="Arial" w:hAnsi="Arial" w:cs="Arial"/>
          <w:spacing w:val="-12"/>
          <w:sz w:val="20"/>
        </w:rPr>
        <w:t xml:space="preserve"> </w:t>
      </w:r>
      <w:r w:rsidRPr="00F261A3">
        <w:rPr>
          <w:rFonts w:ascii="Arial" w:hAnsi="Arial" w:cs="Arial"/>
          <w:sz w:val="20"/>
        </w:rPr>
        <w:t>certificate,</w:t>
      </w:r>
      <w:r w:rsidRPr="00F261A3">
        <w:rPr>
          <w:rFonts w:ascii="Arial" w:hAnsi="Arial" w:cs="Arial"/>
          <w:spacing w:val="-9"/>
          <w:sz w:val="20"/>
        </w:rPr>
        <w:t xml:space="preserve"> </w:t>
      </w:r>
      <w:r w:rsidRPr="00F261A3">
        <w:rPr>
          <w:rFonts w:ascii="Arial" w:hAnsi="Arial" w:cs="Arial"/>
          <w:sz w:val="20"/>
        </w:rPr>
        <w:t>and</w:t>
      </w:r>
      <w:r w:rsidRPr="00F261A3">
        <w:rPr>
          <w:rFonts w:ascii="Arial" w:hAnsi="Arial" w:cs="Arial"/>
          <w:spacing w:val="-47"/>
          <w:sz w:val="20"/>
        </w:rPr>
        <w:t xml:space="preserve"> </w:t>
      </w:r>
      <w:r w:rsidRPr="00F261A3">
        <w:rPr>
          <w:rFonts w:ascii="Arial" w:hAnsi="Arial" w:cs="Arial"/>
          <w:sz w:val="20"/>
        </w:rPr>
        <w:t>in</w:t>
      </w:r>
      <w:r w:rsidRPr="00F261A3">
        <w:rPr>
          <w:rFonts w:ascii="Arial" w:hAnsi="Arial" w:cs="Arial"/>
          <w:spacing w:val="-7"/>
          <w:sz w:val="20"/>
        </w:rPr>
        <w:t xml:space="preserve"> </w:t>
      </w:r>
      <w:r w:rsidRPr="00F261A3">
        <w:rPr>
          <w:rFonts w:ascii="Arial" w:hAnsi="Arial" w:cs="Arial"/>
          <w:sz w:val="20"/>
        </w:rPr>
        <w:t>any</w:t>
      </w:r>
      <w:r w:rsidRPr="00F261A3">
        <w:rPr>
          <w:rFonts w:ascii="Arial" w:hAnsi="Arial" w:cs="Arial"/>
          <w:spacing w:val="-7"/>
          <w:sz w:val="20"/>
        </w:rPr>
        <w:t xml:space="preserve"> </w:t>
      </w:r>
      <w:r w:rsidRPr="00F261A3">
        <w:rPr>
          <w:rFonts w:ascii="Arial" w:hAnsi="Arial" w:cs="Arial"/>
          <w:sz w:val="20"/>
        </w:rPr>
        <w:t>case</w:t>
      </w:r>
      <w:r w:rsidRPr="00F261A3">
        <w:rPr>
          <w:rFonts w:ascii="Arial" w:hAnsi="Arial" w:cs="Arial"/>
          <w:spacing w:val="-6"/>
          <w:sz w:val="20"/>
        </w:rPr>
        <w:t xml:space="preserve"> </w:t>
      </w:r>
      <w:r w:rsidRPr="00F261A3">
        <w:rPr>
          <w:rFonts w:ascii="Arial" w:hAnsi="Arial" w:cs="Arial"/>
          <w:sz w:val="20"/>
        </w:rPr>
        <w:t>should</w:t>
      </w:r>
      <w:r w:rsidRPr="00F261A3">
        <w:rPr>
          <w:rFonts w:ascii="Arial" w:hAnsi="Arial" w:cs="Arial"/>
          <w:spacing w:val="-7"/>
          <w:sz w:val="20"/>
        </w:rPr>
        <w:t xml:space="preserve"> </w:t>
      </w:r>
      <w:r w:rsidRPr="00F261A3">
        <w:rPr>
          <w:rFonts w:ascii="Arial" w:hAnsi="Arial" w:cs="Arial"/>
          <w:sz w:val="20"/>
        </w:rPr>
        <w:t>not</w:t>
      </w:r>
      <w:r w:rsidRPr="00F261A3">
        <w:rPr>
          <w:rFonts w:ascii="Arial" w:hAnsi="Arial" w:cs="Arial"/>
          <w:spacing w:val="-7"/>
          <w:sz w:val="20"/>
        </w:rPr>
        <w:t xml:space="preserve"> </w:t>
      </w:r>
      <w:r w:rsidRPr="00F261A3">
        <w:rPr>
          <w:rFonts w:ascii="Arial" w:hAnsi="Arial" w:cs="Arial"/>
          <w:sz w:val="20"/>
        </w:rPr>
        <w:t>exceed</w:t>
      </w:r>
      <w:r w:rsidRPr="00F261A3">
        <w:rPr>
          <w:rFonts w:ascii="Arial" w:hAnsi="Arial" w:cs="Arial"/>
          <w:spacing w:val="-5"/>
          <w:sz w:val="20"/>
        </w:rPr>
        <w:t xml:space="preserve"> </w:t>
      </w:r>
      <w:r w:rsidRPr="00F261A3">
        <w:rPr>
          <w:rFonts w:ascii="Arial" w:hAnsi="Arial" w:cs="Arial"/>
          <w:sz w:val="20"/>
        </w:rPr>
        <w:t>5</w:t>
      </w:r>
      <w:r w:rsidRPr="00F261A3">
        <w:rPr>
          <w:rFonts w:ascii="Arial" w:hAnsi="Arial" w:cs="Arial"/>
          <w:spacing w:val="-9"/>
          <w:sz w:val="20"/>
        </w:rPr>
        <w:t xml:space="preserve"> </w:t>
      </w:r>
      <w:r w:rsidRPr="00F261A3">
        <w:rPr>
          <w:rFonts w:ascii="Arial" w:hAnsi="Arial" w:cs="Arial"/>
          <w:sz w:val="20"/>
        </w:rPr>
        <w:t>years.</w:t>
      </w:r>
      <w:r w:rsidRPr="00F261A3">
        <w:rPr>
          <w:rFonts w:ascii="Arial" w:hAnsi="Arial" w:cs="Arial"/>
          <w:spacing w:val="-7"/>
          <w:sz w:val="20"/>
        </w:rPr>
        <w:t xml:space="preserve"> </w:t>
      </w:r>
      <w:r w:rsidRPr="00F261A3">
        <w:rPr>
          <w:rFonts w:ascii="Arial" w:hAnsi="Arial" w:cs="Arial"/>
          <w:sz w:val="20"/>
        </w:rPr>
        <w:t>The</w:t>
      </w:r>
      <w:r w:rsidRPr="00F261A3">
        <w:rPr>
          <w:rFonts w:ascii="Arial" w:hAnsi="Arial" w:cs="Arial"/>
          <w:spacing w:val="-8"/>
          <w:sz w:val="20"/>
        </w:rPr>
        <w:t xml:space="preserve"> </w:t>
      </w:r>
      <w:r w:rsidRPr="00F261A3">
        <w:rPr>
          <w:rFonts w:ascii="Arial" w:hAnsi="Arial" w:cs="Arial"/>
          <w:sz w:val="20"/>
        </w:rPr>
        <w:t>authorisation</w:t>
      </w:r>
      <w:r w:rsidRPr="00F261A3">
        <w:rPr>
          <w:rFonts w:ascii="Arial" w:hAnsi="Arial" w:cs="Arial"/>
          <w:spacing w:val="-9"/>
          <w:sz w:val="20"/>
        </w:rPr>
        <w:t xml:space="preserve"> </w:t>
      </w:r>
      <w:r w:rsidRPr="00F261A3">
        <w:rPr>
          <w:rFonts w:ascii="Arial" w:hAnsi="Arial" w:cs="Arial"/>
          <w:sz w:val="20"/>
        </w:rPr>
        <w:t>may</w:t>
      </w:r>
      <w:r w:rsidRPr="00F261A3">
        <w:rPr>
          <w:rFonts w:ascii="Arial" w:hAnsi="Arial" w:cs="Arial"/>
          <w:spacing w:val="-6"/>
          <w:sz w:val="20"/>
        </w:rPr>
        <w:t xml:space="preserve"> </w:t>
      </w:r>
      <w:r w:rsidRPr="00F261A3">
        <w:rPr>
          <w:rFonts w:ascii="Arial" w:hAnsi="Arial" w:cs="Arial"/>
          <w:sz w:val="20"/>
        </w:rPr>
        <w:t>be</w:t>
      </w:r>
      <w:r w:rsidRPr="00F261A3">
        <w:rPr>
          <w:rFonts w:ascii="Arial" w:hAnsi="Arial" w:cs="Arial"/>
          <w:spacing w:val="-7"/>
          <w:sz w:val="20"/>
        </w:rPr>
        <w:t xml:space="preserve"> </w:t>
      </w:r>
      <w:r w:rsidRPr="00F261A3">
        <w:rPr>
          <w:rFonts w:ascii="Arial" w:hAnsi="Arial" w:cs="Arial"/>
          <w:sz w:val="20"/>
        </w:rPr>
        <w:t>revalidated</w:t>
      </w:r>
      <w:r w:rsidRPr="00F261A3">
        <w:rPr>
          <w:rFonts w:ascii="Arial" w:hAnsi="Arial" w:cs="Arial"/>
          <w:spacing w:val="-5"/>
          <w:sz w:val="20"/>
        </w:rPr>
        <w:t xml:space="preserve"> </w:t>
      </w:r>
      <w:r w:rsidRPr="00F261A3">
        <w:rPr>
          <w:rFonts w:ascii="Arial" w:hAnsi="Arial" w:cs="Arial"/>
          <w:sz w:val="20"/>
        </w:rPr>
        <w:t>in</w:t>
      </w:r>
      <w:r w:rsidRPr="00F261A3">
        <w:rPr>
          <w:rFonts w:ascii="Arial" w:hAnsi="Arial" w:cs="Arial"/>
          <w:spacing w:val="-9"/>
          <w:sz w:val="20"/>
        </w:rPr>
        <w:t xml:space="preserve"> </w:t>
      </w:r>
      <w:r w:rsidRPr="00F261A3">
        <w:rPr>
          <w:rFonts w:ascii="Arial" w:hAnsi="Arial" w:cs="Arial"/>
          <w:sz w:val="20"/>
        </w:rPr>
        <w:t>accordance</w:t>
      </w:r>
      <w:r w:rsidRPr="00F261A3">
        <w:rPr>
          <w:rFonts w:ascii="Arial" w:hAnsi="Arial" w:cs="Arial"/>
          <w:spacing w:val="-7"/>
          <w:sz w:val="20"/>
        </w:rPr>
        <w:t xml:space="preserve"> </w:t>
      </w:r>
      <w:r w:rsidRPr="00F261A3">
        <w:rPr>
          <w:rFonts w:ascii="Arial" w:hAnsi="Arial" w:cs="Arial"/>
          <w:sz w:val="20"/>
        </w:rPr>
        <w:t>with</w:t>
      </w:r>
      <w:r w:rsidRPr="00F261A3">
        <w:rPr>
          <w:rFonts w:ascii="Arial" w:hAnsi="Arial" w:cs="Arial"/>
          <w:spacing w:val="-47"/>
          <w:sz w:val="20"/>
        </w:rPr>
        <w:t xml:space="preserve"> </w:t>
      </w:r>
      <w:r w:rsidRPr="00F261A3">
        <w:rPr>
          <w:rFonts w:ascii="Arial" w:hAnsi="Arial" w:cs="Arial"/>
          <w:sz w:val="20"/>
        </w:rPr>
        <w:t>procedures</w:t>
      </w:r>
      <w:r w:rsidRPr="00F261A3">
        <w:rPr>
          <w:rFonts w:ascii="Arial" w:hAnsi="Arial" w:cs="Arial"/>
          <w:spacing w:val="-3"/>
          <w:sz w:val="20"/>
        </w:rPr>
        <w:t xml:space="preserve"> </w:t>
      </w:r>
      <w:r w:rsidRPr="00F261A3">
        <w:rPr>
          <w:rFonts w:ascii="Arial" w:hAnsi="Arial" w:cs="Arial"/>
          <w:sz w:val="20"/>
        </w:rPr>
        <w:t>established</w:t>
      </w:r>
      <w:r w:rsidRPr="00F261A3">
        <w:rPr>
          <w:rFonts w:ascii="Arial" w:hAnsi="Arial" w:cs="Arial"/>
          <w:spacing w:val="-1"/>
          <w:sz w:val="20"/>
        </w:rPr>
        <w:t xml:space="preserve"> </w:t>
      </w:r>
      <w:r w:rsidRPr="00F261A3">
        <w:rPr>
          <w:rFonts w:ascii="Arial" w:hAnsi="Arial" w:cs="Arial"/>
          <w:sz w:val="20"/>
        </w:rPr>
        <w:t>by</w:t>
      </w:r>
      <w:r w:rsidRPr="00F261A3">
        <w:rPr>
          <w:rFonts w:ascii="Arial" w:hAnsi="Arial" w:cs="Arial"/>
          <w:spacing w:val="-2"/>
          <w:sz w:val="20"/>
        </w:rPr>
        <w:t xml:space="preserve"> </w:t>
      </w:r>
      <w:r w:rsidRPr="00F261A3">
        <w:rPr>
          <w:rFonts w:ascii="Arial" w:hAnsi="Arial" w:cs="Arial"/>
          <w:sz w:val="20"/>
        </w:rPr>
        <w:t xml:space="preserve">the </w:t>
      </w:r>
      <w:r w:rsidR="003C6906">
        <w:rPr>
          <w:rFonts w:ascii="Arial" w:hAnsi="Arial" w:cs="Arial"/>
          <w:sz w:val="20"/>
          <w:szCs w:val="20"/>
        </w:rPr>
        <w:t>CAC RA</w:t>
      </w:r>
      <w:r w:rsidRPr="00F261A3">
        <w:rPr>
          <w:rFonts w:ascii="Arial" w:hAnsi="Arial" w:cs="Arial"/>
          <w:sz w:val="20"/>
        </w:rPr>
        <w:t>.</w:t>
      </w:r>
    </w:p>
    <w:p w14:paraId="4E4602EB" w14:textId="77777777" w:rsidR="00F261A3" w:rsidRPr="00F261A3" w:rsidRDefault="00F261A3" w:rsidP="00F261A3">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783" w:name="BFCL.460__FE(B)_certificate_–_Validity,_"/>
      <w:bookmarkStart w:id="784" w:name="_bookmark320"/>
      <w:bookmarkStart w:id="785" w:name="_Toc153137485"/>
      <w:bookmarkEnd w:id="783"/>
      <w:bookmarkEnd w:id="784"/>
      <w:r w:rsidRPr="00F261A3">
        <w:rPr>
          <w:rFonts w:ascii="Arial" w:eastAsia="Times New Roman" w:hAnsi="Arial" w:cs="Times New Roman"/>
          <w:b/>
          <w:iCs/>
          <w:color w:val="FFFFFF"/>
          <w:sz w:val="24"/>
        </w:rPr>
        <w:t>BFCL.460 FE(B) certificate – Validity, revalidation and renewal</w:t>
      </w:r>
      <w:bookmarkEnd w:id="785"/>
    </w:p>
    <w:p w14:paraId="6EEAE309" w14:textId="77777777" w:rsidR="00CE2D54" w:rsidRPr="00CE2D54" w:rsidRDefault="00CE2D54" w:rsidP="00D91E6C">
      <w:pPr>
        <w:pStyle w:val="ListParagraph"/>
        <w:numPr>
          <w:ilvl w:val="0"/>
          <w:numId w:val="283"/>
        </w:numPr>
        <w:tabs>
          <w:tab w:val="left" w:pos="706"/>
          <w:tab w:val="left" w:pos="707"/>
        </w:tabs>
        <w:spacing w:before="117"/>
        <w:jc w:val="both"/>
        <w:rPr>
          <w:rFonts w:ascii="Arial" w:hAnsi="Arial" w:cs="Arial"/>
          <w:sz w:val="20"/>
          <w:szCs w:val="20"/>
        </w:rPr>
      </w:pPr>
      <w:r w:rsidRPr="00CE2D54">
        <w:rPr>
          <w:rFonts w:ascii="Arial" w:hAnsi="Arial" w:cs="Arial"/>
          <w:sz w:val="20"/>
          <w:szCs w:val="20"/>
        </w:rPr>
        <w:t>An</w:t>
      </w:r>
      <w:r w:rsidRPr="00CE2D54">
        <w:rPr>
          <w:rFonts w:ascii="Arial" w:hAnsi="Arial" w:cs="Arial"/>
          <w:spacing w:val="-3"/>
          <w:sz w:val="20"/>
          <w:szCs w:val="20"/>
        </w:rPr>
        <w:t xml:space="preserve"> </w:t>
      </w:r>
      <w:r w:rsidRPr="00CE2D54">
        <w:rPr>
          <w:rFonts w:ascii="Arial" w:hAnsi="Arial" w:cs="Arial"/>
          <w:sz w:val="20"/>
          <w:szCs w:val="20"/>
        </w:rPr>
        <w:t>FE(B)</w:t>
      </w:r>
      <w:r w:rsidRPr="00CE2D54">
        <w:rPr>
          <w:rFonts w:ascii="Arial" w:hAnsi="Arial" w:cs="Arial"/>
          <w:spacing w:val="-1"/>
          <w:sz w:val="20"/>
          <w:szCs w:val="20"/>
        </w:rPr>
        <w:t xml:space="preserve"> </w:t>
      </w:r>
      <w:r w:rsidRPr="00CE2D54">
        <w:rPr>
          <w:rFonts w:ascii="Arial" w:hAnsi="Arial" w:cs="Arial"/>
          <w:sz w:val="20"/>
          <w:szCs w:val="20"/>
        </w:rPr>
        <w:t>certificate shall</w:t>
      </w:r>
      <w:r w:rsidRPr="00CE2D54">
        <w:rPr>
          <w:rFonts w:ascii="Arial" w:hAnsi="Arial" w:cs="Arial"/>
          <w:spacing w:val="-2"/>
          <w:sz w:val="20"/>
          <w:szCs w:val="20"/>
        </w:rPr>
        <w:t xml:space="preserve"> </w:t>
      </w:r>
      <w:r w:rsidRPr="00CE2D54">
        <w:rPr>
          <w:rFonts w:ascii="Arial" w:hAnsi="Arial" w:cs="Arial"/>
          <w:sz w:val="20"/>
          <w:szCs w:val="20"/>
        </w:rPr>
        <w:t>be</w:t>
      </w:r>
      <w:r w:rsidRPr="00CE2D54">
        <w:rPr>
          <w:rFonts w:ascii="Arial" w:hAnsi="Arial" w:cs="Arial"/>
          <w:spacing w:val="-2"/>
          <w:sz w:val="20"/>
          <w:szCs w:val="20"/>
        </w:rPr>
        <w:t xml:space="preserve"> </w:t>
      </w:r>
      <w:r w:rsidRPr="00CE2D54">
        <w:rPr>
          <w:rFonts w:ascii="Arial" w:hAnsi="Arial" w:cs="Arial"/>
          <w:sz w:val="20"/>
          <w:szCs w:val="20"/>
        </w:rPr>
        <w:t>valid</w:t>
      </w:r>
      <w:r w:rsidRPr="00CE2D54">
        <w:rPr>
          <w:rFonts w:ascii="Arial" w:hAnsi="Arial" w:cs="Arial"/>
          <w:spacing w:val="-2"/>
          <w:sz w:val="20"/>
          <w:szCs w:val="20"/>
        </w:rPr>
        <w:t xml:space="preserve"> </w:t>
      </w:r>
      <w:r w:rsidRPr="00CE2D54">
        <w:rPr>
          <w:rFonts w:ascii="Arial" w:hAnsi="Arial" w:cs="Arial"/>
          <w:sz w:val="20"/>
          <w:szCs w:val="20"/>
        </w:rPr>
        <w:t>for</w:t>
      </w:r>
      <w:r w:rsidRPr="00CE2D54">
        <w:rPr>
          <w:rFonts w:ascii="Arial" w:hAnsi="Arial" w:cs="Arial"/>
          <w:spacing w:val="-1"/>
          <w:sz w:val="20"/>
          <w:szCs w:val="20"/>
        </w:rPr>
        <w:t xml:space="preserve"> </w:t>
      </w:r>
      <w:r w:rsidRPr="00CE2D54">
        <w:rPr>
          <w:rFonts w:ascii="Arial" w:hAnsi="Arial" w:cs="Arial"/>
          <w:sz w:val="20"/>
          <w:szCs w:val="20"/>
        </w:rPr>
        <w:t>five</w:t>
      </w:r>
      <w:r w:rsidRPr="00CE2D54">
        <w:rPr>
          <w:rFonts w:ascii="Arial" w:hAnsi="Arial" w:cs="Arial"/>
          <w:spacing w:val="-3"/>
          <w:sz w:val="20"/>
          <w:szCs w:val="20"/>
        </w:rPr>
        <w:t xml:space="preserve"> </w:t>
      </w:r>
      <w:r w:rsidRPr="00CE2D54">
        <w:rPr>
          <w:rFonts w:ascii="Arial" w:hAnsi="Arial" w:cs="Arial"/>
          <w:sz w:val="20"/>
          <w:szCs w:val="20"/>
        </w:rPr>
        <w:t>years.</w:t>
      </w:r>
    </w:p>
    <w:p w14:paraId="4414BF2A" w14:textId="77777777" w:rsidR="00CE2D54" w:rsidRPr="00CE2D54" w:rsidRDefault="00CE2D54" w:rsidP="00D91E6C">
      <w:pPr>
        <w:pStyle w:val="ListParagraph"/>
        <w:numPr>
          <w:ilvl w:val="0"/>
          <w:numId w:val="283"/>
        </w:numPr>
        <w:tabs>
          <w:tab w:val="left" w:pos="706"/>
          <w:tab w:val="left" w:pos="707"/>
        </w:tabs>
        <w:spacing w:before="121"/>
        <w:jc w:val="both"/>
        <w:rPr>
          <w:rFonts w:ascii="Arial" w:hAnsi="Arial" w:cs="Arial"/>
          <w:sz w:val="20"/>
          <w:szCs w:val="20"/>
        </w:rPr>
      </w:pPr>
      <w:r w:rsidRPr="00CE2D54">
        <w:rPr>
          <w:rFonts w:ascii="Arial" w:hAnsi="Arial" w:cs="Arial"/>
          <w:sz w:val="20"/>
          <w:szCs w:val="20"/>
        </w:rPr>
        <w:t>An</w:t>
      </w:r>
      <w:r w:rsidRPr="00CE2D54">
        <w:rPr>
          <w:rFonts w:ascii="Arial" w:hAnsi="Arial" w:cs="Arial"/>
          <w:spacing w:val="-4"/>
          <w:sz w:val="20"/>
          <w:szCs w:val="20"/>
        </w:rPr>
        <w:t xml:space="preserve"> </w:t>
      </w:r>
      <w:r w:rsidRPr="00CE2D54">
        <w:rPr>
          <w:rFonts w:ascii="Arial" w:hAnsi="Arial" w:cs="Arial"/>
          <w:sz w:val="20"/>
          <w:szCs w:val="20"/>
        </w:rPr>
        <w:t>FE(B)</w:t>
      </w:r>
      <w:r w:rsidRPr="00CE2D54">
        <w:rPr>
          <w:rFonts w:ascii="Arial" w:hAnsi="Arial" w:cs="Arial"/>
          <w:spacing w:val="-2"/>
          <w:sz w:val="20"/>
          <w:szCs w:val="20"/>
        </w:rPr>
        <w:t xml:space="preserve"> </w:t>
      </w:r>
      <w:r w:rsidRPr="00CE2D54">
        <w:rPr>
          <w:rFonts w:ascii="Arial" w:hAnsi="Arial" w:cs="Arial"/>
          <w:sz w:val="20"/>
          <w:szCs w:val="20"/>
        </w:rPr>
        <w:t>certificate</w:t>
      </w:r>
      <w:r w:rsidRPr="00CE2D54">
        <w:rPr>
          <w:rFonts w:ascii="Arial" w:hAnsi="Arial" w:cs="Arial"/>
          <w:spacing w:val="-2"/>
          <w:sz w:val="20"/>
          <w:szCs w:val="20"/>
        </w:rPr>
        <w:t xml:space="preserve"> </w:t>
      </w:r>
      <w:r w:rsidRPr="00CE2D54">
        <w:rPr>
          <w:rFonts w:ascii="Arial" w:hAnsi="Arial" w:cs="Arial"/>
          <w:sz w:val="20"/>
          <w:szCs w:val="20"/>
        </w:rPr>
        <w:t>shall</w:t>
      </w:r>
      <w:r w:rsidRPr="00CE2D54">
        <w:rPr>
          <w:rFonts w:ascii="Arial" w:hAnsi="Arial" w:cs="Arial"/>
          <w:spacing w:val="-2"/>
          <w:sz w:val="20"/>
          <w:szCs w:val="20"/>
        </w:rPr>
        <w:t xml:space="preserve"> </w:t>
      </w:r>
      <w:r w:rsidRPr="00CE2D54">
        <w:rPr>
          <w:rFonts w:ascii="Arial" w:hAnsi="Arial" w:cs="Arial"/>
          <w:sz w:val="20"/>
          <w:szCs w:val="20"/>
        </w:rPr>
        <w:t>be</w:t>
      </w:r>
      <w:r w:rsidRPr="00CE2D54">
        <w:rPr>
          <w:rFonts w:ascii="Arial" w:hAnsi="Arial" w:cs="Arial"/>
          <w:spacing w:val="-2"/>
          <w:sz w:val="20"/>
          <w:szCs w:val="20"/>
        </w:rPr>
        <w:t xml:space="preserve"> </w:t>
      </w:r>
      <w:r w:rsidRPr="00CE2D54">
        <w:rPr>
          <w:rFonts w:ascii="Arial" w:hAnsi="Arial" w:cs="Arial"/>
          <w:sz w:val="20"/>
          <w:szCs w:val="20"/>
        </w:rPr>
        <w:t>revalidated</w:t>
      </w:r>
      <w:r w:rsidRPr="00CE2D54">
        <w:rPr>
          <w:rFonts w:ascii="Arial" w:hAnsi="Arial" w:cs="Arial"/>
          <w:spacing w:val="-3"/>
          <w:sz w:val="20"/>
          <w:szCs w:val="20"/>
        </w:rPr>
        <w:t xml:space="preserve"> </w:t>
      </w:r>
      <w:r w:rsidRPr="00CE2D54">
        <w:rPr>
          <w:rFonts w:ascii="Arial" w:hAnsi="Arial" w:cs="Arial"/>
          <w:sz w:val="20"/>
          <w:szCs w:val="20"/>
        </w:rPr>
        <w:t>if</w:t>
      </w:r>
      <w:r w:rsidRPr="00CE2D54">
        <w:rPr>
          <w:rFonts w:ascii="Arial" w:hAnsi="Arial" w:cs="Arial"/>
          <w:spacing w:val="-2"/>
          <w:sz w:val="20"/>
          <w:szCs w:val="20"/>
        </w:rPr>
        <w:t xml:space="preserve"> </w:t>
      </w:r>
      <w:r w:rsidRPr="00CE2D54">
        <w:rPr>
          <w:rFonts w:ascii="Arial" w:hAnsi="Arial" w:cs="Arial"/>
          <w:sz w:val="20"/>
          <w:szCs w:val="20"/>
        </w:rPr>
        <w:t>its</w:t>
      </w:r>
      <w:r w:rsidRPr="00CE2D54">
        <w:rPr>
          <w:rFonts w:ascii="Arial" w:hAnsi="Arial" w:cs="Arial"/>
          <w:spacing w:val="-1"/>
          <w:sz w:val="20"/>
          <w:szCs w:val="20"/>
        </w:rPr>
        <w:t xml:space="preserve"> </w:t>
      </w:r>
      <w:r w:rsidRPr="00CE2D54">
        <w:rPr>
          <w:rFonts w:ascii="Arial" w:hAnsi="Arial" w:cs="Arial"/>
          <w:sz w:val="20"/>
          <w:szCs w:val="20"/>
        </w:rPr>
        <w:t>holder</w:t>
      </w:r>
      <w:r w:rsidRPr="00CE2D54">
        <w:rPr>
          <w:rFonts w:ascii="Arial" w:hAnsi="Arial" w:cs="Arial"/>
          <w:spacing w:val="-1"/>
          <w:sz w:val="20"/>
          <w:szCs w:val="20"/>
        </w:rPr>
        <w:t xml:space="preserve"> </w:t>
      </w:r>
      <w:r w:rsidRPr="00CE2D54">
        <w:rPr>
          <w:rFonts w:ascii="Arial" w:hAnsi="Arial" w:cs="Arial"/>
          <w:sz w:val="20"/>
          <w:szCs w:val="20"/>
        </w:rPr>
        <w:t>has:</w:t>
      </w:r>
    </w:p>
    <w:p w14:paraId="6AF68180" w14:textId="0CAE9F94" w:rsidR="00CE2D54" w:rsidRPr="00CE2D54" w:rsidRDefault="00CE2D54" w:rsidP="00D91E6C">
      <w:pPr>
        <w:pStyle w:val="ListParagraph"/>
        <w:numPr>
          <w:ilvl w:val="1"/>
          <w:numId w:val="283"/>
        </w:numPr>
        <w:tabs>
          <w:tab w:val="left" w:pos="1274"/>
        </w:tabs>
        <w:jc w:val="both"/>
        <w:rPr>
          <w:rFonts w:ascii="Arial" w:hAnsi="Arial" w:cs="Arial"/>
          <w:sz w:val="20"/>
          <w:szCs w:val="20"/>
        </w:rPr>
      </w:pPr>
      <w:r w:rsidRPr="00CE2D54">
        <w:rPr>
          <w:rFonts w:ascii="Arial" w:hAnsi="Arial" w:cs="Arial"/>
          <w:sz w:val="20"/>
          <w:szCs w:val="20"/>
        </w:rPr>
        <w:t>during the validity period of the FE(B) certificate, completed an examiner refresher</w:t>
      </w:r>
      <w:r w:rsidRPr="00CE2D54">
        <w:rPr>
          <w:rFonts w:ascii="Arial" w:hAnsi="Arial" w:cs="Arial"/>
          <w:spacing w:val="1"/>
          <w:sz w:val="20"/>
          <w:szCs w:val="20"/>
        </w:rPr>
        <w:t xml:space="preserve"> </w:t>
      </w:r>
      <w:r w:rsidRPr="00CE2D54">
        <w:rPr>
          <w:rFonts w:ascii="Arial" w:hAnsi="Arial" w:cs="Arial"/>
          <w:sz w:val="20"/>
          <w:szCs w:val="20"/>
        </w:rPr>
        <w:t xml:space="preserve">course which is provided either by the </w:t>
      </w:r>
      <w:r w:rsidR="00653959">
        <w:rPr>
          <w:rFonts w:ascii="Arial" w:hAnsi="Arial" w:cs="Arial"/>
          <w:sz w:val="20"/>
          <w:szCs w:val="20"/>
        </w:rPr>
        <w:t>CAC RA</w:t>
      </w:r>
      <w:r w:rsidR="00653959" w:rsidRPr="004A51D5">
        <w:rPr>
          <w:rFonts w:ascii="Arial" w:hAnsi="Arial" w:cs="Arial"/>
          <w:spacing w:val="1"/>
          <w:sz w:val="20"/>
          <w:szCs w:val="20"/>
        </w:rPr>
        <w:t xml:space="preserve"> </w:t>
      </w:r>
      <w:r w:rsidRPr="00CE2D54">
        <w:rPr>
          <w:rFonts w:ascii="Arial" w:hAnsi="Arial" w:cs="Arial"/>
          <w:sz w:val="20"/>
          <w:szCs w:val="20"/>
        </w:rPr>
        <w:t>or by an ATO or a DTO and</w:t>
      </w:r>
      <w:r w:rsidRPr="00CE2D54">
        <w:rPr>
          <w:rFonts w:ascii="Arial" w:hAnsi="Arial" w:cs="Arial"/>
          <w:spacing w:val="1"/>
          <w:sz w:val="20"/>
          <w:szCs w:val="20"/>
        </w:rPr>
        <w:t xml:space="preserve"> </w:t>
      </w:r>
      <w:r w:rsidRPr="00CE2D54">
        <w:rPr>
          <w:rFonts w:ascii="Arial" w:hAnsi="Arial" w:cs="Arial"/>
          <w:sz w:val="20"/>
          <w:szCs w:val="20"/>
        </w:rPr>
        <w:t xml:space="preserve">approved by that </w:t>
      </w:r>
      <w:r w:rsidR="00653959">
        <w:rPr>
          <w:rFonts w:ascii="Arial" w:hAnsi="Arial" w:cs="Arial"/>
          <w:sz w:val="20"/>
          <w:szCs w:val="20"/>
        </w:rPr>
        <w:t>CAC RA</w:t>
      </w:r>
      <w:r w:rsidRPr="00CE2D54">
        <w:rPr>
          <w:rFonts w:ascii="Arial" w:hAnsi="Arial" w:cs="Arial"/>
          <w:sz w:val="20"/>
          <w:szCs w:val="20"/>
        </w:rPr>
        <w:t>, during which the holder shall receive theoretical</w:t>
      </w:r>
      <w:r w:rsidRPr="00CE2D54">
        <w:rPr>
          <w:rFonts w:ascii="Arial" w:hAnsi="Arial" w:cs="Arial"/>
          <w:spacing w:val="-47"/>
          <w:sz w:val="20"/>
          <w:szCs w:val="20"/>
        </w:rPr>
        <w:t xml:space="preserve"> </w:t>
      </w:r>
      <w:r w:rsidRPr="00CE2D54">
        <w:rPr>
          <w:rFonts w:ascii="Arial" w:hAnsi="Arial" w:cs="Arial"/>
          <w:sz w:val="20"/>
          <w:szCs w:val="20"/>
        </w:rPr>
        <w:t>knowledge instruction for refreshing and updating the knowledge relevant for balloon</w:t>
      </w:r>
      <w:r w:rsidRPr="00CE2D54">
        <w:rPr>
          <w:rFonts w:ascii="Arial" w:hAnsi="Arial" w:cs="Arial"/>
          <w:spacing w:val="1"/>
          <w:sz w:val="20"/>
          <w:szCs w:val="20"/>
        </w:rPr>
        <w:t xml:space="preserve"> </w:t>
      </w:r>
      <w:r w:rsidRPr="00CE2D54">
        <w:rPr>
          <w:rFonts w:ascii="Arial" w:hAnsi="Arial" w:cs="Arial"/>
          <w:sz w:val="20"/>
          <w:szCs w:val="20"/>
        </w:rPr>
        <w:t>examiners;</w:t>
      </w:r>
      <w:r w:rsidRPr="00CE2D54">
        <w:rPr>
          <w:rFonts w:ascii="Arial" w:hAnsi="Arial" w:cs="Arial"/>
          <w:spacing w:val="-2"/>
          <w:sz w:val="20"/>
          <w:szCs w:val="20"/>
        </w:rPr>
        <w:t xml:space="preserve"> </w:t>
      </w:r>
      <w:r w:rsidRPr="00CE2D54">
        <w:rPr>
          <w:rFonts w:ascii="Arial" w:hAnsi="Arial" w:cs="Arial"/>
          <w:sz w:val="20"/>
          <w:szCs w:val="20"/>
        </w:rPr>
        <w:t>and</w:t>
      </w:r>
    </w:p>
    <w:p w14:paraId="0DD30423" w14:textId="0EA0E9DF" w:rsidR="00CE2D54" w:rsidRPr="00CE2D54" w:rsidRDefault="00CE2D54" w:rsidP="00D91E6C">
      <w:pPr>
        <w:pStyle w:val="ListParagraph"/>
        <w:numPr>
          <w:ilvl w:val="1"/>
          <w:numId w:val="283"/>
        </w:numPr>
        <w:tabs>
          <w:tab w:val="left" w:pos="1274"/>
        </w:tabs>
        <w:spacing w:before="119"/>
        <w:jc w:val="both"/>
        <w:rPr>
          <w:rFonts w:ascii="Arial" w:hAnsi="Arial" w:cs="Arial"/>
          <w:sz w:val="20"/>
          <w:szCs w:val="20"/>
        </w:rPr>
      </w:pPr>
      <w:r w:rsidRPr="00CE2D54">
        <w:rPr>
          <w:rFonts w:ascii="Arial" w:hAnsi="Arial" w:cs="Arial"/>
          <w:sz w:val="20"/>
          <w:szCs w:val="20"/>
        </w:rPr>
        <w:t>within the last 24 months preceding the end of the validity period of the certificate,</w:t>
      </w:r>
      <w:r w:rsidRPr="00CE2D54">
        <w:rPr>
          <w:rFonts w:ascii="Arial" w:hAnsi="Arial" w:cs="Arial"/>
          <w:spacing w:val="1"/>
          <w:sz w:val="20"/>
          <w:szCs w:val="20"/>
        </w:rPr>
        <w:t xml:space="preserve"> </w:t>
      </w:r>
      <w:r w:rsidRPr="00CE2D54">
        <w:rPr>
          <w:rFonts w:ascii="Arial" w:hAnsi="Arial" w:cs="Arial"/>
          <w:sz w:val="20"/>
          <w:szCs w:val="20"/>
        </w:rPr>
        <w:t>conducted one skill test, proficiency check or assessment of competence under the</w:t>
      </w:r>
      <w:r w:rsidRPr="00CE2D54">
        <w:rPr>
          <w:rFonts w:ascii="Arial" w:hAnsi="Arial" w:cs="Arial"/>
          <w:spacing w:val="1"/>
          <w:sz w:val="20"/>
          <w:szCs w:val="20"/>
        </w:rPr>
        <w:t xml:space="preserve"> </w:t>
      </w:r>
      <w:r w:rsidRPr="00CE2D54">
        <w:rPr>
          <w:rFonts w:ascii="Arial" w:hAnsi="Arial" w:cs="Arial"/>
          <w:sz w:val="20"/>
          <w:szCs w:val="20"/>
        </w:rPr>
        <w:t xml:space="preserve">supervision and to the satisfaction of an inspector from the </w:t>
      </w:r>
      <w:r w:rsidR="00653959">
        <w:rPr>
          <w:rFonts w:ascii="Arial" w:hAnsi="Arial" w:cs="Arial"/>
          <w:sz w:val="20"/>
          <w:szCs w:val="20"/>
        </w:rPr>
        <w:t>CAC RA</w:t>
      </w:r>
      <w:r w:rsidRPr="00CE2D54">
        <w:rPr>
          <w:rFonts w:ascii="Arial" w:hAnsi="Arial" w:cs="Arial"/>
          <w:sz w:val="20"/>
          <w:szCs w:val="20"/>
        </w:rPr>
        <w:t>.</w:t>
      </w:r>
    </w:p>
    <w:p w14:paraId="73527745" w14:textId="35924758" w:rsidR="00CE2D54" w:rsidRPr="00CE2D54" w:rsidRDefault="00CE2D54" w:rsidP="00D91E6C">
      <w:pPr>
        <w:pStyle w:val="ListParagraph"/>
        <w:numPr>
          <w:ilvl w:val="0"/>
          <w:numId w:val="283"/>
        </w:numPr>
        <w:tabs>
          <w:tab w:val="left" w:pos="707"/>
        </w:tabs>
        <w:spacing w:before="56"/>
        <w:jc w:val="both"/>
        <w:rPr>
          <w:rFonts w:ascii="Arial" w:hAnsi="Arial" w:cs="Arial"/>
          <w:sz w:val="20"/>
          <w:szCs w:val="20"/>
        </w:rPr>
      </w:pPr>
      <w:r w:rsidRPr="00CE2D54">
        <w:rPr>
          <w:rFonts w:ascii="Arial" w:hAnsi="Arial" w:cs="Arial"/>
          <w:sz w:val="20"/>
          <w:szCs w:val="20"/>
        </w:rPr>
        <w:t>An FE(B) certificate holder who also holds one or more examiner certificates for other aircraft</w:t>
      </w:r>
      <w:r w:rsidRPr="00CE2D54">
        <w:rPr>
          <w:rFonts w:ascii="Arial" w:hAnsi="Arial" w:cs="Arial"/>
          <w:spacing w:val="1"/>
          <w:sz w:val="20"/>
          <w:szCs w:val="20"/>
        </w:rPr>
        <w:t xml:space="preserve"> </w:t>
      </w:r>
      <w:r w:rsidRPr="00CE2D54">
        <w:rPr>
          <w:rFonts w:ascii="Arial" w:hAnsi="Arial" w:cs="Arial"/>
          <w:sz w:val="20"/>
          <w:szCs w:val="20"/>
        </w:rPr>
        <w:t xml:space="preserve">categories in accordance with Annex I (Part-FCL) to </w:t>
      </w:r>
      <w:hyperlink r:id="rId90" w:history="1">
        <w:r w:rsidR="00033430">
          <w:rPr>
            <w:rStyle w:val="Hyperlink"/>
            <w:rFonts w:ascii="Arial" w:hAnsi="Arial" w:cs="Arial"/>
            <w:sz w:val="20"/>
            <w:szCs w:val="20"/>
          </w:rPr>
          <w:t>the order N 3-N of the Minister of Territorial Administration and Infrastructure of RA, dated 11.02.2022</w:t>
        </w:r>
      </w:hyperlink>
      <w:r w:rsidR="00033430" w:rsidRPr="00033430">
        <w:rPr>
          <w:rFonts w:ascii="Arial" w:hAnsi="Arial" w:cs="Arial"/>
          <w:sz w:val="20"/>
          <w:szCs w:val="20"/>
        </w:rPr>
        <w:t xml:space="preserve"> </w:t>
      </w:r>
      <w:r w:rsidRPr="00CE2D54">
        <w:rPr>
          <w:rFonts w:ascii="Arial" w:hAnsi="Arial" w:cs="Arial"/>
          <w:sz w:val="20"/>
          <w:szCs w:val="20"/>
        </w:rPr>
        <w:t>may</w:t>
      </w:r>
      <w:r w:rsidRPr="00CE2D54">
        <w:rPr>
          <w:rFonts w:ascii="Arial" w:hAnsi="Arial" w:cs="Arial"/>
          <w:spacing w:val="1"/>
          <w:sz w:val="20"/>
          <w:szCs w:val="20"/>
        </w:rPr>
        <w:t xml:space="preserve"> </w:t>
      </w:r>
      <w:r w:rsidRPr="00CE2D54">
        <w:rPr>
          <w:rFonts w:ascii="Arial" w:hAnsi="Arial" w:cs="Arial"/>
          <w:sz w:val="20"/>
          <w:szCs w:val="20"/>
        </w:rPr>
        <w:t>achieve</w:t>
      </w:r>
      <w:r w:rsidRPr="00CE2D54">
        <w:rPr>
          <w:rFonts w:ascii="Arial" w:hAnsi="Arial" w:cs="Arial"/>
          <w:spacing w:val="1"/>
          <w:sz w:val="20"/>
          <w:szCs w:val="20"/>
        </w:rPr>
        <w:t xml:space="preserve"> </w:t>
      </w:r>
      <w:r w:rsidRPr="00CE2D54">
        <w:rPr>
          <w:rFonts w:ascii="Arial" w:hAnsi="Arial" w:cs="Arial"/>
          <w:sz w:val="20"/>
          <w:szCs w:val="20"/>
        </w:rPr>
        <w:t>combined</w:t>
      </w:r>
      <w:r w:rsidRPr="00CE2D54">
        <w:rPr>
          <w:rFonts w:ascii="Arial" w:hAnsi="Arial" w:cs="Arial"/>
          <w:spacing w:val="1"/>
          <w:sz w:val="20"/>
          <w:szCs w:val="20"/>
        </w:rPr>
        <w:t xml:space="preserve"> </w:t>
      </w:r>
      <w:r w:rsidRPr="00CE2D54">
        <w:rPr>
          <w:rFonts w:ascii="Arial" w:hAnsi="Arial" w:cs="Arial"/>
          <w:sz w:val="20"/>
          <w:szCs w:val="20"/>
        </w:rPr>
        <w:t>revalidation</w:t>
      </w:r>
      <w:r w:rsidRPr="00CE2D54">
        <w:rPr>
          <w:rFonts w:ascii="Arial" w:hAnsi="Arial" w:cs="Arial"/>
          <w:spacing w:val="-4"/>
          <w:sz w:val="20"/>
          <w:szCs w:val="20"/>
        </w:rPr>
        <w:t xml:space="preserve"> </w:t>
      </w:r>
      <w:r w:rsidRPr="00CE2D54">
        <w:rPr>
          <w:rFonts w:ascii="Arial" w:hAnsi="Arial" w:cs="Arial"/>
          <w:sz w:val="20"/>
          <w:szCs w:val="20"/>
        </w:rPr>
        <w:t>of all</w:t>
      </w:r>
      <w:r w:rsidRPr="00CE2D54">
        <w:rPr>
          <w:rFonts w:ascii="Arial" w:hAnsi="Arial" w:cs="Arial"/>
          <w:spacing w:val="-3"/>
          <w:sz w:val="20"/>
          <w:szCs w:val="20"/>
        </w:rPr>
        <w:t xml:space="preserve"> </w:t>
      </w:r>
      <w:r w:rsidRPr="00CE2D54">
        <w:rPr>
          <w:rFonts w:ascii="Arial" w:hAnsi="Arial" w:cs="Arial"/>
          <w:sz w:val="20"/>
          <w:szCs w:val="20"/>
        </w:rPr>
        <w:t>examiner</w:t>
      </w:r>
      <w:r w:rsidRPr="00CE2D54">
        <w:rPr>
          <w:rFonts w:ascii="Arial" w:hAnsi="Arial" w:cs="Arial"/>
          <w:spacing w:val="-2"/>
          <w:sz w:val="20"/>
          <w:szCs w:val="20"/>
        </w:rPr>
        <w:t xml:space="preserve"> </w:t>
      </w:r>
      <w:r w:rsidRPr="00CE2D54">
        <w:rPr>
          <w:rFonts w:ascii="Arial" w:hAnsi="Arial" w:cs="Arial"/>
          <w:sz w:val="20"/>
          <w:szCs w:val="20"/>
        </w:rPr>
        <w:t>certificates</w:t>
      </w:r>
      <w:r w:rsidRPr="00CE2D54">
        <w:rPr>
          <w:rFonts w:ascii="Arial" w:hAnsi="Arial" w:cs="Arial"/>
          <w:spacing w:val="-3"/>
          <w:sz w:val="20"/>
          <w:szCs w:val="20"/>
        </w:rPr>
        <w:t xml:space="preserve"> </w:t>
      </w:r>
      <w:r w:rsidRPr="00CE2D54">
        <w:rPr>
          <w:rFonts w:ascii="Arial" w:hAnsi="Arial" w:cs="Arial"/>
          <w:sz w:val="20"/>
          <w:szCs w:val="20"/>
        </w:rPr>
        <w:t>held, in agreement</w:t>
      </w:r>
      <w:r w:rsidRPr="00CE2D54">
        <w:rPr>
          <w:rFonts w:ascii="Arial" w:hAnsi="Arial" w:cs="Arial"/>
          <w:spacing w:val="-3"/>
          <w:sz w:val="20"/>
          <w:szCs w:val="20"/>
        </w:rPr>
        <w:t xml:space="preserve"> </w:t>
      </w:r>
      <w:r w:rsidRPr="00CE2D54">
        <w:rPr>
          <w:rFonts w:ascii="Arial" w:hAnsi="Arial" w:cs="Arial"/>
          <w:sz w:val="20"/>
          <w:szCs w:val="20"/>
        </w:rPr>
        <w:t>with</w:t>
      </w:r>
      <w:r w:rsidRPr="00CE2D54">
        <w:rPr>
          <w:rFonts w:ascii="Arial" w:hAnsi="Arial" w:cs="Arial"/>
          <w:spacing w:val="-3"/>
          <w:sz w:val="20"/>
          <w:szCs w:val="20"/>
        </w:rPr>
        <w:t xml:space="preserve"> </w:t>
      </w:r>
      <w:r w:rsidRPr="00CE2D54">
        <w:rPr>
          <w:rFonts w:ascii="Arial" w:hAnsi="Arial" w:cs="Arial"/>
          <w:sz w:val="20"/>
          <w:szCs w:val="20"/>
        </w:rPr>
        <w:t xml:space="preserve">the </w:t>
      </w:r>
      <w:r w:rsidR="003C6906">
        <w:rPr>
          <w:rFonts w:ascii="Arial" w:hAnsi="Arial" w:cs="Arial"/>
          <w:sz w:val="20"/>
          <w:szCs w:val="20"/>
        </w:rPr>
        <w:t>CAC RA</w:t>
      </w:r>
      <w:r w:rsidRPr="00CE2D54">
        <w:rPr>
          <w:rFonts w:ascii="Arial" w:hAnsi="Arial" w:cs="Arial"/>
          <w:sz w:val="20"/>
          <w:szCs w:val="20"/>
        </w:rPr>
        <w:t>.</w:t>
      </w:r>
    </w:p>
    <w:p w14:paraId="3DB699FD" w14:textId="7865DEBA" w:rsidR="00CE2D54" w:rsidRPr="00CE2D54" w:rsidRDefault="00CE2D54" w:rsidP="00D91E6C">
      <w:pPr>
        <w:pStyle w:val="ListParagraph"/>
        <w:numPr>
          <w:ilvl w:val="0"/>
          <w:numId w:val="283"/>
        </w:numPr>
        <w:tabs>
          <w:tab w:val="left" w:pos="707"/>
        </w:tabs>
        <w:spacing w:before="121"/>
        <w:jc w:val="both"/>
        <w:rPr>
          <w:rFonts w:ascii="Arial" w:hAnsi="Arial" w:cs="Arial"/>
          <w:sz w:val="20"/>
          <w:szCs w:val="20"/>
        </w:rPr>
      </w:pPr>
      <w:r w:rsidRPr="00CE2D54">
        <w:rPr>
          <w:rFonts w:ascii="Arial" w:hAnsi="Arial" w:cs="Arial"/>
          <w:sz w:val="20"/>
          <w:szCs w:val="20"/>
        </w:rPr>
        <w:t>If an FE(B) certificate has expired, its holder shall comply with the requirements of paragraph</w:t>
      </w:r>
      <w:r w:rsidRPr="00D91E6C">
        <w:rPr>
          <w:rFonts w:ascii="Arial" w:hAnsi="Arial" w:cs="Arial"/>
          <w:sz w:val="20"/>
          <w:szCs w:val="20"/>
        </w:rPr>
        <w:t xml:space="preserve"> </w:t>
      </w:r>
      <w:r w:rsidRPr="00CE2D54">
        <w:rPr>
          <w:rFonts w:ascii="Arial" w:hAnsi="Arial" w:cs="Arial"/>
          <w:sz w:val="20"/>
          <w:szCs w:val="20"/>
        </w:rPr>
        <w:t>(b)(1) and of point</w:t>
      </w:r>
      <w:r w:rsidRPr="00D91E6C">
        <w:rPr>
          <w:rFonts w:ascii="Arial" w:hAnsi="Arial" w:cs="Arial"/>
          <w:sz w:val="20"/>
          <w:szCs w:val="20"/>
        </w:rPr>
        <w:t xml:space="preserve"> BFCL.445 </w:t>
      </w:r>
      <w:r w:rsidRPr="00CE2D54">
        <w:rPr>
          <w:rFonts w:ascii="Arial" w:hAnsi="Arial" w:cs="Arial"/>
          <w:sz w:val="20"/>
          <w:szCs w:val="20"/>
        </w:rPr>
        <w:t>before he or she can resume the exercise of the privileges of the</w:t>
      </w:r>
      <w:r w:rsidRPr="00D91E6C">
        <w:rPr>
          <w:rFonts w:ascii="Arial" w:hAnsi="Arial" w:cs="Arial"/>
          <w:sz w:val="20"/>
          <w:szCs w:val="20"/>
        </w:rPr>
        <w:t xml:space="preserve"> </w:t>
      </w:r>
      <w:r w:rsidRPr="00CE2D54">
        <w:rPr>
          <w:rFonts w:ascii="Arial" w:hAnsi="Arial" w:cs="Arial"/>
          <w:sz w:val="20"/>
          <w:szCs w:val="20"/>
        </w:rPr>
        <w:t>FE(B)</w:t>
      </w:r>
      <w:r w:rsidRPr="00D91E6C">
        <w:rPr>
          <w:rFonts w:ascii="Arial" w:hAnsi="Arial" w:cs="Arial"/>
          <w:sz w:val="20"/>
          <w:szCs w:val="20"/>
        </w:rPr>
        <w:t xml:space="preserve"> </w:t>
      </w:r>
      <w:r w:rsidRPr="00CE2D54">
        <w:rPr>
          <w:rFonts w:ascii="Arial" w:hAnsi="Arial" w:cs="Arial"/>
          <w:sz w:val="20"/>
          <w:szCs w:val="20"/>
        </w:rPr>
        <w:t>certificate.</w:t>
      </w:r>
    </w:p>
    <w:p w14:paraId="213E4592" w14:textId="69CDC55D" w:rsidR="00CE2D54" w:rsidRPr="00CE2D54" w:rsidRDefault="00CE2D54" w:rsidP="00D91E6C">
      <w:pPr>
        <w:pStyle w:val="ListParagraph"/>
        <w:numPr>
          <w:ilvl w:val="0"/>
          <w:numId w:val="283"/>
        </w:numPr>
        <w:tabs>
          <w:tab w:val="left" w:pos="707"/>
        </w:tabs>
        <w:spacing w:before="121"/>
        <w:jc w:val="both"/>
        <w:rPr>
          <w:rFonts w:ascii="Arial" w:hAnsi="Arial" w:cs="Arial"/>
          <w:sz w:val="20"/>
          <w:szCs w:val="20"/>
        </w:rPr>
      </w:pPr>
      <w:r w:rsidRPr="00CE2D54">
        <w:rPr>
          <w:rFonts w:ascii="Arial" w:hAnsi="Arial" w:cs="Arial"/>
          <w:sz w:val="20"/>
          <w:szCs w:val="20"/>
        </w:rPr>
        <w:t>An</w:t>
      </w:r>
      <w:r w:rsidRPr="00D91E6C">
        <w:rPr>
          <w:rFonts w:ascii="Arial" w:hAnsi="Arial" w:cs="Arial"/>
          <w:sz w:val="20"/>
          <w:szCs w:val="20"/>
        </w:rPr>
        <w:t xml:space="preserve"> </w:t>
      </w:r>
      <w:r w:rsidRPr="00CE2D54">
        <w:rPr>
          <w:rFonts w:ascii="Arial" w:hAnsi="Arial" w:cs="Arial"/>
          <w:sz w:val="20"/>
          <w:szCs w:val="20"/>
        </w:rPr>
        <w:t>FE(B)</w:t>
      </w:r>
      <w:r w:rsidRPr="00D91E6C">
        <w:rPr>
          <w:rFonts w:ascii="Arial" w:hAnsi="Arial" w:cs="Arial"/>
          <w:sz w:val="20"/>
          <w:szCs w:val="20"/>
        </w:rPr>
        <w:t xml:space="preserve"> </w:t>
      </w:r>
      <w:r w:rsidRPr="00CE2D54">
        <w:rPr>
          <w:rFonts w:ascii="Arial" w:hAnsi="Arial" w:cs="Arial"/>
          <w:sz w:val="20"/>
          <w:szCs w:val="20"/>
        </w:rPr>
        <w:t>certificate</w:t>
      </w:r>
      <w:r w:rsidRPr="00D91E6C">
        <w:rPr>
          <w:rFonts w:ascii="Arial" w:hAnsi="Arial" w:cs="Arial"/>
          <w:sz w:val="20"/>
          <w:szCs w:val="20"/>
        </w:rPr>
        <w:t xml:space="preserve"> </w:t>
      </w:r>
      <w:r w:rsidRPr="00CE2D54">
        <w:rPr>
          <w:rFonts w:ascii="Arial" w:hAnsi="Arial" w:cs="Arial"/>
          <w:sz w:val="20"/>
          <w:szCs w:val="20"/>
        </w:rPr>
        <w:t>shall</w:t>
      </w:r>
      <w:r w:rsidRPr="00D91E6C">
        <w:rPr>
          <w:rFonts w:ascii="Arial" w:hAnsi="Arial" w:cs="Arial"/>
          <w:sz w:val="20"/>
          <w:szCs w:val="20"/>
        </w:rPr>
        <w:t xml:space="preserve"> </w:t>
      </w:r>
      <w:r w:rsidRPr="00CE2D54">
        <w:rPr>
          <w:rFonts w:ascii="Arial" w:hAnsi="Arial" w:cs="Arial"/>
          <w:sz w:val="20"/>
          <w:szCs w:val="20"/>
        </w:rPr>
        <w:t>only</w:t>
      </w:r>
      <w:r w:rsidRPr="00D91E6C">
        <w:rPr>
          <w:rFonts w:ascii="Arial" w:hAnsi="Arial" w:cs="Arial"/>
          <w:sz w:val="20"/>
          <w:szCs w:val="20"/>
        </w:rPr>
        <w:t xml:space="preserve"> </w:t>
      </w:r>
      <w:r w:rsidRPr="00CE2D54">
        <w:rPr>
          <w:rFonts w:ascii="Arial" w:hAnsi="Arial" w:cs="Arial"/>
          <w:sz w:val="20"/>
          <w:szCs w:val="20"/>
        </w:rPr>
        <w:t>be</w:t>
      </w:r>
      <w:r w:rsidRPr="00D91E6C">
        <w:rPr>
          <w:rFonts w:ascii="Arial" w:hAnsi="Arial" w:cs="Arial"/>
          <w:sz w:val="20"/>
          <w:szCs w:val="20"/>
        </w:rPr>
        <w:t xml:space="preserve"> </w:t>
      </w:r>
      <w:r w:rsidRPr="00CE2D54">
        <w:rPr>
          <w:rFonts w:ascii="Arial" w:hAnsi="Arial" w:cs="Arial"/>
          <w:sz w:val="20"/>
          <w:szCs w:val="20"/>
        </w:rPr>
        <w:t>revalidated</w:t>
      </w:r>
      <w:r w:rsidRPr="00D91E6C">
        <w:rPr>
          <w:rFonts w:ascii="Arial" w:hAnsi="Arial" w:cs="Arial"/>
          <w:sz w:val="20"/>
          <w:szCs w:val="20"/>
        </w:rPr>
        <w:t xml:space="preserve"> </w:t>
      </w:r>
      <w:r w:rsidRPr="00CE2D54">
        <w:rPr>
          <w:rFonts w:ascii="Arial" w:hAnsi="Arial" w:cs="Arial"/>
          <w:sz w:val="20"/>
          <w:szCs w:val="20"/>
        </w:rPr>
        <w:t>or</w:t>
      </w:r>
      <w:r w:rsidRPr="00D91E6C">
        <w:rPr>
          <w:rFonts w:ascii="Arial" w:hAnsi="Arial" w:cs="Arial"/>
          <w:sz w:val="20"/>
          <w:szCs w:val="20"/>
        </w:rPr>
        <w:t xml:space="preserve"> </w:t>
      </w:r>
      <w:r w:rsidRPr="00CE2D54">
        <w:rPr>
          <w:rFonts w:ascii="Arial" w:hAnsi="Arial" w:cs="Arial"/>
          <w:sz w:val="20"/>
          <w:szCs w:val="20"/>
        </w:rPr>
        <w:t>renewed</w:t>
      </w:r>
      <w:r w:rsidRPr="00D91E6C">
        <w:rPr>
          <w:rFonts w:ascii="Arial" w:hAnsi="Arial" w:cs="Arial"/>
          <w:sz w:val="20"/>
          <w:szCs w:val="20"/>
        </w:rPr>
        <w:t xml:space="preserve"> </w:t>
      </w:r>
      <w:r w:rsidRPr="00CE2D54">
        <w:rPr>
          <w:rFonts w:ascii="Arial" w:hAnsi="Arial" w:cs="Arial"/>
          <w:sz w:val="20"/>
          <w:szCs w:val="20"/>
        </w:rPr>
        <w:t>if</w:t>
      </w:r>
      <w:r w:rsidRPr="00D91E6C">
        <w:rPr>
          <w:rFonts w:ascii="Arial" w:hAnsi="Arial" w:cs="Arial"/>
          <w:sz w:val="20"/>
          <w:szCs w:val="20"/>
        </w:rPr>
        <w:t xml:space="preserve"> </w:t>
      </w:r>
      <w:r w:rsidRPr="00CE2D54">
        <w:rPr>
          <w:rFonts w:ascii="Arial" w:hAnsi="Arial" w:cs="Arial"/>
          <w:sz w:val="20"/>
          <w:szCs w:val="20"/>
        </w:rPr>
        <w:t>the</w:t>
      </w:r>
      <w:r w:rsidRPr="00D91E6C">
        <w:rPr>
          <w:rFonts w:ascii="Arial" w:hAnsi="Arial" w:cs="Arial"/>
          <w:sz w:val="20"/>
          <w:szCs w:val="20"/>
        </w:rPr>
        <w:t xml:space="preserve"> </w:t>
      </w:r>
      <w:r w:rsidRPr="00CE2D54">
        <w:rPr>
          <w:rFonts w:ascii="Arial" w:hAnsi="Arial" w:cs="Arial"/>
          <w:sz w:val="20"/>
          <w:szCs w:val="20"/>
        </w:rPr>
        <w:t>applicant</w:t>
      </w:r>
      <w:r w:rsidRPr="00D91E6C">
        <w:rPr>
          <w:rFonts w:ascii="Arial" w:hAnsi="Arial" w:cs="Arial"/>
          <w:sz w:val="20"/>
          <w:szCs w:val="20"/>
        </w:rPr>
        <w:t xml:space="preserve"> </w:t>
      </w:r>
      <w:r w:rsidRPr="00CE2D54">
        <w:rPr>
          <w:rFonts w:ascii="Arial" w:hAnsi="Arial" w:cs="Arial"/>
          <w:sz w:val="20"/>
          <w:szCs w:val="20"/>
        </w:rPr>
        <w:t>demonstrates</w:t>
      </w:r>
      <w:r w:rsidRPr="00D91E6C">
        <w:rPr>
          <w:rFonts w:ascii="Arial" w:hAnsi="Arial" w:cs="Arial"/>
          <w:sz w:val="20"/>
          <w:szCs w:val="20"/>
        </w:rPr>
        <w:t xml:space="preserve"> </w:t>
      </w:r>
      <w:r w:rsidRPr="00CE2D54">
        <w:rPr>
          <w:rFonts w:ascii="Arial" w:hAnsi="Arial" w:cs="Arial"/>
          <w:sz w:val="20"/>
          <w:szCs w:val="20"/>
        </w:rPr>
        <w:t>continued</w:t>
      </w:r>
      <w:r w:rsidRPr="00D91E6C">
        <w:rPr>
          <w:rFonts w:ascii="Arial" w:hAnsi="Arial" w:cs="Arial"/>
          <w:sz w:val="20"/>
          <w:szCs w:val="20"/>
        </w:rPr>
        <w:t xml:space="preserve"> </w:t>
      </w:r>
      <w:r w:rsidRPr="00CE2D54">
        <w:rPr>
          <w:rFonts w:ascii="Arial" w:hAnsi="Arial" w:cs="Arial"/>
          <w:sz w:val="20"/>
          <w:szCs w:val="20"/>
        </w:rPr>
        <w:t>compliance</w:t>
      </w:r>
      <w:r w:rsidRPr="00D91E6C">
        <w:rPr>
          <w:rFonts w:ascii="Arial" w:hAnsi="Arial" w:cs="Arial"/>
          <w:sz w:val="20"/>
          <w:szCs w:val="20"/>
        </w:rPr>
        <w:t xml:space="preserve"> </w:t>
      </w:r>
      <w:r w:rsidRPr="00CE2D54">
        <w:rPr>
          <w:rFonts w:ascii="Arial" w:hAnsi="Arial" w:cs="Arial"/>
          <w:sz w:val="20"/>
          <w:szCs w:val="20"/>
        </w:rPr>
        <w:t>with</w:t>
      </w:r>
      <w:r w:rsidRPr="00D91E6C">
        <w:rPr>
          <w:rFonts w:ascii="Arial" w:hAnsi="Arial" w:cs="Arial"/>
          <w:sz w:val="20"/>
          <w:szCs w:val="20"/>
        </w:rPr>
        <w:t xml:space="preserve"> </w:t>
      </w:r>
      <w:r w:rsidRPr="00CE2D54">
        <w:rPr>
          <w:rFonts w:ascii="Arial" w:hAnsi="Arial" w:cs="Arial"/>
          <w:sz w:val="20"/>
          <w:szCs w:val="20"/>
        </w:rPr>
        <w:t>the</w:t>
      </w:r>
      <w:r w:rsidRPr="00D91E6C">
        <w:rPr>
          <w:rFonts w:ascii="Arial" w:hAnsi="Arial" w:cs="Arial"/>
          <w:sz w:val="20"/>
          <w:szCs w:val="20"/>
        </w:rPr>
        <w:t xml:space="preserve"> </w:t>
      </w:r>
      <w:r w:rsidRPr="00CE2D54">
        <w:rPr>
          <w:rFonts w:ascii="Arial" w:hAnsi="Arial" w:cs="Arial"/>
          <w:sz w:val="20"/>
          <w:szCs w:val="20"/>
        </w:rPr>
        <w:t>requirements</w:t>
      </w:r>
      <w:r w:rsidRPr="00D91E6C">
        <w:rPr>
          <w:rFonts w:ascii="Arial" w:hAnsi="Arial" w:cs="Arial"/>
          <w:sz w:val="20"/>
          <w:szCs w:val="20"/>
        </w:rPr>
        <w:t xml:space="preserve"> </w:t>
      </w:r>
      <w:r w:rsidRPr="00CE2D54">
        <w:rPr>
          <w:rFonts w:ascii="Arial" w:hAnsi="Arial" w:cs="Arial"/>
          <w:sz w:val="20"/>
          <w:szCs w:val="20"/>
        </w:rPr>
        <w:t>of</w:t>
      </w:r>
      <w:r w:rsidRPr="00D91E6C">
        <w:rPr>
          <w:rFonts w:ascii="Arial" w:hAnsi="Arial" w:cs="Arial"/>
          <w:sz w:val="20"/>
          <w:szCs w:val="20"/>
        </w:rPr>
        <w:t xml:space="preserve"> </w:t>
      </w:r>
      <w:r w:rsidRPr="00CE2D54">
        <w:rPr>
          <w:rFonts w:ascii="Arial" w:hAnsi="Arial" w:cs="Arial"/>
          <w:sz w:val="20"/>
          <w:szCs w:val="20"/>
        </w:rPr>
        <w:t>point</w:t>
      </w:r>
      <w:r w:rsidRPr="00D91E6C">
        <w:rPr>
          <w:rFonts w:ascii="Arial" w:hAnsi="Arial" w:cs="Arial"/>
          <w:sz w:val="20"/>
          <w:szCs w:val="20"/>
        </w:rPr>
        <w:t xml:space="preserve"> </w:t>
      </w:r>
      <w:r w:rsidRPr="00CE2D54">
        <w:rPr>
          <w:rFonts w:ascii="Arial" w:hAnsi="Arial" w:cs="Arial"/>
          <w:sz w:val="20"/>
          <w:szCs w:val="20"/>
        </w:rPr>
        <w:t>BFCL.410</w:t>
      </w:r>
      <w:r w:rsidRPr="00D91E6C">
        <w:rPr>
          <w:rFonts w:ascii="Arial" w:hAnsi="Arial" w:cs="Arial"/>
          <w:sz w:val="20"/>
          <w:szCs w:val="20"/>
        </w:rPr>
        <w:t xml:space="preserve"> </w:t>
      </w:r>
      <w:r w:rsidRPr="00CE2D54">
        <w:rPr>
          <w:rFonts w:ascii="Arial" w:hAnsi="Arial" w:cs="Arial"/>
          <w:sz w:val="20"/>
          <w:szCs w:val="20"/>
        </w:rPr>
        <w:t>as</w:t>
      </w:r>
      <w:r w:rsidRPr="00D91E6C">
        <w:rPr>
          <w:rFonts w:ascii="Arial" w:hAnsi="Arial" w:cs="Arial"/>
          <w:sz w:val="20"/>
          <w:szCs w:val="20"/>
        </w:rPr>
        <w:t xml:space="preserve"> </w:t>
      </w:r>
      <w:r w:rsidRPr="00CE2D54">
        <w:rPr>
          <w:rFonts w:ascii="Arial" w:hAnsi="Arial" w:cs="Arial"/>
          <w:sz w:val="20"/>
          <w:szCs w:val="20"/>
        </w:rPr>
        <w:t>well</w:t>
      </w:r>
      <w:r w:rsidRPr="00D91E6C">
        <w:rPr>
          <w:rFonts w:ascii="Arial" w:hAnsi="Arial" w:cs="Arial"/>
          <w:sz w:val="20"/>
          <w:szCs w:val="20"/>
        </w:rPr>
        <w:t xml:space="preserve"> </w:t>
      </w:r>
      <w:r w:rsidRPr="00CE2D54">
        <w:rPr>
          <w:rFonts w:ascii="Arial" w:hAnsi="Arial" w:cs="Arial"/>
          <w:sz w:val="20"/>
          <w:szCs w:val="20"/>
        </w:rPr>
        <w:t>as</w:t>
      </w:r>
      <w:r w:rsidRPr="00D91E6C">
        <w:rPr>
          <w:rFonts w:ascii="Arial" w:hAnsi="Arial" w:cs="Arial"/>
          <w:sz w:val="20"/>
          <w:szCs w:val="20"/>
        </w:rPr>
        <w:t xml:space="preserve"> </w:t>
      </w:r>
      <w:r w:rsidRPr="00CE2D54">
        <w:rPr>
          <w:rFonts w:ascii="Arial" w:hAnsi="Arial" w:cs="Arial"/>
          <w:sz w:val="20"/>
          <w:szCs w:val="20"/>
        </w:rPr>
        <w:t>with</w:t>
      </w:r>
      <w:r w:rsidRPr="00D91E6C">
        <w:rPr>
          <w:rFonts w:ascii="Arial" w:hAnsi="Arial" w:cs="Arial"/>
          <w:sz w:val="20"/>
          <w:szCs w:val="20"/>
        </w:rPr>
        <w:t xml:space="preserve"> </w:t>
      </w:r>
      <w:r w:rsidRPr="00CE2D54">
        <w:rPr>
          <w:rFonts w:ascii="Arial" w:hAnsi="Arial" w:cs="Arial"/>
          <w:sz w:val="20"/>
          <w:szCs w:val="20"/>
        </w:rPr>
        <w:t>the</w:t>
      </w:r>
      <w:r w:rsidRPr="00D91E6C">
        <w:rPr>
          <w:rFonts w:ascii="Arial" w:hAnsi="Arial" w:cs="Arial"/>
          <w:sz w:val="20"/>
          <w:szCs w:val="20"/>
        </w:rPr>
        <w:t xml:space="preserve"> </w:t>
      </w:r>
      <w:r w:rsidRPr="00CE2D54">
        <w:rPr>
          <w:rFonts w:ascii="Arial" w:hAnsi="Arial" w:cs="Arial"/>
          <w:sz w:val="20"/>
          <w:szCs w:val="20"/>
        </w:rPr>
        <w:t>requirements</w:t>
      </w:r>
      <w:r w:rsidRPr="00D91E6C">
        <w:rPr>
          <w:rFonts w:ascii="Arial" w:hAnsi="Arial" w:cs="Arial"/>
          <w:sz w:val="20"/>
          <w:szCs w:val="20"/>
        </w:rPr>
        <w:t xml:space="preserve"> </w:t>
      </w:r>
      <w:r w:rsidRPr="00CE2D54">
        <w:rPr>
          <w:rFonts w:ascii="Arial" w:hAnsi="Arial" w:cs="Arial"/>
          <w:sz w:val="20"/>
          <w:szCs w:val="20"/>
        </w:rPr>
        <w:t>of point</w:t>
      </w:r>
      <w:r w:rsidRPr="00D91E6C">
        <w:rPr>
          <w:rFonts w:ascii="Arial" w:hAnsi="Arial" w:cs="Arial"/>
          <w:sz w:val="20"/>
          <w:szCs w:val="20"/>
        </w:rPr>
        <w:t xml:space="preserve"> BFCL.420(d) </w:t>
      </w:r>
      <w:r w:rsidRPr="00CE2D54">
        <w:rPr>
          <w:rFonts w:ascii="Arial" w:hAnsi="Arial" w:cs="Arial"/>
          <w:sz w:val="20"/>
          <w:szCs w:val="20"/>
        </w:rPr>
        <w:t>and</w:t>
      </w:r>
      <w:r w:rsidRPr="00D91E6C">
        <w:rPr>
          <w:rFonts w:ascii="Arial" w:hAnsi="Arial" w:cs="Arial"/>
          <w:sz w:val="20"/>
          <w:szCs w:val="20"/>
        </w:rPr>
        <w:t xml:space="preserve"> </w:t>
      </w:r>
      <w:r w:rsidRPr="00CE2D54">
        <w:rPr>
          <w:rFonts w:ascii="Arial" w:hAnsi="Arial" w:cs="Arial"/>
          <w:sz w:val="20"/>
          <w:szCs w:val="20"/>
        </w:rPr>
        <w:t>(e).’</w:t>
      </w:r>
    </w:p>
    <w:p w14:paraId="6CFFB087" w14:textId="77777777" w:rsidR="00CE2D54" w:rsidRPr="00CE2D54" w:rsidRDefault="00CE2D54" w:rsidP="00CE2D54">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786" w:name="AMC1_BFCL.460(b)(1)__FE(B)_certificate_–"/>
      <w:bookmarkStart w:id="787" w:name="_bookmark321"/>
      <w:bookmarkStart w:id="788" w:name="_Toc153137486"/>
      <w:bookmarkEnd w:id="786"/>
      <w:bookmarkEnd w:id="787"/>
      <w:r w:rsidRPr="00CE2D54">
        <w:rPr>
          <w:rFonts w:ascii="Arial" w:eastAsia="Times New Roman" w:hAnsi="Arial" w:cs="Times New Roman"/>
          <w:b/>
          <w:color w:val="FFFFFF"/>
          <w:sz w:val="24"/>
        </w:rPr>
        <w:t>AMC1 BFCL.460(b)(1) FE(B) certificate – Validity, revalidation and renewal</w:t>
      </w:r>
      <w:bookmarkEnd w:id="788"/>
    </w:p>
    <w:p w14:paraId="2824179E" w14:textId="77777777" w:rsidR="00CE2D54" w:rsidRPr="00CE2D54" w:rsidRDefault="00CE2D54" w:rsidP="00CE2D54">
      <w:pPr>
        <w:widowControl/>
        <w:autoSpaceDE/>
        <w:autoSpaceDN/>
        <w:spacing w:before="240" w:after="160" w:line="264" w:lineRule="auto"/>
        <w:jc w:val="both"/>
        <w:rPr>
          <w:rFonts w:ascii="Arial" w:eastAsiaTheme="minorHAnsi" w:hAnsi="Arial" w:cs="Arial"/>
          <w:b/>
          <w:bCs/>
          <w:sz w:val="20"/>
          <w:szCs w:val="20"/>
        </w:rPr>
      </w:pPr>
      <w:r w:rsidRPr="00CE2D54">
        <w:rPr>
          <w:rFonts w:ascii="Arial" w:eastAsiaTheme="minorHAnsi" w:hAnsi="Arial" w:cs="Arial"/>
          <w:b/>
          <w:bCs/>
          <w:sz w:val="20"/>
          <w:szCs w:val="20"/>
        </w:rPr>
        <w:t>EXAMINER REFRESHER COURSE</w:t>
      </w:r>
    </w:p>
    <w:p w14:paraId="0BAAC385" w14:textId="77777777" w:rsidR="00CE2D54" w:rsidRPr="00CE2D54" w:rsidRDefault="00CE2D54" w:rsidP="00CE2D54">
      <w:pPr>
        <w:pStyle w:val="BodyText"/>
        <w:spacing w:before="118"/>
        <w:jc w:val="both"/>
        <w:rPr>
          <w:rFonts w:ascii="Arial" w:hAnsi="Arial" w:cs="Arial"/>
          <w:sz w:val="20"/>
        </w:rPr>
      </w:pPr>
      <w:r w:rsidRPr="00CE2D54">
        <w:rPr>
          <w:rFonts w:ascii="Arial" w:hAnsi="Arial" w:cs="Arial"/>
          <w:sz w:val="20"/>
        </w:rPr>
        <w:t>An FE(B)</w:t>
      </w:r>
      <w:r w:rsidRPr="00CE2D54">
        <w:rPr>
          <w:rFonts w:ascii="Arial" w:hAnsi="Arial" w:cs="Arial"/>
          <w:spacing w:val="2"/>
          <w:sz w:val="20"/>
        </w:rPr>
        <w:t xml:space="preserve"> </w:t>
      </w:r>
      <w:r w:rsidRPr="00CE2D54">
        <w:rPr>
          <w:rFonts w:ascii="Arial" w:hAnsi="Arial" w:cs="Arial"/>
          <w:sz w:val="20"/>
        </w:rPr>
        <w:t>refresher course</w:t>
      </w:r>
      <w:r w:rsidRPr="00CE2D54">
        <w:rPr>
          <w:rFonts w:ascii="Arial" w:hAnsi="Arial" w:cs="Arial"/>
          <w:spacing w:val="3"/>
          <w:sz w:val="20"/>
        </w:rPr>
        <w:t xml:space="preserve"> </w:t>
      </w:r>
      <w:r w:rsidRPr="00CE2D54">
        <w:rPr>
          <w:rFonts w:ascii="Arial" w:hAnsi="Arial" w:cs="Arial"/>
          <w:sz w:val="20"/>
        </w:rPr>
        <w:t>should</w:t>
      </w:r>
      <w:r w:rsidRPr="00CE2D54">
        <w:rPr>
          <w:rFonts w:ascii="Arial" w:hAnsi="Arial" w:cs="Arial"/>
          <w:spacing w:val="1"/>
          <w:sz w:val="20"/>
        </w:rPr>
        <w:t xml:space="preserve"> </w:t>
      </w:r>
      <w:r w:rsidRPr="00CE2D54">
        <w:rPr>
          <w:rFonts w:ascii="Arial" w:hAnsi="Arial" w:cs="Arial"/>
          <w:sz w:val="20"/>
        </w:rPr>
        <w:t>be</w:t>
      </w:r>
      <w:r w:rsidRPr="00CE2D54">
        <w:rPr>
          <w:rFonts w:ascii="Arial" w:hAnsi="Arial" w:cs="Arial"/>
          <w:spacing w:val="2"/>
          <w:sz w:val="20"/>
        </w:rPr>
        <w:t xml:space="preserve"> </w:t>
      </w:r>
      <w:r w:rsidRPr="00CE2D54">
        <w:rPr>
          <w:rFonts w:ascii="Arial" w:hAnsi="Arial" w:cs="Arial"/>
          <w:sz w:val="20"/>
        </w:rPr>
        <w:t>organised</w:t>
      </w:r>
      <w:r w:rsidRPr="00CE2D54">
        <w:rPr>
          <w:rFonts w:ascii="Arial" w:hAnsi="Arial" w:cs="Arial"/>
          <w:spacing w:val="2"/>
          <w:sz w:val="20"/>
        </w:rPr>
        <w:t xml:space="preserve"> </w:t>
      </w:r>
      <w:r w:rsidRPr="00CE2D54">
        <w:rPr>
          <w:rFonts w:ascii="Arial" w:hAnsi="Arial" w:cs="Arial"/>
          <w:sz w:val="20"/>
        </w:rPr>
        <w:t>as</w:t>
      </w:r>
      <w:r w:rsidRPr="00CE2D54">
        <w:rPr>
          <w:rFonts w:ascii="Arial" w:hAnsi="Arial" w:cs="Arial"/>
          <w:spacing w:val="2"/>
          <w:sz w:val="20"/>
        </w:rPr>
        <w:t xml:space="preserve"> </w:t>
      </w:r>
      <w:r w:rsidRPr="00CE2D54">
        <w:rPr>
          <w:rFonts w:ascii="Arial" w:hAnsi="Arial" w:cs="Arial"/>
          <w:sz w:val="20"/>
        </w:rPr>
        <w:t>a</w:t>
      </w:r>
      <w:r w:rsidRPr="00CE2D54">
        <w:rPr>
          <w:rFonts w:ascii="Arial" w:hAnsi="Arial" w:cs="Arial"/>
          <w:spacing w:val="2"/>
          <w:sz w:val="20"/>
        </w:rPr>
        <w:t xml:space="preserve"> </w:t>
      </w:r>
      <w:r w:rsidRPr="00CE2D54">
        <w:rPr>
          <w:rFonts w:ascii="Arial" w:hAnsi="Arial" w:cs="Arial"/>
          <w:sz w:val="20"/>
        </w:rPr>
        <w:t>seminar</w:t>
      </w:r>
      <w:r w:rsidRPr="00CE2D54">
        <w:rPr>
          <w:rFonts w:ascii="Arial" w:hAnsi="Arial" w:cs="Arial"/>
          <w:spacing w:val="2"/>
          <w:sz w:val="20"/>
        </w:rPr>
        <w:t xml:space="preserve"> </w:t>
      </w:r>
      <w:r w:rsidRPr="00CE2D54">
        <w:rPr>
          <w:rFonts w:ascii="Arial" w:hAnsi="Arial" w:cs="Arial"/>
          <w:sz w:val="20"/>
        </w:rPr>
        <w:t>that</w:t>
      </w:r>
      <w:r w:rsidRPr="00CE2D54">
        <w:rPr>
          <w:rFonts w:ascii="Arial" w:hAnsi="Arial" w:cs="Arial"/>
          <w:spacing w:val="1"/>
          <w:sz w:val="20"/>
        </w:rPr>
        <w:t xml:space="preserve"> </w:t>
      </w:r>
      <w:r w:rsidRPr="00CE2D54">
        <w:rPr>
          <w:rFonts w:ascii="Arial" w:hAnsi="Arial" w:cs="Arial"/>
          <w:sz w:val="20"/>
        </w:rPr>
        <w:t>follows</w:t>
      </w:r>
      <w:r w:rsidRPr="00CE2D54">
        <w:rPr>
          <w:rFonts w:ascii="Arial" w:hAnsi="Arial" w:cs="Arial"/>
          <w:spacing w:val="3"/>
          <w:sz w:val="20"/>
        </w:rPr>
        <w:t xml:space="preserve"> </w:t>
      </w:r>
      <w:r w:rsidRPr="00CE2D54">
        <w:rPr>
          <w:rFonts w:ascii="Arial" w:hAnsi="Arial" w:cs="Arial"/>
          <w:sz w:val="20"/>
        </w:rPr>
        <w:t>the</w:t>
      </w:r>
      <w:r w:rsidRPr="00CE2D54">
        <w:rPr>
          <w:rFonts w:ascii="Arial" w:hAnsi="Arial" w:cs="Arial"/>
          <w:spacing w:val="3"/>
          <w:sz w:val="20"/>
        </w:rPr>
        <w:t xml:space="preserve"> </w:t>
      </w:r>
      <w:r w:rsidRPr="00CE2D54">
        <w:rPr>
          <w:rFonts w:ascii="Arial" w:hAnsi="Arial" w:cs="Arial"/>
          <w:sz w:val="20"/>
        </w:rPr>
        <w:t>content</w:t>
      </w:r>
      <w:r w:rsidRPr="00CE2D54">
        <w:rPr>
          <w:rFonts w:ascii="Arial" w:hAnsi="Arial" w:cs="Arial"/>
          <w:spacing w:val="3"/>
          <w:sz w:val="20"/>
        </w:rPr>
        <w:t xml:space="preserve"> </w:t>
      </w:r>
      <w:r w:rsidRPr="00CE2D54">
        <w:rPr>
          <w:rFonts w:ascii="Arial" w:hAnsi="Arial" w:cs="Arial"/>
          <w:sz w:val="20"/>
        </w:rPr>
        <w:t>of</w:t>
      </w:r>
      <w:r w:rsidRPr="00CE2D54">
        <w:rPr>
          <w:rFonts w:ascii="Arial" w:hAnsi="Arial" w:cs="Arial"/>
          <w:spacing w:val="2"/>
          <w:sz w:val="20"/>
        </w:rPr>
        <w:t xml:space="preserve"> </w:t>
      </w:r>
      <w:r w:rsidRPr="00CE2D54">
        <w:rPr>
          <w:rFonts w:ascii="Arial" w:hAnsi="Arial" w:cs="Arial"/>
          <w:sz w:val="20"/>
        </w:rPr>
        <w:t>the</w:t>
      </w:r>
      <w:r w:rsidRPr="00CE2D54">
        <w:rPr>
          <w:rFonts w:ascii="Arial" w:hAnsi="Arial" w:cs="Arial"/>
          <w:spacing w:val="-1"/>
          <w:sz w:val="20"/>
        </w:rPr>
        <w:t xml:space="preserve"> </w:t>
      </w:r>
      <w:r w:rsidRPr="00CE2D54">
        <w:rPr>
          <w:rFonts w:ascii="Arial" w:hAnsi="Arial" w:cs="Arial"/>
          <w:sz w:val="20"/>
        </w:rPr>
        <w:t>examiner</w:t>
      </w:r>
      <w:r w:rsidRPr="00CE2D54">
        <w:rPr>
          <w:rFonts w:ascii="Arial" w:hAnsi="Arial" w:cs="Arial"/>
          <w:spacing w:val="-46"/>
          <w:sz w:val="20"/>
        </w:rPr>
        <w:t xml:space="preserve"> </w:t>
      </w:r>
      <w:r w:rsidRPr="00CE2D54">
        <w:rPr>
          <w:rFonts w:ascii="Arial" w:hAnsi="Arial" w:cs="Arial"/>
          <w:sz w:val="20"/>
        </w:rPr>
        <w:t>standardisation</w:t>
      </w:r>
      <w:r w:rsidRPr="00CE2D54">
        <w:rPr>
          <w:rFonts w:ascii="Arial" w:hAnsi="Arial" w:cs="Arial"/>
          <w:spacing w:val="-4"/>
          <w:sz w:val="20"/>
        </w:rPr>
        <w:t xml:space="preserve"> </w:t>
      </w:r>
      <w:r w:rsidRPr="00CE2D54">
        <w:rPr>
          <w:rFonts w:ascii="Arial" w:hAnsi="Arial" w:cs="Arial"/>
          <w:sz w:val="20"/>
        </w:rPr>
        <w:t>course</w:t>
      </w:r>
      <w:r w:rsidRPr="00CE2D54">
        <w:rPr>
          <w:rFonts w:ascii="Arial" w:hAnsi="Arial" w:cs="Arial"/>
          <w:spacing w:val="1"/>
          <w:sz w:val="20"/>
        </w:rPr>
        <w:t xml:space="preserve"> </w:t>
      </w:r>
      <w:r w:rsidRPr="00CE2D54">
        <w:rPr>
          <w:rFonts w:ascii="Arial" w:hAnsi="Arial" w:cs="Arial"/>
          <w:sz w:val="20"/>
        </w:rPr>
        <w:t>set</w:t>
      </w:r>
      <w:r w:rsidRPr="00CE2D54">
        <w:rPr>
          <w:rFonts w:ascii="Arial" w:hAnsi="Arial" w:cs="Arial"/>
          <w:spacing w:val="-2"/>
          <w:sz w:val="20"/>
        </w:rPr>
        <w:t xml:space="preserve"> </w:t>
      </w:r>
      <w:r w:rsidRPr="00CE2D54">
        <w:rPr>
          <w:rFonts w:ascii="Arial" w:hAnsi="Arial" w:cs="Arial"/>
          <w:sz w:val="20"/>
        </w:rPr>
        <w:t>out in</w:t>
      </w:r>
      <w:r w:rsidRPr="00CE2D54">
        <w:rPr>
          <w:rFonts w:ascii="Arial" w:hAnsi="Arial" w:cs="Arial"/>
          <w:spacing w:val="-1"/>
          <w:sz w:val="20"/>
        </w:rPr>
        <w:t xml:space="preserve"> </w:t>
      </w:r>
      <w:r w:rsidRPr="00CE2D54">
        <w:rPr>
          <w:rFonts w:ascii="Arial" w:hAnsi="Arial" w:cs="Arial"/>
          <w:sz w:val="20"/>
        </w:rPr>
        <w:t>AMC1</w:t>
      </w:r>
      <w:r w:rsidRPr="00CE2D54">
        <w:rPr>
          <w:rFonts w:ascii="Arial" w:hAnsi="Arial" w:cs="Arial"/>
          <w:spacing w:val="-2"/>
          <w:sz w:val="20"/>
        </w:rPr>
        <w:t xml:space="preserve"> </w:t>
      </w:r>
      <w:r w:rsidRPr="00CE2D54">
        <w:rPr>
          <w:rFonts w:ascii="Arial" w:hAnsi="Arial" w:cs="Arial"/>
          <w:sz w:val="20"/>
        </w:rPr>
        <w:t>BFCL.430.</w:t>
      </w:r>
    </w:p>
    <w:p w14:paraId="311B84DB" w14:textId="77777777" w:rsidR="00C1427A" w:rsidRDefault="00C1427A" w:rsidP="00F261A3">
      <w:pPr>
        <w:jc w:val="both"/>
        <w:rPr>
          <w:rFonts w:ascii="Arial" w:eastAsia="Times New Roman" w:hAnsi="Arial" w:cs="Times New Roman"/>
        </w:rPr>
      </w:pPr>
    </w:p>
    <w:p w14:paraId="07C4A09A" w14:textId="77777777" w:rsidR="00895742" w:rsidRDefault="00895742" w:rsidP="00F261A3">
      <w:pPr>
        <w:jc w:val="both"/>
        <w:rPr>
          <w:rFonts w:ascii="Arial" w:eastAsia="Times New Roman" w:hAnsi="Arial" w:cs="Times New Roman"/>
        </w:rPr>
      </w:pPr>
    </w:p>
    <w:p w14:paraId="1D51DBA9" w14:textId="77777777" w:rsidR="00895742" w:rsidRDefault="00895742" w:rsidP="00F261A3">
      <w:pPr>
        <w:jc w:val="both"/>
        <w:rPr>
          <w:rFonts w:ascii="Arial" w:eastAsia="Times New Roman" w:hAnsi="Arial" w:cs="Times New Roman"/>
        </w:rPr>
      </w:pPr>
    </w:p>
    <w:p w14:paraId="6864A035" w14:textId="77777777" w:rsidR="00895742" w:rsidRDefault="00895742" w:rsidP="00F261A3">
      <w:pPr>
        <w:jc w:val="both"/>
        <w:rPr>
          <w:rFonts w:ascii="Arial" w:eastAsia="Times New Roman" w:hAnsi="Arial" w:cs="Times New Roman"/>
        </w:rPr>
      </w:pPr>
    </w:p>
    <w:p w14:paraId="77630BD5" w14:textId="0186A512" w:rsidR="00895742" w:rsidRDefault="00895742" w:rsidP="00F261A3">
      <w:pPr>
        <w:jc w:val="both"/>
        <w:rPr>
          <w:rFonts w:ascii="Arial" w:eastAsia="Times New Roman" w:hAnsi="Arial" w:cs="Times New Roman"/>
        </w:rPr>
      </w:pPr>
    </w:p>
    <w:p w14:paraId="257749D4" w14:textId="77777777" w:rsidR="00496EFF" w:rsidRDefault="00496EFF" w:rsidP="00F261A3">
      <w:pPr>
        <w:jc w:val="both"/>
        <w:rPr>
          <w:rFonts w:ascii="Arial" w:eastAsia="Times New Roman" w:hAnsi="Arial" w:cs="Times New Roman"/>
        </w:rPr>
      </w:pPr>
    </w:p>
    <w:p w14:paraId="3AE8B7F7" w14:textId="77777777" w:rsidR="00B2627A" w:rsidRDefault="00B2627A" w:rsidP="00F261A3">
      <w:pPr>
        <w:jc w:val="both"/>
        <w:rPr>
          <w:rFonts w:ascii="Arial" w:eastAsia="Times New Roman" w:hAnsi="Arial" w:cs="Times New Roman"/>
        </w:rPr>
        <w:sectPr w:rsidR="00B2627A" w:rsidSect="008304B0">
          <w:headerReference w:type="default" r:id="rId91"/>
          <w:pgSz w:w="11906" w:h="16838" w:code="9"/>
          <w:pgMar w:top="450" w:right="1416" w:bottom="900" w:left="1350" w:header="284" w:footer="0" w:gutter="0"/>
          <w:cols w:space="720"/>
          <w:docGrid w:linePitch="360"/>
        </w:sectPr>
      </w:pPr>
      <w:r>
        <w:rPr>
          <w:rFonts w:ascii="Arial" w:eastAsia="Times New Roman" w:hAnsi="Arial" w:cs="Times New Roman"/>
        </w:rPr>
        <w:br w:type="page"/>
      </w:r>
    </w:p>
    <w:p w14:paraId="18073854" w14:textId="77777777" w:rsidR="00646483" w:rsidRPr="00646483" w:rsidRDefault="00646483" w:rsidP="00646483">
      <w:pPr>
        <w:keepNext/>
        <w:keepLines/>
        <w:spacing w:before="240"/>
        <w:jc w:val="center"/>
        <w:outlineLvl w:val="0"/>
        <w:rPr>
          <w:rFonts w:ascii="Arial" w:eastAsiaTheme="majorEastAsia" w:hAnsi="Arial" w:cs="Arial"/>
          <w:b/>
          <w:color w:val="1F4E79" w:themeColor="accent1" w:themeShade="80"/>
          <w:sz w:val="32"/>
          <w:szCs w:val="32"/>
        </w:rPr>
      </w:pPr>
      <w:bookmarkStart w:id="789" w:name="_Toc153137487"/>
      <w:r w:rsidRPr="00646483">
        <w:rPr>
          <w:rFonts w:ascii="Arial" w:eastAsiaTheme="majorEastAsia" w:hAnsi="Arial" w:cs="Arial"/>
          <w:b/>
          <w:color w:val="1F4E79" w:themeColor="accent1" w:themeShade="80"/>
          <w:sz w:val="32"/>
          <w:szCs w:val="32"/>
        </w:rPr>
        <w:lastRenderedPageBreak/>
        <w:t>CHAPTER 2 — CONTINUING AIRWORTHINESS</w:t>
      </w:r>
      <w:bookmarkEnd w:id="789"/>
    </w:p>
    <w:p w14:paraId="6808BA91" w14:textId="77777777" w:rsidR="00646483" w:rsidRDefault="00646483" w:rsidP="00646483">
      <w:pPr>
        <w:pStyle w:val="BodyText"/>
        <w:spacing w:before="0"/>
        <w:ind w:left="140" w:right="193"/>
        <w:jc w:val="both"/>
        <w:rPr>
          <w:rFonts w:ascii="Arial" w:hAnsi="Arial" w:cs="Arial"/>
        </w:rPr>
      </w:pPr>
    </w:p>
    <w:p w14:paraId="31EA3487" w14:textId="75759AB7" w:rsidR="00646483" w:rsidRPr="00646483" w:rsidRDefault="00646483" w:rsidP="00A41247">
      <w:pPr>
        <w:pStyle w:val="BodyText"/>
        <w:spacing w:before="0" w:line="276" w:lineRule="auto"/>
        <w:ind w:right="193"/>
        <w:jc w:val="both"/>
        <w:rPr>
          <w:rFonts w:ascii="Arial" w:hAnsi="Arial" w:cs="Arial"/>
          <w:sz w:val="20"/>
        </w:rPr>
      </w:pPr>
      <w:r w:rsidRPr="00646483">
        <w:rPr>
          <w:rFonts w:ascii="Arial" w:hAnsi="Arial" w:cs="Arial"/>
          <w:sz w:val="20"/>
        </w:rPr>
        <w:t xml:space="preserve">For organisation and related </w:t>
      </w:r>
      <w:r w:rsidR="00653959">
        <w:rPr>
          <w:rFonts w:ascii="Arial" w:hAnsi="Arial" w:cs="Arial"/>
          <w:sz w:val="20"/>
          <w:szCs w:val="20"/>
        </w:rPr>
        <w:t>CAC RA</w:t>
      </w:r>
      <w:r w:rsidR="00653959" w:rsidRPr="004A51D5">
        <w:rPr>
          <w:rFonts w:ascii="Arial" w:hAnsi="Arial" w:cs="Arial"/>
          <w:spacing w:val="1"/>
          <w:sz w:val="20"/>
          <w:szCs w:val="20"/>
        </w:rPr>
        <w:t xml:space="preserve"> </w:t>
      </w:r>
      <w:r w:rsidRPr="00646483">
        <w:rPr>
          <w:rFonts w:ascii="Arial" w:hAnsi="Arial" w:cs="Arial"/>
          <w:sz w:val="20"/>
        </w:rPr>
        <w:t>requirements relevant to the application of Part-</w:t>
      </w:r>
      <w:r w:rsidRPr="00646483">
        <w:rPr>
          <w:rFonts w:ascii="Arial" w:hAnsi="Arial" w:cs="Arial"/>
          <w:spacing w:val="1"/>
          <w:sz w:val="20"/>
        </w:rPr>
        <w:t xml:space="preserve"> </w:t>
      </w:r>
      <w:r w:rsidRPr="00646483">
        <w:rPr>
          <w:rFonts w:ascii="Arial" w:hAnsi="Arial" w:cs="Arial"/>
          <w:sz w:val="20"/>
        </w:rPr>
        <w:t>ML, please refer to Annex II (Part-145), Annex Vc (Part-CAMO), or Annex Vd (Part-CAO) to</w:t>
      </w:r>
      <w:r w:rsidR="00550407">
        <w:rPr>
          <w:rFonts w:ascii="Arial" w:hAnsi="Arial" w:cs="Arial"/>
          <w:sz w:val="20"/>
        </w:rPr>
        <w:t xml:space="preserve"> </w:t>
      </w:r>
      <w:hyperlink r:id="rId92" w:history="1">
        <w:r w:rsidR="00A5038F" w:rsidRPr="00A5038F">
          <w:rPr>
            <w:rStyle w:val="Hyperlink"/>
            <w:rFonts w:ascii="Arial" w:hAnsi="Arial" w:cs="Arial"/>
            <w:sz w:val="20"/>
          </w:rPr>
          <w:t>the order N 10-N of the Minister of Territorial Administration and Infrastructure of RA, dated 01.06.2022</w:t>
        </w:r>
      </w:hyperlink>
      <w:r w:rsidR="00550407">
        <w:rPr>
          <w:rFonts w:ascii="Arial" w:hAnsi="Arial" w:cs="Arial"/>
          <w:sz w:val="20"/>
        </w:rPr>
        <w:t xml:space="preserve"> </w:t>
      </w:r>
      <w:r w:rsidRPr="00646483">
        <w:rPr>
          <w:rFonts w:ascii="Arial" w:hAnsi="Arial" w:cs="Arial"/>
          <w:sz w:val="20"/>
        </w:rPr>
        <w:t xml:space="preserve">as applicable, covered in the publication </w:t>
      </w:r>
      <w:hyperlink r:id="rId93" w:history="1">
        <w:r w:rsidR="00C95D02">
          <w:rPr>
            <w:rStyle w:val="Hyperlink"/>
          </w:rPr>
          <w:t>the order N 10-N of the Minister of Territorial Administration and Infrastructure of RA, dated 01.06.2022</w:t>
        </w:r>
      </w:hyperlink>
      <w:r w:rsidRPr="00646483">
        <w:rPr>
          <w:rFonts w:ascii="Arial" w:hAnsi="Arial" w:cs="Arial"/>
          <w:sz w:val="20"/>
        </w:rPr>
        <w:t>.</w:t>
      </w:r>
    </w:p>
    <w:p w14:paraId="00EDEF72" w14:textId="77777777" w:rsidR="00895742" w:rsidRDefault="00895742" w:rsidP="00F261A3">
      <w:pPr>
        <w:jc w:val="both"/>
        <w:rPr>
          <w:rFonts w:ascii="Arial" w:eastAsia="Times New Roman" w:hAnsi="Arial" w:cs="Times New Roman"/>
        </w:rPr>
      </w:pPr>
    </w:p>
    <w:p w14:paraId="43079812" w14:textId="77777777" w:rsidR="00646483" w:rsidRPr="00646483" w:rsidRDefault="00646483" w:rsidP="00646483">
      <w:pPr>
        <w:keepNext/>
        <w:keepLines/>
        <w:widowControl/>
        <w:autoSpaceDE/>
        <w:autoSpaceDN/>
        <w:spacing w:before="40" w:line="259" w:lineRule="auto"/>
        <w:jc w:val="center"/>
        <w:outlineLvl w:val="2"/>
        <w:rPr>
          <w:rFonts w:ascii="Arial" w:eastAsiaTheme="majorEastAsia" w:hAnsi="Arial" w:cs="Arial"/>
          <w:b/>
          <w:color w:val="00B0F0"/>
          <w:sz w:val="24"/>
          <w:szCs w:val="24"/>
        </w:rPr>
      </w:pPr>
      <w:bookmarkStart w:id="790" w:name="_Toc153137488"/>
      <w:r w:rsidRPr="00646483">
        <w:rPr>
          <w:rFonts w:ascii="Arial" w:eastAsiaTheme="majorEastAsia" w:hAnsi="Arial" w:cs="Arial"/>
          <w:b/>
          <w:color w:val="00B0F0"/>
          <w:sz w:val="24"/>
          <w:szCs w:val="24"/>
        </w:rPr>
        <w:t>PART-ML</w:t>
      </w:r>
      <w:bookmarkEnd w:id="790"/>
    </w:p>
    <w:p w14:paraId="1561B21A" w14:textId="77777777" w:rsidR="00646483" w:rsidRDefault="00646483" w:rsidP="00646483">
      <w:pPr>
        <w:keepNext/>
        <w:keepLines/>
        <w:spacing w:before="40"/>
        <w:jc w:val="center"/>
        <w:outlineLvl w:val="3"/>
        <w:rPr>
          <w:rFonts w:ascii="Arial" w:eastAsiaTheme="majorEastAsia" w:hAnsi="Arial" w:cs="Arial"/>
          <w:b/>
          <w:iCs/>
          <w:color w:val="2E74B5" w:themeColor="accent1" w:themeShade="BF"/>
          <w:sz w:val="24"/>
          <w:szCs w:val="24"/>
        </w:rPr>
      </w:pPr>
      <w:bookmarkStart w:id="791" w:name="_Toc153137489"/>
      <w:r w:rsidRPr="00646483">
        <w:rPr>
          <w:rFonts w:ascii="Arial" w:eastAsiaTheme="majorEastAsia" w:hAnsi="Arial" w:cs="Arial"/>
          <w:b/>
          <w:iCs/>
          <w:color w:val="2E74B5" w:themeColor="accent1" w:themeShade="BF"/>
          <w:sz w:val="24"/>
          <w:szCs w:val="24"/>
        </w:rPr>
        <w:t>GENERAL</w:t>
      </w:r>
      <w:bookmarkEnd w:id="791"/>
    </w:p>
    <w:p w14:paraId="5FFA39EE" w14:textId="77777777" w:rsidR="00722524" w:rsidRPr="00722524" w:rsidRDefault="00722524" w:rsidP="00722524">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792" w:name="_Toc153137490"/>
      <w:r w:rsidRPr="00722524">
        <w:rPr>
          <w:rFonts w:ascii="Arial" w:eastAsia="Times New Roman" w:hAnsi="Arial" w:cs="Times New Roman"/>
          <w:b/>
          <w:iCs/>
          <w:color w:val="FFFFFF"/>
          <w:sz w:val="24"/>
        </w:rPr>
        <w:t>ML.1</w:t>
      </w:r>
      <w:bookmarkEnd w:id="792"/>
      <w:r w:rsidRPr="00722524">
        <w:rPr>
          <w:rFonts w:ascii="Arial" w:eastAsia="Times New Roman" w:hAnsi="Arial" w:cs="Times New Roman"/>
          <w:b/>
          <w:iCs/>
          <w:color w:val="FFFFFF"/>
          <w:sz w:val="24"/>
        </w:rPr>
        <w:tab/>
      </w:r>
    </w:p>
    <w:p w14:paraId="1D8D38EE" w14:textId="6ADD3F4C" w:rsidR="00722524" w:rsidRPr="00722524" w:rsidRDefault="00722524" w:rsidP="00A41247">
      <w:pPr>
        <w:pStyle w:val="ListParagraph"/>
        <w:numPr>
          <w:ilvl w:val="0"/>
          <w:numId w:val="284"/>
        </w:numPr>
        <w:tabs>
          <w:tab w:val="left" w:pos="707"/>
        </w:tabs>
        <w:spacing w:before="118"/>
        <w:ind w:right="68"/>
        <w:jc w:val="both"/>
        <w:rPr>
          <w:rFonts w:ascii="Arial" w:hAnsi="Arial" w:cs="Arial"/>
          <w:sz w:val="20"/>
        </w:rPr>
      </w:pPr>
      <w:r w:rsidRPr="00722524">
        <w:rPr>
          <w:rFonts w:ascii="Arial" w:hAnsi="Arial" w:cs="Arial"/>
          <w:sz w:val="20"/>
        </w:rPr>
        <w:t>In</w:t>
      </w:r>
      <w:r w:rsidRPr="00722524">
        <w:rPr>
          <w:rFonts w:ascii="Arial" w:hAnsi="Arial" w:cs="Arial"/>
          <w:spacing w:val="-3"/>
          <w:sz w:val="20"/>
        </w:rPr>
        <w:t xml:space="preserve"> </w:t>
      </w:r>
      <w:r w:rsidRPr="00722524">
        <w:rPr>
          <w:rFonts w:ascii="Arial" w:hAnsi="Arial" w:cs="Arial"/>
          <w:sz w:val="20"/>
        </w:rPr>
        <w:t>accordance</w:t>
      </w:r>
      <w:r w:rsidRPr="00722524">
        <w:rPr>
          <w:rFonts w:ascii="Arial" w:hAnsi="Arial" w:cs="Arial"/>
          <w:spacing w:val="-4"/>
          <w:sz w:val="20"/>
        </w:rPr>
        <w:t xml:space="preserve"> </w:t>
      </w:r>
      <w:r w:rsidRPr="00722524">
        <w:rPr>
          <w:rFonts w:ascii="Arial" w:hAnsi="Arial" w:cs="Arial"/>
          <w:sz w:val="20"/>
        </w:rPr>
        <w:t>with</w:t>
      </w:r>
      <w:r w:rsidRPr="00722524">
        <w:rPr>
          <w:rFonts w:ascii="Arial" w:hAnsi="Arial" w:cs="Arial"/>
          <w:spacing w:val="-2"/>
          <w:sz w:val="20"/>
        </w:rPr>
        <w:t xml:space="preserve"> </w:t>
      </w:r>
      <w:r w:rsidRPr="00722524">
        <w:rPr>
          <w:rFonts w:ascii="Arial" w:hAnsi="Arial" w:cs="Arial"/>
          <w:sz w:val="20"/>
        </w:rPr>
        <w:t>paragraph</w:t>
      </w:r>
      <w:r w:rsidRPr="00722524">
        <w:rPr>
          <w:rFonts w:ascii="Arial" w:hAnsi="Arial" w:cs="Arial"/>
          <w:spacing w:val="-2"/>
          <w:sz w:val="20"/>
        </w:rPr>
        <w:t xml:space="preserve"> </w:t>
      </w:r>
      <w:r w:rsidRPr="00722524">
        <w:rPr>
          <w:rFonts w:ascii="Arial" w:hAnsi="Arial" w:cs="Arial"/>
          <w:sz w:val="20"/>
        </w:rPr>
        <w:t>2</w:t>
      </w:r>
      <w:r w:rsidRPr="00722524">
        <w:rPr>
          <w:rFonts w:ascii="Arial" w:hAnsi="Arial" w:cs="Arial"/>
          <w:spacing w:val="-2"/>
          <w:sz w:val="20"/>
        </w:rPr>
        <w:t xml:space="preserve"> </w:t>
      </w:r>
      <w:r w:rsidRPr="00722524">
        <w:rPr>
          <w:rFonts w:ascii="Arial" w:hAnsi="Arial" w:cs="Arial"/>
          <w:sz w:val="20"/>
        </w:rPr>
        <w:t>of</w:t>
      </w:r>
      <w:r w:rsidRPr="00722524">
        <w:rPr>
          <w:rFonts w:ascii="Arial" w:hAnsi="Arial" w:cs="Arial"/>
          <w:spacing w:val="-2"/>
          <w:sz w:val="20"/>
        </w:rPr>
        <w:t xml:space="preserve"> </w:t>
      </w:r>
      <w:r w:rsidRPr="00722524">
        <w:rPr>
          <w:rFonts w:ascii="Arial" w:hAnsi="Arial" w:cs="Arial"/>
          <w:sz w:val="20"/>
        </w:rPr>
        <w:t>Article</w:t>
      </w:r>
      <w:r w:rsidRPr="00722524">
        <w:rPr>
          <w:rFonts w:ascii="Arial" w:hAnsi="Arial" w:cs="Arial"/>
          <w:spacing w:val="-4"/>
          <w:sz w:val="20"/>
        </w:rPr>
        <w:t xml:space="preserve"> </w:t>
      </w:r>
      <w:r w:rsidRPr="00722524">
        <w:rPr>
          <w:rFonts w:ascii="Arial" w:hAnsi="Arial" w:cs="Arial"/>
          <w:sz w:val="20"/>
        </w:rPr>
        <w:t>3,</w:t>
      </w:r>
      <w:r w:rsidRPr="00722524">
        <w:rPr>
          <w:rFonts w:ascii="Arial" w:hAnsi="Arial" w:cs="Arial"/>
          <w:spacing w:val="-1"/>
          <w:sz w:val="20"/>
        </w:rPr>
        <w:t xml:space="preserve"> </w:t>
      </w:r>
      <w:r w:rsidRPr="00722524">
        <w:rPr>
          <w:rFonts w:ascii="Arial" w:hAnsi="Arial" w:cs="Arial"/>
          <w:sz w:val="20"/>
        </w:rPr>
        <w:t>this</w:t>
      </w:r>
      <w:r w:rsidRPr="00722524">
        <w:rPr>
          <w:rFonts w:ascii="Arial" w:hAnsi="Arial" w:cs="Arial"/>
          <w:spacing w:val="-2"/>
          <w:sz w:val="20"/>
        </w:rPr>
        <w:t xml:space="preserve"> </w:t>
      </w:r>
      <w:r w:rsidRPr="00722524">
        <w:rPr>
          <w:rFonts w:ascii="Arial" w:hAnsi="Arial" w:cs="Arial"/>
          <w:sz w:val="20"/>
        </w:rPr>
        <w:t>Annex</w:t>
      </w:r>
      <w:r w:rsidRPr="00722524">
        <w:rPr>
          <w:rFonts w:ascii="Arial" w:hAnsi="Arial" w:cs="Arial"/>
          <w:spacing w:val="-4"/>
          <w:sz w:val="20"/>
        </w:rPr>
        <w:t xml:space="preserve"> </w:t>
      </w:r>
      <w:r w:rsidRPr="00722524">
        <w:rPr>
          <w:rFonts w:ascii="Arial" w:hAnsi="Arial" w:cs="Arial"/>
          <w:sz w:val="20"/>
        </w:rPr>
        <w:t>(Part-ML)</w:t>
      </w:r>
      <w:r w:rsidRPr="00722524">
        <w:rPr>
          <w:rFonts w:ascii="Arial" w:hAnsi="Arial" w:cs="Arial"/>
          <w:spacing w:val="-2"/>
          <w:sz w:val="20"/>
        </w:rPr>
        <w:t xml:space="preserve"> </w:t>
      </w:r>
      <w:r w:rsidRPr="00722524">
        <w:rPr>
          <w:rFonts w:ascii="Arial" w:hAnsi="Arial" w:cs="Arial"/>
          <w:sz w:val="20"/>
        </w:rPr>
        <w:t>applies to</w:t>
      </w:r>
      <w:r w:rsidRPr="00722524">
        <w:rPr>
          <w:rFonts w:ascii="Arial" w:hAnsi="Arial" w:cs="Arial"/>
          <w:spacing w:val="-1"/>
          <w:sz w:val="20"/>
        </w:rPr>
        <w:t xml:space="preserve"> </w:t>
      </w:r>
      <w:r w:rsidRPr="00722524">
        <w:rPr>
          <w:rFonts w:ascii="Arial" w:hAnsi="Arial" w:cs="Arial"/>
          <w:sz w:val="20"/>
        </w:rPr>
        <w:t>the</w:t>
      </w:r>
      <w:r w:rsidRPr="00722524">
        <w:rPr>
          <w:rFonts w:ascii="Arial" w:hAnsi="Arial" w:cs="Arial"/>
          <w:spacing w:val="-2"/>
          <w:sz w:val="20"/>
        </w:rPr>
        <w:t xml:space="preserve"> </w:t>
      </w:r>
      <w:r w:rsidRPr="00722524">
        <w:rPr>
          <w:rFonts w:ascii="Arial" w:hAnsi="Arial" w:cs="Arial"/>
          <w:sz w:val="20"/>
        </w:rPr>
        <w:t>following</w:t>
      </w:r>
      <w:r w:rsidRPr="00722524">
        <w:rPr>
          <w:rFonts w:ascii="Arial" w:hAnsi="Arial" w:cs="Arial"/>
          <w:spacing w:val="-3"/>
          <w:sz w:val="20"/>
        </w:rPr>
        <w:t xml:space="preserve"> </w:t>
      </w:r>
      <w:r w:rsidRPr="00722524">
        <w:rPr>
          <w:rFonts w:ascii="Arial" w:hAnsi="Arial" w:cs="Arial"/>
          <w:sz w:val="20"/>
        </w:rPr>
        <w:t>other</w:t>
      </w:r>
      <w:r w:rsidRPr="00722524">
        <w:rPr>
          <w:rFonts w:ascii="Arial" w:hAnsi="Arial" w:cs="Arial"/>
          <w:spacing w:val="-48"/>
          <w:sz w:val="20"/>
        </w:rPr>
        <w:t xml:space="preserve"> </w:t>
      </w:r>
      <w:r w:rsidRPr="00722524">
        <w:rPr>
          <w:rFonts w:ascii="Arial" w:hAnsi="Arial" w:cs="Arial"/>
          <w:sz w:val="20"/>
        </w:rPr>
        <w:t>than complex motor-powered aircraft not listed in the air operator certificate of an air carrier</w:t>
      </w:r>
      <w:r w:rsidRPr="00722524">
        <w:rPr>
          <w:rFonts w:ascii="Arial" w:hAnsi="Arial" w:cs="Arial"/>
          <w:spacing w:val="1"/>
          <w:sz w:val="20"/>
        </w:rPr>
        <w:t xml:space="preserve"> </w:t>
      </w:r>
      <w:r w:rsidRPr="00722524">
        <w:rPr>
          <w:rFonts w:ascii="Arial" w:hAnsi="Arial" w:cs="Arial"/>
          <w:sz w:val="20"/>
        </w:rPr>
        <w:t>licensed</w:t>
      </w:r>
      <w:r w:rsidRPr="00722524">
        <w:rPr>
          <w:rFonts w:ascii="Arial" w:hAnsi="Arial" w:cs="Arial"/>
          <w:spacing w:val="-1"/>
          <w:sz w:val="20"/>
        </w:rPr>
        <w:t xml:space="preserve"> </w:t>
      </w:r>
      <w:r w:rsidRPr="00722524">
        <w:rPr>
          <w:rFonts w:ascii="Arial" w:hAnsi="Arial" w:cs="Arial"/>
          <w:sz w:val="20"/>
        </w:rPr>
        <w:t>in</w:t>
      </w:r>
      <w:r w:rsidRPr="00722524">
        <w:rPr>
          <w:rFonts w:ascii="Arial" w:hAnsi="Arial" w:cs="Arial"/>
          <w:spacing w:val="-1"/>
          <w:sz w:val="20"/>
        </w:rPr>
        <w:t xml:space="preserve"> </w:t>
      </w:r>
      <w:r w:rsidRPr="00722524">
        <w:rPr>
          <w:rFonts w:ascii="Arial" w:hAnsi="Arial" w:cs="Arial"/>
          <w:sz w:val="20"/>
        </w:rPr>
        <w:t>accordance</w:t>
      </w:r>
      <w:r w:rsidRPr="00722524">
        <w:rPr>
          <w:rFonts w:ascii="Arial" w:hAnsi="Arial" w:cs="Arial"/>
          <w:spacing w:val="1"/>
          <w:sz w:val="20"/>
        </w:rPr>
        <w:t xml:space="preserve"> </w:t>
      </w:r>
      <w:r w:rsidRPr="00722524">
        <w:rPr>
          <w:rFonts w:ascii="Arial" w:hAnsi="Arial" w:cs="Arial"/>
          <w:sz w:val="20"/>
        </w:rPr>
        <w:t>with</w:t>
      </w:r>
      <w:r w:rsidRPr="00722524">
        <w:rPr>
          <w:rFonts w:ascii="Arial" w:hAnsi="Arial" w:cs="Arial"/>
          <w:spacing w:val="-1"/>
          <w:sz w:val="20"/>
        </w:rPr>
        <w:t xml:space="preserve"> </w:t>
      </w:r>
      <w:hyperlink r:id="rId94" w:history="1">
        <w:r w:rsidR="007C5937" w:rsidRPr="007C5937">
          <w:rPr>
            <w:rStyle w:val="Hyperlink"/>
            <w:rFonts w:ascii="Arial" w:hAnsi="Arial" w:cs="Arial"/>
            <w:sz w:val="20"/>
          </w:rPr>
          <w:t>the decision N 1010-N of the Government of the Republic of Armenia, dated 06.08.2015</w:t>
        </w:r>
      </w:hyperlink>
      <w:r w:rsidRPr="007C5937">
        <w:rPr>
          <w:rFonts w:ascii="Arial" w:hAnsi="Arial" w:cs="Arial"/>
          <w:sz w:val="20"/>
        </w:rPr>
        <w:t>:</w:t>
      </w:r>
    </w:p>
    <w:p w14:paraId="4DCDB14A" w14:textId="77777777" w:rsidR="00722524" w:rsidRPr="00722524" w:rsidRDefault="00722524" w:rsidP="00A41247">
      <w:pPr>
        <w:pStyle w:val="ListParagraph"/>
        <w:numPr>
          <w:ilvl w:val="1"/>
          <w:numId w:val="284"/>
        </w:numPr>
        <w:tabs>
          <w:tab w:val="left" w:pos="1273"/>
          <w:tab w:val="left" w:pos="1274"/>
        </w:tabs>
        <w:ind w:right="68" w:hanging="568"/>
        <w:rPr>
          <w:rFonts w:ascii="Arial" w:hAnsi="Arial" w:cs="Arial"/>
          <w:sz w:val="20"/>
        </w:rPr>
      </w:pPr>
      <w:r w:rsidRPr="00722524">
        <w:rPr>
          <w:rFonts w:ascii="Arial" w:hAnsi="Arial" w:cs="Arial"/>
          <w:sz w:val="20"/>
        </w:rPr>
        <w:t>aeroplanes</w:t>
      </w:r>
      <w:r w:rsidRPr="00722524">
        <w:rPr>
          <w:rFonts w:ascii="Arial" w:hAnsi="Arial" w:cs="Arial"/>
          <w:spacing w:val="-3"/>
          <w:sz w:val="20"/>
        </w:rPr>
        <w:t xml:space="preserve"> </w:t>
      </w:r>
      <w:r w:rsidRPr="00722524">
        <w:rPr>
          <w:rFonts w:ascii="Arial" w:hAnsi="Arial" w:cs="Arial"/>
          <w:sz w:val="20"/>
        </w:rPr>
        <w:t>of</w:t>
      </w:r>
      <w:r w:rsidRPr="00722524">
        <w:rPr>
          <w:rFonts w:ascii="Arial" w:hAnsi="Arial" w:cs="Arial"/>
          <w:spacing w:val="-3"/>
          <w:sz w:val="20"/>
        </w:rPr>
        <w:t xml:space="preserve"> </w:t>
      </w:r>
      <w:r w:rsidRPr="00722524">
        <w:rPr>
          <w:rFonts w:ascii="Arial" w:hAnsi="Arial" w:cs="Arial"/>
          <w:sz w:val="20"/>
        </w:rPr>
        <w:t>2</w:t>
      </w:r>
      <w:r w:rsidRPr="00722524">
        <w:rPr>
          <w:rFonts w:ascii="Arial" w:hAnsi="Arial" w:cs="Arial"/>
          <w:spacing w:val="-1"/>
          <w:sz w:val="20"/>
        </w:rPr>
        <w:t xml:space="preserve"> </w:t>
      </w:r>
      <w:r w:rsidRPr="00722524">
        <w:rPr>
          <w:rFonts w:ascii="Arial" w:hAnsi="Arial" w:cs="Arial"/>
          <w:sz w:val="20"/>
        </w:rPr>
        <w:t>730</w:t>
      </w:r>
      <w:r w:rsidRPr="00722524">
        <w:rPr>
          <w:rFonts w:ascii="Arial" w:hAnsi="Arial" w:cs="Arial"/>
          <w:spacing w:val="-1"/>
          <w:sz w:val="20"/>
        </w:rPr>
        <w:t xml:space="preserve"> </w:t>
      </w:r>
      <w:r w:rsidRPr="00722524">
        <w:rPr>
          <w:rFonts w:ascii="Arial" w:hAnsi="Arial" w:cs="Arial"/>
          <w:sz w:val="20"/>
        </w:rPr>
        <w:t>kg</w:t>
      </w:r>
      <w:r w:rsidRPr="00722524">
        <w:rPr>
          <w:rFonts w:ascii="Arial" w:hAnsi="Arial" w:cs="Arial"/>
          <w:spacing w:val="-3"/>
          <w:sz w:val="20"/>
        </w:rPr>
        <w:t xml:space="preserve"> </w:t>
      </w:r>
      <w:r w:rsidRPr="00722524">
        <w:rPr>
          <w:rFonts w:ascii="Arial" w:hAnsi="Arial" w:cs="Arial"/>
          <w:sz w:val="20"/>
        </w:rPr>
        <w:t>maximum</w:t>
      </w:r>
      <w:r w:rsidRPr="00722524">
        <w:rPr>
          <w:rFonts w:ascii="Arial" w:hAnsi="Arial" w:cs="Arial"/>
          <w:spacing w:val="-3"/>
          <w:sz w:val="20"/>
        </w:rPr>
        <w:t xml:space="preserve"> </w:t>
      </w:r>
      <w:r w:rsidRPr="00722524">
        <w:rPr>
          <w:rFonts w:ascii="Arial" w:hAnsi="Arial" w:cs="Arial"/>
          <w:sz w:val="20"/>
        </w:rPr>
        <w:t>take-off</w:t>
      </w:r>
      <w:r w:rsidRPr="00722524">
        <w:rPr>
          <w:rFonts w:ascii="Arial" w:hAnsi="Arial" w:cs="Arial"/>
          <w:spacing w:val="-3"/>
          <w:sz w:val="20"/>
        </w:rPr>
        <w:t xml:space="preserve"> </w:t>
      </w:r>
      <w:r w:rsidRPr="00722524">
        <w:rPr>
          <w:rFonts w:ascii="Arial" w:hAnsi="Arial" w:cs="Arial"/>
          <w:sz w:val="20"/>
        </w:rPr>
        <w:t>mass (MTOM)</w:t>
      </w:r>
      <w:r w:rsidRPr="00722524">
        <w:rPr>
          <w:rFonts w:ascii="Arial" w:hAnsi="Arial" w:cs="Arial"/>
          <w:spacing w:val="-3"/>
          <w:sz w:val="20"/>
        </w:rPr>
        <w:t xml:space="preserve"> </w:t>
      </w:r>
      <w:r w:rsidRPr="00722524">
        <w:rPr>
          <w:rFonts w:ascii="Arial" w:hAnsi="Arial" w:cs="Arial"/>
          <w:sz w:val="20"/>
        </w:rPr>
        <w:t>or less;</w:t>
      </w:r>
    </w:p>
    <w:p w14:paraId="671751E0" w14:textId="77777777" w:rsidR="00722524" w:rsidRPr="00722524" w:rsidRDefault="00722524" w:rsidP="00A41247">
      <w:pPr>
        <w:pStyle w:val="ListParagraph"/>
        <w:numPr>
          <w:ilvl w:val="1"/>
          <w:numId w:val="284"/>
        </w:numPr>
        <w:tabs>
          <w:tab w:val="left" w:pos="1273"/>
          <w:tab w:val="left" w:pos="1274"/>
        </w:tabs>
        <w:spacing w:before="121"/>
        <w:ind w:right="68" w:hanging="568"/>
        <w:rPr>
          <w:rFonts w:ascii="Arial" w:hAnsi="Arial" w:cs="Arial"/>
          <w:sz w:val="20"/>
        </w:rPr>
      </w:pPr>
      <w:r w:rsidRPr="00722524">
        <w:rPr>
          <w:rFonts w:ascii="Arial" w:hAnsi="Arial" w:cs="Arial"/>
          <w:sz w:val="20"/>
        </w:rPr>
        <w:t>rotorcraft</w:t>
      </w:r>
      <w:r w:rsidRPr="00722524">
        <w:rPr>
          <w:rFonts w:ascii="Arial" w:hAnsi="Arial" w:cs="Arial"/>
          <w:spacing w:val="-4"/>
          <w:sz w:val="20"/>
        </w:rPr>
        <w:t xml:space="preserve"> </w:t>
      </w:r>
      <w:r w:rsidRPr="00722524">
        <w:rPr>
          <w:rFonts w:ascii="Arial" w:hAnsi="Arial" w:cs="Arial"/>
          <w:sz w:val="20"/>
        </w:rPr>
        <w:t>of</w:t>
      </w:r>
      <w:r w:rsidRPr="00722524">
        <w:rPr>
          <w:rFonts w:ascii="Arial" w:hAnsi="Arial" w:cs="Arial"/>
          <w:spacing w:val="-3"/>
          <w:sz w:val="20"/>
        </w:rPr>
        <w:t xml:space="preserve"> </w:t>
      </w:r>
      <w:r w:rsidRPr="00722524">
        <w:rPr>
          <w:rFonts w:ascii="Arial" w:hAnsi="Arial" w:cs="Arial"/>
          <w:sz w:val="20"/>
        </w:rPr>
        <w:t>1 200</w:t>
      </w:r>
      <w:r w:rsidRPr="00722524">
        <w:rPr>
          <w:rFonts w:ascii="Arial" w:hAnsi="Arial" w:cs="Arial"/>
          <w:spacing w:val="-1"/>
          <w:sz w:val="20"/>
        </w:rPr>
        <w:t xml:space="preserve"> </w:t>
      </w:r>
      <w:r w:rsidRPr="00722524">
        <w:rPr>
          <w:rFonts w:ascii="Arial" w:hAnsi="Arial" w:cs="Arial"/>
          <w:sz w:val="20"/>
        </w:rPr>
        <w:t>kg MTOM</w:t>
      </w:r>
      <w:r w:rsidRPr="00722524">
        <w:rPr>
          <w:rFonts w:ascii="Arial" w:hAnsi="Arial" w:cs="Arial"/>
          <w:spacing w:val="-2"/>
          <w:sz w:val="20"/>
        </w:rPr>
        <w:t xml:space="preserve"> </w:t>
      </w:r>
      <w:r w:rsidRPr="00722524">
        <w:rPr>
          <w:rFonts w:ascii="Arial" w:hAnsi="Arial" w:cs="Arial"/>
          <w:sz w:val="20"/>
        </w:rPr>
        <w:t>or less, certified for a</w:t>
      </w:r>
      <w:r w:rsidRPr="00722524">
        <w:rPr>
          <w:rFonts w:ascii="Arial" w:hAnsi="Arial" w:cs="Arial"/>
          <w:spacing w:val="-3"/>
          <w:sz w:val="20"/>
        </w:rPr>
        <w:t xml:space="preserve"> </w:t>
      </w:r>
      <w:r w:rsidRPr="00722524">
        <w:rPr>
          <w:rFonts w:ascii="Arial" w:hAnsi="Arial" w:cs="Arial"/>
          <w:sz w:val="20"/>
        </w:rPr>
        <w:t>maximum</w:t>
      </w:r>
      <w:r w:rsidRPr="00722524">
        <w:rPr>
          <w:rFonts w:ascii="Arial" w:hAnsi="Arial" w:cs="Arial"/>
          <w:spacing w:val="-1"/>
          <w:sz w:val="20"/>
        </w:rPr>
        <w:t xml:space="preserve"> </w:t>
      </w:r>
      <w:r w:rsidRPr="00722524">
        <w:rPr>
          <w:rFonts w:ascii="Arial" w:hAnsi="Arial" w:cs="Arial"/>
          <w:sz w:val="20"/>
        </w:rPr>
        <w:t>of up</w:t>
      </w:r>
      <w:r w:rsidRPr="00722524">
        <w:rPr>
          <w:rFonts w:ascii="Arial" w:hAnsi="Arial" w:cs="Arial"/>
          <w:spacing w:val="-2"/>
          <w:sz w:val="20"/>
        </w:rPr>
        <w:t xml:space="preserve"> </w:t>
      </w:r>
      <w:r w:rsidRPr="00722524">
        <w:rPr>
          <w:rFonts w:ascii="Arial" w:hAnsi="Arial" w:cs="Arial"/>
          <w:sz w:val="20"/>
        </w:rPr>
        <w:t>to</w:t>
      </w:r>
      <w:r w:rsidRPr="00722524">
        <w:rPr>
          <w:rFonts w:ascii="Arial" w:hAnsi="Arial" w:cs="Arial"/>
          <w:spacing w:val="-1"/>
          <w:sz w:val="20"/>
        </w:rPr>
        <w:t xml:space="preserve"> </w:t>
      </w:r>
      <w:r w:rsidRPr="00722524">
        <w:rPr>
          <w:rFonts w:ascii="Arial" w:hAnsi="Arial" w:cs="Arial"/>
          <w:sz w:val="20"/>
        </w:rPr>
        <w:t>4</w:t>
      </w:r>
      <w:r w:rsidRPr="00722524">
        <w:rPr>
          <w:rFonts w:ascii="Arial" w:hAnsi="Arial" w:cs="Arial"/>
          <w:spacing w:val="-2"/>
          <w:sz w:val="20"/>
        </w:rPr>
        <w:t xml:space="preserve"> </w:t>
      </w:r>
      <w:r w:rsidRPr="00722524">
        <w:rPr>
          <w:rFonts w:ascii="Arial" w:hAnsi="Arial" w:cs="Arial"/>
          <w:sz w:val="20"/>
        </w:rPr>
        <w:t>occupants;</w:t>
      </w:r>
    </w:p>
    <w:p w14:paraId="04ACF118" w14:textId="77777777" w:rsidR="00722524" w:rsidRPr="00722524" w:rsidRDefault="00722524" w:rsidP="00A41247">
      <w:pPr>
        <w:pStyle w:val="ListParagraph"/>
        <w:numPr>
          <w:ilvl w:val="1"/>
          <w:numId w:val="284"/>
        </w:numPr>
        <w:tabs>
          <w:tab w:val="left" w:pos="1273"/>
          <w:tab w:val="left" w:pos="1274"/>
        </w:tabs>
        <w:ind w:right="68" w:hanging="568"/>
        <w:rPr>
          <w:rFonts w:ascii="Arial" w:hAnsi="Arial" w:cs="Arial"/>
          <w:sz w:val="20"/>
        </w:rPr>
      </w:pPr>
      <w:r w:rsidRPr="00722524">
        <w:rPr>
          <w:rFonts w:ascii="Arial" w:hAnsi="Arial" w:cs="Arial"/>
          <w:sz w:val="20"/>
        </w:rPr>
        <w:t>other</w:t>
      </w:r>
      <w:r w:rsidRPr="00722524">
        <w:rPr>
          <w:rFonts w:ascii="Arial" w:hAnsi="Arial" w:cs="Arial"/>
          <w:spacing w:val="-3"/>
          <w:sz w:val="20"/>
        </w:rPr>
        <w:t xml:space="preserve"> </w:t>
      </w:r>
      <w:r w:rsidRPr="00722524">
        <w:rPr>
          <w:rFonts w:ascii="Arial" w:hAnsi="Arial" w:cs="Arial"/>
          <w:sz w:val="20"/>
        </w:rPr>
        <w:t>ELA2 aircraft.</w:t>
      </w:r>
    </w:p>
    <w:p w14:paraId="79A9DCB7" w14:textId="61869984" w:rsidR="00722524" w:rsidRPr="00722524" w:rsidRDefault="00722524" w:rsidP="00A41247">
      <w:pPr>
        <w:pStyle w:val="ListParagraph"/>
        <w:numPr>
          <w:ilvl w:val="0"/>
          <w:numId w:val="284"/>
        </w:numPr>
        <w:tabs>
          <w:tab w:val="left" w:pos="706"/>
          <w:tab w:val="left" w:pos="707"/>
        </w:tabs>
        <w:spacing w:before="118"/>
        <w:ind w:right="68"/>
        <w:rPr>
          <w:rFonts w:ascii="Arial" w:hAnsi="Arial" w:cs="Arial"/>
          <w:sz w:val="20"/>
        </w:rPr>
      </w:pPr>
      <w:r w:rsidRPr="00722524">
        <w:rPr>
          <w:rFonts w:ascii="Arial" w:hAnsi="Arial" w:cs="Arial"/>
          <w:sz w:val="20"/>
        </w:rPr>
        <w:t>For</w:t>
      </w:r>
      <w:r w:rsidRPr="00722524">
        <w:rPr>
          <w:rFonts w:ascii="Arial" w:hAnsi="Arial" w:cs="Arial"/>
          <w:spacing w:val="-9"/>
          <w:sz w:val="20"/>
        </w:rPr>
        <w:t xml:space="preserve"> </w:t>
      </w:r>
      <w:r w:rsidRPr="00722524">
        <w:rPr>
          <w:rFonts w:ascii="Arial" w:hAnsi="Arial" w:cs="Arial"/>
          <w:sz w:val="20"/>
        </w:rPr>
        <w:t>the</w:t>
      </w:r>
      <w:r w:rsidRPr="00722524">
        <w:rPr>
          <w:rFonts w:ascii="Arial" w:hAnsi="Arial" w:cs="Arial"/>
          <w:spacing w:val="-10"/>
          <w:sz w:val="20"/>
        </w:rPr>
        <w:t xml:space="preserve"> </w:t>
      </w:r>
      <w:r w:rsidRPr="00722524">
        <w:rPr>
          <w:rFonts w:ascii="Arial" w:hAnsi="Arial" w:cs="Arial"/>
          <w:sz w:val="20"/>
        </w:rPr>
        <w:t>purpose</w:t>
      </w:r>
      <w:r w:rsidRPr="00722524">
        <w:rPr>
          <w:rFonts w:ascii="Arial" w:hAnsi="Arial" w:cs="Arial"/>
          <w:spacing w:val="-10"/>
          <w:sz w:val="20"/>
        </w:rPr>
        <w:t xml:space="preserve"> </w:t>
      </w:r>
      <w:r w:rsidRPr="00722524">
        <w:rPr>
          <w:rFonts w:ascii="Arial" w:hAnsi="Arial" w:cs="Arial"/>
          <w:sz w:val="20"/>
        </w:rPr>
        <w:t>of</w:t>
      </w:r>
      <w:r w:rsidRPr="00722524">
        <w:rPr>
          <w:rFonts w:ascii="Arial" w:hAnsi="Arial" w:cs="Arial"/>
          <w:spacing w:val="-11"/>
          <w:sz w:val="20"/>
        </w:rPr>
        <w:t xml:space="preserve"> </w:t>
      </w:r>
      <w:r w:rsidRPr="00722524">
        <w:rPr>
          <w:rFonts w:ascii="Arial" w:hAnsi="Arial" w:cs="Arial"/>
          <w:sz w:val="20"/>
        </w:rPr>
        <w:t>this</w:t>
      </w:r>
      <w:r w:rsidRPr="00722524">
        <w:rPr>
          <w:rFonts w:ascii="Arial" w:hAnsi="Arial" w:cs="Arial"/>
          <w:spacing w:val="-8"/>
          <w:sz w:val="20"/>
        </w:rPr>
        <w:t xml:space="preserve"> </w:t>
      </w:r>
      <w:r w:rsidRPr="00722524">
        <w:rPr>
          <w:rFonts w:ascii="Arial" w:hAnsi="Arial" w:cs="Arial"/>
          <w:sz w:val="20"/>
        </w:rPr>
        <w:t>Annex,</w:t>
      </w:r>
      <w:r w:rsidRPr="00722524">
        <w:rPr>
          <w:rFonts w:ascii="Arial" w:hAnsi="Arial" w:cs="Arial"/>
          <w:spacing w:val="-8"/>
          <w:sz w:val="20"/>
        </w:rPr>
        <w:t xml:space="preserve"> </w:t>
      </w:r>
      <w:r w:rsidRPr="00722524">
        <w:rPr>
          <w:rFonts w:ascii="Arial" w:hAnsi="Arial" w:cs="Arial"/>
          <w:sz w:val="20"/>
        </w:rPr>
        <w:t>the</w:t>
      </w:r>
      <w:r w:rsidRPr="00722524">
        <w:rPr>
          <w:rFonts w:ascii="Arial" w:hAnsi="Arial" w:cs="Arial"/>
          <w:spacing w:val="-7"/>
          <w:sz w:val="20"/>
        </w:rPr>
        <w:t xml:space="preserve"> </w:t>
      </w:r>
      <w:r w:rsidR="004E22F1">
        <w:rPr>
          <w:rFonts w:ascii="Arial" w:hAnsi="Arial" w:cs="Arial"/>
          <w:sz w:val="20"/>
          <w:szCs w:val="20"/>
        </w:rPr>
        <w:t xml:space="preserve">CAC RA </w:t>
      </w:r>
      <w:r w:rsidRPr="00722524">
        <w:rPr>
          <w:rFonts w:ascii="Arial" w:hAnsi="Arial" w:cs="Arial"/>
          <w:sz w:val="20"/>
        </w:rPr>
        <w:t>shall</w:t>
      </w:r>
      <w:r w:rsidRPr="00722524">
        <w:rPr>
          <w:rFonts w:ascii="Arial" w:hAnsi="Arial" w:cs="Arial"/>
          <w:spacing w:val="-9"/>
          <w:sz w:val="20"/>
        </w:rPr>
        <w:t xml:space="preserve"> </w:t>
      </w:r>
      <w:r w:rsidRPr="00722524">
        <w:rPr>
          <w:rFonts w:ascii="Arial" w:hAnsi="Arial" w:cs="Arial"/>
          <w:sz w:val="20"/>
        </w:rPr>
        <w:t>be</w:t>
      </w:r>
      <w:r w:rsidRPr="00722524">
        <w:rPr>
          <w:rFonts w:ascii="Arial" w:hAnsi="Arial" w:cs="Arial"/>
          <w:spacing w:val="-10"/>
          <w:sz w:val="20"/>
        </w:rPr>
        <w:t xml:space="preserve"> </w:t>
      </w:r>
      <w:r w:rsidRPr="00722524">
        <w:rPr>
          <w:rFonts w:ascii="Arial" w:hAnsi="Arial" w:cs="Arial"/>
          <w:sz w:val="20"/>
        </w:rPr>
        <w:t>the</w:t>
      </w:r>
      <w:r w:rsidRPr="00722524">
        <w:rPr>
          <w:rFonts w:ascii="Arial" w:hAnsi="Arial" w:cs="Arial"/>
          <w:spacing w:val="-8"/>
          <w:sz w:val="20"/>
        </w:rPr>
        <w:t xml:space="preserve"> </w:t>
      </w:r>
      <w:r w:rsidRPr="00722524">
        <w:rPr>
          <w:rFonts w:ascii="Arial" w:hAnsi="Arial" w:cs="Arial"/>
          <w:sz w:val="20"/>
        </w:rPr>
        <w:t>authority</w:t>
      </w:r>
      <w:r w:rsidRPr="00722524">
        <w:rPr>
          <w:rFonts w:ascii="Arial" w:hAnsi="Arial" w:cs="Arial"/>
          <w:spacing w:val="-7"/>
          <w:sz w:val="20"/>
        </w:rPr>
        <w:t xml:space="preserve"> </w:t>
      </w:r>
      <w:r w:rsidRPr="00722524">
        <w:rPr>
          <w:rFonts w:ascii="Arial" w:hAnsi="Arial" w:cs="Arial"/>
          <w:sz w:val="20"/>
        </w:rPr>
        <w:t>designated</w:t>
      </w:r>
      <w:r w:rsidRPr="00722524">
        <w:rPr>
          <w:rFonts w:ascii="Arial" w:hAnsi="Arial" w:cs="Arial"/>
          <w:spacing w:val="-9"/>
          <w:sz w:val="20"/>
        </w:rPr>
        <w:t xml:space="preserve"> </w:t>
      </w:r>
      <w:r w:rsidRPr="00722524">
        <w:rPr>
          <w:rFonts w:ascii="Arial" w:hAnsi="Arial" w:cs="Arial"/>
          <w:sz w:val="20"/>
        </w:rPr>
        <w:t>by</w:t>
      </w:r>
      <w:r w:rsidRPr="00722524">
        <w:rPr>
          <w:rFonts w:ascii="Arial" w:hAnsi="Arial" w:cs="Arial"/>
          <w:spacing w:val="-7"/>
          <w:sz w:val="20"/>
        </w:rPr>
        <w:t xml:space="preserve"> </w:t>
      </w:r>
      <w:r w:rsidR="00BE47FC">
        <w:rPr>
          <w:rFonts w:ascii="Arial" w:hAnsi="Arial" w:cs="Arial"/>
          <w:sz w:val="20"/>
        </w:rPr>
        <w:t>the Republic of Armenia</w:t>
      </w:r>
      <w:r w:rsidRPr="00722524">
        <w:rPr>
          <w:rFonts w:ascii="Arial" w:hAnsi="Arial" w:cs="Arial"/>
          <w:spacing w:val="-2"/>
          <w:sz w:val="20"/>
        </w:rPr>
        <w:t xml:space="preserve"> </w:t>
      </w:r>
      <w:r w:rsidRPr="00722524">
        <w:rPr>
          <w:rFonts w:ascii="Arial" w:hAnsi="Arial" w:cs="Arial"/>
          <w:sz w:val="20"/>
        </w:rPr>
        <w:t>of</w:t>
      </w:r>
      <w:r w:rsidRPr="00722524">
        <w:rPr>
          <w:rFonts w:ascii="Arial" w:hAnsi="Arial" w:cs="Arial"/>
          <w:spacing w:val="-2"/>
          <w:sz w:val="20"/>
        </w:rPr>
        <w:t xml:space="preserve"> </w:t>
      </w:r>
      <w:r w:rsidRPr="00722524">
        <w:rPr>
          <w:rFonts w:ascii="Arial" w:hAnsi="Arial" w:cs="Arial"/>
          <w:sz w:val="20"/>
        </w:rPr>
        <w:t>registry</w:t>
      </w:r>
      <w:r w:rsidRPr="00722524">
        <w:rPr>
          <w:rFonts w:ascii="Arial" w:hAnsi="Arial" w:cs="Arial"/>
          <w:spacing w:val="-2"/>
          <w:sz w:val="20"/>
        </w:rPr>
        <w:t xml:space="preserve"> </w:t>
      </w:r>
      <w:r w:rsidRPr="00722524">
        <w:rPr>
          <w:rFonts w:ascii="Arial" w:hAnsi="Arial" w:cs="Arial"/>
          <w:sz w:val="20"/>
        </w:rPr>
        <w:t>of the</w:t>
      </w:r>
      <w:r w:rsidRPr="00722524">
        <w:rPr>
          <w:rFonts w:ascii="Arial" w:hAnsi="Arial" w:cs="Arial"/>
          <w:spacing w:val="1"/>
          <w:sz w:val="20"/>
        </w:rPr>
        <w:t xml:space="preserve"> </w:t>
      </w:r>
      <w:r w:rsidRPr="00722524">
        <w:rPr>
          <w:rFonts w:ascii="Arial" w:hAnsi="Arial" w:cs="Arial"/>
          <w:sz w:val="20"/>
        </w:rPr>
        <w:t>aircraft.</w:t>
      </w:r>
    </w:p>
    <w:p w14:paraId="04853EC3" w14:textId="77777777" w:rsidR="00722524" w:rsidRPr="00722524" w:rsidRDefault="00722524" w:rsidP="00A41247">
      <w:pPr>
        <w:pStyle w:val="ListParagraph"/>
        <w:numPr>
          <w:ilvl w:val="0"/>
          <w:numId w:val="284"/>
        </w:numPr>
        <w:tabs>
          <w:tab w:val="left" w:pos="706"/>
          <w:tab w:val="left" w:pos="707"/>
        </w:tabs>
        <w:spacing w:before="121"/>
        <w:ind w:right="68"/>
        <w:rPr>
          <w:rFonts w:ascii="Arial" w:hAnsi="Arial" w:cs="Arial"/>
          <w:sz w:val="20"/>
        </w:rPr>
      </w:pPr>
      <w:r w:rsidRPr="00722524">
        <w:rPr>
          <w:rFonts w:ascii="Arial" w:hAnsi="Arial" w:cs="Arial"/>
          <w:sz w:val="20"/>
        </w:rPr>
        <w:t>For</w:t>
      </w:r>
      <w:r w:rsidRPr="00722524">
        <w:rPr>
          <w:rFonts w:ascii="Arial" w:hAnsi="Arial" w:cs="Arial"/>
          <w:spacing w:val="-2"/>
          <w:sz w:val="20"/>
        </w:rPr>
        <w:t xml:space="preserve"> </w:t>
      </w:r>
      <w:r w:rsidRPr="00722524">
        <w:rPr>
          <w:rFonts w:ascii="Arial" w:hAnsi="Arial" w:cs="Arial"/>
          <w:sz w:val="20"/>
        </w:rPr>
        <w:t>the</w:t>
      </w:r>
      <w:r w:rsidRPr="00722524">
        <w:rPr>
          <w:rFonts w:ascii="Arial" w:hAnsi="Arial" w:cs="Arial"/>
          <w:spacing w:val="-3"/>
          <w:sz w:val="20"/>
        </w:rPr>
        <w:t xml:space="preserve"> </w:t>
      </w:r>
      <w:r w:rsidRPr="00722524">
        <w:rPr>
          <w:rFonts w:ascii="Arial" w:hAnsi="Arial" w:cs="Arial"/>
          <w:sz w:val="20"/>
        </w:rPr>
        <w:t>purpose</w:t>
      </w:r>
      <w:r w:rsidRPr="00722524">
        <w:rPr>
          <w:rFonts w:ascii="Arial" w:hAnsi="Arial" w:cs="Arial"/>
          <w:spacing w:val="-3"/>
          <w:sz w:val="20"/>
        </w:rPr>
        <w:t xml:space="preserve"> </w:t>
      </w:r>
      <w:r w:rsidRPr="00722524">
        <w:rPr>
          <w:rFonts w:ascii="Arial" w:hAnsi="Arial" w:cs="Arial"/>
          <w:sz w:val="20"/>
        </w:rPr>
        <w:t>of</w:t>
      </w:r>
      <w:r w:rsidRPr="00722524">
        <w:rPr>
          <w:rFonts w:ascii="Arial" w:hAnsi="Arial" w:cs="Arial"/>
          <w:spacing w:val="-5"/>
          <w:sz w:val="20"/>
        </w:rPr>
        <w:t xml:space="preserve"> </w:t>
      </w:r>
      <w:r w:rsidRPr="00722524">
        <w:rPr>
          <w:rFonts w:ascii="Arial" w:hAnsi="Arial" w:cs="Arial"/>
          <w:sz w:val="20"/>
        </w:rPr>
        <w:t>this</w:t>
      </w:r>
      <w:r w:rsidRPr="00722524">
        <w:rPr>
          <w:rFonts w:ascii="Arial" w:hAnsi="Arial" w:cs="Arial"/>
          <w:spacing w:val="-1"/>
          <w:sz w:val="20"/>
        </w:rPr>
        <w:t xml:space="preserve"> </w:t>
      </w:r>
      <w:r w:rsidRPr="00722524">
        <w:rPr>
          <w:rFonts w:ascii="Arial" w:hAnsi="Arial" w:cs="Arial"/>
          <w:sz w:val="20"/>
        </w:rPr>
        <w:t>Annex,</w:t>
      </w:r>
      <w:r w:rsidRPr="00722524">
        <w:rPr>
          <w:rFonts w:ascii="Arial" w:hAnsi="Arial" w:cs="Arial"/>
          <w:spacing w:val="-1"/>
          <w:sz w:val="20"/>
        </w:rPr>
        <w:t xml:space="preserve"> </w:t>
      </w:r>
      <w:r w:rsidRPr="00722524">
        <w:rPr>
          <w:rFonts w:ascii="Arial" w:hAnsi="Arial" w:cs="Arial"/>
          <w:sz w:val="20"/>
        </w:rPr>
        <w:t>the</w:t>
      </w:r>
      <w:r w:rsidRPr="00722524">
        <w:rPr>
          <w:rFonts w:ascii="Arial" w:hAnsi="Arial" w:cs="Arial"/>
          <w:spacing w:val="-1"/>
          <w:sz w:val="20"/>
        </w:rPr>
        <w:t xml:space="preserve"> </w:t>
      </w:r>
      <w:r w:rsidRPr="00722524">
        <w:rPr>
          <w:rFonts w:ascii="Arial" w:hAnsi="Arial" w:cs="Arial"/>
          <w:sz w:val="20"/>
        </w:rPr>
        <w:t>following</w:t>
      </w:r>
      <w:r w:rsidRPr="00722524">
        <w:rPr>
          <w:rFonts w:ascii="Arial" w:hAnsi="Arial" w:cs="Arial"/>
          <w:spacing w:val="-3"/>
          <w:sz w:val="20"/>
        </w:rPr>
        <w:t xml:space="preserve"> </w:t>
      </w:r>
      <w:r w:rsidRPr="00722524">
        <w:rPr>
          <w:rFonts w:ascii="Arial" w:hAnsi="Arial" w:cs="Arial"/>
          <w:sz w:val="20"/>
        </w:rPr>
        <w:t>definitions</w:t>
      </w:r>
      <w:r w:rsidRPr="00722524">
        <w:rPr>
          <w:rFonts w:ascii="Arial" w:hAnsi="Arial" w:cs="Arial"/>
          <w:spacing w:val="-1"/>
          <w:sz w:val="20"/>
        </w:rPr>
        <w:t xml:space="preserve"> </w:t>
      </w:r>
      <w:r w:rsidRPr="00722524">
        <w:rPr>
          <w:rFonts w:ascii="Arial" w:hAnsi="Arial" w:cs="Arial"/>
          <w:sz w:val="20"/>
        </w:rPr>
        <w:t>shall</w:t>
      </w:r>
      <w:r w:rsidRPr="00722524">
        <w:rPr>
          <w:rFonts w:ascii="Arial" w:hAnsi="Arial" w:cs="Arial"/>
          <w:spacing w:val="-3"/>
          <w:sz w:val="20"/>
        </w:rPr>
        <w:t xml:space="preserve"> </w:t>
      </w:r>
      <w:r w:rsidRPr="00722524">
        <w:rPr>
          <w:rFonts w:ascii="Arial" w:hAnsi="Arial" w:cs="Arial"/>
          <w:sz w:val="20"/>
        </w:rPr>
        <w:t>apply:</w:t>
      </w:r>
    </w:p>
    <w:p w14:paraId="06C57012" w14:textId="77777777" w:rsidR="00722524" w:rsidRPr="00722524" w:rsidRDefault="00722524" w:rsidP="00A41247">
      <w:pPr>
        <w:pStyle w:val="ListParagraph"/>
        <w:numPr>
          <w:ilvl w:val="1"/>
          <w:numId w:val="284"/>
        </w:numPr>
        <w:tabs>
          <w:tab w:val="left" w:pos="1273"/>
          <w:tab w:val="left" w:pos="1274"/>
        </w:tabs>
        <w:ind w:right="68"/>
        <w:rPr>
          <w:rFonts w:ascii="Arial" w:hAnsi="Arial" w:cs="Arial"/>
          <w:sz w:val="20"/>
        </w:rPr>
      </w:pPr>
      <w:r w:rsidRPr="00722524">
        <w:rPr>
          <w:rFonts w:ascii="Arial" w:hAnsi="Arial" w:cs="Arial"/>
          <w:sz w:val="20"/>
        </w:rPr>
        <w:t>'independent</w:t>
      </w:r>
      <w:r w:rsidRPr="00722524">
        <w:rPr>
          <w:rFonts w:ascii="Arial" w:hAnsi="Arial" w:cs="Arial"/>
          <w:spacing w:val="11"/>
          <w:sz w:val="20"/>
        </w:rPr>
        <w:t xml:space="preserve"> </w:t>
      </w:r>
      <w:r w:rsidRPr="00722524">
        <w:rPr>
          <w:rFonts w:ascii="Arial" w:hAnsi="Arial" w:cs="Arial"/>
          <w:sz w:val="20"/>
        </w:rPr>
        <w:t>certifying</w:t>
      </w:r>
      <w:r w:rsidRPr="00722524">
        <w:rPr>
          <w:rFonts w:ascii="Arial" w:hAnsi="Arial" w:cs="Arial"/>
          <w:spacing w:val="10"/>
          <w:sz w:val="20"/>
        </w:rPr>
        <w:t xml:space="preserve"> </w:t>
      </w:r>
      <w:r w:rsidRPr="00722524">
        <w:rPr>
          <w:rFonts w:ascii="Arial" w:hAnsi="Arial" w:cs="Arial"/>
          <w:sz w:val="20"/>
        </w:rPr>
        <w:t>staff'</w:t>
      </w:r>
      <w:r w:rsidRPr="00722524">
        <w:rPr>
          <w:rFonts w:ascii="Arial" w:hAnsi="Arial" w:cs="Arial"/>
          <w:spacing w:val="10"/>
          <w:sz w:val="20"/>
        </w:rPr>
        <w:t xml:space="preserve"> </w:t>
      </w:r>
      <w:r w:rsidRPr="00722524">
        <w:rPr>
          <w:rFonts w:ascii="Arial" w:hAnsi="Arial" w:cs="Arial"/>
          <w:sz w:val="20"/>
        </w:rPr>
        <w:t>means</w:t>
      </w:r>
      <w:r w:rsidRPr="00722524">
        <w:rPr>
          <w:rFonts w:ascii="Arial" w:hAnsi="Arial" w:cs="Arial"/>
          <w:spacing w:val="11"/>
          <w:sz w:val="20"/>
        </w:rPr>
        <w:t xml:space="preserve"> </w:t>
      </w:r>
      <w:r w:rsidRPr="00722524">
        <w:rPr>
          <w:rFonts w:ascii="Arial" w:hAnsi="Arial" w:cs="Arial"/>
          <w:sz w:val="20"/>
        </w:rPr>
        <w:t>certifying</w:t>
      </w:r>
      <w:r w:rsidRPr="00722524">
        <w:rPr>
          <w:rFonts w:ascii="Arial" w:hAnsi="Arial" w:cs="Arial"/>
          <w:spacing w:val="10"/>
          <w:sz w:val="20"/>
        </w:rPr>
        <w:t xml:space="preserve"> </w:t>
      </w:r>
      <w:r w:rsidRPr="00722524">
        <w:rPr>
          <w:rFonts w:ascii="Arial" w:hAnsi="Arial" w:cs="Arial"/>
          <w:sz w:val="20"/>
        </w:rPr>
        <w:t>staff</w:t>
      </w:r>
      <w:r w:rsidRPr="00722524">
        <w:rPr>
          <w:rFonts w:ascii="Arial" w:hAnsi="Arial" w:cs="Arial"/>
          <w:spacing w:val="9"/>
          <w:sz w:val="20"/>
        </w:rPr>
        <w:t xml:space="preserve"> </w:t>
      </w:r>
      <w:r w:rsidRPr="00722524">
        <w:rPr>
          <w:rFonts w:ascii="Arial" w:hAnsi="Arial" w:cs="Arial"/>
          <w:sz w:val="20"/>
        </w:rPr>
        <w:t>who</w:t>
      </w:r>
      <w:r w:rsidRPr="00722524">
        <w:rPr>
          <w:rFonts w:ascii="Arial" w:hAnsi="Arial" w:cs="Arial"/>
          <w:spacing w:val="12"/>
          <w:sz w:val="20"/>
        </w:rPr>
        <w:t xml:space="preserve"> </w:t>
      </w:r>
      <w:r w:rsidRPr="00722524">
        <w:rPr>
          <w:rFonts w:ascii="Arial" w:hAnsi="Arial" w:cs="Arial"/>
          <w:sz w:val="20"/>
        </w:rPr>
        <w:t>does</w:t>
      </w:r>
      <w:r w:rsidRPr="00722524">
        <w:rPr>
          <w:rFonts w:ascii="Arial" w:hAnsi="Arial" w:cs="Arial"/>
          <w:spacing w:val="11"/>
          <w:sz w:val="20"/>
        </w:rPr>
        <w:t xml:space="preserve"> </w:t>
      </w:r>
      <w:r w:rsidRPr="00722524">
        <w:rPr>
          <w:rFonts w:ascii="Arial" w:hAnsi="Arial" w:cs="Arial"/>
          <w:sz w:val="20"/>
        </w:rPr>
        <w:t>not</w:t>
      </w:r>
      <w:r w:rsidRPr="00722524">
        <w:rPr>
          <w:rFonts w:ascii="Arial" w:hAnsi="Arial" w:cs="Arial"/>
          <w:spacing w:val="11"/>
          <w:sz w:val="20"/>
        </w:rPr>
        <w:t xml:space="preserve"> </w:t>
      </w:r>
      <w:r w:rsidRPr="00722524">
        <w:rPr>
          <w:rFonts w:ascii="Arial" w:hAnsi="Arial" w:cs="Arial"/>
          <w:sz w:val="20"/>
        </w:rPr>
        <w:t>work</w:t>
      </w:r>
      <w:r w:rsidRPr="00722524">
        <w:rPr>
          <w:rFonts w:ascii="Arial" w:hAnsi="Arial" w:cs="Arial"/>
          <w:spacing w:val="9"/>
          <w:sz w:val="20"/>
        </w:rPr>
        <w:t xml:space="preserve"> </w:t>
      </w:r>
      <w:r w:rsidRPr="00722524">
        <w:rPr>
          <w:rFonts w:ascii="Arial" w:hAnsi="Arial" w:cs="Arial"/>
          <w:sz w:val="20"/>
        </w:rPr>
        <w:t>on</w:t>
      </w:r>
      <w:r w:rsidRPr="00722524">
        <w:rPr>
          <w:rFonts w:ascii="Arial" w:hAnsi="Arial" w:cs="Arial"/>
          <w:spacing w:val="10"/>
          <w:sz w:val="20"/>
        </w:rPr>
        <w:t xml:space="preserve"> </w:t>
      </w:r>
      <w:r w:rsidRPr="00722524">
        <w:rPr>
          <w:rFonts w:ascii="Arial" w:hAnsi="Arial" w:cs="Arial"/>
          <w:sz w:val="20"/>
        </w:rPr>
        <w:t>behalf</w:t>
      </w:r>
      <w:r w:rsidRPr="00722524">
        <w:rPr>
          <w:rFonts w:ascii="Arial" w:hAnsi="Arial" w:cs="Arial"/>
          <w:spacing w:val="11"/>
          <w:sz w:val="20"/>
        </w:rPr>
        <w:t xml:space="preserve"> </w:t>
      </w:r>
      <w:r w:rsidRPr="00722524">
        <w:rPr>
          <w:rFonts w:ascii="Arial" w:hAnsi="Arial" w:cs="Arial"/>
          <w:sz w:val="20"/>
        </w:rPr>
        <w:t>of</w:t>
      </w:r>
      <w:r w:rsidRPr="00722524">
        <w:rPr>
          <w:rFonts w:ascii="Arial" w:hAnsi="Arial" w:cs="Arial"/>
          <w:spacing w:val="11"/>
          <w:sz w:val="20"/>
        </w:rPr>
        <w:t xml:space="preserve"> </w:t>
      </w:r>
      <w:r w:rsidRPr="00722524">
        <w:rPr>
          <w:rFonts w:ascii="Arial" w:hAnsi="Arial" w:cs="Arial"/>
          <w:sz w:val="20"/>
        </w:rPr>
        <w:t>an</w:t>
      </w:r>
      <w:r w:rsidRPr="00722524">
        <w:rPr>
          <w:rFonts w:ascii="Arial" w:hAnsi="Arial" w:cs="Arial"/>
          <w:spacing w:val="-47"/>
          <w:sz w:val="20"/>
        </w:rPr>
        <w:t xml:space="preserve"> </w:t>
      </w:r>
      <w:r w:rsidRPr="00722524">
        <w:rPr>
          <w:rFonts w:ascii="Arial" w:hAnsi="Arial" w:cs="Arial"/>
          <w:sz w:val="20"/>
        </w:rPr>
        <w:t>approved</w:t>
      </w:r>
      <w:r w:rsidRPr="00722524">
        <w:rPr>
          <w:rFonts w:ascii="Arial" w:hAnsi="Arial" w:cs="Arial"/>
          <w:spacing w:val="-4"/>
          <w:sz w:val="20"/>
        </w:rPr>
        <w:t xml:space="preserve"> </w:t>
      </w:r>
      <w:r w:rsidRPr="00722524">
        <w:rPr>
          <w:rFonts w:ascii="Arial" w:hAnsi="Arial" w:cs="Arial"/>
          <w:sz w:val="20"/>
        </w:rPr>
        <w:t>maintenance</w:t>
      </w:r>
      <w:r w:rsidRPr="00722524">
        <w:rPr>
          <w:rFonts w:ascii="Arial" w:hAnsi="Arial" w:cs="Arial"/>
          <w:spacing w:val="-2"/>
          <w:sz w:val="20"/>
        </w:rPr>
        <w:t xml:space="preserve"> </w:t>
      </w:r>
      <w:r w:rsidRPr="00722524">
        <w:rPr>
          <w:rFonts w:ascii="Arial" w:hAnsi="Arial" w:cs="Arial"/>
          <w:sz w:val="20"/>
        </w:rPr>
        <w:t>organisation</w:t>
      </w:r>
      <w:r w:rsidRPr="00722524">
        <w:rPr>
          <w:rFonts w:ascii="Arial" w:hAnsi="Arial" w:cs="Arial"/>
          <w:spacing w:val="-1"/>
          <w:sz w:val="20"/>
        </w:rPr>
        <w:t xml:space="preserve"> </w:t>
      </w:r>
      <w:r w:rsidRPr="00722524">
        <w:rPr>
          <w:rFonts w:ascii="Arial" w:hAnsi="Arial" w:cs="Arial"/>
          <w:sz w:val="20"/>
        </w:rPr>
        <w:t>and</w:t>
      </w:r>
      <w:r w:rsidRPr="00722524">
        <w:rPr>
          <w:rFonts w:ascii="Arial" w:hAnsi="Arial" w:cs="Arial"/>
          <w:spacing w:val="-3"/>
          <w:sz w:val="20"/>
        </w:rPr>
        <w:t xml:space="preserve"> </w:t>
      </w:r>
      <w:r w:rsidRPr="00722524">
        <w:rPr>
          <w:rFonts w:ascii="Arial" w:hAnsi="Arial" w:cs="Arial"/>
          <w:sz w:val="20"/>
        </w:rPr>
        <w:t>who</w:t>
      </w:r>
      <w:r w:rsidRPr="00722524">
        <w:rPr>
          <w:rFonts w:ascii="Arial" w:hAnsi="Arial" w:cs="Arial"/>
          <w:spacing w:val="-1"/>
          <w:sz w:val="20"/>
        </w:rPr>
        <w:t xml:space="preserve"> </w:t>
      </w:r>
      <w:r w:rsidRPr="00722524">
        <w:rPr>
          <w:rFonts w:ascii="Arial" w:hAnsi="Arial" w:cs="Arial"/>
          <w:sz w:val="20"/>
        </w:rPr>
        <w:t>complies with, alternatively:</w:t>
      </w:r>
    </w:p>
    <w:p w14:paraId="5F6922FA" w14:textId="77777777" w:rsidR="00722524" w:rsidRPr="00722524" w:rsidRDefault="00722524" w:rsidP="00A41247">
      <w:pPr>
        <w:pStyle w:val="ListParagraph"/>
        <w:numPr>
          <w:ilvl w:val="2"/>
          <w:numId w:val="284"/>
        </w:numPr>
        <w:tabs>
          <w:tab w:val="left" w:pos="1841"/>
          <w:tab w:val="left" w:pos="1842"/>
        </w:tabs>
        <w:ind w:right="68"/>
        <w:rPr>
          <w:rFonts w:ascii="Arial" w:hAnsi="Arial" w:cs="Arial"/>
          <w:sz w:val="20"/>
        </w:rPr>
      </w:pPr>
      <w:r w:rsidRPr="00722524">
        <w:rPr>
          <w:rFonts w:ascii="Arial" w:hAnsi="Arial" w:cs="Arial"/>
          <w:sz w:val="20"/>
        </w:rPr>
        <w:t>the</w:t>
      </w:r>
      <w:r w:rsidRPr="00722524">
        <w:rPr>
          <w:rFonts w:ascii="Arial" w:hAnsi="Arial" w:cs="Arial"/>
          <w:spacing w:val="-1"/>
          <w:sz w:val="20"/>
        </w:rPr>
        <w:t xml:space="preserve"> </w:t>
      </w:r>
      <w:r w:rsidRPr="00722524">
        <w:rPr>
          <w:rFonts w:ascii="Arial" w:hAnsi="Arial" w:cs="Arial"/>
          <w:sz w:val="20"/>
        </w:rPr>
        <w:t>requirements</w:t>
      </w:r>
      <w:r w:rsidRPr="00722524">
        <w:rPr>
          <w:rFonts w:ascii="Arial" w:hAnsi="Arial" w:cs="Arial"/>
          <w:spacing w:val="-3"/>
          <w:sz w:val="20"/>
        </w:rPr>
        <w:t xml:space="preserve"> </w:t>
      </w:r>
      <w:r w:rsidRPr="00722524">
        <w:rPr>
          <w:rFonts w:ascii="Arial" w:hAnsi="Arial" w:cs="Arial"/>
          <w:sz w:val="20"/>
        </w:rPr>
        <w:t>of</w:t>
      </w:r>
      <w:r w:rsidRPr="00722524">
        <w:rPr>
          <w:rFonts w:ascii="Arial" w:hAnsi="Arial" w:cs="Arial"/>
          <w:spacing w:val="-1"/>
          <w:sz w:val="20"/>
        </w:rPr>
        <w:t xml:space="preserve"> </w:t>
      </w:r>
      <w:r w:rsidRPr="00722524">
        <w:rPr>
          <w:rFonts w:ascii="Arial" w:hAnsi="Arial" w:cs="Arial"/>
          <w:sz w:val="20"/>
        </w:rPr>
        <w:t>Annex</w:t>
      </w:r>
      <w:r w:rsidRPr="00722524">
        <w:rPr>
          <w:rFonts w:ascii="Arial" w:hAnsi="Arial" w:cs="Arial"/>
          <w:spacing w:val="-3"/>
          <w:sz w:val="20"/>
        </w:rPr>
        <w:t xml:space="preserve"> </w:t>
      </w:r>
      <w:r w:rsidRPr="00722524">
        <w:rPr>
          <w:rFonts w:ascii="Arial" w:hAnsi="Arial" w:cs="Arial"/>
          <w:sz w:val="20"/>
        </w:rPr>
        <w:t>III</w:t>
      </w:r>
      <w:r w:rsidRPr="00722524">
        <w:rPr>
          <w:rFonts w:ascii="Arial" w:hAnsi="Arial" w:cs="Arial"/>
          <w:spacing w:val="-1"/>
          <w:sz w:val="20"/>
        </w:rPr>
        <w:t xml:space="preserve"> </w:t>
      </w:r>
      <w:r w:rsidRPr="00722524">
        <w:rPr>
          <w:rFonts w:ascii="Arial" w:hAnsi="Arial" w:cs="Arial"/>
          <w:sz w:val="20"/>
        </w:rPr>
        <w:t>(Part-66);</w:t>
      </w:r>
    </w:p>
    <w:p w14:paraId="5F6FB2C0" w14:textId="487ECFFA" w:rsidR="00722524" w:rsidRPr="00722524" w:rsidRDefault="00722524" w:rsidP="00A41247">
      <w:pPr>
        <w:pStyle w:val="ListParagraph"/>
        <w:numPr>
          <w:ilvl w:val="2"/>
          <w:numId w:val="284"/>
        </w:numPr>
        <w:tabs>
          <w:tab w:val="left" w:pos="1841"/>
          <w:tab w:val="left" w:pos="1842"/>
        </w:tabs>
        <w:spacing w:before="121"/>
        <w:ind w:right="68"/>
        <w:rPr>
          <w:rFonts w:ascii="Arial" w:hAnsi="Arial" w:cs="Arial"/>
          <w:sz w:val="20"/>
        </w:rPr>
      </w:pPr>
      <w:r w:rsidRPr="00722524">
        <w:rPr>
          <w:rFonts w:ascii="Arial" w:hAnsi="Arial" w:cs="Arial"/>
          <w:sz w:val="20"/>
        </w:rPr>
        <w:t>for</w:t>
      </w:r>
      <w:r w:rsidRPr="00722524">
        <w:rPr>
          <w:rFonts w:ascii="Arial" w:hAnsi="Arial" w:cs="Arial"/>
          <w:spacing w:val="19"/>
          <w:sz w:val="20"/>
        </w:rPr>
        <w:t xml:space="preserve"> </w:t>
      </w:r>
      <w:r w:rsidRPr="00722524">
        <w:rPr>
          <w:rFonts w:ascii="Arial" w:hAnsi="Arial" w:cs="Arial"/>
          <w:sz w:val="20"/>
        </w:rPr>
        <w:t>aircraft</w:t>
      </w:r>
      <w:r w:rsidRPr="00722524">
        <w:rPr>
          <w:rFonts w:ascii="Arial" w:hAnsi="Arial" w:cs="Arial"/>
          <w:spacing w:val="19"/>
          <w:sz w:val="20"/>
        </w:rPr>
        <w:t xml:space="preserve"> </w:t>
      </w:r>
      <w:r w:rsidRPr="00722524">
        <w:rPr>
          <w:rFonts w:ascii="Arial" w:hAnsi="Arial" w:cs="Arial"/>
          <w:sz w:val="20"/>
        </w:rPr>
        <w:t>to</w:t>
      </w:r>
      <w:r w:rsidRPr="00722524">
        <w:rPr>
          <w:rFonts w:ascii="Arial" w:hAnsi="Arial" w:cs="Arial"/>
          <w:spacing w:val="18"/>
          <w:sz w:val="20"/>
        </w:rPr>
        <w:t xml:space="preserve"> </w:t>
      </w:r>
      <w:r w:rsidRPr="00722524">
        <w:rPr>
          <w:rFonts w:ascii="Arial" w:hAnsi="Arial" w:cs="Arial"/>
          <w:sz w:val="20"/>
        </w:rPr>
        <w:t>which</w:t>
      </w:r>
      <w:r w:rsidRPr="00722524">
        <w:rPr>
          <w:rFonts w:ascii="Arial" w:hAnsi="Arial" w:cs="Arial"/>
          <w:spacing w:val="18"/>
          <w:sz w:val="20"/>
        </w:rPr>
        <w:t xml:space="preserve"> </w:t>
      </w:r>
      <w:r w:rsidRPr="00722524">
        <w:rPr>
          <w:rFonts w:ascii="Arial" w:hAnsi="Arial" w:cs="Arial"/>
          <w:sz w:val="20"/>
        </w:rPr>
        <w:t>Annex</w:t>
      </w:r>
      <w:r w:rsidRPr="00722524">
        <w:rPr>
          <w:rFonts w:ascii="Arial" w:hAnsi="Arial" w:cs="Arial"/>
          <w:spacing w:val="2"/>
          <w:sz w:val="20"/>
        </w:rPr>
        <w:t xml:space="preserve"> </w:t>
      </w:r>
      <w:r w:rsidRPr="00722524">
        <w:rPr>
          <w:rFonts w:ascii="Arial" w:hAnsi="Arial" w:cs="Arial"/>
          <w:sz w:val="20"/>
        </w:rPr>
        <w:t>III</w:t>
      </w:r>
      <w:r w:rsidRPr="00722524">
        <w:rPr>
          <w:rFonts w:ascii="Arial" w:hAnsi="Arial" w:cs="Arial"/>
          <w:spacing w:val="18"/>
          <w:sz w:val="20"/>
        </w:rPr>
        <w:t xml:space="preserve"> </w:t>
      </w:r>
      <w:r w:rsidRPr="00722524">
        <w:rPr>
          <w:rFonts w:ascii="Arial" w:hAnsi="Arial" w:cs="Arial"/>
          <w:sz w:val="20"/>
        </w:rPr>
        <w:t>(Part-66)</w:t>
      </w:r>
      <w:r w:rsidRPr="00722524">
        <w:rPr>
          <w:rFonts w:ascii="Arial" w:hAnsi="Arial" w:cs="Arial"/>
          <w:spacing w:val="16"/>
          <w:sz w:val="20"/>
        </w:rPr>
        <w:t xml:space="preserve"> </w:t>
      </w:r>
      <w:r w:rsidRPr="00722524">
        <w:rPr>
          <w:rFonts w:ascii="Arial" w:hAnsi="Arial" w:cs="Arial"/>
          <w:sz w:val="20"/>
        </w:rPr>
        <w:t>does</w:t>
      </w:r>
      <w:r w:rsidRPr="00722524">
        <w:rPr>
          <w:rFonts w:ascii="Arial" w:hAnsi="Arial" w:cs="Arial"/>
          <w:spacing w:val="20"/>
          <w:sz w:val="20"/>
        </w:rPr>
        <w:t xml:space="preserve"> </w:t>
      </w:r>
      <w:r w:rsidRPr="00722524">
        <w:rPr>
          <w:rFonts w:ascii="Arial" w:hAnsi="Arial" w:cs="Arial"/>
          <w:sz w:val="20"/>
        </w:rPr>
        <w:t>not</w:t>
      </w:r>
      <w:r w:rsidRPr="00722524">
        <w:rPr>
          <w:rFonts w:ascii="Arial" w:hAnsi="Arial" w:cs="Arial"/>
          <w:spacing w:val="17"/>
          <w:sz w:val="20"/>
        </w:rPr>
        <w:t xml:space="preserve"> </w:t>
      </w:r>
      <w:r w:rsidRPr="00722524">
        <w:rPr>
          <w:rFonts w:ascii="Arial" w:hAnsi="Arial" w:cs="Arial"/>
          <w:sz w:val="20"/>
        </w:rPr>
        <w:t>apply,</w:t>
      </w:r>
      <w:r w:rsidRPr="00722524">
        <w:rPr>
          <w:rFonts w:ascii="Arial" w:hAnsi="Arial" w:cs="Arial"/>
          <w:spacing w:val="19"/>
          <w:sz w:val="20"/>
        </w:rPr>
        <w:t xml:space="preserve"> </w:t>
      </w:r>
      <w:r w:rsidRPr="00722524">
        <w:rPr>
          <w:rFonts w:ascii="Arial" w:hAnsi="Arial" w:cs="Arial"/>
          <w:sz w:val="20"/>
        </w:rPr>
        <w:t>the</w:t>
      </w:r>
      <w:r w:rsidRPr="00722524">
        <w:rPr>
          <w:rFonts w:ascii="Arial" w:hAnsi="Arial" w:cs="Arial"/>
          <w:spacing w:val="19"/>
          <w:sz w:val="20"/>
        </w:rPr>
        <w:t xml:space="preserve"> </w:t>
      </w:r>
      <w:r w:rsidRPr="00722524">
        <w:rPr>
          <w:rFonts w:ascii="Arial" w:hAnsi="Arial" w:cs="Arial"/>
          <w:sz w:val="20"/>
        </w:rPr>
        <w:t>certifying</w:t>
      </w:r>
      <w:r w:rsidRPr="00722524">
        <w:rPr>
          <w:rFonts w:ascii="Arial" w:hAnsi="Arial" w:cs="Arial"/>
          <w:spacing w:val="18"/>
          <w:sz w:val="20"/>
        </w:rPr>
        <w:t xml:space="preserve"> </w:t>
      </w:r>
      <w:r w:rsidRPr="00722524">
        <w:rPr>
          <w:rFonts w:ascii="Arial" w:hAnsi="Arial" w:cs="Arial"/>
          <w:sz w:val="20"/>
        </w:rPr>
        <w:t>staff</w:t>
      </w:r>
      <w:r w:rsidRPr="00722524">
        <w:rPr>
          <w:rFonts w:ascii="Arial" w:hAnsi="Arial" w:cs="Arial"/>
          <w:spacing w:val="-47"/>
          <w:sz w:val="20"/>
        </w:rPr>
        <w:t xml:space="preserve"> </w:t>
      </w:r>
      <w:r w:rsidRPr="00722524">
        <w:rPr>
          <w:rFonts w:ascii="Arial" w:hAnsi="Arial" w:cs="Arial"/>
          <w:sz w:val="20"/>
        </w:rPr>
        <w:t>requirements</w:t>
      </w:r>
      <w:r w:rsidRPr="00722524">
        <w:rPr>
          <w:rFonts w:ascii="Arial" w:hAnsi="Arial" w:cs="Arial"/>
          <w:spacing w:val="-1"/>
          <w:sz w:val="20"/>
        </w:rPr>
        <w:t xml:space="preserve"> </w:t>
      </w:r>
      <w:r w:rsidRPr="00722524">
        <w:rPr>
          <w:rFonts w:ascii="Arial" w:hAnsi="Arial" w:cs="Arial"/>
          <w:sz w:val="20"/>
        </w:rPr>
        <w:t>in</w:t>
      </w:r>
      <w:r w:rsidRPr="00722524">
        <w:rPr>
          <w:rFonts w:ascii="Arial" w:hAnsi="Arial" w:cs="Arial"/>
          <w:spacing w:val="-1"/>
          <w:sz w:val="20"/>
        </w:rPr>
        <w:t xml:space="preserve"> </w:t>
      </w:r>
      <w:r w:rsidRPr="00722524">
        <w:rPr>
          <w:rFonts w:ascii="Arial" w:hAnsi="Arial" w:cs="Arial"/>
          <w:sz w:val="20"/>
        </w:rPr>
        <w:t>force in</w:t>
      </w:r>
      <w:r w:rsidRPr="00722524">
        <w:rPr>
          <w:rFonts w:ascii="Arial" w:hAnsi="Arial" w:cs="Arial"/>
          <w:spacing w:val="-1"/>
          <w:sz w:val="20"/>
        </w:rPr>
        <w:t xml:space="preserve"> </w:t>
      </w:r>
      <w:r w:rsidR="00BE47FC">
        <w:rPr>
          <w:rFonts w:ascii="Arial" w:hAnsi="Arial" w:cs="Arial"/>
          <w:sz w:val="20"/>
        </w:rPr>
        <w:t xml:space="preserve">the Republic of Armenia </w:t>
      </w:r>
      <w:r w:rsidRPr="00722524">
        <w:rPr>
          <w:rFonts w:ascii="Arial" w:hAnsi="Arial" w:cs="Arial"/>
          <w:sz w:val="20"/>
        </w:rPr>
        <w:t>of registry</w:t>
      </w:r>
      <w:r w:rsidRPr="00722524">
        <w:rPr>
          <w:rFonts w:ascii="Arial" w:hAnsi="Arial" w:cs="Arial"/>
          <w:spacing w:val="-5"/>
          <w:sz w:val="20"/>
        </w:rPr>
        <w:t xml:space="preserve"> </w:t>
      </w:r>
      <w:r w:rsidRPr="00722524">
        <w:rPr>
          <w:rFonts w:ascii="Arial" w:hAnsi="Arial" w:cs="Arial"/>
          <w:sz w:val="20"/>
        </w:rPr>
        <w:t>of the</w:t>
      </w:r>
      <w:r w:rsidRPr="00722524">
        <w:rPr>
          <w:rFonts w:ascii="Arial" w:hAnsi="Arial" w:cs="Arial"/>
          <w:spacing w:val="-2"/>
          <w:sz w:val="20"/>
        </w:rPr>
        <w:t xml:space="preserve"> </w:t>
      </w:r>
      <w:r w:rsidRPr="00722524">
        <w:rPr>
          <w:rFonts w:ascii="Arial" w:hAnsi="Arial" w:cs="Arial"/>
          <w:sz w:val="20"/>
        </w:rPr>
        <w:t>aircraft;</w:t>
      </w:r>
    </w:p>
    <w:p w14:paraId="5B295919" w14:textId="77777777" w:rsidR="00722524" w:rsidRPr="00722524" w:rsidRDefault="00722524" w:rsidP="00A41247">
      <w:pPr>
        <w:pStyle w:val="ListParagraph"/>
        <w:numPr>
          <w:ilvl w:val="1"/>
          <w:numId w:val="284"/>
        </w:numPr>
        <w:tabs>
          <w:tab w:val="left" w:pos="1273"/>
          <w:tab w:val="left" w:pos="1274"/>
        </w:tabs>
        <w:ind w:right="68"/>
        <w:rPr>
          <w:rFonts w:ascii="Arial" w:hAnsi="Arial" w:cs="Arial"/>
          <w:sz w:val="20"/>
        </w:rPr>
      </w:pPr>
      <w:r w:rsidRPr="00722524">
        <w:rPr>
          <w:rFonts w:ascii="Arial" w:hAnsi="Arial" w:cs="Arial"/>
          <w:sz w:val="20"/>
        </w:rPr>
        <w:t>'maintenance</w:t>
      </w:r>
      <w:r w:rsidRPr="00722524">
        <w:rPr>
          <w:rFonts w:ascii="Arial" w:hAnsi="Arial" w:cs="Arial"/>
          <w:spacing w:val="30"/>
          <w:sz w:val="20"/>
        </w:rPr>
        <w:t xml:space="preserve"> </w:t>
      </w:r>
      <w:r w:rsidRPr="00722524">
        <w:rPr>
          <w:rFonts w:ascii="Arial" w:hAnsi="Arial" w:cs="Arial"/>
          <w:sz w:val="20"/>
        </w:rPr>
        <w:t>organisation'</w:t>
      </w:r>
      <w:r w:rsidRPr="00722524">
        <w:rPr>
          <w:rFonts w:ascii="Arial" w:hAnsi="Arial" w:cs="Arial"/>
          <w:spacing w:val="31"/>
          <w:sz w:val="20"/>
        </w:rPr>
        <w:t xml:space="preserve"> </w:t>
      </w:r>
      <w:r w:rsidRPr="00722524">
        <w:rPr>
          <w:rFonts w:ascii="Arial" w:hAnsi="Arial" w:cs="Arial"/>
          <w:sz w:val="20"/>
        </w:rPr>
        <w:t>means</w:t>
      </w:r>
      <w:r w:rsidRPr="00722524">
        <w:rPr>
          <w:rFonts w:ascii="Arial" w:hAnsi="Arial" w:cs="Arial"/>
          <w:spacing w:val="29"/>
          <w:sz w:val="20"/>
        </w:rPr>
        <w:t xml:space="preserve"> </w:t>
      </w:r>
      <w:r w:rsidRPr="00722524">
        <w:rPr>
          <w:rFonts w:ascii="Arial" w:hAnsi="Arial" w:cs="Arial"/>
          <w:sz w:val="20"/>
        </w:rPr>
        <w:t>an</w:t>
      </w:r>
      <w:r w:rsidRPr="00722524">
        <w:rPr>
          <w:rFonts w:ascii="Arial" w:hAnsi="Arial" w:cs="Arial"/>
          <w:spacing w:val="31"/>
          <w:sz w:val="20"/>
        </w:rPr>
        <w:t xml:space="preserve"> </w:t>
      </w:r>
      <w:r w:rsidRPr="00722524">
        <w:rPr>
          <w:rFonts w:ascii="Arial" w:hAnsi="Arial" w:cs="Arial"/>
          <w:sz w:val="20"/>
        </w:rPr>
        <w:t>organisation</w:t>
      </w:r>
      <w:r w:rsidRPr="00722524">
        <w:rPr>
          <w:rFonts w:ascii="Arial" w:hAnsi="Arial" w:cs="Arial"/>
          <w:spacing w:val="31"/>
          <w:sz w:val="20"/>
        </w:rPr>
        <w:t xml:space="preserve"> </w:t>
      </w:r>
      <w:r w:rsidRPr="00722524">
        <w:rPr>
          <w:rFonts w:ascii="Arial" w:hAnsi="Arial" w:cs="Arial"/>
          <w:sz w:val="20"/>
        </w:rPr>
        <w:t>holding</w:t>
      </w:r>
      <w:r w:rsidRPr="00722524">
        <w:rPr>
          <w:rFonts w:ascii="Arial" w:hAnsi="Arial" w:cs="Arial"/>
          <w:spacing w:val="31"/>
          <w:sz w:val="20"/>
        </w:rPr>
        <w:t xml:space="preserve"> </w:t>
      </w:r>
      <w:r w:rsidRPr="00722524">
        <w:rPr>
          <w:rFonts w:ascii="Arial" w:hAnsi="Arial" w:cs="Arial"/>
          <w:sz w:val="20"/>
        </w:rPr>
        <w:t>an</w:t>
      </w:r>
      <w:r w:rsidRPr="00722524">
        <w:rPr>
          <w:rFonts w:ascii="Arial" w:hAnsi="Arial" w:cs="Arial"/>
          <w:spacing w:val="31"/>
          <w:sz w:val="20"/>
        </w:rPr>
        <w:t xml:space="preserve"> </w:t>
      </w:r>
      <w:r w:rsidRPr="00722524">
        <w:rPr>
          <w:rFonts w:ascii="Arial" w:hAnsi="Arial" w:cs="Arial"/>
          <w:sz w:val="20"/>
        </w:rPr>
        <w:t>approval</w:t>
      </w:r>
      <w:r w:rsidRPr="00722524">
        <w:rPr>
          <w:rFonts w:ascii="Arial" w:hAnsi="Arial" w:cs="Arial"/>
          <w:spacing w:val="31"/>
          <w:sz w:val="20"/>
        </w:rPr>
        <w:t xml:space="preserve"> </w:t>
      </w:r>
      <w:r w:rsidRPr="00722524">
        <w:rPr>
          <w:rFonts w:ascii="Arial" w:hAnsi="Arial" w:cs="Arial"/>
          <w:sz w:val="20"/>
        </w:rPr>
        <w:t>issued</w:t>
      </w:r>
      <w:r w:rsidRPr="00722524">
        <w:rPr>
          <w:rFonts w:ascii="Arial" w:hAnsi="Arial" w:cs="Arial"/>
          <w:spacing w:val="32"/>
          <w:sz w:val="20"/>
        </w:rPr>
        <w:t xml:space="preserve"> </w:t>
      </w:r>
      <w:r w:rsidRPr="00722524">
        <w:rPr>
          <w:rFonts w:ascii="Arial" w:hAnsi="Arial" w:cs="Arial"/>
          <w:sz w:val="20"/>
        </w:rPr>
        <w:t>in</w:t>
      </w:r>
      <w:r w:rsidRPr="00722524">
        <w:rPr>
          <w:rFonts w:ascii="Arial" w:hAnsi="Arial" w:cs="Arial"/>
          <w:spacing w:val="-47"/>
          <w:sz w:val="20"/>
        </w:rPr>
        <w:t xml:space="preserve"> </w:t>
      </w:r>
      <w:r w:rsidRPr="00722524">
        <w:rPr>
          <w:rFonts w:ascii="Arial" w:hAnsi="Arial" w:cs="Arial"/>
          <w:sz w:val="20"/>
        </w:rPr>
        <w:t>accordance with, alternatively</w:t>
      </w:r>
      <w:r w:rsidRPr="00722524">
        <w:rPr>
          <w:rFonts w:ascii="Arial" w:hAnsi="Arial" w:cs="Arial"/>
          <w:spacing w:val="-2"/>
          <w:sz w:val="20"/>
        </w:rPr>
        <w:t xml:space="preserve"> </w:t>
      </w:r>
      <w:r w:rsidRPr="00722524">
        <w:rPr>
          <w:rFonts w:ascii="Arial" w:hAnsi="Arial" w:cs="Arial"/>
          <w:sz w:val="20"/>
        </w:rPr>
        <w:t>:</w:t>
      </w:r>
    </w:p>
    <w:p w14:paraId="5C4BFCC1" w14:textId="77777777" w:rsidR="00722524" w:rsidRPr="00722524" w:rsidRDefault="00722524" w:rsidP="00A41247">
      <w:pPr>
        <w:pStyle w:val="ListParagraph"/>
        <w:numPr>
          <w:ilvl w:val="2"/>
          <w:numId w:val="284"/>
        </w:numPr>
        <w:tabs>
          <w:tab w:val="left" w:pos="1841"/>
          <w:tab w:val="left" w:pos="1842"/>
        </w:tabs>
        <w:spacing w:before="118"/>
        <w:ind w:right="68"/>
        <w:rPr>
          <w:rFonts w:ascii="Arial" w:hAnsi="Arial" w:cs="Arial"/>
          <w:sz w:val="20"/>
        </w:rPr>
      </w:pPr>
      <w:r w:rsidRPr="00722524">
        <w:rPr>
          <w:rFonts w:ascii="Arial" w:hAnsi="Arial" w:cs="Arial"/>
          <w:sz w:val="20"/>
        </w:rPr>
        <w:t>Subpart</w:t>
      </w:r>
      <w:r w:rsidRPr="00722524">
        <w:rPr>
          <w:rFonts w:ascii="Arial" w:hAnsi="Arial" w:cs="Arial"/>
          <w:spacing w:val="-1"/>
          <w:sz w:val="20"/>
        </w:rPr>
        <w:t xml:space="preserve"> </w:t>
      </w:r>
      <w:r w:rsidRPr="00722524">
        <w:rPr>
          <w:rFonts w:ascii="Arial" w:hAnsi="Arial" w:cs="Arial"/>
          <w:sz w:val="20"/>
        </w:rPr>
        <w:t>F</w:t>
      </w:r>
      <w:r w:rsidRPr="00722524">
        <w:rPr>
          <w:rFonts w:ascii="Arial" w:hAnsi="Arial" w:cs="Arial"/>
          <w:spacing w:val="-2"/>
          <w:sz w:val="20"/>
        </w:rPr>
        <w:t xml:space="preserve"> </w:t>
      </w:r>
      <w:r w:rsidRPr="00722524">
        <w:rPr>
          <w:rFonts w:ascii="Arial" w:hAnsi="Arial" w:cs="Arial"/>
          <w:sz w:val="20"/>
        </w:rPr>
        <w:t>of</w:t>
      </w:r>
      <w:r w:rsidRPr="00722524">
        <w:rPr>
          <w:rFonts w:ascii="Arial" w:hAnsi="Arial" w:cs="Arial"/>
          <w:spacing w:val="-1"/>
          <w:sz w:val="20"/>
        </w:rPr>
        <w:t xml:space="preserve"> </w:t>
      </w:r>
      <w:r w:rsidRPr="00722524">
        <w:rPr>
          <w:rFonts w:ascii="Arial" w:hAnsi="Arial" w:cs="Arial"/>
          <w:sz w:val="20"/>
        </w:rPr>
        <w:t>Annex</w:t>
      </w:r>
      <w:r w:rsidRPr="00722524">
        <w:rPr>
          <w:rFonts w:ascii="Arial" w:hAnsi="Arial" w:cs="Arial"/>
          <w:spacing w:val="-2"/>
          <w:sz w:val="20"/>
        </w:rPr>
        <w:t xml:space="preserve"> </w:t>
      </w:r>
      <w:r w:rsidRPr="00722524">
        <w:rPr>
          <w:rFonts w:ascii="Arial" w:hAnsi="Arial" w:cs="Arial"/>
          <w:sz w:val="20"/>
        </w:rPr>
        <w:t>I</w:t>
      </w:r>
      <w:r w:rsidRPr="00722524">
        <w:rPr>
          <w:rFonts w:ascii="Arial" w:hAnsi="Arial" w:cs="Arial"/>
          <w:spacing w:val="-1"/>
          <w:sz w:val="20"/>
        </w:rPr>
        <w:t xml:space="preserve"> </w:t>
      </w:r>
      <w:r w:rsidRPr="00722524">
        <w:rPr>
          <w:rFonts w:ascii="Arial" w:hAnsi="Arial" w:cs="Arial"/>
          <w:sz w:val="20"/>
        </w:rPr>
        <w:t>(Part-M);</w:t>
      </w:r>
    </w:p>
    <w:p w14:paraId="6A2C6ECC" w14:textId="77777777" w:rsidR="00722524" w:rsidRPr="00722524" w:rsidRDefault="00722524" w:rsidP="00A41247">
      <w:pPr>
        <w:pStyle w:val="ListParagraph"/>
        <w:numPr>
          <w:ilvl w:val="2"/>
          <w:numId w:val="284"/>
        </w:numPr>
        <w:tabs>
          <w:tab w:val="left" w:pos="1841"/>
          <w:tab w:val="left" w:pos="1842"/>
        </w:tabs>
        <w:spacing w:before="121"/>
        <w:ind w:right="68"/>
        <w:rPr>
          <w:rFonts w:ascii="Arial" w:hAnsi="Arial" w:cs="Arial"/>
          <w:sz w:val="20"/>
        </w:rPr>
      </w:pPr>
      <w:r w:rsidRPr="00722524">
        <w:rPr>
          <w:rFonts w:ascii="Arial" w:hAnsi="Arial" w:cs="Arial"/>
          <w:sz w:val="20"/>
        </w:rPr>
        <w:t>Section</w:t>
      </w:r>
      <w:r w:rsidRPr="00722524">
        <w:rPr>
          <w:rFonts w:ascii="Arial" w:hAnsi="Arial" w:cs="Arial"/>
          <w:spacing w:val="-3"/>
          <w:sz w:val="20"/>
        </w:rPr>
        <w:t xml:space="preserve"> </w:t>
      </w:r>
      <w:r w:rsidRPr="00722524">
        <w:rPr>
          <w:rFonts w:ascii="Arial" w:hAnsi="Arial" w:cs="Arial"/>
          <w:sz w:val="20"/>
        </w:rPr>
        <w:t>A</w:t>
      </w:r>
      <w:r w:rsidRPr="00722524">
        <w:rPr>
          <w:rFonts w:ascii="Arial" w:hAnsi="Arial" w:cs="Arial"/>
          <w:spacing w:val="-1"/>
          <w:sz w:val="20"/>
        </w:rPr>
        <w:t xml:space="preserve"> </w:t>
      </w:r>
      <w:r w:rsidRPr="00722524">
        <w:rPr>
          <w:rFonts w:ascii="Arial" w:hAnsi="Arial" w:cs="Arial"/>
          <w:sz w:val="20"/>
        </w:rPr>
        <w:t>of</w:t>
      </w:r>
      <w:r w:rsidRPr="00722524">
        <w:rPr>
          <w:rFonts w:ascii="Arial" w:hAnsi="Arial" w:cs="Arial"/>
          <w:spacing w:val="-4"/>
          <w:sz w:val="20"/>
        </w:rPr>
        <w:t xml:space="preserve"> </w:t>
      </w:r>
      <w:r w:rsidRPr="00722524">
        <w:rPr>
          <w:rFonts w:ascii="Arial" w:hAnsi="Arial" w:cs="Arial"/>
          <w:sz w:val="20"/>
        </w:rPr>
        <w:t>Annex</w:t>
      </w:r>
      <w:r w:rsidRPr="00722524">
        <w:rPr>
          <w:rFonts w:ascii="Arial" w:hAnsi="Arial" w:cs="Arial"/>
          <w:spacing w:val="1"/>
          <w:sz w:val="20"/>
        </w:rPr>
        <w:t xml:space="preserve"> </w:t>
      </w:r>
      <w:r w:rsidRPr="00722524">
        <w:rPr>
          <w:rFonts w:ascii="Arial" w:hAnsi="Arial" w:cs="Arial"/>
          <w:sz w:val="20"/>
        </w:rPr>
        <w:t>II</w:t>
      </w:r>
      <w:r w:rsidRPr="00722524">
        <w:rPr>
          <w:rFonts w:ascii="Arial" w:hAnsi="Arial" w:cs="Arial"/>
          <w:spacing w:val="-4"/>
          <w:sz w:val="20"/>
        </w:rPr>
        <w:t xml:space="preserve"> </w:t>
      </w:r>
      <w:r w:rsidRPr="00722524">
        <w:rPr>
          <w:rFonts w:ascii="Arial" w:hAnsi="Arial" w:cs="Arial"/>
          <w:sz w:val="20"/>
        </w:rPr>
        <w:t>(Part-145);</w:t>
      </w:r>
    </w:p>
    <w:p w14:paraId="45A37D86" w14:textId="77777777" w:rsidR="00722524" w:rsidRPr="00722524" w:rsidRDefault="00722524" w:rsidP="00A41247">
      <w:pPr>
        <w:pStyle w:val="ListParagraph"/>
        <w:numPr>
          <w:ilvl w:val="2"/>
          <w:numId w:val="284"/>
        </w:numPr>
        <w:tabs>
          <w:tab w:val="left" w:pos="1841"/>
          <w:tab w:val="left" w:pos="1842"/>
        </w:tabs>
        <w:ind w:right="68"/>
        <w:rPr>
          <w:rFonts w:ascii="Arial" w:hAnsi="Arial" w:cs="Arial"/>
          <w:sz w:val="20"/>
        </w:rPr>
      </w:pPr>
      <w:r w:rsidRPr="00722524">
        <w:rPr>
          <w:rFonts w:ascii="Arial" w:hAnsi="Arial" w:cs="Arial"/>
          <w:sz w:val="20"/>
        </w:rPr>
        <w:t>Section</w:t>
      </w:r>
      <w:r w:rsidRPr="00722524">
        <w:rPr>
          <w:rFonts w:ascii="Arial" w:hAnsi="Arial" w:cs="Arial"/>
          <w:spacing w:val="-5"/>
          <w:sz w:val="20"/>
        </w:rPr>
        <w:t xml:space="preserve"> </w:t>
      </w:r>
      <w:r w:rsidRPr="00722524">
        <w:rPr>
          <w:rFonts w:ascii="Arial" w:hAnsi="Arial" w:cs="Arial"/>
          <w:sz w:val="20"/>
        </w:rPr>
        <w:t>A</w:t>
      </w:r>
      <w:r w:rsidRPr="00722524">
        <w:rPr>
          <w:rFonts w:ascii="Arial" w:hAnsi="Arial" w:cs="Arial"/>
          <w:spacing w:val="-1"/>
          <w:sz w:val="20"/>
        </w:rPr>
        <w:t xml:space="preserve"> </w:t>
      </w:r>
      <w:r w:rsidRPr="00722524">
        <w:rPr>
          <w:rFonts w:ascii="Arial" w:hAnsi="Arial" w:cs="Arial"/>
          <w:sz w:val="20"/>
        </w:rPr>
        <w:t>of</w:t>
      </w:r>
      <w:r w:rsidRPr="00722524">
        <w:rPr>
          <w:rFonts w:ascii="Arial" w:hAnsi="Arial" w:cs="Arial"/>
          <w:spacing w:val="-3"/>
          <w:sz w:val="20"/>
        </w:rPr>
        <w:t xml:space="preserve"> </w:t>
      </w:r>
      <w:r w:rsidRPr="00722524">
        <w:rPr>
          <w:rFonts w:ascii="Arial" w:hAnsi="Arial" w:cs="Arial"/>
          <w:sz w:val="20"/>
        </w:rPr>
        <w:t>Annex</w:t>
      </w:r>
      <w:r w:rsidRPr="00722524">
        <w:rPr>
          <w:rFonts w:ascii="Arial" w:hAnsi="Arial" w:cs="Arial"/>
          <w:spacing w:val="2"/>
          <w:sz w:val="20"/>
        </w:rPr>
        <w:t xml:space="preserve"> </w:t>
      </w:r>
      <w:r w:rsidRPr="00722524">
        <w:rPr>
          <w:rFonts w:ascii="Arial" w:hAnsi="Arial" w:cs="Arial"/>
          <w:sz w:val="20"/>
        </w:rPr>
        <w:t>Vd</w:t>
      </w:r>
      <w:r w:rsidRPr="00722524">
        <w:rPr>
          <w:rFonts w:ascii="Arial" w:hAnsi="Arial" w:cs="Arial"/>
          <w:spacing w:val="-4"/>
          <w:sz w:val="20"/>
        </w:rPr>
        <w:t xml:space="preserve"> </w:t>
      </w:r>
      <w:r w:rsidRPr="00722524">
        <w:rPr>
          <w:rFonts w:ascii="Arial" w:hAnsi="Arial" w:cs="Arial"/>
          <w:sz w:val="20"/>
        </w:rPr>
        <w:t>(Part-CAO).</w:t>
      </w:r>
    </w:p>
    <w:p w14:paraId="2C13495C" w14:textId="77777777" w:rsidR="00722524" w:rsidRPr="00722524" w:rsidRDefault="00722524" w:rsidP="00A41247">
      <w:pPr>
        <w:pStyle w:val="ListParagraph"/>
        <w:numPr>
          <w:ilvl w:val="1"/>
          <w:numId w:val="284"/>
        </w:numPr>
        <w:tabs>
          <w:tab w:val="left" w:pos="1273"/>
          <w:tab w:val="left" w:pos="1274"/>
        </w:tabs>
        <w:spacing w:before="121"/>
        <w:ind w:right="68"/>
        <w:rPr>
          <w:rFonts w:ascii="Arial" w:hAnsi="Arial" w:cs="Arial"/>
          <w:sz w:val="20"/>
        </w:rPr>
      </w:pPr>
      <w:r w:rsidRPr="00722524">
        <w:rPr>
          <w:rFonts w:ascii="Arial" w:hAnsi="Arial" w:cs="Arial"/>
          <w:sz w:val="20"/>
        </w:rPr>
        <w:t>'owner'</w:t>
      </w:r>
      <w:r w:rsidRPr="00722524">
        <w:rPr>
          <w:rFonts w:ascii="Arial" w:hAnsi="Arial" w:cs="Arial"/>
          <w:spacing w:val="16"/>
          <w:sz w:val="20"/>
        </w:rPr>
        <w:t xml:space="preserve"> </w:t>
      </w:r>
      <w:r w:rsidRPr="00722524">
        <w:rPr>
          <w:rFonts w:ascii="Arial" w:hAnsi="Arial" w:cs="Arial"/>
          <w:sz w:val="20"/>
        </w:rPr>
        <w:t>means</w:t>
      </w:r>
      <w:r w:rsidRPr="00722524">
        <w:rPr>
          <w:rFonts w:ascii="Arial" w:hAnsi="Arial" w:cs="Arial"/>
          <w:spacing w:val="19"/>
          <w:sz w:val="20"/>
        </w:rPr>
        <w:t xml:space="preserve"> </w:t>
      </w:r>
      <w:r w:rsidRPr="00722524">
        <w:rPr>
          <w:rFonts w:ascii="Arial" w:hAnsi="Arial" w:cs="Arial"/>
          <w:sz w:val="20"/>
        </w:rPr>
        <w:t>the</w:t>
      </w:r>
      <w:r w:rsidRPr="00722524">
        <w:rPr>
          <w:rFonts w:ascii="Arial" w:hAnsi="Arial" w:cs="Arial"/>
          <w:spacing w:val="20"/>
          <w:sz w:val="20"/>
        </w:rPr>
        <w:t xml:space="preserve"> </w:t>
      </w:r>
      <w:r w:rsidRPr="00722524">
        <w:rPr>
          <w:rFonts w:ascii="Arial" w:hAnsi="Arial" w:cs="Arial"/>
          <w:sz w:val="20"/>
        </w:rPr>
        <w:t>person</w:t>
      </w:r>
      <w:r w:rsidRPr="00722524">
        <w:rPr>
          <w:rFonts w:ascii="Arial" w:hAnsi="Arial" w:cs="Arial"/>
          <w:spacing w:val="16"/>
          <w:sz w:val="20"/>
        </w:rPr>
        <w:t xml:space="preserve"> </w:t>
      </w:r>
      <w:r w:rsidRPr="00722524">
        <w:rPr>
          <w:rFonts w:ascii="Arial" w:hAnsi="Arial" w:cs="Arial"/>
          <w:sz w:val="20"/>
        </w:rPr>
        <w:t>responsible</w:t>
      </w:r>
      <w:r w:rsidRPr="00722524">
        <w:rPr>
          <w:rFonts w:ascii="Arial" w:hAnsi="Arial" w:cs="Arial"/>
          <w:spacing w:val="19"/>
          <w:sz w:val="20"/>
        </w:rPr>
        <w:t xml:space="preserve"> </w:t>
      </w:r>
      <w:r w:rsidRPr="00722524">
        <w:rPr>
          <w:rFonts w:ascii="Arial" w:hAnsi="Arial" w:cs="Arial"/>
          <w:sz w:val="20"/>
        </w:rPr>
        <w:t>for</w:t>
      </w:r>
      <w:r w:rsidRPr="00722524">
        <w:rPr>
          <w:rFonts w:ascii="Arial" w:hAnsi="Arial" w:cs="Arial"/>
          <w:spacing w:val="20"/>
          <w:sz w:val="20"/>
        </w:rPr>
        <w:t xml:space="preserve"> </w:t>
      </w:r>
      <w:r w:rsidRPr="00722524">
        <w:rPr>
          <w:rFonts w:ascii="Arial" w:hAnsi="Arial" w:cs="Arial"/>
          <w:sz w:val="20"/>
        </w:rPr>
        <w:t>the</w:t>
      </w:r>
      <w:r w:rsidRPr="00722524">
        <w:rPr>
          <w:rFonts w:ascii="Arial" w:hAnsi="Arial" w:cs="Arial"/>
          <w:spacing w:val="17"/>
          <w:sz w:val="20"/>
        </w:rPr>
        <w:t xml:space="preserve"> </w:t>
      </w:r>
      <w:r w:rsidRPr="00722524">
        <w:rPr>
          <w:rFonts w:ascii="Arial" w:hAnsi="Arial" w:cs="Arial"/>
          <w:sz w:val="20"/>
        </w:rPr>
        <w:t>continuing</w:t>
      </w:r>
      <w:r w:rsidRPr="00722524">
        <w:rPr>
          <w:rFonts w:ascii="Arial" w:hAnsi="Arial" w:cs="Arial"/>
          <w:spacing w:val="18"/>
          <w:sz w:val="20"/>
        </w:rPr>
        <w:t xml:space="preserve"> </w:t>
      </w:r>
      <w:r w:rsidRPr="00722524">
        <w:rPr>
          <w:rFonts w:ascii="Arial" w:hAnsi="Arial" w:cs="Arial"/>
          <w:sz w:val="20"/>
        </w:rPr>
        <w:t>airworthiness</w:t>
      </w:r>
      <w:r w:rsidRPr="00722524">
        <w:rPr>
          <w:rFonts w:ascii="Arial" w:hAnsi="Arial" w:cs="Arial"/>
          <w:spacing w:val="18"/>
          <w:sz w:val="20"/>
        </w:rPr>
        <w:t xml:space="preserve"> </w:t>
      </w:r>
      <w:r w:rsidRPr="00722524">
        <w:rPr>
          <w:rFonts w:ascii="Arial" w:hAnsi="Arial" w:cs="Arial"/>
          <w:sz w:val="20"/>
        </w:rPr>
        <w:t>of</w:t>
      </w:r>
      <w:r w:rsidRPr="00722524">
        <w:rPr>
          <w:rFonts w:ascii="Arial" w:hAnsi="Arial" w:cs="Arial"/>
          <w:spacing w:val="19"/>
          <w:sz w:val="20"/>
        </w:rPr>
        <w:t xml:space="preserve"> </w:t>
      </w:r>
      <w:r w:rsidRPr="00722524">
        <w:rPr>
          <w:rFonts w:ascii="Arial" w:hAnsi="Arial" w:cs="Arial"/>
          <w:sz w:val="20"/>
        </w:rPr>
        <w:t>the</w:t>
      </w:r>
      <w:r w:rsidRPr="00722524">
        <w:rPr>
          <w:rFonts w:ascii="Arial" w:hAnsi="Arial" w:cs="Arial"/>
          <w:spacing w:val="17"/>
          <w:sz w:val="20"/>
        </w:rPr>
        <w:t xml:space="preserve"> </w:t>
      </w:r>
      <w:r w:rsidRPr="00722524">
        <w:rPr>
          <w:rFonts w:ascii="Arial" w:hAnsi="Arial" w:cs="Arial"/>
          <w:sz w:val="20"/>
        </w:rPr>
        <w:t>aircraft,</w:t>
      </w:r>
      <w:r w:rsidRPr="00722524">
        <w:rPr>
          <w:rFonts w:ascii="Arial" w:hAnsi="Arial" w:cs="Arial"/>
          <w:spacing w:val="-46"/>
          <w:sz w:val="20"/>
        </w:rPr>
        <w:t xml:space="preserve"> </w:t>
      </w:r>
      <w:r w:rsidRPr="00722524">
        <w:rPr>
          <w:rFonts w:ascii="Arial" w:hAnsi="Arial" w:cs="Arial"/>
          <w:sz w:val="20"/>
        </w:rPr>
        <w:t>including,</w:t>
      </w:r>
      <w:r w:rsidRPr="00722524">
        <w:rPr>
          <w:rFonts w:ascii="Arial" w:hAnsi="Arial" w:cs="Arial"/>
          <w:spacing w:val="-1"/>
          <w:sz w:val="20"/>
        </w:rPr>
        <w:t xml:space="preserve"> </w:t>
      </w:r>
      <w:r w:rsidRPr="00722524">
        <w:rPr>
          <w:rFonts w:ascii="Arial" w:hAnsi="Arial" w:cs="Arial"/>
          <w:sz w:val="20"/>
        </w:rPr>
        <w:t>alternatively:</w:t>
      </w:r>
    </w:p>
    <w:p w14:paraId="7AF2136D" w14:textId="77777777" w:rsidR="00722524" w:rsidRPr="00722524" w:rsidRDefault="00722524" w:rsidP="00A41247">
      <w:pPr>
        <w:pStyle w:val="ListParagraph"/>
        <w:numPr>
          <w:ilvl w:val="2"/>
          <w:numId w:val="284"/>
        </w:numPr>
        <w:tabs>
          <w:tab w:val="left" w:pos="1841"/>
          <w:tab w:val="left" w:pos="1842"/>
        </w:tabs>
        <w:ind w:right="68"/>
        <w:rPr>
          <w:rFonts w:ascii="Arial" w:hAnsi="Arial" w:cs="Arial"/>
          <w:sz w:val="20"/>
        </w:rPr>
      </w:pPr>
      <w:r w:rsidRPr="00722524">
        <w:rPr>
          <w:rFonts w:ascii="Arial" w:hAnsi="Arial" w:cs="Arial"/>
          <w:sz w:val="20"/>
        </w:rPr>
        <w:t>the</w:t>
      </w:r>
      <w:r w:rsidRPr="00722524">
        <w:rPr>
          <w:rFonts w:ascii="Arial" w:hAnsi="Arial" w:cs="Arial"/>
          <w:spacing w:val="-1"/>
          <w:sz w:val="20"/>
        </w:rPr>
        <w:t xml:space="preserve"> </w:t>
      </w:r>
      <w:r w:rsidRPr="00722524">
        <w:rPr>
          <w:rFonts w:ascii="Arial" w:hAnsi="Arial" w:cs="Arial"/>
          <w:sz w:val="20"/>
        </w:rPr>
        <w:t>registered</w:t>
      </w:r>
      <w:r w:rsidRPr="00722524">
        <w:rPr>
          <w:rFonts w:ascii="Arial" w:hAnsi="Arial" w:cs="Arial"/>
          <w:spacing w:val="-2"/>
          <w:sz w:val="20"/>
        </w:rPr>
        <w:t xml:space="preserve"> </w:t>
      </w:r>
      <w:r w:rsidRPr="00722524">
        <w:rPr>
          <w:rFonts w:ascii="Arial" w:hAnsi="Arial" w:cs="Arial"/>
          <w:sz w:val="20"/>
        </w:rPr>
        <w:t>owner</w:t>
      </w:r>
      <w:r w:rsidRPr="00722524">
        <w:rPr>
          <w:rFonts w:ascii="Arial" w:hAnsi="Arial" w:cs="Arial"/>
          <w:spacing w:val="-2"/>
          <w:sz w:val="20"/>
        </w:rPr>
        <w:t xml:space="preserve"> </w:t>
      </w:r>
      <w:r w:rsidRPr="00722524">
        <w:rPr>
          <w:rFonts w:ascii="Arial" w:hAnsi="Arial" w:cs="Arial"/>
          <w:sz w:val="20"/>
        </w:rPr>
        <w:t>of</w:t>
      </w:r>
      <w:r w:rsidRPr="00722524">
        <w:rPr>
          <w:rFonts w:ascii="Arial" w:hAnsi="Arial" w:cs="Arial"/>
          <w:spacing w:val="-1"/>
          <w:sz w:val="20"/>
        </w:rPr>
        <w:t xml:space="preserve"> </w:t>
      </w:r>
      <w:r w:rsidRPr="00722524">
        <w:rPr>
          <w:rFonts w:ascii="Arial" w:hAnsi="Arial" w:cs="Arial"/>
          <w:sz w:val="20"/>
        </w:rPr>
        <w:t>the</w:t>
      </w:r>
      <w:r w:rsidRPr="00722524">
        <w:rPr>
          <w:rFonts w:ascii="Arial" w:hAnsi="Arial" w:cs="Arial"/>
          <w:spacing w:val="1"/>
          <w:sz w:val="20"/>
        </w:rPr>
        <w:t xml:space="preserve"> </w:t>
      </w:r>
      <w:r w:rsidRPr="00722524">
        <w:rPr>
          <w:rFonts w:ascii="Arial" w:hAnsi="Arial" w:cs="Arial"/>
          <w:sz w:val="20"/>
        </w:rPr>
        <w:t>aircraft;</w:t>
      </w:r>
    </w:p>
    <w:p w14:paraId="33E047F7" w14:textId="77777777" w:rsidR="00722524" w:rsidRPr="00722524" w:rsidRDefault="00722524" w:rsidP="00A41247">
      <w:pPr>
        <w:pStyle w:val="ListParagraph"/>
        <w:numPr>
          <w:ilvl w:val="2"/>
          <w:numId w:val="284"/>
        </w:numPr>
        <w:tabs>
          <w:tab w:val="left" w:pos="1841"/>
          <w:tab w:val="left" w:pos="1842"/>
        </w:tabs>
        <w:ind w:right="68"/>
        <w:rPr>
          <w:rFonts w:ascii="Arial" w:hAnsi="Arial" w:cs="Arial"/>
          <w:sz w:val="20"/>
        </w:rPr>
      </w:pPr>
      <w:r w:rsidRPr="00722524">
        <w:rPr>
          <w:rFonts w:ascii="Arial" w:hAnsi="Arial" w:cs="Arial"/>
          <w:sz w:val="20"/>
        </w:rPr>
        <w:t>the</w:t>
      </w:r>
      <w:r w:rsidRPr="00722524">
        <w:rPr>
          <w:rFonts w:ascii="Arial" w:hAnsi="Arial" w:cs="Arial"/>
          <w:spacing w:val="-1"/>
          <w:sz w:val="20"/>
        </w:rPr>
        <w:t xml:space="preserve"> </w:t>
      </w:r>
      <w:r w:rsidRPr="00722524">
        <w:rPr>
          <w:rFonts w:ascii="Arial" w:hAnsi="Arial" w:cs="Arial"/>
          <w:sz w:val="20"/>
        </w:rPr>
        <w:t>lessee in</w:t>
      </w:r>
      <w:r w:rsidRPr="00722524">
        <w:rPr>
          <w:rFonts w:ascii="Arial" w:hAnsi="Arial" w:cs="Arial"/>
          <w:spacing w:val="-3"/>
          <w:sz w:val="20"/>
        </w:rPr>
        <w:t xml:space="preserve"> </w:t>
      </w:r>
      <w:r w:rsidRPr="00722524">
        <w:rPr>
          <w:rFonts w:ascii="Arial" w:hAnsi="Arial" w:cs="Arial"/>
          <w:sz w:val="20"/>
        </w:rPr>
        <w:t>the</w:t>
      </w:r>
      <w:r w:rsidRPr="00722524">
        <w:rPr>
          <w:rFonts w:ascii="Arial" w:hAnsi="Arial" w:cs="Arial"/>
          <w:spacing w:val="-2"/>
          <w:sz w:val="20"/>
        </w:rPr>
        <w:t xml:space="preserve"> </w:t>
      </w:r>
      <w:r w:rsidRPr="00722524">
        <w:rPr>
          <w:rFonts w:ascii="Arial" w:hAnsi="Arial" w:cs="Arial"/>
          <w:sz w:val="20"/>
        </w:rPr>
        <w:t>case</w:t>
      </w:r>
      <w:r w:rsidRPr="00722524">
        <w:rPr>
          <w:rFonts w:ascii="Arial" w:hAnsi="Arial" w:cs="Arial"/>
          <w:spacing w:val="-2"/>
          <w:sz w:val="20"/>
        </w:rPr>
        <w:t xml:space="preserve"> </w:t>
      </w:r>
      <w:r w:rsidRPr="00722524">
        <w:rPr>
          <w:rFonts w:ascii="Arial" w:hAnsi="Arial" w:cs="Arial"/>
          <w:sz w:val="20"/>
        </w:rPr>
        <w:t>of</w:t>
      </w:r>
      <w:r w:rsidRPr="00722524">
        <w:rPr>
          <w:rFonts w:ascii="Arial" w:hAnsi="Arial" w:cs="Arial"/>
          <w:spacing w:val="-2"/>
          <w:sz w:val="20"/>
        </w:rPr>
        <w:t xml:space="preserve"> </w:t>
      </w:r>
      <w:r w:rsidRPr="00722524">
        <w:rPr>
          <w:rFonts w:ascii="Arial" w:hAnsi="Arial" w:cs="Arial"/>
          <w:sz w:val="20"/>
        </w:rPr>
        <w:t>a leasing</w:t>
      </w:r>
      <w:r w:rsidRPr="00722524">
        <w:rPr>
          <w:rFonts w:ascii="Arial" w:hAnsi="Arial" w:cs="Arial"/>
          <w:spacing w:val="-1"/>
          <w:sz w:val="20"/>
        </w:rPr>
        <w:t xml:space="preserve"> </w:t>
      </w:r>
      <w:r w:rsidRPr="00722524">
        <w:rPr>
          <w:rFonts w:ascii="Arial" w:hAnsi="Arial" w:cs="Arial"/>
          <w:sz w:val="20"/>
        </w:rPr>
        <w:t>contract;</w:t>
      </w:r>
    </w:p>
    <w:p w14:paraId="3E35A2E0" w14:textId="77777777" w:rsidR="00722524" w:rsidRDefault="00722524" w:rsidP="00A41247">
      <w:pPr>
        <w:pStyle w:val="ListParagraph"/>
        <w:numPr>
          <w:ilvl w:val="2"/>
          <w:numId w:val="284"/>
        </w:numPr>
        <w:tabs>
          <w:tab w:val="left" w:pos="1841"/>
          <w:tab w:val="left" w:pos="1842"/>
        </w:tabs>
        <w:ind w:right="68"/>
        <w:rPr>
          <w:rFonts w:ascii="Arial" w:hAnsi="Arial" w:cs="Arial"/>
          <w:sz w:val="20"/>
        </w:rPr>
      </w:pPr>
      <w:r w:rsidRPr="00722524">
        <w:rPr>
          <w:rFonts w:ascii="Arial" w:hAnsi="Arial" w:cs="Arial"/>
          <w:sz w:val="20"/>
        </w:rPr>
        <w:t>the operator</w:t>
      </w:r>
      <w:r>
        <w:rPr>
          <w:rFonts w:ascii="Arial" w:hAnsi="Arial" w:cs="Arial"/>
          <w:sz w:val="20"/>
        </w:rPr>
        <w:t>.</w:t>
      </w:r>
    </w:p>
    <w:p w14:paraId="2AB6448B" w14:textId="77777777" w:rsidR="00722524" w:rsidRDefault="00722524" w:rsidP="00722524">
      <w:pPr>
        <w:tabs>
          <w:tab w:val="left" w:pos="1841"/>
          <w:tab w:val="left" w:pos="1842"/>
        </w:tabs>
        <w:rPr>
          <w:rFonts w:ascii="Arial" w:hAnsi="Arial" w:cs="Arial"/>
          <w:sz w:val="20"/>
        </w:rPr>
      </w:pPr>
    </w:p>
    <w:p w14:paraId="2D7041D1" w14:textId="77777777" w:rsidR="00722524" w:rsidRDefault="00722524" w:rsidP="00722524">
      <w:pPr>
        <w:tabs>
          <w:tab w:val="left" w:pos="1841"/>
          <w:tab w:val="left" w:pos="1842"/>
        </w:tabs>
        <w:rPr>
          <w:rFonts w:ascii="Arial" w:hAnsi="Arial" w:cs="Arial"/>
          <w:sz w:val="20"/>
        </w:rPr>
      </w:pPr>
    </w:p>
    <w:p w14:paraId="4699C70B" w14:textId="77777777" w:rsidR="00722524" w:rsidRDefault="00722524" w:rsidP="00722524">
      <w:pPr>
        <w:tabs>
          <w:tab w:val="left" w:pos="1841"/>
          <w:tab w:val="left" w:pos="1842"/>
        </w:tabs>
        <w:rPr>
          <w:rFonts w:ascii="Arial" w:hAnsi="Arial" w:cs="Arial"/>
          <w:sz w:val="20"/>
        </w:rPr>
      </w:pPr>
    </w:p>
    <w:p w14:paraId="1475BBDA" w14:textId="77777777" w:rsidR="00722524" w:rsidRDefault="00722524" w:rsidP="00722524">
      <w:pPr>
        <w:tabs>
          <w:tab w:val="left" w:pos="1841"/>
          <w:tab w:val="left" w:pos="1842"/>
        </w:tabs>
        <w:rPr>
          <w:rFonts w:ascii="Arial" w:hAnsi="Arial" w:cs="Arial"/>
          <w:sz w:val="20"/>
        </w:rPr>
      </w:pPr>
    </w:p>
    <w:p w14:paraId="03B45F49" w14:textId="77777777" w:rsidR="00722524" w:rsidRDefault="00722524" w:rsidP="00722524">
      <w:pPr>
        <w:tabs>
          <w:tab w:val="left" w:pos="1841"/>
          <w:tab w:val="left" w:pos="1842"/>
        </w:tabs>
        <w:rPr>
          <w:rFonts w:ascii="Arial" w:hAnsi="Arial" w:cs="Arial"/>
          <w:sz w:val="20"/>
        </w:rPr>
      </w:pPr>
    </w:p>
    <w:p w14:paraId="39B812C4" w14:textId="77777777" w:rsidR="00722524" w:rsidRDefault="00722524" w:rsidP="00722524">
      <w:pPr>
        <w:tabs>
          <w:tab w:val="left" w:pos="1841"/>
          <w:tab w:val="left" w:pos="1842"/>
        </w:tabs>
        <w:rPr>
          <w:rFonts w:ascii="Arial" w:hAnsi="Arial" w:cs="Arial"/>
          <w:sz w:val="20"/>
        </w:rPr>
      </w:pPr>
    </w:p>
    <w:p w14:paraId="65B4B939" w14:textId="77777777" w:rsidR="00722524" w:rsidRDefault="00722524" w:rsidP="00722524">
      <w:pPr>
        <w:tabs>
          <w:tab w:val="left" w:pos="1841"/>
          <w:tab w:val="left" w:pos="1842"/>
        </w:tabs>
        <w:rPr>
          <w:rFonts w:ascii="Arial" w:hAnsi="Arial" w:cs="Arial"/>
          <w:sz w:val="20"/>
        </w:rPr>
      </w:pPr>
    </w:p>
    <w:p w14:paraId="6132BF9C" w14:textId="77777777" w:rsidR="00722524" w:rsidRDefault="00722524" w:rsidP="00722524">
      <w:pPr>
        <w:tabs>
          <w:tab w:val="left" w:pos="1841"/>
          <w:tab w:val="left" w:pos="1842"/>
        </w:tabs>
        <w:rPr>
          <w:rFonts w:ascii="Arial" w:hAnsi="Arial" w:cs="Arial"/>
          <w:sz w:val="20"/>
        </w:rPr>
      </w:pPr>
    </w:p>
    <w:p w14:paraId="72ED9FD5" w14:textId="77777777" w:rsidR="00722524" w:rsidRDefault="00722524" w:rsidP="00722524">
      <w:pPr>
        <w:tabs>
          <w:tab w:val="left" w:pos="1841"/>
          <w:tab w:val="left" w:pos="1842"/>
        </w:tabs>
        <w:rPr>
          <w:rFonts w:ascii="Arial" w:hAnsi="Arial" w:cs="Arial"/>
          <w:sz w:val="20"/>
        </w:rPr>
      </w:pPr>
    </w:p>
    <w:p w14:paraId="21199841" w14:textId="77777777" w:rsidR="00722524" w:rsidRDefault="00722524" w:rsidP="00722524">
      <w:pPr>
        <w:tabs>
          <w:tab w:val="left" w:pos="1841"/>
          <w:tab w:val="left" w:pos="1842"/>
        </w:tabs>
        <w:rPr>
          <w:rFonts w:ascii="Arial" w:hAnsi="Arial" w:cs="Arial"/>
          <w:sz w:val="20"/>
        </w:rPr>
      </w:pPr>
    </w:p>
    <w:p w14:paraId="6DF2C26A" w14:textId="77777777" w:rsidR="00722524" w:rsidRDefault="00722524" w:rsidP="00722524">
      <w:pPr>
        <w:tabs>
          <w:tab w:val="left" w:pos="1841"/>
          <w:tab w:val="left" w:pos="1842"/>
        </w:tabs>
        <w:rPr>
          <w:rFonts w:ascii="Arial" w:hAnsi="Arial" w:cs="Arial"/>
          <w:sz w:val="20"/>
        </w:rPr>
      </w:pPr>
    </w:p>
    <w:p w14:paraId="15193D51" w14:textId="77777777" w:rsidR="00722524" w:rsidRDefault="00722524" w:rsidP="00722524">
      <w:pPr>
        <w:tabs>
          <w:tab w:val="left" w:pos="1841"/>
          <w:tab w:val="left" w:pos="1842"/>
        </w:tabs>
        <w:rPr>
          <w:rFonts w:ascii="Arial" w:hAnsi="Arial" w:cs="Arial"/>
          <w:sz w:val="20"/>
        </w:rPr>
      </w:pPr>
    </w:p>
    <w:p w14:paraId="045219FB" w14:textId="77777777" w:rsidR="00722524" w:rsidRDefault="00722524" w:rsidP="00722524">
      <w:pPr>
        <w:tabs>
          <w:tab w:val="left" w:pos="1841"/>
          <w:tab w:val="left" w:pos="1842"/>
        </w:tabs>
        <w:rPr>
          <w:rFonts w:ascii="Arial" w:hAnsi="Arial" w:cs="Arial"/>
          <w:sz w:val="20"/>
        </w:rPr>
      </w:pPr>
    </w:p>
    <w:p w14:paraId="0EF8EB8F" w14:textId="77777777" w:rsidR="00722524" w:rsidRPr="00722524" w:rsidRDefault="00722524" w:rsidP="00A41247">
      <w:pPr>
        <w:keepNext/>
        <w:keepLines/>
        <w:spacing w:before="40"/>
        <w:outlineLvl w:val="3"/>
        <w:rPr>
          <w:rFonts w:ascii="Arial" w:eastAsiaTheme="majorEastAsia" w:hAnsi="Arial" w:cs="Arial"/>
          <w:b/>
          <w:iCs/>
          <w:color w:val="2E74B5" w:themeColor="accent1" w:themeShade="BF"/>
          <w:sz w:val="24"/>
          <w:szCs w:val="24"/>
        </w:rPr>
      </w:pPr>
    </w:p>
    <w:p w14:paraId="7E718597" w14:textId="77777777" w:rsidR="00722524" w:rsidRDefault="00722524" w:rsidP="00722524">
      <w:pPr>
        <w:keepNext/>
        <w:keepLines/>
        <w:spacing w:before="40"/>
        <w:jc w:val="center"/>
        <w:outlineLvl w:val="3"/>
        <w:rPr>
          <w:rFonts w:ascii="Arial" w:hAnsi="Arial" w:cs="Arial"/>
          <w:b/>
          <w:color w:val="27ACCC"/>
          <w:spacing w:val="-69"/>
          <w:sz w:val="32"/>
        </w:rPr>
      </w:pPr>
      <w:bookmarkStart w:id="793" w:name="SECTION_A_—_TECHNICAL_REQUIREMENTS"/>
      <w:bookmarkStart w:id="794" w:name="_bookmark326"/>
      <w:bookmarkStart w:id="795" w:name="_Toc153137491"/>
      <w:bookmarkEnd w:id="793"/>
      <w:bookmarkEnd w:id="794"/>
      <w:r w:rsidRPr="00722524">
        <w:rPr>
          <w:rFonts w:ascii="Arial" w:eastAsiaTheme="majorEastAsia" w:hAnsi="Arial" w:cs="Arial"/>
          <w:b/>
          <w:iCs/>
          <w:color w:val="2E74B5" w:themeColor="accent1" w:themeShade="BF"/>
          <w:sz w:val="24"/>
          <w:szCs w:val="24"/>
        </w:rPr>
        <w:t>SECTION A — TECHNICAL REQUIREMENTS</w:t>
      </w:r>
      <w:bookmarkEnd w:id="795"/>
      <w:r w:rsidRPr="00276D5E">
        <w:rPr>
          <w:rFonts w:ascii="Arial" w:hAnsi="Arial" w:cs="Arial"/>
          <w:b/>
          <w:color w:val="27ACCC"/>
          <w:spacing w:val="-69"/>
          <w:sz w:val="32"/>
        </w:rPr>
        <w:t xml:space="preserve"> </w:t>
      </w:r>
      <w:bookmarkStart w:id="796" w:name="_bookmark327"/>
      <w:bookmarkEnd w:id="796"/>
    </w:p>
    <w:p w14:paraId="641EFE58" w14:textId="77777777" w:rsidR="00722524" w:rsidRPr="00722524" w:rsidRDefault="00722524" w:rsidP="00722524">
      <w:pPr>
        <w:keepNext/>
        <w:keepLines/>
        <w:widowControl/>
        <w:autoSpaceDE/>
        <w:autoSpaceDN/>
        <w:spacing w:before="40" w:line="259" w:lineRule="auto"/>
        <w:jc w:val="center"/>
        <w:outlineLvl w:val="2"/>
        <w:rPr>
          <w:rFonts w:ascii="Arial" w:eastAsiaTheme="majorEastAsia" w:hAnsi="Arial" w:cs="Arial"/>
          <w:b/>
          <w:color w:val="00B0F0"/>
          <w:sz w:val="24"/>
          <w:szCs w:val="24"/>
        </w:rPr>
      </w:pPr>
      <w:bookmarkStart w:id="797" w:name="_Toc153137492"/>
      <w:r w:rsidRPr="00722524">
        <w:rPr>
          <w:rFonts w:ascii="Arial" w:eastAsiaTheme="majorEastAsia" w:hAnsi="Arial" w:cs="Arial"/>
          <w:b/>
          <w:color w:val="00B0F0"/>
          <w:sz w:val="24"/>
          <w:szCs w:val="24"/>
        </w:rPr>
        <w:t>SUBPART A — GENERAL</w:t>
      </w:r>
      <w:bookmarkEnd w:id="797"/>
    </w:p>
    <w:p w14:paraId="141065FD" w14:textId="77777777" w:rsidR="00722524" w:rsidRPr="00722524" w:rsidRDefault="00722524" w:rsidP="00722524">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798" w:name="_Toc153137493"/>
      <w:r w:rsidRPr="00722524">
        <w:rPr>
          <w:rFonts w:ascii="Arial" w:eastAsia="Times New Roman" w:hAnsi="Arial" w:cs="Times New Roman"/>
          <w:b/>
          <w:iCs/>
          <w:color w:val="FFFFFF"/>
          <w:sz w:val="24"/>
        </w:rPr>
        <w:t>ML.A.101 Scope</w:t>
      </w:r>
      <w:bookmarkEnd w:id="798"/>
      <w:r w:rsidRPr="00722524">
        <w:rPr>
          <w:rFonts w:ascii="Arial" w:eastAsia="Times New Roman" w:hAnsi="Arial" w:cs="Times New Roman"/>
          <w:b/>
          <w:iCs/>
          <w:color w:val="FFFFFF"/>
          <w:sz w:val="24"/>
        </w:rPr>
        <w:tab/>
      </w:r>
    </w:p>
    <w:p w14:paraId="54256397" w14:textId="77777777" w:rsidR="00722524" w:rsidRPr="00722524" w:rsidRDefault="00722524" w:rsidP="00722524">
      <w:pPr>
        <w:pStyle w:val="BodyText"/>
        <w:spacing w:before="118"/>
        <w:ind w:right="194"/>
        <w:jc w:val="both"/>
        <w:rPr>
          <w:rFonts w:ascii="Arial" w:hAnsi="Arial" w:cs="Arial"/>
          <w:sz w:val="20"/>
        </w:rPr>
      </w:pPr>
      <w:r w:rsidRPr="00722524">
        <w:rPr>
          <w:rFonts w:ascii="Arial" w:hAnsi="Arial" w:cs="Arial"/>
          <w:sz w:val="20"/>
        </w:rPr>
        <w:t>This Section establishes the measures to be taken in order to ensure that the aircraft is airworthy. It</w:t>
      </w:r>
      <w:r w:rsidRPr="00722524">
        <w:rPr>
          <w:rFonts w:ascii="Arial" w:hAnsi="Arial" w:cs="Arial"/>
          <w:spacing w:val="1"/>
          <w:sz w:val="20"/>
        </w:rPr>
        <w:t xml:space="preserve"> </w:t>
      </w:r>
      <w:r w:rsidRPr="00722524">
        <w:rPr>
          <w:rFonts w:ascii="Arial" w:hAnsi="Arial" w:cs="Arial"/>
          <w:spacing w:val="-1"/>
          <w:sz w:val="20"/>
        </w:rPr>
        <w:t>also</w:t>
      </w:r>
      <w:r w:rsidRPr="00722524">
        <w:rPr>
          <w:rFonts w:ascii="Arial" w:hAnsi="Arial" w:cs="Arial"/>
          <w:spacing w:val="-11"/>
          <w:sz w:val="20"/>
        </w:rPr>
        <w:t xml:space="preserve"> </w:t>
      </w:r>
      <w:r w:rsidRPr="00722524">
        <w:rPr>
          <w:rFonts w:ascii="Arial" w:hAnsi="Arial" w:cs="Arial"/>
          <w:spacing w:val="-1"/>
          <w:sz w:val="20"/>
        </w:rPr>
        <w:t>specifies</w:t>
      </w:r>
      <w:r w:rsidRPr="00722524">
        <w:rPr>
          <w:rFonts w:ascii="Arial" w:hAnsi="Arial" w:cs="Arial"/>
          <w:spacing w:val="-9"/>
          <w:sz w:val="20"/>
        </w:rPr>
        <w:t xml:space="preserve"> </w:t>
      </w:r>
      <w:r w:rsidRPr="00722524">
        <w:rPr>
          <w:rFonts w:ascii="Arial" w:hAnsi="Arial" w:cs="Arial"/>
          <w:spacing w:val="-1"/>
          <w:sz w:val="20"/>
        </w:rPr>
        <w:t>the</w:t>
      </w:r>
      <w:r w:rsidRPr="00722524">
        <w:rPr>
          <w:rFonts w:ascii="Arial" w:hAnsi="Arial" w:cs="Arial"/>
          <w:spacing w:val="-11"/>
          <w:sz w:val="20"/>
        </w:rPr>
        <w:t xml:space="preserve"> </w:t>
      </w:r>
      <w:r w:rsidRPr="00722524">
        <w:rPr>
          <w:rFonts w:ascii="Arial" w:hAnsi="Arial" w:cs="Arial"/>
          <w:spacing w:val="-1"/>
          <w:sz w:val="20"/>
        </w:rPr>
        <w:t>conditions</w:t>
      </w:r>
      <w:r w:rsidRPr="00722524">
        <w:rPr>
          <w:rFonts w:ascii="Arial" w:hAnsi="Arial" w:cs="Arial"/>
          <w:spacing w:val="-9"/>
          <w:sz w:val="20"/>
        </w:rPr>
        <w:t xml:space="preserve"> </w:t>
      </w:r>
      <w:r w:rsidRPr="00722524">
        <w:rPr>
          <w:rFonts w:ascii="Arial" w:hAnsi="Arial" w:cs="Arial"/>
          <w:spacing w:val="-1"/>
          <w:sz w:val="20"/>
        </w:rPr>
        <w:t>to</w:t>
      </w:r>
      <w:r w:rsidRPr="00722524">
        <w:rPr>
          <w:rFonts w:ascii="Arial" w:hAnsi="Arial" w:cs="Arial"/>
          <w:spacing w:val="-8"/>
          <w:sz w:val="20"/>
        </w:rPr>
        <w:t xml:space="preserve"> </w:t>
      </w:r>
      <w:r w:rsidRPr="00722524">
        <w:rPr>
          <w:rFonts w:ascii="Arial" w:hAnsi="Arial" w:cs="Arial"/>
          <w:sz w:val="20"/>
        </w:rPr>
        <w:t>be</w:t>
      </w:r>
      <w:r w:rsidRPr="00722524">
        <w:rPr>
          <w:rFonts w:ascii="Arial" w:hAnsi="Arial" w:cs="Arial"/>
          <w:spacing w:val="-11"/>
          <w:sz w:val="20"/>
        </w:rPr>
        <w:t xml:space="preserve"> </w:t>
      </w:r>
      <w:r w:rsidRPr="00722524">
        <w:rPr>
          <w:rFonts w:ascii="Arial" w:hAnsi="Arial" w:cs="Arial"/>
          <w:sz w:val="20"/>
        </w:rPr>
        <w:t>met</w:t>
      </w:r>
      <w:r w:rsidRPr="00722524">
        <w:rPr>
          <w:rFonts w:ascii="Arial" w:hAnsi="Arial" w:cs="Arial"/>
          <w:spacing w:val="-9"/>
          <w:sz w:val="20"/>
        </w:rPr>
        <w:t xml:space="preserve"> </w:t>
      </w:r>
      <w:r w:rsidRPr="00722524">
        <w:rPr>
          <w:rFonts w:ascii="Arial" w:hAnsi="Arial" w:cs="Arial"/>
          <w:sz w:val="20"/>
        </w:rPr>
        <w:t>by</w:t>
      </w:r>
      <w:r w:rsidRPr="00722524">
        <w:rPr>
          <w:rFonts w:ascii="Arial" w:hAnsi="Arial" w:cs="Arial"/>
          <w:spacing w:val="-11"/>
          <w:sz w:val="20"/>
        </w:rPr>
        <w:t xml:space="preserve"> </w:t>
      </w:r>
      <w:r w:rsidRPr="00722524">
        <w:rPr>
          <w:rFonts w:ascii="Arial" w:hAnsi="Arial" w:cs="Arial"/>
          <w:sz w:val="20"/>
        </w:rPr>
        <w:t>the</w:t>
      </w:r>
      <w:r w:rsidRPr="00722524">
        <w:rPr>
          <w:rFonts w:ascii="Arial" w:hAnsi="Arial" w:cs="Arial"/>
          <w:spacing w:val="-9"/>
          <w:sz w:val="20"/>
        </w:rPr>
        <w:t xml:space="preserve"> </w:t>
      </w:r>
      <w:r w:rsidRPr="00722524">
        <w:rPr>
          <w:rFonts w:ascii="Arial" w:hAnsi="Arial" w:cs="Arial"/>
          <w:sz w:val="20"/>
        </w:rPr>
        <w:t>persons</w:t>
      </w:r>
      <w:r w:rsidRPr="00722524">
        <w:rPr>
          <w:rFonts w:ascii="Arial" w:hAnsi="Arial" w:cs="Arial"/>
          <w:spacing w:val="-12"/>
          <w:sz w:val="20"/>
        </w:rPr>
        <w:t xml:space="preserve"> </w:t>
      </w:r>
      <w:r w:rsidRPr="00722524">
        <w:rPr>
          <w:rFonts w:ascii="Arial" w:hAnsi="Arial" w:cs="Arial"/>
          <w:sz w:val="20"/>
        </w:rPr>
        <w:t>or</w:t>
      </w:r>
      <w:r w:rsidRPr="00722524">
        <w:rPr>
          <w:rFonts w:ascii="Arial" w:hAnsi="Arial" w:cs="Arial"/>
          <w:spacing w:val="-11"/>
          <w:sz w:val="20"/>
        </w:rPr>
        <w:t xml:space="preserve"> </w:t>
      </w:r>
      <w:r w:rsidRPr="00722524">
        <w:rPr>
          <w:rFonts w:ascii="Arial" w:hAnsi="Arial" w:cs="Arial"/>
          <w:sz w:val="20"/>
        </w:rPr>
        <w:t>organisations</w:t>
      </w:r>
      <w:r w:rsidRPr="00722524">
        <w:rPr>
          <w:rFonts w:ascii="Arial" w:hAnsi="Arial" w:cs="Arial"/>
          <w:spacing w:val="-12"/>
          <w:sz w:val="20"/>
        </w:rPr>
        <w:t xml:space="preserve"> </w:t>
      </w:r>
      <w:r w:rsidRPr="00722524">
        <w:rPr>
          <w:rFonts w:ascii="Arial" w:hAnsi="Arial" w:cs="Arial"/>
          <w:sz w:val="20"/>
        </w:rPr>
        <w:t>involved</w:t>
      </w:r>
      <w:r w:rsidRPr="00722524">
        <w:rPr>
          <w:rFonts w:ascii="Arial" w:hAnsi="Arial" w:cs="Arial"/>
          <w:spacing w:val="-9"/>
          <w:sz w:val="20"/>
        </w:rPr>
        <w:t xml:space="preserve"> </w:t>
      </w:r>
      <w:r w:rsidRPr="00722524">
        <w:rPr>
          <w:rFonts w:ascii="Arial" w:hAnsi="Arial" w:cs="Arial"/>
          <w:sz w:val="20"/>
        </w:rPr>
        <w:t>in</w:t>
      </w:r>
      <w:r w:rsidRPr="00722524">
        <w:rPr>
          <w:rFonts w:ascii="Arial" w:hAnsi="Arial" w:cs="Arial"/>
          <w:spacing w:val="-13"/>
          <w:sz w:val="20"/>
        </w:rPr>
        <w:t xml:space="preserve"> </w:t>
      </w:r>
      <w:r w:rsidRPr="00722524">
        <w:rPr>
          <w:rFonts w:ascii="Arial" w:hAnsi="Arial" w:cs="Arial"/>
          <w:sz w:val="20"/>
        </w:rPr>
        <w:t>the</w:t>
      </w:r>
      <w:r w:rsidRPr="00722524">
        <w:rPr>
          <w:rFonts w:ascii="Arial" w:hAnsi="Arial" w:cs="Arial"/>
          <w:spacing w:val="-12"/>
          <w:sz w:val="20"/>
        </w:rPr>
        <w:t xml:space="preserve"> </w:t>
      </w:r>
      <w:r w:rsidRPr="00722524">
        <w:rPr>
          <w:rFonts w:ascii="Arial" w:hAnsi="Arial" w:cs="Arial"/>
          <w:sz w:val="20"/>
        </w:rPr>
        <w:t>activities</w:t>
      </w:r>
      <w:r w:rsidRPr="00722524">
        <w:rPr>
          <w:rFonts w:ascii="Arial" w:hAnsi="Arial" w:cs="Arial"/>
          <w:spacing w:val="-9"/>
          <w:sz w:val="20"/>
        </w:rPr>
        <w:t xml:space="preserve"> </w:t>
      </w:r>
      <w:r w:rsidRPr="00722524">
        <w:rPr>
          <w:rFonts w:ascii="Arial" w:hAnsi="Arial" w:cs="Arial"/>
          <w:sz w:val="20"/>
        </w:rPr>
        <w:t>related</w:t>
      </w:r>
      <w:r w:rsidRPr="00722524">
        <w:rPr>
          <w:rFonts w:ascii="Arial" w:hAnsi="Arial" w:cs="Arial"/>
          <w:spacing w:val="-47"/>
          <w:sz w:val="20"/>
        </w:rPr>
        <w:t xml:space="preserve"> </w:t>
      </w:r>
      <w:r w:rsidRPr="00722524">
        <w:rPr>
          <w:rFonts w:ascii="Arial" w:hAnsi="Arial" w:cs="Arial"/>
          <w:sz w:val="20"/>
        </w:rPr>
        <w:t>to</w:t>
      </w:r>
      <w:r w:rsidRPr="00722524">
        <w:rPr>
          <w:rFonts w:ascii="Arial" w:hAnsi="Arial" w:cs="Arial"/>
          <w:spacing w:val="-1"/>
          <w:sz w:val="20"/>
        </w:rPr>
        <w:t xml:space="preserve"> </w:t>
      </w:r>
      <w:r w:rsidRPr="00722524">
        <w:rPr>
          <w:rFonts w:ascii="Arial" w:hAnsi="Arial" w:cs="Arial"/>
          <w:sz w:val="20"/>
        </w:rPr>
        <w:t>the airworthiness</w:t>
      </w:r>
      <w:r w:rsidRPr="00722524">
        <w:rPr>
          <w:rFonts w:ascii="Arial" w:hAnsi="Arial" w:cs="Arial"/>
          <w:spacing w:val="-2"/>
          <w:sz w:val="20"/>
        </w:rPr>
        <w:t xml:space="preserve"> </w:t>
      </w:r>
      <w:r w:rsidRPr="00722524">
        <w:rPr>
          <w:rFonts w:ascii="Arial" w:hAnsi="Arial" w:cs="Arial"/>
          <w:sz w:val="20"/>
        </w:rPr>
        <w:t>of the</w:t>
      </w:r>
      <w:r w:rsidRPr="00722524">
        <w:rPr>
          <w:rFonts w:ascii="Arial" w:hAnsi="Arial" w:cs="Arial"/>
          <w:spacing w:val="-2"/>
          <w:sz w:val="20"/>
        </w:rPr>
        <w:t xml:space="preserve"> </w:t>
      </w:r>
      <w:r w:rsidRPr="00722524">
        <w:rPr>
          <w:rFonts w:ascii="Arial" w:hAnsi="Arial" w:cs="Arial"/>
          <w:sz w:val="20"/>
        </w:rPr>
        <w:t>aircraft.</w:t>
      </w:r>
    </w:p>
    <w:p w14:paraId="396A790A" w14:textId="77777777" w:rsidR="00722524" w:rsidRDefault="00722524" w:rsidP="00722524">
      <w:pPr>
        <w:tabs>
          <w:tab w:val="left" w:pos="1841"/>
          <w:tab w:val="left" w:pos="1842"/>
        </w:tabs>
        <w:rPr>
          <w:rFonts w:ascii="Arial" w:hAnsi="Arial" w:cs="Arial"/>
          <w:sz w:val="20"/>
        </w:rPr>
      </w:pPr>
    </w:p>
    <w:p w14:paraId="44B23EA9" w14:textId="77777777" w:rsidR="00722524" w:rsidRDefault="00722524" w:rsidP="00722524">
      <w:pPr>
        <w:tabs>
          <w:tab w:val="left" w:pos="1841"/>
          <w:tab w:val="left" w:pos="1842"/>
        </w:tabs>
        <w:rPr>
          <w:rFonts w:ascii="Arial" w:hAnsi="Arial" w:cs="Arial"/>
          <w:sz w:val="20"/>
        </w:rPr>
      </w:pPr>
    </w:p>
    <w:p w14:paraId="051AC4EC" w14:textId="77777777" w:rsidR="00722524" w:rsidRDefault="00722524" w:rsidP="00722524">
      <w:pPr>
        <w:tabs>
          <w:tab w:val="left" w:pos="1841"/>
          <w:tab w:val="left" w:pos="1842"/>
        </w:tabs>
        <w:rPr>
          <w:rFonts w:ascii="Arial" w:hAnsi="Arial" w:cs="Arial"/>
          <w:sz w:val="20"/>
        </w:rPr>
      </w:pPr>
    </w:p>
    <w:p w14:paraId="6F0137F2" w14:textId="77777777" w:rsidR="00722524" w:rsidRDefault="00722524" w:rsidP="00722524">
      <w:pPr>
        <w:tabs>
          <w:tab w:val="left" w:pos="1841"/>
          <w:tab w:val="left" w:pos="1842"/>
        </w:tabs>
        <w:rPr>
          <w:rFonts w:ascii="Arial" w:hAnsi="Arial" w:cs="Arial"/>
          <w:sz w:val="20"/>
        </w:rPr>
      </w:pPr>
    </w:p>
    <w:p w14:paraId="1CCC312F" w14:textId="77777777" w:rsidR="00722524" w:rsidRDefault="00722524" w:rsidP="00722524">
      <w:pPr>
        <w:tabs>
          <w:tab w:val="left" w:pos="1841"/>
          <w:tab w:val="left" w:pos="1842"/>
        </w:tabs>
        <w:rPr>
          <w:rFonts w:ascii="Arial" w:hAnsi="Arial" w:cs="Arial"/>
          <w:sz w:val="20"/>
        </w:rPr>
      </w:pPr>
    </w:p>
    <w:p w14:paraId="60878BB3" w14:textId="77777777" w:rsidR="00722524" w:rsidRDefault="00722524" w:rsidP="00722524">
      <w:pPr>
        <w:tabs>
          <w:tab w:val="left" w:pos="1841"/>
          <w:tab w:val="left" w:pos="1842"/>
        </w:tabs>
        <w:rPr>
          <w:rFonts w:ascii="Arial" w:hAnsi="Arial" w:cs="Arial"/>
          <w:sz w:val="20"/>
        </w:rPr>
      </w:pPr>
    </w:p>
    <w:p w14:paraId="4B0731A3" w14:textId="77777777" w:rsidR="00722524" w:rsidRDefault="00722524" w:rsidP="00722524">
      <w:pPr>
        <w:tabs>
          <w:tab w:val="left" w:pos="1841"/>
          <w:tab w:val="left" w:pos="1842"/>
        </w:tabs>
        <w:rPr>
          <w:rFonts w:ascii="Arial" w:hAnsi="Arial" w:cs="Arial"/>
          <w:sz w:val="20"/>
        </w:rPr>
      </w:pPr>
    </w:p>
    <w:p w14:paraId="6E080B5C" w14:textId="77777777" w:rsidR="00722524" w:rsidRDefault="00722524" w:rsidP="00722524">
      <w:pPr>
        <w:tabs>
          <w:tab w:val="left" w:pos="1841"/>
          <w:tab w:val="left" w:pos="1842"/>
        </w:tabs>
        <w:rPr>
          <w:rFonts w:ascii="Arial" w:hAnsi="Arial" w:cs="Arial"/>
          <w:sz w:val="20"/>
        </w:rPr>
      </w:pPr>
    </w:p>
    <w:p w14:paraId="45A8BDC2" w14:textId="77777777" w:rsidR="00722524" w:rsidRDefault="00722524" w:rsidP="00722524">
      <w:pPr>
        <w:tabs>
          <w:tab w:val="left" w:pos="1841"/>
          <w:tab w:val="left" w:pos="1842"/>
        </w:tabs>
        <w:rPr>
          <w:rFonts w:ascii="Arial" w:hAnsi="Arial" w:cs="Arial"/>
          <w:sz w:val="20"/>
        </w:rPr>
      </w:pPr>
    </w:p>
    <w:p w14:paraId="7584A6B2" w14:textId="77777777" w:rsidR="00722524" w:rsidRDefault="00722524" w:rsidP="00722524">
      <w:pPr>
        <w:tabs>
          <w:tab w:val="left" w:pos="1841"/>
          <w:tab w:val="left" w:pos="1842"/>
        </w:tabs>
        <w:rPr>
          <w:rFonts w:ascii="Arial" w:hAnsi="Arial" w:cs="Arial"/>
          <w:sz w:val="20"/>
        </w:rPr>
      </w:pPr>
    </w:p>
    <w:p w14:paraId="7CFBF817" w14:textId="77777777" w:rsidR="00722524" w:rsidRDefault="00722524" w:rsidP="00722524">
      <w:pPr>
        <w:tabs>
          <w:tab w:val="left" w:pos="1841"/>
          <w:tab w:val="left" w:pos="1842"/>
        </w:tabs>
        <w:rPr>
          <w:rFonts w:ascii="Arial" w:hAnsi="Arial" w:cs="Arial"/>
          <w:sz w:val="20"/>
        </w:rPr>
      </w:pPr>
    </w:p>
    <w:p w14:paraId="69698D41" w14:textId="77777777" w:rsidR="00722524" w:rsidRDefault="00722524" w:rsidP="00722524">
      <w:pPr>
        <w:tabs>
          <w:tab w:val="left" w:pos="1841"/>
          <w:tab w:val="left" w:pos="1842"/>
        </w:tabs>
        <w:rPr>
          <w:rFonts w:ascii="Arial" w:hAnsi="Arial" w:cs="Arial"/>
          <w:sz w:val="20"/>
        </w:rPr>
      </w:pPr>
    </w:p>
    <w:p w14:paraId="115CDD0B" w14:textId="77777777" w:rsidR="00722524" w:rsidRDefault="00722524" w:rsidP="00722524">
      <w:pPr>
        <w:tabs>
          <w:tab w:val="left" w:pos="1841"/>
          <w:tab w:val="left" w:pos="1842"/>
        </w:tabs>
        <w:rPr>
          <w:rFonts w:ascii="Arial" w:hAnsi="Arial" w:cs="Arial"/>
          <w:sz w:val="20"/>
        </w:rPr>
      </w:pPr>
    </w:p>
    <w:p w14:paraId="3298AE16" w14:textId="77777777" w:rsidR="00722524" w:rsidRDefault="00722524" w:rsidP="00722524">
      <w:pPr>
        <w:tabs>
          <w:tab w:val="left" w:pos="1841"/>
          <w:tab w:val="left" w:pos="1842"/>
        </w:tabs>
        <w:rPr>
          <w:rFonts w:ascii="Arial" w:hAnsi="Arial" w:cs="Arial"/>
          <w:sz w:val="20"/>
        </w:rPr>
      </w:pPr>
    </w:p>
    <w:p w14:paraId="265B5996" w14:textId="77777777" w:rsidR="00722524" w:rsidRDefault="00722524" w:rsidP="00722524">
      <w:pPr>
        <w:tabs>
          <w:tab w:val="left" w:pos="1841"/>
          <w:tab w:val="left" w:pos="1842"/>
        </w:tabs>
        <w:rPr>
          <w:rFonts w:ascii="Arial" w:hAnsi="Arial" w:cs="Arial"/>
          <w:sz w:val="20"/>
        </w:rPr>
      </w:pPr>
    </w:p>
    <w:p w14:paraId="19888FEF" w14:textId="77777777" w:rsidR="00722524" w:rsidRDefault="00722524" w:rsidP="00722524">
      <w:pPr>
        <w:tabs>
          <w:tab w:val="left" w:pos="1841"/>
          <w:tab w:val="left" w:pos="1842"/>
        </w:tabs>
        <w:rPr>
          <w:rFonts w:ascii="Arial" w:hAnsi="Arial" w:cs="Arial"/>
          <w:sz w:val="20"/>
        </w:rPr>
      </w:pPr>
    </w:p>
    <w:p w14:paraId="27067F65" w14:textId="77777777" w:rsidR="00722524" w:rsidRDefault="00722524" w:rsidP="00722524">
      <w:pPr>
        <w:tabs>
          <w:tab w:val="left" w:pos="1841"/>
          <w:tab w:val="left" w:pos="1842"/>
        </w:tabs>
        <w:rPr>
          <w:rFonts w:ascii="Arial" w:hAnsi="Arial" w:cs="Arial"/>
          <w:sz w:val="20"/>
        </w:rPr>
      </w:pPr>
    </w:p>
    <w:p w14:paraId="3F5208AD" w14:textId="77777777" w:rsidR="00722524" w:rsidRDefault="00722524" w:rsidP="00722524">
      <w:pPr>
        <w:tabs>
          <w:tab w:val="left" w:pos="1841"/>
          <w:tab w:val="left" w:pos="1842"/>
        </w:tabs>
        <w:rPr>
          <w:rFonts w:ascii="Arial" w:hAnsi="Arial" w:cs="Arial"/>
          <w:sz w:val="20"/>
        </w:rPr>
      </w:pPr>
    </w:p>
    <w:p w14:paraId="4923BD86" w14:textId="77777777" w:rsidR="00722524" w:rsidRDefault="00722524" w:rsidP="00722524">
      <w:pPr>
        <w:tabs>
          <w:tab w:val="left" w:pos="1841"/>
          <w:tab w:val="left" w:pos="1842"/>
        </w:tabs>
        <w:rPr>
          <w:rFonts w:ascii="Arial" w:hAnsi="Arial" w:cs="Arial"/>
          <w:sz w:val="20"/>
        </w:rPr>
      </w:pPr>
    </w:p>
    <w:p w14:paraId="7B2A8E00" w14:textId="77777777" w:rsidR="00722524" w:rsidRDefault="00722524" w:rsidP="00722524">
      <w:pPr>
        <w:tabs>
          <w:tab w:val="left" w:pos="1841"/>
          <w:tab w:val="left" w:pos="1842"/>
        </w:tabs>
        <w:rPr>
          <w:rFonts w:ascii="Arial" w:hAnsi="Arial" w:cs="Arial"/>
          <w:sz w:val="20"/>
        </w:rPr>
      </w:pPr>
    </w:p>
    <w:p w14:paraId="2A968B6A" w14:textId="77777777" w:rsidR="00722524" w:rsidRDefault="00722524" w:rsidP="00722524">
      <w:pPr>
        <w:tabs>
          <w:tab w:val="left" w:pos="1841"/>
          <w:tab w:val="left" w:pos="1842"/>
        </w:tabs>
        <w:rPr>
          <w:rFonts w:ascii="Arial" w:hAnsi="Arial" w:cs="Arial"/>
          <w:sz w:val="20"/>
        </w:rPr>
      </w:pPr>
    </w:p>
    <w:p w14:paraId="6C6F2D42" w14:textId="77777777" w:rsidR="00722524" w:rsidRDefault="00722524" w:rsidP="00722524">
      <w:pPr>
        <w:tabs>
          <w:tab w:val="left" w:pos="1841"/>
          <w:tab w:val="left" w:pos="1842"/>
        </w:tabs>
        <w:rPr>
          <w:rFonts w:ascii="Arial" w:hAnsi="Arial" w:cs="Arial"/>
          <w:sz w:val="20"/>
        </w:rPr>
      </w:pPr>
    </w:p>
    <w:p w14:paraId="00282F52" w14:textId="77777777" w:rsidR="00722524" w:rsidRDefault="00722524" w:rsidP="00722524">
      <w:pPr>
        <w:tabs>
          <w:tab w:val="left" w:pos="1841"/>
          <w:tab w:val="left" w:pos="1842"/>
        </w:tabs>
        <w:rPr>
          <w:rFonts w:ascii="Arial" w:hAnsi="Arial" w:cs="Arial"/>
          <w:sz w:val="20"/>
        </w:rPr>
      </w:pPr>
    </w:p>
    <w:p w14:paraId="20AC1776" w14:textId="77777777" w:rsidR="00722524" w:rsidRDefault="00722524" w:rsidP="00722524">
      <w:pPr>
        <w:tabs>
          <w:tab w:val="left" w:pos="1841"/>
          <w:tab w:val="left" w:pos="1842"/>
        </w:tabs>
        <w:rPr>
          <w:rFonts w:ascii="Arial" w:hAnsi="Arial" w:cs="Arial"/>
          <w:sz w:val="20"/>
        </w:rPr>
      </w:pPr>
    </w:p>
    <w:p w14:paraId="050CC5F7" w14:textId="77777777" w:rsidR="00722524" w:rsidRDefault="00722524" w:rsidP="00722524">
      <w:pPr>
        <w:tabs>
          <w:tab w:val="left" w:pos="1841"/>
          <w:tab w:val="left" w:pos="1842"/>
        </w:tabs>
        <w:rPr>
          <w:rFonts w:ascii="Arial" w:hAnsi="Arial" w:cs="Arial"/>
          <w:sz w:val="20"/>
        </w:rPr>
      </w:pPr>
    </w:p>
    <w:p w14:paraId="56134A27" w14:textId="77777777" w:rsidR="00722524" w:rsidRDefault="00722524" w:rsidP="00722524">
      <w:pPr>
        <w:tabs>
          <w:tab w:val="left" w:pos="1841"/>
          <w:tab w:val="left" w:pos="1842"/>
        </w:tabs>
        <w:rPr>
          <w:rFonts w:ascii="Arial" w:hAnsi="Arial" w:cs="Arial"/>
          <w:sz w:val="20"/>
        </w:rPr>
      </w:pPr>
    </w:p>
    <w:p w14:paraId="3D10A790" w14:textId="77777777" w:rsidR="00722524" w:rsidRDefault="00722524" w:rsidP="00722524">
      <w:pPr>
        <w:tabs>
          <w:tab w:val="left" w:pos="1841"/>
          <w:tab w:val="left" w:pos="1842"/>
        </w:tabs>
        <w:rPr>
          <w:rFonts w:ascii="Arial" w:hAnsi="Arial" w:cs="Arial"/>
          <w:sz w:val="20"/>
        </w:rPr>
      </w:pPr>
    </w:p>
    <w:p w14:paraId="42F920A5" w14:textId="77777777" w:rsidR="00722524" w:rsidRDefault="00722524" w:rsidP="00722524">
      <w:pPr>
        <w:tabs>
          <w:tab w:val="left" w:pos="1841"/>
          <w:tab w:val="left" w:pos="1842"/>
        </w:tabs>
        <w:rPr>
          <w:rFonts w:ascii="Arial" w:hAnsi="Arial" w:cs="Arial"/>
          <w:sz w:val="20"/>
        </w:rPr>
      </w:pPr>
    </w:p>
    <w:p w14:paraId="6A6631E8" w14:textId="77777777" w:rsidR="00722524" w:rsidRDefault="00722524" w:rsidP="00722524">
      <w:pPr>
        <w:tabs>
          <w:tab w:val="left" w:pos="1841"/>
          <w:tab w:val="left" w:pos="1842"/>
        </w:tabs>
        <w:rPr>
          <w:rFonts w:ascii="Arial" w:hAnsi="Arial" w:cs="Arial"/>
          <w:sz w:val="20"/>
        </w:rPr>
      </w:pPr>
    </w:p>
    <w:p w14:paraId="6D95748F" w14:textId="77777777" w:rsidR="00722524" w:rsidRDefault="00722524" w:rsidP="00722524">
      <w:pPr>
        <w:tabs>
          <w:tab w:val="left" w:pos="1841"/>
          <w:tab w:val="left" w:pos="1842"/>
        </w:tabs>
        <w:rPr>
          <w:rFonts w:ascii="Arial" w:hAnsi="Arial" w:cs="Arial"/>
          <w:sz w:val="20"/>
        </w:rPr>
      </w:pPr>
    </w:p>
    <w:p w14:paraId="19A585A4" w14:textId="77777777" w:rsidR="00722524" w:rsidRDefault="00722524" w:rsidP="00722524">
      <w:pPr>
        <w:tabs>
          <w:tab w:val="left" w:pos="1841"/>
          <w:tab w:val="left" w:pos="1842"/>
        </w:tabs>
        <w:rPr>
          <w:rFonts w:ascii="Arial" w:hAnsi="Arial" w:cs="Arial"/>
          <w:sz w:val="20"/>
        </w:rPr>
      </w:pPr>
    </w:p>
    <w:p w14:paraId="7E04A96F" w14:textId="77777777" w:rsidR="00722524" w:rsidRDefault="00722524" w:rsidP="00722524">
      <w:pPr>
        <w:tabs>
          <w:tab w:val="left" w:pos="1841"/>
          <w:tab w:val="left" w:pos="1842"/>
        </w:tabs>
        <w:rPr>
          <w:rFonts w:ascii="Arial" w:hAnsi="Arial" w:cs="Arial"/>
          <w:sz w:val="20"/>
        </w:rPr>
      </w:pPr>
    </w:p>
    <w:p w14:paraId="13E504C2" w14:textId="77777777" w:rsidR="00722524" w:rsidRDefault="00722524" w:rsidP="00722524">
      <w:pPr>
        <w:tabs>
          <w:tab w:val="left" w:pos="1841"/>
          <w:tab w:val="left" w:pos="1842"/>
        </w:tabs>
        <w:rPr>
          <w:rFonts w:ascii="Arial" w:hAnsi="Arial" w:cs="Arial"/>
          <w:sz w:val="20"/>
        </w:rPr>
      </w:pPr>
    </w:p>
    <w:p w14:paraId="53F43CA6" w14:textId="77777777" w:rsidR="00722524" w:rsidRDefault="00722524" w:rsidP="00722524">
      <w:pPr>
        <w:tabs>
          <w:tab w:val="left" w:pos="1841"/>
          <w:tab w:val="left" w:pos="1842"/>
        </w:tabs>
        <w:rPr>
          <w:rFonts w:ascii="Arial" w:hAnsi="Arial" w:cs="Arial"/>
          <w:sz w:val="20"/>
        </w:rPr>
      </w:pPr>
    </w:p>
    <w:p w14:paraId="5BC792A8" w14:textId="77777777" w:rsidR="00722524" w:rsidRDefault="00722524" w:rsidP="00722524">
      <w:pPr>
        <w:tabs>
          <w:tab w:val="left" w:pos="1841"/>
          <w:tab w:val="left" w:pos="1842"/>
        </w:tabs>
        <w:rPr>
          <w:rFonts w:ascii="Arial" w:hAnsi="Arial" w:cs="Arial"/>
          <w:sz w:val="20"/>
        </w:rPr>
      </w:pPr>
    </w:p>
    <w:p w14:paraId="12521585" w14:textId="77777777" w:rsidR="00722524" w:rsidRDefault="00722524" w:rsidP="00722524">
      <w:pPr>
        <w:tabs>
          <w:tab w:val="left" w:pos="1841"/>
          <w:tab w:val="left" w:pos="1842"/>
        </w:tabs>
        <w:rPr>
          <w:rFonts w:ascii="Arial" w:hAnsi="Arial" w:cs="Arial"/>
          <w:sz w:val="20"/>
        </w:rPr>
      </w:pPr>
    </w:p>
    <w:p w14:paraId="721044AA" w14:textId="77777777" w:rsidR="00722524" w:rsidRDefault="00722524" w:rsidP="00722524">
      <w:pPr>
        <w:tabs>
          <w:tab w:val="left" w:pos="1841"/>
          <w:tab w:val="left" w:pos="1842"/>
        </w:tabs>
        <w:rPr>
          <w:rFonts w:ascii="Arial" w:hAnsi="Arial" w:cs="Arial"/>
          <w:sz w:val="20"/>
        </w:rPr>
      </w:pPr>
    </w:p>
    <w:p w14:paraId="7527142F" w14:textId="77777777" w:rsidR="00722524" w:rsidRDefault="00722524" w:rsidP="00722524">
      <w:pPr>
        <w:tabs>
          <w:tab w:val="left" w:pos="1841"/>
          <w:tab w:val="left" w:pos="1842"/>
        </w:tabs>
        <w:rPr>
          <w:rFonts w:ascii="Arial" w:hAnsi="Arial" w:cs="Arial"/>
          <w:sz w:val="20"/>
        </w:rPr>
      </w:pPr>
    </w:p>
    <w:p w14:paraId="773E3499" w14:textId="77777777" w:rsidR="00722524" w:rsidRDefault="00722524" w:rsidP="00722524">
      <w:pPr>
        <w:tabs>
          <w:tab w:val="left" w:pos="1841"/>
          <w:tab w:val="left" w:pos="1842"/>
        </w:tabs>
        <w:rPr>
          <w:rFonts w:ascii="Arial" w:hAnsi="Arial" w:cs="Arial"/>
          <w:sz w:val="20"/>
        </w:rPr>
      </w:pPr>
    </w:p>
    <w:p w14:paraId="2874D695" w14:textId="77777777" w:rsidR="00722524" w:rsidRDefault="00722524" w:rsidP="00722524">
      <w:pPr>
        <w:tabs>
          <w:tab w:val="left" w:pos="1841"/>
          <w:tab w:val="left" w:pos="1842"/>
        </w:tabs>
        <w:rPr>
          <w:rFonts w:ascii="Arial" w:hAnsi="Arial" w:cs="Arial"/>
          <w:sz w:val="20"/>
        </w:rPr>
      </w:pPr>
    </w:p>
    <w:p w14:paraId="2558D57E" w14:textId="77777777" w:rsidR="00722524" w:rsidRDefault="00722524" w:rsidP="00722524">
      <w:pPr>
        <w:tabs>
          <w:tab w:val="left" w:pos="1841"/>
          <w:tab w:val="left" w:pos="1842"/>
        </w:tabs>
        <w:rPr>
          <w:rFonts w:ascii="Arial" w:hAnsi="Arial" w:cs="Arial"/>
          <w:sz w:val="20"/>
        </w:rPr>
      </w:pPr>
    </w:p>
    <w:p w14:paraId="5C030190" w14:textId="77777777" w:rsidR="00722524" w:rsidRDefault="00722524" w:rsidP="00722524">
      <w:pPr>
        <w:tabs>
          <w:tab w:val="left" w:pos="1841"/>
          <w:tab w:val="left" w:pos="1842"/>
        </w:tabs>
        <w:rPr>
          <w:rFonts w:ascii="Arial" w:hAnsi="Arial" w:cs="Arial"/>
          <w:sz w:val="20"/>
        </w:rPr>
      </w:pPr>
    </w:p>
    <w:p w14:paraId="7A5FD364" w14:textId="77777777" w:rsidR="00722524" w:rsidRDefault="00722524" w:rsidP="00722524">
      <w:pPr>
        <w:tabs>
          <w:tab w:val="left" w:pos="1841"/>
          <w:tab w:val="left" w:pos="1842"/>
        </w:tabs>
        <w:rPr>
          <w:rFonts w:ascii="Arial" w:hAnsi="Arial" w:cs="Arial"/>
          <w:sz w:val="20"/>
        </w:rPr>
      </w:pPr>
    </w:p>
    <w:p w14:paraId="493D9A9D" w14:textId="77777777" w:rsidR="00722524" w:rsidRDefault="00722524" w:rsidP="00722524">
      <w:pPr>
        <w:tabs>
          <w:tab w:val="left" w:pos="1841"/>
          <w:tab w:val="left" w:pos="1842"/>
        </w:tabs>
        <w:rPr>
          <w:rFonts w:ascii="Arial" w:hAnsi="Arial" w:cs="Arial"/>
          <w:sz w:val="20"/>
        </w:rPr>
      </w:pPr>
    </w:p>
    <w:p w14:paraId="5B615977" w14:textId="77777777" w:rsidR="00722524" w:rsidRDefault="00722524" w:rsidP="00722524">
      <w:pPr>
        <w:tabs>
          <w:tab w:val="left" w:pos="1841"/>
          <w:tab w:val="left" w:pos="1842"/>
        </w:tabs>
        <w:rPr>
          <w:rFonts w:ascii="Arial" w:hAnsi="Arial" w:cs="Arial"/>
          <w:sz w:val="20"/>
        </w:rPr>
      </w:pPr>
    </w:p>
    <w:p w14:paraId="40B221AB" w14:textId="77777777" w:rsidR="00722524" w:rsidRDefault="00722524" w:rsidP="00722524">
      <w:pPr>
        <w:tabs>
          <w:tab w:val="left" w:pos="1841"/>
          <w:tab w:val="left" w:pos="1842"/>
        </w:tabs>
        <w:rPr>
          <w:rFonts w:ascii="Arial" w:hAnsi="Arial" w:cs="Arial"/>
          <w:sz w:val="20"/>
        </w:rPr>
      </w:pPr>
    </w:p>
    <w:p w14:paraId="0CC26521" w14:textId="77777777" w:rsidR="00722524" w:rsidRDefault="00722524" w:rsidP="00722524">
      <w:pPr>
        <w:tabs>
          <w:tab w:val="left" w:pos="1841"/>
          <w:tab w:val="left" w:pos="1842"/>
        </w:tabs>
        <w:rPr>
          <w:rFonts w:ascii="Arial" w:hAnsi="Arial" w:cs="Arial"/>
          <w:sz w:val="20"/>
        </w:rPr>
      </w:pPr>
    </w:p>
    <w:p w14:paraId="18AE6BD2" w14:textId="77777777" w:rsidR="00722524" w:rsidRDefault="00722524" w:rsidP="00722524">
      <w:pPr>
        <w:tabs>
          <w:tab w:val="left" w:pos="1841"/>
          <w:tab w:val="left" w:pos="1842"/>
        </w:tabs>
        <w:rPr>
          <w:rFonts w:ascii="Arial" w:hAnsi="Arial" w:cs="Arial"/>
          <w:sz w:val="20"/>
        </w:rPr>
      </w:pPr>
    </w:p>
    <w:p w14:paraId="766B200B" w14:textId="77777777" w:rsidR="00722524" w:rsidRDefault="00722524" w:rsidP="00722524">
      <w:pPr>
        <w:tabs>
          <w:tab w:val="left" w:pos="1841"/>
          <w:tab w:val="left" w:pos="1842"/>
        </w:tabs>
        <w:rPr>
          <w:rFonts w:ascii="Arial" w:hAnsi="Arial" w:cs="Arial"/>
          <w:sz w:val="20"/>
        </w:rPr>
      </w:pPr>
    </w:p>
    <w:p w14:paraId="06B92E26" w14:textId="77777777" w:rsidR="00722524" w:rsidRDefault="00722524" w:rsidP="00722524">
      <w:pPr>
        <w:tabs>
          <w:tab w:val="left" w:pos="1841"/>
          <w:tab w:val="left" w:pos="1842"/>
        </w:tabs>
        <w:rPr>
          <w:rFonts w:ascii="Arial" w:hAnsi="Arial" w:cs="Arial"/>
          <w:sz w:val="20"/>
        </w:rPr>
      </w:pPr>
    </w:p>
    <w:p w14:paraId="092C2DDE" w14:textId="77777777" w:rsidR="00722524" w:rsidRDefault="00722524" w:rsidP="00722524">
      <w:pPr>
        <w:tabs>
          <w:tab w:val="left" w:pos="1841"/>
          <w:tab w:val="left" w:pos="1842"/>
        </w:tabs>
        <w:rPr>
          <w:rFonts w:ascii="Arial" w:hAnsi="Arial" w:cs="Arial"/>
          <w:sz w:val="20"/>
        </w:rPr>
      </w:pPr>
    </w:p>
    <w:p w14:paraId="7EE84AC0" w14:textId="77777777" w:rsidR="00722524" w:rsidRDefault="00722524" w:rsidP="00722524">
      <w:pPr>
        <w:tabs>
          <w:tab w:val="left" w:pos="1841"/>
          <w:tab w:val="left" w:pos="1842"/>
        </w:tabs>
        <w:rPr>
          <w:rFonts w:ascii="Arial" w:hAnsi="Arial" w:cs="Arial"/>
          <w:sz w:val="20"/>
        </w:rPr>
      </w:pPr>
    </w:p>
    <w:p w14:paraId="3088B54A" w14:textId="77777777" w:rsidR="00722524" w:rsidRPr="00722524" w:rsidRDefault="00722524" w:rsidP="00722524">
      <w:pPr>
        <w:keepNext/>
        <w:keepLines/>
        <w:widowControl/>
        <w:autoSpaceDE/>
        <w:autoSpaceDN/>
        <w:spacing w:before="40" w:line="259" w:lineRule="auto"/>
        <w:jc w:val="center"/>
        <w:outlineLvl w:val="2"/>
        <w:rPr>
          <w:rFonts w:ascii="Arial" w:eastAsiaTheme="majorEastAsia" w:hAnsi="Arial" w:cs="Arial"/>
          <w:b/>
          <w:color w:val="00B0F0"/>
          <w:sz w:val="24"/>
          <w:szCs w:val="24"/>
        </w:rPr>
      </w:pPr>
      <w:bookmarkStart w:id="799" w:name="_Toc153137494"/>
      <w:r w:rsidRPr="00722524">
        <w:rPr>
          <w:rFonts w:ascii="Arial" w:eastAsiaTheme="majorEastAsia" w:hAnsi="Arial" w:cs="Arial"/>
          <w:b/>
          <w:color w:val="00B0F0"/>
          <w:sz w:val="24"/>
          <w:szCs w:val="24"/>
        </w:rPr>
        <w:lastRenderedPageBreak/>
        <w:t>SUBPART B — ACCOUNTABILITY</w:t>
      </w:r>
      <w:bookmarkEnd w:id="799"/>
    </w:p>
    <w:p w14:paraId="079FB65F" w14:textId="77777777" w:rsidR="00722524" w:rsidRDefault="00722524" w:rsidP="00722524">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800" w:name="_Toc153137495"/>
      <w:r w:rsidRPr="00722524">
        <w:rPr>
          <w:rFonts w:ascii="Arial" w:eastAsia="Times New Roman" w:hAnsi="Arial" w:cs="Times New Roman"/>
          <w:b/>
          <w:iCs/>
          <w:color w:val="FFFFFF"/>
          <w:sz w:val="24"/>
        </w:rPr>
        <w:t>ML.A.201 Responsibilities</w:t>
      </w:r>
      <w:bookmarkEnd w:id="800"/>
      <w:r w:rsidRPr="00722524">
        <w:rPr>
          <w:rFonts w:ascii="Arial" w:eastAsia="Times New Roman" w:hAnsi="Arial" w:cs="Times New Roman"/>
          <w:b/>
          <w:iCs/>
          <w:color w:val="FFFFFF"/>
          <w:sz w:val="24"/>
        </w:rPr>
        <w:tab/>
      </w:r>
    </w:p>
    <w:p w14:paraId="15240FDD" w14:textId="77777777" w:rsidR="00722524" w:rsidRPr="00722524" w:rsidRDefault="00722524" w:rsidP="000D0180">
      <w:pPr>
        <w:pStyle w:val="ListParagraph"/>
        <w:numPr>
          <w:ilvl w:val="0"/>
          <w:numId w:val="285"/>
        </w:numPr>
        <w:tabs>
          <w:tab w:val="left" w:pos="706"/>
          <w:tab w:val="left" w:pos="707"/>
        </w:tabs>
        <w:spacing w:before="117"/>
        <w:ind w:right="68"/>
        <w:jc w:val="both"/>
        <w:rPr>
          <w:rFonts w:ascii="Arial" w:hAnsi="Arial" w:cs="Arial"/>
          <w:sz w:val="20"/>
        </w:rPr>
      </w:pPr>
      <w:r w:rsidRPr="00722524">
        <w:rPr>
          <w:rFonts w:ascii="Arial" w:hAnsi="Arial" w:cs="Arial"/>
          <w:sz w:val="20"/>
        </w:rPr>
        <w:t>The</w:t>
      </w:r>
      <w:r w:rsidRPr="00722524">
        <w:rPr>
          <w:rFonts w:ascii="Arial" w:hAnsi="Arial" w:cs="Arial"/>
          <w:spacing w:val="13"/>
          <w:sz w:val="20"/>
        </w:rPr>
        <w:t xml:space="preserve"> </w:t>
      </w:r>
      <w:r w:rsidRPr="00722524">
        <w:rPr>
          <w:rFonts w:ascii="Arial" w:hAnsi="Arial" w:cs="Arial"/>
          <w:sz w:val="20"/>
        </w:rPr>
        <w:t>owner</w:t>
      </w:r>
      <w:r w:rsidRPr="00722524">
        <w:rPr>
          <w:rFonts w:ascii="Arial" w:hAnsi="Arial" w:cs="Arial"/>
          <w:spacing w:val="12"/>
          <w:sz w:val="20"/>
        </w:rPr>
        <w:t xml:space="preserve"> </w:t>
      </w:r>
      <w:r w:rsidRPr="00722524">
        <w:rPr>
          <w:rFonts w:ascii="Arial" w:hAnsi="Arial" w:cs="Arial"/>
          <w:sz w:val="20"/>
        </w:rPr>
        <w:t>of</w:t>
      </w:r>
      <w:r w:rsidRPr="00722524">
        <w:rPr>
          <w:rFonts w:ascii="Arial" w:hAnsi="Arial" w:cs="Arial"/>
          <w:spacing w:val="11"/>
          <w:sz w:val="20"/>
        </w:rPr>
        <w:t xml:space="preserve"> </w:t>
      </w:r>
      <w:r w:rsidRPr="00722524">
        <w:rPr>
          <w:rFonts w:ascii="Arial" w:hAnsi="Arial" w:cs="Arial"/>
          <w:sz w:val="20"/>
        </w:rPr>
        <w:t>the</w:t>
      </w:r>
      <w:r w:rsidRPr="00722524">
        <w:rPr>
          <w:rFonts w:ascii="Arial" w:hAnsi="Arial" w:cs="Arial"/>
          <w:spacing w:val="14"/>
          <w:sz w:val="20"/>
        </w:rPr>
        <w:t xml:space="preserve"> </w:t>
      </w:r>
      <w:r w:rsidRPr="00722524">
        <w:rPr>
          <w:rFonts w:ascii="Arial" w:hAnsi="Arial" w:cs="Arial"/>
          <w:sz w:val="20"/>
        </w:rPr>
        <w:t>aircraft</w:t>
      </w:r>
      <w:r w:rsidRPr="00722524">
        <w:rPr>
          <w:rFonts w:ascii="Arial" w:hAnsi="Arial" w:cs="Arial"/>
          <w:spacing w:val="13"/>
          <w:sz w:val="20"/>
        </w:rPr>
        <w:t xml:space="preserve"> </w:t>
      </w:r>
      <w:r w:rsidRPr="00722524">
        <w:rPr>
          <w:rFonts w:ascii="Arial" w:hAnsi="Arial" w:cs="Arial"/>
          <w:sz w:val="20"/>
        </w:rPr>
        <w:t>shall</w:t>
      </w:r>
      <w:r w:rsidRPr="00722524">
        <w:rPr>
          <w:rFonts w:ascii="Arial" w:hAnsi="Arial" w:cs="Arial"/>
          <w:spacing w:val="13"/>
          <w:sz w:val="20"/>
        </w:rPr>
        <w:t xml:space="preserve"> </w:t>
      </w:r>
      <w:r w:rsidRPr="00722524">
        <w:rPr>
          <w:rFonts w:ascii="Arial" w:hAnsi="Arial" w:cs="Arial"/>
          <w:sz w:val="20"/>
        </w:rPr>
        <w:t>be</w:t>
      </w:r>
      <w:r w:rsidRPr="00722524">
        <w:rPr>
          <w:rFonts w:ascii="Arial" w:hAnsi="Arial" w:cs="Arial"/>
          <w:spacing w:val="14"/>
          <w:sz w:val="20"/>
        </w:rPr>
        <w:t xml:space="preserve"> </w:t>
      </w:r>
      <w:r w:rsidRPr="00722524">
        <w:rPr>
          <w:rFonts w:ascii="Arial" w:hAnsi="Arial" w:cs="Arial"/>
          <w:sz w:val="20"/>
        </w:rPr>
        <w:t>responsible</w:t>
      </w:r>
      <w:r w:rsidRPr="00722524">
        <w:rPr>
          <w:rFonts w:ascii="Arial" w:hAnsi="Arial" w:cs="Arial"/>
          <w:spacing w:val="15"/>
          <w:sz w:val="20"/>
        </w:rPr>
        <w:t xml:space="preserve"> </w:t>
      </w:r>
      <w:r w:rsidRPr="00722524">
        <w:rPr>
          <w:rFonts w:ascii="Arial" w:hAnsi="Arial" w:cs="Arial"/>
          <w:sz w:val="20"/>
        </w:rPr>
        <w:t>for</w:t>
      </w:r>
      <w:r w:rsidRPr="00722524">
        <w:rPr>
          <w:rFonts w:ascii="Arial" w:hAnsi="Arial" w:cs="Arial"/>
          <w:spacing w:val="13"/>
          <w:sz w:val="20"/>
        </w:rPr>
        <w:t xml:space="preserve"> </w:t>
      </w:r>
      <w:r w:rsidRPr="00722524">
        <w:rPr>
          <w:rFonts w:ascii="Arial" w:hAnsi="Arial" w:cs="Arial"/>
          <w:sz w:val="20"/>
        </w:rPr>
        <w:t>the</w:t>
      </w:r>
      <w:r w:rsidRPr="00722524">
        <w:rPr>
          <w:rFonts w:ascii="Arial" w:hAnsi="Arial" w:cs="Arial"/>
          <w:spacing w:val="12"/>
          <w:sz w:val="20"/>
        </w:rPr>
        <w:t xml:space="preserve"> </w:t>
      </w:r>
      <w:r w:rsidRPr="00722524">
        <w:rPr>
          <w:rFonts w:ascii="Arial" w:hAnsi="Arial" w:cs="Arial"/>
          <w:sz w:val="20"/>
        </w:rPr>
        <w:t>continuing</w:t>
      </w:r>
      <w:r w:rsidRPr="00722524">
        <w:rPr>
          <w:rFonts w:ascii="Arial" w:hAnsi="Arial" w:cs="Arial"/>
          <w:spacing w:val="13"/>
          <w:sz w:val="20"/>
        </w:rPr>
        <w:t xml:space="preserve"> </w:t>
      </w:r>
      <w:r w:rsidRPr="00722524">
        <w:rPr>
          <w:rFonts w:ascii="Arial" w:hAnsi="Arial" w:cs="Arial"/>
          <w:sz w:val="20"/>
        </w:rPr>
        <w:t>airworthiness</w:t>
      </w:r>
      <w:r w:rsidRPr="00722524">
        <w:rPr>
          <w:rFonts w:ascii="Arial" w:hAnsi="Arial" w:cs="Arial"/>
          <w:spacing w:val="11"/>
          <w:sz w:val="20"/>
        </w:rPr>
        <w:t xml:space="preserve"> </w:t>
      </w:r>
      <w:r w:rsidRPr="00722524">
        <w:rPr>
          <w:rFonts w:ascii="Arial" w:hAnsi="Arial" w:cs="Arial"/>
          <w:sz w:val="20"/>
        </w:rPr>
        <w:t>of</w:t>
      </w:r>
      <w:r w:rsidRPr="00722524">
        <w:rPr>
          <w:rFonts w:ascii="Arial" w:hAnsi="Arial" w:cs="Arial"/>
          <w:spacing w:val="14"/>
          <w:sz w:val="20"/>
        </w:rPr>
        <w:t xml:space="preserve"> </w:t>
      </w:r>
      <w:r w:rsidRPr="00722524">
        <w:rPr>
          <w:rFonts w:ascii="Arial" w:hAnsi="Arial" w:cs="Arial"/>
          <w:sz w:val="20"/>
        </w:rPr>
        <w:t>the</w:t>
      </w:r>
      <w:r w:rsidRPr="00722524">
        <w:rPr>
          <w:rFonts w:ascii="Arial" w:hAnsi="Arial" w:cs="Arial"/>
          <w:spacing w:val="11"/>
          <w:sz w:val="20"/>
        </w:rPr>
        <w:t xml:space="preserve"> </w:t>
      </w:r>
      <w:r w:rsidRPr="00722524">
        <w:rPr>
          <w:rFonts w:ascii="Arial" w:hAnsi="Arial" w:cs="Arial"/>
          <w:sz w:val="20"/>
        </w:rPr>
        <w:t>aircraft</w:t>
      </w:r>
      <w:r w:rsidRPr="00722524">
        <w:rPr>
          <w:rFonts w:ascii="Arial" w:hAnsi="Arial" w:cs="Arial"/>
          <w:spacing w:val="-47"/>
          <w:sz w:val="20"/>
        </w:rPr>
        <w:t xml:space="preserve"> </w:t>
      </w:r>
      <w:r w:rsidRPr="00722524">
        <w:rPr>
          <w:rFonts w:ascii="Arial" w:hAnsi="Arial" w:cs="Arial"/>
          <w:sz w:val="20"/>
        </w:rPr>
        <w:t>and</w:t>
      </w:r>
      <w:r w:rsidRPr="00722524">
        <w:rPr>
          <w:rFonts w:ascii="Arial" w:hAnsi="Arial" w:cs="Arial"/>
          <w:spacing w:val="-2"/>
          <w:sz w:val="20"/>
        </w:rPr>
        <w:t xml:space="preserve"> </w:t>
      </w:r>
      <w:r w:rsidRPr="00722524">
        <w:rPr>
          <w:rFonts w:ascii="Arial" w:hAnsi="Arial" w:cs="Arial"/>
          <w:sz w:val="20"/>
        </w:rPr>
        <w:t>shall ensure</w:t>
      </w:r>
      <w:r w:rsidRPr="00722524">
        <w:rPr>
          <w:rFonts w:ascii="Arial" w:hAnsi="Arial" w:cs="Arial"/>
          <w:spacing w:val="-1"/>
          <w:sz w:val="20"/>
        </w:rPr>
        <w:t xml:space="preserve"> </w:t>
      </w:r>
      <w:r w:rsidRPr="00722524">
        <w:rPr>
          <w:rFonts w:ascii="Arial" w:hAnsi="Arial" w:cs="Arial"/>
          <w:sz w:val="20"/>
        </w:rPr>
        <w:t>that no</w:t>
      </w:r>
      <w:r w:rsidRPr="00722524">
        <w:rPr>
          <w:rFonts w:ascii="Arial" w:hAnsi="Arial" w:cs="Arial"/>
          <w:spacing w:val="-3"/>
          <w:sz w:val="20"/>
        </w:rPr>
        <w:t xml:space="preserve"> </w:t>
      </w:r>
      <w:r w:rsidRPr="00722524">
        <w:rPr>
          <w:rFonts w:ascii="Arial" w:hAnsi="Arial" w:cs="Arial"/>
          <w:sz w:val="20"/>
        </w:rPr>
        <w:t>flight takes</w:t>
      </w:r>
      <w:r w:rsidRPr="00722524">
        <w:rPr>
          <w:rFonts w:ascii="Arial" w:hAnsi="Arial" w:cs="Arial"/>
          <w:spacing w:val="-4"/>
          <w:sz w:val="20"/>
        </w:rPr>
        <w:t xml:space="preserve"> </w:t>
      </w:r>
      <w:r w:rsidRPr="00722524">
        <w:rPr>
          <w:rFonts w:ascii="Arial" w:hAnsi="Arial" w:cs="Arial"/>
          <w:sz w:val="20"/>
        </w:rPr>
        <w:t>place</w:t>
      </w:r>
      <w:r w:rsidRPr="00722524">
        <w:rPr>
          <w:rFonts w:ascii="Arial" w:hAnsi="Arial" w:cs="Arial"/>
          <w:spacing w:val="-2"/>
          <w:sz w:val="20"/>
        </w:rPr>
        <w:t xml:space="preserve"> </w:t>
      </w:r>
      <w:r w:rsidRPr="00722524">
        <w:rPr>
          <w:rFonts w:ascii="Arial" w:hAnsi="Arial" w:cs="Arial"/>
          <w:sz w:val="20"/>
        </w:rPr>
        <w:t>unless</w:t>
      </w:r>
      <w:r w:rsidRPr="00722524">
        <w:rPr>
          <w:rFonts w:ascii="Arial" w:hAnsi="Arial" w:cs="Arial"/>
          <w:spacing w:val="-1"/>
          <w:sz w:val="20"/>
        </w:rPr>
        <w:t xml:space="preserve"> </w:t>
      </w:r>
      <w:r w:rsidRPr="00722524">
        <w:rPr>
          <w:rFonts w:ascii="Arial" w:hAnsi="Arial" w:cs="Arial"/>
          <w:sz w:val="20"/>
        </w:rPr>
        <w:t>all</w:t>
      </w:r>
      <w:r w:rsidRPr="00722524">
        <w:rPr>
          <w:rFonts w:ascii="Arial" w:hAnsi="Arial" w:cs="Arial"/>
          <w:spacing w:val="-3"/>
          <w:sz w:val="20"/>
        </w:rPr>
        <w:t xml:space="preserve"> </w:t>
      </w:r>
      <w:r w:rsidRPr="00722524">
        <w:rPr>
          <w:rFonts w:ascii="Arial" w:hAnsi="Arial" w:cs="Arial"/>
          <w:sz w:val="20"/>
        </w:rPr>
        <w:t>of</w:t>
      </w:r>
      <w:r w:rsidRPr="00722524">
        <w:rPr>
          <w:rFonts w:ascii="Arial" w:hAnsi="Arial" w:cs="Arial"/>
          <w:spacing w:val="-3"/>
          <w:sz w:val="20"/>
        </w:rPr>
        <w:t xml:space="preserve"> </w:t>
      </w:r>
      <w:r w:rsidRPr="00722524">
        <w:rPr>
          <w:rFonts w:ascii="Arial" w:hAnsi="Arial" w:cs="Arial"/>
          <w:sz w:val="20"/>
        </w:rPr>
        <w:t>the following</w:t>
      </w:r>
      <w:r w:rsidRPr="00722524">
        <w:rPr>
          <w:rFonts w:ascii="Arial" w:hAnsi="Arial" w:cs="Arial"/>
          <w:spacing w:val="-2"/>
          <w:sz w:val="20"/>
        </w:rPr>
        <w:t xml:space="preserve"> </w:t>
      </w:r>
      <w:r w:rsidRPr="00722524">
        <w:rPr>
          <w:rFonts w:ascii="Arial" w:hAnsi="Arial" w:cs="Arial"/>
          <w:sz w:val="20"/>
        </w:rPr>
        <w:t>requirements</w:t>
      </w:r>
      <w:r w:rsidRPr="00722524">
        <w:rPr>
          <w:rFonts w:ascii="Arial" w:hAnsi="Arial" w:cs="Arial"/>
          <w:spacing w:val="-1"/>
          <w:sz w:val="20"/>
        </w:rPr>
        <w:t xml:space="preserve"> </w:t>
      </w:r>
      <w:r w:rsidRPr="00722524">
        <w:rPr>
          <w:rFonts w:ascii="Arial" w:hAnsi="Arial" w:cs="Arial"/>
          <w:sz w:val="20"/>
        </w:rPr>
        <w:t>are</w:t>
      </w:r>
      <w:r w:rsidRPr="00722524">
        <w:rPr>
          <w:rFonts w:ascii="Arial" w:hAnsi="Arial" w:cs="Arial"/>
          <w:spacing w:val="-2"/>
          <w:sz w:val="20"/>
        </w:rPr>
        <w:t xml:space="preserve"> </w:t>
      </w:r>
      <w:r w:rsidRPr="00722524">
        <w:rPr>
          <w:rFonts w:ascii="Arial" w:hAnsi="Arial" w:cs="Arial"/>
          <w:sz w:val="20"/>
        </w:rPr>
        <w:t>met:</w:t>
      </w:r>
    </w:p>
    <w:p w14:paraId="2381515A" w14:textId="77777777" w:rsidR="00722524" w:rsidRPr="00722524" w:rsidRDefault="00722524" w:rsidP="000D0180">
      <w:pPr>
        <w:pStyle w:val="ListParagraph"/>
        <w:numPr>
          <w:ilvl w:val="1"/>
          <w:numId w:val="285"/>
        </w:numPr>
        <w:tabs>
          <w:tab w:val="left" w:pos="1273"/>
          <w:tab w:val="left" w:pos="1274"/>
        </w:tabs>
        <w:spacing w:before="121"/>
        <w:ind w:right="68" w:hanging="568"/>
        <w:jc w:val="both"/>
        <w:rPr>
          <w:rFonts w:ascii="Arial" w:hAnsi="Arial" w:cs="Arial"/>
          <w:sz w:val="20"/>
        </w:rPr>
      </w:pPr>
      <w:r w:rsidRPr="00722524">
        <w:rPr>
          <w:rFonts w:ascii="Arial" w:hAnsi="Arial" w:cs="Arial"/>
          <w:sz w:val="20"/>
        </w:rPr>
        <w:t>the</w:t>
      </w:r>
      <w:r w:rsidRPr="00722524">
        <w:rPr>
          <w:rFonts w:ascii="Arial" w:hAnsi="Arial" w:cs="Arial"/>
          <w:spacing w:val="-1"/>
          <w:sz w:val="20"/>
        </w:rPr>
        <w:t xml:space="preserve"> </w:t>
      </w:r>
      <w:r w:rsidRPr="00722524">
        <w:rPr>
          <w:rFonts w:ascii="Arial" w:hAnsi="Arial" w:cs="Arial"/>
          <w:sz w:val="20"/>
        </w:rPr>
        <w:t>aircraft is</w:t>
      </w:r>
      <w:r w:rsidRPr="00722524">
        <w:rPr>
          <w:rFonts w:ascii="Arial" w:hAnsi="Arial" w:cs="Arial"/>
          <w:spacing w:val="-2"/>
          <w:sz w:val="20"/>
        </w:rPr>
        <w:t xml:space="preserve"> </w:t>
      </w:r>
      <w:r w:rsidRPr="00722524">
        <w:rPr>
          <w:rFonts w:ascii="Arial" w:hAnsi="Arial" w:cs="Arial"/>
          <w:sz w:val="20"/>
        </w:rPr>
        <w:t>maintained</w:t>
      </w:r>
      <w:r w:rsidRPr="00722524">
        <w:rPr>
          <w:rFonts w:ascii="Arial" w:hAnsi="Arial" w:cs="Arial"/>
          <w:spacing w:val="-3"/>
          <w:sz w:val="20"/>
        </w:rPr>
        <w:t xml:space="preserve"> </w:t>
      </w:r>
      <w:r w:rsidRPr="00722524">
        <w:rPr>
          <w:rFonts w:ascii="Arial" w:hAnsi="Arial" w:cs="Arial"/>
          <w:sz w:val="20"/>
        </w:rPr>
        <w:t>in</w:t>
      </w:r>
      <w:r w:rsidRPr="00722524">
        <w:rPr>
          <w:rFonts w:ascii="Arial" w:hAnsi="Arial" w:cs="Arial"/>
          <w:spacing w:val="-1"/>
          <w:sz w:val="20"/>
        </w:rPr>
        <w:t xml:space="preserve"> </w:t>
      </w:r>
      <w:r w:rsidRPr="00722524">
        <w:rPr>
          <w:rFonts w:ascii="Arial" w:hAnsi="Arial" w:cs="Arial"/>
          <w:sz w:val="20"/>
        </w:rPr>
        <w:t>an airworthy</w:t>
      </w:r>
      <w:r w:rsidRPr="00722524">
        <w:rPr>
          <w:rFonts w:ascii="Arial" w:hAnsi="Arial" w:cs="Arial"/>
          <w:spacing w:val="-2"/>
          <w:sz w:val="20"/>
        </w:rPr>
        <w:t xml:space="preserve"> </w:t>
      </w:r>
      <w:r w:rsidRPr="00722524">
        <w:rPr>
          <w:rFonts w:ascii="Arial" w:hAnsi="Arial" w:cs="Arial"/>
          <w:sz w:val="20"/>
        </w:rPr>
        <w:t>condition;</w:t>
      </w:r>
    </w:p>
    <w:p w14:paraId="331AA8C9" w14:textId="77777777" w:rsidR="00722524" w:rsidRPr="00722524" w:rsidRDefault="00722524" w:rsidP="000D0180">
      <w:pPr>
        <w:pStyle w:val="ListParagraph"/>
        <w:numPr>
          <w:ilvl w:val="1"/>
          <w:numId w:val="285"/>
        </w:numPr>
        <w:tabs>
          <w:tab w:val="left" w:pos="1273"/>
          <w:tab w:val="left" w:pos="1274"/>
        </w:tabs>
        <w:ind w:right="68"/>
        <w:jc w:val="both"/>
        <w:rPr>
          <w:rFonts w:ascii="Arial" w:hAnsi="Arial" w:cs="Arial"/>
          <w:sz w:val="20"/>
        </w:rPr>
      </w:pPr>
      <w:r w:rsidRPr="00722524">
        <w:rPr>
          <w:rFonts w:ascii="Arial" w:hAnsi="Arial" w:cs="Arial"/>
          <w:sz w:val="20"/>
        </w:rPr>
        <w:t>any</w:t>
      </w:r>
      <w:r w:rsidRPr="00722524">
        <w:rPr>
          <w:rFonts w:ascii="Arial" w:hAnsi="Arial" w:cs="Arial"/>
          <w:spacing w:val="-4"/>
          <w:sz w:val="20"/>
        </w:rPr>
        <w:t xml:space="preserve"> </w:t>
      </w:r>
      <w:r w:rsidRPr="00722524">
        <w:rPr>
          <w:rFonts w:ascii="Arial" w:hAnsi="Arial" w:cs="Arial"/>
          <w:sz w:val="20"/>
        </w:rPr>
        <w:t>operational</w:t>
      </w:r>
      <w:r w:rsidRPr="00722524">
        <w:rPr>
          <w:rFonts w:ascii="Arial" w:hAnsi="Arial" w:cs="Arial"/>
          <w:spacing w:val="-4"/>
          <w:sz w:val="20"/>
        </w:rPr>
        <w:t xml:space="preserve"> </w:t>
      </w:r>
      <w:r w:rsidRPr="00722524">
        <w:rPr>
          <w:rFonts w:ascii="Arial" w:hAnsi="Arial" w:cs="Arial"/>
          <w:sz w:val="20"/>
        </w:rPr>
        <w:t>and</w:t>
      </w:r>
      <w:r w:rsidRPr="00722524">
        <w:rPr>
          <w:rFonts w:ascii="Arial" w:hAnsi="Arial" w:cs="Arial"/>
          <w:spacing w:val="-4"/>
          <w:sz w:val="20"/>
        </w:rPr>
        <w:t xml:space="preserve"> </w:t>
      </w:r>
      <w:r w:rsidRPr="00722524">
        <w:rPr>
          <w:rFonts w:ascii="Arial" w:hAnsi="Arial" w:cs="Arial"/>
          <w:sz w:val="20"/>
        </w:rPr>
        <w:t>emergency</w:t>
      </w:r>
      <w:r w:rsidRPr="00722524">
        <w:rPr>
          <w:rFonts w:ascii="Arial" w:hAnsi="Arial" w:cs="Arial"/>
          <w:spacing w:val="-5"/>
          <w:sz w:val="20"/>
        </w:rPr>
        <w:t xml:space="preserve"> </w:t>
      </w:r>
      <w:r w:rsidRPr="00722524">
        <w:rPr>
          <w:rFonts w:ascii="Arial" w:hAnsi="Arial" w:cs="Arial"/>
          <w:sz w:val="20"/>
        </w:rPr>
        <w:t>equipment</w:t>
      </w:r>
      <w:r w:rsidRPr="00722524">
        <w:rPr>
          <w:rFonts w:ascii="Arial" w:hAnsi="Arial" w:cs="Arial"/>
          <w:spacing w:val="-6"/>
          <w:sz w:val="20"/>
        </w:rPr>
        <w:t xml:space="preserve"> </w:t>
      </w:r>
      <w:r w:rsidRPr="00722524">
        <w:rPr>
          <w:rFonts w:ascii="Arial" w:hAnsi="Arial" w:cs="Arial"/>
          <w:sz w:val="20"/>
        </w:rPr>
        <w:t>fitted</w:t>
      </w:r>
      <w:r w:rsidRPr="00722524">
        <w:rPr>
          <w:rFonts w:ascii="Arial" w:hAnsi="Arial" w:cs="Arial"/>
          <w:spacing w:val="-3"/>
          <w:sz w:val="20"/>
        </w:rPr>
        <w:t xml:space="preserve"> </w:t>
      </w:r>
      <w:r w:rsidRPr="00722524">
        <w:rPr>
          <w:rFonts w:ascii="Arial" w:hAnsi="Arial" w:cs="Arial"/>
          <w:sz w:val="20"/>
        </w:rPr>
        <w:t>is</w:t>
      </w:r>
      <w:r w:rsidRPr="00722524">
        <w:rPr>
          <w:rFonts w:ascii="Arial" w:hAnsi="Arial" w:cs="Arial"/>
          <w:spacing w:val="-6"/>
          <w:sz w:val="20"/>
        </w:rPr>
        <w:t xml:space="preserve"> </w:t>
      </w:r>
      <w:r w:rsidRPr="00722524">
        <w:rPr>
          <w:rFonts w:ascii="Arial" w:hAnsi="Arial" w:cs="Arial"/>
          <w:sz w:val="20"/>
        </w:rPr>
        <w:t>correctly</w:t>
      </w:r>
      <w:r w:rsidRPr="00722524">
        <w:rPr>
          <w:rFonts w:ascii="Arial" w:hAnsi="Arial" w:cs="Arial"/>
          <w:spacing w:val="-5"/>
          <w:sz w:val="20"/>
        </w:rPr>
        <w:t xml:space="preserve"> </w:t>
      </w:r>
      <w:r w:rsidRPr="00722524">
        <w:rPr>
          <w:rFonts w:ascii="Arial" w:hAnsi="Arial" w:cs="Arial"/>
          <w:sz w:val="20"/>
        </w:rPr>
        <w:t>installed</w:t>
      </w:r>
      <w:r w:rsidRPr="00722524">
        <w:rPr>
          <w:rFonts w:ascii="Arial" w:hAnsi="Arial" w:cs="Arial"/>
          <w:spacing w:val="-6"/>
          <w:sz w:val="20"/>
        </w:rPr>
        <w:t xml:space="preserve"> </w:t>
      </w:r>
      <w:r w:rsidRPr="00722524">
        <w:rPr>
          <w:rFonts w:ascii="Arial" w:hAnsi="Arial" w:cs="Arial"/>
          <w:sz w:val="20"/>
        </w:rPr>
        <w:t>and</w:t>
      </w:r>
      <w:r w:rsidRPr="00722524">
        <w:rPr>
          <w:rFonts w:ascii="Arial" w:hAnsi="Arial" w:cs="Arial"/>
          <w:spacing w:val="-5"/>
          <w:sz w:val="20"/>
        </w:rPr>
        <w:t xml:space="preserve"> </w:t>
      </w:r>
      <w:r w:rsidRPr="00722524">
        <w:rPr>
          <w:rFonts w:ascii="Arial" w:hAnsi="Arial" w:cs="Arial"/>
          <w:sz w:val="20"/>
        </w:rPr>
        <w:t>serviceable</w:t>
      </w:r>
      <w:r w:rsidRPr="00722524">
        <w:rPr>
          <w:rFonts w:ascii="Arial" w:hAnsi="Arial" w:cs="Arial"/>
          <w:spacing w:val="-3"/>
          <w:sz w:val="20"/>
        </w:rPr>
        <w:t xml:space="preserve"> </w:t>
      </w:r>
      <w:r w:rsidRPr="00722524">
        <w:rPr>
          <w:rFonts w:ascii="Arial" w:hAnsi="Arial" w:cs="Arial"/>
          <w:sz w:val="20"/>
        </w:rPr>
        <w:t>or</w:t>
      </w:r>
      <w:r w:rsidRPr="00722524">
        <w:rPr>
          <w:rFonts w:ascii="Arial" w:hAnsi="Arial" w:cs="Arial"/>
          <w:spacing w:val="-46"/>
          <w:sz w:val="20"/>
        </w:rPr>
        <w:t xml:space="preserve"> </w:t>
      </w:r>
      <w:r w:rsidRPr="00722524">
        <w:rPr>
          <w:rFonts w:ascii="Arial" w:hAnsi="Arial" w:cs="Arial"/>
          <w:sz w:val="20"/>
        </w:rPr>
        <w:t>clearly</w:t>
      </w:r>
      <w:r w:rsidRPr="00722524">
        <w:rPr>
          <w:rFonts w:ascii="Arial" w:hAnsi="Arial" w:cs="Arial"/>
          <w:spacing w:val="-1"/>
          <w:sz w:val="20"/>
        </w:rPr>
        <w:t xml:space="preserve"> </w:t>
      </w:r>
      <w:r w:rsidRPr="00722524">
        <w:rPr>
          <w:rFonts w:ascii="Arial" w:hAnsi="Arial" w:cs="Arial"/>
          <w:sz w:val="20"/>
        </w:rPr>
        <w:t>identified as</w:t>
      </w:r>
      <w:r w:rsidRPr="00722524">
        <w:rPr>
          <w:rFonts w:ascii="Arial" w:hAnsi="Arial" w:cs="Arial"/>
          <w:spacing w:val="-3"/>
          <w:sz w:val="20"/>
        </w:rPr>
        <w:t xml:space="preserve"> </w:t>
      </w:r>
      <w:r w:rsidRPr="00722524">
        <w:rPr>
          <w:rFonts w:ascii="Arial" w:hAnsi="Arial" w:cs="Arial"/>
          <w:sz w:val="20"/>
        </w:rPr>
        <w:t>unserviceable;</w:t>
      </w:r>
    </w:p>
    <w:p w14:paraId="20C9FE9D" w14:textId="77777777" w:rsidR="00722524" w:rsidRPr="00722524" w:rsidRDefault="00722524" w:rsidP="000D0180">
      <w:pPr>
        <w:pStyle w:val="ListParagraph"/>
        <w:numPr>
          <w:ilvl w:val="1"/>
          <w:numId w:val="285"/>
        </w:numPr>
        <w:tabs>
          <w:tab w:val="left" w:pos="1273"/>
          <w:tab w:val="left" w:pos="1274"/>
        </w:tabs>
        <w:spacing w:before="121"/>
        <w:ind w:right="68" w:hanging="568"/>
        <w:jc w:val="both"/>
        <w:rPr>
          <w:rFonts w:ascii="Arial" w:hAnsi="Arial" w:cs="Arial"/>
          <w:sz w:val="20"/>
        </w:rPr>
      </w:pPr>
      <w:r w:rsidRPr="00722524">
        <w:rPr>
          <w:rFonts w:ascii="Arial" w:hAnsi="Arial" w:cs="Arial"/>
          <w:sz w:val="20"/>
        </w:rPr>
        <w:t>the</w:t>
      </w:r>
      <w:r w:rsidRPr="00722524">
        <w:rPr>
          <w:rFonts w:ascii="Arial" w:hAnsi="Arial" w:cs="Arial"/>
          <w:spacing w:val="-1"/>
          <w:sz w:val="20"/>
        </w:rPr>
        <w:t xml:space="preserve"> </w:t>
      </w:r>
      <w:r w:rsidRPr="00722524">
        <w:rPr>
          <w:rFonts w:ascii="Arial" w:hAnsi="Arial" w:cs="Arial"/>
          <w:sz w:val="20"/>
        </w:rPr>
        <w:t>airworthiness certificate</w:t>
      </w:r>
      <w:r w:rsidRPr="00722524">
        <w:rPr>
          <w:rFonts w:ascii="Arial" w:hAnsi="Arial" w:cs="Arial"/>
          <w:spacing w:val="1"/>
          <w:sz w:val="20"/>
        </w:rPr>
        <w:t xml:space="preserve"> </w:t>
      </w:r>
      <w:r w:rsidRPr="00722524">
        <w:rPr>
          <w:rFonts w:ascii="Arial" w:hAnsi="Arial" w:cs="Arial"/>
          <w:sz w:val="20"/>
        </w:rPr>
        <w:t>is</w:t>
      </w:r>
      <w:r w:rsidRPr="00722524">
        <w:rPr>
          <w:rFonts w:ascii="Arial" w:hAnsi="Arial" w:cs="Arial"/>
          <w:spacing w:val="-2"/>
          <w:sz w:val="20"/>
        </w:rPr>
        <w:t xml:space="preserve"> </w:t>
      </w:r>
      <w:r w:rsidRPr="00722524">
        <w:rPr>
          <w:rFonts w:ascii="Arial" w:hAnsi="Arial" w:cs="Arial"/>
          <w:sz w:val="20"/>
        </w:rPr>
        <w:t>valid;</w:t>
      </w:r>
    </w:p>
    <w:p w14:paraId="00398D7A" w14:textId="77777777" w:rsidR="00722524" w:rsidRPr="00722524" w:rsidRDefault="00722524" w:rsidP="000D0180">
      <w:pPr>
        <w:pStyle w:val="ListParagraph"/>
        <w:numPr>
          <w:ilvl w:val="1"/>
          <w:numId w:val="285"/>
        </w:numPr>
        <w:tabs>
          <w:tab w:val="left" w:pos="1273"/>
          <w:tab w:val="left" w:pos="1274"/>
        </w:tabs>
        <w:ind w:right="68"/>
        <w:jc w:val="both"/>
        <w:rPr>
          <w:rFonts w:ascii="Arial" w:hAnsi="Arial" w:cs="Arial"/>
          <w:sz w:val="20"/>
        </w:rPr>
      </w:pPr>
      <w:r w:rsidRPr="00722524">
        <w:rPr>
          <w:rFonts w:ascii="Arial" w:hAnsi="Arial" w:cs="Arial"/>
          <w:spacing w:val="-1"/>
          <w:sz w:val="20"/>
        </w:rPr>
        <w:t>the</w:t>
      </w:r>
      <w:r w:rsidRPr="00722524">
        <w:rPr>
          <w:rFonts w:ascii="Arial" w:hAnsi="Arial" w:cs="Arial"/>
          <w:spacing w:val="-12"/>
          <w:sz w:val="20"/>
        </w:rPr>
        <w:t xml:space="preserve"> </w:t>
      </w:r>
      <w:r w:rsidRPr="00722524">
        <w:rPr>
          <w:rFonts w:ascii="Arial" w:hAnsi="Arial" w:cs="Arial"/>
          <w:spacing w:val="-1"/>
          <w:sz w:val="20"/>
        </w:rPr>
        <w:t>maintenance</w:t>
      </w:r>
      <w:r w:rsidRPr="00722524">
        <w:rPr>
          <w:rFonts w:ascii="Arial" w:hAnsi="Arial" w:cs="Arial"/>
          <w:spacing w:val="-13"/>
          <w:sz w:val="20"/>
        </w:rPr>
        <w:t xml:space="preserve"> </w:t>
      </w:r>
      <w:r w:rsidRPr="00722524">
        <w:rPr>
          <w:rFonts w:ascii="Arial" w:hAnsi="Arial" w:cs="Arial"/>
          <w:sz w:val="20"/>
        </w:rPr>
        <w:t>of</w:t>
      </w:r>
      <w:r w:rsidRPr="00722524">
        <w:rPr>
          <w:rFonts w:ascii="Arial" w:hAnsi="Arial" w:cs="Arial"/>
          <w:spacing w:val="-15"/>
          <w:sz w:val="20"/>
        </w:rPr>
        <w:t xml:space="preserve"> </w:t>
      </w:r>
      <w:r w:rsidRPr="00722524">
        <w:rPr>
          <w:rFonts w:ascii="Arial" w:hAnsi="Arial" w:cs="Arial"/>
          <w:sz w:val="20"/>
        </w:rPr>
        <w:t>the</w:t>
      </w:r>
      <w:r w:rsidRPr="00722524">
        <w:rPr>
          <w:rFonts w:ascii="Arial" w:hAnsi="Arial" w:cs="Arial"/>
          <w:spacing w:val="-11"/>
          <w:sz w:val="20"/>
        </w:rPr>
        <w:t xml:space="preserve"> </w:t>
      </w:r>
      <w:r w:rsidRPr="00722524">
        <w:rPr>
          <w:rFonts w:ascii="Arial" w:hAnsi="Arial" w:cs="Arial"/>
          <w:sz w:val="20"/>
        </w:rPr>
        <w:t>aircraft</w:t>
      </w:r>
      <w:r w:rsidRPr="00722524">
        <w:rPr>
          <w:rFonts w:ascii="Arial" w:hAnsi="Arial" w:cs="Arial"/>
          <w:spacing w:val="-10"/>
          <w:sz w:val="20"/>
        </w:rPr>
        <w:t xml:space="preserve"> </w:t>
      </w:r>
      <w:r w:rsidRPr="00722524">
        <w:rPr>
          <w:rFonts w:ascii="Arial" w:hAnsi="Arial" w:cs="Arial"/>
          <w:sz w:val="20"/>
        </w:rPr>
        <w:t>is</w:t>
      </w:r>
      <w:r w:rsidRPr="00722524">
        <w:rPr>
          <w:rFonts w:ascii="Arial" w:hAnsi="Arial" w:cs="Arial"/>
          <w:spacing w:val="-12"/>
          <w:sz w:val="20"/>
        </w:rPr>
        <w:t xml:space="preserve"> </w:t>
      </w:r>
      <w:r w:rsidRPr="00722524">
        <w:rPr>
          <w:rFonts w:ascii="Arial" w:hAnsi="Arial" w:cs="Arial"/>
          <w:sz w:val="20"/>
        </w:rPr>
        <w:t>performed</w:t>
      </w:r>
      <w:r w:rsidRPr="00722524">
        <w:rPr>
          <w:rFonts w:ascii="Arial" w:hAnsi="Arial" w:cs="Arial"/>
          <w:spacing w:val="-11"/>
          <w:sz w:val="20"/>
        </w:rPr>
        <w:t xml:space="preserve"> </w:t>
      </w:r>
      <w:r w:rsidRPr="00722524">
        <w:rPr>
          <w:rFonts w:ascii="Arial" w:hAnsi="Arial" w:cs="Arial"/>
          <w:sz w:val="20"/>
        </w:rPr>
        <w:t>in</w:t>
      </w:r>
      <w:r w:rsidRPr="00722524">
        <w:rPr>
          <w:rFonts w:ascii="Arial" w:hAnsi="Arial" w:cs="Arial"/>
          <w:spacing w:val="-12"/>
          <w:sz w:val="20"/>
        </w:rPr>
        <w:t xml:space="preserve"> </w:t>
      </w:r>
      <w:r w:rsidRPr="00722524">
        <w:rPr>
          <w:rFonts w:ascii="Arial" w:hAnsi="Arial" w:cs="Arial"/>
          <w:sz w:val="20"/>
        </w:rPr>
        <w:t>accordance</w:t>
      </w:r>
      <w:r w:rsidRPr="00722524">
        <w:rPr>
          <w:rFonts w:ascii="Arial" w:hAnsi="Arial" w:cs="Arial"/>
          <w:spacing w:val="-11"/>
          <w:sz w:val="20"/>
        </w:rPr>
        <w:t xml:space="preserve"> </w:t>
      </w:r>
      <w:r w:rsidRPr="00722524">
        <w:rPr>
          <w:rFonts w:ascii="Arial" w:hAnsi="Arial" w:cs="Arial"/>
          <w:sz w:val="20"/>
        </w:rPr>
        <w:t>with</w:t>
      </w:r>
      <w:r w:rsidRPr="00722524">
        <w:rPr>
          <w:rFonts w:ascii="Arial" w:hAnsi="Arial" w:cs="Arial"/>
          <w:spacing w:val="-13"/>
          <w:sz w:val="20"/>
        </w:rPr>
        <w:t xml:space="preserve"> </w:t>
      </w:r>
      <w:r w:rsidRPr="00722524">
        <w:rPr>
          <w:rFonts w:ascii="Arial" w:hAnsi="Arial" w:cs="Arial"/>
          <w:sz w:val="20"/>
        </w:rPr>
        <w:t>the</w:t>
      </w:r>
      <w:r w:rsidRPr="00722524">
        <w:rPr>
          <w:rFonts w:ascii="Arial" w:hAnsi="Arial" w:cs="Arial"/>
          <w:spacing w:val="-12"/>
          <w:sz w:val="20"/>
        </w:rPr>
        <w:t xml:space="preserve"> </w:t>
      </w:r>
      <w:r w:rsidRPr="00722524">
        <w:rPr>
          <w:rFonts w:ascii="Arial" w:hAnsi="Arial" w:cs="Arial"/>
          <w:sz w:val="20"/>
        </w:rPr>
        <w:t>Aircraft</w:t>
      </w:r>
      <w:r w:rsidRPr="00722524">
        <w:rPr>
          <w:rFonts w:ascii="Arial" w:hAnsi="Arial" w:cs="Arial"/>
          <w:spacing w:val="-10"/>
          <w:sz w:val="20"/>
        </w:rPr>
        <w:t xml:space="preserve"> </w:t>
      </w:r>
      <w:r w:rsidRPr="00722524">
        <w:rPr>
          <w:rFonts w:ascii="Arial" w:hAnsi="Arial" w:cs="Arial"/>
          <w:sz w:val="20"/>
        </w:rPr>
        <w:t>Maintenance</w:t>
      </w:r>
      <w:r w:rsidRPr="00722524">
        <w:rPr>
          <w:rFonts w:ascii="Arial" w:hAnsi="Arial" w:cs="Arial"/>
          <w:spacing w:val="-47"/>
          <w:sz w:val="20"/>
        </w:rPr>
        <w:t xml:space="preserve"> </w:t>
      </w:r>
      <w:r w:rsidRPr="00722524">
        <w:rPr>
          <w:rFonts w:ascii="Arial" w:hAnsi="Arial" w:cs="Arial"/>
          <w:sz w:val="20"/>
        </w:rPr>
        <w:t>Program</w:t>
      </w:r>
      <w:r w:rsidRPr="00722524">
        <w:rPr>
          <w:rFonts w:ascii="Arial" w:hAnsi="Arial" w:cs="Arial"/>
          <w:spacing w:val="-2"/>
          <w:sz w:val="20"/>
        </w:rPr>
        <w:t xml:space="preserve"> </w:t>
      </w:r>
      <w:r w:rsidRPr="00722524">
        <w:rPr>
          <w:rFonts w:ascii="Arial" w:hAnsi="Arial" w:cs="Arial"/>
          <w:sz w:val="20"/>
        </w:rPr>
        <w:t>(‘AMP’)</w:t>
      </w:r>
      <w:r w:rsidRPr="00722524">
        <w:rPr>
          <w:rFonts w:ascii="Arial" w:hAnsi="Arial" w:cs="Arial"/>
          <w:spacing w:val="-2"/>
          <w:sz w:val="20"/>
        </w:rPr>
        <w:t xml:space="preserve"> </w:t>
      </w:r>
      <w:r w:rsidRPr="00722524">
        <w:rPr>
          <w:rFonts w:ascii="Arial" w:hAnsi="Arial" w:cs="Arial"/>
          <w:sz w:val="20"/>
        </w:rPr>
        <w:t>specified</w:t>
      </w:r>
      <w:r w:rsidRPr="00722524">
        <w:rPr>
          <w:rFonts w:ascii="Arial" w:hAnsi="Arial" w:cs="Arial"/>
          <w:spacing w:val="-3"/>
          <w:sz w:val="20"/>
        </w:rPr>
        <w:t xml:space="preserve"> </w:t>
      </w:r>
      <w:r w:rsidRPr="00722524">
        <w:rPr>
          <w:rFonts w:ascii="Arial" w:hAnsi="Arial" w:cs="Arial"/>
          <w:sz w:val="20"/>
        </w:rPr>
        <w:t>in</w:t>
      </w:r>
      <w:r w:rsidRPr="00722524">
        <w:rPr>
          <w:rFonts w:ascii="Arial" w:hAnsi="Arial" w:cs="Arial"/>
          <w:spacing w:val="-1"/>
          <w:sz w:val="20"/>
        </w:rPr>
        <w:t xml:space="preserve"> </w:t>
      </w:r>
      <w:r w:rsidRPr="00722524">
        <w:rPr>
          <w:rFonts w:ascii="Arial" w:hAnsi="Arial" w:cs="Arial"/>
          <w:sz w:val="20"/>
        </w:rPr>
        <w:t>point</w:t>
      </w:r>
      <w:r w:rsidRPr="00722524">
        <w:rPr>
          <w:rFonts w:ascii="Arial" w:eastAsiaTheme="minorHAnsi" w:hAnsi="Arial" w:cs="Arial"/>
          <w:i/>
          <w:iCs/>
          <w:color w:val="002060"/>
          <w:sz w:val="20"/>
          <w:szCs w:val="20"/>
          <w:u w:val="single"/>
        </w:rPr>
        <w:t xml:space="preserve"> </w:t>
      </w:r>
      <w:hyperlink w:anchor="_bookmark340" w:history="1">
        <w:r w:rsidRPr="00722524">
          <w:rPr>
            <w:rFonts w:ascii="Arial" w:eastAsiaTheme="minorHAnsi" w:hAnsi="Arial" w:cs="Arial"/>
            <w:i/>
            <w:iCs/>
            <w:color w:val="002060"/>
            <w:sz w:val="20"/>
            <w:szCs w:val="20"/>
            <w:u w:val="single"/>
          </w:rPr>
          <w:t>ML.A.302.</w:t>
        </w:r>
      </w:hyperlink>
    </w:p>
    <w:p w14:paraId="3AF53CE4" w14:textId="77777777" w:rsidR="00722524" w:rsidRPr="00722524" w:rsidRDefault="00722524" w:rsidP="000D0180">
      <w:pPr>
        <w:pStyle w:val="ListParagraph"/>
        <w:numPr>
          <w:ilvl w:val="0"/>
          <w:numId w:val="285"/>
        </w:numPr>
        <w:tabs>
          <w:tab w:val="left" w:pos="706"/>
          <w:tab w:val="left" w:pos="707"/>
        </w:tabs>
        <w:spacing w:before="121" w:line="267" w:lineRule="exact"/>
        <w:ind w:right="68"/>
        <w:jc w:val="both"/>
        <w:rPr>
          <w:rFonts w:ascii="Arial" w:hAnsi="Arial" w:cs="Arial"/>
          <w:sz w:val="20"/>
        </w:rPr>
      </w:pPr>
      <w:r w:rsidRPr="00722524">
        <w:rPr>
          <w:rFonts w:ascii="Arial" w:hAnsi="Arial" w:cs="Arial"/>
          <w:sz w:val="20"/>
        </w:rPr>
        <w:t>By</w:t>
      </w:r>
      <w:r w:rsidRPr="00722524">
        <w:rPr>
          <w:rFonts w:ascii="Arial" w:hAnsi="Arial" w:cs="Arial"/>
          <w:spacing w:val="11"/>
          <w:sz w:val="20"/>
        </w:rPr>
        <w:t xml:space="preserve"> </w:t>
      </w:r>
      <w:r w:rsidRPr="00722524">
        <w:rPr>
          <w:rFonts w:ascii="Arial" w:hAnsi="Arial" w:cs="Arial"/>
          <w:sz w:val="20"/>
        </w:rPr>
        <w:t>derogation</w:t>
      </w:r>
      <w:r w:rsidRPr="00722524">
        <w:rPr>
          <w:rFonts w:ascii="Arial" w:hAnsi="Arial" w:cs="Arial"/>
          <w:spacing w:val="9"/>
          <w:sz w:val="20"/>
        </w:rPr>
        <w:t xml:space="preserve"> </w:t>
      </w:r>
      <w:r w:rsidRPr="00722524">
        <w:rPr>
          <w:rFonts w:ascii="Arial" w:hAnsi="Arial" w:cs="Arial"/>
          <w:sz w:val="20"/>
        </w:rPr>
        <w:t>from</w:t>
      </w:r>
      <w:r w:rsidRPr="00722524">
        <w:rPr>
          <w:rFonts w:ascii="Arial" w:hAnsi="Arial" w:cs="Arial"/>
          <w:spacing w:val="12"/>
          <w:sz w:val="20"/>
        </w:rPr>
        <w:t xml:space="preserve"> </w:t>
      </w:r>
      <w:r w:rsidRPr="00722524">
        <w:rPr>
          <w:rFonts w:ascii="Arial" w:hAnsi="Arial" w:cs="Arial"/>
          <w:sz w:val="20"/>
        </w:rPr>
        <w:t>point</w:t>
      </w:r>
      <w:r w:rsidRPr="00722524">
        <w:rPr>
          <w:rFonts w:ascii="Arial" w:hAnsi="Arial" w:cs="Arial"/>
          <w:spacing w:val="10"/>
          <w:sz w:val="20"/>
        </w:rPr>
        <w:t xml:space="preserve"> </w:t>
      </w:r>
      <w:r w:rsidRPr="00722524">
        <w:rPr>
          <w:rFonts w:ascii="Arial" w:hAnsi="Arial" w:cs="Arial"/>
          <w:sz w:val="20"/>
        </w:rPr>
        <w:t>(a),</w:t>
      </w:r>
      <w:r w:rsidRPr="00722524">
        <w:rPr>
          <w:rFonts w:ascii="Arial" w:hAnsi="Arial" w:cs="Arial"/>
          <w:spacing w:val="10"/>
          <w:sz w:val="20"/>
        </w:rPr>
        <w:t xml:space="preserve"> </w:t>
      </w:r>
      <w:r w:rsidRPr="00722524">
        <w:rPr>
          <w:rFonts w:ascii="Arial" w:hAnsi="Arial" w:cs="Arial"/>
          <w:sz w:val="20"/>
        </w:rPr>
        <w:t>where</w:t>
      </w:r>
      <w:r w:rsidRPr="00722524">
        <w:rPr>
          <w:rFonts w:ascii="Arial" w:hAnsi="Arial" w:cs="Arial"/>
          <w:spacing w:val="9"/>
          <w:sz w:val="20"/>
        </w:rPr>
        <w:t xml:space="preserve"> </w:t>
      </w:r>
      <w:r w:rsidRPr="00722524">
        <w:rPr>
          <w:rFonts w:ascii="Arial" w:hAnsi="Arial" w:cs="Arial"/>
          <w:sz w:val="20"/>
        </w:rPr>
        <w:t>the</w:t>
      </w:r>
      <w:r w:rsidRPr="00722524">
        <w:rPr>
          <w:rFonts w:ascii="Arial" w:hAnsi="Arial" w:cs="Arial"/>
          <w:spacing w:val="10"/>
          <w:sz w:val="20"/>
        </w:rPr>
        <w:t xml:space="preserve"> </w:t>
      </w:r>
      <w:r w:rsidRPr="00722524">
        <w:rPr>
          <w:rFonts w:ascii="Arial" w:hAnsi="Arial" w:cs="Arial"/>
          <w:sz w:val="20"/>
        </w:rPr>
        <w:t>aircraft</w:t>
      </w:r>
      <w:r w:rsidRPr="00722524">
        <w:rPr>
          <w:rFonts w:ascii="Arial" w:hAnsi="Arial" w:cs="Arial"/>
          <w:spacing w:val="8"/>
          <w:sz w:val="20"/>
        </w:rPr>
        <w:t xml:space="preserve"> </w:t>
      </w:r>
      <w:r w:rsidRPr="00722524">
        <w:rPr>
          <w:rFonts w:ascii="Arial" w:hAnsi="Arial" w:cs="Arial"/>
          <w:sz w:val="20"/>
        </w:rPr>
        <w:t>is</w:t>
      </w:r>
      <w:r w:rsidRPr="00722524">
        <w:rPr>
          <w:rFonts w:ascii="Arial" w:hAnsi="Arial" w:cs="Arial"/>
          <w:spacing w:val="11"/>
          <w:sz w:val="20"/>
        </w:rPr>
        <w:t xml:space="preserve"> </w:t>
      </w:r>
      <w:r w:rsidRPr="00722524">
        <w:rPr>
          <w:rFonts w:ascii="Arial" w:hAnsi="Arial" w:cs="Arial"/>
          <w:sz w:val="20"/>
        </w:rPr>
        <w:t>leased,</w:t>
      </w:r>
      <w:r w:rsidRPr="00722524">
        <w:rPr>
          <w:rFonts w:ascii="Arial" w:hAnsi="Arial" w:cs="Arial"/>
          <w:spacing w:val="10"/>
          <w:sz w:val="20"/>
        </w:rPr>
        <w:t xml:space="preserve"> </w:t>
      </w:r>
      <w:r w:rsidRPr="00722524">
        <w:rPr>
          <w:rFonts w:ascii="Arial" w:hAnsi="Arial" w:cs="Arial"/>
          <w:sz w:val="20"/>
        </w:rPr>
        <w:t>the</w:t>
      </w:r>
      <w:r w:rsidRPr="00722524">
        <w:rPr>
          <w:rFonts w:ascii="Arial" w:hAnsi="Arial" w:cs="Arial"/>
          <w:spacing w:val="8"/>
          <w:sz w:val="20"/>
        </w:rPr>
        <w:t xml:space="preserve"> </w:t>
      </w:r>
      <w:r w:rsidRPr="00722524">
        <w:rPr>
          <w:rFonts w:ascii="Arial" w:hAnsi="Arial" w:cs="Arial"/>
          <w:sz w:val="20"/>
        </w:rPr>
        <w:t>responsibilities</w:t>
      </w:r>
      <w:r w:rsidRPr="00722524">
        <w:rPr>
          <w:rFonts w:ascii="Arial" w:hAnsi="Arial" w:cs="Arial"/>
          <w:spacing w:val="9"/>
          <w:sz w:val="20"/>
        </w:rPr>
        <w:t xml:space="preserve"> </w:t>
      </w:r>
      <w:r w:rsidRPr="00722524">
        <w:rPr>
          <w:rFonts w:ascii="Arial" w:hAnsi="Arial" w:cs="Arial"/>
          <w:sz w:val="20"/>
        </w:rPr>
        <w:t>set</w:t>
      </w:r>
      <w:r w:rsidRPr="00722524">
        <w:rPr>
          <w:rFonts w:ascii="Arial" w:hAnsi="Arial" w:cs="Arial"/>
          <w:spacing w:val="10"/>
          <w:sz w:val="20"/>
        </w:rPr>
        <w:t xml:space="preserve"> </w:t>
      </w:r>
      <w:r w:rsidRPr="00722524">
        <w:rPr>
          <w:rFonts w:ascii="Arial" w:hAnsi="Arial" w:cs="Arial"/>
          <w:sz w:val="20"/>
        </w:rPr>
        <w:t>out</w:t>
      </w:r>
      <w:r w:rsidRPr="00722524">
        <w:rPr>
          <w:rFonts w:ascii="Arial" w:hAnsi="Arial" w:cs="Arial"/>
          <w:spacing w:val="11"/>
          <w:sz w:val="20"/>
        </w:rPr>
        <w:t xml:space="preserve"> </w:t>
      </w:r>
      <w:r w:rsidRPr="00722524">
        <w:rPr>
          <w:rFonts w:ascii="Arial" w:hAnsi="Arial" w:cs="Arial"/>
          <w:sz w:val="20"/>
        </w:rPr>
        <w:t>in</w:t>
      </w:r>
      <w:r w:rsidRPr="00722524">
        <w:rPr>
          <w:rFonts w:ascii="Arial" w:hAnsi="Arial" w:cs="Arial"/>
          <w:spacing w:val="9"/>
          <w:sz w:val="20"/>
        </w:rPr>
        <w:t xml:space="preserve"> </w:t>
      </w:r>
      <w:r w:rsidRPr="00722524">
        <w:rPr>
          <w:rFonts w:ascii="Arial" w:hAnsi="Arial" w:cs="Arial"/>
          <w:sz w:val="20"/>
        </w:rPr>
        <w:t>point</w:t>
      </w:r>
    </w:p>
    <w:p w14:paraId="6D2DB9D0" w14:textId="77777777" w:rsidR="00722524" w:rsidRPr="00722524" w:rsidRDefault="00722524" w:rsidP="000D0180">
      <w:pPr>
        <w:pStyle w:val="BodyText"/>
        <w:spacing w:before="0"/>
        <w:ind w:left="706" w:right="68"/>
        <w:jc w:val="both"/>
        <w:rPr>
          <w:rFonts w:ascii="Arial" w:hAnsi="Arial" w:cs="Arial"/>
          <w:sz w:val="20"/>
        </w:rPr>
      </w:pPr>
      <w:r w:rsidRPr="00722524">
        <w:rPr>
          <w:rFonts w:ascii="Arial" w:hAnsi="Arial" w:cs="Arial"/>
          <w:sz w:val="20"/>
        </w:rPr>
        <w:t>(a)</w:t>
      </w:r>
      <w:r w:rsidRPr="00722524">
        <w:rPr>
          <w:rFonts w:ascii="Arial" w:hAnsi="Arial" w:cs="Arial"/>
          <w:spacing w:val="-1"/>
          <w:sz w:val="20"/>
        </w:rPr>
        <w:t xml:space="preserve"> </w:t>
      </w:r>
      <w:r w:rsidRPr="00722524">
        <w:rPr>
          <w:rFonts w:ascii="Arial" w:hAnsi="Arial" w:cs="Arial"/>
          <w:sz w:val="20"/>
        </w:rPr>
        <w:t>shall</w:t>
      </w:r>
      <w:r w:rsidRPr="00722524">
        <w:rPr>
          <w:rFonts w:ascii="Arial" w:hAnsi="Arial" w:cs="Arial"/>
          <w:spacing w:val="-3"/>
          <w:sz w:val="20"/>
        </w:rPr>
        <w:t xml:space="preserve"> </w:t>
      </w:r>
      <w:r w:rsidRPr="00722524">
        <w:rPr>
          <w:rFonts w:ascii="Arial" w:hAnsi="Arial" w:cs="Arial"/>
          <w:sz w:val="20"/>
        </w:rPr>
        <w:t>apply</w:t>
      </w:r>
      <w:r w:rsidRPr="00722524">
        <w:rPr>
          <w:rFonts w:ascii="Arial" w:hAnsi="Arial" w:cs="Arial"/>
          <w:spacing w:val="-3"/>
          <w:sz w:val="20"/>
        </w:rPr>
        <w:t xml:space="preserve"> </w:t>
      </w:r>
      <w:r w:rsidRPr="00722524">
        <w:rPr>
          <w:rFonts w:ascii="Arial" w:hAnsi="Arial" w:cs="Arial"/>
          <w:sz w:val="20"/>
        </w:rPr>
        <w:t>to</w:t>
      </w:r>
      <w:r w:rsidRPr="00722524">
        <w:rPr>
          <w:rFonts w:ascii="Arial" w:hAnsi="Arial" w:cs="Arial"/>
          <w:spacing w:val="-1"/>
          <w:sz w:val="20"/>
        </w:rPr>
        <w:t xml:space="preserve"> </w:t>
      </w:r>
      <w:r w:rsidRPr="00722524">
        <w:rPr>
          <w:rFonts w:ascii="Arial" w:hAnsi="Arial" w:cs="Arial"/>
          <w:sz w:val="20"/>
        </w:rPr>
        <w:t>the</w:t>
      </w:r>
      <w:r w:rsidRPr="00722524">
        <w:rPr>
          <w:rFonts w:ascii="Arial" w:hAnsi="Arial" w:cs="Arial"/>
          <w:spacing w:val="-3"/>
          <w:sz w:val="20"/>
        </w:rPr>
        <w:t xml:space="preserve"> </w:t>
      </w:r>
      <w:r w:rsidRPr="00722524">
        <w:rPr>
          <w:rFonts w:ascii="Arial" w:hAnsi="Arial" w:cs="Arial"/>
          <w:sz w:val="20"/>
        </w:rPr>
        <w:t>lessee,</w:t>
      </w:r>
      <w:r w:rsidRPr="00722524">
        <w:rPr>
          <w:rFonts w:ascii="Arial" w:hAnsi="Arial" w:cs="Arial"/>
          <w:spacing w:val="-1"/>
          <w:sz w:val="20"/>
        </w:rPr>
        <w:t xml:space="preserve"> </w:t>
      </w:r>
      <w:r w:rsidRPr="00722524">
        <w:rPr>
          <w:rFonts w:ascii="Arial" w:hAnsi="Arial" w:cs="Arial"/>
          <w:sz w:val="20"/>
        </w:rPr>
        <w:t>if</w:t>
      </w:r>
      <w:r w:rsidRPr="00722524">
        <w:rPr>
          <w:rFonts w:ascii="Arial" w:hAnsi="Arial" w:cs="Arial"/>
          <w:spacing w:val="-1"/>
          <w:sz w:val="20"/>
        </w:rPr>
        <w:t xml:space="preserve"> </w:t>
      </w:r>
      <w:r w:rsidRPr="00722524">
        <w:rPr>
          <w:rFonts w:ascii="Arial" w:hAnsi="Arial" w:cs="Arial"/>
          <w:sz w:val="20"/>
        </w:rPr>
        <w:t>the lessee</w:t>
      </w:r>
      <w:r w:rsidRPr="00722524">
        <w:rPr>
          <w:rFonts w:ascii="Arial" w:hAnsi="Arial" w:cs="Arial"/>
          <w:spacing w:val="1"/>
          <w:sz w:val="20"/>
        </w:rPr>
        <w:t xml:space="preserve"> </w:t>
      </w:r>
      <w:r w:rsidRPr="00722524">
        <w:rPr>
          <w:rFonts w:ascii="Arial" w:hAnsi="Arial" w:cs="Arial"/>
          <w:sz w:val="20"/>
        </w:rPr>
        <w:t>is</w:t>
      </w:r>
      <w:r w:rsidRPr="00722524">
        <w:rPr>
          <w:rFonts w:ascii="Arial" w:hAnsi="Arial" w:cs="Arial"/>
          <w:spacing w:val="-4"/>
          <w:sz w:val="20"/>
        </w:rPr>
        <w:t xml:space="preserve"> </w:t>
      </w:r>
      <w:r w:rsidRPr="00722524">
        <w:rPr>
          <w:rFonts w:ascii="Arial" w:hAnsi="Arial" w:cs="Arial"/>
          <w:sz w:val="20"/>
        </w:rPr>
        <w:t>identified</w:t>
      </w:r>
      <w:r w:rsidRPr="00722524">
        <w:rPr>
          <w:rFonts w:ascii="Arial" w:hAnsi="Arial" w:cs="Arial"/>
          <w:spacing w:val="-4"/>
          <w:sz w:val="20"/>
        </w:rPr>
        <w:t xml:space="preserve"> </w:t>
      </w:r>
      <w:r w:rsidRPr="00722524">
        <w:rPr>
          <w:rFonts w:ascii="Arial" w:hAnsi="Arial" w:cs="Arial"/>
          <w:sz w:val="20"/>
        </w:rPr>
        <w:t>either</w:t>
      </w:r>
      <w:r w:rsidRPr="00722524">
        <w:rPr>
          <w:rFonts w:ascii="Arial" w:hAnsi="Arial" w:cs="Arial"/>
          <w:spacing w:val="-1"/>
          <w:sz w:val="20"/>
        </w:rPr>
        <w:t xml:space="preserve"> </w:t>
      </w:r>
      <w:r w:rsidRPr="00722524">
        <w:rPr>
          <w:rFonts w:ascii="Arial" w:hAnsi="Arial" w:cs="Arial"/>
          <w:sz w:val="20"/>
        </w:rPr>
        <w:t>in</w:t>
      </w:r>
      <w:r w:rsidRPr="00722524">
        <w:rPr>
          <w:rFonts w:ascii="Arial" w:hAnsi="Arial" w:cs="Arial"/>
          <w:spacing w:val="-3"/>
          <w:sz w:val="20"/>
        </w:rPr>
        <w:t xml:space="preserve"> </w:t>
      </w:r>
      <w:r w:rsidRPr="00722524">
        <w:rPr>
          <w:rFonts w:ascii="Arial" w:hAnsi="Arial" w:cs="Arial"/>
          <w:sz w:val="20"/>
        </w:rPr>
        <w:t>the</w:t>
      </w:r>
      <w:r w:rsidRPr="00722524">
        <w:rPr>
          <w:rFonts w:ascii="Arial" w:hAnsi="Arial" w:cs="Arial"/>
          <w:spacing w:val="-1"/>
          <w:sz w:val="20"/>
        </w:rPr>
        <w:t xml:space="preserve"> </w:t>
      </w:r>
      <w:r w:rsidRPr="00722524">
        <w:rPr>
          <w:rFonts w:ascii="Arial" w:hAnsi="Arial" w:cs="Arial"/>
          <w:sz w:val="20"/>
        </w:rPr>
        <w:t>registration</w:t>
      </w:r>
      <w:r w:rsidRPr="00722524">
        <w:rPr>
          <w:rFonts w:ascii="Arial" w:hAnsi="Arial" w:cs="Arial"/>
          <w:spacing w:val="-5"/>
          <w:sz w:val="20"/>
        </w:rPr>
        <w:t xml:space="preserve"> </w:t>
      </w:r>
      <w:r w:rsidRPr="00722524">
        <w:rPr>
          <w:rFonts w:ascii="Arial" w:hAnsi="Arial" w:cs="Arial"/>
          <w:sz w:val="20"/>
        </w:rPr>
        <w:t>document</w:t>
      </w:r>
      <w:r w:rsidRPr="00722524">
        <w:rPr>
          <w:rFonts w:ascii="Arial" w:hAnsi="Arial" w:cs="Arial"/>
          <w:spacing w:val="-2"/>
          <w:sz w:val="20"/>
        </w:rPr>
        <w:t xml:space="preserve"> </w:t>
      </w:r>
      <w:r w:rsidRPr="00722524">
        <w:rPr>
          <w:rFonts w:ascii="Arial" w:hAnsi="Arial" w:cs="Arial"/>
          <w:sz w:val="20"/>
        </w:rPr>
        <w:t>of</w:t>
      </w:r>
      <w:r w:rsidRPr="00722524">
        <w:rPr>
          <w:rFonts w:ascii="Arial" w:hAnsi="Arial" w:cs="Arial"/>
          <w:spacing w:val="-4"/>
          <w:sz w:val="20"/>
        </w:rPr>
        <w:t xml:space="preserve"> </w:t>
      </w:r>
      <w:r w:rsidRPr="00722524">
        <w:rPr>
          <w:rFonts w:ascii="Arial" w:hAnsi="Arial" w:cs="Arial"/>
          <w:sz w:val="20"/>
        </w:rPr>
        <w:t>the</w:t>
      </w:r>
      <w:r w:rsidRPr="00722524">
        <w:rPr>
          <w:rFonts w:ascii="Arial" w:hAnsi="Arial" w:cs="Arial"/>
          <w:spacing w:val="-47"/>
          <w:sz w:val="20"/>
        </w:rPr>
        <w:t xml:space="preserve"> </w:t>
      </w:r>
      <w:r w:rsidRPr="00722524">
        <w:rPr>
          <w:rFonts w:ascii="Arial" w:hAnsi="Arial" w:cs="Arial"/>
          <w:sz w:val="20"/>
        </w:rPr>
        <w:t>aircraft</w:t>
      </w:r>
      <w:r w:rsidRPr="00722524">
        <w:rPr>
          <w:rFonts w:ascii="Arial" w:hAnsi="Arial" w:cs="Arial"/>
          <w:spacing w:val="-2"/>
          <w:sz w:val="20"/>
        </w:rPr>
        <w:t xml:space="preserve"> </w:t>
      </w:r>
      <w:r w:rsidRPr="00722524">
        <w:rPr>
          <w:rFonts w:ascii="Arial" w:hAnsi="Arial" w:cs="Arial"/>
          <w:sz w:val="20"/>
        </w:rPr>
        <w:t>or in</w:t>
      </w:r>
      <w:r w:rsidRPr="00722524">
        <w:rPr>
          <w:rFonts w:ascii="Arial" w:hAnsi="Arial" w:cs="Arial"/>
          <w:spacing w:val="-1"/>
          <w:sz w:val="20"/>
        </w:rPr>
        <w:t xml:space="preserve"> </w:t>
      </w:r>
      <w:r w:rsidRPr="00722524">
        <w:rPr>
          <w:rFonts w:ascii="Arial" w:hAnsi="Arial" w:cs="Arial"/>
          <w:sz w:val="20"/>
        </w:rPr>
        <w:t>the</w:t>
      </w:r>
      <w:r w:rsidRPr="00722524">
        <w:rPr>
          <w:rFonts w:ascii="Arial" w:hAnsi="Arial" w:cs="Arial"/>
          <w:spacing w:val="1"/>
          <w:sz w:val="20"/>
        </w:rPr>
        <w:t xml:space="preserve"> </w:t>
      </w:r>
      <w:r w:rsidRPr="00722524">
        <w:rPr>
          <w:rFonts w:ascii="Arial" w:hAnsi="Arial" w:cs="Arial"/>
          <w:sz w:val="20"/>
        </w:rPr>
        <w:t>leasing</w:t>
      </w:r>
      <w:r w:rsidRPr="00722524">
        <w:rPr>
          <w:rFonts w:ascii="Arial" w:hAnsi="Arial" w:cs="Arial"/>
          <w:spacing w:val="-3"/>
          <w:sz w:val="20"/>
        </w:rPr>
        <w:t xml:space="preserve"> </w:t>
      </w:r>
      <w:r w:rsidRPr="00722524">
        <w:rPr>
          <w:rFonts w:ascii="Arial" w:hAnsi="Arial" w:cs="Arial"/>
          <w:sz w:val="20"/>
        </w:rPr>
        <w:t>contract.</w:t>
      </w:r>
    </w:p>
    <w:p w14:paraId="0E3E57A0" w14:textId="77777777" w:rsidR="00722524" w:rsidRPr="00722524" w:rsidRDefault="00722524" w:rsidP="000D0180">
      <w:pPr>
        <w:pStyle w:val="ListParagraph"/>
        <w:numPr>
          <w:ilvl w:val="0"/>
          <w:numId w:val="285"/>
        </w:numPr>
        <w:tabs>
          <w:tab w:val="left" w:pos="707"/>
        </w:tabs>
        <w:spacing w:before="119"/>
        <w:ind w:right="68"/>
        <w:jc w:val="both"/>
        <w:rPr>
          <w:rFonts w:ascii="Arial" w:hAnsi="Arial" w:cs="Arial"/>
          <w:sz w:val="20"/>
        </w:rPr>
      </w:pPr>
      <w:r w:rsidRPr="00722524">
        <w:rPr>
          <w:rFonts w:ascii="Arial" w:hAnsi="Arial" w:cs="Arial"/>
          <w:sz w:val="20"/>
        </w:rPr>
        <w:t>Any</w:t>
      </w:r>
      <w:r w:rsidRPr="00722524">
        <w:rPr>
          <w:rFonts w:ascii="Arial" w:hAnsi="Arial" w:cs="Arial"/>
          <w:spacing w:val="1"/>
          <w:sz w:val="20"/>
        </w:rPr>
        <w:t xml:space="preserve"> </w:t>
      </w:r>
      <w:r w:rsidRPr="00722524">
        <w:rPr>
          <w:rFonts w:ascii="Arial" w:hAnsi="Arial" w:cs="Arial"/>
          <w:sz w:val="20"/>
        </w:rPr>
        <w:t>person</w:t>
      </w:r>
      <w:r w:rsidRPr="00722524">
        <w:rPr>
          <w:rFonts w:ascii="Arial" w:hAnsi="Arial" w:cs="Arial"/>
          <w:spacing w:val="1"/>
          <w:sz w:val="20"/>
        </w:rPr>
        <w:t xml:space="preserve"> </w:t>
      </w:r>
      <w:r w:rsidRPr="00722524">
        <w:rPr>
          <w:rFonts w:ascii="Arial" w:hAnsi="Arial" w:cs="Arial"/>
          <w:sz w:val="20"/>
        </w:rPr>
        <w:t>or</w:t>
      </w:r>
      <w:r w:rsidRPr="00722524">
        <w:rPr>
          <w:rFonts w:ascii="Arial" w:hAnsi="Arial" w:cs="Arial"/>
          <w:spacing w:val="1"/>
          <w:sz w:val="20"/>
        </w:rPr>
        <w:t xml:space="preserve"> </w:t>
      </w:r>
      <w:r w:rsidRPr="00722524">
        <w:rPr>
          <w:rFonts w:ascii="Arial" w:hAnsi="Arial" w:cs="Arial"/>
          <w:sz w:val="20"/>
        </w:rPr>
        <w:t>organisation</w:t>
      </w:r>
      <w:r w:rsidRPr="00722524">
        <w:rPr>
          <w:rFonts w:ascii="Arial" w:hAnsi="Arial" w:cs="Arial"/>
          <w:spacing w:val="1"/>
          <w:sz w:val="20"/>
        </w:rPr>
        <w:t xml:space="preserve"> </w:t>
      </w:r>
      <w:r w:rsidRPr="00722524">
        <w:rPr>
          <w:rFonts w:ascii="Arial" w:hAnsi="Arial" w:cs="Arial"/>
          <w:sz w:val="20"/>
        </w:rPr>
        <w:t>performing maintenance</w:t>
      </w:r>
      <w:r w:rsidRPr="00722524">
        <w:rPr>
          <w:rFonts w:ascii="Arial" w:hAnsi="Arial" w:cs="Arial"/>
          <w:spacing w:val="1"/>
          <w:sz w:val="20"/>
        </w:rPr>
        <w:t xml:space="preserve"> </w:t>
      </w:r>
      <w:r w:rsidRPr="00722524">
        <w:rPr>
          <w:rFonts w:ascii="Arial" w:hAnsi="Arial" w:cs="Arial"/>
          <w:sz w:val="20"/>
        </w:rPr>
        <w:t>of</w:t>
      </w:r>
      <w:r w:rsidRPr="00722524">
        <w:rPr>
          <w:rFonts w:ascii="Arial" w:hAnsi="Arial" w:cs="Arial"/>
          <w:spacing w:val="1"/>
          <w:sz w:val="20"/>
        </w:rPr>
        <w:t xml:space="preserve"> </w:t>
      </w:r>
      <w:r w:rsidRPr="00722524">
        <w:rPr>
          <w:rFonts w:ascii="Arial" w:hAnsi="Arial" w:cs="Arial"/>
          <w:sz w:val="20"/>
        </w:rPr>
        <w:t>aircraft</w:t>
      </w:r>
      <w:r w:rsidRPr="00722524">
        <w:rPr>
          <w:rFonts w:ascii="Arial" w:hAnsi="Arial" w:cs="Arial"/>
          <w:spacing w:val="1"/>
          <w:sz w:val="20"/>
        </w:rPr>
        <w:t xml:space="preserve"> </w:t>
      </w:r>
      <w:r w:rsidRPr="00722524">
        <w:rPr>
          <w:rFonts w:ascii="Arial" w:hAnsi="Arial" w:cs="Arial"/>
          <w:sz w:val="20"/>
        </w:rPr>
        <w:t>and</w:t>
      </w:r>
      <w:r w:rsidRPr="00722524">
        <w:rPr>
          <w:rFonts w:ascii="Arial" w:hAnsi="Arial" w:cs="Arial"/>
          <w:spacing w:val="1"/>
          <w:sz w:val="20"/>
        </w:rPr>
        <w:t xml:space="preserve"> </w:t>
      </w:r>
      <w:r w:rsidRPr="00722524">
        <w:rPr>
          <w:rFonts w:ascii="Arial" w:hAnsi="Arial" w:cs="Arial"/>
          <w:sz w:val="20"/>
        </w:rPr>
        <w:t>components</w:t>
      </w:r>
      <w:r w:rsidRPr="00722524">
        <w:rPr>
          <w:rFonts w:ascii="Arial" w:hAnsi="Arial" w:cs="Arial"/>
          <w:spacing w:val="1"/>
          <w:sz w:val="20"/>
        </w:rPr>
        <w:t xml:space="preserve"> </w:t>
      </w:r>
      <w:r w:rsidRPr="00722524">
        <w:rPr>
          <w:rFonts w:ascii="Arial" w:hAnsi="Arial" w:cs="Arial"/>
          <w:sz w:val="20"/>
        </w:rPr>
        <w:t>shall</w:t>
      </w:r>
      <w:r w:rsidRPr="00722524">
        <w:rPr>
          <w:rFonts w:ascii="Arial" w:hAnsi="Arial" w:cs="Arial"/>
          <w:spacing w:val="1"/>
          <w:sz w:val="20"/>
        </w:rPr>
        <w:t xml:space="preserve"> </w:t>
      </w:r>
      <w:r w:rsidRPr="00722524">
        <w:rPr>
          <w:rFonts w:ascii="Arial" w:hAnsi="Arial" w:cs="Arial"/>
          <w:sz w:val="20"/>
        </w:rPr>
        <w:t>be</w:t>
      </w:r>
      <w:r w:rsidRPr="00722524">
        <w:rPr>
          <w:rFonts w:ascii="Arial" w:hAnsi="Arial" w:cs="Arial"/>
          <w:spacing w:val="1"/>
          <w:sz w:val="20"/>
        </w:rPr>
        <w:t xml:space="preserve"> </w:t>
      </w:r>
      <w:r w:rsidRPr="00722524">
        <w:rPr>
          <w:rFonts w:ascii="Arial" w:hAnsi="Arial" w:cs="Arial"/>
          <w:sz w:val="20"/>
        </w:rPr>
        <w:t>responsible</w:t>
      </w:r>
      <w:r w:rsidRPr="00722524">
        <w:rPr>
          <w:rFonts w:ascii="Arial" w:hAnsi="Arial" w:cs="Arial"/>
          <w:spacing w:val="-1"/>
          <w:sz w:val="20"/>
        </w:rPr>
        <w:t xml:space="preserve"> </w:t>
      </w:r>
      <w:r w:rsidRPr="00722524">
        <w:rPr>
          <w:rFonts w:ascii="Arial" w:hAnsi="Arial" w:cs="Arial"/>
          <w:sz w:val="20"/>
        </w:rPr>
        <w:t>for</w:t>
      </w:r>
      <w:r w:rsidRPr="00722524">
        <w:rPr>
          <w:rFonts w:ascii="Arial" w:hAnsi="Arial" w:cs="Arial"/>
          <w:spacing w:val="-2"/>
          <w:sz w:val="20"/>
        </w:rPr>
        <w:t xml:space="preserve"> </w:t>
      </w:r>
      <w:r w:rsidRPr="00722524">
        <w:rPr>
          <w:rFonts w:ascii="Arial" w:hAnsi="Arial" w:cs="Arial"/>
          <w:sz w:val="20"/>
        </w:rPr>
        <w:t>the</w:t>
      </w:r>
      <w:r w:rsidRPr="00722524">
        <w:rPr>
          <w:rFonts w:ascii="Arial" w:hAnsi="Arial" w:cs="Arial"/>
          <w:spacing w:val="-2"/>
          <w:sz w:val="20"/>
        </w:rPr>
        <w:t xml:space="preserve"> </w:t>
      </w:r>
      <w:r w:rsidRPr="00722524">
        <w:rPr>
          <w:rFonts w:ascii="Arial" w:hAnsi="Arial" w:cs="Arial"/>
          <w:sz w:val="20"/>
        </w:rPr>
        <w:t>maintenance</w:t>
      </w:r>
      <w:r w:rsidRPr="00722524">
        <w:rPr>
          <w:rFonts w:ascii="Arial" w:hAnsi="Arial" w:cs="Arial"/>
          <w:spacing w:val="1"/>
          <w:sz w:val="20"/>
        </w:rPr>
        <w:t xml:space="preserve"> </w:t>
      </w:r>
      <w:r w:rsidRPr="00722524">
        <w:rPr>
          <w:rFonts w:ascii="Arial" w:hAnsi="Arial" w:cs="Arial"/>
          <w:sz w:val="20"/>
        </w:rPr>
        <w:t>tasks</w:t>
      </w:r>
      <w:r w:rsidRPr="00722524">
        <w:rPr>
          <w:rFonts w:ascii="Arial" w:hAnsi="Arial" w:cs="Arial"/>
          <w:spacing w:val="1"/>
          <w:sz w:val="20"/>
        </w:rPr>
        <w:t xml:space="preserve"> </w:t>
      </w:r>
      <w:r w:rsidRPr="00722524">
        <w:rPr>
          <w:rFonts w:ascii="Arial" w:hAnsi="Arial" w:cs="Arial"/>
          <w:sz w:val="20"/>
        </w:rPr>
        <w:t>being</w:t>
      </w:r>
      <w:r w:rsidRPr="00722524">
        <w:rPr>
          <w:rFonts w:ascii="Arial" w:hAnsi="Arial" w:cs="Arial"/>
          <w:spacing w:val="-1"/>
          <w:sz w:val="20"/>
        </w:rPr>
        <w:t xml:space="preserve"> </w:t>
      </w:r>
      <w:r w:rsidRPr="00722524">
        <w:rPr>
          <w:rFonts w:ascii="Arial" w:hAnsi="Arial" w:cs="Arial"/>
          <w:sz w:val="20"/>
        </w:rPr>
        <w:t>performed.</w:t>
      </w:r>
    </w:p>
    <w:p w14:paraId="08B460BB" w14:textId="77777777" w:rsidR="00722524" w:rsidRPr="00722524" w:rsidRDefault="00722524" w:rsidP="000D0180">
      <w:pPr>
        <w:pStyle w:val="ListParagraph"/>
        <w:numPr>
          <w:ilvl w:val="0"/>
          <w:numId w:val="285"/>
        </w:numPr>
        <w:tabs>
          <w:tab w:val="left" w:pos="707"/>
        </w:tabs>
        <w:spacing w:before="121"/>
        <w:ind w:right="68"/>
        <w:jc w:val="both"/>
        <w:rPr>
          <w:rFonts w:ascii="Arial" w:hAnsi="Arial" w:cs="Arial"/>
          <w:sz w:val="20"/>
        </w:rPr>
      </w:pPr>
      <w:r w:rsidRPr="00722524">
        <w:rPr>
          <w:rFonts w:ascii="Arial" w:hAnsi="Arial" w:cs="Arial"/>
          <w:sz w:val="20"/>
        </w:rPr>
        <w:t>The pilot-in-command of the aircraft shall be responsible for the satisfactory accomplishment</w:t>
      </w:r>
      <w:r w:rsidRPr="00722524">
        <w:rPr>
          <w:rFonts w:ascii="Arial" w:hAnsi="Arial" w:cs="Arial"/>
          <w:spacing w:val="1"/>
          <w:sz w:val="20"/>
        </w:rPr>
        <w:t xml:space="preserve"> </w:t>
      </w:r>
      <w:r w:rsidRPr="00722524">
        <w:rPr>
          <w:rFonts w:ascii="Arial" w:hAnsi="Arial" w:cs="Arial"/>
          <w:sz w:val="20"/>
        </w:rPr>
        <w:t>of</w:t>
      </w:r>
      <w:r w:rsidRPr="00722524">
        <w:rPr>
          <w:rFonts w:ascii="Arial" w:hAnsi="Arial" w:cs="Arial"/>
          <w:spacing w:val="-4"/>
          <w:sz w:val="20"/>
        </w:rPr>
        <w:t xml:space="preserve"> </w:t>
      </w:r>
      <w:r w:rsidRPr="00722524">
        <w:rPr>
          <w:rFonts w:ascii="Arial" w:hAnsi="Arial" w:cs="Arial"/>
          <w:sz w:val="20"/>
        </w:rPr>
        <w:t>the</w:t>
      </w:r>
      <w:r w:rsidRPr="00722524">
        <w:rPr>
          <w:rFonts w:ascii="Arial" w:hAnsi="Arial" w:cs="Arial"/>
          <w:spacing w:val="-2"/>
          <w:sz w:val="20"/>
        </w:rPr>
        <w:t xml:space="preserve"> </w:t>
      </w:r>
      <w:r w:rsidRPr="00722524">
        <w:rPr>
          <w:rFonts w:ascii="Arial" w:hAnsi="Arial" w:cs="Arial"/>
          <w:sz w:val="20"/>
        </w:rPr>
        <w:t>preflight</w:t>
      </w:r>
      <w:r w:rsidRPr="00722524">
        <w:rPr>
          <w:rFonts w:ascii="Arial" w:hAnsi="Arial" w:cs="Arial"/>
          <w:spacing w:val="-2"/>
          <w:sz w:val="20"/>
        </w:rPr>
        <w:t xml:space="preserve"> </w:t>
      </w:r>
      <w:r w:rsidRPr="00722524">
        <w:rPr>
          <w:rFonts w:ascii="Arial" w:hAnsi="Arial" w:cs="Arial"/>
          <w:sz w:val="20"/>
        </w:rPr>
        <w:t>inspection.</w:t>
      </w:r>
      <w:r w:rsidRPr="00722524">
        <w:rPr>
          <w:rFonts w:ascii="Arial" w:hAnsi="Arial" w:cs="Arial"/>
          <w:spacing w:val="-4"/>
          <w:sz w:val="20"/>
        </w:rPr>
        <w:t xml:space="preserve"> </w:t>
      </w:r>
      <w:r w:rsidRPr="00722524">
        <w:rPr>
          <w:rFonts w:ascii="Arial" w:hAnsi="Arial" w:cs="Arial"/>
          <w:sz w:val="20"/>
        </w:rPr>
        <w:t>That</w:t>
      </w:r>
      <w:r w:rsidRPr="00722524">
        <w:rPr>
          <w:rFonts w:ascii="Arial" w:hAnsi="Arial" w:cs="Arial"/>
          <w:spacing w:val="-2"/>
          <w:sz w:val="20"/>
        </w:rPr>
        <w:t xml:space="preserve"> </w:t>
      </w:r>
      <w:r w:rsidRPr="00722524">
        <w:rPr>
          <w:rFonts w:ascii="Arial" w:hAnsi="Arial" w:cs="Arial"/>
          <w:sz w:val="20"/>
        </w:rPr>
        <w:t>inspection</w:t>
      </w:r>
      <w:r w:rsidRPr="00722524">
        <w:rPr>
          <w:rFonts w:ascii="Arial" w:hAnsi="Arial" w:cs="Arial"/>
          <w:spacing w:val="-6"/>
          <w:sz w:val="20"/>
        </w:rPr>
        <w:t xml:space="preserve"> </w:t>
      </w:r>
      <w:r w:rsidRPr="00722524">
        <w:rPr>
          <w:rFonts w:ascii="Arial" w:hAnsi="Arial" w:cs="Arial"/>
          <w:sz w:val="20"/>
        </w:rPr>
        <w:t>shall</w:t>
      </w:r>
      <w:r w:rsidRPr="00722524">
        <w:rPr>
          <w:rFonts w:ascii="Arial" w:hAnsi="Arial" w:cs="Arial"/>
          <w:spacing w:val="-4"/>
          <w:sz w:val="20"/>
        </w:rPr>
        <w:t xml:space="preserve"> </w:t>
      </w:r>
      <w:r w:rsidRPr="00722524">
        <w:rPr>
          <w:rFonts w:ascii="Arial" w:hAnsi="Arial" w:cs="Arial"/>
          <w:sz w:val="20"/>
        </w:rPr>
        <w:t>be</w:t>
      </w:r>
      <w:r w:rsidRPr="00722524">
        <w:rPr>
          <w:rFonts w:ascii="Arial" w:hAnsi="Arial" w:cs="Arial"/>
          <w:spacing w:val="-4"/>
          <w:sz w:val="20"/>
        </w:rPr>
        <w:t xml:space="preserve"> </w:t>
      </w:r>
      <w:r w:rsidRPr="00722524">
        <w:rPr>
          <w:rFonts w:ascii="Arial" w:hAnsi="Arial" w:cs="Arial"/>
          <w:sz w:val="20"/>
        </w:rPr>
        <w:t>carried</w:t>
      </w:r>
      <w:r w:rsidRPr="00722524">
        <w:rPr>
          <w:rFonts w:ascii="Arial" w:hAnsi="Arial" w:cs="Arial"/>
          <w:spacing w:val="-3"/>
          <w:sz w:val="20"/>
        </w:rPr>
        <w:t xml:space="preserve"> </w:t>
      </w:r>
      <w:r w:rsidRPr="00722524">
        <w:rPr>
          <w:rFonts w:ascii="Arial" w:hAnsi="Arial" w:cs="Arial"/>
          <w:sz w:val="20"/>
        </w:rPr>
        <w:t>out</w:t>
      </w:r>
      <w:r w:rsidRPr="00722524">
        <w:rPr>
          <w:rFonts w:ascii="Arial" w:hAnsi="Arial" w:cs="Arial"/>
          <w:spacing w:val="-1"/>
          <w:sz w:val="20"/>
        </w:rPr>
        <w:t xml:space="preserve"> </w:t>
      </w:r>
      <w:r w:rsidRPr="00722524">
        <w:rPr>
          <w:rFonts w:ascii="Arial" w:hAnsi="Arial" w:cs="Arial"/>
          <w:sz w:val="20"/>
        </w:rPr>
        <w:t>by</w:t>
      </w:r>
      <w:r w:rsidRPr="00722524">
        <w:rPr>
          <w:rFonts w:ascii="Arial" w:hAnsi="Arial" w:cs="Arial"/>
          <w:spacing w:val="-2"/>
          <w:sz w:val="20"/>
        </w:rPr>
        <w:t xml:space="preserve"> </w:t>
      </w:r>
      <w:r w:rsidRPr="00722524">
        <w:rPr>
          <w:rFonts w:ascii="Arial" w:hAnsi="Arial" w:cs="Arial"/>
          <w:sz w:val="20"/>
        </w:rPr>
        <w:t>the</w:t>
      </w:r>
      <w:r w:rsidRPr="00722524">
        <w:rPr>
          <w:rFonts w:ascii="Arial" w:hAnsi="Arial" w:cs="Arial"/>
          <w:spacing w:val="-1"/>
          <w:sz w:val="20"/>
        </w:rPr>
        <w:t xml:space="preserve"> </w:t>
      </w:r>
      <w:r w:rsidRPr="00722524">
        <w:rPr>
          <w:rFonts w:ascii="Arial" w:hAnsi="Arial" w:cs="Arial"/>
          <w:sz w:val="20"/>
        </w:rPr>
        <w:t>pilot</w:t>
      </w:r>
      <w:r w:rsidRPr="00722524">
        <w:rPr>
          <w:rFonts w:ascii="Arial" w:hAnsi="Arial" w:cs="Arial"/>
          <w:spacing w:val="-4"/>
          <w:sz w:val="20"/>
        </w:rPr>
        <w:t xml:space="preserve"> </w:t>
      </w:r>
      <w:r w:rsidRPr="00722524">
        <w:rPr>
          <w:rFonts w:ascii="Arial" w:hAnsi="Arial" w:cs="Arial"/>
          <w:sz w:val="20"/>
        </w:rPr>
        <w:t>or</w:t>
      </w:r>
      <w:r w:rsidRPr="00722524">
        <w:rPr>
          <w:rFonts w:ascii="Arial" w:hAnsi="Arial" w:cs="Arial"/>
          <w:spacing w:val="-4"/>
          <w:sz w:val="20"/>
        </w:rPr>
        <w:t xml:space="preserve"> </w:t>
      </w:r>
      <w:r w:rsidRPr="00722524">
        <w:rPr>
          <w:rFonts w:ascii="Arial" w:hAnsi="Arial" w:cs="Arial"/>
          <w:sz w:val="20"/>
        </w:rPr>
        <w:t>another</w:t>
      </w:r>
      <w:r w:rsidRPr="00722524">
        <w:rPr>
          <w:rFonts w:ascii="Arial" w:hAnsi="Arial" w:cs="Arial"/>
          <w:spacing w:val="-2"/>
          <w:sz w:val="20"/>
        </w:rPr>
        <w:t xml:space="preserve"> </w:t>
      </w:r>
      <w:r w:rsidRPr="00722524">
        <w:rPr>
          <w:rFonts w:ascii="Arial" w:hAnsi="Arial" w:cs="Arial"/>
          <w:sz w:val="20"/>
        </w:rPr>
        <w:t>qualified</w:t>
      </w:r>
      <w:r w:rsidRPr="00722524">
        <w:rPr>
          <w:rFonts w:ascii="Arial" w:hAnsi="Arial" w:cs="Arial"/>
          <w:spacing w:val="-47"/>
          <w:sz w:val="20"/>
        </w:rPr>
        <w:t xml:space="preserve"> </w:t>
      </w:r>
      <w:r w:rsidRPr="00722524">
        <w:rPr>
          <w:rFonts w:ascii="Arial" w:hAnsi="Arial" w:cs="Arial"/>
          <w:sz w:val="20"/>
        </w:rPr>
        <w:t>person but need not be carried out by an approved maintenance organisation or by certifying</w:t>
      </w:r>
      <w:r w:rsidRPr="00722524">
        <w:rPr>
          <w:rFonts w:ascii="Arial" w:hAnsi="Arial" w:cs="Arial"/>
          <w:spacing w:val="1"/>
          <w:sz w:val="20"/>
        </w:rPr>
        <w:t xml:space="preserve"> </w:t>
      </w:r>
      <w:r w:rsidRPr="00722524">
        <w:rPr>
          <w:rFonts w:ascii="Arial" w:hAnsi="Arial" w:cs="Arial"/>
          <w:sz w:val="20"/>
        </w:rPr>
        <w:t>staff.</w:t>
      </w:r>
    </w:p>
    <w:p w14:paraId="0AEFA3FA" w14:textId="7EA7E1CE" w:rsidR="00722524" w:rsidRPr="00722524" w:rsidRDefault="00722524" w:rsidP="000D0180">
      <w:pPr>
        <w:pStyle w:val="ListParagraph"/>
        <w:numPr>
          <w:ilvl w:val="0"/>
          <w:numId w:val="285"/>
        </w:numPr>
        <w:tabs>
          <w:tab w:val="left" w:pos="707"/>
        </w:tabs>
        <w:spacing w:before="121"/>
        <w:ind w:right="68"/>
        <w:jc w:val="both"/>
        <w:rPr>
          <w:rFonts w:ascii="Arial" w:hAnsi="Arial" w:cs="Arial"/>
          <w:sz w:val="20"/>
        </w:rPr>
      </w:pPr>
      <w:r w:rsidRPr="00722524">
        <w:rPr>
          <w:rFonts w:ascii="Arial" w:hAnsi="Arial" w:cs="Arial"/>
          <w:sz w:val="20"/>
        </w:rPr>
        <w:t>For aircraft operated by commercial Approved Training Organisations (‘ATO’) and commercial</w:t>
      </w:r>
      <w:r w:rsidRPr="00722524">
        <w:rPr>
          <w:rFonts w:ascii="Arial" w:hAnsi="Arial" w:cs="Arial"/>
          <w:spacing w:val="1"/>
          <w:sz w:val="20"/>
        </w:rPr>
        <w:t xml:space="preserve"> </w:t>
      </w:r>
      <w:r w:rsidRPr="00722524">
        <w:rPr>
          <w:rFonts w:ascii="Arial" w:hAnsi="Arial" w:cs="Arial"/>
          <w:sz w:val="20"/>
        </w:rPr>
        <w:t>Declared</w:t>
      </w:r>
      <w:r w:rsidRPr="00722524">
        <w:rPr>
          <w:rFonts w:ascii="Arial" w:hAnsi="Arial" w:cs="Arial"/>
          <w:spacing w:val="51"/>
          <w:sz w:val="20"/>
        </w:rPr>
        <w:t xml:space="preserve"> </w:t>
      </w:r>
      <w:r w:rsidRPr="00722524">
        <w:rPr>
          <w:rFonts w:ascii="Arial" w:hAnsi="Arial" w:cs="Arial"/>
          <w:sz w:val="20"/>
        </w:rPr>
        <w:t>Training</w:t>
      </w:r>
      <w:r w:rsidRPr="00722524">
        <w:rPr>
          <w:rFonts w:ascii="Arial" w:hAnsi="Arial" w:cs="Arial"/>
          <w:spacing w:val="50"/>
          <w:sz w:val="20"/>
        </w:rPr>
        <w:t xml:space="preserve"> </w:t>
      </w:r>
      <w:r w:rsidRPr="00722524">
        <w:rPr>
          <w:rFonts w:ascii="Arial" w:hAnsi="Arial" w:cs="Arial"/>
          <w:sz w:val="20"/>
        </w:rPr>
        <w:t>Organisations   (‘DTO’)   referred   to   in   Article 10a</w:t>
      </w:r>
      <w:r w:rsidRPr="00722524">
        <w:rPr>
          <w:rFonts w:ascii="Arial" w:hAnsi="Arial" w:cs="Arial"/>
          <w:spacing w:val="49"/>
          <w:sz w:val="20"/>
        </w:rPr>
        <w:t xml:space="preserve"> </w:t>
      </w:r>
      <w:r w:rsidRPr="00722524">
        <w:rPr>
          <w:rFonts w:ascii="Arial" w:hAnsi="Arial" w:cs="Arial"/>
          <w:sz w:val="20"/>
        </w:rPr>
        <w:t xml:space="preserve">of   </w:t>
      </w:r>
      <w:hyperlink r:id="rId95" w:history="1">
        <w:r w:rsidR="00D5512A">
          <w:rPr>
            <w:rStyle w:val="Hyperlink"/>
            <w:rFonts w:ascii="Arial" w:hAnsi="Arial" w:cs="Arial"/>
            <w:sz w:val="20"/>
            <w:szCs w:val="20"/>
          </w:rPr>
          <w:t>the order N 3-N of the Minister of Territorial Administration and Infrastructure of RA, dated 11.02.2022</w:t>
        </w:r>
      </w:hyperlink>
      <w:r w:rsidRPr="00722524">
        <w:rPr>
          <w:rFonts w:ascii="Arial" w:hAnsi="Arial" w:cs="Arial"/>
          <w:sz w:val="20"/>
        </w:rPr>
        <w:t xml:space="preserve"> or not operated in accordance with Annex VII to </w:t>
      </w:r>
      <w:hyperlink r:id="rId96" w:history="1">
        <w:r w:rsidR="00D5512A" w:rsidRPr="00C630C9">
          <w:rPr>
            <w:rStyle w:val="Hyperlink"/>
            <w:rFonts w:ascii="Arial" w:hAnsi="Arial" w:cs="Arial"/>
            <w:sz w:val="20"/>
          </w:rPr>
          <w:t>the order N 2-N of the Minister of Territorial Administration and Infrastructure of RA, dated 11.02.2022</w:t>
        </w:r>
      </w:hyperlink>
      <w:r w:rsidR="00D5512A" w:rsidRPr="00D5512A">
        <w:rPr>
          <w:rFonts w:ascii="Arial" w:hAnsi="Arial" w:cs="Arial"/>
          <w:sz w:val="20"/>
        </w:rPr>
        <w:t xml:space="preserve"> </w:t>
      </w:r>
      <w:r w:rsidRPr="00722524">
        <w:rPr>
          <w:rFonts w:ascii="Arial" w:hAnsi="Arial" w:cs="Arial"/>
          <w:sz w:val="20"/>
        </w:rPr>
        <w:t xml:space="preserve">(Part-NCO) or operated in accordance with Subpart-ADD of Annex II (Part-BOP) to </w:t>
      </w:r>
      <w:r w:rsidR="00062F40">
        <w:rPr>
          <w:rFonts w:ascii="Arial" w:hAnsi="Arial" w:cs="Arial"/>
          <w:sz w:val="20"/>
        </w:rPr>
        <w:t>this Regulation</w:t>
      </w:r>
      <w:r w:rsidRPr="00670F7B">
        <w:rPr>
          <w:rFonts w:ascii="Arial" w:hAnsi="Arial" w:cs="Arial"/>
          <w:sz w:val="20"/>
        </w:rPr>
        <w:t>,</w:t>
      </w:r>
      <w:r w:rsidRPr="00722524">
        <w:rPr>
          <w:rFonts w:ascii="Arial" w:hAnsi="Arial" w:cs="Arial"/>
          <w:spacing w:val="1"/>
          <w:sz w:val="20"/>
        </w:rPr>
        <w:t xml:space="preserve"> </w:t>
      </w:r>
      <w:r w:rsidRPr="00722524">
        <w:rPr>
          <w:rFonts w:ascii="Arial" w:hAnsi="Arial" w:cs="Arial"/>
          <w:sz w:val="20"/>
        </w:rPr>
        <w:t>the</w:t>
      </w:r>
      <w:r w:rsidRPr="00722524">
        <w:rPr>
          <w:rFonts w:ascii="Arial" w:hAnsi="Arial" w:cs="Arial"/>
          <w:spacing w:val="1"/>
          <w:sz w:val="20"/>
        </w:rPr>
        <w:t xml:space="preserve"> </w:t>
      </w:r>
      <w:r w:rsidRPr="00722524">
        <w:rPr>
          <w:rFonts w:ascii="Arial" w:hAnsi="Arial" w:cs="Arial"/>
          <w:sz w:val="20"/>
        </w:rPr>
        <w:t>operator</w:t>
      </w:r>
      <w:r w:rsidRPr="00722524">
        <w:rPr>
          <w:rFonts w:ascii="Arial" w:hAnsi="Arial" w:cs="Arial"/>
          <w:spacing w:val="-1"/>
          <w:sz w:val="20"/>
        </w:rPr>
        <w:t xml:space="preserve"> </w:t>
      </w:r>
      <w:r w:rsidRPr="00722524">
        <w:rPr>
          <w:rFonts w:ascii="Arial" w:hAnsi="Arial" w:cs="Arial"/>
          <w:sz w:val="20"/>
        </w:rPr>
        <w:t>shall:</w:t>
      </w:r>
    </w:p>
    <w:p w14:paraId="26727095" w14:textId="77777777" w:rsidR="00722524" w:rsidRPr="00722524" w:rsidRDefault="00722524" w:rsidP="000D0180">
      <w:pPr>
        <w:pStyle w:val="ListParagraph"/>
        <w:numPr>
          <w:ilvl w:val="1"/>
          <w:numId w:val="285"/>
        </w:numPr>
        <w:tabs>
          <w:tab w:val="left" w:pos="1274"/>
        </w:tabs>
        <w:spacing w:before="119"/>
        <w:ind w:right="68"/>
        <w:jc w:val="both"/>
        <w:rPr>
          <w:rFonts w:ascii="Arial" w:hAnsi="Arial" w:cs="Arial"/>
          <w:sz w:val="20"/>
        </w:rPr>
      </w:pPr>
      <w:r w:rsidRPr="00722524">
        <w:rPr>
          <w:rFonts w:ascii="Arial" w:hAnsi="Arial" w:cs="Arial"/>
          <w:sz w:val="20"/>
        </w:rPr>
        <w:t>be</w:t>
      </w:r>
      <w:r w:rsidRPr="00722524">
        <w:rPr>
          <w:rFonts w:ascii="Arial" w:hAnsi="Arial" w:cs="Arial"/>
          <w:spacing w:val="-5"/>
          <w:sz w:val="20"/>
        </w:rPr>
        <w:t xml:space="preserve"> </w:t>
      </w:r>
      <w:r w:rsidRPr="00722524">
        <w:rPr>
          <w:rFonts w:ascii="Arial" w:hAnsi="Arial" w:cs="Arial"/>
          <w:sz w:val="20"/>
        </w:rPr>
        <w:t>approved</w:t>
      </w:r>
      <w:r w:rsidRPr="00722524">
        <w:rPr>
          <w:rFonts w:ascii="Arial" w:hAnsi="Arial" w:cs="Arial"/>
          <w:spacing w:val="-7"/>
          <w:sz w:val="20"/>
        </w:rPr>
        <w:t xml:space="preserve"> </w:t>
      </w:r>
      <w:r w:rsidRPr="00722524">
        <w:rPr>
          <w:rFonts w:ascii="Arial" w:hAnsi="Arial" w:cs="Arial"/>
          <w:sz w:val="20"/>
        </w:rPr>
        <w:t>as</w:t>
      </w:r>
      <w:r w:rsidRPr="00722524">
        <w:rPr>
          <w:rFonts w:ascii="Arial" w:hAnsi="Arial" w:cs="Arial"/>
          <w:spacing w:val="-8"/>
          <w:sz w:val="20"/>
        </w:rPr>
        <w:t xml:space="preserve"> </w:t>
      </w:r>
      <w:r w:rsidRPr="00722524">
        <w:rPr>
          <w:rFonts w:ascii="Arial" w:hAnsi="Arial" w:cs="Arial"/>
          <w:sz w:val="20"/>
        </w:rPr>
        <w:t>a</w:t>
      </w:r>
      <w:r w:rsidRPr="00722524">
        <w:rPr>
          <w:rFonts w:ascii="Arial" w:hAnsi="Arial" w:cs="Arial"/>
          <w:spacing w:val="-7"/>
          <w:sz w:val="20"/>
        </w:rPr>
        <w:t xml:space="preserve"> </w:t>
      </w:r>
      <w:r w:rsidRPr="00722524">
        <w:rPr>
          <w:rFonts w:ascii="Arial" w:hAnsi="Arial" w:cs="Arial"/>
          <w:sz w:val="20"/>
        </w:rPr>
        <w:t>CAMO</w:t>
      </w:r>
      <w:r w:rsidRPr="00722524">
        <w:rPr>
          <w:rFonts w:ascii="Arial" w:hAnsi="Arial" w:cs="Arial"/>
          <w:spacing w:val="-7"/>
          <w:sz w:val="20"/>
        </w:rPr>
        <w:t xml:space="preserve"> </w:t>
      </w:r>
      <w:r w:rsidRPr="00722524">
        <w:rPr>
          <w:rFonts w:ascii="Arial" w:hAnsi="Arial" w:cs="Arial"/>
          <w:sz w:val="20"/>
        </w:rPr>
        <w:t>or</w:t>
      </w:r>
      <w:r w:rsidRPr="00722524">
        <w:rPr>
          <w:rFonts w:ascii="Arial" w:hAnsi="Arial" w:cs="Arial"/>
          <w:spacing w:val="-11"/>
          <w:sz w:val="20"/>
        </w:rPr>
        <w:t xml:space="preserve"> </w:t>
      </w:r>
      <w:r w:rsidRPr="00722524">
        <w:rPr>
          <w:rFonts w:ascii="Arial" w:hAnsi="Arial" w:cs="Arial"/>
          <w:sz w:val="20"/>
        </w:rPr>
        <w:t>as</w:t>
      </w:r>
      <w:r w:rsidRPr="00722524">
        <w:rPr>
          <w:rFonts w:ascii="Arial" w:hAnsi="Arial" w:cs="Arial"/>
          <w:spacing w:val="-5"/>
          <w:sz w:val="20"/>
        </w:rPr>
        <w:t xml:space="preserve"> </w:t>
      </w:r>
      <w:r w:rsidRPr="00722524">
        <w:rPr>
          <w:rFonts w:ascii="Arial" w:hAnsi="Arial" w:cs="Arial"/>
          <w:sz w:val="20"/>
        </w:rPr>
        <w:t>a</w:t>
      </w:r>
      <w:r w:rsidRPr="00722524">
        <w:rPr>
          <w:rFonts w:ascii="Arial" w:hAnsi="Arial" w:cs="Arial"/>
          <w:spacing w:val="-7"/>
          <w:sz w:val="20"/>
        </w:rPr>
        <w:t xml:space="preserve"> </w:t>
      </w:r>
      <w:r w:rsidRPr="00722524">
        <w:rPr>
          <w:rFonts w:ascii="Arial" w:hAnsi="Arial" w:cs="Arial"/>
          <w:sz w:val="20"/>
        </w:rPr>
        <w:t>CAO</w:t>
      </w:r>
      <w:r w:rsidRPr="00722524">
        <w:rPr>
          <w:rFonts w:ascii="Arial" w:hAnsi="Arial" w:cs="Arial"/>
          <w:spacing w:val="-8"/>
          <w:sz w:val="20"/>
        </w:rPr>
        <w:t xml:space="preserve"> </w:t>
      </w:r>
      <w:r w:rsidRPr="00722524">
        <w:rPr>
          <w:rFonts w:ascii="Arial" w:hAnsi="Arial" w:cs="Arial"/>
          <w:sz w:val="20"/>
        </w:rPr>
        <w:t>for</w:t>
      </w:r>
      <w:r w:rsidRPr="00722524">
        <w:rPr>
          <w:rFonts w:ascii="Arial" w:hAnsi="Arial" w:cs="Arial"/>
          <w:spacing w:val="-7"/>
          <w:sz w:val="20"/>
        </w:rPr>
        <w:t xml:space="preserve"> </w:t>
      </w:r>
      <w:r w:rsidRPr="00722524">
        <w:rPr>
          <w:rFonts w:ascii="Arial" w:hAnsi="Arial" w:cs="Arial"/>
          <w:sz w:val="20"/>
        </w:rPr>
        <w:t>the</w:t>
      </w:r>
      <w:r w:rsidRPr="00722524">
        <w:rPr>
          <w:rFonts w:ascii="Arial" w:hAnsi="Arial" w:cs="Arial"/>
          <w:spacing w:val="-6"/>
          <w:sz w:val="20"/>
        </w:rPr>
        <w:t xml:space="preserve"> </w:t>
      </w:r>
      <w:r w:rsidRPr="00722524">
        <w:rPr>
          <w:rFonts w:ascii="Arial" w:hAnsi="Arial" w:cs="Arial"/>
          <w:sz w:val="20"/>
        </w:rPr>
        <w:t>management</w:t>
      </w:r>
      <w:r w:rsidRPr="00722524">
        <w:rPr>
          <w:rFonts w:ascii="Arial" w:hAnsi="Arial" w:cs="Arial"/>
          <w:spacing w:val="-8"/>
          <w:sz w:val="20"/>
        </w:rPr>
        <w:t xml:space="preserve"> </w:t>
      </w:r>
      <w:r w:rsidRPr="00722524">
        <w:rPr>
          <w:rFonts w:ascii="Arial" w:hAnsi="Arial" w:cs="Arial"/>
          <w:sz w:val="20"/>
        </w:rPr>
        <w:t>of</w:t>
      </w:r>
      <w:r w:rsidRPr="00722524">
        <w:rPr>
          <w:rFonts w:ascii="Arial" w:hAnsi="Arial" w:cs="Arial"/>
          <w:spacing w:val="-7"/>
          <w:sz w:val="20"/>
        </w:rPr>
        <w:t xml:space="preserve"> </w:t>
      </w:r>
      <w:r w:rsidRPr="00722524">
        <w:rPr>
          <w:rFonts w:ascii="Arial" w:hAnsi="Arial" w:cs="Arial"/>
          <w:sz w:val="20"/>
        </w:rPr>
        <w:t>the</w:t>
      </w:r>
      <w:r w:rsidRPr="00722524">
        <w:rPr>
          <w:rFonts w:ascii="Arial" w:hAnsi="Arial" w:cs="Arial"/>
          <w:spacing w:val="-8"/>
          <w:sz w:val="20"/>
        </w:rPr>
        <w:t xml:space="preserve"> </w:t>
      </w:r>
      <w:r w:rsidRPr="00722524">
        <w:rPr>
          <w:rFonts w:ascii="Arial" w:hAnsi="Arial" w:cs="Arial"/>
          <w:sz w:val="20"/>
        </w:rPr>
        <w:t>continuing</w:t>
      </w:r>
      <w:r w:rsidRPr="00722524">
        <w:rPr>
          <w:rFonts w:ascii="Arial" w:hAnsi="Arial" w:cs="Arial"/>
          <w:spacing w:val="-5"/>
          <w:sz w:val="20"/>
        </w:rPr>
        <w:t xml:space="preserve"> </w:t>
      </w:r>
      <w:r w:rsidRPr="00722524">
        <w:rPr>
          <w:rFonts w:ascii="Arial" w:hAnsi="Arial" w:cs="Arial"/>
          <w:sz w:val="20"/>
        </w:rPr>
        <w:t>airworthiness</w:t>
      </w:r>
      <w:r w:rsidRPr="00722524">
        <w:rPr>
          <w:rFonts w:ascii="Arial" w:hAnsi="Arial" w:cs="Arial"/>
          <w:spacing w:val="-47"/>
          <w:sz w:val="20"/>
        </w:rPr>
        <w:t xml:space="preserve"> </w:t>
      </w:r>
      <w:r w:rsidRPr="00722524">
        <w:rPr>
          <w:rFonts w:ascii="Arial" w:hAnsi="Arial" w:cs="Arial"/>
          <w:sz w:val="20"/>
        </w:rPr>
        <w:t>of</w:t>
      </w:r>
      <w:r w:rsidRPr="00722524">
        <w:rPr>
          <w:rFonts w:ascii="Arial" w:hAnsi="Arial" w:cs="Arial"/>
          <w:spacing w:val="-6"/>
          <w:sz w:val="20"/>
        </w:rPr>
        <w:t xml:space="preserve"> </w:t>
      </w:r>
      <w:r w:rsidRPr="00722524">
        <w:rPr>
          <w:rFonts w:ascii="Arial" w:hAnsi="Arial" w:cs="Arial"/>
          <w:sz w:val="20"/>
        </w:rPr>
        <w:t>its</w:t>
      </w:r>
      <w:r w:rsidRPr="00722524">
        <w:rPr>
          <w:rFonts w:ascii="Arial" w:hAnsi="Arial" w:cs="Arial"/>
          <w:spacing w:val="-5"/>
          <w:sz w:val="20"/>
        </w:rPr>
        <w:t xml:space="preserve"> </w:t>
      </w:r>
      <w:r w:rsidRPr="00722524">
        <w:rPr>
          <w:rFonts w:ascii="Arial" w:hAnsi="Arial" w:cs="Arial"/>
          <w:sz w:val="20"/>
        </w:rPr>
        <w:t>aircraft</w:t>
      </w:r>
      <w:r w:rsidRPr="00722524">
        <w:rPr>
          <w:rFonts w:ascii="Arial" w:hAnsi="Arial" w:cs="Arial"/>
          <w:spacing w:val="-5"/>
          <w:sz w:val="20"/>
        </w:rPr>
        <w:t xml:space="preserve"> </w:t>
      </w:r>
      <w:r w:rsidRPr="00722524">
        <w:rPr>
          <w:rFonts w:ascii="Arial" w:hAnsi="Arial" w:cs="Arial"/>
          <w:sz w:val="20"/>
        </w:rPr>
        <w:t>in</w:t>
      </w:r>
      <w:r w:rsidRPr="00722524">
        <w:rPr>
          <w:rFonts w:ascii="Arial" w:hAnsi="Arial" w:cs="Arial"/>
          <w:spacing w:val="-7"/>
          <w:sz w:val="20"/>
        </w:rPr>
        <w:t xml:space="preserve"> </w:t>
      </w:r>
      <w:r w:rsidRPr="00722524">
        <w:rPr>
          <w:rFonts w:ascii="Arial" w:hAnsi="Arial" w:cs="Arial"/>
          <w:sz w:val="20"/>
        </w:rPr>
        <w:t>accordance</w:t>
      </w:r>
      <w:r w:rsidRPr="00722524">
        <w:rPr>
          <w:rFonts w:ascii="Arial" w:hAnsi="Arial" w:cs="Arial"/>
          <w:spacing w:val="-7"/>
          <w:sz w:val="20"/>
        </w:rPr>
        <w:t xml:space="preserve"> </w:t>
      </w:r>
      <w:r w:rsidRPr="00722524">
        <w:rPr>
          <w:rFonts w:ascii="Arial" w:hAnsi="Arial" w:cs="Arial"/>
          <w:sz w:val="20"/>
        </w:rPr>
        <w:t>with</w:t>
      </w:r>
      <w:r w:rsidRPr="00722524">
        <w:rPr>
          <w:rFonts w:ascii="Arial" w:hAnsi="Arial" w:cs="Arial"/>
          <w:spacing w:val="-6"/>
          <w:sz w:val="20"/>
        </w:rPr>
        <w:t xml:space="preserve"> </w:t>
      </w:r>
      <w:r w:rsidRPr="00722524">
        <w:rPr>
          <w:rFonts w:ascii="Arial" w:hAnsi="Arial" w:cs="Arial"/>
          <w:sz w:val="20"/>
        </w:rPr>
        <w:t>Annex</w:t>
      </w:r>
      <w:r w:rsidRPr="00722524">
        <w:rPr>
          <w:rFonts w:ascii="Arial" w:hAnsi="Arial" w:cs="Arial"/>
          <w:spacing w:val="-5"/>
          <w:sz w:val="20"/>
        </w:rPr>
        <w:t xml:space="preserve"> </w:t>
      </w:r>
      <w:r w:rsidRPr="00722524">
        <w:rPr>
          <w:rFonts w:ascii="Arial" w:hAnsi="Arial" w:cs="Arial"/>
          <w:sz w:val="20"/>
        </w:rPr>
        <w:t>Vc</w:t>
      </w:r>
      <w:r w:rsidRPr="00722524">
        <w:rPr>
          <w:rFonts w:ascii="Arial" w:hAnsi="Arial" w:cs="Arial"/>
          <w:spacing w:val="-8"/>
          <w:sz w:val="20"/>
        </w:rPr>
        <w:t xml:space="preserve"> </w:t>
      </w:r>
      <w:r w:rsidRPr="00722524">
        <w:rPr>
          <w:rFonts w:ascii="Arial" w:hAnsi="Arial" w:cs="Arial"/>
          <w:sz w:val="20"/>
        </w:rPr>
        <w:t>(Part-CAMO),</w:t>
      </w:r>
      <w:r w:rsidRPr="00722524">
        <w:rPr>
          <w:rFonts w:ascii="Arial" w:hAnsi="Arial" w:cs="Arial"/>
          <w:spacing w:val="-5"/>
          <w:sz w:val="20"/>
        </w:rPr>
        <w:t xml:space="preserve"> </w:t>
      </w:r>
      <w:r w:rsidRPr="00722524">
        <w:rPr>
          <w:rFonts w:ascii="Arial" w:hAnsi="Arial" w:cs="Arial"/>
          <w:sz w:val="20"/>
        </w:rPr>
        <w:t>Subpart</w:t>
      </w:r>
      <w:r w:rsidRPr="00722524">
        <w:rPr>
          <w:rFonts w:ascii="Arial" w:hAnsi="Arial" w:cs="Arial"/>
          <w:spacing w:val="-5"/>
          <w:sz w:val="20"/>
        </w:rPr>
        <w:t xml:space="preserve"> </w:t>
      </w:r>
      <w:r w:rsidRPr="00722524">
        <w:rPr>
          <w:rFonts w:ascii="Arial" w:hAnsi="Arial" w:cs="Arial"/>
          <w:sz w:val="20"/>
        </w:rPr>
        <w:t>G</w:t>
      </w:r>
      <w:r w:rsidRPr="00722524">
        <w:rPr>
          <w:rFonts w:ascii="Arial" w:hAnsi="Arial" w:cs="Arial"/>
          <w:spacing w:val="-6"/>
          <w:sz w:val="20"/>
        </w:rPr>
        <w:t xml:space="preserve"> </w:t>
      </w:r>
      <w:r w:rsidRPr="00722524">
        <w:rPr>
          <w:rFonts w:ascii="Arial" w:hAnsi="Arial" w:cs="Arial"/>
          <w:sz w:val="20"/>
        </w:rPr>
        <w:t>of</w:t>
      </w:r>
      <w:r w:rsidRPr="00722524">
        <w:rPr>
          <w:rFonts w:ascii="Arial" w:hAnsi="Arial" w:cs="Arial"/>
          <w:spacing w:val="-6"/>
          <w:sz w:val="20"/>
        </w:rPr>
        <w:t xml:space="preserve"> </w:t>
      </w:r>
      <w:r w:rsidRPr="00722524">
        <w:rPr>
          <w:rFonts w:ascii="Arial" w:hAnsi="Arial" w:cs="Arial"/>
          <w:sz w:val="20"/>
        </w:rPr>
        <w:t>Annex I</w:t>
      </w:r>
      <w:r w:rsidRPr="00722524">
        <w:rPr>
          <w:rFonts w:ascii="Arial" w:hAnsi="Arial" w:cs="Arial"/>
          <w:spacing w:val="-6"/>
          <w:sz w:val="20"/>
        </w:rPr>
        <w:t xml:space="preserve"> </w:t>
      </w:r>
      <w:r w:rsidRPr="00722524">
        <w:rPr>
          <w:rFonts w:ascii="Arial" w:hAnsi="Arial" w:cs="Arial"/>
          <w:sz w:val="20"/>
        </w:rPr>
        <w:t>(Part-M)</w:t>
      </w:r>
      <w:r w:rsidRPr="00722524">
        <w:rPr>
          <w:rFonts w:ascii="Arial" w:hAnsi="Arial" w:cs="Arial"/>
          <w:spacing w:val="-8"/>
          <w:sz w:val="20"/>
        </w:rPr>
        <w:t xml:space="preserve"> </w:t>
      </w:r>
      <w:r w:rsidRPr="00722524">
        <w:rPr>
          <w:rFonts w:ascii="Arial" w:hAnsi="Arial" w:cs="Arial"/>
          <w:sz w:val="20"/>
        </w:rPr>
        <w:t>or</w:t>
      </w:r>
      <w:r w:rsidRPr="00722524">
        <w:rPr>
          <w:rFonts w:ascii="Arial" w:hAnsi="Arial" w:cs="Arial"/>
          <w:spacing w:val="-47"/>
          <w:sz w:val="20"/>
        </w:rPr>
        <w:t xml:space="preserve"> </w:t>
      </w:r>
      <w:r w:rsidRPr="00722524">
        <w:rPr>
          <w:rFonts w:ascii="Arial" w:hAnsi="Arial" w:cs="Arial"/>
          <w:sz w:val="20"/>
        </w:rPr>
        <w:t>Annex Vd (Part-CAO), or contract such an organisation using the contract set out in</w:t>
      </w:r>
      <w:r w:rsidRPr="00722524">
        <w:rPr>
          <w:rFonts w:ascii="Arial" w:hAnsi="Arial" w:cs="Arial"/>
          <w:spacing w:val="1"/>
          <w:sz w:val="20"/>
        </w:rPr>
        <w:t xml:space="preserve"> </w:t>
      </w:r>
      <w:r w:rsidRPr="00722524">
        <w:rPr>
          <w:rFonts w:ascii="Arial" w:hAnsi="Arial" w:cs="Arial"/>
          <w:sz w:val="20"/>
        </w:rPr>
        <w:t>Appendix</w:t>
      </w:r>
      <w:r w:rsidRPr="00722524">
        <w:rPr>
          <w:rFonts w:ascii="Arial" w:hAnsi="Arial" w:cs="Arial"/>
          <w:spacing w:val="-1"/>
          <w:sz w:val="20"/>
        </w:rPr>
        <w:t xml:space="preserve"> </w:t>
      </w:r>
      <w:r w:rsidRPr="00722524">
        <w:rPr>
          <w:rFonts w:ascii="Arial" w:hAnsi="Arial" w:cs="Arial"/>
          <w:sz w:val="20"/>
        </w:rPr>
        <w:t>I to</w:t>
      </w:r>
      <w:r w:rsidRPr="00722524">
        <w:rPr>
          <w:rFonts w:ascii="Arial" w:hAnsi="Arial" w:cs="Arial"/>
          <w:spacing w:val="-2"/>
          <w:sz w:val="20"/>
        </w:rPr>
        <w:t xml:space="preserve"> </w:t>
      </w:r>
      <w:r w:rsidRPr="00722524">
        <w:rPr>
          <w:rFonts w:ascii="Arial" w:hAnsi="Arial" w:cs="Arial"/>
          <w:sz w:val="20"/>
        </w:rPr>
        <w:t>this Annex;</w:t>
      </w:r>
    </w:p>
    <w:p w14:paraId="0F55D7E7" w14:textId="6211B9B9" w:rsidR="00722524" w:rsidRPr="00722524" w:rsidRDefault="00722524" w:rsidP="000D0180">
      <w:pPr>
        <w:pStyle w:val="ListParagraph"/>
        <w:numPr>
          <w:ilvl w:val="1"/>
          <w:numId w:val="285"/>
        </w:numPr>
        <w:tabs>
          <w:tab w:val="left" w:pos="1274"/>
        </w:tabs>
        <w:spacing w:before="123" w:line="237" w:lineRule="auto"/>
        <w:ind w:right="68"/>
        <w:jc w:val="both"/>
        <w:rPr>
          <w:rFonts w:ascii="Arial" w:hAnsi="Arial" w:cs="Arial"/>
          <w:sz w:val="20"/>
        </w:rPr>
      </w:pPr>
      <w:r w:rsidRPr="00722524">
        <w:rPr>
          <w:rFonts w:ascii="Arial" w:hAnsi="Arial" w:cs="Arial"/>
          <w:sz w:val="20"/>
        </w:rPr>
        <w:t>ensure that all maintenance is performed by maintenance organisations approved in</w:t>
      </w:r>
      <w:r w:rsidRPr="00722524">
        <w:rPr>
          <w:rFonts w:ascii="Arial" w:hAnsi="Arial" w:cs="Arial"/>
          <w:spacing w:val="1"/>
          <w:sz w:val="20"/>
        </w:rPr>
        <w:t xml:space="preserve"> </w:t>
      </w:r>
      <w:r w:rsidRPr="00722524">
        <w:rPr>
          <w:rFonts w:ascii="Arial" w:hAnsi="Arial" w:cs="Arial"/>
          <w:sz w:val="20"/>
        </w:rPr>
        <w:t>accordance with point</w:t>
      </w:r>
      <w:r w:rsidRPr="00722524">
        <w:rPr>
          <w:rFonts w:ascii="Arial" w:hAnsi="Arial" w:cs="Arial"/>
          <w:spacing w:val="-2"/>
          <w:sz w:val="20"/>
        </w:rPr>
        <w:t xml:space="preserve"> </w:t>
      </w:r>
      <w:r w:rsidRPr="00722524">
        <w:rPr>
          <w:rFonts w:ascii="Arial" w:hAnsi="Arial" w:cs="Arial"/>
          <w:sz w:val="20"/>
        </w:rPr>
        <w:t>(c)(2) of point</w:t>
      </w:r>
      <w:r w:rsidRPr="004F0CE5">
        <w:rPr>
          <w:rFonts w:ascii="Arial" w:hAnsi="Arial" w:cs="Arial"/>
          <w:sz w:val="20"/>
        </w:rPr>
        <w:t xml:space="preserve"> ML.1</w:t>
      </w:r>
      <w:r w:rsidRPr="00722524">
        <w:rPr>
          <w:rFonts w:ascii="Arial" w:hAnsi="Arial" w:cs="Arial"/>
          <w:sz w:val="20"/>
        </w:rPr>
        <w:t>.;</w:t>
      </w:r>
    </w:p>
    <w:p w14:paraId="6B486F3D" w14:textId="77777777" w:rsidR="00722524" w:rsidRPr="00722524" w:rsidRDefault="00722524" w:rsidP="000D0180">
      <w:pPr>
        <w:pStyle w:val="ListParagraph"/>
        <w:numPr>
          <w:ilvl w:val="1"/>
          <w:numId w:val="285"/>
        </w:numPr>
        <w:tabs>
          <w:tab w:val="left" w:pos="1274"/>
        </w:tabs>
        <w:spacing w:before="122"/>
        <w:ind w:right="68" w:hanging="568"/>
        <w:jc w:val="both"/>
        <w:rPr>
          <w:rFonts w:ascii="Arial" w:hAnsi="Arial" w:cs="Arial"/>
          <w:sz w:val="20"/>
        </w:rPr>
      </w:pPr>
      <w:r w:rsidRPr="00722524">
        <w:rPr>
          <w:rFonts w:ascii="Arial" w:hAnsi="Arial" w:cs="Arial"/>
          <w:sz w:val="20"/>
        </w:rPr>
        <w:t>ensure</w:t>
      </w:r>
      <w:r w:rsidRPr="00722524">
        <w:rPr>
          <w:rFonts w:ascii="Arial" w:hAnsi="Arial" w:cs="Arial"/>
          <w:spacing w:val="-2"/>
          <w:sz w:val="20"/>
        </w:rPr>
        <w:t xml:space="preserve"> </w:t>
      </w:r>
      <w:r w:rsidRPr="00722524">
        <w:rPr>
          <w:rFonts w:ascii="Arial" w:hAnsi="Arial" w:cs="Arial"/>
          <w:sz w:val="20"/>
        </w:rPr>
        <w:t>that</w:t>
      </w:r>
      <w:r w:rsidRPr="00722524">
        <w:rPr>
          <w:rFonts w:ascii="Arial" w:hAnsi="Arial" w:cs="Arial"/>
          <w:spacing w:val="-4"/>
          <w:sz w:val="20"/>
        </w:rPr>
        <w:t xml:space="preserve"> </w:t>
      </w:r>
      <w:r w:rsidRPr="00722524">
        <w:rPr>
          <w:rFonts w:ascii="Arial" w:hAnsi="Arial" w:cs="Arial"/>
          <w:sz w:val="20"/>
        </w:rPr>
        <w:t>the</w:t>
      </w:r>
      <w:r w:rsidRPr="00722524">
        <w:rPr>
          <w:rFonts w:ascii="Arial" w:hAnsi="Arial" w:cs="Arial"/>
          <w:spacing w:val="-4"/>
          <w:sz w:val="20"/>
        </w:rPr>
        <w:t xml:space="preserve"> </w:t>
      </w:r>
      <w:r w:rsidRPr="00722524">
        <w:rPr>
          <w:rFonts w:ascii="Arial" w:hAnsi="Arial" w:cs="Arial"/>
          <w:sz w:val="20"/>
        </w:rPr>
        <w:t>requirements of</w:t>
      </w:r>
      <w:r w:rsidRPr="00722524">
        <w:rPr>
          <w:rFonts w:ascii="Arial" w:hAnsi="Arial" w:cs="Arial"/>
          <w:spacing w:val="-5"/>
          <w:sz w:val="20"/>
        </w:rPr>
        <w:t xml:space="preserve"> </w:t>
      </w:r>
      <w:r w:rsidRPr="00722524">
        <w:rPr>
          <w:rFonts w:ascii="Arial" w:hAnsi="Arial" w:cs="Arial"/>
          <w:sz w:val="20"/>
        </w:rPr>
        <w:t>point</w:t>
      </w:r>
      <w:r w:rsidRPr="00722524">
        <w:rPr>
          <w:rFonts w:ascii="Arial" w:hAnsi="Arial" w:cs="Arial"/>
          <w:spacing w:val="-3"/>
          <w:sz w:val="20"/>
        </w:rPr>
        <w:t xml:space="preserve"> </w:t>
      </w:r>
      <w:r w:rsidRPr="00722524">
        <w:rPr>
          <w:rFonts w:ascii="Arial" w:hAnsi="Arial" w:cs="Arial"/>
          <w:sz w:val="20"/>
        </w:rPr>
        <w:t>(a)</w:t>
      </w:r>
      <w:r w:rsidRPr="00722524">
        <w:rPr>
          <w:rFonts w:ascii="Arial" w:hAnsi="Arial" w:cs="Arial"/>
          <w:spacing w:val="-2"/>
          <w:sz w:val="20"/>
        </w:rPr>
        <w:t xml:space="preserve"> </w:t>
      </w:r>
      <w:r w:rsidRPr="00722524">
        <w:rPr>
          <w:rFonts w:ascii="Arial" w:hAnsi="Arial" w:cs="Arial"/>
          <w:sz w:val="20"/>
        </w:rPr>
        <w:t>are satisfied.</w:t>
      </w:r>
    </w:p>
    <w:p w14:paraId="54E06B73" w14:textId="77777777" w:rsidR="00722524" w:rsidRPr="00722524" w:rsidRDefault="00722524" w:rsidP="000D0180">
      <w:pPr>
        <w:pStyle w:val="ListParagraph"/>
        <w:numPr>
          <w:ilvl w:val="0"/>
          <w:numId w:val="285"/>
        </w:numPr>
        <w:tabs>
          <w:tab w:val="left" w:pos="707"/>
        </w:tabs>
        <w:spacing w:before="118"/>
        <w:ind w:right="68"/>
        <w:jc w:val="both"/>
        <w:rPr>
          <w:rFonts w:ascii="Arial" w:hAnsi="Arial" w:cs="Arial"/>
          <w:sz w:val="20"/>
        </w:rPr>
      </w:pPr>
      <w:r w:rsidRPr="00722524">
        <w:rPr>
          <w:rFonts w:ascii="Arial" w:hAnsi="Arial" w:cs="Arial"/>
          <w:sz w:val="20"/>
        </w:rPr>
        <w:t>For</w:t>
      </w:r>
      <w:r w:rsidRPr="00591BF4">
        <w:rPr>
          <w:rFonts w:ascii="Arial" w:hAnsi="Arial" w:cs="Arial"/>
          <w:sz w:val="20"/>
        </w:rPr>
        <w:t xml:space="preserve"> </w:t>
      </w:r>
      <w:r w:rsidRPr="00722524">
        <w:rPr>
          <w:rFonts w:ascii="Arial" w:hAnsi="Arial" w:cs="Arial"/>
          <w:sz w:val="20"/>
        </w:rPr>
        <w:t>aircraft</w:t>
      </w:r>
      <w:r w:rsidRPr="00591BF4">
        <w:rPr>
          <w:rFonts w:ascii="Arial" w:hAnsi="Arial" w:cs="Arial"/>
          <w:sz w:val="20"/>
        </w:rPr>
        <w:t xml:space="preserve"> </w:t>
      </w:r>
      <w:r w:rsidRPr="00722524">
        <w:rPr>
          <w:rFonts w:ascii="Arial" w:hAnsi="Arial" w:cs="Arial"/>
          <w:sz w:val="20"/>
        </w:rPr>
        <w:t>not</w:t>
      </w:r>
      <w:r w:rsidRPr="00591BF4">
        <w:rPr>
          <w:rFonts w:ascii="Arial" w:hAnsi="Arial" w:cs="Arial"/>
          <w:sz w:val="20"/>
        </w:rPr>
        <w:t xml:space="preserve"> </w:t>
      </w:r>
      <w:r w:rsidRPr="00722524">
        <w:rPr>
          <w:rFonts w:ascii="Arial" w:hAnsi="Arial" w:cs="Arial"/>
          <w:sz w:val="20"/>
        </w:rPr>
        <w:t>included</w:t>
      </w:r>
      <w:r w:rsidRPr="00591BF4">
        <w:rPr>
          <w:rFonts w:ascii="Arial" w:hAnsi="Arial" w:cs="Arial"/>
          <w:sz w:val="20"/>
        </w:rPr>
        <w:t xml:space="preserve"> </w:t>
      </w:r>
      <w:r w:rsidRPr="00722524">
        <w:rPr>
          <w:rFonts w:ascii="Arial" w:hAnsi="Arial" w:cs="Arial"/>
          <w:sz w:val="20"/>
        </w:rPr>
        <w:t>in</w:t>
      </w:r>
      <w:r w:rsidRPr="00591BF4">
        <w:rPr>
          <w:rFonts w:ascii="Arial" w:hAnsi="Arial" w:cs="Arial"/>
          <w:sz w:val="20"/>
        </w:rPr>
        <w:t xml:space="preserve"> </w:t>
      </w:r>
      <w:r w:rsidRPr="00722524">
        <w:rPr>
          <w:rFonts w:ascii="Arial" w:hAnsi="Arial" w:cs="Arial"/>
          <w:sz w:val="20"/>
        </w:rPr>
        <w:t>point</w:t>
      </w:r>
      <w:r w:rsidRPr="00591BF4">
        <w:rPr>
          <w:rFonts w:ascii="Arial" w:hAnsi="Arial" w:cs="Arial"/>
          <w:sz w:val="20"/>
        </w:rPr>
        <w:t xml:space="preserve"> </w:t>
      </w:r>
      <w:r w:rsidRPr="00722524">
        <w:rPr>
          <w:rFonts w:ascii="Arial" w:hAnsi="Arial" w:cs="Arial"/>
          <w:sz w:val="20"/>
        </w:rPr>
        <w:t>(e),</w:t>
      </w:r>
      <w:r w:rsidRPr="00591BF4">
        <w:rPr>
          <w:rFonts w:ascii="Arial" w:hAnsi="Arial" w:cs="Arial"/>
          <w:sz w:val="20"/>
        </w:rPr>
        <w:t xml:space="preserve"> </w:t>
      </w:r>
      <w:r w:rsidRPr="00722524">
        <w:rPr>
          <w:rFonts w:ascii="Arial" w:hAnsi="Arial" w:cs="Arial"/>
          <w:sz w:val="20"/>
        </w:rPr>
        <w:t>in</w:t>
      </w:r>
      <w:r w:rsidRPr="00591BF4">
        <w:rPr>
          <w:rFonts w:ascii="Arial" w:hAnsi="Arial" w:cs="Arial"/>
          <w:sz w:val="20"/>
        </w:rPr>
        <w:t xml:space="preserve"> </w:t>
      </w:r>
      <w:r w:rsidRPr="00722524">
        <w:rPr>
          <w:rFonts w:ascii="Arial" w:hAnsi="Arial" w:cs="Arial"/>
          <w:sz w:val="20"/>
        </w:rPr>
        <w:t>order</w:t>
      </w:r>
      <w:r w:rsidRPr="00591BF4">
        <w:rPr>
          <w:rFonts w:ascii="Arial" w:hAnsi="Arial" w:cs="Arial"/>
          <w:sz w:val="20"/>
        </w:rPr>
        <w:t xml:space="preserve"> </w:t>
      </w:r>
      <w:r w:rsidRPr="00722524">
        <w:rPr>
          <w:rFonts w:ascii="Arial" w:hAnsi="Arial" w:cs="Arial"/>
          <w:sz w:val="20"/>
        </w:rPr>
        <w:t>to</w:t>
      </w:r>
      <w:r w:rsidRPr="00591BF4">
        <w:rPr>
          <w:rFonts w:ascii="Arial" w:hAnsi="Arial" w:cs="Arial"/>
          <w:sz w:val="20"/>
        </w:rPr>
        <w:t xml:space="preserve"> </w:t>
      </w:r>
      <w:r w:rsidRPr="00722524">
        <w:rPr>
          <w:rFonts w:ascii="Arial" w:hAnsi="Arial" w:cs="Arial"/>
          <w:sz w:val="20"/>
        </w:rPr>
        <w:t>satisfy</w:t>
      </w:r>
      <w:r w:rsidRPr="00591BF4">
        <w:rPr>
          <w:rFonts w:ascii="Arial" w:hAnsi="Arial" w:cs="Arial"/>
          <w:sz w:val="20"/>
        </w:rPr>
        <w:t xml:space="preserve"> </w:t>
      </w:r>
      <w:r w:rsidRPr="00722524">
        <w:rPr>
          <w:rFonts w:ascii="Arial" w:hAnsi="Arial" w:cs="Arial"/>
          <w:sz w:val="20"/>
        </w:rPr>
        <w:t>the</w:t>
      </w:r>
      <w:r w:rsidRPr="00591BF4">
        <w:rPr>
          <w:rFonts w:ascii="Arial" w:hAnsi="Arial" w:cs="Arial"/>
          <w:sz w:val="20"/>
        </w:rPr>
        <w:t xml:space="preserve"> </w:t>
      </w:r>
      <w:r w:rsidRPr="00722524">
        <w:rPr>
          <w:rFonts w:ascii="Arial" w:hAnsi="Arial" w:cs="Arial"/>
          <w:sz w:val="20"/>
        </w:rPr>
        <w:t>requirements</w:t>
      </w:r>
      <w:r w:rsidRPr="00591BF4">
        <w:rPr>
          <w:rFonts w:ascii="Arial" w:hAnsi="Arial" w:cs="Arial"/>
          <w:sz w:val="20"/>
        </w:rPr>
        <w:t xml:space="preserve"> </w:t>
      </w:r>
      <w:r w:rsidRPr="00722524">
        <w:rPr>
          <w:rFonts w:ascii="Arial" w:hAnsi="Arial" w:cs="Arial"/>
          <w:sz w:val="20"/>
        </w:rPr>
        <w:t>of</w:t>
      </w:r>
      <w:r w:rsidRPr="00591BF4">
        <w:rPr>
          <w:rFonts w:ascii="Arial" w:hAnsi="Arial" w:cs="Arial"/>
          <w:sz w:val="20"/>
        </w:rPr>
        <w:t xml:space="preserve"> </w:t>
      </w:r>
      <w:r w:rsidRPr="00722524">
        <w:rPr>
          <w:rFonts w:ascii="Arial" w:hAnsi="Arial" w:cs="Arial"/>
          <w:sz w:val="20"/>
        </w:rPr>
        <w:t>point</w:t>
      </w:r>
      <w:r w:rsidRPr="00591BF4">
        <w:rPr>
          <w:rFonts w:ascii="Arial" w:hAnsi="Arial" w:cs="Arial"/>
          <w:sz w:val="20"/>
        </w:rPr>
        <w:t xml:space="preserve"> </w:t>
      </w:r>
      <w:r w:rsidRPr="00722524">
        <w:rPr>
          <w:rFonts w:ascii="Arial" w:hAnsi="Arial" w:cs="Arial"/>
          <w:sz w:val="20"/>
        </w:rPr>
        <w:t>(a),</w:t>
      </w:r>
      <w:r w:rsidRPr="00591BF4">
        <w:rPr>
          <w:rFonts w:ascii="Arial" w:hAnsi="Arial" w:cs="Arial"/>
          <w:sz w:val="20"/>
        </w:rPr>
        <w:t xml:space="preserve"> </w:t>
      </w:r>
      <w:r w:rsidRPr="00722524">
        <w:rPr>
          <w:rFonts w:ascii="Arial" w:hAnsi="Arial" w:cs="Arial"/>
          <w:sz w:val="20"/>
        </w:rPr>
        <w:t>the</w:t>
      </w:r>
      <w:r w:rsidRPr="00591BF4">
        <w:rPr>
          <w:rFonts w:ascii="Arial" w:hAnsi="Arial" w:cs="Arial"/>
          <w:sz w:val="20"/>
        </w:rPr>
        <w:t xml:space="preserve"> </w:t>
      </w:r>
      <w:r w:rsidRPr="00722524">
        <w:rPr>
          <w:rFonts w:ascii="Arial" w:hAnsi="Arial" w:cs="Arial"/>
          <w:sz w:val="20"/>
        </w:rPr>
        <w:t>owner</w:t>
      </w:r>
      <w:r w:rsidRPr="00591BF4">
        <w:rPr>
          <w:rFonts w:ascii="Arial" w:hAnsi="Arial" w:cs="Arial"/>
          <w:sz w:val="20"/>
        </w:rPr>
        <w:t xml:space="preserve"> </w:t>
      </w:r>
      <w:r w:rsidRPr="00722524">
        <w:rPr>
          <w:rFonts w:ascii="Arial" w:hAnsi="Arial" w:cs="Arial"/>
          <w:sz w:val="20"/>
        </w:rPr>
        <w:t>of</w:t>
      </w:r>
      <w:r w:rsidRPr="00591BF4">
        <w:rPr>
          <w:rFonts w:ascii="Arial" w:hAnsi="Arial" w:cs="Arial"/>
          <w:sz w:val="20"/>
        </w:rPr>
        <w:t xml:space="preserve"> </w:t>
      </w:r>
      <w:r w:rsidRPr="00722524">
        <w:rPr>
          <w:rFonts w:ascii="Arial" w:hAnsi="Arial" w:cs="Arial"/>
          <w:sz w:val="20"/>
        </w:rPr>
        <w:t>the</w:t>
      </w:r>
      <w:r w:rsidRPr="00591BF4">
        <w:rPr>
          <w:rFonts w:ascii="Arial" w:hAnsi="Arial" w:cs="Arial"/>
          <w:sz w:val="20"/>
        </w:rPr>
        <w:t xml:space="preserve"> </w:t>
      </w:r>
      <w:r w:rsidRPr="00722524">
        <w:rPr>
          <w:rFonts w:ascii="Arial" w:hAnsi="Arial" w:cs="Arial"/>
          <w:sz w:val="20"/>
        </w:rPr>
        <w:t>aircraft</w:t>
      </w:r>
      <w:r w:rsidRPr="00591BF4">
        <w:rPr>
          <w:rFonts w:ascii="Arial" w:hAnsi="Arial" w:cs="Arial"/>
          <w:sz w:val="20"/>
        </w:rPr>
        <w:t xml:space="preserve"> </w:t>
      </w:r>
      <w:r w:rsidRPr="00722524">
        <w:rPr>
          <w:rFonts w:ascii="Arial" w:hAnsi="Arial" w:cs="Arial"/>
          <w:sz w:val="20"/>
        </w:rPr>
        <w:t>may</w:t>
      </w:r>
      <w:r w:rsidRPr="00591BF4">
        <w:rPr>
          <w:rFonts w:ascii="Arial" w:hAnsi="Arial" w:cs="Arial"/>
          <w:sz w:val="20"/>
        </w:rPr>
        <w:t xml:space="preserve"> </w:t>
      </w:r>
      <w:r w:rsidRPr="00722524">
        <w:rPr>
          <w:rFonts w:ascii="Arial" w:hAnsi="Arial" w:cs="Arial"/>
          <w:sz w:val="20"/>
        </w:rPr>
        <w:t>contract</w:t>
      </w:r>
      <w:r w:rsidRPr="00591BF4">
        <w:rPr>
          <w:rFonts w:ascii="Arial" w:hAnsi="Arial" w:cs="Arial"/>
          <w:sz w:val="20"/>
        </w:rPr>
        <w:t xml:space="preserve"> </w:t>
      </w:r>
      <w:r w:rsidRPr="00722524">
        <w:rPr>
          <w:rFonts w:ascii="Arial" w:hAnsi="Arial" w:cs="Arial"/>
          <w:sz w:val="20"/>
        </w:rPr>
        <w:t>the</w:t>
      </w:r>
      <w:r w:rsidRPr="00591BF4">
        <w:rPr>
          <w:rFonts w:ascii="Arial" w:hAnsi="Arial" w:cs="Arial"/>
          <w:sz w:val="20"/>
        </w:rPr>
        <w:t xml:space="preserve"> </w:t>
      </w:r>
      <w:r w:rsidRPr="00722524">
        <w:rPr>
          <w:rFonts w:ascii="Arial" w:hAnsi="Arial" w:cs="Arial"/>
          <w:sz w:val="20"/>
        </w:rPr>
        <w:t>tasks</w:t>
      </w:r>
      <w:r w:rsidRPr="00591BF4">
        <w:rPr>
          <w:rFonts w:ascii="Arial" w:hAnsi="Arial" w:cs="Arial"/>
          <w:sz w:val="20"/>
        </w:rPr>
        <w:t xml:space="preserve"> </w:t>
      </w:r>
      <w:r w:rsidRPr="00722524">
        <w:rPr>
          <w:rFonts w:ascii="Arial" w:hAnsi="Arial" w:cs="Arial"/>
          <w:sz w:val="20"/>
        </w:rPr>
        <w:t>associated</w:t>
      </w:r>
      <w:r w:rsidRPr="00591BF4">
        <w:rPr>
          <w:rFonts w:ascii="Arial" w:hAnsi="Arial" w:cs="Arial"/>
          <w:sz w:val="20"/>
        </w:rPr>
        <w:t xml:space="preserve"> </w:t>
      </w:r>
      <w:r w:rsidRPr="00722524">
        <w:rPr>
          <w:rFonts w:ascii="Arial" w:hAnsi="Arial" w:cs="Arial"/>
          <w:sz w:val="20"/>
        </w:rPr>
        <w:t>with</w:t>
      </w:r>
      <w:r w:rsidRPr="00591BF4">
        <w:rPr>
          <w:rFonts w:ascii="Arial" w:hAnsi="Arial" w:cs="Arial"/>
          <w:sz w:val="20"/>
        </w:rPr>
        <w:t xml:space="preserve"> </w:t>
      </w:r>
      <w:r w:rsidRPr="00722524">
        <w:rPr>
          <w:rFonts w:ascii="Arial" w:hAnsi="Arial" w:cs="Arial"/>
          <w:sz w:val="20"/>
        </w:rPr>
        <w:t>continuing</w:t>
      </w:r>
      <w:r w:rsidRPr="00591BF4">
        <w:rPr>
          <w:rFonts w:ascii="Arial" w:hAnsi="Arial" w:cs="Arial"/>
          <w:sz w:val="20"/>
        </w:rPr>
        <w:t xml:space="preserve"> </w:t>
      </w:r>
      <w:r w:rsidRPr="00722524">
        <w:rPr>
          <w:rFonts w:ascii="Arial" w:hAnsi="Arial" w:cs="Arial"/>
          <w:sz w:val="20"/>
        </w:rPr>
        <w:t>airworthiness</w:t>
      </w:r>
      <w:r w:rsidRPr="00591BF4">
        <w:rPr>
          <w:rFonts w:ascii="Arial" w:hAnsi="Arial" w:cs="Arial"/>
          <w:sz w:val="20"/>
        </w:rPr>
        <w:t xml:space="preserve"> </w:t>
      </w:r>
      <w:r w:rsidRPr="00722524">
        <w:rPr>
          <w:rFonts w:ascii="Arial" w:hAnsi="Arial" w:cs="Arial"/>
          <w:sz w:val="20"/>
        </w:rPr>
        <w:t>management</w:t>
      </w:r>
      <w:r w:rsidRPr="00591BF4">
        <w:rPr>
          <w:rFonts w:ascii="Arial" w:hAnsi="Arial" w:cs="Arial"/>
          <w:sz w:val="20"/>
        </w:rPr>
        <w:t xml:space="preserve"> </w:t>
      </w:r>
      <w:r w:rsidRPr="00722524">
        <w:rPr>
          <w:rFonts w:ascii="Arial" w:hAnsi="Arial" w:cs="Arial"/>
          <w:sz w:val="20"/>
        </w:rPr>
        <w:t>to</w:t>
      </w:r>
      <w:r w:rsidRPr="00591BF4">
        <w:rPr>
          <w:rFonts w:ascii="Arial" w:hAnsi="Arial" w:cs="Arial"/>
          <w:sz w:val="20"/>
        </w:rPr>
        <w:t xml:space="preserve"> </w:t>
      </w:r>
      <w:r w:rsidRPr="00722524">
        <w:rPr>
          <w:rFonts w:ascii="Arial" w:hAnsi="Arial" w:cs="Arial"/>
          <w:sz w:val="20"/>
        </w:rPr>
        <w:t>an</w:t>
      </w:r>
      <w:r w:rsidRPr="00591BF4">
        <w:rPr>
          <w:rFonts w:ascii="Arial" w:hAnsi="Arial" w:cs="Arial"/>
          <w:sz w:val="20"/>
        </w:rPr>
        <w:t xml:space="preserve"> </w:t>
      </w:r>
      <w:r w:rsidRPr="00722524">
        <w:rPr>
          <w:rFonts w:ascii="Arial" w:hAnsi="Arial" w:cs="Arial"/>
          <w:sz w:val="20"/>
        </w:rPr>
        <w:t>organisation</w:t>
      </w:r>
      <w:r w:rsidRPr="00591BF4">
        <w:rPr>
          <w:rFonts w:ascii="Arial" w:hAnsi="Arial" w:cs="Arial"/>
          <w:sz w:val="20"/>
        </w:rPr>
        <w:t xml:space="preserve"> </w:t>
      </w:r>
      <w:r w:rsidRPr="00722524">
        <w:rPr>
          <w:rFonts w:ascii="Arial" w:hAnsi="Arial" w:cs="Arial"/>
          <w:sz w:val="20"/>
        </w:rPr>
        <w:t>approved</w:t>
      </w:r>
      <w:r w:rsidRPr="00591BF4">
        <w:rPr>
          <w:rFonts w:ascii="Arial" w:hAnsi="Arial" w:cs="Arial"/>
          <w:sz w:val="20"/>
        </w:rPr>
        <w:t xml:space="preserve"> </w:t>
      </w:r>
      <w:r w:rsidRPr="00722524">
        <w:rPr>
          <w:rFonts w:ascii="Arial" w:hAnsi="Arial" w:cs="Arial"/>
          <w:sz w:val="20"/>
        </w:rPr>
        <w:t>as</w:t>
      </w:r>
      <w:r w:rsidRPr="00591BF4">
        <w:rPr>
          <w:rFonts w:ascii="Arial" w:hAnsi="Arial" w:cs="Arial"/>
          <w:sz w:val="20"/>
        </w:rPr>
        <w:t xml:space="preserve"> </w:t>
      </w:r>
      <w:r w:rsidRPr="00722524">
        <w:rPr>
          <w:rFonts w:ascii="Arial" w:hAnsi="Arial" w:cs="Arial"/>
          <w:sz w:val="20"/>
        </w:rPr>
        <w:t>a</w:t>
      </w:r>
      <w:r w:rsidRPr="00591BF4">
        <w:rPr>
          <w:rFonts w:ascii="Arial" w:hAnsi="Arial" w:cs="Arial"/>
          <w:sz w:val="20"/>
        </w:rPr>
        <w:t xml:space="preserve"> </w:t>
      </w:r>
      <w:r w:rsidRPr="00722524">
        <w:rPr>
          <w:rFonts w:ascii="Arial" w:hAnsi="Arial" w:cs="Arial"/>
          <w:sz w:val="20"/>
        </w:rPr>
        <w:t>CAMO or</w:t>
      </w:r>
      <w:r w:rsidRPr="00591BF4">
        <w:rPr>
          <w:rFonts w:ascii="Arial" w:hAnsi="Arial" w:cs="Arial"/>
          <w:sz w:val="20"/>
        </w:rPr>
        <w:t xml:space="preserve"> </w:t>
      </w:r>
      <w:r w:rsidRPr="00722524">
        <w:rPr>
          <w:rFonts w:ascii="Arial" w:hAnsi="Arial" w:cs="Arial"/>
          <w:sz w:val="20"/>
        </w:rPr>
        <w:t>CAO</w:t>
      </w:r>
      <w:r w:rsidRPr="00591BF4">
        <w:rPr>
          <w:rFonts w:ascii="Arial" w:hAnsi="Arial" w:cs="Arial"/>
          <w:sz w:val="20"/>
        </w:rPr>
        <w:t xml:space="preserve"> </w:t>
      </w:r>
      <w:r w:rsidRPr="00722524">
        <w:rPr>
          <w:rFonts w:ascii="Arial" w:hAnsi="Arial" w:cs="Arial"/>
          <w:sz w:val="20"/>
        </w:rPr>
        <w:t>in accordance</w:t>
      </w:r>
      <w:r w:rsidRPr="00591BF4">
        <w:rPr>
          <w:rFonts w:ascii="Arial" w:hAnsi="Arial" w:cs="Arial"/>
          <w:sz w:val="20"/>
        </w:rPr>
        <w:t xml:space="preserve"> </w:t>
      </w:r>
      <w:r w:rsidRPr="00722524">
        <w:rPr>
          <w:rFonts w:ascii="Arial" w:hAnsi="Arial" w:cs="Arial"/>
          <w:sz w:val="20"/>
        </w:rPr>
        <w:t>with</w:t>
      </w:r>
      <w:r w:rsidRPr="00591BF4">
        <w:rPr>
          <w:rFonts w:ascii="Arial" w:hAnsi="Arial" w:cs="Arial"/>
          <w:sz w:val="20"/>
        </w:rPr>
        <w:t xml:space="preserve"> </w:t>
      </w:r>
      <w:r w:rsidRPr="00722524">
        <w:rPr>
          <w:rFonts w:ascii="Arial" w:hAnsi="Arial" w:cs="Arial"/>
          <w:sz w:val="20"/>
        </w:rPr>
        <w:t>Annex Vc (Part-CAMO),</w:t>
      </w:r>
      <w:r w:rsidRPr="00591BF4">
        <w:rPr>
          <w:rFonts w:ascii="Arial" w:hAnsi="Arial" w:cs="Arial"/>
          <w:sz w:val="20"/>
        </w:rPr>
        <w:t xml:space="preserve"> </w:t>
      </w:r>
      <w:r w:rsidRPr="00722524">
        <w:rPr>
          <w:rFonts w:ascii="Arial" w:hAnsi="Arial" w:cs="Arial"/>
          <w:sz w:val="20"/>
        </w:rPr>
        <w:t>Subpart</w:t>
      </w:r>
      <w:r w:rsidRPr="00591BF4">
        <w:rPr>
          <w:rFonts w:ascii="Arial" w:hAnsi="Arial" w:cs="Arial"/>
          <w:sz w:val="20"/>
        </w:rPr>
        <w:t xml:space="preserve"> </w:t>
      </w:r>
      <w:r w:rsidRPr="00722524">
        <w:rPr>
          <w:rFonts w:ascii="Arial" w:hAnsi="Arial" w:cs="Arial"/>
          <w:sz w:val="20"/>
        </w:rPr>
        <w:t>G</w:t>
      </w:r>
      <w:r w:rsidRPr="00591BF4">
        <w:rPr>
          <w:rFonts w:ascii="Arial" w:hAnsi="Arial" w:cs="Arial"/>
          <w:sz w:val="20"/>
        </w:rPr>
        <w:t xml:space="preserve"> </w:t>
      </w:r>
      <w:r w:rsidRPr="00722524">
        <w:rPr>
          <w:rFonts w:ascii="Arial" w:hAnsi="Arial" w:cs="Arial"/>
          <w:sz w:val="20"/>
        </w:rPr>
        <w:t>of</w:t>
      </w:r>
      <w:r w:rsidRPr="00591BF4">
        <w:rPr>
          <w:rFonts w:ascii="Arial" w:hAnsi="Arial" w:cs="Arial"/>
          <w:sz w:val="20"/>
        </w:rPr>
        <w:t xml:space="preserve"> </w:t>
      </w:r>
      <w:r w:rsidRPr="00722524">
        <w:rPr>
          <w:rFonts w:ascii="Arial" w:hAnsi="Arial" w:cs="Arial"/>
          <w:sz w:val="20"/>
        </w:rPr>
        <w:t>Annex</w:t>
      </w:r>
      <w:r w:rsidRPr="00591BF4">
        <w:rPr>
          <w:rFonts w:ascii="Arial" w:hAnsi="Arial" w:cs="Arial"/>
          <w:sz w:val="20"/>
        </w:rPr>
        <w:t xml:space="preserve"> </w:t>
      </w:r>
      <w:r w:rsidRPr="00722524">
        <w:rPr>
          <w:rFonts w:ascii="Arial" w:hAnsi="Arial" w:cs="Arial"/>
          <w:sz w:val="20"/>
        </w:rPr>
        <w:t>I</w:t>
      </w:r>
      <w:r w:rsidRPr="00591BF4">
        <w:rPr>
          <w:rFonts w:ascii="Arial" w:hAnsi="Arial" w:cs="Arial"/>
          <w:sz w:val="20"/>
        </w:rPr>
        <w:t xml:space="preserve"> </w:t>
      </w:r>
      <w:r w:rsidRPr="00722524">
        <w:rPr>
          <w:rFonts w:ascii="Arial" w:hAnsi="Arial" w:cs="Arial"/>
          <w:sz w:val="20"/>
        </w:rPr>
        <w:t>(Part-M)</w:t>
      </w:r>
      <w:r w:rsidRPr="00591BF4">
        <w:rPr>
          <w:rFonts w:ascii="Arial" w:hAnsi="Arial" w:cs="Arial"/>
          <w:sz w:val="20"/>
        </w:rPr>
        <w:t xml:space="preserve"> </w:t>
      </w:r>
      <w:r w:rsidRPr="00722524">
        <w:rPr>
          <w:rFonts w:ascii="Arial" w:hAnsi="Arial" w:cs="Arial"/>
          <w:sz w:val="20"/>
        </w:rPr>
        <w:t>or</w:t>
      </w:r>
      <w:r w:rsidRPr="00591BF4">
        <w:rPr>
          <w:rFonts w:ascii="Arial" w:hAnsi="Arial" w:cs="Arial"/>
          <w:sz w:val="20"/>
        </w:rPr>
        <w:t xml:space="preserve"> </w:t>
      </w:r>
      <w:r w:rsidRPr="00722524">
        <w:rPr>
          <w:rFonts w:ascii="Arial" w:hAnsi="Arial" w:cs="Arial"/>
          <w:sz w:val="20"/>
        </w:rPr>
        <w:t>Annex</w:t>
      </w:r>
      <w:r w:rsidRPr="00591BF4">
        <w:rPr>
          <w:rFonts w:ascii="Arial" w:hAnsi="Arial" w:cs="Arial"/>
          <w:sz w:val="20"/>
        </w:rPr>
        <w:t xml:space="preserve"> </w:t>
      </w:r>
      <w:r w:rsidRPr="00722524">
        <w:rPr>
          <w:rFonts w:ascii="Arial" w:hAnsi="Arial" w:cs="Arial"/>
          <w:sz w:val="20"/>
        </w:rPr>
        <w:t>Vd</w:t>
      </w:r>
      <w:r w:rsidRPr="00591BF4">
        <w:rPr>
          <w:rFonts w:ascii="Arial" w:hAnsi="Arial" w:cs="Arial"/>
          <w:sz w:val="20"/>
        </w:rPr>
        <w:t xml:space="preserve"> </w:t>
      </w:r>
      <w:r w:rsidRPr="00722524">
        <w:rPr>
          <w:rFonts w:ascii="Arial" w:hAnsi="Arial" w:cs="Arial"/>
          <w:sz w:val="20"/>
        </w:rPr>
        <w:t>(Part-CAO).</w:t>
      </w:r>
      <w:r w:rsidRPr="00591BF4">
        <w:rPr>
          <w:rFonts w:ascii="Arial" w:hAnsi="Arial" w:cs="Arial"/>
          <w:sz w:val="20"/>
        </w:rPr>
        <w:t xml:space="preserve"> </w:t>
      </w:r>
      <w:r w:rsidRPr="00722524">
        <w:rPr>
          <w:rFonts w:ascii="Arial" w:hAnsi="Arial" w:cs="Arial"/>
          <w:sz w:val="20"/>
        </w:rPr>
        <w:t>In</w:t>
      </w:r>
      <w:r w:rsidRPr="00591BF4">
        <w:rPr>
          <w:rFonts w:ascii="Arial" w:hAnsi="Arial" w:cs="Arial"/>
          <w:sz w:val="20"/>
        </w:rPr>
        <w:t xml:space="preserve"> </w:t>
      </w:r>
      <w:r w:rsidRPr="00722524">
        <w:rPr>
          <w:rFonts w:ascii="Arial" w:hAnsi="Arial" w:cs="Arial"/>
          <w:sz w:val="20"/>
        </w:rPr>
        <w:t>that</w:t>
      </w:r>
      <w:r w:rsidRPr="00591BF4">
        <w:rPr>
          <w:rFonts w:ascii="Arial" w:hAnsi="Arial" w:cs="Arial"/>
          <w:sz w:val="20"/>
        </w:rPr>
        <w:t xml:space="preserve"> </w:t>
      </w:r>
      <w:r w:rsidRPr="00722524">
        <w:rPr>
          <w:rFonts w:ascii="Arial" w:hAnsi="Arial" w:cs="Arial"/>
          <w:sz w:val="20"/>
        </w:rPr>
        <w:t>case,</w:t>
      </w:r>
      <w:r w:rsidRPr="00591BF4">
        <w:rPr>
          <w:rFonts w:ascii="Arial" w:hAnsi="Arial" w:cs="Arial"/>
          <w:sz w:val="20"/>
        </w:rPr>
        <w:t xml:space="preserve"> </w:t>
      </w:r>
      <w:r w:rsidRPr="00722524">
        <w:rPr>
          <w:rFonts w:ascii="Arial" w:hAnsi="Arial" w:cs="Arial"/>
          <w:sz w:val="20"/>
        </w:rPr>
        <w:t>the</w:t>
      </w:r>
      <w:r w:rsidRPr="00591BF4">
        <w:rPr>
          <w:rFonts w:ascii="Arial" w:hAnsi="Arial" w:cs="Arial"/>
          <w:sz w:val="20"/>
        </w:rPr>
        <w:t xml:space="preserve"> </w:t>
      </w:r>
      <w:r w:rsidRPr="00722524">
        <w:rPr>
          <w:rFonts w:ascii="Arial" w:hAnsi="Arial" w:cs="Arial"/>
          <w:sz w:val="20"/>
        </w:rPr>
        <w:t>contracted</w:t>
      </w:r>
      <w:r w:rsidRPr="00591BF4">
        <w:rPr>
          <w:rFonts w:ascii="Arial" w:hAnsi="Arial" w:cs="Arial"/>
          <w:sz w:val="20"/>
        </w:rPr>
        <w:t xml:space="preserve"> </w:t>
      </w:r>
      <w:r w:rsidRPr="00722524">
        <w:rPr>
          <w:rFonts w:ascii="Arial" w:hAnsi="Arial" w:cs="Arial"/>
          <w:sz w:val="20"/>
        </w:rPr>
        <w:t>organisation</w:t>
      </w:r>
      <w:r w:rsidRPr="00591BF4">
        <w:rPr>
          <w:rFonts w:ascii="Arial" w:hAnsi="Arial" w:cs="Arial"/>
          <w:sz w:val="20"/>
        </w:rPr>
        <w:t xml:space="preserve"> </w:t>
      </w:r>
      <w:r w:rsidRPr="00722524">
        <w:rPr>
          <w:rFonts w:ascii="Arial" w:hAnsi="Arial" w:cs="Arial"/>
          <w:sz w:val="20"/>
        </w:rPr>
        <w:t>shall assume responsibility for the proper performance of those tasks and a written contract</w:t>
      </w:r>
      <w:r w:rsidRPr="00591BF4">
        <w:rPr>
          <w:rFonts w:ascii="Arial" w:hAnsi="Arial" w:cs="Arial"/>
          <w:sz w:val="20"/>
        </w:rPr>
        <w:t xml:space="preserve"> </w:t>
      </w:r>
      <w:r w:rsidRPr="00722524">
        <w:rPr>
          <w:rFonts w:ascii="Arial" w:hAnsi="Arial" w:cs="Arial"/>
          <w:sz w:val="20"/>
        </w:rPr>
        <w:t>shall</w:t>
      </w:r>
      <w:r w:rsidRPr="00591BF4">
        <w:rPr>
          <w:rFonts w:ascii="Arial" w:hAnsi="Arial" w:cs="Arial"/>
          <w:sz w:val="20"/>
        </w:rPr>
        <w:t xml:space="preserve"> </w:t>
      </w:r>
      <w:r w:rsidRPr="00722524">
        <w:rPr>
          <w:rFonts w:ascii="Arial" w:hAnsi="Arial" w:cs="Arial"/>
          <w:sz w:val="20"/>
        </w:rPr>
        <w:t>be</w:t>
      </w:r>
      <w:r w:rsidRPr="00591BF4">
        <w:rPr>
          <w:rFonts w:ascii="Arial" w:hAnsi="Arial" w:cs="Arial"/>
          <w:sz w:val="20"/>
        </w:rPr>
        <w:t xml:space="preserve"> </w:t>
      </w:r>
      <w:r w:rsidRPr="00722524">
        <w:rPr>
          <w:rFonts w:ascii="Arial" w:hAnsi="Arial" w:cs="Arial"/>
          <w:sz w:val="20"/>
        </w:rPr>
        <w:t>concluded in</w:t>
      </w:r>
      <w:r w:rsidRPr="00591BF4">
        <w:rPr>
          <w:rFonts w:ascii="Arial" w:hAnsi="Arial" w:cs="Arial"/>
          <w:sz w:val="20"/>
        </w:rPr>
        <w:t xml:space="preserve"> </w:t>
      </w:r>
      <w:r w:rsidRPr="00722524">
        <w:rPr>
          <w:rFonts w:ascii="Arial" w:hAnsi="Arial" w:cs="Arial"/>
          <w:sz w:val="20"/>
        </w:rPr>
        <w:t>accordance</w:t>
      </w:r>
      <w:r w:rsidRPr="00591BF4">
        <w:rPr>
          <w:rFonts w:ascii="Arial" w:hAnsi="Arial" w:cs="Arial"/>
          <w:sz w:val="20"/>
        </w:rPr>
        <w:t xml:space="preserve"> </w:t>
      </w:r>
      <w:r w:rsidRPr="00722524">
        <w:rPr>
          <w:rFonts w:ascii="Arial" w:hAnsi="Arial" w:cs="Arial"/>
          <w:sz w:val="20"/>
        </w:rPr>
        <w:t>with</w:t>
      </w:r>
      <w:r w:rsidRPr="00591BF4">
        <w:rPr>
          <w:rFonts w:ascii="Arial" w:hAnsi="Arial" w:cs="Arial"/>
          <w:sz w:val="20"/>
        </w:rPr>
        <w:t xml:space="preserve"> </w:t>
      </w:r>
      <w:r w:rsidRPr="00722524">
        <w:rPr>
          <w:rFonts w:ascii="Arial" w:hAnsi="Arial" w:cs="Arial"/>
          <w:sz w:val="20"/>
        </w:rPr>
        <w:t>Appendix</w:t>
      </w:r>
      <w:r w:rsidRPr="00591BF4">
        <w:rPr>
          <w:rFonts w:ascii="Arial" w:hAnsi="Arial" w:cs="Arial"/>
          <w:sz w:val="20"/>
        </w:rPr>
        <w:t xml:space="preserve"> </w:t>
      </w:r>
      <w:r w:rsidRPr="00722524">
        <w:rPr>
          <w:rFonts w:ascii="Arial" w:hAnsi="Arial" w:cs="Arial"/>
          <w:sz w:val="20"/>
        </w:rPr>
        <w:t>I</w:t>
      </w:r>
      <w:r w:rsidRPr="00591BF4">
        <w:rPr>
          <w:rFonts w:ascii="Arial" w:hAnsi="Arial" w:cs="Arial"/>
          <w:sz w:val="20"/>
        </w:rPr>
        <w:t xml:space="preserve"> </w:t>
      </w:r>
      <w:r w:rsidRPr="00722524">
        <w:rPr>
          <w:rFonts w:ascii="Arial" w:hAnsi="Arial" w:cs="Arial"/>
          <w:sz w:val="20"/>
        </w:rPr>
        <w:t>to</w:t>
      </w:r>
      <w:r w:rsidRPr="00591BF4">
        <w:rPr>
          <w:rFonts w:ascii="Arial" w:hAnsi="Arial" w:cs="Arial"/>
          <w:sz w:val="20"/>
        </w:rPr>
        <w:t xml:space="preserve"> </w:t>
      </w:r>
      <w:r w:rsidRPr="00722524">
        <w:rPr>
          <w:rFonts w:ascii="Arial" w:hAnsi="Arial" w:cs="Arial"/>
          <w:sz w:val="20"/>
        </w:rPr>
        <w:t>this</w:t>
      </w:r>
      <w:r w:rsidRPr="00591BF4">
        <w:rPr>
          <w:rFonts w:ascii="Arial" w:hAnsi="Arial" w:cs="Arial"/>
          <w:sz w:val="20"/>
        </w:rPr>
        <w:t xml:space="preserve"> </w:t>
      </w:r>
      <w:r w:rsidRPr="00722524">
        <w:rPr>
          <w:rFonts w:ascii="Arial" w:hAnsi="Arial" w:cs="Arial"/>
          <w:sz w:val="20"/>
        </w:rPr>
        <w:t>Annex.</w:t>
      </w:r>
      <w:r w:rsidRPr="00591BF4">
        <w:rPr>
          <w:rFonts w:ascii="Arial" w:hAnsi="Arial" w:cs="Arial"/>
          <w:sz w:val="20"/>
        </w:rPr>
        <w:t xml:space="preserve"> </w:t>
      </w:r>
      <w:r w:rsidRPr="00722524">
        <w:rPr>
          <w:rFonts w:ascii="Arial" w:hAnsi="Arial" w:cs="Arial"/>
          <w:sz w:val="20"/>
        </w:rPr>
        <w:t>If the</w:t>
      </w:r>
      <w:r w:rsidRPr="00591BF4">
        <w:rPr>
          <w:rFonts w:ascii="Arial" w:hAnsi="Arial" w:cs="Arial"/>
          <w:sz w:val="20"/>
        </w:rPr>
        <w:t xml:space="preserve"> </w:t>
      </w:r>
      <w:r w:rsidRPr="00722524">
        <w:rPr>
          <w:rFonts w:ascii="Arial" w:hAnsi="Arial" w:cs="Arial"/>
          <w:sz w:val="20"/>
        </w:rPr>
        <w:t>owner does not</w:t>
      </w:r>
      <w:r w:rsidRPr="00591BF4">
        <w:rPr>
          <w:rFonts w:ascii="Arial" w:hAnsi="Arial" w:cs="Arial"/>
          <w:sz w:val="20"/>
        </w:rPr>
        <w:t xml:space="preserve"> </w:t>
      </w:r>
      <w:r w:rsidRPr="00722524">
        <w:rPr>
          <w:rFonts w:ascii="Arial" w:hAnsi="Arial" w:cs="Arial"/>
          <w:sz w:val="20"/>
        </w:rPr>
        <w:t>contract such</w:t>
      </w:r>
      <w:r w:rsidRPr="00591BF4">
        <w:rPr>
          <w:rFonts w:ascii="Arial" w:hAnsi="Arial" w:cs="Arial"/>
          <w:sz w:val="20"/>
        </w:rPr>
        <w:t xml:space="preserve"> </w:t>
      </w:r>
      <w:r w:rsidRPr="00722524">
        <w:rPr>
          <w:rFonts w:ascii="Arial" w:hAnsi="Arial" w:cs="Arial"/>
          <w:sz w:val="20"/>
        </w:rPr>
        <w:t>an</w:t>
      </w:r>
      <w:r w:rsidRPr="00591BF4">
        <w:rPr>
          <w:rFonts w:ascii="Arial" w:hAnsi="Arial" w:cs="Arial"/>
          <w:sz w:val="20"/>
        </w:rPr>
        <w:t xml:space="preserve"> </w:t>
      </w:r>
      <w:r w:rsidRPr="00722524">
        <w:rPr>
          <w:rFonts w:ascii="Arial" w:hAnsi="Arial" w:cs="Arial"/>
          <w:sz w:val="20"/>
        </w:rPr>
        <w:t>organisation,</w:t>
      </w:r>
      <w:r w:rsidRPr="00591BF4">
        <w:rPr>
          <w:rFonts w:ascii="Arial" w:hAnsi="Arial" w:cs="Arial"/>
          <w:sz w:val="20"/>
        </w:rPr>
        <w:t xml:space="preserve"> </w:t>
      </w:r>
      <w:r w:rsidRPr="00722524">
        <w:rPr>
          <w:rFonts w:ascii="Arial" w:hAnsi="Arial" w:cs="Arial"/>
          <w:sz w:val="20"/>
        </w:rPr>
        <w:t>the</w:t>
      </w:r>
      <w:r w:rsidRPr="00591BF4">
        <w:rPr>
          <w:rFonts w:ascii="Arial" w:hAnsi="Arial" w:cs="Arial"/>
          <w:sz w:val="20"/>
        </w:rPr>
        <w:t xml:space="preserve"> </w:t>
      </w:r>
      <w:r w:rsidRPr="00722524">
        <w:rPr>
          <w:rFonts w:ascii="Arial" w:hAnsi="Arial" w:cs="Arial"/>
          <w:sz w:val="20"/>
        </w:rPr>
        <w:t>owner</w:t>
      </w:r>
      <w:r w:rsidRPr="00591BF4">
        <w:rPr>
          <w:rFonts w:ascii="Arial" w:hAnsi="Arial" w:cs="Arial"/>
          <w:sz w:val="20"/>
        </w:rPr>
        <w:t xml:space="preserve"> </w:t>
      </w:r>
      <w:r w:rsidRPr="00722524">
        <w:rPr>
          <w:rFonts w:ascii="Arial" w:hAnsi="Arial" w:cs="Arial"/>
          <w:sz w:val="20"/>
        </w:rPr>
        <w:t>is</w:t>
      </w:r>
      <w:r w:rsidRPr="00591BF4">
        <w:rPr>
          <w:rFonts w:ascii="Arial" w:hAnsi="Arial" w:cs="Arial"/>
          <w:sz w:val="20"/>
        </w:rPr>
        <w:t xml:space="preserve"> </w:t>
      </w:r>
      <w:r w:rsidRPr="00722524">
        <w:rPr>
          <w:rFonts w:ascii="Arial" w:hAnsi="Arial" w:cs="Arial"/>
          <w:sz w:val="20"/>
        </w:rPr>
        <w:t>responsible</w:t>
      </w:r>
      <w:r w:rsidRPr="00591BF4">
        <w:rPr>
          <w:rFonts w:ascii="Arial" w:hAnsi="Arial" w:cs="Arial"/>
          <w:sz w:val="20"/>
        </w:rPr>
        <w:t xml:space="preserve"> </w:t>
      </w:r>
      <w:r w:rsidRPr="00722524">
        <w:rPr>
          <w:rFonts w:ascii="Arial" w:hAnsi="Arial" w:cs="Arial"/>
          <w:sz w:val="20"/>
        </w:rPr>
        <w:t>for</w:t>
      </w:r>
      <w:r w:rsidRPr="00591BF4">
        <w:rPr>
          <w:rFonts w:ascii="Arial" w:hAnsi="Arial" w:cs="Arial"/>
          <w:sz w:val="20"/>
        </w:rPr>
        <w:t xml:space="preserve"> </w:t>
      </w:r>
      <w:r w:rsidRPr="00722524">
        <w:rPr>
          <w:rFonts w:ascii="Arial" w:hAnsi="Arial" w:cs="Arial"/>
          <w:sz w:val="20"/>
        </w:rPr>
        <w:t>the</w:t>
      </w:r>
      <w:r w:rsidRPr="00591BF4">
        <w:rPr>
          <w:rFonts w:ascii="Arial" w:hAnsi="Arial" w:cs="Arial"/>
          <w:sz w:val="20"/>
        </w:rPr>
        <w:t xml:space="preserve"> </w:t>
      </w:r>
      <w:r w:rsidRPr="00722524">
        <w:rPr>
          <w:rFonts w:ascii="Arial" w:hAnsi="Arial" w:cs="Arial"/>
          <w:sz w:val="20"/>
        </w:rPr>
        <w:t>proper</w:t>
      </w:r>
      <w:r w:rsidRPr="00591BF4">
        <w:rPr>
          <w:rFonts w:ascii="Arial" w:hAnsi="Arial" w:cs="Arial"/>
          <w:sz w:val="20"/>
        </w:rPr>
        <w:t xml:space="preserve"> </w:t>
      </w:r>
      <w:r w:rsidRPr="00722524">
        <w:rPr>
          <w:rFonts w:ascii="Arial" w:hAnsi="Arial" w:cs="Arial"/>
          <w:sz w:val="20"/>
        </w:rPr>
        <w:t>performance</w:t>
      </w:r>
      <w:r w:rsidRPr="00591BF4">
        <w:rPr>
          <w:rFonts w:ascii="Arial" w:hAnsi="Arial" w:cs="Arial"/>
          <w:sz w:val="20"/>
        </w:rPr>
        <w:t xml:space="preserve"> </w:t>
      </w:r>
      <w:r w:rsidRPr="00722524">
        <w:rPr>
          <w:rFonts w:ascii="Arial" w:hAnsi="Arial" w:cs="Arial"/>
          <w:sz w:val="20"/>
        </w:rPr>
        <w:t>of</w:t>
      </w:r>
      <w:r w:rsidRPr="00591BF4">
        <w:rPr>
          <w:rFonts w:ascii="Arial" w:hAnsi="Arial" w:cs="Arial"/>
          <w:sz w:val="20"/>
        </w:rPr>
        <w:t xml:space="preserve"> </w:t>
      </w:r>
      <w:r w:rsidRPr="00722524">
        <w:rPr>
          <w:rFonts w:ascii="Arial" w:hAnsi="Arial" w:cs="Arial"/>
          <w:sz w:val="20"/>
        </w:rPr>
        <w:t>the</w:t>
      </w:r>
      <w:r w:rsidRPr="00591BF4">
        <w:rPr>
          <w:rFonts w:ascii="Arial" w:hAnsi="Arial" w:cs="Arial"/>
          <w:sz w:val="20"/>
        </w:rPr>
        <w:t xml:space="preserve"> </w:t>
      </w:r>
      <w:r w:rsidRPr="00722524">
        <w:rPr>
          <w:rFonts w:ascii="Arial" w:hAnsi="Arial" w:cs="Arial"/>
          <w:sz w:val="20"/>
        </w:rPr>
        <w:t>tasks</w:t>
      </w:r>
      <w:r w:rsidRPr="00591BF4">
        <w:rPr>
          <w:rFonts w:ascii="Arial" w:hAnsi="Arial" w:cs="Arial"/>
          <w:sz w:val="20"/>
        </w:rPr>
        <w:t xml:space="preserve"> </w:t>
      </w:r>
      <w:r w:rsidRPr="00722524">
        <w:rPr>
          <w:rFonts w:ascii="Arial" w:hAnsi="Arial" w:cs="Arial"/>
          <w:sz w:val="20"/>
        </w:rPr>
        <w:t>associated</w:t>
      </w:r>
      <w:r w:rsidRPr="00591BF4">
        <w:rPr>
          <w:rFonts w:ascii="Arial" w:hAnsi="Arial" w:cs="Arial"/>
          <w:sz w:val="20"/>
        </w:rPr>
        <w:t xml:space="preserve"> </w:t>
      </w:r>
      <w:r w:rsidRPr="00722524">
        <w:rPr>
          <w:rFonts w:ascii="Arial" w:hAnsi="Arial" w:cs="Arial"/>
          <w:sz w:val="20"/>
        </w:rPr>
        <w:t>with the</w:t>
      </w:r>
      <w:r w:rsidRPr="00591BF4">
        <w:rPr>
          <w:rFonts w:ascii="Arial" w:hAnsi="Arial" w:cs="Arial"/>
          <w:sz w:val="20"/>
        </w:rPr>
        <w:t xml:space="preserve"> </w:t>
      </w:r>
      <w:r w:rsidRPr="00722524">
        <w:rPr>
          <w:rFonts w:ascii="Arial" w:hAnsi="Arial" w:cs="Arial"/>
          <w:sz w:val="20"/>
        </w:rPr>
        <w:t>continuing</w:t>
      </w:r>
      <w:r w:rsidRPr="00591BF4">
        <w:rPr>
          <w:rFonts w:ascii="Arial" w:hAnsi="Arial" w:cs="Arial"/>
          <w:sz w:val="20"/>
        </w:rPr>
        <w:t xml:space="preserve"> </w:t>
      </w:r>
      <w:r w:rsidRPr="00722524">
        <w:rPr>
          <w:rFonts w:ascii="Arial" w:hAnsi="Arial" w:cs="Arial"/>
          <w:sz w:val="20"/>
        </w:rPr>
        <w:t>airworthiness</w:t>
      </w:r>
      <w:r w:rsidRPr="00591BF4">
        <w:rPr>
          <w:rFonts w:ascii="Arial" w:hAnsi="Arial" w:cs="Arial"/>
          <w:sz w:val="20"/>
        </w:rPr>
        <w:t xml:space="preserve"> </w:t>
      </w:r>
      <w:r w:rsidRPr="00722524">
        <w:rPr>
          <w:rFonts w:ascii="Arial" w:hAnsi="Arial" w:cs="Arial"/>
          <w:sz w:val="20"/>
        </w:rPr>
        <w:t>management</w:t>
      </w:r>
    </w:p>
    <w:p w14:paraId="4086F105" w14:textId="38C00022" w:rsidR="00722524" w:rsidRPr="00722524" w:rsidRDefault="00722524" w:rsidP="000D0180">
      <w:pPr>
        <w:pStyle w:val="ListParagraph"/>
        <w:numPr>
          <w:ilvl w:val="0"/>
          <w:numId w:val="285"/>
        </w:numPr>
        <w:tabs>
          <w:tab w:val="left" w:pos="707"/>
        </w:tabs>
        <w:spacing w:before="118"/>
        <w:ind w:right="68"/>
        <w:jc w:val="both"/>
        <w:rPr>
          <w:rFonts w:ascii="Arial" w:hAnsi="Arial" w:cs="Arial"/>
          <w:sz w:val="20"/>
        </w:rPr>
      </w:pPr>
      <w:r w:rsidRPr="00722524">
        <w:rPr>
          <w:rFonts w:ascii="Arial" w:hAnsi="Arial" w:cs="Arial"/>
          <w:sz w:val="20"/>
        </w:rPr>
        <w:t>The</w:t>
      </w:r>
      <w:r w:rsidRPr="00591BF4">
        <w:rPr>
          <w:rFonts w:ascii="Arial" w:hAnsi="Arial" w:cs="Arial"/>
          <w:sz w:val="20"/>
        </w:rPr>
        <w:t xml:space="preserve"> </w:t>
      </w:r>
      <w:r w:rsidRPr="00722524">
        <w:rPr>
          <w:rFonts w:ascii="Arial" w:hAnsi="Arial" w:cs="Arial"/>
          <w:sz w:val="20"/>
        </w:rPr>
        <w:t>owner</w:t>
      </w:r>
      <w:r w:rsidRPr="00591BF4">
        <w:rPr>
          <w:rFonts w:ascii="Arial" w:hAnsi="Arial" w:cs="Arial"/>
          <w:sz w:val="20"/>
        </w:rPr>
        <w:t xml:space="preserve"> </w:t>
      </w:r>
      <w:r w:rsidRPr="00722524">
        <w:rPr>
          <w:rFonts w:ascii="Arial" w:hAnsi="Arial" w:cs="Arial"/>
          <w:sz w:val="20"/>
        </w:rPr>
        <w:t>shall</w:t>
      </w:r>
      <w:r w:rsidRPr="00591BF4">
        <w:rPr>
          <w:rFonts w:ascii="Arial" w:hAnsi="Arial" w:cs="Arial"/>
          <w:sz w:val="20"/>
        </w:rPr>
        <w:t xml:space="preserve"> </w:t>
      </w:r>
      <w:r w:rsidRPr="00722524">
        <w:rPr>
          <w:rFonts w:ascii="Arial" w:hAnsi="Arial" w:cs="Arial"/>
          <w:sz w:val="20"/>
        </w:rPr>
        <w:t>grant</w:t>
      </w:r>
      <w:r w:rsidRPr="00591BF4">
        <w:rPr>
          <w:rFonts w:ascii="Arial" w:hAnsi="Arial" w:cs="Arial"/>
          <w:sz w:val="20"/>
        </w:rPr>
        <w:t xml:space="preserve"> </w:t>
      </w:r>
      <w:r w:rsidRPr="00722524">
        <w:rPr>
          <w:rFonts w:ascii="Arial" w:hAnsi="Arial" w:cs="Arial"/>
          <w:sz w:val="20"/>
        </w:rPr>
        <w:t>the</w:t>
      </w:r>
      <w:r w:rsidRPr="00591BF4">
        <w:rPr>
          <w:rFonts w:ascii="Arial" w:hAnsi="Arial" w:cs="Arial"/>
          <w:sz w:val="20"/>
        </w:rPr>
        <w:t xml:space="preserve"> </w:t>
      </w:r>
      <w:r w:rsidR="004E22F1">
        <w:rPr>
          <w:rFonts w:ascii="Arial" w:hAnsi="Arial" w:cs="Arial"/>
          <w:sz w:val="20"/>
          <w:szCs w:val="20"/>
        </w:rPr>
        <w:t xml:space="preserve">CAC RA </w:t>
      </w:r>
      <w:r w:rsidRPr="00722524">
        <w:rPr>
          <w:rFonts w:ascii="Arial" w:hAnsi="Arial" w:cs="Arial"/>
          <w:sz w:val="20"/>
        </w:rPr>
        <w:t>access</w:t>
      </w:r>
      <w:r w:rsidRPr="00591BF4">
        <w:rPr>
          <w:rFonts w:ascii="Arial" w:hAnsi="Arial" w:cs="Arial"/>
          <w:sz w:val="20"/>
        </w:rPr>
        <w:t xml:space="preserve"> </w:t>
      </w:r>
      <w:r w:rsidRPr="00722524">
        <w:rPr>
          <w:rFonts w:ascii="Arial" w:hAnsi="Arial" w:cs="Arial"/>
          <w:sz w:val="20"/>
        </w:rPr>
        <w:t>to</w:t>
      </w:r>
      <w:r w:rsidRPr="00591BF4">
        <w:rPr>
          <w:rFonts w:ascii="Arial" w:hAnsi="Arial" w:cs="Arial"/>
          <w:sz w:val="20"/>
        </w:rPr>
        <w:t xml:space="preserve"> </w:t>
      </w:r>
      <w:r w:rsidRPr="00722524">
        <w:rPr>
          <w:rFonts w:ascii="Arial" w:hAnsi="Arial" w:cs="Arial"/>
          <w:sz w:val="20"/>
        </w:rPr>
        <w:t>the</w:t>
      </w:r>
      <w:r w:rsidRPr="00591BF4">
        <w:rPr>
          <w:rFonts w:ascii="Arial" w:hAnsi="Arial" w:cs="Arial"/>
          <w:sz w:val="20"/>
        </w:rPr>
        <w:t xml:space="preserve"> </w:t>
      </w:r>
      <w:r w:rsidRPr="00722524">
        <w:rPr>
          <w:rFonts w:ascii="Arial" w:hAnsi="Arial" w:cs="Arial"/>
          <w:sz w:val="20"/>
        </w:rPr>
        <w:t>aircraft</w:t>
      </w:r>
      <w:r w:rsidRPr="00591BF4">
        <w:rPr>
          <w:rFonts w:ascii="Arial" w:hAnsi="Arial" w:cs="Arial"/>
          <w:sz w:val="20"/>
        </w:rPr>
        <w:t xml:space="preserve"> </w:t>
      </w:r>
      <w:r w:rsidRPr="00722524">
        <w:rPr>
          <w:rFonts w:ascii="Arial" w:hAnsi="Arial" w:cs="Arial"/>
          <w:sz w:val="20"/>
        </w:rPr>
        <w:t>and</w:t>
      </w:r>
      <w:r w:rsidRPr="00591BF4">
        <w:rPr>
          <w:rFonts w:ascii="Arial" w:hAnsi="Arial" w:cs="Arial"/>
          <w:sz w:val="20"/>
        </w:rPr>
        <w:t xml:space="preserve"> </w:t>
      </w:r>
      <w:r w:rsidRPr="00722524">
        <w:rPr>
          <w:rFonts w:ascii="Arial" w:hAnsi="Arial" w:cs="Arial"/>
          <w:sz w:val="20"/>
        </w:rPr>
        <w:t>the</w:t>
      </w:r>
      <w:r w:rsidRPr="00722524">
        <w:rPr>
          <w:rFonts w:ascii="Arial" w:hAnsi="Arial" w:cs="Arial"/>
          <w:spacing w:val="-5"/>
          <w:sz w:val="20"/>
        </w:rPr>
        <w:t xml:space="preserve"> </w:t>
      </w:r>
      <w:r w:rsidRPr="00722524">
        <w:rPr>
          <w:rFonts w:ascii="Arial" w:hAnsi="Arial" w:cs="Arial"/>
          <w:sz w:val="20"/>
        </w:rPr>
        <w:t>aircraft</w:t>
      </w:r>
      <w:r w:rsidRPr="00722524">
        <w:rPr>
          <w:rFonts w:ascii="Arial" w:hAnsi="Arial" w:cs="Arial"/>
          <w:spacing w:val="-6"/>
          <w:sz w:val="20"/>
        </w:rPr>
        <w:t xml:space="preserve"> </w:t>
      </w:r>
      <w:r w:rsidRPr="00722524">
        <w:rPr>
          <w:rFonts w:ascii="Arial" w:hAnsi="Arial" w:cs="Arial"/>
          <w:sz w:val="20"/>
        </w:rPr>
        <w:t>records,</w:t>
      </w:r>
      <w:r w:rsidRPr="00722524">
        <w:rPr>
          <w:rFonts w:ascii="Arial" w:hAnsi="Arial" w:cs="Arial"/>
          <w:spacing w:val="-5"/>
          <w:sz w:val="20"/>
        </w:rPr>
        <w:t xml:space="preserve"> </w:t>
      </w:r>
      <w:r w:rsidRPr="00722524">
        <w:rPr>
          <w:rFonts w:ascii="Arial" w:hAnsi="Arial" w:cs="Arial"/>
          <w:sz w:val="20"/>
        </w:rPr>
        <w:t>in</w:t>
      </w:r>
      <w:r w:rsidRPr="00722524">
        <w:rPr>
          <w:rFonts w:ascii="Arial" w:hAnsi="Arial" w:cs="Arial"/>
          <w:spacing w:val="-47"/>
          <w:sz w:val="20"/>
        </w:rPr>
        <w:t xml:space="preserve"> </w:t>
      </w:r>
      <w:r w:rsidRPr="00722524">
        <w:rPr>
          <w:rFonts w:ascii="Arial" w:hAnsi="Arial" w:cs="Arial"/>
          <w:sz w:val="20"/>
        </w:rPr>
        <w:t>order</w:t>
      </w:r>
      <w:r w:rsidRPr="00722524">
        <w:rPr>
          <w:rFonts w:ascii="Arial" w:hAnsi="Arial" w:cs="Arial"/>
          <w:spacing w:val="1"/>
          <w:sz w:val="20"/>
        </w:rPr>
        <w:t xml:space="preserve"> </w:t>
      </w:r>
      <w:r w:rsidRPr="00722524">
        <w:rPr>
          <w:rFonts w:ascii="Arial" w:hAnsi="Arial" w:cs="Arial"/>
          <w:sz w:val="20"/>
        </w:rPr>
        <w:t>for</w:t>
      </w:r>
      <w:r w:rsidRPr="00722524">
        <w:rPr>
          <w:rFonts w:ascii="Arial" w:hAnsi="Arial" w:cs="Arial"/>
          <w:spacing w:val="1"/>
          <w:sz w:val="20"/>
        </w:rPr>
        <w:t xml:space="preserve"> </w:t>
      </w:r>
      <w:r w:rsidRPr="00722524">
        <w:rPr>
          <w:rFonts w:ascii="Arial" w:hAnsi="Arial" w:cs="Arial"/>
          <w:sz w:val="20"/>
        </w:rPr>
        <w:t>the</w:t>
      </w:r>
      <w:r w:rsidRPr="00722524">
        <w:rPr>
          <w:rFonts w:ascii="Arial" w:hAnsi="Arial" w:cs="Arial"/>
          <w:spacing w:val="1"/>
          <w:sz w:val="20"/>
        </w:rPr>
        <w:t xml:space="preserve"> </w:t>
      </w:r>
      <w:r w:rsidR="004E22F1">
        <w:rPr>
          <w:rFonts w:ascii="Arial" w:hAnsi="Arial" w:cs="Arial"/>
          <w:sz w:val="20"/>
          <w:szCs w:val="20"/>
        </w:rPr>
        <w:t xml:space="preserve">CAC RA </w:t>
      </w:r>
      <w:r w:rsidRPr="00722524">
        <w:rPr>
          <w:rFonts w:ascii="Arial" w:hAnsi="Arial" w:cs="Arial"/>
          <w:sz w:val="20"/>
        </w:rPr>
        <w:t>to</w:t>
      </w:r>
      <w:r w:rsidRPr="00722524">
        <w:rPr>
          <w:rFonts w:ascii="Arial" w:hAnsi="Arial" w:cs="Arial"/>
          <w:spacing w:val="1"/>
          <w:sz w:val="20"/>
        </w:rPr>
        <w:t xml:space="preserve"> </w:t>
      </w:r>
      <w:r w:rsidRPr="00722524">
        <w:rPr>
          <w:rFonts w:ascii="Arial" w:hAnsi="Arial" w:cs="Arial"/>
          <w:sz w:val="20"/>
        </w:rPr>
        <w:t>determine</w:t>
      </w:r>
      <w:r w:rsidRPr="00722524">
        <w:rPr>
          <w:rFonts w:ascii="Arial" w:hAnsi="Arial" w:cs="Arial"/>
          <w:spacing w:val="1"/>
          <w:sz w:val="20"/>
        </w:rPr>
        <w:t xml:space="preserve"> </w:t>
      </w:r>
      <w:r w:rsidRPr="00722524">
        <w:rPr>
          <w:rFonts w:ascii="Arial" w:hAnsi="Arial" w:cs="Arial"/>
          <w:sz w:val="20"/>
        </w:rPr>
        <w:t>whether</w:t>
      </w:r>
      <w:r w:rsidRPr="00722524">
        <w:rPr>
          <w:rFonts w:ascii="Arial" w:hAnsi="Arial" w:cs="Arial"/>
          <w:spacing w:val="1"/>
          <w:sz w:val="20"/>
        </w:rPr>
        <w:t xml:space="preserve"> </w:t>
      </w:r>
      <w:r w:rsidRPr="00722524">
        <w:rPr>
          <w:rFonts w:ascii="Arial" w:hAnsi="Arial" w:cs="Arial"/>
          <w:sz w:val="20"/>
        </w:rPr>
        <w:t>the</w:t>
      </w:r>
      <w:r w:rsidRPr="00722524">
        <w:rPr>
          <w:rFonts w:ascii="Arial" w:hAnsi="Arial" w:cs="Arial"/>
          <w:spacing w:val="1"/>
          <w:sz w:val="20"/>
        </w:rPr>
        <w:t xml:space="preserve"> </w:t>
      </w:r>
      <w:r w:rsidRPr="00722524">
        <w:rPr>
          <w:rFonts w:ascii="Arial" w:hAnsi="Arial" w:cs="Arial"/>
          <w:sz w:val="20"/>
        </w:rPr>
        <w:t>aircraft</w:t>
      </w:r>
      <w:r w:rsidRPr="00722524">
        <w:rPr>
          <w:rFonts w:ascii="Arial" w:hAnsi="Arial" w:cs="Arial"/>
          <w:spacing w:val="1"/>
          <w:sz w:val="20"/>
        </w:rPr>
        <w:t xml:space="preserve"> </w:t>
      </w:r>
      <w:r w:rsidRPr="00722524">
        <w:rPr>
          <w:rFonts w:ascii="Arial" w:hAnsi="Arial" w:cs="Arial"/>
          <w:sz w:val="20"/>
        </w:rPr>
        <w:t>complies</w:t>
      </w:r>
      <w:r w:rsidRPr="00722524">
        <w:rPr>
          <w:rFonts w:ascii="Arial" w:hAnsi="Arial" w:cs="Arial"/>
          <w:spacing w:val="1"/>
          <w:sz w:val="20"/>
        </w:rPr>
        <w:t xml:space="preserve"> </w:t>
      </w:r>
      <w:r w:rsidRPr="00722524">
        <w:rPr>
          <w:rFonts w:ascii="Arial" w:hAnsi="Arial" w:cs="Arial"/>
          <w:sz w:val="20"/>
        </w:rPr>
        <w:t>with</w:t>
      </w:r>
      <w:r w:rsidRPr="00722524">
        <w:rPr>
          <w:rFonts w:ascii="Arial" w:hAnsi="Arial" w:cs="Arial"/>
          <w:spacing w:val="1"/>
          <w:sz w:val="20"/>
        </w:rPr>
        <w:t xml:space="preserve"> </w:t>
      </w:r>
      <w:r w:rsidRPr="00722524">
        <w:rPr>
          <w:rFonts w:ascii="Arial" w:hAnsi="Arial" w:cs="Arial"/>
          <w:sz w:val="20"/>
        </w:rPr>
        <w:t>the</w:t>
      </w:r>
      <w:r w:rsidRPr="00722524">
        <w:rPr>
          <w:rFonts w:ascii="Arial" w:hAnsi="Arial" w:cs="Arial"/>
          <w:spacing w:val="1"/>
          <w:sz w:val="20"/>
        </w:rPr>
        <w:t xml:space="preserve"> </w:t>
      </w:r>
      <w:r w:rsidRPr="00722524">
        <w:rPr>
          <w:rFonts w:ascii="Arial" w:hAnsi="Arial" w:cs="Arial"/>
          <w:sz w:val="20"/>
        </w:rPr>
        <w:t>requirements</w:t>
      </w:r>
      <w:r w:rsidRPr="00722524">
        <w:rPr>
          <w:rFonts w:ascii="Arial" w:hAnsi="Arial" w:cs="Arial"/>
          <w:spacing w:val="-2"/>
          <w:sz w:val="20"/>
        </w:rPr>
        <w:t xml:space="preserve"> </w:t>
      </w:r>
      <w:r w:rsidRPr="00722524">
        <w:rPr>
          <w:rFonts w:ascii="Arial" w:hAnsi="Arial" w:cs="Arial"/>
          <w:sz w:val="20"/>
        </w:rPr>
        <w:t>of this</w:t>
      </w:r>
      <w:r w:rsidRPr="00722524">
        <w:rPr>
          <w:rFonts w:ascii="Arial" w:hAnsi="Arial" w:cs="Arial"/>
          <w:spacing w:val="-3"/>
          <w:sz w:val="20"/>
        </w:rPr>
        <w:t xml:space="preserve"> </w:t>
      </w:r>
      <w:r w:rsidRPr="00722524">
        <w:rPr>
          <w:rFonts w:ascii="Arial" w:hAnsi="Arial" w:cs="Arial"/>
          <w:sz w:val="20"/>
        </w:rPr>
        <w:t>Annex.</w:t>
      </w:r>
    </w:p>
    <w:p w14:paraId="13D92948" w14:textId="6F57D3AB" w:rsidR="00722524" w:rsidRPr="00722524" w:rsidRDefault="00722524" w:rsidP="000D0180">
      <w:pPr>
        <w:pStyle w:val="ListParagraph"/>
        <w:numPr>
          <w:ilvl w:val="0"/>
          <w:numId w:val="285"/>
        </w:numPr>
        <w:tabs>
          <w:tab w:val="left" w:pos="707"/>
        </w:tabs>
        <w:spacing w:before="121"/>
        <w:ind w:right="68"/>
        <w:jc w:val="both"/>
        <w:rPr>
          <w:rFonts w:ascii="Arial" w:hAnsi="Arial" w:cs="Arial"/>
          <w:sz w:val="20"/>
        </w:rPr>
      </w:pPr>
      <w:r w:rsidRPr="00722524">
        <w:rPr>
          <w:rFonts w:ascii="Arial" w:hAnsi="Arial" w:cs="Arial"/>
          <w:sz w:val="20"/>
        </w:rPr>
        <w:t>In the case of an aircraft included in an air operator certificate is used for non-commercial or</w:t>
      </w:r>
      <w:r w:rsidRPr="00722524">
        <w:rPr>
          <w:rFonts w:ascii="Arial" w:hAnsi="Arial" w:cs="Arial"/>
          <w:spacing w:val="1"/>
          <w:sz w:val="20"/>
        </w:rPr>
        <w:t xml:space="preserve"> </w:t>
      </w:r>
      <w:r w:rsidRPr="00722524">
        <w:rPr>
          <w:rFonts w:ascii="Arial" w:hAnsi="Arial" w:cs="Arial"/>
          <w:sz w:val="20"/>
        </w:rPr>
        <w:t>specialised operations under point ORO.GEN.310 of Annex III or point NCO.GEN.104 of Annex</w:t>
      </w:r>
      <w:r w:rsidRPr="00722524">
        <w:rPr>
          <w:rFonts w:ascii="Arial" w:hAnsi="Arial" w:cs="Arial"/>
          <w:spacing w:val="1"/>
          <w:sz w:val="20"/>
        </w:rPr>
        <w:t xml:space="preserve"> </w:t>
      </w:r>
      <w:r w:rsidRPr="00722524">
        <w:rPr>
          <w:rFonts w:ascii="Arial" w:hAnsi="Arial" w:cs="Arial"/>
          <w:sz w:val="20"/>
        </w:rPr>
        <w:t xml:space="preserve">VII to </w:t>
      </w:r>
      <w:hyperlink r:id="rId97" w:history="1">
        <w:r w:rsidR="004F0CE5" w:rsidRPr="00C630C9">
          <w:rPr>
            <w:rStyle w:val="Hyperlink"/>
            <w:rFonts w:ascii="Arial" w:hAnsi="Arial" w:cs="Arial"/>
            <w:sz w:val="20"/>
          </w:rPr>
          <w:t>the order N 2-N of the Minister of Territorial Administration and Infrastructure of RA, dated 11.02.2022</w:t>
        </w:r>
      </w:hyperlink>
      <w:r w:rsidRPr="00722524">
        <w:rPr>
          <w:rFonts w:ascii="Arial" w:hAnsi="Arial" w:cs="Arial"/>
          <w:sz w:val="20"/>
        </w:rPr>
        <w:t>, the operator shall ensure that the tasks associated with</w:t>
      </w:r>
      <w:r w:rsidRPr="00722524">
        <w:rPr>
          <w:rFonts w:ascii="Arial" w:hAnsi="Arial" w:cs="Arial"/>
          <w:spacing w:val="1"/>
          <w:sz w:val="20"/>
        </w:rPr>
        <w:t xml:space="preserve"> </w:t>
      </w:r>
      <w:r w:rsidRPr="00722524">
        <w:rPr>
          <w:rFonts w:ascii="Arial" w:hAnsi="Arial" w:cs="Arial"/>
          <w:sz w:val="20"/>
        </w:rPr>
        <w:t>continuing airworthiness are performed by the CAMO approved in accordance with Annex Vc</w:t>
      </w:r>
      <w:r w:rsidRPr="00722524">
        <w:rPr>
          <w:rFonts w:ascii="Arial" w:hAnsi="Arial" w:cs="Arial"/>
          <w:spacing w:val="1"/>
          <w:sz w:val="20"/>
        </w:rPr>
        <w:t xml:space="preserve"> </w:t>
      </w:r>
      <w:r w:rsidRPr="00722524">
        <w:rPr>
          <w:rFonts w:ascii="Arial" w:hAnsi="Arial" w:cs="Arial"/>
          <w:sz w:val="20"/>
        </w:rPr>
        <w:t>(Part-CAMO) or Subpart G of Annex I (Part-M) or the combined airworthiness organisation</w:t>
      </w:r>
      <w:r w:rsidRPr="00722524">
        <w:rPr>
          <w:rFonts w:ascii="Arial" w:hAnsi="Arial" w:cs="Arial"/>
          <w:spacing w:val="1"/>
          <w:sz w:val="20"/>
        </w:rPr>
        <w:t xml:space="preserve"> </w:t>
      </w:r>
      <w:r w:rsidRPr="00722524">
        <w:rPr>
          <w:rFonts w:ascii="Arial" w:hAnsi="Arial" w:cs="Arial"/>
          <w:sz w:val="20"/>
        </w:rPr>
        <w:t>(“CAO”) approved in accordance with Annex Vd (Part-CAO), whichever applicable, of the air</w:t>
      </w:r>
      <w:r w:rsidRPr="00722524">
        <w:rPr>
          <w:rFonts w:ascii="Arial" w:hAnsi="Arial" w:cs="Arial"/>
          <w:spacing w:val="1"/>
          <w:sz w:val="20"/>
        </w:rPr>
        <w:t xml:space="preserve"> </w:t>
      </w:r>
      <w:r w:rsidRPr="00722524">
        <w:rPr>
          <w:rFonts w:ascii="Arial" w:hAnsi="Arial" w:cs="Arial"/>
          <w:sz w:val="20"/>
        </w:rPr>
        <w:t>operator</w:t>
      </w:r>
      <w:r w:rsidRPr="00722524">
        <w:rPr>
          <w:rFonts w:ascii="Arial" w:hAnsi="Arial" w:cs="Arial"/>
          <w:spacing w:val="-2"/>
          <w:sz w:val="20"/>
        </w:rPr>
        <w:t xml:space="preserve"> </w:t>
      </w:r>
      <w:r w:rsidRPr="00722524">
        <w:rPr>
          <w:rFonts w:ascii="Arial" w:hAnsi="Arial" w:cs="Arial"/>
          <w:sz w:val="20"/>
        </w:rPr>
        <w:t>certificate holder.</w:t>
      </w:r>
    </w:p>
    <w:p w14:paraId="0D11682E" w14:textId="77777777" w:rsidR="00591BF4" w:rsidRPr="00591BF4" w:rsidRDefault="00591BF4" w:rsidP="00591BF4">
      <w:pPr>
        <w:keepNext/>
        <w:keepLines/>
        <w:widowControl/>
        <w:shd w:val="clear" w:color="auto" w:fill="339966"/>
        <w:autoSpaceDE/>
        <w:autoSpaceDN/>
        <w:spacing w:before="160" w:after="120" w:line="259" w:lineRule="auto"/>
        <w:outlineLvl w:val="4"/>
        <w:rPr>
          <w:rFonts w:ascii="Arial" w:eastAsia="Times New Roman" w:hAnsi="Arial" w:cs="Times New Roman"/>
          <w:b/>
          <w:color w:val="FFFFFF"/>
          <w:sz w:val="24"/>
        </w:rPr>
      </w:pPr>
      <w:bookmarkStart w:id="801" w:name="_Toc153137496"/>
      <w:r w:rsidRPr="00591BF4">
        <w:rPr>
          <w:rFonts w:ascii="Arial" w:eastAsia="Times New Roman" w:hAnsi="Arial" w:cs="Times New Roman"/>
          <w:b/>
          <w:color w:val="FFFFFF"/>
          <w:sz w:val="24"/>
        </w:rPr>
        <w:t>GM1 ML.A.201 Responsibilities</w:t>
      </w:r>
      <w:bookmarkEnd w:id="801"/>
      <w:r w:rsidRPr="00591BF4">
        <w:rPr>
          <w:rFonts w:ascii="Arial" w:eastAsia="Times New Roman" w:hAnsi="Arial" w:cs="Times New Roman"/>
          <w:b/>
          <w:color w:val="FFFFFF"/>
          <w:sz w:val="24"/>
        </w:rPr>
        <w:tab/>
      </w:r>
    </w:p>
    <w:p w14:paraId="6FD668F3" w14:textId="11E8BDDF" w:rsidR="00591BF4" w:rsidRPr="00591BF4" w:rsidRDefault="00591BF4" w:rsidP="00591BF4">
      <w:pPr>
        <w:pStyle w:val="BodyText"/>
        <w:spacing w:before="118"/>
        <w:ind w:right="192"/>
        <w:jc w:val="both"/>
        <w:rPr>
          <w:rFonts w:ascii="Arial" w:hAnsi="Arial" w:cs="Arial"/>
          <w:sz w:val="20"/>
        </w:rPr>
      </w:pPr>
      <w:r w:rsidRPr="00591BF4">
        <w:rPr>
          <w:rFonts w:ascii="Arial" w:hAnsi="Arial" w:cs="Arial"/>
          <w:sz w:val="20"/>
        </w:rPr>
        <w:t>The</w:t>
      </w:r>
      <w:r w:rsidRPr="00591BF4">
        <w:rPr>
          <w:rFonts w:ascii="Arial" w:hAnsi="Arial" w:cs="Arial"/>
          <w:spacing w:val="18"/>
          <w:sz w:val="20"/>
        </w:rPr>
        <w:t xml:space="preserve"> </w:t>
      </w:r>
      <w:r w:rsidRPr="00591BF4">
        <w:rPr>
          <w:rFonts w:ascii="Arial" w:hAnsi="Arial" w:cs="Arial"/>
          <w:sz w:val="20"/>
        </w:rPr>
        <w:t>following</w:t>
      </w:r>
      <w:r w:rsidRPr="00591BF4">
        <w:rPr>
          <w:rFonts w:ascii="Arial" w:hAnsi="Arial" w:cs="Arial"/>
          <w:spacing w:val="18"/>
          <w:sz w:val="20"/>
        </w:rPr>
        <w:t xml:space="preserve"> </w:t>
      </w:r>
      <w:r w:rsidRPr="00591BF4">
        <w:rPr>
          <w:rFonts w:ascii="Arial" w:hAnsi="Arial" w:cs="Arial"/>
          <w:sz w:val="20"/>
        </w:rPr>
        <w:t>tables</w:t>
      </w:r>
      <w:r w:rsidRPr="00591BF4">
        <w:rPr>
          <w:rFonts w:ascii="Arial" w:hAnsi="Arial" w:cs="Arial"/>
          <w:spacing w:val="19"/>
          <w:sz w:val="20"/>
        </w:rPr>
        <w:t xml:space="preserve"> </w:t>
      </w:r>
      <w:r w:rsidRPr="00591BF4">
        <w:rPr>
          <w:rFonts w:ascii="Arial" w:hAnsi="Arial" w:cs="Arial"/>
          <w:sz w:val="20"/>
        </w:rPr>
        <w:t>provide</w:t>
      </w:r>
      <w:r w:rsidRPr="00591BF4">
        <w:rPr>
          <w:rFonts w:ascii="Arial" w:hAnsi="Arial" w:cs="Arial"/>
          <w:spacing w:val="20"/>
          <w:sz w:val="20"/>
        </w:rPr>
        <w:t xml:space="preserve"> </w:t>
      </w:r>
      <w:r w:rsidRPr="00591BF4">
        <w:rPr>
          <w:rFonts w:ascii="Arial" w:hAnsi="Arial" w:cs="Arial"/>
          <w:sz w:val="20"/>
        </w:rPr>
        <w:t>a</w:t>
      </w:r>
      <w:r w:rsidRPr="00591BF4">
        <w:rPr>
          <w:rFonts w:ascii="Arial" w:hAnsi="Arial" w:cs="Arial"/>
          <w:spacing w:val="18"/>
          <w:sz w:val="20"/>
        </w:rPr>
        <w:t xml:space="preserve"> </w:t>
      </w:r>
      <w:r w:rsidRPr="00591BF4">
        <w:rPr>
          <w:rFonts w:ascii="Arial" w:hAnsi="Arial" w:cs="Arial"/>
          <w:sz w:val="20"/>
        </w:rPr>
        <w:t>summary</w:t>
      </w:r>
      <w:r w:rsidRPr="00591BF4">
        <w:rPr>
          <w:rFonts w:ascii="Arial" w:hAnsi="Arial" w:cs="Arial"/>
          <w:spacing w:val="17"/>
          <w:sz w:val="20"/>
        </w:rPr>
        <w:t xml:space="preserve"> </w:t>
      </w:r>
      <w:r w:rsidRPr="00591BF4">
        <w:rPr>
          <w:rFonts w:ascii="Arial" w:hAnsi="Arial" w:cs="Arial"/>
          <w:sz w:val="20"/>
        </w:rPr>
        <w:t>of</w:t>
      </w:r>
      <w:r w:rsidRPr="00591BF4">
        <w:rPr>
          <w:rFonts w:ascii="Arial" w:hAnsi="Arial" w:cs="Arial"/>
          <w:spacing w:val="19"/>
          <w:sz w:val="20"/>
        </w:rPr>
        <w:t xml:space="preserve"> </w:t>
      </w:r>
      <w:r w:rsidRPr="00591BF4">
        <w:rPr>
          <w:rFonts w:ascii="Arial" w:hAnsi="Arial" w:cs="Arial"/>
          <w:sz w:val="20"/>
        </w:rPr>
        <w:t>Part-ML</w:t>
      </w:r>
      <w:r w:rsidRPr="00591BF4">
        <w:rPr>
          <w:rFonts w:ascii="Arial" w:hAnsi="Arial" w:cs="Arial"/>
          <w:spacing w:val="19"/>
          <w:sz w:val="20"/>
        </w:rPr>
        <w:t xml:space="preserve"> </w:t>
      </w:r>
      <w:r w:rsidRPr="00591BF4">
        <w:rPr>
          <w:rFonts w:ascii="Arial" w:hAnsi="Arial" w:cs="Arial"/>
          <w:sz w:val="20"/>
        </w:rPr>
        <w:t>main</w:t>
      </w:r>
      <w:r w:rsidRPr="00591BF4">
        <w:rPr>
          <w:rFonts w:ascii="Arial" w:hAnsi="Arial" w:cs="Arial"/>
          <w:spacing w:val="18"/>
          <w:sz w:val="20"/>
        </w:rPr>
        <w:t xml:space="preserve"> </w:t>
      </w:r>
      <w:r w:rsidRPr="00591BF4">
        <w:rPr>
          <w:rFonts w:ascii="Arial" w:hAnsi="Arial" w:cs="Arial"/>
          <w:sz w:val="20"/>
        </w:rPr>
        <w:t>provisions</w:t>
      </w:r>
      <w:r w:rsidRPr="00591BF4">
        <w:rPr>
          <w:rFonts w:ascii="Arial" w:hAnsi="Arial" w:cs="Arial"/>
          <w:spacing w:val="18"/>
          <w:sz w:val="20"/>
        </w:rPr>
        <w:t xml:space="preserve"> </w:t>
      </w:r>
      <w:r w:rsidRPr="00591BF4">
        <w:rPr>
          <w:rFonts w:ascii="Arial" w:hAnsi="Arial" w:cs="Arial"/>
          <w:sz w:val="20"/>
        </w:rPr>
        <w:t>and</w:t>
      </w:r>
      <w:r w:rsidRPr="00591BF4">
        <w:rPr>
          <w:rFonts w:ascii="Arial" w:hAnsi="Arial" w:cs="Arial"/>
          <w:spacing w:val="18"/>
          <w:sz w:val="20"/>
        </w:rPr>
        <w:t xml:space="preserve"> </w:t>
      </w:r>
      <w:r w:rsidRPr="00591BF4">
        <w:rPr>
          <w:rFonts w:ascii="Arial" w:hAnsi="Arial" w:cs="Arial"/>
          <w:sz w:val="20"/>
        </w:rPr>
        <w:t>alleviations</w:t>
      </w:r>
      <w:r w:rsidRPr="00591BF4">
        <w:rPr>
          <w:rFonts w:ascii="Arial" w:hAnsi="Arial" w:cs="Arial"/>
          <w:spacing w:val="19"/>
          <w:sz w:val="20"/>
        </w:rPr>
        <w:t xml:space="preserve"> </w:t>
      </w:r>
      <w:r w:rsidRPr="00591BF4">
        <w:rPr>
          <w:rFonts w:ascii="Arial" w:hAnsi="Arial" w:cs="Arial"/>
          <w:sz w:val="20"/>
        </w:rPr>
        <w:t>established</w:t>
      </w:r>
      <w:r w:rsidRPr="00591BF4">
        <w:rPr>
          <w:rFonts w:ascii="Arial" w:hAnsi="Arial" w:cs="Arial"/>
          <w:spacing w:val="18"/>
          <w:sz w:val="20"/>
        </w:rPr>
        <w:t xml:space="preserve"> </w:t>
      </w:r>
      <w:r w:rsidRPr="00591BF4">
        <w:rPr>
          <w:rFonts w:ascii="Arial" w:hAnsi="Arial" w:cs="Arial"/>
          <w:sz w:val="20"/>
        </w:rPr>
        <w:t>in</w:t>
      </w:r>
      <w:r w:rsidRPr="00591BF4">
        <w:rPr>
          <w:rFonts w:ascii="Arial" w:hAnsi="Arial" w:cs="Arial"/>
          <w:spacing w:val="-46"/>
          <w:sz w:val="20"/>
        </w:rPr>
        <w:t xml:space="preserve"> </w:t>
      </w:r>
      <w:r w:rsidRPr="004F0CE5">
        <w:rPr>
          <w:rFonts w:ascii="Arial" w:hAnsi="Arial" w:cs="Arial"/>
          <w:sz w:val="20"/>
        </w:rPr>
        <w:lastRenderedPageBreak/>
        <w:t>ML.A.201</w:t>
      </w:r>
      <w:r w:rsidRPr="00591BF4">
        <w:rPr>
          <w:rFonts w:ascii="Arial" w:hAnsi="Arial" w:cs="Arial"/>
          <w:sz w:val="20"/>
        </w:rPr>
        <w:t>,</w:t>
      </w:r>
      <w:r w:rsidRPr="004F0CE5">
        <w:rPr>
          <w:rFonts w:ascii="Arial" w:hAnsi="Arial" w:cs="Arial"/>
          <w:sz w:val="20"/>
        </w:rPr>
        <w:t xml:space="preserve"> ML.A.302</w:t>
      </w:r>
      <w:r w:rsidRPr="00591BF4">
        <w:rPr>
          <w:rFonts w:ascii="Arial" w:hAnsi="Arial" w:cs="Arial"/>
          <w:sz w:val="20"/>
        </w:rPr>
        <w:t>,</w:t>
      </w:r>
      <w:r w:rsidRPr="004F0CE5">
        <w:rPr>
          <w:rFonts w:ascii="Arial" w:hAnsi="Arial" w:cs="Arial"/>
          <w:sz w:val="20"/>
        </w:rPr>
        <w:t xml:space="preserve"> ML.A.801 </w:t>
      </w:r>
      <w:r w:rsidRPr="00591BF4">
        <w:rPr>
          <w:rFonts w:ascii="Arial" w:hAnsi="Arial" w:cs="Arial"/>
          <w:sz w:val="20"/>
        </w:rPr>
        <w:t>and</w:t>
      </w:r>
      <w:r w:rsidRPr="004F0CE5">
        <w:rPr>
          <w:rFonts w:ascii="Arial" w:hAnsi="Arial" w:cs="Arial"/>
          <w:sz w:val="20"/>
        </w:rPr>
        <w:t xml:space="preserve"> ML.A.901</w:t>
      </w:r>
      <w:r w:rsidRPr="00591BF4">
        <w:rPr>
          <w:rFonts w:ascii="Arial" w:hAnsi="Arial" w:cs="Arial"/>
          <w:sz w:val="20"/>
        </w:rPr>
        <w:t>.</w:t>
      </w:r>
    </w:p>
    <w:p w14:paraId="0F8533FB" w14:textId="77777777" w:rsidR="00591BF4" w:rsidRPr="00276D5E" w:rsidRDefault="00591BF4" w:rsidP="00591BF4">
      <w:pPr>
        <w:pStyle w:val="BodyText"/>
        <w:spacing w:before="121"/>
        <w:jc w:val="both"/>
        <w:rPr>
          <w:rFonts w:ascii="Arial" w:hAnsi="Arial" w:cs="Arial"/>
        </w:rPr>
      </w:pPr>
      <w:r w:rsidRPr="00591BF4">
        <w:rPr>
          <w:rFonts w:ascii="Arial" w:hAnsi="Arial" w:cs="Arial"/>
          <w:sz w:val="20"/>
        </w:rPr>
        <w:t>In</w:t>
      </w:r>
      <w:r w:rsidRPr="00591BF4">
        <w:rPr>
          <w:rFonts w:ascii="Arial" w:hAnsi="Arial" w:cs="Arial"/>
          <w:spacing w:val="28"/>
          <w:sz w:val="20"/>
        </w:rPr>
        <w:t xml:space="preserve"> </w:t>
      </w:r>
      <w:r w:rsidRPr="00591BF4">
        <w:rPr>
          <w:rFonts w:ascii="Arial" w:hAnsi="Arial" w:cs="Arial"/>
          <w:sz w:val="20"/>
        </w:rPr>
        <w:t>the</w:t>
      </w:r>
      <w:r w:rsidRPr="00591BF4">
        <w:rPr>
          <w:rFonts w:ascii="Arial" w:hAnsi="Arial" w:cs="Arial"/>
          <w:spacing w:val="31"/>
          <w:sz w:val="20"/>
        </w:rPr>
        <w:t xml:space="preserve"> </w:t>
      </w:r>
      <w:r w:rsidRPr="00591BF4">
        <w:rPr>
          <w:rFonts w:ascii="Arial" w:hAnsi="Arial" w:cs="Arial"/>
          <w:sz w:val="20"/>
        </w:rPr>
        <w:t>tables,</w:t>
      </w:r>
      <w:r w:rsidRPr="00591BF4">
        <w:rPr>
          <w:rFonts w:ascii="Arial" w:hAnsi="Arial" w:cs="Arial"/>
          <w:spacing w:val="31"/>
          <w:sz w:val="20"/>
        </w:rPr>
        <w:t xml:space="preserve"> </w:t>
      </w:r>
      <w:r w:rsidRPr="00591BF4">
        <w:rPr>
          <w:rFonts w:ascii="Arial" w:hAnsi="Arial" w:cs="Arial"/>
          <w:sz w:val="20"/>
        </w:rPr>
        <w:t>the</w:t>
      </w:r>
      <w:r w:rsidRPr="00591BF4">
        <w:rPr>
          <w:rFonts w:ascii="Arial" w:hAnsi="Arial" w:cs="Arial"/>
          <w:spacing w:val="28"/>
          <w:sz w:val="20"/>
        </w:rPr>
        <w:t xml:space="preserve"> </w:t>
      </w:r>
      <w:r w:rsidRPr="00591BF4">
        <w:rPr>
          <w:rFonts w:ascii="Arial" w:hAnsi="Arial" w:cs="Arial"/>
          <w:sz w:val="20"/>
        </w:rPr>
        <w:t>term</w:t>
      </w:r>
      <w:r w:rsidRPr="00591BF4">
        <w:rPr>
          <w:rFonts w:ascii="Arial" w:hAnsi="Arial" w:cs="Arial"/>
          <w:spacing w:val="31"/>
          <w:sz w:val="20"/>
        </w:rPr>
        <w:t xml:space="preserve"> </w:t>
      </w:r>
      <w:r w:rsidRPr="00591BF4">
        <w:rPr>
          <w:rFonts w:ascii="Arial" w:hAnsi="Arial" w:cs="Arial"/>
          <w:sz w:val="20"/>
        </w:rPr>
        <w:t>‘CAO(-CAM)’</w:t>
      </w:r>
      <w:r w:rsidRPr="00591BF4">
        <w:rPr>
          <w:rFonts w:ascii="Arial" w:hAnsi="Arial" w:cs="Arial"/>
          <w:spacing w:val="28"/>
          <w:sz w:val="20"/>
        </w:rPr>
        <w:t xml:space="preserve"> </w:t>
      </w:r>
      <w:r w:rsidRPr="00591BF4">
        <w:rPr>
          <w:rFonts w:ascii="Arial" w:hAnsi="Arial" w:cs="Arial"/>
          <w:sz w:val="20"/>
        </w:rPr>
        <w:t>designate</w:t>
      </w:r>
      <w:r w:rsidRPr="00591BF4">
        <w:rPr>
          <w:rFonts w:ascii="Arial" w:hAnsi="Arial" w:cs="Arial"/>
          <w:spacing w:val="29"/>
          <w:sz w:val="20"/>
        </w:rPr>
        <w:t xml:space="preserve"> </w:t>
      </w:r>
      <w:r w:rsidRPr="00591BF4">
        <w:rPr>
          <w:rFonts w:ascii="Arial" w:hAnsi="Arial" w:cs="Arial"/>
          <w:sz w:val="20"/>
        </w:rPr>
        <w:t>a</w:t>
      </w:r>
      <w:r w:rsidRPr="00591BF4">
        <w:rPr>
          <w:rFonts w:ascii="Arial" w:hAnsi="Arial" w:cs="Arial"/>
          <w:spacing w:val="30"/>
          <w:sz w:val="20"/>
        </w:rPr>
        <w:t xml:space="preserve"> </w:t>
      </w:r>
      <w:r w:rsidRPr="00591BF4">
        <w:rPr>
          <w:rFonts w:ascii="Arial" w:hAnsi="Arial" w:cs="Arial"/>
          <w:sz w:val="20"/>
        </w:rPr>
        <w:t>CAO</w:t>
      </w:r>
      <w:r w:rsidRPr="00591BF4">
        <w:rPr>
          <w:rFonts w:ascii="Arial" w:hAnsi="Arial" w:cs="Arial"/>
          <w:spacing w:val="31"/>
          <w:sz w:val="20"/>
        </w:rPr>
        <w:t xml:space="preserve"> </w:t>
      </w:r>
      <w:r w:rsidRPr="00591BF4">
        <w:rPr>
          <w:rFonts w:ascii="Arial" w:hAnsi="Arial" w:cs="Arial"/>
          <w:sz w:val="20"/>
        </w:rPr>
        <w:t>with</w:t>
      </w:r>
      <w:r w:rsidRPr="00591BF4">
        <w:rPr>
          <w:rFonts w:ascii="Arial" w:hAnsi="Arial" w:cs="Arial"/>
          <w:spacing w:val="28"/>
          <w:sz w:val="20"/>
        </w:rPr>
        <w:t xml:space="preserve"> </w:t>
      </w:r>
      <w:r w:rsidRPr="00591BF4">
        <w:rPr>
          <w:rFonts w:ascii="Arial" w:hAnsi="Arial" w:cs="Arial"/>
          <w:sz w:val="20"/>
        </w:rPr>
        <w:t>continuing</w:t>
      </w:r>
      <w:r w:rsidRPr="00591BF4">
        <w:rPr>
          <w:rFonts w:ascii="Arial" w:hAnsi="Arial" w:cs="Arial"/>
          <w:spacing w:val="30"/>
          <w:sz w:val="20"/>
        </w:rPr>
        <w:t xml:space="preserve"> </w:t>
      </w:r>
      <w:r w:rsidRPr="00591BF4">
        <w:rPr>
          <w:rFonts w:ascii="Arial" w:hAnsi="Arial" w:cs="Arial"/>
          <w:sz w:val="20"/>
        </w:rPr>
        <w:t>airworthiness</w:t>
      </w:r>
      <w:r w:rsidRPr="00591BF4">
        <w:rPr>
          <w:rFonts w:ascii="Arial" w:hAnsi="Arial" w:cs="Arial"/>
          <w:spacing w:val="31"/>
          <w:sz w:val="20"/>
        </w:rPr>
        <w:t xml:space="preserve"> </w:t>
      </w:r>
      <w:r w:rsidRPr="00591BF4">
        <w:rPr>
          <w:rFonts w:ascii="Arial" w:hAnsi="Arial" w:cs="Arial"/>
          <w:sz w:val="20"/>
        </w:rPr>
        <w:t>management</w:t>
      </w:r>
      <w:r w:rsidRPr="00591BF4">
        <w:rPr>
          <w:rFonts w:ascii="Arial" w:hAnsi="Arial" w:cs="Arial"/>
          <w:spacing w:val="-47"/>
          <w:sz w:val="20"/>
        </w:rPr>
        <w:t xml:space="preserve"> </w:t>
      </w:r>
      <w:r w:rsidRPr="00591BF4">
        <w:rPr>
          <w:rFonts w:ascii="Arial" w:hAnsi="Arial" w:cs="Arial"/>
          <w:sz w:val="20"/>
        </w:rPr>
        <w:t>privileges</w:t>
      </w:r>
      <w:r w:rsidRPr="00276D5E">
        <w:rPr>
          <w:rFonts w:ascii="Arial" w:hAnsi="Arial" w:cs="Arial"/>
        </w:rPr>
        <w:t>.</w:t>
      </w:r>
    </w:p>
    <w:p w14:paraId="0427E7D9" w14:textId="77777777" w:rsidR="00722524" w:rsidRDefault="00722524" w:rsidP="00722524">
      <w:pPr>
        <w:rPr>
          <w:rFonts w:ascii="Arial" w:eastAsia="Times New Roman" w:hAnsi="Arial" w:cs="Times New Roman"/>
          <w:sz w:val="24"/>
        </w:rPr>
      </w:pPr>
    </w:p>
    <w:tbl>
      <w:tblPr>
        <w:tblStyle w:val="TableGrid31"/>
        <w:tblW w:w="9175" w:type="dxa"/>
        <w:tblLayout w:type="fixed"/>
        <w:tblLook w:val="01E0" w:firstRow="1" w:lastRow="1" w:firstColumn="1" w:lastColumn="1" w:noHBand="0" w:noVBand="0"/>
      </w:tblPr>
      <w:tblGrid>
        <w:gridCol w:w="1615"/>
        <w:gridCol w:w="1350"/>
        <w:gridCol w:w="2250"/>
        <w:gridCol w:w="3960"/>
      </w:tblGrid>
      <w:tr w:rsidR="00944817" w:rsidRPr="00B068AE" w14:paraId="001F25B4" w14:textId="77777777" w:rsidTr="002B64A0">
        <w:trPr>
          <w:trHeight w:val="199"/>
        </w:trPr>
        <w:tc>
          <w:tcPr>
            <w:tcW w:w="1615" w:type="dxa"/>
            <w:vMerge w:val="restart"/>
            <w:shd w:val="clear" w:color="auto" w:fill="F2F2F2" w:themeFill="background1" w:themeFillShade="F2"/>
          </w:tcPr>
          <w:p w14:paraId="09F62423" w14:textId="77777777" w:rsidR="00C44240" w:rsidRPr="00B068AE" w:rsidRDefault="00C44240" w:rsidP="00D67D99">
            <w:pPr>
              <w:pStyle w:val="TableParagraph"/>
              <w:ind w:left="0"/>
              <w:rPr>
                <w:rFonts w:ascii="Arial" w:hAnsi="Arial" w:cs="Arial"/>
                <w:sz w:val="18"/>
              </w:rPr>
            </w:pPr>
          </w:p>
        </w:tc>
        <w:tc>
          <w:tcPr>
            <w:tcW w:w="7560" w:type="dxa"/>
            <w:gridSpan w:val="3"/>
            <w:shd w:val="clear" w:color="auto" w:fill="F2F2F2" w:themeFill="background1" w:themeFillShade="F2"/>
          </w:tcPr>
          <w:p w14:paraId="42D4FDF3" w14:textId="77777777" w:rsidR="00C44240" w:rsidRPr="00B068AE" w:rsidRDefault="00C44240" w:rsidP="00B068AE">
            <w:pPr>
              <w:pStyle w:val="TableParagraph"/>
              <w:tabs>
                <w:tab w:val="left" w:pos="3816"/>
              </w:tabs>
              <w:spacing w:before="1" w:line="222" w:lineRule="exact"/>
              <w:ind w:left="3301" w:right="3373" w:hanging="270"/>
              <w:jc w:val="center"/>
              <w:rPr>
                <w:rFonts w:ascii="Arial" w:hAnsi="Arial" w:cs="Arial"/>
                <w:b/>
                <w:sz w:val="18"/>
              </w:rPr>
            </w:pPr>
            <w:r w:rsidRPr="00B068AE">
              <w:rPr>
                <w:rFonts w:ascii="Arial" w:hAnsi="Arial" w:cs="Arial"/>
                <w:b/>
                <w:sz w:val="18"/>
              </w:rPr>
              <w:t>Balloon</w:t>
            </w:r>
          </w:p>
        </w:tc>
      </w:tr>
      <w:tr w:rsidR="00944817" w:rsidRPr="00B068AE" w14:paraId="39A3D3D4" w14:textId="77777777" w:rsidTr="002B64A0">
        <w:trPr>
          <w:trHeight w:val="201"/>
        </w:trPr>
        <w:tc>
          <w:tcPr>
            <w:tcW w:w="1615" w:type="dxa"/>
            <w:vMerge/>
            <w:shd w:val="clear" w:color="auto" w:fill="F2F2F2" w:themeFill="background1" w:themeFillShade="F2"/>
          </w:tcPr>
          <w:p w14:paraId="45F61660" w14:textId="77777777" w:rsidR="00C44240" w:rsidRPr="00B068AE" w:rsidRDefault="00C44240" w:rsidP="00D67D99">
            <w:pPr>
              <w:rPr>
                <w:rFonts w:ascii="Arial" w:hAnsi="Arial" w:cs="Arial"/>
                <w:sz w:val="18"/>
                <w:szCs w:val="2"/>
              </w:rPr>
            </w:pPr>
          </w:p>
        </w:tc>
        <w:tc>
          <w:tcPr>
            <w:tcW w:w="1350" w:type="dxa"/>
            <w:vMerge w:val="restart"/>
            <w:shd w:val="clear" w:color="auto" w:fill="F2F2F2" w:themeFill="background1" w:themeFillShade="F2"/>
          </w:tcPr>
          <w:p w14:paraId="0CC52C42" w14:textId="77777777" w:rsidR="00C44240" w:rsidRPr="00B068AE" w:rsidRDefault="00C44240" w:rsidP="00CF0716">
            <w:pPr>
              <w:pStyle w:val="TableParagraph"/>
              <w:ind w:left="0"/>
              <w:jc w:val="center"/>
              <w:rPr>
                <w:rFonts w:ascii="Arial" w:hAnsi="Arial" w:cs="Arial"/>
                <w:b/>
                <w:sz w:val="18"/>
              </w:rPr>
            </w:pPr>
            <w:r w:rsidRPr="00B068AE">
              <w:rPr>
                <w:rFonts w:ascii="Arial" w:hAnsi="Arial" w:cs="Arial"/>
                <w:b/>
                <w:sz w:val="18"/>
              </w:rPr>
              <w:t>Part-BOP</w:t>
            </w:r>
            <w:r w:rsidRPr="00B068AE">
              <w:rPr>
                <w:rFonts w:ascii="Arial" w:hAnsi="Arial" w:cs="Arial"/>
                <w:b/>
                <w:spacing w:val="1"/>
                <w:sz w:val="18"/>
              </w:rPr>
              <w:t xml:space="preserve"> </w:t>
            </w:r>
            <w:r w:rsidRPr="00B068AE">
              <w:rPr>
                <w:rFonts w:ascii="Arial" w:hAnsi="Arial" w:cs="Arial"/>
                <w:b/>
                <w:sz w:val="18"/>
              </w:rPr>
              <w:t>Subpart</w:t>
            </w:r>
            <w:r w:rsidRPr="00B068AE">
              <w:rPr>
                <w:rFonts w:ascii="Arial" w:hAnsi="Arial" w:cs="Arial"/>
                <w:b/>
                <w:spacing w:val="-8"/>
                <w:sz w:val="18"/>
              </w:rPr>
              <w:t xml:space="preserve"> </w:t>
            </w:r>
            <w:r w:rsidRPr="00B068AE">
              <w:rPr>
                <w:rFonts w:ascii="Arial" w:hAnsi="Arial" w:cs="Arial"/>
                <w:b/>
                <w:sz w:val="18"/>
              </w:rPr>
              <w:t>ADD</w:t>
            </w:r>
          </w:p>
        </w:tc>
        <w:tc>
          <w:tcPr>
            <w:tcW w:w="6210" w:type="dxa"/>
            <w:gridSpan w:val="2"/>
            <w:shd w:val="clear" w:color="auto" w:fill="F2F2F2" w:themeFill="background1" w:themeFillShade="F2"/>
          </w:tcPr>
          <w:p w14:paraId="033F9781" w14:textId="77777777" w:rsidR="00C44240" w:rsidRPr="00B068AE" w:rsidRDefault="00C44240" w:rsidP="00D67D99">
            <w:pPr>
              <w:pStyle w:val="TableParagraph"/>
              <w:spacing w:line="225" w:lineRule="exact"/>
              <w:ind w:left="1858"/>
              <w:rPr>
                <w:rFonts w:ascii="Arial" w:hAnsi="Arial" w:cs="Arial"/>
                <w:b/>
                <w:sz w:val="18"/>
              </w:rPr>
            </w:pPr>
            <w:r w:rsidRPr="00B068AE">
              <w:rPr>
                <w:rFonts w:ascii="Arial" w:hAnsi="Arial" w:cs="Arial"/>
                <w:b/>
                <w:sz w:val="18"/>
              </w:rPr>
              <w:t>Part-BOP</w:t>
            </w:r>
            <w:r w:rsidRPr="00B068AE">
              <w:rPr>
                <w:rFonts w:ascii="Arial" w:hAnsi="Arial" w:cs="Arial"/>
                <w:b/>
                <w:spacing w:val="-5"/>
                <w:sz w:val="18"/>
              </w:rPr>
              <w:t xml:space="preserve"> </w:t>
            </w:r>
            <w:r w:rsidRPr="00B068AE">
              <w:rPr>
                <w:rFonts w:ascii="Arial" w:hAnsi="Arial" w:cs="Arial"/>
                <w:b/>
                <w:sz w:val="18"/>
              </w:rPr>
              <w:t>non-Subpart</w:t>
            </w:r>
            <w:r w:rsidRPr="00B068AE">
              <w:rPr>
                <w:rFonts w:ascii="Arial" w:hAnsi="Arial" w:cs="Arial"/>
                <w:b/>
                <w:spacing w:val="-4"/>
                <w:sz w:val="18"/>
              </w:rPr>
              <w:t xml:space="preserve"> </w:t>
            </w:r>
            <w:r w:rsidRPr="00B068AE">
              <w:rPr>
                <w:rFonts w:ascii="Arial" w:hAnsi="Arial" w:cs="Arial"/>
                <w:b/>
                <w:sz w:val="18"/>
              </w:rPr>
              <w:t>ADD</w:t>
            </w:r>
          </w:p>
        </w:tc>
      </w:tr>
      <w:tr w:rsidR="00B068AE" w:rsidRPr="00B068AE" w14:paraId="1AFF652B" w14:textId="77777777" w:rsidTr="002B64A0">
        <w:trPr>
          <w:trHeight w:val="198"/>
        </w:trPr>
        <w:tc>
          <w:tcPr>
            <w:tcW w:w="1615" w:type="dxa"/>
            <w:vMerge/>
            <w:shd w:val="clear" w:color="auto" w:fill="F2F2F2" w:themeFill="background1" w:themeFillShade="F2"/>
          </w:tcPr>
          <w:p w14:paraId="5D024D0C" w14:textId="77777777" w:rsidR="00B068AE" w:rsidRPr="00B068AE" w:rsidRDefault="00B068AE" w:rsidP="00B068AE">
            <w:pPr>
              <w:rPr>
                <w:rFonts w:ascii="Arial" w:hAnsi="Arial" w:cs="Arial"/>
                <w:sz w:val="18"/>
                <w:szCs w:val="2"/>
              </w:rPr>
            </w:pPr>
          </w:p>
        </w:tc>
        <w:tc>
          <w:tcPr>
            <w:tcW w:w="1350" w:type="dxa"/>
            <w:vMerge/>
            <w:shd w:val="clear" w:color="auto" w:fill="F2F2F2" w:themeFill="background1" w:themeFillShade="F2"/>
          </w:tcPr>
          <w:p w14:paraId="3C52BED2" w14:textId="77777777" w:rsidR="00B068AE" w:rsidRPr="00B068AE" w:rsidRDefault="00B068AE" w:rsidP="00B068AE">
            <w:pPr>
              <w:rPr>
                <w:rFonts w:ascii="Arial" w:hAnsi="Arial" w:cs="Arial"/>
                <w:sz w:val="18"/>
                <w:szCs w:val="2"/>
              </w:rPr>
            </w:pPr>
          </w:p>
        </w:tc>
        <w:tc>
          <w:tcPr>
            <w:tcW w:w="2250" w:type="dxa"/>
            <w:shd w:val="clear" w:color="auto" w:fill="F2F2F2" w:themeFill="background1" w:themeFillShade="F2"/>
          </w:tcPr>
          <w:p w14:paraId="4D6F42A0" w14:textId="77777777" w:rsidR="00B068AE" w:rsidRPr="00B068AE" w:rsidRDefault="00B068AE" w:rsidP="00CF0716">
            <w:pPr>
              <w:pStyle w:val="TableParagraph"/>
              <w:spacing w:line="222" w:lineRule="exact"/>
              <w:ind w:left="-90"/>
              <w:jc w:val="center"/>
              <w:rPr>
                <w:rFonts w:ascii="Arial" w:hAnsi="Arial" w:cs="Arial"/>
                <w:b/>
                <w:sz w:val="18"/>
              </w:rPr>
            </w:pPr>
            <w:r>
              <w:rPr>
                <w:rFonts w:ascii="Arial" w:hAnsi="Arial" w:cs="Arial"/>
                <w:b/>
                <w:sz w:val="18"/>
              </w:rPr>
              <w:t>commercial ATO/DTO</w:t>
            </w:r>
          </w:p>
        </w:tc>
        <w:tc>
          <w:tcPr>
            <w:tcW w:w="3960" w:type="dxa"/>
            <w:shd w:val="clear" w:color="auto" w:fill="F2F2F2" w:themeFill="background1" w:themeFillShade="F2"/>
          </w:tcPr>
          <w:p w14:paraId="405BC0C7" w14:textId="77777777" w:rsidR="00B068AE" w:rsidRPr="00B068AE" w:rsidRDefault="00B068AE" w:rsidP="00CF0716">
            <w:pPr>
              <w:pStyle w:val="TableParagraph"/>
              <w:spacing w:line="222" w:lineRule="exact"/>
              <w:ind w:left="-90"/>
              <w:jc w:val="center"/>
              <w:rPr>
                <w:rFonts w:ascii="Arial" w:hAnsi="Arial" w:cs="Arial"/>
                <w:b/>
                <w:sz w:val="18"/>
              </w:rPr>
            </w:pPr>
            <w:r>
              <w:rPr>
                <w:rFonts w:ascii="Arial" w:hAnsi="Arial" w:cs="Arial"/>
                <w:b/>
                <w:sz w:val="18"/>
              </w:rPr>
              <w:t>Non-ATO/DTO</w:t>
            </w:r>
            <w:r w:rsidR="00CF0716">
              <w:rPr>
                <w:rFonts w:ascii="Arial" w:hAnsi="Arial" w:cs="Arial"/>
                <w:b/>
                <w:sz w:val="18"/>
              </w:rPr>
              <w:t xml:space="preserve"> or non-commercial </w:t>
            </w:r>
            <w:r>
              <w:rPr>
                <w:rFonts w:ascii="Arial" w:hAnsi="Arial" w:cs="Arial"/>
                <w:b/>
                <w:sz w:val="18"/>
              </w:rPr>
              <w:t>ATO/DTO</w:t>
            </w:r>
          </w:p>
        </w:tc>
      </w:tr>
      <w:tr w:rsidR="00B068AE" w:rsidRPr="00B068AE" w14:paraId="4331BA55" w14:textId="77777777" w:rsidTr="002B64A0">
        <w:trPr>
          <w:trHeight w:val="688"/>
        </w:trPr>
        <w:tc>
          <w:tcPr>
            <w:tcW w:w="1615" w:type="dxa"/>
            <w:shd w:val="clear" w:color="auto" w:fill="F2F2F2" w:themeFill="background1" w:themeFillShade="F2"/>
          </w:tcPr>
          <w:p w14:paraId="52D8D20D" w14:textId="19608487" w:rsidR="00B068AE" w:rsidRPr="00B068AE" w:rsidRDefault="00B068AE" w:rsidP="00C47349">
            <w:pPr>
              <w:pStyle w:val="TableParagraph"/>
              <w:ind w:left="0" w:right="-53"/>
              <w:rPr>
                <w:rFonts w:ascii="Arial" w:hAnsi="Arial" w:cs="Arial"/>
                <w:b/>
                <w:sz w:val="18"/>
              </w:rPr>
            </w:pPr>
            <w:r w:rsidRPr="00B068AE">
              <w:rPr>
                <w:rFonts w:ascii="Arial" w:hAnsi="Arial" w:cs="Arial"/>
                <w:b/>
                <w:sz w:val="18"/>
              </w:rPr>
              <w:t>Contract with</w:t>
            </w:r>
            <w:r w:rsidR="00CF0716">
              <w:rPr>
                <w:rFonts w:ascii="Arial" w:hAnsi="Arial" w:cs="Arial"/>
                <w:b/>
                <w:spacing w:val="-43"/>
                <w:sz w:val="18"/>
              </w:rPr>
              <w:t xml:space="preserve"> </w:t>
            </w:r>
            <w:r w:rsidRPr="00B068AE">
              <w:rPr>
                <w:rFonts w:ascii="Arial" w:hAnsi="Arial" w:cs="Arial"/>
                <w:b/>
                <w:sz w:val="18"/>
              </w:rPr>
              <w:t>CAMO/CAO</w:t>
            </w:r>
            <w:r w:rsidR="00C47349">
              <w:rPr>
                <w:rFonts w:ascii="Arial" w:hAnsi="Arial" w:cs="Arial"/>
                <w:b/>
                <w:sz w:val="18"/>
              </w:rPr>
              <w:t xml:space="preserve"> </w:t>
            </w:r>
            <w:r w:rsidRPr="00B068AE">
              <w:rPr>
                <w:rFonts w:ascii="Arial" w:hAnsi="Arial" w:cs="Arial"/>
                <w:b/>
                <w:sz w:val="18"/>
              </w:rPr>
              <w:t>(CAM)</w:t>
            </w:r>
            <w:r w:rsidRPr="00B068AE">
              <w:rPr>
                <w:rFonts w:ascii="Arial" w:hAnsi="Arial" w:cs="Arial"/>
                <w:b/>
                <w:spacing w:val="-3"/>
                <w:sz w:val="18"/>
              </w:rPr>
              <w:t xml:space="preserve"> </w:t>
            </w:r>
            <w:r w:rsidRPr="00B068AE">
              <w:rPr>
                <w:rFonts w:ascii="Arial" w:hAnsi="Arial" w:cs="Arial"/>
                <w:b/>
                <w:sz w:val="18"/>
              </w:rPr>
              <w:t>required?</w:t>
            </w:r>
          </w:p>
        </w:tc>
        <w:tc>
          <w:tcPr>
            <w:tcW w:w="1350" w:type="dxa"/>
          </w:tcPr>
          <w:p w14:paraId="62FF15BC" w14:textId="77777777" w:rsidR="00B068AE" w:rsidRPr="00B068AE" w:rsidRDefault="00B068AE" w:rsidP="00B068AE">
            <w:pPr>
              <w:pStyle w:val="TableParagraph"/>
              <w:rPr>
                <w:rFonts w:ascii="Arial" w:hAnsi="Arial" w:cs="Arial"/>
                <w:sz w:val="18"/>
              </w:rPr>
            </w:pPr>
            <w:r w:rsidRPr="00B068AE">
              <w:rPr>
                <w:rFonts w:ascii="Arial" w:hAnsi="Arial" w:cs="Arial"/>
                <w:sz w:val="18"/>
              </w:rPr>
              <w:t>yes</w:t>
            </w:r>
          </w:p>
        </w:tc>
        <w:tc>
          <w:tcPr>
            <w:tcW w:w="2250" w:type="dxa"/>
          </w:tcPr>
          <w:p w14:paraId="6EF1C568" w14:textId="77777777" w:rsidR="00B068AE" w:rsidRPr="00B068AE" w:rsidRDefault="00B068AE" w:rsidP="00B068AE">
            <w:pPr>
              <w:pStyle w:val="TableParagraph"/>
              <w:rPr>
                <w:rFonts w:ascii="Arial" w:hAnsi="Arial" w:cs="Arial"/>
                <w:sz w:val="18"/>
              </w:rPr>
            </w:pPr>
            <w:r w:rsidRPr="00B068AE">
              <w:rPr>
                <w:rFonts w:ascii="Arial" w:hAnsi="Arial" w:cs="Arial"/>
                <w:sz w:val="18"/>
              </w:rPr>
              <w:t>yes</w:t>
            </w:r>
          </w:p>
        </w:tc>
        <w:tc>
          <w:tcPr>
            <w:tcW w:w="3960" w:type="dxa"/>
          </w:tcPr>
          <w:p w14:paraId="4C2F0723" w14:textId="77777777" w:rsidR="00B068AE" w:rsidRPr="00B068AE" w:rsidRDefault="00B068AE" w:rsidP="00B068AE">
            <w:pPr>
              <w:pStyle w:val="TableParagraph"/>
              <w:ind w:left="84"/>
              <w:rPr>
                <w:rFonts w:ascii="Arial" w:hAnsi="Arial" w:cs="Arial"/>
                <w:sz w:val="18"/>
              </w:rPr>
            </w:pPr>
            <w:r w:rsidRPr="00B068AE">
              <w:rPr>
                <w:rFonts w:ascii="Arial" w:hAnsi="Arial" w:cs="Arial"/>
                <w:sz w:val="18"/>
              </w:rPr>
              <w:t>no*</w:t>
            </w:r>
          </w:p>
        </w:tc>
      </w:tr>
      <w:tr w:rsidR="00B068AE" w:rsidRPr="00B068AE" w14:paraId="5C68B7CD" w14:textId="77777777" w:rsidTr="002B64A0">
        <w:trPr>
          <w:trHeight w:val="444"/>
        </w:trPr>
        <w:tc>
          <w:tcPr>
            <w:tcW w:w="1615" w:type="dxa"/>
            <w:vMerge w:val="restart"/>
            <w:shd w:val="clear" w:color="auto" w:fill="F2F2F2" w:themeFill="background1" w:themeFillShade="F2"/>
          </w:tcPr>
          <w:p w14:paraId="65C628F1" w14:textId="77777777" w:rsidR="00B068AE" w:rsidRPr="00B068AE" w:rsidRDefault="00B068AE" w:rsidP="00C47349">
            <w:pPr>
              <w:pStyle w:val="TableParagraph"/>
              <w:spacing w:before="1"/>
              <w:ind w:left="0" w:right="-53"/>
              <w:rPr>
                <w:rFonts w:ascii="Arial" w:hAnsi="Arial" w:cs="Arial"/>
                <w:b/>
                <w:sz w:val="18"/>
              </w:rPr>
            </w:pPr>
            <w:r w:rsidRPr="00B068AE">
              <w:rPr>
                <w:rFonts w:ascii="Arial" w:hAnsi="Arial" w:cs="Arial"/>
                <w:b/>
                <w:sz w:val="18"/>
              </w:rPr>
              <w:t>Aircraft</w:t>
            </w:r>
            <w:r w:rsidRPr="00B068AE">
              <w:rPr>
                <w:rFonts w:ascii="Arial" w:hAnsi="Arial" w:cs="Arial"/>
                <w:b/>
                <w:spacing w:val="1"/>
                <w:sz w:val="18"/>
              </w:rPr>
              <w:t xml:space="preserve"> </w:t>
            </w:r>
            <w:r w:rsidRPr="00B068AE">
              <w:rPr>
                <w:rFonts w:ascii="Arial" w:hAnsi="Arial" w:cs="Arial"/>
                <w:b/>
                <w:sz w:val="18"/>
              </w:rPr>
              <w:t>maintenance</w:t>
            </w:r>
            <w:r w:rsidRPr="00B068AE">
              <w:rPr>
                <w:rFonts w:ascii="Arial" w:hAnsi="Arial" w:cs="Arial"/>
                <w:b/>
                <w:spacing w:val="-43"/>
                <w:sz w:val="18"/>
              </w:rPr>
              <w:t xml:space="preserve"> </w:t>
            </w:r>
            <w:r w:rsidRPr="00B068AE">
              <w:rPr>
                <w:rFonts w:ascii="Arial" w:hAnsi="Arial" w:cs="Arial"/>
                <w:b/>
                <w:sz w:val="18"/>
              </w:rPr>
              <w:t>programme</w:t>
            </w:r>
            <w:r w:rsidR="00CF0716">
              <w:rPr>
                <w:rFonts w:ascii="Arial" w:hAnsi="Arial" w:cs="Arial"/>
                <w:b/>
                <w:spacing w:val="1"/>
                <w:sz w:val="18"/>
              </w:rPr>
              <w:t xml:space="preserve"> </w:t>
            </w:r>
            <w:r w:rsidRPr="00B068AE">
              <w:rPr>
                <w:rFonts w:ascii="Arial" w:hAnsi="Arial" w:cs="Arial"/>
                <w:b/>
                <w:sz w:val="18"/>
              </w:rPr>
              <w:t>(AMP)</w:t>
            </w:r>
          </w:p>
        </w:tc>
        <w:tc>
          <w:tcPr>
            <w:tcW w:w="3600" w:type="dxa"/>
            <w:gridSpan w:val="2"/>
            <w:vMerge w:val="restart"/>
          </w:tcPr>
          <w:p w14:paraId="7E1D8C20" w14:textId="77777777" w:rsidR="00B068AE" w:rsidRPr="00B068AE" w:rsidRDefault="00B068AE" w:rsidP="00B068AE">
            <w:pPr>
              <w:pStyle w:val="TableParagraph"/>
              <w:spacing w:before="1"/>
              <w:ind w:right="128"/>
              <w:rPr>
                <w:rFonts w:ascii="Arial" w:hAnsi="Arial" w:cs="Arial"/>
                <w:sz w:val="18"/>
              </w:rPr>
            </w:pPr>
            <w:r w:rsidRPr="00B068AE">
              <w:rPr>
                <w:rFonts w:ascii="Arial" w:hAnsi="Arial" w:cs="Arial"/>
                <w:sz w:val="18"/>
              </w:rPr>
              <w:t>The AMP document must be approved</w:t>
            </w:r>
            <w:r w:rsidRPr="00B068AE">
              <w:rPr>
                <w:rFonts w:ascii="Arial" w:hAnsi="Arial" w:cs="Arial"/>
                <w:spacing w:val="-43"/>
                <w:sz w:val="18"/>
              </w:rPr>
              <w:t xml:space="preserve"> </w:t>
            </w:r>
            <w:r w:rsidRPr="00B068AE">
              <w:rPr>
                <w:rFonts w:ascii="Arial" w:hAnsi="Arial" w:cs="Arial"/>
                <w:sz w:val="18"/>
              </w:rPr>
              <w:t>by</w:t>
            </w:r>
            <w:r w:rsidRPr="00B068AE">
              <w:rPr>
                <w:rFonts w:ascii="Arial" w:hAnsi="Arial" w:cs="Arial"/>
                <w:spacing w:val="-2"/>
                <w:sz w:val="18"/>
              </w:rPr>
              <w:t xml:space="preserve"> </w:t>
            </w:r>
            <w:r w:rsidRPr="00B068AE">
              <w:rPr>
                <w:rFonts w:ascii="Arial" w:hAnsi="Arial" w:cs="Arial"/>
                <w:sz w:val="18"/>
              </w:rPr>
              <w:t>the</w:t>
            </w:r>
            <w:r w:rsidRPr="00B068AE">
              <w:rPr>
                <w:rFonts w:ascii="Arial" w:hAnsi="Arial" w:cs="Arial"/>
                <w:spacing w:val="-2"/>
                <w:sz w:val="18"/>
              </w:rPr>
              <w:t xml:space="preserve"> </w:t>
            </w:r>
            <w:r w:rsidRPr="00B068AE">
              <w:rPr>
                <w:rFonts w:ascii="Arial" w:hAnsi="Arial" w:cs="Arial"/>
                <w:sz w:val="18"/>
              </w:rPr>
              <w:t>contracted</w:t>
            </w:r>
            <w:r w:rsidRPr="00B068AE">
              <w:rPr>
                <w:rFonts w:ascii="Arial" w:hAnsi="Arial" w:cs="Arial"/>
                <w:spacing w:val="-2"/>
                <w:sz w:val="18"/>
              </w:rPr>
              <w:t xml:space="preserve"> </w:t>
            </w:r>
            <w:r w:rsidRPr="00B068AE">
              <w:rPr>
                <w:rFonts w:ascii="Arial" w:hAnsi="Arial" w:cs="Arial"/>
                <w:sz w:val="18"/>
              </w:rPr>
              <w:t>CAMO/CAO(-CAM)</w:t>
            </w:r>
          </w:p>
        </w:tc>
        <w:tc>
          <w:tcPr>
            <w:tcW w:w="3960" w:type="dxa"/>
          </w:tcPr>
          <w:p w14:paraId="4E959B04" w14:textId="77777777" w:rsidR="00B068AE" w:rsidRPr="00B068AE" w:rsidRDefault="00B068AE" w:rsidP="00B068AE">
            <w:pPr>
              <w:pStyle w:val="TableParagraph"/>
              <w:spacing w:line="240" w:lineRule="atLeast"/>
              <w:ind w:left="84" w:right="312"/>
              <w:rPr>
                <w:rFonts w:ascii="Arial" w:hAnsi="Arial" w:cs="Arial"/>
                <w:sz w:val="18"/>
              </w:rPr>
            </w:pPr>
            <w:r w:rsidRPr="00B068AE">
              <w:rPr>
                <w:rFonts w:ascii="Arial" w:hAnsi="Arial" w:cs="Arial"/>
                <w:sz w:val="18"/>
              </w:rPr>
              <w:t>If there is no CAMO/CAO(-CAM), the AMP</w:t>
            </w:r>
            <w:r w:rsidRPr="00B068AE">
              <w:rPr>
                <w:rFonts w:ascii="Arial" w:hAnsi="Arial" w:cs="Arial"/>
                <w:spacing w:val="-43"/>
                <w:sz w:val="18"/>
              </w:rPr>
              <w:t xml:space="preserve"> </w:t>
            </w:r>
            <w:r w:rsidRPr="00B068AE">
              <w:rPr>
                <w:rFonts w:ascii="Arial" w:hAnsi="Arial" w:cs="Arial"/>
                <w:sz w:val="18"/>
              </w:rPr>
              <w:t>must</w:t>
            </w:r>
            <w:r w:rsidRPr="00B068AE">
              <w:rPr>
                <w:rFonts w:ascii="Arial" w:hAnsi="Arial" w:cs="Arial"/>
                <w:spacing w:val="-1"/>
                <w:sz w:val="18"/>
              </w:rPr>
              <w:t xml:space="preserve"> </w:t>
            </w:r>
            <w:r w:rsidRPr="00B068AE">
              <w:rPr>
                <w:rFonts w:ascii="Arial" w:hAnsi="Arial" w:cs="Arial"/>
                <w:sz w:val="18"/>
              </w:rPr>
              <w:t>be</w:t>
            </w:r>
            <w:r w:rsidRPr="00B068AE">
              <w:rPr>
                <w:rFonts w:ascii="Arial" w:hAnsi="Arial" w:cs="Arial"/>
                <w:spacing w:val="-2"/>
                <w:sz w:val="18"/>
              </w:rPr>
              <w:t xml:space="preserve"> </w:t>
            </w:r>
            <w:r w:rsidRPr="00B068AE">
              <w:rPr>
                <w:rFonts w:ascii="Arial" w:hAnsi="Arial" w:cs="Arial"/>
                <w:sz w:val="18"/>
              </w:rPr>
              <w:t>declared by</w:t>
            </w:r>
            <w:r w:rsidRPr="00B068AE">
              <w:rPr>
                <w:rFonts w:ascii="Arial" w:hAnsi="Arial" w:cs="Arial"/>
                <w:spacing w:val="-1"/>
                <w:sz w:val="18"/>
              </w:rPr>
              <w:t xml:space="preserve"> </w:t>
            </w:r>
            <w:r w:rsidRPr="00B068AE">
              <w:rPr>
                <w:rFonts w:ascii="Arial" w:hAnsi="Arial" w:cs="Arial"/>
                <w:sz w:val="18"/>
              </w:rPr>
              <w:t>the</w:t>
            </w:r>
            <w:r w:rsidRPr="00B068AE">
              <w:rPr>
                <w:rFonts w:ascii="Arial" w:hAnsi="Arial" w:cs="Arial"/>
                <w:spacing w:val="-1"/>
                <w:sz w:val="18"/>
              </w:rPr>
              <w:t xml:space="preserve"> </w:t>
            </w:r>
            <w:r w:rsidRPr="00B068AE">
              <w:rPr>
                <w:rFonts w:ascii="Arial" w:hAnsi="Arial" w:cs="Arial"/>
                <w:sz w:val="18"/>
              </w:rPr>
              <w:t>owner.</w:t>
            </w:r>
          </w:p>
        </w:tc>
      </w:tr>
      <w:tr w:rsidR="00B068AE" w:rsidRPr="00B068AE" w14:paraId="0EF15346" w14:textId="77777777" w:rsidTr="002B64A0">
        <w:trPr>
          <w:trHeight w:val="688"/>
        </w:trPr>
        <w:tc>
          <w:tcPr>
            <w:tcW w:w="1615" w:type="dxa"/>
            <w:vMerge/>
            <w:shd w:val="clear" w:color="auto" w:fill="F2F2F2" w:themeFill="background1" w:themeFillShade="F2"/>
          </w:tcPr>
          <w:p w14:paraId="38601B06" w14:textId="77777777" w:rsidR="00B068AE" w:rsidRPr="00B068AE" w:rsidRDefault="00B068AE" w:rsidP="00B068AE">
            <w:pPr>
              <w:rPr>
                <w:rFonts w:ascii="Arial" w:hAnsi="Arial" w:cs="Arial"/>
                <w:sz w:val="18"/>
                <w:szCs w:val="2"/>
              </w:rPr>
            </w:pPr>
          </w:p>
        </w:tc>
        <w:tc>
          <w:tcPr>
            <w:tcW w:w="3600" w:type="dxa"/>
            <w:gridSpan w:val="2"/>
            <w:vMerge/>
          </w:tcPr>
          <w:p w14:paraId="59F99011" w14:textId="77777777" w:rsidR="00B068AE" w:rsidRPr="00B068AE" w:rsidRDefault="00B068AE" w:rsidP="00B068AE">
            <w:pPr>
              <w:rPr>
                <w:rFonts w:ascii="Arial" w:hAnsi="Arial" w:cs="Arial"/>
                <w:sz w:val="18"/>
                <w:szCs w:val="2"/>
              </w:rPr>
            </w:pPr>
          </w:p>
        </w:tc>
        <w:tc>
          <w:tcPr>
            <w:tcW w:w="3960" w:type="dxa"/>
          </w:tcPr>
          <w:p w14:paraId="5618C2AD" w14:textId="77777777" w:rsidR="00B068AE" w:rsidRPr="00B068AE" w:rsidRDefault="00B068AE" w:rsidP="00B068AE">
            <w:pPr>
              <w:pStyle w:val="TableParagraph"/>
              <w:spacing w:line="240" w:lineRule="atLeast"/>
              <w:ind w:left="84" w:right="312"/>
              <w:rPr>
                <w:rFonts w:ascii="Arial" w:hAnsi="Arial" w:cs="Arial"/>
                <w:sz w:val="18"/>
              </w:rPr>
            </w:pPr>
            <w:r w:rsidRPr="00B068AE">
              <w:rPr>
                <w:rFonts w:ascii="Arial" w:hAnsi="Arial" w:cs="Arial"/>
                <w:sz w:val="18"/>
              </w:rPr>
              <w:t>If there is a contracted CAMO/CAO(-CAM),</w:t>
            </w:r>
            <w:r w:rsidRPr="00B068AE">
              <w:rPr>
                <w:rFonts w:ascii="Arial" w:hAnsi="Arial" w:cs="Arial"/>
                <w:spacing w:val="-43"/>
                <w:sz w:val="18"/>
              </w:rPr>
              <w:t xml:space="preserve"> </w:t>
            </w:r>
            <w:r w:rsidRPr="00B068AE">
              <w:rPr>
                <w:rFonts w:ascii="Arial" w:hAnsi="Arial" w:cs="Arial"/>
                <w:sz w:val="18"/>
              </w:rPr>
              <w:t>the AMP must be approved by the</w:t>
            </w:r>
            <w:r w:rsidRPr="00B068AE">
              <w:rPr>
                <w:rFonts w:ascii="Arial" w:hAnsi="Arial" w:cs="Arial"/>
                <w:spacing w:val="1"/>
                <w:sz w:val="18"/>
              </w:rPr>
              <w:t xml:space="preserve"> </w:t>
            </w:r>
            <w:r w:rsidRPr="00B068AE">
              <w:rPr>
                <w:rFonts w:ascii="Arial" w:hAnsi="Arial" w:cs="Arial"/>
                <w:sz w:val="18"/>
              </w:rPr>
              <w:t>CAMO/CAO(-CAM).</w:t>
            </w:r>
          </w:p>
        </w:tc>
      </w:tr>
      <w:tr w:rsidR="00B068AE" w:rsidRPr="00B068AE" w14:paraId="5E6AB152" w14:textId="77777777" w:rsidTr="002B64A0">
        <w:trPr>
          <w:trHeight w:val="201"/>
        </w:trPr>
        <w:tc>
          <w:tcPr>
            <w:tcW w:w="1615" w:type="dxa"/>
            <w:vMerge/>
            <w:shd w:val="clear" w:color="auto" w:fill="F2F2F2" w:themeFill="background1" w:themeFillShade="F2"/>
          </w:tcPr>
          <w:p w14:paraId="5B145189" w14:textId="77777777" w:rsidR="00B068AE" w:rsidRPr="00B068AE" w:rsidRDefault="00B068AE" w:rsidP="00B068AE">
            <w:pPr>
              <w:rPr>
                <w:rFonts w:ascii="Arial" w:hAnsi="Arial" w:cs="Arial"/>
                <w:sz w:val="18"/>
                <w:szCs w:val="2"/>
              </w:rPr>
            </w:pPr>
          </w:p>
        </w:tc>
        <w:tc>
          <w:tcPr>
            <w:tcW w:w="7560" w:type="dxa"/>
            <w:gridSpan w:val="3"/>
          </w:tcPr>
          <w:p w14:paraId="3588DBF2" w14:textId="77777777" w:rsidR="00B068AE" w:rsidRPr="00B068AE" w:rsidRDefault="00B068AE" w:rsidP="00B068AE">
            <w:pPr>
              <w:pStyle w:val="TableParagraph"/>
              <w:spacing w:line="225" w:lineRule="exact"/>
              <w:rPr>
                <w:rFonts w:ascii="Arial" w:hAnsi="Arial" w:cs="Arial"/>
                <w:sz w:val="18"/>
              </w:rPr>
            </w:pPr>
            <w:r w:rsidRPr="00B068AE">
              <w:rPr>
                <w:rFonts w:ascii="Arial" w:hAnsi="Arial" w:cs="Arial"/>
                <w:sz w:val="18"/>
              </w:rPr>
              <w:t>If</w:t>
            </w:r>
            <w:r w:rsidRPr="00B068AE">
              <w:rPr>
                <w:rFonts w:ascii="Arial" w:hAnsi="Arial" w:cs="Arial"/>
                <w:spacing w:val="-3"/>
                <w:sz w:val="18"/>
              </w:rPr>
              <w:t xml:space="preserve"> </w:t>
            </w:r>
            <w:r w:rsidRPr="00B068AE">
              <w:rPr>
                <w:rFonts w:ascii="Arial" w:hAnsi="Arial" w:cs="Arial"/>
                <w:sz w:val="18"/>
              </w:rPr>
              <w:t>ML.A.302(e)</w:t>
            </w:r>
            <w:r w:rsidRPr="00B068AE">
              <w:rPr>
                <w:rFonts w:ascii="Arial" w:hAnsi="Arial" w:cs="Arial"/>
                <w:spacing w:val="-3"/>
                <w:sz w:val="18"/>
              </w:rPr>
              <w:t xml:space="preserve"> </w:t>
            </w:r>
            <w:r w:rsidRPr="00B068AE">
              <w:rPr>
                <w:rFonts w:ascii="Arial" w:hAnsi="Arial" w:cs="Arial"/>
                <w:sz w:val="18"/>
              </w:rPr>
              <w:t>conditions</w:t>
            </w:r>
            <w:r w:rsidRPr="00B068AE">
              <w:rPr>
                <w:rFonts w:ascii="Arial" w:hAnsi="Arial" w:cs="Arial"/>
                <w:spacing w:val="-4"/>
                <w:sz w:val="18"/>
              </w:rPr>
              <w:t xml:space="preserve"> </w:t>
            </w:r>
            <w:r w:rsidRPr="00B068AE">
              <w:rPr>
                <w:rFonts w:ascii="Arial" w:hAnsi="Arial" w:cs="Arial"/>
                <w:sz w:val="18"/>
              </w:rPr>
              <w:t>are</w:t>
            </w:r>
            <w:r w:rsidRPr="00B068AE">
              <w:rPr>
                <w:rFonts w:ascii="Arial" w:hAnsi="Arial" w:cs="Arial"/>
                <w:spacing w:val="-1"/>
                <w:sz w:val="18"/>
              </w:rPr>
              <w:t xml:space="preserve"> </w:t>
            </w:r>
            <w:r w:rsidRPr="00B068AE">
              <w:rPr>
                <w:rFonts w:ascii="Arial" w:hAnsi="Arial" w:cs="Arial"/>
                <w:sz w:val="18"/>
              </w:rPr>
              <w:t>met,</w:t>
            </w:r>
            <w:r w:rsidRPr="00B068AE">
              <w:rPr>
                <w:rFonts w:ascii="Arial" w:hAnsi="Arial" w:cs="Arial"/>
                <w:spacing w:val="-2"/>
                <w:sz w:val="18"/>
              </w:rPr>
              <w:t xml:space="preserve"> </w:t>
            </w:r>
            <w:r w:rsidRPr="00B068AE">
              <w:rPr>
                <w:rFonts w:ascii="Arial" w:hAnsi="Arial" w:cs="Arial"/>
                <w:sz w:val="18"/>
              </w:rPr>
              <w:t>producing</w:t>
            </w:r>
            <w:r w:rsidRPr="00B068AE">
              <w:rPr>
                <w:rFonts w:ascii="Arial" w:hAnsi="Arial" w:cs="Arial"/>
                <w:spacing w:val="-2"/>
                <w:sz w:val="18"/>
              </w:rPr>
              <w:t xml:space="preserve"> </w:t>
            </w:r>
            <w:r w:rsidRPr="00B068AE">
              <w:rPr>
                <w:rFonts w:ascii="Arial" w:hAnsi="Arial" w:cs="Arial"/>
                <w:sz w:val="18"/>
              </w:rPr>
              <w:t>an</w:t>
            </w:r>
            <w:r w:rsidRPr="00B068AE">
              <w:rPr>
                <w:rFonts w:ascii="Arial" w:hAnsi="Arial" w:cs="Arial"/>
                <w:spacing w:val="-1"/>
                <w:sz w:val="18"/>
              </w:rPr>
              <w:t xml:space="preserve"> </w:t>
            </w:r>
            <w:r w:rsidRPr="00B068AE">
              <w:rPr>
                <w:rFonts w:ascii="Arial" w:hAnsi="Arial" w:cs="Arial"/>
                <w:sz w:val="18"/>
              </w:rPr>
              <w:t>AMP</w:t>
            </w:r>
            <w:r w:rsidRPr="00B068AE">
              <w:rPr>
                <w:rFonts w:ascii="Arial" w:hAnsi="Arial" w:cs="Arial"/>
                <w:spacing w:val="-2"/>
                <w:sz w:val="18"/>
              </w:rPr>
              <w:t xml:space="preserve"> </w:t>
            </w:r>
            <w:r w:rsidRPr="00B068AE">
              <w:rPr>
                <w:rFonts w:ascii="Arial" w:hAnsi="Arial" w:cs="Arial"/>
                <w:sz w:val="18"/>
              </w:rPr>
              <w:t>document</w:t>
            </w:r>
            <w:r w:rsidRPr="00B068AE">
              <w:rPr>
                <w:rFonts w:ascii="Arial" w:hAnsi="Arial" w:cs="Arial"/>
                <w:spacing w:val="-2"/>
                <w:sz w:val="18"/>
              </w:rPr>
              <w:t xml:space="preserve"> </w:t>
            </w:r>
            <w:r w:rsidRPr="00B068AE">
              <w:rPr>
                <w:rFonts w:ascii="Arial" w:hAnsi="Arial" w:cs="Arial"/>
                <w:sz w:val="18"/>
              </w:rPr>
              <w:t>is</w:t>
            </w:r>
            <w:r w:rsidRPr="00B068AE">
              <w:rPr>
                <w:rFonts w:ascii="Arial" w:hAnsi="Arial" w:cs="Arial"/>
                <w:spacing w:val="-4"/>
                <w:sz w:val="18"/>
              </w:rPr>
              <w:t xml:space="preserve"> </w:t>
            </w:r>
            <w:r w:rsidRPr="00B068AE">
              <w:rPr>
                <w:rFonts w:ascii="Arial" w:hAnsi="Arial" w:cs="Arial"/>
                <w:sz w:val="18"/>
              </w:rPr>
              <w:t>not</w:t>
            </w:r>
            <w:r w:rsidRPr="00B068AE">
              <w:rPr>
                <w:rFonts w:ascii="Arial" w:hAnsi="Arial" w:cs="Arial"/>
                <w:spacing w:val="-2"/>
                <w:sz w:val="18"/>
              </w:rPr>
              <w:t xml:space="preserve"> </w:t>
            </w:r>
            <w:r w:rsidRPr="00B068AE">
              <w:rPr>
                <w:rFonts w:ascii="Arial" w:hAnsi="Arial" w:cs="Arial"/>
                <w:sz w:val="18"/>
              </w:rPr>
              <w:t>required.</w:t>
            </w:r>
          </w:p>
        </w:tc>
      </w:tr>
      <w:tr w:rsidR="00B068AE" w:rsidRPr="00B068AE" w14:paraId="45E050C6" w14:textId="77777777" w:rsidTr="002B64A0">
        <w:trPr>
          <w:trHeight w:val="688"/>
        </w:trPr>
        <w:tc>
          <w:tcPr>
            <w:tcW w:w="1615" w:type="dxa"/>
            <w:shd w:val="clear" w:color="auto" w:fill="F2F2F2" w:themeFill="background1" w:themeFillShade="F2"/>
          </w:tcPr>
          <w:p w14:paraId="3E2191E6" w14:textId="77777777" w:rsidR="00B068AE" w:rsidRPr="00B068AE" w:rsidRDefault="00B068AE" w:rsidP="00CF0716">
            <w:pPr>
              <w:pStyle w:val="TableParagraph"/>
              <w:ind w:left="0"/>
              <w:rPr>
                <w:rFonts w:ascii="Arial" w:hAnsi="Arial" w:cs="Arial"/>
                <w:b/>
                <w:sz w:val="18"/>
              </w:rPr>
            </w:pPr>
            <w:r w:rsidRPr="00B068AE">
              <w:rPr>
                <w:rFonts w:ascii="Arial" w:hAnsi="Arial" w:cs="Arial"/>
                <w:b/>
                <w:sz w:val="18"/>
              </w:rPr>
              <w:t>Maintenance</w:t>
            </w:r>
          </w:p>
        </w:tc>
        <w:tc>
          <w:tcPr>
            <w:tcW w:w="3600" w:type="dxa"/>
            <w:gridSpan w:val="2"/>
          </w:tcPr>
          <w:p w14:paraId="28E6E8BE" w14:textId="77777777" w:rsidR="00B068AE" w:rsidRPr="00B068AE" w:rsidRDefault="00B068AE" w:rsidP="00B068AE">
            <w:pPr>
              <w:pStyle w:val="TableParagraph"/>
              <w:rPr>
                <w:rFonts w:ascii="Arial" w:hAnsi="Arial" w:cs="Arial"/>
                <w:sz w:val="18"/>
              </w:rPr>
            </w:pPr>
            <w:r w:rsidRPr="00B068AE">
              <w:rPr>
                <w:rFonts w:ascii="Arial" w:hAnsi="Arial" w:cs="Arial"/>
                <w:sz w:val="18"/>
              </w:rPr>
              <w:t>By</w:t>
            </w:r>
            <w:r w:rsidRPr="00B068AE">
              <w:rPr>
                <w:rFonts w:ascii="Arial" w:hAnsi="Arial" w:cs="Arial"/>
                <w:spacing w:val="-2"/>
                <w:sz w:val="18"/>
              </w:rPr>
              <w:t xml:space="preserve"> </w:t>
            </w:r>
            <w:r w:rsidRPr="00B068AE">
              <w:rPr>
                <w:rFonts w:ascii="Arial" w:hAnsi="Arial" w:cs="Arial"/>
                <w:sz w:val="18"/>
              </w:rPr>
              <w:t>a</w:t>
            </w:r>
            <w:r w:rsidRPr="00B068AE">
              <w:rPr>
                <w:rFonts w:ascii="Arial" w:hAnsi="Arial" w:cs="Arial"/>
                <w:spacing w:val="-2"/>
                <w:sz w:val="18"/>
              </w:rPr>
              <w:t xml:space="preserve"> </w:t>
            </w:r>
            <w:r w:rsidRPr="00B068AE">
              <w:rPr>
                <w:rFonts w:ascii="Arial" w:hAnsi="Arial" w:cs="Arial"/>
                <w:sz w:val="18"/>
              </w:rPr>
              <w:t>maintenance</w:t>
            </w:r>
            <w:r w:rsidRPr="00B068AE">
              <w:rPr>
                <w:rFonts w:ascii="Arial" w:hAnsi="Arial" w:cs="Arial"/>
                <w:spacing w:val="-3"/>
                <w:sz w:val="18"/>
              </w:rPr>
              <w:t xml:space="preserve"> </w:t>
            </w:r>
            <w:r w:rsidRPr="00B068AE">
              <w:rPr>
                <w:rFonts w:ascii="Arial" w:hAnsi="Arial" w:cs="Arial"/>
                <w:sz w:val="18"/>
              </w:rPr>
              <w:t>organisation</w:t>
            </w:r>
          </w:p>
        </w:tc>
        <w:tc>
          <w:tcPr>
            <w:tcW w:w="3960" w:type="dxa"/>
          </w:tcPr>
          <w:p w14:paraId="3D7B7FBD" w14:textId="77777777" w:rsidR="00B068AE" w:rsidRPr="00B068AE" w:rsidRDefault="00B068AE" w:rsidP="00B068AE">
            <w:pPr>
              <w:pStyle w:val="TableParagraph"/>
              <w:ind w:left="84"/>
              <w:rPr>
                <w:rFonts w:ascii="Arial" w:hAnsi="Arial" w:cs="Arial"/>
                <w:sz w:val="18"/>
              </w:rPr>
            </w:pPr>
            <w:r w:rsidRPr="00B068AE">
              <w:rPr>
                <w:rFonts w:ascii="Arial" w:hAnsi="Arial" w:cs="Arial"/>
                <w:sz w:val="18"/>
              </w:rPr>
              <w:t>By a maintenance organisation or by</w:t>
            </w:r>
            <w:r w:rsidRPr="00B068AE">
              <w:rPr>
                <w:rFonts w:ascii="Arial" w:hAnsi="Arial" w:cs="Arial"/>
                <w:spacing w:val="1"/>
                <w:sz w:val="18"/>
              </w:rPr>
              <w:t xml:space="preserve"> </w:t>
            </w:r>
            <w:r w:rsidRPr="00B068AE">
              <w:rPr>
                <w:rFonts w:ascii="Arial" w:hAnsi="Arial" w:cs="Arial"/>
                <w:sz w:val="18"/>
              </w:rPr>
              <w:t>independent</w:t>
            </w:r>
            <w:r w:rsidRPr="00B068AE">
              <w:rPr>
                <w:rFonts w:ascii="Arial" w:hAnsi="Arial" w:cs="Arial"/>
                <w:spacing w:val="-2"/>
                <w:sz w:val="18"/>
              </w:rPr>
              <w:t xml:space="preserve"> </w:t>
            </w:r>
            <w:r w:rsidRPr="00B068AE">
              <w:rPr>
                <w:rFonts w:ascii="Arial" w:hAnsi="Arial" w:cs="Arial"/>
                <w:sz w:val="18"/>
              </w:rPr>
              <w:t>certifying staff</w:t>
            </w:r>
            <w:r w:rsidRPr="00B068AE">
              <w:rPr>
                <w:rFonts w:ascii="Arial" w:hAnsi="Arial" w:cs="Arial"/>
                <w:spacing w:val="-4"/>
                <w:sz w:val="18"/>
              </w:rPr>
              <w:t xml:space="preserve"> </w:t>
            </w:r>
            <w:r w:rsidRPr="00B068AE">
              <w:rPr>
                <w:rFonts w:ascii="Arial" w:hAnsi="Arial" w:cs="Arial"/>
                <w:sz w:val="18"/>
              </w:rPr>
              <w:t>or</w:t>
            </w:r>
            <w:r w:rsidRPr="00B068AE">
              <w:rPr>
                <w:rFonts w:ascii="Arial" w:hAnsi="Arial" w:cs="Arial"/>
                <w:spacing w:val="-2"/>
                <w:sz w:val="18"/>
              </w:rPr>
              <w:t xml:space="preserve"> </w:t>
            </w:r>
            <w:r w:rsidRPr="00B068AE">
              <w:rPr>
                <w:rFonts w:ascii="Arial" w:hAnsi="Arial" w:cs="Arial"/>
                <w:sz w:val="18"/>
              </w:rPr>
              <w:t>the</w:t>
            </w:r>
            <w:r w:rsidRPr="00B068AE">
              <w:rPr>
                <w:rFonts w:ascii="Arial" w:hAnsi="Arial" w:cs="Arial"/>
                <w:spacing w:val="-2"/>
                <w:sz w:val="18"/>
              </w:rPr>
              <w:t xml:space="preserve"> </w:t>
            </w:r>
            <w:r w:rsidRPr="00B068AE">
              <w:rPr>
                <w:rFonts w:ascii="Arial" w:hAnsi="Arial" w:cs="Arial"/>
                <w:sz w:val="18"/>
              </w:rPr>
              <w:t>pilot-owner**</w:t>
            </w:r>
          </w:p>
        </w:tc>
      </w:tr>
      <w:tr w:rsidR="00B068AE" w:rsidRPr="00B068AE" w14:paraId="2034DFC9" w14:textId="77777777" w:rsidTr="002B64A0">
        <w:trPr>
          <w:trHeight w:val="1176"/>
        </w:trPr>
        <w:tc>
          <w:tcPr>
            <w:tcW w:w="1615" w:type="dxa"/>
            <w:shd w:val="clear" w:color="auto" w:fill="F2F2F2" w:themeFill="background1" w:themeFillShade="F2"/>
          </w:tcPr>
          <w:p w14:paraId="498790F9" w14:textId="77777777" w:rsidR="00B068AE" w:rsidRPr="00B068AE" w:rsidRDefault="00B068AE" w:rsidP="00C47349">
            <w:pPr>
              <w:pStyle w:val="TableParagraph"/>
              <w:ind w:left="0" w:right="-336"/>
              <w:rPr>
                <w:rFonts w:ascii="Arial" w:hAnsi="Arial" w:cs="Arial"/>
                <w:b/>
                <w:sz w:val="18"/>
              </w:rPr>
            </w:pPr>
            <w:r w:rsidRPr="00B068AE">
              <w:rPr>
                <w:rFonts w:ascii="Arial" w:hAnsi="Arial" w:cs="Arial"/>
                <w:b/>
                <w:sz w:val="18"/>
              </w:rPr>
              <w:t>Airworthiness</w:t>
            </w:r>
            <w:r w:rsidRPr="00B068AE">
              <w:rPr>
                <w:rFonts w:ascii="Arial" w:hAnsi="Arial" w:cs="Arial"/>
                <w:b/>
                <w:spacing w:val="1"/>
                <w:sz w:val="18"/>
              </w:rPr>
              <w:t xml:space="preserve"> </w:t>
            </w:r>
            <w:r w:rsidRPr="00B068AE">
              <w:rPr>
                <w:rFonts w:ascii="Arial" w:hAnsi="Arial" w:cs="Arial"/>
                <w:b/>
                <w:sz w:val="18"/>
              </w:rPr>
              <w:t>review (AR) and</w:t>
            </w:r>
            <w:r w:rsidRPr="00B068AE">
              <w:rPr>
                <w:rFonts w:ascii="Arial" w:hAnsi="Arial" w:cs="Arial"/>
                <w:b/>
                <w:spacing w:val="-43"/>
                <w:sz w:val="18"/>
              </w:rPr>
              <w:t xml:space="preserve"> </w:t>
            </w:r>
            <w:r w:rsidRPr="00B068AE">
              <w:rPr>
                <w:rFonts w:ascii="Arial" w:hAnsi="Arial" w:cs="Arial"/>
                <w:b/>
                <w:sz w:val="18"/>
              </w:rPr>
              <w:t>airworthiness</w:t>
            </w:r>
            <w:r w:rsidRPr="00B068AE">
              <w:rPr>
                <w:rFonts w:ascii="Arial" w:hAnsi="Arial" w:cs="Arial"/>
                <w:b/>
                <w:spacing w:val="1"/>
                <w:sz w:val="18"/>
              </w:rPr>
              <w:t xml:space="preserve"> </w:t>
            </w:r>
            <w:r w:rsidRPr="00B068AE">
              <w:rPr>
                <w:rFonts w:ascii="Arial" w:hAnsi="Arial" w:cs="Arial"/>
                <w:b/>
                <w:sz w:val="18"/>
              </w:rPr>
              <w:t>review certificate</w:t>
            </w:r>
            <w:r w:rsidRPr="00B068AE">
              <w:rPr>
                <w:rFonts w:ascii="Arial" w:hAnsi="Arial" w:cs="Arial"/>
                <w:b/>
                <w:spacing w:val="-5"/>
                <w:sz w:val="18"/>
              </w:rPr>
              <w:t xml:space="preserve"> </w:t>
            </w:r>
            <w:r w:rsidRPr="00B068AE">
              <w:rPr>
                <w:rFonts w:ascii="Arial" w:hAnsi="Arial" w:cs="Arial"/>
                <w:b/>
                <w:sz w:val="18"/>
              </w:rPr>
              <w:t>(ARC)</w:t>
            </w:r>
          </w:p>
        </w:tc>
        <w:tc>
          <w:tcPr>
            <w:tcW w:w="3600" w:type="dxa"/>
            <w:gridSpan w:val="2"/>
          </w:tcPr>
          <w:p w14:paraId="70D18083" w14:textId="6A8D59AD" w:rsidR="00B068AE" w:rsidRPr="00B068AE" w:rsidRDefault="00B068AE" w:rsidP="00B068AE">
            <w:pPr>
              <w:pStyle w:val="TableParagraph"/>
              <w:ind w:right="134"/>
              <w:jc w:val="both"/>
              <w:rPr>
                <w:rFonts w:ascii="Arial" w:hAnsi="Arial" w:cs="Arial"/>
                <w:sz w:val="18"/>
              </w:rPr>
            </w:pPr>
            <w:r w:rsidRPr="00B068AE">
              <w:rPr>
                <w:rFonts w:ascii="Arial" w:hAnsi="Arial" w:cs="Arial"/>
                <w:sz w:val="18"/>
              </w:rPr>
              <w:t>By a maintenance organisation*** or by</w:t>
            </w:r>
            <w:r w:rsidRPr="00B068AE">
              <w:rPr>
                <w:rFonts w:ascii="Arial" w:hAnsi="Arial" w:cs="Arial"/>
                <w:spacing w:val="-43"/>
                <w:sz w:val="18"/>
              </w:rPr>
              <w:t xml:space="preserve"> </w:t>
            </w:r>
            <w:r w:rsidRPr="00B068AE">
              <w:rPr>
                <w:rFonts w:ascii="Arial" w:hAnsi="Arial" w:cs="Arial"/>
                <w:sz w:val="18"/>
              </w:rPr>
              <w:t>the contracted CAMO/CAO(-CAM) or by</w:t>
            </w:r>
            <w:r w:rsidRPr="00B068AE">
              <w:rPr>
                <w:rFonts w:ascii="Arial" w:hAnsi="Arial" w:cs="Arial"/>
                <w:spacing w:val="1"/>
                <w:sz w:val="18"/>
              </w:rPr>
              <w:t xml:space="preserve"> </w:t>
            </w:r>
            <w:r w:rsidRPr="00B068AE">
              <w:rPr>
                <w:rFonts w:ascii="Arial" w:hAnsi="Arial" w:cs="Arial"/>
                <w:sz w:val="18"/>
              </w:rPr>
              <w:t>the</w:t>
            </w:r>
            <w:r w:rsidRPr="00B068AE">
              <w:rPr>
                <w:rFonts w:ascii="Arial" w:hAnsi="Arial" w:cs="Arial"/>
                <w:spacing w:val="-2"/>
                <w:sz w:val="18"/>
              </w:rPr>
              <w:t xml:space="preserve"> </w:t>
            </w:r>
            <w:r w:rsidR="004E22F1" w:rsidRPr="004E22F1">
              <w:rPr>
                <w:rFonts w:ascii="Arial" w:hAnsi="Arial" w:cs="Arial"/>
                <w:sz w:val="18"/>
              </w:rPr>
              <w:t>CAC RA</w:t>
            </w:r>
          </w:p>
        </w:tc>
        <w:tc>
          <w:tcPr>
            <w:tcW w:w="3960" w:type="dxa"/>
          </w:tcPr>
          <w:p w14:paraId="43C6A944" w14:textId="77777777" w:rsidR="002B64A0" w:rsidRDefault="00B068AE" w:rsidP="002B64A0">
            <w:pPr>
              <w:pStyle w:val="TableParagraph"/>
              <w:spacing w:line="243" w:lineRule="exact"/>
              <w:ind w:left="84"/>
              <w:jc w:val="both"/>
              <w:rPr>
                <w:rFonts w:ascii="Arial" w:hAnsi="Arial" w:cs="Arial"/>
                <w:sz w:val="18"/>
              </w:rPr>
            </w:pPr>
            <w:r w:rsidRPr="00B068AE">
              <w:rPr>
                <w:rFonts w:ascii="Arial" w:hAnsi="Arial" w:cs="Arial"/>
                <w:sz w:val="18"/>
              </w:rPr>
              <w:t>By</w:t>
            </w:r>
            <w:r w:rsidRPr="00B068AE">
              <w:rPr>
                <w:rFonts w:ascii="Arial" w:hAnsi="Arial" w:cs="Arial"/>
                <w:spacing w:val="-3"/>
                <w:sz w:val="18"/>
              </w:rPr>
              <w:t xml:space="preserve"> </w:t>
            </w:r>
            <w:r w:rsidRPr="00B068AE">
              <w:rPr>
                <w:rFonts w:ascii="Arial" w:hAnsi="Arial" w:cs="Arial"/>
                <w:sz w:val="18"/>
              </w:rPr>
              <w:t>a</w:t>
            </w:r>
            <w:r w:rsidRPr="00B068AE">
              <w:rPr>
                <w:rFonts w:ascii="Arial" w:hAnsi="Arial" w:cs="Arial"/>
                <w:spacing w:val="-2"/>
                <w:sz w:val="18"/>
              </w:rPr>
              <w:t xml:space="preserve"> </w:t>
            </w:r>
            <w:r w:rsidRPr="00B068AE">
              <w:rPr>
                <w:rFonts w:ascii="Arial" w:hAnsi="Arial" w:cs="Arial"/>
                <w:sz w:val="18"/>
              </w:rPr>
              <w:t>maintenance</w:t>
            </w:r>
            <w:r w:rsidRPr="00B068AE">
              <w:rPr>
                <w:rFonts w:ascii="Arial" w:hAnsi="Arial" w:cs="Arial"/>
                <w:spacing w:val="-5"/>
                <w:sz w:val="18"/>
              </w:rPr>
              <w:t xml:space="preserve"> </w:t>
            </w:r>
            <w:r w:rsidRPr="00B068AE">
              <w:rPr>
                <w:rFonts w:ascii="Arial" w:hAnsi="Arial" w:cs="Arial"/>
                <w:sz w:val="18"/>
              </w:rPr>
              <w:t>organisation***</w:t>
            </w:r>
          </w:p>
          <w:p w14:paraId="0D20038D" w14:textId="1AD7EB1A" w:rsidR="00B068AE" w:rsidRPr="00B068AE" w:rsidRDefault="00B068AE" w:rsidP="002B64A0">
            <w:pPr>
              <w:pStyle w:val="TableParagraph"/>
              <w:spacing w:line="243" w:lineRule="exact"/>
              <w:ind w:left="84"/>
              <w:jc w:val="both"/>
              <w:rPr>
                <w:rFonts w:ascii="Arial" w:hAnsi="Arial" w:cs="Arial"/>
                <w:sz w:val="18"/>
              </w:rPr>
            </w:pPr>
            <w:r w:rsidRPr="00B068AE">
              <w:rPr>
                <w:rFonts w:ascii="Arial" w:hAnsi="Arial" w:cs="Arial"/>
                <w:sz w:val="18"/>
              </w:rPr>
              <w:t>or independent certifying staff*** or by the</w:t>
            </w:r>
            <w:r w:rsidRPr="00B068AE">
              <w:rPr>
                <w:rFonts w:ascii="Arial" w:hAnsi="Arial" w:cs="Arial"/>
                <w:spacing w:val="-43"/>
                <w:sz w:val="18"/>
              </w:rPr>
              <w:t xml:space="preserve"> </w:t>
            </w:r>
            <w:r w:rsidRPr="00B068AE">
              <w:rPr>
                <w:rFonts w:ascii="Arial" w:hAnsi="Arial" w:cs="Arial"/>
                <w:sz w:val="18"/>
              </w:rPr>
              <w:t>CAMO/CAO(-CAM) (if contracted) or by the</w:t>
            </w:r>
            <w:r w:rsidRPr="00B068AE">
              <w:rPr>
                <w:rFonts w:ascii="Arial" w:hAnsi="Arial" w:cs="Arial"/>
                <w:spacing w:val="1"/>
                <w:sz w:val="18"/>
              </w:rPr>
              <w:t xml:space="preserve"> </w:t>
            </w:r>
            <w:r w:rsidR="004E22F1" w:rsidRPr="004E22F1">
              <w:rPr>
                <w:rFonts w:ascii="Arial" w:hAnsi="Arial" w:cs="Arial"/>
                <w:sz w:val="18"/>
              </w:rPr>
              <w:t>CAC RA</w:t>
            </w:r>
          </w:p>
        </w:tc>
      </w:tr>
    </w:tbl>
    <w:p w14:paraId="259EC202" w14:textId="2A935745" w:rsidR="00EA029C" w:rsidRDefault="00EA029C" w:rsidP="00722524">
      <w:pPr>
        <w:rPr>
          <w:rFonts w:ascii="Arial" w:eastAsia="Times New Roman" w:hAnsi="Arial" w:cs="Times New Roman"/>
          <w:sz w:val="24"/>
        </w:rPr>
      </w:pPr>
    </w:p>
    <w:p w14:paraId="5B17B185" w14:textId="375871F1" w:rsidR="00CF0716" w:rsidRDefault="00CF0716" w:rsidP="00722524">
      <w:pPr>
        <w:rPr>
          <w:rFonts w:ascii="Arial" w:eastAsia="Times New Roman" w:hAnsi="Arial" w:cs="Times New Roman"/>
          <w:sz w:val="24"/>
        </w:rPr>
      </w:pPr>
    </w:p>
    <w:p w14:paraId="5717F507" w14:textId="77777777" w:rsidR="002B64A0" w:rsidRDefault="002B64A0" w:rsidP="00722524">
      <w:pPr>
        <w:rPr>
          <w:rFonts w:ascii="Arial" w:eastAsia="Times New Roman" w:hAnsi="Arial" w:cs="Times New Roman"/>
          <w:sz w:val="24"/>
        </w:rPr>
      </w:pPr>
    </w:p>
    <w:tbl>
      <w:tblPr>
        <w:tblStyle w:val="TableGrid31"/>
        <w:tblW w:w="9175" w:type="dxa"/>
        <w:tblLayout w:type="fixed"/>
        <w:tblLook w:val="01E0" w:firstRow="1" w:lastRow="1" w:firstColumn="1" w:lastColumn="1" w:noHBand="0" w:noVBand="0"/>
      </w:tblPr>
      <w:tblGrid>
        <w:gridCol w:w="1644"/>
        <w:gridCol w:w="1501"/>
        <w:gridCol w:w="1980"/>
        <w:gridCol w:w="4050"/>
      </w:tblGrid>
      <w:tr w:rsidR="00C44240" w:rsidRPr="00276D5E" w14:paraId="2A8F42B5" w14:textId="77777777" w:rsidTr="002B64A0">
        <w:trPr>
          <w:trHeight w:val="203"/>
        </w:trPr>
        <w:tc>
          <w:tcPr>
            <w:tcW w:w="1644" w:type="dxa"/>
            <w:vMerge w:val="restart"/>
            <w:shd w:val="clear" w:color="auto" w:fill="F2F2F2" w:themeFill="background1" w:themeFillShade="F2"/>
          </w:tcPr>
          <w:p w14:paraId="37021DC6" w14:textId="77777777" w:rsidR="00C44240" w:rsidRPr="00CF0716" w:rsidRDefault="00C44240" w:rsidP="00D67D99">
            <w:pPr>
              <w:pStyle w:val="TableParagraph"/>
              <w:ind w:left="0"/>
              <w:rPr>
                <w:rFonts w:ascii="Arial" w:hAnsi="Arial" w:cs="Arial"/>
                <w:sz w:val="18"/>
                <w:szCs w:val="18"/>
              </w:rPr>
            </w:pPr>
          </w:p>
        </w:tc>
        <w:tc>
          <w:tcPr>
            <w:tcW w:w="7531" w:type="dxa"/>
            <w:gridSpan w:val="3"/>
            <w:shd w:val="clear" w:color="auto" w:fill="F2F2F2" w:themeFill="background1" w:themeFillShade="F2"/>
          </w:tcPr>
          <w:p w14:paraId="673D0254" w14:textId="77777777" w:rsidR="00C44240" w:rsidRPr="00CF0716" w:rsidRDefault="00C44240" w:rsidP="00D67D99">
            <w:pPr>
              <w:pStyle w:val="TableParagraph"/>
              <w:spacing w:before="1" w:line="225" w:lineRule="exact"/>
              <w:ind w:left="1823"/>
              <w:rPr>
                <w:rFonts w:ascii="Arial" w:hAnsi="Arial" w:cs="Arial"/>
                <w:b/>
                <w:sz w:val="18"/>
                <w:szCs w:val="18"/>
              </w:rPr>
            </w:pPr>
            <w:r w:rsidRPr="00CF0716">
              <w:rPr>
                <w:rFonts w:ascii="Arial" w:hAnsi="Arial" w:cs="Arial"/>
                <w:b/>
                <w:sz w:val="18"/>
                <w:szCs w:val="18"/>
              </w:rPr>
              <w:t>Aircraft</w:t>
            </w:r>
            <w:r w:rsidRPr="00CF0716">
              <w:rPr>
                <w:rFonts w:ascii="Arial" w:hAnsi="Arial" w:cs="Arial"/>
                <w:b/>
                <w:spacing w:val="-4"/>
                <w:sz w:val="18"/>
                <w:szCs w:val="18"/>
              </w:rPr>
              <w:t xml:space="preserve"> </w:t>
            </w:r>
            <w:r w:rsidRPr="00CF0716">
              <w:rPr>
                <w:rFonts w:ascii="Arial" w:hAnsi="Arial" w:cs="Arial"/>
                <w:b/>
                <w:sz w:val="18"/>
                <w:szCs w:val="18"/>
              </w:rPr>
              <w:t>(other</w:t>
            </w:r>
            <w:r w:rsidRPr="00CF0716">
              <w:rPr>
                <w:rFonts w:ascii="Arial" w:hAnsi="Arial" w:cs="Arial"/>
                <w:b/>
                <w:spacing w:val="-2"/>
                <w:sz w:val="18"/>
                <w:szCs w:val="18"/>
              </w:rPr>
              <w:t xml:space="preserve"> </w:t>
            </w:r>
            <w:r w:rsidRPr="00CF0716">
              <w:rPr>
                <w:rFonts w:ascii="Arial" w:hAnsi="Arial" w:cs="Arial"/>
                <w:b/>
                <w:sz w:val="18"/>
                <w:szCs w:val="18"/>
              </w:rPr>
              <w:t>than</w:t>
            </w:r>
            <w:r w:rsidRPr="00CF0716">
              <w:rPr>
                <w:rFonts w:ascii="Arial" w:hAnsi="Arial" w:cs="Arial"/>
                <w:b/>
                <w:spacing w:val="-4"/>
                <w:sz w:val="18"/>
                <w:szCs w:val="18"/>
              </w:rPr>
              <w:t xml:space="preserve"> </w:t>
            </w:r>
            <w:r w:rsidRPr="00CF0716">
              <w:rPr>
                <w:rFonts w:ascii="Arial" w:hAnsi="Arial" w:cs="Arial"/>
                <w:b/>
                <w:sz w:val="18"/>
                <w:szCs w:val="18"/>
              </w:rPr>
              <w:t>balloons</w:t>
            </w:r>
            <w:r w:rsidRPr="00CF0716">
              <w:rPr>
                <w:rFonts w:ascii="Arial" w:hAnsi="Arial" w:cs="Arial"/>
                <w:b/>
                <w:spacing w:val="-4"/>
                <w:sz w:val="18"/>
                <w:szCs w:val="18"/>
              </w:rPr>
              <w:t xml:space="preserve"> </w:t>
            </w:r>
            <w:r w:rsidRPr="00CF0716">
              <w:rPr>
                <w:rFonts w:ascii="Arial" w:hAnsi="Arial" w:cs="Arial"/>
                <w:b/>
                <w:sz w:val="18"/>
                <w:szCs w:val="18"/>
              </w:rPr>
              <w:t>and</w:t>
            </w:r>
            <w:r w:rsidRPr="00CF0716">
              <w:rPr>
                <w:rFonts w:ascii="Arial" w:hAnsi="Arial" w:cs="Arial"/>
                <w:b/>
                <w:spacing w:val="-2"/>
                <w:sz w:val="18"/>
                <w:szCs w:val="18"/>
              </w:rPr>
              <w:t xml:space="preserve"> </w:t>
            </w:r>
            <w:r w:rsidRPr="00CF0716">
              <w:rPr>
                <w:rFonts w:ascii="Arial" w:hAnsi="Arial" w:cs="Arial"/>
                <w:b/>
                <w:sz w:val="18"/>
                <w:szCs w:val="18"/>
              </w:rPr>
              <w:t>sailplanes)</w:t>
            </w:r>
          </w:p>
        </w:tc>
      </w:tr>
      <w:tr w:rsidR="00C44240" w:rsidRPr="00276D5E" w14:paraId="6451EAEA" w14:textId="77777777" w:rsidTr="002B64A0">
        <w:trPr>
          <w:trHeight w:val="199"/>
        </w:trPr>
        <w:tc>
          <w:tcPr>
            <w:tcW w:w="1644" w:type="dxa"/>
            <w:vMerge/>
            <w:shd w:val="clear" w:color="auto" w:fill="F2F2F2" w:themeFill="background1" w:themeFillShade="F2"/>
          </w:tcPr>
          <w:p w14:paraId="54FEECB3" w14:textId="77777777" w:rsidR="00C44240" w:rsidRPr="00CF0716" w:rsidRDefault="00C44240" w:rsidP="00D67D99">
            <w:pPr>
              <w:rPr>
                <w:rFonts w:ascii="Arial" w:hAnsi="Arial" w:cs="Arial"/>
                <w:sz w:val="18"/>
                <w:szCs w:val="18"/>
              </w:rPr>
            </w:pPr>
          </w:p>
        </w:tc>
        <w:tc>
          <w:tcPr>
            <w:tcW w:w="1501" w:type="dxa"/>
            <w:vMerge w:val="restart"/>
            <w:shd w:val="clear" w:color="auto" w:fill="F2F2F2" w:themeFill="background1" w:themeFillShade="F2"/>
          </w:tcPr>
          <w:p w14:paraId="52CB6BCA" w14:textId="77777777" w:rsidR="00C44240" w:rsidRPr="00CF0716" w:rsidRDefault="00C44240" w:rsidP="00CF0716">
            <w:pPr>
              <w:pStyle w:val="TableParagraph"/>
              <w:spacing w:line="242" w:lineRule="exact"/>
              <w:ind w:left="366" w:hanging="366"/>
              <w:rPr>
                <w:rFonts w:ascii="Arial" w:hAnsi="Arial" w:cs="Arial"/>
                <w:b/>
                <w:sz w:val="18"/>
                <w:szCs w:val="18"/>
              </w:rPr>
            </w:pPr>
            <w:r w:rsidRPr="00CF0716">
              <w:rPr>
                <w:rFonts w:ascii="Arial" w:hAnsi="Arial" w:cs="Arial"/>
                <w:b/>
                <w:sz w:val="18"/>
                <w:szCs w:val="18"/>
              </w:rPr>
              <w:t>non</w:t>
            </w:r>
            <w:r w:rsidRPr="00CF0716">
              <w:rPr>
                <w:rFonts w:ascii="Arial" w:hAnsi="Arial" w:cs="Arial"/>
                <w:b/>
                <w:spacing w:val="-3"/>
                <w:sz w:val="18"/>
                <w:szCs w:val="18"/>
              </w:rPr>
              <w:t xml:space="preserve"> </w:t>
            </w:r>
            <w:r w:rsidR="00CF0716">
              <w:rPr>
                <w:rFonts w:ascii="Arial" w:hAnsi="Arial" w:cs="Arial"/>
                <w:b/>
                <w:sz w:val="18"/>
                <w:szCs w:val="18"/>
              </w:rPr>
              <w:t>Part-</w:t>
            </w:r>
            <w:r w:rsidRPr="00CF0716">
              <w:rPr>
                <w:rFonts w:ascii="Arial" w:hAnsi="Arial" w:cs="Arial"/>
                <w:b/>
                <w:sz w:val="18"/>
                <w:szCs w:val="18"/>
              </w:rPr>
              <w:t>NCO</w:t>
            </w:r>
          </w:p>
        </w:tc>
        <w:tc>
          <w:tcPr>
            <w:tcW w:w="6030" w:type="dxa"/>
            <w:gridSpan w:val="2"/>
            <w:shd w:val="clear" w:color="auto" w:fill="F2F2F2" w:themeFill="background1" w:themeFillShade="F2"/>
          </w:tcPr>
          <w:p w14:paraId="60F2F946" w14:textId="77777777" w:rsidR="00C44240" w:rsidRPr="00CF0716" w:rsidRDefault="00CF0716" w:rsidP="00CF0716">
            <w:pPr>
              <w:pStyle w:val="TableParagraph"/>
              <w:tabs>
                <w:tab w:val="left" w:pos="3226"/>
              </w:tabs>
              <w:spacing w:line="223" w:lineRule="exact"/>
              <w:ind w:left="2554" w:right="2416"/>
              <w:jc w:val="center"/>
              <w:rPr>
                <w:rFonts w:ascii="Arial" w:hAnsi="Arial" w:cs="Arial"/>
                <w:b/>
                <w:sz w:val="18"/>
                <w:szCs w:val="18"/>
              </w:rPr>
            </w:pPr>
            <w:r>
              <w:rPr>
                <w:rFonts w:ascii="Arial" w:hAnsi="Arial" w:cs="Arial"/>
                <w:b/>
                <w:sz w:val="18"/>
                <w:szCs w:val="18"/>
              </w:rPr>
              <w:t>Part-</w:t>
            </w:r>
            <w:r w:rsidR="00C44240" w:rsidRPr="00CF0716">
              <w:rPr>
                <w:rFonts w:ascii="Arial" w:hAnsi="Arial" w:cs="Arial"/>
                <w:b/>
                <w:sz w:val="18"/>
                <w:szCs w:val="18"/>
              </w:rPr>
              <w:t>NCO</w:t>
            </w:r>
          </w:p>
        </w:tc>
      </w:tr>
      <w:tr w:rsidR="00C44240" w:rsidRPr="00276D5E" w14:paraId="5662817D" w14:textId="77777777" w:rsidTr="002B64A0">
        <w:trPr>
          <w:trHeight w:val="200"/>
        </w:trPr>
        <w:tc>
          <w:tcPr>
            <w:tcW w:w="1644" w:type="dxa"/>
            <w:vMerge/>
            <w:shd w:val="clear" w:color="auto" w:fill="F2F2F2" w:themeFill="background1" w:themeFillShade="F2"/>
          </w:tcPr>
          <w:p w14:paraId="35ADEFD8" w14:textId="77777777" w:rsidR="00C44240" w:rsidRPr="00CF0716" w:rsidRDefault="00C44240" w:rsidP="00D67D99">
            <w:pPr>
              <w:rPr>
                <w:rFonts w:ascii="Arial" w:hAnsi="Arial" w:cs="Arial"/>
                <w:sz w:val="18"/>
                <w:szCs w:val="18"/>
              </w:rPr>
            </w:pPr>
          </w:p>
        </w:tc>
        <w:tc>
          <w:tcPr>
            <w:tcW w:w="1501" w:type="dxa"/>
            <w:vMerge/>
            <w:shd w:val="clear" w:color="auto" w:fill="F2F2F2" w:themeFill="background1" w:themeFillShade="F2"/>
          </w:tcPr>
          <w:p w14:paraId="6CD70D54" w14:textId="77777777" w:rsidR="00C44240" w:rsidRPr="00CF0716" w:rsidRDefault="00C44240" w:rsidP="00D67D99">
            <w:pPr>
              <w:rPr>
                <w:rFonts w:ascii="Arial" w:hAnsi="Arial" w:cs="Arial"/>
                <w:sz w:val="18"/>
                <w:szCs w:val="18"/>
              </w:rPr>
            </w:pPr>
          </w:p>
        </w:tc>
        <w:tc>
          <w:tcPr>
            <w:tcW w:w="1980" w:type="dxa"/>
            <w:shd w:val="clear" w:color="auto" w:fill="F2F2F2" w:themeFill="background1" w:themeFillShade="F2"/>
          </w:tcPr>
          <w:p w14:paraId="112743E2" w14:textId="77777777" w:rsidR="00C44240" w:rsidRPr="00CF0716" w:rsidRDefault="00C44240" w:rsidP="00CF0716">
            <w:pPr>
              <w:pStyle w:val="TableParagraph"/>
              <w:spacing w:line="222" w:lineRule="exact"/>
              <w:ind w:left="886" w:hanging="990"/>
              <w:jc w:val="center"/>
              <w:rPr>
                <w:rFonts w:ascii="Arial" w:hAnsi="Arial" w:cs="Arial"/>
                <w:b/>
                <w:sz w:val="18"/>
                <w:szCs w:val="18"/>
              </w:rPr>
            </w:pPr>
            <w:r w:rsidRPr="00CF0716">
              <w:rPr>
                <w:rFonts w:ascii="Arial" w:hAnsi="Arial" w:cs="Arial"/>
                <w:b/>
                <w:sz w:val="18"/>
                <w:szCs w:val="18"/>
              </w:rPr>
              <w:t>commercial</w:t>
            </w:r>
            <w:r w:rsidR="00CF0716">
              <w:rPr>
                <w:rFonts w:ascii="Arial" w:hAnsi="Arial" w:cs="Arial"/>
                <w:b/>
                <w:spacing w:val="-6"/>
                <w:sz w:val="18"/>
                <w:szCs w:val="18"/>
              </w:rPr>
              <w:t xml:space="preserve"> </w:t>
            </w:r>
            <w:r w:rsidRPr="00CF0716">
              <w:rPr>
                <w:rFonts w:ascii="Arial" w:hAnsi="Arial" w:cs="Arial"/>
                <w:b/>
                <w:sz w:val="18"/>
                <w:szCs w:val="18"/>
              </w:rPr>
              <w:t>ATO/DTO</w:t>
            </w:r>
          </w:p>
        </w:tc>
        <w:tc>
          <w:tcPr>
            <w:tcW w:w="4050" w:type="dxa"/>
            <w:shd w:val="clear" w:color="auto" w:fill="F2F2F2" w:themeFill="background1" w:themeFillShade="F2"/>
          </w:tcPr>
          <w:p w14:paraId="2A63EC07" w14:textId="77777777" w:rsidR="00C44240" w:rsidRPr="00CF0716" w:rsidRDefault="00C44240" w:rsidP="00D67D99">
            <w:pPr>
              <w:pStyle w:val="TableParagraph"/>
              <w:spacing w:line="222" w:lineRule="exact"/>
              <w:ind w:left="88"/>
              <w:rPr>
                <w:rFonts w:ascii="Arial" w:hAnsi="Arial" w:cs="Arial"/>
                <w:b/>
                <w:sz w:val="18"/>
                <w:szCs w:val="18"/>
              </w:rPr>
            </w:pPr>
            <w:r w:rsidRPr="00CF0716">
              <w:rPr>
                <w:rFonts w:ascii="Arial" w:hAnsi="Arial" w:cs="Arial"/>
                <w:b/>
                <w:sz w:val="18"/>
                <w:szCs w:val="18"/>
              </w:rPr>
              <w:t>Non-ATO/DTO</w:t>
            </w:r>
            <w:r w:rsidRPr="00CF0716">
              <w:rPr>
                <w:rFonts w:ascii="Arial" w:hAnsi="Arial" w:cs="Arial"/>
                <w:b/>
                <w:spacing w:val="-6"/>
                <w:sz w:val="18"/>
                <w:szCs w:val="18"/>
              </w:rPr>
              <w:t xml:space="preserve"> </w:t>
            </w:r>
            <w:r w:rsidRPr="00CF0716">
              <w:rPr>
                <w:rFonts w:ascii="Arial" w:hAnsi="Arial" w:cs="Arial"/>
                <w:b/>
                <w:sz w:val="18"/>
                <w:szCs w:val="18"/>
              </w:rPr>
              <w:t>or</w:t>
            </w:r>
            <w:r w:rsidRPr="00CF0716">
              <w:rPr>
                <w:rFonts w:ascii="Arial" w:hAnsi="Arial" w:cs="Arial"/>
                <w:b/>
                <w:spacing w:val="-5"/>
                <w:sz w:val="18"/>
                <w:szCs w:val="18"/>
              </w:rPr>
              <w:t xml:space="preserve"> </w:t>
            </w:r>
            <w:r w:rsidRPr="00CF0716">
              <w:rPr>
                <w:rFonts w:ascii="Arial" w:hAnsi="Arial" w:cs="Arial"/>
                <w:b/>
                <w:sz w:val="18"/>
                <w:szCs w:val="18"/>
              </w:rPr>
              <w:t>non-commercial</w:t>
            </w:r>
            <w:r w:rsidRPr="00CF0716">
              <w:rPr>
                <w:rFonts w:ascii="Arial" w:hAnsi="Arial" w:cs="Arial"/>
                <w:b/>
                <w:spacing w:val="-6"/>
                <w:sz w:val="18"/>
                <w:szCs w:val="18"/>
              </w:rPr>
              <w:t xml:space="preserve"> </w:t>
            </w:r>
            <w:r w:rsidRPr="00CF0716">
              <w:rPr>
                <w:rFonts w:ascii="Arial" w:hAnsi="Arial" w:cs="Arial"/>
                <w:b/>
                <w:sz w:val="18"/>
                <w:szCs w:val="18"/>
              </w:rPr>
              <w:t>ATO/DTO</w:t>
            </w:r>
          </w:p>
        </w:tc>
      </w:tr>
      <w:tr w:rsidR="00C44240" w:rsidRPr="00276D5E" w14:paraId="5F2E65AC" w14:textId="77777777" w:rsidTr="002B64A0">
        <w:trPr>
          <w:trHeight w:val="689"/>
        </w:trPr>
        <w:tc>
          <w:tcPr>
            <w:tcW w:w="1644" w:type="dxa"/>
            <w:shd w:val="clear" w:color="auto" w:fill="F2F2F2" w:themeFill="background1" w:themeFillShade="F2"/>
          </w:tcPr>
          <w:p w14:paraId="1C0E740D" w14:textId="35F192E5" w:rsidR="00C44240" w:rsidRPr="00CF0716" w:rsidRDefault="00C44240" w:rsidP="00CF0716">
            <w:pPr>
              <w:pStyle w:val="TableParagraph"/>
              <w:ind w:left="0"/>
              <w:rPr>
                <w:rFonts w:ascii="Arial" w:hAnsi="Arial" w:cs="Arial"/>
                <w:b/>
                <w:sz w:val="18"/>
                <w:szCs w:val="18"/>
              </w:rPr>
            </w:pPr>
            <w:r w:rsidRPr="00CF0716">
              <w:rPr>
                <w:rFonts w:ascii="Arial" w:hAnsi="Arial" w:cs="Arial"/>
                <w:b/>
                <w:sz w:val="18"/>
                <w:szCs w:val="18"/>
              </w:rPr>
              <w:t>Contract with</w:t>
            </w:r>
            <w:r w:rsidRPr="00CF0716">
              <w:rPr>
                <w:rFonts w:ascii="Arial" w:hAnsi="Arial" w:cs="Arial"/>
                <w:b/>
                <w:spacing w:val="-43"/>
                <w:sz w:val="18"/>
                <w:szCs w:val="18"/>
              </w:rPr>
              <w:t xml:space="preserve"> </w:t>
            </w:r>
            <w:r w:rsidRPr="00CF0716">
              <w:rPr>
                <w:rFonts w:ascii="Arial" w:hAnsi="Arial" w:cs="Arial"/>
                <w:b/>
                <w:sz w:val="18"/>
                <w:szCs w:val="18"/>
              </w:rPr>
              <w:t>CAMO/CAO</w:t>
            </w:r>
            <w:r w:rsidR="00CF0716">
              <w:rPr>
                <w:rFonts w:ascii="Arial" w:hAnsi="Arial" w:cs="Arial"/>
                <w:b/>
                <w:sz w:val="18"/>
                <w:szCs w:val="18"/>
              </w:rPr>
              <w:t xml:space="preserve">    </w:t>
            </w:r>
            <w:r w:rsidRPr="00CF0716">
              <w:rPr>
                <w:rFonts w:ascii="Arial" w:hAnsi="Arial" w:cs="Arial"/>
                <w:b/>
                <w:sz w:val="18"/>
                <w:szCs w:val="18"/>
              </w:rPr>
              <w:t>(CAM)</w:t>
            </w:r>
            <w:r w:rsidRPr="00CF0716">
              <w:rPr>
                <w:rFonts w:ascii="Arial" w:hAnsi="Arial" w:cs="Arial"/>
                <w:b/>
                <w:spacing w:val="-4"/>
                <w:sz w:val="18"/>
                <w:szCs w:val="18"/>
              </w:rPr>
              <w:t xml:space="preserve"> </w:t>
            </w:r>
            <w:r w:rsidRPr="00CF0716">
              <w:rPr>
                <w:rFonts w:ascii="Arial" w:hAnsi="Arial" w:cs="Arial"/>
                <w:b/>
                <w:sz w:val="18"/>
                <w:szCs w:val="18"/>
              </w:rPr>
              <w:t>required?</w:t>
            </w:r>
          </w:p>
        </w:tc>
        <w:tc>
          <w:tcPr>
            <w:tcW w:w="1501" w:type="dxa"/>
          </w:tcPr>
          <w:p w14:paraId="7186CFD1" w14:textId="77777777" w:rsidR="00C44240" w:rsidRPr="00CF0716" w:rsidRDefault="00C44240" w:rsidP="00D67D99">
            <w:pPr>
              <w:pStyle w:val="TableParagraph"/>
              <w:rPr>
                <w:rFonts w:ascii="Arial" w:hAnsi="Arial" w:cs="Arial"/>
                <w:sz w:val="18"/>
                <w:szCs w:val="18"/>
              </w:rPr>
            </w:pPr>
            <w:r w:rsidRPr="00CF0716">
              <w:rPr>
                <w:rFonts w:ascii="Arial" w:hAnsi="Arial" w:cs="Arial"/>
                <w:sz w:val="18"/>
                <w:szCs w:val="18"/>
              </w:rPr>
              <w:t>yes</w:t>
            </w:r>
          </w:p>
        </w:tc>
        <w:tc>
          <w:tcPr>
            <w:tcW w:w="1980" w:type="dxa"/>
          </w:tcPr>
          <w:p w14:paraId="5BDF6E80" w14:textId="77777777" w:rsidR="00C44240" w:rsidRPr="00CF0716" w:rsidRDefault="00C44240" w:rsidP="00D67D99">
            <w:pPr>
              <w:pStyle w:val="TableParagraph"/>
              <w:rPr>
                <w:rFonts w:ascii="Arial" w:hAnsi="Arial" w:cs="Arial"/>
                <w:sz w:val="18"/>
                <w:szCs w:val="18"/>
              </w:rPr>
            </w:pPr>
            <w:r w:rsidRPr="00CF0716">
              <w:rPr>
                <w:rFonts w:ascii="Arial" w:hAnsi="Arial" w:cs="Arial"/>
                <w:sz w:val="18"/>
                <w:szCs w:val="18"/>
              </w:rPr>
              <w:t>yes</w:t>
            </w:r>
          </w:p>
        </w:tc>
        <w:tc>
          <w:tcPr>
            <w:tcW w:w="4050" w:type="dxa"/>
          </w:tcPr>
          <w:p w14:paraId="259EFBCB" w14:textId="77777777" w:rsidR="00C44240" w:rsidRPr="00CF0716" w:rsidRDefault="00C44240" w:rsidP="00D67D99">
            <w:pPr>
              <w:pStyle w:val="TableParagraph"/>
              <w:rPr>
                <w:rFonts w:ascii="Arial" w:hAnsi="Arial" w:cs="Arial"/>
                <w:sz w:val="18"/>
                <w:szCs w:val="18"/>
              </w:rPr>
            </w:pPr>
            <w:r w:rsidRPr="00CF0716">
              <w:rPr>
                <w:rFonts w:ascii="Arial" w:hAnsi="Arial" w:cs="Arial"/>
                <w:sz w:val="18"/>
                <w:szCs w:val="18"/>
              </w:rPr>
              <w:t>no*</w:t>
            </w:r>
          </w:p>
        </w:tc>
      </w:tr>
      <w:tr w:rsidR="00C44240" w:rsidRPr="00276D5E" w14:paraId="4CE26CBA" w14:textId="77777777" w:rsidTr="002B64A0">
        <w:trPr>
          <w:trHeight w:val="447"/>
        </w:trPr>
        <w:tc>
          <w:tcPr>
            <w:tcW w:w="1644" w:type="dxa"/>
            <w:vMerge w:val="restart"/>
            <w:shd w:val="clear" w:color="auto" w:fill="F2F2F2" w:themeFill="background1" w:themeFillShade="F2"/>
          </w:tcPr>
          <w:p w14:paraId="11FF69E7" w14:textId="77777777" w:rsidR="00C44240" w:rsidRPr="00CF0716" w:rsidRDefault="00C44240" w:rsidP="00CF0716">
            <w:pPr>
              <w:pStyle w:val="TableParagraph"/>
              <w:ind w:left="0"/>
              <w:rPr>
                <w:rFonts w:ascii="Arial" w:hAnsi="Arial" w:cs="Arial"/>
                <w:b/>
                <w:sz w:val="18"/>
                <w:szCs w:val="18"/>
              </w:rPr>
            </w:pPr>
            <w:r w:rsidRPr="00CF0716">
              <w:rPr>
                <w:rFonts w:ascii="Arial" w:hAnsi="Arial" w:cs="Arial"/>
                <w:b/>
                <w:sz w:val="18"/>
                <w:szCs w:val="18"/>
              </w:rPr>
              <w:t>AMP</w:t>
            </w:r>
          </w:p>
        </w:tc>
        <w:tc>
          <w:tcPr>
            <w:tcW w:w="3481" w:type="dxa"/>
            <w:gridSpan w:val="2"/>
            <w:vMerge w:val="restart"/>
          </w:tcPr>
          <w:p w14:paraId="0E8E8469" w14:textId="77777777" w:rsidR="00C44240" w:rsidRPr="00CF0716" w:rsidRDefault="00C44240" w:rsidP="00D67D99">
            <w:pPr>
              <w:pStyle w:val="TableParagraph"/>
              <w:ind w:right="50"/>
              <w:rPr>
                <w:rFonts w:ascii="Arial" w:hAnsi="Arial" w:cs="Arial"/>
                <w:sz w:val="18"/>
                <w:szCs w:val="18"/>
              </w:rPr>
            </w:pPr>
            <w:r w:rsidRPr="00CF0716">
              <w:rPr>
                <w:rFonts w:ascii="Arial" w:hAnsi="Arial" w:cs="Arial"/>
                <w:sz w:val="18"/>
                <w:szCs w:val="18"/>
              </w:rPr>
              <w:t>The AMP document must be approved</w:t>
            </w:r>
            <w:r w:rsidRPr="00CF0716">
              <w:rPr>
                <w:rFonts w:ascii="Arial" w:hAnsi="Arial" w:cs="Arial"/>
                <w:spacing w:val="-43"/>
                <w:sz w:val="18"/>
                <w:szCs w:val="18"/>
              </w:rPr>
              <w:t xml:space="preserve"> </w:t>
            </w:r>
            <w:r w:rsidRPr="00CF0716">
              <w:rPr>
                <w:rFonts w:ascii="Arial" w:hAnsi="Arial" w:cs="Arial"/>
                <w:sz w:val="18"/>
                <w:szCs w:val="18"/>
              </w:rPr>
              <w:t>by</w:t>
            </w:r>
            <w:r w:rsidRPr="00CF0716">
              <w:rPr>
                <w:rFonts w:ascii="Arial" w:hAnsi="Arial" w:cs="Arial"/>
                <w:spacing w:val="-2"/>
                <w:sz w:val="18"/>
                <w:szCs w:val="18"/>
              </w:rPr>
              <w:t xml:space="preserve"> </w:t>
            </w:r>
            <w:r w:rsidRPr="00CF0716">
              <w:rPr>
                <w:rFonts w:ascii="Arial" w:hAnsi="Arial" w:cs="Arial"/>
                <w:sz w:val="18"/>
                <w:szCs w:val="18"/>
              </w:rPr>
              <w:t>the</w:t>
            </w:r>
            <w:r w:rsidRPr="00CF0716">
              <w:rPr>
                <w:rFonts w:ascii="Arial" w:hAnsi="Arial" w:cs="Arial"/>
                <w:spacing w:val="-3"/>
                <w:sz w:val="18"/>
                <w:szCs w:val="18"/>
              </w:rPr>
              <w:t xml:space="preserve"> </w:t>
            </w:r>
            <w:r w:rsidRPr="00CF0716">
              <w:rPr>
                <w:rFonts w:ascii="Arial" w:hAnsi="Arial" w:cs="Arial"/>
                <w:sz w:val="18"/>
                <w:szCs w:val="18"/>
              </w:rPr>
              <w:t>contracted</w:t>
            </w:r>
            <w:r w:rsidRPr="00CF0716">
              <w:rPr>
                <w:rFonts w:ascii="Arial" w:hAnsi="Arial" w:cs="Arial"/>
                <w:spacing w:val="-2"/>
                <w:sz w:val="18"/>
                <w:szCs w:val="18"/>
              </w:rPr>
              <w:t xml:space="preserve"> </w:t>
            </w:r>
            <w:r w:rsidRPr="00CF0716">
              <w:rPr>
                <w:rFonts w:ascii="Arial" w:hAnsi="Arial" w:cs="Arial"/>
                <w:sz w:val="18"/>
                <w:szCs w:val="18"/>
              </w:rPr>
              <w:t>CAMO/CAO(-CAM).</w:t>
            </w:r>
          </w:p>
        </w:tc>
        <w:tc>
          <w:tcPr>
            <w:tcW w:w="4050" w:type="dxa"/>
          </w:tcPr>
          <w:p w14:paraId="0C7A5A2F" w14:textId="77777777" w:rsidR="00C44240" w:rsidRPr="00CF0716" w:rsidRDefault="00C44240" w:rsidP="00D67D99">
            <w:pPr>
              <w:pStyle w:val="TableParagraph"/>
              <w:spacing w:line="240" w:lineRule="atLeast"/>
              <w:ind w:right="214"/>
              <w:rPr>
                <w:rFonts w:ascii="Arial" w:hAnsi="Arial" w:cs="Arial"/>
                <w:sz w:val="18"/>
                <w:szCs w:val="18"/>
              </w:rPr>
            </w:pPr>
            <w:r w:rsidRPr="00CF0716">
              <w:rPr>
                <w:rFonts w:ascii="Arial" w:hAnsi="Arial" w:cs="Arial"/>
                <w:sz w:val="18"/>
                <w:szCs w:val="18"/>
              </w:rPr>
              <w:t>If there is no CAMO/CAO(-CAM), the AMP</w:t>
            </w:r>
            <w:r w:rsidRPr="00CF0716">
              <w:rPr>
                <w:rFonts w:ascii="Arial" w:hAnsi="Arial" w:cs="Arial"/>
                <w:spacing w:val="-43"/>
                <w:sz w:val="18"/>
                <w:szCs w:val="18"/>
              </w:rPr>
              <w:t xml:space="preserve"> </w:t>
            </w:r>
            <w:r w:rsidRPr="00CF0716">
              <w:rPr>
                <w:rFonts w:ascii="Arial" w:hAnsi="Arial" w:cs="Arial"/>
                <w:sz w:val="18"/>
                <w:szCs w:val="18"/>
              </w:rPr>
              <w:t>must</w:t>
            </w:r>
            <w:r w:rsidRPr="00CF0716">
              <w:rPr>
                <w:rFonts w:ascii="Arial" w:hAnsi="Arial" w:cs="Arial"/>
                <w:spacing w:val="-1"/>
                <w:sz w:val="18"/>
                <w:szCs w:val="18"/>
              </w:rPr>
              <w:t xml:space="preserve"> </w:t>
            </w:r>
            <w:r w:rsidRPr="00CF0716">
              <w:rPr>
                <w:rFonts w:ascii="Arial" w:hAnsi="Arial" w:cs="Arial"/>
                <w:sz w:val="18"/>
                <w:szCs w:val="18"/>
              </w:rPr>
              <w:t>be</w:t>
            </w:r>
            <w:r w:rsidRPr="00CF0716">
              <w:rPr>
                <w:rFonts w:ascii="Arial" w:hAnsi="Arial" w:cs="Arial"/>
                <w:spacing w:val="-2"/>
                <w:sz w:val="18"/>
                <w:szCs w:val="18"/>
              </w:rPr>
              <w:t xml:space="preserve"> </w:t>
            </w:r>
            <w:r w:rsidRPr="00CF0716">
              <w:rPr>
                <w:rFonts w:ascii="Arial" w:hAnsi="Arial" w:cs="Arial"/>
                <w:sz w:val="18"/>
                <w:szCs w:val="18"/>
              </w:rPr>
              <w:t>declared by</w:t>
            </w:r>
            <w:r w:rsidRPr="00CF0716">
              <w:rPr>
                <w:rFonts w:ascii="Arial" w:hAnsi="Arial" w:cs="Arial"/>
                <w:spacing w:val="-1"/>
                <w:sz w:val="18"/>
                <w:szCs w:val="18"/>
              </w:rPr>
              <w:t xml:space="preserve"> </w:t>
            </w:r>
            <w:r w:rsidRPr="00CF0716">
              <w:rPr>
                <w:rFonts w:ascii="Arial" w:hAnsi="Arial" w:cs="Arial"/>
                <w:sz w:val="18"/>
                <w:szCs w:val="18"/>
              </w:rPr>
              <w:t>the</w:t>
            </w:r>
            <w:r w:rsidRPr="00CF0716">
              <w:rPr>
                <w:rFonts w:ascii="Arial" w:hAnsi="Arial" w:cs="Arial"/>
                <w:spacing w:val="-1"/>
                <w:sz w:val="18"/>
                <w:szCs w:val="18"/>
              </w:rPr>
              <w:t xml:space="preserve"> </w:t>
            </w:r>
            <w:r w:rsidRPr="00CF0716">
              <w:rPr>
                <w:rFonts w:ascii="Arial" w:hAnsi="Arial" w:cs="Arial"/>
                <w:sz w:val="18"/>
                <w:szCs w:val="18"/>
              </w:rPr>
              <w:t>owner.</w:t>
            </w:r>
          </w:p>
        </w:tc>
      </w:tr>
      <w:tr w:rsidR="00C44240" w:rsidRPr="00276D5E" w14:paraId="361C5F50" w14:textId="77777777" w:rsidTr="002B64A0">
        <w:trPr>
          <w:trHeight w:val="690"/>
        </w:trPr>
        <w:tc>
          <w:tcPr>
            <w:tcW w:w="1644" w:type="dxa"/>
            <w:vMerge/>
            <w:shd w:val="clear" w:color="auto" w:fill="F2F2F2" w:themeFill="background1" w:themeFillShade="F2"/>
          </w:tcPr>
          <w:p w14:paraId="2572097E" w14:textId="77777777" w:rsidR="00C44240" w:rsidRPr="00CF0716" w:rsidRDefault="00C44240" w:rsidP="00D67D99">
            <w:pPr>
              <w:rPr>
                <w:rFonts w:ascii="Arial" w:hAnsi="Arial" w:cs="Arial"/>
                <w:sz w:val="18"/>
                <w:szCs w:val="18"/>
              </w:rPr>
            </w:pPr>
          </w:p>
        </w:tc>
        <w:tc>
          <w:tcPr>
            <w:tcW w:w="3481" w:type="dxa"/>
            <w:gridSpan w:val="2"/>
            <w:vMerge/>
          </w:tcPr>
          <w:p w14:paraId="22E2EC29" w14:textId="77777777" w:rsidR="00C44240" w:rsidRPr="00CF0716" w:rsidRDefault="00C44240" w:rsidP="00D67D99">
            <w:pPr>
              <w:rPr>
                <w:rFonts w:ascii="Arial" w:hAnsi="Arial" w:cs="Arial"/>
                <w:sz w:val="18"/>
                <w:szCs w:val="18"/>
              </w:rPr>
            </w:pPr>
          </w:p>
        </w:tc>
        <w:tc>
          <w:tcPr>
            <w:tcW w:w="4050" w:type="dxa"/>
          </w:tcPr>
          <w:p w14:paraId="768A9C03" w14:textId="77777777" w:rsidR="00C44240" w:rsidRPr="00CF0716" w:rsidRDefault="00C44240" w:rsidP="00D67D99">
            <w:pPr>
              <w:pStyle w:val="TableParagraph"/>
              <w:spacing w:line="243" w:lineRule="exact"/>
              <w:rPr>
                <w:rFonts w:ascii="Arial" w:hAnsi="Arial" w:cs="Arial"/>
                <w:sz w:val="18"/>
                <w:szCs w:val="18"/>
              </w:rPr>
            </w:pPr>
            <w:r w:rsidRPr="00CF0716">
              <w:rPr>
                <w:rFonts w:ascii="Arial" w:hAnsi="Arial" w:cs="Arial"/>
                <w:sz w:val="18"/>
                <w:szCs w:val="18"/>
              </w:rPr>
              <w:t>If</w:t>
            </w:r>
            <w:r w:rsidRPr="00CF0716">
              <w:rPr>
                <w:rFonts w:ascii="Arial" w:hAnsi="Arial" w:cs="Arial"/>
                <w:spacing w:val="-3"/>
                <w:sz w:val="18"/>
                <w:szCs w:val="18"/>
              </w:rPr>
              <w:t xml:space="preserve"> </w:t>
            </w:r>
            <w:r w:rsidRPr="00CF0716">
              <w:rPr>
                <w:rFonts w:ascii="Arial" w:hAnsi="Arial" w:cs="Arial"/>
                <w:sz w:val="18"/>
                <w:szCs w:val="18"/>
              </w:rPr>
              <w:t>there</w:t>
            </w:r>
            <w:r w:rsidRPr="00CF0716">
              <w:rPr>
                <w:rFonts w:ascii="Arial" w:hAnsi="Arial" w:cs="Arial"/>
                <w:spacing w:val="-3"/>
                <w:sz w:val="18"/>
                <w:szCs w:val="18"/>
              </w:rPr>
              <w:t xml:space="preserve"> </w:t>
            </w:r>
            <w:r w:rsidRPr="00CF0716">
              <w:rPr>
                <w:rFonts w:ascii="Arial" w:hAnsi="Arial" w:cs="Arial"/>
                <w:sz w:val="18"/>
                <w:szCs w:val="18"/>
              </w:rPr>
              <w:t>is</w:t>
            </w:r>
            <w:r w:rsidRPr="00CF0716">
              <w:rPr>
                <w:rFonts w:ascii="Arial" w:hAnsi="Arial" w:cs="Arial"/>
                <w:spacing w:val="-3"/>
                <w:sz w:val="18"/>
                <w:szCs w:val="18"/>
              </w:rPr>
              <w:t xml:space="preserve"> </w:t>
            </w:r>
            <w:r w:rsidRPr="00CF0716">
              <w:rPr>
                <w:rFonts w:ascii="Arial" w:hAnsi="Arial" w:cs="Arial"/>
                <w:sz w:val="18"/>
                <w:szCs w:val="18"/>
              </w:rPr>
              <w:t>a</w:t>
            </w:r>
            <w:r w:rsidRPr="00CF0716">
              <w:rPr>
                <w:rFonts w:ascii="Arial" w:hAnsi="Arial" w:cs="Arial"/>
                <w:spacing w:val="-2"/>
                <w:sz w:val="18"/>
                <w:szCs w:val="18"/>
              </w:rPr>
              <w:t xml:space="preserve"> </w:t>
            </w:r>
            <w:r w:rsidRPr="00CF0716">
              <w:rPr>
                <w:rFonts w:ascii="Arial" w:hAnsi="Arial" w:cs="Arial"/>
                <w:sz w:val="18"/>
                <w:szCs w:val="18"/>
              </w:rPr>
              <w:t>contracted</w:t>
            </w:r>
            <w:r w:rsidRPr="00CF0716">
              <w:rPr>
                <w:rFonts w:ascii="Arial" w:hAnsi="Arial" w:cs="Arial"/>
                <w:spacing w:val="-1"/>
                <w:sz w:val="18"/>
                <w:szCs w:val="18"/>
              </w:rPr>
              <w:t xml:space="preserve"> </w:t>
            </w:r>
            <w:r w:rsidRPr="00CF0716">
              <w:rPr>
                <w:rFonts w:ascii="Arial" w:hAnsi="Arial" w:cs="Arial"/>
                <w:sz w:val="18"/>
                <w:szCs w:val="18"/>
              </w:rPr>
              <w:t>CAMO/CAO(-CAM),</w:t>
            </w:r>
          </w:p>
          <w:p w14:paraId="3E9004FE" w14:textId="77777777" w:rsidR="00C44240" w:rsidRPr="00CF0716" w:rsidRDefault="00C44240" w:rsidP="00D67D99">
            <w:pPr>
              <w:pStyle w:val="TableParagraph"/>
              <w:spacing w:line="240" w:lineRule="atLeast"/>
              <w:ind w:right="980"/>
              <w:rPr>
                <w:rFonts w:ascii="Arial" w:hAnsi="Arial" w:cs="Arial"/>
                <w:sz w:val="18"/>
                <w:szCs w:val="18"/>
              </w:rPr>
            </w:pPr>
            <w:r w:rsidRPr="00CF0716">
              <w:rPr>
                <w:rFonts w:ascii="Arial" w:hAnsi="Arial" w:cs="Arial"/>
                <w:sz w:val="18"/>
                <w:szCs w:val="18"/>
              </w:rPr>
              <w:t>the AMP must be approved by the</w:t>
            </w:r>
            <w:r w:rsidRPr="00CF0716">
              <w:rPr>
                <w:rFonts w:ascii="Arial" w:hAnsi="Arial" w:cs="Arial"/>
                <w:spacing w:val="-43"/>
                <w:sz w:val="18"/>
                <w:szCs w:val="18"/>
              </w:rPr>
              <w:t xml:space="preserve"> </w:t>
            </w:r>
            <w:r w:rsidRPr="00CF0716">
              <w:rPr>
                <w:rFonts w:ascii="Arial" w:hAnsi="Arial" w:cs="Arial"/>
                <w:sz w:val="18"/>
                <w:szCs w:val="18"/>
              </w:rPr>
              <w:t>CAMO/CAO(-CAM).</w:t>
            </w:r>
          </w:p>
        </w:tc>
      </w:tr>
      <w:tr w:rsidR="00C44240" w:rsidRPr="00276D5E" w14:paraId="30EDBD7D" w14:textId="77777777" w:rsidTr="002B64A0">
        <w:trPr>
          <w:trHeight w:val="200"/>
        </w:trPr>
        <w:tc>
          <w:tcPr>
            <w:tcW w:w="1644" w:type="dxa"/>
            <w:vMerge/>
            <w:shd w:val="clear" w:color="auto" w:fill="F2F2F2" w:themeFill="background1" w:themeFillShade="F2"/>
          </w:tcPr>
          <w:p w14:paraId="79814E22" w14:textId="77777777" w:rsidR="00C44240" w:rsidRPr="00CF0716" w:rsidRDefault="00C44240" w:rsidP="00D67D99">
            <w:pPr>
              <w:rPr>
                <w:rFonts w:ascii="Arial" w:hAnsi="Arial" w:cs="Arial"/>
                <w:sz w:val="18"/>
                <w:szCs w:val="18"/>
              </w:rPr>
            </w:pPr>
          </w:p>
        </w:tc>
        <w:tc>
          <w:tcPr>
            <w:tcW w:w="7531" w:type="dxa"/>
            <w:gridSpan w:val="3"/>
          </w:tcPr>
          <w:p w14:paraId="709F78E4" w14:textId="77777777" w:rsidR="00C44240" w:rsidRPr="00CF0716" w:rsidRDefault="00C44240" w:rsidP="00D67D99">
            <w:pPr>
              <w:pStyle w:val="TableParagraph"/>
              <w:spacing w:line="223" w:lineRule="exact"/>
              <w:rPr>
                <w:rFonts w:ascii="Arial" w:hAnsi="Arial" w:cs="Arial"/>
                <w:sz w:val="18"/>
                <w:szCs w:val="18"/>
              </w:rPr>
            </w:pPr>
            <w:r w:rsidRPr="00CF0716">
              <w:rPr>
                <w:rFonts w:ascii="Arial" w:hAnsi="Arial" w:cs="Arial"/>
                <w:sz w:val="18"/>
                <w:szCs w:val="18"/>
              </w:rPr>
              <w:t>If</w:t>
            </w:r>
            <w:r w:rsidRPr="00CF0716">
              <w:rPr>
                <w:rFonts w:ascii="Arial" w:hAnsi="Arial" w:cs="Arial"/>
                <w:spacing w:val="-3"/>
                <w:sz w:val="18"/>
                <w:szCs w:val="18"/>
              </w:rPr>
              <w:t xml:space="preserve"> </w:t>
            </w:r>
            <w:r w:rsidRPr="00CF0716">
              <w:rPr>
                <w:rFonts w:ascii="Arial" w:hAnsi="Arial" w:cs="Arial"/>
                <w:sz w:val="18"/>
                <w:szCs w:val="18"/>
              </w:rPr>
              <w:t>ML.A.302(e)</w:t>
            </w:r>
            <w:r w:rsidRPr="00CF0716">
              <w:rPr>
                <w:rFonts w:ascii="Arial" w:hAnsi="Arial" w:cs="Arial"/>
                <w:spacing w:val="-3"/>
                <w:sz w:val="18"/>
                <w:szCs w:val="18"/>
              </w:rPr>
              <w:t xml:space="preserve"> </w:t>
            </w:r>
            <w:r w:rsidRPr="00CF0716">
              <w:rPr>
                <w:rFonts w:ascii="Arial" w:hAnsi="Arial" w:cs="Arial"/>
                <w:sz w:val="18"/>
                <w:szCs w:val="18"/>
              </w:rPr>
              <w:t>conditions</w:t>
            </w:r>
            <w:r w:rsidRPr="00CF0716">
              <w:rPr>
                <w:rFonts w:ascii="Arial" w:hAnsi="Arial" w:cs="Arial"/>
                <w:spacing w:val="-4"/>
                <w:sz w:val="18"/>
                <w:szCs w:val="18"/>
              </w:rPr>
              <w:t xml:space="preserve"> </w:t>
            </w:r>
            <w:r w:rsidRPr="00CF0716">
              <w:rPr>
                <w:rFonts w:ascii="Arial" w:hAnsi="Arial" w:cs="Arial"/>
                <w:sz w:val="18"/>
                <w:szCs w:val="18"/>
              </w:rPr>
              <w:t>are</w:t>
            </w:r>
            <w:r w:rsidRPr="00CF0716">
              <w:rPr>
                <w:rFonts w:ascii="Arial" w:hAnsi="Arial" w:cs="Arial"/>
                <w:spacing w:val="-1"/>
                <w:sz w:val="18"/>
                <w:szCs w:val="18"/>
              </w:rPr>
              <w:t xml:space="preserve"> </w:t>
            </w:r>
            <w:r w:rsidRPr="00CF0716">
              <w:rPr>
                <w:rFonts w:ascii="Arial" w:hAnsi="Arial" w:cs="Arial"/>
                <w:sz w:val="18"/>
                <w:szCs w:val="18"/>
              </w:rPr>
              <w:t>met,</w:t>
            </w:r>
            <w:r w:rsidRPr="00CF0716">
              <w:rPr>
                <w:rFonts w:ascii="Arial" w:hAnsi="Arial" w:cs="Arial"/>
                <w:spacing w:val="-2"/>
                <w:sz w:val="18"/>
                <w:szCs w:val="18"/>
              </w:rPr>
              <w:t xml:space="preserve"> </w:t>
            </w:r>
            <w:r w:rsidRPr="00CF0716">
              <w:rPr>
                <w:rFonts w:ascii="Arial" w:hAnsi="Arial" w:cs="Arial"/>
                <w:sz w:val="18"/>
                <w:szCs w:val="18"/>
              </w:rPr>
              <w:t>producing</w:t>
            </w:r>
            <w:r w:rsidRPr="00CF0716">
              <w:rPr>
                <w:rFonts w:ascii="Arial" w:hAnsi="Arial" w:cs="Arial"/>
                <w:spacing w:val="-2"/>
                <w:sz w:val="18"/>
                <w:szCs w:val="18"/>
              </w:rPr>
              <w:t xml:space="preserve"> </w:t>
            </w:r>
            <w:r w:rsidRPr="00CF0716">
              <w:rPr>
                <w:rFonts w:ascii="Arial" w:hAnsi="Arial" w:cs="Arial"/>
                <w:sz w:val="18"/>
                <w:szCs w:val="18"/>
              </w:rPr>
              <w:t>an</w:t>
            </w:r>
            <w:r w:rsidRPr="00CF0716">
              <w:rPr>
                <w:rFonts w:ascii="Arial" w:hAnsi="Arial" w:cs="Arial"/>
                <w:spacing w:val="-1"/>
                <w:sz w:val="18"/>
                <w:szCs w:val="18"/>
              </w:rPr>
              <w:t xml:space="preserve"> </w:t>
            </w:r>
            <w:r w:rsidRPr="00CF0716">
              <w:rPr>
                <w:rFonts w:ascii="Arial" w:hAnsi="Arial" w:cs="Arial"/>
                <w:sz w:val="18"/>
                <w:szCs w:val="18"/>
              </w:rPr>
              <w:t>AMP</w:t>
            </w:r>
            <w:r w:rsidRPr="00CF0716">
              <w:rPr>
                <w:rFonts w:ascii="Arial" w:hAnsi="Arial" w:cs="Arial"/>
                <w:spacing w:val="-2"/>
                <w:sz w:val="18"/>
                <w:szCs w:val="18"/>
              </w:rPr>
              <w:t xml:space="preserve"> </w:t>
            </w:r>
            <w:r w:rsidRPr="00CF0716">
              <w:rPr>
                <w:rFonts w:ascii="Arial" w:hAnsi="Arial" w:cs="Arial"/>
                <w:sz w:val="18"/>
                <w:szCs w:val="18"/>
              </w:rPr>
              <w:t>document</w:t>
            </w:r>
            <w:r w:rsidRPr="00CF0716">
              <w:rPr>
                <w:rFonts w:ascii="Arial" w:hAnsi="Arial" w:cs="Arial"/>
                <w:spacing w:val="-2"/>
                <w:sz w:val="18"/>
                <w:szCs w:val="18"/>
              </w:rPr>
              <w:t xml:space="preserve"> </w:t>
            </w:r>
            <w:r w:rsidRPr="00CF0716">
              <w:rPr>
                <w:rFonts w:ascii="Arial" w:hAnsi="Arial" w:cs="Arial"/>
                <w:sz w:val="18"/>
                <w:szCs w:val="18"/>
              </w:rPr>
              <w:t>is</w:t>
            </w:r>
            <w:r w:rsidRPr="00CF0716">
              <w:rPr>
                <w:rFonts w:ascii="Arial" w:hAnsi="Arial" w:cs="Arial"/>
                <w:spacing w:val="-4"/>
                <w:sz w:val="18"/>
                <w:szCs w:val="18"/>
              </w:rPr>
              <w:t xml:space="preserve"> </w:t>
            </w:r>
            <w:r w:rsidRPr="00CF0716">
              <w:rPr>
                <w:rFonts w:ascii="Arial" w:hAnsi="Arial" w:cs="Arial"/>
                <w:sz w:val="18"/>
                <w:szCs w:val="18"/>
              </w:rPr>
              <w:t>not</w:t>
            </w:r>
            <w:r w:rsidRPr="00CF0716">
              <w:rPr>
                <w:rFonts w:ascii="Arial" w:hAnsi="Arial" w:cs="Arial"/>
                <w:spacing w:val="-2"/>
                <w:sz w:val="18"/>
                <w:szCs w:val="18"/>
              </w:rPr>
              <w:t xml:space="preserve"> </w:t>
            </w:r>
            <w:r w:rsidRPr="00CF0716">
              <w:rPr>
                <w:rFonts w:ascii="Arial" w:hAnsi="Arial" w:cs="Arial"/>
                <w:sz w:val="18"/>
                <w:szCs w:val="18"/>
              </w:rPr>
              <w:t>required.</w:t>
            </w:r>
          </w:p>
        </w:tc>
      </w:tr>
      <w:tr w:rsidR="00C44240" w:rsidRPr="00276D5E" w14:paraId="7534E3B3" w14:textId="77777777" w:rsidTr="002B64A0">
        <w:trPr>
          <w:trHeight w:val="689"/>
        </w:trPr>
        <w:tc>
          <w:tcPr>
            <w:tcW w:w="1644" w:type="dxa"/>
            <w:shd w:val="clear" w:color="auto" w:fill="F2F2F2" w:themeFill="background1" w:themeFillShade="F2"/>
          </w:tcPr>
          <w:p w14:paraId="2B8B253A" w14:textId="77777777" w:rsidR="00C44240" w:rsidRPr="00CF0716" w:rsidRDefault="00C44240" w:rsidP="00CF0716">
            <w:pPr>
              <w:pStyle w:val="TableParagraph"/>
              <w:ind w:left="0"/>
              <w:rPr>
                <w:rFonts w:ascii="Arial" w:hAnsi="Arial" w:cs="Arial"/>
                <w:b/>
                <w:sz w:val="18"/>
                <w:szCs w:val="18"/>
              </w:rPr>
            </w:pPr>
            <w:r w:rsidRPr="00CF0716">
              <w:rPr>
                <w:rFonts w:ascii="Arial" w:hAnsi="Arial" w:cs="Arial"/>
                <w:b/>
                <w:sz w:val="18"/>
                <w:szCs w:val="18"/>
              </w:rPr>
              <w:t>Maintenance</w:t>
            </w:r>
          </w:p>
        </w:tc>
        <w:tc>
          <w:tcPr>
            <w:tcW w:w="3481" w:type="dxa"/>
            <w:gridSpan w:val="2"/>
          </w:tcPr>
          <w:p w14:paraId="141FDA1F" w14:textId="77777777" w:rsidR="00C44240" w:rsidRPr="00CF0716" w:rsidRDefault="00C44240" w:rsidP="00D67D99">
            <w:pPr>
              <w:pStyle w:val="TableParagraph"/>
              <w:rPr>
                <w:rFonts w:ascii="Arial" w:hAnsi="Arial" w:cs="Arial"/>
                <w:sz w:val="18"/>
                <w:szCs w:val="18"/>
              </w:rPr>
            </w:pPr>
            <w:r w:rsidRPr="00CF0716">
              <w:rPr>
                <w:rFonts w:ascii="Arial" w:hAnsi="Arial" w:cs="Arial"/>
                <w:sz w:val="18"/>
                <w:szCs w:val="18"/>
              </w:rPr>
              <w:t>By</w:t>
            </w:r>
            <w:r w:rsidRPr="00CF0716">
              <w:rPr>
                <w:rFonts w:ascii="Arial" w:hAnsi="Arial" w:cs="Arial"/>
                <w:spacing w:val="-1"/>
                <w:sz w:val="18"/>
                <w:szCs w:val="18"/>
              </w:rPr>
              <w:t xml:space="preserve"> </w:t>
            </w:r>
            <w:r w:rsidRPr="00CF0716">
              <w:rPr>
                <w:rFonts w:ascii="Arial" w:hAnsi="Arial" w:cs="Arial"/>
                <w:sz w:val="18"/>
                <w:szCs w:val="18"/>
              </w:rPr>
              <w:t>a</w:t>
            </w:r>
            <w:r w:rsidRPr="00CF0716">
              <w:rPr>
                <w:rFonts w:ascii="Arial" w:hAnsi="Arial" w:cs="Arial"/>
                <w:spacing w:val="-1"/>
                <w:sz w:val="18"/>
                <w:szCs w:val="18"/>
              </w:rPr>
              <w:t xml:space="preserve"> </w:t>
            </w:r>
            <w:r w:rsidRPr="00CF0716">
              <w:rPr>
                <w:rFonts w:ascii="Arial" w:hAnsi="Arial" w:cs="Arial"/>
                <w:sz w:val="18"/>
                <w:szCs w:val="18"/>
              </w:rPr>
              <w:t>maintenance</w:t>
            </w:r>
            <w:r w:rsidRPr="00CF0716">
              <w:rPr>
                <w:rFonts w:ascii="Arial" w:hAnsi="Arial" w:cs="Arial"/>
                <w:spacing w:val="-3"/>
                <w:sz w:val="18"/>
                <w:szCs w:val="18"/>
              </w:rPr>
              <w:t xml:space="preserve"> </w:t>
            </w:r>
            <w:r w:rsidRPr="00CF0716">
              <w:rPr>
                <w:rFonts w:ascii="Arial" w:hAnsi="Arial" w:cs="Arial"/>
                <w:sz w:val="18"/>
                <w:szCs w:val="18"/>
              </w:rPr>
              <w:t>organisation</w:t>
            </w:r>
          </w:p>
        </w:tc>
        <w:tc>
          <w:tcPr>
            <w:tcW w:w="4050" w:type="dxa"/>
          </w:tcPr>
          <w:p w14:paraId="24FF85A5" w14:textId="77777777" w:rsidR="00C44240" w:rsidRPr="00CF0716" w:rsidRDefault="00C44240" w:rsidP="00D67D99">
            <w:pPr>
              <w:pStyle w:val="TableParagraph"/>
              <w:rPr>
                <w:rFonts w:ascii="Arial" w:hAnsi="Arial" w:cs="Arial"/>
                <w:sz w:val="18"/>
                <w:szCs w:val="18"/>
              </w:rPr>
            </w:pPr>
            <w:r w:rsidRPr="00CF0716">
              <w:rPr>
                <w:rFonts w:ascii="Arial" w:hAnsi="Arial" w:cs="Arial"/>
                <w:sz w:val="18"/>
                <w:szCs w:val="18"/>
              </w:rPr>
              <w:t>By a maintenance organisation or by</w:t>
            </w:r>
            <w:r w:rsidRPr="00CF0716">
              <w:rPr>
                <w:rFonts w:ascii="Arial" w:hAnsi="Arial" w:cs="Arial"/>
                <w:spacing w:val="1"/>
                <w:sz w:val="18"/>
                <w:szCs w:val="18"/>
              </w:rPr>
              <w:t xml:space="preserve"> </w:t>
            </w:r>
            <w:r w:rsidRPr="00CF0716">
              <w:rPr>
                <w:rFonts w:ascii="Arial" w:hAnsi="Arial" w:cs="Arial"/>
                <w:sz w:val="18"/>
                <w:szCs w:val="18"/>
              </w:rPr>
              <w:t>independent</w:t>
            </w:r>
            <w:r w:rsidRPr="00CF0716">
              <w:rPr>
                <w:rFonts w:ascii="Arial" w:hAnsi="Arial" w:cs="Arial"/>
                <w:spacing w:val="-2"/>
                <w:sz w:val="18"/>
                <w:szCs w:val="18"/>
              </w:rPr>
              <w:t xml:space="preserve"> </w:t>
            </w:r>
            <w:r w:rsidRPr="00CF0716">
              <w:rPr>
                <w:rFonts w:ascii="Arial" w:hAnsi="Arial" w:cs="Arial"/>
                <w:sz w:val="18"/>
                <w:szCs w:val="18"/>
              </w:rPr>
              <w:t>certifying staff</w:t>
            </w:r>
            <w:r w:rsidRPr="00CF0716">
              <w:rPr>
                <w:rFonts w:ascii="Arial" w:hAnsi="Arial" w:cs="Arial"/>
                <w:spacing w:val="-4"/>
                <w:sz w:val="18"/>
                <w:szCs w:val="18"/>
              </w:rPr>
              <w:t xml:space="preserve"> </w:t>
            </w:r>
            <w:r w:rsidRPr="00CF0716">
              <w:rPr>
                <w:rFonts w:ascii="Arial" w:hAnsi="Arial" w:cs="Arial"/>
                <w:sz w:val="18"/>
                <w:szCs w:val="18"/>
              </w:rPr>
              <w:t>or</w:t>
            </w:r>
            <w:r w:rsidRPr="00CF0716">
              <w:rPr>
                <w:rFonts w:ascii="Arial" w:hAnsi="Arial" w:cs="Arial"/>
                <w:spacing w:val="-2"/>
                <w:sz w:val="18"/>
                <w:szCs w:val="18"/>
              </w:rPr>
              <w:t xml:space="preserve"> </w:t>
            </w:r>
            <w:r w:rsidRPr="00CF0716">
              <w:rPr>
                <w:rFonts w:ascii="Arial" w:hAnsi="Arial" w:cs="Arial"/>
                <w:sz w:val="18"/>
                <w:szCs w:val="18"/>
              </w:rPr>
              <w:t>the</w:t>
            </w:r>
            <w:r w:rsidRPr="00CF0716">
              <w:rPr>
                <w:rFonts w:ascii="Arial" w:hAnsi="Arial" w:cs="Arial"/>
                <w:spacing w:val="-2"/>
                <w:sz w:val="18"/>
                <w:szCs w:val="18"/>
              </w:rPr>
              <w:t xml:space="preserve"> </w:t>
            </w:r>
            <w:r w:rsidRPr="00CF0716">
              <w:rPr>
                <w:rFonts w:ascii="Arial" w:hAnsi="Arial" w:cs="Arial"/>
                <w:sz w:val="18"/>
                <w:szCs w:val="18"/>
              </w:rPr>
              <w:t>pilot-</w:t>
            </w:r>
          </w:p>
          <w:p w14:paraId="79B6CF1F" w14:textId="77777777" w:rsidR="00C44240" w:rsidRPr="00CF0716" w:rsidRDefault="00C44240" w:rsidP="00D67D99">
            <w:pPr>
              <w:pStyle w:val="TableParagraph"/>
              <w:spacing w:line="224" w:lineRule="exact"/>
              <w:rPr>
                <w:rFonts w:ascii="Arial" w:hAnsi="Arial" w:cs="Arial"/>
                <w:sz w:val="18"/>
                <w:szCs w:val="18"/>
              </w:rPr>
            </w:pPr>
            <w:r w:rsidRPr="00CF0716">
              <w:rPr>
                <w:rFonts w:ascii="Arial" w:hAnsi="Arial" w:cs="Arial"/>
                <w:sz w:val="18"/>
                <w:szCs w:val="18"/>
              </w:rPr>
              <w:t>owner**</w:t>
            </w:r>
          </w:p>
        </w:tc>
      </w:tr>
      <w:tr w:rsidR="00C44240" w:rsidRPr="00276D5E" w14:paraId="44DF8D50" w14:textId="77777777" w:rsidTr="002B64A0">
        <w:trPr>
          <w:trHeight w:val="935"/>
        </w:trPr>
        <w:tc>
          <w:tcPr>
            <w:tcW w:w="1644" w:type="dxa"/>
            <w:shd w:val="clear" w:color="auto" w:fill="F2F2F2" w:themeFill="background1" w:themeFillShade="F2"/>
          </w:tcPr>
          <w:p w14:paraId="09104B95" w14:textId="77777777" w:rsidR="00C44240" w:rsidRPr="00CF0716" w:rsidRDefault="00C44240" w:rsidP="00CF0716">
            <w:pPr>
              <w:pStyle w:val="TableParagraph"/>
              <w:ind w:left="0"/>
              <w:rPr>
                <w:rFonts w:ascii="Arial" w:hAnsi="Arial" w:cs="Arial"/>
                <w:b/>
                <w:sz w:val="18"/>
                <w:szCs w:val="18"/>
              </w:rPr>
            </w:pPr>
            <w:r w:rsidRPr="00CF0716">
              <w:rPr>
                <w:rFonts w:ascii="Arial" w:hAnsi="Arial" w:cs="Arial"/>
                <w:b/>
                <w:sz w:val="18"/>
                <w:szCs w:val="18"/>
              </w:rPr>
              <w:t>AR</w:t>
            </w:r>
            <w:r w:rsidRPr="00CF0716">
              <w:rPr>
                <w:rFonts w:ascii="Arial" w:hAnsi="Arial" w:cs="Arial"/>
                <w:b/>
                <w:spacing w:val="-2"/>
                <w:sz w:val="18"/>
                <w:szCs w:val="18"/>
              </w:rPr>
              <w:t xml:space="preserve"> </w:t>
            </w:r>
            <w:r w:rsidRPr="00CF0716">
              <w:rPr>
                <w:rFonts w:ascii="Arial" w:hAnsi="Arial" w:cs="Arial"/>
                <w:b/>
                <w:sz w:val="18"/>
                <w:szCs w:val="18"/>
              </w:rPr>
              <w:t>and</w:t>
            </w:r>
            <w:r w:rsidRPr="00CF0716">
              <w:rPr>
                <w:rFonts w:ascii="Arial" w:hAnsi="Arial" w:cs="Arial"/>
                <w:b/>
                <w:spacing w:val="-1"/>
                <w:sz w:val="18"/>
                <w:szCs w:val="18"/>
              </w:rPr>
              <w:t xml:space="preserve"> </w:t>
            </w:r>
            <w:r w:rsidRPr="00CF0716">
              <w:rPr>
                <w:rFonts w:ascii="Arial" w:hAnsi="Arial" w:cs="Arial"/>
                <w:b/>
                <w:sz w:val="18"/>
                <w:szCs w:val="18"/>
              </w:rPr>
              <w:t>ARC</w:t>
            </w:r>
          </w:p>
        </w:tc>
        <w:tc>
          <w:tcPr>
            <w:tcW w:w="3481" w:type="dxa"/>
            <w:gridSpan w:val="2"/>
          </w:tcPr>
          <w:p w14:paraId="513048DA" w14:textId="4A9CAA35" w:rsidR="00C44240" w:rsidRPr="00CF0716" w:rsidRDefault="00C44240" w:rsidP="00D67D99">
            <w:pPr>
              <w:pStyle w:val="TableParagraph"/>
              <w:ind w:right="297"/>
              <w:jc w:val="both"/>
              <w:rPr>
                <w:rFonts w:ascii="Arial" w:hAnsi="Arial" w:cs="Arial"/>
                <w:sz w:val="18"/>
                <w:szCs w:val="18"/>
              </w:rPr>
            </w:pPr>
            <w:r w:rsidRPr="00CF0716">
              <w:rPr>
                <w:rFonts w:ascii="Arial" w:hAnsi="Arial" w:cs="Arial"/>
                <w:sz w:val="18"/>
                <w:szCs w:val="18"/>
              </w:rPr>
              <w:t>By a maintenance organisation*** or</w:t>
            </w:r>
            <w:r w:rsidRPr="00CF0716">
              <w:rPr>
                <w:rFonts w:ascii="Arial" w:hAnsi="Arial" w:cs="Arial"/>
                <w:spacing w:val="-43"/>
                <w:sz w:val="18"/>
                <w:szCs w:val="18"/>
              </w:rPr>
              <w:t xml:space="preserve"> </w:t>
            </w:r>
            <w:r w:rsidRPr="00CF0716">
              <w:rPr>
                <w:rFonts w:ascii="Arial" w:hAnsi="Arial" w:cs="Arial"/>
                <w:sz w:val="18"/>
                <w:szCs w:val="18"/>
              </w:rPr>
              <w:t>by the contracted CAMO/CAO(-CAM)</w:t>
            </w:r>
            <w:r w:rsidRPr="00CF0716">
              <w:rPr>
                <w:rFonts w:ascii="Arial" w:hAnsi="Arial" w:cs="Arial"/>
                <w:spacing w:val="1"/>
                <w:sz w:val="18"/>
                <w:szCs w:val="18"/>
              </w:rPr>
              <w:t xml:space="preserve"> </w:t>
            </w:r>
            <w:r w:rsidRPr="00CF0716">
              <w:rPr>
                <w:rFonts w:ascii="Arial" w:hAnsi="Arial" w:cs="Arial"/>
                <w:sz w:val="18"/>
                <w:szCs w:val="18"/>
              </w:rPr>
              <w:t>or</w:t>
            </w:r>
            <w:r w:rsidRPr="00CF0716">
              <w:rPr>
                <w:rFonts w:ascii="Arial" w:hAnsi="Arial" w:cs="Arial"/>
                <w:spacing w:val="-1"/>
                <w:sz w:val="18"/>
                <w:szCs w:val="18"/>
              </w:rPr>
              <w:t xml:space="preserve"> </w:t>
            </w:r>
            <w:r w:rsidRPr="00CF0716">
              <w:rPr>
                <w:rFonts w:ascii="Arial" w:hAnsi="Arial" w:cs="Arial"/>
                <w:sz w:val="18"/>
                <w:szCs w:val="18"/>
              </w:rPr>
              <w:t>by</w:t>
            </w:r>
            <w:r w:rsidRPr="00CF0716">
              <w:rPr>
                <w:rFonts w:ascii="Arial" w:hAnsi="Arial" w:cs="Arial"/>
                <w:spacing w:val="-1"/>
                <w:sz w:val="18"/>
                <w:szCs w:val="18"/>
              </w:rPr>
              <w:t xml:space="preserve"> </w:t>
            </w:r>
            <w:r w:rsidRPr="00CF0716">
              <w:rPr>
                <w:rFonts w:ascii="Arial" w:hAnsi="Arial" w:cs="Arial"/>
                <w:sz w:val="18"/>
                <w:szCs w:val="18"/>
              </w:rPr>
              <w:t>the</w:t>
            </w:r>
            <w:r w:rsidRPr="00CF0716">
              <w:rPr>
                <w:rFonts w:ascii="Arial" w:hAnsi="Arial" w:cs="Arial"/>
                <w:spacing w:val="-1"/>
                <w:sz w:val="18"/>
                <w:szCs w:val="18"/>
              </w:rPr>
              <w:t xml:space="preserve"> </w:t>
            </w:r>
            <w:r w:rsidR="004E22F1" w:rsidRPr="004E22F1">
              <w:rPr>
                <w:rFonts w:ascii="Arial" w:hAnsi="Arial" w:cs="Arial"/>
                <w:spacing w:val="-1"/>
                <w:sz w:val="18"/>
                <w:szCs w:val="18"/>
              </w:rPr>
              <w:t>CAC RA</w:t>
            </w:r>
          </w:p>
        </w:tc>
        <w:tc>
          <w:tcPr>
            <w:tcW w:w="4050" w:type="dxa"/>
          </w:tcPr>
          <w:p w14:paraId="7746CDB6" w14:textId="77777777" w:rsidR="00E13EE2" w:rsidRDefault="00C44240" w:rsidP="00E13EE2">
            <w:pPr>
              <w:pStyle w:val="TableParagraph"/>
              <w:spacing w:line="243" w:lineRule="exact"/>
              <w:rPr>
                <w:rFonts w:ascii="Arial" w:hAnsi="Arial" w:cs="Arial"/>
                <w:sz w:val="18"/>
                <w:szCs w:val="18"/>
              </w:rPr>
            </w:pPr>
            <w:r w:rsidRPr="00CF0716">
              <w:rPr>
                <w:rFonts w:ascii="Arial" w:hAnsi="Arial" w:cs="Arial"/>
                <w:sz w:val="18"/>
                <w:szCs w:val="18"/>
              </w:rPr>
              <w:t>By</w:t>
            </w:r>
            <w:r w:rsidRPr="00CF0716">
              <w:rPr>
                <w:rFonts w:ascii="Arial" w:hAnsi="Arial" w:cs="Arial"/>
                <w:spacing w:val="-3"/>
                <w:sz w:val="18"/>
                <w:szCs w:val="18"/>
              </w:rPr>
              <w:t xml:space="preserve"> </w:t>
            </w:r>
            <w:r w:rsidRPr="00CF0716">
              <w:rPr>
                <w:rFonts w:ascii="Arial" w:hAnsi="Arial" w:cs="Arial"/>
                <w:sz w:val="18"/>
                <w:szCs w:val="18"/>
              </w:rPr>
              <w:t>a</w:t>
            </w:r>
            <w:r w:rsidRPr="00CF0716">
              <w:rPr>
                <w:rFonts w:ascii="Arial" w:hAnsi="Arial" w:cs="Arial"/>
                <w:spacing w:val="-2"/>
                <w:sz w:val="18"/>
                <w:szCs w:val="18"/>
              </w:rPr>
              <w:t xml:space="preserve"> </w:t>
            </w:r>
            <w:r w:rsidRPr="00CF0716">
              <w:rPr>
                <w:rFonts w:ascii="Arial" w:hAnsi="Arial" w:cs="Arial"/>
                <w:sz w:val="18"/>
                <w:szCs w:val="18"/>
              </w:rPr>
              <w:t>maintenance</w:t>
            </w:r>
            <w:r w:rsidRPr="00CF0716">
              <w:rPr>
                <w:rFonts w:ascii="Arial" w:hAnsi="Arial" w:cs="Arial"/>
                <w:spacing w:val="-5"/>
                <w:sz w:val="18"/>
                <w:szCs w:val="18"/>
              </w:rPr>
              <w:t xml:space="preserve"> </w:t>
            </w:r>
            <w:r w:rsidRPr="00CF0716">
              <w:rPr>
                <w:rFonts w:ascii="Arial" w:hAnsi="Arial" w:cs="Arial"/>
                <w:sz w:val="18"/>
                <w:szCs w:val="18"/>
              </w:rPr>
              <w:t>organisation***</w:t>
            </w:r>
          </w:p>
          <w:p w14:paraId="59C1D44B" w14:textId="1BA3D59E" w:rsidR="00C44240" w:rsidRPr="00CF0716" w:rsidRDefault="00C44240" w:rsidP="00E13EE2">
            <w:pPr>
              <w:pStyle w:val="TableParagraph"/>
              <w:spacing w:line="243" w:lineRule="exact"/>
              <w:rPr>
                <w:rFonts w:ascii="Arial" w:hAnsi="Arial" w:cs="Arial"/>
                <w:sz w:val="18"/>
                <w:szCs w:val="18"/>
              </w:rPr>
            </w:pPr>
            <w:r w:rsidRPr="00CF0716">
              <w:rPr>
                <w:rFonts w:ascii="Arial" w:hAnsi="Arial" w:cs="Arial"/>
                <w:sz w:val="18"/>
                <w:szCs w:val="18"/>
              </w:rPr>
              <w:t>or independent certifying staff*** or by the</w:t>
            </w:r>
            <w:r w:rsidRPr="00CF0716">
              <w:rPr>
                <w:rFonts w:ascii="Arial" w:hAnsi="Arial" w:cs="Arial"/>
                <w:spacing w:val="-43"/>
                <w:sz w:val="18"/>
                <w:szCs w:val="18"/>
              </w:rPr>
              <w:t xml:space="preserve"> </w:t>
            </w:r>
            <w:r w:rsidRPr="00CF0716">
              <w:rPr>
                <w:rFonts w:ascii="Arial" w:hAnsi="Arial" w:cs="Arial"/>
                <w:sz w:val="18"/>
                <w:szCs w:val="18"/>
              </w:rPr>
              <w:t>CAMO/CAO(-CAM)</w:t>
            </w:r>
            <w:r w:rsidRPr="00CF0716">
              <w:rPr>
                <w:rFonts w:ascii="Arial" w:hAnsi="Arial" w:cs="Arial"/>
                <w:spacing w:val="-2"/>
                <w:sz w:val="18"/>
                <w:szCs w:val="18"/>
              </w:rPr>
              <w:t xml:space="preserve"> </w:t>
            </w:r>
            <w:r w:rsidRPr="00CF0716">
              <w:rPr>
                <w:rFonts w:ascii="Arial" w:hAnsi="Arial" w:cs="Arial"/>
                <w:sz w:val="18"/>
                <w:szCs w:val="18"/>
              </w:rPr>
              <w:t>(if</w:t>
            </w:r>
            <w:r w:rsidRPr="00CF0716">
              <w:rPr>
                <w:rFonts w:ascii="Arial" w:hAnsi="Arial" w:cs="Arial"/>
                <w:spacing w:val="-3"/>
                <w:sz w:val="18"/>
                <w:szCs w:val="18"/>
              </w:rPr>
              <w:t xml:space="preserve"> </w:t>
            </w:r>
            <w:r w:rsidRPr="00CF0716">
              <w:rPr>
                <w:rFonts w:ascii="Arial" w:hAnsi="Arial" w:cs="Arial"/>
                <w:sz w:val="18"/>
                <w:szCs w:val="18"/>
              </w:rPr>
              <w:t>contracted)</w:t>
            </w:r>
            <w:r w:rsidRPr="00CF0716">
              <w:rPr>
                <w:rFonts w:ascii="Arial" w:hAnsi="Arial" w:cs="Arial"/>
                <w:spacing w:val="-3"/>
                <w:sz w:val="18"/>
                <w:szCs w:val="18"/>
              </w:rPr>
              <w:t xml:space="preserve"> </w:t>
            </w:r>
            <w:r w:rsidRPr="00CF0716">
              <w:rPr>
                <w:rFonts w:ascii="Arial" w:hAnsi="Arial" w:cs="Arial"/>
                <w:sz w:val="18"/>
                <w:szCs w:val="18"/>
              </w:rPr>
              <w:t>or</w:t>
            </w:r>
            <w:r w:rsidRPr="00CF0716">
              <w:rPr>
                <w:rFonts w:ascii="Arial" w:hAnsi="Arial" w:cs="Arial"/>
                <w:spacing w:val="-1"/>
                <w:sz w:val="18"/>
                <w:szCs w:val="18"/>
              </w:rPr>
              <w:t xml:space="preserve"> </w:t>
            </w:r>
            <w:r w:rsidRPr="00CF0716">
              <w:rPr>
                <w:rFonts w:ascii="Arial" w:hAnsi="Arial" w:cs="Arial"/>
                <w:sz w:val="18"/>
                <w:szCs w:val="18"/>
              </w:rPr>
              <w:t>by</w:t>
            </w:r>
            <w:r w:rsidRPr="00CF0716">
              <w:rPr>
                <w:rFonts w:ascii="Arial" w:hAnsi="Arial" w:cs="Arial"/>
                <w:spacing w:val="-2"/>
                <w:sz w:val="18"/>
                <w:szCs w:val="18"/>
              </w:rPr>
              <w:t xml:space="preserve"> </w:t>
            </w:r>
            <w:r w:rsidRPr="00CF0716">
              <w:rPr>
                <w:rFonts w:ascii="Arial" w:hAnsi="Arial" w:cs="Arial"/>
                <w:sz w:val="18"/>
                <w:szCs w:val="18"/>
              </w:rPr>
              <w:t>the</w:t>
            </w:r>
          </w:p>
          <w:p w14:paraId="7BFA1AB5" w14:textId="512963D3" w:rsidR="00C44240" w:rsidRPr="00CF0716" w:rsidRDefault="004E22F1" w:rsidP="00D67D99">
            <w:pPr>
              <w:pStyle w:val="TableParagraph"/>
              <w:spacing w:before="1" w:line="226" w:lineRule="exact"/>
              <w:rPr>
                <w:rFonts w:ascii="Arial" w:hAnsi="Arial" w:cs="Arial"/>
                <w:sz w:val="18"/>
                <w:szCs w:val="18"/>
              </w:rPr>
            </w:pPr>
            <w:r w:rsidRPr="004E22F1">
              <w:rPr>
                <w:rFonts w:ascii="Arial" w:hAnsi="Arial" w:cs="Arial"/>
                <w:spacing w:val="-1"/>
                <w:sz w:val="18"/>
                <w:szCs w:val="18"/>
              </w:rPr>
              <w:t>CAC RA</w:t>
            </w:r>
          </w:p>
        </w:tc>
      </w:tr>
    </w:tbl>
    <w:p w14:paraId="4F3CFDC5" w14:textId="77777777" w:rsidR="00C44240" w:rsidRDefault="00C44240" w:rsidP="00722524">
      <w:pPr>
        <w:rPr>
          <w:rFonts w:ascii="Arial" w:eastAsia="Times New Roman" w:hAnsi="Arial" w:cs="Times New Roman"/>
          <w:sz w:val="24"/>
        </w:rPr>
      </w:pPr>
    </w:p>
    <w:p w14:paraId="71E041E2" w14:textId="77777777" w:rsidR="00C44240" w:rsidRPr="00276D5E" w:rsidRDefault="00C44240" w:rsidP="00C44240">
      <w:pPr>
        <w:tabs>
          <w:tab w:val="left" w:pos="706"/>
        </w:tabs>
        <w:spacing w:before="42"/>
        <w:ind w:left="140"/>
        <w:jc w:val="both"/>
        <w:rPr>
          <w:rFonts w:ascii="Arial" w:hAnsi="Arial" w:cs="Arial"/>
          <w:sz w:val="20"/>
        </w:rPr>
      </w:pPr>
      <w:r w:rsidRPr="00276D5E">
        <w:rPr>
          <w:rFonts w:ascii="Arial" w:hAnsi="Arial" w:cs="Arial"/>
          <w:sz w:val="20"/>
        </w:rPr>
        <w:t>*:</w:t>
      </w:r>
      <w:r w:rsidRPr="00276D5E">
        <w:rPr>
          <w:rFonts w:ascii="Arial" w:hAnsi="Arial" w:cs="Arial"/>
          <w:sz w:val="20"/>
        </w:rPr>
        <w:tab/>
        <w:t>A</w:t>
      </w:r>
      <w:r w:rsidRPr="00276D5E">
        <w:rPr>
          <w:rFonts w:ascii="Arial" w:hAnsi="Arial" w:cs="Arial"/>
          <w:spacing w:val="-3"/>
          <w:sz w:val="20"/>
        </w:rPr>
        <w:t xml:space="preserve"> </w:t>
      </w:r>
      <w:r w:rsidRPr="00276D5E">
        <w:rPr>
          <w:rFonts w:ascii="Arial" w:hAnsi="Arial" w:cs="Arial"/>
          <w:sz w:val="20"/>
        </w:rPr>
        <w:t>CAMO/CAO(-CAM)</w:t>
      </w:r>
      <w:r w:rsidRPr="00276D5E">
        <w:rPr>
          <w:rFonts w:ascii="Arial" w:hAnsi="Arial" w:cs="Arial"/>
          <w:spacing w:val="-2"/>
          <w:sz w:val="20"/>
        </w:rPr>
        <w:t xml:space="preserve"> </w:t>
      </w:r>
      <w:r w:rsidRPr="00276D5E">
        <w:rPr>
          <w:rFonts w:ascii="Arial" w:hAnsi="Arial" w:cs="Arial"/>
          <w:sz w:val="20"/>
        </w:rPr>
        <w:t>is</w:t>
      </w:r>
      <w:r w:rsidRPr="00276D5E">
        <w:rPr>
          <w:rFonts w:ascii="Arial" w:hAnsi="Arial" w:cs="Arial"/>
          <w:spacing w:val="-4"/>
          <w:sz w:val="20"/>
        </w:rPr>
        <w:t xml:space="preserve"> </w:t>
      </w:r>
      <w:r w:rsidRPr="00276D5E">
        <w:rPr>
          <w:rFonts w:ascii="Arial" w:hAnsi="Arial" w:cs="Arial"/>
          <w:sz w:val="20"/>
        </w:rPr>
        <w:t>not</w:t>
      </w:r>
      <w:r w:rsidRPr="00276D5E">
        <w:rPr>
          <w:rFonts w:ascii="Arial" w:hAnsi="Arial" w:cs="Arial"/>
          <w:spacing w:val="-1"/>
          <w:sz w:val="20"/>
        </w:rPr>
        <w:t xml:space="preserve"> </w:t>
      </w:r>
      <w:r w:rsidRPr="00276D5E">
        <w:rPr>
          <w:rFonts w:ascii="Arial" w:hAnsi="Arial" w:cs="Arial"/>
          <w:sz w:val="20"/>
        </w:rPr>
        <w:t>required</w:t>
      </w:r>
      <w:r w:rsidRPr="00276D5E">
        <w:rPr>
          <w:rFonts w:ascii="Arial" w:hAnsi="Arial" w:cs="Arial"/>
          <w:spacing w:val="-2"/>
          <w:sz w:val="20"/>
        </w:rPr>
        <w:t xml:space="preserve"> </w:t>
      </w:r>
      <w:r w:rsidRPr="00276D5E">
        <w:rPr>
          <w:rFonts w:ascii="Arial" w:hAnsi="Arial" w:cs="Arial"/>
          <w:sz w:val="20"/>
        </w:rPr>
        <w:t>but</w:t>
      </w:r>
      <w:r w:rsidRPr="00276D5E">
        <w:rPr>
          <w:rFonts w:ascii="Arial" w:hAnsi="Arial" w:cs="Arial"/>
          <w:spacing w:val="-2"/>
          <w:sz w:val="20"/>
        </w:rPr>
        <w:t xml:space="preserve"> </w:t>
      </w:r>
      <w:r w:rsidRPr="00276D5E">
        <w:rPr>
          <w:rFonts w:ascii="Arial" w:hAnsi="Arial" w:cs="Arial"/>
          <w:sz w:val="20"/>
        </w:rPr>
        <w:t>the</w:t>
      </w:r>
      <w:r w:rsidRPr="00276D5E">
        <w:rPr>
          <w:rFonts w:ascii="Arial" w:hAnsi="Arial" w:cs="Arial"/>
          <w:spacing w:val="-2"/>
          <w:sz w:val="20"/>
        </w:rPr>
        <w:t xml:space="preserve"> </w:t>
      </w:r>
      <w:r w:rsidRPr="00276D5E">
        <w:rPr>
          <w:rFonts w:ascii="Arial" w:hAnsi="Arial" w:cs="Arial"/>
          <w:sz w:val="20"/>
        </w:rPr>
        <w:t>owner</w:t>
      </w:r>
      <w:r w:rsidRPr="00276D5E">
        <w:rPr>
          <w:rFonts w:ascii="Arial" w:hAnsi="Arial" w:cs="Arial"/>
          <w:spacing w:val="-2"/>
          <w:sz w:val="20"/>
        </w:rPr>
        <w:t xml:space="preserve"> </w:t>
      </w:r>
      <w:r w:rsidRPr="00276D5E">
        <w:rPr>
          <w:rFonts w:ascii="Arial" w:hAnsi="Arial" w:cs="Arial"/>
          <w:sz w:val="20"/>
        </w:rPr>
        <w:t>may</w:t>
      </w:r>
      <w:r w:rsidRPr="00276D5E">
        <w:rPr>
          <w:rFonts w:ascii="Arial" w:hAnsi="Arial" w:cs="Arial"/>
          <w:spacing w:val="-1"/>
          <w:sz w:val="20"/>
        </w:rPr>
        <w:t xml:space="preserve"> </w:t>
      </w:r>
      <w:r w:rsidRPr="00276D5E">
        <w:rPr>
          <w:rFonts w:ascii="Arial" w:hAnsi="Arial" w:cs="Arial"/>
          <w:sz w:val="20"/>
        </w:rPr>
        <w:t>decide</w:t>
      </w:r>
      <w:r w:rsidRPr="00276D5E">
        <w:rPr>
          <w:rFonts w:ascii="Arial" w:hAnsi="Arial" w:cs="Arial"/>
          <w:spacing w:val="-3"/>
          <w:sz w:val="20"/>
        </w:rPr>
        <w:t xml:space="preserve"> </w:t>
      </w:r>
      <w:r w:rsidRPr="00276D5E">
        <w:rPr>
          <w:rFonts w:ascii="Arial" w:hAnsi="Arial" w:cs="Arial"/>
          <w:sz w:val="20"/>
        </w:rPr>
        <w:t>to</w:t>
      </w:r>
      <w:r w:rsidRPr="00276D5E">
        <w:rPr>
          <w:rFonts w:ascii="Arial" w:hAnsi="Arial" w:cs="Arial"/>
          <w:spacing w:val="-1"/>
          <w:sz w:val="20"/>
        </w:rPr>
        <w:t xml:space="preserve"> </w:t>
      </w:r>
      <w:r w:rsidRPr="00276D5E">
        <w:rPr>
          <w:rFonts w:ascii="Arial" w:hAnsi="Arial" w:cs="Arial"/>
          <w:sz w:val="20"/>
        </w:rPr>
        <w:t>contract</w:t>
      </w:r>
      <w:r w:rsidRPr="00276D5E">
        <w:rPr>
          <w:rFonts w:ascii="Arial" w:hAnsi="Arial" w:cs="Arial"/>
          <w:spacing w:val="-2"/>
          <w:sz w:val="20"/>
        </w:rPr>
        <w:t xml:space="preserve"> </w:t>
      </w:r>
      <w:r w:rsidRPr="00276D5E">
        <w:rPr>
          <w:rFonts w:ascii="Arial" w:hAnsi="Arial" w:cs="Arial"/>
          <w:sz w:val="20"/>
        </w:rPr>
        <w:t>a</w:t>
      </w:r>
      <w:r w:rsidRPr="00276D5E">
        <w:rPr>
          <w:rFonts w:ascii="Arial" w:hAnsi="Arial" w:cs="Arial"/>
          <w:spacing w:val="-2"/>
          <w:sz w:val="20"/>
        </w:rPr>
        <w:t xml:space="preserve"> </w:t>
      </w:r>
      <w:r w:rsidRPr="00276D5E">
        <w:rPr>
          <w:rFonts w:ascii="Arial" w:hAnsi="Arial" w:cs="Arial"/>
          <w:sz w:val="20"/>
        </w:rPr>
        <w:t>CAMO/CAO(-CAM).</w:t>
      </w:r>
    </w:p>
    <w:p w14:paraId="434C7AB4" w14:textId="77777777" w:rsidR="00C44240" w:rsidRPr="00276D5E" w:rsidRDefault="00C44240" w:rsidP="00C44240">
      <w:pPr>
        <w:tabs>
          <w:tab w:val="left" w:pos="706"/>
        </w:tabs>
        <w:spacing w:before="1"/>
        <w:ind w:left="140"/>
        <w:jc w:val="both"/>
        <w:rPr>
          <w:rFonts w:ascii="Arial" w:hAnsi="Arial" w:cs="Arial"/>
          <w:sz w:val="20"/>
        </w:rPr>
      </w:pPr>
      <w:r w:rsidRPr="00276D5E">
        <w:rPr>
          <w:rFonts w:ascii="Arial" w:hAnsi="Arial" w:cs="Arial"/>
          <w:sz w:val="20"/>
        </w:rPr>
        <w:t>**:</w:t>
      </w:r>
      <w:r w:rsidRPr="00276D5E">
        <w:rPr>
          <w:rFonts w:ascii="Arial" w:hAnsi="Arial" w:cs="Arial"/>
          <w:sz w:val="20"/>
        </w:rPr>
        <w:tab/>
        <w:t>in</w:t>
      </w:r>
      <w:r w:rsidRPr="00276D5E">
        <w:rPr>
          <w:rFonts w:ascii="Arial" w:hAnsi="Arial" w:cs="Arial"/>
          <w:spacing w:val="-2"/>
          <w:sz w:val="20"/>
        </w:rPr>
        <w:t xml:space="preserve"> </w:t>
      </w:r>
      <w:r w:rsidRPr="00276D5E">
        <w:rPr>
          <w:rFonts w:ascii="Arial" w:hAnsi="Arial" w:cs="Arial"/>
          <w:sz w:val="20"/>
        </w:rPr>
        <w:t>the</w:t>
      </w:r>
      <w:r w:rsidRPr="00276D5E">
        <w:rPr>
          <w:rFonts w:ascii="Arial" w:hAnsi="Arial" w:cs="Arial"/>
          <w:spacing w:val="-3"/>
          <w:sz w:val="20"/>
        </w:rPr>
        <w:t xml:space="preserve"> </w:t>
      </w:r>
      <w:r w:rsidRPr="00276D5E">
        <w:rPr>
          <w:rFonts w:ascii="Arial" w:hAnsi="Arial" w:cs="Arial"/>
          <w:sz w:val="20"/>
        </w:rPr>
        <w:t>limit</w:t>
      </w:r>
      <w:r w:rsidRPr="00276D5E">
        <w:rPr>
          <w:rFonts w:ascii="Arial" w:hAnsi="Arial" w:cs="Arial"/>
          <w:spacing w:val="-1"/>
          <w:sz w:val="20"/>
        </w:rPr>
        <w:t xml:space="preserve"> </w:t>
      </w:r>
      <w:r w:rsidRPr="00276D5E">
        <w:rPr>
          <w:rFonts w:ascii="Arial" w:hAnsi="Arial" w:cs="Arial"/>
          <w:sz w:val="20"/>
        </w:rPr>
        <w:t>of</w:t>
      </w:r>
      <w:r w:rsidRPr="00276D5E">
        <w:rPr>
          <w:rFonts w:ascii="Arial" w:hAnsi="Arial" w:cs="Arial"/>
          <w:spacing w:val="-4"/>
          <w:sz w:val="20"/>
        </w:rPr>
        <w:t xml:space="preserve"> </w:t>
      </w:r>
      <w:r w:rsidRPr="00276D5E">
        <w:rPr>
          <w:rFonts w:ascii="Arial" w:hAnsi="Arial" w:cs="Arial"/>
          <w:sz w:val="20"/>
        </w:rPr>
        <w:t>their</w:t>
      </w:r>
      <w:r w:rsidRPr="00276D5E">
        <w:rPr>
          <w:rFonts w:ascii="Arial" w:hAnsi="Arial" w:cs="Arial"/>
          <w:spacing w:val="-2"/>
          <w:sz w:val="20"/>
        </w:rPr>
        <w:t xml:space="preserve"> </w:t>
      </w:r>
      <w:r w:rsidRPr="00276D5E">
        <w:rPr>
          <w:rFonts w:ascii="Arial" w:hAnsi="Arial" w:cs="Arial"/>
          <w:sz w:val="20"/>
        </w:rPr>
        <w:t>privileges</w:t>
      </w:r>
    </w:p>
    <w:p w14:paraId="680C321D" w14:textId="77777777" w:rsidR="00C44240" w:rsidRPr="00276D5E" w:rsidRDefault="00C44240" w:rsidP="00C44240">
      <w:pPr>
        <w:tabs>
          <w:tab w:val="left" w:pos="706"/>
        </w:tabs>
        <w:ind w:left="140"/>
        <w:jc w:val="both"/>
        <w:rPr>
          <w:rFonts w:ascii="Arial" w:hAnsi="Arial" w:cs="Arial"/>
          <w:sz w:val="20"/>
        </w:rPr>
      </w:pPr>
      <w:r w:rsidRPr="00276D5E">
        <w:rPr>
          <w:rFonts w:ascii="Arial" w:hAnsi="Arial" w:cs="Arial"/>
          <w:sz w:val="20"/>
        </w:rPr>
        <w:t>***:</w:t>
      </w:r>
      <w:r w:rsidRPr="00276D5E">
        <w:rPr>
          <w:rFonts w:ascii="Arial" w:hAnsi="Arial" w:cs="Arial"/>
          <w:sz w:val="20"/>
        </w:rPr>
        <w:tab/>
        <w:t>together</w:t>
      </w:r>
      <w:r w:rsidRPr="00276D5E">
        <w:rPr>
          <w:rFonts w:ascii="Arial" w:hAnsi="Arial" w:cs="Arial"/>
          <w:spacing w:val="-3"/>
          <w:sz w:val="20"/>
        </w:rPr>
        <w:t xml:space="preserve"> </w:t>
      </w:r>
      <w:r w:rsidRPr="00276D5E">
        <w:rPr>
          <w:rFonts w:ascii="Arial" w:hAnsi="Arial" w:cs="Arial"/>
          <w:sz w:val="20"/>
        </w:rPr>
        <w:t>with</w:t>
      </w:r>
      <w:r w:rsidRPr="00276D5E">
        <w:rPr>
          <w:rFonts w:ascii="Arial" w:hAnsi="Arial" w:cs="Arial"/>
          <w:spacing w:val="-3"/>
          <w:sz w:val="20"/>
        </w:rPr>
        <w:t xml:space="preserve"> </w:t>
      </w:r>
      <w:r w:rsidRPr="00276D5E">
        <w:rPr>
          <w:rFonts w:ascii="Arial" w:hAnsi="Arial" w:cs="Arial"/>
          <w:sz w:val="20"/>
        </w:rPr>
        <w:t>the</w:t>
      </w:r>
      <w:r w:rsidRPr="00276D5E">
        <w:rPr>
          <w:rFonts w:ascii="Arial" w:hAnsi="Arial" w:cs="Arial"/>
          <w:spacing w:val="-4"/>
          <w:sz w:val="20"/>
        </w:rPr>
        <w:t xml:space="preserve"> </w:t>
      </w:r>
      <w:r w:rsidRPr="00276D5E">
        <w:rPr>
          <w:rFonts w:ascii="Arial" w:hAnsi="Arial" w:cs="Arial"/>
          <w:sz w:val="20"/>
        </w:rPr>
        <w:t>100-h/annual</w:t>
      </w:r>
      <w:r w:rsidRPr="00276D5E">
        <w:rPr>
          <w:rFonts w:ascii="Arial" w:hAnsi="Arial" w:cs="Arial"/>
          <w:spacing w:val="-3"/>
          <w:sz w:val="20"/>
        </w:rPr>
        <w:t xml:space="preserve"> </w:t>
      </w:r>
      <w:r w:rsidRPr="00276D5E">
        <w:rPr>
          <w:rFonts w:ascii="Arial" w:hAnsi="Arial" w:cs="Arial"/>
          <w:sz w:val="20"/>
        </w:rPr>
        <w:t>inspection</w:t>
      </w:r>
    </w:p>
    <w:p w14:paraId="36EB83DD" w14:textId="77777777" w:rsidR="00281D7F" w:rsidRPr="00281D7F" w:rsidRDefault="00281D7F" w:rsidP="00281D7F">
      <w:pPr>
        <w:keepNext/>
        <w:keepLines/>
        <w:widowControl/>
        <w:shd w:val="clear" w:color="auto" w:fill="339966"/>
        <w:autoSpaceDE/>
        <w:autoSpaceDN/>
        <w:spacing w:before="160" w:after="120" w:line="259" w:lineRule="auto"/>
        <w:outlineLvl w:val="4"/>
        <w:rPr>
          <w:rFonts w:ascii="Arial" w:eastAsia="Times New Roman" w:hAnsi="Arial" w:cs="Times New Roman"/>
          <w:b/>
          <w:color w:val="FFFFFF"/>
          <w:sz w:val="24"/>
        </w:rPr>
      </w:pPr>
      <w:bookmarkStart w:id="802" w:name="GM1_ML.A.201(e)__Responsibilities"/>
      <w:bookmarkStart w:id="803" w:name="_bookmark332"/>
      <w:bookmarkStart w:id="804" w:name="_Toc153137497"/>
      <w:bookmarkEnd w:id="802"/>
      <w:bookmarkEnd w:id="803"/>
      <w:r w:rsidRPr="00281D7F">
        <w:rPr>
          <w:rFonts w:ascii="Arial" w:eastAsia="Times New Roman" w:hAnsi="Arial" w:cs="Times New Roman"/>
          <w:b/>
          <w:color w:val="FFFFFF"/>
          <w:sz w:val="24"/>
        </w:rPr>
        <w:t>GM1 ML.A.201(e) Responsibilities</w:t>
      </w:r>
      <w:bookmarkEnd w:id="804"/>
    </w:p>
    <w:p w14:paraId="042E7C65" w14:textId="77777777" w:rsidR="00281D7F" w:rsidRPr="00281D7F" w:rsidRDefault="00281D7F" w:rsidP="00281D7F">
      <w:pPr>
        <w:widowControl/>
        <w:autoSpaceDE/>
        <w:autoSpaceDN/>
        <w:spacing w:before="240" w:after="160" w:line="264" w:lineRule="auto"/>
        <w:jc w:val="both"/>
        <w:rPr>
          <w:rFonts w:ascii="Arial" w:eastAsiaTheme="minorHAnsi" w:hAnsi="Arial" w:cs="Arial"/>
          <w:b/>
          <w:bCs/>
          <w:sz w:val="20"/>
          <w:szCs w:val="20"/>
        </w:rPr>
      </w:pPr>
      <w:r w:rsidRPr="00281D7F">
        <w:rPr>
          <w:rFonts w:ascii="Arial" w:eastAsiaTheme="minorHAnsi" w:hAnsi="Arial" w:cs="Arial"/>
          <w:b/>
          <w:bCs/>
          <w:sz w:val="20"/>
          <w:szCs w:val="20"/>
        </w:rPr>
        <w:t>COMMERCIAL ATO/DTO</w:t>
      </w:r>
    </w:p>
    <w:p w14:paraId="0666F0A2" w14:textId="77777777" w:rsidR="00883532" w:rsidRPr="00883532" w:rsidRDefault="00883532" w:rsidP="003048AA">
      <w:pPr>
        <w:spacing w:line="276" w:lineRule="auto"/>
        <w:jc w:val="both"/>
        <w:rPr>
          <w:rFonts w:ascii="Arial" w:eastAsia="Times New Roman" w:hAnsi="Arial" w:cs="Times New Roman"/>
          <w:sz w:val="20"/>
        </w:rPr>
      </w:pPr>
      <w:r w:rsidRPr="00883532">
        <w:rPr>
          <w:rFonts w:ascii="Arial" w:eastAsia="Times New Roman" w:hAnsi="Arial" w:cs="Times New Roman"/>
          <w:sz w:val="20"/>
        </w:rPr>
        <w:lastRenderedPageBreak/>
        <w:t>According to industry practice, the following are examples of aircraft not considered to be operated by a commercial ATO or a commercial DTO:</w:t>
      </w:r>
    </w:p>
    <w:p w14:paraId="362A2455" w14:textId="77777777" w:rsidR="00883532" w:rsidRPr="00883532" w:rsidRDefault="00883532" w:rsidP="003048AA">
      <w:pPr>
        <w:numPr>
          <w:ilvl w:val="0"/>
          <w:numId w:val="286"/>
        </w:numPr>
        <w:spacing w:line="276" w:lineRule="auto"/>
        <w:jc w:val="both"/>
        <w:rPr>
          <w:rFonts w:ascii="Arial" w:eastAsia="Times New Roman" w:hAnsi="Arial" w:cs="Times New Roman"/>
          <w:sz w:val="20"/>
        </w:rPr>
      </w:pPr>
      <w:r w:rsidRPr="00883532">
        <w:rPr>
          <w:rFonts w:ascii="Arial" w:eastAsia="Times New Roman" w:hAnsi="Arial" w:cs="Times New Roman"/>
          <w:sz w:val="20"/>
        </w:rPr>
        <w:t>Aircraft operated by an organisation holding an ATO certificate or a DTO declaration, created with the aim of promoting aerial sport or leisure aviation, on the conditions that:</w:t>
      </w:r>
    </w:p>
    <w:p w14:paraId="09C0B48A" w14:textId="77777777" w:rsidR="00883532" w:rsidRPr="00883532" w:rsidRDefault="00883532" w:rsidP="003048AA">
      <w:pPr>
        <w:numPr>
          <w:ilvl w:val="1"/>
          <w:numId w:val="286"/>
        </w:numPr>
        <w:spacing w:line="276" w:lineRule="auto"/>
        <w:jc w:val="both"/>
        <w:rPr>
          <w:rFonts w:ascii="Arial" w:eastAsia="Times New Roman" w:hAnsi="Arial" w:cs="Times New Roman"/>
          <w:sz w:val="20"/>
        </w:rPr>
      </w:pPr>
      <w:r w:rsidRPr="00883532">
        <w:rPr>
          <w:rFonts w:ascii="Arial" w:eastAsia="Times New Roman" w:hAnsi="Arial" w:cs="Times New Roman"/>
          <w:sz w:val="20"/>
        </w:rPr>
        <w:t>the aircraft is operated by the organisation on the basis of ownership or dry lease;</w:t>
      </w:r>
    </w:p>
    <w:p w14:paraId="40DAB593" w14:textId="77777777" w:rsidR="00883532" w:rsidRPr="00883532" w:rsidRDefault="00883532" w:rsidP="003048AA">
      <w:pPr>
        <w:numPr>
          <w:ilvl w:val="1"/>
          <w:numId w:val="286"/>
        </w:numPr>
        <w:spacing w:line="276" w:lineRule="auto"/>
        <w:jc w:val="both"/>
        <w:rPr>
          <w:rFonts w:ascii="Arial" w:eastAsia="Times New Roman" w:hAnsi="Arial" w:cs="Times New Roman"/>
          <w:sz w:val="20"/>
        </w:rPr>
      </w:pPr>
      <w:r w:rsidRPr="00883532">
        <w:rPr>
          <w:rFonts w:ascii="Arial" w:eastAsia="Times New Roman" w:hAnsi="Arial" w:cs="Times New Roman"/>
          <w:sz w:val="20"/>
        </w:rPr>
        <w:t>the ATO/DTO is a non-profit organisation; and</w:t>
      </w:r>
    </w:p>
    <w:p w14:paraId="21749F06" w14:textId="77777777" w:rsidR="00883532" w:rsidRPr="00883532" w:rsidRDefault="00883532" w:rsidP="003048AA">
      <w:pPr>
        <w:numPr>
          <w:ilvl w:val="1"/>
          <w:numId w:val="286"/>
        </w:numPr>
        <w:spacing w:line="276" w:lineRule="auto"/>
        <w:jc w:val="both"/>
        <w:rPr>
          <w:rFonts w:ascii="Arial" w:eastAsia="Times New Roman" w:hAnsi="Arial" w:cs="Times New Roman"/>
          <w:sz w:val="20"/>
        </w:rPr>
      </w:pPr>
      <w:r w:rsidRPr="00883532">
        <w:rPr>
          <w:rFonts w:ascii="Arial" w:eastAsia="Times New Roman" w:hAnsi="Arial" w:cs="Times New Roman"/>
          <w:sz w:val="20"/>
        </w:rPr>
        <w:t>whenever non-members of the organisation are involved, such flights represent only a marginal activity of the organisation.</w:t>
      </w:r>
    </w:p>
    <w:p w14:paraId="12055BC2" w14:textId="1D1FCEE2" w:rsidR="00883532" w:rsidRPr="00883532" w:rsidRDefault="00883532" w:rsidP="003048AA">
      <w:pPr>
        <w:numPr>
          <w:ilvl w:val="0"/>
          <w:numId w:val="286"/>
        </w:numPr>
        <w:spacing w:line="276" w:lineRule="auto"/>
        <w:jc w:val="both"/>
        <w:rPr>
          <w:rFonts w:ascii="Arial" w:eastAsia="Times New Roman" w:hAnsi="Arial" w:cs="Times New Roman"/>
          <w:sz w:val="20"/>
        </w:rPr>
      </w:pPr>
      <w:r w:rsidRPr="00883532">
        <w:rPr>
          <w:rFonts w:ascii="Arial" w:eastAsia="Times New Roman" w:hAnsi="Arial" w:cs="Times New Roman"/>
          <w:sz w:val="20"/>
        </w:rPr>
        <w:t xml:space="preserve">Aircraft operated under Part-NCO by its owner together with an ATO or a DTO flight instructor for the purpose of training, when the contract between the owner and the training organisation and the procedures of the training organisation allow it. The continuing airworthiness of such aircraft remains under the responsibility of the owner, or of the CAMO or CAO contracted by the owner, if the owner has elected to contract a CAMO or CAO in accordance with </w:t>
      </w:r>
      <w:r w:rsidRPr="004F0CE5">
        <w:rPr>
          <w:rFonts w:ascii="Arial" w:eastAsia="Times New Roman" w:hAnsi="Arial" w:cs="Times New Roman"/>
          <w:sz w:val="20"/>
        </w:rPr>
        <w:t>ML.A.201(f).</w:t>
      </w:r>
    </w:p>
    <w:p w14:paraId="729DEC41" w14:textId="77777777" w:rsidR="00883532" w:rsidRPr="00883532" w:rsidRDefault="00883532" w:rsidP="003048AA">
      <w:pPr>
        <w:numPr>
          <w:ilvl w:val="0"/>
          <w:numId w:val="286"/>
        </w:numPr>
        <w:spacing w:line="276" w:lineRule="auto"/>
        <w:jc w:val="both"/>
        <w:rPr>
          <w:rFonts w:ascii="Arial" w:eastAsia="Times New Roman" w:hAnsi="Arial" w:cs="Times New Roman"/>
          <w:sz w:val="20"/>
        </w:rPr>
      </w:pPr>
      <w:r w:rsidRPr="00883532">
        <w:rPr>
          <w:rFonts w:ascii="Arial" w:eastAsia="Times New Roman" w:hAnsi="Arial" w:cs="Times New Roman"/>
          <w:sz w:val="20"/>
        </w:rPr>
        <w:t>Aircraft used for very limited training flights due to the specific configuration of the aircraft and limited need for such flights.</w:t>
      </w:r>
    </w:p>
    <w:p w14:paraId="2F7D5E18" w14:textId="77777777" w:rsidR="00883532" w:rsidRPr="00883532" w:rsidRDefault="00883532" w:rsidP="00883532">
      <w:pPr>
        <w:keepNext/>
        <w:keepLines/>
        <w:widowControl/>
        <w:shd w:val="clear" w:color="auto" w:fill="339966"/>
        <w:autoSpaceDE/>
        <w:autoSpaceDN/>
        <w:spacing w:before="160" w:after="120" w:line="259" w:lineRule="auto"/>
        <w:outlineLvl w:val="4"/>
        <w:rPr>
          <w:rFonts w:ascii="Arial" w:eastAsia="Times New Roman" w:hAnsi="Arial" w:cs="Times New Roman"/>
          <w:b/>
          <w:color w:val="FFFFFF"/>
          <w:sz w:val="24"/>
        </w:rPr>
      </w:pPr>
      <w:bookmarkStart w:id="805" w:name="GM1_ML.A.201(f)__Responsibilities"/>
      <w:bookmarkStart w:id="806" w:name="_bookmark333"/>
      <w:bookmarkStart w:id="807" w:name="_Toc153137498"/>
      <w:bookmarkEnd w:id="805"/>
      <w:bookmarkEnd w:id="806"/>
      <w:r w:rsidRPr="00883532">
        <w:rPr>
          <w:rFonts w:ascii="Arial" w:eastAsia="Times New Roman" w:hAnsi="Arial" w:cs="Times New Roman"/>
          <w:b/>
          <w:color w:val="FFFFFF"/>
          <w:sz w:val="24"/>
        </w:rPr>
        <w:t>GM1 ML.A.201(f) Responsibilities</w:t>
      </w:r>
      <w:bookmarkEnd w:id="807"/>
    </w:p>
    <w:p w14:paraId="778F8885" w14:textId="77777777" w:rsidR="00883532" w:rsidRPr="00883532" w:rsidRDefault="00883532" w:rsidP="003048AA">
      <w:pPr>
        <w:spacing w:line="276" w:lineRule="auto"/>
        <w:jc w:val="both"/>
        <w:rPr>
          <w:rFonts w:ascii="Arial" w:eastAsia="Times New Roman" w:hAnsi="Arial" w:cs="Times New Roman"/>
          <w:sz w:val="24"/>
        </w:rPr>
      </w:pPr>
      <w:r w:rsidRPr="00883532">
        <w:rPr>
          <w:rFonts w:ascii="Arial" w:eastAsia="Times New Roman" w:hAnsi="Arial" w:cs="Times New Roman"/>
          <w:sz w:val="20"/>
        </w:rPr>
        <w:t xml:space="preserve">If an owner (see definition in point </w:t>
      </w:r>
      <w:r w:rsidRPr="004F0CE5">
        <w:rPr>
          <w:rFonts w:ascii="Arial" w:eastAsia="Times New Roman" w:hAnsi="Arial" w:cs="Times New Roman"/>
          <w:sz w:val="20"/>
        </w:rPr>
        <w:t>ML.1(c)(3)</w:t>
      </w:r>
      <w:r w:rsidRPr="00883532">
        <w:rPr>
          <w:rFonts w:ascii="Arial" w:eastAsia="Times New Roman" w:hAnsi="Arial" w:cs="Times New Roman"/>
          <w:sz w:val="20"/>
        </w:rPr>
        <w:t>) decides not to make a contract with a CAMO or CAO, the owner is fully responsible for the proper accomplishment of the corresponding continuing airworthiness management tasks. As a consequence, it is expected that the owner properly and realistically self-assesses his or her own competence to accomplish those tasks or otherwise seek the necessary expertise</w:t>
      </w:r>
      <w:r w:rsidRPr="00883532">
        <w:rPr>
          <w:rFonts w:ascii="Arial" w:eastAsia="Times New Roman" w:hAnsi="Arial" w:cs="Times New Roman"/>
          <w:sz w:val="24"/>
        </w:rPr>
        <w:t>.</w:t>
      </w:r>
    </w:p>
    <w:p w14:paraId="5875534C" w14:textId="77777777" w:rsidR="00D67D99" w:rsidRPr="00D67D99" w:rsidRDefault="00D67D99" w:rsidP="00D67D99">
      <w:pPr>
        <w:keepNext/>
        <w:keepLines/>
        <w:widowControl/>
        <w:shd w:val="clear" w:color="auto" w:fill="339966"/>
        <w:autoSpaceDE/>
        <w:autoSpaceDN/>
        <w:spacing w:before="160" w:after="120" w:line="259" w:lineRule="auto"/>
        <w:outlineLvl w:val="4"/>
        <w:rPr>
          <w:rFonts w:ascii="Arial" w:eastAsia="Times New Roman" w:hAnsi="Arial" w:cs="Times New Roman"/>
          <w:b/>
          <w:color w:val="FFFFFF"/>
          <w:sz w:val="24"/>
        </w:rPr>
      </w:pPr>
      <w:bookmarkStart w:id="808" w:name="GM1_ML.A.201(h)__Responsibilities"/>
      <w:bookmarkStart w:id="809" w:name="_bookmark334"/>
      <w:bookmarkStart w:id="810" w:name="_Toc153137499"/>
      <w:bookmarkEnd w:id="808"/>
      <w:bookmarkEnd w:id="809"/>
      <w:r w:rsidRPr="00D67D99">
        <w:rPr>
          <w:rFonts w:ascii="Arial" w:eastAsia="Times New Roman" w:hAnsi="Arial" w:cs="Times New Roman"/>
          <w:b/>
          <w:color w:val="FFFFFF"/>
          <w:sz w:val="24"/>
        </w:rPr>
        <w:t>GM1 ML.A.201(h) Responsibilities</w:t>
      </w:r>
      <w:bookmarkEnd w:id="810"/>
    </w:p>
    <w:p w14:paraId="2809638D" w14:textId="77777777" w:rsidR="00D67D99" w:rsidRDefault="00D67D99" w:rsidP="00D67D99">
      <w:pPr>
        <w:widowControl/>
        <w:autoSpaceDE/>
        <w:autoSpaceDN/>
        <w:spacing w:before="240" w:after="160" w:line="264" w:lineRule="auto"/>
        <w:jc w:val="both"/>
        <w:rPr>
          <w:rFonts w:ascii="Arial" w:eastAsiaTheme="minorHAnsi" w:hAnsi="Arial" w:cs="Arial"/>
          <w:b/>
          <w:bCs/>
          <w:sz w:val="20"/>
          <w:szCs w:val="20"/>
        </w:rPr>
      </w:pPr>
      <w:r w:rsidRPr="00D67D99">
        <w:rPr>
          <w:rFonts w:ascii="Arial" w:eastAsiaTheme="minorHAnsi" w:hAnsi="Arial" w:cs="Arial"/>
          <w:b/>
          <w:bCs/>
          <w:sz w:val="20"/>
          <w:szCs w:val="20"/>
        </w:rPr>
        <w:t>USE OF AIRCRAFT INCLUDED IN AN AOC FOR NON-COMMERCIAL OPERATIONS OR SPECIALISED OPERATIONS</w:t>
      </w:r>
    </w:p>
    <w:p w14:paraId="0B3CE301" w14:textId="77777777" w:rsidR="00D67D99" w:rsidRPr="00D67D99" w:rsidRDefault="00D67D99" w:rsidP="00D67D99">
      <w:pPr>
        <w:widowControl/>
        <w:autoSpaceDE/>
        <w:autoSpaceDN/>
        <w:spacing w:before="240" w:after="160" w:line="264" w:lineRule="auto"/>
        <w:jc w:val="both"/>
        <w:rPr>
          <w:rFonts w:ascii="Arial" w:eastAsia="Times New Roman" w:hAnsi="Arial" w:cs="Times New Roman"/>
          <w:sz w:val="20"/>
        </w:rPr>
      </w:pPr>
      <w:r w:rsidRPr="00D67D99">
        <w:rPr>
          <w:rFonts w:ascii="Arial" w:eastAsia="Times New Roman" w:hAnsi="Arial" w:cs="Times New Roman"/>
          <w:sz w:val="20"/>
        </w:rPr>
        <w:t xml:space="preserve">As point (h) is not a derogation, points </w:t>
      </w:r>
      <w:r w:rsidRPr="004F0CE5">
        <w:rPr>
          <w:rFonts w:ascii="Arial" w:eastAsia="Times New Roman" w:hAnsi="Arial" w:cs="Times New Roman"/>
          <w:sz w:val="20"/>
        </w:rPr>
        <w:t>ML.A.201(e)</w:t>
      </w:r>
      <w:r w:rsidRPr="00D67D99">
        <w:rPr>
          <w:rFonts w:ascii="Arial" w:eastAsia="Times New Roman" w:hAnsi="Arial" w:cs="Times New Roman"/>
          <w:sz w:val="20"/>
        </w:rPr>
        <w:t xml:space="preserve"> and (f) are still applicable. Therefore, the management of continuing airworthiness of the aircraft by the CAMO or CAO of the AOC holder means that the other operator has established a written contract as per </w:t>
      </w:r>
      <w:r w:rsidRPr="00D67D99">
        <w:rPr>
          <w:rFonts w:eastAsia="Times New Roman" w:cs="Times New Roman"/>
        </w:rPr>
        <w:t xml:space="preserve">Appendix I </w:t>
      </w:r>
      <w:r w:rsidRPr="00D67D99">
        <w:rPr>
          <w:rFonts w:ascii="Arial" w:eastAsia="Times New Roman" w:hAnsi="Arial" w:cs="Times New Roman"/>
          <w:sz w:val="20"/>
        </w:rPr>
        <w:t>to Part-ML with this CAMO or CAO.</w:t>
      </w:r>
    </w:p>
    <w:p w14:paraId="39DD5B7B" w14:textId="77777777" w:rsidR="008A72B8" w:rsidRPr="008A72B8" w:rsidRDefault="008A72B8" w:rsidP="008A72B8">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811" w:name="ML.A.202_Occurrence_reporting"/>
      <w:bookmarkStart w:id="812" w:name="_bookmark335"/>
      <w:bookmarkStart w:id="813" w:name="_Toc153137500"/>
      <w:bookmarkEnd w:id="811"/>
      <w:bookmarkEnd w:id="812"/>
      <w:r w:rsidRPr="008A72B8">
        <w:rPr>
          <w:rFonts w:ascii="Arial" w:eastAsia="Times New Roman" w:hAnsi="Arial" w:cs="Times New Roman"/>
          <w:b/>
          <w:iCs/>
          <w:color w:val="FFFFFF"/>
          <w:sz w:val="24"/>
        </w:rPr>
        <w:t>ML.A.202 Occurrence reporting</w:t>
      </w:r>
      <w:bookmarkEnd w:id="813"/>
    </w:p>
    <w:p w14:paraId="7C0B4769" w14:textId="77777777" w:rsidR="008A72B8" w:rsidRPr="008A72B8" w:rsidRDefault="008A72B8" w:rsidP="008A72B8">
      <w:pPr>
        <w:widowControl/>
        <w:numPr>
          <w:ilvl w:val="0"/>
          <w:numId w:val="287"/>
        </w:numPr>
        <w:autoSpaceDE/>
        <w:autoSpaceDN/>
        <w:spacing w:before="240" w:after="160" w:line="264" w:lineRule="auto"/>
        <w:jc w:val="both"/>
        <w:rPr>
          <w:rFonts w:ascii="Arial" w:eastAsiaTheme="minorHAnsi" w:hAnsi="Arial" w:cs="Arial"/>
          <w:bCs/>
          <w:sz w:val="20"/>
          <w:szCs w:val="20"/>
        </w:rPr>
      </w:pPr>
      <w:r w:rsidRPr="008A72B8">
        <w:rPr>
          <w:rFonts w:ascii="Arial" w:eastAsiaTheme="minorHAnsi" w:hAnsi="Arial" w:cs="Arial"/>
          <w:bCs/>
          <w:sz w:val="20"/>
          <w:szCs w:val="20"/>
        </w:rPr>
        <w:t>Without prejudice to the reporting requirements set out in Annex II (Part-145) and Annex Vc (Part-CAMO), any person or organisation responsible in accordance with point</w:t>
      </w:r>
      <w:r w:rsidRPr="004F0CE5">
        <w:rPr>
          <w:rFonts w:ascii="Arial" w:eastAsia="Times New Roman" w:hAnsi="Arial" w:cs="Times New Roman"/>
          <w:sz w:val="20"/>
        </w:rPr>
        <w:t xml:space="preserve"> ML.A.201</w:t>
      </w:r>
      <w:r w:rsidRPr="008A72B8">
        <w:rPr>
          <w:rFonts w:ascii="Arial" w:eastAsiaTheme="minorHAnsi" w:hAnsi="Arial" w:cs="Arial"/>
          <w:i/>
          <w:iCs/>
          <w:color w:val="002060"/>
          <w:sz w:val="20"/>
          <w:szCs w:val="20"/>
          <w:u w:val="single"/>
        </w:rPr>
        <w:t xml:space="preserve"> </w:t>
      </w:r>
      <w:r w:rsidRPr="008A72B8">
        <w:rPr>
          <w:rFonts w:ascii="Arial" w:eastAsiaTheme="minorHAnsi" w:hAnsi="Arial" w:cs="Arial"/>
          <w:bCs/>
          <w:sz w:val="20"/>
          <w:szCs w:val="20"/>
        </w:rPr>
        <w:t>shall report any identified condition of an aircraft or component which endangers flight safety to:</w:t>
      </w:r>
    </w:p>
    <w:p w14:paraId="57BF7D28" w14:textId="39ADF8F5" w:rsidR="008A72B8" w:rsidRPr="008A72B8" w:rsidRDefault="008A72B8" w:rsidP="008A72B8">
      <w:pPr>
        <w:widowControl/>
        <w:numPr>
          <w:ilvl w:val="1"/>
          <w:numId w:val="287"/>
        </w:numPr>
        <w:autoSpaceDE/>
        <w:autoSpaceDN/>
        <w:spacing w:before="240" w:after="160" w:line="264" w:lineRule="auto"/>
        <w:jc w:val="both"/>
        <w:rPr>
          <w:rFonts w:ascii="Arial" w:eastAsiaTheme="minorHAnsi" w:hAnsi="Arial" w:cs="Arial"/>
          <w:bCs/>
          <w:sz w:val="20"/>
          <w:szCs w:val="20"/>
        </w:rPr>
      </w:pPr>
      <w:r w:rsidRPr="008A72B8">
        <w:rPr>
          <w:rFonts w:ascii="Arial" w:eastAsiaTheme="minorHAnsi" w:hAnsi="Arial" w:cs="Arial"/>
          <w:bCs/>
          <w:sz w:val="20"/>
          <w:szCs w:val="20"/>
        </w:rPr>
        <w:t xml:space="preserve">the </w:t>
      </w:r>
      <w:r w:rsidR="004E22F1">
        <w:rPr>
          <w:rFonts w:ascii="Arial" w:hAnsi="Arial" w:cs="Arial"/>
          <w:sz w:val="20"/>
          <w:szCs w:val="20"/>
        </w:rPr>
        <w:t xml:space="preserve">CAC RA </w:t>
      </w:r>
      <w:r w:rsidRPr="008A72B8">
        <w:rPr>
          <w:rFonts w:ascii="Arial" w:eastAsiaTheme="minorHAnsi" w:hAnsi="Arial" w:cs="Arial"/>
          <w:bCs/>
          <w:sz w:val="20"/>
          <w:szCs w:val="20"/>
        </w:rPr>
        <w:t xml:space="preserve">designated by </w:t>
      </w:r>
      <w:r w:rsidR="00BE47FC">
        <w:rPr>
          <w:rFonts w:ascii="Arial" w:hAnsi="Arial" w:cs="Arial"/>
          <w:sz w:val="20"/>
        </w:rPr>
        <w:t xml:space="preserve">the Republic of Armenia </w:t>
      </w:r>
      <w:r w:rsidRPr="008A72B8">
        <w:rPr>
          <w:rFonts w:ascii="Arial" w:eastAsiaTheme="minorHAnsi" w:hAnsi="Arial" w:cs="Arial"/>
          <w:bCs/>
          <w:sz w:val="20"/>
          <w:szCs w:val="20"/>
        </w:rPr>
        <w:t xml:space="preserve">of registry of the aircraft, and, when different to </w:t>
      </w:r>
      <w:r w:rsidR="00BE47FC">
        <w:rPr>
          <w:rFonts w:ascii="Arial" w:hAnsi="Arial" w:cs="Arial"/>
          <w:sz w:val="20"/>
        </w:rPr>
        <w:t xml:space="preserve">the Republic of Armenia </w:t>
      </w:r>
      <w:r w:rsidRPr="008A72B8">
        <w:rPr>
          <w:rFonts w:ascii="Arial" w:eastAsiaTheme="minorHAnsi" w:hAnsi="Arial" w:cs="Arial"/>
          <w:bCs/>
          <w:sz w:val="20"/>
          <w:szCs w:val="20"/>
        </w:rPr>
        <w:t xml:space="preserve">of registry, to the </w:t>
      </w:r>
      <w:r w:rsidR="004E22F1">
        <w:rPr>
          <w:rFonts w:ascii="Arial" w:hAnsi="Arial" w:cs="Arial"/>
          <w:sz w:val="20"/>
          <w:szCs w:val="20"/>
        </w:rPr>
        <w:t xml:space="preserve">CAC RA </w:t>
      </w:r>
      <w:r w:rsidRPr="008A72B8">
        <w:rPr>
          <w:rFonts w:ascii="Arial" w:eastAsiaTheme="minorHAnsi" w:hAnsi="Arial" w:cs="Arial"/>
          <w:bCs/>
          <w:sz w:val="20"/>
          <w:szCs w:val="20"/>
        </w:rPr>
        <w:t xml:space="preserve">designated by </w:t>
      </w:r>
      <w:r w:rsidR="00BE47FC">
        <w:rPr>
          <w:rFonts w:ascii="Arial" w:hAnsi="Arial" w:cs="Arial"/>
          <w:sz w:val="20"/>
        </w:rPr>
        <w:t xml:space="preserve">the Republic of Armenia </w:t>
      </w:r>
      <w:r w:rsidRPr="008A72B8">
        <w:rPr>
          <w:rFonts w:ascii="Arial" w:eastAsiaTheme="minorHAnsi" w:hAnsi="Arial" w:cs="Arial"/>
          <w:bCs/>
          <w:sz w:val="20"/>
          <w:szCs w:val="20"/>
        </w:rPr>
        <w:t>of the operator;</w:t>
      </w:r>
    </w:p>
    <w:p w14:paraId="683144AA" w14:textId="77777777" w:rsidR="008A72B8" w:rsidRPr="008A72B8" w:rsidRDefault="008A72B8" w:rsidP="008A72B8">
      <w:pPr>
        <w:widowControl/>
        <w:numPr>
          <w:ilvl w:val="1"/>
          <w:numId w:val="287"/>
        </w:numPr>
        <w:autoSpaceDE/>
        <w:autoSpaceDN/>
        <w:spacing w:before="240" w:after="160" w:line="264" w:lineRule="auto"/>
        <w:jc w:val="both"/>
        <w:rPr>
          <w:rFonts w:ascii="Arial" w:eastAsiaTheme="minorHAnsi" w:hAnsi="Arial" w:cs="Arial"/>
          <w:bCs/>
          <w:sz w:val="20"/>
          <w:szCs w:val="20"/>
        </w:rPr>
      </w:pPr>
      <w:r w:rsidRPr="008A72B8">
        <w:rPr>
          <w:rFonts w:ascii="Arial" w:eastAsiaTheme="minorHAnsi" w:hAnsi="Arial" w:cs="Arial"/>
          <w:bCs/>
          <w:sz w:val="20"/>
          <w:szCs w:val="20"/>
        </w:rPr>
        <w:t>to the organisation responsible for the type design or supplemental type design.</w:t>
      </w:r>
    </w:p>
    <w:p w14:paraId="4524257E" w14:textId="7A762A83" w:rsidR="008A72B8" w:rsidRPr="008A72B8" w:rsidRDefault="008A72B8" w:rsidP="008A72B8">
      <w:pPr>
        <w:widowControl/>
        <w:numPr>
          <w:ilvl w:val="0"/>
          <w:numId w:val="287"/>
        </w:numPr>
        <w:autoSpaceDE/>
        <w:autoSpaceDN/>
        <w:spacing w:before="240" w:after="160" w:line="264" w:lineRule="auto"/>
        <w:jc w:val="both"/>
        <w:rPr>
          <w:rFonts w:ascii="Arial" w:eastAsiaTheme="minorHAnsi" w:hAnsi="Arial" w:cs="Arial"/>
          <w:bCs/>
          <w:sz w:val="20"/>
          <w:szCs w:val="20"/>
        </w:rPr>
      </w:pPr>
      <w:r w:rsidRPr="008A72B8">
        <w:rPr>
          <w:rFonts w:ascii="Arial" w:eastAsiaTheme="minorHAnsi" w:hAnsi="Arial" w:cs="Arial"/>
          <w:bCs/>
          <w:sz w:val="20"/>
          <w:szCs w:val="20"/>
        </w:rPr>
        <w:t xml:space="preserve">The reports referred to in point (a) shall be made in a manner determined by the </w:t>
      </w:r>
      <w:r w:rsidR="004E22F1">
        <w:rPr>
          <w:rFonts w:ascii="Arial" w:hAnsi="Arial" w:cs="Arial"/>
          <w:sz w:val="20"/>
          <w:szCs w:val="20"/>
        </w:rPr>
        <w:t xml:space="preserve">CAC RA </w:t>
      </w:r>
      <w:r w:rsidRPr="008A72B8">
        <w:rPr>
          <w:rFonts w:ascii="Arial" w:eastAsiaTheme="minorHAnsi" w:hAnsi="Arial" w:cs="Arial"/>
          <w:bCs/>
          <w:sz w:val="20"/>
          <w:szCs w:val="20"/>
        </w:rPr>
        <w:t>referred to in point (a) and shall contain all pertinent information about the condition known to the person or organisation making the report.</w:t>
      </w:r>
    </w:p>
    <w:p w14:paraId="16BF36A8" w14:textId="77777777" w:rsidR="008A72B8" w:rsidRPr="008A72B8" w:rsidRDefault="008A72B8" w:rsidP="008A72B8">
      <w:pPr>
        <w:widowControl/>
        <w:numPr>
          <w:ilvl w:val="0"/>
          <w:numId w:val="287"/>
        </w:numPr>
        <w:autoSpaceDE/>
        <w:autoSpaceDN/>
        <w:spacing w:before="240" w:after="160" w:line="264" w:lineRule="auto"/>
        <w:jc w:val="both"/>
        <w:rPr>
          <w:rFonts w:ascii="Arial" w:eastAsiaTheme="minorHAnsi" w:hAnsi="Arial" w:cs="Arial"/>
          <w:bCs/>
          <w:sz w:val="20"/>
          <w:szCs w:val="20"/>
        </w:rPr>
      </w:pPr>
      <w:r w:rsidRPr="008A72B8">
        <w:rPr>
          <w:rFonts w:ascii="Arial" w:eastAsiaTheme="minorHAnsi" w:hAnsi="Arial" w:cs="Arial"/>
          <w:bCs/>
          <w:sz w:val="20"/>
          <w:szCs w:val="20"/>
        </w:rPr>
        <w:t>Where the maintenance or the airworthiness review of the aircraft is carried out on the basis of a written contract, the person or the organisation responsible for those activities shall also report any condition referred to in point (a) to the owner of the aircraft and, when different, to the CAMO or CAO concerned.</w:t>
      </w:r>
    </w:p>
    <w:p w14:paraId="40A08361" w14:textId="77777777" w:rsidR="008A72B8" w:rsidRPr="008A72B8" w:rsidRDefault="008A72B8" w:rsidP="00EA029C">
      <w:pPr>
        <w:widowControl/>
        <w:numPr>
          <w:ilvl w:val="0"/>
          <w:numId w:val="287"/>
        </w:numPr>
        <w:autoSpaceDE/>
        <w:autoSpaceDN/>
        <w:spacing w:before="240" w:after="160" w:line="264" w:lineRule="auto"/>
        <w:ind w:right="68"/>
        <w:jc w:val="both"/>
        <w:rPr>
          <w:rFonts w:ascii="Arial" w:eastAsiaTheme="minorHAnsi" w:hAnsi="Arial" w:cs="Arial"/>
          <w:b/>
          <w:bCs/>
          <w:sz w:val="20"/>
          <w:szCs w:val="20"/>
        </w:rPr>
      </w:pPr>
      <w:r w:rsidRPr="008A72B8">
        <w:rPr>
          <w:rFonts w:ascii="Arial" w:eastAsiaTheme="minorHAnsi" w:hAnsi="Arial" w:cs="Arial"/>
          <w:bCs/>
          <w:sz w:val="20"/>
          <w:szCs w:val="20"/>
        </w:rPr>
        <w:t>The person or organisation shall submit the reports referred to in points (a) and (c) as soon as possible, but no later than 72 hours from the moment when the person or organisation identified the condition to which the report relates, unless exceptional circumstances prevent this</w:t>
      </w:r>
      <w:r w:rsidRPr="008A72B8">
        <w:rPr>
          <w:rFonts w:ascii="Arial" w:eastAsiaTheme="minorHAnsi" w:hAnsi="Arial" w:cs="Arial"/>
          <w:b/>
          <w:bCs/>
          <w:sz w:val="20"/>
          <w:szCs w:val="20"/>
        </w:rPr>
        <w:t>.</w:t>
      </w:r>
    </w:p>
    <w:p w14:paraId="68DCEA7D" w14:textId="77777777" w:rsidR="00A021F2" w:rsidRPr="00A021F2" w:rsidRDefault="00A021F2" w:rsidP="00A021F2">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814" w:name="AMC1_ML.A.202__Occurrence_reporting"/>
      <w:bookmarkStart w:id="815" w:name="_bookmark336"/>
      <w:bookmarkStart w:id="816" w:name="_Toc153137501"/>
      <w:bookmarkEnd w:id="814"/>
      <w:bookmarkEnd w:id="815"/>
      <w:r w:rsidRPr="00A021F2">
        <w:rPr>
          <w:rFonts w:ascii="Arial" w:eastAsia="Times New Roman" w:hAnsi="Arial" w:cs="Times New Roman"/>
          <w:b/>
          <w:color w:val="FFFFFF"/>
          <w:sz w:val="24"/>
        </w:rPr>
        <w:lastRenderedPageBreak/>
        <w:t>AMC1 ML.A.202 Occurrence reporting</w:t>
      </w:r>
      <w:bookmarkEnd w:id="816"/>
    </w:p>
    <w:p w14:paraId="7E1CBDD5" w14:textId="77777777" w:rsidR="00A021F2" w:rsidRPr="00A021F2" w:rsidRDefault="00A021F2" w:rsidP="00A021F2">
      <w:pPr>
        <w:widowControl/>
        <w:autoSpaceDE/>
        <w:autoSpaceDN/>
        <w:spacing w:before="240" w:after="160" w:line="264" w:lineRule="auto"/>
        <w:jc w:val="both"/>
        <w:rPr>
          <w:rFonts w:ascii="Arial" w:eastAsiaTheme="minorHAnsi" w:hAnsi="Arial" w:cs="Arial"/>
          <w:bCs/>
          <w:sz w:val="20"/>
          <w:szCs w:val="20"/>
        </w:rPr>
      </w:pPr>
      <w:r w:rsidRPr="00A021F2">
        <w:rPr>
          <w:rFonts w:ascii="Arial" w:eastAsiaTheme="minorHAnsi" w:hAnsi="Arial" w:cs="Arial"/>
          <w:bCs/>
          <w:sz w:val="20"/>
          <w:szCs w:val="20"/>
        </w:rPr>
        <w:t>Accountable persons or organisations should ensure that the design approval holder (DAH) receives adequate reports of occurrences for that aircraft or component, to enable the DAH to issue appropriate service instructions and recommendations to all owners or operators.</w:t>
      </w:r>
    </w:p>
    <w:p w14:paraId="2FABA152" w14:textId="77777777" w:rsidR="00A021F2" w:rsidRPr="00A021F2" w:rsidRDefault="00A021F2" w:rsidP="00A021F2">
      <w:pPr>
        <w:widowControl/>
        <w:autoSpaceDE/>
        <w:autoSpaceDN/>
        <w:spacing w:before="240" w:after="160" w:line="264" w:lineRule="auto"/>
        <w:jc w:val="both"/>
        <w:rPr>
          <w:rFonts w:ascii="Arial" w:eastAsiaTheme="minorHAnsi" w:hAnsi="Arial" w:cs="Arial"/>
          <w:bCs/>
          <w:sz w:val="20"/>
          <w:szCs w:val="20"/>
        </w:rPr>
      </w:pPr>
      <w:r w:rsidRPr="00A021F2">
        <w:rPr>
          <w:rFonts w:ascii="Arial" w:eastAsiaTheme="minorHAnsi" w:hAnsi="Arial" w:cs="Arial"/>
          <w:bCs/>
          <w:sz w:val="20"/>
          <w:szCs w:val="20"/>
        </w:rPr>
        <w:t>Accountable persons or organisations should establish a liaison with the DAH to determine whether published or proposed service information will resolve the problem or to obtain a solution to a particular problem.</w:t>
      </w:r>
    </w:p>
    <w:p w14:paraId="665893E3" w14:textId="77777777" w:rsidR="00A021F2" w:rsidRPr="00A021F2" w:rsidRDefault="00A021F2" w:rsidP="00A021F2">
      <w:pPr>
        <w:widowControl/>
        <w:autoSpaceDE/>
        <w:autoSpaceDN/>
        <w:spacing w:before="240" w:after="160" w:line="264" w:lineRule="auto"/>
        <w:jc w:val="both"/>
        <w:rPr>
          <w:rFonts w:ascii="Arial" w:eastAsiaTheme="minorHAnsi" w:hAnsi="Arial" w:cs="Arial"/>
          <w:bCs/>
          <w:sz w:val="20"/>
          <w:szCs w:val="20"/>
        </w:rPr>
      </w:pPr>
      <w:r w:rsidRPr="00A021F2">
        <w:rPr>
          <w:rFonts w:ascii="Arial" w:eastAsiaTheme="minorHAnsi" w:hAnsi="Arial" w:cs="Arial"/>
          <w:bCs/>
          <w:sz w:val="20"/>
          <w:szCs w:val="20"/>
        </w:rPr>
        <w:t>AMC-20 ‘General Acceptable Means of Compliance for Airworthiness of Products, Parts and Appliances’ provides further details on occurrence reporting (AMC 20-8).</w:t>
      </w:r>
    </w:p>
    <w:p w14:paraId="6F2E6825" w14:textId="77777777" w:rsidR="00D67D99" w:rsidRPr="00D67D99" w:rsidRDefault="00D67D99" w:rsidP="00D67D99">
      <w:pPr>
        <w:widowControl/>
        <w:autoSpaceDE/>
        <w:autoSpaceDN/>
        <w:spacing w:before="240" w:after="160" w:line="264" w:lineRule="auto"/>
        <w:jc w:val="both"/>
        <w:rPr>
          <w:rFonts w:ascii="Arial" w:eastAsiaTheme="minorHAnsi" w:hAnsi="Arial" w:cs="Arial"/>
          <w:b/>
          <w:bCs/>
          <w:sz w:val="20"/>
          <w:szCs w:val="20"/>
        </w:rPr>
      </w:pPr>
    </w:p>
    <w:p w14:paraId="625E36DF" w14:textId="77777777" w:rsidR="00A021F2" w:rsidRDefault="00A021F2" w:rsidP="00722524">
      <w:pPr>
        <w:rPr>
          <w:rFonts w:ascii="Arial" w:eastAsia="Times New Roman" w:hAnsi="Arial" w:cs="Times New Roman"/>
          <w:sz w:val="24"/>
        </w:rPr>
        <w:sectPr w:rsidR="00A021F2" w:rsidSect="008304B0">
          <w:headerReference w:type="default" r:id="rId98"/>
          <w:pgSz w:w="11906" w:h="16838" w:code="9"/>
          <w:pgMar w:top="450" w:right="1416" w:bottom="900" w:left="1350" w:header="284" w:footer="0" w:gutter="0"/>
          <w:cols w:space="720"/>
          <w:docGrid w:linePitch="360"/>
        </w:sectPr>
      </w:pPr>
    </w:p>
    <w:p w14:paraId="536BE459" w14:textId="77777777" w:rsidR="00A021F2" w:rsidRPr="00A021F2" w:rsidRDefault="00A021F2" w:rsidP="00A021F2">
      <w:pPr>
        <w:pStyle w:val="Heading3"/>
        <w:spacing w:line="276" w:lineRule="auto"/>
        <w:jc w:val="center"/>
        <w:rPr>
          <w:rFonts w:cs="Arial"/>
          <w:u w:val="none"/>
        </w:rPr>
      </w:pPr>
      <w:bookmarkStart w:id="817" w:name="_Toc153137502"/>
      <w:r w:rsidRPr="00A021F2">
        <w:rPr>
          <w:rFonts w:cs="Arial"/>
          <w:u w:val="none"/>
        </w:rPr>
        <w:lastRenderedPageBreak/>
        <w:t>SUBPART C — CONTINUING AIRWORTHINESS</w:t>
      </w:r>
      <w:bookmarkEnd w:id="817"/>
    </w:p>
    <w:p w14:paraId="6D241447" w14:textId="77777777" w:rsidR="00A021F2" w:rsidRPr="00A021F2" w:rsidRDefault="00A021F2" w:rsidP="00A021F2">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818" w:name="ML.A.301_Continuing-airworthiness_tasks"/>
      <w:bookmarkStart w:id="819" w:name="_bookmark338"/>
      <w:bookmarkStart w:id="820" w:name="_Toc153137503"/>
      <w:bookmarkEnd w:id="818"/>
      <w:bookmarkEnd w:id="819"/>
      <w:r w:rsidRPr="00A021F2">
        <w:rPr>
          <w:rFonts w:ascii="Arial" w:eastAsia="Times New Roman" w:hAnsi="Arial" w:cs="Times New Roman"/>
          <w:b/>
          <w:iCs/>
          <w:color w:val="FFFFFF"/>
          <w:sz w:val="24"/>
        </w:rPr>
        <w:t>ML.A.301 Continuing-airworthiness tasks</w:t>
      </w:r>
      <w:bookmarkEnd w:id="820"/>
    </w:p>
    <w:p w14:paraId="1C2AE1DB" w14:textId="77777777" w:rsidR="00A021F2" w:rsidRPr="00A021F2" w:rsidRDefault="00A021F2" w:rsidP="00EA029C">
      <w:pPr>
        <w:spacing w:line="276" w:lineRule="auto"/>
        <w:jc w:val="both"/>
        <w:rPr>
          <w:rFonts w:ascii="Arial" w:eastAsia="Times New Roman" w:hAnsi="Arial" w:cs="Times New Roman"/>
          <w:sz w:val="20"/>
        </w:rPr>
      </w:pPr>
      <w:r w:rsidRPr="00A021F2">
        <w:rPr>
          <w:rFonts w:ascii="Arial" w:eastAsia="Times New Roman" w:hAnsi="Arial" w:cs="Times New Roman"/>
          <w:sz w:val="20"/>
        </w:rPr>
        <w:t>The aircraft continuing airworthiness and the serviceability of operational and emergency equipment shall be ensured by:</w:t>
      </w:r>
    </w:p>
    <w:p w14:paraId="34273DFD" w14:textId="77777777" w:rsidR="00A021F2" w:rsidRPr="00A021F2" w:rsidRDefault="00A021F2" w:rsidP="00EA029C">
      <w:pPr>
        <w:numPr>
          <w:ilvl w:val="0"/>
          <w:numId w:val="288"/>
        </w:numPr>
        <w:spacing w:line="276" w:lineRule="auto"/>
        <w:jc w:val="both"/>
        <w:rPr>
          <w:rFonts w:ascii="Arial" w:eastAsia="Times New Roman" w:hAnsi="Arial" w:cs="Times New Roman"/>
          <w:sz w:val="20"/>
        </w:rPr>
      </w:pPr>
      <w:r w:rsidRPr="00A021F2">
        <w:rPr>
          <w:rFonts w:ascii="Arial" w:eastAsia="Times New Roman" w:hAnsi="Arial" w:cs="Times New Roman"/>
          <w:sz w:val="20"/>
        </w:rPr>
        <w:t>the accomplishment of pre-flight inspections;</w:t>
      </w:r>
    </w:p>
    <w:p w14:paraId="6081EBEC" w14:textId="77777777" w:rsidR="00A021F2" w:rsidRPr="00A021F2" w:rsidRDefault="00A021F2" w:rsidP="00EA029C">
      <w:pPr>
        <w:numPr>
          <w:ilvl w:val="0"/>
          <w:numId w:val="288"/>
        </w:numPr>
        <w:spacing w:line="276" w:lineRule="auto"/>
        <w:jc w:val="both"/>
        <w:rPr>
          <w:rFonts w:ascii="Arial" w:eastAsia="Times New Roman" w:hAnsi="Arial" w:cs="Times New Roman"/>
          <w:sz w:val="20"/>
        </w:rPr>
      </w:pPr>
      <w:r w:rsidRPr="00A021F2">
        <w:rPr>
          <w:rFonts w:ascii="Arial" w:eastAsia="Times New Roman" w:hAnsi="Arial" w:cs="Times New Roman"/>
          <w:sz w:val="20"/>
        </w:rPr>
        <w:t xml:space="preserve">the rectification of any defect and damage affecting safe operation in accordance with data specified in points </w:t>
      </w:r>
      <w:r w:rsidRPr="00CD5CD5">
        <w:rPr>
          <w:rFonts w:ascii="Arial" w:eastAsia="Times New Roman" w:hAnsi="Arial" w:cs="Times New Roman"/>
          <w:sz w:val="20"/>
        </w:rPr>
        <w:t>ML.A.304</w:t>
      </w:r>
      <w:r w:rsidRPr="00A021F2">
        <w:rPr>
          <w:rFonts w:ascii="Arial" w:eastAsia="Times New Roman" w:hAnsi="Arial" w:cs="Times New Roman"/>
          <w:sz w:val="20"/>
        </w:rPr>
        <w:t xml:space="preserve"> and </w:t>
      </w:r>
      <w:r w:rsidRPr="00CD5CD5">
        <w:rPr>
          <w:rFonts w:ascii="Arial" w:eastAsia="Times New Roman" w:hAnsi="Arial" w:cs="Times New Roman"/>
          <w:sz w:val="20"/>
        </w:rPr>
        <w:t>ML.A.401</w:t>
      </w:r>
      <w:r w:rsidRPr="00A021F2">
        <w:rPr>
          <w:rFonts w:ascii="Arial" w:eastAsia="Times New Roman" w:hAnsi="Arial" w:cs="Times New Roman"/>
          <w:sz w:val="20"/>
        </w:rPr>
        <w:t>, as applicable, while taking into account the minimum equipment list (‘MEL’) and configuration deviation list, when they exist;</w:t>
      </w:r>
    </w:p>
    <w:p w14:paraId="7344B4D7" w14:textId="77777777" w:rsidR="00A021F2" w:rsidRPr="00A021F2" w:rsidRDefault="00A021F2" w:rsidP="00EA029C">
      <w:pPr>
        <w:numPr>
          <w:ilvl w:val="0"/>
          <w:numId w:val="288"/>
        </w:numPr>
        <w:spacing w:line="276" w:lineRule="auto"/>
        <w:jc w:val="both"/>
        <w:rPr>
          <w:rFonts w:ascii="Arial" w:eastAsia="Times New Roman" w:hAnsi="Arial" w:cs="Times New Roman"/>
          <w:sz w:val="20"/>
        </w:rPr>
      </w:pPr>
      <w:r w:rsidRPr="00A021F2">
        <w:rPr>
          <w:rFonts w:ascii="Arial" w:eastAsia="Times New Roman" w:hAnsi="Arial" w:cs="Times New Roman"/>
          <w:sz w:val="20"/>
        </w:rPr>
        <w:t xml:space="preserve">the accomplishment of all maintenance in accordance with the AMP referred to in point </w:t>
      </w:r>
      <w:r w:rsidRPr="00CD5CD5">
        <w:rPr>
          <w:rFonts w:ascii="Arial" w:eastAsia="Times New Roman" w:hAnsi="Arial" w:cs="Times New Roman"/>
          <w:sz w:val="20"/>
        </w:rPr>
        <w:t>ML.A.302</w:t>
      </w:r>
      <w:r w:rsidRPr="00A021F2">
        <w:rPr>
          <w:rFonts w:ascii="Arial" w:eastAsia="Times New Roman" w:hAnsi="Arial" w:cs="Times New Roman"/>
          <w:sz w:val="20"/>
        </w:rPr>
        <w:t>;</w:t>
      </w:r>
    </w:p>
    <w:p w14:paraId="2DDAA2D4" w14:textId="77777777" w:rsidR="00A021F2" w:rsidRPr="00A021F2" w:rsidRDefault="00A021F2" w:rsidP="00EA029C">
      <w:pPr>
        <w:numPr>
          <w:ilvl w:val="0"/>
          <w:numId w:val="288"/>
        </w:numPr>
        <w:spacing w:line="276" w:lineRule="auto"/>
        <w:jc w:val="both"/>
        <w:rPr>
          <w:rFonts w:ascii="Arial" w:eastAsia="Times New Roman" w:hAnsi="Arial" w:cs="Times New Roman"/>
          <w:sz w:val="20"/>
        </w:rPr>
      </w:pPr>
      <w:r w:rsidRPr="00A021F2">
        <w:rPr>
          <w:rFonts w:ascii="Arial" w:eastAsia="Times New Roman" w:hAnsi="Arial" w:cs="Times New Roman"/>
          <w:sz w:val="20"/>
        </w:rPr>
        <w:t>the accomplishment of any applicable:</w:t>
      </w:r>
    </w:p>
    <w:p w14:paraId="37A56945" w14:textId="77777777" w:rsidR="00A021F2" w:rsidRPr="00A021F2" w:rsidRDefault="00A021F2" w:rsidP="00EA029C">
      <w:pPr>
        <w:numPr>
          <w:ilvl w:val="1"/>
          <w:numId w:val="288"/>
        </w:numPr>
        <w:spacing w:line="276" w:lineRule="auto"/>
        <w:jc w:val="both"/>
        <w:rPr>
          <w:rFonts w:ascii="Arial" w:eastAsia="Times New Roman" w:hAnsi="Arial" w:cs="Times New Roman"/>
          <w:sz w:val="20"/>
        </w:rPr>
      </w:pPr>
      <w:r w:rsidRPr="00A021F2">
        <w:rPr>
          <w:rFonts w:ascii="Arial" w:eastAsia="Times New Roman" w:hAnsi="Arial" w:cs="Times New Roman"/>
          <w:sz w:val="20"/>
        </w:rPr>
        <w:t>airworthiness directive (‘AD’);</w:t>
      </w:r>
    </w:p>
    <w:p w14:paraId="5FC45621" w14:textId="77777777" w:rsidR="00A021F2" w:rsidRPr="00A021F2" w:rsidRDefault="00A021F2" w:rsidP="00EA029C">
      <w:pPr>
        <w:numPr>
          <w:ilvl w:val="1"/>
          <w:numId w:val="288"/>
        </w:numPr>
        <w:spacing w:line="276" w:lineRule="auto"/>
        <w:jc w:val="both"/>
        <w:rPr>
          <w:rFonts w:ascii="Arial" w:eastAsia="Times New Roman" w:hAnsi="Arial" w:cs="Times New Roman"/>
          <w:sz w:val="20"/>
        </w:rPr>
      </w:pPr>
      <w:r w:rsidRPr="00A021F2">
        <w:rPr>
          <w:rFonts w:ascii="Arial" w:eastAsia="Times New Roman" w:hAnsi="Arial" w:cs="Times New Roman"/>
          <w:sz w:val="20"/>
        </w:rPr>
        <w:t>operational directive with a continuing-airworthiness impact;</w:t>
      </w:r>
    </w:p>
    <w:p w14:paraId="0A291692" w14:textId="77777777" w:rsidR="00A021F2" w:rsidRPr="00A021F2" w:rsidRDefault="00A021F2" w:rsidP="00EA029C">
      <w:pPr>
        <w:numPr>
          <w:ilvl w:val="1"/>
          <w:numId w:val="288"/>
        </w:numPr>
        <w:spacing w:line="276" w:lineRule="auto"/>
        <w:jc w:val="both"/>
        <w:rPr>
          <w:rFonts w:ascii="Arial" w:eastAsia="Times New Roman" w:hAnsi="Arial" w:cs="Times New Roman"/>
          <w:sz w:val="20"/>
        </w:rPr>
      </w:pPr>
      <w:r w:rsidRPr="00A021F2">
        <w:rPr>
          <w:rFonts w:ascii="Arial" w:eastAsia="Times New Roman" w:hAnsi="Arial" w:cs="Times New Roman"/>
          <w:sz w:val="20"/>
        </w:rPr>
        <w:t>continuing-airworthiness requirement established by the Agency;</w:t>
      </w:r>
    </w:p>
    <w:p w14:paraId="655385B3" w14:textId="75D8474E" w:rsidR="00A021F2" w:rsidRPr="00A021F2" w:rsidRDefault="00A021F2" w:rsidP="00EA029C">
      <w:pPr>
        <w:numPr>
          <w:ilvl w:val="1"/>
          <w:numId w:val="288"/>
        </w:numPr>
        <w:spacing w:line="276" w:lineRule="auto"/>
        <w:jc w:val="both"/>
        <w:rPr>
          <w:rFonts w:ascii="Arial" w:eastAsia="Times New Roman" w:hAnsi="Arial" w:cs="Times New Roman"/>
          <w:sz w:val="20"/>
        </w:rPr>
      </w:pPr>
      <w:r w:rsidRPr="00A021F2">
        <w:rPr>
          <w:rFonts w:ascii="Arial" w:eastAsia="Times New Roman" w:hAnsi="Arial" w:cs="Times New Roman"/>
          <w:sz w:val="20"/>
        </w:rPr>
        <w:t xml:space="preserve">measure required by the </w:t>
      </w:r>
      <w:r w:rsidR="004E22F1">
        <w:rPr>
          <w:rFonts w:ascii="Arial" w:hAnsi="Arial" w:cs="Arial"/>
          <w:sz w:val="20"/>
          <w:szCs w:val="20"/>
        </w:rPr>
        <w:t xml:space="preserve">CAC RA </w:t>
      </w:r>
      <w:r w:rsidRPr="00A021F2">
        <w:rPr>
          <w:rFonts w:ascii="Arial" w:eastAsia="Times New Roman" w:hAnsi="Arial" w:cs="Times New Roman"/>
          <w:sz w:val="20"/>
        </w:rPr>
        <w:t>as an immediate reaction to a safety problem;</w:t>
      </w:r>
    </w:p>
    <w:p w14:paraId="503D19BD" w14:textId="77777777" w:rsidR="00A021F2" w:rsidRPr="00A021F2" w:rsidRDefault="00A021F2" w:rsidP="00EA029C">
      <w:pPr>
        <w:numPr>
          <w:ilvl w:val="0"/>
          <w:numId w:val="288"/>
        </w:numPr>
        <w:spacing w:line="276" w:lineRule="auto"/>
        <w:jc w:val="both"/>
        <w:rPr>
          <w:rFonts w:ascii="Arial" w:eastAsia="Times New Roman" w:hAnsi="Arial" w:cs="Times New Roman"/>
          <w:sz w:val="20"/>
        </w:rPr>
      </w:pPr>
      <w:r w:rsidRPr="00A021F2">
        <w:rPr>
          <w:rFonts w:ascii="Arial" w:eastAsia="Times New Roman" w:hAnsi="Arial" w:cs="Times New Roman"/>
          <w:sz w:val="20"/>
        </w:rPr>
        <w:t xml:space="preserve">the accomplishment of modifications and repairs in accordance with point </w:t>
      </w:r>
      <w:r w:rsidRPr="00CD5CD5">
        <w:rPr>
          <w:rFonts w:ascii="Arial" w:eastAsia="Times New Roman" w:hAnsi="Arial" w:cs="Times New Roman"/>
          <w:sz w:val="20"/>
        </w:rPr>
        <w:t>ML.A.304</w:t>
      </w:r>
      <w:r w:rsidRPr="00A021F2">
        <w:rPr>
          <w:rFonts w:ascii="Arial" w:eastAsia="Times New Roman" w:hAnsi="Arial" w:cs="Times New Roman"/>
          <w:sz w:val="20"/>
        </w:rPr>
        <w:t>;</w:t>
      </w:r>
    </w:p>
    <w:p w14:paraId="5A18A581" w14:textId="55904B1C" w:rsidR="00C44240" w:rsidRPr="00EA029C" w:rsidRDefault="00A021F2" w:rsidP="00722524">
      <w:pPr>
        <w:numPr>
          <w:ilvl w:val="0"/>
          <w:numId w:val="288"/>
        </w:numPr>
        <w:spacing w:line="276" w:lineRule="auto"/>
        <w:jc w:val="both"/>
        <w:rPr>
          <w:rFonts w:ascii="Arial" w:eastAsia="Times New Roman" w:hAnsi="Arial" w:cs="Times New Roman"/>
          <w:sz w:val="20"/>
        </w:rPr>
      </w:pPr>
      <w:r w:rsidRPr="00A021F2">
        <w:rPr>
          <w:rFonts w:ascii="Arial" w:eastAsia="Times New Roman" w:hAnsi="Arial" w:cs="Times New Roman"/>
          <w:sz w:val="20"/>
        </w:rPr>
        <w:t>maintenance check flights, when necessary.</w:t>
      </w:r>
    </w:p>
    <w:p w14:paraId="7E922C5D" w14:textId="77777777" w:rsidR="00A021F2" w:rsidRPr="00A021F2" w:rsidRDefault="00A021F2" w:rsidP="00A021F2">
      <w:pPr>
        <w:keepNext/>
        <w:keepLines/>
        <w:widowControl/>
        <w:shd w:val="clear" w:color="auto" w:fill="339966"/>
        <w:autoSpaceDE/>
        <w:autoSpaceDN/>
        <w:spacing w:before="160" w:after="120" w:line="259" w:lineRule="auto"/>
        <w:outlineLvl w:val="4"/>
        <w:rPr>
          <w:rFonts w:ascii="Arial" w:eastAsia="Times New Roman" w:hAnsi="Arial" w:cs="Times New Roman"/>
          <w:b/>
          <w:color w:val="FFFFFF"/>
          <w:sz w:val="24"/>
        </w:rPr>
      </w:pPr>
      <w:bookmarkStart w:id="821" w:name="GM1_ML.A.301(f)__Continuing_airworthines"/>
      <w:bookmarkStart w:id="822" w:name="_bookmark339"/>
      <w:bookmarkStart w:id="823" w:name="_Toc153137504"/>
      <w:bookmarkEnd w:id="821"/>
      <w:bookmarkEnd w:id="822"/>
      <w:r w:rsidRPr="00A021F2">
        <w:rPr>
          <w:rFonts w:ascii="Arial" w:eastAsia="Times New Roman" w:hAnsi="Arial" w:cs="Times New Roman"/>
          <w:b/>
          <w:color w:val="FFFFFF"/>
          <w:sz w:val="24"/>
        </w:rPr>
        <w:t>GM1 ML.A.301(f) Continuing airworthiness tasks</w:t>
      </w:r>
      <w:bookmarkEnd w:id="823"/>
    </w:p>
    <w:p w14:paraId="48BCD835" w14:textId="77777777" w:rsidR="00A021F2" w:rsidRPr="00A021F2" w:rsidRDefault="00A021F2" w:rsidP="00A021F2">
      <w:pPr>
        <w:widowControl/>
        <w:autoSpaceDE/>
        <w:autoSpaceDN/>
        <w:spacing w:before="240" w:after="160" w:line="264" w:lineRule="auto"/>
        <w:jc w:val="both"/>
        <w:rPr>
          <w:rFonts w:ascii="Arial" w:eastAsiaTheme="minorHAnsi" w:hAnsi="Arial" w:cs="Arial"/>
          <w:b/>
          <w:bCs/>
          <w:sz w:val="20"/>
          <w:szCs w:val="20"/>
        </w:rPr>
      </w:pPr>
      <w:r w:rsidRPr="00A021F2">
        <w:rPr>
          <w:rFonts w:ascii="Arial" w:eastAsiaTheme="minorHAnsi" w:hAnsi="Arial" w:cs="Arial"/>
          <w:b/>
          <w:bCs/>
          <w:sz w:val="20"/>
          <w:szCs w:val="20"/>
        </w:rPr>
        <w:t>MAINTENANCE CHECK FLIGHTS (MCFs)</w:t>
      </w:r>
    </w:p>
    <w:p w14:paraId="0FBF3CCD" w14:textId="77777777" w:rsidR="00A021F2" w:rsidRPr="005F6C4D" w:rsidRDefault="00A021F2" w:rsidP="005F6C4D">
      <w:pPr>
        <w:numPr>
          <w:ilvl w:val="0"/>
          <w:numId w:val="289"/>
        </w:numPr>
        <w:jc w:val="both"/>
        <w:rPr>
          <w:rFonts w:ascii="Arial" w:eastAsia="Times New Roman" w:hAnsi="Arial" w:cs="Arial"/>
          <w:sz w:val="20"/>
          <w:szCs w:val="20"/>
        </w:rPr>
      </w:pPr>
      <w:r w:rsidRPr="005F6C4D">
        <w:rPr>
          <w:rFonts w:ascii="Arial" w:eastAsia="Times New Roman" w:hAnsi="Arial" w:cs="Arial"/>
          <w:sz w:val="20"/>
          <w:szCs w:val="20"/>
        </w:rPr>
        <w:t>The definition of and operational requirements for MCFs are laid down in the Air Operations Regulation</w:t>
      </w:r>
      <w:r w:rsidRPr="005F6C4D">
        <w:rPr>
          <w:rFonts w:ascii="Arial" w:eastAsia="Times New Roman" w:hAnsi="Arial" w:cs="Arial"/>
          <w:sz w:val="20"/>
          <w:szCs w:val="20"/>
          <w:vertAlign w:val="superscript"/>
        </w:rPr>
        <w:t>1</w:t>
      </w:r>
      <w:r w:rsidRPr="005F6C4D">
        <w:rPr>
          <w:rFonts w:ascii="Arial" w:eastAsia="Times New Roman" w:hAnsi="Arial" w:cs="Arial"/>
          <w:sz w:val="20"/>
          <w:szCs w:val="20"/>
        </w:rPr>
        <w:t xml:space="preserve"> and are carried out under the control and responsibility of the aircraft operator. During the flight preparation, the flight and the post-flight activities as well as for the aircraft handover, the processes requiring the involvement of maintenance personnel or organisations should be agreed in advance with the operator. The operator should consult as necessary with the person or organisation in charge of the airworthiness of the aircraft.</w:t>
      </w:r>
    </w:p>
    <w:p w14:paraId="368C4C41" w14:textId="77777777" w:rsidR="00A021F2" w:rsidRPr="005F6C4D" w:rsidRDefault="00A021F2" w:rsidP="005F6C4D">
      <w:pPr>
        <w:numPr>
          <w:ilvl w:val="0"/>
          <w:numId w:val="289"/>
        </w:numPr>
        <w:jc w:val="both"/>
        <w:rPr>
          <w:rFonts w:ascii="Arial" w:eastAsia="Times New Roman" w:hAnsi="Arial" w:cs="Arial"/>
          <w:sz w:val="20"/>
          <w:szCs w:val="20"/>
        </w:rPr>
      </w:pPr>
      <w:r w:rsidRPr="005F6C4D">
        <w:rPr>
          <w:rFonts w:ascii="Arial" w:eastAsia="Times New Roman" w:hAnsi="Arial" w:cs="Arial"/>
          <w:sz w:val="20"/>
          <w:szCs w:val="20"/>
        </w:rPr>
        <w:t>Depending on the aircraft defect and the status of the maintenance activity performed before the flight, different scenarios are possible and are described below:</w:t>
      </w:r>
    </w:p>
    <w:p w14:paraId="3F5633E7" w14:textId="77777777" w:rsidR="00A021F2" w:rsidRPr="005F6C4D" w:rsidRDefault="00A021F2" w:rsidP="005F6C4D">
      <w:pPr>
        <w:numPr>
          <w:ilvl w:val="1"/>
          <w:numId w:val="289"/>
        </w:numPr>
        <w:jc w:val="both"/>
        <w:rPr>
          <w:rFonts w:ascii="Arial" w:eastAsia="Times New Roman" w:hAnsi="Arial" w:cs="Arial"/>
          <w:sz w:val="20"/>
          <w:szCs w:val="20"/>
        </w:rPr>
      </w:pPr>
      <w:r w:rsidRPr="005F6C4D">
        <w:rPr>
          <w:rFonts w:ascii="Arial" w:eastAsia="Times New Roman" w:hAnsi="Arial" w:cs="Arial"/>
          <w:sz w:val="20"/>
          <w:szCs w:val="20"/>
        </w:rPr>
        <w:t>The aircraft maintenance manual (AMM), or any other maintenance data issued by the DAH, requires that an MCF be performed before completion of the maintenance ordered. In this scenario, a certificate after incomplete maintenance, when in compliance with ML.A.801(f) or 145.A.50(e), should be issued and the aircraft can be flown for this purpose under its airworthiness certificate.</w:t>
      </w:r>
    </w:p>
    <w:p w14:paraId="6911FA09" w14:textId="77777777" w:rsidR="00A021F2" w:rsidRPr="005F6C4D" w:rsidRDefault="00A021F2" w:rsidP="005F6C4D">
      <w:pPr>
        <w:pStyle w:val="BodyText"/>
        <w:spacing w:before="57"/>
        <w:ind w:left="1273" w:right="197"/>
        <w:jc w:val="both"/>
        <w:rPr>
          <w:rFonts w:ascii="Arial" w:hAnsi="Arial" w:cs="Arial"/>
          <w:sz w:val="20"/>
          <w:szCs w:val="20"/>
        </w:rPr>
      </w:pPr>
      <w:r w:rsidRPr="005F6C4D">
        <w:rPr>
          <w:rFonts w:ascii="Arial" w:hAnsi="Arial" w:cs="Arial"/>
          <w:sz w:val="20"/>
          <w:szCs w:val="20"/>
        </w:rPr>
        <w:t>Due to incomplete maintenance, it is advisable to open a new entry into the ML.A.305</w:t>
      </w:r>
      <w:r w:rsidRPr="005F6C4D">
        <w:rPr>
          <w:rFonts w:ascii="Arial" w:hAnsi="Arial" w:cs="Arial"/>
          <w:color w:val="0000FF"/>
          <w:spacing w:val="1"/>
          <w:sz w:val="20"/>
          <w:szCs w:val="20"/>
        </w:rPr>
        <w:t xml:space="preserve"> </w:t>
      </w:r>
      <w:r w:rsidRPr="005F6C4D">
        <w:rPr>
          <w:rFonts w:ascii="Arial" w:hAnsi="Arial" w:cs="Arial"/>
          <w:sz w:val="20"/>
          <w:szCs w:val="20"/>
        </w:rPr>
        <w:t>aircraft logbook, to identify the need for an MCF. This new entry should contain or refer</w:t>
      </w:r>
      <w:r w:rsidRPr="005F6C4D">
        <w:rPr>
          <w:rFonts w:ascii="Arial" w:hAnsi="Arial" w:cs="Arial"/>
          <w:spacing w:val="1"/>
          <w:sz w:val="20"/>
          <w:szCs w:val="20"/>
        </w:rPr>
        <w:t xml:space="preserve"> </w:t>
      </w:r>
      <w:r w:rsidRPr="005F6C4D">
        <w:rPr>
          <w:rFonts w:ascii="Arial" w:hAnsi="Arial" w:cs="Arial"/>
          <w:sz w:val="20"/>
          <w:szCs w:val="20"/>
        </w:rPr>
        <w:t>to, as necessary, data relevant to perform the MCF, such as aircraft limitations and any</w:t>
      </w:r>
      <w:r w:rsidRPr="005F6C4D">
        <w:rPr>
          <w:rFonts w:ascii="Arial" w:hAnsi="Arial" w:cs="Arial"/>
          <w:spacing w:val="1"/>
          <w:sz w:val="20"/>
          <w:szCs w:val="20"/>
        </w:rPr>
        <w:t xml:space="preserve"> </w:t>
      </w:r>
      <w:r w:rsidRPr="005F6C4D">
        <w:rPr>
          <w:rFonts w:ascii="Arial" w:hAnsi="Arial" w:cs="Arial"/>
          <w:sz w:val="20"/>
          <w:szCs w:val="20"/>
        </w:rPr>
        <w:t>potential</w:t>
      </w:r>
      <w:r w:rsidRPr="005F6C4D">
        <w:rPr>
          <w:rFonts w:ascii="Arial" w:hAnsi="Arial" w:cs="Arial"/>
          <w:spacing w:val="1"/>
          <w:sz w:val="20"/>
          <w:szCs w:val="20"/>
        </w:rPr>
        <w:t xml:space="preserve"> </w:t>
      </w:r>
      <w:r w:rsidRPr="005F6C4D">
        <w:rPr>
          <w:rFonts w:ascii="Arial" w:hAnsi="Arial" w:cs="Arial"/>
          <w:sz w:val="20"/>
          <w:szCs w:val="20"/>
        </w:rPr>
        <w:t>effect</w:t>
      </w:r>
      <w:r w:rsidRPr="005F6C4D">
        <w:rPr>
          <w:rFonts w:ascii="Arial" w:hAnsi="Arial" w:cs="Arial"/>
          <w:spacing w:val="1"/>
          <w:sz w:val="20"/>
          <w:szCs w:val="20"/>
        </w:rPr>
        <w:t xml:space="preserve"> </w:t>
      </w:r>
      <w:r w:rsidRPr="005F6C4D">
        <w:rPr>
          <w:rFonts w:ascii="Arial" w:hAnsi="Arial" w:cs="Arial"/>
          <w:sz w:val="20"/>
          <w:szCs w:val="20"/>
        </w:rPr>
        <w:t>on</w:t>
      </w:r>
      <w:r w:rsidRPr="005F6C4D">
        <w:rPr>
          <w:rFonts w:ascii="Arial" w:hAnsi="Arial" w:cs="Arial"/>
          <w:spacing w:val="1"/>
          <w:sz w:val="20"/>
          <w:szCs w:val="20"/>
        </w:rPr>
        <w:t xml:space="preserve"> </w:t>
      </w:r>
      <w:r w:rsidRPr="005F6C4D">
        <w:rPr>
          <w:rFonts w:ascii="Arial" w:hAnsi="Arial" w:cs="Arial"/>
          <w:sz w:val="20"/>
          <w:szCs w:val="20"/>
        </w:rPr>
        <w:t>operational</w:t>
      </w:r>
      <w:r w:rsidRPr="005F6C4D">
        <w:rPr>
          <w:rFonts w:ascii="Arial" w:hAnsi="Arial" w:cs="Arial"/>
          <w:spacing w:val="1"/>
          <w:sz w:val="20"/>
          <w:szCs w:val="20"/>
        </w:rPr>
        <w:t xml:space="preserve"> </w:t>
      </w:r>
      <w:r w:rsidRPr="005F6C4D">
        <w:rPr>
          <w:rFonts w:ascii="Arial" w:hAnsi="Arial" w:cs="Arial"/>
          <w:sz w:val="20"/>
          <w:szCs w:val="20"/>
        </w:rPr>
        <w:t>and</w:t>
      </w:r>
      <w:r w:rsidRPr="005F6C4D">
        <w:rPr>
          <w:rFonts w:ascii="Arial" w:hAnsi="Arial" w:cs="Arial"/>
          <w:spacing w:val="1"/>
          <w:sz w:val="20"/>
          <w:szCs w:val="20"/>
        </w:rPr>
        <w:t xml:space="preserve"> </w:t>
      </w:r>
      <w:r w:rsidRPr="005F6C4D">
        <w:rPr>
          <w:rFonts w:ascii="Arial" w:hAnsi="Arial" w:cs="Arial"/>
          <w:sz w:val="20"/>
          <w:szCs w:val="20"/>
        </w:rPr>
        <w:t>emergency</w:t>
      </w:r>
      <w:r w:rsidRPr="005F6C4D">
        <w:rPr>
          <w:rFonts w:ascii="Arial" w:hAnsi="Arial" w:cs="Arial"/>
          <w:spacing w:val="1"/>
          <w:sz w:val="20"/>
          <w:szCs w:val="20"/>
        </w:rPr>
        <w:t xml:space="preserve"> </w:t>
      </w:r>
      <w:r w:rsidRPr="005F6C4D">
        <w:rPr>
          <w:rFonts w:ascii="Arial" w:hAnsi="Arial" w:cs="Arial"/>
          <w:sz w:val="20"/>
          <w:szCs w:val="20"/>
        </w:rPr>
        <w:t>equipment</w:t>
      </w:r>
      <w:r w:rsidRPr="005F6C4D">
        <w:rPr>
          <w:rFonts w:ascii="Arial" w:hAnsi="Arial" w:cs="Arial"/>
          <w:spacing w:val="1"/>
          <w:sz w:val="20"/>
          <w:szCs w:val="20"/>
        </w:rPr>
        <w:t xml:space="preserve"> </w:t>
      </w:r>
      <w:r w:rsidRPr="005F6C4D">
        <w:rPr>
          <w:rFonts w:ascii="Arial" w:hAnsi="Arial" w:cs="Arial"/>
          <w:sz w:val="20"/>
          <w:szCs w:val="20"/>
        </w:rPr>
        <w:t>due</w:t>
      </w:r>
      <w:r w:rsidRPr="005F6C4D">
        <w:rPr>
          <w:rFonts w:ascii="Arial" w:hAnsi="Arial" w:cs="Arial"/>
          <w:spacing w:val="1"/>
          <w:sz w:val="20"/>
          <w:szCs w:val="20"/>
        </w:rPr>
        <w:t xml:space="preserve"> </w:t>
      </w:r>
      <w:r w:rsidRPr="005F6C4D">
        <w:rPr>
          <w:rFonts w:ascii="Arial" w:hAnsi="Arial" w:cs="Arial"/>
          <w:sz w:val="20"/>
          <w:szCs w:val="20"/>
        </w:rPr>
        <w:t>to</w:t>
      </w:r>
      <w:r w:rsidRPr="005F6C4D">
        <w:rPr>
          <w:rFonts w:ascii="Arial" w:hAnsi="Arial" w:cs="Arial"/>
          <w:spacing w:val="1"/>
          <w:sz w:val="20"/>
          <w:szCs w:val="20"/>
        </w:rPr>
        <w:t xml:space="preserve"> </w:t>
      </w:r>
      <w:r w:rsidRPr="005F6C4D">
        <w:rPr>
          <w:rFonts w:ascii="Arial" w:hAnsi="Arial" w:cs="Arial"/>
          <w:sz w:val="20"/>
          <w:szCs w:val="20"/>
        </w:rPr>
        <w:t>incomplete</w:t>
      </w:r>
      <w:r w:rsidRPr="005F6C4D">
        <w:rPr>
          <w:rFonts w:ascii="Arial" w:hAnsi="Arial" w:cs="Arial"/>
          <w:spacing w:val="1"/>
          <w:sz w:val="20"/>
          <w:szCs w:val="20"/>
        </w:rPr>
        <w:t xml:space="preserve"> </w:t>
      </w:r>
      <w:r w:rsidRPr="005F6C4D">
        <w:rPr>
          <w:rFonts w:ascii="Arial" w:hAnsi="Arial" w:cs="Arial"/>
          <w:sz w:val="20"/>
          <w:szCs w:val="20"/>
        </w:rPr>
        <w:t>maintenance, maintenance data reference and maintenance actions to be performed</w:t>
      </w:r>
      <w:r w:rsidRPr="005F6C4D">
        <w:rPr>
          <w:rFonts w:ascii="Arial" w:hAnsi="Arial" w:cs="Arial"/>
          <w:spacing w:val="1"/>
          <w:sz w:val="20"/>
          <w:szCs w:val="20"/>
        </w:rPr>
        <w:t xml:space="preserve"> </w:t>
      </w:r>
      <w:r w:rsidRPr="005F6C4D">
        <w:rPr>
          <w:rFonts w:ascii="Arial" w:hAnsi="Arial" w:cs="Arial"/>
          <w:sz w:val="20"/>
          <w:szCs w:val="20"/>
        </w:rPr>
        <w:t>after</w:t>
      </w:r>
      <w:r w:rsidRPr="005F6C4D">
        <w:rPr>
          <w:rFonts w:ascii="Arial" w:hAnsi="Arial" w:cs="Arial"/>
          <w:spacing w:val="-1"/>
          <w:sz w:val="20"/>
          <w:szCs w:val="20"/>
        </w:rPr>
        <w:t xml:space="preserve"> </w:t>
      </w:r>
      <w:r w:rsidRPr="005F6C4D">
        <w:rPr>
          <w:rFonts w:ascii="Arial" w:hAnsi="Arial" w:cs="Arial"/>
          <w:sz w:val="20"/>
          <w:szCs w:val="20"/>
        </w:rPr>
        <w:t>the</w:t>
      </w:r>
      <w:r w:rsidRPr="005F6C4D">
        <w:rPr>
          <w:rFonts w:ascii="Arial" w:hAnsi="Arial" w:cs="Arial"/>
          <w:spacing w:val="1"/>
          <w:sz w:val="20"/>
          <w:szCs w:val="20"/>
        </w:rPr>
        <w:t xml:space="preserve"> </w:t>
      </w:r>
      <w:r w:rsidRPr="005F6C4D">
        <w:rPr>
          <w:rFonts w:ascii="Arial" w:hAnsi="Arial" w:cs="Arial"/>
          <w:sz w:val="20"/>
          <w:szCs w:val="20"/>
        </w:rPr>
        <w:t>flight.</w:t>
      </w:r>
    </w:p>
    <w:p w14:paraId="71B2124B" w14:textId="77777777" w:rsidR="00A021F2" w:rsidRPr="005F6C4D" w:rsidRDefault="00A021F2" w:rsidP="005F6C4D">
      <w:pPr>
        <w:pStyle w:val="BodyText"/>
        <w:spacing w:before="119"/>
        <w:ind w:left="1273" w:right="196"/>
        <w:jc w:val="both"/>
        <w:rPr>
          <w:rFonts w:ascii="Arial" w:hAnsi="Arial" w:cs="Arial"/>
          <w:sz w:val="20"/>
          <w:szCs w:val="20"/>
        </w:rPr>
      </w:pPr>
      <w:r w:rsidRPr="005F6C4D">
        <w:rPr>
          <w:rFonts w:ascii="Arial" w:hAnsi="Arial" w:cs="Arial"/>
          <w:sz w:val="20"/>
          <w:szCs w:val="20"/>
        </w:rPr>
        <w:t>After a successful MCF, the maintenance records should be completed, the remaining</w:t>
      </w:r>
      <w:r w:rsidRPr="005F6C4D">
        <w:rPr>
          <w:rFonts w:ascii="Arial" w:hAnsi="Arial" w:cs="Arial"/>
          <w:spacing w:val="1"/>
          <w:sz w:val="20"/>
          <w:szCs w:val="20"/>
        </w:rPr>
        <w:t xml:space="preserve"> </w:t>
      </w:r>
      <w:r w:rsidRPr="005F6C4D">
        <w:rPr>
          <w:rFonts w:ascii="Arial" w:hAnsi="Arial" w:cs="Arial"/>
          <w:sz w:val="20"/>
          <w:szCs w:val="20"/>
        </w:rPr>
        <w:t>maintenance actions</w:t>
      </w:r>
      <w:r w:rsidRPr="005F6C4D">
        <w:rPr>
          <w:rFonts w:ascii="Arial" w:hAnsi="Arial" w:cs="Arial"/>
          <w:spacing w:val="-3"/>
          <w:sz w:val="20"/>
          <w:szCs w:val="20"/>
        </w:rPr>
        <w:t xml:space="preserve"> </w:t>
      </w:r>
      <w:r w:rsidRPr="005F6C4D">
        <w:rPr>
          <w:rFonts w:ascii="Arial" w:hAnsi="Arial" w:cs="Arial"/>
          <w:sz w:val="20"/>
          <w:szCs w:val="20"/>
        </w:rPr>
        <w:t>finalised and</w:t>
      </w:r>
      <w:r w:rsidRPr="005F6C4D">
        <w:rPr>
          <w:rFonts w:ascii="Arial" w:hAnsi="Arial" w:cs="Arial"/>
          <w:spacing w:val="-3"/>
          <w:sz w:val="20"/>
          <w:szCs w:val="20"/>
        </w:rPr>
        <w:t xml:space="preserve"> </w:t>
      </w:r>
      <w:r w:rsidRPr="005F6C4D">
        <w:rPr>
          <w:rFonts w:ascii="Arial" w:hAnsi="Arial" w:cs="Arial"/>
          <w:sz w:val="20"/>
          <w:szCs w:val="20"/>
        </w:rPr>
        <w:t>a</w:t>
      </w:r>
      <w:r w:rsidRPr="005F6C4D">
        <w:rPr>
          <w:rFonts w:ascii="Arial" w:hAnsi="Arial" w:cs="Arial"/>
          <w:spacing w:val="-1"/>
          <w:sz w:val="20"/>
          <w:szCs w:val="20"/>
        </w:rPr>
        <w:t xml:space="preserve"> </w:t>
      </w:r>
      <w:r w:rsidRPr="005F6C4D">
        <w:rPr>
          <w:rFonts w:ascii="Arial" w:hAnsi="Arial" w:cs="Arial"/>
          <w:sz w:val="20"/>
          <w:szCs w:val="20"/>
        </w:rPr>
        <w:t>certificate</w:t>
      </w:r>
      <w:r w:rsidRPr="005F6C4D">
        <w:rPr>
          <w:rFonts w:ascii="Arial" w:hAnsi="Arial" w:cs="Arial"/>
          <w:spacing w:val="-2"/>
          <w:sz w:val="20"/>
          <w:szCs w:val="20"/>
        </w:rPr>
        <w:t xml:space="preserve"> </w:t>
      </w:r>
      <w:r w:rsidRPr="005F6C4D">
        <w:rPr>
          <w:rFonts w:ascii="Arial" w:hAnsi="Arial" w:cs="Arial"/>
          <w:sz w:val="20"/>
          <w:szCs w:val="20"/>
        </w:rPr>
        <w:t>of</w:t>
      </w:r>
      <w:r w:rsidRPr="005F6C4D">
        <w:rPr>
          <w:rFonts w:ascii="Arial" w:hAnsi="Arial" w:cs="Arial"/>
          <w:spacing w:val="-1"/>
          <w:sz w:val="20"/>
          <w:szCs w:val="20"/>
        </w:rPr>
        <w:t xml:space="preserve"> </w:t>
      </w:r>
      <w:r w:rsidRPr="005F6C4D">
        <w:rPr>
          <w:rFonts w:ascii="Arial" w:hAnsi="Arial" w:cs="Arial"/>
          <w:sz w:val="20"/>
          <w:szCs w:val="20"/>
        </w:rPr>
        <w:t>release to</w:t>
      </w:r>
      <w:r w:rsidRPr="005F6C4D">
        <w:rPr>
          <w:rFonts w:ascii="Arial" w:hAnsi="Arial" w:cs="Arial"/>
          <w:spacing w:val="1"/>
          <w:sz w:val="20"/>
          <w:szCs w:val="20"/>
        </w:rPr>
        <w:t xml:space="preserve"> </w:t>
      </w:r>
      <w:r w:rsidRPr="005F6C4D">
        <w:rPr>
          <w:rFonts w:ascii="Arial" w:hAnsi="Arial" w:cs="Arial"/>
          <w:sz w:val="20"/>
          <w:szCs w:val="20"/>
        </w:rPr>
        <w:t>service (CRS)</w:t>
      </w:r>
      <w:r w:rsidRPr="005F6C4D">
        <w:rPr>
          <w:rFonts w:ascii="Arial" w:hAnsi="Arial" w:cs="Arial"/>
          <w:spacing w:val="-1"/>
          <w:sz w:val="20"/>
          <w:szCs w:val="20"/>
        </w:rPr>
        <w:t xml:space="preserve"> </w:t>
      </w:r>
      <w:r w:rsidRPr="005F6C4D">
        <w:rPr>
          <w:rFonts w:ascii="Arial" w:hAnsi="Arial" w:cs="Arial"/>
          <w:sz w:val="20"/>
          <w:szCs w:val="20"/>
        </w:rPr>
        <w:t>issued.</w:t>
      </w:r>
    </w:p>
    <w:p w14:paraId="5774BE15" w14:textId="77777777" w:rsidR="00A021F2" w:rsidRPr="005F6C4D" w:rsidRDefault="00A021F2" w:rsidP="005F6C4D">
      <w:pPr>
        <w:pStyle w:val="ListParagraph"/>
        <w:numPr>
          <w:ilvl w:val="1"/>
          <w:numId w:val="289"/>
        </w:numPr>
        <w:tabs>
          <w:tab w:val="left" w:pos="1274"/>
        </w:tabs>
        <w:ind w:right="194"/>
        <w:jc w:val="both"/>
        <w:rPr>
          <w:rFonts w:ascii="Arial" w:hAnsi="Arial" w:cs="Arial"/>
          <w:sz w:val="20"/>
          <w:szCs w:val="20"/>
        </w:rPr>
      </w:pPr>
      <w:r w:rsidRPr="005F6C4D">
        <w:rPr>
          <w:rFonts w:ascii="Arial" w:hAnsi="Arial" w:cs="Arial"/>
          <w:sz w:val="20"/>
          <w:szCs w:val="20"/>
        </w:rPr>
        <w:t>Based on its own experience and for reliability considerations and/or quality assurance,</w:t>
      </w:r>
      <w:r w:rsidRPr="005F6C4D">
        <w:rPr>
          <w:rFonts w:ascii="Arial" w:hAnsi="Arial" w:cs="Arial"/>
          <w:spacing w:val="1"/>
          <w:sz w:val="20"/>
          <w:szCs w:val="20"/>
        </w:rPr>
        <w:t xml:space="preserve"> </w:t>
      </w:r>
      <w:r w:rsidRPr="005F6C4D">
        <w:rPr>
          <w:rFonts w:ascii="Arial" w:hAnsi="Arial" w:cs="Arial"/>
          <w:sz w:val="20"/>
          <w:szCs w:val="20"/>
        </w:rPr>
        <w:t>an operator, owner, CAO or CAMO may wish to perform an MCF after the aircraft has</w:t>
      </w:r>
      <w:r w:rsidRPr="005F6C4D">
        <w:rPr>
          <w:rFonts w:ascii="Arial" w:hAnsi="Arial" w:cs="Arial"/>
          <w:spacing w:val="1"/>
          <w:sz w:val="20"/>
          <w:szCs w:val="20"/>
        </w:rPr>
        <w:t xml:space="preserve"> </w:t>
      </w:r>
      <w:r w:rsidRPr="005F6C4D">
        <w:rPr>
          <w:rFonts w:ascii="Arial" w:hAnsi="Arial" w:cs="Arial"/>
          <w:sz w:val="20"/>
          <w:szCs w:val="20"/>
        </w:rPr>
        <w:t>undergone certain maintenance while maintenance data does not call for such a flight.</w:t>
      </w:r>
      <w:r w:rsidRPr="005F6C4D">
        <w:rPr>
          <w:rFonts w:ascii="Arial" w:hAnsi="Arial" w:cs="Arial"/>
          <w:spacing w:val="1"/>
          <w:sz w:val="20"/>
          <w:szCs w:val="20"/>
        </w:rPr>
        <w:t xml:space="preserve"> </w:t>
      </w:r>
      <w:r w:rsidRPr="005F6C4D">
        <w:rPr>
          <w:rFonts w:ascii="Arial" w:hAnsi="Arial" w:cs="Arial"/>
          <w:sz w:val="20"/>
          <w:szCs w:val="20"/>
        </w:rPr>
        <w:t>Therefore, after the maintenance has been properly carried out, a CRS is issued and the</w:t>
      </w:r>
      <w:r w:rsidRPr="005F6C4D">
        <w:rPr>
          <w:rFonts w:ascii="Arial" w:hAnsi="Arial" w:cs="Arial"/>
          <w:spacing w:val="1"/>
          <w:sz w:val="20"/>
          <w:szCs w:val="20"/>
        </w:rPr>
        <w:t xml:space="preserve"> </w:t>
      </w:r>
      <w:r w:rsidRPr="005F6C4D">
        <w:rPr>
          <w:rFonts w:ascii="Arial" w:hAnsi="Arial" w:cs="Arial"/>
          <w:sz w:val="20"/>
          <w:szCs w:val="20"/>
        </w:rPr>
        <w:t>aircraft</w:t>
      </w:r>
      <w:r w:rsidRPr="005F6C4D">
        <w:rPr>
          <w:rFonts w:ascii="Arial" w:hAnsi="Arial" w:cs="Arial"/>
          <w:spacing w:val="-1"/>
          <w:sz w:val="20"/>
          <w:szCs w:val="20"/>
        </w:rPr>
        <w:t xml:space="preserve"> </w:t>
      </w:r>
      <w:r w:rsidRPr="005F6C4D">
        <w:rPr>
          <w:rFonts w:ascii="Arial" w:hAnsi="Arial" w:cs="Arial"/>
          <w:sz w:val="20"/>
          <w:szCs w:val="20"/>
        </w:rPr>
        <w:t>airworthiness</w:t>
      </w:r>
      <w:r w:rsidRPr="005F6C4D">
        <w:rPr>
          <w:rFonts w:ascii="Arial" w:hAnsi="Arial" w:cs="Arial"/>
          <w:spacing w:val="1"/>
          <w:sz w:val="20"/>
          <w:szCs w:val="20"/>
        </w:rPr>
        <w:t xml:space="preserve"> </w:t>
      </w:r>
      <w:r w:rsidRPr="005F6C4D">
        <w:rPr>
          <w:rFonts w:ascii="Arial" w:hAnsi="Arial" w:cs="Arial"/>
          <w:sz w:val="20"/>
          <w:szCs w:val="20"/>
        </w:rPr>
        <w:t>certificate</w:t>
      </w:r>
      <w:r w:rsidRPr="005F6C4D">
        <w:rPr>
          <w:rFonts w:ascii="Arial" w:hAnsi="Arial" w:cs="Arial"/>
          <w:spacing w:val="1"/>
          <w:sz w:val="20"/>
          <w:szCs w:val="20"/>
        </w:rPr>
        <w:t xml:space="preserve"> </w:t>
      </w:r>
      <w:r w:rsidRPr="005F6C4D">
        <w:rPr>
          <w:rFonts w:ascii="Arial" w:hAnsi="Arial" w:cs="Arial"/>
          <w:sz w:val="20"/>
          <w:szCs w:val="20"/>
        </w:rPr>
        <w:t>remains valid</w:t>
      </w:r>
      <w:r w:rsidRPr="005F6C4D">
        <w:rPr>
          <w:rFonts w:ascii="Arial" w:hAnsi="Arial" w:cs="Arial"/>
          <w:spacing w:val="-1"/>
          <w:sz w:val="20"/>
          <w:szCs w:val="20"/>
        </w:rPr>
        <w:t xml:space="preserve"> </w:t>
      </w:r>
      <w:r w:rsidRPr="005F6C4D">
        <w:rPr>
          <w:rFonts w:ascii="Arial" w:hAnsi="Arial" w:cs="Arial"/>
          <w:sz w:val="20"/>
          <w:szCs w:val="20"/>
        </w:rPr>
        <w:t>for</w:t>
      </w:r>
      <w:r w:rsidRPr="005F6C4D">
        <w:rPr>
          <w:rFonts w:ascii="Arial" w:hAnsi="Arial" w:cs="Arial"/>
          <w:spacing w:val="-2"/>
          <w:sz w:val="20"/>
          <w:szCs w:val="20"/>
        </w:rPr>
        <w:t xml:space="preserve"> </w:t>
      </w:r>
      <w:r w:rsidRPr="005F6C4D">
        <w:rPr>
          <w:rFonts w:ascii="Arial" w:hAnsi="Arial" w:cs="Arial"/>
          <w:sz w:val="20"/>
          <w:szCs w:val="20"/>
        </w:rPr>
        <w:t>this</w:t>
      </w:r>
      <w:r w:rsidRPr="005F6C4D">
        <w:rPr>
          <w:rFonts w:ascii="Arial" w:hAnsi="Arial" w:cs="Arial"/>
          <w:spacing w:val="-3"/>
          <w:sz w:val="20"/>
          <w:szCs w:val="20"/>
        </w:rPr>
        <w:t xml:space="preserve"> </w:t>
      </w:r>
      <w:r w:rsidRPr="005F6C4D">
        <w:rPr>
          <w:rFonts w:ascii="Arial" w:hAnsi="Arial" w:cs="Arial"/>
          <w:sz w:val="20"/>
          <w:szCs w:val="20"/>
        </w:rPr>
        <w:t>flight.</w:t>
      </w:r>
    </w:p>
    <w:p w14:paraId="34AD08C4" w14:textId="77777777" w:rsidR="00A021F2" w:rsidRPr="005F6C4D" w:rsidRDefault="00A021F2" w:rsidP="005F6C4D">
      <w:pPr>
        <w:pStyle w:val="ListParagraph"/>
        <w:numPr>
          <w:ilvl w:val="1"/>
          <w:numId w:val="289"/>
        </w:numPr>
        <w:tabs>
          <w:tab w:val="left" w:pos="1274"/>
        </w:tabs>
        <w:ind w:right="196"/>
        <w:jc w:val="both"/>
        <w:rPr>
          <w:rFonts w:ascii="Arial" w:hAnsi="Arial" w:cs="Arial"/>
          <w:sz w:val="20"/>
          <w:szCs w:val="20"/>
        </w:rPr>
      </w:pPr>
      <w:r w:rsidRPr="005F6C4D">
        <w:rPr>
          <w:rFonts w:ascii="Arial" w:hAnsi="Arial" w:cs="Arial"/>
          <w:spacing w:val="-1"/>
          <w:sz w:val="20"/>
          <w:szCs w:val="20"/>
        </w:rPr>
        <w:t>After</w:t>
      </w:r>
      <w:r w:rsidRPr="005F6C4D">
        <w:rPr>
          <w:rFonts w:ascii="Arial" w:hAnsi="Arial" w:cs="Arial"/>
          <w:spacing w:val="-9"/>
          <w:sz w:val="20"/>
          <w:szCs w:val="20"/>
        </w:rPr>
        <w:t xml:space="preserve"> </w:t>
      </w:r>
      <w:r w:rsidRPr="005F6C4D">
        <w:rPr>
          <w:rFonts w:ascii="Arial" w:hAnsi="Arial" w:cs="Arial"/>
          <w:spacing w:val="-1"/>
          <w:sz w:val="20"/>
          <w:szCs w:val="20"/>
        </w:rPr>
        <w:t>troubleshooting</w:t>
      </w:r>
      <w:r w:rsidRPr="005F6C4D">
        <w:rPr>
          <w:rFonts w:ascii="Arial" w:hAnsi="Arial" w:cs="Arial"/>
          <w:spacing w:val="-9"/>
          <w:sz w:val="20"/>
          <w:szCs w:val="20"/>
        </w:rPr>
        <w:t xml:space="preserve"> </w:t>
      </w:r>
      <w:r w:rsidRPr="005F6C4D">
        <w:rPr>
          <w:rFonts w:ascii="Arial" w:hAnsi="Arial" w:cs="Arial"/>
          <w:sz w:val="20"/>
          <w:szCs w:val="20"/>
        </w:rPr>
        <w:t>of</w:t>
      </w:r>
      <w:r w:rsidRPr="005F6C4D">
        <w:rPr>
          <w:rFonts w:ascii="Arial" w:hAnsi="Arial" w:cs="Arial"/>
          <w:spacing w:val="-11"/>
          <w:sz w:val="20"/>
          <w:szCs w:val="20"/>
        </w:rPr>
        <w:t xml:space="preserve"> </w:t>
      </w:r>
      <w:r w:rsidRPr="005F6C4D">
        <w:rPr>
          <w:rFonts w:ascii="Arial" w:hAnsi="Arial" w:cs="Arial"/>
          <w:sz w:val="20"/>
          <w:szCs w:val="20"/>
        </w:rPr>
        <w:t>a</w:t>
      </w:r>
      <w:r w:rsidRPr="005F6C4D">
        <w:rPr>
          <w:rFonts w:ascii="Arial" w:hAnsi="Arial" w:cs="Arial"/>
          <w:spacing w:val="-10"/>
          <w:sz w:val="20"/>
          <w:szCs w:val="20"/>
        </w:rPr>
        <w:t xml:space="preserve"> </w:t>
      </w:r>
      <w:r w:rsidRPr="005F6C4D">
        <w:rPr>
          <w:rFonts w:ascii="Arial" w:hAnsi="Arial" w:cs="Arial"/>
          <w:sz w:val="20"/>
          <w:szCs w:val="20"/>
        </w:rPr>
        <w:t>system</w:t>
      </w:r>
      <w:r w:rsidRPr="005F6C4D">
        <w:rPr>
          <w:rFonts w:ascii="Arial" w:hAnsi="Arial" w:cs="Arial"/>
          <w:spacing w:val="-10"/>
          <w:sz w:val="20"/>
          <w:szCs w:val="20"/>
        </w:rPr>
        <w:t xml:space="preserve"> </w:t>
      </w:r>
      <w:r w:rsidRPr="005F6C4D">
        <w:rPr>
          <w:rFonts w:ascii="Arial" w:hAnsi="Arial" w:cs="Arial"/>
          <w:sz w:val="20"/>
          <w:szCs w:val="20"/>
        </w:rPr>
        <w:t>on</w:t>
      </w:r>
      <w:r w:rsidRPr="005F6C4D">
        <w:rPr>
          <w:rFonts w:ascii="Arial" w:hAnsi="Arial" w:cs="Arial"/>
          <w:spacing w:val="-12"/>
          <w:sz w:val="20"/>
          <w:szCs w:val="20"/>
        </w:rPr>
        <w:t xml:space="preserve"> </w:t>
      </w:r>
      <w:r w:rsidRPr="005F6C4D">
        <w:rPr>
          <w:rFonts w:ascii="Arial" w:hAnsi="Arial" w:cs="Arial"/>
          <w:sz w:val="20"/>
          <w:szCs w:val="20"/>
        </w:rPr>
        <w:t>the</w:t>
      </w:r>
      <w:r w:rsidRPr="005F6C4D">
        <w:rPr>
          <w:rFonts w:ascii="Arial" w:hAnsi="Arial" w:cs="Arial"/>
          <w:spacing w:val="-8"/>
          <w:sz w:val="20"/>
          <w:szCs w:val="20"/>
        </w:rPr>
        <w:t xml:space="preserve"> </w:t>
      </w:r>
      <w:r w:rsidRPr="005F6C4D">
        <w:rPr>
          <w:rFonts w:ascii="Arial" w:hAnsi="Arial" w:cs="Arial"/>
          <w:sz w:val="20"/>
          <w:szCs w:val="20"/>
        </w:rPr>
        <w:t>ground,</w:t>
      </w:r>
      <w:r w:rsidRPr="005F6C4D">
        <w:rPr>
          <w:rFonts w:ascii="Arial" w:hAnsi="Arial" w:cs="Arial"/>
          <w:spacing w:val="-9"/>
          <w:sz w:val="20"/>
          <w:szCs w:val="20"/>
        </w:rPr>
        <w:t xml:space="preserve"> </w:t>
      </w:r>
      <w:r w:rsidRPr="005F6C4D">
        <w:rPr>
          <w:rFonts w:ascii="Arial" w:hAnsi="Arial" w:cs="Arial"/>
          <w:sz w:val="20"/>
          <w:szCs w:val="20"/>
        </w:rPr>
        <w:t>an</w:t>
      </w:r>
      <w:r w:rsidRPr="005F6C4D">
        <w:rPr>
          <w:rFonts w:ascii="Arial" w:hAnsi="Arial" w:cs="Arial"/>
          <w:spacing w:val="-12"/>
          <w:sz w:val="20"/>
          <w:szCs w:val="20"/>
        </w:rPr>
        <w:t xml:space="preserve"> </w:t>
      </w:r>
      <w:r w:rsidRPr="005F6C4D">
        <w:rPr>
          <w:rFonts w:ascii="Arial" w:hAnsi="Arial" w:cs="Arial"/>
          <w:sz w:val="20"/>
          <w:szCs w:val="20"/>
        </w:rPr>
        <w:t>MCF</w:t>
      </w:r>
      <w:r w:rsidRPr="005F6C4D">
        <w:rPr>
          <w:rFonts w:ascii="Arial" w:hAnsi="Arial" w:cs="Arial"/>
          <w:spacing w:val="-9"/>
          <w:sz w:val="20"/>
          <w:szCs w:val="20"/>
        </w:rPr>
        <w:t xml:space="preserve"> </w:t>
      </w:r>
      <w:r w:rsidRPr="005F6C4D">
        <w:rPr>
          <w:rFonts w:ascii="Arial" w:hAnsi="Arial" w:cs="Arial"/>
          <w:sz w:val="20"/>
          <w:szCs w:val="20"/>
        </w:rPr>
        <w:t>is</w:t>
      </w:r>
      <w:r w:rsidRPr="005F6C4D">
        <w:rPr>
          <w:rFonts w:ascii="Arial" w:hAnsi="Arial" w:cs="Arial"/>
          <w:spacing w:val="-9"/>
          <w:sz w:val="20"/>
          <w:szCs w:val="20"/>
        </w:rPr>
        <w:t xml:space="preserve"> </w:t>
      </w:r>
      <w:r w:rsidRPr="005F6C4D">
        <w:rPr>
          <w:rFonts w:ascii="Arial" w:hAnsi="Arial" w:cs="Arial"/>
          <w:sz w:val="20"/>
          <w:szCs w:val="20"/>
        </w:rPr>
        <w:t>proposed</w:t>
      </w:r>
      <w:r w:rsidRPr="005F6C4D">
        <w:rPr>
          <w:rFonts w:ascii="Arial" w:hAnsi="Arial" w:cs="Arial"/>
          <w:spacing w:val="-12"/>
          <w:sz w:val="20"/>
          <w:szCs w:val="20"/>
        </w:rPr>
        <w:t xml:space="preserve"> </w:t>
      </w:r>
      <w:r w:rsidRPr="005F6C4D">
        <w:rPr>
          <w:rFonts w:ascii="Arial" w:hAnsi="Arial" w:cs="Arial"/>
          <w:sz w:val="20"/>
          <w:szCs w:val="20"/>
        </w:rPr>
        <w:t>by</w:t>
      </w:r>
      <w:r w:rsidRPr="005F6C4D">
        <w:rPr>
          <w:rFonts w:ascii="Arial" w:hAnsi="Arial" w:cs="Arial"/>
          <w:spacing w:val="-10"/>
          <w:sz w:val="20"/>
          <w:szCs w:val="20"/>
        </w:rPr>
        <w:t xml:space="preserve"> </w:t>
      </w:r>
      <w:r w:rsidRPr="005F6C4D">
        <w:rPr>
          <w:rFonts w:ascii="Arial" w:hAnsi="Arial" w:cs="Arial"/>
          <w:sz w:val="20"/>
          <w:szCs w:val="20"/>
        </w:rPr>
        <w:t>the</w:t>
      </w:r>
      <w:r w:rsidRPr="005F6C4D">
        <w:rPr>
          <w:rFonts w:ascii="Arial" w:hAnsi="Arial" w:cs="Arial"/>
          <w:spacing w:val="-11"/>
          <w:sz w:val="20"/>
          <w:szCs w:val="20"/>
        </w:rPr>
        <w:t xml:space="preserve"> </w:t>
      </w:r>
      <w:r w:rsidRPr="005F6C4D">
        <w:rPr>
          <w:rFonts w:ascii="Arial" w:hAnsi="Arial" w:cs="Arial"/>
          <w:sz w:val="20"/>
          <w:szCs w:val="20"/>
        </w:rPr>
        <w:t>maintenance</w:t>
      </w:r>
      <w:r w:rsidRPr="005F6C4D">
        <w:rPr>
          <w:rFonts w:ascii="Arial" w:hAnsi="Arial" w:cs="Arial"/>
          <w:spacing w:val="-48"/>
          <w:sz w:val="20"/>
          <w:szCs w:val="20"/>
        </w:rPr>
        <w:t xml:space="preserve"> </w:t>
      </w:r>
      <w:r w:rsidRPr="005F6C4D">
        <w:rPr>
          <w:rFonts w:ascii="Arial" w:hAnsi="Arial" w:cs="Arial"/>
          <w:sz w:val="20"/>
          <w:szCs w:val="20"/>
        </w:rPr>
        <w:t>personnel or organisation as confirmation that the solution applied has restored the</w:t>
      </w:r>
      <w:r w:rsidRPr="005F6C4D">
        <w:rPr>
          <w:rFonts w:ascii="Arial" w:hAnsi="Arial" w:cs="Arial"/>
          <w:spacing w:val="1"/>
          <w:sz w:val="20"/>
          <w:szCs w:val="20"/>
        </w:rPr>
        <w:t xml:space="preserve"> </w:t>
      </w:r>
      <w:r w:rsidRPr="005F6C4D">
        <w:rPr>
          <w:rFonts w:ascii="Arial" w:hAnsi="Arial" w:cs="Arial"/>
          <w:sz w:val="20"/>
          <w:szCs w:val="20"/>
        </w:rPr>
        <w:t>normal</w:t>
      </w:r>
      <w:r w:rsidRPr="005F6C4D">
        <w:rPr>
          <w:rFonts w:ascii="Arial" w:hAnsi="Arial" w:cs="Arial"/>
          <w:spacing w:val="1"/>
          <w:sz w:val="20"/>
          <w:szCs w:val="20"/>
        </w:rPr>
        <w:t xml:space="preserve"> </w:t>
      </w:r>
      <w:r w:rsidRPr="005F6C4D">
        <w:rPr>
          <w:rFonts w:ascii="Arial" w:hAnsi="Arial" w:cs="Arial"/>
          <w:sz w:val="20"/>
          <w:szCs w:val="20"/>
        </w:rPr>
        <w:t>system</w:t>
      </w:r>
      <w:r w:rsidRPr="005F6C4D">
        <w:rPr>
          <w:rFonts w:ascii="Arial" w:hAnsi="Arial" w:cs="Arial"/>
          <w:spacing w:val="1"/>
          <w:sz w:val="20"/>
          <w:szCs w:val="20"/>
        </w:rPr>
        <w:t xml:space="preserve"> </w:t>
      </w:r>
      <w:r w:rsidRPr="005F6C4D">
        <w:rPr>
          <w:rFonts w:ascii="Arial" w:hAnsi="Arial" w:cs="Arial"/>
          <w:sz w:val="20"/>
          <w:szCs w:val="20"/>
        </w:rPr>
        <w:t>operation.</w:t>
      </w:r>
      <w:r w:rsidRPr="005F6C4D">
        <w:rPr>
          <w:rFonts w:ascii="Arial" w:hAnsi="Arial" w:cs="Arial"/>
          <w:spacing w:val="1"/>
          <w:sz w:val="20"/>
          <w:szCs w:val="20"/>
        </w:rPr>
        <w:t xml:space="preserve"> </w:t>
      </w:r>
      <w:r w:rsidRPr="005F6C4D">
        <w:rPr>
          <w:rFonts w:ascii="Arial" w:hAnsi="Arial" w:cs="Arial"/>
          <w:sz w:val="20"/>
          <w:szCs w:val="20"/>
        </w:rPr>
        <w:t>During</w:t>
      </w:r>
      <w:r w:rsidRPr="005F6C4D">
        <w:rPr>
          <w:rFonts w:ascii="Arial" w:hAnsi="Arial" w:cs="Arial"/>
          <w:spacing w:val="1"/>
          <w:sz w:val="20"/>
          <w:szCs w:val="20"/>
        </w:rPr>
        <w:t xml:space="preserve"> </w:t>
      </w:r>
      <w:r w:rsidRPr="005F6C4D">
        <w:rPr>
          <w:rFonts w:ascii="Arial" w:hAnsi="Arial" w:cs="Arial"/>
          <w:sz w:val="20"/>
          <w:szCs w:val="20"/>
        </w:rPr>
        <w:t>the</w:t>
      </w:r>
      <w:r w:rsidRPr="005F6C4D">
        <w:rPr>
          <w:rFonts w:ascii="Arial" w:hAnsi="Arial" w:cs="Arial"/>
          <w:spacing w:val="1"/>
          <w:sz w:val="20"/>
          <w:szCs w:val="20"/>
        </w:rPr>
        <w:t xml:space="preserve"> </w:t>
      </w:r>
      <w:r w:rsidRPr="005F6C4D">
        <w:rPr>
          <w:rFonts w:ascii="Arial" w:hAnsi="Arial" w:cs="Arial"/>
          <w:sz w:val="20"/>
          <w:szCs w:val="20"/>
        </w:rPr>
        <w:t>maintenance</w:t>
      </w:r>
      <w:r w:rsidRPr="005F6C4D">
        <w:rPr>
          <w:rFonts w:ascii="Arial" w:hAnsi="Arial" w:cs="Arial"/>
          <w:spacing w:val="1"/>
          <w:sz w:val="20"/>
          <w:szCs w:val="20"/>
        </w:rPr>
        <w:t xml:space="preserve"> </w:t>
      </w:r>
      <w:r w:rsidRPr="005F6C4D">
        <w:rPr>
          <w:rFonts w:ascii="Arial" w:hAnsi="Arial" w:cs="Arial"/>
          <w:sz w:val="20"/>
          <w:szCs w:val="20"/>
        </w:rPr>
        <w:t>performed,</w:t>
      </w:r>
      <w:r w:rsidRPr="005F6C4D">
        <w:rPr>
          <w:rFonts w:ascii="Arial" w:hAnsi="Arial" w:cs="Arial"/>
          <w:spacing w:val="1"/>
          <w:sz w:val="20"/>
          <w:szCs w:val="20"/>
        </w:rPr>
        <w:t xml:space="preserve"> </w:t>
      </w:r>
      <w:r w:rsidRPr="005F6C4D">
        <w:rPr>
          <w:rFonts w:ascii="Arial" w:hAnsi="Arial" w:cs="Arial"/>
          <w:sz w:val="20"/>
          <w:szCs w:val="20"/>
        </w:rPr>
        <w:t>the</w:t>
      </w:r>
      <w:r w:rsidRPr="005F6C4D">
        <w:rPr>
          <w:rFonts w:ascii="Arial" w:hAnsi="Arial" w:cs="Arial"/>
          <w:spacing w:val="1"/>
          <w:sz w:val="20"/>
          <w:szCs w:val="20"/>
        </w:rPr>
        <w:t xml:space="preserve"> </w:t>
      </w:r>
      <w:r w:rsidRPr="005F6C4D">
        <w:rPr>
          <w:rFonts w:ascii="Arial" w:hAnsi="Arial" w:cs="Arial"/>
          <w:sz w:val="20"/>
          <w:szCs w:val="20"/>
        </w:rPr>
        <w:t>maintenance</w:t>
      </w:r>
      <w:r w:rsidRPr="005F6C4D">
        <w:rPr>
          <w:rFonts w:ascii="Arial" w:hAnsi="Arial" w:cs="Arial"/>
          <w:spacing w:val="1"/>
          <w:sz w:val="20"/>
          <w:szCs w:val="20"/>
        </w:rPr>
        <w:t xml:space="preserve"> </w:t>
      </w:r>
      <w:r w:rsidRPr="005F6C4D">
        <w:rPr>
          <w:rFonts w:ascii="Arial" w:hAnsi="Arial" w:cs="Arial"/>
          <w:sz w:val="20"/>
          <w:szCs w:val="20"/>
        </w:rPr>
        <w:t>instructions</w:t>
      </w:r>
      <w:r w:rsidRPr="005F6C4D">
        <w:rPr>
          <w:rFonts w:ascii="Arial" w:hAnsi="Arial" w:cs="Arial"/>
          <w:spacing w:val="-7"/>
          <w:sz w:val="20"/>
          <w:szCs w:val="20"/>
        </w:rPr>
        <w:t xml:space="preserve"> </w:t>
      </w:r>
      <w:r w:rsidRPr="005F6C4D">
        <w:rPr>
          <w:rFonts w:ascii="Arial" w:hAnsi="Arial" w:cs="Arial"/>
          <w:sz w:val="20"/>
          <w:szCs w:val="20"/>
        </w:rPr>
        <w:t>are</w:t>
      </w:r>
      <w:r w:rsidRPr="005F6C4D">
        <w:rPr>
          <w:rFonts w:ascii="Arial" w:hAnsi="Arial" w:cs="Arial"/>
          <w:spacing w:val="-3"/>
          <w:sz w:val="20"/>
          <w:szCs w:val="20"/>
        </w:rPr>
        <w:t xml:space="preserve"> </w:t>
      </w:r>
      <w:r w:rsidRPr="005F6C4D">
        <w:rPr>
          <w:rFonts w:ascii="Arial" w:hAnsi="Arial" w:cs="Arial"/>
          <w:sz w:val="20"/>
          <w:szCs w:val="20"/>
        </w:rPr>
        <w:t>followed</w:t>
      </w:r>
      <w:r w:rsidRPr="005F6C4D">
        <w:rPr>
          <w:rFonts w:ascii="Arial" w:hAnsi="Arial" w:cs="Arial"/>
          <w:spacing w:val="-4"/>
          <w:sz w:val="20"/>
          <w:szCs w:val="20"/>
        </w:rPr>
        <w:t xml:space="preserve"> </w:t>
      </w:r>
      <w:r w:rsidRPr="005F6C4D">
        <w:rPr>
          <w:rFonts w:ascii="Arial" w:hAnsi="Arial" w:cs="Arial"/>
          <w:sz w:val="20"/>
          <w:szCs w:val="20"/>
        </w:rPr>
        <w:t>for</w:t>
      </w:r>
      <w:r w:rsidRPr="005F6C4D">
        <w:rPr>
          <w:rFonts w:ascii="Arial" w:hAnsi="Arial" w:cs="Arial"/>
          <w:spacing w:val="-3"/>
          <w:sz w:val="20"/>
          <w:szCs w:val="20"/>
        </w:rPr>
        <w:t xml:space="preserve"> </w:t>
      </w:r>
      <w:r w:rsidRPr="005F6C4D">
        <w:rPr>
          <w:rFonts w:ascii="Arial" w:hAnsi="Arial" w:cs="Arial"/>
          <w:sz w:val="20"/>
          <w:szCs w:val="20"/>
        </w:rPr>
        <w:t>the</w:t>
      </w:r>
      <w:r w:rsidRPr="005F6C4D">
        <w:rPr>
          <w:rFonts w:ascii="Arial" w:hAnsi="Arial" w:cs="Arial"/>
          <w:spacing w:val="-3"/>
          <w:sz w:val="20"/>
          <w:szCs w:val="20"/>
        </w:rPr>
        <w:t xml:space="preserve"> </w:t>
      </w:r>
      <w:r w:rsidRPr="005F6C4D">
        <w:rPr>
          <w:rFonts w:ascii="Arial" w:hAnsi="Arial" w:cs="Arial"/>
          <w:sz w:val="20"/>
          <w:szCs w:val="20"/>
        </w:rPr>
        <w:t>complete</w:t>
      </w:r>
      <w:r w:rsidRPr="005F6C4D">
        <w:rPr>
          <w:rFonts w:ascii="Arial" w:hAnsi="Arial" w:cs="Arial"/>
          <w:spacing w:val="-3"/>
          <w:sz w:val="20"/>
          <w:szCs w:val="20"/>
        </w:rPr>
        <w:t xml:space="preserve"> </w:t>
      </w:r>
      <w:r w:rsidRPr="005F6C4D">
        <w:rPr>
          <w:rFonts w:ascii="Arial" w:hAnsi="Arial" w:cs="Arial"/>
          <w:sz w:val="20"/>
          <w:szCs w:val="20"/>
        </w:rPr>
        <w:t>restoration</w:t>
      </w:r>
      <w:r w:rsidRPr="005F6C4D">
        <w:rPr>
          <w:rFonts w:ascii="Arial" w:hAnsi="Arial" w:cs="Arial"/>
          <w:spacing w:val="-6"/>
          <w:sz w:val="20"/>
          <w:szCs w:val="20"/>
        </w:rPr>
        <w:t xml:space="preserve"> </w:t>
      </w:r>
      <w:r w:rsidRPr="005F6C4D">
        <w:rPr>
          <w:rFonts w:ascii="Arial" w:hAnsi="Arial" w:cs="Arial"/>
          <w:sz w:val="20"/>
          <w:szCs w:val="20"/>
        </w:rPr>
        <w:t>of</w:t>
      </w:r>
      <w:r w:rsidRPr="005F6C4D">
        <w:rPr>
          <w:rFonts w:ascii="Arial" w:hAnsi="Arial" w:cs="Arial"/>
          <w:spacing w:val="-3"/>
          <w:sz w:val="20"/>
          <w:szCs w:val="20"/>
        </w:rPr>
        <w:t xml:space="preserve"> </w:t>
      </w:r>
      <w:r w:rsidRPr="005F6C4D">
        <w:rPr>
          <w:rFonts w:ascii="Arial" w:hAnsi="Arial" w:cs="Arial"/>
          <w:sz w:val="20"/>
          <w:szCs w:val="20"/>
        </w:rPr>
        <w:t>the</w:t>
      </w:r>
      <w:r w:rsidRPr="005F6C4D">
        <w:rPr>
          <w:rFonts w:ascii="Arial" w:hAnsi="Arial" w:cs="Arial"/>
          <w:spacing w:val="-6"/>
          <w:sz w:val="20"/>
          <w:szCs w:val="20"/>
        </w:rPr>
        <w:t xml:space="preserve"> </w:t>
      </w:r>
      <w:r w:rsidRPr="005F6C4D">
        <w:rPr>
          <w:rFonts w:ascii="Arial" w:hAnsi="Arial" w:cs="Arial"/>
          <w:sz w:val="20"/>
          <w:szCs w:val="20"/>
        </w:rPr>
        <w:t>system</w:t>
      </w:r>
      <w:r w:rsidRPr="005F6C4D">
        <w:rPr>
          <w:rFonts w:ascii="Arial" w:hAnsi="Arial" w:cs="Arial"/>
          <w:spacing w:val="-2"/>
          <w:sz w:val="20"/>
          <w:szCs w:val="20"/>
        </w:rPr>
        <w:t xml:space="preserve"> </w:t>
      </w:r>
      <w:r w:rsidRPr="005F6C4D">
        <w:rPr>
          <w:rFonts w:ascii="Arial" w:hAnsi="Arial" w:cs="Arial"/>
          <w:sz w:val="20"/>
          <w:szCs w:val="20"/>
        </w:rPr>
        <w:t>and</w:t>
      </w:r>
      <w:r w:rsidRPr="005F6C4D">
        <w:rPr>
          <w:rFonts w:ascii="Arial" w:hAnsi="Arial" w:cs="Arial"/>
          <w:spacing w:val="-4"/>
          <w:sz w:val="20"/>
          <w:szCs w:val="20"/>
        </w:rPr>
        <w:t xml:space="preserve"> </w:t>
      </w:r>
      <w:r w:rsidRPr="005F6C4D">
        <w:rPr>
          <w:rFonts w:ascii="Arial" w:hAnsi="Arial" w:cs="Arial"/>
          <w:sz w:val="20"/>
          <w:szCs w:val="20"/>
        </w:rPr>
        <w:t>therefore</w:t>
      </w:r>
      <w:r w:rsidRPr="005F6C4D">
        <w:rPr>
          <w:rFonts w:ascii="Arial" w:hAnsi="Arial" w:cs="Arial"/>
          <w:spacing w:val="-3"/>
          <w:sz w:val="20"/>
          <w:szCs w:val="20"/>
        </w:rPr>
        <w:t xml:space="preserve"> </w:t>
      </w:r>
      <w:r w:rsidRPr="005F6C4D">
        <w:rPr>
          <w:rFonts w:ascii="Arial" w:hAnsi="Arial" w:cs="Arial"/>
          <w:sz w:val="20"/>
          <w:szCs w:val="20"/>
        </w:rPr>
        <w:t>a</w:t>
      </w:r>
      <w:r w:rsidRPr="005F6C4D">
        <w:rPr>
          <w:rFonts w:ascii="Arial" w:hAnsi="Arial" w:cs="Arial"/>
          <w:spacing w:val="-3"/>
          <w:sz w:val="20"/>
          <w:szCs w:val="20"/>
        </w:rPr>
        <w:t xml:space="preserve"> </w:t>
      </w:r>
      <w:r w:rsidRPr="005F6C4D">
        <w:rPr>
          <w:rFonts w:ascii="Arial" w:hAnsi="Arial" w:cs="Arial"/>
          <w:sz w:val="20"/>
          <w:szCs w:val="20"/>
        </w:rPr>
        <w:t>CRS</w:t>
      </w:r>
      <w:r w:rsidRPr="005F6C4D">
        <w:rPr>
          <w:rFonts w:ascii="Arial" w:hAnsi="Arial" w:cs="Arial"/>
          <w:spacing w:val="-48"/>
          <w:sz w:val="20"/>
          <w:szCs w:val="20"/>
        </w:rPr>
        <w:t xml:space="preserve"> </w:t>
      </w:r>
      <w:r w:rsidRPr="005F6C4D">
        <w:rPr>
          <w:rFonts w:ascii="Arial" w:hAnsi="Arial" w:cs="Arial"/>
          <w:sz w:val="20"/>
          <w:szCs w:val="20"/>
        </w:rPr>
        <w:t>is issued before the flight. The airworthiness certificate is valid for the flight. An open</w:t>
      </w:r>
      <w:r w:rsidRPr="005F6C4D">
        <w:rPr>
          <w:rFonts w:ascii="Arial" w:hAnsi="Arial" w:cs="Arial"/>
          <w:spacing w:val="1"/>
          <w:sz w:val="20"/>
          <w:szCs w:val="20"/>
        </w:rPr>
        <w:t xml:space="preserve"> </w:t>
      </w:r>
      <w:r w:rsidRPr="005F6C4D">
        <w:rPr>
          <w:rFonts w:ascii="Arial" w:hAnsi="Arial" w:cs="Arial"/>
          <w:sz w:val="20"/>
          <w:szCs w:val="20"/>
        </w:rPr>
        <w:t>entry</w:t>
      </w:r>
      <w:r w:rsidRPr="005F6C4D">
        <w:rPr>
          <w:rFonts w:ascii="Arial" w:hAnsi="Arial" w:cs="Arial"/>
          <w:spacing w:val="-1"/>
          <w:sz w:val="20"/>
          <w:szCs w:val="20"/>
        </w:rPr>
        <w:t xml:space="preserve"> </w:t>
      </w:r>
      <w:r w:rsidRPr="005F6C4D">
        <w:rPr>
          <w:rFonts w:ascii="Arial" w:hAnsi="Arial" w:cs="Arial"/>
          <w:sz w:val="20"/>
          <w:szCs w:val="20"/>
        </w:rPr>
        <w:t>requesting</w:t>
      </w:r>
      <w:r w:rsidRPr="005F6C4D">
        <w:rPr>
          <w:rFonts w:ascii="Arial" w:hAnsi="Arial" w:cs="Arial"/>
          <w:spacing w:val="-1"/>
          <w:sz w:val="20"/>
          <w:szCs w:val="20"/>
        </w:rPr>
        <w:t xml:space="preserve"> </w:t>
      </w:r>
      <w:r w:rsidRPr="005F6C4D">
        <w:rPr>
          <w:rFonts w:ascii="Arial" w:hAnsi="Arial" w:cs="Arial"/>
          <w:sz w:val="20"/>
          <w:szCs w:val="20"/>
        </w:rPr>
        <w:t>this</w:t>
      </w:r>
      <w:r w:rsidRPr="005F6C4D">
        <w:rPr>
          <w:rFonts w:ascii="Arial" w:hAnsi="Arial" w:cs="Arial"/>
          <w:spacing w:val="-3"/>
          <w:sz w:val="20"/>
          <w:szCs w:val="20"/>
        </w:rPr>
        <w:t xml:space="preserve"> </w:t>
      </w:r>
      <w:r w:rsidRPr="005F6C4D">
        <w:rPr>
          <w:rFonts w:ascii="Arial" w:hAnsi="Arial" w:cs="Arial"/>
          <w:sz w:val="20"/>
          <w:szCs w:val="20"/>
        </w:rPr>
        <w:t>flight</w:t>
      </w:r>
      <w:r w:rsidRPr="005F6C4D">
        <w:rPr>
          <w:rFonts w:ascii="Arial" w:hAnsi="Arial" w:cs="Arial"/>
          <w:spacing w:val="-2"/>
          <w:sz w:val="20"/>
          <w:szCs w:val="20"/>
        </w:rPr>
        <w:t xml:space="preserve"> </w:t>
      </w:r>
      <w:r w:rsidRPr="005F6C4D">
        <w:rPr>
          <w:rFonts w:ascii="Arial" w:hAnsi="Arial" w:cs="Arial"/>
          <w:sz w:val="20"/>
          <w:szCs w:val="20"/>
        </w:rPr>
        <w:t>may</w:t>
      </w:r>
      <w:r w:rsidRPr="005F6C4D">
        <w:rPr>
          <w:rFonts w:ascii="Arial" w:hAnsi="Arial" w:cs="Arial"/>
          <w:spacing w:val="-2"/>
          <w:sz w:val="20"/>
          <w:szCs w:val="20"/>
        </w:rPr>
        <w:t xml:space="preserve"> </w:t>
      </w:r>
      <w:r w:rsidRPr="005F6C4D">
        <w:rPr>
          <w:rFonts w:ascii="Arial" w:hAnsi="Arial" w:cs="Arial"/>
          <w:sz w:val="20"/>
          <w:szCs w:val="20"/>
        </w:rPr>
        <w:t>be recorded</w:t>
      </w:r>
      <w:r w:rsidRPr="005F6C4D">
        <w:rPr>
          <w:rFonts w:ascii="Arial" w:hAnsi="Arial" w:cs="Arial"/>
          <w:spacing w:val="-1"/>
          <w:sz w:val="20"/>
          <w:szCs w:val="20"/>
        </w:rPr>
        <w:t xml:space="preserve"> </w:t>
      </w:r>
      <w:r w:rsidRPr="005F6C4D">
        <w:rPr>
          <w:rFonts w:ascii="Arial" w:hAnsi="Arial" w:cs="Arial"/>
          <w:sz w:val="20"/>
          <w:szCs w:val="20"/>
        </w:rPr>
        <w:t>in</w:t>
      </w:r>
      <w:r w:rsidRPr="005F6C4D">
        <w:rPr>
          <w:rFonts w:ascii="Arial" w:hAnsi="Arial" w:cs="Arial"/>
          <w:spacing w:val="-1"/>
          <w:sz w:val="20"/>
          <w:szCs w:val="20"/>
        </w:rPr>
        <w:t xml:space="preserve"> </w:t>
      </w:r>
      <w:r w:rsidRPr="005F6C4D">
        <w:rPr>
          <w:rFonts w:ascii="Arial" w:hAnsi="Arial" w:cs="Arial"/>
          <w:sz w:val="20"/>
          <w:szCs w:val="20"/>
        </w:rPr>
        <w:t>the</w:t>
      </w:r>
      <w:r w:rsidRPr="005F6C4D">
        <w:rPr>
          <w:rFonts w:ascii="Arial" w:hAnsi="Arial" w:cs="Arial"/>
          <w:spacing w:val="-2"/>
          <w:sz w:val="20"/>
          <w:szCs w:val="20"/>
        </w:rPr>
        <w:t xml:space="preserve"> </w:t>
      </w:r>
      <w:r w:rsidRPr="005F6C4D">
        <w:rPr>
          <w:rFonts w:ascii="Arial" w:hAnsi="Arial" w:cs="Arial"/>
          <w:sz w:val="20"/>
          <w:szCs w:val="20"/>
        </w:rPr>
        <w:t>aircraft logbook.</w:t>
      </w:r>
    </w:p>
    <w:p w14:paraId="6D361893" w14:textId="321A9619" w:rsidR="00A021F2" w:rsidRPr="005F6C4D" w:rsidRDefault="00A021F2" w:rsidP="005F6C4D">
      <w:pPr>
        <w:pStyle w:val="ListParagraph"/>
        <w:numPr>
          <w:ilvl w:val="1"/>
          <w:numId w:val="289"/>
        </w:numPr>
        <w:tabs>
          <w:tab w:val="left" w:pos="1274"/>
        </w:tabs>
        <w:spacing w:before="121"/>
        <w:ind w:right="194"/>
        <w:jc w:val="both"/>
        <w:rPr>
          <w:rFonts w:ascii="Arial" w:hAnsi="Arial" w:cs="Arial"/>
          <w:sz w:val="20"/>
          <w:szCs w:val="20"/>
        </w:rPr>
      </w:pPr>
      <w:r w:rsidRPr="005F6C4D">
        <w:rPr>
          <w:rFonts w:ascii="Arial" w:hAnsi="Arial" w:cs="Arial"/>
          <w:sz w:val="20"/>
          <w:szCs w:val="20"/>
        </w:rPr>
        <w:t>An aircraft system has been found to fail, the dispatch of the aircraft is not possible in</w:t>
      </w:r>
      <w:r w:rsidRPr="005F6C4D">
        <w:rPr>
          <w:rFonts w:ascii="Arial" w:hAnsi="Arial" w:cs="Arial"/>
          <w:spacing w:val="1"/>
          <w:sz w:val="20"/>
          <w:szCs w:val="20"/>
        </w:rPr>
        <w:t xml:space="preserve"> </w:t>
      </w:r>
      <w:r w:rsidRPr="005F6C4D">
        <w:rPr>
          <w:rFonts w:ascii="Arial" w:hAnsi="Arial" w:cs="Arial"/>
          <w:sz w:val="20"/>
          <w:szCs w:val="20"/>
        </w:rPr>
        <w:lastRenderedPageBreak/>
        <w:t>accordance</w:t>
      </w:r>
      <w:r w:rsidRPr="005F6C4D">
        <w:rPr>
          <w:rFonts w:ascii="Arial" w:hAnsi="Arial" w:cs="Arial"/>
          <w:spacing w:val="-7"/>
          <w:sz w:val="20"/>
          <w:szCs w:val="20"/>
        </w:rPr>
        <w:t xml:space="preserve"> </w:t>
      </w:r>
      <w:r w:rsidRPr="005F6C4D">
        <w:rPr>
          <w:rFonts w:ascii="Arial" w:hAnsi="Arial" w:cs="Arial"/>
          <w:sz w:val="20"/>
          <w:szCs w:val="20"/>
        </w:rPr>
        <w:t>with</w:t>
      </w:r>
      <w:r w:rsidRPr="005F6C4D">
        <w:rPr>
          <w:rFonts w:ascii="Arial" w:hAnsi="Arial" w:cs="Arial"/>
          <w:spacing w:val="-6"/>
          <w:sz w:val="20"/>
          <w:szCs w:val="20"/>
        </w:rPr>
        <w:t xml:space="preserve"> </w:t>
      </w:r>
      <w:r w:rsidRPr="005F6C4D">
        <w:rPr>
          <w:rFonts w:ascii="Arial" w:hAnsi="Arial" w:cs="Arial"/>
          <w:sz w:val="20"/>
          <w:szCs w:val="20"/>
        </w:rPr>
        <w:t>the</w:t>
      </w:r>
      <w:r w:rsidRPr="005F6C4D">
        <w:rPr>
          <w:rFonts w:ascii="Arial" w:hAnsi="Arial" w:cs="Arial"/>
          <w:spacing w:val="-7"/>
          <w:sz w:val="20"/>
          <w:szCs w:val="20"/>
        </w:rPr>
        <w:t xml:space="preserve"> </w:t>
      </w:r>
      <w:r w:rsidRPr="005F6C4D">
        <w:rPr>
          <w:rFonts w:ascii="Arial" w:hAnsi="Arial" w:cs="Arial"/>
          <w:sz w:val="20"/>
          <w:szCs w:val="20"/>
        </w:rPr>
        <w:t>maintenance</w:t>
      </w:r>
      <w:r w:rsidRPr="005F6C4D">
        <w:rPr>
          <w:rFonts w:ascii="Arial" w:hAnsi="Arial" w:cs="Arial"/>
          <w:spacing w:val="-5"/>
          <w:sz w:val="20"/>
          <w:szCs w:val="20"/>
        </w:rPr>
        <w:t xml:space="preserve"> </w:t>
      </w:r>
      <w:r w:rsidRPr="005F6C4D">
        <w:rPr>
          <w:rFonts w:ascii="Arial" w:hAnsi="Arial" w:cs="Arial"/>
          <w:sz w:val="20"/>
          <w:szCs w:val="20"/>
        </w:rPr>
        <w:t>data,</w:t>
      </w:r>
      <w:r w:rsidRPr="005F6C4D">
        <w:rPr>
          <w:rFonts w:ascii="Arial" w:hAnsi="Arial" w:cs="Arial"/>
          <w:spacing w:val="-6"/>
          <w:sz w:val="20"/>
          <w:szCs w:val="20"/>
        </w:rPr>
        <w:t xml:space="preserve"> </w:t>
      </w:r>
      <w:r w:rsidRPr="005F6C4D">
        <w:rPr>
          <w:rFonts w:ascii="Arial" w:hAnsi="Arial" w:cs="Arial"/>
          <w:sz w:val="20"/>
          <w:szCs w:val="20"/>
        </w:rPr>
        <w:t>and</w:t>
      </w:r>
      <w:r w:rsidRPr="005F6C4D">
        <w:rPr>
          <w:rFonts w:ascii="Arial" w:hAnsi="Arial" w:cs="Arial"/>
          <w:spacing w:val="-9"/>
          <w:sz w:val="20"/>
          <w:szCs w:val="20"/>
        </w:rPr>
        <w:t xml:space="preserve"> </w:t>
      </w:r>
      <w:r w:rsidRPr="005F6C4D">
        <w:rPr>
          <w:rFonts w:ascii="Arial" w:hAnsi="Arial" w:cs="Arial"/>
          <w:sz w:val="20"/>
          <w:szCs w:val="20"/>
        </w:rPr>
        <w:t>the</w:t>
      </w:r>
      <w:r w:rsidRPr="005F6C4D">
        <w:rPr>
          <w:rFonts w:ascii="Arial" w:hAnsi="Arial" w:cs="Arial"/>
          <w:spacing w:val="-8"/>
          <w:sz w:val="20"/>
          <w:szCs w:val="20"/>
        </w:rPr>
        <w:t xml:space="preserve"> </w:t>
      </w:r>
      <w:r w:rsidRPr="005F6C4D">
        <w:rPr>
          <w:rFonts w:ascii="Arial" w:hAnsi="Arial" w:cs="Arial"/>
          <w:sz w:val="20"/>
          <w:szCs w:val="20"/>
        </w:rPr>
        <w:t>satisfactory</w:t>
      </w:r>
      <w:r w:rsidRPr="005F6C4D">
        <w:rPr>
          <w:rFonts w:ascii="Arial" w:hAnsi="Arial" w:cs="Arial"/>
          <w:spacing w:val="-5"/>
          <w:sz w:val="20"/>
          <w:szCs w:val="20"/>
        </w:rPr>
        <w:t xml:space="preserve"> </w:t>
      </w:r>
      <w:r w:rsidRPr="005F6C4D">
        <w:rPr>
          <w:rFonts w:ascii="Arial" w:hAnsi="Arial" w:cs="Arial"/>
          <w:sz w:val="20"/>
          <w:szCs w:val="20"/>
        </w:rPr>
        <w:t>diagnosis</w:t>
      </w:r>
      <w:r w:rsidRPr="005F6C4D">
        <w:rPr>
          <w:rFonts w:ascii="Arial" w:hAnsi="Arial" w:cs="Arial"/>
          <w:spacing w:val="-8"/>
          <w:sz w:val="20"/>
          <w:szCs w:val="20"/>
        </w:rPr>
        <w:t xml:space="preserve"> </w:t>
      </w:r>
      <w:r w:rsidRPr="005F6C4D">
        <w:rPr>
          <w:rFonts w:ascii="Arial" w:hAnsi="Arial" w:cs="Arial"/>
          <w:sz w:val="20"/>
          <w:szCs w:val="20"/>
        </w:rPr>
        <w:t>of</w:t>
      </w:r>
      <w:r w:rsidRPr="005F6C4D">
        <w:rPr>
          <w:rFonts w:ascii="Arial" w:hAnsi="Arial" w:cs="Arial"/>
          <w:spacing w:val="-8"/>
          <w:sz w:val="20"/>
          <w:szCs w:val="20"/>
        </w:rPr>
        <w:t xml:space="preserve"> </w:t>
      </w:r>
      <w:r w:rsidRPr="005F6C4D">
        <w:rPr>
          <w:rFonts w:ascii="Arial" w:hAnsi="Arial" w:cs="Arial"/>
          <w:sz w:val="20"/>
          <w:szCs w:val="20"/>
        </w:rPr>
        <w:t>the</w:t>
      </w:r>
      <w:r w:rsidRPr="005F6C4D">
        <w:rPr>
          <w:rFonts w:ascii="Arial" w:hAnsi="Arial" w:cs="Arial"/>
          <w:spacing w:val="-8"/>
          <w:sz w:val="20"/>
          <w:szCs w:val="20"/>
        </w:rPr>
        <w:t xml:space="preserve"> </w:t>
      </w:r>
      <w:r w:rsidRPr="005F6C4D">
        <w:rPr>
          <w:rFonts w:ascii="Arial" w:hAnsi="Arial" w:cs="Arial"/>
          <w:sz w:val="20"/>
          <w:szCs w:val="20"/>
        </w:rPr>
        <w:t>cause</w:t>
      </w:r>
      <w:r w:rsidRPr="005F6C4D">
        <w:rPr>
          <w:rFonts w:ascii="Arial" w:hAnsi="Arial" w:cs="Arial"/>
          <w:spacing w:val="-7"/>
          <w:sz w:val="20"/>
          <w:szCs w:val="20"/>
        </w:rPr>
        <w:t xml:space="preserve"> </w:t>
      </w:r>
      <w:r w:rsidRPr="005F6C4D">
        <w:rPr>
          <w:rFonts w:ascii="Arial" w:hAnsi="Arial" w:cs="Arial"/>
          <w:sz w:val="20"/>
          <w:szCs w:val="20"/>
        </w:rPr>
        <w:t>of</w:t>
      </w:r>
      <w:r w:rsidRPr="005F6C4D">
        <w:rPr>
          <w:rFonts w:ascii="Arial" w:hAnsi="Arial" w:cs="Arial"/>
          <w:spacing w:val="-6"/>
          <w:sz w:val="20"/>
          <w:szCs w:val="20"/>
        </w:rPr>
        <w:t xml:space="preserve"> </w:t>
      </w:r>
      <w:r w:rsidRPr="005F6C4D">
        <w:rPr>
          <w:rFonts w:ascii="Arial" w:hAnsi="Arial" w:cs="Arial"/>
          <w:sz w:val="20"/>
          <w:szCs w:val="20"/>
        </w:rPr>
        <w:t>the</w:t>
      </w:r>
      <w:r w:rsidRPr="005F6C4D">
        <w:rPr>
          <w:rFonts w:ascii="Arial" w:hAnsi="Arial" w:cs="Arial"/>
          <w:spacing w:val="-47"/>
          <w:sz w:val="20"/>
          <w:szCs w:val="20"/>
        </w:rPr>
        <w:t xml:space="preserve"> </w:t>
      </w:r>
      <w:r w:rsidRPr="005F6C4D">
        <w:rPr>
          <w:rFonts w:ascii="Arial" w:hAnsi="Arial" w:cs="Arial"/>
          <w:sz w:val="20"/>
          <w:szCs w:val="20"/>
        </w:rPr>
        <w:t>fault can only be made in flight. The process for this troubleshooting is not described in</w:t>
      </w:r>
      <w:r w:rsidRPr="005F6C4D">
        <w:rPr>
          <w:rFonts w:ascii="Arial" w:hAnsi="Arial" w:cs="Arial"/>
          <w:spacing w:val="1"/>
          <w:sz w:val="20"/>
          <w:szCs w:val="20"/>
        </w:rPr>
        <w:t xml:space="preserve"> </w:t>
      </w:r>
      <w:r w:rsidRPr="005F6C4D">
        <w:rPr>
          <w:rFonts w:ascii="Arial" w:hAnsi="Arial" w:cs="Arial"/>
          <w:spacing w:val="-1"/>
          <w:sz w:val="20"/>
          <w:szCs w:val="20"/>
        </w:rPr>
        <w:t>the</w:t>
      </w:r>
      <w:r w:rsidRPr="005F6C4D">
        <w:rPr>
          <w:rFonts w:ascii="Arial" w:hAnsi="Arial" w:cs="Arial"/>
          <w:spacing w:val="-10"/>
          <w:sz w:val="20"/>
          <w:szCs w:val="20"/>
        </w:rPr>
        <w:t xml:space="preserve"> </w:t>
      </w:r>
      <w:r w:rsidRPr="005F6C4D">
        <w:rPr>
          <w:rFonts w:ascii="Arial" w:hAnsi="Arial" w:cs="Arial"/>
          <w:sz w:val="20"/>
          <w:szCs w:val="20"/>
        </w:rPr>
        <w:t>maintenance</w:t>
      </w:r>
      <w:r w:rsidRPr="005F6C4D">
        <w:rPr>
          <w:rFonts w:ascii="Arial" w:hAnsi="Arial" w:cs="Arial"/>
          <w:spacing w:val="-11"/>
          <w:sz w:val="20"/>
          <w:szCs w:val="20"/>
        </w:rPr>
        <w:t xml:space="preserve"> </w:t>
      </w:r>
      <w:r w:rsidRPr="005F6C4D">
        <w:rPr>
          <w:rFonts w:ascii="Arial" w:hAnsi="Arial" w:cs="Arial"/>
          <w:sz w:val="20"/>
          <w:szCs w:val="20"/>
        </w:rPr>
        <w:t>data</w:t>
      </w:r>
      <w:r w:rsidRPr="005F6C4D">
        <w:rPr>
          <w:rFonts w:ascii="Arial" w:hAnsi="Arial" w:cs="Arial"/>
          <w:spacing w:val="-9"/>
          <w:sz w:val="20"/>
          <w:szCs w:val="20"/>
        </w:rPr>
        <w:t xml:space="preserve"> </w:t>
      </w:r>
      <w:r w:rsidRPr="005F6C4D">
        <w:rPr>
          <w:rFonts w:ascii="Arial" w:hAnsi="Arial" w:cs="Arial"/>
          <w:sz w:val="20"/>
          <w:szCs w:val="20"/>
        </w:rPr>
        <w:t>and</w:t>
      </w:r>
      <w:r w:rsidRPr="005F6C4D">
        <w:rPr>
          <w:rFonts w:ascii="Arial" w:hAnsi="Arial" w:cs="Arial"/>
          <w:spacing w:val="-11"/>
          <w:sz w:val="20"/>
          <w:szCs w:val="20"/>
        </w:rPr>
        <w:t xml:space="preserve"> </w:t>
      </w:r>
      <w:r w:rsidRPr="005F6C4D">
        <w:rPr>
          <w:rFonts w:ascii="Arial" w:hAnsi="Arial" w:cs="Arial"/>
          <w:sz w:val="20"/>
          <w:szCs w:val="20"/>
        </w:rPr>
        <w:t>therefore</w:t>
      </w:r>
      <w:r w:rsidRPr="005F6C4D">
        <w:rPr>
          <w:rFonts w:ascii="Arial" w:hAnsi="Arial" w:cs="Arial"/>
          <w:spacing w:val="-9"/>
          <w:sz w:val="20"/>
          <w:szCs w:val="20"/>
        </w:rPr>
        <w:t xml:space="preserve"> </w:t>
      </w:r>
      <w:r w:rsidRPr="005F6C4D">
        <w:rPr>
          <w:rFonts w:ascii="Arial" w:hAnsi="Arial" w:cs="Arial"/>
          <w:sz w:val="20"/>
          <w:szCs w:val="20"/>
        </w:rPr>
        <w:t>scenario</w:t>
      </w:r>
      <w:r w:rsidRPr="005F6C4D">
        <w:rPr>
          <w:rFonts w:ascii="Arial" w:hAnsi="Arial" w:cs="Arial"/>
          <w:spacing w:val="-11"/>
          <w:sz w:val="20"/>
          <w:szCs w:val="20"/>
        </w:rPr>
        <w:t xml:space="preserve"> </w:t>
      </w:r>
      <w:r w:rsidRPr="005F6C4D">
        <w:rPr>
          <w:rFonts w:ascii="Arial" w:hAnsi="Arial" w:cs="Arial"/>
          <w:sz w:val="20"/>
          <w:szCs w:val="20"/>
        </w:rPr>
        <w:t>(1)</w:t>
      </w:r>
      <w:r w:rsidRPr="005F6C4D">
        <w:rPr>
          <w:rFonts w:ascii="Arial" w:hAnsi="Arial" w:cs="Arial"/>
          <w:spacing w:val="-13"/>
          <w:sz w:val="20"/>
          <w:szCs w:val="20"/>
        </w:rPr>
        <w:t xml:space="preserve"> </w:t>
      </w:r>
      <w:r w:rsidRPr="005F6C4D">
        <w:rPr>
          <w:rFonts w:ascii="Arial" w:hAnsi="Arial" w:cs="Arial"/>
          <w:sz w:val="20"/>
          <w:szCs w:val="20"/>
        </w:rPr>
        <w:t>does</w:t>
      </w:r>
      <w:r w:rsidRPr="005F6C4D">
        <w:rPr>
          <w:rFonts w:ascii="Arial" w:hAnsi="Arial" w:cs="Arial"/>
          <w:spacing w:val="-12"/>
          <w:sz w:val="20"/>
          <w:szCs w:val="20"/>
        </w:rPr>
        <w:t xml:space="preserve"> </w:t>
      </w:r>
      <w:r w:rsidRPr="005F6C4D">
        <w:rPr>
          <w:rFonts w:ascii="Arial" w:hAnsi="Arial" w:cs="Arial"/>
          <w:sz w:val="20"/>
          <w:szCs w:val="20"/>
        </w:rPr>
        <w:t>not</w:t>
      </w:r>
      <w:r w:rsidRPr="005F6C4D">
        <w:rPr>
          <w:rFonts w:ascii="Arial" w:hAnsi="Arial" w:cs="Arial"/>
          <w:spacing w:val="-9"/>
          <w:sz w:val="20"/>
          <w:szCs w:val="20"/>
        </w:rPr>
        <w:t xml:space="preserve"> </w:t>
      </w:r>
      <w:r w:rsidRPr="005F6C4D">
        <w:rPr>
          <w:rFonts w:ascii="Arial" w:hAnsi="Arial" w:cs="Arial"/>
          <w:sz w:val="20"/>
          <w:szCs w:val="20"/>
        </w:rPr>
        <w:t>apply.</w:t>
      </w:r>
      <w:r w:rsidRPr="005F6C4D">
        <w:rPr>
          <w:rFonts w:ascii="Arial" w:hAnsi="Arial" w:cs="Arial"/>
          <w:spacing w:val="-10"/>
          <w:sz w:val="20"/>
          <w:szCs w:val="20"/>
        </w:rPr>
        <w:t xml:space="preserve"> </w:t>
      </w:r>
      <w:r w:rsidRPr="005F6C4D">
        <w:rPr>
          <w:rFonts w:ascii="Arial" w:hAnsi="Arial" w:cs="Arial"/>
          <w:sz w:val="20"/>
          <w:szCs w:val="20"/>
        </w:rPr>
        <w:t>Since</w:t>
      </w:r>
      <w:r w:rsidRPr="005F6C4D">
        <w:rPr>
          <w:rFonts w:ascii="Arial" w:hAnsi="Arial" w:cs="Arial"/>
          <w:spacing w:val="-9"/>
          <w:sz w:val="20"/>
          <w:szCs w:val="20"/>
        </w:rPr>
        <w:t xml:space="preserve"> </w:t>
      </w:r>
      <w:r w:rsidRPr="005F6C4D">
        <w:rPr>
          <w:rFonts w:ascii="Arial" w:hAnsi="Arial" w:cs="Arial"/>
          <w:sz w:val="20"/>
          <w:szCs w:val="20"/>
        </w:rPr>
        <w:t>the</w:t>
      </w:r>
      <w:r w:rsidRPr="005F6C4D">
        <w:rPr>
          <w:rFonts w:ascii="Arial" w:hAnsi="Arial" w:cs="Arial"/>
          <w:spacing w:val="-9"/>
          <w:sz w:val="20"/>
          <w:szCs w:val="20"/>
        </w:rPr>
        <w:t xml:space="preserve"> </w:t>
      </w:r>
      <w:r w:rsidRPr="005F6C4D">
        <w:rPr>
          <w:rFonts w:ascii="Arial" w:hAnsi="Arial" w:cs="Arial"/>
          <w:sz w:val="20"/>
          <w:szCs w:val="20"/>
        </w:rPr>
        <w:t>aircraft</w:t>
      </w:r>
      <w:r w:rsidRPr="005F6C4D">
        <w:rPr>
          <w:rFonts w:ascii="Arial" w:hAnsi="Arial" w:cs="Arial"/>
          <w:spacing w:val="-12"/>
          <w:sz w:val="20"/>
          <w:szCs w:val="20"/>
        </w:rPr>
        <w:t xml:space="preserve"> </w:t>
      </w:r>
      <w:r w:rsidRPr="005F6C4D">
        <w:rPr>
          <w:rFonts w:ascii="Arial" w:hAnsi="Arial" w:cs="Arial"/>
          <w:sz w:val="20"/>
          <w:szCs w:val="20"/>
        </w:rPr>
        <w:t>cannot</w:t>
      </w:r>
      <w:r w:rsidRPr="005F6C4D">
        <w:rPr>
          <w:rFonts w:ascii="Arial" w:hAnsi="Arial" w:cs="Arial"/>
          <w:spacing w:val="-48"/>
          <w:sz w:val="20"/>
          <w:szCs w:val="20"/>
        </w:rPr>
        <w:t xml:space="preserve"> </w:t>
      </w:r>
      <w:r w:rsidRPr="005F6C4D">
        <w:rPr>
          <w:rFonts w:ascii="Arial" w:hAnsi="Arial" w:cs="Arial"/>
          <w:sz w:val="20"/>
          <w:szCs w:val="20"/>
        </w:rPr>
        <w:t>fly under its airworthiness certificate because it has not been released to service after</w:t>
      </w:r>
      <w:r w:rsidRPr="005F6C4D">
        <w:rPr>
          <w:rFonts w:ascii="Arial" w:hAnsi="Arial" w:cs="Arial"/>
          <w:spacing w:val="1"/>
          <w:sz w:val="20"/>
          <w:szCs w:val="20"/>
        </w:rPr>
        <w:t xml:space="preserve"> </w:t>
      </w:r>
      <w:r w:rsidRPr="005F6C4D">
        <w:rPr>
          <w:rFonts w:ascii="Arial" w:hAnsi="Arial" w:cs="Arial"/>
          <w:sz w:val="20"/>
          <w:szCs w:val="20"/>
        </w:rPr>
        <w:t xml:space="preserve">maintenance, a permit to fly issued in accordance with </w:t>
      </w:r>
      <w:hyperlink r:id="rId99" w:history="1">
        <w:r w:rsidR="007A4CF1">
          <w:rPr>
            <w:rStyle w:val="Hyperlink"/>
            <w:rFonts w:ascii="Arial" w:hAnsi="Arial" w:cs="Arial"/>
            <w:sz w:val="20"/>
          </w:rPr>
          <w:t>the order N 20-N of the Minister of Territorial Administration and Infrastructure of RA, dated 18.11.2022</w:t>
        </w:r>
      </w:hyperlink>
      <w:r w:rsidRPr="005F6C4D">
        <w:rPr>
          <w:rFonts w:ascii="Arial" w:hAnsi="Arial" w:cs="Arial"/>
          <w:sz w:val="20"/>
          <w:szCs w:val="20"/>
        </w:rPr>
        <w:t xml:space="preserve"> is</w:t>
      </w:r>
      <w:r w:rsidRPr="005F6C4D">
        <w:rPr>
          <w:rFonts w:ascii="Arial" w:hAnsi="Arial" w:cs="Arial"/>
          <w:spacing w:val="1"/>
          <w:sz w:val="20"/>
          <w:szCs w:val="20"/>
        </w:rPr>
        <w:t xml:space="preserve"> </w:t>
      </w:r>
      <w:r w:rsidRPr="005F6C4D">
        <w:rPr>
          <w:rFonts w:ascii="Arial" w:hAnsi="Arial" w:cs="Arial"/>
          <w:sz w:val="20"/>
          <w:szCs w:val="20"/>
        </w:rPr>
        <w:t>required.</w:t>
      </w:r>
    </w:p>
    <w:p w14:paraId="4F59A348" w14:textId="77777777" w:rsidR="00A021F2" w:rsidRPr="005F6C4D" w:rsidRDefault="00A021F2" w:rsidP="005F6C4D">
      <w:pPr>
        <w:pStyle w:val="BodyText"/>
        <w:ind w:left="1273" w:right="201"/>
        <w:jc w:val="both"/>
        <w:rPr>
          <w:rFonts w:ascii="Arial" w:hAnsi="Arial" w:cs="Arial"/>
          <w:sz w:val="20"/>
          <w:szCs w:val="20"/>
        </w:rPr>
      </w:pPr>
      <w:r w:rsidRPr="005F6C4D">
        <w:rPr>
          <w:rFonts w:ascii="Arial" w:hAnsi="Arial" w:cs="Arial"/>
          <w:sz w:val="20"/>
          <w:szCs w:val="20"/>
        </w:rPr>
        <w:t>After</w:t>
      </w:r>
      <w:r w:rsidRPr="005F6C4D">
        <w:rPr>
          <w:rFonts w:ascii="Arial" w:hAnsi="Arial" w:cs="Arial"/>
          <w:spacing w:val="-1"/>
          <w:sz w:val="20"/>
          <w:szCs w:val="20"/>
        </w:rPr>
        <w:t xml:space="preserve"> </w:t>
      </w:r>
      <w:r w:rsidRPr="005F6C4D">
        <w:rPr>
          <w:rFonts w:ascii="Arial" w:hAnsi="Arial" w:cs="Arial"/>
          <w:sz w:val="20"/>
          <w:szCs w:val="20"/>
        </w:rPr>
        <w:t>the flight</w:t>
      </w:r>
      <w:r w:rsidRPr="005F6C4D">
        <w:rPr>
          <w:rFonts w:ascii="Arial" w:hAnsi="Arial" w:cs="Arial"/>
          <w:spacing w:val="-3"/>
          <w:sz w:val="20"/>
          <w:szCs w:val="20"/>
        </w:rPr>
        <w:t xml:space="preserve"> </w:t>
      </w:r>
      <w:r w:rsidRPr="005F6C4D">
        <w:rPr>
          <w:rFonts w:ascii="Arial" w:hAnsi="Arial" w:cs="Arial"/>
          <w:sz w:val="20"/>
          <w:szCs w:val="20"/>
        </w:rPr>
        <w:t>and</w:t>
      </w:r>
      <w:r w:rsidRPr="005F6C4D">
        <w:rPr>
          <w:rFonts w:ascii="Arial" w:hAnsi="Arial" w:cs="Arial"/>
          <w:spacing w:val="-1"/>
          <w:sz w:val="20"/>
          <w:szCs w:val="20"/>
        </w:rPr>
        <w:t xml:space="preserve"> </w:t>
      </w:r>
      <w:r w:rsidRPr="005F6C4D">
        <w:rPr>
          <w:rFonts w:ascii="Arial" w:hAnsi="Arial" w:cs="Arial"/>
          <w:sz w:val="20"/>
          <w:szCs w:val="20"/>
        </w:rPr>
        <w:t>the</w:t>
      </w:r>
      <w:r w:rsidRPr="005F6C4D">
        <w:rPr>
          <w:rFonts w:ascii="Arial" w:hAnsi="Arial" w:cs="Arial"/>
          <w:spacing w:val="-3"/>
          <w:sz w:val="20"/>
          <w:szCs w:val="20"/>
        </w:rPr>
        <w:t xml:space="preserve"> </w:t>
      </w:r>
      <w:r w:rsidRPr="005F6C4D">
        <w:rPr>
          <w:rFonts w:ascii="Arial" w:hAnsi="Arial" w:cs="Arial"/>
          <w:sz w:val="20"/>
          <w:szCs w:val="20"/>
        </w:rPr>
        <w:t>corresponding</w:t>
      </w:r>
      <w:r w:rsidRPr="005F6C4D">
        <w:rPr>
          <w:rFonts w:ascii="Arial" w:hAnsi="Arial" w:cs="Arial"/>
          <w:spacing w:val="-4"/>
          <w:sz w:val="20"/>
          <w:szCs w:val="20"/>
        </w:rPr>
        <w:t xml:space="preserve"> </w:t>
      </w:r>
      <w:r w:rsidRPr="005F6C4D">
        <w:rPr>
          <w:rFonts w:ascii="Arial" w:hAnsi="Arial" w:cs="Arial"/>
          <w:sz w:val="20"/>
          <w:szCs w:val="20"/>
        </w:rPr>
        <w:t>maintenance</w:t>
      </w:r>
      <w:r w:rsidRPr="005F6C4D">
        <w:rPr>
          <w:rFonts w:ascii="Arial" w:hAnsi="Arial" w:cs="Arial"/>
          <w:spacing w:val="-2"/>
          <w:sz w:val="20"/>
          <w:szCs w:val="20"/>
        </w:rPr>
        <w:t xml:space="preserve"> </w:t>
      </w:r>
      <w:r w:rsidRPr="005F6C4D">
        <w:rPr>
          <w:rFonts w:ascii="Arial" w:hAnsi="Arial" w:cs="Arial"/>
          <w:sz w:val="20"/>
          <w:szCs w:val="20"/>
        </w:rPr>
        <w:t>work,</w:t>
      </w:r>
      <w:r w:rsidRPr="005F6C4D">
        <w:rPr>
          <w:rFonts w:ascii="Arial" w:hAnsi="Arial" w:cs="Arial"/>
          <w:spacing w:val="-4"/>
          <w:sz w:val="20"/>
          <w:szCs w:val="20"/>
        </w:rPr>
        <w:t xml:space="preserve"> </w:t>
      </w:r>
      <w:r w:rsidRPr="005F6C4D">
        <w:rPr>
          <w:rFonts w:ascii="Arial" w:hAnsi="Arial" w:cs="Arial"/>
          <w:sz w:val="20"/>
          <w:szCs w:val="20"/>
        </w:rPr>
        <w:t>the</w:t>
      </w:r>
      <w:r w:rsidRPr="005F6C4D">
        <w:rPr>
          <w:rFonts w:ascii="Arial" w:hAnsi="Arial" w:cs="Arial"/>
          <w:spacing w:val="-3"/>
          <w:sz w:val="20"/>
          <w:szCs w:val="20"/>
        </w:rPr>
        <w:t xml:space="preserve"> </w:t>
      </w:r>
      <w:r w:rsidRPr="005F6C4D">
        <w:rPr>
          <w:rFonts w:ascii="Arial" w:hAnsi="Arial" w:cs="Arial"/>
          <w:sz w:val="20"/>
          <w:szCs w:val="20"/>
        </w:rPr>
        <w:t>aircraft</w:t>
      </w:r>
      <w:r w:rsidRPr="005F6C4D">
        <w:rPr>
          <w:rFonts w:ascii="Arial" w:hAnsi="Arial" w:cs="Arial"/>
          <w:spacing w:val="-3"/>
          <w:sz w:val="20"/>
          <w:szCs w:val="20"/>
        </w:rPr>
        <w:t xml:space="preserve"> </w:t>
      </w:r>
      <w:r w:rsidRPr="005F6C4D">
        <w:rPr>
          <w:rFonts w:ascii="Arial" w:hAnsi="Arial" w:cs="Arial"/>
          <w:sz w:val="20"/>
          <w:szCs w:val="20"/>
        </w:rPr>
        <w:t>can</w:t>
      </w:r>
      <w:r w:rsidRPr="005F6C4D">
        <w:rPr>
          <w:rFonts w:ascii="Arial" w:hAnsi="Arial" w:cs="Arial"/>
          <w:spacing w:val="-4"/>
          <w:sz w:val="20"/>
          <w:szCs w:val="20"/>
        </w:rPr>
        <w:t xml:space="preserve"> </w:t>
      </w:r>
      <w:r w:rsidRPr="005F6C4D">
        <w:rPr>
          <w:rFonts w:ascii="Arial" w:hAnsi="Arial" w:cs="Arial"/>
          <w:sz w:val="20"/>
          <w:szCs w:val="20"/>
        </w:rPr>
        <w:t>be</w:t>
      </w:r>
      <w:r w:rsidRPr="005F6C4D">
        <w:rPr>
          <w:rFonts w:ascii="Arial" w:hAnsi="Arial" w:cs="Arial"/>
          <w:spacing w:val="-1"/>
          <w:sz w:val="20"/>
          <w:szCs w:val="20"/>
        </w:rPr>
        <w:t xml:space="preserve"> </w:t>
      </w:r>
      <w:r w:rsidRPr="005F6C4D">
        <w:rPr>
          <w:rFonts w:ascii="Arial" w:hAnsi="Arial" w:cs="Arial"/>
          <w:sz w:val="20"/>
          <w:szCs w:val="20"/>
        </w:rPr>
        <w:t>released</w:t>
      </w:r>
      <w:r w:rsidRPr="005F6C4D">
        <w:rPr>
          <w:rFonts w:ascii="Arial" w:hAnsi="Arial" w:cs="Arial"/>
          <w:spacing w:val="-1"/>
          <w:sz w:val="20"/>
          <w:szCs w:val="20"/>
        </w:rPr>
        <w:t xml:space="preserve"> </w:t>
      </w:r>
      <w:r w:rsidRPr="005F6C4D">
        <w:rPr>
          <w:rFonts w:ascii="Arial" w:hAnsi="Arial" w:cs="Arial"/>
          <w:sz w:val="20"/>
          <w:szCs w:val="20"/>
        </w:rPr>
        <w:t>to</w:t>
      </w:r>
      <w:r w:rsidRPr="005F6C4D">
        <w:rPr>
          <w:rFonts w:ascii="Arial" w:hAnsi="Arial" w:cs="Arial"/>
          <w:spacing w:val="-47"/>
          <w:sz w:val="20"/>
          <w:szCs w:val="20"/>
        </w:rPr>
        <w:t xml:space="preserve"> </w:t>
      </w:r>
      <w:r w:rsidRPr="005F6C4D">
        <w:rPr>
          <w:rFonts w:ascii="Arial" w:hAnsi="Arial" w:cs="Arial"/>
          <w:sz w:val="20"/>
          <w:szCs w:val="20"/>
        </w:rPr>
        <w:t>service and</w:t>
      </w:r>
      <w:r w:rsidRPr="005F6C4D">
        <w:rPr>
          <w:rFonts w:ascii="Arial" w:hAnsi="Arial" w:cs="Arial"/>
          <w:spacing w:val="-1"/>
          <w:sz w:val="20"/>
          <w:szCs w:val="20"/>
        </w:rPr>
        <w:t xml:space="preserve"> </w:t>
      </w:r>
      <w:r w:rsidRPr="005F6C4D">
        <w:rPr>
          <w:rFonts w:ascii="Arial" w:hAnsi="Arial" w:cs="Arial"/>
          <w:sz w:val="20"/>
          <w:szCs w:val="20"/>
        </w:rPr>
        <w:t>continue</w:t>
      </w:r>
      <w:r w:rsidRPr="005F6C4D">
        <w:rPr>
          <w:rFonts w:ascii="Arial" w:hAnsi="Arial" w:cs="Arial"/>
          <w:spacing w:val="-2"/>
          <w:sz w:val="20"/>
          <w:szCs w:val="20"/>
        </w:rPr>
        <w:t xml:space="preserve"> </w:t>
      </w:r>
      <w:r w:rsidRPr="005F6C4D">
        <w:rPr>
          <w:rFonts w:ascii="Arial" w:hAnsi="Arial" w:cs="Arial"/>
          <w:sz w:val="20"/>
          <w:szCs w:val="20"/>
        </w:rPr>
        <w:t>to</w:t>
      </w:r>
      <w:r w:rsidRPr="005F6C4D">
        <w:rPr>
          <w:rFonts w:ascii="Arial" w:hAnsi="Arial" w:cs="Arial"/>
          <w:spacing w:val="-1"/>
          <w:sz w:val="20"/>
          <w:szCs w:val="20"/>
        </w:rPr>
        <w:t xml:space="preserve"> </w:t>
      </w:r>
      <w:r w:rsidRPr="005F6C4D">
        <w:rPr>
          <w:rFonts w:ascii="Arial" w:hAnsi="Arial" w:cs="Arial"/>
          <w:sz w:val="20"/>
          <w:szCs w:val="20"/>
        </w:rPr>
        <w:t>operate</w:t>
      </w:r>
      <w:r w:rsidRPr="005F6C4D">
        <w:rPr>
          <w:rFonts w:ascii="Arial" w:hAnsi="Arial" w:cs="Arial"/>
          <w:spacing w:val="-1"/>
          <w:sz w:val="20"/>
          <w:szCs w:val="20"/>
        </w:rPr>
        <w:t xml:space="preserve"> </w:t>
      </w:r>
      <w:r w:rsidRPr="005F6C4D">
        <w:rPr>
          <w:rFonts w:ascii="Arial" w:hAnsi="Arial" w:cs="Arial"/>
          <w:sz w:val="20"/>
          <w:szCs w:val="20"/>
        </w:rPr>
        <w:t>under</w:t>
      </w:r>
      <w:r w:rsidRPr="005F6C4D">
        <w:rPr>
          <w:rFonts w:ascii="Arial" w:hAnsi="Arial" w:cs="Arial"/>
          <w:spacing w:val="-2"/>
          <w:sz w:val="20"/>
          <w:szCs w:val="20"/>
        </w:rPr>
        <w:t xml:space="preserve"> </w:t>
      </w:r>
      <w:r w:rsidRPr="005F6C4D">
        <w:rPr>
          <w:rFonts w:ascii="Arial" w:hAnsi="Arial" w:cs="Arial"/>
          <w:sz w:val="20"/>
          <w:szCs w:val="20"/>
        </w:rPr>
        <w:t>its</w:t>
      </w:r>
      <w:r w:rsidRPr="005F6C4D">
        <w:rPr>
          <w:rFonts w:ascii="Arial" w:hAnsi="Arial" w:cs="Arial"/>
          <w:spacing w:val="-1"/>
          <w:sz w:val="20"/>
          <w:szCs w:val="20"/>
        </w:rPr>
        <w:t xml:space="preserve"> </w:t>
      </w:r>
      <w:r w:rsidRPr="005F6C4D">
        <w:rPr>
          <w:rFonts w:ascii="Arial" w:hAnsi="Arial" w:cs="Arial"/>
          <w:sz w:val="20"/>
          <w:szCs w:val="20"/>
        </w:rPr>
        <w:t>original certificate</w:t>
      </w:r>
      <w:r w:rsidRPr="005F6C4D">
        <w:rPr>
          <w:rFonts w:ascii="Arial" w:hAnsi="Arial" w:cs="Arial"/>
          <w:spacing w:val="-2"/>
          <w:sz w:val="20"/>
          <w:szCs w:val="20"/>
        </w:rPr>
        <w:t xml:space="preserve"> </w:t>
      </w:r>
      <w:r w:rsidRPr="005F6C4D">
        <w:rPr>
          <w:rFonts w:ascii="Arial" w:hAnsi="Arial" w:cs="Arial"/>
          <w:sz w:val="20"/>
          <w:szCs w:val="20"/>
        </w:rPr>
        <w:t>of</w:t>
      </w:r>
      <w:r w:rsidRPr="005F6C4D">
        <w:rPr>
          <w:rFonts w:ascii="Arial" w:hAnsi="Arial" w:cs="Arial"/>
          <w:spacing w:val="-1"/>
          <w:sz w:val="20"/>
          <w:szCs w:val="20"/>
        </w:rPr>
        <w:t xml:space="preserve"> </w:t>
      </w:r>
      <w:r w:rsidRPr="005F6C4D">
        <w:rPr>
          <w:rFonts w:ascii="Arial" w:hAnsi="Arial" w:cs="Arial"/>
          <w:sz w:val="20"/>
          <w:szCs w:val="20"/>
        </w:rPr>
        <w:t>airworthiness.</w:t>
      </w:r>
    </w:p>
    <w:p w14:paraId="3CD9DFF1" w14:textId="77777777" w:rsidR="00A021F2" w:rsidRPr="005F6C4D" w:rsidRDefault="00A021F2" w:rsidP="005F6C4D">
      <w:pPr>
        <w:pStyle w:val="ListParagraph"/>
        <w:numPr>
          <w:ilvl w:val="0"/>
          <w:numId w:val="289"/>
        </w:numPr>
        <w:tabs>
          <w:tab w:val="left" w:pos="707"/>
        </w:tabs>
        <w:ind w:right="193"/>
        <w:jc w:val="both"/>
        <w:rPr>
          <w:rFonts w:ascii="Arial" w:hAnsi="Arial" w:cs="Arial"/>
          <w:sz w:val="20"/>
          <w:szCs w:val="20"/>
        </w:rPr>
      </w:pPr>
      <w:r w:rsidRPr="005F6C4D">
        <w:rPr>
          <w:rFonts w:ascii="Arial" w:hAnsi="Arial" w:cs="Arial"/>
          <w:sz w:val="20"/>
          <w:szCs w:val="20"/>
        </w:rPr>
        <w:t>For certain MCFs, the data obtained or verified in flight will be necessary for assessment or</w:t>
      </w:r>
      <w:r w:rsidRPr="005F6C4D">
        <w:rPr>
          <w:rFonts w:ascii="Arial" w:hAnsi="Arial" w:cs="Arial"/>
          <w:spacing w:val="1"/>
          <w:sz w:val="20"/>
          <w:szCs w:val="20"/>
        </w:rPr>
        <w:t xml:space="preserve"> </w:t>
      </w:r>
      <w:r w:rsidRPr="005F6C4D">
        <w:rPr>
          <w:rFonts w:ascii="Arial" w:hAnsi="Arial" w:cs="Arial"/>
          <w:sz w:val="20"/>
          <w:szCs w:val="20"/>
        </w:rPr>
        <w:t>consideration</w:t>
      </w:r>
      <w:r w:rsidRPr="005F6C4D">
        <w:rPr>
          <w:rFonts w:ascii="Arial" w:hAnsi="Arial" w:cs="Arial"/>
          <w:spacing w:val="-4"/>
          <w:sz w:val="20"/>
          <w:szCs w:val="20"/>
        </w:rPr>
        <w:t xml:space="preserve"> </w:t>
      </w:r>
      <w:r w:rsidRPr="005F6C4D">
        <w:rPr>
          <w:rFonts w:ascii="Arial" w:hAnsi="Arial" w:cs="Arial"/>
          <w:sz w:val="20"/>
          <w:szCs w:val="20"/>
        </w:rPr>
        <w:t>after</w:t>
      </w:r>
      <w:r w:rsidRPr="005F6C4D">
        <w:rPr>
          <w:rFonts w:ascii="Arial" w:hAnsi="Arial" w:cs="Arial"/>
          <w:spacing w:val="-3"/>
          <w:sz w:val="20"/>
          <w:szCs w:val="20"/>
        </w:rPr>
        <w:t xml:space="preserve"> </w:t>
      </w:r>
      <w:r w:rsidRPr="005F6C4D">
        <w:rPr>
          <w:rFonts w:ascii="Arial" w:hAnsi="Arial" w:cs="Arial"/>
          <w:sz w:val="20"/>
          <w:szCs w:val="20"/>
        </w:rPr>
        <w:t>the</w:t>
      </w:r>
      <w:r w:rsidRPr="005F6C4D">
        <w:rPr>
          <w:rFonts w:ascii="Arial" w:hAnsi="Arial" w:cs="Arial"/>
          <w:spacing w:val="-2"/>
          <w:sz w:val="20"/>
          <w:szCs w:val="20"/>
        </w:rPr>
        <w:t xml:space="preserve"> </w:t>
      </w:r>
      <w:r w:rsidRPr="005F6C4D">
        <w:rPr>
          <w:rFonts w:ascii="Arial" w:hAnsi="Arial" w:cs="Arial"/>
          <w:sz w:val="20"/>
          <w:szCs w:val="20"/>
        </w:rPr>
        <w:t>flight</w:t>
      </w:r>
      <w:r w:rsidRPr="005F6C4D">
        <w:rPr>
          <w:rFonts w:ascii="Arial" w:hAnsi="Arial" w:cs="Arial"/>
          <w:spacing w:val="-3"/>
          <w:sz w:val="20"/>
          <w:szCs w:val="20"/>
        </w:rPr>
        <w:t xml:space="preserve"> </w:t>
      </w:r>
      <w:r w:rsidRPr="005F6C4D">
        <w:rPr>
          <w:rFonts w:ascii="Arial" w:hAnsi="Arial" w:cs="Arial"/>
          <w:sz w:val="20"/>
          <w:szCs w:val="20"/>
        </w:rPr>
        <w:t>by</w:t>
      </w:r>
      <w:r w:rsidRPr="005F6C4D">
        <w:rPr>
          <w:rFonts w:ascii="Arial" w:hAnsi="Arial" w:cs="Arial"/>
          <w:spacing w:val="-2"/>
          <w:sz w:val="20"/>
          <w:szCs w:val="20"/>
        </w:rPr>
        <w:t xml:space="preserve"> </w:t>
      </w:r>
      <w:r w:rsidRPr="005F6C4D">
        <w:rPr>
          <w:rFonts w:ascii="Arial" w:hAnsi="Arial" w:cs="Arial"/>
          <w:sz w:val="20"/>
          <w:szCs w:val="20"/>
        </w:rPr>
        <w:t>the</w:t>
      </w:r>
      <w:r w:rsidRPr="005F6C4D">
        <w:rPr>
          <w:rFonts w:ascii="Arial" w:hAnsi="Arial" w:cs="Arial"/>
          <w:spacing w:val="-6"/>
          <w:sz w:val="20"/>
          <w:szCs w:val="20"/>
        </w:rPr>
        <w:t xml:space="preserve"> </w:t>
      </w:r>
      <w:r w:rsidRPr="005F6C4D">
        <w:rPr>
          <w:rFonts w:ascii="Arial" w:hAnsi="Arial" w:cs="Arial"/>
          <w:sz w:val="20"/>
          <w:szCs w:val="20"/>
        </w:rPr>
        <w:t>maintenance</w:t>
      </w:r>
      <w:r w:rsidRPr="005F6C4D">
        <w:rPr>
          <w:rFonts w:ascii="Arial" w:hAnsi="Arial" w:cs="Arial"/>
          <w:spacing w:val="-2"/>
          <w:sz w:val="20"/>
          <w:szCs w:val="20"/>
        </w:rPr>
        <w:t xml:space="preserve"> </w:t>
      </w:r>
      <w:r w:rsidRPr="005F6C4D">
        <w:rPr>
          <w:rFonts w:ascii="Arial" w:hAnsi="Arial" w:cs="Arial"/>
          <w:sz w:val="20"/>
          <w:szCs w:val="20"/>
        </w:rPr>
        <w:t>personnel</w:t>
      </w:r>
      <w:r w:rsidRPr="005F6C4D">
        <w:rPr>
          <w:rFonts w:ascii="Arial" w:hAnsi="Arial" w:cs="Arial"/>
          <w:spacing w:val="-3"/>
          <w:sz w:val="20"/>
          <w:szCs w:val="20"/>
        </w:rPr>
        <w:t xml:space="preserve"> </w:t>
      </w:r>
      <w:r w:rsidRPr="005F6C4D">
        <w:rPr>
          <w:rFonts w:ascii="Arial" w:hAnsi="Arial" w:cs="Arial"/>
          <w:sz w:val="20"/>
          <w:szCs w:val="20"/>
        </w:rPr>
        <w:t>or</w:t>
      </w:r>
      <w:r w:rsidRPr="005F6C4D">
        <w:rPr>
          <w:rFonts w:ascii="Arial" w:hAnsi="Arial" w:cs="Arial"/>
          <w:spacing w:val="-5"/>
          <w:sz w:val="20"/>
          <w:szCs w:val="20"/>
        </w:rPr>
        <w:t xml:space="preserve"> </w:t>
      </w:r>
      <w:r w:rsidRPr="005F6C4D">
        <w:rPr>
          <w:rFonts w:ascii="Arial" w:hAnsi="Arial" w:cs="Arial"/>
          <w:sz w:val="20"/>
          <w:szCs w:val="20"/>
        </w:rPr>
        <w:t>organisation</w:t>
      </w:r>
      <w:r w:rsidRPr="005F6C4D">
        <w:rPr>
          <w:rFonts w:ascii="Arial" w:hAnsi="Arial" w:cs="Arial"/>
          <w:spacing w:val="-4"/>
          <w:sz w:val="20"/>
          <w:szCs w:val="20"/>
        </w:rPr>
        <w:t xml:space="preserve"> </w:t>
      </w:r>
      <w:r w:rsidRPr="005F6C4D">
        <w:rPr>
          <w:rFonts w:ascii="Arial" w:hAnsi="Arial" w:cs="Arial"/>
          <w:sz w:val="20"/>
          <w:szCs w:val="20"/>
        </w:rPr>
        <w:t>prior</w:t>
      </w:r>
      <w:r w:rsidRPr="005F6C4D">
        <w:rPr>
          <w:rFonts w:ascii="Arial" w:hAnsi="Arial" w:cs="Arial"/>
          <w:spacing w:val="-4"/>
          <w:sz w:val="20"/>
          <w:szCs w:val="20"/>
        </w:rPr>
        <w:t xml:space="preserve"> </w:t>
      </w:r>
      <w:r w:rsidRPr="005F6C4D">
        <w:rPr>
          <w:rFonts w:ascii="Arial" w:hAnsi="Arial" w:cs="Arial"/>
          <w:sz w:val="20"/>
          <w:szCs w:val="20"/>
        </w:rPr>
        <w:t>to</w:t>
      </w:r>
      <w:r w:rsidRPr="005F6C4D">
        <w:rPr>
          <w:rFonts w:ascii="Arial" w:hAnsi="Arial" w:cs="Arial"/>
          <w:spacing w:val="-2"/>
          <w:sz w:val="20"/>
          <w:szCs w:val="20"/>
        </w:rPr>
        <w:t xml:space="preserve"> </w:t>
      </w:r>
      <w:r w:rsidRPr="005F6C4D">
        <w:rPr>
          <w:rFonts w:ascii="Arial" w:hAnsi="Arial" w:cs="Arial"/>
          <w:sz w:val="20"/>
          <w:szCs w:val="20"/>
        </w:rPr>
        <w:t>issuing</w:t>
      </w:r>
      <w:r w:rsidRPr="005F6C4D">
        <w:rPr>
          <w:rFonts w:ascii="Arial" w:hAnsi="Arial" w:cs="Arial"/>
          <w:spacing w:val="-4"/>
          <w:sz w:val="20"/>
          <w:szCs w:val="20"/>
        </w:rPr>
        <w:t xml:space="preserve"> </w:t>
      </w:r>
      <w:r w:rsidRPr="005F6C4D">
        <w:rPr>
          <w:rFonts w:ascii="Arial" w:hAnsi="Arial" w:cs="Arial"/>
          <w:sz w:val="20"/>
          <w:szCs w:val="20"/>
        </w:rPr>
        <w:t>the</w:t>
      </w:r>
      <w:r w:rsidRPr="005F6C4D">
        <w:rPr>
          <w:rFonts w:ascii="Arial" w:hAnsi="Arial" w:cs="Arial"/>
          <w:spacing w:val="-47"/>
          <w:sz w:val="20"/>
          <w:szCs w:val="20"/>
        </w:rPr>
        <w:t xml:space="preserve"> </w:t>
      </w:r>
      <w:r w:rsidRPr="005F6C4D">
        <w:rPr>
          <w:rFonts w:ascii="Arial" w:hAnsi="Arial" w:cs="Arial"/>
          <w:sz w:val="20"/>
          <w:szCs w:val="20"/>
        </w:rPr>
        <w:t>maintenance release. For this purpose, when the maintenance staff cannot perform these</w:t>
      </w:r>
      <w:r w:rsidRPr="005F6C4D">
        <w:rPr>
          <w:rFonts w:ascii="Arial" w:hAnsi="Arial" w:cs="Arial"/>
          <w:spacing w:val="1"/>
          <w:sz w:val="20"/>
          <w:szCs w:val="20"/>
        </w:rPr>
        <w:t xml:space="preserve"> </w:t>
      </w:r>
      <w:r w:rsidRPr="005F6C4D">
        <w:rPr>
          <w:rFonts w:ascii="Arial" w:hAnsi="Arial" w:cs="Arial"/>
          <w:spacing w:val="-1"/>
          <w:sz w:val="20"/>
          <w:szCs w:val="20"/>
        </w:rPr>
        <w:t>functions</w:t>
      </w:r>
      <w:r w:rsidRPr="005F6C4D">
        <w:rPr>
          <w:rFonts w:ascii="Arial" w:hAnsi="Arial" w:cs="Arial"/>
          <w:spacing w:val="-10"/>
          <w:sz w:val="20"/>
          <w:szCs w:val="20"/>
        </w:rPr>
        <w:t xml:space="preserve"> </w:t>
      </w:r>
      <w:r w:rsidRPr="005F6C4D">
        <w:rPr>
          <w:rFonts w:ascii="Arial" w:hAnsi="Arial" w:cs="Arial"/>
          <w:sz w:val="20"/>
          <w:szCs w:val="20"/>
        </w:rPr>
        <w:t>in</w:t>
      </w:r>
      <w:r w:rsidRPr="005F6C4D">
        <w:rPr>
          <w:rFonts w:ascii="Arial" w:hAnsi="Arial" w:cs="Arial"/>
          <w:spacing w:val="-10"/>
          <w:sz w:val="20"/>
          <w:szCs w:val="20"/>
        </w:rPr>
        <w:t xml:space="preserve"> </w:t>
      </w:r>
      <w:r w:rsidRPr="005F6C4D">
        <w:rPr>
          <w:rFonts w:ascii="Arial" w:hAnsi="Arial" w:cs="Arial"/>
          <w:sz w:val="20"/>
          <w:szCs w:val="20"/>
        </w:rPr>
        <w:t>flight,</w:t>
      </w:r>
      <w:r w:rsidRPr="005F6C4D">
        <w:rPr>
          <w:rFonts w:ascii="Arial" w:hAnsi="Arial" w:cs="Arial"/>
          <w:spacing w:val="-9"/>
          <w:sz w:val="20"/>
          <w:szCs w:val="20"/>
        </w:rPr>
        <w:t xml:space="preserve"> </w:t>
      </w:r>
      <w:r w:rsidRPr="005F6C4D">
        <w:rPr>
          <w:rFonts w:ascii="Arial" w:hAnsi="Arial" w:cs="Arial"/>
          <w:sz w:val="20"/>
          <w:szCs w:val="20"/>
        </w:rPr>
        <w:t>it</w:t>
      </w:r>
      <w:r w:rsidRPr="005F6C4D">
        <w:rPr>
          <w:rFonts w:ascii="Arial" w:hAnsi="Arial" w:cs="Arial"/>
          <w:spacing w:val="-9"/>
          <w:sz w:val="20"/>
          <w:szCs w:val="20"/>
        </w:rPr>
        <w:t xml:space="preserve"> </w:t>
      </w:r>
      <w:r w:rsidRPr="005F6C4D">
        <w:rPr>
          <w:rFonts w:ascii="Arial" w:hAnsi="Arial" w:cs="Arial"/>
          <w:sz w:val="20"/>
          <w:szCs w:val="20"/>
        </w:rPr>
        <w:t>may</w:t>
      </w:r>
      <w:r w:rsidRPr="005F6C4D">
        <w:rPr>
          <w:rFonts w:ascii="Arial" w:hAnsi="Arial" w:cs="Arial"/>
          <w:spacing w:val="-9"/>
          <w:sz w:val="20"/>
          <w:szCs w:val="20"/>
        </w:rPr>
        <w:t xml:space="preserve"> </w:t>
      </w:r>
      <w:r w:rsidRPr="005F6C4D">
        <w:rPr>
          <w:rFonts w:ascii="Arial" w:hAnsi="Arial" w:cs="Arial"/>
          <w:sz w:val="20"/>
          <w:szCs w:val="20"/>
        </w:rPr>
        <w:t>rely</w:t>
      </w:r>
      <w:r w:rsidRPr="005F6C4D">
        <w:rPr>
          <w:rFonts w:ascii="Arial" w:hAnsi="Arial" w:cs="Arial"/>
          <w:spacing w:val="-9"/>
          <w:sz w:val="20"/>
          <w:szCs w:val="20"/>
        </w:rPr>
        <w:t xml:space="preserve"> </w:t>
      </w:r>
      <w:r w:rsidRPr="005F6C4D">
        <w:rPr>
          <w:rFonts w:ascii="Arial" w:hAnsi="Arial" w:cs="Arial"/>
          <w:sz w:val="20"/>
          <w:szCs w:val="20"/>
        </w:rPr>
        <w:t>on</w:t>
      </w:r>
      <w:r w:rsidRPr="005F6C4D">
        <w:rPr>
          <w:rFonts w:ascii="Arial" w:hAnsi="Arial" w:cs="Arial"/>
          <w:spacing w:val="-10"/>
          <w:sz w:val="20"/>
          <w:szCs w:val="20"/>
        </w:rPr>
        <w:t xml:space="preserve"> </w:t>
      </w:r>
      <w:r w:rsidRPr="005F6C4D">
        <w:rPr>
          <w:rFonts w:ascii="Arial" w:hAnsi="Arial" w:cs="Arial"/>
          <w:sz w:val="20"/>
          <w:szCs w:val="20"/>
        </w:rPr>
        <w:t>the</w:t>
      </w:r>
      <w:r w:rsidRPr="005F6C4D">
        <w:rPr>
          <w:rFonts w:ascii="Arial" w:hAnsi="Arial" w:cs="Arial"/>
          <w:spacing w:val="-12"/>
          <w:sz w:val="20"/>
          <w:szCs w:val="20"/>
        </w:rPr>
        <w:t xml:space="preserve"> </w:t>
      </w:r>
      <w:r w:rsidRPr="005F6C4D">
        <w:rPr>
          <w:rFonts w:ascii="Arial" w:hAnsi="Arial" w:cs="Arial"/>
          <w:sz w:val="20"/>
          <w:szCs w:val="20"/>
        </w:rPr>
        <w:t>crew</w:t>
      </w:r>
      <w:r w:rsidRPr="005F6C4D">
        <w:rPr>
          <w:rFonts w:ascii="Arial" w:hAnsi="Arial" w:cs="Arial"/>
          <w:spacing w:val="-9"/>
          <w:sz w:val="20"/>
          <w:szCs w:val="20"/>
        </w:rPr>
        <w:t xml:space="preserve"> </w:t>
      </w:r>
      <w:r w:rsidRPr="005F6C4D">
        <w:rPr>
          <w:rFonts w:ascii="Arial" w:hAnsi="Arial" w:cs="Arial"/>
          <w:sz w:val="20"/>
          <w:szCs w:val="20"/>
        </w:rPr>
        <w:t>performing</w:t>
      </w:r>
      <w:r w:rsidRPr="005F6C4D">
        <w:rPr>
          <w:rFonts w:ascii="Arial" w:hAnsi="Arial" w:cs="Arial"/>
          <w:spacing w:val="-10"/>
          <w:sz w:val="20"/>
          <w:szCs w:val="20"/>
        </w:rPr>
        <w:t xml:space="preserve"> </w:t>
      </w:r>
      <w:r w:rsidRPr="005F6C4D">
        <w:rPr>
          <w:rFonts w:ascii="Arial" w:hAnsi="Arial" w:cs="Arial"/>
          <w:sz w:val="20"/>
          <w:szCs w:val="20"/>
        </w:rPr>
        <w:t>the</w:t>
      </w:r>
      <w:r w:rsidRPr="005F6C4D">
        <w:rPr>
          <w:rFonts w:ascii="Arial" w:hAnsi="Arial" w:cs="Arial"/>
          <w:spacing w:val="-9"/>
          <w:sz w:val="20"/>
          <w:szCs w:val="20"/>
        </w:rPr>
        <w:t xml:space="preserve"> </w:t>
      </w:r>
      <w:r w:rsidRPr="005F6C4D">
        <w:rPr>
          <w:rFonts w:ascii="Arial" w:hAnsi="Arial" w:cs="Arial"/>
          <w:sz w:val="20"/>
          <w:szCs w:val="20"/>
        </w:rPr>
        <w:t>flight</w:t>
      </w:r>
      <w:r w:rsidRPr="005F6C4D">
        <w:rPr>
          <w:rFonts w:ascii="Arial" w:hAnsi="Arial" w:cs="Arial"/>
          <w:spacing w:val="-9"/>
          <w:sz w:val="20"/>
          <w:szCs w:val="20"/>
        </w:rPr>
        <w:t xml:space="preserve"> </w:t>
      </w:r>
      <w:r w:rsidRPr="005F6C4D">
        <w:rPr>
          <w:rFonts w:ascii="Arial" w:hAnsi="Arial" w:cs="Arial"/>
          <w:sz w:val="20"/>
          <w:szCs w:val="20"/>
        </w:rPr>
        <w:t>to</w:t>
      </w:r>
      <w:r w:rsidRPr="005F6C4D">
        <w:rPr>
          <w:rFonts w:ascii="Arial" w:hAnsi="Arial" w:cs="Arial"/>
          <w:spacing w:val="-8"/>
          <w:sz w:val="20"/>
          <w:szCs w:val="20"/>
        </w:rPr>
        <w:t xml:space="preserve"> </w:t>
      </w:r>
      <w:r w:rsidRPr="005F6C4D">
        <w:rPr>
          <w:rFonts w:ascii="Arial" w:hAnsi="Arial" w:cs="Arial"/>
          <w:sz w:val="20"/>
          <w:szCs w:val="20"/>
        </w:rPr>
        <w:t>complete</w:t>
      </w:r>
      <w:r w:rsidRPr="005F6C4D">
        <w:rPr>
          <w:rFonts w:ascii="Arial" w:hAnsi="Arial" w:cs="Arial"/>
          <w:spacing w:val="-11"/>
          <w:sz w:val="20"/>
          <w:szCs w:val="20"/>
        </w:rPr>
        <w:t xml:space="preserve"> </w:t>
      </w:r>
      <w:r w:rsidRPr="005F6C4D">
        <w:rPr>
          <w:rFonts w:ascii="Arial" w:hAnsi="Arial" w:cs="Arial"/>
          <w:sz w:val="20"/>
          <w:szCs w:val="20"/>
        </w:rPr>
        <w:t>this</w:t>
      </w:r>
      <w:r w:rsidRPr="005F6C4D">
        <w:rPr>
          <w:rFonts w:ascii="Arial" w:hAnsi="Arial" w:cs="Arial"/>
          <w:spacing w:val="-9"/>
          <w:sz w:val="20"/>
          <w:szCs w:val="20"/>
        </w:rPr>
        <w:t xml:space="preserve"> </w:t>
      </w:r>
      <w:r w:rsidRPr="005F6C4D">
        <w:rPr>
          <w:rFonts w:ascii="Arial" w:hAnsi="Arial" w:cs="Arial"/>
          <w:sz w:val="20"/>
          <w:szCs w:val="20"/>
        </w:rPr>
        <w:t>data</w:t>
      </w:r>
      <w:r w:rsidRPr="005F6C4D">
        <w:rPr>
          <w:rFonts w:ascii="Arial" w:hAnsi="Arial" w:cs="Arial"/>
          <w:spacing w:val="-9"/>
          <w:sz w:val="20"/>
          <w:szCs w:val="20"/>
        </w:rPr>
        <w:t xml:space="preserve"> </w:t>
      </w:r>
      <w:r w:rsidRPr="005F6C4D">
        <w:rPr>
          <w:rFonts w:ascii="Arial" w:hAnsi="Arial" w:cs="Arial"/>
          <w:sz w:val="20"/>
          <w:szCs w:val="20"/>
        </w:rPr>
        <w:t>or</w:t>
      </w:r>
      <w:r w:rsidRPr="005F6C4D">
        <w:rPr>
          <w:rFonts w:ascii="Arial" w:hAnsi="Arial" w:cs="Arial"/>
          <w:spacing w:val="-9"/>
          <w:sz w:val="20"/>
          <w:szCs w:val="20"/>
        </w:rPr>
        <w:t xml:space="preserve"> </w:t>
      </w:r>
      <w:r w:rsidRPr="005F6C4D">
        <w:rPr>
          <w:rFonts w:ascii="Arial" w:hAnsi="Arial" w:cs="Arial"/>
          <w:sz w:val="20"/>
          <w:szCs w:val="20"/>
        </w:rPr>
        <w:t>to</w:t>
      </w:r>
      <w:r w:rsidRPr="005F6C4D">
        <w:rPr>
          <w:rFonts w:ascii="Arial" w:hAnsi="Arial" w:cs="Arial"/>
          <w:spacing w:val="-11"/>
          <w:sz w:val="20"/>
          <w:szCs w:val="20"/>
        </w:rPr>
        <w:t xml:space="preserve"> </w:t>
      </w:r>
      <w:r w:rsidRPr="005F6C4D">
        <w:rPr>
          <w:rFonts w:ascii="Arial" w:hAnsi="Arial" w:cs="Arial"/>
          <w:sz w:val="20"/>
          <w:szCs w:val="20"/>
        </w:rPr>
        <w:t>make</w:t>
      </w:r>
      <w:r w:rsidRPr="005F6C4D">
        <w:rPr>
          <w:rFonts w:ascii="Arial" w:hAnsi="Arial" w:cs="Arial"/>
          <w:spacing w:val="-48"/>
          <w:sz w:val="20"/>
          <w:szCs w:val="20"/>
        </w:rPr>
        <w:t xml:space="preserve"> </w:t>
      </w:r>
      <w:r w:rsidRPr="005F6C4D">
        <w:rPr>
          <w:rFonts w:ascii="Arial" w:hAnsi="Arial" w:cs="Arial"/>
          <w:sz w:val="20"/>
          <w:szCs w:val="20"/>
        </w:rPr>
        <w:t>statements about in-flight verifications. In this case, the maintenance staff should appoint the</w:t>
      </w:r>
      <w:r w:rsidRPr="005F6C4D">
        <w:rPr>
          <w:rFonts w:ascii="Arial" w:hAnsi="Arial" w:cs="Arial"/>
          <w:spacing w:val="1"/>
          <w:sz w:val="20"/>
          <w:szCs w:val="20"/>
        </w:rPr>
        <w:t xml:space="preserve"> </w:t>
      </w:r>
      <w:r w:rsidRPr="005F6C4D">
        <w:rPr>
          <w:rFonts w:ascii="Arial" w:hAnsi="Arial" w:cs="Arial"/>
          <w:sz w:val="20"/>
          <w:szCs w:val="20"/>
        </w:rPr>
        <w:t>crew personnel to play such a role on their behalf and, before the flight, brief the appointed</w:t>
      </w:r>
      <w:r w:rsidRPr="005F6C4D">
        <w:rPr>
          <w:rFonts w:ascii="Arial" w:hAnsi="Arial" w:cs="Arial"/>
          <w:spacing w:val="1"/>
          <w:sz w:val="20"/>
          <w:szCs w:val="20"/>
        </w:rPr>
        <w:t xml:space="preserve"> </w:t>
      </w:r>
      <w:r w:rsidRPr="005F6C4D">
        <w:rPr>
          <w:rFonts w:ascii="Arial" w:hAnsi="Arial" w:cs="Arial"/>
          <w:sz w:val="20"/>
          <w:szCs w:val="20"/>
        </w:rPr>
        <w:t>crew personnel on the scope, functions and the detailed process to be followed, including</w:t>
      </w:r>
      <w:r w:rsidRPr="005F6C4D">
        <w:rPr>
          <w:rFonts w:ascii="Arial" w:hAnsi="Arial" w:cs="Arial"/>
          <w:spacing w:val="1"/>
          <w:sz w:val="20"/>
          <w:szCs w:val="20"/>
        </w:rPr>
        <w:t xml:space="preserve"> </w:t>
      </w:r>
      <w:r w:rsidRPr="005F6C4D">
        <w:rPr>
          <w:rFonts w:ascii="Arial" w:hAnsi="Arial" w:cs="Arial"/>
          <w:sz w:val="20"/>
          <w:szCs w:val="20"/>
        </w:rPr>
        <w:t>required reporting information after the flight and reporting means, in support of the final</w:t>
      </w:r>
      <w:r w:rsidRPr="005F6C4D">
        <w:rPr>
          <w:rFonts w:ascii="Arial" w:hAnsi="Arial" w:cs="Arial"/>
          <w:spacing w:val="1"/>
          <w:sz w:val="20"/>
          <w:szCs w:val="20"/>
        </w:rPr>
        <w:t xml:space="preserve"> </w:t>
      </w:r>
      <w:r w:rsidRPr="005F6C4D">
        <w:rPr>
          <w:rFonts w:ascii="Arial" w:hAnsi="Arial" w:cs="Arial"/>
          <w:sz w:val="20"/>
          <w:szCs w:val="20"/>
        </w:rPr>
        <w:t>release</w:t>
      </w:r>
      <w:r w:rsidRPr="005F6C4D">
        <w:rPr>
          <w:rFonts w:ascii="Arial" w:hAnsi="Arial" w:cs="Arial"/>
          <w:spacing w:val="-3"/>
          <w:sz w:val="20"/>
          <w:szCs w:val="20"/>
        </w:rPr>
        <w:t xml:space="preserve"> </w:t>
      </w:r>
      <w:r w:rsidRPr="005F6C4D">
        <w:rPr>
          <w:rFonts w:ascii="Arial" w:hAnsi="Arial" w:cs="Arial"/>
          <w:sz w:val="20"/>
          <w:szCs w:val="20"/>
        </w:rPr>
        <w:t>to</w:t>
      </w:r>
      <w:r w:rsidRPr="005F6C4D">
        <w:rPr>
          <w:rFonts w:ascii="Arial" w:hAnsi="Arial" w:cs="Arial"/>
          <w:spacing w:val="1"/>
          <w:sz w:val="20"/>
          <w:szCs w:val="20"/>
        </w:rPr>
        <w:t xml:space="preserve"> </w:t>
      </w:r>
      <w:r w:rsidRPr="005F6C4D">
        <w:rPr>
          <w:rFonts w:ascii="Arial" w:hAnsi="Arial" w:cs="Arial"/>
          <w:sz w:val="20"/>
          <w:szCs w:val="20"/>
        </w:rPr>
        <w:t>service</w:t>
      </w:r>
      <w:r w:rsidRPr="005F6C4D">
        <w:rPr>
          <w:rFonts w:ascii="Arial" w:hAnsi="Arial" w:cs="Arial"/>
          <w:spacing w:val="1"/>
          <w:sz w:val="20"/>
          <w:szCs w:val="20"/>
        </w:rPr>
        <w:t xml:space="preserve"> </w:t>
      </w:r>
      <w:r w:rsidRPr="005F6C4D">
        <w:rPr>
          <w:rFonts w:ascii="Arial" w:hAnsi="Arial" w:cs="Arial"/>
          <w:sz w:val="20"/>
          <w:szCs w:val="20"/>
        </w:rPr>
        <w:t>to</w:t>
      </w:r>
      <w:r w:rsidRPr="005F6C4D">
        <w:rPr>
          <w:rFonts w:ascii="Arial" w:hAnsi="Arial" w:cs="Arial"/>
          <w:spacing w:val="1"/>
          <w:sz w:val="20"/>
          <w:szCs w:val="20"/>
        </w:rPr>
        <w:t xml:space="preserve"> </w:t>
      </w:r>
      <w:r w:rsidRPr="005F6C4D">
        <w:rPr>
          <w:rFonts w:ascii="Arial" w:hAnsi="Arial" w:cs="Arial"/>
          <w:sz w:val="20"/>
          <w:szCs w:val="20"/>
        </w:rPr>
        <w:t>be</w:t>
      </w:r>
      <w:r w:rsidRPr="005F6C4D">
        <w:rPr>
          <w:rFonts w:ascii="Arial" w:hAnsi="Arial" w:cs="Arial"/>
          <w:spacing w:val="-3"/>
          <w:sz w:val="20"/>
          <w:szCs w:val="20"/>
        </w:rPr>
        <w:t xml:space="preserve"> </w:t>
      </w:r>
      <w:r w:rsidRPr="005F6C4D">
        <w:rPr>
          <w:rFonts w:ascii="Arial" w:hAnsi="Arial" w:cs="Arial"/>
          <w:sz w:val="20"/>
          <w:szCs w:val="20"/>
        </w:rPr>
        <w:t>issued by the</w:t>
      </w:r>
      <w:r w:rsidRPr="005F6C4D">
        <w:rPr>
          <w:rFonts w:ascii="Arial" w:hAnsi="Arial" w:cs="Arial"/>
          <w:spacing w:val="-3"/>
          <w:sz w:val="20"/>
          <w:szCs w:val="20"/>
        </w:rPr>
        <w:t xml:space="preserve"> </w:t>
      </w:r>
      <w:r w:rsidRPr="005F6C4D">
        <w:rPr>
          <w:rFonts w:ascii="Arial" w:hAnsi="Arial" w:cs="Arial"/>
          <w:sz w:val="20"/>
          <w:szCs w:val="20"/>
        </w:rPr>
        <w:t>certifying</w:t>
      </w:r>
      <w:r w:rsidRPr="005F6C4D">
        <w:rPr>
          <w:rFonts w:ascii="Arial" w:hAnsi="Arial" w:cs="Arial"/>
          <w:spacing w:val="-1"/>
          <w:sz w:val="20"/>
          <w:szCs w:val="20"/>
        </w:rPr>
        <w:t xml:space="preserve"> </w:t>
      </w:r>
      <w:r w:rsidRPr="005F6C4D">
        <w:rPr>
          <w:rFonts w:ascii="Arial" w:hAnsi="Arial" w:cs="Arial"/>
          <w:sz w:val="20"/>
          <w:szCs w:val="20"/>
        </w:rPr>
        <w:t>staff.</w:t>
      </w:r>
    </w:p>
    <w:p w14:paraId="0D70F1C7" w14:textId="77777777" w:rsidR="00CD5CD5" w:rsidRPr="00CD5CD5" w:rsidRDefault="00CD5CD5" w:rsidP="00CD5CD5">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824" w:name="_Toc153137505"/>
      <w:r w:rsidRPr="00CD5CD5">
        <w:rPr>
          <w:rFonts w:ascii="Arial" w:eastAsia="Times New Roman" w:hAnsi="Arial" w:cs="Times New Roman"/>
          <w:b/>
          <w:iCs/>
          <w:color w:val="FFFFFF"/>
          <w:sz w:val="24"/>
        </w:rPr>
        <w:t>ML.A.302 Aircraft maintenance programme</w:t>
      </w:r>
      <w:bookmarkEnd w:id="824"/>
      <w:r w:rsidRPr="00CD5CD5">
        <w:rPr>
          <w:rFonts w:ascii="Arial" w:eastAsia="Times New Roman" w:hAnsi="Arial" w:cs="Times New Roman"/>
          <w:b/>
          <w:iCs/>
          <w:color w:val="FFFFFF"/>
          <w:sz w:val="24"/>
        </w:rPr>
        <w:tab/>
      </w:r>
    </w:p>
    <w:p w14:paraId="40F80EDF" w14:textId="77777777" w:rsidR="00CD5CD5" w:rsidRPr="00CD5CD5" w:rsidRDefault="00CD5CD5" w:rsidP="00CD5CD5">
      <w:pPr>
        <w:pStyle w:val="ListParagraph"/>
        <w:numPr>
          <w:ilvl w:val="0"/>
          <w:numId w:val="290"/>
        </w:numPr>
        <w:tabs>
          <w:tab w:val="left" w:pos="706"/>
          <w:tab w:val="left" w:pos="707"/>
        </w:tabs>
        <w:spacing w:before="118"/>
        <w:rPr>
          <w:rFonts w:ascii="Arial" w:hAnsi="Arial" w:cs="Arial"/>
          <w:sz w:val="20"/>
          <w:szCs w:val="20"/>
        </w:rPr>
      </w:pPr>
      <w:r w:rsidRPr="00CD5CD5">
        <w:rPr>
          <w:rFonts w:ascii="Arial" w:hAnsi="Arial" w:cs="Arial"/>
          <w:sz w:val="20"/>
          <w:szCs w:val="20"/>
        </w:rPr>
        <w:t>The</w:t>
      </w:r>
      <w:r w:rsidRPr="00CD5CD5">
        <w:rPr>
          <w:rFonts w:ascii="Arial" w:hAnsi="Arial" w:cs="Arial"/>
          <w:spacing w:val="-3"/>
          <w:sz w:val="20"/>
          <w:szCs w:val="20"/>
        </w:rPr>
        <w:t xml:space="preserve"> </w:t>
      </w:r>
      <w:r w:rsidRPr="00CD5CD5">
        <w:rPr>
          <w:rFonts w:ascii="Arial" w:hAnsi="Arial" w:cs="Arial"/>
          <w:sz w:val="20"/>
          <w:szCs w:val="20"/>
        </w:rPr>
        <w:t>maintenance</w:t>
      </w:r>
      <w:r w:rsidRPr="00CD5CD5">
        <w:rPr>
          <w:rFonts w:ascii="Arial" w:hAnsi="Arial" w:cs="Arial"/>
          <w:spacing w:val="1"/>
          <w:sz w:val="20"/>
          <w:szCs w:val="20"/>
        </w:rPr>
        <w:t xml:space="preserve"> </w:t>
      </w:r>
      <w:r w:rsidRPr="00CD5CD5">
        <w:rPr>
          <w:rFonts w:ascii="Arial" w:hAnsi="Arial" w:cs="Arial"/>
          <w:sz w:val="20"/>
          <w:szCs w:val="20"/>
        </w:rPr>
        <w:t>of</w:t>
      </w:r>
      <w:r w:rsidRPr="00CD5CD5">
        <w:rPr>
          <w:rFonts w:ascii="Arial" w:hAnsi="Arial" w:cs="Arial"/>
          <w:spacing w:val="-3"/>
          <w:sz w:val="20"/>
          <w:szCs w:val="20"/>
        </w:rPr>
        <w:t xml:space="preserve"> </w:t>
      </w:r>
      <w:r w:rsidRPr="00CD5CD5">
        <w:rPr>
          <w:rFonts w:ascii="Arial" w:hAnsi="Arial" w:cs="Arial"/>
          <w:sz w:val="20"/>
          <w:szCs w:val="20"/>
        </w:rPr>
        <w:t>each</w:t>
      </w:r>
      <w:r w:rsidRPr="00CD5CD5">
        <w:rPr>
          <w:rFonts w:ascii="Arial" w:hAnsi="Arial" w:cs="Arial"/>
          <w:spacing w:val="-3"/>
          <w:sz w:val="20"/>
          <w:szCs w:val="20"/>
        </w:rPr>
        <w:t xml:space="preserve"> </w:t>
      </w:r>
      <w:r w:rsidRPr="00CD5CD5">
        <w:rPr>
          <w:rFonts w:ascii="Arial" w:hAnsi="Arial" w:cs="Arial"/>
          <w:sz w:val="20"/>
          <w:szCs w:val="20"/>
        </w:rPr>
        <w:t>aircraft shall</w:t>
      </w:r>
      <w:r w:rsidRPr="00CD5CD5">
        <w:rPr>
          <w:rFonts w:ascii="Arial" w:hAnsi="Arial" w:cs="Arial"/>
          <w:spacing w:val="-1"/>
          <w:sz w:val="20"/>
          <w:szCs w:val="20"/>
        </w:rPr>
        <w:t xml:space="preserve"> </w:t>
      </w:r>
      <w:r w:rsidRPr="00CD5CD5">
        <w:rPr>
          <w:rFonts w:ascii="Arial" w:hAnsi="Arial" w:cs="Arial"/>
          <w:sz w:val="20"/>
          <w:szCs w:val="20"/>
        </w:rPr>
        <w:t>be</w:t>
      </w:r>
      <w:r w:rsidRPr="00CD5CD5">
        <w:rPr>
          <w:rFonts w:ascii="Arial" w:hAnsi="Arial" w:cs="Arial"/>
          <w:spacing w:val="-3"/>
          <w:sz w:val="20"/>
          <w:szCs w:val="20"/>
        </w:rPr>
        <w:t xml:space="preserve"> </w:t>
      </w:r>
      <w:r w:rsidRPr="00CD5CD5">
        <w:rPr>
          <w:rFonts w:ascii="Arial" w:hAnsi="Arial" w:cs="Arial"/>
          <w:sz w:val="20"/>
          <w:szCs w:val="20"/>
        </w:rPr>
        <w:t>organised in</w:t>
      </w:r>
      <w:r w:rsidRPr="00CD5CD5">
        <w:rPr>
          <w:rFonts w:ascii="Arial" w:hAnsi="Arial" w:cs="Arial"/>
          <w:spacing w:val="-4"/>
          <w:sz w:val="20"/>
          <w:szCs w:val="20"/>
        </w:rPr>
        <w:t xml:space="preserve"> </w:t>
      </w:r>
      <w:r w:rsidRPr="00CD5CD5">
        <w:rPr>
          <w:rFonts w:ascii="Arial" w:hAnsi="Arial" w:cs="Arial"/>
          <w:sz w:val="20"/>
          <w:szCs w:val="20"/>
        </w:rPr>
        <w:t>accordance</w:t>
      </w:r>
      <w:r w:rsidRPr="00CD5CD5">
        <w:rPr>
          <w:rFonts w:ascii="Arial" w:hAnsi="Arial" w:cs="Arial"/>
          <w:spacing w:val="-2"/>
          <w:sz w:val="20"/>
          <w:szCs w:val="20"/>
        </w:rPr>
        <w:t xml:space="preserve"> </w:t>
      </w:r>
      <w:r w:rsidRPr="00CD5CD5">
        <w:rPr>
          <w:rFonts w:ascii="Arial" w:hAnsi="Arial" w:cs="Arial"/>
          <w:sz w:val="20"/>
          <w:szCs w:val="20"/>
        </w:rPr>
        <w:t>with an AMP.</w:t>
      </w:r>
    </w:p>
    <w:p w14:paraId="075F67F8" w14:textId="77777777" w:rsidR="00CD5CD5" w:rsidRPr="00CD5CD5" w:rsidRDefault="00CD5CD5" w:rsidP="00CD5CD5">
      <w:pPr>
        <w:pStyle w:val="ListParagraph"/>
        <w:numPr>
          <w:ilvl w:val="0"/>
          <w:numId w:val="290"/>
        </w:numPr>
        <w:tabs>
          <w:tab w:val="left" w:pos="706"/>
          <w:tab w:val="left" w:pos="707"/>
        </w:tabs>
        <w:rPr>
          <w:rFonts w:ascii="Arial" w:hAnsi="Arial" w:cs="Arial"/>
          <w:sz w:val="20"/>
          <w:szCs w:val="20"/>
        </w:rPr>
      </w:pPr>
      <w:r w:rsidRPr="00CD5CD5">
        <w:rPr>
          <w:rFonts w:ascii="Arial" w:hAnsi="Arial" w:cs="Arial"/>
          <w:sz w:val="20"/>
          <w:szCs w:val="20"/>
        </w:rPr>
        <w:t>The</w:t>
      </w:r>
      <w:r w:rsidRPr="00CD5CD5">
        <w:rPr>
          <w:rFonts w:ascii="Arial" w:hAnsi="Arial" w:cs="Arial"/>
          <w:spacing w:val="-2"/>
          <w:sz w:val="20"/>
          <w:szCs w:val="20"/>
        </w:rPr>
        <w:t xml:space="preserve"> </w:t>
      </w:r>
      <w:r w:rsidRPr="00CD5CD5">
        <w:rPr>
          <w:rFonts w:ascii="Arial" w:hAnsi="Arial" w:cs="Arial"/>
          <w:sz w:val="20"/>
          <w:szCs w:val="20"/>
        </w:rPr>
        <w:t>AMP and</w:t>
      </w:r>
      <w:r w:rsidRPr="00CD5CD5">
        <w:rPr>
          <w:rFonts w:ascii="Arial" w:hAnsi="Arial" w:cs="Arial"/>
          <w:spacing w:val="-3"/>
          <w:sz w:val="20"/>
          <w:szCs w:val="20"/>
        </w:rPr>
        <w:t xml:space="preserve"> </w:t>
      </w:r>
      <w:r w:rsidRPr="00CD5CD5">
        <w:rPr>
          <w:rFonts w:ascii="Arial" w:hAnsi="Arial" w:cs="Arial"/>
          <w:sz w:val="20"/>
          <w:szCs w:val="20"/>
        </w:rPr>
        <w:t>any</w:t>
      </w:r>
      <w:r w:rsidRPr="00CD5CD5">
        <w:rPr>
          <w:rFonts w:ascii="Arial" w:hAnsi="Arial" w:cs="Arial"/>
          <w:spacing w:val="-1"/>
          <w:sz w:val="20"/>
          <w:szCs w:val="20"/>
        </w:rPr>
        <w:t xml:space="preserve"> </w:t>
      </w:r>
      <w:r w:rsidRPr="00CD5CD5">
        <w:rPr>
          <w:rFonts w:ascii="Arial" w:hAnsi="Arial" w:cs="Arial"/>
          <w:sz w:val="20"/>
          <w:szCs w:val="20"/>
        </w:rPr>
        <w:t>subsequent</w:t>
      </w:r>
      <w:r w:rsidRPr="00CD5CD5">
        <w:rPr>
          <w:rFonts w:ascii="Arial" w:hAnsi="Arial" w:cs="Arial"/>
          <w:spacing w:val="-1"/>
          <w:sz w:val="20"/>
          <w:szCs w:val="20"/>
        </w:rPr>
        <w:t xml:space="preserve"> </w:t>
      </w:r>
      <w:r w:rsidRPr="00CD5CD5">
        <w:rPr>
          <w:rFonts w:ascii="Arial" w:hAnsi="Arial" w:cs="Arial"/>
          <w:sz w:val="20"/>
          <w:szCs w:val="20"/>
        </w:rPr>
        <w:t>amendments</w:t>
      </w:r>
      <w:r w:rsidRPr="00CD5CD5">
        <w:rPr>
          <w:rFonts w:ascii="Arial" w:hAnsi="Arial" w:cs="Arial"/>
          <w:spacing w:val="-4"/>
          <w:sz w:val="20"/>
          <w:szCs w:val="20"/>
        </w:rPr>
        <w:t xml:space="preserve"> </w:t>
      </w:r>
      <w:r w:rsidRPr="00CD5CD5">
        <w:rPr>
          <w:rFonts w:ascii="Arial" w:hAnsi="Arial" w:cs="Arial"/>
          <w:sz w:val="20"/>
          <w:szCs w:val="20"/>
        </w:rPr>
        <w:t>thereto</w:t>
      </w:r>
      <w:r w:rsidRPr="00CD5CD5">
        <w:rPr>
          <w:rFonts w:ascii="Arial" w:hAnsi="Arial" w:cs="Arial"/>
          <w:spacing w:val="-2"/>
          <w:sz w:val="20"/>
          <w:szCs w:val="20"/>
        </w:rPr>
        <w:t xml:space="preserve"> </w:t>
      </w:r>
      <w:r w:rsidRPr="00CD5CD5">
        <w:rPr>
          <w:rFonts w:ascii="Arial" w:hAnsi="Arial" w:cs="Arial"/>
          <w:sz w:val="20"/>
          <w:szCs w:val="20"/>
        </w:rPr>
        <w:t>shall</w:t>
      </w:r>
      <w:r w:rsidRPr="00CD5CD5">
        <w:rPr>
          <w:rFonts w:ascii="Arial" w:hAnsi="Arial" w:cs="Arial"/>
          <w:spacing w:val="-3"/>
          <w:sz w:val="20"/>
          <w:szCs w:val="20"/>
        </w:rPr>
        <w:t xml:space="preserve"> </w:t>
      </w:r>
      <w:r w:rsidRPr="00CD5CD5">
        <w:rPr>
          <w:rFonts w:ascii="Arial" w:hAnsi="Arial" w:cs="Arial"/>
          <w:sz w:val="20"/>
          <w:szCs w:val="20"/>
        </w:rPr>
        <w:t>be,</w:t>
      </w:r>
      <w:r w:rsidRPr="00CD5CD5">
        <w:rPr>
          <w:rFonts w:ascii="Arial" w:hAnsi="Arial" w:cs="Arial"/>
          <w:spacing w:val="-1"/>
          <w:sz w:val="20"/>
          <w:szCs w:val="20"/>
        </w:rPr>
        <w:t xml:space="preserve"> </w:t>
      </w:r>
      <w:r w:rsidRPr="00CD5CD5">
        <w:rPr>
          <w:rFonts w:ascii="Arial" w:hAnsi="Arial" w:cs="Arial"/>
          <w:sz w:val="20"/>
          <w:szCs w:val="20"/>
        </w:rPr>
        <w:t>alternatively:</w:t>
      </w:r>
    </w:p>
    <w:p w14:paraId="7224383B" w14:textId="77777777" w:rsidR="00CD5CD5" w:rsidRPr="00CD5CD5" w:rsidRDefault="00CD5CD5" w:rsidP="00CD5CD5">
      <w:pPr>
        <w:pStyle w:val="ListParagraph"/>
        <w:numPr>
          <w:ilvl w:val="1"/>
          <w:numId w:val="290"/>
        </w:numPr>
        <w:tabs>
          <w:tab w:val="left" w:pos="1273"/>
          <w:tab w:val="left" w:pos="1274"/>
        </w:tabs>
        <w:spacing w:before="122" w:line="237" w:lineRule="auto"/>
        <w:ind w:right="196"/>
        <w:rPr>
          <w:rFonts w:ascii="Arial" w:hAnsi="Arial" w:cs="Arial"/>
          <w:sz w:val="20"/>
          <w:szCs w:val="20"/>
        </w:rPr>
      </w:pPr>
      <w:r w:rsidRPr="00CD5CD5">
        <w:rPr>
          <w:rFonts w:ascii="Arial" w:hAnsi="Arial" w:cs="Arial"/>
          <w:sz w:val="20"/>
          <w:szCs w:val="20"/>
        </w:rPr>
        <w:t>declared</w:t>
      </w:r>
      <w:r w:rsidRPr="00CD5CD5">
        <w:rPr>
          <w:rFonts w:ascii="Arial" w:hAnsi="Arial" w:cs="Arial"/>
          <w:spacing w:val="30"/>
          <w:sz w:val="20"/>
          <w:szCs w:val="20"/>
        </w:rPr>
        <w:t xml:space="preserve"> </w:t>
      </w:r>
      <w:r w:rsidRPr="00CD5CD5">
        <w:rPr>
          <w:rFonts w:ascii="Arial" w:hAnsi="Arial" w:cs="Arial"/>
          <w:sz w:val="20"/>
          <w:szCs w:val="20"/>
        </w:rPr>
        <w:t>by</w:t>
      </w:r>
      <w:r w:rsidRPr="00CD5CD5">
        <w:rPr>
          <w:rFonts w:ascii="Arial" w:hAnsi="Arial" w:cs="Arial"/>
          <w:spacing w:val="32"/>
          <w:sz w:val="20"/>
          <w:szCs w:val="20"/>
        </w:rPr>
        <w:t xml:space="preserve"> </w:t>
      </w:r>
      <w:r w:rsidRPr="00CD5CD5">
        <w:rPr>
          <w:rFonts w:ascii="Arial" w:hAnsi="Arial" w:cs="Arial"/>
          <w:sz w:val="20"/>
          <w:szCs w:val="20"/>
        </w:rPr>
        <w:t>the</w:t>
      </w:r>
      <w:r w:rsidRPr="00CD5CD5">
        <w:rPr>
          <w:rFonts w:ascii="Arial" w:hAnsi="Arial" w:cs="Arial"/>
          <w:spacing w:val="28"/>
          <w:sz w:val="20"/>
          <w:szCs w:val="20"/>
        </w:rPr>
        <w:t xml:space="preserve"> </w:t>
      </w:r>
      <w:r w:rsidRPr="00CD5CD5">
        <w:rPr>
          <w:rFonts w:ascii="Arial" w:hAnsi="Arial" w:cs="Arial"/>
          <w:sz w:val="20"/>
          <w:szCs w:val="20"/>
        </w:rPr>
        <w:t>owner</w:t>
      </w:r>
      <w:r w:rsidRPr="00CD5CD5">
        <w:rPr>
          <w:rFonts w:ascii="Arial" w:hAnsi="Arial" w:cs="Arial"/>
          <w:spacing w:val="31"/>
          <w:sz w:val="20"/>
          <w:szCs w:val="20"/>
        </w:rPr>
        <w:t xml:space="preserve"> </w:t>
      </w:r>
      <w:r w:rsidRPr="00CD5CD5">
        <w:rPr>
          <w:rFonts w:ascii="Arial" w:hAnsi="Arial" w:cs="Arial"/>
          <w:sz w:val="20"/>
          <w:szCs w:val="20"/>
        </w:rPr>
        <w:t>in</w:t>
      </w:r>
      <w:r w:rsidRPr="00CD5CD5">
        <w:rPr>
          <w:rFonts w:ascii="Arial" w:hAnsi="Arial" w:cs="Arial"/>
          <w:spacing w:val="27"/>
          <w:sz w:val="20"/>
          <w:szCs w:val="20"/>
        </w:rPr>
        <w:t xml:space="preserve"> </w:t>
      </w:r>
      <w:r w:rsidRPr="00CD5CD5">
        <w:rPr>
          <w:rFonts w:ascii="Arial" w:hAnsi="Arial" w:cs="Arial"/>
          <w:sz w:val="20"/>
          <w:szCs w:val="20"/>
        </w:rPr>
        <w:t>accordance</w:t>
      </w:r>
      <w:r w:rsidRPr="00CD5CD5">
        <w:rPr>
          <w:rFonts w:ascii="Arial" w:hAnsi="Arial" w:cs="Arial"/>
          <w:spacing w:val="33"/>
          <w:sz w:val="20"/>
          <w:szCs w:val="20"/>
        </w:rPr>
        <w:t xml:space="preserve"> </w:t>
      </w:r>
      <w:r w:rsidRPr="00CD5CD5">
        <w:rPr>
          <w:rFonts w:ascii="Arial" w:hAnsi="Arial" w:cs="Arial"/>
          <w:sz w:val="20"/>
          <w:szCs w:val="20"/>
        </w:rPr>
        <w:t>with</w:t>
      </w:r>
      <w:r w:rsidRPr="00CD5CD5">
        <w:rPr>
          <w:rFonts w:ascii="Arial" w:hAnsi="Arial" w:cs="Arial"/>
          <w:spacing w:val="30"/>
          <w:sz w:val="20"/>
          <w:szCs w:val="20"/>
        </w:rPr>
        <w:t xml:space="preserve"> </w:t>
      </w:r>
      <w:r w:rsidRPr="00CD5CD5">
        <w:rPr>
          <w:rFonts w:ascii="Arial" w:hAnsi="Arial" w:cs="Arial"/>
          <w:sz w:val="20"/>
          <w:szCs w:val="20"/>
        </w:rPr>
        <w:t>point</w:t>
      </w:r>
      <w:r w:rsidRPr="00CD5CD5">
        <w:rPr>
          <w:rFonts w:ascii="Arial" w:hAnsi="Arial" w:cs="Arial"/>
          <w:spacing w:val="32"/>
          <w:sz w:val="20"/>
          <w:szCs w:val="20"/>
        </w:rPr>
        <w:t xml:space="preserve"> </w:t>
      </w:r>
      <w:r w:rsidRPr="00CD5CD5">
        <w:rPr>
          <w:rFonts w:ascii="Arial" w:hAnsi="Arial" w:cs="Arial"/>
          <w:sz w:val="20"/>
          <w:szCs w:val="20"/>
        </w:rPr>
        <w:t>(c)(7)</w:t>
      </w:r>
      <w:r w:rsidRPr="00CD5CD5">
        <w:rPr>
          <w:rFonts w:ascii="Arial" w:hAnsi="Arial" w:cs="Arial"/>
          <w:spacing w:val="31"/>
          <w:sz w:val="20"/>
          <w:szCs w:val="20"/>
        </w:rPr>
        <w:t xml:space="preserve"> </w:t>
      </w:r>
      <w:r w:rsidRPr="00CD5CD5">
        <w:rPr>
          <w:rFonts w:ascii="Arial" w:hAnsi="Arial" w:cs="Arial"/>
          <w:sz w:val="20"/>
          <w:szCs w:val="20"/>
        </w:rPr>
        <w:t>of</w:t>
      </w:r>
      <w:r w:rsidRPr="00CD5CD5">
        <w:rPr>
          <w:rFonts w:ascii="Arial" w:hAnsi="Arial" w:cs="Arial"/>
          <w:spacing w:val="31"/>
          <w:sz w:val="20"/>
          <w:szCs w:val="20"/>
        </w:rPr>
        <w:t xml:space="preserve"> </w:t>
      </w:r>
      <w:r w:rsidRPr="00CD5CD5">
        <w:rPr>
          <w:rFonts w:ascii="Arial" w:hAnsi="Arial" w:cs="Arial"/>
          <w:sz w:val="20"/>
          <w:szCs w:val="20"/>
        </w:rPr>
        <w:t>point</w:t>
      </w:r>
      <w:r w:rsidRPr="00CD5CD5">
        <w:rPr>
          <w:rFonts w:ascii="Arial" w:hAnsi="Arial" w:cs="Arial"/>
          <w:color w:val="0000FF"/>
          <w:spacing w:val="33"/>
          <w:sz w:val="20"/>
          <w:szCs w:val="20"/>
        </w:rPr>
        <w:t xml:space="preserve"> </w:t>
      </w:r>
      <w:r w:rsidRPr="00CD5CD5">
        <w:rPr>
          <w:rFonts w:ascii="Arial" w:hAnsi="Arial" w:cs="Arial"/>
          <w:sz w:val="20"/>
          <w:szCs w:val="20"/>
        </w:rPr>
        <w:t>ML.A.302, where</w:t>
      </w:r>
      <w:r w:rsidRPr="00CD5CD5">
        <w:rPr>
          <w:rFonts w:ascii="Arial" w:hAnsi="Arial" w:cs="Arial"/>
          <w:spacing w:val="33"/>
          <w:sz w:val="20"/>
          <w:szCs w:val="20"/>
        </w:rPr>
        <w:t xml:space="preserve"> </w:t>
      </w:r>
      <w:r w:rsidRPr="00CD5CD5">
        <w:rPr>
          <w:rFonts w:ascii="Arial" w:hAnsi="Arial" w:cs="Arial"/>
          <w:sz w:val="20"/>
          <w:szCs w:val="20"/>
        </w:rPr>
        <w:t>the</w:t>
      </w:r>
      <w:r w:rsidRPr="00CD5CD5">
        <w:rPr>
          <w:rFonts w:ascii="Arial" w:hAnsi="Arial" w:cs="Arial"/>
          <w:spacing w:val="-47"/>
          <w:sz w:val="20"/>
          <w:szCs w:val="20"/>
        </w:rPr>
        <w:t xml:space="preserve"> </w:t>
      </w:r>
      <w:r w:rsidRPr="00CD5CD5">
        <w:rPr>
          <w:rFonts w:ascii="Arial" w:hAnsi="Arial" w:cs="Arial"/>
          <w:sz w:val="20"/>
          <w:szCs w:val="20"/>
        </w:rPr>
        <w:t>continuing</w:t>
      </w:r>
      <w:r w:rsidRPr="00CD5CD5">
        <w:rPr>
          <w:rFonts w:ascii="Arial" w:hAnsi="Arial" w:cs="Arial"/>
          <w:spacing w:val="-2"/>
          <w:sz w:val="20"/>
          <w:szCs w:val="20"/>
        </w:rPr>
        <w:t xml:space="preserve"> </w:t>
      </w:r>
      <w:r w:rsidRPr="00CD5CD5">
        <w:rPr>
          <w:rFonts w:ascii="Arial" w:hAnsi="Arial" w:cs="Arial"/>
          <w:sz w:val="20"/>
          <w:szCs w:val="20"/>
        </w:rPr>
        <w:t>airworthiness</w:t>
      </w:r>
      <w:r w:rsidRPr="00CD5CD5">
        <w:rPr>
          <w:rFonts w:ascii="Arial" w:hAnsi="Arial" w:cs="Arial"/>
          <w:spacing w:val="-2"/>
          <w:sz w:val="20"/>
          <w:szCs w:val="20"/>
        </w:rPr>
        <w:t xml:space="preserve"> </w:t>
      </w:r>
      <w:r w:rsidRPr="00CD5CD5">
        <w:rPr>
          <w:rFonts w:ascii="Arial" w:hAnsi="Arial" w:cs="Arial"/>
          <w:sz w:val="20"/>
          <w:szCs w:val="20"/>
        </w:rPr>
        <w:t>of</w:t>
      </w:r>
      <w:r w:rsidRPr="00CD5CD5">
        <w:rPr>
          <w:rFonts w:ascii="Arial" w:hAnsi="Arial" w:cs="Arial"/>
          <w:spacing w:val="-3"/>
          <w:sz w:val="20"/>
          <w:szCs w:val="20"/>
        </w:rPr>
        <w:t xml:space="preserve"> </w:t>
      </w:r>
      <w:r w:rsidRPr="00CD5CD5">
        <w:rPr>
          <w:rFonts w:ascii="Arial" w:hAnsi="Arial" w:cs="Arial"/>
          <w:sz w:val="20"/>
          <w:szCs w:val="20"/>
        </w:rPr>
        <w:t>the</w:t>
      </w:r>
      <w:r w:rsidRPr="00CD5CD5">
        <w:rPr>
          <w:rFonts w:ascii="Arial" w:hAnsi="Arial" w:cs="Arial"/>
          <w:spacing w:val="1"/>
          <w:sz w:val="20"/>
          <w:szCs w:val="20"/>
        </w:rPr>
        <w:t xml:space="preserve"> </w:t>
      </w:r>
      <w:r w:rsidRPr="00CD5CD5">
        <w:rPr>
          <w:rFonts w:ascii="Arial" w:hAnsi="Arial" w:cs="Arial"/>
          <w:sz w:val="20"/>
          <w:szCs w:val="20"/>
        </w:rPr>
        <w:t>aircraft</w:t>
      </w:r>
      <w:r w:rsidRPr="00CD5CD5">
        <w:rPr>
          <w:rFonts w:ascii="Arial" w:hAnsi="Arial" w:cs="Arial"/>
          <w:spacing w:val="-1"/>
          <w:sz w:val="20"/>
          <w:szCs w:val="20"/>
        </w:rPr>
        <w:t xml:space="preserve"> </w:t>
      </w:r>
      <w:r w:rsidRPr="00CD5CD5">
        <w:rPr>
          <w:rFonts w:ascii="Arial" w:hAnsi="Arial" w:cs="Arial"/>
          <w:sz w:val="20"/>
          <w:szCs w:val="20"/>
        </w:rPr>
        <w:t>is</w:t>
      </w:r>
      <w:r w:rsidRPr="00CD5CD5">
        <w:rPr>
          <w:rFonts w:ascii="Arial" w:hAnsi="Arial" w:cs="Arial"/>
          <w:spacing w:val="1"/>
          <w:sz w:val="20"/>
          <w:szCs w:val="20"/>
        </w:rPr>
        <w:t xml:space="preserve"> </w:t>
      </w:r>
      <w:r w:rsidRPr="00CD5CD5">
        <w:rPr>
          <w:rFonts w:ascii="Arial" w:hAnsi="Arial" w:cs="Arial"/>
          <w:sz w:val="20"/>
          <w:szCs w:val="20"/>
        </w:rPr>
        <w:t>not</w:t>
      </w:r>
      <w:r w:rsidRPr="00CD5CD5">
        <w:rPr>
          <w:rFonts w:ascii="Arial" w:hAnsi="Arial" w:cs="Arial"/>
          <w:spacing w:val="-2"/>
          <w:sz w:val="20"/>
          <w:szCs w:val="20"/>
        </w:rPr>
        <w:t xml:space="preserve"> </w:t>
      </w:r>
      <w:r w:rsidRPr="00CD5CD5">
        <w:rPr>
          <w:rFonts w:ascii="Arial" w:hAnsi="Arial" w:cs="Arial"/>
          <w:sz w:val="20"/>
          <w:szCs w:val="20"/>
        </w:rPr>
        <w:t>managed</w:t>
      </w:r>
      <w:r w:rsidRPr="00CD5CD5">
        <w:rPr>
          <w:rFonts w:ascii="Arial" w:hAnsi="Arial" w:cs="Arial"/>
          <w:spacing w:val="-1"/>
          <w:sz w:val="20"/>
          <w:szCs w:val="20"/>
        </w:rPr>
        <w:t xml:space="preserve"> </w:t>
      </w:r>
      <w:r w:rsidRPr="00CD5CD5">
        <w:rPr>
          <w:rFonts w:ascii="Arial" w:hAnsi="Arial" w:cs="Arial"/>
          <w:sz w:val="20"/>
          <w:szCs w:val="20"/>
        </w:rPr>
        <w:t>by a</w:t>
      </w:r>
      <w:r w:rsidRPr="00CD5CD5">
        <w:rPr>
          <w:rFonts w:ascii="Arial" w:hAnsi="Arial" w:cs="Arial"/>
          <w:spacing w:val="-1"/>
          <w:sz w:val="20"/>
          <w:szCs w:val="20"/>
        </w:rPr>
        <w:t xml:space="preserve"> </w:t>
      </w:r>
      <w:r w:rsidRPr="00CD5CD5">
        <w:rPr>
          <w:rFonts w:ascii="Arial" w:hAnsi="Arial" w:cs="Arial"/>
          <w:sz w:val="20"/>
          <w:szCs w:val="20"/>
        </w:rPr>
        <w:t>CAMO</w:t>
      </w:r>
      <w:r w:rsidRPr="00CD5CD5">
        <w:rPr>
          <w:rFonts w:ascii="Arial" w:hAnsi="Arial" w:cs="Arial"/>
          <w:spacing w:val="-2"/>
          <w:sz w:val="20"/>
          <w:szCs w:val="20"/>
        </w:rPr>
        <w:t xml:space="preserve"> </w:t>
      </w:r>
      <w:r w:rsidRPr="00CD5CD5">
        <w:rPr>
          <w:rFonts w:ascii="Arial" w:hAnsi="Arial" w:cs="Arial"/>
          <w:sz w:val="20"/>
          <w:szCs w:val="20"/>
        </w:rPr>
        <w:t>or CAO;</w:t>
      </w:r>
    </w:p>
    <w:p w14:paraId="728E36E7" w14:textId="77777777" w:rsidR="00CD5CD5" w:rsidRPr="00CD5CD5" w:rsidRDefault="00CD5CD5" w:rsidP="00CD5CD5">
      <w:pPr>
        <w:pStyle w:val="ListParagraph"/>
        <w:numPr>
          <w:ilvl w:val="1"/>
          <w:numId w:val="290"/>
        </w:numPr>
        <w:tabs>
          <w:tab w:val="left" w:pos="1274"/>
        </w:tabs>
        <w:spacing w:before="57"/>
        <w:ind w:right="194"/>
        <w:jc w:val="both"/>
        <w:rPr>
          <w:rFonts w:ascii="Arial" w:hAnsi="Arial" w:cs="Arial"/>
          <w:sz w:val="20"/>
          <w:szCs w:val="20"/>
        </w:rPr>
      </w:pPr>
      <w:r w:rsidRPr="00CD5CD5">
        <w:rPr>
          <w:rFonts w:ascii="Arial" w:hAnsi="Arial" w:cs="Arial"/>
          <w:sz w:val="20"/>
          <w:szCs w:val="20"/>
        </w:rPr>
        <w:t>approved</w:t>
      </w:r>
      <w:r w:rsidRPr="00CD5CD5">
        <w:rPr>
          <w:rFonts w:ascii="Arial" w:hAnsi="Arial" w:cs="Arial"/>
          <w:spacing w:val="-6"/>
          <w:sz w:val="20"/>
          <w:szCs w:val="20"/>
        </w:rPr>
        <w:t xml:space="preserve"> </w:t>
      </w:r>
      <w:r w:rsidRPr="00CD5CD5">
        <w:rPr>
          <w:rFonts w:ascii="Arial" w:hAnsi="Arial" w:cs="Arial"/>
          <w:sz w:val="20"/>
          <w:szCs w:val="20"/>
        </w:rPr>
        <w:t>by</w:t>
      </w:r>
      <w:r w:rsidRPr="00CD5CD5">
        <w:rPr>
          <w:rFonts w:ascii="Arial" w:hAnsi="Arial" w:cs="Arial"/>
          <w:spacing w:val="-5"/>
          <w:sz w:val="20"/>
          <w:szCs w:val="20"/>
        </w:rPr>
        <w:t xml:space="preserve"> </w:t>
      </w:r>
      <w:r w:rsidRPr="00CD5CD5">
        <w:rPr>
          <w:rFonts w:ascii="Arial" w:hAnsi="Arial" w:cs="Arial"/>
          <w:sz w:val="20"/>
          <w:szCs w:val="20"/>
        </w:rPr>
        <w:t>the</w:t>
      </w:r>
      <w:r w:rsidRPr="00CD5CD5">
        <w:rPr>
          <w:rFonts w:ascii="Arial" w:hAnsi="Arial" w:cs="Arial"/>
          <w:spacing w:val="-5"/>
          <w:sz w:val="20"/>
          <w:szCs w:val="20"/>
        </w:rPr>
        <w:t xml:space="preserve"> </w:t>
      </w:r>
      <w:r w:rsidRPr="00CD5CD5">
        <w:rPr>
          <w:rFonts w:ascii="Arial" w:hAnsi="Arial" w:cs="Arial"/>
          <w:sz w:val="20"/>
          <w:szCs w:val="20"/>
        </w:rPr>
        <w:t>CAMO</w:t>
      </w:r>
      <w:r w:rsidRPr="00CD5CD5">
        <w:rPr>
          <w:rFonts w:ascii="Arial" w:hAnsi="Arial" w:cs="Arial"/>
          <w:spacing w:val="-8"/>
          <w:sz w:val="20"/>
          <w:szCs w:val="20"/>
        </w:rPr>
        <w:t xml:space="preserve"> </w:t>
      </w:r>
      <w:r w:rsidRPr="00CD5CD5">
        <w:rPr>
          <w:rFonts w:ascii="Arial" w:hAnsi="Arial" w:cs="Arial"/>
          <w:sz w:val="20"/>
          <w:szCs w:val="20"/>
        </w:rPr>
        <w:t>or</w:t>
      </w:r>
      <w:r w:rsidRPr="00CD5CD5">
        <w:rPr>
          <w:rFonts w:ascii="Arial" w:hAnsi="Arial" w:cs="Arial"/>
          <w:spacing w:val="-8"/>
          <w:sz w:val="20"/>
          <w:szCs w:val="20"/>
        </w:rPr>
        <w:t xml:space="preserve"> </w:t>
      </w:r>
      <w:r w:rsidRPr="00CD5CD5">
        <w:rPr>
          <w:rFonts w:ascii="Arial" w:hAnsi="Arial" w:cs="Arial"/>
          <w:sz w:val="20"/>
          <w:szCs w:val="20"/>
        </w:rPr>
        <w:t>CAO</w:t>
      </w:r>
      <w:r w:rsidRPr="00CD5CD5">
        <w:rPr>
          <w:rFonts w:ascii="Arial" w:hAnsi="Arial" w:cs="Arial"/>
          <w:spacing w:val="-4"/>
          <w:sz w:val="20"/>
          <w:szCs w:val="20"/>
        </w:rPr>
        <w:t xml:space="preserve"> </w:t>
      </w:r>
      <w:r w:rsidRPr="00CD5CD5">
        <w:rPr>
          <w:rFonts w:ascii="Arial" w:hAnsi="Arial" w:cs="Arial"/>
          <w:sz w:val="20"/>
          <w:szCs w:val="20"/>
        </w:rPr>
        <w:t>responsible</w:t>
      </w:r>
      <w:r w:rsidRPr="00CD5CD5">
        <w:rPr>
          <w:rFonts w:ascii="Arial" w:hAnsi="Arial" w:cs="Arial"/>
          <w:spacing w:val="-5"/>
          <w:sz w:val="20"/>
          <w:szCs w:val="20"/>
        </w:rPr>
        <w:t xml:space="preserve"> </w:t>
      </w:r>
      <w:r w:rsidRPr="00CD5CD5">
        <w:rPr>
          <w:rFonts w:ascii="Arial" w:hAnsi="Arial" w:cs="Arial"/>
          <w:sz w:val="20"/>
          <w:szCs w:val="20"/>
        </w:rPr>
        <w:t>for</w:t>
      </w:r>
      <w:r w:rsidRPr="00CD5CD5">
        <w:rPr>
          <w:rFonts w:ascii="Arial" w:hAnsi="Arial" w:cs="Arial"/>
          <w:spacing w:val="-8"/>
          <w:sz w:val="20"/>
          <w:szCs w:val="20"/>
        </w:rPr>
        <w:t xml:space="preserve"> </w:t>
      </w:r>
      <w:r w:rsidRPr="00CD5CD5">
        <w:rPr>
          <w:rFonts w:ascii="Arial" w:hAnsi="Arial" w:cs="Arial"/>
          <w:sz w:val="20"/>
          <w:szCs w:val="20"/>
        </w:rPr>
        <w:t>managing</w:t>
      </w:r>
      <w:r w:rsidRPr="00CD5CD5">
        <w:rPr>
          <w:rFonts w:ascii="Arial" w:hAnsi="Arial" w:cs="Arial"/>
          <w:spacing w:val="-5"/>
          <w:sz w:val="20"/>
          <w:szCs w:val="20"/>
        </w:rPr>
        <w:t xml:space="preserve"> </w:t>
      </w:r>
      <w:r w:rsidRPr="00CD5CD5">
        <w:rPr>
          <w:rFonts w:ascii="Arial" w:hAnsi="Arial" w:cs="Arial"/>
          <w:sz w:val="20"/>
          <w:szCs w:val="20"/>
        </w:rPr>
        <w:t>the</w:t>
      </w:r>
      <w:r w:rsidRPr="00CD5CD5">
        <w:rPr>
          <w:rFonts w:ascii="Arial" w:hAnsi="Arial" w:cs="Arial"/>
          <w:spacing w:val="-6"/>
          <w:sz w:val="20"/>
          <w:szCs w:val="20"/>
        </w:rPr>
        <w:t xml:space="preserve"> </w:t>
      </w:r>
      <w:r w:rsidRPr="00CD5CD5">
        <w:rPr>
          <w:rFonts w:ascii="Arial" w:hAnsi="Arial" w:cs="Arial"/>
          <w:sz w:val="20"/>
          <w:szCs w:val="20"/>
        </w:rPr>
        <w:t>continuing</w:t>
      </w:r>
      <w:r w:rsidRPr="00CD5CD5">
        <w:rPr>
          <w:rFonts w:ascii="Arial" w:hAnsi="Arial" w:cs="Arial"/>
          <w:spacing w:val="-6"/>
          <w:sz w:val="20"/>
          <w:szCs w:val="20"/>
        </w:rPr>
        <w:t xml:space="preserve"> </w:t>
      </w:r>
      <w:r w:rsidRPr="00CD5CD5">
        <w:rPr>
          <w:rFonts w:ascii="Arial" w:hAnsi="Arial" w:cs="Arial"/>
          <w:sz w:val="20"/>
          <w:szCs w:val="20"/>
        </w:rPr>
        <w:t>airworthiness</w:t>
      </w:r>
      <w:r w:rsidRPr="00CD5CD5">
        <w:rPr>
          <w:rFonts w:ascii="Arial" w:hAnsi="Arial" w:cs="Arial"/>
          <w:spacing w:val="-4"/>
          <w:sz w:val="20"/>
          <w:szCs w:val="20"/>
        </w:rPr>
        <w:t xml:space="preserve"> </w:t>
      </w:r>
      <w:r w:rsidRPr="00CD5CD5">
        <w:rPr>
          <w:rFonts w:ascii="Arial" w:hAnsi="Arial" w:cs="Arial"/>
          <w:sz w:val="20"/>
          <w:szCs w:val="20"/>
        </w:rPr>
        <w:t>of</w:t>
      </w:r>
      <w:r w:rsidRPr="00CD5CD5">
        <w:rPr>
          <w:rFonts w:ascii="Arial" w:hAnsi="Arial" w:cs="Arial"/>
          <w:spacing w:val="-48"/>
          <w:sz w:val="20"/>
          <w:szCs w:val="20"/>
        </w:rPr>
        <w:t xml:space="preserve"> </w:t>
      </w:r>
      <w:r w:rsidRPr="00CD5CD5">
        <w:rPr>
          <w:rFonts w:ascii="Arial" w:hAnsi="Arial" w:cs="Arial"/>
          <w:sz w:val="20"/>
          <w:szCs w:val="20"/>
        </w:rPr>
        <w:t>the aircraft.</w:t>
      </w:r>
    </w:p>
    <w:p w14:paraId="54DD2557" w14:textId="77777777" w:rsidR="00CD5CD5" w:rsidRPr="00CD5CD5" w:rsidRDefault="00CD5CD5" w:rsidP="00CD5CD5">
      <w:pPr>
        <w:pStyle w:val="BodyText"/>
        <w:spacing w:before="118"/>
        <w:ind w:left="706"/>
        <w:rPr>
          <w:rFonts w:ascii="Arial" w:hAnsi="Arial" w:cs="Arial"/>
          <w:sz w:val="20"/>
          <w:szCs w:val="20"/>
        </w:rPr>
      </w:pPr>
      <w:r w:rsidRPr="00CD5CD5">
        <w:rPr>
          <w:rFonts w:ascii="Arial" w:hAnsi="Arial" w:cs="Arial"/>
          <w:sz w:val="20"/>
          <w:szCs w:val="20"/>
        </w:rPr>
        <w:t>The</w:t>
      </w:r>
      <w:r w:rsidRPr="00CD5CD5">
        <w:rPr>
          <w:rFonts w:ascii="Arial" w:hAnsi="Arial" w:cs="Arial"/>
          <w:spacing w:val="-7"/>
          <w:sz w:val="20"/>
          <w:szCs w:val="20"/>
        </w:rPr>
        <w:t xml:space="preserve"> </w:t>
      </w:r>
      <w:r w:rsidRPr="00CD5CD5">
        <w:rPr>
          <w:rFonts w:ascii="Arial" w:hAnsi="Arial" w:cs="Arial"/>
          <w:sz w:val="20"/>
          <w:szCs w:val="20"/>
        </w:rPr>
        <w:t>owner</w:t>
      </w:r>
      <w:r w:rsidRPr="00CD5CD5">
        <w:rPr>
          <w:rFonts w:ascii="Arial" w:hAnsi="Arial" w:cs="Arial"/>
          <w:spacing w:val="-3"/>
          <w:sz w:val="20"/>
          <w:szCs w:val="20"/>
        </w:rPr>
        <w:t xml:space="preserve"> </w:t>
      </w:r>
      <w:r w:rsidRPr="00CD5CD5">
        <w:rPr>
          <w:rFonts w:ascii="Arial" w:hAnsi="Arial" w:cs="Arial"/>
          <w:sz w:val="20"/>
          <w:szCs w:val="20"/>
        </w:rPr>
        <w:t>declaring</w:t>
      </w:r>
      <w:r w:rsidRPr="00CD5CD5">
        <w:rPr>
          <w:rFonts w:ascii="Arial" w:hAnsi="Arial" w:cs="Arial"/>
          <w:spacing w:val="-4"/>
          <w:sz w:val="20"/>
          <w:szCs w:val="20"/>
        </w:rPr>
        <w:t xml:space="preserve"> </w:t>
      </w:r>
      <w:r w:rsidRPr="00CD5CD5">
        <w:rPr>
          <w:rFonts w:ascii="Arial" w:hAnsi="Arial" w:cs="Arial"/>
          <w:sz w:val="20"/>
          <w:szCs w:val="20"/>
        </w:rPr>
        <w:t>the</w:t>
      </w:r>
      <w:r w:rsidRPr="00CD5CD5">
        <w:rPr>
          <w:rFonts w:ascii="Arial" w:hAnsi="Arial" w:cs="Arial"/>
          <w:spacing w:val="-4"/>
          <w:sz w:val="20"/>
          <w:szCs w:val="20"/>
        </w:rPr>
        <w:t xml:space="preserve"> </w:t>
      </w:r>
      <w:r w:rsidRPr="00CD5CD5">
        <w:rPr>
          <w:rFonts w:ascii="Arial" w:hAnsi="Arial" w:cs="Arial"/>
          <w:sz w:val="20"/>
          <w:szCs w:val="20"/>
        </w:rPr>
        <w:t>AMP</w:t>
      </w:r>
      <w:r w:rsidRPr="00CD5CD5">
        <w:rPr>
          <w:rFonts w:ascii="Arial" w:hAnsi="Arial" w:cs="Arial"/>
          <w:spacing w:val="-5"/>
          <w:sz w:val="20"/>
          <w:szCs w:val="20"/>
        </w:rPr>
        <w:t xml:space="preserve"> </w:t>
      </w:r>
      <w:r w:rsidRPr="00CD5CD5">
        <w:rPr>
          <w:rFonts w:ascii="Arial" w:hAnsi="Arial" w:cs="Arial"/>
          <w:sz w:val="20"/>
          <w:szCs w:val="20"/>
        </w:rPr>
        <w:t>in</w:t>
      </w:r>
      <w:r w:rsidRPr="00CD5CD5">
        <w:rPr>
          <w:rFonts w:ascii="Arial" w:hAnsi="Arial" w:cs="Arial"/>
          <w:spacing w:val="-7"/>
          <w:sz w:val="20"/>
          <w:szCs w:val="20"/>
        </w:rPr>
        <w:t xml:space="preserve"> </w:t>
      </w:r>
      <w:r w:rsidRPr="00CD5CD5">
        <w:rPr>
          <w:rFonts w:ascii="Arial" w:hAnsi="Arial" w:cs="Arial"/>
          <w:sz w:val="20"/>
          <w:szCs w:val="20"/>
        </w:rPr>
        <w:t>accordance</w:t>
      </w:r>
      <w:r w:rsidRPr="00CD5CD5">
        <w:rPr>
          <w:rFonts w:ascii="Arial" w:hAnsi="Arial" w:cs="Arial"/>
          <w:spacing w:val="-5"/>
          <w:sz w:val="20"/>
          <w:szCs w:val="20"/>
        </w:rPr>
        <w:t xml:space="preserve"> </w:t>
      </w:r>
      <w:r w:rsidRPr="00CD5CD5">
        <w:rPr>
          <w:rFonts w:ascii="Arial" w:hAnsi="Arial" w:cs="Arial"/>
          <w:sz w:val="20"/>
          <w:szCs w:val="20"/>
        </w:rPr>
        <w:t>with</w:t>
      </w:r>
      <w:r w:rsidRPr="00CD5CD5">
        <w:rPr>
          <w:rFonts w:ascii="Arial" w:hAnsi="Arial" w:cs="Arial"/>
          <w:spacing w:val="-7"/>
          <w:sz w:val="20"/>
          <w:szCs w:val="20"/>
        </w:rPr>
        <w:t xml:space="preserve"> </w:t>
      </w:r>
      <w:r w:rsidRPr="00CD5CD5">
        <w:rPr>
          <w:rFonts w:ascii="Arial" w:hAnsi="Arial" w:cs="Arial"/>
          <w:sz w:val="20"/>
          <w:szCs w:val="20"/>
        </w:rPr>
        <w:t>point</w:t>
      </w:r>
      <w:r w:rsidRPr="00CD5CD5">
        <w:rPr>
          <w:rFonts w:ascii="Arial" w:hAnsi="Arial" w:cs="Arial"/>
          <w:spacing w:val="-3"/>
          <w:sz w:val="20"/>
          <w:szCs w:val="20"/>
        </w:rPr>
        <w:t xml:space="preserve"> </w:t>
      </w:r>
      <w:r w:rsidRPr="00CD5CD5">
        <w:rPr>
          <w:rFonts w:ascii="Arial" w:hAnsi="Arial" w:cs="Arial"/>
          <w:sz w:val="20"/>
          <w:szCs w:val="20"/>
        </w:rPr>
        <w:t>(b)(1)</w:t>
      </w:r>
      <w:r w:rsidRPr="00CD5CD5">
        <w:rPr>
          <w:rFonts w:ascii="Arial" w:hAnsi="Arial" w:cs="Arial"/>
          <w:spacing w:val="-6"/>
          <w:sz w:val="20"/>
          <w:szCs w:val="20"/>
        </w:rPr>
        <w:t xml:space="preserve"> </w:t>
      </w:r>
      <w:r w:rsidRPr="00CD5CD5">
        <w:rPr>
          <w:rFonts w:ascii="Arial" w:hAnsi="Arial" w:cs="Arial"/>
          <w:sz w:val="20"/>
          <w:szCs w:val="20"/>
        </w:rPr>
        <w:t>or</w:t>
      </w:r>
      <w:r w:rsidRPr="00CD5CD5">
        <w:rPr>
          <w:rFonts w:ascii="Arial" w:hAnsi="Arial" w:cs="Arial"/>
          <w:spacing w:val="-6"/>
          <w:sz w:val="20"/>
          <w:szCs w:val="20"/>
        </w:rPr>
        <w:t xml:space="preserve"> </w:t>
      </w:r>
      <w:r w:rsidRPr="00CD5CD5">
        <w:rPr>
          <w:rFonts w:ascii="Arial" w:hAnsi="Arial" w:cs="Arial"/>
          <w:sz w:val="20"/>
          <w:szCs w:val="20"/>
        </w:rPr>
        <w:t>the</w:t>
      </w:r>
      <w:r w:rsidRPr="00CD5CD5">
        <w:rPr>
          <w:rFonts w:ascii="Arial" w:hAnsi="Arial" w:cs="Arial"/>
          <w:spacing w:val="-6"/>
          <w:sz w:val="20"/>
          <w:szCs w:val="20"/>
        </w:rPr>
        <w:t xml:space="preserve"> </w:t>
      </w:r>
      <w:r w:rsidRPr="00CD5CD5">
        <w:rPr>
          <w:rFonts w:ascii="Arial" w:hAnsi="Arial" w:cs="Arial"/>
          <w:sz w:val="20"/>
          <w:szCs w:val="20"/>
        </w:rPr>
        <w:t>organisation</w:t>
      </w:r>
      <w:r w:rsidRPr="00CD5CD5">
        <w:rPr>
          <w:rFonts w:ascii="Arial" w:hAnsi="Arial" w:cs="Arial"/>
          <w:spacing w:val="-4"/>
          <w:sz w:val="20"/>
          <w:szCs w:val="20"/>
        </w:rPr>
        <w:t xml:space="preserve"> </w:t>
      </w:r>
      <w:r w:rsidRPr="00CD5CD5">
        <w:rPr>
          <w:rFonts w:ascii="Arial" w:hAnsi="Arial" w:cs="Arial"/>
          <w:sz w:val="20"/>
          <w:szCs w:val="20"/>
        </w:rPr>
        <w:t>approving</w:t>
      </w:r>
      <w:r w:rsidRPr="00CD5CD5">
        <w:rPr>
          <w:rFonts w:ascii="Arial" w:hAnsi="Arial" w:cs="Arial"/>
          <w:spacing w:val="-4"/>
          <w:sz w:val="20"/>
          <w:szCs w:val="20"/>
        </w:rPr>
        <w:t xml:space="preserve"> </w:t>
      </w:r>
      <w:r w:rsidRPr="00CD5CD5">
        <w:rPr>
          <w:rFonts w:ascii="Arial" w:hAnsi="Arial" w:cs="Arial"/>
          <w:sz w:val="20"/>
          <w:szCs w:val="20"/>
        </w:rPr>
        <w:t>the</w:t>
      </w:r>
      <w:r w:rsidRPr="00CD5CD5">
        <w:rPr>
          <w:rFonts w:ascii="Arial" w:hAnsi="Arial" w:cs="Arial"/>
          <w:spacing w:val="-47"/>
          <w:sz w:val="20"/>
          <w:szCs w:val="20"/>
        </w:rPr>
        <w:t xml:space="preserve"> </w:t>
      </w:r>
      <w:r w:rsidRPr="00CD5CD5">
        <w:rPr>
          <w:rFonts w:ascii="Arial" w:hAnsi="Arial" w:cs="Arial"/>
          <w:sz w:val="20"/>
          <w:szCs w:val="20"/>
        </w:rPr>
        <w:t>AMP in</w:t>
      </w:r>
      <w:r w:rsidRPr="00CD5CD5">
        <w:rPr>
          <w:rFonts w:ascii="Arial" w:hAnsi="Arial" w:cs="Arial"/>
          <w:spacing w:val="-3"/>
          <w:sz w:val="20"/>
          <w:szCs w:val="20"/>
        </w:rPr>
        <w:t xml:space="preserve"> </w:t>
      </w:r>
      <w:r w:rsidRPr="00CD5CD5">
        <w:rPr>
          <w:rFonts w:ascii="Arial" w:hAnsi="Arial" w:cs="Arial"/>
          <w:sz w:val="20"/>
          <w:szCs w:val="20"/>
        </w:rPr>
        <w:t>accordance</w:t>
      </w:r>
      <w:r w:rsidRPr="00CD5CD5">
        <w:rPr>
          <w:rFonts w:ascii="Arial" w:hAnsi="Arial" w:cs="Arial"/>
          <w:spacing w:val="-2"/>
          <w:sz w:val="20"/>
          <w:szCs w:val="20"/>
        </w:rPr>
        <w:t xml:space="preserve"> </w:t>
      </w:r>
      <w:r w:rsidRPr="00CD5CD5">
        <w:rPr>
          <w:rFonts w:ascii="Arial" w:hAnsi="Arial" w:cs="Arial"/>
          <w:sz w:val="20"/>
          <w:szCs w:val="20"/>
        </w:rPr>
        <w:t>with point (b)(2) shall</w:t>
      </w:r>
      <w:r w:rsidRPr="00CD5CD5">
        <w:rPr>
          <w:rFonts w:ascii="Arial" w:hAnsi="Arial" w:cs="Arial"/>
          <w:spacing w:val="-2"/>
          <w:sz w:val="20"/>
          <w:szCs w:val="20"/>
        </w:rPr>
        <w:t xml:space="preserve"> </w:t>
      </w:r>
      <w:r w:rsidRPr="00CD5CD5">
        <w:rPr>
          <w:rFonts w:ascii="Arial" w:hAnsi="Arial" w:cs="Arial"/>
          <w:sz w:val="20"/>
          <w:szCs w:val="20"/>
        </w:rPr>
        <w:t>keep</w:t>
      </w:r>
      <w:r w:rsidRPr="00CD5CD5">
        <w:rPr>
          <w:rFonts w:ascii="Arial" w:hAnsi="Arial" w:cs="Arial"/>
          <w:spacing w:val="-3"/>
          <w:sz w:val="20"/>
          <w:szCs w:val="20"/>
        </w:rPr>
        <w:t xml:space="preserve"> </w:t>
      </w:r>
      <w:r w:rsidRPr="00CD5CD5">
        <w:rPr>
          <w:rFonts w:ascii="Arial" w:hAnsi="Arial" w:cs="Arial"/>
          <w:sz w:val="20"/>
          <w:szCs w:val="20"/>
        </w:rPr>
        <w:t>the AMP</w:t>
      </w:r>
      <w:r w:rsidRPr="00CD5CD5">
        <w:rPr>
          <w:rFonts w:ascii="Arial" w:hAnsi="Arial" w:cs="Arial"/>
          <w:spacing w:val="1"/>
          <w:sz w:val="20"/>
          <w:szCs w:val="20"/>
        </w:rPr>
        <w:t xml:space="preserve"> </w:t>
      </w:r>
      <w:r w:rsidRPr="00CD5CD5">
        <w:rPr>
          <w:rFonts w:ascii="Arial" w:hAnsi="Arial" w:cs="Arial"/>
          <w:sz w:val="20"/>
          <w:szCs w:val="20"/>
        </w:rPr>
        <w:t>updated.</w:t>
      </w:r>
    </w:p>
    <w:p w14:paraId="42EE6A53" w14:textId="77777777" w:rsidR="00CD5CD5" w:rsidRPr="00CD5CD5" w:rsidRDefault="00CD5CD5" w:rsidP="00CD5CD5">
      <w:pPr>
        <w:pStyle w:val="ListParagraph"/>
        <w:numPr>
          <w:ilvl w:val="0"/>
          <w:numId w:val="290"/>
        </w:numPr>
        <w:tabs>
          <w:tab w:val="left" w:pos="706"/>
          <w:tab w:val="left" w:pos="707"/>
        </w:tabs>
        <w:rPr>
          <w:rFonts w:ascii="Arial" w:hAnsi="Arial" w:cs="Arial"/>
          <w:sz w:val="20"/>
          <w:szCs w:val="20"/>
        </w:rPr>
      </w:pPr>
      <w:r w:rsidRPr="00CD5CD5">
        <w:rPr>
          <w:rFonts w:ascii="Arial" w:hAnsi="Arial" w:cs="Arial"/>
          <w:sz w:val="20"/>
          <w:szCs w:val="20"/>
        </w:rPr>
        <w:t>The</w:t>
      </w:r>
      <w:r w:rsidRPr="00CD5CD5">
        <w:rPr>
          <w:rFonts w:ascii="Arial" w:hAnsi="Arial" w:cs="Arial"/>
          <w:spacing w:val="-2"/>
          <w:sz w:val="20"/>
          <w:szCs w:val="20"/>
        </w:rPr>
        <w:t xml:space="preserve"> </w:t>
      </w:r>
      <w:r w:rsidRPr="00CD5CD5">
        <w:rPr>
          <w:rFonts w:ascii="Arial" w:hAnsi="Arial" w:cs="Arial"/>
          <w:sz w:val="20"/>
          <w:szCs w:val="20"/>
        </w:rPr>
        <w:t>AMP:</w:t>
      </w:r>
    </w:p>
    <w:p w14:paraId="4F71C552" w14:textId="77777777" w:rsidR="00CD5CD5" w:rsidRPr="00CD5CD5" w:rsidRDefault="00CD5CD5" w:rsidP="00CD5CD5">
      <w:pPr>
        <w:pStyle w:val="ListParagraph"/>
        <w:numPr>
          <w:ilvl w:val="1"/>
          <w:numId w:val="290"/>
        </w:numPr>
        <w:tabs>
          <w:tab w:val="left" w:pos="1274"/>
        </w:tabs>
        <w:spacing w:before="121"/>
        <w:ind w:right="195"/>
        <w:jc w:val="both"/>
        <w:rPr>
          <w:rFonts w:ascii="Arial" w:hAnsi="Arial" w:cs="Arial"/>
          <w:sz w:val="20"/>
          <w:szCs w:val="20"/>
        </w:rPr>
      </w:pPr>
      <w:r w:rsidRPr="00CD5CD5">
        <w:rPr>
          <w:rFonts w:ascii="Arial" w:hAnsi="Arial" w:cs="Arial"/>
          <w:spacing w:val="-1"/>
          <w:sz w:val="20"/>
          <w:szCs w:val="20"/>
        </w:rPr>
        <w:t>shall</w:t>
      </w:r>
      <w:r w:rsidRPr="00CD5CD5">
        <w:rPr>
          <w:rFonts w:ascii="Arial" w:hAnsi="Arial" w:cs="Arial"/>
          <w:spacing w:val="-11"/>
          <w:sz w:val="20"/>
          <w:szCs w:val="20"/>
        </w:rPr>
        <w:t xml:space="preserve"> </w:t>
      </w:r>
      <w:r w:rsidRPr="00CD5CD5">
        <w:rPr>
          <w:rFonts w:ascii="Arial" w:hAnsi="Arial" w:cs="Arial"/>
          <w:sz w:val="20"/>
          <w:szCs w:val="20"/>
        </w:rPr>
        <w:t>clearly</w:t>
      </w:r>
      <w:r w:rsidRPr="00CD5CD5">
        <w:rPr>
          <w:rFonts w:ascii="Arial" w:hAnsi="Arial" w:cs="Arial"/>
          <w:spacing w:val="-9"/>
          <w:sz w:val="20"/>
          <w:szCs w:val="20"/>
        </w:rPr>
        <w:t xml:space="preserve"> </w:t>
      </w:r>
      <w:r w:rsidRPr="00CD5CD5">
        <w:rPr>
          <w:rFonts w:ascii="Arial" w:hAnsi="Arial" w:cs="Arial"/>
          <w:sz w:val="20"/>
          <w:szCs w:val="20"/>
        </w:rPr>
        <w:t>identify</w:t>
      </w:r>
      <w:r w:rsidRPr="00CD5CD5">
        <w:rPr>
          <w:rFonts w:ascii="Arial" w:hAnsi="Arial" w:cs="Arial"/>
          <w:spacing w:val="-11"/>
          <w:sz w:val="20"/>
          <w:szCs w:val="20"/>
        </w:rPr>
        <w:t xml:space="preserve"> </w:t>
      </w:r>
      <w:r w:rsidRPr="00CD5CD5">
        <w:rPr>
          <w:rFonts w:ascii="Arial" w:hAnsi="Arial" w:cs="Arial"/>
          <w:sz w:val="20"/>
          <w:szCs w:val="20"/>
        </w:rPr>
        <w:t>the</w:t>
      </w:r>
      <w:r w:rsidRPr="00CD5CD5">
        <w:rPr>
          <w:rFonts w:ascii="Arial" w:hAnsi="Arial" w:cs="Arial"/>
          <w:spacing w:val="-12"/>
          <w:sz w:val="20"/>
          <w:szCs w:val="20"/>
        </w:rPr>
        <w:t xml:space="preserve"> </w:t>
      </w:r>
      <w:r w:rsidRPr="00CD5CD5">
        <w:rPr>
          <w:rFonts w:ascii="Arial" w:hAnsi="Arial" w:cs="Arial"/>
          <w:sz w:val="20"/>
          <w:szCs w:val="20"/>
        </w:rPr>
        <w:t>owner</w:t>
      </w:r>
      <w:r w:rsidRPr="00CD5CD5">
        <w:rPr>
          <w:rFonts w:ascii="Arial" w:hAnsi="Arial" w:cs="Arial"/>
          <w:spacing w:val="-9"/>
          <w:sz w:val="20"/>
          <w:szCs w:val="20"/>
        </w:rPr>
        <w:t xml:space="preserve"> </w:t>
      </w:r>
      <w:r w:rsidRPr="00CD5CD5">
        <w:rPr>
          <w:rFonts w:ascii="Arial" w:hAnsi="Arial" w:cs="Arial"/>
          <w:sz w:val="20"/>
          <w:szCs w:val="20"/>
        </w:rPr>
        <w:t>of</w:t>
      </w:r>
      <w:r w:rsidRPr="00CD5CD5">
        <w:rPr>
          <w:rFonts w:ascii="Arial" w:hAnsi="Arial" w:cs="Arial"/>
          <w:spacing w:val="-12"/>
          <w:sz w:val="20"/>
          <w:szCs w:val="20"/>
        </w:rPr>
        <w:t xml:space="preserve"> </w:t>
      </w:r>
      <w:r w:rsidRPr="00CD5CD5">
        <w:rPr>
          <w:rFonts w:ascii="Arial" w:hAnsi="Arial" w:cs="Arial"/>
          <w:sz w:val="20"/>
          <w:szCs w:val="20"/>
        </w:rPr>
        <w:t>the</w:t>
      </w:r>
      <w:r w:rsidRPr="00CD5CD5">
        <w:rPr>
          <w:rFonts w:ascii="Arial" w:hAnsi="Arial" w:cs="Arial"/>
          <w:spacing w:val="-10"/>
          <w:sz w:val="20"/>
          <w:szCs w:val="20"/>
        </w:rPr>
        <w:t xml:space="preserve"> </w:t>
      </w:r>
      <w:r w:rsidRPr="00CD5CD5">
        <w:rPr>
          <w:rFonts w:ascii="Arial" w:hAnsi="Arial" w:cs="Arial"/>
          <w:sz w:val="20"/>
          <w:szCs w:val="20"/>
        </w:rPr>
        <w:t>aircraft</w:t>
      </w:r>
      <w:r w:rsidRPr="00CD5CD5">
        <w:rPr>
          <w:rFonts w:ascii="Arial" w:hAnsi="Arial" w:cs="Arial"/>
          <w:spacing w:val="-9"/>
          <w:sz w:val="20"/>
          <w:szCs w:val="20"/>
        </w:rPr>
        <w:t xml:space="preserve"> </w:t>
      </w:r>
      <w:r w:rsidRPr="00CD5CD5">
        <w:rPr>
          <w:rFonts w:ascii="Arial" w:hAnsi="Arial" w:cs="Arial"/>
          <w:sz w:val="20"/>
          <w:szCs w:val="20"/>
        </w:rPr>
        <w:t>and</w:t>
      </w:r>
      <w:r w:rsidRPr="00CD5CD5">
        <w:rPr>
          <w:rFonts w:ascii="Arial" w:hAnsi="Arial" w:cs="Arial"/>
          <w:spacing w:val="-10"/>
          <w:sz w:val="20"/>
          <w:szCs w:val="20"/>
        </w:rPr>
        <w:t xml:space="preserve"> </w:t>
      </w:r>
      <w:r w:rsidRPr="00CD5CD5">
        <w:rPr>
          <w:rFonts w:ascii="Arial" w:hAnsi="Arial" w:cs="Arial"/>
          <w:sz w:val="20"/>
          <w:szCs w:val="20"/>
        </w:rPr>
        <w:t>the</w:t>
      </w:r>
      <w:r w:rsidRPr="00CD5CD5">
        <w:rPr>
          <w:rFonts w:ascii="Arial" w:hAnsi="Arial" w:cs="Arial"/>
          <w:spacing w:val="-9"/>
          <w:sz w:val="20"/>
          <w:szCs w:val="20"/>
        </w:rPr>
        <w:t xml:space="preserve"> </w:t>
      </w:r>
      <w:r w:rsidRPr="00CD5CD5">
        <w:rPr>
          <w:rFonts w:ascii="Arial" w:hAnsi="Arial" w:cs="Arial"/>
          <w:sz w:val="20"/>
          <w:szCs w:val="20"/>
        </w:rPr>
        <w:t>aircraft</w:t>
      </w:r>
      <w:r w:rsidRPr="00CD5CD5">
        <w:rPr>
          <w:rFonts w:ascii="Arial" w:hAnsi="Arial" w:cs="Arial"/>
          <w:spacing w:val="-9"/>
          <w:sz w:val="20"/>
          <w:szCs w:val="20"/>
        </w:rPr>
        <w:t xml:space="preserve"> </w:t>
      </w:r>
      <w:r w:rsidRPr="00CD5CD5">
        <w:rPr>
          <w:rFonts w:ascii="Arial" w:hAnsi="Arial" w:cs="Arial"/>
          <w:sz w:val="20"/>
          <w:szCs w:val="20"/>
        </w:rPr>
        <w:t>to</w:t>
      </w:r>
      <w:r w:rsidRPr="00CD5CD5">
        <w:rPr>
          <w:rFonts w:ascii="Arial" w:hAnsi="Arial" w:cs="Arial"/>
          <w:spacing w:val="-8"/>
          <w:sz w:val="20"/>
          <w:szCs w:val="20"/>
        </w:rPr>
        <w:t xml:space="preserve"> </w:t>
      </w:r>
      <w:r w:rsidRPr="00CD5CD5">
        <w:rPr>
          <w:rFonts w:ascii="Arial" w:hAnsi="Arial" w:cs="Arial"/>
          <w:sz w:val="20"/>
          <w:szCs w:val="20"/>
        </w:rPr>
        <w:t>which</w:t>
      </w:r>
      <w:r w:rsidRPr="00CD5CD5">
        <w:rPr>
          <w:rFonts w:ascii="Arial" w:hAnsi="Arial" w:cs="Arial"/>
          <w:spacing w:val="-11"/>
          <w:sz w:val="20"/>
          <w:szCs w:val="20"/>
        </w:rPr>
        <w:t xml:space="preserve"> </w:t>
      </w:r>
      <w:r w:rsidRPr="00CD5CD5">
        <w:rPr>
          <w:rFonts w:ascii="Arial" w:hAnsi="Arial" w:cs="Arial"/>
          <w:sz w:val="20"/>
          <w:szCs w:val="20"/>
        </w:rPr>
        <w:t>it</w:t>
      </w:r>
      <w:r w:rsidRPr="00CD5CD5">
        <w:rPr>
          <w:rFonts w:ascii="Arial" w:hAnsi="Arial" w:cs="Arial"/>
          <w:spacing w:val="-9"/>
          <w:sz w:val="20"/>
          <w:szCs w:val="20"/>
        </w:rPr>
        <w:t xml:space="preserve"> </w:t>
      </w:r>
      <w:r w:rsidRPr="00CD5CD5">
        <w:rPr>
          <w:rFonts w:ascii="Arial" w:hAnsi="Arial" w:cs="Arial"/>
          <w:sz w:val="20"/>
          <w:szCs w:val="20"/>
        </w:rPr>
        <w:t>relates,</w:t>
      </w:r>
      <w:r w:rsidRPr="00CD5CD5">
        <w:rPr>
          <w:rFonts w:ascii="Arial" w:hAnsi="Arial" w:cs="Arial"/>
          <w:spacing w:val="-9"/>
          <w:sz w:val="20"/>
          <w:szCs w:val="20"/>
        </w:rPr>
        <w:t xml:space="preserve"> </w:t>
      </w:r>
      <w:r w:rsidRPr="00CD5CD5">
        <w:rPr>
          <w:rFonts w:ascii="Arial" w:hAnsi="Arial" w:cs="Arial"/>
          <w:sz w:val="20"/>
          <w:szCs w:val="20"/>
        </w:rPr>
        <w:t>including</w:t>
      </w:r>
      <w:r w:rsidRPr="00CD5CD5">
        <w:rPr>
          <w:rFonts w:ascii="Arial" w:hAnsi="Arial" w:cs="Arial"/>
          <w:spacing w:val="-47"/>
          <w:sz w:val="20"/>
          <w:szCs w:val="20"/>
        </w:rPr>
        <w:t xml:space="preserve"> </w:t>
      </w:r>
      <w:r w:rsidRPr="00CD5CD5">
        <w:rPr>
          <w:rFonts w:ascii="Arial" w:hAnsi="Arial" w:cs="Arial"/>
          <w:sz w:val="20"/>
          <w:szCs w:val="20"/>
        </w:rPr>
        <w:t>any</w:t>
      </w:r>
      <w:r w:rsidRPr="00CD5CD5">
        <w:rPr>
          <w:rFonts w:ascii="Arial" w:hAnsi="Arial" w:cs="Arial"/>
          <w:spacing w:val="-1"/>
          <w:sz w:val="20"/>
          <w:szCs w:val="20"/>
        </w:rPr>
        <w:t xml:space="preserve"> </w:t>
      </w:r>
      <w:r w:rsidRPr="00CD5CD5">
        <w:rPr>
          <w:rFonts w:ascii="Arial" w:hAnsi="Arial" w:cs="Arial"/>
          <w:sz w:val="20"/>
          <w:szCs w:val="20"/>
        </w:rPr>
        <w:t>installed</w:t>
      </w:r>
      <w:r w:rsidRPr="00CD5CD5">
        <w:rPr>
          <w:rFonts w:ascii="Arial" w:hAnsi="Arial" w:cs="Arial"/>
          <w:spacing w:val="-2"/>
          <w:sz w:val="20"/>
          <w:szCs w:val="20"/>
        </w:rPr>
        <w:t xml:space="preserve"> </w:t>
      </w:r>
      <w:r w:rsidRPr="00CD5CD5">
        <w:rPr>
          <w:rFonts w:ascii="Arial" w:hAnsi="Arial" w:cs="Arial"/>
          <w:sz w:val="20"/>
          <w:szCs w:val="20"/>
        </w:rPr>
        <w:t>engine</w:t>
      </w:r>
      <w:r w:rsidRPr="00CD5CD5">
        <w:rPr>
          <w:rFonts w:ascii="Arial" w:hAnsi="Arial" w:cs="Arial"/>
          <w:spacing w:val="1"/>
          <w:sz w:val="20"/>
          <w:szCs w:val="20"/>
        </w:rPr>
        <w:t xml:space="preserve"> </w:t>
      </w:r>
      <w:r w:rsidRPr="00CD5CD5">
        <w:rPr>
          <w:rFonts w:ascii="Arial" w:hAnsi="Arial" w:cs="Arial"/>
          <w:sz w:val="20"/>
          <w:szCs w:val="20"/>
        </w:rPr>
        <w:t>and</w:t>
      </w:r>
      <w:r w:rsidRPr="00CD5CD5">
        <w:rPr>
          <w:rFonts w:ascii="Arial" w:hAnsi="Arial" w:cs="Arial"/>
          <w:spacing w:val="-1"/>
          <w:sz w:val="20"/>
          <w:szCs w:val="20"/>
        </w:rPr>
        <w:t xml:space="preserve"> </w:t>
      </w:r>
      <w:r w:rsidRPr="00CD5CD5">
        <w:rPr>
          <w:rFonts w:ascii="Arial" w:hAnsi="Arial" w:cs="Arial"/>
          <w:sz w:val="20"/>
          <w:szCs w:val="20"/>
        </w:rPr>
        <w:t>propeller,</w:t>
      </w:r>
      <w:r w:rsidRPr="00CD5CD5">
        <w:rPr>
          <w:rFonts w:ascii="Arial" w:hAnsi="Arial" w:cs="Arial"/>
          <w:spacing w:val="-3"/>
          <w:sz w:val="20"/>
          <w:szCs w:val="20"/>
        </w:rPr>
        <w:t xml:space="preserve"> </w:t>
      </w:r>
      <w:r w:rsidRPr="00CD5CD5">
        <w:rPr>
          <w:rFonts w:ascii="Arial" w:hAnsi="Arial" w:cs="Arial"/>
          <w:sz w:val="20"/>
          <w:szCs w:val="20"/>
        </w:rPr>
        <w:t>as applicable;</w:t>
      </w:r>
    </w:p>
    <w:p w14:paraId="5AABCC74" w14:textId="77777777" w:rsidR="00CD5CD5" w:rsidRPr="00CD5CD5" w:rsidRDefault="00CD5CD5" w:rsidP="00CD5CD5">
      <w:pPr>
        <w:pStyle w:val="ListParagraph"/>
        <w:numPr>
          <w:ilvl w:val="1"/>
          <w:numId w:val="290"/>
        </w:numPr>
        <w:tabs>
          <w:tab w:val="left" w:pos="1274"/>
        </w:tabs>
        <w:ind w:hanging="568"/>
        <w:jc w:val="both"/>
        <w:rPr>
          <w:rFonts w:ascii="Arial" w:hAnsi="Arial" w:cs="Arial"/>
          <w:sz w:val="20"/>
          <w:szCs w:val="20"/>
        </w:rPr>
      </w:pPr>
      <w:r w:rsidRPr="00CD5CD5">
        <w:rPr>
          <w:rFonts w:ascii="Arial" w:hAnsi="Arial" w:cs="Arial"/>
          <w:sz w:val="20"/>
          <w:szCs w:val="20"/>
        </w:rPr>
        <w:t>shall</w:t>
      </w:r>
      <w:r w:rsidRPr="00CD5CD5">
        <w:rPr>
          <w:rFonts w:ascii="Arial" w:hAnsi="Arial" w:cs="Arial"/>
          <w:spacing w:val="-3"/>
          <w:sz w:val="20"/>
          <w:szCs w:val="20"/>
        </w:rPr>
        <w:t xml:space="preserve"> </w:t>
      </w:r>
      <w:r w:rsidRPr="00CD5CD5">
        <w:rPr>
          <w:rFonts w:ascii="Arial" w:hAnsi="Arial" w:cs="Arial"/>
          <w:sz w:val="20"/>
          <w:szCs w:val="20"/>
        </w:rPr>
        <w:t>include,</w:t>
      </w:r>
      <w:r w:rsidRPr="00CD5CD5">
        <w:rPr>
          <w:rFonts w:ascii="Arial" w:hAnsi="Arial" w:cs="Arial"/>
          <w:spacing w:val="-1"/>
          <w:sz w:val="20"/>
          <w:szCs w:val="20"/>
        </w:rPr>
        <w:t xml:space="preserve"> </w:t>
      </w:r>
      <w:r w:rsidRPr="00CD5CD5">
        <w:rPr>
          <w:rFonts w:ascii="Arial" w:hAnsi="Arial" w:cs="Arial"/>
          <w:sz w:val="20"/>
          <w:szCs w:val="20"/>
        </w:rPr>
        <w:t>alternatively:</w:t>
      </w:r>
    </w:p>
    <w:p w14:paraId="0BCF6D0A" w14:textId="77777777" w:rsidR="00CD5CD5" w:rsidRPr="00CD5CD5" w:rsidRDefault="00CD5CD5" w:rsidP="00CD5CD5">
      <w:pPr>
        <w:pStyle w:val="ListParagraph"/>
        <w:numPr>
          <w:ilvl w:val="2"/>
          <w:numId w:val="290"/>
        </w:numPr>
        <w:tabs>
          <w:tab w:val="left" w:pos="1842"/>
        </w:tabs>
        <w:ind w:right="198"/>
        <w:jc w:val="both"/>
        <w:rPr>
          <w:rFonts w:ascii="Arial" w:hAnsi="Arial" w:cs="Arial"/>
          <w:sz w:val="20"/>
          <w:szCs w:val="20"/>
        </w:rPr>
      </w:pPr>
      <w:r w:rsidRPr="00CD5CD5">
        <w:rPr>
          <w:rFonts w:ascii="Arial" w:hAnsi="Arial" w:cs="Arial"/>
          <w:sz w:val="20"/>
          <w:szCs w:val="20"/>
        </w:rPr>
        <w:t>the</w:t>
      </w:r>
      <w:r w:rsidRPr="00CD5CD5">
        <w:rPr>
          <w:rFonts w:ascii="Arial" w:hAnsi="Arial" w:cs="Arial"/>
          <w:spacing w:val="1"/>
          <w:sz w:val="20"/>
          <w:szCs w:val="20"/>
        </w:rPr>
        <w:t xml:space="preserve"> </w:t>
      </w:r>
      <w:r w:rsidRPr="00CD5CD5">
        <w:rPr>
          <w:rFonts w:ascii="Arial" w:hAnsi="Arial" w:cs="Arial"/>
          <w:sz w:val="20"/>
          <w:szCs w:val="20"/>
        </w:rPr>
        <w:t>tasks</w:t>
      </w:r>
      <w:r w:rsidRPr="00CD5CD5">
        <w:rPr>
          <w:rFonts w:ascii="Arial" w:hAnsi="Arial" w:cs="Arial"/>
          <w:spacing w:val="1"/>
          <w:sz w:val="20"/>
          <w:szCs w:val="20"/>
        </w:rPr>
        <w:t xml:space="preserve"> </w:t>
      </w:r>
      <w:r w:rsidRPr="00CD5CD5">
        <w:rPr>
          <w:rFonts w:ascii="Arial" w:hAnsi="Arial" w:cs="Arial"/>
          <w:sz w:val="20"/>
          <w:szCs w:val="20"/>
        </w:rPr>
        <w:t>or</w:t>
      </w:r>
      <w:r w:rsidRPr="00CD5CD5">
        <w:rPr>
          <w:rFonts w:ascii="Arial" w:hAnsi="Arial" w:cs="Arial"/>
          <w:spacing w:val="1"/>
          <w:sz w:val="20"/>
          <w:szCs w:val="20"/>
        </w:rPr>
        <w:t xml:space="preserve"> </w:t>
      </w:r>
      <w:r w:rsidRPr="00CD5CD5">
        <w:rPr>
          <w:rFonts w:ascii="Arial" w:hAnsi="Arial" w:cs="Arial"/>
          <w:sz w:val="20"/>
          <w:szCs w:val="20"/>
        </w:rPr>
        <w:t>inspections</w:t>
      </w:r>
      <w:r w:rsidRPr="00CD5CD5">
        <w:rPr>
          <w:rFonts w:ascii="Arial" w:hAnsi="Arial" w:cs="Arial"/>
          <w:spacing w:val="1"/>
          <w:sz w:val="20"/>
          <w:szCs w:val="20"/>
        </w:rPr>
        <w:t xml:space="preserve"> </w:t>
      </w:r>
      <w:r w:rsidRPr="00CD5CD5">
        <w:rPr>
          <w:rFonts w:ascii="Arial" w:hAnsi="Arial" w:cs="Arial"/>
          <w:sz w:val="20"/>
          <w:szCs w:val="20"/>
        </w:rPr>
        <w:t>contained</w:t>
      </w:r>
      <w:r w:rsidRPr="00CD5CD5">
        <w:rPr>
          <w:rFonts w:ascii="Arial" w:hAnsi="Arial" w:cs="Arial"/>
          <w:spacing w:val="1"/>
          <w:sz w:val="20"/>
          <w:szCs w:val="20"/>
        </w:rPr>
        <w:t xml:space="preserve"> </w:t>
      </w:r>
      <w:r w:rsidRPr="00CD5CD5">
        <w:rPr>
          <w:rFonts w:ascii="Arial" w:hAnsi="Arial" w:cs="Arial"/>
          <w:sz w:val="20"/>
          <w:szCs w:val="20"/>
        </w:rPr>
        <w:t>in</w:t>
      </w:r>
      <w:r w:rsidRPr="00CD5CD5">
        <w:rPr>
          <w:rFonts w:ascii="Arial" w:hAnsi="Arial" w:cs="Arial"/>
          <w:spacing w:val="1"/>
          <w:sz w:val="20"/>
          <w:szCs w:val="20"/>
        </w:rPr>
        <w:t xml:space="preserve"> </w:t>
      </w:r>
      <w:r w:rsidRPr="00CD5CD5">
        <w:rPr>
          <w:rFonts w:ascii="Arial" w:hAnsi="Arial" w:cs="Arial"/>
          <w:sz w:val="20"/>
          <w:szCs w:val="20"/>
        </w:rPr>
        <w:t>the</w:t>
      </w:r>
      <w:r w:rsidRPr="00CD5CD5">
        <w:rPr>
          <w:rFonts w:ascii="Arial" w:hAnsi="Arial" w:cs="Arial"/>
          <w:spacing w:val="1"/>
          <w:sz w:val="20"/>
          <w:szCs w:val="20"/>
        </w:rPr>
        <w:t xml:space="preserve"> </w:t>
      </w:r>
      <w:r w:rsidRPr="00CD5CD5">
        <w:rPr>
          <w:rFonts w:ascii="Arial" w:hAnsi="Arial" w:cs="Arial"/>
          <w:sz w:val="20"/>
          <w:szCs w:val="20"/>
        </w:rPr>
        <w:t>applicable</w:t>
      </w:r>
      <w:r w:rsidRPr="00CD5CD5">
        <w:rPr>
          <w:rFonts w:ascii="Arial" w:hAnsi="Arial" w:cs="Arial"/>
          <w:spacing w:val="1"/>
          <w:sz w:val="20"/>
          <w:szCs w:val="20"/>
        </w:rPr>
        <w:t xml:space="preserve"> </w:t>
      </w:r>
      <w:r w:rsidRPr="00CD5CD5">
        <w:rPr>
          <w:rFonts w:ascii="Arial" w:hAnsi="Arial" w:cs="Arial"/>
          <w:sz w:val="20"/>
          <w:szCs w:val="20"/>
        </w:rPr>
        <w:t>minimum</w:t>
      </w:r>
      <w:r w:rsidRPr="00CD5CD5">
        <w:rPr>
          <w:rFonts w:ascii="Arial" w:hAnsi="Arial" w:cs="Arial"/>
          <w:spacing w:val="1"/>
          <w:sz w:val="20"/>
          <w:szCs w:val="20"/>
        </w:rPr>
        <w:t xml:space="preserve"> </w:t>
      </w:r>
      <w:r w:rsidRPr="00CD5CD5">
        <w:rPr>
          <w:rFonts w:ascii="Arial" w:hAnsi="Arial" w:cs="Arial"/>
          <w:sz w:val="20"/>
          <w:szCs w:val="20"/>
        </w:rPr>
        <w:t>inspection</w:t>
      </w:r>
      <w:r w:rsidRPr="00CD5CD5">
        <w:rPr>
          <w:rFonts w:ascii="Arial" w:hAnsi="Arial" w:cs="Arial"/>
          <w:spacing w:val="1"/>
          <w:sz w:val="20"/>
          <w:szCs w:val="20"/>
        </w:rPr>
        <w:t xml:space="preserve"> </w:t>
      </w:r>
      <w:r w:rsidRPr="00CD5CD5">
        <w:rPr>
          <w:rFonts w:ascii="Arial" w:hAnsi="Arial" w:cs="Arial"/>
          <w:sz w:val="20"/>
          <w:szCs w:val="20"/>
        </w:rPr>
        <w:t>programme</w:t>
      </w:r>
      <w:r w:rsidRPr="00CD5CD5">
        <w:rPr>
          <w:rFonts w:ascii="Arial" w:hAnsi="Arial" w:cs="Arial"/>
          <w:spacing w:val="-3"/>
          <w:sz w:val="20"/>
          <w:szCs w:val="20"/>
        </w:rPr>
        <w:t xml:space="preserve"> </w:t>
      </w:r>
      <w:r w:rsidRPr="00CD5CD5">
        <w:rPr>
          <w:rFonts w:ascii="Arial" w:hAnsi="Arial" w:cs="Arial"/>
          <w:sz w:val="20"/>
          <w:szCs w:val="20"/>
        </w:rPr>
        <w:t>(‘MIP’) referred</w:t>
      </w:r>
      <w:r w:rsidRPr="00CD5CD5">
        <w:rPr>
          <w:rFonts w:ascii="Arial" w:hAnsi="Arial" w:cs="Arial"/>
          <w:spacing w:val="-1"/>
          <w:sz w:val="20"/>
          <w:szCs w:val="20"/>
        </w:rPr>
        <w:t xml:space="preserve"> </w:t>
      </w:r>
      <w:r w:rsidRPr="00CD5CD5">
        <w:rPr>
          <w:rFonts w:ascii="Arial" w:hAnsi="Arial" w:cs="Arial"/>
          <w:sz w:val="20"/>
          <w:szCs w:val="20"/>
        </w:rPr>
        <w:t>to</w:t>
      </w:r>
      <w:r w:rsidRPr="00CD5CD5">
        <w:rPr>
          <w:rFonts w:ascii="Arial" w:hAnsi="Arial" w:cs="Arial"/>
          <w:spacing w:val="1"/>
          <w:sz w:val="20"/>
          <w:szCs w:val="20"/>
        </w:rPr>
        <w:t xml:space="preserve"> </w:t>
      </w:r>
      <w:r w:rsidRPr="00CD5CD5">
        <w:rPr>
          <w:rFonts w:ascii="Arial" w:hAnsi="Arial" w:cs="Arial"/>
          <w:sz w:val="20"/>
          <w:szCs w:val="20"/>
        </w:rPr>
        <w:t>in point (d);</w:t>
      </w:r>
    </w:p>
    <w:p w14:paraId="2F96C584" w14:textId="77777777" w:rsidR="00CD5CD5" w:rsidRPr="00CD5CD5" w:rsidRDefault="00CD5CD5" w:rsidP="00CD5CD5">
      <w:pPr>
        <w:pStyle w:val="ListParagraph"/>
        <w:numPr>
          <w:ilvl w:val="2"/>
          <w:numId w:val="290"/>
        </w:numPr>
        <w:tabs>
          <w:tab w:val="left" w:pos="1842"/>
        </w:tabs>
        <w:spacing w:before="121"/>
        <w:ind w:right="193"/>
        <w:jc w:val="both"/>
        <w:rPr>
          <w:rFonts w:ascii="Arial" w:hAnsi="Arial" w:cs="Arial"/>
          <w:sz w:val="20"/>
          <w:szCs w:val="20"/>
        </w:rPr>
      </w:pPr>
      <w:r w:rsidRPr="00CD5CD5">
        <w:rPr>
          <w:rFonts w:ascii="Arial" w:hAnsi="Arial" w:cs="Arial"/>
          <w:sz w:val="20"/>
          <w:szCs w:val="20"/>
        </w:rPr>
        <w:t>the instructions for continuing airworthiness (‘ICA’) issued by the design approval</w:t>
      </w:r>
      <w:r w:rsidRPr="00CD5CD5">
        <w:rPr>
          <w:rFonts w:ascii="Arial" w:hAnsi="Arial" w:cs="Arial"/>
          <w:spacing w:val="1"/>
          <w:sz w:val="20"/>
          <w:szCs w:val="20"/>
        </w:rPr>
        <w:t xml:space="preserve"> </w:t>
      </w:r>
      <w:r w:rsidRPr="00CD5CD5">
        <w:rPr>
          <w:rFonts w:ascii="Arial" w:hAnsi="Arial" w:cs="Arial"/>
          <w:sz w:val="20"/>
          <w:szCs w:val="20"/>
        </w:rPr>
        <w:t>holder</w:t>
      </w:r>
      <w:r w:rsidRPr="00CD5CD5">
        <w:rPr>
          <w:rFonts w:ascii="Arial" w:hAnsi="Arial" w:cs="Arial"/>
          <w:spacing w:val="-1"/>
          <w:sz w:val="20"/>
          <w:szCs w:val="20"/>
        </w:rPr>
        <w:t xml:space="preserve"> </w:t>
      </w:r>
      <w:r w:rsidRPr="00CD5CD5">
        <w:rPr>
          <w:rFonts w:ascii="Arial" w:hAnsi="Arial" w:cs="Arial"/>
          <w:sz w:val="20"/>
          <w:szCs w:val="20"/>
        </w:rPr>
        <w:t>(‘DAH’);</w:t>
      </w:r>
    </w:p>
    <w:p w14:paraId="46242B39" w14:textId="77777777" w:rsidR="00CD5CD5" w:rsidRPr="00CD5CD5" w:rsidRDefault="00CD5CD5" w:rsidP="00CD5CD5">
      <w:pPr>
        <w:pStyle w:val="ListParagraph"/>
        <w:numPr>
          <w:ilvl w:val="1"/>
          <w:numId w:val="290"/>
        </w:numPr>
        <w:tabs>
          <w:tab w:val="left" w:pos="1274"/>
        </w:tabs>
        <w:spacing w:before="118"/>
        <w:ind w:right="193"/>
        <w:jc w:val="both"/>
        <w:rPr>
          <w:rFonts w:ascii="Arial" w:hAnsi="Arial" w:cs="Arial"/>
          <w:sz w:val="20"/>
          <w:szCs w:val="20"/>
        </w:rPr>
      </w:pPr>
      <w:r w:rsidRPr="00CD5CD5">
        <w:rPr>
          <w:rFonts w:ascii="Arial" w:hAnsi="Arial" w:cs="Arial"/>
          <w:sz w:val="20"/>
          <w:szCs w:val="20"/>
        </w:rPr>
        <w:t>may</w:t>
      </w:r>
      <w:r w:rsidRPr="00CD5CD5">
        <w:rPr>
          <w:rFonts w:ascii="Arial" w:hAnsi="Arial" w:cs="Arial"/>
          <w:spacing w:val="1"/>
          <w:sz w:val="20"/>
          <w:szCs w:val="20"/>
        </w:rPr>
        <w:t xml:space="preserve"> </w:t>
      </w:r>
      <w:r w:rsidRPr="00CD5CD5">
        <w:rPr>
          <w:rFonts w:ascii="Arial" w:hAnsi="Arial" w:cs="Arial"/>
          <w:sz w:val="20"/>
          <w:szCs w:val="20"/>
        </w:rPr>
        <w:t>include</w:t>
      </w:r>
      <w:r w:rsidRPr="00CD5CD5">
        <w:rPr>
          <w:rFonts w:ascii="Arial" w:hAnsi="Arial" w:cs="Arial"/>
          <w:spacing w:val="1"/>
          <w:sz w:val="20"/>
          <w:szCs w:val="20"/>
        </w:rPr>
        <w:t xml:space="preserve"> </w:t>
      </w:r>
      <w:r w:rsidRPr="00CD5CD5">
        <w:rPr>
          <w:rFonts w:ascii="Arial" w:hAnsi="Arial" w:cs="Arial"/>
          <w:sz w:val="20"/>
          <w:szCs w:val="20"/>
        </w:rPr>
        <w:t>additional</w:t>
      </w:r>
      <w:r w:rsidRPr="00CD5CD5">
        <w:rPr>
          <w:rFonts w:ascii="Arial" w:hAnsi="Arial" w:cs="Arial"/>
          <w:spacing w:val="1"/>
          <w:sz w:val="20"/>
          <w:szCs w:val="20"/>
        </w:rPr>
        <w:t xml:space="preserve"> </w:t>
      </w:r>
      <w:r w:rsidRPr="00CD5CD5">
        <w:rPr>
          <w:rFonts w:ascii="Arial" w:hAnsi="Arial" w:cs="Arial"/>
          <w:sz w:val="20"/>
          <w:szCs w:val="20"/>
        </w:rPr>
        <w:t>maintenance</w:t>
      </w:r>
      <w:r w:rsidRPr="00CD5CD5">
        <w:rPr>
          <w:rFonts w:ascii="Arial" w:hAnsi="Arial" w:cs="Arial"/>
          <w:spacing w:val="1"/>
          <w:sz w:val="20"/>
          <w:szCs w:val="20"/>
        </w:rPr>
        <w:t xml:space="preserve"> </w:t>
      </w:r>
      <w:r w:rsidRPr="00CD5CD5">
        <w:rPr>
          <w:rFonts w:ascii="Arial" w:hAnsi="Arial" w:cs="Arial"/>
          <w:sz w:val="20"/>
          <w:szCs w:val="20"/>
        </w:rPr>
        <w:t>actions</w:t>
      </w:r>
      <w:r w:rsidRPr="00CD5CD5">
        <w:rPr>
          <w:rFonts w:ascii="Arial" w:hAnsi="Arial" w:cs="Arial"/>
          <w:spacing w:val="1"/>
          <w:sz w:val="20"/>
          <w:szCs w:val="20"/>
        </w:rPr>
        <w:t xml:space="preserve"> </w:t>
      </w:r>
      <w:r w:rsidRPr="00CD5CD5">
        <w:rPr>
          <w:rFonts w:ascii="Arial" w:hAnsi="Arial" w:cs="Arial"/>
          <w:sz w:val="20"/>
          <w:szCs w:val="20"/>
        </w:rPr>
        <w:t>to</w:t>
      </w:r>
      <w:r w:rsidRPr="00CD5CD5">
        <w:rPr>
          <w:rFonts w:ascii="Arial" w:hAnsi="Arial" w:cs="Arial"/>
          <w:spacing w:val="1"/>
          <w:sz w:val="20"/>
          <w:szCs w:val="20"/>
        </w:rPr>
        <w:t xml:space="preserve"> </w:t>
      </w:r>
      <w:r w:rsidRPr="00CD5CD5">
        <w:rPr>
          <w:rFonts w:ascii="Arial" w:hAnsi="Arial" w:cs="Arial"/>
          <w:sz w:val="20"/>
          <w:szCs w:val="20"/>
        </w:rPr>
        <w:t>those</w:t>
      </w:r>
      <w:r w:rsidRPr="00CD5CD5">
        <w:rPr>
          <w:rFonts w:ascii="Arial" w:hAnsi="Arial" w:cs="Arial"/>
          <w:spacing w:val="1"/>
          <w:sz w:val="20"/>
          <w:szCs w:val="20"/>
        </w:rPr>
        <w:t xml:space="preserve"> </w:t>
      </w:r>
      <w:r w:rsidRPr="00CD5CD5">
        <w:rPr>
          <w:rFonts w:ascii="Arial" w:hAnsi="Arial" w:cs="Arial"/>
          <w:sz w:val="20"/>
          <w:szCs w:val="20"/>
        </w:rPr>
        <w:t>referred</w:t>
      </w:r>
      <w:r w:rsidRPr="00CD5CD5">
        <w:rPr>
          <w:rFonts w:ascii="Arial" w:hAnsi="Arial" w:cs="Arial"/>
          <w:spacing w:val="1"/>
          <w:sz w:val="20"/>
          <w:szCs w:val="20"/>
        </w:rPr>
        <w:t xml:space="preserve"> </w:t>
      </w:r>
      <w:r w:rsidRPr="00CD5CD5">
        <w:rPr>
          <w:rFonts w:ascii="Arial" w:hAnsi="Arial" w:cs="Arial"/>
          <w:sz w:val="20"/>
          <w:szCs w:val="20"/>
        </w:rPr>
        <w:t>to</w:t>
      </w:r>
      <w:r w:rsidRPr="00CD5CD5">
        <w:rPr>
          <w:rFonts w:ascii="Arial" w:hAnsi="Arial" w:cs="Arial"/>
          <w:spacing w:val="1"/>
          <w:sz w:val="20"/>
          <w:szCs w:val="20"/>
        </w:rPr>
        <w:t xml:space="preserve"> </w:t>
      </w:r>
      <w:r w:rsidRPr="00CD5CD5">
        <w:rPr>
          <w:rFonts w:ascii="Arial" w:hAnsi="Arial" w:cs="Arial"/>
          <w:sz w:val="20"/>
          <w:szCs w:val="20"/>
        </w:rPr>
        <w:t>in</w:t>
      </w:r>
      <w:r w:rsidRPr="00CD5CD5">
        <w:rPr>
          <w:rFonts w:ascii="Arial" w:hAnsi="Arial" w:cs="Arial"/>
          <w:spacing w:val="1"/>
          <w:sz w:val="20"/>
          <w:szCs w:val="20"/>
        </w:rPr>
        <w:t xml:space="preserve"> </w:t>
      </w:r>
      <w:r w:rsidRPr="00CD5CD5">
        <w:rPr>
          <w:rFonts w:ascii="Arial" w:hAnsi="Arial" w:cs="Arial"/>
          <w:sz w:val="20"/>
          <w:szCs w:val="20"/>
        </w:rPr>
        <w:t>point</w:t>
      </w:r>
      <w:r w:rsidRPr="00CD5CD5">
        <w:rPr>
          <w:rFonts w:ascii="Arial" w:hAnsi="Arial" w:cs="Arial"/>
          <w:spacing w:val="1"/>
          <w:sz w:val="20"/>
          <w:szCs w:val="20"/>
        </w:rPr>
        <w:t xml:space="preserve"> </w:t>
      </w:r>
      <w:r w:rsidRPr="00CD5CD5">
        <w:rPr>
          <w:rFonts w:ascii="Arial" w:hAnsi="Arial" w:cs="Arial"/>
          <w:sz w:val="20"/>
          <w:szCs w:val="20"/>
        </w:rPr>
        <w:t>(c)(2)</w:t>
      </w:r>
      <w:r w:rsidRPr="00CD5CD5">
        <w:rPr>
          <w:rFonts w:ascii="Arial" w:hAnsi="Arial" w:cs="Arial"/>
          <w:spacing w:val="1"/>
          <w:sz w:val="20"/>
          <w:szCs w:val="20"/>
        </w:rPr>
        <w:t xml:space="preserve"> </w:t>
      </w:r>
      <w:r w:rsidRPr="00CD5CD5">
        <w:rPr>
          <w:rFonts w:ascii="Arial" w:hAnsi="Arial" w:cs="Arial"/>
          <w:sz w:val="20"/>
          <w:szCs w:val="20"/>
        </w:rPr>
        <w:t>or</w:t>
      </w:r>
      <w:r w:rsidRPr="00CD5CD5">
        <w:rPr>
          <w:rFonts w:ascii="Arial" w:hAnsi="Arial" w:cs="Arial"/>
          <w:spacing w:val="-47"/>
          <w:sz w:val="20"/>
          <w:szCs w:val="20"/>
        </w:rPr>
        <w:t xml:space="preserve"> </w:t>
      </w:r>
      <w:r w:rsidRPr="00CD5CD5">
        <w:rPr>
          <w:rFonts w:ascii="Arial" w:hAnsi="Arial" w:cs="Arial"/>
          <w:sz w:val="20"/>
          <w:szCs w:val="20"/>
        </w:rPr>
        <w:t>maintenance actions alternative to those referred to in point (c)(2)(b) at the proposal of</w:t>
      </w:r>
      <w:r w:rsidRPr="00CD5CD5">
        <w:rPr>
          <w:rFonts w:ascii="Arial" w:hAnsi="Arial" w:cs="Arial"/>
          <w:spacing w:val="1"/>
          <w:sz w:val="20"/>
          <w:szCs w:val="20"/>
        </w:rPr>
        <w:t xml:space="preserve"> </w:t>
      </w:r>
      <w:r w:rsidRPr="00CD5CD5">
        <w:rPr>
          <w:rFonts w:ascii="Arial" w:hAnsi="Arial" w:cs="Arial"/>
          <w:sz w:val="20"/>
          <w:szCs w:val="20"/>
        </w:rPr>
        <w:t>the owner, CAMO or CAO, once approved or declared in accordance with point (b).</w:t>
      </w:r>
      <w:r w:rsidRPr="00CD5CD5">
        <w:rPr>
          <w:rFonts w:ascii="Arial" w:hAnsi="Arial" w:cs="Arial"/>
          <w:spacing w:val="1"/>
          <w:sz w:val="20"/>
          <w:szCs w:val="20"/>
        </w:rPr>
        <w:t xml:space="preserve"> </w:t>
      </w:r>
      <w:r w:rsidRPr="00CD5CD5">
        <w:rPr>
          <w:rFonts w:ascii="Arial" w:hAnsi="Arial" w:cs="Arial"/>
          <w:sz w:val="20"/>
          <w:szCs w:val="20"/>
        </w:rPr>
        <w:t>Alternative maintenance actions to those referred to in point (c)(2)(b) shall not be less</w:t>
      </w:r>
      <w:r w:rsidRPr="00CD5CD5">
        <w:rPr>
          <w:rFonts w:ascii="Arial" w:hAnsi="Arial" w:cs="Arial"/>
          <w:spacing w:val="1"/>
          <w:sz w:val="20"/>
          <w:szCs w:val="20"/>
        </w:rPr>
        <w:t xml:space="preserve"> </w:t>
      </w:r>
      <w:r w:rsidRPr="00CD5CD5">
        <w:rPr>
          <w:rFonts w:ascii="Arial" w:hAnsi="Arial" w:cs="Arial"/>
          <w:sz w:val="20"/>
          <w:szCs w:val="20"/>
        </w:rPr>
        <w:t>restrictive</w:t>
      </w:r>
      <w:r w:rsidRPr="00CD5CD5">
        <w:rPr>
          <w:rFonts w:ascii="Arial" w:hAnsi="Arial" w:cs="Arial"/>
          <w:spacing w:val="-3"/>
          <w:sz w:val="20"/>
          <w:szCs w:val="20"/>
        </w:rPr>
        <w:t xml:space="preserve"> </w:t>
      </w:r>
      <w:r w:rsidRPr="00CD5CD5">
        <w:rPr>
          <w:rFonts w:ascii="Arial" w:hAnsi="Arial" w:cs="Arial"/>
          <w:sz w:val="20"/>
          <w:szCs w:val="20"/>
        </w:rPr>
        <w:t>than</w:t>
      </w:r>
      <w:r w:rsidRPr="00CD5CD5">
        <w:rPr>
          <w:rFonts w:ascii="Arial" w:hAnsi="Arial" w:cs="Arial"/>
          <w:spacing w:val="-1"/>
          <w:sz w:val="20"/>
          <w:szCs w:val="20"/>
        </w:rPr>
        <w:t xml:space="preserve"> </w:t>
      </w:r>
      <w:r w:rsidRPr="00CD5CD5">
        <w:rPr>
          <w:rFonts w:ascii="Arial" w:hAnsi="Arial" w:cs="Arial"/>
          <w:sz w:val="20"/>
          <w:szCs w:val="20"/>
        </w:rPr>
        <w:t>those</w:t>
      </w:r>
      <w:r w:rsidRPr="00CD5CD5">
        <w:rPr>
          <w:rFonts w:ascii="Arial" w:hAnsi="Arial" w:cs="Arial"/>
          <w:spacing w:val="-2"/>
          <w:sz w:val="20"/>
          <w:szCs w:val="20"/>
        </w:rPr>
        <w:t xml:space="preserve"> </w:t>
      </w:r>
      <w:r w:rsidRPr="00CD5CD5">
        <w:rPr>
          <w:rFonts w:ascii="Arial" w:hAnsi="Arial" w:cs="Arial"/>
          <w:sz w:val="20"/>
          <w:szCs w:val="20"/>
        </w:rPr>
        <w:t>set</w:t>
      </w:r>
      <w:r w:rsidRPr="00CD5CD5">
        <w:rPr>
          <w:rFonts w:ascii="Arial" w:hAnsi="Arial" w:cs="Arial"/>
          <w:spacing w:val="-2"/>
          <w:sz w:val="20"/>
          <w:szCs w:val="20"/>
        </w:rPr>
        <w:t xml:space="preserve"> </w:t>
      </w:r>
      <w:r w:rsidRPr="00CD5CD5">
        <w:rPr>
          <w:rFonts w:ascii="Arial" w:hAnsi="Arial" w:cs="Arial"/>
          <w:sz w:val="20"/>
          <w:szCs w:val="20"/>
        </w:rPr>
        <w:t>out in</w:t>
      </w:r>
      <w:r w:rsidRPr="00CD5CD5">
        <w:rPr>
          <w:rFonts w:ascii="Arial" w:hAnsi="Arial" w:cs="Arial"/>
          <w:spacing w:val="-1"/>
          <w:sz w:val="20"/>
          <w:szCs w:val="20"/>
        </w:rPr>
        <w:t xml:space="preserve"> </w:t>
      </w:r>
      <w:r w:rsidRPr="00CD5CD5">
        <w:rPr>
          <w:rFonts w:ascii="Arial" w:hAnsi="Arial" w:cs="Arial"/>
          <w:sz w:val="20"/>
          <w:szCs w:val="20"/>
        </w:rPr>
        <w:t>the</w:t>
      </w:r>
      <w:r w:rsidRPr="00CD5CD5">
        <w:rPr>
          <w:rFonts w:ascii="Arial" w:hAnsi="Arial" w:cs="Arial"/>
          <w:spacing w:val="1"/>
          <w:sz w:val="20"/>
          <w:szCs w:val="20"/>
        </w:rPr>
        <w:t xml:space="preserve"> </w:t>
      </w:r>
      <w:r w:rsidRPr="00CD5CD5">
        <w:rPr>
          <w:rFonts w:ascii="Arial" w:hAnsi="Arial" w:cs="Arial"/>
          <w:sz w:val="20"/>
          <w:szCs w:val="20"/>
        </w:rPr>
        <w:t>applicable</w:t>
      </w:r>
      <w:r w:rsidRPr="00CD5CD5">
        <w:rPr>
          <w:rFonts w:ascii="Arial" w:hAnsi="Arial" w:cs="Arial"/>
          <w:spacing w:val="-3"/>
          <w:sz w:val="20"/>
          <w:szCs w:val="20"/>
        </w:rPr>
        <w:t xml:space="preserve"> </w:t>
      </w:r>
      <w:r w:rsidRPr="00CD5CD5">
        <w:rPr>
          <w:rFonts w:ascii="Arial" w:hAnsi="Arial" w:cs="Arial"/>
          <w:sz w:val="20"/>
          <w:szCs w:val="20"/>
        </w:rPr>
        <w:t>MIP;</w:t>
      </w:r>
    </w:p>
    <w:p w14:paraId="749B147A" w14:textId="77777777" w:rsidR="00CD5CD5" w:rsidRPr="00CD5CD5" w:rsidRDefault="00CD5CD5" w:rsidP="00CD5CD5">
      <w:pPr>
        <w:pStyle w:val="ListParagraph"/>
        <w:numPr>
          <w:ilvl w:val="1"/>
          <w:numId w:val="290"/>
        </w:numPr>
        <w:tabs>
          <w:tab w:val="left" w:pos="1274"/>
        </w:tabs>
        <w:spacing w:before="122"/>
        <w:ind w:right="198"/>
        <w:jc w:val="both"/>
        <w:rPr>
          <w:rFonts w:ascii="Arial" w:hAnsi="Arial" w:cs="Arial"/>
          <w:sz w:val="20"/>
          <w:szCs w:val="20"/>
        </w:rPr>
      </w:pPr>
      <w:r w:rsidRPr="00CD5CD5">
        <w:rPr>
          <w:rFonts w:ascii="Arial" w:hAnsi="Arial" w:cs="Arial"/>
          <w:sz w:val="20"/>
          <w:szCs w:val="20"/>
        </w:rPr>
        <w:t>shall include all the mandatory continuing airworthiness information, such as repetitive</w:t>
      </w:r>
      <w:r w:rsidRPr="00CD5CD5">
        <w:rPr>
          <w:rFonts w:ascii="Arial" w:hAnsi="Arial" w:cs="Arial"/>
          <w:spacing w:val="1"/>
          <w:sz w:val="20"/>
          <w:szCs w:val="20"/>
        </w:rPr>
        <w:t xml:space="preserve"> </w:t>
      </w:r>
      <w:r w:rsidRPr="00CD5CD5">
        <w:rPr>
          <w:rFonts w:ascii="Arial" w:hAnsi="Arial" w:cs="Arial"/>
          <w:sz w:val="20"/>
          <w:szCs w:val="20"/>
        </w:rPr>
        <w:t>ADs, the airworthiness limitation section (‘ALS’) of the ICAs, and specific maintenance</w:t>
      </w:r>
      <w:r w:rsidRPr="00CD5CD5">
        <w:rPr>
          <w:rFonts w:ascii="Arial" w:hAnsi="Arial" w:cs="Arial"/>
          <w:spacing w:val="1"/>
          <w:sz w:val="20"/>
          <w:szCs w:val="20"/>
        </w:rPr>
        <w:t xml:space="preserve"> </w:t>
      </w:r>
      <w:r w:rsidRPr="00CD5CD5">
        <w:rPr>
          <w:rFonts w:ascii="Arial" w:hAnsi="Arial" w:cs="Arial"/>
          <w:sz w:val="20"/>
          <w:szCs w:val="20"/>
        </w:rPr>
        <w:t>requirements</w:t>
      </w:r>
      <w:r w:rsidRPr="00CD5CD5">
        <w:rPr>
          <w:rFonts w:ascii="Arial" w:hAnsi="Arial" w:cs="Arial"/>
          <w:spacing w:val="-1"/>
          <w:sz w:val="20"/>
          <w:szCs w:val="20"/>
        </w:rPr>
        <w:t xml:space="preserve"> </w:t>
      </w:r>
      <w:r w:rsidRPr="00CD5CD5">
        <w:rPr>
          <w:rFonts w:ascii="Arial" w:hAnsi="Arial" w:cs="Arial"/>
          <w:sz w:val="20"/>
          <w:szCs w:val="20"/>
        </w:rPr>
        <w:t>contained</w:t>
      </w:r>
      <w:r w:rsidRPr="00CD5CD5">
        <w:rPr>
          <w:rFonts w:ascii="Arial" w:hAnsi="Arial" w:cs="Arial"/>
          <w:spacing w:val="-3"/>
          <w:sz w:val="20"/>
          <w:szCs w:val="20"/>
        </w:rPr>
        <w:t xml:space="preserve"> </w:t>
      </w:r>
      <w:r w:rsidRPr="00CD5CD5">
        <w:rPr>
          <w:rFonts w:ascii="Arial" w:hAnsi="Arial" w:cs="Arial"/>
          <w:sz w:val="20"/>
          <w:szCs w:val="20"/>
        </w:rPr>
        <w:t>in</w:t>
      </w:r>
      <w:r w:rsidRPr="00CD5CD5">
        <w:rPr>
          <w:rFonts w:ascii="Arial" w:hAnsi="Arial" w:cs="Arial"/>
          <w:spacing w:val="-3"/>
          <w:sz w:val="20"/>
          <w:szCs w:val="20"/>
        </w:rPr>
        <w:t xml:space="preserve"> </w:t>
      </w:r>
      <w:r w:rsidRPr="00CD5CD5">
        <w:rPr>
          <w:rFonts w:ascii="Arial" w:hAnsi="Arial" w:cs="Arial"/>
          <w:sz w:val="20"/>
          <w:szCs w:val="20"/>
        </w:rPr>
        <w:t>the</w:t>
      </w:r>
      <w:r w:rsidRPr="00CD5CD5">
        <w:rPr>
          <w:rFonts w:ascii="Arial" w:hAnsi="Arial" w:cs="Arial"/>
          <w:spacing w:val="-1"/>
          <w:sz w:val="20"/>
          <w:szCs w:val="20"/>
        </w:rPr>
        <w:t xml:space="preserve"> </w:t>
      </w:r>
      <w:r w:rsidRPr="00CD5CD5">
        <w:rPr>
          <w:rFonts w:ascii="Arial" w:hAnsi="Arial" w:cs="Arial"/>
          <w:sz w:val="20"/>
          <w:szCs w:val="20"/>
        </w:rPr>
        <w:t>type</w:t>
      </w:r>
      <w:r w:rsidRPr="00CD5CD5">
        <w:rPr>
          <w:rFonts w:ascii="Arial" w:hAnsi="Arial" w:cs="Arial"/>
          <w:spacing w:val="1"/>
          <w:sz w:val="20"/>
          <w:szCs w:val="20"/>
        </w:rPr>
        <w:t xml:space="preserve"> </w:t>
      </w:r>
      <w:r w:rsidRPr="00CD5CD5">
        <w:rPr>
          <w:rFonts w:ascii="Arial" w:hAnsi="Arial" w:cs="Arial"/>
          <w:sz w:val="20"/>
          <w:szCs w:val="20"/>
        </w:rPr>
        <w:t>certificate data</w:t>
      </w:r>
      <w:r w:rsidRPr="00CD5CD5">
        <w:rPr>
          <w:rFonts w:ascii="Arial" w:hAnsi="Arial" w:cs="Arial"/>
          <w:spacing w:val="-1"/>
          <w:sz w:val="20"/>
          <w:szCs w:val="20"/>
        </w:rPr>
        <w:t xml:space="preserve"> </w:t>
      </w:r>
      <w:r w:rsidRPr="00CD5CD5">
        <w:rPr>
          <w:rFonts w:ascii="Arial" w:hAnsi="Arial" w:cs="Arial"/>
          <w:sz w:val="20"/>
          <w:szCs w:val="20"/>
        </w:rPr>
        <w:t>sheet</w:t>
      </w:r>
      <w:r w:rsidRPr="00CD5CD5">
        <w:rPr>
          <w:rFonts w:ascii="Arial" w:hAnsi="Arial" w:cs="Arial"/>
          <w:spacing w:val="-2"/>
          <w:sz w:val="20"/>
          <w:szCs w:val="20"/>
        </w:rPr>
        <w:t xml:space="preserve"> </w:t>
      </w:r>
      <w:r w:rsidRPr="00CD5CD5">
        <w:rPr>
          <w:rFonts w:ascii="Arial" w:hAnsi="Arial" w:cs="Arial"/>
          <w:sz w:val="20"/>
          <w:szCs w:val="20"/>
        </w:rPr>
        <w:t>(‘TCDS’);</w:t>
      </w:r>
    </w:p>
    <w:p w14:paraId="7C6D864D" w14:textId="77777777" w:rsidR="00CD5CD5" w:rsidRPr="00CD5CD5" w:rsidRDefault="00CD5CD5" w:rsidP="00CD5CD5">
      <w:pPr>
        <w:pStyle w:val="ListParagraph"/>
        <w:numPr>
          <w:ilvl w:val="1"/>
          <w:numId w:val="290"/>
        </w:numPr>
        <w:tabs>
          <w:tab w:val="left" w:pos="1274"/>
        </w:tabs>
        <w:ind w:right="197"/>
        <w:jc w:val="both"/>
        <w:rPr>
          <w:rFonts w:ascii="Arial" w:hAnsi="Arial" w:cs="Arial"/>
          <w:sz w:val="20"/>
          <w:szCs w:val="20"/>
        </w:rPr>
      </w:pPr>
      <w:r w:rsidRPr="00CD5CD5">
        <w:rPr>
          <w:rFonts w:ascii="Arial" w:hAnsi="Arial" w:cs="Arial"/>
          <w:sz w:val="20"/>
          <w:szCs w:val="20"/>
        </w:rPr>
        <w:t>shall identify any additional maintenance tasks to be performed because of the specific</w:t>
      </w:r>
      <w:r w:rsidRPr="00CD5CD5">
        <w:rPr>
          <w:rFonts w:ascii="Arial" w:hAnsi="Arial" w:cs="Arial"/>
          <w:spacing w:val="1"/>
          <w:sz w:val="20"/>
          <w:szCs w:val="20"/>
        </w:rPr>
        <w:t xml:space="preserve"> </w:t>
      </w:r>
      <w:r w:rsidRPr="00CD5CD5">
        <w:rPr>
          <w:rFonts w:ascii="Arial" w:hAnsi="Arial" w:cs="Arial"/>
          <w:sz w:val="20"/>
          <w:szCs w:val="20"/>
        </w:rPr>
        <w:t>aircraft type, aircraft configuration and type and specificity of operation, whereas the</w:t>
      </w:r>
      <w:r w:rsidRPr="00CD5CD5">
        <w:rPr>
          <w:rFonts w:ascii="Arial" w:hAnsi="Arial" w:cs="Arial"/>
          <w:spacing w:val="1"/>
          <w:sz w:val="20"/>
          <w:szCs w:val="20"/>
        </w:rPr>
        <w:t xml:space="preserve"> </w:t>
      </w:r>
      <w:r w:rsidRPr="00CD5CD5">
        <w:rPr>
          <w:rFonts w:ascii="Arial" w:hAnsi="Arial" w:cs="Arial"/>
          <w:sz w:val="20"/>
          <w:szCs w:val="20"/>
        </w:rPr>
        <w:t>following</w:t>
      </w:r>
      <w:r w:rsidRPr="00CD5CD5">
        <w:rPr>
          <w:rFonts w:ascii="Arial" w:hAnsi="Arial" w:cs="Arial"/>
          <w:spacing w:val="-3"/>
          <w:sz w:val="20"/>
          <w:szCs w:val="20"/>
        </w:rPr>
        <w:t xml:space="preserve"> </w:t>
      </w:r>
      <w:r w:rsidRPr="00CD5CD5">
        <w:rPr>
          <w:rFonts w:ascii="Arial" w:hAnsi="Arial" w:cs="Arial"/>
          <w:sz w:val="20"/>
          <w:szCs w:val="20"/>
        </w:rPr>
        <w:t>elements shall</w:t>
      </w:r>
      <w:r w:rsidRPr="00CD5CD5">
        <w:rPr>
          <w:rFonts w:ascii="Arial" w:hAnsi="Arial" w:cs="Arial"/>
          <w:spacing w:val="-1"/>
          <w:sz w:val="20"/>
          <w:szCs w:val="20"/>
        </w:rPr>
        <w:t xml:space="preserve"> </w:t>
      </w:r>
      <w:r w:rsidRPr="00CD5CD5">
        <w:rPr>
          <w:rFonts w:ascii="Arial" w:hAnsi="Arial" w:cs="Arial"/>
          <w:sz w:val="20"/>
          <w:szCs w:val="20"/>
        </w:rPr>
        <w:t>be</w:t>
      </w:r>
      <w:r w:rsidRPr="00CD5CD5">
        <w:rPr>
          <w:rFonts w:ascii="Arial" w:hAnsi="Arial" w:cs="Arial"/>
          <w:spacing w:val="-3"/>
          <w:sz w:val="20"/>
          <w:szCs w:val="20"/>
        </w:rPr>
        <w:t xml:space="preserve"> </w:t>
      </w:r>
      <w:r w:rsidRPr="00CD5CD5">
        <w:rPr>
          <w:rFonts w:ascii="Arial" w:hAnsi="Arial" w:cs="Arial"/>
          <w:sz w:val="20"/>
          <w:szCs w:val="20"/>
        </w:rPr>
        <w:t>taken into</w:t>
      </w:r>
      <w:r w:rsidRPr="00CD5CD5">
        <w:rPr>
          <w:rFonts w:ascii="Arial" w:hAnsi="Arial" w:cs="Arial"/>
          <w:spacing w:val="-1"/>
          <w:sz w:val="20"/>
          <w:szCs w:val="20"/>
        </w:rPr>
        <w:t xml:space="preserve"> </w:t>
      </w:r>
      <w:r w:rsidRPr="00CD5CD5">
        <w:rPr>
          <w:rFonts w:ascii="Arial" w:hAnsi="Arial" w:cs="Arial"/>
          <w:sz w:val="20"/>
          <w:szCs w:val="20"/>
        </w:rPr>
        <w:t>consideration</w:t>
      </w:r>
      <w:r w:rsidRPr="00CD5CD5">
        <w:rPr>
          <w:rFonts w:ascii="Arial" w:hAnsi="Arial" w:cs="Arial"/>
          <w:spacing w:val="-1"/>
          <w:sz w:val="20"/>
          <w:szCs w:val="20"/>
        </w:rPr>
        <w:t xml:space="preserve"> </w:t>
      </w:r>
      <w:r w:rsidRPr="00CD5CD5">
        <w:rPr>
          <w:rFonts w:ascii="Arial" w:hAnsi="Arial" w:cs="Arial"/>
          <w:sz w:val="20"/>
          <w:szCs w:val="20"/>
        </w:rPr>
        <w:t>as</w:t>
      </w:r>
      <w:r w:rsidRPr="00CD5CD5">
        <w:rPr>
          <w:rFonts w:ascii="Arial" w:hAnsi="Arial" w:cs="Arial"/>
          <w:spacing w:val="-1"/>
          <w:sz w:val="20"/>
          <w:szCs w:val="20"/>
        </w:rPr>
        <w:t xml:space="preserve"> </w:t>
      </w:r>
      <w:r w:rsidRPr="00CD5CD5">
        <w:rPr>
          <w:rFonts w:ascii="Arial" w:hAnsi="Arial" w:cs="Arial"/>
          <w:sz w:val="20"/>
          <w:szCs w:val="20"/>
        </w:rPr>
        <w:t>a</w:t>
      </w:r>
      <w:r w:rsidRPr="00CD5CD5">
        <w:rPr>
          <w:rFonts w:ascii="Arial" w:hAnsi="Arial" w:cs="Arial"/>
          <w:spacing w:val="-2"/>
          <w:sz w:val="20"/>
          <w:szCs w:val="20"/>
        </w:rPr>
        <w:t xml:space="preserve"> </w:t>
      </w:r>
      <w:r w:rsidRPr="00CD5CD5">
        <w:rPr>
          <w:rFonts w:ascii="Arial" w:hAnsi="Arial" w:cs="Arial"/>
          <w:sz w:val="20"/>
          <w:szCs w:val="20"/>
        </w:rPr>
        <w:t>minimum:</w:t>
      </w:r>
    </w:p>
    <w:p w14:paraId="10C62D17" w14:textId="77777777" w:rsidR="00CD5CD5" w:rsidRPr="00CD5CD5" w:rsidRDefault="00CD5CD5" w:rsidP="00CD5CD5">
      <w:pPr>
        <w:pStyle w:val="ListParagraph"/>
        <w:numPr>
          <w:ilvl w:val="2"/>
          <w:numId w:val="290"/>
        </w:numPr>
        <w:tabs>
          <w:tab w:val="left" w:pos="1841"/>
          <w:tab w:val="left" w:pos="1842"/>
        </w:tabs>
        <w:spacing w:before="119"/>
        <w:rPr>
          <w:rFonts w:ascii="Arial" w:hAnsi="Arial" w:cs="Arial"/>
          <w:sz w:val="20"/>
          <w:szCs w:val="20"/>
        </w:rPr>
      </w:pPr>
      <w:r w:rsidRPr="00CD5CD5">
        <w:rPr>
          <w:rFonts w:ascii="Arial" w:hAnsi="Arial" w:cs="Arial"/>
          <w:sz w:val="20"/>
          <w:szCs w:val="20"/>
        </w:rPr>
        <w:t>specific</w:t>
      </w:r>
      <w:r w:rsidRPr="00CD5CD5">
        <w:rPr>
          <w:rFonts w:ascii="Arial" w:hAnsi="Arial" w:cs="Arial"/>
          <w:spacing w:val="-2"/>
          <w:sz w:val="20"/>
          <w:szCs w:val="20"/>
        </w:rPr>
        <w:t xml:space="preserve"> </w:t>
      </w:r>
      <w:r w:rsidRPr="00CD5CD5">
        <w:rPr>
          <w:rFonts w:ascii="Arial" w:hAnsi="Arial" w:cs="Arial"/>
          <w:sz w:val="20"/>
          <w:szCs w:val="20"/>
        </w:rPr>
        <w:t>installed</w:t>
      </w:r>
      <w:r w:rsidRPr="00CD5CD5">
        <w:rPr>
          <w:rFonts w:ascii="Arial" w:hAnsi="Arial" w:cs="Arial"/>
          <w:spacing w:val="-1"/>
          <w:sz w:val="20"/>
          <w:szCs w:val="20"/>
        </w:rPr>
        <w:t xml:space="preserve"> </w:t>
      </w:r>
      <w:r w:rsidRPr="00CD5CD5">
        <w:rPr>
          <w:rFonts w:ascii="Arial" w:hAnsi="Arial" w:cs="Arial"/>
          <w:sz w:val="20"/>
          <w:szCs w:val="20"/>
        </w:rPr>
        <w:t>equipment</w:t>
      </w:r>
      <w:r w:rsidRPr="00CD5CD5">
        <w:rPr>
          <w:rFonts w:ascii="Arial" w:hAnsi="Arial" w:cs="Arial"/>
          <w:spacing w:val="-1"/>
          <w:sz w:val="20"/>
          <w:szCs w:val="20"/>
        </w:rPr>
        <w:t xml:space="preserve"> </w:t>
      </w:r>
      <w:r w:rsidRPr="00CD5CD5">
        <w:rPr>
          <w:rFonts w:ascii="Arial" w:hAnsi="Arial" w:cs="Arial"/>
          <w:sz w:val="20"/>
          <w:szCs w:val="20"/>
        </w:rPr>
        <w:t>and</w:t>
      </w:r>
      <w:r w:rsidRPr="00CD5CD5">
        <w:rPr>
          <w:rFonts w:ascii="Arial" w:hAnsi="Arial" w:cs="Arial"/>
          <w:spacing w:val="-2"/>
          <w:sz w:val="20"/>
          <w:szCs w:val="20"/>
        </w:rPr>
        <w:t xml:space="preserve"> </w:t>
      </w:r>
      <w:r w:rsidRPr="00CD5CD5">
        <w:rPr>
          <w:rFonts w:ascii="Arial" w:hAnsi="Arial" w:cs="Arial"/>
          <w:sz w:val="20"/>
          <w:szCs w:val="20"/>
        </w:rPr>
        <w:t>modifications</w:t>
      </w:r>
      <w:r w:rsidRPr="00CD5CD5">
        <w:rPr>
          <w:rFonts w:ascii="Arial" w:hAnsi="Arial" w:cs="Arial"/>
          <w:spacing w:val="-3"/>
          <w:sz w:val="20"/>
          <w:szCs w:val="20"/>
        </w:rPr>
        <w:t xml:space="preserve"> </w:t>
      </w:r>
      <w:r w:rsidRPr="00CD5CD5">
        <w:rPr>
          <w:rFonts w:ascii="Arial" w:hAnsi="Arial" w:cs="Arial"/>
          <w:sz w:val="20"/>
          <w:szCs w:val="20"/>
        </w:rPr>
        <w:t>of</w:t>
      </w:r>
      <w:r w:rsidRPr="00CD5CD5">
        <w:rPr>
          <w:rFonts w:ascii="Arial" w:hAnsi="Arial" w:cs="Arial"/>
          <w:spacing w:val="-3"/>
          <w:sz w:val="20"/>
          <w:szCs w:val="20"/>
        </w:rPr>
        <w:t xml:space="preserve"> </w:t>
      </w:r>
      <w:r w:rsidRPr="00CD5CD5">
        <w:rPr>
          <w:rFonts w:ascii="Arial" w:hAnsi="Arial" w:cs="Arial"/>
          <w:sz w:val="20"/>
          <w:szCs w:val="20"/>
        </w:rPr>
        <w:t>the</w:t>
      </w:r>
      <w:r w:rsidRPr="00CD5CD5">
        <w:rPr>
          <w:rFonts w:ascii="Arial" w:hAnsi="Arial" w:cs="Arial"/>
          <w:spacing w:val="-3"/>
          <w:sz w:val="20"/>
          <w:szCs w:val="20"/>
        </w:rPr>
        <w:t xml:space="preserve"> </w:t>
      </w:r>
      <w:r w:rsidRPr="00CD5CD5">
        <w:rPr>
          <w:rFonts w:ascii="Arial" w:hAnsi="Arial" w:cs="Arial"/>
          <w:sz w:val="20"/>
          <w:szCs w:val="20"/>
        </w:rPr>
        <w:t>aircraft;</w:t>
      </w:r>
    </w:p>
    <w:p w14:paraId="1DBC7B3D" w14:textId="77777777" w:rsidR="00CD5CD5" w:rsidRPr="00CD5CD5" w:rsidRDefault="00CD5CD5" w:rsidP="00CD5CD5">
      <w:pPr>
        <w:pStyle w:val="ListParagraph"/>
        <w:numPr>
          <w:ilvl w:val="2"/>
          <w:numId w:val="290"/>
        </w:numPr>
        <w:tabs>
          <w:tab w:val="left" w:pos="1841"/>
          <w:tab w:val="left" w:pos="1842"/>
        </w:tabs>
        <w:rPr>
          <w:rFonts w:ascii="Arial" w:hAnsi="Arial" w:cs="Arial"/>
          <w:sz w:val="20"/>
          <w:szCs w:val="20"/>
        </w:rPr>
      </w:pPr>
      <w:r w:rsidRPr="00CD5CD5">
        <w:rPr>
          <w:rFonts w:ascii="Arial" w:hAnsi="Arial" w:cs="Arial"/>
          <w:sz w:val="20"/>
          <w:szCs w:val="20"/>
        </w:rPr>
        <w:t>repairs carried out</w:t>
      </w:r>
      <w:r w:rsidRPr="00CD5CD5">
        <w:rPr>
          <w:rFonts w:ascii="Arial" w:hAnsi="Arial" w:cs="Arial"/>
          <w:spacing w:val="-2"/>
          <w:sz w:val="20"/>
          <w:szCs w:val="20"/>
        </w:rPr>
        <w:t xml:space="preserve"> </w:t>
      </w:r>
      <w:r w:rsidRPr="00CD5CD5">
        <w:rPr>
          <w:rFonts w:ascii="Arial" w:hAnsi="Arial" w:cs="Arial"/>
          <w:sz w:val="20"/>
          <w:szCs w:val="20"/>
        </w:rPr>
        <w:t>in</w:t>
      </w:r>
      <w:r w:rsidRPr="00CD5CD5">
        <w:rPr>
          <w:rFonts w:ascii="Arial" w:hAnsi="Arial" w:cs="Arial"/>
          <w:spacing w:val="1"/>
          <w:sz w:val="20"/>
          <w:szCs w:val="20"/>
        </w:rPr>
        <w:t xml:space="preserve"> </w:t>
      </w:r>
      <w:r w:rsidRPr="00CD5CD5">
        <w:rPr>
          <w:rFonts w:ascii="Arial" w:hAnsi="Arial" w:cs="Arial"/>
          <w:sz w:val="20"/>
          <w:szCs w:val="20"/>
        </w:rPr>
        <w:t>the</w:t>
      </w:r>
      <w:r w:rsidRPr="00CD5CD5">
        <w:rPr>
          <w:rFonts w:ascii="Arial" w:hAnsi="Arial" w:cs="Arial"/>
          <w:spacing w:val="-3"/>
          <w:sz w:val="20"/>
          <w:szCs w:val="20"/>
        </w:rPr>
        <w:t xml:space="preserve"> </w:t>
      </w:r>
      <w:r w:rsidRPr="00CD5CD5">
        <w:rPr>
          <w:rFonts w:ascii="Arial" w:hAnsi="Arial" w:cs="Arial"/>
          <w:sz w:val="20"/>
          <w:szCs w:val="20"/>
        </w:rPr>
        <w:t>aircraft;</w:t>
      </w:r>
    </w:p>
    <w:p w14:paraId="62D08942" w14:textId="77777777" w:rsidR="00CD5CD5" w:rsidRPr="00CD5CD5" w:rsidRDefault="00CD5CD5" w:rsidP="00CD5CD5">
      <w:pPr>
        <w:pStyle w:val="ListParagraph"/>
        <w:numPr>
          <w:ilvl w:val="2"/>
          <w:numId w:val="290"/>
        </w:numPr>
        <w:tabs>
          <w:tab w:val="left" w:pos="1841"/>
          <w:tab w:val="left" w:pos="1842"/>
        </w:tabs>
        <w:spacing w:before="121"/>
        <w:rPr>
          <w:rFonts w:ascii="Arial" w:hAnsi="Arial" w:cs="Arial"/>
          <w:sz w:val="20"/>
          <w:szCs w:val="20"/>
        </w:rPr>
      </w:pPr>
      <w:r w:rsidRPr="00CD5CD5">
        <w:rPr>
          <w:rFonts w:ascii="Arial" w:hAnsi="Arial" w:cs="Arial"/>
          <w:sz w:val="20"/>
          <w:szCs w:val="20"/>
        </w:rPr>
        <w:t>life-limited</w:t>
      </w:r>
      <w:r w:rsidRPr="00CD5CD5">
        <w:rPr>
          <w:rFonts w:ascii="Arial" w:hAnsi="Arial" w:cs="Arial"/>
          <w:spacing w:val="-3"/>
          <w:sz w:val="20"/>
          <w:szCs w:val="20"/>
        </w:rPr>
        <w:t xml:space="preserve"> </w:t>
      </w:r>
      <w:r w:rsidRPr="00CD5CD5">
        <w:rPr>
          <w:rFonts w:ascii="Arial" w:hAnsi="Arial" w:cs="Arial"/>
          <w:sz w:val="20"/>
          <w:szCs w:val="20"/>
        </w:rPr>
        <w:t>components</w:t>
      </w:r>
      <w:r w:rsidRPr="00CD5CD5">
        <w:rPr>
          <w:rFonts w:ascii="Arial" w:hAnsi="Arial" w:cs="Arial"/>
          <w:spacing w:val="-5"/>
          <w:sz w:val="20"/>
          <w:szCs w:val="20"/>
        </w:rPr>
        <w:t xml:space="preserve"> </w:t>
      </w:r>
      <w:r w:rsidRPr="00CD5CD5">
        <w:rPr>
          <w:rFonts w:ascii="Arial" w:hAnsi="Arial" w:cs="Arial"/>
          <w:sz w:val="20"/>
          <w:szCs w:val="20"/>
        </w:rPr>
        <w:t>and</w:t>
      </w:r>
      <w:r w:rsidRPr="00CD5CD5">
        <w:rPr>
          <w:rFonts w:ascii="Arial" w:hAnsi="Arial" w:cs="Arial"/>
          <w:spacing w:val="-4"/>
          <w:sz w:val="20"/>
          <w:szCs w:val="20"/>
        </w:rPr>
        <w:t xml:space="preserve"> </w:t>
      </w:r>
      <w:r w:rsidRPr="00CD5CD5">
        <w:rPr>
          <w:rFonts w:ascii="Arial" w:hAnsi="Arial" w:cs="Arial"/>
          <w:sz w:val="20"/>
          <w:szCs w:val="20"/>
        </w:rPr>
        <w:t>flight-safety-critical</w:t>
      </w:r>
      <w:r w:rsidRPr="00CD5CD5">
        <w:rPr>
          <w:rFonts w:ascii="Arial" w:hAnsi="Arial" w:cs="Arial"/>
          <w:spacing w:val="-6"/>
          <w:sz w:val="20"/>
          <w:szCs w:val="20"/>
        </w:rPr>
        <w:t xml:space="preserve"> </w:t>
      </w:r>
      <w:r w:rsidRPr="00CD5CD5">
        <w:rPr>
          <w:rFonts w:ascii="Arial" w:hAnsi="Arial" w:cs="Arial"/>
          <w:sz w:val="20"/>
          <w:szCs w:val="20"/>
        </w:rPr>
        <w:t>components;</w:t>
      </w:r>
    </w:p>
    <w:p w14:paraId="752E885B" w14:textId="77777777" w:rsidR="00CD5CD5" w:rsidRPr="00CD5CD5" w:rsidRDefault="00CD5CD5" w:rsidP="00CD5CD5">
      <w:pPr>
        <w:pStyle w:val="ListParagraph"/>
        <w:numPr>
          <w:ilvl w:val="2"/>
          <w:numId w:val="290"/>
        </w:numPr>
        <w:tabs>
          <w:tab w:val="left" w:pos="1842"/>
        </w:tabs>
        <w:ind w:right="195"/>
        <w:jc w:val="both"/>
        <w:rPr>
          <w:rFonts w:ascii="Arial" w:hAnsi="Arial" w:cs="Arial"/>
          <w:sz w:val="20"/>
          <w:szCs w:val="20"/>
        </w:rPr>
      </w:pPr>
      <w:r w:rsidRPr="00CD5CD5">
        <w:rPr>
          <w:rFonts w:ascii="Arial" w:hAnsi="Arial" w:cs="Arial"/>
          <w:sz w:val="20"/>
          <w:szCs w:val="20"/>
        </w:rPr>
        <w:t>maintenance recommendations, such as time between overhaul (‘TBO’) intervals,</w:t>
      </w:r>
      <w:r w:rsidRPr="00CD5CD5">
        <w:rPr>
          <w:rFonts w:ascii="Arial" w:hAnsi="Arial" w:cs="Arial"/>
          <w:spacing w:val="-47"/>
          <w:sz w:val="20"/>
          <w:szCs w:val="20"/>
        </w:rPr>
        <w:t xml:space="preserve"> </w:t>
      </w:r>
      <w:r w:rsidRPr="00CD5CD5">
        <w:rPr>
          <w:rFonts w:ascii="Arial" w:hAnsi="Arial" w:cs="Arial"/>
          <w:sz w:val="20"/>
          <w:szCs w:val="20"/>
        </w:rPr>
        <w:t>issued through service bulletins, service letters, and other non-mandatory service</w:t>
      </w:r>
      <w:r w:rsidRPr="00CD5CD5">
        <w:rPr>
          <w:rFonts w:ascii="Arial" w:hAnsi="Arial" w:cs="Arial"/>
          <w:spacing w:val="-47"/>
          <w:sz w:val="20"/>
          <w:szCs w:val="20"/>
        </w:rPr>
        <w:t xml:space="preserve"> </w:t>
      </w:r>
      <w:r w:rsidRPr="00CD5CD5">
        <w:rPr>
          <w:rFonts w:ascii="Arial" w:hAnsi="Arial" w:cs="Arial"/>
          <w:sz w:val="20"/>
          <w:szCs w:val="20"/>
        </w:rPr>
        <w:t>information;</w:t>
      </w:r>
    </w:p>
    <w:p w14:paraId="15321408" w14:textId="77777777" w:rsidR="00CD5CD5" w:rsidRPr="00CD5CD5" w:rsidRDefault="00CD5CD5" w:rsidP="00CD5CD5">
      <w:pPr>
        <w:pStyle w:val="ListParagraph"/>
        <w:numPr>
          <w:ilvl w:val="2"/>
          <w:numId w:val="290"/>
        </w:numPr>
        <w:tabs>
          <w:tab w:val="left" w:pos="1842"/>
        </w:tabs>
        <w:spacing w:before="121"/>
        <w:ind w:right="198"/>
        <w:jc w:val="both"/>
        <w:rPr>
          <w:rFonts w:ascii="Arial" w:hAnsi="Arial" w:cs="Arial"/>
          <w:sz w:val="20"/>
          <w:szCs w:val="20"/>
        </w:rPr>
      </w:pPr>
      <w:r w:rsidRPr="00CD5CD5">
        <w:rPr>
          <w:rFonts w:ascii="Arial" w:hAnsi="Arial" w:cs="Arial"/>
          <w:sz w:val="20"/>
          <w:szCs w:val="20"/>
        </w:rPr>
        <w:lastRenderedPageBreak/>
        <w:t>applicable</w:t>
      </w:r>
      <w:r w:rsidRPr="00CD5CD5">
        <w:rPr>
          <w:rFonts w:ascii="Arial" w:hAnsi="Arial" w:cs="Arial"/>
          <w:spacing w:val="1"/>
          <w:sz w:val="20"/>
          <w:szCs w:val="20"/>
        </w:rPr>
        <w:t xml:space="preserve"> </w:t>
      </w:r>
      <w:r w:rsidRPr="00CD5CD5">
        <w:rPr>
          <w:rFonts w:ascii="Arial" w:hAnsi="Arial" w:cs="Arial"/>
          <w:sz w:val="20"/>
          <w:szCs w:val="20"/>
        </w:rPr>
        <w:t>operational</w:t>
      </w:r>
      <w:r w:rsidRPr="00CD5CD5">
        <w:rPr>
          <w:rFonts w:ascii="Arial" w:hAnsi="Arial" w:cs="Arial"/>
          <w:spacing w:val="1"/>
          <w:sz w:val="20"/>
          <w:szCs w:val="20"/>
        </w:rPr>
        <w:t xml:space="preserve"> </w:t>
      </w:r>
      <w:r w:rsidRPr="00CD5CD5">
        <w:rPr>
          <w:rFonts w:ascii="Arial" w:hAnsi="Arial" w:cs="Arial"/>
          <w:sz w:val="20"/>
          <w:szCs w:val="20"/>
        </w:rPr>
        <w:t>directives</w:t>
      </w:r>
      <w:r w:rsidRPr="00CD5CD5">
        <w:rPr>
          <w:rFonts w:ascii="Arial" w:hAnsi="Arial" w:cs="Arial"/>
          <w:spacing w:val="1"/>
          <w:sz w:val="20"/>
          <w:szCs w:val="20"/>
        </w:rPr>
        <w:t xml:space="preserve"> </w:t>
      </w:r>
      <w:r w:rsidRPr="00CD5CD5">
        <w:rPr>
          <w:rFonts w:ascii="Arial" w:hAnsi="Arial" w:cs="Arial"/>
          <w:sz w:val="20"/>
          <w:szCs w:val="20"/>
        </w:rPr>
        <w:t>or</w:t>
      </w:r>
      <w:r w:rsidRPr="00CD5CD5">
        <w:rPr>
          <w:rFonts w:ascii="Arial" w:hAnsi="Arial" w:cs="Arial"/>
          <w:spacing w:val="1"/>
          <w:sz w:val="20"/>
          <w:szCs w:val="20"/>
        </w:rPr>
        <w:t xml:space="preserve"> </w:t>
      </w:r>
      <w:r w:rsidRPr="00CD5CD5">
        <w:rPr>
          <w:rFonts w:ascii="Arial" w:hAnsi="Arial" w:cs="Arial"/>
          <w:sz w:val="20"/>
          <w:szCs w:val="20"/>
        </w:rPr>
        <w:t>requirements</w:t>
      </w:r>
      <w:r w:rsidRPr="00CD5CD5">
        <w:rPr>
          <w:rFonts w:ascii="Arial" w:hAnsi="Arial" w:cs="Arial"/>
          <w:spacing w:val="1"/>
          <w:sz w:val="20"/>
          <w:szCs w:val="20"/>
        </w:rPr>
        <w:t xml:space="preserve"> </w:t>
      </w:r>
      <w:r w:rsidRPr="00CD5CD5">
        <w:rPr>
          <w:rFonts w:ascii="Arial" w:hAnsi="Arial" w:cs="Arial"/>
          <w:sz w:val="20"/>
          <w:szCs w:val="20"/>
        </w:rPr>
        <w:t>related</w:t>
      </w:r>
      <w:r w:rsidRPr="00CD5CD5">
        <w:rPr>
          <w:rFonts w:ascii="Arial" w:hAnsi="Arial" w:cs="Arial"/>
          <w:spacing w:val="1"/>
          <w:sz w:val="20"/>
          <w:szCs w:val="20"/>
        </w:rPr>
        <w:t xml:space="preserve"> </w:t>
      </w:r>
      <w:r w:rsidRPr="00CD5CD5">
        <w:rPr>
          <w:rFonts w:ascii="Arial" w:hAnsi="Arial" w:cs="Arial"/>
          <w:sz w:val="20"/>
          <w:szCs w:val="20"/>
        </w:rPr>
        <w:t>to</w:t>
      </w:r>
      <w:r w:rsidRPr="00CD5CD5">
        <w:rPr>
          <w:rFonts w:ascii="Arial" w:hAnsi="Arial" w:cs="Arial"/>
          <w:spacing w:val="1"/>
          <w:sz w:val="20"/>
          <w:szCs w:val="20"/>
        </w:rPr>
        <w:t xml:space="preserve"> </w:t>
      </w:r>
      <w:r w:rsidRPr="00CD5CD5">
        <w:rPr>
          <w:rFonts w:ascii="Arial" w:hAnsi="Arial" w:cs="Arial"/>
          <w:sz w:val="20"/>
          <w:szCs w:val="20"/>
        </w:rPr>
        <w:t>the</w:t>
      </w:r>
      <w:r w:rsidRPr="00CD5CD5">
        <w:rPr>
          <w:rFonts w:ascii="Arial" w:hAnsi="Arial" w:cs="Arial"/>
          <w:spacing w:val="1"/>
          <w:sz w:val="20"/>
          <w:szCs w:val="20"/>
        </w:rPr>
        <w:t xml:space="preserve"> </w:t>
      </w:r>
      <w:r w:rsidRPr="00CD5CD5">
        <w:rPr>
          <w:rFonts w:ascii="Arial" w:hAnsi="Arial" w:cs="Arial"/>
          <w:sz w:val="20"/>
          <w:szCs w:val="20"/>
        </w:rPr>
        <w:t>periodic</w:t>
      </w:r>
      <w:r w:rsidRPr="00CD5CD5">
        <w:rPr>
          <w:rFonts w:ascii="Arial" w:hAnsi="Arial" w:cs="Arial"/>
          <w:spacing w:val="1"/>
          <w:sz w:val="20"/>
          <w:szCs w:val="20"/>
        </w:rPr>
        <w:t xml:space="preserve"> </w:t>
      </w:r>
      <w:r w:rsidRPr="00CD5CD5">
        <w:rPr>
          <w:rFonts w:ascii="Arial" w:hAnsi="Arial" w:cs="Arial"/>
          <w:sz w:val="20"/>
          <w:szCs w:val="20"/>
        </w:rPr>
        <w:t>inspection</w:t>
      </w:r>
      <w:r w:rsidRPr="00CD5CD5">
        <w:rPr>
          <w:rFonts w:ascii="Arial" w:hAnsi="Arial" w:cs="Arial"/>
          <w:spacing w:val="-3"/>
          <w:sz w:val="20"/>
          <w:szCs w:val="20"/>
        </w:rPr>
        <w:t xml:space="preserve"> </w:t>
      </w:r>
      <w:r w:rsidRPr="00CD5CD5">
        <w:rPr>
          <w:rFonts w:ascii="Arial" w:hAnsi="Arial" w:cs="Arial"/>
          <w:sz w:val="20"/>
          <w:szCs w:val="20"/>
        </w:rPr>
        <w:t>of</w:t>
      </w:r>
      <w:r w:rsidRPr="00CD5CD5">
        <w:rPr>
          <w:rFonts w:ascii="Arial" w:hAnsi="Arial" w:cs="Arial"/>
          <w:spacing w:val="-2"/>
          <w:sz w:val="20"/>
          <w:szCs w:val="20"/>
        </w:rPr>
        <w:t xml:space="preserve"> </w:t>
      </w:r>
      <w:r w:rsidRPr="00CD5CD5">
        <w:rPr>
          <w:rFonts w:ascii="Arial" w:hAnsi="Arial" w:cs="Arial"/>
          <w:sz w:val="20"/>
          <w:szCs w:val="20"/>
        </w:rPr>
        <w:t>certain</w:t>
      </w:r>
      <w:r w:rsidRPr="00CD5CD5">
        <w:rPr>
          <w:rFonts w:ascii="Arial" w:hAnsi="Arial" w:cs="Arial"/>
          <w:spacing w:val="-4"/>
          <w:sz w:val="20"/>
          <w:szCs w:val="20"/>
        </w:rPr>
        <w:t xml:space="preserve"> </w:t>
      </w:r>
      <w:r w:rsidRPr="00CD5CD5">
        <w:rPr>
          <w:rFonts w:ascii="Arial" w:hAnsi="Arial" w:cs="Arial"/>
          <w:sz w:val="20"/>
          <w:szCs w:val="20"/>
        </w:rPr>
        <w:t>equipment;</w:t>
      </w:r>
    </w:p>
    <w:p w14:paraId="3D372BE2" w14:textId="77777777" w:rsidR="00CD5CD5" w:rsidRPr="00CD5CD5" w:rsidRDefault="00CD5CD5" w:rsidP="00CD5CD5">
      <w:pPr>
        <w:pStyle w:val="ListParagraph"/>
        <w:numPr>
          <w:ilvl w:val="2"/>
          <w:numId w:val="290"/>
        </w:numPr>
        <w:tabs>
          <w:tab w:val="left" w:pos="1842"/>
        </w:tabs>
        <w:spacing w:before="118"/>
        <w:jc w:val="both"/>
        <w:rPr>
          <w:rFonts w:ascii="Arial" w:hAnsi="Arial" w:cs="Arial"/>
          <w:sz w:val="20"/>
          <w:szCs w:val="20"/>
        </w:rPr>
      </w:pPr>
      <w:r w:rsidRPr="00CD5CD5">
        <w:rPr>
          <w:rFonts w:ascii="Arial" w:hAnsi="Arial" w:cs="Arial"/>
          <w:sz w:val="20"/>
          <w:szCs w:val="20"/>
        </w:rPr>
        <w:t>special</w:t>
      </w:r>
      <w:r w:rsidRPr="00CD5CD5">
        <w:rPr>
          <w:rFonts w:ascii="Arial" w:hAnsi="Arial" w:cs="Arial"/>
          <w:spacing w:val="-5"/>
          <w:sz w:val="20"/>
          <w:szCs w:val="20"/>
        </w:rPr>
        <w:t xml:space="preserve"> </w:t>
      </w:r>
      <w:r w:rsidRPr="00CD5CD5">
        <w:rPr>
          <w:rFonts w:ascii="Arial" w:hAnsi="Arial" w:cs="Arial"/>
          <w:sz w:val="20"/>
          <w:szCs w:val="20"/>
        </w:rPr>
        <w:t>operational</w:t>
      </w:r>
      <w:r w:rsidRPr="00CD5CD5">
        <w:rPr>
          <w:rFonts w:ascii="Arial" w:hAnsi="Arial" w:cs="Arial"/>
          <w:spacing w:val="-2"/>
          <w:sz w:val="20"/>
          <w:szCs w:val="20"/>
        </w:rPr>
        <w:t xml:space="preserve"> </w:t>
      </w:r>
      <w:r w:rsidRPr="00CD5CD5">
        <w:rPr>
          <w:rFonts w:ascii="Arial" w:hAnsi="Arial" w:cs="Arial"/>
          <w:sz w:val="20"/>
          <w:szCs w:val="20"/>
        </w:rPr>
        <w:t>approvals;</w:t>
      </w:r>
    </w:p>
    <w:p w14:paraId="089B40B1" w14:textId="77777777" w:rsidR="00CD5CD5" w:rsidRPr="00CD5CD5" w:rsidRDefault="00CD5CD5" w:rsidP="00CD5CD5">
      <w:pPr>
        <w:pStyle w:val="ListParagraph"/>
        <w:numPr>
          <w:ilvl w:val="2"/>
          <w:numId w:val="290"/>
        </w:numPr>
        <w:tabs>
          <w:tab w:val="left" w:pos="1842"/>
        </w:tabs>
        <w:jc w:val="both"/>
        <w:rPr>
          <w:rFonts w:ascii="Arial" w:hAnsi="Arial" w:cs="Arial"/>
          <w:sz w:val="20"/>
          <w:szCs w:val="20"/>
        </w:rPr>
      </w:pPr>
      <w:r w:rsidRPr="00CD5CD5">
        <w:rPr>
          <w:rFonts w:ascii="Arial" w:hAnsi="Arial" w:cs="Arial"/>
          <w:sz w:val="20"/>
          <w:szCs w:val="20"/>
        </w:rPr>
        <w:t>use of</w:t>
      </w:r>
      <w:r w:rsidRPr="00CD5CD5">
        <w:rPr>
          <w:rFonts w:ascii="Arial" w:hAnsi="Arial" w:cs="Arial"/>
          <w:spacing w:val="-3"/>
          <w:sz w:val="20"/>
          <w:szCs w:val="20"/>
        </w:rPr>
        <w:t xml:space="preserve"> </w:t>
      </w:r>
      <w:r w:rsidRPr="00CD5CD5">
        <w:rPr>
          <w:rFonts w:ascii="Arial" w:hAnsi="Arial" w:cs="Arial"/>
          <w:sz w:val="20"/>
          <w:szCs w:val="20"/>
        </w:rPr>
        <w:t>the</w:t>
      </w:r>
      <w:r w:rsidRPr="00CD5CD5">
        <w:rPr>
          <w:rFonts w:ascii="Arial" w:hAnsi="Arial" w:cs="Arial"/>
          <w:spacing w:val="1"/>
          <w:sz w:val="20"/>
          <w:szCs w:val="20"/>
        </w:rPr>
        <w:t xml:space="preserve"> </w:t>
      </w:r>
      <w:r w:rsidRPr="00CD5CD5">
        <w:rPr>
          <w:rFonts w:ascii="Arial" w:hAnsi="Arial" w:cs="Arial"/>
          <w:sz w:val="20"/>
          <w:szCs w:val="20"/>
        </w:rPr>
        <w:t>aircraft</w:t>
      </w:r>
      <w:r w:rsidRPr="00CD5CD5">
        <w:rPr>
          <w:rFonts w:ascii="Arial" w:hAnsi="Arial" w:cs="Arial"/>
          <w:spacing w:val="-2"/>
          <w:sz w:val="20"/>
          <w:szCs w:val="20"/>
        </w:rPr>
        <w:t xml:space="preserve"> </w:t>
      </w:r>
      <w:r w:rsidRPr="00CD5CD5">
        <w:rPr>
          <w:rFonts w:ascii="Arial" w:hAnsi="Arial" w:cs="Arial"/>
          <w:sz w:val="20"/>
          <w:szCs w:val="20"/>
        </w:rPr>
        <w:t>and</w:t>
      </w:r>
      <w:r w:rsidRPr="00CD5CD5">
        <w:rPr>
          <w:rFonts w:ascii="Arial" w:hAnsi="Arial" w:cs="Arial"/>
          <w:spacing w:val="-1"/>
          <w:sz w:val="20"/>
          <w:szCs w:val="20"/>
        </w:rPr>
        <w:t xml:space="preserve"> </w:t>
      </w:r>
      <w:r w:rsidRPr="00CD5CD5">
        <w:rPr>
          <w:rFonts w:ascii="Arial" w:hAnsi="Arial" w:cs="Arial"/>
          <w:sz w:val="20"/>
          <w:szCs w:val="20"/>
        </w:rPr>
        <w:t>operational</w:t>
      </w:r>
      <w:r w:rsidRPr="00CD5CD5">
        <w:rPr>
          <w:rFonts w:ascii="Arial" w:hAnsi="Arial" w:cs="Arial"/>
          <w:spacing w:val="-4"/>
          <w:sz w:val="20"/>
          <w:szCs w:val="20"/>
        </w:rPr>
        <w:t xml:space="preserve"> </w:t>
      </w:r>
      <w:r w:rsidRPr="00CD5CD5">
        <w:rPr>
          <w:rFonts w:ascii="Arial" w:hAnsi="Arial" w:cs="Arial"/>
          <w:sz w:val="20"/>
          <w:szCs w:val="20"/>
        </w:rPr>
        <w:t>environment;</w:t>
      </w:r>
    </w:p>
    <w:p w14:paraId="470D73A2" w14:textId="77777777" w:rsidR="00CD5CD5" w:rsidRPr="00CD5CD5" w:rsidRDefault="00CD5CD5" w:rsidP="00CD5CD5">
      <w:pPr>
        <w:pStyle w:val="ListParagraph"/>
        <w:numPr>
          <w:ilvl w:val="1"/>
          <w:numId w:val="290"/>
        </w:numPr>
        <w:tabs>
          <w:tab w:val="left" w:pos="1274"/>
        </w:tabs>
        <w:ind w:hanging="568"/>
        <w:jc w:val="both"/>
        <w:rPr>
          <w:rFonts w:ascii="Arial" w:hAnsi="Arial" w:cs="Arial"/>
          <w:sz w:val="20"/>
          <w:szCs w:val="20"/>
        </w:rPr>
      </w:pPr>
      <w:r w:rsidRPr="00CD5CD5">
        <w:rPr>
          <w:rFonts w:ascii="Arial" w:hAnsi="Arial" w:cs="Arial"/>
          <w:sz w:val="20"/>
          <w:szCs w:val="20"/>
        </w:rPr>
        <w:t>shall</w:t>
      </w:r>
      <w:r w:rsidRPr="00CD5CD5">
        <w:rPr>
          <w:rFonts w:ascii="Arial" w:hAnsi="Arial" w:cs="Arial"/>
          <w:spacing w:val="-2"/>
          <w:sz w:val="20"/>
          <w:szCs w:val="20"/>
        </w:rPr>
        <w:t xml:space="preserve"> </w:t>
      </w:r>
      <w:r w:rsidRPr="00CD5CD5">
        <w:rPr>
          <w:rFonts w:ascii="Arial" w:hAnsi="Arial" w:cs="Arial"/>
          <w:sz w:val="20"/>
          <w:szCs w:val="20"/>
        </w:rPr>
        <w:t>identify</w:t>
      </w:r>
      <w:r w:rsidRPr="00CD5CD5">
        <w:rPr>
          <w:rFonts w:ascii="Arial" w:hAnsi="Arial" w:cs="Arial"/>
          <w:spacing w:val="-3"/>
          <w:sz w:val="20"/>
          <w:szCs w:val="20"/>
        </w:rPr>
        <w:t xml:space="preserve"> </w:t>
      </w:r>
      <w:r w:rsidRPr="00CD5CD5">
        <w:rPr>
          <w:rFonts w:ascii="Arial" w:hAnsi="Arial" w:cs="Arial"/>
          <w:sz w:val="20"/>
          <w:szCs w:val="20"/>
        </w:rPr>
        <w:t>whether</w:t>
      </w:r>
      <w:r w:rsidRPr="00CD5CD5">
        <w:rPr>
          <w:rFonts w:ascii="Arial" w:hAnsi="Arial" w:cs="Arial"/>
          <w:spacing w:val="-1"/>
          <w:sz w:val="20"/>
          <w:szCs w:val="20"/>
        </w:rPr>
        <w:t xml:space="preserve"> </w:t>
      </w:r>
      <w:r w:rsidRPr="00CD5CD5">
        <w:rPr>
          <w:rFonts w:ascii="Arial" w:hAnsi="Arial" w:cs="Arial"/>
          <w:sz w:val="20"/>
          <w:szCs w:val="20"/>
        </w:rPr>
        <w:t>the</w:t>
      </w:r>
      <w:r w:rsidRPr="00CD5CD5">
        <w:rPr>
          <w:rFonts w:ascii="Arial" w:hAnsi="Arial" w:cs="Arial"/>
          <w:spacing w:val="-6"/>
          <w:sz w:val="20"/>
          <w:szCs w:val="20"/>
        </w:rPr>
        <w:t xml:space="preserve"> </w:t>
      </w:r>
      <w:r w:rsidRPr="00CD5CD5">
        <w:rPr>
          <w:rFonts w:ascii="Arial" w:hAnsi="Arial" w:cs="Arial"/>
          <w:sz w:val="20"/>
          <w:szCs w:val="20"/>
        </w:rPr>
        <w:t>Pilot-owners</w:t>
      </w:r>
      <w:r w:rsidRPr="00CD5CD5">
        <w:rPr>
          <w:rFonts w:ascii="Arial" w:hAnsi="Arial" w:cs="Arial"/>
          <w:spacing w:val="-1"/>
          <w:sz w:val="20"/>
          <w:szCs w:val="20"/>
        </w:rPr>
        <w:t xml:space="preserve"> </w:t>
      </w:r>
      <w:r w:rsidRPr="00CD5CD5">
        <w:rPr>
          <w:rFonts w:ascii="Arial" w:hAnsi="Arial" w:cs="Arial"/>
          <w:sz w:val="20"/>
          <w:szCs w:val="20"/>
        </w:rPr>
        <w:t>are authorised</w:t>
      </w:r>
      <w:r w:rsidRPr="00CD5CD5">
        <w:rPr>
          <w:rFonts w:ascii="Arial" w:hAnsi="Arial" w:cs="Arial"/>
          <w:spacing w:val="-2"/>
          <w:sz w:val="20"/>
          <w:szCs w:val="20"/>
        </w:rPr>
        <w:t xml:space="preserve"> </w:t>
      </w:r>
      <w:r w:rsidRPr="00CD5CD5">
        <w:rPr>
          <w:rFonts w:ascii="Arial" w:hAnsi="Arial" w:cs="Arial"/>
          <w:sz w:val="20"/>
          <w:szCs w:val="20"/>
        </w:rPr>
        <w:t>to perform</w:t>
      </w:r>
      <w:r w:rsidRPr="00CD5CD5">
        <w:rPr>
          <w:rFonts w:ascii="Arial" w:hAnsi="Arial" w:cs="Arial"/>
          <w:spacing w:val="-2"/>
          <w:sz w:val="20"/>
          <w:szCs w:val="20"/>
        </w:rPr>
        <w:t xml:space="preserve"> </w:t>
      </w:r>
      <w:r w:rsidRPr="00CD5CD5">
        <w:rPr>
          <w:rFonts w:ascii="Arial" w:hAnsi="Arial" w:cs="Arial"/>
          <w:sz w:val="20"/>
          <w:szCs w:val="20"/>
        </w:rPr>
        <w:t>maintenance;</w:t>
      </w:r>
    </w:p>
    <w:p w14:paraId="6A19E391" w14:textId="77777777" w:rsidR="00CD5CD5" w:rsidRPr="00CD5CD5" w:rsidRDefault="00CD5CD5" w:rsidP="00CD5CD5">
      <w:pPr>
        <w:pStyle w:val="ListParagraph"/>
        <w:numPr>
          <w:ilvl w:val="1"/>
          <w:numId w:val="290"/>
        </w:numPr>
        <w:tabs>
          <w:tab w:val="left" w:pos="1274"/>
        </w:tabs>
        <w:spacing w:before="121"/>
        <w:ind w:right="196"/>
        <w:jc w:val="both"/>
        <w:rPr>
          <w:rFonts w:ascii="Arial" w:hAnsi="Arial" w:cs="Arial"/>
          <w:sz w:val="20"/>
          <w:szCs w:val="20"/>
        </w:rPr>
      </w:pPr>
      <w:r w:rsidRPr="00CD5CD5">
        <w:rPr>
          <w:rFonts w:ascii="Arial" w:hAnsi="Arial" w:cs="Arial"/>
          <w:sz w:val="20"/>
          <w:szCs w:val="20"/>
        </w:rPr>
        <w:t>when declared by the owner, shall contain a signed statement by which the owner</w:t>
      </w:r>
      <w:r w:rsidRPr="00CD5CD5">
        <w:rPr>
          <w:rFonts w:ascii="Arial" w:hAnsi="Arial" w:cs="Arial"/>
          <w:spacing w:val="1"/>
          <w:sz w:val="20"/>
          <w:szCs w:val="20"/>
        </w:rPr>
        <w:t xml:space="preserve"> </w:t>
      </w:r>
      <w:r w:rsidRPr="00CD5CD5">
        <w:rPr>
          <w:rFonts w:ascii="Arial" w:hAnsi="Arial" w:cs="Arial"/>
          <w:sz w:val="20"/>
          <w:szCs w:val="20"/>
        </w:rPr>
        <w:t>declares that this is the AMP for the particular aircraft registration and that he is fully</w:t>
      </w:r>
      <w:r w:rsidRPr="00CD5CD5">
        <w:rPr>
          <w:rFonts w:ascii="Arial" w:hAnsi="Arial" w:cs="Arial"/>
          <w:spacing w:val="1"/>
          <w:sz w:val="20"/>
          <w:szCs w:val="20"/>
        </w:rPr>
        <w:t xml:space="preserve"> </w:t>
      </w:r>
      <w:r w:rsidRPr="00CD5CD5">
        <w:rPr>
          <w:rFonts w:ascii="Arial" w:hAnsi="Arial" w:cs="Arial"/>
          <w:sz w:val="20"/>
          <w:szCs w:val="20"/>
        </w:rPr>
        <w:t>responsible</w:t>
      </w:r>
      <w:r w:rsidRPr="00CD5CD5">
        <w:rPr>
          <w:rFonts w:ascii="Arial" w:hAnsi="Arial" w:cs="Arial"/>
          <w:spacing w:val="1"/>
          <w:sz w:val="20"/>
          <w:szCs w:val="20"/>
        </w:rPr>
        <w:t xml:space="preserve"> </w:t>
      </w:r>
      <w:r w:rsidRPr="00CD5CD5">
        <w:rPr>
          <w:rFonts w:ascii="Arial" w:hAnsi="Arial" w:cs="Arial"/>
          <w:sz w:val="20"/>
          <w:szCs w:val="20"/>
        </w:rPr>
        <w:t>for</w:t>
      </w:r>
      <w:r w:rsidRPr="00CD5CD5">
        <w:rPr>
          <w:rFonts w:ascii="Arial" w:hAnsi="Arial" w:cs="Arial"/>
          <w:spacing w:val="1"/>
          <w:sz w:val="20"/>
          <w:szCs w:val="20"/>
        </w:rPr>
        <w:t xml:space="preserve"> </w:t>
      </w:r>
      <w:r w:rsidRPr="00CD5CD5">
        <w:rPr>
          <w:rFonts w:ascii="Arial" w:hAnsi="Arial" w:cs="Arial"/>
          <w:sz w:val="20"/>
          <w:szCs w:val="20"/>
        </w:rPr>
        <w:t>its</w:t>
      </w:r>
      <w:r w:rsidRPr="00CD5CD5">
        <w:rPr>
          <w:rFonts w:ascii="Arial" w:hAnsi="Arial" w:cs="Arial"/>
          <w:spacing w:val="1"/>
          <w:sz w:val="20"/>
          <w:szCs w:val="20"/>
        </w:rPr>
        <w:t xml:space="preserve"> </w:t>
      </w:r>
      <w:r w:rsidRPr="00CD5CD5">
        <w:rPr>
          <w:rFonts w:ascii="Arial" w:hAnsi="Arial" w:cs="Arial"/>
          <w:sz w:val="20"/>
          <w:szCs w:val="20"/>
        </w:rPr>
        <w:t>content</w:t>
      </w:r>
      <w:r w:rsidRPr="00CD5CD5">
        <w:rPr>
          <w:rFonts w:ascii="Arial" w:hAnsi="Arial" w:cs="Arial"/>
          <w:spacing w:val="1"/>
          <w:sz w:val="20"/>
          <w:szCs w:val="20"/>
        </w:rPr>
        <w:t xml:space="preserve"> </w:t>
      </w:r>
      <w:r w:rsidRPr="00CD5CD5">
        <w:rPr>
          <w:rFonts w:ascii="Arial" w:hAnsi="Arial" w:cs="Arial"/>
          <w:sz w:val="20"/>
          <w:szCs w:val="20"/>
        </w:rPr>
        <w:t>and,</w:t>
      </w:r>
      <w:r w:rsidRPr="00CD5CD5">
        <w:rPr>
          <w:rFonts w:ascii="Arial" w:hAnsi="Arial" w:cs="Arial"/>
          <w:spacing w:val="1"/>
          <w:sz w:val="20"/>
          <w:szCs w:val="20"/>
        </w:rPr>
        <w:t xml:space="preserve"> </w:t>
      </w:r>
      <w:r w:rsidRPr="00CD5CD5">
        <w:rPr>
          <w:rFonts w:ascii="Arial" w:hAnsi="Arial" w:cs="Arial"/>
          <w:sz w:val="20"/>
          <w:szCs w:val="20"/>
        </w:rPr>
        <w:t>in</w:t>
      </w:r>
      <w:r w:rsidRPr="00CD5CD5">
        <w:rPr>
          <w:rFonts w:ascii="Arial" w:hAnsi="Arial" w:cs="Arial"/>
          <w:spacing w:val="1"/>
          <w:sz w:val="20"/>
          <w:szCs w:val="20"/>
        </w:rPr>
        <w:t xml:space="preserve"> </w:t>
      </w:r>
      <w:r w:rsidRPr="00CD5CD5">
        <w:rPr>
          <w:rFonts w:ascii="Arial" w:hAnsi="Arial" w:cs="Arial"/>
          <w:sz w:val="20"/>
          <w:szCs w:val="20"/>
        </w:rPr>
        <w:t>particular,</w:t>
      </w:r>
      <w:r w:rsidRPr="00CD5CD5">
        <w:rPr>
          <w:rFonts w:ascii="Arial" w:hAnsi="Arial" w:cs="Arial"/>
          <w:spacing w:val="1"/>
          <w:sz w:val="20"/>
          <w:szCs w:val="20"/>
        </w:rPr>
        <w:t xml:space="preserve"> </w:t>
      </w:r>
      <w:r w:rsidRPr="00CD5CD5">
        <w:rPr>
          <w:rFonts w:ascii="Arial" w:hAnsi="Arial" w:cs="Arial"/>
          <w:sz w:val="20"/>
          <w:szCs w:val="20"/>
        </w:rPr>
        <w:t>for</w:t>
      </w:r>
      <w:r w:rsidRPr="00CD5CD5">
        <w:rPr>
          <w:rFonts w:ascii="Arial" w:hAnsi="Arial" w:cs="Arial"/>
          <w:spacing w:val="1"/>
          <w:sz w:val="20"/>
          <w:szCs w:val="20"/>
        </w:rPr>
        <w:t xml:space="preserve"> </w:t>
      </w:r>
      <w:r w:rsidRPr="00CD5CD5">
        <w:rPr>
          <w:rFonts w:ascii="Arial" w:hAnsi="Arial" w:cs="Arial"/>
          <w:sz w:val="20"/>
          <w:szCs w:val="20"/>
        </w:rPr>
        <w:t>any</w:t>
      </w:r>
      <w:r w:rsidRPr="00CD5CD5">
        <w:rPr>
          <w:rFonts w:ascii="Arial" w:hAnsi="Arial" w:cs="Arial"/>
          <w:spacing w:val="1"/>
          <w:sz w:val="20"/>
          <w:szCs w:val="20"/>
        </w:rPr>
        <w:t xml:space="preserve"> </w:t>
      </w:r>
      <w:r w:rsidRPr="00CD5CD5">
        <w:rPr>
          <w:rFonts w:ascii="Arial" w:hAnsi="Arial" w:cs="Arial"/>
          <w:sz w:val="20"/>
          <w:szCs w:val="20"/>
        </w:rPr>
        <w:t>deviations</w:t>
      </w:r>
      <w:r w:rsidRPr="00CD5CD5">
        <w:rPr>
          <w:rFonts w:ascii="Arial" w:hAnsi="Arial" w:cs="Arial"/>
          <w:spacing w:val="1"/>
          <w:sz w:val="20"/>
          <w:szCs w:val="20"/>
        </w:rPr>
        <w:t xml:space="preserve"> </w:t>
      </w:r>
      <w:r w:rsidRPr="00CD5CD5">
        <w:rPr>
          <w:rFonts w:ascii="Arial" w:hAnsi="Arial" w:cs="Arial"/>
          <w:sz w:val="20"/>
          <w:szCs w:val="20"/>
        </w:rPr>
        <w:t>from</w:t>
      </w:r>
      <w:r w:rsidRPr="00CD5CD5">
        <w:rPr>
          <w:rFonts w:ascii="Arial" w:hAnsi="Arial" w:cs="Arial"/>
          <w:spacing w:val="1"/>
          <w:sz w:val="20"/>
          <w:szCs w:val="20"/>
        </w:rPr>
        <w:t xml:space="preserve"> </w:t>
      </w:r>
      <w:r w:rsidRPr="00CD5CD5">
        <w:rPr>
          <w:rFonts w:ascii="Arial" w:hAnsi="Arial" w:cs="Arial"/>
          <w:sz w:val="20"/>
          <w:szCs w:val="20"/>
        </w:rPr>
        <w:t>the</w:t>
      </w:r>
      <w:r w:rsidRPr="00CD5CD5">
        <w:rPr>
          <w:rFonts w:ascii="Arial" w:hAnsi="Arial" w:cs="Arial"/>
          <w:spacing w:val="1"/>
          <w:sz w:val="20"/>
          <w:szCs w:val="20"/>
        </w:rPr>
        <w:t xml:space="preserve"> </w:t>
      </w:r>
      <w:r w:rsidRPr="00CD5CD5">
        <w:rPr>
          <w:rFonts w:ascii="Arial" w:hAnsi="Arial" w:cs="Arial"/>
          <w:sz w:val="20"/>
          <w:szCs w:val="20"/>
        </w:rPr>
        <w:t>DAH’s</w:t>
      </w:r>
      <w:r w:rsidRPr="00CD5CD5">
        <w:rPr>
          <w:rFonts w:ascii="Arial" w:hAnsi="Arial" w:cs="Arial"/>
          <w:spacing w:val="1"/>
          <w:sz w:val="20"/>
          <w:szCs w:val="20"/>
        </w:rPr>
        <w:t xml:space="preserve"> </w:t>
      </w:r>
      <w:r w:rsidRPr="00CD5CD5">
        <w:rPr>
          <w:rFonts w:ascii="Arial" w:hAnsi="Arial" w:cs="Arial"/>
          <w:sz w:val="20"/>
          <w:szCs w:val="20"/>
        </w:rPr>
        <w:t>recommendations;</w:t>
      </w:r>
    </w:p>
    <w:p w14:paraId="7E3C2A15" w14:textId="77777777" w:rsidR="00CD5CD5" w:rsidRPr="00CD5CD5" w:rsidRDefault="00CD5CD5" w:rsidP="00CD5CD5">
      <w:pPr>
        <w:pStyle w:val="ListParagraph"/>
        <w:numPr>
          <w:ilvl w:val="1"/>
          <w:numId w:val="290"/>
        </w:numPr>
        <w:tabs>
          <w:tab w:val="left" w:pos="1274"/>
        </w:tabs>
        <w:spacing w:before="121"/>
        <w:ind w:right="194"/>
        <w:jc w:val="both"/>
        <w:rPr>
          <w:rFonts w:ascii="Arial" w:hAnsi="Arial" w:cs="Arial"/>
          <w:sz w:val="20"/>
          <w:szCs w:val="20"/>
        </w:rPr>
      </w:pPr>
      <w:r w:rsidRPr="00CD5CD5">
        <w:rPr>
          <w:rFonts w:ascii="Arial" w:hAnsi="Arial" w:cs="Arial"/>
          <w:sz w:val="20"/>
          <w:szCs w:val="20"/>
        </w:rPr>
        <w:t>when approved by the CAMO or CAO, shall be signed by this organisation, which shall</w:t>
      </w:r>
      <w:r w:rsidRPr="00CD5CD5">
        <w:rPr>
          <w:rFonts w:ascii="Arial" w:hAnsi="Arial" w:cs="Arial"/>
          <w:spacing w:val="1"/>
          <w:sz w:val="20"/>
          <w:szCs w:val="20"/>
        </w:rPr>
        <w:t xml:space="preserve"> </w:t>
      </w:r>
      <w:r w:rsidRPr="00CD5CD5">
        <w:rPr>
          <w:rFonts w:ascii="Arial" w:hAnsi="Arial" w:cs="Arial"/>
          <w:sz w:val="20"/>
          <w:szCs w:val="20"/>
        </w:rPr>
        <w:t>retain</w:t>
      </w:r>
      <w:r w:rsidRPr="00CD5CD5">
        <w:rPr>
          <w:rFonts w:ascii="Arial" w:hAnsi="Arial" w:cs="Arial"/>
          <w:spacing w:val="1"/>
          <w:sz w:val="20"/>
          <w:szCs w:val="20"/>
        </w:rPr>
        <w:t xml:space="preserve"> </w:t>
      </w:r>
      <w:r w:rsidRPr="00CD5CD5">
        <w:rPr>
          <w:rFonts w:ascii="Arial" w:hAnsi="Arial" w:cs="Arial"/>
          <w:sz w:val="20"/>
          <w:szCs w:val="20"/>
        </w:rPr>
        <w:t>records</w:t>
      </w:r>
      <w:r w:rsidRPr="00CD5CD5">
        <w:rPr>
          <w:rFonts w:ascii="Arial" w:hAnsi="Arial" w:cs="Arial"/>
          <w:spacing w:val="1"/>
          <w:sz w:val="20"/>
          <w:szCs w:val="20"/>
        </w:rPr>
        <w:t xml:space="preserve"> </w:t>
      </w:r>
      <w:r w:rsidRPr="00CD5CD5">
        <w:rPr>
          <w:rFonts w:ascii="Arial" w:hAnsi="Arial" w:cs="Arial"/>
          <w:sz w:val="20"/>
          <w:szCs w:val="20"/>
        </w:rPr>
        <w:t>with</w:t>
      </w:r>
      <w:r w:rsidRPr="00CD5CD5">
        <w:rPr>
          <w:rFonts w:ascii="Arial" w:hAnsi="Arial" w:cs="Arial"/>
          <w:spacing w:val="1"/>
          <w:sz w:val="20"/>
          <w:szCs w:val="20"/>
        </w:rPr>
        <w:t xml:space="preserve"> </w:t>
      </w:r>
      <w:r w:rsidRPr="00CD5CD5">
        <w:rPr>
          <w:rFonts w:ascii="Arial" w:hAnsi="Arial" w:cs="Arial"/>
          <w:sz w:val="20"/>
          <w:szCs w:val="20"/>
        </w:rPr>
        <w:t>the</w:t>
      </w:r>
      <w:r w:rsidRPr="00CD5CD5">
        <w:rPr>
          <w:rFonts w:ascii="Arial" w:hAnsi="Arial" w:cs="Arial"/>
          <w:spacing w:val="1"/>
          <w:sz w:val="20"/>
          <w:szCs w:val="20"/>
        </w:rPr>
        <w:t xml:space="preserve"> </w:t>
      </w:r>
      <w:r w:rsidRPr="00CD5CD5">
        <w:rPr>
          <w:rFonts w:ascii="Arial" w:hAnsi="Arial" w:cs="Arial"/>
          <w:sz w:val="20"/>
          <w:szCs w:val="20"/>
        </w:rPr>
        <w:t>justification</w:t>
      </w:r>
      <w:r w:rsidRPr="00CD5CD5">
        <w:rPr>
          <w:rFonts w:ascii="Arial" w:hAnsi="Arial" w:cs="Arial"/>
          <w:spacing w:val="1"/>
          <w:sz w:val="20"/>
          <w:szCs w:val="20"/>
        </w:rPr>
        <w:t xml:space="preserve"> </w:t>
      </w:r>
      <w:r w:rsidRPr="00CD5CD5">
        <w:rPr>
          <w:rFonts w:ascii="Arial" w:hAnsi="Arial" w:cs="Arial"/>
          <w:sz w:val="20"/>
          <w:szCs w:val="20"/>
        </w:rPr>
        <w:t>for</w:t>
      </w:r>
      <w:r w:rsidRPr="00CD5CD5">
        <w:rPr>
          <w:rFonts w:ascii="Arial" w:hAnsi="Arial" w:cs="Arial"/>
          <w:spacing w:val="1"/>
          <w:sz w:val="20"/>
          <w:szCs w:val="20"/>
        </w:rPr>
        <w:t xml:space="preserve"> </w:t>
      </w:r>
      <w:r w:rsidRPr="00CD5CD5">
        <w:rPr>
          <w:rFonts w:ascii="Arial" w:hAnsi="Arial" w:cs="Arial"/>
          <w:sz w:val="20"/>
          <w:szCs w:val="20"/>
        </w:rPr>
        <w:t>any</w:t>
      </w:r>
      <w:r w:rsidRPr="00CD5CD5">
        <w:rPr>
          <w:rFonts w:ascii="Arial" w:hAnsi="Arial" w:cs="Arial"/>
          <w:spacing w:val="1"/>
          <w:sz w:val="20"/>
          <w:szCs w:val="20"/>
        </w:rPr>
        <w:t xml:space="preserve"> </w:t>
      </w:r>
      <w:r w:rsidRPr="00CD5CD5">
        <w:rPr>
          <w:rFonts w:ascii="Arial" w:hAnsi="Arial" w:cs="Arial"/>
          <w:sz w:val="20"/>
          <w:szCs w:val="20"/>
        </w:rPr>
        <w:t>deviation</w:t>
      </w:r>
      <w:r w:rsidRPr="00CD5CD5">
        <w:rPr>
          <w:rFonts w:ascii="Arial" w:hAnsi="Arial" w:cs="Arial"/>
          <w:spacing w:val="1"/>
          <w:sz w:val="20"/>
          <w:szCs w:val="20"/>
        </w:rPr>
        <w:t xml:space="preserve"> </w:t>
      </w:r>
      <w:r w:rsidRPr="00CD5CD5">
        <w:rPr>
          <w:rFonts w:ascii="Arial" w:hAnsi="Arial" w:cs="Arial"/>
          <w:sz w:val="20"/>
          <w:szCs w:val="20"/>
        </w:rPr>
        <w:t>introduced</w:t>
      </w:r>
      <w:r w:rsidRPr="00CD5CD5">
        <w:rPr>
          <w:rFonts w:ascii="Arial" w:hAnsi="Arial" w:cs="Arial"/>
          <w:spacing w:val="1"/>
          <w:sz w:val="20"/>
          <w:szCs w:val="20"/>
        </w:rPr>
        <w:t xml:space="preserve"> </w:t>
      </w:r>
      <w:r w:rsidRPr="00CD5CD5">
        <w:rPr>
          <w:rFonts w:ascii="Arial" w:hAnsi="Arial" w:cs="Arial"/>
          <w:sz w:val="20"/>
          <w:szCs w:val="20"/>
        </w:rPr>
        <w:t>to</w:t>
      </w:r>
      <w:r w:rsidRPr="00CD5CD5">
        <w:rPr>
          <w:rFonts w:ascii="Arial" w:hAnsi="Arial" w:cs="Arial"/>
          <w:spacing w:val="1"/>
          <w:sz w:val="20"/>
          <w:szCs w:val="20"/>
        </w:rPr>
        <w:t xml:space="preserve"> </w:t>
      </w:r>
      <w:r w:rsidRPr="00CD5CD5">
        <w:rPr>
          <w:rFonts w:ascii="Arial" w:hAnsi="Arial" w:cs="Arial"/>
          <w:sz w:val="20"/>
          <w:szCs w:val="20"/>
        </w:rPr>
        <w:t>the</w:t>
      </w:r>
      <w:r w:rsidRPr="00CD5CD5">
        <w:rPr>
          <w:rFonts w:ascii="Arial" w:hAnsi="Arial" w:cs="Arial"/>
          <w:spacing w:val="1"/>
          <w:sz w:val="20"/>
          <w:szCs w:val="20"/>
        </w:rPr>
        <w:t xml:space="preserve"> </w:t>
      </w:r>
      <w:r w:rsidRPr="00CD5CD5">
        <w:rPr>
          <w:rFonts w:ascii="Arial" w:hAnsi="Arial" w:cs="Arial"/>
          <w:sz w:val="20"/>
          <w:szCs w:val="20"/>
        </w:rPr>
        <w:t>DAH’s</w:t>
      </w:r>
      <w:r w:rsidRPr="00CD5CD5">
        <w:rPr>
          <w:rFonts w:ascii="Arial" w:hAnsi="Arial" w:cs="Arial"/>
          <w:spacing w:val="1"/>
          <w:sz w:val="20"/>
          <w:szCs w:val="20"/>
        </w:rPr>
        <w:t xml:space="preserve"> </w:t>
      </w:r>
      <w:r w:rsidRPr="00CD5CD5">
        <w:rPr>
          <w:rFonts w:ascii="Arial" w:hAnsi="Arial" w:cs="Arial"/>
          <w:sz w:val="20"/>
          <w:szCs w:val="20"/>
        </w:rPr>
        <w:t>recommendations;</w:t>
      </w:r>
    </w:p>
    <w:p w14:paraId="652763DC" w14:textId="77777777" w:rsidR="00CD5CD5" w:rsidRPr="00CD5CD5" w:rsidRDefault="00CD5CD5" w:rsidP="00CD5CD5">
      <w:pPr>
        <w:pStyle w:val="ListParagraph"/>
        <w:numPr>
          <w:ilvl w:val="1"/>
          <w:numId w:val="290"/>
        </w:numPr>
        <w:tabs>
          <w:tab w:val="left" w:pos="1274"/>
        </w:tabs>
        <w:spacing w:before="57"/>
        <w:ind w:right="198"/>
        <w:jc w:val="both"/>
        <w:rPr>
          <w:rFonts w:ascii="Arial" w:hAnsi="Arial" w:cs="Arial"/>
          <w:sz w:val="20"/>
          <w:szCs w:val="20"/>
        </w:rPr>
      </w:pPr>
      <w:r w:rsidRPr="00CD5CD5">
        <w:rPr>
          <w:rFonts w:ascii="Arial" w:hAnsi="Arial" w:cs="Arial"/>
          <w:sz w:val="20"/>
          <w:szCs w:val="20"/>
        </w:rPr>
        <w:t>shall be reviewed at least annually in order to assess its effectiveness, and this review</w:t>
      </w:r>
      <w:r w:rsidRPr="00CD5CD5">
        <w:rPr>
          <w:rFonts w:ascii="Arial" w:hAnsi="Arial" w:cs="Arial"/>
          <w:spacing w:val="1"/>
          <w:sz w:val="20"/>
          <w:szCs w:val="20"/>
        </w:rPr>
        <w:t xml:space="preserve"> </w:t>
      </w:r>
      <w:r w:rsidRPr="00CD5CD5">
        <w:rPr>
          <w:rFonts w:ascii="Arial" w:hAnsi="Arial" w:cs="Arial"/>
          <w:sz w:val="20"/>
          <w:szCs w:val="20"/>
        </w:rPr>
        <w:t>shall</w:t>
      </w:r>
      <w:r w:rsidRPr="00CD5CD5">
        <w:rPr>
          <w:rFonts w:ascii="Arial" w:hAnsi="Arial" w:cs="Arial"/>
          <w:spacing w:val="-2"/>
          <w:sz w:val="20"/>
          <w:szCs w:val="20"/>
        </w:rPr>
        <w:t xml:space="preserve"> </w:t>
      </w:r>
      <w:r w:rsidRPr="00CD5CD5">
        <w:rPr>
          <w:rFonts w:ascii="Arial" w:hAnsi="Arial" w:cs="Arial"/>
          <w:sz w:val="20"/>
          <w:szCs w:val="20"/>
        </w:rPr>
        <w:t>be performed, alternatively:</w:t>
      </w:r>
    </w:p>
    <w:p w14:paraId="332ECF0E" w14:textId="77777777" w:rsidR="00CD5CD5" w:rsidRPr="00CD5CD5" w:rsidRDefault="00CD5CD5" w:rsidP="00CD5CD5">
      <w:pPr>
        <w:pStyle w:val="ListParagraph"/>
        <w:numPr>
          <w:ilvl w:val="2"/>
          <w:numId w:val="290"/>
        </w:numPr>
        <w:tabs>
          <w:tab w:val="left" w:pos="1842"/>
        </w:tabs>
        <w:spacing w:before="118"/>
        <w:ind w:right="197"/>
        <w:jc w:val="both"/>
        <w:rPr>
          <w:rFonts w:ascii="Arial" w:hAnsi="Arial" w:cs="Arial"/>
          <w:sz w:val="20"/>
          <w:szCs w:val="20"/>
        </w:rPr>
      </w:pPr>
      <w:r w:rsidRPr="00CD5CD5">
        <w:rPr>
          <w:rFonts w:ascii="Arial" w:hAnsi="Arial" w:cs="Arial"/>
          <w:sz w:val="20"/>
          <w:szCs w:val="20"/>
        </w:rPr>
        <w:t>in conjunction with the airworthiness review of the aircraft by the person who</w:t>
      </w:r>
      <w:r w:rsidRPr="00CD5CD5">
        <w:rPr>
          <w:rFonts w:ascii="Arial" w:hAnsi="Arial" w:cs="Arial"/>
          <w:spacing w:val="1"/>
          <w:sz w:val="20"/>
          <w:szCs w:val="20"/>
        </w:rPr>
        <w:t xml:space="preserve"> </w:t>
      </w:r>
      <w:r w:rsidRPr="00CD5CD5">
        <w:rPr>
          <w:rFonts w:ascii="Arial" w:hAnsi="Arial" w:cs="Arial"/>
          <w:sz w:val="20"/>
          <w:szCs w:val="20"/>
        </w:rPr>
        <w:t>performs</w:t>
      </w:r>
      <w:r w:rsidRPr="00CD5CD5">
        <w:rPr>
          <w:rFonts w:ascii="Arial" w:hAnsi="Arial" w:cs="Arial"/>
          <w:spacing w:val="-1"/>
          <w:sz w:val="20"/>
          <w:szCs w:val="20"/>
        </w:rPr>
        <w:t xml:space="preserve"> </w:t>
      </w:r>
      <w:r w:rsidRPr="00CD5CD5">
        <w:rPr>
          <w:rFonts w:ascii="Arial" w:hAnsi="Arial" w:cs="Arial"/>
          <w:sz w:val="20"/>
          <w:szCs w:val="20"/>
        </w:rPr>
        <w:t>such</w:t>
      </w:r>
      <w:r w:rsidRPr="00CD5CD5">
        <w:rPr>
          <w:rFonts w:ascii="Arial" w:hAnsi="Arial" w:cs="Arial"/>
          <w:spacing w:val="-2"/>
          <w:sz w:val="20"/>
          <w:szCs w:val="20"/>
        </w:rPr>
        <w:t xml:space="preserve"> </w:t>
      </w:r>
      <w:r w:rsidRPr="00CD5CD5">
        <w:rPr>
          <w:rFonts w:ascii="Arial" w:hAnsi="Arial" w:cs="Arial"/>
          <w:sz w:val="20"/>
          <w:szCs w:val="20"/>
        </w:rPr>
        <w:t>an</w:t>
      </w:r>
      <w:r w:rsidRPr="00CD5CD5">
        <w:rPr>
          <w:rFonts w:ascii="Arial" w:hAnsi="Arial" w:cs="Arial"/>
          <w:spacing w:val="-1"/>
          <w:sz w:val="20"/>
          <w:szCs w:val="20"/>
        </w:rPr>
        <w:t xml:space="preserve"> </w:t>
      </w:r>
      <w:r w:rsidRPr="00CD5CD5">
        <w:rPr>
          <w:rFonts w:ascii="Arial" w:hAnsi="Arial" w:cs="Arial"/>
          <w:sz w:val="20"/>
          <w:szCs w:val="20"/>
        </w:rPr>
        <w:t>airworthiness</w:t>
      </w:r>
      <w:r w:rsidRPr="00CD5CD5">
        <w:rPr>
          <w:rFonts w:ascii="Arial" w:hAnsi="Arial" w:cs="Arial"/>
          <w:spacing w:val="1"/>
          <w:sz w:val="20"/>
          <w:szCs w:val="20"/>
        </w:rPr>
        <w:t xml:space="preserve"> </w:t>
      </w:r>
      <w:r w:rsidRPr="00CD5CD5">
        <w:rPr>
          <w:rFonts w:ascii="Arial" w:hAnsi="Arial" w:cs="Arial"/>
          <w:sz w:val="20"/>
          <w:szCs w:val="20"/>
        </w:rPr>
        <w:t>review;</w:t>
      </w:r>
    </w:p>
    <w:p w14:paraId="25CA27A6" w14:textId="77777777" w:rsidR="00CD5CD5" w:rsidRPr="00CD5CD5" w:rsidRDefault="00CD5CD5" w:rsidP="00CD5CD5">
      <w:pPr>
        <w:pStyle w:val="ListParagraph"/>
        <w:numPr>
          <w:ilvl w:val="2"/>
          <w:numId w:val="290"/>
        </w:numPr>
        <w:tabs>
          <w:tab w:val="left" w:pos="1842"/>
        </w:tabs>
        <w:ind w:right="195"/>
        <w:jc w:val="both"/>
        <w:rPr>
          <w:rFonts w:ascii="Arial" w:hAnsi="Arial" w:cs="Arial"/>
          <w:sz w:val="20"/>
          <w:szCs w:val="20"/>
        </w:rPr>
      </w:pPr>
      <w:r w:rsidRPr="00CD5CD5">
        <w:rPr>
          <w:rFonts w:ascii="Arial" w:hAnsi="Arial" w:cs="Arial"/>
          <w:spacing w:val="-1"/>
          <w:sz w:val="20"/>
          <w:szCs w:val="20"/>
        </w:rPr>
        <w:t>by</w:t>
      </w:r>
      <w:r w:rsidRPr="00CD5CD5">
        <w:rPr>
          <w:rFonts w:ascii="Arial" w:hAnsi="Arial" w:cs="Arial"/>
          <w:spacing w:val="-9"/>
          <w:sz w:val="20"/>
          <w:szCs w:val="20"/>
        </w:rPr>
        <w:t xml:space="preserve"> </w:t>
      </w:r>
      <w:r w:rsidRPr="00CD5CD5">
        <w:rPr>
          <w:rFonts w:ascii="Arial" w:hAnsi="Arial" w:cs="Arial"/>
          <w:spacing w:val="-1"/>
          <w:sz w:val="20"/>
          <w:szCs w:val="20"/>
        </w:rPr>
        <w:t>the</w:t>
      </w:r>
      <w:r w:rsidRPr="00CD5CD5">
        <w:rPr>
          <w:rFonts w:ascii="Arial" w:hAnsi="Arial" w:cs="Arial"/>
          <w:spacing w:val="-9"/>
          <w:sz w:val="20"/>
          <w:szCs w:val="20"/>
        </w:rPr>
        <w:t xml:space="preserve"> </w:t>
      </w:r>
      <w:r w:rsidRPr="00CD5CD5">
        <w:rPr>
          <w:rFonts w:ascii="Arial" w:hAnsi="Arial" w:cs="Arial"/>
          <w:spacing w:val="-1"/>
          <w:sz w:val="20"/>
          <w:szCs w:val="20"/>
        </w:rPr>
        <w:t>CAMO</w:t>
      </w:r>
      <w:r w:rsidRPr="00CD5CD5">
        <w:rPr>
          <w:rFonts w:ascii="Arial" w:hAnsi="Arial" w:cs="Arial"/>
          <w:spacing w:val="-14"/>
          <w:sz w:val="20"/>
          <w:szCs w:val="20"/>
        </w:rPr>
        <w:t xml:space="preserve"> </w:t>
      </w:r>
      <w:r w:rsidRPr="00CD5CD5">
        <w:rPr>
          <w:rFonts w:ascii="Arial" w:hAnsi="Arial" w:cs="Arial"/>
          <w:spacing w:val="-1"/>
          <w:sz w:val="20"/>
          <w:szCs w:val="20"/>
        </w:rPr>
        <w:t>or</w:t>
      </w:r>
      <w:r w:rsidRPr="00CD5CD5">
        <w:rPr>
          <w:rFonts w:ascii="Arial" w:hAnsi="Arial" w:cs="Arial"/>
          <w:spacing w:val="-9"/>
          <w:sz w:val="20"/>
          <w:szCs w:val="20"/>
        </w:rPr>
        <w:t xml:space="preserve"> </w:t>
      </w:r>
      <w:r w:rsidRPr="00CD5CD5">
        <w:rPr>
          <w:rFonts w:ascii="Arial" w:hAnsi="Arial" w:cs="Arial"/>
          <w:sz w:val="20"/>
          <w:szCs w:val="20"/>
        </w:rPr>
        <w:t>CAO</w:t>
      </w:r>
      <w:r w:rsidRPr="00CD5CD5">
        <w:rPr>
          <w:rFonts w:ascii="Arial" w:hAnsi="Arial" w:cs="Arial"/>
          <w:spacing w:val="-12"/>
          <w:sz w:val="20"/>
          <w:szCs w:val="20"/>
        </w:rPr>
        <w:t xml:space="preserve"> </w:t>
      </w:r>
      <w:r w:rsidRPr="00CD5CD5">
        <w:rPr>
          <w:rFonts w:ascii="Arial" w:hAnsi="Arial" w:cs="Arial"/>
          <w:sz w:val="20"/>
          <w:szCs w:val="20"/>
        </w:rPr>
        <w:t>managing</w:t>
      </w:r>
      <w:r w:rsidRPr="00CD5CD5">
        <w:rPr>
          <w:rFonts w:ascii="Arial" w:hAnsi="Arial" w:cs="Arial"/>
          <w:spacing w:val="-10"/>
          <w:sz w:val="20"/>
          <w:szCs w:val="20"/>
        </w:rPr>
        <w:t xml:space="preserve"> </w:t>
      </w:r>
      <w:r w:rsidRPr="00CD5CD5">
        <w:rPr>
          <w:rFonts w:ascii="Arial" w:hAnsi="Arial" w:cs="Arial"/>
          <w:sz w:val="20"/>
          <w:szCs w:val="20"/>
        </w:rPr>
        <w:t>the</w:t>
      </w:r>
      <w:r w:rsidRPr="00CD5CD5">
        <w:rPr>
          <w:rFonts w:ascii="Arial" w:hAnsi="Arial" w:cs="Arial"/>
          <w:spacing w:val="-12"/>
          <w:sz w:val="20"/>
          <w:szCs w:val="20"/>
        </w:rPr>
        <w:t xml:space="preserve"> </w:t>
      </w:r>
      <w:r w:rsidRPr="00CD5CD5">
        <w:rPr>
          <w:rFonts w:ascii="Arial" w:hAnsi="Arial" w:cs="Arial"/>
          <w:sz w:val="20"/>
          <w:szCs w:val="20"/>
        </w:rPr>
        <w:t>continuing</w:t>
      </w:r>
      <w:r w:rsidRPr="00CD5CD5">
        <w:rPr>
          <w:rFonts w:ascii="Arial" w:hAnsi="Arial" w:cs="Arial"/>
          <w:spacing w:val="-10"/>
          <w:sz w:val="20"/>
          <w:szCs w:val="20"/>
        </w:rPr>
        <w:t xml:space="preserve"> </w:t>
      </w:r>
      <w:r w:rsidRPr="00CD5CD5">
        <w:rPr>
          <w:rFonts w:ascii="Arial" w:hAnsi="Arial" w:cs="Arial"/>
          <w:sz w:val="20"/>
          <w:szCs w:val="20"/>
        </w:rPr>
        <w:t>airworthiness</w:t>
      </w:r>
      <w:r w:rsidRPr="00CD5CD5">
        <w:rPr>
          <w:rFonts w:ascii="Arial" w:hAnsi="Arial" w:cs="Arial"/>
          <w:spacing w:val="-11"/>
          <w:sz w:val="20"/>
          <w:szCs w:val="20"/>
        </w:rPr>
        <w:t xml:space="preserve"> </w:t>
      </w:r>
      <w:r w:rsidRPr="00CD5CD5">
        <w:rPr>
          <w:rFonts w:ascii="Arial" w:hAnsi="Arial" w:cs="Arial"/>
          <w:sz w:val="20"/>
          <w:szCs w:val="20"/>
        </w:rPr>
        <w:t>of</w:t>
      </w:r>
      <w:r w:rsidRPr="00CD5CD5">
        <w:rPr>
          <w:rFonts w:ascii="Arial" w:hAnsi="Arial" w:cs="Arial"/>
          <w:spacing w:val="-12"/>
          <w:sz w:val="20"/>
          <w:szCs w:val="20"/>
        </w:rPr>
        <w:t xml:space="preserve"> </w:t>
      </w:r>
      <w:r w:rsidRPr="00CD5CD5">
        <w:rPr>
          <w:rFonts w:ascii="Arial" w:hAnsi="Arial" w:cs="Arial"/>
          <w:sz w:val="20"/>
          <w:szCs w:val="20"/>
        </w:rPr>
        <w:t>the</w:t>
      </w:r>
      <w:r w:rsidRPr="00CD5CD5">
        <w:rPr>
          <w:rFonts w:ascii="Arial" w:hAnsi="Arial" w:cs="Arial"/>
          <w:spacing w:val="-12"/>
          <w:sz w:val="20"/>
          <w:szCs w:val="20"/>
        </w:rPr>
        <w:t xml:space="preserve"> </w:t>
      </w:r>
      <w:r w:rsidRPr="00CD5CD5">
        <w:rPr>
          <w:rFonts w:ascii="Arial" w:hAnsi="Arial" w:cs="Arial"/>
          <w:sz w:val="20"/>
          <w:szCs w:val="20"/>
        </w:rPr>
        <w:t>aircraft</w:t>
      </w:r>
      <w:r w:rsidRPr="00CD5CD5">
        <w:rPr>
          <w:rFonts w:ascii="Arial" w:hAnsi="Arial" w:cs="Arial"/>
          <w:spacing w:val="-12"/>
          <w:sz w:val="20"/>
          <w:szCs w:val="20"/>
        </w:rPr>
        <w:t xml:space="preserve"> </w:t>
      </w:r>
      <w:r w:rsidRPr="00CD5CD5">
        <w:rPr>
          <w:rFonts w:ascii="Arial" w:hAnsi="Arial" w:cs="Arial"/>
          <w:sz w:val="20"/>
          <w:szCs w:val="20"/>
        </w:rPr>
        <w:t>in</w:t>
      </w:r>
      <w:r w:rsidRPr="00CD5CD5">
        <w:rPr>
          <w:rFonts w:ascii="Arial" w:hAnsi="Arial" w:cs="Arial"/>
          <w:spacing w:val="-13"/>
          <w:sz w:val="20"/>
          <w:szCs w:val="20"/>
        </w:rPr>
        <w:t xml:space="preserve"> </w:t>
      </w:r>
      <w:r w:rsidRPr="00CD5CD5">
        <w:rPr>
          <w:rFonts w:ascii="Arial" w:hAnsi="Arial" w:cs="Arial"/>
          <w:sz w:val="20"/>
          <w:szCs w:val="20"/>
        </w:rPr>
        <w:t>those</w:t>
      </w:r>
      <w:r w:rsidRPr="00CD5CD5">
        <w:rPr>
          <w:rFonts w:ascii="Arial" w:hAnsi="Arial" w:cs="Arial"/>
          <w:spacing w:val="-47"/>
          <w:sz w:val="20"/>
          <w:szCs w:val="20"/>
        </w:rPr>
        <w:t xml:space="preserve"> </w:t>
      </w:r>
      <w:r w:rsidRPr="00CD5CD5">
        <w:rPr>
          <w:rFonts w:ascii="Arial" w:hAnsi="Arial" w:cs="Arial"/>
          <w:sz w:val="20"/>
          <w:szCs w:val="20"/>
        </w:rPr>
        <w:t>cases where the review of the AMP is not performed in conjunction with an</w:t>
      </w:r>
      <w:r w:rsidRPr="00CD5CD5">
        <w:rPr>
          <w:rFonts w:ascii="Arial" w:hAnsi="Arial" w:cs="Arial"/>
          <w:spacing w:val="1"/>
          <w:sz w:val="20"/>
          <w:szCs w:val="20"/>
        </w:rPr>
        <w:t xml:space="preserve"> </w:t>
      </w:r>
      <w:r w:rsidRPr="00CD5CD5">
        <w:rPr>
          <w:rFonts w:ascii="Arial" w:hAnsi="Arial" w:cs="Arial"/>
          <w:sz w:val="20"/>
          <w:szCs w:val="20"/>
        </w:rPr>
        <w:t>airworthiness review.</w:t>
      </w:r>
    </w:p>
    <w:p w14:paraId="575FE3CB" w14:textId="19D48718" w:rsidR="00CD5CD5" w:rsidRPr="00CD5CD5" w:rsidRDefault="00CD5CD5" w:rsidP="00CD5CD5">
      <w:pPr>
        <w:pStyle w:val="BodyText"/>
        <w:spacing w:before="121"/>
        <w:ind w:left="1273" w:right="193"/>
        <w:jc w:val="both"/>
        <w:rPr>
          <w:rFonts w:ascii="Arial" w:hAnsi="Arial" w:cs="Arial"/>
          <w:sz w:val="20"/>
          <w:szCs w:val="20"/>
        </w:rPr>
      </w:pPr>
      <w:r w:rsidRPr="00CD5CD5">
        <w:rPr>
          <w:rFonts w:ascii="Arial" w:hAnsi="Arial" w:cs="Arial"/>
          <w:sz w:val="20"/>
          <w:szCs w:val="20"/>
        </w:rPr>
        <w:t>If the review shows deficiencies of the aircraft linked with deficiencies in the content of</w:t>
      </w:r>
      <w:r w:rsidRPr="00CD5CD5">
        <w:rPr>
          <w:rFonts w:ascii="Arial" w:hAnsi="Arial" w:cs="Arial"/>
          <w:spacing w:val="1"/>
          <w:sz w:val="20"/>
          <w:szCs w:val="20"/>
        </w:rPr>
        <w:t xml:space="preserve"> </w:t>
      </w:r>
      <w:r w:rsidRPr="00CD5CD5">
        <w:rPr>
          <w:rFonts w:ascii="Arial" w:hAnsi="Arial" w:cs="Arial"/>
          <w:sz w:val="20"/>
          <w:szCs w:val="20"/>
        </w:rPr>
        <w:t>the AMP, the AMP shall be amended accordingly. In this case the person performing the</w:t>
      </w:r>
      <w:r w:rsidRPr="00CD5CD5">
        <w:rPr>
          <w:rFonts w:ascii="Arial" w:hAnsi="Arial" w:cs="Arial"/>
          <w:spacing w:val="-47"/>
          <w:sz w:val="20"/>
          <w:szCs w:val="20"/>
        </w:rPr>
        <w:t xml:space="preserve"> </w:t>
      </w:r>
      <w:r w:rsidRPr="00CD5CD5">
        <w:rPr>
          <w:rFonts w:ascii="Arial" w:hAnsi="Arial" w:cs="Arial"/>
          <w:sz w:val="20"/>
          <w:szCs w:val="20"/>
        </w:rPr>
        <w:t xml:space="preserve">review shall inform the </w:t>
      </w:r>
      <w:r w:rsidR="004E22F1">
        <w:rPr>
          <w:rFonts w:ascii="Arial" w:hAnsi="Arial" w:cs="Arial"/>
          <w:sz w:val="20"/>
          <w:szCs w:val="20"/>
        </w:rPr>
        <w:t xml:space="preserve">CAC RA </w:t>
      </w:r>
      <w:r w:rsidRPr="00CD5CD5">
        <w:rPr>
          <w:rFonts w:ascii="Arial" w:hAnsi="Arial" w:cs="Arial"/>
          <w:sz w:val="20"/>
          <w:szCs w:val="20"/>
        </w:rPr>
        <w:t>of registry if he does</w:t>
      </w:r>
      <w:r w:rsidRPr="00CD5CD5">
        <w:rPr>
          <w:rFonts w:ascii="Arial" w:hAnsi="Arial" w:cs="Arial"/>
          <w:spacing w:val="1"/>
          <w:sz w:val="20"/>
          <w:szCs w:val="20"/>
        </w:rPr>
        <w:t xml:space="preserve"> </w:t>
      </w:r>
      <w:r w:rsidRPr="00CD5CD5">
        <w:rPr>
          <w:rFonts w:ascii="Arial" w:hAnsi="Arial" w:cs="Arial"/>
          <w:sz w:val="20"/>
          <w:szCs w:val="20"/>
        </w:rPr>
        <w:t>not</w:t>
      </w:r>
      <w:r w:rsidRPr="00CD5CD5">
        <w:rPr>
          <w:rFonts w:ascii="Arial" w:hAnsi="Arial" w:cs="Arial"/>
          <w:spacing w:val="-5"/>
          <w:sz w:val="20"/>
          <w:szCs w:val="20"/>
        </w:rPr>
        <w:t xml:space="preserve"> </w:t>
      </w:r>
      <w:r w:rsidRPr="00CD5CD5">
        <w:rPr>
          <w:rFonts w:ascii="Arial" w:hAnsi="Arial" w:cs="Arial"/>
          <w:sz w:val="20"/>
          <w:szCs w:val="20"/>
        </w:rPr>
        <w:t>agree</w:t>
      </w:r>
      <w:r w:rsidRPr="00CD5CD5">
        <w:rPr>
          <w:rFonts w:ascii="Arial" w:hAnsi="Arial" w:cs="Arial"/>
          <w:spacing w:val="-6"/>
          <w:sz w:val="20"/>
          <w:szCs w:val="20"/>
        </w:rPr>
        <w:t xml:space="preserve"> </w:t>
      </w:r>
      <w:r w:rsidRPr="00CD5CD5">
        <w:rPr>
          <w:rFonts w:ascii="Arial" w:hAnsi="Arial" w:cs="Arial"/>
          <w:sz w:val="20"/>
          <w:szCs w:val="20"/>
        </w:rPr>
        <w:t>with</w:t>
      </w:r>
      <w:r w:rsidRPr="00CD5CD5">
        <w:rPr>
          <w:rFonts w:ascii="Arial" w:hAnsi="Arial" w:cs="Arial"/>
          <w:spacing w:val="-8"/>
          <w:sz w:val="20"/>
          <w:szCs w:val="20"/>
        </w:rPr>
        <w:t xml:space="preserve"> </w:t>
      </w:r>
      <w:r w:rsidRPr="00CD5CD5">
        <w:rPr>
          <w:rFonts w:ascii="Arial" w:hAnsi="Arial" w:cs="Arial"/>
          <w:sz w:val="20"/>
          <w:szCs w:val="20"/>
        </w:rPr>
        <w:t>the</w:t>
      </w:r>
      <w:r w:rsidRPr="00CD5CD5">
        <w:rPr>
          <w:rFonts w:ascii="Arial" w:hAnsi="Arial" w:cs="Arial"/>
          <w:spacing w:val="-9"/>
          <w:sz w:val="20"/>
          <w:szCs w:val="20"/>
        </w:rPr>
        <w:t xml:space="preserve"> </w:t>
      </w:r>
      <w:r w:rsidRPr="00CD5CD5">
        <w:rPr>
          <w:rFonts w:ascii="Arial" w:hAnsi="Arial" w:cs="Arial"/>
          <w:sz w:val="20"/>
          <w:szCs w:val="20"/>
        </w:rPr>
        <w:t>measures</w:t>
      </w:r>
      <w:r w:rsidRPr="00CD5CD5">
        <w:rPr>
          <w:rFonts w:ascii="Arial" w:hAnsi="Arial" w:cs="Arial"/>
          <w:spacing w:val="-4"/>
          <w:sz w:val="20"/>
          <w:szCs w:val="20"/>
        </w:rPr>
        <w:t xml:space="preserve"> </w:t>
      </w:r>
      <w:r w:rsidRPr="00CD5CD5">
        <w:rPr>
          <w:rFonts w:ascii="Arial" w:hAnsi="Arial" w:cs="Arial"/>
          <w:sz w:val="20"/>
          <w:szCs w:val="20"/>
        </w:rPr>
        <w:t>amending</w:t>
      </w:r>
      <w:r w:rsidRPr="00CD5CD5">
        <w:rPr>
          <w:rFonts w:ascii="Arial" w:hAnsi="Arial" w:cs="Arial"/>
          <w:spacing w:val="-9"/>
          <w:sz w:val="20"/>
          <w:szCs w:val="20"/>
        </w:rPr>
        <w:t xml:space="preserve"> </w:t>
      </w:r>
      <w:r w:rsidRPr="00CD5CD5">
        <w:rPr>
          <w:rFonts w:ascii="Arial" w:hAnsi="Arial" w:cs="Arial"/>
          <w:sz w:val="20"/>
          <w:szCs w:val="20"/>
        </w:rPr>
        <w:t>the</w:t>
      </w:r>
      <w:r w:rsidRPr="00CD5CD5">
        <w:rPr>
          <w:rFonts w:ascii="Arial" w:hAnsi="Arial" w:cs="Arial"/>
          <w:spacing w:val="-4"/>
          <w:sz w:val="20"/>
          <w:szCs w:val="20"/>
        </w:rPr>
        <w:t xml:space="preserve"> </w:t>
      </w:r>
      <w:r w:rsidRPr="00CD5CD5">
        <w:rPr>
          <w:rFonts w:ascii="Arial" w:hAnsi="Arial" w:cs="Arial"/>
          <w:sz w:val="20"/>
          <w:szCs w:val="20"/>
        </w:rPr>
        <w:t>AMP</w:t>
      </w:r>
      <w:r w:rsidRPr="00CD5CD5">
        <w:rPr>
          <w:rFonts w:ascii="Arial" w:hAnsi="Arial" w:cs="Arial"/>
          <w:spacing w:val="-6"/>
          <w:sz w:val="20"/>
          <w:szCs w:val="20"/>
        </w:rPr>
        <w:t xml:space="preserve"> </w:t>
      </w:r>
      <w:r w:rsidRPr="00CD5CD5">
        <w:rPr>
          <w:rFonts w:ascii="Arial" w:hAnsi="Arial" w:cs="Arial"/>
          <w:sz w:val="20"/>
          <w:szCs w:val="20"/>
        </w:rPr>
        <w:t>taken</w:t>
      </w:r>
      <w:r w:rsidRPr="00CD5CD5">
        <w:rPr>
          <w:rFonts w:ascii="Arial" w:hAnsi="Arial" w:cs="Arial"/>
          <w:spacing w:val="-6"/>
          <w:sz w:val="20"/>
          <w:szCs w:val="20"/>
        </w:rPr>
        <w:t xml:space="preserve"> </w:t>
      </w:r>
      <w:r w:rsidRPr="00CD5CD5">
        <w:rPr>
          <w:rFonts w:ascii="Arial" w:hAnsi="Arial" w:cs="Arial"/>
          <w:sz w:val="20"/>
          <w:szCs w:val="20"/>
        </w:rPr>
        <w:t>by</w:t>
      </w:r>
      <w:r w:rsidRPr="00CD5CD5">
        <w:rPr>
          <w:rFonts w:ascii="Arial" w:hAnsi="Arial" w:cs="Arial"/>
          <w:spacing w:val="-6"/>
          <w:sz w:val="20"/>
          <w:szCs w:val="20"/>
        </w:rPr>
        <w:t xml:space="preserve"> </w:t>
      </w:r>
      <w:r w:rsidRPr="00CD5CD5">
        <w:rPr>
          <w:rFonts w:ascii="Arial" w:hAnsi="Arial" w:cs="Arial"/>
          <w:sz w:val="20"/>
          <w:szCs w:val="20"/>
        </w:rPr>
        <w:t>the</w:t>
      </w:r>
      <w:r w:rsidRPr="00CD5CD5">
        <w:rPr>
          <w:rFonts w:ascii="Arial" w:hAnsi="Arial" w:cs="Arial"/>
          <w:spacing w:val="-7"/>
          <w:sz w:val="20"/>
          <w:szCs w:val="20"/>
        </w:rPr>
        <w:t xml:space="preserve"> </w:t>
      </w:r>
      <w:r w:rsidRPr="00CD5CD5">
        <w:rPr>
          <w:rFonts w:ascii="Arial" w:hAnsi="Arial" w:cs="Arial"/>
          <w:sz w:val="20"/>
          <w:szCs w:val="20"/>
        </w:rPr>
        <w:t>owner,</w:t>
      </w:r>
      <w:r w:rsidRPr="00CD5CD5">
        <w:rPr>
          <w:rFonts w:ascii="Arial" w:hAnsi="Arial" w:cs="Arial"/>
          <w:spacing w:val="-8"/>
          <w:sz w:val="20"/>
          <w:szCs w:val="20"/>
        </w:rPr>
        <w:t xml:space="preserve"> </w:t>
      </w:r>
      <w:r w:rsidRPr="00CD5CD5">
        <w:rPr>
          <w:rFonts w:ascii="Arial" w:hAnsi="Arial" w:cs="Arial"/>
          <w:sz w:val="20"/>
          <w:szCs w:val="20"/>
        </w:rPr>
        <w:t>CAMO</w:t>
      </w:r>
      <w:r w:rsidRPr="00CD5CD5">
        <w:rPr>
          <w:rFonts w:ascii="Arial" w:hAnsi="Arial" w:cs="Arial"/>
          <w:spacing w:val="-7"/>
          <w:sz w:val="20"/>
          <w:szCs w:val="20"/>
        </w:rPr>
        <w:t xml:space="preserve"> </w:t>
      </w:r>
      <w:r w:rsidRPr="00CD5CD5">
        <w:rPr>
          <w:rFonts w:ascii="Arial" w:hAnsi="Arial" w:cs="Arial"/>
          <w:sz w:val="20"/>
          <w:szCs w:val="20"/>
        </w:rPr>
        <w:t>or</w:t>
      </w:r>
      <w:r w:rsidRPr="00CD5CD5">
        <w:rPr>
          <w:rFonts w:ascii="Arial" w:hAnsi="Arial" w:cs="Arial"/>
          <w:spacing w:val="-7"/>
          <w:sz w:val="20"/>
          <w:szCs w:val="20"/>
        </w:rPr>
        <w:t xml:space="preserve"> </w:t>
      </w:r>
      <w:r w:rsidRPr="00CD5CD5">
        <w:rPr>
          <w:rFonts w:ascii="Arial" w:hAnsi="Arial" w:cs="Arial"/>
          <w:sz w:val="20"/>
          <w:szCs w:val="20"/>
        </w:rPr>
        <w:t>CAO.</w:t>
      </w:r>
      <w:r w:rsidRPr="00CD5CD5">
        <w:rPr>
          <w:rFonts w:ascii="Arial" w:hAnsi="Arial" w:cs="Arial"/>
          <w:spacing w:val="37"/>
          <w:sz w:val="20"/>
          <w:szCs w:val="20"/>
        </w:rPr>
        <w:t xml:space="preserve"> </w:t>
      </w:r>
      <w:r w:rsidR="004E22F1">
        <w:rPr>
          <w:rFonts w:ascii="Arial" w:hAnsi="Arial" w:cs="Arial"/>
          <w:sz w:val="20"/>
          <w:szCs w:val="20"/>
        </w:rPr>
        <w:t xml:space="preserve">The CAC RA </w:t>
      </w:r>
      <w:r w:rsidRPr="00CD5CD5">
        <w:rPr>
          <w:rFonts w:ascii="Arial" w:hAnsi="Arial" w:cs="Arial"/>
          <w:sz w:val="20"/>
          <w:szCs w:val="20"/>
        </w:rPr>
        <w:t>shall decide which amendments to the AMP are necessary, raising</w:t>
      </w:r>
      <w:r w:rsidRPr="00CD5CD5">
        <w:rPr>
          <w:rFonts w:ascii="Arial" w:hAnsi="Arial" w:cs="Arial"/>
          <w:spacing w:val="1"/>
          <w:sz w:val="20"/>
          <w:szCs w:val="20"/>
        </w:rPr>
        <w:t xml:space="preserve"> </w:t>
      </w:r>
      <w:r w:rsidRPr="00CD5CD5">
        <w:rPr>
          <w:rFonts w:ascii="Arial" w:hAnsi="Arial" w:cs="Arial"/>
          <w:sz w:val="20"/>
          <w:szCs w:val="20"/>
        </w:rPr>
        <w:t>the</w:t>
      </w:r>
      <w:r w:rsidRPr="00CD5CD5">
        <w:rPr>
          <w:rFonts w:ascii="Arial" w:hAnsi="Arial" w:cs="Arial"/>
          <w:spacing w:val="-9"/>
          <w:sz w:val="20"/>
          <w:szCs w:val="20"/>
        </w:rPr>
        <w:t xml:space="preserve"> </w:t>
      </w:r>
      <w:r w:rsidRPr="00CD5CD5">
        <w:rPr>
          <w:rFonts w:ascii="Arial" w:hAnsi="Arial" w:cs="Arial"/>
          <w:sz w:val="20"/>
          <w:szCs w:val="20"/>
        </w:rPr>
        <w:t>corresponding</w:t>
      </w:r>
      <w:r w:rsidRPr="00CD5CD5">
        <w:rPr>
          <w:rFonts w:ascii="Arial" w:hAnsi="Arial" w:cs="Arial"/>
          <w:spacing w:val="-10"/>
          <w:sz w:val="20"/>
          <w:szCs w:val="20"/>
        </w:rPr>
        <w:t xml:space="preserve"> </w:t>
      </w:r>
      <w:r w:rsidRPr="00CD5CD5">
        <w:rPr>
          <w:rFonts w:ascii="Arial" w:hAnsi="Arial" w:cs="Arial"/>
          <w:sz w:val="20"/>
          <w:szCs w:val="20"/>
        </w:rPr>
        <w:t>findings</w:t>
      </w:r>
      <w:r w:rsidRPr="00CD5CD5">
        <w:rPr>
          <w:rFonts w:ascii="Arial" w:hAnsi="Arial" w:cs="Arial"/>
          <w:spacing w:val="-8"/>
          <w:sz w:val="20"/>
          <w:szCs w:val="20"/>
        </w:rPr>
        <w:t xml:space="preserve"> </w:t>
      </w:r>
      <w:r w:rsidRPr="00CD5CD5">
        <w:rPr>
          <w:rFonts w:ascii="Arial" w:hAnsi="Arial" w:cs="Arial"/>
          <w:sz w:val="20"/>
          <w:szCs w:val="20"/>
        </w:rPr>
        <w:t>and,</w:t>
      </w:r>
      <w:r w:rsidRPr="00CD5CD5">
        <w:rPr>
          <w:rFonts w:ascii="Arial" w:hAnsi="Arial" w:cs="Arial"/>
          <w:spacing w:val="-9"/>
          <w:sz w:val="20"/>
          <w:szCs w:val="20"/>
        </w:rPr>
        <w:t xml:space="preserve"> </w:t>
      </w:r>
      <w:r w:rsidRPr="00CD5CD5">
        <w:rPr>
          <w:rFonts w:ascii="Arial" w:hAnsi="Arial" w:cs="Arial"/>
          <w:sz w:val="20"/>
          <w:szCs w:val="20"/>
        </w:rPr>
        <w:t>if</w:t>
      </w:r>
      <w:r w:rsidRPr="00CD5CD5">
        <w:rPr>
          <w:rFonts w:ascii="Arial" w:hAnsi="Arial" w:cs="Arial"/>
          <w:spacing w:val="-9"/>
          <w:sz w:val="20"/>
          <w:szCs w:val="20"/>
        </w:rPr>
        <w:t xml:space="preserve"> </w:t>
      </w:r>
      <w:r w:rsidRPr="00CD5CD5">
        <w:rPr>
          <w:rFonts w:ascii="Arial" w:hAnsi="Arial" w:cs="Arial"/>
          <w:sz w:val="20"/>
          <w:szCs w:val="20"/>
        </w:rPr>
        <w:t>necessary,</w:t>
      </w:r>
      <w:r w:rsidRPr="00CD5CD5">
        <w:rPr>
          <w:rFonts w:ascii="Arial" w:hAnsi="Arial" w:cs="Arial"/>
          <w:spacing w:val="-10"/>
          <w:sz w:val="20"/>
          <w:szCs w:val="20"/>
        </w:rPr>
        <w:t xml:space="preserve"> </w:t>
      </w:r>
      <w:r w:rsidRPr="00CD5CD5">
        <w:rPr>
          <w:rFonts w:ascii="Arial" w:hAnsi="Arial" w:cs="Arial"/>
          <w:sz w:val="20"/>
          <w:szCs w:val="20"/>
        </w:rPr>
        <w:t>reacting</w:t>
      </w:r>
      <w:r w:rsidRPr="00CD5CD5">
        <w:rPr>
          <w:rFonts w:ascii="Arial" w:hAnsi="Arial" w:cs="Arial"/>
          <w:spacing w:val="-10"/>
          <w:sz w:val="20"/>
          <w:szCs w:val="20"/>
        </w:rPr>
        <w:t xml:space="preserve"> </w:t>
      </w:r>
      <w:r w:rsidRPr="00CD5CD5">
        <w:rPr>
          <w:rFonts w:ascii="Arial" w:hAnsi="Arial" w:cs="Arial"/>
          <w:sz w:val="20"/>
          <w:szCs w:val="20"/>
        </w:rPr>
        <w:t>in</w:t>
      </w:r>
      <w:r w:rsidRPr="00CD5CD5">
        <w:rPr>
          <w:rFonts w:ascii="Arial" w:hAnsi="Arial" w:cs="Arial"/>
          <w:spacing w:val="-9"/>
          <w:sz w:val="20"/>
          <w:szCs w:val="20"/>
        </w:rPr>
        <w:t xml:space="preserve"> </w:t>
      </w:r>
      <w:r w:rsidRPr="00CD5CD5">
        <w:rPr>
          <w:rFonts w:ascii="Arial" w:hAnsi="Arial" w:cs="Arial"/>
          <w:sz w:val="20"/>
          <w:szCs w:val="20"/>
        </w:rPr>
        <w:t>accordance</w:t>
      </w:r>
      <w:r w:rsidRPr="00CD5CD5">
        <w:rPr>
          <w:rFonts w:ascii="Arial" w:hAnsi="Arial" w:cs="Arial"/>
          <w:spacing w:val="-11"/>
          <w:sz w:val="20"/>
          <w:szCs w:val="20"/>
        </w:rPr>
        <w:t xml:space="preserve"> </w:t>
      </w:r>
      <w:r w:rsidRPr="00CD5CD5">
        <w:rPr>
          <w:rFonts w:ascii="Arial" w:hAnsi="Arial" w:cs="Arial"/>
          <w:sz w:val="20"/>
          <w:szCs w:val="20"/>
        </w:rPr>
        <w:t>with</w:t>
      </w:r>
      <w:r w:rsidRPr="00CD5CD5">
        <w:rPr>
          <w:rFonts w:ascii="Arial" w:hAnsi="Arial" w:cs="Arial"/>
          <w:spacing w:val="-9"/>
          <w:sz w:val="20"/>
          <w:szCs w:val="20"/>
        </w:rPr>
        <w:t xml:space="preserve"> </w:t>
      </w:r>
      <w:r w:rsidRPr="00CD5CD5">
        <w:rPr>
          <w:rFonts w:ascii="Arial" w:hAnsi="Arial" w:cs="Arial"/>
          <w:sz w:val="20"/>
          <w:szCs w:val="20"/>
        </w:rPr>
        <w:t>point</w:t>
      </w:r>
      <w:r w:rsidRPr="00CD5CD5">
        <w:rPr>
          <w:rFonts w:ascii="Arial" w:hAnsi="Arial" w:cs="Arial"/>
          <w:spacing w:val="-10"/>
          <w:sz w:val="20"/>
          <w:szCs w:val="20"/>
        </w:rPr>
        <w:t xml:space="preserve"> </w:t>
      </w:r>
      <w:r w:rsidRPr="00CD5CD5">
        <w:rPr>
          <w:rFonts w:ascii="Arial" w:hAnsi="Arial" w:cs="Arial"/>
          <w:sz w:val="20"/>
          <w:szCs w:val="20"/>
        </w:rPr>
        <w:t>ML.B.304.</w:t>
      </w:r>
    </w:p>
    <w:p w14:paraId="14B2D072" w14:textId="77777777" w:rsidR="00CD5CD5" w:rsidRPr="00CD5CD5" w:rsidRDefault="00CD5CD5" w:rsidP="00CD5CD5">
      <w:pPr>
        <w:pStyle w:val="ListParagraph"/>
        <w:numPr>
          <w:ilvl w:val="0"/>
          <w:numId w:val="290"/>
        </w:numPr>
        <w:tabs>
          <w:tab w:val="left" w:pos="706"/>
          <w:tab w:val="left" w:pos="707"/>
        </w:tabs>
        <w:rPr>
          <w:rFonts w:ascii="Arial" w:hAnsi="Arial" w:cs="Arial"/>
          <w:sz w:val="20"/>
          <w:szCs w:val="20"/>
        </w:rPr>
      </w:pPr>
      <w:r w:rsidRPr="00CD5CD5">
        <w:rPr>
          <w:rFonts w:ascii="Arial" w:hAnsi="Arial" w:cs="Arial"/>
          <w:sz w:val="20"/>
          <w:szCs w:val="20"/>
        </w:rPr>
        <w:t>A MIP:</w:t>
      </w:r>
    </w:p>
    <w:p w14:paraId="2AF355E5" w14:textId="77777777" w:rsidR="00CD5CD5" w:rsidRPr="00CD5CD5" w:rsidRDefault="00CD5CD5" w:rsidP="00CD5CD5">
      <w:pPr>
        <w:pStyle w:val="ListParagraph"/>
        <w:numPr>
          <w:ilvl w:val="1"/>
          <w:numId w:val="290"/>
        </w:numPr>
        <w:tabs>
          <w:tab w:val="left" w:pos="1274"/>
        </w:tabs>
        <w:ind w:hanging="568"/>
        <w:jc w:val="both"/>
        <w:rPr>
          <w:rFonts w:ascii="Arial" w:hAnsi="Arial" w:cs="Arial"/>
          <w:sz w:val="20"/>
          <w:szCs w:val="20"/>
        </w:rPr>
      </w:pPr>
      <w:r w:rsidRPr="00CD5CD5">
        <w:rPr>
          <w:rFonts w:ascii="Arial" w:hAnsi="Arial" w:cs="Arial"/>
          <w:sz w:val="20"/>
          <w:szCs w:val="20"/>
        </w:rPr>
        <w:t>shall</w:t>
      </w:r>
      <w:r w:rsidRPr="00CD5CD5">
        <w:rPr>
          <w:rFonts w:ascii="Arial" w:hAnsi="Arial" w:cs="Arial"/>
          <w:spacing w:val="-3"/>
          <w:sz w:val="20"/>
          <w:szCs w:val="20"/>
        </w:rPr>
        <w:t xml:space="preserve"> </w:t>
      </w:r>
      <w:r w:rsidRPr="00CD5CD5">
        <w:rPr>
          <w:rFonts w:ascii="Arial" w:hAnsi="Arial" w:cs="Arial"/>
          <w:sz w:val="20"/>
          <w:szCs w:val="20"/>
        </w:rPr>
        <w:t>contain</w:t>
      </w:r>
      <w:r w:rsidRPr="00CD5CD5">
        <w:rPr>
          <w:rFonts w:ascii="Arial" w:hAnsi="Arial" w:cs="Arial"/>
          <w:spacing w:val="-4"/>
          <w:sz w:val="20"/>
          <w:szCs w:val="20"/>
        </w:rPr>
        <w:t xml:space="preserve"> </w:t>
      </w:r>
      <w:r w:rsidRPr="00CD5CD5">
        <w:rPr>
          <w:rFonts w:ascii="Arial" w:hAnsi="Arial" w:cs="Arial"/>
          <w:sz w:val="20"/>
          <w:szCs w:val="20"/>
        </w:rPr>
        <w:t>the</w:t>
      </w:r>
      <w:r w:rsidRPr="00CD5CD5">
        <w:rPr>
          <w:rFonts w:ascii="Arial" w:hAnsi="Arial" w:cs="Arial"/>
          <w:spacing w:val="-1"/>
          <w:sz w:val="20"/>
          <w:szCs w:val="20"/>
        </w:rPr>
        <w:t xml:space="preserve"> </w:t>
      </w:r>
      <w:r w:rsidRPr="00CD5CD5">
        <w:rPr>
          <w:rFonts w:ascii="Arial" w:hAnsi="Arial" w:cs="Arial"/>
          <w:sz w:val="20"/>
          <w:szCs w:val="20"/>
        </w:rPr>
        <w:t>following</w:t>
      </w:r>
      <w:r w:rsidRPr="00CD5CD5">
        <w:rPr>
          <w:rFonts w:ascii="Arial" w:hAnsi="Arial" w:cs="Arial"/>
          <w:spacing w:val="-4"/>
          <w:sz w:val="20"/>
          <w:szCs w:val="20"/>
        </w:rPr>
        <w:t xml:space="preserve"> </w:t>
      </w:r>
      <w:r w:rsidRPr="00CD5CD5">
        <w:rPr>
          <w:rFonts w:ascii="Arial" w:hAnsi="Arial" w:cs="Arial"/>
          <w:sz w:val="20"/>
          <w:szCs w:val="20"/>
        </w:rPr>
        <w:t>inspection</w:t>
      </w:r>
      <w:r w:rsidRPr="00CD5CD5">
        <w:rPr>
          <w:rFonts w:ascii="Arial" w:hAnsi="Arial" w:cs="Arial"/>
          <w:spacing w:val="-2"/>
          <w:sz w:val="20"/>
          <w:szCs w:val="20"/>
        </w:rPr>
        <w:t xml:space="preserve"> </w:t>
      </w:r>
      <w:r w:rsidRPr="00CD5CD5">
        <w:rPr>
          <w:rFonts w:ascii="Arial" w:hAnsi="Arial" w:cs="Arial"/>
          <w:sz w:val="20"/>
          <w:szCs w:val="20"/>
        </w:rPr>
        <w:t>intervals:</w:t>
      </w:r>
    </w:p>
    <w:p w14:paraId="5432F9AC" w14:textId="77777777" w:rsidR="00CD5CD5" w:rsidRPr="00CD5CD5" w:rsidRDefault="00CD5CD5" w:rsidP="00CD5CD5">
      <w:pPr>
        <w:pStyle w:val="ListParagraph"/>
        <w:numPr>
          <w:ilvl w:val="2"/>
          <w:numId w:val="290"/>
        </w:numPr>
        <w:tabs>
          <w:tab w:val="left" w:pos="1842"/>
        </w:tabs>
        <w:ind w:right="194"/>
        <w:jc w:val="both"/>
        <w:rPr>
          <w:rFonts w:ascii="Arial" w:hAnsi="Arial" w:cs="Arial"/>
          <w:sz w:val="20"/>
          <w:szCs w:val="20"/>
        </w:rPr>
      </w:pPr>
      <w:r w:rsidRPr="00CD5CD5">
        <w:rPr>
          <w:rFonts w:ascii="Arial" w:hAnsi="Arial" w:cs="Arial"/>
          <w:sz w:val="20"/>
          <w:szCs w:val="20"/>
        </w:rPr>
        <w:t>for aeroplanes, touring motor gliders (‘TMGs’) and balloons, every annual or 100-</w:t>
      </w:r>
      <w:r w:rsidRPr="00CD5CD5">
        <w:rPr>
          <w:rFonts w:ascii="Arial" w:hAnsi="Arial" w:cs="Arial"/>
          <w:spacing w:val="1"/>
          <w:sz w:val="20"/>
          <w:szCs w:val="20"/>
        </w:rPr>
        <w:t xml:space="preserve"> </w:t>
      </w:r>
      <w:r w:rsidRPr="00CD5CD5">
        <w:rPr>
          <w:rFonts w:ascii="Arial" w:hAnsi="Arial" w:cs="Arial"/>
          <w:sz w:val="20"/>
          <w:szCs w:val="20"/>
        </w:rPr>
        <w:t>h interval, whichever comes first, to which a tolerance of 1 month or 10 h may be</w:t>
      </w:r>
      <w:r w:rsidRPr="00CD5CD5">
        <w:rPr>
          <w:rFonts w:ascii="Arial" w:hAnsi="Arial" w:cs="Arial"/>
          <w:spacing w:val="1"/>
          <w:sz w:val="20"/>
          <w:szCs w:val="20"/>
        </w:rPr>
        <w:t xml:space="preserve"> </w:t>
      </w:r>
      <w:r w:rsidRPr="00CD5CD5">
        <w:rPr>
          <w:rFonts w:ascii="Arial" w:hAnsi="Arial" w:cs="Arial"/>
          <w:sz w:val="20"/>
          <w:szCs w:val="20"/>
        </w:rPr>
        <w:t>applied.</w:t>
      </w:r>
      <w:r w:rsidRPr="00CD5CD5">
        <w:rPr>
          <w:rFonts w:ascii="Arial" w:hAnsi="Arial" w:cs="Arial"/>
          <w:spacing w:val="-5"/>
          <w:sz w:val="20"/>
          <w:szCs w:val="20"/>
        </w:rPr>
        <w:t xml:space="preserve"> </w:t>
      </w:r>
      <w:r w:rsidRPr="00CD5CD5">
        <w:rPr>
          <w:rFonts w:ascii="Arial" w:hAnsi="Arial" w:cs="Arial"/>
          <w:sz w:val="20"/>
          <w:szCs w:val="20"/>
        </w:rPr>
        <w:t>The</w:t>
      </w:r>
      <w:r w:rsidRPr="00CD5CD5">
        <w:rPr>
          <w:rFonts w:ascii="Arial" w:hAnsi="Arial" w:cs="Arial"/>
          <w:spacing w:val="-3"/>
          <w:sz w:val="20"/>
          <w:szCs w:val="20"/>
        </w:rPr>
        <w:t xml:space="preserve"> </w:t>
      </w:r>
      <w:r w:rsidRPr="00CD5CD5">
        <w:rPr>
          <w:rFonts w:ascii="Arial" w:hAnsi="Arial" w:cs="Arial"/>
          <w:sz w:val="20"/>
          <w:szCs w:val="20"/>
        </w:rPr>
        <w:t>next</w:t>
      </w:r>
      <w:r w:rsidRPr="00CD5CD5">
        <w:rPr>
          <w:rFonts w:ascii="Arial" w:hAnsi="Arial" w:cs="Arial"/>
          <w:spacing w:val="-5"/>
          <w:sz w:val="20"/>
          <w:szCs w:val="20"/>
        </w:rPr>
        <w:t xml:space="preserve"> </w:t>
      </w:r>
      <w:r w:rsidRPr="00CD5CD5">
        <w:rPr>
          <w:rFonts w:ascii="Arial" w:hAnsi="Arial" w:cs="Arial"/>
          <w:sz w:val="20"/>
          <w:szCs w:val="20"/>
        </w:rPr>
        <w:t>interval</w:t>
      </w:r>
      <w:r w:rsidRPr="00CD5CD5">
        <w:rPr>
          <w:rFonts w:ascii="Arial" w:hAnsi="Arial" w:cs="Arial"/>
          <w:spacing w:val="-4"/>
          <w:sz w:val="20"/>
          <w:szCs w:val="20"/>
        </w:rPr>
        <w:t xml:space="preserve"> </w:t>
      </w:r>
      <w:r w:rsidRPr="00CD5CD5">
        <w:rPr>
          <w:rFonts w:ascii="Arial" w:hAnsi="Arial" w:cs="Arial"/>
          <w:sz w:val="20"/>
          <w:szCs w:val="20"/>
        </w:rPr>
        <w:t>shall</w:t>
      </w:r>
      <w:r w:rsidRPr="00CD5CD5">
        <w:rPr>
          <w:rFonts w:ascii="Arial" w:hAnsi="Arial" w:cs="Arial"/>
          <w:spacing w:val="-4"/>
          <w:sz w:val="20"/>
          <w:szCs w:val="20"/>
        </w:rPr>
        <w:t xml:space="preserve"> </w:t>
      </w:r>
      <w:r w:rsidRPr="00CD5CD5">
        <w:rPr>
          <w:rFonts w:ascii="Arial" w:hAnsi="Arial" w:cs="Arial"/>
          <w:sz w:val="20"/>
          <w:szCs w:val="20"/>
        </w:rPr>
        <w:t>be</w:t>
      </w:r>
      <w:r w:rsidRPr="00CD5CD5">
        <w:rPr>
          <w:rFonts w:ascii="Arial" w:hAnsi="Arial" w:cs="Arial"/>
          <w:spacing w:val="-4"/>
          <w:sz w:val="20"/>
          <w:szCs w:val="20"/>
        </w:rPr>
        <w:t xml:space="preserve"> </w:t>
      </w:r>
      <w:r w:rsidRPr="00CD5CD5">
        <w:rPr>
          <w:rFonts w:ascii="Arial" w:hAnsi="Arial" w:cs="Arial"/>
          <w:sz w:val="20"/>
          <w:szCs w:val="20"/>
        </w:rPr>
        <w:t>calculated</w:t>
      </w:r>
      <w:r w:rsidRPr="00CD5CD5">
        <w:rPr>
          <w:rFonts w:ascii="Arial" w:hAnsi="Arial" w:cs="Arial"/>
          <w:spacing w:val="-3"/>
          <w:sz w:val="20"/>
          <w:szCs w:val="20"/>
        </w:rPr>
        <w:t xml:space="preserve"> </w:t>
      </w:r>
      <w:r w:rsidRPr="00CD5CD5">
        <w:rPr>
          <w:rFonts w:ascii="Arial" w:hAnsi="Arial" w:cs="Arial"/>
          <w:sz w:val="20"/>
          <w:szCs w:val="20"/>
        </w:rPr>
        <w:t>as</w:t>
      </w:r>
      <w:r w:rsidRPr="00CD5CD5">
        <w:rPr>
          <w:rFonts w:ascii="Arial" w:hAnsi="Arial" w:cs="Arial"/>
          <w:spacing w:val="-3"/>
          <w:sz w:val="20"/>
          <w:szCs w:val="20"/>
        </w:rPr>
        <w:t xml:space="preserve"> </w:t>
      </w:r>
      <w:r w:rsidRPr="00CD5CD5">
        <w:rPr>
          <w:rFonts w:ascii="Arial" w:hAnsi="Arial" w:cs="Arial"/>
          <w:sz w:val="20"/>
          <w:szCs w:val="20"/>
        </w:rPr>
        <w:t>from</w:t>
      </w:r>
      <w:r w:rsidRPr="00CD5CD5">
        <w:rPr>
          <w:rFonts w:ascii="Arial" w:hAnsi="Arial" w:cs="Arial"/>
          <w:spacing w:val="-5"/>
          <w:sz w:val="20"/>
          <w:szCs w:val="20"/>
        </w:rPr>
        <w:t xml:space="preserve"> </w:t>
      </w:r>
      <w:r w:rsidRPr="00CD5CD5">
        <w:rPr>
          <w:rFonts w:ascii="Arial" w:hAnsi="Arial" w:cs="Arial"/>
          <w:sz w:val="20"/>
          <w:szCs w:val="20"/>
        </w:rPr>
        <w:t>the</w:t>
      </w:r>
      <w:r w:rsidRPr="00CD5CD5">
        <w:rPr>
          <w:rFonts w:ascii="Arial" w:hAnsi="Arial" w:cs="Arial"/>
          <w:spacing w:val="-4"/>
          <w:sz w:val="20"/>
          <w:szCs w:val="20"/>
        </w:rPr>
        <w:t xml:space="preserve"> </w:t>
      </w:r>
      <w:r w:rsidRPr="00CD5CD5">
        <w:rPr>
          <w:rFonts w:ascii="Arial" w:hAnsi="Arial" w:cs="Arial"/>
          <w:sz w:val="20"/>
          <w:szCs w:val="20"/>
        </w:rPr>
        <w:t>time</w:t>
      </w:r>
      <w:r w:rsidRPr="00CD5CD5">
        <w:rPr>
          <w:rFonts w:ascii="Arial" w:hAnsi="Arial" w:cs="Arial"/>
          <w:spacing w:val="-3"/>
          <w:sz w:val="20"/>
          <w:szCs w:val="20"/>
        </w:rPr>
        <w:t xml:space="preserve"> </w:t>
      </w:r>
      <w:r w:rsidRPr="00CD5CD5">
        <w:rPr>
          <w:rFonts w:ascii="Arial" w:hAnsi="Arial" w:cs="Arial"/>
          <w:sz w:val="20"/>
          <w:szCs w:val="20"/>
        </w:rPr>
        <w:t>the</w:t>
      </w:r>
      <w:r w:rsidRPr="00CD5CD5">
        <w:rPr>
          <w:rFonts w:ascii="Arial" w:hAnsi="Arial" w:cs="Arial"/>
          <w:spacing w:val="-6"/>
          <w:sz w:val="20"/>
          <w:szCs w:val="20"/>
        </w:rPr>
        <w:t xml:space="preserve"> </w:t>
      </w:r>
      <w:r w:rsidRPr="00CD5CD5">
        <w:rPr>
          <w:rFonts w:ascii="Arial" w:hAnsi="Arial" w:cs="Arial"/>
          <w:sz w:val="20"/>
          <w:szCs w:val="20"/>
        </w:rPr>
        <w:t>inspection</w:t>
      </w:r>
      <w:r w:rsidRPr="00CD5CD5">
        <w:rPr>
          <w:rFonts w:ascii="Arial" w:hAnsi="Arial" w:cs="Arial"/>
          <w:spacing w:val="-4"/>
          <w:sz w:val="20"/>
          <w:szCs w:val="20"/>
        </w:rPr>
        <w:t xml:space="preserve"> </w:t>
      </w:r>
      <w:r w:rsidRPr="00CD5CD5">
        <w:rPr>
          <w:rFonts w:ascii="Arial" w:hAnsi="Arial" w:cs="Arial"/>
          <w:sz w:val="20"/>
          <w:szCs w:val="20"/>
        </w:rPr>
        <w:t>takes</w:t>
      </w:r>
      <w:r w:rsidRPr="00CD5CD5">
        <w:rPr>
          <w:rFonts w:ascii="Arial" w:hAnsi="Arial" w:cs="Arial"/>
          <w:spacing w:val="-47"/>
          <w:sz w:val="20"/>
          <w:szCs w:val="20"/>
        </w:rPr>
        <w:t xml:space="preserve"> </w:t>
      </w:r>
      <w:r w:rsidRPr="00CD5CD5">
        <w:rPr>
          <w:rFonts w:ascii="Arial" w:hAnsi="Arial" w:cs="Arial"/>
          <w:sz w:val="20"/>
          <w:szCs w:val="20"/>
        </w:rPr>
        <w:t>place;</w:t>
      </w:r>
    </w:p>
    <w:p w14:paraId="42A12043" w14:textId="77777777" w:rsidR="00CD5CD5" w:rsidRPr="00CD5CD5" w:rsidRDefault="00CD5CD5" w:rsidP="00CD5CD5">
      <w:pPr>
        <w:pStyle w:val="ListParagraph"/>
        <w:numPr>
          <w:ilvl w:val="2"/>
          <w:numId w:val="290"/>
        </w:numPr>
        <w:tabs>
          <w:tab w:val="left" w:pos="1842"/>
        </w:tabs>
        <w:spacing w:before="121"/>
        <w:ind w:right="196"/>
        <w:jc w:val="both"/>
        <w:rPr>
          <w:rFonts w:ascii="Arial" w:hAnsi="Arial" w:cs="Arial"/>
          <w:sz w:val="20"/>
          <w:szCs w:val="20"/>
        </w:rPr>
      </w:pPr>
      <w:r w:rsidRPr="00CD5CD5">
        <w:rPr>
          <w:rFonts w:ascii="Arial" w:hAnsi="Arial" w:cs="Arial"/>
          <w:sz w:val="20"/>
          <w:szCs w:val="20"/>
        </w:rPr>
        <w:t>for sailplanes and powered sailplanes other than TMG, every annual interval to</w:t>
      </w:r>
      <w:r w:rsidRPr="00CD5CD5">
        <w:rPr>
          <w:rFonts w:ascii="Arial" w:hAnsi="Arial" w:cs="Arial"/>
          <w:spacing w:val="1"/>
          <w:sz w:val="20"/>
          <w:szCs w:val="20"/>
        </w:rPr>
        <w:t xml:space="preserve"> </w:t>
      </w:r>
      <w:r w:rsidRPr="00CD5CD5">
        <w:rPr>
          <w:rFonts w:ascii="Arial" w:hAnsi="Arial" w:cs="Arial"/>
          <w:sz w:val="20"/>
          <w:szCs w:val="20"/>
        </w:rPr>
        <w:t>which</w:t>
      </w:r>
      <w:r w:rsidRPr="00CD5CD5">
        <w:rPr>
          <w:rFonts w:ascii="Arial" w:hAnsi="Arial" w:cs="Arial"/>
          <w:spacing w:val="-4"/>
          <w:sz w:val="20"/>
          <w:szCs w:val="20"/>
        </w:rPr>
        <w:t xml:space="preserve"> </w:t>
      </w:r>
      <w:r w:rsidRPr="00CD5CD5">
        <w:rPr>
          <w:rFonts w:ascii="Arial" w:hAnsi="Arial" w:cs="Arial"/>
          <w:sz w:val="20"/>
          <w:szCs w:val="20"/>
        </w:rPr>
        <w:t>a</w:t>
      </w:r>
      <w:r w:rsidRPr="00CD5CD5">
        <w:rPr>
          <w:rFonts w:ascii="Arial" w:hAnsi="Arial" w:cs="Arial"/>
          <w:spacing w:val="-3"/>
          <w:sz w:val="20"/>
          <w:szCs w:val="20"/>
        </w:rPr>
        <w:t xml:space="preserve"> </w:t>
      </w:r>
      <w:r w:rsidRPr="00CD5CD5">
        <w:rPr>
          <w:rFonts w:ascii="Arial" w:hAnsi="Arial" w:cs="Arial"/>
          <w:sz w:val="20"/>
          <w:szCs w:val="20"/>
        </w:rPr>
        <w:t>tolerance</w:t>
      </w:r>
      <w:r w:rsidRPr="00CD5CD5">
        <w:rPr>
          <w:rFonts w:ascii="Arial" w:hAnsi="Arial" w:cs="Arial"/>
          <w:spacing w:val="-3"/>
          <w:sz w:val="20"/>
          <w:szCs w:val="20"/>
        </w:rPr>
        <w:t xml:space="preserve"> </w:t>
      </w:r>
      <w:r w:rsidRPr="00CD5CD5">
        <w:rPr>
          <w:rFonts w:ascii="Arial" w:hAnsi="Arial" w:cs="Arial"/>
          <w:sz w:val="20"/>
          <w:szCs w:val="20"/>
        </w:rPr>
        <w:t>of</w:t>
      </w:r>
      <w:r w:rsidRPr="00CD5CD5">
        <w:rPr>
          <w:rFonts w:ascii="Arial" w:hAnsi="Arial" w:cs="Arial"/>
          <w:spacing w:val="-5"/>
          <w:sz w:val="20"/>
          <w:szCs w:val="20"/>
        </w:rPr>
        <w:t xml:space="preserve"> </w:t>
      </w:r>
      <w:r w:rsidRPr="00CD5CD5">
        <w:rPr>
          <w:rFonts w:ascii="Arial" w:hAnsi="Arial" w:cs="Arial"/>
          <w:sz w:val="20"/>
          <w:szCs w:val="20"/>
        </w:rPr>
        <w:t>1</w:t>
      </w:r>
      <w:r w:rsidRPr="00CD5CD5">
        <w:rPr>
          <w:rFonts w:ascii="Arial" w:hAnsi="Arial" w:cs="Arial"/>
          <w:spacing w:val="-2"/>
          <w:sz w:val="20"/>
          <w:szCs w:val="20"/>
        </w:rPr>
        <w:t xml:space="preserve"> </w:t>
      </w:r>
      <w:r w:rsidRPr="00CD5CD5">
        <w:rPr>
          <w:rFonts w:ascii="Arial" w:hAnsi="Arial" w:cs="Arial"/>
          <w:sz w:val="20"/>
          <w:szCs w:val="20"/>
        </w:rPr>
        <w:t>month</w:t>
      </w:r>
      <w:r w:rsidRPr="00CD5CD5">
        <w:rPr>
          <w:rFonts w:ascii="Arial" w:hAnsi="Arial" w:cs="Arial"/>
          <w:spacing w:val="-4"/>
          <w:sz w:val="20"/>
          <w:szCs w:val="20"/>
        </w:rPr>
        <w:t xml:space="preserve"> </w:t>
      </w:r>
      <w:r w:rsidRPr="00CD5CD5">
        <w:rPr>
          <w:rFonts w:ascii="Arial" w:hAnsi="Arial" w:cs="Arial"/>
          <w:sz w:val="20"/>
          <w:szCs w:val="20"/>
        </w:rPr>
        <w:t>may</w:t>
      </w:r>
      <w:r w:rsidRPr="00CD5CD5">
        <w:rPr>
          <w:rFonts w:ascii="Arial" w:hAnsi="Arial" w:cs="Arial"/>
          <w:spacing w:val="-3"/>
          <w:sz w:val="20"/>
          <w:szCs w:val="20"/>
        </w:rPr>
        <w:t xml:space="preserve"> </w:t>
      </w:r>
      <w:r w:rsidRPr="00CD5CD5">
        <w:rPr>
          <w:rFonts w:ascii="Arial" w:hAnsi="Arial" w:cs="Arial"/>
          <w:sz w:val="20"/>
          <w:szCs w:val="20"/>
        </w:rPr>
        <w:t>be</w:t>
      </w:r>
      <w:r w:rsidRPr="00CD5CD5">
        <w:rPr>
          <w:rFonts w:ascii="Arial" w:hAnsi="Arial" w:cs="Arial"/>
          <w:spacing w:val="-2"/>
          <w:sz w:val="20"/>
          <w:szCs w:val="20"/>
        </w:rPr>
        <w:t xml:space="preserve"> </w:t>
      </w:r>
      <w:r w:rsidRPr="00CD5CD5">
        <w:rPr>
          <w:rFonts w:ascii="Arial" w:hAnsi="Arial" w:cs="Arial"/>
          <w:sz w:val="20"/>
          <w:szCs w:val="20"/>
        </w:rPr>
        <w:t>applied.</w:t>
      </w:r>
      <w:r w:rsidRPr="00CD5CD5">
        <w:rPr>
          <w:rFonts w:ascii="Arial" w:hAnsi="Arial" w:cs="Arial"/>
          <w:spacing w:val="-4"/>
          <w:sz w:val="20"/>
          <w:szCs w:val="20"/>
        </w:rPr>
        <w:t xml:space="preserve"> </w:t>
      </w:r>
      <w:r w:rsidRPr="00CD5CD5">
        <w:rPr>
          <w:rFonts w:ascii="Arial" w:hAnsi="Arial" w:cs="Arial"/>
          <w:sz w:val="20"/>
          <w:szCs w:val="20"/>
        </w:rPr>
        <w:t>The</w:t>
      </w:r>
      <w:r w:rsidRPr="00CD5CD5">
        <w:rPr>
          <w:rFonts w:ascii="Arial" w:hAnsi="Arial" w:cs="Arial"/>
          <w:spacing w:val="-6"/>
          <w:sz w:val="20"/>
          <w:szCs w:val="20"/>
        </w:rPr>
        <w:t xml:space="preserve"> </w:t>
      </w:r>
      <w:r w:rsidRPr="00CD5CD5">
        <w:rPr>
          <w:rFonts w:ascii="Arial" w:hAnsi="Arial" w:cs="Arial"/>
          <w:sz w:val="20"/>
          <w:szCs w:val="20"/>
        </w:rPr>
        <w:t>next</w:t>
      </w:r>
      <w:r w:rsidRPr="00CD5CD5">
        <w:rPr>
          <w:rFonts w:ascii="Arial" w:hAnsi="Arial" w:cs="Arial"/>
          <w:spacing w:val="-3"/>
          <w:sz w:val="20"/>
          <w:szCs w:val="20"/>
        </w:rPr>
        <w:t xml:space="preserve"> </w:t>
      </w:r>
      <w:r w:rsidRPr="00CD5CD5">
        <w:rPr>
          <w:rFonts w:ascii="Arial" w:hAnsi="Arial" w:cs="Arial"/>
          <w:sz w:val="20"/>
          <w:szCs w:val="20"/>
        </w:rPr>
        <w:t>interval</w:t>
      </w:r>
      <w:r w:rsidRPr="00CD5CD5">
        <w:rPr>
          <w:rFonts w:ascii="Arial" w:hAnsi="Arial" w:cs="Arial"/>
          <w:spacing w:val="-3"/>
          <w:sz w:val="20"/>
          <w:szCs w:val="20"/>
        </w:rPr>
        <w:t xml:space="preserve"> </w:t>
      </w:r>
      <w:r w:rsidRPr="00CD5CD5">
        <w:rPr>
          <w:rFonts w:ascii="Arial" w:hAnsi="Arial" w:cs="Arial"/>
          <w:sz w:val="20"/>
          <w:szCs w:val="20"/>
        </w:rPr>
        <w:t>shall</w:t>
      </w:r>
      <w:r w:rsidRPr="00CD5CD5">
        <w:rPr>
          <w:rFonts w:ascii="Arial" w:hAnsi="Arial" w:cs="Arial"/>
          <w:spacing w:val="-4"/>
          <w:sz w:val="20"/>
          <w:szCs w:val="20"/>
        </w:rPr>
        <w:t xml:space="preserve"> </w:t>
      </w:r>
      <w:r w:rsidRPr="00CD5CD5">
        <w:rPr>
          <w:rFonts w:ascii="Arial" w:hAnsi="Arial" w:cs="Arial"/>
          <w:sz w:val="20"/>
          <w:szCs w:val="20"/>
        </w:rPr>
        <w:t>be</w:t>
      </w:r>
      <w:r w:rsidRPr="00CD5CD5">
        <w:rPr>
          <w:rFonts w:ascii="Arial" w:hAnsi="Arial" w:cs="Arial"/>
          <w:spacing w:val="-3"/>
          <w:sz w:val="20"/>
          <w:szCs w:val="20"/>
        </w:rPr>
        <w:t xml:space="preserve"> </w:t>
      </w:r>
      <w:r w:rsidRPr="00CD5CD5">
        <w:rPr>
          <w:rFonts w:ascii="Arial" w:hAnsi="Arial" w:cs="Arial"/>
          <w:sz w:val="20"/>
          <w:szCs w:val="20"/>
        </w:rPr>
        <w:t>calculated</w:t>
      </w:r>
      <w:r w:rsidRPr="00CD5CD5">
        <w:rPr>
          <w:rFonts w:ascii="Arial" w:hAnsi="Arial" w:cs="Arial"/>
          <w:spacing w:val="-47"/>
          <w:sz w:val="20"/>
          <w:szCs w:val="20"/>
        </w:rPr>
        <w:t xml:space="preserve"> </w:t>
      </w:r>
      <w:r w:rsidRPr="00CD5CD5">
        <w:rPr>
          <w:rFonts w:ascii="Arial" w:hAnsi="Arial" w:cs="Arial"/>
          <w:sz w:val="20"/>
          <w:szCs w:val="20"/>
        </w:rPr>
        <w:t>as</w:t>
      </w:r>
      <w:r w:rsidRPr="00CD5CD5">
        <w:rPr>
          <w:rFonts w:ascii="Arial" w:hAnsi="Arial" w:cs="Arial"/>
          <w:spacing w:val="-1"/>
          <w:sz w:val="20"/>
          <w:szCs w:val="20"/>
        </w:rPr>
        <w:t xml:space="preserve"> </w:t>
      </w:r>
      <w:r w:rsidRPr="00CD5CD5">
        <w:rPr>
          <w:rFonts w:ascii="Arial" w:hAnsi="Arial" w:cs="Arial"/>
          <w:sz w:val="20"/>
          <w:szCs w:val="20"/>
        </w:rPr>
        <w:t>from</w:t>
      </w:r>
      <w:r w:rsidRPr="00CD5CD5">
        <w:rPr>
          <w:rFonts w:ascii="Arial" w:hAnsi="Arial" w:cs="Arial"/>
          <w:spacing w:val="-1"/>
          <w:sz w:val="20"/>
          <w:szCs w:val="20"/>
        </w:rPr>
        <w:t xml:space="preserve"> </w:t>
      </w:r>
      <w:r w:rsidRPr="00CD5CD5">
        <w:rPr>
          <w:rFonts w:ascii="Arial" w:hAnsi="Arial" w:cs="Arial"/>
          <w:sz w:val="20"/>
          <w:szCs w:val="20"/>
        </w:rPr>
        <w:t>the time the</w:t>
      </w:r>
      <w:r w:rsidRPr="00CD5CD5">
        <w:rPr>
          <w:rFonts w:ascii="Arial" w:hAnsi="Arial" w:cs="Arial"/>
          <w:spacing w:val="-3"/>
          <w:sz w:val="20"/>
          <w:szCs w:val="20"/>
        </w:rPr>
        <w:t xml:space="preserve"> </w:t>
      </w:r>
      <w:r w:rsidRPr="00CD5CD5">
        <w:rPr>
          <w:rFonts w:ascii="Arial" w:hAnsi="Arial" w:cs="Arial"/>
          <w:sz w:val="20"/>
          <w:szCs w:val="20"/>
        </w:rPr>
        <w:t>inspection</w:t>
      </w:r>
      <w:r w:rsidRPr="00CD5CD5">
        <w:rPr>
          <w:rFonts w:ascii="Arial" w:hAnsi="Arial" w:cs="Arial"/>
          <w:spacing w:val="-1"/>
          <w:sz w:val="20"/>
          <w:szCs w:val="20"/>
        </w:rPr>
        <w:t xml:space="preserve"> </w:t>
      </w:r>
      <w:r w:rsidRPr="00CD5CD5">
        <w:rPr>
          <w:rFonts w:ascii="Arial" w:hAnsi="Arial" w:cs="Arial"/>
          <w:sz w:val="20"/>
          <w:szCs w:val="20"/>
        </w:rPr>
        <w:t>takes</w:t>
      </w:r>
      <w:r w:rsidRPr="00CD5CD5">
        <w:rPr>
          <w:rFonts w:ascii="Arial" w:hAnsi="Arial" w:cs="Arial"/>
          <w:spacing w:val="-3"/>
          <w:sz w:val="20"/>
          <w:szCs w:val="20"/>
        </w:rPr>
        <w:t xml:space="preserve"> </w:t>
      </w:r>
      <w:r w:rsidRPr="00CD5CD5">
        <w:rPr>
          <w:rFonts w:ascii="Arial" w:hAnsi="Arial" w:cs="Arial"/>
          <w:sz w:val="20"/>
          <w:szCs w:val="20"/>
        </w:rPr>
        <w:t>place;</w:t>
      </w:r>
    </w:p>
    <w:p w14:paraId="3A5F8FF1" w14:textId="77777777" w:rsidR="00CD5CD5" w:rsidRPr="00CD5CD5" w:rsidRDefault="00CD5CD5" w:rsidP="00CD5CD5">
      <w:pPr>
        <w:pStyle w:val="ListParagraph"/>
        <w:numPr>
          <w:ilvl w:val="1"/>
          <w:numId w:val="290"/>
        </w:numPr>
        <w:tabs>
          <w:tab w:val="left" w:pos="566"/>
          <w:tab w:val="left" w:pos="1274"/>
        </w:tabs>
        <w:spacing w:before="119"/>
        <w:ind w:right="2688" w:hanging="1274"/>
        <w:jc w:val="right"/>
        <w:rPr>
          <w:rFonts w:ascii="Arial" w:hAnsi="Arial" w:cs="Arial"/>
          <w:sz w:val="20"/>
          <w:szCs w:val="20"/>
        </w:rPr>
      </w:pPr>
      <w:r w:rsidRPr="00CD5CD5">
        <w:rPr>
          <w:rFonts w:ascii="Arial" w:hAnsi="Arial" w:cs="Arial"/>
          <w:sz w:val="20"/>
          <w:szCs w:val="20"/>
        </w:rPr>
        <w:t>shall</w:t>
      </w:r>
      <w:r w:rsidRPr="00CD5CD5">
        <w:rPr>
          <w:rFonts w:ascii="Arial" w:hAnsi="Arial" w:cs="Arial"/>
          <w:spacing w:val="-2"/>
          <w:sz w:val="20"/>
          <w:szCs w:val="20"/>
        </w:rPr>
        <w:t xml:space="preserve"> </w:t>
      </w:r>
      <w:r w:rsidRPr="00CD5CD5">
        <w:rPr>
          <w:rFonts w:ascii="Arial" w:hAnsi="Arial" w:cs="Arial"/>
          <w:sz w:val="20"/>
          <w:szCs w:val="20"/>
        </w:rPr>
        <w:t>contain</w:t>
      </w:r>
      <w:r w:rsidRPr="00CD5CD5">
        <w:rPr>
          <w:rFonts w:ascii="Arial" w:hAnsi="Arial" w:cs="Arial"/>
          <w:spacing w:val="-4"/>
          <w:sz w:val="20"/>
          <w:szCs w:val="20"/>
        </w:rPr>
        <w:t xml:space="preserve"> </w:t>
      </w:r>
      <w:r w:rsidRPr="00CD5CD5">
        <w:rPr>
          <w:rFonts w:ascii="Arial" w:hAnsi="Arial" w:cs="Arial"/>
          <w:sz w:val="20"/>
          <w:szCs w:val="20"/>
        </w:rPr>
        <w:t>the following,</w:t>
      </w:r>
      <w:r w:rsidRPr="00CD5CD5">
        <w:rPr>
          <w:rFonts w:ascii="Arial" w:hAnsi="Arial" w:cs="Arial"/>
          <w:spacing w:val="-4"/>
          <w:sz w:val="20"/>
          <w:szCs w:val="20"/>
        </w:rPr>
        <w:t xml:space="preserve"> </w:t>
      </w:r>
      <w:r w:rsidRPr="00CD5CD5">
        <w:rPr>
          <w:rFonts w:ascii="Arial" w:hAnsi="Arial" w:cs="Arial"/>
          <w:sz w:val="20"/>
          <w:szCs w:val="20"/>
        </w:rPr>
        <w:t>as</w:t>
      </w:r>
      <w:r w:rsidRPr="00CD5CD5">
        <w:rPr>
          <w:rFonts w:ascii="Arial" w:hAnsi="Arial" w:cs="Arial"/>
          <w:spacing w:val="-1"/>
          <w:sz w:val="20"/>
          <w:szCs w:val="20"/>
        </w:rPr>
        <w:t xml:space="preserve"> </w:t>
      </w:r>
      <w:r w:rsidRPr="00CD5CD5">
        <w:rPr>
          <w:rFonts w:ascii="Arial" w:hAnsi="Arial" w:cs="Arial"/>
          <w:sz w:val="20"/>
          <w:szCs w:val="20"/>
        </w:rPr>
        <w:t>applicable</w:t>
      </w:r>
      <w:r w:rsidRPr="00CD5CD5">
        <w:rPr>
          <w:rFonts w:ascii="Arial" w:hAnsi="Arial" w:cs="Arial"/>
          <w:spacing w:val="-2"/>
          <w:sz w:val="20"/>
          <w:szCs w:val="20"/>
        </w:rPr>
        <w:t xml:space="preserve"> </w:t>
      </w:r>
      <w:r w:rsidRPr="00CD5CD5">
        <w:rPr>
          <w:rFonts w:ascii="Arial" w:hAnsi="Arial" w:cs="Arial"/>
          <w:sz w:val="20"/>
          <w:szCs w:val="20"/>
        </w:rPr>
        <w:t>to</w:t>
      </w:r>
      <w:r w:rsidRPr="00CD5CD5">
        <w:rPr>
          <w:rFonts w:ascii="Arial" w:hAnsi="Arial" w:cs="Arial"/>
          <w:spacing w:val="-2"/>
          <w:sz w:val="20"/>
          <w:szCs w:val="20"/>
        </w:rPr>
        <w:t xml:space="preserve"> </w:t>
      </w:r>
      <w:r w:rsidRPr="00CD5CD5">
        <w:rPr>
          <w:rFonts w:ascii="Arial" w:hAnsi="Arial" w:cs="Arial"/>
          <w:sz w:val="20"/>
          <w:szCs w:val="20"/>
        </w:rPr>
        <w:t>the</w:t>
      </w:r>
      <w:r w:rsidRPr="00CD5CD5">
        <w:rPr>
          <w:rFonts w:ascii="Arial" w:hAnsi="Arial" w:cs="Arial"/>
          <w:spacing w:val="-1"/>
          <w:sz w:val="20"/>
          <w:szCs w:val="20"/>
        </w:rPr>
        <w:t xml:space="preserve"> </w:t>
      </w:r>
      <w:r w:rsidRPr="00CD5CD5">
        <w:rPr>
          <w:rFonts w:ascii="Arial" w:hAnsi="Arial" w:cs="Arial"/>
          <w:sz w:val="20"/>
          <w:szCs w:val="20"/>
        </w:rPr>
        <w:t>aircraft type:</w:t>
      </w:r>
    </w:p>
    <w:p w14:paraId="7F21F613" w14:textId="77777777" w:rsidR="00CD5CD5" w:rsidRPr="00CD5CD5" w:rsidRDefault="00CD5CD5" w:rsidP="00CD5CD5">
      <w:pPr>
        <w:pStyle w:val="ListParagraph"/>
        <w:numPr>
          <w:ilvl w:val="2"/>
          <w:numId w:val="290"/>
        </w:numPr>
        <w:tabs>
          <w:tab w:val="left" w:pos="568"/>
          <w:tab w:val="left" w:pos="569"/>
        </w:tabs>
        <w:ind w:right="2648" w:hanging="1842"/>
        <w:jc w:val="right"/>
        <w:rPr>
          <w:rFonts w:ascii="Arial" w:hAnsi="Arial" w:cs="Arial"/>
          <w:sz w:val="20"/>
          <w:szCs w:val="20"/>
        </w:rPr>
      </w:pPr>
      <w:r w:rsidRPr="00CD5CD5">
        <w:rPr>
          <w:rFonts w:ascii="Arial" w:hAnsi="Arial" w:cs="Arial"/>
          <w:sz w:val="20"/>
          <w:szCs w:val="20"/>
        </w:rPr>
        <w:t>servicing</w:t>
      </w:r>
      <w:r w:rsidRPr="00CD5CD5">
        <w:rPr>
          <w:rFonts w:ascii="Arial" w:hAnsi="Arial" w:cs="Arial"/>
          <w:spacing w:val="-4"/>
          <w:sz w:val="20"/>
          <w:szCs w:val="20"/>
        </w:rPr>
        <w:t xml:space="preserve"> </w:t>
      </w:r>
      <w:r w:rsidRPr="00CD5CD5">
        <w:rPr>
          <w:rFonts w:ascii="Arial" w:hAnsi="Arial" w:cs="Arial"/>
          <w:sz w:val="20"/>
          <w:szCs w:val="20"/>
        </w:rPr>
        <w:t>tasks</w:t>
      </w:r>
      <w:r w:rsidRPr="00CD5CD5">
        <w:rPr>
          <w:rFonts w:ascii="Arial" w:hAnsi="Arial" w:cs="Arial"/>
          <w:spacing w:val="-4"/>
          <w:sz w:val="20"/>
          <w:szCs w:val="20"/>
        </w:rPr>
        <w:t xml:space="preserve"> </w:t>
      </w:r>
      <w:r w:rsidRPr="00CD5CD5">
        <w:rPr>
          <w:rFonts w:ascii="Arial" w:hAnsi="Arial" w:cs="Arial"/>
          <w:sz w:val="20"/>
          <w:szCs w:val="20"/>
        </w:rPr>
        <w:t>as</w:t>
      </w:r>
      <w:r w:rsidRPr="00CD5CD5">
        <w:rPr>
          <w:rFonts w:ascii="Arial" w:hAnsi="Arial" w:cs="Arial"/>
          <w:spacing w:val="-1"/>
          <w:sz w:val="20"/>
          <w:szCs w:val="20"/>
        </w:rPr>
        <w:t xml:space="preserve"> </w:t>
      </w:r>
      <w:r w:rsidRPr="00CD5CD5">
        <w:rPr>
          <w:rFonts w:ascii="Arial" w:hAnsi="Arial" w:cs="Arial"/>
          <w:sz w:val="20"/>
          <w:szCs w:val="20"/>
        </w:rPr>
        <w:t>required</w:t>
      </w:r>
      <w:r w:rsidRPr="00CD5CD5">
        <w:rPr>
          <w:rFonts w:ascii="Arial" w:hAnsi="Arial" w:cs="Arial"/>
          <w:spacing w:val="-3"/>
          <w:sz w:val="20"/>
          <w:szCs w:val="20"/>
        </w:rPr>
        <w:t xml:space="preserve"> </w:t>
      </w:r>
      <w:r w:rsidRPr="00CD5CD5">
        <w:rPr>
          <w:rFonts w:ascii="Arial" w:hAnsi="Arial" w:cs="Arial"/>
          <w:sz w:val="20"/>
          <w:szCs w:val="20"/>
        </w:rPr>
        <w:t>by the</w:t>
      </w:r>
      <w:r w:rsidRPr="00CD5CD5">
        <w:rPr>
          <w:rFonts w:ascii="Arial" w:hAnsi="Arial" w:cs="Arial"/>
          <w:spacing w:val="-3"/>
          <w:sz w:val="20"/>
          <w:szCs w:val="20"/>
        </w:rPr>
        <w:t xml:space="preserve"> </w:t>
      </w:r>
      <w:r w:rsidRPr="00CD5CD5">
        <w:rPr>
          <w:rFonts w:ascii="Arial" w:hAnsi="Arial" w:cs="Arial"/>
          <w:sz w:val="20"/>
          <w:szCs w:val="20"/>
        </w:rPr>
        <w:t>DAH’s</w:t>
      </w:r>
      <w:r w:rsidRPr="00CD5CD5">
        <w:rPr>
          <w:rFonts w:ascii="Arial" w:hAnsi="Arial" w:cs="Arial"/>
          <w:spacing w:val="-1"/>
          <w:sz w:val="20"/>
          <w:szCs w:val="20"/>
        </w:rPr>
        <w:t xml:space="preserve"> </w:t>
      </w:r>
      <w:r w:rsidRPr="00CD5CD5">
        <w:rPr>
          <w:rFonts w:ascii="Arial" w:hAnsi="Arial" w:cs="Arial"/>
          <w:sz w:val="20"/>
          <w:szCs w:val="20"/>
        </w:rPr>
        <w:t>requirements;</w:t>
      </w:r>
    </w:p>
    <w:p w14:paraId="54EA3BD3" w14:textId="77777777" w:rsidR="00CD5CD5" w:rsidRPr="00CD5CD5" w:rsidRDefault="00CD5CD5" w:rsidP="00CD5CD5">
      <w:pPr>
        <w:pStyle w:val="ListParagraph"/>
        <w:numPr>
          <w:ilvl w:val="2"/>
          <w:numId w:val="290"/>
        </w:numPr>
        <w:tabs>
          <w:tab w:val="left" w:pos="1841"/>
          <w:tab w:val="left" w:pos="1842"/>
        </w:tabs>
        <w:rPr>
          <w:rFonts w:ascii="Arial" w:hAnsi="Arial" w:cs="Arial"/>
          <w:sz w:val="20"/>
          <w:szCs w:val="20"/>
        </w:rPr>
      </w:pPr>
      <w:r w:rsidRPr="00CD5CD5">
        <w:rPr>
          <w:rFonts w:ascii="Arial" w:hAnsi="Arial" w:cs="Arial"/>
          <w:sz w:val="20"/>
          <w:szCs w:val="20"/>
        </w:rPr>
        <w:t>inspection</w:t>
      </w:r>
      <w:r w:rsidRPr="00CD5CD5">
        <w:rPr>
          <w:rFonts w:ascii="Arial" w:hAnsi="Arial" w:cs="Arial"/>
          <w:spacing w:val="-5"/>
          <w:sz w:val="20"/>
          <w:szCs w:val="20"/>
        </w:rPr>
        <w:t xml:space="preserve"> </w:t>
      </w:r>
      <w:r w:rsidRPr="00CD5CD5">
        <w:rPr>
          <w:rFonts w:ascii="Arial" w:hAnsi="Arial" w:cs="Arial"/>
          <w:sz w:val="20"/>
          <w:szCs w:val="20"/>
        </w:rPr>
        <w:t>of</w:t>
      </w:r>
      <w:r w:rsidRPr="00CD5CD5">
        <w:rPr>
          <w:rFonts w:ascii="Arial" w:hAnsi="Arial" w:cs="Arial"/>
          <w:spacing w:val="-3"/>
          <w:sz w:val="20"/>
          <w:szCs w:val="20"/>
        </w:rPr>
        <w:t xml:space="preserve"> </w:t>
      </w:r>
      <w:r w:rsidRPr="00CD5CD5">
        <w:rPr>
          <w:rFonts w:ascii="Arial" w:hAnsi="Arial" w:cs="Arial"/>
          <w:sz w:val="20"/>
          <w:szCs w:val="20"/>
        </w:rPr>
        <w:t>markings;</w:t>
      </w:r>
    </w:p>
    <w:p w14:paraId="3905F07C" w14:textId="22D4503A" w:rsidR="00CD5CD5" w:rsidRPr="00670F7B" w:rsidRDefault="00CD5CD5" w:rsidP="00A42794">
      <w:pPr>
        <w:pStyle w:val="ListParagraph"/>
        <w:numPr>
          <w:ilvl w:val="2"/>
          <w:numId w:val="290"/>
        </w:numPr>
        <w:tabs>
          <w:tab w:val="left" w:pos="1841"/>
          <w:tab w:val="left" w:pos="1842"/>
        </w:tabs>
        <w:spacing w:before="121"/>
        <w:ind w:right="193"/>
        <w:jc w:val="both"/>
        <w:rPr>
          <w:rFonts w:ascii="Arial" w:hAnsi="Arial" w:cs="Arial"/>
          <w:sz w:val="20"/>
          <w:szCs w:val="20"/>
        </w:rPr>
      </w:pPr>
      <w:r w:rsidRPr="00CD5CD5">
        <w:rPr>
          <w:rFonts w:ascii="Arial" w:hAnsi="Arial" w:cs="Arial"/>
          <w:sz w:val="20"/>
          <w:szCs w:val="20"/>
        </w:rPr>
        <w:t>review</w:t>
      </w:r>
      <w:r w:rsidRPr="00CD5CD5">
        <w:rPr>
          <w:rFonts w:ascii="Arial" w:hAnsi="Arial" w:cs="Arial"/>
          <w:spacing w:val="1"/>
          <w:sz w:val="20"/>
          <w:szCs w:val="20"/>
        </w:rPr>
        <w:t xml:space="preserve"> </w:t>
      </w:r>
      <w:r w:rsidRPr="00CD5CD5">
        <w:rPr>
          <w:rFonts w:ascii="Arial" w:hAnsi="Arial" w:cs="Arial"/>
          <w:sz w:val="20"/>
          <w:szCs w:val="20"/>
        </w:rPr>
        <w:t>of</w:t>
      </w:r>
      <w:r w:rsidRPr="00CD5CD5">
        <w:rPr>
          <w:rFonts w:ascii="Arial" w:hAnsi="Arial" w:cs="Arial"/>
          <w:spacing w:val="1"/>
          <w:sz w:val="20"/>
          <w:szCs w:val="20"/>
        </w:rPr>
        <w:t xml:space="preserve"> </w:t>
      </w:r>
      <w:r w:rsidRPr="00CD5CD5">
        <w:rPr>
          <w:rFonts w:ascii="Arial" w:hAnsi="Arial" w:cs="Arial"/>
          <w:sz w:val="20"/>
          <w:szCs w:val="20"/>
        </w:rPr>
        <w:t>weighing</w:t>
      </w:r>
      <w:r w:rsidRPr="00CD5CD5">
        <w:rPr>
          <w:rFonts w:ascii="Arial" w:hAnsi="Arial" w:cs="Arial"/>
          <w:spacing w:val="1"/>
          <w:sz w:val="20"/>
          <w:szCs w:val="20"/>
        </w:rPr>
        <w:t xml:space="preserve"> </w:t>
      </w:r>
      <w:r w:rsidRPr="00CD5CD5">
        <w:rPr>
          <w:rFonts w:ascii="Arial" w:hAnsi="Arial" w:cs="Arial"/>
          <w:sz w:val="20"/>
          <w:szCs w:val="20"/>
        </w:rPr>
        <w:t>records</w:t>
      </w:r>
      <w:r w:rsidRPr="00CD5CD5">
        <w:rPr>
          <w:rFonts w:ascii="Arial" w:hAnsi="Arial" w:cs="Arial"/>
          <w:spacing w:val="1"/>
          <w:sz w:val="20"/>
          <w:szCs w:val="20"/>
        </w:rPr>
        <w:t xml:space="preserve"> </w:t>
      </w:r>
      <w:r w:rsidRPr="00CD5CD5">
        <w:rPr>
          <w:rFonts w:ascii="Arial" w:hAnsi="Arial" w:cs="Arial"/>
          <w:sz w:val="20"/>
          <w:szCs w:val="20"/>
        </w:rPr>
        <w:t>and</w:t>
      </w:r>
      <w:r w:rsidRPr="00CD5CD5">
        <w:rPr>
          <w:rFonts w:ascii="Arial" w:hAnsi="Arial" w:cs="Arial"/>
          <w:spacing w:val="1"/>
          <w:sz w:val="20"/>
          <w:szCs w:val="20"/>
        </w:rPr>
        <w:t xml:space="preserve"> </w:t>
      </w:r>
      <w:r w:rsidRPr="00CD5CD5">
        <w:rPr>
          <w:rFonts w:ascii="Arial" w:hAnsi="Arial" w:cs="Arial"/>
          <w:sz w:val="20"/>
          <w:szCs w:val="20"/>
        </w:rPr>
        <w:t>weighing</w:t>
      </w:r>
      <w:r w:rsidRPr="00CD5CD5">
        <w:rPr>
          <w:rFonts w:ascii="Arial" w:hAnsi="Arial" w:cs="Arial"/>
          <w:spacing w:val="49"/>
          <w:sz w:val="20"/>
          <w:szCs w:val="20"/>
        </w:rPr>
        <w:t xml:space="preserve"> </w:t>
      </w:r>
      <w:r w:rsidRPr="00CD5CD5">
        <w:rPr>
          <w:rFonts w:ascii="Arial" w:hAnsi="Arial" w:cs="Arial"/>
          <w:sz w:val="20"/>
          <w:szCs w:val="20"/>
        </w:rPr>
        <w:t>in</w:t>
      </w:r>
      <w:r w:rsidRPr="00CD5CD5">
        <w:rPr>
          <w:rFonts w:ascii="Arial" w:hAnsi="Arial" w:cs="Arial"/>
          <w:spacing w:val="50"/>
          <w:sz w:val="20"/>
          <w:szCs w:val="20"/>
        </w:rPr>
        <w:t xml:space="preserve"> </w:t>
      </w:r>
      <w:r w:rsidRPr="00CD5CD5">
        <w:rPr>
          <w:rFonts w:ascii="Arial" w:hAnsi="Arial" w:cs="Arial"/>
          <w:sz w:val="20"/>
          <w:szCs w:val="20"/>
        </w:rPr>
        <w:t>accordance</w:t>
      </w:r>
      <w:r w:rsidRPr="00CD5CD5">
        <w:rPr>
          <w:rFonts w:ascii="Arial" w:hAnsi="Arial" w:cs="Arial"/>
          <w:spacing w:val="50"/>
          <w:sz w:val="20"/>
          <w:szCs w:val="20"/>
        </w:rPr>
        <w:t xml:space="preserve"> </w:t>
      </w:r>
      <w:r w:rsidRPr="00CD5CD5">
        <w:rPr>
          <w:rFonts w:ascii="Arial" w:hAnsi="Arial" w:cs="Arial"/>
          <w:sz w:val="20"/>
          <w:szCs w:val="20"/>
        </w:rPr>
        <w:t>with</w:t>
      </w:r>
      <w:r w:rsidRPr="00CD5CD5">
        <w:rPr>
          <w:rFonts w:ascii="Arial" w:hAnsi="Arial" w:cs="Arial"/>
          <w:spacing w:val="49"/>
          <w:sz w:val="20"/>
          <w:szCs w:val="20"/>
        </w:rPr>
        <w:t xml:space="preserve"> </w:t>
      </w:r>
      <w:hyperlink r:id="rId100" w:history="1">
        <w:r w:rsidR="00A42794" w:rsidRPr="00C630C9">
          <w:rPr>
            <w:rStyle w:val="Hyperlink"/>
            <w:rFonts w:ascii="Arial" w:hAnsi="Arial" w:cs="Arial"/>
            <w:sz w:val="20"/>
          </w:rPr>
          <w:t>the order N 2-N of the Minister of Territorial Administration and Infrastructure of RA, dated 11.02.2022</w:t>
        </w:r>
      </w:hyperlink>
      <w:r w:rsidR="00A42794" w:rsidRPr="00A42794">
        <w:rPr>
          <w:rFonts w:ascii="Arial" w:hAnsi="Arial" w:cs="Arial"/>
          <w:sz w:val="20"/>
        </w:rPr>
        <w:t>,</w:t>
      </w:r>
      <w:r w:rsidRPr="00CD5CD5">
        <w:rPr>
          <w:rFonts w:ascii="Arial" w:hAnsi="Arial" w:cs="Arial"/>
          <w:spacing w:val="-4"/>
          <w:sz w:val="20"/>
          <w:szCs w:val="20"/>
        </w:rPr>
        <w:t xml:space="preserve"> </w:t>
      </w:r>
      <w:r w:rsidR="00062F40" w:rsidRPr="00062F40">
        <w:rPr>
          <w:rFonts w:ascii="Arial" w:hAnsi="Arial" w:cs="Arial"/>
          <w:sz w:val="20"/>
          <w:szCs w:val="20"/>
        </w:rPr>
        <w:t>this Regulation</w:t>
      </w:r>
      <w:r w:rsidRPr="00670F7B">
        <w:rPr>
          <w:rFonts w:ascii="Arial" w:hAnsi="Arial" w:cs="Arial"/>
          <w:sz w:val="20"/>
          <w:szCs w:val="20"/>
        </w:rPr>
        <w:t>;</w:t>
      </w:r>
    </w:p>
    <w:p w14:paraId="33E78EED" w14:textId="77777777" w:rsidR="00CD5CD5" w:rsidRPr="00CD5CD5" w:rsidRDefault="00CD5CD5" w:rsidP="00CD5CD5">
      <w:pPr>
        <w:pStyle w:val="ListParagraph"/>
        <w:numPr>
          <w:ilvl w:val="2"/>
          <w:numId w:val="290"/>
        </w:numPr>
        <w:tabs>
          <w:tab w:val="left" w:pos="1841"/>
          <w:tab w:val="left" w:pos="1842"/>
        </w:tabs>
        <w:rPr>
          <w:rFonts w:ascii="Arial" w:hAnsi="Arial" w:cs="Arial"/>
          <w:sz w:val="20"/>
          <w:szCs w:val="20"/>
        </w:rPr>
      </w:pPr>
      <w:r w:rsidRPr="00CD5CD5">
        <w:rPr>
          <w:rFonts w:ascii="Arial" w:hAnsi="Arial" w:cs="Arial"/>
          <w:sz w:val="20"/>
          <w:szCs w:val="20"/>
        </w:rPr>
        <w:t>operational</w:t>
      </w:r>
      <w:r w:rsidRPr="00CD5CD5">
        <w:rPr>
          <w:rFonts w:ascii="Arial" w:hAnsi="Arial" w:cs="Arial"/>
          <w:spacing w:val="-2"/>
          <w:sz w:val="20"/>
          <w:szCs w:val="20"/>
        </w:rPr>
        <w:t xml:space="preserve"> </w:t>
      </w:r>
      <w:r w:rsidRPr="00CD5CD5">
        <w:rPr>
          <w:rFonts w:ascii="Arial" w:hAnsi="Arial" w:cs="Arial"/>
          <w:sz w:val="20"/>
          <w:szCs w:val="20"/>
        </w:rPr>
        <w:t>test</w:t>
      </w:r>
      <w:r w:rsidRPr="00CD5CD5">
        <w:rPr>
          <w:rFonts w:ascii="Arial" w:hAnsi="Arial" w:cs="Arial"/>
          <w:spacing w:val="-4"/>
          <w:sz w:val="20"/>
          <w:szCs w:val="20"/>
        </w:rPr>
        <w:t xml:space="preserve"> </w:t>
      </w:r>
      <w:r w:rsidRPr="00CD5CD5">
        <w:rPr>
          <w:rFonts w:ascii="Arial" w:hAnsi="Arial" w:cs="Arial"/>
          <w:sz w:val="20"/>
          <w:szCs w:val="20"/>
        </w:rPr>
        <w:t>of</w:t>
      </w:r>
      <w:r w:rsidRPr="00CD5CD5">
        <w:rPr>
          <w:rFonts w:ascii="Arial" w:hAnsi="Arial" w:cs="Arial"/>
          <w:spacing w:val="-4"/>
          <w:sz w:val="20"/>
          <w:szCs w:val="20"/>
        </w:rPr>
        <w:t xml:space="preserve"> </w:t>
      </w:r>
      <w:r w:rsidRPr="00CD5CD5">
        <w:rPr>
          <w:rFonts w:ascii="Arial" w:hAnsi="Arial" w:cs="Arial"/>
          <w:sz w:val="20"/>
          <w:szCs w:val="20"/>
        </w:rPr>
        <w:t>transponder</w:t>
      </w:r>
      <w:r w:rsidRPr="00CD5CD5">
        <w:rPr>
          <w:rFonts w:ascii="Arial" w:hAnsi="Arial" w:cs="Arial"/>
          <w:spacing w:val="-2"/>
          <w:sz w:val="20"/>
          <w:szCs w:val="20"/>
        </w:rPr>
        <w:t xml:space="preserve"> </w:t>
      </w:r>
      <w:r w:rsidRPr="00CD5CD5">
        <w:rPr>
          <w:rFonts w:ascii="Arial" w:hAnsi="Arial" w:cs="Arial"/>
          <w:sz w:val="20"/>
          <w:szCs w:val="20"/>
        </w:rPr>
        <w:t>(if</w:t>
      </w:r>
      <w:r w:rsidRPr="00CD5CD5">
        <w:rPr>
          <w:rFonts w:ascii="Arial" w:hAnsi="Arial" w:cs="Arial"/>
          <w:spacing w:val="-2"/>
          <w:sz w:val="20"/>
          <w:szCs w:val="20"/>
        </w:rPr>
        <w:t xml:space="preserve"> </w:t>
      </w:r>
      <w:r w:rsidRPr="00CD5CD5">
        <w:rPr>
          <w:rFonts w:ascii="Arial" w:hAnsi="Arial" w:cs="Arial"/>
          <w:sz w:val="20"/>
          <w:szCs w:val="20"/>
        </w:rPr>
        <w:t>installed);</w:t>
      </w:r>
    </w:p>
    <w:p w14:paraId="5562F7AF" w14:textId="77777777" w:rsidR="00CD5CD5" w:rsidRPr="00CD5CD5" w:rsidRDefault="00CD5CD5" w:rsidP="00CD5CD5">
      <w:pPr>
        <w:pStyle w:val="ListParagraph"/>
        <w:numPr>
          <w:ilvl w:val="2"/>
          <w:numId w:val="290"/>
        </w:numPr>
        <w:tabs>
          <w:tab w:val="left" w:pos="1841"/>
          <w:tab w:val="left" w:pos="1842"/>
        </w:tabs>
        <w:rPr>
          <w:rFonts w:ascii="Arial" w:hAnsi="Arial" w:cs="Arial"/>
          <w:sz w:val="20"/>
          <w:szCs w:val="20"/>
        </w:rPr>
      </w:pPr>
      <w:r w:rsidRPr="00CD5CD5">
        <w:rPr>
          <w:rFonts w:ascii="Arial" w:hAnsi="Arial" w:cs="Arial"/>
          <w:sz w:val="20"/>
          <w:szCs w:val="20"/>
        </w:rPr>
        <w:t>functional</w:t>
      </w:r>
      <w:r w:rsidRPr="00CD5CD5">
        <w:rPr>
          <w:rFonts w:ascii="Arial" w:hAnsi="Arial" w:cs="Arial"/>
          <w:spacing w:val="-2"/>
          <w:sz w:val="20"/>
          <w:szCs w:val="20"/>
        </w:rPr>
        <w:t xml:space="preserve"> </w:t>
      </w:r>
      <w:r w:rsidRPr="00CD5CD5">
        <w:rPr>
          <w:rFonts w:ascii="Arial" w:hAnsi="Arial" w:cs="Arial"/>
          <w:sz w:val="20"/>
          <w:szCs w:val="20"/>
        </w:rPr>
        <w:t>test</w:t>
      </w:r>
      <w:r w:rsidRPr="00CD5CD5">
        <w:rPr>
          <w:rFonts w:ascii="Arial" w:hAnsi="Arial" w:cs="Arial"/>
          <w:spacing w:val="-3"/>
          <w:sz w:val="20"/>
          <w:szCs w:val="20"/>
        </w:rPr>
        <w:t xml:space="preserve"> </w:t>
      </w:r>
      <w:r w:rsidRPr="00CD5CD5">
        <w:rPr>
          <w:rFonts w:ascii="Arial" w:hAnsi="Arial" w:cs="Arial"/>
          <w:sz w:val="20"/>
          <w:szCs w:val="20"/>
        </w:rPr>
        <w:t>of</w:t>
      </w:r>
      <w:r w:rsidRPr="00CD5CD5">
        <w:rPr>
          <w:rFonts w:ascii="Arial" w:hAnsi="Arial" w:cs="Arial"/>
          <w:spacing w:val="-4"/>
          <w:sz w:val="20"/>
          <w:szCs w:val="20"/>
        </w:rPr>
        <w:t xml:space="preserve"> </w:t>
      </w:r>
      <w:r w:rsidRPr="00CD5CD5">
        <w:rPr>
          <w:rFonts w:ascii="Arial" w:hAnsi="Arial" w:cs="Arial"/>
          <w:sz w:val="20"/>
          <w:szCs w:val="20"/>
        </w:rPr>
        <w:t>the</w:t>
      </w:r>
      <w:r w:rsidRPr="00CD5CD5">
        <w:rPr>
          <w:rFonts w:ascii="Arial" w:hAnsi="Arial" w:cs="Arial"/>
          <w:spacing w:val="-1"/>
          <w:sz w:val="20"/>
          <w:szCs w:val="20"/>
        </w:rPr>
        <w:t xml:space="preserve"> </w:t>
      </w:r>
      <w:r w:rsidRPr="00CD5CD5">
        <w:rPr>
          <w:rFonts w:ascii="Arial" w:hAnsi="Arial" w:cs="Arial"/>
          <w:sz w:val="20"/>
          <w:szCs w:val="20"/>
        </w:rPr>
        <w:t>pitot-static</w:t>
      </w:r>
      <w:r w:rsidRPr="00CD5CD5">
        <w:rPr>
          <w:rFonts w:ascii="Arial" w:hAnsi="Arial" w:cs="Arial"/>
          <w:spacing w:val="-2"/>
          <w:sz w:val="20"/>
          <w:szCs w:val="20"/>
        </w:rPr>
        <w:t xml:space="preserve"> </w:t>
      </w:r>
      <w:r w:rsidRPr="00CD5CD5">
        <w:rPr>
          <w:rFonts w:ascii="Arial" w:hAnsi="Arial" w:cs="Arial"/>
          <w:sz w:val="20"/>
          <w:szCs w:val="20"/>
        </w:rPr>
        <w:t>system;</w:t>
      </w:r>
    </w:p>
    <w:p w14:paraId="50C4C964" w14:textId="77777777" w:rsidR="00CD5CD5" w:rsidRPr="00CD5CD5" w:rsidRDefault="00CD5CD5" w:rsidP="00CD5CD5">
      <w:pPr>
        <w:pStyle w:val="ListParagraph"/>
        <w:numPr>
          <w:ilvl w:val="2"/>
          <w:numId w:val="290"/>
        </w:numPr>
        <w:tabs>
          <w:tab w:val="left" w:pos="1841"/>
          <w:tab w:val="left" w:pos="1842"/>
        </w:tabs>
        <w:spacing w:before="121"/>
        <w:rPr>
          <w:rFonts w:ascii="Arial" w:hAnsi="Arial" w:cs="Arial"/>
          <w:sz w:val="20"/>
          <w:szCs w:val="20"/>
        </w:rPr>
      </w:pPr>
      <w:r w:rsidRPr="00CD5CD5">
        <w:rPr>
          <w:rFonts w:ascii="Arial" w:hAnsi="Arial" w:cs="Arial"/>
          <w:sz w:val="20"/>
          <w:szCs w:val="20"/>
        </w:rPr>
        <w:t>in</w:t>
      </w:r>
      <w:r w:rsidRPr="00CD5CD5">
        <w:rPr>
          <w:rFonts w:ascii="Arial" w:hAnsi="Arial" w:cs="Arial"/>
          <w:spacing w:val="-2"/>
          <w:sz w:val="20"/>
          <w:szCs w:val="20"/>
        </w:rPr>
        <w:t xml:space="preserve"> </w:t>
      </w:r>
      <w:r w:rsidRPr="00CD5CD5">
        <w:rPr>
          <w:rFonts w:ascii="Arial" w:hAnsi="Arial" w:cs="Arial"/>
          <w:sz w:val="20"/>
          <w:szCs w:val="20"/>
        </w:rPr>
        <w:t>the</w:t>
      </w:r>
      <w:r w:rsidRPr="00CD5CD5">
        <w:rPr>
          <w:rFonts w:ascii="Arial" w:hAnsi="Arial" w:cs="Arial"/>
          <w:spacing w:val="1"/>
          <w:sz w:val="20"/>
          <w:szCs w:val="20"/>
        </w:rPr>
        <w:t xml:space="preserve"> </w:t>
      </w:r>
      <w:r w:rsidRPr="00CD5CD5">
        <w:rPr>
          <w:rFonts w:ascii="Arial" w:hAnsi="Arial" w:cs="Arial"/>
          <w:sz w:val="20"/>
          <w:szCs w:val="20"/>
        </w:rPr>
        <w:t>case</w:t>
      </w:r>
      <w:r w:rsidRPr="00CD5CD5">
        <w:rPr>
          <w:rFonts w:ascii="Arial" w:hAnsi="Arial" w:cs="Arial"/>
          <w:spacing w:val="-2"/>
          <w:sz w:val="20"/>
          <w:szCs w:val="20"/>
        </w:rPr>
        <w:t xml:space="preserve"> </w:t>
      </w:r>
      <w:r w:rsidRPr="00CD5CD5">
        <w:rPr>
          <w:rFonts w:ascii="Arial" w:hAnsi="Arial" w:cs="Arial"/>
          <w:sz w:val="20"/>
          <w:szCs w:val="20"/>
        </w:rPr>
        <w:t>of</w:t>
      </w:r>
      <w:r w:rsidRPr="00CD5CD5">
        <w:rPr>
          <w:rFonts w:ascii="Arial" w:hAnsi="Arial" w:cs="Arial"/>
          <w:spacing w:val="-1"/>
          <w:sz w:val="20"/>
          <w:szCs w:val="20"/>
        </w:rPr>
        <w:t xml:space="preserve"> </w:t>
      </w:r>
      <w:r w:rsidRPr="00CD5CD5">
        <w:rPr>
          <w:rFonts w:ascii="Arial" w:hAnsi="Arial" w:cs="Arial"/>
          <w:sz w:val="20"/>
          <w:szCs w:val="20"/>
        </w:rPr>
        <w:t>aeroplanes:</w:t>
      </w:r>
    </w:p>
    <w:p w14:paraId="286EF2D9" w14:textId="77777777" w:rsidR="00CD5CD5" w:rsidRPr="00CD5CD5" w:rsidRDefault="00CD5CD5" w:rsidP="00CD5CD5">
      <w:pPr>
        <w:pStyle w:val="ListParagraph"/>
        <w:numPr>
          <w:ilvl w:val="3"/>
          <w:numId w:val="290"/>
        </w:numPr>
        <w:tabs>
          <w:tab w:val="left" w:pos="2408"/>
          <w:tab w:val="left" w:pos="2409"/>
        </w:tabs>
        <w:spacing w:before="122" w:line="237" w:lineRule="auto"/>
        <w:ind w:right="196"/>
        <w:rPr>
          <w:rFonts w:ascii="Arial" w:hAnsi="Arial" w:cs="Arial"/>
          <w:sz w:val="20"/>
          <w:szCs w:val="20"/>
        </w:rPr>
      </w:pPr>
      <w:r w:rsidRPr="00CD5CD5">
        <w:rPr>
          <w:rFonts w:ascii="Arial" w:hAnsi="Arial" w:cs="Arial"/>
          <w:sz w:val="20"/>
          <w:szCs w:val="20"/>
        </w:rPr>
        <w:t>operational</w:t>
      </w:r>
      <w:r w:rsidRPr="00CD5CD5">
        <w:rPr>
          <w:rFonts w:ascii="Arial" w:hAnsi="Arial" w:cs="Arial"/>
          <w:spacing w:val="22"/>
          <w:sz w:val="20"/>
          <w:szCs w:val="20"/>
        </w:rPr>
        <w:t xml:space="preserve"> </w:t>
      </w:r>
      <w:r w:rsidRPr="00CD5CD5">
        <w:rPr>
          <w:rFonts w:ascii="Arial" w:hAnsi="Arial" w:cs="Arial"/>
          <w:sz w:val="20"/>
          <w:szCs w:val="20"/>
        </w:rPr>
        <w:t>tests</w:t>
      </w:r>
      <w:r w:rsidRPr="00CD5CD5">
        <w:rPr>
          <w:rFonts w:ascii="Arial" w:hAnsi="Arial" w:cs="Arial"/>
          <w:spacing w:val="24"/>
          <w:sz w:val="20"/>
          <w:szCs w:val="20"/>
        </w:rPr>
        <w:t xml:space="preserve"> </w:t>
      </w:r>
      <w:r w:rsidRPr="00CD5CD5">
        <w:rPr>
          <w:rFonts w:ascii="Arial" w:hAnsi="Arial" w:cs="Arial"/>
          <w:sz w:val="20"/>
          <w:szCs w:val="20"/>
        </w:rPr>
        <w:t>for</w:t>
      </w:r>
      <w:r w:rsidRPr="00CD5CD5">
        <w:rPr>
          <w:rFonts w:ascii="Arial" w:hAnsi="Arial" w:cs="Arial"/>
          <w:spacing w:val="23"/>
          <w:sz w:val="20"/>
          <w:szCs w:val="20"/>
        </w:rPr>
        <w:t xml:space="preserve"> </w:t>
      </w:r>
      <w:r w:rsidRPr="00CD5CD5">
        <w:rPr>
          <w:rFonts w:ascii="Arial" w:hAnsi="Arial" w:cs="Arial"/>
          <w:sz w:val="20"/>
          <w:szCs w:val="20"/>
        </w:rPr>
        <w:t>power</w:t>
      </w:r>
      <w:r w:rsidRPr="00CD5CD5">
        <w:rPr>
          <w:rFonts w:ascii="Arial" w:hAnsi="Arial" w:cs="Arial"/>
          <w:spacing w:val="23"/>
          <w:sz w:val="20"/>
          <w:szCs w:val="20"/>
        </w:rPr>
        <w:t xml:space="preserve"> </w:t>
      </w:r>
      <w:r w:rsidRPr="00CD5CD5">
        <w:rPr>
          <w:rFonts w:ascii="Arial" w:hAnsi="Arial" w:cs="Arial"/>
          <w:sz w:val="20"/>
          <w:szCs w:val="20"/>
        </w:rPr>
        <w:t>and</w:t>
      </w:r>
      <w:r w:rsidRPr="00CD5CD5">
        <w:rPr>
          <w:rFonts w:ascii="Arial" w:hAnsi="Arial" w:cs="Arial"/>
          <w:spacing w:val="23"/>
          <w:sz w:val="20"/>
          <w:szCs w:val="20"/>
        </w:rPr>
        <w:t xml:space="preserve"> </w:t>
      </w:r>
      <w:r w:rsidRPr="00CD5CD5">
        <w:rPr>
          <w:rFonts w:ascii="Arial" w:hAnsi="Arial" w:cs="Arial"/>
          <w:sz w:val="20"/>
          <w:szCs w:val="20"/>
        </w:rPr>
        <w:t>revolutions</w:t>
      </w:r>
      <w:r w:rsidRPr="00CD5CD5">
        <w:rPr>
          <w:rFonts w:ascii="Arial" w:hAnsi="Arial" w:cs="Arial"/>
          <w:spacing w:val="23"/>
          <w:sz w:val="20"/>
          <w:szCs w:val="20"/>
        </w:rPr>
        <w:t xml:space="preserve"> </w:t>
      </w:r>
      <w:r w:rsidRPr="00CD5CD5">
        <w:rPr>
          <w:rFonts w:ascii="Arial" w:hAnsi="Arial" w:cs="Arial"/>
          <w:sz w:val="20"/>
          <w:szCs w:val="20"/>
        </w:rPr>
        <w:t>per</w:t>
      </w:r>
      <w:r w:rsidRPr="00CD5CD5">
        <w:rPr>
          <w:rFonts w:ascii="Arial" w:hAnsi="Arial" w:cs="Arial"/>
          <w:spacing w:val="24"/>
          <w:sz w:val="20"/>
          <w:szCs w:val="20"/>
        </w:rPr>
        <w:t xml:space="preserve"> </w:t>
      </w:r>
      <w:r w:rsidRPr="00CD5CD5">
        <w:rPr>
          <w:rFonts w:ascii="Arial" w:hAnsi="Arial" w:cs="Arial"/>
          <w:sz w:val="20"/>
          <w:szCs w:val="20"/>
        </w:rPr>
        <w:t>minute</w:t>
      </w:r>
      <w:r w:rsidRPr="00CD5CD5">
        <w:rPr>
          <w:rFonts w:ascii="Arial" w:hAnsi="Arial" w:cs="Arial"/>
          <w:spacing w:val="24"/>
          <w:sz w:val="20"/>
          <w:szCs w:val="20"/>
        </w:rPr>
        <w:t xml:space="preserve"> </w:t>
      </w:r>
      <w:r w:rsidRPr="00CD5CD5">
        <w:rPr>
          <w:rFonts w:ascii="Arial" w:hAnsi="Arial" w:cs="Arial"/>
          <w:sz w:val="20"/>
          <w:szCs w:val="20"/>
        </w:rPr>
        <w:t>(rpm),</w:t>
      </w:r>
      <w:r w:rsidRPr="00CD5CD5">
        <w:rPr>
          <w:rFonts w:ascii="Arial" w:hAnsi="Arial" w:cs="Arial"/>
          <w:spacing w:val="21"/>
          <w:sz w:val="20"/>
          <w:szCs w:val="20"/>
        </w:rPr>
        <w:t xml:space="preserve"> </w:t>
      </w:r>
      <w:r w:rsidRPr="00CD5CD5">
        <w:rPr>
          <w:rFonts w:ascii="Arial" w:hAnsi="Arial" w:cs="Arial"/>
          <w:sz w:val="20"/>
          <w:szCs w:val="20"/>
        </w:rPr>
        <w:t>magnetos,</w:t>
      </w:r>
      <w:r w:rsidRPr="00CD5CD5">
        <w:rPr>
          <w:rFonts w:ascii="Arial" w:hAnsi="Arial" w:cs="Arial"/>
          <w:spacing w:val="-47"/>
          <w:sz w:val="20"/>
          <w:szCs w:val="20"/>
        </w:rPr>
        <w:t xml:space="preserve"> </w:t>
      </w:r>
      <w:r w:rsidRPr="00CD5CD5">
        <w:rPr>
          <w:rFonts w:ascii="Arial" w:hAnsi="Arial" w:cs="Arial"/>
          <w:sz w:val="20"/>
          <w:szCs w:val="20"/>
        </w:rPr>
        <w:t>fuel</w:t>
      </w:r>
      <w:r w:rsidRPr="00CD5CD5">
        <w:rPr>
          <w:rFonts w:ascii="Arial" w:hAnsi="Arial" w:cs="Arial"/>
          <w:spacing w:val="-1"/>
          <w:sz w:val="20"/>
          <w:szCs w:val="20"/>
        </w:rPr>
        <w:t xml:space="preserve"> </w:t>
      </w:r>
      <w:r w:rsidRPr="00CD5CD5">
        <w:rPr>
          <w:rFonts w:ascii="Arial" w:hAnsi="Arial" w:cs="Arial"/>
          <w:sz w:val="20"/>
          <w:szCs w:val="20"/>
        </w:rPr>
        <w:t>and</w:t>
      </w:r>
      <w:r w:rsidRPr="00CD5CD5">
        <w:rPr>
          <w:rFonts w:ascii="Arial" w:hAnsi="Arial" w:cs="Arial"/>
          <w:spacing w:val="-1"/>
          <w:sz w:val="20"/>
          <w:szCs w:val="20"/>
        </w:rPr>
        <w:t xml:space="preserve"> </w:t>
      </w:r>
      <w:r w:rsidRPr="00CD5CD5">
        <w:rPr>
          <w:rFonts w:ascii="Arial" w:hAnsi="Arial" w:cs="Arial"/>
          <w:sz w:val="20"/>
          <w:szCs w:val="20"/>
        </w:rPr>
        <w:t>oil</w:t>
      </w:r>
      <w:r w:rsidRPr="00CD5CD5">
        <w:rPr>
          <w:rFonts w:ascii="Arial" w:hAnsi="Arial" w:cs="Arial"/>
          <w:spacing w:val="-1"/>
          <w:sz w:val="20"/>
          <w:szCs w:val="20"/>
        </w:rPr>
        <w:t xml:space="preserve"> </w:t>
      </w:r>
      <w:r w:rsidRPr="00CD5CD5">
        <w:rPr>
          <w:rFonts w:ascii="Arial" w:hAnsi="Arial" w:cs="Arial"/>
          <w:sz w:val="20"/>
          <w:szCs w:val="20"/>
        </w:rPr>
        <w:t>pressure,</w:t>
      </w:r>
      <w:r w:rsidRPr="00CD5CD5">
        <w:rPr>
          <w:rFonts w:ascii="Arial" w:hAnsi="Arial" w:cs="Arial"/>
          <w:spacing w:val="-3"/>
          <w:sz w:val="20"/>
          <w:szCs w:val="20"/>
        </w:rPr>
        <w:t xml:space="preserve"> </w:t>
      </w:r>
      <w:r w:rsidRPr="00CD5CD5">
        <w:rPr>
          <w:rFonts w:ascii="Arial" w:hAnsi="Arial" w:cs="Arial"/>
          <w:sz w:val="20"/>
          <w:szCs w:val="20"/>
        </w:rPr>
        <w:t>engine</w:t>
      </w:r>
      <w:r w:rsidRPr="00CD5CD5">
        <w:rPr>
          <w:rFonts w:ascii="Arial" w:hAnsi="Arial" w:cs="Arial"/>
          <w:spacing w:val="1"/>
          <w:sz w:val="20"/>
          <w:szCs w:val="20"/>
        </w:rPr>
        <w:t xml:space="preserve"> </w:t>
      </w:r>
      <w:r w:rsidRPr="00CD5CD5">
        <w:rPr>
          <w:rFonts w:ascii="Arial" w:hAnsi="Arial" w:cs="Arial"/>
          <w:sz w:val="20"/>
          <w:szCs w:val="20"/>
        </w:rPr>
        <w:t>temperatures;</w:t>
      </w:r>
    </w:p>
    <w:p w14:paraId="4367296D" w14:textId="77777777" w:rsidR="00CD5CD5" w:rsidRPr="00CD5CD5" w:rsidRDefault="00CD5CD5" w:rsidP="00CD5CD5">
      <w:pPr>
        <w:pStyle w:val="ListParagraph"/>
        <w:numPr>
          <w:ilvl w:val="3"/>
          <w:numId w:val="290"/>
        </w:numPr>
        <w:tabs>
          <w:tab w:val="left" w:pos="2408"/>
          <w:tab w:val="left" w:pos="2409"/>
        </w:tabs>
        <w:spacing w:before="121"/>
        <w:ind w:right="196"/>
        <w:rPr>
          <w:rFonts w:ascii="Arial" w:hAnsi="Arial" w:cs="Arial"/>
          <w:sz w:val="20"/>
          <w:szCs w:val="20"/>
        </w:rPr>
      </w:pPr>
      <w:r w:rsidRPr="00CD5CD5">
        <w:rPr>
          <w:rFonts w:ascii="Arial" w:hAnsi="Arial" w:cs="Arial"/>
          <w:sz w:val="20"/>
          <w:szCs w:val="20"/>
        </w:rPr>
        <w:t>for</w:t>
      </w:r>
      <w:r w:rsidRPr="00CD5CD5">
        <w:rPr>
          <w:rFonts w:ascii="Arial" w:hAnsi="Arial" w:cs="Arial"/>
          <w:spacing w:val="4"/>
          <w:sz w:val="20"/>
          <w:szCs w:val="20"/>
        </w:rPr>
        <w:t xml:space="preserve"> </w:t>
      </w:r>
      <w:r w:rsidRPr="00CD5CD5">
        <w:rPr>
          <w:rFonts w:ascii="Arial" w:hAnsi="Arial" w:cs="Arial"/>
          <w:sz w:val="20"/>
          <w:szCs w:val="20"/>
        </w:rPr>
        <w:t>engines</w:t>
      </w:r>
      <w:r w:rsidRPr="00CD5CD5">
        <w:rPr>
          <w:rFonts w:ascii="Arial" w:hAnsi="Arial" w:cs="Arial"/>
          <w:spacing w:val="3"/>
          <w:sz w:val="20"/>
          <w:szCs w:val="20"/>
        </w:rPr>
        <w:t xml:space="preserve"> </w:t>
      </w:r>
      <w:r w:rsidRPr="00CD5CD5">
        <w:rPr>
          <w:rFonts w:ascii="Arial" w:hAnsi="Arial" w:cs="Arial"/>
          <w:sz w:val="20"/>
          <w:szCs w:val="20"/>
        </w:rPr>
        <w:t>equipped</w:t>
      </w:r>
      <w:r w:rsidRPr="00CD5CD5">
        <w:rPr>
          <w:rFonts w:ascii="Arial" w:hAnsi="Arial" w:cs="Arial"/>
          <w:spacing w:val="4"/>
          <w:sz w:val="20"/>
          <w:szCs w:val="20"/>
        </w:rPr>
        <w:t xml:space="preserve"> </w:t>
      </w:r>
      <w:r w:rsidRPr="00CD5CD5">
        <w:rPr>
          <w:rFonts w:ascii="Arial" w:hAnsi="Arial" w:cs="Arial"/>
          <w:sz w:val="20"/>
          <w:szCs w:val="20"/>
        </w:rPr>
        <w:t>with</w:t>
      </w:r>
      <w:r w:rsidRPr="00CD5CD5">
        <w:rPr>
          <w:rFonts w:ascii="Arial" w:hAnsi="Arial" w:cs="Arial"/>
          <w:spacing w:val="2"/>
          <w:sz w:val="20"/>
          <w:szCs w:val="20"/>
        </w:rPr>
        <w:t xml:space="preserve"> </w:t>
      </w:r>
      <w:r w:rsidRPr="00CD5CD5">
        <w:rPr>
          <w:rFonts w:ascii="Arial" w:hAnsi="Arial" w:cs="Arial"/>
          <w:sz w:val="20"/>
          <w:szCs w:val="20"/>
        </w:rPr>
        <w:t>automated</w:t>
      </w:r>
      <w:r w:rsidRPr="00CD5CD5">
        <w:rPr>
          <w:rFonts w:ascii="Arial" w:hAnsi="Arial" w:cs="Arial"/>
          <w:spacing w:val="2"/>
          <w:sz w:val="20"/>
          <w:szCs w:val="20"/>
        </w:rPr>
        <w:t xml:space="preserve"> </w:t>
      </w:r>
      <w:r w:rsidRPr="00CD5CD5">
        <w:rPr>
          <w:rFonts w:ascii="Arial" w:hAnsi="Arial" w:cs="Arial"/>
          <w:sz w:val="20"/>
          <w:szCs w:val="20"/>
        </w:rPr>
        <w:t>engine</w:t>
      </w:r>
      <w:r w:rsidRPr="00CD5CD5">
        <w:rPr>
          <w:rFonts w:ascii="Arial" w:hAnsi="Arial" w:cs="Arial"/>
          <w:spacing w:val="4"/>
          <w:sz w:val="20"/>
          <w:szCs w:val="20"/>
        </w:rPr>
        <w:t xml:space="preserve"> </w:t>
      </w:r>
      <w:r w:rsidRPr="00CD5CD5">
        <w:rPr>
          <w:rFonts w:ascii="Arial" w:hAnsi="Arial" w:cs="Arial"/>
          <w:sz w:val="20"/>
          <w:szCs w:val="20"/>
        </w:rPr>
        <w:t>control,</w:t>
      </w:r>
      <w:r w:rsidRPr="00CD5CD5">
        <w:rPr>
          <w:rFonts w:ascii="Arial" w:hAnsi="Arial" w:cs="Arial"/>
          <w:spacing w:val="2"/>
          <w:sz w:val="20"/>
          <w:szCs w:val="20"/>
        </w:rPr>
        <w:t xml:space="preserve"> </w:t>
      </w:r>
      <w:r w:rsidRPr="00CD5CD5">
        <w:rPr>
          <w:rFonts w:ascii="Arial" w:hAnsi="Arial" w:cs="Arial"/>
          <w:sz w:val="20"/>
          <w:szCs w:val="20"/>
        </w:rPr>
        <w:t>the</w:t>
      </w:r>
      <w:r w:rsidRPr="00CD5CD5">
        <w:rPr>
          <w:rFonts w:ascii="Arial" w:hAnsi="Arial" w:cs="Arial"/>
          <w:spacing w:val="5"/>
          <w:sz w:val="20"/>
          <w:szCs w:val="20"/>
        </w:rPr>
        <w:t xml:space="preserve"> </w:t>
      </w:r>
      <w:r w:rsidRPr="00CD5CD5">
        <w:rPr>
          <w:rFonts w:ascii="Arial" w:hAnsi="Arial" w:cs="Arial"/>
          <w:sz w:val="20"/>
          <w:szCs w:val="20"/>
        </w:rPr>
        <w:t>published</w:t>
      </w:r>
      <w:r w:rsidRPr="00CD5CD5">
        <w:rPr>
          <w:rFonts w:ascii="Arial" w:hAnsi="Arial" w:cs="Arial"/>
          <w:spacing w:val="3"/>
          <w:sz w:val="20"/>
          <w:szCs w:val="20"/>
        </w:rPr>
        <w:t xml:space="preserve"> </w:t>
      </w:r>
      <w:r w:rsidRPr="00CD5CD5">
        <w:rPr>
          <w:rFonts w:ascii="Arial" w:hAnsi="Arial" w:cs="Arial"/>
          <w:sz w:val="20"/>
          <w:szCs w:val="20"/>
        </w:rPr>
        <w:t>run-up</w:t>
      </w:r>
      <w:r w:rsidRPr="00CD5CD5">
        <w:rPr>
          <w:rFonts w:ascii="Arial" w:hAnsi="Arial" w:cs="Arial"/>
          <w:spacing w:val="-46"/>
          <w:sz w:val="20"/>
          <w:szCs w:val="20"/>
        </w:rPr>
        <w:t xml:space="preserve"> </w:t>
      </w:r>
      <w:r w:rsidRPr="00CD5CD5">
        <w:rPr>
          <w:rFonts w:ascii="Arial" w:hAnsi="Arial" w:cs="Arial"/>
          <w:sz w:val="20"/>
          <w:szCs w:val="20"/>
        </w:rPr>
        <w:t>procedure;</w:t>
      </w:r>
    </w:p>
    <w:p w14:paraId="67AD1615" w14:textId="77777777" w:rsidR="00CD5CD5" w:rsidRPr="00CD5CD5" w:rsidRDefault="00CD5CD5" w:rsidP="00CD5CD5">
      <w:pPr>
        <w:pStyle w:val="ListParagraph"/>
        <w:numPr>
          <w:ilvl w:val="3"/>
          <w:numId w:val="290"/>
        </w:numPr>
        <w:tabs>
          <w:tab w:val="left" w:pos="2408"/>
          <w:tab w:val="left" w:pos="2409"/>
        </w:tabs>
        <w:spacing w:before="121"/>
        <w:ind w:right="194"/>
        <w:rPr>
          <w:rFonts w:ascii="Arial" w:hAnsi="Arial" w:cs="Arial"/>
          <w:sz w:val="20"/>
          <w:szCs w:val="20"/>
        </w:rPr>
      </w:pPr>
      <w:r w:rsidRPr="00CD5CD5">
        <w:rPr>
          <w:rFonts w:ascii="Arial" w:hAnsi="Arial" w:cs="Arial"/>
          <w:spacing w:val="-1"/>
          <w:sz w:val="20"/>
          <w:szCs w:val="20"/>
        </w:rPr>
        <w:t>for</w:t>
      </w:r>
      <w:r w:rsidRPr="00CD5CD5">
        <w:rPr>
          <w:rFonts w:ascii="Arial" w:hAnsi="Arial" w:cs="Arial"/>
          <w:spacing w:val="-12"/>
          <w:sz w:val="20"/>
          <w:szCs w:val="20"/>
        </w:rPr>
        <w:t xml:space="preserve"> </w:t>
      </w:r>
      <w:r w:rsidRPr="00CD5CD5">
        <w:rPr>
          <w:rFonts w:ascii="Arial" w:hAnsi="Arial" w:cs="Arial"/>
          <w:spacing w:val="-1"/>
          <w:sz w:val="20"/>
          <w:szCs w:val="20"/>
        </w:rPr>
        <w:t>dry-sump</w:t>
      </w:r>
      <w:r w:rsidRPr="00CD5CD5">
        <w:rPr>
          <w:rFonts w:ascii="Arial" w:hAnsi="Arial" w:cs="Arial"/>
          <w:spacing w:val="-14"/>
          <w:sz w:val="20"/>
          <w:szCs w:val="20"/>
        </w:rPr>
        <w:t xml:space="preserve"> </w:t>
      </w:r>
      <w:r w:rsidRPr="00CD5CD5">
        <w:rPr>
          <w:rFonts w:ascii="Arial" w:hAnsi="Arial" w:cs="Arial"/>
          <w:sz w:val="20"/>
          <w:szCs w:val="20"/>
        </w:rPr>
        <w:t>engines,</w:t>
      </w:r>
      <w:r w:rsidRPr="00CD5CD5">
        <w:rPr>
          <w:rFonts w:ascii="Arial" w:hAnsi="Arial" w:cs="Arial"/>
          <w:spacing w:val="-10"/>
          <w:sz w:val="20"/>
          <w:szCs w:val="20"/>
        </w:rPr>
        <w:t xml:space="preserve"> </w:t>
      </w:r>
      <w:r w:rsidRPr="00CD5CD5">
        <w:rPr>
          <w:rFonts w:ascii="Arial" w:hAnsi="Arial" w:cs="Arial"/>
          <w:sz w:val="20"/>
          <w:szCs w:val="20"/>
        </w:rPr>
        <w:t>engines</w:t>
      </w:r>
      <w:r w:rsidRPr="00CD5CD5">
        <w:rPr>
          <w:rFonts w:ascii="Arial" w:hAnsi="Arial" w:cs="Arial"/>
          <w:spacing w:val="-10"/>
          <w:sz w:val="20"/>
          <w:szCs w:val="20"/>
        </w:rPr>
        <w:t xml:space="preserve"> </w:t>
      </w:r>
      <w:r w:rsidRPr="00CD5CD5">
        <w:rPr>
          <w:rFonts w:ascii="Arial" w:hAnsi="Arial" w:cs="Arial"/>
          <w:sz w:val="20"/>
          <w:szCs w:val="20"/>
        </w:rPr>
        <w:t>with</w:t>
      </w:r>
      <w:r w:rsidRPr="00CD5CD5">
        <w:rPr>
          <w:rFonts w:ascii="Arial" w:hAnsi="Arial" w:cs="Arial"/>
          <w:spacing w:val="-14"/>
          <w:sz w:val="20"/>
          <w:szCs w:val="20"/>
        </w:rPr>
        <w:t xml:space="preserve"> </w:t>
      </w:r>
      <w:r w:rsidRPr="00CD5CD5">
        <w:rPr>
          <w:rFonts w:ascii="Arial" w:hAnsi="Arial" w:cs="Arial"/>
          <w:sz w:val="20"/>
          <w:szCs w:val="20"/>
        </w:rPr>
        <w:t>turbochargers</w:t>
      </w:r>
      <w:r w:rsidRPr="00CD5CD5">
        <w:rPr>
          <w:rFonts w:ascii="Arial" w:hAnsi="Arial" w:cs="Arial"/>
          <w:spacing w:val="-10"/>
          <w:sz w:val="20"/>
          <w:szCs w:val="20"/>
        </w:rPr>
        <w:t xml:space="preserve"> </w:t>
      </w:r>
      <w:r w:rsidRPr="00CD5CD5">
        <w:rPr>
          <w:rFonts w:ascii="Arial" w:hAnsi="Arial" w:cs="Arial"/>
          <w:sz w:val="20"/>
          <w:szCs w:val="20"/>
        </w:rPr>
        <w:t>and</w:t>
      </w:r>
      <w:r w:rsidRPr="00CD5CD5">
        <w:rPr>
          <w:rFonts w:ascii="Arial" w:hAnsi="Arial" w:cs="Arial"/>
          <w:spacing w:val="-14"/>
          <w:sz w:val="20"/>
          <w:szCs w:val="20"/>
        </w:rPr>
        <w:t xml:space="preserve"> </w:t>
      </w:r>
      <w:r w:rsidRPr="00CD5CD5">
        <w:rPr>
          <w:rFonts w:ascii="Arial" w:hAnsi="Arial" w:cs="Arial"/>
          <w:sz w:val="20"/>
          <w:szCs w:val="20"/>
        </w:rPr>
        <w:t>liquid-cooled</w:t>
      </w:r>
      <w:r w:rsidRPr="00CD5CD5">
        <w:rPr>
          <w:rFonts w:ascii="Arial" w:hAnsi="Arial" w:cs="Arial"/>
          <w:spacing w:val="-14"/>
          <w:sz w:val="20"/>
          <w:szCs w:val="20"/>
        </w:rPr>
        <w:t xml:space="preserve"> </w:t>
      </w:r>
      <w:r w:rsidRPr="00CD5CD5">
        <w:rPr>
          <w:rFonts w:ascii="Arial" w:hAnsi="Arial" w:cs="Arial"/>
          <w:sz w:val="20"/>
          <w:szCs w:val="20"/>
        </w:rPr>
        <w:t>engines,</w:t>
      </w:r>
      <w:r w:rsidRPr="00CD5CD5">
        <w:rPr>
          <w:rFonts w:ascii="Arial" w:hAnsi="Arial" w:cs="Arial"/>
          <w:spacing w:val="-47"/>
          <w:sz w:val="20"/>
          <w:szCs w:val="20"/>
        </w:rPr>
        <w:t xml:space="preserve"> </w:t>
      </w:r>
      <w:r w:rsidRPr="00CD5CD5">
        <w:rPr>
          <w:rFonts w:ascii="Arial" w:hAnsi="Arial" w:cs="Arial"/>
          <w:sz w:val="20"/>
          <w:szCs w:val="20"/>
        </w:rPr>
        <w:t>an</w:t>
      </w:r>
      <w:r w:rsidRPr="00CD5CD5">
        <w:rPr>
          <w:rFonts w:ascii="Arial" w:hAnsi="Arial" w:cs="Arial"/>
          <w:spacing w:val="-2"/>
          <w:sz w:val="20"/>
          <w:szCs w:val="20"/>
        </w:rPr>
        <w:t xml:space="preserve"> </w:t>
      </w:r>
      <w:r w:rsidRPr="00CD5CD5">
        <w:rPr>
          <w:rFonts w:ascii="Arial" w:hAnsi="Arial" w:cs="Arial"/>
          <w:sz w:val="20"/>
          <w:szCs w:val="20"/>
        </w:rPr>
        <w:t>operational</w:t>
      </w:r>
      <w:r w:rsidRPr="00CD5CD5">
        <w:rPr>
          <w:rFonts w:ascii="Arial" w:hAnsi="Arial" w:cs="Arial"/>
          <w:spacing w:val="-3"/>
          <w:sz w:val="20"/>
          <w:szCs w:val="20"/>
        </w:rPr>
        <w:t xml:space="preserve"> </w:t>
      </w:r>
      <w:r w:rsidRPr="00CD5CD5">
        <w:rPr>
          <w:rFonts w:ascii="Arial" w:hAnsi="Arial" w:cs="Arial"/>
          <w:sz w:val="20"/>
          <w:szCs w:val="20"/>
        </w:rPr>
        <w:t>test</w:t>
      </w:r>
      <w:r w:rsidRPr="00CD5CD5">
        <w:rPr>
          <w:rFonts w:ascii="Arial" w:hAnsi="Arial" w:cs="Arial"/>
          <w:spacing w:val="-2"/>
          <w:sz w:val="20"/>
          <w:szCs w:val="20"/>
        </w:rPr>
        <w:t xml:space="preserve"> </w:t>
      </w:r>
      <w:r w:rsidRPr="00CD5CD5">
        <w:rPr>
          <w:rFonts w:ascii="Arial" w:hAnsi="Arial" w:cs="Arial"/>
          <w:sz w:val="20"/>
          <w:szCs w:val="20"/>
        </w:rPr>
        <w:t>for</w:t>
      </w:r>
      <w:r w:rsidRPr="00CD5CD5">
        <w:rPr>
          <w:rFonts w:ascii="Arial" w:hAnsi="Arial" w:cs="Arial"/>
          <w:spacing w:val="-3"/>
          <w:sz w:val="20"/>
          <w:szCs w:val="20"/>
        </w:rPr>
        <w:t xml:space="preserve"> </w:t>
      </w:r>
      <w:r w:rsidRPr="00CD5CD5">
        <w:rPr>
          <w:rFonts w:ascii="Arial" w:hAnsi="Arial" w:cs="Arial"/>
          <w:sz w:val="20"/>
          <w:szCs w:val="20"/>
        </w:rPr>
        <w:t>signs of disturbed fluid</w:t>
      </w:r>
      <w:r w:rsidRPr="00CD5CD5">
        <w:rPr>
          <w:rFonts w:ascii="Arial" w:hAnsi="Arial" w:cs="Arial"/>
          <w:spacing w:val="-2"/>
          <w:sz w:val="20"/>
          <w:szCs w:val="20"/>
        </w:rPr>
        <w:t xml:space="preserve"> </w:t>
      </w:r>
      <w:r w:rsidRPr="00CD5CD5">
        <w:rPr>
          <w:rFonts w:ascii="Arial" w:hAnsi="Arial" w:cs="Arial"/>
          <w:sz w:val="20"/>
          <w:szCs w:val="20"/>
        </w:rPr>
        <w:t>circulation;</w:t>
      </w:r>
    </w:p>
    <w:p w14:paraId="76351B83" w14:textId="77777777" w:rsidR="00CD5CD5" w:rsidRPr="00CD5CD5" w:rsidRDefault="00CD5CD5" w:rsidP="00CD5CD5">
      <w:pPr>
        <w:pStyle w:val="ListParagraph"/>
        <w:numPr>
          <w:ilvl w:val="2"/>
          <w:numId w:val="290"/>
        </w:numPr>
        <w:tabs>
          <w:tab w:val="left" w:pos="1841"/>
          <w:tab w:val="left" w:pos="1842"/>
        </w:tabs>
        <w:spacing w:before="121"/>
        <w:ind w:right="202"/>
        <w:rPr>
          <w:rFonts w:ascii="Arial" w:hAnsi="Arial" w:cs="Arial"/>
          <w:sz w:val="20"/>
          <w:szCs w:val="20"/>
        </w:rPr>
      </w:pPr>
      <w:r w:rsidRPr="00CD5CD5">
        <w:rPr>
          <w:rFonts w:ascii="Arial" w:hAnsi="Arial" w:cs="Arial"/>
          <w:sz w:val="20"/>
          <w:szCs w:val="20"/>
        </w:rPr>
        <w:t>inspection</w:t>
      </w:r>
      <w:r w:rsidRPr="00CD5CD5">
        <w:rPr>
          <w:rFonts w:ascii="Arial" w:hAnsi="Arial" w:cs="Arial"/>
          <w:spacing w:val="11"/>
          <w:sz w:val="20"/>
          <w:szCs w:val="20"/>
        </w:rPr>
        <w:t xml:space="preserve"> </w:t>
      </w:r>
      <w:r w:rsidRPr="00CD5CD5">
        <w:rPr>
          <w:rFonts w:ascii="Arial" w:hAnsi="Arial" w:cs="Arial"/>
          <w:sz w:val="20"/>
          <w:szCs w:val="20"/>
        </w:rPr>
        <w:t>of</w:t>
      </w:r>
      <w:r w:rsidRPr="00CD5CD5">
        <w:rPr>
          <w:rFonts w:ascii="Arial" w:hAnsi="Arial" w:cs="Arial"/>
          <w:spacing w:val="16"/>
          <w:sz w:val="20"/>
          <w:szCs w:val="20"/>
        </w:rPr>
        <w:t xml:space="preserve"> </w:t>
      </w:r>
      <w:r w:rsidRPr="00CD5CD5">
        <w:rPr>
          <w:rFonts w:ascii="Arial" w:hAnsi="Arial" w:cs="Arial"/>
          <w:sz w:val="20"/>
          <w:szCs w:val="20"/>
        </w:rPr>
        <w:t>the</w:t>
      </w:r>
      <w:r w:rsidRPr="00CD5CD5">
        <w:rPr>
          <w:rFonts w:ascii="Arial" w:hAnsi="Arial" w:cs="Arial"/>
          <w:spacing w:val="15"/>
          <w:sz w:val="20"/>
          <w:szCs w:val="20"/>
        </w:rPr>
        <w:t xml:space="preserve"> </w:t>
      </w:r>
      <w:r w:rsidRPr="00CD5CD5">
        <w:rPr>
          <w:rFonts w:ascii="Arial" w:hAnsi="Arial" w:cs="Arial"/>
          <w:sz w:val="20"/>
          <w:szCs w:val="20"/>
        </w:rPr>
        <w:t>condition</w:t>
      </w:r>
      <w:r w:rsidRPr="00CD5CD5">
        <w:rPr>
          <w:rFonts w:ascii="Arial" w:hAnsi="Arial" w:cs="Arial"/>
          <w:spacing w:val="15"/>
          <w:sz w:val="20"/>
          <w:szCs w:val="20"/>
        </w:rPr>
        <w:t xml:space="preserve"> </w:t>
      </w:r>
      <w:r w:rsidRPr="00CD5CD5">
        <w:rPr>
          <w:rFonts w:ascii="Arial" w:hAnsi="Arial" w:cs="Arial"/>
          <w:sz w:val="20"/>
          <w:szCs w:val="20"/>
        </w:rPr>
        <w:t>and</w:t>
      </w:r>
      <w:r w:rsidRPr="00CD5CD5">
        <w:rPr>
          <w:rFonts w:ascii="Arial" w:hAnsi="Arial" w:cs="Arial"/>
          <w:spacing w:val="15"/>
          <w:sz w:val="20"/>
          <w:szCs w:val="20"/>
        </w:rPr>
        <w:t xml:space="preserve"> </w:t>
      </w:r>
      <w:r w:rsidRPr="00CD5CD5">
        <w:rPr>
          <w:rFonts w:ascii="Arial" w:hAnsi="Arial" w:cs="Arial"/>
          <w:sz w:val="20"/>
          <w:szCs w:val="20"/>
        </w:rPr>
        <w:t>attachment</w:t>
      </w:r>
      <w:r w:rsidRPr="00CD5CD5">
        <w:rPr>
          <w:rFonts w:ascii="Arial" w:hAnsi="Arial" w:cs="Arial"/>
          <w:spacing w:val="15"/>
          <w:sz w:val="20"/>
          <w:szCs w:val="20"/>
        </w:rPr>
        <w:t xml:space="preserve"> </w:t>
      </w:r>
      <w:r w:rsidRPr="00CD5CD5">
        <w:rPr>
          <w:rFonts w:ascii="Arial" w:hAnsi="Arial" w:cs="Arial"/>
          <w:sz w:val="20"/>
          <w:szCs w:val="20"/>
        </w:rPr>
        <w:t>of</w:t>
      </w:r>
      <w:r w:rsidRPr="00CD5CD5">
        <w:rPr>
          <w:rFonts w:ascii="Arial" w:hAnsi="Arial" w:cs="Arial"/>
          <w:spacing w:val="16"/>
          <w:sz w:val="20"/>
          <w:szCs w:val="20"/>
        </w:rPr>
        <w:t xml:space="preserve"> </w:t>
      </w:r>
      <w:r w:rsidRPr="00CD5CD5">
        <w:rPr>
          <w:rFonts w:ascii="Arial" w:hAnsi="Arial" w:cs="Arial"/>
          <w:sz w:val="20"/>
          <w:szCs w:val="20"/>
        </w:rPr>
        <w:t>the</w:t>
      </w:r>
      <w:r w:rsidRPr="00CD5CD5">
        <w:rPr>
          <w:rFonts w:ascii="Arial" w:hAnsi="Arial" w:cs="Arial"/>
          <w:spacing w:val="15"/>
          <w:sz w:val="20"/>
          <w:szCs w:val="20"/>
        </w:rPr>
        <w:t xml:space="preserve"> </w:t>
      </w:r>
      <w:r w:rsidRPr="00CD5CD5">
        <w:rPr>
          <w:rFonts w:ascii="Arial" w:hAnsi="Arial" w:cs="Arial"/>
          <w:sz w:val="20"/>
          <w:szCs w:val="20"/>
        </w:rPr>
        <w:t>structural</w:t>
      </w:r>
      <w:r w:rsidRPr="00CD5CD5">
        <w:rPr>
          <w:rFonts w:ascii="Arial" w:hAnsi="Arial" w:cs="Arial"/>
          <w:spacing w:val="15"/>
          <w:sz w:val="20"/>
          <w:szCs w:val="20"/>
        </w:rPr>
        <w:t xml:space="preserve"> </w:t>
      </w:r>
      <w:r w:rsidRPr="00CD5CD5">
        <w:rPr>
          <w:rFonts w:ascii="Arial" w:hAnsi="Arial" w:cs="Arial"/>
          <w:sz w:val="20"/>
          <w:szCs w:val="20"/>
        </w:rPr>
        <w:t>items,</w:t>
      </w:r>
      <w:r w:rsidRPr="00CD5CD5">
        <w:rPr>
          <w:rFonts w:ascii="Arial" w:hAnsi="Arial" w:cs="Arial"/>
          <w:spacing w:val="16"/>
          <w:sz w:val="20"/>
          <w:szCs w:val="20"/>
        </w:rPr>
        <w:t xml:space="preserve"> </w:t>
      </w:r>
      <w:r w:rsidRPr="00CD5CD5">
        <w:rPr>
          <w:rFonts w:ascii="Arial" w:hAnsi="Arial" w:cs="Arial"/>
          <w:sz w:val="20"/>
          <w:szCs w:val="20"/>
        </w:rPr>
        <w:t>systems</w:t>
      </w:r>
      <w:r w:rsidRPr="00CD5CD5">
        <w:rPr>
          <w:rFonts w:ascii="Arial" w:hAnsi="Arial" w:cs="Arial"/>
          <w:spacing w:val="15"/>
          <w:sz w:val="20"/>
          <w:szCs w:val="20"/>
        </w:rPr>
        <w:t xml:space="preserve"> </w:t>
      </w:r>
      <w:r w:rsidRPr="00CD5CD5">
        <w:rPr>
          <w:rFonts w:ascii="Arial" w:hAnsi="Arial" w:cs="Arial"/>
          <w:sz w:val="20"/>
          <w:szCs w:val="20"/>
        </w:rPr>
        <w:t>and</w:t>
      </w:r>
      <w:r w:rsidRPr="00CD5CD5">
        <w:rPr>
          <w:rFonts w:ascii="Arial" w:hAnsi="Arial" w:cs="Arial"/>
          <w:spacing w:val="-47"/>
          <w:sz w:val="20"/>
          <w:szCs w:val="20"/>
        </w:rPr>
        <w:t xml:space="preserve"> </w:t>
      </w:r>
      <w:r w:rsidRPr="00CD5CD5">
        <w:rPr>
          <w:rFonts w:ascii="Arial" w:hAnsi="Arial" w:cs="Arial"/>
          <w:sz w:val="20"/>
          <w:szCs w:val="20"/>
        </w:rPr>
        <w:t>components corresponding</w:t>
      </w:r>
      <w:r w:rsidRPr="00CD5CD5">
        <w:rPr>
          <w:rFonts w:ascii="Arial" w:hAnsi="Arial" w:cs="Arial"/>
          <w:spacing w:val="-1"/>
          <w:sz w:val="20"/>
          <w:szCs w:val="20"/>
        </w:rPr>
        <w:t xml:space="preserve"> </w:t>
      </w:r>
      <w:r w:rsidRPr="00CD5CD5">
        <w:rPr>
          <w:rFonts w:ascii="Arial" w:hAnsi="Arial" w:cs="Arial"/>
          <w:sz w:val="20"/>
          <w:szCs w:val="20"/>
        </w:rPr>
        <w:t>to</w:t>
      </w:r>
      <w:r w:rsidRPr="00CD5CD5">
        <w:rPr>
          <w:rFonts w:ascii="Arial" w:hAnsi="Arial" w:cs="Arial"/>
          <w:spacing w:val="-1"/>
          <w:sz w:val="20"/>
          <w:szCs w:val="20"/>
        </w:rPr>
        <w:t xml:space="preserve"> </w:t>
      </w:r>
      <w:r w:rsidRPr="00CD5CD5">
        <w:rPr>
          <w:rFonts w:ascii="Arial" w:hAnsi="Arial" w:cs="Arial"/>
          <w:sz w:val="20"/>
          <w:szCs w:val="20"/>
        </w:rPr>
        <w:t>the following</w:t>
      </w:r>
      <w:r w:rsidRPr="00CD5CD5">
        <w:rPr>
          <w:rFonts w:ascii="Arial" w:hAnsi="Arial" w:cs="Arial"/>
          <w:spacing w:val="-2"/>
          <w:sz w:val="20"/>
          <w:szCs w:val="20"/>
        </w:rPr>
        <w:t xml:space="preserve"> </w:t>
      </w:r>
      <w:r w:rsidRPr="00CD5CD5">
        <w:rPr>
          <w:rFonts w:ascii="Arial" w:hAnsi="Arial" w:cs="Arial"/>
          <w:sz w:val="20"/>
          <w:szCs w:val="20"/>
        </w:rPr>
        <w:t>areas:</w:t>
      </w:r>
    </w:p>
    <w:p w14:paraId="6E6D6267" w14:textId="77777777" w:rsidR="00CD5CD5" w:rsidRPr="00CD5CD5" w:rsidRDefault="00CD5CD5" w:rsidP="00CD5CD5">
      <w:pPr>
        <w:pStyle w:val="ListParagraph"/>
        <w:numPr>
          <w:ilvl w:val="3"/>
          <w:numId w:val="290"/>
        </w:numPr>
        <w:tabs>
          <w:tab w:val="left" w:pos="2409"/>
        </w:tabs>
        <w:spacing w:before="57"/>
        <w:jc w:val="both"/>
        <w:rPr>
          <w:rFonts w:ascii="Arial" w:hAnsi="Arial" w:cs="Arial"/>
          <w:sz w:val="20"/>
          <w:szCs w:val="20"/>
        </w:rPr>
      </w:pPr>
      <w:r w:rsidRPr="00CD5CD5">
        <w:rPr>
          <w:rFonts w:ascii="Arial" w:hAnsi="Arial" w:cs="Arial"/>
          <w:sz w:val="20"/>
          <w:szCs w:val="20"/>
        </w:rPr>
        <w:lastRenderedPageBreak/>
        <w:t>for</w:t>
      </w:r>
      <w:r w:rsidRPr="00CD5CD5">
        <w:rPr>
          <w:rFonts w:ascii="Arial" w:hAnsi="Arial" w:cs="Arial"/>
          <w:spacing w:val="-2"/>
          <w:sz w:val="20"/>
          <w:szCs w:val="20"/>
        </w:rPr>
        <w:t xml:space="preserve"> </w:t>
      </w:r>
      <w:r w:rsidRPr="00CD5CD5">
        <w:rPr>
          <w:rFonts w:ascii="Arial" w:hAnsi="Arial" w:cs="Arial"/>
          <w:sz w:val="20"/>
          <w:szCs w:val="20"/>
        </w:rPr>
        <w:t>aeroplanes:</w:t>
      </w:r>
    </w:p>
    <w:p w14:paraId="75650652" w14:textId="77777777" w:rsidR="00CD5CD5" w:rsidRPr="00CD5CD5" w:rsidRDefault="00CD5CD5" w:rsidP="00CD5CD5">
      <w:pPr>
        <w:pStyle w:val="BodyText"/>
        <w:ind w:left="2408" w:right="193"/>
        <w:jc w:val="both"/>
        <w:rPr>
          <w:rFonts w:ascii="Arial" w:hAnsi="Arial" w:cs="Arial"/>
          <w:sz w:val="20"/>
          <w:szCs w:val="20"/>
        </w:rPr>
      </w:pPr>
      <w:r w:rsidRPr="00CD5CD5">
        <w:rPr>
          <w:rFonts w:ascii="Arial" w:hAnsi="Arial" w:cs="Arial"/>
          <w:sz w:val="20"/>
          <w:szCs w:val="20"/>
        </w:rPr>
        <w:t>airframe, cabin and cockpit, landing gear, wing and centre section, flight</w:t>
      </w:r>
      <w:r w:rsidRPr="00CD5CD5">
        <w:rPr>
          <w:rFonts w:ascii="Arial" w:hAnsi="Arial" w:cs="Arial"/>
          <w:spacing w:val="1"/>
          <w:sz w:val="20"/>
          <w:szCs w:val="20"/>
        </w:rPr>
        <w:t xml:space="preserve"> </w:t>
      </w:r>
      <w:r w:rsidRPr="00CD5CD5">
        <w:rPr>
          <w:rFonts w:ascii="Arial" w:hAnsi="Arial" w:cs="Arial"/>
          <w:sz w:val="20"/>
          <w:szCs w:val="20"/>
        </w:rPr>
        <w:t>controls,</w:t>
      </w:r>
      <w:r w:rsidRPr="00CD5CD5">
        <w:rPr>
          <w:rFonts w:ascii="Arial" w:hAnsi="Arial" w:cs="Arial"/>
          <w:spacing w:val="1"/>
          <w:sz w:val="20"/>
          <w:szCs w:val="20"/>
        </w:rPr>
        <w:t xml:space="preserve"> </w:t>
      </w:r>
      <w:r w:rsidRPr="00CD5CD5">
        <w:rPr>
          <w:rFonts w:ascii="Arial" w:hAnsi="Arial" w:cs="Arial"/>
          <w:sz w:val="20"/>
          <w:szCs w:val="20"/>
        </w:rPr>
        <w:t>empennage,</w:t>
      </w:r>
      <w:r w:rsidRPr="00CD5CD5">
        <w:rPr>
          <w:rFonts w:ascii="Arial" w:hAnsi="Arial" w:cs="Arial"/>
          <w:spacing w:val="1"/>
          <w:sz w:val="20"/>
          <w:szCs w:val="20"/>
        </w:rPr>
        <w:t xml:space="preserve"> </w:t>
      </w:r>
      <w:r w:rsidRPr="00CD5CD5">
        <w:rPr>
          <w:rFonts w:ascii="Arial" w:hAnsi="Arial" w:cs="Arial"/>
          <w:sz w:val="20"/>
          <w:szCs w:val="20"/>
        </w:rPr>
        <w:t>avionics</w:t>
      </w:r>
      <w:r w:rsidRPr="00CD5CD5">
        <w:rPr>
          <w:rFonts w:ascii="Arial" w:hAnsi="Arial" w:cs="Arial"/>
          <w:spacing w:val="1"/>
          <w:sz w:val="20"/>
          <w:szCs w:val="20"/>
        </w:rPr>
        <w:t xml:space="preserve"> </w:t>
      </w:r>
      <w:r w:rsidRPr="00CD5CD5">
        <w:rPr>
          <w:rFonts w:ascii="Arial" w:hAnsi="Arial" w:cs="Arial"/>
          <w:sz w:val="20"/>
          <w:szCs w:val="20"/>
        </w:rPr>
        <w:t>and</w:t>
      </w:r>
      <w:r w:rsidRPr="00CD5CD5">
        <w:rPr>
          <w:rFonts w:ascii="Arial" w:hAnsi="Arial" w:cs="Arial"/>
          <w:spacing w:val="1"/>
          <w:sz w:val="20"/>
          <w:szCs w:val="20"/>
        </w:rPr>
        <w:t xml:space="preserve"> </w:t>
      </w:r>
      <w:r w:rsidRPr="00CD5CD5">
        <w:rPr>
          <w:rFonts w:ascii="Arial" w:hAnsi="Arial" w:cs="Arial"/>
          <w:sz w:val="20"/>
          <w:szCs w:val="20"/>
        </w:rPr>
        <w:t>electrics,</w:t>
      </w:r>
      <w:r w:rsidRPr="00CD5CD5">
        <w:rPr>
          <w:rFonts w:ascii="Arial" w:hAnsi="Arial" w:cs="Arial"/>
          <w:spacing w:val="1"/>
          <w:sz w:val="20"/>
          <w:szCs w:val="20"/>
        </w:rPr>
        <w:t xml:space="preserve"> </w:t>
      </w:r>
      <w:r w:rsidRPr="00CD5CD5">
        <w:rPr>
          <w:rFonts w:ascii="Arial" w:hAnsi="Arial" w:cs="Arial"/>
          <w:sz w:val="20"/>
          <w:szCs w:val="20"/>
        </w:rPr>
        <w:t>power</w:t>
      </w:r>
      <w:r w:rsidRPr="00CD5CD5">
        <w:rPr>
          <w:rFonts w:ascii="Arial" w:hAnsi="Arial" w:cs="Arial"/>
          <w:spacing w:val="1"/>
          <w:sz w:val="20"/>
          <w:szCs w:val="20"/>
        </w:rPr>
        <w:t xml:space="preserve"> </w:t>
      </w:r>
      <w:r w:rsidRPr="00CD5CD5">
        <w:rPr>
          <w:rFonts w:ascii="Arial" w:hAnsi="Arial" w:cs="Arial"/>
          <w:sz w:val="20"/>
          <w:szCs w:val="20"/>
        </w:rPr>
        <w:t>plant,</w:t>
      </w:r>
      <w:r w:rsidRPr="00CD5CD5">
        <w:rPr>
          <w:rFonts w:ascii="Arial" w:hAnsi="Arial" w:cs="Arial"/>
          <w:spacing w:val="1"/>
          <w:sz w:val="20"/>
          <w:szCs w:val="20"/>
        </w:rPr>
        <w:t xml:space="preserve"> </w:t>
      </w:r>
      <w:r w:rsidRPr="00CD5CD5">
        <w:rPr>
          <w:rFonts w:ascii="Arial" w:hAnsi="Arial" w:cs="Arial"/>
          <w:sz w:val="20"/>
          <w:szCs w:val="20"/>
        </w:rPr>
        <w:t>clutches</w:t>
      </w:r>
      <w:r w:rsidRPr="00CD5CD5">
        <w:rPr>
          <w:rFonts w:ascii="Arial" w:hAnsi="Arial" w:cs="Arial"/>
          <w:spacing w:val="1"/>
          <w:sz w:val="20"/>
          <w:szCs w:val="20"/>
        </w:rPr>
        <w:t xml:space="preserve"> </w:t>
      </w:r>
      <w:r w:rsidRPr="00CD5CD5">
        <w:rPr>
          <w:rFonts w:ascii="Arial" w:hAnsi="Arial" w:cs="Arial"/>
          <w:sz w:val="20"/>
          <w:szCs w:val="20"/>
        </w:rPr>
        <w:t>and</w:t>
      </w:r>
      <w:r w:rsidRPr="00CD5CD5">
        <w:rPr>
          <w:rFonts w:ascii="Arial" w:hAnsi="Arial" w:cs="Arial"/>
          <w:spacing w:val="1"/>
          <w:sz w:val="20"/>
          <w:szCs w:val="20"/>
        </w:rPr>
        <w:t xml:space="preserve"> </w:t>
      </w:r>
      <w:r w:rsidRPr="00CD5CD5">
        <w:rPr>
          <w:rFonts w:ascii="Arial" w:hAnsi="Arial" w:cs="Arial"/>
          <w:sz w:val="20"/>
          <w:szCs w:val="20"/>
        </w:rPr>
        <w:t>gearboxes,</w:t>
      </w:r>
      <w:r w:rsidRPr="00CD5CD5">
        <w:rPr>
          <w:rFonts w:ascii="Arial" w:hAnsi="Arial" w:cs="Arial"/>
          <w:spacing w:val="-3"/>
          <w:sz w:val="20"/>
          <w:szCs w:val="20"/>
        </w:rPr>
        <w:t xml:space="preserve"> </w:t>
      </w:r>
      <w:r w:rsidRPr="00CD5CD5">
        <w:rPr>
          <w:rFonts w:ascii="Arial" w:hAnsi="Arial" w:cs="Arial"/>
          <w:sz w:val="20"/>
          <w:szCs w:val="20"/>
        </w:rPr>
        <w:t>propeller</w:t>
      </w:r>
      <w:r w:rsidRPr="00CD5CD5">
        <w:rPr>
          <w:rFonts w:ascii="Arial" w:hAnsi="Arial" w:cs="Arial"/>
          <w:spacing w:val="-3"/>
          <w:sz w:val="20"/>
          <w:szCs w:val="20"/>
        </w:rPr>
        <w:t xml:space="preserve"> </w:t>
      </w:r>
      <w:r w:rsidRPr="00CD5CD5">
        <w:rPr>
          <w:rFonts w:ascii="Arial" w:hAnsi="Arial" w:cs="Arial"/>
          <w:sz w:val="20"/>
          <w:szCs w:val="20"/>
        </w:rPr>
        <w:t>and</w:t>
      </w:r>
      <w:r w:rsidRPr="00CD5CD5">
        <w:rPr>
          <w:rFonts w:ascii="Arial" w:hAnsi="Arial" w:cs="Arial"/>
          <w:spacing w:val="-6"/>
          <w:sz w:val="20"/>
          <w:szCs w:val="20"/>
        </w:rPr>
        <w:t xml:space="preserve"> </w:t>
      </w:r>
      <w:r w:rsidRPr="00CD5CD5">
        <w:rPr>
          <w:rFonts w:ascii="Arial" w:hAnsi="Arial" w:cs="Arial"/>
          <w:sz w:val="20"/>
          <w:szCs w:val="20"/>
        </w:rPr>
        <w:t>miscellaneous</w:t>
      </w:r>
      <w:r w:rsidRPr="00CD5CD5">
        <w:rPr>
          <w:rFonts w:ascii="Arial" w:hAnsi="Arial" w:cs="Arial"/>
          <w:spacing w:val="-3"/>
          <w:sz w:val="20"/>
          <w:szCs w:val="20"/>
        </w:rPr>
        <w:t xml:space="preserve"> </w:t>
      </w:r>
      <w:r w:rsidRPr="00CD5CD5">
        <w:rPr>
          <w:rFonts w:ascii="Arial" w:hAnsi="Arial" w:cs="Arial"/>
          <w:sz w:val="20"/>
          <w:szCs w:val="20"/>
        </w:rPr>
        <w:t>systems,</w:t>
      </w:r>
      <w:r w:rsidRPr="00CD5CD5">
        <w:rPr>
          <w:rFonts w:ascii="Arial" w:hAnsi="Arial" w:cs="Arial"/>
          <w:spacing w:val="-6"/>
          <w:sz w:val="20"/>
          <w:szCs w:val="20"/>
        </w:rPr>
        <w:t xml:space="preserve"> </w:t>
      </w:r>
      <w:r w:rsidRPr="00CD5CD5">
        <w:rPr>
          <w:rFonts w:ascii="Arial" w:hAnsi="Arial" w:cs="Arial"/>
          <w:sz w:val="20"/>
          <w:szCs w:val="20"/>
        </w:rPr>
        <w:t>such</w:t>
      </w:r>
      <w:r w:rsidRPr="00CD5CD5">
        <w:rPr>
          <w:rFonts w:ascii="Arial" w:hAnsi="Arial" w:cs="Arial"/>
          <w:spacing w:val="-7"/>
          <w:sz w:val="20"/>
          <w:szCs w:val="20"/>
        </w:rPr>
        <w:t xml:space="preserve"> </w:t>
      </w:r>
      <w:r w:rsidRPr="00CD5CD5">
        <w:rPr>
          <w:rFonts w:ascii="Arial" w:hAnsi="Arial" w:cs="Arial"/>
          <w:sz w:val="20"/>
          <w:szCs w:val="20"/>
        </w:rPr>
        <w:t>as</w:t>
      </w:r>
      <w:r w:rsidRPr="00CD5CD5">
        <w:rPr>
          <w:rFonts w:ascii="Arial" w:hAnsi="Arial" w:cs="Arial"/>
          <w:spacing w:val="-3"/>
          <w:sz w:val="20"/>
          <w:szCs w:val="20"/>
        </w:rPr>
        <w:t xml:space="preserve"> </w:t>
      </w:r>
      <w:r w:rsidRPr="00CD5CD5">
        <w:rPr>
          <w:rFonts w:ascii="Arial" w:hAnsi="Arial" w:cs="Arial"/>
          <w:sz w:val="20"/>
          <w:szCs w:val="20"/>
        </w:rPr>
        <w:t>the</w:t>
      </w:r>
      <w:r w:rsidRPr="00CD5CD5">
        <w:rPr>
          <w:rFonts w:ascii="Arial" w:hAnsi="Arial" w:cs="Arial"/>
          <w:spacing w:val="-4"/>
          <w:sz w:val="20"/>
          <w:szCs w:val="20"/>
        </w:rPr>
        <w:t xml:space="preserve"> </w:t>
      </w:r>
      <w:r w:rsidRPr="00CD5CD5">
        <w:rPr>
          <w:rFonts w:ascii="Arial" w:hAnsi="Arial" w:cs="Arial"/>
          <w:sz w:val="20"/>
          <w:szCs w:val="20"/>
        </w:rPr>
        <w:t>ballistic</w:t>
      </w:r>
      <w:r w:rsidRPr="00CD5CD5">
        <w:rPr>
          <w:rFonts w:ascii="Arial" w:hAnsi="Arial" w:cs="Arial"/>
          <w:spacing w:val="-3"/>
          <w:sz w:val="20"/>
          <w:szCs w:val="20"/>
        </w:rPr>
        <w:t xml:space="preserve"> </w:t>
      </w:r>
      <w:r w:rsidRPr="00CD5CD5">
        <w:rPr>
          <w:rFonts w:ascii="Arial" w:hAnsi="Arial" w:cs="Arial"/>
          <w:sz w:val="20"/>
          <w:szCs w:val="20"/>
        </w:rPr>
        <w:t>rescue</w:t>
      </w:r>
      <w:r w:rsidRPr="00CD5CD5">
        <w:rPr>
          <w:rFonts w:ascii="Arial" w:hAnsi="Arial" w:cs="Arial"/>
          <w:spacing w:val="-47"/>
          <w:sz w:val="20"/>
          <w:szCs w:val="20"/>
        </w:rPr>
        <w:t xml:space="preserve"> </w:t>
      </w:r>
      <w:r w:rsidRPr="00CD5CD5">
        <w:rPr>
          <w:rFonts w:ascii="Arial" w:hAnsi="Arial" w:cs="Arial"/>
          <w:sz w:val="20"/>
          <w:szCs w:val="20"/>
        </w:rPr>
        <w:t>system;</w:t>
      </w:r>
    </w:p>
    <w:p w14:paraId="3FB07033" w14:textId="77777777" w:rsidR="00CD5CD5" w:rsidRPr="00CD5CD5" w:rsidRDefault="00CD5CD5" w:rsidP="00CD5CD5">
      <w:pPr>
        <w:pStyle w:val="ListParagraph"/>
        <w:numPr>
          <w:ilvl w:val="3"/>
          <w:numId w:val="290"/>
        </w:numPr>
        <w:tabs>
          <w:tab w:val="left" w:pos="2409"/>
        </w:tabs>
        <w:spacing w:before="119"/>
        <w:jc w:val="both"/>
        <w:rPr>
          <w:rFonts w:ascii="Arial" w:hAnsi="Arial" w:cs="Arial"/>
          <w:sz w:val="20"/>
          <w:szCs w:val="20"/>
        </w:rPr>
      </w:pPr>
      <w:r w:rsidRPr="00CD5CD5">
        <w:rPr>
          <w:rFonts w:ascii="Arial" w:hAnsi="Arial" w:cs="Arial"/>
          <w:sz w:val="20"/>
          <w:szCs w:val="20"/>
        </w:rPr>
        <w:t>for</w:t>
      </w:r>
      <w:r w:rsidRPr="00CD5CD5">
        <w:rPr>
          <w:rFonts w:ascii="Arial" w:hAnsi="Arial" w:cs="Arial"/>
          <w:spacing w:val="-2"/>
          <w:sz w:val="20"/>
          <w:szCs w:val="20"/>
        </w:rPr>
        <w:t xml:space="preserve"> </w:t>
      </w:r>
      <w:r w:rsidRPr="00CD5CD5">
        <w:rPr>
          <w:rFonts w:ascii="Arial" w:hAnsi="Arial" w:cs="Arial"/>
          <w:sz w:val="20"/>
          <w:szCs w:val="20"/>
        </w:rPr>
        <w:t>sailplanes</w:t>
      </w:r>
      <w:r w:rsidRPr="00CD5CD5">
        <w:rPr>
          <w:rFonts w:ascii="Arial" w:hAnsi="Arial" w:cs="Arial"/>
          <w:spacing w:val="-4"/>
          <w:sz w:val="20"/>
          <w:szCs w:val="20"/>
        </w:rPr>
        <w:t xml:space="preserve"> </w:t>
      </w:r>
      <w:r w:rsidRPr="00CD5CD5">
        <w:rPr>
          <w:rFonts w:ascii="Arial" w:hAnsi="Arial" w:cs="Arial"/>
          <w:sz w:val="20"/>
          <w:szCs w:val="20"/>
        </w:rPr>
        <w:t>and</w:t>
      </w:r>
      <w:r w:rsidRPr="00CD5CD5">
        <w:rPr>
          <w:rFonts w:ascii="Arial" w:hAnsi="Arial" w:cs="Arial"/>
          <w:spacing w:val="-2"/>
          <w:sz w:val="20"/>
          <w:szCs w:val="20"/>
        </w:rPr>
        <w:t xml:space="preserve"> </w:t>
      </w:r>
      <w:r w:rsidRPr="00CD5CD5">
        <w:rPr>
          <w:rFonts w:ascii="Arial" w:hAnsi="Arial" w:cs="Arial"/>
          <w:sz w:val="20"/>
          <w:szCs w:val="20"/>
        </w:rPr>
        <w:t>powered</w:t>
      </w:r>
      <w:r w:rsidRPr="00CD5CD5">
        <w:rPr>
          <w:rFonts w:ascii="Arial" w:hAnsi="Arial" w:cs="Arial"/>
          <w:spacing w:val="-5"/>
          <w:sz w:val="20"/>
          <w:szCs w:val="20"/>
        </w:rPr>
        <w:t xml:space="preserve"> </w:t>
      </w:r>
      <w:r w:rsidRPr="00CD5CD5">
        <w:rPr>
          <w:rFonts w:ascii="Arial" w:hAnsi="Arial" w:cs="Arial"/>
          <w:sz w:val="20"/>
          <w:szCs w:val="20"/>
        </w:rPr>
        <w:t>sailplanes:</w:t>
      </w:r>
    </w:p>
    <w:p w14:paraId="6ECD2A78" w14:textId="77777777" w:rsidR="00CD5CD5" w:rsidRPr="00CD5CD5" w:rsidRDefault="00CD5CD5" w:rsidP="00CD5CD5">
      <w:pPr>
        <w:pStyle w:val="BodyText"/>
        <w:ind w:left="2408" w:right="193"/>
        <w:jc w:val="both"/>
        <w:rPr>
          <w:rFonts w:ascii="Arial" w:hAnsi="Arial" w:cs="Arial"/>
          <w:sz w:val="20"/>
          <w:szCs w:val="20"/>
        </w:rPr>
      </w:pPr>
      <w:r w:rsidRPr="00CD5CD5">
        <w:rPr>
          <w:rFonts w:ascii="Arial" w:hAnsi="Arial" w:cs="Arial"/>
          <w:sz w:val="20"/>
          <w:szCs w:val="20"/>
        </w:rPr>
        <w:t>airframe,</w:t>
      </w:r>
      <w:r w:rsidRPr="00CD5CD5">
        <w:rPr>
          <w:rFonts w:ascii="Arial" w:hAnsi="Arial" w:cs="Arial"/>
          <w:spacing w:val="1"/>
          <w:sz w:val="20"/>
          <w:szCs w:val="20"/>
        </w:rPr>
        <w:t xml:space="preserve"> </w:t>
      </w:r>
      <w:r w:rsidRPr="00CD5CD5">
        <w:rPr>
          <w:rFonts w:ascii="Arial" w:hAnsi="Arial" w:cs="Arial"/>
          <w:sz w:val="20"/>
          <w:szCs w:val="20"/>
        </w:rPr>
        <w:t>cabin</w:t>
      </w:r>
      <w:r w:rsidRPr="00CD5CD5">
        <w:rPr>
          <w:rFonts w:ascii="Arial" w:hAnsi="Arial" w:cs="Arial"/>
          <w:spacing w:val="1"/>
          <w:sz w:val="20"/>
          <w:szCs w:val="20"/>
        </w:rPr>
        <w:t xml:space="preserve"> </w:t>
      </w:r>
      <w:r w:rsidRPr="00CD5CD5">
        <w:rPr>
          <w:rFonts w:ascii="Arial" w:hAnsi="Arial" w:cs="Arial"/>
          <w:sz w:val="20"/>
          <w:szCs w:val="20"/>
        </w:rPr>
        <w:t>and</w:t>
      </w:r>
      <w:r w:rsidRPr="00CD5CD5">
        <w:rPr>
          <w:rFonts w:ascii="Arial" w:hAnsi="Arial" w:cs="Arial"/>
          <w:spacing w:val="1"/>
          <w:sz w:val="20"/>
          <w:szCs w:val="20"/>
        </w:rPr>
        <w:t xml:space="preserve"> </w:t>
      </w:r>
      <w:r w:rsidRPr="00CD5CD5">
        <w:rPr>
          <w:rFonts w:ascii="Arial" w:hAnsi="Arial" w:cs="Arial"/>
          <w:sz w:val="20"/>
          <w:szCs w:val="20"/>
        </w:rPr>
        <w:t>cockpit,</w:t>
      </w:r>
      <w:r w:rsidRPr="00CD5CD5">
        <w:rPr>
          <w:rFonts w:ascii="Arial" w:hAnsi="Arial" w:cs="Arial"/>
          <w:spacing w:val="1"/>
          <w:sz w:val="20"/>
          <w:szCs w:val="20"/>
        </w:rPr>
        <w:t xml:space="preserve"> </w:t>
      </w:r>
      <w:r w:rsidRPr="00CD5CD5">
        <w:rPr>
          <w:rFonts w:ascii="Arial" w:hAnsi="Arial" w:cs="Arial"/>
          <w:sz w:val="20"/>
          <w:szCs w:val="20"/>
        </w:rPr>
        <w:t>landing</w:t>
      </w:r>
      <w:r w:rsidRPr="00CD5CD5">
        <w:rPr>
          <w:rFonts w:ascii="Arial" w:hAnsi="Arial" w:cs="Arial"/>
          <w:spacing w:val="1"/>
          <w:sz w:val="20"/>
          <w:szCs w:val="20"/>
        </w:rPr>
        <w:t xml:space="preserve"> </w:t>
      </w:r>
      <w:r w:rsidRPr="00CD5CD5">
        <w:rPr>
          <w:rFonts w:ascii="Arial" w:hAnsi="Arial" w:cs="Arial"/>
          <w:sz w:val="20"/>
          <w:szCs w:val="20"/>
        </w:rPr>
        <w:t>gear,</w:t>
      </w:r>
      <w:r w:rsidRPr="00CD5CD5">
        <w:rPr>
          <w:rFonts w:ascii="Arial" w:hAnsi="Arial" w:cs="Arial"/>
          <w:spacing w:val="1"/>
          <w:sz w:val="20"/>
          <w:szCs w:val="20"/>
        </w:rPr>
        <w:t xml:space="preserve"> </w:t>
      </w:r>
      <w:r w:rsidRPr="00CD5CD5">
        <w:rPr>
          <w:rFonts w:ascii="Arial" w:hAnsi="Arial" w:cs="Arial"/>
          <w:sz w:val="20"/>
          <w:szCs w:val="20"/>
        </w:rPr>
        <w:t>wing</w:t>
      </w:r>
      <w:r w:rsidRPr="00CD5CD5">
        <w:rPr>
          <w:rFonts w:ascii="Arial" w:hAnsi="Arial" w:cs="Arial"/>
          <w:spacing w:val="1"/>
          <w:sz w:val="20"/>
          <w:szCs w:val="20"/>
        </w:rPr>
        <w:t xml:space="preserve"> </w:t>
      </w:r>
      <w:r w:rsidRPr="00CD5CD5">
        <w:rPr>
          <w:rFonts w:ascii="Arial" w:hAnsi="Arial" w:cs="Arial"/>
          <w:sz w:val="20"/>
          <w:szCs w:val="20"/>
        </w:rPr>
        <w:t>and</w:t>
      </w:r>
      <w:r w:rsidRPr="00CD5CD5">
        <w:rPr>
          <w:rFonts w:ascii="Arial" w:hAnsi="Arial" w:cs="Arial"/>
          <w:spacing w:val="1"/>
          <w:sz w:val="20"/>
          <w:szCs w:val="20"/>
        </w:rPr>
        <w:t xml:space="preserve"> </w:t>
      </w:r>
      <w:r w:rsidRPr="00CD5CD5">
        <w:rPr>
          <w:rFonts w:ascii="Arial" w:hAnsi="Arial" w:cs="Arial"/>
          <w:sz w:val="20"/>
          <w:szCs w:val="20"/>
        </w:rPr>
        <w:t>centre</w:t>
      </w:r>
      <w:r w:rsidRPr="00CD5CD5">
        <w:rPr>
          <w:rFonts w:ascii="Arial" w:hAnsi="Arial" w:cs="Arial"/>
          <w:spacing w:val="1"/>
          <w:sz w:val="20"/>
          <w:szCs w:val="20"/>
        </w:rPr>
        <w:t xml:space="preserve"> </w:t>
      </w:r>
      <w:r w:rsidRPr="00CD5CD5">
        <w:rPr>
          <w:rFonts w:ascii="Arial" w:hAnsi="Arial" w:cs="Arial"/>
          <w:sz w:val="20"/>
          <w:szCs w:val="20"/>
        </w:rPr>
        <w:t>section,</w:t>
      </w:r>
      <w:r w:rsidRPr="00CD5CD5">
        <w:rPr>
          <w:rFonts w:ascii="Arial" w:hAnsi="Arial" w:cs="Arial"/>
          <w:spacing w:val="1"/>
          <w:sz w:val="20"/>
          <w:szCs w:val="20"/>
        </w:rPr>
        <w:t xml:space="preserve"> </w:t>
      </w:r>
      <w:r w:rsidRPr="00CD5CD5">
        <w:rPr>
          <w:rFonts w:ascii="Arial" w:hAnsi="Arial" w:cs="Arial"/>
          <w:spacing w:val="-1"/>
          <w:sz w:val="20"/>
          <w:szCs w:val="20"/>
        </w:rPr>
        <w:t>empennage,</w:t>
      </w:r>
      <w:r w:rsidRPr="00CD5CD5">
        <w:rPr>
          <w:rFonts w:ascii="Arial" w:hAnsi="Arial" w:cs="Arial"/>
          <w:spacing w:val="-11"/>
          <w:sz w:val="20"/>
          <w:szCs w:val="20"/>
        </w:rPr>
        <w:t xml:space="preserve"> </w:t>
      </w:r>
      <w:r w:rsidRPr="00CD5CD5">
        <w:rPr>
          <w:rFonts w:ascii="Arial" w:hAnsi="Arial" w:cs="Arial"/>
          <w:spacing w:val="-1"/>
          <w:sz w:val="20"/>
          <w:szCs w:val="20"/>
        </w:rPr>
        <w:t>avionics</w:t>
      </w:r>
      <w:r w:rsidRPr="00CD5CD5">
        <w:rPr>
          <w:rFonts w:ascii="Arial" w:hAnsi="Arial" w:cs="Arial"/>
          <w:spacing w:val="-8"/>
          <w:sz w:val="20"/>
          <w:szCs w:val="20"/>
        </w:rPr>
        <w:t xml:space="preserve"> </w:t>
      </w:r>
      <w:r w:rsidRPr="00CD5CD5">
        <w:rPr>
          <w:rFonts w:ascii="Arial" w:hAnsi="Arial" w:cs="Arial"/>
          <w:sz w:val="20"/>
          <w:szCs w:val="20"/>
        </w:rPr>
        <w:t>and</w:t>
      </w:r>
      <w:r w:rsidRPr="00CD5CD5">
        <w:rPr>
          <w:rFonts w:ascii="Arial" w:hAnsi="Arial" w:cs="Arial"/>
          <w:spacing w:val="-13"/>
          <w:sz w:val="20"/>
          <w:szCs w:val="20"/>
        </w:rPr>
        <w:t xml:space="preserve"> </w:t>
      </w:r>
      <w:r w:rsidRPr="00CD5CD5">
        <w:rPr>
          <w:rFonts w:ascii="Arial" w:hAnsi="Arial" w:cs="Arial"/>
          <w:sz w:val="20"/>
          <w:szCs w:val="20"/>
        </w:rPr>
        <w:t>electrics,</w:t>
      </w:r>
      <w:r w:rsidRPr="00CD5CD5">
        <w:rPr>
          <w:rFonts w:ascii="Arial" w:hAnsi="Arial" w:cs="Arial"/>
          <w:spacing w:val="-11"/>
          <w:sz w:val="20"/>
          <w:szCs w:val="20"/>
        </w:rPr>
        <w:t xml:space="preserve"> </w:t>
      </w:r>
      <w:r w:rsidRPr="00CD5CD5">
        <w:rPr>
          <w:rFonts w:ascii="Arial" w:hAnsi="Arial" w:cs="Arial"/>
          <w:sz w:val="20"/>
          <w:szCs w:val="20"/>
        </w:rPr>
        <w:t>power</w:t>
      </w:r>
      <w:r w:rsidRPr="00CD5CD5">
        <w:rPr>
          <w:rFonts w:ascii="Arial" w:hAnsi="Arial" w:cs="Arial"/>
          <w:spacing w:val="-12"/>
          <w:sz w:val="20"/>
          <w:szCs w:val="20"/>
        </w:rPr>
        <w:t xml:space="preserve"> </w:t>
      </w:r>
      <w:r w:rsidRPr="00CD5CD5">
        <w:rPr>
          <w:rFonts w:ascii="Arial" w:hAnsi="Arial" w:cs="Arial"/>
          <w:sz w:val="20"/>
          <w:szCs w:val="20"/>
        </w:rPr>
        <w:t>plant</w:t>
      </w:r>
      <w:r w:rsidRPr="00CD5CD5">
        <w:rPr>
          <w:rFonts w:ascii="Arial" w:hAnsi="Arial" w:cs="Arial"/>
          <w:spacing w:val="-10"/>
          <w:sz w:val="20"/>
          <w:szCs w:val="20"/>
        </w:rPr>
        <w:t xml:space="preserve"> </w:t>
      </w:r>
      <w:r w:rsidRPr="00CD5CD5">
        <w:rPr>
          <w:rFonts w:ascii="Arial" w:hAnsi="Arial" w:cs="Arial"/>
          <w:sz w:val="20"/>
          <w:szCs w:val="20"/>
        </w:rPr>
        <w:t>(for</w:t>
      </w:r>
      <w:r w:rsidRPr="00CD5CD5">
        <w:rPr>
          <w:rFonts w:ascii="Arial" w:hAnsi="Arial" w:cs="Arial"/>
          <w:spacing w:val="-9"/>
          <w:sz w:val="20"/>
          <w:szCs w:val="20"/>
        </w:rPr>
        <w:t xml:space="preserve"> </w:t>
      </w:r>
      <w:r w:rsidRPr="00CD5CD5">
        <w:rPr>
          <w:rFonts w:ascii="Arial" w:hAnsi="Arial" w:cs="Arial"/>
          <w:sz w:val="20"/>
          <w:szCs w:val="20"/>
        </w:rPr>
        <w:t>powered</w:t>
      </w:r>
      <w:r w:rsidRPr="00CD5CD5">
        <w:rPr>
          <w:rFonts w:ascii="Arial" w:hAnsi="Arial" w:cs="Arial"/>
          <w:spacing w:val="-11"/>
          <w:sz w:val="20"/>
          <w:szCs w:val="20"/>
        </w:rPr>
        <w:t xml:space="preserve"> </w:t>
      </w:r>
      <w:r w:rsidRPr="00CD5CD5">
        <w:rPr>
          <w:rFonts w:ascii="Arial" w:hAnsi="Arial" w:cs="Arial"/>
          <w:sz w:val="20"/>
          <w:szCs w:val="20"/>
        </w:rPr>
        <w:t>sailplanes)</w:t>
      </w:r>
      <w:r w:rsidRPr="00CD5CD5">
        <w:rPr>
          <w:rFonts w:ascii="Arial" w:hAnsi="Arial" w:cs="Arial"/>
          <w:spacing w:val="-11"/>
          <w:sz w:val="20"/>
          <w:szCs w:val="20"/>
        </w:rPr>
        <w:t xml:space="preserve"> </w:t>
      </w:r>
      <w:r w:rsidRPr="00CD5CD5">
        <w:rPr>
          <w:rFonts w:ascii="Arial" w:hAnsi="Arial" w:cs="Arial"/>
          <w:sz w:val="20"/>
          <w:szCs w:val="20"/>
        </w:rPr>
        <w:t>and</w:t>
      </w:r>
      <w:r w:rsidRPr="00CD5CD5">
        <w:rPr>
          <w:rFonts w:ascii="Arial" w:hAnsi="Arial" w:cs="Arial"/>
          <w:spacing w:val="-47"/>
          <w:sz w:val="20"/>
          <w:szCs w:val="20"/>
        </w:rPr>
        <w:t xml:space="preserve"> </w:t>
      </w:r>
      <w:r w:rsidRPr="00CD5CD5">
        <w:rPr>
          <w:rFonts w:ascii="Arial" w:hAnsi="Arial" w:cs="Arial"/>
          <w:sz w:val="20"/>
          <w:szCs w:val="20"/>
        </w:rPr>
        <w:t>miscellaneous systems, such as removable ballast and/or drag chute and</w:t>
      </w:r>
      <w:r w:rsidRPr="00CD5CD5">
        <w:rPr>
          <w:rFonts w:ascii="Arial" w:hAnsi="Arial" w:cs="Arial"/>
          <w:spacing w:val="1"/>
          <w:sz w:val="20"/>
          <w:szCs w:val="20"/>
        </w:rPr>
        <w:t xml:space="preserve"> </w:t>
      </w:r>
      <w:r w:rsidRPr="00CD5CD5">
        <w:rPr>
          <w:rFonts w:ascii="Arial" w:hAnsi="Arial" w:cs="Arial"/>
          <w:sz w:val="20"/>
          <w:szCs w:val="20"/>
        </w:rPr>
        <w:t>controls,</w:t>
      </w:r>
      <w:r w:rsidRPr="00CD5CD5">
        <w:rPr>
          <w:rFonts w:ascii="Arial" w:hAnsi="Arial" w:cs="Arial"/>
          <w:spacing w:val="-1"/>
          <w:sz w:val="20"/>
          <w:szCs w:val="20"/>
        </w:rPr>
        <w:t xml:space="preserve"> </w:t>
      </w:r>
      <w:r w:rsidRPr="00CD5CD5">
        <w:rPr>
          <w:rFonts w:ascii="Arial" w:hAnsi="Arial" w:cs="Arial"/>
          <w:sz w:val="20"/>
          <w:szCs w:val="20"/>
        </w:rPr>
        <w:t>as</w:t>
      </w:r>
      <w:r w:rsidRPr="00CD5CD5">
        <w:rPr>
          <w:rFonts w:ascii="Arial" w:hAnsi="Arial" w:cs="Arial"/>
          <w:spacing w:val="-3"/>
          <w:sz w:val="20"/>
          <w:szCs w:val="20"/>
        </w:rPr>
        <w:t xml:space="preserve"> </w:t>
      </w:r>
      <w:r w:rsidRPr="00CD5CD5">
        <w:rPr>
          <w:rFonts w:ascii="Arial" w:hAnsi="Arial" w:cs="Arial"/>
          <w:sz w:val="20"/>
          <w:szCs w:val="20"/>
        </w:rPr>
        <w:t>well as</w:t>
      </w:r>
      <w:r w:rsidRPr="00CD5CD5">
        <w:rPr>
          <w:rFonts w:ascii="Arial" w:hAnsi="Arial" w:cs="Arial"/>
          <w:spacing w:val="-2"/>
          <w:sz w:val="20"/>
          <w:szCs w:val="20"/>
        </w:rPr>
        <w:t xml:space="preserve"> </w:t>
      </w:r>
      <w:r w:rsidRPr="00CD5CD5">
        <w:rPr>
          <w:rFonts w:ascii="Arial" w:hAnsi="Arial" w:cs="Arial"/>
          <w:sz w:val="20"/>
          <w:szCs w:val="20"/>
        </w:rPr>
        <w:t>water ballast system;</w:t>
      </w:r>
    </w:p>
    <w:p w14:paraId="4FE3248B" w14:textId="77777777" w:rsidR="00CD5CD5" w:rsidRPr="00CD5CD5" w:rsidRDefault="00CD5CD5" w:rsidP="00CD5CD5">
      <w:pPr>
        <w:pStyle w:val="ListParagraph"/>
        <w:numPr>
          <w:ilvl w:val="3"/>
          <w:numId w:val="290"/>
        </w:numPr>
        <w:tabs>
          <w:tab w:val="left" w:pos="2409"/>
        </w:tabs>
        <w:spacing w:before="121"/>
        <w:jc w:val="both"/>
        <w:rPr>
          <w:rFonts w:ascii="Arial" w:hAnsi="Arial" w:cs="Arial"/>
          <w:sz w:val="20"/>
          <w:szCs w:val="20"/>
        </w:rPr>
      </w:pPr>
      <w:r w:rsidRPr="00CD5CD5">
        <w:rPr>
          <w:rFonts w:ascii="Arial" w:hAnsi="Arial" w:cs="Arial"/>
          <w:sz w:val="20"/>
          <w:szCs w:val="20"/>
        </w:rPr>
        <w:t>for</w:t>
      </w:r>
      <w:r w:rsidRPr="00CD5CD5">
        <w:rPr>
          <w:rFonts w:ascii="Arial" w:hAnsi="Arial" w:cs="Arial"/>
          <w:spacing w:val="-2"/>
          <w:sz w:val="20"/>
          <w:szCs w:val="20"/>
        </w:rPr>
        <w:t xml:space="preserve"> </w:t>
      </w:r>
      <w:r w:rsidRPr="00CD5CD5">
        <w:rPr>
          <w:rFonts w:ascii="Arial" w:hAnsi="Arial" w:cs="Arial"/>
          <w:sz w:val="20"/>
          <w:szCs w:val="20"/>
        </w:rPr>
        <w:t>hot-air</w:t>
      </w:r>
      <w:r w:rsidRPr="00CD5CD5">
        <w:rPr>
          <w:rFonts w:ascii="Arial" w:hAnsi="Arial" w:cs="Arial"/>
          <w:spacing w:val="-3"/>
          <w:sz w:val="20"/>
          <w:szCs w:val="20"/>
        </w:rPr>
        <w:t xml:space="preserve"> </w:t>
      </w:r>
      <w:r w:rsidRPr="00CD5CD5">
        <w:rPr>
          <w:rFonts w:ascii="Arial" w:hAnsi="Arial" w:cs="Arial"/>
          <w:sz w:val="20"/>
          <w:szCs w:val="20"/>
        </w:rPr>
        <w:t>balloons:</w:t>
      </w:r>
    </w:p>
    <w:p w14:paraId="57FDD883" w14:textId="77777777" w:rsidR="00CD5CD5" w:rsidRPr="00CD5CD5" w:rsidRDefault="00CD5CD5" w:rsidP="00CD5CD5">
      <w:pPr>
        <w:pStyle w:val="BodyText"/>
        <w:spacing w:before="118"/>
        <w:ind w:left="2408"/>
        <w:jc w:val="both"/>
        <w:rPr>
          <w:rFonts w:ascii="Arial" w:hAnsi="Arial" w:cs="Arial"/>
          <w:sz w:val="20"/>
          <w:szCs w:val="20"/>
        </w:rPr>
      </w:pPr>
      <w:r w:rsidRPr="00CD5CD5">
        <w:rPr>
          <w:rFonts w:ascii="Arial" w:hAnsi="Arial" w:cs="Arial"/>
          <w:sz w:val="20"/>
          <w:szCs w:val="20"/>
        </w:rPr>
        <w:t>envelope,</w:t>
      </w:r>
      <w:r w:rsidRPr="00CD5CD5">
        <w:rPr>
          <w:rFonts w:ascii="Arial" w:hAnsi="Arial" w:cs="Arial"/>
          <w:spacing w:val="-1"/>
          <w:sz w:val="20"/>
          <w:szCs w:val="20"/>
        </w:rPr>
        <w:t xml:space="preserve"> </w:t>
      </w:r>
      <w:r w:rsidRPr="00CD5CD5">
        <w:rPr>
          <w:rFonts w:ascii="Arial" w:hAnsi="Arial" w:cs="Arial"/>
          <w:sz w:val="20"/>
          <w:szCs w:val="20"/>
        </w:rPr>
        <w:t>burner,</w:t>
      </w:r>
      <w:r w:rsidRPr="00CD5CD5">
        <w:rPr>
          <w:rFonts w:ascii="Arial" w:hAnsi="Arial" w:cs="Arial"/>
          <w:spacing w:val="-1"/>
          <w:sz w:val="20"/>
          <w:szCs w:val="20"/>
        </w:rPr>
        <w:t xml:space="preserve"> </w:t>
      </w:r>
      <w:r w:rsidRPr="00CD5CD5">
        <w:rPr>
          <w:rFonts w:ascii="Arial" w:hAnsi="Arial" w:cs="Arial"/>
          <w:sz w:val="20"/>
          <w:szCs w:val="20"/>
        </w:rPr>
        <w:t>basket,</w:t>
      </w:r>
      <w:r w:rsidRPr="00CD5CD5">
        <w:rPr>
          <w:rFonts w:ascii="Arial" w:hAnsi="Arial" w:cs="Arial"/>
          <w:spacing w:val="-1"/>
          <w:sz w:val="20"/>
          <w:szCs w:val="20"/>
        </w:rPr>
        <w:t xml:space="preserve"> </w:t>
      </w:r>
      <w:r w:rsidRPr="00CD5CD5">
        <w:rPr>
          <w:rFonts w:ascii="Arial" w:hAnsi="Arial" w:cs="Arial"/>
          <w:sz w:val="20"/>
          <w:szCs w:val="20"/>
        </w:rPr>
        <w:t>fuel</w:t>
      </w:r>
      <w:r w:rsidRPr="00CD5CD5">
        <w:rPr>
          <w:rFonts w:ascii="Arial" w:hAnsi="Arial" w:cs="Arial"/>
          <w:spacing w:val="-1"/>
          <w:sz w:val="20"/>
          <w:szCs w:val="20"/>
        </w:rPr>
        <w:t xml:space="preserve"> </w:t>
      </w:r>
      <w:r w:rsidRPr="00CD5CD5">
        <w:rPr>
          <w:rFonts w:ascii="Arial" w:hAnsi="Arial" w:cs="Arial"/>
          <w:sz w:val="20"/>
          <w:szCs w:val="20"/>
        </w:rPr>
        <w:t>containers,</w:t>
      </w:r>
      <w:r w:rsidRPr="00CD5CD5">
        <w:rPr>
          <w:rFonts w:ascii="Arial" w:hAnsi="Arial" w:cs="Arial"/>
          <w:spacing w:val="-4"/>
          <w:sz w:val="20"/>
          <w:szCs w:val="20"/>
        </w:rPr>
        <w:t xml:space="preserve"> </w:t>
      </w:r>
      <w:r w:rsidRPr="00CD5CD5">
        <w:rPr>
          <w:rFonts w:ascii="Arial" w:hAnsi="Arial" w:cs="Arial"/>
          <w:sz w:val="20"/>
          <w:szCs w:val="20"/>
        </w:rPr>
        <w:t>equipment</w:t>
      </w:r>
      <w:r w:rsidRPr="00CD5CD5">
        <w:rPr>
          <w:rFonts w:ascii="Arial" w:hAnsi="Arial" w:cs="Arial"/>
          <w:spacing w:val="-5"/>
          <w:sz w:val="20"/>
          <w:szCs w:val="20"/>
        </w:rPr>
        <w:t xml:space="preserve"> </w:t>
      </w:r>
      <w:r w:rsidRPr="00CD5CD5">
        <w:rPr>
          <w:rFonts w:ascii="Arial" w:hAnsi="Arial" w:cs="Arial"/>
          <w:sz w:val="20"/>
          <w:szCs w:val="20"/>
        </w:rPr>
        <w:t>and</w:t>
      </w:r>
      <w:r w:rsidRPr="00CD5CD5">
        <w:rPr>
          <w:rFonts w:ascii="Arial" w:hAnsi="Arial" w:cs="Arial"/>
          <w:spacing w:val="-2"/>
          <w:sz w:val="20"/>
          <w:szCs w:val="20"/>
        </w:rPr>
        <w:t xml:space="preserve"> </w:t>
      </w:r>
      <w:r w:rsidRPr="00CD5CD5">
        <w:rPr>
          <w:rFonts w:ascii="Arial" w:hAnsi="Arial" w:cs="Arial"/>
          <w:sz w:val="20"/>
          <w:szCs w:val="20"/>
        </w:rPr>
        <w:t>instruments;</w:t>
      </w:r>
    </w:p>
    <w:p w14:paraId="406808A2" w14:textId="77777777" w:rsidR="00CD5CD5" w:rsidRPr="00CD5CD5" w:rsidRDefault="00CD5CD5" w:rsidP="00CD5CD5">
      <w:pPr>
        <w:pStyle w:val="ListParagraph"/>
        <w:numPr>
          <w:ilvl w:val="3"/>
          <w:numId w:val="290"/>
        </w:numPr>
        <w:tabs>
          <w:tab w:val="left" w:pos="2409"/>
        </w:tabs>
        <w:jc w:val="both"/>
        <w:rPr>
          <w:rFonts w:ascii="Arial" w:hAnsi="Arial" w:cs="Arial"/>
          <w:sz w:val="20"/>
          <w:szCs w:val="20"/>
        </w:rPr>
      </w:pPr>
      <w:r w:rsidRPr="00CD5CD5">
        <w:rPr>
          <w:rFonts w:ascii="Arial" w:hAnsi="Arial" w:cs="Arial"/>
          <w:sz w:val="20"/>
          <w:szCs w:val="20"/>
        </w:rPr>
        <w:t>for</w:t>
      </w:r>
      <w:r w:rsidRPr="00CD5CD5">
        <w:rPr>
          <w:rFonts w:ascii="Arial" w:hAnsi="Arial" w:cs="Arial"/>
          <w:spacing w:val="-3"/>
          <w:sz w:val="20"/>
          <w:szCs w:val="20"/>
        </w:rPr>
        <w:t xml:space="preserve"> </w:t>
      </w:r>
      <w:r w:rsidRPr="00CD5CD5">
        <w:rPr>
          <w:rFonts w:ascii="Arial" w:hAnsi="Arial" w:cs="Arial"/>
          <w:sz w:val="20"/>
          <w:szCs w:val="20"/>
        </w:rPr>
        <w:t>gas</w:t>
      </w:r>
      <w:r w:rsidRPr="00CD5CD5">
        <w:rPr>
          <w:rFonts w:ascii="Arial" w:hAnsi="Arial" w:cs="Arial"/>
          <w:spacing w:val="-2"/>
          <w:sz w:val="20"/>
          <w:szCs w:val="20"/>
        </w:rPr>
        <w:t xml:space="preserve"> </w:t>
      </w:r>
      <w:r w:rsidRPr="00CD5CD5">
        <w:rPr>
          <w:rFonts w:ascii="Arial" w:hAnsi="Arial" w:cs="Arial"/>
          <w:sz w:val="20"/>
          <w:szCs w:val="20"/>
        </w:rPr>
        <w:t>balloons:</w:t>
      </w:r>
    </w:p>
    <w:p w14:paraId="72201008" w14:textId="77777777" w:rsidR="00CD5CD5" w:rsidRPr="00CD5CD5" w:rsidRDefault="00CD5CD5" w:rsidP="00CD5CD5">
      <w:pPr>
        <w:pStyle w:val="BodyText"/>
        <w:spacing w:before="121"/>
        <w:ind w:left="2408"/>
        <w:jc w:val="both"/>
        <w:rPr>
          <w:rFonts w:ascii="Arial" w:hAnsi="Arial" w:cs="Arial"/>
          <w:sz w:val="20"/>
          <w:szCs w:val="20"/>
        </w:rPr>
      </w:pPr>
      <w:r w:rsidRPr="00CD5CD5">
        <w:rPr>
          <w:rFonts w:ascii="Arial" w:hAnsi="Arial" w:cs="Arial"/>
          <w:sz w:val="20"/>
          <w:szCs w:val="20"/>
        </w:rPr>
        <w:t>envelope,</w:t>
      </w:r>
      <w:r w:rsidRPr="00CD5CD5">
        <w:rPr>
          <w:rFonts w:ascii="Arial" w:hAnsi="Arial" w:cs="Arial"/>
          <w:spacing w:val="-1"/>
          <w:sz w:val="20"/>
          <w:szCs w:val="20"/>
        </w:rPr>
        <w:t xml:space="preserve"> </w:t>
      </w:r>
      <w:r w:rsidRPr="00CD5CD5">
        <w:rPr>
          <w:rFonts w:ascii="Arial" w:hAnsi="Arial" w:cs="Arial"/>
          <w:sz w:val="20"/>
          <w:szCs w:val="20"/>
        </w:rPr>
        <w:t>basket,</w:t>
      </w:r>
      <w:r w:rsidRPr="00CD5CD5">
        <w:rPr>
          <w:rFonts w:ascii="Arial" w:hAnsi="Arial" w:cs="Arial"/>
          <w:spacing w:val="-2"/>
          <w:sz w:val="20"/>
          <w:szCs w:val="20"/>
        </w:rPr>
        <w:t xml:space="preserve"> </w:t>
      </w:r>
      <w:r w:rsidRPr="00CD5CD5">
        <w:rPr>
          <w:rFonts w:ascii="Arial" w:hAnsi="Arial" w:cs="Arial"/>
          <w:sz w:val="20"/>
          <w:szCs w:val="20"/>
        </w:rPr>
        <w:t>equipment</w:t>
      </w:r>
      <w:r w:rsidRPr="00CD5CD5">
        <w:rPr>
          <w:rFonts w:ascii="Arial" w:hAnsi="Arial" w:cs="Arial"/>
          <w:spacing w:val="-1"/>
          <w:sz w:val="20"/>
          <w:szCs w:val="20"/>
        </w:rPr>
        <w:t xml:space="preserve"> </w:t>
      </w:r>
      <w:r w:rsidRPr="00CD5CD5">
        <w:rPr>
          <w:rFonts w:ascii="Arial" w:hAnsi="Arial" w:cs="Arial"/>
          <w:sz w:val="20"/>
          <w:szCs w:val="20"/>
        </w:rPr>
        <w:t>and</w:t>
      </w:r>
      <w:r w:rsidRPr="00CD5CD5">
        <w:rPr>
          <w:rFonts w:ascii="Arial" w:hAnsi="Arial" w:cs="Arial"/>
          <w:spacing w:val="-3"/>
          <w:sz w:val="20"/>
          <w:szCs w:val="20"/>
        </w:rPr>
        <w:t xml:space="preserve"> </w:t>
      </w:r>
      <w:r w:rsidRPr="00CD5CD5">
        <w:rPr>
          <w:rFonts w:ascii="Arial" w:hAnsi="Arial" w:cs="Arial"/>
          <w:sz w:val="20"/>
          <w:szCs w:val="20"/>
        </w:rPr>
        <w:t>instruments.</w:t>
      </w:r>
    </w:p>
    <w:p w14:paraId="5313F34C" w14:textId="77777777" w:rsidR="00CD5CD5" w:rsidRPr="00CD5CD5" w:rsidRDefault="00CD5CD5" w:rsidP="00CD5CD5">
      <w:pPr>
        <w:pStyle w:val="BodyText"/>
        <w:ind w:left="1273" w:right="195"/>
        <w:jc w:val="both"/>
        <w:rPr>
          <w:rFonts w:ascii="Arial" w:hAnsi="Arial" w:cs="Arial"/>
          <w:sz w:val="20"/>
          <w:szCs w:val="20"/>
        </w:rPr>
      </w:pPr>
      <w:r w:rsidRPr="00CD5CD5">
        <w:rPr>
          <w:rFonts w:ascii="Arial" w:hAnsi="Arial" w:cs="Arial"/>
          <w:sz w:val="20"/>
          <w:szCs w:val="20"/>
        </w:rPr>
        <w:t>As long as this Annex does not specify an MIP for airships and rotorcraft, their AMP shall</w:t>
      </w:r>
      <w:r w:rsidRPr="00CD5CD5">
        <w:rPr>
          <w:rFonts w:ascii="Arial" w:hAnsi="Arial" w:cs="Arial"/>
          <w:spacing w:val="-47"/>
          <w:sz w:val="20"/>
          <w:szCs w:val="20"/>
        </w:rPr>
        <w:t xml:space="preserve"> </w:t>
      </w:r>
      <w:r w:rsidRPr="00CD5CD5">
        <w:rPr>
          <w:rFonts w:ascii="Arial" w:hAnsi="Arial" w:cs="Arial"/>
          <w:sz w:val="20"/>
          <w:szCs w:val="20"/>
        </w:rPr>
        <w:t>be based</w:t>
      </w:r>
      <w:r w:rsidRPr="00CD5CD5">
        <w:rPr>
          <w:rFonts w:ascii="Arial" w:hAnsi="Arial" w:cs="Arial"/>
          <w:spacing w:val="-3"/>
          <w:sz w:val="20"/>
          <w:szCs w:val="20"/>
        </w:rPr>
        <w:t xml:space="preserve"> </w:t>
      </w:r>
      <w:r w:rsidRPr="00CD5CD5">
        <w:rPr>
          <w:rFonts w:ascii="Arial" w:hAnsi="Arial" w:cs="Arial"/>
          <w:sz w:val="20"/>
          <w:szCs w:val="20"/>
        </w:rPr>
        <w:t>on</w:t>
      </w:r>
      <w:r w:rsidRPr="00CD5CD5">
        <w:rPr>
          <w:rFonts w:ascii="Arial" w:hAnsi="Arial" w:cs="Arial"/>
          <w:spacing w:val="-1"/>
          <w:sz w:val="20"/>
          <w:szCs w:val="20"/>
        </w:rPr>
        <w:t xml:space="preserve"> </w:t>
      </w:r>
      <w:r w:rsidRPr="00CD5CD5">
        <w:rPr>
          <w:rFonts w:ascii="Arial" w:hAnsi="Arial" w:cs="Arial"/>
          <w:sz w:val="20"/>
          <w:szCs w:val="20"/>
        </w:rPr>
        <w:t>the</w:t>
      </w:r>
      <w:r w:rsidRPr="00CD5CD5">
        <w:rPr>
          <w:rFonts w:ascii="Arial" w:hAnsi="Arial" w:cs="Arial"/>
          <w:spacing w:val="-2"/>
          <w:sz w:val="20"/>
          <w:szCs w:val="20"/>
        </w:rPr>
        <w:t xml:space="preserve"> </w:t>
      </w:r>
      <w:r w:rsidRPr="00CD5CD5">
        <w:rPr>
          <w:rFonts w:ascii="Arial" w:hAnsi="Arial" w:cs="Arial"/>
          <w:sz w:val="20"/>
          <w:szCs w:val="20"/>
        </w:rPr>
        <w:t>ICA</w:t>
      </w:r>
      <w:r w:rsidRPr="00CD5CD5">
        <w:rPr>
          <w:rFonts w:ascii="Arial" w:hAnsi="Arial" w:cs="Arial"/>
          <w:spacing w:val="-1"/>
          <w:sz w:val="20"/>
          <w:szCs w:val="20"/>
        </w:rPr>
        <w:t xml:space="preserve"> </w:t>
      </w:r>
      <w:r w:rsidRPr="00CD5CD5">
        <w:rPr>
          <w:rFonts w:ascii="Arial" w:hAnsi="Arial" w:cs="Arial"/>
          <w:sz w:val="20"/>
          <w:szCs w:val="20"/>
        </w:rPr>
        <w:t>issued</w:t>
      </w:r>
      <w:r w:rsidRPr="00CD5CD5">
        <w:rPr>
          <w:rFonts w:ascii="Arial" w:hAnsi="Arial" w:cs="Arial"/>
          <w:spacing w:val="-3"/>
          <w:sz w:val="20"/>
          <w:szCs w:val="20"/>
        </w:rPr>
        <w:t xml:space="preserve"> </w:t>
      </w:r>
      <w:r w:rsidRPr="00CD5CD5">
        <w:rPr>
          <w:rFonts w:ascii="Arial" w:hAnsi="Arial" w:cs="Arial"/>
          <w:sz w:val="20"/>
          <w:szCs w:val="20"/>
        </w:rPr>
        <w:t>by</w:t>
      </w:r>
      <w:r w:rsidRPr="00CD5CD5">
        <w:rPr>
          <w:rFonts w:ascii="Arial" w:hAnsi="Arial" w:cs="Arial"/>
          <w:spacing w:val="-1"/>
          <w:sz w:val="20"/>
          <w:szCs w:val="20"/>
        </w:rPr>
        <w:t xml:space="preserve"> </w:t>
      </w:r>
      <w:r w:rsidRPr="00CD5CD5">
        <w:rPr>
          <w:rFonts w:ascii="Arial" w:hAnsi="Arial" w:cs="Arial"/>
          <w:sz w:val="20"/>
          <w:szCs w:val="20"/>
        </w:rPr>
        <w:t>the</w:t>
      </w:r>
      <w:r w:rsidRPr="00CD5CD5">
        <w:rPr>
          <w:rFonts w:ascii="Arial" w:hAnsi="Arial" w:cs="Arial"/>
          <w:spacing w:val="-2"/>
          <w:sz w:val="20"/>
          <w:szCs w:val="20"/>
        </w:rPr>
        <w:t xml:space="preserve"> </w:t>
      </w:r>
      <w:r w:rsidRPr="00CD5CD5">
        <w:rPr>
          <w:rFonts w:ascii="Arial" w:hAnsi="Arial" w:cs="Arial"/>
          <w:sz w:val="20"/>
          <w:szCs w:val="20"/>
        </w:rPr>
        <w:t>DAH, as</w:t>
      </w:r>
      <w:r w:rsidRPr="00CD5CD5">
        <w:rPr>
          <w:rFonts w:ascii="Arial" w:hAnsi="Arial" w:cs="Arial"/>
          <w:spacing w:val="-2"/>
          <w:sz w:val="20"/>
          <w:szCs w:val="20"/>
        </w:rPr>
        <w:t xml:space="preserve"> </w:t>
      </w:r>
      <w:r w:rsidRPr="00CD5CD5">
        <w:rPr>
          <w:rFonts w:ascii="Arial" w:hAnsi="Arial" w:cs="Arial"/>
          <w:sz w:val="20"/>
          <w:szCs w:val="20"/>
        </w:rPr>
        <w:t>referred to</w:t>
      </w:r>
      <w:r w:rsidRPr="00CD5CD5">
        <w:rPr>
          <w:rFonts w:ascii="Arial" w:hAnsi="Arial" w:cs="Arial"/>
          <w:spacing w:val="1"/>
          <w:sz w:val="20"/>
          <w:szCs w:val="20"/>
        </w:rPr>
        <w:t xml:space="preserve"> </w:t>
      </w:r>
      <w:r w:rsidRPr="00CD5CD5">
        <w:rPr>
          <w:rFonts w:ascii="Arial" w:hAnsi="Arial" w:cs="Arial"/>
          <w:sz w:val="20"/>
          <w:szCs w:val="20"/>
        </w:rPr>
        <w:t>in</w:t>
      </w:r>
      <w:r w:rsidRPr="00CD5CD5">
        <w:rPr>
          <w:rFonts w:ascii="Arial" w:hAnsi="Arial" w:cs="Arial"/>
          <w:spacing w:val="-2"/>
          <w:sz w:val="20"/>
          <w:szCs w:val="20"/>
        </w:rPr>
        <w:t xml:space="preserve"> </w:t>
      </w:r>
      <w:r w:rsidRPr="00CD5CD5">
        <w:rPr>
          <w:rFonts w:ascii="Arial" w:hAnsi="Arial" w:cs="Arial"/>
          <w:sz w:val="20"/>
          <w:szCs w:val="20"/>
        </w:rPr>
        <w:t>point (c)(2)(b).</w:t>
      </w:r>
    </w:p>
    <w:p w14:paraId="3F699622" w14:textId="77777777" w:rsidR="00CD5CD5" w:rsidRPr="00CD5CD5" w:rsidRDefault="00CD5CD5" w:rsidP="00CD5CD5">
      <w:pPr>
        <w:pStyle w:val="ListParagraph"/>
        <w:numPr>
          <w:ilvl w:val="0"/>
          <w:numId w:val="290"/>
        </w:numPr>
        <w:tabs>
          <w:tab w:val="left" w:pos="707"/>
        </w:tabs>
        <w:ind w:right="196"/>
        <w:jc w:val="both"/>
        <w:rPr>
          <w:rFonts w:ascii="Arial" w:hAnsi="Arial" w:cs="Arial"/>
          <w:sz w:val="20"/>
          <w:szCs w:val="20"/>
        </w:rPr>
      </w:pPr>
      <w:r w:rsidRPr="00CD5CD5">
        <w:rPr>
          <w:rFonts w:ascii="Arial" w:hAnsi="Arial" w:cs="Arial"/>
          <w:sz w:val="20"/>
          <w:szCs w:val="20"/>
        </w:rPr>
        <w:t>By derogation from points (b) and (c), a declaration by the owner or an approval by a CAMO or</w:t>
      </w:r>
      <w:r w:rsidRPr="00CD5CD5">
        <w:rPr>
          <w:rFonts w:ascii="Arial" w:hAnsi="Arial" w:cs="Arial"/>
          <w:spacing w:val="-47"/>
          <w:sz w:val="20"/>
          <w:szCs w:val="20"/>
        </w:rPr>
        <w:t xml:space="preserve"> </w:t>
      </w:r>
      <w:r w:rsidRPr="00CD5CD5">
        <w:rPr>
          <w:rFonts w:ascii="Arial" w:hAnsi="Arial" w:cs="Arial"/>
          <w:sz w:val="20"/>
          <w:szCs w:val="20"/>
        </w:rPr>
        <w:t>CAO is not required, and an AMP document is not required to be produced when the following</w:t>
      </w:r>
      <w:r w:rsidRPr="00CD5CD5">
        <w:rPr>
          <w:rFonts w:ascii="Arial" w:hAnsi="Arial" w:cs="Arial"/>
          <w:spacing w:val="-47"/>
          <w:sz w:val="20"/>
          <w:szCs w:val="20"/>
        </w:rPr>
        <w:t xml:space="preserve"> </w:t>
      </w:r>
      <w:r w:rsidRPr="00CD5CD5">
        <w:rPr>
          <w:rFonts w:ascii="Arial" w:hAnsi="Arial" w:cs="Arial"/>
          <w:sz w:val="20"/>
          <w:szCs w:val="20"/>
        </w:rPr>
        <w:t>conditions</w:t>
      </w:r>
      <w:r w:rsidRPr="00CD5CD5">
        <w:rPr>
          <w:rFonts w:ascii="Arial" w:hAnsi="Arial" w:cs="Arial"/>
          <w:spacing w:val="-3"/>
          <w:sz w:val="20"/>
          <w:szCs w:val="20"/>
        </w:rPr>
        <w:t xml:space="preserve"> </w:t>
      </w:r>
      <w:r w:rsidRPr="00CD5CD5">
        <w:rPr>
          <w:rFonts w:ascii="Arial" w:hAnsi="Arial" w:cs="Arial"/>
          <w:sz w:val="20"/>
          <w:szCs w:val="20"/>
        </w:rPr>
        <w:t>are</w:t>
      </w:r>
      <w:r w:rsidRPr="00CD5CD5">
        <w:rPr>
          <w:rFonts w:ascii="Arial" w:hAnsi="Arial" w:cs="Arial"/>
          <w:spacing w:val="-2"/>
          <w:sz w:val="20"/>
          <w:szCs w:val="20"/>
        </w:rPr>
        <w:t xml:space="preserve"> </w:t>
      </w:r>
      <w:r w:rsidRPr="00CD5CD5">
        <w:rPr>
          <w:rFonts w:ascii="Arial" w:hAnsi="Arial" w:cs="Arial"/>
          <w:sz w:val="20"/>
          <w:szCs w:val="20"/>
        </w:rPr>
        <w:t>met:</w:t>
      </w:r>
    </w:p>
    <w:p w14:paraId="50B162ED" w14:textId="77777777" w:rsidR="00CD5CD5" w:rsidRPr="00CD5CD5" w:rsidRDefault="00CD5CD5" w:rsidP="00CD5CD5">
      <w:pPr>
        <w:pStyle w:val="ListParagraph"/>
        <w:numPr>
          <w:ilvl w:val="1"/>
          <w:numId w:val="290"/>
        </w:numPr>
        <w:tabs>
          <w:tab w:val="left" w:pos="1274"/>
        </w:tabs>
        <w:spacing w:before="121"/>
        <w:ind w:hanging="568"/>
        <w:jc w:val="both"/>
        <w:rPr>
          <w:rFonts w:ascii="Arial" w:hAnsi="Arial" w:cs="Arial"/>
          <w:sz w:val="20"/>
          <w:szCs w:val="20"/>
        </w:rPr>
      </w:pPr>
      <w:r w:rsidRPr="00CD5CD5">
        <w:rPr>
          <w:rFonts w:ascii="Arial" w:hAnsi="Arial" w:cs="Arial"/>
          <w:sz w:val="20"/>
          <w:szCs w:val="20"/>
        </w:rPr>
        <w:t>all</w:t>
      </w:r>
      <w:r w:rsidRPr="00CD5CD5">
        <w:rPr>
          <w:rFonts w:ascii="Arial" w:hAnsi="Arial" w:cs="Arial"/>
          <w:spacing w:val="-3"/>
          <w:sz w:val="20"/>
          <w:szCs w:val="20"/>
        </w:rPr>
        <w:t xml:space="preserve"> </w:t>
      </w:r>
      <w:r w:rsidRPr="00CD5CD5">
        <w:rPr>
          <w:rFonts w:ascii="Arial" w:hAnsi="Arial" w:cs="Arial"/>
          <w:sz w:val="20"/>
          <w:szCs w:val="20"/>
        </w:rPr>
        <w:t>the ICA</w:t>
      </w:r>
      <w:r w:rsidRPr="00CD5CD5">
        <w:rPr>
          <w:rFonts w:ascii="Arial" w:hAnsi="Arial" w:cs="Arial"/>
          <w:spacing w:val="-2"/>
          <w:sz w:val="20"/>
          <w:szCs w:val="20"/>
        </w:rPr>
        <w:t xml:space="preserve"> </w:t>
      </w:r>
      <w:r w:rsidRPr="00CD5CD5">
        <w:rPr>
          <w:rFonts w:ascii="Arial" w:hAnsi="Arial" w:cs="Arial"/>
          <w:sz w:val="20"/>
          <w:szCs w:val="20"/>
        </w:rPr>
        <w:t>issued</w:t>
      </w:r>
      <w:r w:rsidRPr="00CD5CD5">
        <w:rPr>
          <w:rFonts w:ascii="Arial" w:hAnsi="Arial" w:cs="Arial"/>
          <w:spacing w:val="-2"/>
          <w:sz w:val="20"/>
          <w:szCs w:val="20"/>
        </w:rPr>
        <w:t xml:space="preserve"> </w:t>
      </w:r>
      <w:r w:rsidRPr="00CD5CD5">
        <w:rPr>
          <w:rFonts w:ascii="Arial" w:hAnsi="Arial" w:cs="Arial"/>
          <w:sz w:val="20"/>
          <w:szCs w:val="20"/>
        </w:rPr>
        <w:t>by</w:t>
      </w:r>
      <w:r w:rsidRPr="00CD5CD5">
        <w:rPr>
          <w:rFonts w:ascii="Arial" w:hAnsi="Arial" w:cs="Arial"/>
          <w:spacing w:val="-3"/>
          <w:sz w:val="20"/>
          <w:szCs w:val="20"/>
        </w:rPr>
        <w:t xml:space="preserve"> </w:t>
      </w:r>
      <w:r w:rsidRPr="00CD5CD5">
        <w:rPr>
          <w:rFonts w:ascii="Arial" w:hAnsi="Arial" w:cs="Arial"/>
          <w:sz w:val="20"/>
          <w:szCs w:val="20"/>
        </w:rPr>
        <w:t>the</w:t>
      </w:r>
      <w:r w:rsidRPr="00CD5CD5">
        <w:rPr>
          <w:rFonts w:ascii="Arial" w:hAnsi="Arial" w:cs="Arial"/>
          <w:spacing w:val="-3"/>
          <w:sz w:val="20"/>
          <w:szCs w:val="20"/>
        </w:rPr>
        <w:t xml:space="preserve"> </w:t>
      </w:r>
      <w:r w:rsidRPr="00CD5CD5">
        <w:rPr>
          <w:rFonts w:ascii="Arial" w:hAnsi="Arial" w:cs="Arial"/>
          <w:sz w:val="20"/>
          <w:szCs w:val="20"/>
        </w:rPr>
        <w:t>DAH</w:t>
      </w:r>
      <w:r w:rsidRPr="00CD5CD5">
        <w:rPr>
          <w:rFonts w:ascii="Arial" w:hAnsi="Arial" w:cs="Arial"/>
          <w:spacing w:val="-2"/>
          <w:sz w:val="20"/>
          <w:szCs w:val="20"/>
        </w:rPr>
        <w:t xml:space="preserve"> </w:t>
      </w:r>
      <w:r w:rsidRPr="00CD5CD5">
        <w:rPr>
          <w:rFonts w:ascii="Arial" w:hAnsi="Arial" w:cs="Arial"/>
          <w:sz w:val="20"/>
          <w:szCs w:val="20"/>
        </w:rPr>
        <w:t>are being</w:t>
      </w:r>
      <w:r w:rsidRPr="00CD5CD5">
        <w:rPr>
          <w:rFonts w:ascii="Arial" w:hAnsi="Arial" w:cs="Arial"/>
          <w:spacing w:val="-2"/>
          <w:sz w:val="20"/>
          <w:szCs w:val="20"/>
        </w:rPr>
        <w:t xml:space="preserve"> </w:t>
      </w:r>
      <w:r w:rsidRPr="00CD5CD5">
        <w:rPr>
          <w:rFonts w:ascii="Arial" w:hAnsi="Arial" w:cs="Arial"/>
          <w:sz w:val="20"/>
          <w:szCs w:val="20"/>
        </w:rPr>
        <w:t>followed</w:t>
      </w:r>
      <w:r w:rsidRPr="00CD5CD5">
        <w:rPr>
          <w:rFonts w:ascii="Arial" w:hAnsi="Arial" w:cs="Arial"/>
          <w:spacing w:val="-4"/>
          <w:sz w:val="20"/>
          <w:szCs w:val="20"/>
        </w:rPr>
        <w:t xml:space="preserve"> </w:t>
      </w:r>
      <w:r w:rsidRPr="00CD5CD5">
        <w:rPr>
          <w:rFonts w:ascii="Arial" w:hAnsi="Arial" w:cs="Arial"/>
          <w:sz w:val="20"/>
          <w:szCs w:val="20"/>
        </w:rPr>
        <w:t>without</w:t>
      </w:r>
      <w:r w:rsidRPr="00CD5CD5">
        <w:rPr>
          <w:rFonts w:ascii="Arial" w:hAnsi="Arial" w:cs="Arial"/>
          <w:spacing w:val="-1"/>
          <w:sz w:val="20"/>
          <w:szCs w:val="20"/>
        </w:rPr>
        <w:t xml:space="preserve"> </w:t>
      </w:r>
      <w:r w:rsidRPr="00CD5CD5">
        <w:rPr>
          <w:rFonts w:ascii="Arial" w:hAnsi="Arial" w:cs="Arial"/>
          <w:sz w:val="20"/>
          <w:szCs w:val="20"/>
        </w:rPr>
        <w:t>any</w:t>
      </w:r>
      <w:r w:rsidRPr="00CD5CD5">
        <w:rPr>
          <w:rFonts w:ascii="Arial" w:hAnsi="Arial" w:cs="Arial"/>
          <w:spacing w:val="-1"/>
          <w:sz w:val="20"/>
          <w:szCs w:val="20"/>
        </w:rPr>
        <w:t xml:space="preserve"> </w:t>
      </w:r>
      <w:r w:rsidRPr="00CD5CD5">
        <w:rPr>
          <w:rFonts w:ascii="Arial" w:hAnsi="Arial" w:cs="Arial"/>
          <w:sz w:val="20"/>
          <w:szCs w:val="20"/>
        </w:rPr>
        <w:t>deviations;</w:t>
      </w:r>
    </w:p>
    <w:p w14:paraId="402D105D" w14:textId="77777777" w:rsidR="00CD5CD5" w:rsidRPr="00CD5CD5" w:rsidRDefault="00CD5CD5" w:rsidP="00CD5CD5">
      <w:pPr>
        <w:pStyle w:val="ListParagraph"/>
        <w:numPr>
          <w:ilvl w:val="1"/>
          <w:numId w:val="290"/>
        </w:numPr>
        <w:tabs>
          <w:tab w:val="left" w:pos="1274"/>
        </w:tabs>
        <w:ind w:right="197"/>
        <w:jc w:val="both"/>
        <w:rPr>
          <w:rFonts w:ascii="Arial" w:hAnsi="Arial" w:cs="Arial"/>
          <w:sz w:val="20"/>
          <w:szCs w:val="20"/>
        </w:rPr>
      </w:pPr>
      <w:r w:rsidRPr="00CD5CD5">
        <w:rPr>
          <w:rFonts w:ascii="Arial" w:hAnsi="Arial" w:cs="Arial"/>
          <w:sz w:val="20"/>
          <w:szCs w:val="20"/>
        </w:rPr>
        <w:t>all</w:t>
      </w:r>
      <w:r w:rsidRPr="00CD5CD5">
        <w:rPr>
          <w:rFonts w:ascii="Arial" w:hAnsi="Arial" w:cs="Arial"/>
          <w:spacing w:val="1"/>
          <w:sz w:val="20"/>
          <w:szCs w:val="20"/>
        </w:rPr>
        <w:t xml:space="preserve"> </w:t>
      </w:r>
      <w:r w:rsidRPr="00CD5CD5">
        <w:rPr>
          <w:rFonts w:ascii="Arial" w:hAnsi="Arial" w:cs="Arial"/>
          <w:sz w:val="20"/>
          <w:szCs w:val="20"/>
        </w:rPr>
        <w:t>maintenance</w:t>
      </w:r>
      <w:r w:rsidRPr="00CD5CD5">
        <w:rPr>
          <w:rFonts w:ascii="Arial" w:hAnsi="Arial" w:cs="Arial"/>
          <w:spacing w:val="1"/>
          <w:sz w:val="20"/>
          <w:szCs w:val="20"/>
        </w:rPr>
        <w:t xml:space="preserve"> </w:t>
      </w:r>
      <w:r w:rsidRPr="00CD5CD5">
        <w:rPr>
          <w:rFonts w:ascii="Arial" w:hAnsi="Arial" w:cs="Arial"/>
          <w:sz w:val="20"/>
          <w:szCs w:val="20"/>
        </w:rPr>
        <w:t>recommendations,</w:t>
      </w:r>
      <w:r w:rsidRPr="00CD5CD5">
        <w:rPr>
          <w:rFonts w:ascii="Arial" w:hAnsi="Arial" w:cs="Arial"/>
          <w:spacing w:val="1"/>
          <w:sz w:val="20"/>
          <w:szCs w:val="20"/>
        </w:rPr>
        <w:t xml:space="preserve"> </w:t>
      </w:r>
      <w:r w:rsidRPr="00CD5CD5">
        <w:rPr>
          <w:rFonts w:ascii="Arial" w:hAnsi="Arial" w:cs="Arial"/>
          <w:sz w:val="20"/>
          <w:szCs w:val="20"/>
        </w:rPr>
        <w:t>such</w:t>
      </w:r>
      <w:r w:rsidRPr="00CD5CD5">
        <w:rPr>
          <w:rFonts w:ascii="Arial" w:hAnsi="Arial" w:cs="Arial"/>
          <w:spacing w:val="1"/>
          <w:sz w:val="20"/>
          <w:szCs w:val="20"/>
        </w:rPr>
        <w:t xml:space="preserve"> </w:t>
      </w:r>
      <w:r w:rsidRPr="00CD5CD5">
        <w:rPr>
          <w:rFonts w:ascii="Arial" w:hAnsi="Arial" w:cs="Arial"/>
          <w:sz w:val="20"/>
          <w:szCs w:val="20"/>
        </w:rPr>
        <w:t>as</w:t>
      </w:r>
      <w:r w:rsidRPr="00CD5CD5">
        <w:rPr>
          <w:rFonts w:ascii="Arial" w:hAnsi="Arial" w:cs="Arial"/>
          <w:spacing w:val="1"/>
          <w:sz w:val="20"/>
          <w:szCs w:val="20"/>
        </w:rPr>
        <w:t xml:space="preserve"> </w:t>
      </w:r>
      <w:r w:rsidRPr="00CD5CD5">
        <w:rPr>
          <w:rFonts w:ascii="Arial" w:hAnsi="Arial" w:cs="Arial"/>
          <w:sz w:val="20"/>
          <w:szCs w:val="20"/>
        </w:rPr>
        <w:t>TBO</w:t>
      </w:r>
      <w:r w:rsidRPr="00CD5CD5">
        <w:rPr>
          <w:rFonts w:ascii="Arial" w:hAnsi="Arial" w:cs="Arial"/>
          <w:spacing w:val="1"/>
          <w:sz w:val="20"/>
          <w:szCs w:val="20"/>
        </w:rPr>
        <w:t xml:space="preserve"> </w:t>
      </w:r>
      <w:r w:rsidRPr="00CD5CD5">
        <w:rPr>
          <w:rFonts w:ascii="Arial" w:hAnsi="Arial" w:cs="Arial"/>
          <w:sz w:val="20"/>
          <w:szCs w:val="20"/>
        </w:rPr>
        <w:t>intervals,</w:t>
      </w:r>
      <w:r w:rsidRPr="00CD5CD5">
        <w:rPr>
          <w:rFonts w:ascii="Arial" w:hAnsi="Arial" w:cs="Arial"/>
          <w:spacing w:val="1"/>
          <w:sz w:val="20"/>
          <w:szCs w:val="20"/>
        </w:rPr>
        <w:t xml:space="preserve"> </w:t>
      </w:r>
      <w:r w:rsidRPr="00CD5CD5">
        <w:rPr>
          <w:rFonts w:ascii="Arial" w:hAnsi="Arial" w:cs="Arial"/>
          <w:sz w:val="20"/>
          <w:szCs w:val="20"/>
        </w:rPr>
        <w:t>issued</w:t>
      </w:r>
      <w:r w:rsidRPr="00CD5CD5">
        <w:rPr>
          <w:rFonts w:ascii="Arial" w:hAnsi="Arial" w:cs="Arial"/>
          <w:spacing w:val="1"/>
          <w:sz w:val="20"/>
          <w:szCs w:val="20"/>
        </w:rPr>
        <w:t xml:space="preserve"> </w:t>
      </w:r>
      <w:r w:rsidRPr="00CD5CD5">
        <w:rPr>
          <w:rFonts w:ascii="Arial" w:hAnsi="Arial" w:cs="Arial"/>
          <w:sz w:val="20"/>
          <w:szCs w:val="20"/>
        </w:rPr>
        <w:t>through</w:t>
      </w:r>
      <w:r w:rsidRPr="00CD5CD5">
        <w:rPr>
          <w:rFonts w:ascii="Arial" w:hAnsi="Arial" w:cs="Arial"/>
          <w:spacing w:val="1"/>
          <w:sz w:val="20"/>
          <w:szCs w:val="20"/>
        </w:rPr>
        <w:t xml:space="preserve"> </w:t>
      </w:r>
      <w:r w:rsidRPr="00CD5CD5">
        <w:rPr>
          <w:rFonts w:ascii="Arial" w:hAnsi="Arial" w:cs="Arial"/>
          <w:sz w:val="20"/>
          <w:szCs w:val="20"/>
        </w:rPr>
        <w:t>service</w:t>
      </w:r>
      <w:r w:rsidRPr="00CD5CD5">
        <w:rPr>
          <w:rFonts w:ascii="Arial" w:hAnsi="Arial" w:cs="Arial"/>
          <w:spacing w:val="1"/>
          <w:sz w:val="20"/>
          <w:szCs w:val="20"/>
        </w:rPr>
        <w:t xml:space="preserve"> </w:t>
      </w:r>
      <w:r w:rsidRPr="00CD5CD5">
        <w:rPr>
          <w:rFonts w:ascii="Arial" w:hAnsi="Arial" w:cs="Arial"/>
          <w:sz w:val="20"/>
          <w:szCs w:val="20"/>
        </w:rPr>
        <w:t>bulletins,</w:t>
      </w:r>
      <w:r w:rsidRPr="00CD5CD5">
        <w:rPr>
          <w:rFonts w:ascii="Arial" w:hAnsi="Arial" w:cs="Arial"/>
          <w:spacing w:val="1"/>
          <w:sz w:val="20"/>
          <w:szCs w:val="20"/>
        </w:rPr>
        <w:t xml:space="preserve"> </w:t>
      </w:r>
      <w:r w:rsidRPr="00CD5CD5">
        <w:rPr>
          <w:rFonts w:ascii="Arial" w:hAnsi="Arial" w:cs="Arial"/>
          <w:sz w:val="20"/>
          <w:szCs w:val="20"/>
        </w:rPr>
        <w:t>service</w:t>
      </w:r>
      <w:r w:rsidRPr="00CD5CD5">
        <w:rPr>
          <w:rFonts w:ascii="Arial" w:hAnsi="Arial" w:cs="Arial"/>
          <w:spacing w:val="1"/>
          <w:sz w:val="20"/>
          <w:szCs w:val="20"/>
        </w:rPr>
        <w:t xml:space="preserve"> </w:t>
      </w:r>
      <w:r w:rsidRPr="00CD5CD5">
        <w:rPr>
          <w:rFonts w:ascii="Arial" w:hAnsi="Arial" w:cs="Arial"/>
          <w:sz w:val="20"/>
          <w:szCs w:val="20"/>
        </w:rPr>
        <w:t>letters,</w:t>
      </w:r>
      <w:r w:rsidRPr="00CD5CD5">
        <w:rPr>
          <w:rFonts w:ascii="Arial" w:hAnsi="Arial" w:cs="Arial"/>
          <w:spacing w:val="1"/>
          <w:sz w:val="20"/>
          <w:szCs w:val="20"/>
        </w:rPr>
        <w:t xml:space="preserve"> </w:t>
      </w:r>
      <w:r w:rsidRPr="00CD5CD5">
        <w:rPr>
          <w:rFonts w:ascii="Arial" w:hAnsi="Arial" w:cs="Arial"/>
          <w:sz w:val="20"/>
          <w:szCs w:val="20"/>
        </w:rPr>
        <w:t>and</w:t>
      </w:r>
      <w:r w:rsidRPr="00CD5CD5">
        <w:rPr>
          <w:rFonts w:ascii="Arial" w:hAnsi="Arial" w:cs="Arial"/>
          <w:spacing w:val="1"/>
          <w:sz w:val="20"/>
          <w:szCs w:val="20"/>
        </w:rPr>
        <w:t xml:space="preserve"> </w:t>
      </w:r>
      <w:r w:rsidRPr="00CD5CD5">
        <w:rPr>
          <w:rFonts w:ascii="Arial" w:hAnsi="Arial" w:cs="Arial"/>
          <w:sz w:val="20"/>
          <w:szCs w:val="20"/>
        </w:rPr>
        <w:t>other</w:t>
      </w:r>
      <w:r w:rsidRPr="00CD5CD5">
        <w:rPr>
          <w:rFonts w:ascii="Arial" w:hAnsi="Arial" w:cs="Arial"/>
          <w:spacing w:val="1"/>
          <w:sz w:val="20"/>
          <w:szCs w:val="20"/>
        </w:rPr>
        <w:t xml:space="preserve"> </w:t>
      </w:r>
      <w:r w:rsidRPr="00CD5CD5">
        <w:rPr>
          <w:rFonts w:ascii="Arial" w:hAnsi="Arial" w:cs="Arial"/>
          <w:sz w:val="20"/>
          <w:szCs w:val="20"/>
        </w:rPr>
        <w:t>non-mandatory</w:t>
      </w:r>
      <w:r w:rsidRPr="00CD5CD5">
        <w:rPr>
          <w:rFonts w:ascii="Arial" w:hAnsi="Arial" w:cs="Arial"/>
          <w:spacing w:val="1"/>
          <w:sz w:val="20"/>
          <w:szCs w:val="20"/>
        </w:rPr>
        <w:t xml:space="preserve"> </w:t>
      </w:r>
      <w:r w:rsidRPr="00CD5CD5">
        <w:rPr>
          <w:rFonts w:ascii="Arial" w:hAnsi="Arial" w:cs="Arial"/>
          <w:sz w:val="20"/>
          <w:szCs w:val="20"/>
        </w:rPr>
        <w:t>service</w:t>
      </w:r>
      <w:r w:rsidRPr="00CD5CD5">
        <w:rPr>
          <w:rFonts w:ascii="Arial" w:hAnsi="Arial" w:cs="Arial"/>
          <w:spacing w:val="1"/>
          <w:sz w:val="20"/>
          <w:szCs w:val="20"/>
        </w:rPr>
        <w:t xml:space="preserve"> </w:t>
      </w:r>
      <w:r w:rsidRPr="00CD5CD5">
        <w:rPr>
          <w:rFonts w:ascii="Arial" w:hAnsi="Arial" w:cs="Arial"/>
          <w:sz w:val="20"/>
          <w:szCs w:val="20"/>
        </w:rPr>
        <w:t>information,</w:t>
      </w:r>
      <w:r w:rsidRPr="00CD5CD5">
        <w:rPr>
          <w:rFonts w:ascii="Arial" w:hAnsi="Arial" w:cs="Arial"/>
          <w:spacing w:val="1"/>
          <w:sz w:val="20"/>
          <w:szCs w:val="20"/>
        </w:rPr>
        <w:t xml:space="preserve"> </w:t>
      </w:r>
      <w:r w:rsidRPr="00CD5CD5">
        <w:rPr>
          <w:rFonts w:ascii="Arial" w:hAnsi="Arial" w:cs="Arial"/>
          <w:sz w:val="20"/>
          <w:szCs w:val="20"/>
        </w:rPr>
        <w:t>are</w:t>
      </w:r>
      <w:r w:rsidRPr="00CD5CD5">
        <w:rPr>
          <w:rFonts w:ascii="Arial" w:hAnsi="Arial" w:cs="Arial"/>
          <w:spacing w:val="1"/>
          <w:sz w:val="20"/>
          <w:szCs w:val="20"/>
        </w:rPr>
        <w:t xml:space="preserve"> </w:t>
      </w:r>
      <w:r w:rsidRPr="00CD5CD5">
        <w:rPr>
          <w:rFonts w:ascii="Arial" w:hAnsi="Arial" w:cs="Arial"/>
          <w:sz w:val="20"/>
          <w:szCs w:val="20"/>
        </w:rPr>
        <w:t>being</w:t>
      </w:r>
      <w:r w:rsidRPr="00CD5CD5">
        <w:rPr>
          <w:rFonts w:ascii="Arial" w:hAnsi="Arial" w:cs="Arial"/>
          <w:spacing w:val="1"/>
          <w:sz w:val="20"/>
          <w:szCs w:val="20"/>
        </w:rPr>
        <w:t xml:space="preserve"> </w:t>
      </w:r>
      <w:r w:rsidRPr="00CD5CD5">
        <w:rPr>
          <w:rFonts w:ascii="Arial" w:hAnsi="Arial" w:cs="Arial"/>
          <w:sz w:val="20"/>
          <w:szCs w:val="20"/>
        </w:rPr>
        <w:t>followed</w:t>
      </w:r>
      <w:r w:rsidRPr="00CD5CD5">
        <w:rPr>
          <w:rFonts w:ascii="Arial" w:hAnsi="Arial" w:cs="Arial"/>
          <w:spacing w:val="-4"/>
          <w:sz w:val="20"/>
          <w:szCs w:val="20"/>
        </w:rPr>
        <w:t xml:space="preserve"> </w:t>
      </w:r>
      <w:r w:rsidRPr="00CD5CD5">
        <w:rPr>
          <w:rFonts w:ascii="Arial" w:hAnsi="Arial" w:cs="Arial"/>
          <w:sz w:val="20"/>
          <w:szCs w:val="20"/>
        </w:rPr>
        <w:t>without any</w:t>
      </w:r>
      <w:r w:rsidRPr="00CD5CD5">
        <w:rPr>
          <w:rFonts w:ascii="Arial" w:hAnsi="Arial" w:cs="Arial"/>
          <w:spacing w:val="-2"/>
          <w:sz w:val="20"/>
          <w:szCs w:val="20"/>
        </w:rPr>
        <w:t xml:space="preserve"> </w:t>
      </w:r>
      <w:r w:rsidRPr="00CD5CD5">
        <w:rPr>
          <w:rFonts w:ascii="Arial" w:hAnsi="Arial" w:cs="Arial"/>
          <w:sz w:val="20"/>
          <w:szCs w:val="20"/>
        </w:rPr>
        <w:t>deviations;</w:t>
      </w:r>
    </w:p>
    <w:p w14:paraId="1BD999B4" w14:textId="77777777" w:rsidR="00CD5CD5" w:rsidRPr="00CD5CD5" w:rsidRDefault="00CD5CD5" w:rsidP="00CD5CD5">
      <w:pPr>
        <w:pStyle w:val="ListParagraph"/>
        <w:numPr>
          <w:ilvl w:val="1"/>
          <w:numId w:val="290"/>
        </w:numPr>
        <w:tabs>
          <w:tab w:val="left" w:pos="1274"/>
        </w:tabs>
        <w:spacing w:before="119"/>
        <w:ind w:right="199"/>
        <w:jc w:val="both"/>
        <w:rPr>
          <w:rFonts w:ascii="Arial" w:hAnsi="Arial" w:cs="Arial"/>
          <w:sz w:val="20"/>
          <w:szCs w:val="20"/>
        </w:rPr>
      </w:pPr>
      <w:r w:rsidRPr="00CD5CD5">
        <w:rPr>
          <w:rFonts w:ascii="Arial" w:hAnsi="Arial" w:cs="Arial"/>
          <w:sz w:val="20"/>
          <w:szCs w:val="20"/>
        </w:rPr>
        <w:t>there are no additional maintenance tasks to be performed resulting from any of the</w:t>
      </w:r>
      <w:r w:rsidRPr="00CD5CD5">
        <w:rPr>
          <w:rFonts w:ascii="Arial" w:hAnsi="Arial" w:cs="Arial"/>
          <w:spacing w:val="1"/>
          <w:sz w:val="20"/>
          <w:szCs w:val="20"/>
        </w:rPr>
        <w:t xml:space="preserve"> </w:t>
      </w:r>
      <w:r w:rsidRPr="00CD5CD5">
        <w:rPr>
          <w:rFonts w:ascii="Arial" w:hAnsi="Arial" w:cs="Arial"/>
          <w:sz w:val="20"/>
          <w:szCs w:val="20"/>
        </w:rPr>
        <w:t>following:</w:t>
      </w:r>
    </w:p>
    <w:p w14:paraId="05EA40AC" w14:textId="77777777" w:rsidR="00CD5CD5" w:rsidRPr="00CD5CD5" w:rsidRDefault="00CD5CD5" w:rsidP="00CD5CD5">
      <w:pPr>
        <w:pStyle w:val="ListParagraph"/>
        <w:numPr>
          <w:ilvl w:val="2"/>
          <w:numId w:val="290"/>
        </w:numPr>
        <w:tabs>
          <w:tab w:val="left" w:pos="1841"/>
          <w:tab w:val="left" w:pos="1842"/>
        </w:tabs>
        <w:spacing w:before="121"/>
        <w:rPr>
          <w:rFonts w:ascii="Arial" w:hAnsi="Arial" w:cs="Arial"/>
          <w:sz w:val="20"/>
          <w:szCs w:val="20"/>
        </w:rPr>
      </w:pPr>
      <w:r w:rsidRPr="00CD5CD5">
        <w:rPr>
          <w:rFonts w:ascii="Arial" w:hAnsi="Arial" w:cs="Arial"/>
          <w:sz w:val="20"/>
          <w:szCs w:val="20"/>
        </w:rPr>
        <w:t>specific</w:t>
      </w:r>
      <w:r w:rsidRPr="00CD5CD5">
        <w:rPr>
          <w:rFonts w:ascii="Arial" w:hAnsi="Arial" w:cs="Arial"/>
          <w:spacing w:val="-2"/>
          <w:sz w:val="20"/>
          <w:szCs w:val="20"/>
        </w:rPr>
        <w:t xml:space="preserve"> </w:t>
      </w:r>
      <w:r w:rsidRPr="00CD5CD5">
        <w:rPr>
          <w:rFonts w:ascii="Arial" w:hAnsi="Arial" w:cs="Arial"/>
          <w:sz w:val="20"/>
          <w:szCs w:val="20"/>
        </w:rPr>
        <w:t>installed</w:t>
      </w:r>
      <w:r w:rsidRPr="00CD5CD5">
        <w:rPr>
          <w:rFonts w:ascii="Arial" w:hAnsi="Arial" w:cs="Arial"/>
          <w:spacing w:val="-1"/>
          <w:sz w:val="20"/>
          <w:szCs w:val="20"/>
        </w:rPr>
        <w:t xml:space="preserve"> </w:t>
      </w:r>
      <w:r w:rsidRPr="00CD5CD5">
        <w:rPr>
          <w:rFonts w:ascii="Arial" w:hAnsi="Arial" w:cs="Arial"/>
          <w:sz w:val="20"/>
          <w:szCs w:val="20"/>
        </w:rPr>
        <w:t>equipment</w:t>
      </w:r>
      <w:r w:rsidRPr="00CD5CD5">
        <w:rPr>
          <w:rFonts w:ascii="Arial" w:hAnsi="Arial" w:cs="Arial"/>
          <w:spacing w:val="-1"/>
          <w:sz w:val="20"/>
          <w:szCs w:val="20"/>
        </w:rPr>
        <w:t xml:space="preserve"> </w:t>
      </w:r>
      <w:r w:rsidRPr="00CD5CD5">
        <w:rPr>
          <w:rFonts w:ascii="Arial" w:hAnsi="Arial" w:cs="Arial"/>
          <w:sz w:val="20"/>
          <w:szCs w:val="20"/>
        </w:rPr>
        <w:t>and</w:t>
      </w:r>
      <w:r w:rsidRPr="00CD5CD5">
        <w:rPr>
          <w:rFonts w:ascii="Arial" w:hAnsi="Arial" w:cs="Arial"/>
          <w:spacing w:val="-2"/>
          <w:sz w:val="20"/>
          <w:szCs w:val="20"/>
        </w:rPr>
        <w:t xml:space="preserve"> </w:t>
      </w:r>
      <w:r w:rsidRPr="00CD5CD5">
        <w:rPr>
          <w:rFonts w:ascii="Arial" w:hAnsi="Arial" w:cs="Arial"/>
          <w:sz w:val="20"/>
          <w:szCs w:val="20"/>
        </w:rPr>
        <w:t>modifications</w:t>
      </w:r>
      <w:r w:rsidRPr="00CD5CD5">
        <w:rPr>
          <w:rFonts w:ascii="Arial" w:hAnsi="Arial" w:cs="Arial"/>
          <w:spacing w:val="-4"/>
          <w:sz w:val="20"/>
          <w:szCs w:val="20"/>
        </w:rPr>
        <w:t xml:space="preserve"> </w:t>
      </w:r>
      <w:r w:rsidRPr="00CD5CD5">
        <w:rPr>
          <w:rFonts w:ascii="Arial" w:hAnsi="Arial" w:cs="Arial"/>
          <w:sz w:val="20"/>
          <w:szCs w:val="20"/>
        </w:rPr>
        <w:t>of</w:t>
      </w:r>
      <w:r w:rsidRPr="00CD5CD5">
        <w:rPr>
          <w:rFonts w:ascii="Arial" w:hAnsi="Arial" w:cs="Arial"/>
          <w:spacing w:val="-3"/>
          <w:sz w:val="20"/>
          <w:szCs w:val="20"/>
        </w:rPr>
        <w:t xml:space="preserve"> </w:t>
      </w:r>
      <w:r w:rsidRPr="00CD5CD5">
        <w:rPr>
          <w:rFonts w:ascii="Arial" w:hAnsi="Arial" w:cs="Arial"/>
          <w:sz w:val="20"/>
          <w:szCs w:val="20"/>
        </w:rPr>
        <w:t>the</w:t>
      </w:r>
      <w:r w:rsidRPr="00CD5CD5">
        <w:rPr>
          <w:rFonts w:ascii="Arial" w:hAnsi="Arial" w:cs="Arial"/>
          <w:spacing w:val="-3"/>
          <w:sz w:val="20"/>
          <w:szCs w:val="20"/>
        </w:rPr>
        <w:t xml:space="preserve"> </w:t>
      </w:r>
      <w:r w:rsidRPr="00CD5CD5">
        <w:rPr>
          <w:rFonts w:ascii="Arial" w:hAnsi="Arial" w:cs="Arial"/>
          <w:sz w:val="20"/>
          <w:szCs w:val="20"/>
        </w:rPr>
        <w:t>aircraft;</w:t>
      </w:r>
    </w:p>
    <w:p w14:paraId="06BFB565" w14:textId="77777777" w:rsidR="00CD5CD5" w:rsidRPr="00CD5CD5" w:rsidRDefault="00CD5CD5" w:rsidP="00CD5CD5">
      <w:pPr>
        <w:pStyle w:val="ListParagraph"/>
        <w:numPr>
          <w:ilvl w:val="2"/>
          <w:numId w:val="290"/>
        </w:numPr>
        <w:tabs>
          <w:tab w:val="left" w:pos="1841"/>
          <w:tab w:val="left" w:pos="1842"/>
        </w:tabs>
        <w:rPr>
          <w:rFonts w:ascii="Arial" w:hAnsi="Arial" w:cs="Arial"/>
          <w:sz w:val="20"/>
          <w:szCs w:val="20"/>
        </w:rPr>
      </w:pPr>
      <w:r w:rsidRPr="00CD5CD5">
        <w:rPr>
          <w:rFonts w:ascii="Arial" w:hAnsi="Arial" w:cs="Arial"/>
          <w:sz w:val="20"/>
          <w:szCs w:val="20"/>
        </w:rPr>
        <w:t>repairs carried out</w:t>
      </w:r>
      <w:r w:rsidRPr="00CD5CD5">
        <w:rPr>
          <w:rFonts w:ascii="Arial" w:hAnsi="Arial" w:cs="Arial"/>
          <w:spacing w:val="-2"/>
          <w:sz w:val="20"/>
          <w:szCs w:val="20"/>
        </w:rPr>
        <w:t xml:space="preserve"> </w:t>
      </w:r>
      <w:r w:rsidRPr="00CD5CD5">
        <w:rPr>
          <w:rFonts w:ascii="Arial" w:hAnsi="Arial" w:cs="Arial"/>
          <w:sz w:val="20"/>
          <w:szCs w:val="20"/>
        </w:rPr>
        <w:t>in</w:t>
      </w:r>
      <w:r w:rsidRPr="00CD5CD5">
        <w:rPr>
          <w:rFonts w:ascii="Arial" w:hAnsi="Arial" w:cs="Arial"/>
          <w:spacing w:val="1"/>
          <w:sz w:val="20"/>
          <w:szCs w:val="20"/>
        </w:rPr>
        <w:t xml:space="preserve"> </w:t>
      </w:r>
      <w:r w:rsidRPr="00CD5CD5">
        <w:rPr>
          <w:rFonts w:ascii="Arial" w:hAnsi="Arial" w:cs="Arial"/>
          <w:sz w:val="20"/>
          <w:szCs w:val="20"/>
        </w:rPr>
        <w:t>the</w:t>
      </w:r>
      <w:r w:rsidRPr="00CD5CD5">
        <w:rPr>
          <w:rFonts w:ascii="Arial" w:hAnsi="Arial" w:cs="Arial"/>
          <w:spacing w:val="-3"/>
          <w:sz w:val="20"/>
          <w:szCs w:val="20"/>
        </w:rPr>
        <w:t xml:space="preserve"> </w:t>
      </w:r>
      <w:r w:rsidRPr="00CD5CD5">
        <w:rPr>
          <w:rFonts w:ascii="Arial" w:hAnsi="Arial" w:cs="Arial"/>
          <w:sz w:val="20"/>
          <w:szCs w:val="20"/>
        </w:rPr>
        <w:t>aircraft;</w:t>
      </w:r>
    </w:p>
    <w:p w14:paraId="039E8BEF" w14:textId="77777777" w:rsidR="00CD5CD5" w:rsidRPr="00CD5CD5" w:rsidRDefault="00CD5CD5" w:rsidP="00CD5CD5">
      <w:pPr>
        <w:pStyle w:val="ListParagraph"/>
        <w:numPr>
          <w:ilvl w:val="2"/>
          <w:numId w:val="290"/>
        </w:numPr>
        <w:tabs>
          <w:tab w:val="left" w:pos="1841"/>
          <w:tab w:val="left" w:pos="1842"/>
        </w:tabs>
        <w:rPr>
          <w:rFonts w:ascii="Arial" w:hAnsi="Arial" w:cs="Arial"/>
          <w:sz w:val="20"/>
          <w:szCs w:val="20"/>
        </w:rPr>
      </w:pPr>
      <w:r w:rsidRPr="00CD5CD5">
        <w:rPr>
          <w:rFonts w:ascii="Arial" w:hAnsi="Arial" w:cs="Arial"/>
          <w:sz w:val="20"/>
          <w:szCs w:val="20"/>
        </w:rPr>
        <w:t>life-limited</w:t>
      </w:r>
      <w:r w:rsidRPr="00CD5CD5">
        <w:rPr>
          <w:rFonts w:ascii="Arial" w:hAnsi="Arial" w:cs="Arial"/>
          <w:spacing w:val="-4"/>
          <w:sz w:val="20"/>
          <w:szCs w:val="20"/>
        </w:rPr>
        <w:t xml:space="preserve"> </w:t>
      </w:r>
      <w:r w:rsidRPr="00CD5CD5">
        <w:rPr>
          <w:rFonts w:ascii="Arial" w:hAnsi="Arial" w:cs="Arial"/>
          <w:sz w:val="20"/>
          <w:szCs w:val="20"/>
        </w:rPr>
        <w:t>components</w:t>
      </w:r>
      <w:r w:rsidRPr="00CD5CD5">
        <w:rPr>
          <w:rFonts w:ascii="Arial" w:hAnsi="Arial" w:cs="Arial"/>
          <w:spacing w:val="-4"/>
          <w:sz w:val="20"/>
          <w:szCs w:val="20"/>
        </w:rPr>
        <w:t xml:space="preserve"> </w:t>
      </w:r>
      <w:r w:rsidRPr="00CD5CD5">
        <w:rPr>
          <w:rFonts w:ascii="Arial" w:hAnsi="Arial" w:cs="Arial"/>
          <w:sz w:val="20"/>
          <w:szCs w:val="20"/>
        </w:rPr>
        <w:t>and</w:t>
      </w:r>
      <w:r w:rsidRPr="00CD5CD5">
        <w:rPr>
          <w:rFonts w:ascii="Arial" w:hAnsi="Arial" w:cs="Arial"/>
          <w:spacing w:val="-4"/>
          <w:sz w:val="20"/>
          <w:szCs w:val="20"/>
        </w:rPr>
        <w:t xml:space="preserve"> </w:t>
      </w:r>
      <w:r w:rsidRPr="00CD5CD5">
        <w:rPr>
          <w:rFonts w:ascii="Arial" w:hAnsi="Arial" w:cs="Arial"/>
          <w:sz w:val="20"/>
          <w:szCs w:val="20"/>
        </w:rPr>
        <w:t>flight-safety-critical</w:t>
      </w:r>
      <w:r w:rsidRPr="00CD5CD5">
        <w:rPr>
          <w:rFonts w:ascii="Arial" w:hAnsi="Arial" w:cs="Arial"/>
          <w:spacing w:val="-6"/>
          <w:sz w:val="20"/>
          <w:szCs w:val="20"/>
        </w:rPr>
        <w:t xml:space="preserve"> </w:t>
      </w:r>
      <w:r w:rsidRPr="00CD5CD5">
        <w:rPr>
          <w:rFonts w:ascii="Arial" w:hAnsi="Arial" w:cs="Arial"/>
          <w:sz w:val="20"/>
          <w:szCs w:val="20"/>
        </w:rPr>
        <w:t>components;</w:t>
      </w:r>
    </w:p>
    <w:p w14:paraId="746AF1B0" w14:textId="77777777" w:rsidR="00CD5CD5" w:rsidRPr="00CD5CD5" w:rsidRDefault="00CD5CD5" w:rsidP="00CD5CD5">
      <w:pPr>
        <w:pStyle w:val="ListParagraph"/>
        <w:numPr>
          <w:ilvl w:val="2"/>
          <w:numId w:val="290"/>
        </w:numPr>
        <w:tabs>
          <w:tab w:val="left" w:pos="1841"/>
          <w:tab w:val="left" w:pos="1842"/>
        </w:tabs>
        <w:rPr>
          <w:rFonts w:ascii="Arial" w:hAnsi="Arial" w:cs="Arial"/>
          <w:sz w:val="20"/>
          <w:szCs w:val="20"/>
        </w:rPr>
      </w:pPr>
      <w:r w:rsidRPr="00CD5CD5">
        <w:rPr>
          <w:rFonts w:ascii="Arial" w:hAnsi="Arial" w:cs="Arial"/>
          <w:sz w:val="20"/>
          <w:szCs w:val="20"/>
        </w:rPr>
        <w:t>special</w:t>
      </w:r>
      <w:r w:rsidRPr="00CD5CD5">
        <w:rPr>
          <w:rFonts w:ascii="Arial" w:hAnsi="Arial" w:cs="Arial"/>
          <w:spacing w:val="-5"/>
          <w:sz w:val="20"/>
          <w:szCs w:val="20"/>
        </w:rPr>
        <w:t xml:space="preserve"> </w:t>
      </w:r>
      <w:r w:rsidRPr="00CD5CD5">
        <w:rPr>
          <w:rFonts w:ascii="Arial" w:hAnsi="Arial" w:cs="Arial"/>
          <w:sz w:val="20"/>
          <w:szCs w:val="20"/>
        </w:rPr>
        <w:t>operational</w:t>
      </w:r>
      <w:r w:rsidRPr="00CD5CD5">
        <w:rPr>
          <w:rFonts w:ascii="Arial" w:hAnsi="Arial" w:cs="Arial"/>
          <w:spacing w:val="-2"/>
          <w:sz w:val="20"/>
          <w:szCs w:val="20"/>
        </w:rPr>
        <w:t xml:space="preserve"> </w:t>
      </w:r>
      <w:r w:rsidRPr="00CD5CD5">
        <w:rPr>
          <w:rFonts w:ascii="Arial" w:hAnsi="Arial" w:cs="Arial"/>
          <w:sz w:val="20"/>
          <w:szCs w:val="20"/>
        </w:rPr>
        <w:t>approvals;</w:t>
      </w:r>
    </w:p>
    <w:p w14:paraId="45C6F109" w14:textId="77777777" w:rsidR="00CD5CD5" w:rsidRPr="00CD5CD5" w:rsidRDefault="00CD5CD5" w:rsidP="00CD5CD5">
      <w:pPr>
        <w:pStyle w:val="ListParagraph"/>
        <w:numPr>
          <w:ilvl w:val="2"/>
          <w:numId w:val="290"/>
        </w:numPr>
        <w:tabs>
          <w:tab w:val="left" w:pos="1841"/>
          <w:tab w:val="left" w:pos="1842"/>
        </w:tabs>
        <w:spacing w:before="121"/>
        <w:rPr>
          <w:rFonts w:ascii="Arial" w:hAnsi="Arial" w:cs="Arial"/>
          <w:sz w:val="20"/>
          <w:szCs w:val="20"/>
        </w:rPr>
      </w:pPr>
      <w:r w:rsidRPr="00CD5CD5">
        <w:rPr>
          <w:rFonts w:ascii="Arial" w:hAnsi="Arial" w:cs="Arial"/>
          <w:sz w:val="20"/>
          <w:szCs w:val="20"/>
        </w:rPr>
        <w:t>use of</w:t>
      </w:r>
      <w:r w:rsidRPr="00CD5CD5">
        <w:rPr>
          <w:rFonts w:ascii="Arial" w:hAnsi="Arial" w:cs="Arial"/>
          <w:spacing w:val="-3"/>
          <w:sz w:val="20"/>
          <w:szCs w:val="20"/>
        </w:rPr>
        <w:t xml:space="preserve"> </w:t>
      </w:r>
      <w:r w:rsidRPr="00CD5CD5">
        <w:rPr>
          <w:rFonts w:ascii="Arial" w:hAnsi="Arial" w:cs="Arial"/>
          <w:sz w:val="20"/>
          <w:szCs w:val="20"/>
        </w:rPr>
        <w:t>the</w:t>
      </w:r>
      <w:r w:rsidRPr="00CD5CD5">
        <w:rPr>
          <w:rFonts w:ascii="Arial" w:hAnsi="Arial" w:cs="Arial"/>
          <w:spacing w:val="1"/>
          <w:sz w:val="20"/>
          <w:szCs w:val="20"/>
        </w:rPr>
        <w:t xml:space="preserve"> </w:t>
      </w:r>
      <w:r w:rsidRPr="00CD5CD5">
        <w:rPr>
          <w:rFonts w:ascii="Arial" w:hAnsi="Arial" w:cs="Arial"/>
          <w:sz w:val="20"/>
          <w:szCs w:val="20"/>
        </w:rPr>
        <w:t>aircraft</w:t>
      </w:r>
      <w:r w:rsidRPr="00CD5CD5">
        <w:rPr>
          <w:rFonts w:ascii="Arial" w:hAnsi="Arial" w:cs="Arial"/>
          <w:spacing w:val="-2"/>
          <w:sz w:val="20"/>
          <w:szCs w:val="20"/>
        </w:rPr>
        <w:t xml:space="preserve"> </w:t>
      </w:r>
      <w:r w:rsidRPr="00CD5CD5">
        <w:rPr>
          <w:rFonts w:ascii="Arial" w:hAnsi="Arial" w:cs="Arial"/>
          <w:sz w:val="20"/>
          <w:szCs w:val="20"/>
        </w:rPr>
        <w:t>and</w:t>
      </w:r>
      <w:r w:rsidRPr="00CD5CD5">
        <w:rPr>
          <w:rFonts w:ascii="Arial" w:hAnsi="Arial" w:cs="Arial"/>
          <w:spacing w:val="-1"/>
          <w:sz w:val="20"/>
          <w:szCs w:val="20"/>
        </w:rPr>
        <w:t xml:space="preserve"> </w:t>
      </w:r>
      <w:r w:rsidRPr="00CD5CD5">
        <w:rPr>
          <w:rFonts w:ascii="Arial" w:hAnsi="Arial" w:cs="Arial"/>
          <w:sz w:val="20"/>
          <w:szCs w:val="20"/>
        </w:rPr>
        <w:t>operational</w:t>
      </w:r>
      <w:r w:rsidRPr="00CD5CD5">
        <w:rPr>
          <w:rFonts w:ascii="Arial" w:hAnsi="Arial" w:cs="Arial"/>
          <w:spacing w:val="-4"/>
          <w:sz w:val="20"/>
          <w:szCs w:val="20"/>
        </w:rPr>
        <w:t xml:space="preserve"> </w:t>
      </w:r>
      <w:r w:rsidRPr="00CD5CD5">
        <w:rPr>
          <w:rFonts w:ascii="Arial" w:hAnsi="Arial" w:cs="Arial"/>
          <w:sz w:val="20"/>
          <w:szCs w:val="20"/>
        </w:rPr>
        <w:t>environment.</w:t>
      </w:r>
    </w:p>
    <w:p w14:paraId="7C19C919" w14:textId="77777777" w:rsidR="00CD5CD5" w:rsidRPr="00CD5CD5" w:rsidRDefault="00CD5CD5" w:rsidP="00CD5CD5">
      <w:pPr>
        <w:pStyle w:val="ListParagraph"/>
        <w:numPr>
          <w:ilvl w:val="1"/>
          <w:numId w:val="290"/>
        </w:numPr>
        <w:tabs>
          <w:tab w:val="left" w:pos="1274"/>
        </w:tabs>
        <w:ind w:hanging="568"/>
        <w:jc w:val="both"/>
        <w:rPr>
          <w:rFonts w:ascii="Arial" w:hAnsi="Arial" w:cs="Arial"/>
          <w:sz w:val="20"/>
          <w:szCs w:val="20"/>
        </w:rPr>
      </w:pPr>
      <w:r w:rsidRPr="00CD5CD5">
        <w:rPr>
          <w:rFonts w:ascii="Arial" w:hAnsi="Arial" w:cs="Arial"/>
          <w:sz w:val="20"/>
          <w:szCs w:val="20"/>
        </w:rPr>
        <w:t>Pilot-owners</w:t>
      </w:r>
      <w:r w:rsidRPr="00CD5CD5">
        <w:rPr>
          <w:rFonts w:ascii="Arial" w:hAnsi="Arial" w:cs="Arial"/>
          <w:spacing w:val="-2"/>
          <w:sz w:val="20"/>
          <w:szCs w:val="20"/>
        </w:rPr>
        <w:t xml:space="preserve"> </w:t>
      </w:r>
      <w:r w:rsidRPr="00CD5CD5">
        <w:rPr>
          <w:rFonts w:ascii="Arial" w:hAnsi="Arial" w:cs="Arial"/>
          <w:sz w:val="20"/>
          <w:szCs w:val="20"/>
        </w:rPr>
        <w:t>are authorised</w:t>
      </w:r>
      <w:r w:rsidRPr="00CD5CD5">
        <w:rPr>
          <w:rFonts w:ascii="Arial" w:hAnsi="Arial" w:cs="Arial"/>
          <w:spacing w:val="-3"/>
          <w:sz w:val="20"/>
          <w:szCs w:val="20"/>
        </w:rPr>
        <w:t xml:space="preserve"> </w:t>
      </w:r>
      <w:r w:rsidRPr="00CD5CD5">
        <w:rPr>
          <w:rFonts w:ascii="Arial" w:hAnsi="Arial" w:cs="Arial"/>
          <w:sz w:val="20"/>
          <w:szCs w:val="20"/>
        </w:rPr>
        <w:t>to perform</w:t>
      </w:r>
      <w:r w:rsidRPr="00CD5CD5">
        <w:rPr>
          <w:rFonts w:ascii="Arial" w:hAnsi="Arial" w:cs="Arial"/>
          <w:spacing w:val="-3"/>
          <w:sz w:val="20"/>
          <w:szCs w:val="20"/>
        </w:rPr>
        <w:t xml:space="preserve"> </w:t>
      </w:r>
      <w:r w:rsidRPr="00CD5CD5">
        <w:rPr>
          <w:rFonts w:ascii="Arial" w:hAnsi="Arial" w:cs="Arial"/>
          <w:sz w:val="20"/>
          <w:szCs w:val="20"/>
        </w:rPr>
        <w:t>Pilot-owner</w:t>
      </w:r>
      <w:r w:rsidRPr="00CD5CD5">
        <w:rPr>
          <w:rFonts w:ascii="Arial" w:hAnsi="Arial" w:cs="Arial"/>
          <w:spacing w:val="-3"/>
          <w:sz w:val="20"/>
          <w:szCs w:val="20"/>
        </w:rPr>
        <w:t xml:space="preserve"> </w:t>
      </w:r>
      <w:r w:rsidRPr="00CD5CD5">
        <w:rPr>
          <w:rFonts w:ascii="Arial" w:hAnsi="Arial" w:cs="Arial"/>
          <w:sz w:val="20"/>
          <w:szCs w:val="20"/>
        </w:rPr>
        <w:t>maintenance.</w:t>
      </w:r>
    </w:p>
    <w:p w14:paraId="0444B454" w14:textId="77777777" w:rsidR="00CD5CD5" w:rsidRPr="00CD5CD5" w:rsidRDefault="00CD5CD5" w:rsidP="00CD5CD5">
      <w:pPr>
        <w:pStyle w:val="BodyText"/>
        <w:spacing w:before="118"/>
        <w:ind w:left="706" w:right="193"/>
        <w:jc w:val="both"/>
        <w:rPr>
          <w:rFonts w:ascii="Arial" w:hAnsi="Arial" w:cs="Arial"/>
          <w:sz w:val="20"/>
          <w:szCs w:val="20"/>
        </w:rPr>
      </w:pPr>
      <w:r w:rsidRPr="00CD5CD5">
        <w:rPr>
          <w:rFonts w:ascii="Arial" w:hAnsi="Arial" w:cs="Arial"/>
          <w:sz w:val="20"/>
          <w:szCs w:val="20"/>
        </w:rPr>
        <w:t>This derogation is not applicable if the pilot-owner or, in case of jointly-owned aircraft, any of</w:t>
      </w:r>
      <w:r w:rsidRPr="00CD5CD5">
        <w:rPr>
          <w:rFonts w:ascii="Arial" w:hAnsi="Arial" w:cs="Arial"/>
          <w:spacing w:val="1"/>
          <w:sz w:val="20"/>
          <w:szCs w:val="20"/>
        </w:rPr>
        <w:t xml:space="preserve"> </w:t>
      </w:r>
      <w:r w:rsidRPr="00CD5CD5">
        <w:rPr>
          <w:rFonts w:ascii="Arial" w:hAnsi="Arial" w:cs="Arial"/>
          <w:sz w:val="20"/>
          <w:szCs w:val="20"/>
        </w:rPr>
        <w:t>the pilot-owners is not authorised to perform Pilot-owner maintenance because this has to be</w:t>
      </w:r>
      <w:r w:rsidRPr="00CD5CD5">
        <w:rPr>
          <w:rFonts w:ascii="Arial" w:hAnsi="Arial" w:cs="Arial"/>
          <w:spacing w:val="1"/>
          <w:sz w:val="20"/>
          <w:szCs w:val="20"/>
        </w:rPr>
        <w:t xml:space="preserve"> </w:t>
      </w:r>
      <w:r w:rsidRPr="00CD5CD5">
        <w:rPr>
          <w:rFonts w:ascii="Arial" w:hAnsi="Arial" w:cs="Arial"/>
          <w:sz w:val="20"/>
          <w:szCs w:val="20"/>
        </w:rPr>
        <w:t>specified</w:t>
      </w:r>
      <w:r w:rsidRPr="00CD5CD5">
        <w:rPr>
          <w:rFonts w:ascii="Arial" w:hAnsi="Arial" w:cs="Arial"/>
          <w:spacing w:val="-1"/>
          <w:sz w:val="20"/>
          <w:szCs w:val="20"/>
        </w:rPr>
        <w:t xml:space="preserve"> </w:t>
      </w:r>
      <w:r w:rsidRPr="00CD5CD5">
        <w:rPr>
          <w:rFonts w:ascii="Arial" w:hAnsi="Arial" w:cs="Arial"/>
          <w:sz w:val="20"/>
          <w:szCs w:val="20"/>
        </w:rPr>
        <w:t>in</w:t>
      </w:r>
      <w:r w:rsidRPr="00CD5CD5">
        <w:rPr>
          <w:rFonts w:ascii="Arial" w:hAnsi="Arial" w:cs="Arial"/>
          <w:spacing w:val="-1"/>
          <w:sz w:val="20"/>
          <w:szCs w:val="20"/>
        </w:rPr>
        <w:t xml:space="preserve"> </w:t>
      </w:r>
      <w:r w:rsidRPr="00CD5CD5">
        <w:rPr>
          <w:rFonts w:ascii="Arial" w:hAnsi="Arial" w:cs="Arial"/>
          <w:sz w:val="20"/>
          <w:szCs w:val="20"/>
        </w:rPr>
        <w:t>the</w:t>
      </w:r>
      <w:r w:rsidRPr="00CD5CD5">
        <w:rPr>
          <w:rFonts w:ascii="Arial" w:hAnsi="Arial" w:cs="Arial"/>
          <w:spacing w:val="1"/>
          <w:sz w:val="20"/>
          <w:szCs w:val="20"/>
        </w:rPr>
        <w:t xml:space="preserve"> </w:t>
      </w:r>
      <w:r w:rsidRPr="00CD5CD5">
        <w:rPr>
          <w:rFonts w:ascii="Arial" w:hAnsi="Arial" w:cs="Arial"/>
          <w:sz w:val="20"/>
          <w:szCs w:val="20"/>
        </w:rPr>
        <w:t>declared</w:t>
      </w:r>
      <w:r w:rsidRPr="00CD5CD5">
        <w:rPr>
          <w:rFonts w:ascii="Arial" w:hAnsi="Arial" w:cs="Arial"/>
          <w:spacing w:val="-2"/>
          <w:sz w:val="20"/>
          <w:szCs w:val="20"/>
        </w:rPr>
        <w:t xml:space="preserve"> </w:t>
      </w:r>
      <w:r w:rsidRPr="00CD5CD5">
        <w:rPr>
          <w:rFonts w:ascii="Arial" w:hAnsi="Arial" w:cs="Arial"/>
          <w:sz w:val="20"/>
          <w:szCs w:val="20"/>
        </w:rPr>
        <w:t>or</w:t>
      </w:r>
      <w:r w:rsidRPr="00CD5CD5">
        <w:rPr>
          <w:rFonts w:ascii="Arial" w:hAnsi="Arial" w:cs="Arial"/>
          <w:spacing w:val="-3"/>
          <w:sz w:val="20"/>
          <w:szCs w:val="20"/>
        </w:rPr>
        <w:t xml:space="preserve"> </w:t>
      </w:r>
      <w:r w:rsidRPr="00CD5CD5">
        <w:rPr>
          <w:rFonts w:ascii="Arial" w:hAnsi="Arial" w:cs="Arial"/>
          <w:sz w:val="20"/>
          <w:szCs w:val="20"/>
        </w:rPr>
        <w:t>approved AMP.</w:t>
      </w:r>
    </w:p>
    <w:p w14:paraId="5AC6B1E3" w14:textId="77777777" w:rsidR="00CD5CD5" w:rsidRPr="00CD5CD5" w:rsidRDefault="00CD5CD5" w:rsidP="00CD5CD5">
      <w:pPr>
        <w:pStyle w:val="ListParagraph"/>
        <w:numPr>
          <w:ilvl w:val="0"/>
          <w:numId w:val="290"/>
        </w:numPr>
        <w:tabs>
          <w:tab w:val="left" w:pos="707"/>
        </w:tabs>
        <w:spacing w:before="121"/>
        <w:ind w:right="193"/>
        <w:jc w:val="both"/>
        <w:rPr>
          <w:rFonts w:ascii="Arial" w:hAnsi="Arial" w:cs="Arial"/>
          <w:sz w:val="20"/>
          <w:szCs w:val="20"/>
        </w:rPr>
      </w:pPr>
      <w:r w:rsidRPr="00CD5CD5">
        <w:rPr>
          <w:rFonts w:ascii="Arial" w:hAnsi="Arial" w:cs="Arial"/>
          <w:spacing w:val="-1"/>
          <w:sz w:val="20"/>
          <w:szCs w:val="20"/>
        </w:rPr>
        <w:t>If</w:t>
      </w:r>
      <w:r w:rsidRPr="00CD5CD5">
        <w:rPr>
          <w:rFonts w:ascii="Arial" w:hAnsi="Arial" w:cs="Arial"/>
          <w:spacing w:val="-10"/>
          <w:sz w:val="20"/>
          <w:szCs w:val="20"/>
        </w:rPr>
        <w:t xml:space="preserve"> </w:t>
      </w:r>
      <w:r w:rsidRPr="00CD5CD5">
        <w:rPr>
          <w:rFonts w:ascii="Arial" w:hAnsi="Arial" w:cs="Arial"/>
          <w:spacing w:val="-1"/>
          <w:sz w:val="20"/>
          <w:szCs w:val="20"/>
        </w:rPr>
        <w:t>the</w:t>
      </w:r>
      <w:r w:rsidRPr="00CD5CD5">
        <w:rPr>
          <w:rFonts w:ascii="Arial" w:hAnsi="Arial" w:cs="Arial"/>
          <w:spacing w:val="-12"/>
          <w:sz w:val="20"/>
          <w:szCs w:val="20"/>
        </w:rPr>
        <w:t xml:space="preserve"> </w:t>
      </w:r>
      <w:r w:rsidRPr="00CD5CD5">
        <w:rPr>
          <w:rFonts w:ascii="Arial" w:hAnsi="Arial" w:cs="Arial"/>
          <w:spacing w:val="-1"/>
          <w:sz w:val="20"/>
          <w:szCs w:val="20"/>
        </w:rPr>
        <w:t>conditions</w:t>
      </w:r>
      <w:r w:rsidRPr="00CD5CD5">
        <w:rPr>
          <w:rFonts w:ascii="Arial" w:hAnsi="Arial" w:cs="Arial"/>
          <w:spacing w:val="-9"/>
          <w:sz w:val="20"/>
          <w:szCs w:val="20"/>
        </w:rPr>
        <w:t xml:space="preserve"> </w:t>
      </w:r>
      <w:r w:rsidRPr="00CD5CD5">
        <w:rPr>
          <w:rFonts w:ascii="Arial" w:hAnsi="Arial" w:cs="Arial"/>
          <w:sz w:val="20"/>
          <w:szCs w:val="20"/>
        </w:rPr>
        <w:t>provided</w:t>
      </w:r>
      <w:r w:rsidRPr="00CD5CD5">
        <w:rPr>
          <w:rFonts w:ascii="Arial" w:hAnsi="Arial" w:cs="Arial"/>
          <w:spacing w:val="-12"/>
          <w:sz w:val="20"/>
          <w:szCs w:val="20"/>
        </w:rPr>
        <w:t xml:space="preserve"> </w:t>
      </w:r>
      <w:r w:rsidRPr="00CD5CD5">
        <w:rPr>
          <w:rFonts w:ascii="Arial" w:hAnsi="Arial" w:cs="Arial"/>
          <w:sz w:val="20"/>
          <w:szCs w:val="20"/>
        </w:rPr>
        <w:t>for</w:t>
      </w:r>
      <w:r w:rsidRPr="00CD5CD5">
        <w:rPr>
          <w:rFonts w:ascii="Arial" w:hAnsi="Arial" w:cs="Arial"/>
          <w:spacing w:val="-8"/>
          <w:sz w:val="20"/>
          <w:szCs w:val="20"/>
        </w:rPr>
        <w:t xml:space="preserve"> </w:t>
      </w:r>
      <w:r w:rsidRPr="00CD5CD5">
        <w:rPr>
          <w:rFonts w:ascii="Arial" w:hAnsi="Arial" w:cs="Arial"/>
          <w:sz w:val="20"/>
          <w:szCs w:val="20"/>
        </w:rPr>
        <w:t>in</w:t>
      </w:r>
      <w:r w:rsidRPr="00CD5CD5">
        <w:rPr>
          <w:rFonts w:ascii="Arial" w:hAnsi="Arial" w:cs="Arial"/>
          <w:spacing w:val="-10"/>
          <w:sz w:val="20"/>
          <w:szCs w:val="20"/>
        </w:rPr>
        <w:t xml:space="preserve"> </w:t>
      </w:r>
      <w:r w:rsidRPr="00CD5CD5">
        <w:rPr>
          <w:rFonts w:ascii="Arial" w:hAnsi="Arial" w:cs="Arial"/>
          <w:sz w:val="20"/>
          <w:szCs w:val="20"/>
        </w:rPr>
        <w:t>points</w:t>
      </w:r>
      <w:r w:rsidRPr="00CD5CD5">
        <w:rPr>
          <w:rFonts w:ascii="Arial" w:hAnsi="Arial" w:cs="Arial"/>
          <w:spacing w:val="-11"/>
          <w:sz w:val="20"/>
          <w:szCs w:val="20"/>
        </w:rPr>
        <w:t xml:space="preserve"> </w:t>
      </w:r>
      <w:r w:rsidRPr="00CD5CD5">
        <w:rPr>
          <w:rFonts w:ascii="Arial" w:hAnsi="Arial" w:cs="Arial"/>
          <w:sz w:val="20"/>
          <w:szCs w:val="20"/>
        </w:rPr>
        <w:t>(e)(1)</w:t>
      </w:r>
      <w:r w:rsidRPr="00CD5CD5">
        <w:rPr>
          <w:rFonts w:ascii="Arial" w:hAnsi="Arial" w:cs="Arial"/>
          <w:spacing w:val="-12"/>
          <w:sz w:val="20"/>
          <w:szCs w:val="20"/>
        </w:rPr>
        <w:t xml:space="preserve"> </w:t>
      </w:r>
      <w:r w:rsidRPr="00CD5CD5">
        <w:rPr>
          <w:rFonts w:ascii="Arial" w:hAnsi="Arial" w:cs="Arial"/>
          <w:sz w:val="20"/>
          <w:szCs w:val="20"/>
        </w:rPr>
        <w:t>to</w:t>
      </w:r>
      <w:r w:rsidRPr="00CD5CD5">
        <w:rPr>
          <w:rFonts w:ascii="Arial" w:hAnsi="Arial" w:cs="Arial"/>
          <w:spacing w:val="-7"/>
          <w:sz w:val="20"/>
          <w:szCs w:val="20"/>
        </w:rPr>
        <w:t xml:space="preserve"> </w:t>
      </w:r>
      <w:r w:rsidRPr="00CD5CD5">
        <w:rPr>
          <w:rFonts w:ascii="Arial" w:hAnsi="Arial" w:cs="Arial"/>
          <w:sz w:val="20"/>
          <w:szCs w:val="20"/>
        </w:rPr>
        <w:t>(e)(4)</w:t>
      </w:r>
      <w:r w:rsidRPr="00CD5CD5">
        <w:rPr>
          <w:rFonts w:ascii="Arial" w:hAnsi="Arial" w:cs="Arial"/>
          <w:spacing w:val="-9"/>
          <w:sz w:val="20"/>
          <w:szCs w:val="20"/>
        </w:rPr>
        <w:t xml:space="preserve"> </w:t>
      </w:r>
      <w:r w:rsidRPr="00CD5CD5">
        <w:rPr>
          <w:rFonts w:ascii="Arial" w:hAnsi="Arial" w:cs="Arial"/>
          <w:sz w:val="20"/>
          <w:szCs w:val="20"/>
        </w:rPr>
        <w:t>are</w:t>
      </w:r>
      <w:r w:rsidRPr="00CD5CD5">
        <w:rPr>
          <w:rFonts w:ascii="Arial" w:hAnsi="Arial" w:cs="Arial"/>
          <w:spacing w:val="-11"/>
          <w:sz w:val="20"/>
          <w:szCs w:val="20"/>
        </w:rPr>
        <w:t xml:space="preserve"> </w:t>
      </w:r>
      <w:r w:rsidRPr="00CD5CD5">
        <w:rPr>
          <w:rFonts w:ascii="Arial" w:hAnsi="Arial" w:cs="Arial"/>
          <w:sz w:val="20"/>
          <w:szCs w:val="20"/>
        </w:rPr>
        <w:t>met,</w:t>
      </w:r>
      <w:r w:rsidRPr="00CD5CD5">
        <w:rPr>
          <w:rFonts w:ascii="Arial" w:hAnsi="Arial" w:cs="Arial"/>
          <w:spacing w:val="-12"/>
          <w:sz w:val="20"/>
          <w:szCs w:val="20"/>
        </w:rPr>
        <w:t xml:space="preserve"> </w:t>
      </w:r>
      <w:r w:rsidRPr="00CD5CD5">
        <w:rPr>
          <w:rFonts w:ascii="Arial" w:hAnsi="Arial" w:cs="Arial"/>
          <w:sz w:val="20"/>
          <w:szCs w:val="20"/>
        </w:rPr>
        <w:t>the</w:t>
      </w:r>
      <w:r w:rsidRPr="00CD5CD5">
        <w:rPr>
          <w:rFonts w:ascii="Arial" w:hAnsi="Arial" w:cs="Arial"/>
          <w:spacing w:val="-11"/>
          <w:sz w:val="20"/>
          <w:szCs w:val="20"/>
        </w:rPr>
        <w:t xml:space="preserve"> </w:t>
      </w:r>
      <w:r w:rsidRPr="00CD5CD5">
        <w:rPr>
          <w:rFonts w:ascii="Arial" w:hAnsi="Arial" w:cs="Arial"/>
          <w:sz w:val="20"/>
          <w:szCs w:val="20"/>
        </w:rPr>
        <w:t>AMP</w:t>
      </w:r>
      <w:r w:rsidRPr="00CD5CD5">
        <w:rPr>
          <w:rFonts w:ascii="Arial" w:hAnsi="Arial" w:cs="Arial"/>
          <w:spacing w:val="-11"/>
          <w:sz w:val="20"/>
          <w:szCs w:val="20"/>
        </w:rPr>
        <w:t xml:space="preserve"> </w:t>
      </w:r>
      <w:r w:rsidRPr="00CD5CD5">
        <w:rPr>
          <w:rFonts w:ascii="Arial" w:hAnsi="Arial" w:cs="Arial"/>
          <w:sz w:val="20"/>
          <w:szCs w:val="20"/>
        </w:rPr>
        <w:t>applicable</w:t>
      </w:r>
      <w:r w:rsidRPr="00CD5CD5">
        <w:rPr>
          <w:rFonts w:ascii="Arial" w:hAnsi="Arial" w:cs="Arial"/>
          <w:spacing w:val="-12"/>
          <w:sz w:val="20"/>
          <w:szCs w:val="20"/>
        </w:rPr>
        <w:t xml:space="preserve"> </w:t>
      </w:r>
      <w:r w:rsidRPr="00CD5CD5">
        <w:rPr>
          <w:rFonts w:ascii="Arial" w:hAnsi="Arial" w:cs="Arial"/>
          <w:sz w:val="20"/>
          <w:szCs w:val="20"/>
        </w:rPr>
        <w:t>to</w:t>
      </w:r>
      <w:r w:rsidRPr="00CD5CD5">
        <w:rPr>
          <w:rFonts w:ascii="Arial" w:hAnsi="Arial" w:cs="Arial"/>
          <w:spacing w:val="-10"/>
          <w:sz w:val="20"/>
          <w:szCs w:val="20"/>
        </w:rPr>
        <w:t xml:space="preserve"> </w:t>
      </w:r>
      <w:r w:rsidRPr="00CD5CD5">
        <w:rPr>
          <w:rFonts w:ascii="Arial" w:hAnsi="Arial" w:cs="Arial"/>
          <w:sz w:val="20"/>
          <w:szCs w:val="20"/>
        </w:rPr>
        <w:t>the</w:t>
      </w:r>
      <w:r w:rsidRPr="00CD5CD5">
        <w:rPr>
          <w:rFonts w:ascii="Arial" w:hAnsi="Arial" w:cs="Arial"/>
          <w:spacing w:val="-8"/>
          <w:sz w:val="20"/>
          <w:szCs w:val="20"/>
        </w:rPr>
        <w:t xml:space="preserve"> </w:t>
      </w:r>
      <w:r w:rsidRPr="00CD5CD5">
        <w:rPr>
          <w:rFonts w:ascii="Arial" w:hAnsi="Arial" w:cs="Arial"/>
          <w:sz w:val="20"/>
          <w:szCs w:val="20"/>
        </w:rPr>
        <w:t>aircraft</w:t>
      </w:r>
      <w:r w:rsidRPr="00CD5CD5">
        <w:rPr>
          <w:rFonts w:ascii="Arial" w:hAnsi="Arial" w:cs="Arial"/>
          <w:spacing w:val="-48"/>
          <w:sz w:val="20"/>
          <w:szCs w:val="20"/>
        </w:rPr>
        <w:t xml:space="preserve"> </w:t>
      </w:r>
      <w:r w:rsidRPr="00CD5CD5">
        <w:rPr>
          <w:rFonts w:ascii="Arial" w:hAnsi="Arial" w:cs="Arial"/>
          <w:sz w:val="20"/>
          <w:szCs w:val="20"/>
        </w:rPr>
        <w:t>shall</w:t>
      </w:r>
      <w:r w:rsidRPr="00CD5CD5">
        <w:rPr>
          <w:rFonts w:ascii="Arial" w:hAnsi="Arial" w:cs="Arial"/>
          <w:spacing w:val="-2"/>
          <w:sz w:val="20"/>
          <w:szCs w:val="20"/>
        </w:rPr>
        <w:t xml:space="preserve"> </w:t>
      </w:r>
      <w:r w:rsidRPr="00CD5CD5">
        <w:rPr>
          <w:rFonts w:ascii="Arial" w:hAnsi="Arial" w:cs="Arial"/>
          <w:sz w:val="20"/>
          <w:szCs w:val="20"/>
        </w:rPr>
        <w:t>consist of</w:t>
      </w:r>
      <w:r w:rsidRPr="00CD5CD5">
        <w:rPr>
          <w:rFonts w:ascii="Arial" w:hAnsi="Arial" w:cs="Arial"/>
          <w:spacing w:val="-3"/>
          <w:sz w:val="20"/>
          <w:szCs w:val="20"/>
        </w:rPr>
        <w:t xml:space="preserve"> </w:t>
      </w:r>
      <w:r w:rsidRPr="00CD5CD5">
        <w:rPr>
          <w:rFonts w:ascii="Arial" w:hAnsi="Arial" w:cs="Arial"/>
          <w:sz w:val="20"/>
          <w:szCs w:val="20"/>
        </w:rPr>
        <w:t>the</w:t>
      </w:r>
      <w:r w:rsidRPr="00CD5CD5">
        <w:rPr>
          <w:rFonts w:ascii="Arial" w:hAnsi="Arial" w:cs="Arial"/>
          <w:spacing w:val="-2"/>
          <w:sz w:val="20"/>
          <w:szCs w:val="20"/>
        </w:rPr>
        <w:t xml:space="preserve"> </w:t>
      </w:r>
      <w:r w:rsidRPr="00CD5CD5">
        <w:rPr>
          <w:rFonts w:ascii="Arial" w:hAnsi="Arial" w:cs="Arial"/>
          <w:sz w:val="20"/>
          <w:szCs w:val="20"/>
        </w:rPr>
        <w:t>following:</w:t>
      </w:r>
    </w:p>
    <w:p w14:paraId="13A33439" w14:textId="77777777" w:rsidR="00CD5CD5" w:rsidRPr="00CD5CD5" w:rsidRDefault="00CD5CD5" w:rsidP="00CD5CD5">
      <w:pPr>
        <w:pStyle w:val="ListParagraph"/>
        <w:numPr>
          <w:ilvl w:val="1"/>
          <w:numId w:val="290"/>
        </w:numPr>
        <w:tabs>
          <w:tab w:val="left" w:pos="1274"/>
        </w:tabs>
        <w:spacing w:before="121"/>
        <w:ind w:hanging="568"/>
        <w:jc w:val="both"/>
        <w:rPr>
          <w:rFonts w:ascii="Arial" w:hAnsi="Arial" w:cs="Arial"/>
          <w:sz w:val="20"/>
          <w:szCs w:val="20"/>
        </w:rPr>
      </w:pPr>
      <w:r w:rsidRPr="00CD5CD5">
        <w:rPr>
          <w:rFonts w:ascii="Arial" w:hAnsi="Arial" w:cs="Arial"/>
          <w:sz w:val="20"/>
          <w:szCs w:val="20"/>
        </w:rPr>
        <w:t>the ICA issued by</w:t>
      </w:r>
      <w:r w:rsidRPr="00CD5CD5">
        <w:rPr>
          <w:rFonts w:ascii="Arial" w:hAnsi="Arial" w:cs="Arial"/>
          <w:spacing w:val="-2"/>
          <w:sz w:val="20"/>
          <w:szCs w:val="20"/>
        </w:rPr>
        <w:t xml:space="preserve"> </w:t>
      </w:r>
      <w:r w:rsidRPr="00CD5CD5">
        <w:rPr>
          <w:rFonts w:ascii="Arial" w:hAnsi="Arial" w:cs="Arial"/>
          <w:sz w:val="20"/>
          <w:szCs w:val="20"/>
        </w:rPr>
        <w:t>the</w:t>
      </w:r>
      <w:r w:rsidRPr="00CD5CD5">
        <w:rPr>
          <w:rFonts w:ascii="Arial" w:hAnsi="Arial" w:cs="Arial"/>
          <w:spacing w:val="-2"/>
          <w:sz w:val="20"/>
          <w:szCs w:val="20"/>
        </w:rPr>
        <w:t xml:space="preserve"> </w:t>
      </w:r>
      <w:r w:rsidRPr="00CD5CD5">
        <w:rPr>
          <w:rFonts w:ascii="Arial" w:hAnsi="Arial" w:cs="Arial"/>
          <w:sz w:val="20"/>
          <w:szCs w:val="20"/>
        </w:rPr>
        <w:t>DAH;</w:t>
      </w:r>
    </w:p>
    <w:p w14:paraId="7717319D" w14:textId="77777777" w:rsidR="00CD5CD5" w:rsidRPr="00CD5CD5" w:rsidRDefault="00CD5CD5" w:rsidP="00CD5CD5">
      <w:pPr>
        <w:pStyle w:val="ListParagraph"/>
        <w:numPr>
          <w:ilvl w:val="1"/>
          <w:numId w:val="290"/>
        </w:numPr>
        <w:tabs>
          <w:tab w:val="left" w:pos="1274"/>
        </w:tabs>
        <w:ind w:right="201"/>
        <w:jc w:val="both"/>
        <w:rPr>
          <w:rFonts w:ascii="Arial" w:hAnsi="Arial" w:cs="Arial"/>
          <w:sz w:val="20"/>
          <w:szCs w:val="20"/>
        </w:rPr>
      </w:pPr>
      <w:r w:rsidRPr="00CD5CD5">
        <w:rPr>
          <w:rFonts w:ascii="Arial" w:hAnsi="Arial" w:cs="Arial"/>
          <w:sz w:val="20"/>
          <w:szCs w:val="20"/>
        </w:rPr>
        <w:t>the</w:t>
      </w:r>
      <w:r w:rsidRPr="00CD5CD5">
        <w:rPr>
          <w:rFonts w:ascii="Arial" w:hAnsi="Arial" w:cs="Arial"/>
          <w:spacing w:val="1"/>
          <w:sz w:val="20"/>
          <w:szCs w:val="20"/>
        </w:rPr>
        <w:t xml:space="preserve"> </w:t>
      </w:r>
      <w:r w:rsidRPr="00CD5CD5">
        <w:rPr>
          <w:rFonts w:ascii="Arial" w:hAnsi="Arial" w:cs="Arial"/>
          <w:sz w:val="20"/>
          <w:szCs w:val="20"/>
        </w:rPr>
        <w:t>maintenance</w:t>
      </w:r>
      <w:r w:rsidRPr="00CD5CD5">
        <w:rPr>
          <w:rFonts w:ascii="Arial" w:hAnsi="Arial" w:cs="Arial"/>
          <w:spacing w:val="1"/>
          <w:sz w:val="20"/>
          <w:szCs w:val="20"/>
        </w:rPr>
        <w:t xml:space="preserve"> </w:t>
      </w:r>
      <w:r w:rsidRPr="00CD5CD5">
        <w:rPr>
          <w:rFonts w:ascii="Arial" w:hAnsi="Arial" w:cs="Arial"/>
          <w:sz w:val="20"/>
          <w:szCs w:val="20"/>
        </w:rPr>
        <w:t>recommendations,</w:t>
      </w:r>
      <w:r w:rsidRPr="00CD5CD5">
        <w:rPr>
          <w:rFonts w:ascii="Arial" w:hAnsi="Arial" w:cs="Arial"/>
          <w:spacing w:val="1"/>
          <w:sz w:val="20"/>
          <w:szCs w:val="20"/>
        </w:rPr>
        <w:t xml:space="preserve"> </w:t>
      </w:r>
      <w:r w:rsidRPr="00CD5CD5">
        <w:rPr>
          <w:rFonts w:ascii="Arial" w:hAnsi="Arial" w:cs="Arial"/>
          <w:sz w:val="20"/>
          <w:szCs w:val="20"/>
        </w:rPr>
        <w:t>such</w:t>
      </w:r>
      <w:r w:rsidRPr="00CD5CD5">
        <w:rPr>
          <w:rFonts w:ascii="Arial" w:hAnsi="Arial" w:cs="Arial"/>
          <w:spacing w:val="1"/>
          <w:sz w:val="20"/>
          <w:szCs w:val="20"/>
        </w:rPr>
        <w:t xml:space="preserve"> </w:t>
      </w:r>
      <w:r w:rsidRPr="00CD5CD5">
        <w:rPr>
          <w:rFonts w:ascii="Arial" w:hAnsi="Arial" w:cs="Arial"/>
          <w:sz w:val="20"/>
          <w:szCs w:val="20"/>
        </w:rPr>
        <w:t>as</w:t>
      </w:r>
      <w:r w:rsidRPr="00CD5CD5">
        <w:rPr>
          <w:rFonts w:ascii="Arial" w:hAnsi="Arial" w:cs="Arial"/>
          <w:spacing w:val="1"/>
          <w:sz w:val="20"/>
          <w:szCs w:val="20"/>
        </w:rPr>
        <w:t xml:space="preserve"> </w:t>
      </w:r>
      <w:r w:rsidRPr="00CD5CD5">
        <w:rPr>
          <w:rFonts w:ascii="Arial" w:hAnsi="Arial" w:cs="Arial"/>
          <w:sz w:val="20"/>
          <w:szCs w:val="20"/>
        </w:rPr>
        <w:t>TBO</w:t>
      </w:r>
      <w:r w:rsidRPr="00CD5CD5">
        <w:rPr>
          <w:rFonts w:ascii="Arial" w:hAnsi="Arial" w:cs="Arial"/>
          <w:spacing w:val="1"/>
          <w:sz w:val="20"/>
          <w:szCs w:val="20"/>
        </w:rPr>
        <w:t xml:space="preserve"> </w:t>
      </w:r>
      <w:r w:rsidRPr="00CD5CD5">
        <w:rPr>
          <w:rFonts w:ascii="Arial" w:hAnsi="Arial" w:cs="Arial"/>
          <w:sz w:val="20"/>
          <w:szCs w:val="20"/>
        </w:rPr>
        <w:t>intervals,</w:t>
      </w:r>
      <w:r w:rsidRPr="00CD5CD5">
        <w:rPr>
          <w:rFonts w:ascii="Arial" w:hAnsi="Arial" w:cs="Arial"/>
          <w:spacing w:val="1"/>
          <w:sz w:val="20"/>
          <w:szCs w:val="20"/>
        </w:rPr>
        <w:t xml:space="preserve"> </w:t>
      </w:r>
      <w:r w:rsidRPr="00CD5CD5">
        <w:rPr>
          <w:rFonts w:ascii="Arial" w:hAnsi="Arial" w:cs="Arial"/>
          <w:sz w:val="20"/>
          <w:szCs w:val="20"/>
        </w:rPr>
        <w:t>issued</w:t>
      </w:r>
      <w:r w:rsidRPr="00CD5CD5">
        <w:rPr>
          <w:rFonts w:ascii="Arial" w:hAnsi="Arial" w:cs="Arial"/>
          <w:spacing w:val="1"/>
          <w:sz w:val="20"/>
          <w:szCs w:val="20"/>
        </w:rPr>
        <w:t xml:space="preserve"> </w:t>
      </w:r>
      <w:r w:rsidRPr="00CD5CD5">
        <w:rPr>
          <w:rFonts w:ascii="Arial" w:hAnsi="Arial" w:cs="Arial"/>
          <w:sz w:val="20"/>
          <w:szCs w:val="20"/>
        </w:rPr>
        <w:t>through</w:t>
      </w:r>
      <w:r w:rsidRPr="00CD5CD5">
        <w:rPr>
          <w:rFonts w:ascii="Arial" w:hAnsi="Arial" w:cs="Arial"/>
          <w:spacing w:val="1"/>
          <w:sz w:val="20"/>
          <w:szCs w:val="20"/>
        </w:rPr>
        <w:t xml:space="preserve"> </w:t>
      </w:r>
      <w:r w:rsidRPr="00CD5CD5">
        <w:rPr>
          <w:rFonts w:ascii="Arial" w:hAnsi="Arial" w:cs="Arial"/>
          <w:sz w:val="20"/>
          <w:szCs w:val="20"/>
        </w:rPr>
        <w:t>service</w:t>
      </w:r>
      <w:r w:rsidRPr="00CD5CD5">
        <w:rPr>
          <w:rFonts w:ascii="Arial" w:hAnsi="Arial" w:cs="Arial"/>
          <w:spacing w:val="1"/>
          <w:sz w:val="20"/>
          <w:szCs w:val="20"/>
        </w:rPr>
        <w:t xml:space="preserve"> </w:t>
      </w:r>
      <w:r w:rsidRPr="00CD5CD5">
        <w:rPr>
          <w:rFonts w:ascii="Arial" w:hAnsi="Arial" w:cs="Arial"/>
          <w:sz w:val="20"/>
          <w:szCs w:val="20"/>
        </w:rPr>
        <w:t>bulletins,</w:t>
      </w:r>
      <w:r w:rsidRPr="00CD5CD5">
        <w:rPr>
          <w:rFonts w:ascii="Arial" w:hAnsi="Arial" w:cs="Arial"/>
          <w:spacing w:val="-1"/>
          <w:sz w:val="20"/>
          <w:szCs w:val="20"/>
        </w:rPr>
        <w:t xml:space="preserve"> </w:t>
      </w:r>
      <w:r w:rsidRPr="00CD5CD5">
        <w:rPr>
          <w:rFonts w:ascii="Arial" w:hAnsi="Arial" w:cs="Arial"/>
          <w:sz w:val="20"/>
          <w:szCs w:val="20"/>
        </w:rPr>
        <w:t>service</w:t>
      </w:r>
      <w:r w:rsidRPr="00CD5CD5">
        <w:rPr>
          <w:rFonts w:ascii="Arial" w:hAnsi="Arial" w:cs="Arial"/>
          <w:spacing w:val="-2"/>
          <w:sz w:val="20"/>
          <w:szCs w:val="20"/>
        </w:rPr>
        <w:t xml:space="preserve"> </w:t>
      </w:r>
      <w:r w:rsidRPr="00CD5CD5">
        <w:rPr>
          <w:rFonts w:ascii="Arial" w:hAnsi="Arial" w:cs="Arial"/>
          <w:sz w:val="20"/>
          <w:szCs w:val="20"/>
        </w:rPr>
        <w:t>letters,</w:t>
      </w:r>
      <w:r w:rsidRPr="00CD5CD5">
        <w:rPr>
          <w:rFonts w:ascii="Arial" w:hAnsi="Arial" w:cs="Arial"/>
          <w:spacing w:val="-3"/>
          <w:sz w:val="20"/>
          <w:szCs w:val="20"/>
        </w:rPr>
        <w:t xml:space="preserve"> </w:t>
      </w:r>
      <w:r w:rsidRPr="00CD5CD5">
        <w:rPr>
          <w:rFonts w:ascii="Arial" w:hAnsi="Arial" w:cs="Arial"/>
          <w:sz w:val="20"/>
          <w:szCs w:val="20"/>
        </w:rPr>
        <w:t>and</w:t>
      </w:r>
      <w:r w:rsidRPr="00CD5CD5">
        <w:rPr>
          <w:rFonts w:ascii="Arial" w:hAnsi="Arial" w:cs="Arial"/>
          <w:spacing w:val="-2"/>
          <w:sz w:val="20"/>
          <w:szCs w:val="20"/>
        </w:rPr>
        <w:t xml:space="preserve"> </w:t>
      </w:r>
      <w:r w:rsidRPr="00CD5CD5">
        <w:rPr>
          <w:rFonts w:ascii="Arial" w:hAnsi="Arial" w:cs="Arial"/>
          <w:sz w:val="20"/>
          <w:szCs w:val="20"/>
        </w:rPr>
        <w:t>other</w:t>
      </w:r>
      <w:r w:rsidRPr="00CD5CD5">
        <w:rPr>
          <w:rFonts w:ascii="Arial" w:hAnsi="Arial" w:cs="Arial"/>
          <w:spacing w:val="-3"/>
          <w:sz w:val="20"/>
          <w:szCs w:val="20"/>
        </w:rPr>
        <w:t xml:space="preserve"> </w:t>
      </w:r>
      <w:r w:rsidRPr="00CD5CD5">
        <w:rPr>
          <w:rFonts w:ascii="Arial" w:hAnsi="Arial" w:cs="Arial"/>
          <w:sz w:val="20"/>
          <w:szCs w:val="20"/>
        </w:rPr>
        <w:t>non-mandatory service information;</w:t>
      </w:r>
    </w:p>
    <w:p w14:paraId="4FD75C1B" w14:textId="77777777" w:rsidR="00CD5CD5" w:rsidRPr="00CD5CD5" w:rsidRDefault="00CD5CD5" w:rsidP="00CD5CD5">
      <w:pPr>
        <w:pStyle w:val="ListParagraph"/>
        <w:numPr>
          <w:ilvl w:val="1"/>
          <w:numId w:val="290"/>
        </w:numPr>
        <w:tabs>
          <w:tab w:val="left" w:pos="1273"/>
          <w:tab w:val="left" w:pos="1274"/>
        </w:tabs>
        <w:spacing w:before="57"/>
        <w:ind w:right="197"/>
        <w:rPr>
          <w:rFonts w:ascii="Arial" w:hAnsi="Arial" w:cs="Arial"/>
          <w:sz w:val="20"/>
          <w:szCs w:val="20"/>
        </w:rPr>
      </w:pPr>
      <w:r w:rsidRPr="00CD5CD5">
        <w:rPr>
          <w:rFonts w:ascii="Arial" w:hAnsi="Arial" w:cs="Arial"/>
          <w:sz w:val="20"/>
          <w:szCs w:val="20"/>
        </w:rPr>
        <w:t>the</w:t>
      </w:r>
      <w:r w:rsidRPr="00CD5CD5">
        <w:rPr>
          <w:rFonts w:ascii="Arial" w:hAnsi="Arial" w:cs="Arial"/>
          <w:spacing w:val="6"/>
          <w:sz w:val="20"/>
          <w:szCs w:val="20"/>
        </w:rPr>
        <w:t xml:space="preserve"> </w:t>
      </w:r>
      <w:r w:rsidRPr="00CD5CD5">
        <w:rPr>
          <w:rFonts w:ascii="Arial" w:hAnsi="Arial" w:cs="Arial"/>
          <w:sz w:val="20"/>
          <w:szCs w:val="20"/>
        </w:rPr>
        <w:t>mandatory</w:t>
      </w:r>
      <w:r w:rsidRPr="00CD5CD5">
        <w:rPr>
          <w:rFonts w:ascii="Arial" w:hAnsi="Arial" w:cs="Arial"/>
          <w:spacing w:val="7"/>
          <w:sz w:val="20"/>
          <w:szCs w:val="20"/>
        </w:rPr>
        <w:t xml:space="preserve"> </w:t>
      </w:r>
      <w:r w:rsidRPr="00CD5CD5">
        <w:rPr>
          <w:rFonts w:ascii="Arial" w:hAnsi="Arial" w:cs="Arial"/>
          <w:sz w:val="20"/>
          <w:szCs w:val="20"/>
        </w:rPr>
        <w:t>continuing</w:t>
      </w:r>
      <w:r w:rsidRPr="00CD5CD5">
        <w:rPr>
          <w:rFonts w:ascii="Arial" w:hAnsi="Arial" w:cs="Arial"/>
          <w:spacing w:val="8"/>
          <w:sz w:val="20"/>
          <w:szCs w:val="20"/>
        </w:rPr>
        <w:t xml:space="preserve"> </w:t>
      </w:r>
      <w:r w:rsidRPr="00CD5CD5">
        <w:rPr>
          <w:rFonts w:ascii="Arial" w:hAnsi="Arial" w:cs="Arial"/>
          <w:sz w:val="20"/>
          <w:szCs w:val="20"/>
        </w:rPr>
        <w:t>airworthiness</w:t>
      </w:r>
      <w:r w:rsidRPr="00CD5CD5">
        <w:rPr>
          <w:rFonts w:ascii="Arial" w:hAnsi="Arial" w:cs="Arial"/>
          <w:spacing w:val="9"/>
          <w:sz w:val="20"/>
          <w:szCs w:val="20"/>
        </w:rPr>
        <w:t xml:space="preserve"> </w:t>
      </w:r>
      <w:r w:rsidRPr="00CD5CD5">
        <w:rPr>
          <w:rFonts w:ascii="Arial" w:hAnsi="Arial" w:cs="Arial"/>
          <w:sz w:val="20"/>
          <w:szCs w:val="20"/>
        </w:rPr>
        <w:t>information,</w:t>
      </w:r>
      <w:r w:rsidRPr="00CD5CD5">
        <w:rPr>
          <w:rFonts w:ascii="Arial" w:hAnsi="Arial" w:cs="Arial"/>
          <w:spacing w:val="7"/>
          <w:sz w:val="20"/>
          <w:szCs w:val="20"/>
        </w:rPr>
        <w:t xml:space="preserve"> </w:t>
      </w:r>
      <w:r w:rsidRPr="00CD5CD5">
        <w:rPr>
          <w:rFonts w:ascii="Arial" w:hAnsi="Arial" w:cs="Arial"/>
          <w:sz w:val="20"/>
          <w:szCs w:val="20"/>
        </w:rPr>
        <w:t>such</w:t>
      </w:r>
      <w:r w:rsidRPr="00CD5CD5">
        <w:rPr>
          <w:rFonts w:ascii="Arial" w:hAnsi="Arial" w:cs="Arial"/>
          <w:spacing w:val="7"/>
          <w:sz w:val="20"/>
          <w:szCs w:val="20"/>
        </w:rPr>
        <w:t xml:space="preserve"> </w:t>
      </w:r>
      <w:r w:rsidRPr="00CD5CD5">
        <w:rPr>
          <w:rFonts w:ascii="Arial" w:hAnsi="Arial" w:cs="Arial"/>
          <w:sz w:val="20"/>
          <w:szCs w:val="20"/>
        </w:rPr>
        <w:t>as</w:t>
      </w:r>
      <w:r w:rsidRPr="00CD5CD5">
        <w:rPr>
          <w:rFonts w:ascii="Arial" w:hAnsi="Arial" w:cs="Arial"/>
          <w:spacing w:val="8"/>
          <w:sz w:val="20"/>
          <w:szCs w:val="20"/>
        </w:rPr>
        <w:t xml:space="preserve"> </w:t>
      </w:r>
      <w:r w:rsidRPr="00CD5CD5">
        <w:rPr>
          <w:rFonts w:ascii="Arial" w:hAnsi="Arial" w:cs="Arial"/>
          <w:sz w:val="20"/>
          <w:szCs w:val="20"/>
        </w:rPr>
        <w:t>repetitive</w:t>
      </w:r>
      <w:r w:rsidRPr="00CD5CD5">
        <w:rPr>
          <w:rFonts w:ascii="Arial" w:hAnsi="Arial" w:cs="Arial"/>
          <w:spacing w:val="7"/>
          <w:sz w:val="20"/>
          <w:szCs w:val="20"/>
        </w:rPr>
        <w:t xml:space="preserve"> </w:t>
      </w:r>
      <w:r w:rsidRPr="00CD5CD5">
        <w:rPr>
          <w:rFonts w:ascii="Arial" w:hAnsi="Arial" w:cs="Arial"/>
          <w:sz w:val="20"/>
          <w:szCs w:val="20"/>
        </w:rPr>
        <w:t>ADs,</w:t>
      </w:r>
      <w:r w:rsidRPr="00CD5CD5">
        <w:rPr>
          <w:rFonts w:ascii="Arial" w:hAnsi="Arial" w:cs="Arial"/>
          <w:spacing w:val="7"/>
          <w:sz w:val="20"/>
          <w:szCs w:val="20"/>
        </w:rPr>
        <w:t xml:space="preserve"> </w:t>
      </w:r>
      <w:r w:rsidRPr="00CD5CD5">
        <w:rPr>
          <w:rFonts w:ascii="Arial" w:hAnsi="Arial" w:cs="Arial"/>
          <w:sz w:val="20"/>
          <w:szCs w:val="20"/>
        </w:rPr>
        <w:t>the</w:t>
      </w:r>
      <w:r w:rsidRPr="00CD5CD5">
        <w:rPr>
          <w:rFonts w:ascii="Arial" w:hAnsi="Arial" w:cs="Arial"/>
          <w:spacing w:val="6"/>
          <w:sz w:val="20"/>
          <w:szCs w:val="20"/>
        </w:rPr>
        <w:t xml:space="preserve"> </w:t>
      </w:r>
      <w:r w:rsidRPr="00CD5CD5">
        <w:rPr>
          <w:rFonts w:ascii="Arial" w:hAnsi="Arial" w:cs="Arial"/>
          <w:sz w:val="20"/>
          <w:szCs w:val="20"/>
        </w:rPr>
        <w:t>ALS</w:t>
      </w:r>
      <w:r w:rsidRPr="00CD5CD5">
        <w:rPr>
          <w:rFonts w:ascii="Arial" w:hAnsi="Arial" w:cs="Arial"/>
          <w:spacing w:val="6"/>
          <w:sz w:val="20"/>
          <w:szCs w:val="20"/>
        </w:rPr>
        <w:t xml:space="preserve"> </w:t>
      </w:r>
      <w:r w:rsidRPr="00CD5CD5">
        <w:rPr>
          <w:rFonts w:ascii="Arial" w:hAnsi="Arial" w:cs="Arial"/>
          <w:sz w:val="20"/>
          <w:szCs w:val="20"/>
        </w:rPr>
        <w:t>of</w:t>
      </w:r>
      <w:r w:rsidRPr="00CD5CD5">
        <w:rPr>
          <w:rFonts w:ascii="Arial" w:hAnsi="Arial" w:cs="Arial"/>
          <w:spacing w:val="-46"/>
          <w:sz w:val="20"/>
          <w:szCs w:val="20"/>
        </w:rPr>
        <w:t xml:space="preserve"> </w:t>
      </w:r>
      <w:r w:rsidRPr="00CD5CD5">
        <w:rPr>
          <w:rFonts w:ascii="Arial" w:hAnsi="Arial" w:cs="Arial"/>
          <w:sz w:val="20"/>
          <w:szCs w:val="20"/>
        </w:rPr>
        <w:t>the</w:t>
      </w:r>
      <w:r w:rsidRPr="00CD5CD5">
        <w:rPr>
          <w:rFonts w:ascii="Arial" w:hAnsi="Arial" w:cs="Arial"/>
          <w:spacing w:val="-1"/>
          <w:sz w:val="20"/>
          <w:szCs w:val="20"/>
        </w:rPr>
        <w:t xml:space="preserve"> </w:t>
      </w:r>
      <w:r w:rsidRPr="00CD5CD5">
        <w:rPr>
          <w:rFonts w:ascii="Arial" w:hAnsi="Arial" w:cs="Arial"/>
          <w:sz w:val="20"/>
          <w:szCs w:val="20"/>
        </w:rPr>
        <w:t>ICA and</w:t>
      </w:r>
      <w:r w:rsidRPr="00CD5CD5">
        <w:rPr>
          <w:rFonts w:ascii="Arial" w:hAnsi="Arial" w:cs="Arial"/>
          <w:spacing w:val="-1"/>
          <w:sz w:val="20"/>
          <w:szCs w:val="20"/>
        </w:rPr>
        <w:t xml:space="preserve"> </w:t>
      </w:r>
      <w:r w:rsidRPr="00CD5CD5">
        <w:rPr>
          <w:rFonts w:ascii="Arial" w:hAnsi="Arial" w:cs="Arial"/>
          <w:sz w:val="20"/>
          <w:szCs w:val="20"/>
        </w:rPr>
        <w:t>specific</w:t>
      </w:r>
      <w:r w:rsidRPr="00CD5CD5">
        <w:rPr>
          <w:rFonts w:ascii="Arial" w:hAnsi="Arial" w:cs="Arial"/>
          <w:spacing w:val="-3"/>
          <w:sz w:val="20"/>
          <w:szCs w:val="20"/>
        </w:rPr>
        <w:t xml:space="preserve"> </w:t>
      </w:r>
      <w:r w:rsidRPr="00CD5CD5">
        <w:rPr>
          <w:rFonts w:ascii="Arial" w:hAnsi="Arial" w:cs="Arial"/>
          <w:sz w:val="20"/>
          <w:szCs w:val="20"/>
        </w:rPr>
        <w:t>maintenance</w:t>
      </w:r>
      <w:r w:rsidRPr="00CD5CD5">
        <w:rPr>
          <w:rFonts w:ascii="Arial" w:hAnsi="Arial" w:cs="Arial"/>
          <w:spacing w:val="1"/>
          <w:sz w:val="20"/>
          <w:szCs w:val="20"/>
        </w:rPr>
        <w:t xml:space="preserve"> </w:t>
      </w:r>
      <w:r w:rsidRPr="00CD5CD5">
        <w:rPr>
          <w:rFonts w:ascii="Arial" w:hAnsi="Arial" w:cs="Arial"/>
          <w:sz w:val="20"/>
          <w:szCs w:val="20"/>
        </w:rPr>
        <w:t>requirements contained in</w:t>
      </w:r>
      <w:r w:rsidRPr="00CD5CD5">
        <w:rPr>
          <w:rFonts w:ascii="Arial" w:hAnsi="Arial" w:cs="Arial"/>
          <w:spacing w:val="-2"/>
          <w:sz w:val="20"/>
          <w:szCs w:val="20"/>
        </w:rPr>
        <w:t xml:space="preserve"> </w:t>
      </w:r>
      <w:r w:rsidRPr="00CD5CD5">
        <w:rPr>
          <w:rFonts w:ascii="Arial" w:hAnsi="Arial" w:cs="Arial"/>
          <w:sz w:val="20"/>
          <w:szCs w:val="20"/>
        </w:rPr>
        <w:t>the</w:t>
      </w:r>
      <w:r w:rsidRPr="00CD5CD5">
        <w:rPr>
          <w:rFonts w:ascii="Arial" w:hAnsi="Arial" w:cs="Arial"/>
          <w:spacing w:val="-2"/>
          <w:sz w:val="20"/>
          <w:szCs w:val="20"/>
        </w:rPr>
        <w:t xml:space="preserve"> </w:t>
      </w:r>
      <w:r w:rsidRPr="00CD5CD5">
        <w:rPr>
          <w:rFonts w:ascii="Arial" w:hAnsi="Arial" w:cs="Arial"/>
          <w:sz w:val="20"/>
          <w:szCs w:val="20"/>
        </w:rPr>
        <w:t>TCDS;</w:t>
      </w:r>
    </w:p>
    <w:p w14:paraId="13F54C41" w14:textId="77777777" w:rsidR="00CD5CD5" w:rsidRPr="00CD5CD5" w:rsidRDefault="00CD5CD5" w:rsidP="00CD5CD5">
      <w:pPr>
        <w:pStyle w:val="ListParagraph"/>
        <w:numPr>
          <w:ilvl w:val="1"/>
          <w:numId w:val="290"/>
        </w:numPr>
        <w:tabs>
          <w:tab w:val="left" w:pos="1273"/>
          <w:tab w:val="left" w:pos="1274"/>
        </w:tabs>
        <w:spacing w:before="118"/>
        <w:ind w:right="197"/>
        <w:rPr>
          <w:rFonts w:ascii="Arial" w:hAnsi="Arial" w:cs="Arial"/>
          <w:sz w:val="20"/>
          <w:szCs w:val="20"/>
        </w:rPr>
      </w:pPr>
      <w:r w:rsidRPr="00CD5CD5">
        <w:rPr>
          <w:rFonts w:ascii="Arial" w:hAnsi="Arial" w:cs="Arial"/>
          <w:sz w:val="20"/>
          <w:szCs w:val="20"/>
        </w:rPr>
        <w:t>the tasks due to specific operational or airspace directives or requirements in relation to</w:t>
      </w:r>
      <w:r w:rsidRPr="00CD5CD5">
        <w:rPr>
          <w:rFonts w:ascii="Arial" w:hAnsi="Arial" w:cs="Arial"/>
          <w:spacing w:val="-47"/>
          <w:sz w:val="20"/>
          <w:szCs w:val="20"/>
        </w:rPr>
        <w:t xml:space="preserve"> </w:t>
      </w:r>
      <w:r w:rsidRPr="00CD5CD5">
        <w:rPr>
          <w:rFonts w:ascii="Arial" w:hAnsi="Arial" w:cs="Arial"/>
          <w:sz w:val="20"/>
          <w:szCs w:val="20"/>
        </w:rPr>
        <w:t>particular</w:t>
      </w:r>
      <w:r w:rsidRPr="00CD5CD5">
        <w:rPr>
          <w:rFonts w:ascii="Arial" w:hAnsi="Arial" w:cs="Arial"/>
          <w:spacing w:val="-1"/>
          <w:sz w:val="20"/>
          <w:szCs w:val="20"/>
        </w:rPr>
        <w:t xml:space="preserve"> </w:t>
      </w:r>
      <w:r w:rsidRPr="00CD5CD5">
        <w:rPr>
          <w:rFonts w:ascii="Arial" w:hAnsi="Arial" w:cs="Arial"/>
          <w:sz w:val="20"/>
          <w:szCs w:val="20"/>
        </w:rPr>
        <w:t>instruments</w:t>
      </w:r>
      <w:r w:rsidRPr="00CD5CD5">
        <w:rPr>
          <w:rFonts w:ascii="Arial" w:hAnsi="Arial" w:cs="Arial"/>
          <w:spacing w:val="-2"/>
          <w:sz w:val="20"/>
          <w:szCs w:val="20"/>
        </w:rPr>
        <w:t xml:space="preserve"> </w:t>
      </w:r>
      <w:r w:rsidRPr="00CD5CD5">
        <w:rPr>
          <w:rFonts w:ascii="Arial" w:hAnsi="Arial" w:cs="Arial"/>
          <w:sz w:val="20"/>
          <w:szCs w:val="20"/>
        </w:rPr>
        <w:t>and</w:t>
      </w:r>
      <w:r w:rsidRPr="00CD5CD5">
        <w:rPr>
          <w:rFonts w:ascii="Arial" w:hAnsi="Arial" w:cs="Arial"/>
          <w:spacing w:val="-1"/>
          <w:sz w:val="20"/>
          <w:szCs w:val="20"/>
        </w:rPr>
        <w:t xml:space="preserve"> </w:t>
      </w:r>
      <w:r w:rsidRPr="00CD5CD5">
        <w:rPr>
          <w:rFonts w:ascii="Arial" w:hAnsi="Arial" w:cs="Arial"/>
          <w:sz w:val="20"/>
          <w:szCs w:val="20"/>
        </w:rPr>
        <w:t>equipment.</w:t>
      </w:r>
    </w:p>
    <w:p w14:paraId="447B284A" w14:textId="77777777" w:rsidR="00666244" w:rsidRPr="00666244" w:rsidRDefault="00666244" w:rsidP="00666244">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825" w:name="_Toc153137506"/>
      <w:r w:rsidRPr="00666244">
        <w:rPr>
          <w:rFonts w:ascii="Arial" w:eastAsia="Times New Roman" w:hAnsi="Arial" w:cs="Times New Roman"/>
          <w:b/>
          <w:color w:val="FFFFFF"/>
          <w:sz w:val="24"/>
        </w:rPr>
        <w:t>AMC1 ML.A.302 Aircraft maintenance programme</w:t>
      </w:r>
      <w:bookmarkEnd w:id="825"/>
      <w:r w:rsidRPr="00666244">
        <w:rPr>
          <w:rFonts w:ascii="Arial" w:eastAsia="Times New Roman" w:hAnsi="Arial" w:cs="Times New Roman"/>
          <w:b/>
          <w:color w:val="FFFFFF"/>
          <w:sz w:val="24"/>
        </w:rPr>
        <w:tab/>
      </w:r>
    </w:p>
    <w:p w14:paraId="43C56E15" w14:textId="77777777" w:rsidR="00666244" w:rsidRPr="00666244" w:rsidRDefault="00666244" w:rsidP="00666244">
      <w:pPr>
        <w:numPr>
          <w:ilvl w:val="0"/>
          <w:numId w:val="291"/>
        </w:numPr>
        <w:rPr>
          <w:rFonts w:ascii="Arial" w:eastAsia="Times New Roman" w:hAnsi="Arial" w:cs="Times New Roman"/>
          <w:sz w:val="20"/>
        </w:rPr>
      </w:pPr>
      <w:r w:rsidRPr="00666244">
        <w:rPr>
          <w:rFonts w:ascii="Arial" w:eastAsia="Times New Roman" w:hAnsi="Arial" w:cs="Times New Roman"/>
          <w:sz w:val="20"/>
        </w:rPr>
        <w:t>The aircraft should only be maintained according to one maintenance programme at a given point in time. Where an owner wishes to change from one programme to another (e.g. from an AMP based on minimum inspection programme (MIP) to an AMP based on DAH’s data), certain additional maintenance may need to be carried out on the aircraft to implement this transition.</w:t>
      </w:r>
    </w:p>
    <w:p w14:paraId="081CF53F" w14:textId="77777777" w:rsidR="00666244" w:rsidRPr="00666244" w:rsidRDefault="00666244" w:rsidP="00666244">
      <w:pPr>
        <w:numPr>
          <w:ilvl w:val="0"/>
          <w:numId w:val="291"/>
        </w:numPr>
        <w:rPr>
          <w:rFonts w:ascii="Arial" w:eastAsia="Times New Roman" w:hAnsi="Arial" w:cs="Times New Roman"/>
          <w:sz w:val="24"/>
        </w:rPr>
      </w:pPr>
      <w:r w:rsidRPr="00666244">
        <w:rPr>
          <w:rFonts w:ascii="Arial" w:eastAsia="Times New Roman" w:hAnsi="Arial" w:cs="Times New Roman"/>
          <w:sz w:val="20"/>
        </w:rPr>
        <w:t xml:space="preserve">The maintenance programme may take the format of the standard template provided in AMC2 </w:t>
      </w:r>
      <w:r w:rsidRPr="00666244">
        <w:rPr>
          <w:rFonts w:ascii="Arial" w:eastAsia="Times New Roman" w:hAnsi="Arial" w:cs="Times New Roman"/>
          <w:sz w:val="20"/>
        </w:rPr>
        <w:lastRenderedPageBreak/>
        <w:t>ML.A.302 (EASA Form AMP). This maintenance programme may include several aircraft registrations as long as the maintenance requirements for each registration are clearly identified</w:t>
      </w:r>
      <w:r w:rsidRPr="00666244">
        <w:rPr>
          <w:rFonts w:ascii="Arial" w:eastAsia="Times New Roman" w:hAnsi="Arial" w:cs="Times New Roman"/>
          <w:sz w:val="24"/>
        </w:rPr>
        <w:t>.</w:t>
      </w:r>
    </w:p>
    <w:p w14:paraId="59F92EA7" w14:textId="77777777" w:rsidR="002A0714" w:rsidRPr="002A0714" w:rsidRDefault="002A0714" w:rsidP="002A0714">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826" w:name="_Toc153137507"/>
      <w:r w:rsidRPr="002A0714">
        <w:rPr>
          <w:rFonts w:ascii="Arial" w:eastAsia="Times New Roman" w:hAnsi="Arial" w:cs="Times New Roman"/>
          <w:b/>
          <w:color w:val="FFFFFF"/>
          <w:sz w:val="24"/>
        </w:rPr>
        <w:t>AMC2 ML.A.302 Aircraft maintenance programme</w:t>
      </w:r>
      <w:bookmarkEnd w:id="826"/>
      <w:r w:rsidRPr="002A0714">
        <w:rPr>
          <w:rFonts w:ascii="Arial" w:eastAsia="Times New Roman" w:hAnsi="Arial" w:cs="Times New Roman"/>
          <w:b/>
          <w:color w:val="FFFFFF"/>
          <w:sz w:val="24"/>
        </w:rPr>
        <w:tab/>
      </w:r>
    </w:p>
    <w:p w14:paraId="477FA26C" w14:textId="77777777" w:rsidR="002A0714" w:rsidRPr="002A0714" w:rsidRDefault="002A0714" w:rsidP="002A0714">
      <w:pPr>
        <w:widowControl/>
        <w:autoSpaceDE/>
        <w:autoSpaceDN/>
        <w:spacing w:before="240" w:after="160" w:line="264" w:lineRule="auto"/>
        <w:jc w:val="both"/>
        <w:rPr>
          <w:rFonts w:ascii="Arial" w:eastAsiaTheme="minorHAnsi" w:hAnsi="Arial" w:cs="Arial"/>
          <w:b/>
          <w:bCs/>
          <w:sz w:val="20"/>
          <w:szCs w:val="20"/>
        </w:rPr>
      </w:pPr>
      <w:r w:rsidRPr="002A0714">
        <w:rPr>
          <w:rFonts w:ascii="Arial" w:eastAsiaTheme="minorHAnsi" w:hAnsi="Arial" w:cs="Arial"/>
          <w:b/>
          <w:bCs/>
          <w:sz w:val="20"/>
          <w:szCs w:val="20"/>
        </w:rPr>
        <w:t>EASA FORM AMP</w:t>
      </w:r>
    </w:p>
    <w:p w14:paraId="0686D657" w14:textId="77777777" w:rsidR="002A0714" w:rsidRDefault="002A0714" w:rsidP="002A0714">
      <w:pPr>
        <w:rPr>
          <w:rFonts w:ascii="Arial" w:eastAsia="Times New Roman" w:hAnsi="Arial" w:cs="Times New Roman"/>
          <w:sz w:val="20"/>
        </w:rPr>
      </w:pPr>
      <w:r w:rsidRPr="002A0714">
        <w:rPr>
          <w:rFonts w:ascii="Arial" w:eastAsia="Times New Roman" w:hAnsi="Arial" w:cs="Times New Roman"/>
          <w:sz w:val="20"/>
        </w:rPr>
        <w:t>The following EASA Form AMP may be used to produce the AMP:</w:t>
      </w:r>
    </w:p>
    <w:p w14:paraId="7DD9778E" w14:textId="77777777" w:rsidR="002A0714" w:rsidRPr="002A0714" w:rsidRDefault="002A0714" w:rsidP="002A0714">
      <w:pPr>
        <w:rPr>
          <w:rFonts w:ascii="Arial" w:eastAsia="Times New Roman" w:hAnsi="Arial" w:cs="Times New Roman"/>
          <w:sz w:val="20"/>
        </w:rPr>
      </w:pPr>
    </w:p>
    <w:tbl>
      <w:tblPr>
        <w:tblW w:w="9055" w:type="dxa"/>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
        <w:gridCol w:w="420"/>
        <w:gridCol w:w="10"/>
        <w:gridCol w:w="2687"/>
        <w:gridCol w:w="426"/>
        <w:gridCol w:w="992"/>
        <w:gridCol w:w="744"/>
        <w:gridCol w:w="959"/>
        <w:gridCol w:w="1694"/>
        <w:gridCol w:w="567"/>
        <w:gridCol w:w="533"/>
        <w:gridCol w:w="13"/>
      </w:tblGrid>
      <w:tr w:rsidR="002A0714" w:rsidRPr="00D724E5" w14:paraId="34324094" w14:textId="77777777" w:rsidTr="008C2414">
        <w:trPr>
          <w:gridBefore w:val="1"/>
          <w:wBefore w:w="10" w:type="dxa"/>
          <w:trHeight w:val="244"/>
        </w:trPr>
        <w:tc>
          <w:tcPr>
            <w:tcW w:w="9045" w:type="dxa"/>
            <w:gridSpan w:val="11"/>
            <w:shd w:val="clear" w:color="auto" w:fill="F2F2F2" w:themeFill="background1" w:themeFillShade="F2"/>
          </w:tcPr>
          <w:p w14:paraId="1ACC8C62" w14:textId="77777777" w:rsidR="002A0714" w:rsidRPr="00D724E5" w:rsidRDefault="002A0714" w:rsidP="002A0714">
            <w:pPr>
              <w:pStyle w:val="TableParagraph"/>
              <w:spacing w:line="224" w:lineRule="exact"/>
              <w:ind w:left="2485" w:right="2483"/>
              <w:jc w:val="center"/>
              <w:rPr>
                <w:rFonts w:ascii="Arial" w:hAnsi="Arial" w:cs="Arial"/>
                <w:b/>
                <w:sz w:val="18"/>
                <w:szCs w:val="18"/>
              </w:rPr>
            </w:pPr>
            <w:r w:rsidRPr="00D724E5">
              <w:rPr>
                <w:rFonts w:ascii="Arial" w:hAnsi="Arial" w:cs="Arial"/>
                <w:b/>
                <w:sz w:val="18"/>
                <w:szCs w:val="18"/>
              </w:rPr>
              <w:t>Part-ML</w:t>
            </w:r>
            <w:r w:rsidRPr="00D724E5">
              <w:rPr>
                <w:rFonts w:ascii="Arial" w:hAnsi="Arial" w:cs="Arial"/>
                <w:b/>
                <w:spacing w:val="-5"/>
                <w:sz w:val="18"/>
                <w:szCs w:val="18"/>
              </w:rPr>
              <w:t xml:space="preserve"> </w:t>
            </w:r>
            <w:r w:rsidRPr="00D724E5">
              <w:rPr>
                <w:rFonts w:ascii="Arial" w:hAnsi="Arial" w:cs="Arial"/>
                <w:b/>
                <w:sz w:val="18"/>
                <w:szCs w:val="18"/>
              </w:rPr>
              <w:t>aircraft</w:t>
            </w:r>
            <w:r w:rsidRPr="00D724E5">
              <w:rPr>
                <w:rFonts w:ascii="Arial" w:hAnsi="Arial" w:cs="Arial"/>
                <w:b/>
                <w:spacing w:val="-4"/>
                <w:sz w:val="18"/>
                <w:szCs w:val="18"/>
              </w:rPr>
              <w:t xml:space="preserve"> </w:t>
            </w:r>
            <w:r w:rsidRPr="00D724E5">
              <w:rPr>
                <w:rFonts w:ascii="Arial" w:hAnsi="Arial" w:cs="Arial"/>
                <w:b/>
                <w:sz w:val="18"/>
                <w:szCs w:val="18"/>
              </w:rPr>
              <w:t>maintenance</w:t>
            </w:r>
            <w:r w:rsidRPr="00D724E5">
              <w:rPr>
                <w:rFonts w:ascii="Arial" w:hAnsi="Arial" w:cs="Arial"/>
                <w:b/>
                <w:spacing w:val="-4"/>
                <w:sz w:val="18"/>
                <w:szCs w:val="18"/>
              </w:rPr>
              <w:t xml:space="preserve"> </w:t>
            </w:r>
            <w:r w:rsidRPr="00D724E5">
              <w:rPr>
                <w:rFonts w:ascii="Arial" w:hAnsi="Arial" w:cs="Arial"/>
                <w:b/>
                <w:sz w:val="18"/>
                <w:szCs w:val="18"/>
              </w:rPr>
              <w:t>programme</w:t>
            </w:r>
            <w:r w:rsidRPr="00D724E5">
              <w:rPr>
                <w:rFonts w:ascii="Arial" w:hAnsi="Arial" w:cs="Arial"/>
                <w:b/>
                <w:spacing w:val="-3"/>
                <w:sz w:val="18"/>
                <w:szCs w:val="18"/>
              </w:rPr>
              <w:t xml:space="preserve"> </w:t>
            </w:r>
            <w:r w:rsidRPr="00D724E5">
              <w:rPr>
                <w:rFonts w:ascii="Arial" w:hAnsi="Arial" w:cs="Arial"/>
                <w:b/>
                <w:sz w:val="18"/>
                <w:szCs w:val="18"/>
              </w:rPr>
              <w:t>(AMP)</w:t>
            </w:r>
          </w:p>
        </w:tc>
      </w:tr>
      <w:tr w:rsidR="002A0714" w:rsidRPr="00D724E5" w14:paraId="7B461D63" w14:textId="77777777" w:rsidTr="008C2414">
        <w:trPr>
          <w:gridBefore w:val="1"/>
          <w:wBefore w:w="10" w:type="dxa"/>
          <w:trHeight w:val="244"/>
        </w:trPr>
        <w:tc>
          <w:tcPr>
            <w:tcW w:w="9045" w:type="dxa"/>
            <w:gridSpan w:val="11"/>
            <w:shd w:val="clear" w:color="auto" w:fill="F2F2F2" w:themeFill="background1" w:themeFillShade="F2"/>
          </w:tcPr>
          <w:p w14:paraId="06E4315B" w14:textId="77777777" w:rsidR="002A0714" w:rsidRPr="00D724E5" w:rsidRDefault="002A0714" w:rsidP="002A0714">
            <w:pPr>
              <w:pStyle w:val="TableParagraph"/>
              <w:spacing w:line="224" w:lineRule="exact"/>
              <w:ind w:left="2483" w:right="2483"/>
              <w:jc w:val="center"/>
              <w:rPr>
                <w:rFonts w:ascii="Arial" w:hAnsi="Arial" w:cs="Arial"/>
                <w:b/>
                <w:sz w:val="18"/>
                <w:szCs w:val="18"/>
              </w:rPr>
            </w:pPr>
            <w:r w:rsidRPr="00D724E5">
              <w:rPr>
                <w:rFonts w:ascii="Arial" w:hAnsi="Arial" w:cs="Arial"/>
                <w:b/>
                <w:sz w:val="18"/>
                <w:szCs w:val="18"/>
              </w:rPr>
              <w:t>Aircraft</w:t>
            </w:r>
            <w:r w:rsidRPr="00D724E5">
              <w:rPr>
                <w:rFonts w:ascii="Arial" w:hAnsi="Arial" w:cs="Arial"/>
                <w:b/>
                <w:spacing w:val="-5"/>
                <w:sz w:val="18"/>
                <w:szCs w:val="18"/>
              </w:rPr>
              <w:t xml:space="preserve"> </w:t>
            </w:r>
            <w:r w:rsidRPr="00D724E5">
              <w:rPr>
                <w:rFonts w:ascii="Arial" w:hAnsi="Arial" w:cs="Arial"/>
                <w:b/>
                <w:sz w:val="18"/>
                <w:szCs w:val="18"/>
              </w:rPr>
              <w:t>identification</w:t>
            </w:r>
          </w:p>
        </w:tc>
      </w:tr>
      <w:tr w:rsidR="002A0714" w:rsidRPr="00D724E5" w14:paraId="3EC00882" w14:textId="77777777" w:rsidTr="002A0714">
        <w:trPr>
          <w:gridBefore w:val="1"/>
          <w:wBefore w:w="10" w:type="dxa"/>
          <w:trHeight w:val="417"/>
        </w:trPr>
        <w:tc>
          <w:tcPr>
            <w:tcW w:w="430" w:type="dxa"/>
            <w:gridSpan w:val="2"/>
            <w:vMerge w:val="restart"/>
          </w:tcPr>
          <w:p w14:paraId="4BE25B0C" w14:textId="77777777" w:rsidR="002A0714" w:rsidRPr="00D724E5" w:rsidRDefault="002A0714" w:rsidP="002A0714">
            <w:pPr>
              <w:pStyle w:val="TableParagraph"/>
              <w:spacing w:line="243" w:lineRule="exact"/>
              <w:ind w:left="107"/>
              <w:rPr>
                <w:rFonts w:ascii="Arial" w:hAnsi="Arial" w:cs="Arial"/>
                <w:sz w:val="18"/>
                <w:szCs w:val="18"/>
              </w:rPr>
            </w:pPr>
            <w:r w:rsidRPr="00D724E5">
              <w:rPr>
                <w:rFonts w:ascii="Arial" w:hAnsi="Arial" w:cs="Arial"/>
                <w:w w:val="99"/>
                <w:sz w:val="18"/>
                <w:szCs w:val="18"/>
              </w:rPr>
              <w:t>1</w:t>
            </w:r>
          </w:p>
        </w:tc>
        <w:tc>
          <w:tcPr>
            <w:tcW w:w="3113" w:type="dxa"/>
            <w:gridSpan w:val="2"/>
          </w:tcPr>
          <w:p w14:paraId="45CBAD68" w14:textId="77777777" w:rsidR="002A0714" w:rsidRPr="00D724E5" w:rsidRDefault="002A0714" w:rsidP="002A0714">
            <w:pPr>
              <w:pStyle w:val="TableParagraph"/>
              <w:spacing w:line="243" w:lineRule="exact"/>
              <w:ind w:left="107"/>
              <w:rPr>
                <w:rFonts w:ascii="Arial" w:hAnsi="Arial" w:cs="Arial"/>
                <w:sz w:val="18"/>
                <w:szCs w:val="18"/>
              </w:rPr>
            </w:pPr>
            <w:r w:rsidRPr="00D724E5">
              <w:rPr>
                <w:rFonts w:ascii="Arial" w:hAnsi="Arial" w:cs="Arial"/>
                <w:sz w:val="18"/>
                <w:szCs w:val="18"/>
              </w:rPr>
              <w:t>Registration(s):</w:t>
            </w:r>
          </w:p>
        </w:tc>
        <w:tc>
          <w:tcPr>
            <w:tcW w:w="2695" w:type="dxa"/>
            <w:gridSpan w:val="3"/>
          </w:tcPr>
          <w:p w14:paraId="31C844A6" w14:textId="77777777" w:rsidR="002A0714" w:rsidRPr="00D724E5" w:rsidRDefault="002A0714" w:rsidP="002A0714">
            <w:pPr>
              <w:pStyle w:val="TableParagraph"/>
              <w:spacing w:line="243" w:lineRule="exact"/>
              <w:ind w:left="105"/>
              <w:rPr>
                <w:rFonts w:ascii="Arial" w:hAnsi="Arial" w:cs="Arial"/>
                <w:sz w:val="18"/>
                <w:szCs w:val="18"/>
              </w:rPr>
            </w:pPr>
            <w:r w:rsidRPr="00D724E5">
              <w:rPr>
                <w:rFonts w:ascii="Arial" w:hAnsi="Arial" w:cs="Arial"/>
                <w:sz w:val="18"/>
                <w:szCs w:val="18"/>
              </w:rPr>
              <w:t>Type:</w:t>
            </w:r>
          </w:p>
        </w:tc>
        <w:tc>
          <w:tcPr>
            <w:tcW w:w="2807" w:type="dxa"/>
            <w:gridSpan w:val="4"/>
          </w:tcPr>
          <w:p w14:paraId="6AFE7449" w14:textId="77777777" w:rsidR="002A0714" w:rsidRPr="00D724E5" w:rsidRDefault="002A0714" w:rsidP="002A0714">
            <w:pPr>
              <w:pStyle w:val="TableParagraph"/>
              <w:spacing w:line="243" w:lineRule="exact"/>
              <w:ind w:left="103"/>
              <w:rPr>
                <w:rFonts w:ascii="Arial" w:hAnsi="Arial" w:cs="Arial"/>
                <w:sz w:val="18"/>
                <w:szCs w:val="18"/>
              </w:rPr>
            </w:pPr>
            <w:r w:rsidRPr="00D724E5">
              <w:rPr>
                <w:rFonts w:ascii="Arial" w:hAnsi="Arial" w:cs="Arial"/>
                <w:sz w:val="18"/>
                <w:szCs w:val="18"/>
              </w:rPr>
              <w:t>Serial</w:t>
            </w:r>
            <w:r w:rsidRPr="00D724E5">
              <w:rPr>
                <w:rFonts w:ascii="Arial" w:hAnsi="Arial" w:cs="Arial"/>
                <w:spacing w:val="-4"/>
                <w:sz w:val="18"/>
                <w:szCs w:val="18"/>
              </w:rPr>
              <w:t xml:space="preserve"> </w:t>
            </w:r>
            <w:r w:rsidRPr="00D724E5">
              <w:rPr>
                <w:rFonts w:ascii="Arial" w:hAnsi="Arial" w:cs="Arial"/>
                <w:sz w:val="18"/>
                <w:szCs w:val="18"/>
              </w:rPr>
              <w:t>no(s):</w:t>
            </w:r>
          </w:p>
        </w:tc>
      </w:tr>
      <w:tr w:rsidR="002A0714" w:rsidRPr="00D724E5" w14:paraId="47021A2A" w14:textId="77777777" w:rsidTr="002A0714">
        <w:trPr>
          <w:gridBefore w:val="1"/>
          <w:wBefore w:w="10" w:type="dxa"/>
          <w:trHeight w:val="420"/>
        </w:trPr>
        <w:tc>
          <w:tcPr>
            <w:tcW w:w="430" w:type="dxa"/>
            <w:gridSpan w:val="2"/>
            <w:vMerge/>
            <w:tcBorders>
              <w:top w:val="nil"/>
            </w:tcBorders>
          </w:tcPr>
          <w:p w14:paraId="681343F5" w14:textId="77777777" w:rsidR="002A0714" w:rsidRPr="00D724E5" w:rsidRDefault="002A0714" w:rsidP="002A0714">
            <w:pPr>
              <w:rPr>
                <w:rFonts w:ascii="Arial" w:hAnsi="Arial" w:cs="Arial"/>
                <w:sz w:val="18"/>
                <w:szCs w:val="18"/>
              </w:rPr>
            </w:pPr>
          </w:p>
        </w:tc>
        <w:tc>
          <w:tcPr>
            <w:tcW w:w="8615" w:type="dxa"/>
            <w:gridSpan w:val="9"/>
          </w:tcPr>
          <w:p w14:paraId="4622FAF3" w14:textId="77777777" w:rsidR="002A0714" w:rsidRPr="00D724E5" w:rsidRDefault="002A0714" w:rsidP="002A0714">
            <w:pPr>
              <w:pStyle w:val="TableParagraph"/>
              <w:spacing w:before="1"/>
              <w:ind w:left="107"/>
              <w:rPr>
                <w:rFonts w:ascii="Arial" w:hAnsi="Arial" w:cs="Arial"/>
                <w:sz w:val="18"/>
                <w:szCs w:val="18"/>
              </w:rPr>
            </w:pPr>
            <w:r w:rsidRPr="00D724E5">
              <w:rPr>
                <w:rFonts w:ascii="Arial" w:hAnsi="Arial" w:cs="Arial"/>
                <w:sz w:val="18"/>
                <w:szCs w:val="18"/>
              </w:rPr>
              <w:t>Owner:</w:t>
            </w:r>
          </w:p>
        </w:tc>
      </w:tr>
      <w:tr w:rsidR="002A0714" w:rsidRPr="00D724E5" w14:paraId="7A086685" w14:textId="77777777" w:rsidTr="008C2414">
        <w:trPr>
          <w:gridBefore w:val="1"/>
          <w:wBefore w:w="10" w:type="dxa"/>
          <w:trHeight w:val="244"/>
        </w:trPr>
        <w:tc>
          <w:tcPr>
            <w:tcW w:w="9045" w:type="dxa"/>
            <w:gridSpan w:val="11"/>
            <w:shd w:val="clear" w:color="auto" w:fill="F2F2F2" w:themeFill="background1" w:themeFillShade="F2"/>
          </w:tcPr>
          <w:p w14:paraId="36B28796" w14:textId="77777777" w:rsidR="002A0714" w:rsidRPr="00D724E5" w:rsidRDefault="002A0714" w:rsidP="002A0714">
            <w:pPr>
              <w:pStyle w:val="TableParagraph"/>
              <w:spacing w:line="224" w:lineRule="exact"/>
              <w:ind w:left="2483" w:right="2483"/>
              <w:jc w:val="center"/>
              <w:rPr>
                <w:rFonts w:ascii="Arial" w:hAnsi="Arial" w:cs="Arial"/>
                <w:b/>
                <w:sz w:val="18"/>
                <w:szCs w:val="18"/>
              </w:rPr>
            </w:pPr>
            <w:r w:rsidRPr="00D724E5">
              <w:rPr>
                <w:rFonts w:ascii="Arial" w:hAnsi="Arial" w:cs="Arial"/>
                <w:b/>
                <w:sz w:val="18"/>
                <w:szCs w:val="18"/>
              </w:rPr>
              <w:t>Basis</w:t>
            </w:r>
            <w:r w:rsidRPr="00D724E5">
              <w:rPr>
                <w:rFonts w:ascii="Arial" w:hAnsi="Arial" w:cs="Arial"/>
                <w:b/>
                <w:spacing w:val="-5"/>
                <w:sz w:val="18"/>
                <w:szCs w:val="18"/>
              </w:rPr>
              <w:t xml:space="preserve"> </w:t>
            </w:r>
            <w:r w:rsidRPr="00D724E5">
              <w:rPr>
                <w:rFonts w:ascii="Arial" w:hAnsi="Arial" w:cs="Arial"/>
                <w:b/>
                <w:sz w:val="18"/>
                <w:szCs w:val="18"/>
              </w:rPr>
              <w:t>for</w:t>
            </w:r>
            <w:r w:rsidRPr="00D724E5">
              <w:rPr>
                <w:rFonts w:ascii="Arial" w:hAnsi="Arial" w:cs="Arial"/>
                <w:b/>
                <w:spacing w:val="-2"/>
                <w:sz w:val="18"/>
                <w:szCs w:val="18"/>
              </w:rPr>
              <w:t xml:space="preserve"> </w:t>
            </w:r>
            <w:r w:rsidRPr="00D724E5">
              <w:rPr>
                <w:rFonts w:ascii="Arial" w:hAnsi="Arial" w:cs="Arial"/>
                <w:b/>
                <w:sz w:val="18"/>
                <w:szCs w:val="18"/>
              </w:rPr>
              <w:t>the</w:t>
            </w:r>
            <w:r w:rsidRPr="00D724E5">
              <w:rPr>
                <w:rFonts w:ascii="Arial" w:hAnsi="Arial" w:cs="Arial"/>
                <w:b/>
                <w:spacing w:val="-4"/>
                <w:sz w:val="18"/>
                <w:szCs w:val="18"/>
              </w:rPr>
              <w:t xml:space="preserve"> </w:t>
            </w:r>
            <w:r w:rsidRPr="00D724E5">
              <w:rPr>
                <w:rFonts w:ascii="Arial" w:hAnsi="Arial" w:cs="Arial"/>
                <w:b/>
                <w:sz w:val="18"/>
                <w:szCs w:val="18"/>
              </w:rPr>
              <w:t>maintenance</w:t>
            </w:r>
            <w:r w:rsidRPr="00D724E5">
              <w:rPr>
                <w:rFonts w:ascii="Arial" w:hAnsi="Arial" w:cs="Arial"/>
                <w:b/>
                <w:spacing w:val="-3"/>
                <w:sz w:val="18"/>
                <w:szCs w:val="18"/>
              </w:rPr>
              <w:t xml:space="preserve"> </w:t>
            </w:r>
            <w:r w:rsidRPr="00D724E5">
              <w:rPr>
                <w:rFonts w:ascii="Arial" w:hAnsi="Arial" w:cs="Arial"/>
                <w:b/>
                <w:sz w:val="18"/>
                <w:szCs w:val="18"/>
              </w:rPr>
              <w:t>programme</w:t>
            </w:r>
          </w:p>
        </w:tc>
      </w:tr>
      <w:tr w:rsidR="002A0714" w:rsidRPr="00D724E5" w14:paraId="38D8F8E5" w14:textId="77777777" w:rsidTr="002A0714">
        <w:trPr>
          <w:gridBefore w:val="1"/>
          <w:wBefore w:w="10" w:type="dxa"/>
          <w:trHeight w:val="976"/>
        </w:trPr>
        <w:tc>
          <w:tcPr>
            <w:tcW w:w="430" w:type="dxa"/>
            <w:gridSpan w:val="2"/>
          </w:tcPr>
          <w:p w14:paraId="2F520523" w14:textId="77777777" w:rsidR="002A0714" w:rsidRPr="00D724E5" w:rsidRDefault="002A0714" w:rsidP="002A0714">
            <w:pPr>
              <w:pStyle w:val="TableParagraph"/>
              <w:spacing w:line="243" w:lineRule="exact"/>
              <w:ind w:left="0" w:right="101"/>
              <w:jc w:val="center"/>
              <w:rPr>
                <w:rFonts w:ascii="Arial" w:hAnsi="Arial" w:cs="Arial"/>
                <w:sz w:val="18"/>
                <w:szCs w:val="18"/>
              </w:rPr>
            </w:pPr>
            <w:r w:rsidRPr="00D724E5">
              <w:rPr>
                <w:rFonts w:ascii="Arial" w:hAnsi="Arial" w:cs="Arial"/>
                <w:w w:val="99"/>
                <w:sz w:val="18"/>
                <w:szCs w:val="18"/>
              </w:rPr>
              <w:t>2</w:t>
            </w:r>
          </w:p>
        </w:tc>
        <w:tc>
          <w:tcPr>
            <w:tcW w:w="4105" w:type="dxa"/>
            <w:gridSpan w:val="3"/>
          </w:tcPr>
          <w:p w14:paraId="789BDD43" w14:textId="77777777" w:rsidR="002A0714" w:rsidRPr="00D724E5" w:rsidRDefault="002A0714" w:rsidP="002A0714">
            <w:pPr>
              <w:pStyle w:val="TableParagraph"/>
              <w:ind w:left="107"/>
              <w:rPr>
                <w:rFonts w:ascii="Arial" w:hAnsi="Arial" w:cs="Arial"/>
                <w:sz w:val="18"/>
                <w:szCs w:val="18"/>
              </w:rPr>
            </w:pPr>
            <w:r w:rsidRPr="00D724E5">
              <w:rPr>
                <w:rFonts w:ascii="Arial" w:hAnsi="Arial" w:cs="Arial"/>
                <w:sz w:val="18"/>
                <w:szCs w:val="18"/>
              </w:rPr>
              <w:t>Design</w:t>
            </w:r>
            <w:r w:rsidRPr="00D724E5">
              <w:rPr>
                <w:rFonts w:ascii="Arial" w:hAnsi="Arial" w:cs="Arial"/>
                <w:spacing w:val="-5"/>
                <w:sz w:val="18"/>
                <w:szCs w:val="18"/>
              </w:rPr>
              <w:t xml:space="preserve"> </w:t>
            </w:r>
            <w:r w:rsidRPr="00D724E5">
              <w:rPr>
                <w:rFonts w:ascii="Arial" w:hAnsi="Arial" w:cs="Arial"/>
                <w:sz w:val="18"/>
                <w:szCs w:val="18"/>
              </w:rPr>
              <w:t>approval</w:t>
            </w:r>
            <w:r w:rsidRPr="00D724E5">
              <w:rPr>
                <w:rFonts w:ascii="Arial" w:hAnsi="Arial" w:cs="Arial"/>
                <w:spacing w:val="-5"/>
                <w:sz w:val="18"/>
                <w:szCs w:val="18"/>
              </w:rPr>
              <w:t xml:space="preserve"> </w:t>
            </w:r>
            <w:r w:rsidRPr="00D724E5">
              <w:rPr>
                <w:rFonts w:ascii="Arial" w:hAnsi="Arial" w:cs="Arial"/>
                <w:sz w:val="18"/>
                <w:szCs w:val="18"/>
              </w:rPr>
              <w:t>holder</w:t>
            </w:r>
            <w:r w:rsidRPr="00D724E5">
              <w:rPr>
                <w:rFonts w:ascii="Arial" w:hAnsi="Arial" w:cs="Arial"/>
                <w:spacing w:val="-5"/>
                <w:sz w:val="18"/>
                <w:szCs w:val="18"/>
              </w:rPr>
              <w:t xml:space="preserve"> </w:t>
            </w:r>
            <w:r w:rsidRPr="00D724E5">
              <w:rPr>
                <w:rFonts w:ascii="Arial" w:hAnsi="Arial" w:cs="Arial"/>
                <w:sz w:val="18"/>
                <w:szCs w:val="18"/>
              </w:rPr>
              <w:t>(DAH)</w:t>
            </w:r>
            <w:r w:rsidRPr="00D724E5">
              <w:rPr>
                <w:rFonts w:ascii="Arial" w:hAnsi="Arial" w:cs="Arial"/>
                <w:spacing w:val="-2"/>
                <w:sz w:val="18"/>
                <w:szCs w:val="18"/>
              </w:rPr>
              <w:t xml:space="preserve"> </w:t>
            </w:r>
            <w:r w:rsidRPr="00D724E5">
              <w:rPr>
                <w:rFonts w:ascii="Arial" w:hAnsi="Arial" w:cs="Arial"/>
                <w:sz w:val="18"/>
                <w:szCs w:val="18"/>
              </w:rPr>
              <w:t>instructions</w:t>
            </w:r>
            <w:r w:rsidRPr="00D724E5">
              <w:rPr>
                <w:rFonts w:ascii="Arial" w:hAnsi="Arial" w:cs="Arial"/>
                <w:spacing w:val="-7"/>
                <w:sz w:val="18"/>
                <w:szCs w:val="18"/>
              </w:rPr>
              <w:t xml:space="preserve"> </w:t>
            </w:r>
            <w:r w:rsidRPr="00D724E5">
              <w:rPr>
                <w:rFonts w:ascii="Arial" w:hAnsi="Arial" w:cs="Arial"/>
                <w:sz w:val="18"/>
                <w:szCs w:val="18"/>
              </w:rPr>
              <w:t>for</w:t>
            </w:r>
            <w:r w:rsidRPr="00D724E5">
              <w:rPr>
                <w:rFonts w:ascii="Arial" w:hAnsi="Arial" w:cs="Arial"/>
                <w:spacing w:val="-42"/>
                <w:sz w:val="18"/>
                <w:szCs w:val="18"/>
              </w:rPr>
              <w:t xml:space="preserve"> </w:t>
            </w:r>
            <w:r w:rsidRPr="00D724E5">
              <w:rPr>
                <w:rFonts w:ascii="Arial" w:hAnsi="Arial" w:cs="Arial"/>
                <w:sz w:val="18"/>
                <w:szCs w:val="18"/>
              </w:rPr>
              <w:t>continued</w:t>
            </w:r>
            <w:r w:rsidRPr="00D724E5">
              <w:rPr>
                <w:rFonts w:ascii="Arial" w:hAnsi="Arial" w:cs="Arial"/>
                <w:spacing w:val="-1"/>
                <w:sz w:val="18"/>
                <w:szCs w:val="18"/>
              </w:rPr>
              <w:t xml:space="preserve"> </w:t>
            </w:r>
            <w:r w:rsidRPr="00D724E5">
              <w:rPr>
                <w:rFonts w:ascii="Arial" w:hAnsi="Arial" w:cs="Arial"/>
                <w:sz w:val="18"/>
                <w:szCs w:val="18"/>
              </w:rPr>
              <w:t>airworthiness</w:t>
            </w:r>
            <w:r w:rsidRPr="00D724E5">
              <w:rPr>
                <w:rFonts w:ascii="Arial" w:hAnsi="Arial" w:cs="Arial"/>
                <w:spacing w:val="-2"/>
                <w:sz w:val="18"/>
                <w:szCs w:val="18"/>
              </w:rPr>
              <w:t xml:space="preserve"> </w:t>
            </w:r>
            <w:r w:rsidRPr="00D724E5">
              <w:rPr>
                <w:rFonts w:ascii="Arial" w:hAnsi="Arial" w:cs="Arial"/>
                <w:sz w:val="18"/>
                <w:szCs w:val="18"/>
              </w:rPr>
              <w:t>(ICA)</w:t>
            </w:r>
            <w:r w:rsidR="00D724E5" w:rsidRPr="00D724E5">
              <w:rPr>
                <w:rFonts w:ascii="Arial" w:hAnsi="Arial" w:cs="Arial"/>
                <w:sz w:val="18"/>
                <w:szCs w:val="18"/>
              </w:rPr>
              <w:t xml:space="preserve"> </w:t>
            </w:r>
            <w:r w:rsidR="00D724E5" w:rsidRPr="00D724E5">
              <w:rPr>
                <w:rFonts w:ascii="Arial" w:hAnsi="Arial" w:cs="Arial"/>
                <w:noProof/>
                <w:position w:val="-3"/>
                <w:sz w:val="18"/>
                <w:szCs w:val="18"/>
              </w:rPr>
              <mc:AlternateContent>
                <mc:Choice Requires="wpg">
                  <w:drawing>
                    <wp:inline distT="0" distB="0" distL="0" distR="0" wp14:anchorId="4461B3D9" wp14:editId="733D60CC">
                      <wp:extent cx="127145" cy="127145"/>
                      <wp:effectExtent l="0" t="0" r="6350" b="6350"/>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145" cy="127145"/>
                                <a:chOff x="0" y="0"/>
                                <a:chExt cx="214" cy="214"/>
                              </a:xfrm>
                            </wpg:grpSpPr>
                            <wps:wsp>
                              <wps:cNvPr id="88" name="Rectangle 55"/>
                              <wps:cNvSpPr>
                                <a:spLocks noChangeArrowheads="1"/>
                              </wps:cNvSpPr>
                              <wps:spPr bwMode="auto">
                                <a:xfrm>
                                  <a:off x="7" y="7"/>
                                  <a:ext cx="200" cy="2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w:pict>
                    <v:group w14:anchorId="1A380F2C" id="Group 87" o:spid="_x0000_s1026" style="width:10pt;height:10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">
                      <v:rect id="Rectangle 55"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" filled="f" strokeweight=".72pt"/>
                      <w10:anchorlock/>
                    </v:group>
                  </w:pict>
                </mc:Fallback>
              </mc:AlternateContent>
            </w:r>
          </w:p>
        </w:tc>
        <w:tc>
          <w:tcPr>
            <w:tcW w:w="4510" w:type="dxa"/>
            <w:gridSpan w:val="6"/>
          </w:tcPr>
          <w:p w14:paraId="0E845378" w14:textId="77777777" w:rsidR="002A0714" w:rsidRPr="00D724E5" w:rsidRDefault="002A0714" w:rsidP="002A0714">
            <w:pPr>
              <w:pStyle w:val="TableParagraph"/>
              <w:ind w:left="104" w:right="293"/>
              <w:rPr>
                <w:rFonts w:ascii="Arial" w:hAnsi="Arial" w:cs="Arial"/>
                <w:sz w:val="18"/>
                <w:szCs w:val="18"/>
              </w:rPr>
            </w:pPr>
            <w:r w:rsidRPr="00D724E5">
              <w:rPr>
                <w:rFonts w:ascii="Arial" w:hAnsi="Arial" w:cs="Arial"/>
                <w:sz w:val="18"/>
                <w:szCs w:val="18"/>
              </w:rPr>
              <w:t>Minimum</w:t>
            </w:r>
            <w:r w:rsidRPr="00D724E5">
              <w:rPr>
                <w:rFonts w:ascii="Arial" w:hAnsi="Arial" w:cs="Arial"/>
                <w:spacing w:val="-5"/>
                <w:sz w:val="18"/>
                <w:szCs w:val="18"/>
              </w:rPr>
              <w:t xml:space="preserve"> </w:t>
            </w:r>
            <w:r w:rsidRPr="00D724E5">
              <w:rPr>
                <w:rFonts w:ascii="Arial" w:hAnsi="Arial" w:cs="Arial"/>
                <w:sz w:val="18"/>
                <w:szCs w:val="18"/>
              </w:rPr>
              <w:t>inspection</w:t>
            </w:r>
            <w:r w:rsidRPr="00D724E5">
              <w:rPr>
                <w:rFonts w:ascii="Arial" w:hAnsi="Arial" w:cs="Arial"/>
                <w:spacing w:val="-3"/>
                <w:sz w:val="18"/>
                <w:szCs w:val="18"/>
              </w:rPr>
              <w:t xml:space="preserve"> </w:t>
            </w:r>
            <w:r w:rsidRPr="00D724E5">
              <w:rPr>
                <w:rFonts w:ascii="Arial" w:hAnsi="Arial" w:cs="Arial"/>
                <w:sz w:val="18"/>
                <w:szCs w:val="18"/>
              </w:rPr>
              <w:t>programme</w:t>
            </w:r>
            <w:r w:rsidRPr="00D724E5">
              <w:rPr>
                <w:rFonts w:ascii="Arial" w:hAnsi="Arial" w:cs="Arial"/>
                <w:spacing w:val="-4"/>
                <w:sz w:val="18"/>
                <w:szCs w:val="18"/>
              </w:rPr>
              <w:t xml:space="preserve"> </w:t>
            </w:r>
            <w:r w:rsidRPr="00D724E5">
              <w:rPr>
                <w:rFonts w:ascii="Arial" w:hAnsi="Arial" w:cs="Arial"/>
                <w:sz w:val="18"/>
                <w:szCs w:val="18"/>
              </w:rPr>
              <w:t>(MIP)</w:t>
            </w:r>
            <w:r w:rsidRPr="00D724E5">
              <w:rPr>
                <w:rFonts w:ascii="Arial" w:hAnsi="Arial" w:cs="Arial"/>
                <w:spacing w:val="-4"/>
                <w:sz w:val="18"/>
                <w:szCs w:val="18"/>
              </w:rPr>
              <w:t xml:space="preserve"> </w:t>
            </w:r>
            <w:r w:rsidRPr="00D724E5">
              <w:rPr>
                <w:rFonts w:ascii="Arial" w:hAnsi="Arial" w:cs="Arial"/>
                <w:sz w:val="18"/>
                <w:szCs w:val="18"/>
              </w:rPr>
              <w:t>as</w:t>
            </w:r>
            <w:r w:rsidRPr="00D724E5">
              <w:rPr>
                <w:rFonts w:ascii="Arial" w:hAnsi="Arial" w:cs="Arial"/>
                <w:spacing w:val="-5"/>
                <w:sz w:val="18"/>
                <w:szCs w:val="18"/>
              </w:rPr>
              <w:t xml:space="preserve"> </w:t>
            </w:r>
            <w:r w:rsidRPr="00D724E5">
              <w:rPr>
                <w:rFonts w:ascii="Arial" w:hAnsi="Arial" w:cs="Arial"/>
                <w:sz w:val="18"/>
                <w:szCs w:val="18"/>
              </w:rPr>
              <w:t>detailed</w:t>
            </w:r>
            <w:r w:rsidRPr="00D724E5">
              <w:rPr>
                <w:rFonts w:ascii="Arial" w:hAnsi="Arial" w:cs="Arial"/>
                <w:spacing w:val="-42"/>
                <w:sz w:val="18"/>
                <w:szCs w:val="18"/>
              </w:rPr>
              <w:t xml:space="preserve"> </w:t>
            </w:r>
            <w:r w:rsidRPr="00D724E5">
              <w:rPr>
                <w:rFonts w:ascii="Arial" w:hAnsi="Arial" w:cs="Arial"/>
                <w:sz w:val="18"/>
                <w:szCs w:val="18"/>
              </w:rPr>
              <w:t>in</w:t>
            </w:r>
            <w:r w:rsidRPr="00D724E5">
              <w:rPr>
                <w:rFonts w:ascii="Arial" w:hAnsi="Arial" w:cs="Arial"/>
                <w:spacing w:val="-1"/>
                <w:sz w:val="18"/>
                <w:szCs w:val="18"/>
              </w:rPr>
              <w:t xml:space="preserve"> </w:t>
            </w:r>
            <w:r w:rsidRPr="00D724E5">
              <w:rPr>
                <w:rFonts w:ascii="Arial" w:hAnsi="Arial" w:cs="Arial"/>
                <w:sz w:val="18"/>
                <w:szCs w:val="18"/>
              </w:rPr>
              <w:t>the</w:t>
            </w:r>
            <w:r w:rsidRPr="00D724E5">
              <w:rPr>
                <w:rFonts w:ascii="Arial" w:hAnsi="Arial" w:cs="Arial"/>
                <w:spacing w:val="-2"/>
                <w:sz w:val="18"/>
                <w:szCs w:val="18"/>
              </w:rPr>
              <w:t xml:space="preserve"> </w:t>
            </w:r>
            <w:r w:rsidRPr="00D724E5">
              <w:rPr>
                <w:rFonts w:ascii="Arial" w:hAnsi="Arial" w:cs="Arial"/>
                <w:sz w:val="18"/>
                <w:szCs w:val="18"/>
              </w:rPr>
              <w:t>latest revision of</w:t>
            </w:r>
            <w:r w:rsidRPr="00D724E5">
              <w:rPr>
                <w:rFonts w:ascii="Arial" w:hAnsi="Arial" w:cs="Arial"/>
                <w:spacing w:val="-3"/>
                <w:sz w:val="18"/>
                <w:szCs w:val="18"/>
              </w:rPr>
              <w:t xml:space="preserve"> </w:t>
            </w:r>
            <w:r w:rsidRPr="00D724E5">
              <w:rPr>
                <w:rFonts w:ascii="Arial" w:hAnsi="Arial" w:cs="Arial"/>
                <w:sz w:val="18"/>
                <w:szCs w:val="18"/>
              </w:rPr>
              <w:t>AMC1</w:t>
            </w:r>
            <w:r w:rsidRPr="00D724E5">
              <w:rPr>
                <w:rFonts w:ascii="Arial" w:hAnsi="Arial" w:cs="Arial"/>
                <w:spacing w:val="1"/>
                <w:sz w:val="18"/>
                <w:szCs w:val="18"/>
              </w:rPr>
              <w:t xml:space="preserve"> </w:t>
            </w:r>
            <w:r w:rsidRPr="00D724E5">
              <w:rPr>
                <w:rFonts w:ascii="Arial" w:hAnsi="Arial" w:cs="Arial"/>
                <w:sz w:val="18"/>
                <w:szCs w:val="18"/>
              </w:rPr>
              <w:t>ML.A.302(d)</w:t>
            </w:r>
            <w:r w:rsidR="00D724E5">
              <w:rPr>
                <w:rFonts w:ascii="Arial" w:hAnsi="Arial" w:cs="Arial"/>
                <w:sz w:val="18"/>
                <w:szCs w:val="18"/>
              </w:rPr>
              <w:t xml:space="preserve"> </w:t>
            </w:r>
            <w:r w:rsidR="00D724E5" w:rsidRPr="00D724E5">
              <w:rPr>
                <w:rFonts w:ascii="Arial" w:hAnsi="Arial" w:cs="Arial"/>
                <w:noProof/>
                <w:position w:val="-3"/>
                <w:sz w:val="18"/>
                <w:szCs w:val="18"/>
              </w:rPr>
              <mc:AlternateContent>
                <mc:Choice Requires="wpg">
                  <w:drawing>
                    <wp:inline distT="0" distB="0" distL="0" distR="0" wp14:anchorId="14B77191" wp14:editId="5C8C7A1A">
                      <wp:extent cx="127145" cy="127145"/>
                      <wp:effectExtent l="0" t="0" r="6350" b="6350"/>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145" cy="127145"/>
                                <a:chOff x="0" y="0"/>
                                <a:chExt cx="214" cy="214"/>
                              </a:xfrm>
                            </wpg:grpSpPr>
                            <wps:wsp>
                              <wps:cNvPr id="90" name="Rectangle 55"/>
                              <wps:cNvSpPr>
                                <a:spLocks noChangeArrowheads="1"/>
                              </wps:cNvSpPr>
                              <wps:spPr bwMode="auto">
                                <a:xfrm>
                                  <a:off x="7" y="7"/>
                                  <a:ext cx="200" cy="2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w:pict>
                    <v:group w14:anchorId="120A3AB3" id="Group 89" o:spid="_x0000_s1026" style="width:10pt;height:10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">
                      <v:rect id="Rectangle 55"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" filled="f" strokeweight=".72pt"/>
                      <w10:anchorlock/>
                    </v:group>
                  </w:pict>
                </mc:Fallback>
              </mc:AlternateContent>
            </w:r>
          </w:p>
          <w:p w14:paraId="0582ED73" w14:textId="77777777" w:rsidR="002A0714" w:rsidRPr="00D724E5" w:rsidRDefault="002A0714" w:rsidP="002A0714">
            <w:pPr>
              <w:pStyle w:val="TableParagraph"/>
              <w:spacing w:line="243" w:lineRule="exact"/>
              <w:ind w:left="104"/>
              <w:rPr>
                <w:rFonts w:ascii="Arial" w:hAnsi="Arial" w:cs="Arial"/>
                <w:sz w:val="18"/>
                <w:szCs w:val="18"/>
              </w:rPr>
            </w:pPr>
            <w:r w:rsidRPr="00D724E5">
              <w:rPr>
                <w:rFonts w:ascii="Arial" w:hAnsi="Arial" w:cs="Arial"/>
                <w:sz w:val="18"/>
                <w:szCs w:val="18"/>
              </w:rPr>
              <w:t>Other</w:t>
            </w:r>
            <w:r w:rsidRPr="00D724E5">
              <w:rPr>
                <w:rFonts w:ascii="Arial" w:hAnsi="Arial" w:cs="Arial"/>
                <w:spacing w:val="-4"/>
                <w:sz w:val="18"/>
                <w:szCs w:val="18"/>
              </w:rPr>
              <w:t xml:space="preserve"> </w:t>
            </w:r>
            <w:r w:rsidRPr="00D724E5">
              <w:rPr>
                <w:rFonts w:ascii="Arial" w:hAnsi="Arial" w:cs="Arial"/>
                <w:sz w:val="18"/>
                <w:szCs w:val="18"/>
              </w:rPr>
              <w:t>MIP</w:t>
            </w:r>
            <w:r w:rsidRPr="00D724E5">
              <w:rPr>
                <w:rFonts w:ascii="Arial" w:hAnsi="Arial" w:cs="Arial"/>
                <w:spacing w:val="-4"/>
                <w:sz w:val="18"/>
                <w:szCs w:val="18"/>
              </w:rPr>
              <w:t xml:space="preserve"> </w:t>
            </w:r>
            <w:r w:rsidRPr="00D724E5">
              <w:rPr>
                <w:rFonts w:ascii="Arial" w:hAnsi="Arial" w:cs="Arial"/>
                <w:sz w:val="18"/>
                <w:szCs w:val="18"/>
              </w:rPr>
              <w:t>complying</w:t>
            </w:r>
            <w:r w:rsidRPr="00D724E5">
              <w:rPr>
                <w:rFonts w:ascii="Arial" w:hAnsi="Arial" w:cs="Arial"/>
                <w:spacing w:val="-4"/>
                <w:sz w:val="18"/>
                <w:szCs w:val="18"/>
              </w:rPr>
              <w:t xml:space="preserve"> </w:t>
            </w:r>
            <w:r w:rsidRPr="00D724E5">
              <w:rPr>
                <w:rFonts w:ascii="Arial" w:hAnsi="Arial" w:cs="Arial"/>
                <w:sz w:val="18"/>
                <w:szCs w:val="18"/>
              </w:rPr>
              <w:t>with</w:t>
            </w:r>
            <w:r w:rsidRPr="00D724E5">
              <w:rPr>
                <w:rFonts w:ascii="Arial" w:hAnsi="Arial" w:cs="Arial"/>
                <w:spacing w:val="-3"/>
                <w:sz w:val="18"/>
                <w:szCs w:val="18"/>
              </w:rPr>
              <w:t xml:space="preserve"> </w:t>
            </w:r>
            <w:r w:rsidRPr="00D724E5">
              <w:rPr>
                <w:rFonts w:ascii="Arial" w:hAnsi="Arial" w:cs="Arial"/>
                <w:sz w:val="18"/>
                <w:szCs w:val="18"/>
              </w:rPr>
              <w:t>ML.A.302(d)</w:t>
            </w:r>
            <w:r w:rsidR="00D724E5">
              <w:rPr>
                <w:rFonts w:ascii="Arial" w:hAnsi="Arial" w:cs="Arial"/>
                <w:sz w:val="18"/>
                <w:szCs w:val="18"/>
              </w:rPr>
              <w:t xml:space="preserve"> </w:t>
            </w:r>
            <w:r w:rsidR="00D724E5" w:rsidRPr="00D724E5">
              <w:rPr>
                <w:rFonts w:ascii="Arial" w:hAnsi="Arial" w:cs="Arial"/>
                <w:noProof/>
                <w:position w:val="-3"/>
                <w:sz w:val="18"/>
                <w:szCs w:val="18"/>
              </w:rPr>
              <mc:AlternateContent>
                <mc:Choice Requires="wpg">
                  <w:drawing>
                    <wp:inline distT="0" distB="0" distL="0" distR="0" wp14:anchorId="14351AA7" wp14:editId="544C3F06">
                      <wp:extent cx="127145" cy="127145"/>
                      <wp:effectExtent l="0" t="0" r="6350" b="6350"/>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145" cy="127145"/>
                                <a:chOff x="0" y="0"/>
                                <a:chExt cx="214" cy="214"/>
                              </a:xfrm>
                            </wpg:grpSpPr>
                            <wps:wsp>
                              <wps:cNvPr id="92" name="Rectangle 55"/>
                              <wps:cNvSpPr>
                                <a:spLocks noChangeArrowheads="1"/>
                              </wps:cNvSpPr>
                              <wps:spPr bwMode="auto">
                                <a:xfrm>
                                  <a:off x="7" y="7"/>
                                  <a:ext cx="200" cy="2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w:pict>
                    <v:group w14:anchorId="560EE54C" id="Group 91" o:spid="_x0000_s1026" style="width:10pt;height:10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">
                      <v:rect id="Rectangle 55"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" filled="f" strokeweight=".72pt"/>
                      <w10:anchorlock/>
                    </v:group>
                  </w:pict>
                </mc:Fallback>
              </mc:AlternateContent>
            </w:r>
          </w:p>
          <w:p w14:paraId="0ADC19DD" w14:textId="77777777" w:rsidR="002A0714" w:rsidRPr="00D724E5" w:rsidRDefault="002A0714" w:rsidP="002A0714">
            <w:pPr>
              <w:pStyle w:val="TableParagraph"/>
              <w:spacing w:line="225" w:lineRule="exact"/>
              <w:ind w:left="104"/>
              <w:rPr>
                <w:rFonts w:ascii="Arial" w:hAnsi="Arial" w:cs="Arial"/>
                <w:sz w:val="18"/>
                <w:szCs w:val="18"/>
              </w:rPr>
            </w:pPr>
            <w:r w:rsidRPr="00D724E5">
              <w:rPr>
                <w:rFonts w:ascii="Arial" w:hAnsi="Arial" w:cs="Arial"/>
                <w:sz w:val="18"/>
                <w:szCs w:val="18"/>
              </w:rPr>
              <w:t>(List</w:t>
            </w:r>
            <w:r w:rsidRPr="00D724E5">
              <w:rPr>
                <w:rFonts w:ascii="Arial" w:hAnsi="Arial" w:cs="Arial"/>
                <w:spacing w:val="-2"/>
                <w:sz w:val="18"/>
                <w:szCs w:val="18"/>
              </w:rPr>
              <w:t xml:space="preserve"> </w:t>
            </w:r>
            <w:r w:rsidRPr="00D724E5">
              <w:rPr>
                <w:rFonts w:ascii="Arial" w:hAnsi="Arial" w:cs="Arial"/>
                <w:sz w:val="18"/>
                <w:szCs w:val="18"/>
              </w:rPr>
              <w:t>the</w:t>
            </w:r>
            <w:r w:rsidRPr="00D724E5">
              <w:rPr>
                <w:rFonts w:ascii="Arial" w:hAnsi="Arial" w:cs="Arial"/>
                <w:spacing w:val="-3"/>
                <w:sz w:val="18"/>
                <w:szCs w:val="18"/>
              </w:rPr>
              <w:t xml:space="preserve"> </w:t>
            </w:r>
            <w:r w:rsidRPr="00D724E5">
              <w:rPr>
                <w:rFonts w:ascii="Arial" w:hAnsi="Arial" w:cs="Arial"/>
                <w:sz w:val="18"/>
                <w:szCs w:val="18"/>
              </w:rPr>
              <w:t>tasks</w:t>
            </w:r>
            <w:r w:rsidRPr="00D724E5">
              <w:rPr>
                <w:rFonts w:ascii="Arial" w:hAnsi="Arial" w:cs="Arial"/>
                <w:spacing w:val="-4"/>
                <w:sz w:val="18"/>
                <w:szCs w:val="18"/>
              </w:rPr>
              <w:t xml:space="preserve"> </w:t>
            </w:r>
            <w:r w:rsidRPr="00D724E5">
              <w:rPr>
                <w:rFonts w:ascii="Arial" w:hAnsi="Arial" w:cs="Arial"/>
                <w:sz w:val="18"/>
                <w:szCs w:val="18"/>
              </w:rPr>
              <w:t>in</w:t>
            </w:r>
            <w:r w:rsidRPr="00D724E5">
              <w:rPr>
                <w:rFonts w:ascii="Arial" w:hAnsi="Arial" w:cs="Arial"/>
                <w:spacing w:val="-1"/>
                <w:sz w:val="18"/>
                <w:szCs w:val="18"/>
              </w:rPr>
              <w:t xml:space="preserve"> </w:t>
            </w:r>
            <w:r w:rsidRPr="00D724E5">
              <w:rPr>
                <w:rFonts w:ascii="Arial" w:hAnsi="Arial" w:cs="Arial"/>
                <w:sz w:val="18"/>
                <w:szCs w:val="18"/>
              </w:rPr>
              <w:t>Appendix A)</w:t>
            </w:r>
          </w:p>
        </w:tc>
      </w:tr>
      <w:tr w:rsidR="002A0714" w:rsidRPr="00D724E5" w14:paraId="5B8EE68D" w14:textId="77777777" w:rsidTr="008C2414">
        <w:trPr>
          <w:gridBefore w:val="1"/>
          <w:wBefore w:w="10" w:type="dxa"/>
          <w:trHeight w:val="489"/>
        </w:trPr>
        <w:tc>
          <w:tcPr>
            <w:tcW w:w="9045" w:type="dxa"/>
            <w:gridSpan w:val="11"/>
            <w:shd w:val="clear" w:color="auto" w:fill="F2F2F2" w:themeFill="background1" w:themeFillShade="F2"/>
          </w:tcPr>
          <w:p w14:paraId="76D13936" w14:textId="77777777" w:rsidR="002A0714" w:rsidRPr="00D724E5" w:rsidRDefault="002A0714" w:rsidP="002A0714">
            <w:pPr>
              <w:pStyle w:val="TableParagraph"/>
              <w:spacing w:line="243" w:lineRule="exact"/>
              <w:ind w:left="2482" w:right="2483"/>
              <w:jc w:val="center"/>
              <w:rPr>
                <w:rFonts w:ascii="Arial" w:hAnsi="Arial" w:cs="Arial"/>
                <w:b/>
                <w:sz w:val="18"/>
                <w:szCs w:val="18"/>
              </w:rPr>
            </w:pPr>
            <w:r w:rsidRPr="00D724E5">
              <w:rPr>
                <w:rFonts w:ascii="Arial" w:hAnsi="Arial" w:cs="Arial"/>
                <w:b/>
                <w:sz w:val="18"/>
                <w:szCs w:val="18"/>
              </w:rPr>
              <w:t>Design</w:t>
            </w:r>
            <w:r w:rsidRPr="00D724E5">
              <w:rPr>
                <w:rFonts w:ascii="Arial" w:hAnsi="Arial" w:cs="Arial"/>
                <w:b/>
                <w:spacing w:val="-3"/>
                <w:sz w:val="18"/>
                <w:szCs w:val="18"/>
              </w:rPr>
              <w:t xml:space="preserve"> </w:t>
            </w:r>
            <w:r w:rsidRPr="00D724E5">
              <w:rPr>
                <w:rFonts w:ascii="Arial" w:hAnsi="Arial" w:cs="Arial"/>
                <w:b/>
                <w:sz w:val="18"/>
                <w:szCs w:val="18"/>
              </w:rPr>
              <w:t>approval</w:t>
            </w:r>
            <w:r w:rsidRPr="00D724E5">
              <w:rPr>
                <w:rFonts w:ascii="Arial" w:hAnsi="Arial" w:cs="Arial"/>
                <w:b/>
                <w:spacing w:val="-4"/>
                <w:sz w:val="18"/>
                <w:szCs w:val="18"/>
              </w:rPr>
              <w:t xml:space="preserve"> </w:t>
            </w:r>
            <w:r w:rsidRPr="00D724E5">
              <w:rPr>
                <w:rFonts w:ascii="Arial" w:hAnsi="Arial" w:cs="Arial"/>
                <w:b/>
                <w:sz w:val="18"/>
                <w:szCs w:val="18"/>
              </w:rPr>
              <w:t>holder</w:t>
            </w:r>
            <w:r w:rsidRPr="00D724E5">
              <w:rPr>
                <w:rFonts w:ascii="Arial" w:hAnsi="Arial" w:cs="Arial"/>
                <w:b/>
                <w:spacing w:val="-3"/>
                <w:sz w:val="18"/>
                <w:szCs w:val="18"/>
              </w:rPr>
              <w:t xml:space="preserve"> </w:t>
            </w:r>
            <w:r w:rsidRPr="00D724E5">
              <w:rPr>
                <w:rFonts w:ascii="Arial" w:hAnsi="Arial" w:cs="Arial"/>
                <w:b/>
                <w:sz w:val="18"/>
                <w:szCs w:val="18"/>
              </w:rPr>
              <w:t>(DAH)</w:t>
            </w:r>
          </w:p>
          <w:p w14:paraId="538CCC85" w14:textId="77777777" w:rsidR="002A0714" w:rsidRPr="00D724E5" w:rsidRDefault="002A0714" w:rsidP="002A0714">
            <w:pPr>
              <w:pStyle w:val="TableParagraph"/>
              <w:spacing w:line="225" w:lineRule="exact"/>
              <w:ind w:left="2483" w:right="2483"/>
              <w:jc w:val="center"/>
              <w:rPr>
                <w:rFonts w:ascii="Arial" w:hAnsi="Arial" w:cs="Arial"/>
                <w:b/>
                <w:sz w:val="18"/>
                <w:szCs w:val="18"/>
              </w:rPr>
            </w:pPr>
            <w:r w:rsidRPr="00D724E5">
              <w:rPr>
                <w:rFonts w:ascii="Arial" w:hAnsi="Arial" w:cs="Arial"/>
                <w:b/>
                <w:sz w:val="18"/>
                <w:szCs w:val="18"/>
              </w:rPr>
              <w:t>instructions</w:t>
            </w:r>
            <w:r w:rsidRPr="00D724E5">
              <w:rPr>
                <w:rFonts w:ascii="Arial" w:hAnsi="Arial" w:cs="Arial"/>
                <w:b/>
                <w:spacing w:val="-5"/>
                <w:sz w:val="18"/>
                <w:szCs w:val="18"/>
              </w:rPr>
              <w:t xml:space="preserve"> </w:t>
            </w:r>
            <w:r w:rsidRPr="00D724E5">
              <w:rPr>
                <w:rFonts w:ascii="Arial" w:hAnsi="Arial" w:cs="Arial"/>
                <w:b/>
                <w:sz w:val="18"/>
                <w:szCs w:val="18"/>
              </w:rPr>
              <w:t>for</w:t>
            </w:r>
            <w:r w:rsidRPr="00D724E5">
              <w:rPr>
                <w:rFonts w:ascii="Arial" w:hAnsi="Arial" w:cs="Arial"/>
                <w:b/>
                <w:spacing w:val="-2"/>
                <w:sz w:val="18"/>
                <w:szCs w:val="18"/>
              </w:rPr>
              <w:t xml:space="preserve"> </w:t>
            </w:r>
            <w:r w:rsidRPr="00D724E5">
              <w:rPr>
                <w:rFonts w:ascii="Arial" w:hAnsi="Arial" w:cs="Arial"/>
                <w:b/>
                <w:sz w:val="18"/>
                <w:szCs w:val="18"/>
              </w:rPr>
              <w:t>continuing</w:t>
            </w:r>
            <w:r w:rsidRPr="00D724E5">
              <w:rPr>
                <w:rFonts w:ascii="Arial" w:hAnsi="Arial" w:cs="Arial"/>
                <w:b/>
                <w:spacing w:val="-5"/>
                <w:sz w:val="18"/>
                <w:szCs w:val="18"/>
              </w:rPr>
              <w:t xml:space="preserve"> </w:t>
            </w:r>
            <w:r w:rsidRPr="00D724E5">
              <w:rPr>
                <w:rFonts w:ascii="Arial" w:hAnsi="Arial" w:cs="Arial"/>
                <w:b/>
                <w:sz w:val="18"/>
                <w:szCs w:val="18"/>
              </w:rPr>
              <w:t>airworthiness</w:t>
            </w:r>
            <w:r w:rsidRPr="00D724E5">
              <w:rPr>
                <w:rFonts w:ascii="Arial" w:hAnsi="Arial" w:cs="Arial"/>
                <w:b/>
                <w:spacing w:val="-4"/>
                <w:sz w:val="18"/>
                <w:szCs w:val="18"/>
              </w:rPr>
              <w:t xml:space="preserve"> </w:t>
            </w:r>
            <w:r w:rsidRPr="00D724E5">
              <w:rPr>
                <w:rFonts w:ascii="Arial" w:hAnsi="Arial" w:cs="Arial"/>
                <w:b/>
                <w:sz w:val="18"/>
                <w:szCs w:val="18"/>
              </w:rPr>
              <w:t>(ICA)</w:t>
            </w:r>
          </w:p>
        </w:tc>
      </w:tr>
      <w:tr w:rsidR="002A0714" w:rsidRPr="00D724E5" w14:paraId="582B020B" w14:textId="77777777" w:rsidTr="002A0714">
        <w:trPr>
          <w:gridBefore w:val="1"/>
          <w:wBefore w:w="10" w:type="dxa"/>
          <w:trHeight w:val="486"/>
        </w:trPr>
        <w:tc>
          <w:tcPr>
            <w:tcW w:w="430" w:type="dxa"/>
            <w:gridSpan w:val="2"/>
          </w:tcPr>
          <w:p w14:paraId="142FA011" w14:textId="77777777" w:rsidR="002A0714" w:rsidRPr="00D724E5" w:rsidRDefault="002A0714" w:rsidP="002A0714">
            <w:pPr>
              <w:pStyle w:val="TableParagraph"/>
              <w:spacing w:line="243" w:lineRule="exact"/>
              <w:ind w:left="0" w:right="101"/>
              <w:jc w:val="center"/>
              <w:rPr>
                <w:rFonts w:ascii="Arial" w:hAnsi="Arial" w:cs="Arial"/>
                <w:sz w:val="18"/>
                <w:szCs w:val="18"/>
              </w:rPr>
            </w:pPr>
            <w:r w:rsidRPr="00D724E5">
              <w:rPr>
                <w:rFonts w:ascii="Arial" w:hAnsi="Arial" w:cs="Arial"/>
                <w:w w:val="99"/>
                <w:sz w:val="18"/>
                <w:szCs w:val="18"/>
              </w:rPr>
              <w:t>3</w:t>
            </w:r>
          </w:p>
        </w:tc>
        <w:tc>
          <w:tcPr>
            <w:tcW w:w="4105" w:type="dxa"/>
            <w:gridSpan w:val="3"/>
          </w:tcPr>
          <w:p w14:paraId="021C74C9" w14:textId="77777777" w:rsidR="002A0714" w:rsidRPr="00D724E5" w:rsidRDefault="002A0714" w:rsidP="002A0714">
            <w:pPr>
              <w:pStyle w:val="TableParagraph"/>
              <w:spacing w:line="243" w:lineRule="exact"/>
              <w:ind w:left="107"/>
              <w:rPr>
                <w:rFonts w:ascii="Arial" w:hAnsi="Arial" w:cs="Arial"/>
                <w:sz w:val="18"/>
                <w:szCs w:val="18"/>
              </w:rPr>
            </w:pPr>
            <w:r w:rsidRPr="00D724E5">
              <w:rPr>
                <w:rFonts w:ascii="Arial" w:hAnsi="Arial" w:cs="Arial"/>
                <w:sz w:val="18"/>
                <w:szCs w:val="18"/>
              </w:rPr>
              <w:t>Equipment</w:t>
            </w:r>
            <w:r w:rsidRPr="00D724E5">
              <w:rPr>
                <w:rFonts w:ascii="Arial" w:hAnsi="Arial" w:cs="Arial"/>
                <w:spacing w:val="-4"/>
                <w:sz w:val="18"/>
                <w:szCs w:val="18"/>
              </w:rPr>
              <w:t xml:space="preserve"> </w:t>
            </w:r>
            <w:r w:rsidRPr="00D724E5">
              <w:rPr>
                <w:rFonts w:ascii="Arial" w:hAnsi="Arial" w:cs="Arial"/>
                <w:sz w:val="18"/>
                <w:szCs w:val="18"/>
              </w:rPr>
              <w:t>manufacturer</w:t>
            </w:r>
            <w:r w:rsidRPr="00D724E5">
              <w:rPr>
                <w:rFonts w:ascii="Arial" w:hAnsi="Arial" w:cs="Arial"/>
                <w:spacing w:val="-3"/>
                <w:sz w:val="18"/>
                <w:szCs w:val="18"/>
              </w:rPr>
              <w:t xml:space="preserve"> </w:t>
            </w:r>
            <w:r w:rsidRPr="00D724E5">
              <w:rPr>
                <w:rFonts w:ascii="Arial" w:hAnsi="Arial" w:cs="Arial"/>
                <w:sz w:val="18"/>
                <w:szCs w:val="18"/>
              </w:rPr>
              <w:t>and</w:t>
            </w:r>
            <w:r w:rsidRPr="00D724E5">
              <w:rPr>
                <w:rFonts w:ascii="Arial" w:hAnsi="Arial" w:cs="Arial"/>
                <w:spacing w:val="-3"/>
                <w:sz w:val="18"/>
                <w:szCs w:val="18"/>
              </w:rPr>
              <w:t xml:space="preserve"> </w:t>
            </w:r>
            <w:r w:rsidRPr="00D724E5">
              <w:rPr>
                <w:rFonts w:ascii="Arial" w:hAnsi="Arial" w:cs="Arial"/>
                <w:sz w:val="18"/>
                <w:szCs w:val="18"/>
              </w:rPr>
              <w:t>type</w:t>
            </w:r>
          </w:p>
        </w:tc>
        <w:tc>
          <w:tcPr>
            <w:tcW w:w="4510" w:type="dxa"/>
            <w:gridSpan w:val="6"/>
          </w:tcPr>
          <w:p w14:paraId="18B8F6DF" w14:textId="77777777" w:rsidR="002A0714" w:rsidRPr="00D724E5" w:rsidRDefault="002A0714" w:rsidP="002A0714">
            <w:pPr>
              <w:pStyle w:val="TableParagraph"/>
              <w:spacing w:line="243" w:lineRule="exact"/>
              <w:ind w:left="104"/>
              <w:rPr>
                <w:rFonts w:ascii="Arial" w:hAnsi="Arial" w:cs="Arial"/>
                <w:sz w:val="18"/>
                <w:szCs w:val="18"/>
              </w:rPr>
            </w:pPr>
            <w:r w:rsidRPr="00D724E5">
              <w:rPr>
                <w:rFonts w:ascii="Arial" w:hAnsi="Arial" w:cs="Arial"/>
                <w:sz w:val="18"/>
                <w:szCs w:val="18"/>
              </w:rPr>
              <w:t>Applicable</w:t>
            </w:r>
            <w:r w:rsidRPr="00D724E5">
              <w:rPr>
                <w:rFonts w:ascii="Arial" w:hAnsi="Arial" w:cs="Arial"/>
                <w:spacing w:val="-5"/>
                <w:sz w:val="18"/>
                <w:szCs w:val="18"/>
              </w:rPr>
              <w:t xml:space="preserve"> </w:t>
            </w:r>
            <w:r w:rsidRPr="00D724E5">
              <w:rPr>
                <w:rFonts w:ascii="Arial" w:hAnsi="Arial" w:cs="Arial"/>
                <w:sz w:val="18"/>
                <w:szCs w:val="18"/>
              </w:rPr>
              <w:t>ICA</w:t>
            </w:r>
            <w:r w:rsidRPr="00D724E5">
              <w:rPr>
                <w:rFonts w:ascii="Arial" w:hAnsi="Arial" w:cs="Arial"/>
                <w:spacing w:val="-5"/>
                <w:sz w:val="18"/>
                <w:szCs w:val="18"/>
              </w:rPr>
              <w:t xml:space="preserve"> </w:t>
            </w:r>
            <w:r w:rsidRPr="00D724E5">
              <w:rPr>
                <w:rFonts w:ascii="Arial" w:hAnsi="Arial" w:cs="Arial"/>
                <w:sz w:val="18"/>
                <w:szCs w:val="18"/>
              </w:rPr>
              <w:t>reference</w:t>
            </w:r>
            <w:r w:rsidRPr="00D724E5">
              <w:rPr>
                <w:rFonts w:ascii="Arial" w:hAnsi="Arial" w:cs="Arial"/>
                <w:spacing w:val="-4"/>
                <w:sz w:val="18"/>
                <w:szCs w:val="18"/>
              </w:rPr>
              <w:t xml:space="preserve"> </w:t>
            </w:r>
            <w:r w:rsidRPr="00D724E5">
              <w:rPr>
                <w:rFonts w:ascii="Arial" w:hAnsi="Arial" w:cs="Arial"/>
                <w:sz w:val="18"/>
                <w:szCs w:val="18"/>
              </w:rPr>
              <w:t>(revision/date</w:t>
            </w:r>
            <w:r w:rsidRPr="00D724E5">
              <w:rPr>
                <w:rFonts w:ascii="Arial" w:hAnsi="Arial" w:cs="Arial"/>
                <w:spacing w:val="-4"/>
                <w:sz w:val="18"/>
                <w:szCs w:val="18"/>
              </w:rPr>
              <w:t xml:space="preserve"> </w:t>
            </w:r>
            <w:r w:rsidRPr="00D724E5">
              <w:rPr>
                <w:rFonts w:ascii="Arial" w:hAnsi="Arial" w:cs="Arial"/>
                <w:sz w:val="18"/>
                <w:szCs w:val="18"/>
              </w:rPr>
              <w:t>not</w:t>
            </w:r>
            <w:r w:rsidRPr="00D724E5">
              <w:rPr>
                <w:rFonts w:ascii="Arial" w:hAnsi="Arial" w:cs="Arial"/>
                <w:spacing w:val="1"/>
                <w:sz w:val="18"/>
                <w:szCs w:val="18"/>
              </w:rPr>
              <w:t xml:space="preserve"> </w:t>
            </w:r>
            <w:r w:rsidRPr="00D724E5">
              <w:rPr>
                <w:rFonts w:ascii="Arial" w:hAnsi="Arial" w:cs="Arial"/>
                <w:sz w:val="18"/>
                <w:szCs w:val="18"/>
              </w:rPr>
              <w:t>required</w:t>
            </w:r>
          </w:p>
          <w:p w14:paraId="0AE3972B" w14:textId="77777777" w:rsidR="002A0714" w:rsidRPr="00D724E5" w:rsidRDefault="002A0714" w:rsidP="002A0714">
            <w:pPr>
              <w:pStyle w:val="TableParagraph"/>
              <w:spacing w:line="223" w:lineRule="exact"/>
              <w:ind w:left="104"/>
              <w:rPr>
                <w:rFonts w:ascii="Arial" w:hAnsi="Arial" w:cs="Arial"/>
                <w:sz w:val="18"/>
                <w:szCs w:val="18"/>
              </w:rPr>
            </w:pPr>
            <w:r w:rsidRPr="00D724E5">
              <w:rPr>
                <w:rFonts w:ascii="Arial" w:hAnsi="Arial" w:cs="Arial"/>
                <w:sz w:val="18"/>
                <w:szCs w:val="18"/>
              </w:rPr>
              <w:t>assuming</w:t>
            </w:r>
            <w:r w:rsidRPr="00D724E5">
              <w:rPr>
                <w:rFonts w:ascii="Arial" w:hAnsi="Arial" w:cs="Arial"/>
                <w:spacing w:val="-3"/>
                <w:sz w:val="18"/>
                <w:szCs w:val="18"/>
              </w:rPr>
              <w:t xml:space="preserve"> </w:t>
            </w:r>
            <w:r w:rsidRPr="00D724E5">
              <w:rPr>
                <w:rFonts w:ascii="Arial" w:hAnsi="Arial" w:cs="Arial"/>
                <w:sz w:val="18"/>
                <w:szCs w:val="18"/>
              </w:rPr>
              <w:t>the</w:t>
            </w:r>
            <w:r w:rsidRPr="00D724E5">
              <w:rPr>
                <w:rFonts w:ascii="Arial" w:hAnsi="Arial" w:cs="Arial"/>
                <w:spacing w:val="-2"/>
                <w:sz w:val="18"/>
                <w:szCs w:val="18"/>
              </w:rPr>
              <w:t xml:space="preserve"> </w:t>
            </w:r>
            <w:r w:rsidRPr="00D724E5">
              <w:rPr>
                <w:rFonts w:ascii="Arial" w:hAnsi="Arial" w:cs="Arial"/>
                <w:sz w:val="18"/>
                <w:szCs w:val="18"/>
              </w:rPr>
              <w:t>latest</w:t>
            </w:r>
            <w:r w:rsidRPr="00D724E5">
              <w:rPr>
                <w:rFonts w:ascii="Arial" w:hAnsi="Arial" w:cs="Arial"/>
                <w:spacing w:val="-2"/>
                <w:sz w:val="18"/>
                <w:szCs w:val="18"/>
              </w:rPr>
              <w:t xml:space="preserve"> </w:t>
            </w:r>
            <w:r w:rsidRPr="00D724E5">
              <w:rPr>
                <w:rFonts w:ascii="Arial" w:hAnsi="Arial" w:cs="Arial"/>
                <w:sz w:val="18"/>
                <w:szCs w:val="18"/>
              </w:rPr>
              <w:t>revision will</w:t>
            </w:r>
            <w:r w:rsidRPr="00D724E5">
              <w:rPr>
                <w:rFonts w:ascii="Arial" w:hAnsi="Arial" w:cs="Arial"/>
                <w:spacing w:val="-3"/>
                <w:sz w:val="18"/>
                <w:szCs w:val="18"/>
              </w:rPr>
              <w:t xml:space="preserve"> </w:t>
            </w:r>
            <w:r w:rsidRPr="00D724E5">
              <w:rPr>
                <w:rFonts w:ascii="Arial" w:hAnsi="Arial" w:cs="Arial"/>
                <w:sz w:val="18"/>
                <w:szCs w:val="18"/>
              </w:rPr>
              <w:t>always</w:t>
            </w:r>
            <w:r w:rsidRPr="00D724E5">
              <w:rPr>
                <w:rFonts w:ascii="Arial" w:hAnsi="Arial" w:cs="Arial"/>
                <w:spacing w:val="-3"/>
                <w:sz w:val="18"/>
                <w:szCs w:val="18"/>
              </w:rPr>
              <w:t xml:space="preserve"> </w:t>
            </w:r>
            <w:r w:rsidRPr="00D724E5">
              <w:rPr>
                <w:rFonts w:ascii="Arial" w:hAnsi="Arial" w:cs="Arial"/>
                <w:sz w:val="18"/>
                <w:szCs w:val="18"/>
              </w:rPr>
              <w:t>be</w:t>
            </w:r>
            <w:r w:rsidRPr="00D724E5">
              <w:rPr>
                <w:rFonts w:ascii="Arial" w:hAnsi="Arial" w:cs="Arial"/>
                <w:spacing w:val="-3"/>
                <w:sz w:val="18"/>
                <w:szCs w:val="18"/>
              </w:rPr>
              <w:t xml:space="preserve"> </w:t>
            </w:r>
            <w:r w:rsidRPr="00D724E5">
              <w:rPr>
                <w:rFonts w:ascii="Arial" w:hAnsi="Arial" w:cs="Arial"/>
                <w:sz w:val="18"/>
                <w:szCs w:val="18"/>
              </w:rPr>
              <w:t>used)</w:t>
            </w:r>
          </w:p>
        </w:tc>
      </w:tr>
      <w:tr w:rsidR="002A0714" w:rsidRPr="00D724E5" w14:paraId="1177D6AA" w14:textId="77777777" w:rsidTr="002A0714">
        <w:trPr>
          <w:gridBefore w:val="1"/>
          <w:wBefore w:w="10" w:type="dxa"/>
          <w:trHeight w:val="244"/>
        </w:trPr>
        <w:tc>
          <w:tcPr>
            <w:tcW w:w="9045" w:type="dxa"/>
            <w:gridSpan w:val="11"/>
          </w:tcPr>
          <w:p w14:paraId="04FA4D65" w14:textId="77777777" w:rsidR="002A0714" w:rsidRPr="00D724E5" w:rsidRDefault="002A0714" w:rsidP="002A0714">
            <w:pPr>
              <w:pStyle w:val="TableParagraph"/>
              <w:spacing w:before="1" w:line="223" w:lineRule="exact"/>
              <w:ind w:left="107"/>
              <w:rPr>
                <w:rFonts w:ascii="Arial" w:hAnsi="Arial" w:cs="Arial"/>
                <w:b/>
                <w:sz w:val="18"/>
                <w:szCs w:val="18"/>
              </w:rPr>
            </w:pPr>
            <w:r w:rsidRPr="00D724E5">
              <w:rPr>
                <w:rFonts w:ascii="Arial" w:hAnsi="Arial" w:cs="Arial"/>
                <w:b/>
                <w:sz w:val="18"/>
                <w:szCs w:val="18"/>
              </w:rPr>
              <w:t>For</w:t>
            </w:r>
            <w:r w:rsidRPr="00D724E5">
              <w:rPr>
                <w:rFonts w:ascii="Arial" w:hAnsi="Arial" w:cs="Arial"/>
                <w:b/>
                <w:spacing w:val="-3"/>
                <w:sz w:val="18"/>
                <w:szCs w:val="18"/>
              </w:rPr>
              <w:t xml:space="preserve"> </w:t>
            </w:r>
            <w:r w:rsidRPr="00D724E5">
              <w:rPr>
                <w:rFonts w:ascii="Arial" w:hAnsi="Arial" w:cs="Arial"/>
                <w:b/>
                <w:sz w:val="18"/>
                <w:szCs w:val="18"/>
              </w:rPr>
              <w:t>aircraft</w:t>
            </w:r>
            <w:r w:rsidRPr="00D724E5">
              <w:rPr>
                <w:rFonts w:ascii="Arial" w:hAnsi="Arial" w:cs="Arial"/>
                <w:b/>
                <w:spacing w:val="-3"/>
                <w:sz w:val="18"/>
                <w:szCs w:val="18"/>
              </w:rPr>
              <w:t xml:space="preserve"> </w:t>
            </w:r>
            <w:r w:rsidRPr="00D724E5">
              <w:rPr>
                <w:rFonts w:ascii="Arial" w:hAnsi="Arial" w:cs="Arial"/>
                <w:b/>
                <w:sz w:val="18"/>
                <w:szCs w:val="18"/>
              </w:rPr>
              <w:t>other</w:t>
            </w:r>
            <w:r w:rsidRPr="00D724E5">
              <w:rPr>
                <w:rFonts w:ascii="Arial" w:hAnsi="Arial" w:cs="Arial"/>
                <w:b/>
                <w:spacing w:val="-2"/>
                <w:sz w:val="18"/>
                <w:szCs w:val="18"/>
              </w:rPr>
              <w:t xml:space="preserve"> </w:t>
            </w:r>
            <w:r w:rsidRPr="00D724E5">
              <w:rPr>
                <w:rFonts w:ascii="Arial" w:hAnsi="Arial" w:cs="Arial"/>
                <w:b/>
                <w:sz w:val="18"/>
                <w:szCs w:val="18"/>
              </w:rPr>
              <w:t>than</w:t>
            </w:r>
            <w:r w:rsidRPr="00D724E5">
              <w:rPr>
                <w:rFonts w:ascii="Arial" w:hAnsi="Arial" w:cs="Arial"/>
                <w:b/>
                <w:spacing w:val="-4"/>
                <w:sz w:val="18"/>
                <w:szCs w:val="18"/>
              </w:rPr>
              <w:t xml:space="preserve"> </w:t>
            </w:r>
            <w:r w:rsidRPr="00D724E5">
              <w:rPr>
                <w:rFonts w:ascii="Arial" w:hAnsi="Arial" w:cs="Arial"/>
                <w:b/>
                <w:sz w:val="18"/>
                <w:szCs w:val="18"/>
              </w:rPr>
              <w:t>balloons</w:t>
            </w:r>
          </w:p>
        </w:tc>
      </w:tr>
      <w:tr w:rsidR="002A0714" w:rsidRPr="00D724E5" w14:paraId="07967676" w14:textId="77777777" w:rsidTr="002A0714">
        <w:trPr>
          <w:gridBefore w:val="1"/>
          <w:wBefore w:w="10" w:type="dxa"/>
          <w:trHeight w:val="244"/>
        </w:trPr>
        <w:tc>
          <w:tcPr>
            <w:tcW w:w="430" w:type="dxa"/>
            <w:gridSpan w:val="2"/>
          </w:tcPr>
          <w:p w14:paraId="3D72E95C" w14:textId="77777777" w:rsidR="002A0714" w:rsidRPr="00D724E5" w:rsidRDefault="002A0714" w:rsidP="002A0714">
            <w:pPr>
              <w:pStyle w:val="TableParagraph"/>
              <w:spacing w:line="224" w:lineRule="exact"/>
              <w:ind w:left="80" w:right="86"/>
              <w:jc w:val="center"/>
              <w:rPr>
                <w:rFonts w:ascii="Arial" w:hAnsi="Arial" w:cs="Arial"/>
                <w:sz w:val="18"/>
                <w:szCs w:val="18"/>
              </w:rPr>
            </w:pPr>
            <w:r w:rsidRPr="00D724E5">
              <w:rPr>
                <w:rFonts w:ascii="Arial" w:hAnsi="Arial" w:cs="Arial"/>
                <w:sz w:val="18"/>
                <w:szCs w:val="18"/>
              </w:rPr>
              <w:t>3a</w:t>
            </w:r>
          </w:p>
        </w:tc>
        <w:tc>
          <w:tcPr>
            <w:tcW w:w="2687" w:type="dxa"/>
          </w:tcPr>
          <w:p w14:paraId="7C6F51B3" w14:textId="77777777" w:rsidR="002A0714" w:rsidRPr="00D724E5" w:rsidRDefault="002A0714" w:rsidP="002A0714">
            <w:pPr>
              <w:pStyle w:val="TableParagraph"/>
              <w:spacing w:line="224" w:lineRule="exact"/>
              <w:ind w:left="107"/>
              <w:rPr>
                <w:rFonts w:ascii="Arial" w:hAnsi="Arial" w:cs="Arial"/>
                <w:sz w:val="18"/>
                <w:szCs w:val="18"/>
              </w:rPr>
            </w:pPr>
            <w:r w:rsidRPr="00D724E5">
              <w:rPr>
                <w:rFonts w:ascii="Arial" w:hAnsi="Arial" w:cs="Arial"/>
                <w:sz w:val="18"/>
                <w:szCs w:val="18"/>
              </w:rPr>
              <w:t>Aircraft</w:t>
            </w:r>
            <w:r w:rsidRPr="00D724E5">
              <w:rPr>
                <w:rFonts w:ascii="Arial" w:hAnsi="Arial" w:cs="Arial"/>
                <w:spacing w:val="-3"/>
                <w:sz w:val="18"/>
                <w:szCs w:val="18"/>
              </w:rPr>
              <w:t xml:space="preserve"> </w:t>
            </w:r>
            <w:r w:rsidRPr="00D724E5">
              <w:rPr>
                <w:rFonts w:ascii="Arial" w:hAnsi="Arial" w:cs="Arial"/>
                <w:sz w:val="18"/>
                <w:szCs w:val="18"/>
              </w:rPr>
              <w:t>(other</w:t>
            </w:r>
            <w:r w:rsidRPr="00D724E5">
              <w:rPr>
                <w:rFonts w:ascii="Arial" w:hAnsi="Arial" w:cs="Arial"/>
                <w:spacing w:val="-3"/>
                <w:sz w:val="18"/>
                <w:szCs w:val="18"/>
              </w:rPr>
              <w:t xml:space="preserve"> </w:t>
            </w:r>
            <w:r w:rsidRPr="00D724E5">
              <w:rPr>
                <w:rFonts w:ascii="Arial" w:hAnsi="Arial" w:cs="Arial"/>
                <w:sz w:val="18"/>
                <w:szCs w:val="18"/>
              </w:rPr>
              <w:t>than</w:t>
            </w:r>
            <w:r w:rsidRPr="00D724E5">
              <w:rPr>
                <w:rFonts w:ascii="Arial" w:hAnsi="Arial" w:cs="Arial"/>
                <w:spacing w:val="-2"/>
                <w:sz w:val="18"/>
                <w:szCs w:val="18"/>
              </w:rPr>
              <w:t xml:space="preserve"> </w:t>
            </w:r>
            <w:r w:rsidRPr="00D724E5">
              <w:rPr>
                <w:rFonts w:ascii="Arial" w:hAnsi="Arial" w:cs="Arial"/>
                <w:sz w:val="18"/>
                <w:szCs w:val="18"/>
              </w:rPr>
              <w:t>balloons)</w:t>
            </w:r>
          </w:p>
        </w:tc>
        <w:tc>
          <w:tcPr>
            <w:tcW w:w="1418" w:type="dxa"/>
            <w:gridSpan w:val="2"/>
          </w:tcPr>
          <w:p w14:paraId="559E33B7" w14:textId="77777777" w:rsidR="002A0714" w:rsidRPr="00D724E5" w:rsidRDefault="002A0714" w:rsidP="002A0714">
            <w:pPr>
              <w:pStyle w:val="TableParagraph"/>
              <w:ind w:left="0"/>
              <w:rPr>
                <w:rFonts w:ascii="Arial" w:hAnsi="Arial" w:cs="Arial"/>
                <w:sz w:val="18"/>
                <w:szCs w:val="18"/>
              </w:rPr>
            </w:pPr>
          </w:p>
        </w:tc>
        <w:tc>
          <w:tcPr>
            <w:tcW w:w="4510" w:type="dxa"/>
            <w:gridSpan w:val="6"/>
          </w:tcPr>
          <w:p w14:paraId="3132DEB4" w14:textId="77777777" w:rsidR="002A0714" w:rsidRPr="00D724E5" w:rsidRDefault="002A0714" w:rsidP="002A0714">
            <w:pPr>
              <w:pStyle w:val="TableParagraph"/>
              <w:ind w:left="0"/>
              <w:rPr>
                <w:rFonts w:ascii="Arial" w:hAnsi="Arial" w:cs="Arial"/>
                <w:sz w:val="18"/>
                <w:szCs w:val="18"/>
              </w:rPr>
            </w:pPr>
          </w:p>
        </w:tc>
      </w:tr>
      <w:tr w:rsidR="002A0714" w:rsidRPr="00D724E5" w14:paraId="4F03D916" w14:textId="77777777" w:rsidTr="002A0714">
        <w:trPr>
          <w:gridBefore w:val="1"/>
          <w:wBefore w:w="10" w:type="dxa"/>
          <w:trHeight w:val="244"/>
        </w:trPr>
        <w:tc>
          <w:tcPr>
            <w:tcW w:w="430" w:type="dxa"/>
            <w:gridSpan w:val="2"/>
          </w:tcPr>
          <w:p w14:paraId="324B42E4" w14:textId="77777777" w:rsidR="002A0714" w:rsidRPr="00D724E5" w:rsidRDefault="002A0714" w:rsidP="002A0714">
            <w:pPr>
              <w:pStyle w:val="TableParagraph"/>
              <w:spacing w:line="224" w:lineRule="exact"/>
              <w:ind w:left="86" w:right="86"/>
              <w:jc w:val="center"/>
              <w:rPr>
                <w:rFonts w:ascii="Arial" w:hAnsi="Arial" w:cs="Arial"/>
                <w:sz w:val="18"/>
                <w:szCs w:val="18"/>
              </w:rPr>
            </w:pPr>
            <w:r w:rsidRPr="00D724E5">
              <w:rPr>
                <w:rFonts w:ascii="Arial" w:hAnsi="Arial" w:cs="Arial"/>
                <w:sz w:val="18"/>
                <w:szCs w:val="18"/>
              </w:rPr>
              <w:t>3b</w:t>
            </w:r>
          </w:p>
        </w:tc>
        <w:tc>
          <w:tcPr>
            <w:tcW w:w="2687" w:type="dxa"/>
          </w:tcPr>
          <w:p w14:paraId="0C51FD3F" w14:textId="77777777" w:rsidR="002A0714" w:rsidRPr="00D724E5" w:rsidRDefault="002A0714" w:rsidP="002A0714">
            <w:pPr>
              <w:pStyle w:val="TableParagraph"/>
              <w:spacing w:line="224" w:lineRule="exact"/>
              <w:ind w:left="107"/>
              <w:rPr>
                <w:rFonts w:ascii="Arial" w:hAnsi="Arial" w:cs="Arial"/>
                <w:sz w:val="18"/>
                <w:szCs w:val="18"/>
              </w:rPr>
            </w:pPr>
            <w:r w:rsidRPr="00D724E5">
              <w:rPr>
                <w:rFonts w:ascii="Arial" w:hAnsi="Arial" w:cs="Arial"/>
                <w:sz w:val="18"/>
                <w:szCs w:val="18"/>
              </w:rPr>
              <w:t>Engine</w:t>
            </w:r>
            <w:r w:rsidRPr="00D724E5">
              <w:rPr>
                <w:rFonts w:ascii="Arial" w:hAnsi="Arial" w:cs="Arial"/>
                <w:spacing w:val="-4"/>
                <w:sz w:val="18"/>
                <w:szCs w:val="18"/>
              </w:rPr>
              <w:t xml:space="preserve"> </w:t>
            </w:r>
            <w:r w:rsidRPr="00D724E5">
              <w:rPr>
                <w:rFonts w:ascii="Arial" w:hAnsi="Arial" w:cs="Arial"/>
                <w:sz w:val="18"/>
                <w:szCs w:val="18"/>
              </w:rPr>
              <w:t>(if</w:t>
            </w:r>
            <w:r w:rsidRPr="00D724E5">
              <w:rPr>
                <w:rFonts w:ascii="Arial" w:hAnsi="Arial" w:cs="Arial"/>
                <w:spacing w:val="-4"/>
                <w:sz w:val="18"/>
                <w:szCs w:val="18"/>
              </w:rPr>
              <w:t xml:space="preserve"> </w:t>
            </w:r>
            <w:r w:rsidRPr="00D724E5">
              <w:rPr>
                <w:rFonts w:ascii="Arial" w:hAnsi="Arial" w:cs="Arial"/>
                <w:sz w:val="18"/>
                <w:szCs w:val="18"/>
              </w:rPr>
              <w:t>applicable)</w:t>
            </w:r>
          </w:p>
        </w:tc>
        <w:tc>
          <w:tcPr>
            <w:tcW w:w="1418" w:type="dxa"/>
            <w:gridSpan w:val="2"/>
          </w:tcPr>
          <w:p w14:paraId="406D1A40" w14:textId="77777777" w:rsidR="002A0714" w:rsidRPr="00D724E5" w:rsidRDefault="002A0714" w:rsidP="002A0714">
            <w:pPr>
              <w:pStyle w:val="TableParagraph"/>
              <w:ind w:left="0"/>
              <w:rPr>
                <w:rFonts w:ascii="Arial" w:hAnsi="Arial" w:cs="Arial"/>
                <w:sz w:val="18"/>
                <w:szCs w:val="18"/>
              </w:rPr>
            </w:pPr>
          </w:p>
        </w:tc>
        <w:tc>
          <w:tcPr>
            <w:tcW w:w="4510" w:type="dxa"/>
            <w:gridSpan w:val="6"/>
          </w:tcPr>
          <w:p w14:paraId="3494E437" w14:textId="77777777" w:rsidR="002A0714" w:rsidRPr="00D724E5" w:rsidRDefault="002A0714" w:rsidP="002A0714">
            <w:pPr>
              <w:pStyle w:val="TableParagraph"/>
              <w:ind w:left="0"/>
              <w:rPr>
                <w:rFonts w:ascii="Arial" w:hAnsi="Arial" w:cs="Arial"/>
                <w:sz w:val="18"/>
                <w:szCs w:val="18"/>
              </w:rPr>
            </w:pPr>
          </w:p>
        </w:tc>
      </w:tr>
      <w:tr w:rsidR="002A0714" w:rsidRPr="00D724E5" w14:paraId="4C0A27E2" w14:textId="77777777" w:rsidTr="002A0714">
        <w:trPr>
          <w:gridBefore w:val="1"/>
          <w:wBefore w:w="10" w:type="dxa"/>
          <w:trHeight w:val="244"/>
        </w:trPr>
        <w:tc>
          <w:tcPr>
            <w:tcW w:w="430" w:type="dxa"/>
            <w:gridSpan w:val="2"/>
          </w:tcPr>
          <w:p w14:paraId="61AC094A" w14:textId="77777777" w:rsidR="002A0714" w:rsidRPr="00D724E5" w:rsidRDefault="002A0714" w:rsidP="002A0714">
            <w:pPr>
              <w:pStyle w:val="TableParagraph"/>
              <w:spacing w:line="224" w:lineRule="exact"/>
              <w:ind w:left="69" w:right="86"/>
              <w:jc w:val="center"/>
              <w:rPr>
                <w:rFonts w:ascii="Arial" w:hAnsi="Arial" w:cs="Arial"/>
                <w:sz w:val="18"/>
                <w:szCs w:val="18"/>
              </w:rPr>
            </w:pPr>
            <w:r w:rsidRPr="00D724E5">
              <w:rPr>
                <w:rFonts w:ascii="Arial" w:hAnsi="Arial" w:cs="Arial"/>
                <w:sz w:val="18"/>
                <w:szCs w:val="18"/>
              </w:rPr>
              <w:t>3c</w:t>
            </w:r>
          </w:p>
        </w:tc>
        <w:tc>
          <w:tcPr>
            <w:tcW w:w="2687" w:type="dxa"/>
          </w:tcPr>
          <w:p w14:paraId="1FED5618" w14:textId="77777777" w:rsidR="002A0714" w:rsidRPr="00D724E5" w:rsidRDefault="002A0714" w:rsidP="002A0714">
            <w:pPr>
              <w:pStyle w:val="TableParagraph"/>
              <w:spacing w:line="224" w:lineRule="exact"/>
              <w:ind w:left="107"/>
              <w:rPr>
                <w:rFonts w:ascii="Arial" w:hAnsi="Arial" w:cs="Arial"/>
                <w:sz w:val="18"/>
                <w:szCs w:val="18"/>
              </w:rPr>
            </w:pPr>
            <w:r w:rsidRPr="00D724E5">
              <w:rPr>
                <w:rFonts w:ascii="Arial" w:hAnsi="Arial" w:cs="Arial"/>
                <w:sz w:val="18"/>
                <w:szCs w:val="18"/>
              </w:rPr>
              <w:t>Propeller</w:t>
            </w:r>
            <w:r w:rsidRPr="00D724E5">
              <w:rPr>
                <w:rFonts w:ascii="Arial" w:hAnsi="Arial" w:cs="Arial"/>
                <w:spacing w:val="-3"/>
                <w:sz w:val="18"/>
                <w:szCs w:val="18"/>
              </w:rPr>
              <w:t xml:space="preserve"> </w:t>
            </w:r>
            <w:r w:rsidRPr="00D724E5">
              <w:rPr>
                <w:rFonts w:ascii="Arial" w:hAnsi="Arial" w:cs="Arial"/>
                <w:sz w:val="18"/>
                <w:szCs w:val="18"/>
              </w:rPr>
              <w:t>(if</w:t>
            </w:r>
            <w:r w:rsidRPr="00D724E5">
              <w:rPr>
                <w:rFonts w:ascii="Arial" w:hAnsi="Arial" w:cs="Arial"/>
                <w:spacing w:val="-5"/>
                <w:sz w:val="18"/>
                <w:szCs w:val="18"/>
              </w:rPr>
              <w:t xml:space="preserve"> </w:t>
            </w:r>
            <w:r w:rsidRPr="00D724E5">
              <w:rPr>
                <w:rFonts w:ascii="Arial" w:hAnsi="Arial" w:cs="Arial"/>
                <w:sz w:val="18"/>
                <w:szCs w:val="18"/>
              </w:rPr>
              <w:t>applicable)</w:t>
            </w:r>
          </w:p>
        </w:tc>
        <w:tc>
          <w:tcPr>
            <w:tcW w:w="1418" w:type="dxa"/>
            <w:gridSpan w:val="2"/>
          </w:tcPr>
          <w:p w14:paraId="6F0C9402" w14:textId="77777777" w:rsidR="002A0714" w:rsidRPr="00D724E5" w:rsidRDefault="002A0714" w:rsidP="002A0714">
            <w:pPr>
              <w:pStyle w:val="TableParagraph"/>
              <w:ind w:left="0"/>
              <w:rPr>
                <w:rFonts w:ascii="Arial" w:hAnsi="Arial" w:cs="Arial"/>
                <w:sz w:val="18"/>
                <w:szCs w:val="18"/>
              </w:rPr>
            </w:pPr>
          </w:p>
        </w:tc>
        <w:tc>
          <w:tcPr>
            <w:tcW w:w="4510" w:type="dxa"/>
            <w:gridSpan w:val="6"/>
          </w:tcPr>
          <w:p w14:paraId="509700E5" w14:textId="77777777" w:rsidR="002A0714" w:rsidRPr="00D724E5" w:rsidRDefault="002A0714" w:rsidP="002A0714">
            <w:pPr>
              <w:pStyle w:val="TableParagraph"/>
              <w:ind w:left="0"/>
              <w:rPr>
                <w:rFonts w:ascii="Arial" w:hAnsi="Arial" w:cs="Arial"/>
                <w:sz w:val="18"/>
                <w:szCs w:val="18"/>
              </w:rPr>
            </w:pPr>
          </w:p>
        </w:tc>
      </w:tr>
      <w:tr w:rsidR="002A0714" w:rsidRPr="00D724E5" w14:paraId="36FFDEC0" w14:textId="77777777" w:rsidTr="002A0714">
        <w:trPr>
          <w:gridBefore w:val="1"/>
          <w:wBefore w:w="10" w:type="dxa"/>
          <w:trHeight w:val="244"/>
        </w:trPr>
        <w:tc>
          <w:tcPr>
            <w:tcW w:w="9045" w:type="dxa"/>
            <w:gridSpan w:val="11"/>
          </w:tcPr>
          <w:p w14:paraId="3CA8E903" w14:textId="77777777" w:rsidR="002A0714" w:rsidRPr="00D724E5" w:rsidRDefault="002A0714" w:rsidP="002A0714">
            <w:pPr>
              <w:pStyle w:val="TableParagraph"/>
              <w:spacing w:line="224" w:lineRule="exact"/>
              <w:ind w:left="107"/>
              <w:rPr>
                <w:rFonts w:ascii="Arial" w:hAnsi="Arial" w:cs="Arial"/>
                <w:b/>
                <w:sz w:val="18"/>
                <w:szCs w:val="18"/>
              </w:rPr>
            </w:pPr>
            <w:r w:rsidRPr="00D724E5">
              <w:rPr>
                <w:rFonts w:ascii="Arial" w:hAnsi="Arial" w:cs="Arial"/>
                <w:b/>
                <w:sz w:val="18"/>
                <w:szCs w:val="18"/>
              </w:rPr>
              <w:t>For</w:t>
            </w:r>
            <w:r w:rsidRPr="00D724E5">
              <w:rPr>
                <w:rFonts w:ascii="Arial" w:hAnsi="Arial" w:cs="Arial"/>
                <w:b/>
                <w:spacing w:val="-2"/>
                <w:sz w:val="18"/>
                <w:szCs w:val="18"/>
              </w:rPr>
              <w:t xml:space="preserve"> </w:t>
            </w:r>
            <w:r w:rsidRPr="00D724E5">
              <w:rPr>
                <w:rFonts w:ascii="Arial" w:hAnsi="Arial" w:cs="Arial"/>
                <w:b/>
                <w:sz w:val="18"/>
                <w:szCs w:val="18"/>
              </w:rPr>
              <w:t>balloons</w:t>
            </w:r>
          </w:p>
        </w:tc>
      </w:tr>
      <w:tr w:rsidR="002A0714" w:rsidRPr="00D724E5" w14:paraId="357ACE4B" w14:textId="77777777" w:rsidTr="002A0714">
        <w:trPr>
          <w:gridBefore w:val="1"/>
          <w:wBefore w:w="10" w:type="dxa"/>
          <w:trHeight w:val="245"/>
        </w:trPr>
        <w:tc>
          <w:tcPr>
            <w:tcW w:w="430" w:type="dxa"/>
            <w:gridSpan w:val="2"/>
          </w:tcPr>
          <w:p w14:paraId="11112A3E" w14:textId="77777777" w:rsidR="002A0714" w:rsidRPr="00D724E5" w:rsidRDefault="002A0714" w:rsidP="002A0714">
            <w:pPr>
              <w:pStyle w:val="TableParagraph"/>
              <w:spacing w:line="225" w:lineRule="exact"/>
              <w:ind w:left="86" w:right="86"/>
              <w:jc w:val="center"/>
              <w:rPr>
                <w:rFonts w:ascii="Arial" w:hAnsi="Arial" w:cs="Arial"/>
                <w:sz w:val="18"/>
                <w:szCs w:val="18"/>
              </w:rPr>
            </w:pPr>
            <w:r w:rsidRPr="00D724E5">
              <w:rPr>
                <w:rFonts w:ascii="Arial" w:hAnsi="Arial" w:cs="Arial"/>
                <w:sz w:val="18"/>
                <w:szCs w:val="18"/>
              </w:rPr>
              <w:t>3d</w:t>
            </w:r>
          </w:p>
        </w:tc>
        <w:tc>
          <w:tcPr>
            <w:tcW w:w="2687" w:type="dxa"/>
          </w:tcPr>
          <w:p w14:paraId="5A8E52BB" w14:textId="77777777" w:rsidR="002A0714" w:rsidRPr="00D724E5" w:rsidRDefault="002A0714" w:rsidP="002A0714">
            <w:pPr>
              <w:pStyle w:val="TableParagraph"/>
              <w:spacing w:line="225" w:lineRule="exact"/>
              <w:ind w:left="107"/>
              <w:rPr>
                <w:rFonts w:ascii="Arial" w:hAnsi="Arial" w:cs="Arial"/>
                <w:sz w:val="18"/>
                <w:szCs w:val="18"/>
              </w:rPr>
            </w:pPr>
            <w:r w:rsidRPr="00D724E5">
              <w:rPr>
                <w:rFonts w:ascii="Arial" w:hAnsi="Arial" w:cs="Arial"/>
                <w:sz w:val="18"/>
                <w:szCs w:val="18"/>
              </w:rPr>
              <w:t>Envelope</w:t>
            </w:r>
            <w:r w:rsidRPr="00D724E5">
              <w:rPr>
                <w:rFonts w:ascii="Arial" w:hAnsi="Arial" w:cs="Arial"/>
                <w:spacing w:val="-5"/>
                <w:sz w:val="18"/>
                <w:szCs w:val="18"/>
              </w:rPr>
              <w:t xml:space="preserve"> </w:t>
            </w:r>
            <w:r w:rsidRPr="00D724E5">
              <w:rPr>
                <w:rFonts w:ascii="Arial" w:hAnsi="Arial" w:cs="Arial"/>
                <w:sz w:val="18"/>
                <w:szCs w:val="18"/>
              </w:rPr>
              <w:t>(only</w:t>
            </w:r>
            <w:r w:rsidRPr="00D724E5">
              <w:rPr>
                <w:rFonts w:ascii="Arial" w:hAnsi="Arial" w:cs="Arial"/>
                <w:spacing w:val="-3"/>
                <w:sz w:val="18"/>
                <w:szCs w:val="18"/>
              </w:rPr>
              <w:t xml:space="preserve"> </w:t>
            </w:r>
            <w:r w:rsidRPr="00D724E5">
              <w:rPr>
                <w:rFonts w:ascii="Arial" w:hAnsi="Arial" w:cs="Arial"/>
                <w:sz w:val="18"/>
                <w:szCs w:val="18"/>
              </w:rPr>
              <w:t>for</w:t>
            </w:r>
            <w:r w:rsidRPr="00D724E5">
              <w:rPr>
                <w:rFonts w:ascii="Arial" w:hAnsi="Arial" w:cs="Arial"/>
                <w:spacing w:val="-4"/>
                <w:sz w:val="18"/>
                <w:szCs w:val="18"/>
              </w:rPr>
              <w:t xml:space="preserve"> </w:t>
            </w:r>
            <w:r w:rsidRPr="00D724E5">
              <w:rPr>
                <w:rFonts w:ascii="Arial" w:hAnsi="Arial" w:cs="Arial"/>
                <w:sz w:val="18"/>
                <w:szCs w:val="18"/>
              </w:rPr>
              <w:t>balloons)</w:t>
            </w:r>
          </w:p>
        </w:tc>
        <w:tc>
          <w:tcPr>
            <w:tcW w:w="1418" w:type="dxa"/>
            <w:gridSpan w:val="2"/>
          </w:tcPr>
          <w:p w14:paraId="2108B158" w14:textId="77777777" w:rsidR="002A0714" w:rsidRPr="00D724E5" w:rsidRDefault="002A0714" w:rsidP="002A0714">
            <w:pPr>
              <w:pStyle w:val="TableParagraph"/>
              <w:ind w:left="0"/>
              <w:rPr>
                <w:rFonts w:ascii="Arial" w:hAnsi="Arial" w:cs="Arial"/>
                <w:sz w:val="18"/>
                <w:szCs w:val="18"/>
              </w:rPr>
            </w:pPr>
          </w:p>
        </w:tc>
        <w:tc>
          <w:tcPr>
            <w:tcW w:w="4510" w:type="dxa"/>
            <w:gridSpan w:val="6"/>
          </w:tcPr>
          <w:p w14:paraId="6588358A" w14:textId="77777777" w:rsidR="002A0714" w:rsidRPr="00D724E5" w:rsidRDefault="002A0714" w:rsidP="002A0714">
            <w:pPr>
              <w:pStyle w:val="TableParagraph"/>
              <w:ind w:left="0"/>
              <w:rPr>
                <w:rFonts w:ascii="Arial" w:hAnsi="Arial" w:cs="Arial"/>
                <w:sz w:val="18"/>
                <w:szCs w:val="18"/>
              </w:rPr>
            </w:pPr>
          </w:p>
        </w:tc>
      </w:tr>
      <w:tr w:rsidR="002A0714" w:rsidRPr="00D724E5" w14:paraId="72396DE1" w14:textId="77777777" w:rsidTr="002A0714">
        <w:trPr>
          <w:gridBefore w:val="1"/>
          <w:wBefore w:w="10" w:type="dxa"/>
          <w:trHeight w:val="244"/>
        </w:trPr>
        <w:tc>
          <w:tcPr>
            <w:tcW w:w="430" w:type="dxa"/>
            <w:gridSpan w:val="2"/>
            <w:vMerge w:val="restart"/>
          </w:tcPr>
          <w:p w14:paraId="4348E0F2" w14:textId="77777777" w:rsidR="002A0714" w:rsidRPr="00D724E5" w:rsidRDefault="002A0714" w:rsidP="002A0714">
            <w:pPr>
              <w:pStyle w:val="TableParagraph"/>
              <w:spacing w:line="243" w:lineRule="exact"/>
              <w:ind w:left="107"/>
              <w:rPr>
                <w:rFonts w:ascii="Arial" w:hAnsi="Arial" w:cs="Arial"/>
                <w:sz w:val="18"/>
                <w:szCs w:val="18"/>
              </w:rPr>
            </w:pPr>
            <w:r w:rsidRPr="00D724E5">
              <w:rPr>
                <w:rFonts w:ascii="Arial" w:hAnsi="Arial" w:cs="Arial"/>
                <w:sz w:val="18"/>
                <w:szCs w:val="18"/>
              </w:rPr>
              <w:t>3e</w:t>
            </w:r>
          </w:p>
        </w:tc>
        <w:tc>
          <w:tcPr>
            <w:tcW w:w="2687" w:type="dxa"/>
            <w:vMerge w:val="restart"/>
          </w:tcPr>
          <w:p w14:paraId="5DEA8B9D" w14:textId="77777777" w:rsidR="002A0714" w:rsidRPr="00D724E5" w:rsidRDefault="002A0714" w:rsidP="002A0714">
            <w:pPr>
              <w:pStyle w:val="TableParagraph"/>
              <w:spacing w:line="243" w:lineRule="exact"/>
              <w:ind w:left="107"/>
              <w:rPr>
                <w:rFonts w:ascii="Arial" w:hAnsi="Arial" w:cs="Arial"/>
                <w:sz w:val="18"/>
                <w:szCs w:val="18"/>
              </w:rPr>
            </w:pPr>
            <w:r w:rsidRPr="00D724E5">
              <w:rPr>
                <w:rFonts w:ascii="Arial" w:hAnsi="Arial" w:cs="Arial"/>
                <w:sz w:val="18"/>
                <w:szCs w:val="18"/>
              </w:rPr>
              <w:t>Basket(s)</w:t>
            </w:r>
            <w:r w:rsidRPr="00D724E5">
              <w:rPr>
                <w:rFonts w:ascii="Arial" w:hAnsi="Arial" w:cs="Arial"/>
                <w:spacing w:val="-4"/>
                <w:sz w:val="18"/>
                <w:szCs w:val="18"/>
              </w:rPr>
              <w:t xml:space="preserve"> </w:t>
            </w:r>
            <w:r w:rsidRPr="00D724E5">
              <w:rPr>
                <w:rFonts w:ascii="Arial" w:hAnsi="Arial" w:cs="Arial"/>
                <w:sz w:val="18"/>
                <w:szCs w:val="18"/>
              </w:rPr>
              <w:t>(only</w:t>
            </w:r>
            <w:r w:rsidRPr="00D724E5">
              <w:rPr>
                <w:rFonts w:ascii="Arial" w:hAnsi="Arial" w:cs="Arial"/>
                <w:spacing w:val="-3"/>
                <w:sz w:val="18"/>
                <w:szCs w:val="18"/>
              </w:rPr>
              <w:t xml:space="preserve"> </w:t>
            </w:r>
            <w:r w:rsidRPr="00D724E5">
              <w:rPr>
                <w:rFonts w:ascii="Arial" w:hAnsi="Arial" w:cs="Arial"/>
                <w:sz w:val="18"/>
                <w:szCs w:val="18"/>
              </w:rPr>
              <w:t>for</w:t>
            </w:r>
            <w:r w:rsidRPr="00D724E5">
              <w:rPr>
                <w:rFonts w:ascii="Arial" w:hAnsi="Arial" w:cs="Arial"/>
                <w:spacing w:val="-2"/>
                <w:sz w:val="18"/>
                <w:szCs w:val="18"/>
              </w:rPr>
              <w:t xml:space="preserve"> </w:t>
            </w:r>
            <w:r w:rsidRPr="00D724E5">
              <w:rPr>
                <w:rFonts w:ascii="Arial" w:hAnsi="Arial" w:cs="Arial"/>
                <w:sz w:val="18"/>
                <w:szCs w:val="18"/>
              </w:rPr>
              <w:t>balloons)</w:t>
            </w:r>
          </w:p>
        </w:tc>
        <w:tc>
          <w:tcPr>
            <w:tcW w:w="1418" w:type="dxa"/>
            <w:gridSpan w:val="2"/>
          </w:tcPr>
          <w:p w14:paraId="09FAEEDD" w14:textId="77777777" w:rsidR="002A0714" w:rsidRPr="00D724E5" w:rsidRDefault="002A0714" w:rsidP="002A0714">
            <w:pPr>
              <w:pStyle w:val="TableParagraph"/>
              <w:ind w:left="0"/>
              <w:rPr>
                <w:rFonts w:ascii="Arial" w:hAnsi="Arial" w:cs="Arial"/>
                <w:sz w:val="18"/>
                <w:szCs w:val="18"/>
              </w:rPr>
            </w:pPr>
          </w:p>
        </w:tc>
        <w:tc>
          <w:tcPr>
            <w:tcW w:w="4510" w:type="dxa"/>
            <w:gridSpan w:val="6"/>
          </w:tcPr>
          <w:p w14:paraId="7AAA4C2E" w14:textId="77777777" w:rsidR="002A0714" w:rsidRPr="00D724E5" w:rsidRDefault="002A0714" w:rsidP="002A0714">
            <w:pPr>
              <w:pStyle w:val="TableParagraph"/>
              <w:ind w:left="0"/>
              <w:rPr>
                <w:rFonts w:ascii="Arial" w:hAnsi="Arial" w:cs="Arial"/>
                <w:sz w:val="18"/>
                <w:szCs w:val="18"/>
              </w:rPr>
            </w:pPr>
          </w:p>
        </w:tc>
      </w:tr>
      <w:tr w:rsidR="002A0714" w:rsidRPr="00D724E5" w14:paraId="14C6EAFA" w14:textId="77777777" w:rsidTr="002A0714">
        <w:trPr>
          <w:gridBefore w:val="1"/>
          <w:wBefore w:w="10" w:type="dxa"/>
          <w:trHeight w:val="244"/>
        </w:trPr>
        <w:tc>
          <w:tcPr>
            <w:tcW w:w="430" w:type="dxa"/>
            <w:gridSpan w:val="2"/>
            <w:vMerge/>
            <w:tcBorders>
              <w:top w:val="nil"/>
            </w:tcBorders>
          </w:tcPr>
          <w:p w14:paraId="2039439B" w14:textId="77777777" w:rsidR="002A0714" w:rsidRPr="00D724E5" w:rsidRDefault="002A0714" w:rsidP="002A0714">
            <w:pPr>
              <w:rPr>
                <w:rFonts w:ascii="Arial" w:hAnsi="Arial" w:cs="Arial"/>
                <w:sz w:val="18"/>
                <w:szCs w:val="18"/>
              </w:rPr>
            </w:pPr>
          </w:p>
        </w:tc>
        <w:tc>
          <w:tcPr>
            <w:tcW w:w="2687" w:type="dxa"/>
            <w:vMerge/>
            <w:tcBorders>
              <w:top w:val="nil"/>
            </w:tcBorders>
          </w:tcPr>
          <w:p w14:paraId="4FE35651" w14:textId="77777777" w:rsidR="002A0714" w:rsidRPr="00D724E5" w:rsidRDefault="002A0714" w:rsidP="002A0714">
            <w:pPr>
              <w:rPr>
                <w:rFonts w:ascii="Arial" w:hAnsi="Arial" w:cs="Arial"/>
                <w:sz w:val="18"/>
                <w:szCs w:val="18"/>
              </w:rPr>
            </w:pPr>
          </w:p>
        </w:tc>
        <w:tc>
          <w:tcPr>
            <w:tcW w:w="1418" w:type="dxa"/>
            <w:gridSpan w:val="2"/>
          </w:tcPr>
          <w:p w14:paraId="5F73466D" w14:textId="77777777" w:rsidR="002A0714" w:rsidRPr="00D724E5" w:rsidRDefault="002A0714" w:rsidP="002A0714">
            <w:pPr>
              <w:pStyle w:val="TableParagraph"/>
              <w:ind w:left="0"/>
              <w:rPr>
                <w:rFonts w:ascii="Arial" w:hAnsi="Arial" w:cs="Arial"/>
                <w:sz w:val="18"/>
                <w:szCs w:val="18"/>
              </w:rPr>
            </w:pPr>
          </w:p>
        </w:tc>
        <w:tc>
          <w:tcPr>
            <w:tcW w:w="4510" w:type="dxa"/>
            <w:gridSpan w:val="6"/>
          </w:tcPr>
          <w:p w14:paraId="6461BE1A" w14:textId="77777777" w:rsidR="002A0714" w:rsidRPr="00D724E5" w:rsidRDefault="002A0714" w:rsidP="002A0714">
            <w:pPr>
              <w:pStyle w:val="TableParagraph"/>
              <w:ind w:left="0"/>
              <w:rPr>
                <w:rFonts w:ascii="Arial" w:hAnsi="Arial" w:cs="Arial"/>
                <w:sz w:val="18"/>
                <w:szCs w:val="18"/>
              </w:rPr>
            </w:pPr>
          </w:p>
        </w:tc>
      </w:tr>
      <w:tr w:rsidR="002A0714" w:rsidRPr="00D724E5" w14:paraId="73CDAB86" w14:textId="77777777" w:rsidTr="002A0714">
        <w:trPr>
          <w:gridBefore w:val="1"/>
          <w:wBefore w:w="10" w:type="dxa"/>
          <w:trHeight w:val="241"/>
        </w:trPr>
        <w:tc>
          <w:tcPr>
            <w:tcW w:w="430" w:type="dxa"/>
            <w:gridSpan w:val="2"/>
            <w:vMerge w:val="restart"/>
          </w:tcPr>
          <w:p w14:paraId="2E313224" w14:textId="77777777" w:rsidR="002A0714" w:rsidRPr="00D724E5" w:rsidRDefault="002A0714" w:rsidP="002A0714">
            <w:pPr>
              <w:pStyle w:val="TableParagraph"/>
              <w:spacing w:line="243" w:lineRule="exact"/>
              <w:ind w:left="107"/>
              <w:rPr>
                <w:rFonts w:ascii="Arial" w:hAnsi="Arial" w:cs="Arial"/>
                <w:sz w:val="18"/>
                <w:szCs w:val="18"/>
              </w:rPr>
            </w:pPr>
            <w:r w:rsidRPr="00D724E5">
              <w:rPr>
                <w:rFonts w:ascii="Arial" w:hAnsi="Arial" w:cs="Arial"/>
                <w:sz w:val="18"/>
                <w:szCs w:val="18"/>
              </w:rPr>
              <w:t>3f</w:t>
            </w:r>
          </w:p>
        </w:tc>
        <w:tc>
          <w:tcPr>
            <w:tcW w:w="2687" w:type="dxa"/>
            <w:vMerge w:val="restart"/>
          </w:tcPr>
          <w:p w14:paraId="305D6732" w14:textId="77777777" w:rsidR="002A0714" w:rsidRPr="00D724E5" w:rsidRDefault="002A0714" w:rsidP="002A0714">
            <w:pPr>
              <w:pStyle w:val="TableParagraph"/>
              <w:spacing w:line="243" w:lineRule="exact"/>
              <w:ind w:left="107"/>
              <w:rPr>
                <w:rFonts w:ascii="Arial" w:hAnsi="Arial" w:cs="Arial"/>
                <w:sz w:val="18"/>
                <w:szCs w:val="18"/>
              </w:rPr>
            </w:pPr>
            <w:r w:rsidRPr="00D724E5">
              <w:rPr>
                <w:rFonts w:ascii="Arial" w:hAnsi="Arial" w:cs="Arial"/>
                <w:sz w:val="18"/>
                <w:szCs w:val="18"/>
              </w:rPr>
              <w:t>Burner(s)</w:t>
            </w:r>
            <w:r w:rsidRPr="00D724E5">
              <w:rPr>
                <w:rFonts w:ascii="Arial" w:hAnsi="Arial" w:cs="Arial"/>
                <w:spacing w:val="-4"/>
                <w:sz w:val="18"/>
                <w:szCs w:val="18"/>
              </w:rPr>
              <w:t xml:space="preserve"> </w:t>
            </w:r>
            <w:r w:rsidRPr="00D724E5">
              <w:rPr>
                <w:rFonts w:ascii="Arial" w:hAnsi="Arial" w:cs="Arial"/>
                <w:sz w:val="18"/>
                <w:szCs w:val="18"/>
              </w:rPr>
              <w:t>(only</w:t>
            </w:r>
            <w:r w:rsidRPr="00D724E5">
              <w:rPr>
                <w:rFonts w:ascii="Arial" w:hAnsi="Arial" w:cs="Arial"/>
                <w:spacing w:val="-4"/>
                <w:sz w:val="18"/>
                <w:szCs w:val="18"/>
              </w:rPr>
              <w:t xml:space="preserve"> </w:t>
            </w:r>
            <w:r w:rsidRPr="00D724E5">
              <w:rPr>
                <w:rFonts w:ascii="Arial" w:hAnsi="Arial" w:cs="Arial"/>
                <w:sz w:val="18"/>
                <w:szCs w:val="18"/>
              </w:rPr>
              <w:t>for</w:t>
            </w:r>
            <w:r w:rsidRPr="00D724E5">
              <w:rPr>
                <w:rFonts w:ascii="Arial" w:hAnsi="Arial" w:cs="Arial"/>
                <w:spacing w:val="-3"/>
                <w:sz w:val="18"/>
                <w:szCs w:val="18"/>
              </w:rPr>
              <w:t xml:space="preserve"> </w:t>
            </w:r>
            <w:r w:rsidRPr="00D724E5">
              <w:rPr>
                <w:rFonts w:ascii="Arial" w:hAnsi="Arial" w:cs="Arial"/>
                <w:sz w:val="18"/>
                <w:szCs w:val="18"/>
              </w:rPr>
              <w:t>balloons)</w:t>
            </w:r>
          </w:p>
        </w:tc>
        <w:tc>
          <w:tcPr>
            <w:tcW w:w="1418" w:type="dxa"/>
            <w:gridSpan w:val="2"/>
          </w:tcPr>
          <w:p w14:paraId="0A4CB405" w14:textId="77777777" w:rsidR="002A0714" w:rsidRPr="00D724E5" w:rsidRDefault="002A0714" w:rsidP="002A0714">
            <w:pPr>
              <w:pStyle w:val="TableParagraph"/>
              <w:ind w:left="0"/>
              <w:rPr>
                <w:rFonts w:ascii="Arial" w:hAnsi="Arial" w:cs="Arial"/>
                <w:sz w:val="18"/>
                <w:szCs w:val="18"/>
              </w:rPr>
            </w:pPr>
          </w:p>
        </w:tc>
        <w:tc>
          <w:tcPr>
            <w:tcW w:w="4510" w:type="dxa"/>
            <w:gridSpan w:val="6"/>
          </w:tcPr>
          <w:p w14:paraId="3BA2E8E7" w14:textId="77777777" w:rsidR="002A0714" w:rsidRPr="00D724E5" w:rsidRDefault="002A0714" w:rsidP="002A0714">
            <w:pPr>
              <w:pStyle w:val="TableParagraph"/>
              <w:ind w:left="0"/>
              <w:rPr>
                <w:rFonts w:ascii="Arial" w:hAnsi="Arial" w:cs="Arial"/>
                <w:sz w:val="18"/>
                <w:szCs w:val="18"/>
              </w:rPr>
            </w:pPr>
          </w:p>
        </w:tc>
      </w:tr>
      <w:tr w:rsidR="002A0714" w:rsidRPr="00D724E5" w14:paraId="67AA62DE" w14:textId="77777777" w:rsidTr="002A0714">
        <w:trPr>
          <w:gridBefore w:val="1"/>
          <w:wBefore w:w="10" w:type="dxa"/>
          <w:trHeight w:val="244"/>
        </w:trPr>
        <w:tc>
          <w:tcPr>
            <w:tcW w:w="430" w:type="dxa"/>
            <w:gridSpan w:val="2"/>
            <w:vMerge/>
            <w:tcBorders>
              <w:top w:val="nil"/>
            </w:tcBorders>
          </w:tcPr>
          <w:p w14:paraId="343A2A11" w14:textId="77777777" w:rsidR="002A0714" w:rsidRPr="00D724E5" w:rsidRDefault="002A0714" w:rsidP="002A0714">
            <w:pPr>
              <w:rPr>
                <w:rFonts w:ascii="Arial" w:hAnsi="Arial" w:cs="Arial"/>
                <w:sz w:val="18"/>
                <w:szCs w:val="18"/>
              </w:rPr>
            </w:pPr>
          </w:p>
        </w:tc>
        <w:tc>
          <w:tcPr>
            <w:tcW w:w="2687" w:type="dxa"/>
            <w:vMerge/>
            <w:tcBorders>
              <w:top w:val="nil"/>
            </w:tcBorders>
          </w:tcPr>
          <w:p w14:paraId="366CA7B7" w14:textId="77777777" w:rsidR="002A0714" w:rsidRPr="00D724E5" w:rsidRDefault="002A0714" w:rsidP="002A0714">
            <w:pPr>
              <w:rPr>
                <w:rFonts w:ascii="Arial" w:hAnsi="Arial" w:cs="Arial"/>
                <w:sz w:val="18"/>
                <w:szCs w:val="18"/>
              </w:rPr>
            </w:pPr>
          </w:p>
        </w:tc>
        <w:tc>
          <w:tcPr>
            <w:tcW w:w="1418" w:type="dxa"/>
            <w:gridSpan w:val="2"/>
          </w:tcPr>
          <w:p w14:paraId="016AF3A5" w14:textId="77777777" w:rsidR="002A0714" w:rsidRPr="00D724E5" w:rsidRDefault="002A0714" w:rsidP="002A0714">
            <w:pPr>
              <w:pStyle w:val="TableParagraph"/>
              <w:ind w:left="0"/>
              <w:rPr>
                <w:rFonts w:ascii="Arial" w:hAnsi="Arial" w:cs="Arial"/>
                <w:sz w:val="18"/>
                <w:szCs w:val="18"/>
              </w:rPr>
            </w:pPr>
          </w:p>
        </w:tc>
        <w:tc>
          <w:tcPr>
            <w:tcW w:w="4510" w:type="dxa"/>
            <w:gridSpan w:val="6"/>
          </w:tcPr>
          <w:p w14:paraId="7F11C473" w14:textId="77777777" w:rsidR="002A0714" w:rsidRPr="00D724E5" w:rsidRDefault="002A0714" w:rsidP="002A0714">
            <w:pPr>
              <w:pStyle w:val="TableParagraph"/>
              <w:ind w:left="0"/>
              <w:rPr>
                <w:rFonts w:ascii="Arial" w:hAnsi="Arial" w:cs="Arial"/>
                <w:sz w:val="18"/>
                <w:szCs w:val="18"/>
              </w:rPr>
            </w:pPr>
          </w:p>
        </w:tc>
      </w:tr>
      <w:tr w:rsidR="002A0714" w:rsidRPr="00D724E5" w14:paraId="622FCC51" w14:textId="77777777" w:rsidTr="002A0714">
        <w:trPr>
          <w:gridBefore w:val="1"/>
          <w:wBefore w:w="10" w:type="dxa"/>
          <w:trHeight w:val="244"/>
        </w:trPr>
        <w:tc>
          <w:tcPr>
            <w:tcW w:w="430" w:type="dxa"/>
            <w:gridSpan w:val="2"/>
            <w:vMerge w:val="restart"/>
          </w:tcPr>
          <w:p w14:paraId="0E9FC408" w14:textId="77777777" w:rsidR="002A0714" w:rsidRPr="00D724E5" w:rsidRDefault="002A0714" w:rsidP="002A0714">
            <w:pPr>
              <w:pStyle w:val="TableParagraph"/>
              <w:spacing w:before="1"/>
              <w:ind w:left="107"/>
              <w:rPr>
                <w:rFonts w:ascii="Arial" w:hAnsi="Arial" w:cs="Arial"/>
                <w:sz w:val="18"/>
                <w:szCs w:val="18"/>
              </w:rPr>
            </w:pPr>
            <w:r w:rsidRPr="00D724E5">
              <w:rPr>
                <w:rFonts w:ascii="Arial" w:hAnsi="Arial" w:cs="Arial"/>
                <w:sz w:val="18"/>
                <w:szCs w:val="18"/>
              </w:rPr>
              <w:t>3g</w:t>
            </w:r>
          </w:p>
        </w:tc>
        <w:tc>
          <w:tcPr>
            <w:tcW w:w="2687" w:type="dxa"/>
            <w:vMerge w:val="restart"/>
          </w:tcPr>
          <w:p w14:paraId="2230112B" w14:textId="77777777" w:rsidR="002A0714" w:rsidRPr="00D724E5" w:rsidRDefault="002A0714" w:rsidP="002A0714">
            <w:pPr>
              <w:pStyle w:val="TableParagraph"/>
              <w:spacing w:before="1" w:line="243" w:lineRule="exact"/>
              <w:ind w:left="107"/>
              <w:rPr>
                <w:rFonts w:ascii="Arial" w:hAnsi="Arial" w:cs="Arial"/>
                <w:sz w:val="18"/>
                <w:szCs w:val="18"/>
              </w:rPr>
            </w:pPr>
            <w:r w:rsidRPr="00D724E5">
              <w:rPr>
                <w:rFonts w:ascii="Arial" w:hAnsi="Arial" w:cs="Arial"/>
                <w:sz w:val="18"/>
                <w:szCs w:val="18"/>
              </w:rPr>
              <w:t>Fuel</w:t>
            </w:r>
            <w:r w:rsidRPr="00D724E5">
              <w:rPr>
                <w:rFonts w:ascii="Arial" w:hAnsi="Arial" w:cs="Arial"/>
                <w:spacing w:val="-4"/>
                <w:sz w:val="18"/>
                <w:szCs w:val="18"/>
              </w:rPr>
              <w:t xml:space="preserve"> </w:t>
            </w:r>
            <w:r w:rsidRPr="00D724E5">
              <w:rPr>
                <w:rFonts w:ascii="Arial" w:hAnsi="Arial" w:cs="Arial"/>
                <w:sz w:val="18"/>
                <w:szCs w:val="18"/>
              </w:rPr>
              <w:t>cylinders</w:t>
            </w:r>
            <w:r w:rsidRPr="00D724E5">
              <w:rPr>
                <w:rFonts w:ascii="Arial" w:hAnsi="Arial" w:cs="Arial"/>
                <w:spacing w:val="-2"/>
                <w:sz w:val="18"/>
                <w:szCs w:val="18"/>
              </w:rPr>
              <w:t xml:space="preserve"> </w:t>
            </w:r>
            <w:r w:rsidRPr="00D724E5">
              <w:rPr>
                <w:rFonts w:ascii="Arial" w:hAnsi="Arial" w:cs="Arial"/>
                <w:sz w:val="18"/>
                <w:szCs w:val="18"/>
              </w:rPr>
              <w:t>(only</w:t>
            </w:r>
            <w:r w:rsidRPr="00D724E5">
              <w:rPr>
                <w:rFonts w:ascii="Arial" w:hAnsi="Arial" w:cs="Arial"/>
                <w:spacing w:val="-3"/>
                <w:sz w:val="18"/>
                <w:szCs w:val="18"/>
              </w:rPr>
              <w:t xml:space="preserve"> </w:t>
            </w:r>
            <w:r w:rsidRPr="00D724E5">
              <w:rPr>
                <w:rFonts w:ascii="Arial" w:hAnsi="Arial" w:cs="Arial"/>
                <w:sz w:val="18"/>
                <w:szCs w:val="18"/>
              </w:rPr>
              <w:t>for</w:t>
            </w:r>
          </w:p>
          <w:p w14:paraId="290F632F" w14:textId="77777777" w:rsidR="002A0714" w:rsidRPr="00D724E5" w:rsidRDefault="002A0714" w:rsidP="002A0714">
            <w:pPr>
              <w:pStyle w:val="TableParagraph"/>
              <w:spacing w:line="234" w:lineRule="exact"/>
              <w:ind w:left="107"/>
              <w:rPr>
                <w:rFonts w:ascii="Arial" w:hAnsi="Arial" w:cs="Arial"/>
                <w:sz w:val="18"/>
                <w:szCs w:val="18"/>
              </w:rPr>
            </w:pPr>
            <w:r w:rsidRPr="00D724E5">
              <w:rPr>
                <w:rFonts w:ascii="Arial" w:hAnsi="Arial" w:cs="Arial"/>
                <w:sz w:val="18"/>
                <w:szCs w:val="18"/>
              </w:rPr>
              <w:t>balloons)</w:t>
            </w:r>
          </w:p>
        </w:tc>
        <w:tc>
          <w:tcPr>
            <w:tcW w:w="1418" w:type="dxa"/>
            <w:gridSpan w:val="2"/>
          </w:tcPr>
          <w:p w14:paraId="4E5CBD44" w14:textId="77777777" w:rsidR="002A0714" w:rsidRPr="00D724E5" w:rsidRDefault="002A0714" w:rsidP="002A0714">
            <w:pPr>
              <w:pStyle w:val="TableParagraph"/>
              <w:ind w:left="0"/>
              <w:rPr>
                <w:rFonts w:ascii="Arial" w:hAnsi="Arial" w:cs="Arial"/>
                <w:sz w:val="18"/>
                <w:szCs w:val="18"/>
              </w:rPr>
            </w:pPr>
          </w:p>
        </w:tc>
        <w:tc>
          <w:tcPr>
            <w:tcW w:w="4510" w:type="dxa"/>
            <w:gridSpan w:val="6"/>
          </w:tcPr>
          <w:p w14:paraId="56D5C693" w14:textId="77777777" w:rsidR="002A0714" w:rsidRPr="00D724E5" w:rsidRDefault="002A0714" w:rsidP="002A0714">
            <w:pPr>
              <w:pStyle w:val="TableParagraph"/>
              <w:ind w:left="0"/>
              <w:rPr>
                <w:rFonts w:ascii="Arial" w:hAnsi="Arial" w:cs="Arial"/>
                <w:sz w:val="18"/>
                <w:szCs w:val="18"/>
              </w:rPr>
            </w:pPr>
          </w:p>
        </w:tc>
      </w:tr>
      <w:tr w:rsidR="002A0714" w:rsidRPr="00D724E5" w14:paraId="7260280D" w14:textId="77777777" w:rsidTr="002A0714">
        <w:trPr>
          <w:gridBefore w:val="1"/>
          <w:wBefore w:w="10" w:type="dxa"/>
          <w:trHeight w:val="244"/>
        </w:trPr>
        <w:tc>
          <w:tcPr>
            <w:tcW w:w="430" w:type="dxa"/>
            <w:gridSpan w:val="2"/>
            <w:vMerge/>
            <w:tcBorders>
              <w:top w:val="nil"/>
            </w:tcBorders>
          </w:tcPr>
          <w:p w14:paraId="5EBE343D" w14:textId="77777777" w:rsidR="002A0714" w:rsidRPr="00D724E5" w:rsidRDefault="002A0714" w:rsidP="002A0714">
            <w:pPr>
              <w:rPr>
                <w:rFonts w:ascii="Arial" w:hAnsi="Arial" w:cs="Arial"/>
                <w:sz w:val="18"/>
                <w:szCs w:val="18"/>
              </w:rPr>
            </w:pPr>
          </w:p>
        </w:tc>
        <w:tc>
          <w:tcPr>
            <w:tcW w:w="2687" w:type="dxa"/>
            <w:vMerge/>
            <w:tcBorders>
              <w:top w:val="nil"/>
            </w:tcBorders>
          </w:tcPr>
          <w:p w14:paraId="41E6E8D1" w14:textId="77777777" w:rsidR="002A0714" w:rsidRPr="00D724E5" w:rsidRDefault="002A0714" w:rsidP="002A0714">
            <w:pPr>
              <w:rPr>
                <w:rFonts w:ascii="Arial" w:hAnsi="Arial" w:cs="Arial"/>
                <w:sz w:val="18"/>
                <w:szCs w:val="18"/>
              </w:rPr>
            </w:pPr>
          </w:p>
        </w:tc>
        <w:tc>
          <w:tcPr>
            <w:tcW w:w="1418" w:type="dxa"/>
            <w:gridSpan w:val="2"/>
          </w:tcPr>
          <w:p w14:paraId="527E7FE7" w14:textId="77777777" w:rsidR="002A0714" w:rsidRPr="00D724E5" w:rsidRDefault="002A0714" w:rsidP="002A0714">
            <w:pPr>
              <w:pStyle w:val="TableParagraph"/>
              <w:ind w:left="0"/>
              <w:rPr>
                <w:rFonts w:ascii="Arial" w:hAnsi="Arial" w:cs="Arial"/>
                <w:sz w:val="18"/>
                <w:szCs w:val="18"/>
              </w:rPr>
            </w:pPr>
          </w:p>
        </w:tc>
        <w:tc>
          <w:tcPr>
            <w:tcW w:w="4510" w:type="dxa"/>
            <w:gridSpan w:val="6"/>
          </w:tcPr>
          <w:p w14:paraId="59FDA2EC" w14:textId="77777777" w:rsidR="002A0714" w:rsidRPr="00D724E5" w:rsidRDefault="002A0714" w:rsidP="002A0714">
            <w:pPr>
              <w:pStyle w:val="TableParagraph"/>
              <w:ind w:left="0"/>
              <w:rPr>
                <w:rFonts w:ascii="Arial" w:hAnsi="Arial" w:cs="Arial"/>
                <w:sz w:val="18"/>
                <w:szCs w:val="18"/>
              </w:rPr>
            </w:pPr>
          </w:p>
        </w:tc>
      </w:tr>
      <w:tr w:rsidR="002A0714" w:rsidRPr="00D724E5" w14:paraId="466CF7A4" w14:textId="77777777" w:rsidTr="008C2414">
        <w:trPr>
          <w:gridAfter w:val="1"/>
          <w:wAfter w:w="13" w:type="dxa"/>
          <w:trHeight w:val="242"/>
        </w:trPr>
        <w:tc>
          <w:tcPr>
            <w:tcW w:w="9042" w:type="dxa"/>
            <w:gridSpan w:val="11"/>
            <w:shd w:val="clear" w:color="auto" w:fill="F2F2F2" w:themeFill="background1" w:themeFillShade="F2"/>
          </w:tcPr>
          <w:p w14:paraId="6DED5F46" w14:textId="77777777" w:rsidR="002A0714" w:rsidRPr="00D724E5" w:rsidRDefault="002A0714" w:rsidP="002A0714">
            <w:pPr>
              <w:pStyle w:val="TableParagraph"/>
              <w:spacing w:line="222" w:lineRule="exact"/>
              <w:ind w:left="683"/>
              <w:rPr>
                <w:rFonts w:ascii="Arial" w:hAnsi="Arial" w:cs="Arial"/>
                <w:b/>
                <w:sz w:val="18"/>
                <w:szCs w:val="18"/>
              </w:rPr>
            </w:pPr>
            <w:r w:rsidRPr="00D724E5">
              <w:rPr>
                <w:rFonts w:ascii="Arial" w:hAnsi="Arial" w:cs="Arial"/>
                <w:b/>
                <w:sz w:val="18"/>
                <w:szCs w:val="18"/>
              </w:rPr>
              <w:t>Additional</w:t>
            </w:r>
            <w:r w:rsidRPr="00D724E5">
              <w:rPr>
                <w:rFonts w:ascii="Arial" w:hAnsi="Arial" w:cs="Arial"/>
                <w:b/>
                <w:spacing w:val="-5"/>
                <w:sz w:val="18"/>
                <w:szCs w:val="18"/>
              </w:rPr>
              <w:t xml:space="preserve"> </w:t>
            </w:r>
            <w:r w:rsidRPr="00D724E5">
              <w:rPr>
                <w:rFonts w:ascii="Arial" w:hAnsi="Arial" w:cs="Arial"/>
                <w:b/>
                <w:sz w:val="18"/>
                <w:szCs w:val="18"/>
              </w:rPr>
              <w:t>maintenance</w:t>
            </w:r>
            <w:r w:rsidRPr="00D724E5">
              <w:rPr>
                <w:rFonts w:ascii="Arial" w:hAnsi="Arial" w:cs="Arial"/>
                <w:b/>
                <w:spacing w:val="-2"/>
                <w:sz w:val="18"/>
                <w:szCs w:val="18"/>
              </w:rPr>
              <w:t xml:space="preserve"> </w:t>
            </w:r>
            <w:r w:rsidRPr="00D724E5">
              <w:rPr>
                <w:rFonts w:ascii="Arial" w:hAnsi="Arial" w:cs="Arial"/>
                <w:b/>
                <w:sz w:val="18"/>
                <w:szCs w:val="18"/>
              </w:rPr>
              <w:t>requirements</w:t>
            </w:r>
            <w:r w:rsidRPr="00D724E5">
              <w:rPr>
                <w:rFonts w:ascii="Arial" w:hAnsi="Arial" w:cs="Arial"/>
                <w:b/>
                <w:spacing w:val="-2"/>
                <w:sz w:val="18"/>
                <w:szCs w:val="18"/>
              </w:rPr>
              <w:t xml:space="preserve"> </w:t>
            </w:r>
            <w:r w:rsidRPr="00D724E5">
              <w:rPr>
                <w:rFonts w:ascii="Arial" w:hAnsi="Arial" w:cs="Arial"/>
                <w:b/>
                <w:sz w:val="18"/>
                <w:szCs w:val="18"/>
              </w:rPr>
              <w:t>to</w:t>
            </w:r>
            <w:r w:rsidRPr="00D724E5">
              <w:rPr>
                <w:rFonts w:ascii="Arial" w:hAnsi="Arial" w:cs="Arial"/>
                <w:b/>
                <w:spacing w:val="-1"/>
                <w:sz w:val="18"/>
                <w:szCs w:val="18"/>
              </w:rPr>
              <w:t xml:space="preserve"> </w:t>
            </w:r>
            <w:r w:rsidRPr="00D724E5">
              <w:rPr>
                <w:rFonts w:ascii="Arial" w:hAnsi="Arial" w:cs="Arial"/>
                <w:b/>
                <w:sz w:val="18"/>
                <w:szCs w:val="18"/>
              </w:rPr>
              <w:t>the</w:t>
            </w:r>
            <w:r w:rsidRPr="00D724E5">
              <w:rPr>
                <w:rFonts w:ascii="Arial" w:hAnsi="Arial" w:cs="Arial"/>
                <w:b/>
                <w:spacing w:val="-5"/>
                <w:sz w:val="18"/>
                <w:szCs w:val="18"/>
              </w:rPr>
              <w:t xml:space="preserve"> </w:t>
            </w:r>
            <w:r w:rsidRPr="00D724E5">
              <w:rPr>
                <w:rFonts w:ascii="Arial" w:hAnsi="Arial" w:cs="Arial"/>
                <w:b/>
                <w:sz w:val="18"/>
                <w:szCs w:val="18"/>
              </w:rPr>
              <w:t>DAH’</w:t>
            </w:r>
            <w:r w:rsidRPr="00D724E5">
              <w:rPr>
                <w:rFonts w:ascii="Arial" w:hAnsi="Arial" w:cs="Arial"/>
                <w:b/>
                <w:spacing w:val="-4"/>
                <w:sz w:val="18"/>
                <w:szCs w:val="18"/>
              </w:rPr>
              <w:t xml:space="preserve"> </w:t>
            </w:r>
            <w:r w:rsidRPr="00D724E5">
              <w:rPr>
                <w:rFonts w:ascii="Arial" w:hAnsi="Arial" w:cs="Arial"/>
                <w:b/>
                <w:sz w:val="18"/>
                <w:szCs w:val="18"/>
              </w:rPr>
              <w:t>ICA</w:t>
            </w:r>
            <w:r w:rsidRPr="00D724E5">
              <w:rPr>
                <w:rFonts w:ascii="Arial" w:hAnsi="Arial" w:cs="Arial"/>
                <w:b/>
                <w:spacing w:val="-3"/>
                <w:sz w:val="18"/>
                <w:szCs w:val="18"/>
              </w:rPr>
              <w:t xml:space="preserve"> </w:t>
            </w:r>
            <w:r w:rsidRPr="00D724E5">
              <w:rPr>
                <w:rFonts w:ascii="Arial" w:hAnsi="Arial" w:cs="Arial"/>
                <w:b/>
                <w:sz w:val="18"/>
                <w:szCs w:val="18"/>
              </w:rPr>
              <w:t>or</w:t>
            </w:r>
            <w:r w:rsidRPr="00D724E5">
              <w:rPr>
                <w:rFonts w:ascii="Arial" w:hAnsi="Arial" w:cs="Arial"/>
                <w:b/>
                <w:spacing w:val="-2"/>
                <w:sz w:val="18"/>
                <w:szCs w:val="18"/>
              </w:rPr>
              <w:t xml:space="preserve"> </w:t>
            </w:r>
            <w:r w:rsidRPr="00D724E5">
              <w:rPr>
                <w:rFonts w:ascii="Arial" w:hAnsi="Arial" w:cs="Arial"/>
                <w:b/>
                <w:sz w:val="18"/>
                <w:szCs w:val="18"/>
              </w:rPr>
              <w:t>to</w:t>
            </w:r>
            <w:r w:rsidRPr="00D724E5">
              <w:rPr>
                <w:rFonts w:ascii="Arial" w:hAnsi="Arial" w:cs="Arial"/>
                <w:b/>
                <w:spacing w:val="-2"/>
                <w:sz w:val="18"/>
                <w:szCs w:val="18"/>
              </w:rPr>
              <w:t xml:space="preserve"> </w:t>
            </w:r>
            <w:r w:rsidRPr="00D724E5">
              <w:rPr>
                <w:rFonts w:ascii="Arial" w:hAnsi="Arial" w:cs="Arial"/>
                <w:b/>
                <w:sz w:val="18"/>
                <w:szCs w:val="18"/>
              </w:rPr>
              <w:t>the</w:t>
            </w:r>
            <w:r w:rsidRPr="00D724E5">
              <w:rPr>
                <w:rFonts w:ascii="Arial" w:hAnsi="Arial" w:cs="Arial"/>
                <w:b/>
                <w:spacing w:val="-2"/>
                <w:sz w:val="18"/>
                <w:szCs w:val="18"/>
              </w:rPr>
              <w:t xml:space="preserve"> </w:t>
            </w:r>
            <w:r w:rsidRPr="00D724E5">
              <w:rPr>
                <w:rFonts w:ascii="Arial" w:hAnsi="Arial" w:cs="Arial"/>
                <w:b/>
                <w:sz w:val="18"/>
                <w:szCs w:val="18"/>
              </w:rPr>
              <w:t>MIP</w:t>
            </w:r>
            <w:r w:rsidRPr="00D724E5">
              <w:rPr>
                <w:rFonts w:ascii="Arial" w:hAnsi="Arial" w:cs="Arial"/>
                <w:b/>
                <w:spacing w:val="-3"/>
                <w:sz w:val="18"/>
                <w:szCs w:val="18"/>
              </w:rPr>
              <w:t xml:space="preserve"> </w:t>
            </w:r>
            <w:r w:rsidRPr="00D724E5">
              <w:rPr>
                <w:rFonts w:ascii="Arial" w:hAnsi="Arial" w:cs="Arial"/>
                <w:b/>
                <w:sz w:val="18"/>
                <w:szCs w:val="18"/>
              </w:rPr>
              <w:t>(applicable</w:t>
            </w:r>
            <w:r w:rsidRPr="00D724E5">
              <w:rPr>
                <w:rFonts w:ascii="Arial" w:hAnsi="Arial" w:cs="Arial"/>
                <w:b/>
                <w:spacing w:val="-2"/>
                <w:sz w:val="18"/>
                <w:szCs w:val="18"/>
              </w:rPr>
              <w:t xml:space="preserve"> </w:t>
            </w:r>
            <w:r w:rsidRPr="00D724E5">
              <w:rPr>
                <w:rFonts w:ascii="Arial" w:hAnsi="Arial" w:cs="Arial"/>
                <w:b/>
                <w:sz w:val="18"/>
                <w:szCs w:val="18"/>
              </w:rPr>
              <w:t>to</w:t>
            </w:r>
            <w:r w:rsidRPr="00D724E5">
              <w:rPr>
                <w:rFonts w:ascii="Arial" w:hAnsi="Arial" w:cs="Arial"/>
                <w:b/>
                <w:spacing w:val="-3"/>
                <w:sz w:val="18"/>
                <w:szCs w:val="18"/>
              </w:rPr>
              <w:t xml:space="preserve"> </w:t>
            </w:r>
            <w:r w:rsidRPr="00D724E5">
              <w:rPr>
                <w:rFonts w:ascii="Arial" w:hAnsi="Arial" w:cs="Arial"/>
                <w:b/>
                <w:sz w:val="18"/>
                <w:szCs w:val="18"/>
              </w:rPr>
              <w:t>all</w:t>
            </w:r>
            <w:r w:rsidRPr="00D724E5">
              <w:rPr>
                <w:rFonts w:ascii="Arial" w:hAnsi="Arial" w:cs="Arial"/>
                <w:b/>
                <w:spacing w:val="-4"/>
                <w:sz w:val="18"/>
                <w:szCs w:val="18"/>
              </w:rPr>
              <w:t xml:space="preserve"> </w:t>
            </w:r>
            <w:r w:rsidRPr="00D724E5">
              <w:rPr>
                <w:rFonts w:ascii="Arial" w:hAnsi="Arial" w:cs="Arial"/>
                <w:b/>
                <w:sz w:val="18"/>
                <w:szCs w:val="18"/>
              </w:rPr>
              <w:t>AMPs)</w:t>
            </w:r>
          </w:p>
        </w:tc>
      </w:tr>
      <w:tr w:rsidR="002A0714" w:rsidRPr="00D724E5" w14:paraId="1FD1E884" w14:textId="77777777" w:rsidTr="002A0714">
        <w:trPr>
          <w:gridAfter w:val="1"/>
          <w:wAfter w:w="13" w:type="dxa"/>
          <w:trHeight w:val="489"/>
        </w:trPr>
        <w:tc>
          <w:tcPr>
            <w:tcW w:w="430" w:type="dxa"/>
            <w:gridSpan w:val="2"/>
            <w:vMerge w:val="restart"/>
          </w:tcPr>
          <w:p w14:paraId="5D65281E" w14:textId="77777777" w:rsidR="002A0714" w:rsidRPr="00D724E5" w:rsidRDefault="002A0714" w:rsidP="002A0714">
            <w:pPr>
              <w:pStyle w:val="TableParagraph"/>
              <w:spacing w:before="1"/>
              <w:ind w:left="107"/>
              <w:rPr>
                <w:rFonts w:ascii="Arial" w:hAnsi="Arial" w:cs="Arial"/>
                <w:sz w:val="18"/>
                <w:szCs w:val="18"/>
              </w:rPr>
            </w:pPr>
            <w:r w:rsidRPr="00D724E5">
              <w:rPr>
                <w:rFonts w:ascii="Arial" w:hAnsi="Arial" w:cs="Arial"/>
                <w:w w:val="99"/>
                <w:sz w:val="18"/>
                <w:szCs w:val="18"/>
              </w:rPr>
              <w:t>4</w:t>
            </w:r>
          </w:p>
        </w:tc>
        <w:tc>
          <w:tcPr>
            <w:tcW w:w="7512" w:type="dxa"/>
            <w:gridSpan w:val="7"/>
          </w:tcPr>
          <w:p w14:paraId="0CC0E310" w14:textId="77777777" w:rsidR="002A0714" w:rsidRPr="00D724E5" w:rsidRDefault="002A0714" w:rsidP="002A0714">
            <w:pPr>
              <w:pStyle w:val="TableParagraph"/>
              <w:spacing w:before="1" w:line="243" w:lineRule="exact"/>
              <w:ind w:left="107"/>
              <w:rPr>
                <w:rFonts w:ascii="Arial" w:hAnsi="Arial" w:cs="Arial"/>
                <w:sz w:val="18"/>
                <w:szCs w:val="18"/>
              </w:rPr>
            </w:pPr>
            <w:r w:rsidRPr="00D724E5">
              <w:rPr>
                <w:rFonts w:ascii="Arial" w:hAnsi="Arial" w:cs="Arial"/>
                <w:sz w:val="18"/>
                <w:szCs w:val="18"/>
              </w:rPr>
              <w:t>Indicate</w:t>
            </w:r>
            <w:r w:rsidRPr="00D724E5">
              <w:rPr>
                <w:rFonts w:ascii="Arial" w:hAnsi="Arial" w:cs="Arial"/>
                <w:spacing w:val="-2"/>
                <w:sz w:val="18"/>
                <w:szCs w:val="18"/>
              </w:rPr>
              <w:t xml:space="preserve"> </w:t>
            </w:r>
            <w:r w:rsidRPr="00D724E5">
              <w:rPr>
                <w:rFonts w:ascii="Arial" w:hAnsi="Arial" w:cs="Arial"/>
                <w:sz w:val="18"/>
                <w:szCs w:val="18"/>
              </w:rPr>
              <w:t>if</w:t>
            </w:r>
            <w:r w:rsidRPr="00D724E5">
              <w:rPr>
                <w:rFonts w:ascii="Arial" w:hAnsi="Arial" w:cs="Arial"/>
                <w:spacing w:val="-2"/>
                <w:sz w:val="18"/>
                <w:szCs w:val="18"/>
              </w:rPr>
              <w:t xml:space="preserve"> </w:t>
            </w:r>
            <w:r w:rsidRPr="00D724E5">
              <w:rPr>
                <w:rFonts w:ascii="Arial" w:hAnsi="Arial" w:cs="Arial"/>
                <w:sz w:val="18"/>
                <w:szCs w:val="18"/>
              </w:rPr>
              <w:t>any</w:t>
            </w:r>
            <w:r w:rsidRPr="00D724E5">
              <w:rPr>
                <w:rFonts w:ascii="Arial" w:hAnsi="Arial" w:cs="Arial"/>
                <w:spacing w:val="-1"/>
                <w:sz w:val="18"/>
                <w:szCs w:val="18"/>
              </w:rPr>
              <w:t xml:space="preserve"> </w:t>
            </w:r>
            <w:r w:rsidRPr="00D724E5">
              <w:rPr>
                <w:rFonts w:ascii="Arial" w:hAnsi="Arial" w:cs="Arial"/>
                <w:sz w:val="18"/>
                <w:szCs w:val="18"/>
              </w:rPr>
              <w:t>of</w:t>
            </w:r>
            <w:r w:rsidRPr="00D724E5">
              <w:rPr>
                <w:rFonts w:ascii="Arial" w:hAnsi="Arial" w:cs="Arial"/>
                <w:spacing w:val="-3"/>
                <w:sz w:val="18"/>
                <w:szCs w:val="18"/>
              </w:rPr>
              <w:t xml:space="preserve"> </w:t>
            </w:r>
            <w:r w:rsidRPr="00D724E5">
              <w:rPr>
                <w:rFonts w:ascii="Arial" w:hAnsi="Arial" w:cs="Arial"/>
                <w:sz w:val="18"/>
                <w:szCs w:val="18"/>
              </w:rPr>
              <w:t>the</w:t>
            </w:r>
            <w:r w:rsidRPr="00D724E5">
              <w:rPr>
                <w:rFonts w:ascii="Arial" w:hAnsi="Arial" w:cs="Arial"/>
                <w:spacing w:val="-2"/>
                <w:sz w:val="18"/>
                <w:szCs w:val="18"/>
              </w:rPr>
              <w:t xml:space="preserve"> </w:t>
            </w:r>
            <w:r w:rsidRPr="00D724E5">
              <w:rPr>
                <w:rFonts w:ascii="Arial" w:hAnsi="Arial" w:cs="Arial"/>
                <w:sz w:val="18"/>
                <w:szCs w:val="18"/>
              </w:rPr>
              <w:t>following</w:t>
            </w:r>
            <w:r w:rsidRPr="00D724E5">
              <w:rPr>
                <w:rFonts w:ascii="Arial" w:hAnsi="Arial" w:cs="Arial"/>
                <w:spacing w:val="-2"/>
                <w:sz w:val="18"/>
                <w:szCs w:val="18"/>
              </w:rPr>
              <w:t xml:space="preserve"> </w:t>
            </w:r>
            <w:r w:rsidRPr="00D724E5">
              <w:rPr>
                <w:rFonts w:ascii="Arial" w:hAnsi="Arial" w:cs="Arial"/>
                <w:sz w:val="18"/>
                <w:szCs w:val="18"/>
              </w:rPr>
              <w:t>types</w:t>
            </w:r>
            <w:r w:rsidRPr="00D724E5">
              <w:rPr>
                <w:rFonts w:ascii="Arial" w:hAnsi="Arial" w:cs="Arial"/>
                <w:spacing w:val="-4"/>
                <w:sz w:val="18"/>
                <w:szCs w:val="18"/>
              </w:rPr>
              <w:t xml:space="preserve"> </w:t>
            </w:r>
            <w:r w:rsidRPr="00D724E5">
              <w:rPr>
                <w:rFonts w:ascii="Arial" w:hAnsi="Arial" w:cs="Arial"/>
                <w:sz w:val="18"/>
                <w:szCs w:val="18"/>
              </w:rPr>
              <w:t>of</w:t>
            </w:r>
            <w:r w:rsidRPr="00D724E5">
              <w:rPr>
                <w:rFonts w:ascii="Arial" w:hAnsi="Arial" w:cs="Arial"/>
                <w:spacing w:val="-3"/>
                <w:sz w:val="18"/>
                <w:szCs w:val="18"/>
              </w:rPr>
              <w:t xml:space="preserve"> </w:t>
            </w:r>
            <w:r w:rsidRPr="00D724E5">
              <w:rPr>
                <w:rFonts w:ascii="Arial" w:hAnsi="Arial" w:cs="Arial"/>
                <w:sz w:val="18"/>
                <w:szCs w:val="18"/>
              </w:rPr>
              <w:t>repetitive</w:t>
            </w:r>
            <w:r w:rsidRPr="00D724E5">
              <w:rPr>
                <w:rFonts w:ascii="Arial" w:hAnsi="Arial" w:cs="Arial"/>
                <w:spacing w:val="-2"/>
                <w:sz w:val="18"/>
                <w:szCs w:val="18"/>
              </w:rPr>
              <w:t xml:space="preserve"> </w:t>
            </w:r>
            <w:r w:rsidRPr="00D724E5">
              <w:rPr>
                <w:rFonts w:ascii="Arial" w:hAnsi="Arial" w:cs="Arial"/>
                <w:sz w:val="18"/>
                <w:szCs w:val="18"/>
              </w:rPr>
              <w:t>maintenance</w:t>
            </w:r>
            <w:r w:rsidRPr="00D724E5">
              <w:rPr>
                <w:rFonts w:ascii="Arial" w:hAnsi="Arial" w:cs="Arial"/>
                <w:spacing w:val="-3"/>
                <w:sz w:val="18"/>
                <w:szCs w:val="18"/>
              </w:rPr>
              <w:t xml:space="preserve"> </w:t>
            </w:r>
            <w:r w:rsidRPr="00D724E5">
              <w:rPr>
                <w:rFonts w:ascii="Arial" w:hAnsi="Arial" w:cs="Arial"/>
                <w:sz w:val="18"/>
                <w:szCs w:val="18"/>
              </w:rPr>
              <w:t>are</w:t>
            </w:r>
            <w:r w:rsidRPr="00D724E5">
              <w:rPr>
                <w:rFonts w:ascii="Arial" w:hAnsi="Arial" w:cs="Arial"/>
                <w:spacing w:val="-2"/>
                <w:sz w:val="18"/>
                <w:szCs w:val="18"/>
              </w:rPr>
              <w:t xml:space="preserve"> </w:t>
            </w:r>
            <w:r w:rsidRPr="00D724E5">
              <w:rPr>
                <w:rFonts w:ascii="Arial" w:hAnsi="Arial" w:cs="Arial"/>
                <w:sz w:val="18"/>
                <w:szCs w:val="18"/>
              </w:rPr>
              <w:t>included</w:t>
            </w:r>
            <w:r w:rsidRPr="00D724E5">
              <w:rPr>
                <w:rFonts w:ascii="Arial" w:hAnsi="Arial" w:cs="Arial"/>
                <w:spacing w:val="-1"/>
                <w:sz w:val="18"/>
                <w:szCs w:val="18"/>
              </w:rPr>
              <w:t xml:space="preserve"> </w:t>
            </w:r>
            <w:r w:rsidRPr="00D724E5">
              <w:rPr>
                <w:rFonts w:ascii="Arial" w:hAnsi="Arial" w:cs="Arial"/>
                <w:sz w:val="18"/>
                <w:szCs w:val="18"/>
              </w:rPr>
              <w:t>in the</w:t>
            </w:r>
            <w:r w:rsidRPr="00D724E5">
              <w:rPr>
                <w:rFonts w:ascii="Arial" w:hAnsi="Arial" w:cs="Arial"/>
                <w:spacing w:val="-3"/>
                <w:sz w:val="18"/>
                <w:szCs w:val="18"/>
              </w:rPr>
              <w:t xml:space="preserve"> </w:t>
            </w:r>
            <w:r w:rsidRPr="00D724E5">
              <w:rPr>
                <w:rFonts w:ascii="Arial" w:hAnsi="Arial" w:cs="Arial"/>
                <w:sz w:val="18"/>
                <w:szCs w:val="18"/>
              </w:rPr>
              <w:t>AMP</w:t>
            </w:r>
          </w:p>
          <w:p w14:paraId="5ED3A052" w14:textId="77777777" w:rsidR="002A0714" w:rsidRPr="00D724E5" w:rsidRDefault="002A0714" w:rsidP="002A0714">
            <w:pPr>
              <w:pStyle w:val="TableParagraph"/>
              <w:spacing w:line="225" w:lineRule="exact"/>
              <w:ind w:left="107"/>
              <w:rPr>
                <w:rFonts w:ascii="Arial" w:hAnsi="Arial" w:cs="Arial"/>
                <w:sz w:val="18"/>
                <w:szCs w:val="18"/>
              </w:rPr>
            </w:pPr>
            <w:r w:rsidRPr="00D724E5">
              <w:rPr>
                <w:rFonts w:ascii="Arial" w:hAnsi="Arial" w:cs="Arial"/>
                <w:sz w:val="18"/>
                <w:szCs w:val="18"/>
              </w:rPr>
              <w:t>(when</w:t>
            </w:r>
            <w:r w:rsidRPr="00D724E5">
              <w:rPr>
                <w:rFonts w:ascii="Arial" w:hAnsi="Arial" w:cs="Arial"/>
                <w:spacing w:val="-3"/>
                <w:sz w:val="18"/>
                <w:szCs w:val="18"/>
              </w:rPr>
              <w:t xml:space="preserve"> </w:t>
            </w:r>
            <w:r w:rsidRPr="00D724E5">
              <w:rPr>
                <w:rFonts w:ascii="Arial" w:hAnsi="Arial" w:cs="Arial"/>
                <w:sz w:val="18"/>
                <w:szCs w:val="18"/>
              </w:rPr>
              <w:t>replying</w:t>
            </w:r>
            <w:r w:rsidRPr="00D724E5">
              <w:rPr>
                <w:rFonts w:ascii="Arial" w:hAnsi="Arial" w:cs="Arial"/>
                <w:spacing w:val="-4"/>
                <w:sz w:val="18"/>
                <w:szCs w:val="18"/>
              </w:rPr>
              <w:t xml:space="preserve"> </w:t>
            </w:r>
            <w:r w:rsidRPr="00D724E5">
              <w:rPr>
                <w:rFonts w:ascii="Arial" w:hAnsi="Arial" w:cs="Arial"/>
                <w:sz w:val="18"/>
                <w:szCs w:val="18"/>
              </w:rPr>
              <w:t>‘YES’,</w:t>
            </w:r>
            <w:r w:rsidRPr="00D724E5">
              <w:rPr>
                <w:rFonts w:ascii="Arial" w:hAnsi="Arial" w:cs="Arial"/>
                <w:spacing w:val="-3"/>
                <w:sz w:val="18"/>
                <w:szCs w:val="18"/>
              </w:rPr>
              <w:t xml:space="preserve"> </w:t>
            </w:r>
            <w:r w:rsidRPr="00D724E5">
              <w:rPr>
                <w:rFonts w:ascii="Arial" w:hAnsi="Arial" w:cs="Arial"/>
                <w:sz w:val="18"/>
                <w:szCs w:val="18"/>
              </w:rPr>
              <w:t>list</w:t>
            </w:r>
            <w:r w:rsidRPr="00D724E5">
              <w:rPr>
                <w:rFonts w:ascii="Arial" w:hAnsi="Arial" w:cs="Arial"/>
                <w:spacing w:val="-2"/>
                <w:sz w:val="18"/>
                <w:szCs w:val="18"/>
              </w:rPr>
              <w:t xml:space="preserve"> </w:t>
            </w:r>
            <w:r w:rsidRPr="00D724E5">
              <w:rPr>
                <w:rFonts w:ascii="Arial" w:hAnsi="Arial" w:cs="Arial"/>
                <w:sz w:val="18"/>
                <w:szCs w:val="18"/>
              </w:rPr>
              <w:t>the</w:t>
            </w:r>
            <w:r w:rsidRPr="00D724E5">
              <w:rPr>
                <w:rFonts w:ascii="Arial" w:hAnsi="Arial" w:cs="Arial"/>
                <w:spacing w:val="-4"/>
                <w:sz w:val="18"/>
                <w:szCs w:val="18"/>
              </w:rPr>
              <w:t xml:space="preserve"> </w:t>
            </w:r>
            <w:r w:rsidRPr="00D724E5">
              <w:rPr>
                <w:rFonts w:ascii="Arial" w:hAnsi="Arial" w:cs="Arial"/>
                <w:sz w:val="18"/>
                <w:szCs w:val="18"/>
              </w:rPr>
              <w:t>specific</w:t>
            </w:r>
            <w:r w:rsidRPr="00D724E5">
              <w:rPr>
                <w:rFonts w:ascii="Arial" w:hAnsi="Arial" w:cs="Arial"/>
                <w:spacing w:val="-3"/>
                <w:sz w:val="18"/>
                <w:szCs w:val="18"/>
              </w:rPr>
              <w:t xml:space="preserve"> </w:t>
            </w:r>
            <w:r w:rsidRPr="00D724E5">
              <w:rPr>
                <w:rFonts w:ascii="Arial" w:hAnsi="Arial" w:cs="Arial"/>
                <w:sz w:val="18"/>
                <w:szCs w:val="18"/>
              </w:rPr>
              <w:t>requirements</w:t>
            </w:r>
            <w:r w:rsidRPr="00D724E5">
              <w:rPr>
                <w:rFonts w:ascii="Arial" w:hAnsi="Arial" w:cs="Arial"/>
                <w:spacing w:val="-3"/>
                <w:sz w:val="18"/>
                <w:szCs w:val="18"/>
              </w:rPr>
              <w:t xml:space="preserve"> </w:t>
            </w:r>
            <w:r w:rsidRPr="00D724E5">
              <w:rPr>
                <w:rFonts w:ascii="Arial" w:hAnsi="Arial" w:cs="Arial"/>
                <w:sz w:val="18"/>
                <w:szCs w:val="18"/>
              </w:rPr>
              <w:t>in</w:t>
            </w:r>
            <w:r w:rsidRPr="00D724E5">
              <w:rPr>
                <w:rFonts w:ascii="Arial" w:hAnsi="Arial" w:cs="Arial"/>
                <w:spacing w:val="-2"/>
                <w:sz w:val="18"/>
                <w:szCs w:val="18"/>
              </w:rPr>
              <w:t xml:space="preserve"> </w:t>
            </w:r>
            <w:r w:rsidRPr="00D724E5">
              <w:rPr>
                <w:rFonts w:ascii="Arial" w:hAnsi="Arial" w:cs="Arial"/>
                <w:sz w:val="18"/>
                <w:szCs w:val="18"/>
              </w:rPr>
              <w:t>Appendix</w:t>
            </w:r>
            <w:r w:rsidRPr="00D724E5">
              <w:rPr>
                <w:rFonts w:ascii="Arial" w:hAnsi="Arial" w:cs="Arial"/>
                <w:spacing w:val="2"/>
                <w:sz w:val="18"/>
                <w:szCs w:val="18"/>
              </w:rPr>
              <w:t xml:space="preserve"> </w:t>
            </w:r>
            <w:r w:rsidRPr="00D724E5">
              <w:rPr>
                <w:rFonts w:ascii="Arial" w:hAnsi="Arial" w:cs="Arial"/>
                <w:sz w:val="18"/>
                <w:szCs w:val="18"/>
              </w:rPr>
              <w:t>B)</w:t>
            </w:r>
          </w:p>
        </w:tc>
        <w:tc>
          <w:tcPr>
            <w:tcW w:w="567" w:type="dxa"/>
          </w:tcPr>
          <w:p w14:paraId="77BA5CE0" w14:textId="77777777" w:rsidR="002A0714" w:rsidRPr="00D724E5" w:rsidRDefault="002A0714" w:rsidP="002A0714">
            <w:pPr>
              <w:pStyle w:val="TableParagraph"/>
              <w:spacing w:before="1"/>
              <w:ind w:left="87" w:right="85"/>
              <w:jc w:val="center"/>
              <w:rPr>
                <w:rFonts w:ascii="Arial" w:hAnsi="Arial" w:cs="Arial"/>
                <w:sz w:val="18"/>
                <w:szCs w:val="18"/>
              </w:rPr>
            </w:pPr>
            <w:r w:rsidRPr="00D724E5">
              <w:rPr>
                <w:rFonts w:ascii="Arial" w:hAnsi="Arial" w:cs="Arial"/>
                <w:sz w:val="18"/>
                <w:szCs w:val="18"/>
              </w:rPr>
              <w:t>Yes</w:t>
            </w:r>
          </w:p>
        </w:tc>
        <w:tc>
          <w:tcPr>
            <w:tcW w:w="533" w:type="dxa"/>
          </w:tcPr>
          <w:p w14:paraId="4389FD94" w14:textId="77777777" w:rsidR="002A0714" w:rsidRPr="00D724E5" w:rsidRDefault="002A0714" w:rsidP="002A0714">
            <w:pPr>
              <w:pStyle w:val="TableParagraph"/>
              <w:spacing w:before="1"/>
              <w:ind w:left="87" w:right="81"/>
              <w:jc w:val="center"/>
              <w:rPr>
                <w:rFonts w:ascii="Arial" w:hAnsi="Arial" w:cs="Arial"/>
                <w:sz w:val="18"/>
                <w:szCs w:val="18"/>
              </w:rPr>
            </w:pPr>
            <w:r w:rsidRPr="00D724E5">
              <w:rPr>
                <w:rFonts w:ascii="Arial" w:hAnsi="Arial" w:cs="Arial"/>
                <w:sz w:val="18"/>
                <w:szCs w:val="18"/>
              </w:rPr>
              <w:t>No</w:t>
            </w:r>
          </w:p>
        </w:tc>
      </w:tr>
      <w:tr w:rsidR="002A0714" w:rsidRPr="00D724E5" w14:paraId="589F4E9B" w14:textId="77777777" w:rsidTr="002A0714">
        <w:trPr>
          <w:gridAfter w:val="1"/>
          <w:wAfter w:w="13" w:type="dxa"/>
          <w:trHeight w:val="244"/>
        </w:trPr>
        <w:tc>
          <w:tcPr>
            <w:tcW w:w="430" w:type="dxa"/>
            <w:gridSpan w:val="2"/>
            <w:vMerge/>
            <w:tcBorders>
              <w:top w:val="nil"/>
            </w:tcBorders>
          </w:tcPr>
          <w:p w14:paraId="52D1C9F2" w14:textId="77777777" w:rsidR="002A0714" w:rsidRPr="00D724E5" w:rsidRDefault="002A0714" w:rsidP="002A0714">
            <w:pPr>
              <w:rPr>
                <w:rFonts w:ascii="Arial" w:hAnsi="Arial" w:cs="Arial"/>
                <w:sz w:val="18"/>
                <w:szCs w:val="18"/>
              </w:rPr>
            </w:pPr>
          </w:p>
        </w:tc>
        <w:tc>
          <w:tcPr>
            <w:tcW w:w="7512" w:type="dxa"/>
            <w:gridSpan w:val="7"/>
          </w:tcPr>
          <w:p w14:paraId="553D3961" w14:textId="77777777" w:rsidR="002A0714" w:rsidRPr="00D724E5" w:rsidRDefault="002A0714" w:rsidP="002A0714">
            <w:pPr>
              <w:pStyle w:val="TableParagraph"/>
              <w:spacing w:line="224" w:lineRule="exact"/>
              <w:ind w:left="107"/>
              <w:rPr>
                <w:rFonts w:ascii="Arial" w:hAnsi="Arial" w:cs="Arial"/>
                <w:sz w:val="18"/>
                <w:szCs w:val="18"/>
              </w:rPr>
            </w:pPr>
            <w:r w:rsidRPr="00D724E5">
              <w:rPr>
                <w:rFonts w:ascii="Arial" w:hAnsi="Arial" w:cs="Arial"/>
                <w:sz w:val="18"/>
                <w:szCs w:val="18"/>
              </w:rPr>
              <w:t>Maintenance</w:t>
            </w:r>
            <w:r w:rsidRPr="00D724E5">
              <w:rPr>
                <w:rFonts w:ascii="Arial" w:hAnsi="Arial" w:cs="Arial"/>
                <w:spacing w:val="-5"/>
                <w:sz w:val="18"/>
                <w:szCs w:val="18"/>
              </w:rPr>
              <w:t xml:space="preserve"> </w:t>
            </w:r>
            <w:r w:rsidRPr="00D724E5">
              <w:rPr>
                <w:rFonts w:ascii="Arial" w:hAnsi="Arial" w:cs="Arial"/>
                <w:sz w:val="18"/>
                <w:szCs w:val="18"/>
              </w:rPr>
              <w:t>due</w:t>
            </w:r>
            <w:r w:rsidRPr="00D724E5">
              <w:rPr>
                <w:rFonts w:ascii="Arial" w:hAnsi="Arial" w:cs="Arial"/>
                <w:spacing w:val="-4"/>
                <w:sz w:val="18"/>
                <w:szCs w:val="18"/>
              </w:rPr>
              <w:t xml:space="preserve"> </w:t>
            </w:r>
            <w:r w:rsidRPr="00D724E5">
              <w:rPr>
                <w:rFonts w:ascii="Arial" w:hAnsi="Arial" w:cs="Arial"/>
                <w:sz w:val="18"/>
                <w:szCs w:val="18"/>
              </w:rPr>
              <w:t>to</w:t>
            </w:r>
            <w:r w:rsidRPr="00D724E5">
              <w:rPr>
                <w:rFonts w:ascii="Arial" w:hAnsi="Arial" w:cs="Arial"/>
                <w:spacing w:val="-2"/>
                <w:sz w:val="18"/>
                <w:szCs w:val="18"/>
              </w:rPr>
              <w:t xml:space="preserve"> </w:t>
            </w:r>
            <w:r w:rsidRPr="00D724E5">
              <w:rPr>
                <w:rFonts w:ascii="Arial" w:hAnsi="Arial" w:cs="Arial"/>
                <w:sz w:val="18"/>
                <w:szCs w:val="18"/>
              </w:rPr>
              <w:t>specific</w:t>
            </w:r>
            <w:r w:rsidRPr="00D724E5">
              <w:rPr>
                <w:rFonts w:ascii="Arial" w:hAnsi="Arial" w:cs="Arial"/>
                <w:spacing w:val="-3"/>
                <w:sz w:val="18"/>
                <w:szCs w:val="18"/>
              </w:rPr>
              <w:t xml:space="preserve"> </w:t>
            </w:r>
            <w:r w:rsidRPr="00D724E5">
              <w:rPr>
                <w:rFonts w:ascii="Arial" w:hAnsi="Arial" w:cs="Arial"/>
                <w:sz w:val="18"/>
                <w:szCs w:val="18"/>
              </w:rPr>
              <w:t>equipment</w:t>
            </w:r>
            <w:r w:rsidRPr="00D724E5">
              <w:rPr>
                <w:rFonts w:ascii="Arial" w:hAnsi="Arial" w:cs="Arial"/>
                <w:spacing w:val="-3"/>
                <w:sz w:val="18"/>
                <w:szCs w:val="18"/>
              </w:rPr>
              <w:t xml:space="preserve"> </w:t>
            </w:r>
            <w:r w:rsidRPr="00D724E5">
              <w:rPr>
                <w:rFonts w:ascii="Arial" w:hAnsi="Arial" w:cs="Arial"/>
                <w:sz w:val="18"/>
                <w:szCs w:val="18"/>
              </w:rPr>
              <w:t>and</w:t>
            </w:r>
            <w:r w:rsidRPr="00D724E5">
              <w:rPr>
                <w:rFonts w:ascii="Arial" w:hAnsi="Arial" w:cs="Arial"/>
                <w:spacing w:val="-2"/>
                <w:sz w:val="18"/>
                <w:szCs w:val="18"/>
              </w:rPr>
              <w:t xml:space="preserve"> </w:t>
            </w:r>
            <w:r w:rsidRPr="00D724E5">
              <w:rPr>
                <w:rFonts w:ascii="Arial" w:hAnsi="Arial" w:cs="Arial"/>
                <w:sz w:val="18"/>
                <w:szCs w:val="18"/>
              </w:rPr>
              <w:t>modifications</w:t>
            </w:r>
          </w:p>
        </w:tc>
        <w:tc>
          <w:tcPr>
            <w:tcW w:w="567" w:type="dxa"/>
          </w:tcPr>
          <w:p w14:paraId="28CF30BB" w14:textId="77777777" w:rsidR="002A0714" w:rsidRPr="00D724E5" w:rsidRDefault="002A0714" w:rsidP="002A0714">
            <w:pPr>
              <w:pStyle w:val="TableParagraph"/>
              <w:ind w:left="0"/>
              <w:rPr>
                <w:rFonts w:ascii="Arial" w:hAnsi="Arial" w:cs="Arial"/>
                <w:sz w:val="18"/>
                <w:szCs w:val="18"/>
              </w:rPr>
            </w:pPr>
          </w:p>
        </w:tc>
        <w:tc>
          <w:tcPr>
            <w:tcW w:w="533" w:type="dxa"/>
          </w:tcPr>
          <w:p w14:paraId="2F8D3E64" w14:textId="77777777" w:rsidR="002A0714" w:rsidRPr="00D724E5" w:rsidRDefault="002A0714" w:rsidP="002A0714">
            <w:pPr>
              <w:pStyle w:val="TableParagraph"/>
              <w:ind w:left="0"/>
              <w:rPr>
                <w:rFonts w:ascii="Arial" w:hAnsi="Arial" w:cs="Arial"/>
                <w:sz w:val="18"/>
                <w:szCs w:val="18"/>
              </w:rPr>
            </w:pPr>
          </w:p>
        </w:tc>
      </w:tr>
      <w:tr w:rsidR="002A0714" w:rsidRPr="00D724E5" w14:paraId="50808EBF" w14:textId="77777777" w:rsidTr="002A0714">
        <w:trPr>
          <w:gridAfter w:val="1"/>
          <w:wAfter w:w="13" w:type="dxa"/>
          <w:trHeight w:val="244"/>
        </w:trPr>
        <w:tc>
          <w:tcPr>
            <w:tcW w:w="430" w:type="dxa"/>
            <w:gridSpan w:val="2"/>
            <w:vMerge/>
            <w:tcBorders>
              <w:top w:val="nil"/>
            </w:tcBorders>
          </w:tcPr>
          <w:p w14:paraId="729766B3" w14:textId="77777777" w:rsidR="002A0714" w:rsidRPr="00D724E5" w:rsidRDefault="002A0714" w:rsidP="002A0714">
            <w:pPr>
              <w:rPr>
                <w:rFonts w:ascii="Arial" w:hAnsi="Arial" w:cs="Arial"/>
                <w:sz w:val="18"/>
                <w:szCs w:val="18"/>
              </w:rPr>
            </w:pPr>
          </w:p>
        </w:tc>
        <w:tc>
          <w:tcPr>
            <w:tcW w:w="7512" w:type="dxa"/>
            <w:gridSpan w:val="7"/>
          </w:tcPr>
          <w:p w14:paraId="354BCB6D" w14:textId="77777777" w:rsidR="002A0714" w:rsidRPr="00D724E5" w:rsidRDefault="002A0714" w:rsidP="002A0714">
            <w:pPr>
              <w:pStyle w:val="TableParagraph"/>
              <w:spacing w:line="224" w:lineRule="exact"/>
              <w:ind w:left="107"/>
              <w:rPr>
                <w:rFonts w:ascii="Arial" w:hAnsi="Arial" w:cs="Arial"/>
                <w:sz w:val="18"/>
                <w:szCs w:val="18"/>
              </w:rPr>
            </w:pPr>
            <w:r w:rsidRPr="00D724E5">
              <w:rPr>
                <w:rFonts w:ascii="Arial" w:hAnsi="Arial" w:cs="Arial"/>
                <w:sz w:val="18"/>
                <w:szCs w:val="18"/>
              </w:rPr>
              <w:t>Maintenance</w:t>
            </w:r>
            <w:r w:rsidRPr="00D724E5">
              <w:rPr>
                <w:rFonts w:ascii="Arial" w:hAnsi="Arial" w:cs="Arial"/>
                <w:spacing w:val="-4"/>
                <w:sz w:val="18"/>
                <w:szCs w:val="18"/>
              </w:rPr>
              <w:t xml:space="preserve"> </w:t>
            </w:r>
            <w:r w:rsidRPr="00D724E5">
              <w:rPr>
                <w:rFonts w:ascii="Arial" w:hAnsi="Arial" w:cs="Arial"/>
                <w:sz w:val="18"/>
                <w:szCs w:val="18"/>
              </w:rPr>
              <w:t>due</w:t>
            </w:r>
            <w:r w:rsidRPr="00D724E5">
              <w:rPr>
                <w:rFonts w:ascii="Arial" w:hAnsi="Arial" w:cs="Arial"/>
                <w:spacing w:val="-3"/>
                <w:sz w:val="18"/>
                <w:szCs w:val="18"/>
              </w:rPr>
              <w:t xml:space="preserve"> </w:t>
            </w:r>
            <w:r w:rsidRPr="00D724E5">
              <w:rPr>
                <w:rFonts w:ascii="Arial" w:hAnsi="Arial" w:cs="Arial"/>
                <w:sz w:val="18"/>
                <w:szCs w:val="18"/>
              </w:rPr>
              <w:t>to</w:t>
            </w:r>
            <w:r w:rsidRPr="00D724E5">
              <w:rPr>
                <w:rFonts w:ascii="Arial" w:hAnsi="Arial" w:cs="Arial"/>
                <w:spacing w:val="-1"/>
                <w:sz w:val="18"/>
                <w:szCs w:val="18"/>
              </w:rPr>
              <w:t xml:space="preserve"> </w:t>
            </w:r>
            <w:r w:rsidRPr="00D724E5">
              <w:rPr>
                <w:rFonts w:ascii="Arial" w:hAnsi="Arial" w:cs="Arial"/>
                <w:sz w:val="18"/>
                <w:szCs w:val="18"/>
              </w:rPr>
              <w:t>repairs</w:t>
            </w:r>
          </w:p>
        </w:tc>
        <w:tc>
          <w:tcPr>
            <w:tcW w:w="567" w:type="dxa"/>
          </w:tcPr>
          <w:p w14:paraId="37C7EBBD" w14:textId="77777777" w:rsidR="002A0714" w:rsidRPr="00D724E5" w:rsidRDefault="002A0714" w:rsidP="002A0714">
            <w:pPr>
              <w:pStyle w:val="TableParagraph"/>
              <w:ind w:left="0"/>
              <w:rPr>
                <w:rFonts w:ascii="Arial" w:hAnsi="Arial" w:cs="Arial"/>
                <w:sz w:val="18"/>
                <w:szCs w:val="18"/>
              </w:rPr>
            </w:pPr>
          </w:p>
        </w:tc>
        <w:tc>
          <w:tcPr>
            <w:tcW w:w="533" w:type="dxa"/>
          </w:tcPr>
          <w:p w14:paraId="0BAB9505" w14:textId="77777777" w:rsidR="002A0714" w:rsidRPr="00D724E5" w:rsidRDefault="002A0714" w:rsidP="002A0714">
            <w:pPr>
              <w:pStyle w:val="TableParagraph"/>
              <w:ind w:left="0"/>
              <w:rPr>
                <w:rFonts w:ascii="Arial" w:hAnsi="Arial" w:cs="Arial"/>
                <w:sz w:val="18"/>
                <w:szCs w:val="18"/>
              </w:rPr>
            </w:pPr>
          </w:p>
        </w:tc>
      </w:tr>
      <w:tr w:rsidR="002A0714" w:rsidRPr="00D724E5" w14:paraId="3F223858" w14:textId="77777777" w:rsidTr="002A0714">
        <w:trPr>
          <w:gridAfter w:val="1"/>
          <w:wAfter w:w="13" w:type="dxa"/>
          <w:trHeight w:val="489"/>
        </w:trPr>
        <w:tc>
          <w:tcPr>
            <w:tcW w:w="430" w:type="dxa"/>
            <w:gridSpan w:val="2"/>
            <w:vMerge/>
            <w:tcBorders>
              <w:top w:val="nil"/>
            </w:tcBorders>
          </w:tcPr>
          <w:p w14:paraId="6EF11C7C" w14:textId="77777777" w:rsidR="002A0714" w:rsidRPr="00D724E5" w:rsidRDefault="002A0714" w:rsidP="002A0714">
            <w:pPr>
              <w:rPr>
                <w:rFonts w:ascii="Arial" w:hAnsi="Arial" w:cs="Arial"/>
                <w:sz w:val="18"/>
                <w:szCs w:val="18"/>
              </w:rPr>
            </w:pPr>
          </w:p>
        </w:tc>
        <w:tc>
          <w:tcPr>
            <w:tcW w:w="7512" w:type="dxa"/>
            <w:gridSpan w:val="7"/>
          </w:tcPr>
          <w:p w14:paraId="32DEBEDA" w14:textId="77777777" w:rsidR="002A0714" w:rsidRPr="00D724E5" w:rsidRDefault="002A0714" w:rsidP="002A0714">
            <w:pPr>
              <w:pStyle w:val="TableParagraph"/>
              <w:spacing w:line="243" w:lineRule="exact"/>
              <w:ind w:left="107"/>
              <w:rPr>
                <w:rFonts w:ascii="Arial" w:hAnsi="Arial" w:cs="Arial"/>
                <w:sz w:val="18"/>
                <w:szCs w:val="18"/>
              </w:rPr>
            </w:pPr>
            <w:r w:rsidRPr="00D724E5">
              <w:rPr>
                <w:rFonts w:ascii="Arial" w:hAnsi="Arial" w:cs="Arial"/>
                <w:sz w:val="18"/>
                <w:szCs w:val="18"/>
              </w:rPr>
              <w:t>Maintenance</w:t>
            </w:r>
            <w:r w:rsidRPr="00D724E5">
              <w:rPr>
                <w:rFonts w:ascii="Arial" w:hAnsi="Arial" w:cs="Arial"/>
                <w:spacing w:val="-4"/>
                <w:sz w:val="18"/>
                <w:szCs w:val="18"/>
              </w:rPr>
              <w:t xml:space="preserve"> </w:t>
            </w:r>
            <w:r w:rsidRPr="00D724E5">
              <w:rPr>
                <w:rFonts w:ascii="Arial" w:hAnsi="Arial" w:cs="Arial"/>
                <w:sz w:val="18"/>
                <w:szCs w:val="18"/>
              </w:rPr>
              <w:t>due</w:t>
            </w:r>
            <w:r w:rsidRPr="00D724E5">
              <w:rPr>
                <w:rFonts w:ascii="Arial" w:hAnsi="Arial" w:cs="Arial"/>
                <w:spacing w:val="-2"/>
                <w:sz w:val="18"/>
                <w:szCs w:val="18"/>
              </w:rPr>
              <w:t xml:space="preserve"> </w:t>
            </w:r>
            <w:r w:rsidRPr="00D724E5">
              <w:rPr>
                <w:rFonts w:ascii="Arial" w:hAnsi="Arial" w:cs="Arial"/>
                <w:sz w:val="18"/>
                <w:szCs w:val="18"/>
              </w:rPr>
              <w:t>to</w:t>
            </w:r>
            <w:r w:rsidRPr="00D724E5">
              <w:rPr>
                <w:rFonts w:ascii="Arial" w:hAnsi="Arial" w:cs="Arial"/>
                <w:spacing w:val="-2"/>
                <w:sz w:val="18"/>
                <w:szCs w:val="18"/>
              </w:rPr>
              <w:t xml:space="preserve"> </w:t>
            </w:r>
            <w:r w:rsidRPr="00D724E5">
              <w:rPr>
                <w:rFonts w:ascii="Arial" w:hAnsi="Arial" w:cs="Arial"/>
                <w:sz w:val="18"/>
                <w:szCs w:val="18"/>
              </w:rPr>
              <w:t>life-limited</w:t>
            </w:r>
            <w:r w:rsidRPr="00D724E5">
              <w:rPr>
                <w:rFonts w:ascii="Arial" w:hAnsi="Arial" w:cs="Arial"/>
                <w:spacing w:val="-1"/>
                <w:sz w:val="18"/>
                <w:szCs w:val="18"/>
              </w:rPr>
              <w:t xml:space="preserve"> </w:t>
            </w:r>
            <w:r w:rsidRPr="00D724E5">
              <w:rPr>
                <w:rFonts w:ascii="Arial" w:hAnsi="Arial" w:cs="Arial"/>
                <w:sz w:val="18"/>
                <w:szCs w:val="18"/>
              </w:rPr>
              <w:t>components</w:t>
            </w:r>
            <w:r w:rsidRPr="00D724E5">
              <w:rPr>
                <w:rFonts w:ascii="Arial" w:hAnsi="Arial" w:cs="Arial"/>
                <w:spacing w:val="-2"/>
                <w:sz w:val="18"/>
                <w:szCs w:val="18"/>
              </w:rPr>
              <w:t xml:space="preserve"> </w:t>
            </w:r>
            <w:r w:rsidRPr="00D724E5">
              <w:rPr>
                <w:rFonts w:ascii="Arial" w:hAnsi="Arial" w:cs="Arial"/>
                <w:sz w:val="18"/>
                <w:szCs w:val="18"/>
              </w:rPr>
              <w:t>(this</w:t>
            </w:r>
            <w:r w:rsidRPr="00D724E5">
              <w:rPr>
                <w:rFonts w:ascii="Arial" w:hAnsi="Arial" w:cs="Arial"/>
                <w:spacing w:val="-4"/>
                <w:sz w:val="18"/>
                <w:szCs w:val="18"/>
              </w:rPr>
              <w:t xml:space="preserve"> </w:t>
            </w:r>
            <w:r w:rsidRPr="00D724E5">
              <w:rPr>
                <w:rFonts w:ascii="Arial" w:hAnsi="Arial" w:cs="Arial"/>
                <w:sz w:val="18"/>
                <w:szCs w:val="18"/>
              </w:rPr>
              <w:t>should</w:t>
            </w:r>
            <w:r w:rsidRPr="00D724E5">
              <w:rPr>
                <w:rFonts w:ascii="Arial" w:hAnsi="Arial" w:cs="Arial"/>
                <w:spacing w:val="-1"/>
                <w:sz w:val="18"/>
                <w:szCs w:val="18"/>
              </w:rPr>
              <w:t xml:space="preserve"> </w:t>
            </w:r>
            <w:r w:rsidRPr="00D724E5">
              <w:rPr>
                <w:rFonts w:ascii="Arial" w:hAnsi="Arial" w:cs="Arial"/>
                <w:sz w:val="18"/>
                <w:szCs w:val="18"/>
              </w:rPr>
              <w:t>be</w:t>
            </w:r>
            <w:r w:rsidRPr="00D724E5">
              <w:rPr>
                <w:rFonts w:ascii="Arial" w:hAnsi="Arial" w:cs="Arial"/>
                <w:spacing w:val="-2"/>
                <w:sz w:val="18"/>
                <w:szCs w:val="18"/>
              </w:rPr>
              <w:t xml:space="preserve"> </w:t>
            </w:r>
            <w:r w:rsidRPr="00D724E5">
              <w:rPr>
                <w:rFonts w:ascii="Arial" w:hAnsi="Arial" w:cs="Arial"/>
                <w:sz w:val="18"/>
                <w:szCs w:val="18"/>
              </w:rPr>
              <w:t>only</w:t>
            </w:r>
            <w:r w:rsidRPr="00D724E5">
              <w:rPr>
                <w:rFonts w:ascii="Arial" w:hAnsi="Arial" w:cs="Arial"/>
                <w:spacing w:val="-2"/>
                <w:sz w:val="18"/>
                <w:szCs w:val="18"/>
              </w:rPr>
              <w:t xml:space="preserve"> </w:t>
            </w:r>
            <w:r w:rsidRPr="00D724E5">
              <w:rPr>
                <w:rFonts w:ascii="Arial" w:hAnsi="Arial" w:cs="Arial"/>
                <w:sz w:val="18"/>
                <w:szCs w:val="18"/>
              </w:rPr>
              <w:t>if</w:t>
            </w:r>
            <w:r w:rsidRPr="00D724E5">
              <w:rPr>
                <w:rFonts w:ascii="Arial" w:hAnsi="Arial" w:cs="Arial"/>
                <w:spacing w:val="-1"/>
                <w:sz w:val="18"/>
                <w:szCs w:val="18"/>
              </w:rPr>
              <w:t xml:space="preserve"> </w:t>
            </w:r>
            <w:r w:rsidRPr="00D724E5">
              <w:rPr>
                <w:rFonts w:ascii="Arial" w:hAnsi="Arial" w:cs="Arial"/>
                <w:sz w:val="18"/>
                <w:szCs w:val="18"/>
              </w:rPr>
              <w:t>the</w:t>
            </w:r>
            <w:r w:rsidRPr="00D724E5">
              <w:rPr>
                <w:rFonts w:ascii="Arial" w:hAnsi="Arial" w:cs="Arial"/>
                <w:spacing w:val="-2"/>
                <w:sz w:val="18"/>
                <w:szCs w:val="18"/>
              </w:rPr>
              <w:t xml:space="preserve"> </w:t>
            </w:r>
            <w:r w:rsidRPr="00D724E5">
              <w:rPr>
                <w:rFonts w:ascii="Arial" w:hAnsi="Arial" w:cs="Arial"/>
                <w:sz w:val="18"/>
                <w:szCs w:val="18"/>
              </w:rPr>
              <w:t>MIP</w:t>
            </w:r>
            <w:r w:rsidRPr="00D724E5">
              <w:rPr>
                <w:rFonts w:ascii="Arial" w:hAnsi="Arial" w:cs="Arial"/>
                <w:spacing w:val="-2"/>
                <w:sz w:val="18"/>
                <w:szCs w:val="18"/>
              </w:rPr>
              <w:t xml:space="preserve"> </w:t>
            </w:r>
            <w:r w:rsidRPr="00D724E5">
              <w:rPr>
                <w:rFonts w:ascii="Arial" w:hAnsi="Arial" w:cs="Arial"/>
                <w:sz w:val="18"/>
                <w:szCs w:val="18"/>
              </w:rPr>
              <w:t>is</w:t>
            </w:r>
            <w:r w:rsidRPr="00D724E5">
              <w:rPr>
                <w:rFonts w:ascii="Arial" w:hAnsi="Arial" w:cs="Arial"/>
                <w:spacing w:val="-3"/>
                <w:sz w:val="18"/>
                <w:szCs w:val="18"/>
              </w:rPr>
              <w:t xml:space="preserve"> </w:t>
            </w:r>
            <w:r w:rsidRPr="00D724E5">
              <w:rPr>
                <w:rFonts w:ascii="Arial" w:hAnsi="Arial" w:cs="Arial"/>
                <w:sz w:val="18"/>
                <w:szCs w:val="18"/>
              </w:rPr>
              <w:t>used.</w:t>
            </w:r>
          </w:p>
          <w:p w14:paraId="264C8A23" w14:textId="77777777" w:rsidR="002A0714" w:rsidRPr="00D724E5" w:rsidRDefault="002A0714" w:rsidP="002A0714">
            <w:pPr>
              <w:pStyle w:val="TableParagraph"/>
              <w:spacing w:line="225" w:lineRule="exact"/>
              <w:ind w:left="107"/>
              <w:rPr>
                <w:rFonts w:ascii="Arial" w:hAnsi="Arial" w:cs="Arial"/>
                <w:sz w:val="18"/>
                <w:szCs w:val="18"/>
              </w:rPr>
            </w:pPr>
            <w:r w:rsidRPr="00D724E5">
              <w:rPr>
                <w:rFonts w:ascii="Arial" w:hAnsi="Arial" w:cs="Arial"/>
                <w:sz w:val="18"/>
                <w:szCs w:val="18"/>
              </w:rPr>
              <w:t>Otherwise,</w:t>
            </w:r>
            <w:r w:rsidRPr="00D724E5">
              <w:rPr>
                <w:rFonts w:ascii="Arial" w:hAnsi="Arial" w:cs="Arial"/>
                <w:spacing w:val="-2"/>
                <w:sz w:val="18"/>
                <w:szCs w:val="18"/>
              </w:rPr>
              <w:t xml:space="preserve"> </w:t>
            </w:r>
            <w:r w:rsidRPr="00D724E5">
              <w:rPr>
                <w:rFonts w:ascii="Arial" w:hAnsi="Arial" w:cs="Arial"/>
                <w:sz w:val="18"/>
                <w:szCs w:val="18"/>
              </w:rPr>
              <w:t>this</w:t>
            </w:r>
            <w:r w:rsidRPr="00D724E5">
              <w:rPr>
                <w:rFonts w:ascii="Arial" w:hAnsi="Arial" w:cs="Arial"/>
                <w:spacing w:val="-3"/>
                <w:sz w:val="18"/>
                <w:szCs w:val="18"/>
              </w:rPr>
              <w:t xml:space="preserve"> </w:t>
            </w:r>
            <w:r w:rsidRPr="00D724E5">
              <w:rPr>
                <w:rFonts w:ascii="Arial" w:hAnsi="Arial" w:cs="Arial"/>
                <w:sz w:val="18"/>
                <w:szCs w:val="18"/>
              </w:rPr>
              <w:t>data</w:t>
            </w:r>
            <w:r w:rsidRPr="00D724E5">
              <w:rPr>
                <w:rFonts w:ascii="Arial" w:hAnsi="Arial" w:cs="Arial"/>
                <w:spacing w:val="-2"/>
                <w:sz w:val="18"/>
                <w:szCs w:val="18"/>
              </w:rPr>
              <w:t xml:space="preserve"> </w:t>
            </w:r>
            <w:r w:rsidRPr="00D724E5">
              <w:rPr>
                <w:rFonts w:ascii="Arial" w:hAnsi="Arial" w:cs="Arial"/>
                <w:sz w:val="18"/>
                <w:szCs w:val="18"/>
              </w:rPr>
              <w:t>is</w:t>
            </w:r>
            <w:r w:rsidRPr="00D724E5">
              <w:rPr>
                <w:rFonts w:ascii="Arial" w:hAnsi="Arial" w:cs="Arial"/>
                <w:spacing w:val="-3"/>
                <w:sz w:val="18"/>
                <w:szCs w:val="18"/>
              </w:rPr>
              <w:t xml:space="preserve"> </w:t>
            </w:r>
            <w:r w:rsidRPr="00D724E5">
              <w:rPr>
                <w:rFonts w:ascii="Arial" w:hAnsi="Arial" w:cs="Arial"/>
                <w:sz w:val="18"/>
                <w:szCs w:val="18"/>
              </w:rPr>
              <w:t>already</w:t>
            </w:r>
            <w:r w:rsidRPr="00D724E5">
              <w:rPr>
                <w:rFonts w:ascii="Arial" w:hAnsi="Arial" w:cs="Arial"/>
                <w:spacing w:val="-2"/>
                <w:sz w:val="18"/>
                <w:szCs w:val="18"/>
              </w:rPr>
              <w:t xml:space="preserve"> </w:t>
            </w:r>
            <w:r w:rsidRPr="00D724E5">
              <w:rPr>
                <w:rFonts w:ascii="Arial" w:hAnsi="Arial" w:cs="Arial"/>
                <w:sz w:val="18"/>
                <w:szCs w:val="18"/>
              </w:rPr>
              <w:t>part</w:t>
            </w:r>
            <w:r w:rsidRPr="00D724E5">
              <w:rPr>
                <w:rFonts w:ascii="Arial" w:hAnsi="Arial" w:cs="Arial"/>
                <w:spacing w:val="-1"/>
                <w:sz w:val="18"/>
                <w:szCs w:val="18"/>
              </w:rPr>
              <w:t xml:space="preserve"> </w:t>
            </w:r>
            <w:r w:rsidRPr="00D724E5">
              <w:rPr>
                <w:rFonts w:ascii="Arial" w:hAnsi="Arial" w:cs="Arial"/>
                <w:sz w:val="18"/>
                <w:szCs w:val="18"/>
              </w:rPr>
              <w:t>of</w:t>
            </w:r>
            <w:r w:rsidRPr="00D724E5">
              <w:rPr>
                <w:rFonts w:ascii="Arial" w:hAnsi="Arial" w:cs="Arial"/>
                <w:spacing w:val="-3"/>
                <w:sz w:val="18"/>
                <w:szCs w:val="18"/>
              </w:rPr>
              <w:t xml:space="preserve"> </w:t>
            </w:r>
            <w:r w:rsidRPr="00D724E5">
              <w:rPr>
                <w:rFonts w:ascii="Arial" w:hAnsi="Arial" w:cs="Arial"/>
                <w:sz w:val="18"/>
                <w:szCs w:val="18"/>
              </w:rPr>
              <w:t>the</w:t>
            </w:r>
            <w:r w:rsidRPr="00D724E5">
              <w:rPr>
                <w:rFonts w:ascii="Arial" w:hAnsi="Arial" w:cs="Arial"/>
                <w:spacing w:val="-3"/>
                <w:sz w:val="18"/>
                <w:szCs w:val="18"/>
              </w:rPr>
              <w:t xml:space="preserve"> </w:t>
            </w:r>
            <w:r w:rsidRPr="00D724E5">
              <w:rPr>
                <w:rFonts w:ascii="Arial" w:hAnsi="Arial" w:cs="Arial"/>
                <w:sz w:val="18"/>
                <w:szCs w:val="18"/>
              </w:rPr>
              <w:t>DAH’s</w:t>
            </w:r>
            <w:r w:rsidRPr="00D724E5">
              <w:rPr>
                <w:rFonts w:ascii="Arial" w:hAnsi="Arial" w:cs="Arial"/>
                <w:spacing w:val="-3"/>
                <w:sz w:val="18"/>
                <w:szCs w:val="18"/>
              </w:rPr>
              <w:t xml:space="preserve"> </w:t>
            </w:r>
            <w:r w:rsidRPr="00D724E5">
              <w:rPr>
                <w:rFonts w:ascii="Arial" w:hAnsi="Arial" w:cs="Arial"/>
                <w:sz w:val="18"/>
                <w:szCs w:val="18"/>
              </w:rPr>
              <w:t>data</w:t>
            </w:r>
            <w:r w:rsidRPr="00D724E5">
              <w:rPr>
                <w:rFonts w:ascii="Arial" w:hAnsi="Arial" w:cs="Arial"/>
                <w:spacing w:val="-2"/>
                <w:sz w:val="18"/>
                <w:szCs w:val="18"/>
              </w:rPr>
              <w:t xml:space="preserve"> </w:t>
            </w:r>
            <w:r w:rsidRPr="00D724E5">
              <w:rPr>
                <w:rFonts w:ascii="Arial" w:hAnsi="Arial" w:cs="Arial"/>
                <w:sz w:val="18"/>
                <w:szCs w:val="18"/>
              </w:rPr>
              <w:t>used</w:t>
            </w:r>
            <w:r w:rsidRPr="00D724E5">
              <w:rPr>
                <w:rFonts w:ascii="Arial" w:hAnsi="Arial" w:cs="Arial"/>
                <w:spacing w:val="-1"/>
                <w:sz w:val="18"/>
                <w:szCs w:val="18"/>
              </w:rPr>
              <w:t xml:space="preserve"> </w:t>
            </w:r>
            <w:r w:rsidRPr="00D724E5">
              <w:rPr>
                <w:rFonts w:ascii="Arial" w:hAnsi="Arial" w:cs="Arial"/>
                <w:sz w:val="18"/>
                <w:szCs w:val="18"/>
              </w:rPr>
              <w:t>as</w:t>
            </w:r>
            <w:r w:rsidRPr="00D724E5">
              <w:rPr>
                <w:rFonts w:ascii="Arial" w:hAnsi="Arial" w:cs="Arial"/>
                <w:spacing w:val="-4"/>
                <w:sz w:val="18"/>
                <w:szCs w:val="18"/>
              </w:rPr>
              <w:t xml:space="preserve"> </w:t>
            </w:r>
            <w:r w:rsidRPr="00D724E5">
              <w:rPr>
                <w:rFonts w:ascii="Arial" w:hAnsi="Arial" w:cs="Arial"/>
                <w:sz w:val="18"/>
                <w:szCs w:val="18"/>
              </w:rPr>
              <w:t>a</w:t>
            </w:r>
            <w:r w:rsidRPr="00D724E5">
              <w:rPr>
                <w:rFonts w:ascii="Arial" w:hAnsi="Arial" w:cs="Arial"/>
                <w:spacing w:val="-1"/>
                <w:sz w:val="18"/>
                <w:szCs w:val="18"/>
              </w:rPr>
              <w:t xml:space="preserve"> </w:t>
            </w:r>
            <w:r w:rsidRPr="00D724E5">
              <w:rPr>
                <w:rFonts w:ascii="Arial" w:hAnsi="Arial" w:cs="Arial"/>
                <w:sz w:val="18"/>
                <w:szCs w:val="18"/>
              </w:rPr>
              <w:t>basis</w:t>
            </w:r>
            <w:r w:rsidRPr="00D724E5">
              <w:rPr>
                <w:rFonts w:ascii="Arial" w:hAnsi="Arial" w:cs="Arial"/>
                <w:spacing w:val="-3"/>
                <w:sz w:val="18"/>
                <w:szCs w:val="18"/>
              </w:rPr>
              <w:t xml:space="preserve"> </w:t>
            </w:r>
            <w:r w:rsidRPr="00D724E5">
              <w:rPr>
                <w:rFonts w:ascii="Arial" w:hAnsi="Arial" w:cs="Arial"/>
                <w:sz w:val="18"/>
                <w:szCs w:val="18"/>
              </w:rPr>
              <w:t>for</w:t>
            </w:r>
            <w:r w:rsidRPr="00D724E5">
              <w:rPr>
                <w:rFonts w:ascii="Arial" w:hAnsi="Arial" w:cs="Arial"/>
                <w:spacing w:val="-2"/>
                <w:sz w:val="18"/>
                <w:szCs w:val="18"/>
              </w:rPr>
              <w:t xml:space="preserve"> </w:t>
            </w:r>
            <w:r w:rsidRPr="00D724E5">
              <w:rPr>
                <w:rFonts w:ascii="Arial" w:hAnsi="Arial" w:cs="Arial"/>
                <w:sz w:val="18"/>
                <w:szCs w:val="18"/>
              </w:rPr>
              <w:t>the</w:t>
            </w:r>
            <w:r w:rsidRPr="00D724E5">
              <w:rPr>
                <w:rFonts w:ascii="Arial" w:hAnsi="Arial" w:cs="Arial"/>
                <w:spacing w:val="-2"/>
                <w:sz w:val="18"/>
                <w:szCs w:val="18"/>
              </w:rPr>
              <w:t xml:space="preserve"> </w:t>
            </w:r>
            <w:r w:rsidRPr="00D724E5">
              <w:rPr>
                <w:rFonts w:ascii="Arial" w:hAnsi="Arial" w:cs="Arial"/>
                <w:sz w:val="18"/>
                <w:szCs w:val="18"/>
              </w:rPr>
              <w:t>AMP.)</w:t>
            </w:r>
          </w:p>
        </w:tc>
        <w:tc>
          <w:tcPr>
            <w:tcW w:w="567" w:type="dxa"/>
          </w:tcPr>
          <w:p w14:paraId="615C2B7E" w14:textId="77777777" w:rsidR="002A0714" w:rsidRPr="00D724E5" w:rsidRDefault="002A0714" w:rsidP="002A0714">
            <w:pPr>
              <w:pStyle w:val="TableParagraph"/>
              <w:ind w:left="0"/>
              <w:rPr>
                <w:rFonts w:ascii="Arial" w:hAnsi="Arial" w:cs="Arial"/>
                <w:sz w:val="18"/>
                <w:szCs w:val="18"/>
              </w:rPr>
            </w:pPr>
          </w:p>
        </w:tc>
        <w:tc>
          <w:tcPr>
            <w:tcW w:w="533" w:type="dxa"/>
          </w:tcPr>
          <w:p w14:paraId="27FD6541" w14:textId="77777777" w:rsidR="002A0714" w:rsidRPr="00D724E5" w:rsidRDefault="002A0714" w:rsidP="002A0714">
            <w:pPr>
              <w:pStyle w:val="TableParagraph"/>
              <w:ind w:left="0"/>
              <w:rPr>
                <w:rFonts w:ascii="Arial" w:hAnsi="Arial" w:cs="Arial"/>
                <w:sz w:val="18"/>
                <w:szCs w:val="18"/>
              </w:rPr>
            </w:pPr>
          </w:p>
        </w:tc>
      </w:tr>
      <w:tr w:rsidR="002A0714" w:rsidRPr="00D724E5" w14:paraId="55276441" w14:textId="77777777" w:rsidTr="002A0714">
        <w:trPr>
          <w:gridAfter w:val="1"/>
          <w:wAfter w:w="13" w:type="dxa"/>
          <w:trHeight w:val="731"/>
        </w:trPr>
        <w:tc>
          <w:tcPr>
            <w:tcW w:w="430" w:type="dxa"/>
            <w:gridSpan w:val="2"/>
            <w:vMerge/>
            <w:tcBorders>
              <w:top w:val="nil"/>
            </w:tcBorders>
          </w:tcPr>
          <w:p w14:paraId="1ED8579F" w14:textId="77777777" w:rsidR="002A0714" w:rsidRPr="00D724E5" w:rsidRDefault="002A0714" w:rsidP="002A0714">
            <w:pPr>
              <w:rPr>
                <w:rFonts w:ascii="Arial" w:hAnsi="Arial" w:cs="Arial"/>
                <w:sz w:val="18"/>
                <w:szCs w:val="18"/>
              </w:rPr>
            </w:pPr>
          </w:p>
        </w:tc>
        <w:tc>
          <w:tcPr>
            <w:tcW w:w="7512" w:type="dxa"/>
            <w:gridSpan w:val="7"/>
          </w:tcPr>
          <w:p w14:paraId="6CA62575" w14:textId="77777777" w:rsidR="002A0714" w:rsidRPr="00D724E5" w:rsidRDefault="002A0714" w:rsidP="002A0714">
            <w:pPr>
              <w:pStyle w:val="TableParagraph"/>
              <w:ind w:left="107"/>
              <w:rPr>
                <w:rFonts w:ascii="Arial" w:hAnsi="Arial" w:cs="Arial"/>
                <w:sz w:val="18"/>
                <w:szCs w:val="18"/>
              </w:rPr>
            </w:pPr>
            <w:r w:rsidRPr="00D724E5">
              <w:rPr>
                <w:rFonts w:ascii="Arial" w:hAnsi="Arial" w:cs="Arial"/>
                <w:sz w:val="18"/>
                <w:szCs w:val="18"/>
              </w:rPr>
              <w:t>Maintenance due to mandatory continuing airworthiness information (airworthiness</w:t>
            </w:r>
            <w:r w:rsidRPr="00D724E5">
              <w:rPr>
                <w:rFonts w:ascii="Arial" w:hAnsi="Arial" w:cs="Arial"/>
                <w:spacing w:val="1"/>
                <w:sz w:val="18"/>
                <w:szCs w:val="18"/>
              </w:rPr>
              <w:t xml:space="preserve"> </w:t>
            </w:r>
            <w:r w:rsidRPr="00D724E5">
              <w:rPr>
                <w:rFonts w:ascii="Arial" w:hAnsi="Arial" w:cs="Arial"/>
                <w:sz w:val="18"/>
                <w:szCs w:val="18"/>
              </w:rPr>
              <w:t>limitations</w:t>
            </w:r>
            <w:r w:rsidRPr="00D724E5">
              <w:rPr>
                <w:rFonts w:ascii="Arial" w:hAnsi="Arial" w:cs="Arial"/>
                <w:spacing w:val="-6"/>
                <w:sz w:val="18"/>
                <w:szCs w:val="18"/>
              </w:rPr>
              <w:t xml:space="preserve"> </w:t>
            </w:r>
            <w:r w:rsidRPr="00D724E5">
              <w:rPr>
                <w:rFonts w:ascii="Arial" w:hAnsi="Arial" w:cs="Arial"/>
                <w:sz w:val="18"/>
                <w:szCs w:val="18"/>
              </w:rPr>
              <w:t>(ALIs),</w:t>
            </w:r>
            <w:r w:rsidRPr="00D724E5">
              <w:rPr>
                <w:rFonts w:ascii="Arial" w:hAnsi="Arial" w:cs="Arial"/>
                <w:spacing w:val="-5"/>
                <w:sz w:val="18"/>
                <w:szCs w:val="18"/>
              </w:rPr>
              <w:t xml:space="preserve"> </w:t>
            </w:r>
            <w:r w:rsidRPr="00D724E5">
              <w:rPr>
                <w:rFonts w:ascii="Arial" w:hAnsi="Arial" w:cs="Arial"/>
                <w:sz w:val="18"/>
                <w:szCs w:val="18"/>
              </w:rPr>
              <w:t>certification</w:t>
            </w:r>
            <w:r w:rsidRPr="00D724E5">
              <w:rPr>
                <w:rFonts w:ascii="Arial" w:hAnsi="Arial" w:cs="Arial"/>
                <w:spacing w:val="-3"/>
                <w:sz w:val="18"/>
                <w:szCs w:val="18"/>
              </w:rPr>
              <w:t xml:space="preserve"> </w:t>
            </w:r>
            <w:r w:rsidRPr="00D724E5">
              <w:rPr>
                <w:rFonts w:ascii="Arial" w:hAnsi="Arial" w:cs="Arial"/>
                <w:sz w:val="18"/>
                <w:szCs w:val="18"/>
              </w:rPr>
              <w:t>maintenance</w:t>
            </w:r>
            <w:r w:rsidRPr="00D724E5">
              <w:rPr>
                <w:rFonts w:ascii="Arial" w:hAnsi="Arial" w:cs="Arial"/>
                <w:spacing w:val="-6"/>
                <w:sz w:val="18"/>
                <w:szCs w:val="18"/>
              </w:rPr>
              <w:t xml:space="preserve"> </w:t>
            </w:r>
            <w:r w:rsidRPr="00D724E5">
              <w:rPr>
                <w:rFonts w:ascii="Arial" w:hAnsi="Arial" w:cs="Arial"/>
                <w:sz w:val="18"/>
                <w:szCs w:val="18"/>
              </w:rPr>
              <w:t>requirements</w:t>
            </w:r>
            <w:r w:rsidRPr="00D724E5">
              <w:rPr>
                <w:rFonts w:ascii="Arial" w:hAnsi="Arial" w:cs="Arial"/>
                <w:spacing w:val="-6"/>
                <w:sz w:val="18"/>
                <w:szCs w:val="18"/>
              </w:rPr>
              <w:t xml:space="preserve"> </w:t>
            </w:r>
            <w:r w:rsidRPr="00D724E5">
              <w:rPr>
                <w:rFonts w:ascii="Arial" w:hAnsi="Arial" w:cs="Arial"/>
                <w:sz w:val="18"/>
                <w:szCs w:val="18"/>
              </w:rPr>
              <w:t>(CMRs),</w:t>
            </w:r>
            <w:r w:rsidRPr="00D724E5">
              <w:rPr>
                <w:rFonts w:ascii="Arial" w:hAnsi="Arial" w:cs="Arial"/>
                <w:spacing w:val="-4"/>
                <w:sz w:val="18"/>
                <w:szCs w:val="18"/>
              </w:rPr>
              <w:t xml:space="preserve"> </w:t>
            </w:r>
            <w:r w:rsidRPr="00D724E5">
              <w:rPr>
                <w:rFonts w:ascii="Arial" w:hAnsi="Arial" w:cs="Arial"/>
                <w:sz w:val="18"/>
                <w:szCs w:val="18"/>
              </w:rPr>
              <w:t>specific</w:t>
            </w:r>
            <w:r w:rsidRPr="00D724E5">
              <w:rPr>
                <w:rFonts w:ascii="Arial" w:hAnsi="Arial" w:cs="Arial"/>
                <w:spacing w:val="-4"/>
                <w:sz w:val="18"/>
                <w:szCs w:val="18"/>
              </w:rPr>
              <w:t xml:space="preserve"> </w:t>
            </w:r>
            <w:r w:rsidRPr="00D724E5">
              <w:rPr>
                <w:rFonts w:ascii="Arial" w:hAnsi="Arial" w:cs="Arial"/>
                <w:sz w:val="18"/>
                <w:szCs w:val="18"/>
              </w:rPr>
              <w:t>requirements</w:t>
            </w:r>
          </w:p>
          <w:p w14:paraId="3CF7EA46" w14:textId="77777777" w:rsidR="002A0714" w:rsidRPr="00D724E5" w:rsidRDefault="002A0714" w:rsidP="002A0714">
            <w:pPr>
              <w:pStyle w:val="TableParagraph"/>
              <w:spacing w:line="224" w:lineRule="exact"/>
              <w:ind w:left="107"/>
              <w:rPr>
                <w:rFonts w:ascii="Arial" w:hAnsi="Arial" w:cs="Arial"/>
                <w:sz w:val="18"/>
                <w:szCs w:val="18"/>
              </w:rPr>
            </w:pPr>
            <w:r w:rsidRPr="00D724E5">
              <w:rPr>
                <w:rFonts w:ascii="Arial" w:hAnsi="Arial" w:cs="Arial"/>
                <w:sz w:val="18"/>
                <w:szCs w:val="18"/>
              </w:rPr>
              <w:t>in</w:t>
            </w:r>
            <w:r w:rsidRPr="00D724E5">
              <w:rPr>
                <w:rFonts w:ascii="Arial" w:hAnsi="Arial" w:cs="Arial"/>
                <w:spacing w:val="-3"/>
                <w:sz w:val="18"/>
                <w:szCs w:val="18"/>
              </w:rPr>
              <w:t xml:space="preserve"> </w:t>
            </w:r>
            <w:r w:rsidRPr="00D724E5">
              <w:rPr>
                <w:rFonts w:ascii="Arial" w:hAnsi="Arial" w:cs="Arial"/>
                <w:sz w:val="18"/>
                <w:szCs w:val="18"/>
              </w:rPr>
              <w:t>the</w:t>
            </w:r>
            <w:r w:rsidRPr="00D724E5">
              <w:rPr>
                <w:rFonts w:ascii="Arial" w:hAnsi="Arial" w:cs="Arial"/>
                <w:spacing w:val="-2"/>
                <w:sz w:val="18"/>
                <w:szCs w:val="18"/>
              </w:rPr>
              <w:t xml:space="preserve"> </w:t>
            </w:r>
            <w:r w:rsidRPr="00D724E5">
              <w:rPr>
                <w:rFonts w:ascii="Arial" w:hAnsi="Arial" w:cs="Arial"/>
                <w:sz w:val="18"/>
                <w:szCs w:val="18"/>
              </w:rPr>
              <w:t>TCDS,</w:t>
            </w:r>
            <w:r w:rsidRPr="00D724E5">
              <w:rPr>
                <w:rFonts w:ascii="Arial" w:hAnsi="Arial" w:cs="Arial"/>
                <w:spacing w:val="-3"/>
                <w:sz w:val="18"/>
                <w:szCs w:val="18"/>
              </w:rPr>
              <w:t xml:space="preserve"> </w:t>
            </w:r>
            <w:r w:rsidRPr="00D724E5">
              <w:rPr>
                <w:rFonts w:ascii="Arial" w:hAnsi="Arial" w:cs="Arial"/>
                <w:sz w:val="18"/>
                <w:szCs w:val="18"/>
              </w:rPr>
              <w:t>etc.)</w:t>
            </w:r>
          </w:p>
        </w:tc>
        <w:tc>
          <w:tcPr>
            <w:tcW w:w="567" w:type="dxa"/>
          </w:tcPr>
          <w:p w14:paraId="0DE34125" w14:textId="77777777" w:rsidR="002A0714" w:rsidRPr="00D724E5" w:rsidRDefault="002A0714" w:rsidP="002A0714">
            <w:pPr>
              <w:pStyle w:val="TableParagraph"/>
              <w:ind w:left="0"/>
              <w:rPr>
                <w:rFonts w:ascii="Arial" w:hAnsi="Arial" w:cs="Arial"/>
                <w:sz w:val="18"/>
                <w:szCs w:val="18"/>
              </w:rPr>
            </w:pPr>
          </w:p>
        </w:tc>
        <w:tc>
          <w:tcPr>
            <w:tcW w:w="533" w:type="dxa"/>
          </w:tcPr>
          <w:p w14:paraId="6246E761" w14:textId="77777777" w:rsidR="002A0714" w:rsidRPr="00D724E5" w:rsidRDefault="002A0714" w:rsidP="002A0714">
            <w:pPr>
              <w:pStyle w:val="TableParagraph"/>
              <w:ind w:left="0"/>
              <w:rPr>
                <w:rFonts w:ascii="Arial" w:hAnsi="Arial" w:cs="Arial"/>
                <w:sz w:val="18"/>
                <w:szCs w:val="18"/>
              </w:rPr>
            </w:pPr>
          </w:p>
        </w:tc>
      </w:tr>
      <w:tr w:rsidR="002A0714" w:rsidRPr="00D724E5" w14:paraId="3C7C15EB" w14:textId="77777777" w:rsidTr="002A0714">
        <w:trPr>
          <w:gridAfter w:val="1"/>
          <w:wAfter w:w="13" w:type="dxa"/>
          <w:trHeight w:val="486"/>
        </w:trPr>
        <w:tc>
          <w:tcPr>
            <w:tcW w:w="430" w:type="dxa"/>
            <w:gridSpan w:val="2"/>
            <w:vMerge/>
            <w:tcBorders>
              <w:top w:val="nil"/>
            </w:tcBorders>
          </w:tcPr>
          <w:p w14:paraId="633E00A8" w14:textId="77777777" w:rsidR="002A0714" w:rsidRPr="00D724E5" w:rsidRDefault="002A0714" w:rsidP="002A0714">
            <w:pPr>
              <w:rPr>
                <w:rFonts w:ascii="Arial" w:hAnsi="Arial" w:cs="Arial"/>
                <w:sz w:val="18"/>
                <w:szCs w:val="18"/>
              </w:rPr>
            </w:pPr>
          </w:p>
        </w:tc>
        <w:tc>
          <w:tcPr>
            <w:tcW w:w="7512" w:type="dxa"/>
            <w:gridSpan w:val="7"/>
          </w:tcPr>
          <w:p w14:paraId="5CAC0E36" w14:textId="77777777" w:rsidR="002A0714" w:rsidRPr="00D724E5" w:rsidRDefault="002A0714" w:rsidP="003E687E">
            <w:pPr>
              <w:pStyle w:val="TableParagraph"/>
              <w:spacing w:line="243" w:lineRule="exact"/>
              <w:ind w:left="107"/>
              <w:jc w:val="both"/>
              <w:rPr>
                <w:rFonts w:ascii="Arial" w:hAnsi="Arial" w:cs="Arial"/>
                <w:sz w:val="18"/>
                <w:szCs w:val="18"/>
              </w:rPr>
            </w:pPr>
            <w:r w:rsidRPr="00D724E5">
              <w:rPr>
                <w:rFonts w:ascii="Arial" w:hAnsi="Arial" w:cs="Arial"/>
                <w:sz w:val="18"/>
                <w:szCs w:val="18"/>
              </w:rPr>
              <w:t>Maintenance</w:t>
            </w:r>
            <w:r w:rsidRPr="00D724E5">
              <w:rPr>
                <w:rFonts w:ascii="Arial" w:hAnsi="Arial" w:cs="Arial"/>
                <w:spacing w:val="-6"/>
                <w:sz w:val="18"/>
                <w:szCs w:val="18"/>
              </w:rPr>
              <w:t xml:space="preserve"> </w:t>
            </w:r>
            <w:r w:rsidRPr="00D724E5">
              <w:rPr>
                <w:rFonts w:ascii="Arial" w:hAnsi="Arial" w:cs="Arial"/>
                <w:sz w:val="18"/>
                <w:szCs w:val="18"/>
              </w:rPr>
              <w:t>recommendations,</w:t>
            </w:r>
            <w:r w:rsidRPr="00D724E5">
              <w:rPr>
                <w:rFonts w:ascii="Arial" w:hAnsi="Arial" w:cs="Arial"/>
                <w:spacing w:val="-3"/>
                <w:sz w:val="18"/>
                <w:szCs w:val="18"/>
              </w:rPr>
              <w:t xml:space="preserve"> </w:t>
            </w:r>
            <w:r w:rsidRPr="00D724E5">
              <w:rPr>
                <w:rFonts w:ascii="Arial" w:hAnsi="Arial" w:cs="Arial"/>
                <w:sz w:val="18"/>
                <w:szCs w:val="18"/>
              </w:rPr>
              <w:t>such</w:t>
            </w:r>
            <w:r w:rsidRPr="00D724E5">
              <w:rPr>
                <w:rFonts w:ascii="Arial" w:hAnsi="Arial" w:cs="Arial"/>
                <w:spacing w:val="-3"/>
                <w:sz w:val="18"/>
                <w:szCs w:val="18"/>
              </w:rPr>
              <w:t xml:space="preserve"> </w:t>
            </w:r>
            <w:r w:rsidRPr="00D724E5">
              <w:rPr>
                <w:rFonts w:ascii="Arial" w:hAnsi="Arial" w:cs="Arial"/>
                <w:sz w:val="18"/>
                <w:szCs w:val="18"/>
              </w:rPr>
              <w:t>as</w:t>
            </w:r>
            <w:r w:rsidRPr="00D724E5">
              <w:rPr>
                <w:rFonts w:ascii="Arial" w:hAnsi="Arial" w:cs="Arial"/>
                <w:spacing w:val="-6"/>
                <w:sz w:val="18"/>
                <w:szCs w:val="18"/>
              </w:rPr>
              <w:t xml:space="preserve"> </w:t>
            </w:r>
            <w:r w:rsidRPr="00D724E5">
              <w:rPr>
                <w:rFonts w:ascii="Arial" w:hAnsi="Arial" w:cs="Arial"/>
                <w:sz w:val="18"/>
                <w:szCs w:val="18"/>
              </w:rPr>
              <w:t>time</w:t>
            </w:r>
            <w:r w:rsidRPr="00D724E5">
              <w:rPr>
                <w:rFonts w:ascii="Arial" w:hAnsi="Arial" w:cs="Arial"/>
                <w:spacing w:val="-4"/>
                <w:sz w:val="18"/>
                <w:szCs w:val="18"/>
              </w:rPr>
              <w:t xml:space="preserve"> </w:t>
            </w:r>
            <w:r w:rsidRPr="00D724E5">
              <w:rPr>
                <w:rFonts w:ascii="Arial" w:hAnsi="Arial" w:cs="Arial"/>
                <w:sz w:val="18"/>
                <w:szCs w:val="18"/>
              </w:rPr>
              <w:t>between</w:t>
            </w:r>
            <w:r w:rsidRPr="00D724E5">
              <w:rPr>
                <w:rFonts w:ascii="Arial" w:hAnsi="Arial" w:cs="Arial"/>
                <w:spacing w:val="-3"/>
                <w:sz w:val="18"/>
                <w:szCs w:val="18"/>
              </w:rPr>
              <w:t xml:space="preserve"> </w:t>
            </w:r>
            <w:r w:rsidRPr="00D724E5">
              <w:rPr>
                <w:rFonts w:ascii="Arial" w:hAnsi="Arial" w:cs="Arial"/>
                <w:sz w:val="18"/>
                <w:szCs w:val="18"/>
              </w:rPr>
              <w:t>overhaul</w:t>
            </w:r>
            <w:r w:rsidRPr="00D724E5">
              <w:rPr>
                <w:rFonts w:ascii="Arial" w:hAnsi="Arial" w:cs="Arial"/>
                <w:spacing w:val="-4"/>
                <w:sz w:val="18"/>
                <w:szCs w:val="18"/>
              </w:rPr>
              <w:t xml:space="preserve"> </w:t>
            </w:r>
            <w:r w:rsidRPr="00D724E5">
              <w:rPr>
                <w:rFonts w:ascii="Arial" w:hAnsi="Arial" w:cs="Arial"/>
                <w:sz w:val="18"/>
                <w:szCs w:val="18"/>
              </w:rPr>
              <w:t>(TBO)</w:t>
            </w:r>
            <w:r w:rsidRPr="00D724E5">
              <w:rPr>
                <w:rFonts w:ascii="Arial" w:hAnsi="Arial" w:cs="Arial"/>
                <w:spacing w:val="-4"/>
                <w:sz w:val="18"/>
                <w:szCs w:val="18"/>
              </w:rPr>
              <w:t xml:space="preserve"> </w:t>
            </w:r>
            <w:r w:rsidRPr="00D724E5">
              <w:rPr>
                <w:rFonts w:ascii="Arial" w:hAnsi="Arial" w:cs="Arial"/>
                <w:sz w:val="18"/>
                <w:szCs w:val="18"/>
              </w:rPr>
              <w:t>intervals,</w:t>
            </w:r>
            <w:r w:rsidRPr="00D724E5">
              <w:rPr>
                <w:rFonts w:ascii="Arial" w:hAnsi="Arial" w:cs="Arial"/>
                <w:spacing w:val="-3"/>
                <w:sz w:val="18"/>
                <w:szCs w:val="18"/>
              </w:rPr>
              <w:t xml:space="preserve"> </w:t>
            </w:r>
            <w:r w:rsidRPr="00D724E5">
              <w:rPr>
                <w:rFonts w:ascii="Arial" w:hAnsi="Arial" w:cs="Arial"/>
                <w:sz w:val="18"/>
                <w:szCs w:val="18"/>
              </w:rPr>
              <w:t>issued</w:t>
            </w:r>
          </w:p>
          <w:p w14:paraId="4FAA1E02" w14:textId="77777777" w:rsidR="002A0714" w:rsidRPr="00D724E5" w:rsidRDefault="002A0714" w:rsidP="003E687E">
            <w:pPr>
              <w:pStyle w:val="TableParagraph"/>
              <w:spacing w:line="223" w:lineRule="exact"/>
              <w:ind w:left="107"/>
              <w:jc w:val="both"/>
              <w:rPr>
                <w:rFonts w:ascii="Arial" w:hAnsi="Arial" w:cs="Arial"/>
                <w:sz w:val="18"/>
                <w:szCs w:val="18"/>
              </w:rPr>
            </w:pPr>
            <w:r w:rsidRPr="00D724E5">
              <w:rPr>
                <w:rFonts w:ascii="Arial" w:hAnsi="Arial" w:cs="Arial"/>
                <w:sz w:val="18"/>
                <w:szCs w:val="18"/>
              </w:rPr>
              <w:t>through</w:t>
            </w:r>
            <w:r w:rsidRPr="00D724E5">
              <w:rPr>
                <w:rFonts w:ascii="Arial" w:hAnsi="Arial" w:cs="Arial"/>
                <w:spacing w:val="-4"/>
                <w:sz w:val="18"/>
                <w:szCs w:val="18"/>
              </w:rPr>
              <w:t xml:space="preserve"> </w:t>
            </w:r>
            <w:r w:rsidRPr="00D724E5">
              <w:rPr>
                <w:rFonts w:ascii="Arial" w:hAnsi="Arial" w:cs="Arial"/>
                <w:sz w:val="18"/>
                <w:szCs w:val="18"/>
              </w:rPr>
              <w:t>service</w:t>
            </w:r>
            <w:r w:rsidRPr="00D724E5">
              <w:rPr>
                <w:rFonts w:ascii="Arial" w:hAnsi="Arial" w:cs="Arial"/>
                <w:spacing w:val="-4"/>
                <w:sz w:val="18"/>
                <w:szCs w:val="18"/>
              </w:rPr>
              <w:t xml:space="preserve"> </w:t>
            </w:r>
            <w:r w:rsidRPr="00D724E5">
              <w:rPr>
                <w:rFonts w:ascii="Arial" w:hAnsi="Arial" w:cs="Arial"/>
                <w:sz w:val="18"/>
                <w:szCs w:val="18"/>
              </w:rPr>
              <w:t>bulletins,</w:t>
            </w:r>
            <w:r w:rsidRPr="00D724E5">
              <w:rPr>
                <w:rFonts w:ascii="Arial" w:hAnsi="Arial" w:cs="Arial"/>
                <w:spacing w:val="-1"/>
                <w:sz w:val="18"/>
                <w:szCs w:val="18"/>
              </w:rPr>
              <w:t xml:space="preserve"> </w:t>
            </w:r>
            <w:r w:rsidRPr="00D724E5">
              <w:rPr>
                <w:rFonts w:ascii="Arial" w:hAnsi="Arial" w:cs="Arial"/>
                <w:sz w:val="18"/>
                <w:szCs w:val="18"/>
              </w:rPr>
              <w:t>service</w:t>
            </w:r>
            <w:r w:rsidRPr="00D724E5">
              <w:rPr>
                <w:rFonts w:ascii="Arial" w:hAnsi="Arial" w:cs="Arial"/>
                <w:spacing w:val="-5"/>
                <w:sz w:val="18"/>
                <w:szCs w:val="18"/>
              </w:rPr>
              <w:t xml:space="preserve"> </w:t>
            </w:r>
            <w:r w:rsidRPr="00D724E5">
              <w:rPr>
                <w:rFonts w:ascii="Arial" w:hAnsi="Arial" w:cs="Arial"/>
                <w:sz w:val="18"/>
                <w:szCs w:val="18"/>
              </w:rPr>
              <w:t>letters,</w:t>
            </w:r>
            <w:r w:rsidRPr="00D724E5">
              <w:rPr>
                <w:rFonts w:ascii="Arial" w:hAnsi="Arial" w:cs="Arial"/>
                <w:spacing w:val="-4"/>
                <w:sz w:val="18"/>
                <w:szCs w:val="18"/>
              </w:rPr>
              <w:t xml:space="preserve"> </w:t>
            </w:r>
            <w:r w:rsidRPr="00D724E5">
              <w:rPr>
                <w:rFonts w:ascii="Arial" w:hAnsi="Arial" w:cs="Arial"/>
                <w:sz w:val="18"/>
                <w:szCs w:val="18"/>
              </w:rPr>
              <w:t>and</w:t>
            </w:r>
            <w:r w:rsidRPr="00D724E5">
              <w:rPr>
                <w:rFonts w:ascii="Arial" w:hAnsi="Arial" w:cs="Arial"/>
                <w:spacing w:val="-3"/>
                <w:sz w:val="18"/>
                <w:szCs w:val="18"/>
              </w:rPr>
              <w:t xml:space="preserve"> </w:t>
            </w:r>
            <w:r w:rsidRPr="00D724E5">
              <w:rPr>
                <w:rFonts w:ascii="Arial" w:hAnsi="Arial" w:cs="Arial"/>
                <w:sz w:val="18"/>
                <w:szCs w:val="18"/>
              </w:rPr>
              <w:t>other</w:t>
            </w:r>
            <w:r w:rsidRPr="00D724E5">
              <w:rPr>
                <w:rFonts w:ascii="Arial" w:hAnsi="Arial" w:cs="Arial"/>
                <w:spacing w:val="-3"/>
                <w:sz w:val="18"/>
                <w:szCs w:val="18"/>
              </w:rPr>
              <w:t xml:space="preserve"> </w:t>
            </w:r>
            <w:r w:rsidRPr="00D724E5">
              <w:rPr>
                <w:rFonts w:ascii="Arial" w:hAnsi="Arial" w:cs="Arial"/>
                <w:sz w:val="18"/>
                <w:szCs w:val="18"/>
              </w:rPr>
              <w:t>non-mandatory</w:t>
            </w:r>
            <w:r w:rsidRPr="00D724E5">
              <w:rPr>
                <w:rFonts w:ascii="Arial" w:hAnsi="Arial" w:cs="Arial"/>
                <w:spacing w:val="-4"/>
                <w:sz w:val="18"/>
                <w:szCs w:val="18"/>
              </w:rPr>
              <w:t xml:space="preserve"> </w:t>
            </w:r>
            <w:r w:rsidRPr="00D724E5">
              <w:rPr>
                <w:rFonts w:ascii="Arial" w:hAnsi="Arial" w:cs="Arial"/>
                <w:sz w:val="18"/>
                <w:szCs w:val="18"/>
              </w:rPr>
              <w:t>service</w:t>
            </w:r>
            <w:r w:rsidRPr="00D724E5">
              <w:rPr>
                <w:rFonts w:ascii="Arial" w:hAnsi="Arial" w:cs="Arial"/>
                <w:spacing w:val="-4"/>
                <w:sz w:val="18"/>
                <w:szCs w:val="18"/>
              </w:rPr>
              <w:t xml:space="preserve"> </w:t>
            </w:r>
            <w:r w:rsidRPr="00D724E5">
              <w:rPr>
                <w:rFonts w:ascii="Arial" w:hAnsi="Arial" w:cs="Arial"/>
                <w:sz w:val="18"/>
                <w:szCs w:val="18"/>
              </w:rPr>
              <w:t>information</w:t>
            </w:r>
          </w:p>
        </w:tc>
        <w:tc>
          <w:tcPr>
            <w:tcW w:w="567" w:type="dxa"/>
          </w:tcPr>
          <w:p w14:paraId="4C4E1E40" w14:textId="77777777" w:rsidR="002A0714" w:rsidRPr="00D724E5" w:rsidRDefault="002A0714" w:rsidP="002A0714">
            <w:pPr>
              <w:pStyle w:val="TableParagraph"/>
              <w:ind w:left="0"/>
              <w:rPr>
                <w:rFonts w:ascii="Arial" w:hAnsi="Arial" w:cs="Arial"/>
                <w:sz w:val="18"/>
                <w:szCs w:val="18"/>
              </w:rPr>
            </w:pPr>
          </w:p>
        </w:tc>
        <w:tc>
          <w:tcPr>
            <w:tcW w:w="533" w:type="dxa"/>
          </w:tcPr>
          <w:p w14:paraId="6BEB49D3" w14:textId="77777777" w:rsidR="002A0714" w:rsidRPr="00D724E5" w:rsidRDefault="002A0714" w:rsidP="002A0714">
            <w:pPr>
              <w:pStyle w:val="TableParagraph"/>
              <w:ind w:left="0"/>
              <w:rPr>
                <w:rFonts w:ascii="Arial" w:hAnsi="Arial" w:cs="Arial"/>
                <w:sz w:val="18"/>
                <w:szCs w:val="18"/>
              </w:rPr>
            </w:pPr>
          </w:p>
        </w:tc>
      </w:tr>
      <w:tr w:rsidR="002A0714" w:rsidRPr="00D724E5" w14:paraId="6CCC3585" w14:textId="77777777" w:rsidTr="002A0714">
        <w:trPr>
          <w:gridAfter w:val="1"/>
          <w:wAfter w:w="13" w:type="dxa"/>
          <w:trHeight w:val="244"/>
        </w:trPr>
        <w:tc>
          <w:tcPr>
            <w:tcW w:w="430" w:type="dxa"/>
            <w:gridSpan w:val="2"/>
            <w:vMerge/>
            <w:tcBorders>
              <w:top w:val="nil"/>
            </w:tcBorders>
          </w:tcPr>
          <w:p w14:paraId="7F61B25B" w14:textId="77777777" w:rsidR="002A0714" w:rsidRPr="00D724E5" w:rsidRDefault="002A0714" w:rsidP="002A0714">
            <w:pPr>
              <w:rPr>
                <w:rFonts w:ascii="Arial" w:hAnsi="Arial" w:cs="Arial"/>
                <w:sz w:val="18"/>
                <w:szCs w:val="18"/>
              </w:rPr>
            </w:pPr>
          </w:p>
        </w:tc>
        <w:tc>
          <w:tcPr>
            <w:tcW w:w="7512" w:type="dxa"/>
            <w:gridSpan w:val="7"/>
          </w:tcPr>
          <w:p w14:paraId="62045307" w14:textId="77777777" w:rsidR="002A0714" w:rsidRPr="00D724E5" w:rsidRDefault="002A0714" w:rsidP="002A0714">
            <w:pPr>
              <w:pStyle w:val="TableParagraph"/>
              <w:spacing w:before="1" w:line="223" w:lineRule="exact"/>
              <w:ind w:left="107"/>
              <w:rPr>
                <w:rFonts w:ascii="Arial" w:hAnsi="Arial" w:cs="Arial"/>
                <w:sz w:val="18"/>
                <w:szCs w:val="18"/>
              </w:rPr>
            </w:pPr>
            <w:r w:rsidRPr="00D724E5">
              <w:rPr>
                <w:rFonts w:ascii="Arial" w:hAnsi="Arial" w:cs="Arial"/>
                <w:sz w:val="18"/>
                <w:szCs w:val="18"/>
              </w:rPr>
              <w:t>Maintenance</w:t>
            </w:r>
            <w:r w:rsidRPr="00D724E5">
              <w:rPr>
                <w:rFonts w:ascii="Arial" w:hAnsi="Arial" w:cs="Arial"/>
                <w:spacing w:val="-4"/>
                <w:sz w:val="18"/>
                <w:szCs w:val="18"/>
              </w:rPr>
              <w:t xml:space="preserve"> </w:t>
            </w:r>
            <w:r w:rsidRPr="00D724E5">
              <w:rPr>
                <w:rFonts w:ascii="Arial" w:hAnsi="Arial" w:cs="Arial"/>
                <w:sz w:val="18"/>
                <w:szCs w:val="18"/>
              </w:rPr>
              <w:t>due</w:t>
            </w:r>
            <w:r w:rsidRPr="00D724E5">
              <w:rPr>
                <w:rFonts w:ascii="Arial" w:hAnsi="Arial" w:cs="Arial"/>
                <w:spacing w:val="-2"/>
                <w:sz w:val="18"/>
                <w:szCs w:val="18"/>
              </w:rPr>
              <w:t xml:space="preserve"> </w:t>
            </w:r>
            <w:r w:rsidRPr="00D724E5">
              <w:rPr>
                <w:rFonts w:ascii="Arial" w:hAnsi="Arial" w:cs="Arial"/>
                <w:sz w:val="18"/>
                <w:szCs w:val="18"/>
              </w:rPr>
              <w:t>to repetitive</w:t>
            </w:r>
            <w:r w:rsidRPr="00D724E5">
              <w:rPr>
                <w:rFonts w:ascii="Arial" w:hAnsi="Arial" w:cs="Arial"/>
                <w:spacing w:val="-2"/>
                <w:sz w:val="18"/>
                <w:szCs w:val="18"/>
              </w:rPr>
              <w:t xml:space="preserve"> </w:t>
            </w:r>
            <w:r w:rsidRPr="00D724E5">
              <w:rPr>
                <w:rFonts w:ascii="Arial" w:hAnsi="Arial" w:cs="Arial"/>
                <w:sz w:val="18"/>
                <w:szCs w:val="18"/>
              </w:rPr>
              <w:t>ADs</w:t>
            </w:r>
          </w:p>
        </w:tc>
        <w:tc>
          <w:tcPr>
            <w:tcW w:w="567" w:type="dxa"/>
          </w:tcPr>
          <w:p w14:paraId="5AF22B0D" w14:textId="77777777" w:rsidR="002A0714" w:rsidRPr="00D724E5" w:rsidRDefault="002A0714" w:rsidP="002A0714">
            <w:pPr>
              <w:pStyle w:val="TableParagraph"/>
              <w:ind w:left="0"/>
              <w:rPr>
                <w:rFonts w:ascii="Arial" w:hAnsi="Arial" w:cs="Arial"/>
                <w:sz w:val="18"/>
                <w:szCs w:val="18"/>
              </w:rPr>
            </w:pPr>
          </w:p>
        </w:tc>
        <w:tc>
          <w:tcPr>
            <w:tcW w:w="533" w:type="dxa"/>
          </w:tcPr>
          <w:p w14:paraId="176A8710" w14:textId="77777777" w:rsidR="002A0714" w:rsidRPr="00D724E5" w:rsidRDefault="002A0714" w:rsidP="002A0714">
            <w:pPr>
              <w:pStyle w:val="TableParagraph"/>
              <w:ind w:left="0"/>
              <w:rPr>
                <w:rFonts w:ascii="Arial" w:hAnsi="Arial" w:cs="Arial"/>
                <w:sz w:val="18"/>
                <w:szCs w:val="18"/>
              </w:rPr>
            </w:pPr>
          </w:p>
        </w:tc>
      </w:tr>
      <w:tr w:rsidR="002A0714" w:rsidRPr="00D724E5" w14:paraId="13A1A734" w14:textId="77777777" w:rsidTr="002A0714">
        <w:trPr>
          <w:gridAfter w:val="1"/>
          <w:wAfter w:w="13" w:type="dxa"/>
          <w:trHeight w:val="489"/>
        </w:trPr>
        <w:tc>
          <w:tcPr>
            <w:tcW w:w="430" w:type="dxa"/>
            <w:gridSpan w:val="2"/>
            <w:vMerge/>
            <w:tcBorders>
              <w:top w:val="nil"/>
            </w:tcBorders>
          </w:tcPr>
          <w:p w14:paraId="712E1ECF" w14:textId="77777777" w:rsidR="002A0714" w:rsidRPr="00D724E5" w:rsidRDefault="002A0714" w:rsidP="002A0714">
            <w:pPr>
              <w:rPr>
                <w:rFonts w:ascii="Arial" w:hAnsi="Arial" w:cs="Arial"/>
                <w:sz w:val="18"/>
                <w:szCs w:val="18"/>
              </w:rPr>
            </w:pPr>
          </w:p>
        </w:tc>
        <w:tc>
          <w:tcPr>
            <w:tcW w:w="7512" w:type="dxa"/>
            <w:gridSpan w:val="7"/>
          </w:tcPr>
          <w:p w14:paraId="1160CFD5" w14:textId="77777777" w:rsidR="002A0714" w:rsidRPr="00D724E5" w:rsidRDefault="002A0714" w:rsidP="002A0714">
            <w:pPr>
              <w:pStyle w:val="TableParagraph"/>
              <w:spacing w:before="1" w:line="243" w:lineRule="exact"/>
              <w:ind w:left="107"/>
              <w:rPr>
                <w:rFonts w:ascii="Arial" w:hAnsi="Arial" w:cs="Arial"/>
                <w:sz w:val="18"/>
                <w:szCs w:val="18"/>
              </w:rPr>
            </w:pPr>
            <w:r w:rsidRPr="00D724E5">
              <w:rPr>
                <w:rFonts w:ascii="Arial" w:hAnsi="Arial" w:cs="Arial"/>
                <w:sz w:val="18"/>
                <w:szCs w:val="18"/>
              </w:rPr>
              <w:t>Maintenance</w:t>
            </w:r>
            <w:r w:rsidRPr="00D724E5">
              <w:rPr>
                <w:rFonts w:ascii="Arial" w:hAnsi="Arial" w:cs="Arial"/>
                <w:spacing w:val="-6"/>
                <w:sz w:val="18"/>
                <w:szCs w:val="18"/>
              </w:rPr>
              <w:t xml:space="preserve"> </w:t>
            </w:r>
            <w:r w:rsidRPr="00D724E5">
              <w:rPr>
                <w:rFonts w:ascii="Arial" w:hAnsi="Arial" w:cs="Arial"/>
                <w:sz w:val="18"/>
                <w:szCs w:val="18"/>
              </w:rPr>
              <w:t>due</w:t>
            </w:r>
            <w:r w:rsidRPr="00D724E5">
              <w:rPr>
                <w:rFonts w:ascii="Arial" w:hAnsi="Arial" w:cs="Arial"/>
                <w:spacing w:val="-5"/>
                <w:sz w:val="18"/>
                <w:szCs w:val="18"/>
              </w:rPr>
              <w:t xml:space="preserve"> </w:t>
            </w:r>
            <w:r w:rsidRPr="00D724E5">
              <w:rPr>
                <w:rFonts w:ascii="Arial" w:hAnsi="Arial" w:cs="Arial"/>
                <w:sz w:val="18"/>
                <w:szCs w:val="18"/>
              </w:rPr>
              <w:t>to</w:t>
            </w:r>
            <w:r w:rsidRPr="00D724E5">
              <w:rPr>
                <w:rFonts w:ascii="Arial" w:hAnsi="Arial" w:cs="Arial"/>
                <w:spacing w:val="-4"/>
                <w:sz w:val="18"/>
                <w:szCs w:val="18"/>
              </w:rPr>
              <w:t xml:space="preserve"> </w:t>
            </w:r>
            <w:r w:rsidRPr="00D724E5">
              <w:rPr>
                <w:rFonts w:ascii="Arial" w:hAnsi="Arial" w:cs="Arial"/>
                <w:sz w:val="18"/>
                <w:szCs w:val="18"/>
              </w:rPr>
              <w:t>specific</w:t>
            </w:r>
            <w:r w:rsidRPr="00D724E5">
              <w:rPr>
                <w:rFonts w:ascii="Arial" w:hAnsi="Arial" w:cs="Arial"/>
                <w:spacing w:val="-4"/>
                <w:sz w:val="18"/>
                <w:szCs w:val="18"/>
              </w:rPr>
              <w:t xml:space="preserve"> </w:t>
            </w:r>
            <w:r w:rsidRPr="00D724E5">
              <w:rPr>
                <w:rFonts w:ascii="Arial" w:hAnsi="Arial" w:cs="Arial"/>
                <w:sz w:val="18"/>
                <w:szCs w:val="18"/>
              </w:rPr>
              <w:t>operational/airspace</w:t>
            </w:r>
            <w:r w:rsidRPr="00D724E5">
              <w:rPr>
                <w:rFonts w:ascii="Arial" w:hAnsi="Arial" w:cs="Arial"/>
                <w:spacing w:val="-5"/>
                <w:sz w:val="18"/>
                <w:szCs w:val="18"/>
              </w:rPr>
              <w:t xml:space="preserve"> </w:t>
            </w:r>
            <w:r w:rsidRPr="00D724E5">
              <w:rPr>
                <w:rFonts w:ascii="Arial" w:hAnsi="Arial" w:cs="Arial"/>
                <w:sz w:val="18"/>
                <w:szCs w:val="18"/>
              </w:rPr>
              <w:t>directives/requirements</w:t>
            </w:r>
            <w:r w:rsidRPr="00D724E5">
              <w:rPr>
                <w:rFonts w:ascii="Arial" w:hAnsi="Arial" w:cs="Arial"/>
                <w:spacing w:val="-5"/>
                <w:sz w:val="18"/>
                <w:szCs w:val="18"/>
              </w:rPr>
              <w:t xml:space="preserve"> </w:t>
            </w:r>
            <w:r w:rsidRPr="00D724E5">
              <w:rPr>
                <w:rFonts w:ascii="Arial" w:hAnsi="Arial" w:cs="Arial"/>
                <w:sz w:val="18"/>
                <w:szCs w:val="18"/>
              </w:rPr>
              <w:t>(altimeter,</w:t>
            </w:r>
          </w:p>
          <w:p w14:paraId="4A11CFC2" w14:textId="77777777" w:rsidR="002A0714" w:rsidRPr="00D724E5" w:rsidRDefault="002A0714" w:rsidP="002A0714">
            <w:pPr>
              <w:pStyle w:val="TableParagraph"/>
              <w:spacing w:line="225" w:lineRule="exact"/>
              <w:ind w:left="107"/>
              <w:rPr>
                <w:rFonts w:ascii="Arial" w:hAnsi="Arial" w:cs="Arial"/>
                <w:sz w:val="18"/>
                <w:szCs w:val="18"/>
              </w:rPr>
            </w:pPr>
            <w:r w:rsidRPr="00D724E5">
              <w:rPr>
                <w:rFonts w:ascii="Arial" w:hAnsi="Arial" w:cs="Arial"/>
                <w:sz w:val="18"/>
                <w:szCs w:val="18"/>
              </w:rPr>
              <w:t>compass,</w:t>
            </w:r>
            <w:r w:rsidRPr="00D724E5">
              <w:rPr>
                <w:rFonts w:ascii="Arial" w:hAnsi="Arial" w:cs="Arial"/>
                <w:spacing w:val="-4"/>
                <w:sz w:val="18"/>
                <w:szCs w:val="18"/>
              </w:rPr>
              <w:t xml:space="preserve"> </w:t>
            </w:r>
            <w:r w:rsidRPr="00D724E5">
              <w:rPr>
                <w:rFonts w:ascii="Arial" w:hAnsi="Arial" w:cs="Arial"/>
                <w:sz w:val="18"/>
                <w:szCs w:val="18"/>
              </w:rPr>
              <w:t>transponder,</w:t>
            </w:r>
            <w:r w:rsidRPr="00D724E5">
              <w:rPr>
                <w:rFonts w:ascii="Arial" w:hAnsi="Arial" w:cs="Arial"/>
                <w:spacing w:val="-4"/>
                <w:sz w:val="18"/>
                <w:szCs w:val="18"/>
              </w:rPr>
              <w:t xml:space="preserve"> </w:t>
            </w:r>
            <w:r w:rsidRPr="00D724E5">
              <w:rPr>
                <w:rFonts w:ascii="Arial" w:hAnsi="Arial" w:cs="Arial"/>
                <w:sz w:val="18"/>
                <w:szCs w:val="18"/>
              </w:rPr>
              <w:t>etc.)</w:t>
            </w:r>
          </w:p>
        </w:tc>
        <w:tc>
          <w:tcPr>
            <w:tcW w:w="567" w:type="dxa"/>
          </w:tcPr>
          <w:p w14:paraId="285C13DA" w14:textId="77777777" w:rsidR="002A0714" w:rsidRPr="00D724E5" w:rsidRDefault="002A0714" w:rsidP="002A0714">
            <w:pPr>
              <w:pStyle w:val="TableParagraph"/>
              <w:ind w:left="0"/>
              <w:rPr>
                <w:rFonts w:ascii="Arial" w:hAnsi="Arial" w:cs="Arial"/>
                <w:sz w:val="18"/>
                <w:szCs w:val="18"/>
              </w:rPr>
            </w:pPr>
          </w:p>
        </w:tc>
        <w:tc>
          <w:tcPr>
            <w:tcW w:w="533" w:type="dxa"/>
          </w:tcPr>
          <w:p w14:paraId="6F726BE2" w14:textId="77777777" w:rsidR="002A0714" w:rsidRPr="00D724E5" w:rsidRDefault="002A0714" w:rsidP="002A0714">
            <w:pPr>
              <w:pStyle w:val="TableParagraph"/>
              <w:ind w:left="0"/>
              <w:rPr>
                <w:rFonts w:ascii="Arial" w:hAnsi="Arial" w:cs="Arial"/>
                <w:sz w:val="18"/>
                <w:szCs w:val="18"/>
              </w:rPr>
            </w:pPr>
          </w:p>
        </w:tc>
      </w:tr>
      <w:tr w:rsidR="002A0714" w:rsidRPr="00D724E5" w14:paraId="5C4A64D0" w14:textId="77777777" w:rsidTr="002A0714">
        <w:trPr>
          <w:gridAfter w:val="1"/>
          <w:wAfter w:w="13" w:type="dxa"/>
          <w:trHeight w:val="245"/>
        </w:trPr>
        <w:tc>
          <w:tcPr>
            <w:tcW w:w="430" w:type="dxa"/>
            <w:gridSpan w:val="2"/>
            <w:vMerge/>
            <w:tcBorders>
              <w:top w:val="nil"/>
            </w:tcBorders>
          </w:tcPr>
          <w:p w14:paraId="3B983129" w14:textId="77777777" w:rsidR="002A0714" w:rsidRPr="00D724E5" w:rsidRDefault="002A0714" w:rsidP="002A0714">
            <w:pPr>
              <w:rPr>
                <w:rFonts w:ascii="Arial" w:hAnsi="Arial" w:cs="Arial"/>
                <w:sz w:val="18"/>
                <w:szCs w:val="18"/>
              </w:rPr>
            </w:pPr>
          </w:p>
        </w:tc>
        <w:tc>
          <w:tcPr>
            <w:tcW w:w="7512" w:type="dxa"/>
            <w:gridSpan w:val="7"/>
          </w:tcPr>
          <w:p w14:paraId="58A2BF5F" w14:textId="77777777" w:rsidR="002A0714" w:rsidRPr="00D724E5" w:rsidRDefault="002A0714" w:rsidP="002A0714">
            <w:pPr>
              <w:pStyle w:val="TableParagraph"/>
              <w:spacing w:line="225" w:lineRule="exact"/>
              <w:ind w:left="107"/>
              <w:rPr>
                <w:rFonts w:ascii="Arial" w:hAnsi="Arial" w:cs="Arial"/>
                <w:sz w:val="18"/>
                <w:szCs w:val="18"/>
              </w:rPr>
            </w:pPr>
            <w:r w:rsidRPr="00D724E5">
              <w:rPr>
                <w:rFonts w:ascii="Arial" w:hAnsi="Arial" w:cs="Arial"/>
                <w:sz w:val="18"/>
                <w:szCs w:val="18"/>
              </w:rPr>
              <w:t>Maintenance</w:t>
            </w:r>
            <w:r w:rsidRPr="00D724E5">
              <w:rPr>
                <w:rFonts w:ascii="Arial" w:hAnsi="Arial" w:cs="Arial"/>
                <w:spacing w:val="-4"/>
                <w:sz w:val="18"/>
                <w:szCs w:val="18"/>
              </w:rPr>
              <w:t xml:space="preserve"> </w:t>
            </w:r>
            <w:r w:rsidRPr="00D724E5">
              <w:rPr>
                <w:rFonts w:ascii="Arial" w:hAnsi="Arial" w:cs="Arial"/>
                <w:sz w:val="18"/>
                <w:szCs w:val="18"/>
              </w:rPr>
              <w:t>due</w:t>
            </w:r>
            <w:r w:rsidRPr="00D724E5">
              <w:rPr>
                <w:rFonts w:ascii="Arial" w:hAnsi="Arial" w:cs="Arial"/>
                <w:spacing w:val="-3"/>
                <w:sz w:val="18"/>
                <w:szCs w:val="18"/>
              </w:rPr>
              <w:t xml:space="preserve"> </w:t>
            </w:r>
            <w:r w:rsidRPr="00D724E5">
              <w:rPr>
                <w:rFonts w:ascii="Arial" w:hAnsi="Arial" w:cs="Arial"/>
                <w:sz w:val="18"/>
                <w:szCs w:val="18"/>
              </w:rPr>
              <w:t>to</w:t>
            </w:r>
            <w:r w:rsidRPr="00D724E5">
              <w:rPr>
                <w:rFonts w:ascii="Arial" w:hAnsi="Arial" w:cs="Arial"/>
                <w:spacing w:val="-3"/>
                <w:sz w:val="18"/>
                <w:szCs w:val="18"/>
              </w:rPr>
              <w:t xml:space="preserve"> </w:t>
            </w:r>
            <w:r w:rsidRPr="00D724E5">
              <w:rPr>
                <w:rFonts w:ascii="Arial" w:hAnsi="Arial" w:cs="Arial"/>
                <w:sz w:val="18"/>
                <w:szCs w:val="18"/>
              </w:rPr>
              <w:t>the</w:t>
            </w:r>
            <w:r w:rsidRPr="00D724E5">
              <w:rPr>
                <w:rFonts w:ascii="Arial" w:hAnsi="Arial" w:cs="Arial"/>
                <w:spacing w:val="-3"/>
                <w:sz w:val="18"/>
                <w:szCs w:val="18"/>
              </w:rPr>
              <w:t xml:space="preserve"> </w:t>
            </w:r>
            <w:r w:rsidRPr="00D724E5">
              <w:rPr>
                <w:rFonts w:ascii="Arial" w:hAnsi="Arial" w:cs="Arial"/>
                <w:sz w:val="18"/>
                <w:szCs w:val="18"/>
              </w:rPr>
              <w:t>type</w:t>
            </w:r>
            <w:r w:rsidRPr="00D724E5">
              <w:rPr>
                <w:rFonts w:ascii="Arial" w:hAnsi="Arial" w:cs="Arial"/>
                <w:spacing w:val="-3"/>
                <w:sz w:val="18"/>
                <w:szCs w:val="18"/>
              </w:rPr>
              <w:t xml:space="preserve"> </w:t>
            </w:r>
            <w:r w:rsidRPr="00D724E5">
              <w:rPr>
                <w:rFonts w:ascii="Arial" w:hAnsi="Arial" w:cs="Arial"/>
                <w:sz w:val="18"/>
                <w:szCs w:val="18"/>
              </w:rPr>
              <w:t>of</w:t>
            </w:r>
            <w:r w:rsidRPr="00D724E5">
              <w:rPr>
                <w:rFonts w:ascii="Arial" w:hAnsi="Arial" w:cs="Arial"/>
                <w:spacing w:val="-4"/>
                <w:sz w:val="18"/>
                <w:szCs w:val="18"/>
              </w:rPr>
              <w:t xml:space="preserve"> </w:t>
            </w:r>
            <w:r w:rsidRPr="00D724E5">
              <w:rPr>
                <w:rFonts w:ascii="Arial" w:hAnsi="Arial" w:cs="Arial"/>
                <w:sz w:val="18"/>
                <w:szCs w:val="18"/>
              </w:rPr>
              <w:t>operation</w:t>
            </w:r>
            <w:r w:rsidRPr="00D724E5">
              <w:rPr>
                <w:rFonts w:ascii="Arial" w:hAnsi="Arial" w:cs="Arial"/>
                <w:spacing w:val="-2"/>
                <w:sz w:val="18"/>
                <w:szCs w:val="18"/>
              </w:rPr>
              <w:t xml:space="preserve"> </w:t>
            </w:r>
            <w:r w:rsidRPr="00D724E5">
              <w:rPr>
                <w:rFonts w:ascii="Arial" w:hAnsi="Arial" w:cs="Arial"/>
                <w:sz w:val="18"/>
                <w:szCs w:val="18"/>
              </w:rPr>
              <w:t>or</w:t>
            </w:r>
            <w:r w:rsidRPr="00D724E5">
              <w:rPr>
                <w:rFonts w:ascii="Arial" w:hAnsi="Arial" w:cs="Arial"/>
                <w:spacing w:val="-2"/>
                <w:sz w:val="18"/>
                <w:szCs w:val="18"/>
              </w:rPr>
              <w:t xml:space="preserve"> </w:t>
            </w:r>
            <w:r w:rsidRPr="00D724E5">
              <w:rPr>
                <w:rFonts w:ascii="Arial" w:hAnsi="Arial" w:cs="Arial"/>
                <w:sz w:val="18"/>
                <w:szCs w:val="18"/>
              </w:rPr>
              <w:t>operational</w:t>
            </w:r>
            <w:r w:rsidRPr="00D724E5">
              <w:rPr>
                <w:rFonts w:ascii="Arial" w:hAnsi="Arial" w:cs="Arial"/>
                <w:spacing w:val="-2"/>
                <w:sz w:val="18"/>
                <w:szCs w:val="18"/>
              </w:rPr>
              <w:t xml:space="preserve"> </w:t>
            </w:r>
            <w:r w:rsidRPr="00D724E5">
              <w:rPr>
                <w:rFonts w:ascii="Arial" w:hAnsi="Arial" w:cs="Arial"/>
                <w:sz w:val="18"/>
                <w:szCs w:val="18"/>
              </w:rPr>
              <w:t>approvals</w:t>
            </w:r>
          </w:p>
        </w:tc>
        <w:tc>
          <w:tcPr>
            <w:tcW w:w="567" w:type="dxa"/>
          </w:tcPr>
          <w:p w14:paraId="7694724E" w14:textId="77777777" w:rsidR="002A0714" w:rsidRPr="00D724E5" w:rsidRDefault="002A0714" w:rsidP="002A0714">
            <w:pPr>
              <w:pStyle w:val="TableParagraph"/>
              <w:ind w:left="0"/>
              <w:rPr>
                <w:rFonts w:ascii="Arial" w:hAnsi="Arial" w:cs="Arial"/>
                <w:sz w:val="18"/>
                <w:szCs w:val="18"/>
              </w:rPr>
            </w:pPr>
          </w:p>
        </w:tc>
        <w:tc>
          <w:tcPr>
            <w:tcW w:w="533" w:type="dxa"/>
          </w:tcPr>
          <w:p w14:paraId="37F20F86" w14:textId="77777777" w:rsidR="002A0714" w:rsidRPr="00D724E5" w:rsidRDefault="002A0714" w:rsidP="002A0714">
            <w:pPr>
              <w:pStyle w:val="TableParagraph"/>
              <w:ind w:left="0"/>
              <w:rPr>
                <w:rFonts w:ascii="Arial" w:hAnsi="Arial" w:cs="Arial"/>
                <w:sz w:val="18"/>
                <w:szCs w:val="18"/>
              </w:rPr>
            </w:pPr>
          </w:p>
        </w:tc>
      </w:tr>
      <w:tr w:rsidR="002A0714" w:rsidRPr="00D724E5" w14:paraId="6CCF6917" w14:textId="77777777" w:rsidTr="002A0714">
        <w:trPr>
          <w:gridAfter w:val="1"/>
          <w:wAfter w:w="13" w:type="dxa"/>
          <w:trHeight w:val="244"/>
        </w:trPr>
        <w:tc>
          <w:tcPr>
            <w:tcW w:w="430" w:type="dxa"/>
            <w:gridSpan w:val="2"/>
            <w:vMerge/>
            <w:tcBorders>
              <w:top w:val="nil"/>
            </w:tcBorders>
          </w:tcPr>
          <w:p w14:paraId="2D0A774D" w14:textId="77777777" w:rsidR="002A0714" w:rsidRPr="00D724E5" w:rsidRDefault="002A0714" w:rsidP="002A0714">
            <w:pPr>
              <w:rPr>
                <w:rFonts w:ascii="Arial" w:hAnsi="Arial" w:cs="Arial"/>
                <w:sz w:val="18"/>
                <w:szCs w:val="18"/>
              </w:rPr>
            </w:pPr>
          </w:p>
        </w:tc>
        <w:tc>
          <w:tcPr>
            <w:tcW w:w="7512" w:type="dxa"/>
            <w:gridSpan w:val="7"/>
          </w:tcPr>
          <w:p w14:paraId="058F827E" w14:textId="77777777" w:rsidR="002A0714" w:rsidRPr="00D724E5" w:rsidRDefault="002A0714" w:rsidP="002A0714">
            <w:pPr>
              <w:pStyle w:val="TableParagraph"/>
              <w:spacing w:line="224" w:lineRule="exact"/>
              <w:ind w:left="107"/>
              <w:rPr>
                <w:rFonts w:ascii="Arial" w:hAnsi="Arial" w:cs="Arial"/>
                <w:sz w:val="18"/>
                <w:szCs w:val="18"/>
              </w:rPr>
            </w:pPr>
            <w:r w:rsidRPr="00D724E5">
              <w:rPr>
                <w:rFonts w:ascii="Arial" w:hAnsi="Arial" w:cs="Arial"/>
                <w:sz w:val="18"/>
                <w:szCs w:val="18"/>
              </w:rPr>
              <w:t>Other</w:t>
            </w:r>
          </w:p>
        </w:tc>
        <w:tc>
          <w:tcPr>
            <w:tcW w:w="567" w:type="dxa"/>
          </w:tcPr>
          <w:p w14:paraId="6D8DD41E" w14:textId="77777777" w:rsidR="002A0714" w:rsidRPr="00D724E5" w:rsidRDefault="002A0714" w:rsidP="002A0714">
            <w:pPr>
              <w:pStyle w:val="TableParagraph"/>
              <w:ind w:left="0"/>
              <w:rPr>
                <w:rFonts w:ascii="Arial" w:hAnsi="Arial" w:cs="Arial"/>
                <w:sz w:val="18"/>
                <w:szCs w:val="18"/>
              </w:rPr>
            </w:pPr>
          </w:p>
        </w:tc>
        <w:tc>
          <w:tcPr>
            <w:tcW w:w="533" w:type="dxa"/>
          </w:tcPr>
          <w:p w14:paraId="750F7383" w14:textId="77777777" w:rsidR="002A0714" w:rsidRPr="00D724E5" w:rsidRDefault="002A0714" w:rsidP="002A0714">
            <w:pPr>
              <w:pStyle w:val="TableParagraph"/>
              <w:ind w:left="0"/>
              <w:rPr>
                <w:rFonts w:ascii="Arial" w:hAnsi="Arial" w:cs="Arial"/>
                <w:sz w:val="18"/>
                <w:szCs w:val="18"/>
              </w:rPr>
            </w:pPr>
          </w:p>
        </w:tc>
      </w:tr>
      <w:tr w:rsidR="002A0714" w:rsidRPr="00D724E5" w14:paraId="449D3AC5" w14:textId="77777777" w:rsidTr="008C2414">
        <w:trPr>
          <w:gridAfter w:val="1"/>
          <w:wAfter w:w="13" w:type="dxa"/>
          <w:trHeight w:val="244"/>
        </w:trPr>
        <w:tc>
          <w:tcPr>
            <w:tcW w:w="9042" w:type="dxa"/>
            <w:gridSpan w:val="11"/>
            <w:shd w:val="clear" w:color="auto" w:fill="F2F2F2" w:themeFill="background1" w:themeFillShade="F2"/>
          </w:tcPr>
          <w:p w14:paraId="6BFF84F9" w14:textId="77777777" w:rsidR="002A0714" w:rsidRPr="00D724E5" w:rsidRDefault="002A0714" w:rsidP="002A0714">
            <w:pPr>
              <w:pStyle w:val="TableParagraph"/>
              <w:spacing w:line="224" w:lineRule="exact"/>
              <w:ind w:left="162" w:right="160"/>
              <w:jc w:val="center"/>
              <w:rPr>
                <w:rFonts w:ascii="Arial" w:hAnsi="Arial" w:cs="Arial"/>
                <w:b/>
                <w:sz w:val="18"/>
                <w:szCs w:val="18"/>
              </w:rPr>
            </w:pPr>
            <w:r w:rsidRPr="00D724E5">
              <w:rPr>
                <w:rFonts w:ascii="Arial" w:hAnsi="Arial" w:cs="Arial"/>
                <w:b/>
                <w:sz w:val="18"/>
                <w:szCs w:val="18"/>
              </w:rPr>
              <w:t>Maintenance</w:t>
            </w:r>
            <w:r w:rsidRPr="00D724E5">
              <w:rPr>
                <w:rFonts w:ascii="Arial" w:hAnsi="Arial" w:cs="Arial"/>
                <w:b/>
                <w:spacing w:val="-3"/>
                <w:sz w:val="18"/>
                <w:szCs w:val="18"/>
              </w:rPr>
              <w:t xml:space="preserve"> </w:t>
            </w:r>
            <w:r w:rsidRPr="00D724E5">
              <w:rPr>
                <w:rFonts w:ascii="Arial" w:hAnsi="Arial" w:cs="Arial"/>
                <w:b/>
                <w:sz w:val="18"/>
                <w:szCs w:val="18"/>
              </w:rPr>
              <w:t>tasks</w:t>
            </w:r>
            <w:r w:rsidRPr="00D724E5">
              <w:rPr>
                <w:rFonts w:ascii="Arial" w:hAnsi="Arial" w:cs="Arial"/>
                <w:b/>
                <w:spacing w:val="-3"/>
                <w:sz w:val="18"/>
                <w:szCs w:val="18"/>
              </w:rPr>
              <w:t xml:space="preserve"> </w:t>
            </w:r>
            <w:r w:rsidRPr="00D724E5">
              <w:rPr>
                <w:rFonts w:ascii="Arial" w:hAnsi="Arial" w:cs="Arial"/>
                <w:b/>
                <w:sz w:val="18"/>
                <w:szCs w:val="18"/>
              </w:rPr>
              <w:t>alternative</w:t>
            </w:r>
            <w:r w:rsidRPr="00D724E5">
              <w:rPr>
                <w:rFonts w:ascii="Arial" w:hAnsi="Arial" w:cs="Arial"/>
                <w:b/>
                <w:spacing w:val="-2"/>
                <w:sz w:val="18"/>
                <w:szCs w:val="18"/>
              </w:rPr>
              <w:t xml:space="preserve"> </w:t>
            </w:r>
            <w:r w:rsidRPr="00D724E5">
              <w:rPr>
                <w:rFonts w:ascii="Arial" w:hAnsi="Arial" w:cs="Arial"/>
                <w:b/>
                <w:sz w:val="18"/>
                <w:szCs w:val="18"/>
              </w:rPr>
              <w:t>to</w:t>
            </w:r>
            <w:r w:rsidRPr="00D724E5">
              <w:rPr>
                <w:rFonts w:ascii="Arial" w:hAnsi="Arial" w:cs="Arial"/>
                <w:b/>
                <w:spacing w:val="-2"/>
                <w:sz w:val="18"/>
                <w:szCs w:val="18"/>
              </w:rPr>
              <w:t xml:space="preserve"> </w:t>
            </w:r>
            <w:r w:rsidRPr="00D724E5">
              <w:rPr>
                <w:rFonts w:ascii="Arial" w:hAnsi="Arial" w:cs="Arial"/>
                <w:b/>
                <w:sz w:val="18"/>
                <w:szCs w:val="18"/>
              </w:rPr>
              <w:t>the</w:t>
            </w:r>
            <w:r w:rsidRPr="00D724E5">
              <w:rPr>
                <w:rFonts w:ascii="Arial" w:hAnsi="Arial" w:cs="Arial"/>
                <w:b/>
                <w:spacing w:val="-2"/>
                <w:sz w:val="18"/>
                <w:szCs w:val="18"/>
              </w:rPr>
              <w:t xml:space="preserve"> </w:t>
            </w:r>
            <w:r w:rsidRPr="00D724E5">
              <w:rPr>
                <w:rFonts w:ascii="Arial" w:hAnsi="Arial" w:cs="Arial"/>
                <w:b/>
                <w:sz w:val="18"/>
                <w:szCs w:val="18"/>
              </w:rPr>
              <w:t>DAH’s</w:t>
            </w:r>
            <w:r w:rsidRPr="00D724E5">
              <w:rPr>
                <w:rFonts w:ascii="Arial" w:hAnsi="Arial" w:cs="Arial"/>
                <w:b/>
                <w:spacing w:val="-3"/>
                <w:sz w:val="18"/>
                <w:szCs w:val="18"/>
              </w:rPr>
              <w:t xml:space="preserve"> </w:t>
            </w:r>
            <w:r w:rsidRPr="00D724E5">
              <w:rPr>
                <w:rFonts w:ascii="Arial" w:hAnsi="Arial" w:cs="Arial"/>
                <w:b/>
                <w:sz w:val="18"/>
                <w:szCs w:val="18"/>
              </w:rPr>
              <w:t>ICA</w:t>
            </w:r>
            <w:r w:rsidRPr="00D724E5">
              <w:rPr>
                <w:rFonts w:ascii="Arial" w:hAnsi="Arial" w:cs="Arial"/>
                <w:b/>
                <w:spacing w:val="-3"/>
                <w:sz w:val="18"/>
                <w:szCs w:val="18"/>
              </w:rPr>
              <w:t xml:space="preserve"> </w:t>
            </w:r>
            <w:r w:rsidRPr="00D724E5">
              <w:rPr>
                <w:rFonts w:ascii="Arial" w:hAnsi="Arial" w:cs="Arial"/>
                <w:b/>
                <w:sz w:val="18"/>
                <w:szCs w:val="18"/>
              </w:rPr>
              <w:t>(not</w:t>
            </w:r>
            <w:r w:rsidRPr="00D724E5">
              <w:rPr>
                <w:rFonts w:ascii="Arial" w:hAnsi="Arial" w:cs="Arial"/>
                <w:b/>
                <w:spacing w:val="-3"/>
                <w:sz w:val="18"/>
                <w:szCs w:val="18"/>
              </w:rPr>
              <w:t xml:space="preserve"> </w:t>
            </w:r>
            <w:r w:rsidRPr="00D724E5">
              <w:rPr>
                <w:rFonts w:ascii="Arial" w:hAnsi="Arial" w:cs="Arial"/>
                <w:b/>
                <w:sz w:val="18"/>
                <w:szCs w:val="18"/>
              </w:rPr>
              <w:t>less</w:t>
            </w:r>
            <w:r w:rsidRPr="00D724E5">
              <w:rPr>
                <w:rFonts w:ascii="Arial" w:hAnsi="Arial" w:cs="Arial"/>
                <w:b/>
                <w:spacing w:val="-3"/>
                <w:sz w:val="18"/>
                <w:szCs w:val="18"/>
              </w:rPr>
              <w:t xml:space="preserve"> </w:t>
            </w:r>
            <w:r w:rsidRPr="00D724E5">
              <w:rPr>
                <w:rFonts w:ascii="Arial" w:hAnsi="Arial" w:cs="Arial"/>
                <w:b/>
                <w:sz w:val="18"/>
                <w:szCs w:val="18"/>
              </w:rPr>
              <w:t>restrictive</w:t>
            </w:r>
            <w:r w:rsidRPr="00D724E5">
              <w:rPr>
                <w:rFonts w:ascii="Arial" w:hAnsi="Arial" w:cs="Arial"/>
                <w:b/>
                <w:spacing w:val="-2"/>
                <w:sz w:val="18"/>
                <w:szCs w:val="18"/>
              </w:rPr>
              <w:t xml:space="preserve"> </w:t>
            </w:r>
            <w:r w:rsidRPr="00D724E5">
              <w:rPr>
                <w:rFonts w:ascii="Arial" w:hAnsi="Arial" w:cs="Arial"/>
                <w:b/>
                <w:sz w:val="18"/>
                <w:szCs w:val="18"/>
              </w:rPr>
              <w:t>than</w:t>
            </w:r>
            <w:r w:rsidRPr="00D724E5">
              <w:rPr>
                <w:rFonts w:ascii="Arial" w:hAnsi="Arial" w:cs="Arial"/>
                <w:b/>
                <w:spacing w:val="-2"/>
                <w:sz w:val="18"/>
                <w:szCs w:val="18"/>
              </w:rPr>
              <w:t xml:space="preserve"> </w:t>
            </w:r>
            <w:r w:rsidRPr="00D724E5">
              <w:rPr>
                <w:rFonts w:ascii="Arial" w:hAnsi="Arial" w:cs="Arial"/>
                <w:b/>
                <w:sz w:val="18"/>
                <w:szCs w:val="18"/>
              </w:rPr>
              <w:t>the</w:t>
            </w:r>
            <w:r w:rsidRPr="00D724E5">
              <w:rPr>
                <w:rFonts w:ascii="Arial" w:hAnsi="Arial" w:cs="Arial"/>
                <w:b/>
                <w:spacing w:val="-2"/>
                <w:sz w:val="18"/>
                <w:szCs w:val="18"/>
              </w:rPr>
              <w:t xml:space="preserve"> </w:t>
            </w:r>
            <w:r w:rsidRPr="00D724E5">
              <w:rPr>
                <w:rFonts w:ascii="Arial" w:hAnsi="Arial" w:cs="Arial"/>
                <w:b/>
                <w:sz w:val="18"/>
                <w:szCs w:val="18"/>
              </w:rPr>
              <w:t>MIP)</w:t>
            </w:r>
          </w:p>
        </w:tc>
      </w:tr>
      <w:tr w:rsidR="002A0714" w:rsidRPr="00D724E5" w14:paraId="3EBEA529" w14:textId="77777777" w:rsidTr="002A0714">
        <w:trPr>
          <w:gridAfter w:val="1"/>
          <w:wAfter w:w="13" w:type="dxa"/>
          <w:trHeight w:val="486"/>
        </w:trPr>
        <w:tc>
          <w:tcPr>
            <w:tcW w:w="430" w:type="dxa"/>
            <w:gridSpan w:val="2"/>
          </w:tcPr>
          <w:p w14:paraId="5EE46A36" w14:textId="77777777" w:rsidR="002A0714" w:rsidRPr="00D724E5" w:rsidRDefault="002A0714" w:rsidP="002A0714">
            <w:pPr>
              <w:pStyle w:val="TableParagraph"/>
              <w:spacing w:line="243" w:lineRule="exact"/>
              <w:ind w:left="107"/>
              <w:rPr>
                <w:rFonts w:ascii="Arial" w:hAnsi="Arial" w:cs="Arial"/>
                <w:sz w:val="18"/>
                <w:szCs w:val="18"/>
              </w:rPr>
            </w:pPr>
            <w:r w:rsidRPr="00D724E5">
              <w:rPr>
                <w:rFonts w:ascii="Arial" w:hAnsi="Arial" w:cs="Arial"/>
                <w:w w:val="99"/>
                <w:sz w:val="18"/>
                <w:szCs w:val="18"/>
              </w:rPr>
              <w:t>5</w:t>
            </w:r>
          </w:p>
        </w:tc>
        <w:tc>
          <w:tcPr>
            <w:tcW w:w="7512" w:type="dxa"/>
            <w:gridSpan w:val="7"/>
          </w:tcPr>
          <w:p w14:paraId="7BCB80DD" w14:textId="77777777" w:rsidR="002A0714" w:rsidRPr="00D724E5" w:rsidRDefault="002A0714" w:rsidP="002A0714">
            <w:pPr>
              <w:pStyle w:val="TableParagraph"/>
              <w:spacing w:line="243" w:lineRule="exact"/>
              <w:ind w:left="107"/>
              <w:rPr>
                <w:rFonts w:ascii="Arial" w:hAnsi="Arial" w:cs="Arial"/>
                <w:sz w:val="18"/>
                <w:szCs w:val="18"/>
              </w:rPr>
            </w:pPr>
            <w:r w:rsidRPr="00D724E5">
              <w:rPr>
                <w:rFonts w:ascii="Arial" w:hAnsi="Arial" w:cs="Arial"/>
                <w:sz w:val="18"/>
                <w:szCs w:val="18"/>
              </w:rPr>
              <w:t>Indicate</w:t>
            </w:r>
            <w:r w:rsidRPr="00D724E5">
              <w:rPr>
                <w:rFonts w:ascii="Arial" w:hAnsi="Arial" w:cs="Arial"/>
                <w:spacing w:val="-2"/>
                <w:sz w:val="18"/>
                <w:szCs w:val="18"/>
              </w:rPr>
              <w:t xml:space="preserve"> </w:t>
            </w:r>
            <w:r w:rsidRPr="00D724E5">
              <w:rPr>
                <w:rFonts w:ascii="Arial" w:hAnsi="Arial" w:cs="Arial"/>
                <w:sz w:val="18"/>
                <w:szCs w:val="18"/>
              </w:rPr>
              <w:t>if</w:t>
            </w:r>
            <w:r w:rsidRPr="00D724E5">
              <w:rPr>
                <w:rFonts w:ascii="Arial" w:hAnsi="Arial" w:cs="Arial"/>
                <w:spacing w:val="-3"/>
                <w:sz w:val="18"/>
                <w:szCs w:val="18"/>
              </w:rPr>
              <w:t xml:space="preserve"> </w:t>
            </w:r>
            <w:r w:rsidRPr="00D724E5">
              <w:rPr>
                <w:rFonts w:ascii="Arial" w:hAnsi="Arial" w:cs="Arial"/>
                <w:sz w:val="18"/>
                <w:szCs w:val="18"/>
              </w:rPr>
              <w:t>there</w:t>
            </w:r>
            <w:r w:rsidRPr="00D724E5">
              <w:rPr>
                <w:rFonts w:ascii="Arial" w:hAnsi="Arial" w:cs="Arial"/>
                <w:spacing w:val="-2"/>
                <w:sz w:val="18"/>
                <w:szCs w:val="18"/>
              </w:rPr>
              <w:t xml:space="preserve"> </w:t>
            </w:r>
            <w:r w:rsidRPr="00D724E5">
              <w:rPr>
                <w:rFonts w:ascii="Arial" w:hAnsi="Arial" w:cs="Arial"/>
                <w:sz w:val="18"/>
                <w:szCs w:val="18"/>
              </w:rPr>
              <w:t>is</w:t>
            </w:r>
            <w:r w:rsidRPr="00D724E5">
              <w:rPr>
                <w:rFonts w:ascii="Arial" w:hAnsi="Arial" w:cs="Arial"/>
                <w:spacing w:val="-4"/>
                <w:sz w:val="18"/>
                <w:szCs w:val="18"/>
              </w:rPr>
              <w:t xml:space="preserve"> </w:t>
            </w:r>
            <w:r w:rsidRPr="00D724E5">
              <w:rPr>
                <w:rFonts w:ascii="Arial" w:hAnsi="Arial" w:cs="Arial"/>
                <w:sz w:val="18"/>
                <w:szCs w:val="18"/>
              </w:rPr>
              <w:t>any</w:t>
            </w:r>
            <w:r w:rsidRPr="00D724E5">
              <w:rPr>
                <w:rFonts w:ascii="Arial" w:hAnsi="Arial" w:cs="Arial"/>
                <w:spacing w:val="-1"/>
                <w:sz w:val="18"/>
                <w:szCs w:val="18"/>
              </w:rPr>
              <w:t xml:space="preserve"> </w:t>
            </w:r>
            <w:r w:rsidRPr="00D724E5">
              <w:rPr>
                <w:rFonts w:ascii="Arial" w:hAnsi="Arial" w:cs="Arial"/>
                <w:sz w:val="18"/>
                <w:szCs w:val="18"/>
              </w:rPr>
              <w:t>maintenance</w:t>
            </w:r>
            <w:r w:rsidRPr="00D724E5">
              <w:rPr>
                <w:rFonts w:ascii="Arial" w:hAnsi="Arial" w:cs="Arial"/>
                <w:spacing w:val="-4"/>
                <w:sz w:val="18"/>
                <w:szCs w:val="18"/>
              </w:rPr>
              <w:t xml:space="preserve"> </w:t>
            </w:r>
            <w:r w:rsidRPr="00D724E5">
              <w:rPr>
                <w:rFonts w:ascii="Arial" w:hAnsi="Arial" w:cs="Arial"/>
                <w:sz w:val="18"/>
                <w:szCs w:val="18"/>
              </w:rPr>
              <w:t>task</w:t>
            </w:r>
            <w:r w:rsidRPr="00D724E5">
              <w:rPr>
                <w:rFonts w:ascii="Arial" w:hAnsi="Arial" w:cs="Arial"/>
                <w:spacing w:val="-1"/>
                <w:sz w:val="18"/>
                <w:szCs w:val="18"/>
              </w:rPr>
              <w:t xml:space="preserve"> </w:t>
            </w:r>
            <w:r w:rsidRPr="00D724E5">
              <w:rPr>
                <w:rFonts w:ascii="Arial" w:hAnsi="Arial" w:cs="Arial"/>
                <w:sz w:val="18"/>
                <w:szCs w:val="18"/>
              </w:rPr>
              <w:t>alternative</w:t>
            </w:r>
            <w:r w:rsidRPr="00D724E5">
              <w:rPr>
                <w:rFonts w:ascii="Arial" w:hAnsi="Arial" w:cs="Arial"/>
                <w:spacing w:val="-3"/>
                <w:sz w:val="18"/>
                <w:szCs w:val="18"/>
              </w:rPr>
              <w:t xml:space="preserve"> </w:t>
            </w:r>
            <w:r w:rsidRPr="00D724E5">
              <w:rPr>
                <w:rFonts w:ascii="Arial" w:hAnsi="Arial" w:cs="Arial"/>
                <w:sz w:val="18"/>
                <w:szCs w:val="18"/>
              </w:rPr>
              <w:t>to</w:t>
            </w:r>
            <w:r w:rsidRPr="00D724E5">
              <w:rPr>
                <w:rFonts w:ascii="Arial" w:hAnsi="Arial" w:cs="Arial"/>
                <w:spacing w:val="-1"/>
                <w:sz w:val="18"/>
                <w:szCs w:val="18"/>
              </w:rPr>
              <w:t xml:space="preserve"> </w:t>
            </w:r>
            <w:r w:rsidRPr="00D724E5">
              <w:rPr>
                <w:rFonts w:ascii="Arial" w:hAnsi="Arial" w:cs="Arial"/>
                <w:sz w:val="18"/>
                <w:szCs w:val="18"/>
              </w:rPr>
              <w:t>the</w:t>
            </w:r>
            <w:r w:rsidRPr="00D724E5">
              <w:rPr>
                <w:rFonts w:ascii="Arial" w:hAnsi="Arial" w:cs="Arial"/>
                <w:spacing w:val="-3"/>
                <w:sz w:val="18"/>
                <w:szCs w:val="18"/>
              </w:rPr>
              <w:t xml:space="preserve"> </w:t>
            </w:r>
            <w:r w:rsidRPr="00D724E5">
              <w:rPr>
                <w:rFonts w:ascii="Arial" w:hAnsi="Arial" w:cs="Arial"/>
                <w:sz w:val="18"/>
                <w:szCs w:val="18"/>
              </w:rPr>
              <w:t>DAH’s</w:t>
            </w:r>
            <w:r w:rsidRPr="00D724E5">
              <w:rPr>
                <w:rFonts w:ascii="Arial" w:hAnsi="Arial" w:cs="Arial"/>
                <w:spacing w:val="-3"/>
                <w:sz w:val="18"/>
                <w:szCs w:val="18"/>
              </w:rPr>
              <w:t xml:space="preserve"> </w:t>
            </w:r>
            <w:r w:rsidRPr="00D724E5">
              <w:rPr>
                <w:rFonts w:ascii="Arial" w:hAnsi="Arial" w:cs="Arial"/>
                <w:sz w:val="18"/>
                <w:szCs w:val="18"/>
              </w:rPr>
              <w:t>ICA</w:t>
            </w:r>
            <w:r w:rsidRPr="00D724E5">
              <w:rPr>
                <w:rFonts w:ascii="Arial" w:hAnsi="Arial" w:cs="Arial"/>
                <w:spacing w:val="-4"/>
                <w:sz w:val="18"/>
                <w:szCs w:val="18"/>
              </w:rPr>
              <w:t xml:space="preserve"> </w:t>
            </w:r>
            <w:r w:rsidRPr="00D724E5">
              <w:rPr>
                <w:rFonts w:ascii="Arial" w:hAnsi="Arial" w:cs="Arial"/>
                <w:sz w:val="18"/>
                <w:szCs w:val="18"/>
              </w:rPr>
              <w:t>(when</w:t>
            </w:r>
            <w:r w:rsidRPr="00D724E5">
              <w:rPr>
                <w:rFonts w:ascii="Arial" w:hAnsi="Arial" w:cs="Arial"/>
                <w:spacing w:val="-1"/>
                <w:sz w:val="18"/>
                <w:szCs w:val="18"/>
              </w:rPr>
              <w:t xml:space="preserve"> </w:t>
            </w:r>
            <w:r w:rsidRPr="00D724E5">
              <w:rPr>
                <w:rFonts w:ascii="Arial" w:hAnsi="Arial" w:cs="Arial"/>
                <w:sz w:val="18"/>
                <w:szCs w:val="18"/>
              </w:rPr>
              <w:t>‘YES’,</w:t>
            </w:r>
            <w:r w:rsidRPr="00D724E5">
              <w:rPr>
                <w:rFonts w:ascii="Arial" w:hAnsi="Arial" w:cs="Arial"/>
                <w:spacing w:val="-2"/>
                <w:sz w:val="18"/>
                <w:szCs w:val="18"/>
              </w:rPr>
              <w:t xml:space="preserve"> </w:t>
            </w:r>
            <w:r w:rsidRPr="00D724E5">
              <w:rPr>
                <w:rFonts w:ascii="Arial" w:hAnsi="Arial" w:cs="Arial"/>
                <w:sz w:val="18"/>
                <w:szCs w:val="18"/>
              </w:rPr>
              <w:t>list</w:t>
            </w:r>
            <w:r w:rsidRPr="00D724E5">
              <w:rPr>
                <w:rFonts w:ascii="Arial" w:hAnsi="Arial" w:cs="Arial"/>
                <w:spacing w:val="-1"/>
                <w:sz w:val="18"/>
                <w:szCs w:val="18"/>
              </w:rPr>
              <w:t xml:space="preserve"> </w:t>
            </w:r>
            <w:r w:rsidRPr="00D724E5">
              <w:rPr>
                <w:rFonts w:ascii="Arial" w:hAnsi="Arial" w:cs="Arial"/>
                <w:sz w:val="18"/>
                <w:szCs w:val="18"/>
              </w:rPr>
              <w:t>the</w:t>
            </w:r>
          </w:p>
          <w:p w14:paraId="491BAA07" w14:textId="77777777" w:rsidR="002A0714" w:rsidRPr="00D724E5" w:rsidRDefault="002A0714" w:rsidP="002A0714">
            <w:pPr>
              <w:pStyle w:val="TableParagraph"/>
              <w:spacing w:line="223" w:lineRule="exact"/>
              <w:ind w:left="107"/>
              <w:rPr>
                <w:rFonts w:ascii="Arial" w:hAnsi="Arial" w:cs="Arial"/>
                <w:sz w:val="18"/>
                <w:szCs w:val="18"/>
              </w:rPr>
            </w:pPr>
            <w:r w:rsidRPr="00D724E5">
              <w:rPr>
                <w:rFonts w:ascii="Arial" w:hAnsi="Arial" w:cs="Arial"/>
                <w:sz w:val="18"/>
                <w:szCs w:val="18"/>
              </w:rPr>
              <w:t>specific</w:t>
            </w:r>
            <w:r w:rsidRPr="00D724E5">
              <w:rPr>
                <w:rFonts w:ascii="Arial" w:hAnsi="Arial" w:cs="Arial"/>
                <w:spacing w:val="-3"/>
                <w:sz w:val="18"/>
                <w:szCs w:val="18"/>
              </w:rPr>
              <w:t xml:space="preserve"> </w:t>
            </w:r>
            <w:r w:rsidRPr="00D724E5">
              <w:rPr>
                <w:rFonts w:ascii="Arial" w:hAnsi="Arial" w:cs="Arial"/>
                <w:sz w:val="18"/>
                <w:szCs w:val="18"/>
              </w:rPr>
              <w:t>alternative</w:t>
            </w:r>
            <w:r w:rsidRPr="00D724E5">
              <w:rPr>
                <w:rFonts w:ascii="Arial" w:hAnsi="Arial" w:cs="Arial"/>
                <w:spacing w:val="-1"/>
                <w:sz w:val="18"/>
                <w:szCs w:val="18"/>
              </w:rPr>
              <w:t xml:space="preserve"> </w:t>
            </w:r>
            <w:r w:rsidRPr="00D724E5">
              <w:rPr>
                <w:rFonts w:ascii="Arial" w:hAnsi="Arial" w:cs="Arial"/>
                <w:sz w:val="18"/>
                <w:szCs w:val="18"/>
              </w:rPr>
              <w:t>maintenance</w:t>
            </w:r>
            <w:r w:rsidRPr="00D724E5">
              <w:rPr>
                <w:rFonts w:ascii="Arial" w:hAnsi="Arial" w:cs="Arial"/>
                <w:spacing w:val="-4"/>
                <w:sz w:val="18"/>
                <w:szCs w:val="18"/>
              </w:rPr>
              <w:t xml:space="preserve"> </w:t>
            </w:r>
            <w:r w:rsidRPr="00D724E5">
              <w:rPr>
                <w:rFonts w:ascii="Arial" w:hAnsi="Arial" w:cs="Arial"/>
                <w:sz w:val="18"/>
                <w:szCs w:val="18"/>
              </w:rPr>
              <w:t>tasks</w:t>
            </w:r>
            <w:r w:rsidRPr="00D724E5">
              <w:rPr>
                <w:rFonts w:ascii="Arial" w:hAnsi="Arial" w:cs="Arial"/>
                <w:spacing w:val="-3"/>
                <w:sz w:val="18"/>
                <w:szCs w:val="18"/>
              </w:rPr>
              <w:t xml:space="preserve"> </w:t>
            </w:r>
            <w:r w:rsidRPr="00D724E5">
              <w:rPr>
                <w:rFonts w:ascii="Arial" w:hAnsi="Arial" w:cs="Arial"/>
                <w:sz w:val="18"/>
                <w:szCs w:val="18"/>
              </w:rPr>
              <w:t>in</w:t>
            </w:r>
            <w:r w:rsidRPr="00D724E5">
              <w:rPr>
                <w:rFonts w:ascii="Arial" w:hAnsi="Arial" w:cs="Arial"/>
                <w:spacing w:val="-2"/>
                <w:sz w:val="18"/>
                <w:szCs w:val="18"/>
              </w:rPr>
              <w:t xml:space="preserve"> </w:t>
            </w:r>
            <w:r w:rsidRPr="00D724E5">
              <w:rPr>
                <w:rFonts w:ascii="Arial" w:hAnsi="Arial" w:cs="Arial"/>
                <w:sz w:val="18"/>
                <w:szCs w:val="18"/>
              </w:rPr>
              <w:t>Appendix</w:t>
            </w:r>
            <w:r w:rsidRPr="00D724E5">
              <w:rPr>
                <w:rFonts w:ascii="Arial" w:hAnsi="Arial" w:cs="Arial"/>
                <w:spacing w:val="1"/>
                <w:sz w:val="18"/>
                <w:szCs w:val="18"/>
              </w:rPr>
              <w:t xml:space="preserve"> </w:t>
            </w:r>
            <w:r w:rsidRPr="00D724E5">
              <w:rPr>
                <w:rFonts w:ascii="Arial" w:hAnsi="Arial" w:cs="Arial"/>
                <w:sz w:val="18"/>
                <w:szCs w:val="18"/>
              </w:rPr>
              <w:t>C)</w:t>
            </w:r>
          </w:p>
        </w:tc>
        <w:tc>
          <w:tcPr>
            <w:tcW w:w="567" w:type="dxa"/>
          </w:tcPr>
          <w:p w14:paraId="45569F3E" w14:textId="77777777" w:rsidR="002A0714" w:rsidRPr="00D724E5" w:rsidRDefault="002A0714" w:rsidP="002A0714">
            <w:pPr>
              <w:pStyle w:val="TableParagraph"/>
              <w:spacing w:line="243" w:lineRule="exact"/>
              <w:ind w:left="87" w:right="85"/>
              <w:jc w:val="center"/>
              <w:rPr>
                <w:rFonts w:ascii="Arial" w:hAnsi="Arial" w:cs="Arial"/>
                <w:sz w:val="18"/>
                <w:szCs w:val="18"/>
              </w:rPr>
            </w:pPr>
            <w:r w:rsidRPr="00D724E5">
              <w:rPr>
                <w:rFonts w:ascii="Arial" w:hAnsi="Arial" w:cs="Arial"/>
                <w:sz w:val="18"/>
                <w:szCs w:val="18"/>
              </w:rPr>
              <w:t>Yes</w:t>
            </w:r>
          </w:p>
        </w:tc>
        <w:tc>
          <w:tcPr>
            <w:tcW w:w="533" w:type="dxa"/>
          </w:tcPr>
          <w:p w14:paraId="2727D90E" w14:textId="77777777" w:rsidR="002A0714" w:rsidRPr="00D724E5" w:rsidRDefault="002A0714" w:rsidP="002A0714">
            <w:pPr>
              <w:pStyle w:val="TableParagraph"/>
              <w:spacing w:line="243" w:lineRule="exact"/>
              <w:ind w:left="87" w:right="81"/>
              <w:jc w:val="center"/>
              <w:rPr>
                <w:rFonts w:ascii="Arial" w:hAnsi="Arial" w:cs="Arial"/>
                <w:sz w:val="18"/>
                <w:szCs w:val="18"/>
              </w:rPr>
            </w:pPr>
            <w:r w:rsidRPr="00D724E5">
              <w:rPr>
                <w:rFonts w:ascii="Arial" w:hAnsi="Arial" w:cs="Arial"/>
                <w:sz w:val="18"/>
                <w:szCs w:val="18"/>
              </w:rPr>
              <w:t>No</w:t>
            </w:r>
          </w:p>
        </w:tc>
      </w:tr>
      <w:tr w:rsidR="002A0714" w:rsidRPr="00D724E5" w14:paraId="061DED26" w14:textId="77777777" w:rsidTr="008C2414">
        <w:trPr>
          <w:gridAfter w:val="1"/>
          <w:wAfter w:w="13" w:type="dxa"/>
          <w:trHeight w:val="733"/>
        </w:trPr>
        <w:tc>
          <w:tcPr>
            <w:tcW w:w="9042" w:type="dxa"/>
            <w:gridSpan w:val="11"/>
            <w:shd w:val="clear" w:color="auto" w:fill="F2F2F2" w:themeFill="background1" w:themeFillShade="F2"/>
          </w:tcPr>
          <w:p w14:paraId="32D2DCC7" w14:textId="77777777" w:rsidR="002A0714" w:rsidRPr="00D724E5" w:rsidRDefault="002A0714" w:rsidP="002A0714">
            <w:pPr>
              <w:pStyle w:val="TableParagraph"/>
              <w:ind w:left="165" w:right="160"/>
              <w:jc w:val="center"/>
              <w:rPr>
                <w:rFonts w:ascii="Arial" w:hAnsi="Arial" w:cs="Arial"/>
                <w:b/>
                <w:sz w:val="18"/>
                <w:szCs w:val="18"/>
              </w:rPr>
            </w:pPr>
            <w:r w:rsidRPr="00D724E5">
              <w:rPr>
                <w:rFonts w:ascii="Arial" w:hAnsi="Arial" w:cs="Arial"/>
                <w:b/>
                <w:sz w:val="18"/>
                <w:szCs w:val="18"/>
              </w:rPr>
              <w:lastRenderedPageBreak/>
              <w:t>Pilot-owner maintenance (only for balloons not operated under Subpart-ADD, or sailplanes not operated</w:t>
            </w:r>
            <w:r w:rsidRPr="00D724E5">
              <w:rPr>
                <w:rFonts w:ascii="Arial" w:hAnsi="Arial" w:cs="Arial"/>
                <w:b/>
                <w:spacing w:val="-43"/>
                <w:sz w:val="18"/>
                <w:szCs w:val="18"/>
              </w:rPr>
              <w:t xml:space="preserve"> </w:t>
            </w:r>
            <w:r w:rsidRPr="00D724E5">
              <w:rPr>
                <w:rFonts w:ascii="Arial" w:hAnsi="Arial" w:cs="Arial"/>
                <w:b/>
                <w:sz w:val="18"/>
                <w:szCs w:val="18"/>
              </w:rPr>
              <w:t>under</w:t>
            </w:r>
            <w:r w:rsidRPr="00D724E5">
              <w:rPr>
                <w:rFonts w:ascii="Arial" w:hAnsi="Arial" w:cs="Arial"/>
                <w:b/>
                <w:spacing w:val="-1"/>
                <w:sz w:val="18"/>
                <w:szCs w:val="18"/>
              </w:rPr>
              <w:t xml:space="preserve"> </w:t>
            </w:r>
            <w:r w:rsidRPr="00D724E5">
              <w:rPr>
                <w:rFonts w:ascii="Arial" w:hAnsi="Arial" w:cs="Arial"/>
                <w:b/>
                <w:sz w:val="18"/>
                <w:szCs w:val="18"/>
              </w:rPr>
              <w:t>Subpart-DEC,</w:t>
            </w:r>
            <w:r w:rsidRPr="00D724E5">
              <w:rPr>
                <w:rFonts w:ascii="Arial" w:hAnsi="Arial" w:cs="Arial"/>
                <w:b/>
                <w:spacing w:val="-2"/>
                <w:sz w:val="18"/>
                <w:szCs w:val="18"/>
              </w:rPr>
              <w:t xml:space="preserve"> </w:t>
            </w:r>
            <w:r w:rsidRPr="00D724E5">
              <w:rPr>
                <w:rFonts w:ascii="Arial" w:hAnsi="Arial" w:cs="Arial"/>
                <w:b/>
                <w:sz w:val="18"/>
                <w:szCs w:val="18"/>
              </w:rPr>
              <w:t>or other</w:t>
            </w:r>
            <w:r w:rsidRPr="00D724E5">
              <w:rPr>
                <w:rFonts w:ascii="Arial" w:hAnsi="Arial" w:cs="Arial"/>
                <w:b/>
                <w:spacing w:val="-3"/>
                <w:sz w:val="18"/>
                <w:szCs w:val="18"/>
              </w:rPr>
              <w:t xml:space="preserve"> </w:t>
            </w:r>
            <w:r w:rsidRPr="00D724E5">
              <w:rPr>
                <w:rFonts w:ascii="Arial" w:hAnsi="Arial" w:cs="Arial"/>
                <w:b/>
                <w:sz w:val="18"/>
                <w:szCs w:val="18"/>
              </w:rPr>
              <w:t>aircraft</w:t>
            </w:r>
            <w:r w:rsidRPr="00D724E5">
              <w:rPr>
                <w:rFonts w:ascii="Arial" w:hAnsi="Arial" w:cs="Arial"/>
                <w:b/>
                <w:spacing w:val="-1"/>
                <w:sz w:val="18"/>
                <w:szCs w:val="18"/>
              </w:rPr>
              <w:t xml:space="preserve"> </w:t>
            </w:r>
            <w:r w:rsidRPr="00D724E5">
              <w:rPr>
                <w:rFonts w:ascii="Arial" w:hAnsi="Arial" w:cs="Arial"/>
                <w:b/>
                <w:sz w:val="18"/>
                <w:szCs w:val="18"/>
              </w:rPr>
              <w:t>operated</w:t>
            </w:r>
            <w:r w:rsidRPr="00D724E5">
              <w:rPr>
                <w:rFonts w:ascii="Arial" w:hAnsi="Arial" w:cs="Arial"/>
                <w:b/>
                <w:spacing w:val="-2"/>
                <w:sz w:val="18"/>
                <w:szCs w:val="18"/>
              </w:rPr>
              <w:t xml:space="preserve"> </w:t>
            </w:r>
            <w:r w:rsidRPr="00D724E5">
              <w:rPr>
                <w:rFonts w:ascii="Arial" w:hAnsi="Arial" w:cs="Arial"/>
                <w:b/>
                <w:sz w:val="18"/>
                <w:szCs w:val="18"/>
              </w:rPr>
              <w:t>under Part-NCO)</w:t>
            </w:r>
          </w:p>
          <w:p w14:paraId="5E6C91B0" w14:textId="77777777" w:rsidR="002A0714" w:rsidRPr="00D724E5" w:rsidRDefault="002A0714" w:rsidP="002A0714">
            <w:pPr>
              <w:pStyle w:val="TableParagraph"/>
              <w:spacing w:line="225" w:lineRule="exact"/>
              <w:ind w:left="157" w:right="160"/>
              <w:jc w:val="center"/>
              <w:rPr>
                <w:rFonts w:ascii="Arial" w:hAnsi="Arial" w:cs="Arial"/>
                <w:b/>
                <w:sz w:val="18"/>
                <w:szCs w:val="18"/>
              </w:rPr>
            </w:pPr>
            <w:r w:rsidRPr="00D724E5">
              <w:rPr>
                <w:rFonts w:ascii="Arial" w:hAnsi="Arial" w:cs="Arial"/>
                <w:b/>
                <w:sz w:val="18"/>
                <w:szCs w:val="18"/>
              </w:rPr>
              <w:t>Remark:</w:t>
            </w:r>
            <w:r w:rsidRPr="00D724E5">
              <w:rPr>
                <w:rFonts w:ascii="Arial" w:hAnsi="Arial" w:cs="Arial"/>
                <w:b/>
                <w:spacing w:val="-3"/>
                <w:sz w:val="18"/>
                <w:szCs w:val="18"/>
              </w:rPr>
              <w:t xml:space="preserve"> </w:t>
            </w:r>
            <w:r w:rsidRPr="00D724E5">
              <w:rPr>
                <w:rFonts w:ascii="Arial" w:hAnsi="Arial" w:cs="Arial"/>
                <w:b/>
                <w:sz w:val="18"/>
                <w:szCs w:val="18"/>
              </w:rPr>
              <w:t>pilot-owner</w:t>
            </w:r>
            <w:r w:rsidRPr="00D724E5">
              <w:rPr>
                <w:rFonts w:ascii="Arial" w:hAnsi="Arial" w:cs="Arial"/>
                <w:b/>
                <w:spacing w:val="-3"/>
                <w:sz w:val="18"/>
                <w:szCs w:val="18"/>
              </w:rPr>
              <w:t xml:space="preserve"> </w:t>
            </w:r>
            <w:r w:rsidRPr="00D724E5">
              <w:rPr>
                <w:rFonts w:ascii="Arial" w:hAnsi="Arial" w:cs="Arial"/>
                <w:b/>
                <w:sz w:val="18"/>
                <w:szCs w:val="18"/>
              </w:rPr>
              <w:t>maintenance</w:t>
            </w:r>
            <w:r w:rsidRPr="00D724E5">
              <w:rPr>
                <w:rFonts w:ascii="Arial" w:hAnsi="Arial" w:cs="Arial"/>
                <w:b/>
                <w:spacing w:val="-3"/>
                <w:sz w:val="18"/>
                <w:szCs w:val="18"/>
              </w:rPr>
              <w:t xml:space="preserve"> </w:t>
            </w:r>
            <w:r w:rsidRPr="00D724E5">
              <w:rPr>
                <w:rFonts w:ascii="Arial" w:hAnsi="Arial" w:cs="Arial"/>
                <w:b/>
                <w:sz w:val="18"/>
                <w:szCs w:val="18"/>
              </w:rPr>
              <w:t>is</w:t>
            </w:r>
            <w:r w:rsidRPr="00D724E5">
              <w:rPr>
                <w:rFonts w:ascii="Arial" w:hAnsi="Arial" w:cs="Arial"/>
                <w:b/>
                <w:spacing w:val="-4"/>
                <w:sz w:val="18"/>
                <w:szCs w:val="18"/>
              </w:rPr>
              <w:t xml:space="preserve"> </w:t>
            </w:r>
            <w:r w:rsidRPr="00D724E5">
              <w:rPr>
                <w:rFonts w:ascii="Arial" w:hAnsi="Arial" w:cs="Arial"/>
                <w:b/>
                <w:sz w:val="18"/>
                <w:szCs w:val="18"/>
              </w:rPr>
              <w:t>not</w:t>
            </w:r>
            <w:r w:rsidRPr="00D724E5">
              <w:rPr>
                <w:rFonts w:ascii="Arial" w:hAnsi="Arial" w:cs="Arial"/>
                <w:b/>
                <w:spacing w:val="-3"/>
                <w:sz w:val="18"/>
                <w:szCs w:val="18"/>
              </w:rPr>
              <w:t xml:space="preserve"> </w:t>
            </w:r>
            <w:r w:rsidRPr="00D724E5">
              <w:rPr>
                <w:rFonts w:ascii="Arial" w:hAnsi="Arial" w:cs="Arial"/>
                <w:b/>
                <w:sz w:val="18"/>
                <w:szCs w:val="18"/>
              </w:rPr>
              <w:t>allowed</w:t>
            </w:r>
            <w:r w:rsidRPr="00D724E5">
              <w:rPr>
                <w:rFonts w:ascii="Arial" w:hAnsi="Arial" w:cs="Arial"/>
                <w:b/>
                <w:spacing w:val="-3"/>
                <w:sz w:val="18"/>
                <w:szCs w:val="18"/>
              </w:rPr>
              <w:t xml:space="preserve"> </w:t>
            </w:r>
            <w:r w:rsidRPr="00D724E5">
              <w:rPr>
                <w:rFonts w:ascii="Arial" w:hAnsi="Arial" w:cs="Arial"/>
                <w:b/>
                <w:sz w:val="18"/>
                <w:szCs w:val="18"/>
              </w:rPr>
              <w:t>for</w:t>
            </w:r>
            <w:r w:rsidRPr="00D724E5">
              <w:rPr>
                <w:rFonts w:ascii="Arial" w:hAnsi="Arial" w:cs="Arial"/>
                <w:b/>
                <w:spacing w:val="-3"/>
                <w:sz w:val="18"/>
                <w:szCs w:val="18"/>
              </w:rPr>
              <w:t xml:space="preserve"> </w:t>
            </w:r>
            <w:r w:rsidRPr="00D724E5">
              <w:rPr>
                <w:rFonts w:ascii="Arial" w:hAnsi="Arial" w:cs="Arial"/>
                <w:b/>
                <w:sz w:val="18"/>
                <w:szCs w:val="18"/>
              </w:rPr>
              <w:t>aircraft</w:t>
            </w:r>
            <w:r w:rsidRPr="00D724E5">
              <w:rPr>
                <w:rFonts w:ascii="Arial" w:hAnsi="Arial" w:cs="Arial"/>
                <w:b/>
                <w:spacing w:val="-4"/>
                <w:sz w:val="18"/>
                <w:szCs w:val="18"/>
              </w:rPr>
              <w:t xml:space="preserve"> </w:t>
            </w:r>
            <w:r w:rsidRPr="00D724E5">
              <w:rPr>
                <w:rFonts w:ascii="Arial" w:hAnsi="Arial" w:cs="Arial"/>
                <w:b/>
                <w:sz w:val="18"/>
                <w:szCs w:val="18"/>
              </w:rPr>
              <w:t>operated</w:t>
            </w:r>
            <w:r w:rsidRPr="00D724E5">
              <w:rPr>
                <w:rFonts w:ascii="Arial" w:hAnsi="Arial" w:cs="Arial"/>
                <w:b/>
                <w:spacing w:val="-3"/>
                <w:sz w:val="18"/>
                <w:szCs w:val="18"/>
              </w:rPr>
              <w:t xml:space="preserve"> </w:t>
            </w:r>
            <w:r w:rsidRPr="00D724E5">
              <w:rPr>
                <w:rFonts w:ascii="Arial" w:hAnsi="Arial" w:cs="Arial"/>
                <w:b/>
                <w:sz w:val="18"/>
                <w:szCs w:val="18"/>
              </w:rPr>
              <w:t>by</w:t>
            </w:r>
            <w:r w:rsidRPr="00D724E5">
              <w:rPr>
                <w:rFonts w:ascii="Arial" w:hAnsi="Arial" w:cs="Arial"/>
                <w:b/>
                <w:spacing w:val="-4"/>
                <w:sz w:val="18"/>
                <w:szCs w:val="18"/>
              </w:rPr>
              <w:t xml:space="preserve"> </w:t>
            </w:r>
            <w:r w:rsidRPr="00D724E5">
              <w:rPr>
                <w:rFonts w:ascii="Arial" w:hAnsi="Arial" w:cs="Arial"/>
                <w:b/>
                <w:sz w:val="18"/>
                <w:szCs w:val="18"/>
              </w:rPr>
              <w:t>a</w:t>
            </w:r>
            <w:r w:rsidRPr="00D724E5">
              <w:rPr>
                <w:rFonts w:ascii="Arial" w:hAnsi="Arial" w:cs="Arial"/>
                <w:b/>
                <w:spacing w:val="-3"/>
                <w:sz w:val="18"/>
                <w:szCs w:val="18"/>
              </w:rPr>
              <w:t xml:space="preserve"> </w:t>
            </w:r>
            <w:r w:rsidRPr="00D724E5">
              <w:rPr>
                <w:rFonts w:ascii="Arial" w:hAnsi="Arial" w:cs="Arial"/>
                <w:b/>
                <w:sz w:val="18"/>
                <w:szCs w:val="18"/>
              </w:rPr>
              <w:t>commercial</w:t>
            </w:r>
            <w:r w:rsidRPr="00D724E5">
              <w:rPr>
                <w:rFonts w:ascii="Arial" w:hAnsi="Arial" w:cs="Arial"/>
                <w:b/>
                <w:spacing w:val="-5"/>
                <w:sz w:val="18"/>
                <w:szCs w:val="18"/>
              </w:rPr>
              <w:t xml:space="preserve"> </w:t>
            </w:r>
            <w:r w:rsidRPr="00D724E5">
              <w:rPr>
                <w:rFonts w:ascii="Arial" w:hAnsi="Arial" w:cs="Arial"/>
                <w:b/>
                <w:sz w:val="18"/>
                <w:szCs w:val="18"/>
              </w:rPr>
              <w:t>ATO/DTO</w:t>
            </w:r>
          </w:p>
        </w:tc>
      </w:tr>
      <w:tr w:rsidR="002A0714" w:rsidRPr="00D724E5" w14:paraId="5C3F2E73" w14:textId="77777777" w:rsidTr="002A0714">
        <w:trPr>
          <w:gridAfter w:val="1"/>
          <w:wAfter w:w="13" w:type="dxa"/>
          <w:trHeight w:val="1953"/>
        </w:trPr>
        <w:tc>
          <w:tcPr>
            <w:tcW w:w="430" w:type="dxa"/>
            <w:gridSpan w:val="2"/>
          </w:tcPr>
          <w:p w14:paraId="451F86F9" w14:textId="77777777" w:rsidR="002A0714" w:rsidRPr="00D724E5" w:rsidRDefault="002A0714" w:rsidP="002A0714">
            <w:pPr>
              <w:pStyle w:val="TableParagraph"/>
              <w:spacing w:line="243" w:lineRule="exact"/>
              <w:ind w:left="107"/>
              <w:rPr>
                <w:rFonts w:ascii="Arial" w:hAnsi="Arial" w:cs="Arial"/>
                <w:sz w:val="18"/>
                <w:szCs w:val="18"/>
              </w:rPr>
            </w:pPr>
            <w:r w:rsidRPr="00D724E5">
              <w:rPr>
                <w:rFonts w:ascii="Arial" w:hAnsi="Arial" w:cs="Arial"/>
                <w:w w:val="99"/>
                <w:sz w:val="18"/>
                <w:szCs w:val="18"/>
              </w:rPr>
              <w:t>6</w:t>
            </w:r>
          </w:p>
        </w:tc>
        <w:tc>
          <w:tcPr>
            <w:tcW w:w="7512" w:type="dxa"/>
            <w:gridSpan w:val="7"/>
          </w:tcPr>
          <w:p w14:paraId="6589D2D3" w14:textId="77777777" w:rsidR="002A0714" w:rsidRPr="00D724E5" w:rsidRDefault="002A0714" w:rsidP="002A0714">
            <w:pPr>
              <w:pStyle w:val="TableParagraph"/>
              <w:spacing w:line="243" w:lineRule="exact"/>
              <w:ind w:left="107"/>
              <w:rPr>
                <w:rFonts w:ascii="Arial" w:hAnsi="Arial" w:cs="Arial"/>
                <w:sz w:val="18"/>
                <w:szCs w:val="18"/>
              </w:rPr>
            </w:pPr>
            <w:r w:rsidRPr="00D724E5">
              <w:rPr>
                <w:rFonts w:ascii="Arial" w:hAnsi="Arial" w:cs="Arial"/>
                <w:sz w:val="18"/>
                <w:szCs w:val="18"/>
              </w:rPr>
              <w:t>Does</w:t>
            </w:r>
            <w:r w:rsidRPr="00D724E5">
              <w:rPr>
                <w:rFonts w:ascii="Arial" w:hAnsi="Arial" w:cs="Arial"/>
                <w:spacing w:val="-5"/>
                <w:sz w:val="18"/>
                <w:szCs w:val="18"/>
              </w:rPr>
              <w:t xml:space="preserve"> </w:t>
            </w:r>
            <w:r w:rsidRPr="00D724E5">
              <w:rPr>
                <w:rFonts w:ascii="Arial" w:hAnsi="Arial" w:cs="Arial"/>
                <w:sz w:val="18"/>
                <w:szCs w:val="18"/>
              </w:rPr>
              <w:t>the</w:t>
            </w:r>
            <w:r w:rsidRPr="00D724E5">
              <w:rPr>
                <w:rFonts w:ascii="Arial" w:hAnsi="Arial" w:cs="Arial"/>
                <w:spacing w:val="-3"/>
                <w:sz w:val="18"/>
                <w:szCs w:val="18"/>
              </w:rPr>
              <w:t xml:space="preserve"> </w:t>
            </w:r>
            <w:r w:rsidRPr="00D724E5">
              <w:rPr>
                <w:rFonts w:ascii="Arial" w:hAnsi="Arial" w:cs="Arial"/>
                <w:sz w:val="18"/>
                <w:szCs w:val="18"/>
              </w:rPr>
              <w:t>pilot-owner</w:t>
            </w:r>
            <w:r w:rsidRPr="00D724E5">
              <w:rPr>
                <w:rFonts w:ascii="Arial" w:hAnsi="Arial" w:cs="Arial"/>
                <w:spacing w:val="-2"/>
                <w:sz w:val="18"/>
                <w:szCs w:val="18"/>
              </w:rPr>
              <w:t xml:space="preserve"> </w:t>
            </w:r>
            <w:r w:rsidRPr="00D724E5">
              <w:rPr>
                <w:rFonts w:ascii="Arial" w:hAnsi="Arial" w:cs="Arial"/>
                <w:sz w:val="18"/>
                <w:szCs w:val="18"/>
              </w:rPr>
              <w:t>perform</w:t>
            </w:r>
            <w:r w:rsidRPr="00D724E5">
              <w:rPr>
                <w:rFonts w:ascii="Arial" w:hAnsi="Arial" w:cs="Arial"/>
                <w:spacing w:val="-1"/>
                <w:sz w:val="18"/>
                <w:szCs w:val="18"/>
              </w:rPr>
              <w:t xml:space="preserve"> </w:t>
            </w:r>
            <w:r w:rsidRPr="00D724E5">
              <w:rPr>
                <w:rFonts w:ascii="Arial" w:hAnsi="Arial" w:cs="Arial"/>
                <w:sz w:val="18"/>
                <w:szCs w:val="18"/>
              </w:rPr>
              <w:t>pilot-owner maintenance</w:t>
            </w:r>
            <w:r w:rsidRPr="00D724E5">
              <w:rPr>
                <w:rFonts w:ascii="Arial" w:hAnsi="Arial" w:cs="Arial"/>
                <w:spacing w:val="-3"/>
                <w:sz w:val="18"/>
                <w:szCs w:val="18"/>
              </w:rPr>
              <w:t xml:space="preserve"> </w:t>
            </w:r>
            <w:r w:rsidRPr="00D724E5">
              <w:rPr>
                <w:rFonts w:ascii="Arial" w:hAnsi="Arial" w:cs="Arial"/>
                <w:sz w:val="18"/>
                <w:szCs w:val="18"/>
              </w:rPr>
              <w:t>(ref.</w:t>
            </w:r>
            <w:r w:rsidRPr="00D724E5">
              <w:rPr>
                <w:rFonts w:ascii="Arial" w:hAnsi="Arial" w:cs="Arial"/>
                <w:spacing w:val="-3"/>
                <w:sz w:val="18"/>
                <w:szCs w:val="18"/>
              </w:rPr>
              <w:t xml:space="preserve"> </w:t>
            </w:r>
            <w:r w:rsidRPr="00D724E5">
              <w:rPr>
                <w:rFonts w:ascii="Arial" w:hAnsi="Arial" w:cs="Arial"/>
                <w:sz w:val="18"/>
                <w:szCs w:val="18"/>
              </w:rPr>
              <w:t>ML.A.803)?</w:t>
            </w:r>
          </w:p>
          <w:p w14:paraId="7369D6B8" w14:textId="77777777" w:rsidR="002A0714" w:rsidRPr="00D724E5" w:rsidRDefault="002A0714" w:rsidP="002A0714">
            <w:pPr>
              <w:pStyle w:val="TableParagraph"/>
              <w:spacing w:before="11"/>
              <w:ind w:left="0"/>
              <w:rPr>
                <w:rFonts w:ascii="Arial" w:hAnsi="Arial" w:cs="Arial"/>
                <w:sz w:val="18"/>
                <w:szCs w:val="18"/>
              </w:rPr>
            </w:pPr>
          </w:p>
          <w:p w14:paraId="3E5F4A87" w14:textId="77777777" w:rsidR="002A0714" w:rsidRPr="00D724E5" w:rsidRDefault="002A0714" w:rsidP="002A0714">
            <w:pPr>
              <w:pStyle w:val="TableParagraph"/>
              <w:tabs>
                <w:tab w:val="left" w:pos="4082"/>
              </w:tabs>
              <w:ind w:left="107" w:right="452"/>
              <w:rPr>
                <w:rFonts w:ascii="Arial" w:hAnsi="Arial" w:cs="Arial"/>
                <w:sz w:val="18"/>
                <w:szCs w:val="18"/>
              </w:rPr>
            </w:pPr>
            <w:r w:rsidRPr="00D724E5">
              <w:rPr>
                <w:rFonts w:ascii="Arial" w:hAnsi="Arial" w:cs="Arial"/>
                <w:sz w:val="18"/>
                <w:szCs w:val="18"/>
              </w:rPr>
              <w:t>If</w:t>
            </w:r>
            <w:r w:rsidRPr="00D724E5">
              <w:rPr>
                <w:rFonts w:ascii="Arial" w:hAnsi="Arial" w:cs="Arial"/>
                <w:spacing w:val="-3"/>
                <w:sz w:val="18"/>
                <w:szCs w:val="18"/>
              </w:rPr>
              <w:t xml:space="preserve"> </w:t>
            </w:r>
            <w:r w:rsidRPr="00D724E5">
              <w:rPr>
                <w:rFonts w:ascii="Arial" w:hAnsi="Arial" w:cs="Arial"/>
                <w:sz w:val="18"/>
                <w:szCs w:val="18"/>
              </w:rPr>
              <w:t>yes,</w:t>
            </w:r>
            <w:r w:rsidRPr="00D724E5">
              <w:rPr>
                <w:rFonts w:ascii="Arial" w:hAnsi="Arial" w:cs="Arial"/>
                <w:spacing w:val="-3"/>
                <w:sz w:val="18"/>
                <w:szCs w:val="18"/>
              </w:rPr>
              <w:t xml:space="preserve"> </w:t>
            </w:r>
            <w:r w:rsidRPr="00D724E5">
              <w:rPr>
                <w:rFonts w:ascii="Arial" w:hAnsi="Arial" w:cs="Arial"/>
                <w:sz w:val="18"/>
                <w:szCs w:val="18"/>
              </w:rPr>
              <w:t>enter</w:t>
            </w:r>
            <w:r w:rsidRPr="00D724E5">
              <w:rPr>
                <w:rFonts w:ascii="Arial" w:hAnsi="Arial" w:cs="Arial"/>
                <w:spacing w:val="-3"/>
                <w:sz w:val="18"/>
                <w:szCs w:val="18"/>
              </w:rPr>
              <w:t xml:space="preserve"> </w:t>
            </w:r>
            <w:r w:rsidRPr="00D724E5">
              <w:rPr>
                <w:rFonts w:ascii="Arial" w:hAnsi="Arial" w:cs="Arial"/>
                <w:sz w:val="18"/>
                <w:szCs w:val="18"/>
              </w:rPr>
              <w:t>the</w:t>
            </w:r>
            <w:r w:rsidRPr="00D724E5">
              <w:rPr>
                <w:rFonts w:ascii="Arial" w:hAnsi="Arial" w:cs="Arial"/>
                <w:spacing w:val="-3"/>
                <w:sz w:val="18"/>
                <w:szCs w:val="18"/>
              </w:rPr>
              <w:t xml:space="preserve"> </w:t>
            </w:r>
            <w:r w:rsidRPr="00D724E5">
              <w:rPr>
                <w:rFonts w:ascii="Arial" w:hAnsi="Arial" w:cs="Arial"/>
                <w:sz w:val="18"/>
                <w:szCs w:val="18"/>
              </w:rPr>
              <w:t>name</w:t>
            </w:r>
            <w:r w:rsidRPr="00D724E5">
              <w:rPr>
                <w:rFonts w:ascii="Arial" w:hAnsi="Arial" w:cs="Arial"/>
                <w:spacing w:val="-3"/>
                <w:sz w:val="18"/>
                <w:szCs w:val="18"/>
              </w:rPr>
              <w:t xml:space="preserve"> </w:t>
            </w:r>
            <w:r w:rsidRPr="00D724E5">
              <w:rPr>
                <w:rFonts w:ascii="Arial" w:hAnsi="Arial" w:cs="Arial"/>
                <w:sz w:val="18"/>
                <w:szCs w:val="18"/>
              </w:rPr>
              <w:t>of</w:t>
            </w:r>
            <w:r w:rsidRPr="00D724E5">
              <w:rPr>
                <w:rFonts w:ascii="Arial" w:hAnsi="Arial" w:cs="Arial"/>
                <w:spacing w:val="-3"/>
                <w:sz w:val="18"/>
                <w:szCs w:val="18"/>
              </w:rPr>
              <w:t xml:space="preserve"> </w:t>
            </w:r>
            <w:r w:rsidRPr="00D724E5">
              <w:rPr>
                <w:rFonts w:ascii="Arial" w:hAnsi="Arial" w:cs="Arial"/>
                <w:sz w:val="18"/>
                <w:szCs w:val="18"/>
              </w:rPr>
              <w:t>the</w:t>
            </w:r>
            <w:r w:rsidRPr="00D724E5">
              <w:rPr>
                <w:rFonts w:ascii="Arial" w:hAnsi="Arial" w:cs="Arial"/>
                <w:spacing w:val="-2"/>
                <w:sz w:val="18"/>
                <w:szCs w:val="18"/>
              </w:rPr>
              <w:t xml:space="preserve"> </w:t>
            </w:r>
            <w:r w:rsidRPr="00D724E5">
              <w:rPr>
                <w:rFonts w:ascii="Arial" w:hAnsi="Arial" w:cs="Arial"/>
                <w:sz w:val="18"/>
                <w:szCs w:val="18"/>
              </w:rPr>
              <w:t>pilot-owner(s)</w:t>
            </w:r>
            <w:r w:rsidRPr="00D724E5">
              <w:rPr>
                <w:rFonts w:ascii="Arial" w:hAnsi="Arial" w:cs="Arial"/>
                <w:spacing w:val="-3"/>
                <w:sz w:val="18"/>
                <w:szCs w:val="18"/>
              </w:rPr>
              <w:t xml:space="preserve"> </w:t>
            </w:r>
            <w:r w:rsidRPr="00D724E5">
              <w:rPr>
                <w:rFonts w:ascii="Arial" w:hAnsi="Arial" w:cs="Arial"/>
                <w:sz w:val="18"/>
                <w:szCs w:val="18"/>
              </w:rPr>
              <w:t>authorised</w:t>
            </w:r>
            <w:r w:rsidRPr="00D724E5">
              <w:rPr>
                <w:rFonts w:ascii="Arial" w:hAnsi="Arial" w:cs="Arial"/>
                <w:spacing w:val="-2"/>
                <w:sz w:val="18"/>
                <w:szCs w:val="18"/>
              </w:rPr>
              <w:t xml:space="preserve"> </w:t>
            </w:r>
            <w:r w:rsidRPr="00D724E5">
              <w:rPr>
                <w:rFonts w:ascii="Arial" w:hAnsi="Arial" w:cs="Arial"/>
                <w:sz w:val="18"/>
                <w:szCs w:val="18"/>
              </w:rPr>
              <w:t>to</w:t>
            </w:r>
            <w:r w:rsidRPr="00D724E5">
              <w:rPr>
                <w:rFonts w:ascii="Arial" w:hAnsi="Arial" w:cs="Arial"/>
                <w:spacing w:val="-2"/>
                <w:sz w:val="18"/>
                <w:szCs w:val="18"/>
              </w:rPr>
              <w:t xml:space="preserve"> </w:t>
            </w:r>
            <w:r w:rsidRPr="00D724E5">
              <w:rPr>
                <w:rFonts w:ascii="Arial" w:hAnsi="Arial" w:cs="Arial"/>
                <w:sz w:val="18"/>
                <w:szCs w:val="18"/>
              </w:rPr>
              <w:t>perform</w:t>
            </w:r>
            <w:r w:rsidRPr="00D724E5">
              <w:rPr>
                <w:rFonts w:ascii="Arial" w:hAnsi="Arial" w:cs="Arial"/>
                <w:spacing w:val="-3"/>
                <w:sz w:val="18"/>
                <w:szCs w:val="18"/>
              </w:rPr>
              <w:t xml:space="preserve"> </w:t>
            </w:r>
            <w:r w:rsidRPr="00D724E5">
              <w:rPr>
                <w:rFonts w:ascii="Arial" w:hAnsi="Arial" w:cs="Arial"/>
                <w:sz w:val="18"/>
                <w:szCs w:val="18"/>
              </w:rPr>
              <w:t>such</w:t>
            </w:r>
            <w:r w:rsidRPr="00D724E5">
              <w:rPr>
                <w:rFonts w:ascii="Arial" w:hAnsi="Arial" w:cs="Arial"/>
                <w:spacing w:val="-2"/>
                <w:sz w:val="18"/>
                <w:szCs w:val="18"/>
              </w:rPr>
              <w:t xml:space="preserve"> </w:t>
            </w:r>
            <w:r w:rsidRPr="00D724E5">
              <w:rPr>
                <w:rFonts w:ascii="Arial" w:hAnsi="Arial" w:cs="Arial"/>
                <w:sz w:val="18"/>
                <w:szCs w:val="18"/>
              </w:rPr>
              <w:t>maintenance:</w:t>
            </w:r>
            <w:r w:rsidRPr="00D724E5">
              <w:rPr>
                <w:rFonts w:ascii="Arial" w:hAnsi="Arial" w:cs="Arial"/>
                <w:spacing w:val="-42"/>
                <w:sz w:val="18"/>
                <w:szCs w:val="18"/>
              </w:rPr>
              <w:t xml:space="preserve"> </w:t>
            </w:r>
            <w:r w:rsidRPr="00D724E5">
              <w:rPr>
                <w:rFonts w:ascii="Arial" w:hAnsi="Arial" w:cs="Arial"/>
                <w:sz w:val="18"/>
                <w:szCs w:val="18"/>
              </w:rPr>
              <w:t>Pilot-owner</w:t>
            </w:r>
            <w:r w:rsidRPr="00D724E5">
              <w:rPr>
                <w:rFonts w:ascii="Arial" w:hAnsi="Arial" w:cs="Arial"/>
                <w:spacing w:val="-4"/>
                <w:sz w:val="18"/>
                <w:szCs w:val="18"/>
              </w:rPr>
              <w:t xml:space="preserve"> </w:t>
            </w:r>
            <w:r w:rsidRPr="00D724E5">
              <w:rPr>
                <w:rFonts w:ascii="Arial" w:hAnsi="Arial" w:cs="Arial"/>
                <w:sz w:val="18"/>
                <w:szCs w:val="18"/>
              </w:rPr>
              <w:t>name:_(NOTE)</w:t>
            </w:r>
            <w:r w:rsidRPr="00D724E5">
              <w:rPr>
                <w:rFonts w:ascii="Arial" w:hAnsi="Arial" w:cs="Arial"/>
                <w:sz w:val="18"/>
                <w:szCs w:val="18"/>
                <w:u w:val="single"/>
              </w:rPr>
              <w:tab/>
            </w:r>
            <w:r w:rsidRPr="00D724E5">
              <w:rPr>
                <w:rFonts w:ascii="Arial" w:hAnsi="Arial" w:cs="Arial"/>
                <w:sz w:val="18"/>
                <w:szCs w:val="18"/>
              </w:rPr>
              <w:t>Licence</w:t>
            </w:r>
            <w:r w:rsidRPr="00D724E5">
              <w:rPr>
                <w:rFonts w:ascii="Arial" w:hAnsi="Arial" w:cs="Arial"/>
                <w:spacing w:val="-2"/>
                <w:sz w:val="18"/>
                <w:szCs w:val="18"/>
              </w:rPr>
              <w:t xml:space="preserve"> </w:t>
            </w:r>
            <w:r w:rsidRPr="00D724E5">
              <w:rPr>
                <w:rFonts w:ascii="Arial" w:hAnsi="Arial" w:cs="Arial"/>
                <w:sz w:val="18"/>
                <w:szCs w:val="18"/>
              </w:rPr>
              <w:t>number:</w:t>
            </w:r>
          </w:p>
          <w:p w14:paraId="68BAF648" w14:textId="77777777" w:rsidR="002A0714" w:rsidRPr="00D724E5" w:rsidRDefault="002A0714" w:rsidP="002A0714">
            <w:pPr>
              <w:pStyle w:val="TableParagraph"/>
              <w:tabs>
                <w:tab w:val="left" w:pos="2514"/>
              </w:tabs>
              <w:spacing w:before="1" w:line="243" w:lineRule="exact"/>
              <w:ind w:left="107"/>
              <w:rPr>
                <w:rFonts w:ascii="Arial" w:hAnsi="Arial" w:cs="Arial"/>
                <w:sz w:val="18"/>
                <w:szCs w:val="18"/>
              </w:rPr>
            </w:pPr>
            <w:r w:rsidRPr="00D724E5">
              <w:rPr>
                <w:rFonts w:ascii="Arial" w:hAnsi="Arial" w:cs="Arial"/>
                <w:sz w:val="18"/>
                <w:szCs w:val="18"/>
              </w:rPr>
              <w:t>(NOTE)</w:t>
            </w:r>
            <w:r w:rsidRPr="00D724E5">
              <w:rPr>
                <w:rFonts w:ascii="Arial" w:hAnsi="Arial" w:cs="Arial"/>
                <w:sz w:val="18"/>
                <w:szCs w:val="18"/>
                <w:u w:val="single"/>
              </w:rPr>
              <w:t xml:space="preserve"> </w:t>
            </w:r>
            <w:r w:rsidRPr="00D724E5">
              <w:rPr>
                <w:rFonts w:ascii="Arial" w:hAnsi="Arial" w:cs="Arial"/>
                <w:sz w:val="18"/>
                <w:szCs w:val="18"/>
                <w:u w:val="single"/>
              </w:rPr>
              <w:tab/>
            </w:r>
          </w:p>
          <w:p w14:paraId="67870ECE" w14:textId="77777777" w:rsidR="002A0714" w:rsidRPr="00D724E5" w:rsidRDefault="002A0714" w:rsidP="002A0714">
            <w:pPr>
              <w:pStyle w:val="TableParagraph"/>
              <w:tabs>
                <w:tab w:val="left" w:pos="4060"/>
              </w:tabs>
              <w:spacing w:line="243" w:lineRule="exact"/>
              <w:ind w:left="107"/>
              <w:rPr>
                <w:rFonts w:ascii="Arial" w:hAnsi="Arial" w:cs="Arial"/>
                <w:sz w:val="18"/>
                <w:szCs w:val="18"/>
              </w:rPr>
            </w:pPr>
            <w:r w:rsidRPr="00D724E5">
              <w:rPr>
                <w:rFonts w:ascii="Arial" w:hAnsi="Arial" w:cs="Arial"/>
                <w:sz w:val="18"/>
                <w:szCs w:val="18"/>
              </w:rPr>
              <w:t>Signature:</w:t>
            </w:r>
            <w:r w:rsidRPr="00D724E5">
              <w:rPr>
                <w:rFonts w:ascii="Arial" w:hAnsi="Arial" w:cs="Arial"/>
                <w:sz w:val="18"/>
                <w:szCs w:val="18"/>
                <w:u w:val="single"/>
              </w:rPr>
              <w:tab/>
            </w:r>
            <w:r w:rsidRPr="00D724E5">
              <w:rPr>
                <w:rFonts w:ascii="Arial" w:hAnsi="Arial" w:cs="Arial"/>
                <w:sz w:val="18"/>
                <w:szCs w:val="18"/>
              </w:rPr>
              <w:t>Date:</w:t>
            </w:r>
          </w:p>
          <w:p w14:paraId="434FEF32" w14:textId="77777777" w:rsidR="002A0714" w:rsidRPr="00D724E5" w:rsidRDefault="002A0714" w:rsidP="002A0714">
            <w:pPr>
              <w:pStyle w:val="TableParagraph"/>
              <w:spacing w:before="6"/>
              <w:ind w:left="0"/>
              <w:rPr>
                <w:rFonts w:ascii="Arial" w:hAnsi="Arial" w:cs="Arial"/>
                <w:sz w:val="18"/>
                <w:szCs w:val="18"/>
              </w:rPr>
            </w:pPr>
          </w:p>
          <w:p w14:paraId="6C981C64" w14:textId="77777777" w:rsidR="002A0714" w:rsidRPr="00D724E5" w:rsidRDefault="002A0714" w:rsidP="002A0714">
            <w:pPr>
              <w:pStyle w:val="TableParagraph"/>
              <w:spacing w:line="20" w:lineRule="exact"/>
              <w:ind w:left="100"/>
              <w:rPr>
                <w:rFonts w:ascii="Arial" w:hAnsi="Arial" w:cs="Arial"/>
                <w:sz w:val="18"/>
                <w:szCs w:val="18"/>
              </w:rPr>
            </w:pPr>
            <w:r w:rsidRPr="00D724E5">
              <w:rPr>
                <w:rFonts w:ascii="Arial" w:hAnsi="Arial" w:cs="Arial"/>
                <w:noProof/>
                <w:sz w:val="18"/>
                <w:szCs w:val="18"/>
              </w:rPr>
              <mc:AlternateContent>
                <mc:Choice Requires="wpg">
                  <w:drawing>
                    <wp:inline distT="0" distB="0" distL="0" distR="0" wp14:anchorId="0C1AB887" wp14:editId="7825C35E">
                      <wp:extent cx="2086610" cy="8255"/>
                      <wp:effectExtent l="11430" t="10160" r="6985" b="635"/>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6610" cy="8255"/>
                                <a:chOff x="0" y="0"/>
                                <a:chExt cx="3286" cy="13"/>
                              </a:xfrm>
                            </wpg:grpSpPr>
                            <wps:wsp>
                              <wps:cNvPr id="50" name="AutoShape 41"/>
                              <wps:cNvSpPr>
                                <a:spLocks/>
                              </wps:cNvSpPr>
                              <wps:spPr bwMode="auto">
                                <a:xfrm>
                                  <a:off x="0" y="6"/>
                                  <a:ext cx="3286" cy="2"/>
                                </a:xfrm>
                                <a:custGeom>
                                  <a:avLst/>
                                  <a:gdLst>
                                    <a:gd name="T0" fmla="*/ 0 w 3286"/>
                                    <a:gd name="T1" fmla="*/ 1989 w 3286"/>
                                    <a:gd name="T2" fmla="*/ 1992 w 3286"/>
                                    <a:gd name="T3" fmla="*/ 3285 w 3286"/>
                                  </a:gdLst>
                                  <a:ahLst/>
                                  <a:cxnLst>
                                    <a:cxn ang="0">
                                      <a:pos x="T0" y="0"/>
                                    </a:cxn>
                                    <a:cxn ang="0">
                                      <a:pos x="T1" y="0"/>
                                    </a:cxn>
                                    <a:cxn ang="0">
                                      <a:pos x="T2" y="0"/>
                                    </a:cxn>
                                    <a:cxn ang="0">
                                      <a:pos x="T3" y="0"/>
                                    </a:cxn>
                                  </a:cxnLst>
                                  <a:rect l="0" t="0" r="r" b="b"/>
                                  <a:pathLst>
                                    <a:path w="3286">
                                      <a:moveTo>
                                        <a:pt x="0" y="0"/>
                                      </a:moveTo>
                                      <a:lnTo>
                                        <a:pt x="1989" y="0"/>
                                      </a:lnTo>
                                      <a:moveTo>
                                        <a:pt x="1992" y="0"/>
                                      </a:moveTo>
                                      <a:lnTo>
                                        <a:pt x="3285" y="0"/>
                                      </a:lnTo>
                                    </a:path>
                                  </a:pathLst>
                                </a:custGeom>
                                <a:noFill/>
                                <a:ln w="822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w:pict>
                    <v:group w14:anchorId="0D2C7084" id="Group 49" o:spid="_x0000_s1026" style="width:164.3pt;height:.65pt;mso-position-horizontal-relative:char;mso-position-vertical-relative:line" coordsize="328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">
                      <v:shape id="AutoShape 41" o:spid="_x0000_s1027" style="position:absolute;top:6;width:3286;height:2;visibility:visible;mso-wrap-style:square;v-text-anchor:top" coordsize="32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" path="m,l1989,t3,l3285,e" filled="f" strokeweight=".22839mm">
                        <v:path arrowok="t" o:connecttype="custom" o:connectlocs="0,0;1989,0;1992,0;3285,0" o:connectangles="0,0,0,0"/>
                      </v:shape>
                      <w10:anchorlock/>
                    </v:group>
                  </w:pict>
                </mc:Fallback>
              </mc:AlternateContent>
            </w:r>
          </w:p>
          <w:p w14:paraId="22861041" w14:textId="77777777" w:rsidR="002A0714" w:rsidRPr="009B2A30" w:rsidRDefault="002A0714" w:rsidP="002A0714">
            <w:pPr>
              <w:pStyle w:val="TableParagraph"/>
              <w:spacing w:before="12" w:line="225" w:lineRule="exact"/>
              <w:ind w:left="107"/>
              <w:rPr>
                <w:rFonts w:ascii="Arial" w:hAnsi="Arial" w:cs="Arial"/>
                <w:i/>
                <w:sz w:val="18"/>
                <w:szCs w:val="18"/>
              </w:rPr>
            </w:pPr>
            <w:r w:rsidRPr="009B2A30">
              <w:rPr>
                <w:rFonts w:ascii="Arial" w:hAnsi="Arial" w:cs="Arial"/>
                <w:i/>
                <w:sz w:val="18"/>
                <w:szCs w:val="18"/>
              </w:rPr>
              <w:t>NOTE:</w:t>
            </w:r>
            <w:r w:rsidRPr="009B2A30">
              <w:rPr>
                <w:rFonts w:ascii="Arial" w:hAnsi="Arial" w:cs="Arial"/>
                <w:i/>
                <w:spacing w:val="-3"/>
                <w:sz w:val="18"/>
                <w:szCs w:val="18"/>
              </w:rPr>
              <w:t xml:space="preserve"> </w:t>
            </w:r>
            <w:r w:rsidRPr="009B2A30">
              <w:rPr>
                <w:rFonts w:ascii="Arial" w:hAnsi="Arial" w:cs="Arial"/>
                <w:i/>
                <w:sz w:val="18"/>
                <w:szCs w:val="18"/>
              </w:rPr>
              <w:t>It</w:t>
            </w:r>
            <w:r w:rsidRPr="009B2A30">
              <w:rPr>
                <w:rFonts w:ascii="Arial" w:hAnsi="Arial" w:cs="Arial"/>
                <w:i/>
                <w:spacing w:val="-2"/>
                <w:sz w:val="18"/>
                <w:szCs w:val="18"/>
              </w:rPr>
              <w:t xml:space="preserve"> </w:t>
            </w:r>
            <w:r w:rsidRPr="009B2A30">
              <w:rPr>
                <w:rFonts w:ascii="Arial" w:hAnsi="Arial" w:cs="Arial"/>
                <w:i/>
                <w:sz w:val="18"/>
                <w:szCs w:val="18"/>
              </w:rPr>
              <w:t>is</w:t>
            </w:r>
            <w:r w:rsidRPr="009B2A30">
              <w:rPr>
                <w:rFonts w:ascii="Arial" w:hAnsi="Arial" w:cs="Arial"/>
                <w:i/>
                <w:spacing w:val="-2"/>
                <w:sz w:val="18"/>
                <w:szCs w:val="18"/>
              </w:rPr>
              <w:t xml:space="preserve"> </w:t>
            </w:r>
            <w:r w:rsidRPr="009B2A30">
              <w:rPr>
                <w:rFonts w:ascii="Arial" w:hAnsi="Arial" w:cs="Arial"/>
                <w:i/>
                <w:sz w:val="18"/>
                <w:szCs w:val="18"/>
              </w:rPr>
              <w:t>possible</w:t>
            </w:r>
            <w:r w:rsidRPr="009B2A30">
              <w:rPr>
                <w:rFonts w:ascii="Arial" w:hAnsi="Arial" w:cs="Arial"/>
                <w:i/>
                <w:spacing w:val="-4"/>
                <w:sz w:val="18"/>
                <w:szCs w:val="18"/>
              </w:rPr>
              <w:t xml:space="preserve"> </w:t>
            </w:r>
            <w:r w:rsidRPr="009B2A30">
              <w:rPr>
                <w:rFonts w:ascii="Arial" w:hAnsi="Arial" w:cs="Arial"/>
                <w:i/>
                <w:sz w:val="18"/>
                <w:szCs w:val="18"/>
              </w:rPr>
              <w:t>to</w:t>
            </w:r>
            <w:r w:rsidRPr="009B2A30">
              <w:rPr>
                <w:rFonts w:ascii="Arial" w:hAnsi="Arial" w:cs="Arial"/>
                <w:i/>
                <w:spacing w:val="-1"/>
                <w:sz w:val="18"/>
                <w:szCs w:val="18"/>
              </w:rPr>
              <w:t xml:space="preserve"> </w:t>
            </w:r>
            <w:r w:rsidRPr="009B2A30">
              <w:rPr>
                <w:rFonts w:ascii="Arial" w:hAnsi="Arial" w:cs="Arial"/>
                <w:i/>
                <w:sz w:val="18"/>
                <w:szCs w:val="18"/>
              </w:rPr>
              <w:t>refer</w:t>
            </w:r>
            <w:r w:rsidRPr="009B2A30">
              <w:rPr>
                <w:rFonts w:ascii="Arial" w:hAnsi="Arial" w:cs="Arial"/>
                <w:i/>
                <w:spacing w:val="-2"/>
                <w:sz w:val="18"/>
                <w:szCs w:val="18"/>
              </w:rPr>
              <w:t xml:space="preserve"> </w:t>
            </w:r>
            <w:r w:rsidRPr="009B2A30">
              <w:rPr>
                <w:rFonts w:ascii="Arial" w:hAnsi="Arial" w:cs="Arial"/>
                <w:i/>
                <w:sz w:val="18"/>
                <w:szCs w:val="18"/>
              </w:rPr>
              <w:t>to</w:t>
            </w:r>
            <w:r w:rsidRPr="009B2A30">
              <w:rPr>
                <w:rFonts w:ascii="Arial" w:hAnsi="Arial" w:cs="Arial"/>
                <w:i/>
                <w:spacing w:val="2"/>
                <w:sz w:val="18"/>
                <w:szCs w:val="18"/>
              </w:rPr>
              <w:t xml:space="preserve"> </w:t>
            </w:r>
            <w:r w:rsidRPr="009B2A30">
              <w:rPr>
                <w:rFonts w:ascii="Arial" w:hAnsi="Arial" w:cs="Arial"/>
                <w:i/>
                <w:sz w:val="18"/>
                <w:szCs w:val="18"/>
              </w:rPr>
              <w:t>a</w:t>
            </w:r>
            <w:r w:rsidRPr="009B2A30">
              <w:rPr>
                <w:rFonts w:ascii="Arial" w:hAnsi="Arial" w:cs="Arial"/>
                <w:i/>
                <w:spacing w:val="-2"/>
                <w:sz w:val="18"/>
                <w:szCs w:val="18"/>
              </w:rPr>
              <w:t xml:space="preserve"> </w:t>
            </w:r>
            <w:r w:rsidRPr="009B2A30">
              <w:rPr>
                <w:rFonts w:ascii="Arial" w:hAnsi="Arial" w:cs="Arial"/>
                <w:i/>
                <w:sz w:val="18"/>
                <w:szCs w:val="18"/>
              </w:rPr>
              <w:t>list</w:t>
            </w:r>
            <w:r w:rsidRPr="009B2A30">
              <w:rPr>
                <w:rFonts w:ascii="Arial" w:hAnsi="Arial" w:cs="Arial"/>
                <w:i/>
                <w:spacing w:val="-2"/>
                <w:sz w:val="18"/>
                <w:szCs w:val="18"/>
              </w:rPr>
              <w:t xml:space="preserve"> </w:t>
            </w:r>
            <w:r w:rsidRPr="009B2A30">
              <w:rPr>
                <w:rFonts w:ascii="Arial" w:hAnsi="Arial" w:cs="Arial"/>
                <w:i/>
                <w:sz w:val="18"/>
                <w:szCs w:val="18"/>
              </w:rPr>
              <w:t>in</w:t>
            </w:r>
            <w:r w:rsidRPr="009B2A30">
              <w:rPr>
                <w:rFonts w:ascii="Arial" w:hAnsi="Arial" w:cs="Arial"/>
                <w:i/>
                <w:spacing w:val="-1"/>
                <w:sz w:val="18"/>
                <w:szCs w:val="18"/>
              </w:rPr>
              <w:t xml:space="preserve"> </w:t>
            </w:r>
            <w:r w:rsidRPr="009B2A30">
              <w:rPr>
                <w:rFonts w:ascii="Arial" w:hAnsi="Arial" w:cs="Arial"/>
                <w:i/>
                <w:sz w:val="18"/>
                <w:szCs w:val="18"/>
              </w:rPr>
              <w:t>the</w:t>
            </w:r>
            <w:r w:rsidRPr="009B2A30">
              <w:rPr>
                <w:rFonts w:ascii="Arial" w:hAnsi="Arial" w:cs="Arial"/>
                <w:i/>
                <w:spacing w:val="-3"/>
                <w:sz w:val="18"/>
                <w:szCs w:val="18"/>
              </w:rPr>
              <w:t xml:space="preserve"> </w:t>
            </w:r>
            <w:r w:rsidRPr="009B2A30">
              <w:rPr>
                <w:rFonts w:ascii="Arial" w:hAnsi="Arial" w:cs="Arial"/>
                <w:i/>
                <w:sz w:val="18"/>
                <w:szCs w:val="18"/>
              </w:rPr>
              <w:t>case</w:t>
            </w:r>
            <w:r w:rsidRPr="009B2A30">
              <w:rPr>
                <w:rFonts w:ascii="Arial" w:hAnsi="Arial" w:cs="Arial"/>
                <w:i/>
                <w:spacing w:val="-2"/>
                <w:sz w:val="18"/>
                <w:szCs w:val="18"/>
              </w:rPr>
              <w:t xml:space="preserve"> </w:t>
            </w:r>
            <w:r w:rsidRPr="009B2A30">
              <w:rPr>
                <w:rFonts w:ascii="Arial" w:hAnsi="Arial" w:cs="Arial"/>
                <w:i/>
                <w:sz w:val="18"/>
                <w:szCs w:val="18"/>
              </w:rPr>
              <w:t>of</w:t>
            </w:r>
            <w:r w:rsidRPr="009B2A30">
              <w:rPr>
                <w:rFonts w:ascii="Arial" w:hAnsi="Arial" w:cs="Arial"/>
                <w:i/>
                <w:spacing w:val="-4"/>
                <w:sz w:val="18"/>
                <w:szCs w:val="18"/>
              </w:rPr>
              <w:t xml:space="preserve"> </w:t>
            </w:r>
            <w:r w:rsidRPr="009B2A30">
              <w:rPr>
                <w:rFonts w:ascii="Arial" w:hAnsi="Arial" w:cs="Arial"/>
                <w:i/>
                <w:sz w:val="18"/>
                <w:szCs w:val="18"/>
              </w:rPr>
              <w:t>jointly</w:t>
            </w:r>
            <w:r w:rsidRPr="009B2A30">
              <w:rPr>
                <w:rFonts w:ascii="Arial" w:hAnsi="Arial" w:cs="Arial"/>
                <w:i/>
                <w:spacing w:val="-1"/>
                <w:sz w:val="18"/>
                <w:szCs w:val="18"/>
              </w:rPr>
              <w:t xml:space="preserve"> </w:t>
            </w:r>
            <w:r w:rsidRPr="009B2A30">
              <w:rPr>
                <w:rFonts w:ascii="Arial" w:hAnsi="Arial" w:cs="Arial"/>
                <w:i/>
                <w:sz w:val="18"/>
                <w:szCs w:val="18"/>
              </w:rPr>
              <w:t>owned</w:t>
            </w:r>
            <w:r w:rsidRPr="009B2A30">
              <w:rPr>
                <w:rFonts w:ascii="Arial" w:hAnsi="Arial" w:cs="Arial"/>
                <w:i/>
                <w:spacing w:val="-2"/>
                <w:sz w:val="18"/>
                <w:szCs w:val="18"/>
              </w:rPr>
              <w:t xml:space="preserve"> </w:t>
            </w:r>
            <w:r w:rsidRPr="009B2A30">
              <w:rPr>
                <w:rFonts w:ascii="Arial" w:hAnsi="Arial" w:cs="Arial"/>
                <w:i/>
                <w:sz w:val="18"/>
                <w:szCs w:val="18"/>
              </w:rPr>
              <w:t>aircraft.</w:t>
            </w:r>
          </w:p>
        </w:tc>
        <w:tc>
          <w:tcPr>
            <w:tcW w:w="567" w:type="dxa"/>
          </w:tcPr>
          <w:p w14:paraId="0C2A650F" w14:textId="77777777" w:rsidR="002A0714" w:rsidRPr="00D724E5" w:rsidRDefault="002A0714" w:rsidP="002A0714">
            <w:pPr>
              <w:pStyle w:val="TableParagraph"/>
              <w:spacing w:line="243" w:lineRule="exact"/>
              <w:ind w:left="52" w:right="119"/>
              <w:jc w:val="center"/>
              <w:rPr>
                <w:rFonts w:ascii="Arial" w:hAnsi="Arial" w:cs="Arial"/>
                <w:sz w:val="18"/>
                <w:szCs w:val="18"/>
              </w:rPr>
            </w:pPr>
            <w:r w:rsidRPr="00D724E5">
              <w:rPr>
                <w:rFonts w:ascii="Arial" w:hAnsi="Arial" w:cs="Arial"/>
                <w:sz w:val="18"/>
                <w:szCs w:val="18"/>
              </w:rPr>
              <w:t>Yes</w:t>
            </w:r>
          </w:p>
        </w:tc>
        <w:tc>
          <w:tcPr>
            <w:tcW w:w="533" w:type="dxa"/>
          </w:tcPr>
          <w:p w14:paraId="5173A2F3" w14:textId="77777777" w:rsidR="002A0714" w:rsidRPr="00D724E5" w:rsidRDefault="002A0714" w:rsidP="002A0714">
            <w:pPr>
              <w:pStyle w:val="TableParagraph"/>
              <w:spacing w:line="243" w:lineRule="exact"/>
              <w:ind w:left="48" w:right="121"/>
              <w:jc w:val="center"/>
              <w:rPr>
                <w:rFonts w:ascii="Arial" w:hAnsi="Arial" w:cs="Arial"/>
                <w:sz w:val="18"/>
                <w:szCs w:val="18"/>
              </w:rPr>
            </w:pPr>
            <w:r w:rsidRPr="00D724E5">
              <w:rPr>
                <w:rFonts w:ascii="Arial" w:hAnsi="Arial" w:cs="Arial"/>
                <w:sz w:val="18"/>
                <w:szCs w:val="18"/>
              </w:rPr>
              <w:t>No</w:t>
            </w:r>
          </w:p>
        </w:tc>
      </w:tr>
      <w:tr w:rsidR="002A0714" w:rsidRPr="00D724E5" w14:paraId="52F78498" w14:textId="77777777" w:rsidTr="008C2414">
        <w:trPr>
          <w:gridAfter w:val="1"/>
          <w:wAfter w:w="13" w:type="dxa"/>
          <w:trHeight w:val="241"/>
        </w:trPr>
        <w:tc>
          <w:tcPr>
            <w:tcW w:w="9042" w:type="dxa"/>
            <w:gridSpan w:val="11"/>
            <w:shd w:val="clear" w:color="auto" w:fill="F2F2F2" w:themeFill="background1" w:themeFillShade="F2"/>
          </w:tcPr>
          <w:p w14:paraId="7EE5DA60" w14:textId="77777777" w:rsidR="002A0714" w:rsidRPr="00D724E5" w:rsidRDefault="002A0714" w:rsidP="002A0714">
            <w:pPr>
              <w:pStyle w:val="TableParagraph"/>
              <w:spacing w:line="222" w:lineRule="exact"/>
              <w:ind w:left="978"/>
              <w:rPr>
                <w:rFonts w:ascii="Arial" w:hAnsi="Arial" w:cs="Arial"/>
                <w:b/>
                <w:sz w:val="18"/>
                <w:szCs w:val="18"/>
              </w:rPr>
            </w:pPr>
            <w:r w:rsidRPr="00D724E5">
              <w:rPr>
                <w:rFonts w:ascii="Arial" w:hAnsi="Arial" w:cs="Arial"/>
                <w:b/>
                <w:sz w:val="18"/>
                <w:szCs w:val="18"/>
              </w:rPr>
              <w:t>Approval/declaration</w:t>
            </w:r>
            <w:r w:rsidRPr="00D724E5">
              <w:rPr>
                <w:rFonts w:ascii="Arial" w:hAnsi="Arial" w:cs="Arial"/>
                <w:b/>
                <w:spacing w:val="-3"/>
                <w:sz w:val="18"/>
                <w:szCs w:val="18"/>
              </w:rPr>
              <w:t xml:space="preserve"> </w:t>
            </w:r>
            <w:r w:rsidRPr="00D724E5">
              <w:rPr>
                <w:rFonts w:ascii="Arial" w:hAnsi="Arial" w:cs="Arial"/>
                <w:b/>
                <w:sz w:val="18"/>
                <w:szCs w:val="18"/>
              </w:rPr>
              <w:t>of</w:t>
            </w:r>
            <w:r w:rsidRPr="00D724E5">
              <w:rPr>
                <w:rFonts w:ascii="Arial" w:hAnsi="Arial" w:cs="Arial"/>
                <w:b/>
                <w:spacing w:val="-4"/>
                <w:sz w:val="18"/>
                <w:szCs w:val="18"/>
              </w:rPr>
              <w:t xml:space="preserve"> </w:t>
            </w:r>
            <w:r w:rsidRPr="00D724E5">
              <w:rPr>
                <w:rFonts w:ascii="Arial" w:hAnsi="Arial" w:cs="Arial"/>
                <w:b/>
                <w:sz w:val="18"/>
                <w:szCs w:val="18"/>
              </w:rPr>
              <w:t>the</w:t>
            </w:r>
            <w:r w:rsidRPr="00D724E5">
              <w:rPr>
                <w:rFonts w:ascii="Arial" w:hAnsi="Arial" w:cs="Arial"/>
                <w:b/>
                <w:spacing w:val="-5"/>
                <w:sz w:val="18"/>
                <w:szCs w:val="18"/>
              </w:rPr>
              <w:t xml:space="preserve"> </w:t>
            </w:r>
            <w:r w:rsidRPr="00D724E5">
              <w:rPr>
                <w:rFonts w:ascii="Arial" w:hAnsi="Arial" w:cs="Arial"/>
                <w:b/>
                <w:sz w:val="18"/>
                <w:szCs w:val="18"/>
              </w:rPr>
              <w:t>maintenance</w:t>
            </w:r>
            <w:r w:rsidRPr="00D724E5">
              <w:rPr>
                <w:rFonts w:ascii="Arial" w:hAnsi="Arial" w:cs="Arial"/>
                <w:b/>
                <w:spacing w:val="-4"/>
                <w:sz w:val="18"/>
                <w:szCs w:val="18"/>
              </w:rPr>
              <w:t xml:space="preserve"> </w:t>
            </w:r>
            <w:r w:rsidRPr="00D724E5">
              <w:rPr>
                <w:rFonts w:ascii="Arial" w:hAnsi="Arial" w:cs="Arial"/>
                <w:b/>
                <w:sz w:val="18"/>
                <w:szCs w:val="18"/>
              </w:rPr>
              <w:t>programme</w:t>
            </w:r>
            <w:r w:rsidRPr="00D724E5">
              <w:rPr>
                <w:rFonts w:ascii="Arial" w:hAnsi="Arial" w:cs="Arial"/>
                <w:b/>
                <w:spacing w:val="-3"/>
                <w:sz w:val="18"/>
                <w:szCs w:val="18"/>
              </w:rPr>
              <w:t xml:space="preserve"> </w:t>
            </w:r>
            <w:r w:rsidRPr="00D724E5">
              <w:rPr>
                <w:rFonts w:ascii="Arial" w:hAnsi="Arial" w:cs="Arial"/>
                <w:b/>
                <w:sz w:val="18"/>
                <w:szCs w:val="18"/>
              </w:rPr>
              <w:t>(select</w:t>
            </w:r>
            <w:r w:rsidRPr="00D724E5">
              <w:rPr>
                <w:rFonts w:ascii="Arial" w:hAnsi="Arial" w:cs="Arial"/>
                <w:b/>
                <w:spacing w:val="-4"/>
                <w:sz w:val="18"/>
                <w:szCs w:val="18"/>
              </w:rPr>
              <w:t xml:space="preserve"> </w:t>
            </w:r>
            <w:r w:rsidRPr="00D724E5">
              <w:rPr>
                <w:rFonts w:ascii="Arial" w:hAnsi="Arial" w:cs="Arial"/>
                <w:b/>
                <w:sz w:val="18"/>
                <w:szCs w:val="18"/>
              </w:rPr>
              <w:t>the</w:t>
            </w:r>
            <w:r w:rsidRPr="00D724E5">
              <w:rPr>
                <w:rFonts w:ascii="Arial" w:hAnsi="Arial" w:cs="Arial"/>
                <w:b/>
                <w:spacing w:val="-3"/>
                <w:sz w:val="18"/>
                <w:szCs w:val="18"/>
              </w:rPr>
              <w:t xml:space="preserve"> </w:t>
            </w:r>
            <w:r w:rsidRPr="00D724E5">
              <w:rPr>
                <w:rFonts w:ascii="Arial" w:hAnsi="Arial" w:cs="Arial"/>
                <w:b/>
                <w:sz w:val="18"/>
                <w:szCs w:val="18"/>
              </w:rPr>
              <w:t>appropriate</w:t>
            </w:r>
            <w:r w:rsidRPr="00D724E5">
              <w:rPr>
                <w:rFonts w:ascii="Arial" w:hAnsi="Arial" w:cs="Arial"/>
                <w:b/>
                <w:spacing w:val="-3"/>
                <w:sz w:val="18"/>
                <w:szCs w:val="18"/>
              </w:rPr>
              <w:t xml:space="preserve"> </w:t>
            </w:r>
            <w:r w:rsidRPr="00D724E5">
              <w:rPr>
                <w:rFonts w:ascii="Arial" w:hAnsi="Arial" w:cs="Arial"/>
                <w:b/>
                <w:sz w:val="18"/>
                <w:szCs w:val="18"/>
              </w:rPr>
              <w:t>option)</w:t>
            </w:r>
          </w:p>
        </w:tc>
      </w:tr>
      <w:tr w:rsidR="002A0714" w:rsidRPr="00D724E5" w14:paraId="57090ACA" w14:textId="77777777" w:rsidTr="002A0714">
        <w:trPr>
          <w:gridAfter w:val="1"/>
          <w:wAfter w:w="13" w:type="dxa"/>
          <w:trHeight w:val="244"/>
        </w:trPr>
        <w:tc>
          <w:tcPr>
            <w:tcW w:w="430" w:type="dxa"/>
            <w:gridSpan w:val="2"/>
          </w:tcPr>
          <w:p w14:paraId="7CA68E76" w14:textId="77777777" w:rsidR="002A0714" w:rsidRPr="00D724E5" w:rsidRDefault="002A0714" w:rsidP="002A0714">
            <w:pPr>
              <w:pStyle w:val="TableParagraph"/>
              <w:spacing w:before="1" w:line="223" w:lineRule="exact"/>
              <w:ind w:left="107"/>
              <w:rPr>
                <w:rFonts w:ascii="Arial" w:hAnsi="Arial" w:cs="Arial"/>
                <w:sz w:val="18"/>
                <w:szCs w:val="18"/>
              </w:rPr>
            </w:pPr>
            <w:r w:rsidRPr="00D724E5">
              <w:rPr>
                <w:rFonts w:ascii="Arial" w:hAnsi="Arial" w:cs="Arial"/>
                <w:w w:val="99"/>
                <w:sz w:val="18"/>
                <w:szCs w:val="18"/>
              </w:rPr>
              <w:t>7</w:t>
            </w:r>
          </w:p>
        </w:tc>
        <w:tc>
          <w:tcPr>
            <w:tcW w:w="4859" w:type="dxa"/>
            <w:gridSpan w:val="5"/>
          </w:tcPr>
          <w:p w14:paraId="1CB43D81" w14:textId="77777777" w:rsidR="002A0714" w:rsidRPr="00D724E5" w:rsidRDefault="002A0714" w:rsidP="002A0714">
            <w:pPr>
              <w:pStyle w:val="TableParagraph"/>
              <w:spacing w:before="1" w:line="223" w:lineRule="exact"/>
              <w:ind w:left="107"/>
              <w:rPr>
                <w:rFonts w:ascii="Arial" w:hAnsi="Arial" w:cs="Arial"/>
                <w:sz w:val="18"/>
                <w:szCs w:val="18"/>
              </w:rPr>
            </w:pPr>
            <w:r w:rsidRPr="00D724E5">
              <w:rPr>
                <w:rFonts w:ascii="Arial" w:hAnsi="Arial" w:cs="Arial"/>
                <w:sz w:val="18"/>
                <w:szCs w:val="18"/>
              </w:rPr>
              <w:t>Declaration</w:t>
            </w:r>
            <w:r w:rsidRPr="00D724E5">
              <w:rPr>
                <w:rFonts w:ascii="Arial" w:hAnsi="Arial" w:cs="Arial"/>
                <w:spacing w:val="-3"/>
                <w:sz w:val="18"/>
                <w:szCs w:val="18"/>
              </w:rPr>
              <w:t xml:space="preserve"> </w:t>
            </w:r>
            <w:r w:rsidRPr="00D724E5">
              <w:rPr>
                <w:rFonts w:ascii="Arial" w:hAnsi="Arial" w:cs="Arial"/>
                <w:sz w:val="18"/>
                <w:szCs w:val="18"/>
              </w:rPr>
              <w:t>by</w:t>
            </w:r>
            <w:r w:rsidRPr="00D724E5">
              <w:rPr>
                <w:rFonts w:ascii="Arial" w:hAnsi="Arial" w:cs="Arial"/>
                <w:spacing w:val="-3"/>
                <w:sz w:val="18"/>
                <w:szCs w:val="18"/>
              </w:rPr>
              <w:t xml:space="preserve"> </w:t>
            </w:r>
            <w:r w:rsidRPr="00D724E5">
              <w:rPr>
                <w:rFonts w:ascii="Arial" w:hAnsi="Arial" w:cs="Arial"/>
                <w:sz w:val="18"/>
                <w:szCs w:val="18"/>
              </w:rPr>
              <w:t>the</w:t>
            </w:r>
            <w:r w:rsidRPr="00D724E5">
              <w:rPr>
                <w:rFonts w:ascii="Arial" w:hAnsi="Arial" w:cs="Arial"/>
                <w:spacing w:val="-3"/>
                <w:sz w:val="18"/>
                <w:szCs w:val="18"/>
              </w:rPr>
              <w:t xml:space="preserve"> </w:t>
            </w:r>
            <w:r w:rsidRPr="00D724E5">
              <w:rPr>
                <w:rFonts w:ascii="Arial" w:hAnsi="Arial" w:cs="Arial"/>
                <w:sz w:val="18"/>
                <w:szCs w:val="18"/>
              </w:rPr>
              <w:t>owner:</w:t>
            </w:r>
            <w:r w:rsidR="00D724E5">
              <w:rPr>
                <w:rFonts w:ascii="Arial" w:hAnsi="Arial" w:cs="Arial"/>
                <w:sz w:val="18"/>
                <w:szCs w:val="18"/>
              </w:rPr>
              <w:t xml:space="preserve"> </w:t>
            </w:r>
            <w:r w:rsidR="00D724E5" w:rsidRPr="00D724E5">
              <w:rPr>
                <w:rFonts w:ascii="Arial" w:hAnsi="Arial" w:cs="Arial"/>
                <w:noProof/>
                <w:position w:val="-3"/>
                <w:sz w:val="18"/>
                <w:szCs w:val="18"/>
              </w:rPr>
              <mc:AlternateContent>
                <mc:Choice Requires="wpg">
                  <w:drawing>
                    <wp:inline distT="0" distB="0" distL="0" distR="0" wp14:anchorId="5BC4F36B" wp14:editId="2DBB3CE5">
                      <wp:extent cx="127145" cy="127145"/>
                      <wp:effectExtent l="0" t="0" r="6350" b="6350"/>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145" cy="127145"/>
                                <a:chOff x="0" y="0"/>
                                <a:chExt cx="214" cy="214"/>
                              </a:xfrm>
                            </wpg:grpSpPr>
                            <wps:wsp>
                              <wps:cNvPr id="94" name="Rectangle 55"/>
                              <wps:cNvSpPr>
                                <a:spLocks noChangeArrowheads="1"/>
                              </wps:cNvSpPr>
                              <wps:spPr bwMode="auto">
                                <a:xfrm>
                                  <a:off x="7" y="7"/>
                                  <a:ext cx="200" cy="2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w:pict>
                    <v:group w14:anchorId="1B0AC2D0" id="Group 93" o:spid="_x0000_s1026" style="width:10pt;height:10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">
                      <v:rect id="Rectangle 55"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" filled="f" strokeweight=".72pt"/>
                      <w10:anchorlock/>
                    </v:group>
                  </w:pict>
                </mc:Fallback>
              </mc:AlternateContent>
            </w:r>
          </w:p>
        </w:tc>
        <w:tc>
          <w:tcPr>
            <w:tcW w:w="3753" w:type="dxa"/>
            <w:gridSpan w:val="4"/>
          </w:tcPr>
          <w:p w14:paraId="49A8426C" w14:textId="77777777" w:rsidR="002A0714" w:rsidRPr="00D724E5" w:rsidRDefault="002A0714" w:rsidP="002A0714">
            <w:pPr>
              <w:pStyle w:val="TableParagraph"/>
              <w:spacing w:before="1" w:line="223" w:lineRule="exact"/>
              <w:ind w:left="106"/>
              <w:rPr>
                <w:rFonts w:ascii="Arial" w:hAnsi="Arial" w:cs="Arial"/>
                <w:sz w:val="18"/>
                <w:szCs w:val="18"/>
              </w:rPr>
            </w:pPr>
            <w:r w:rsidRPr="00D724E5">
              <w:rPr>
                <w:rFonts w:ascii="Arial" w:hAnsi="Arial" w:cs="Arial"/>
                <w:sz w:val="18"/>
                <w:szCs w:val="18"/>
              </w:rPr>
              <w:t>Approval</w:t>
            </w:r>
            <w:r w:rsidRPr="00D724E5">
              <w:rPr>
                <w:rFonts w:ascii="Arial" w:hAnsi="Arial" w:cs="Arial"/>
                <w:spacing w:val="-3"/>
                <w:sz w:val="18"/>
                <w:szCs w:val="18"/>
              </w:rPr>
              <w:t xml:space="preserve"> </w:t>
            </w:r>
            <w:r w:rsidRPr="00D724E5">
              <w:rPr>
                <w:rFonts w:ascii="Arial" w:hAnsi="Arial" w:cs="Arial"/>
                <w:sz w:val="18"/>
                <w:szCs w:val="18"/>
              </w:rPr>
              <w:t>by</w:t>
            </w:r>
            <w:r w:rsidRPr="00D724E5">
              <w:rPr>
                <w:rFonts w:ascii="Arial" w:hAnsi="Arial" w:cs="Arial"/>
                <w:spacing w:val="-3"/>
                <w:sz w:val="18"/>
                <w:szCs w:val="18"/>
              </w:rPr>
              <w:t xml:space="preserve"> </w:t>
            </w:r>
            <w:r w:rsidRPr="00D724E5">
              <w:rPr>
                <w:rFonts w:ascii="Arial" w:hAnsi="Arial" w:cs="Arial"/>
                <w:sz w:val="18"/>
                <w:szCs w:val="18"/>
              </w:rPr>
              <w:t>the</w:t>
            </w:r>
            <w:r w:rsidRPr="00D724E5">
              <w:rPr>
                <w:rFonts w:ascii="Arial" w:hAnsi="Arial" w:cs="Arial"/>
                <w:spacing w:val="-4"/>
                <w:sz w:val="18"/>
                <w:szCs w:val="18"/>
              </w:rPr>
              <w:t xml:space="preserve"> </w:t>
            </w:r>
            <w:r w:rsidRPr="00D724E5">
              <w:rPr>
                <w:rFonts w:ascii="Arial" w:hAnsi="Arial" w:cs="Arial"/>
                <w:sz w:val="18"/>
                <w:szCs w:val="18"/>
              </w:rPr>
              <w:t>contracted</w:t>
            </w:r>
            <w:r w:rsidRPr="00D724E5">
              <w:rPr>
                <w:rFonts w:ascii="Arial" w:hAnsi="Arial" w:cs="Arial"/>
                <w:spacing w:val="-3"/>
                <w:sz w:val="18"/>
                <w:szCs w:val="18"/>
              </w:rPr>
              <w:t xml:space="preserve"> </w:t>
            </w:r>
            <w:r w:rsidRPr="00D724E5">
              <w:rPr>
                <w:rFonts w:ascii="Arial" w:hAnsi="Arial" w:cs="Arial"/>
                <w:sz w:val="18"/>
                <w:szCs w:val="18"/>
              </w:rPr>
              <w:t>CAMO/CAO:</w:t>
            </w:r>
            <w:r w:rsidR="00D724E5">
              <w:rPr>
                <w:rFonts w:ascii="Arial" w:hAnsi="Arial" w:cs="Arial"/>
                <w:sz w:val="18"/>
                <w:szCs w:val="18"/>
              </w:rPr>
              <w:t xml:space="preserve"> </w:t>
            </w:r>
            <w:r w:rsidR="00D724E5" w:rsidRPr="00D724E5">
              <w:rPr>
                <w:rFonts w:ascii="Arial" w:hAnsi="Arial" w:cs="Arial"/>
                <w:noProof/>
                <w:position w:val="-3"/>
                <w:sz w:val="18"/>
                <w:szCs w:val="18"/>
              </w:rPr>
              <mc:AlternateContent>
                <mc:Choice Requires="wpg">
                  <w:drawing>
                    <wp:inline distT="0" distB="0" distL="0" distR="0" wp14:anchorId="031BDBB0" wp14:editId="5EC78EC8">
                      <wp:extent cx="127145" cy="127145"/>
                      <wp:effectExtent l="0" t="0" r="6350" b="6350"/>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145" cy="127145"/>
                                <a:chOff x="0" y="0"/>
                                <a:chExt cx="214" cy="214"/>
                              </a:xfrm>
                            </wpg:grpSpPr>
                            <wps:wsp>
                              <wps:cNvPr id="96" name="Rectangle 55"/>
                              <wps:cNvSpPr>
                                <a:spLocks noChangeArrowheads="1"/>
                              </wps:cNvSpPr>
                              <wps:spPr bwMode="auto">
                                <a:xfrm>
                                  <a:off x="7" y="7"/>
                                  <a:ext cx="200" cy="2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w:pict>
                    <v:group w14:anchorId="6B550E83" id="Group 95" o:spid="_x0000_s1026" style="width:10pt;height:10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">
                      <v:rect id="Rectangle 55"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" filled="f" strokeweight=".72pt"/>
                      <w10:anchorlock/>
                    </v:group>
                  </w:pict>
                </mc:Fallback>
              </mc:AlternateContent>
            </w:r>
          </w:p>
        </w:tc>
      </w:tr>
      <w:tr w:rsidR="002A0714" w:rsidRPr="00D724E5" w14:paraId="1A04ACF6" w14:textId="77777777" w:rsidTr="002A0714">
        <w:trPr>
          <w:gridAfter w:val="1"/>
          <w:wAfter w:w="13" w:type="dxa"/>
          <w:trHeight w:val="1221"/>
        </w:trPr>
        <w:tc>
          <w:tcPr>
            <w:tcW w:w="430" w:type="dxa"/>
            <w:gridSpan w:val="2"/>
          </w:tcPr>
          <w:p w14:paraId="10EFD442" w14:textId="77777777" w:rsidR="002A0714" w:rsidRPr="00D724E5" w:rsidRDefault="002A0714" w:rsidP="002A0714">
            <w:pPr>
              <w:pStyle w:val="TableParagraph"/>
              <w:ind w:left="0"/>
              <w:rPr>
                <w:rFonts w:ascii="Arial" w:hAnsi="Arial" w:cs="Arial"/>
                <w:sz w:val="18"/>
                <w:szCs w:val="18"/>
              </w:rPr>
            </w:pPr>
          </w:p>
        </w:tc>
        <w:tc>
          <w:tcPr>
            <w:tcW w:w="4859" w:type="dxa"/>
            <w:gridSpan w:val="5"/>
          </w:tcPr>
          <w:p w14:paraId="5BAE9887" w14:textId="77777777" w:rsidR="002A0714" w:rsidRPr="00D724E5" w:rsidRDefault="002A0714" w:rsidP="003E687E">
            <w:pPr>
              <w:pStyle w:val="TableParagraph"/>
              <w:spacing w:before="1"/>
              <w:ind w:left="107" w:right="195"/>
              <w:jc w:val="both"/>
              <w:rPr>
                <w:rFonts w:ascii="Arial" w:hAnsi="Arial" w:cs="Arial"/>
                <w:sz w:val="18"/>
                <w:szCs w:val="18"/>
              </w:rPr>
            </w:pPr>
            <w:r w:rsidRPr="00D724E5">
              <w:rPr>
                <w:rFonts w:ascii="Arial" w:hAnsi="Arial" w:cs="Arial"/>
                <w:sz w:val="18"/>
                <w:szCs w:val="18"/>
              </w:rPr>
              <w:t>‘I hereby declare that this is the maintenance</w:t>
            </w:r>
            <w:r w:rsidRPr="00D724E5">
              <w:rPr>
                <w:rFonts w:ascii="Arial" w:hAnsi="Arial" w:cs="Arial"/>
                <w:spacing w:val="1"/>
                <w:sz w:val="18"/>
                <w:szCs w:val="18"/>
              </w:rPr>
              <w:t xml:space="preserve"> </w:t>
            </w:r>
            <w:r w:rsidRPr="00D724E5">
              <w:rPr>
                <w:rFonts w:ascii="Arial" w:hAnsi="Arial" w:cs="Arial"/>
                <w:sz w:val="18"/>
                <w:szCs w:val="18"/>
              </w:rPr>
              <w:t>programme applicable to the aircraft referred to in</w:t>
            </w:r>
            <w:r w:rsidRPr="00D724E5">
              <w:rPr>
                <w:rFonts w:ascii="Arial" w:hAnsi="Arial" w:cs="Arial"/>
                <w:spacing w:val="1"/>
                <w:sz w:val="18"/>
                <w:szCs w:val="18"/>
              </w:rPr>
              <w:t xml:space="preserve"> </w:t>
            </w:r>
            <w:r w:rsidRPr="00D724E5">
              <w:rPr>
                <w:rFonts w:ascii="Arial" w:hAnsi="Arial" w:cs="Arial"/>
                <w:sz w:val="18"/>
                <w:szCs w:val="18"/>
              </w:rPr>
              <w:t>block</w:t>
            </w:r>
            <w:r w:rsidRPr="00D724E5">
              <w:rPr>
                <w:rFonts w:ascii="Arial" w:hAnsi="Arial" w:cs="Arial"/>
                <w:spacing w:val="-1"/>
                <w:sz w:val="18"/>
                <w:szCs w:val="18"/>
              </w:rPr>
              <w:t xml:space="preserve"> </w:t>
            </w:r>
            <w:r w:rsidRPr="00D724E5">
              <w:rPr>
                <w:rFonts w:ascii="Arial" w:hAnsi="Arial" w:cs="Arial"/>
                <w:sz w:val="18"/>
                <w:szCs w:val="18"/>
              </w:rPr>
              <w:t>1,</w:t>
            </w:r>
            <w:r w:rsidRPr="00D724E5">
              <w:rPr>
                <w:rFonts w:ascii="Arial" w:hAnsi="Arial" w:cs="Arial"/>
                <w:spacing w:val="-2"/>
                <w:sz w:val="18"/>
                <w:szCs w:val="18"/>
              </w:rPr>
              <w:t xml:space="preserve"> </w:t>
            </w:r>
            <w:r w:rsidRPr="00D724E5">
              <w:rPr>
                <w:rFonts w:ascii="Arial" w:hAnsi="Arial" w:cs="Arial"/>
                <w:sz w:val="18"/>
                <w:szCs w:val="18"/>
              </w:rPr>
              <w:t>and</w:t>
            </w:r>
            <w:r w:rsidRPr="00D724E5">
              <w:rPr>
                <w:rFonts w:ascii="Arial" w:hAnsi="Arial" w:cs="Arial"/>
                <w:spacing w:val="-2"/>
                <w:sz w:val="18"/>
                <w:szCs w:val="18"/>
              </w:rPr>
              <w:t xml:space="preserve"> </w:t>
            </w:r>
            <w:r w:rsidRPr="00D724E5">
              <w:rPr>
                <w:rFonts w:ascii="Arial" w:hAnsi="Arial" w:cs="Arial"/>
                <w:sz w:val="18"/>
                <w:szCs w:val="18"/>
              </w:rPr>
              <w:t>I</w:t>
            </w:r>
            <w:r w:rsidRPr="00D724E5">
              <w:rPr>
                <w:rFonts w:ascii="Arial" w:hAnsi="Arial" w:cs="Arial"/>
                <w:spacing w:val="-2"/>
                <w:sz w:val="18"/>
                <w:szCs w:val="18"/>
              </w:rPr>
              <w:t xml:space="preserve"> </w:t>
            </w:r>
            <w:r w:rsidRPr="00D724E5">
              <w:rPr>
                <w:rFonts w:ascii="Arial" w:hAnsi="Arial" w:cs="Arial"/>
                <w:sz w:val="18"/>
                <w:szCs w:val="18"/>
              </w:rPr>
              <w:t>am</w:t>
            </w:r>
            <w:r w:rsidRPr="00D724E5">
              <w:rPr>
                <w:rFonts w:ascii="Arial" w:hAnsi="Arial" w:cs="Arial"/>
                <w:spacing w:val="-3"/>
                <w:sz w:val="18"/>
                <w:szCs w:val="18"/>
              </w:rPr>
              <w:t xml:space="preserve"> </w:t>
            </w:r>
            <w:r w:rsidRPr="00D724E5">
              <w:rPr>
                <w:rFonts w:ascii="Arial" w:hAnsi="Arial" w:cs="Arial"/>
                <w:sz w:val="18"/>
                <w:szCs w:val="18"/>
              </w:rPr>
              <w:t>fully</w:t>
            </w:r>
            <w:r w:rsidRPr="00D724E5">
              <w:rPr>
                <w:rFonts w:ascii="Arial" w:hAnsi="Arial" w:cs="Arial"/>
                <w:spacing w:val="-1"/>
                <w:sz w:val="18"/>
                <w:szCs w:val="18"/>
              </w:rPr>
              <w:t xml:space="preserve"> </w:t>
            </w:r>
            <w:r w:rsidRPr="00D724E5">
              <w:rPr>
                <w:rFonts w:ascii="Arial" w:hAnsi="Arial" w:cs="Arial"/>
                <w:sz w:val="18"/>
                <w:szCs w:val="18"/>
              </w:rPr>
              <w:t>responsible</w:t>
            </w:r>
            <w:r w:rsidRPr="00D724E5">
              <w:rPr>
                <w:rFonts w:ascii="Arial" w:hAnsi="Arial" w:cs="Arial"/>
                <w:spacing w:val="-3"/>
                <w:sz w:val="18"/>
                <w:szCs w:val="18"/>
              </w:rPr>
              <w:t xml:space="preserve"> </w:t>
            </w:r>
            <w:r w:rsidRPr="00D724E5">
              <w:rPr>
                <w:rFonts w:ascii="Arial" w:hAnsi="Arial" w:cs="Arial"/>
                <w:sz w:val="18"/>
                <w:szCs w:val="18"/>
              </w:rPr>
              <w:t>for</w:t>
            </w:r>
            <w:r w:rsidRPr="00D724E5">
              <w:rPr>
                <w:rFonts w:ascii="Arial" w:hAnsi="Arial" w:cs="Arial"/>
                <w:spacing w:val="-2"/>
                <w:sz w:val="18"/>
                <w:szCs w:val="18"/>
              </w:rPr>
              <w:t xml:space="preserve"> </w:t>
            </w:r>
            <w:r w:rsidRPr="00D724E5">
              <w:rPr>
                <w:rFonts w:ascii="Arial" w:hAnsi="Arial" w:cs="Arial"/>
                <w:sz w:val="18"/>
                <w:szCs w:val="18"/>
              </w:rPr>
              <w:t>its</w:t>
            </w:r>
            <w:r w:rsidRPr="00D724E5">
              <w:rPr>
                <w:rFonts w:ascii="Arial" w:hAnsi="Arial" w:cs="Arial"/>
                <w:spacing w:val="-3"/>
                <w:sz w:val="18"/>
                <w:szCs w:val="18"/>
              </w:rPr>
              <w:t xml:space="preserve"> </w:t>
            </w:r>
            <w:r w:rsidRPr="00D724E5">
              <w:rPr>
                <w:rFonts w:ascii="Arial" w:hAnsi="Arial" w:cs="Arial"/>
                <w:sz w:val="18"/>
                <w:szCs w:val="18"/>
              </w:rPr>
              <w:t>content</w:t>
            </w:r>
            <w:r w:rsidRPr="00D724E5">
              <w:rPr>
                <w:rFonts w:ascii="Arial" w:hAnsi="Arial" w:cs="Arial"/>
                <w:spacing w:val="-2"/>
                <w:sz w:val="18"/>
                <w:szCs w:val="18"/>
              </w:rPr>
              <w:t xml:space="preserve"> </w:t>
            </w:r>
            <w:r w:rsidRPr="00D724E5">
              <w:rPr>
                <w:rFonts w:ascii="Arial" w:hAnsi="Arial" w:cs="Arial"/>
                <w:sz w:val="18"/>
                <w:szCs w:val="18"/>
              </w:rPr>
              <w:t>and,</w:t>
            </w:r>
            <w:r w:rsidRPr="00D724E5">
              <w:rPr>
                <w:rFonts w:ascii="Arial" w:hAnsi="Arial" w:cs="Arial"/>
                <w:spacing w:val="-2"/>
                <w:sz w:val="18"/>
                <w:szCs w:val="18"/>
              </w:rPr>
              <w:t xml:space="preserve"> </w:t>
            </w:r>
            <w:r w:rsidRPr="00D724E5">
              <w:rPr>
                <w:rFonts w:ascii="Arial" w:hAnsi="Arial" w:cs="Arial"/>
                <w:sz w:val="18"/>
                <w:szCs w:val="18"/>
              </w:rPr>
              <w:t>in</w:t>
            </w:r>
            <w:r w:rsidRPr="00D724E5">
              <w:rPr>
                <w:rFonts w:ascii="Arial" w:hAnsi="Arial" w:cs="Arial"/>
                <w:spacing w:val="-42"/>
                <w:sz w:val="18"/>
                <w:szCs w:val="18"/>
              </w:rPr>
              <w:t xml:space="preserve"> </w:t>
            </w:r>
            <w:r w:rsidRPr="00D724E5">
              <w:rPr>
                <w:rFonts w:ascii="Arial" w:hAnsi="Arial" w:cs="Arial"/>
                <w:sz w:val="18"/>
                <w:szCs w:val="18"/>
              </w:rPr>
              <w:t>particular,</w:t>
            </w:r>
            <w:r w:rsidRPr="00D724E5">
              <w:rPr>
                <w:rFonts w:ascii="Arial" w:hAnsi="Arial" w:cs="Arial"/>
                <w:spacing w:val="-2"/>
                <w:sz w:val="18"/>
                <w:szCs w:val="18"/>
              </w:rPr>
              <w:t xml:space="preserve"> </w:t>
            </w:r>
            <w:r w:rsidRPr="00D724E5">
              <w:rPr>
                <w:rFonts w:ascii="Arial" w:hAnsi="Arial" w:cs="Arial"/>
                <w:sz w:val="18"/>
                <w:szCs w:val="18"/>
              </w:rPr>
              <w:t>for</w:t>
            </w:r>
            <w:r w:rsidRPr="00D724E5">
              <w:rPr>
                <w:rFonts w:ascii="Arial" w:hAnsi="Arial" w:cs="Arial"/>
                <w:spacing w:val="-2"/>
                <w:sz w:val="18"/>
                <w:szCs w:val="18"/>
              </w:rPr>
              <w:t xml:space="preserve"> </w:t>
            </w:r>
            <w:r w:rsidRPr="00D724E5">
              <w:rPr>
                <w:rFonts w:ascii="Arial" w:hAnsi="Arial" w:cs="Arial"/>
                <w:sz w:val="18"/>
                <w:szCs w:val="18"/>
              </w:rPr>
              <w:t>any</w:t>
            </w:r>
            <w:r w:rsidRPr="00D724E5">
              <w:rPr>
                <w:rFonts w:ascii="Arial" w:hAnsi="Arial" w:cs="Arial"/>
                <w:spacing w:val="-2"/>
                <w:sz w:val="18"/>
                <w:szCs w:val="18"/>
              </w:rPr>
              <w:t xml:space="preserve"> </w:t>
            </w:r>
            <w:r w:rsidRPr="00D724E5">
              <w:rPr>
                <w:rFonts w:ascii="Arial" w:hAnsi="Arial" w:cs="Arial"/>
                <w:sz w:val="18"/>
                <w:szCs w:val="18"/>
              </w:rPr>
              <w:t>alternatives</w:t>
            </w:r>
            <w:r w:rsidRPr="00D724E5">
              <w:rPr>
                <w:rFonts w:ascii="Arial" w:hAnsi="Arial" w:cs="Arial"/>
                <w:spacing w:val="-3"/>
                <w:sz w:val="18"/>
                <w:szCs w:val="18"/>
              </w:rPr>
              <w:t xml:space="preserve"> </w:t>
            </w:r>
            <w:r w:rsidRPr="00D724E5">
              <w:rPr>
                <w:rFonts w:ascii="Arial" w:hAnsi="Arial" w:cs="Arial"/>
                <w:sz w:val="18"/>
                <w:szCs w:val="18"/>
              </w:rPr>
              <w:t>tasks</w:t>
            </w:r>
            <w:r w:rsidRPr="00D724E5">
              <w:rPr>
                <w:rFonts w:ascii="Arial" w:hAnsi="Arial" w:cs="Arial"/>
                <w:spacing w:val="-4"/>
                <w:sz w:val="18"/>
                <w:szCs w:val="18"/>
              </w:rPr>
              <w:t xml:space="preserve"> </w:t>
            </w:r>
            <w:r w:rsidRPr="00D724E5">
              <w:rPr>
                <w:rFonts w:ascii="Arial" w:hAnsi="Arial" w:cs="Arial"/>
                <w:sz w:val="18"/>
                <w:szCs w:val="18"/>
              </w:rPr>
              <w:t>to</w:t>
            </w:r>
            <w:r w:rsidRPr="00D724E5">
              <w:rPr>
                <w:rFonts w:ascii="Arial" w:hAnsi="Arial" w:cs="Arial"/>
                <w:spacing w:val="-2"/>
                <w:sz w:val="18"/>
                <w:szCs w:val="18"/>
              </w:rPr>
              <w:t xml:space="preserve"> </w:t>
            </w:r>
            <w:r w:rsidRPr="00D724E5">
              <w:rPr>
                <w:rFonts w:ascii="Arial" w:hAnsi="Arial" w:cs="Arial"/>
                <w:sz w:val="18"/>
                <w:szCs w:val="18"/>
              </w:rPr>
              <w:t>the</w:t>
            </w:r>
            <w:r w:rsidRPr="00D724E5">
              <w:rPr>
                <w:rFonts w:ascii="Arial" w:hAnsi="Arial" w:cs="Arial"/>
                <w:spacing w:val="-2"/>
                <w:sz w:val="18"/>
                <w:szCs w:val="18"/>
              </w:rPr>
              <w:t xml:space="preserve"> </w:t>
            </w:r>
            <w:r w:rsidRPr="00D724E5">
              <w:rPr>
                <w:rFonts w:ascii="Arial" w:hAnsi="Arial" w:cs="Arial"/>
                <w:sz w:val="18"/>
                <w:szCs w:val="18"/>
              </w:rPr>
              <w:t>DAH’s</w:t>
            </w:r>
            <w:r w:rsidRPr="00D724E5">
              <w:rPr>
                <w:rFonts w:ascii="Arial" w:hAnsi="Arial" w:cs="Arial"/>
                <w:spacing w:val="-4"/>
                <w:sz w:val="18"/>
                <w:szCs w:val="18"/>
              </w:rPr>
              <w:t xml:space="preserve"> </w:t>
            </w:r>
            <w:r w:rsidRPr="00D724E5">
              <w:rPr>
                <w:rFonts w:ascii="Arial" w:hAnsi="Arial" w:cs="Arial"/>
                <w:sz w:val="18"/>
                <w:szCs w:val="18"/>
              </w:rPr>
              <w:t>data.’</w:t>
            </w:r>
          </w:p>
          <w:p w14:paraId="541E67DB" w14:textId="77777777" w:rsidR="002A0714" w:rsidRPr="00D724E5" w:rsidRDefault="002A0714" w:rsidP="003E687E">
            <w:pPr>
              <w:pStyle w:val="TableParagraph"/>
              <w:spacing w:line="223" w:lineRule="exact"/>
              <w:ind w:left="107"/>
              <w:jc w:val="both"/>
              <w:rPr>
                <w:rFonts w:ascii="Arial" w:hAnsi="Arial" w:cs="Arial"/>
                <w:sz w:val="18"/>
                <w:szCs w:val="18"/>
              </w:rPr>
            </w:pPr>
            <w:r w:rsidRPr="00D724E5">
              <w:rPr>
                <w:rFonts w:ascii="Arial" w:hAnsi="Arial" w:cs="Arial"/>
                <w:sz w:val="18"/>
                <w:szCs w:val="18"/>
              </w:rPr>
              <w:t>Signature/name/date:</w:t>
            </w:r>
          </w:p>
        </w:tc>
        <w:tc>
          <w:tcPr>
            <w:tcW w:w="3753" w:type="dxa"/>
            <w:gridSpan w:val="4"/>
          </w:tcPr>
          <w:p w14:paraId="2D831D38" w14:textId="77777777" w:rsidR="002A0714" w:rsidRPr="00D724E5" w:rsidRDefault="002A0714" w:rsidP="002A0714">
            <w:pPr>
              <w:pStyle w:val="TableParagraph"/>
              <w:spacing w:before="1" w:line="480" w:lineRule="auto"/>
              <w:ind w:left="106" w:right="232"/>
              <w:rPr>
                <w:rFonts w:ascii="Arial" w:hAnsi="Arial" w:cs="Arial"/>
                <w:sz w:val="18"/>
                <w:szCs w:val="18"/>
              </w:rPr>
            </w:pPr>
            <w:r w:rsidRPr="00D724E5">
              <w:rPr>
                <w:rFonts w:ascii="Arial" w:hAnsi="Arial" w:cs="Arial"/>
                <w:sz w:val="18"/>
                <w:szCs w:val="18"/>
              </w:rPr>
              <w:t>Approval</w:t>
            </w:r>
            <w:r w:rsidRPr="00D724E5">
              <w:rPr>
                <w:rFonts w:ascii="Arial" w:hAnsi="Arial" w:cs="Arial"/>
                <w:spacing w:val="-4"/>
                <w:sz w:val="18"/>
                <w:szCs w:val="18"/>
              </w:rPr>
              <w:t xml:space="preserve"> </w:t>
            </w:r>
            <w:r w:rsidRPr="00D724E5">
              <w:rPr>
                <w:rFonts w:ascii="Arial" w:hAnsi="Arial" w:cs="Arial"/>
                <w:sz w:val="18"/>
                <w:szCs w:val="18"/>
              </w:rPr>
              <w:t>reference</w:t>
            </w:r>
            <w:r w:rsidRPr="00D724E5">
              <w:rPr>
                <w:rFonts w:ascii="Arial" w:hAnsi="Arial" w:cs="Arial"/>
                <w:spacing w:val="-5"/>
                <w:sz w:val="18"/>
                <w:szCs w:val="18"/>
              </w:rPr>
              <w:t xml:space="preserve"> </w:t>
            </w:r>
            <w:r w:rsidRPr="00D724E5">
              <w:rPr>
                <w:rFonts w:ascii="Arial" w:hAnsi="Arial" w:cs="Arial"/>
                <w:sz w:val="18"/>
                <w:szCs w:val="18"/>
              </w:rPr>
              <w:t>no</w:t>
            </w:r>
            <w:r w:rsidRPr="00D724E5">
              <w:rPr>
                <w:rFonts w:ascii="Arial" w:hAnsi="Arial" w:cs="Arial"/>
                <w:spacing w:val="-3"/>
                <w:sz w:val="18"/>
                <w:szCs w:val="18"/>
              </w:rPr>
              <w:t xml:space="preserve"> </w:t>
            </w:r>
            <w:r w:rsidRPr="00D724E5">
              <w:rPr>
                <w:rFonts w:ascii="Arial" w:hAnsi="Arial" w:cs="Arial"/>
                <w:sz w:val="18"/>
                <w:szCs w:val="18"/>
              </w:rPr>
              <w:t>of</w:t>
            </w:r>
            <w:r w:rsidRPr="00D724E5">
              <w:rPr>
                <w:rFonts w:ascii="Arial" w:hAnsi="Arial" w:cs="Arial"/>
                <w:spacing w:val="-6"/>
                <w:sz w:val="18"/>
                <w:szCs w:val="18"/>
              </w:rPr>
              <w:t xml:space="preserve"> </w:t>
            </w:r>
            <w:r w:rsidRPr="00D724E5">
              <w:rPr>
                <w:rFonts w:ascii="Arial" w:hAnsi="Arial" w:cs="Arial"/>
                <w:sz w:val="18"/>
                <w:szCs w:val="18"/>
              </w:rPr>
              <w:t>the</w:t>
            </w:r>
            <w:r w:rsidRPr="00D724E5">
              <w:rPr>
                <w:rFonts w:ascii="Arial" w:hAnsi="Arial" w:cs="Arial"/>
                <w:spacing w:val="-5"/>
                <w:sz w:val="18"/>
                <w:szCs w:val="18"/>
              </w:rPr>
              <w:t xml:space="preserve"> </w:t>
            </w:r>
            <w:r w:rsidRPr="00D724E5">
              <w:rPr>
                <w:rFonts w:ascii="Arial" w:hAnsi="Arial" w:cs="Arial"/>
                <w:sz w:val="18"/>
                <w:szCs w:val="18"/>
              </w:rPr>
              <w:t>CAMO/CAO:</w:t>
            </w:r>
            <w:r w:rsidRPr="00D724E5">
              <w:rPr>
                <w:rFonts w:ascii="Arial" w:hAnsi="Arial" w:cs="Arial"/>
                <w:spacing w:val="-42"/>
                <w:sz w:val="18"/>
                <w:szCs w:val="18"/>
              </w:rPr>
              <w:t xml:space="preserve"> </w:t>
            </w:r>
            <w:r w:rsidRPr="00D724E5">
              <w:rPr>
                <w:rFonts w:ascii="Arial" w:hAnsi="Arial" w:cs="Arial"/>
                <w:sz w:val="18"/>
                <w:szCs w:val="18"/>
              </w:rPr>
              <w:t>Signature/name/date:</w:t>
            </w:r>
          </w:p>
        </w:tc>
      </w:tr>
      <w:tr w:rsidR="002A0714" w:rsidRPr="00D724E5" w14:paraId="0D6EDE0C" w14:textId="77777777" w:rsidTr="008C2414">
        <w:trPr>
          <w:gridAfter w:val="1"/>
          <w:wAfter w:w="13" w:type="dxa"/>
          <w:trHeight w:val="244"/>
        </w:trPr>
        <w:tc>
          <w:tcPr>
            <w:tcW w:w="9042" w:type="dxa"/>
            <w:gridSpan w:val="11"/>
            <w:shd w:val="clear" w:color="auto" w:fill="F2F2F2" w:themeFill="background1" w:themeFillShade="F2"/>
          </w:tcPr>
          <w:p w14:paraId="406C1503" w14:textId="77777777" w:rsidR="002A0714" w:rsidRPr="00D724E5" w:rsidRDefault="002A0714" w:rsidP="002A0714">
            <w:pPr>
              <w:pStyle w:val="TableParagraph"/>
              <w:spacing w:line="224" w:lineRule="exact"/>
              <w:ind w:left="162" w:right="160"/>
              <w:jc w:val="center"/>
              <w:rPr>
                <w:rFonts w:ascii="Arial" w:hAnsi="Arial" w:cs="Arial"/>
                <w:b/>
                <w:sz w:val="18"/>
                <w:szCs w:val="18"/>
              </w:rPr>
            </w:pPr>
            <w:r w:rsidRPr="00D724E5">
              <w:rPr>
                <w:rFonts w:ascii="Arial" w:hAnsi="Arial" w:cs="Arial"/>
                <w:b/>
                <w:sz w:val="18"/>
                <w:szCs w:val="18"/>
              </w:rPr>
              <w:t>Certification</w:t>
            </w:r>
            <w:r w:rsidRPr="00D724E5">
              <w:rPr>
                <w:rFonts w:ascii="Arial" w:hAnsi="Arial" w:cs="Arial"/>
                <w:b/>
                <w:spacing w:val="-4"/>
                <w:sz w:val="18"/>
                <w:szCs w:val="18"/>
              </w:rPr>
              <w:t xml:space="preserve"> </w:t>
            </w:r>
            <w:r w:rsidRPr="00D724E5">
              <w:rPr>
                <w:rFonts w:ascii="Arial" w:hAnsi="Arial" w:cs="Arial"/>
                <w:b/>
                <w:sz w:val="18"/>
                <w:szCs w:val="18"/>
              </w:rPr>
              <w:t>statement</w:t>
            </w:r>
          </w:p>
        </w:tc>
      </w:tr>
      <w:tr w:rsidR="002A0714" w:rsidRPr="00D724E5" w14:paraId="0D5A1D21" w14:textId="77777777" w:rsidTr="002A0714">
        <w:trPr>
          <w:gridAfter w:val="1"/>
          <w:wAfter w:w="13" w:type="dxa"/>
          <w:trHeight w:val="2443"/>
        </w:trPr>
        <w:tc>
          <w:tcPr>
            <w:tcW w:w="430" w:type="dxa"/>
            <w:gridSpan w:val="2"/>
          </w:tcPr>
          <w:p w14:paraId="7149308C" w14:textId="77777777" w:rsidR="002A0714" w:rsidRPr="00D724E5" w:rsidRDefault="002A0714" w:rsidP="002A0714">
            <w:pPr>
              <w:pStyle w:val="TableParagraph"/>
              <w:spacing w:line="243" w:lineRule="exact"/>
              <w:ind w:left="107"/>
              <w:rPr>
                <w:rFonts w:ascii="Arial" w:hAnsi="Arial" w:cs="Arial"/>
                <w:sz w:val="18"/>
                <w:szCs w:val="18"/>
              </w:rPr>
            </w:pPr>
            <w:r w:rsidRPr="00D724E5">
              <w:rPr>
                <w:rFonts w:ascii="Arial" w:hAnsi="Arial" w:cs="Arial"/>
                <w:w w:val="99"/>
                <w:sz w:val="18"/>
                <w:szCs w:val="18"/>
              </w:rPr>
              <w:t>8</w:t>
            </w:r>
          </w:p>
        </w:tc>
        <w:tc>
          <w:tcPr>
            <w:tcW w:w="8612" w:type="dxa"/>
            <w:gridSpan w:val="9"/>
          </w:tcPr>
          <w:p w14:paraId="1FD861EC" w14:textId="77777777" w:rsidR="002A0714" w:rsidRPr="00D724E5" w:rsidRDefault="002A0714" w:rsidP="003E687E">
            <w:pPr>
              <w:pStyle w:val="TableParagraph"/>
              <w:ind w:left="107" w:right="157"/>
              <w:jc w:val="both"/>
              <w:rPr>
                <w:rFonts w:ascii="Arial" w:hAnsi="Arial" w:cs="Arial"/>
                <w:sz w:val="18"/>
                <w:szCs w:val="18"/>
              </w:rPr>
            </w:pPr>
            <w:r w:rsidRPr="00D724E5">
              <w:rPr>
                <w:rFonts w:ascii="Arial" w:hAnsi="Arial" w:cs="Arial"/>
                <w:sz w:val="18"/>
                <w:szCs w:val="18"/>
              </w:rPr>
              <w:t>‘I</w:t>
            </w:r>
            <w:r w:rsidRPr="00D724E5">
              <w:rPr>
                <w:rFonts w:ascii="Arial" w:hAnsi="Arial" w:cs="Arial"/>
                <w:spacing w:val="-2"/>
                <w:sz w:val="18"/>
                <w:szCs w:val="18"/>
              </w:rPr>
              <w:t xml:space="preserve"> </w:t>
            </w:r>
            <w:r w:rsidRPr="00D724E5">
              <w:rPr>
                <w:rFonts w:ascii="Arial" w:hAnsi="Arial" w:cs="Arial"/>
                <w:sz w:val="18"/>
                <w:szCs w:val="18"/>
              </w:rPr>
              <w:t>will</w:t>
            </w:r>
            <w:r w:rsidRPr="00D724E5">
              <w:rPr>
                <w:rFonts w:ascii="Arial" w:hAnsi="Arial" w:cs="Arial"/>
                <w:spacing w:val="-2"/>
                <w:sz w:val="18"/>
                <w:szCs w:val="18"/>
              </w:rPr>
              <w:t xml:space="preserve"> </w:t>
            </w:r>
            <w:r w:rsidRPr="00D724E5">
              <w:rPr>
                <w:rFonts w:ascii="Arial" w:hAnsi="Arial" w:cs="Arial"/>
                <w:sz w:val="18"/>
                <w:szCs w:val="18"/>
              </w:rPr>
              <w:t>ensure</w:t>
            </w:r>
            <w:r w:rsidRPr="00D724E5">
              <w:rPr>
                <w:rFonts w:ascii="Arial" w:hAnsi="Arial" w:cs="Arial"/>
                <w:spacing w:val="-2"/>
                <w:sz w:val="18"/>
                <w:szCs w:val="18"/>
              </w:rPr>
              <w:t xml:space="preserve"> </w:t>
            </w:r>
            <w:r w:rsidRPr="00D724E5">
              <w:rPr>
                <w:rFonts w:ascii="Arial" w:hAnsi="Arial" w:cs="Arial"/>
                <w:sz w:val="18"/>
                <w:szCs w:val="18"/>
              </w:rPr>
              <w:t>that</w:t>
            </w:r>
            <w:r w:rsidRPr="00D724E5">
              <w:rPr>
                <w:rFonts w:ascii="Arial" w:hAnsi="Arial" w:cs="Arial"/>
                <w:spacing w:val="-1"/>
                <w:sz w:val="18"/>
                <w:szCs w:val="18"/>
              </w:rPr>
              <w:t xml:space="preserve"> </w:t>
            </w:r>
            <w:r w:rsidRPr="00D724E5">
              <w:rPr>
                <w:rFonts w:ascii="Arial" w:hAnsi="Arial" w:cs="Arial"/>
                <w:sz w:val="18"/>
                <w:szCs w:val="18"/>
              </w:rPr>
              <w:t>the</w:t>
            </w:r>
            <w:r w:rsidRPr="00D724E5">
              <w:rPr>
                <w:rFonts w:ascii="Arial" w:hAnsi="Arial" w:cs="Arial"/>
                <w:spacing w:val="-3"/>
                <w:sz w:val="18"/>
                <w:szCs w:val="18"/>
              </w:rPr>
              <w:t xml:space="preserve"> </w:t>
            </w:r>
            <w:r w:rsidRPr="00D724E5">
              <w:rPr>
                <w:rFonts w:ascii="Arial" w:hAnsi="Arial" w:cs="Arial"/>
                <w:sz w:val="18"/>
                <w:szCs w:val="18"/>
              </w:rPr>
              <w:t>aircraft</w:t>
            </w:r>
            <w:r w:rsidRPr="00D724E5">
              <w:rPr>
                <w:rFonts w:ascii="Arial" w:hAnsi="Arial" w:cs="Arial"/>
                <w:spacing w:val="-1"/>
                <w:sz w:val="18"/>
                <w:szCs w:val="18"/>
              </w:rPr>
              <w:t xml:space="preserve"> </w:t>
            </w:r>
            <w:r w:rsidRPr="00D724E5">
              <w:rPr>
                <w:rFonts w:ascii="Arial" w:hAnsi="Arial" w:cs="Arial"/>
                <w:sz w:val="18"/>
                <w:szCs w:val="18"/>
              </w:rPr>
              <w:t>is</w:t>
            </w:r>
            <w:r w:rsidRPr="00D724E5">
              <w:rPr>
                <w:rFonts w:ascii="Arial" w:hAnsi="Arial" w:cs="Arial"/>
                <w:spacing w:val="-2"/>
                <w:sz w:val="18"/>
                <w:szCs w:val="18"/>
              </w:rPr>
              <w:t xml:space="preserve"> </w:t>
            </w:r>
            <w:r w:rsidRPr="00D724E5">
              <w:rPr>
                <w:rFonts w:ascii="Arial" w:hAnsi="Arial" w:cs="Arial"/>
                <w:sz w:val="18"/>
                <w:szCs w:val="18"/>
              </w:rPr>
              <w:t>maintained</w:t>
            </w:r>
            <w:r w:rsidRPr="00D724E5">
              <w:rPr>
                <w:rFonts w:ascii="Arial" w:hAnsi="Arial" w:cs="Arial"/>
                <w:spacing w:val="-1"/>
                <w:sz w:val="18"/>
                <w:szCs w:val="18"/>
              </w:rPr>
              <w:t xml:space="preserve"> </w:t>
            </w:r>
            <w:r w:rsidRPr="00D724E5">
              <w:rPr>
                <w:rFonts w:ascii="Arial" w:hAnsi="Arial" w:cs="Arial"/>
                <w:sz w:val="18"/>
                <w:szCs w:val="18"/>
              </w:rPr>
              <w:t>in</w:t>
            </w:r>
            <w:r w:rsidRPr="00D724E5">
              <w:rPr>
                <w:rFonts w:ascii="Arial" w:hAnsi="Arial" w:cs="Arial"/>
                <w:spacing w:val="-1"/>
                <w:sz w:val="18"/>
                <w:szCs w:val="18"/>
              </w:rPr>
              <w:t xml:space="preserve"> </w:t>
            </w:r>
            <w:r w:rsidRPr="00D724E5">
              <w:rPr>
                <w:rFonts w:ascii="Arial" w:hAnsi="Arial" w:cs="Arial"/>
                <w:sz w:val="18"/>
                <w:szCs w:val="18"/>
              </w:rPr>
              <w:t>accordance</w:t>
            </w:r>
            <w:r w:rsidRPr="00D724E5">
              <w:rPr>
                <w:rFonts w:ascii="Arial" w:hAnsi="Arial" w:cs="Arial"/>
                <w:spacing w:val="-3"/>
                <w:sz w:val="18"/>
                <w:szCs w:val="18"/>
              </w:rPr>
              <w:t xml:space="preserve"> </w:t>
            </w:r>
            <w:r w:rsidRPr="00D724E5">
              <w:rPr>
                <w:rFonts w:ascii="Arial" w:hAnsi="Arial" w:cs="Arial"/>
                <w:sz w:val="18"/>
                <w:szCs w:val="18"/>
              </w:rPr>
              <w:t>with this</w:t>
            </w:r>
            <w:r w:rsidRPr="00D724E5">
              <w:rPr>
                <w:rFonts w:ascii="Arial" w:hAnsi="Arial" w:cs="Arial"/>
                <w:spacing w:val="-3"/>
                <w:sz w:val="18"/>
                <w:szCs w:val="18"/>
              </w:rPr>
              <w:t xml:space="preserve"> </w:t>
            </w:r>
            <w:r w:rsidRPr="00D724E5">
              <w:rPr>
                <w:rFonts w:ascii="Arial" w:hAnsi="Arial" w:cs="Arial"/>
                <w:sz w:val="18"/>
                <w:szCs w:val="18"/>
              </w:rPr>
              <w:t>maintenance</w:t>
            </w:r>
            <w:r w:rsidRPr="00D724E5">
              <w:rPr>
                <w:rFonts w:ascii="Arial" w:hAnsi="Arial" w:cs="Arial"/>
                <w:spacing w:val="-4"/>
                <w:sz w:val="18"/>
                <w:szCs w:val="18"/>
              </w:rPr>
              <w:t xml:space="preserve"> </w:t>
            </w:r>
            <w:r w:rsidRPr="00D724E5">
              <w:rPr>
                <w:rFonts w:ascii="Arial" w:hAnsi="Arial" w:cs="Arial"/>
                <w:sz w:val="18"/>
                <w:szCs w:val="18"/>
              </w:rPr>
              <w:t>programme</w:t>
            </w:r>
            <w:r w:rsidRPr="00D724E5">
              <w:rPr>
                <w:rFonts w:ascii="Arial" w:hAnsi="Arial" w:cs="Arial"/>
                <w:spacing w:val="-2"/>
                <w:sz w:val="18"/>
                <w:szCs w:val="18"/>
              </w:rPr>
              <w:t xml:space="preserve"> </w:t>
            </w:r>
            <w:r w:rsidRPr="00D724E5">
              <w:rPr>
                <w:rFonts w:ascii="Arial" w:hAnsi="Arial" w:cs="Arial"/>
                <w:sz w:val="18"/>
                <w:szCs w:val="18"/>
              </w:rPr>
              <w:t>and</w:t>
            </w:r>
            <w:r w:rsidRPr="00D724E5">
              <w:rPr>
                <w:rFonts w:ascii="Arial" w:hAnsi="Arial" w:cs="Arial"/>
                <w:spacing w:val="-1"/>
                <w:sz w:val="18"/>
                <w:szCs w:val="18"/>
              </w:rPr>
              <w:t xml:space="preserve"> </w:t>
            </w:r>
            <w:r w:rsidRPr="00D724E5">
              <w:rPr>
                <w:rFonts w:ascii="Arial" w:hAnsi="Arial" w:cs="Arial"/>
                <w:sz w:val="18"/>
                <w:szCs w:val="18"/>
              </w:rPr>
              <w:t>that</w:t>
            </w:r>
            <w:r w:rsidRPr="00D724E5">
              <w:rPr>
                <w:rFonts w:ascii="Arial" w:hAnsi="Arial" w:cs="Arial"/>
                <w:spacing w:val="-42"/>
                <w:sz w:val="18"/>
                <w:szCs w:val="18"/>
              </w:rPr>
              <w:t xml:space="preserve"> </w:t>
            </w:r>
            <w:r w:rsidRPr="00D724E5">
              <w:rPr>
                <w:rFonts w:ascii="Arial" w:hAnsi="Arial" w:cs="Arial"/>
                <w:sz w:val="18"/>
                <w:szCs w:val="18"/>
              </w:rPr>
              <w:t>the</w:t>
            </w:r>
            <w:r w:rsidRPr="00D724E5">
              <w:rPr>
                <w:rFonts w:ascii="Arial" w:hAnsi="Arial" w:cs="Arial"/>
                <w:spacing w:val="-2"/>
                <w:sz w:val="18"/>
                <w:szCs w:val="18"/>
              </w:rPr>
              <w:t xml:space="preserve"> </w:t>
            </w:r>
            <w:r w:rsidRPr="00D724E5">
              <w:rPr>
                <w:rFonts w:ascii="Arial" w:hAnsi="Arial" w:cs="Arial"/>
                <w:sz w:val="18"/>
                <w:szCs w:val="18"/>
              </w:rPr>
              <w:t>maintenance</w:t>
            </w:r>
            <w:r w:rsidRPr="00D724E5">
              <w:rPr>
                <w:rFonts w:ascii="Arial" w:hAnsi="Arial" w:cs="Arial"/>
                <w:spacing w:val="-2"/>
                <w:sz w:val="18"/>
                <w:szCs w:val="18"/>
              </w:rPr>
              <w:t xml:space="preserve"> </w:t>
            </w:r>
            <w:r w:rsidRPr="00D724E5">
              <w:rPr>
                <w:rFonts w:ascii="Arial" w:hAnsi="Arial" w:cs="Arial"/>
                <w:sz w:val="18"/>
                <w:szCs w:val="18"/>
              </w:rPr>
              <w:t>programme</w:t>
            </w:r>
            <w:r w:rsidRPr="00D724E5">
              <w:rPr>
                <w:rFonts w:ascii="Arial" w:hAnsi="Arial" w:cs="Arial"/>
                <w:spacing w:val="1"/>
                <w:sz w:val="18"/>
                <w:szCs w:val="18"/>
              </w:rPr>
              <w:t xml:space="preserve"> </w:t>
            </w:r>
            <w:r w:rsidRPr="00D724E5">
              <w:rPr>
                <w:rFonts w:ascii="Arial" w:hAnsi="Arial" w:cs="Arial"/>
                <w:sz w:val="18"/>
                <w:szCs w:val="18"/>
              </w:rPr>
              <w:t>will</w:t>
            </w:r>
            <w:r w:rsidRPr="00D724E5">
              <w:rPr>
                <w:rFonts w:ascii="Arial" w:hAnsi="Arial" w:cs="Arial"/>
                <w:spacing w:val="-2"/>
                <w:sz w:val="18"/>
                <w:szCs w:val="18"/>
              </w:rPr>
              <w:t xml:space="preserve"> </w:t>
            </w:r>
            <w:r w:rsidRPr="00D724E5">
              <w:rPr>
                <w:rFonts w:ascii="Arial" w:hAnsi="Arial" w:cs="Arial"/>
                <w:sz w:val="18"/>
                <w:szCs w:val="18"/>
              </w:rPr>
              <w:t>be</w:t>
            </w:r>
            <w:r w:rsidRPr="00D724E5">
              <w:rPr>
                <w:rFonts w:ascii="Arial" w:hAnsi="Arial" w:cs="Arial"/>
                <w:spacing w:val="-1"/>
                <w:sz w:val="18"/>
                <w:szCs w:val="18"/>
              </w:rPr>
              <w:t xml:space="preserve"> </w:t>
            </w:r>
            <w:r w:rsidRPr="00D724E5">
              <w:rPr>
                <w:rFonts w:ascii="Arial" w:hAnsi="Arial" w:cs="Arial"/>
                <w:sz w:val="18"/>
                <w:szCs w:val="18"/>
              </w:rPr>
              <w:t>reviewed and updated</w:t>
            </w:r>
            <w:r w:rsidRPr="00D724E5">
              <w:rPr>
                <w:rFonts w:ascii="Arial" w:hAnsi="Arial" w:cs="Arial"/>
                <w:spacing w:val="-3"/>
                <w:sz w:val="18"/>
                <w:szCs w:val="18"/>
              </w:rPr>
              <w:t xml:space="preserve"> </w:t>
            </w:r>
            <w:r w:rsidRPr="00D724E5">
              <w:rPr>
                <w:rFonts w:ascii="Arial" w:hAnsi="Arial" w:cs="Arial"/>
                <w:sz w:val="18"/>
                <w:szCs w:val="18"/>
              </w:rPr>
              <w:t>as</w:t>
            </w:r>
            <w:r w:rsidRPr="00D724E5">
              <w:rPr>
                <w:rFonts w:ascii="Arial" w:hAnsi="Arial" w:cs="Arial"/>
                <w:spacing w:val="-1"/>
                <w:sz w:val="18"/>
                <w:szCs w:val="18"/>
              </w:rPr>
              <w:t xml:space="preserve"> </w:t>
            </w:r>
            <w:r w:rsidRPr="00D724E5">
              <w:rPr>
                <w:rFonts w:ascii="Arial" w:hAnsi="Arial" w:cs="Arial"/>
                <w:sz w:val="18"/>
                <w:szCs w:val="18"/>
              </w:rPr>
              <w:t>required.’</w:t>
            </w:r>
          </w:p>
          <w:p w14:paraId="4B316656" w14:textId="77777777" w:rsidR="002A0714" w:rsidRPr="00D724E5" w:rsidRDefault="002A0714" w:rsidP="003E687E">
            <w:pPr>
              <w:pStyle w:val="TableParagraph"/>
              <w:ind w:left="107" w:right="157"/>
              <w:jc w:val="both"/>
              <w:rPr>
                <w:rFonts w:ascii="Arial" w:hAnsi="Arial" w:cs="Arial"/>
                <w:sz w:val="18"/>
                <w:szCs w:val="18"/>
              </w:rPr>
            </w:pPr>
            <w:r w:rsidRPr="00D724E5">
              <w:rPr>
                <w:rFonts w:ascii="Arial" w:hAnsi="Arial" w:cs="Arial"/>
                <w:sz w:val="18"/>
                <w:szCs w:val="18"/>
              </w:rPr>
              <w:t>Signed</w:t>
            </w:r>
            <w:r w:rsidRPr="00D724E5">
              <w:rPr>
                <w:rFonts w:ascii="Arial" w:hAnsi="Arial" w:cs="Arial"/>
                <w:spacing w:val="-3"/>
                <w:sz w:val="18"/>
                <w:szCs w:val="18"/>
              </w:rPr>
              <w:t xml:space="preserve"> </w:t>
            </w:r>
            <w:r w:rsidRPr="00D724E5">
              <w:rPr>
                <w:rFonts w:ascii="Arial" w:hAnsi="Arial" w:cs="Arial"/>
                <w:sz w:val="18"/>
                <w:szCs w:val="18"/>
              </w:rPr>
              <w:t>by</w:t>
            </w:r>
            <w:r w:rsidRPr="00D724E5">
              <w:rPr>
                <w:rFonts w:ascii="Arial" w:hAnsi="Arial" w:cs="Arial"/>
                <w:spacing w:val="-3"/>
                <w:sz w:val="18"/>
                <w:szCs w:val="18"/>
              </w:rPr>
              <w:t xml:space="preserve"> </w:t>
            </w:r>
            <w:r w:rsidRPr="00D724E5">
              <w:rPr>
                <w:rFonts w:ascii="Arial" w:hAnsi="Arial" w:cs="Arial"/>
                <w:sz w:val="18"/>
                <w:szCs w:val="18"/>
              </w:rPr>
              <w:t>the</w:t>
            </w:r>
            <w:r w:rsidRPr="00D724E5">
              <w:rPr>
                <w:rFonts w:ascii="Arial" w:hAnsi="Arial" w:cs="Arial"/>
                <w:spacing w:val="-4"/>
                <w:sz w:val="18"/>
                <w:szCs w:val="18"/>
              </w:rPr>
              <w:t xml:space="preserve"> </w:t>
            </w:r>
            <w:r w:rsidRPr="00D724E5">
              <w:rPr>
                <w:rFonts w:ascii="Arial" w:hAnsi="Arial" w:cs="Arial"/>
                <w:sz w:val="18"/>
                <w:szCs w:val="18"/>
              </w:rPr>
              <w:t>person/organisation</w:t>
            </w:r>
            <w:r w:rsidRPr="00D724E5">
              <w:rPr>
                <w:rFonts w:ascii="Arial" w:hAnsi="Arial" w:cs="Arial"/>
                <w:spacing w:val="-2"/>
                <w:sz w:val="18"/>
                <w:szCs w:val="18"/>
              </w:rPr>
              <w:t xml:space="preserve"> </w:t>
            </w:r>
            <w:r w:rsidRPr="00D724E5">
              <w:rPr>
                <w:rFonts w:ascii="Arial" w:hAnsi="Arial" w:cs="Arial"/>
                <w:sz w:val="18"/>
                <w:szCs w:val="18"/>
              </w:rPr>
              <w:t>responsible</w:t>
            </w:r>
            <w:r w:rsidRPr="00D724E5">
              <w:rPr>
                <w:rFonts w:ascii="Arial" w:hAnsi="Arial" w:cs="Arial"/>
                <w:spacing w:val="-2"/>
                <w:sz w:val="18"/>
                <w:szCs w:val="18"/>
              </w:rPr>
              <w:t xml:space="preserve"> </w:t>
            </w:r>
            <w:r w:rsidRPr="00D724E5">
              <w:rPr>
                <w:rFonts w:ascii="Arial" w:hAnsi="Arial" w:cs="Arial"/>
                <w:sz w:val="18"/>
                <w:szCs w:val="18"/>
              </w:rPr>
              <w:t>for</w:t>
            </w:r>
            <w:r w:rsidRPr="00D724E5">
              <w:rPr>
                <w:rFonts w:ascii="Arial" w:hAnsi="Arial" w:cs="Arial"/>
                <w:spacing w:val="-3"/>
                <w:sz w:val="18"/>
                <w:szCs w:val="18"/>
              </w:rPr>
              <w:t xml:space="preserve"> </w:t>
            </w:r>
            <w:r w:rsidRPr="00D724E5">
              <w:rPr>
                <w:rFonts w:ascii="Arial" w:hAnsi="Arial" w:cs="Arial"/>
                <w:sz w:val="18"/>
                <w:szCs w:val="18"/>
              </w:rPr>
              <w:t>the</w:t>
            </w:r>
            <w:r w:rsidRPr="00D724E5">
              <w:rPr>
                <w:rFonts w:ascii="Arial" w:hAnsi="Arial" w:cs="Arial"/>
                <w:spacing w:val="-4"/>
                <w:sz w:val="18"/>
                <w:szCs w:val="18"/>
              </w:rPr>
              <w:t xml:space="preserve"> </w:t>
            </w:r>
            <w:r w:rsidRPr="00D724E5">
              <w:rPr>
                <w:rFonts w:ascii="Arial" w:hAnsi="Arial" w:cs="Arial"/>
                <w:sz w:val="18"/>
                <w:szCs w:val="18"/>
              </w:rPr>
              <w:t>continuing</w:t>
            </w:r>
            <w:r w:rsidRPr="00D724E5">
              <w:rPr>
                <w:rFonts w:ascii="Arial" w:hAnsi="Arial" w:cs="Arial"/>
                <w:spacing w:val="-3"/>
                <w:sz w:val="18"/>
                <w:szCs w:val="18"/>
              </w:rPr>
              <w:t xml:space="preserve"> </w:t>
            </w:r>
            <w:r w:rsidRPr="00D724E5">
              <w:rPr>
                <w:rFonts w:ascii="Arial" w:hAnsi="Arial" w:cs="Arial"/>
                <w:sz w:val="18"/>
                <w:szCs w:val="18"/>
              </w:rPr>
              <w:t>airworthiness</w:t>
            </w:r>
            <w:r w:rsidRPr="00D724E5">
              <w:rPr>
                <w:rFonts w:ascii="Arial" w:hAnsi="Arial" w:cs="Arial"/>
                <w:spacing w:val="-5"/>
                <w:sz w:val="18"/>
                <w:szCs w:val="18"/>
              </w:rPr>
              <w:t xml:space="preserve"> </w:t>
            </w:r>
            <w:r w:rsidRPr="00D724E5">
              <w:rPr>
                <w:rFonts w:ascii="Arial" w:hAnsi="Arial" w:cs="Arial"/>
                <w:sz w:val="18"/>
                <w:szCs w:val="18"/>
              </w:rPr>
              <w:t>of</w:t>
            </w:r>
            <w:r w:rsidRPr="00D724E5">
              <w:rPr>
                <w:rFonts w:ascii="Arial" w:hAnsi="Arial" w:cs="Arial"/>
                <w:spacing w:val="-5"/>
                <w:sz w:val="18"/>
                <w:szCs w:val="18"/>
              </w:rPr>
              <w:t xml:space="preserve"> </w:t>
            </w:r>
            <w:r w:rsidRPr="00D724E5">
              <w:rPr>
                <w:rFonts w:ascii="Arial" w:hAnsi="Arial" w:cs="Arial"/>
                <w:sz w:val="18"/>
                <w:szCs w:val="18"/>
              </w:rPr>
              <w:t>the</w:t>
            </w:r>
            <w:r w:rsidRPr="00D724E5">
              <w:rPr>
                <w:rFonts w:ascii="Arial" w:hAnsi="Arial" w:cs="Arial"/>
                <w:spacing w:val="-4"/>
                <w:sz w:val="18"/>
                <w:szCs w:val="18"/>
              </w:rPr>
              <w:t xml:space="preserve"> </w:t>
            </w:r>
            <w:r w:rsidRPr="00D724E5">
              <w:rPr>
                <w:rFonts w:ascii="Arial" w:hAnsi="Arial" w:cs="Arial"/>
                <w:sz w:val="18"/>
                <w:szCs w:val="18"/>
              </w:rPr>
              <w:t>aircraft</w:t>
            </w:r>
            <w:r w:rsidRPr="00D724E5">
              <w:rPr>
                <w:rFonts w:ascii="Arial" w:hAnsi="Arial" w:cs="Arial"/>
                <w:spacing w:val="-42"/>
                <w:sz w:val="18"/>
                <w:szCs w:val="18"/>
              </w:rPr>
              <w:t xml:space="preserve"> </w:t>
            </w:r>
            <w:r w:rsidRPr="00D724E5">
              <w:rPr>
                <w:rFonts w:ascii="Arial" w:hAnsi="Arial" w:cs="Arial"/>
                <w:sz w:val="18"/>
                <w:szCs w:val="18"/>
              </w:rPr>
              <w:t>according</w:t>
            </w:r>
            <w:r w:rsidRPr="00D724E5">
              <w:rPr>
                <w:rFonts w:ascii="Arial" w:hAnsi="Arial" w:cs="Arial"/>
                <w:spacing w:val="-2"/>
                <w:sz w:val="18"/>
                <w:szCs w:val="18"/>
              </w:rPr>
              <w:t xml:space="preserve"> </w:t>
            </w:r>
            <w:r w:rsidRPr="00D724E5">
              <w:rPr>
                <w:rFonts w:ascii="Arial" w:hAnsi="Arial" w:cs="Arial"/>
                <w:sz w:val="18"/>
                <w:szCs w:val="18"/>
              </w:rPr>
              <w:t>to ML.A.201:</w:t>
            </w:r>
          </w:p>
          <w:p w14:paraId="412FD5A5" w14:textId="77777777" w:rsidR="002A0714" w:rsidRPr="00D724E5" w:rsidRDefault="002A0714" w:rsidP="002A0714">
            <w:pPr>
              <w:pStyle w:val="TableParagraph"/>
              <w:tabs>
                <w:tab w:val="left" w:pos="2942"/>
              </w:tabs>
              <w:spacing w:line="243" w:lineRule="exact"/>
              <w:ind w:left="107"/>
              <w:rPr>
                <w:rFonts w:ascii="Arial" w:hAnsi="Arial" w:cs="Arial"/>
                <w:sz w:val="18"/>
                <w:szCs w:val="18"/>
              </w:rPr>
            </w:pPr>
            <w:r w:rsidRPr="00D724E5">
              <w:rPr>
                <w:rFonts w:ascii="Arial" w:hAnsi="Arial" w:cs="Arial"/>
                <w:sz w:val="18"/>
                <w:szCs w:val="18"/>
              </w:rPr>
              <w:t>Owner/Lessee/operator</w:t>
            </w:r>
            <w:r w:rsidR="00D724E5">
              <w:rPr>
                <w:rFonts w:ascii="Arial" w:hAnsi="Arial" w:cs="Arial"/>
                <w:sz w:val="18"/>
                <w:szCs w:val="18"/>
              </w:rPr>
              <w:t xml:space="preserve"> </w:t>
            </w:r>
            <w:r w:rsidR="00D724E5" w:rsidRPr="00D724E5">
              <w:rPr>
                <w:rFonts w:ascii="Arial" w:hAnsi="Arial" w:cs="Arial"/>
                <w:noProof/>
                <w:position w:val="-3"/>
                <w:sz w:val="18"/>
                <w:szCs w:val="18"/>
              </w:rPr>
              <mc:AlternateContent>
                <mc:Choice Requires="wpg">
                  <w:drawing>
                    <wp:inline distT="0" distB="0" distL="0" distR="0" wp14:anchorId="28BD7011" wp14:editId="06810BC1">
                      <wp:extent cx="127145" cy="127145"/>
                      <wp:effectExtent l="0" t="0" r="6350" b="6350"/>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145" cy="127145"/>
                                <a:chOff x="0" y="0"/>
                                <a:chExt cx="214" cy="214"/>
                              </a:xfrm>
                            </wpg:grpSpPr>
                            <wps:wsp>
                              <wps:cNvPr id="98" name="Rectangle 55"/>
                              <wps:cNvSpPr>
                                <a:spLocks noChangeArrowheads="1"/>
                              </wps:cNvSpPr>
                              <wps:spPr bwMode="auto">
                                <a:xfrm>
                                  <a:off x="7" y="7"/>
                                  <a:ext cx="200" cy="2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w:pict>
                    <v:group w14:anchorId="45CCAB04" id="Group 97" o:spid="_x0000_s1026" style="width:10pt;height:10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">
                      <v:rect id="Rectangle 55"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" filled="f" strokeweight=".72pt"/>
                      <w10:anchorlock/>
                    </v:group>
                  </w:pict>
                </mc:Fallback>
              </mc:AlternateContent>
            </w:r>
            <w:r w:rsidRPr="00D724E5">
              <w:rPr>
                <w:rFonts w:ascii="Arial" w:hAnsi="Arial" w:cs="Arial"/>
                <w:sz w:val="18"/>
                <w:szCs w:val="18"/>
              </w:rPr>
              <w:tab/>
              <w:t>CAMO/CAO</w:t>
            </w:r>
            <w:r w:rsidR="00D724E5">
              <w:rPr>
                <w:rFonts w:ascii="Arial" w:hAnsi="Arial" w:cs="Arial"/>
                <w:sz w:val="18"/>
                <w:szCs w:val="18"/>
              </w:rPr>
              <w:t xml:space="preserve"> </w:t>
            </w:r>
            <w:r w:rsidR="00D724E5" w:rsidRPr="00D724E5">
              <w:rPr>
                <w:rFonts w:ascii="Arial" w:hAnsi="Arial" w:cs="Arial"/>
                <w:noProof/>
                <w:position w:val="-3"/>
                <w:sz w:val="18"/>
                <w:szCs w:val="18"/>
              </w:rPr>
              <mc:AlternateContent>
                <mc:Choice Requires="wpg">
                  <w:drawing>
                    <wp:inline distT="0" distB="0" distL="0" distR="0" wp14:anchorId="1FAC9AD8" wp14:editId="3BBD1EFF">
                      <wp:extent cx="127145" cy="127145"/>
                      <wp:effectExtent l="0" t="0" r="6350" b="6350"/>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145" cy="127145"/>
                                <a:chOff x="0" y="0"/>
                                <a:chExt cx="214" cy="214"/>
                              </a:xfrm>
                            </wpg:grpSpPr>
                            <wps:wsp>
                              <wps:cNvPr id="100" name="Rectangle 55"/>
                              <wps:cNvSpPr>
                                <a:spLocks noChangeArrowheads="1"/>
                              </wps:cNvSpPr>
                              <wps:spPr bwMode="auto">
                                <a:xfrm>
                                  <a:off x="7" y="7"/>
                                  <a:ext cx="200" cy="2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w:pict>
                    <v:group w14:anchorId="4568E295" id="Group 99" o:spid="_x0000_s1026" style="width:10pt;height:10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">
                      <v:rect id="Rectangle 55"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" filled="f" strokeweight=".72pt"/>
                      <w10:anchorlock/>
                    </v:group>
                  </w:pict>
                </mc:Fallback>
              </mc:AlternateContent>
            </w:r>
          </w:p>
          <w:p w14:paraId="63240410" w14:textId="77777777" w:rsidR="002A0714" w:rsidRPr="00D724E5" w:rsidRDefault="002A0714" w:rsidP="002A0714">
            <w:pPr>
              <w:pStyle w:val="TableParagraph"/>
              <w:spacing w:before="1"/>
              <w:ind w:left="107" w:right="2471"/>
              <w:rPr>
                <w:rFonts w:ascii="Arial" w:hAnsi="Arial" w:cs="Arial"/>
                <w:sz w:val="18"/>
                <w:szCs w:val="18"/>
              </w:rPr>
            </w:pPr>
            <w:r w:rsidRPr="00D724E5">
              <w:rPr>
                <w:rFonts w:ascii="Arial" w:hAnsi="Arial" w:cs="Arial"/>
                <w:sz w:val="18"/>
                <w:szCs w:val="18"/>
              </w:rPr>
              <w:t>Name</w:t>
            </w:r>
            <w:r w:rsidRPr="00D724E5">
              <w:rPr>
                <w:rFonts w:ascii="Arial" w:hAnsi="Arial" w:cs="Arial"/>
                <w:spacing w:val="-5"/>
                <w:sz w:val="18"/>
                <w:szCs w:val="18"/>
              </w:rPr>
              <w:t xml:space="preserve"> </w:t>
            </w:r>
            <w:r w:rsidRPr="00D724E5">
              <w:rPr>
                <w:rFonts w:ascii="Arial" w:hAnsi="Arial" w:cs="Arial"/>
                <w:sz w:val="18"/>
                <w:szCs w:val="18"/>
              </w:rPr>
              <w:t>of</w:t>
            </w:r>
            <w:r w:rsidRPr="00D724E5">
              <w:rPr>
                <w:rFonts w:ascii="Arial" w:hAnsi="Arial" w:cs="Arial"/>
                <w:spacing w:val="-5"/>
                <w:sz w:val="18"/>
                <w:szCs w:val="18"/>
              </w:rPr>
              <w:t xml:space="preserve"> </w:t>
            </w:r>
            <w:r w:rsidRPr="00D724E5">
              <w:rPr>
                <w:rFonts w:ascii="Arial" w:hAnsi="Arial" w:cs="Arial"/>
                <w:sz w:val="18"/>
                <w:szCs w:val="18"/>
              </w:rPr>
              <w:t>owner/lessee/operator</w:t>
            </w:r>
            <w:r w:rsidRPr="00D724E5">
              <w:rPr>
                <w:rFonts w:ascii="Arial" w:hAnsi="Arial" w:cs="Arial"/>
                <w:spacing w:val="-3"/>
                <w:sz w:val="18"/>
                <w:szCs w:val="18"/>
              </w:rPr>
              <w:t xml:space="preserve"> </w:t>
            </w:r>
            <w:r w:rsidRPr="00D724E5">
              <w:rPr>
                <w:rFonts w:ascii="Arial" w:hAnsi="Arial" w:cs="Arial"/>
                <w:sz w:val="18"/>
                <w:szCs w:val="18"/>
              </w:rPr>
              <w:t>or</w:t>
            </w:r>
            <w:r w:rsidRPr="00D724E5">
              <w:rPr>
                <w:rFonts w:ascii="Arial" w:hAnsi="Arial" w:cs="Arial"/>
                <w:spacing w:val="-3"/>
                <w:sz w:val="18"/>
                <w:szCs w:val="18"/>
              </w:rPr>
              <w:t xml:space="preserve"> </w:t>
            </w:r>
            <w:r w:rsidRPr="00D724E5">
              <w:rPr>
                <w:rFonts w:ascii="Arial" w:hAnsi="Arial" w:cs="Arial"/>
                <w:sz w:val="18"/>
                <w:szCs w:val="18"/>
              </w:rPr>
              <w:t>CAMO/CAO</w:t>
            </w:r>
            <w:r w:rsidRPr="00D724E5">
              <w:rPr>
                <w:rFonts w:ascii="Arial" w:hAnsi="Arial" w:cs="Arial"/>
                <w:spacing w:val="-4"/>
                <w:sz w:val="18"/>
                <w:szCs w:val="18"/>
              </w:rPr>
              <w:t xml:space="preserve"> </w:t>
            </w:r>
            <w:r w:rsidRPr="00D724E5">
              <w:rPr>
                <w:rFonts w:ascii="Arial" w:hAnsi="Arial" w:cs="Arial"/>
                <w:sz w:val="18"/>
                <w:szCs w:val="18"/>
              </w:rPr>
              <w:t>approval</w:t>
            </w:r>
            <w:r w:rsidRPr="00D724E5">
              <w:rPr>
                <w:rFonts w:ascii="Arial" w:hAnsi="Arial" w:cs="Arial"/>
                <w:spacing w:val="-3"/>
                <w:sz w:val="18"/>
                <w:szCs w:val="18"/>
              </w:rPr>
              <w:t xml:space="preserve"> </w:t>
            </w:r>
            <w:r w:rsidRPr="00D724E5">
              <w:rPr>
                <w:rFonts w:ascii="Arial" w:hAnsi="Arial" w:cs="Arial"/>
                <w:sz w:val="18"/>
                <w:szCs w:val="18"/>
              </w:rPr>
              <w:t>number:</w:t>
            </w:r>
            <w:r w:rsidRPr="00D724E5">
              <w:rPr>
                <w:rFonts w:ascii="Arial" w:hAnsi="Arial" w:cs="Arial"/>
                <w:spacing w:val="-42"/>
                <w:sz w:val="18"/>
                <w:szCs w:val="18"/>
              </w:rPr>
              <w:t xml:space="preserve"> </w:t>
            </w:r>
            <w:r w:rsidRPr="00D724E5">
              <w:rPr>
                <w:rFonts w:ascii="Arial" w:hAnsi="Arial" w:cs="Arial"/>
                <w:sz w:val="18"/>
                <w:szCs w:val="18"/>
              </w:rPr>
              <w:t>Address:</w:t>
            </w:r>
          </w:p>
          <w:p w14:paraId="77BCD3F1" w14:textId="77777777" w:rsidR="002A0714" w:rsidRPr="00D724E5" w:rsidRDefault="002A0714" w:rsidP="002A0714">
            <w:pPr>
              <w:pStyle w:val="TableParagraph"/>
              <w:spacing w:line="244" w:lineRule="exact"/>
              <w:ind w:left="107"/>
              <w:rPr>
                <w:rFonts w:ascii="Arial" w:hAnsi="Arial" w:cs="Arial"/>
                <w:sz w:val="18"/>
                <w:szCs w:val="18"/>
              </w:rPr>
            </w:pPr>
            <w:r w:rsidRPr="00D724E5">
              <w:rPr>
                <w:rFonts w:ascii="Arial" w:hAnsi="Arial" w:cs="Arial"/>
                <w:sz w:val="18"/>
                <w:szCs w:val="18"/>
              </w:rPr>
              <w:t>Telephone/fax:</w:t>
            </w:r>
          </w:p>
          <w:p w14:paraId="221BC79A" w14:textId="77777777" w:rsidR="002A0714" w:rsidRPr="00D724E5" w:rsidRDefault="002A0714" w:rsidP="002A0714">
            <w:pPr>
              <w:pStyle w:val="TableParagraph"/>
              <w:ind w:left="107" w:right="7223"/>
              <w:rPr>
                <w:rFonts w:ascii="Arial" w:hAnsi="Arial" w:cs="Arial"/>
                <w:sz w:val="18"/>
                <w:szCs w:val="18"/>
              </w:rPr>
            </w:pPr>
            <w:r w:rsidRPr="00D724E5">
              <w:rPr>
                <w:rFonts w:ascii="Arial" w:hAnsi="Arial" w:cs="Arial"/>
                <w:sz w:val="18"/>
                <w:szCs w:val="18"/>
              </w:rPr>
              <w:t>Email:</w:t>
            </w:r>
          </w:p>
          <w:p w14:paraId="1EC52CF3" w14:textId="77777777" w:rsidR="002A0714" w:rsidRPr="00D724E5" w:rsidRDefault="002A0714" w:rsidP="002A0714">
            <w:pPr>
              <w:pStyle w:val="TableParagraph"/>
              <w:ind w:left="107" w:right="7223"/>
              <w:rPr>
                <w:rFonts w:ascii="Arial" w:hAnsi="Arial" w:cs="Arial"/>
                <w:sz w:val="18"/>
                <w:szCs w:val="18"/>
              </w:rPr>
            </w:pPr>
            <w:r w:rsidRPr="00D724E5">
              <w:rPr>
                <w:rFonts w:ascii="Arial" w:hAnsi="Arial" w:cs="Arial"/>
                <w:spacing w:val="-1"/>
                <w:sz w:val="18"/>
                <w:szCs w:val="18"/>
              </w:rPr>
              <w:t>Signature/date:</w:t>
            </w:r>
          </w:p>
        </w:tc>
      </w:tr>
      <w:tr w:rsidR="002A0714" w:rsidRPr="00D724E5" w14:paraId="203EAABA" w14:textId="77777777" w:rsidTr="002A0714">
        <w:trPr>
          <w:gridAfter w:val="1"/>
          <w:wAfter w:w="13" w:type="dxa"/>
          <w:trHeight w:val="2443"/>
        </w:trPr>
        <w:tc>
          <w:tcPr>
            <w:tcW w:w="430" w:type="dxa"/>
            <w:gridSpan w:val="2"/>
            <w:tcBorders>
              <w:top w:val="single" w:sz="4" w:space="0" w:color="000000"/>
              <w:left w:val="single" w:sz="4" w:space="0" w:color="000000"/>
              <w:bottom w:val="single" w:sz="4" w:space="0" w:color="000000"/>
              <w:right w:val="single" w:sz="4" w:space="0" w:color="000000"/>
            </w:tcBorders>
          </w:tcPr>
          <w:p w14:paraId="551C2CF7" w14:textId="77777777" w:rsidR="002A0714" w:rsidRPr="00D724E5" w:rsidRDefault="002A0714" w:rsidP="002A0714">
            <w:pPr>
              <w:pStyle w:val="TableParagraph"/>
              <w:spacing w:line="243" w:lineRule="exact"/>
              <w:ind w:left="107"/>
              <w:rPr>
                <w:rFonts w:ascii="Arial" w:hAnsi="Arial" w:cs="Arial"/>
                <w:w w:val="99"/>
                <w:sz w:val="18"/>
                <w:szCs w:val="18"/>
              </w:rPr>
            </w:pPr>
            <w:r w:rsidRPr="00D724E5">
              <w:rPr>
                <w:rFonts w:ascii="Arial" w:hAnsi="Arial" w:cs="Arial"/>
                <w:w w:val="99"/>
                <w:sz w:val="18"/>
                <w:szCs w:val="18"/>
              </w:rPr>
              <w:t>9</w:t>
            </w:r>
          </w:p>
        </w:tc>
        <w:tc>
          <w:tcPr>
            <w:tcW w:w="8612" w:type="dxa"/>
            <w:gridSpan w:val="9"/>
            <w:tcBorders>
              <w:top w:val="single" w:sz="4" w:space="0" w:color="000000"/>
              <w:left w:val="single" w:sz="4" w:space="0" w:color="000000"/>
              <w:bottom w:val="single" w:sz="4" w:space="0" w:color="000000"/>
              <w:right w:val="single" w:sz="4" w:space="0" w:color="000000"/>
            </w:tcBorders>
          </w:tcPr>
          <w:p w14:paraId="34F5DF7D" w14:textId="77777777" w:rsidR="00D724E5" w:rsidRDefault="002A0714" w:rsidP="002A0714">
            <w:pPr>
              <w:pStyle w:val="TableParagraph"/>
              <w:ind w:left="107" w:right="157"/>
              <w:rPr>
                <w:rFonts w:ascii="Arial" w:hAnsi="Arial" w:cs="Arial"/>
                <w:sz w:val="18"/>
                <w:szCs w:val="18"/>
              </w:rPr>
            </w:pPr>
            <w:r w:rsidRPr="00D724E5">
              <w:rPr>
                <w:rFonts w:ascii="Arial" w:hAnsi="Arial" w:cs="Arial"/>
                <w:sz w:val="18"/>
                <w:szCs w:val="18"/>
              </w:rPr>
              <w:t>Appendices attached:</w:t>
            </w:r>
          </w:p>
          <w:p w14:paraId="578B9D7E" w14:textId="77777777" w:rsidR="00D724E5" w:rsidRDefault="002A0714" w:rsidP="002A0714">
            <w:pPr>
              <w:pStyle w:val="TableParagraph"/>
              <w:ind w:left="107" w:right="157"/>
              <w:rPr>
                <w:rFonts w:ascii="Arial" w:hAnsi="Arial" w:cs="Arial"/>
                <w:sz w:val="18"/>
                <w:szCs w:val="18"/>
              </w:rPr>
            </w:pPr>
            <w:r w:rsidRPr="00D724E5">
              <w:rPr>
                <w:rFonts w:ascii="Arial" w:hAnsi="Arial" w:cs="Arial"/>
                <w:sz w:val="18"/>
                <w:szCs w:val="18"/>
              </w:rPr>
              <w:t xml:space="preserve"> </w:t>
            </w:r>
          </w:p>
          <w:p w14:paraId="2225D7DF" w14:textId="77777777" w:rsidR="00D724E5" w:rsidRDefault="002A0714" w:rsidP="002A0714">
            <w:pPr>
              <w:pStyle w:val="TableParagraph"/>
              <w:ind w:left="107" w:right="157"/>
              <w:rPr>
                <w:rFonts w:ascii="Arial" w:hAnsi="Arial" w:cs="Arial"/>
                <w:sz w:val="18"/>
                <w:szCs w:val="18"/>
              </w:rPr>
            </w:pPr>
            <w:r w:rsidRPr="00D724E5">
              <w:rPr>
                <w:rFonts w:ascii="Arial" w:hAnsi="Arial" w:cs="Arial"/>
                <w:sz w:val="18"/>
                <w:szCs w:val="18"/>
              </w:rPr>
              <w:t>Appendix A</w:t>
            </w:r>
            <w:r w:rsidRPr="00D724E5">
              <w:rPr>
                <w:rFonts w:ascii="Arial" w:hAnsi="Arial" w:cs="Arial"/>
                <w:sz w:val="18"/>
                <w:szCs w:val="18"/>
              </w:rPr>
              <w:tab/>
              <w:t>YES</w:t>
            </w:r>
            <w:r w:rsidR="00D724E5">
              <w:rPr>
                <w:rFonts w:ascii="Arial" w:hAnsi="Arial" w:cs="Arial"/>
                <w:sz w:val="18"/>
                <w:szCs w:val="18"/>
              </w:rPr>
              <w:t xml:space="preserve"> </w:t>
            </w:r>
            <w:r w:rsidR="00D724E5" w:rsidRPr="00D724E5">
              <w:rPr>
                <w:rFonts w:ascii="Arial" w:hAnsi="Arial" w:cs="Arial"/>
                <w:noProof/>
                <w:position w:val="-3"/>
                <w:sz w:val="18"/>
                <w:szCs w:val="18"/>
              </w:rPr>
              <mc:AlternateContent>
                <mc:Choice Requires="wpg">
                  <w:drawing>
                    <wp:inline distT="0" distB="0" distL="0" distR="0" wp14:anchorId="615ADDE6" wp14:editId="75FFA268">
                      <wp:extent cx="127145" cy="127145"/>
                      <wp:effectExtent l="0" t="0" r="6350" b="6350"/>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145" cy="127145"/>
                                <a:chOff x="0" y="0"/>
                                <a:chExt cx="214" cy="214"/>
                              </a:xfrm>
                            </wpg:grpSpPr>
                            <wps:wsp>
                              <wps:cNvPr id="102" name="Rectangle 55"/>
                              <wps:cNvSpPr>
                                <a:spLocks noChangeArrowheads="1"/>
                              </wps:cNvSpPr>
                              <wps:spPr bwMode="auto">
                                <a:xfrm>
                                  <a:off x="7" y="7"/>
                                  <a:ext cx="200" cy="2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w:pict>
                    <v:group w14:anchorId="65FB333E" id="Group 101" o:spid="_x0000_s1026" style="width:10pt;height:10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">
                      <v:rect id="Rectangle 55"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" filled="f" strokeweight=".72pt"/>
                      <w10:anchorlock/>
                    </v:group>
                  </w:pict>
                </mc:Fallback>
              </mc:AlternateContent>
            </w:r>
            <w:r w:rsidRPr="00D724E5">
              <w:rPr>
                <w:rFonts w:ascii="Arial" w:hAnsi="Arial" w:cs="Arial"/>
                <w:sz w:val="18"/>
                <w:szCs w:val="18"/>
              </w:rPr>
              <w:tab/>
            </w:r>
            <w:r w:rsidR="00D724E5">
              <w:rPr>
                <w:rFonts w:ascii="Arial" w:hAnsi="Arial" w:cs="Arial"/>
                <w:sz w:val="18"/>
                <w:szCs w:val="18"/>
              </w:rPr>
              <w:t xml:space="preserve">NO </w:t>
            </w:r>
            <w:r w:rsidR="00D724E5" w:rsidRPr="00D724E5">
              <w:rPr>
                <w:rFonts w:ascii="Arial" w:hAnsi="Arial" w:cs="Arial"/>
                <w:noProof/>
                <w:position w:val="-3"/>
                <w:sz w:val="18"/>
                <w:szCs w:val="18"/>
              </w:rPr>
              <mc:AlternateContent>
                <mc:Choice Requires="wpg">
                  <w:drawing>
                    <wp:inline distT="0" distB="0" distL="0" distR="0" wp14:anchorId="6B067886" wp14:editId="724A998C">
                      <wp:extent cx="127145" cy="127145"/>
                      <wp:effectExtent l="0" t="0" r="6350" b="6350"/>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145" cy="127145"/>
                                <a:chOff x="0" y="0"/>
                                <a:chExt cx="214" cy="214"/>
                              </a:xfrm>
                            </wpg:grpSpPr>
                            <wps:wsp>
                              <wps:cNvPr id="116" name="Rectangle 55"/>
                              <wps:cNvSpPr>
                                <a:spLocks noChangeArrowheads="1"/>
                              </wps:cNvSpPr>
                              <wps:spPr bwMode="auto">
                                <a:xfrm>
                                  <a:off x="7" y="7"/>
                                  <a:ext cx="200" cy="2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w:pict>
                    <v:group w14:anchorId="07E262BB" id="Group 115" o:spid="_x0000_s1026" style="width:10pt;height:10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">
                      <v:rect id="Rectangle 55"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" filled="f" strokeweight=".72pt"/>
                      <w10:anchorlock/>
                    </v:group>
                  </w:pict>
                </mc:Fallback>
              </mc:AlternateContent>
            </w:r>
          </w:p>
          <w:p w14:paraId="20D74B79" w14:textId="77777777" w:rsidR="00D724E5" w:rsidRDefault="00D724E5" w:rsidP="002A0714">
            <w:pPr>
              <w:pStyle w:val="TableParagraph"/>
              <w:ind w:left="107" w:right="157"/>
              <w:rPr>
                <w:rFonts w:ascii="Arial" w:hAnsi="Arial" w:cs="Arial"/>
                <w:sz w:val="18"/>
                <w:szCs w:val="18"/>
              </w:rPr>
            </w:pPr>
          </w:p>
          <w:p w14:paraId="7E77230A" w14:textId="77777777" w:rsidR="00D724E5" w:rsidRDefault="002A0714" w:rsidP="002A0714">
            <w:pPr>
              <w:pStyle w:val="TableParagraph"/>
              <w:ind w:left="107" w:right="157"/>
              <w:rPr>
                <w:rFonts w:ascii="Arial" w:hAnsi="Arial" w:cs="Arial"/>
                <w:sz w:val="18"/>
                <w:szCs w:val="18"/>
              </w:rPr>
            </w:pPr>
            <w:r w:rsidRPr="00D724E5">
              <w:rPr>
                <w:rFonts w:ascii="Arial" w:hAnsi="Arial" w:cs="Arial"/>
                <w:sz w:val="18"/>
                <w:szCs w:val="18"/>
              </w:rPr>
              <w:t>Appendix B</w:t>
            </w:r>
            <w:r w:rsidRPr="00D724E5">
              <w:rPr>
                <w:rFonts w:ascii="Arial" w:hAnsi="Arial" w:cs="Arial"/>
                <w:sz w:val="18"/>
                <w:szCs w:val="18"/>
              </w:rPr>
              <w:tab/>
              <w:t>YES</w:t>
            </w:r>
            <w:r w:rsidR="00D724E5">
              <w:rPr>
                <w:rFonts w:ascii="Arial" w:hAnsi="Arial" w:cs="Arial"/>
                <w:sz w:val="18"/>
                <w:szCs w:val="18"/>
              </w:rPr>
              <w:t xml:space="preserve"> </w:t>
            </w:r>
            <w:r w:rsidR="00D724E5" w:rsidRPr="00D724E5">
              <w:rPr>
                <w:rFonts w:ascii="Arial" w:hAnsi="Arial" w:cs="Arial"/>
                <w:noProof/>
                <w:position w:val="-3"/>
                <w:sz w:val="18"/>
                <w:szCs w:val="18"/>
              </w:rPr>
              <mc:AlternateContent>
                <mc:Choice Requires="wpg">
                  <w:drawing>
                    <wp:inline distT="0" distB="0" distL="0" distR="0" wp14:anchorId="32F18D37" wp14:editId="77C34C78">
                      <wp:extent cx="127145" cy="127145"/>
                      <wp:effectExtent l="0" t="0" r="6350" b="6350"/>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145" cy="127145"/>
                                <a:chOff x="0" y="0"/>
                                <a:chExt cx="214" cy="214"/>
                              </a:xfrm>
                            </wpg:grpSpPr>
                            <wps:wsp>
                              <wps:cNvPr id="104" name="Rectangle 55"/>
                              <wps:cNvSpPr>
                                <a:spLocks noChangeArrowheads="1"/>
                              </wps:cNvSpPr>
                              <wps:spPr bwMode="auto">
                                <a:xfrm>
                                  <a:off x="7" y="7"/>
                                  <a:ext cx="200" cy="2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w:pict>
                    <v:group w14:anchorId="24EDF011" id="Group 103" o:spid="_x0000_s1026" style="width:10pt;height:10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">
                      <v:rect id="Rectangle 55"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" filled="f" strokeweight=".72pt"/>
                      <w10:anchorlock/>
                    </v:group>
                  </w:pict>
                </mc:Fallback>
              </mc:AlternateContent>
            </w:r>
            <w:r w:rsidRPr="00D724E5">
              <w:rPr>
                <w:rFonts w:ascii="Arial" w:hAnsi="Arial" w:cs="Arial"/>
                <w:sz w:val="18"/>
                <w:szCs w:val="18"/>
              </w:rPr>
              <w:tab/>
              <w:t xml:space="preserve">NO </w:t>
            </w:r>
            <w:r w:rsidR="00D724E5" w:rsidRPr="00D724E5">
              <w:rPr>
                <w:rFonts w:ascii="Arial" w:hAnsi="Arial" w:cs="Arial"/>
                <w:noProof/>
                <w:position w:val="-3"/>
                <w:sz w:val="18"/>
                <w:szCs w:val="18"/>
              </w:rPr>
              <mc:AlternateContent>
                <mc:Choice Requires="wpg">
                  <w:drawing>
                    <wp:inline distT="0" distB="0" distL="0" distR="0" wp14:anchorId="1A59A177" wp14:editId="7B940E18">
                      <wp:extent cx="127145" cy="127145"/>
                      <wp:effectExtent l="0" t="0" r="6350" b="6350"/>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145" cy="127145"/>
                                <a:chOff x="0" y="0"/>
                                <a:chExt cx="214" cy="214"/>
                              </a:xfrm>
                            </wpg:grpSpPr>
                            <wps:wsp>
                              <wps:cNvPr id="118" name="Rectangle 55"/>
                              <wps:cNvSpPr>
                                <a:spLocks noChangeArrowheads="1"/>
                              </wps:cNvSpPr>
                              <wps:spPr bwMode="auto">
                                <a:xfrm>
                                  <a:off x="7" y="7"/>
                                  <a:ext cx="200" cy="2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w:pict>
                    <v:group w14:anchorId="4DAAE495" id="Group 117" o:spid="_x0000_s1026" style="width:10pt;height:10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">
                      <v:rect id="Rectangle 55"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" filled="f" strokeweight=".72pt"/>
                      <w10:anchorlock/>
                    </v:group>
                  </w:pict>
                </mc:Fallback>
              </mc:AlternateContent>
            </w:r>
          </w:p>
          <w:p w14:paraId="3B883EC7" w14:textId="77777777" w:rsidR="00D724E5" w:rsidRDefault="00D724E5" w:rsidP="002A0714">
            <w:pPr>
              <w:pStyle w:val="TableParagraph"/>
              <w:ind w:left="107" w:right="157"/>
              <w:rPr>
                <w:rFonts w:ascii="Arial" w:hAnsi="Arial" w:cs="Arial"/>
                <w:sz w:val="18"/>
                <w:szCs w:val="18"/>
              </w:rPr>
            </w:pPr>
          </w:p>
          <w:p w14:paraId="74DD33C7" w14:textId="77777777" w:rsidR="002A0714" w:rsidRDefault="002A0714" w:rsidP="002A0714">
            <w:pPr>
              <w:pStyle w:val="TableParagraph"/>
              <w:ind w:left="107" w:right="157"/>
              <w:rPr>
                <w:rFonts w:ascii="Arial" w:hAnsi="Arial" w:cs="Arial"/>
                <w:sz w:val="18"/>
                <w:szCs w:val="18"/>
              </w:rPr>
            </w:pPr>
            <w:r w:rsidRPr="00D724E5">
              <w:rPr>
                <w:rFonts w:ascii="Arial" w:hAnsi="Arial" w:cs="Arial"/>
                <w:sz w:val="18"/>
                <w:szCs w:val="18"/>
              </w:rPr>
              <w:t>Appendix C</w:t>
            </w:r>
            <w:r w:rsidRPr="00D724E5">
              <w:rPr>
                <w:rFonts w:ascii="Arial" w:hAnsi="Arial" w:cs="Arial"/>
                <w:sz w:val="18"/>
                <w:szCs w:val="18"/>
              </w:rPr>
              <w:tab/>
              <w:t>YES</w:t>
            </w:r>
            <w:r w:rsidR="00D724E5">
              <w:rPr>
                <w:rFonts w:ascii="Arial" w:hAnsi="Arial" w:cs="Arial"/>
                <w:sz w:val="18"/>
                <w:szCs w:val="18"/>
              </w:rPr>
              <w:t xml:space="preserve"> </w:t>
            </w:r>
            <w:r w:rsidR="00D724E5" w:rsidRPr="00D724E5">
              <w:rPr>
                <w:rFonts w:ascii="Arial" w:hAnsi="Arial" w:cs="Arial"/>
                <w:noProof/>
                <w:position w:val="-3"/>
                <w:sz w:val="18"/>
                <w:szCs w:val="18"/>
              </w:rPr>
              <mc:AlternateContent>
                <mc:Choice Requires="wpg">
                  <w:drawing>
                    <wp:inline distT="0" distB="0" distL="0" distR="0" wp14:anchorId="79EDB3F0" wp14:editId="2F1CFCE5">
                      <wp:extent cx="127145" cy="127145"/>
                      <wp:effectExtent l="0" t="0" r="6350" b="6350"/>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145" cy="127145"/>
                                <a:chOff x="0" y="0"/>
                                <a:chExt cx="214" cy="214"/>
                              </a:xfrm>
                            </wpg:grpSpPr>
                            <wps:wsp>
                              <wps:cNvPr id="110" name="Rectangle 55"/>
                              <wps:cNvSpPr>
                                <a:spLocks noChangeArrowheads="1"/>
                              </wps:cNvSpPr>
                              <wps:spPr bwMode="auto">
                                <a:xfrm>
                                  <a:off x="7" y="7"/>
                                  <a:ext cx="200" cy="2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w:pict>
                    <v:group w14:anchorId="6ED5E181" id="Group 109" o:spid="_x0000_s1026" style="width:10pt;height:10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">
                      <v:rect id="Rectangle 55"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" filled="f" strokeweight=".72pt"/>
                      <w10:anchorlock/>
                    </v:group>
                  </w:pict>
                </mc:Fallback>
              </mc:AlternateContent>
            </w:r>
            <w:r w:rsidRPr="00D724E5">
              <w:rPr>
                <w:rFonts w:ascii="Arial" w:hAnsi="Arial" w:cs="Arial"/>
                <w:sz w:val="18"/>
                <w:szCs w:val="18"/>
              </w:rPr>
              <w:tab/>
              <w:t>NO</w:t>
            </w:r>
            <w:r w:rsidR="00D724E5">
              <w:rPr>
                <w:rFonts w:ascii="Arial" w:hAnsi="Arial" w:cs="Arial"/>
                <w:sz w:val="18"/>
                <w:szCs w:val="18"/>
              </w:rPr>
              <w:t xml:space="preserve"> </w:t>
            </w:r>
            <w:r w:rsidR="00D724E5" w:rsidRPr="00D724E5">
              <w:rPr>
                <w:rFonts w:ascii="Arial" w:hAnsi="Arial" w:cs="Arial"/>
                <w:noProof/>
                <w:position w:val="-3"/>
                <w:sz w:val="18"/>
                <w:szCs w:val="18"/>
              </w:rPr>
              <mc:AlternateContent>
                <mc:Choice Requires="wpg">
                  <w:drawing>
                    <wp:inline distT="0" distB="0" distL="0" distR="0" wp14:anchorId="061E96AA" wp14:editId="5E86B772">
                      <wp:extent cx="127145" cy="127145"/>
                      <wp:effectExtent l="0" t="0" r="6350" b="6350"/>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145" cy="127145"/>
                                <a:chOff x="0" y="0"/>
                                <a:chExt cx="214" cy="214"/>
                              </a:xfrm>
                            </wpg:grpSpPr>
                            <wps:wsp>
                              <wps:cNvPr id="122" name="Rectangle 55"/>
                              <wps:cNvSpPr>
                                <a:spLocks noChangeArrowheads="1"/>
                              </wps:cNvSpPr>
                              <wps:spPr bwMode="auto">
                                <a:xfrm>
                                  <a:off x="7" y="7"/>
                                  <a:ext cx="200" cy="2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w:pict>
                    <v:group w14:anchorId="4874D49A" id="Group 121" o:spid="_x0000_s1026" style="width:10pt;height:10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">
                      <v:rect id="Rectangle 55"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" filled="f" strokeweight=".72pt"/>
                      <w10:anchorlock/>
                    </v:group>
                  </w:pict>
                </mc:Fallback>
              </mc:AlternateContent>
            </w:r>
          </w:p>
          <w:p w14:paraId="6518512D" w14:textId="77777777" w:rsidR="00D724E5" w:rsidRPr="00D724E5" w:rsidRDefault="00D724E5" w:rsidP="002A0714">
            <w:pPr>
              <w:pStyle w:val="TableParagraph"/>
              <w:ind w:left="107" w:right="157"/>
              <w:rPr>
                <w:rFonts w:ascii="Arial" w:hAnsi="Arial" w:cs="Arial"/>
                <w:sz w:val="18"/>
                <w:szCs w:val="18"/>
              </w:rPr>
            </w:pPr>
          </w:p>
          <w:p w14:paraId="70EF1D29" w14:textId="77777777" w:rsidR="002A0714" w:rsidRPr="00D724E5" w:rsidRDefault="002A0714" w:rsidP="002A0714">
            <w:pPr>
              <w:pStyle w:val="TableParagraph"/>
              <w:ind w:left="107" w:right="157"/>
              <w:rPr>
                <w:rFonts w:ascii="Arial" w:hAnsi="Arial" w:cs="Arial"/>
                <w:sz w:val="18"/>
                <w:szCs w:val="18"/>
              </w:rPr>
            </w:pPr>
            <w:r w:rsidRPr="00D724E5">
              <w:rPr>
                <w:rFonts w:ascii="Arial" w:hAnsi="Arial" w:cs="Arial"/>
                <w:sz w:val="18"/>
                <w:szCs w:val="18"/>
              </w:rPr>
              <w:t>Appendix D</w:t>
            </w:r>
            <w:r w:rsidRPr="00D724E5">
              <w:rPr>
                <w:rFonts w:ascii="Arial" w:hAnsi="Arial" w:cs="Arial"/>
                <w:sz w:val="18"/>
                <w:szCs w:val="18"/>
              </w:rPr>
              <w:tab/>
              <w:t>YES</w:t>
            </w:r>
            <w:r w:rsidR="00D724E5">
              <w:rPr>
                <w:rFonts w:ascii="Arial" w:hAnsi="Arial" w:cs="Arial"/>
                <w:sz w:val="18"/>
                <w:szCs w:val="18"/>
              </w:rPr>
              <w:t xml:space="preserve"> </w:t>
            </w:r>
            <w:r w:rsidR="00D724E5" w:rsidRPr="00D724E5">
              <w:rPr>
                <w:rFonts w:ascii="Arial" w:hAnsi="Arial" w:cs="Arial"/>
                <w:noProof/>
                <w:position w:val="-3"/>
                <w:sz w:val="18"/>
                <w:szCs w:val="18"/>
              </w:rPr>
              <mc:AlternateContent>
                <mc:Choice Requires="wpg">
                  <w:drawing>
                    <wp:inline distT="0" distB="0" distL="0" distR="0" wp14:anchorId="71387963" wp14:editId="1E95B72A">
                      <wp:extent cx="127145" cy="127145"/>
                      <wp:effectExtent l="0" t="0" r="6350" b="6350"/>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145" cy="127145"/>
                                <a:chOff x="0" y="0"/>
                                <a:chExt cx="214" cy="214"/>
                              </a:xfrm>
                            </wpg:grpSpPr>
                            <wps:wsp>
                              <wps:cNvPr id="114" name="Rectangle 55"/>
                              <wps:cNvSpPr>
                                <a:spLocks noChangeArrowheads="1"/>
                              </wps:cNvSpPr>
                              <wps:spPr bwMode="auto">
                                <a:xfrm>
                                  <a:off x="7" y="7"/>
                                  <a:ext cx="200" cy="2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w:pict>
                    <v:group w14:anchorId="283A3AB1" id="Group 113" o:spid="_x0000_s1026" style="width:10pt;height:10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">
                      <v:rect id="Rectangle 55"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" filled="f" strokeweight=".72pt"/>
                      <w10:anchorlock/>
                    </v:group>
                  </w:pict>
                </mc:Fallback>
              </mc:AlternateContent>
            </w:r>
            <w:r w:rsidRPr="00D724E5">
              <w:rPr>
                <w:rFonts w:ascii="Arial" w:hAnsi="Arial" w:cs="Arial"/>
                <w:sz w:val="18"/>
                <w:szCs w:val="18"/>
              </w:rPr>
              <w:tab/>
              <w:t>NO</w:t>
            </w:r>
            <w:r w:rsidR="00D724E5">
              <w:rPr>
                <w:rFonts w:ascii="Arial" w:hAnsi="Arial" w:cs="Arial"/>
                <w:sz w:val="18"/>
                <w:szCs w:val="18"/>
              </w:rPr>
              <w:t xml:space="preserve"> </w:t>
            </w:r>
            <w:r w:rsidR="00D724E5" w:rsidRPr="00D724E5">
              <w:rPr>
                <w:rFonts w:ascii="Arial" w:hAnsi="Arial" w:cs="Arial"/>
                <w:noProof/>
                <w:position w:val="-3"/>
                <w:sz w:val="18"/>
                <w:szCs w:val="18"/>
              </w:rPr>
              <mc:AlternateContent>
                <mc:Choice Requires="wpg">
                  <w:drawing>
                    <wp:inline distT="0" distB="0" distL="0" distR="0" wp14:anchorId="70A084D2" wp14:editId="59145FD4">
                      <wp:extent cx="127145" cy="127145"/>
                      <wp:effectExtent l="0" t="0" r="6350" b="6350"/>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145" cy="127145"/>
                                <a:chOff x="0" y="0"/>
                                <a:chExt cx="214" cy="214"/>
                              </a:xfrm>
                            </wpg:grpSpPr>
                            <wps:wsp>
                              <wps:cNvPr id="124" name="Rectangle 55"/>
                              <wps:cNvSpPr>
                                <a:spLocks noChangeArrowheads="1"/>
                              </wps:cNvSpPr>
                              <wps:spPr bwMode="auto">
                                <a:xfrm>
                                  <a:off x="7" y="7"/>
                                  <a:ext cx="200" cy="2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w:pict>
                    <v:group w14:anchorId="01CB872A" id="Group 123" o:spid="_x0000_s1026" style="width:10pt;height:10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">
                      <v:rect id="Rectangle 55"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" filled="f" strokeweight=".72pt"/>
                      <w10:anchorlock/>
                    </v:group>
                  </w:pict>
                </mc:Fallback>
              </mc:AlternateContent>
            </w:r>
          </w:p>
        </w:tc>
      </w:tr>
    </w:tbl>
    <w:p w14:paraId="1F286CBA" w14:textId="77777777" w:rsidR="002A0714" w:rsidRPr="00D724E5" w:rsidRDefault="002A0714" w:rsidP="00CD5CD5">
      <w:pPr>
        <w:rPr>
          <w:rFonts w:ascii="Arial" w:eastAsia="Times New Roman" w:hAnsi="Arial" w:cs="Times New Roman"/>
          <w:sz w:val="18"/>
          <w:szCs w:val="18"/>
        </w:rPr>
      </w:pPr>
    </w:p>
    <w:p w14:paraId="6CDFD629" w14:textId="77777777" w:rsidR="002A0714" w:rsidRPr="00D724E5" w:rsidRDefault="002A0714" w:rsidP="00CD5CD5">
      <w:pPr>
        <w:rPr>
          <w:rFonts w:ascii="Arial" w:eastAsia="Times New Roman" w:hAnsi="Arial" w:cs="Times New Roman"/>
          <w:sz w:val="18"/>
          <w:szCs w:val="18"/>
        </w:rPr>
      </w:pPr>
    </w:p>
    <w:p w14:paraId="6227E4BE" w14:textId="77777777" w:rsidR="002A0714" w:rsidRPr="00D724E5" w:rsidRDefault="002A0714" w:rsidP="00CD5CD5">
      <w:pPr>
        <w:rPr>
          <w:rFonts w:ascii="Arial" w:eastAsia="Times New Roman" w:hAnsi="Arial" w:cs="Times New Roman"/>
          <w:sz w:val="18"/>
          <w:szCs w:val="18"/>
        </w:rPr>
      </w:pPr>
    </w:p>
    <w:p w14:paraId="2F7F44FC" w14:textId="77777777" w:rsidR="002A0714" w:rsidRPr="00D724E5" w:rsidRDefault="002A0714" w:rsidP="00CD5CD5">
      <w:pPr>
        <w:rPr>
          <w:rFonts w:ascii="Arial" w:eastAsia="Times New Roman" w:hAnsi="Arial" w:cs="Times New Roman"/>
          <w:sz w:val="18"/>
          <w:szCs w:val="18"/>
        </w:rPr>
      </w:pPr>
    </w:p>
    <w:p w14:paraId="408649F8" w14:textId="77777777" w:rsidR="002A0714" w:rsidRPr="00D724E5" w:rsidRDefault="002A0714" w:rsidP="00CD5CD5">
      <w:pPr>
        <w:rPr>
          <w:rFonts w:ascii="Arial" w:eastAsia="Times New Roman" w:hAnsi="Arial" w:cs="Times New Roman"/>
          <w:sz w:val="18"/>
          <w:szCs w:val="18"/>
        </w:rPr>
      </w:pPr>
    </w:p>
    <w:p w14:paraId="7AD08170" w14:textId="77777777" w:rsidR="002A0714" w:rsidRPr="00D724E5" w:rsidRDefault="002A0714" w:rsidP="00CD5CD5">
      <w:pPr>
        <w:rPr>
          <w:rFonts w:ascii="Arial" w:eastAsia="Times New Roman" w:hAnsi="Arial" w:cs="Times New Roman"/>
          <w:sz w:val="18"/>
          <w:szCs w:val="18"/>
        </w:rPr>
      </w:pPr>
    </w:p>
    <w:p w14:paraId="2C02976E" w14:textId="77777777" w:rsidR="002A0714" w:rsidRPr="00D724E5" w:rsidRDefault="002A0714" w:rsidP="00CD5CD5">
      <w:pPr>
        <w:rPr>
          <w:rFonts w:ascii="Arial" w:eastAsia="Times New Roman" w:hAnsi="Arial" w:cs="Times New Roman"/>
          <w:sz w:val="18"/>
          <w:szCs w:val="18"/>
        </w:rPr>
      </w:pPr>
    </w:p>
    <w:p w14:paraId="7A78269B" w14:textId="77777777" w:rsidR="002A0714" w:rsidRPr="00D724E5" w:rsidRDefault="002A0714" w:rsidP="00CD5CD5">
      <w:pPr>
        <w:rPr>
          <w:rFonts w:ascii="Arial" w:eastAsia="Times New Roman" w:hAnsi="Arial" w:cs="Times New Roman"/>
          <w:sz w:val="18"/>
          <w:szCs w:val="18"/>
        </w:rPr>
      </w:pPr>
    </w:p>
    <w:p w14:paraId="6E6E0BBB" w14:textId="77777777" w:rsidR="002A0714" w:rsidRDefault="002A0714" w:rsidP="00CD5CD5">
      <w:pPr>
        <w:rPr>
          <w:rFonts w:ascii="Arial" w:eastAsia="Times New Roman" w:hAnsi="Arial" w:cs="Times New Roman"/>
          <w:sz w:val="18"/>
          <w:szCs w:val="18"/>
        </w:rPr>
      </w:pPr>
    </w:p>
    <w:p w14:paraId="0EC4F5DB" w14:textId="77777777" w:rsidR="00D724E5" w:rsidRDefault="00D724E5" w:rsidP="00CD5CD5">
      <w:pPr>
        <w:rPr>
          <w:rFonts w:ascii="Arial" w:eastAsia="Times New Roman" w:hAnsi="Arial" w:cs="Times New Roman"/>
          <w:sz w:val="18"/>
          <w:szCs w:val="18"/>
        </w:rPr>
      </w:pPr>
    </w:p>
    <w:p w14:paraId="35187BD8" w14:textId="77777777" w:rsidR="00D724E5" w:rsidRDefault="00D724E5" w:rsidP="00CD5CD5">
      <w:pPr>
        <w:rPr>
          <w:rFonts w:ascii="Arial" w:eastAsia="Times New Roman" w:hAnsi="Arial" w:cs="Times New Roman"/>
          <w:sz w:val="18"/>
          <w:szCs w:val="18"/>
        </w:rPr>
      </w:pPr>
    </w:p>
    <w:p w14:paraId="0753EA89" w14:textId="77777777" w:rsidR="00D724E5" w:rsidRDefault="00D724E5" w:rsidP="00CD5CD5">
      <w:pPr>
        <w:rPr>
          <w:rFonts w:ascii="Arial" w:eastAsia="Times New Roman" w:hAnsi="Arial" w:cs="Times New Roman"/>
          <w:sz w:val="18"/>
          <w:szCs w:val="18"/>
        </w:rPr>
      </w:pPr>
    </w:p>
    <w:p w14:paraId="39592DD0" w14:textId="77777777" w:rsidR="00D724E5" w:rsidRDefault="00D724E5" w:rsidP="00CD5CD5">
      <w:pPr>
        <w:rPr>
          <w:rFonts w:ascii="Arial" w:eastAsia="Times New Roman" w:hAnsi="Arial" w:cs="Times New Roman"/>
          <w:sz w:val="18"/>
          <w:szCs w:val="18"/>
        </w:rPr>
      </w:pPr>
    </w:p>
    <w:p w14:paraId="2D3F4633" w14:textId="77777777" w:rsidR="00D724E5" w:rsidRDefault="00D724E5" w:rsidP="00CD5CD5">
      <w:pPr>
        <w:rPr>
          <w:rFonts w:ascii="Arial" w:eastAsia="Times New Roman" w:hAnsi="Arial" w:cs="Times New Roman"/>
          <w:sz w:val="18"/>
          <w:szCs w:val="18"/>
        </w:rPr>
      </w:pPr>
    </w:p>
    <w:p w14:paraId="6F74F0DC" w14:textId="77777777" w:rsidR="00D724E5" w:rsidRDefault="00D724E5" w:rsidP="00CD5CD5">
      <w:pPr>
        <w:rPr>
          <w:rFonts w:ascii="Arial" w:eastAsia="Times New Roman" w:hAnsi="Arial" w:cs="Times New Roman"/>
          <w:sz w:val="18"/>
          <w:szCs w:val="18"/>
        </w:rPr>
      </w:pPr>
    </w:p>
    <w:p w14:paraId="74491C0F" w14:textId="77777777" w:rsidR="00D724E5" w:rsidRDefault="00D724E5" w:rsidP="00CD5CD5">
      <w:pPr>
        <w:rPr>
          <w:rFonts w:ascii="Arial" w:eastAsia="Times New Roman" w:hAnsi="Arial" w:cs="Times New Roman"/>
          <w:sz w:val="18"/>
          <w:szCs w:val="18"/>
        </w:rPr>
      </w:pPr>
    </w:p>
    <w:p w14:paraId="33C65A45" w14:textId="77777777" w:rsidR="00D724E5" w:rsidRDefault="00D724E5" w:rsidP="00CD5CD5">
      <w:pPr>
        <w:rPr>
          <w:rFonts w:ascii="Arial" w:eastAsia="Times New Roman" w:hAnsi="Arial" w:cs="Times New Roman"/>
          <w:sz w:val="18"/>
          <w:szCs w:val="18"/>
        </w:rPr>
      </w:pPr>
    </w:p>
    <w:p w14:paraId="5B81D56B" w14:textId="77777777" w:rsidR="00D724E5" w:rsidRDefault="00D724E5" w:rsidP="00CD5CD5">
      <w:pPr>
        <w:rPr>
          <w:rFonts w:ascii="Arial" w:eastAsia="Times New Roman" w:hAnsi="Arial" w:cs="Times New Roman"/>
          <w:sz w:val="18"/>
          <w:szCs w:val="18"/>
        </w:rPr>
      </w:pPr>
    </w:p>
    <w:p w14:paraId="1EE5473C" w14:textId="77777777" w:rsidR="00D724E5" w:rsidRDefault="00D724E5" w:rsidP="00CD5CD5">
      <w:pPr>
        <w:rPr>
          <w:rFonts w:ascii="Arial" w:eastAsia="Times New Roman" w:hAnsi="Arial" w:cs="Times New Roman"/>
          <w:sz w:val="18"/>
          <w:szCs w:val="18"/>
        </w:rPr>
      </w:pPr>
    </w:p>
    <w:p w14:paraId="5CEA88B6" w14:textId="77777777" w:rsidR="00D724E5" w:rsidRDefault="00D724E5" w:rsidP="00CD5CD5">
      <w:pPr>
        <w:rPr>
          <w:rFonts w:ascii="Arial" w:eastAsia="Times New Roman" w:hAnsi="Arial" w:cs="Times New Roman"/>
          <w:sz w:val="18"/>
          <w:szCs w:val="18"/>
        </w:rPr>
      </w:pPr>
    </w:p>
    <w:p w14:paraId="2C8B85A3" w14:textId="77777777" w:rsidR="00D724E5" w:rsidRDefault="00D724E5" w:rsidP="00CD5CD5">
      <w:pPr>
        <w:rPr>
          <w:rFonts w:ascii="Arial" w:eastAsia="Times New Roman" w:hAnsi="Arial" w:cs="Times New Roman"/>
          <w:sz w:val="18"/>
          <w:szCs w:val="18"/>
        </w:rPr>
      </w:pPr>
    </w:p>
    <w:p w14:paraId="7F9277AE" w14:textId="77777777" w:rsidR="00D724E5" w:rsidRDefault="00D724E5" w:rsidP="00CD5CD5">
      <w:pPr>
        <w:rPr>
          <w:rFonts w:ascii="Arial" w:eastAsia="Times New Roman" w:hAnsi="Arial" w:cs="Times New Roman"/>
          <w:sz w:val="18"/>
          <w:szCs w:val="18"/>
        </w:rPr>
      </w:pPr>
    </w:p>
    <w:p w14:paraId="31065AA1" w14:textId="77777777" w:rsidR="00D724E5" w:rsidRDefault="00D724E5" w:rsidP="00CD5CD5">
      <w:pPr>
        <w:rPr>
          <w:rFonts w:ascii="Arial" w:eastAsia="Times New Roman" w:hAnsi="Arial" w:cs="Times New Roman"/>
          <w:sz w:val="18"/>
          <w:szCs w:val="18"/>
        </w:rPr>
      </w:pPr>
    </w:p>
    <w:p w14:paraId="5BCF953F" w14:textId="77777777" w:rsidR="00D724E5" w:rsidRPr="00D724E5" w:rsidRDefault="00D724E5" w:rsidP="00CD5CD5">
      <w:pPr>
        <w:rPr>
          <w:rFonts w:ascii="Arial" w:eastAsia="Times New Roman" w:hAnsi="Arial" w:cs="Times New Roman"/>
          <w:sz w:val="18"/>
          <w:szCs w:val="18"/>
        </w:rPr>
      </w:pPr>
    </w:p>
    <w:p w14:paraId="459D8C05" w14:textId="77777777" w:rsidR="002A0714" w:rsidRPr="00D724E5" w:rsidRDefault="002A0714" w:rsidP="00CD5CD5">
      <w:pPr>
        <w:rPr>
          <w:rFonts w:ascii="Arial" w:eastAsia="Times New Roman" w:hAnsi="Arial" w:cs="Times New Roman"/>
          <w:sz w:val="18"/>
          <w:szCs w:val="18"/>
        </w:rPr>
      </w:pPr>
    </w:p>
    <w:p w14:paraId="48117881" w14:textId="77777777" w:rsidR="002A0714" w:rsidRPr="00D724E5" w:rsidRDefault="002A0714" w:rsidP="00CD5CD5">
      <w:pPr>
        <w:rPr>
          <w:rFonts w:ascii="Arial" w:eastAsia="Times New Roman" w:hAnsi="Arial" w:cs="Times New Roman"/>
          <w:sz w:val="18"/>
          <w:szCs w:val="18"/>
        </w:rPr>
      </w:pPr>
    </w:p>
    <w:tbl>
      <w:tblPr>
        <w:tblW w:w="9086" w:type="dxa"/>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
        <w:gridCol w:w="1970"/>
        <w:gridCol w:w="1741"/>
        <w:gridCol w:w="10"/>
        <w:gridCol w:w="660"/>
        <w:gridCol w:w="1844"/>
        <w:gridCol w:w="10"/>
        <w:gridCol w:w="698"/>
        <w:gridCol w:w="2132"/>
        <w:gridCol w:w="11"/>
      </w:tblGrid>
      <w:tr w:rsidR="002A0714" w:rsidRPr="00D724E5" w14:paraId="393BAF96" w14:textId="77777777" w:rsidTr="008C2414">
        <w:trPr>
          <w:gridBefore w:val="1"/>
          <w:wBefore w:w="10" w:type="dxa"/>
          <w:trHeight w:val="561"/>
        </w:trPr>
        <w:tc>
          <w:tcPr>
            <w:tcW w:w="9076" w:type="dxa"/>
            <w:gridSpan w:val="9"/>
            <w:shd w:val="clear" w:color="auto" w:fill="F2F2F2" w:themeFill="background1" w:themeFillShade="F2"/>
          </w:tcPr>
          <w:p w14:paraId="6148BAC9" w14:textId="77777777" w:rsidR="002A0714" w:rsidRPr="00D724E5" w:rsidRDefault="002A0714" w:rsidP="002A0714">
            <w:pPr>
              <w:pStyle w:val="TableParagraph"/>
              <w:spacing w:before="1"/>
              <w:ind w:left="853" w:right="870"/>
              <w:jc w:val="center"/>
              <w:rPr>
                <w:rFonts w:ascii="Arial" w:hAnsi="Arial" w:cs="Arial"/>
                <w:b/>
                <w:sz w:val="18"/>
                <w:szCs w:val="18"/>
              </w:rPr>
            </w:pPr>
            <w:r w:rsidRPr="00D724E5">
              <w:rPr>
                <w:rFonts w:ascii="Arial" w:hAnsi="Arial" w:cs="Arial"/>
                <w:b/>
                <w:sz w:val="18"/>
                <w:szCs w:val="18"/>
              </w:rPr>
              <w:t>Appendix</w:t>
            </w:r>
            <w:r w:rsidRPr="00D724E5">
              <w:rPr>
                <w:rFonts w:ascii="Arial" w:hAnsi="Arial" w:cs="Arial"/>
                <w:b/>
                <w:spacing w:val="-2"/>
                <w:sz w:val="18"/>
                <w:szCs w:val="18"/>
              </w:rPr>
              <w:t xml:space="preserve"> </w:t>
            </w:r>
            <w:r w:rsidRPr="00D724E5">
              <w:rPr>
                <w:rFonts w:ascii="Arial" w:hAnsi="Arial" w:cs="Arial"/>
                <w:b/>
                <w:sz w:val="18"/>
                <w:szCs w:val="18"/>
              </w:rPr>
              <w:t>A</w:t>
            </w:r>
            <w:r w:rsidRPr="00D724E5">
              <w:rPr>
                <w:rFonts w:ascii="Arial" w:hAnsi="Arial" w:cs="Arial"/>
                <w:b/>
                <w:spacing w:val="-4"/>
                <w:sz w:val="18"/>
                <w:szCs w:val="18"/>
              </w:rPr>
              <w:t xml:space="preserve"> </w:t>
            </w:r>
            <w:r w:rsidRPr="00D724E5">
              <w:rPr>
                <w:rFonts w:ascii="Arial" w:hAnsi="Arial" w:cs="Arial"/>
                <w:b/>
                <w:sz w:val="18"/>
                <w:szCs w:val="18"/>
              </w:rPr>
              <w:t>—</w:t>
            </w:r>
            <w:r w:rsidRPr="00D724E5">
              <w:rPr>
                <w:rFonts w:ascii="Arial" w:hAnsi="Arial" w:cs="Arial"/>
                <w:b/>
                <w:spacing w:val="-2"/>
                <w:sz w:val="18"/>
                <w:szCs w:val="18"/>
              </w:rPr>
              <w:t xml:space="preserve"> </w:t>
            </w:r>
            <w:r w:rsidRPr="00D724E5">
              <w:rPr>
                <w:rFonts w:ascii="Arial" w:hAnsi="Arial" w:cs="Arial"/>
                <w:b/>
                <w:sz w:val="18"/>
                <w:szCs w:val="18"/>
              </w:rPr>
              <w:t>Minimum</w:t>
            </w:r>
            <w:r w:rsidRPr="00D724E5">
              <w:rPr>
                <w:rFonts w:ascii="Arial" w:hAnsi="Arial" w:cs="Arial"/>
                <w:b/>
                <w:spacing w:val="-3"/>
                <w:sz w:val="18"/>
                <w:szCs w:val="18"/>
              </w:rPr>
              <w:t xml:space="preserve"> </w:t>
            </w:r>
            <w:r w:rsidRPr="00D724E5">
              <w:rPr>
                <w:rFonts w:ascii="Arial" w:hAnsi="Arial" w:cs="Arial"/>
                <w:b/>
                <w:sz w:val="18"/>
                <w:szCs w:val="18"/>
              </w:rPr>
              <w:t>inspection</w:t>
            </w:r>
            <w:r w:rsidRPr="00D724E5">
              <w:rPr>
                <w:rFonts w:ascii="Arial" w:hAnsi="Arial" w:cs="Arial"/>
                <w:b/>
                <w:spacing w:val="-1"/>
                <w:sz w:val="18"/>
                <w:szCs w:val="18"/>
              </w:rPr>
              <w:t xml:space="preserve"> </w:t>
            </w:r>
            <w:r w:rsidRPr="00D724E5">
              <w:rPr>
                <w:rFonts w:ascii="Arial" w:hAnsi="Arial" w:cs="Arial"/>
                <w:b/>
                <w:sz w:val="18"/>
                <w:szCs w:val="18"/>
              </w:rPr>
              <w:t>programme</w:t>
            </w:r>
            <w:r w:rsidRPr="00D724E5">
              <w:rPr>
                <w:rFonts w:ascii="Arial" w:hAnsi="Arial" w:cs="Arial"/>
                <w:b/>
                <w:spacing w:val="-6"/>
                <w:sz w:val="18"/>
                <w:szCs w:val="18"/>
              </w:rPr>
              <w:t xml:space="preserve"> </w:t>
            </w:r>
            <w:r w:rsidRPr="00D724E5">
              <w:rPr>
                <w:rFonts w:ascii="Arial" w:hAnsi="Arial" w:cs="Arial"/>
                <w:b/>
                <w:sz w:val="18"/>
                <w:szCs w:val="18"/>
              </w:rPr>
              <w:t>(MIP)</w:t>
            </w:r>
          </w:p>
          <w:p w14:paraId="3E32ADA0" w14:textId="77777777" w:rsidR="002A0714" w:rsidRPr="00D724E5" w:rsidRDefault="002A0714" w:rsidP="002A0714">
            <w:pPr>
              <w:pStyle w:val="TableParagraph"/>
              <w:spacing w:before="118" w:line="178" w:lineRule="exact"/>
              <w:ind w:left="860" w:right="870"/>
              <w:jc w:val="center"/>
              <w:rPr>
                <w:rFonts w:ascii="Arial" w:hAnsi="Arial" w:cs="Arial"/>
                <w:b/>
                <w:sz w:val="18"/>
                <w:szCs w:val="18"/>
              </w:rPr>
            </w:pPr>
            <w:r w:rsidRPr="00D724E5">
              <w:rPr>
                <w:rFonts w:ascii="Arial" w:hAnsi="Arial" w:cs="Arial"/>
                <w:b/>
                <w:sz w:val="18"/>
                <w:szCs w:val="18"/>
              </w:rPr>
              <w:t>(only</w:t>
            </w:r>
            <w:r w:rsidRPr="00D724E5">
              <w:rPr>
                <w:rFonts w:ascii="Arial" w:hAnsi="Arial" w:cs="Arial"/>
                <w:b/>
                <w:spacing w:val="-2"/>
                <w:sz w:val="18"/>
                <w:szCs w:val="18"/>
              </w:rPr>
              <w:t xml:space="preserve"> </w:t>
            </w:r>
            <w:r w:rsidRPr="00D724E5">
              <w:rPr>
                <w:rFonts w:ascii="Arial" w:hAnsi="Arial" w:cs="Arial"/>
                <w:b/>
                <w:sz w:val="18"/>
                <w:szCs w:val="18"/>
              </w:rPr>
              <w:t>applicable</w:t>
            </w:r>
            <w:r w:rsidRPr="00D724E5">
              <w:rPr>
                <w:rFonts w:ascii="Arial" w:hAnsi="Arial" w:cs="Arial"/>
                <w:b/>
                <w:spacing w:val="-2"/>
                <w:sz w:val="18"/>
                <w:szCs w:val="18"/>
              </w:rPr>
              <w:t xml:space="preserve"> </w:t>
            </w:r>
            <w:r w:rsidRPr="00D724E5">
              <w:rPr>
                <w:rFonts w:ascii="Arial" w:hAnsi="Arial" w:cs="Arial"/>
                <w:b/>
                <w:sz w:val="18"/>
                <w:szCs w:val="18"/>
              </w:rPr>
              <w:t>if</w:t>
            </w:r>
            <w:r w:rsidRPr="00D724E5">
              <w:rPr>
                <w:rFonts w:ascii="Arial" w:hAnsi="Arial" w:cs="Arial"/>
                <w:b/>
                <w:spacing w:val="-3"/>
                <w:sz w:val="18"/>
                <w:szCs w:val="18"/>
              </w:rPr>
              <w:t xml:space="preserve"> </w:t>
            </w:r>
            <w:r w:rsidRPr="00D724E5">
              <w:rPr>
                <w:rFonts w:ascii="Arial" w:hAnsi="Arial" w:cs="Arial"/>
                <w:b/>
                <w:sz w:val="18"/>
                <w:szCs w:val="18"/>
              </w:rPr>
              <w:t>a</w:t>
            </w:r>
            <w:r w:rsidRPr="00D724E5">
              <w:rPr>
                <w:rFonts w:ascii="Arial" w:hAnsi="Arial" w:cs="Arial"/>
                <w:b/>
                <w:spacing w:val="-3"/>
                <w:sz w:val="18"/>
                <w:szCs w:val="18"/>
              </w:rPr>
              <w:t xml:space="preserve"> </w:t>
            </w:r>
            <w:r w:rsidRPr="00D724E5">
              <w:rPr>
                <w:rFonts w:ascii="Arial" w:hAnsi="Arial" w:cs="Arial"/>
                <w:b/>
                <w:sz w:val="18"/>
                <w:szCs w:val="18"/>
              </w:rPr>
              <w:t>MIP</w:t>
            </w:r>
            <w:r w:rsidRPr="00D724E5">
              <w:rPr>
                <w:rFonts w:ascii="Arial" w:hAnsi="Arial" w:cs="Arial"/>
                <w:b/>
                <w:spacing w:val="-2"/>
                <w:sz w:val="18"/>
                <w:szCs w:val="18"/>
              </w:rPr>
              <w:t xml:space="preserve"> </w:t>
            </w:r>
            <w:r w:rsidRPr="00D724E5">
              <w:rPr>
                <w:rFonts w:ascii="Arial" w:hAnsi="Arial" w:cs="Arial"/>
                <w:b/>
                <w:sz w:val="18"/>
                <w:szCs w:val="18"/>
              </w:rPr>
              <w:t>different</w:t>
            </w:r>
            <w:r w:rsidRPr="00D724E5">
              <w:rPr>
                <w:rFonts w:ascii="Arial" w:hAnsi="Arial" w:cs="Arial"/>
                <w:b/>
                <w:spacing w:val="-2"/>
                <w:sz w:val="18"/>
                <w:szCs w:val="18"/>
              </w:rPr>
              <w:t xml:space="preserve"> </w:t>
            </w:r>
            <w:r w:rsidRPr="00D724E5">
              <w:rPr>
                <w:rFonts w:ascii="Arial" w:hAnsi="Arial" w:cs="Arial"/>
                <w:b/>
                <w:sz w:val="18"/>
                <w:szCs w:val="18"/>
              </w:rPr>
              <w:t>from</w:t>
            </w:r>
            <w:r w:rsidRPr="00D724E5">
              <w:rPr>
                <w:rFonts w:ascii="Arial" w:hAnsi="Arial" w:cs="Arial"/>
                <w:b/>
                <w:spacing w:val="-1"/>
                <w:sz w:val="18"/>
                <w:szCs w:val="18"/>
              </w:rPr>
              <w:t xml:space="preserve"> </w:t>
            </w:r>
            <w:r w:rsidRPr="00D724E5">
              <w:rPr>
                <w:rFonts w:ascii="Arial" w:hAnsi="Arial" w:cs="Arial"/>
                <w:b/>
                <w:sz w:val="18"/>
                <w:szCs w:val="18"/>
              </w:rPr>
              <w:t>the</w:t>
            </w:r>
            <w:r w:rsidRPr="00D724E5">
              <w:rPr>
                <w:rFonts w:ascii="Arial" w:hAnsi="Arial" w:cs="Arial"/>
                <w:b/>
                <w:spacing w:val="-2"/>
                <w:sz w:val="18"/>
                <w:szCs w:val="18"/>
              </w:rPr>
              <w:t xml:space="preserve"> </w:t>
            </w:r>
            <w:r w:rsidRPr="00D724E5">
              <w:rPr>
                <w:rFonts w:ascii="Arial" w:hAnsi="Arial" w:cs="Arial"/>
                <w:b/>
                <w:sz w:val="18"/>
                <w:szCs w:val="18"/>
              </w:rPr>
              <w:t>one</w:t>
            </w:r>
            <w:r w:rsidRPr="00D724E5">
              <w:rPr>
                <w:rFonts w:ascii="Arial" w:hAnsi="Arial" w:cs="Arial"/>
                <w:b/>
                <w:spacing w:val="-2"/>
                <w:sz w:val="18"/>
                <w:szCs w:val="18"/>
              </w:rPr>
              <w:t xml:space="preserve"> </w:t>
            </w:r>
            <w:r w:rsidRPr="00D724E5">
              <w:rPr>
                <w:rFonts w:ascii="Arial" w:hAnsi="Arial" w:cs="Arial"/>
                <w:b/>
                <w:sz w:val="18"/>
                <w:szCs w:val="18"/>
              </w:rPr>
              <w:t>described</w:t>
            </w:r>
            <w:r w:rsidRPr="00D724E5">
              <w:rPr>
                <w:rFonts w:ascii="Arial" w:hAnsi="Arial" w:cs="Arial"/>
                <w:b/>
                <w:spacing w:val="-2"/>
                <w:sz w:val="18"/>
                <w:szCs w:val="18"/>
              </w:rPr>
              <w:t xml:space="preserve"> </w:t>
            </w:r>
            <w:r w:rsidRPr="00D724E5">
              <w:rPr>
                <w:rFonts w:ascii="Arial" w:hAnsi="Arial" w:cs="Arial"/>
                <w:b/>
                <w:sz w:val="18"/>
                <w:szCs w:val="18"/>
              </w:rPr>
              <w:t>in</w:t>
            </w:r>
            <w:r w:rsidRPr="00D724E5">
              <w:rPr>
                <w:rFonts w:ascii="Arial" w:hAnsi="Arial" w:cs="Arial"/>
                <w:b/>
                <w:spacing w:val="-2"/>
                <w:sz w:val="18"/>
                <w:szCs w:val="18"/>
              </w:rPr>
              <w:t xml:space="preserve"> </w:t>
            </w:r>
            <w:r w:rsidRPr="00D724E5">
              <w:rPr>
                <w:rFonts w:ascii="Arial" w:hAnsi="Arial" w:cs="Arial"/>
                <w:b/>
                <w:sz w:val="18"/>
                <w:szCs w:val="18"/>
              </w:rPr>
              <w:t>AMC1</w:t>
            </w:r>
            <w:r w:rsidRPr="00D724E5">
              <w:rPr>
                <w:rFonts w:ascii="Arial" w:hAnsi="Arial" w:cs="Arial"/>
                <w:b/>
                <w:spacing w:val="1"/>
                <w:sz w:val="18"/>
                <w:szCs w:val="18"/>
              </w:rPr>
              <w:t xml:space="preserve"> </w:t>
            </w:r>
            <w:r w:rsidRPr="00D724E5">
              <w:rPr>
                <w:rFonts w:ascii="Arial" w:hAnsi="Arial" w:cs="Arial"/>
                <w:b/>
                <w:sz w:val="18"/>
                <w:szCs w:val="18"/>
              </w:rPr>
              <w:t>ML.A.302(d)</w:t>
            </w:r>
            <w:r w:rsidRPr="00D724E5">
              <w:rPr>
                <w:rFonts w:ascii="Arial" w:hAnsi="Arial" w:cs="Arial"/>
                <w:b/>
                <w:spacing w:val="-2"/>
                <w:sz w:val="18"/>
                <w:szCs w:val="18"/>
              </w:rPr>
              <w:t xml:space="preserve"> </w:t>
            </w:r>
            <w:r w:rsidRPr="00D724E5">
              <w:rPr>
                <w:rFonts w:ascii="Arial" w:hAnsi="Arial" w:cs="Arial"/>
                <w:b/>
                <w:sz w:val="18"/>
                <w:szCs w:val="18"/>
              </w:rPr>
              <w:t>is</w:t>
            </w:r>
            <w:r w:rsidRPr="00D724E5">
              <w:rPr>
                <w:rFonts w:ascii="Arial" w:hAnsi="Arial" w:cs="Arial"/>
                <w:b/>
                <w:spacing w:val="-2"/>
                <w:sz w:val="18"/>
                <w:szCs w:val="18"/>
              </w:rPr>
              <w:t xml:space="preserve"> </w:t>
            </w:r>
            <w:r w:rsidRPr="00D724E5">
              <w:rPr>
                <w:rFonts w:ascii="Arial" w:hAnsi="Arial" w:cs="Arial"/>
                <w:b/>
                <w:sz w:val="18"/>
                <w:szCs w:val="18"/>
              </w:rPr>
              <w:t>used</w:t>
            </w:r>
            <w:r w:rsidRPr="00D724E5">
              <w:rPr>
                <w:rFonts w:ascii="Arial" w:hAnsi="Arial" w:cs="Arial"/>
                <w:b/>
                <w:spacing w:val="-3"/>
                <w:sz w:val="18"/>
                <w:szCs w:val="18"/>
              </w:rPr>
              <w:t xml:space="preserve"> </w:t>
            </w:r>
            <w:r w:rsidRPr="00D724E5">
              <w:rPr>
                <w:rFonts w:ascii="Arial" w:hAnsi="Arial" w:cs="Arial"/>
                <w:b/>
                <w:sz w:val="18"/>
                <w:szCs w:val="18"/>
              </w:rPr>
              <w:t>—</w:t>
            </w:r>
            <w:r w:rsidRPr="00D724E5">
              <w:rPr>
                <w:rFonts w:ascii="Arial" w:hAnsi="Arial" w:cs="Arial"/>
                <w:b/>
                <w:spacing w:val="-2"/>
                <w:sz w:val="18"/>
                <w:szCs w:val="18"/>
              </w:rPr>
              <w:t xml:space="preserve"> </w:t>
            </w:r>
            <w:r w:rsidRPr="00D724E5">
              <w:rPr>
                <w:rFonts w:ascii="Arial" w:hAnsi="Arial" w:cs="Arial"/>
                <w:b/>
                <w:sz w:val="18"/>
                <w:szCs w:val="18"/>
              </w:rPr>
              <w:t>see</w:t>
            </w:r>
            <w:r w:rsidRPr="00D724E5">
              <w:rPr>
                <w:rFonts w:ascii="Arial" w:hAnsi="Arial" w:cs="Arial"/>
                <w:b/>
                <w:spacing w:val="-5"/>
                <w:sz w:val="18"/>
                <w:szCs w:val="18"/>
              </w:rPr>
              <w:t xml:space="preserve"> </w:t>
            </w:r>
            <w:r w:rsidRPr="00D724E5">
              <w:rPr>
                <w:rFonts w:ascii="Arial" w:hAnsi="Arial" w:cs="Arial"/>
                <w:b/>
                <w:sz w:val="18"/>
                <w:szCs w:val="18"/>
              </w:rPr>
              <w:t>Section</w:t>
            </w:r>
            <w:r w:rsidRPr="00D724E5">
              <w:rPr>
                <w:rFonts w:ascii="Arial" w:hAnsi="Arial" w:cs="Arial"/>
                <w:b/>
                <w:spacing w:val="-2"/>
                <w:sz w:val="18"/>
                <w:szCs w:val="18"/>
              </w:rPr>
              <w:t xml:space="preserve"> </w:t>
            </w:r>
            <w:r w:rsidRPr="00D724E5">
              <w:rPr>
                <w:rFonts w:ascii="Arial" w:hAnsi="Arial" w:cs="Arial"/>
                <w:b/>
                <w:sz w:val="18"/>
                <w:szCs w:val="18"/>
              </w:rPr>
              <w:t>2</w:t>
            </w:r>
            <w:r w:rsidRPr="00D724E5">
              <w:rPr>
                <w:rFonts w:ascii="Arial" w:hAnsi="Arial" w:cs="Arial"/>
                <w:b/>
                <w:spacing w:val="-2"/>
                <w:sz w:val="18"/>
                <w:szCs w:val="18"/>
              </w:rPr>
              <w:t xml:space="preserve"> </w:t>
            </w:r>
            <w:r w:rsidRPr="00D724E5">
              <w:rPr>
                <w:rFonts w:ascii="Arial" w:hAnsi="Arial" w:cs="Arial"/>
                <w:b/>
                <w:sz w:val="18"/>
                <w:szCs w:val="18"/>
              </w:rPr>
              <w:t>above)</w:t>
            </w:r>
          </w:p>
        </w:tc>
      </w:tr>
      <w:tr w:rsidR="002A0714" w:rsidRPr="00D724E5" w14:paraId="2A7C8B86" w14:textId="77777777" w:rsidTr="002A0714">
        <w:trPr>
          <w:gridBefore w:val="1"/>
          <w:wBefore w:w="10" w:type="dxa"/>
          <w:trHeight w:val="714"/>
        </w:trPr>
        <w:tc>
          <w:tcPr>
            <w:tcW w:w="9076" w:type="dxa"/>
            <w:gridSpan w:val="9"/>
          </w:tcPr>
          <w:p w14:paraId="41CBECE0" w14:textId="77777777" w:rsidR="002A0714" w:rsidRPr="00D724E5" w:rsidRDefault="002A0714" w:rsidP="002A0714">
            <w:pPr>
              <w:pStyle w:val="TableParagraph"/>
              <w:spacing w:before="11"/>
              <w:ind w:left="0"/>
              <w:rPr>
                <w:rFonts w:ascii="Arial" w:hAnsi="Arial" w:cs="Arial"/>
                <w:sz w:val="18"/>
                <w:szCs w:val="18"/>
              </w:rPr>
            </w:pPr>
          </w:p>
          <w:p w14:paraId="474B2FFB" w14:textId="77777777" w:rsidR="002A0714" w:rsidRPr="00D724E5" w:rsidRDefault="002A0714" w:rsidP="002A0714">
            <w:pPr>
              <w:pStyle w:val="TableParagraph"/>
              <w:spacing w:before="1"/>
              <w:ind w:left="107"/>
              <w:rPr>
                <w:rFonts w:ascii="Arial" w:hAnsi="Arial" w:cs="Arial"/>
                <w:i/>
                <w:sz w:val="18"/>
                <w:szCs w:val="18"/>
              </w:rPr>
            </w:pPr>
            <w:r w:rsidRPr="00D724E5">
              <w:rPr>
                <w:rFonts w:ascii="Arial" w:hAnsi="Arial" w:cs="Arial"/>
                <w:i/>
                <w:sz w:val="18"/>
                <w:szCs w:val="18"/>
              </w:rPr>
              <w:t>Detail</w:t>
            </w:r>
            <w:r w:rsidRPr="00D724E5">
              <w:rPr>
                <w:rFonts w:ascii="Arial" w:hAnsi="Arial" w:cs="Arial"/>
                <w:i/>
                <w:spacing w:val="-2"/>
                <w:sz w:val="18"/>
                <w:szCs w:val="18"/>
              </w:rPr>
              <w:t xml:space="preserve"> </w:t>
            </w:r>
            <w:r w:rsidRPr="00D724E5">
              <w:rPr>
                <w:rFonts w:ascii="Arial" w:hAnsi="Arial" w:cs="Arial"/>
                <w:i/>
                <w:sz w:val="18"/>
                <w:szCs w:val="18"/>
              </w:rPr>
              <w:t>the</w:t>
            </w:r>
            <w:r w:rsidRPr="00D724E5">
              <w:rPr>
                <w:rFonts w:ascii="Arial" w:hAnsi="Arial" w:cs="Arial"/>
                <w:i/>
                <w:spacing w:val="-2"/>
                <w:sz w:val="18"/>
                <w:szCs w:val="18"/>
              </w:rPr>
              <w:t xml:space="preserve"> </w:t>
            </w:r>
            <w:r w:rsidRPr="00D724E5">
              <w:rPr>
                <w:rFonts w:ascii="Arial" w:hAnsi="Arial" w:cs="Arial"/>
                <w:i/>
                <w:sz w:val="18"/>
                <w:szCs w:val="18"/>
              </w:rPr>
              <w:t>tasks</w:t>
            </w:r>
            <w:r w:rsidRPr="00D724E5">
              <w:rPr>
                <w:rFonts w:ascii="Arial" w:hAnsi="Arial" w:cs="Arial"/>
                <w:i/>
                <w:spacing w:val="-3"/>
                <w:sz w:val="18"/>
                <w:szCs w:val="18"/>
              </w:rPr>
              <w:t xml:space="preserve"> </w:t>
            </w:r>
            <w:r w:rsidRPr="00D724E5">
              <w:rPr>
                <w:rFonts w:ascii="Arial" w:hAnsi="Arial" w:cs="Arial"/>
                <w:i/>
                <w:sz w:val="18"/>
                <w:szCs w:val="18"/>
              </w:rPr>
              <w:t>and</w:t>
            </w:r>
            <w:r w:rsidRPr="00D724E5">
              <w:rPr>
                <w:rFonts w:ascii="Arial" w:hAnsi="Arial" w:cs="Arial"/>
                <w:i/>
                <w:spacing w:val="-1"/>
                <w:sz w:val="18"/>
                <w:szCs w:val="18"/>
              </w:rPr>
              <w:t xml:space="preserve"> </w:t>
            </w:r>
            <w:r w:rsidRPr="00D724E5">
              <w:rPr>
                <w:rFonts w:ascii="Arial" w:hAnsi="Arial" w:cs="Arial"/>
                <w:i/>
                <w:sz w:val="18"/>
                <w:szCs w:val="18"/>
              </w:rPr>
              <w:t>inspections</w:t>
            </w:r>
            <w:r w:rsidRPr="00D724E5">
              <w:rPr>
                <w:rFonts w:ascii="Arial" w:hAnsi="Arial" w:cs="Arial"/>
                <w:i/>
                <w:spacing w:val="-3"/>
                <w:sz w:val="18"/>
                <w:szCs w:val="18"/>
              </w:rPr>
              <w:t xml:space="preserve"> </w:t>
            </w:r>
            <w:r w:rsidRPr="00D724E5">
              <w:rPr>
                <w:rFonts w:ascii="Arial" w:hAnsi="Arial" w:cs="Arial"/>
                <w:i/>
                <w:sz w:val="18"/>
                <w:szCs w:val="18"/>
              </w:rPr>
              <w:t>contained</w:t>
            </w:r>
            <w:r w:rsidRPr="00D724E5">
              <w:rPr>
                <w:rFonts w:ascii="Arial" w:hAnsi="Arial" w:cs="Arial"/>
                <w:i/>
                <w:spacing w:val="-2"/>
                <w:sz w:val="18"/>
                <w:szCs w:val="18"/>
              </w:rPr>
              <w:t xml:space="preserve"> </w:t>
            </w:r>
            <w:r w:rsidRPr="00D724E5">
              <w:rPr>
                <w:rFonts w:ascii="Arial" w:hAnsi="Arial" w:cs="Arial"/>
                <w:i/>
                <w:sz w:val="18"/>
                <w:szCs w:val="18"/>
              </w:rPr>
              <w:t>in</w:t>
            </w:r>
            <w:r w:rsidRPr="00D724E5">
              <w:rPr>
                <w:rFonts w:ascii="Arial" w:hAnsi="Arial" w:cs="Arial"/>
                <w:i/>
                <w:spacing w:val="-3"/>
                <w:sz w:val="18"/>
                <w:szCs w:val="18"/>
              </w:rPr>
              <w:t xml:space="preserve"> </w:t>
            </w:r>
            <w:r w:rsidRPr="00D724E5">
              <w:rPr>
                <w:rFonts w:ascii="Arial" w:hAnsi="Arial" w:cs="Arial"/>
                <w:i/>
                <w:sz w:val="18"/>
                <w:szCs w:val="18"/>
              </w:rPr>
              <w:t>the</w:t>
            </w:r>
            <w:r w:rsidRPr="00D724E5">
              <w:rPr>
                <w:rFonts w:ascii="Arial" w:hAnsi="Arial" w:cs="Arial"/>
                <w:i/>
                <w:spacing w:val="-2"/>
                <w:sz w:val="18"/>
                <w:szCs w:val="18"/>
              </w:rPr>
              <w:t xml:space="preserve"> </w:t>
            </w:r>
            <w:r w:rsidRPr="00D724E5">
              <w:rPr>
                <w:rFonts w:ascii="Arial" w:hAnsi="Arial" w:cs="Arial"/>
                <w:i/>
                <w:sz w:val="18"/>
                <w:szCs w:val="18"/>
              </w:rPr>
              <w:t>MIP</w:t>
            </w:r>
            <w:r w:rsidRPr="00D724E5">
              <w:rPr>
                <w:rFonts w:ascii="Arial" w:hAnsi="Arial" w:cs="Arial"/>
                <w:i/>
                <w:spacing w:val="-2"/>
                <w:sz w:val="18"/>
                <w:szCs w:val="18"/>
              </w:rPr>
              <w:t xml:space="preserve"> </w:t>
            </w:r>
            <w:r w:rsidRPr="00D724E5">
              <w:rPr>
                <w:rFonts w:ascii="Arial" w:hAnsi="Arial" w:cs="Arial"/>
                <w:i/>
                <w:sz w:val="18"/>
                <w:szCs w:val="18"/>
              </w:rPr>
              <w:t>being</w:t>
            </w:r>
            <w:r w:rsidRPr="00D724E5">
              <w:rPr>
                <w:rFonts w:ascii="Arial" w:hAnsi="Arial" w:cs="Arial"/>
                <w:i/>
                <w:spacing w:val="-3"/>
                <w:sz w:val="18"/>
                <w:szCs w:val="18"/>
              </w:rPr>
              <w:t xml:space="preserve"> </w:t>
            </w:r>
            <w:r w:rsidRPr="00D724E5">
              <w:rPr>
                <w:rFonts w:ascii="Arial" w:hAnsi="Arial" w:cs="Arial"/>
                <w:i/>
                <w:sz w:val="18"/>
                <w:szCs w:val="18"/>
              </w:rPr>
              <w:t>used.</w:t>
            </w:r>
          </w:p>
        </w:tc>
      </w:tr>
      <w:tr w:rsidR="002A0714" w:rsidRPr="00D724E5" w14:paraId="4358E1C6" w14:textId="77777777" w:rsidTr="008C2414">
        <w:trPr>
          <w:gridBefore w:val="1"/>
          <w:wBefore w:w="10" w:type="dxa"/>
          <w:trHeight w:val="561"/>
        </w:trPr>
        <w:tc>
          <w:tcPr>
            <w:tcW w:w="9076" w:type="dxa"/>
            <w:gridSpan w:val="9"/>
            <w:shd w:val="clear" w:color="auto" w:fill="F2F2F2" w:themeFill="background1" w:themeFillShade="F2"/>
          </w:tcPr>
          <w:p w14:paraId="07015745" w14:textId="77777777" w:rsidR="002A0714" w:rsidRPr="00D724E5" w:rsidRDefault="002A0714" w:rsidP="008C2414">
            <w:pPr>
              <w:pStyle w:val="TableParagraph"/>
              <w:shd w:val="clear" w:color="auto" w:fill="F2F2F2" w:themeFill="background1" w:themeFillShade="F2"/>
              <w:spacing w:line="243" w:lineRule="exact"/>
              <w:ind w:left="860" w:right="859"/>
              <w:jc w:val="center"/>
              <w:rPr>
                <w:rFonts w:ascii="Arial" w:hAnsi="Arial" w:cs="Arial"/>
                <w:b/>
                <w:sz w:val="18"/>
                <w:szCs w:val="18"/>
              </w:rPr>
            </w:pPr>
            <w:r w:rsidRPr="00D724E5">
              <w:rPr>
                <w:rFonts w:ascii="Arial" w:hAnsi="Arial" w:cs="Arial"/>
                <w:b/>
                <w:sz w:val="18"/>
                <w:szCs w:val="18"/>
              </w:rPr>
              <w:t>Appendix</w:t>
            </w:r>
            <w:r w:rsidRPr="00D724E5">
              <w:rPr>
                <w:rFonts w:ascii="Arial" w:hAnsi="Arial" w:cs="Arial"/>
                <w:b/>
                <w:spacing w:val="-3"/>
                <w:sz w:val="18"/>
                <w:szCs w:val="18"/>
              </w:rPr>
              <w:t xml:space="preserve"> </w:t>
            </w:r>
            <w:r w:rsidRPr="00D724E5">
              <w:rPr>
                <w:rFonts w:ascii="Arial" w:hAnsi="Arial" w:cs="Arial"/>
                <w:b/>
                <w:sz w:val="18"/>
                <w:szCs w:val="18"/>
              </w:rPr>
              <w:t>B</w:t>
            </w:r>
            <w:r w:rsidRPr="00D724E5">
              <w:rPr>
                <w:rFonts w:ascii="Arial" w:hAnsi="Arial" w:cs="Arial"/>
                <w:b/>
                <w:spacing w:val="-2"/>
                <w:sz w:val="18"/>
                <w:szCs w:val="18"/>
              </w:rPr>
              <w:t xml:space="preserve"> </w:t>
            </w:r>
            <w:r w:rsidRPr="00D724E5">
              <w:rPr>
                <w:rFonts w:ascii="Arial" w:hAnsi="Arial" w:cs="Arial"/>
                <w:b/>
                <w:sz w:val="18"/>
                <w:szCs w:val="18"/>
              </w:rPr>
              <w:t>—</w:t>
            </w:r>
            <w:r w:rsidRPr="00D724E5">
              <w:rPr>
                <w:rFonts w:ascii="Arial" w:hAnsi="Arial" w:cs="Arial"/>
                <w:b/>
                <w:spacing w:val="-3"/>
                <w:sz w:val="18"/>
                <w:szCs w:val="18"/>
              </w:rPr>
              <w:t xml:space="preserve"> </w:t>
            </w:r>
            <w:r w:rsidRPr="00D724E5">
              <w:rPr>
                <w:rFonts w:ascii="Arial" w:hAnsi="Arial" w:cs="Arial"/>
                <w:b/>
                <w:sz w:val="18"/>
                <w:szCs w:val="18"/>
              </w:rPr>
              <w:t>Additional</w:t>
            </w:r>
            <w:r w:rsidRPr="00D724E5">
              <w:rPr>
                <w:rFonts w:ascii="Arial" w:hAnsi="Arial" w:cs="Arial"/>
                <w:b/>
                <w:spacing w:val="-5"/>
                <w:sz w:val="18"/>
                <w:szCs w:val="18"/>
              </w:rPr>
              <w:t xml:space="preserve"> </w:t>
            </w:r>
            <w:r w:rsidRPr="00D724E5">
              <w:rPr>
                <w:rFonts w:ascii="Arial" w:hAnsi="Arial" w:cs="Arial"/>
                <w:b/>
                <w:sz w:val="18"/>
                <w:szCs w:val="18"/>
              </w:rPr>
              <w:t>maintenance</w:t>
            </w:r>
            <w:r w:rsidRPr="00D724E5">
              <w:rPr>
                <w:rFonts w:ascii="Arial" w:hAnsi="Arial" w:cs="Arial"/>
                <w:b/>
                <w:spacing w:val="-5"/>
                <w:sz w:val="18"/>
                <w:szCs w:val="18"/>
              </w:rPr>
              <w:t xml:space="preserve"> </w:t>
            </w:r>
            <w:r w:rsidRPr="00D724E5">
              <w:rPr>
                <w:rFonts w:ascii="Arial" w:hAnsi="Arial" w:cs="Arial"/>
                <w:b/>
                <w:sz w:val="18"/>
                <w:szCs w:val="18"/>
              </w:rPr>
              <w:t>requirements</w:t>
            </w:r>
          </w:p>
          <w:p w14:paraId="597D9F66" w14:textId="77777777" w:rsidR="002A0714" w:rsidRPr="00D724E5" w:rsidRDefault="002A0714" w:rsidP="002A0714">
            <w:pPr>
              <w:pStyle w:val="TableParagraph"/>
              <w:spacing w:before="120" w:line="178" w:lineRule="exact"/>
              <w:ind w:left="860" w:right="851"/>
              <w:jc w:val="center"/>
              <w:rPr>
                <w:rFonts w:ascii="Arial" w:hAnsi="Arial" w:cs="Arial"/>
                <w:b/>
                <w:sz w:val="18"/>
                <w:szCs w:val="18"/>
              </w:rPr>
            </w:pPr>
            <w:r w:rsidRPr="008C2414">
              <w:rPr>
                <w:rFonts w:ascii="Arial" w:hAnsi="Arial" w:cs="Arial"/>
                <w:b/>
                <w:sz w:val="18"/>
                <w:szCs w:val="18"/>
                <w:shd w:val="clear" w:color="auto" w:fill="F2F2F2" w:themeFill="background1" w:themeFillShade="F2"/>
              </w:rPr>
              <w:t>(include</w:t>
            </w:r>
            <w:r w:rsidRPr="008C2414">
              <w:rPr>
                <w:rFonts w:ascii="Arial" w:hAnsi="Arial" w:cs="Arial"/>
                <w:b/>
                <w:spacing w:val="-2"/>
                <w:sz w:val="18"/>
                <w:szCs w:val="18"/>
                <w:shd w:val="clear" w:color="auto" w:fill="F2F2F2" w:themeFill="background1" w:themeFillShade="F2"/>
              </w:rPr>
              <w:t xml:space="preserve"> </w:t>
            </w:r>
            <w:r w:rsidRPr="008C2414">
              <w:rPr>
                <w:rFonts w:ascii="Arial" w:hAnsi="Arial" w:cs="Arial"/>
                <w:b/>
                <w:sz w:val="18"/>
                <w:szCs w:val="18"/>
                <w:shd w:val="clear" w:color="auto" w:fill="F2F2F2" w:themeFill="background1" w:themeFillShade="F2"/>
              </w:rPr>
              <w:t>only</w:t>
            </w:r>
            <w:r w:rsidRPr="008C2414">
              <w:rPr>
                <w:rFonts w:ascii="Arial" w:hAnsi="Arial" w:cs="Arial"/>
                <w:b/>
                <w:spacing w:val="-1"/>
                <w:sz w:val="18"/>
                <w:szCs w:val="18"/>
                <w:shd w:val="clear" w:color="auto" w:fill="F2F2F2" w:themeFill="background1" w:themeFillShade="F2"/>
              </w:rPr>
              <w:t xml:space="preserve"> </w:t>
            </w:r>
            <w:r w:rsidRPr="008C2414">
              <w:rPr>
                <w:rFonts w:ascii="Arial" w:hAnsi="Arial" w:cs="Arial"/>
                <w:b/>
                <w:sz w:val="18"/>
                <w:szCs w:val="18"/>
                <w:shd w:val="clear" w:color="auto" w:fill="F2F2F2" w:themeFill="background1" w:themeFillShade="F2"/>
              </w:rPr>
              <w:t>if</w:t>
            </w:r>
            <w:r w:rsidRPr="008C2414">
              <w:rPr>
                <w:rFonts w:ascii="Arial" w:hAnsi="Arial" w:cs="Arial"/>
                <w:b/>
                <w:spacing w:val="-2"/>
                <w:sz w:val="18"/>
                <w:szCs w:val="18"/>
                <w:shd w:val="clear" w:color="auto" w:fill="F2F2F2" w:themeFill="background1" w:themeFillShade="F2"/>
              </w:rPr>
              <w:t xml:space="preserve"> </w:t>
            </w:r>
            <w:r w:rsidRPr="008C2414">
              <w:rPr>
                <w:rFonts w:ascii="Arial" w:hAnsi="Arial" w:cs="Arial"/>
                <w:b/>
                <w:sz w:val="18"/>
                <w:szCs w:val="18"/>
                <w:shd w:val="clear" w:color="auto" w:fill="F2F2F2" w:themeFill="background1" w:themeFillShade="F2"/>
              </w:rPr>
              <w:t>necessary</w:t>
            </w:r>
            <w:r w:rsidRPr="008C2414">
              <w:rPr>
                <w:rFonts w:ascii="Arial" w:hAnsi="Arial" w:cs="Arial"/>
                <w:b/>
                <w:spacing w:val="-3"/>
                <w:sz w:val="18"/>
                <w:szCs w:val="18"/>
                <w:shd w:val="clear" w:color="auto" w:fill="F2F2F2" w:themeFill="background1" w:themeFillShade="F2"/>
              </w:rPr>
              <w:t xml:space="preserve"> </w:t>
            </w:r>
            <w:r w:rsidRPr="008C2414">
              <w:rPr>
                <w:rFonts w:ascii="Arial" w:hAnsi="Arial" w:cs="Arial"/>
                <w:b/>
                <w:sz w:val="18"/>
                <w:szCs w:val="18"/>
                <w:shd w:val="clear" w:color="auto" w:fill="F2F2F2" w:themeFill="background1" w:themeFillShade="F2"/>
              </w:rPr>
              <w:t>—</w:t>
            </w:r>
            <w:r w:rsidRPr="008C2414">
              <w:rPr>
                <w:rFonts w:ascii="Arial" w:hAnsi="Arial" w:cs="Arial"/>
                <w:b/>
                <w:spacing w:val="-1"/>
                <w:sz w:val="18"/>
                <w:szCs w:val="18"/>
                <w:shd w:val="clear" w:color="auto" w:fill="F2F2F2" w:themeFill="background1" w:themeFillShade="F2"/>
              </w:rPr>
              <w:t xml:space="preserve"> </w:t>
            </w:r>
            <w:r w:rsidRPr="008C2414">
              <w:rPr>
                <w:rFonts w:ascii="Arial" w:hAnsi="Arial" w:cs="Arial"/>
                <w:b/>
                <w:sz w:val="18"/>
                <w:szCs w:val="18"/>
                <w:shd w:val="clear" w:color="auto" w:fill="F2F2F2" w:themeFill="background1" w:themeFillShade="F2"/>
              </w:rPr>
              <w:t>see</w:t>
            </w:r>
            <w:r w:rsidRPr="008C2414">
              <w:rPr>
                <w:rFonts w:ascii="Arial" w:hAnsi="Arial" w:cs="Arial"/>
                <w:b/>
                <w:spacing w:val="-2"/>
                <w:sz w:val="18"/>
                <w:szCs w:val="18"/>
                <w:shd w:val="clear" w:color="auto" w:fill="F2F2F2" w:themeFill="background1" w:themeFillShade="F2"/>
              </w:rPr>
              <w:t xml:space="preserve"> </w:t>
            </w:r>
            <w:r w:rsidRPr="008C2414">
              <w:rPr>
                <w:rFonts w:ascii="Arial" w:hAnsi="Arial" w:cs="Arial"/>
                <w:b/>
                <w:sz w:val="18"/>
                <w:szCs w:val="18"/>
                <w:shd w:val="clear" w:color="auto" w:fill="F2F2F2" w:themeFill="background1" w:themeFillShade="F2"/>
              </w:rPr>
              <w:t>Section 4</w:t>
            </w:r>
            <w:r w:rsidRPr="008C2414">
              <w:rPr>
                <w:rFonts w:ascii="Arial" w:hAnsi="Arial" w:cs="Arial"/>
                <w:b/>
                <w:spacing w:val="-1"/>
                <w:sz w:val="18"/>
                <w:szCs w:val="18"/>
                <w:shd w:val="clear" w:color="auto" w:fill="F2F2F2" w:themeFill="background1" w:themeFillShade="F2"/>
              </w:rPr>
              <w:t xml:space="preserve"> </w:t>
            </w:r>
            <w:r w:rsidRPr="008C2414">
              <w:rPr>
                <w:rFonts w:ascii="Arial" w:hAnsi="Arial" w:cs="Arial"/>
                <w:b/>
                <w:sz w:val="18"/>
                <w:szCs w:val="18"/>
                <w:shd w:val="clear" w:color="auto" w:fill="F2F2F2" w:themeFill="background1" w:themeFillShade="F2"/>
              </w:rPr>
              <w:t>above)</w:t>
            </w:r>
          </w:p>
        </w:tc>
      </w:tr>
      <w:tr w:rsidR="002A0714" w:rsidRPr="00D724E5" w14:paraId="1AF8DC5D" w14:textId="77777777" w:rsidTr="002A0714">
        <w:trPr>
          <w:gridBefore w:val="1"/>
          <w:wBefore w:w="10" w:type="dxa"/>
          <w:trHeight w:val="1951"/>
        </w:trPr>
        <w:tc>
          <w:tcPr>
            <w:tcW w:w="9076" w:type="dxa"/>
            <w:gridSpan w:val="9"/>
          </w:tcPr>
          <w:p w14:paraId="43DA3AFA" w14:textId="77777777" w:rsidR="002A0714" w:rsidRPr="00D724E5" w:rsidRDefault="002A0714" w:rsidP="003E687E">
            <w:pPr>
              <w:pStyle w:val="TableParagraph"/>
              <w:ind w:left="107" w:right="159"/>
              <w:jc w:val="both"/>
              <w:rPr>
                <w:rFonts w:ascii="Arial" w:hAnsi="Arial" w:cs="Arial"/>
                <w:i/>
                <w:sz w:val="18"/>
                <w:szCs w:val="18"/>
              </w:rPr>
            </w:pPr>
            <w:r w:rsidRPr="00D724E5">
              <w:rPr>
                <w:rFonts w:ascii="Arial" w:hAnsi="Arial" w:cs="Arial"/>
                <w:i/>
                <w:sz w:val="18"/>
                <w:szCs w:val="18"/>
              </w:rPr>
              <w:t>This</w:t>
            </w:r>
            <w:r w:rsidRPr="00D724E5">
              <w:rPr>
                <w:rFonts w:ascii="Arial" w:hAnsi="Arial" w:cs="Arial"/>
                <w:i/>
                <w:spacing w:val="-4"/>
                <w:sz w:val="18"/>
                <w:szCs w:val="18"/>
              </w:rPr>
              <w:t xml:space="preserve"> </w:t>
            </w:r>
            <w:r w:rsidRPr="00D724E5">
              <w:rPr>
                <w:rFonts w:ascii="Arial" w:hAnsi="Arial" w:cs="Arial"/>
                <w:i/>
                <w:sz w:val="18"/>
                <w:szCs w:val="18"/>
              </w:rPr>
              <w:t>appendix</w:t>
            </w:r>
            <w:r w:rsidRPr="00D724E5">
              <w:rPr>
                <w:rFonts w:ascii="Arial" w:hAnsi="Arial" w:cs="Arial"/>
                <w:i/>
                <w:spacing w:val="-1"/>
                <w:sz w:val="18"/>
                <w:szCs w:val="18"/>
              </w:rPr>
              <w:t xml:space="preserve"> </w:t>
            </w:r>
            <w:r w:rsidRPr="00D724E5">
              <w:rPr>
                <w:rFonts w:ascii="Arial" w:hAnsi="Arial" w:cs="Arial"/>
                <w:i/>
                <w:sz w:val="18"/>
                <w:szCs w:val="18"/>
              </w:rPr>
              <w:t>is</w:t>
            </w:r>
            <w:r w:rsidRPr="00D724E5">
              <w:rPr>
                <w:rFonts w:ascii="Arial" w:hAnsi="Arial" w:cs="Arial"/>
                <w:i/>
                <w:spacing w:val="-2"/>
                <w:sz w:val="18"/>
                <w:szCs w:val="18"/>
              </w:rPr>
              <w:t xml:space="preserve"> </w:t>
            </w:r>
            <w:r w:rsidRPr="00D724E5">
              <w:rPr>
                <w:rFonts w:ascii="Arial" w:hAnsi="Arial" w:cs="Arial"/>
                <w:i/>
                <w:sz w:val="18"/>
                <w:szCs w:val="18"/>
              </w:rPr>
              <w:t>supposed</w:t>
            </w:r>
            <w:r w:rsidRPr="00D724E5">
              <w:rPr>
                <w:rFonts w:ascii="Arial" w:hAnsi="Arial" w:cs="Arial"/>
                <w:i/>
                <w:spacing w:val="-1"/>
                <w:sz w:val="18"/>
                <w:szCs w:val="18"/>
              </w:rPr>
              <w:t xml:space="preserve"> </w:t>
            </w:r>
            <w:r w:rsidRPr="00D724E5">
              <w:rPr>
                <w:rFonts w:ascii="Arial" w:hAnsi="Arial" w:cs="Arial"/>
                <w:i/>
                <w:sz w:val="18"/>
                <w:szCs w:val="18"/>
              </w:rPr>
              <w:t>to</w:t>
            </w:r>
            <w:r w:rsidRPr="00D724E5">
              <w:rPr>
                <w:rFonts w:ascii="Arial" w:hAnsi="Arial" w:cs="Arial"/>
                <w:i/>
                <w:spacing w:val="-2"/>
                <w:sz w:val="18"/>
                <w:szCs w:val="18"/>
              </w:rPr>
              <w:t xml:space="preserve"> </w:t>
            </w:r>
            <w:r w:rsidRPr="00D724E5">
              <w:rPr>
                <w:rFonts w:ascii="Arial" w:hAnsi="Arial" w:cs="Arial"/>
                <w:i/>
                <w:sz w:val="18"/>
                <w:szCs w:val="18"/>
              </w:rPr>
              <w:t>include</w:t>
            </w:r>
            <w:r w:rsidRPr="00D724E5">
              <w:rPr>
                <w:rFonts w:ascii="Arial" w:hAnsi="Arial" w:cs="Arial"/>
                <w:i/>
                <w:spacing w:val="-1"/>
                <w:sz w:val="18"/>
                <w:szCs w:val="18"/>
              </w:rPr>
              <w:t xml:space="preserve"> </w:t>
            </w:r>
            <w:r w:rsidRPr="00D724E5">
              <w:rPr>
                <w:rFonts w:ascii="Arial" w:hAnsi="Arial" w:cs="Arial"/>
                <w:i/>
                <w:sz w:val="18"/>
                <w:szCs w:val="18"/>
              </w:rPr>
              <w:t>only</w:t>
            </w:r>
            <w:r w:rsidRPr="00D724E5">
              <w:rPr>
                <w:rFonts w:ascii="Arial" w:hAnsi="Arial" w:cs="Arial"/>
                <w:i/>
                <w:spacing w:val="-2"/>
                <w:sz w:val="18"/>
                <w:szCs w:val="18"/>
              </w:rPr>
              <w:t xml:space="preserve"> </w:t>
            </w:r>
            <w:r w:rsidRPr="00D724E5">
              <w:rPr>
                <w:rFonts w:ascii="Arial" w:hAnsi="Arial" w:cs="Arial"/>
                <w:i/>
                <w:sz w:val="18"/>
                <w:szCs w:val="18"/>
              </w:rPr>
              <w:t>the</w:t>
            </w:r>
            <w:r w:rsidRPr="00D724E5">
              <w:rPr>
                <w:rFonts w:ascii="Arial" w:hAnsi="Arial" w:cs="Arial"/>
                <w:i/>
                <w:spacing w:val="-1"/>
                <w:sz w:val="18"/>
                <w:szCs w:val="18"/>
              </w:rPr>
              <w:t xml:space="preserve"> </w:t>
            </w:r>
            <w:r w:rsidRPr="00D724E5">
              <w:rPr>
                <w:rFonts w:ascii="Arial" w:hAnsi="Arial" w:cs="Arial"/>
                <w:i/>
                <w:sz w:val="18"/>
                <w:szCs w:val="18"/>
              </w:rPr>
              <w:t>tasks</w:t>
            </w:r>
            <w:r w:rsidRPr="00D724E5">
              <w:rPr>
                <w:rFonts w:ascii="Arial" w:hAnsi="Arial" w:cs="Arial"/>
                <w:i/>
                <w:spacing w:val="-3"/>
                <w:sz w:val="18"/>
                <w:szCs w:val="18"/>
              </w:rPr>
              <w:t xml:space="preserve"> </w:t>
            </w:r>
            <w:r w:rsidRPr="00D724E5">
              <w:rPr>
                <w:rFonts w:ascii="Arial" w:hAnsi="Arial" w:cs="Arial"/>
                <w:i/>
                <w:sz w:val="18"/>
                <w:szCs w:val="18"/>
              </w:rPr>
              <w:t>which</w:t>
            </w:r>
            <w:r w:rsidRPr="00D724E5">
              <w:rPr>
                <w:rFonts w:ascii="Arial" w:hAnsi="Arial" w:cs="Arial"/>
                <w:i/>
                <w:spacing w:val="-1"/>
                <w:sz w:val="18"/>
                <w:szCs w:val="18"/>
              </w:rPr>
              <w:t xml:space="preserve"> </w:t>
            </w:r>
            <w:r w:rsidRPr="00D724E5">
              <w:rPr>
                <w:rFonts w:ascii="Arial" w:hAnsi="Arial" w:cs="Arial"/>
                <w:i/>
                <w:sz w:val="18"/>
                <w:szCs w:val="18"/>
              </w:rPr>
              <w:t>are</w:t>
            </w:r>
            <w:r w:rsidRPr="00D724E5">
              <w:rPr>
                <w:rFonts w:ascii="Arial" w:hAnsi="Arial" w:cs="Arial"/>
                <w:i/>
                <w:spacing w:val="-1"/>
                <w:sz w:val="18"/>
                <w:szCs w:val="18"/>
              </w:rPr>
              <w:t xml:space="preserve"> </w:t>
            </w:r>
            <w:r w:rsidRPr="00D724E5">
              <w:rPr>
                <w:rFonts w:ascii="Arial" w:hAnsi="Arial" w:cs="Arial"/>
                <w:i/>
                <w:sz w:val="18"/>
                <w:szCs w:val="18"/>
              </w:rPr>
              <w:t>included</w:t>
            </w:r>
            <w:r w:rsidRPr="00D724E5">
              <w:rPr>
                <w:rFonts w:ascii="Arial" w:hAnsi="Arial" w:cs="Arial"/>
                <w:i/>
                <w:spacing w:val="-2"/>
                <w:sz w:val="18"/>
                <w:szCs w:val="18"/>
              </w:rPr>
              <w:t xml:space="preserve"> </w:t>
            </w:r>
            <w:r w:rsidRPr="00D724E5">
              <w:rPr>
                <w:rFonts w:ascii="Arial" w:hAnsi="Arial" w:cs="Arial"/>
                <w:i/>
                <w:sz w:val="18"/>
                <w:szCs w:val="18"/>
              </w:rPr>
              <w:t>in</w:t>
            </w:r>
            <w:r w:rsidRPr="00D724E5">
              <w:rPr>
                <w:rFonts w:ascii="Arial" w:hAnsi="Arial" w:cs="Arial"/>
                <w:i/>
                <w:spacing w:val="-3"/>
                <w:sz w:val="18"/>
                <w:szCs w:val="18"/>
              </w:rPr>
              <w:t xml:space="preserve"> </w:t>
            </w:r>
            <w:r w:rsidRPr="00D724E5">
              <w:rPr>
                <w:rFonts w:ascii="Arial" w:hAnsi="Arial" w:cs="Arial"/>
                <w:i/>
                <w:sz w:val="18"/>
                <w:szCs w:val="18"/>
              </w:rPr>
              <w:t>the</w:t>
            </w:r>
            <w:r w:rsidRPr="00D724E5">
              <w:rPr>
                <w:rFonts w:ascii="Arial" w:hAnsi="Arial" w:cs="Arial"/>
                <w:i/>
                <w:spacing w:val="-2"/>
                <w:sz w:val="18"/>
                <w:szCs w:val="18"/>
              </w:rPr>
              <w:t xml:space="preserve"> </w:t>
            </w:r>
            <w:r w:rsidRPr="00D724E5">
              <w:rPr>
                <w:rFonts w:ascii="Arial" w:hAnsi="Arial" w:cs="Arial"/>
                <w:i/>
                <w:sz w:val="18"/>
                <w:szCs w:val="18"/>
              </w:rPr>
              <w:t>AMP,</w:t>
            </w:r>
            <w:r w:rsidRPr="00D724E5">
              <w:rPr>
                <w:rFonts w:ascii="Arial" w:hAnsi="Arial" w:cs="Arial"/>
                <w:i/>
                <w:spacing w:val="-1"/>
                <w:sz w:val="18"/>
                <w:szCs w:val="18"/>
              </w:rPr>
              <w:t xml:space="preserve"> </w:t>
            </w:r>
            <w:r w:rsidRPr="00D724E5">
              <w:rPr>
                <w:rFonts w:ascii="Arial" w:hAnsi="Arial" w:cs="Arial"/>
                <w:i/>
                <w:sz w:val="18"/>
                <w:szCs w:val="18"/>
              </w:rPr>
              <w:t>either</w:t>
            </w:r>
            <w:r w:rsidRPr="00D724E5">
              <w:rPr>
                <w:rFonts w:ascii="Arial" w:hAnsi="Arial" w:cs="Arial"/>
                <w:i/>
                <w:spacing w:val="-4"/>
                <w:sz w:val="18"/>
                <w:szCs w:val="18"/>
              </w:rPr>
              <w:t xml:space="preserve"> </w:t>
            </w:r>
            <w:r w:rsidRPr="00D724E5">
              <w:rPr>
                <w:rFonts w:ascii="Arial" w:hAnsi="Arial" w:cs="Arial"/>
                <w:i/>
                <w:sz w:val="18"/>
                <w:szCs w:val="18"/>
              </w:rPr>
              <w:t>at</w:t>
            </w:r>
            <w:r w:rsidRPr="00D724E5">
              <w:rPr>
                <w:rFonts w:ascii="Arial" w:hAnsi="Arial" w:cs="Arial"/>
                <w:i/>
                <w:spacing w:val="-1"/>
                <w:sz w:val="18"/>
                <w:szCs w:val="18"/>
              </w:rPr>
              <w:t xml:space="preserve"> </w:t>
            </w:r>
            <w:r w:rsidRPr="00D724E5">
              <w:rPr>
                <w:rFonts w:ascii="Arial" w:hAnsi="Arial" w:cs="Arial"/>
                <w:i/>
                <w:sz w:val="18"/>
                <w:szCs w:val="18"/>
              </w:rPr>
              <w:t>the</w:t>
            </w:r>
            <w:r w:rsidRPr="00D724E5">
              <w:rPr>
                <w:rFonts w:ascii="Arial" w:hAnsi="Arial" w:cs="Arial"/>
                <w:i/>
                <w:spacing w:val="-42"/>
                <w:sz w:val="18"/>
                <w:szCs w:val="18"/>
              </w:rPr>
              <w:t xml:space="preserve"> </w:t>
            </w:r>
            <w:r w:rsidRPr="00D724E5">
              <w:rPr>
                <w:rFonts w:ascii="Arial" w:hAnsi="Arial" w:cs="Arial"/>
                <w:i/>
                <w:sz w:val="18"/>
                <w:szCs w:val="18"/>
              </w:rPr>
              <w:t>recommended</w:t>
            </w:r>
            <w:r w:rsidRPr="00D724E5">
              <w:rPr>
                <w:rFonts w:ascii="Arial" w:hAnsi="Arial" w:cs="Arial"/>
                <w:i/>
                <w:spacing w:val="-1"/>
                <w:sz w:val="18"/>
                <w:szCs w:val="18"/>
              </w:rPr>
              <w:t xml:space="preserve"> </w:t>
            </w:r>
            <w:r w:rsidRPr="00D724E5">
              <w:rPr>
                <w:rFonts w:ascii="Arial" w:hAnsi="Arial" w:cs="Arial"/>
                <w:i/>
                <w:sz w:val="18"/>
                <w:szCs w:val="18"/>
              </w:rPr>
              <w:t>interval</w:t>
            </w:r>
            <w:r w:rsidRPr="00D724E5">
              <w:rPr>
                <w:rFonts w:ascii="Arial" w:hAnsi="Arial" w:cs="Arial"/>
                <w:i/>
                <w:spacing w:val="2"/>
                <w:sz w:val="18"/>
                <w:szCs w:val="18"/>
              </w:rPr>
              <w:t xml:space="preserve"> </w:t>
            </w:r>
            <w:r w:rsidRPr="00D724E5">
              <w:rPr>
                <w:rFonts w:ascii="Arial" w:hAnsi="Arial" w:cs="Arial"/>
                <w:i/>
                <w:sz w:val="18"/>
                <w:szCs w:val="18"/>
              </w:rPr>
              <w:t>or</w:t>
            </w:r>
            <w:r w:rsidRPr="00D724E5">
              <w:rPr>
                <w:rFonts w:ascii="Arial" w:hAnsi="Arial" w:cs="Arial"/>
                <w:i/>
                <w:spacing w:val="-2"/>
                <w:sz w:val="18"/>
                <w:szCs w:val="18"/>
              </w:rPr>
              <w:t xml:space="preserve"> </w:t>
            </w:r>
            <w:r w:rsidRPr="00D724E5">
              <w:rPr>
                <w:rFonts w:ascii="Arial" w:hAnsi="Arial" w:cs="Arial"/>
                <w:i/>
                <w:sz w:val="18"/>
                <w:szCs w:val="18"/>
              </w:rPr>
              <w:t>at a</w:t>
            </w:r>
            <w:r w:rsidRPr="00D724E5">
              <w:rPr>
                <w:rFonts w:ascii="Arial" w:hAnsi="Arial" w:cs="Arial"/>
                <w:i/>
                <w:spacing w:val="-3"/>
                <w:sz w:val="18"/>
                <w:szCs w:val="18"/>
              </w:rPr>
              <w:t xml:space="preserve"> </w:t>
            </w:r>
            <w:r w:rsidRPr="00D724E5">
              <w:rPr>
                <w:rFonts w:ascii="Arial" w:hAnsi="Arial" w:cs="Arial"/>
                <w:i/>
                <w:sz w:val="18"/>
                <w:szCs w:val="18"/>
              </w:rPr>
              <w:t>different one.</w:t>
            </w:r>
          </w:p>
          <w:p w14:paraId="26155EB1" w14:textId="77777777" w:rsidR="002A0714" w:rsidRPr="00D724E5" w:rsidRDefault="002A0714" w:rsidP="003E687E">
            <w:pPr>
              <w:pStyle w:val="TableParagraph"/>
              <w:ind w:left="107" w:right="39"/>
              <w:jc w:val="both"/>
              <w:rPr>
                <w:rFonts w:ascii="Arial" w:hAnsi="Arial" w:cs="Arial"/>
                <w:i/>
                <w:sz w:val="18"/>
                <w:szCs w:val="18"/>
              </w:rPr>
            </w:pPr>
            <w:r w:rsidRPr="00D724E5">
              <w:rPr>
                <w:rFonts w:ascii="Arial" w:hAnsi="Arial" w:cs="Arial"/>
                <w:i/>
                <w:sz w:val="18"/>
                <w:szCs w:val="18"/>
              </w:rPr>
              <w:t>(All repetitive maintenance tasks not included here, or the interval differences should be kept by the</w:t>
            </w:r>
            <w:r w:rsidRPr="00D724E5">
              <w:rPr>
                <w:rFonts w:ascii="Arial" w:hAnsi="Arial" w:cs="Arial"/>
                <w:i/>
                <w:spacing w:val="1"/>
                <w:sz w:val="18"/>
                <w:szCs w:val="18"/>
              </w:rPr>
              <w:t xml:space="preserve"> </w:t>
            </w:r>
            <w:r w:rsidRPr="00D724E5">
              <w:rPr>
                <w:rFonts w:ascii="Arial" w:hAnsi="Arial" w:cs="Arial"/>
                <w:i/>
                <w:sz w:val="18"/>
                <w:szCs w:val="18"/>
              </w:rPr>
              <w:t>CAMO/CAO</w:t>
            </w:r>
            <w:r w:rsidRPr="00D724E5">
              <w:rPr>
                <w:rFonts w:ascii="Arial" w:hAnsi="Arial" w:cs="Arial"/>
                <w:i/>
                <w:spacing w:val="-4"/>
                <w:sz w:val="18"/>
                <w:szCs w:val="18"/>
              </w:rPr>
              <w:t xml:space="preserve"> </w:t>
            </w:r>
            <w:r w:rsidRPr="00D724E5">
              <w:rPr>
                <w:rFonts w:ascii="Arial" w:hAnsi="Arial" w:cs="Arial"/>
                <w:i/>
                <w:sz w:val="18"/>
                <w:szCs w:val="18"/>
              </w:rPr>
              <w:t>(when</w:t>
            </w:r>
            <w:r w:rsidRPr="00D724E5">
              <w:rPr>
                <w:rFonts w:ascii="Arial" w:hAnsi="Arial" w:cs="Arial"/>
                <w:i/>
                <w:spacing w:val="-2"/>
                <w:sz w:val="18"/>
                <w:szCs w:val="18"/>
              </w:rPr>
              <w:t xml:space="preserve"> </w:t>
            </w:r>
            <w:r w:rsidRPr="00D724E5">
              <w:rPr>
                <w:rFonts w:ascii="Arial" w:hAnsi="Arial" w:cs="Arial"/>
                <w:i/>
                <w:sz w:val="18"/>
                <w:szCs w:val="18"/>
              </w:rPr>
              <w:t>contracted)</w:t>
            </w:r>
            <w:r w:rsidRPr="00D724E5">
              <w:rPr>
                <w:rFonts w:ascii="Arial" w:hAnsi="Arial" w:cs="Arial"/>
                <w:i/>
                <w:spacing w:val="-4"/>
                <w:sz w:val="18"/>
                <w:szCs w:val="18"/>
              </w:rPr>
              <w:t xml:space="preserve"> </w:t>
            </w:r>
            <w:r w:rsidRPr="00D724E5">
              <w:rPr>
                <w:rFonts w:ascii="Arial" w:hAnsi="Arial" w:cs="Arial"/>
                <w:i/>
                <w:sz w:val="18"/>
                <w:szCs w:val="18"/>
              </w:rPr>
              <w:t>in</w:t>
            </w:r>
            <w:r w:rsidRPr="00D724E5">
              <w:rPr>
                <w:rFonts w:ascii="Arial" w:hAnsi="Arial" w:cs="Arial"/>
                <w:i/>
                <w:spacing w:val="-2"/>
                <w:sz w:val="18"/>
                <w:szCs w:val="18"/>
              </w:rPr>
              <w:t xml:space="preserve"> </w:t>
            </w:r>
            <w:r w:rsidRPr="00D724E5">
              <w:rPr>
                <w:rFonts w:ascii="Arial" w:hAnsi="Arial" w:cs="Arial"/>
                <w:i/>
                <w:sz w:val="18"/>
                <w:szCs w:val="18"/>
              </w:rPr>
              <w:t>their</w:t>
            </w:r>
            <w:r w:rsidRPr="00D724E5">
              <w:rPr>
                <w:rFonts w:ascii="Arial" w:hAnsi="Arial" w:cs="Arial"/>
                <w:i/>
                <w:spacing w:val="-5"/>
                <w:sz w:val="18"/>
                <w:szCs w:val="18"/>
              </w:rPr>
              <w:t xml:space="preserve"> </w:t>
            </w:r>
            <w:r w:rsidRPr="00D724E5">
              <w:rPr>
                <w:rFonts w:ascii="Arial" w:hAnsi="Arial" w:cs="Arial"/>
                <w:i/>
                <w:sz w:val="18"/>
                <w:szCs w:val="18"/>
              </w:rPr>
              <w:t>files</w:t>
            </w:r>
            <w:r w:rsidRPr="00D724E5">
              <w:rPr>
                <w:rFonts w:ascii="Arial" w:hAnsi="Arial" w:cs="Arial"/>
                <w:i/>
                <w:spacing w:val="-3"/>
                <w:sz w:val="18"/>
                <w:szCs w:val="18"/>
              </w:rPr>
              <w:t xml:space="preserve"> </w:t>
            </w:r>
            <w:r w:rsidRPr="00D724E5">
              <w:rPr>
                <w:rFonts w:ascii="Arial" w:hAnsi="Arial" w:cs="Arial"/>
                <w:i/>
                <w:sz w:val="18"/>
                <w:szCs w:val="18"/>
              </w:rPr>
              <w:t>with</w:t>
            </w:r>
            <w:r w:rsidRPr="00D724E5">
              <w:rPr>
                <w:rFonts w:ascii="Arial" w:hAnsi="Arial" w:cs="Arial"/>
                <w:i/>
                <w:spacing w:val="-3"/>
                <w:sz w:val="18"/>
                <w:szCs w:val="18"/>
              </w:rPr>
              <w:t xml:space="preserve"> </w:t>
            </w:r>
            <w:r w:rsidRPr="00D724E5">
              <w:rPr>
                <w:rFonts w:ascii="Arial" w:hAnsi="Arial" w:cs="Arial"/>
                <w:i/>
                <w:sz w:val="18"/>
                <w:szCs w:val="18"/>
              </w:rPr>
              <w:t>their</w:t>
            </w:r>
            <w:r w:rsidRPr="00D724E5">
              <w:rPr>
                <w:rFonts w:ascii="Arial" w:hAnsi="Arial" w:cs="Arial"/>
                <w:i/>
                <w:spacing w:val="-4"/>
                <w:sz w:val="18"/>
                <w:szCs w:val="18"/>
              </w:rPr>
              <w:t xml:space="preserve"> </w:t>
            </w:r>
            <w:r w:rsidRPr="00D724E5">
              <w:rPr>
                <w:rFonts w:ascii="Arial" w:hAnsi="Arial" w:cs="Arial"/>
                <w:i/>
                <w:sz w:val="18"/>
                <w:szCs w:val="18"/>
              </w:rPr>
              <w:t>corresponding</w:t>
            </w:r>
            <w:r w:rsidRPr="00D724E5">
              <w:rPr>
                <w:rFonts w:ascii="Arial" w:hAnsi="Arial" w:cs="Arial"/>
                <w:i/>
                <w:spacing w:val="-2"/>
                <w:sz w:val="18"/>
                <w:szCs w:val="18"/>
              </w:rPr>
              <w:t xml:space="preserve"> </w:t>
            </w:r>
            <w:r w:rsidRPr="00D724E5">
              <w:rPr>
                <w:rFonts w:ascii="Arial" w:hAnsi="Arial" w:cs="Arial"/>
                <w:i/>
                <w:sz w:val="18"/>
                <w:szCs w:val="18"/>
              </w:rPr>
              <w:t>justifications.</w:t>
            </w:r>
            <w:r w:rsidRPr="00D724E5">
              <w:rPr>
                <w:rFonts w:ascii="Arial" w:hAnsi="Arial" w:cs="Arial"/>
                <w:i/>
                <w:spacing w:val="-2"/>
                <w:sz w:val="18"/>
                <w:szCs w:val="18"/>
              </w:rPr>
              <w:t xml:space="preserve"> </w:t>
            </w:r>
            <w:r w:rsidRPr="00D724E5">
              <w:rPr>
                <w:rFonts w:ascii="Arial" w:hAnsi="Arial" w:cs="Arial"/>
                <w:i/>
                <w:sz w:val="18"/>
                <w:szCs w:val="18"/>
              </w:rPr>
              <w:t>Appendix</w:t>
            </w:r>
            <w:r w:rsidRPr="00D724E5">
              <w:rPr>
                <w:rFonts w:ascii="Arial" w:hAnsi="Arial" w:cs="Arial"/>
                <w:i/>
                <w:spacing w:val="-3"/>
                <w:sz w:val="18"/>
                <w:szCs w:val="18"/>
              </w:rPr>
              <w:t xml:space="preserve"> </w:t>
            </w:r>
            <w:r w:rsidRPr="00D724E5">
              <w:rPr>
                <w:rFonts w:ascii="Arial" w:hAnsi="Arial" w:cs="Arial"/>
                <w:i/>
                <w:sz w:val="18"/>
                <w:szCs w:val="18"/>
              </w:rPr>
              <w:t>D</w:t>
            </w:r>
            <w:r w:rsidRPr="00D724E5">
              <w:rPr>
                <w:rFonts w:ascii="Arial" w:hAnsi="Arial" w:cs="Arial"/>
                <w:i/>
                <w:spacing w:val="-2"/>
                <w:sz w:val="18"/>
                <w:szCs w:val="18"/>
              </w:rPr>
              <w:t xml:space="preserve"> </w:t>
            </w:r>
            <w:r w:rsidRPr="00D724E5">
              <w:rPr>
                <w:rFonts w:ascii="Arial" w:hAnsi="Arial" w:cs="Arial"/>
                <w:i/>
                <w:sz w:val="18"/>
                <w:szCs w:val="18"/>
              </w:rPr>
              <w:t>may</w:t>
            </w:r>
            <w:r w:rsidRPr="00D724E5">
              <w:rPr>
                <w:rFonts w:ascii="Arial" w:hAnsi="Arial" w:cs="Arial"/>
                <w:i/>
                <w:spacing w:val="-3"/>
                <w:sz w:val="18"/>
                <w:szCs w:val="18"/>
              </w:rPr>
              <w:t xml:space="preserve"> </w:t>
            </w:r>
            <w:r w:rsidRPr="00D724E5">
              <w:rPr>
                <w:rFonts w:ascii="Arial" w:hAnsi="Arial" w:cs="Arial"/>
                <w:i/>
                <w:sz w:val="18"/>
                <w:szCs w:val="18"/>
              </w:rPr>
              <w:t>optionally</w:t>
            </w:r>
            <w:r w:rsidRPr="00D724E5">
              <w:rPr>
                <w:rFonts w:ascii="Arial" w:hAnsi="Arial" w:cs="Arial"/>
                <w:i/>
                <w:spacing w:val="-43"/>
                <w:sz w:val="18"/>
                <w:szCs w:val="18"/>
              </w:rPr>
              <w:t xml:space="preserve"> </w:t>
            </w:r>
            <w:r w:rsidRPr="00D724E5">
              <w:rPr>
                <w:rFonts w:ascii="Arial" w:hAnsi="Arial" w:cs="Arial"/>
                <w:i/>
                <w:sz w:val="18"/>
                <w:szCs w:val="18"/>
              </w:rPr>
              <w:t>be used. Nevertheless, the owner/CAMO/CAO is responsible for taking into account all instructions, even if</w:t>
            </w:r>
            <w:r w:rsidRPr="00D724E5">
              <w:rPr>
                <w:rFonts w:ascii="Arial" w:hAnsi="Arial" w:cs="Arial"/>
                <w:i/>
                <w:spacing w:val="1"/>
                <w:sz w:val="18"/>
                <w:szCs w:val="18"/>
              </w:rPr>
              <w:t xml:space="preserve"> </w:t>
            </w:r>
            <w:r w:rsidRPr="00D724E5">
              <w:rPr>
                <w:rFonts w:ascii="Arial" w:hAnsi="Arial" w:cs="Arial"/>
                <w:i/>
                <w:sz w:val="18"/>
                <w:szCs w:val="18"/>
              </w:rPr>
              <w:t>they are not adopted and listed here. The person performing the AR, if reviewing the AMP, is not responsible</w:t>
            </w:r>
            <w:r w:rsidRPr="00D724E5">
              <w:rPr>
                <w:rFonts w:ascii="Arial" w:hAnsi="Arial" w:cs="Arial"/>
                <w:i/>
                <w:spacing w:val="1"/>
                <w:sz w:val="18"/>
                <w:szCs w:val="18"/>
              </w:rPr>
              <w:t xml:space="preserve"> </w:t>
            </w:r>
            <w:r w:rsidRPr="00D724E5">
              <w:rPr>
                <w:rFonts w:ascii="Arial" w:hAnsi="Arial" w:cs="Arial"/>
                <w:i/>
                <w:sz w:val="18"/>
                <w:szCs w:val="18"/>
              </w:rPr>
              <w:t>for</w:t>
            </w:r>
            <w:r w:rsidRPr="00D724E5">
              <w:rPr>
                <w:rFonts w:ascii="Arial" w:hAnsi="Arial" w:cs="Arial"/>
                <w:i/>
                <w:spacing w:val="-3"/>
                <w:sz w:val="18"/>
                <w:szCs w:val="18"/>
              </w:rPr>
              <w:t xml:space="preserve"> </w:t>
            </w:r>
            <w:r w:rsidRPr="00D724E5">
              <w:rPr>
                <w:rFonts w:ascii="Arial" w:hAnsi="Arial" w:cs="Arial"/>
                <w:i/>
                <w:sz w:val="18"/>
                <w:szCs w:val="18"/>
              </w:rPr>
              <w:t>the</w:t>
            </w:r>
            <w:r w:rsidRPr="00D724E5">
              <w:rPr>
                <w:rFonts w:ascii="Arial" w:hAnsi="Arial" w:cs="Arial"/>
                <w:i/>
                <w:spacing w:val="-1"/>
                <w:sz w:val="18"/>
                <w:szCs w:val="18"/>
              </w:rPr>
              <w:t xml:space="preserve"> </w:t>
            </w:r>
            <w:r w:rsidRPr="00D724E5">
              <w:rPr>
                <w:rFonts w:ascii="Arial" w:hAnsi="Arial" w:cs="Arial"/>
                <w:i/>
                <w:sz w:val="18"/>
                <w:szCs w:val="18"/>
              </w:rPr>
              <w:t>completeness</w:t>
            </w:r>
            <w:r w:rsidRPr="00D724E5">
              <w:rPr>
                <w:rFonts w:ascii="Arial" w:hAnsi="Arial" w:cs="Arial"/>
                <w:i/>
                <w:spacing w:val="-2"/>
                <w:sz w:val="18"/>
                <w:szCs w:val="18"/>
              </w:rPr>
              <w:t xml:space="preserve"> </w:t>
            </w:r>
            <w:r w:rsidRPr="00D724E5">
              <w:rPr>
                <w:rFonts w:ascii="Arial" w:hAnsi="Arial" w:cs="Arial"/>
                <w:i/>
                <w:sz w:val="18"/>
                <w:szCs w:val="18"/>
              </w:rPr>
              <w:t>of</w:t>
            </w:r>
            <w:r w:rsidRPr="00D724E5">
              <w:rPr>
                <w:rFonts w:ascii="Arial" w:hAnsi="Arial" w:cs="Arial"/>
                <w:i/>
                <w:spacing w:val="-3"/>
                <w:sz w:val="18"/>
                <w:szCs w:val="18"/>
              </w:rPr>
              <w:t xml:space="preserve"> </w:t>
            </w:r>
            <w:r w:rsidRPr="00D724E5">
              <w:rPr>
                <w:rFonts w:ascii="Arial" w:hAnsi="Arial" w:cs="Arial"/>
                <w:i/>
                <w:sz w:val="18"/>
                <w:szCs w:val="18"/>
              </w:rPr>
              <w:t>this</w:t>
            </w:r>
            <w:r w:rsidRPr="00D724E5">
              <w:rPr>
                <w:rFonts w:ascii="Arial" w:hAnsi="Arial" w:cs="Arial"/>
                <w:i/>
                <w:spacing w:val="-3"/>
                <w:sz w:val="18"/>
                <w:szCs w:val="18"/>
              </w:rPr>
              <w:t xml:space="preserve"> </w:t>
            </w:r>
            <w:r w:rsidRPr="00D724E5">
              <w:rPr>
                <w:rFonts w:ascii="Arial" w:hAnsi="Arial" w:cs="Arial"/>
                <w:i/>
                <w:sz w:val="18"/>
                <w:szCs w:val="18"/>
              </w:rPr>
              <w:t>appendix, but</w:t>
            </w:r>
            <w:r w:rsidRPr="00D724E5">
              <w:rPr>
                <w:rFonts w:ascii="Arial" w:hAnsi="Arial" w:cs="Arial"/>
                <w:i/>
                <w:spacing w:val="-3"/>
                <w:sz w:val="18"/>
                <w:szCs w:val="18"/>
              </w:rPr>
              <w:t xml:space="preserve"> </w:t>
            </w:r>
            <w:r w:rsidRPr="00D724E5">
              <w:rPr>
                <w:rFonts w:ascii="Arial" w:hAnsi="Arial" w:cs="Arial"/>
                <w:i/>
                <w:sz w:val="18"/>
                <w:szCs w:val="18"/>
              </w:rPr>
              <w:t>may</w:t>
            </w:r>
            <w:r w:rsidRPr="00D724E5">
              <w:rPr>
                <w:rFonts w:ascii="Arial" w:hAnsi="Arial" w:cs="Arial"/>
                <w:i/>
                <w:spacing w:val="-2"/>
                <w:sz w:val="18"/>
                <w:szCs w:val="18"/>
              </w:rPr>
              <w:t xml:space="preserve"> </w:t>
            </w:r>
            <w:r w:rsidRPr="00D724E5">
              <w:rPr>
                <w:rFonts w:ascii="Arial" w:hAnsi="Arial" w:cs="Arial"/>
                <w:i/>
                <w:sz w:val="18"/>
                <w:szCs w:val="18"/>
              </w:rPr>
              <w:t>do</w:t>
            </w:r>
            <w:r w:rsidRPr="00D724E5">
              <w:rPr>
                <w:rFonts w:ascii="Arial" w:hAnsi="Arial" w:cs="Arial"/>
                <w:i/>
                <w:spacing w:val="-1"/>
                <w:sz w:val="18"/>
                <w:szCs w:val="18"/>
              </w:rPr>
              <w:t xml:space="preserve"> </w:t>
            </w:r>
            <w:r w:rsidRPr="00D724E5">
              <w:rPr>
                <w:rFonts w:ascii="Arial" w:hAnsi="Arial" w:cs="Arial"/>
                <w:i/>
                <w:sz w:val="18"/>
                <w:szCs w:val="18"/>
              </w:rPr>
              <w:t>some</w:t>
            </w:r>
            <w:r w:rsidRPr="00D724E5">
              <w:rPr>
                <w:rFonts w:ascii="Arial" w:hAnsi="Arial" w:cs="Arial"/>
                <w:i/>
                <w:spacing w:val="-1"/>
                <w:sz w:val="18"/>
                <w:szCs w:val="18"/>
              </w:rPr>
              <w:t xml:space="preserve"> </w:t>
            </w:r>
            <w:r w:rsidRPr="00D724E5">
              <w:rPr>
                <w:rFonts w:ascii="Arial" w:hAnsi="Arial" w:cs="Arial"/>
                <w:i/>
                <w:sz w:val="18"/>
                <w:szCs w:val="18"/>
              </w:rPr>
              <w:t>sampling as</w:t>
            </w:r>
            <w:r w:rsidRPr="00D724E5">
              <w:rPr>
                <w:rFonts w:ascii="Arial" w:hAnsi="Arial" w:cs="Arial"/>
                <w:i/>
                <w:spacing w:val="-2"/>
                <w:sz w:val="18"/>
                <w:szCs w:val="18"/>
              </w:rPr>
              <w:t xml:space="preserve"> </w:t>
            </w:r>
            <w:r w:rsidRPr="00D724E5">
              <w:rPr>
                <w:rFonts w:ascii="Arial" w:hAnsi="Arial" w:cs="Arial"/>
                <w:i/>
                <w:sz w:val="18"/>
                <w:szCs w:val="18"/>
              </w:rPr>
              <w:t>part</w:t>
            </w:r>
            <w:r w:rsidRPr="00D724E5">
              <w:rPr>
                <w:rFonts w:ascii="Arial" w:hAnsi="Arial" w:cs="Arial"/>
                <w:i/>
                <w:spacing w:val="-1"/>
                <w:sz w:val="18"/>
                <w:szCs w:val="18"/>
              </w:rPr>
              <w:t xml:space="preserve"> </w:t>
            </w:r>
            <w:r w:rsidRPr="00D724E5">
              <w:rPr>
                <w:rFonts w:ascii="Arial" w:hAnsi="Arial" w:cs="Arial"/>
                <w:i/>
                <w:sz w:val="18"/>
                <w:szCs w:val="18"/>
              </w:rPr>
              <w:t>of</w:t>
            </w:r>
            <w:r w:rsidRPr="00D724E5">
              <w:rPr>
                <w:rFonts w:ascii="Arial" w:hAnsi="Arial" w:cs="Arial"/>
                <w:i/>
                <w:spacing w:val="-3"/>
                <w:sz w:val="18"/>
                <w:szCs w:val="18"/>
              </w:rPr>
              <w:t xml:space="preserve"> </w:t>
            </w:r>
            <w:r w:rsidRPr="00D724E5">
              <w:rPr>
                <w:rFonts w:ascii="Arial" w:hAnsi="Arial" w:cs="Arial"/>
                <w:i/>
                <w:sz w:val="18"/>
                <w:szCs w:val="18"/>
              </w:rPr>
              <w:t>the</w:t>
            </w:r>
            <w:r w:rsidRPr="00D724E5">
              <w:rPr>
                <w:rFonts w:ascii="Arial" w:hAnsi="Arial" w:cs="Arial"/>
                <w:i/>
                <w:spacing w:val="-1"/>
                <w:sz w:val="18"/>
                <w:szCs w:val="18"/>
              </w:rPr>
              <w:t xml:space="preserve"> </w:t>
            </w:r>
            <w:r w:rsidRPr="00D724E5">
              <w:rPr>
                <w:rFonts w:ascii="Arial" w:hAnsi="Arial" w:cs="Arial"/>
                <w:i/>
                <w:sz w:val="18"/>
                <w:szCs w:val="18"/>
              </w:rPr>
              <w:t>investigations</w:t>
            </w:r>
            <w:r w:rsidRPr="00D724E5">
              <w:rPr>
                <w:rFonts w:ascii="Arial" w:hAnsi="Arial" w:cs="Arial"/>
                <w:i/>
                <w:spacing w:val="-2"/>
                <w:sz w:val="18"/>
                <w:szCs w:val="18"/>
              </w:rPr>
              <w:t xml:space="preserve"> </w:t>
            </w:r>
            <w:r w:rsidRPr="00D724E5">
              <w:rPr>
                <w:rFonts w:ascii="Arial" w:hAnsi="Arial" w:cs="Arial"/>
                <w:i/>
                <w:sz w:val="18"/>
                <w:szCs w:val="18"/>
              </w:rPr>
              <w:t>and</w:t>
            </w:r>
            <w:r w:rsidRPr="00D724E5">
              <w:rPr>
                <w:rFonts w:ascii="Arial" w:hAnsi="Arial" w:cs="Arial"/>
                <w:i/>
                <w:spacing w:val="-1"/>
                <w:sz w:val="18"/>
                <w:szCs w:val="18"/>
              </w:rPr>
              <w:t xml:space="preserve"> </w:t>
            </w:r>
            <w:r w:rsidRPr="00D724E5">
              <w:rPr>
                <w:rFonts w:ascii="Arial" w:hAnsi="Arial" w:cs="Arial"/>
                <w:i/>
                <w:sz w:val="18"/>
                <w:szCs w:val="18"/>
              </w:rPr>
              <w:t>the</w:t>
            </w:r>
          </w:p>
          <w:p w14:paraId="1CDE65EC" w14:textId="77777777" w:rsidR="002A0714" w:rsidRPr="00D724E5" w:rsidRDefault="002A0714" w:rsidP="003E687E">
            <w:pPr>
              <w:pStyle w:val="TableParagraph"/>
              <w:spacing w:line="223" w:lineRule="exact"/>
              <w:ind w:left="107"/>
              <w:jc w:val="both"/>
              <w:rPr>
                <w:rFonts w:ascii="Arial" w:hAnsi="Arial" w:cs="Arial"/>
                <w:i/>
                <w:sz w:val="18"/>
                <w:szCs w:val="18"/>
              </w:rPr>
            </w:pPr>
            <w:r w:rsidRPr="00D724E5">
              <w:rPr>
                <w:rFonts w:ascii="Arial" w:hAnsi="Arial" w:cs="Arial"/>
                <w:i/>
                <w:sz w:val="18"/>
                <w:szCs w:val="18"/>
              </w:rPr>
              <w:t>findings</w:t>
            </w:r>
            <w:r w:rsidRPr="00D724E5">
              <w:rPr>
                <w:rFonts w:ascii="Arial" w:hAnsi="Arial" w:cs="Arial"/>
                <w:i/>
                <w:spacing w:val="-4"/>
                <w:sz w:val="18"/>
                <w:szCs w:val="18"/>
              </w:rPr>
              <w:t xml:space="preserve"> </w:t>
            </w:r>
            <w:r w:rsidRPr="00D724E5">
              <w:rPr>
                <w:rFonts w:ascii="Arial" w:hAnsi="Arial" w:cs="Arial"/>
                <w:i/>
                <w:sz w:val="18"/>
                <w:szCs w:val="18"/>
              </w:rPr>
              <w:t>discovered</w:t>
            </w:r>
            <w:r w:rsidRPr="00D724E5">
              <w:rPr>
                <w:rFonts w:ascii="Arial" w:hAnsi="Arial" w:cs="Arial"/>
                <w:i/>
                <w:spacing w:val="-3"/>
                <w:sz w:val="18"/>
                <w:szCs w:val="18"/>
              </w:rPr>
              <w:t xml:space="preserve"> </w:t>
            </w:r>
            <w:r w:rsidRPr="00D724E5">
              <w:rPr>
                <w:rFonts w:ascii="Arial" w:hAnsi="Arial" w:cs="Arial"/>
                <w:i/>
                <w:sz w:val="18"/>
                <w:szCs w:val="18"/>
              </w:rPr>
              <w:t>during</w:t>
            </w:r>
            <w:r w:rsidRPr="00D724E5">
              <w:rPr>
                <w:rFonts w:ascii="Arial" w:hAnsi="Arial" w:cs="Arial"/>
                <w:i/>
                <w:spacing w:val="-2"/>
                <w:sz w:val="18"/>
                <w:szCs w:val="18"/>
              </w:rPr>
              <w:t xml:space="preserve"> </w:t>
            </w:r>
            <w:r w:rsidRPr="00D724E5">
              <w:rPr>
                <w:rFonts w:ascii="Arial" w:hAnsi="Arial" w:cs="Arial"/>
                <w:i/>
                <w:sz w:val="18"/>
                <w:szCs w:val="18"/>
              </w:rPr>
              <w:t>the</w:t>
            </w:r>
            <w:r w:rsidRPr="00D724E5">
              <w:rPr>
                <w:rFonts w:ascii="Arial" w:hAnsi="Arial" w:cs="Arial"/>
                <w:i/>
                <w:spacing w:val="-3"/>
                <w:sz w:val="18"/>
                <w:szCs w:val="18"/>
              </w:rPr>
              <w:t xml:space="preserve"> </w:t>
            </w:r>
            <w:r w:rsidRPr="00D724E5">
              <w:rPr>
                <w:rFonts w:ascii="Arial" w:hAnsi="Arial" w:cs="Arial"/>
                <w:i/>
                <w:sz w:val="18"/>
                <w:szCs w:val="18"/>
              </w:rPr>
              <w:t>physical</w:t>
            </w:r>
            <w:r w:rsidRPr="00D724E5">
              <w:rPr>
                <w:rFonts w:ascii="Arial" w:hAnsi="Arial" w:cs="Arial"/>
                <w:i/>
                <w:spacing w:val="-3"/>
                <w:sz w:val="18"/>
                <w:szCs w:val="18"/>
              </w:rPr>
              <w:t xml:space="preserve"> </w:t>
            </w:r>
            <w:r w:rsidRPr="00D724E5">
              <w:rPr>
                <w:rFonts w:ascii="Arial" w:hAnsi="Arial" w:cs="Arial"/>
                <w:i/>
                <w:sz w:val="18"/>
                <w:szCs w:val="18"/>
              </w:rPr>
              <w:t>review).</w:t>
            </w:r>
          </w:p>
        </w:tc>
      </w:tr>
      <w:tr w:rsidR="002A0714" w:rsidRPr="00D724E5" w14:paraId="13883F51" w14:textId="77777777" w:rsidTr="002A0714">
        <w:trPr>
          <w:gridBefore w:val="1"/>
          <w:wBefore w:w="10" w:type="dxa"/>
          <w:trHeight w:val="978"/>
        </w:trPr>
        <w:tc>
          <w:tcPr>
            <w:tcW w:w="3721" w:type="dxa"/>
            <w:gridSpan w:val="3"/>
          </w:tcPr>
          <w:p w14:paraId="582A9627" w14:textId="77777777" w:rsidR="002A0714" w:rsidRPr="00D724E5" w:rsidRDefault="002A0714" w:rsidP="002A0714">
            <w:pPr>
              <w:pStyle w:val="TableParagraph"/>
              <w:spacing w:before="1"/>
              <w:ind w:left="1199"/>
              <w:rPr>
                <w:rFonts w:ascii="Arial" w:hAnsi="Arial" w:cs="Arial"/>
                <w:sz w:val="18"/>
                <w:szCs w:val="18"/>
              </w:rPr>
            </w:pPr>
            <w:r w:rsidRPr="00D724E5">
              <w:rPr>
                <w:rFonts w:ascii="Arial" w:hAnsi="Arial" w:cs="Arial"/>
                <w:sz w:val="18"/>
                <w:szCs w:val="18"/>
              </w:rPr>
              <w:t>Task</w:t>
            </w:r>
            <w:r w:rsidRPr="00D724E5">
              <w:rPr>
                <w:rFonts w:ascii="Arial" w:hAnsi="Arial" w:cs="Arial"/>
                <w:spacing w:val="-4"/>
                <w:sz w:val="18"/>
                <w:szCs w:val="18"/>
              </w:rPr>
              <w:t xml:space="preserve"> </w:t>
            </w:r>
            <w:r w:rsidRPr="00D724E5">
              <w:rPr>
                <w:rFonts w:ascii="Arial" w:hAnsi="Arial" w:cs="Arial"/>
                <w:sz w:val="18"/>
                <w:szCs w:val="18"/>
              </w:rPr>
              <w:t>description</w:t>
            </w:r>
          </w:p>
        </w:tc>
        <w:tc>
          <w:tcPr>
            <w:tcW w:w="2514" w:type="dxa"/>
            <w:gridSpan w:val="3"/>
          </w:tcPr>
          <w:p w14:paraId="74CF431C" w14:textId="77777777" w:rsidR="002A0714" w:rsidRPr="00D724E5" w:rsidRDefault="002A0714" w:rsidP="002A0714">
            <w:pPr>
              <w:pStyle w:val="TableParagraph"/>
              <w:spacing w:before="1"/>
              <w:ind w:left="519" w:right="514"/>
              <w:jc w:val="center"/>
              <w:rPr>
                <w:rFonts w:ascii="Arial" w:hAnsi="Arial" w:cs="Arial"/>
                <w:sz w:val="18"/>
                <w:szCs w:val="18"/>
              </w:rPr>
            </w:pPr>
            <w:r w:rsidRPr="00D724E5">
              <w:rPr>
                <w:rFonts w:ascii="Arial" w:hAnsi="Arial" w:cs="Arial"/>
                <w:sz w:val="18"/>
                <w:szCs w:val="18"/>
              </w:rPr>
              <w:t>References</w:t>
            </w:r>
          </w:p>
        </w:tc>
        <w:tc>
          <w:tcPr>
            <w:tcW w:w="2841" w:type="dxa"/>
            <w:gridSpan w:val="3"/>
          </w:tcPr>
          <w:p w14:paraId="4E4E8D6B" w14:textId="77777777" w:rsidR="002A0714" w:rsidRPr="00D724E5" w:rsidRDefault="002A0714" w:rsidP="002A0714">
            <w:pPr>
              <w:pStyle w:val="TableParagraph"/>
              <w:spacing w:before="1" w:line="243" w:lineRule="exact"/>
              <w:ind w:left="1104"/>
              <w:rPr>
                <w:rFonts w:ascii="Arial" w:hAnsi="Arial" w:cs="Arial"/>
                <w:sz w:val="18"/>
                <w:szCs w:val="18"/>
              </w:rPr>
            </w:pPr>
            <w:r w:rsidRPr="00D724E5">
              <w:rPr>
                <w:rFonts w:ascii="Arial" w:hAnsi="Arial" w:cs="Arial"/>
                <w:sz w:val="18"/>
                <w:szCs w:val="18"/>
              </w:rPr>
              <w:t>Interval</w:t>
            </w:r>
          </w:p>
          <w:p w14:paraId="369432A4" w14:textId="77777777" w:rsidR="002A0714" w:rsidRPr="00D724E5" w:rsidRDefault="002A0714" w:rsidP="002A0714">
            <w:pPr>
              <w:pStyle w:val="TableParagraph"/>
              <w:ind w:left="106" w:right="119"/>
              <w:rPr>
                <w:rFonts w:ascii="Arial" w:hAnsi="Arial" w:cs="Arial"/>
                <w:sz w:val="18"/>
                <w:szCs w:val="18"/>
              </w:rPr>
            </w:pPr>
            <w:r w:rsidRPr="00D724E5">
              <w:rPr>
                <w:rFonts w:ascii="Arial" w:hAnsi="Arial" w:cs="Arial"/>
                <w:sz w:val="18"/>
                <w:szCs w:val="18"/>
              </w:rPr>
              <w:t>(tick box if the selected interval</w:t>
            </w:r>
            <w:r w:rsidRPr="00D724E5">
              <w:rPr>
                <w:rFonts w:ascii="Arial" w:hAnsi="Arial" w:cs="Arial"/>
                <w:spacing w:val="1"/>
                <w:sz w:val="18"/>
                <w:szCs w:val="18"/>
              </w:rPr>
              <w:t xml:space="preserve"> </w:t>
            </w:r>
            <w:r w:rsidRPr="00D724E5">
              <w:rPr>
                <w:rFonts w:ascii="Arial" w:hAnsi="Arial" w:cs="Arial"/>
                <w:sz w:val="18"/>
                <w:szCs w:val="18"/>
              </w:rPr>
              <w:t>differs</w:t>
            </w:r>
            <w:r w:rsidRPr="00D724E5">
              <w:rPr>
                <w:rFonts w:ascii="Arial" w:hAnsi="Arial" w:cs="Arial"/>
                <w:spacing w:val="-5"/>
                <w:sz w:val="18"/>
                <w:szCs w:val="18"/>
              </w:rPr>
              <w:t xml:space="preserve"> </w:t>
            </w:r>
            <w:r w:rsidRPr="00D724E5">
              <w:rPr>
                <w:rFonts w:ascii="Arial" w:hAnsi="Arial" w:cs="Arial"/>
                <w:sz w:val="18"/>
                <w:szCs w:val="18"/>
              </w:rPr>
              <w:t>from</w:t>
            </w:r>
            <w:r w:rsidRPr="00D724E5">
              <w:rPr>
                <w:rFonts w:ascii="Arial" w:hAnsi="Arial" w:cs="Arial"/>
                <w:spacing w:val="-3"/>
                <w:sz w:val="18"/>
                <w:szCs w:val="18"/>
              </w:rPr>
              <w:t xml:space="preserve"> </w:t>
            </w:r>
            <w:r w:rsidRPr="00D724E5">
              <w:rPr>
                <w:rFonts w:ascii="Arial" w:hAnsi="Arial" w:cs="Arial"/>
                <w:sz w:val="18"/>
                <w:szCs w:val="18"/>
              </w:rPr>
              <w:t>that</w:t>
            </w:r>
            <w:r w:rsidRPr="00D724E5">
              <w:rPr>
                <w:rFonts w:ascii="Arial" w:hAnsi="Arial" w:cs="Arial"/>
                <w:spacing w:val="-2"/>
                <w:sz w:val="18"/>
                <w:szCs w:val="18"/>
              </w:rPr>
              <w:t xml:space="preserve"> </w:t>
            </w:r>
            <w:r w:rsidRPr="00D724E5">
              <w:rPr>
                <w:rFonts w:ascii="Arial" w:hAnsi="Arial" w:cs="Arial"/>
                <w:sz w:val="18"/>
                <w:szCs w:val="18"/>
              </w:rPr>
              <w:t>required</w:t>
            </w:r>
            <w:r w:rsidRPr="00D724E5">
              <w:rPr>
                <w:rFonts w:ascii="Arial" w:hAnsi="Arial" w:cs="Arial"/>
                <w:spacing w:val="-3"/>
                <w:sz w:val="18"/>
                <w:szCs w:val="18"/>
              </w:rPr>
              <w:t xml:space="preserve"> </w:t>
            </w:r>
            <w:r w:rsidRPr="00D724E5">
              <w:rPr>
                <w:rFonts w:ascii="Arial" w:hAnsi="Arial" w:cs="Arial"/>
                <w:sz w:val="18"/>
                <w:szCs w:val="18"/>
              </w:rPr>
              <w:t>in</w:t>
            </w:r>
            <w:r w:rsidRPr="00D724E5">
              <w:rPr>
                <w:rFonts w:ascii="Arial" w:hAnsi="Arial" w:cs="Arial"/>
                <w:spacing w:val="-1"/>
                <w:sz w:val="18"/>
                <w:szCs w:val="18"/>
              </w:rPr>
              <w:t xml:space="preserve"> </w:t>
            </w:r>
            <w:r w:rsidRPr="00D724E5">
              <w:rPr>
                <w:rFonts w:ascii="Arial" w:hAnsi="Arial" w:cs="Arial"/>
                <w:sz w:val="18"/>
                <w:szCs w:val="18"/>
              </w:rPr>
              <w:t>the</w:t>
            </w:r>
          </w:p>
          <w:p w14:paraId="6E677F36" w14:textId="77777777" w:rsidR="002A0714" w:rsidRPr="00D724E5" w:rsidRDefault="002A0714" w:rsidP="002A0714">
            <w:pPr>
              <w:pStyle w:val="TableParagraph"/>
              <w:spacing w:before="1" w:line="225" w:lineRule="exact"/>
              <w:ind w:left="106"/>
              <w:rPr>
                <w:rFonts w:ascii="Arial" w:hAnsi="Arial" w:cs="Arial"/>
                <w:sz w:val="18"/>
                <w:szCs w:val="18"/>
              </w:rPr>
            </w:pPr>
            <w:r w:rsidRPr="00D724E5">
              <w:rPr>
                <w:rFonts w:ascii="Arial" w:hAnsi="Arial" w:cs="Arial"/>
                <w:sz w:val="18"/>
                <w:szCs w:val="18"/>
              </w:rPr>
              <w:t>referenced</w:t>
            </w:r>
            <w:r w:rsidRPr="00D724E5">
              <w:rPr>
                <w:rFonts w:ascii="Arial" w:hAnsi="Arial" w:cs="Arial"/>
                <w:spacing w:val="-4"/>
                <w:sz w:val="18"/>
                <w:szCs w:val="18"/>
              </w:rPr>
              <w:t xml:space="preserve"> </w:t>
            </w:r>
            <w:r w:rsidRPr="00D724E5">
              <w:rPr>
                <w:rFonts w:ascii="Arial" w:hAnsi="Arial" w:cs="Arial"/>
                <w:sz w:val="18"/>
                <w:szCs w:val="18"/>
              </w:rPr>
              <w:t>document)</w:t>
            </w:r>
          </w:p>
        </w:tc>
      </w:tr>
      <w:tr w:rsidR="002A0714" w:rsidRPr="00D724E5" w14:paraId="14697712" w14:textId="77777777" w:rsidTr="002A0714">
        <w:trPr>
          <w:gridBefore w:val="1"/>
          <w:wBefore w:w="10" w:type="dxa"/>
          <w:trHeight w:val="241"/>
        </w:trPr>
        <w:tc>
          <w:tcPr>
            <w:tcW w:w="9076" w:type="dxa"/>
            <w:gridSpan w:val="9"/>
          </w:tcPr>
          <w:p w14:paraId="6CF1D446" w14:textId="77777777" w:rsidR="002A0714" w:rsidRPr="00D724E5" w:rsidRDefault="002A0714" w:rsidP="002A0714">
            <w:pPr>
              <w:pStyle w:val="TableParagraph"/>
              <w:spacing w:line="222" w:lineRule="exact"/>
              <w:ind w:left="107"/>
              <w:rPr>
                <w:rFonts w:ascii="Arial" w:hAnsi="Arial" w:cs="Arial"/>
                <w:b/>
                <w:sz w:val="18"/>
                <w:szCs w:val="18"/>
              </w:rPr>
            </w:pPr>
            <w:r w:rsidRPr="00D724E5">
              <w:rPr>
                <w:rFonts w:ascii="Arial" w:hAnsi="Arial" w:cs="Arial"/>
                <w:b/>
                <w:sz w:val="18"/>
                <w:szCs w:val="18"/>
              </w:rPr>
              <w:t>Maintenance</w:t>
            </w:r>
            <w:r w:rsidRPr="00D724E5">
              <w:rPr>
                <w:rFonts w:ascii="Arial" w:hAnsi="Arial" w:cs="Arial"/>
                <w:b/>
                <w:spacing w:val="-3"/>
                <w:sz w:val="18"/>
                <w:szCs w:val="18"/>
              </w:rPr>
              <w:t xml:space="preserve"> </w:t>
            </w:r>
            <w:r w:rsidRPr="00D724E5">
              <w:rPr>
                <w:rFonts w:ascii="Arial" w:hAnsi="Arial" w:cs="Arial"/>
                <w:b/>
                <w:sz w:val="18"/>
                <w:szCs w:val="18"/>
              </w:rPr>
              <w:t>due</w:t>
            </w:r>
            <w:r w:rsidRPr="00D724E5">
              <w:rPr>
                <w:rFonts w:ascii="Arial" w:hAnsi="Arial" w:cs="Arial"/>
                <w:b/>
                <w:spacing w:val="-5"/>
                <w:sz w:val="18"/>
                <w:szCs w:val="18"/>
              </w:rPr>
              <w:t xml:space="preserve"> </w:t>
            </w:r>
            <w:r w:rsidRPr="00D724E5">
              <w:rPr>
                <w:rFonts w:ascii="Arial" w:hAnsi="Arial" w:cs="Arial"/>
                <w:b/>
                <w:sz w:val="18"/>
                <w:szCs w:val="18"/>
              </w:rPr>
              <w:t>to</w:t>
            </w:r>
            <w:r w:rsidRPr="00D724E5">
              <w:rPr>
                <w:rFonts w:ascii="Arial" w:hAnsi="Arial" w:cs="Arial"/>
                <w:b/>
                <w:spacing w:val="-2"/>
                <w:sz w:val="18"/>
                <w:szCs w:val="18"/>
              </w:rPr>
              <w:t xml:space="preserve"> </w:t>
            </w:r>
            <w:r w:rsidRPr="00D724E5">
              <w:rPr>
                <w:rFonts w:ascii="Arial" w:hAnsi="Arial" w:cs="Arial"/>
                <w:b/>
                <w:sz w:val="18"/>
                <w:szCs w:val="18"/>
              </w:rPr>
              <w:t>specific</w:t>
            </w:r>
            <w:r w:rsidRPr="00D724E5">
              <w:rPr>
                <w:rFonts w:ascii="Arial" w:hAnsi="Arial" w:cs="Arial"/>
                <w:b/>
                <w:spacing w:val="-2"/>
                <w:sz w:val="18"/>
                <w:szCs w:val="18"/>
              </w:rPr>
              <w:t xml:space="preserve"> </w:t>
            </w:r>
            <w:r w:rsidRPr="00D724E5">
              <w:rPr>
                <w:rFonts w:ascii="Arial" w:hAnsi="Arial" w:cs="Arial"/>
                <w:b/>
                <w:sz w:val="18"/>
                <w:szCs w:val="18"/>
              </w:rPr>
              <w:t>equipment</w:t>
            </w:r>
            <w:r w:rsidRPr="00D724E5">
              <w:rPr>
                <w:rFonts w:ascii="Arial" w:hAnsi="Arial" w:cs="Arial"/>
                <w:b/>
                <w:spacing w:val="-3"/>
                <w:sz w:val="18"/>
                <w:szCs w:val="18"/>
              </w:rPr>
              <w:t xml:space="preserve"> </w:t>
            </w:r>
            <w:r w:rsidRPr="00D724E5">
              <w:rPr>
                <w:rFonts w:ascii="Arial" w:hAnsi="Arial" w:cs="Arial"/>
                <w:b/>
                <w:sz w:val="18"/>
                <w:szCs w:val="18"/>
              </w:rPr>
              <w:t>and</w:t>
            </w:r>
            <w:r w:rsidRPr="00D724E5">
              <w:rPr>
                <w:rFonts w:ascii="Arial" w:hAnsi="Arial" w:cs="Arial"/>
                <w:b/>
                <w:spacing w:val="-3"/>
                <w:sz w:val="18"/>
                <w:szCs w:val="18"/>
              </w:rPr>
              <w:t xml:space="preserve"> </w:t>
            </w:r>
            <w:r w:rsidRPr="00D724E5">
              <w:rPr>
                <w:rFonts w:ascii="Arial" w:hAnsi="Arial" w:cs="Arial"/>
                <w:b/>
                <w:sz w:val="18"/>
                <w:szCs w:val="18"/>
              </w:rPr>
              <w:t>modifications</w:t>
            </w:r>
          </w:p>
        </w:tc>
      </w:tr>
      <w:tr w:rsidR="002A0714" w:rsidRPr="00D724E5" w14:paraId="2946C4EA" w14:textId="77777777" w:rsidTr="002A0714">
        <w:trPr>
          <w:gridBefore w:val="1"/>
          <w:wBefore w:w="10" w:type="dxa"/>
          <w:trHeight w:val="321"/>
        </w:trPr>
        <w:tc>
          <w:tcPr>
            <w:tcW w:w="3721" w:type="dxa"/>
            <w:gridSpan w:val="3"/>
          </w:tcPr>
          <w:p w14:paraId="2D09A7E9" w14:textId="77777777" w:rsidR="002A0714" w:rsidRPr="00D724E5" w:rsidRDefault="002A0714" w:rsidP="002A0714">
            <w:pPr>
              <w:pStyle w:val="TableParagraph"/>
              <w:ind w:left="0"/>
              <w:rPr>
                <w:rFonts w:ascii="Arial" w:hAnsi="Arial" w:cs="Arial"/>
                <w:sz w:val="18"/>
                <w:szCs w:val="18"/>
              </w:rPr>
            </w:pPr>
          </w:p>
        </w:tc>
        <w:tc>
          <w:tcPr>
            <w:tcW w:w="2514" w:type="dxa"/>
            <w:gridSpan w:val="3"/>
          </w:tcPr>
          <w:p w14:paraId="667B5C3A" w14:textId="77777777" w:rsidR="002A0714" w:rsidRPr="00D724E5" w:rsidRDefault="002A0714" w:rsidP="002A0714">
            <w:pPr>
              <w:pStyle w:val="TableParagraph"/>
              <w:ind w:left="0"/>
              <w:rPr>
                <w:rFonts w:ascii="Arial" w:hAnsi="Arial" w:cs="Arial"/>
                <w:sz w:val="18"/>
                <w:szCs w:val="18"/>
              </w:rPr>
            </w:pPr>
          </w:p>
        </w:tc>
        <w:tc>
          <w:tcPr>
            <w:tcW w:w="2841" w:type="dxa"/>
            <w:gridSpan w:val="3"/>
          </w:tcPr>
          <w:p w14:paraId="258DFAF5" w14:textId="77777777" w:rsidR="002A0714" w:rsidRPr="00D724E5" w:rsidRDefault="002A0714" w:rsidP="002A0714">
            <w:pPr>
              <w:pStyle w:val="TableParagraph"/>
              <w:spacing w:before="2"/>
              <w:ind w:left="0"/>
              <w:rPr>
                <w:rFonts w:ascii="Arial" w:hAnsi="Arial" w:cs="Arial"/>
                <w:sz w:val="18"/>
                <w:szCs w:val="18"/>
              </w:rPr>
            </w:pPr>
          </w:p>
          <w:p w14:paraId="52E15355" w14:textId="77777777" w:rsidR="002A0714" w:rsidRPr="00D724E5" w:rsidRDefault="002A0714" w:rsidP="002A0714">
            <w:pPr>
              <w:pStyle w:val="TableParagraph"/>
              <w:spacing w:line="215" w:lineRule="exact"/>
              <w:ind w:left="2499"/>
              <w:rPr>
                <w:rFonts w:ascii="Arial" w:hAnsi="Arial" w:cs="Arial"/>
                <w:sz w:val="18"/>
                <w:szCs w:val="18"/>
              </w:rPr>
            </w:pPr>
            <w:r w:rsidRPr="00D724E5">
              <w:rPr>
                <w:rFonts w:ascii="Arial" w:hAnsi="Arial" w:cs="Arial"/>
                <w:noProof/>
                <w:position w:val="-3"/>
                <w:sz w:val="18"/>
                <w:szCs w:val="18"/>
              </w:rPr>
              <mc:AlternateContent>
                <mc:Choice Requires="wpg">
                  <w:drawing>
                    <wp:inline distT="0" distB="0" distL="0" distR="0" wp14:anchorId="7DAD2573" wp14:editId="76829A05">
                      <wp:extent cx="135890" cy="135890"/>
                      <wp:effectExtent l="1270" t="3810" r="5715" b="3175"/>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72" name="Rectangle 63"/>
                              <wps:cNvSpPr>
                                <a:spLocks noChangeArrowheads="1"/>
                              </wps:cNvSpPr>
                              <wps:spPr bwMode="auto">
                                <a:xfrm>
                                  <a:off x="7" y="7"/>
                                  <a:ext cx="200" cy="2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w:pict>
                    <v:group w14:anchorId="5B6F6F94" id="Group 71"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">
                      <v:rect id="Rectangle 63"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" filled="f" strokeweight=".72pt"/>
                      <w10:anchorlock/>
                    </v:group>
                  </w:pict>
                </mc:Fallback>
              </mc:AlternateContent>
            </w:r>
          </w:p>
        </w:tc>
      </w:tr>
      <w:tr w:rsidR="002A0714" w:rsidRPr="00D724E5" w14:paraId="5895CF5E" w14:textId="77777777" w:rsidTr="002A0714">
        <w:trPr>
          <w:gridBefore w:val="1"/>
          <w:wBefore w:w="10" w:type="dxa"/>
          <w:trHeight w:val="326"/>
        </w:trPr>
        <w:tc>
          <w:tcPr>
            <w:tcW w:w="3721" w:type="dxa"/>
            <w:gridSpan w:val="3"/>
          </w:tcPr>
          <w:p w14:paraId="1AFD011A" w14:textId="77777777" w:rsidR="002A0714" w:rsidRPr="00D724E5" w:rsidRDefault="002A0714" w:rsidP="002A0714">
            <w:pPr>
              <w:pStyle w:val="TableParagraph"/>
              <w:ind w:left="0"/>
              <w:rPr>
                <w:rFonts w:ascii="Arial" w:hAnsi="Arial" w:cs="Arial"/>
                <w:sz w:val="18"/>
                <w:szCs w:val="18"/>
              </w:rPr>
            </w:pPr>
          </w:p>
        </w:tc>
        <w:tc>
          <w:tcPr>
            <w:tcW w:w="2514" w:type="dxa"/>
            <w:gridSpan w:val="3"/>
          </w:tcPr>
          <w:p w14:paraId="77200FD8" w14:textId="77777777" w:rsidR="002A0714" w:rsidRPr="00D724E5" w:rsidRDefault="002A0714" w:rsidP="002A0714">
            <w:pPr>
              <w:pStyle w:val="TableParagraph"/>
              <w:ind w:left="0"/>
              <w:rPr>
                <w:rFonts w:ascii="Arial" w:hAnsi="Arial" w:cs="Arial"/>
                <w:sz w:val="18"/>
                <w:szCs w:val="18"/>
              </w:rPr>
            </w:pPr>
          </w:p>
        </w:tc>
        <w:tc>
          <w:tcPr>
            <w:tcW w:w="2841" w:type="dxa"/>
            <w:gridSpan w:val="3"/>
          </w:tcPr>
          <w:p w14:paraId="240CC3A9" w14:textId="77777777" w:rsidR="002A0714" w:rsidRPr="00D724E5" w:rsidRDefault="002A0714" w:rsidP="002A0714">
            <w:pPr>
              <w:pStyle w:val="TableParagraph"/>
              <w:spacing w:before="5"/>
              <w:ind w:left="0"/>
              <w:rPr>
                <w:rFonts w:ascii="Arial" w:hAnsi="Arial" w:cs="Arial"/>
                <w:sz w:val="18"/>
                <w:szCs w:val="18"/>
              </w:rPr>
            </w:pPr>
          </w:p>
          <w:p w14:paraId="18BAFD58" w14:textId="77777777" w:rsidR="002A0714" w:rsidRPr="00D724E5" w:rsidRDefault="002A0714" w:rsidP="002A0714">
            <w:pPr>
              <w:pStyle w:val="TableParagraph"/>
              <w:spacing w:line="215" w:lineRule="exact"/>
              <w:ind w:left="2499"/>
              <w:rPr>
                <w:rFonts w:ascii="Arial" w:hAnsi="Arial" w:cs="Arial"/>
                <w:sz w:val="18"/>
                <w:szCs w:val="18"/>
              </w:rPr>
            </w:pPr>
            <w:r w:rsidRPr="00D724E5">
              <w:rPr>
                <w:rFonts w:ascii="Arial" w:hAnsi="Arial" w:cs="Arial"/>
                <w:noProof/>
                <w:position w:val="-3"/>
                <w:sz w:val="18"/>
                <w:szCs w:val="18"/>
              </w:rPr>
              <mc:AlternateContent>
                <mc:Choice Requires="wpg">
                  <w:drawing>
                    <wp:inline distT="0" distB="0" distL="0" distR="0" wp14:anchorId="0B5BABBA" wp14:editId="56D7C66D">
                      <wp:extent cx="135890" cy="135890"/>
                      <wp:effectExtent l="1270" t="6350" r="5715" b="635"/>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70" name="Rectangle 61"/>
                              <wps:cNvSpPr>
                                <a:spLocks noChangeArrowheads="1"/>
                              </wps:cNvSpPr>
                              <wps:spPr bwMode="auto">
                                <a:xfrm>
                                  <a:off x="7" y="7"/>
                                  <a:ext cx="200" cy="2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w:pict>
                    <v:group w14:anchorId="3DB68A95" id="Group 69"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">
                      <v:rect id="Rectangle 61"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" filled="f" strokeweight=".72pt"/>
                      <w10:anchorlock/>
                    </v:group>
                  </w:pict>
                </mc:Fallback>
              </mc:AlternateContent>
            </w:r>
          </w:p>
        </w:tc>
      </w:tr>
      <w:tr w:rsidR="002A0714" w:rsidRPr="00D724E5" w14:paraId="0B2A5E1F" w14:textId="77777777" w:rsidTr="002A0714">
        <w:trPr>
          <w:gridBefore w:val="1"/>
          <w:wBefore w:w="10" w:type="dxa"/>
          <w:trHeight w:val="242"/>
        </w:trPr>
        <w:tc>
          <w:tcPr>
            <w:tcW w:w="9076" w:type="dxa"/>
            <w:gridSpan w:val="9"/>
            <w:tcBorders>
              <w:bottom w:val="single" w:sz="6" w:space="0" w:color="000000"/>
            </w:tcBorders>
          </w:tcPr>
          <w:p w14:paraId="06411E0C" w14:textId="77777777" w:rsidR="002A0714" w:rsidRPr="00D724E5" w:rsidRDefault="002A0714" w:rsidP="002A0714">
            <w:pPr>
              <w:pStyle w:val="TableParagraph"/>
              <w:spacing w:before="1" w:line="221" w:lineRule="exact"/>
              <w:ind w:left="107"/>
              <w:rPr>
                <w:rFonts w:ascii="Arial" w:hAnsi="Arial" w:cs="Arial"/>
                <w:b/>
                <w:sz w:val="18"/>
                <w:szCs w:val="18"/>
              </w:rPr>
            </w:pPr>
            <w:r w:rsidRPr="00D724E5">
              <w:rPr>
                <w:rFonts w:ascii="Arial" w:hAnsi="Arial" w:cs="Arial"/>
                <w:b/>
                <w:sz w:val="18"/>
                <w:szCs w:val="18"/>
              </w:rPr>
              <w:t>Maintenance</w:t>
            </w:r>
            <w:r w:rsidRPr="00D724E5">
              <w:rPr>
                <w:rFonts w:ascii="Arial" w:hAnsi="Arial" w:cs="Arial"/>
                <w:b/>
                <w:spacing w:val="-3"/>
                <w:sz w:val="18"/>
                <w:szCs w:val="18"/>
              </w:rPr>
              <w:t xml:space="preserve"> </w:t>
            </w:r>
            <w:r w:rsidRPr="00D724E5">
              <w:rPr>
                <w:rFonts w:ascii="Arial" w:hAnsi="Arial" w:cs="Arial"/>
                <w:b/>
                <w:sz w:val="18"/>
                <w:szCs w:val="18"/>
              </w:rPr>
              <w:t>due</w:t>
            </w:r>
            <w:r w:rsidRPr="00D724E5">
              <w:rPr>
                <w:rFonts w:ascii="Arial" w:hAnsi="Arial" w:cs="Arial"/>
                <w:b/>
                <w:spacing w:val="-4"/>
                <w:sz w:val="18"/>
                <w:szCs w:val="18"/>
              </w:rPr>
              <w:t xml:space="preserve"> </w:t>
            </w:r>
            <w:r w:rsidRPr="00D724E5">
              <w:rPr>
                <w:rFonts w:ascii="Arial" w:hAnsi="Arial" w:cs="Arial"/>
                <w:b/>
                <w:sz w:val="18"/>
                <w:szCs w:val="18"/>
              </w:rPr>
              <w:t>to</w:t>
            </w:r>
            <w:r w:rsidRPr="00D724E5">
              <w:rPr>
                <w:rFonts w:ascii="Arial" w:hAnsi="Arial" w:cs="Arial"/>
                <w:b/>
                <w:spacing w:val="-1"/>
                <w:sz w:val="18"/>
                <w:szCs w:val="18"/>
              </w:rPr>
              <w:t xml:space="preserve"> </w:t>
            </w:r>
            <w:r w:rsidRPr="00D724E5">
              <w:rPr>
                <w:rFonts w:ascii="Arial" w:hAnsi="Arial" w:cs="Arial"/>
                <w:b/>
                <w:sz w:val="18"/>
                <w:szCs w:val="18"/>
              </w:rPr>
              <w:t>repairs</w:t>
            </w:r>
          </w:p>
        </w:tc>
      </w:tr>
      <w:tr w:rsidR="002A0714" w:rsidRPr="00D724E5" w14:paraId="1F414C8B" w14:textId="77777777" w:rsidTr="002A0714">
        <w:trPr>
          <w:gridBefore w:val="1"/>
          <w:wBefore w:w="10" w:type="dxa"/>
          <w:trHeight w:val="321"/>
        </w:trPr>
        <w:tc>
          <w:tcPr>
            <w:tcW w:w="3721" w:type="dxa"/>
            <w:gridSpan w:val="3"/>
            <w:tcBorders>
              <w:top w:val="single" w:sz="6" w:space="0" w:color="000000"/>
            </w:tcBorders>
          </w:tcPr>
          <w:p w14:paraId="736981BB" w14:textId="77777777" w:rsidR="002A0714" w:rsidRPr="00D724E5" w:rsidRDefault="002A0714" w:rsidP="002A0714">
            <w:pPr>
              <w:pStyle w:val="TableParagraph"/>
              <w:ind w:left="0"/>
              <w:rPr>
                <w:rFonts w:ascii="Arial" w:hAnsi="Arial" w:cs="Arial"/>
                <w:sz w:val="18"/>
                <w:szCs w:val="18"/>
              </w:rPr>
            </w:pPr>
          </w:p>
        </w:tc>
        <w:tc>
          <w:tcPr>
            <w:tcW w:w="2514" w:type="dxa"/>
            <w:gridSpan w:val="3"/>
            <w:tcBorders>
              <w:top w:val="single" w:sz="6" w:space="0" w:color="000000"/>
            </w:tcBorders>
          </w:tcPr>
          <w:p w14:paraId="31A2E529" w14:textId="77777777" w:rsidR="002A0714" w:rsidRPr="00D724E5" w:rsidRDefault="002A0714" w:rsidP="002A0714">
            <w:pPr>
              <w:pStyle w:val="TableParagraph"/>
              <w:ind w:left="0"/>
              <w:rPr>
                <w:rFonts w:ascii="Arial" w:hAnsi="Arial" w:cs="Arial"/>
                <w:sz w:val="18"/>
                <w:szCs w:val="18"/>
              </w:rPr>
            </w:pPr>
          </w:p>
        </w:tc>
        <w:tc>
          <w:tcPr>
            <w:tcW w:w="2841" w:type="dxa"/>
            <w:gridSpan w:val="3"/>
            <w:tcBorders>
              <w:top w:val="single" w:sz="6" w:space="0" w:color="000000"/>
            </w:tcBorders>
          </w:tcPr>
          <w:p w14:paraId="513E240B" w14:textId="77777777" w:rsidR="002A0714" w:rsidRPr="00D724E5" w:rsidRDefault="002A0714" w:rsidP="002A0714">
            <w:pPr>
              <w:pStyle w:val="TableParagraph"/>
              <w:ind w:left="0"/>
              <w:rPr>
                <w:rFonts w:ascii="Arial" w:hAnsi="Arial" w:cs="Arial"/>
                <w:sz w:val="18"/>
                <w:szCs w:val="18"/>
              </w:rPr>
            </w:pPr>
          </w:p>
          <w:p w14:paraId="57F9A524" w14:textId="77777777" w:rsidR="002A0714" w:rsidRPr="00D724E5" w:rsidRDefault="002A0714" w:rsidP="002A0714">
            <w:pPr>
              <w:pStyle w:val="TableParagraph"/>
              <w:spacing w:line="215" w:lineRule="exact"/>
              <w:ind w:left="2499"/>
              <w:rPr>
                <w:rFonts w:ascii="Arial" w:hAnsi="Arial" w:cs="Arial"/>
                <w:sz w:val="18"/>
                <w:szCs w:val="18"/>
              </w:rPr>
            </w:pPr>
            <w:r w:rsidRPr="00D724E5">
              <w:rPr>
                <w:rFonts w:ascii="Arial" w:hAnsi="Arial" w:cs="Arial"/>
                <w:noProof/>
                <w:position w:val="-3"/>
                <w:sz w:val="18"/>
                <w:szCs w:val="18"/>
              </w:rPr>
              <mc:AlternateContent>
                <mc:Choice Requires="wpg">
                  <w:drawing>
                    <wp:inline distT="0" distB="0" distL="0" distR="0" wp14:anchorId="2EE424DB" wp14:editId="0166B68F">
                      <wp:extent cx="135890" cy="135890"/>
                      <wp:effectExtent l="1270" t="8255" r="5715" b="8255"/>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68" name="Rectangle 59"/>
                              <wps:cNvSpPr>
                                <a:spLocks noChangeArrowheads="1"/>
                              </wps:cNvSpPr>
                              <wps:spPr bwMode="auto">
                                <a:xfrm>
                                  <a:off x="7" y="7"/>
                                  <a:ext cx="200" cy="2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w:pict>
                    <v:group w14:anchorId="4A56D7C8" id="Group 67"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">
                      <v:rect id="Rectangle 59"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" filled="f" strokeweight=".72pt"/>
                      <w10:anchorlock/>
                    </v:group>
                  </w:pict>
                </mc:Fallback>
              </mc:AlternateContent>
            </w:r>
          </w:p>
        </w:tc>
      </w:tr>
      <w:tr w:rsidR="002A0714" w:rsidRPr="00D724E5" w14:paraId="7137BBD2" w14:textId="77777777" w:rsidTr="002A0714">
        <w:trPr>
          <w:gridBefore w:val="1"/>
          <w:wBefore w:w="10" w:type="dxa"/>
          <w:trHeight w:val="294"/>
        </w:trPr>
        <w:tc>
          <w:tcPr>
            <w:tcW w:w="3721" w:type="dxa"/>
            <w:gridSpan w:val="3"/>
          </w:tcPr>
          <w:p w14:paraId="27222AA4" w14:textId="77777777" w:rsidR="002A0714" w:rsidRPr="00D724E5" w:rsidRDefault="002A0714" w:rsidP="002A0714">
            <w:pPr>
              <w:pStyle w:val="TableParagraph"/>
              <w:ind w:left="0"/>
              <w:rPr>
                <w:rFonts w:ascii="Arial" w:hAnsi="Arial" w:cs="Arial"/>
                <w:sz w:val="18"/>
                <w:szCs w:val="18"/>
              </w:rPr>
            </w:pPr>
          </w:p>
        </w:tc>
        <w:tc>
          <w:tcPr>
            <w:tcW w:w="2514" w:type="dxa"/>
            <w:gridSpan w:val="3"/>
          </w:tcPr>
          <w:p w14:paraId="64CAAD9E" w14:textId="77777777" w:rsidR="002A0714" w:rsidRPr="00D724E5" w:rsidRDefault="002A0714" w:rsidP="002A0714">
            <w:pPr>
              <w:pStyle w:val="TableParagraph"/>
              <w:ind w:left="0"/>
              <w:rPr>
                <w:rFonts w:ascii="Arial" w:hAnsi="Arial" w:cs="Arial"/>
                <w:sz w:val="18"/>
                <w:szCs w:val="18"/>
              </w:rPr>
            </w:pPr>
          </w:p>
        </w:tc>
        <w:tc>
          <w:tcPr>
            <w:tcW w:w="2841" w:type="dxa"/>
            <w:gridSpan w:val="3"/>
          </w:tcPr>
          <w:p w14:paraId="4E7370A5" w14:textId="77777777" w:rsidR="002A0714" w:rsidRPr="00D724E5" w:rsidRDefault="002A0714" w:rsidP="002A0714">
            <w:pPr>
              <w:pStyle w:val="TableParagraph"/>
              <w:ind w:left="0"/>
              <w:rPr>
                <w:rFonts w:ascii="Arial" w:hAnsi="Arial" w:cs="Arial"/>
                <w:sz w:val="18"/>
                <w:szCs w:val="18"/>
              </w:rPr>
            </w:pPr>
          </w:p>
          <w:p w14:paraId="3DB55983" w14:textId="77777777" w:rsidR="002A0714" w:rsidRPr="00D724E5" w:rsidRDefault="002A0714" w:rsidP="002A0714">
            <w:pPr>
              <w:pStyle w:val="TableParagraph"/>
              <w:spacing w:line="215" w:lineRule="exact"/>
              <w:ind w:left="2499"/>
              <w:rPr>
                <w:rFonts w:ascii="Arial" w:hAnsi="Arial" w:cs="Arial"/>
                <w:sz w:val="18"/>
                <w:szCs w:val="18"/>
              </w:rPr>
            </w:pPr>
            <w:r w:rsidRPr="00D724E5">
              <w:rPr>
                <w:rFonts w:ascii="Arial" w:hAnsi="Arial" w:cs="Arial"/>
                <w:noProof/>
                <w:position w:val="-3"/>
                <w:sz w:val="18"/>
                <w:szCs w:val="18"/>
              </w:rPr>
              <mc:AlternateContent>
                <mc:Choice Requires="wpg">
                  <w:drawing>
                    <wp:inline distT="0" distB="0" distL="0" distR="0" wp14:anchorId="5C764CFC" wp14:editId="417452DD">
                      <wp:extent cx="135890" cy="135890"/>
                      <wp:effectExtent l="1270" t="2540" r="5715" b="4445"/>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66" name="Rectangle 57"/>
                              <wps:cNvSpPr>
                                <a:spLocks noChangeArrowheads="1"/>
                              </wps:cNvSpPr>
                              <wps:spPr bwMode="auto">
                                <a:xfrm>
                                  <a:off x="7" y="7"/>
                                  <a:ext cx="200" cy="2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w:pict>
                    <v:group w14:anchorId="799A6AC2" id="Group 65"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">
                      <v:rect id="Rectangle 57"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" filled="f" strokeweight=".72pt"/>
                      <w10:anchorlock/>
                    </v:group>
                  </w:pict>
                </mc:Fallback>
              </mc:AlternateContent>
            </w:r>
          </w:p>
        </w:tc>
      </w:tr>
      <w:tr w:rsidR="002A0714" w:rsidRPr="00D724E5" w14:paraId="21F6A963" w14:textId="77777777" w:rsidTr="002A0714">
        <w:trPr>
          <w:gridBefore w:val="1"/>
          <w:wBefore w:w="10" w:type="dxa"/>
          <w:trHeight w:val="486"/>
        </w:trPr>
        <w:tc>
          <w:tcPr>
            <w:tcW w:w="9076" w:type="dxa"/>
            <w:gridSpan w:val="9"/>
          </w:tcPr>
          <w:p w14:paraId="022D6134" w14:textId="77777777" w:rsidR="002A0714" w:rsidRPr="00D724E5" w:rsidRDefault="002A0714" w:rsidP="00D724E5">
            <w:pPr>
              <w:pStyle w:val="TableParagraph"/>
              <w:spacing w:line="243" w:lineRule="exact"/>
              <w:ind w:left="107"/>
              <w:rPr>
                <w:rFonts w:ascii="Arial" w:hAnsi="Arial" w:cs="Arial"/>
                <w:b/>
                <w:sz w:val="18"/>
                <w:szCs w:val="18"/>
              </w:rPr>
            </w:pPr>
            <w:r w:rsidRPr="00D724E5">
              <w:rPr>
                <w:rFonts w:ascii="Arial" w:hAnsi="Arial" w:cs="Arial"/>
                <w:b/>
                <w:sz w:val="18"/>
                <w:szCs w:val="18"/>
              </w:rPr>
              <w:t>Maintenance</w:t>
            </w:r>
            <w:r w:rsidRPr="00D724E5">
              <w:rPr>
                <w:rFonts w:ascii="Arial" w:hAnsi="Arial" w:cs="Arial"/>
                <w:b/>
                <w:spacing w:val="-2"/>
                <w:sz w:val="18"/>
                <w:szCs w:val="18"/>
              </w:rPr>
              <w:t xml:space="preserve"> </w:t>
            </w:r>
            <w:r w:rsidRPr="00D724E5">
              <w:rPr>
                <w:rFonts w:ascii="Arial" w:hAnsi="Arial" w:cs="Arial"/>
                <w:b/>
                <w:sz w:val="18"/>
                <w:szCs w:val="18"/>
              </w:rPr>
              <w:t>due</w:t>
            </w:r>
            <w:r w:rsidRPr="00D724E5">
              <w:rPr>
                <w:rFonts w:ascii="Arial" w:hAnsi="Arial" w:cs="Arial"/>
                <w:b/>
                <w:spacing w:val="-4"/>
                <w:sz w:val="18"/>
                <w:szCs w:val="18"/>
              </w:rPr>
              <w:t xml:space="preserve"> </w:t>
            </w:r>
            <w:r w:rsidRPr="00D724E5">
              <w:rPr>
                <w:rFonts w:ascii="Arial" w:hAnsi="Arial" w:cs="Arial"/>
                <w:b/>
                <w:sz w:val="18"/>
                <w:szCs w:val="18"/>
              </w:rPr>
              <w:t>to</w:t>
            </w:r>
            <w:r w:rsidRPr="00D724E5">
              <w:rPr>
                <w:rFonts w:ascii="Arial" w:hAnsi="Arial" w:cs="Arial"/>
                <w:b/>
                <w:spacing w:val="-1"/>
                <w:sz w:val="18"/>
                <w:szCs w:val="18"/>
              </w:rPr>
              <w:t xml:space="preserve"> </w:t>
            </w:r>
            <w:r w:rsidRPr="00D724E5">
              <w:rPr>
                <w:rFonts w:ascii="Arial" w:hAnsi="Arial" w:cs="Arial"/>
                <w:b/>
                <w:sz w:val="18"/>
                <w:szCs w:val="18"/>
              </w:rPr>
              <w:t>life-limited</w:t>
            </w:r>
            <w:r w:rsidRPr="00D724E5">
              <w:rPr>
                <w:rFonts w:ascii="Arial" w:hAnsi="Arial" w:cs="Arial"/>
                <w:b/>
                <w:spacing w:val="-2"/>
                <w:sz w:val="18"/>
                <w:szCs w:val="18"/>
              </w:rPr>
              <w:t xml:space="preserve"> </w:t>
            </w:r>
            <w:r w:rsidRPr="00D724E5">
              <w:rPr>
                <w:rFonts w:ascii="Arial" w:hAnsi="Arial" w:cs="Arial"/>
                <w:b/>
                <w:sz w:val="18"/>
                <w:szCs w:val="18"/>
              </w:rPr>
              <w:t>components</w:t>
            </w:r>
            <w:r w:rsidRPr="00D724E5">
              <w:rPr>
                <w:rFonts w:ascii="Arial" w:hAnsi="Arial" w:cs="Arial"/>
                <w:b/>
                <w:spacing w:val="-2"/>
                <w:sz w:val="18"/>
                <w:szCs w:val="18"/>
              </w:rPr>
              <w:t xml:space="preserve"> </w:t>
            </w:r>
            <w:r w:rsidRPr="00D724E5">
              <w:rPr>
                <w:rFonts w:ascii="Arial" w:hAnsi="Arial" w:cs="Arial"/>
                <w:b/>
                <w:sz w:val="18"/>
                <w:szCs w:val="18"/>
              </w:rPr>
              <w:t>(This</w:t>
            </w:r>
            <w:r w:rsidRPr="00D724E5">
              <w:rPr>
                <w:rFonts w:ascii="Arial" w:hAnsi="Arial" w:cs="Arial"/>
                <w:b/>
                <w:spacing w:val="-3"/>
                <w:sz w:val="18"/>
                <w:szCs w:val="18"/>
              </w:rPr>
              <w:t xml:space="preserve"> </w:t>
            </w:r>
            <w:r w:rsidRPr="00D724E5">
              <w:rPr>
                <w:rFonts w:ascii="Arial" w:hAnsi="Arial" w:cs="Arial"/>
                <w:b/>
                <w:sz w:val="18"/>
                <w:szCs w:val="18"/>
              </w:rPr>
              <w:t>should</w:t>
            </w:r>
            <w:r w:rsidRPr="00D724E5">
              <w:rPr>
                <w:rFonts w:ascii="Arial" w:hAnsi="Arial" w:cs="Arial"/>
                <w:b/>
                <w:spacing w:val="-4"/>
                <w:sz w:val="18"/>
                <w:szCs w:val="18"/>
              </w:rPr>
              <w:t xml:space="preserve"> </w:t>
            </w:r>
            <w:r w:rsidRPr="00D724E5">
              <w:rPr>
                <w:rFonts w:ascii="Arial" w:hAnsi="Arial" w:cs="Arial"/>
                <w:b/>
                <w:sz w:val="18"/>
                <w:szCs w:val="18"/>
              </w:rPr>
              <w:t>be</w:t>
            </w:r>
            <w:r w:rsidRPr="00D724E5">
              <w:rPr>
                <w:rFonts w:ascii="Arial" w:hAnsi="Arial" w:cs="Arial"/>
                <w:b/>
                <w:spacing w:val="-2"/>
                <w:sz w:val="18"/>
                <w:szCs w:val="18"/>
              </w:rPr>
              <w:t xml:space="preserve"> </w:t>
            </w:r>
            <w:r w:rsidRPr="00D724E5">
              <w:rPr>
                <w:rFonts w:ascii="Arial" w:hAnsi="Arial" w:cs="Arial"/>
                <w:b/>
                <w:sz w:val="18"/>
                <w:szCs w:val="18"/>
              </w:rPr>
              <w:t>only</w:t>
            </w:r>
            <w:r w:rsidRPr="00D724E5">
              <w:rPr>
                <w:rFonts w:ascii="Arial" w:hAnsi="Arial" w:cs="Arial"/>
                <w:b/>
                <w:spacing w:val="-3"/>
                <w:sz w:val="18"/>
                <w:szCs w:val="18"/>
              </w:rPr>
              <w:t xml:space="preserve"> </w:t>
            </w:r>
            <w:r w:rsidRPr="00D724E5">
              <w:rPr>
                <w:rFonts w:ascii="Arial" w:hAnsi="Arial" w:cs="Arial"/>
                <w:b/>
                <w:sz w:val="18"/>
                <w:szCs w:val="18"/>
              </w:rPr>
              <w:t>if</w:t>
            </w:r>
            <w:r w:rsidRPr="00D724E5">
              <w:rPr>
                <w:rFonts w:ascii="Arial" w:hAnsi="Arial" w:cs="Arial"/>
                <w:b/>
                <w:spacing w:val="-4"/>
                <w:sz w:val="18"/>
                <w:szCs w:val="18"/>
              </w:rPr>
              <w:t xml:space="preserve"> </w:t>
            </w:r>
            <w:r w:rsidRPr="00D724E5">
              <w:rPr>
                <w:rFonts w:ascii="Arial" w:hAnsi="Arial" w:cs="Arial"/>
                <w:b/>
                <w:sz w:val="18"/>
                <w:szCs w:val="18"/>
              </w:rPr>
              <w:t>the</w:t>
            </w:r>
            <w:r w:rsidRPr="00D724E5">
              <w:rPr>
                <w:rFonts w:ascii="Arial" w:hAnsi="Arial" w:cs="Arial"/>
                <w:b/>
                <w:spacing w:val="-2"/>
                <w:sz w:val="18"/>
                <w:szCs w:val="18"/>
              </w:rPr>
              <w:t xml:space="preserve"> </w:t>
            </w:r>
            <w:r w:rsidRPr="00D724E5">
              <w:rPr>
                <w:rFonts w:ascii="Arial" w:hAnsi="Arial" w:cs="Arial"/>
                <w:b/>
                <w:sz w:val="18"/>
                <w:szCs w:val="18"/>
              </w:rPr>
              <w:t>MIP</w:t>
            </w:r>
            <w:r w:rsidRPr="00D724E5">
              <w:rPr>
                <w:rFonts w:ascii="Arial" w:hAnsi="Arial" w:cs="Arial"/>
                <w:b/>
                <w:spacing w:val="-2"/>
                <w:sz w:val="18"/>
                <w:szCs w:val="18"/>
              </w:rPr>
              <w:t xml:space="preserve"> </w:t>
            </w:r>
            <w:r w:rsidRPr="00D724E5">
              <w:rPr>
                <w:rFonts w:ascii="Arial" w:hAnsi="Arial" w:cs="Arial"/>
                <w:b/>
                <w:sz w:val="18"/>
                <w:szCs w:val="18"/>
              </w:rPr>
              <w:t>is</w:t>
            </w:r>
            <w:r w:rsidRPr="00D724E5">
              <w:rPr>
                <w:rFonts w:ascii="Arial" w:hAnsi="Arial" w:cs="Arial"/>
                <w:b/>
                <w:spacing w:val="-3"/>
                <w:sz w:val="18"/>
                <w:szCs w:val="18"/>
              </w:rPr>
              <w:t xml:space="preserve"> </w:t>
            </w:r>
            <w:r w:rsidRPr="00D724E5">
              <w:rPr>
                <w:rFonts w:ascii="Arial" w:hAnsi="Arial" w:cs="Arial"/>
                <w:b/>
                <w:sz w:val="18"/>
                <w:szCs w:val="18"/>
              </w:rPr>
              <w:t>used.</w:t>
            </w:r>
            <w:r w:rsidRPr="00D724E5">
              <w:rPr>
                <w:rFonts w:ascii="Arial" w:hAnsi="Arial" w:cs="Arial"/>
                <w:b/>
                <w:spacing w:val="-3"/>
                <w:sz w:val="18"/>
                <w:szCs w:val="18"/>
              </w:rPr>
              <w:t xml:space="preserve"> </w:t>
            </w:r>
            <w:r w:rsidRPr="00D724E5">
              <w:rPr>
                <w:rFonts w:ascii="Arial" w:hAnsi="Arial" w:cs="Arial"/>
                <w:b/>
                <w:sz w:val="18"/>
                <w:szCs w:val="18"/>
              </w:rPr>
              <w:t>Otherwise,</w:t>
            </w:r>
            <w:r w:rsidRPr="00D724E5">
              <w:rPr>
                <w:rFonts w:ascii="Arial" w:hAnsi="Arial" w:cs="Arial"/>
                <w:b/>
                <w:spacing w:val="-3"/>
                <w:sz w:val="18"/>
                <w:szCs w:val="18"/>
              </w:rPr>
              <w:t xml:space="preserve"> </w:t>
            </w:r>
            <w:r w:rsidRPr="00D724E5">
              <w:rPr>
                <w:rFonts w:ascii="Arial" w:hAnsi="Arial" w:cs="Arial"/>
                <w:b/>
                <w:sz w:val="18"/>
                <w:szCs w:val="18"/>
              </w:rPr>
              <w:t>this</w:t>
            </w:r>
            <w:r w:rsidRPr="00D724E5">
              <w:rPr>
                <w:rFonts w:ascii="Arial" w:hAnsi="Arial" w:cs="Arial"/>
                <w:b/>
                <w:spacing w:val="-3"/>
                <w:sz w:val="18"/>
                <w:szCs w:val="18"/>
              </w:rPr>
              <w:t xml:space="preserve"> </w:t>
            </w:r>
            <w:r w:rsidRPr="00D724E5">
              <w:rPr>
                <w:rFonts w:ascii="Arial" w:hAnsi="Arial" w:cs="Arial"/>
                <w:b/>
                <w:sz w:val="18"/>
                <w:szCs w:val="18"/>
              </w:rPr>
              <w:t>data</w:t>
            </w:r>
            <w:r w:rsidRPr="00D724E5">
              <w:rPr>
                <w:rFonts w:ascii="Arial" w:hAnsi="Arial" w:cs="Arial"/>
                <w:b/>
                <w:spacing w:val="-2"/>
                <w:sz w:val="18"/>
                <w:szCs w:val="18"/>
              </w:rPr>
              <w:t xml:space="preserve"> </w:t>
            </w:r>
            <w:r w:rsidR="00D724E5">
              <w:rPr>
                <w:rFonts w:ascii="Arial" w:hAnsi="Arial" w:cs="Arial"/>
                <w:b/>
                <w:sz w:val="18"/>
                <w:szCs w:val="18"/>
              </w:rPr>
              <w:t xml:space="preserve">is </w:t>
            </w:r>
            <w:r w:rsidRPr="00D724E5">
              <w:rPr>
                <w:rFonts w:ascii="Arial" w:hAnsi="Arial" w:cs="Arial"/>
                <w:b/>
                <w:sz w:val="18"/>
                <w:szCs w:val="18"/>
              </w:rPr>
              <w:t>already</w:t>
            </w:r>
            <w:r w:rsidRPr="00D724E5">
              <w:rPr>
                <w:rFonts w:ascii="Arial" w:hAnsi="Arial" w:cs="Arial"/>
                <w:b/>
                <w:spacing w:val="-3"/>
                <w:sz w:val="18"/>
                <w:szCs w:val="18"/>
              </w:rPr>
              <w:t xml:space="preserve"> </w:t>
            </w:r>
            <w:r w:rsidRPr="00D724E5">
              <w:rPr>
                <w:rFonts w:ascii="Arial" w:hAnsi="Arial" w:cs="Arial"/>
                <w:b/>
                <w:sz w:val="18"/>
                <w:szCs w:val="18"/>
              </w:rPr>
              <w:t>part</w:t>
            </w:r>
            <w:r w:rsidRPr="00D724E5">
              <w:rPr>
                <w:rFonts w:ascii="Arial" w:hAnsi="Arial" w:cs="Arial"/>
                <w:b/>
                <w:spacing w:val="-2"/>
                <w:sz w:val="18"/>
                <w:szCs w:val="18"/>
              </w:rPr>
              <w:t xml:space="preserve"> </w:t>
            </w:r>
            <w:r w:rsidRPr="00D724E5">
              <w:rPr>
                <w:rFonts w:ascii="Arial" w:hAnsi="Arial" w:cs="Arial"/>
                <w:b/>
                <w:sz w:val="18"/>
                <w:szCs w:val="18"/>
              </w:rPr>
              <w:t>of</w:t>
            </w:r>
            <w:r w:rsidRPr="00D724E5">
              <w:rPr>
                <w:rFonts w:ascii="Arial" w:hAnsi="Arial" w:cs="Arial"/>
                <w:b/>
                <w:spacing w:val="-2"/>
                <w:sz w:val="18"/>
                <w:szCs w:val="18"/>
              </w:rPr>
              <w:t xml:space="preserve"> </w:t>
            </w:r>
            <w:r w:rsidRPr="00D724E5">
              <w:rPr>
                <w:rFonts w:ascii="Arial" w:hAnsi="Arial" w:cs="Arial"/>
                <w:b/>
                <w:sz w:val="18"/>
                <w:szCs w:val="18"/>
              </w:rPr>
              <w:t>the</w:t>
            </w:r>
            <w:r w:rsidRPr="00D724E5">
              <w:rPr>
                <w:rFonts w:ascii="Arial" w:hAnsi="Arial" w:cs="Arial"/>
                <w:b/>
                <w:spacing w:val="-2"/>
                <w:sz w:val="18"/>
                <w:szCs w:val="18"/>
              </w:rPr>
              <w:t xml:space="preserve"> </w:t>
            </w:r>
            <w:r w:rsidRPr="00D724E5">
              <w:rPr>
                <w:rFonts w:ascii="Arial" w:hAnsi="Arial" w:cs="Arial"/>
                <w:b/>
                <w:sz w:val="18"/>
                <w:szCs w:val="18"/>
              </w:rPr>
              <w:t>DAH’s</w:t>
            </w:r>
            <w:r w:rsidRPr="00D724E5">
              <w:rPr>
                <w:rFonts w:ascii="Arial" w:hAnsi="Arial" w:cs="Arial"/>
                <w:b/>
                <w:spacing w:val="-2"/>
                <w:sz w:val="18"/>
                <w:szCs w:val="18"/>
              </w:rPr>
              <w:t xml:space="preserve"> </w:t>
            </w:r>
            <w:r w:rsidRPr="00D724E5">
              <w:rPr>
                <w:rFonts w:ascii="Arial" w:hAnsi="Arial" w:cs="Arial"/>
                <w:b/>
                <w:sz w:val="18"/>
                <w:szCs w:val="18"/>
              </w:rPr>
              <w:t>data</w:t>
            </w:r>
            <w:r w:rsidRPr="00D724E5">
              <w:rPr>
                <w:rFonts w:ascii="Arial" w:hAnsi="Arial" w:cs="Arial"/>
                <w:b/>
                <w:spacing w:val="-3"/>
                <w:sz w:val="18"/>
                <w:szCs w:val="18"/>
              </w:rPr>
              <w:t xml:space="preserve"> </w:t>
            </w:r>
            <w:r w:rsidRPr="00D724E5">
              <w:rPr>
                <w:rFonts w:ascii="Arial" w:hAnsi="Arial" w:cs="Arial"/>
                <w:b/>
                <w:sz w:val="18"/>
                <w:szCs w:val="18"/>
              </w:rPr>
              <w:t>used</w:t>
            </w:r>
            <w:r w:rsidRPr="00D724E5">
              <w:rPr>
                <w:rFonts w:ascii="Arial" w:hAnsi="Arial" w:cs="Arial"/>
                <w:b/>
                <w:spacing w:val="-1"/>
                <w:sz w:val="18"/>
                <w:szCs w:val="18"/>
              </w:rPr>
              <w:t xml:space="preserve"> </w:t>
            </w:r>
            <w:r w:rsidRPr="00D724E5">
              <w:rPr>
                <w:rFonts w:ascii="Arial" w:hAnsi="Arial" w:cs="Arial"/>
                <w:b/>
                <w:sz w:val="18"/>
                <w:szCs w:val="18"/>
              </w:rPr>
              <w:t>as</w:t>
            </w:r>
            <w:r w:rsidRPr="00D724E5">
              <w:rPr>
                <w:rFonts w:ascii="Arial" w:hAnsi="Arial" w:cs="Arial"/>
                <w:b/>
                <w:spacing w:val="-1"/>
                <w:sz w:val="18"/>
                <w:szCs w:val="18"/>
              </w:rPr>
              <w:t xml:space="preserve"> </w:t>
            </w:r>
            <w:r w:rsidRPr="00D724E5">
              <w:rPr>
                <w:rFonts w:ascii="Arial" w:hAnsi="Arial" w:cs="Arial"/>
                <w:b/>
                <w:sz w:val="18"/>
                <w:szCs w:val="18"/>
              </w:rPr>
              <w:t>the</w:t>
            </w:r>
            <w:r w:rsidRPr="00D724E5">
              <w:rPr>
                <w:rFonts w:ascii="Arial" w:hAnsi="Arial" w:cs="Arial"/>
                <w:b/>
                <w:spacing w:val="-2"/>
                <w:sz w:val="18"/>
                <w:szCs w:val="18"/>
              </w:rPr>
              <w:t xml:space="preserve"> </w:t>
            </w:r>
            <w:r w:rsidRPr="00D724E5">
              <w:rPr>
                <w:rFonts w:ascii="Arial" w:hAnsi="Arial" w:cs="Arial"/>
                <w:b/>
                <w:sz w:val="18"/>
                <w:szCs w:val="18"/>
              </w:rPr>
              <w:t>basis</w:t>
            </w:r>
            <w:r w:rsidRPr="00D724E5">
              <w:rPr>
                <w:rFonts w:ascii="Arial" w:hAnsi="Arial" w:cs="Arial"/>
                <w:b/>
                <w:spacing w:val="-2"/>
                <w:sz w:val="18"/>
                <w:szCs w:val="18"/>
              </w:rPr>
              <w:t xml:space="preserve"> </w:t>
            </w:r>
            <w:r w:rsidRPr="00D724E5">
              <w:rPr>
                <w:rFonts w:ascii="Arial" w:hAnsi="Arial" w:cs="Arial"/>
                <w:b/>
                <w:sz w:val="18"/>
                <w:szCs w:val="18"/>
              </w:rPr>
              <w:t>for</w:t>
            </w:r>
            <w:r w:rsidRPr="00D724E5">
              <w:rPr>
                <w:rFonts w:ascii="Arial" w:hAnsi="Arial" w:cs="Arial"/>
                <w:b/>
                <w:spacing w:val="-1"/>
                <w:sz w:val="18"/>
                <w:szCs w:val="18"/>
              </w:rPr>
              <w:t xml:space="preserve"> </w:t>
            </w:r>
            <w:r w:rsidRPr="00D724E5">
              <w:rPr>
                <w:rFonts w:ascii="Arial" w:hAnsi="Arial" w:cs="Arial"/>
                <w:b/>
                <w:sz w:val="18"/>
                <w:szCs w:val="18"/>
              </w:rPr>
              <w:t>the</w:t>
            </w:r>
            <w:r w:rsidRPr="00D724E5">
              <w:rPr>
                <w:rFonts w:ascii="Arial" w:hAnsi="Arial" w:cs="Arial"/>
                <w:b/>
                <w:spacing w:val="-2"/>
                <w:sz w:val="18"/>
                <w:szCs w:val="18"/>
              </w:rPr>
              <w:t xml:space="preserve"> </w:t>
            </w:r>
            <w:r w:rsidRPr="00D724E5">
              <w:rPr>
                <w:rFonts w:ascii="Arial" w:hAnsi="Arial" w:cs="Arial"/>
                <w:b/>
                <w:sz w:val="18"/>
                <w:szCs w:val="18"/>
              </w:rPr>
              <w:t>AMP.)</w:t>
            </w:r>
          </w:p>
        </w:tc>
      </w:tr>
      <w:tr w:rsidR="002A0714" w:rsidRPr="00D724E5" w14:paraId="4CE9E7BB" w14:textId="77777777" w:rsidTr="002A0714">
        <w:trPr>
          <w:gridBefore w:val="1"/>
          <w:wBefore w:w="10" w:type="dxa"/>
          <w:trHeight w:val="311"/>
        </w:trPr>
        <w:tc>
          <w:tcPr>
            <w:tcW w:w="3721" w:type="dxa"/>
            <w:gridSpan w:val="3"/>
          </w:tcPr>
          <w:p w14:paraId="0ECCF5DD" w14:textId="77777777" w:rsidR="002A0714" w:rsidRPr="00D724E5" w:rsidRDefault="002A0714" w:rsidP="002A0714">
            <w:pPr>
              <w:pStyle w:val="TableParagraph"/>
              <w:ind w:left="0"/>
              <w:rPr>
                <w:rFonts w:ascii="Arial" w:hAnsi="Arial" w:cs="Arial"/>
                <w:sz w:val="18"/>
                <w:szCs w:val="18"/>
              </w:rPr>
            </w:pPr>
          </w:p>
        </w:tc>
        <w:tc>
          <w:tcPr>
            <w:tcW w:w="2514" w:type="dxa"/>
            <w:gridSpan w:val="3"/>
          </w:tcPr>
          <w:p w14:paraId="6800E0EC" w14:textId="77777777" w:rsidR="002A0714" w:rsidRPr="00D724E5" w:rsidRDefault="002A0714" w:rsidP="002A0714">
            <w:pPr>
              <w:pStyle w:val="TableParagraph"/>
              <w:ind w:left="0"/>
              <w:rPr>
                <w:rFonts w:ascii="Arial" w:hAnsi="Arial" w:cs="Arial"/>
                <w:sz w:val="18"/>
                <w:szCs w:val="18"/>
              </w:rPr>
            </w:pPr>
          </w:p>
        </w:tc>
        <w:tc>
          <w:tcPr>
            <w:tcW w:w="2841" w:type="dxa"/>
            <w:gridSpan w:val="3"/>
          </w:tcPr>
          <w:p w14:paraId="04C19C13" w14:textId="77777777" w:rsidR="002A0714" w:rsidRPr="00D724E5" w:rsidRDefault="002A0714" w:rsidP="002A0714">
            <w:pPr>
              <w:pStyle w:val="TableParagraph"/>
              <w:spacing w:before="7"/>
              <w:ind w:left="0"/>
              <w:rPr>
                <w:rFonts w:ascii="Arial" w:hAnsi="Arial" w:cs="Arial"/>
                <w:sz w:val="18"/>
                <w:szCs w:val="18"/>
              </w:rPr>
            </w:pPr>
          </w:p>
          <w:p w14:paraId="128D2C51" w14:textId="77777777" w:rsidR="002A0714" w:rsidRPr="00D724E5" w:rsidRDefault="002A0714" w:rsidP="002A0714">
            <w:pPr>
              <w:pStyle w:val="TableParagraph"/>
              <w:spacing w:line="215" w:lineRule="exact"/>
              <w:ind w:left="2499"/>
              <w:rPr>
                <w:rFonts w:ascii="Arial" w:hAnsi="Arial" w:cs="Arial"/>
                <w:sz w:val="18"/>
                <w:szCs w:val="18"/>
              </w:rPr>
            </w:pPr>
            <w:r w:rsidRPr="00D724E5">
              <w:rPr>
                <w:rFonts w:ascii="Arial" w:hAnsi="Arial" w:cs="Arial"/>
                <w:noProof/>
                <w:position w:val="-3"/>
                <w:sz w:val="18"/>
                <w:szCs w:val="18"/>
              </w:rPr>
              <mc:AlternateContent>
                <mc:Choice Requires="wpg">
                  <w:drawing>
                    <wp:inline distT="0" distB="0" distL="0" distR="0" wp14:anchorId="269BBC22" wp14:editId="3F8D21A5">
                      <wp:extent cx="135890" cy="135890"/>
                      <wp:effectExtent l="1270" t="8890" r="5715" b="7620"/>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64" name="Rectangle 55"/>
                              <wps:cNvSpPr>
                                <a:spLocks noChangeArrowheads="1"/>
                              </wps:cNvSpPr>
                              <wps:spPr bwMode="auto">
                                <a:xfrm>
                                  <a:off x="7" y="7"/>
                                  <a:ext cx="200" cy="2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w:pict>
                    <v:group w14:anchorId="13662BD7" id="Group 63"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">
                      <v:rect id="Rectangle 55"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" filled="f" strokeweight=".72pt"/>
                      <w10:anchorlock/>
                    </v:group>
                  </w:pict>
                </mc:Fallback>
              </mc:AlternateContent>
            </w:r>
          </w:p>
        </w:tc>
      </w:tr>
      <w:tr w:rsidR="002A0714" w:rsidRPr="00D724E5" w14:paraId="67CA4097" w14:textId="77777777" w:rsidTr="002A0714">
        <w:trPr>
          <w:gridBefore w:val="1"/>
          <w:wBefore w:w="10" w:type="dxa"/>
          <w:trHeight w:val="323"/>
        </w:trPr>
        <w:tc>
          <w:tcPr>
            <w:tcW w:w="3721" w:type="dxa"/>
            <w:gridSpan w:val="3"/>
          </w:tcPr>
          <w:p w14:paraId="446BD5A3" w14:textId="77777777" w:rsidR="002A0714" w:rsidRPr="00D724E5" w:rsidRDefault="002A0714" w:rsidP="002A0714">
            <w:pPr>
              <w:pStyle w:val="TableParagraph"/>
              <w:ind w:left="0"/>
              <w:rPr>
                <w:rFonts w:ascii="Arial" w:hAnsi="Arial" w:cs="Arial"/>
                <w:sz w:val="18"/>
                <w:szCs w:val="18"/>
              </w:rPr>
            </w:pPr>
          </w:p>
        </w:tc>
        <w:tc>
          <w:tcPr>
            <w:tcW w:w="2514" w:type="dxa"/>
            <w:gridSpan w:val="3"/>
          </w:tcPr>
          <w:p w14:paraId="77EFACD9" w14:textId="77777777" w:rsidR="002A0714" w:rsidRPr="00D724E5" w:rsidRDefault="002A0714" w:rsidP="002A0714">
            <w:pPr>
              <w:pStyle w:val="TableParagraph"/>
              <w:ind w:left="0"/>
              <w:rPr>
                <w:rFonts w:ascii="Arial" w:hAnsi="Arial" w:cs="Arial"/>
                <w:sz w:val="18"/>
                <w:szCs w:val="18"/>
              </w:rPr>
            </w:pPr>
          </w:p>
        </w:tc>
        <w:tc>
          <w:tcPr>
            <w:tcW w:w="2841" w:type="dxa"/>
            <w:gridSpan w:val="3"/>
          </w:tcPr>
          <w:p w14:paraId="40C6EA7B" w14:textId="77777777" w:rsidR="002A0714" w:rsidRPr="00D724E5" w:rsidRDefault="00804E5A" w:rsidP="002A0714">
            <w:pPr>
              <w:pStyle w:val="TableParagraph"/>
              <w:spacing w:before="2"/>
              <w:ind w:left="0"/>
              <w:rPr>
                <w:rFonts w:ascii="Arial" w:hAnsi="Arial" w:cs="Arial"/>
                <w:sz w:val="18"/>
                <w:szCs w:val="18"/>
              </w:rPr>
            </w:pPr>
            <w:r w:rsidRPr="00D724E5">
              <w:rPr>
                <w:rFonts w:ascii="Arial" w:hAnsi="Arial" w:cs="Arial"/>
                <w:noProof/>
                <w:position w:val="-3"/>
                <w:sz w:val="18"/>
                <w:szCs w:val="18"/>
              </w:rPr>
              <mc:AlternateContent>
                <mc:Choice Requires="wpg">
                  <w:drawing>
                    <wp:anchor distT="0" distB="0" distL="114300" distR="114300" simplePos="0" relativeHeight="251673600" behindDoc="0" locked="0" layoutInCell="1" allowOverlap="1" wp14:anchorId="245080BF" wp14:editId="3F67F601">
                      <wp:simplePos x="0" y="0"/>
                      <wp:positionH relativeFrom="column">
                        <wp:posOffset>1591310</wp:posOffset>
                      </wp:positionH>
                      <wp:positionV relativeFrom="paragraph">
                        <wp:posOffset>95885</wp:posOffset>
                      </wp:positionV>
                      <wp:extent cx="135890" cy="135890"/>
                      <wp:effectExtent l="0" t="0" r="16510" b="16510"/>
                      <wp:wrapThrough wrapText="bothSides">
                        <wp:wrapPolygon edited="0">
                          <wp:start x="0" y="0"/>
                          <wp:lineTo x="0" y="21196"/>
                          <wp:lineTo x="21196" y="21196"/>
                          <wp:lineTo x="21196" y="0"/>
                          <wp:lineTo x="0" y="0"/>
                        </wp:wrapPolygon>
                      </wp:wrapThrough>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62" name="Rectangle 53"/>
                              <wps:cNvSpPr>
                                <a:spLocks noChangeArrowheads="1"/>
                              </wps:cNvSpPr>
                              <wps:spPr bwMode="auto">
                                <a:xfrm>
                                  <a:off x="7" y="7"/>
                                  <a:ext cx="200" cy="2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du="http://schemas.microsoft.com/office/word/2023/wordml/word16du">
                  <w:pict>
                    <v:group w14:anchorId="12EC3043" id="Group 61" o:spid="_x0000_s1026" style="position:absolute;margin-left:125.3pt;margin-top:7.55pt;width:10.7pt;height:10.7pt;z-index:251673600"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">
                      <v:rect id="Rectangle 53"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" filled="f" strokeweight=".72pt"/>
                      <w10:wrap type="through"/>
                    </v:group>
                  </w:pict>
                </mc:Fallback>
              </mc:AlternateContent>
            </w:r>
          </w:p>
          <w:p w14:paraId="2A1E4F05" w14:textId="77777777" w:rsidR="002A0714" w:rsidRPr="00D724E5" w:rsidRDefault="002A0714" w:rsidP="00804E5A">
            <w:pPr>
              <w:pStyle w:val="TableParagraph"/>
              <w:spacing w:line="215" w:lineRule="exact"/>
              <w:rPr>
                <w:rFonts w:ascii="Arial" w:hAnsi="Arial" w:cs="Arial"/>
                <w:sz w:val="18"/>
                <w:szCs w:val="18"/>
              </w:rPr>
            </w:pPr>
          </w:p>
        </w:tc>
      </w:tr>
      <w:tr w:rsidR="002A0714" w:rsidRPr="00D724E5" w14:paraId="647D8A3C" w14:textId="77777777" w:rsidTr="002A0714">
        <w:trPr>
          <w:gridBefore w:val="1"/>
          <w:wBefore w:w="10" w:type="dxa"/>
          <w:trHeight w:val="489"/>
        </w:trPr>
        <w:tc>
          <w:tcPr>
            <w:tcW w:w="9076" w:type="dxa"/>
            <w:gridSpan w:val="9"/>
          </w:tcPr>
          <w:p w14:paraId="551CCF86" w14:textId="77777777" w:rsidR="002A0714" w:rsidRPr="00D724E5" w:rsidRDefault="002A0714" w:rsidP="002A0714">
            <w:pPr>
              <w:pStyle w:val="TableParagraph"/>
              <w:spacing w:line="243" w:lineRule="exact"/>
              <w:ind w:left="107"/>
              <w:rPr>
                <w:rFonts w:ascii="Arial" w:hAnsi="Arial" w:cs="Arial"/>
                <w:b/>
                <w:sz w:val="18"/>
                <w:szCs w:val="18"/>
              </w:rPr>
            </w:pPr>
            <w:r w:rsidRPr="00D724E5">
              <w:rPr>
                <w:rFonts w:ascii="Arial" w:hAnsi="Arial" w:cs="Arial"/>
                <w:b/>
                <w:sz w:val="18"/>
                <w:szCs w:val="18"/>
              </w:rPr>
              <w:t>Maintenance</w:t>
            </w:r>
            <w:r w:rsidRPr="00D724E5">
              <w:rPr>
                <w:rFonts w:ascii="Arial" w:hAnsi="Arial" w:cs="Arial"/>
                <w:b/>
                <w:spacing w:val="-4"/>
                <w:sz w:val="18"/>
                <w:szCs w:val="18"/>
              </w:rPr>
              <w:t xml:space="preserve"> </w:t>
            </w:r>
            <w:r w:rsidRPr="00D724E5">
              <w:rPr>
                <w:rFonts w:ascii="Arial" w:hAnsi="Arial" w:cs="Arial"/>
                <w:b/>
                <w:sz w:val="18"/>
                <w:szCs w:val="18"/>
              </w:rPr>
              <w:t>due</w:t>
            </w:r>
            <w:r w:rsidRPr="00D724E5">
              <w:rPr>
                <w:rFonts w:ascii="Arial" w:hAnsi="Arial" w:cs="Arial"/>
                <w:b/>
                <w:spacing w:val="-5"/>
                <w:sz w:val="18"/>
                <w:szCs w:val="18"/>
              </w:rPr>
              <w:t xml:space="preserve"> </w:t>
            </w:r>
            <w:r w:rsidRPr="00D724E5">
              <w:rPr>
                <w:rFonts w:ascii="Arial" w:hAnsi="Arial" w:cs="Arial"/>
                <w:b/>
                <w:sz w:val="18"/>
                <w:szCs w:val="18"/>
              </w:rPr>
              <w:t>to</w:t>
            </w:r>
            <w:r w:rsidRPr="00D724E5">
              <w:rPr>
                <w:rFonts w:ascii="Arial" w:hAnsi="Arial" w:cs="Arial"/>
                <w:b/>
                <w:spacing w:val="-2"/>
                <w:sz w:val="18"/>
                <w:szCs w:val="18"/>
              </w:rPr>
              <w:t xml:space="preserve"> </w:t>
            </w:r>
            <w:r w:rsidRPr="00D724E5">
              <w:rPr>
                <w:rFonts w:ascii="Arial" w:hAnsi="Arial" w:cs="Arial"/>
                <w:b/>
                <w:sz w:val="18"/>
                <w:szCs w:val="18"/>
              </w:rPr>
              <w:t>mandatory</w:t>
            </w:r>
            <w:r w:rsidRPr="00D724E5">
              <w:rPr>
                <w:rFonts w:ascii="Arial" w:hAnsi="Arial" w:cs="Arial"/>
                <w:b/>
                <w:spacing w:val="-4"/>
                <w:sz w:val="18"/>
                <w:szCs w:val="18"/>
              </w:rPr>
              <w:t xml:space="preserve"> </w:t>
            </w:r>
            <w:r w:rsidRPr="00D724E5">
              <w:rPr>
                <w:rFonts w:ascii="Arial" w:hAnsi="Arial" w:cs="Arial"/>
                <w:b/>
                <w:sz w:val="18"/>
                <w:szCs w:val="18"/>
              </w:rPr>
              <w:t>continuing</w:t>
            </w:r>
            <w:r w:rsidRPr="00D724E5">
              <w:rPr>
                <w:rFonts w:ascii="Arial" w:hAnsi="Arial" w:cs="Arial"/>
                <w:b/>
                <w:spacing w:val="-5"/>
                <w:sz w:val="18"/>
                <w:szCs w:val="18"/>
              </w:rPr>
              <w:t xml:space="preserve"> </w:t>
            </w:r>
            <w:r w:rsidRPr="00D724E5">
              <w:rPr>
                <w:rFonts w:ascii="Arial" w:hAnsi="Arial" w:cs="Arial"/>
                <w:b/>
                <w:sz w:val="18"/>
                <w:szCs w:val="18"/>
              </w:rPr>
              <w:t>airworthiness</w:t>
            </w:r>
            <w:r w:rsidRPr="00D724E5">
              <w:rPr>
                <w:rFonts w:ascii="Arial" w:hAnsi="Arial" w:cs="Arial"/>
                <w:b/>
                <w:spacing w:val="-6"/>
                <w:sz w:val="18"/>
                <w:szCs w:val="18"/>
              </w:rPr>
              <w:t xml:space="preserve"> </w:t>
            </w:r>
            <w:r w:rsidRPr="00D724E5">
              <w:rPr>
                <w:rFonts w:ascii="Arial" w:hAnsi="Arial" w:cs="Arial"/>
                <w:b/>
                <w:sz w:val="18"/>
                <w:szCs w:val="18"/>
              </w:rPr>
              <w:t>instructions</w:t>
            </w:r>
            <w:r w:rsidRPr="00D724E5">
              <w:rPr>
                <w:rFonts w:ascii="Arial" w:hAnsi="Arial" w:cs="Arial"/>
                <w:b/>
                <w:spacing w:val="-4"/>
                <w:sz w:val="18"/>
                <w:szCs w:val="18"/>
              </w:rPr>
              <w:t xml:space="preserve"> </w:t>
            </w:r>
            <w:r w:rsidRPr="00D724E5">
              <w:rPr>
                <w:rFonts w:ascii="Arial" w:hAnsi="Arial" w:cs="Arial"/>
                <w:b/>
                <w:sz w:val="18"/>
                <w:szCs w:val="18"/>
              </w:rPr>
              <w:t>(ALIs,</w:t>
            </w:r>
            <w:r w:rsidRPr="00D724E5">
              <w:rPr>
                <w:rFonts w:ascii="Arial" w:hAnsi="Arial" w:cs="Arial"/>
                <w:b/>
                <w:spacing w:val="-5"/>
                <w:sz w:val="18"/>
                <w:szCs w:val="18"/>
              </w:rPr>
              <w:t xml:space="preserve"> </w:t>
            </w:r>
            <w:r w:rsidRPr="00D724E5">
              <w:rPr>
                <w:rFonts w:ascii="Arial" w:hAnsi="Arial" w:cs="Arial"/>
                <w:b/>
                <w:sz w:val="18"/>
                <w:szCs w:val="18"/>
              </w:rPr>
              <w:t>CMRs,</w:t>
            </w:r>
            <w:r w:rsidRPr="00D724E5">
              <w:rPr>
                <w:rFonts w:ascii="Arial" w:hAnsi="Arial" w:cs="Arial"/>
                <w:b/>
                <w:spacing w:val="-5"/>
                <w:sz w:val="18"/>
                <w:szCs w:val="18"/>
              </w:rPr>
              <w:t xml:space="preserve"> </w:t>
            </w:r>
            <w:r w:rsidRPr="00D724E5">
              <w:rPr>
                <w:rFonts w:ascii="Arial" w:hAnsi="Arial" w:cs="Arial"/>
                <w:b/>
                <w:sz w:val="18"/>
                <w:szCs w:val="18"/>
              </w:rPr>
              <w:t>specific</w:t>
            </w:r>
            <w:r w:rsidRPr="00D724E5">
              <w:rPr>
                <w:rFonts w:ascii="Arial" w:hAnsi="Arial" w:cs="Arial"/>
                <w:b/>
                <w:spacing w:val="-3"/>
                <w:sz w:val="18"/>
                <w:szCs w:val="18"/>
              </w:rPr>
              <w:t xml:space="preserve"> </w:t>
            </w:r>
            <w:r w:rsidRPr="00D724E5">
              <w:rPr>
                <w:rFonts w:ascii="Arial" w:hAnsi="Arial" w:cs="Arial"/>
                <w:b/>
                <w:sz w:val="18"/>
                <w:szCs w:val="18"/>
              </w:rPr>
              <w:t>requirements</w:t>
            </w:r>
          </w:p>
          <w:p w14:paraId="4D522C62" w14:textId="77777777" w:rsidR="002A0714" w:rsidRPr="00D724E5" w:rsidRDefault="002A0714" w:rsidP="002A0714">
            <w:pPr>
              <w:pStyle w:val="TableParagraph"/>
              <w:spacing w:line="225" w:lineRule="exact"/>
              <w:ind w:left="107"/>
              <w:rPr>
                <w:rFonts w:ascii="Arial" w:hAnsi="Arial" w:cs="Arial"/>
                <w:b/>
                <w:sz w:val="18"/>
                <w:szCs w:val="18"/>
              </w:rPr>
            </w:pPr>
            <w:r w:rsidRPr="00D724E5">
              <w:rPr>
                <w:rFonts w:ascii="Arial" w:hAnsi="Arial" w:cs="Arial"/>
                <w:b/>
                <w:sz w:val="18"/>
                <w:szCs w:val="18"/>
              </w:rPr>
              <w:t>in</w:t>
            </w:r>
            <w:r w:rsidRPr="00D724E5">
              <w:rPr>
                <w:rFonts w:ascii="Arial" w:hAnsi="Arial" w:cs="Arial"/>
                <w:b/>
                <w:spacing w:val="-3"/>
                <w:sz w:val="18"/>
                <w:szCs w:val="18"/>
              </w:rPr>
              <w:t xml:space="preserve"> </w:t>
            </w:r>
            <w:r w:rsidRPr="00D724E5">
              <w:rPr>
                <w:rFonts w:ascii="Arial" w:hAnsi="Arial" w:cs="Arial"/>
                <w:b/>
                <w:sz w:val="18"/>
                <w:szCs w:val="18"/>
              </w:rPr>
              <w:t>the</w:t>
            </w:r>
            <w:r w:rsidRPr="00D724E5">
              <w:rPr>
                <w:rFonts w:ascii="Arial" w:hAnsi="Arial" w:cs="Arial"/>
                <w:b/>
                <w:spacing w:val="-2"/>
                <w:sz w:val="18"/>
                <w:szCs w:val="18"/>
              </w:rPr>
              <w:t xml:space="preserve"> </w:t>
            </w:r>
            <w:r w:rsidRPr="00D724E5">
              <w:rPr>
                <w:rFonts w:ascii="Arial" w:hAnsi="Arial" w:cs="Arial"/>
                <w:b/>
                <w:sz w:val="18"/>
                <w:szCs w:val="18"/>
              </w:rPr>
              <w:t>TCDS,</w:t>
            </w:r>
            <w:r w:rsidRPr="00D724E5">
              <w:rPr>
                <w:rFonts w:ascii="Arial" w:hAnsi="Arial" w:cs="Arial"/>
                <w:b/>
                <w:spacing w:val="-4"/>
                <w:sz w:val="18"/>
                <w:szCs w:val="18"/>
              </w:rPr>
              <w:t xml:space="preserve"> </w:t>
            </w:r>
            <w:r w:rsidRPr="00D724E5">
              <w:rPr>
                <w:rFonts w:ascii="Arial" w:hAnsi="Arial" w:cs="Arial"/>
                <w:b/>
                <w:sz w:val="18"/>
                <w:szCs w:val="18"/>
              </w:rPr>
              <w:t>etc.)</w:t>
            </w:r>
          </w:p>
        </w:tc>
      </w:tr>
      <w:tr w:rsidR="002A0714" w:rsidRPr="00D724E5" w14:paraId="10EE34B5" w14:textId="77777777" w:rsidTr="002A0714">
        <w:trPr>
          <w:gridBefore w:val="1"/>
          <w:wBefore w:w="10" w:type="dxa"/>
          <w:trHeight w:val="352"/>
        </w:trPr>
        <w:tc>
          <w:tcPr>
            <w:tcW w:w="3721" w:type="dxa"/>
            <w:gridSpan w:val="3"/>
          </w:tcPr>
          <w:p w14:paraId="3F2D0972" w14:textId="77777777" w:rsidR="002A0714" w:rsidRPr="00D724E5" w:rsidRDefault="002A0714" w:rsidP="002A0714">
            <w:pPr>
              <w:pStyle w:val="TableParagraph"/>
              <w:ind w:left="0"/>
              <w:rPr>
                <w:rFonts w:ascii="Arial" w:hAnsi="Arial" w:cs="Arial"/>
                <w:sz w:val="18"/>
                <w:szCs w:val="18"/>
              </w:rPr>
            </w:pPr>
          </w:p>
        </w:tc>
        <w:tc>
          <w:tcPr>
            <w:tcW w:w="2514" w:type="dxa"/>
            <w:gridSpan w:val="3"/>
          </w:tcPr>
          <w:p w14:paraId="3DD03899" w14:textId="77777777" w:rsidR="002A0714" w:rsidRPr="00D724E5" w:rsidRDefault="002A0714" w:rsidP="002A0714">
            <w:pPr>
              <w:pStyle w:val="TableParagraph"/>
              <w:ind w:left="0"/>
              <w:rPr>
                <w:rFonts w:ascii="Arial" w:hAnsi="Arial" w:cs="Arial"/>
                <w:sz w:val="18"/>
                <w:szCs w:val="18"/>
              </w:rPr>
            </w:pPr>
          </w:p>
        </w:tc>
        <w:tc>
          <w:tcPr>
            <w:tcW w:w="2841" w:type="dxa"/>
            <w:gridSpan w:val="3"/>
          </w:tcPr>
          <w:p w14:paraId="78182BC8" w14:textId="77777777" w:rsidR="002A0714" w:rsidRPr="00D724E5" w:rsidRDefault="00804E5A" w:rsidP="002A0714">
            <w:pPr>
              <w:pStyle w:val="TableParagraph"/>
              <w:spacing w:before="5"/>
              <w:ind w:left="0"/>
              <w:rPr>
                <w:rFonts w:ascii="Arial" w:hAnsi="Arial" w:cs="Arial"/>
                <w:sz w:val="18"/>
                <w:szCs w:val="18"/>
              </w:rPr>
            </w:pPr>
            <w:r w:rsidRPr="00D724E5">
              <w:rPr>
                <w:rFonts w:ascii="Arial" w:hAnsi="Arial" w:cs="Arial"/>
                <w:noProof/>
                <w:position w:val="-3"/>
                <w:sz w:val="18"/>
                <w:szCs w:val="18"/>
              </w:rPr>
              <mc:AlternateContent>
                <mc:Choice Requires="wpg">
                  <w:drawing>
                    <wp:anchor distT="0" distB="0" distL="114300" distR="114300" simplePos="0" relativeHeight="251670528" behindDoc="0" locked="0" layoutInCell="1" allowOverlap="1" wp14:anchorId="12555D4E" wp14:editId="6FE9441D">
                      <wp:simplePos x="0" y="0"/>
                      <wp:positionH relativeFrom="column">
                        <wp:posOffset>1591654</wp:posOffset>
                      </wp:positionH>
                      <wp:positionV relativeFrom="paragraph">
                        <wp:posOffset>65405</wp:posOffset>
                      </wp:positionV>
                      <wp:extent cx="135890" cy="135890"/>
                      <wp:effectExtent l="0" t="0" r="16510" b="16510"/>
                      <wp:wrapThrough wrapText="bothSides">
                        <wp:wrapPolygon edited="0">
                          <wp:start x="0" y="0"/>
                          <wp:lineTo x="0" y="21196"/>
                          <wp:lineTo x="21196" y="21196"/>
                          <wp:lineTo x="21196" y="0"/>
                          <wp:lineTo x="0" y="0"/>
                        </wp:wrapPolygon>
                      </wp:wrapThrough>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60" name="Rectangle 51"/>
                              <wps:cNvSpPr>
                                <a:spLocks noChangeArrowheads="1"/>
                              </wps:cNvSpPr>
                              <wps:spPr bwMode="auto">
                                <a:xfrm>
                                  <a:off x="7" y="7"/>
                                  <a:ext cx="200" cy="2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du="http://schemas.microsoft.com/office/word/2023/wordml/word16du">
                  <w:pict>
                    <v:group w14:anchorId="57E66CAA" id="Group 59" o:spid="_x0000_s1026" style="position:absolute;margin-left:125.35pt;margin-top:5.15pt;width:10.7pt;height:10.7pt;z-index:251670528"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">
                      <v:rect id="Rectangle 51"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" filled="f" strokeweight=".72pt"/>
                      <w10:wrap type="through"/>
                    </v:group>
                  </w:pict>
                </mc:Fallback>
              </mc:AlternateContent>
            </w:r>
          </w:p>
          <w:p w14:paraId="52548E91" w14:textId="77777777" w:rsidR="002A0714" w:rsidRPr="00D724E5" w:rsidRDefault="002A0714" w:rsidP="00804E5A">
            <w:pPr>
              <w:pStyle w:val="TableParagraph"/>
              <w:spacing w:line="215" w:lineRule="exact"/>
              <w:rPr>
                <w:rFonts w:ascii="Arial" w:hAnsi="Arial" w:cs="Arial"/>
                <w:sz w:val="18"/>
                <w:szCs w:val="18"/>
              </w:rPr>
            </w:pPr>
          </w:p>
        </w:tc>
      </w:tr>
      <w:tr w:rsidR="002A0714" w:rsidRPr="00D724E5" w14:paraId="3DD28AA6" w14:textId="77777777" w:rsidTr="00804E5A">
        <w:trPr>
          <w:gridBefore w:val="1"/>
          <w:wBefore w:w="10" w:type="dxa"/>
          <w:trHeight w:val="503"/>
        </w:trPr>
        <w:tc>
          <w:tcPr>
            <w:tcW w:w="3721" w:type="dxa"/>
            <w:gridSpan w:val="3"/>
          </w:tcPr>
          <w:p w14:paraId="1D68CA0A" w14:textId="77777777" w:rsidR="002A0714" w:rsidRPr="00D724E5" w:rsidRDefault="002A0714" w:rsidP="002A0714">
            <w:pPr>
              <w:pStyle w:val="TableParagraph"/>
              <w:ind w:left="0"/>
              <w:rPr>
                <w:rFonts w:ascii="Arial" w:hAnsi="Arial" w:cs="Arial"/>
                <w:sz w:val="18"/>
                <w:szCs w:val="18"/>
              </w:rPr>
            </w:pPr>
          </w:p>
        </w:tc>
        <w:tc>
          <w:tcPr>
            <w:tcW w:w="2514" w:type="dxa"/>
            <w:gridSpan w:val="3"/>
          </w:tcPr>
          <w:p w14:paraId="581BA3A5" w14:textId="77777777" w:rsidR="002A0714" w:rsidRPr="00D724E5" w:rsidRDefault="002A0714" w:rsidP="002A0714">
            <w:pPr>
              <w:pStyle w:val="TableParagraph"/>
              <w:ind w:left="0"/>
              <w:rPr>
                <w:rFonts w:ascii="Arial" w:hAnsi="Arial" w:cs="Arial"/>
                <w:sz w:val="18"/>
                <w:szCs w:val="18"/>
              </w:rPr>
            </w:pPr>
          </w:p>
        </w:tc>
        <w:tc>
          <w:tcPr>
            <w:tcW w:w="2841" w:type="dxa"/>
            <w:gridSpan w:val="3"/>
          </w:tcPr>
          <w:p w14:paraId="3761CBC1" w14:textId="77777777" w:rsidR="002A0714" w:rsidRPr="00D724E5" w:rsidRDefault="00804E5A" w:rsidP="00804E5A">
            <w:pPr>
              <w:pStyle w:val="TableParagraph"/>
              <w:spacing w:before="10"/>
              <w:ind w:left="0"/>
              <w:rPr>
                <w:rFonts w:ascii="Arial" w:hAnsi="Arial" w:cs="Arial"/>
                <w:sz w:val="18"/>
                <w:szCs w:val="18"/>
              </w:rPr>
            </w:pPr>
            <w:r w:rsidRPr="00D724E5">
              <w:rPr>
                <w:rFonts w:ascii="Arial" w:hAnsi="Arial" w:cs="Arial"/>
                <w:noProof/>
                <w:position w:val="-3"/>
                <w:sz w:val="18"/>
                <w:szCs w:val="18"/>
              </w:rPr>
              <mc:AlternateContent>
                <mc:Choice Requires="wpg">
                  <w:drawing>
                    <wp:anchor distT="0" distB="0" distL="114300" distR="114300" simplePos="0" relativeHeight="251669504" behindDoc="0" locked="0" layoutInCell="1" allowOverlap="1" wp14:anchorId="62E6F103" wp14:editId="50B8F042">
                      <wp:simplePos x="0" y="0"/>
                      <wp:positionH relativeFrom="column">
                        <wp:posOffset>1591654</wp:posOffset>
                      </wp:positionH>
                      <wp:positionV relativeFrom="paragraph">
                        <wp:posOffset>73660</wp:posOffset>
                      </wp:positionV>
                      <wp:extent cx="135890" cy="135890"/>
                      <wp:effectExtent l="0" t="0" r="16510" b="16510"/>
                      <wp:wrapThrough wrapText="bothSides">
                        <wp:wrapPolygon edited="0">
                          <wp:start x="0" y="0"/>
                          <wp:lineTo x="0" y="21196"/>
                          <wp:lineTo x="21196" y="21196"/>
                          <wp:lineTo x="21196" y="0"/>
                          <wp:lineTo x="0" y="0"/>
                        </wp:wrapPolygon>
                      </wp:wrapThrough>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58" name="Rectangle 49"/>
                              <wps:cNvSpPr>
                                <a:spLocks noChangeArrowheads="1"/>
                              </wps:cNvSpPr>
                              <wps:spPr bwMode="auto">
                                <a:xfrm>
                                  <a:off x="7" y="7"/>
                                  <a:ext cx="200" cy="2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du="http://schemas.microsoft.com/office/word/2023/wordml/word16du">
                  <w:pict>
                    <v:group w14:anchorId="004E46F0" id="Group 57" o:spid="_x0000_s1026" style="position:absolute;margin-left:125.35pt;margin-top:5.8pt;width:10.7pt;height:10.7pt;z-index:251669504"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">
                      <v:rect id="Rectangle 49"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" filled="f" strokeweight=".72pt"/>
                      <w10:wrap type="through"/>
                    </v:group>
                  </w:pict>
                </mc:Fallback>
              </mc:AlternateContent>
            </w:r>
          </w:p>
        </w:tc>
      </w:tr>
      <w:tr w:rsidR="002A0714" w:rsidRPr="00D724E5" w14:paraId="02EC43C8" w14:textId="77777777" w:rsidTr="002A0714">
        <w:trPr>
          <w:gridBefore w:val="1"/>
          <w:wBefore w:w="10" w:type="dxa"/>
          <w:trHeight w:val="489"/>
        </w:trPr>
        <w:tc>
          <w:tcPr>
            <w:tcW w:w="9076" w:type="dxa"/>
            <w:gridSpan w:val="9"/>
          </w:tcPr>
          <w:p w14:paraId="511DCC7C" w14:textId="77777777" w:rsidR="002A0714" w:rsidRPr="00D724E5" w:rsidRDefault="002A0714" w:rsidP="002A0714">
            <w:pPr>
              <w:pStyle w:val="TableParagraph"/>
              <w:spacing w:before="1" w:line="243" w:lineRule="exact"/>
              <w:ind w:left="107"/>
              <w:rPr>
                <w:rFonts w:ascii="Arial" w:hAnsi="Arial" w:cs="Arial"/>
                <w:b/>
                <w:sz w:val="18"/>
                <w:szCs w:val="18"/>
              </w:rPr>
            </w:pPr>
            <w:r w:rsidRPr="00D724E5">
              <w:rPr>
                <w:rFonts w:ascii="Arial" w:hAnsi="Arial" w:cs="Arial"/>
                <w:b/>
                <w:sz w:val="18"/>
                <w:szCs w:val="18"/>
              </w:rPr>
              <w:t>Maintenance</w:t>
            </w:r>
            <w:r w:rsidRPr="00D724E5">
              <w:rPr>
                <w:rFonts w:ascii="Arial" w:hAnsi="Arial" w:cs="Arial"/>
                <w:b/>
                <w:spacing w:val="-4"/>
                <w:sz w:val="18"/>
                <w:szCs w:val="18"/>
              </w:rPr>
              <w:t xml:space="preserve"> </w:t>
            </w:r>
            <w:r w:rsidRPr="00D724E5">
              <w:rPr>
                <w:rFonts w:ascii="Arial" w:hAnsi="Arial" w:cs="Arial"/>
                <w:b/>
                <w:sz w:val="18"/>
                <w:szCs w:val="18"/>
              </w:rPr>
              <w:t>recommendations,</w:t>
            </w:r>
            <w:r w:rsidRPr="00D724E5">
              <w:rPr>
                <w:rFonts w:ascii="Arial" w:hAnsi="Arial" w:cs="Arial"/>
                <w:b/>
                <w:spacing w:val="-6"/>
                <w:sz w:val="18"/>
                <w:szCs w:val="18"/>
              </w:rPr>
              <w:t xml:space="preserve"> </w:t>
            </w:r>
            <w:r w:rsidRPr="00D724E5">
              <w:rPr>
                <w:rFonts w:ascii="Arial" w:hAnsi="Arial" w:cs="Arial"/>
                <w:b/>
                <w:sz w:val="18"/>
                <w:szCs w:val="18"/>
              </w:rPr>
              <w:t>such</w:t>
            </w:r>
            <w:r w:rsidRPr="00D724E5">
              <w:rPr>
                <w:rFonts w:ascii="Arial" w:hAnsi="Arial" w:cs="Arial"/>
                <w:b/>
                <w:spacing w:val="-4"/>
                <w:sz w:val="18"/>
                <w:szCs w:val="18"/>
              </w:rPr>
              <w:t xml:space="preserve"> </w:t>
            </w:r>
            <w:r w:rsidRPr="00D724E5">
              <w:rPr>
                <w:rFonts w:ascii="Arial" w:hAnsi="Arial" w:cs="Arial"/>
                <w:b/>
                <w:sz w:val="18"/>
                <w:szCs w:val="18"/>
              </w:rPr>
              <w:t>as</w:t>
            </w:r>
            <w:r w:rsidRPr="00D724E5">
              <w:rPr>
                <w:rFonts w:ascii="Arial" w:hAnsi="Arial" w:cs="Arial"/>
                <w:b/>
                <w:spacing w:val="-4"/>
                <w:sz w:val="18"/>
                <w:szCs w:val="18"/>
              </w:rPr>
              <w:t xml:space="preserve"> </w:t>
            </w:r>
            <w:r w:rsidRPr="00D724E5">
              <w:rPr>
                <w:rFonts w:ascii="Arial" w:hAnsi="Arial" w:cs="Arial"/>
                <w:b/>
                <w:sz w:val="18"/>
                <w:szCs w:val="18"/>
              </w:rPr>
              <w:t>TBO</w:t>
            </w:r>
            <w:r w:rsidRPr="00D724E5">
              <w:rPr>
                <w:rFonts w:ascii="Arial" w:hAnsi="Arial" w:cs="Arial"/>
                <w:b/>
                <w:spacing w:val="-4"/>
                <w:sz w:val="18"/>
                <w:szCs w:val="18"/>
              </w:rPr>
              <w:t xml:space="preserve"> </w:t>
            </w:r>
            <w:r w:rsidRPr="00D724E5">
              <w:rPr>
                <w:rFonts w:ascii="Arial" w:hAnsi="Arial" w:cs="Arial"/>
                <w:b/>
                <w:sz w:val="18"/>
                <w:szCs w:val="18"/>
              </w:rPr>
              <w:t>intervals,</w:t>
            </w:r>
            <w:r w:rsidRPr="00D724E5">
              <w:rPr>
                <w:rFonts w:ascii="Arial" w:hAnsi="Arial" w:cs="Arial"/>
                <w:b/>
                <w:spacing w:val="-3"/>
                <w:sz w:val="18"/>
                <w:szCs w:val="18"/>
              </w:rPr>
              <w:t xml:space="preserve"> </w:t>
            </w:r>
            <w:r w:rsidRPr="00D724E5">
              <w:rPr>
                <w:rFonts w:ascii="Arial" w:hAnsi="Arial" w:cs="Arial"/>
                <w:b/>
                <w:sz w:val="18"/>
                <w:szCs w:val="18"/>
              </w:rPr>
              <w:t>issued</w:t>
            </w:r>
            <w:r w:rsidRPr="00D724E5">
              <w:rPr>
                <w:rFonts w:ascii="Arial" w:hAnsi="Arial" w:cs="Arial"/>
                <w:b/>
                <w:spacing w:val="-4"/>
                <w:sz w:val="18"/>
                <w:szCs w:val="18"/>
              </w:rPr>
              <w:t xml:space="preserve"> </w:t>
            </w:r>
            <w:r w:rsidRPr="00D724E5">
              <w:rPr>
                <w:rFonts w:ascii="Arial" w:hAnsi="Arial" w:cs="Arial"/>
                <w:b/>
                <w:sz w:val="18"/>
                <w:szCs w:val="18"/>
              </w:rPr>
              <w:t>through</w:t>
            </w:r>
            <w:r w:rsidRPr="00D724E5">
              <w:rPr>
                <w:rFonts w:ascii="Arial" w:hAnsi="Arial" w:cs="Arial"/>
                <w:b/>
                <w:spacing w:val="-4"/>
                <w:sz w:val="18"/>
                <w:szCs w:val="18"/>
              </w:rPr>
              <w:t xml:space="preserve"> </w:t>
            </w:r>
            <w:r w:rsidRPr="00D724E5">
              <w:rPr>
                <w:rFonts w:ascii="Arial" w:hAnsi="Arial" w:cs="Arial"/>
                <w:b/>
                <w:sz w:val="18"/>
                <w:szCs w:val="18"/>
              </w:rPr>
              <w:t>service</w:t>
            </w:r>
            <w:r w:rsidRPr="00D724E5">
              <w:rPr>
                <w:rFonts w:ascii="Arial" w:hAnsi="Arial" w:cs="Arial"/>
                <w:b/>
                <w:spacing w:val="-4"/>
                <w:sz w:val="18"/>
                <w:szCs w:val="18"/>
              </w:rPr>
              <w:t xml:space="preserve"> </w:t>
            </w:r>
            <w:r w:rsidRPr="00D724E5">
              <w:rPr>
                <w:rFonts w:ascii="Arial" w:hAnsi="Arial" w:cs="Arial"/>
                <w:b/>
                <w:sz w:val="18"/>
                <w:szCs w:val="18"/>
              </w:rPr>
              <w:t>bulletins,</w:t>
            </w:r>
            <w:r w:rsidRPr="00D724E5">
              <w:rPr>
                <w:rFonts w:ascii="Arial" w:hAnsi="Arial" w:cs="Arial"/>
                <w:b/>
                <w:spacing w:val="-4"/>
                <w:sz w:val="18"/>
                <w:szCs w:val="18"/>
              </w:rPr>
              <w:t xml:space="preserve"> </w:t>
            </w:r>
            <w:r w:rsidRPr="00D724E5">
              <w:rPr>
                <w:rFonts w:ascii="Arial" w:hAnsi="Arial" w:cs="Arial"/>
                <w:b/>
                <w:sz w:val="18"/>
                <w:szCs w:val="18"/>
              </w:rPr>
              <w:t>service</w:t>
            </w:r>
            <w:r w:rsidRPr="00D724E5">
              <w:rPr>
                <w:rFonts w:ascii="Arial" w:hAnsi="Arial" w:cs="Arial"/>
                <w:b/>
                <w:spacing w:val="-4"/>
                <w:sz w:val="18"/>
                <w:szCs w:val="18"/>
              </w:rPr>
              <w:t xml:space="preserve"> </w:t>
            </w:r>
            <w:r w:rsidRPr="00D724E5">
              <w:rPr>
                <w:rFonts w:ascii="Arial" w:hAnsi="Arial" w:cs="Arial"/>
                <w:b/>
                <w:sz w:val="18"/>
                <w:szCs w:val="18"/>
              </w:rPr>
              <w:t>letters,</w:t>
            </w:r>
          </w:p>
          <w:p w14:paraId="7F3A8424" w14:textId="77777777" w:rsidR="002A0714" w:rsidRPr="00D724E5" w:rsidRDefault="002A0714" w:rsidP="002A0714">
            <w:pPr>
              <w:pStyle w:val="TableParagraph"/>
              <w:spacing w:line="225" w:lineRule="exact"/>
              <w:ind w:left="107"/>
              <w:rPr>
                <w:rFonts w:ascii="Arial" w:hAnsi="Arial" w:cs="Arial"/>
                <w:b/>
                <w:sz w:val="18"/>
                <w:szCs w:val="18"/>
              </w:rPr>
            </w:pPr>
            <w:r w:rsidRPr="00D724E5">
              <w:rPr>
                <w:rFonts w:ascii="Arial" w:hAnsi="Arial" w:cs="Arial"/>
                <w:b/>
                <w:sz w:val="18"/>
                <w:szCs w:val="18"/>
              </w:rPr>
              <w:t>and</w:t>
            </w:r>
            <w:r w:rsidRPr="00D724E5">
              <w:rPr>
                <w:rFonts w:ascii="Arial" w:hAnsi="Arial" w:cs="Arial"/>
                <w:b/>
                <w:spacing w:val="-4"/>
                <w:sz w:val="18"/>
                <w:szCs w:val="18"/>
              </w:rPr>
              <w:t xml:space="preserve"> </w:t>
            </w:r>
            <w:r w:rsidRPr="00D724E5">
              <w:rPr>
                <w:rFonts w:ascii="Arial" w:hAnsi="Arial" w:cs="Arial"/>
                <w:b/>
                <w:sz w:val="18"/>
                <w:szCs w:val="18"/>
              </w:rPr>
              <w:t>other</w:t>
            </w:r>
            <w:r w:rsidRPr="00D724E5">
              <w:rPr>
                <w:rFonts w:ascii="Arial" w:hAnsi="Arial" w:cs="Arial"/>
                <w:b/>
                <w:spacing w:val="-3"/>
                <w:sz w:val="18"/>
                <w:szCs w:val="18"/>
              </w:rPr>
              <w:t xml:space="preserve"> </w:t>
            </w:r>
            <w:r w:rsidRPr="00D724E5">
              <w:rPr>
                <w:rFonts w:ascii="Arial" w:hAnsi="Arial" w:cs="Arial"/>
                <w:b/>
                <w:sz w:val="18"/>
                <w:szCs w:val="18"/>
              </w:rPr>
              <w:t>non-mandatory</w:t>
            </w:r>
            <w:r w:rsidRPr="00D724E5">
              <w:rPr>
                <w:rFonts w:ascii="Arial" w:hAnsi="Arial" w:cs="Arial"/>
                <w:b/>
                <w:spacing w:val="-5"/>
                <w:sz w:val="18"/>
                <w:szCs w:val="18"/>
              </w:rPr>
              <w:t xml:space="preserve"> </w:t>
            </w:r>
            <w:r w:rsidRPr="00D724E5">
              <w:rPr>
                <w:rFonts w:ascii="Arial" w:hAnsi="Arial" w:cs="Arial"/>
                <w:b/>
                <w:sz w:val="18"/>
                <w:szCs w:val="18"/>
              </w:rPr>
              <w:t>service</w:t>
            </w:r>
            <w:r w:rsidRPr="00D724E5">
              <w:rPr>
                <w:rFonts w:ascii="Arial" w:hAnsi="Arial" w:cs="Arial"/>
                <w:b/>
                <w:spacing w:val="-3"/>
                <w:sz w:val="18"/>
                <w:szCs w:val="18"/>
              </w:rPr>
              <w:t xml:space="preserve"> </w:t>
            </w:r>
            <w:r w:rsidRPr="00D724E5">
              <w:rPr>
                <w:rFonts w:ascii="Arial" w:hAnsi="Arial" w:cs="Arial"/>
                <w:b/>
                <w:sz w:val="18"/>
                <w:szCs w:val="18"/>
              </w:rPr>
              <w:t>information</w:t>
            </w:r>
          </w:p>
        </w:tc>
      </w:tr>
      <w:tr w:rsidR="002A0714" w:rsidRPr="00D724E5" w14:paraId="2E778DF3" w14:textId="77777777" w:rsidTr="002A0714">
        <w:trPr>
          <w:gridBefore w:val="1"/>
          <w:wBefore w:w="10" w:type="dxa"/>
          <w:trHeight w:val="297"/>
        </w:trPr>
        <w:tc>
          <w:tcPr>
            <w:tcW w:w="3721" w:type="dxa"/>
            <w:gridSpan w:val="3"/>
          </w:tcPr>
          <w:p w14:paraId="3CF0F5F2" w14:textId="77777777" w:rsidR="002A0714" w:rsidRPr="00D724E5" w:rsidRDefault="002A0714" w:rsidP="002A0714">
            <w:pPr>
              <w:pStyle w:val="TableParagraph"/>
              <w:ind w:left="0"/>
              <w:rPr>
                <w:rFonts w:ascii="Arial" w:hAnsi="Arial" w:cs="Arial"/>
                <w:sz w:val="18"/>
                <w:szCs w:val="18"/>
              </w:rPr>
            </w:pPr>
          </w:p>
        </w:tc>
        <w:tc>
          <w:tcPr>
            <w:tcW w:w="2514" w:type="dxa"/>
            <w:gridSpan w:val="3"/>
          </w:tcPr>
          <w:p w14:paraId="031817CB" w14:textId="77777777" w:rsidR="002A0714" w:rsidRPr="00D724E5" w:rsidRDefault="002A0714" w:rsidP="002A0714">
            <w:pPr>
              <w:pStyle w:val="TableParagraph"/>
              <w:ind w:left="0"/>
              <w:rPr>
                <w:rFonts w:ascii="Arial" w:hAnsi="Arial" w:cs="Arial"/>
                <w:sz w:val="18"/>
                <w:szCs w:val="18"/>
              </w:rPr>
            </w:pPr>
          </w:p>
        </w:tc>
        <w:tc>
          <w:tcPr>
            <w:tcW w:w="2841" w:type="dxa"/>
            <w:gridSpan w:val="3"/>
          </w:tcPr>
          <w:p w14:paraId="4E5566D1" w14:textId="77777777" w:rsidR="002A0714" w:rsidRPr="00D724E5" w:rsidRDefault="00804E5A" w:rsidP="002A0714">
            <w:pPr>
              <w:pStyle w:val="TableParagraph"/>
              <w:ind w:left="0"/>
              <w:rPr>
                <w:rFonts w:ascii="Arial" w:hAnsi="Arial" w:cs="Arial"/>
                <w:sz w:val="18"/>
                <w:szCs w:val="18"/>
              </w:rPr>
            </w:pPr>
            <w:r w:rsidRPr="00D724E5">
              <w:rPr>
                <w:rFonts w:ascii="Arial" w:hAnsi="Arial" w:cs="Arial"/>
                <w:noProof/>
                <w:position w:val="-3"/>
                <w:sz w:val="18"/>
                <w:szCs w:val="18"/>
              </w:rPr>
              <mc:AlternateContent>
                <mc:Choice Requires="wpg">
                  <w:drawing>
                    <wp:anchor distT="0" distB="0" distL="114300" distR="114300" simplePos="0" relativeHeight="251671552" behindDoc="0" locked="0" layoutInCell="1" allowOverlap="1" wp14:anchorId="61E5EA98" wp14:editId="4C65A228">
                      <wp:simplePos x="0" y="0"/>
                      <wp:positionH relativeFrom="column">
                        <wp:posOffset>1590040</wp:posOffset>
                      </wp:positionH>
                      <wp:positionV relativeFrom="paragraph">
                        <wp:posOffset>78740</wp:posOffset>
                      </wp:positionV>
                      <wp:extent cx="135890" cy="135890"/>
                      <wp:effectExtent l="0" t="0" r="16510" b="16510"/>
                      <wp:wrapThrough wrapText="bothSides">
                        <wp:wrapPolygon edited="0">
                          <wp:start x="0" y="0"/>
                          <wp:lineTo x="0" y="21196"/>
                          <wp:lineTo x="21196" y="21196"/>
                          <wp:lineTo x="21196" y="0"/>
                          <wp:lineTo x="0" y="0"/>
                        </wp:wrapPolygon>
                      </wp:wrapThrough>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56" name="Rectangle 47"/>
                              <wps:cNvSpPr>
                                <a:spLocks noChangeArrowheads="1"/>
                              </wps:cNvSpPr>
                              <wps:spPr bwMode="auto">
                                <a:xfrm>
                                  <a:off x="7" y="7"/>
                                  <a:ext cx="200" cy="2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du="http://schemas.microsoft.com/office/word/2023/wordml/word16du">
                  <w:pict>
                    <v:group w14:anchorId="36BD7C06" id="Group 55" o:spid="_x0000_s1026" style="position:absolute;margin-left:125.2pt;margin-top:6.2pt;width:10.7pt;height:10.7pt;z-index:251671552"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">
                      <v:rect id="Rectangle 47"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" filled="f" strokeweight=".72pt"/>
                      <w10:wrap type="through"/>
                    </v:group>
                  </w:pict>
                </mc:Fallback>
              </mc:AlternateContent>
            </w:r>
          </w:p>
          <w:p w14:paraId="3D562FE1" w14:textId="77777777" w:rsidR="002A0714" w:rsidRPr="00D724E5" w:rsidRDefault="002A0714" w:rsidP="00804E5A">
            <w:pPr>
              <w:pStyle w:val="TableParagraph"/>
              <w:spacing w:line="215" w:lineRule="exact"/>
              <w:rPr>
                <w:rFonts w:ascii="Arial" w:hAnsi="Arial" w:cs="Arial"/>
                <w:sz w:val="18"/>
                <w:szCs w:val="18"/>
              </w:rPr>
            </w:pPr>
          </w:p>
        </w:tc>
      </w:tr>
      <w:tr w:rsidR="002A0714" w:rsidRPr="00D724E5" w14:paraId="46F11446" w14:textId="77777777" w:rsidTr="002A0714">
        <w:trPr>
          <w:gridBefore w:val="1"/>
          <w:wBefore w:w="10" w:type="dxa"/>
          <w:trHeight w:val="489"/>
        </w:trPr>
        <w:tc>
          <w:tcPr>
            <w:tcW w:w="3721" w:type="dxa"/>
            <w:gridSpan w:val="3"/>
          </w:tcPr>
          <w:p w14:paraId="3B8D7A7F" w14:textId="77777777" w:rsidR="002A0714" w:rsidRPr="00D724E5" w:rsidRDefault="002A0714" w:rsidP="002A0714">
            <w:pPr>
              <w:pStyle w:val="TableParagraph"/>
              <w:spacing w:line="243" w:lineRule="exact"/>
              <w:ind w:left="107"/>
              <w:rPr>
                <w:rFonts w:ascii="Arial" w:hAnsi="Arial" w:cs="Arial"/>
                <w:sz w:val="18"/>
                <w:szCs w:val="18"/>
              </w:rPr>
            </w:pPr>
            <w:r w:rsidRPr="00D724E5">
              <w:rPr>
                <w:rFonts w:ascii="Arial" w:hAnsi="Arial" w:cs="Arial"/>
                <w:sz w:val="18"/>
                <w:szCs w:val="18"/>
              </w:rPr>
              <w:t>Emergency</w:t>
            </w:r>
            <w:r w:rsidRPr="00D724E5">
              <w:rPr>
                <w:rFonts w:ascii="Arial" w:hAnsi="Arial" w:cs="Arial"/>
                <w:spacing w:val="-3"/>
                <w:sz w:val="18"/>
                <w:szCs w:val="18"/>
              </w:rPr>
              <w:t xml:space="preserve"> </w:t>
            </w:r>
            <w:r w:rsidRPr="00D724E5">
              <w:rPr>
                <w:rFonts w:ascii="Arial" w:hAnsi="Arial" w:cs="Arial"/>
                <w:sz w:val="18"/>
                <w:szCs w:val="18"/>
              </w:rPr>
              <w:t>locator</w:t>
            </w:r>
            <w:r w:rsidRPr="00D724E5">
              <w:rPr>
                <w:rFonts w:ascii="Arial" w:hAnsi="Arial" w:cs="Arial"/>
                <w:spacing w:val="-3"/>
                <w:sz w:val="18"/>
                <w:szCs w:val="18"/>
              </w:rPr>
              <w:t xml:space="preserve"> </w:t>
            </w:r>
            <w:r w:rsidRPr="00D724E5">
              <w:rPr>
                <w:rFonts w:ascii="Arial" w:hAnsi="Arial" w:cs="Arial"/>
                <w:sz w:val="18"/>
                <w:szCs w:val="18"/>
              </w:rPr>
              <w:t>transmitters</w:t>
            </w:r>
            <w:r w:rsidRPr="00D724E5">
              <w:rPr>
                <w:rFonts w:ascii="Arial" w:hAnsi="Arial" w:cs="Arial"/>
                <w:spacing w:val="-4"/>
                <w:sz w:val="18"/>
                <w:szCs w:val="18"/>
              </w:rPr>
              <w:t xml:space="preserve"> </w:t>
            </w:r>
            <w:r w:rsidRPr="00D724E5">
              <w:rPr>
                <w:rFonts w:ascii="Arial" w:hAnsi="Arial" w:cs="Arial"/>
                <w:sz w:val="18"/>
                <w:szCs w:val="18"/>
              </w:rPr>
              <w:t>and</w:t>
            </w:r>
          </w:p>
          <w:p w14:paraId="3DA11E19" w14:textId="77777777" w:rsidR="002A0714" w:rsidRPr="00D724E5" w:rsidRDefault="002A0714" w:rsidP="002A0714">
            <w:pPr>
              <w:pStyle w:val="TableParagraph"/>
              <w:spacing w:line="225" w:lineRule="exact"/>
              <w:ind w:left="107"/>
              <w:rPr>
                <w:rFonts w:ascii="Arial" w:hAnsi="Arial" w:cs="Arial"/>
                <w:sz w:val="18"/>
                <w:szCs w:val="18"/>
              </w:rPr>
            </w:pPr>
            <w:r w:rsidRPr="00D724E5">
              <w:rPr>
                <w:rFonts w:ascii="Arial" w:hAnsi="Arial" w:cs="Arial"/>
                <w:sz w:val="18"/>
                <w:szCs w:val="18"/>
              </w:rPr>
              <w:t>personal</w:t>
            </w:r>
            <w:r w:rsidRPr="00D724E5">
              <w:rPr>
                <w:rFonts w:ascii="Arial" w:hAnsi="Arial" w:cs="Arial"/>
                <w:spacing w:val="-3"/>
                <w:sz w:val="18"/>
                <w:szCs w:val="18"/>
              </w:rPr>
              <w:t xml:space="preserve"> </w:t>
            </w:r>
            <w:r w:rsidRPr="00D724E5">
              <w:rPr>
                <w:rFonts w:ascii="Arial" w:hAnsi="Arial" w:cs="Arial"/>
                <w:sz w:val="18"/>
                <w:szCs w:val="18"/>
              </w:rPr>
              <w:t>locator</w:t>
            </w:r>
            <w:r w:rsidRPr="00D724E5">
              <w:rPr>
                <w:rFonts w:ascii="Arial" w:hAnsi="Arial" w:cs="Arial"/>
                <w:spacing w:val="-2"/>
                <w:sz w:val="18"/>
                <w:szCs w:val="18"/>
              </w:rPr>
              <w:t xml:space="preserve"> </w:t>
            </w:r>
            <w:r w:rsidRPr="00D724E5">
              <w:rPr>
                <w:rFonts w:ascii="Arial" w:hAnsi="Arial" w:cs="Arial"/>
                <w:sz w:val="18"/>
                <w:szCs w:val="18"/>
              </w:rPr>
              <w:t>beacon —</w:t>
            </w:r>
            <w:r w:rsidRPr="00D724E5">
              <w:rPr>
                <w:rFonts w:ascii="Arial" w:hAnsi="Arial" w:cs="Arial"/>
                <w:spacing w:val="-2"/>
                <w:sz w:val="18"/>
                <w:szCs w:val="18"/>
              </w:rPr>
              <w:t xml:space="preserve"> </w:t>
            </w:r>
            <w:r w:rsidRPr="00D724E5">
              <w:rPr>
                <w:rFonts w:ascii="Arial" w:hAnsi="Arial" w:cs="Arial"/>
                <w:sz w:val="18"/>
                <w:szCs w:val="18"/>
              </w:rPr>
              <w:t>annual</w:t>
            </w:r>
            <w:r w:rsidRPr="00D724E5">
              <w:rPr>
                <w:rFonts w:ascii="Arial" w:hAnsi="Arial" w:cs="Arial"/>
                <w:spacing w:val="-2"/>
                <w:sz w:val="18"/>
                <w:szCs w:val="18"/>
              </w:rPr>
              <w:t xml:space="preserve"> </w:t>
            </w:r>
            <w:r w:rsidRPr="00D724E5">
              <w:rPr>
                <w:rFonts w:ascii="Arial" w:hAnsi="Arial" w:cs="Arial"/>
                <w:sz w:val="18"/>
                <w:szCs w:val="18"/>
              </w:rPr>
              <w:t>testing</w:t>
            </w:r>
          </w:p>
        </w:tc>
        <w:tc>
          <w:tcPr>
            <w:tcW w:w="2514" w:type="dxa"/>
            <w:gridSpan w:val="3"/>
          </w:tcPr>
          <w:p w14:paraId="690C7541" w14:textId="77777777" w:rsidR="002A0714" w:rsidRPr="0096482E" w:rsidRDefault="002A0714" w:rsidP="002A0714">
            <w:pPr>
              <w:pStyle w:val="TableParagraph"/>
              <w:spacing w:before="121"/>
              <w:ind w:left="521" w:right="514"/>
              <w:jc w:val="center"/>
              <w:rPr>
                <w:rFonts w:ascii="Arial" w:hAnsi="Arial" w:cs="Arial"/>
                <w:sz w:val="16"/>
                <w:szCs w:val="18"/>
              </w:rPr>
            </w:pPr>
            <w:r w:rsidRPr="0096482E">
              <w:rPr>
                <w:rFonts w:ascii="Arial" w:hAnsi="Arial" w:cs="Arial"/>
                <w:sz w:val="16"/>
                <w:szCs w:val="18"/>
              </w:rPr>
              <w:t>EASA</w:t>
            </w:r>
            <w:r w:rsidRPr="0096482E">
              <w:rPr>
                <w:rFonts w:ascii="Arial" w:hAnsi="Arial" w:cs="Arial"/>
                <w:spacing w:val="-2"/>
                <w:sz w:val="16"/>
                <w:szCs w:val="18"/>
              </w:rPr>
              <w:t xml:space="preserve"> </w:t>
            </w:r>
            <w:r w:rsidRPr="0096482E">
              <w:rPr>
                <w:rFonts w:ascii="Arial" w:hAnsi="Arial" w:cs="Arial"/>
                <w:sz w:val="16"/>
                <w:szCs w:val="18"/>
              </w:rPr>
              <w:t>SIB</w:t>
            </w:r>
            <w:r w:rsidRPr="0096482E">
              <w:rPr>
                <w:rFonts w:ascii="Arial" w:hAnsi="Arial" w:cs="Arial"/>
                <w:spacing w:val="-1"/>
                <w:sz w:val="16"/>
                <w:szCs w:val="18"/>
              </w:rPr>
              <w:t xml:space="preserve"> </w:t>
            </w:r>
            <w:r w:rsidRPr="0096482E">
              <w:rPr>
                <w:rFonts w:ascii="Arial" w:hAnsi="Arial" w:cs="Arial"/>
                <w:sz w:val="16"/>
                <w:szCs w:val="18"/>
              </w:rPr>
              <w:t>2019-09</w:t>
            </w:r>
          </w:p>
        </w:tc>
        <w:tc>
          <w:tcPr>
            <w:tcW w:w="2841" w:type="dxa"/>
            <w:gridSpan w:val="3"/>
          </w:tcPr>
          <w:p w14:paraId="1DFB2617" w14:textId="77777777" w:rsidR="002A0714" w:rsidRPr="00D724E5" w:rsidRDefault="00D724E5" w:rsidP="00D724E5">
            <w:pPr>
              <w:pStyle w:val="TableParagraph"/>
              <w:spacing w:before="121"/>
              <w:ind w:left="450" w:right="46" w:hanging="450"/>
              <w:jc w:val="center"/>
              <w:rPr>
                <w:rFonts w:ascii="Arial" w:hAnsi="Arial" w:cs="Arial"/>
                <w:sz w:val="18"/>
                <w:szCs w:val="18"/>
              </w:rPr>
            </w:pPr>
            <w:r>
              <w:rPr>
                <w:rFonts w:ascii="Arial" w:hAnsi="Arial" w:cs="Arial"/>
                <w:sz w:val="18"/>
                <w:szCs w:val="18"/>
              </w:rPr>
              <w:t xml:space="preserve">                1 Year                      </w:t>
            </w:r>
            <w:r w:rsidRPr="00D724E5">
              <w:rPr>
                <w:rFonts w:ascii="Arial" w:hAnsi="Arial" w:cs="Arial"/>
                <w:noProof/>
                <w:position w:val="-3"/>
                <w:sz w:val="18"/>
                <w:szCs w:val="18"/>
              </w:rPr>
              <mc:AlternateContent>
                <mc:Choice Requires="wpg">
                  <w:drawing>
                    <wp:anchor distT="0" distB="0" distL="114300" distR="114300" simplePos="0" relativeHeight="251661312" behindDoc="0" locked="0" layoutInCell="1" allowOverlap="1" wp14:anchorId="720AC9AC" wp14:editId="22E7AFF7">
                      <wp:simplePos x="0" y="0"/>
                      <wp:positionH relativeFrom="column">
                        <wp:posOffset>1587500</wp:posOffset>
                      </wp:positionH>
                      <wp:positionV relativeFrom="paragraph">
                        <wp:posOffset>87630</wp:posOffset>
                      </wp:positionV>
                      <wp:extent cx="135890" cy="135890"/>
                      <wp:effectExtent l="0" t="0" r="16510" b="16510"/>
                      <wp:wrapThrough wrapText="bothSides">
                        <wp:wrapPolygon edited="0">
                          <wp:start x="0" y="0"/>
                          <wp:lineTo x="0" y="21196"/>
                          <wp:lineTo x="21196" y="21196"/>
                          <wp:lineTo x="21196" y="0"/>
                          <wp:lineTo x="0" y="0"/>
                        </wp:wrapPolygon>
                      </wp:wrapThrough>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134" name="Rectangle 47"/>
                              <wps:cNvSpPr>
                                <a:spLocks noChangeArrowheads="1"/>
                              </wps:cNvSpPr>
                              <wps:spPr bwMode="auto">
                                <a:xfrm>
                                  <a:off x="7" y="7"/>
                                  <a:ext cx="200" cy="2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du="http://schemas.microsoft.com/office/word/2023/wordml/word16du">
                  <w:pict>
                    <v:group w14:anchorId="1B5C099C" id="Group 133" o:spid="_x0000_s1026" style="position:absolute;margin-left:125pt;margin-top:6.9pt;width:10.7pt;height:10.7pt;z-index:251661312"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">
                      <v:rect id="Rectangle 47"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" filled="f" strokeweight=".72pt"/>
                      <w10:wrap type="through"/>
                    </v:group>
                  </w:pict>
                </mc:Fallback>
              </mc:AlternateContent>
            </w:r>
            <w:r>
              <w:rPr>
                <w:rFonts w:ascii="Arial" w:hAnsi="Arial" w:cs="Arial"/>
                <w:sz w:val="18"/>
                <w:szCs w:val="18"/>
              </w:rPr>
              <w:t xml:space="preserve">               </w:t>
            </w:r>
          </w:p>
        </w:tc>
      </w:tr>
      <w:tr w:rsidR="002A0714" w:rsidRPr="00D724E5" w14:paraId="423B47B0" w14:textId="77777777" w:rsidTr="002A0714">
        <w:trPr>
          <w:gridBefore w:val="1"/>
          <w:wBefore w:w="10" w:type="dxa"/>
          <w:trHeight w:val="486"/>
        </w:trPr>
        <w:tc>
          <w:tcPr>
            <w:tcW w:w="3721" w:type="dxa"/>
            <w:gridSpan w:val="3"/>
          </w:tcPr>
          <w:p w14:paraId="29A3AC0E" w14:textId="77777777" w:rsidR="002A0714" w:rsidRPr="00D724E5" w:rsidRDefault="002A0714" w:rsidP="002A0714">
            <w:pPr>
              <w:pStyle w:val="TableParagraph"/>
              <w:spacing w:line="243" w:lineRule="exact"/>
              <w:ind w:left="107"/>
              <w:rPr>
                <w:rFonts w:ascii="Arial" w:hAnsi="Arial" w:cs="Arial"/>
                <w:sz w:val="18"/>
                <w:szCs w:val="18"/>
              </w:rPr>
            </w:pPr>
            <w:r w:rsidRPr="00D724E5">
              <w:rPr>
                <w:rFonts w:ascii="Arial" w:hAnsi="Arial" w:cs="Arial"/>
                <w:sz w:val="18"/>
                <w:szCs w:val="18"/>
              </w:rPr>
              <w:t>(if</w:t>
            </w:r>
            <w:r w:rsidRPr="00D724E5">
              <w:rPr>
                <w:rFonts w:ascii="Arial" w:hAnsi="Arial" w:cs="Arial"/>
                <w:spacing w:val="-4"/>
                <w:sz w:val="18"/>
                <w:szCs w:val="18"/>
              </w:rPr>
              <w:t xml:space="preserve"> </w:t>
            </w:r>
            <w:r w:rsidRPr="00D724E5">
              <w:rPr>
                <w:rFonts w:ascii="Arial" w:hAnsi="Arial" w:cs="Arial"/>
                <w:sz w:val="18"/>
                <w:szCs w:val="18"/>
              </w:rPr>
              <w:t>not</w:t>
            </w:r>
            <w:r w:rsidRPr="00D724E5">
              <w:rPr>
                <w:rFonts w:ascii="Arial" w:hAnsi="Arial" w:cs="Arial"/>
                <w:spacing w:val="-2"/>
                <w:sz w:val="18"/>
                <w:szCs w:val="18"/>
              </w:rPr>
              <w:t xml:space="preserve"> </w:t>
            </w:r>
            <w:r w:rsidRPr="00D724E5">
              <w:rPr>
                <w:rFonts w:ascii="Arial" w:hAnsi="Arial" w:cs="Arial"/>
                <w:sz w:val="18"/>
                <w:szCs w:val="18"/>
              </w:rPr>
              <w:t>using</w:t>
            </w:r>
            <w:r w:rsidRPr="00D724E5">
              <w:rPr>
                <w:rFonts w:ascii="Arial" w:hAnsi="Arial" w:cs="Arial"/>
                <w:spacing w:val="-3"/>
                <w:sz w:val="18"/>
                <w:szCs w:val="18"/>
              </w:rPr>
              <w:t xml:space="preserve"> </w:t>
            </w:r>
            <w:r w:rsidRPr="00D724E5">
              <w:rPr>
                <w:rFonts w:ascii="Arial" w:hAnsi="Arial" w:cs="Arial"/>
                <w:sz w:val="18"/>
                <w:szCs w:val="18"/>
              </w:rPr>
              <w:t>MIP</w:t>
            </w:r>
            <w:r w:rsidRPr="00D724E5">
              <w:rPr>
                <w:rFonts w:ascii="Arial" w:hAnsi="Arial" w:cs="Arial"/>
                <w:spacing w:val="-1"/>
                <w:sz w:val="18"/>
                <w:szCs w:val="18"/>
              </w:rPr>
              <w:t xml:space="preserve"> </w:t>
            </w:r>
            <w:r w:rsidRPr="00D724E5">
              <w:rPr>
                <w:rFonts w:ascii="Arial" w:hAnsi="Arial" w:cs="Arial"/>
                <w:sz w:val="18"/>
                <w:szCs w:val="18"/>
              </w:rPr>
              <w:t>or</w:t>
            </w:r>
            <w:r w:rsidRPr="00D724E5">
              <w:rPr>
                <w:rFonts w:ascii="Arial" w:hAnsi="Arial" w:cs="Arial"/>
                <w:spacing w:val="-2"/>
                <w:sz w:val="18"/>
                <w:szCs w:val="18"/>
              </w:rPr>
              <w:t xml:space="preserve"> </w:t>
            </w:r>
            <w:r w:rsidRPr="00D724E5">
              <w:rPr>
                <w:rFonts w:ascii="Arial" w:hAnsi="Arial" w:cs="Arial"/>
                <w:sz w:val="18"/>
                <w:szCs w:val="18"/>
              </w:rPr>
              <w:t>equivalent</w:t>
            </w:r>
            <w:r w:rsidRPr="00D724E5">
              <w:rPr>
                <w:rFonts w:ascii="Arial" w:hAnsi="Arial" w:cs="Arial"/>
                <w:spacing w:val="-2"/>
                <w:sz w:val="18"/>
                <w:szCs w:val="18"/>
              </w:rPr>
              <w:t xml:space="preserve"> </w:t>
            </w:r>
            <w:r w:rsidRPr="00D724E5">
              <w:rPr>
                <w:rFonts w:ascii="Arial" w:hAnsi="Arial" w:cs="Arial"/>
                <w:sz w:val="18"/>
                <w:szCs w:val="18"/>
              </w:rPr>
              <w:t>ICA</w:t>
            </w:r>
            <w:r w:rsidRPr="00D724E5">
              <w:rPr>
                <w:rFonts w:ascii="Arial" w:hAnsi="Arial" w:cs="Arial"/>
                <w:spacing w:val="-3"/>
                <w:sz w:val="18"/>
                <w:szCs w:val="18"/>
              </w:rPr>
              <w:t xml:space="preserve"> </w:t>
            </w:r>
            <w:r w:rsidRPr="00D724E5">
              <w:rPr>
                <w:rFonts w:ascii="Arial" w:hAnsi="Arial" w:cs="Arial"/>
                <w:sz w:val="18"/>
                <w:szCs w:val="18"/>
              </w:rPr>
              <w:t>task)</w:t>
            </w:r>
          </w:p>
          <w:p w14:paraId="070C5AC6" w14:textId="77777777" w:rsidR="002A0714" w:rsidRPr="00D724E5" w:rsidRDefault="002A0714" w:rsidP="002A0714">
            <w:pPr>
              <w:pStyle w:val="TableParagraph"/>
              <w:spacing w:line="223" w:lineRule="exact"/>
              <w:ind w:left="107"/>
              <w:rPr>
                <w:rFonts w:ascii="Arial" w:hAnsi="Arial" w:cs="Arial"/>
                <w:sz w:val="18"/>
                <w:szCs w:val="18"/>
              </w:rPr>
            </w:pPr>
            <w:r w:rsidRPr="00D724E5">
              <w:rPr>
                <w:rFonts w:ascii="Arial" w:hAnsi="Arial" w:cs="Arial"/>
                <w:sz w:val="18"/>
                <w:szCs w:val="18"/>
              </w:rPr>
              <w:t>Transponder</w:t>
            </w:r>
            <w:r w:rsidRPr="00D724E5">
              <w:rPr>
                <w:rFonts w:ascii="Arial" w:hAnsi="Arial" w:cs="Arial"/>
                <w:spacing w:val="-5"/>
                <w:sz w:val="18"/>
                <w:szCs w:val="18"/>
              </w:rPr>
              <w:t xml:space="preserve"> </w:t>
            </w:r>
            <w:r w:rsidRPr="00D724E5">
              <w:rPr>
                <w:rFonts w:ascii="Arial" w:hAnsi="Arial" w:cs="Arial"/>
                <w:sz w:val="18"/>
                <w:szCs w:val="18"/>
              </w:rPr>
              <w:t>test</w:t>
            </w:r>
          </w:p>
        </w:tc>
        <w:tc>
          <w:tcPr>
            <w:tcW w:w="2514" w:type="dxa"/>
            <w:gridSpan w:val="3"/>
          </w:tcPr>
          <w:p w14:paraId="00030E90" w14:textId="77777777" w:rsidR="002A0714" w:rsidRPr="0096482E" w:rsidRDefault="002A0714" w:rsidP="002A0714">
            <w:pPr>
              <w:pStyle w:val="TableParagraph"/>
              <w:spacing w:before="121"/>
              <w:ind w:left="521" w:right="514"/>
              <w:jc w:val="center"/>
              <w:rPr>
                <w:rFonts w:ascii="Arial" w:hAnsi="Arial" w:cs="Arial"/>
                <w:sz w:val="16"/>
                <w:szCs w:val="18"/>
              </w:rPr>
            </w:pPr>
            <w:r w:rsidRPr="0096482E">
              <w:rPr>
                <w:rFonts w:ascii="Arial" w:hAnsi="Arial" w:cs="Arial"/>
                <w:sz w:val="16"/>
                <w:szCs w:val="18"/>
              </w:rPr>
              <w:t>EASA</w:t>
            </w:r>
            <w:r w:rsidRPr="0096482E">
              <w:rPr>
                <w:rFonts w:ascii="Arial" w:hAnsi="Arial" w:cs="Arial"/>
                <w:spacing w:val="-2"/>
                <w:sz w:val="16"/>
                <w:szCs w:val="18"/>
              </w:rPr>
              <w:t xml:space="preserve"> </w:t>
            </w:r>
            <w:r w:rsidRPr="0096482E">
              <w:rPr>
                <w:rFonts w:ascii="Arial" w:hAnsi="Arial" w:cs="Arial"/>
                <w:sz w:val="16"/>
                <w:szCs w:val="18"/>
              </w:rPr>
              <w:t>SIB</w:t>
            </w:r>
            <w:r w:rsidRPr="0096482E">
              <w:rPr>
                <w:rFonts w:ascii="Arial" w:hAnsi="Arial" w:cs="Arial"/>
                <w:spacing w:val="-2"/>
                <w:sz w:val="16"/>
                <w:szCs w:val="18"/>
              </w:rPr>
              <w:t xml:space="preserve"> </w:t>
            </w:r>
            <w:r w:rsidRPr="0096482E">
              <w:rPr>
                <w:rFonts w:ascii="Arial" w:hAnsi="Arial" w:cs="Arial"/>
                <w:sz w:val="16"/>
                <w:szCs w:val="18"/>
              </w:rPr>
              <w:t>2011-15</w:t>
            </w:r>
          </w:p>
        </w:tc>
        <w:tc>
          <w:tcPr>
            <w:tcW w:w="2841" w:type="dxa"/>
            <w:gridSpan w:val="3"/>
          </w:tcPr>
          <w:p w14:paraId="1052595F" w14:textId="77777777" w:rsidR="002A0714" w:rsidRPr="00D724E5" w:rsidRDefault="00D724E5" w:rsidP="00D724E5">
            <w:pPr>
              <w:pStyle w:val="TableParagraph"/>
              <w:spacing w:before="121"/>
              <w:ind w:left="0" w:right="892"/>
              <w:jc w:val="right"/>
              <w:rPr>
                <w:rFonts w:ascii="Arial" w:hAnsi="Arial" w:cs="Arial"/>
                <w:sz w:val="18"/>
                <w:szCs w:val="18"/>
              </w:rPr>
            </w:pPr>
            <w:r w:rsidRPr="00D724E5">
              <w:rPr>
                <w:rFonts w:ascii="Arial" w:hAnsi="Arial" w:cs="Arial"/>
                <w:noProof/>
                <w:position w:val="-3"/>
                <w:sz w:val="18"/>
                <w:szCs w:val="18"/>
              </w:rPr>
              <mc:AlternateContent>
                <mc:Choice Requires="wpg">
                  <w:drawing>
                    <wp:anchor distT="0" distB="0" distL="114300" distR="114300" simplePos="0" relativeHeight="251660288" behindDoc="0" locked="0" layoutInCell="1" allowOverlap="1" wp14:anchorId="2D566089" wp14:editId="65C23E62">
                      <wp:simplePos x="0" y="0"/>
                      <wp:positionH relativeFrom="column">
                        <wp:posOffset>1573530</wp:posOffset>
                      </wp:positionH>
                      <wp:positionV relativeFrom="paragraph">
                        <wp:posOffset>55880</wp:posOffset>
                      </wp:positionV>
                      <wp:extent cx="135890" cy="135890"/>
                      <wp:effectExtent l="0" t="0" r="16510" b="16510"/>
                      <wp:wrapThrough wrapText="bothSides">
                        <wp:wrapPolygon edited="0">
                          <wp:start x="0" y="0"/>
                          <wp:lineTo x="0" y="21196"/>
                          <wp:lineTo x="21196" y="21196"/>
                          <wp:lineTo x="21196" y="0"/>
                          <wp:lineTo x="0" y="0"/>
                        </wp:wrapPolygon>
                      </wp:wrapThrough>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136" name="Rectangle 47"/>
                              <wps:cNvSpPr>
                                <a:spLocks noChangeArrowheads="1"/>
                              </wps:cNvSpPr>
                              <wps:spPr bwMode="auto">
                                <a:xfrm>
                                  <a:off x="7" y="7"/>
                                  <a:ext cx="200" cy="2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du="http://schemas.microsoft.com/office/word/2023/wordml/word16du">
                  <w:pict>
                    <v:group w14:anchorId="342F3A9D" id="Group 135" o:spid="_x0000_s1026" style="position:absolute;margin-left:123.9pt;margin-top:4.4pt;width:10.7pt;height:10.7pt;z-index:251660288"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">
                      <v:rect id="Rectangle 47"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" filled="f" strokeweight=".72pt"/>
                      <w10:wrap type="through"/>
                    </v:group>
                  </w:pict>
                </mc:Fallback>
              </mc:AlternateContent>
            </w:r>
            <w:r>
              <w:rPr>
                <w:rFonts w:ascii="Arial" w:hAnsi="Arial" w:cs="Arial"/>
                <w:sz w:val="18"/>
                <w:szCs w:val="18"/>
              </w:rPr>
              <w:t xml:space="preserve">    </w:t>
            </w:r>
            <w:r w:rsidR="002A0714" w:rsidRPr="00D724E5">
              <w:rPr>
                <w:rFonts w:ascii="Arial" w:hAnsi="Arial" w:cs="Arial"/>
                <w:sz w:val="18"/>
                <w:szCs w:val="18"/>
              </w:rPr>
              <w:t>2</w:t>
            </w:r>
            <w:r w:rsidR="002A0714" w:rsidRPr="00D724E5">
              <w:rPr>
                <w:rFonts w:ascii="Arial" w:hAnsi="Arial" w:cs="Arial"/>
                <w:spacing w:val="-2"/>
                <w:sz w:val="18"/>
                <w:szCs w:val="18"/>
              </w:rPr>
              <w:t xml:space="preserve"> </w:t>
            </w:r>
            <w:r w:rsidR="002A0714" w:rsidRPr="00D724E5">
              <w:rPr>
                <w:rFonts w:ascii="Arial" w:hAnsi="Arial" w:cs="Arial"/>
                <w:sz w:val="18"/>
                <w:szCs w:val="18"/>
              </w:rPr>
              <w:t>Years</w:t>
            </w:r>
            <w:r>
              <w:rPr>
                <w:rFonts w:ascii="Arial" w:hAnsi="Arial" w:cs="Arial"/>
                <w:sz w:val="18"/>
                <w:szCs w:val="18"/>
              </w:rPr>
              <w:t xml:space="preserve">          </w:t>
            </w:r>
          </w:p>
        </w:tc>
      </w:tr>
      <w:tr w:rsidR="002A0714" w:rsidRPr="00D724E5" w14:paraId="27DAB7E4" w14:textId="77777777" w:rsidTr="00D724E5">
        <w:trPr>
          <w:gridBefore w:val="1"/>
          <w:wBefore w:w="10" w:type="dxa"/>
          <w:trHeight w:val="377"/>
        </w:trPr>
        <w:tc>
          <w:tcPr>
            <w:tcW w:w="3721" w:type="dxa"/>
            <w:gridSpan w:val="3"/>
          </w:tcPr>
          <w:p w14:paraId="7739F8BF" w14:textId="77777777" w:rsidR="002A0714" w:rsidRPr="00D724E5" w:rsidRDefault="002A0714" w:rsidP="002A0714">
            <w:pPr>
              <w:pStyle w:val="TableParagraph"/>
              <w:ind w:left="0"/>
              <w:rPr>
                <w:rFonts w:ascii="Arial" w:hAnsi="Arial" w:cs="Arial"/>
                <w:sz w:val="18"/>
                <w:szCs w:val="18"/>
              </w:rPr>
            </w:pPr>
          </w:p>
        </w:tc>
        <w:tc>
          <w:tcPr>
            <w:tcW w:w="2514" w:type="dxa"/>
            <w:gridSpan w:val="3"/>
          </w:tcPr>
          <w:p w14:paraId="0608BCC3" w14:textId="77777777" w:rsidR="002A0714" w:rsidRPr="00D724E5" w:rsidRDefault="002A0714" w:rsidP="002A0714">
            <w:pPr>
              <w:pStyle w:val="TableParagraph"/>
              <w:ind w:left="0"/>
              <w:rPr>
                <w:rFonts w:ascii="Arial" w:hAnsi="Arial" w:cs="Arial"/>
                <w:sz w:val="18"/>
                <w:szCs w:val="18"/>
              </w:rPr>
            </w:pPr>
          </w:p>
        </w:tc>
        <w:tc>
          <w:tcPr>
            <w:tcW w:w="2841" w:type="dxa"/>
            <w:gridSpan w:val="3"/>
          </w:tcPr>
          <w:p w14:paraId="183E449B" w14:textId="77777777" w:rsidR="002A0714" w:rsidRPr="00D724E5" w:rsidRDefault="00D724E5" w:rsidP="00D724E5">
            <w:pPr>
              <w:pStyle w:val="TableParagraph"/>
              <w:spacing w:line="215" w:lineRule="exact"/>
              <w:rPr>
                <w:rFonts w:ascii="Arial" w:hAnsi="Arial" w:cs="Arial"/>
                <w:sz w:val="18"/>
                <w:szCs w:val="18"/>
              </w:rPr>
            </w:pPr>
            <w:r w:rsidRPr="00D724E5">
              <w:rPr>
                <w:rFonts w:ascii="Arial" w:hAnsi="Arial" w:cs="Arial"/>
                <w:noProof/>
                <w:position w:val="-3"/>
                <w:sz w:val="18"/>
                <w:szCs w:val="18"/>
              </w:rPr>
              <mc:AlternateContent>
                <mc:Choice Requires="wpg">
                  <w:drawing>
                    <wp:anchor distT="0" distB="0" distL="114300" distR="114300" simplePos="0" relativeHeight="251663360" behindDoc="0" locked="0" layoutInCell="1" allowOverlap="1" wp14:anchorId="67E034E7" wp14:editId="1F5A7310">
                      <wp:simplePos x="0" y="0"/>
                      <wp:positionH relativeFrom="column">
                        <wp:posOffset>1577630</wp:posOffset>
                      </wp:positionH>
                      <wp:positionV relativeFrom="paragraph">
                        <wp:posOffset>41910</wp:posOffset>
                      </wp:positionV>
                      <wp:extent cx="135890" cy="135890"/>
                      <wp:effectExtent l="0" t="0" r="16510" b="16510"/>
                      <wp:wrapThrough wrapText="bothSides">
                        <wp:wrapPolygon edited="0">
                          <wp:start x="0" y="0"/>
                          <wp:lineTo x="0" y="21196"/>
                          <wp:lineTo x="21196" y="21196"/>
                          <wp:lineTo x="21196" y="0"/>
                          <wp:lineTo x="0" y="0"/>
                        </wp:wrapPolygon>
                      </wp:wrapThrough>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138" name="Rectangle 47"/>
                              <wps:cNvSpPr>
                                <a:spLocks noChangeArrowheads="1"/>
                              </wps:cNvSpPr>
                              <wps:spPr bwMode="auto">
                                <a:xfrm>
                                  <a:off x="7" y="7"/>
                                  <a:ext cx="200" cy="2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du="http://schemas.microsoft.com/office/word/2023/wordml/word16du">
                  <w:pict>
                    <v:group w14:anchorId="2801DAB9" id="Group 137" o:spid="_x0000_s1026" style="position:absolute;margin-left:124.2pt;margin-top:3.3pt;width:10.7pt;height:10.7pt;z-index:251663360"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">
                      <v:rect id="Rectangle 47"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" filled="f" strokeweight=".72pt"/>
                      <w10:wrap type="through"/>
                    </v:group>
                  </w:pict>
                </mc:Fallback>
              </mc:AlternateContent>
            </w:r>
          </w:p>
        </w:tc>
      </w:tr>
      <w:tr w:rsidR="002A0714" w:rsidRPr="00D724E5" w14:paraId="3F09FE70" w14:textId="77777777" w:rsidTr="002A0714">
        <w:trPr>
          <w:gridBefore w:val="1"/>
          <w:wBefore w:w="10" w:type="dxa"/>
          <w:trHeight w:val="244"/>
        </w:trPr>
        <w:tc>
          <w:tcPr>
            <w:tcW w:w="9076" w:type="dxa"/>
            <w:gridSpan w:val="9"/>
          </w:tcPr>
          <w:p w14:paraId="0CCD678B" w14:textId="77777777" w:rsidR="002A0714" w:rsidRPr="00D724E5" w:rsidRDefault="002A0714" w:rsidP="002A0714">
            <w:pPr>
              <w:pStyle w:val="TableParagraph"/>
              <w:spacing w:line="224" w:lineRule="exact"/>
              <w:ind w:left="107"/>
              <w:rPr>
                <w:rFonts w:ascii="Arial" w:hAnsi="Arial" w:cs="Arial"/>
                <w:b/>
                <w:sz w:val="18"/>
                <w:szCs w:val="18"/>
              </w:rPr>
            </w:pPr>
            <w:r w:rsidRPr="00D724E5">
              <w:rPr>
                <w:rFonts w:ascii="Arial" w:hAnsi="Arial" w:cs="Arial"/>
                <w:b/>
                <w:sz w:val="18"/>
                <w:szCs w:val="18"/>
              </w:rPr>
              <w:t>Maintenance</w:t>
            </w:r>
            <w:r w:rsidRPr="00D724E5">
              <w:rPr>
                <w:rFonts w:ascii="Arial" w:hAnsi="Arial" w:cs="Arial"/>
                <w:b/>
                <w:spacing w:val="-3"/>
                <w:sz w:val="18"/>
                <w:szCs w:val="18"/>
              </w:rPr>
              <w:t xml:space="preserve"> </w:t>
            </w:r>
            <w:r w:rsidRPr="00D724E5">
              <w:rPr>
                <w:rFonts w:ascii="Arial" w:hAnsi="Arial" w:cs="Arial"/>
                <w:b/>
                <w:sz w:val="18"/>
                <w:szCs w:val="18"/>
              </w:rPr>
              <w:t>due</w:t>
            </w:r>
            <w:r w:rsidRPr="00D724E5">
              <w:rPr>
                <w:rFonts w:ascii="Arial" w:hAnsi="Arial" w:cs="Arial"/>
                <w:b/>
                <w:spacing w:val="-4"/>
                <w:sz w:val="18"/>
                <w:szCs w:val="18"/>
              </w:rPr>
              <w:t xml:space="preserve"> </w:t>
            </w:r>
            <w:r w:rsidRPr="00D724E5">
              <w:rPr>
                <w:rFonts w:ascii="Arial" w:hAnsi="Arial" w:cs="Arial"/>
                <w:b/>
                <w:sz w:val="18"/>
                <w:szCs w:val="18"/>
              </w:rPr>
              <w:t>to</w:t>
            </w:r>
            <w:r w:rsidRPr="00D724E5">
              <w:rPr>
                <w:rFonts w:ascii="Arial" w:hAnsi="Arial" w:cs="Arial"/>
                <w:b/>
                <w:spacing w:val="-2"/>
                <w:sz w:val="18"/>
                <w:szCs w:val="18"/>
              </w:rPr>
              <w:t xml:space="preserve"> </w:t>
            </w:r>
            <w:r w:rsidRPr="00D724E5">
              <w:rPr>
                <w:rFonts w:ascii="Arial" w:hAnsi="Arial" w:cs="Arial"/>
                <w:b/>
                <w:sz w:val="18"/>
                <w:szCs w:val="18"/>
              </w:rPr>
              <w:t>repetitive</w:t>
            </w:r>
            <w:r w:rsidRPr="00D724E5">
              <w:rPr>
                <w:rFonts w:ascii="Arial" w:hAnsi="Arial" w:cs="Arial"/>
                <w:b/>
                <w:spacing w:val="-3"/>
                <w:sz w:val="18"/>
                <w:szCs w:val="18"/>
              </w:rPr>
              <w:t xml:space="preserve"> </w:t>
            </w:r>
            <w:r w:rsidRPr="00D724E5">
              <w:rPr>
                <w:rFonts w:ascii="Arial" w:hAnsi="Arial" w:cs="Arial"/>
                <w:b/>
                <w:sz w:val="18"/>
                <w:szCs w:val="18"/>
              </w:rPr>
              <w:t>ADs</w:t>
            </w:r>
          </w:p>
        </w:tc>
      </w:tr>
      <w:tr w:rsidR="002A0714" w:rsidRPr="00D724E5" w14:paraId="41FC522E" w14:textId="77777777" w:rsidTr="002A0714">
        <w:trPr>
          <w:gridBefore w:val="1"/>
          <w:wBefore w:w="10" w:type="dxa"/>
          <w:trHeight w:val="323"/>
        </w:trPr>
        <w:tc>
          <w:tcPr>
            <w:tcW w:w="3721" w:type="dxa"/>
            <w:gridSpan w:val="3"/>
          </w:tcPr>
          <w:p w14:paraId="7D72D857" w14:textId="77777777" w:rsidR="002A0714" w:rsidRPr="00D724E5" w:rsidRDefault="002A0714" w:rsidP="002A0714">
            <w:pPr>
              <w:pStyle w:val="TableParagraph"/>
              <w:ind w:left="0"/>
              <w:rPr>
                <w:rFonts w:ascii="Arial" w:hAnsi="Arial" w:cs="Arial"/>
                <w:sz w:val="18"/>
                <w:szCs w:val="18"/>
              </w:rPr>
            </w:pPr>
          </w:p>
        </w:tc>
        <w:tc>
          <w:tcPr>
            <w:tcW w:w="2514" w:type="dxa"/>
            <w:gridSpan w:val="3"/>
          </w:tcPr>
          <w:p w14:paraId="39E270A6" w14:textId="77777777" w:rsidR="002A0714" w:rsidRPr="00D724E5" w:rsidRDefault="002A0714" w:rsidP="002A0714">
            <w:pPr>
              <w:pStyle w:val="TableParagraph"/>
              <w:ind w:left="0"/>
              <w:rPr>
                <w:rFonts w:ascii="Arial" w:hAnsi="Arial" w:cs="Arial"/>
                <w:sz w:val="18"/>
                <w:szCs w:val="18"/>
              </w:rPr>
            </w:pPr>
          </w:p>
        </w:tc>
        <w:tc>
          <w:tcPr>
            <w:tcW w:w="2841" w:type="dxa"/>
            <w:gridSpan w:val="3"/>
          </w:tcPr>
          <w:p w14:paraId="3F0871A3" w14:textId="77777777" w:rsidR="002A0714" w:rsidRPr="00D724E5" w:rsidRDefault="00D724E5" w:rsidP="00D724E5">
            <w:pPr>
              <w:pStyle w:val="TableParagraph"/>
              <w:spacing w:line="215" w:lineRule="exact"/>
              <w:ind w:left="0"/>
              <w:rPr>
                <w:rFonts w:ascii="Arial" w:hAnsi="Arial" w:cs="Arial"/>
                <w:sz w:val="18"/>
                <w:szCs w:val="18"/>
              </w:rPr>
            </w:pPr>
            <w:r w:rsidRPr="00D724E5">
              <w:rPr>
                <w:rFonts w:ascii="Arial" w:hAnsi="Arial" w:cs="Arial"/>
                <w:noProof/>
                <w:position w:val="-3"/>
                <w:sz w:val="18"/>
                <w:szCs w:val="18"/>
              </w:rPr>
              <mc:AlternateContent>
                <mc:Choice Requires="wpg">
                  <w:drawing>
                    <wp:anchor distT="0" distB="0" distL="114300" distR="114300" simplePos="0" relativeHeight="251665408" behindDoc="0" locked="0" layoutInCell="1" allowOverlap="1" wp14:anchorId="6BFCEAED" wp14:editId="60CD7630">
                      <wp:simplePos x="0" y="0"/>
                      <wp:positionH relativeFrom="column">
                        <wp:posOffset>1577630</wp:posOffset>
                      </wp:positionH>
                      <wp:positionV relativeFrom="paragraph">
                        <wp:posOffset>16510</wp:posOffset>
                      </wp:positionV>
                      <wp:extent cx="135890" cy="135890"/>
                      <wp:effectExtent l="0" t="0" r="16510" b="16510"/>
                      <wp:wrapThrough wrapText="bothSides">
                        <wp:wrapPolygon edited="0">
                          <wp:start x="0" y="0"/>
                          <wp:lineTo x="0" y="21196"/>
                          <wp:lineTo x="21196" y="21196"/>
                          <wp:lineTo x="21196" y="0"/>
                          <wp:lineTo x="0" y="0"/>
                        </wp:wrapPolygon>
                      </wp:wrapThrough>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140" name="Rectangle 47"/>
                              <wps:cNvSpPr>
                                <a:spLocks noChangeArrowheads="1"/>
                              </wps:cNvSpPr>
                              <wps:spPr bwMode="auto">
                                <a:xfrm>
                                  <a:off x="7" y="7"/>
                                  <a:ext cx="200" cy="2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du="http://schemas.microsoft.com/office/word/2023/wordml/word16du">
                  <w:pict>
                    <v:group w14:anchorId="76170A32" id="Group 139" o:spid="_x0000_s1026" style="position:absolute;margin-left:124.2pt;margin-top:1.3pt;width:10.7pt;height:10.7pt;z-index:251665408"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">
                      <v:rect id="Rectangle 47"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" filled="f" strokeweight=".72pt"/>
                      <w10:wrap type="through"/>
                    </v:group>
                  </w:pict>
                </mc:Fallback>
              </mc:AlternateContent>
            </w:r>
          </w:p>
        </w:tc>
      </w:tr>
      <w:tr w:rsidR="002A0714" w:rsidRPr="00D724E5" w14:paraId="383187E7" w14:textId="77777777" w:rsidTr="002A0714">
        <w:trPr>
          <w:gridBefore w:val="1"/>
          <w:wBefore w:w="10" w:type="dxa"/>
          <w:trHeight w:val="323"/>
        </w:trPr>
        <w:tc>
          <w:tcPr>
            <w:tcW w:w="3721" w:type="dxa"/>
            <w:gridSpan w:val="3"/>
            <w:tcBorders>
              <w:top w:val="single" w:sz="4" w:space="0" w:color="000000"/>
              <w:left w:val="single" w:sz="4" w:space="0" w:color="000000"/>
              <w:bottom w:val="single" w:sz="4" w:space="0" w:color="000000"/>
              <w:right w:val="single" w:sz="4" w:space="0" w:color="000000"/>
            </w:tcBorders>
          </w:tcPr>
          <w:p w14:paraId="07E991FF" w14:textId="77777777" w:rsidR="002A0714" w:rsidRPr="00D724E5" w:rsidRDefault="002A0714" w:rsidP="002A0714">
            <w:pPr>
              <w:pStyle w:val="TableParagraph"/>
              <w:ind w:left="0"/>
              <w:rPr>
                <w:rFonts w:ascii="Arial" w:hAnsi="Arial" w:cs="Arial"/>
                <w:sz w:val="18"/>
                <w:szCs w:val="18"/>
              </w:rPr>
            </w:pPr>
          </w:p>
        </w:tc>
        <w:tc>
          <w:tcPr>
            <w:tcW w:w="2514" w:type="dxa"/>
            <w:gridSpan w:val="3"/>
            <w:tcBorders>
              <w:top w:val="single" w:sz="4" w:space="0" w:color="000000"/>
              <w:left w:val="single" w:sz="4" w:space="0" w:color="000000"/>
              <w:bottom w:val="single" w:sz="4" w:space="0" w:color="000000"/>
              <w:right w:val="single" w:sz="4" w:space="0" w:color="000000"/>
            </w:tcBorders>
          </w:tcPr>
          <w:p w14:paraId="26928A9A" w14:textId="77777777" w:rsidR="002A0714" w:rsidRPr="00D724E5" w:rsidRDefault="002A0714" w:rsidP="002A0714">
            <w:pPr>
              <w:pStyle w:val="TableParagraph"/>
              <w:ind w:left="0"/>
              <w:rPr>
                <w:rFonts w:ascii="Arial" w:hAnsi="Arial" w:cs="Arial"/>
                <w:sz w:val="18"/>
                <w:szCs w:val="18"/>
              </w:rPr>
            </w:pPr>
          </w:p>
        </w:tc>
        <w:tc>
          <w:tcPr>
            <w:tcW w:w="2841" w:type="dxa"/>
            <w:gridSpan w:val="3"/>
            <w:tcBorders>
              <w:top w:val="single" w:sz="4" w:space="0" w:color="000000"/>
              <w:left w:val="single" w:sz="4" w:space="0" w:color="000000"/>
              <w:bottom w:val="single" w:sz="4" w:space="0" w:color="000000"/>
              <w:right w:val="single" w:sz="4" w:space="0" w:color="000000"/>
            </w:tcBorders>
          </w:tcPr>
          <w:p w14:paraId="5EDBFACE" w14:textId="77777777" w:rsidR="002A0714" w:rsidRPr="00D724E5" w:rsidRDefault="00804E5A" w:rsidP="002A0714">
            <w:pPr>
              <w:pStyle w:val="TableParagraph"/>
              <w:spacing w:before="2"/>
              <w:ind w:left="0"/>
              <w:rPr>
                <w:rFonts w:ascii="Arial" w:hAnsi="Arial" w:cs="Arial"/>
                <w:sz w:val="18"/>
                <w:szCs w:val="18"/>
              </w:rPr>
            </w:pPr>
            <w:r w:rsidRPr="00D724E5">
              <w:rPr>
                <w:rFonts w:ascii="Arial" w:hAnsi="Arial" w:cs="Arial"/>
                <w:noProof/>
                <w:position w:val="-3"/>
                <w:sz w:val="18"/>
                <w:szCs w:val="18"/>
              </w:rPr>
              <mc:AlternateContent>
                <mc:Choice Requires="wpg">
                  <w:drawing>
                    <wp:anchor distT="0" distB="0" distL="114300" distR="114300" simplePos="0" relativeHeight="251672576" behindDoc="0" locked="0" layoutInCell="1" allowOverlap="1" wp14:anchorId="453C0573" wp14:editId="2AA9E9D7">
                      <wp:simplePos x="0" y="0"/>
                      <wp:positionH relativeFrom="column">
                        <wp:posOffset>1568450</wp:posOffset>
                      </wp:positionH>
                      <wp:positionV relativeFrom="paragraph">
                        <wp:posOffset>26670</wp:posOffset>
                      </wp:positionV>
                      <wp:extent cx="146050" cy="142875"/>
                      <wp:effectExtent l="0" t="0" r="6350" b="9525"/>
                      <wp:wrapThrough wrapText="bothSides">
                        <wp:wrapPolygon edited="0">
                          <wp:start x="0" y="0"/>
                          <wp:lineTo x="0" y="20160"/>
                          <wp:lineTo x="19722" y="20160"/>
                          <wp:lineTo x="19722" y="0"/>
                          <wp:lineTo x="0" y="0"/>
                        </wp:wrapPolygon>
                      </wp:wrapThrough>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2875"/>
                                <a:chOff x="0" y="0"/>
                                <a:chExt cx="214" cy="214"/>
                              </a:xfrm>
                            </wpg:grpSpPr>
                            <wps:wsp>
                              <wps:cNvPr id="126" name="Rectangle 55"/>
                              <wps:cNvSpPr>
                                <a:spLocks noChangeArrowheads="1"/>
                              </wps:cNvSpPr>
                              <wps:spPr bwMode="auto">
                                <a:xfrm>
                                  <a:off x="7" y="7"/>
                                  <a:ext cx="200" cy="2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26A51999" id="Group 125" o:spid="_x0000_s1026" style="position:absolute;margin-left:123.5pt;margin-top:2.1pt;width:11.5pt;height:11.25pt;z-index:251672576;mso-width-relative:margin;mso-height-relative:margin"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">
                      <v:rect id="Rectangle 55"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" filled="f" strokeweight=".72pt"/>
                      <w10:wrap type="through"/>
                    </v:group>
                  </w:pict>
                </mc:Fallback>
              </mc:AlternateContent>
            </w:r>
            <w:r w:rsidR="00D724E5">
              <w:rPr>
                <w:rFonts w:ascii="Arial" w:hAnsi="Arial" w:cs="Arial"/>
                <w:sz w:val="18"/>
                <w:szCs w:val="18"/>
              </w:rPr>
              <w:t xml:space="preserve">                                                  </w:t>
            </w:r>
          </w:p>
        </w:tc>
      </w:tr>
      <w:tr w:rsidR="002A0714" w:rsidRPr="00D724E5" w14:paraId="120B817B" w14:textId="77777777" w:rsidTr="002A0714">
        <w:trPr>
          <w:gridAfter w:val="1"/>
          <w:wAfter w:w="11" w:type="dxa"/>
          <w:trHeight w:val="486"/>
        </w:trPr>
        <w:tc>
          <w:tcPr>
            <w:tcW w:w="9075" w:type="dxa"/>
            <w:gridSpan w:val="9"/>
          </w:tcPr>
          <w:p w14:paraId="5F37854E" w14:textId="77777777" w:rsidR="002A0714" w:rsidRPr="00D724E5" w:rsidRDefault="002A0714" w:rsidP="002A0714">
            <w:pPr>
              <w:pStyle w:val="TableParagraph"/>
              <w:spacing w:line="243" w:lineRule="exact"/>
              <w:ind w:left="107"/>
              <w:rPr>
                <w:rFonts w:ascii="Arial" w:hAnsi="Arial" w:cs="Arial"/>
                <w:b/>
                <w:sz w:val="18"/>
                <w:szCs w:val="18"/>
              </w:rPr>
            </w:pPr>
            <w:r w:rsidRPr="00D724E5">
              <w:rPr>
                <w:rFonts w:ascii="Arial" w:hAnsi="Arial" w:cs="Arial"/>
                <w:b/>
                <w:sz w:val="18"/>
                <w:szCs w:val="18"/>
              </w:rPr>
              <w:t>Maintenance</w:t>
            </w:r>
            <w:r w:rsidRPr="00D724E5">
              <w:rPr>
                <w:rFonts w:ascii="Arial" w:hAnsi="Arial" w:cs="Arial"/>
                <w:b/>
                <w:spacing w:val="-5"/>
                <w:sz w:val="18"/>
                <w:szCs w:val="18"/>
              </w:rPr>
              <w:t xml:space="preserve"> </w:t>
            </w:r>
            <w:r w:rsidRPr="00D724E5">
              <w:rPr>
                <w:rFonts w:ascii="Arial" w:hAnsi="Arial" w:cs="Arial"/>
                <w:b/>
                <w:sz w:val="18"/>
                <w:szCs w:val="18"/>
              </w:rPr>
              <w:t>due</w:t>
            </w:r>
            <w:r w:rsidRPr="00D724E5">
              <w:rPr>
                <w:rFonts w:ascii="Arial" w:hAnsi="Arial" w:cs="Arial"/>
                <w:b/>
                <w:spacing w:val="-6"/>
                <w:sz w:val="18"/>
                <w:szCs w:val="18"/>
              </w:rPr>
              <w:t xml:space="preserve"> </w:t>
            </w:r>
            <w:r w:rsidRPr="00D724E5">
              <w:rPr>
                <w:rFonts w:ascii="Arial" w:hAnsi="Arial" w:cs="Arial"/>
                <w:b/>
                <w:sz w:val="18"/>
                <w:szCs w:val="18"/>
              </w:rPr>
              <w:t>to</w:t>
            </w:r>
            <w:r w:rsidRPr="00D724E5">
              <w:rPr>
                <w:rFonts w:ascii="Arial" w:hAnsi="Arial" w:cs="Arial"/>
                <w:b/>
                <w:spacing w:val="-3"/>
                <w:sz w:val="18"/>
                <w:szCs w:val="18"/>
              </w:rPr>
              <w:t xml:space="preserve"> </w:t>
            </w:r>
            <w:r w:rsidRPr="00D724E5">
              <w:rPr>
                <w:rFonts w:ascii="Arial" w:hAnsi="Arial" w:cs="Arial"/>
                <w:b/>
                <w:sz w:val="18"/>
                <w:szCs w:val="18"/>
              </w:rPr>
              <w:t>specific</w:t>
            </w:r>
            <w:r w:rsidRPr="00D724E5">
              <w:rPr>
                <w:rFonts w:ascii="Arial" w:hAnsi="Arial" w:cs="Arial"/>
                <w:b/>
                <w:spacing w:val="-4"/>
                <w:sz w:val="18"/>
                <w:szCs w:val="18"/>
              </w:rPr>
              <w:t xml:space="preserve"> </w:t>
            </w:r>
            <w:r w:rsidRPr="00D724E5">
              <w:rPr>
                <w:rFonts w:ascii="Arial" w:hAnsi="Arial" w:cs="Arial"/>
                <w:b/>
                <w:sz w:val="18"/>
                <w:szCs w:val="18"/>
              </w:rPr>
              <w:t>operational/airspace</w:t>
            </w:r>
            <w:r w:rsidRPr="00D724E5">
              <w:rPr>
                <w:rFonts w:ascii="Arial" w:hAnsi="Arial" w:cs="Arial"/>
                <w:b/>
                <w:spacing w:val="-5"/>
                <w:sz w:val="18"/>
                <w:szCs w:val="18"/>
              </w:rPr>
              <w:t xml:space="preserve"> </w:t>
            </w:r>
            <w:r w:rsidRPr="00D724E5">
              <w:rPr>
                <w:rFonts w:ascii="Arial" w:hAnsi="Arial" w:cs="Arial"/>
                <w:b/>
                <w:sz w:val="18"/>
                <w:szCs w:val="18"/>
              </w:rPr>
              <w:t>directives/requirements</w:t>
            </w:r>
            <w:r w:rsidRPr="00D724E5">
              <w:rPr>
                <w:rFonts w:ascii="Arial" w:hAnsi="Arial" w:cs="Arial"/>
                <w:b/>
                <w:spacing w:val="-4"/>
                <w:sz w:val="18"/>
                <w:szCs w:val="18"/>
              </w:rPr>
              <w:t xml:space="preserve"> </w:t>
            </w:r>
            <w:r w:rsidRPr="00D724E5">
              <w:rPr>
                <w:rFonts w:ascii="Arial" w:hAnsi="Arial" w:cs="Arial"/>
                <w:b/>
                <w:sz w:val="18"/>
                <w:szCs w:val="18"/>
              </w:rPr>
              <w:t>(altimeter,</w:t>
            </w:r>
            <w:r w:rsidRPr="00D724E5">
              <w:rPr>
                <w:rFonts w:ascii="Arial" w:hAnsi="Arial" w:cs="Arial"/>
                <w:b/>
                <w:spacing w:val="-6"/>
                <w:sz w:val="18"/>
                <w:szCs w:val="18"/>
              </w:rPr>
              <w:t xml:space="preserve"> </w:t>
            </w:r>
            <w:r w:rsidRPr="00D724E5">
              <w:rPr>
                <w:rFonts w:ascii="Arial" w:hAnsi="Arial" w:cs="Arial"/>
                <w:b/>
                <w:sz w:val="18"/>
                <w:szCs w:val="18"/>
              </w:rPr>
              <w:t>compass,</w:t>
            </w:r>
          </w:p>
          <w:p w14:paraId="7001D9C0" w14:textId="77777777" w:rsidR="002A0714" w:rsidRPr="00D724E5" w:rsidRDefault="002A0714" w:rsidP="002A0714">
            <w:pPr>
              <w:pStyle w:val="TableParagraph"/>
              <w:spacing w:line="223" w:lineRule="exact"/>
              <w:ind w:left="107"/>
              <w:rPr>
                <w:rFonts w:ascii="Arial" w:hAnsi="Arial" w:cs="Arial"/>
                <w:b/>
                <w:sz w:val="18"/>
                <w:szCs w:val="18"/>
              </w:rPr>
            </w:pPr>
            <w:r w:rsidRPr="00D724E5">
              <w:rPr>
                <w:rFonts w:ascii="Arial" w:hAnsi="Arial" w:cs="Arial"/>
                <w:b/>
                <w:sz w:val="18"/>
                <w:szCs w:val="18"/>
              </w:rPr>
              <w:t>transponder,</w:t>
            </w:r>
            <w:r w:rsidRPr="00D724E5">
              <w:rPr>
                <w:rFonts w:ascii="Arial" w:hAnsi="Arial" w:cs="Arial"/>
                <w:b/>
                <w:spacing w:val="-6"/>
                <w:sz w:val="18"/>
                <w:szCs w:val="18"/>
              </w:rPr>
              <w:t xml:space="preserve"> </w:t>
            </w:r>
            <w:r w:rsidRPr="00D724E5">
              <w:rPr>
                <w:rFonts w:ascii="Arial" w:hAnsi="Arial" w:cs="Arial"/>
                <w:b/>
                <w:sz w:val="18"/>
                <w:szCs w:val="18"/>
              </w:rPr>
              <w:t>etc.)</w:t>
            </w:r>
          </w:p>
        </w:tc>
      </w:tr>
      <w:tr w:rsidR="002A0714" w:rsidRPr="00D724E5" w14:paraId="3C907405" w14:textId="77777777" w:rsidTr="002A0714">
        <w:trPr>
          <w:gridAfter w:val="1"/>
          <w:wAfter w:w="11" w:type="dxa"/>
          <w:trHeight w:val="290"/>
        </w:trPr>
        <w:tc>
          <w:tcPr>
            <w:tcW w:w="3721" w:type="dxa"/>
            <w:gridSpan w:val="3"/>
          </w:tcPr>
          <w:p w14:paraId="5E73005B" w14:textId="77777777" w:rsidR="002A0714" w:rsidRPr="00D724E5" w:rsidRDefault="002A0714" w:rsidP="002A0714">
            <w:pPr>
              <w:pStyle w:val="TableParagraph"/>
              <w:ind w:left="0"/>
              <w:rPr>
                <w:rFonts w:ascii="Arial" w:hAnsi="Arial" w:cs="Arial"/>
                <w:sz w:val="18"/>
                <w:szCs w:val="18"/>
              </w:rPr>
            </w:pPr>
          </w:p>
        </w:tc>
        <w:tc>
          <w:tcPr>
            <w:tcW w:w="2514" w:type="dxa"/>
            <w:gridSpan w:val="3"/>
          </w:tcPr>
          <w:p w14:paraId="7CE1977E" w14:textId="77777777" w:rsidR="002A0714" w:rsidRPr="00D724E5" w:rsidRDefault="002A0714" w:rsidP="002A0714">
            <w:pPr>
              <w:pStyle w:val="TableParagraph"/>
              <w:ind w:left="0"/>
              <w:rPr>
                <w:rFonts w:ascii="Arial" w:hAnsi="Arial" w:cs="Arial"/>
                <w:sz w:val="18"/>
                <w:szCs w:val="18"/>
              </w:rPr>
            </w:pPr>
          </w:p>
        </w:tc>
        <w:tc>
          <w:tcPr>
            <w:tcW w:w="2840" w:type="dxa"/>
            <w:gridSpan w:val="3"/>
          </w:tcPr>
          <w:p w14:paraId="757DC750" w14:textId="77777777" w:rsidR="002A0714" w:rsidRPr="00D724E5" w:rsidRDefault="002A0714" w:rsidP="002A0714">
            <w:pPr>
              <w:pStyle w:val="TableParagraph"/>
              <w:spacing w:before="10"/>
              <w:ind w:left="0"/>
              <w:rPr>
                <w:rFonts w:ascii="Arial" w:hAnsi="Arial" w:cs="Arial"/>
                <w:sz w:val="18"/>
                <w:szCs w:val="18"/>
              </w:rPr>
            </w:pPr>
          </w:p>
          <w:p w14:paraId="755442B8" w14:textId="77777777" w:rsidR="002A0714" w:rsidRPr="00D724E5" w:rsidRDefault="002A0714" w:rsidP="002A0714">
            <w:pPr>
              <w:pStyle w:val="TableParagraph"/>
              <w:spacing w:line="215" w:lineRule="exact"/>
              <w:ind w:left="2499"/>
              <w:rPr>
                <w:rFonts w:ascii="Arial" w:hAnsi="Arial" w:cs="Arial"/>
                <w:sz w:val="18"/>
                <w:szCs w:val="18"/>
              </w:rPr>
            </w:pPr>
            <w:r w:rsidRPr="00D724E5">
              <w:rPr>
                <w:rFonts w:ascii="Arial" w:hAnsi="Arial" w:cs="Arial"/>
                <w:noProof/>
                <w:position w:val="-3"/>
                <w:sz w:val="18"/>
                <w:szCs w:val="18"/>
              </w:rPr>
              <mc:AlternateContent>
                <mc:Choice Requires="wpg">
                  <w:drawing>
                    <wp:inline distT="0" distB="0" distL="0" distR="0" wp14:anchorId="537CA782" wp14:editId="70330E39">
                      <wp:extent cx="135890" cy="135890"/>
                      <wp:effectExtent l="1270" t="8890" r="5715" b="7620"/>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84" name="Rectangle 75"/>
                              <wps:cNvSpPr>
                                <a:spLocks noChangeArrowheads="1"/>
                              </wps:cNvSpPr>
                              <wps:spPr bwMode="auto">
                                <a:xfrm>
                                  <a:off x="7" y="7"/>
                                  <a:ext cx="200" cy="2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w:pict>
                    <v:group w14:anchorId="6D2214F1" id="Group 83"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">
                      <v:rect id="Rectangle 75"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" filled="f" strokeweight=".72pt"/>
                      <w10:anchorlock/>
                    </v:group>
                  </w:pict>
                </mc:Fallback>
              </mc:AlternateContent>
            </w:r>
          </w:p>
        </w:tc>
      </w:tr>
      <w:tr w:rsidR="002A0714" w:rsidRPr="00D724E5" w14:paraId="1220E5BC" w14:textId="77777777" w:rsidTr="002A0714">
        <w:trPr>
          <w:gridAfter w:val="1"/>
          <w:wAfter w:w="11" w:type="dxa"/>
          <w:trHeight w:val="290"/>
        </w:trPr>
        <w:tc>
          <w:tcPr>
            <w:tcW w:w="3721" w:type="dxa"/>
            <w:gridSpan w:val="3"/>
          </w:tcPr>
          <w:p w14:paraId="0CBFC24E" w14:textId="77777777" w:rsidR="002A0714" w:rsidRPr="00D724E5" w:rsidRDefault="002A0714" w:rsidP="002A0714">
            <w:pPr>
              <w:pStyle w:val="TableParagraph"/>
              <w:ind w:left="0"/>
              <w:rPr>
                <w:rFonts w:ascii="Arial" w:hAnsi="Arial" w:cs="Arial"/>
                <w:sz w:val="18"/>
                <w:szCs w:val="18"/>
              </w:rPr>
            </w:pPr>
          </w:p>
        </w:tc>
        <w:tc>
          <w:tcPr>
            <w:tcW w:w="2514" w:type="dxa"/>
            <w:gridSpan w:val="3"/>
          </w:tcPr>
          <w:p w14:paraId="338DDFB0" w14:textId="77777777" w:rsidR="002A0714" w:rsidRPr="00D724E5" w:rsidRDefault="002A0714" w:rsidP="002A0714">
            <w:pPr>
              <w:pStyle w:val="TableParagraph"/>
              <w:ind w:left="0"/>
              <w:rPr>
                <w:rFonts w:ascii="Arial" w:hAnsi="Arial" w:cs="Arial"/>
                <w:sz w:val="18"/>
                <w:szCs w:val="18"/>
              </w:rPr>
            </w:pPr>
          </w:p>
        </w:tc>
        <w:tc>
          <w:tcPr>
            <w:tcW w:w="2840" w:type="dxa"/>
            <w:gridSpan w:val="3"/>
          </w:tcPr>
          <w:p w14:paraId="64CB2300" w14:textId="77777777" w:rsidR="002A0714" w:rsidRPr="00D724E5" w:rsidRDefault="00804E5A" w:rsidP="002A0714">
            <w:pPr>
              <w:pStyle w:val="TableParagraph"/>
              <w:spacing w:before="10"/>
              <w:ind w:left="0"/>
              <w:rPr>
                <w:rFonts w:ascii="Arial" w:hAnsi="Arial" w:cs="Arial"/>
                <w:sz w:val="18"/>
                <w:szCs w:val="18"/>
              </w:rPr>
            </w:pPr>
            <w:r w:rsidRPr="00D724E5">
              <w:rPr>
                <w:rFonts w:ascii="Arial" w:hAnsi="Arial" w:cs="Arial"/>
                <w:noProof/>
                <w:position w:val="-3"/>
                <w:sz w:val="18"/>
                <w:szCs w:val="18"/>
              </w:rPr>
              <mc:AlternateContent>
                <mc:Choice Requires="wpg">
                  <w:drawing>
                    <wp:anchor distT="0" distB="0" distL="114300" distR="114300" simplePos="0" relativeHeight="251668480" behindDoc="0" locked="0" layoutInCell="1" allowOverlap="1" wp14:anchorId="71B5A567" wp14:editId="609754A1">
                      <wp:simplePos x="0" y="0"/>
                      <wp:positionH relativeFrom="column">
                        <wp:posOffset>1584325</wp:posOffset>
                      </wp:positionH>
                      <wp:positionV relativeFrom="paragraph">
                        <wp:posOffset>26670</wp:posOffset>
                      </wp:positionV>
                      <wp:extent cx="135890" cy="135890"/>
                      <wp:effectExtent l="0" t="0" r="16510" b="16510"/>
                      <wp:wrapThrough wrapText="bothSides">
                        <wp:wrapPolygon edited="0">
                          <wp:start x="0" y="0"/>
                          <wp:lineTo x="0" y="21196"/>
                          <wp:lineTo x="21196" y="21196"/>
                          <wp:lineTo x="21196" y="0"/>
                          <wp:lineTo x="0" y="0"/>
                        </wp:wrapPolygon>
                      </wp:wrapThrough>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82" name="Rectangle 73"/>
                              <wps:cNvSpPr>
                                <a:spLocks noChangeArrowheads="1"/>
                              </wps:cNvSpPr>
                              <wps:spPr bwMode="auto">
                                <a:xfrm>
                                  <a:off x="7" y="7"/>
                                  <a:ext cx="200" cy="2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du="http://schemas.microsoft.com/office/word/2023/wordml/word16du">
                  <w:pict>
                    <v:group w14:anchorId="30492391" id="Group 81" o:spid="_x0000_s1026" style="position:absolute;margin-left:124.75pt;margin-top:2.1pt;width:10.7pt;height:10.7pt;z-index:251668480"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">
                      <v:rect id="Rectangle 73"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" filled="f" strokeweight=".72pt"/>
                      <w10:wrap type="through"/>
                    </v:group>
                  </w:pict>
                </mc:Fallback>
              </mc:AlternateContent>
            </w:r>
          </w:p>
          <w:p w14:paraId="600A9C74" w14:textId="77777777" w:rsidR="002A0714" w:rsidRPr="00D724E5" w:rsidRDefault="002A0714" w:rsidP="002A0714">
            <w:pPr>
              <w:pStyle w:val="TableParagraph"/>
              <w:spacing w:line="215" w:lineRule="exact"/>
              <w:ind w:left="2499"/>
              <w:rPr>
                <w:rFonts w:ascii="Arial" w:hAnsi="Arial" w:cs="Arial"/>
                <w:sz w:val="18"/>
                <w:szCs w:val="18"/>
              </w:rPr>
            </w:pPr>
          </w:p>
        </w:tc>
      </w:tr>
      <w:tr w:rsidR="002A0714" w:rsidRPr="00D724E5" w14:paraId="6BF3973A" w14:textId="77777777" w:rsidTr="002A0714">
        <w:trPr>
          <w:gridAfter w:val="1"/>
          <w:wAfter w:w="11" w:type="dxa"/>
          <w:trHeight w:val="244"/>
        </w:trPr>
        <w:tc>
          <w:tcPr>
            <w:tcW w:w="9075" w:type="dxa"/>
            <w:gridSpan w:val="9"/>
          </w:tcPr>
          <w:p w14:paraId="131A1DBD" w14:textId="77777777" w:rsidR="002A0714" w:rsidRPr="00D724E5" w:rsidRDefault="002A0714" w:rsidP="002A0714">
            <w:pPr>
              <w:pStyle w:val="TableParagraph"/>
              <w:spacing w:before="1" w:line="223" w:lineRule="exact"/>
              <w:ind w:left="107"/>
              <w:rPr>
                <w:rFonts w:ascii="Arial" w:hAnsi="Arial" w:cs="Arial"/>
                <w:b/>
                <w:sz w:val="18"/>
                <w:szCs w:val="18"/>
              </w:rPr>
            </w:pPr>
            <w:r w:rsidRPr="00D724E5">
              <w:rPr>
                <w:rFonts w:ascii="Arial" w:hAnsi="Arial" w:cs="Arial"/>
                <w:b/>
                <w:sz w:val="18"/>
                <w:szCs w:val="18"/>
              </w:rPr>
              <w:t>Maintenance</w:t>
            </w:r>
            <w:r w:rsidRPr="00D724E5">
              <w:rPr>
                <w:rFonts w:ascii="Arial" w:hAnsi="Arial" w:cs="Arial"/>
                <w:b/>
                <w:spacing w:val="-3"/>
                <w:sz w:val="18"/>
                <w:szCs w:val="18"/>
              </w:rPr>
              <w:t xml:space="preserve"> </w:t>
            </w:r>
            <w:r w:rsidRPr="00D724E5">
              <w:rPr>
                <w:rFonts w:ascii="Arial" w:hAnsi="Arial" w:cs="Arial"/>
                <w:b/>
                <w:sz w:val="18"/>
                <w:szCs w:val="18"/>
              </w:rPr>
              <w:t>due</w:t>
            </w:r>
            <w:r w:rsidRPr="00D724E5">
              <w:rPr>
                <w:rFonts w:ascii="Arial" w:hAnsi="Arial" w:cs="Arial"/>
                <w:b/>
                <w:spacing w:val="-4"/>
                <w:sz w:val="18"/>
                <w:szCs w:val="18"/>
              </w:rPr>
              <w:t xml:space="preserve"> </w:t>
            </w:r>
            <w:r w:rsidRPr="00D724E5">
              <w:rPr>
                <w:rFonts w:ascii="Arial" w:hAnsi="Arial" w:cs="Arial"/>
                <w:b/>
                <w:sz w:val="18"/>
                <w:szCs w:val="18"/>
              </w:rPr>
              <w:t>to</w:t>
            </w:r>
            <w:r w:rsidRPr="00D724E5">
              <w:rPr>
                <w:rFonts w:ascii="Arial" w:hAnsi="Arial" w:cs="Arial"/>
                <w:b/>
                <w:spacing w:val="-1"/>
                <w:sz w:val="18"/>
                <w:szCs w:val="18"/>
              </w:rPr>
              <w:t xml:space="preserve"> </w:t>
            </w:r>
            <w:r w:rsidRPr="00D724E5">
              <w:rPr>
                <w:rFonts w:ascii="Arial" w:hAnsi="Arial" w:cs="Arial"/>
                <w:b/>
                <w:sz w:val="18"/>
                <w:szCs w:val="18"/>
              </w:rPr>
              <w:t>the</w:t>
            </w:r>
            <w:r w:rsidRPr="00D724E5">
              <w:rPr>
                <w:rFonts w:ascii="Arial" w:hAnsi="Arial" w:cs="Arial"/>
                <w:b/>
                <w:spacing w:val="-5"/>
                <w:sz w:val="18"/>
                <w:szCs w:val="18"/>
              </w:rPr>
              <w:t xml:space="preserve"> </w:t>
            </w:r>
            <w:r w:rsidRPr="00D724E5">
              <w:rPr>
                <w:rFonts w:ascii="Arial" w:hAnsi="Arial" w:cs="Arial"/>
                <w:b/>
                <w:sz w:val="18"/>
                <w:szCs w:val="18"/>
              </w:rPr>
              <w:t>type</w:t>
            </w:r>
            <w:r w:rsidRPr="00D724E5">
              <w:rPr>
                <w:rFonts w:ascii="Arial" w:hAnsi="Arial" w:cs="Arial"/>
                <w:b/>
                <w:spacing w:val="-2"/>
                <w:sz w:val="18"/>
                <w:szCs w:val="18"/>
              </w:rPr>
              <w:t xml:space="preserve"> </w:t>
            </w:r>
            <w:r w:rsidRPr="00D724E5">
              <w:rPr>
                <w:rFonts w:ascii="Arial" w:hAnsi="Arial" w:cs="Arial"/>
                <w:b/>
                <w:sz w:val="18"/>
                <w:szCs w:val="18"/>
              </w:rPr>
              <w:t>of</w:t>
            </w:r>
            <w:r w:rsidRPr="00D724E5">
              <w:rPr>
                <w:rFonts w:ascii="Arial" w:hAnsi="Arial" w:cs="Arial"/>
                <w:b/>
                <w:spacing w:val="-3"/>
                <w:sz w:val="18"/>
                <w:szCs w:val="18"/>
              </w:rPr>
              <w:t xml:space="preserve"> </w:t>
            </w:r>
            <w:r w:rsidRPr="00D724E5">
              <w:rPr>
                <w:rFonts w:ascii="Arial" w:hAnsi="Arial" w:cs="Arial"/>
                <w:b/>
                <w:sz w:val="18"/>
                <w:szCs w:val="18"/>
              </w:rPr>
              <w:t>operation</w:t>
            </w:r>
            <w:r w:rsidRPr="00D724E5">
              <w:rPr>
                <w:rFonts w:ascii="Arial" w:hAnsi="Arial" w:cs="Arial"/>
                <w:b/>
                <w:spacing w:val="-1"/>
                <w:sz w:val="18"/>
                <w:szCs w:val="18"/>
              </w:rPr>
              <w:t xml:space="preserve"> </w:t>
            </w:r>
            <w:r w:rsidRPr="00D724E5">
              <w:rPr>
                <w:rFonts w:ascii="Arial" w:hAnsi="Arial" w:cs="Arial"/>
                <w:b/>
                <w:sz w:val="18"/>
                <w:szCs w:val="18"/>
              </w:rPr>
              <w:t>or</w:t>
            </w:r>
            <w:r w:rsidRPr="00D724E5">
              <w:rPr>
                <w:rFonts w:ascii="Arial" w:hAnsi="Arial" w:cs="Arial"/>
                <w:b/>
                <w:spacing w:val="-2"/>
                <w:sz w:val="18"/>
                <w:szCs w:val="18"/>
              </w:rPr>
              <w:t xml:space="preserve"> </w:t>
            </w:r>
            <w:r w:rsidRPr="00D724E5">
              <w:rPr>
                <w:rFonts w:ascii="Arial" w:hAnsi="Arial" w:cs="Arial"/>
                <w:b/>
                <w:sz w:val="18"/>
                <w:szCs w:val="18"/>
              </w:rPr>
              <w:t>operational</w:t>
            </w:r>
            <w:r w:rsidRPr="00D724E5">
              <w:rPr>
                <w:rFonts w:ascii="Arial" w:hAnsi="Arial" w:cs="Arial"/>
                <w:b/>
                <w:spacing w:val="-4"/>
                <w:sz w:val="18"/>
                <w:szCs w:val="18"/>
              </w:rPr>
              <w:t xml:space="preserve"> </w:t>
            </w:r>
            <w:r w:rsidRPr="00D724E5">
              <w:rPr>
                <w:rFonts w:ascii="Arial" w:hAnsi="Arial" w:cs="Arial"/>
                <w:b/>
                <w:sz w:val="18"/>
                <w:szCs w:val="18"/>
              </w:rPr>
              <w:t>approvals</w:t>
            </w:r>
          </w:p>
        </w:tc>
      </w:tr>
      <w:tr w:rsidR="002A0714" w:rsidRPr="00D724E5" w14:paraId="57C27099" w14:textId="77777777" w:rsidTr="002A0714">
        <w:trPr>
          <w:gridAfter w:val="1"/>
          <w:wAfter w:w="11" w:type="dxa"/>
          <w:trHeight w:val="299"/>
        </w:trPr>
        <w:tc>
          <w:tcPr>
            <w:tcW w:w="3721" w:type="dxa"/>
            <w:gridSpan w:val="3"/>
          </w:tcPr>
          <w:p w14:paraId="7AFD756B" w14:textId="77777777" w:rsidR="002A0714" w:rsidRPr="00D724E5" w:rsidRDefault="002A0714" w:rsidP="002A0714">
            <w:pPr>
              <w:pStyle w:val="TableParagraph"/>
              <w:ind w:left="0"/>
              <w:rPr>
                <w:rFonts w:ascii="Arial" w:hAnsi="Arial" w:cs="Arial"/>
                <w:sz w:val="18"/>
                <w:szCs w:val="18"/>
              </w:rPr>
            </w:pPr>
          </w:p>
        </w:tc>
        <w:tc>
          <w:tcPr>
            <w:tcW w:w="2514" w:type="dxa"/>
            <w:gridSpan w:val="3"/>
          </w:tcPr>
          <w:p w14:paraId="688E72B2" w14:textId="77777777" w:rsidR="002A0714" w:rsidRPr="00D724E5" w:rsidRDefault="002A0714" w:rsidP="002A0714">
            <w:pPr>
              <w:pStyle w:val="TableParagraph"/>
              <w:ind w:left="0"/>
              <w:rPr>
                <w:rFonts w:ascii="Arial" w:hAnsi="Arial" w:cs="Arial"/>
                <w:sz w:val="18"/>
                <w:szCs w:val="18"/>
              </w:rPr>
            </w:pPr>
          </w:p>
        </w:tc>
        <w:tc>
          <w:tcPr>
            <w:tcW w:w="2840" w:type="dxa"/>
            <w:gridSpan w:val="3"/>
          </w:tcPr>
          <w:p w14:paraId="3BD2F500" w14:textId="77777777" w:rsidR="002A0714" w:rsidRPr="00D724E5" w:rsidRDefault="002A0714" w:rsidP="002A0714">
            <w:pPr>
              <w:pStyle w:val="TableParagraph"/>
              <w:spacing w:before="3"/>
              <w:ind w:left="0"/>
              <w:rPr>
                <w:rFonts w:ascii="Arial" w:hAnsi="Arial" w:cs="Arial"/>
                <w:sz w:val="18"/>
                <w:szCs w:val="18"/>
              </w:rPr>
            </w:pPr>
          </w:p>
          <w:p w14:paraId="270DCEC7" w14:textId="77777777" w:rsidR="002A0714" w:rsidRPr="00D724E5" w:rsidRDefault="002A0714" w:rsidP="002A0714">
            <w:pPr>
              <w:pStyle w:val="TableParagraph"/>
              <w:spacing w:line="215" w:lineRule="exact"/>
              <w:ind w:left="2499"/>
              <w:rPr>
                <w:rFonts w:ascii="Arial" w:hAnsi="Arial" w:cs="Arial"/>
                <w:sz w:val="18"/>
                <w:szCs w:val="18"/>
              </w:rPr>
            </w:pPr>
            <w:r w:rsidRPr="00D724E5">
              <w:rPr>
                <w:rFonts w:ascii="Arial" w:hAnsi="Arial" w:cs="Arial"/>
                <w:noProof/>
                <w:position w:val="-3"/>
                <w:sz w:val="18"/>
                <w:szCs w:val="18"/>
              </w:rPr>
              <mc:AlternateContent>
                <mc:Choice Requires="wpg">
                  <w:drawing>
                    <wp:inline distT="0" distB="0" distL="0" distR="0" wp14:anchorId="28969A34" wp14:editId="34A67E14">
                      <wp:extent cx="135890" cy="135890"/>
                      <wp:effectExtent l="1270" t="1905" r="5715" b="5080"/>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80" name="Rectangle 71"/>
                              <wps:cNvSpPr>
                                <a:spLocks noChangeArrowheads="1"/>
                              </wps:cNvSpPr>
                              <wps:spPr bwMode="auto">
                                <a:xfrm>
                                  <a:off x="7" y="7"/>
                                  <a:ext cx="200" cy="2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w:pict>
                    <v:group w14:anchorId="618B98D4" id="Group 79"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">
                      <v:rect id="Rectangle 71"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" filled="f" strokeweight=".72pt"/>
                      <w10:anchorlock/>
                    </v:group>
                  </w:pict>
                </mc:Fallback>
              </mc:AlternateContent>
            </w:r>
          </w:p>
        </w:tc>
      </w:tr>
      <w:tr w:rsidR="002A0714" w:rsidRPr="00D724E5" w14:paraId="5BA23E5F" w14:textId="77777777" w:rsidTr="002A0714">
        <w:trPr>
          <w:gridAfter w:val="1"/>
          <w:wAfter w:w="11" w:type="dxa"/>
          <w:trHeight w:val="297"/>
        </w:trPr>
        <w:tc>
          <w:tcPr>
            <w:tcW w:w="3721" w:type="dxa"/>
            <w:gridSpan w:val="3"/>
          </w:tcPr>
          <w:p w14:paraId="59668249" w14:textId="77777777" w:rsidR="002A0714" w:rsidRPr="00D724E5" w:rsidRDefault="002A0714" w:rsidP="002A0714">
            <w:pPr>
              <w:pStyle w:val="TableParagraph"/>
              <w:ind w:left="0"/>
              <w:rPr>
                <w:rFonts w:ascii="Arial" w:hAnsi="Arial" w:cs="Arial"/>
                <w:sz w:val="18"/>
                <w:szCs w:val="18"/>
              </w:rPr>
            </w:pPr>
          </w:p>
        </w:tc>
        <w:tc>
          <w:tcPr>
            <w:tcW w:w="2514" w:type="dxa"/>
            <w:gridSpan w:val="3"/>
          </w:tcPr>
          <w:p w14:paraId="4CA10927" w14:textId="77777777" w:rsidR="002A0714" w:rsidRPr="00D724E5" w:rsidRDefault="002A0714" w:rsidP="002A0714">
            <w:pPr>
              <w:pStyle w:val="TableParagraph"/>
              <w:ind w:left="0"/>
              <w:rPr>
                <w:rFonts w:ascii="Arial" w:hAnsi="Arial" w:cs="Arial"/>
                <w:sz w:val="18"/>
                <w:szCs w:val="18"/>
              </w:rPr>
            </w:pPr>
          </w:p>
        </w:tc>
        <w:tc>
          <w:tcPr>
            <w:tcW w:w="2840" w:type="dxa"/>
            <w:gridSpan w:val="3"/>
          </w:tcPr>
          <w:p w14:paraId="58E906D1" w14:textId="77777777" w:rsidR="002A0714" w:rsidRPr="00D724E5" w:rsidRDefault="002A0714" w:rsidP="002A0714">
            <w:pPr>
              <w:pStyle w:val="TableParagraph"/>
              <w:ind w:left="0"/>
              <w:rPr>
                <w:rFonts w:ascii="Arial" w:hAnsi="Arial" w:cs="Arial"/>
                <w:sz w:val="18"/>
                <w:szCs w:val="18"/>
              </w:rPr>
            </w:pPr>
          </w:p>
          <w:p w14:paraId="7EB75E1B" w14:textId="77777777" w:rsidR="002A0714" w:rsidRPr="00D724E5" w:rsidRDefault="002A0714" w:rsidP="002A0714">
            <w:pPr>
              <w:pStyle w:val="TableParagraph"/>
              <w:spacing w:line="215" w:lineRule="exact"/>
              <w:ind w:left="2499"/>
              <w:rPr>
                <w:rFonts w:ascii="Arial" w:hAnsi="Arial" w:cs="Arial"/>
                <w:sz w:val="18"/>
                <w:szCs w:val="18"/>
              </w:rPr>
            </w:pPr>
            <w:r w:rsidRPr="00D724E5">
              <w:rPr>
                <w:rFonts w:ascii="Arial" w:hAnsi="Arial" w:cs="Arial"/>
                <w:noProof/>
                <w:position w:val="-3"/>
                <w:sz w:val="18"/>
                <w:szCs w:val="18"/>
              </w:rPr>
              <mc:AlternateContent>
                <mc:Choice Requires="wpg">
                  <w:drawing>
                    <wp:inline distT="0" distB="0" distL="0" distR="0" wp14:anchorId="723FA027" wp14:editId="0DEFDEAC">
                      <wp:extent cx="135890" cy="135890"/>
                      <wp:effectExtent l="1270" t="5715" r="5715" b="1270"/>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78" name="Rectangle 69"/>
                              <wps:cNvSpPr>
                                <a:spLocks noChangeArrowheads="1"/>
                              </wps:cNvSpPr>
                              <wps:spPr bwMode="auto">
                                <a:xfrm>
                                  <a:off x="7" y="7"/>
                                  <a:ext cx="200" cy="2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w:pict>
                    <v:group w14:anchorId="0A03460C" id="Group 77"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">
                      <v:rect id="Rectangle 69"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" filled="f" strokeweight=".72pt"/>
                      <w10:anchorlock/>
                    </v:group>
                  </w:pict>
                </mc:Fallback>
              </mc:AlternateContent>
            </w:r>
          </w:p>
        </w:tc>
      </w:tr>
      <w:tr w:rsidR="002A0714" w:rsidRPr="00D724E5" w14:paraId="79B9482F" w14:textId="77777777" w:rsidTr="002A0714">
        <w:trPr>
          <w:gridAfter w:val="1"/>
          <w:wAfter w:w="11" w:type="dxa"/>
          <w:trHeight w:val="244"/>
        </w:trPr>
        <w:tc>
          <w:tcPr>
            <w:tcW w:w="9075" w:type="dxa"/>
            <w:gridSpan w:val="9"/>
          </w:tcPr>
          <w:p w14:paraId="7A3FB96B" w14:textId="77777777" w:rsidR="002A0714" w:rsidRPr="00D724E5" w:rsidRDefault="002A0714" w:rsidP="002A0714">
            <w:pPr>
              <w:pStyle w:val="TableParagraph"/>
              <w:spacing w:line="224" w:lineRule="exact"/>
              <w:ind w:left="107"/>
              <w:rPr>
                <w:rFonts w:ascii="Arial" w:hAnsi="Arial" w:cs="Arial"/>
                <w:b/>
                <w:sz w:val="18"/>
                <w:szCs w:val="18"/>
              </w:rPr>
            </w:pPr>
            <w:r w:rsidRPr="00D724E5">
              <w:rPr>
                <w:rFonts w:ascii="Arial" w:hAnsi="Arial" w:cs="Arial"/>
                <w:b/>
                <w:sz w:val="18"/>
                <w:szCs w:val="18"/>
              </w:rPr>
              <w:t>Other</w:t>
            </w:r>
          </w:p>
        </w:tc>
      </w:tr>
      <w:tr w:rsidR="002A0714" w:rsidRPr="00D724E5" w14:paraId="59D5B368" w14:textId="77777777" w:rsidTr="00804E5A">
        <w:trPr>
          <w:gridAfter w:val="1"/>
          <w:wAfter w:w="11" w:type="dxa"/>
          <w:trHeight w:val="503"/>
        </w:trPr>
        <w:tc>
          <w:tcPr>
            <w:tcW w:w="3721" w:type="dxa"/>
            <w:gridSpan w:val="3"/>
          </w:tcPr>
          <w:p w14:paraId="54133F44" w14:textId="77777777" w:rsidR="002A0714" w:rsidRPr="00D724E5" w:rsidRDefault="002A0714" w:rsidP="002A0714">
            <w:pPr>
              <w:pStyle w:val="TableParagraph"/>
              <w:ind w:left="0"/>
              <w:rPr>
                <w:rFonts w:ascii="Arial" w:hAnsi="Arial" w:cs="Arial"/>
                <w:sz w:val="18"/>
                <w:szCs w:val="18"/>
              </w:rPr>
            </w:pPr>
          </w:p>
        </w:tc>
        <w:tc>
          <w:tcPr>
            <w:tcW w:w="2514" w:type="dxa"/>
            <w:gridSpan w:val="3"/>
          </w:tcPr>
          <w:p w14:paraId="016EE7DA" w14:textId="77777777" w:rsidR="002A0714" w:rsidRPr="00D724E5" w:rsidRDefault="002A0714" w:rsidP="002A0714">
            <w:pPr>
              <w:pStyle w:val="TableParagraph"/>
              <w:ind w:left="0"/>
              <w:rPr>
                <w:rFonts w:ascii="Arial" w:hAnsi="Arial" w:cs="Arial"/>
                <w:sz w:val="18"/>
                <w:szCs w:val="18"/>
              </w:rPr>
            </w:pPr>
          </w:p>
        </w:tc>
        <w:tc>
          <w:tcPr>
            <w:tcW w:w="2840" w:type="dxa"/>
            <w:gridSpan w:val="3"/>
          </w:tcPr>
          <w:p w14:paraId="16C14900" w14:textId="77777777" w:rsidR="002A0714" w:rsidRPr="00D724E5" w:rsidRDefault="00804E5A" w:rsidP="002A0714">
            <w:pPr>
              <w:pStyle w:val="TableParagraph"/>
              <w:spacing w:before="10"/>
              <w:ind w:left="0"/>
              <w:rPr>
                <w:rFonts w:ascii="Arial" w:hAnsi="Arial" w:cs="Arial"/>
                <w:sz w:val="18"/>
                <w:szCs w:val="18"/>
              </w:rPr>
            </w:pPr>
            <w:r w:rsidRPr="00D724E5">
              <w:rPr>
                <w:rFonts w:ascii="Arial" w:hAnsi="Arial" w:cs="Arial"/>
                <w:noProof/>
                <w:position w:val="-3"/>
                <w:sz w:val="18"/>
                <w:szCs w:val="18"/>
              </w:rPr>
              <mc:AlternateContent>
                <mc:Choice Requires="wpg">
                  <w:drawing>
                    <wp:anchor distT="0" distB="0" distL="114300" distR="114300" simplePos="0" relativeHeight="251667456" behindDoc="0" locked="0" layoutInCell="1" allowOverlap="1" wp14:anchorId="463E328B" wp14:editId="5B25D1F7">
                      <wp:simplePos x="0" y="0"/>
                      <wp:positionH relativeFrom="column">
                        <wp:posOffset>1588770</wp:posOffset>
                      </wp:positionH>
                      <wp:positionV relativeFrom="paragraph">
                        <wp:posOffset>60325</wp:posOffset>
                      </wp:positionV>
                      <wp:extent cx="135890" cy="135890"/>
                      <wp:effectExtent l="0" t="0" r="16510" b="16510"/>
                      <wp:wrapThrough wrapText="bothSides">
                        <wp:wrapPolygon edited="0">
                          <wp:start x="0" y="0"/>
                          <wp:lineTo x="0" y="21196"/>
                          <wp:lineTo x="21196" y="21196"/>
                          <wp:lineTo x="21196" y="0"/>
                          <wp:lineTo x="0" y="0"/>
                        </wp:wrapPolygon>
                      </wp:wrapThrough>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76" name="Rectangle 67"/>
                              <wps:cNvSpPr>
                                <a:spLocks noChangeArrowheads="1"/>
                              </wps:cNvSpPr>
                              <wps:spPr bwMode="auto">
                                <a:xfrm>
                                  <a:off x="7" y="7"/>
                                  <a:ext cx="200" cy="2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du="http://schemas.microsoft.com/office/word/2023/wordml/word16du">
                  <w:pict>
                    <v:group w14:anchorId="4817ECE1" id="Group 75" o:spid="_x0000_s1026" style="position:absolute;margin-left:125.1pt;margin-top:4.75pt;width:10.7pt;height:10.7pt;z-index:251667456"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">
                      <v:rect id="Rectangle 67"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" filled="f" strokeweight=".72pt"/>
                      <w10:wrap type="through"/>
                    </v:group>
                  </w:pict>
                </mc:Fallback>
              </mc:AlternateContent>
            </w:r>
          </w:p>
          <w:p w14:paraId="101A3E53" w14:textId="77777777" w:rsidR="002A0714" w:rsidRPr="00D724E5" w:rsidRDefault="002A0714" w:rsidP="00804E5A">
            <w:pPr>
              <w:pStyle w:val="TableParagraph"/>
              <w:spacing w:line="215" w:lineRule="exact"/>
              <w:rPr>
                <w:rFonts w:ascii="Arial" w:hAnsi="Arial" w:cs="Arial"/>
                <w:sz w:val="18"/>
                <w:szCs w:val="18"/>
              </w:rPr>
            </w:pPr>
          </w:p>
        </w:tc>
      </w:tr>
      <w:tr w:rsidR="002A0714" w:rsidRPr="00D724E5" w14:paraId="46F17E72" w14:textId="77777777" w:rsidTr="00804E5A">
        <w:trPr>
          <w:gridAfter w:val="1"/>
          <w:wAfter w:w="11" w:type="dxa"/>
          <w:trHeight w:val="512"/>
        </w:trPr>
        <w:tc>
          <w:tcPr>
            <w:tcW w:w="3721" w:type="dxa"/>
            <w:gridSpan w:val="3"/>
          </w:tcPr>
          <w:p w14:paraId="76507648" w14:textId="77777777" w:rsidR="002A0714" w:rsidRPr="00D724E5" w:rsidRDefault="002A0714" w:rsidP="002A0714">
            <w:pPr>
              <w:pStyle w:val="TableParagraph"/>
              <w:ind w:left="0"/>
              <w:rPr>
                <w:rFonts w:ascii="Arial" w:hAnsi="Arial" w:cs="Arial"/>
                <w:sz w:val="18"/>
                <w:szCs w:val="18"/>
              </w:rPr>
            </w:pPr>
          </w:p>
        </w:tc>
        <w:tc>
          <w:tcPr>
            <w:tcW w:w="2514" w:type="dxa"/>
            <w:gridSpan w:val="3"/>
          </w:tcPr>
          <w:p w14:paraId="07D6940F" w14:textId="77777777" w:rsidR="002A0714" w:rsidRPr="00D724E5" w:rsidRDefault="002A0714" w:rsidP="002A0714">
            <w:pPr>
              <w:pStyle w:val="TableParagraph"/>
              <w:ind w:left="0"/>
              <w:rPr>
                <w:rFonts w:ascii="Arial" w:hAnsi="Arial" w:cs="Arial"/>
                <w:sz w:val="18"/>
                <w:szCs w:val="18"/>
              </w:rPr>
            </w:pPr>
          </w:p>
        </w:tc>
        <w:tc>
          <w:tcPr>
            <w:tcW w:w="2840" w:type="dxa"/>
            <w:gridSpan w:val="3"/>
          </w:tcPr>
          <w:p w14:paraId="4DFAA624" w14:textId="77777777" w:rsidR="002A0714" w:rsidRPr="00D724E5" w:rsidRDefault="00804E5A" w:rsidP="002A0714">
            <w:pPr>
              <w:pStyle w:val="TableParagraph"/>
              <w:spacing w:before="2"/>
              <w:ind w:left="0"/>
              <w:rPr>
                <w:rFonts w:ascii="Arial" w:hAnsi="Arial" w:cs="Arial"/>
                <w:sz w:val="18"/>
                <w:szCs w:val="18"/>
              </w:rPr>
            </w:pPr>
            <w:r w:rsidRPr="00D724E5">
              <w:rPr>
                <w:rFonts w:ascii="Arial" w:hAnsi="Arial" w:cs="Arial"/>
                <w:noProof/>
                <w:position w:val="-3"/>
                <w:sz w:val="18"/>
                <w:szCs w:val="18"/>
              </w:rPr>
              <mc:AlternateContent>
                <mc:Choice Requires="wpg">
                  <w:drawing>
                    <wp:anchor distT="0" distB="0" distL="114300" distR="114300" simplePos="0" relativeHeight="251666432" behindDoc="0" locked="0" layoutInCell="1" allowOverlap="1" wp14:anchorId="54F4D7E8" wp14:editId="500BBDB1">
                      <wp:simplePos x="0" y="0"/>
                      <wp:positionH relativeFrom="column">
                        <wp:posOffset>1593215</wp:posOffset>
                      </wp:positionH>
                      <wp:positionV relativeFrom="paragraph">
                        <wp:posOffset>55880</wp:posOffset>
                      </wp:positionV>
                      <wp:extent cx="135890" cy="135890"/>
                      <wp:effectExtent l="0" t="0" r="16510" b="16510"/>
                      <wp:wrapThrough wrapText="bothSides">
                        <wp:wrapPolygon edited="0">
                          <wp:start x="0" y="0"/>
                          <wp:lineTo x="0" y="21196"/>
                          <wp:lineTo x="21196" y="21196"/>
                          <wp:lineTo x="21196" y="0"/>
                          <wp:lineTo x="0" y="0"/>
                        </wp:wrapPolygon>
                      </wp:wrapThrough>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74" name="Rectangle 65"/>
                              <wps:cNvSpPr>
                                <a:spLocks noChangeArrowheads="1"/>
                              </wps:cNvSpPr>
                              <wps:spPr bwMode="auto">
                                <a:xfrm>
                                  <a:off x="7" y="7"/>
                                  <a:ext cx="200" cy="2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du="http://schemas.microsoft.com/office/word/2023/wordml/word16du">
                  <w:pict>
                    <v:group w14:anchorId="68FD666E" id="Group 73" o:spid="_x0000_s1026" style="position:absolute;margin-left:125.45pt;margin-top:4.4pt;width:10.7pt;height:10.7pt;z-index:251666432"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">
                      <v:rect id="Rectangle 65"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" filled="f" strokeweight=".72pt"/>
                      <w10:wrap type="through"/>
                    </v:group>
                  </w:pict>
                </mc:Fallback>
              </mc:AlternateContent>
            </w:r>
          </w:p>
          <w:p w14:paraId="23C490BE" w14:textId="77777777" w:rsidR="002A0714" w:rsidRPr="00D724E5" w:rsidRDefault="002A0714" w:rsidP="00804E5A">
            <w:pPr>
              <w:pStyle w:val="TableParagraph"/>
              <w:spacing w:line="215" w:lineRule="exact"/>
              <w:ind w:left="0"/>
              <w:rPr>
                <w:rFonts w:ascii="Arial" w:hAnsi="Arial" w:cs="Arial"/>
                <w:sz w:val="18"/>
                <w:szCs w:val="18"/>
              </w:rPr>
            </w:pPr>
          </w:p>
        </w:tc>
      </w:tr>
      <w:tr w:rsidR="002A0714" w:rsidRPr="00D724E5" w14:paraId="5568CF5F" w14:textId="77777777" w:rsidTr="008C2414">
        <w:trPr>
          <w:gridAfter w:val="1"/>
          <w:wAfter w:w="11" w:type="dxa"/>
          <w:trHeight w:val="558"/>
        </w:trPr>
        <w:tc>
          <w:tcPr>
            <w:tcW w:w="9075" w:type="dxa"/>
            <w:gridSpan w:val="9"/>
            <w:shd w:val="clear" w:color="auto" w:fill="F2F2F2" w:themeFill="background1" w:themeFillShade="F2"/>
          </w:tcPr>
          <w:p w14:paraId="398CC8CF" w14:textId="77777777" w:rsidR="002A0714" w:rsidRPr="00D724E5" w:rsidRDefault="002A0714" w:rsidP="002A0714">
            <w:pPr>
              <w:pStyle w:val="TableParagraph"/>
              <w:spacing w:line="243" w:lineRule="exact"/>
              <w:ind w:left="541" w:right="541"/>
              <w:jc w:val="center"/>
              <w:rPr>
                <w:rFonts w:ascii="Arial" w:hAnsi="Arial" w:cs="Arial"/>
                <w:b/>
                <w:sz w:val="18"/>
                <w:szCs w:val="18"/>
              </w:rPr>
            </w:pPr>
            <w:r w:rsidRPr="00D724E5">
              <w:rPr>
                <w:rFonts w:ascii="Arial" w:hAnsi="Arial" w:cs="Arial"/>
                <w:b/>
                <w:sz w:val="18"/>
                <w:szCs w:val="18"/>
              </w:rPr>
              <w:t>Appendix</w:t>
            </w:r>
            <w:r w:rsidRPr="00D724E5">
              <w:rPr>
                <w:rFonts w:ascii="Arial" w:hAnsi="Arial" w:cs="Arial"/>
                <w:b/>
                <w:spacing w:val="-2"/>
                <w:sz w:val="18"/>
                <w:szCs w:val="18"/>
              </w:rPr>
              <w:t xml:space="preserve"> </w:t>
            </w:r>
            <w:r w:rsidRPr="00D724E5">
              <w:rPr>
                <w:rFonts w:ascii="Arial" w:hAnsi="Arial" w:cs="Arial"/>
                <w:b/>
                <w:sz w:val="18"/>
                <w:szCs w:val="18"/>
              </w:rPr>
              <w:t>C</w:t>
            </w:r>
            <w:r w:rsidRPr="00D724E5">
              <w:rPr>
                <w:rFonts w:ascii="Arial" w:hAnsi="Arial" w:cs="Arial"/>
                <w:b/>
                <w:spacing w:val="-2"/>
                <w:sz w:val="18"/>
                <w:szCs w:val="18"/>
              </w:rPr>
              <w:t xml:space="preserve"> </w:t>
            </w:r>
            <w:r w:rsidRPr="00D724E5">
              <w:rPr>
                <w:rFonts w:ascii="Arial" w:hAnsi="Arial" w:cs="Arial"/>
                <w:b/>
                <w:sz w:val="18"/>
                <w:szCs w:val="18"/>
              </w:rPr>
              <w:t>—</w:t>
            </w:r>
            <w:r w:rsidRPr="00D724E5">
              <w:rPr>
                <w:rFonts w:ascii="Arial" w:hAnsi="Arial" w:cs="Arial"/>
                <w:b/>
                <w:spacing w:val="-3"/>
                <w:sz w:val="18"/>
                <w:szCs w:val="18"/>
              </w:rPr>
              <w:t xml:space="preserve"> </w:t>
            </w:r>
            <w:r w:rsidRPr="00D724E5">
              <w:rPr>
                <w:rFonts w:ascii="Arial" w:hAnsi="Arial" w:cs="Arial"/>
                <w:b/>
                <w:sz w:val="18"/>
                <w:szCs w:val="18"/>
              </w:rPr>
              <w:t>Maintenance</w:t>
            </w:r>
            <w:r w:rsidRPr="00D724E5">
              <w:rPr>
                <w:rFonts w:ascii="Arial" w:hAnsi="Arial" w:cs="Arial"/>
                <w:b/>
                <w:spacing w:val="-2"/>
                <w:sz w:val="18"/>
                <w:szCs w:val="18"/>
              </w:rPr>
              <w:t xml:space="preserve"> </w:t>
            </w:r>
            <w:r w:rsidRPr="00D724E5">
              <w:rPr>
                <w:rFonts w:ascii="Arial" w:hAnsi="Arial" w:cs="Arial"/>
                <w:b/>
                <w:sz w:val="18"/>
                <w:szCs w:val="18"/>
              </w:rPr>
              <w:t>tasks</w:t>
            </w:r>
            <w:r w:rsidRPr="00D724E5">
              <w:rPr>
                <w:rFonts w:ascii="Arial" w:hAnsi="Arial" w:cs="Arial"/>
                <w:b/>
                <w:spacing w:val="-4"/>
                <w:sz w:val="18"/>
                <w:szCs w:val="18"/>
              </w:rPr>
              <w:t xml:space="preserve"> </w:t>
            </w:r>
            <w:r w:rsidRPr="00D724E5">
              <w:rPr>
                <w:rFonts w:ascii="Arial" w:hAnsi="Arial" w:cs="Arial"/>
                <w:b/>
                <w:sz w:val="18"/>
                <w:szCs w:val="18"/>
              </w:rPr>
              <w:t>alternative</w:t>
            </w:r>
            <w:r w:rsidRPr="00D724E5">
              <w:rPr>
                <w:rFonts w:ascii="Arial" w:hAnsi="Arial" w:cs="Arial"/>
                <w:b/>
                <w:spacing w:val="-2"/>
                <w:sz w:val="18"/>
                <w:szCs w:val="18"/>
              </w:rPr>
              <w:t xml:space="preserve"> </w:t>
            </w:r>
            <w:r w:rsidRPr="00D724E5">
              <w:rPr>
                <w:rFonts w:ascii="Arial" w:hAnsi="Arial" w:cs="Arial"/>
                <w:b/>
                <w:sz w:val="18"/>
                <w:szCs w:val="18"/>
              </w:rPr>
              <w:t>to</w:t>
            </w:r>
            <w:r w:rsidRPr="00D724E5">
              <w:rPr>
                <w:rFonts w:ascii="Arial" w:hAnsi="Arial" w:cs="Arial"/>
                <w:b/>
                <w:spacing w:val="-3"/>
                <w:sz w:val="18"/>
                <w:szCs w:val="18"/>
              </w:rPr>
              <w:t xml:space="preserve"> </w:t>
            </w:r>
            <w:r w:rsidRPr="00D724E5">
              <w:rPr>
                <w:rFonts w:ascii="Arial" w:hAnsi="Arial" w:cs="Arial"/>
                <w:b/>
                <w:sz w:val="18"/>
                <w:szCs w:val="18"/>
              </w:rPr>
              <w:t>the</w:t>
            </w:r>
            <w:r w:rsidRPr="00D724E5">
              <w:rPr>
                <w:rFonts w:ascii="Arial" w:hAnsi="Arial" w:cs="Arial"/>
                <w:b/>
                <w:spacing w:val="-2"/>
                <w:sz w:val="18"/>
                <w:szCs w:val="18"/>
              </w:rPr>
              <w:t xml:space="preserve"> </w:t>
            </w:r>
            <w:r w:rsidRPr="00D724E5">
              <w:rPr>
                <w:rFonts w:ascii="Arial" w:hAnsi="Arial" w:cs="Arial"/>
                <w:b/>
                <w:sz w:val="18"/>
                <w:szCs w:val="18"/>
              </w:rPr>
              <w:t>DAH’s</w:t>
            </w:r>
            <w:r w:rsidRPr="00D724E5">
              <w:rPr>
                <w:rFonts w:ascii="Arial" w:hAnsi="Arial" w:cs="Arial"/>
                <w:b/>
                <w:spacing w:val="-1"/>
                <w:sz w:val="18"/>
                <w:szCs w:val="18"/>
              </w:rPr>
              <w:t xml:space="preserve"> </w:t>
            </w:r>
            <w:r w:rsidRPr="00D724E5">
              <w:rPr>
                <w:rFonts w:ascii="Arial" w:hAnsi="Arial" w:cs="Arial"/>
                <w:b/>
                <w:sz w:val="18"/>
                <w:szCs w:val="18"/>
              </w:rPr>
              <w:t>ICA</w:t>
            </w:r>
            <w:r w:rsidRPr="00D724E5">
              <w:rPr>
                <w:rFonts w:ascii="Arial" w:hAnsi="Arial" w:cs="Arial"/>
                <w:b/>
                <w:spacing w:val="-3"/>
                <w:sz w:val="18"/>
                <w:szCs w:val="18"/>
              </w:rPr>
              <w:t xml:space="preserve"> </w:t>
            </w:r>
            <w:r w:rsidRPr="00D724E5">
              <w:rPr>
                <w:rFonts w:ascii="Arial" w:hAnsi="Arial" w:cs="Arial"/>
                <w:b/>
                <w:sz w:val="18"/>
                <w:szCs w:val="18"/>
              </w:rPr>
              <w:t>(not</w:t>
            </w:r>
            <w:r w:rsidRPr="00D724E5">
              <w:rPr>
                <w:rFonts w:ascii="Arial" w:hAnsi="Arial" w:cs="Arial"/>
                <w:b/>
                <w:spacing w:val="-2"/>
                <w:sz w:val="18"/>
                <w:szCs w:val="18"/>
              </w:rPr>
              <w:t xml:space="preserve"> </w:t>
            </w:r>
            <w:r w:rsidRPr="00D724E5">
              <w:rPr>
                <w:rFonts w:ascii="Arial" w:hAnsi="Arial" w:cs="Arial"/>
                <w:b/>
                <w:sz w:val="18"/>
                <w:szCs w:val="18"/>
              </w:rPr>
              <w:t>less</w:t>
            </w:r>
            <w:r w:rsidRPr="00D724E5">
              <w:rPr>
                <w:rFonts w:ascii="Arial" w:hAnsi="Arial" w:cs="Arial"/>
                <w:b/>
                <w:spacing w:val="-4"/>
                <w:sz w:val="18"/>
                <w:szCs w:val="18"/>
              </w:rPr>
              <w:t xml:space="preserve"> </w:t>
            </w:r>
            <w:r w:rsidRPr="00D724E5">
              <w:rPr>
                <w:rFonts w:ascii="Arial" w:hAnsi="Arial" w:cs="Arial"/>
                <w:b/>
                <w:sz w:val="18"/>
                <w:szCs w:val="18"/>
              </w:rPr>
              <w:t>restrictive</w:t>
            </w:r>
            <w:r w:rsidRPr="00D724E5">
              <w:rPr>
                <w:rFonts w:ascii="Arial" w:hAnsi="Arial" w:cs="Arial"/>
                <w:b/>
                <w:spacing w:val="-2"/>
                <w:sz w:val="18"/>
                <w:szCs w:val="18"/>
              </w:rPr>
              <w:t xml:space="preserve"> </w:t>
            </w:r>
            <w:r w:rsidRPr="00D724E5">
              <w:rPr>
                <w:rFonts w:ascii="Arial" w:hAnsi="Arial" w:cs="Arial"/>
                <w:b/>
                <w:sz w:val="18"/>
                <w:szCs w:val="18"/>
              </w:rPr>
              <w:t>than</w:t>
            </w:r>
            <w:r w:rsidRPr="00D724E5">
              <w:rPr>
                <w:rFonts w:ascii="Arial" w:hAnsi="Arial" w:cs="Arial"/>
                <w:b/>
                <w:spacing w:val="-3"/>
                <w:sz w:val="18"/>
                <w:szCs w:val="18"/>
              </w:rPr>
              <w:t xml:space="preserve"> </w:t>
            </w:r>
            <w:r w:rsidRPr="00D724E5">
              <w:rPr>
                <w:rFonts w:ascii="Arial" w:hAnsi="Arial" w:cs="Arial"/>
                <w:b/>
                <w:sz w:val="18"/>
                <w:szCs w:val="18"/>
              </w:rPr>
              <w:t>the</w:t>
            </w:r>
            <w:r w:rsidRPr="00D724E5">
              <w:rPr>
                <w:rFonts w:ascii="Arial" w:hAnsi="Arial" w:cs="Arial"/>
                <w:b/>
                <w:spacing w:val="-2"/>
                <w:sz w:val="18"/>
                <w:szCs w:val="18"/>
              </w:rPr>
              <w:t xml:space="preserve"> </w:t>
            </w:r>
            <w:r w:rsidRPr="00D724E5">
              <w:rPr>
                <w:rFonts w:ascii="Arial" w:hAnsi="Arial" w:cs="Arial"/>
                <w:b/>
                <w:sz w:val="18"/>
                <w:szCs w:val="18"/>
              </w:rPr>
              <w:t>MIP)</w:t>
            </w:r>
          </w:p>
          <w:p w14:paraId="69008E87" w14:textId="77777777" w:rsidR="002A0714" w:rsidRPr="00D724E5" w:rsidRDefault="002A0714" w:rsidP="002A0714">
            <w:pPr>
              <w:pStyle w:val="TableParagraph"/>
              <w:spacing w:before="120" w:line="175" w:lineRule="exact"/>
              <w:ind w:left="541" w:right="534"/>
              <w:jc w:val="center"/>
              <w:rPr>
                <w:rFonts w:ascii="Arial" w:hAnsi="Arial" w:cs="Arial"/>
                <w:b/>
                <w:sz w:val="18"/>
                <w:szCs w:val="18"/>
              </w:rPr>
            </w:pPr>
            <w:r w:rsidRPr="00D724E5">
              <w:rPr>
                <w:rFonts w:ascii="Arial" w:hAnsi="Arial" w:cs="Arial"/>
                <w:b/>
                <w:sz w:val="18"/>
                <w:szCs w:val="18"/>
              </w:rPr>
              <w:t>(include</w:t>
            </w:r>
            <w:r w:rsidRPr="00D724E5">
              <w:rPr>
                <w:rFonts w:ascii="Arial" w:hAnsi="Arial" w:cs="Arial"/>
                <w:b/>
                <w:spacing w:val="-2"/>
                <w:sz w:val="18"/>
                <w:szCs w:val="18"/>
              </w:rPr>
              <w:t xml:space="preserve"> </w:t>
            </w:r>
            <w:r w:rsidRPr="00D724E5">
              <w:rPr>
                <w:rFonts w:ascii="Arial" w:hAnsi="Arial" w:cs="Arial"/>
                <w:b/>
                <w:sz w:val="18"/>
                <w:szCs w:val="18"/>
              </w:rPr>
              <w:t>only</w:t>
            </w:r>
            <w:r w:rsidRPr="00D724E5">
              <w:rPr>
                <w:rFonts w:ascii="Arial" w:hAnsi="Arial" w:cs="Arial"/>
                <w:b/>
                <w:spacing w:val="-1"/>
                <w:sz w:val="18"/>
                <w:szCs w:val="18"/>
              </w:rPr>
              <w:t xml:space="preserve"> </w:t>
            </w:r>
            <w:r w:rsidRPr="00D724E5">
              <w:rPr>
                <w:rFonts w:ascii="Arial" w:hAnsi="Arial" w:cs="Arial"/>
                <w:b/>
                <w:sz w:val="18"/>
                <w:szCs w:val="18"/>
              </w:rPr>
              <w:t>if</w:t>
            </w:r>
            <w:r w:rsidRPr="00D724E5">
              <w:rPr>
                <w:rFonts w:ascii="Arial" w:hAnsi="Arial" w:cs="Arial"/>
                <w:b/>
                <w:spacing w:val="-2"/>
                <w:sz w:val="18"/>
                <w:szCs w:val="18"/>
              </w:rPr>
              <w:t xml:space="preserve"> </w:t>
            </w:r>
            <w:r w:rsidRPr="00D724E5">
              <w:rPr>
                <w:rFonts w:ascii="Arial" w:hAnsi="Arial" w:cs="Arial"/>
                <w:b/>
                <w:sz w:val="18"/>
                <w:szCs w:val="18"/>
              </w:rPr>
              <w:t>necessary</w:t>
            </w:r>
            <w:r w:rsidRPr="00D724E5">
              <w:rPr>
                <w:rFonts w:ascii="Arial" w:hAnsi="Arial" w:cs="Arial"/>
                <w:b/>
                <w:spacing w:val="-3"/>
                <w:sz w:val="18"/>
                <w:szCs w:val="18"/>
              </w:rPr>
              <w:t xml:space="preserve"> </w:t>
            </w:r>
            <w:r w:rsidRPr="00D724E5">
              <w:rPr>
                <w:rFonts w:ascii="Arial" w:hAnsi="Arial" w:cs="Arial"/>
                <w:b/>
                <w:sz w:val="18"/>
                <w:szCs w:val="18"/>
              </w:rPr>
              <w:t>—</w:t>
            </w:r>
            <w:r w:rsidRPr="00D724E5">
              <w:rPr>
                <w:rFonts w:ascii="Arial" w:hAnsi="Arial" w:cs="Arial"/>
                <w:b/>
                <w:spacing w:val="-1"/>
                <w:sz w:val="18"/>
                <w:szCs w:val="18"/>
              </w:rPr>
              <w:t xml:space="preserve"> </w:t>
            </w:r>
            <w:r w:rsidRPr="00D724E5">
              <w:rPr>
                <w:rFonts w:ascii="Arial" w:hAnsi="Arial" w:cs="Arial"/>
                <w:b/>
                <w:sz w:val="18"/>
                <w:szCs w:val="18"/>
              </w:rPr>
              <w:t>see</w:t>
            </w:r>
            <w:r w:rsidRPr="00D724E5">
              <w:rPr>
                <w:rFonts w:ascii="Arial" w:hAnsi="Arial" w:cs="Arial"/>
                <w:b/>
                <w:spacing w:val="-1"/>
                <w:sz w:val="18"/>
                <w:szCs w:val="18"/>
              </w:rPr>
              <w:t xml:space="preserve"> </w:t>
            </w:r>
            <w:r w:rsidRPr="00D724E5">
              <w:rPr>
                <w:rFonts w:ascii="Arial" w:hAnsi="Arial" w:cs="Arial"/>
                <w:b/>
                <w:sz w:val="18"/>
                <w:szCs w:val="18"/>
              </w:rPr>
              <w:t>Sections</w:t>
            </w:r>
            <w:r w:rsidRPr="00D724E5">
              <w:rPr>
                <w:rFonts w:ascii="Arial" w:hAnsi="Arial" w:cs="Arial"/>
                <w:b/>
                <w:spacing w:val="-1"/>
                <w:sz w:val="18"/>
                <w:szCs w:val="18"/>
              </w:rPr>
              <w:t xml:space="preserve"> </w:t>
            </w:r>
            <w:r w:rsidRPr="00D724E5">
              <w:rPr>
                <w:rFonts w:ascii="Arial" w:hAnsi="Arial" w:cs="Arial"/>
                <w:b/>
                <w:sz w:val="18"/>
                <w:szCs w:val="18"/>
              </w:rPr>
              <w:t>5</w:t>
            </w:r>
            <w:r w:rsidRPr="00D724E5">
              <w:rPr>
                <w:rFonts w:ascii="Arial" w:hAnsi="Arial" w:cs="Arial"/>
                <w:b/>
                <w:spacing w:val="-1"/>
                <w:sz w:val="18"/>
                <w:szCs w:val="18"/>
              </w:rPr>
              <w:t xml:space="preserve"> </w:t>
            </w:r>
            <w:r w:rsidRPr="00D724E5">
              <w:rPr>
                <w:rFonts w:ascii="Arial" w:hAnsi="Arial" w:cs="Arial"/>
                <w:b/>
                <w:sz w:val="18"/>
                <w:szCs w:val="18"/>
              </w:rPr>
              <w:t>above)</w:t>
            </w:r>
          </w:p>
        </w:tc>
      </w:tr>
      <w:tr w:rsidR="002A0714" w:rsidRPr="00D724E5" w14:paraId="0EE567D2" w14:textId="77777777" w:rsidTr="002A0714">
        <w:trPr>
          <w:gridAfter w:val="1"/>
          <w:wAfter w:w="11" w:type="dxa"/>
          <w:trHeight w:val="245"/>
        </w:trPr>
        <w:tc>
          <w:tcPr>
            <w:tcW w:w="1980" w:type="dxa"/>
            <w:gridSpan w:val="2"/>
          </w:tcPr>
          <w:p w14:paraId="30E852CB" w14:textId="77777777" w:rsidR="002A0714" w:rsidRPr="00D724E5" w:rsidRDefault="002A0714" w:rsidP="002A0714">
            <w:pPr>
              <w:pStyle w:val="TableParagraph"/>
              <w:spacing w:line="225" w:lineRule="exact"/>
              <w:ind w:left="328"/>
              <w:rPr>
                <w:rFonts w:ascii="Arial" w:hAnsi="Arial" w:cs="Arial"/>
                <w:sz w:val="18"/>
                <w:szCs w:val="18"/>
              </w:rPr>
            </w:pPr>
            <w:r w:rsidRPr="00D724E5">
              <w:rPr>
                <w:rFonts w:ascii="Arial" w:hAnsi="Arial" w:cs="Arial"/>
                <w:sz w:val="18"/>
                <w:szCs w:val="18"/>
              </w:rPr>
              <w:t>Task</w:t>
            </w:r>
            <w:r w:rsidRPr="00D724E5">
              <w:rPr>
                <w:rFonts w:ascii="Arial" w:hAnsi="Arial" w:cs="Arial"/>
                <w:spacing w:val="-4"/>
                <w:sz w:val="18"/>
                <w:szCs w:val="18"/>
              </w:rPr>
              <w:t xml:space="preserve"> </w:t>
            </w:r>
            <w:r w:rsidRPr="00D724E5">
              <w:rPr>
                <w:rFonts w:ascii="Arial" w:hAnsi="Arial" w:cs="Arial"/>
                <w:sz w:val="18"/>
                <w:szCs w:val="18"/>
              </w:rPr>
              <w:t>description</w:t>
            </w:r>
          </w:p>
        </w:tc>
        <w:tc>
          <w:tcPr>
            <w:tcW w:w="2411" w:type="dxa"/>
            <w:gridSpan w:val="3"/>
          </w:tcPr>
          <w:p w14:paraId="5BBD0312" w14:textId="77777777" w:rsidR="002A0714" w:rsidRPr="00D724E5" w:rsidRDefault="002A0714" w:rsidP="002A0714">
            <w:pPr>
              <w:pStyle w:val="TableParagraph"/>
              <w:spacing w:line="225" w:lineRule="exact"/>
              <w:ind w:left="256"/>
              <w:rPr>
                <w:rFonts w:ascii="Arial" w:hAnsi="Arial" w:cs="Arial"/>
                <w:sz w:val="18"/>
                <w:szCs w:val="18"/>
              </w:rPr>
            </w:pPr>
            <w:r w:rsidRPr="00D724E5">
              <w:rPr>
                <w:rFonts w:ascii="Arial" w:hAnsi="Arial" w:cs="Arial"/>
                <w:sz w:val="18"/>
                <w:szCs w:val="18"/>
              </w:rPr>
              <w:t>Recommended</w:t>
            </w:r>
            <w:r w:rsidRPr="00D724E5">
              <w:rPr>
                <w:rFonts w:ascii="Arial" w:hAnsi="Arial" w:cs="Arial"/>
                <w:spacing w:val="-4"/>
                <w:sz w:val="18"/>
                <w:szCs w:val="18"/>
              </w:rPr>
              <w:t xml:space="preserve"> </w:t>
            </w:r>
            <w:r w:rsidRPr="00D724E5">
              <w:rPr>
                <w:rFonts w:ascii="Arial" w:hAnsi="Arial" w:cs="Arial"/>
                <w:sz w:val="18"/>
                <w:szCs w:val="18"/>
              </w:rPr>
              <w:t>interval</w:t>
            </w:r>
          </w:p>
        </w:tc>
        <w:tc>
          <w:tcPr>
            <w:tcW w:w="2552" w:type="dxa"/>
            <w:gridSpan w:val="3"/>
          </w:tcPr>
          <w:p w14:paraId="7D2BB4C2" w14:textId="77777777" w:rsidR="002A0714" w:rsidRPr="00D724E5" w:rsidRDefault="002A0714" w:rsidP="002A0714">
            <w:pPr>
              <w:pStyle w:val="TableParagraph"/>
              <w:spacing w:line="225" w:lineRule="exact"/>
              <w:ind w:left="174"/>
              <w:rPr>
                <w:rFonts w:ascii="Arial" w:hAnsi="Arial" w:cs="Arial"/>
                <w:sz w:val="18"/>
                <w:szCs w:val="18"/>
              </w:rPr>
            </w:pPr>
            <w:r w:rsidRPr="00D724E5">
              <w:rPr>
                <w:rFonts w:ascii="Arial" w:hAnsi="Arial" w:cs="Arial"/>
                <w:sz w:val="18"/>
                <w:szCs w:val="18"/>
              </w:rPr>
              <w:t>Alternative</w:t>
            </w:r>
            <w:r w:rsidRPr="00D724E5">
              <w:rPr>
                <w:rFonts w:ascii="Arial" w:hAnsi="Arial" w:cs="Arial"/>
                <w:spacing w:val="-6"/>
                <w:sz w:val="18"/>
                <w:szCs w:val="18"/>
              </w:rPr>
              <w:t xml:space="preserve"> </w:t>
            </w:r>
            <w:r w:rsidRPr="00D724E5">
              <w:rPr>
                <w:rFonts w:ascii="Arial" w:hAnsi="Arial" w:cs="Arial"/>
                <w:sz w:val="18"/>
                <w:szCs w:val="18"/>
              </w:rPr>
              <w:t>inspection/task</w:t>
            </w:r>
          </w:p>
        </w:tc>
        <w:tc>
          <w:tcPr>
            <w:tcW w:w="2132" w:type="dxa"/>
          </w:tcPr>
          <w:p w14:paraId="10C273E9" w14:textId="77777777" w:rsidR="002A0714" w:rsidRPr="00D724E5" w:rsidRDefault="002A0714" w:rsidP="002A0714">
            <w:pPr>
              <w:pStyle w:val="TableParagraph"/>
              <w:spacing w:line="225" w:lineRule="exact"/>
              <w:ind w:left="336"/>
              <w:rPr>
                <w:rFonts w:ascii="Arial" w:hAnsi="Arial" w:cs="Arial"/>
                <w:sz w:val="18"/>
                <w:szCs w:val="18"/>
              </w:rPr>
            </w:pPr>
            <w:r w:rsidRPr="00D724E5">
              <w:rPr>
                <w:rFonts w:ascii="Arial" w:hAnsi="Arial" w:cs="Arial"/>
                <w:sz w:val="18"/>
                <w:szCs w:val="18"/>
              </w:rPr>
              <w:t>Amended</w:t>
            </w:r>
            <w:r w:rsidRPr="00D724E5">
              <w:rPr>
                <w:rFonts w:ascii="Arial" w:hAnsi="Arial" w:cs="Arial"/>
                <w:spacing w:val="-4"/>
                <w:sz w:val="18"/>
                <w:szCs w:val="18"/>
              </w:rPr>
              <w:t xml:space="preserve"> </w:t>
            </w:r>
            <w:r w:rsidRPr="00D724E5">
              <w:rPr>
                <w:rFonts w:ascii="Arial" w:hAnsi="Arial" w:cs="Arial"/>
                <w:sz w:val="18"/>
                <w:szCs w:val="18"/>
              </w:rPr>
              <w:t>interval</w:t>
            </w:r>
          </w:p>
        </w:tc>
      </w:tr>
      <w:tr w:rsidR="002A0714" w:rsidRPr="00D724E5" w14:paraId="1F499F4B" w14:textId="77777777" w:rsidTr="002A0714">
        <w:trPr>
          <w:gridAfter w:val="1"/>
          <w:wAfter w:w="11" w:type="dxa"/>
          <w:trHeight w:val="976"/>
        </w:trPr>
        <w:tc>
          <w:tcPr>
            <w:tcW w:w="9075" w:type="dxa"/>
            <w:gridSpan w:val="9"/>
          </w:tcPr>
          <w:p w14:paraId="11CCA348" w14:textId="77777777" w:rsidR="002A0714" w:rsidRPr="00D724E5" w:rsidRDefault="002A0714" w:rsidP="003E687E">
            <w:pPr>
              <w:pStyle w:val="TableParagraph"/>
              <w:ind w:left="107" w:right="160"/>
              <w:jc w:val="both"/>
              <w:rPr>
                <w:rFonts w:ascii="Arial" w:hAnsi="Arial" w:cs="Arial"/>
                <w:i/>
                <w:sz w:val="18"/>
                <w:szCs w:val="18"/>
              </w:rPr>
            </w:pPr>
            <w:r w:rsidRPr="00D724E5">
              <w:rPr>
                <w:rFonts w:ascii="Arial" w:hAnsi="Arial" w:cs="Arial"/>
                <w:i/>
                <w:sz w:val="18"/>
                <w:szCs w:val="18"/>
              </w:rPr>
              <w:t>When</w:t>
            </w:r>
            <w:r w:rsidRPr="00D724E5">
              <w:rPr>
                <w:rFonts w:ascii="Arial" w:hAnsi="Arial" w:cs="Arial"/>
                <w:i/>
                <w:spacing w:val="-3"/>
                <w:sz w:val="18"/>
                <w:szCs w:val="18"/>
              </w:rPr>
              <w:t xml:space="preserve"> </w:t>
            </w:r>
            <w:r w:rsidRPr="00D724E5">
              <w:rPr>
                <w:rFonts w:ascii="Arial" w:hAnsi="Arial" w:cs="Arial"/>
                <w:i/>
                <w:sz w:val="18"/>
                <w:szCs w:val="18"/>
              </w:rPr>
              <w:t>the</w:t>
            </w:r>
            <w:r w:rsidRPr="00D724E5">
              <w:rPr>
                <w:rFonts w:ascii="Arial" w:hAnsi="Arial" w:cs="Arial"/>
                <w:i/>
                <w:spacing w:val="-2"/>
                <w:sz w:val="18"/>
                <w:szCs w:val="18"/>
              </w:rPr>
              <w:t xml:space="preserve"> </w:t>
            </w:r>
            <w:r w:rsidRPr="00D724E5">
              <w:rPr>
                <w:rFonts w:ascii="Arial" w:hAnsi="Arial" w:cs="Arial"/>
                <w:i/>
                <w:sz w:val="18"/>
                <w:szCs w:val="18"/>
              </w:rPr>
              <w:t>DAH’s</w:t>
            </w:r>
            <w:r w:rsidRPr="00D724E5">
              <w:rPr>
                <w:rFonts w:ascii="Arial" w:hAnsi="Arial" w:cs="Arial"/>
                <w:i/>
                <w:spacing w:val="-3"/>
                <w:sz w:val="18"/>
                <w:szCs w:val="18"/>
              </w:rPr>
              <w:t xml:space="preserve"> </w:t>
            </w:r>
            <w:r w:rsidRPr="00D724E5">
              <w:rPr>
                <w:rFonts w:ascii="Arial" w:hAnsi="Arial" w:cs="Arial"/>
                <w:i/>
                <w:sz w:val="18"/>
                <w:szCs w:val="18"/>
              </w:rPr>
              <w:t>ICA</w:t>
            </w:r>
            <w:r w:rsidRPr="00D724E5">
              <w:rPr>
                <w:rFonts w:ascii="Arial" w:hAnsi="Arial" w:cs="Arial"/>
                <w:i/>
                <w:spacing w:val="-3"/>
                <w:sz w:val="18"/>
                <w:szCs w:val="18"/>
              </w:rPr>
              <w:t xml:space="preserve"> </w:t>
            </w:r>
            <w:r w:rsidRPr="00D724E5">
              <w:rPr>
                <w:rFonts w:ascii="Arial" w:hAnsi="Arial" w:cs="Arial"/>
                <w:i/>
                <w:sz w:val="18"/>
                <w:szCs w:val="18"/>
              </w:rPr>
              <w:t>are</w:t>
            </w:r>
            <w:r w:rsidRPr="00D724E5">
              <w:rPr>
                <w:rFonts w:ascii="Arial" w:hAnsi="Arial" w:cs="Arial"/>
                <w:i/>
                <w:spacing w:val="-2"/>
                <w:sz w:val="18"/>
                <w:szCs w:val="18"/>
              </w:rPr>
              <w:t xml:space="preserve"> </w:t>
            </w:r>
            <w:r w:rsidRPr="00D724E5">
              <w:rPr>
                <w:rFonts w:ascii="Arial" w:hAnsi="Arial" w:cs="Arial"/>
                <w:i/>
                <w:sz w:val="18"/>
                <w:szCs w:val="18"/>
              </w:rPr>
              <w:t>used</w:t>
            </w:r>
            <w:r w:rsidRPr="00D724E5">
              <w:rPr>
                <w:rFonts w:ascii="Arial" w:hAnsi="Arial" w:cs="Arial"/>
                <w:i/>
                <w:spacing w:val="-2"/>
                <w:sz w:val="18"/>
                <w:szCs w:val="18"/>
              </w:rPr>
              <w:t xml:space="preserve"> </w:t>
            </w:r>
            <w:r w:rsidRPr="00D724E5">
              <w:rPr>
                <w:rFonts w:ascii="Arial" w:hAnsi="Arial" w:cs="Arial"/>
                <w:i/>
                <w:sz w:val="18"/>
                <w:szCs w:val="18"/>
              </w:rPr>
              <w:t>as</w:t>
            </w:r>
            <w:r w:rsidRPr="00D724E5">
              <w:rPr>
                <w:rFonts w:ascii="Arial" w:hAnsi="Arial" w:cs="Arial"/>
                <w:i/>
                <w:spacing w:val="-3"/>
                <w:sz w:val="18"/>
                <w:szCs w:val="18"/>
              </w:rPr>
              <w:t xml:space="preserve"> </w:t>
            </w:r>
            <w:r w:rsidRPr="00D724E5">
              <w:rPr>
                <w:rFonts w:ascii="Arial" w:hAnsi="Arial" w:cs="Arial"/>
                <w:i/>
                <w:sz w:val="18"/>
                <w:szCs w:val="18"/>
              </w:rPr>
              <w:t>the</w:t>
            </w:r>
            <w:r w:rsidRPr="00D724E5">
              <w:rPr>
                <w:rFonts w:ascii="Arial" w:hAnsi="Arial" w:cs="Arial"/>
                <w:i/>
                <w:spacing w:val="-2"/>
                <w:sz w:val="18"/>
                <w:szCs w:val="18"/>
              </w:rPr>
              <w:t xml:space="preserve"> </w:t>
            </w:r>
            <w:r w:rsidRPr="00D724E5">
              <w:rPr>
                <w:rFonts w:ascii="Arial" w:hAnsi="Arial" w:cs="Arial"/>
                <w:i/>
                <w:sz w:val="18"/>
                <w:szCs w:val="18"/>
              </w:rPr>
              <w:t>basis</w:t>
            </w:r>
            <w:r w:rsidRPr="00D724E5">
              <w:rPr>
                <w:rFonts w:ascii="Arial" w:hAnsi="Arial" w:cs="Arial"/>
                <w:i/>
                <w:spacing w:val="-4"/>
                <w:sz w:val="18"/>
                <w:szCs w:val="18"/>
              </w:rPr>
              <w:t xml:space="preserve"> </w:t>
            </w:r>
            <w:r w:rsidRPr="00D724E5">
              <w:rPr>
                <w:rFonts w:ascii="Arial" w:hAnsi="Arial" w:cs="Arial"/>
                <w:i/>
                <w:sz w:val="18"/>
                <w:szCs w:val="18"/>
              </w:rPr>
              <w:t>for</w:t>
            </w:r>
            <w:r w:rsidRPr="00D724E5">
              <w:rPr>
                <w:rFonts w:ascii="Arial" w:hAnsi="Arial" w:cs="Arial"/>
                <w:i/>
                <w:spacing w:val="-3"/>
                <w:sz w:val="18"/>
                <w:szCs w:val="18"/>
              </w:rPr>
              <w:t xml:space="preserve"> </w:t>
            </w:r>
            <w:r w:rsidRPr="00D724E5">
              <w:rPr>
                <w:rFonts w:ascii="Arial" w:hAnsi="Arial" w:cs="Arial"/>
                <w:i/>
                <w:sz w:val="18"/>
                <w:szCs w:val="18"/>
              </w:rPr>
              <w:t>the</w:t>
            </w:r>
            <w:r w:rsidRPr="00D724E5">
              <w:rPr>
                <w:rFonts w:ascii="Arial" w:hAnsi="Arial" w:cs="Arial"/>
                <w:i/>
                <w:spacing w:val="-2"/>
                <w:sz w:val="18"/>
                <w:szCs w:val="18"/>
              </w:rPr>
              <w:t xml:space="preserve"> </w:t>
            </w:r>
            <w:r w:rsidRPr="00D724E5">
              <w:rPr>
                <w:rFonts w:ascii="Arial" w:hAnsi="Arial" w:cs="Arial"/>
                <w:i/>
                <w:sz w:val="18"/>
                <w:szCs w:val="18"/>
              </w:rPr>
              <w:t>AMP,</w:t>
            </w:r>
            <w:r w:rsidRPr="00D724E5">
              <w:rPr>
                <w:rFonts w:ascii="Arial" w:hAnsi="Arial" w:cs="Arial"/>
                <w:i/>
                <w:spacing w:val="-3"/>
                <w:sz w:val="18"/>
                <w:szCs w:val="18"/>
              </w:rPr>
              <w:t xml:space="preserve"> </w:t>
            </w:r>
            <w:r w:rsidRPr="00D724E5">
              <w:rPr>
                <w:rFonts w:ascii="Arial" w:hAnsi="Arial" w:cs="Arial"/>
                <w:i/>
                <w:sz w:val="18"/>
                <w:szCs w:val="18"/>
              </w:rPr>
              <w:t>this</w:t>
            </w:r>
            <w:r w:rsidRPr="00D724E5">
              <w:rPr>
                <w:rFonts w:ascii="Arial" w:hAnsi="Arial" w:cs="Arial"/>
                <w:i/>
                <w:spacing w:val="-3"/>
                <w:sz w:val="18"/>
                <w:szCs w:val="18"/>
              </w:rPr>
              <w:t xml:space="preserve"> </w:t>
            </w:r>
            <w:r w:rsidRPr="00D724E5">
              <w:rPr>
                <w:rFonts w:ascii="Arial" w:hAnsi="Arial" w:cs="Arial"/>
                <w:i/>
                <w:sz w:val="18"/>
                <w:szCs w:val="18"/>
              </w:rPr>
              <w:t>appendix</w:t>
            </w:r>
            <w:r w:rsidRPr="00D724E5">
              <w:rPr>
                <w:rFonts w:ascii="Arial" w:hAnsi="Arial" w:cs="Arial"/>
                <w:i/>
                <w:spacing w:val="-2"/>
                <w:sz w:val="18"/>
                <w:szCs w:val="18"/>
              </w:rPr>
              <w:t xml:space="preserve"> </w:t>
            </w:r>
            <w:r w:rsidRPr="00D724E5">
              <w:rPr>
                <w:rFonts w:ascii="Arial" w:hAnsi="Arial" w:cs="Arial"/>
                <w:i/>
                <w:sz w:val="18"/>
                <w:szCs w:val="18"/>
              </w:rPr>
              <w:t>is</w:t>
            </w:r>
            <w:r w:rsidRPr="00D724E5">
              <w:rPr>
                <w:rFonts w:ascii="Arial" w:hAnsi="Arial" w:cs="Arial"/>
                <w:i/>
                <w:spacing w:val="-3"/>
                <w:sz w:val="18"/>
                <w:szCs w:val="18"/>
              </w:rPr>
              <w:t xml:space="preserve"> </w:t>
            </w:r>
            <w:r w:rsidRPr="00D724E5">
              <w:rPr>
                <w:rFonts w:ascii="Arial" w:hAnsi="Arial" w:cs="Arial"/>
                <w:i/>
                <w:sz w:val="18"/>
                <w:szCs w:val="18"/>
              </w:rPr>
              <w:t>used</w:t>
            </w:r>
            <w:r w:rsidRPr="00D724E5">
              <w:rPr>
                <w:rFonts w:ascii="Arial" w:hAnsi="Arial" w:cs="Arial"/>
                <w:i/>
                <w:spacing w:val="-2"/>
                <w:sz w:val="18"/>
                <w:szCs w:val="18"/>
              </w:rPr>
              <w:t xml:space="preserve"> </w:t>
            </w:r>
            <w:r w:rsidRPr="00D724E5">
              <w:rPr>
                <w:rFonts w:ascii="Arial" w:hAnsi="Arial" w:cs="Arial"/>
                <w:i/>
                <w:sz w:val="18"/>
                <w:szCs w:val="18"/>
              </w:rPr>
              <w:t>to</w:t>
            </w:r>
            <w:r w:rsidRPr="00D724E5">
              <w:rPr>
                <w:rFonts w:ascii="Arial" w:hAnsi="Arial" w:cs="Arial"/>
                <w:i/>
                <w:spacing w:val="-2"/>
                <w:sz w:val="18"/>
                <w:szCs w:val="18"/>
              </w:rPr>
              <w:t xml:space="preserve"> </w:t>
            </w:r>
            <w:r w:rsidRPr="00D724E5">
              <w:rPr>
                <w:rFonts w:ascii="Arial" w:hAnsi="Arial" w:cs="Arial"/>
                <w:i/>
                <w:sz w:val="18"/>
                <w:szCs w:val="18"/>
              </w:rPr>
              <w:t>include</w:t>
            </w:r>
            <w:r w:rsidRPr="00D724E5">
              <w:rPr>
                <w:rFonts w:ascii="Arial" w:hAnsi="Arial" w:cs="Arial"/>
                <w:i/>
                <w:spacing w:val="-2"/>
                <w:sz w:val="18"/>
                <w:szCs w:val="18"/>
              </w:rPr>
              <w:t xml:space="preserve"> </w:t>
            </w:r>
            <w:r w:rsidRPr="00D724E5">
              <w:rPr>
                <w:rFonts w:ascii="Arial" w:hAnsi="Arial" w:cs="Arial"/>
                <w:i/>
                <w:sz w:val="18"/>
                <w:szCs w:val="18"/>
              </w:rPr>
              <w:t>the</w:t>
            </w:r>
            <w:r w:rsidRPr="00D724E5">
              <w:rPr>
                <w:rFonts w:ascii="Arial" w:hAnsi="Arial" w:cs="Arial"/>
                <w:i/>
                <w:spacing w:val="-2"/>
                <w:sz w:val="18"/>
                <w:szCs w:val="18"/>
              </w:rPr>
              <w:t xml:space="preserve"> </w:t>
            </w:r>
            <w:r w:rsidRPr="00D724E5">
              <w:rPr>
                <w:rFonts w:ascii="Arial" w:hAnsi="Arial" w:cs="Arial"/>
                <w:i/>
                <w:sz w:val="18"/>
                <w:szCs w:val="18"/>
              </w:rPr>
              <w:t>tasks</w:t>
            </w:r>
            <w:r w:rsidRPr="00D724E5">
              <w:rPr>
                <w:rFonts w:ascii="Arial" w:hAnsi="Arial" w:cs="Arial"/>
                <w:i/>
                <w:spacing w:val="-3"/>
                <w:sz w:val="18"/>
                <w:szCs w:val="18"/>
              </w:rPr>
              <w:t xml:space="preserve"> </w:t>
            </w:r>
            <w:r w:rsidRPr="00D724E5">
              <w:rPr>
                <w:rFonts w:ascii="Arial" w:hAnsi="Arial" w:cs="Arial"/>
                <w:i/>
                <w:sz w:val="18"/>
                <w:szCs w:val="18"/>
              </w:rPr>
              <w:t>alternative</w:t>
            </w:r>
            <w:r w:rsidRPr="00D724E5">
              <w:rPr>
                <w:rFonts w:ascii="Arial" w:hAnsi="Arial" w:cs="Arial"/>
                <w:i/>
                <w:spacing w:val="-42"/>
                <w:sz w:val="18"/>
                <w:szCs w:val="18"/>
              </w:rPr>
              <w:t xml:space="preserve"> </w:t>
            </w:r>
            <w:r w:rsidRPr="00D724E5">
              <w:rPr>
                <w:rFonts w:ascii="Arial" w:hAnsi="Arial" w:cs="Arial"/>
                <w:i/>
                <w:sz w:val="18"/>
                <w:szCs w:val="18"/>
              </w:rPr>
              <w:t>to the DAH’s</w:t>
            </w:r>
            <w:r w:rsidRPr="00D724E5">
              <w:rPr>
                <w:rFonts w:ascii="Arial" w:hAnsi="Arial" w:cs="Arial"/>
                <w:i/>
                <w:spacing w:val="-1"/>
                <w:sz w:val="18"/>
                <w:szCs w:val="18"/>
              </w:rPr>
              <w:t xml:space="preserve"> </w:t>
            </w:r>
            <w:r w:rsidRPr="00D724E5">
              <w:rPr>
                <w:rFonts w:ascii="Arial" w:hAnsi="Arial" w:cs="Arial"/>
                <w:i/>
                <w:sz w:val="18"/>
                <w:szCs w:val="18"/>
              </w:rPr>
              <w:t>ICA, which are included</w:t>
            </w:r>
            <w:r w:rsidRPr="00D724E5">
              <w:rPr>
                <w:rFonts w:ascii="Arial" w:hAnsi="Arial" w:cs="Arial"/>
                <w:i/>
                <w:spacing w:val="-1"/>
                <w:sz w:val="18"/>
                <w:szCs w:val="18"/>
              </w:rPr>
              <w:t xml:space="preserve"> </w:t>
            </w:r>
            <w:r w:rsidRPr="00D724E5">
              <w:rPr>
                <w:rFonts w:ascii="Arial" w:hAnsi="Arial" w:cs="Arial"/>
                <w:i/>
                <w:sz w:val="18"/>
                <w:szCs w:val="18"/>
              </w:rPr>
              <w:t>in the AMP.</w:t>
            </w:r>
          </w:p>
          <w:p w14:paraId="72A0B946" w14:textId="77777777" w:rsidR="002A0714" w:rsidRPr="00D724E5" w:rsidRDefault="002A0714" w:rsidP="003E687E">
            <w:pPr>
              <w:pStyle w:val="TableParagraph"/>
              <w:spacing w:line="243" w:lineRule="exact"/>
              <w:ind w:left="107"/>
              <w:jc w:val="both"/>
              <w:rPr>
                <w:rFonts w:ascii="Arial" w:hAnsi="Arial" w:cs="Arial"/>
                <w:i/>
                <w:sz w:val="18"/>
                <w:szCs w:val="18"/>
              </w:rPr>
            </w:pPr>
            <w:r w:rsidRPr="00D724E5">
              <w:rPr>
                <w:rFonts w:ascii="Arial" w:hAnsi="Arial" w:cs="Arial"/>
                <w:i/>
                <w:sz w:val="18"/>
                <w:szCs w:val="18"/>
              </w:rPr>
              <w:t>(When</w:t>
            </w:r>
            <w:r w:rsidRPr="00D724E5">
              <w:rPr>
                <w:rFonts w:ascii="Arial" w:hAnsi="Arial" w:cs="Arial"/>
                <w:i/>
                <w:spacing w:val="-3"/>
                <w:sz w:val="18"/>
                <w:szCs w:val="18"/>
              </w:rPr>
              <w:t xml:space="preserve"> </w:t>
            </w:r>
            <w:r w:rsidRPr="00D724E5">
              <w:rPr>
                <w:rFonts w:ascii="Arial" w:hAnsi="Arial" w:cs="Arial"/>
                <w:i/>
                <w:sz w:val="18"/>
                <w:szCs w:val="18"/>
              </w:rPr>
              <w:t>a</w:t>
            </w:r>
            <w:r w:rsidRPr="00D724E5">
              <w:rPr>
                <w:rFonts w:ascii="Arial" w:hAnsi="Arial" w:cs="Arial"/>
                <w:i/>
                <w:spacing w:val="-2"/>
                <w:sz w:val="18"/>
                <w:szCs w:val="18"/>
              </w:rPr>
              <w:t xml:space="preserve"> </w:t>
            </w:r>
            <w:r w:rsidRPr="00D724E5">
              <w:rPr>
                <w:rFonts w:ascii="Arial" w:hAnsi="Arial" w:cs="Arial"/>
                <w:i/>
                <w:sz w:val="18"/>
                <w:szCs w:val="18"/>
              </w:rPr>
              <w:t>CAMO/CAO</w:t>
            </w:r>
            <w:r w:rsidRPr="00D724E5">
              <w:rPr>
                <w:rFonts w:ascii="Arial" w:hAnsi="Arial" w:cs="Arial"/>
                <w:i/>
                <w:spacing w:val="-3"/>
                <w:sz w:val="18"/>
                <w:szCs w:val="18"/>
              </w:rPr>
              <w:t xml:space="preserve"> </w:t>
            </w:r>
            <w:r w:rsidRPr="00D724E5">
              <w:rPr>
                <w:rFonts w:ascii="Arial" w:hAnsi="Arial" w:cs="Arial"/>
                <w:i/>
                <w:sz w:val="18"/>
                <w:szCs w:val="18"/>
              </w:rPr>
              <w:t>is</w:t>
            </w:r>
            <w:r w:rsidRPr="00D724E5">
              <w:rPr>
                <w:rFonts w:ascii="Arial" w:hAnsi="Arial" w:cs="Arial"/>
                <w:i/>
                <w:spacing w:val="-2"/>
                <w:sz w:val="18"/>
                <w:szCs w:val="18"/>
              </w:rPr>
              <w:t xml:space="preserve"> </w:t>
            </w:r>
            <w:r w:rsidRPr="00D724E5">
              <w:rPr>
                <w:rFonts w:ascii="Arial" w:hAnsi="Arial" w:cs="Arial"/>
                <w:i/>
                <w:sz w:val="18"/>
                <w:szCs w:val="18"/>
              </w:rPr>
              <w:t>contracted,</w:t>
            </w:r>
            <w:r w:rsidRPr="00D724E5">
              <w:rPr>
                <w:rFonts w:ascii="Arial" w:hAnsi="Arial" w:cs="Arial"/>
                <w:i/>
                <w:spacing w:val="-2"/>
                <w:sz w:val="18"/>
                <w:szCs w:val="18"/>
              </w:rPr>
              <w:t xml:space="preserve"> </w:t>
            </w:r>
            <w:r w:rsidRPr="00D724E5">
              <w:rPr>
                <w:rFonts w:ascii="Arial" w:hAnsi="Arial" w:cs="Arial"/>
                <w:i/>
                <w:sz w:val="18"/>
                <w:szCs w:val="18"/>
              </w:rPr>
              <w:t>all</w:t>
            </w:r>
            <w:r w:rsidRPr="00D724E5">
              <w:rPr>
                <w:rFonts w:ascii="Arial" w:hAnsi="Arial" w:cs="Arial"/>
                <w:i/>
                <w:spacing w:val="-2"/>
                <w:sz w:val="18"/>
                <w:szCs w:val="18"/>
              </w:rPr>
              <w:t xml:space="preserve"> </w:t>
            </w:r>
            <w:r w:rsidRPr="00D724E5">
              <w:rPr>
                <w:rFonts w:ascii="Arial" w:hAnsi="Arial" w:cs="Arial"/>
                <w:i/>
                <w:sz w:val="18"/>
                <w:szCs w:val="18"/>
              </w:rPr>
              <w:t>elements</w:t>
            </w:r>
            <w:r w:rsidRPr="00D724E5">
              <w:rPr>
                <w:rFonts w:ascii="Arial" w:hAnsi="Arial" w:cs="Arial"/>
                <w:i/>
                <w:spacing w:val="-4"/>
                <w:sz w:val="18"/>
                <w:szCs w:val="18"/>
              </w:rPr>
              <w:t xml:space="preserve"> </w:t>
            </w:r>
            <w:r w:rsidRPr="00D724E5">
              <w:rPr>
                <w:rFonts w:ascii="Arial" w:hAnsi="Arial" w:cs="Arial"/>
                <w:i/>
                <w:sz w:val="18"/>
                <w:szCs w:val="18"/>
              </w:rPr>
              <w:t>justifying</w:t>
            </w:r>
            <w:r w:rsidRPr="00D724E5">
              <w:rPr>
                <w:rFonts w:ascii="Arial" w:hAnsi="Arial" w:cs="Arial"/>
                <w:i/>
                <w:spacing w:val="-1"/>
                <w:sz w:val="18"/>
                <w:szCs w:val="18"/>
              </w:rPr>
              <w:t xml:space="preserve"> </w:t>
            </w:r>
            <w:r w:rsidRPr="00D724E5">
              <w:rPr>
                <w:rFonts w:ascii="Arial" w:hAnsi="Arial" w:cs="Arial"/>
                <w:i/>
                <w:sz w:val="18"/>
                <w:szCs w:val="18"/>
              </w:rPr>
              <w:t>the</w:t>
            </w:r>
            <w:r w:rsidRPr="00D724E5">
              <w:rPr>
                <w:rFonts w:ascii="Arial" w:hAnsi="Arial" w:cs="Arial"/>
                <w:i/>
                <w:spacing w:val="-2"/>
                <w:sz w:val="18"/>
                <w:szCs w:val="18"/>
              </w:rPr>
              <w:t xml:space="preserve"> </w:t>
            </w:r>
            <w:r w:rsidRPr="00D724E5">
              <w:rPr>
                <w:rFonts w:ascii="Arial" w:hAnsi="Arial" w:cs="Arial"/>
                <w:i/>
                <w:sz w:val="18"/>
                <w:szCs w:val="18"/>
              </w:rPr>
              <w:t>deviations</w:t>
            </w:r>
            <w:r w:rsidRPr="00D724E5">
              <w:rPr>
                <w:rFonts w:ascii="Arial" w:hAnsi="Arial" w:cs="Arial"/>
                <w:i/>
                <w:spacing w:val="-3"/>
                <w:sz w:val="18"/>
                <w:szCs w:val="18"/>
              </w:rPr>
              <w:t xml:space="preserve"> </w:t>
            </w:r>
            <w:r w:rsidRPr="00D724E5">
              <w:rPr>
                <w:rFonts w:ascii="Arial" w:hAnsi="Arial" w:cs="Arial"/>
                <w:i/>
                <w:sz w:val="18"/>
                <w:szCs w:val="18"/>
              </w:rPr>
              <w:t>from</w:t>
            </w:r>
            <w:r w:rsidRPr="00D724E5">
              <w:rPr>
                <w:rFonts w:ascii="Arial" w:hAnsi="Arial" w:cs="Arial"/>
                <w:i/>
                <w:spacing w:val="-2"/>
                <w:sz w:val="18"/>
                <w:szCs w:val="18"/>
              </w:rPr>
              <w:t xml:space="preserve"> </w:t>
            </w:r>
            <w:r w:rsidRPr="00D724E5">
              <w:rPr>
                <w:rFonts w:ascii="Arial" w:hAnsi="Arial" w:cs="Arial"/>
                <w:i/>
                <w:sz w:val="18"/>
                <w:szCs w:val="18"/>
              </w:rPr>
              <w:t>the</w:t>
            </w:r>
            <w:r w:rsidRPr="00D724E5">
              <w:rPr>
                <w:rFonts w:ascii="Arial" w:hAnsi="Arial" w:cs="Arial"/>
                <w:i/>
                <w:spacing w:val="-2"/>
                <w:sz w:val="18"/>
                <w:szCs w:val="18"/>
              </w:rPr>
              <w:t xml:space="preserve"> </w:t>
            </w:r>
            <w:r w:rsidRPr="00D724E5">
              <w:rPr>
                <w:rFonts w:ascii="Arial" w:hAnsi="Arial" w:cs="Arial"/>
                <w:i/>
                <w:sz w:val="18"/>
                <w:szCs w:val="18"/>
              </w:rPr>
              <w:t>DAH’s</w:t>
            </w:r>
            <w:r w:rsidRPr="00D724E5">
              <w:rPr>
                <w:rFonts w:ascii="Arial" w:hAnsi="Arial" w:cs="Arial"/>
                <w:i/>
                <w:spacing w:val="-3"/>
                <w:sz w:val="18"/>
                <w:szCs w:val="18"/>
              </w:rPr>
              <w:t xml:space="preserve"> </w:t>
            </w:r>
            <w:r w:rsidRPr="00D724E5">
              <w:rPr>
                <w:rFonts w:ascii="Arial" w:hAnsi="Arial" w:cs="Arial"/>
                <w:i/>
                <w:sz w:val="18"/>
                <w:szCs w:val="18"/>
              </w:rPr>
              <w:t>ICA</w:t>
            </w:r>
            <w:r w:rsidRPr="00D724E5">
              <w:rPr>
                <w:rFonts w:ascii="Arial" w:hAnsi="Arial" w:cs="Arial"/>
                <w:i/>
                <w:spacing w:val="-4"/>
                <w:sz w:val="18"/>
                <w:szCs w:val="18"/>
              </w:rPr>
              <w:t xml:space="preserve"> </w:t>
            </w:r>
            <w:r w:rsidRPr="00D724E5">
              <w:rPr>
                <w:rFonts w:ascii="Arial" w:hAnsi="Arial" w:cs="Arial"/>
                <w:i/>
                <w:sz w:val="18"/>
                <w:szCs w:val="18"/>
              </w:rPr>
              <w:t>should</w:t>
            </w:r>
            <w:r w:rsidRPr="00D724E5">
              <w:rPr>
                <w:rFonts w:ascii="Arial" w:hAnsi="Arial" w:cs="Arial"/>
                <w:i/>
                <w:spacing w:val="-1"/>
                <w:sz w:val="18"/>
                <w:szCs w:val="18"/>
              </w:rPr>
              <w:t xml:space="preserve"> </w:t>
            </w:r>
            <w:r w:rsidRPr="00D724E5">
              <w:rPr>
                <w:rFonts w:ascii="Arial" w:hAnsi="Arial" w:cs="Arial"/>
                <w:i/>
                <w:sz w:val="18"/>
                <w:szCs w:val="18"/>
              </w:rPr>
              <w:t>be</w:t>
            </w:r>
            <w:r w:rsidRPr="00D724E5">
              <w:rPr>
                <w:rFonts w:ascii="Arial" w:hAnsi="Arial" w:cs="Arial"/>
                <w:i/>
                <w:spacing w:val="-2"/>
                <w:sz w:val="18"/>
                <w:szCs w:val="18"/>
              </w:rPr>
              <w:t xml:space="preserve"> </w:t>
            </w:r>
            <w:r w:rsidRPr="00D724E5">
              <w:rPr>
                <w:rFonts w:ascii="Arial" w:hAnsi="Arial" w:cs="Arial"/>
                <w:i/>
                <w:sz w:val="18"/>
                <w:szCs w:val="18"/>
              </w:rPr>
              <w:t>kept</w:t>
            </w:r>
          </w:p>
          <w:p w14:paraId="1AF0B482" w14:textId="77777777" w:rsidR="002A0714" w:rsidRPr="00D724E5" w:rsidRDefault="002A0714" w:rsidP="003E687E">
            <w:pPr>
              <w:pStyle w:val="TableParagraph"/>
              <w:spacing w:line="225" w:lineRule="exact"/>
              <w:ind w:left="107"/>
              <w:jc w:val="both"/>
              <w:rPr>
                <w:rFonts w:ascii="Arial" w:hAnsi="Arial" w:cs="Arial"/>
                <w:i/>
                <w:sz w:val="18"/>
                <w:szCs w:val="18"/>
              </w:rPr>
            </w:pPr>
            <w:r w:rsidRPr="00D724E5">
              <w:rPr>
                <w:rFonts w:ascii="Arial" w:hAnsi="Arial" w:cs="Arial"/>
                <w:i/>
                <w:sz w:val="18"/>
                <w:szCs w:val="18"/>
              </w:rPr>
              <w:t>by</w:t>
            </w:r>
            <w:r w:rsidRPr="00D724E5">
              <w:rPr>
                <w:rFonts w:ascii="Arial" w:hAnsi="Arial" w:cs="Arial"/>
                <w:i/>
                <w:spacing w:val="-4"/>
                <w:sz w:val="18"/>
                <w:szCs w:val="18"/>
              </w:rPr>
              <w:t xml:space="preserve"> </w:t>
            </w:r>
            <w:r w:rsidRPr="00D724E5">
              <w:rPr>
                <w:rFonts w:ascii="Arial" w:hAnsi="Arial" w:cs="Arial"/>
                <w:i/>
                <w:sz w:val="18"/>
                <w:szCs w:val="18"/>
              </w:rPr>
              <w:t>the</w:t>
            </w:r>
            <w:r w:rsidRPr="00D724E5">
              <w:rPr>
                <w:rFonts w:ascii="Arial" w:hAnsi="Arial" w:cs="Arial"/>
                <w:i/>
                <w:spacing w:val="-3"/>
                <w:sz w:val="18"/>
                <w:szCs w:val="18"/>
              </w:rPr>
              <w:t xml:space="preserve"> </w:t>
            </w:r>
            <w:r w:rsidRPr="00D724E5">
              <w:rPr>
                <w:rFonts w:ascii="Arial" w:hAnsi="Arial" w:cs="Arial"/>
                <w:i/>
                <w:sz w:val="18"/>
                <w:szCs w:val="18"/>
              </w:rPr>
              <w:t>CAMO/CAO</w:t>
            </w:r>
            <w:r w:rsidRPr="00D724E5">
              <w:rPr>
                <w:rFonts w:ascii="Arial" w:hAnsi="Arial" w:cs="Arial"/>
                <w:i/>
                <w:spacing w:val="-3"/>
                <w:sz w:val="18"/>
                <w:szCs w:val="18"/>
              </w:rPr>
              <w:t xml:space="preserve"> </w:t>
            </w:r>
            <w:r w:rsidRPr="00D724E5">
              <w:rPr>
                <w:rFonts w:ascii="Arial" w:hAnsi="Arial" w:cs="Arial"/>
                <w:i/>
                <w:sz w:val="18"/>
                <w:szCs w:val="18"/>
              </w:rPr>
              <w:t>and</w:t>
            </w:r>
            <w:r w:rsidRPr="00D724E5">
              <w:rPr>
                <w:rFonts w:ascii="Arial" w:hAnsi="Arial" w:cs="Arial"/>
                <w:i/>
                <w:spacing w:val="-3"/>
                <w:sz w:val="18"/>
                <w:szCs w:val="18"/>
              </w:rPr>
              <w:t xml:space="preserve"> </w:t>
            </w:r>
            <w:r w:rsidRPr="00D724E5">
              <w:rPr>
                <w:rFonts w:ascii="Arial" w:hAnsi="Arial" w:cs="Arial"/>
                <w:i/>
                <w:sz w:val="18"/>
                <w:szCs w:val="18"/>
              </w:rPr>
              <w:t>the</w:t>
            </w:r>
            <w:r w:rsidRPr="00D724E5">
              <w:rPr>
                <w:rFonts w:ascii="Arial" w:hAnsi="Arial" w:cs="Arial"/>
                <w:i/>
                <w:spacing w:val="-3"/>
                <w:sz w:val="18"/>
                <w:szCs w:val="18"/>
              </w:rPr>
              <w:t xml:space="preserve"> </w:t>
            </w:r>
            <w:r w:rsidRPr="00D724E5">
              <w:rPr>
                <w:rFonts w:ascii="Arial" w:hAnsi="Arial" w:cs="Arial"/>
                <w:i/>
                <w:sz w:val="18"/>
                <w:szCs w:val="18"/>
              </w:rPr>
              <w:t>organisation</w:t>
            </w:r>
            <w:r w:rsidRPr="00D724E5">
              <w:rPr>
                <w:rFonts w:ascii="Arial" w:hAnsi="Arial" w:cs="Arial"/>
                <w:i/>
                <w:spacing w:val="-2"/>
                <w:sz w:val="18"/>
                <w:szCs w:val="18"/>
              </w:rPr>
              <w:t xml:space="preserve"> </w:t>
            </w:r>
            <w:r w:rsidRPr="00D724E5">
              <w:rPr>
                <w:rFonts w:ascii="Arial" w:hAnsi="Arial" w:cs="Arial"/>
                <w:i/>
                <w:sz w:val="18"/>
                <w:szCs w:val="18"/>
              </w:rPr>
              <w:t>should</w:t>
            </w:r>
            <w:r w:rsidRPr="00D724E5">
              <w:rPr>
                <w:rFonts w:ascii="Arial" w:hAnsi="Arial" w:cs="Arial"/>
                <w:i/>
                <w:spacing w:val="-2"/>
                <w:sz w:val="18"/>
                <w:szCs w:val="18"/>
              </w:rPr>
              <w:t xml:space="preserve"> </w:t>
            </w:r>
            <w:r w:rsidRPr="00D724E5">
              <w:rPr>
                <w:rFonts w:ascii="Arial" w:hAnsi="Arial" w:cs="Arial"/>
                <w:i/>
                <w:sz w:val="18"/>
                <w:szCs w:val="18"/>
              </w:rPr>
              <w:t>provide</w:t>
            </w:r>
            <w:r w:rsidRPr="00D724E5">
              <w:rPr>
                <w:rFonts w:ascii="Arial" w:hAnsi="Arial" w:cs="Arial"/>
                <w:i/>
                <w:spacing w:val="-2"/>
                <w:sz w:val="18"/>
                <w:szCs w:val="18"/>
              </w:rPr>
              <w:t xml:space="preserve"> </w:t>
            </w:r>
            <w:r w:rsidRPr="00D724E5">
              <w:rPr>
                <w:rFonts w:ascii="Arial" w:hAnsi="Arial" w:cs="Arial"/>
                <w:i/>
                <w:sz w:val="18"/>
                <w:szCs w:val="18"/>
              </w:rPr>
              <w:t>a</w:t>
            </w:r>
            <w:r w:rsidRPr="00D724E5">
              <w:rPr>
                <w:rFonts w:ascii="Arial" w:hAnsi="Arial" w:cs="Arial"/>
                <w:i/>
                <w:spacing w:val="-3"/>
                <w:sz w:val="18"/>
                <w:szCs w:val="18"/>
              </w:rPr>
              <w:t xml:space="preserve"> </w:t>
            </w:r>
            <w:r w:rsidRPr="00D724E5">
              <w:rPr>
                <w:rFonts w:ascii="Arial" w:hAnsi="Arial" w:cs="Arial"/>
                <w:i/>
                <w:sz w:val="18"/>
                <w:szCs w:val="18"/>
              </w:rPr>
              <w:t>copy</w:t>
            </w:r>
            <w:r w:rsidRPr="00D724E5">
              <w:rPr>
                <w:rFonts w:ascii="Arial" w:hAnsi="Arial" w:cs="Arial"/>
                <w:i/>
                <w:spacing w:val="-4"/>
                <w:sz w:val="18"/>
                <w:szCs w:val="18"/>
              </w:rPr>
              <w:t xml:space="preserve"> </w:t>
            </w:r>
            <w:r w:rsidRPr="00D724E5">
              <w:rPr>
                <w:rFonts w:ascii="Arial" w:hAnsi="Arial" w:cs="Arial"/>
                <w:i/>
                <w:sz w:val="18"/>
                <w:szCs w:val="18"/>
              </w:rPr>
              <w:t>of</w:t>
            </w:r>
            <w:r w:rsidRPr="00D724E5">
              <w:rPr>
                <w:rFonts w:ascii="Arial" w:hAnsi="Arial" w:cs="Arial"/>
                <w:i/>
                <w:spacing w:val="-4"/>
                <w:sz w:val="18"/>
                <w:szCs w:val="18"/>
              </w:rPr>
              <w:t xml:space="preserve"> </w:t>
            </w:r>
            <w:r w:rsidRPr="00D724E5">
              <w:rPr>
                <w:rFonts w:ascii="Arial" w:hAnsi="Arial" w:cs="Arial"/>
                <w:i/>
                <w:sz w:val="18"/>
                <w:szCs w:val="18"/>
              </w:rPr>
              <w:t>these</w:t>
            </w:r>
            <w:r w:rsidRPr="00D724E5">
              <w:rPr>
                <w:rFonts w:ascii="Arial" w:hAnsi="Arial" w:cs="Arial"/>
                <w:i/>
                <w:spacing w:val="-3"/>
                <w:sz w:val="18"/>
                <w:szCs w:val="18"/>
              </w:rPr>
              <w:t xml:space="preserve"> </w:t>
            </w:r>
            <w:r w:rsidRPr="00D724E5">
              <w:rPr>
                <w:rFonts w:ascii="Arial" w:hAnsi="Arial" w:cs="Arial"/>
                <w:i/>
                <w:sz w:val="18"/>
                <w:szCs w:val="18"/>
              </w:rPr>
              <w:t>justifications</w:t>
            </w:r>
            <w:r w:rsidRPr="00D724E5">
              <w:rPr>
                <w:rFonts w:ascii="Arial" w:hAnsi="Arial" w:cs="Arial"/>
                <w:i/>
                <w:spacing w:val="-3"/>
                <w:sz w:val="18"/>
                <w:szCs w:val="18"/>
              </w:rPr>
              <w:t xml:space="preserve"> </w:t>
            </w:r>
            <w:r w:rsidRPr="00D724E5">
              <w:rPr>
                <w:rFonts w:ascii="Arial" w:hAnsi="Arial" w:cs="Arial"/>
                <w:i/>
                <w:sz w:val="18"/>
                <w:szCs w:val="18"/>
              </w:rPr>
              <w:t>to</w:t>
            </w:r>
            <w:r w:rsidRPr="00D724E5">
              <w:rPr>
                <w:rFonts w:ascii="Arial" w:hAnsi="Arial" w:cs="Arial"/>
                <w:i/>
                <w:spacing w:val="-3"/>
                <w:sz w:val="18"/>
                <w:szCs w:val="18"/>
              </w:rPr>
              <w:t xml:space="preserve"> </w:t>
            </w:r>
            <w:r w:rsidRPr="00D724E5">
              <w:rPr>
                <w:rFonts w:ascii="Arial" w:hAnsi="Arial" w:cs="Arial"/>
                <w:i/>
                <w:sz w:val="18"/>
                <w:szCs w:val="18"/>
              </w:rPr>
              <w:t>the</w:t>
            </w:r>
            <w:r w:rsidRPr="00D724E5">
              <w:rPr>
                <w:rFonts w:ascii="Arial" w:hAnsi="Arial" w:cs="Arial"/>
                <w:i/>
                <w:spacing w:val="-3"/>
                <w:sz w:val="18"/>
                <w:szCs w:val="18"/>
              </w:rPr>
              <w:t xml:space="preserve"> </w:t>
            </w:r>
            <w:r w:rsidRPr="00D724E5">
              <w:rPr>
                <w:rFonts w:ascii="Arial" w:hAnsi="Arial" w:cs="Arial"/>
                <w:i/>
                <w:sz w:val="18"/>
                <w:szCs w:val="18"/>
              </w:rPr>
              <w:t>owner)</w:t>
            </w:r>
          </w:p>
        </w:tc>
      </w:tr>
      <w:tr w:rsidR="002A0714" w:rsidRPr="00D724E5" w14:paraId="49A8DE01" w14:textId="77777777" w:rsidTr="002A0714">
        <w:trPr>
          <w:gridAfter w:val="1"/>
          <w:wAfter w:w="11" w:type="dxa"/>
          <w:trHeight w:val="244"/>
        </w:trPr>
        <w:tc>
          <w:tcPr>
            <w:tcW w:w="1980" w:type="dxa"/>
            <w:gridSpan w:val="2"/>
          </w:tcPr>
          <w:p w14:paraId="6670BF55" w14:textId="77777777" w:rsidR="002A0714" w:rsidRPr="00D724E5" w:rsidRDefault="002A0714" w:rsidP="002A0714">
            <w:pPr>
              <w:pStyle w:val="TableParagraph"/>
              <w:ind w:left="0"/>
              <w:rPr>
                <w:rFonts w:ascii="Arial" w:hAnsi="Arial" w:cs="Arial"/>
                <w:sz w:val="18"/>
                <w:szCs w:val="18"/>
              </w:rPr>
            </w:pPr>
          </w:p>
        </w:tc>
        <w:tc>
          <w:tcPr>
            <w:tcW w:w="2411" w:type="dxa"/>
            <w:gridSpan w:val="3"/>
          </w:tcPr>
          <w:p w14:paraId="0E691DD6" w14:textId="77777777" w:rsidR="002A0714" w:rsidRPr="00D724E5" w:rsidRDefault="002A0714" w:rsidP="002A0714">
            <w:pPr>
              <w:pStyle w:val="TableParagraph"/>
              <w:ind w:left="0"/>
              <w:rPr>
                <w:rFonts w:ascii="Arial" w:hAnsi="Arial" w:cs="Arial"/>
                <w:sz w:val="18"/>
                <w:szCs w:val="18"/>
              </w:rPr>
            </w:pPr>
          </w:p>
        </w:tc>
        <w:tc>
          <w:tcPr>
            <w:tcW w:w="2552" w:type="dxa"/>
            <w:gridSpan w:val="3"/>
          </w:tcPr>
          <w:p w14:paraId="71AA5B2E" w14:textId="77777777" w:rsidR="002A0714" w:rsidRPr="00D724E5" w:rsidRDefault="002A0714" w:rsidP="002A0714">
            <w:pPr>
              <w:pStyle w:val="TableParagraph"/>
              <w:ind w:left="0"/>
              <w:rPr>
                <w:rFonts w:ascii="Arial" w:hAnsi="Arial" w:cs="Arial"/>
                <w:sz w:val="18"/>
                <w:szCs w:val="18"/>
              </w:rPr>
            </w:pPr>
          </w:p>
        </w:tc>
        <w:tc>
          <w:tcPr>
            <w:tcW w:w="2132" w:type="dxa"/>
          </w:tcPr>
          <w:p w14:paraId="2F78D5A5" w14:textId="77777777" w:rsidR="002A0714" w:rsidRPr="00D724E5" w:rsidRDefault="002A0714" w:rsidP="002A0714">
            <w:pPr>
              <w:pStyle w:val="TableParagraph"/>
              <w:ind w:left="0"/>
              <w:rPr>
                <w:rFonts w:ascii="Arial" w:hAnsi="Arial" w:cs="Arial"/>
                <w:sz w:val="18"/>
                <w:szCs w:val="18"/>
              </w:rPr>
            </w:pPr>
          </w:p>
        </w:tc>
      </w:tr>
      <w:tr w:rsidR="002A0714" w:rsidRPr="00D724E5" w14:paraId="3F534871" w14:textId="77777777" w:rsidTr="002A0714">
        <w:trPr>
          <w:gridAfter w:val="1"/>
          <w:wAfter w:w="11" w:type="dxa"/>
          <w:trHeight w:val="244"/>
        </w:trPr>
        <w:tc>
          <w:tcPr>
            <w:tcW w:w="1980" w:type="dxa"/>
            <w:gridSpan w:val="2"/>
          </w:tcPr>
          <w:p w14:paraId="6E5995A4" w14:textId="77777777" w:rsidR="002A0714" w:rsidRPr="00D724E5" w:rsidRDefault="002A0714" w:rsidP="002A0714">
            <w:pPr>
              <w:pStyle w:val="TableParagraph"/>
              <w:ind w:left="0"/>
              <w:rPr>
                <w:rFonts w:ascii="Arial" w:hAnsi="Arial" w:cs="Arial"/>
                <w:sz w:val="18"/>
                <w:szCs w:val="18"/>
              </w:rPr>
            </w:pPr>
          </w:p>
        </w:tc>
        <w:tc>
          <w:tcPr>
            <w:tcW w:w="2411" w:type="dxa"/>
            <w:gridSpan w:val="3"/>
          </w:tcPr>
          <w:p w14:paraId="7DCEA724" w14:textId="77777777" w:rsidR="002A0714" w:rsidRPr="00D724E5" w:rsidRDefault="002A0714" w:rsidP="002A0714">
            <w:pPr>
              <w:pStyle w:val="TableParagraph"/>
              <w:ind w:left="0"/>
              <w:rPr>
                <w:rFonts w:ascii="Arial" w:hAnsi="Arial" w:cs="Arial"/>
                <w:sz w:val="18"/>
                <w:szCs w:val="18"/>
              </w:rPr>
            </w:pPr>
          </w:p>
        </w:tc>
        <w:tc>
          <w:tcPr>
            <w:tcW w:w="2552" w:type="dxa"/>
            <w:gridSpan w:val="3"/>
          </w:tcPr>
          <w:p w14:paraId="7BEF05F0" w14:textId="77777777" w:rsidR="002A0714" w:rsidRPr="00D724E5" w:rsidRDefault="002A0714" w:rsidP="002A0714">
            <w:pPr>
              <w:pStyle w:val="TableParagraph"/>
              <w:ind w:left="0"/>
              <w:rPr>
                <w:rFonts w:ascii="Arial" w:hAnsi="Arial" w:cs="Arial"/>
                <w:sz w:val="18"/>
                <w:szCs w:val="18"/>
              </w:rPr>
            </w:pPr>
          </w:p>
        </w:tc>
        <w:tc>
          <w:tcPr>
            <w:tcW w:w="2132" w:type="dxa"/>
          </w:tcPr>
          <w:p w14:paraId="1BC3BDC1" w14:textId="77777777" w:rsidR="002A0714" w:rsidRPr="00D724E5" w:rsidRDefault="002A0714" w:rsidP="002A0714">
            <w:pPr>
              <w:pStyle w:val="TableParagraph"/>
              <w:ind w:left="0"/>
              <w:rPr>
                <w:rFonts w:ascii="Arial" w:hAnsi="Arial" w:cs="Arial"/>
                <w:sz w:val="18"/>
                <w:szCs w:val="18"/>
              </w:rPr>
            </w:pPr>
          </w:p>
        </w:tc>
      </w:tr>
      <w:tr w:rsidR="002A0714" w:rsidRPr="00D724E5" w14:paraId="31E0F0E0" w14:textId="77777777" w:rsidTr="002A0714">
        <w:trPr>
          <w:gridAfter w:val="1"/>
          <w:wAfter w:w="11" w:type="dxa"/>
          <w:trHeight w:val="244"/>
        </w:trPr>
        <w:tc>
          <w:tcPr>
            <w:tcW w:w="1980" w:type="dxa"/>
            <w:gridSpan w:val="2"/>
          </w:tcPr>
          <w:p w14:paraId="790EDAC8" w14:textId="77777777" w:rsidR="002A0714" w:rsidRPr="00D724E5" w:rsidRDefault="002A0714" w:rsidP="002A0714">
            <w:pPr>
              <w:pStyle w:val="TableParagraph"/>
              <w:ind w:left="0"/>
              <w:rPr>
                <w:rFonts w:ascii="Arial" w:hAnsi="Arial" w:cs="Arial"/>
                <w:sz w:val="18"/>
                <w:szCs w:val="18"/>
              </w:rPr>
            </w:pPr>
          </w:p>
        </w:tc>
        <w:tc>
          <w:tcPr>
            <w:tcW w:w="2411" w:type="dxa"/>
            <w:gridSpan w:val="3"/>
          </w:tcPr>
          <w:p w14:paraId="49EC32A7" w14:textId="77777777" w:rsidR="002A0714" w:rsidRPr="00D724E5" w:rsidRDefault="002A0714" w:rsidP="002A0714">
            <w:pPr>
              <w:pStyle w:val="TableParagraph"/>
              <w:ind w:left="0"/>
              <w:rPr>
                <w:rFonts w:ascii="Arial" w:hAnsi="Arial" w:cs="Arial"/>
                <w:sz w:val="18"/>
                <w:szCs w:val="18"/>
              </w:rPr>
            </w:pPr>
          </w:p>
        </w:tc>
        <w:tc>
          <w:tcPr>
            <w:tcW w:w="2552" w:type="dxa"/>
            <w:gridSpan w:val="3"/>
          </w:tcPr>
          <w:p w14:paraId="055FFE39" w14:textId="77777777" w:rsidR="002A0714" w:rsidRPr="00D724E5" w:rsidRDefault="002A0714" w:rsidP="002A0714">
            <w:pPr>
              <w:pStyle w:val="TableParagraph"/>
              <w:ind w:left="0"/>
              <w:rPr>
                <w:rFonts w:ascii="Arial" w:hAnsi="Arial" w:cs="Arial"/>
                <w:sz w:val="18"/>
                <w:szCs w:val="18"/>
              </w:rPr>
            </w:pPr>
          </w:p>
        </w:tc>
        <w:tc>
          <w:tcPr>
            <w:tcW w:w="2132" w:type="dxa"/>
          </w:tcPr>
          <w:p w14:paraId="4EA8841B" w14:textId="77777777" w:rsidR="002A0714" w:rsidRPr="00D724E5" w:rsidRDefault="002A0714" w:rsidP="002A0714">
            <w:pPr>
              <w:pStyle w:val="TableParagraph"/>
              <w:ind w:left="0"/>
              <w:rPr>
                <w:rFonts w:ascii="Arial" w:hAnsi="Arial" w:cs="Arial"/>
                <w:sz w:val="18"/>
                <w:szCs w:val="18"/>
              </w:rPr>
            </w:pPr>
          </w:p>
        </w:tc>
      </w:tr>
      <w:tr w:rsidR="002A0714" w:rsidRPr="00D724E5" w14:paraId="6B0460AE" w14:textId="77777777" w:rsidTr="002A0714">
        <w:trPr>
          <w:gridAfter w:val="1"/>
          <w:wAfter w:w="11" w:type="dxa"/>
          <w:trHeight w:val="244"/>
        </w:trPr>
        <w:tc>
          <w:tcPr>
            <w:tcW w:w="1980" w:type="dxa"/>
            <w:gridSpan w:val="2"/>
          </w:tcPr>
          <w:p w14:paraId="1D859EE3" w14:textId="77777777" w:rsidR="002A0714" w:rsidRPr="00D724E5" w:rsidRDefault="002A0714" w:rsidP="002A0714">
            <w:pPr>
              <w:pStyle w:val="TableParagraph"/>
              <w:ind w:left="0"/>
              <w:rPr>
                <w:rFonts w:ascii="Arial" w:hAnsi="Arial" w:cs="Arial"/>
                <w:sz w:val="18"/>
                <w:szCs w:val="18"/>
              </w:rPr>
            </w:pPr>
          </w:p>
        </w:tc>
        <w:tc>
          <w:tcPr>
            <w:tcW w:w="2411" w:type="dxa"/>
            <w:gridSpan w:val="3"/>
          </w:tcPr>
          <w:p w14:paraId="2A2D3851" w14:textId="77777777" w:rsidR="002A0714" w:rsidRPr="00D724E5" w:rsidRDefault="002A0714" w:rsidP="002A0714">
            <w:pPr>
              <w:pStyle w:val="TableParagraph"/>
              <w:ind w:left="0"/>
              <w:rPr>
                <w:rFonts w:ascii="Arial" w:hAnsi="Arial" w:cs="Arial"/>
                <w:sz w:val="18"/>
                <w:szCs w:val="18"/>
              </w:rPr>
            </w:pPr>
          </w:p>
        </w:tc>
        <w:tc>
          <w:tcPr>
            <w:tcW w:w="2552" w:type="dxa"/>
            <w:gridSpan w:val="3"/>
          </w:tcPr>
          <w:p w14:paraId="23D64AB4" w14:textId="77777777" w:rsidR="002A0714" w:rsidRPr="00D724E5" w:rsidRDefault="002A0714" w:rsidP="002A0714">
            <w:pPr>
              <w:pStyle w:val="TableParagraph"/>
              <w:ind w:left="0"/>
              <w:rPr>
                <w:rFonts w:ascii="Arial" w:hAnsi="Arial" w:cs="Arial"/>
                <w:sz w:val="18"/>
                <w:szCs w:val="18"/>
              </w:rPr>
            </w:pPr>
          </w:p>
        </w:tc>
        <w:tc>
          <w:tcPr>
            <w:tcW w:w="2132" w:type="dxa"/>
          </w:tcPr>
          <w:p w14:paraId="6EFC959B" w14:textId="77777777" w:rsidR="002A0714" w:rsidRPr="00D724E5" w:rsidRDefault="002A0714" w:rsidP="002A0714">
            <w:pPr>
              <w:pStyle w:val="TableParagraph"/>
              <w:ind w:left="0"/>
              <w:rPr>
                <w:rFonts w:ascii="Arial" w:hAnsi="Arial" w:cs="Arial"/>
                <w:sz w:val="18"/>
                <w:szCs w:val="18"/>
              </w:rPr>
            </w:pPr>
          </w:p>
        </w:tc>
      </w:tr>
    </w:tbl>
    <w:p w14:paraId="21FDD957" w14:textId="77777777" w:rsidR="002A0714" w:rsidRDefault="002A0714" w:rsidP="002A0714">
      <w:pPr>
        <w:rPr>
          <w:rFonts w:ascii="Arial" w:eastAsia="Times New Roman" w:hAnsi="Arial" w:cs="Times New Roman"/>
          <w:sz w:val="18"/>
          <w:szCs w:val="18"/>
        </w:rPr>
      </w:pPr>
    </w:p>
    <w:p w14:paraId="2287A843" w14:textId="77777777" w:rsidR="001C156F" w:rsidRPr="001C156F" w:rsidRDefault="001C156F" w:rsidP="001C156F">
      <w:pPr>
        <w:keepNext/>
        <w:keepLines/>
        <w:widowControl/>
        <w:shd w:val="clear" w:color="auto" w:fill="339966"/>
        <w:autoSpaceDE/>
        <w:autoSpaceDN/>
        <w:spacing w:before="160" w:after="120" w:line="259" w:lineRule="auto"/>
        <w:outlineLvl w:val="4"/>
        <w:rPr>
          <w:rFonts w:ascii="Arial" w:eastAsia="Times New Roman" w:hAnsi="Arial" w:cs="Times New Roman"/>
          <w:b/>
          <w:color w:val="FFFFFF"/>
          <w:sz w:val="24"/>
        </w:rPr>
      </w:pPr>
      <w:bookmarkStart w:id="827" w:name="_Toc153137508"/>
      <w:r w:rsidRPr="001C156F">
        <w:rPr>
          <w:rFonts w:ascii="Arial" w:eastAsia="Times New Roman" w:hAnsi="Arial" w:cs="Times New Roman"/>
          <w:b/>
          <w:color w:val="FFFFFF"/>
          <w:sz w:val="24"/>
        </w:rPr>
        <w:t>GM1 ML.A.302 Aircraft maintenance programme</w:t>
      </w:r>
      <w:bookmarkEnd w:id="827"/>
    </w:p>
    <w:p w14:paraId="494EDB05" w14:textId="77777777" w:rsidR="001C156F" w:rsidRPr="001C156F" w:rsidRDefault="001C156F" w:rsidP="001C156F">
      <w:pPr>
        <w:jc w:val="both"/>
        <w:rPr>
          <w:rFonts w:ascii="Arial" w:eastAsia="Times New Roman" w:hAnsi="Arial" w:cs="Arial"/>
          <w:sz w:val="20"/>
          <w:szCs w:val="20"/>
        </w:rPr>
      </w:pPr>
      <w:r w:rsidRPr="001C156F">
        <w:rPr>
          <w:rFonts w:ascii="Arial" w:eastAsia="Times New Roman" w:hAnsi="Arial" w:cs="Arial"/>
          <w:sz w:val="20"/>
          <w:szCs w:val="20"/>
        </w:rPr>
        <w:t>The responsibilities associated with maintenance programmes developed in accordance with ML.A.302 are the following:</w:t>
      </w:r>
    </w:p>
    <w:p w14:paraId="71352FFF" w14:textId="77777777" w:rsidR="001C156F" w:rsidRPr="001C156F" w:rsidRDefault="001C156F" w:rsidP="001C156F">
      <w:pPr>
        <w:numPr>
          <w:ilvl w:val="0"/>
          <w:numId w:val="292"/>
        </w:numPr>
        <w:jc w:val="both"/>
        <w:rPr>
          <w:rFonts w:ascii="Arial" w:eastAsia="Times New Roman" w:hAnsi="Arial" w:cs="Arial"/>
          <w:sz w:val="20"/>
          <w:szCs w:val="20"/>
        </w:rPr>
      </w:pPr>
      <w:r w:rsidRPr="001C156F">
        <w:rPr>
          <w:rFonts w:ascii="Arial" w:eastAsia="Times New Roman" w:hAnsi="Arial" w:cs="Arial"/>
          <w:sz w:val="20"/>
          <w:szCs w:val="20"/>
        </w:rPr>
        <w:t>If the owner has contracted a CAMO or CAO in order to manage the continuing airworthiness of the aircraft, this organisation is responsible for developing and approving a maintenance programme which:</w:t>
      </w:r>
    </w:p>
    <w:p w14:paraId="207F3A08" w14:textId="77777777" w:rsidR="001C156F" w:rsidRPr="001C156F" w:rsidRDefault="001C156F" w:rsidP="001C156F">
      <w:pPr>
        <w:numPr>
          <w:ilvl w:val="1"/>
          <w:numId w:val="292"/>
        </w:numPr>
        <w:jc w:val="both"/>
        <w:rPr>
          <w:rFonts w:ascii="Arial" w:eastAsia="Times New Roman" w:hAnsi="Arial" w:cs="Arial"/>
          <w:sz w:val="20"/>
          <w:szCs w:val="20"/>
        </w:rPr>
      </w:pPr>
      <w:r w:rsidRPr="001C156F">
        <w:rPr>
          <w:rFonts w:ascii="Arial" w:eastAsia="Times New Roman" w:hAnsi="Arial" w:cs="Arial"/>
          <w:sz w:val="20"/>
          <w:szCs w:val="20"/>
        </w:rPr>
        <w:t>indicates whether this programme is based on data from the DAH or on the MIP described in ML.A.302(d);</w:t>
      </w:r>
    </w:p>
    <w:p w14:paraId="4BE20A11" w14:textId="77777777" w:rsidR="001C156F" w:rsidRPr="001C156F" w:rsidRDefault="001C156F" w:rsidP="001C156F">
      <w:pPr>
        <w:numPr>
          <w:ilvl w:val="1"/>
          <w:numId w:val="292"/>
        </w:numPr>
        <w:jc w:val="both"/>
        <w:rPr>
          <w:rFonts w:ascii="Arial" w:eastAsia="Times New Roman" w:hAnsi="Arial" w:cs="Arial"/>
          <w:sz w:val="20"/>
          <w:szCs w:val="20"/>
        </w:rPr>
      </w:pPr>
      <w:r w:rsidRPr="001C156F">
        <w:rPr>
          <w:rFonts w:ascii="Arial" w:eastAsia="Times New Roman" w:hAnsi="Arial" w:cs="Arial"/>
          <w:sz w:val="20"/>
          <w:szCs w:val="20"/>
        </w:rPr>
        <w:t>identifies the owner and the specific aircraft, engine, and propeller (as applicable);</w:t>
      </w:r>
    </w:p>
    <w:p w14:paraId="39A8FAC1" w14:textId="77777777" w:rsidR="001C156F" w:rsidRPr="001C156F" w:rsidRDefault="001C156F" w:rsidP="001C156F">
      <w:pPr>
        <w:numPr>
          <w:ilvl w:val="1"/>
          <w:numId w:val="292"/>
        </w:numPr>
        <w:jc w:val="both"/>
        <w:rPr>
          <w:rFonts w:ascii="Arial" w:eastAsia="Times New Roman" w:hAnsi="Arial" w:cs="Arial"/>
          <w:sz w:val="20"/>
          <w:szCs w:val="20"/>
        </w:rPr>
      </w:pPr>
      <w:r w:rsidRPr="001C156F">
        <w:rPr>
          <w:rFonts w:ascii="Arial" w:eastAsia="Times New Roman" w:hAnsi="Arial" w:cs="Arial"/>
          <w:sz w:val="20"/>
          <w:szCs w:val="20"/>
        </w:rPr>
        <w:t>includes all mandatory continuing airworthiness information and any additional tasks derived from the assessment of the DAH’s instructions;</w:t>
      </w:r>
    </w:p>
    <w:p w14:paraId="22A88A05" w14:textId="77777777" w:rsidR="001C156F" w:rsidRPr="001C156F" w:rsidRDefault="001C156F" w:rsidP="001C156F">
      <w:pPr>
        <w:numPr>
          <w:ilvl w:val="1"/>
          <w:numId w:val="292"/>
        </w:numPr>
        <w:jc w:val="both"/>
        <w:rPr>
          <w:rFonts w:ascii="Arial" w:eastAsia="Times New Roman" w:hAnsi="Arial" w:cs="Arial"/>
          <w:sz w:val="20"/>
          <w:szCs w:val="20"/>
        </w:rPr>
      </w:pPr>
      <w:r w:rsidRPr="001C156F">
        <w:rPr>
          <w:rFonts w:ascii="Arial" w:eastAsia="Times New Roman" w:hAnsi="Arial" w:cs="Arial"/>
          <w:sz w:val="20"/>
          <w:szCs w:val="20"/>
        </w:rPr>
        <w:t>justifies any deviations from the DAH’s instructions; when the DAH’s instructions are the basis for the AMP development, these deviations should not fall below the requirements of the MIP; and</w:t>
      </w:r>
    </w:p>
    <w:p w14:paraId="36C3955E" w14:textId="77777777" w:rsidR="001C156F" w:rsidRPr="001C156F" w:rsidRDefault="001C156F" w:rsidP="001C156F">
      <w:pPr>
        <w:pStyle w:val="ListParagraph"/>
        <w:numPr>
          <w:ilvl w:val="1"/>
          <w:numId w:val="292"/>
        </w:numPr>
        <w:tabs>
          <w:tab w:val="left" w:pos="1274"/>
        </w:tabs>
        <w:spacing w:before="57"/>
        <w:ind w:right="196"/>
        <w:jc w:val="both"/>
        <w:rPr>
          <w:rFonts w:ascii="Arial" w:hAnsi="Arial" w:cs="Arial"/>
          <w:sz w:val="20"/>
          <w:szCs w:val="20"/>
        </w:rPr>
      </w:pPr>
      <w:r w:rsidRPr="001C156F">
        <w:rPr>
          <w:rFonts w:ascii="Arial" w:hAnsi="Arial" w:cs="Arial"/>
          <w:sz w:val="20"/>
          <w:szCs w:val="20"/>
        </w:rPr>
        <w:t>is customised to the particular aircraft type, configuration and operation, in accordance</w:t>
      </w:r>
      <w:r w:rsidRPr="001C156F">
        <w:rPr>
          <w:rFonts w:ascii="Arial" w:hAnsi="Arial" w:cs="Arial"/>
          <w:spacing w:val="1"/>
          <w:sz w:val="20"/>
          <w:szCs w:val="20"/>
        </w:rPr>
        <w:t xml:space="preserve"> </w:t>
      </w:r>
      <w:r w:rsidRPr="001C156F">
        <w:rPr>
          <w:rFonts w:ascii="Arial" w:hAnsi="Arial" w:cs="Arial"/>
          <w:sz w:val="20"/>
          <w:szCs w:val="20"/>
        </w:rPr>
        <w:t>with</w:t>
      </w:r>
      <w:r w:rsidRPr="001C156F">
        <w:rPr>
          <w:rFonts w:ascii="Arial" w:hAnsi="Arial" w:cs="Arial"/>
          <w:color w:val="0000FF"/>
          <w:spacing w:val="-1"/>
          <w:sz w:val="20"/>
          <w:szCs w:val="20"/>
        </w:rPr>
        <w:t xml:space="preserve"> </w:t>
      </w:r>
      <w:r w:rsidRPr="001C156F">
        <w:rPr>
          <w:rFonts w:ascii="Arial" w:eastAsia="Times New Roman" w:hAnsi="Arial" w:cs="Arial"/>
          <w:sz w:val="20"/>
          <w:szCs w:val="20"/>
        </w:rPr>
        <w:t>ML.A.302(c)(5).</w:t>
      </w:r>
    </w:p>
    <w:p w14:paraId="08460FCB" w14:textId="77777777" w:rsidR="001C156F" w:rsidRPr="001C156F" w:rsidRDefault="001C156F" w:rsidP="001C156F">
      <w:pPr>
        <w:pStyle w:val="ListParagraph"/>
        <w:numPr>
          <w:ilvl w:val="0"/>
          <w:numId w:val="292"/>
        </w:numPr>
        <w:tabs>
          <w:tab w:val="left" w:pos="707"/>
        </w:tabs>
        <w:spacing w:before="118"/>
        <w:ind w:right="194"/>
        <w:jc w:val="both"/>
        <w:rPr>
          <w:rFonts w:ascii="Arial" w:hAnsi="Arial" w:cs="Arial"/>
          <w:sz w:val="20"/>
          <w:szCs w:val="20"/>
        </w:rPr>
      </w:pPr>
      <w:r w:rsidRPr="001C156F">
        <w:rPr>
          <w:rFonts w:ascii="Arial" w:hAnsi="Arial" w:cs="Arial"/>
          <w:sz w:val="20"/>
          <w:szCs w:val="20"/>
        </w:rPr>
        <w:t>If</w:t>
      </w:r>
      <w:r w:rsidRPr="001C156F">
        <w:rPr>
          <w:rFonts w:ascii="Arial" w:hAnsi="Arial" w:cs="Arial"/>
          <w:spacing w:val="1"/>
          <w:sz w:val="20"/>
          <w:szCs w:val="20"/>
        </w:rPr>
        <w:t xml:space="preserve"> </w:t>
      </w:r>
      <w:r w:rsidRPr="001C156F">
        <w:rPr>
          <w:rFonts w:ascii="Arial" w:hAnsi="Arial" w:cs="Arial"/>
          <w:sz w:val="20"/>
          <w:szCs w:val="20"/>
        </w:rPr>
        <w:t>the</w:t>
      </w:r>
      <w:r w:rsidRPr="001C156F">
        <w:rPr>
          <w:rFonts w:ascii="Arial" w:hAnsi="Arial" w:cs="Arial"/>
          <w:spacing w:val="1"/>
          <w:sz w:val="20"/>
          <w:szCs w:val="20"/>
        </w:rPr>
        <w:t xml:space="preserve"> </w:t>
      </w:r>
      <w:r w:rsidRPr="001C156F">
        <w:rPr>
          <w:rFonts w:ascii="Arial" w:hAnsi="Arial" w:cs="Arial"/>
          <w:sz w:val="20"/>
          <w:szCs w:val="20"/>
        </w:rPr>
        <w:t>owner</w:t>
      </w:r>
      <w:r w:rsidRPr="001C156F">
        <w:rPr>
          <w:rFonts w:ascii="Arial" w:hAnsi="Arial" w:cs="Arial"/>
          <w:spacing w:val="1"/>
          <w:sz w:val="20"/>
          <w:szCs w:val="20"/>
        </w:rPr>
        <w:t xml:space="preserve"> </w:t>
      </w:r>
      <w:r w:rsidRPr="001C156F">
        <w:rPr>
          <w:rFonts w:ascii="Arial" w:hAnsi="Arial" w:cs="Arial"/>
          <w:sz w:val="20"/>
          <w:szCs w:val="20"/>
        </w:rPr>
        <w:t>has</w:t>
      </w:r>
      <w:r w:rsidRPr="001C156F">
        <w:rPr>
          <w:rFonts w:ascii="Arial" w:hAnsi="Arial" w:cs="Arial"/>
          <w:spacing w:val="1"/>
          <w:sz w:val="20"/>
          <w:szCs w:val="20"/>
        </w:rPr>
        <w:t xml:space="preserve"> </w:t>
      </w:r>
      <w:r w:rsidRPr="001C156F">
        <w:rPr>
          <w:rFonts w:ascii="Arial" w:hAnsi="Arial" w:cs="Arial"/>
          <w:sz w:val="20"/>
          <w:szCs w:val="20"/>
        </w:rPr>
        <w:t>not</w:t>
      </w:r>
      <w:r w:rsidRPr="001C156F">
        <w:rPr>
          <w:rFonts w:ascii="Arial" w:hAnsi="Arial" w:cs="Arial"/>
          <w:spacing w:val="1"/>
          <w:sz w:val="20"/>
          <w:szCs w:val="20"/>
        </w:rPr>
        <w:t xml:space="preserve"> </w:t>
      </w:r>
      <w:r w:rsidRPr="001C156F">
        <w:rPr>
          <w:rFonts w:ascii="Arial" w:hAnsi="Arial" w:cs="Arial"/>
          <w:sz w:val="20"/>
          <w:szCs w:val="20"/>
        </w:rPr>
        <w:t>contracted</w:t>
      </w:r>
      <w:r w:rsidRPr="001C156F">
        <w:rPr>
          <w:rFonts w:ascii="Arial" w:hAnsi="Arial" w:cs="Arial"/>
          <w:spacing w:val="1"/>
          <w:sz w:val="20"/>
          <w:szCs w:val="20"/>
        </w:rPr>
        <w:t xml:space="preserve"> </w:t>
      </w:r>
      <w:r w:rsidRPr="001C156F">
        <w:rPr>
          <w:rFonts w:ascii="Arial" w:hAnsi="Arial" w:cs="Arial"/>
          <w:sz w:val="20"/>
          <w:szCs w:val="20"/>
        </w:rPr>
        <w:t>a</w:t>
      </w:r>
      <w:r w:rsidRPr="001C156F">
        <w:rPr>
          <w:rFonts w:ascii="Arial" w:hAnsi="Arial" w:cs="Arial"/>
          <w:spacing w:val="1"/>
          <w:sz w:val="20"/>
          <w:szCs w:val="20"/>
        </w:rPr>
        <w:t xml:space="preserve"> </w:t>
      </w:r>
      <w:r w:rsidRPr="001C156F">
        <w:rPr>
          <w:rFonts w:ascii="Arial" w:hAnsi="Arial" w:cs="Arial"/>
          <w:sz w:val="20"/>
          <w:szCs w:val="20"/>
        </w:rPr>
        <w:t>CAMO</w:t>
      </w:r>
      <w:r w:rsidRPr="001C156F">
        <w:rPr>
          <w:rFonts w:ascii="Arial" w:hAnsi="Arial" w:cs="Arial"/>
          <w:spacing w:val="1"/>
          <w:sz w:val="20"/>
          <w:szCs w:val="20"/>
        </w:rPr>
        <w:t xml:space="preserve"> </w:t>
      </w:r>
      <w:r w:rsidRPr="001C156F">
        <w:rPr>
          <w:rFonts w:ascii="Arial" w:hAnsi="Arial" w:cs="Arial"/>
          <w:sz w:val="20"/>
          <w:szCs w:val="20"/>
        </w:rPr>
        <w:t>or</w:t>
      </w:r>
      <w:r w:rsidRPr="001C156F">
        <w:rPr>
          <w:rFonts w:ascii="Arial" w:hAnsi="Arial" w:cs="Arial"/>
          <w:spacing w:val="1"/>
          <w:sz w:val="20"/>
          <w:szCs w:val="20"/>
        </w:rPr>
        <w:t xml:space="preserve"> </w:t>
      </w:r>
      <w:r w:rsidRPr="001C156F">
        <w:rPr>
          <w:rFonts w:ascii="Arial" w:hAnsi="Arial" w:cs="Arial"/>
          <w:sz w:val="20"/>
          <w:szCs w:val="20"/>
        </w:rPr>
        <w:t>CAO</w:t>
      </w:r>
      <w:r w:rsidRPr="001C156F">
        <w:rPr>
          <w:rFonts w:ascii="Arial" w:hAnsi="Arial" w:cs="Arial"/>
          <w:spacing w:val="1"/>
          <w:sz w:val="20"/>
          <w:szCs w:val="20"/>
        </w:rPr>
        <w:t xml:space="preserve"> </w:t>
      </w:r>
      <w:r w:rsidRPr="001C156F">
        <w:rPr>
          <w:rFonts w:ascii="Arial" w:hAnsi="Arial" w:cs="Arial"/>
          <w:sz w:val="20"/>
          <w:szCs w:val="20"/>
        </w:rPr>
        <w:t>in</w:t>
      </w:r>
      <w:r w:rsidRPr="001C156F">
        <w:rPr>
          <w:rFonts w:ascii="Arial" w:hAnsi="Arial" w:cs="Arial"/>
          <w:spacing w:val="1"/>
          <w:sz w:val="20"/>
          <w:szCs w:val="20"/>
        </w:rPr>
        <w:t xml:space="preserve"> </w:t>
      </w:r>
      <w:r w:rsidRPr="001C156F">
        <w:rPr>
          <w:rFonts w:ascii="Arial" w:hAnsi="Arial" w:cs="Arial"/>
          <w:sz w:val="20"/>
          <w:szCs w:val="20"/>
        </w:rPr>
        <w:t>order</w:t>
      </w:r>
      <w:r w:rsidRPr="001C156F">
        <w:rPr>
          <w:rFonts w:ascii="Arial" w:hAnsi="Arial" w:cs="Arial"/>
          <w:spacing w:val="1"/>
          <w:sz w:val="20"/>
          <w:szCs w:val="20"/>
        </w:rPr>
        <w:t xml:space="preserve"> </w:t>
      </w:r>
      <w:r w:rsidRPr="001C156F">
        <w:rPr>
          <w:rFonts w:ascii="Arial" w:hAnsi="Arial" w:cs="Arial"/>
          <w:sz w:val="20"/>
          <w:szCs w:val="20"/>
        </w:rPr>
        <w:t>to</w:t>
      </w:r>
      <w:r w:rsidRPr="001C156F">
        <w:rPr>
          <w:rFonts w:ascii="Arial" w:hAnsi="Arial" w:cs="Arial"/>
          <w:spacing w:val="1"/>
          <w:sz w:val="20"/>
          <w:szCs w:val="20"/>
        </w:rPr>
        <w:t xml:space="preserve"> </w:t>
      </w:r>
      <w:r w:rsidRPr="001C156F">
        <w:rPr>
          <w:rFonts w:ascii="Arial" w:hAnsi="Arial" w:cs="Arial"/>
          <w:sz w:val="20"/>
          <w:szCs w:val="20"/>
        </w:rPr>
        <w:t>manage</w:t>
      </w:r>
      <w:r w:rsidRPr="001C156F">
        <w:rPr>
          <w:rFonts w:ascii="Arial" w:hAnsi="Arial" w:cs="Arial"/>
          <w:spacing w:val="1"/>
          <w:sz w:val="20"/>
          <w:szCs w:val="20"/>
        </w:rPr>
        <w:t xml:space="preserve"> </w:t>
      </w:r>
      <w:r w:rsidRPr="001C156F">
        <w:rPr>
          <w:rFonts w:ascii="Arial" w:hAnsi="Arial" w:cs="Arial"/>
          <w:sz w:val="20"/>
          <w:szCs w:val="20"/>
        </w:rPr>
        <w:t>the</w:t>
      </w:r>
      <w:r w:rsidRPr="001C156F">
        <w:rPr>
          <w:rFonts w:ascii="Arial" w:hAnsi="Arial" w:cs="Arial"/>
          <w:spacing w:val="1"/>
          <w:sz w:val="20"/>
          <w:szCs w:val="20"/>
        </w:rPr>
        <w:t xml:space="preserve"> </w:t>
      </w:r>
      <w:r w:rsidRPr="001C156F">
        <w:rPr>
          <w:rFonts w:ascii="Arial" w:hAnsi="Arial" w:cs="Arial"/>
          <w:sz w:val="20"/>
          <w:szCs w:val="20"/>
        </w:rPr>
        <w:t>continuing</w:t>
      </w:r>
      <w:r w:rsidRPr="001C156F">
        <w:rPr>
          <w:rFonts w:ascii="Arial" w:hAnsi="Arial" w:cs="Arial"/>
          <w:spacing w:val="1"/>
          <w:sz w:val="20"/>
          <w:szCs w:val="20"/>
        </w:rPr>
        <w:t xml:space="preserve"> </w:t>
      </w:r>
      <w:r w:rsidRPr="001C156F">
        <w:rPr>
          <w:rFonts w:ascii="Arial" w:hAnsi="Arial" w:cs="Arial"/>
          <w:sz w:val="20"/>
          <w:szCs w:val="20"/>
        </w:rPr>
        <w:t>airworthiness of the aircraft, then the owner is responsible for developing and declaring the</w:t>
      </w:r>
      <w:r w:rsidRPr="001C156F">
        <w:rPr>
          <w:rFonts w:ascii="Arial" w:hAnsi="Arial" w:cs="Arial"/>
          <w:spacing w:val="1"/>
          <w:sz w:val="20"/>
          <w:szCs w:val="20"/>
        </w:rPr>
        <w:t xml:space="preserve"> </w:t>
      </w:r>
      <w:r w:rsidRPr="001C156F">
        <w:rPr>
          <w:rFonts w:ascii="Arial" w:hAnsi="Arial" w:cs="Arial"/>
          <w:sz w:val="20"/>
          <w:szCs w:val="20"/>
        </w:rPr>
        <w:t>maintenance programme, assuming full responsibility for its content, and for any deviations</w:t>
      </w:r>
      <w:r w:rsidRPr="001C156F">
        <w:rPr>
          <w:rFonts w:ascii="Arial" w:hAnsi="Arial" w:cs="Arial"/>
          <w:spacing w:val="1"/>
          <w:sz w:val="20"/>
          <w:szCs w:val="20"/>
        </w:rPr>
        <w:t xml:space="preserve"> </w:t>
      </w:r>
      <w:r w:rsidRPr="001C156F">
        <w:rPr>
          <w:rFonts w:ascii="Arial" w:hAnsi="Arial" w:cs="Arial"/>
          <w:sz w:val="20"/>
          <w:szCs w:val="20"/>
        </w:rPr>
        <w:t>from</w:t>
      </w:r>
      <w:r w:rsidRPr="001C156F">
        <w:rPr>
          <w:rFonts w:ascii="Arial" w:hAnsi="Arial" w:cs="Arial"/>
          <w:spacing w:val="1"/>
          <w:sz w:val="20"/>
          <w:szCs w:val="20"/>
        </w:rPr>
        <w:t xml:space="preserve"> </w:t>
      </w:r>
      <w:r w:rsidRPr="001C156F">
        <w:rPr>
          <w:rFonts w:ascii="Arial" w:hAnsi="Arial" w:cs="Arial"/>
          <w:sz w:val="20"/>
          <w:szCs w:val="20"/>
        </w:rPr>
        <w:t>the</w:t>
      </w:r>
      <w:r w:rsidRPr="001C156F">
        <w:rPr>
          <w:rFonts w:ascii="Arial" w:hAnsi="Arial" w:cs="Arial"/>
          <w:spacing w:val="1"/>
          <w:sz w:val="20"/>
          <w:szCs w:val="20"/>
        </w:rPr>
        <w:t xml:space="preserve"> </w:t>
      </w:r>
      <w:r w:rsidRPr="001C156F">
        <w:rPr>
          <w:rFonts w:ascii="Arial" w:hAnsi="Arial" w:cs="Arial"/>
          <w:sz w:val="20"/>
          <w:szCs w:val="20"/>
        </w:rPr>
        <w:t>DAH’s</w:t>
      </w:r>
      <w:r w:rsidRPr="001C156F">
        <w:rPr>
          <w:rFonts w:ascii="Arial" w:hAnsi="Arial" w:cs="Arial"/>
          <w:spacing w:val="1"/>
          <w:sz w:val="20"/>
          <w:szCs w:val="20"/>
        </w:rPr>
        <w:t xml:space="preserve"> </w:t>
      </w:r>
      <w:r w:rsidRPr="001C156F">
        <w:rPr>
          <w:rFonts w:ascii="Arial" w:hAnsi="Arial" w:cs="Arial"/>
          <w:sz w:val="20"/>
          <w:szCs w:val="20"/>
        </w:rPr>
        <w:t>instructions</w:t>
      </w:r>
      <w:r w:rsidRPr="001C156F">
        <w:rPr>
          <w:rFonts w:ascii="Arial" w:hAnsi="Arial" w:cs="Arial"/>
          <w:spacing w:val="1"/>
          <w:sz w:val="20"/>
          <w:szCs w:val="20"/>
        </w:rPr>
        <w:t xml:space="preserve"> </w:t>
      </w:r>
      <w:r w:rsidRPr="001C156F">
        <w:rPr>
          <w:rFonts w:ascii="Arial" w:hAnsi="Arial" w:cs="Arial"/>
          <w:sz w:val="20"/>
          <w:szCs w:val="20"/>
        </w:rPr>
        <w:t>(ref.</w:t>
      </w:r>
      <w:r w:rsidRPr="001C156F">
        <w:rPr>
          <w:rFonts w:ascii="Arial" w:hAnsi="Arial" w:cs="Arial"/>
          <w:color w:val="0000FF"/>
          <w:spacing w:val="1"/>
          <w:sz w:val="20"/>
          <w:szCs w:val="20"/>
        </w:rPr>
        <w:t xml:space="preserve"> </w:t>
      </w:r>
      <w:r w:rsidRPr="001C156F">
        <w:rPr>
          <w:rFonts w:ascii="Arial" w:hAnsi="Arial" w:cs="Arial"/>
          <w:sz w:val="20"/>
          <w:szCs w:val="20"/>
        </w:rPr>
        <w:t>ML.A.201(f) and ML.A.302(c)(7)) and the possible consequences of such deviations. In this case, these deviations do not need to be justified, but are to be identified in the AMP. However, the maintenance programme still needs to comply with the requirements contained in ML.A.302(c), in particular with the obligation to not fall</w:t>
      </w:r>
      <w:r w:rsidRPr="001C156F">
        <w:rPr>
          <w:rFonts w:ascii="Arial" w:hAnsi="Arial" w:cs="Arial"/>
          <w:spacing w:val="1"/>
          <w:sz w:val="20"/>
          <w:szCs w:val="20"/>
        </w:rPr>
        <w:t xml:space="preserve"> </w:t>
      </w:r>
      <w:r w:rsidRPr="001C156F">
        <w:rPr>
          <w:rFonts w:ascii="Arial" w:hAnsi="Arial" w:cs="Arial"/>
          <w:spacing w:val="-1"/>
          <w:sz w:val="20"/>
          <w:szCs w:val="20"/>
        </w:rPr>
        <w:t>below</w:t>
      </w:r>
      <w:r w:rsidRPr="001C156F">
        <w:rPr>
          <w:rFonts w:ascii="Arial" w:hAnsi="Arial" w:cs="Arial"/>
          <w:spacing w:val="-11"/>
          <w:sz w:val="20"/>
          <w:szCs w:val="20"/>
        </w:rPr>
        <w:t xml:space="preserve"> </w:t>
      </w:r>
      <w:r w:rsidRPr="001C156F">
        <w:rPr>
          <w:rFonts w:ascii="Arial" w:hAnsi="Arial" w:cs="Arial"/>
          <w:sz w:val="20"/>
          <w:szCs w:val="20"/>
        </w:rPr>
        <w:t>the</w:t>
      </w:r>
      <w:r w:rsidRPr="001C156F">
        <w:rPr>
          <w:rFonts w:ascii="Arial" w:hAnsi="Arial" w:cs="Arial"/>
          <w:spacing w:val="-9"/>
          <w:sz w:val="20"/>
          <w:szCs w:val="20"/>
        </w:rPr>
        <w:t xml:space="preserve"> </w:t>
      </w:r>
      <w:r w:rsidRPr="001C156F">
        <w:rPr>
          <w:rFonts w:ascii="Arial" w:hAnsi="Arial" w:cs="Arial"/>
          <w:sz w:val="20"/>
          <w:szCs w:val="20"/>
        </w:rPr>
        <w:t>requirements</w:t>
      </w:r>
      <w:r w:rsidRPr="001C156F">
        <w:rPr>
          <w:rFonts w:ascii="Arial" w:hAnsi="Arial" w:cs="Arial"/>
          <w:spacing w:val="-9"/>
          <w:sz w:val="20"/>
          <w:szCs w:val="20"/>
        </w:rPr>
        <w:t xml:space="preserve"> </w:t>
      </w:r>
      <w:r w:rsidRPr="001C156F">
        <w:rPr>
          <w:rFonts w:ascii="Arial" w:hAnsi="Arial" w:cs="Arial"/>
          <w:sz w:val="20"/>
          <w:szCs w:val="20"/>
        </w:rPr>
        <w:t>of</w:t>
      </w:r>
      <w:r w:rsidRPr="001C156F">
        <w:rPr>
          <w:rFonts w:ascii="Arial" w:hAnsi="Arial" w:cs="Arial"/>
          <w:spacing w:val="-12"/>
          <w:sz w:val="20"/>
          <w:szCs w:val="20"/>
        </w:rPr>
        <w:t xml:space="preserve"> </w:t>
      </w:r>
      <w:r w:rsidRPr="001C156F">
        <w:rPr>
          <w:rFonts w:ascii="Arial" w:hAnsi="Arial" w:cs="Arial"/>
          <w:sz w:val="20"/>
          <w:szCs w:val="20"/>
        </w:rPr>
        <w:t>the</w:t>
      </w:r>
      <w:r w:rsidRPr="001C156F">
        <w:rPr>
          <w:rFonts w:ascii="Arial" w:hAnsi="Arial" w:cs="Arial"/>
          <w:spacing w:val="-9"/>
          <w:sz w:val="20"/>
          <w:szCs w:val="20"/>
        </w:rPr>
        <w:t xml:space="preserve"> </w:t>
      </w:r>
      <w:r w:rsidRPr="001C156F">
        <w:rPr>
          <w:rFonts w:ascii="Arial" w:hAnsi="Arial" w:cs="Arial"/>
          <w:sz w:val="20"/>
          <w:szCs w:val="20"/>
        </w:rPr>
        <w:t>MIP</w:t>
      </w:r>
      <w:r w:rsidRPr="001C156F">
        <w:rPr>
          <w:rFonts w:ascii="Arial" w:hAnsi="Arial" w:cs="Arial"/>
          <w:spacing w:val="-8"/>
          <w:sz w:val="20"/>
          <w:szCs w:val="20"/>
        </w:rPr>
        <w:t xml:space="preserve"> </w:t>
      </w:r>
      <w:r w:rsidRPr="001C156F">
        <w:rPr>
          <w:rFonts w:ascii="Arial" w:hAnsi="Arial" w:cs="Arial"/>
          <w:sz w:val="20"/>
          <w:szCs w:val="20"/>
        </w:rPr>
        <w:t>and</w:t>
      </w:r>
      <w:r w:rsidRPr="001C156F">
        <w:rPr>
          <w:rFonts w:ascii="Arial" w:hAnsi="Arial" w:cs="Arial"/>
          <w:spacing w:val="-10"/>
          <w:sz w:val="20"/>
          <w:szCs w:val="20"/>
        </w:rPr>
        <w:t xml:space="preserve"> </w:t>
      </w:r>
      <w:r w:rsidRPr="001C156F">
        <w:rPr>
          <w:rFonts w:ascii="Arial" w:hAnsi="Arial" w:cs="Arial"/>
          <w:sz w:val="20"/>
          <w:szCs w:val="20"/>
        </w:rPr>
        <w:t>to</w:t>
      </w:r>
      <w:r w:rsidRPr="001C156F">
        <w:rPr>
          <w:rFonts w:ascii="Arial" w:hAnsi="Arial" w:cs="Arial"/>
          <w:spacing w:val="-7"/>
          <w:sz w:val="20"/>
          <w:szCs w:val="20"/>
        </w:rPr>
        <w:t xml:space="preserve"> </w:t>
      </w:r>
      <w:r w:rsidRPr="001C156F">
        <w:rPr>
          <w:rFonts w:ascii="Arial" w:hAnsi="Arial" w:cs="Arial"/>
          <w:sz w:val="20"/>
          <w:szCs w:val="20"/>
        </w:rPr>
        <w:t>comply</w:t>
      </w:r>
      <w:r w:rsidRPr="001C156F">
        <w:rPr>
          <w:rFonts w:ascii="Arial" w:hAnsi="Arial" w:cs="Arial"/>
          <w:spacing w:val="-9"/>
          <w:sz w:val="20"/>
          <w:szCs w:val="20"/>
        </w:rPr>
        <w:t xml:space="preserve"> </w:t>
      </w:r>
      <w:r w:rsidRPr="001C156F">
        <w:rPr>
          <w:rFonts w:ascii="Arial" w:hAnsi="Arial" w:cs="Arial"/>
          <w:sz w:val="20"/>
          <w:szCs w:val="20"/>
        </w:rPr>
        <w:t>with</w:t>
      </w:r>
      <w:r w:rsidRPr="001C156F">
        <w:rPr>
          <w:rFonts w:ascii="Arial" w:hAnsi="Arial" w:cs="Arial"/>
          <w:spacing w:val="-12"/>
          <w:sz w:val="20"/>
          <w:szCs w:val="20"/>
        </w:rPr>
        <w:t xml:space="preserve"> </w:t>
      </w:r>
      <w:r w:rsidRPr="001C156F">
        <w:rPr>
          <w:rFonts w:ascii="Arial" w:hAnsi="Arial" w:cs="Arial"/>
          <w:sz w:val="20"/>
          <w:szCs w:val="20"/>
        </w:rPr>
        <w:t>the</w:t>
      </w:r>
      <w:r w:rsidRPr="001C156F">
        <w:rPr>
          <w:rFonts w:ascii="Arial" w:hAnsi="Arial" w:cs="Arial"/>
          <w:spacing w:val="-9"/>
          <w:sz w:val="20"/>
          <w:szCs w:val="20"/>
        </w:rPr>
        <w:t xml:space="preserve"> </w:t>
      </w:r>
      <w:r w:rsidRPr="001C156F">
        <w:rPr>
          <w:rFonts w:ascii="Arial" w:hAnsi="Arial" w:cs="Arial"/>
          <w:sz w:val="20"/>
          <w:szCs w:val="20"/>
        </w:rPr>
        <w:t>mandatory</w:t>
      </w:r>
      <w:r w:rsidRPr="001C156F">
        <w:rPr>
          <w:rFonts w:ascii="Arial" w:hAnsi="Arial" w:cs="Arial"/>
          <w:spacing w:val="-11"/>
          <w:sz w:val="20"/>
          <w:szCs w:val="20"/>
        </w:rPr>
        <w:t xml:space="preserve"> </w:t>
      </w:r>
      <w:r w:rsidRPr="001C156F">
        <w:rPr>
          <w:rFonts w:ascii="Arial" w:hAnsi="Arial" w:cs="Arial"/>
          <w:sz w:val="20"/>
          <w:szCs w:val="20"/>
        </w:rPr>
        <w:t>continuing</w:t>
      </w:r>
      <w:r w:rsidRPr="001C156F">
        <w:rPr>
          <w:rFonts w:ascii="Arial" w:hAnsi="Arial" w:cs="Arial"/>
          <w:spacing w:val="-13"/>
          <w:sz w:val="20"/>
          <w:szCs w:val="20"/>
        </w:rPr>
        <w:t xml:space="preserve"> </w:t>
      </w:r>
      <w:r w:rsidRPr="001C156F">
        <w:rPr>
          <w:rFonts w:ascii="Arial" w:hAnsi="Arial" w:cs="Arial"/>
          <w:sz w:val="20"/>
          <w:szCs w:val="20"/>
        </w:rPr>
        <w:t>airworthiness</w:t>
      </w:r>
      <w:r w:rsidRPr="001C156F">
        <w:rPr>
          <w:rFonts w:ascii="Arial" w:hAnsi="Arial" w:cs="Arial"/>
          <w:spacing w:val="-47"/>
          <w:sz w:val="20"/>
          <w:szCs w:val="20"/>
        </w:rPr>
        <w:t xml:space="preserve"> </w:t>
      </w:r>
      <w:r w:rsidRPr="001C156F">
        <w:rPr>
          <w:rFonts w:ascii="Arial" w:hAnsi="Arial" w:cs="Arial"/>
          <w:sz w:val="20"/>
          <w:szCs w:val="20"/>
        </w:rPr>
        <w:t>information.</w:t>
      </w:r>
    </w:p>
    <w:p w14:paraId="02D88DA8" w14:textId="50611E60" w:rsidR="001C156F" w:rsidRPr="001C156F" w:rsidRDefault="001C156F" w:rsidP="001C156F">
      <w:pPr>
        <w:pStyle w:val="ListParagraph"/>
        <w:numPr>
          <w:ilvl w:val="0"/>
          <w:numId w:val="292"/>
        </w:numPr>
        <w:tabs>
          <w:tab w:val="left" w:pos="707"/>
        </w:tabs>
        <w:ind w:right="193"/>
        <w:jc w:val="both"/>
        <w:rPr>
          <w:rFonts w:ascii="Arial" w:hAnsi="Arial" w:cs="Arial"/>
          <w:sz w:val="20"/>
          <w:szCs w:val="20"/>
        </w:rPr>
      </w:pPr>
      <w:r w:rsidRPr="001C156F">
        <w:rPr>
          <w:rFonts w:ascii="Arial" w:hAnsi="Arial" w:cs="Arial"/>
          <w:sz w:val="20"/>
          <w:szCs w:val="20"/>
        </w:rPr>
        <w:t>The content of the owner-declared maintenance programme cannot be challenged up front</w:t>
      </w:r>
      <w:r w:rsidRPr="001C156F">
        <w:rPr>
          <w:rFonts w:ascii="Arial" w:hAnsi="Arial" w:cs="Arial"/>
          <w:spacing w:val="1"/>
          <w:sz w:val="20"/>
          <w:szCs w:val="20"/>
        </w:rPr>
        <w:t xml:space="preserve"> </w:t>
      </w:r>
      <w:r w:rsidRPr="001C156F">
        <w:rPr>
          <w:rFonts w:ascii="Arial" w:hAnsi="Arial" w:cs="Arial"/>
          <w:sz w:val="20"/>
          <w:szCs w:val="20"/>
        </w:rPr>
        <w:t>either</w:t>
      </w:r>
      <w:r w:rsidRPr="001C156F">
        <w:rPr>
          <w:rFonts w:ascii="Arial" w:hAnsi="Arial" w:cs="Arial"/>
          <w:spacing w:val="1"/>
          <w:sz w:val="20"/>
          <w:szCs w:val="20"/>
        </w:rPr>
        <w:t xml:space="preserve"> </w:t>
      </w:r>
      <w:r w:rsidRPr="001C156F">
        <w:rPr>
          <w:rFonts w:ascii="Arial" w:hAnsi="Arial" w:cs="Arial"/>
          <w:sz w:val="20"/>
          <w:szCs w:val="20"/>
        </w:rPr>
        <w:t>by</w:t>
      </w:r>
      <w:r w:rsidRPr="001C156F">
        <w:rPr>
          <w:rFonts w:ascii="Arial" w:hAnsi="Arial" w:cs="Arial"/>
          <w:spacing w:val="1"/>
          <w:sz w:val="20"/>
          <w:szCs w:val="20"/>
        </w:rPr>
        <w:t xml:space="preserve"> </w:t>
      </w:r>
      <w:r w:rsidRPr="001C156F">
        <w:rPr>
          <w:rFonts w:ascii="Arial" w:hAnsi="Arial" w:cs="Arial"/>
          <w:sz w:val="20"/>
          <w:szCs w:val="20"/>
        </w:rPr>
        <w:t>the</w:t>
      </w:r>
      <w:r w:rsidRPr="001C156F">
        <w:rPr>
          <w:rFonts w:ascii="Arial" w:hAnsi="Arial" w:cs="Arial"/>
          <w:spacing w:val="1"/>
          <w:sz w:val="20"/>
          <w:szCs w:val="20"/>
        </w:rPr>
        <w:t xml:space="preserve"> </w:t>
      </w:r>
      <w:r w:rsidR="004E22F1">
        <w:rPr>
          <w:rFonts w:ascii="Arial" w:hAnsi="Arial" w:cs="Arial"/>
          <w:sz w:val="20"/>
          <w:szCs w:val="20"/>
        </w:rPr>
        <w:t xml:space="preserve">CAC RA </w:t>
      </w:r>
      <w:r w:rsidRPr="001C156F">
        <w:rPr>
          <w:rFonts w:ascii="Arial" w:hAnsi="Arial" w:cs="Arial"/>
          <w:sz w:val="20"/>
          <w:szCs w:val="20"/>
        </w:rPr>
        <w:t>or</w:t>
      </w:r>
      <w:r w:rsidRPr="001C156F">
        <w:rPr>
          <w:rFonts w:ascii="Arial" w:hAnsi="Arial" w:cs="Arial"/>
          <w:spacing w:val="1"/>
          <w:sz w:val="20"/>
          <w:szCs w:val="20"/>
        </w:rPr>
        <w:t xml:space="preserve"> </w:t>
      </w:r>
      <w:r w:rsidRPr="001C156F">
        <w:rPr>
          <w:rFonts w:ascii="Arial" w:hAnsi="Arial" w:cs="Arial"/>
          <w:sz w:val="20"/>
          <w:szCs w:val="20"/>
        </w:rPr>
        <w:t>by</w:t>
      </w:r>
      <w:r w:rsidRPr="001C156F">
        <w:rPr>
          <w:rFonts w:ascii="Arial" w:hAnsi="Arial" w:cs="Arial"/>
          <w:spacing w:val="1"/>
          <w:sz w:val="20"/>
          <w:szCs w:val="20"/>
        </w:rPr>
        <w:t xml:space="preserve"> </w:t>
      </w:r>
      <w:r w:rsidRPr="001C156F">
        <w:rPr>
          <w:rFonts w:ascii="Arial" w:hAnsi="Arial" w:cs="Arial"/>
          <w:sz w:val="20"/>
          <w:szCs w:val="20"/>
        </w:rPr>
        <w:t>the</w:t>
      </w:r>
      <w:r w:rsidRPr="001C156F">
        <w:rPr>
          <w:rFonts w:ascii="Arial" w:hAnsi="Arial" w:cs="Arial"/>
          <w:spacing w:val="1"/>
          <w:sz w:val="20"/>
          <w:szCs w:val="20"/>
        </w:rPr>
        <w:t xml:space="preserve"> </w:t>
      </w:r>
      <w:r w:rsidRPr="001C156F">
        <w:rPr>
          <w:rFonts w:ascii="Arial" w:hAnsi="Arial" w:cs="Arial"/>
          <w:sz w:val="20"/>
          <w:szCs w:val="20"/>
        </w:rPr>
        <w:t>contracted</w:t>
      </w:r>
      <w:r w:rsidRPr="001C156F">
        <w:rPr>
          <w:rFonts w:ascii="Arial" w:hAnsi="Arial" w:cs="Arial"/>
          <w:spacing w:val="1"/>
          <w:sz w:val="20"/>
          <w:szCs w:val="20"/>
        </w:rPr>
        <w:t xml:space="preserve"> </w:t>
      </w:r>
      <w:r w:rsidRPr="001C156F">
        <w:rPr>
          <w:rFonts w:ascii="Arial" w:hAnsi="Arial" w:cs="Arial"/>
          <w:sz w:val="20"/>
          <w:szCs w:val="20"/>
        </w:rPr>
        <w:t>maintenance</w:t>
      </w:r>
      <w:r w:rsidRPr="001C156F">
        <w:rPr>
          <w:rFonts w:ascii="Arial" w:hAnsi="Arial" w:cs="Arial"/>
          <w:spacing w:val="1"/>
          <w:sz w:val="20"/>
          <w:szCs w:val="20"/>
        </w:rPr>
        <w:t xml:space="preserve"> </w:t>
      </w:r>
      <w:r w:rsidRPr="001C156F">
        <w:rPr>
          <w:rFonts w:ascii="Arial" w:hAnsi="Arial" w:cs="Arial"/>
          <w:sz w:val="20"/>
          <w:szCs w:val="20"/>
        </w:rPr>
        <w:t>organisation.</w:t>
      </w:r>
      <w:r w:rsidRPr="001C156F">
        <w:rPr>
          <w:rFonts w:ascii="Arial" w:hAnsi="Arial" w:cs="Arial"/>
          <w:spacing w:val="1"/>
          <w:sz w:val="20"/>
          <w:szCs w:val="20"/>
        </w:rPr>
        <w:t xml:space="preserve"> </w:t>
      </w:r>
      <w:r w:rsidRPr="001C156F">
        <w:rPr>
          <w:rFonts w:ascii="Arial" w:hAnsi="Arial" w:cs="Arial"/>
          <w:sz w:val="20"/>
          <w:szCs w:val="20"/>
        </w:rPr>
        <w:t>This</w:t>
      </w:r>
      <w:r w:rsidRPr="001C156F">
        <w:rPr>
          <w:rFonts w:ascii="Arial" w:hAnsi="Arial" w:cs="Arial"/>
          <w:spacing w:val="1"/>
          <w:sz w:val="20"/>
          <w:szCs w:val="20"/>
        </w:rPr>
        <w:t xml:space="preserve"> </w:t>
      </w:r>
      <w:r w:rsidRPr="001C156F">
        <w:rPr>
          <w:rFonts w:ascii="Arial" w:hAnsi="Arial" w:cs="Arial"/>
          <w:sz w:val="20"/>
          <w:szCs w:val="20"/>
        </w:rPr>
        <w:t>declared maintenance programme is the basis for adequate planning of maintenance, as well</w:t>
      </w:r>
      <w:r w:rsidRPr="001C156F">
        <w:rPr>
          <w:rFonts w:ascii="Arial" w:hAnsi="Arial" w:cs="Arial"/>
          <w:spacing w:val="1"/>
          <w:sz w:val="20"/>
          <w:szCs w:val="20"/>
        </w:rPr>
        <w:t xml:space="preserve"> </w:t>
      </w:r>
      <w:r w:rsidRPr="001C156F">
        <w:rPr>
          <w:rFonts w:ascii="Arial" w:hAnsi="Arial" w:cs="Arial"/>
          <w:sz w:val="20"/>
          <w:szCs w:val="20"/>
        </w:rPr>
        <w:t>as for the ARs and the aircraft continuing airworthiness monitoring (ACAM) inspections in</w:t>
      </w:r>
      <w:r w:rsidRPr="001C156F">
        <w:rPr>
          <w:rFonts w:ascii="Arial" w:hAnsi="Arial" w:cs="Arial"/>
          <w:spacing w:val="1"/>
          <w:sz w:val="20"/>
          <w:szCs w:val="20"/>
        </w:rPr>
        <w:t xml:space="preserve"> </w:t>
      </w:r>
      <w:r w:rsidRPr="001C156F">
        <w:rPr>
          <w:rFonts w:ascii="Arial" w:hAnsi="Arial" w:cs="Arial"/>
          <w:sz w:val="20"/>
          <w:szCs w:val="20"/>
        </w:rPr>
        <w:t>accordance</w:t>
      </w:r>
      <w:r w:rsidRPr="001C156F">
        <w:rPr>
          <w:rFonts w:ascii="Arial" w:hAnsi="Arial" w:cs="Arial"/>
          <w:spacing w:val="1"/>
          <w:sz w:val="20"/>
          <w:szCs w:val="20"/>
        </w:rPr>
        <w:t xml:space="preserve"> </w:t>
      </w:r>
      <w:r w:rsidRPr="001C156F">
        <w:rPr>
          <w:rFonts w:ascii="Arial" w:hAnsi="Arial" w:cs="Arial"/>
          <w:sz w:val="20"/>
          <w:szCs w:val="20"/>
        </w:rPr>
        <w:t>with ML.B.303.</w:t>
      </w:r>
      <w:r w:rsidRPr="001C156F">
        <w:rPr>
          <w:rFonts w:ascii="Arial" w:hAnsi="Arial" w:cs="Arial"/>
          <w:spacing w:val="1"/>
          <w:sz w:val="20"/>
          <w:szCs w:val="20"/>
        </w:rPr>
        <w:t xml:space="preserve"> </w:t>
      </w:r>
      <w:r w:rsidRPr="001C156F">
        <w:rPr>
          <w:rFonts w:ascii="Arial" w:hAnsi="Arial" w:cs="Arial"/>
          <w:sz w:val="20"/>
          <w:szCs w:val="20"/>
        </w:rPr>
        <w:t>Nevertheless,</w:t>
      </w:r>
      <w:r w:rsidRPr="001C156F">
        <w:rPr>
          <w:rFonts w:ascii="Arial" w:hAnsi="Arial" w:cs="Arial"/>
          <w:spacing w:val="1"/>
          <w:sz w:val="20"/>
          <w:szCs w:val="20"/>
        </w:rPr>
        <w:t xml:space="preserve"> </w:t>
      </w:r>
      <w:r w:rsidRPr="001C156F">
        <w:rPr>
          <w:rFonts w:ascii="Arial" w:hAnsi="Arial" w:cs="Arial"/>
          <w:sz w:val="20"/>
          <w:szCs w:val="20"/>
        </w:rPr>
        <w:t>the</w:t>
      </w:r>
      <w:r w:rsidRPr="001C156F">
        <w:rPr>
          <w:rFonts w:ascii="Arial" w:hAnsi="Arial" w:cs="Arial"/>
          <w:spacing w:val="1"/>
          <w:sz w:val="20"/>
          <w:szCs w:val="20"/>
        </w:rPr>
        <w:t xml:space="preserve"> </w:t>
      </w:r>
      <w:r w:rsidRPr="001C156F">
        <w:rPr>
          <w:rFonts w:ascii="Arial" w:hAnsi="Arial" w:cs="Arial"/>
          <w:sz w:val="20"/>
          <w:szCs w:val="20"/>
        </w:rPr>
        <w:t>maintenance</w:t>
      </w:r>
      <w:r w:rsidRPr="001C156F">
        <w:rPr>
          <w:rFonts w:ascii="Arial" w:hAnsi="Arial" w:cs="Arial"/>
          <w:spacing w:val="1"/>
          <w:sz w:val="20"/>
          <w:szCs w:val="20"/>
        </w:rPr>
        <w:t xml:space="preserve"> </w:t>
      </w:r>
      <w:r w:rsidRPr="001C156F">
        <w:rPr>
          <w:rFonts w:ascii="Arial" w:hAnsi="Arial" w:cs="Arial"/>
          <w:sz w:val="20"/>
          <w:szCs w:val="20"/>
        </w:rPr>
        <w:t>programme</w:t>
      </w:r>
      <w:r w:rsidRPr="001C156F">
        <w:rPr>
          <w:rFonts w:ascii="Arial" w:hAnsi="Arial" w:cs="Arial"/>
          <w:spacing w:val="1"/>
          <w:sz w:val="20"/>
          <w:szCs w:val="20"/>
        </w:rPr>
        <w:t xml:space="preserve"> </w:t>
      </w:r>
      <w:r w:rsidRPr="001C156F">
        <w:rPr>
          <w:rFonts w:ascii="Arial" w:hAnsi="Arial" w:cs="Arial"/>
          <w:sz w:val="20"/>
          <w:szCs w:val="20"/>
        </w:rPr>
        <w:t>will</w:t>
      </w:r>
      <w:r w:rsidRPr="001C156F">
        <w:rPr>
          <w:rFonts w:ascii="Arial" w:hAnsi="Arial" w:cs="Arial"/>
          <w:spacing w:val="1"/>
          <w:sz w:val="20"/>
          <w:szCs w:val="20"/>
        </w:rPr>
        <w:t xml:space="preserve"> </w:t>
      </w:r>
      <w:r w:rsidRPr="001C156F">
        <w:rPr>
          <w:rFonts w:ascii="Arial" w:hAnsi="Arial" w:cs="Arial"/>
          <w:sz w:val="20"/>
          <w:szCs w:val="20"/>
        </w:rPr>
        <w:t>be</w:t>
      </w:r>
      <w:r w:rsidRPr="001C156F">
        <w:rPr>
          <w:rFonts w:ascii="Arial" w:hAnsi="Arial" w:cs="Arial"/>
          <w:spacing w:val="1"/>
          <w:sz w:val="20"/>
          <w:szCs w:val="20"/>
        </w:rPr>
        <w:t xml:space="preserve"> </w:t>
      </w:r>
      <w:r w:rsidRPr="001C156F">
        <w:rPr>
          <w:rFonts w:ascii="Arial" w:hAnsi="Arial" w:cs="Arial"/>
          <w:sz w:val="20"/>
          <w:szCs w:val="20"/>
        </w:rPr>
        <w:t>subject</w:t>
      </w:r>
      <w:r w:rsidRPr="001C156F">
        <w:rPr>
          <w:rFonts w:ascii="Arial" w:hAnsi="Arial" w:cs="Arial"/>
          <w:spacing w:val="1"/>
          <w:sz w:val="20"/>
          <w:szCs w:val="20"/>
        </w:rPr>
        <w:t xml:space="preserve"> </w:t>
      </w:r>
      <w:r w:rsidRPr="001C156F">
        <w:rPr>
          <w:rFonts w:ascii="Arial" w:hAnsi="Arial" w:cs="Arial"/>
          <w:sz w:val="20"/>
          <w:szCs w:val="20"/>
        </w:rPr>
        <w:t>to</w:t>
      </w:r>
      <w:r w:rsidRPr="001C156F">
        <w:rPr>
          <w:rFonts w:ascii="Arial" w:hAnsi="Arial" w:cs="Arial"/>
          <w:spacing w:val="-47"/>
          <w:sz w:val="20"/>
          <w:szCs w:val="20"/>
        </w:rPr>
        <w:t xml:space="preserve"> </w:t>
      </w:r>
      <w:r w:rsidRPr="001C156F">
        <w:rPr>
          <w:rFonts w:ascii="Arial" w:hAnsi="Arial" w:cs="Arial"/>
          <w:sz w:val="20"/>
          <w:szCs w:val="20"/>
        </w:rPr>
        <w:t>periodic</w:t>
      </w:r>
      <w:r w:rsidRPr="001C156F">
        <w:rPr>
          <w:rFonts w:ascii="Arial" w:hAnsi="Arial" w:cs="Arial"/>
          <w:spacing w:val="-6"/>
          <w:sz w:val="20"/>
          <w:szCs w:val="20"/>
        </w:rPr>
        <w:t xml:space="preserve"> </w:t>
      </w:r>
      <w:r w:rsidRPr="001C156F">
        <w:rPr>
          <w:rFonts w:ascii="Arial" w:hAnsi="Arial" w:cs="Arial"/>
          <w:sz w:val="20"/>
          <w:szCs w:val="20"/>
        </w:rPr>
        <w:t>reviews</w:t>
      </w:r>
      <w:r w:rsidRPr="001C156F">
        <w:rPr>
          <w:rFonts w:ascii="Arial" w:hAnsi="Arial" w:cs="Arial"/>
          <w:spacing w:val="-5"/>
          <w:sz w:val="20"/>
          <w:szCs w:val="20"/>
        </w:rPr>
        <w:t xml:space="preserve"> </w:t>
      </w:r>
      <w:r w:rsidRPr="001C156F">
        <w:rPr>
          <w:rFonts w:ascii="Arial" w:hAnsi="Arial" w:cs="Arial"/>
          <w:sz w:val="20"/>
          <w:szCs w:val="20"/>
        </w:rPr>
        <w:t>at</w:t>
      </w:r>
      <w:r w:rsidRPr="001C156F">
        <w:rPr>
          <w:rFonts w:ascii="Arial" w:hAnsi="Arial" w:cs="Arial"/>
          <w:spacing w:val="-4"/>
          <w:sz w:val="20"/>
          <w:szCs w:val="20"/>
        </w:rPr>
        <w:t xml:space="preserve"> </w:t>
      </w:r>
      <w:r w:rsidRPr="001C156F">
        <w:rPr>
          <w:rFonts w:ascii="Arial" w:hAnsi="Arial" w:cs="Arial"/>
          <w:sz w:val="20"/>
          <w:szCs w:val="20"/>
        </w:rPr>
        <w:t>the</w:t>
      </w:r>
      <w:r w:rsidRPr="001C156F">
        <w:rPr>
          <w:rFonts w:ascii="Arial" w:hAnsi="Arial" w:cs="Arial"/>
          <w:spacing w:val="-7"/>
          <w:sz w:val="20"/>
          <w:szCs w:val="20"/>
        </w:rPr>
        <w:t xml:space="preserve"> </w:t>
      </w:r>
      <w:r w:rsidRPr="001C156F">
        <w:rPr>
          <w:rFonts w:ascii="Arial" w:hAnsi="Arial" w:cs="Arial"/>
          <w:sz w:val="20"/>
          <w:szCs w:val="20"/>
        </w:rPr>
        <w:t>occasion</w:t>
      </w:r>
      <w:r w:rsidRPr="001C156F">
        <w:rPr>
          <w:rFonts w:ascii="Arial" w:hAnsi="Arial" w:cs="Arial"/>
          <w:spacing w:val="-8"/>
          <w:sz w:val="20"/>
          <w:szCs w:val="20"/>
        </w:rPr>
        <w:t xml:space="preserve"> </w:t>
      </w:r>
      <w:r w:rsidRPr="001C156F">
        <w:rPr>
          <w:rFonts w:ascii="Arial" w:hAnsi="Arial" w:cs="Arial"/>
          <w:sz w:val="20"/>
          <w:szCs w:val="20"/>
        </w:rPr>
        <w:t>of</w:t>
      </w:r>
      <w:r w:rsidRPr="001C156F">
        <w:rPr>
          <w:rFonts w:ascii="Arial" w:hAnsi="Arial" w:cs="Arial"/>
          <w:spacing w:val="-5"/>
          <w:sz w:val="20"/>
          <w:szCs w:val="20"/>
        </w:rPr>
        <w:t xml:space="preserve"> </w:t>
      </w:r>
      <w:r w:rsidRPr="001C156F">
        <w:rPr>
          <w:rFonts w:ascii="Arial" w:hAnsi="Arial" w:cs="Arial"/>
          <w:sz w:val="20"/>
          <w:szCs w:val="20"/>
        </w:rPr>
        <w:t>the</w:t>
      </w:r>
      <w:r w:rsidRPr="001C156F">
        <w:rPr>
          <w:rFonts w:ascii="Arial" w:hAnsi="Arial" w:cs="Arial"/>
          <w:spacing w:val="-7"/>
          <w:sz w:val="20"/>
          <w:szCs w:val="20"/>
        </w:rPr>
        <w:t xml:space="preserve"> </w:t>
      </w:r>
      <w:r w:rsidRPr="001C156F">
        <w:rPr>
          <w:rFonts w:ascii="Arial" w:hAnsi="Arial" w:cs="Arial"/>
          <w:sz w:val="20"/>
          <w:szCs w:val="20"/>
        </w:rPr>
        <w:t>AR</w:t>
      </w:r>
      <w:r w:rsidRPr="001C156F">
        <w:rPr>
          <w:rFonts w:ascii="Arial" w:hAnsi="Arial" w:cs="Arial"/>
          <w:spacing w:val="-5"/>
          <w:sz w:val="20"/>
          <w:szCs w:val="20"/>
        </w:rPr>
        <w:t xml:space="preserve"> </w:t>
      </w:r>
      <w:r w:rsidRPr="001C156F">
        <w:rPr>
          <w:rFonts w:ascii="Arial" w:hAnsi="Arial" w:cs="Arial"/>
          <w:sz w:val="20"/>
          <w:szCs w:val="20"/>
        </w:rPr>
        <w:t>and,</w:t>
      </w:r>
      <w:r w:rsidRPr="001C156F">
        <w:rPr>
          <w:rFonts w:ascii="Arial" w:hAnsi="Arial" w:cs="Arial"/>
          <w:spacing w:val="-4"/>
          <w:sz w:val="20"/>
          <w:szCs w:val="20"/>
        </w:rPr>
        <w:t xml:space="preserve"> </w:t>
      </w:r>
      <w:r w:rsidRPr="001C156F">
        <w:rPr>
          <w:rFonts w:ascii="Arial" w:hAnsi="Arial" w:cs="Arial"/>
          <w:sz w:val="20"/>
          <w:szCs w:val="20"/>
        </w:rPr>
        <w:t>in</w:t>
      </w:r>
      <w:r w:rsidRPr="001C156F">
        <w:rPr>
          <w:rFonts w:ascii="Arial" w:hAnsi="Arial" w:cs="Arial"/>
          <w:spacing w:val="-6"/>
          <w:sz w:val="20"/>
          <w:szCs w:val="20"/>
        </w:rPr>
        <w:t xml:space="preserve"> </w:t>
      </w:r>
      <w:r w:rsidRPr="001C156F">
        <w:rPr>
          <w:rFonts w:ascii="Arial" w:hAnsi="Arial" w:cs="Arial"/>
          <w:sz w:val="20"/>
          <w:szCs w:val="20"/>
        </w:rPr>
        <w:t>case</w:t>
      </w:r>
      <w:r w:rsidRPr="001C156F">
        <w:rPr>
          <w:rFonts w:ascii="Arial" w:hAnsi="Arial" w:cs="Arial"/>
          <w:spacing w:val="-7"/>
          <w:sz w:val="20"/>
          <w:szCs w:val="20"/>
        </w:rPr>
        <w:t xml:space="preserve"> </w:t>
      </w:r>
      <w:r w:rsidRPr="001C156F">
        <w:rPr>
          <w:rFonts w:ascii="Arial" w:hAnsi="Arial" w:cs="Arial"/>
          <w:sz w:val="20"/>
          <w:szCs w:val="20"/>
        </w:rPr>
        <w:t>of</w:t>
      </w:r>
      <w:r w:rsidRPr="001C156F">
        <w:rPr>
          <w:rFonts w:ascii="Arial" w:hAnsi="Arial" w:cs="Arial"/>
          <w:spacing w:val="-5"/>
          <w:sz w:val="20"/>
          <w:szCs w:val="20"/>
        </w:rPr>
        <w:t xml:space="preserve"> </w:t>
      </w:r>
      <w:r w:rsidRPr="001C156F">
        <w:rPr>
          <w:rFonts w:ascii="Arial" w:hAnsi="Arial" w:cs="Arial"/>
          <w:sz w:val="20"/>
          <w:szCs w:val="20"/>
        </w:rPr>
        <w:t>discrepancies,</w:t>
      </w:r>
      <w:r w:rsidRPr="001C156F">
        <w:rPr>
          <w:rFonts w:ascii="Arial" w:hAnsi="Arial" w:cs="Arial"/>
          <w:spacing w:val="-6"/>
          <w:sz w:val="20"/>
          <w:szCs w:val="20"/>
        </w:rPr>
        <w:t xml:space="preserve"> </w:t>
      </w:r>
      <w:r w:rsidRPr="001C156F">
        <w:rPr>
          <w:rFonts w:ascii="Arial" w:hAnsi="Arial" w:cs="Arial"/>
          <w:sz w:val="20"/>
          <w:szCs w:val="20"/>
        </w:rPr>
        <w:t>linked</w:t>
      </w:r>
      <w:r w:rsidRPr="001C156F">
        <w:rPr>
          <w:rFonts w:ascii="Arial" w:hAnsi="Arial" w:cs="Arial"/>
          <w:spacing w:val="-8"/>
          <w:sz w:val="20"/>
          <w:szCs w:val="20"/>
        </w:rPr>
        <w:t xml:space="preserve"> </w:t>
      </w:r>
      <w:r w:rsidRPr="001C156F">
        <w:rPr>
          <w:rFonts w:ascii="Arial" w:hAnsi="Arial" w:cs="Arial"/>
          <w:sz w:val="20"/>
          <w:szCs w:val="20"/>
        </w:rPr>
        <w:t>with</w:t>
      </w:r>
      <w:r w:rsidRPr="001C156F">
        <w:rPr>
          <w:rFonts w:ascii="Arial" w:hAnsi="Arial" w:cs="Arial"/>
          <w:spacing w:val="-5"/>
          <w:sz w:val="20"/>
          <w:szCs w:val="20"/>
        </w:rPr>
        <w:t xml:space="preserve"> </w:t>
      </w:r>
      <w:r w:rsidRPr="001C156F">
        <w:rPr>
          <w:rFonts w:ascii="Arial" w:hAnsi="Arial" w:cs="Arial"/>
          <w:sz w:val="20"/>
          <w:szCs w:val="20"/>
        </w:rPr>
        <w:t>deficiencies</w:t>
      </w:r>
      <w:r w:rsidRPr="001C156F">
        <w:rPr>
          <w:rFonts w:ascii="Arial" w:hAnsi="Arial" w:cs="Arial"/>
          <w:spacing w:val="-47"/>
          <w:sz w:val="20"/>
          <w:szCs w:val="20"/>
        </w:rPr>
        <w:t xml:space="preserve"> </w:t>
      </w:r>
      <w:r w:rsidRPr="001C156F">
        <w:rPr>
          <w:rFonts w:ascii="Arial" w:hAnsi="Arial" w:cs="Arial"/>
          <w:sz w:val="20"/>
          <w:szCs w:val="20"/>
        </w:rPr>
        <w:t>in</w:t>
      </w:r>
      <w:r w:rsidRPr="001C156F">
        <w:rPr>
          <w:rFonts w:ascii="Arial" w:hAnsi="Arial" w:cs="Arial"/>
          <w:spacing w:val="1"/>
          <w:sz w:val="20"/>
          <w:szCs w:val="20"/>
        </w:rPr>
        <w:t xml:space="preserve"> </w:t>
      </w:r>
      <w:r w:rsidRPr="001C156F">
        <w:rPr>
          <w:rFonts w:ascii="Arial" w:hAnsi="Arial" w:cs="Arial"/>
          <w:sz w:val="20"/>
          <w:szCs w:val="20"/>
        </w:rPr>
        <w:t>the content of the maintenance</w:t>
      </w:r>
      <w:r w:rsidRPr="001C156F">
        <w:rPr>
          <w:rFonts w:ascii="Arial" w:hAnsi="Arial" w:cs="Arial"/>
          <w:spacing w:val="1"/>
          <w:sz w:val="20"/>
          <w:szCs w:val="20"/>
        </w:rPr>
        <w:t xml:space="preserve"> </w:t>
      </w:r>
      <w:r w:rsidRPr="001C156F">
        <w:rPr>
          <w:rFonts w:ascii="Arial" w:hAnsi="Arial" w:cs="Arial"/>
          <w:sz w:val="20"/>
          <w:szCs w:val="20"/>
        </w:rPr>
        <w:t>programme, the</w:t>
      </w:r>
      <w:r w:rsidRPr="001C156F">
        <w:rPr>
          <w:rFonts w:ascii="Arial" w:hAnsi="Arial" w:cs="Arial"/>
          <w:spacing w:val="1"/>
          <w:sz w:val="20"/>
          <w:szCs w:val="20"/>
        </w:rPr>
        <w:t xml:space="preserve"> </w:t>
      </w:r>
      <w:r w:rsidRPr="001C156F">
        <w:rPr>
          <w:rFonts w:ascii="Arial" w:hAnsi="Arial" w:cs="Arial"/>
          <w:sz w:val="20"/>
          <w:szCs w:val="20"/>
        </w:rPr>
        <w:t>owner shall amend</w:t>
      </w:r>
      <w:r w:rsidRPr="001C156F">
        <w:rPr>
          <w:rFonts w:ascii="Arial" w:hAnsi="Arial" w:cs="Arial"/>
          <w:spacing w:val="1"/>
          <w:sz w:val="20"/>
          <w:szCs w:val="20"/>
        </w:rPr>
        <w:t xml:space="preserve"> </w:t>
      </w:r>
      <w:r w:rsidRPr="001C156F">
        <w:rPr>
          <w:rFonts w:ascii="Arial" w:hAnsi="Arial" w:cs="Arial"/>
          <w:sz w:val="20"/>
          <w:szCs w:val="20"/>
        </w:rPr>
        <w:t>the maintenance</w:t>
      </w:r>
      <w:r w:rsidRPr="001C156F">
        <w:rPr>
          <w:rFonts w:ascii="Arial" w:hAnsi="Arial" w:cs="Arial"/>
          <w:spacing w:val="1"/>
          <w:sz w:val="20"/>
          <w:szCs w:val="20"/>
        </w:rPr>
        <w:t xml:space="preserve"> </w:t>
      </w:r>
      <w:r w:rsidRPr="001C156F">
        <w:rPr>
          <w:rFonts w:ascii="Arial" w:hAnsi="Arial" w:cs="Arial"/>
          <w:sz w:val="20"/>
          <w:szCs w:val="20"/>
        </w:rPr>
        <w:t>programme</w:t>
      </w:r>
      <w:r w:rsidRPr="001C156F">
        <w:rPr>
          <w:rFonts w:ascii="Arial" w:hAnsi="Arial" w:cs="Arial"/>
          <w:spacing w:val="-3"/>
          <w:sz w:val="20"/>
          <w:szCs w:val="20"/>
        </w:rPr>
        <w:t xml:space="preserve"> </w:t>
      </w:r>
      <w:r w:rsidRPr="001C156F">
        <w:rPr>
          <w:rFonts w:ascii="Arial" w:hAnsi="Arial" w:cs="Arial"/>
          <w:sz w:val="20"/>
          <w:szCs w:val="20"/>
        </w:rPr>
        <w:t>accordingly,</w:t>
      </w:r>
      <w:r w:rsidRPr="001C156F">
        <w:rPr>
          <w:rFonts w:ascii="Arial" w:hAnsi="Arial" w:cs="Arial"/>
          <w:spacing w:val="1"/>
          <w:sz w:val="20"/>
          <w:szCs w:val="20"/>
        </w:rPr>
        <w:t xml:space="preserve"> </w:t>
      </w:r>
      <w:r w:rsidRPr="001C156F">
        <w:rPr>
          <w:rFonts w:ascii="Arial" w:hAnsi="Arial" w:cs="Arial"/>
          <w:sz w:val="20"/>
          <w:szCs w:val="20"/>
        </w:rPr>
        <w:t>as</w:t>
      </w:r>
      <w:r w:rsidRPr="001C156F">
        <w:rPr>
          <w:rFonts w:ascii="Arial" w:hAnsi="Arial" w:cs="Arial"/>
          <w:spacing w:val="-3"/>
          <w:sz w:val="20"/>
          <w:szCs w:val="20"/>
        </w:rPr>
        <w:t xml:space="preserve"> </w:t>
      </w:r>
      <w:r w:rsidRPr="001C156F">
        <w:rPr>
          <w:rFonts w:ascii="Arial" w:hAnsi="Arial" w:cs="Arial"/>
          <w:sz w:val="20"/>
          <w:szCs w:val="20"/>
        </w:rPr>
        <w:t>required</w:t>
      </w:r>
      <w:r w:rsidRPr="001C156F">
        <w:rPr>
          <w:rFonts w:ascii="Arial" w:hAnsi="Arial" w:cs="Arial"/>
          <w:spacing w:val="-1"/>
          <w:sz w:val="20"/>
          <w:szCs w:val="20"/>
        </w:rPr>
        <w:t xml:space="preserve"> </w:t>
      </w:r>
      <w:r w:rsidRPr="001C156F">
        <w:rPr>
          <w:rFonts w:ascii="Arial" w:hAnsi="Arial" w:cs="Arial"/>
          <w:sz w:val="20"/>
          <w:szCs w:val="20"/>
        </w:rPr>
        <w:t>by</w:t>
      </w:r>
      <w:r w:rsidRPr="001C156F">
        <w:rPr>
          <w:rFonts w:ascii="Arial" w:hAnsi="Arial" w:cs="Arial"/>
          <w:color w:val="0000FF"/>
          <w:spacing w:val="-1"/>
          <w:sz w:val="20"/>
          <w:szCs w:val="20"/>
        </w:rPr>
        <w:t xml:space="preserve"> </w:t>
      </w:r>
      <w:r w:rsidRPr="001C156F">
        <w:rPr>
          <w:rFonts w:ascii="Arial" w:hAnsi="Arial" w:cs="Arial"/>
          <w:sz w:val="20"/>
          <w:szCs w:val="20"/>
        </w:rPr>
        <w:t>ML.A.302(c)(9).</w:t>
      </w:r>
    </w:p>
    <w:p w14:paraId="48BF0E44" w14:textId="57C8FB6E" w:rsidR="001C156F" w:rsidRPr="001C156F" w:rsidRDefault="001C156F" w:rsidP="001C156F">
      <w:pPr>
        <w:pStyle w:val="ListParagraph"/>
        <w:numPr>
          <w:ilvl w:val="0"/>
          <w:numId w:val="292"/>
        </w:numPr>
        <w:tabs>
          <w:tab w:val="left" w:pos="707"/>
        </w:tabs>
        <w:spacing w:before="122"/>
        <w:ind w:right="191"/>
        <w:jc w:val="both"/>
        <w:rPr>
          <w:rFonts w:ascii="Arial" w:hAnsi="Arial" w:cs="Arial"/>
          <w:sz w:val="20"/>
          <w:szCs w:val="20"/>
        </w:rPr>
      </w:pPr>
      <w:r w:rsidRPr="001C156F">
        <w:rPr>
          <w:rFonts w:ascii="Arial" w:hAnsi="Arial" w:cs="Arial"/>
          <w:spacing w:val="-1"/>
          <w:sz w:val="20"/>
          <w:szCs w:val="20"/>
        </w:rPr>
        <w:lastRenderedPageBreak/>
        <w:t>When</w:t>
      </w:r>
      <w:r w:rsidRPr="001C156F">
        <w:rPr>
          <w:rFonts w:ascii="Arial" w:hAnsi="Arial" w:cs="Arial"/>
          <w:spacing w:val="-10"/>
          <w:sz w:val="20"/>
          <w:szCs w:val="20"/>
        </w:rPr>
        <w:t xml:space="preserve"> </w:t>
      </w:r>
      <w:r w:rsidRPr="001C156F">
        <w:rPr>
          <w:rFonts w:ascii="Arial" w:hAnsi="Arial" w:cs="Arial"/>
          <w:spacing w:val="-1"/>
          <w:sz w:val="20"/>
          <w:szCs w:val="20"/>
        </w:rPr>
        <w:t>the</w:t>
      </w:r>
      <w:r w:rsidRPr="001C156F">
        <w:rPr>
          <w:rFonts w:ascii="Arial" w:hAnsi="Arial" w:cs="Arial"/>
          <w:spacing w:val="-9"/>
          <w:sz w:val="20"/>
          <w:szCs w:val="20"/>
        </w:rPr>
        <w:t xml:space="preserve"> </w:t>
      </w:r>
      <w:r w:rsidR="004E22F1">
        <w:rPr>
          <w:rFonts w:ascii="Arial" w:hAnsi="Arial" w:cs="Arial"/>
          <w:sz w:val="20"/>
          <w:szCs w:val="20"/>
        </w:rPr>
        <w:t xml:space="preserve">CAC RA </w:t>
      </w:r>
      <w:r w:rsidRPr="001C156F">
        <w:rPr>
          <w:rFonts w:ascii="Arial" w:hAnsi="Arial" w:cs="Arial"/>
          <w:sz w:val="20"/>
          <w:szCs w:val="20"/>
        </w:rPr>
        <w:t>is</w:t>
      </w:r>
      <w:r w:rsidRPr="001C156F">
        <w:rPr>
          <w:rFonts w:ascii="Arial" w:hAnsi="Arial" w:cs="Arial"/>
          <w:spacing w:val="-11"/>
          <w:sz w:val="20"/>
          <w:szCs w:val="20"/>
        </w:rPr>
        <w:t xml:space="preserve"> </w:t>
      </w:r>
      <w:r w:rsidRPr="001C156F">
        <w:rPr>
          <w:rFonts w:ascii="Arial" w:hAnsi="Arial" w:cs="Arial"/>
          <w:sz w:val="20"/>
          <w:szCs w:val="20"/>
        </w:rPr>
        <w:t>notified</w:t>
      </w:r>
      <w:r w:rsidRPr="001C156F">
        <w:rPr>
          <w:rFonts w:ascii="Arial" w:hAnsi="Arial" w:cs="Arial"/>
          <w:spacing w:val="-12"/>
          <w:sz w:val="20"/>
          <w:szCs w:val="20"/>
        </w:rPr>
        <w:t xml:space="preserve"> </w:t>
      </w:r>
      <w:r w:rsidRPr="001C156F">
        <w:rPr>
          <w:rFonts w:ascii="Arial" w:hAnsi="Arial" w:cs="Arial"/>
          <w:sz w:val="20"/>
          <w:szCs w:val="20"/>
        </w:rPr>
        <w:t>of</w:t>
      </w:r>
      <w:r w:rsidRPr="001C156F">
        <w:rPr>
          <w:rFonts w:ascii="Arial" w:hAnsi="Arial" w:cs="Arial"/>
          <w:spacing w:val="-9"/>
          <w:sz w:val="20"/>
          <w:szCs w:val="20"/>
        </w:rPr>
        <w:t xml:space="preserve"> </w:t>
      </w:r>
      <w:r w:rsidRPr="001C156F">
        <w:rPr>
          <w:rFonts w:ascii="Arial" w:hAnsi="Arial" w:cs="Arial"/>
          <w:sz w:val="20"/>
          <w:szCs w:val="20"/>
        </w:rPr>
        <w:t>deficiencies</w:t>
      </w:r>
      <w:r w:rsidRPr="001C156F">
        <w:rPr>
          <w:rFonts w:ascii="Arial" w:hAnsi="Arial" w:cs="Arial"/>
          <w:spacing w:val="-9"/>
          <w:sz w:val="20"/>
          <w:szCs w:val="20"/>
        </w:rPr>
        <w:t xml:space="preserve"> </w:t>
      </w:r>
      <w:r w:rsidRPr="001C156F">
        <w:rPr>
          <w:rFonts w:ascii="Arial" w:hAnsi="Arial" w:cs="Arial"/>
          <w:sz w:val="20"/>
          <w:szCs w:val="20"/>
        </w:rPr>
        <w:t>linked</w:t>
      </w:r>
      <w:r w:rsidRPr="001C156F">
        <w:rPr>
          <w:rFonts w:ascii="Arial" w:hAnsi="Arial" w:cs="Arial"/>
          <w:spacing w:val="-8"/>
          <w:sz w:val="20"/>
          <w:szCs w:val="20"/>
        </w:rPr>
        <w:t xml:space="preserve"> </w:t>
      </w:r>
      <w:r w:rsidRPr="001C156F">
        <w:rPr>
          <w:rFonts w:ascii="Arial" w:hAnsi="Arial" w:cs="Arial"/>
          <w:sz w:val="20"/>
          <w:szCs w:val="20"/>
        </w:rPr>
        <w:t>with</w:t>
      </w:r>
      <w:r w:rsidRPr="001C156F">
        <w:rPr>
          <w:rFonts w:ascii="Arial" w:hAnsi="Arial" w:cs="Arial"/>
          <w:spacing w:val="-10"/>
          <w:sz w:val="20"/>
          <w:szCs w:val="20"/>
        </w:rPr>
        <w:t xml:space="preserve"> </w:t>
      </w:r>
      <w:r w:rsidRPr="001C156F">
        <w:rPr>
          <w:rFonts w:ascii="Arial" w:hAnsi="Arial" w:cs="Arial"/>
          <w:sz w:val="20"/>
          <w:szCs w:val="20"/>
        </w:rPr>
        <w:t>the</w:t>
      </w:r>
      <w:r w:rsidRPr="001C156F">
        <w:rPr>
          <w:rFonts w:ascii="Arial" w:hAnsi="Arial" w:cs="Arial"/>
          <w:spacing w:val="-11"/>
          <w:sz w:val="20"/>
          <w:szCs w:val="20"/>
        </w:rPr>
        <w:t xml:space="preserve"> </w:t>
      </w:r>
      <w:r w:rsidRPr="001C156F">
        <w:rPr>
          <w:rFonts w:ascii="Arial" w:hAnsi="Arial" w:cs="Arial"/>
          <w:sz w:val="20"/>
          <w:szCs w:val="20"/>
        </w:rPr>
        <w:t>content</w:t>
      </w:r>
      <w:r w:rsidRPr="001C156F">
        <w:rPr>
          <w:rFonts w:ascii="Arial" w:hAnsi="Arial" w:cs="Arial"/>
          <w:spacing w:val="-14"/>
          <w:sz w:val="20"/>
          <w:szCs w:val="20"/>
        </w:rPr>
        <w:t xml:space="preserve"> </w:t>
      </w:r>
      <w:r w:rsidRPr="001C156F">
        <w:rPr>
          <w:rFonts w:ascii="Arial" w:hAnsi="Arial" w:cs="Arial"/>
          <w:sz w:val="20"/>
          <w:szCs w:val="20"/>
        </w:rPr>
        <w:t>of</w:t>
      </w:r>
      <w:r w:rsidRPr="001C156F">
        <w:rPr>
          <w:rFonts w:ascii="Arial" w:hAnsi="Arial" w:cs="Arial"/>
          <w:spacing w:val="-10"/>
          <w:sz w:val="20"/>
          <w:szCs w:val="20"/>
        </w:rPr>
        <w:t xml:space="preserve"> </w:t>
      </w:r>
      <w:r w:rsidRPr="001C156F">
        <w:rPr>
          <w:rFonts w:ascii="Arial" w:hAnsi="Arial" w:cs="Arial"/>
          <w:sz w:val="20"/>
          <w:szCs w:val="20"/>
        </w:rPr>
        <w:t>the</w:t>
      </w:r>
      <w:r w:rsidRPr="001C156F">
        <w:rPr>
          <w:rFonts w:ascii="Arial" w:hAnsi="Arial" w:cs="Arial"/>
          <w:spacing w:val="-11"/>
          <w:sz w:val="20"/>
          <w:szCs w:val="20"/>
        </w:rPr>
        <w:t xml:space="preserve"> </w:t>
      </w:r>
      <w:r w:rsidRPr="001C156F">
        <w:rPr>
          <w:rFonts w:ascii="Arial" w:hAnsi="Arial" w:cs="Arial"/>
          <w:sz w:val="20"/>
          <w:szCs w:val="20"/>
        </w:rPr>
        <w:t>declared</w:t>
      </w:r>
      <w:r w:rsidRPr="001C156F">
        <w:rPr>
          <w:rFonts w:ascii="Arial" w:hAnsi="Arial" w:cs="Arial"/>
          <w:spacing w:val="-47"/>
          <w:sz w:val="20"/>
          <w:szCs w:val="20"/>
        </w:rPr>
        <w:t xml:space="preserve"> </w:t>
      </w:r>
      <w:r w:rsidRPr="001C156F">
        <w:rPr>
          <w:rFonts w:ascii="Arial" w:hAnsi="Arial" w:cs="Arial"/>
          <w:sz w:val="20"/>
          <w:szCs w:val="20"/>
        </w:rPr>
        <w:t>maintenance</w:t>
      </w:r>
      <w:r w:rsidRPr="001C156F">
        <w:rPr>
          <w:rFonts w:ascii="Arial" w:hAnsi="Arial" w:cs="Arial"/>
          <w:spacing w:val="-6"/>
          <w:sz w:val="20"/>
          <w:szCs w:val="20"/>
        </w:rPr>
        <w:t xml:space="preserve"> </w:t>
      </w:r>
      <w:r w:rsidRPr="001C156F">
        <w:rPr>
          <w:rFonts w:ascii="Arial" w:hAnsi="Arial" w:cs="Arial"/>
          <w:sz w:val="20"/>
          <w:szCs w:val="20"/>
        </w:rPr>
        <w:t>programme</w:t>
      </w:r>
      <w:r w:rsidRPr="001C156F">
        <w:rPr>
          <w:rFonts w:ascii="Arial" w:hAnsi="Arial" w:cs="Arial"/>
          <w:spacing w:val="-7"/>
          <w:sz w:val="20"/>
          <w:szCs w:val="20"/>
        </w:rPr>
        <w:t xml:space="preserve"> </w:t>
      </w:r>
      <w:r w:rsidRPr="001C156F">
        <w:rPr>
          <w:rFonts w:ascii="Arial" w:hAnsi="Arial" w:cs="Arial"/>
          <w:sz w:val="20"/>
          <w:szCs w:val="20"/>
        </w:rPr>
        <w:t>for</w:t>
      </w:r>
      <w:r w:rsidRPr="001C156F">
        <w:rPr>
          <w:rFonts w:ascii="Arial" w:hAnsi="Arial" w:cs="Arial"/>
          <w:spacing w:val="-9"/>
          <w:sz w:val="20"/>
          <w:szCs w:val="20"/>
        </w:rPr>
        <w:t xml:space="preserve"> </w:t>
      </w:r>
      <w:r w:rsidRPr="001C156F">
        <w:rPr>
          <w:rFonts w:ascii="Arial" w:hAnsi="Arial" w:cs="Arial"/>
          <w:sz w:val="20"/>
          <w:szCs w:val="20"/>
        </w:rPr>
        <w:t>a</w:t>
      </w:r>
      <w:r w:rsidRPr="001C156F">
        <w:rPr>
          <w:rFonts w:ascii="Arial" w:hAnsi="Arial" w:cs="Arial"/>
          <w:spacing w:val="-6"/>
          <w:sz w:val="20"/>
          <w:szCs w:val="20"/>
        </w:rPr>
        <w:t xml:space="preserve"> </w:t>
      </w:r>
      <w:r w:rsidRPr="001C156F">
        <w:rPr>
          <w:rFonts w:ascii="Arial" w:hAnsi="Arial" w:cs="Arial"/>
          <w:sz w:val="20"/>
          <w:szCs w:val="20"/>
        </w:rPr>
        <w:t>particular</w:t>
      </w:r>
      <w:r w:rsidRPr="001C156F">
        <w:rPr>
          <w:rFonts w:ascii="Arial" w:hAnsi="Arial" w:cs="Arial"/>
          <w:spacing w:val="-7"/>
          <w:sz w:val="20"/>
          <w:szCs w:val="20"/>
        </w:rPr>
        <w:t xml:space="preserve"> </w:t>
      </w:r>
      <w:r w:rsidRPr="001C156F">
        <w:rPr>
          <w:rFonts w:ascii="Arial" w:hAnsi="Arial" w:cs="Arial"/>
          <w:sz w:val="20"/>
          <w:szCs w:val="20"/>
        </w:rPr>
        <w:t>aircraft</w:t>
      </w:r>
      <w:r w:rsidRPr="001C156F">
        <w:rPr>
          <w:rFonts w:ascii="Arial" w:hAnsi="Arial" w:cs="Arial"/>
          <w:spacing w:val="-8"/>
          <w:sz w:val="20"/>
          <w:szCs w:val="20"/>
        </w:rPr>
        <w:t xml:space="preserve"> </w:t>
      </w:r>
      <w:r w:rsidRPr="001C156F">
        <w:rPr>
          <w:rFonts w:ascii="Arial" w:hAnsi="Arial" w:cs="Arial"/>
          <w:sz w:val="20"/>
          <w:szCs w:val="20"/>
        </w:rPr>
        <w:t>(in</w:t>
      </w:r>
      <w:r w:rsidRPr="001C156F">
        <w:rPr>
          <w:rFonts w:ascii="Arial" w:hAnsi="Arial" w:cs="Arial"/>
          <w:spacing w:val="-10"/>
          <w:sz w:val="20"/>
          <w:szCs w:val="20"/>
        </w:rPr>
        <w:t xml:space="preserve"> </w:t>
      </w:r>
      <w:r w:rsidRPr="001C156F">
        <w:rPr>
          <w:rFonts w:ascii="Arial" w:hAnsi="Arial" w:cs="Arial"/>
          <w:sz w:val="20"/>
          <w:szCs w:val="20"/>
        </w:rPr>
        <w:t>case</w:t>
      </w:r>
      <w:r w:rsidRPr="001C156F">
        <w:rPr>
          <w:rFonts w:ascii="Arial" w:hAnsi="Arial" w:cs="Arial"/>
          <w:spacing w:val="-5"/>
          <w:sz w:val="20"/>
          <w:szCs w:val="20"/>
        </w:rPr>
        <w:t xml:space="preserve"> </w:t>
      </w:r>
      <w:r w:rsidRPr="001C156F">
        <w:rPr>
          <w:rFonts w:ascii="Arial" w:hAnsi="Arial" w:cs="Arial"/>
          <w:sz w:val="20"/>
          <w:szCs w:val="20"/>
        </w:rPr>
        <w:t>no</w:t>
      </w:r>
      <w:r w:rsidRPr="001C156F">
        <w:rPr>
          <w:rFonts w:ascii="Arial" w:hAnsi="Arial" w:cs="Arial"/>
          <w:spacing w:val="-8"/>
          <w:sz w:val="20"/>
          <w:szCs w:val="20"/>
        </w:rPr>
        <w:t xml:space="preserve"> </w:t>
      </w:r>
      <w:r w:rsidRPr="001C156F">
        <w:rPr>
          <w:rFonts w:ascii="Arial" w:hAnsi="Arial" w:cs="Arial"/>
          <w:sz w:val="20"/>
          <w:szCs w:val="20"/>
        </w:rPr>
        <w:t>agreement</w:t>
      </w:r>
      <w:r w:rsidRPr="001C156F">
        <w:rPr>
          <w:rFonts w:ascii="Arial" w:hAnsi="Arial" w:cs="Arial"/>
          <w:spacing w:val="-5"/>
          <w:sz w:val="20"/>
          <w:szCs w:val="20"/>
        </w:rPr>
        <w:t xml:space="preserve"> </w:t>
      </w:r>
      <w:r w:rsidRPr="001C156F">
        <w:rPr>
          <w:rFonts w:ascii="Arial" w:hAnsi="Arial" w:cs="Arial"/>
          <w:sz w:val="20"/>
          <w:szCs w:val="20"/>
        </w:rPr>
        <w:t>is</w:t>
      </w:r>
      <w:r w:rsidRPr="001C156F">
        <w:rPr>
          <w:rFonts w:ascii="Arial" w:hAnsi="Arial" w:cs="Arial"/>
          <w:spacing w:val="-9"/>
          <w:sz w:val="20"/>
          <w:szCs w:val="20"/>
        </w:rPr>
        <w:t xml:space="preserve"> </w:t>
      </w:r>
      <w:r w:rsidRPr="001C156F">
        <w:rPr>
          <w:rFonts w:ascii="Arial" w:hAnsi="Arial" w:cs="Arial"/>
          <w:sz w:val="20"/>
          <w:szCs w:val="20"/>
        </w:rPr>
        <w:t>reached</w:t>
      </w:r>
      <w:r w:rsidRPr="001C156F">
        <w:rPr>
          <w:rFonts w:ascii="Arial" w:hAnsi="Arial" w:cs="Arial"/>
          <w:spacing w:val="-6"/>
          <w:sz w:val="20"/>
          <w:szCs w:val="20"/>
        </w:rPr>
        <w:t xml:space="preserve"> </w:t>
      </w:r>
      <w:r w:rsidRPr="001C156F">
        <w:rPr>
          <w:rFonts w:ascii="Arial" w:hAnsi="Arial" w:cs="Arial"/>
          <w:sz w:val="20"/>
          <w:szCs w:val="20"/>
        </w:rPr>
        <w:t>between</w:t>
      </w:r>
      <w:r w:rsidRPr="001C156F">
        <w:rPr>
          <w:rFonts w:ascii="Arial" w:hAnsi="Arial" w:cs="Arial"/>
          <w:spacing w:val="-9"/>
          <w:sz w:val="20"/>
          <w:szCs w:val="20"/>
        </w:rPr>
        <w:t xml:space="preserve"> </w:t>
      </w:r>
      <w:r w:rsidRPr="001C156F">
        <w:rPr>
          <w:rFonts w:ascii="Arial" w:hAnsi="Arial" w:cs="Arial"/>
          <w:sz w:val="20"/>
          <w:szCs w:val="20"/>
        </w:rPr>
        <w:t>the</w:t>
      </w:r>
      <w:r w:rsidRPr="001C156F">
        <w:rPr>
          <w:rFonts w:ascii="Arial" w:hAnsi="Arial" w:cs="Arial"/>
          <w:spacing w:val="-47"/>
          <w:sz w:val="20"/>
          <w:szCs w:val="20"/>
        </w:rPr>
        <w:t xml:space="preserve"> </w:t>
      </w:r>
      <w:r w:rsidRPr="001C156F">
        <w:rPr>
          <w:rFonts w:ascii="Arial" w:hAnsi="Arial" w:cs="Arial"/>
          <w:sz w:val="20"/>
          <w:szCs w:val="20"/>
        </w:rPr>
        <w:t>owner and the AR staff about the changes required in the maintenance programme), the</w:t>
      </w:r>
      <w:r w:rsidRPr="001C156F">
        <w:rPr>
          <w:rFonts w:ascii="Arial" w:hAnsi="Arial" w:cs="Arial"/>
          <w:spacing w:val="1"/>
          <w:sz w:val="20"/>
          <w:szCs w:val="20"/>
        </w:rPr>
        <w:t xml:space="preserve"> </w:t>
      </w:r>
      <w:r w:rsidR="004E22F1">
        <w:rPr>
          <w:rFonts w:ascii="Arial" w:hAnsi="Arial" w:cs="Arial"/>
          <w:sz w:val="20"/>
          <w:szCs w:val="20"/>
        </w:rPr>
        <w:t xml:space="preserve">CAC RA </w:t>
      </w:r>
      <w:r w:rsidRPr="001C156F">
        <w:rPr>
          <w:rFonts w:ascii="Arial" w:hAnsi="Arial" w:cs="Arial"/>
          <w:sz w:val="20"/>
          <w:szCs w:val="20"/>
        </w:rPr>
        <w:t>should</w:t>
      </w:r>
      <w:r w:rsidRPr="001C156F">
        <w:rPr>
          <w:rFonts w:ascii="Arial" w:hAnsi="Arial" w:cs="Arial"/>
          <w:spacing w:val="-10"/>
          <w:sz w:val="20"/>
          <w:szCs w:val="20"/>
        </w:rPr>
        <w:t xml:space="preserve"> </w:t>
      </w:r>
      <w:r w:rsidRPr="001C156F">
        <w:rPr>
          <w:rFonts w:ascii="Arial" w:hAnsi="Arial" w:cs="Arial"/>
          <w:sz w:val="20"/>
          <w:szCs w:val="20"/>
        </w:rPr>
        <w:t>contact</w:t>
      </w:r>
      <w:r w:rsidRPr="001C156F">
        <w:rPr>
          <w:rFonts w:ascii="Arial" w:hAnsi="Arial" w:cs="Arial"/>
          <w:spacing w:val="-11"/>
          <w:sz w:val="20"/>
          <w:szCs w:val="20"/>
        </w:rPr>
        <w:t xml:space="preserve"> </w:t>
      </w:r>
      <w:r w:rsidRPr="001C156F">
        <w:rPr>
          <w:rFonts w:ascii="Arial" w:hAnsi="Arial" w:cs="Arial"/>
          <w:sz w:val="20"/>
          <w:szCs w:val="20"/>
        </w:rPr>
        <w:t>the</w:t>
      </w:r>
      <w:r w:rsidRPr="001C156F">
        <w:rPr>
          <w:rFonts w:ascii="Arial" w:hAnsi="Arial" w:cs="Arial"/>
          <w:spacing w:val="-12"/>
          <w:sz w:val="20"/>
          <w:szCs w:val="20"/>
        </w:rPr>
        <w:t xml:space="preserve"> </w:t>
      </w:r>
      <w:r w:rsidRPr="001C156F">
        <w:rPr>
          <w:rFonts w:ascii="Arial" w:hAnsi="Arial" w:cs="Arial"/>
          <w:sz w:val="20"/>
          <w:szCs w:val="20"/>
        </w:rPr>
        <w:t>owner,</w:t>
      </w:r>
      <w:r w:rsidRPr="001C156F">
        <w:rPr>
          <w:rFonts w:ascii="Arial" w:hAnsi="Arial" w:cs="Arial"/>
          <w:spacing w:val="-12"/>
          <w:sz w:val="20"/>
          <w:szCs w:val="20"/>
        </w:rPr>
        <w:t xml:space="preserve"> </w:t>
      </w:r>
      <w:r w:rsidRPr="001C156F">
        <w:rPr>
          <w:rFonts w:ascii="Arial" w:hAnsi="Arial" w:cs="Arial"/>
          <w:sz w:val="20"/>
          <w:szCs w:val="20"/>
        </w:rPr>
        <w:t>request</w:t>
      </w:r>
      <w:r w:rsidRPr="001C156F">
        <w:rPr>
          <w:rFonts w:ascii="Arial" w:hAnsi="Arial" w:cs="Arial"/>
          <w:spacing w:val="-9"/>
          <w:sz w:val="20"/>
          <w:szCs w:val="20"/>
        </w:rPr>
        <w:t xml:space="preserve"> </w:t>
      </w:r>
      <w:r w:rsidRPr="001C156F">
        <w:rPr>
          <w:rFonts w:ascii="Arial" w:hAnsi="Arial" w:cs="Arial"/>
          <w:sz w:val="20"/>
          <w:szCs w:val="20"/>
        </w:rPr>
        <w:t>a</w:t>
      </w:r>
      <w:r w:rsidRPr="001C156F">
        <w:rPr>
          <w:rFonts w:ascii="Arial" w:hAnsi="Arial" w:cs="Arial"/>
          <w:spacing w:val="-12"/>
          <w:sz w:val="20"/>
          <w:szCs w:val="20"/>
        </w:rPr>
        <w:t xml:space="preserve"> </w:t>
      </w:r>
      <w:r w:rsidRPr="001C156F">
        <w:rPr>
          <w:rFonts w:ascii="Arial" w:hAnsi="Arial" w:cs="Arial"/>
          <w:sz w:val="20"/>
          <w:szCs w:val="20"/>
        </w:rPr>
        <w:t>copy</w:t>
      </w:r>
      <w:r w:rsidRPr="001C156F">
        <w:rPr>
          <w:rFonts w:ascii="Arial" w:hAnsi="Arial" w:cs="Arial"/>
          <w:spacing w:val="-11"/>
          <w:sz w:val="20"/>
          <w:szCs w:val="20"/>
        </w:rPr>
        <w:t xml:space="preserve"> </w:t>
      </w:r>
      <w:r w:rsidRPr="001C156F">
        <w:rPr>
          <w:rFonts w:ascii="Arial" w:hAnsi="Arial" w:cs="Arial"/>
          <w:sz w:val="20"/>
          <w:szCs w:val="20"/>
        </w:rPr>
        <w:t>of</w:t>
      </w:r>
      <w:r w:rsidRPr="001C156F">
        <w:rPr>
          <w:rFonts w:ascii="Arial" w:hAnsi="Arial" w:cs="Arial"/>
          <w:spacing w:val="-12"/>
          <w:sz w:val="20"/>
          <w:szCs w:val="20"/>
        </w:rPr>
        <w:t xml:space="preserve"> </w:t>
      </w:r>
      <w:r w:rsidRPr="001C156F">
        <w:rPr>
          <w:rFonts w:ascii="Arial" w:hAnsi="Arial" w:cs="Arial"/>
          <w:sz w:val="20"/>
          <w:szCs w:val="20"/>
        </w:rPr>
        <w:t>the</w:t>
      </w:r>
      <w:r w:rsidRPr="001C156F">
        <w:rPr>
          <w:rFonts w:ascii="Arial" w:hAnsi="Arial" w:cs="Arial"/>
          <w:spacing w:val="-12"/>
          <w:sz w:val="20"/>
          <w:szCs w:val="20"/>
        </w:rPr>
        <w:t xml:space="preserve"> </w:t>
      </w:r>
      <w:r w:rsidRPr="001C156F">
        <w:rPr>
          <w:rFonts w:ascii="Arial" w:hAnsi="Arial" w:cs="Arial"/>
          <w:sz w:val="20"/>
          <w:szCs w:val="20"/>
        </w:rPr>
        <w:t>maintenance</w:t>
      </w:r>
      <w:r w:rsidRPr="001C156F">
        <w:rPr>
          <w:rFonts w:ascii="Arial" w:hAnsi="Arial" w:cs="Arial"/>
          <w:spacing w:val="-6"/>
          <w:sz w:val="20"/>
          <w:szCs w:val="20"/>
        </w:rPr>
        <w:t xml:space="preserve"> </w:t>
      </w:r>
      <w:r w:rsidRPr="001C156F">
        <w:rPr>
          <w:rFonts w:ascii="Arial" w:hAnsi="Arial" w:cs="Arial"/>
          <w:sz w:val="20"/>
          <w:szCs w:val="20"/>
        </w:rPr>
        <w:t>programme,</w:t>
      </w:r>
      <w:r w:rsidRPr="001C156F">
        <w:rPr>
          <w:rFonts w:ascii="Arial" w:hAnsi="Arial" w:cs="Arial"/>
          <w:spacing w:val="-48"/>
          <w:sz w:val="20"/>
          <w:szCs w:val="20"/>
        </w:rPr>
        <w:t xml:space="preserve"> </w:t>
      </w:r>
      <w:r w:rsidRPr="001C156F">
        <w:rPr>
          <w:rFonts w:ascii="Arial" w:hAnsi="Arial" w:cs="Arial"/>
          <w:sz w:val="20"/>
          <w:szCs w:val="20"/>
        </w:rPr>
        <w:t>decide</w:t>
      </w:r>
      <w:r w:rsidRPr="001C156F">
        <w:rPr>
          <w:rFonts w:ascii="Arial" w:hAnsi="Arial" w:cs="Arial"/>
          <w:spacing w:val="49"/>
          <w:sz w:val="20"/>
          <w:szCs w:val="20"/>
        </w:rPr>
        <w:t xml:space="preserve"> </w:t>
      </w:r>
      <w:r w:rsidRPr="001C156F">
        <w:rPr>
          <w:rFonts w:ascii="Arial" w:hAnsi="Arial" w:cs="Arial"/>
          <w:sz w:val="20"/>
          <w:szCs w:val="20"/>
        </w:rPr>
        <w:t>which</w:t>
      </w:r>
      <w:r w:rsidRPr="001C156F">
        <w:rPr>
          <w:rFonts w:ascii="Arial" w:hAnsi="Arial" w:cs="Arial"/>
          <w:spacing w:val="50"/>
          <w:sz w:val="20"/>
          <w:szCs w:val="20"/>
        </w:rPr>
        <w:t xml:space="preserve"> </w:t>
      </w:r>
      <w:r w:rsidRPr="001C156F">
        <w:rPr>
          <w:rFonts w:ascii="Arial" w:hAnsi="Arial" w:cs="Arial"/>
          <w:sz w:val="20"/>
          <w:szCs w:val="20"/>
        </w:rPr>
        <w:t>amendment   to</w:t>
      </w:r>
      <w:r w:rsidRPr="001C156F">
        <w:rPr>
          <w:rFonts w:ascii="Arial" w:hAnsi="Arial" w:cs="Arial"/>
          <w:spacing w:val="50"/>
          <w:sz w:val="20"/>
          <w:szCs w:val="20"/>
        </w:rPr>
        <w:t xml:space="preserve"> </w:t>
      </w:r>
      <w:r w:rsidRPr="001C156F">
        <w:rPr>
          <w:rFonts w:ascii="Arial" w:hAnsi="Arial" w:cs="Arial"/>
          <w:sz w:val="20"/>
          <w:szCs w:val="20"/>
        </w:rPr>
        <w:t>the</w:t>
      </w:r>
      <w:r w:rsidRPr="001C156F">
        <w:rPr>
          <w:rFonts w:ascii="Arial" w:hAnsi="Arial" w:cs="Arial"/>
          <w:spacing w:val="49"/>
          <w:sz w:val="20"/>
          <w:szCs w:val="20"/>
        </w:rPr>
        <w:t xml:space="preserve"> </w:t>
      </w:r>
      <w:r w:rsidRPr="001C156F">
        <w:rPr>
          <w:rFonts w:ascii="Arial" w:hAnsi="Arial" w:cs="Arial"/>
          <w:sz w:val="20"/>
          <w:szCs w:val="20"/>
        </w:rPr>
        <w:t>AMP</w:t>
      </w:r>
      <w:r w:rsidRPr="001C156F">
        <w:rPr>
          <w:rFonts w:ascii="Arial" w:hAnsi="Arial" w:cs="Arial"/>
          <w:spacing w:val="50"/>
          <w:sz w:val="20"/>
          <w:szCs w:val="20"/>
        </w:rPr>
        <w:t xml:space="preserve"> </w:t>
      </w:r>
      <w:r w:rsidRPr="001C156F">
        <w:rPr>
          <w:rFonts w:ascii="Arial" w:hAnsi="Arial" w:cs="Arial"/>
          <w:sz w:val="20"/>
          <w:szCs w:val="20"/>
        </w:rPr>
        <w:t>is</w:t>
      </w:r>
      <w:r w:rsidRPr="001C156F">
        <w:rPr>
          <w:rFonts w:ascii="Arial" w:hAnsi="Arial" w:cs="Arial"/>
          <w:spacing w:val="50"/>
          <w:sz w:val="20"/>
          <w:szCs w:val="20"/>
        </w:rPr>
        <w:t xml:space="preserve"> </w:t>
      </w:r>
      <w:r w:rsidRPr="001C156F">
        <w:rPr>
          <w:rFonts w:ascii="Arial" w:hAnsi="Arial" w:cs="Arial"/>
          <w:sz w:val="20"/>
          <w:szCs w:val="20"/>
        </w:rPr>
        <w:t>necessary   and</w:t>
      </w:r>
      <w:r w:rsidRPr="001C156F">
        <w:rPr>
          <w:rFonts w:ascii="Arial" w:hAnsi="Arial" w:cs="Arial"/>
          <w:spacing w:val="50"/>
          <w:sz w:val="20"/>
          <w:szCs w:val="20"/>
        </w:rPr>
        <w:t xml:space="preserve"> </w:t>
      </w:r>
      <w:r w:rsidRPr="001C156F">
        <w:rPr>
          <w:rFonts w:ascii="Arial" w:hAnsi="Arial" w:cs="Arial"/>
          <w:sz w:val="20"/>
          <w:szCs w:val="20"/>
        </w:rPr>
        <w:t>raise</w:t>
      </w:r>
      <w:r w:rsidRPr="001C156F">
        <w:rPr>
          <w:rFonts w:ascii="Arial" w:hAnsi="Arial" w:cs="Arial"/>
          <w:spacing w:val="49"/>
          <w:sz w:val="20"/>
          <w:szCs w:val="20"/>
        </w:rPr>
        <w:t xml:space="preserve"> </w:t>
      </w:r>
      <w:r w:rsidRPr="001C156F">
        <w:rPr>
          <w:rFonts w:ascii="Arial" w:hAnsi="Arial" w:cs="Arial"/>
          <w:sz w:val="20"/>
          <w:szCs w:val="20"/>
        </w:rPr>
        <w:t>the   associated</w:t>
      </w:r>
      <w:r w:rsidRPr="001C156F">
        <w:rPr>
          <w:rFonts w:ascii="Arial" w:hAnsi="Arial" w:cs="Arial"/>
          <w:spacing w:val="50"/>
          <w:sz w:val="20"/>
          <w:szCs w:val="20"/>
        </w:rPr>
        <w:t xml:space="preserve"> </w:t>
      </w:r>
      <w:r w:rsidRPr="001C156F">
        <w:rPr>
          <w:rFonts w:ascii="Arial" w:hAnsi="Arial" w:cs="Arial"/>
          <w:sz w:val="20"/>
          <w:szCs w:val="20"/>
        </w:rPr>
        <w:t>finding</w:t>
      </w:r>
      <w:r w:rsidRPr="001C156F">
        <w:rPr>
          <w:rFonts w:ascii="Arial" w:hAnsi="Arial" w:cs="Arial"/>
          <w:spacing w:val="1"/>
          <w:sz w:val="20"/>
          <w:szCs w:val="20"/>
        </w:rPr>
        <w:t xml:space="preserve"> </w:t>
      </w:r>
      <w:r w:rsidRPr="001C156F">
        <w:rPr>
          <w:rFonts w:ascii="Arial" w:hAnsi="Arial" w:cs="Arial"/>
          <w:sz w:val="20"/>
          <w:szCs w:val="20"/>
        </w:rPr>
        <w:t xml:space="preserve">(ref. ML.A.302(c)(9)). If necessary, the </w:t>
      </w:r>
      <w:r w:rsidR="004E22F1">
        <w:rPr>
          <w:rFonts w:ascii="Arial" w:hAnsi="Arial" w:cs="Arial"/>
          <w:sz w:val="20"/>
          <w:szCs w:val="20"/>
        </w:rPr>
        <w:t xml:space="preserve">CAC RA </w:t>
      </w:r>
      <w:r w:rsidRPr="001C156F">
        <w:rPr>
          <w:rFonts w:ascii="Arial" w:hAnsi="Arial" w:cs="Arial"/>
          <w:sz w:val="20"/>
          <w:szCs w:val="20"/>
        </w:rPr>
        <w:t xml:space="preserve">may also react in accordance with ML.B.304. Based on the information received, the reported deficiencies and the identified risks, the </w:t>
      </w:r>
      <w:r w:rsidR="004E22F1">
        <w:rPr>
          <w:rFonts w:ascii="Arial" w:hAnsi="Arial" w:cs="Arial"/>
          <w:sz w:val="20"/>
          <w:szCs w:val="20"/>
        </w:rPr>
        <w:t xml:space="preserve">CAC RA </w:t>
      </w:r>
      <w:r w:rsidRPr="001C156F">
        <w:rPr>
          <w:rFonts w:ascii="Arial" w:hAnsi="Arial" w:cs="Arial"/>
          <w:sz w:val="20"/>
          <w:szCs w:val="20"/>
        </w:rPr>
        <w:t>may in   addition   adapt   the   ACAM   programme   accordingly (ref. ML.B.303).</w:t>
      </w:r>
    </w:p>
    <w:p w14:paraId="6493354C" w14:textId="26F02E63" w:rsidR="001C156F" w:rsidRPr="001C156F" w:rsidRDefault="001C156F" w:rsidP="001C156F">
      <w:pPr>
        <w:pStyle w:val="ListParagraph"/>
        <w:numPr>
          <w:ilvl w:val="0"/>
          <w:numId w:val="292"/>
        </w:numPr>
        <w:tabs>
          <w:tab w:val="left" w:pos="707"/>
        </w:tabs>
        <w:ind w:right="194"/>
        <w:jc w:val="both"/>
        <w:rPr>
          <w:rFonts w:ascii="Arial" w:hAnsi="Arial" w:cs="Arial"/>
          <w:sz w:val="20"/>
          <w:szCs w:val="20"/>
        </w:rPr>
      </w:pPr>
      <w:r w:rsidRPr="001C156F">
        <w:rPr>
          <w:rFonts w:ascii="Arial" w:hAnsi="Arial" w:cs="Arial"/>
          <w:sz w:val="20"/>
          <w:szCs w:val="20"/>
        </w:rPr>
        <w:t>Although</w:t>
      </w:r>
      <w:r w:rsidRPr="001C156F">
        <w:rPr>
          <w:rFonts w:ascii="Arial" w:hAnsi="Arial" w:cs="Arial"/>
          <w:spacing w:val="-6"/>
          <w:sz w:val="20"/>
          <w:szCs w:val="20"/>
        </w:rPr>
        <w:t xml:space="preserve"> </w:t>
      </w:r>
      <w:r w:rsidRPr="001C156F">
        <w:rPr>
          <w:rFonts w:ascii="Arial" w:hAnsi="Arial" w:cs="Arial"/>
          <w:sz w:val="20"/>
          <w:szCs w:val="20"/>
        </w:rPr>
        <w:t>there</w:t>
      </w:r>
      <w:r w:rsidRPr="001C156F">
        <w:rPr>
          <w:rFonts w:ascii="Arial" w:hAnsi="Arial" w:cs="Arial"/>
          <w:spacing w:val="-7"/>
          <w:sz w:val="20"/>
          <w:szCs w:val="20"/>
        </w:rPr>
        <w:t xml:space="preserve"> </w:t>
      </w:r>
      <w:r w:rsidRPr="001C156F">
        <w:rPr>
          <w:rFonts w:ascii="Arial" w:hAnsi="Arial" w:cs="Arial"/>
          <w:sz w:val="20"/>
          <w:szCs w:val="20"/>
        </w:rPr>
        <w:t>is</w:t>
      </w:r>
      <w:r w:rsidRPr="001C156F">
        <w:rPr>
          <w:rFonts w:ascii="Arial" w:hAnsi="Arial" w:cs="Arial"/>
          <w:spacing w:val="-6"/>
          <w:sz w:val="20"/>
          <w:szCs w:val="20"/>
        </w:rPr>
        <w:t xml:space="preserve"> </w:t>
      </w:r>
      <w:r w:rsidRPr="001C156F">
        <w:rPr>
          <w:rFonts w:ascii="Arial" w:hAnsi="Arial" w:cs="Arial"/>
          <w:sz w:val="20"/>
          <w:szCs w:val="20"/>
        </w:rPr>
        <w:t>no</w:t>
      </w:r>
      <w:r w:rsidRPr="001C156F">
        <w:rPr>
          <w:rFonts w:ascii="Arial" w:hAnsi="Arial" w:cs="Arial"/>
          <w:spacing w:val="-3"/>
          <w:sz w:val="20"/>
          <w:szCs w:val="20"/>
        </w:rPr>
        <w:t xml:space="preserve"> </w:t>
      </w:r>
      <w:r w:rsidRPr="001C156F">
        <w:rPr>
          <w:rFonts w:ascii="Arial" w:hAnsi="Arial" w:cs="Arial"/>
          <w:sz w:val="20"/>
          <w:szCs w:val="20"/>
        </w:rPr>
        <w:t>requirement</w:t>
      </w:r>
      <w:r w:rsidRPr="001C156F">
        <w:rPr>
          <w:rFonts w:ascii="Arial" w:hAnsi="Arial" w:cs="Arial"/>
          <w:spacing w:val="-5"/>
          <w:sz w:val="20"/>
          <w:szCs w:val="20"/>
        </w:rPr>
        <w:t xml:space="preserve"> </w:t>
      </w:r>
      <w:r w:rsidRPr="001C156F">
        <w:rPr>
          <w:rFonts w:ascii="Arial" w:hAnsi="Arial" w:cs="Arial"/>
          <w:sz w:val="20"/>
          <w:szCs w:val="20"/>
        </w:rPr>
        <w:t>for</w:t>
      </w:r>
      <w:r w:rsidRPr="001C156F">
        <w:rPr>
          <w:rFonts w:ascii="Arial" w:hAnsi="Arial" w:cs="Arial"/>
          <w:spacing w:val="-6"/>
          <w:sz w:val="20"/>
          <w:szCs w:val="20"/>
        </w:rPr>
        <w:t xml:space="preserve"> </w:t>
      </w:r>
      <w:r w:rsidRPr="001C156F">
        <w:rPr>
          <w:rFonts w:ascii="Arial" w:hAnsi="Arial" w:cs="Arial"/>
          <w:sz w:val="20"/>
          <w:szCs w:val="20"/>
        </w:rPr>
        <w:t>the</w:t>
      </w:r>
      <w:r w:rsidRPr="001C156F">
        <w:rPr>
          <w:rFonts w:ascii="Arial" w:hAnsi="Arial" w:cs="Arial"/>
          <w:spacing w:val="-7"/>
          <w:sz w:val="20"/>
          <w:szCs w:val="20"/>
        </w:rPr>
        <w:t xml:space="preserve"> </w:t>
      </w:r>
      <w:r w:rsidRPr="001C156F">
        <w:rPr>
          <w:rFonts w:ascii="Arial" w:hAnsi="Arial" w:cs="Arial"/>
          <w:sz w:val="20"/>
          <w:szCs w:val="20"/>
        </w:rPr>
        <w:t>owner</w:t>
      </w:r>
      <w:r w:rsidRPr="001C156F">
        <w:rPr>
          <w:rFonts w:ascii="Arial" w:hAnsi="Arial" w:cs="Arial"/>
          <w:spacing w:val="-8"/>
          <w:sz w:val="20"/>
          <w:szCs w:val="20"/>
        </w:rPr>
        <w:t xml:space="preserve"> </w:t>
      </w:r>
      <w:r w:rsidRPr="001C156F">
        <w:rPr>
          <w:rFonts w:ascii="Arial" w:hAnsi="Arial" w:cs="Arial"/>
          <w:sz w:val="20"/>
          <w:szCs w:val="20"/>
        </w:rPr>
        <w:t>to</w:t>
      </w:r>
      <w:r w:rsidRPr="001C156F">
        <w:rPr>
          <w:rFonts w:ascii="Arial" w:hAnsi="Arial" w:cs="Arial"/>
          <w:spacing w:val="-6"/>
          <w:sz w:val="20"/>
          <w:szCs w:val="20"/>
        </w:rPr>
        <w:t xml:space="preserve"> </w:t>
      </w:r>
      <w:r w:rsidRPr="001C156F">
        <w:rPr>
          <w:rFonts w:ascii="Arial" w:hAnsi="Arial" w:cs="Arial"/>
          <w:sz w:val="20"/>
          <w:szCs w:val="20"/>
        </w:rPr>
        <w:t>send</w:t>
      </w:r>
      <w:r w:rsidRPr="001C156F">
        <w:rPr>
          <w:rFonts w:ascii="Arial" w:hAnsi="Arial" w:cs="Arial"/>
          <w:spacing w:val="-5"/>
          <w:sz w:val="20"/>
          <w:szCs w:val="20"/>
        </w:rPr>
        <w:t xml:space="preserve"> </w:t>
      </w:r>
      <w:r w:rsidRPr="001C156F">
        <w:rPr>
          <w:rFonts w:ascii="Arial" w:hAnsi="Arial" w:cs="Arial"/>
          <w:sz w:val="20"/>
          <w:szCs w:val="20"/>
        </w:rPr>
        <w:t>a</w:t>
      </w:r>
      <w:r w:rsidRPr="001C156F">
        <w:rPr>
          <w:rFonts w:ascii="Arial" w:hAnsi="Arial" w:cs="Arial"/>
          <w:spacing w:val="-6"/>
          <w:sz w:val="20"/>
          <w:szCs w:val="20"/>
        </w:rPr>
        <w:t xml:space="preserve"> </w:t>
      </w:r>
      <w:r w:rsidRPr="001C156F">
        <w:rPr>
          <w:rFonts w:ascii="Arial" w:hAnsi="Arial" w:cs="Arial"/>
          <w:sz w:val="20"/>
          <w:szCs w:val="20"/>
        </w:rPr>
        <w:t>copy</w:t>
      </w:r>
      <w:r w:rsidRPr="001C156F">
        <w:rPr>
          <w:rFonts w:ascii="Arial" w:hAnsi="Arial" w:cs="Arial"/>
          <w:spacing w:val="-7"/>
          <w:sz w:val="20"/>
          <w:szCs w:val="20"/>
        </w:rPr>
        <w:t xml:space="preserve"> </w:t>
      </w:r>
      <w:r w:rsidRPr="001C156F">
        <w:rPr>
          <w:rFonts w:ascii="Arial" w:hAnsi="Arial" w:cs="Arial"/>
          <w:sz w:val="20"/>
          <w:szCs w:val="20"/>
        </w:rPr>
        <w:t>of</w:t>
      </w:r>
      <w:r w:rsidRPr="001C156F">
        <w:rPr>
          <w:rFonts w:ascii="Arial" w:hAnsi="Arial" w:cs="Arial"/>
          <w:spacing w:val="-5"/>
          <w:sz w:val="20"/>
          <w:szCs w:val="20"/>
        </w:rPr>
        <w:t xml:space="preserve"> </w:t>
      </w:r>
      <w:r w:rsidRPr="001C156F">
        <w:rPr>
          <w:rFonts w:ascii="Arial" w:hAnsi="Arial" w:cs="Arial"/>
          <w:sz w:val="20"/>
          <w:szCs w:val="20"/>
        </w:rPr>
        <w:t>the</w:t>
      </w:r>
      <w:r w:rsidRPr="001C156F">
        <w:rPr>
          <w:rFonts w:ascii="Arial" w:hAnsi="Arial" w:cs="Arial"/>
          <w:spacing w:val="-10"/>
          <w:sz w:val="20"/>
          <w:szCs w:val="20"/>
        </w:rPr>
        <w:t xml:space="preserve"> </w:t>
      </w:r>
      <w:r w:rsidRPr="001C156F">
        <w:rPr>
          <w:rFonts w:ascii="Arial" w:hAnsi="Arial" w:cs="Arial"/>
          <w:sz w:val="20"/>
          <w:szCs w:val="20"/>
        </w:rPr>
        <w:t>maintenance</w:t>
      </w:r>
      <w:r w:rsidRPr="001C156F">
        <w:rPr>
          <w:rFonts w:ascii="Arial" w:hAnsi="Arial" w:cs="Arial"/>
          <w:spacing w:val="-5"/>
          <w:sz w:val="20"/>
          <w:szCs w:val="20"/>
        </w:rPr>
        <w:t xml:space="preserve"> </w:t>
      </w:r>
      <w:r w:rsidRPr="001C156F">
        <w:rPr>
          <w:rFonts w:ascii="Arial" w:hAnsi="Arial" w:cs="Arial"/>
          <w:sz w:val="20"/>
          <w:szCs w:val="20"/>
        </w:rPr>
        <w:t>programme</w:t>
      </w:r>
      <w:r w:rsidRPr="001C156F">
        <w:rPr>
          <w:rFonts w:ascii="Arial" w:hAnsi="Arial" w:cs="Arial"/>
          <w:spacing w:val="-47"/>
          <w:sz w:val="20"/>
          <w:szCs w:val="20"/>
        </w:rPr>
        <w:t xml:space="preserve"> </w:t>
      </w:r>
      <w:r w:rsidRPr="001C156F">
        <w:rPr>
          <w:rFonts w:ascii="Arial" w:hAnsi="Arial" w:cs="Arial"/>
          <w:sz w:val="20"/>
          <w:szCs w:val="20"/>
        </w:rPr>
        <w:t xml:space="preserve">to the </w:t>
      </w:r>
      <w:r w:rsidR="004E22F1">
        <w:rPr>
          <w:rFonts w:ascii="Arial" w:hAnsi="Arial" w:cs="Arial"/>
          <w:sz w:val="20"/>
          <w:szCs w:val="20"/>
        </w:rPr>
        <w:t>CAC RA</w:t>
      </w:r>
      <w:r w:rsidRPr="001C156F">
        <w:rPr>
          <w:rFonts w:ascii="Arial" w:hAnsi="Arial" w:cs="Arial"/>
          <w:sz w:val="20"/>
          <w:szCs w:val="20"/>
        </w:rPr>
        <w:t xml:space="preserve">, this does not prevent the </w:t>
      </w:r>
      <w:r w:rsidR="004E22F1">
        <w:rPr>
          <w:rFonts w:ascii="Arial" w:hAnsi="Arial" w:cs="Arial"/>
          <w:sz w:val="20"/>
          <w:szCs w:val="20"/>
        </w:rPr>
        <w:t xml:space="preserve">CAC RA </w:t>
      </w:r>
      <w:r w:rsidRPr="001C156F">
        <w:rPr>
          <w:rFonts w:ascii="Arial" w:hAnsi="Arial" w:cs="Arial"/>
          <w:sz w:val="20"/>
          <w:szCs w:val="20"/>
        </w:rPr>
        <w:t>from requesting at</w:t>
      </w:r>
      <w:r w:rsidRPr="001C156F">
        <w:rPr>
          <w:rFonts w:ascii="Arial" w:hAnsi="Arial" w:cs="Arial"/>
          <w:spacing w:val="-47"/>
          <w:sz w:val="20"/>
          <w:szCs w:val="20"/>
        </w:rPr>
        <w:t xml:space="preserve"> </w:t>
      </w:r>
      <w:r w:rsidRPr="001C156F">
        <w:rPr>
          <w:rFonts w:ascii="Arial" w:hAnsi="Arial" w:cs="Arial"/>
          <w:sz w:val="20"/>
          <w:szCs w:val="20"/>
        </w:rPr>
        <w:t>any time the owner to send information about, or a copy of the AMP, even if deficiencies have</w:t>
      </w:r>
      <w:r w:rsidRPr="001C156F">
        <w:rPr>
          <w:rFonts w:ascii="Arial" w:hAnsi="Arial" w:cs="Arial"/>
          <w:spacing w:val="-47"/>
          <w:sz w:val="20"/>
          <w:szCs w:val="20"/>
        </w:rPr>
        <w:t xml:space="preserve"> </w:t>
      </w:r>
      <w:r w:rsidRPr="001C156F">
        <w:rPr>
          <w:rFonts w:ascii="Arial" w:hAnsi="Arial" w:cs="Arial"/>
          <w:sz w:val="20"/>
          <w:szCs w:val="20"/>
        </w:rPr>
        <w:t>not</w:t>
      </w:r>
      <w:r w:rsidRPr="001C156F">
        <w:rPr>
          <w:rFonts w:ascii="Arial" w:hAnsi="Arial" w:cs="Arial"/>
          <w:spacing w:val="-1"/>
          <w:sz w:val="20"/>
          <w:szCs w:val="20"/>
        </w:rPr>
        <w:t xml:space="preserve"> </w:t>
      </w:r>
      <w:r w:rsidRPr="001C156F">
        <w:rPr>
          <w:rFonts w:ascii="Arial" w:hAnsi="Arial" w:cs="Arial"/>
          <w:sz w:val="20"/>
          <w:szCs w:val="20"/>
        </w:rPr>
        <w:t>been reported</w:t>
      </w:r>
      <w:r w:rsidRPr="001C156F">
        <w:rPr>
          <w:rFonts w:ascii="Arial" w:hAnsi="Arial" w:cs="Arial"/>
          <w:spacing w:val="-3"/>
          <w:sz w:val="20"/>
          <w:szCs w:val="20"/>
        </w:rPr>
        <w:t xml:space="preserve"> </w:t>
      </w:r>
      <w:r w:rsidRPr="001C156F">
        <w:rPr>
          <w:rFonts w:ascii="Arial" w:hAnsi="Arial" w:cs="Arial"/>
          <w:sz w:val="20"/>
          <w:szCs w:val="20"/>
        </w:rPr>
        <w:t>(see AMC1 ML.B.201).</w:t>
      </w:r>
    </w:p>
    <w:p w14:paraId="7E709958" w14:textId="77777777" w:rsidR="001C156F" w:rsidRPr="001C156F" w:rsidRDefault="001C156F" w:rsidP="001C156F">
      <w:pPr>
        <w:pStyle w:val="ListParagraph"/>
        <w:numPr>
          <w:ilvl w:val="0"/>
          <w:numId w:val="292"/>
        </w:numPr>
        <w:tabs>
          <w:tab w:val="left" w:pos="707"/>
        </w:tabs>
        <w:spacing w:before="119"/>
        <w:ind w:right="195"/>
        <w:jc w:val="both"/>
        <w:rPr>
          <w:rFonts w:ascii="Arial" w:hAnsi="Arial" w:cs="Arial"/>
          <w:sz w:val="20"/>
          <w:szCs w:val="20"/>
        </w:rPr>
      </w:pPr>
      <w:r w:rsidRPr="001C156F">
        <w:rPr>
          <w:rFonts w:ascii="Arial" w:hAnsi="Arial" w:cs="Arial"/>
          <w:sz w:val="20"/>
          <w:szCs w:val="20"/>
        </w:rPr>
        <w:t>Since</w:t>
      </w:r>
      <w:r w:rsidRPr="001C156F">
        <w:rPr>
          <w:rFonts w:ascii="Arial" w:hAnsi="Arial" w:cs="Arial"/>
          <w:spacing w:val="1"/>
          <w:sz w:val="20"/>
          <w:szCs w:val="20"/>
        </w:rPr>
        <w:t xml:space="preserve"> </w:t>
      </w:r>
      <w:r w:rsidRPr="001C156F">
        <w:rPr>
          <w:rFonts w:ascii="Arial" w:hAnsi="Arial" w:cs="Arial"/>
          <w:sz w:val="20"/>
          <w:szCs w:val="20"/>
        </w:rPr>
        <w:t>the</w:t>
      </w:r>
      <w:r w:rsidRPr="001C156F">
        <w:rPr>
          <w:rFonts w:ascii="Arial" w:hAnsi="Arial" w:cs="Arial"/>
          <w:spacing w:val="1"/>
          <w:sz w:val="20"/>
          <w:szCs w:val="20"/>
        </w:rPr>
        <w:t xml:space="preserve"> </w:t>
      </w:r>
      <w:r w:rsidRPr="001C156F">
        <w:rPr>
          <w:rFonts w:ascii="Arial" w:hAnsi="Arial" w:cs="Arial"/>
          <w:sz w:val="20"/>
          <w:szCs w:val="20"/>
        </w:rPr>
        <w:t>maintenance</w:t>
      </w:r>
      <w:r w:rsidRPr="001C156F">
        <w:rPr>
          <w:rFonts w:ascii="Arial" w:hAnsi="Arial" w:cs="Arial"/>
          <w:spacing w:val="1"/>
          <w:sz w:val="20"/>
          <w:szCs w:val="20"/>
        </w:rPr>
        <w:t xml:space="preserve"> </w:t>
      </w:r>
      <w:r w:rsidRPr="001C156F">
        <w:rPr>
          <w:rFonts w:ascii="Arial" w:hAnsi="Arial" w:cs="Arial"/>
          <w:sz w:val="20"/>
          <w:szCs w:val="20"/>
        </w:rPr>
        <w:t>programme</w:t>
      </w:r>
      <w:r w:rsidRPr="001C156F">
        <w:rPr>
          <w:rFonts w:ascii="Arial" w:hAnsi="Arial" w:cs="Arial"/>
          <w:spacing w:val="1"/>
          <w:sz w:val="20"/>
          <w:szCs w:val="20"/>
        </w:rPr>
        <w:t xml:space="preserve"> </w:t>
      </w:r>
      <w:r w:rsidRPr="001C156F">
        <w:rPr>
          <w:rFonts w:ascii="Arial" w:hAnsi="Arial" w:cs="Arial"/>
          <w:sz w:val="20"/>
          <w:szCs w:val="20"/>
        </w:rPr>
        <w:t>has</w:t>
      </w:r>
      <w:r w:rsidRPr="001C156F">
        <w:rPr>
          <w:rFonts w:ascii="Arial" w:hAnsi="Arial" w:cs="Arial"/>
          <w:spacing w:val="1"/>
          <w:sz w:val="20"/>
          <w:szCs w:val="20"/>
        </w:rPr>
        <w:t xml:space="preserve"> </w:t>
      </w:r>
      <w:r w:rsidRPr="001C156F">
        <w:rPr>
          <w:rFonts w:ascii="Arial" w:hAnsi="Arial" w:cs="Arial"/>
          <w:sz w:val="20"/>
          <w:szCs w:val="20"/>
        </w:rPr>
        <w:t>to</w:t>
      </w:r>
      <w:r w:rsidRPr="001C156F">
        <w:rPr>
          <w:rFonts w:ascii="Arial" w:hAnsi="Arial" w:cs="Arial"/>
          <w:spacing w:val="1"/>
          <w:sz w:val="20"/>
          <w:szCs w:val="20"/>
        </w:rPr>
        <w:t xml:space="preserve"> </w:t>
      </w:r>
      <w:r w:rsidRPr="001C156F">
        <w:rPr>
          <w:rFonts w:ascii="Arial" w:hAnsi="Arial" w:cs="Arial"/>
          <w:sz w:val="20"/>
          <w:szCs w:val="20"/>
        </w:rPr>
        <w:t>identify</w:t>
      </w:r>
      <w:r w:rsidRPr="001C156F">
        <w:rPr>
          <w:rFonts w:ascii="Arial" w:hAnsi="Arial" w:cs="Arial"/>
          <w:spacing w:val="1"/>
          <w:sz w:val="20"/>
          <w:szCs w:val="20"/>
        </w:rPr>
        <w:t xml:space="preserve"> </w:t>
      </w:r>
      <w:r w:rsidRPr="001C156F">
        <w:rPr>
          <w:rFonts w:ascii="Arial" w:hAnsi="Arial" w:cs="Arial"/>
          <w:sz w:val="20"/>
          <w:szCs w:val="20"/>
        </w:rPr>
        <w:t>the</w:t>
      </w:r>
      <w:r w:rsidRPr="001C156F">
        <w:rPr>
          <w:rFonts w:ascii="Arial" w:hAnsi="Arial" w:cs="Arial"/>
          <w:spacing w:val="1"/>
          <w:sz w:val="20"/>
          <w:szCs w:val="20"/>
        </w:rPr>
        <w:t xml:space="preserve"> </w:t>
      </w:r>
      <w:r w:rsidRPr="001C156F">
        <w:rPr>
          <w:rFonts w:ascii="Arial" w:hAnsi="Arial" w:cs="Arial"/>
          <w:sz w:val="20"/>
          <w:szCs w:val="20"/>
        </w:rPr>
        <w:t>alternatives</w:t>
      </w:r>
      <w:r w:rsidRPr="001C156F">
        <w:rPr>
          <w:rFonts w:ascii="Arial" w:hAnsi="Arial" w:cs="Arial"/>
          <w:spacing w:val="1"/>
          <w:sz w:val="20"/>
          <w:szCs w:val="20"/>
        </w:rPr>
        <w:t xml:space="preserve"> </w:t>
      </w:r>
      <w:r w:rsidRPr="001C156F">
        <w:rPr>
          <w:rFonts w:ascii="Arial" w:hAnsi="Arial" w:cs="Arial"/>
          <w:sz w:val="20"/>
          <w:szCs w:val="20"/>
        </w:rPr>
        <w:t>tasks</w:t>
      </w:r>
      <w:r w:rsidRPr="001C156F">
        <w:rPr>
          <w:rFonts w:ascii="Arial" w:hAnsi="Arial" w:cs="Arial"/>
          <w:spacing w:val="1"/>
          <w:sz w:val="20"/>
          <w:szCs w:val="20"/>
        </w:rPr>
        <w:t xml:space="preserve"> </w:t>
      </w:r>
      <w:r w:rsidRPr="001C156F">
        <w:rPr>
          <w:rFonts w:ascii="Arial" w:hAnsi="Arial" w:cs="Arial"/>
          <w:sz w:val="20"/>
          <w:szCs w:val="20"/>
        </w:rPr>
        <w:t>to</w:t>
      </w:r>
      <w:r w:rsidRPr="001C156F">
        <w:rPr>
          <w:rFonts w:ascii="Arial" w:hAnsi="Arial" w:cs="Arial"/>
          <w:spacing w:val="1"/>
          <w:sz w:val="20"/>
          <w:szCs w:val="20"/>
        </w:rPr>
        <w:t xml:space="preserve"> </w:t>
      </w:r>
      <w:r w:rsidRPr="001C156F">
        <w:rPr>
          <w:rFonts w:ascii="Arial" w:hAnsi="Arial" w:cs="Arial"/>
          <w:sz w:val="20"/>
          <w:szCs w:val="20"/>
        </w:rPr>
        <w:t>the</w:t>
      </w:r>
      <w:r w:rsidRPr="001C156F">
        <w:rPr>
          <w:rFonts w:ascii="Arial" w:hAnsi="Arial" w:cs="Arial"/>
          <w:spacing w:val="1"/>
          <w:sz w:val="20"/>
          <w:szCs w:val="20"/>
        </w:rPr>
        <w:t xml:space="preserve"> </w:t>
      </w:r>
      <w:r w:rsidRPr="001C156F">
        <w:rPr>
          <w:rFonts w:ascii="Arial" w:hAnsi="Arial" w:cs="Arial"/>
          <w:sz w:val="20"/>
          <w:szCs w:val="20"/>
        </w:rPr>
        <w:t>DAH’s</w:t>
      </w:r>
      <w:r w:rsidRPr="001C156F">
        <w:rPr>
          <w:rFonts w:ascii="Arial" w:hAnsi="Arial" w:cs="Arial"/>
          <w:spacing w:val="1"/>
          <w:sz w:val="20"/>
          <w:szCs w:val="20"/>
        </w:rPr>
        <w:t xml:space="preserve"> </w:t>
      </w:r>
      <w:r w:rsidRPr="001C156F">
        <w:rPr>
          <w:rFonts w:ascii="Arial" w:hAnsi="Arial" w:cs="Arial"/>
          <w:sz w:val="20"/>
          <w:szCs w:val="20"/>
        </w:rPr>
        <w:t>instructions, the ARs and ACAM inspections can place emphasis on the inspection of the areas</w:t>
      </w:r>
      <w:r w:rsidRPr="001C156F">
        <w:rPr>
          <w:rFonts w:ascii="Arial" w:hAnsi="Arial" w:cs="Arial"/>
          <w:spacing w:val="1"/>
          <w:sz w:val="20"/>
          <w:szCs w:val="20"/>
        </w:rPr>
        <w:t xml:space="preserve"> </w:t>
      </w:r>
      <w:r w:rsidRPr="001C156F">
        <w:rPr>
          <w:rFonts w:ascii="Arial" w:hAnsi="Arial" w:cs="Arial"/>
          <w:sz w:val="20"/>
          <w:szCs w:val="20"/>
        </w:rPr>
        <w:t>affected</w:t>
      </w:r>
      <w:r w:rsidRPr="001C156F">
        <w:rPr>
          <w:rFonts w:ascii="Arial" w:hAnsi="Arial" w:cs="Arial"/>
          <w:spacing w:val="1"/>
          <w:sz w:val="20"/>
          <w:szCs w:val="20"/>
        </w:rPr>
        <w:t xml:space="preserve"> </w:t>
      </w:r>
      <w:r w:rsidRPr="001C156F">
        <w:rPr>
          <w:rFonts w:ascii="Arial" w:hAnsi="Arial" w:cs="Arial"/>
          <w:sz w:val="20"/>
          <w:szCs w:val="20"/>
        </w:rPr>
        <w:t>by</w:t>
      </w:r>
      <w:r w:rsidRPr="001C156F">
        <w:rPr>
          <w:rFonts w:ascii="Arial" w:hAnsi="Arial" w:cs="Arial"/>
          <w:spacing w:val="1"/>
          <w:sz w:val="20"/>
          <w:szCs w:val="20"/>
        </w:rPr>
        <w:t xml:space="preserve"> </w:t>
      </w:r>
      <w:r w:rsidRPr="001C156F">
        <w:rPr>
          <w:rFonts w:ascii="Arial" w:hAnsi="Arial" w:cs="Arial"/>
          <w:sz w:val="20"/>
          <w:szCs w:val="20"/>
        </w:rPr>
        <w:t>those</w:t>
      </w:r>
      <w:r w:rsidRPr="001C156F">
        <w:rPr>
          <w:rFonts w:ascii="Arial" w:hAnsi="Arial" w:cs="Arial"/>
          <w:spacing w:val="1"/>
          <w:sz w:val="20"/>
          <w:szCs w:val="20"/>
        </w:rPr>
        <w:t xml:space="preserve"> </w:t>
      </w:r>
      <w:r w:rsidRPr="001C156F">
        <w:rPr>
          <w:rFonts w:ascii="Arial" w:hAnsi="Arial" w:cs="Arial"/>
          <w:sz w:val="20"/>
          <w:szCs w:val="20"/>
        </w:rPr>
        <w:t>deviations</w:t>
      </w:r>
      <w:r w:rsidRPr="001C156F">
        <w:rPr>
          <w:rFonts w:ascii="Arial" w:hAnsi="Arial" w:cs="Arial"/>
          <w:spacing w:val="1"/>
          <w:sz w:val="20"/>
          <w:szCs w:val="20"/>
        </w:rPr>
        <w:t xml:space="preserve"> </w:t>
      </w:r>
      <w:r w:rsidRPr="001C156F">
        <w:rPr>
          <w:rFonts w:ascii="Arial" w:hAnsi="Arial" w:cs="Arial"/>
          <w:sz w:val="20"/>
          <w:szCs w:val="20"/>
        </w:rPr>
        <w:t>in</w:t>
      </w:r>
      <w:r w:rsidRPr="001C156F">
        <w:rPr>
          <w:rFonts w:ascii="Arial" w:hAnsi="Arial" w:cs="Arial"/>
          <w:spacing w:val="1"/>
          <w:sz w:val="20"/>
          <w:szCs w:val="20"/>
        </w:rPr>
        <w:t xml:space="preserve"> </w:t>
      </w:r>
      <w:r w:rsidRPr="001C156F">
        <w:rPr>
          <w:rFonts w:ascii="Arial" w:hAnsi="Arial" w:cs="Arial"/>
          <w:sz w:val="20"/>
          <w:szCs w:val="20"/>
        </w:rPr>
        <w:t>order</w:t>
      </w:r>
      <w:r w:rsidRPr="001C156F">
        <w:rPr>
          <w:rFonts w:ascii="Arial" w:hAnsi="Arial" w:cs="Arial"/>
          <w:spacing w:val="1"/>
          <w:sz w:val="20"/>
          <w:szCs w:val="20"/>
        </w:rPr>
        <w:t xml:space="preserve"> </w:t>
      </w:r>
      <w:r w:rsidRPr="001C156F">
        <w:rPr>
          <w:rFonts w:ascii="Arial" w:hAnsi="Arial" w:cs="Arial"/>
          <w:sz w:val="20"/>
          <w:szCs w:val="20"/>
        </w:rPr>
        <w:t>to</w:t>
      </w:r>
      <w:r w:rsidRPr="001C156F">
        <w:rPr>
          <w:rFonts w:ascii="Arial" w:hAnsi="Arial" w:cs="Arial"/>
          <w:spacing w:val="1"/>
          <w:sz w:val="20"/>
          <w:szCs w:val="20"/>
        </w:rPr>
        <w:t xml:space="preserve"> </w:t>
      </w:r>
      <w:r w:rsidRPr="001C156F">
        <w:rPr>
          <w:rFonts w:ascii="Arial" w:hAnsi="Arial" w:cs="Arial"/>
          <w:sz w:val="20"/>
          <w:szCs w:val="20"/>
        </w:rPr>
        <w:t>make</w:t>
      </w:r>
      <w:r w:rsidRPr="001C156F">
        <w:rPr>
          <w:rFonts w:ascii="Arial" w:hAnsi="Arial" w:cs="Arial"/>
          <w:spacing w:val="1"/>
          <w:sz w:val="20"/>
          <w:szCs w:val="20"/>
        </w:rPr>
        <w:t xml:space="preserve"> </w:t>
      </w:r>
      <w:r w:rsidRPr="001C156F">
        <w:rPr>
          <w:rFonts w:ascii="Arial" w:hAnsi="Arial" w:cs="Arial"/>
          <w:sz w:val="20"/>
          <w:szCs w:val="20"/>
        </w:rPr>
        <w:t>sure</w:t>
      </w:r>
      <w:r w:rsidRPr="001C156F">
        <w:rPr>
          <w:rFonts w:ascii="Arial" w:hAnsi="Arial" w:cs="Arial"/>
          <w:spacing w:val="1"/>
          <w:sz w:val="20"/>
          <w:szCs w:val="20"/>
        </w:rPr>
        <w:t xml:space="preserve"> </w:t>
      </w:r>
      <w:r w:rsidRPr="001C156F">
        <w:rPr>
          <w:rFonts w:ascii="Arial" w:hAnsi="Arial" w:cs="Arial"/>
          <w:sz w:val="20"/>
          <w:szCs w:val="20"/>
        </w:rPr>
        <w:t>that</w:t>
      </w:r>
      <w:r w:rsidRPr="001C156F">
        <w:rPr>
          <w:rFonts w:ascii="Arial" w:hAnsi="Arial" w:cs="Arial"/>
          <w:spacing w:val="1"/>
          <w:sz w:val="20"/>
          <w:szCs w:val="20"/>
        </w:rPr>
        <w:t xml:space="preserve"> </w:t>
      </w:r>
      <w:r w:rsidRPr="001C156F">
        <w:rPr>
          <w:rFonts w:ascii="Arial" w:hAnsi="Arial" w:cs="Arial"/>
          <w:sz w:val="20"/>
          <w:szCs w:val="20"/>
        </w:rPr>
        <w:t>the</w:t>
      </w:r>
      <w:r w:rsidRPr="001C156F">
        <w:rPr>
          <w:rFonts w:ascii="Arial" w:hAnsi="Arial" w:cs="Arial"/>
          <w:spacing w:val="1"/>
          <w:sz w:val="20"/>
          <w:szCs w:val="20"/>
        </w:rPr>
        <w:t xml:space="preserve"> </w:t>
      </w:r>
      <w:r w:rsidRPr="001C156F">
        <w:rPr>
          <w:rFonts w:ascii="Arial" w:hAnsi="Arial" w:cs="Arial"/>
          <w:sz w:val="20"/>
          <w:szCs w:val="20"/>
        </w:rPr>
        <w:t>maintenance</w:t>
      </w:r>
      <w:r w:rsidRPr="001C156F">
        <w:rPr>
          <w:rFonts w:ascii="Arial" w:hAnsi="Arial" w:cs="Arial"/>
          <w:spacing w:val="1"/>
          <w:sz w:val="20"/>
          <w:szCs w:val="20"/>
        </w:rPr>
        <w:t xml:space="preserve"> </w:t>
      </w:r>
      <w:r w:rsidRPr="001C156F">
        <w:rPr>
          <w:rFonts w:ascii="Arial" w:hAnsi="Arial" w:cs="Arial"/>
          <w:sz w:val="20"/>
          <w:szCs w:val="20"/>
        </w:rPr>
        <w:t>programme</w:t>
      </w:r>
      <w:r w:rsidRPr="001C156F">
        <w:rPr>
          <w:rFonts w:ascii="Arial" w:hAnsi="Arial" w:cs="Arial"/>
          <w:spacing w:val="1"/>
          <w:sz w:val="20"/>
          <w:szCs w:val="20"/>
        </w:rPr>
        <w:t xml:space="preserve"> </w:t>
      </w:r>
      <w:r w:rsidRPr="001C156F">
        <w:rPr>
          <w:rFonts w:ascii="Arial" w:hAnsi="Arial" w:cs="Arial"/>
          <w:sz w:val="20"/>
          <w:szCs w:val="20"/>
        </w:rPr>
        <w:t>is</w:t>
      </w:r>
      <w:r w:rsidRPr="001C156F">
        <w:rPr>
          <w:rFonts w:ascii="Arial" w:hAnsi="Arial" w:cs="Arial"/>
          <w:spacing w:val="-47"/>
          <w:sz w:val="20"/>
          <w:szCs w:val="20"/>
        </w:rPr>
        <w:t xml:space="preserve"> </w:t>
      </w:r>
      <w:r w:rsidRPr="001C156F">
        <w:rPr>
          <w:rFonts w:ascii="Arial" w:hAnsi="Arial" w:cs="Arial"/>
          <w:sz w:val="20"/>
          <w:szCs w:val="20"/>
        </w:rPr>
        <w:t>effective.</w:t>
      </w:r>
    </w:p>
    <w:p w14:paraId="40B7C506" w14:textId="231A0B95" w:rsidR="001C156F" w:rsidRPr="001C156F" w:rsidRDefault="001C156F" w:rsidP="001C156F">
      <w:pPr>
        <w:pStyle w:val="ListParagraph"/>
        <w:numPr>
          <w:ilvl w:val="0"/>
          <w:numId w:val="292"/>
        </w:numPr>
        <w:tabs>
          <w:tab w:val="left" w:pos="707"/>
        </w:tabs>
        <w:spacing w:before="121"/>
        <w:ind w:right="192"/>
        <w:jc w:val="both"/>
        <w:rPr>
          <w:rFonts w:ascii="Arial" w:hAnsi="Arial" w:cs="Arial"/>
          <w:sz w:val="20"/>
          <w:szCs w:val="20"/>
        </w:rPr>
      </w:pPr>
      <w:r w:rsidRPr="001C156F">
        <w:rPr>
          <w:rFonts w:ascii="Arial" w:hAnsi="Arial" w:cs="Arial"/>
          <w:sz w:val="20"/>
          <w:szCs w:val="20"/>
        </w:rPr>
        <w:t xml:space="preserve">Since the </w:t>
      </w:r>
      <w:r w:rsidR="004E22F1">
        <w:rPr>
          <w:rFonts w:ascii="Arial" w:hAnsi="Arial" w:cs="Arial"/>
          <w:sz w:val="20"/>
          <w:szCs w:val="20"/>
        </w:rPr>
        <w:t xml:space="preserve">CAC RA </w:t>
      </w:r>
      <w:r w:rsidRPr="001C156F">
        <w:rPr>
          <w:rFonts w:ascii="Arial" w:hAnsi="Arial" w:cs="Arial"/>
          <w:sz w:val="20"/>
          <w:szCs w:val="20"/>
        </w:rPr>
        <w:t>is not responsible for the content of a declared maintenance</w:t>
      </w:r>
      <w:r w:rsidRPr="001C156F">
        <w:rPr>
          <w:rFonts w:ascii="Arial" w:hAnsi="Arial" w:cs="Arial"/>
          <w:spacing w:val="1"/>
          <w:sz w:val="20"/>
          <w:szCs w:val="20"/>
        </w:rPr>
        <w:t xml:space="preserve"> </w:t>
      </w:r>
      <w:r w:rsidRPr="001C156F">
        <w:rPr>
          <w:rFonts w:ascii="Arial" w:hAnsi="Arial" w:cs="Arial"/>
          <w:sz w:val="20"/>
          <w:szCs w:val="20"/>
        </w:rPr>
        <w:t>programme,</w:t>
      </w:r>
      <w:r w:rsidRPr="001C156F">
        <w:rPr>
          <w:rFonts w:ascii="Arial" w:hAnsi="Arial" w:cs="Arial"/>
          <w:spacing w:val="-6"/>
          <w:sz w:val="20"/>
          <w:szCs w:val="20"/>
        </w:rPr>
        <w:t xml:space="preserve"> </w:t>
      </w:r>
      <w:r w:rsidRPr="001C156F">
        <w:rPr>
          <w:rFonts w:ascii="Arial" w:hAnsi="Arial" w:cs="Arial"/>
          <w:sz w:val="20"/>
          <w:szCs w:val="20"/>
        </w:rPr>
        <w:t>the</w:t>
      </w:r>
      <w:r w:rsidRPr="001C156F">
        <w:rPr>
          <w:rFonts w:ascii="Arial" w:hAnsi="Arial" w:cs="Arial"/>
          <w:spacing w:val="-9"/>
          <w:sz w:val="20"/>
          <w:szCs w:val="20"/>
        </w:rPr>
        <w:t xml:space="preserve"> </w:t>
      </w:r>
      <w:r w:rsidR="004E22F1">
        <w:rPr>
          <w:rFonts w:ascii="Arial" w:hAnsi="Arial" w:cs="Arial"/>
          <w:sz w:val="20"/>
          <w:szCs w:val="20"/>
        </w:rPr>
        <w:t xml:space="preserve">CAC RA </w:t>
      </w:r>
      <w:r w:rsidRPr="001C156F">
        <w:rPr>
          <w:rFonts w:ascii="Arial" w:hAnsi="Arial" w:cs="Arial"/>
          <w:sz w:val="20"/>
          <w:szCs w:val="20"/>
        </w:rPr>
        <w:t>does</w:t>
      </w:r>
      <w:r w:rsidRPr="001C156F">
        <w:rPr>
          <w:rFonts w:ascii="Arial" w:hAnsi="Arial" w:cs="Arial"/>
          <w:spacing w:val="-7"/>
          <w:sz w:val="20"/>
          <w:szCs w:val="20"/>
        </w:rPr>
        <w:t xml:space="preserve"> </w:t>
      </w:r>
      <w:r w:rsidRPr="001C156F">
        <w:rPr>
          <w:rFonts w:ascii="Arial" w:hAnsi="Arial" w:cs="Arial"/>
          <w:sz w:val="20"/>
          <w:szCs w:val="20"/>
        </w:rPr>
        <w:t>not</w:t>
      </w:r>
      <w:r w:rsidRPr="001C156F">
        <w:rPr>
          <w:rFonts w:ascii="Arial" w:hAnsi="Arial" w:cs="Arial"/>
          <w:spacing w:val="-6"/>
          <w:sz w:val="20"/>
          <w:szCs w:val="20"/>
        </w:rPr>
        <w:t xml:space="preserve"> </w:t>
      </w:r>
      <w:r w:rsidRPr="001C156F">
        <w:rPr>
          <w:rFonts w:ascii="Arial" w:hAnsi="Arial" w:cs="Arial"/>
          <w:sz w:val="20"/>
          <w:szCs w:val="20"/>
        </w:rPr>
        <w:t>authorise</w:t>
      </w:r>
      <w:r w:rsidRPr="001C156F">
        <w:rPr>
          <w:rFonts w:ascii="Arial" w:hAnsi="Arial" w:cs="Arial"/>
          <w:spacing w:val="-5"/>
          <w:sz w:val="20"/>
          <w:szCs w:val="20"/>
        </w:rPr>
        <w:t xml:space="preserve"> </w:t>
      </w:r>
      <w:r w:rsidRPr="001C156F">
        <w:rPr>
          <w:rFonts w:ascii="Arial" w:hAnsi="Arial" w:cs="Arial"/>
          <w:sz w:val="20"/>
          <w:szCs w:val="20"/>
        </w:rPr>
        <w:t>the</w:t>
      </w:r>
      <w:r w:rsidRPr="001C156F">
        <w:rPr>
          <w:rFonts w:ascii="Arial" w:hAnsi="Arial" w:cs="Arial"/>
          <w:spacing w:val="-9"/>
          <w:sz w:val="20"/>
          <w:szCs w:val="20"/>
        </w:rPr>
        <w:t xml:space="preserve"> </w:t>
      </w:r>
      <w:r w:rsidRPr="001C156F">
        <w:rPr>
          <w:rFonts w:ascii="Arial" w:hAnsi="Arial" w:cs="Arial"/>
          <w:sz w:val="20"/>
          <w:szCs w:val="20"/>
        </w:rPr>
        <w:t>accomplishment</w:t>
      </w:r>
      <w:r w:rsidRPr="001C156F">
        <w:rPr>
          <w:rFonts w:ascii="Arial" w:hAnsi="Arial" w:cs="Arial"/>
          <w:spacing w:val="-8"/>
          <w:sz w:val="20"/>
          <w:szCs w:val="20"/>
        </w:rPr>
        <w:t xml:space="preserve"> </w:t>
      </w:r>
      <w:r w:rsidRPr="001C156F">
        <w:rPr>
          <w:rFonts w:ascii="Arial" w:hAnsi="Arial" w:cs="Arial"/>
          <w:sz w:val="20"/>
          <w:szCs w:val="20"/>
        </w:rPr>
        <w:t>of</w:t>
      </w:r>
      <w:r w:rsidRPr="001C156F">
        <w:rPr>
          <w:rFonts w:ascii="Arial" w:hAnsi="Arial" w:cs="Arial"/>
          <w:spacing w:val="-9"/>
          <w:sz w:val="20"/>
          <w:szCs w:val="20"/>
        </w:rPr>
        <w:t xml:space="preserve"> </w:t>
      </w:r>
      <w:r w:rsidRPr="001C156F">
        <w:rPr>
          <w:rFonts w:ascii="Arial" w:hAnsi="Arial" w:cs="Arial"/>
          <w:sz w:val="20"/>
          <w:szCs w:val="20"/>
        </w:rPr>
        <w:t>the</w:t>
      </w:r>
      <w:r w:rsidRPr="001C156F">
        <w:rPr>
          <w:rFonts w:ascii="Arial" w:hAnsi="Arial" w:cs="Arial"/>
          <w:spacing w:val="-6"/>
          <w:sz w:val="20"/>
          <w:szCs w:val="20"/>
        </w:rPr>
        <w:t xml:space="preserve"> </w:t>
      </w:r>
      <w:r w:rsidRPr="001C156F">
        <w:rPr>
          <w:rFonts w:ascii="Arial" w:hAnsi="Arial" w:cs="Arial"/>
          <w:sz w:val="20"/>
          <w:szCs w:val="20"/>
        </w:rPr>
        <w:t>scheduled</w:t>
      </w:r>
      <w:r w:rsidRPr="001C156F">
        <w:rPr>
          <w:rFonts w:ascii="Arial" w:hAnsi="Arial" w:cs="Arial"/>
          <w:spacing w:val="-48"/>
          <w:sz w:val="20"/>
          <w:szCs w:val="20"/>
        </w:rPr>
        <w:t xml:space="preserve"> </w:t>
      </w:r>
      <w:r w:rsidRPr="001C156F">
        <w:rPr>
          <w:rFonts w:ascii="Arial" w:hAnsi="Arial" w:cs="Arial"/>
          <w:sz w:val="20"/>
          <w:szCs w:val="20"/>
        </w:rPr>
        <w:t>maintenance to deviate from the AMP content (other than the tolerances provided for in</w:t>
      </w:r>
      <w:r w:rsidRPr="001C156F">
        <w:rPr>
          <w:rFonts w:ascii="Arial" w:hAnsi="Arial" w:cs="Arial"/>
          <w:color w:val="0000FF"/>
          <w:spacing w:val="1"/>
          <w:sz w:val="20"/>
          <w:szCs w:val="20"/>
        </w:rPr>
        <w:t xml:space="preserve"> </w:t>
      </w:r>
      <w:r w:rsidRPr="001C156F">
        <w:rPr>
          <w:rFonts w:ascii="Arial" w:hAnsi="Arial" w:cs="Arial"/>
          <w:sz w:val="20"/>
          <w:szCs w:val="20"/>
        </w:rPr>
        <w:t>ML.A.302(d)(1)).</w:t>
      </w:r>
      <w:r w:rsidRPr="001C156F">
        <w:rPr>
          <w:rFonts w:ascii="Arial" w:hAnsi="Arial" w:cs="Arial"/>
          <w:spacing w:val="-1"/>
          <w:sz w:val="20"/>
          <w:szCs w:val="20"/>
        </w:rPr>
        <w:t xml:space="preserve"> </w:t>
      </w:r>
      <w:r w:rsidRPr="001C156F">
        <w:rPr>
          <w:rFonts w:ascii="Arial" w:hAnsi="Arial" w:cs="Arial"/>
          <w:sz w:val="20"/>
          <w:szCs w:val="20"/>
        </w:rPr>
        <w:t>In</w:t>
      </w:r>
      <w:r w:rsidRPr="001C156F">
        <w:rPr>
          <w:rFonts w:ascii="Arial" w:hAnsi="Arial" w:cs="Arial"/>
          <w:spacing w:val="-1"/>
          <w:sz w:val="20"/>
          <w:szCs w:val="20"/>
        </w:rPr>
        <w:t xml:space="preserve"> </w:t>
      </w:r>
      <w:r w:rsidRPr="001C156F">
        <w:rPr>
          <w:rFonts w:ascii="Arial" w:hAnsi="Arial" w:cs="Arial"/>
          <w:sz w:val="20"/>
          <w:szCs w:val="20"/>
        </w:rPr>
        <w:t>such</w:t>
      </w:r>
      <w:r w:rsidRPr="001C156F">
        <w:rPr>
          <w:rFonts w:ascii="Arial" w:hAnsi="Arial" w:cs="Arial"/>
          <w:spacing w:val="-2"/>
          <w:sz w:val="20"/>
          <w:szCs w:val="20"/>
        </w:rPr>
        <w:t xml:space="preserve"> </w:t>
      </w:r>
      <w:r w:rsidRPr="001C156F">
        <w:rPr>
          <w:rFonts w:ascii="Arial" w:hAnsi="Arial" w:cs="Arial"/>
          <w:sz w:val="20"/>
          <w:szCs w:val="20"/>
        </w:rPr>
        <w:t>cases,</w:t>
      </w:r>
      <w:r w:rsidRPr="001C156F">
        <w:rPr>
          <w:rFonts w:ascii="Arial" w:hAnsi="Arial" w:cs="Arial"/>
          <w:spacing w:val="1"/>
          <w:sz w:val="20"/>
          <w:szCs w:val="20"/>
        </w:rPr>
        <w:t xml:space="preserve"> </w:t>
      </w:r>
      <w:r w:rsidRPr="001C156F">
        <w:rPr>
          <w:rFonts w:ascii="Arial" w:hAnsi="Arial" w:cs="Arial"/>
          <w:sz w:val="20"/>
          <w:szCs w:val="20"/>
        </w:rPr>
        <w:t>the</w:t>
      </w:r>
      <w:r w:rsidRPr="001C156F">
        <w:rPr>
          <w:rFonts w:ascii="Arial" w:hAnsi="Arial" w:cs="Arial"/>
          <w:spacing w:val="-2"/>
          <w:sz w:val="20"/>
          <w:szCs w:val="20"/>
        </w:rPr>
        <w:t xml:space="preserve"> </w:t>
      </w:r>
      <w:r w:rsidRPr="001C156F">
        <w:rPr>
          <w:rFonts w:ascii="Arial" w:hAnsi="Arial" w:cs="Arial"/>
          <w:sz w:val="20"/>
          <w:szCs w:val="20"/>
        </w:rPr>
        <w:t>owner</w:t>
      </w:r>
      <w:r w:rsidRPr="001C156F">
        <w:rPr>
          <w:rFonts w:ascii="Arial" w:hAnsi="Arial" w:cs="Arial"/>
          <w:spacing w:val="-4"/>
          <w:sz w:val="20"/>
          <w:szCs w:val="20"/>
        </w:rPr>
        <w:t xml:space="preserve"> </w:t>
      </w:r>
      <w:r w:rsidRPr="001C156F">
        <w:rPr>
          <w:rFonts w:ascii="Arial" w:hAnsi="Arial" w:cs="Arial"/>
          <w:sz w:val="20"/>
          <w:szCs w:val="20"/>
        </w:rPr>
        <w:t>may declare</w:t>
      </w:r>
      <w:r w:rsidRPr="001C156F">
        <w:rPr>
          <w:rFonts w:ascii="Arial" w:hAnsi="Arial" w:cs="Arial"/>
          <w:spacing w:val="-3"/>
          <w:sz w:val="20"/>
          <w:szCs w:val="20"/>
        </w:rPr>
        <w:t xml:space="preserve"> </w:t>
      </w:r>
      <w:r w:rsidRPr="001C156F">
        <w:rPr>
          <w:rFonts w:ascii="Arial" w:hAnsi="Arial" w:cs="Arial"/>
          <w:sz w:val="20"/>
          <w:szCs w:val="20"/>
        </w:rPr>
        <w:t>an</w:t>
      </w:r>
      <w:r w:rsidRPr="001C156F">
        <w:rPr>
          <w:rFonts w:ascii="Arial" w:hAnsi="Arial" w:cs="Arial"/>
          <w:spacing w:val="-1"/>
          <w:sz w:val="20"/>
          <w:szCs w:val="20"/>
        </w:rPr>
        <w:t xml:space="preserve"> </w:t>
      </w:r>
      <w:r w:rsidRPr="001C156F">
        <w:rPr>
          <w:rFonts w:ascii="Arial" w:hAnsi="Arial" w:cs="Arial"/>
          <w:sz w:val="20"/>
          <w:szCs w:val="20"/>
        </w:rPr>
        <w:t>amended AMP.</w:t>
      </w:r>
    </w:p>
    <w:p w14:paraId="650E3AFD" w14:textId="77777777" w:rsidR="009543AC" w:rsidRPr="009543AC" w:rsidRDefault="009543AC" w:rsidP="009543AC">
      <w:pPr>
        <w:keepNext/>
        <w:keepLines/>
        <w:widowControl/>
        <w:shd w:val="clear" w:color="auto" w:fill="339966"/>
        <w:autoSpaceDE/>
        <w:autoSpaceDN/>
        <w:spacing w:before="160" w:after="120" w:line="259" w:lineRule="auto"/>
        <w:outlineLvl w:val="4"/>
        <w:rPr>
          <w:rFonts w:ascii="Arial" w:eastAsia="Times New Roman" w:hAnsi="Arial" w:cs="Times New Roman"/>
          <w:b/>
          <w:color w:val="FFFFFF"/>
          <w:sz w:val="24"/>
        </w:rPr>
      </w:pPr>
      <w:bookmarkStart w:id="828" w:name="_Toc153137509"/>
      <w:r w:rsidRPr="009543AC">
        <w:rPr>
          <w:rFonts w:ascii="Arial" w:eastAsia="Times New Roman" w:hAnsi="Arial" w:cs="Times New Roman"/>
          <w:b/>
          <w:color w:val="FFFFFF"/>
          <w:sz w:val="24"/>
        </w:rPr>
        <w:t>GM2 ML.A.302 Aircraft maintenance programme</w:t>
      </w:r>
      <w:bookmarkEnd w:id="828"/>
      <w:r w:rsidRPr="009543AC">
        <w:rPr>
          <w:rFonts w:ascii="Arial" w:eastAsia="Times New Roman" w:hAnsi="Arial" w:cs="Times New Roman"/>
          <w:b/>
          <w:color w:val="FFFFFF"/>
          <w:sz w:val="24"/>
        </w:rPr>
        <w:tab/>
      </w:r>
    </w:p>
    <w:p w14:paraId="6DF9E482" w14:textId="77777777" w:rsidR="009543AC" w:rsidRPr="009543AC" w:rsidRDefault="009543AC" w:rsidP="009543AC">
      <w:pPr>
        <w:jc w:val="both"/>
        <w:rPr>
          <w:rFonts w:ascii="Arial" w:eastAsia="Times New Roman" w:hAnsi="Arial" w:cs="Times New Roman"/>
          <w:sz w:val="20"/>
        </w:rPr>
      </w:pPr>
      <w:r w:rsidRPr="009543AC">
        <w:rPr>
          <w:rFonts w:ascii="Arial" w:eastAsia="Times New Roman" w:hAnsi="Arial" w:cs="Times New Roman"/>
          <w:sz w:val="20"/>
        </w:rPr>
        <w:t>The following table provides a summary of the provisions contained in ML.A.302 in relation to the content of the maintenance programme, its approval and its link with the AR:</w:t>
      </w:r>
    </w:p>
    <w:p w14:paraId="26C03EF2" w14:textId="77777777" w:rsidR="001C156F" w:rsidRDefault="001C156F" w:rsidP="001C156F">
      <w:pPr>
        <w:rPr>
          <w:rFonts w:ascii="Arial" w:eastAsia="Times New Roman" w:hAnsi="Arial" w:cs="Times New Roman"/>
          <w:sz w:val="24"/>
        </w:rPr>
      </w:pPr>
    </w:p>
    <w:tbl>
      <w:tblPr>
        <w:tblStyle w:val="TableGrid31"/>
        <w:tblW w:w="0" w:type="auto"/>
        <w:tblLayout w:type="fixed"/>
        <w:tblLook w:val="01E0" w:firstRow="1" w:lastRow="1" w:firstColumn="1" w:lastColumn="1" w:noHBand="0" w:noVBand="0"/>
      </w:tblPr>
      <w:tblGrid>
        <w:gridCol w:w="2359"/>
        <w:gridCol w:w="3752"/>
        <w:gridCol w:w="2947"/>
      </w:tblGrid>
      <w:tr w:rsidR="009543AC" w:rsidRPr="009543AC" w14:paraId="691DA486" w14:textId="77777777" w:rsidTr="003E687E">
        <w:trPr>
          <w:trHeight w:val="203"/>
        </w:trPr>
        <w:tc>
          <w:tcPr>
            <w:tcW w:w="2359" w:type="dxa"/>
            <w:shd w:val="clear" w:color="auto" w:fill="F2F2F2" w:themeFill="background1" w:themeFillShade="F2"/>
          </w:tcPr>
          <w:p w14:paraId="383B9D29" w14:textId="77777777" w:rsidR="009543AC" w:rsidRPr="009543AC" w:rsidRDefault="009543AC" w:rsidP="00D77840">
            <w:pPr>
              <w:pStyle w:val="TableParagraph"/>
              <w:ind w:left="0"/>
              <w:rPr>
                <w:rFonts w:ascii="Arial" w:hAnsi="Arial" w:cs="Arial"/>
                <w:sz w:val="18"/>
              </w:rPr>
            </w:pPr>
          </w:p>
        </w:tc>
        <w:tc>
          <w:tcPr>
            <w:tcW w:w="3752" w:type="dxa"/>
            <w:shd w:val="clear" w:color="auto" w:fill="F2F2F2" w:themeFill="background1" w:themeFillShade="F2"/>
          </w:tcPr>
          <w:p w14:paraId="6209002A" w14:textId="77777777" w:rsidR="009543AC" w:rsidRPr="009543AC" w:rsidRDefault="009543AC" w:rsidP="00D77840">
            <w:pPr>
              <w:pStyle w:val="TableParagraph"/>
              <w:spacing w:before="1" w:line="225" w:lineRule="exact"/>
              <w:ind w:left="1453" w:right="1453"/>
              <w:jc w:val="center"/>
              <w:rPr>
                <w:rFonts w:ascii="Arial" w:hAnsi="Arial" w:cs="Arial"/>
                <w:b/>
                <w:sz w:val="18"/>
              </w:rPr>
            </w:pPr>
            <w:r w:rsidRPr="009543AC">
              <w:rPr>
                <w:rFonts w:ascii="Arial" w:hAnsi="Arial" w:cs="Arial"/>
                <w:b/>
                <w:sz w:val="18"/>
              </w:rPr>
              <w:t>OPTION</w:t>
            </w:r>
            <w:r w:rsidRPr="009543AC">
              <w:rPr>
                <w:rFonts w:ascii="Arial" w:hAnsi="Arial" w:cs="Arial"/>
                <w:b/>
                <w:spacing w:val="-3"/>
                <w:sz w:val="18"/>
              </w:rPr>
              <w:t xml:space="preserve"> </w:t>
            </w:r>
            <w:r w:rsidRPr="009543AC">
              <w:rPr>
                <w:rFonts w:ascii="Arial" w:hAnsi="Arial" w:cs="Arial"/>
                <w:b/>
                <w:sz w:val="18"/>
              </w:rPr>
              <w:t>1</w:t>
            </w:r>
          </w:p>
        </w:tc>
        <w:tc>
          <w:tcPr>
            <w:tcW w:w="2947" w:type="dxa"/>
            <w:shd w:val="clear" w:color="auto" w:fill="F2F2F2" w:themeFill="background1" w:themeFillShade="F2"/>
          </w:tcPr>
          <w:p w14:paraId="0E583609" w14:textId="77777777" w:rsidR="009543AC" w:rsidRPr="009543AC" w:rsidRDefault="009543AC" w:rsidP="00D77840">
            <w:pPr>
              <w:pStyle w:val="TableParagraph"/>
              <w:spacing w:before="1" w:line="225" w:lineRule="exact"/>
              <w:ind w:left="1050" w:right="1051"/>
              <w:jc w:val="center"/>
              <w:rPr>
                <w:rFonts w:ascii="Arial" w:hAnsi="Arial" w:cs="Arial"/>
                <w:b/>
                <w:sz w:val="18"/>
              </w:rPr>
            </w:pPr>
            <w:r w:rsidRPr="009543AC">
              <w:rPr>
                <w:rFonts w:ascii="Arial" w:hAnsi="Arial" w:cs="Arial"/>
                <w:b/>
                <w:sz w:val="18"/>
              </w:rPr>
              <w:t>OPTION</w:t>
            </w:r>
            <w:r w:rsidRPr="009543AC">
              <w:rPr>
                <w:rFonts w:ascii="Arial" w:hAnsi="Arial" w:cs="Arial"/>
                <w:b/>
                <w:spacing w:val="-3"/>
                <w:sz w:val="18"/>
              </w:rPr>
              <w:t xml:space="preserve"> </w:t>
            </w:r>
            <w:r w:rsidRPr="009543AC">
              <w:rPr>
                <w:rFonts w:ascii="Arial" w:hAnsi="Arial" w:cs="Arial"/>
                <w:b/>
                <w:sz w:val="18"/>
              </w:rPr>
              <w:t>2</w:t>
            </w:r>
          </w:p>
        </w:tc>
      </w:tr>
      <w:tr w:rsidR="009543AC" w:rsidRPr="009543AC" w14:paraId="0AE19A99" w14:textId="77777777" w:rsidTr="003E687E">
        <w:trPr>
          <w:trHeight w:val="444"/>
        </w:trPr>
        <w:tc>
          <w:tcPr>
            <w:tcW w:w="2359" w:type="dxa"/>
            <w:shd w:val="clear" w:color="auto" w:fill="F2F2F2" w:themeFill="background1" w:themeFillShade="F2"/>
          </w:tcPr>
          <w:p w14:paraId="313D9DCB" w14:textId="77777777" w:rsidR="009543AC" w:rsidRPr="009543AC" w:rsidRDefault="009543AC" w:rsidP="009543AC">
            <w:pPr>
              <w:pStyle w:val="TableParagraph"/>
              <w:spacing w:line="243" w:lineRule="exact"/>
              <w:ind w:left="86"/>
              <w:rPr>
                <w:rFonts w:ascii="Arial" w:hAnsi="Arial" w:cs="Arial"/>
                <w:b/>
                <w:sz w:val="18"/>
              </w:rPr>
            </w:pPr>
            <w:r w:rsidRPr="009543AC">
              <w:rPr>
                <w:rFonts w:ascii="Arial" w:hAnsi="Arial" w:cs="Arial"/>
                <w:b/>
                <w:sz w:val="18"/>
              </w:rPr>
              <w:t>Responsibility</w:t>
            </w:r>
            <w:r w:rsidRPr="009543AC">
              <w:rPr>
                <w:rFonts w:ascii="Arial" w:hAnsi="Arial" w:cs="Arial"/>
                <w:b/>
                <w:spacing w:val="-5"/>
                <w:sz w:val="18"/>
              </w:rPr>
              <w:t xml:space="preserve"> </w:t>
            </w:r>
            <w:r w:rsidRPr="009543AC">
              <w:rPr>
                <w:rFonts w:ascii="Arial" w:hAnsi="Arial" w:cs="Arial"/>
                <w:b/>
                <w:sz w:val="18"/>
              </w:rPr>
              <w:t>for</w:t>
            </w:r>
            <w:r>
              <w:rPr>
                <w:rFonts w:ascii="Arial" w:hAnsi="Arial" w:cs="Arial"/>
                <w:b/>
                <w:sz w:val="18"/>
              </w:rPr>
              <w:t xml:space="preserve"> </w:t>
            </w:r>
            <w:r w:rsidRPr="009543AC">
              <w:rPr>
                <w:rFonts w:ascii="Arial" w:hAnsi="Arial" w:cs="Arial"/>
                <w:b/>
                <w:sz w:val="18"/>
              </w:rPr>
              <w:t>developing</w:t>
            </w:r>
            <w:r w:rsidRPr="009543AC">
              <w:rPr>
                <w:rFonts w:ascii="Arial" w:hAnsi="Arial" w:cs="Arial"/>
                <w:b/>
                <w:spacing w:val="-5"/>
                <w:sz w:val="18"/>
              </w:rPr>
              <w:t xml:space="preserve"> </w:t>
            </w:r>
            <w:r w:rsidRPr="009543AC">
              <w:rPr>
                <w:rFonts w:ascii="Arial" w:hAnsi="Arial" w:cs="Arial"/>
                <w:b/>
                <w:sz w:val="18"/>
              </w:rPr>
              <w:t>the</w:t>
            </w:r>
            <w:r w:rsidRPr="009543AC">
              <w:rPr>
                <w:rFonts w:ascii="Arial" w:hAnsi="Arial" w:cs="Arial"/>
                <w:b/>
                <w:spacing w:val="-3"/>
                <w:sz w:val="18"/>
              </w:rPr>
              <w:t xml:space="preserve"> </w:t>
            </w:r>
            <w:r w:rsidRPr="009543AC">
              <w:rPr>
                <w:rFonts w:ascii="Arial" w:hAnsi="Arial" w:cs="Arial"/>
                <w:b/>
                <w:sz w:val="18"/>
              </w:rPr>
              <w:t>AMP</w:t>
            </w:r>
          </w:p>
        </w:tc>
        <w:tc>
          <w:tcPr>
            <w:tcW w:w="3752" w:type="dxa"/>
          </w:tcPr>
          <w:p w14:paraId="23DB4AEA" w14:textId="77777777" w:rsidR="009543AC" w:rsidRPr="009543AC" w:rsidRDefault="009543AC" w:rsidP="00D77840">
            <w:pPr>
              <w:pStyle w:val="TableParagraph"/>
              <w:rPr>
                <w:rFonts w:ascii="Arial" w:hAnsi="Arial" w:cs="Arial"/>
                <w:sz w:val="18"/>
              </w:rPr>
            </w:pPr>
            <w:r w:rsidRPr="009543AC">
              <w:rPr>
                <w:rFonts w:ascii="Arial" w:hAnsi="Arial" w:cs="Arial"/>
                <w:sz w:val="18"/>
              </w:rPr>
              <w:t>Contracted</w:t>
            </w:r>
            <w:r w:rsidRPr="009543AC">
              <w:rPr>
                <w:rFonts w:ascii="Arial" w:hAnsi="Arial" w:cs="Arial"/>
                <w:spacing w:val="-3"/>
                <w:sz w:val="18"/>
              </w:rPr>
              <w:t xml:space="preserve"> </w:t>
            </w:r>
            <w:r w:rsidRPr="009543AC">
              <w:rPr>
                <w:rFonts w:ascii="Arial" w:hAnsi="Arial" w:cs="Arial"/>
                <w:sz w:val="18"/>
              </w:rPr>
              <w:t>CAMO</w:t>
            </w:r>
            <w:r w:rsidRPr="009543AC">
              <w:rPr>
                <w:rFonts w:ascii="Arial" w:hAnsi="Arial" w:cs="Arial"/>
                <w:spacing w:val="-3"/>
                <w:sz w:val="18"/>
              </w:rPr>
              <w:t xml:space="preserve"> </w:t>
            </w:r>
            <w:r w:rsidRPr="009543AC">
              <w:rPr>
                <w:rFonts w:ascii="Arial" w:hAnsi="Arial" w:cs="Arial"/>
                <w:sz w:val="18"/>
              </w:rPr>
              <w:t>or</w:t>
            </w:r>
            <w:r w:rsidRPr="009543AC">
              <w:rPr>
                <w:rFonts w:ascii="Arial" w:hAnsi="Arial" w:cs="Arial"/>
                <w:spacing w:val="-1"/>
                <w:sz w:val="18"/>
              </w:rPr>
              <w:t xml:space="preserve"> </w:t>
            </w:r>
            <w:r w:rsidRPr="009543AC">
              <w:rPr>
                <w:rFonts w:ascii="Arial" w:hAnsi="Arial" w:cs="Arial"/>
                <w:sz w:val="18"/>
              </w:rPr>
              <w:t>CAO</w:t>
            </w:r>
          </w:p>
        </w:tc>
        <w:tc>
          <w:tcPr>
            <w:tcW w:w="2947" w:type="dxa"/>
          </w:tcPr>
          <w:p w14:paraId="2ED5C881" w14:textId="77777777" w:rsidR="009543AC" w:rsidRPr="009543AC" w:rsidRDefault="009543AC" w:rsidP="00D77840">
            <w:pPr>
              <w:pStyle w:val="TableParagraph"/>
              <w:spacing w:line="243" w:lineRule="exact"/>
              <w:rPr>
                <w:rFonts w:ascii="Arial" w:hAnsi="Arial" w:cs="Arial"/>
                <w:sz w:val="18"/>
              </w:rPr>
            </w:pPr>
            <w:r w:rsidRPr="009543AC">
              <w:rPr>
                <w:rFonts w:ascii="Arial" w:hAnsi="Arial" w:cs="Arial"/>
                <w:sz w:val="18"/>
              </w:rPr>
              <w:t>Owner</w:t>
            </w:r>
            <w:r w:rsidRPr="009543AC">
              <w:rPr>
                <w:rFonts w:ascii="Arial" w:hAnsi="Arial" w:cs="Arial"/>
                <w:spacing w:val="-3"/>
                <w:sz w:val="18"/>
              </w:rPr>
              <w:t xml:space="preserve"> </w:t>
            </w:r>
            <w:r w:rsidRPr="009543AC">
              <w:rPr>
                <w:rFonts w:ascii="Arial" w:hAnsi="Arial" w:cs="Arial"/>
                <w:sz w:val="18"/>
              </w:rPr>
              <w:t>(if</w:t>
            </w:r>
            <w:r w:rsidRPr="009543AC">
              <w:rPr>
                <w:rFonts w:ascii="Arial" w:hAnsi="Arial" w:cs="Arial"/>
                <w:spacing w:val="-4"/>
                <w:sz w:val="18"/>
              </w:rPr>
              <w:t xml:space="preserve"> </w:t>
            </w:r>
            <w:r w:rsidRPr="009543AC">
              <w:rPr>
                <w:rFonts w:ascii="Arial" w:hAnsi="Arial" w:cs="Arial"/>
                <w:sz w:val="18"/>
              </w:rPr>
              <w:t>allowed</w:t>
            </w:r>
            <w:r w:rsidRPr="009543AC">
              <w:rPr>
                <w:rFonts w:ascii="Arial" w:hAnsi="Arial" w:cs="Arial"/>
                <w:spacing w:val="-2"/>
                <w:sz w:val="18"/>
              </w:rPr>
              <w:t xml:space="preserve"> </w:t>
            </w:r>
            <w:r w:rsidRPr="009543AC">
              <w:rPr>
                <w:rFonts w:ascii="Arial" w:hAnsi="Arial" w:cs="Arial"/>
                <w:sz w:val="18"/>
              </w:rPr>
              <w:t>under</w:t>
            </w:r>
          </w:p>
          <w:p w14:paraId="5A79BA01" w14:textId="77777777" w:rsidR="009543AC" w:rsidRPr="009543AC" w:rsidRDefault="009543AC" w:rsidP="00D77840">
            <w:pPr>
              <w:pStyle w:val="TableParagraph"/>
              <w:spacing w:line="224" w:lineRule="exact"/>
              <w:rPr>
                <w:rFonts w:ascii="Arial" w:hAnsi="Arial" w:cs="Arial"/>
                <w:sz w:val="18"/>
              </w:rPr>
            </w:pPr>
            <w:r w:rsidRPr="009543AC">
              <w:rPr>
                <w:rFonts w:ascii="Arial" w:hAnsi="Arial" w:cs="Arial"/>
                <w:sz w:val="18"/>
              </w:rPr>
              <w:t>ML.A.201(f))</w:t>
            </w:r>
          </w:p>
        </w:tc>
      </w:tr>
      <w:tr w:rsidR="009543AC" w:rsidRPr="009543AC" w14:paraId="6B2DD07A" w14:textId="77777777" w:rsidTr="003E687E">
        <w:trPr>
          <w:trHeight w:val="689"/>
        </w:trPr>
        <w:tc>
          <w:tcPr>
            <w:tcW w:w="2359" w:type="dxa"/>
            <w:shd w:val="clear" w:color="auto" w:fill="F2F2F2" w:themeFill="background1" w:themeFillShade="F2"/>
          </w:tcPr>
          <w:p w14:paraId="0BF49815" w14:textId="77777777" w:rsidR="009543AC" w:rsidRPr="009543AC" w:rsidRDefault="009543AC" w:rsidP="009543AC">
            <w:pPr>
              <w:pStyle w:val="TableParagraph"/>
              <w:ind w:left="86" w:right="133"/>
              <w:rPr>
                <w:rFonts w:ascii="Arial" w:hAnsi="Arial" w:cs="Arial"/>
                <w:b/>
                <w:sz w:val="18"/>
              </w:rPr>
            </w:pPr>
            <w:r w:rsidRPr="009543AC">
              <w:rPr>
                <w:rFonts w:ascii="Arial" w:hAnsi="Arial" w:cs="Arial"/>
                <w:b/>
                <w:sz w:val="18"/>
              </w:rPr>
              <w:t>Approval/declaration of</w:t>
            </w:r>
            <w:r w:rsidRPr="009543AC">
              <w:rPr>
                <w:rFonts w:ascii="Arial" w:hAnsi="Arial" w:cs="Arial"/>
                <w:b/>
                <w:spacing w:val="-43"/>
                <w:sz w:val="18"/>
              </w:rPr>
              <w:t xml:space="preserve"> </w:t>
            </w:r>
            <w:r w:rsidRPr="009543AC">
              <w:rPr>
                <w:rFonts w:ascii="Arial" w:hAnsi="Arial" w:cs="Arial"/>
                <w:b/>
                <w:sz w:val="18"/>
              </w:rPr>
              <w:t>the</w:t>
            </w:r>
            <w:r w:rsidRPr="009543AC">
              <w:rPr>
                <w:rFonts w:ascii="Arial" w:hAnsi="Arial" w:cs="Arial"/>
                <w:b/>
                <w:spacing w:val="-1"/>
                <w:sz w:val="18"/>
              </w:rPr>
              <w:t xml:space="preserve"> </w:t>
            </w:r>
            <w:r w:rsidRPr="009543AC">
              <w:rPr>
                <w:rFonts w:ascii="Arial" w:hAnsi="Arial" w:cs="Arial"/>
                <w:b/>
                <w:sz w:val="18"/>
              </w:rPr>
              <w:t>maintenance</w:t>
            </w:r>
            <w:r>
              <w:rPr>
                <w:rFonts w:ascii="Arial" w:hAnsi="Arial" w:cs="Arial"/>
                <w:b/>
                <w:sz w:val="18"/>
              </w:rPr>
              <w:t xml:space="preserve"> </w:t>
            </w:r>
            <w:r w:rsidRPr="009543AC">
              <w:rPr>
                <w:rFonts w:ascii="Arial" w:hAnsi="Arial" w:cs="Arial"/>
                <w:b/>
                <w:sz w:val="18"/>
              </w:rPr>
              <w:t>programme</w:t>
            </w:r>
          </w:p>
        </w:tc>
        <w:tc>
          <w:tcPr>
            <w:tcW w:w="3752" w:type="dxa"/>
          </w:tcPr>
          <w:p w14:paraId="417B0F75" w14:textId="77777777" w:rsidR="009543AC" w:rsidRPr="009543AC" w:rsidRDefault="009543AC" w:rsidP="009543AC">
            <w:pPr>
              <w:pStyle w:val="TableParagraph"/>
              <w:rPr>
                <w:rFonts w:ascii="Arial" w:hAnsi="Arial" w:cs="Arial"/>
                <w:sz w:val="18"/>
              </w:rPr>
            </w:pPr>
            <w:r w:rsidRPr="009543AC">
              <w:rPr>
                <w:rFonts w:ascii="Arial" w:hAnsi="Arial" w:cs="Arial"/>
                <w:sz w:val="18"/>
              </w:rPr>
              <w:t>Approved by the CAMO or CAO, or none</w:t>
            </w:r>
            <w:r w:rsidRPr="009543AC">
              <w:rPr>
                <w:rFonts w:ascii="Arial" w:hAnsi="Arial" w:cs="Arial"/>
                <w:spacing w:val="1"/>
                <w:sz w:val="18"/>
              </w:rPr>
              <w:t xml:space="preserve"> </w:t>
            </w:r>
            <w:r w:rsidRPr="009543AC">
              <w:rPr>
                <w:rFonts w:ascii="Arial" w:hAnsi="Arial" w:cs="Arial"/>
                <w:sz w:val="18"/>
              </w:rPr>
              <w:t>required</w:t>
            </w:r>
            <w:r w:rsidRPr="009543AC">
              <w:rPr>
                <w:rFonts w:ascii="Arial" w:hAnsi="Arial" w:cs="Arial"/>
                <w:spacing w:val="-1"/>
                <w:sz w:val="18"/>
              </w:rPr>
              <w:t xml:space="preserve"> </w:t>
            </w:r>
            <w:r w:rsidRPr="009543AC">
              <w:rPr>
                <w:rFonts w:ascii="Arial" w:hAnsi="Arial" w:cs="Arial"/>
                <w:sz w:val="18"/>
              </w:rPr>
              <w:t>in case</w:t>
            </w:r>
            <w:r w:rsidRPr="009543AC">
              <w:rPr>
                <w:rFonts w:ascii="Arial" w:hAnsi="Arial" w:cs="Arial"/>
                <w:spacing w:val="-2"/>
                <w:sz w:val="18"/>
              </w:rPr>
              <w:t xml:space="preserve"> </w:t>
            </w:r>
            <w:r w:rsidRPr="009543AC">
              <w:rPr>
                <w:rFonts w:ascii="Arial" w:hAnsi="Arial" w:cs="Arial"/>
                <w:sz w:val="18"/>
              </w:rPr>
              <w:t>of</w:t>
            </w:r>
            <w:r w:rsidRPr="009543AC">
              <w:rPr>
                <w:rFonts w:ascii="Arial" w:hAnsi="Arial" w:cs="Arial"/>
                <w:spacing w:val="-2"/>
                <w:sz w:val="18"/>
              </w:rPr>
              <w:t xml:space="preserve"> </w:t>
            </w:r>
            <w:r w:rsidRPr="009543AC">
              <w:rPr>
                <w:rFonts w:ascii="Arial" w:hAnsi="Arial" w:cs="Arial"/>
                <w:sz w:val="18"/>
              </w:rPr>
              <w:t>compliance with</w:t>
            </w:r>
            <w:r>
              <w:rPr>
                <w:rFonts w:ascii="Arial" w:hAnsi="Arial" w:cs="Arial"/>
                <w:sz w:val="18"/>
              </w:rPr>
              <w:t xml:space="preserve"> </w:t>
            </w:r>
            <w:r w:rsidRPr="009543AC">
              <w:rPr>
                <w:rFonts w:ascii="Arial" w:hAnsi="Arial" w:cs="Arial"/>
                <w:sz w:val="18"/>
              </w:rPr>
              <w:t>ML.A.302(e)</w:t>
            </w:r>
          </w:p>
        </w:tc>
        <w:tc>
          <w:tcPr>
            <w:tcW w:w="2947" w:type="dxa"/>
          </w:tcPr>
          <w:p w14:paraId="290CCD54" w14:textId="77777777" w:rsidR="009543AC" w:rsidRPr="009543AC" w:rsidRDefault="009543AC" w:rsidP="009543AC">
            <w:pPr>
              <w:pStyle w:val="TableParagraph"/>
              <w:rPr>
                <w:rFonts w:ascii="Arial" w:hAnsi="Arial" w:cs="Arial"/>
                <w:sz w:val="18"/>
              </w:rPr>
            </w:pPr>
            <w:r w:rsidRPr="009543AC">
              <w:rPr>
                <w:rFonts w:ascii="Arial" w:hAnsi="Arial" w:cs="Arial"/>
                <w:sz w:val="18"/>
              </w:rPr>
              <w:t>Declaration by the owner or none</w:t>
            </w:r>
            <w:r w:rsidRPr="009543AC">
              <w:rPr>
                <w:rFonts w:ascii="Arial" w:hAnsi="Arial" w:cs="Arial"/>
                <w:spacing w:val="-43"/>
                <w:sz w:val="18"/>
              </w:rPr>
              <w:t xml:space="preserve"> </w:t>
            </w:r>
            <w:r w:rsidRPr="009543AC">
              <w:rPr>
                <w:rFonts w:ascii="Arial" w:hAnsi="Arial" w:cs="Arial"/>
                <w:sz w:val="18"/>
              </w:rPr>
              <w:t>required</w:t>
            </w:r>
            <w:r w:rsidRPr="009543AC">
              <w:rPr>
                <w:rFonts w:ascii="Arial" w:hAnsi="Arial" w:cs="Arial"/>
                <w:spacing w:val="-1"/>
                <w:sz w:val="18"/>
              </w:rPr>
              <w:t xml:space="preserve"> </w:t>
            </w:r>
            <w:r w:rsidRPr="009543AC">
              <w:rPr>
                <w:rFonts w:ascii="Arial" w:hAnsi="Arial" w:cs="Arial"/>
                <w:sz w:val="18"/>
              </w:rPr>
              <w:t>in case</w:t>
            </w:r>
            <w:r w:rsidRPr="009543AC">
              <w:rPr>
                <w:rFonts w:ascii="Arial" w:hAnsi="Arial" w:cs="Arial"/>
                <w:spacing w:val="-2"/>
                <w:sz w:val="18"/>
              </w:rPr>
              <w:t xml:space="preserve"> </w:t>
            </w:r>
            <w:r w:rsidRPr="009543AC">
              <w:rPr>
                <w:rFonts w:ascii="Arial" w:hAnsi="Arial" w:cs="Arial"/>
                <w:sz w:val="18"/>
              </w:rPr>
              <w:t>of</w:t>
            </w:r>
            <w:r w:rsidRPr="009543AC">
              <w:rPr>
                <w:rFonts w:ascii="Arial" w:hAnsi="Arial" w:cs="Arial"/>
                <w:spacing w:val="-3"/>
                <w:sz w:val="18"/>
              </w:rPr>
              <w:t xml:space="preserve"> </w:t>
            </w:r>
            <w:r w:rsidRPr="009543AC">
              <w:rPr>
                <w:rFonts w:ascii="Arial" w:hAnsi="Arial" w:cs="Arial"/>
                <w:sz w:val="18"/>
              </w:rPr>
              <w:t>compliance</w:t>
            </w:r>
            <w:r>
              <w:rPr>
                <w:rFonts w:ascii="Arial" w:hAnsi="Arial" w:cs="Arial"/>
                <w:sz w:val="18"/>
              </w:rPr>
              <w:t xml:space="preserve"> </w:t>
            </w:r>
            <w:r w:rsidRPr="009543AC">
              <w:rPr>
                <w:rFonts w:ascii="Arial" w:hAnsi="Arial" w:cs="Arial"/>
                <w:sz w:val="18"/>
              </w:rPr>
              <w:t>with</w:t>
            </w:r>
            <w:r w:rsidRPr="009543AC">
              <w:rPr>
                <w:rFonts w:ascii="Arial" w:hAnsi="Arial" w:cs="Arial"/>
                <w:spacing w:val="-4"/>
                <w:sz w:val="18"/>
              </w:rPr>
              <w:t xml:space="preserve"> </w:t>
            </w:r>
            <w:r w:rsidRPr="009543AC">
              <w:rPr>
                <w:rFonts w:ascii="Arial" w:hAnsi="Arial" w:cs="Arial"/>
                <w:sz w:val="18"/>
              </w:rPr>
              <w:t>ML.A.302(e)</w:t>
            </w:r>
          </w:p>
        </w:tc>
      </w:tr>
      <w:tr w:rsidR="009543AC" w:rsidRPr="009543AC" w14:paraId="1F709ECD" w14:textId="77777777" w:rsidTr="003E687E">
        <w:trPr>
          <w:trHeight w:val="444"/>
        </w:trPr>
        <w:tc>
          <w:tcPr>
            <w:tcW w:w="2359" w:type="dxa"/>
            <w:shd w:val="clear" w:color="auto" w:fill="F2F2F2" w:themeFill="background1" w:themeFillShade="F2"/>
          </w:tcPr>
          <w:p w14:paraId="57A3C4AA" w14:textId="77777777" w:rsidR="009543AC" w:rsidRPr="009543AC" w:rsidRDefault="009543AC" w:rsidP="009543AC">
            <w:pPr>
              <w:pStyle w:val="TableParagraph"/>
              <w:spacing w:line="243" w:lineRule="exact"/>
              <w:ind w:left="86"/>
              <w:rPr>
                <w:rFonts w:ascii="Arial" w:hAnsi="Arial" w:cs="Arial"/>
                <w:b/>
                <w:sz w:val="18"/>
              </w:rPr>
            </w:pPr>
            <w:r w:rsidRPr="009543AC">
              <w:rPr>
                <w:rFonts w:ascii="Arial" w:hAnsi="Arial" w:cs="Arial"/>
                <w:b/>
                <w:sz w:val="18"/>
              </w:rPr>
              <w:t>Basis</w:t>
            </w:r>
            <w:r w:rsidRPr="009543AC">
              <w:rPr>
                <w:rFonts w:ascii="Arial" w:hAnsi="Arial" w:cs="Arial"/>
                <w:b/>
                <w:spacing w:val="-4"/>
                <w:sz w:val="18"/>
              </w:rPr>
              <w:t xml:space="preserve"> </w:t>
            </w:r>
            <w:r w:rsidRPr="009543AC">
              <w:rPr>
                <w:rFonts w:ascii="Arial" w:hAnsi="Arial" w:cs="Arial"/>
                <w:b/>
                <w:sz w:val="18"/>
              </w:rPr>
              <w:t>for</w:t>
            </w:r>
            <w:r w:rsidRPr="009543AC">
              <w:rPr>
                <w:rFonts w:ascii="Arial" w:hAnsi="Arial" w:cs="Arial"/>
                <w:b/>
                <w:spacing w:val="-2"/>
                <w:sz w:val="18"/>
              </w:rPr>
              <w:t xml:space="preserve"> </w:t>
            </w:r>
            <w:r w:rsidRPr="009543AC">
              <w:rPr>
                <w:rFonts w:ascii="Arial" w:hAnsi="Arial" w:cs="Arial"/>
                <w:b/>
                <w:sz w:val="18"/>
              </w:rPr>
              <w:t>the</w:t>
            </w:r>
            <w:r w:rsidRPr="009543AC">
              <w:rPr>
                <w:rFonts w:ascii="Arial" w:hAnsi="Arial" w:cs="Arial"/>
                <w:b/>
                <w:spacing w:val="-3"/>
                <w:sz w:val="18"/>
              </w:rPr>
              <w:t xml:space="preserve"> </w:t>
            </w:r>
            <w:r w:rsidRPr="009543AC">
              <w:rPr>
                <w:rFonts w:ascii="Arial" w:hAnsi="Arial" w:cs="Arial"/>
                <w:b/>
                <w:sz w:val="18"/>
              </w:rPr>
              <w:t>maintenance</w:t>
            </w:r>
            <w:r>
              <w:rPr>
                <w:rFonts w:ascii="Arial" w:hAnsi="Arial" w:cs="Arial"/>
                <w:b/>
                <w:sz w:val="18"/>
              </w:rPr>
              <w:t xml:space="preserve"> </w:t>
            </w:r>
            <w:r w:rsidRPr="009543AC">
              <w:rPr>
                <w:rFonts w:ascii="Arial" w:hAnsi="Arial" w:cs="Arial"/>
                <w:b/>
                <w:sz w:val="18"/>
              </w:rPr>
              <w:t>programme</w:t>
            </w:r>
          </w:p>
        </w:tc>
        <w:tc>
          <w:tcPr>
            <w:tcW w:w="6699" w:type="dxa"/>
            <w:gridSpan w:val="2"/>
          </w:tcPr>
          <w:p w14:paraId="40BCA0C6" w14:textId="77777777" w:rsidR="009543AC" w:rsidRPr="009543AC" w:rsidRDefault="009543AC" w:rsidP="00D77840">
            <w:pPr>
              <w:pStyle w:val="TableParagraph"/>
              <w:rPr>
                <w:rFonts w:ascii="Arial" w:hAnsi="Arial" w:cs="Arial"/>
                <w:sz w:val="18"/>
              </w:rPr>
            </w:pPr>
            <w:r w:rsidRPr="009543AC">
              <w:rPr>
                <w:rFonts w:ascii="Arial" w:hAnsi="Arial" w:cs="Arial"/>
                <w:sz w:val="18"/>
              </w:rPr>
              <w:t>MIP</w:t>
            </w:r>
            <w:r w:rsidRPr="009543AC">
              <w:rPr>
                <w:rFonts w:ascii="Arial" w:hAnsi="Arial" w:cs="Arial"/>
                <w:spacing w:val="-3"/>
                <w:sz w:val="18"/>
              </w:rPr>
              <w:t xml:space="preserve"> </w:t>
            </w:r>
            <w:r w:rsidRPr="009543AC">
              <w:rPr>
                <w:rFonts w:ascii="Arial" w:hAnsi="Arial" w:cs="Arial"/>
                <w:sz w:val="18"/>
              </w:rPr>
              <w:t>(not</w:t>
            </w:r>
            <w:r w:rsidRPr="009543AC">
              <w:rPr>
                <w:rFonts w:ascii="Arial" w:hAnsi="Arial" w:cs="Arial"/>
                <w:spacing w:val="-2"/>
                <w:sz w:val="18"/>
              </w:rPr>
              <w:t xml:space="preserve"> </w:t>
            </w:r>
            <w:r w:rsidRPr="009543AC">
              <w:rPr>
                <w:rFonts w:ascii="Arial" w:hAnsi="Arial" w:cs="Arial"/>
                <w:sz w:val="18"/>
              </w:rPr>
              <w:t>applicable</w:t>
            </w:r>
            <w:r w:rsidRPr="009543AC">
              <w:rPr>
                <w:rFonts w:ascii="Arial" w:hAnsi="Arial" w:cs="Arial"/>
                <w:spacing w:val="-4"/>
                <w:sz w:val="18"/>
              </w:rPr>
              <w:t xml:space="preserve"> </w:t>
            </w:r>
            <w:r w:rsidRPr="009543AC">
              <w:rPr>
                <w:rFonts w:ascii="Arial" w:hAnsi="Arial" w:cs="Arial"/>
                <w:sz w:val="18"/>
              </w:rPr>
              <w:t>to</w:t>
            </w:r>
            <w:r w:rsidRPr="009543AC">
              <w:rPr>
                <w:rFonts w:ascii="Arial" w:hAnsi="Arial" w:cs="Arial"/>
                <w:spacing w:val="-2"/>
                <w:sz w:val="18"/>
              </w:rPr>
              <w:t xml:space="preserve"> </w:t>
            </w:r>
            <w:r w:rsidRPr="009543AC">
              <w:rPr>
                <w:rFonts w:ascii="Arial" w:hAnsi="Arial" w:cs="Arial"/>
                <w:sz w:val="18"/>
              </w:rPr>
              <w:t>rotorcraft</w:t>
            </w:r>
            <w:r w:rsidRPr="009543AC">
              <w:rPr>
                <w:rFonts w:ascii="Arial" w:hAnsi="Arial" w:cs="Arial"/>
                <w:spacing w:val="-2"/>
                <w:sz w:val="18"/>
              </w:rPr>
              <w:t xml:space="preserve"> </w:t>
            </w:r>
            <w:r w:rsidRPr="009543AC">
              <w:rPr>
                <w:rFonts w:ascii="Arial" w:hAnsi="Arial" w:cs="Arial"/>
                <w:sz w:val="18"/>
              </w:rPr>
              <w:t>and</w:t>
            </w:r>
            <w:r w:rsidRPr="009543AC">
              <w:rPr>
                <w:rFonts w:ascii="Arial" w:hAnsi="Arial" w:cs="Arial"/>
                <w:spacing w:val="-2"/>
                <w:sz w:val="18"/>
              </w:rPr>
              <w:t xml:space="preserve"> </w:t>
            </w:r>
            <w:r w:rsidRPr="009543AC">
              <w:rPr>
                <w:rFonts w:ascii="Arial" w:hAnsi="Arial" w:cs="Arial"/>
                <w:sz w:val="18"/>
              </w:rPr>
              <w:t>airships)</w:t>
            </w:r>
            <w:r w:rsidRPr="009543AC">
              <w:rPr>
                <w:rFonts w:ascii="Arial" w:hAnsi="Arial" w:cs="Arial"/>
                <w:spacing w:val="-3"/>
                <w:sz w:val="18"/>
              </w:rPr>
              <w:t xml:space="preserve"> </w:t>
            </w:r>
            <w:r w:rsidRPr="009543AC">
              <w:rPr>
                <w:rFonts w:ascii="Arial" w:hAnsi="Arial" w:cs="Arial"/>
                <w:sz w:val="18"/>
              </w:rPr>
              <w:t>or</w:t>
            </w:r>
            <w:r w:rsidRPr="009543AC">
              <w:rPr>
                <w:rFonts w:ascii="Arial" w:hAnsi="Arial" w:cs="Arial"/>
                <w:spacing w:val="-3"/>
                <w:sz w:val="18"/>
              </w:rPr>
              <w:t xml:space="preserve"> </w:t>
            </w:r>
            <w:r w:rsidRPr="009543AC">
              <w:rPr>
                <w:rFonts w:ascii="Arial" w:hAnsi="Arial" w:cs="Arial"/>
                <w:sz w:val="18"/>
              </w:rPr>
              <w:t>ICA</w:t>
            </w:r>
            <w:r w:rsidRPr="009543AC">
              <w:rPr>
                <w:rFonts w:ascii="Arial" w:hAnsi="Arial" w:cs="Arial"/>
                <w:spacing w:val="-3"/>
                <w:sz w:val="18"/>
              </w:rPr>
              <w:t xml:space="preserve"> </w:t>
            </w:r>
            <w:r w:rsidRPr="009543AC">
              <w:rPr>
                <w:rFonts w:ascii="Arial" w:hAnsi="Arial" w:cs="Arial"/>
                <w:sz w:val="18"/>
              </w:rPr>
              <w:t>issued</w:t>
            </w:r>
            <w:r w:rsidRPr="009543AC">
              <w:rPr>
                <w:rFonts w:ascii="Arial" w:hAnsi="Arial" w:cs="Arial"/>
                <w:spacing w:val="1"/>
                <w:sz w:val="18"/>
              </w:rPr>
              <w:t xml:space="preserve"> </w:t>
            </w:r>
            <w:r w:rsidRPr="009543AC">
              <w:rPr>
                <w:rFonts w:ascii="Arial" w:hAnsi="Arial" w:cs="Arial"/>
                <w:sz w:val="18"/>
              </w:rPr>
              <w:t>by</w:t>
            </w:r>
            <w:r w:rsidRPr="009543AC">
              <w:rPr>
                <w:rFonts w:ascii="Arial" w:hAnsi="Arial" w:cs="Arial"/>
                <w:spacing w:val="-2"/>
                <w:sz w:val="18"/>
              </w:rPr>
              <w:t xml:space="preserve"> </w:t>
            </w:r>
            <w:r w:rsidRPr="009543AC">
              <w:rPr>
                <w:rFonts w:ascii="Arial" w:hAnsi="Arial" w:cs="Arial"/>
                <w:sz w:val="18"/>
              </w:rPr>
              <w:t>the</w:t>
            </w:r>
            <w:r w:rsidRPr="009543AC">
              <w:rPr>
                <w:rFonts w:ascii="Arial" w:hAnsi="Arial" w:cs="Arial"/>
                <w:spacing w:val="-3"/>
                <w:sz w:val="18"/>
              </w:rPr>
              <w:t xml:space="preserve"> </w:t>
            </w:r>
            <w:r w:rsidRPr="009543AC">
              <w:rPr>
                <w:rFonts w:ascii="Arial" w:hAnsi="Arial" w:cs="Arial"/>
                <w:sz w:val="18"/>
              </w:rPr>
              <w:t>DAH</w:t>
            </w:r>
          </w:p>
        </w:tc>
      </w:tr>
      <w:tr w:rsidR="009543AC" w:rsidRPr="009543AC" w14:paraId="1621CA16" w14:textId="77777777" w:rsidTr="003E687E">
        <w:trPr>
          <w:trHeight w:val="935"/>
        </w:trPr>
        <w:tc>
          <w:tcPr>
            <w:tcW w:w="2359" w:type="dxa"/>
            <w:shd w:val="clear" w:color="auto" w:fill="F2F2F2" w:themeFill="background1" w:themeFillShade="F2"/>
          </w:tcPr>
          <w:p w14:paraId="3E88F444" w14:textId="77777777" w:rsidR="009543AC" w:rsidRPr="009543AC" w:rsidRDefault="009543AC" w:rsidP="00D77840">
            <w:pPr>
              <w:pStyle w:val="TableParagraph"/>
              <w:ind w:left="86" w:right="133"/>
              <w:rPr>
                <w:rFonts w:ascii="Arial" w:hAnsi="Arial" w:cs="Arial"/>
                <w:b/>
                <w:sz w:val="18"/>
              </w:rPr>
            </w:pPr>
            <w:r w:rsidRPr="009543AC">
              <w:rPr>
                <w:rFonts w:ascii="Arial" w:hAnsi="Arial" w:cs="Arial"/>
                <w:b/>
                <w:sz w:val="18"/>
              </w:rPr>
              <w:t>Deviations from the</w:t>
            </w:r>
            <w:r w:rsidRPr="009543AC">
              <w:rPr>
                <w:rFonts w:ascii="Arial" w:hAnsi="Arial" w:cs="Arial"/>
                <w:b/>
                <w:spacing w:val="-43"/>
                <w:sz w:val="18"/>
              </w:rPr>
              <w:t xml:space="preserve"> </w:t>
            </w:r>
            <w:r w:rsidRPr="009543AC">
              <w:rPr>
                <w:rFonts w:ascii="Arial" w:hAnsi="Arial" w:cs="Arial"/>
                <w:b/>
                <w:sz w:val="18"/>
              </w:rPr>
              <w:t>DAH’s</w:t>
            </w:r>
            <w:r w:rsidRPr="009543AC">
              <w:rPr>
                <w:rFonts w:ascii="Arial" w:hAnsi="Arial" w:cs="Arial"/>
                <w:b/>
                <w:spacing w:val="-2"/>
                <w:sz w:val="18"/>
              </w:rPr>
              <w:t xml:space="preserve"> </w:t>
            </w:r>
            <w:r w:rsidRPr="009543AC">
              <w:rPr>
                <w:rFonts w:ascii="Arial" w:hAnsi="Arial" w:cs="Arial"/>
                <w:b/>
                <w:sz w:val="18"/>
              </w:rPr>
              <w:t>ICA</w:t>
            </w:r>
          </w:p>
        </w:tc>
        <w:tc>
          <w:tcPr>
            <w:tcW w:w="3752" w:type="dxa"/>
          </w:tcPr>
          <w:p w14:paraId="270FADB8" w14:textId="77777777" w:rsidR="009543AC" w:rsidRPr="009543AC" w:rsidRDefault="009543AC" w:rsidP="00D77840">
            <w:pPr>
              <w:pStyle w:val="TableParagraph"/>
              <w:ind w:right="114"/>
              <w:jc w:val="both"/>
              <w:rPr>
                <w:rFonts w:ascii="Arial" w:hAnsi="Arial" w:cs="Arial"/>
                <w:sz w:val="18"/>
              </w:rPr>
            </w:pPr>
            <w:r w:rsidRPr="009543AC">
              <w:rPr>
                <w:rFonts w:ascii="Arial" w:hAnsi="Arial" w:cs="Arial"/>
                <w:sz w:val="18"/>
              </w:rPr>
              <w:t>Deviations from the DAH’s instructions are</w:t>
            </w:r>
            <w:r w:rsidRPr="009543AC">
              <w:rPr>
                <w:rFonts w:ascii="Arial" w:hAnsi="Arial" w:cs="Arial"/>
                <w:spacing w:val="1"/>
                <w:sz w:val="18"/>
              </w:rPr>
              <w:t xml:space="preserve"> </w:t>
            </w:r>
            <w:r w:rsidRPr="009543AC">
              <w:rPr>
                <w:rFonts w:ascii="Arial" w:hAnsi="Arial" w:cs="Arial"/>
                <w:sz w:val="18"/>
              </w:rPr>
              <w:t>justified. The CAMO/CAO keeps a record of</w:t>
            </w:r>
            <w:r w:rsidRPr="009543AC">
              <w:rPr>
                <w:rFonts w:ascii="Arial" w:hAnsi="Arial" w:cs="Arial"/>
                <w:spacing w:val="1"/>
                <w:sz w:val="18"/>
              </w:rPr>
              <w:t xml:space="preserve"> </w:t>
            </w:r>
            <w:r w:rsidRPr="009543AC">
              <w:rPr>
                <w:rFonts w:ascii="Arial" w:hAnsi="Arial" w:cs="Arial"/>
                <w:sz w:val="18"/>
              </w:rPr>
              <w:t>the</w:t>
            </w:r>
            <w:r w:rsidRPr="009543AC">
              <w:rPr>
                <w:rFonts w:ascii="Arial" w:hAnsi="Arial" w:cs="Arial"/>
                <w:spacing w:val="-2"/>
                <w:sz w:val="18"/>
              </w:rPr>
              <w:t xml:space="preserve"> </w:t>
            </w:r>
            <w:r w:rsidRPr="009543AC">
              <w:rPr>
                <w:rFonts w:ascii="Arial" w:hAnsi="Arial" w:cs="Arial"/>
                <w:sz w:val="18"/>
              </w:rPr>
              <w:t>justifications</w:t>
            </w:r>
            <w:r w:rsidRPr="009543AC">
              <w:rPr>
                <w:rFonts w:ascii="Arial" w:hAnsi="Arial" w:cs="Arial"/>
                <w:spacing w:val="-3"/>
                <w:sz w:val="18"/>
              </w:rPr>
              <w:t xml:space="preserve"> </w:t>
            </w:r>
            <w:r w:rsidRPr="009543AC">
              <w:rPr>
                <w:rFonts w:ascii="Arial" w:hAnsi="Arial" w:cs="Arial"/>
                <w:sz w:val="18"/>
              </w:rPr>
              <w:t>and</w:t>
            </w:r>
            <w:r w:rsidRPr="009543AC">
              <w:rPr>
                <w:rFonts w:ascii="Arial" w:hAnsi="Arial" w:cs="Arial"/>
                <w:spacing w:val="-1"/>
                <w:sz w:val="18"/>
              </w:rPr>
              <w:t xml:space="preserve"> </w:t>
            </w:r>
            <w:r w:rsidRPr="009543AC">
              <w:rPr>
                <w:rFonts w:ascii="Arial" w:hAnsi="Arial" w:cs="Arial"/>
                <w:sz w:val="18"/>
              </w:rPr>
              <w:t>provides</w:t>
            </w:r>
            <w:r w:rsidRPr="009543AC">
              <w:rPr>
                <w:rFonts w:ascii="Arial" w:hAnsi="Arial" w:cs="Arial"/>
                <w:spacing w:val="-1"/>
                <w:sz w:val="18"/>
              </w:rPr>
              <w:t xml:space="preserve"> </w:t>
            </w:r>
            <w:r w:rsidRPr="009543AC">
              <w:rPr>
                <w:rFonts w:ascii="Arial" w:hAnsi="Arial" w:cs="Arial"/>
                <w:sz w:val="18"/>
              </w:rPr>
              <w:t>a</w:t>
            </w:r>
            <w:r w:rsidRPr="009543AC">
              <w:rPr>
                <w:rFonts w:ascii="Arial" w:hAnsi="Arial" w:cs="Arial"/>
                <w:spacing w:val="-1"/>
                <w:sz w:val="18"/>
              </w:rPr>
              <w:t xml:space="preserve"> </w:t>
            </w:r>
            <w:r w:rsidRPr="009543AC">
              <w:rPr>
                <w:rFonts w:ascii="Arial" w:hAnsi="Arial" w:cs="Arial"/>
                <w:sz w:val="18"/>
              </w:rPr>
              <w:t>copy</w:t>
            </w:r>
            <w:r w:rsidRPr="009543AC">
              <w:rPr>
                <w:rFonts w:ascii="Arial" w:hAnsi="Arial" w:cs="Arial"/>
                <w:spacing w:val="-1"/>
                <w:sz w:val="18"/>
              </w:rPr>
              <w:t xml:space="preserve"> </w:t>
            </w:r>
            <w:r w:rsidRPr="009543AC">
              <w:rPr>
                <w:rFonts w:ascii="Arial" w:hAnsi="Arial" w:cs="Arial"/>
                <w:sz w:val="18"/>
              </w:rPr>
              <w:t>of</w:t>
            </w:r>
          </w:p>
          <w:p w14:paraId="1F883D98" w14:textId="77777777" w:rsidR="009543AC" w:rsidRPr="009543AC" w:rsidRDefault="009543AC" w:rsidP="00D77840">
            <w:pPr>
              <w:pStyle w:val="TableParagraph"/>
              <w:spacing w:before="1" w:line="225" w:lineRule="exact"/>
              <w:jc w:val="both"/>
              <w:rPr>
                <w:rFonts w:ascii="Arial" w:hAnsi="Arial" w:cs="Arial"/>
                <w:sz w:val="18"/>
              </w:rPr>
            </w:pPr>
            <w:r w:rsidRPr="009543AC">
              <w:rPr>
                <w:rFonts w:ascii="Arial" w:hAnsi="Arial" w:cs="Arial"/>
                <w:sz w:val="18"/>
              </w:rPr>
              <w:t>them</w:t>
            </w:r>
            <w:r w:rsidRPr="009543AC">
              <w:rPr>
                <w:rFonts w:ascii="Arial" w:hAnsi="Arial" w:cs="Arial"/>
                <w:spacing w:val="-3"/>
                <w:sz w:val="18"/>
              </w:rPr>
              <w:t xml:space="preserve"> </w:t>
            </w:r>
            <w:r w:rsidRPr="009543AC">
              <w:rPr>
                <w:rFonts w:ascii="Arial" w:hAnsi="Arial" w:cs="Arial"/>
                <w:sz w:val="18"/>
              </w:rPr>
              <w:t>to</w:t>
            </w:r>
            <w:r w:rsidRPr="009543AC">
              <w:rPr>
                <w:rFonts w:ascii="Arial" w:hAnsi="Arial" w:cs="Arial"/>
                <w:spacing w:val="-2"/>
                <w:sz w:val="18"/>
              </w:rPr>
              <w:t xml:space="preserve"> </w:t>
            </w:r>
            <w:r w:rsidRPr="009543AC">
              <w:rPr>
                <w:rFonts w:ascii="Arial" w:hAnsi="Arial" w:cs="Arial"/>
                <w:sz w:val="18"/>
              </w:rPr>
              <w:t>the</w:t>
            </w:r>
            <w:r w:rsidRPr="009543AC">
              <w:rPr>
                <w:rFonts w:ascii="Arial" w:hAnsi="Arial" w:cs="Arial"/>
                <w:spacing w:val="-3"/>
                <w:sz w:val="18"/>
              </w:rPr>
              <w:t xml:space="preserve"> </w:t>
            </w:r>
            <w:r w:rsidRPr="009543AC">
              <w:rPr>
                <w:rFonts w:ascii="Arial" w:hAnsi="Arial" w:cs="Arial"/>
                <w:sz w:val="18"/>
              </w:rPr>
              <w:t>owner.</w:t>
            </w:r>
          </w:p>
        </w:tc>
        <w:tc>
          <w:tcPr>
            <w:tcW w:w="2947" w:type="dxa"/>
          </w:tcPr>
          <w:p w14:paraId="48AFAA37" w14:textId="77777777" w:rsidR="009543AC" w:rsidRPr="009543AC" w:rsidRDefault="009543AC" w:rsidP="00D77840">
            <w:pPr>
              <w:pStyle w:val="TableParagraph"/>
              <w:rPr>
                <w:rFonts w:ascii="Arial" w:hAnsi="Arial" w:cs="Arial"/>
                <w:sz w:val="18"/>
              </w:rPr>
            </w:pPr>
            <w:r w:rsidRPr="009543AC">
              <w:rPr>
                <w:rFonts w:ascii="Arial" w:hAnsi="Arial" w:cs="Arial"/>
                <w:sz w:val="18"/>
              </w:rPr>
              <w:t>Deviations do not need to be</w:t>
            </w:r>
            <w:r w:rsidRPr="009543AC">
              <w:rPr>
                <w:rFonts w:ascii="Arial" w:hAnsi="Arial" w:cs="Arial"/>
                <w:spacing w:val="-43"/>
                <w:sz w:val="18"/>
              </w:rPr>
              <w:t xml:space="preserve"> </w:t>
            </w:r>
            <w:r w:rsidRPr="009543AC">
              <w:rPr>
                <w:rFonts w:ascii="Arial" w:hAnsi="Arial" w:cs="Arial"/>
                <w:sz w:val="18"/>
              </w:rPr>
              <w:t>justified.</w:t>
            </w:r>
          </w:p>
        </w:tc>
      </w:tr>
      <w:tr w:rsidR="009543AC" w:rsidRPr="009543AC" w14:paraId="627EC21E" w14:textId="77777777" w:rsidTr="003E687E">
        <w:trPr>
          <w:trHeight w:val="445"/>
        </w:trPr>
        <w:tc>
          <w:tcPr>
            <w:tcW w:w="2359" w:type="dxa"/>
            <w:shd w:val="clear" w:color="auto" w:fill="F2F2F2" w:themeFill="background1" w:themeFillShade="F2"/>
          </w:tcPr>
          <w:p w14:paraId="29527A1F" w14:textId="77777777" w:rsidR="009543AC" w:rsidRPr="009543AC" w:rsidRDefault="009543AC" w:rsidP="00D77840">
            <w:pPr>
              <w:pStyle w:val="TableParagraph"/>
              <w:ind w:left="86"/>
              <w:rPr>
                <w:rFonts w:ascii="Arial" w:hAnsi="Arial" w:cs="Arial"/>
                <w:b/>
                <w:sz w:val="18"/>
              </w:rPr>
            </w:pPr>
            <w:r w:rsidRPr="009543AC">
              <w:rPr>
                <w:rFonts w:ascii="Arial" w:hAnsi="Arial" w:cs="Arial"/>
                <w:b/>
                <w:sz w:val="18"/>
              </w:rPr>
              <w:t>AMP</w:t>
            </w:r>
            <w:r w:rsidRPr="009543AC">
              <w:rPr>
                <w:rFonts w:ascii="Arial" w:hAnsi="Arial" w:cs="Arial"/>
                <w:b/>
                <w:spacing w:val="-3"/>
                <w:sz w:val="18"/>
              </w:rPr>
              <w:t xml:space="preserve"> </w:t>
            </w:r>
            <w:r w:rsidRPr="009543AC">
              <w:rPr>
                <w:rFonts w:ascii="Arial" w:hAnsi="Arial" w:cs="Arial"/>
                <w:b/>
                <w:sz w:val="18"/>
              </w:rPr>
              <w:t>annual</w:t>
            </w:r>
            <w:r w:rsidRPr="009543AC">
              <w:rPr>
                <w:rFonts w:ascii="Arial" w:hAnsi="Arial" w:cs="Arial"/>
                <w:b/>
                <w:spacing w:val="-4"/>
                <w:sz w:val="18"/>
              </w:rPr>
              <w:t xml:space="preserve"> </w:t>
            </w:r>
            <w:r w:rsidRPr="009543AC">
              <w:rPr>
                <w:rFonts w:ascii="Arial" w:hAnsi="Arial" w:cs="Arial"/>
                <w:b/>
                <w:sz w:val="18"/>
              </w:rPr>
              <w:t>review</w:t>
            </w:r>
          </w:p>
        </w:tc>
        <w:tc>
          <w:tcPr>
            <w:tcW w:w="6699" w:type="dxa"/>
            <w:gridSpan w:val="2"/>
          </w:tcPr>
          <w:p w14:paraId="5C23BFB7" w14:textId="77777777" w:rsidR="009543AC" w:rsidRPr="009543AC" w:rsidRDefault="009543AC" w:rsidP="009543AC">
            <w:pPr>
              <w:pStyle w:val="TableParagraph"/>
              <w:spacing w:line="243" w:lineRule="exact"/>
              <w:rPr>
                <w:rFonts w:ascii="Arial" w:hAnsi="Arial" w:cs="Arial"/>
                <w:sz w:val="18"/>
              </w:rPr>
            </w:pPr>
            <w:r w:rsidRPr="009543AC">
              <w:rPr>
                <w:rFonts w:ascii="Arial" w:hAnsi="Arial" w:cs="Arial"/>
                <w:sz w:val="18"/>
              </w:rPr>
              <w:t>In</w:t>
            </w:r>
            <w:r w:rsidRPr="009543AC">
              <w:rPr>
                <w:rFonts w:ascii="Arial" w:hAnsi="Arial" w:cs="Arial"/>
                <w:spacing w:val="-2"/>
                <w:sz w:val="18"/>
              </w:rPr>
              <w:t xml:space="preserve"> </w:t>
            </w:r>
            <w:r w:rsidRPr="009543AC">
              <w:rPr>
                <w:rFonts w:ascii="Arial" w:hAnsi="Arial" w:cs="Arial"/>
                <w:sz w:val="18"/>
              </w:rPr>
              <w:t>conjunction</w:t>
            </w:r>
            <w:r w:rsidRPr="009543AC">
              <w:rPr>
                <w:rFonts w:ascii="Arial" w:hAnsi="Arial" w:cs="Arial"/>
                <w:spacing w:val="-1"/>
                <w:sz w:val="18"/>
              </w:rPr>
              <w:t xml:space="preserve"> </w:t>
            </w:r>
            <w:r w:rsidRPr="009543AC">
              <w:rPr>
                <w:rFonts w:ascii="Arial" w:hAnsi="Arial" w:cs="Arial"/>
                <w:sz w:val="18"/>
              </w:rPr>
              <w:t>with</w:t>
            </w:r>
            <w:r w:rsidRPr="009543AC">
              <w:rPr>
                <w:rFonts w:ascii="Arial" w:hAnsi="Arial" w:cs="Arial"/>
                <w:spacing w:val="-2"/>
                <w:sz w:val="18"/>
              </w:rPr>
              <w:t xml:space="preserve"> </w:t>
            </w:r>
            <w:r w:rsidRPr="009543AC">
              <w:rPr>
                <w:rFonts w:ascii="Arial" w:hAnsi="Arial" w:cs="Arial"/>
                <w:sz w:val="18"/>
              </w:rPr>
              <w:t>the</w:t>
            </w:r>
            <w:r w:rsidRPr="009543AC">
              <w:rPr>
                <w:rFonts w:ascii="Arial" w:hAnsi="Arial" w:cs="Arial"/>
                <w:spacing w:val="-2"/>
                <w:sz w:val="18"/>
              </w:rPr>
              <w:t xml:space="preserve"> </w:t>
            </w:r>
            <w:r w:rsidRPr="009543AC">
              <w:rPr>
                <w:rFonts w:ascii="Arial" w:hAnsi="Arial" w:cs="Arial"/>
                <w:sz w:val="18"/>
              </w:rPr>
              <w:t>AR,</w:t>
            </w:r>
            <w:r w:rsidRPr="009543AC">
              <w:rPr>
                <w:rFonts w:ascii="Arial" w:hAnsi="Arial" w:cs="Arial"/>
                <w:spacing w:val="-2"/>
                <w:sz w:val="18"/>
              </w:rPr>
              <w:t xml:space="preserve"> </w:t>
            </w:r>
            <w:r w:rsidRPr="009543AC">
              <w:rPr>
                <w:rFonts w:ascii="Arial" w:hAnsi="Arial" w:cs="Arial"/>
                <w:sz w:val="18"/>
              </w:rPr>
              <w:t>by</w:t>
            </w:r>
            <w:r w:rsidRPr="009543AC">
              <w:rPr>
                <w:rFonts w:ascii="Arial" w:hAnsi="Arial" w:cs="Arial"/>
                <w:spacing w:val="-3"/>
                <w:sz w:val="18"/>
              </w:rPr>
              <w:t xml:space="preserve"> </w:t>
            </w:r>
            <w:r w:rsidRPr="009543AC">
              <w:rPr>
                <w:rFonts w:ascii="Arial" w:hAnsi="Arial" w:cs="Arial"/>
                <w:sz w:val="18"/>
              </w:rPr>
              <w:t>the</w:t>
            </w:r>
            <w:r w:rsidRPr="009543AC">
              <w:rPr>
                <w:rFonts w:ascii="Arial" w:hAnsi="Arial" w:cs="Arial"/>
                <w:spacing w:val="-3"/>
                <w:sz w:val="18"/>
              </w:rPr>
              <w:t xml:space="preserve"> </w:t>
            </w:r>
            <w:r w:rsidRPr="009543AC">
              <w:rPr>
                <w:rFonts w:ascii="Arial" w:hAnsi="Arial" w:cs="Arial"/>
                <w:sz w:val="18"/>
              </w:rPr>
              <w:t>AR</w:t>
            </w:r>
            <w:r w:rsidRPr="009543AC">
              <w:rPr>
                <w:rFonts w:ascii="Arial" w:hAnsi="Arial" w:cs="Arial"/>
                <w:spacing w:val="-1"/>
                <w:sz w:val="18"/>
              </w:rPr>
              <w:t xml:space="preserve"> </w:t>
            </w:r>
            <w:r w:rsidRPr="009543AC">
              <w:rPr>
                <w:rFonts w:ascii="Arial" w:hAnsi="Arial" w:cs="Arial"/>
                <w:sz w:val="18"/>
              </w:rPr>
              <w:t>staff</w:t>
            </w:r>
            <w:r w:rsidRPr="009543AC">
              <w:rPr>
                <w:rFonts w:ascii="Arial" w:hAnsi="Arial" w:cs="Arial"/>
                <w:spacing w:val="-4"/>
                <w:sz w:val="18"/>
              </w:rPr>
              <w:t xml:space="preserve"> </w:t>
            </w:r>
            <w:r w:rsidRPr="009543AC">
              <w:rPr>
                <w:rFonts w:ascii="Arial" w:hAnsi="Arial" w:cs="Arial"/>
                <w:sz w:val="18"/>
              </w:rPr>
              <w:t>or,</w:t>
            </w:r>
            <w:r w:rsidRPr="009543AC">
              <w:rPr>
                <w:rFonts w:ascii="Arial" w:hAnsi="Arial" w:cs="Arial"/>
                <w:spacing w:val="-1"/>
                <w:sz w:val="18"/>
              </w:rPr>
              <w:t xml:space="preserve"> </w:t>
            </w:r>
            <w:r w:rsidRPr="009543AC">
              <w:rPr>
                <w:rFonts w:ascii="Arial" w:hAnsi="Arial" w:cs="Arial"/>
                <w:sz w:val="18"/>
              </w:rPr>
              <w:t>if</w:t>
            </w:r>
            <w:r w:rsidRPr="009543AC">
              <w:rPr>
                <w:rFonts w:ascii="Arial" w:hAnsi="Arial" w:cs="Arial"/>
                <w:spacing w:val="-3"/>
                <w:sz w:val="18"/>
              </w:rPr>
              <w:t xml:space="preserve"> </w:t>
            </w:r>
            <w:r w:rsidRPr="009543AC">
              <w:rPr>
                <w:rFonts w:ascii="Arial" w:hAnsi="Arial" w:cs="Arial"/>
                <w:sz w:val="18"/>
              </w:rPr>
              <w:t>not</w:t>
            </w:r>
            <w:r w:rsidRPr="009543AC">
              <w:rPr>
                <w:rFonts w:ascii="Arial" w:hAnsi="Arial" w:cs="Arial"/>
                <w:spacing w:val="-2"/>
                <w:sz w:val="18"/>
              </w:rPr>
              <w:t xml:space="preserve"> </w:t>
            </w:r>
            <w:r w:rsidRPr="009543AC">
              <w:rPr>
                <w:rFonts w:ascii="Arial" w:hAnsi="Arial" w:cs="Arial"/>
                <w:sz w:val="18"/>
              </w:rPr>
              <w:t>performed</w:t>
            </w:r>
            <w:r w:rsidRPr="009543AC">
              <w:rPr>
                <w:rFonts w:ascii="Arial" w:hAnsi="Arial" w:cs="Arial"/>
                <w:spacing w:val="-1"/>
                <w:sz w:val="18"/>
              </w:rPr>
              <w:t xml:space="preserve"> </w:t>
            </w:r>
            <w:r w:rsidRPr="009543AC">
              <w:rPr>
                <w:rFonts w:ascii="Arial" w:hAnsi="Arial" w:cs="Arial"/>
                <w:sz w:val="18"/>
              </w:rPr>
              <w:t>in</w:t>
            </w:r>
            <w:r w:rsidRPr="009543AC">
              <w:rPr>
                <w:rFonts w:ascii="Arial" w:hAnsi="Arial" w:cs="Arial"/>
                <w:spacing w:val="5"/>
                <w:sz w:val="18"/>
              </w:rPr>
              <w:t xml:space="preserve"> </w:t>
            </w:r>
            <w:r w:rsidRPr="009543AC">
              <w:rPr>
                <w:rFonts w:ascii="Arial" w:hAnsi="Arial" w:cs="Arial"/>
                <w:sz w:val="18"/>
              </w:rPr>
              <w:t>conjunction</w:t>
            </w:r>
            <w:r>
              <w:rPr>
                <w:rFonts w:ascii="Arial" w:hAnsi="Arial" w:cs="Arial"/>
                <w:sz w:val="18"/>
              </w:rPr>
              <w:t xml:space="preserve"> </w:t>
            </w:r>
            <w:r w:rsidRPr="009543AC">
              <w:rPr>
                <w:rFonts w:ascii="Arial" w:hAnsi="Arial" w:cs="Arial"/>
                <w:sz w:val="18"/>
              </w:rPr>
              <w:t>with</w:t>
            </w:r>
            <w:r w:rsidRPr="009543AC">
              <w:rPr>
                <w:rFonts w:ascii="Arial" w:hAnsi="Arial" w:cs="Arial"/>
                <w:spacing w:val="-2"/>
                <w:sz w:val="18"/>
              </w:rPr>
              <w:t xml:space="preserve"> </w:t>
            </w:r>
            <w:r w:rsidRPr="009543AC">
              <w:rPr>
                <w:rFonts w:ascii="Arial" w:hAnsi="Arial" w:cs="Arial"/>
                <w:sz w:val="18"/>
              </w:rPr>
              <w:t>the</w:t>
            </w:r>
            <w:r w:rsidRPr="009543AC">
              <w:rPr>
                <w:rFonts w:ascii="Arial" w:hAnsi="Arial" w:cs="Arial"/>
                <w:spacing w:val="-3"/>
                <w:sz w:val="18"/>
              </w:rPr>
              <w:t xml:space="preserve"> </w:t>
            </w:r>
            <w:r w:rsidRPr="009543AC">
              <w:rPr>
                <w:rFonts w:ascii="Arial" w:hAnsi="Arial" w:cs="Arial"/>
                <w:sz w:val="18"/>
              </w:rPr>
              <w:t>AR</w:t>
            </w:r>
            <w:r w:rsidRPr="009543AC">
              <w:rPr>
                <w:rFonts w:ascii="Arial" w:hAnsi="Arial" w:cs="Arial"/>
                <w:spacing w:val="-2"/>
                <w:sz w:val="18"/>
              </w:rPr>
              <w:t xml:space="preserve"> </w:t>
            </w:r>
            <w:r w:rsidRPr="009543AC">
              <w:rPr>
                <w:rFonts w:ascii="Arial" w:hAnsi="Arial" w:cs="Arial"/>
                <w:sz w:val="18"/>
              </w:rPr>
              <w:t>(e.g.</w:t>
            </w:r>
            <w:r w:rsidRPr="009543AC">
              <w:rPr>
                <w:rFonts w:ascii="Arial" w:hAnsi="Arial" w:cs="Arial"/>
                <w:spacing w:val="-3"/>
                <w:sz w:val="18"/>
              </w:rPr>
              <w:t xml:space="preserve"> </w:t>
            </w:r>
            <w:r w:rsidRPr="009543AC">
              <w:rPr>
                <w:rFonts w:ascii="Arial" w:hAnsi="Arial" w:cs="Arial"/>
                <w:sz w:val="18"/>
              </w:rPr>
              <w:t>in</w:t>
            </w:r>
            <w:r w:rsidRPr="009543AC">
              <w:rPr>
                <w:rFonts w:ascii="Arial" w:hAnsi="Arial" w:cs="Arial"/>
                <w:spacing w:val="-1"/>
                <w:sz w:val="18"/>
              </w:rPr>
              <w:t xml:space="preserve"> </w:t>
            </w:r>
            <w:r w:rsidRPr="009543AC">
              <w:rPr>
                <w:rFonts w:ascii="Arial" w:hAnsi="Arial" w:cs="Arial"/>
                <w:sz w:val="18"/>
              </w:rPr>
              <w:t>case</w:t>
            </w:r>
            <w:r w:rsidRPr="009543AC">
              <w:rPr>
                <w:rFonts w:ascii="Arial" w:hAnsi="Arial" w:cs="Arial"/>
                <w:spacing w:val="-3"/>
                <w:sz w:val="18"/>
              </w:rPr>
              <w:t xml:space="preserve"> </w:t>
            </w:r>
            <w:r w:rsidRPr="009543AC">
              <w:rPr>
                <w:rFonts w:ascii="Arial" w:hAnsi="Arial" w:cs="Arial"/>
                <w:sz w:val="18"/>
              </w:rPr>
              <w:t>of</w:t>
            </w:r>
            <w:r w:rsidRPr="009543AC">
              <w:rPr>
                <w:rFonts w:ascii="Arial" w:hAnsi="Arial" w:cs="Arial"/>
                <w:spacing w:val="-3"/>
                <w:sz w:val="18"/>
              </w:rPr>
              <w:t xml:space="preserve"> </w:t>
            </w:r>
            <w:r w:rsidRPr="009543AC">
              <w:rPr>
                <w:rFonts w:ascii="Arial" w:hAnsi="Arial" w:cs="Arial"/>
                <w:sz w:val="18"/>
              </w:rPr>
              <w:t>ARC</w:t>
            </w:r>
            <w:r w:rsidRPr="009543AC">
              <w:rPr>
                <w:rFonts w:ascii="Arial" w:hAnsi="Arial" w:cs="Arial"/>
                <w:spacing w:val="-3"/>
                <w:sz w:val="18"/>
              </w:rPr>
              <w:t xml:space="preserve"> </w:t>
            </w:r>
            <w:r w:rsidRPr="009543AC">
              <w:rPr>
                <w:rFonts w:ascii="Arial" w:hAnsi="Arial" w:cs="Arial"/>
                <w:sz w:val="18"/>
              </w:rPr>
              <w:t>extension),</w:t>
            </w:r>
            <w:r w:rsidRPr="009543AC">
              <w:rPr>
                <w:rFonts w:ascii="Arial" w:hAnsi="Arial" w:cs="Arial"/>
                <w:spacing w:val="-2"/>
                <w:sz w:val="18"/>
              </w:rPr>
              <w:t xml:space="preserve"> </w:t>
            </w:r>
            <w:r w:rsidRPr="009543AC">
              <w:rPr>
                <w:rFonts w:ascii="Arial" w:hAnsi="Arial" w:cs="Arial"/>
                <w:sz w:val="18"/>
              </w:rPr>
              <w:t>by</w:t>
            </w:r>
            <w:r w:rsidRPr="009543AC">
              <w:rPr>
                <w:rFonts w:ascii="Arial" w:hAnsi="Arial" w:cs="Arial"/>
                <w:spacing w:val="-2"/>
                <w:sz w:val="18"/>
              </w:rPr>
              <w:t xml:space="preserve"> </w:t>
            </w:r>
            <w:r w:rsidRPr="009543AC">
              <w:rPr>
                <w:rFonts w:ascii="Arial" w:hAnsi="Arial" w:cs="Arial"/>
                <w:sz w:val="18"/>
              </w:rPr>
              <w:t>the</w:t>
            </w:r>
            <w:r w:rsidRPr="009543AC">
              <w:rPr>
                <w:rFonts w:ascii="Arial" w:hAnsi="Arial" w:cs="Arial"/>
                <w:spacing w:val="-3"/>
                <w:sz w:val="18"/>
              </w:rPr>
              <w:t xml:space="preserve"> </w:t>
            </w:r>
            <w:r w:rsidRPr="009543AC">
              <w:rPr>
                <w:rFonts w:ascii="Arial" w:hAnsi="Arial" w:cs="Arial"/>
                <w:sz w:val="18"/>
              </w:rPr>
              <w:t>CAMO</w:t>
            </w:r>
            <w:r w:rsidRPr="009543AC">
              <w:rPr>
                <w:rFonts w:ascii="Arial" w:hAnsi="Arial" w:cs="Arial"/>
                <w:spacing w:val="-2"/>
                <w:sz w:val="18"/>
              </w:rPr>
              <w:t xml:space="preserve"> </w:t>
            </w:r>
            <w:r w:rsidRPr="009543AC">
              <w:rPr>
                <w:rFonts w:ascii="Arial" w:hAnsi="Arial" w:cs="Arial"/>
                <w:sz w:val="18"/>
              </w:rPr>
              <w:t>or CAO.</w:t>
            </w:r>
          </w:p>
        </w:tc>
      </w:tr>
    </w:tbl>
    <w:p w14:paraId="33E9F5A8" w14:textId="77777777" w:rsidR="009543AC" w:rsidRDefault="009543AC" w:rsidP="001C156F">
      <w:pPr>
        <w:rPr>
          <w:rFonts w:ascii="Arial" w:eastAsia="Times New Roman" w:hAnsi="Arial" w:cs="Times New Roman"/>
          <w:sz w:val="24"/>
        </w:rPr>
      </w:pPr>
    </w:p>
    <w:p w14:paraId="3181F211" w14:textId="77777777" w:rsidR="00974BFA" w:rsidRPr="00974BFA" w:rsidRDefault="00974BFA" w:rsidP="00974BFA">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829" w:name="_Toc153137510"/>
      <w:r w:rsidRPr="00974BFA">
        <w:rPr>
          <w:rFonts w:ascii="Arial" w:eastAsia="Times New Roman" w:hAnsi="Arial" w:cs="Times New Roman"/>
          <w:b/>
          <w:color w:val="FFFFFF"/>
          <w:sz w:val="24"/>
        </w:rPr>
        <w:t>AMC1 ML.A.302(c) Aircraft maintenance programme</w:t>
      </w:r>
      <w:bookmarkEnd w:id="829"/>
      <w:r w:rsidRPr="00974BFA">
        <w:rPr>
          <w:rFonts w:ascii="Arial" w:eastAsia="Times New Roman" w:hAnsi="Arial" w:cs="Times New Roman"/>
          <w:b/>
          <w:color w:val="FFFFFF"/>
          <w:sz w:val="24"/>
        </w:rPr>
        <w:tab/>
      </w:r>
    </w:p>
    <w:p w14:paraId="61304D51" w14:textId="77777777" w:rsidR="00974BFA" w:rsidRPr="00974BFA" w:rsidRDefault="00974BFA" w:rsidP="00974BFA">
      <w:pPr>
        <w:jc w:val="both"/>
        <w:rPr>
          <w:rFonts w:ascii="Arial" w:eastAsia="Times New Roman" w:hAnsi="Arial" w:cs="Arial"/>
          <w:sz w:val="20"/>
        </w:rPr>
      </w:pPr>
      <w:r w:rsidRPr="00974BFA">
        <w:rPr>
          <w:rFonts w:ascii="Arial" w:eastAsia="Times New Roman" w:hAnsi="Arial" w:cs="Arial"/>
          <w:sz w:val="20"/>
        </w:rPr>
        <w:t>When evaluating an alternative to a maintenance task issued or recommended by the DAH, such as the extension of TBO intervals, or when considering not to include a maintenance task issued or recommended by the DAH, a risk-based approach should be taken, considering aspects such as the operation of aircraft, type of aircraft, hours and years in service, maintenance of the aircraft, compensating measures, redundancy of components, etc.</w:t>
      </w:r>
    </w:p>
    <w:p w14:paraId="1512FFC9" w14:textId="77777777" w:rsidR="00974BFA" w:rsidRDefault="00974BFA" w:rsidP="00974BFA">
      <w:pPr>
        <w:jc w:val="both"/>
        <w:rPr>
          <w:rFonts w:ascii="Arial" w:eastAsia="Times New Roman" w:hAnsi="Arial" w:cs="Arial"/>
          <w:sz w:val="20"/>
        </w:rPr>
      </w:pPr>
      <w:r w:rsidRPr="00974BFA">
        <w:rPr>
          <w:rFonts w:ascii="Arial" w:eastAsia="Times New Roman" w:hAnsi="Arial" w:cs="Arial"/>
          <w:sz w:val="20"/>
        </w:rPr>
        <w:t>The following table provides more details of aspects that should be considered:</w:t>
      </w:r>
    </w:p>
    <w:p w14:paraId="14EB6FF4" w14:textId="77777777" w:rsidR="00974BFA" w:rsidRDefault="00974BFA" w:rsidP="00974BFA">
      <w:pPr>
        <w:jc w:val="both"/>
        <w:rPr>
          <w:rFonts w:ascii="Arial" w:eastAsia="Times New Roman" w:hAnsi="Arial" w:cs="Arial"/>
          <w:sz w:val="20"/>
        </w:rPr>
      </w:pPr>
    </w:p>
    <w:p w14:paraId="2732A461" w14:textId="77777777" w:rsidR="00974BFA" w:rsidRDefault="00974BFA" w:rsidP="00974BFA">
      <w:pPr>
        <w:jc w:val="both"/>
        <w:rPr>
          <w:rFonts w:ascii="Arial" w:eastAsia="Times New Roman" w:hAnsi="Arial" w:cs="Arial"/>
          <w:sz w:val="20"/>
        </w:rPr>
      </w:pPr>
    </w:p>
    <w:p w14:paraId="5CD8F4AE" w14:textId="77777777" w:rsidR="00974BFA" w:rsidRDefault="00974BFA" w:rsidP="00974BFA">
      <w:pPr>
        <w:jc w:val="both"/>
        <w:rPr>
          <w:rFonts w:ascii="Arial" w:eastAsia="Times New Roman" w:hAnsi="Arial" w:cs="Arial"/>
          <w:sz w:val="20"/>
        </w:rPr>
      </w:pPr>
    </w:p>
    <w:p w14:paraId="0A2F9014" w14:textId="77777777" w:rsidR="00974BFA" w:rsidRDefault="00974BFA" w:rsidP="00974BFA">
      <w:pPr>
        <w:jc w:val="both"/>
        <w:rPr>
          <w:rFonts w:ascii="Arial" w:eastAsia="Times New Roman" w:hAnsi="Arial" w:cs="Arial"/>
          <w:sz w:val="20"/>
        </w:rPr>
      </w:pPr>
    </w:p>
    <w:p w14:paraId="5DB71313" w14:textId="77777777" w:rsidR="00974BFA" w:rsidRDefault="00974BFA" w:rsidP="00974BFA">
      <w:pPr>
        <w:jc w:val="both"/>
        <w:rPr>
          <w:rFonts w:ascii="Arial" w:eastAsia="Times New Roman" w:hAnsi="Arial" w:cs="Arial"/>
          <w:sz w:val="20"/>
        </w:rPr>
      </w:pPr>
    </w:p>
    <w:p w14:paraId="5363A880" w14:textId="77777777" w:rsidR="00974BFA" w:rsidRDefault="00974BFA" w:rsidP="00974BFA">
      <w:pPr>
        <w:jc w:val="both"/>
        <w:rPr>
          <w:rFonts w:ascii="Arial" w:eastAsia="Times New Roman" w:hAnsi="Arial" w:cs="Arial"/>
          <w:sz w:val="20"/>
        </w:rPr>
      </w:pPr>
    </w:p>
    <w:p w14:paraId="31442638" w14:textId="77777777" w:rsidR="00974BFA" w:rsidRDefault="00974BFA" w:rsidP="00974BFA">
      <w:pPr>
        <w:jc w:val="both"/>
        <w:rPr>
          <w:rFonts w:ascii="Arial" w:eastAsia="Times New Roman" w:hAnsi="Arial" w:cs="Arial"/>
          <w:sz w:val="20"/>
        </w:rPr>
      </w:pPr>
    </w:p>
    <w:p w14:paraId="1E7B0584" w14:textId="77777777" w:rsidR="00974BFA" w:rsidRPr="00974BFA" w:rsidRDefault="00974BFA" w:rsidP="00974BFA">
      <w:pPr>
        <w:jc w:val="both"/>
        <w:rPr>
          <w:rFonts w:ascii="Arial" w:eastAsia="Times New Roman" w:hAnsi="Arial" w:cs="Arial"/>
          <w:sz w:val="20"/>
        </w:rPr>
      </w:pPr>
    </w:p>
    <w:tbl>
      <w:tblPr>
        <w:tblStyle w:val="TableGrid31"/>
        <w:tblW w:w="9170" w:type="dxa"/>
        <w:tblLayout w:type="fixed"/>
        <w:tblLook w:val="01E0" w:firstRow="1" w:lastRow="1" w:firstColumn="1" w:lastColumn="1" w:noHBand="0" w:noVBand="0"/>
      </w:tblPr>
      <w:tblGrid>
        <w:gridCol w:w="2051"/>
        <w:gridCol w:w="7119"/>
      </w:tblGrid>
      <w:tr w:rsidR="00974BFA" w:rsidRPr="00974BFA" w14:paraId="294E4E79" w14:textId="77777777" w:rsidTr="00680AFD">
        <w:trPr>
          <w:trHeight w:val="200"/>
        </w:trPr>
        <w:tc>
          <w:tcPr>
            <w:tcW w:w="2023" w:type="dxa"/>
            <w:shd w:val="clear" w:color="auto" w:fill="F2F2F2" w:themeFill="background1" w:themeFillShade="F2"/>
          </w:tcPr>
          <w:p w14:paraId="708F6441" w14:textId="77777777" w:rsidR="00974BFA" w:rsidRPr="00974BFA" w:rsidRDefault="00974BFA" w:rsidP="00974BFA">
            <w:pPr>
              <w:rPr>
                <w:rFonts w:ascii="Arial" w:hAnsi="Arial" w:cs="Arial"/>
                <w:sz w:val="18"/>
              </w:rPr>
            </w:pPr>
          </w:p>
        </w:tc>
        <w:tc>
          <w:tcPr>
            <w:tcW w:w="7021" w:type="dxa"/>
            <w:shd w:val="clear" w:color="auto" w:fill="F2F2F2" w:themeFill="background1" w:themeFillShade="F2"/>
          </w:tcPr>
          <w:p w14:paraId="48060082" w14:textId="77777777" w:rsidR="00974BFA" w:rsidRPr="00974BFA" w:rsidRDefault="00974BFA" w:rsidP="00974BFA">
            <w:pPr>
              <w:spacing w:before="1" w:line="222" w:lineRule="exact"/>
              <w:ind w:left="85"/>
              <w:rPr>
                <w:rFonts w:ascii="Arial" w:hAnsi="Arial" w:cs="Arial"/>
                <w:b/>
                <w:sz w:val="18"/>
              </w:rPr>
            </w:pPr>
            <w:r w:rsidRPr="00974BFA">
              <w:rPr>
                <w:rFonts w:ascii="Arial" w:hAnsi="Arial" w:cs="Arial"/>
                <w:b/>
                <w:sz w:val="18"/>
              </w:rPr>
              <w:t>Examples</w:t>
            </w:r>
          </w:p>
        </w:tc>
      </w:tr>
      <w:tr w:rsidR="00974BFA" w:rsidRPr="00974BFA" w14:paraId="60C031F9" w14:textId="77777777" w:rsidTr="00680AFD">
        <w:trPr>
          <w:trHeight w:val="934"/>
        </w:trPr>
        <w:tc>
          <w:tcPr>
            <w:tcW w:w="2023" w:type="dxa"/>
            <w:shd w:val="clear" w:color="auto" w:fill="F2F2F2" w:themeFill="background1" w:themeFillShade="F2"/>
          </w:tcPr>
          <w:p w14:paraId="3C254A3B" w14:textId="77777777" w:rsidR="00974BFA" w:rsidRPr="00974BFA" w:rsidRDefault="00974BFA" w:rsidP="00974BFA">
            <w:pPr>
              <w:ind w:left="86"/>
              <w:rPr>
                <w:rFonts w:ascii="Arial" w:hAnsi="Arial" w:cs="Arial"/>
                <w:b/>
                <w:sz w:val="18"/>
              </w:rPr>
            </w:pPr>
            <w:r w:rsidRPr="00974BFA">
              <w:rPr>
                <w:rFonts w:ascii="Arial" w:hAnsi="Arial" w:cs="Arial"/>
                <w:b/>
                <w:sz w:val="18"/>
              </w:rPr>
              <w:t>OPS</w:t>
            </w:r>
            <w:r w:rsidRPr="00974BFA">
              <w:rPr>
                <w:rFonts w:ascii="Arial" w:hAnsi="Arial" w:cs="Arial"/>
                <w:b/>
                <w:spacing w:val="-4"/>
                <w:sz w:val="18"/>
              </w:rPr>
              <w:t xml:space="preserve"> </w:t>
            </w:r>
            <w:r w:rsidRPr="00974BFA">
              <w:rPr>
                <w:rFonts w:ascii="Arial" w:hAnsi="Arial" w:cs="Arial"/>
                <w:b/>
                <w:sz w:val="18"/>
              </w:rPr>
              <w:t>approval</w:t>
            </w:r>
          </w:p>
        </w:tc>
        <w:tc>
          <w:tcPr>
            <w:tcW w:w="7021" w:type="dxa"/>
          </w:tcPr>
          <w:p w14:paraId="7D9D7DD7" w14:textId="77777777" w:rsidR="00974BFA" w:rsidRPr="00974BFA" w:rsidRDefault="00974BFA" w:rsidP="00974BFA">
            <w:pPr>
              <w:ind w:left="85"/>
              <w:rPr>
                <w:rFonts w:ascii="Arial" w:hAnsi="Arial" w:cs="Arial"/>
                <w:sz w:val="18"/>
              </w:rPr>
            </w:pPr>
            <w:r w:rsidRPr="00974BFA">
              <w:rPr>
                <w:rFonts w:ascii="Arial" w:hAnsi="Arial" w:cs="Arial"/>
                <w:sz w:val="18"/>
              </w:rPr>
              <w:t>HIGHER</w:t>
            </w:r>
            <w:r w:rsidRPr="00974BFA">
              <w:rPr>
                <w:rFonts w:ascii="Arial" w:hAnsi="Arial" w:cs="Arial"/>
                <w:spacing w:val="-3"/>
                <w:sz w:val="18"/>
              </w:rPr>
              <w:t xml:space="preserve"> </w:t>
            </w:r>
            <w:r w:rsidRPr="00974BFA">
              <w:rPr>
                <w:rFonts w:ascii="Arial" w:hAnsi="Arial" w:cs="Arial"/>
                <w:sz w:val="18"/>
              </w:rPr>
              <w:t>RISK:</w:t>
            </w:r>
            <w:r w:rsidRPr="00974BFA">
              <w:rPr>
                <w:rFonts w:ascii="Arial" w:hAnsi="Arial" w:cs="Arial"/>
                <w:spacing w:val="-3"/>
                <w:sz w:val="18"/>
              </w:rPr>
              <w:t xml:space="preserve"> </w:t>
            </w:r>
            <w:r w:rsidRPr="00974BFA">
              <w:rPr>
                <w:rFonts w:ascii="Arial" w:hAnsi="Arial" w:cs="Arial"/>
                <w:sz w:val="18"/>
              </w:rPr>
              <w:t>commercial</w:t>
            </w:r>
            <w:r w:rsidRPr="00974BFA">
              <w:rPr>
                <w:rFonts w:ascii="Arial" w:hAnsi="Arial" w:cs="Arial"/>
                <w:spacing w:val="-3"/>
                <w:sz w:val="18"/>
              </w:rPr>
              <w:t xml:space="preserve"> </w:t>
            </w:r>
            <w:r w:rsidRPr="00974BFA">
              <w:rPr>
                <w:rFonts w:ascii="Arial" w:hAnsi="Arial" w:cs="Arial"/>
                <w:sz w:val="18"/>
              </w:rPr>
              <w:t>operation,</w:t>
            </w:r>
            <w:r w:rsidRPr="00974BFA">
              <w:rPr>
                <w:rFonts w:ascii="Arial" w:hAnsi="Arial" w:cs="Arial"/>
                <w:spacing w:val="-2"/>
                <w:sz w:val="18"/>
              </w:rPr>
              <w:t xml:space="preserve"> </w:t>
            </w:r>
            <w:r w:rsidRPr="00974BFA">
              <w:rPr>
                <w:rFonts w:ascii="Arial" w:hAnsi="Arial" w:cs="Arial"/>
                <w:sz w:val="18"/>
              </w:rPr>
              <w:t>commercial</w:t>
            </w:r>
            <w:r w:rsidRPr="00974BFA">
              <w:rPr>
                <w:rFonts w:ascii="Arial" w:hAnsi="Arial" w:cs="Arial"/>
                <w:spacing w:val="-1"/>
                <w:sz w:val="18"/>
              </w:rPr>
              <w:t xml:space="preserve"> </w:t>
            </w:r>
            <w:r w:rsidRPr="00974BFA">
              <w:rPr>
                <w:rFonts w:ascii="Arial" w:hAnsi="Arial" w:cs="Arial"/>
                <w:sz w:val="18"/>
              </w:rPr>
              <w:t>flight</w:t>
            </w:r>
            <w:r w:rsidRPr="00974BFA">
              <w:rPr>
                <w:rFonts w:ascii="Arial" w:hAnsi="Arial" w:cs="Arial"/>
                <w:spacing w:val="-2"/>
                <w:sz w:val="18"/>
              </w:rPr>
              <w:t xml:space="preserve"> </w:t>
            </w:r>
            <w:r w:rsidRPr="00974BFA">
              <w:rPr>
                <w:rFonts w:ascii="Arial" w:hAnsi="Arial" w:cs="Arial"/>
                <w:sz w:val="18"/>
              </w:rPr>
              <w:t>training</w:t>
            </w:r>
          </w:p>
          <w:p w14:paraId="1DF19B17" w14:textId="77777777" w:rsidR="00974BFA" w:rsidRPr="00974BFA" w:rsidRDefault="00974BFA" w:rsidP="00974BFA">
            <w:pPr>
              <w:spacing w:before="1"/>
              <w:ind w:left="85"/>
              <w:rPr>
                <w:rFonts w:ascii="Arial" w:hAnsi="Arial" w:cs="Arial"/>
                <w:sz w:val="18"/>
              </w:rPr>
            </w:pPr>
            <w:r w:rsidRPr="00974BFA">
              <w:rPr>
                <w:rFonts w:ascii="Arial" w:hAnsi="Arial" w:cs="Arial"/>
                <w:sz w:val="18"/>
              </w:rPr>
              <w:t>MEDIUM RISK: flight training by an association, non-commercial specialised</w:t>
            </w:r>
            <w:r w:rsidRPr="00974BFA">
              <w:rPr>
                <w:rFonts w:ascii="Arial" w:hAnsi="Arial" w:cs="Arial"/>
                <w:spacing w:val="-43"/>
                <w:sz w:val="18"/>
              </w:rPr>
              <w:t xml:space="preserve"> </w:t>
            </w:r>
            <w:r w:rsidRPr="00974BFA">
              <w:rPr>
                <w:rFonts w:ascii="Arial" w:hAnsi="Arial" w:cs="Arial"/>
                <w:sz w:val="18"/>
              </w:rPr>
              <w:t>operations</w:t>
            </w:r>
            <w:r w:rsidRPr="00974BFA">
              <w:rPr>
                <w:rFonts w:ascii="Arial" w:hAnsi="Arial" w:cs="Arial"/>
                <w:spacing w:val="-3"/>
                <w:sz w:val="18"/>
              </w:rPr>
              <w:t xml:space="preserve"> </w:t>
            </w:r>
            <w:r w:rsidRPr="00974BFA">
              <w:rPr>
                <w:rFonts w:ascii="Arial" w:hAnsi="Arial" w:cs="Arial"/>
                <w:sz w:val="18"/>
              </w:rPr>
              <w:t>(SPO)</w:t>
            </w:r>
          </w:p>
          <w:p w14:paraId="58D7901B" w14:textId="77777777" w:rsidR="00974BFA" w:rsidRPr="00974BFA" w:rsidRDefault="00974BFA" w:rsidP="00974BFA">
            <w:pPr>
              <w:spacing w:line="224" w:lineRule="exact"/>
              <w:ind w:left="85"/>
              <w:rPr>
                <w:rFonts w:ascii="Arial" w:hAnsi="Arial" w:cs="Arial"/>
                <w:sz w:val="18"/>
              </w:rPr>
            </w:pPr>
            <w:r w:rsidRPr="00974BFA">
              <w:rPr>
                <w:rFonts w:ascii="Arial" w:hAnsi="Arial" w:cs="Arial"/>
                <w:sz w:val="18"/>
              </w:rPr>
              <w:t>LOWER</w:t>
            </w:r>
            <w:r w:rsidRPr="00974BFA">
              <w:rPr>
                <w:rFonts w:ascii="Arial" w:hAnsi="Arial" w:cs="Arial"/>
                <w:spacing w:val="-4"/>
                <w:sz w:val="18"/>
              </w:rPr>
              <w:t xml:space="preserve"> </w:t>
            </w:r>
            <w:r w:rsidRPr="00974BFA">
              <w:rPr>
                <w:rFonts w:ascii="Arial" w:hAnsi="Arial" w:cs="Arial"/>
                <w:sz w:val="18"/>
              </w:rPr>
              <w:t>RISK:</w:t>
            </w:r>
            <w:r w:rsidRPr="00974BFA">
              <w:rPr>
                <w:rFonts w:ascii="Arial" w:hAnsi="Arial" w:cs="Arial"/>
                <w:spacing w:val="-3"/>
                <w:sz w:val="18"/>
              </w:rPr>
              <w:t xml:space="preserve"> </w:t>
            </w:r>
            <w:r w:rsidRPr="00974BFA">
              <w:rPr>
                <w:rFonts w:ascii="Arial" w:hAnsi="Arial" w:cs="Arial"/>
                <w:sz w:val="18"/>
              </w:rPr>
              <w:t>private</w:t>
            </w:r>
          </w:p>
        </w:tc>
      </w:tr>
      <w:tr w:rsidR="00974BFA" w:rsidRPr="00974BFA" w14:paraId="45CCAC24" w14:textId="77777777" w:rsidTr="00680AFD">
        <w:trPr>
          <w:trHeight w:val="689"/>
        </w:trPr>
        <w:tc>
          <w:tcPr>
            <w:tcW w:w="2023" w:type="dxa"/>
            <w:shd w:val="clear" w:color="auto" w:fill="F2F2F2" w:themeFill="background1" w:themeFillShade="F2"/>
          </w:tcPr>
          <w:p w14:paraId="484A1950" w14:textId="77777777" w:rsidR="00974BFA" w:rsidRPr="00974BFA" w:rsidRDefault="00974BFA" w:rsidP="00974BFA">
            <w:pPr>
              <w:ind w:left="86"/>
              <w:rPr>
                <w:rFonts w:ascii="Arial" w:hAnsi="Arial" w:cs="Arial"/>
                <w:b/>
                <w:sz w:val="18"/>
              </w:rPr>
            </w:pPr>
            <w:r w:rsidRPr="00974BFA">
              <w:rPr>
                <w:rFonts w:ascii="Arial" w:hAnsi="Arial" w:cs="Arial"/>
                <w:b/>
                <w:sz w:val="18"/>
              </w:rPr>
              <w:t>Flight</w:t>
            </w:r>
            <w:r w:rsidRPr="00974BFA">
              <w:rPr>
                <w:rFonts w:ascii="Arial" w:hAnsi="Arial" w:cs="Arial"/>
                <w:b/>
                <w:spacing w:val="-3"/>
                <w:sz w:val="18"/>
              </w:rPr>
              <w:t xml:space="preserve"> </w:t>
            </w:r>
            <w:r w:rsidRPr="00974BFA">
              <w:rPr>
                <w:rFonts w:ascii="Arial" w:hAnsi="Arial" w:cs="Arial"/>
                <w:b/>
                <w:sz w:val="18"/>
              </w:rPr>
              <w:t>rules</w:t>
            </w:r>
          </w:p>
        </w:tc>
        <w:tc>
          <w:tcPr>
            <w:tcW w:w="7021" w:type="dxa"/>
          </w:tcPr>
          <w:p w14:paraId="5DB9F591" w14:textId="77777777" w:rsidR="00974BFA" w:rsidRPr="00974BFA" w:rsidRDefault="00974BFA" w:rsidP="00974BFA">
            <w:pPr>
              <w:ind w:left="85" w:right="2856"/>
              <w:rPr>
                <w:rFonts w:ascii="Arial" w:hAnsi="Arial" w:cs="Arial"/>
                <w:sz w:val="18"/>
              </w:rPr>
            </w:pPr>
            <w:r w:rsidRPr="00974BFA">
              <w:rPr>
                <w:rFonts w:ascii="Arial" w:hAnsi="Arial" w:cs="Arial"/>
                <w:sz w:val="18"/>
              </w:rPr>
              <w:t>HIGHER RISK: instrument flight rules (IFR)</w:t>
            </w:r>
            <w:r w:rsidRPr="00974BFA">
              <w:rPr>
                <w:rFonts w:ascii="Arial" w:hAnsi="Arial" w:cs="Arial"/>
                <w:spacing w:val="1"/>
                <w:sz w:val="18"/>
              </w:rPr>
              <w:t xml:space="preserve"> </w:t>
            </w:r>
            <w:r w:rsidRPr="00974BFA">
              <w:rPr>
                <w:rFonts w:ascii="Arial" w:hAnsi="Arial" w:cs="Arial"/>
                <w:sz w:val="18"/>
              </w:rPr>
              <w:t>MEDIUM</w:t>
            </w:r>
            <w:r w:rsidRPr="00974BFA">
              <w:rPr>
                <w:rFonts w:ascii="Arial" w:hAnsi="Arial" w:cs="Arial"/>
                <w:spacing w:val="-3"/>
                <w:sz w:val="18"/>
              </w:rPr>
              <w:t xml:space="preserve"> </w:t>
            </w:r>
            <w:r w:rsidRPr="00974BFA">
              <w:rPr>
                <w:rFonts w:ascii="Arial" w:hAnsi="Arial" w:cs="Arial"/>
                <w:sz w:val="18"/>
              </w:rPr>
              <w:t>RISK:</w:t>
            </w:r>
            <w:r w:rsidRPr="00974BFA">
              <w:rPr>
                <w:rFonts w:ascii="Arial" w:hAnsi="Arial" w:cs="Arial"/>
                <w:spacing w:val="-4"/>
                <w:sz w:val="18"/>
              </w:rPr>
              <w:t xml:space="preserve"> </w:t>
            </w:r>
            <w:r w:rsidRPr="00974BFA">
              <w:rPr>
                <w:rFonts w:ascii="Arial" w:hAnsi="Arial" w:cs="Arial"/>
                <w:sz w:val="18"/>
              </w:rPr>
              <w:t>visual</w:t>
            </w:r>
            <w:r w:rsidRPr="00974BFA">
              <w:rPr>
                <w:rFonts w:ascii="Arial" w:hAnsi="Arial" w:cs="Arial"/>
                <w:spacing w:val="-2"/>
                <w:sz w:val="18"/>
              </w:rPr>
              <w:t xml:space="preserve"> </w:t>
            </w:r>
            <w:r w:rsidRPr="00974BFA">
              <w:rPr>
                <w:rFonts w:ascii="Arial" w:hAnsi="Arial" w:cs="Arial"/>
                <w:sz w:val="18"/>
              </w:rPr>
              <w:t>flight</w:t>
            </w:r>
            <w:r w:rsidRPr="00974BFA">
              <w:rPr>
                <w:rFonts w:ascii="Arial" w:hAnsi="Arial" w:cs="Arial"/>
                <w:spacing w:val="-2"/>
                <w:sz w:val="18"/>
              </w:rPr>
              <w:t xml:space="preserve"> </w:t>
            </w:r>
            <w:r w:rsidRPr="00974BFA">
              <w:rPr>
                <w:rFonts w:ascii="Arial" w:hAnsi="Arial" w:cs="Arial"/>
                <w:sz w:val="18"/>
              </w:rPr>
              <w:t>rules</w:t>
            </w:r>
            <w:r w:rsidRPr="00974BFA">
              <w:rPr>
                <w:rFonts w:ascii="Arial" w:hAnsi="Arial" w:cs="Arial"/>
                <w:spacing w:val="-4"/>
                <w:sz w:val="18"/>
              </w:rPr>
              <w:t xml:space="preserve"> </w:t>
            </w:r>
            <w:r w:rsidRPr="00974BFA">
              <w:rPr>
                <w:rFonts w:ascii="Arial" w:hAnsi="Arial" w:cs="Arial"/>
                <w:sz w:val="18"/>
              </w:rPr>
              <w:t>(VFR)</w:t>
            </w:r>
            <w:r w:rsidRPr="00974BFA">
              <w:rPr>
                <w:rFonts w:ascii="Arial" w:hAnsi="Arial" w:cs="Arial"/>
                <w:spacing w:val="-4"/>
                <w:sz w:val="18"/>
              </w:rPr>
              <w:t xml:space="preserve"> </w:t>
            </w:r>
            <w:r w:rsidRPr="00974BFA">
              <w:rPr>
                <w:rFonts w:ascii="Arial" w:hAnsi="Arial" w:cs="Arial"/>
                <w:sz w:val="18"/>
              </w:rPr>
              <w:t>at</w:t>
            </w:r>
            <w:r w:rsidRPr="00974BFA">
              <w:rPr>
                <w:rFonts w:ascii="Arial" w:hAnsi="Arial" w:cs="Arial"/>
                <w:spacing w:val="-2"/>
                <w:sz w:val="18"/>
              </w:rPr>
              <w:t xml:space="preserve"> </w:t>
            </w:r>
            <w:r w:rsidRPr="00974BFA">
              <w:rPr>
                <w:rFonts w:ascii="Arial" w:hAnsi="Arial" w:cs="Arial"/>
                <w:sz w:val="18"/>
              </w:rPr>
              <w:t>night</w:t>
            </w:r>
          </w:p>
          <w:p w14:paraId="420E9DE8" w14:textId="77777777" w:rsidR="00974BFA" w:rsidRPr="00974BFA" w:rsidRDefault="00974BFA" w:rsidP="00974BFA">
            <w:pPr>
              <w:spacing w:line="224" w:lineRule="exact"/>
              <w:ind w:left="85"/>
              <w:rPr>
                <w:rFonts w:ascii="Arial" w:hAnsi="Arial" w:cs="Arial"/>
                <w:sz w:val="18"/>
              </w:rPr>
            </w:pPr>
            <w:r w:rsidRPr="00974BFA">
              <w:rPr>
                <w:rFonts w:ascii="Arial" w:hAnsi="Arial" w:cs="Arial"/>
                <w:sz w:val="18"/>
              </w:rPr>
              <w:t>LOWER</w:t>
            </w:r>
            <w:r w:rsidRPr="00974BFA">
              <w:rPr>
                <w:rFonts w:ascii="Arial" w:hAnsi="Arial" w:cs="Arial"/>
                <w:spacing w:val="-3"/>
                <w:sz w:val="18"/>
              </w:rPr>
              <w:t xml:space="preserve"> </w:t>
            </w:r>
            <w:r w:rsidRPr="00974BFA">
              <w:rPr>
                <w:rFonts w:ascii="Arial" w:hAnsi="Arial" w:cs="Arial"/>
                <w:sz w:val="18"/>
              </w:rPr>
              <w:t>RISK:</w:t>
            </w:r>
            <w:r w:rsidRPr="00974BFA">
              <w:rPr>
                <w:rFonts w:ascii="Arial" w:hAnsi="Arial" w:cs="Arial"/>
                <w:spacing w:val="-2"/>
                <w:sz w:val="18"/>
              </w:rPr>
              <w:t xml:space="preserve"> </w:t>
            </w:r>
            <w:r w:rsidRPr="00974BFA">
              <w:rPr>
                <w:rFonts w:ascii="Arial" w:hAnsi="Arial" w:cs="Arial"/>
                <w:sz w:val="18"/>
              </w:rPr>
              <w:t>VFR</w:t>
            </w:r>
            <w:r w:rsidRPr="00974BFA">
              <w:rPr>
                <w:rFonts w:ascii="Arial" w:hAnsi="Arial" w:cs="Arial"/>
                <w:spacing w:val="-2"/>
                <w:sz w:val="18"/>
              </w:rPr>
              <w:t xml:space="preserve"> </w:t>
            </w:r>
            <w:r w:rsidRPr="00974BFA">
              <w:rPr>
                <w:rFonts w:ascii="Arial" w:hAnsi="Arial" w:cs="Arial"/>
                <w:sz w:val="18"/>
              </w:rPr>
              <w:t>by</w:t>
            </w:r>
            <w:r w:rsidRPr="00974BFA">
              <w:rPr>
                <w:rFonts w:ascii="Arial" w:hAnsi="Arial" w:cs="Arial"/>
                <w:spacing w:val="-2"/>
                <w:sz w:val="18"/>
              </w:rPr>
              <w:t xml:space="preserve"> </w:t>
            </w:r>
            <w:r w:rsidRPr="00974BFA">
              <w:rPr>
                <w:rFonts w:ascii="Arial" w:hAnsi="Arial" w:cs="Arial"/>
                <w:sz w:val="18"/>
              </w:rPr>
              <w:t>day</w:t>
            </w:r>
          </w:p>
        </w:tc>
      </w:tr>
      <w:tr w:rsidR="00974BFA" w:rsidRPr="00974BFA" w14:paraId="2F62F370" w14:textId="77777777" w:rsidTr="00680AFD">
        <w:trPr>
          <w:trHeight w:val="934"/>
        </w:trPr>
        <w:tc>
          <w:tcPr>
            <w:tcW w:w="2023" w:type="dxa"/>
            <w:shd w:val="clear" w:color="auto" w:fill="F2F2F2" w:themeFill="background1" w:themeFillShade="F2"/>
          </w:tcPr>
          <w:p w14:paraId="57F4B945" w14:textId="77777777" w:rsidR="00974BFA" w:rsidRPr="00974BFA" w:rsidRDefault="00974BFA" w:rsidP="00974BFA">
            <w:pPr>
              <w:ind w:left="86"/>
              <w:rPr>
                <w:rFonts w:ascii="Arial" w:hAnsi="Arial" w:cs="Arial"/>
                <w:b/>
                <w:sz w:val="18"/>
              </w:rPr>
            </w:pPr>
            <w:r w:rsidRPr="00974BFA">
              <w:rPr>
                <w:rFonts w:ascii="Arial" w:hAnsi="Arial" w:cs="Arial"/>
                <w:b/>
                <w:sz w:val="18"/>
              </w:rPr>
              <w:t>Aircraft</w:t>
            </w:r>
            <w:r w:rsidRPr="00974BFA">
              <w:rPr>
                <w:rFonts w:ascii="Arial" w:hAnsi="Arial" w:cs="Arial"/>
                <w:b/>
                <w:spacing w:val="-5"/>
                <w:sz w:val="18"/>
              </w:rPr>
              <w:t xml:space="preserve"> </w:t>
            </w:r>
            <w:r w:rsidRPr="00974BFA">
              <w:rPr>
                <w:rFonts w:ascii="Arial" w:hAnsi="Arial" w:cs="Arial"/>
                <w:b/>
                <w:sz w:val="18"/>
              </w:rPr>
              <w:t>weight</w:t>
            </w:r>
          </w:p>
        </w:tc>
        <w:tc>
          <w:tcPr>
            <w:tcW w:w="7021" w:type="dxa"/>
          </w:tcPr>
          <w:p w14:paraId="62745DE3" w14:textId="77777777" w:rsidR="00974BFA" w:rsidRPr="00974BFA" w:rsidRDefault="00974BFA" w:rsidP="00974BFA">
            <w:pPr>
              <w:spacing w:line="243" w:lineRule="exact"/>
              <w:ind w:left="85"/>
              <w:rPr>
                <w:rFonts w:ascii="Arial" w:hAnsi="Arial" w:cs="Arial"/>
                <w:sz w:val="18"/>
              </w:rPr>
            </w:pPr>
            <w:r w:rsidRPr="00974BFA">
              <w:rPr>
                <w:rFonts w:ascii="Arial" w:hAnsi="Arial" w:cs="Arial"/>
                <w:sz w:val="18"/>
              </w:rPr>
              <w:t>HIGHER</w:t>
            </w:r>
            <w:r w:rsidRPr="00974BFA">
              <w:rPr>
                <w:rFonts w:ascii="Arial" w:hAnsi="Arial" w:cs="Arial"/>
                <w:spacing w:val="-3"/>
                <w:sz w:val="18"/>
              </w:rPr>
              <w:t xml:space="preserve"> </w:t>
            </w:r>
            <w:r w:rsidRPr="00974BFA">
              <w:rPr>
                <w:rFonts w:ascii="Arial" w:hAnsi="Arial" w:cs="Arial"/>
                <w:sz w:val="18"/>
              </w:rPr>
              <w:t>RISK:</w:t>
            </w:r>
            <w:r w:rsidRPr="00974BFA">
              <w:rPr>
                <w:rFonts w:ascii="Arial" w:hAnsi="Arial" w:cs="Arial"/>
                <w:spacing w:val="-3"/>
                <w:sz w:val="18"/>
              </w:rPr>
              <w:t xml:space="preserve"> </w:t>
            </w:r>
            <w:r w:rsidRPr="00974BFA">
              <w:rPr>
                <w:rFonts w:ascii="Arial" w:hAnsi="Arial" w:cs="Arial"/>
                <w:sz w:val="18"/>
              </w:rPr>
              <w:t>Other</w:t>
            </w:r>
            <w:r w:rsidRPr="00974BFA">
              <w:rPr>
                <w:rFonts w:ascii="Arial" w:hAnsi="Arial" w:cs="Arial"/>
                <w:spacing w:val="-2"/>
                <w:sz w:val="18"/>
              </w:rPr>
              <w:t xml:space="preserve"> </w:t>
            </w:r>
            <w:r w:rsidRPr="00974BFA">
              <w:rPr>
                <w:rFonts w:ascii="Arial" w:hAnsi="Arial" w:cs="Arial"/>
                <w:sz w:val="18"/>
              </w:rPr>
              <w:t>than ELA1</w:t>
            </w:r>
          </w:p>
          <w:p w14:paraId="2542B4CB" w14:textId="77777777" w:rsidR="00974BFA" w:rsidRPr="00974BFA" w:rsidRDefault="00974BFA" w:rsidP="00974BFA">
            <w:pPr>
              <w:ind w:left="85" w:right="606"/>
              <w:rPr>
                <w:rFonts w:ascii="Arial" w:hAnsi="Arial" w:cs="Arial"/>
                <w:sz w:val="18"/>
              </w:rPr>
            </w:pPr>
            <w:r w:rsidRPr="00974BFA">
              <w:rPr>
                <w:rFonts w:ascii="Arial" w:hAnsi="Arial" w:cs="Arial"/>
                <w:sz w:val="18"/>
              </w:rPr>
              <w:t>MEDIUM RISK: ELA1 aircraft other than light sport aeroplanes (LSA), very light</w:t>
            </w:r>
            <w:r w:rsidRPr="00974BFA">
              <w:rPr>
                <w:rFonts w:ascii="Arial" w:hAnsi="Arial" w:cs="Arial"/>
                <w:spacing w:val="-43"/>
                <w:sz w:val="18"/>
              </w:rPr>
              <w:t xml:space="preserve"> </w:t>
            </w:r>
            <w:r w:rsidRPr="00974BFA">
              <w:rPr>
                <w:rFonts w:ascii="Arial" w:hAnsi="Arial" w:cs="Arial"/>
                <w:sz w:val="18"/>
              </w:rPr>
              <w:t>aircraft</w:t>
            </w:r>
            <w:r w:rsidRPr="00974BFA">
              <w:rPr>
                <w:rFonts w:ascii="Arial" w:hAnsi="Arial" w:cs="Arial"/>
                <w:spacing w:val="-1"/>
                <w:sz w:val="18"/>
              </w:rPr>
              <w:t xml:space="preserve"> </w:t>
            </w:r>
            <w:r w:rsidRPr="00974BFA">
              <w:rPr>
                <w:rFonts w:ascii="Arial" w:hAnsi="Arial" w:cs="Arial"/>
                <w:sz w:val="18"/>
              </w:rPr>
              <w:t>(VLA), sailplanes</w:t>
            </w:r>
            <w:r w:rsidRPr="00974BFA">
              <w:rPr>
                <w:rFonts w:ascii="Arial" w:hAnsi="Arial" w:cs="Arial"/>
                <w:spacing w:val="-2"/>
                <w:sz w:val="18"/>
              </w:rPr>
              <w:t xml:space="preserve"> </w:t>
            </w:r>
            <w:r w:rsidRPr="00974BFA">
              <w:rPr>
                <w:rFonts w:ascii="Arial" w:hAnsi="Arial" w:cs="Arial"/>
                <w:sz w:val="18"/>
              </w:rPr>
              <w:t>and</w:t>
            </w:r>
            <w:r w:rsidRPr="00974BFA">
              <w:rPr>
                <w:rFonts w:ascii="Arial" w:hAnsi="Arial" w:cs="Arial"/>
                <w:spacing w:val="-1"/>
                <w:sz w:val="18"/>
              </w:rPr>
              <w:t xml:space="preserve"> </w:t>
            </w:r>
            <w:r w:rsidRPr="00974BFA">
              <w:rPr>
                <w:rFonts w:ascii="Arial" w:hAnsi="Arial" w:cs="Arial"/>
                <w:sz w:val="18"/>
              </w:rPr>
              <w:t>powered</w:t>
            </w:r>
            <w:r w:rsidRPr="00974BFA">
              <w:rPr>
                <w:rFonts w:ascii="Arial" w:hAnsi="Arial" w:cs="Arial"/>
                <w:spacing w:val="3"/>
                <w:sz w:val="18"/>
              </w:rPr>
              <w:t xml:space="preserve"> </w:t>
            </w:r>
            <w:r w:rsidRPr="00974BFA">
              <w:rPr>
                <w:rFonts w:ascii="Arial" w:hAnsi="Arial" w:cs="Arial"/>
                <w:sz w:val="18"/>
              </w:rPr>
              <w:t>sailplanes</w:t>
            </w:r>
          </w:p>
          <w:p w14:paraId="0B1E95BC" w14:textId="77777777" w:rsidR="00974BFA" w:rsidRPr="00974BFA" w:rsidRDefault="00974BFA" w:rsidP="00974BFA">
            <w:pPr>
              <w:spacing w:before="1" w:line="225" w:lineRule="exact"/>
              <w:ind w:left="85"/>
              <w:rPr>
                <w:rFonts w:ascii="Arial" w:hAnsi="Arial" w:cs="Arial"/>
                <w:sz w:val="18"/>
              </w:rPr>
            </w:pPr>
            <w:r w:rsidRPr="00974BFA">
              <w:rPr>
                <w:rFonts w:ascii="Arial" w:hAnsi="Arial" w:cs="Arial"/>
                <w:sz w:val="18"/>
              </w:rPr>
              <w:t>LOWER</w:t>
            </w:r>
            <w:r w:rsidRPr="00974BFA">
              <w:rPr>
                <w:rFonts w:ascii="Arial" w:hAnsi="Arial" w:cs="Arial"/>
                <w:spacing w:val="-5"/>
                <w:sz w:val="18"/>
              </w:rPr>
              <w:t xml:space="preserve"> </w:t>
            </w:r>
            <w:r w:rsidRPr="00974BFA">
              <w:rPr>
                <w:rFonts w:ascii="Arial" w:hAnsi="Arial" w:cs="Arial"/>
                <w:sz w:val="18"/>
              </w:rPr>
              <w:t>RISK:</w:t>
            </w:r>
            <w:r w:rsidRPr="00974BFA">
              <w:rPr>
                <w:rFonts w:ascii="Arial" w:hAnsi="Arial" w:cs="Arial"/>
                <w:spacing w:val="-4"/>
                <w:sz w:val="18"/>
              </w:rPr>
              <w:t xml:space="preserve"> </w:t>
            </w:r>
            <w:r w:rsidRPr="00974BFA">
              <w:rPr>
                <w:rFonts w:ascii="Arial" w:hAnsi="Arial" w:cs="Arial"/>
                <w:sz w:val="18"/>
              </w:rPr>
              <w:t>LSA,</w:t>
            </w:r>
            <w:r w:rsidRPr="00974BFA">
              <w:rPr>
                <w:rFonts w:ascii="Arial" w:hAnsi="Arial" w:cs="Arial"/>
                <w:spacing w:val="-3"/>
                <w:sz w:val="18"/>
              </w:rPr>
              <w:t xml:space="preserve"> </w:t>
            </w:r>
            <w:r w:rsidRPr="00974BFA">
              <w:rPr>
                <w:rFonts w:ascii="Arial" w:hAnsi="Arial" w:cs="Arial"/>
                <w:sz w:val="18"/>
              </w:rPr>
              <w:t>VLA,</w:t>
            </w:r>
            <w:r w:rsidRPr="00974BFA">
              <w:rPr>
                <w:rFonts w:ascii="Arial" w:hAnsi="Arial" w:cs="Arial"/>
                <w:spacing w:val="-3"/>
                <w:sz w:val="18"/>
              </w:rPr>
              <w:t xml:space="preserve"> </w:t>
            </w:r>
            <w:r w:rsidRPr="00974BFA">
              <w:rPr>
                <w:rFonts w:ascii="Arial" w:hAnsi="Arial" w:cs="Arial"/>
                <w:sz w:val="18"/>
              </w:rPr>
              <w:t>sailplanes</w:t>
            </w:r>
            <w:r w:rsidRPr="00974BFA">
              <w:rPr>
                <w:rFonts w:ascii="Arial" w:hAnsi="Arial" w:cs="Arial"/>
                <w:spacing w:val="-5"/>
                <w:sz w:val="18"/>
              </w:rPr>
              <w:t xml:space="preserve"> </w:t>
            </w:r>
            <w:r w:rsidRPr="00974BFA">
              <w:rPr>
                <w:rFonts w:ascii="Arial" w:hAnsi="Arial" w:cs="Arial"/>
                <w:sz w:val="18"/>
              </w:rPr>
              <w:t>and</w:t>
            </w:r>
            <w:r w:rsidRPr="00974BFA">
              <w:rPr>
                <w:rFonts w:ascii="Arial" w:hAnsi="Arial" w:cs="Arial"/>
                <w:spacing w:val="-3"/>
                <w:sz w:val="18"/>
              </w:rPr>
              <w:t xml:space="preserve"> </w:t>
            </w:r>
            <w:r w:rsidRPr="00974BFA">
              <w:rPr>
                <w:rFonts w:ascii="Arial" w:hAnsi="Arial" w:cs="Arial"/>
                <w:sz w:val="18"/>
              </w:rPr>
              <w:t>powered sailplanes</w:t>
            </w:r>
          </w:p>
        </w:tc>
      </w:tr>
      <w:tr w:rsidR="00974BFA" w:rsidRPr="00974BFA" w14:paraId="3BD92B61" w14:textId="77777777" w:rsidTr="00680AFD">
        <w:trPr>
          <w:trHeight w:val="687"/>
        </w:trPr>
        <w:tc>
          <w:tcPr>
            <w:tcW w:w="2023" w:type="dxa"/>
            <w:shd w:val="clear" w:color="auto" w:fill="F2F2F2" w:themeFill="background1" w:themeFillShade="F2"/>
          </w:tcPr>
          <w:p w14:paraId="0221D4A0" w14:textId="77777777" w:rsidR="00974BFA" w:rsidRPr="00974BFA" w:rsidRDefault="00974BFA" w:rsidP="00974BFA">
            <w:pPr>
              <w:spacing w:line="243" w:lineRule="exact"/>
              <w:ind w:left="86"/>
              <w:rPr>
                <w:rFonts w:ascii="Arial" w:hAnsi="Arial" w:cs="Arial"/>
                <w:b/>
                <w:sz w:val="18"/>
              </w:rPr>
            </w:pPr>
            <w:r w:rsidRPr="00974BFA">
              <w:rPr>
                <w:rFonts w:ascii="Arial" w:hAnsi="Arial" w:cs="Arial"/>
                <w:b/>
                <w:sz w:val="18"/>
              </w:rPr>
              <w:t>Who</w:t>
            </w:r>
            <w:r w:rsidRPr="00974BFA">
              <w:rPr>
                <w:rFonts w:ascii="Arial" w:hAnsi="Arial" w:cs="Arial"/>
                <w:b/>
                <w:spacing w:val="-3"/>
                <w:sz w:val="18"/>
              </w:rPr>
              <w:t xml:space="preserve"> </w:t>
            </w:r>
            <w:r w:rsidRPr="00974BFA">
              <w:rPr>
                <w:rFonts w:ascii="Arial" w:hAnsi="Arial" w:cs="Arial"/>
                <w:b/>
                <w:sz w:val="18"/>
              </w:rPr>
              <w:t>manages</w:t>
            </w:r>
            <w:r w:rsidRPr="00974BFA">
              <w:rPr>
                <w:rFonts w:ascii="Arial" w:hAnsi="Arial" w:cs="Arial"/>
                <w:b/>
                <w:spacing w:val="-3"/>
                <w:sz w:val="18"/>
              </w:rPr>
              <w:t xml:space="preserve"> </w:t>
            </w:r>
            <w:r w:rsidRPr="00974BFA">
              <w:rPr>
                <w:rFonts w:ascii="Arial" w:hAnsi="Arial" w:cs="Arial"/>
                <w:b/>
                <w:sz w:val="18"/>
              </w:rPr>
              <w:t>the</w:t>
            </w:r>
            <w:r>
              <w:rPr>
                <w:rFonts w:ascii="Arial" w:hAnsi="Arial" w:cs="Arial"/>
                <w:b/>
                <w:sz w:val="18"/>
              </w:rPr>
              <w:t xml:space="preserve"> </w:t>
            </w:r>
            <w:r w:rsidRPr="00974BFA">
              <w:rPr>
                <w:rFonts w:ascii="Arial" w:hAnsi="Arial" w:cs="Arial"/>
                <w:b/>
                <w:sz w:val="18"/>
              </w:rPr>
              <w:t>airworthiness of the</w:t>
            </w:r>
            <w:r w:rsidRPr="00974BFA">
              <w:rPr>
                <w:rFonts w:ascii="Arial" w:hAnsi="Arial" w:cs="Arial"/>
                <w:b/>
                <w:spacing w:val="-43"/>
                <w:sz w:val="18"/>
              </w:rPr>
              <w:t xml:space="preserve"> </w:t>
            </w:r>
            <w:r w:rsidRPr="00974BFA">
              <w:rPr>
                <w:rFonts w:ascii="Arial" w:hAnsi="Arial" w:cs="Arial"/>
                <w:b/>
                <w:sz w:val="18"/>
              </w:rPr>
              <w:t>aircraft?</w:t>
            </w:r>
          </w:p>
        </w:tc>
        <w:tc>
          <w:tcPr>
            <w:tcW w:w="7021" w:type="dxa"/>
          </w:tcPr>
          <w:p w14:paraId="66E6B5CB" w14:textId="77777777" w:rsidR="00974BFA" w:rsidRPr="00974BFA" w:rsidRDefault="00974BFA" w:rsidP="00974BFA">
            <w:pPr>
              <w:ind w:left="85" w:right="4701"/>
              <w:rPr>
                <w:rFonts w:ascii="Arial" w:hAnsi="Arial" w:cs="Arial"/>
                <w:sz w:val="18"/>
              </w:rPr>
            </w:pPr>
            <w:r w:rsidRPr="00974BFA">
              <w:rPr>
                <w:rFonts w:ascii="Arial" w:hAnsi="Arial" w:cs="Arial"/>
                <w:sz w:val="18"/>
              </w:rPr>
              <w:t>HIGHER RISK: owner</w:t>
            </w:r>
            <w:r w:rsidRPr="00974BFA">
              <w:rPr>
                <w:rFonts w:ascii="Arial" w:hAnsi="Arial" w:cs="Arial"/>
                <w:spacing w:val="1"/>
                <w:sz w:val="18"/>
              </w:rPr>
              <w:t xml:space="preserve"> </w:t>
            </w:r>
            <w:r w:rsidRPr="00974BFA">
              <w:rPr>
                <w:rFonts w:ascii="Arial" w:hAnsi="Arial" w:cs="Arial"/>
                <w:sz w:val="18"/>
              </w:rPr>
              <w:t>LOWER</w:t>
            </w:r>
            <w:r w:rsidRPr="00974BFA">
              <w:rPr>
                <w:rFonts w:ascii="Arial" w:hAnsi="Arial" w:cs="Arial"/>
                <w:spacing w:val="-6"/>
                <w:sz w:val="18"/>
              </w:rPr>
              <w:t xml:space="preserve"> </w:t>
            </w:r>
            <w:r w:rsidRPr="00974BFA">
              <w:rPr>
                <w:rFonts w:ascii="Arial" w:hAnsi="Arial" w:cs="Arial"/>
                <w:sz w:val="18"/>
              </w:rPr>
              <w:t>RISK:</w:t>
            </w:r>
            <w:r w:rsidRPr="00974BFA">
              <w:rPr>
                <w:rFonts w:ascii="Arial" w:hAnsi="Arial" w:cs="Arial"/>
                <w:spacing w:val="-3"/>
                <w:sz w:val="18"/>
              </w:rPr>
              <w:t xml:space="preserve"> </w:t>
            </w:r>
            <w:r w:rsidRPr="00974BFA">
              <w:rPr>
                <w:rFonts w:ascii="Arial" w:hAnsi="Arial" w:cs="Arial"/>
                <w:sz w:val="18"/>
              </w:rPr>
              <w:t>CAMO/CAO</w:t>
            </w:r>
          </w:p>
        </w:tc>
      </w:tr>
      <w:tr w:rsidR="00974BFA" w:rsidRPr="00974BFA" w14:paraId="26EA4996" w14:textId="77777777" w:rsidTr="00680AFD">
        <w:trPr>
          <w:trHeight w:val="689"/>
        </w:trPr>
        <w:tc>
          <w:tcPr>
            <w:tcW w:w="2023" w:type="dxa"/>
            <w:shd w:val="clear" w:color="auto" w:fill="F2F2F2" w:themeFill="background1" w:themeFillShade="F2"/>
          </w:tcPr>
          <w:p w14:paraId="1561F1AC" w14:textId="77777777" w:rsidR="00974BFA" w:rsidRPr="00974BFA" w:rsidRDefault="00974BFA" w:rsidP="00974BFA">
            <w:pPr>
              <w:ind w:left="86"/>
              <w:rPr>
                <w:rFonts w:ascii="Arial" w:hAnsi="Arial" w:cs="Arial"/>
                <w:b/>
                <w:sz w:val="18"/>
              </w:rPr>
            </w:pPr>
            <w:r w:rsidRPr="00974BFA">
              <w:rPr>
                <w:rFonts w:ascii="Arial" w:hAnsi="Arial" w:cs="Arial"/>
                <w:b/>
                <w:sz w:val="18"/>
              </w:rPr>
              <w:t>Who maintains the</w:t>
            </w:r>
            <w:r w:rsidRPr="00974BFA">
              <w:rPr>
                <w:rFonts w:ascii="Arial" w:hAnsi="Arial" w:cs="Arial"/>
                <w:b/>
                <w:spacing w:val="-43"/>
                <w:sz w:val="18"/>
              </w:rPr>
              <w:t xml:space="preserve"> </w:t>
            </w:r>
            <w:r w:rsidRPr="00974BFA">
              <w:rPr>
                <w:rFonts w:ascii="Arial" w:hAnsi="Arial" w:cs="Arial"/>
                <w:b/>
                <w:sz w:val="18"/>
              </w:rPr>
              <w:t>aircraft?</w:t>
            </w:r>
          </w:p>
        </w:tc>
        <w:tc>
          <w:tcPr>
            <w:tcW w:w="7021" w:type="dxa"/>
          </w:tcPr>
          <w:p w14:paraId="69810742" w14:textId="77777777" w:rsidR="00974BFA" w:rsidRPr="00974BFA" w:rsidRDefault="00974BFA" w:rsidP="00974BFA">
            <w:pPr>
              <w:ind w:left="85"/>
              <w:rPr>
                <w:rFonts w:ascii="Arial" w:hAnsi="Arial" w:cs="Arial"/>
                <w:sz w:val="18"/>
              </w:rPr>
            </w:pPr>
            <w:r w:rsidRPr="00974BFA">
              <w:rPr>
                <w:rFonts w:ascii="Arial" w:hAnsi="Arial" w:cs="Arial"/>
                <w:sz w:val="18"/>
              </w:rPr>
              <w:t>HIGHER</w:t>
            </w:r>
            <w:r w:rsidRPr="00974BFA">
              <w:rPr>
                <w:rFonts w:ascii="Arial" w:hAnsi="Arial" w:cs="Arial"/>
                <w:spacing w:val="-3"/>
                <w:sz w:val="18"/>
              </w:rPr>
              <w:t xml:space="preserve"> </w:t>
            </w:r>
            <w:r w:rsidRPr="00974BFA">
              <w:rPr>
                <w:rFonts w:ascii="Arial" w:hAnsi="Arial" w:cs="Arial"/>
                <w:sz w:val="18"/>
              </w:rPr>
              <w:t>RISK:</w:t>
            </w:r>
            <w:r w:rsidRPr="00974BFA">
              <w:rPr>
                <w:rFonts w:ascii="Arial" w:hAnsi="Arial" w:cs="Arial"/>
                <w:spacing w:val="-3"/>
                <w:sz w:val="18"/>
              </w:rPr>
              <w:t xml:space="preserve"> </w:t>
            </w:r>
            <w:r w:rsidRPr="00974BFA">
              <w:rPr>
                <w:rFonts w:ascii="Arial" w:hAnsi="Arial" w:cs="Arial"/>
                <w:sz w:val="18"/>
              </w:rPr>
              <w:t>pilot-owner</w:t>
            </w:r>
          </w:p>
          <w:p w14:paraId="16005C86" w14:textId="77777777" w:rsidR="00974BFA" w:rsidRPr="00974BFA" w:rsidRDefault="00974BFA" w:rsidP="00974BFA">
            <w:pPr>
              <w:spacing w:line="240" w:lineRule="atLeast"/>
              <w:ind w:left="85" w:right="2856"/>
              <w:rPr>
                <w:rFonts w:ascii="Arial" w:hAnsi="Arial" w:cs="Arial"/>
                <w:sz w:val="18"/>
              </w:rPr>
            </w:pPr>
            <w:r w:rsidRPr="00974BFA">
              <w:rPr>
                <w:rFonts w:ascii="Arial" w:hAnsi="Arial" w:cs="Arial"/>
                <w:sz w:val="18"/>
              </w:rPr>
              <w:t>MEDIUM RISK: independent certifying staff</w:t>
            </w:r>
            <w:r w:rsidRPr="00974BFA">
              <w:rPr>
                <w:rFonts w:ascii="Arial" w:hAnsi="Arial" w:cs="Arial"/>
                <w:spacing w:val="-43"/>
                <w:sz w:val="18"/>
              </w:rPr>
              <w:t xml:space="preserve"> </w:t>
            </w:r>
            <w:r w:rsidRPr="00974BFA">
              <w:rPr>
                <w:rFonts w:ascii="Arial" w:hAnsi="Arial" w:cs="Arial"/>
                <w:sz w:val="18"/>
              </w:rPr>
              <w:t>LOWER</w:t>
            </w:r>
            <w:r w:rsidRPr="00974BFA">
              <w:rPr>
                <w:rFonts w:ascii="Arial" w:hAnsi="Arial" w:cs="Arial"/>
                <w:spacing w:val="-3"/>
                <w:sz w:val="18"/>
              </w:rPr>
              <w:t xml:space="preserve"> </w:t>
            </w:r>
            <w:r w:rsidRPr="00974BFA">
              <w:rPr>
                <w:rFonts w:ascii="Arial" w:hAnsi="Arial" w:cs="Arial"/>
                <w:sz w:val="18"/>
              </w:rPr>
              <w:t>RISK: maintenance</w:t>
            </w:r>
            <w:r w:rsidRPr="00974BFA">
              <w:rPr>
                <w:rFonts w:ascii="Arial" w:hAnsi="Arial" w:cs="Arial"/>
                <w:spacing w:val="-3"/>
                <w:sz w:val="18"/>
              </w:rPr>
              <w:t xml:space="preserve"> </w:t>
            </w:r>
            <w:r w:rsidRPr="00974BFA">
              <w:rPr>
                <w:rFonts w:ascii="Arial" w:hAnsi="Arial" w:cs="Arial"/>
                <w:sz w:val="18"/>
              </w:rPr>
              <w:t>organisation</w:t>
            </w:r>
          </w:p>
        </w:tc>
      </w:tr>
      <w:tr w:rsidR="00974BFA" w:rsidRPr="00974BFA" w14:paraId="613596E3" w14:textId="77777777" w:rsidTr="00680AFD">
        <w:trPr>
          <w:trHeight w:val="689"/>
        </w:trPr>
        <w:tc>
          <w:tcPr>
            <w:tcW w:w="2023" w:type="dxa"/>
            <w:shd w:val="clear" w:color="auto" w:fill="F2F2F2" w:themeFill="background1" w:themeFillShade="F2"/>
          </w:tcPr>
          <w:p w14:paraId="0515CF38" w14:textId="77777777" w:rsidR="00974BFA" w:rsidRPr="00974BFA" w:rsidRDefault="00974BFA" w:rsidP="00974BFA">
            <w:pPr>
              <w:rPr>
                <w:rFonts w:ascii="Arial" w:hAnsi="Arial" w:cs="Arial"/>
                <w:b/>
                <w:sz w:val="18"/>
              </w:rPr>
            </w:pPr>
            <w:r w:rsidRPr="00974BFA">
              <w:rPr>
                <w:rFonts w:ascii="Arial" w:hAnsi="Arial" w:cs="Arial"/>
                <w:b/>
                <w:sz w:val="18"/>
              </w:rPr>
              <w:t>Time in service (flight hours, years)</w:t>
            </w:r>
          </w:p>
        </w:tc>
        <w:tc>
          <w:tcPr>
            <w:tcW w:w="7021" w:type="dxa"/>
          </w:tcPr>
          <w:p w14:paraId="30BB5503" w14:textId="77777777" w:rsidR="00974BFA" w:rsidRPr="00974BFA" w:rsidRDefault="00974BFA" w:rsidP="00974BFA">
            <w:pPr>
              <w:rPr>
                <w:rFonts w:ascii="Arial" w:hAnsi="Arial" w:cs="Arial"/>
                <w:sz w:val="18"/>
              </w:rPr>
            </w:pPr>
            <w:r w:rsidRPr="00974BFA">
              <w:rPr>
                <w:rFonts w:ascii="Arial" w:hAnsi="Arial" w:cs="Arial"/>
                <w:sz w:val="18"/>
              </w:rPr>
              <w:t>HIGHER RISK: very high number of hours or years MEDIUM RISK: medium number of hours or years</w:t>
            </w:r>
          </w:p>
          <w:p w14:paraId="1DB91A60" w14:textId="77777777" w:rsidR="00974BFA" w:rsidRPr="00974BFA" w:rsidRDefault="00974BFA" w:rsidP="00974BFA">
            <w:pPr>
              <w:rPr>
                <w:rFonts w:ascii="Arial" w:hAnsi="Arial" w:cs="Arial"/>
                <w:sz w:val="18"/>
              </w:rPr>
            </w:pPr>
            <w:r w:rsidRPr="00974BFA">
              <w:rPr>
                <w:rFonts w:ascii="Arial" w:hAnsi="Arial" w:cs="Arial"/>
                <w:sz w:val="18"/>
              </w:rPr>
              <w:t>LOWER RISK: low number of hours or years</w:t>
            </w:r>
          </w:p>
        </w:tc>
      </w:tr>
      <w:tr w:rsidR="00974BFA" w:rsidRPr="00974BFA" w14:paraId="35080BC3" w14:textId="77777777" w:rsidTr="00680AFD">
        <w:trPr>
          <w:trHeight w:val="689"/>
        </w:trPr>
        <w:tc>
          <w:tcPr>
            <w:tcW w:w="2023" w:type="dxa"/>
            <w:shd w:val="clear" w:color="auto" w:fill="F2F2F2" w:themeFill="background1" w:themeFillShade="F2"/>
          </w:tcPr>
          <w:p w14:paraId="5FEA5D47" w14:textId="77777777" w:rsidR="00974BFA" w:rsidRPr="00974BFA" w:rsidRDefault="00974BFA" w:rsidP="00974BFA">
            <w:pPr>
              <w:rPr>
                <w:rFonts w:ascii="Arial" w:hAnsi="Arial" w:cs="Arial"/>
                <w:b/>
                <w:sz w:val="18"/>
              </w:rPr>
            </w:pPr>
            <w:r w:rsidRPr="00974BFA">
              <w:rPr>
                <w:rFonts w:ascii="Arial" w:hAnsi="Arial" w:cs="Arial"/>
                <w:b/>
                <w:sz w:val="18"/>
              </w:rPr>
              <w:t>Aircraft utilisation</w:t>
            </w:r>
          </w:p>
        </w:tc>
        <w:tc>
          <w:tcPr>
            <w:tcW w:w="7021" w:type="dxa"/>
          </w:tcPr>
          <w:p w14:paraId="3D094C54" w14:textId="77777777" w:rsidR="00974BFA" w:rsidRPr="00974BFA" w:rsidRDefault="00974BFA" w:rsidP="00974BFA">
            <w:pPr>
              <w:rPr>
                <w:rFonts w:ascii="Arial" w:hAnsi="Arial" w:cs="Arial"/>
                <w:sz w:val="18"/>
              </w:rPr>
            </w:pPr>
            <w:r w:rsidRPr="00974BFA">
              <w:rPr>
                <w:rFonts w:ascii="Arial" w:hAnsi="Arial" w:cs="Arial"/>
                <w:sz w:val="18"/>
              </w:rPr>
              <w:t>HIGHER RISK: less than 50 h per year MEDIUM RISK: around 200 h per year</w:t>
            </w:r>
          </w:p>
          <w:p w14:paraId="28C1FCB2" w14:textId="77777777" w:rsidR="00974BFA" w:rsidRPr="00974BFA" w:rsidRDefault="00974BFA" w:rsidP="00974BFA">
            <w:pPr>
              <w:rPr>
                <w:rFonts w:ascii="Arial" w:hAnsi="Arial" w:cs="Arial"/>
                <w:sz w:val="18"/>
              </w:rPr>
            </w:pPr>
            <w:r w:rsidRPr="00974BFA">
              <w:rPr>
                <w:rFonts w:ascii="Arial" w:hAnsi="Arial" w:cs="Arial"/>
                <w:sz w:val="18"/>
              </w:rPr>
              <w:t>LOWER RISK: more than 400 h per year</w:t>
            </w:r>
          </w:p>
        </w:tc>
      </w:tr>
      <w:tr w:rsidR="00974BFA" w:rsidRPr="00974BFA" w14:paraId="7F7199F3" w14:textId="77777777" w:rsidTr="00680AFD">
        <w:trPr>
          <w:trHeight w:val="689"/>
        </w:trPr>
        <w:tc>
          <w:tcPr>
            <w:tcW w:w="2023" w:type="dxa"/>
            <w:shd w:val="clear" w:color="auto" w:fill="F2F2F2" w:themeFill="background1" w:themeFillShade="F2"/>
          </w:tcPr>
          <w:p w14:paraId="10B7FC2D" w14:textId="77777777" w:rsidR="00974BFA" w:rsidRPr="00974BFA" w:rsidRDefault="00974BFA" w:rsidP="00974BFA">
            <w:pPr>
              <w:rPr>
                <w:rFonts w:ascii="Arial" w:hAnsi="Arial" w:cs="Arial"/>
                <w:b/>
                <w:sz w:val="18"/>
              </w:rPr>
            </w:pPr>
            <w:r w:rsidRPr="00974BFA">
              <w:rPr>
                <w:rFonts w:ascii="Arial" w:hAnsi="Arial" w:cs="Arial"/>
                <w:b/>
                <w:sz w:val="18"/>
              </w:rPr>
              <w:t>ACAM findings</w:t>
            </w:r>
          </w:p>
        </w:tc>
        <w:tc>
          <w:tcPr>
            <w:tcW w:w="7021" w:type="dxa"/>
          </w:tcPr>
          <w:p w14:paraId="7D5216FF" w14:textId="77777777" w:rsidR="00974BFA" w:rsidRPr="00974BFA" w:rsidRDefault="00974BFA" w:rsidP="00974BFA">
            <w:pPr>
              <w:rPr>
                <w:rFonts w:ascii="Arial" w:hAnsi="Arial" w:cs="Arial"/>
                <w:sz w:val="18"/>
              </w:rPr>
            </w:pPr>
            <w:r w:rsidRPr="00974BFA">
              <w:rPr>
                <w:rFonts w:ascii="Arial" w:hAnsi="Arial" w:cs="Arial"/>
                <w:sz w:val="18"/>
              </w:rPr>
              <w:t>HIGHER RISK: numerous findings in ACAM or ramp inspections MEDIUM RISK: few findings in ACAM inspections</w:t>
            </w:r>
          </w:p>
          <w:p w14:paraId="51492DDF" w14:textId="77777777" w:rsidR="00974BFA" w:rsidRPr="00974BFA" w:rsidRDefault="00974BFA" w:rsidP="00974BFA">
            <w:pPr>
              <w:rPr>
                <w:rFonts w:ascii="Arial" w:hAnsi="Arial" w:cs="Arial"/>
                <w:sz w:val="18"/>
              </w:rPr>
            </w:pPr>
            <w:r w:rsidRPr="00974BFA">
              <w:rPr>
                <w:rFonts w:ascii="Arial" w:hAnsi="Arial" w:cs="Arial"/>
                <w:sz w:val="18"/>
              </w:rPr>
              <w:t>LOWER RISK: rare findings in ACAM inspections</w:t>
            </w:r>
          </w:p>
        </w:tc>
      </w:tr>
      <w:tr w:rsidR="00974BFA" w:rsidRPr="00974BFA" w14:paraId="3DEB160E" w14:textId="77777777" w:rsidTr="00680AFD">
        <w:trPr>
          <w:trHeight w:val="689"/>
        </w:trPr>
        <w:tc>
          <w:tcPr>
            <w:tcW w:w="2023" w:type="dxa"/>
            <w:shd w:val="clear" w:color="auto" w:fill="F2F2F2" w:themeFill="background1" w:themeFillShade="F2"/>
          </w:tcPr>
          <w:p w14:paraId="442C0C98" w14:textId="77777777" w:rsidR="00974BFA" w:rsidRPr="00974BFA" w:rsidRDefault="00974BFA" w:rsidP="00974BFA">
            <w:pPr>
              <w:rPr>
                <w:rFonts w:ascii="Arial" w:hAnsi="Arial" w:cs="Arial"/>
                <w:b/>
                <w:sz w:val="18"/>
              </w:rPr>
            </w:pPr>
            <w:r w:rsidRPr="00974BFA">
              <w:rPr>
                <w:rFonts w:ascii="Arial" w:hAnsi="Arial" w:cs="Arial"/>
                <w:b/>
                <w:sz w:val="18"/>
              </w:rPr>
              <w:t>System redundancy (for components such</w:t>
            </w:r>
            <w:r>
              <w:rPr>
                <w:rFonts w:ascii="Arial" w:hAnsi="Arial" w:cs="Arial"/>
                <w:b/>
                <w:sz w:val="18"/>
              </w:rPr>
              <w:t xml:space="preserve"> </w:t>
            </w:r>
            <w:r w:rsidRPr="00974BFA">
              <w:rPr>
                <w:rFonts w:ascii="Arial" w:hAnsi="Arial" w:cs="Arial"/>
                <w:b/>
                <w:sz w:val="18"/>
              </w:rPr>
              <w:t>as</w:t>
            </w:r>
            <w:r>
              <w:rPr>
                <w:rFonts w:ascii="Arial" w:hAnsi="Arial" w:cs="Arial"/>
                <w:b/>
                <w:sz w:val="18"/>
              </w:rPr>
              <w:t xml:space="preserve"> </w:t>
            </w:r>
            <w:r w:rsidRPr="00974BFA">
              <w:rPr>
                <w:rFonts w:ascii="Arial" w:hAnsi="Arial" w:cs="Arial"/>
                <w:b/>
                <w:sz w:val="18"/>
              </w:rPr>
              <w:t>engine/propeller)</w:t>
            </w:r>
          </w:p>
        </w:tc>
        <w:tc>
          <w:tcPr>
            <w:tcW w:w="7021" w:type="dxa"/>
          </w:tcPr>
          <w:p w14:paraId="68EBECDF" w14:textId="77777777" w:rsidR="00974BFA" w:rsidRPr="00974BFA" w:rsidRDefault="00974BFA" w:rsidP="00974BFA">
            <w:pPr>
              <w:rPr>
                <w:rFonts w:ascii="Arial" w:hAnsi="Arial" w:cs="Arial"/>
                <w:sz w:val="18"/>
              </w:rPr>
            </w:pPr>
            <w:r w:rsidRPr="00974BFA">
              <w:rPr>
                <w:rFonts w:ascii="Arial" w:hAnsi="Arial" w:cs="Arial"/>
                <w:sz w:val="18"/>
              </w:rPr>
              <w:t>HIGHER RISK: single-engined aircraft LOWER RISK: multi-engined aircraft</w:t>
            </w:r>
          </w:p>
        </w:tc>
      </w:tr>
      <w:tr w:rsidR="00974BFA" w:rsidRPr="00974BFA" w14:paraId="3BC3CD59" w14:textId="77777777" w:rsidTr="00680AFD">
        <w:trPr>
          <w:trHeight w:val="689"/>
        </w:trPr>
        <w:tc>
          <w:tcPr>
            <w:tcW w:w="2023" w:type="dxa"/>
            <w:shd w:val="clear" w:color="auto" w:fill="F2F2F2" w:themeFill="background1" w:themeFillShade="F2"/>
          </w:tcPr>
          <w:p w14:paraId="7EB9F844" w14:textId="77777777" w:rsidR="00974BFA" w:rsidRPr="00974BFA" w:rsidRDefault="00974BFA" w:rsidP="00974BFA">
            <w:pPr>
              <w:rPr>
                <w:rFonts w:ascii="Arial" w:hAnsi="Arial" w:cs="Arial"/>
                <w:b/>
                <w:sz w:val="18"/>
              </w:rPr>
            </w:pPr>
            <w:r w:rsidRPr="00974BFA">
              <w:rPr>
                <w:rFonts w:ascii="Arial" w:hAnsi="Arial" w:cs="Arial"/>
                <w:b/>
                <w:sz w:val="18"/>
              </w:rPr>
              <w:t>Supplementary maintenance</w:t>
            </w:r>
            <w:r>
              <w:rPr>
                <w:rFonts w:ascii="Arial" w:hAnsi="Arial" w:cs="Arial"/>
                <w:b/>
                <w:sz w:val="18"/>
              </w:rPr>
              <w:t xml:space="preserve"> </w:t>
            </w:r>
            <w:r w:rsidRPr="00974BFA">
              <w:rPr>
                <w:rFonts w:ascii="Arial" w:hAnsi="Arial" w:cs="Arial"/>
                <w:b/>
                <w:sz w:val="18"/>
              </w:rPr>
              <w:t>measures</w:t>
            </w:r>
          </w:p>
        </w:tc>
        <w:tc>
          <w:tcPr>
            <w:tcW w:w="7021" w:type="dxa"/>
          </w:tcPr>
          <w:p w14:paraId="3F763919" w14:textId="77777777" w:rsidR="00974BFA" w:rsidRPr="00974BFA" w:rsidRDefault="00974BFA" w:rsidP="00974BFA">
            <w:pPr>
              <w:rPr>
                <w:rFonts w:ascii="Arial" w:hAnsi="Arial" w:cs="Arial"/>
                <w:sz w:val="18"/>
              </w:rPr>
            </w:pPr>
            <w:r w:rsidRPr="00974BFA">
              <w:rPr>
                <w:rFonts w:ascii="Arial" w:hAnsi="Arial" w:cs="Arial"/>
                <w:sz w:val="18"/>
              </w:rPr>
              <w:t>HIGHER RISK: no supplementary measures</w:t>
            </w:r>
          </w:p>
          <w:p w14:paraId="3579393E" w14:textId="77777777" w:rsidR="00974BFA" w:rsidRPr="00974BFA" w:rsidRDefault="00974BFA" w:rsidP="00974BFA">
            <w:pPr>
              <w:rPr>
                <w:rFonts w:ascii="Arial" w:hAnsi="Arial" w:cs="Arial"/>
                <w:sz w:val="18"/>
              </w:rPr>
            </w:pPr>
            <w:r w:rsidRPr="00974BFA">
              <w:rPr>
                <w:rFonts w:ascii="Arial" w:hAnsi="Arial" w:cs="Arial"/>
                <w:sz w:val="18"/>
              </w:rPr>
              <w:t>LOWER RISK: supplementary measures (such as oil analysis, engine data</w:t>
            </w:r>
          </w:p>
          <w:p w14:paraId="0695CC1B" w14:textId="77777777" w:rsidR="00974BFA" w:rsidRPr="00974BFA" w:rsidRDefault="00974BFA" w:rsidP="00974BFA">
            <w:pPr>
              <w:rPr>
                <w:rFonts w:ascii="Arial" w:hAnsi="Arial" w:cs="Arial"/>
                <w:sz w:val="18"/>
              </w:rPr>
            </w:pPr>
            <w:r w:rsidRPr="00974BFA">
              <w:rPr>
                <w:rFonts w:ascii="Arial" w:hAnsi="Arial" w:cs="Arial"/>
                <w:sz w:val="18"/>
              </w:rPr>
              <w:t>monitoring, boroscope inspections, corrosion inspections, etc.)</w:t>
            </w:r>
          </w:p>
        </w:tc>
      </w:tr>
      <w:tr w:rsidR="00974BFA" w:rsidRPr="00974BFA" w14:paraId="4D3839A9" w14:textId="77777777" w:rsidTr="00680AFD">
        <w:trPr>
          <w:trHeight w:val="689"/>
        </w:trPr>
        <w:tc>
          <w:tcPr>
            <w:tcW w:w="2023" w:type="dxa"/>
            <w:shd w:val="clear" w:color="auto" w:fill="F2F2F2" w:themeFill="background1" w:themeFillShade="F2"/>
          </w:tcPr>
          <w:p w14:paraId="61A9A93F" w14:textId="77777777" w:rsidR="00974BFA" w:rsidRPr="00974BFA" w:rsidRDefault="00974BFA" w:rsidP="00974BFA">
            <w:pPr>
              <w:rPr>
                <w:rFonts w:ascii="Arial" w:hAnsi="Arial" w:cs="Arial"/>
                <w:b/>
                <w:sz w:val="18"/>
              </w:rPr>
            </w:pPr>
            <w:r w:rsidRPr="00974BFA">
              <w:rPr>
                <w:rFonts w:ascii="Arial" w:hAnsi="Arial" w:cs="Arial"/>
                <w:b/>
                <w:sz w:val="18"/>
              </w:rPr>
              <w:t>Risk factor of the component failure</w:t>
            </w:r>
          </w:p>
        </w:tc>
        <w:tc>
          <w:tcPr>
            <w:tcW w:w="7021" w:type="dxa"/>
          </w:tcPr>
          <w:p w14:paraId="44CEAE87" w14:textId="77777777" w:rsidR="00974BFA" w:rsidRPr="00974BFA" w:rsidRDefault="00974BFA" w:rsidP="00974BFA">
            <w:pPr>
              <w:rPr>
                <w:rFonts w:ascii="Arial" w:hAnsi="Arial" w:cs="Arial"/>
                <w:sz w:val="18"/>
              </w:rPr>
            </w:pPr>
            <w:r w:rsidRPr="00974BFA">
              <w:rPr>
                <w:rFonts w:ascii="Arial" w:hAnsi="Arial" w:cs="Arial"/>
                <w:sz w:val="18"/>
              </w:rPr>
              <w:t>HIGHER RISK: engine failure on a helicopter MEDIUM RISK: engine failure on an aeroplane</w:t>
            </w:r>
          </w:p>
          <w:p w14:paraId="480A4650" w14:textId="77777777" w:rsidR="00974BFA" w:rsidRPr="00974BFA" w:rsidRDefault="00974BFA" w:rsidP="00974BFA">
            <w:pPr>
              <w:rPr>
                <w:rFonts w:ascii="Arial" w:hAnsi="Arial" w:cs="Arial"/>
                <w:sz w:val="18"/>
              </w:rPr>
            </w:pPr>
            <w:r w:rsidRPr="00974BFA">
              <w:rPr>
                <w:rFonts w:ascii="Arial" w:hAnsi="Arial" w:cs="Arial"/>
                <w:sz w:val="18"/>
              </w:rPr>
              <w:t>LOWER RISK: sailplane, or powered sailplane</w:t>
            </w:r>
          </w:p>
        </w:tc>
      </w:tr>
    </w:tbl>
    <w:p w14:paraId="0108F6FE" w14:textId="77777777" w:rsidR="00974BFA" w:rsidRDefault="00974BFA" w:rsidP="001C156F">
      <w:pPr>
        <w:rPr>
          <w:rFonts w:ascii="Arial" w:eastAsia="Times New Roman" w:hAnsi="Arial" w:cs="Times New Roman"/>
          <w:sz w:val="24"/>
        </w:rPr>
      </w:pPr>
    </w:p>
    <w:p w14:paraId="4FF825A5" w14:textId="77777777" w:rsidR="00974BFA" w:rsidRPr="002D3D62" w:rsidRDefault="00974BFA" w:rsidP="002D3D62">
      <w:pPr>
        <w:pStyle w:val="BodyText"/>
        <w:spacing w:before="56"/>
        <w:ind w:right="193"/>
        <w:jc w:val="both"/>
        <w:rPr>
          <w:rFonts w:ascii="Arial" w:hAnsi="Arial" w:cs="Arial"/>
          <w:sz w:val="20"/>
        </w:rPr>
      </w:pPr>
      <w:r w:rsidRPr="00974BFA">
        <w:rPr>
          <w:rFonts w:ascii="Arial" w:hAnsi="Arial" w:cs="Arial"/>
          <w:sz w:val="20"/>
        </w:rPr>
        <w:t>The</w:t>
      </w:r>
      <w:r w:rsidRPr="00974BFA">
        <w:rPr>
          <w:rFonts w:ascii="Arial" w:hAnsi="Arial" w:cs="Arial"/>
          <w:spacing w:val="1"/>
          <w:sz w:val="20"/>
        </w:rPr>
        <w:t xml:space="preserve"> </w:t>
      </w:r>
      <w:r w:rsidRPr="00974BFA">
        <w:rPr>
          <w:rFonts w:ascii="Arial" w:hAnsi="Arial" w:cs="Arial"/>
          <w:sz w:val="20"/>
        </w:rPr>
        <w:t>above</w:t>
      </w:r>
      <w:r w:rsidRPr="00974BFA">
        <w:rPr>
          <w:rFonts w:ascii="Arial" w:hAnsi="Arial" w:cs="Arial"/>
          <w:spacing w:val="1"/>
          <w:sz w:val="20"/>
        </w:rPr>
        <w:t xml:space="preserve"> </w:t>
      </w:r>
      <w:r w:rsidRPr="00974BFA">
        <w:rPr>
          <w:rFonts w:ascii="Arial" w:hAnsi="Arial" w:cs="Arial"/>
          <w:sz w:val="20"/>
        </w:rPr>
        <w:t>information</w:t>
      </w:r>
      <w:r w:rsidRPr="00974BFA">
        <w:rPr>
          <w:rFonts w:ascii="Arial" w:hAnsi="Arial" w:cs="Arial"/>
          <w:spacing w:val="1"/>
          <w:sz w:val="20"/>
        </w:rPr>
        <w:t xml:space="preserve"> </w:t>
      </w:r>
      <w:r w:rsidRPr="00974BFA">
        <w:rPr>
          <w:rFonts w:ascii="Arial" w:hAnsi="Arial" w:cs="Arial"/>
          <w:sz w:val="20"/>
        </w:rPr>
        <w:t>may</w:t>
      </w:r>
      <w:r w:rsidRPr="00974BFA">
        <w:rPr>
          <w:rFonts w:ascii="Arial" w:hAnsi="Arial" w:cs="Arial"/>
          <w:spacing w:val="1"/>
          <w:sz w:val="20"/>
        </w:rPr>
        <w:t xml:space="preserve"> </w:t>
      </w:r>
      <w:r w:rsidRPr="00974BFA">
        <w:rPr>
          <w:rFonts w:ascii="Arial" w:hAnsi="Arial" w:cs="Arial"/>
          <w:sz w:val="20"/>
        </w:rPr>
        <w:t>be</w:t>
      </w:r>
      <w:r w:rsidRPr="00974BFA">
        <w:rPr>
          <w:rFonts w:ascii="Arial" w:hAnsi="Arial" w:cs="Arial"/>
          <w:spacing w:val="1"/>
          <w:sz w:val="20"/>
        </w:rPr>
        <w:t xml:space="preserve"> </w:t>
      </w:r>
      <w:r w:rsidRPr="00974BFA">
        <w:rPr>
          <w:rFonts w:ascii="Arial" w:hAnsi="Arial" w:cs="Arial"/>
          <w:sz w:val="20"/>
        </w:rPr>
        <w:t>useful</w:t>
      </w:r>
      <w:r w:rsidRPr="00974BFA">
        <w:rPr>
          <w:rFonts w:ascii="Arial" w:hAnsi="Arial" w:cs="Arial"/>
          <w:spacing w:val="1"/>
          <w:sz w:val="20"/>
        </w:rPr>
        <w:t xml:space="preserve"> </w:t>
      </w:r>
      <w:r w:rsidRPr="00974BFA">
        <w:rPr>
          <w:rFonts w:ascii="Arial" w:hAnsi="Arial" w:cs="Arial"/>
          <w:sz w:val="20"/>
        </w:rPr>
        <w:t>for</w:t>
      </w:r>
      <w:r w:rsidRPr="00974BFA">
        <w:rPr>
          <w:rFonts w:ascii="Arial" w:hAnsi="Arial" w:cs="Arial"/>
          <w:spacing w:val="1"/>
          <w:sz w:val="20"/>
        </w:rPr>
        <w:t xml:space="preserve"> </w:t>
      </w:r>
      <w:r w:rsidRPr="00974BFA">
        <w:rPr>
          <w:rFonts w:ascii="Arial" w:hAnsi="Arial" w:cs="Arial"/>
          <w:sz w:val="20"/>
        </w:rPr>
        <w:t>CAMOs</w:t>
      </w:r>
      <w:r w:rsidRPr="00974BFA">
        <w:rPr>
          <w:rFonts w:ascii="Arial" w:hAnsi="Arial" w:cs="Arial"/>
          <w:spacing w:val="1"/>
          <w:sz w:val="20"/>
        </w:rPr>
        <w:t xml:space="preserve"> </w:t>
      </w:r>
      <w:r w:rsidRPr="00974BFA">
        <w:rPr>
          <w:rFonts w:ascii="Arial" w:hAnsi="Arial" w:cs="Arial"/>
          <w:sz w:val="20"/>
        </w:rPr>
        <w:t>and</w:t>
      </w:r>
      <w:r w:rsidRPr="00974BFA">
        <w:rPr>
          <w:rFonts w:ascii="Arial" w:hAnsi="Arial" w:cs="Arial"/>
          <w:spacing w:val="1"/>
          <w:sz w:val="20"/>
        </w:rPr>
        <w:t xml:space="preserve"> </w:t>
      </w:r>
      <w:r w:rsidRPr="00974BFA">
        <w:rPr>
          <w:rFonts w:ascii="Arial" w:hAnsi="Arial" w:cs="Arial"/>
          <w:sz w:val="20"/>
        </w:rPr>
        <w:t>CAOs</w:t>
      </w:r>
      <w:r w:rsidRPr="00974BFA">
        <w:rPr>
          <w:rFonts w:ascii="Arial" w:hAnsi="Arial" w:cs="Arial"/>
          <w:spacing w:val="1"/>
          <w:sz w:val="20"/>
        </w:rPr>
        <w:t xml:space="preserve"> </w:t>
      </w:r>
      <w:r w:rsidRPr="00974BFA">
        <w:rPr>
          <w:rFonts w:ascii="Arial" w:hAnsi="Arial" w:cs="Arial"/>
          <w:sz w:val="20"/>
        </w:rPr>
        <w:t>when</w:t>
      </w:r>
      <w:r w:rsidRPr="00974BFA">
        <w:rPr>
          <w:rFonts w:ascii="Arial" w:hAnsi="Arial" w:cs="Arial"/>
          <w:spacing w:val="1"/>
          <w:sz w:val="20"/>
        </w:rPr>
        <w:t xml:space="preserve"> </w:t>
      </w:r>
      <w:r w:rsidRPr="00974BFA">
        <w:rPr>
          <w:rFonts w:ascii="Arial" w:hAnsi="Arial" w:cs="Arial"/>
          <w:sz w:val="20"/>
        </w:rPr>
        <w:t>developing</w:t>
      </w:r>
      <w:r w:rsidRPr="00974BFA">
        <w:rPr>
          <w:rFonts w:ascii="Arial" w:hAnsi="Arial" w:cs="Arial"/>
          <w:spacing w:val="1"/>
          <w:sz w:val="20"/>
        </w:rPr>
        <w:t xml:space="preserve"> </w:t>
      </w:r>
      <w:r w:rsidRPr="00974BFA">
        <w:rPr>
          <w:rFonts w:ascii="Arial" w:hAnsi="Arial" w:cs="Arial"/>
          <w:sz w:val="20"/>
        </w:rPr>
        <w:t>and</w:t>
      </w:r>
      <w:r w:rsidRPr="00974BFA">
        <w:rPr>
          <w:rFonts w:ascii="Arial" w:hAnsi="Arial" w:cs="Arial"/>
          <w:spacing w:val="1"/>
          <w:sz w:val="20"/>
        </w:rPr>
        <w:t xml:space="preserve"> </w:t>
      </w:r>
      <w:r w:rsidRPr="00974BFA">
        <w:rPr>
          <w:rFonts w:ascii="Arial" w:hAnsi="Arial" w:cs="Arial"/>
          <w:sz w:val="20"/>
        </w:rPr>
        <w:t>approving</w:t>
      </w:r>
      <w:r w:rsidRPr="00974BFA">
        <w:rPr>
          <w:rFonts w:ascii="Arial" w:hAnsi="Arial" w:cs="Arial"/>
          <w:spacing w:val="1"/>
          <w:sz w:val="20"/>
        </w:rPr>
        <w:t xml:space="preserve"> </w:t>
      </w:r>
      <w:r w:rsidRPr="00974BFA">
        <w:rPr>
          <w:rFonts w:ascii="Arial" w:hAnsi="Arial" w:cs="Arial"/>
          <w:sz w:val="20"/>
        </w:rPr>
        <w:t>maintenance</w:t>
      </w:r>
      <w:r w:rsidRPr="00974BFA">
        <w:rPr>
          <w:rFonts w:ascii="Arial" w:hAnsi="Arial" w:cs="Arial"/>
          <w:spacing w:val="-6"/>
          <w:sz w:val="20"/>
        </w:rPr>
        <w:t xml:space="preserve"> </w:t>
      </w:r>
      <w:r w:rsidRPr="00974BFA">
        <w:rPr>
          <w:rFonts w:ascii="Arial" w:hAnsi="Arial" w:cs="Arial"/>
          <w:sz w:val="20"/>
        </w:rPr>
        <w:t>programmes,</w:t>
      </w:r>
      <w:r w:rsidRPr="00974BFA">
        <w:rPr>
          <w:rFonts w:ascii="Arial" w:hAnsi="Arial" w:cs="Arial"/>
          <w:spacing w:val="-10"/>
          <w:sz w:val="20"/>
        </w:rPr>
        <w:t xml:space="preserve"> </w:t>
      </w:r>
      <w:r w:rsidRPr="00974BFA">
        <w:rPr>
          <w:rFonts w:ascii="Arial" w:hAnsi="Arial" w:cs="Arial"/>
          <w:sz w:val="20"/>
        </w:rPr>
        <w:t>and</w:t>
      </w:r>
      <w:r w:rsidRPr="00974BFA">
        <w:rPr>
          <w:rFonts w:ascii="Arial" w:hAnsi="Arial" w:cs="Arial"/>
          <w:spacing w:val="-6"/>
          <w:sz w:val="20"/>
        </w:rPr>
        <w:t xml:space="preserve"> </w:t>
      </w:r>
      <w:r w:rsidRPr="00974BFA">
        <w:rPr>
          <w:rFonts w:ascii="Arial" w:hAnsi="Arial" w:cs="Arial"/>
          <w:sz w:val="20"/>
        </w:rPr>
        <w:t>for</w:t>
      </w:r>
      <w:r w:rsidRPr="00974BFA">
        <w:rPr>
          <w:rFonts w:ascii="Arial" w:hAnsi="Arial" w:cs="Arial"/>
          <w:spacing w:val="-8"/>
          <w:sz w:val="20"/>
        </w:rPr>
        <w:t xml:space="preserve"> </w:t>
      </w:r>
      <w:r w:rsidRPr="00974BFA">
        <w:rPr>
          <w:rFonts w:ascii="Arial" w:hAnsi="Arial" w:cs="Arial"/>
          <w:sz w:val="20"/>
        </w:rPr>
        <w:t>the</w:t>
      </w:r>
      <w:r w:rsidRPr="00974BFA">
        <w:rPr>
          <w:rFonts w:ascii="Arial" w:hAnsi="Arial" w:cs="Arial"/>
          <w:spacing w:val="-8"/>
          <w:sz w:val="20"/>
        </w:rPr>
        <w:t xml:space="preserve"> </w:t>
      </w:r>
      <w:r w:rsidRPr="00974BFA">
        <w:rPr>
          <w:rFonts w:ascii="Arial" w:hAnsi="Arial" w:cs="Arial"/>
          <w:sz w:val="20"/>
        </w:rPr>
        <w:t>AR</w:t>
      </w:r>
      <w:r w:rsidRPr="00974BFA">
        <w:rPr>
          <w:rFonts w:ascii="Arial" w:hAnsi="Arial" w:cs="Arial"/>
          <w:spacing w:val="-8"/>
          <w:sz w:val="20"/>
        </w:rPr>
        <w:t xml:space="preserve"> </w:t>
      </w:r>
      <w:r w:rsidRPr="00974BFA">
        <w:rPr>
          <w:rFonts w:ascii="Arial" w:hAnsi="Arial" w:cs="Arial"/>
          <w:sz w:val="20"/>
        </w:rPr>
        <w:t>staff</w:t>
      </w:r>
      <w:r w:rsidRPr="00974BFA">
        <w:rPr>
          <w:rFonts w:ascii="Arial" w:hAnsi="Arial" w:cs="Arial"/>
          <w:spacing w:val="-6"/>
          <w:sz w:val="20"/>
        </w:rPr>
        <w:t xml:space="preserve"> </w:t>
      </w:r>
      <w:r w:rsidRPr="00974BFA">
        <w:rPr>
          <w:rFonts w:ascii="Arial" w:hAnsi="Arial" w:cs="Arial"/>
          <w:sz w:val="20"/>
        </w:rPr>
        <w:t>performing</w:t>
      </w:r>
      <w:r w:rsidRPr="00974BFA">
        <w:rPr>
          <w:rFonts w:ascii="Arial" w:hAnsi="Arial" w:cs="Arial"/>
          <w:spacing w:val="-6"/>
          <w:sz w:val="20"/>
        </w:rPr>
        <w:t xml:space="preserve"> </w:t>
      </w:r>
      <w:r w:rsidRPr="00974BFA">
        <w:rPr>
          <w:rFonts w:ascii="Arial" w:hAnsi="Arial" w:cs="Arial"/>
          <w:sz w:val="20"/>
        </w:rPr>
        <w:t>ARs</w:t>
      </w:r>
      <w:r w:rsidRPr="00974BFA">
        <w:rPr>
          <w:rFonts w:ascii="Arial" w:hAnsi="Arial" w:cs="Arial"/>
          <w:spacing w:val="-8"/>
          <w:sz w:val="20"/>
        </w:rPr>
        <w:t xml:space="preserve"> </w:t>
      </w:r>
      <w:r w:rsidRPr="00974BFA">
        <w:rPr>
          <w:rFonts w:ascii="Arial" w:hAnsi="Arial" w:cs="Arial"/>
          <w:sz w:val="20"/>
        </w:rPr>
        <w:t>and</w:t>
      </w:r>
      <w:r w:rsidRPr="00974BFA">
        <w:rPr>
          <w:rFonts w:ascii="Arial" w:hAnsi="Arial" w:cs="Arial"/>
          <w:spacing w:val="-9"/>
          <w:sz w:val="20"/>
        </w:rPr>
        <w:t xml:space="preserve"> </w:t>
      </w:r>
      <w:r w:rsidRPr="00974BFA">
        <w:rPr>
          <w:rFonts w:ascii="Arial" w:hAnsi="Arial" w:cs="Arial"/>
          <w:sz w:val="20"/>
        </w:rPr>
        <w:t>reviewing</w:t>
      </w:r>
      <w:r w:rsidRPr="00974BFA">
        <w:rPr>
          <w:rFonts w:ascii="Arial" w:hAnsi="Arial" w:cs="Arial"/>
          <w:spacing w:val="-7"/>
          <w:sz w:val="20"/>
        </w:rPr>
        <w:t xml:space="preserve"> </w:t>
      </w:r>
      <w:r w:rsidRPr="00974BFA">
        <w:rPr>
          <w:rFonts w:ascii="Arial" w:hAnsi="Arial" w:cs="Arial"/>
          <w:sz w:val="20"/>
        </w:rPr>
        <w:t>the</w:t>
      </w:r>
      <w:r w:rsidRPr="00974BFA">
        <w:rPr>
          <w:rFonts w:ascii="Arial" w:hAnsi="Arial" w:cs="Arial"/>
          <w:spacing w:val="-7"/>
          <w:sz w:val="20"/>
        </w:rPr>
        <w:t xml:space="preserve"> </w:t>
      </w:r>
      <w:r w:rsidRPr="00974BFA">
        <w:rPr>
          <w:rFonts w:ascii="Arial" w:hAnsi="Arial" w:cs="Arial"/>
          <w:sz w:val="20"/>
        </w:rPr>
        <w:t>effectiveness</w:t>
      </w:r>
      <w:r w:rsidRPr="00974BFA">
        <w:rPr>
          <w:rFonts w:ascii="Arial" w:hAnsi="Arial" w:cs="Arial"/>
          <w:spacing w:val="-7"/>
          <w:sz w:val="20"/>
        </w:rPr>
        <w:t xml:space="preserve"> </w:t>
      </w:r>
      <w:r w:rsidRPr="00974BFA">
        <w:rPr>
          <w:rFonts w:ascii="Arial" w:hAnsi="Arial" w:cs="Arial"/>
          <w:sz w:val="20"/>
        </w:rPr>
        <w:t>of</w:t>
      </w:r>
      <w:r w:rsidRPr="00974BFA">
        <w:rPr>
          <w:rFonts w:ascii="Arial" w:hAnsi="Arial" w:cs="Arial"/>
          <w:spacing w:val="-8"/>
          <w:sz w:val="20"/>
        </w:rPr>
        <w:t xml:space="preserve"> </w:t>
      </w:r>
      <w:r w:rsidRPr="00974BFA">
        <w:rPr>
          <w:rFonts w:ascii="Arial" w:hAnsi="Arial" w:cs="Arial"/>
          <w:sz w:val="20"/>
        </w:rPr>
        <w:t>the</w:t>
      </w:r>
      <w:r w:rsidRPr="00974BFA">
        <w:rPr>
          <w:rFonts w:ascii="Arial" w:hAnsi="Arial" w:cs="Arial"/>
          <w:spacing w:val="-47"/>
          <w:sz w:val="20"/>
        </w:rPr>
        <w:t xml:space="preserve"> </w:t>
      </w:r>
      <w:r w:rsidRPr="00974BFA">
        <w:rPr>
          <w:rFonts w:ascii="Arial" w:hAnsi="Arial" w:cs="Arial"/>
          <w:sz w:val="20"/>
        </w:rPr>
        <w:t>declared maintenance programme. It may also be useful for the owner in order to take an informed</w:t>
      </w:r>
      <w:r w:rsidRPr="00974BFA">
        <w:rPr>
          <w:rFonts w:ascii="Arial" w:hAnsi="Arial" w:cs="Arial"/>
          <w:spacing w:val="1"/>
          <w:sz w:val="20"/>
        </w:rPr>
        <w:t xml:space="preserve"> </w:t>
      </w:r>
      <w:r w:rsidRPr="00974BFA">
        <w:rPr>
          <w:rFonts w:ascii="Arial" w:hAnsi="Arial" w:cs="Arial"/>
          <w:sz w:val="20"/>
        </w:rPr>
        <w:t>decision before introducing deviations from the DAH’s recommendations. Nevertheless, as allowed</w:t>
      </w:r>
      <w:r w:rsidRPr="00974BFA">
        <w:rPr>
          <w:rFonts w:ascii="Arial" w:hAnsi="Arial" w:cs="Arial"/>
          <w:spacing w:val="1"/>
          <w:sz w:val="20"/>
        </w:rPr>
        <w:t xml:space="preserve"> </w:t>
      </w:r>
      <w:r w:rsidRPr="00974BFA">
        <w:rPr>
          <w:rFonts w:ascii="Arial" w:hAnsi="Arial" w:cs="Arial"/>
          <w:sz w:val="20"/>
        </w:rPr>
        <w:t>by ML.A.302(c)(7)</w:t>
      </w:r>
      <w:r w:rsidRPr="00974BFA">
        <w:rPr>
          <w:rFonts w:ascii="Arial" w:hAnsi="Arial" w:cs="Arial"/>
          <w:color w:val="0000FF"/>
          <w:sz w:val="20"/>
        </w:rPr>
        <w:t xml:space="preserve"> </w:t>
      </w:r>
      <w:r w:rsidRPr="00974BFA">
        <w:rPr>
          <w:rFonts w:ascii="Arial" w:hAnsi="Arial" w:cs="Arial"/>
          <w:sz w:val="20"/>
        </w:rPr>
        <w:t>and explained in GM ML.A.302, when the owner issues a declaration for the</w:t>
      </w:r>
      <w:r w:rsidRPr="00974BFA">
        <w:rPr>
          <w:rFonts w:ascii="Arial" w:hAnsi="Arial" w:cs="Arial"/>
          <w:spacing w:val="1"/>
          <w:sz w:val="20"/>
        </w:rPr>
        <w:t xml:space="preserve"> </w:t>
      </w:r>
      <w:r w:rsidRPr="00974BFA">
        <w:rPr>
          <w:rFonts w:ascii="Arial" w:hAnsi="Arial" w:cs="Arial"/>
          <w:sz w:val="20"/>
        </w:rPr>
        <w:t>maintenance programme, they</w:t>
      </w:r>
      <w:r w:rsidRPr="00974BFA">
        <w:rPr>
          <w:rFonts w:ascii="Arial" w:hAnsi="Arial" w:cs="Arial"/>
          <w:spacing w:val="1"/>
          <w:sz w:val="20"/>
        </w:rPr>
        <w:t xml:space="preserve"> </w:t>
      </w:r>
      <w:r w:rsidRPr="00974BFA">
        <w:rPr>
          <w:rFonts w:ascii="Arial" w:hAnsi="Arial" w:cs="Arial"/>
          <w:sz w:val="20"/>
        </w:rPr>
        <w:t>do</w:t>
      </w:r>
      <w:r w:rsidRPr="00974BFA">
        <w:rPr>
          <w:rFonts w:ascii="Arial" w:hAnsi="Arial" w:cs="Arial"/>
          <w:spacing w:val="-3"/>
          <w:sz w:val="20"/>
        </w:rPr>
        <w:t xml:space="preserve"> </w:t>
      </w:r>
      <w:r w:rsidRPr="00974BFA">
        <w:rPr>
          <w:rFonts w:ascii="Arial" w:hAnsi="Arial" w:cs="Arial"/>
          <w:sz w:val="20"/>
        </w:rPr>
        <w:t>not need</w:t>
      </w:r>
      <w:r w:rsidRPr="00974BFA">
        <w:rPr>
          <w:rFonts w:ascii="Arial" w:hAnsi="Arial" w:cs="Arial"/>
          <w:spacing w:val="-4"/>
          <w:sz w:val="20"/>
        </w:rPr>
        <w:t xml:space="preserve"> </w:t>
      </w:r>
      <w:r w:rsidRPr="00974BFA">
        <w:rPr>
          <w:rFonts w:ascii="Arial" w:hAnsi="Arial" w:cs="Arial"/>
          <w:sz w:val="20"/>
        </w:rPr>
        <w:t>to</w:t>
      </w:r>
      <w:r w:rsidRPr="00974BFA">
        <w:rPr>
          <w:rFonts w:ascii="Arial" w:hAnsi="Arial" w:cs="Arial"/>
          <w:spacing w:val="-2"/>
          <w:sz w:val="20"/>
        </w:rPr>
        <w:t xml:space="preserve"> </w:t>
      </w:r>
      <w:r w:rsidRPr="00974BFA">
        <w:rPr>
          <w:rFonts w:ascii="Arial" w:hAnsi="Arial" w:cs="Arial"/>
          <w:sz w:val="20"/>
        </w:rPr>
        <w:t>justify</w:t>
      </w:r>
      <w:r w:rsidRPr="00974BFA">
        <w:rPr>
          <w:rFonts w:ascii="Arial" w:hAnsi="Arial" w:cs="Arial"/>
          <w:spacing w:val="-1"/>
          <w:sz w:val="20"/>
        </w:rPr>
        <w:t xml:space="preserve"> </w:t>
      </w:r>
      <w:r w:rsidR="002D3D62">
        <w:rPr>
          <w:rFonts w:ascii="Arial" w:hAnsi="Arial" w:cs="Arial"/>
          <w:sz w:val="20"/>
        </w:rPr>
        <w:t>such deviations.</w:t>
      </w:r>
    </w:p>
    <w:p w14:paraId="7DC90DB2" w14:textId="77777777" w:rsidR="00974BFA" w:rsidRPr="00974BFA" w:rsidRDefault="00974BFA" w:rsidP="00974BFA">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830" w:name="_Toc153137511"/>
      <w:r w:rsidRPr="00974BFA">
        <w:rPr>
          <w:rFonts w:ascii="Arial" w:eastAsia="Times New Roman" w:hAnsi="Arial" w:cs="Times New Roman"/>
          <w:b/>
          <w:color w:val="FFFFFF"/>
          <w:sz w:val="24"/>
        </w:rPr>
        <w:t>AMC1 ML.A.302(c)(9) Aircraft maintenance programme</w:t>
      </w:r>
      <w:bookmarkEnd w:id="830"/>
      <w:r w:rsidRPr="00974BFA">
        <w:rPr>
          <w:rFonts w:ascii="Arial" w:eastAsia="Times New Roman" w:hAnsi="Arial" w:cs="Times New Roman"/>
          <w:b/>
          <w:color w:val="FFFFFF"/>
          <w:sz w:val="24"/>
        </w:rPr>
        <w:tab/>
      </w:r>
    </w:p>
    <w:p w14:paraId="251F5A68" w14:textId="77777777" w:rsidR="00D77840" w:rsidRPr="00D77840" w:rsidRDefault="00D77840" w:rsidP="00D77840">
      <w:pPr>
        <w:widowControl/>
        <w:autoSpaceDE/>
        <w:autoSpaceDN/>
        <w:spacing w:before="240" w:after="160" w:line="264" w:lineRule="auto"/>
        <w:jc w:val="both"/>
        <w:rPr>
          <w:rFonts w:ascii="Arial" w:eastAsiaTheme="minorHAnsi" w:hAnsi="Arial" w:cs="Arial"/>
          <w:b/>
          <w:bCs/>
          <w:sz w:val="20"/>
          <w:szCs w:val="20"/>
        </w:rPr>
      </w:pPr>
      <w:r w:rsidRPr="00D77840">
        <w:rPr>
          <w:rFonts w:ascii="Arial" w:eastAsiaTheme="minorHAnsi" w:hAnsi="Arial" w:cs="Arial"/>
          <w:b/>
          <w:bCs/>
          <w:sz w:val="20"/>
          <w:szCs w:val="20"/>
        </w:rPr>
        <w:t>ANNUAL REVIEW OF THE AMP</w:t>
      </w:r>
    </w:p>
    <w:p w14:paraId="3EDBFB42" w14:textId="77777777" w:rsidR="00D77840" w:rsidRPr="00D77840" w:rsidRDefault="00D77840" w:rsidP="00D77840">
      <w:pPr>
        <w:numPr>
          <w:ilvl w:val="0"/>
          <w:numId w:val="293"/>
        </w:numPr>
        <w:tabs>
          <w:tab w:val="left" w:pos="706"/>
          <w:tab w:val="left" w:pos="707"/>
        </w:tabs>
        <w:spacing w:before="119"/>
        <w:ind w:right="196"/>
        <w:jc w:val="both"/>
        <w:rPr>
          <w:rFonts w:ascii="Arial" w:hAnsi="Arial" w:cs="Arial"/>
          <w:sz w:val="20"/>
        </w:rPr>
      </w:pPr>
      <w:r w:rsidRPr="00D77840">
        <w:rPr>
          <w:rFonts w:ascii="Arial" w:hAnsi="Arial" w:cs="Arial"/>
          <w:sz w:val="20"/>
        </w:rPr>
        <w:t>During</w:t>
      </w:r>
      <w:r w:rsidRPr="00D77840">
        <w:rPr>
          <w:rFonts w:ascii="Arial" w:hAnsi="Arial" w:cs="Arial"/>
          <w:spacing w:val="-5"/>
          <w:sz w:val="20"/>
        </w:rPr>
        <w:t xml:space="preserve"> </w:t>
      </w:r>
      <w:r w:rsidRPr="00D77840">
        <w:rPr>
          <w:rFonts w:ascii="Arial" w:hAnsi="Arial" w:cs="Arial"/>
          <w:sz w:val="20"/>
        </w:rPr>
        <w:t>the</w:t>
      </w:r>
      <w:r w:rsidRPr="00D77840">
        <w:rPr>
          <w:rFonts w:ascii="Arial" w:hAnsi="Arial" w:cs="Arial"/>
          <w:spacing w:val="-6"/>
          <w:sz w:val="20"/>
        </w:rPr>
        <w:t xml:space="preserve"> </w:t>
      </w:r>
      <w:r w:rsidRPr="00D77840">
        <w:rPr>
          <w:rFonts w:ascii="Arial" w:hAnsi="Arial" w:cs="Arial"/>
          <w:sz w:val="20"/>
        </w:rPr>
        <w:t>annual</w:t>
      </w:r>
      <w:r w:rsidRPr="00D77840">
        <w:rPr>
          <w:rFonts w:ascii="Arial" w:hAnsi="Arial" w:cs="Arial"/>
          <w:spacing w:val="-5"/>
          <w:sz w:val="20"/>
        </w:rPr>
        <w:t xml:space="preserve"> </w:t>
      </w:r>
      <w:r w:rsidRPr="00D77840">
        <w:rPr>
          <w:rFonts w:ascii="Arial" w:hAnsi="Arial" w:cs="Arial"/>
          <w:sz w:val="20"/>
        </w:rPr>
        <w:t>review</w:t>
      </w:r>
      <w:r w:rsidRPr="00D77840">
        <w:rPr>
          <w:rFonts w:ascii="Arial" w:hAnsi="Arial" w:cs="Arial"/>
          <w:spacing w:val="-5"/>
          <w:sz w:val="20"/>
        </w:rPr>
        <w:t xml:space="preserve"> </w:t>
      </w:r>
      <w:r w:rsidRPr="00D77840">
        <w:rPr>
          <w:rFonts w:ascii="Arial" w:hAnsi="Arial" w:cs="Arial"/>
          <w:sz w:val="20"/>
        </w:rPr>
        <w:t>of</w:t>
      </w:r>
      <w:r w:rsidRPr="00D77840">
        <w:rPr>
          <w:rFonts w:ascii="Arial" w:hAnsi="Arial" w:cs="Arial"/>
          <w:spacing w:val="-3"/>
          <w:sz w:val="20"/>
        </w:rPr>
        <w:t xml:space="preserve"> </w:t>
      </w:r>
      <w:r w:rsidRPr="00D77840">
        <w:rPr>
          <w:rFonts w:ascii="Arial" w:hAnsi="Arial" w:cs="Arial"/>
          <w:sz w:val="20"/>
        </w:rPr>
        <w:t>the</w:t>
      </w:r>
      <w:r w:rsidRPr="00D77840">
        <w:rPr>
          <w:rFonts w:ascii="Arial" w:hAnsi="Arial" w:cs="Arial"/>
          <w:spacing w:val="-7"/>
          <w:sz w:val="20"/>
        </w:rPr>
        <w:t xml:space="preserve"> </w:t>
      </w:r>
      <w:r w:rsidRPr="00D77840">
        <w:rPr>
          <w:rFonts w:ascii="Arial" w:hAnsi="Arial" w:cs="Arial"/>
          <w:sz w:val="20"/>
        </w:rPr>
        <w:t>maintenance</w:t>
      </w:r>
      <w:r w:rsidRPr="00D77840">
        <w:rPr>
          <w:rFonts w:ascii="Arial" w:hAnsi="Arial" w:cs="Arial"/>
          <w:spacing w:val="-5"/>
          <w:sz w:val="20"/>
        </w:rPr>
        <w:t xml:space="preserve"> </w:t>
      </w:r>
      <w:r w:rsidRPr="00D77840">
        <w:rPr>
          <w:rFonts w:ascii="Arial" w:hAnsi="Arial" w:cs="Arial"/>
          <w:sz w:val="20"/>
        </w:rPr>
        <w:t>programme,</w:t>
      </w:r>
      <w:r w:rsidRPr="00D77840">
        <w:rPr>
          <w:rFonts w:ascii="Arial" w:hAnsi="Arial" w:cs="Arial"/>
          <w:spacing w:val="-5"/>
          <w:sz w:val="20"/>
        </w:rPr>
        <w:t xml:space="preserve"> </w:t>
      </w:r>
      <w:r w:rsidRPr="00D77840">
        <w:rPr>
          <w:rFonts w:ascii="Arial" w:hAnsi="Arial" w:cs="Arial"/>
          <w:sz w:val="20"/>
        </w:rPr>
        <w:t>as</w:t>
      </w:r>
      <w:r w:rsidRPr="00D77840">
        <w:rPr>
          <w:rFonts w:ascii="Arial" w:hAnsi="Arial" w:cs="Arial"/>
          <w:spacing w:val="-4"/>
          <w:sz w:val="20"/>
        </w:rPr>
        <w:t xml:space="preserve"> </w:t>
      </w:r>
      <w:r w:rsidRPr="00D77840">
        <w:rPr>
          <w:rFonts w:ascii="Arial" w:hAnsi="Arial" w:cs="Arial"/>
          <w:sz w:val="20"/>
        </w:rPr>
        <w:t>required</w:t>
      </w:r>
      <w:r w:rsidRPr="00D77840">
        <w:rPr>
          <w:rFonts w:ascii="Arial" w:hAnsi="Arial" w:cs="Arial"/>
          <w:spacing w:val="-4"/>
          <w:sz w:val="20"/>
        </w:rPr>
        <w:t xml:space="preserve"> </w:t>
      </w:r>
      <w:r w:rsidRPr="00D77840">
        <w:rPr>
          <w:rFonts w:ascii="Arial" w:hAnsi="Arial" w:cs="Arial"/>
          <w:sz w:val="20"/>
        </w:rPr>
        <w:t>by</w:t>
      </w:r>
      <w:r w:rsidRPr="00D77840">
        <w:rPr>
          <w:rFonts w:ascii="Arial" w:hAnsi="Arial" w:cs="Arial"/>
          <w:spacing w:val="-5"/>
          <w:sz w:val="20"/>
        </w:rPr>
        <w:t xml:space="preserve"> </w:t>
      </w:r>
      <w:r w:rsidRPr="00D77840">
        <w:rPr>
          <w:rFonts w:ascii="Arial" w:hAnsi="Arial" w:cs="Arial"/>
          <w:sz w:val="20"/>
        </w:rPr>
        <w:t>point</w:t>
      </w:r>
      <w:r w:rsidRPr="00D77840">
        <w:rPr>
          <w:rFonts w:ascii="Arial" w:hAnsi="Arial" w:cs="Arial"/>
          <w:spacing w:val="-6"/>
          <w:sz w:val="20"/>
        </w:rPr>
        <w:t xml:space="preserve"> </w:t>
      </w:r>
      <w:r w:rsidRPr="00D77840">
        <w:rPr>
          <w:rFonts w:ascii="Arial" w:hAnsi="Arial" w:cs="Arial"/>
          <w:sz w:val="20"/>
        </w:rPr>
        <w:t>ML.A.302(c)(9),</w:t>
      </w:r>
      <w:r w:rsidRPr="00D77840">
        <w:rPr>
          <w:rFonts w:ascii="Arial" w:hAnsi="Arial" w:cs="Arial"/>
          <w:spacing w:val="-46"/>
          <w:sz w:val="20"/>
        </w:rPr>
        <w:t xml:space="preserve"> </w:t>
      </w:r>
      <w:r w:rsidRPr="00D77840">
        <w:rPr>
          <w:rFonts w:ascii="Arial" w:hAnsi="Arial" w:cs="Arial"/>
          <w:sz w:val="20"/>
        </w:rPr>
        <w:t>the</w:t>
      </w:r>
      <w:r w:rsidRPr="00D77840">
        <w:rPr>
          <w:rFonts w:ascii="Arial" w:hAnsi="Arial" w:cs="Arial"/>
          <w:spacing w:val="-1"/>
          <w:sz w:val="20"/>
        </w:rPr>
        <w:t xml:space="preserve"> </w:t>
      </w:r>
      <w:r w:rsidRPr="00D77840">
        <w:rPr>
          <w:rFonts w:ascii="Arial" w:hAnsi="Arial" w:cs="Arial"/>
          <w:sz w:val="20"/>
        </w:rPr>
        <w:t>following</w:t>
      </w:r>
      <w:r w:rsidRPr="00D77840">
        <w:rPr>
          <w:rFonts w:ascii="Arial" w:hAnsi="Arial" w:cs="Arial"/>
          <w:spacing w:val="-2"/>
          <w:sz w:val="20"/>
        </w:rPr>
        <w:t xml:space="preserve"> </w:t>
      </w:r>
      <w:r w:rsidRPr="00D77840">
        <w:rPr>
          <w:rFonts w:ascii="Arial" w:hAnsi="Arial" w:cs="Arial"/>
          <w:sz w:val="20"/>
        </w:rPr>
        <w:t>should</w:t>
      </w:r>
      <w:r w:rsidRPr="00D77840">
        <w:rPr>
          <w:rFonts w:ascii="Arial" w:hAnsi="Arial" w:cs="Arial"/>
          <w:spacing w:val="-1"/>
          <w:sz w:val="20"/>
        </w:rPr>
        <w:t xml:space="preserve"> </w:t>
      </w:r>
      <w:r w:rsidRPr="00D77840">
        <w:rPr>
          <w:rFonts w:ascii="Arial" w:hAnsi="Arial" w:cs="Arial"/>
          <w:sz w:val="20"/>
        </w:rPr>
        <w:t>be</w:t>
      </w:r>
      <w:r w:rsidRPr="00D77840">
        <w:rPr>
          <w:rFonts w:ascii="Arial" w:hAnsi="Arial" w:cs="Arial"/>
          <w:spacing w:val="-2"/>
          <w:sz w:val="20"/>
        </w:rPr>
        <w:t xml:space="preserve"> </w:t>
      </w:r>
      <w:r w:rsidRPr="00D77840">
        <w:rPr>
          <w:rFonts w:ascii="Arial" w:hAnsi="Arial" w:cs="Arial"/>
          <w:sz w:val="20"/>
        </w:rPr>
        <w:t>taken into</w:t>
      </w:r>
      <w:r w:rsidRPr="00D77840">
        <w:rPr>
          <w:rFonts w:ascii="Arial" w:hAnsi="Arial" w:cs="Arial"/>
          <w:spacing w:val="-1"/>
          <w:sz w:val="20"/>
        </w:rPr>
        <w:t xml:space="preserve"> </w:t>
      </w:r>
      <w:r w:rsidRPr="00D77840">
        <w:rPr>
          <w:rFonts w:ascii="Arial" w:hAnsi="Arial" w:cs="Arial"/>
          <w:sz w:val="20"/>
        </w:rPr>
        <w:t>consideration:</w:t>
      </w:r>
    </w:p>
    <w:p w14:paraId="1842E4A7" w14:textId="77777777" w:rsidR="00D77840" w:rsidRPr="00D77840" w:rsidRDefault="00D77840" w:rsidP="00D77840">
      <w:pPr>
        <w:numPr>
          <w:ilvl w:val="1"/>
          <w:numId w:val="293"/>
        </w:numPr>
        <w:tabs>
          <w:tab w:val="left" w:pos="1273"/>
          <w:tab w:val="left" w:pos="1274"/>
        </w:tabs>
        <w:spacing w:before="120"/>
        <w:ind w:right="195"/>
        <w:jc w:val="both"/>
        <w:rPr>
          <w:rFonts w:ascii="Arial" w:hAnsi="Arial" w:cs="Arial"/>
          <w:sz w:val="20"/>
        </w:rPr>
      </w:pPr>
      <w:r w:rsidRPr="00D77840">
        <w:rPr>
          <w:rFonts w:ascii="Arial" w:hAnsi="Arial" w:cs="Arial"/>
          <w:sz w:val="20"/>
        </w:rPr>
        <w:t>the</w:t>
      </w:r>
      <w:r w:rsidRPr="00D77840">
        <w:rPr>
          <w:rFonts w:ascii="Arial" w:hAnsi="Arial" w:cs="Arial"/>
          <w:spacing w:val="16"/>
          <w:sz w:val="20"/>
        </w:rPr>
        <w:t xml:space="preserve"> </w:t>
      </w:r>
      <w:r w:rsidRPr="00D77840">
        <w:rPr>
          <w:rFonts w:ascii="Arial" w:hAnsi="Arial" w:cs="Arial"/>
          <w:sz w:val="20"/>
        </w:rPr>
        <w:t>results</w:t>
      </w:r>
      <w:r w:rsidRPr="00D77840">
        <w:rPr>
          <w:rFonts w:ascii="Arial" w:hAnsi="Arial" w:cs="Arial"/>
          <w:spacing w:val="14"/>
          <w:sz w:val="20"/>
        </w:rPr>
        <w:t xml:space="preserve"> </w:t>
      </w:r>
      <w:r w:rsidRPr="00D77840">
        <w:rPr>
          <w:rFonts w:ascii="Arial" w:hAnsi="Arial" w:cs="Arial"/>
          <w:sz w:val="20"/>
        </w:rPr>
        <w:t>of</w:t>
      </w:r>
      <w:r w:rsidRPr="00D77840">
        <w:rPr>
          <w:rFonts w:ascii="Arial" w:hAnsi="Arial" w:cs="Arial"/>
          <w:spacing w:val="14"/>
          <w:sz w:val="20"/>
        </w:rPr>
        <w:t xml:space="preserve"> </w:t>
      </w:r>
      <w:r w:rsidRPr="00D77840">
        <w:rPr>
          <w:rFonts w:ascii="Arial" w:hAnsi="Arial" w:cs="Arial"/>
          <w:sz w:val="20"/>
        </w:rPr>
        <w:t>the</w:t>
      </w:r>
      <w:r w:rsidRPr="00D77840">
        <w:rPr>
          <w:rFonts w:ascii="Arial" w:hAnsi="Arial" w:cs="Arial"/>
          <w:spacing w:val="13"/>
          <w:sz w:val="20"/>
        </w:rPr>
        <w:t xml:space="preserve"> </w:t>
      </w:r>
      <w:r w:rsidRPr="00D77840">
        <w:rPr>
          <w:rFonts w:ascii="Arial" w:hAnsi="Arial" w:cs="Arial"/>
          <w:sz w:val="20"/>
        </w:rPr>
        <w:t>maintenance</w:t>
      </w:r>
      <w:r w:rsidRPr="00D77840">
        <w:rPr>
          <w:rFonts w:ascii="Arial" w:hAnsi="Arial" w:cs="Arial"/>
          <w:spacing w:val="17"/>
          <w:sz w:val="20"/>
        </w:rPr>
        <w:t xml:space="preserve"> </w:t>
      </w:r>
      <w:r w:rsidRPr="00D77840">
        <w:rPr>
          <w:rFonts w:ascii="Arial" w:hAnsi="Arial" w:cs="Arial"/>
          <w:sz w:val="20"/>
        </w:rPr>
        <w:t>performed</w:t>
      </w:r>
      <w:r w:rsidRPr="00D77840">
        <w:rPr>
          <w:rFonts w:ascii="Arial" w:hAnsi="Arial" w:cs="Arial"/>
          <w:spacing w:val="16"/>
          <w:sz w:val="20"/>
        </w:rPr>
        <w:t xml:space="preserve"> </w:t>
      </w:r>
      <w:r w:rsidRPr="00D77840">
        <w:rPr>
          <w:rFonts w:ascii="Arial" w:hAnsi="Arial" w:cs="Arial"/>
          <w:sz w:val="20"/>
        </w:rPr>
        <w:t>during</w:t>
      </w:r>
      <w:r w:rsidRPr="00D77840">
        <w:rPr>
          <w:rFonts w:ascii="Arial" w:hAnsi="Arial" w:cs="Arial"/>
          <w:spacing w:val="13"/>
          <w:sz w:val="20"/>
        </w:rPr>
        <w:t xml:space="preserve"> </w:t>
      </w:r>
      <w:r w:rsidRPr="00D77840">
        <w:rPr>
          <w:rFonts w:ascii="Arial" w:hAnsi="Arial" w:cs="Arial"/>
          <w:sz w:val="20"/>
        </w:rPr>
        <w:t>that</w:t>
      </w:r>
      <w:r w:rsidRPr="00D77840">
        <w:rPr>
          <w:rFonts w:ascii="Arial" w:hAnsi="Arial" w:cs="Arial"/>
          <w:spacing w:val="16"/>
          <w:sz w:val="20"/>
        </w:rPr>
        <w:t xml:space="preserve"> </w:t>
      </w:r>
      <w:r w:rsidRPr="00D77840">
        <w:rPr>
          <w:rFonts w:ascii="Arial" w:hAnsi="Arial" w:cs="Arial"/>
          <w:sz w:val="20"/>
        </w:rPr>
        <w:t>year,</w:t>
      </w:r>
      <w:r w:rsidRPr="00D77840">
        <w:rPr>
          <w:rFonts w:ascii="Arial" w:hAnsi="Arial" w:cs="Arial"/>
          <w:spacing w:val="15"/>
          <w:sz w:val="20"/>
        </w:rPr>
        <w:t xml:space="preserve"> </w:t>
      </w:r>
      <w:r w:rsidRPr="00D77840">
        <w:rPr>
          <w:rFonts w:ascii="Arial" w:hAnsi="Arial" w:cs="Arial"/>
          <w:sz w:val="20"/>
        </w:rPr>
        <w:t>which</w:t>
      </w:r>
      <w:r w:rsidRPr="00D77840">
        <w:rPr>
          <w:rFonts w:ascii="Arial" w:hAnsi="Arial" w:cs="Arial"/>
          <w:spacing w:val="15"/>
          <w:sz w:val="20"/>
        </w:rPr>
        <w:t xml:space="preserve"> </w:t>
      </w:r>
      <w:r w:rsidRPr="00D77840">
        <w:rPr>
          <w:rFonts w:ascii="Arial" w:hAnsi="Arial" w:cs="Arial"/>
          <w:sz w:val="20"/>
        </w:rPr>
        <w:t>may</w:t>
      </w:r>
      <w:r w:rsidRPr="00D77840">
        <w:rPr>
          <w:rFonts w:ascii="Arial" w:hAnsi="Arial" w:cs="Arial"/>
          <w:spacing w:val="16"/>
          <w:sz w:val="20"/>
        </w:rPr>
        <w:t xml:space="preserve"> </w:t>
      </w:r>
      <w:r w:rsidRPr="00D77840">
        <w:rPr>
          <w:rFonts w:ascii="Arial" w:hAnsi="Arial" w:cs="Arial"/>
          <w:sz w:val="20"/>
        </w:rPr>
        <w:t>reveal</w:t>
      </w:r>
      <w:r w:rsidRPr="00D77840">
        <w:rPr>
          <w:rFonts w:ascii="Arial" w:hAnsi="Arial" w:cs="Arial"/>
          <w:spacing w:val="14"/>
          <w:sz w:val="20"/>
        </w:rPr>
        <w:t xml:space="preserve"> </w:t>
      </w:r>
      <w:r w:rsidRPr="00D77840">
        <w:rPr>
          <w:rFonts w:ascii="Arial" w:hAnsi="Arial" w:cs="Arial"/>
          <w:sz w:val="20"/>
        </w:rPr>
        <w:t>that</w:t>
      </w:r>
      <w:r w:rsidRPr="00D77840">
        <w:rPr>
          <w:rFonts w:ascii="Arial" w:hAnsi="Arial" w:cs="Arial"/>
          <w:spacing w:val="16"/>
          <w:sz w:val="20"/>
        </w:rPr>
        <w:t xml:space="preserve"> </w:t>
      </w:r>
      <w:r w:rsidRPr="00D77840">
        <w:rPr>
          <w:rFonts w:ascii="Arial" w:hAnsi="Arial" w:cs="Arial"/>
          <w:sz w:val="20"/>
        </w:rPr>
        <w:t>the</w:t>
      </w:r>
      <w:r w:rsidRPr="00D77840">
        <w:rPr>
          <w:rFonts w:ascii="Arial" w:hAnsi="Arial" w:cs="Arial"/>
          <w:spacing w:val="-46"/>
          <w:sz w:val="20"/>
        </w:rPr>
        <w:t xml:space="preserve"> </w:t>
      </w:r>
      <w:r w:rsidRPr="00D77840">
        <w:rPr>
          <w:rFonts w:ascii="Arial" w:hAnsi="Arial" w:cs="Arial"/>
          <w:sz w:val="20"/>
        </w:rPr>
        <w:t>current</w:t>
      </w:r>
      <w:r w:rsidRPr="00D77840">
        <w:rPr>
          <w:rFonts w:ascii="Arial" w:hAnsi="Arial" w:cs="Arial"/>
          <w:spacing w:val="-3"/>
          <w:sz w:val="20"/>
        </w:rPr>
        <w:t xml:space="preserve"> </w:t>
      </w:r>
      <w:r w:rsidRPr="00D77840">
        <w:rPr>
          <w:rFonts w:ascii="Arial" w:hAnsi="Arial" w:cs="Arial"/>
          <w:sz w:val="20"/>
        </w:rPr>
        <w:t>maintenance</w:t>
      </w:r>
      <w:r w:rsidRPr="00D77840">
        <w:rPr>
          <w:rFonts w:ascii="Arial" w:hAnsi="Arial" w:cs="Arial"/>
          <w:spacing w:val="1"/>
          <w:sz w:val="20"/>
        </w:rPr>
        <w:t xml:space="preserve"> </w:t>
      </w:r>
      <w:r w:rsidRPr="00D77840">
        <w:rPr>
          <w:rFonts w:ascii="Arial" w:hAnsi="Arial" w:cs="Arial"/>
          <w:sz w:val="20"/>
        </w:rPr>
        <w:t>programme</w:t>
      </w:r>
      <w:r w:rsidRPr="00D77840">
        <w:rPr>
          <w:rFonts w:ascii="Arial" w:hAnsi="Arial" w:cs="Arial"/>
          <w:spacing w:val="1"/>
          <w:sz w:val="20"/>
        </w:rPr>
        <w:t xml:space="preserve"> </w:t>
      </w:r>
      <w:r w:rsidRPr="00D77840">
        <w:rPr>
          <w:rFonts w:ascii="Arial" w:hAnsi="Arial" w:cs="Arial"/>
          <w:sz w:val="20"/>
        </w:rPr>
        <w:t>is</w:t>
      </w:r>
      <w:r w:rsidRPr="00D77840">
        <w:rPr>
          <w:rFonts w:ascii="Arial" w:hAnsi="Arial" w:cs="Arial"/>
          <w:spacing w:val="-3"/>
          <w:sz w:val="20"/>
        </w:rPr>
        <w:t xml:space="preserve"> </w:t>
      </w:r>
      <w:r w:rsidRPr="00D77840">
        <w:rPr>
          <w:rFonts w:ascii="Arial" w:hAnsi="Arial" w:cs="Arial"/>
          <w:sz w:val="20"/>
        </w:rPr>
        <w:t>not</w:t>
      </w:r>
      <w:r w:rsidRPr="00D77840">
        <w:rPr>
          <w:rFonts w:ascii="Arial" w:hAnsi="Arial" w:cs="Arial"/>
          <w:spacing w:val="-2"/>
          <w:sz w:val="20"/>
        </w:rPr>
        <w:t xml:space="preserve"> </w:t>
      </w:r>
      <w:r w:rsidRPr="00D77840">
        <w:rPr>
          <w:rFonts w:ascii="Arial" w:hAnsi="Arial" w:cs="Arial"/>
          <w:sz w:val="20"/>
        </w:rPr>
        <w:t>adequate;</w:t>
      </w:r>
    </w:p>
    <w:p w14:paraId="594A8DB1" w14:textId="77777777" w:rsidR="00D77840" w:rsidRPr="00D77840" w:rsidRDefault="00D77840" w:rsidP="00D77840">
      <w:pPr>
        <w:numPr>
          <w:ilvl w:val="1"/>
          <w:numId w:val="293"/>
        </w:numPr>
        <w:tabs>
          <w:tab w:val="left" w:pos="1273"/>
          <w:tab w:val="left" w:pos="1274"/>
        </w:tabs>
        <w:spacing w:before="121"/>
        <w:ind w:right="199"/>
        <w:jc w:val="both"/>
        <w:rPr>
          <w:rFonts w:ascii="Arial" w:hAnsi="Arial" w:cs="Arial"/>
          <w:sz w:val="20"/>
        </w:rPr>
      </w:pPr>
      <w:r w:rsidRPr="00D77840">
        <w:rPr>
          <w:rFonts w:ascii="Arial" w:hAnsi="Arial" w:cs="Arial"/>
          <w:sz w:val="20"/>
        </w:rPr>
        <w:t>the</w:t>
      </w:r>
      <w:r w:rsidRPr="00D77840">
        <w:rPr>
          <w:rFonts w:ascii="Arial" w:hAnsi="Arial" w:cs="Arial"/>
          <w:spacing w:val="41"/>
          <w:sz w:val="20"/>
        </w:rPr>
        <w:t xml:space="preserve"> </w:t>
      </w:r>
      <w:r w:rsidRPr="00D77840">
        <w:rPr>
          <w:rFonts w:ascii="Arial" w:hAnsi="Arial" w:cs="Arial"/>
          <w:sz w:val="20"/>
        </w:rPr>
        <w:t>results</w:t>
      </w:r>
      <w:r w:rsidRPr="00D77840">
        <w:rPr>
          <w:rFonts w:ascii="Arial" w:hAnsi="Arial" w:cs="Arial"/>
          <w:spacing w:val="39"/>
          <w:sz w:val="20"/>
        </w:rPr>
        <w:t xml:space="preserve"> </w:t>
      </w:r>
      <w:r w:rsidRPr="00D77840">
        <w:rPr>
          <w:rFonts w:ascii="Arial" w:hAnsi="Arial" w:cs="Arial"/>
          <w:sz w:val="20"/>
        </w:rPr>
        <w:t>of</w:t>
      </w:r>
      <w:r w:rsidRPr="00D77840">
        <w:rPr>
          <w:rFonts w:ascii="Arial" w:hAnsi="Arial" w:cs="Arial"/>
          <w:spacing w:val="41"/>
          <w:sz w:val="20"/>
        </w:rPr>
        <w:t xml:space="preserve"> </w:t>
      </w:r>
      <w:r w:rsidRPr="00D77840">
        <w:rPr>
          <w:rFonts w:ascii="Arial" w:hAnsi="Arial" w:cs="Arial"/>
          <w:sz w:val="20"/>
        </w:rPr>
        <w:t>the</w:t>
      </w:r>
      <w:r w:rsidRPr="00D77840">
        <w:rPr>
          <w:rFonts w:ascii="Arial" w:hAnsi="Arial" w:cs="Arial"/>
          <w:spacing w:val="41"/>
          <w:sz w:val="20"/>
        </w:rPr>
        <w:t xml:space="preserve"> </w:t>
      </w:r>
      <w:r w:rsidRPr="00D77840">
        <w:rPr>
          <w:rFonts w:ascii="Arial" w:hAnsi="Arial" w:cs="Arial"/>
          <w:sz w:val="20"/>
        </w:rPr>
        <w:t>AR</w:t>
      </w:r>
      <w:r w:rsidRPr="00D77840">
        <w:rPr>
          <w:rFonts w:ascii="Arial" w:hAnsi="Arial" w:cs="Arial"/>
          <w:spacing w:val="41"/>
          <w:sz w:val="20"/>
        </w:rPr>
        <w:t xml:space="preserve"> </w:t>
      </w:r>
      <w:r w:rsidRPr="00D77840">
        <w:rPr>
          <w:rFonts w:ascii="Arial" w:hAnsi="Arial" w:cs="Arial"/>
          <w:sz w:val="20"/>
        </w:rPr>
        <w:t>performed</w:t>
      </w:r>
      <w:r w:rsidRPr="00D77840">
        <w:rPr>
          <w:rFonts w:ascii="Arial" w:hAnsi="Arial" w:cs="Arial"/>
          <w:spacing w:val="41"/>
          <w:sz w:val="20"/>
        </w:rPr>
        <w:t xml:space="preserve"> </w:t>
      </w:r>
      <w:r w:rsidRPr="00D77840">
        <w:rPr>
          <w:rFonts w:ascii="Arial" w:hAnsi="Arial" w:cs="Arial"/>
          <w:sz w:val="20"/>
        </w:rPr>
        <w:t>on</w:t>
      </w:r>
      <w:r w:rsidRPr="00D77840">
        <w:rPr>
          <w:rFonts w:ascii="Arial" w:hAnsi="Arial" w:cs="Arial"/>
          <w:spacing w:val="40"/>
          <w:sz w:val="20"/>
        </w:rPr>
        <w:t xml:space="preserve"> </w:t>
      </w:r>
      <w:r w:rsidRPr="00D77840">
        <w:rPr>
          <w:rFonts w:ascii="Arial" w:hAnsi="Arial" w:cs="Arial"/>
          <w:sz w:val="20"/>
        </w:rPr>
        <w:t>the</w:t>
      </w:r>
      <w:r w:rsidRPr="00D77840">
        <w:rPr>
          <w:rFonts w:ascii="Arial" w:hAnsi="Arial" w:cs="Arial"/>
          <w:spacing w:val="42"/>
          <w:sz w:val="20"/>
        </w:rPr>
        <w:t xml:space="preserve"> </w:t>
      </w:r>
      <w:r w:rsidRPr="00D77840">
        <w:rPr>
          <w:rFonts w:ascii="Arial" w:hAnsi="Arial" w:cs="Arial"/>
          <w:sz w:val="20"/>
        </w:rPr>
        <w:t>aircraft,</w:t>
      </w:r>
      <w:r w:rsidRPr="00D77840">
        <w:rPr>
          <w:rFonts w:ascii="Arial" w:hAnsi="Arial" w:cs="Arial"/>
          <w:spacing w:val="39"/>
          <w:sz w:val="20"/>
        </w:rPr>
        <w:t xml:space="preserve"> </w:t>
      </w:r>
      <w:r w:rsidRPr="00D77840">
        <w:rPr>
          <w:rFonts w:ascii="Arial" w:hAnsi="Arial" w:cs="Arial"/>
          <w:sz w:val="20"/>
        </w:rPr>
        <w:t>which</w:t>
      </w:r>
      <w:r w:rsidRPr="00D77840">
        <w:rPr>
          <w:rFonts w:ascii="Arial" w:hAnsi="Arial" w:cs="Arial"/>
          <w:spacing w:val="40"/>
          <w:sz w:val="20"/>
        </w:rPr>
        <w:t xml:space="preserve"> </w:t>
      </w:r>
      <w:r w:rsidRPr="00D77840">
        <w:rPr>
          <w:rFonts w:ascii="Arial" w:hAnsi="Arial" w:cs="Arial"/>
          <w:sz w:val="20"/>
        </w:rPr>
        <w:t>may</w:t>
      </w:r>
      <w:r w:rsidRPr="00D77840">
        <w:rPr>
          <w:rFonts w:ascii="Arial" w:hAnsi="Arial" w:cs="Arial"/>
          <w:spacing w:val="43"/>
          <w:sz w:val="20"/>
        </w:rPr>
        <w:t xml:space="preserve"> </w:t>
      </w:r>
      <w:r w:rsidRPr="00D77840">
        <w:rPr>
          <w:rFonts w:ascii="Arial" w:hAnsi="Arial" w:cs="Arial"/>
          <w:sz w:val="20"/>
        </w:rPr>
        <w:t>reveal</w:t>
      </w:r>
      <w:r w:rsidRPr="00D77840">
        <w:rPr>
          <w:rFonts w:ascii="Arial" w:hAnsi="Arial" w:cs="Arial"/>
          <w:spacing w:val="41"/>
          <w:sz w:val="20"/>
        </w:rPr>
        <w:t xml:space="preserve"> </w:t>
      </w:r>
      <w:r w:rsidRPr="00D77840">
        <w:rPr>
          <w:rFonts w:ascii="Arial" w:hAnsi="Arial" w:cs="Arial"/>
          <w:sz w:val="20"/>
        </w:rPr>
        <w:t>that</w:t>
      </w:r>
      <w:r w:rsidRPr="00D77840">
        <w:rPr>
          <w:rFonts w:ascii="Arial" w:hAnsi="Arial" w:cs="Arial"/>
          <w:spacing w:val="41"/>
          <w:sz w:val="20"/>
        </w:rPr>
        <w:t xml:space="preserve"> </w:t>
      </w:r>
      <w:r w:rsidRPr="00D77840">
        <w:rPr>
          <w:rFonts w:ascii="Arial" w:hAnsi="Arial" w:cs="Arial"/>
          <w:sz w:val="20"/>
        </w:rPr>
        <w:t>the</w:t>
      </w:r>
      <w:r w:rsidRPr="00D77840">
        <w:rPr>
          <w:rFonts w:ascii="Arial" w:hAnsi="Arial" w:cs="Arial"/>
          <w:spacing w:val="39"/>
          <w:sz w:val="20"/>
        </w:rPr>
        <w:t xml:space="preserve"> </w:t>
      </w:r>
      <w:r w:rsidRPr="00D77840">
        <w:rPr>
          <w:rFonts w:ascii="Arial" w:hAnsi="Arial" w:cs="Arial"/>
          <w:sz w:val="20"/>
        </w:rPr>
        <w:t>current</w:t>
      </w:r>
      <w:r w:rsidRPr="00D77840">
        <w:rPr>
          <w:rFonts w:ascii="Arial" w:hAnsi="Arial" w:cs="Arial"/>
          <w:spacing w:val="-47"/>
          <w:sz w:val="20"/>
        </w:rPr>
        <w:t xml:space="preserve"> </w:t>
      </w:r>
      <w:r w:rsidRPr="00D77840">
        <w:rPr>
          <w:rFonts w:ascii="Arial" w:hAnsi="Arial" w:cs="Arial"/>
          <w:sz w:val="20"/>
        </w:rPr>
        <w:t>maintenance programme</w:t>
      </w:r>
      <w:r w:rsidRPr="00D77840">
        <w:rPr>
          <w:rFonts w:ascii="Arial" w:hAnsi="Arial" w:cs="Arial"/>
          <w:spacing w:val="-2"/>
          <w:sz w:val="20"/>
        </w:rPr>
        <w:t xml:space="preserve"> </w:t>
      </w:r>
      <w:r w:rsidRPr="00D77840">
        <w:rPr>
          <w:rFonts w:ascii="Arial" w:hAnsi="Arial" w:cs="Arial"/>
          <w:sz w:val="20"/>
        </w:rPr>
        <w:t>is not</w:t>
      </w:r>
      <w:r w:rsidRPr="00D77840">
        <w:rPr>
          <w:rFonts w:ascii="Arial" w:hAnsi="Arial" w:cs="Arial"/>
          <w:spacing w:val="-2"/>
          <w:sz w:val="20"/>
        </w:rPr>
        <w:t xml:space="preserve"> </w:t>
      </w:r>
      <w:r w:rsidRPr="00D77840">
        <w:rPr>
          <w:rFonts w:ascii="Arial" w:hAnsi="Arial" w:cs="Arial"/>
          <w:sz w:val="20"/>
        </w:rPr>
        <w:t>adequate;</w:t>
      </w:r>
    </w:p>
    <w:p w14:paraId="1C2AB3E4" w14:textId="77777777" w:rsidR="00D77840" w:rsidRPr="00D77840" w:rsidRDefault="00D77840" w:rsidP="00D77840">
      <w:pPr>
        <w:numPr>
          <w:ilvl w:val="1"/>
          <w:numId w:val="293"/>
        </w:numPr>
        <w:tabs>
          <w:tab w:val="left" w:pos="1273"/>
          <w:tab w:val="left" w:pos="1274"/>
        </w:tabs>
        <w:spacing w:before="122" w:line="237" w:lineRule="auto"/>
        <w:ind w:right="197"/>
        <w:jc w:val="both"/>
        <w:rPr>
          <w:rFonts w:ascii="Arial" w:hAnsi="Arial" w:cs="Arial"/>
          <w:sz w:val="20"/>
        </w:rPr>
      </w:pPr>
      <w:r w:rsidRPr="00D77840">
        <w:rPr>
          <w:rFonts w:ascii="Arial" w:hAnsi="Arial" w:cs="Arial"/>
          <w:sz w:val="20"/>
        </w:rPr>
        <w:lastRenderedPageBreak/>
        <w:t>revisions</w:t>
      </w:r>
      <w:r w:rsidRPr="00D77840">
        <w:rPr>
          <w:rFonts w:ascii="Arial" w:hAnsi="Arial" w:cs="Arial"/>
          <w:spacing w:val="1"/>
          <w:sz w:val="20"/>
        </w:rPr>
        <w:t xml:space="preserve"> </w:t>
      </w:r>
      <w:r w:rsidRPr="00D77840">
        <w:rPr>
          <w:rFonts w:ascii="Arial" w:hAnsi="Arial" w:cs="Arial"/>
          <w:sz w:val="20"/>
        </w:rPr>
        <w:t>introduced</w:t>
      </w:r>
      <w:r w:rsidRPr="00D77840">
        <w:rPr>
          <w:rFonts w:ascii="Arial" w:hAnsi="Arial" w:cs="Arial"/>
          <w:spacing w:val="1"/>
          <w:sz w:val="20"/>
        </w:rPr>
        <w:t xml:space="preserve"> </w:t>
      </w:r>
      <w:r w:rsidRPr="00D77840">
        <w:rPr>
          <w:rFonts w:ascii="Arial" w:hAnsi="Arial" w:cs="Arial"/>
          <w:sz w:val="20"/>
        </w:rPr>
        <w:t>on</w:t>
      </w:r>
      <w:r w:rsidRPr="00D77840">
        <w:rPr>
          <w:rFonts w:ascii="Arial" w:hAnsi="Arial" w:cs="Arial"/>
          <w:spacing w:val="1"/>
          <w:sz w:val="20"/>
        </w:rPr>
        <w:t xml:space="preserve"> </w:t>
      </w:r>
      <w:r w:rsidRPr="00D77840">
        <w:rPr>
          <w:rFonts w:ascii="Arial" w:hAnsi="Arial" w:cs="Arial"/>
          <w:sz w:val="20"/>
        </w:rPr>
        <w:t>the</w:t>
      </w:r>
      <w:r w:rsidRPr="00D77840">
        <w:rPr>
          <w:rFonts w:ascii="Arial" w:hAnsi="Arial" w:cs="Arial"/>
          <w:spacing w:val="1"/>
          <w:sz w:val="20"/>
        </w:rPr>
        <w:t xml:space="preserve"> </w:t>
      </w:r>
      <w:r w:rsidRPr="00D77840">
        <w:rPr>
          <w:rFonts w:ascii="Arial" w:hAnsi="Arial" w:cs="Arial"/>
          <w:sz w:val="20"/>
        </w:rPr>
        <w:t>documents</w:t>
      </w:r>
      <w:r w:rsidRPr="00D77840">
        <w:rPr>
          <w:rFonts w:ascii="Arial" w:hAnsi="Arial" w:cs="Arial"/>
          <w:spacing w:val="1"/>
          <w:sz w:val="20"/>
        </w:rPr>
        <w:t xml:space="preserve"> </w:t>
      </w:r>
      <w:r w:rsidRPr="00D77840">
        <w:rPr>
          <w:rFonts w:ascii="Arial" w:hAnsi="Arial" w:cs="Arial"/>
          <w:sz w:val="20"/>
        </w:rPr>
        <w:t>affecting</w:t>
      </w:r>
      <w:r w:rsidRPr="00D77840">
        <w:rPr>
          <w:rFonts w:ascii="Arial" w:hAnsi="Arial" w:cs="Arial"/>
          <w:spacing w:val="1"/>
          <w:sz w:val="20"/>
        </w:rPr>
        <w:t xml:space="preserve"> </w:t>
      </w:r>
      <w:r w:rsidRPr="00D77840">
        <w:rPr>
          <w:rFonts w:ascii="Arial" w:hAnsi="Arial" w:cs="Arial"/>
          <w:sz w:val="20"/>
        </w:rPr>
        <w:t>the</w:t>
      </w:r>
      <w:r w:rsidRPr="00D77840">
        <w:rPr>
          <w:rFonts w:ascii="Arial" w:hAnsi="Arial" w:cs="Arial"/>
          <w:spacing w:val="1"/>
          <w:sz w:val="20"/>
        </w:rPr>
        <w:t xml:space="preserve"> </w:t>
      </w:r>
      <w:r w:rsidRPr="00D77840">
        <w:rPr>
          <w:rFonts w:ascii="Arial" w:hAnsi="Arial" w:cs="Arial"/>
          <w:sz w:val="20"/>
        </w:rPr>
        <w:t>programme</w:t>
      </w:r>
      <w:r w:rsidRPr="00D77840">
        <w:rPr>
          <w:rFonts w:ascii="Arial" w:hAnsi="Arial" w:cs="Arial"/>
          <w:spacing w:val="1"/>
          <w:sz w:val="20"/>
        </w:rPr>
        <w:t xml:space="preserve"> </w:t>
      </w:r>
      <w:r w:rsidRPr="00D77840">
        <w:rPr>
          <w:rFonts w:ascii="Arial" w:hAnsi="Arial" w:cs="Arial"/>
          <w:sz w:val="20"/>
        </w:rPr>
        <w:t>basis, such</w:t>
      </w:r>
      <w:r w:rsidRPr="00D77840">
        <w:rPr>
          <w:rFonts w:ascii="Arial" w:hAnsi="Arial" w:cs="Arial"/>
          <w:spacing w:val="1"/>
          <w:sz w:val="20"/>
        </w:rPr>
        <w:t xml:space="preserve"> </w:t>
      </w:r>
      <w:r w:rsidRPr="00D77840">
        <w:rPr>
          <w:rFonts w:ascii="Arial" w:hAnsi="Arial" w:cs="Arial"/>
          <w:sz w:val="20"/>
        </w:rPr>
        <w:t>as</w:t>
      </w:r>
      <w:r w:rsidRPr="00D77840">
        <w:rPr>
          <w:rFonts w:ascii="Arial" w:hAnsi="Arial" w:cs="Arial"/>
          <w:spacing w:val="1"/>
          <w:sz w:val="20"/>
        </w:rPr>
        <w:t xml:space="preserve"> </w:t>
      </w:r>
      <w:r w:rsidRPr="00D77840">
        <w:rPr>
          <w:rFonts w:ascii="Arial" w:hAnsi="Arial" w:cs="Arial"/>
          <w:sz w:val="20"/>
        </w:rPr>
        <w:t>the</w:t>
      </w:r>
      <w:r w:rsidRPr="00D77840">
        <w:rPr>
          <w:rFonts w:ascii="Arial" w:hAnsi="Arial" w:cs="Arial"/>
          <w:color w:val="0000FF"/>
          <w:spacing w:val="-47"/>
          <w:sz w:val="20"/>
        </w:rPr>
        <w:t xml:space="preserve"> </w:t>
      </w:r>
      <w:r w:rsidRPr="00D77840">
        <w:rPr>
          <w:rFonts w:ascii="Arial" w:hAnsi="Arial" w:cs="Arial"/>
          <w:sz w:val="20"/>
        </w:rPr>
        <w:t>ML.A.302(d)</w:t>
      </w:r>
      <w:r w:rsidRPr="00D77840">
        <w:rPr>
          <w:rFonts w:ascii="Arial" w:hAnsi="Arial" w:cs="Arial"/>
          <w:color w:val="0000FF"/>
          <w:sz w:val="20"/>
        </w:rPr>
        <w:t xml:space="preserve"> </w:t>
      </w:r>
      <w:r w:rsidRPr="00D77840">
        <w:rPr>
          <w:rFonts w:ascii="Arial" w:hAnsi="Arial" w:cs="Arial"/>
          <w:sz w:val="20"/>
        </w:rPr>
        <w:t>MIP</w:t>
      </w:r>
      <w:r w:rsidRPr="00D77840">
        <w:rPr>
          <w:rFonts w:ascii="Arial" w:hAnsi="Arial" w:cs="Arial"/>
          <w:spacing w:val="-1"/>
          <w:sz w:val="20"/>
        </w:rPr>
        <w:t xml:space="preserve"> </w:t>
      </w:r>
      <w:r w:rsidRPr="00D77840">
        <w:rPr>
          <w:rFonts w:ascii="Arial" w:hAnsi="Arial" w:cs="Arial"/>
          <w:sz w:val="20"/>
        </w:rPr>
        <w:t>or</w:t>
      </w:r>
      <w:r w:rsidRPr="00D77840">
        <w:rPr>
          <w:rFonts w:ascii="Arial" w:hAnsi="Arial" w:cs="Arial"/>
          <w:spacing w:val="-2"/>
          <w:sz w:val="20"/>
        </w:rPr>
        <w:t xml:space="preserve"> </w:t>
      </w:r>
      <w:r w:rsidRPr="00D77840">
        <w:rPr>
          <w:rFonts w:ascii="Arial" w:hAnsi="Arial" w:cs="Arial"/>
          <w:sz w:val="20"/>
        </w:rPr>
        <w:t>the</w:t>
      </w:r>
      <w:r w:rsidRPr="00D77840">
        <w:rPr>
          <w:rFonts w:ascii="Arial" w:hAnsi="Arial" w:cs="Arial"/>
          <w:spacing w:val="-2"/>
          <w:sz w:val="20"/>
        </w:rPr>
        <w:t xml:space="preserve"> </w:t>
      </w:r>
      <w:r w:rsidRPr="00D77840">
        <w:rPr>
          <w:rFonts w:ascii="Arial" w:hAnsi="Arial" w:cs="Arial"/>
          <w:sz w:val="20"/>
        </w:rPr>
        <w:t>DAH’s data;</w:t>
      </w:r>
    </w:p>
    <w:p w14:paraId="2D43FD95" w14:textId="77777777" w:rsidR="00D77840" w:rsidRPr="00D77840" w:rsidRDefault="00D77840" w:rsidP="00D77840">
      <w:pPr>
        <w:numPr>
          <w:ilvl w:val="1"/>
          <w:numId w:val="293"/>
        </w:numPr>
        <w:tabs>
          <w:tab w:val="left" w:pos="1274"/>
        </w:tabs>
        <w:spacing w:before="122"/>
        <w:ind w:hanging="568"/>
        <w:jc w:val="both"/>
        <w:rPr>
          <w:rFonts w:ascii="Arial" w:hAnsi="Arial" w:cs="Arial"/>
          <w:sz w:val="20"/>
        </w:rPr>
      </w:pPr>
      <w:r w:rsidRPr="00D77840">
        <w:rPr>
          <w:rFonts w:ascii="Arial" w:hAnsi="Arial" w:cs="Arial"/>
          <w:sz w:val="20"/>
        </w:rPr>
        <w:t>changes in</w:t>
      </w:r>
      <w:r w:rsidRPr="00D77840">
        <w:rPr>
          <w:rFonts w:ascii="Arial" w:hAnsi="Arial" w:cs="Arial"/>
          <w:spacing w:val="-1"/>
          <w:sz w:val="20"/>
        </w:rPr>
        <w:t xml:space="preserve"> </w:t>
      </w:r>
      <w:r w:rsidRPr="00D77840">
        <w:rPr>
          <w:rFonts w:ascii="Arial" w:hAnsi="Arial" w:cs="Arial"/>
          <w:sz w:val="20"/>
        </w:rPr>
        <w:t>the</w:t>
      </w:r>
      <w:r w:rsidRPr="00D77840">
        <w:rPr>
          <w:rFonts w:ascii="Arial" w:hAnsi="Arial" w:cs="Arial"/>
          <w:spacing w:val="-3"/>
          <w:sz w:val="20"/>
        </w:rPr>
        <w:t xml:space="preserve"> </w:t>
      </w:r>
      <w:r w:rsidRPr="00D77840">
        <w:rPr>
          <w:rFonts w:ascii="Arial" w:hAnsi="Arial" w:cs="Arial"/>
          <w:sz w:val="20"/>
        </w:rPr>
        <w:t>aircraft</w:t>
      </w:r>
      <w:r w:rsidRPr="00D77840">
        <w:rPr>
          <w:rFonts w:ascii="Arial" w:hAnsi="Arial" w:cs="Arial"/>
          <w:spacing w:val="-2"/>
          <w:sz w:val="20"/>
        </w:rPr>
        <w:t xml:space="preserve"> </w:t>
      </w:r>
      <w:r w:rsidRPr="00D77840">
        <w:rPr>
          <w:rFonts w:ascii="Arial" w:hAnsi="Arial" w:cs="Arial"/>
          <w:sz w:val="20"/>
        </w:rPr>
        <w:t>configuration, and</w:t>
      </w:r>
      <w:r w:rsidRPr="00D77840">
        <w:rPr>
          <w:rFonts w:ascii="Arial" w:hAnsi="Arial" w:cs="Arial"/>
          <w:spacing w:val="-2"/>
          <w:sz w:val="20"/>
        </w:rPr>
        <w:t xml:space="preserve"> </w:t>
      </w:r>
      <w:r w:rsidRPr="00D77840">
        <w:rPr>
          <w:rFonts w:ascii="Arial" w:hAnsi="Arial" w:cs="Arial"/>
          <w:sz w:val="20"/>
        </w:rPr>
        <w:t>type</w:t>
      </w:r>
      <w:r w:rsidRPr="00D77840">
        <w:rPr>
          <w:rFonts w:ascii="Arial" w:hAnsi="Arial" w:cs="Arial"/>
          <w:spacing w:val="1"/>
          <w:sz w:val="20"/>
        </w:rPr>
        <w:t xml:space="preserve"> </w:t>
      </w:r>
      <w:r w:rsidRPr="00D77840">
        <w:rPr>
          <w:rFonts w:ascii="Arial" w:hAnsi="Arial" w:cs="Arial"/>
          <w:sz w:val="20"/>
        </w:rPr>
        <w:t>and</w:t>
      </w:r>
      <w:r w:rsidRPr="00D77840">
        <w:rPr>
          <w:rFonts w:ascii="Arial" w:hAnsi="Arial" w:cs="Arial"/>
          <w:spacing w:val="-2"/>
          <w:sz w:val="20"/>
        </w:rPr>
        <w:t xml:space="preserve"> </w:t>
      </w:r>
      <w:r w:rsidRPr="00D77840">
        <w:rPr>
          <w:rFonts w:ascii="Arial" w:hAnsi="Arial" w:cs="Arial"/>
          <w:sz w:val="20"/>
        </w:rPr>
        <w:t>specificity</w:t>
      </w:r>
      <w:r w:rsidRPr="00D77840">
        <w:rPr>
          <w:rFonts w:ascii="Arial" w:hAnsi="Arial" w:cs="Arial"/>
          <w:spacing w:val="-1"/>
          <w:sz w:val="20"/>
        </w:rPr>
        <w:t xml:space="preserve"> </w:t>
      </w:r>
      <w:r w:rsidRPr="00D77840">
        <w:rPr>
          <w:rFonts w:ascii="Arial" w:hAnsi="Arial" w:cs="Arial"/>
          <w:sz w:val="20"/>
        </w:rPr>
        <w:t>of</w:t>
      </w:r>
      <w:r w:rsidRPr="00D77840">
        <w:rPr>
          <w:rFonts w:ascii="Arial" w:hAnsi="Arial" w:cs="Arial"/>
          <w:spacing w:val="-2"/>
          <w:sz w:val="20"/>
        </w:rPr>
        <w:t xml:space="preserve"> </w:t>
      </w:r>
      <w:r w:rsidRPr="00D77840">
        <w:rPr>
          <w:rFonts w:ascii="Arial" w:hAnsi="Arial" w:cs="Arial"/>
          <w:sz w:val="20"/>
        </w:rPr>
        <w:t>operation;</w:t>
      </w:r>
    </w:p>
    <w:p w14:paraId="2464091C" w14:textId="77777777" w:rsidR="00D77840" w:rsidRPr="00D77840" w:rsidRDefault="00D77840" w:rsidP="00D77840">
      <w:pPr>
        <w:numPr>
          <w:ilvl w:val="1"/>
          <w:numId w:val="293"/>
        </w:numPr>
        <w:tabs>
          <w:tab w:val="left" w:pos="1274"/>
        </w:tabs>
        <w:spacing w:before="121"/>
        <w:ind w:hanging="568"/>
        <w:jc w:val="both"/>
        <w:rPr>
          <w:rFonts w:ascii="Arial" w:hAnsi="Arial" w:cs="Arial"/>
          <w:sz w:val="20"/>
        </w:rPr>
      </w:pPr>
      <w:r w:rsidRPr="00D77840">
        <w:rPr>
          <w:rFonts w:ascii="Arial" w:hAnsi="Arial" w:cs="Arial"/>
          <w:sz w:val="20"/>
        </w:rPr>
        <w:t>changes in</w:t>
      </w:r>
      <w:r w:rsidRPr="00D77840">
        <w:rPr>
          <w:rFonts w:ascii="Arial" w:hAnsi="Arial" w:cs="Arial"/>
          <w:spacing w:val="-1"/>
          <w:sz w:val="20"/>
        </w:rPr>
        <w:t xml:space="preserve"> </w:t>
      </w:r>
      <w:r w:rsidRPr="00D77840">
        <w:rPr>
          <w:rFonts w:ascii="Arial" w:hAnsi="Arial" w:cs="Arial"/>
          <w:sz w:val="20"/>
        </w:rPr>
        <w:t>the</w:t>
      </w:r>
      <w:r w:rsidRPr="00D77840">
        <w:rPr>
          <w:rFonts w:ascii="Arial" w:hAnsi="Arial" w:cs="Arial"/>
          <w:spacing w:val="-2"/>
          <w:sz w:val="20"/>
        </w:rPr>
        <w:t xml:space="preserve"> </w:t>
      </w:r>
      <w:r w:rsidRPr="00D77840">
        <w:rPr>
          <w:rFonts w:ascii="Arial" w:hAnsi="Arial" w:cs="Arial"/>
          <w:sz w:val="20"/>
        </w:rPr>
        <w:t>list</w:t>
      </w:r>
      <w:r w:rsidRPr="00D77840">
        <w:rPr>
          <w:rFonts w:ascii="Arial" w:hAnsi="Arial" w:cs="Arial"/>
          <w:spacing w:val="-2"/>
          <w:sz w:val="20"/>
        </w:rPr>
        <w:t xml:space="preserve"> </w:t>
      </w:r>
      <w:r w:rsidRPr="00D77840">
        <w:rPr>
          <w:rFonts w:ascii="Arial" w:hAnsi="Arial" w:cs="Arial"/>
          <w:sz w:val="20"/>
        </w:rPr>
        <w:t>of pilot-owners;</w:t>
      </w:r>
      <w:r w:rsidRPr="00D77840">
        <w:rPr>
          <w:rFonts w:ascii="Arial" w:hAnsi="Arial" w:cs="Arial"/>
          <w:spacing w:val="-1"/>
          <w:sz w:val="20"/>
        </w:rPr>
        <w:t xml:space="preserve"> </w:t>
      </w:r>
      <w:r w:rsidRPr="00D77840">
        <w:rPr>
          <w:rFonts w:ascii="Arial" w:hAnsi="Arial" w:cs="Arial"/>
          <w:sz w:val="20"/>
        </w:rPr>
        <w:t>and</w:t>
      </w:r>
    </w:p>
    <w:p w14:paraId="2CBE31B1" w14:textId="5A78DC75" w:rsidR="00D77840" w:rsidRPr="00D77840" w:rsidRDefault="00D77840" w:rsidP="00D77840">
      <w:pPr>
        <w:numPr>
          <w:ilvl w:val="1"/>
          <w:numId w:val="293"/>
        </w:numPr>
        <w:tabs>
          <w:tab w:val="left" w:pos="1274"/>
        </w:tabs>
        <w:spacing w:before="120"/>
        <w:ind w:right="196"/>
        <w:jc w:val="both"/>
        <w:rPr>
          <w:rFonts w:ascii="Arial" w:hAnsi="Arial" w:cs="Arial"/>
          <w:sz w:val="20"/>
        </w:rPr>
      </w:pPr>
      <w:r w:rsidRPr="00D77840">
        <w:rPr>
          <w:rFonts w:ascii="Arial" w:hAnsi="Arial" w:cs="Arial"/>
          <w:sz w:val="20"/>
        </w:rPr>
        <w:t xml:space="preserve">applicable mandatory requirements for compliance with </w:t>
      </w:r>
      <w:r w:rsidR="0070620E">
        <w:rPr>
          <w:rFonts w:ascii="Arial" w:hAnsi="Arial" w:cs="Arial"/>
          <w:sz w:val="20"/>
        </w:rPr>
        <w:t>initial ariworthiness requirements</w:t>
      </w:r>
      <w:r w:rsidRPr="00D77840">
        <w:rPr>
          <w:rFonts w:ascii="Arial" w:hAnsi="Arial" w:cs="Arial"/>
          <w:sz w:val="20"/>
        </w:rPr>
        <w:t>, such as airworthiness</w:t>
      </w:r>
      <w:r w:rsidRPr="00D77840">
        <w:rPr>
          <w:rFonts w:ascii="Arial" w:hAnsi="Arial" w:cs="Arial"/>
          <w:spacing w:val="1"/>
          <w:sz w:val="20"/>
        </w:rPr>
        <w:t xml:space="preserve"> </w:t>
      </w:r>
      <w:r w:rsidRPr="00D77840">
        <w:rPr>
          <w:rFonts w:ascii="Arial" w:hAnsi="Arial" w:cs="Arial"/>
          <w:sz w:val="20"/>
        </w:rPr>
        <w:t>directives (ADs), airworthiness limitations, certification maintenance requirements and</w:t>
      </w:r>
      <w:r w:rsidRPr="00D77840">
        <w:rPr>
          <w:rFonts w:ascii="Arial" w:hAnsi="Arial" w:cs="Arial"/>
          <w:spacing w:val="1"/>
          <w:sz w:val="20"/>
        </w:rPr>
        <w:t xml:space="preserve"> </w:t>
      </w:r>
      <w:r w:rsidRPr="00D77840">
        <w:rPr>
          <w:rFonts w:ascii="Arial" w:hAnsi="Arial" w:cs="Arial"/>
          <w:sz w:val="20"/>
        </w:rPr>
        <w:t>specific</w:t>
      </w:r>
      <w:r w:rsidRPr="00D77840">
        <w:rPr>
          <w:rFonts w:ascii="Arial" w:hAnsi="Arial" w:cs="Arial"/>
          <w:spacing w:val="-4"/>
          <w:sz w:val="20"/>
        </w:rPr>
        <w:t xml:space="preserve"> </w:t>
      </w:r>
      <w:r w:rsidRPr="00D77840">
        <w:rPr>
          <w:rFonts w:ascii="Arial" w:hAnsi="Arial" w:cs="Arial"/>
          <w:sz w:val="20"/>
        </w:rPr>
        <w:t>maintenance</w:t>
      </w:r>
      <w:r w:rsidRPr="00D77840">
        <w:rPr>
          <w:rFonts w:ascii="Arial" w:hAnsi="Arial" w:cs="Arial"/>
          <w:spacing w:val="-1"/>
          <w:sz w:val="20"/>
        </w:rPr>
        <w:t xml:space="preserve"> </w:t>
      </w:r>
      <w:r w:rsidRPr="00D77840">
        <w:rPr>
          <w:rFonts w:ascii="Arial" w:hAnsi="Arial" w:cs="Arial"/>
          <w:sz w:val="20"/>
        </w:rPr>
        <w:t>requirements</w:t>
      </w:r>
      <w:r w:rsidRPr="00D77840">
        <w:rPr>
          <w:rFonts w:ascii="Arial" w:hAnsi="Arial" w:cs="Arial"/>
          <w:spacing w:val="-1"/>
          <w:sz w:val="20"/>
        </w:rPr>
        <w:t xml:space="preserve"> </w:t>
      </w:r>
      <w:r w:rsidRPr="00D77840">
        <w:rPr>
          <w:rFonts w:ascii="Arial" w:hAnsi="Arial" w:cs="Arial"/>
          <w:sz w:val="20"/>
        </w:rPr>
        <w:t>contained</w:t>
      </w:r>
      <w:r w:rsidRPr="00D77840">
        <w:rPr>
          <w:rFonts w:ascii="Arial" w:hAnsi="Arial" w:cs="Arial"/>
          <w:spacing w:val="-5"/>
          <w:sz w:val="20"/>
        </w:rPr>
        <w:t xml:space="preserve"> </w:t>
      </w:r>
      <w:r w:rsidRPr="00D77840">
        <w:rPr>
          <w:rFonts w:ascii="Arial" w:hAnsi="Arial" w:cs="Arial"/>
          <w:sz w:val="20"/>
        </w:rPr>
        <w:t>in</w:t>
      </w:r>
      <w:r w:rsidRPr="00D77840">
        <w:rPr>
          <w:rFonts w:ascii="Arial" w:hAnsi="Arial" w:cs="Arial"/>
          <w:spacing w:val="-1"/>
          <w:sz w:val="20"/>
        </w:rPr>
        <w:t xml:space="preserve"> </w:t>
      </w:r>
      <w:r w:rsidRPr="00D77840">
        <w:rPr>
          <w:rFonts w:ascii="Arial" w:hAnsi="Arial" w:cs="Arial"/>
          <w:sz w:val="20"/>
        </w:rPr>
        <w:t>the</w:t>
      </w:r>
      <w:r w:rsidRPr="00D77840">
        <w:rPr>
          <w:rFonts w:ascii="Arial" w:hAnsi="Arial" w:cs="Arial"/>
          <w:spacing w:val="-4"/>
          <w:sz w:val="20"/>
        </w:rPr>
        <w:t xml:space="preserve"> </w:t>
      </w:r>
      <w:r w:rsidRPr="00D77840">
        <w:rPr>
          <w:rFonts w:ascii="Arial" w:hAnsi="Arial" w:cs="Arial"/>
          <w:sz w:val="20"/>
        </w:rPr>
        <w:t>type</w:t>
      </w:r>
      <w:r w:rsidRPr="00D77840">
        <w:rPr>
          <w:rFonts w:ascii="Arial" w:hAnsi="Arial" w:cs="Arial"/>
          <w:spacing w:val="-1"/>
          <w:sz w:val="20"/>
        </w:rPr>
        <w:t xml:space="preserve"> </w:t>
      </w:r>
      <w:r w:rsidRPr="00D77840">
        <w:rPr>
          <w:rFonts w:ascii="Arial" w:hAnsi="Arial" w:cs="Arial"/>
          <w:sz w:val="20"/>
        </w:rPr>
        <w:t>certificate</w:t>
      </w:r>
      <w:r w:rsidRPr="00D77840">
        <w:rPr>
          <w:rFonts w:ascii="Arial" w:hAnsi="Arial" w:cs="Arial"/>
          <w:spacing w:val="-1"/>
          <w:sz w:val="20"/>
        </w:rPr>
        <w:t xml:space="preserve"> </w:t>
      </w:r>
      <w:r w:rsidRPr="00D77840">
        <w:rPr>
          <w:rFonts w:ascii="Arial" w:hAnsi="Arial" w:cs="Arial"/>
          <w:sz w:val="20"/>
        </w:rPr>
        <w:t>data</w:t>
      </w:r>
      <w:r w:rsidRPr="00D77840">
        <w:rPr>
          <w:rFonts w:ascii="Arial" w:hAnsi="Arial" w:cs="Arial"/>
          <w:spacing w:val="-5"/>
          <w:sz w:val="20"/>
        </w:rPr>
        <w:t xml:space="preserve"> </w:t>
      </w:r>
      <w:r w:rsidRPr="00D77840">
        <w:rPr>
          <w:rFonts w:ascii="Arial" w:hAnsi="Arial" w:cs="Arial"/>
          <w:sz w:val="20"/>
        </w:rPr>
        <w:t>sheet</w:t>
      </w:r>
      <w:r w:rsidRPr="00D77840">
        <w:rPr>
          <w:rFonts w:ascii="Arial" w:hAnsi="Arial" w:cs="Arial"/>
          <w:spacing w:val="-1"/>
          <w:sz w:val="20"/>
        </w:rPr>
        <w:t xml:space="preserve"> </w:t>
      </w:r>
      <w:r w:rsidRPr="00D77840">
        <w:rPr>
          <w:rFonts w:ascii="Arial" w:hAnsi="Arial" w:cs="Arial"/>
          <w:sz w:val="20"/>
        </w:rPr>
        <w:t>(TCDS).</w:t>
      </w:r>
    </w:p>
    <w:p w14:paraId="178527D3" w14:textId="77777777" w:rsidR="00D77840" w:rsidRPr="00D77840" w:rsidRDefault="00D77840" w:rsidP="00D77840">
      <w:pPr>
        <w:pStyle w:val="ListParagraph"/>
        <w:numPr>
          <w:ilvl w:val="0"/>
          <w:numId w:val="293"/>
        </w:numPr>
        <w:tabs>
          <w:tab w:val="left" w:pos="707"/>
        </w:tabs>
        <w:spacing w:before="57"/>
        <w:ind w:right="195"/>
        <w:jc w:val="both"/>
        <w:rPr>
          <w:rFonts w:ascii="Arial" w:hAnsi="Arial" w:cs="Arial"/>
          <w:sz w:val="20"/>
        </w:rPr>
      </w:pPr>
      <w:r w:rsidRPr="00D77840">
        <w:rPr>
          <w:rFonts w:ascii="Arial" w:hAnsi="Arial" w:cs="Arial"/>
          <w:spacing w:val="-1"/>
          <w:sz w:val="20"/>
        </w:rPr>
        <w:t>When</w:t>
      </w:r>
      <w:r w:rsidRPr="00D77840">
        <w:rPr>
          <w:rFonts w:ascii="Arial" w:hAnsi="Arial" w:cs="Arial"/>
          <w:spacing w:val="-10"/>
          <w:sz w:val="20"/>
        </w:rPr>
        <w:t xml:space="preserve"> </w:t>
      </w:r>
      <w:r w:rsidRPr="00D77840">
        <w:rPr>
          <w:rFonts w:ascii="Arial" w:hAnsi="Arial" w:cs="Arial"/>
          <w:spacing w:val="-1"/>
          <w:sz w:val="20"/>
        </w:rPr>
        <w:t>reviewing</w:t>
      </w:r>
      <w:r w:rsidRPr="00D77840">
        <w:rPr>
          <w:rFonts w:ascii="Arial" w:hAnsi="Arial" w:cs="Arial"/>
          <w:spacing w:val="-10"/>
          <w:sz w:val="20"/>
        </w:rPr>
        <w:t xml:space="preserve"> </w:t>
      </w:r>
      <w:r w:rsidRPr="00D77840">
        <w:rPr>
          <w:rFonts w:ascii="Arial" w:hAnsi="Arial" w:cs="Arial"/>
          <w:spacing w:val="-1"/>
          <w:sz w:val="20"/>
        </w:rPr>
        <w:t>the</w:t>
      </w:r>
      <w:r w:rsidRPr="00D77840">
        <w:rPr>
          <w:rFonts w:ascii="Arial" w:hAnsi="Arial" w:cs="Arial"/>
          <w:spacing w:val="-10"/>
          <w:sz w:val="20"/>
        </w:rPr>
        <w:t xml:space="preserve"> </w:t>
      </w:r>
      <w:r w:rsidRPr="00D77840">
        <w:rPr>
          <w:rFonts w:ascii="Arial" w:hAnsi="Arial" w:cs="Arial"/>
          <w:spacing w:val="-1"/>
          <w:sz w:val="20"/>
        </w:rPr>
        <w:t>effectiveness</w:t>
      </w:r>
      <w:r w:rsidRPr="00D77840">
        <w:rPr>
          <w:rFonts w:ascii="Arial" w:hAnsi="Arial" w:cs="Arial"/>
          <w:spacing w:val="-14"/>
          <w:sz w:val="20"/>
        </w:rPr>
        <w:t xml:space="preserve"> </w:t>
      </w:r>
      <w:r w:rsidRPr="00D77840">
        <w:rPr>
          <w:rFonts w:ascii="Arial" w:hAnsi="Arial" w:cs="Arial"/>
          <w:sz w:val="20"/>
        </w:rPr>
        <w:t>of</w:t>
      </w:r>
      <w:r w:rsidRPr="00D77840">
        <w:rPr>
          <w:rFonts w:ascii="Arial" w:hAnsi="Arial" w:cs="Arial"/>
          <w:spacing w:val="-9"/>
          <w:sz w:val="20"/>
        </w:rPr>
        <w:t xml:space="preserve"> </w:t>
      </w:r>
      <w:r w:rsidRPr="00D77840">
        <w:rPr>
          <w:rFonts w:ascii="Arial" w:hAnsi="Arial" w:cs="Arial"/>
          <w:sz w:val="20"/>
        </w:rPr>
        <w:t>the</w:t>
      </w:r>
      <w:r w:rsidRPr="00D77840">
        <w:rPr>
          <w:rFonts w:ascii="Arial" w:hAnsi="Arial" w:cs="Arial"/>
          <w:spacing w:val="-8"/>
          <w:sz w:val="20"/>
        </w:rPr>
        <w:t xml:space="preserve"> </w:t>
      </w:r>
      <w:r w:rsidRPr="00D77840">
        <w:rPr>
          <w:rFonts w:ascii="Arial" w:hAnsi="Arial" w:cs="Arial"/>
          <w:sz w:val="20"/>
        </w:rPr>
        <w:t>AMP,</w:t>
      </w:r>
      <w:r w:rsidRPr="00D77840">
        <w:rPr>
          <w:rFonts w:ascii="Arial" w:hAnsi="Arial" w:cs="Arial"/>
          <w:spacing w:val="-11"/>
          <w:sz w:val="20"/>
        </w:rPr>
        <w:t xml:space="preserve"> </w:t>
      </w:r>
      <w:r w:rsidRPr="00D77840">
        <w:rPr>
          <w:rFonts w:ascii="Arial" w:hAnsi="Arial" w:cs="Arial"/>
          <w:sz w:val="20"/>
        </w:rPr>
        <w:t>the</w:t>
      </w:r>
      <w:r w:rsidRPr="00D77840">
        <w:rPr>
          <w:rFonts w:ascii="Arial" w:hAnsi="Arial" w:cs="Arial"/>
          <w:spacing w:val="-12"/>
          <w:sz w:val="20"/>
        </w:rPr>
        <w:t xml:space="preserve"> </w:t>
      </w:r>
      <w:r w:rsidRPr="00D77840">
        <w:rPr>
          <w:rFonts w:ascii="Arial" w:hAnsi="Arial" w:cs="Arial"/>
          <w:sz w:val="20"/>
        </w:rPr>
        <w:t>AR</w:t>
      </w:r>
      <w:r w:rsidRPr="00D77840">
        <w:rPr>
          <w:rFonts w:ascii="Arial" w:hAnsi="Arial" w:cs="Arial"/>
          <w:spacing w:val="-11"/>
          <w:sz w:val="20"/>
        </w:rPr>
        <w:t xml:space="preserve"> </w:t>
      </w:r>
      <w:r w:rsidRPr="00D77840">
        <w:rPr>
          <w:rFonts w:ascii="Arial" w:hAnsi="Arial" w:cs="Arial"/>
          <w:sz w:val="20"/>
        </w:rPr>
        <w:t>staff</w:t>
      </w:r>
      <w:r w:rsidRPr="00D77840">
        <w:rPr>
          <w:rFonts w:ascii="Arial" w:hAnsi="Arial" w:cs="Arial"/>
          <w:spacing w:val="-8"/>
          <w:sz w:val="20"/>
        </w:rPr>
        <w:t xml:space="preserve"> </w:t>
      </w:r>
      <w:r w:rsidRPr="00D77840">
        <w:rPr>
          <w:rFonts w:ascii="Arial" w:hAnsi="Arial" w:cs="Arial"/>
          <w:sz w:val="20"/>
        </w:rPr>
        <w:t>(or</w:t>
      </w:r>
      <w:r w:rsidRPr="00D77840">
        <w:rPr>
          <w:rFonts w:ascii="Arial" w:hAnsi="Arial" w:cs="Arial"/>
          <w:spacing w:val="-11"/>
          <w:sz w:val="20"/>
        </w:rPr>
        <w:t xml:space="preserve"> </w:t>
      </w:r>
      <w:r w:rsidRPr="00D77840">
        <w:rPr>
          <w:rFonts w:ascii="Arial" w:hAnsi="Arial" w:cs="Arial"/>
          <w:sz w:val="20"/>
        </w:rPr>
        <w:t>the</w:t>
      </w:r>
      <w:r w:rsidRPr="00D77840">
        <w:rPr>
          <w:rFonts w:ascii="Arial" w:hAnsi="Arial" w:cs="Arial"/>
          <w:spacing w:val="-9"/>
          <w:sz w:val="20"/>
        </w:rPr>
        <w:t xml:space="preserve"> </w:t>
      </w:r>
      <w:r w:rsidRPr="00D77840">
        <w:rPr>
          <w:rFonts w:ascii="Arial" w:hAnsi="Arial" w:cs="Arial"/>
          <w:sz w:val="20"/>
        </w:rPr>
        <w:t>CAMO/CAO</w:t>
      </w:r>
      <w:r w:rsidRPr="00D77840">
        <w:rPr>
          <w:rFonts w:ascii="Arial" w:hAnsi="Arial" w:cs="Arial"/>
          <w:spacing w:val="-11"/>
          <w:sz w:val="20"/>
        </w:rPr>
        <w:t xml:space="preserve"> </w:t>
      </w:r>
      <w:r w:rsidRPr="00D77840">
        <w:rPr>
          <w:rFonts w:ascii="Arial" w:hAnsi="Arial" w:cs="Arial"/>
          <w:sz w:val="20"/>
        </w:rPr>
        <w:t>staff</w:t>
      </w:r>
      <w:r w:rsidRPr="00D77840">
        <w:rPr>
          <w:rFonts w:ascii="Arial" w:hAnsi="Arial" w:cs="Arial"/>
          <w:spacing w:val="-9"/>
          <w:sz w:val="20"/>
        </w:rPr>
        <w:t xml:space="preserve"> </w:t>
      </w:r>
      <w:r w:rsidRPr="00D77840">
        <w:rPr>
          <w:rFonts w:ascii="Arial" w:hAnsi="Arial" w:cs="Arial"/>
          <w:sz w:val="20"/>
        </w:rPr>
        <w:t>if</w:t>
      </w:r>
      <w:r w:rsidRPr="00D77840">
        <w:rPr>
          <w:rFonts w:ascii="Arial" w:hAnsi="Arial" w:cs="Arial"/>
          <w:spacing w:val="-9"/>
          <w:sz w:val="20"/>
        </w:rPr>
        <w:t xml:space="preserve"> </w:t>
      </w:r>
      <w:r w:rsidRPr="00D77840">
        <w:rPr>
          <w:rFonts w:ascii="Arial" w:hAnsi="Arial" w:cs="Arial"/>
          <w:sz w:val="20"/>
        </w:rPr>
        <w:t>the</w:t>
      </w:r>
      <w:r w:rsidRPr="00D77840">
        <w:rPr>
          <w:rFonts w:ascii="Arial" w:hAnsi="Arial" w:cs="Arial"/>
          <w:spacing w:val="-12"/>
          <w:sz w:val="20"/>
        </w:rPr>
        <w:t xml:space="preserve"> </w:t>
      </w:r>
      <w:r w:rsidRPr="00D77840">
        <w:rPr>
          <w:rFonts w:ascii="Arial" w:hAnsi="Arial" w:cs="Arial"/>
          <w:sz w:val="20"/>
        </w:rPr>
        <w:t>review</w:t>
      </w:r>
      <w:r w:rsidRPr="00D77840">
        <w:rPr>
          <w:rFonts w:ascii="Arial" w:hAnsi="Arial" w:cs="Arial"/>
          <w:spacing w:val="-47"/>
          <w:sz w:val="20"/>
        </w:rPr>
        <w:t xml:space="preserve"> </w:t>
      </w:r>
      <w:r w:rsidRPr="00D77840">
        <w:rPr>
          <w:rFonts w:ascii="Arial" w:hAnsi="Arial" w:cs="Arial"/>
          <w:sz w:val="20"/>
        </w:rPr>
        <w:t>of the AMP is not performed in conjunction with an AR) may need to review the maintenance</w:t>
      </w:r>
      <w:r w:rsidRPr="00D77840">
        <w:rPr>
          <w:rFonts w:ascii="Arial" w:hAnsi="Arial" w:cs="Arial"/>
          <w:spacing w:val="1"/>
          <w:sz w:val="20"/>
        </w:rPr>
        <w:t xml:space="preserve"> </w:t>
      </w:r>
      <w:r w:rsidRPr="00D77840">
        <w:rPr>
          <w:rFonts w:ascii="Arial" w:hAnsi="Arial" w:cs="Arial"/>
          <w:sz w:val="20"/>
        </w:rPr>
        <w:t>carried out during the last 12 months, including unscheduled maintenance. To this end, he or</w:t>
      </w:r>
      <w:r w:rsidRPr="00D77840">
        <w:rPr>
          <w:rFonts w:ascii="Arial" w:hAnsi="Arial" w:cs="Arial"/>
          <w:spacing w:val="1"/>
          <w:sz w:val="20"/>
        </w:rPr>
        <w:t xml:space="preserve"> </w:t>
      </w:r>
      <w:r w:rsidRPr="00D77840">
        <w:rPr>
          <w:rFonts w:ascii="Arial" w:hAnsi="Arial" w:cs="Arial"/>
          <w:sz w:val="20"/>
        </w:rPr>
        <w:t>she should receive the records of all the maintenance performed during that year from the</w:t>
      </w:r>
      <w:r w:rsidRPr="00D77840">
        <w:rPr>
          <w:rFonts w:ascii="Arial" w:hAnsi="Arial" w:cs="Arial"/>
          <w:spacing w:val="1"/>
          <w:sz w:val="20"/>
        </w:rPr>
        <w:t xml:space="preserve"> </w:t>
      </w:r>
      <w:r w:rsidRPr="00D77840">
        <w:rPr>
          <w:rFonts w:ascii="Arial" w:hAnsi="Arial" w:cs="Arial"/>
          <w:sz w:val="20"/>
        </w:rPr>
        <w:t>owner/CAMO/CAO.</w:t>
      </w:r>
    </w:p>
    <w:p w14:paraId="6A5578EE" w14:textId="77777777" w:rsidR="00D77840" w:rsidRPr="00D77840" w:rsidRDefault="00D77840" w:rsidP="00D77840">
      <w:pPr>
        <w:pStyle w:val="ListParagraph"/>
        <w:numPr>
          <w:ilvl w:val="0"/>
          <w:numId w:val="293"/>
        </w:numPr>
        <w:tabs>
          <w:tab w:val="left" w:pos="707"/>
        </w:tabs>
        <w:spacing w:before="119"/>
        <w:ind w:right="195"/>
        <w:jc w:val="both"/>
        <w:rPr>
          <w:rFonts w:ascii="Arial" w:hAnsi="Arial" w:cs="Arial"/>
          <w:sz w:val="20"/>
        </w:rPr>
      </w:pPr>
      <w:r w:rsidRPr="00D77840">
        <w:rPr>
          <w:rFonts w:ascii="Arial" w:hAnsi="Arial" w:cs="Arial"/>
          <w:sz w:val="20"/>
        </w:rPr>
        <w:t>When reviewing the results of the maintenance performed during that year and the results of</w:t>
      </w:r>
      <w:r w:rsidRPr="00D77840">
        <w:rPr>
          <w:rFonts w:ascii="Arial" w:hAnsi="Arial" w:cs="Arial"/>
          <w:spacing w:val="1"/>
          <w:sz w:val="20"/>
        </w:rPr>
        <w:t xml:space="preserve"> </w:t>
      </w:r>
      <w:r w:rsidRPr="00D77840">
        <w:rPr>
          <w:rFonts w:ascii="Arial" w:hAnsi="Arial" w:cs="Arial"/>
          <w:sz w:val="20"/>
        </w:rPr>
        <w:t>the AR, attention should be paid as to whether the defects found could have been prevented</w:t>
      </w:r>
      <w:r w:rsidRPr="00D77840">
        <w:rPr>
          <w:rFonts w:ascii="Arial" w:hAnsi="Arial" w:cs="Arial"/>
          <w:spacing w:val="1"/>
          <w:sz w:val="20"/>
        </w:rPr>
        <w:t xml:space="preserve"> </w:t>
      </w:r>
      <w:r w:rsidRPr="00D77840">
        <w:rPr>
          <w:rFonts w:ascii="Arial" w:hAnsi="Arial" w:cs="Arial"/>
          <w:sz w:val="20"/>
        </w:rPr>
        <w:t>by introducing in the maintenance programme certain DAH’s recommendations, which were</w:t>
      </w:r>
      <w:r w:rsidRPr="00D77840">
        <w:rPr>
          <w:rFonts w:ascii="Arial" w:hAnsi="Arial" w:cs="Arial"/>
          <w:spacing w:val="1"/>
          <w:sz w:val="20"/>
        </w:rPr>
        <w:t xml:space="preserve"> </w:t>
      </w:r>
      <w:r w:rsidRPr="00D77840">
        <w:rPr>
          <w:rFonts w:ascii="Arial" w:hAnsi="Arial" w:cs="Arial"/>
          <w:sz w:val="20"/>
        </w:rPr>
        <w:t>initially disregarded by the</w:t>
      </w:r>
      <w:r w:rsidRPr="00D77840">
        <w:rPr>
          <w:rFonts w:ascii="Arial" w:hAnsi="Arial" w:cs="Arial"/>
          <w:spacing w:val="-2"/>
          <w:sz w:val="20"/>
        </w:rPr>
        <w:t xml:space="preserve"> </w:t>
      </w:r>
      <w:r w:rsidRPr="00D77840">
        <w:rPr>
          <w:rFonts w:ascii="Arial" w:hAnsi="Arial" w:cs="Arial"/>
          <w:sz w:val="20"/>
        </w:rPr>
        <w:t>owner, CAMO</w:t>
      </w:r>
      <w:r w:rsidRPr="00D77840">
        <w:rPr>
          <w:rFonts w:ascii="Arial" w:hAnsi="Arial" w:cs="Arial"/>
          <w:spacing w:val="-2"/>
          <w:sz w:val="20"/>
        </w:rPr>
        <w:t xml:space="preserve"> </w:t>
      </w:r>
      <w:r w:rsidRPr="00D77840">
        <w:rPr>
          <w:rFonts w:ascii="Arial" w:hAnsi="Arial" w:cs="Arial"/>
          <w:sz w:val="20"/>
        </w:rPr>
        <w:t>or CAO.</w:t>
      </w:r>
    </w:p>
    <w:p w14:paraId="6C0D33E6" w14:textId="77777777" w:rsidR="00D77840" w:rsidRPr="00D77840" w:rsidRDefault="00D77840" w:rsidP="00D77840">
      <w:pPr>
        <w:keepNext/>
        <w:keepLines/>
        <w:widowControl/>
        <w:shd w:val="clear" w:color="auto" w:fill="339966"/>
        <w:autoSpaceDE/>
        <w:autoSpaceDN/>
        <w:spacing w:before="160" w:after="120" w:line="259" w:lineRule="auto"/>
        <w:outlineLvl w:val="4"/>
        <w:rPr>
          <w:rFonts w:ascii="Arial" w:eastAsia="Times New Roman" w:hAnsi="Arial" w:cs="Times New Roman"/>
          <w:b/>
          <w:color w:val="FFFFFF"/>
          <w:sz w:val="24"/>
        </w:rPr>
      </w:pPr>
      <w:bookmarkStart w:id="831" w:name="_Toc153137512"/>
      <w:r w:rsidRPr="00D77840">
        <w:rPr>
          <w:rFonts w:ascii="Arial" w:eastAsia="Times New Roman" w:hAnsi="Arial" w:cs="Times New Roman"/>
          <w:b/>
          <w:color w:val="FFFFFF"/>
          <w:sz w:val="24"/>
        </w:rPr>
        <w:t>GM1 ML.A.302(c)(2)(b) Aircraft maintenance programme</w:t>
      </w:r>
      <w:bookmarkEnd w:id="831"/>
      <w:r w:rsidRPr="00D77840">
        <w:rPr>
          <w:rFonts w:ascii="Arial" w:eastAsia="Times New Roman" w:hAnsi="Arial" w:cs="Times New Roman"/>
          <w:b/>
          <w:color w:val="FFFFFF"/>
          <w:sz w:val="24"/>
        </w:rPr>
        <w:tab/>
      </w:r>
    </w:p>
    <w:p w14:paraId="518CFEE8" w14:textId="77777777" w:rsidR="00D77840" w:rsidRPr="00D77840" w:rsidRDefault="00D77840" w:rsidP="00D77840">
      <w:pPr>
        <w:jc w:val="both"/>
        <w:rPr>
          <w:rFonts w:ascii="Arial" w:eastAsia="Times New Roman" w:hAnsi="Arial" w:cs="Arial"/>
          <w:sz w:val="20"/>
        </w:rPr>
      </w:pPr>
      <w:r w:rsidRPr="00D77840">
        <w:rPr>
          <w:rFonts w:ascii="Arial" w:eastAsia="Times New Roman" w:hAnsi="Arial" w:cs="Arial"/>
          <w:sz w:val="20"/>
        </w:rPr>
        <w:t>‘DAH’ refers to the holder of a type certificate (TC), restricted type certificate, supplemental type certificate (STC), European Technical Standard Order (ETSO) authorisation, repair or change to the type design.</w:t>
      </w:r>
    </w:p>
    <w:p w14:paraId="291BE9F7" w14:textId="77777777" w:rsidR="00D77840" w:rsidRPr="00D77840" w:rsidRDefault="00D77840" w:rsidP="00D77840">
      <w:pPr>
        <w:jc w:val="both"/>
        <w:rPr>
          <w:rFonts w:ascii="Arial" w:eastAsia="Times New Roman" w:hAnsi="Arial" w:cs="Arial"/>
          <w:sz w:val="20"/>
        </w:rPr>
      </w:pPr>
      <w:r w:rsidRPr="00D77840">
        <w:rPr>
          <w:rFonts w:ascii="Arial" w:eastAsia="Times New Roman" w:hAnsi="Arial" w:cs="Arial"/>
          <w:sz w:val="20"/>
        </w:rPr>
        <w:t>The ‘instructions for continuing airworthiness (‘ICA’) issued by the design approval holder (‘DAH’)’ do not include the data issued by other original equipment manufacturer (OEM), except when the DAH’s ICA makes clear reference to such OEM data.</w:t>
      </w:r>
    </w:p>
    <w:p w14:paraId="2EEB80D9" w14:textId="3590F0BD" w:rsidR="00D77840" w:rsidRPr="00D77840" w:rsidRDefault="00D77840" w:rsidP="00D77840">
      <w:pPr>
        <w:jc w:val="both"/>
        <w:rPr>
          <w:rFonts w:ascii="Arial" w:eastAsia="Times New Roman" w:hAnsi="Arial" w:cs="Arial"/>
          <w:sz w:val="20"/>
        </w:rPr>
      </w:pPr>
      <w:r w:rsidRPr="00D77840">
        <w:rPr>
          <w:rFonts w:ascii="Arial" w:eastAsia="Times New Roman" w:hAnsi="Arial" w:cs="Arial"/>
          <w:sz w:val="20"/>
        </w:rPr>
        <w:t xml:space="preserve">Tasks or intervals (e.g. escalations) alternative to those of the DAH’s ICA and selected by the CAMO or CAO for the AMP do not need to be approved by the </w:t>
      </w:r>
      <w:r w:rsidR="004E22F1">
        <w:rPr>
          <w:rFonts w:ascii="Arial" w:hAnsi="Arial" w:cs="Arial"/>
          <w:sz w:val="20"/>
          <w:szCs w:val="20"/>
        </w:rPr>
        <w:t>CAC RA</w:t>
      </w:r>
      <w:r w:rsidRPr="00D77840">
        <w:rPr>
          <w:rFonts w:ascii="Arial" w:eastAsia="Times New Roman" w:hAnsi="Arial" w:cs="Arial"/>
          <w:sz w:val="20"/>
        </w:rPr>
        <w:t>. Justification of these deviations are to be kept by the CAMO or CAO.</w:t>
      </w:r>
    </w:p>
    <w:p w14:paraId="1BBACFB0" w14:textId="77777777" w:rsidR="00D77840" w:rsidRPr="00D77840" w:rsidRDefault="00D77840" w:rsidP="00D77840">
      <w:pPr>
        <w:keepNext/>
        <w:keepLines/>
        <w:widowControl/>
        <w:shd w:val="clear" w:color="auto" w:fill="339966"/>
        <w:autoSpaceDE/>
        <w:autoSpaceDN/>
        <w:spacing w:before="160" w:after="120" w:line="259" w:lineRule="auto"/>
        <w:outlineLvl w:val="4"/>
        <w:rPr>
          <w:rFonts w:ascii="Arial" w:eastAsia="Times New Roman" w:hAnsi="Arial" w:cs="Times New Roman"/>
          <w:b/>
          <w:color w:val="FFFFFF"/>
          <w:sz w:val="24"/>
        </w:rPr>
      </w:pPr>
      <w:bookmarkStart w:id="832" w:name="_Toc153137513"/>
      <w:r w:rsidRPr="00D77840">
        <w:rPr>
          <w:rFonts w:ascii="Arial" w:eastAsia="Times New Roman" w:hAnsi="Arial" w:cs="Times New Roman"/>
          <w:b/>
          <w:color w:val="FFFFFF"/>
          <w:sz w:val="24"/>
        </w:rPr>
        <w:t>GM1 ML.A.302(c)(3) Aircraft maintenance programme</w:t>
      </w:r>
      <w:bookmarkEnd w:id="832"/>
      <w:r w:rsidRPr="00D77840">
        <w:rPr>
          <w:rFonts w:ascii="Arial" w:eastAsia="Times New Roman" w:hAnsi="Arial" w:cs="Times New Roman"/>
          <w:b/>
          <w:color w:val="FFFFFF"/>
          <w:sz w:val="24"/>
        </w:rPr>
        <w:tab/>
      </w:r>
    </w:p>
    <w:p w14:paraId="68BE5805" w14:textId="77777777" w:rsidR="00D77840" w:rsidRPr="00D77840" w:rsidRDefault="00D77840" w:rsidP="00D77840">
      <w:pPr>
        <w:widowControl/>
        <w:autoSpaceDE/>
        <w:autoSpaceDN/>
        <w:spacing w:before="240" w:after="160" w:line="264" w:lineRule="auto"/>
        <w:jc w:val="both"/>
        <w:rPr>
          <w:rFonts w:ascii="Arial" w:eastAsiaTheme="minorHAnsi" w:hAnsi="Arial" w:cs="Arial"/>
          <w:b/>
          <w:bCs/>
          <w:sz w:val="20"/>
          <w:szCs w:val="20"/>
        </w:rPr>
      </w:pPr>
      <w:r w:rsidRPr="00D77840">
        <w:rPr>
          <w:rFonts w:ascii="Arial" w:eastAsiaTheme="minorHAnsi" w:hAnsi="Arial" w:cs="Arial"/>
          <w:b/>
          <w:bCs/>
          <w:sz w:val="20"/>
          <w:szCs w:val="20"/>
        </w:rPr>
        <w:t>ALTERNATIVE MAINTENANCE ACTIONS</w:t>
      </w:r>
    </w:p>
    <w:p w14:paraId="6943A3C9" w14:textId="77777777" w:rsidR="00D77840" w:rsidRPr="00D77840" w:rsidRDefault="00D77840" w:rsidP="00D77840">
      <w:pPr>
        <w:jc w:val="both"/>
        <w:rPr>
          <w:rFonts w:ascii="Arial" w:eastAsia="Times New Roman" w:hAnsi="Arial" w:cs="Arial"/>
          <w:sz w:val="20"/>
        </w:rPr>
      </w:pPr>
      <w:r w:rsidRPr="00D77840">
        <w:rPr>
          <w:rFonts w:ascii="Arial" w:eastAsia="Times New Roman" w:hAnsi="Arial" w:cs="Arial"/>
          <w:sz w:val="20"/>
        </w:rPr>
        <w:t>‘Maintenance actions alternative to those referred to in point (c)(2)(b)’ refer to when the DAH’s ICA are used as the basis for the AMP development and the CAMO, CAO or owner (as applicable), when developing the AMP, decides to deviate from certain of these DAH’s instructions, introducing, for example, a less frequent interval or a different task type (inspection instead of check) than the one established by the ICA.</w:t>
      </w:r>
    </w:p>
    <w:p w14:paraId="62EF4C68" w14:textId="77777777" w:rsidR="00D77840" w:rsidRDefault="00D77840" w:rsidP="00D77840">
      <w:pPr>
        <w:jc w:val="both"/>
        <w:rPr>
          <w:rFonts w:ascii="Arial" w:eastAsia="Times New Roman" w:hAnsi="Arial" w:cs="Arial"/>
          <w:sz w:val="20"/>
        </w:rPr>
      </w:pPr>
      <w:r w:rsidRPr="00D77840">
        <w:rPr>
          <w:rFonts w:ascii="Arial" w:eastAsia="Times New Roman" w:hAnsi="Arial" w:cs="Arial"/>
          <w:sz w:val="20"/>
        </w:rPr>
        <w:t>These alternative maintenance actions shall not be less restrictive than those set out in the applicable MIP. This means that the extent of the maintenance to be covered by the deviating task cannot be less than the extent of the corresponding task in the MIP in terms of frequency and task type.</w:t>
      </w:r>
    </w:p>
    <w:p w14:paraId="11530B53" w14:textId="77777777" w:rsidR="00D77840" w:rsidRPr="00D77840" w:rsidRDefault="00D77840" w:rsidP="00D77840">
      <w:pPr>
        <w:jc w:val="both"/>
        <w:rPr>
          <w:rFonts w:ascii="Arial" w:eastAsia="Times New Roman" w:hAnsi="Arial" w:cs="Arial"/>
          <w:sz w:val="20"/>
        </w:rPr>
      </w:pPr>
    </w:p>
    <w:p w14:paraId="39E624F4" w14:textId="77777777" w:rsidR="00974BFA" w:rsidRPr="002D3D62" w:rsidRDefault="00D77840" w:rsidP="00974BFA">
      <w:pPr>
        <w:jc w:val="both"/>
        <w:rPr>
          <w:rFonts w:ascii="Arial" w:eastAsia="Times New Roman" w:hAnsi="Arial" w:cs="Arial"/>
          <w:sz w:val="20"/>
        </w:rPr>
      </w:pPr>
      <w:r w:rsidRPr="00D77840">
        <w:rPr>
          <w:rFonts w:ascii="Arial" w:eastAsia="Times New Roman" w:hAnsi="Arial" w:cs="Arial"/>
          <w:sz w:val="20"/>
        </w:rPr>
        <w:t>Examples of a</w:t>
      </w:r>
      <w:r w:rsidR="002D3D62">
        <w:rPr>
          <w:rFonts w:ascii="Arial" w:eastAsia="Times New Roman" w:hAnsi="Arial" w:cs="Arial"/>
          <w:sz w:val="20"/>
        </w:rPr>
        <w:t>lternative maintenance actions:</w:t>
      </w:r>
    </w:p>
    <w:tbl>
      <w:tblPr>
        <w:tblStyle w:val="TableGrid31"/>
        <w:tblW w:w="9244" w:type="dxa"/>
        <w:tblLayout w:type="fixed"/>
        <w:tblLook w:val="01E0" w:firstRow="1" w:lastRow="1" w:firstColumn="1" w:lastColumn="1" w:noHBand="0" w:noVBand="0"/>
      </w:tblPr>
      <w:tblGrid>
        <w:gridCol w:w="1865"/>
        <w:gridCol w:w="3302"/>
        <w:gridCol w:w="1949"/>
        <w:gridCol w:w="2128"/>
      </w:tblGrid>
      <w:tr w:rsidR="002D3D62" w:rsidRPr="002D3D62" w14:paraId="00977EC3" w14:textId="77777777" w:rsidTr="00C342B1">
        <w:trPr>
          <w:trHeight w:val="755"/>
        </w:trPr>
        <w:tc>
          <w:tcPr>
            <w:tcW w:w="1865" w:type="dxa"/>
            <w:shd w:val="clear" w:color="auto" w:fill="F2F2F2" w:themeFill="background1" w:themeFillShade="F2"/>
          </w:tcPr>
          <w:p w14:paraId="4D246827" w14:textId="77777777" w:rsidR="002D3D62" w:rsidRPr="002D3D62" w:rsidRDefault="002D3D62" w:rsidP="00D54D24">
            <w:pPr>
              <w:pStyle w:val="TableParagraph"/>
              <w:spacing w:before="121"/>
              <w:ind w:left="563"/>
              <w:rPr>
                <w:rFonts w:ascii="Arial" w:hAnsi="Arial" w:cs="Arial"/>
                <w:b/>
                <w:sz w:val="18"/>
                <w:szCs w:val="18"/>
              </w:rPr>
            </w:pPr>
            <w:r w:rsidRPr="002D3D62">
              <w:rPr>
                <w:rFonts w:ascii="Arial" w:hAnsi="Arial" w:cs="Arial"/>
                <w:b/>
                <w:sz w:val="18"/>
                <w:szCs w:val="18"/>
              </w:rPr>
              <w:t>ICA</w:t>
            </w:r>
            <w:r w:rsidRPr="002D3D62">
              <w:rPr>
                <w:rFonts w:ascii="Arial" w:hAnsi="Arial" w:cs="Arial"/>
                <w:b/>
                <w:spacing w:val="-2"/>
                <w:sz w:val="18"/>
                <w:szCs w:val="18"/>
              </w:rPr>
              <w:t xml:space="preserve"> </w:t>
            </w:r>
            <w:r w:rsidRPr="002D3D62">
              <w:rPr>
                <w:rFonts w:ascii="Arial" w:hAnsi="Arial" w:cs="Arial"/>
                <w:b/>
                <w:sz w:val="18"/>
                <w:szCs w:val="18"/>
              </w:rPr>
              <w:t>task</w:t>
            </w:r>
          </w:p>
        </w:tc>
        <w:tc>
          <w:tcPr>
            <w:tcW w:w="3302" w:type="dxa"/>
            <w:shd w:val="clear" w:color="auto" w:fill="F2F2F2" w:themeFill="background1" w:themeFillShade="F2"/>
          </w:tcPr>
          <w:p w14:paraId="08BC6CE6" w14:textId="77777777" w:rsidR="002D3D62" w:rsidRPr="002D3D62" w:rsidRDefault="002D3D62" w:rsidP="00D54D24">
            <w:pPr>
              <w:pStyle w:val="TableParagraph"/>
              <w:spacing w:before="121"/>
              <w:ind w:left="493"/>
              <w:rPr>
                <w:rFonts w:ascii="Arial" w:hAnsi="Arial" w:cs="Arial"/>
                <w:b/>
                <w:sz w:val="18"/>
                <w:szCs w:val="18"/>
              </w:rPr>
            </w:pPr>
            <w:r w:rsidRPr="002D3D62">
              <w:rPr>
                <w:rFonts w:ascii="Arial" w:hAnsi="Arial" w:cs="Arial"/>
                <w:b/>
                <w:sz w:val="18"/>
                <w:szCs w:val="18"/>
              </w:rPr>
              <w:t>AMP</w:t>
            </w:r>
            <w:r w:rsidRPr="002D3D62">
              <w:rPr>
                <w:rFonts w:ascii="Arial" w:hAnsi="Arial" w:cs="Arial"/>
                <w:b/>
                <w:spacing w:val="-4"/>
                <w:sz w:val="18"/>
                <w:szCs w:val="18"/>
              </w:rPr>
              <w:t xml:space="preserve"> </w:t>
            </w:r>
            <w:r w:rsidRPr="002D3D62">
              <w:rPr>
                <w:rFonts w:ascii="Arial" w:hAnsi="Arial" w:cs="Arial"/>
                <w:b/>
                <w:sz w:val="18"/>
                <w:szCs w:val="18"/>
              </w:rPr>
              <w:t>proposed</w:t>
            </w:r>
            <w:r w:rsidRPr="002D3D62">
              <w:rPr>
                <w:rFonts w:ascii="Arial" w:hAnsi="Arial" w:cs="Arial"/>
                <w:b/>
                <w:spacing w:val="-2"/>
                <w:sz w:val="18"/>
                <w:szCs w:val="18"/>
              </w:rPr>
              <w:t xml:space="preserve"> </w:t>
            </w:r>
            <w:r w:rsidRPr="002D3D62">
              <w:rPr>
                <w:rFonts w:ascii="Arial" w:hAnsi="Arial" w:cs="Arial"/>
                <w:b/>
                <w:sz w:val="18"/>
                <w:szCs w:val="18"/>
              </w:rPr>
              <w:t>alternative</w:t>
            </w:r>
          </w:p>
        </w:tc>
        <w:tc>
          <w:tcPr>
            <w:tcW w:w="1949" w:type="dxa"/>
            <w:shd w:val="clear" w:color="auto" w:fill="F2F2F2" w:themeFill="background1" w:themeFillShade="F2"/>
          </w:tcPr>
          <w:p w14:paraId="3FAA6708" w14:textId="77777777" w:rsidR="002D3D62" w:rsidRPr="002D3D62" w:rsidRDefault="002D3D62" w:rsidP="00D54D24">
            <w:pPr>
              <w:pStyle w:val="TableParagraph"/>
              <w:spacing w:before="121"/>
              <w:ind w:left="564"/>
              <w:rPr>
                <w:rFonts w:ascii="Arial" w:hAnsi="Arial" w:cs="Arial"/>
                <w:b/>
                <w:sz w:val="18"/>
                <w:szCs w:val="18"/>
              </w:rPr>
            </w:pPr>
            <w:r w:rsidRPr="002D3D62">
              <w:rPr>
                <w:rFonts w:ascii="Arial" w:hAnsi="Arial" w:cs="Arial"/>
                <w:b/>
                <w:sz w:val="18"/>
                <w:szCs w:val="18"/>
              </w:rPr>
              <w:t>MIP</w:t>
            </w:r>
            <w:r w:rsidRPr="002D3D62">
              <w:rPr>
                <w:rFonts w:ascii="Arial" w:hAnsi="Arial" w:cs="Arial"/>
                <w:b/>
                <w:spacing w:val="-2"/>
                <w:sz w:val="18"/>
                <w:szCs w:val="18"/>
              </w:rPr>
              <w:t xml:space="preserve"> </w:t>
            </w:r>
            <w:r w:rsidRPr="002D3D62">
              <w:rPr>
                <w:rFonts w:ascii="Arial" w:hAnsi="Arial" w:cs="Arial"/>
                <w:b/>
                <w:sz w:val="18"/>
                <w:szCs w:val="18"/>
              </w:rPr>
              <w:t>task</w:t>
            </w:r>
          </w:p>
        </w:tc>
        <w:tc>
          <w:tcPr>
            <w:tcW w:w="2128" w:type="dxa"/>
            <w:shd w:val="clear" w:color="auto" w:fill="F2F2F2" w:themeFill="background1" w:themeFillShade="F2"/>
          </w:tcPr>
          <w:p w14:paraId="073F6F95" w14:textId="77777777" w:rsidR="002D3D62" w:rsidRPr="002D3D62" w:rsidRDefault="002D3D62" w:rsidP="002D3D62">
            <w:pPr>
              <w:pStyle w:val="TableParagraph"/>
              <w:spacing w:line="243" w:lineRule="exact"/>
              <w:ind w:left="81" w:right="88"/>
              <w:jc w:val="center"/>
              <w:rPr>
                <w:rFonts w:ascii="Arial" w:hAnsi="Arial" w:cs="Arial"/>
                <w:b/>
                <w:sz w:val="18"/>
                <w:szCs w:val="18"/>
              </w:rPr>
            </w:pPr>
            <w:r w:rsidRPr="002D3D62">
              <w:rPr>
                <w:rFonts w:ascii="Arial" w:hAnsi="Arial" w:cs="Arial"/>
                <w:b/>
                <w:sz w:val="18"/>
                <w:szCs w:val="18"/>
              </w:rPr>
              <w:t>Alternative</w:t>
            </w:r>
            <w:r w:rsidRPr="002D3D62">
              <w:rPr>
                <w:rFonts w:ascii="Arial" w:hAnsi="Arial" w:cs="Arial"/>
                <w:b/>
                <w:spacing w:val="-5"/>
                <w:sz w:val="18"/>
                <w:szCs w:val="18"/>
              </w:rPr>
              <w:t xml:space="preserve"> </w:t>
            </w:r>
            <w:r w:rsidRPr="002D3D62">
              <w:rPr>
                <w:rFonts w:ascii="Arial" w:hAnsi="Arial" w:cs="Arial"/>
                <w:b/>
                <w:sz w:val="18"/>
                <w:szCs w:val="18"/>
              </w:rPr>
              <w:t>acceptable</w:t>
            </w:r>
          </w:p>
          <w:p w14:paraId="27A85A28" w14:textId="77777777" w:rsidR="002D3D62" w:rsidRPr="002D3D62" w:rsidRDefault="002D3D62" w:rsidP="002D3D62">
            <w:pPr>
              <w:pStyle w:val="TableParagraph"/>
              <w:spacing w:line="243" w:lineRule="exact"/>
              <w:ind w:left="81" w:right="88"/>
              <w:jc w:val="center"/>
              <w:rPr>
                <w:rFonts w:ascii="Arial" w:hAnsi="Arial" w:cs="Arial"/>
                <w:b/>
                <w:sz w:val="18"/>
                <w:szCs w:val="18"/>
              </w:rPr>
            </w:pPr>
            <w:r w:rsidRPr="002D3D62">
              <w:rPr>
                <w:rFonts w:ascii="Arial" w:hAnsi="Arial" w:cs="Arial"/>
                <w:b/>
                <w:sz w:val="18"/>
                <w:szCs w:val="18"/>
              </w:rPr>
              <w:t>Yes/No</w:t>
            </w:r>
          </w:p>
        </w:tc>
      </w:tr>
      <w:tr w:rsidR="002D3D62" w:rsidRPr="002D3D62" w14:paraId="31E404FA" w14:textId="77777777" w:rsidTr="00C342B1">
        <w:trPr>
          <w:trHeight w:val="445"/>
        </w:trPr>
        <w:tc>
          <w:tcPr>
            <w:tcW w:w="1865" w:type="dxa"/>
          </w:tcPr>
          <w:p w14:paraId="4EE6A43A" w14:textId="77777777" w:rsidR="002D3D62" w:rsidRPr="002D3D62" w:rsidRDefault="002D3D62" w:rsidP="00D54D24">
            <w:pPr>
              <w:pStyle w:val="TableParagraph"/>
              <w:spacing w:line="242" w:lineRule="exact"/>
              <w:ind w:left="86"/>
              <w:rPr>
                <w:rFonts w:ascii="Arial" w:hAnsi="Arial" w:cs="Arial"/>
                <w:sz w:val="18"/>
                <w:szCs w:val="18"/>
              </w:rPr>
            </w:pPr>
            <w:r w:rsidRPr="002D3D62">
              <w:rPr>
                <w:rFonts w:ascii="Arial" w:hAnsi="Arial" w:cs="Arial"/>
                <w:sz w:val="18"/>
                <w:szCs w:val="18"/>
              </w:rPr>
              <w:t>Inspection</w:t>
            </w:r>
            <w:r w:rsidRPr="002D3D62">
              <w:rPr>
                <w:rFonts w:ascii="Arial" w:hAnsi="Arial" w:cs="Arial"/>
                <w:spacing w:val="-3"/>
                <w:sz w:val="18"/>
                <w:szCs w:val="18"/>
              </w:rPr>
              <w:t xml:space="preserve"> </w:t>
            </w:r>
            <w:r w:rsidRPr="002D3D62">
              <w:rPr>
                <w:rFonts w:ascii="Arial" w:hAnsi="Arial" w:cs="Arial"/>
                <w:sz w:val="18"/>
                <w:szCs w:val="18"/>
              </w:rPr>
              <w:t>XX</w:t>
            </w:r>
          </w:p>
          <w:p w14:paraId="0137376B" w14:textId="77777777" w:rsidR="002D3D62" w:rsidRPr="002D3D62" w:rsidRDefault="002D3D62" w:rsidP="00D54D24">
            <w:pPr>
              <w:pStyle w:val="TableParagraph"/>
              <w:spacing w:before="1" w:line="225" w:lineRule="exact"/>
              <w:ind w:left="86"/>
              <w:rPr>
                <w:rFonts w:ascii="Arial" w:hAnsi="Arial" w:cs="Arial"/>
                <w:sz w:val="18"/>
                <w:szCs w:val="18"/>
              </w:rPr>
            </w:pPr>
            <w:r w:rsidRPr="002D3D62">
              <w:rPr>
                <w:rFonts w:ascii="Arial" w:hAnsi="Arial" w:cs="Arial"/>
                <w:sz w:val="18"/>
                <w:szCs w:val="18"/>
              </w:rPr>
              <w:t>6</w:t>
            </w:r>
            <w:r w:rsidRPr="002D3D62">
              <w:rPr>
                <w:rFonts w:ascii="Arial" w:hAnsi="Arial" w:cs="Arial"/>
                <w:spacing w:val="-2"/>
                <w:sz w:val="18"/>
                <w:szCs w:val="18"/>
              </w:rPr>
              <w:t xml:space="preserve"> </w:t>
            </w:r>
            <w:r w:rsidRPr="002D3D62">
              <w:rPr>
                <w:rFonts w:ascii="Arial" w:hAnsi="Arial" w:cs="Arial"/>
                <w:sz w:val="18"/>
                <w:szCs w:val="18"/>
              </w:rPr>
              <w:t>months</w:t>
            </w:r>
            <w:r w:rsidRPr="002D3D62">
              <w:rPr>
                <w:rFonts w:ascii="Arial" w:hAnsi="Arial" w:cs="Arial"/>
                <w:spacing w:val="-3"/>
                <w:sz w:val="18"/>
                <w:szCs w:val="18"/>
              </w:rPr>
              <w:t xml:space="preserve"> </w:t>
            </w:r>
            <w:r w:rsidRPr="002D3D62">
              <w:rPr>
                <w:rFonts w:ascii="Arial" w:hAnsi="Arial" w:cs="Arial"/>
                <w:sz w:val="18"/>
                <w:szCs w:val="18"/>
              </w:rPr>
              <w:t>interval</w:t>
            </w:r>
          </w:p>
        </w:tc>
        <w:tc>
          <w:tcPr>
            <w:tcW w:w="3302" w:type="dxa"/>
          </w:tcPr>
          <w:p w14:paraId="3E55A37E" w14:textId="77777777" w:rsidR="002D3D62" w:rsidRPr="002D3D62" w:rsidRDefault="002D3D62" w:rsidP="00D54D24">
            <w:pPr>
              <w:pStyle w:val="TableParagraph"/>
              <w:spacing w:line="242" w:lineRule="exact"/>
              <w:rPr>
                <w:rFonts w:ascii="Arial" w:hAnsi="Arial" w:cs="Arial"/>
                <w:sz w:val="18"/>
                <w:szCs w:val="18"/>
              </w:rPr>
            </w:pPr>
            <w:r w:rsidRPr="002D3D62">
              <w:rPr>
                <w:rFonts w:ascii="Arial" w:hAnsi="Arial" w:cs="Arial"/>
                <w:sz w:val="18"/>
                <w:szCs w:val="18"/>
              </w:rPr>
              <w:t>Inspection</w:t>
            </w:r>
            <w:r w:rsidRPr="002D3D62">
              <w:rPr>
                <w:rFonts w:ascii="Arial" w:hAnsi="Arial" w:cs="Arial"/>
                <w:spacing w:val="-3"/>
                <w:sz w:val="18"/>
                <w:szCs w:val="18"/>
              </w:rPr>
              <w:t xml:space="preserve"> </w:t>
            </w:r>
            <w:r w:rsidRPr="002D3D62">
              <w:rPr>
                <w:rFonts w:ascii="Arial" w:hAnsi="Arial" w:cs="Arial"/>
                <w:sz w:val="18"/>
                <w:szCs w:val="18"/>
              </w:rPr>
              <w:t>XX</w:t>
            </w:r>
          </w:p>
          <w:p w14:paraId="766DE546" w14:textId="77777777" w:rsidR="002D3D62" w:rsidRPr="002D3D62" w:rsidRDefault="002D3D62" w:rsidP="00D54D24">
            <w:pPr>
              <w:pStyle w:val="TableParagraph"/>
              <w:spacing w:before="1" w:line="225" w:lineRule="exact"/>
              <w:rPr>
                <w:rFonts w:ascii="Arial" w:hAnsi="Arial" w:cs="Arial"/>
                <w:sz w:val="18"/>
                <w:szCs w:val="18"/>
              </w:rPr>
            </w:pPr>
            <w:r w:rsidRPr="002D3D62">
              <w:rPr>
                <w:rFonts w:ascii="Arial" w:hAnsi="Arial" w:cs="Arial"/>
                <w:sz w:val="18"/>
                <w:szCs w:val="18"/>
              </w:rPr>
              <w:t>12</w:t>
            </w:r>
            <w:r w:rsidRPr="002D3D62">
              <w:rPr>
                <w:rFonts w:ascii="Arial" w:hAnsi="Arial" w:cs="Arial"/>
                <w:spacing w:val="-3"/>
                <w:sz w:val="18"/>
                <w:szCs w:val="18"/>
              </w:rPr>
              <w:t xml:space="preserve"> </w:t>
            </w:r>
            <w:r w:rsidRPr="002D3D62">
              <w:rPr>
                <w:rFonts w:ascii="Arial" w:hAnsi="Arial" w:cs="Arial"/>
                <w:sz w:val="18"/>
                <w:szCs w:val="18"/>
              </w:rPr>
              <w:t>months</w:t>
            </w:r>
            <w:r w:rsidRPr="002D3D62">
              <w:rPr>
                <w:rFonts w:ascii="Arial" w:hAnsi="Arial" w:cs="Arial"/>
                <w:spacing w:val="-3"/>
                <w:sz w:val="18"/>
                <w:szCs w:val="18"/>
              </w:rPr>
              <w:t xml:space="preserve"> </w:t>
            </w:r>
            <w:r w:rsidRPr="002D3D62">
              <w:rPr>
                <w:rFonts w:ascii="Arial" w:hAnsi="Arial" w:cs="Arial"/>
                <w:sz w:val="18"/>
                <w:szCs w:val="18"/>
              </w:rPr>
              <w:t>interval</w:t>
            </w:r>
          </w:p>
        </w:tc>
        <w:tc>
          <w:tcPr>
            <w:tcW w:w="1949" w:type="dxa"/>
          </w:tcPr>
          <w:p w14:paraId="7101A530" w14:textId="77777777" w:rsidR="002D3D62" w:rsidRPr="002D3D62" w:rsidRDefault="002D3D62" w:rsidP="00D54D24">
            <w:pPr>
              <w:pStyle w:val="TableParagraph"/>
              <w:spacing w:line="242" w:lineRule="exact"/>
              <w:ind w:left="84"/>
              <w:rPr>
                <w:rFonts w:ascii="Arial" w:hAnsi="Arial" w:cs="Arial"/>
                <w:sz w:val="18"/>
                <w:szCs w:val="18"/>
              </w:rPr>
            </w:pPr>
            <w:r w:rsidRPr="002D3D62">
              <w:rPr>
                <w:rFonts w:ascii="Arial" w:hAnsi="Arial" w:cs="Arial"/>
                <w:sz w:val="18"/>
                <w:szCs w:val="18"/>
              </w:rPr>
              <w:t>Inspection</w:t>
            </w:r>
            <w:r w:rsidRPr="002D3D62">
              <w:rPr>
                <w:rFonts w:ascii="Arial" w:hAnsi="Arial" w:cs="Arial"/>
                <w:spacing w:val="-3"/>
                <w:sz w:val="18"/>
                <w:szCs w:val="18"/>
              </w:rPr>
              <w:t xml:space="preserve"> </w:t>
            </w:r>
            <w:r w:rsidRPr="002D3D62">
              <w:rPr>
                <w:rFonts w:ascii="Arial" w:hAnsi="Arial" w:cs="Arial"/>
                <w:sz w:val="18"/>
                <w:szCs w:val="18"/>
              </w:rPr>
              <w:t>XX</w:t>
            </w:r>
          </w:p>
          <w:p w14:paraId="672B1EE4" w14:textId="77777777" w:rsidR="002D3D62" w:rsidRPr="002D3D62" w:rsidRDefault="002D3D62" w:rsidP="00D54D24">
            <w:pPr>
              <w:pStyle w:val="TableParagraph"/>
              <w:spacing w:before="1" w:line="225" w:lineRule="exact"/>
              <w:ind w:left="84"/>
              <w:rPr>
                <w:rFonts w:ascii="Arial" w:hAnsi="Arial" w:cs="Arial"/>
                <w:sz w:val="18"/>
                <w:szCs w:val="18"/>
              </w:rPr>
            </w:pPr>
            <w:r w:rsidRPr="002D3D62">
              <w:rPr>
                <w:rFonts w:ascii="Arial" w:hAnsi="Arial" w:cs="Arial"/>
                <w:sz w:val="18"/>
                <w:szCs w:val="18"/>
              </w:rPr>
              <w:t>12</w:t>
            </w:r>
            <w:r w:rsidRPr="002D3D62">
              <w:rPr>
                <w:rFonts w:ascii="Arial" w:hAnsi="Arial" w:cs="Arial"/>
                <w:spacing w:val="-3"/>
                <w:sz w:val="18"/>
                <w:szCs w:val="18"/>
              </w:rPr>
              <w:t xml:space="preserve"> </w:t>
            </w:r>
            <w:r w:rsidRPr="002D3D62">
              <w:rPr>
                <w:rFonts w:ascii="Arial" w:hAnsi="Arial" w:cs="Arial"/>
                <w:sz w:val="18"/>
                <w:szCs w:val="18"/>
              </w:rPr>
              <w:t>months</w:t>
            </w:r>
            <w:r w:rsidRPr="002D3D62">
              <w:rPr>
                <w:rFonts w:ascii="Arial" w:hAnsi="Arial" w:cs="Arial"/>
                <w:spacing w:val="-3"/>
                <w:sz w:val="18"/>
                <w:szCs w:val="18"/>
              </w:rPr>
              <w:t xml:space="preserve"> </w:t>
            </w:r>
            <w:r w:rsidRPr="002D3D62">
              <w:rPr>
                <w:rFonts w:ascii="Arial" w:hAnsi="Arial" w:cs="Arial"/>
                <w:sz w:val="18"/>
                <w:szCs w:val="18"/>
              </w:rPr>
              <w:t>interval</w:t>
            </w:r>
          </w:p>
        </w:tc>
        <w:tc>
          <w:tcPr>
            <w:tcW w:w="2128" w:type="dxa"/>
          </w:tcPr>
          <w:p w14:paraId="7C4D05CA" w14:textId="77777777" w:rsidR="002D3D62" w:rsidRPr="002D3D62" w:rsidRDefault="002D3D62" w:rsidP="00D54D24">
            <w:pPr>
              <w:pStyle w:val="TableParagraph"/>
              <w:spacing w:line="242" w:lineRule="exact"/>
              <w:ind w:left="82"/>
              <w:rPr>
                <w:rFonts w:ascii="Arial" w:hAnsi="Arial" w:cs="Arial"/>
                <w:sz w:val="18"/>
                <w:szCs w:val="18"/>
              </w:rPr>
            </w:pPr>
            <w:r w:rsidRPr="002D3D62">
              <w:rPr>
                <w:rFonts w:ascii="Arial" w:hAnsi="Arial" w:cs="Arial"/>
                <w:sz w:val="18"/>
                <w:szCs w:val="18"/>
              </w:rPr>
              <w:t>Yes</w:t>
            </w:r>
          </w:p>
        </w:tc>
      </w:tr>
      <w:tr w:rsidR="002D3D62" w:rsidRPr="002D3D62" w14:paraId="6F0B6DA3" w14:textId="77777777" w:rsidTr="00C342B1">
        <w:trPr>
          <w:trHeight w:val="444"/>
        </w:trPr>
        <w:tc>
          <w:tcPr>
            <w:tcW w:w="1865" w:type="dxa"/>
          </w:tcPr>
          <w:p w14:paraId="139FC88F" w14:textId="77777777" w:rsidR="002D3D62" w:rsidRPr="002D3D62" w:rsidRDefault="002D3D62" w:rsidP="00D54D24">
            <w:pPr>
              <w:pStyle w:val="TableParagraph"/>
              <w:spacing w:line="243" w:lineRule="exact"/>
              <w:ind w:left="86"/>
              <w:rPr>
                <w:rFonts w:ascii="Arial" w:hAnsi="Arial" w:cs="Arial"/>
                <w:sz w:val="18"/>
                <w:szCs w:val="18"/>
              </w:rPr>
            </w:pPr>
            <w:r w:rsidRPr="002D3D62">
              <w:rPr>
                <w:rFonts w:ascii="Arial" w:hAnsi="Arial" w:cs="Arial"/>
                <w:sz w:val="18"/>
                <w:szCs w:val="18"/>
              </w:rPr>
              <w:t>Inspection</w:t>
            </w:r>
            <w:r w:rsidRPr="002D3D62">
              <w:rPr>
                <w:rFonts w:ascii="Arial" w:hAnsi="Arial" w:cs="Arial"/>
                <w:spacing w:val="-3"/>
                <w:sz w:val="18"/>
                <w:szCs w:val="18"/>
              </w:rPr>
              <w:t xml:space="preserve"> </w:t>
            </w:r>
            <w:r w:rsidRPr="002D3D62">
              <w:rPr>
                <w:rFonts w:ascii="Arial" w:hAnsi="Arial" w:cs="Arial"/>
                <w:sz w:val="18"/>
                <w:szCs w:val="18"/>
              </w:rPr>
              <w:t>XX</w:t>
            </w:r>
          </w:p>
          <w:p w14:paraId="73DDD257" w14:textId="77777777" w:rsidR="002D3D62" w:rsidRPr="002D3D62" w:rsidRDefault="002D3D62" w:rsidP="00D54D24">
            <w:pPr>
              <w:pStyle w:val="TableParagraph"/>
              <w:spacing w:line="224" w:lineRule="exact"/>
              <w:ind w:left="86"/>
              <w:rPr>
                <w:rFonts w:ascii="Arial" w:hAnsi="Arial" w:cs="Arial"/>
                <w:sz w:val="18"/>
                <w:szCs w:val="18"/>
              </w:rPr>
            </w:pPr>
            <w:r w:rsidRPr="002D3D62">
              <w:rPr>
                <w:rFonts w:ascii="Arial" w:hAnsi="Arial" w:cs="Arial"/>
                <w:sz w:val="18"/>
                <w:szCs w:val="18"/>
              </w:rPr>
              <w:t>12</w:t>
            </w:r>
            <w:r w:rsidRPr="002D3D62">
              <w:rPr>
                <w:rFonts w:ascii="Arial" w:hAnsi="Arial" w:cs="Arial"/>
                <w:spacing w:val="-3"/>
                <w:sz w:val="18"/>
                <w:szCs w:val="18"/>
              </w:rPr>
              <w:t xml:space="preserve"> </w:t>
            </w:r>
            <w:r w:rsidRPr="002D3D62">
              <w:rPr>
                <w:rFonts w:ascii="Arial" w:hAnsi="Arial" w:cs="Arial"/>
                <w:sz w:val="18"/>
                <w:szCs w:val="18"/>
              </w:rPr>
              <w:t>months</w:t>
            </w:r>
            <w:r w:rsidRPr="002D3D62">
              <w:rPr>
                <w:rFonts w:ascii="Arial" w:hAnsi="Arial" w:cs="Arial"/>
                <w:spacing w:val="-3"/>
                <w:sz w:val="18"/>
                <w:szCs w:val="18"/>
              </w:rPr>
              <w:t xml:space="preserve"> </w:t>
            </w:r>
            <w:r w:rsidRPr="002D3D62">
              <w:rPr>
                <w:rFonts w:ascii="Arial" w:hAnsi="Arial" w:cs="Arial"/>
                <w:sz w:val="18"/>
                <w:szCs w:val="18"/>
              </w:rPr>
              <w:t>interval</w:t>
            </w:r>
          </w:p>
        </w:tc>
        <w:tc>
          <w:tcPr>
            <w:tcW w:w="3302" w:type="dxa"/>
          </w:tcPr>
          <w:p w14:paraId="1FDB3CE2" w14:textId="77777777" w:rsidR="002D3D62" w:rsidRPr="002D3D62" w:rsidRDefault="002D3D62" w:rsidP="00D54D24">
            <w:pPr>
              <w:pStyle w:val="TableParagraph"/>
              <w:spacing w:line="243" w:lineRule="exact"/>
              <w:rPr>
                <w:rFonts w:ascii="Arial" w:hAnsi="Arial" w:cs="Arial"/>
                <w:sz w:val="18"/>
                <w:szCs w:val="18"/>
              </w:rPr>
            </w:pPr>
            <w:r w:rsidRPr="002D3D62">
              <w:rPr>
                <w:rFonts w:ascii="Arial" w:hAnsi="Arial" w:cs="Arial"/>
                <w:sz w:val="18"/>
                <w:szCs w:val="18"/>
              </w:rPr>
              <w:t>Inspection</w:t>
            </w:r>
            <w:r w:rsidRPr="002D3D62">
              <w:rPr>
                <w:rFonts w:ascii="Arial" w:hAnsi="Arial" w:cs="Arial"/>
                <w:spacing w:val="-2"/>
                <w:sz w:val="18"/>
                <w:szCs w:val="18"/>
              </w:rPr>
              <w:t xml:space="preserve"> </w:t>
            </w:r>
            <w:r w:rsidRPr="002D3D62">
              <w:rPr>
                <w:rFonts w:ascii="Arial" w:hAnsi="Arial" w:cs="Arial"/>
                <w:sz w:val="18"/>
                <w:szCs w:val="18"/>
              </w:rPr>
              <w:t>XX</w:t>
            </w:r>
          </w:p>
          <w:p w14:paraId="38BB6585" w14:textId="77777777" w:rsidR="002D3D62" w:rsidRPr="002D3D62" w:rsidRDefault="002D3D62" w:rsidP="00D54D24">
            <w:pPr>
              <w:pStyle w:val="TableParagraph"/>
              <w:spacing w:line="224" w:lineRule="exact"/>
              <w:rPr>
                <w:rFonts w:ascii="Arial" w:hAnsi="Arial" w:cs="Arial"/>
                <w:sz w:val="18"/>
                <w:szCs w:val="18"/>
              </w:rPr>
            </w:pPr>
            <w:r w:rsidRPr="002D3D62">
              <w:rPr>
                <w:rFonts w:ascii="Arial" w:hAnsi="Arial" w:cs="Arial"/>
                <w:sz w:val="18"/>
                <w:szCs w:val="18"/>
              </w:rPr>
              <w:t>24</w:t>
            </w:r>
            <w:r w:rsidRPr="002D3D62">
              <w:rPr>
                <w:rFonts w:ascii="Arial" w:hAnsi="Arial" w:cs="Arial"/>
                <w:spacing w:val="-3"/>
                <w:sz w:val="18"/>
                <w:szCs w:val="18"/>
              </w:rPr>
              <w:t xml:space="preserve"> </w:t>
            </w:r>
            <w:r w:rsidRPr="002D3D62">
              <w:rPr>
                <w:rFonts w:ascii="Arial" w:hAnsi="Arial" w:cs="Arial"/>
                <w:sz w:val="18"/>
                <w:szCs w:val="18"/>
              </w:rPr>
              <w:t>months</w:t>
            </w:r>
            <w:r w:rsidRPr="002D3D62">
              <w:rPr>
                <w:rFonts w:ascii="Arial" w:hAnsi="Arial" w:cs="Arial"/>
                <w:spacing w:val="-3"/>
                <w:sz w:val="18"/>
                <w:szCs w:val="18"/>
              </w:rPr>
              <w:t xml:space="preserve"> </w:t>
            </w:r>
            <w:r w:rsidRPr="002D3D62">
              <w:rPr>
                <w:rFonts w:ascii="Arial" w:hAnsi="Arial" w:cs="Arial"/>
                <w:sz w:val="18"/>
                <w:szCs w:val="18"/>
              </w:rPr>
              <w:t>interval</w:t>
            </w:r>
          </w:p>
        </w:tc>
        <w:tc>
          <w:tcPr>
            <w:tcW w:w="1949" w:type="dxa"/>
          </w:tcPr>
          <w:p w14:paraId="08327ABC" w14:textId="77777777" w:rsidR="002D3D62" w:rsidRPr="002D3D62" w:rsidRDefault="002D3D62" w:rsidP="00D54D24">
            <w:pPr>
              <w:pStyle w:val="TableParagraph"/>
              <w:spacing w:line="243" w:lineRule="exact"/>
              <w:ind w:left="84"/>
              <w:rPr>
                <w:rFonts w:ascii="Arial" w:hAnsi="Arial" w:cs="Arial"/>
                <w:sz w:val="18"/>
                <w:szCs w:val="18"/>
              </w:rPr>
            </w:pPr>
            <w:r w:rsidRPr="002D3D62">
              <w:rPr>
                <w:rFonts w:ascii="Arial" w:hAnsi="Arial" w:cs="Arial"/>
                <w:sz w:val="18"/>
                <w:szCs w:val="18"/>
              </w:rPr>
              <w:t>Inspection</w:t>
            </w:r>
            <w:r w:rsidRPr="002D3D62">
              <w:rPr>
                <w:rFonts w:ascii="Arial" w:hAnsi="Arial" w:cs="Arial"/>
                <w:spacing w:val="-3"/>
                <w:sz w:val="18"/>
                <w:szCs w:val="18"/>
              </w:rPr>
              <w:t xml:space="preserve"> </w:t>
            </w:r>
            <w:r w:rsidRPr="002D3D62">
              <w:rPr>
                <w:rFonts w:ascii="Arial" w:hAnsi="Arial" w:cs="Arial"/>
                <w:sz w:val="18"/>
                <w:szCs w:val="18"/>
              </w:rPr>
              <w:t>XX</w:t>
            </w:r>
          </w:p>
          <w:p w14:paraId="139B227E" w14:textId="77777777" w:rsidR="002D3D62" w:rsidRPr="002D3D62" w:rsidRDefault="002D3D62" w:rsidP="00D54D24">
            <w:pPr>
              <w:pStyle w:val="TableParagraph"/>
              <w:spacing w:line="224" w:lineRule="exact"/>
              <w:ind w:left="84"/>
              <w:rPr>
                <w:rFonts w:ascii="Arial" w:hAnsi="Arial" w:cs="Arial"/>
                <w:sz w:val="18"/>
                <w:szCs w:val="18"/>
              </w:rPr>
            </w:pPr>
            <w:r w:rsidRPr="002D3D62">
              <w:rPr>
                <w:rFonts w:ascii="Arial" w:hAnsi="Arial" w:cs="Arial"/>
                <w:sz w:val="18"/>
                <w:szCs w:val="18"/>
              </w:rPr>
              <w:t>12</w:t>
            </w:r>
            <w:r w:rsidRPr="002D3D62">
              <w:rPr>
                <w:rFonts w:ascii="Arial" w:hAnsi="Arial" w:cs="Arial"/>
                <w:spacing w:val="-3"/>
                <w:sz w:val="18"/>
                <w:szCs w:val="18"/>
              </w:rPr>
              <w:t xml:space="preserve"> </w:t>
            </w:r>
            <w:r w:rsidRPr="002D3D62">
              <w:rPr>
                <w:rFonts w:ascii="Arial" w:hAnsi="Arial" w:cs="Arial"/>
                <w:sz w:val="18"/>
                <w:szCs w:val="18"/>
              </w:rPr>
              <w:t>months</w:t>
            </w:r>
            <w:r w:rsidRPr="002D3D62">
              <w:rPr>
                <w:rFonts w:ascii="Arial" w:hAnsi="Arial" w:cs="Arial"/>
                <w:spacing w:val="-3"/>
                <w:sz w:val="18"/>
                <w:szCs w:val="18"/>
              </w:rPr>
              <w:t xml:space="preserve"> </w:t>
            </w:r>
            <w:r w:rsidRPr="002D3D62">
              <w:rPr>
                <w:rFonts w:ascii="Arial" w:hAnsi="Arial" w:cs="Arial"/>
                <w:sz w:val="18"/>
                <w:szCs w:val="18"/>
              </w:rPr>
              <w:t>interval</w:t>
            </w:r>
          </w:p>
        </w:tc>
        <w:tc>
          <w:tcPr>
            <w:tcW w:w="2128" w:type="dxa"/>
          </w:tcPr>
          <w:p w14:paraId="4186E4FC" w14:textId="77777777" w:rsidR="002D3D62" w:rsidRPr="002D3D62" w:rsidRDefault="002D3D62" w:rsidP="00D54D24">
            <w:pPr>
              <w:pStyle w:val="TableParagraph"/>
              <w:ind w:left="82"/>
              <w:rPr>
                <w:rFonts w:ascii="Arial" w:hAnsi="Arial" w:cs="Arial"/>
                <w:sz w:val="18"/>
                <w:szCs w:val="18"/>
              </w:rPr>
            </w:pPr>
            <w:r w:rsidRPr="002D3D62">
              <w:rPr>
                <w:rFonts w:ascii="Arial" w:hAnsi="Arial" w:cs="Arial"/>
                <w:sz w:val="18"/>
                <w:szCs w:val="18"/>
              </w:rPr>
              <w:t>No</w:t>
            </w:r>
          </w:p>
        </w:tc>
      </w:tr>
      <w:tr w:rsidR="002D3D62" w:rsidRPr="002D3D62" w14:paraId="3667100F" w14:textId="77777777" w:rsidTr="00C342B1">
        <w:trPr>
          <w:trHeight w:val="445"/>
        </w:trPr>
        <w:tc>
          <w:tcPr>
            <w:tcW w:w="1865" w:type="dxa"/>
          </w:tcPr>
          <w:p w14:paraId="2479FB1B" w14:textId="77777777" w:rsidR="002D3D62" w:rsidRPr="002D3D62" w:rsidRDefault="002D3D62" w:rsidP="00D54D24">
            <w:pPr>
              <w:pStyle w:val="TableParagraph"/>
              <w:ind w:left="86"/>
              <w:rPr>
                <w:rFonts w:ascii="Arial" w:hAnsi="Arial" w:cs="Arial"/>
                <w:sz w:val="18"/>
                <w:szCs w:val="18"/>
              </w:rPr>
            </w:pPr>
            <w:r w:rsidRPr="002D3D62">
              <w:rPr>
                <w:rFonts w:ascii="Arial" w:hAnsi="Arial" w:cs="Arial"/>
                <w:sz w:val="18"/>
                <w:szCs w:val="18"/>
              </w:rPr>
              <w:t>Inspection</w:t>
            </w:r>
            <w:r w:rsidRPr="002D3D62">
              <w:rPr>
                <w:rFonts w:ascii="Arial" w:hAnsi="Arial" w:cs="Arial"/>
                <w:spacing w:val="-3"/>
                <w:sz w:val="18"/>
                <w:szCs w:val="18"/>
              </w:rPr>
              <w:t xml:space="preserve"> </w:t>
            </w:r>
            <w:r w:rsidRPr="002D3D62">
              <w:rPr>
                <w:rFonts w:ascii="Arial" w:hAnsi="Arial" w:cs="Arial"/>
                <w:sz w:val="18"/>
                <w:szCs w:val="18"/>
              </w:rPr>
              <w:t>XX</w:t>
            </w:r>
          </w:p>
          <w:p w14:paraId="76A2FC11" w14:textId="77777777" w:rsidR="002D3D62" w:rsidRPr="002D3D62" w:rsidRDefault="002D3D62" w:rsidP="00D54D24">
            <w:pPr>
              <w:pStyle w:val="TableParagraph"/>
              <w:spacing w:before="1" w:line="223" w:lineRule="exact"/>
              <w:ind w:left="86"/>
              <w:rPr>
                <w:rFonts w:ascii="Arial" w:hAnsi="Arial" w:cs="Arial"/>
                <w:sz w:val="18"/>
                <w:szCs w:val="18"/>
              </w:rPr>
            </w:pPr>
            <w:r w:rsidRPr="002D3D62">
              <w:rPr>
                <w:rFonts w:ascii="Arial" w:hAnsi="Arial" w:cs="Arial"/>
                <w:sz w:val="18"/>
                <w:szCs w:val="18"/>
              </w:rPr>
              <w:t>24</w:t>
            </w:r>
            <w:r w:rsidRPr="002D3D62">
              <w:rPr>
                <w:rFonts w:ascii="Arial" w:hAnsi="Arial" w:cs="Arial"/>
                <w:spacing w:val="-3"/>
                <w:sz w:val="18"/>
                <w:szCs w:val="18"/>
              </w:rPr>
              <w:t xml:space="preserve"> </w:t>
            </w:r>
            <w:r w:rsidRPr="002D3D62">
              <w:rPr>
                <w:rFonts w:ascii="Arial" w:hAnsi="Arial" w:cs="Arial"/>
                <w:sz w:val="18"/>
                <w:szCs w:val="18"/>
              </w:rPr>
              <w:t>months</w:t>
            </w:r>
            <w:r w:rsidRPr="002D3D62">
              <w:rPr>
                <w:rFonts w:ascii="Arial" w:hAnsi="Arial" w:cs="Arial"/>
                <w:spacing w:val="-3"/>
                <w:sz w:val="18"/>
                <w:szCs w:val="18"/>
              </w:rPr>
              <w:t xml:space="preserve"> </w:t>
            </w:r>
            <w:r w:rsidRPr="002D3D62">
              <w:rPr>
                <w:rFonts w:ascii="Arial" w:hAnsi="Arial" w:cs="Arial"/>
                <w:sz w:val="18"/>
                <w:szCs w:val="18"/>
              </w:rPr>
              <w:t>interval</w:t>
            </w:r>
          </w:p>
        </w:tc>
        <w:tc>
          <w:tcPr>
            <w:tcW w:w="3302" w:type="dxa"/>
          </w:tcPr>
          <w:p w14:paraId="65AD2065" w14:textId="77777777" w:rsidR="002D3D62" w:rsidRPr="002D3D62" w:rsidRDefault="002D3D62" w:rsidP="00D54D24">
            <w:pPr>
              <w:pStyle w:val="TableParagraph"/>
              <w:rPr>
                <w:rFonts w:ascii="Arial" w:hAnsi="Arial" w:cs="Arial"/>
                <w:sz w:val="18"/>
                <w:szCs w:val="18"/>
              </w:rPr>
            </w:pPr>
            <w:r w:rsidRPr="002D3D62">
              <w:rPr>
                <w:rFonts w:ascii="Arial" w:hAnsi="Arial" w:cs="Arial"/>
                <w:sz w:val="18"/>
                <w:szCs w:val="18"/>
              </w:rPr>
              <w:t>Inspection</w:t>
            </w:r>
            <w:r w:rsidRPr="002D3D62">
              <w:rPr>
                <w:rFonts w:ascii="Arial" w:hAnsi="Arial" w:cs="Arial"/>
                <w:spacing w:val="-3"/>
                <w:sz w:val="18"/>
                <w:szCs w:val="18"/>
              </w:rPr>
              <w:t xml:space="preserve"> </w:t>
            </w:r>
            <w:r w:rsidRPr="002D3D62">
              <w:rPr>
                <w:rFonts w:ascii="Arial" w:hAnsi="Arial" w:cs="Arial"/>
                <w:sz w:val="18"/>
                <w:szCs w:val="18"/>
              </w:rPr>
              <w:t>XX</w:t>
            </w:r>
          </w:p>
          <w:p w14:paraId="3DC0A539" w14:textId="77777777" w:rsidR="002D3D62" w:rsidRPr="002D3D62" w:rsidRDefault="002D3D62" w:rsidP="00D54D24">
            <w:pPr>
              <w:pStyle w:val="TableParagraph"/>
              <w:spacing w:before="1" w:line="223" w:lineRule="exact"/>
              <w:rPr>
                <w:rFonts w:ascii="Arial" w:hAnsi="Arial" w:cs="Arial"/>
                <w:sz w:val="18"/>
                <w:szCs w:val="18"/>
              </w:rPr>
            </w:pPr>
            <w:r w:rsidRPr="002D3D62">
              <w:rPr>
                <w:rFonts w:ascii="Arial" w:hAnsi="Arial" w:cs="Arial"/>
                <w:sz w:val="18"/>
                <w:szCs w:val="18"/>
              </w:rPr>
              <w:t>36</w:t>
            </w:r>
            <w:r w:rsidRPr="002D3D62">
              <w:rPr>
                <w:rFonts w:ascii="Arial" w:hAnsi="Arial" w:cs="Arial"/>
                <w:spacing w:val="-3"/>
                <w:sz w:val="18"/>
                <w:szCs w:val="18"/>
              </w:rPr>
              <w:t xml:space="preserve"> </w:t>
            </w:r>
            <w:r w:rsidRPr="002D3D62">
              <w:rPr>
                <w:rFonts w:ascii="Arial" w:hAnsi="Arial" w:cs="Arial"/>
                <w:sz w:val="18"/>
                <w:szCs w:val="18"/>
              </w:rPr>
              <w:t>months</w:t>
            </w:r>
            <w:r w:rsidRPr="002D3D62">
              <w:rPr>
                <w:rFonts w:ascii="Arial" w:hAnsi="Arial" w:cs="Arial"/>
                <w:spacing w:val="-3"/>
                <w:sz w:val="18"/>
                <w:szCs w:val="18"/>
              </w:rPr>
              <w:t xml:space="preserve"> </w:t>
            </w:r>
            <w:r w:rsidRPr="002D3D62">
              <w:rPr>
                <w:rFonts w:ascii="Arial" w:hAnsi="Arial" w:cs="Arial"/>
                <w:sz w:val="18"/>
                <w:szCs w:val="18"/>
              </w:rPr>
              <w:t>interval</w:t>
            </w:r>
          </w:p>
        </w:tc>
        <w:tc>
          <w:tcPr>
            <w:tcW w:w="1949" w:type="dxa"/>
          </w:tcPr>
          <w:p w14:paraId="228F5014" w14:textId="77777777" w:rsidR="002D3D62" w:rsidRPr="002D3D62" w:rsidRDefault="002D3D62" w:rsidP="00D54D24">
            <w:pPr>
              <w:pStyle w:val="TableParagraph"/>
              <w:ind w:left="84"/>
              <w:rPr>
                <w:rFonts w:ascii="Arial" w:hAnsi="Arial" w:cs="Arial"/>
                <w:sz w:val="18"/>
                <w:szCs w:val="18"/>
              </w:rPr>
            </w:pPr>
            <w:r w:rsidRPr="002D3D62">
              <w:rPr>
                <w:rFonts w:ascii="Arial" w:hAnsi="Arial" w:cs="Arial"/>
                <w:sz w:val="18"/>
                <w:szCs w:val="18"/>
              </w:rPr>
              <w:t>Inspection</w:t>
            </w:r>
            <w:r w:rsidRPr="002D3D62">
              <w:rPr>
                <w:rFonts w:ascii="Arial" w:hAnsi="Arial" w:cs="Arial"/>
                <w:spacing w:val="-3"/>
                <w:sz w:val="18"/>
                <w:szCs w:val="18"/>
              </w:rPr>
              <w:t xml:space="preserve"> </w:t>
            </w:r>
            <w:r w:rsidRPr="002D3D62">
              <w:rPr>
                <w:rFonts w:ascii="Arial" w:hAnsi="Arial" w:cs="Arial"/>
                <w:sz w:val="18"/>
                <w:szCs w:val="18"/>
              </w:rPr>
              <w:t>XX</w:t>
            </w:r>
          </w:p>
          <w:p w14:paraId="6EFFD6F8" w14:textId="77777777" w:rsidR="002D3D62" w:rsidRPr="002D3D62" w:rsidRDefault="002D3D62" w:rsidP="00D54D24">
            <w:pPr>
              <w:pStyle w:val="TableParagraph"/>
              <w:spacing w:before="1" w:line="223" w:lineRule="exact"/>
              <w:ind w:left="84"/>
              <w:rPr>
                <w:rFonts w:ascii="Arial" w:hAnsi="Arial" w:cs="Arial"/>
                <w:sz w:val="18"/>
                <w:szCs w:val="18"/>
              </w:rPr>
            </w:pPr>
            <w:r w:rsidRPr="002D3D62">
              <w:rPr>
                <w:rFonts w:ascii="Arial" w:hAnsi="Arial" w:cs="Arial"/>
                <w:sz w:val="18"/>
                <w:szCs w:val="18"/>
              </w:rPr>
              <w:t>12</w:t>
            </w:r>
            <w:r w:rsidRPr="002D3D62">
              <w:rPr>
                <w:rFonts w:ascii="Arial" w:hAnsi="Arial" w:cs="Arial"/>
                <w:spacing w:val="-3"/>
                <w:sz w:val="18"/>
                <w:szCs w:val="18"/>
              </w:rPr>
              <w:t xml:space="preserve"> </w:t>
            </w:r>
            <w:r w:rsidRPr="002D3D62">
              <w:rPr>
                <w:rFonts w:ascii="Arial" w:hAnsi="Arial" w:cs="Arial"/>
                <w:sz w:val="18"/>
                <w:szCs w:val="18"/>
              </w:rPr>
              <w:t>months</w:t>
            </w:r>
            <w:r w:rsidRPr="002D3D62">
              <w:rPr>
                <w:rFonts w:ascii="Arial" w:hAnsi="Arial" w:cs="Arial"/>
                <w:spacing w:val="-3"/>
                <w:sz w:val="18"/>
                <w:szCs w:val="18"/>
              </w:rPr>
              <w:t xml:space="preserve"> </w:t>
            </w:r>
            <w:r w:rsidRPr="002D3D62">
              <w:rPr>
                <w:rFonts w:ascii="Arial" w:hAnsi="Arial" w:cs="Arial"/>
                <w:sz w:val="18"/>
                <w:szCs w:val="18"/>
              </w:rPr>
              <w:t>interval</w:t>
            </w:r>
          </w:p>
        </w:tc>
        <w:tc>
          <w:tcPr>
            <w:tcW w:w="2128" w:type="dxa"/>
          </w:tcPr>
          <w:p w14:paraId="67E6E1C6" w14:textId="77777777" w:rsidR="002D3D62" w:rsidRPr="002D3D62" w:rsidRDefault="002D3D62" w:rsidP="00D54D24">
            <w:pPr>
              <w:pStyle w:val="TableParagraph"/>
              <w:ind w:left="82"/>
              <w:rPr>
                <w:rFonts w:ascii="Arial" w:hAnsi="Arial" w:cs="Arial"/>
                <w:sz w:val="18"/>
                <w:szCs w:val="18"/>
              </w:rPr>
            </w:pPr>
            <w:r w:rsidRPr="002D3D62">
              <w:rPr>
                <w:rFonts w:ascii="Arial" w:hAnsi="Arial" w:cs="Arial"/>
                <w:sz w:val="18"/>
                <w:szCs w:val="18"/>
              </w:rPr>
              <w:t>No</w:t>
            </w:r>
          </w:p>
          <w:p w14:paraId="1F706889" w14:textId="77777777" w:rsidR="002D3D62" w:rsidRPr="002D3D62" w:rsidRDefault="002D3D62" w:rsidP="00D54D24">
            <w:pPr>
              <w:pStyle w:val="TableParagraph"/>
              <w:spacing w:before="1" w:line="223" w:lineRule="exact"/>
              <w:ind w:left="82"/>
              <w:rPr>
                <w:rFonts w:ascii="Arial" w:hAnsi="Arial" w:cs="Arial"/>
                <w:sz w:val="18"/>
                <w:szCs w:val="18"/>
              </w:rPr>
            </w:pPr>
            <w:r w:rsidRPr="002D3D62">
              <w:rPr>
                <w:rFonts w:ascii="Arial" w:hAnsi="Arial" w:cs="Arial"/>
                <w:sz w:val="18"/>
                <w:szCs w:val="18"/>
              </w:rPr>
              <w:t>(24</w:t>
            </w:r>
            <w:r w:rsidRPr="002D3D62">
              <w:rPr>
                <w:rFonts w:ascii="Arial" w:hAnsi="Arial" w:cs="Arial"/>
                <w:spacing w:val="-4"/>
                <w:sz w:val="18"/>
                <w:szCs w:val="18"/>
              </w:rPr>
              <w:t xml:space="preserve"> </w:t>
            </w:r>
            <w:r w:rsidRPr="002D3D62">
              <w:rPr>
                <w:rFonts w:ascii="Arial" w:hAnsi="Arial" w:cs="Arial"/>
                <w:sz w:val="18"/>
                <w:szCs w:val="18"/>
              </w:rPr>
              <w:t>months</w:t>
            </w:r>
            <w:r w:rsidRPr="002D3D62">
              <w:rPr>
                <w:rFonts w:ascii="Arial" w:hAnsi="Arial" w:cs="Arial"/>
                <w:spacing w:val="-3"/>
                <w:sz w:val="18"/>
                <w:szCs w:val="18"/>
              </w:rPr>
              <w:t xml:space="preserve"> </w:t>
            </w:r>
            <w:r w:rsidRPr="002D3D62">
              <w:rPr>
                <w:rFonts w:ascii="Arial" w:hAnsi="Arial" w:cs="Arial"/>
                <w:sz w:val="18"/>
                <w:szCs w:val="18"/>
              </w:rPr>
              <w:t>to</w:t>
            </w:r>
            <w:r w:rsidRPr="002D3D62">
              <w:rPr>
                <w:rFonts w:ascii="Arial" w:hAnsi="Arial" w:cs="Arial"/>
                <w:spacing w:val="-1"/>
                <w:sz w:val="18"/>
                <w:szCs w:val="18"/>
              </w:rPr>
              <w:t xml:space="preserve"> </w:t>
            </w:r>
            <w:r w:rsidRPr="002D3D62">
              <w:rPr>
                <w:rFonts w:ascii="Arial" w:hAnsi="Arial" w:cs="Arial"/>
                <w:sz w:val="18"/>
                <w:szCs w:val="18"/>
              </w:rPr>
              <w:t>be</w:t>
            </w:r>
            <w:r w:rsidRPr="002D3D62">
              <w:rPr>
                <w:rFonts w:ascii="Arial" w:hAnsi="Arial" w:cs="Arial"/>
                <w:spacing w:val="-2"/>
                <w:sz w:val="18"/>
                <w:szCs w:val="18"/>
              </w:rPr>
              <w:t xml:space="preserve"> </w:t>
            </w:r>
            <w:r w:rsidRPr="002D3D62">
              <w:rPr>
                <w:rFonts w:ascii="Arial" w:hAnsi="Arial" w:cs="Arial"/>
                <w:sz w:val="18"/>
                <w:szCs w:val="18"/>
              </w:rPr>
              <w:t>kept)</w:t>
            </w:r>
          </w:p>
        </w:tc>
      </w:tr>
      <w:tr w:rsidR="002D3D62" w:rsidRPr="002D3D62" w14:paraId="713CEB54" w14:textId="77777777" w:rsidTr="00C342B1">
        <w:trPr>
          <w:trHeight w:val="445"/>
        </w:trPr>
        <w:tc>
          <w:tcPr>
            <w:tcW w:w="1865" w:type="dxa"/>
          </w:tcPr>
          <w:p w14:paraId="2ADFE372" w14:textId="77777777" w:rsidR="002D3D62" w:rsidRPr="002D3D62" w:rsidRDefault="002D3D62" w:rsidP="00D54D24">
            <w:pPr>
              <w:pStyle w:val="TableParagraph"/>
              <w:ind w:left="86"/>
              <w:rPr>
                <w:rFonts w:ascii="Arial" w:hAnsi="Arial" w:cs="Arial"/>
                <w:sz w:val="18"/>
                <w:szCs w:val="18"/>
              </w:rPr>
            </w:pPr>
            <w:r w:rsidRPr="002D3D62">
              <w:rPr>
                <w:rFonts w:ascii="Arial" w:hAnsi="Arial" w:cs="Arial"/>
                <w:sz w:val="18"/>
                <w:szCs w:val="18"/>
              </w:rPr>
              <w:t>Functional test system XX</w:t>
            </w:r>
          </w:p>
        </w:tc>
        <w:tc>
          <w:tcPr>
            <w:tcW w:w="3302" w:type="dxa"/>
          </w:tcPr>
          <w:p w14:paraId="6A2557A4" w14:textId="77777777" w:rsidR="002D3D62" w:rsidRPr="002D3D62" w:rsidRDefault="002D3D62" w:rsidP="002D3D62">
            <w:pPr>
              <w:pStyle w:val="TableParagraph"/>
              <w:rPr>
                <w:rFonts w:ascii="Arial" w:hAnsi="Arial" w:cs="Arial"/>
                <w:sz w:val="18"/>
                <w:szCs w:val="18"/>
              </w:rPr>
            </w:pPr>
            <w:r w:rsidRPr="002D3D62">
              <w:rPr>
                <w:rFonts w:ascii="Arial" w:hAnsi="Arial" w:cs="Arial"/>
                <w:sz w:val="18"/>
                <w:szCs w:val="18"/>
              </w:rPr>
              <w:t>Operational test system XX (same interval) or general visual inspection system XX (same interval)</w:t>
            </w:r>
          </w:p>
        </w:tc>
        <w:tc>
          <w:tcPr>
            <w:tcW w:w="1949" w:type="dxa"/>
          </w:tcPr>
          <w:p w14:paraId="35A01681" w14:textId="77777777" w:rsidR="002D3D62" w:rsidRPr="002D3D62" w:rsidRDefault="002D3D62" w:rsidP="002D3D62">
            <w:pPr>
              <w:pStyle w:val="TableParagraph"/>
              <w:ind w:left="84"/>
              <w:rPr>
                <w:rFonts w:ascii="Arial" w:hAnsi="Arial" w:cs="Arial"/>
                <w:sz w:val="18"/>
                <w:szCs w:val="18"/>
              </w:rPr>
            </w:pPr>
            <w:r w:rsidRPr="002D3D62">
              <w:rPr>
                <w:rFonts w:ascii="Arial" w:hAnsi="Arial" w:cs="Arial"/>
                <w:sz w:val="18"/>
                <w:szCs w:val="18"/>
              </w:rPr>
              <w:t>Functional test system XX (same interval)</w:t>
            </w:r>
          </w:p>
        </w:tc>
        <w:tc>
          <w:tcPr>
            <w:tcW w:w="2128" w:type="dxa"/>
          </w:tcPr>
          <w:p w14:paraId="598C2A3A" w14:textId="77777777" w:rsidR="002D3D62" w:rsidRPr="002D3D62" w:rsidRDefault="002D3D62" w:rsidP="00D54D24">
            <w:pPr>
              <w:pStyle w:val="TableParagraph"/>
              <w:ind w:left="82"/>
              <w:rPr>
                <w:rFonts w:ascii="Arial" w:hAnsi="Arial" w:cs="Arial"/>
                <w:sz w:val="18"/>
                <w:szCs w:val="18"/>
              </w:rPr>
            </w:pPr>
            <w:r w:rsidRPr="002D3D62">
              <w:rPr>
                <w:rFonts w:ascii="Arial" w:hAnsi="Arial" w:cs="Arial"/>
                <w:sz w:val="18"/>
                <w:szCs w:val="18"/>
              </w:rPr>
              <w:t>No*</w:t>
            </w:r>
          </w:p>
        </w:tc>
      </w:tr>
      <w:tr w:rsidR="002D3D62" w:rsidRPr="002D3D62" w14:paraId="1AB2A078" w14:textId="77777777" w:rsidTr="00C342B1">
        <w:trPr>
          <w:trHeight w:val="445"/>
        </w:trPr>
        <w:tc>
          <w:tcPr>
            <w:tcW w:w="1865" w:type="dxa"/>
          </w:tcPr>
          <w:p w14:paraId="491CE3CF" w14:textId="77777777" w:rsidR="002D3D62" w:rsidRPr="002D3D62" w:rsidRDefault="002D3D62" w:rsidP="00D54D24">
            <w:pPr>
              <w:pStyle w:val="TableParagraph"/>
              <w:ind w:left="86"/>
              <w:rPr>
                <w:rFonts w:ascii="Arial" w:hAnsi="Arial" w:cs="Arial"/>
                <w:sz w:val="18"/>
                <w:szCs w:val="18"/>
              </w:rPr>
            </w:pPr>
            <w:r w:rsidRPr="002D3D62">
              <w:rPr>
                <w:rFonts w:ascii="Arial" w:hAnsi="Arial" w:cs="Arial"/>
                <w:sz w:val="18"/>
                <w:szCs w:val="18"/>
              </w:rPr>
              <w:t>Operational test system XX</w:t>
            </w:r>
          </w:p>
        </w:tc>
        <w:tc>
          <w:tcPr>
            <w:tcW w:w="3302" w:type="dxa"/>
          </w:tcPr>
          <w:p w14:paraId="745C646C" w14:textId="77777777" w:rsidR="002D3D62" w:rsidRPr="002D3D62" w:rsidRDefault="002D3D62" w:rsidP="00D54D24">
            <w:pPr>
              <w:pStyle w:val="TableParagraph"/>
              <w:rPr>
                <w:rFonts w:ascii="Arial" w:hAnsi="Arial" w:cs="Arial"/>
                <w:sz w:val="18"/>
                <w:szCs w:val="18"/>
              </w:rPr>
            </w:pPr>
            <w:r w:rsidRPr="002D3D62">
              <w:rPr>
                <w:rFonts w:ascii="Arial" w:hAnsi="Arial" w:cs="Arial"/>
                <w:sz w:val="18"/>
                <w:szCs w:val="18"/>
              </w:rPr>
              <w:t>Functional test system XX (same interval)</w:t>
            </w:r>
          </w:p>
        </w:tc>
        <w:tc>
          <w:tcPr>
            <w:tcW w:w="1949" w:type="dxa"/>
          </w:tcPr>
          <w:p w14:paraId="1785767A" w14:textId="77777777" w:rsidR="002D3D62" w:rsidRPr="002D3D62" w:rsidRDefault="002D3D62" w:rsidP="002D3D62">
            <w:pPr>
              <w:pStyle w:val="TableParagraph"/>
              <w:ind w:left="84"/>
              <w:rPr>
                <w:rFonts w:ascii="Arial" w:hAnsi="Arial" w:cs="Arial"/>
                <w:sz w:val="18"/>
                <w:szCs w:val="18"/>
              </w:rPr>
            </w:pPr>
            <w:r w:rsidRPr="002D3D62">
              <w:rPr>
                <w:rFonts w:ascii="Arial" w:hAnsi="Arial" w:cs="Arial"/>
                <w:sz w:val="18"/>
                <w:szCs w:val="18"/>
              </w:rPr>
              <w:t>Operational test system XX (same interval)</w:t>
            </w:r>
          </w:p>
        </w:tc>
        <w:tc>
          <w:tcPr>
            <w:tcW w:w="2128" w:type="dxa"/>
          </w:tcPr>
          <w:p w14:paraId="761EE7E1" w14:textId="77777777" w:rsidR="002D3D62" w:rsidRPr="002D3D62" w:rsidRDefault="002D3D62" w:rsidP="002D3D62">
            <w:pPr>
              <w:pStyle w:val="TableParagraph"/>
              <w:ind w:left="82"/>
              <w:rPr>
                <w:rFonts w:ascii="Arial" w:hAnsi="Arial" w:cs="Arial"/>
                <w:sz w:val="18"/>
                <w:szCs w:val="18"/>
              </w:rPr>
            </w:pPr>
            <w:r w:rsidRPr="002D3D62">
              <w:rPr>
                <w:rFonts w:ascii="Arial" w:hAnsi="Arial" w:cs="Arial"/>
                <w:sz w:val="18"/>
                <w:szCs w:val="18"/>
              </w:rPr>
              <w:t>Yes*</w:t>
            </w:r>
          </w:p>
        </w:tc>
      </w:tr>
      <w:tr w:rsidR="002D3D62" w:rsidRPr="002D3D62" w14:paraId="0584202D" w14:textId="77777777" w:rsidTr="00C342B1">
        <w:trPr>
          <w:trHeight w:val="445"/>
        </w:trPr>
        <w:tc>
          <w:tcPr>
            <w:tcW w:w="1865" w:type="dxa"/>
          </w:tcPr>
          <w:p w14:paraId="51C2EDA4" w14:textId="77777777" w:rsidR="002D3D62" w:rsidRPr="002D3D62" w:rsidRDefault="002D3D62" w:rsidP="002D3D62">
            <w:pPr>
              <w:pStyle w:val="TableParagraph"/>
              <w:ind w:left="86"/>
              <w:rPr>
                <w:rFonts w:ascii="Arial" w:hAnsi="Arial" w:cs="Arial"/>
                <w:sz w:val="18"/>
                <w:szCs w:val="18"/>
              </w:rPr>
            </w:pPr>
            <w:r w:rsidRPr="002D3D62">
              <w:rPr>
                <w:rFonts w:ascii="Arial" w:hAnsi="Arial" w:cs="Arial"/>
                <w:sz w:val="18"/>
                <w:szCs w:val="18"/>
              </w:rPr>
              <w:lastRenderedPageBreak/>
              <w:t>Inspection XX</w:t>
            </w:r>
          </w:p>
          <w:p w14:paraId="3E238272" w14:textId="77777777" w:rsidR="002D3D62" w:rsidRPr="002D3D62" w:rsidRDefault="002D3D62" w:rsidP="002D3D62">
            <w:pPr>
              <w:pStyle w:val="TableParagraph"/>
              <w:ind w:left="86"/>
              <w:rPr>
                <w:rFonts w:ascii="Arial" w:hAnsi="Arial" w:cs="Arial"/>
                <w:sz w:val="18"/>
                <w:szCs w:val="18"/>
              </w:rPr>
            </w:pPr>
            <w:r w:rsidRPr="002D3D62">
              <w:rPr>
                <w:rFonts w:ascii="Arial" w:hAnsi="Arial" w:cs="Arial"/>
                <w:sz w:val="18"/>
                <w:szCs w:val="18"/>
              </w:rPr>
              <w:t>24 months interval</w:t>
            </w:r>
          </w:p>
        </w:tc>
        <w:tc>
          <w:tcPr>
            <w:tcW w:w="3302" w:type="dxa"/>
          </w:tcPr>
          <w:p w14:paraId="73502F65" w14:textId="77777777" w:rsidR="002D3D62" w:rsidRPr="002D3D62" w:rsidRDefault="002D3D62" w:rsidP="002D3D62">
            <w:pPr>
              <w:pStyle w:val="TableParagraph"/>
              <w:rPr>
                <w:rFonts w:ascii="Arial" w:hAnsi="Arial" w:cs="Arial"/>
                <w:sz w:val="18"/>
                <w:szCs w:val="18"/>
              </w:rPr>
            </w:pPr>
            <w:r w:rsidRPr="002D3D62">
              <w:rPr>
                <w:rFonts w:ascii="Arial" w:hAnsi="Arial" w:cs="Arial"/>
                <w:sz w:val="18"/>
                <w:szCs w:val="18"/>
              </w:rPr>
              <w:t>Inspection XX</w:t>
            </w:r>
          </w:p>
          <w:p w14:paraId="663729AE" w14:textId="77777777" w:rsidR="002D3D62" w:rsidRPr="002D3D62" w:rsidRDefault="002D3D62" w:rsidP="002D3D62">
            <w:pPr>
              <w:pStyle w:val="TableParagraph"/>
              <w:rPr>
                <w:rFonts w:ascii="Arial" w:hAnsi="Arial" w:cs="Arial"/>
                <w:sz w:val="18"/>
                <w:szCs w:val="18"/>
              </w:rPr>
            </w:pPr>
            <w:r w:rsidRPr="002D3D62">
              <w:rPr>
                <w:rFonts w:ascii="Arial" w:hAnsi="Arial" w:cs="Arial"/>
                <w:sz w:val="18"/>
                <w:szCs w:val="18"/>
              </w:rPr>
              <w:t>36 months</w:t>
            </w:r>
          </w:p>
        </w:tc>
        <w:tc>
          <w:tcPr>
            <w:tcW w:w="1949" w:type="dxa"/>
          </w:tcPr>
          <w:p w14:paraId="6D46D8F1" w14:textId="77777777" w:rsidR="002D3D62" w:rsidRPr="002D3D62" w:rsidRDefault="002D3D62" w:rsidP="002D3D62">
            <w:pPr>
              <w:pStyle w:val="TableParagraph"/>
              <w:ind w:left="84"/>
              <w:rPr>
                <w:rFonts w:ascii="Arial" w:hAnsi="Arial" w:cs="Arial"/>
                <w:sz w:val="18"/>
                <w:szCs w:val="18"/>
              </w:rPr>
            </w:pPr>
            <w:r w:rsidRPr="002D3D62">
              <w:rPr>
                <w:rFonts w:ascii="Arial" w:hAnsi="Arial" w:cs="Arial"/>
                <w:sz w:val="18"/>
                <w:szCs w:val="18"/>
              </w:rPr>
              <w:t>None relevant</w:t>
            </w:r>
          </w:p>
        </w:tc>
        <w:tc>
          <w:tcPr>
            <w:tcW w:w="2128" w:type="dxa"/>
          </w:tcPr>
          <w:p w14:paraId="51FD827F" w14:textId="77777777" w:rsidR="002D3D62" w:rsidRPr="002D3D62" w:rsidRDefault="002D3D62" w:rsidP="002D3D62">
            <w:pPr>
              <w:pStyle w:val="TableParagraph"/>
              <w:ind w:left="82"/>
              <w:rPr>
                <w:rFonts w:ascii="Arial" w:hAnsi="Arial" w:cs="Arial"/>
                <w:sz w:val="18"/>
                <w:szCs w:val="18"/>
              </w:rPr>
            </w:pPr>
            <w:r w:rsidRPr="002D3D62">
              <w:rPr>
                <w:rFonts w:ascii="Arial" w:hAnsi="Arial" w:cs="Arial"/>
                <w:sz w:val="18"/>
                <w:szCs w:val="18"/>
              </w:rPr>
              <w:t>Yes</w:t>
            </w:r>
          </w:p>
        </w:tc>
      </w:tr>
      <w:tr w:rsidR="002D3D62" w:rsidRPr="002D3D62" w14:paraId="51801636" w14:textId="77777777" w:rsidTr="00C342B1">
        <w:trPr>
          <w:trHeight w:val="445"/>
        </w:trPr>
        <w:tc>
          <w:tcPr>
            <w:tcW w:w="1865" w:type="dxa"/>
          </w:tcPr>
          <w:p w14:paraId="38D31040" w14:textId="77777777" w:rsidR="002D3D62" w:rsidRPr="002D3D62" w:rsidRDefault="002D3D62" w:rsidP="002D3D62">
            <w:pPr>
              <w:pStyle w:val="TableParagraph"/>
              <w:ind w:left="86"/>
              <w:rPr>
                <w:rFonts w:ascii="Arial" w:hAnsi="Arial" w:cs="Arial"/>
                <w:sz w:val="18"/>
                <w:szCs w:val="18"/>
              </w:rPr>
            </w:pPr>
            <w:r w:rsidRPr="002D3D62">
              <w:rPr>
                <w:rFonts w:ascii="Arial" w:hAnsi="Arial" w:cs="Arial"/>
                <w:sz w:val="18"/>
                <w:szCs w:val="18"/>
              </w:rPr>
              <w:t>Functional test</w:t>
            </w:r>
          </w:p>
        </w:tc>
        <w:tc>
          <w:tcPr>
            <w:tcW w:w="3302" w:type="dxa"/>
          </w:tcPr>
          <w:p w14:paraId="1423400B" w14:textId="77777777" w:rsidR="002D3D62" w:rsidRPr="002D3D62" w:rsidRDefault="002D3D62" w:rsidP="002D3D62">
            <w:pPr>
              <w:pStyle w:val="TableParagraph"/>
              <w:rPr>
                <w:rFonts w:ascii="Arial" w:hAnsi="Arial" w:cs="Arial"/>
                <w:sz w:val="18"/>
                <w:szCs w:val="18"/>
              </w:rPr>
            </w:pPr>
            <w:r w:rsidRPr="002D3D62">
              <w:rPr>
                <w:rFonts w:ascii="Arial" w:hAnsi="Arial" w:cs="Arial"/>
                <w:sz w:val="18"/>
                <w:szCs w:val="18"/>
              </w:rPr>
              <w:t>General visual inspection</w:t>
            </w:r>
          </w:p>
        </w:tc>
        <w:tc>
          <w:tcPr>
            <w:tcW w:w="1949" w:type="dxa"/>
          </w:tcPr>
          <w:p w14:paraId="275CA2D7" w14:textId="77777777" w:rsidR="002D3D62" w:rsidRPr="002D3D62" w:rsidRDefault="002D3D62" w:rsidP="002D3D62">
            <w:pPr>
              <w:pStyle w:val="TableParagraph"/>
              <w:ind w:left="84"/>
              <w:rPr>
                <w:rFonts w:ascii="Arial" w:hAnsi="Arial" w:cs="Arial"/>
                <w:sz w:val="18"/>
                <w:szCs w:val="18"/>
              </w:rPr>
            </w:pPr>
            <w:r w:rsidRPr="002D3D62">
              <w:rPr>
                <w:rFonts w:ascii="Arial" w:hAnsi="Arial" w:cs="Arial"/>
                <w:sz w:val="18"/>
                <w:szCs w:val="18"/>
              </w:rPr>
              <w:t>None relevant</w:t>
            </w:r>
          </w:p>
        </w:tc>
        <w:tc>
          <w:tcPr>
            <w:tcW w:w="2128" w:type="dxa"/>
          </w:tcPr>
          <w:p w14:paraId="27DFD877" w14:textId="77777777" w:rsidR="002D3D62" w:rsidRPr="002D3D62" w:rsidRDefault="002D3D62" w:rsidP="002D3D62">
            <w:pPr>
              <w:pStyle w:val="TableParagraph"/>
              <w:ind w:left="82"/>
              <w:rPr>
                <w:rFonts w:ascii="Arial" w:hAnsi="Arial" w:cs="Arial"/>
                <w:sz w:val="18"/>
                <w:szCs w:val="18"/>
              </w:rPr>
            </w:pPr>
            <w:r w:rsidRPr="002D3D62">
              <w:rPr>
                <w:rFonts w:ascii="Arial" w:hAnsi="Arial" w:cs="Arial"/>
                <w:sz w:val="18"/>
                <w:szCs w:val="18"/>
              </w:rPr>
              <w:t>Yes</w:t>
            </w:r>
          </w:p>
        </w:tc>
      </w:tr>
    </w:tbl>
    <w:p w14:paraId="39E0EC4F" w14:textId="77777777" w:rsidR="008E0B60" w:rsidRPr="008E0B60" w:rsidRDefault="008E0B60" w:rsidP="008E0B60">
      <w:pPr>
        <w:jc w:val="both"/>
        <w:rPr>
          <w:rFonts w:ascii="Arial" w:eastAsia="Times New Roman" w:hAnsi="Arial" w:cs="Arial"/>
          <w:sz w:val="18"/>
          <w:szCs w:val="18"/>
        </w:rPr>
      </w:pPr>
      <w:r w:rsidRPr="008E0B60">
        <w:rPr>
          <w:rFonts w:ascii="Arial" w:eastAsia="Times New Roman" w:hAnsi="Arial" w:cs="Arial"/>
          <w:sz w:val="18"/>
          <w:szCs w:val="18"/>
        </w:rPr>
        <w:t>*A functional test is considered more restrictive than an operational test.</w:t>
      </w:r>
    </w:p>
    <w:p w14:paraId="04D6729D" w14:textId="77777777" w:rsidR="00AE579F" w:rsidRDefault="00AE579F" w:rsidP="00974BFA">
      <w:pPr>
        <w:jc w:val="both"/>
        <w:rPr>
          <w:rFonts w:ascii="Arial" w:eastAsia="Times New Roman" w:hAnsi="Arial" w:cs="Arial"/>
          <w:sz w:val="18"/>
          <w:szCs w:val="18"/>
        </w:rPr>
      </w:pPr>
    </w:p>
    <w:p w14:paraId="31F79155" w14:textId="77777777" w:rsidR="008E0B60" w:rsidRPr="008E0B60" w:rsidRDefault="008E0B60" w:rsidP="008E0B60">
      <w:pPr>
        <w:jc w:val="both"/>
        <w:rPr>
          <w:rFonts w:ascii="Arial" w:eastAsia="Times New Roman" w:hAnsi="Arial" w:cs="Arial"/>
          <w:sz w:val="20"/>
          <w:szCs w:val="18"/>
        </w:rPr>
      </w:pPr>
      <w:r w:rsidRPr="008E0B60">
        <w:rPr>
          <w:rFonts w:ascii="Arial" w:eastAsia="Times New Roman" w:hAnsi="Arial" w:cs="Arial"/>
          <w:sz w:val="20"/>
          <w:szCs w:val="18"/>
        </w:rPr>
        <w:t>Remark: the above does not apply to one-time interval extensions, for which ML.A.302(d)(1) provides 1-month or 10-h tolerance (i.e. permitted variation) for aeroplanes, touring motor gliders (TMGs) and balloons and 1-month tolerance for sailplanes and powered sailplanes other than TMGs.</w:t>
      </w:r>
    </w:p>
    <w:p w14:paraId="018F2860" w14:textId="77777777" w:rsidR="008E0B60" w:rsidRDefault="008E0B60" w:rsidP="00974BFA">
      <w:pPr>
        <w:jc w:val="both"/>
        <w:rPr>
          <w:rFonts w:ascii="Arial" w:eastAsia="Times New Roman" w:hAnsi="Arial" w:cs="Arial"/>
          <w:sz w:val="18"/>
          <w:szCs w:val="18"/>
        </w:rPr>
      </w:pPr>
    </w:p>
    <w:p w14:paraId="6C0C8AB8" w14:textId="77777777" w:rsidR="008E0B60" w:rsidRPr="008E0B60" w:rsidRDefault="008E0B60" w:rsidP="008E0B60">
      <w:pPr>
        <w:keepNext/>
        <w:keepLines/>
        <w:widowControl/>
        <w:shd w:val="clear" w:color="auto" w:fill="339966"/>
        <w:autoSpaceDE/>
        <w:autoSpaceDN/>
        <w:spacing w:before="160" w:after="120" w:line="259" w:lineRule="auto"/>
        <w:outlineLvl w:val="4"/>
        <w:rPr>
          <w:rFonts w:ascii="Arial" w:eastAsia="Times New Roman" w:hAnsi="Arial" w:cs="Times New Roman"/>
          <w:b/>
          <w:color w:val="FFFFFF"/>
          <w:sz w:val="24"/>
        </w:rPr>
      </w:pPr>
      <w:bookmarkStart w:id="833" w:name="_Toc153137514"/>
      <w:r w:rsidRPr="008E0B60">
        <w:rPr>
          <w:rFonts w:ascii="Arial" w:eastAsia="Times New Roman" w:hAnsi="Arial" w:cs="Times New Roman"/>
          <w:b/>
          <w:color w:val="FFFFFF"/>
          <w:sz w:val="24"/>
        </w:rPr>
        <w:t>GM1 ML.A.302(c)(4) Aircraft maintenance programme</w:t>
      </w:r>
      <w:bookmarkEnd w:id="833"/>
      <w:r w:rsidRPr="008E0B60">
        <w:rPr>
          <w:rFonts w:ascii="Arial" w:eastAsia="Times New Roman" w:hAnsi="Arial" w:cs="Times New Roman"/>
          <w:b/>
          <w:color w:val="FFFFFF"/>
          <w:sz w:val="24"/>
        </w:rPr>
        <w:tab/>
      </w:r>
    </w:p>
    <w:p w14:paraId="38329641" w14:textId="77777777" w:rsidR="008E0B60" w:rsidRPr="008E0B60" w:rsidRDefault="008E0B60" w:rsidP="008E0B60">
      <w:pPr>
        <w:widowControl/>
        <w:autoSpaceDE/>
        <w:autoSpaceDN/>
        <w:spacing w:before="240" w:after="160" w:line="264" w:lineRule="auto"/>
        <w:jc w:val="both"/>
        <w:rPr>
          <w:rFonts w:ascii="Arial" w:eastAsiaTheme="minorHAnsi" w:hAnsi="Arial" w:cs="Arial"/>
          <w:b/>
          <w:bCs/>
          <w:sz w:val="20"/>
          <w:szCs w:val="20"/>
        </w:rPr>
      </w:pPr>
      <w:r w:rsidRPr="008E0B60">
        <w:rPr>
          <w:rFonts w:ascii="Arial" w:eastAsiaTheme="minorHAnsi" w:hAnsi="Arial" w:cs="Arial"/>
          <w:b/>
          <w:bCs/>
          <w:sz w:val="20"/>
          <w:szCs w:val="20"/>
        </w:rPr>
        <w:t>MANDATORY CONTINUING AIRWORTHINESS INFORMATION OTHER THAN ADS</w:t>
      </w:r>
    </w:p>
    <w:p w14:paraId="07BAFFBA" w14:textId="77777777" w:rsidR="008E0B60" w:rsidRPr="008E0B60" w:rsidRDefault="008E0B60" w:rsidP="008E0B60">
      <w:pPr>
        <w:spacing w:before="118"/>
        <w:ind w:right="194"/>
        <w:jc w:val="both"/>
        <w:rPr>
          <w:rFonts w:ascii="Arial" w:hAnsi="Arial" w:cs="Arial"/>
          <w:sz w:val="20"/>
        </w:rPr>
      </w:pPr>
      <w:r w:rsidRPr="008E0B60">
        <w:rPr>
          <w:rFonts w:ascii="Arial" w:hAnsi="Arial" w:cs="Arial"/>
          <w:sz w:val="20"/>
        </w:rPr>
        <w:t>‘Mandatory continuing airworthiness information’ other than ADs may be different from one aircraft</w:t>
      </w:r>
      <w:r w:rsidRPr="008E0B60">
        <w:rPr>
          <w:rFonts w:ascii="Arial" w:hAnsi="Arial" w:cs="Arial"/>
          <w:spacing w:val="-47"/>
          <w:sz w:val="20"/>
        </w:rPr>
        <w:t xml:space="preserve"> </w:t>
      </w:r>
      <w:r w:rsidRPr="008E0B60">
        <w:rPr>
          <w:rFonts w:ascii="Arial" w:hAnsi="Arial" w:cs="Arial"/>
          <w:spacing w:val="-1"/>
          <w:sz w:val="20"/>
        </w:rPr>
        <w:t>to</w:t>
      </w:r>
      <w:r w:rsidRPr="008E0B60">
        <w:rPr>
          <w:rFonts w:ascii="Arial" w:hAnsi="Arial" w:cs="Arial"/>
          <w:spacing w:val="-10"/>
          <w:sz w:val="20"/>
        </w:rPr>
        <w:t xml:space="preserve"> </w:t>
      </w:r>
      <w:r w:rsidRPr="008E0B60">
        <w:rPr>
          <w:rFonts w:ascii="Arial" w:hAnsi="Arial" w:cs="Arial"/>
          <w:spacing w:val="-1"/>
          <w:sz w:val="20"/>
        </w:rPr>
        <w:t>an</w:t>
      </w:r>
      <w:r w:rsidRPr="008E0B60">
        <w:rPr>
          <w:rFonts w:ascii="Arial" w:hAnsi="Arial" w:cs="Arial"/>
          <w:spacing w:val="-15"/>
          <w:sz w:val="20"/>
        </w:rPr>
        <w:t xml:space="preserve"> </w:t>
      </w:r>
      <w:r w:rsidRPr="008E0B60">
        <w:rPr>
          <w:rFonts w:ascii="Arial" w:hAnsi="Arial" w:cs="Arial"/>
          <w:spacing w:val="-1"/>
          <w:sz w:val="20"/>
        </w:rPr>
        <w:t>other,</w:t>
      </w:r>
      <w:r w:rsidRPr="008E0B60">
        <w:rPr>
          <w:rFonts w:ascii="Arial" w:hAnsi="Arial" w:cs="Arial"/>
          <w:spacing w:val="-12"/>
          <w:sz w:val="20"/>
        </w:rPr>
        <w:t xml:space="preserve"> </w:t>
      </w:r>
      <w:r w:rsidRPr="008E0B60">
        <w:rPr>
          <w:rFonts w:ascii="Arial" w:hAnsi="Arial" w:cs="Arial"/>
          <w:sz w:val="20"/>
        </w:rPr>
        <w:t>depending</w:t>
      </w:r>
      <w:r w:rsidRPr="008E0B60">
        <w:rPr>
          <w:rFonts w:ascii="Arial" w:hAnsi="Arial" w:cs="Arial"/>
          <w:spacing w:val="-13"/>
          <w:sz w:val="20"/>
        </w:rPr>
        <w:t xml:space="preserve"> </w:t>
      </w:r>
      <w:r w:rsidRPr="008E0B60">
        <w:rPr>
          <w:rFonts w:ascii="Arial" w:hAnsi="Arial" w:cs="Arial"/>
          <w:sz w:val="20"/>
        </w:rPr>
        <w:t>on</w:t>
      </w:r>
      <w:r w:rsidRPr="008E0B60">
        <w:rPr>
          <w:rFonts w:ascii="Arial" w:hAnsi="Arial" w:cs="Arial"/>
          <w:spacing w:val="-15"/>
          <w:sz w:val="20"/>
        </w:rPr>
        <w:t xml:space="preserve"> </w:t>
      </w:r>
      <w:r w:rsidRPr="008E0B60">
        <w:rPr>
          <w:rFonts w:ascii="Arial" w:hAnsi="Arial" w:cs="Arial"/>
          <w:sz w:val="20"/>
        </w:rPr>
        <w:t>the</w:t>
      </w:r>
      <w:r w:rsidRPr="008E0B60">
        <w:rPr>
          <w:rFonts w:ascii="Arial" w:hAnsi="Arial" w:cs="Arial"/>
          <w:spacing w:val="-11"/>
          <w:sz w:val="20"/>
        </w:rPr>
        <w:t xml:space="preserve"> </w:t>
      </w:r>
      <w:r w:rsidRPr="008E0B60">
        <w:rPr>
          <w:rFonts w:ascii="Arial" w:hAnsi="Arial" w:cs="Arial"/>
          <w:sz w:val="20"/>
        </w:rPr>
        <w:t>type</w:t>
      </w:r>
      <w:r w:rsidRPr="008E0B60">
        <w:rPr>
          <w:rFonts w:ascii="Arial" w:hAnsi="Arial" w:cs="Arial"/>
          <w:spacing w:val="-14"/>
          <w:sz w:val="20"/>
        </w:rPr>
        <w:t xml:space="preserve"> </w:t>
      </w:r>
      <w:r w:rsidRPr="008E0B60">
        <w:rPr>
          <w:rFonts w:ascii="Arial" w:hAnsi="Arial" w:cs="Arial"/>
          <w:sz w:val="20"/>
        </w:rPr>
        <w:t>certification</w:t>
      </w:r>
      <w:r w:rsidRPr="008E0B60">
        <w:rPr>
          <w:rFonts w:ascii="Arial" w:hAnsi="Arial" w:cs="Arial"/>
          <w:spacing w:val="-13"/>
          <w:sz w:val="20"/>
        </w:rPr>
        <w:t xml:space="preserve"> </w:t>
      </w:r>
      <w:r w:rsidRPr="008E0B60">
        <w:rPr>
          <w:rFonts w:ascii="Arial" w:hAnsi="Arial" w:cs="Arial"/>
          <w:sz w:val="20"/>
        </w:rPr>
        <w:t>basis</w:t>
      </w:r>
      <w:r w:rsidRPr="008E0B60">
        <w:rPr>
          <w:rFonts w:ascii="Arial" w:hAnsi="Arial" w:cs="Arial"/>
          <w:spacing w:val="-12"/>
          <w:sz w:val="20"/>
        </w:rPr>
        <w:t xml:space="preserve"> </w:t>
      </w:r>
      <w:r w:rsidRPr="008E0B60">
        <w:rPr>
          <w:rFonts w:ascii="Arial" w:hAnsi="Arial" w:cs="Arial"/>
          <w:sz w:val="20"/>
        </w:rPr>
        <w:t>used.</w:t>
      </w:r>
      <w:r w:rsidRPr="008E0B60">
        <w:rPr>
          <w:rFonts w:ascii="Arial" w:hAnsi="Arial" w:cs="Arial"/>
          <w:spacing w:val="-13"/>
          <w:sz w:val="20"/>
        </w:rPr>
        <w:t xml:space="preserve"> </w:t>
      </w:r>
      <w:r w:rsidRPr="008E0B60">
        <w:rPr>
          <w:rFonts w:ascii="Arial" w:hAnsi="Arial" w:cs="Arial"/>
          <w:sz w:val="20"/>
        </w:rPr>
        <w:t>The</w:t>
      </w:r>
      <w:r w:rsidRPr="008E0B60">
        <w:rPr>
          <w:rFonts w:ascii="Arial" w:hAnsi="Arial" w:cs="Arial"/>
          <w:spacing w:val="-12"/>
          <w:sz w:val="20"/>
        </w:rPr>
        <w:t xml:space="preserve"> </w:t>
      </w:r>
      <w:r w:rsidRPr="008E0B60">
        <w:rPr>
          <w:rFonts w:ascii="Arial" w:hAnsi="Arial" w:cs="Arial"/>
          <w:sz w:val="20"/>
        </w:rPr>
        <w:t>aircraft</w:t>
      </w:r>
      <w:r w:rsidRPr="008E0B60">
        <w:rPr>
          <w:rFonts w:ascii="Arial" w:hAnsi="Arial" w:cs="Arial"/>
          <w:spacing w:val="-14"/>
          <w:sz w:val="20"/>
        </w:rPr>
        <w:t xml:space="preserve"> </w:t>
      </w:r>
      <w:r w:rsidRPr="008E0B60">
        <w:rPr>
          <w:rFonts w:ascii="Arial" w:hAnsi="Arial" w:cs="Arial"/>
          <w:sz w:val="20"/>
        </w:rPr>
        <w:t>may</w:t>
      </w:r>
      <w:r w:rsidRPr="008E0B60">
        <w:rPr>
          <w:rFonts w:ascii="Arial" w:hAnsi="Arial" w:cs="Arial"/>
          <w:spacing w:val="-11"/>
          <w:sz w:val="20"/>
        </w:rPr>
        <w:t xml:space="preserve"> </w:t>
      </w:r>
      <w:r w:rsidRPr="008E0B60">
        <w:rPr>
          <w:rFonts w:ascii="Arial" w:hAnsi="Arial" w:cs="Arial"/>
          <w:sz w:val="20"/>
        </w:rPr>
        <w:t>have</w:t>
      </w:r>
      <w:r w:rsidRPr="008E0B60">
        <w:rPr>
          <w:rFonts w:ascii="Arial" w:hAnsi="Arial" w:cs="Arial"/>
          <w:spacing w:val="-14"/>
          <w:sz w:val="20"/>
        </w:rPr>
        <w:t xml:space="preserve"> </w:t>
      </w:r>
      <w:r w:rsidRPr="008E0B60">
        <w:rPr>
          <w:rFonts w:ascii="Arial" w:hAnsi="Arial" w:cs="Arial"/>
          <w:sz w:val="20"/>
        </w:rPr>
        <w:t>been</w:t>
      </w:r>
      <w:r w:rsidRPr="008E0B60">
        <w:rPr>
          <w:rFonts w:ascii="Arial" w:hAnsi="Arial" w:cs="Arial"/>
          <w:spacing w:val="-13"/>
          <w:sz w:val="20"/>
        </w:rPr>
        <w:t xml:space="preserve"> </w:t>
      </w:r>
      <w:r w:rsidRPr="008E0B60">
        <w:rPr>
          <w:rFonts w:ascii="Arial" w:hAnsi="Arial" w:cs="Arial"/>
          <w:sz w:val="20"/>
        </w:rPr>
        <w:t>certified</w:t>
      </w:r>
      <w:r w:rsidRPr="008E0B60">
        <w:rPr>
          <w:rFonts w:ascii="Arial" w:hAnsi="Arial" w:cs="Arial"/>
          <w:spacing w:val="-12"/>
          <w:sz w:val="20"/>
        </w:rPr>
        <w:t xml:space="preserve"> </w:t>
      </w:r>
      <w:r w:rsidRPr="008E0B60">
        <w:rPr>
          <w:rFonts w:ascii="Arial" w:hAnsi="Arial" w:cs="Arial"/>
          <w:sz w:val="20"/>
        </w:rPr>
        <w:t>before</w:t>
      </w:r>
      <w:r w:rsidRPr="008E0B60">
        <w:rPr>
          <w:rFonts w:ascii="Arial" w:hAnsi="Arial" w:cs="Arial"/>
          <w:spacing w:val="-47"/>
          <w:sz w:val="20"/>
        </w:rPr>
        <w:t xml:space="preserve"> </w:t>
      </w:r>
      <w:r w:rsidRPr="008E0B60">
        <w:rPr>
          <w:rFonts w:ascii="Arial" w:hAnsi="Arial" w:cs="Arial"/>
          <w:sz w:val="20"/>
        </w:rPr>
        <w:t>the</w:t>
      </w:r>
      <w:r w:rsidRPr="008E0B60">
        <w:rPr>
          <w:rFonts w:ascii="Arial" w:hAnsi="Arial" w:cs="Arial"/>
          <w:spacing w:val="-4"/>
          <w:sz w:val="20"/>
        </w:rPr>
        <w:t xml:space="preserve"> </w:t>
      </w:r>
      <w:r w:rsidRPr="008E0B60">
        <w:rPr>
          <w:rFonts w:ascii="Arial" w:hAnsi="Arial" w:cs="Arial"/>
          <w:sz w:val="20"/>
        </w:rPr>
        <w:t>term</w:t>
      </w:r>
      <w:r w:rsidRPr="008E0B60">
        <w:rPr>
          <w:rFonts w:ascii="Arial" w:hAnsi="Arial" w:cs="Arial"/>
          <w:spacing w:val="-3"/>
          <w:sz w:val="20"/>
        </w:rPr>
        <w:t xml:space="preserve"> </w:t>
      </w:r>
      <w:r w:rsidRPr="008E0B60">
        <w:rPr>
          <w:rFonts w:ascii="Arial" w:hAnsi="Arial" w:cs="Arial"/>
          <w:sz w:val="20"/>
        </w:rPr>
        <w:t>‘ALS</w:t>
      </w:r>
      <w:r w:rsidRPr="008E0B60">
        <w:rPr>
          <w:rFonts w:ascii="Arial" w:hAnsi="Arial" w:cs="Arial"/>
          <w:spacing w:val="-3"/>
          <w:sz w:val="20"/>
        </w:rPr>
        <w:t xml:space="preserve"> </w:t>
      </w:r>
      <w:r w:rsidRPr="008E0B60">
        <w:rPr>
          <w:rFonts w:ascii="Arial" w:hAnsi="Arial" w:cs="Arial"/>
          <w:sz w:val="20"/>
        </w:rPr>
        <w:t>(Airworthiness</w:t>
      </w:r>
      <w:r w:rsidRPr="008E0B60">
        <w:rPr>
          <w:rFonts w:ascii="Arial" w:hAnsi="Arial" w:cs="Arial"/>
          <w:spacing w:val="-4"/>
          <w:sz w:val="20"/>
        </w:rPr>
        <w:t xml:space="preserve"> </w:t>
      </w:r>
      <w:r w:rsidRPr="008E0B60">
        <w:rPr>
          <w:rFonts w:ascii="Arial" w:hAnsi="Arial" w:cs="Arial"/>
          <w:sz w:val="20"/>
        </w:rPr>
        <w:t>Limitations</w:t>
      </w:r>
      <w:r w:rsidRPr="008E0B60">
        <w:rPr>
          <w:rFonts w:ascii="Arial" w:hAnsi="Arial" w:cs="Arial"/>
          <w:spacing w:val="-3"/>
          <w:sz w:val="20"/>
        </w:rPr>
        <w:t xml:space="preserve"> </w:t>
      </w:r>
      <w:r w:rsidRPr="008E0B60">
        <w:rPr>
          <w:rFonts w:ascii="Arial" w:hAnsi="Arial" w:cs="Arial"/>
          <w:sz w:val="20"/>
        </w:rPr>
        <w:t>Section)’</w:t>
      </w:r>
      <w:r w:rsidRPr="008E0B60">
        <w:rPr>
          <w:rFonts w:ascii="Arial" w:hAnsi="Arial" w:cs="Arial"/>
          <w:spacing w:val="-4"/>
          <w:sz w:val="20"/>
        </w:rPr>
        <w:t xml:space="preserve"> </w:t>
      </w:r>
      <w:r w:rsidRPr="008E0B60">
        <w:rPr>
          <w:rFonts w:ascii="Arial" w:hAnsi="Arial" w:cs="Arial"/>
          <w:sz w:val="20"/>
        </w:rPr>
        <w:t>was</w:t>
      </w:r>
      <w:r w:rsidRPr="008E0B60">
        <w:rPr>
          <w:rFonts w:ascii="Arial" w:hAnsi="Arial" w:cs="Arial"/>
          <w:spacing w:val="-6"/>
          <w:sz w:val="20"/>
        </w:rPr>
        <w:t xml:space="preserve"> </w:t>
      </w:r>
      <w:r w:rsidRPr="008E0B60">
        <w:rPr>
          <w:rFonts w:ascii="Arial" w:hAnsi="Arial" w:cs="Arial"/>
          <w:sz w:val="20"/>
        </w:rPr>
        <w:t>introduced</w:t>
      </w:r>
      <w:r w:rsidRPr="008E0B60">
        <w:rPr>
          <w:rFonts w:ascii="Arial" w:hAnsi="Arial" w:cs="Arial"/>
          <w:spacing w:val="-3"/>
          <w:sz w:val="20"/>
        </w:rPr>
        <w:t xml:space="preserve"> </w:t>
      </w:r>
      <w:r w:rsidRPr="008E0B60">
        <w:rPr>
          <w:rFonts w:ascii="Arial" w:hAnsi="Arial" w:cs="Arial"/>
          <w:sz w:val="20"/>
        </w:rPr>
        <w:t>in</w:t>
      </w:r>
      <w:r w:rsidRPr="008E0B60">
        <w:rPr>
          <w:rFonts w:ascii="Arial" w:hAnsi="Arial" w:cs="Arial"/>
          <w:spacing w:val="-5"/>
          <w:sz w:val="20"/>
        </w:rPr>
        <w:t xml:space="preserve"> </w:t>
      </w:r>
      <w:r w:rsidRPr="008E0B60">
        <w:rPr>
          <w:rFonts w:ascii="Arial" w:hAnsi="Arial" w:cs="Arial"/>
          <w:sz w:val="20"/>
        </w:rPr>
        <w:t>the</w:t>
      </w:r>
      <w:r w:rsidRPr="008E0B60">
        <w:rPr>
          <w:rFonts w:ascii="Arial" w:hAnsi="Arial" w:cs="Arial"/>
          <w:spacing w:val="-3"/>
          <w:sz w:val="20"/>
        </w:rPr>
        <w:t xml:space="preserve"> </w:t>
      </w:r>
      <w:r w:rsidRPr="008E0B60">
        <w:rPr>
          <w:rFonts w:ascii="Arial" w:hAnsi="Arial" w:cs="Arial"/>
          <w:sz w:val="20"/>
        </w:rPr>
        <w:t>certification</w:t>
      </w:r>
      <w:r w:rsidRPr="008E0B60">
        <w:rPr>
          <w:rFonts w:ascii="Arial" w:hAnsi="Arial" w:cs="Arial"/>
          <w:spacing w:val="-5"/>
          <w:sz w:val="20"/>
        </w:rPr>
        <w:t xml:space="preserve"> </w:t>
      </w:r>
      <w:r w:rsidRPr="008E0B60">
        <w:rPr>
          <w:rFonts w:ascii="Arial" w:hAnsi="Arial" w:cs="Arial"/>
          <w:sz w:val="20"/>
        </w:rPr>
        <w:t>specification</w:t>
      </w:r>
      <w:r w:rsidRPr="008E0B60">
        <w:rPr>
          <w:rFonts w:ascii="Arial" w:hAnsi="Arial" w:cs="Arial"/>
          <w:spacing w:val="-4"/>
          <w:sz w:val="20"/>
        </w:rPr>
        <w:t xml:space="preserve"> </w:t>
      </w:r>
      <w:r w:rsidRPr="008E0B60">
        <w:rPr>
          <w:rFonts w:ascii="Arial" w:hAnsi="Arial" w:cs="Arial"/>
          <w:sz w:val="20"/>
        </w:rPr>
        <w:t>(or</w:t>
      </w:r>
      <w:r w:rsidRPr="008E0B60">
        <w:rPr>
          <w:rFonts w:ascii="Arial" w:hAnsi="Arial" w:cs="Arial"/>
          <w:spacing w:val="-48"/>
          <w:sz w:val="20"/>
        </w:rPr>
        <w:t xml:space="preserve"> </w:t>
      </w:r>
      <w:r w:rsidRPr="008E0B60">
        <w:rPr>
          <w:rFonts w:ascii="Arial" w:hAnsi="Arial" w:cs="Arial"/>
          <w:sz w:val="20"/>
        </w:rPr>
        <w:t>airworthiness code). However, the intent is that the AMP (whether based on MIP or not) includes all</w:t>
      </w:r>
      <w:r w:rsidRPr="008E0B60">
        <w:rPr>
          <w:rFonts w:ascii="Arial" w:hAnsi="Arial" w:cs="Arial"/>
          <w:spacing w:val="1"/>
          <w:sz w:val="20"/>
        </w:rPr>
        <w:t xml:space="preserve"> </w:t>
      </w:r>
      <w:r w:rsidRPr="008E0B60">
        <w:rPr>
          <w:rFonts w:ascii="Arial" w:hAnsi="Arial" w:cs="Arial"/>
          <w:sz w:val="20"/>
        </w:rPr>
        <w:t>mandatory scheduled maintenance requirements identified during the initial airworthiness activity,</w:t>
      </w:r>
      <w:r w:rsidRPr="008E0B60">
        <w:rPr>
          <w:rFonts w:ascii="Arial" w:hAnsi="Arial" w:cs="Arial"/>
          <w:spacing w:val="1"/>
          <w:sz w:val="20"/>
        </w:rPr>
        <w:t xml:space="preserve"> </w:t>
      </w:r>
      <w:r w:rsidRPr="008E0B60">
        <w:rPr>
          <w:rFonts w:ascii="Arial" w:hAnsi="Arial" w:cs="Arial"/>
          <w:sz w:val="20"/>
        </w:rPr>
        <w:t>by the TC holder, STC holder and, if applicable, engine TC holder. These requirements may be</w:t>
      </w:r>
      <w:r w:rsidRPr="008E0B60">
        <w:rPr>
          <w:rFonts w:ascii="Arial" w:hAnsi="Arial" w:cs="Arial"/>
          <w:spacing w:val="1"/>
          <w:sz w:val="20"/>
        </w:rPr>
        <w:t xml:space="preserve"> </w:t>
      </w:r>
      <w:r w:rsidRPr="008E0B60">
        <w:rPr>
          <w:rFonts w:ascii="Arial" w:hAnsi="Arial" w:cs="Arial"/>
          <w:sz w:val="20"/>
        </w:rPr>
        <w:t>identified</w:t>
      </w:r>
      <w:r w:rsidRPr="008E0B60">
        <w:rPr>
          <w:rFonts w:ascii="Arial" w:hAnsi="Arial" w:cs="Arial"/>
          <w:spacing w:val="-1"/>
          <w:sz w:val="20"/>
        </w:rPr>
        <w:t xml:space="preserve"> </w:t>
      </w:r>
      <w:r w:rsidRPr="008E0B60">
        <w:rPr>
          <w:rFonts w:ascii="Arial" w:hAnsi="Arial" w:cs="Arial"/>
          <w:sz w:val="20"/>
        </w:rPr>
        <w:t>under a</w:t>
      </w:r>
      <w:r w:rsidRPr="008E0B60">
        <w:rPr>
          <w:rFonts w:ascii="Arial" w:hAnsi="Arial" w:cs="Arial"/>
          <w:spacing w:val="-2"/>
          <w:sz w:val="20"/>
        </w:rPr>
        <w:t xml:space="preserve"> </w:t>
      </w:r>
      <w:r w:rsidRPr="008E0B60">
        <w:rPr>
          <w:rFonts w:ascii="Arial" w:hAnsi="Arial" w:cs="Arial"/>
          <w:sz w:val="20"/>
        </w:rPr>
        <w:t>variety</w:t>
      </w:r>
      <w:r w:rsidRPr="008E0B60">
        <w:rPr>
          <w:rFonts w:ascii="Arial" w:hAnsi="Arial" w:cs="Arial"/>
          <w:spacing w:val="-1"/>
          <w:sz w:val="20"/>
        </w:rPr>
        <w:t xml:space="preserve"> </w:t>
      </w:r>
      <w:r w:rsidRPr="008E0B60">
        <w:rPr>
          <w:rFonts w:ascii="Arial" w:hAnsi="Arial" w:cs="Arial"/>
          <w:sz w:val="20"/>
        </w:rPr>
        <w:t>of designations</w:t>
      </w:r>
      <w:r w:rsidRPr="008E0B60">
        <w:rPr>
          <w:rFonts w:ascii="Arial" w:hAnsi="Arial" w:cs="Arial"/>
          <w:spacing w:val="-3"/>
          <w:sz w:val="20"/>
        </w:rPr>
        <w:t xml:space="preserve"> </w:t>
      </w:r>
      <w:r w:rsidRPr="008E0B60">
        <w:rPr>
          <w:rFonts w:ascii="Arial" w:hAnsi="Arial" w:cs="Arial"/>
          <w:sz w:val="20"/>
        </w:rPr>
        <w:t>such</w:t>
      </w:r>
      <w:r w:rsidRPr="008E0B60">
        <w:rPr>
          <w:rFonts w:ascii="Arial" w:hAnsi="Arial" w:cs="Arial"/>
          <w:spacing w:val="-1"/>
          <w:sz w:val="20"/>
        </w:rPr>
        <w:t xml:space="preserve"> </w:t>
      </w:r>
      <w:r w:rsidRPr="008E0B60">
        <w:rPr>
          <w:rFonts w:ascii="Arial" w:hAnsi="Arial" w:cs="Arial"/>
          <w:sz w:val="20"/>
        </w:rPr>
        <w:t>as:</w:t>
      </w:r>
    </w:p>
    <w:p w14:paraId="2BF13A52" w14:textId="77777777" w:rsidR="008E0B60" w:rsidRPr="008E0B60" w:rsidRDefault="008E0B60" w:rsidP="008E0B60">
      <w:pPr>
        <w:numPr>
          <w:ilvl w:val="0"/>
          <w:numId w:val="294"/>
        </w:numPr>
        <w:tabs>
          <w:tab w:val="left" w:pos="706"/>
          <w:tab w:val="left" w:pos="707"/>
        </w:tabs>
        <w:spacing w:before="120"/>
        <w:ind w:left="704"/>
        <w:jc w:val="both"/>
        <w:rPr>
          <w:rFonts w:ascii="Arial" w:hAnsi="Arial" w:cs="Arial"/>
          <w:sz w:val="20"/>
        </w:rPr>
      </w:pPr>
      <w:r w:rsidRPr="008E0B60">
        <w:rPr>
          <w:rFonts w:ascii="Arial" w:hAnsi="Arial" w:cs="Arial"/>
          <w:sz w:val="20"/>
        </w:rPr>
        <w:t>Airworthiness</w:t>
      </w:r>
      <w:r w:rsidRPr="008E0B60">
        <w:rPr>
          <w:rFonts w:ascii="Arial" w:hAnsi="Arial" w:cs="Arial"/>
          <w:spacing w:val="-2"/>
          <w:sz w:val="20"/>
        </w:rPr>
        <w:t xml:space="preserve"> </w:t>
      </w:r>
      <w:r w:rsidRPr="008E0B60">
        <w:rPr>
          <w:rFonts w:ascii="Arial" w:hAnsi="Arial" w:cs="Arial"/>
          <w:sz w:val="20"/>
        </w:rPr>
        <w:t>limitations</w:t>
      </w:r>
      <w:r w:rsidRPr="008E0B60">
        <w:rPr>
          <w:rFonts w:ascii="Arial" w:hAnsi="Arial" w:cs="Arial"/>
          <w:spacing w:val="-3"/>
          <w:sz w:val="20"/>
        </w:rPr>
        <w:t xml:space="preserve"> </w:t>
      </w:r>
      <w:r w:rsidRPr="008E0B60">
        <w:rPr>
          <w:rFonts w:ascii="Arial" w:hAnsi="Arial" w:cs="Arial"/>
          <w:sz w:val="20"/>
        </w:rPr>
        <w:t>or</w:t>
      </w:r>
      <w:r w:rsidRPr="008E0B60">
        <w:rPr>
          <w:rFonts w:ascii="Arial" w:hAnsi="Arial" w:cs="Arial"/>
          <w:spacing w:val="-1"/>
          <w:sz w:val="20"/>
        </w:rPr>
        <w:t xml:space="preserve"> </w:t>
      </w:r>
      <w:r w:rsidRPr="008E0B60">
        <w:rPr>
          <w:rFonts w:ascii="Arial" w:hAnsi="Arial" w:cs="Arial"/>
          <w:sz w:val="20"/>
        </w:rPr>
        <w:t>Airworthiness limitation</w:t>
      </w:r>
      <w:r w:rsidRPr="008E0B60">
        <w:rPr>
          <w:rFonts w:ascii="Arial" w:hAnsi="Arial" w:cs="Arial"/>
          <w:spacing w:val="-2"/>
          <w:sz w:val="20"/>
        </w:rPr>
        <w:t xml:space="preserve"> </w:t>
      </w:r>
      <w:r w:rsidRPr="008E0B60">
        <w:rPr>
          <w:rFonts w:ascii="Arial" w:hAnsi="Arial" w:cs="Arial"/>
          <w:sz w:val="20"/>
        </w:rPr>
        <w:t>items</w:t>
      </w:r>
      <w:r w:rsidRPr="008E0B60">
        <w:rPr>
          <w:rFonts w:ascii="Arial" w:hAnsi="Arial" w:cs="Arial"/>
          <w:spacing w:val="-4"/>
          <w:sz w:val="20"/>
        </w:rPr>
        <w:t xml:space="preserve"> </w:t>
      </w:r>
      <w:r w:rsidRPr="008E0B60">
        <w:rPr>
          <w:rFonts w:ascii="Arial" w:hAnsi="Arial" w:cs="Arial"/>
          <w:sz w:val="20"/>
        </w:rPr>
        <w:t>(ALI)</w:t>
      </w:r>
    </w:p>
    <w:p w14:paraId="605714A8" w14:textId="77777777" w:rsidR="008E0B60" w:rsidRPr="008E0B60" w:rsidRDefault="008E0B60" w:rsidP="008E0B60">
      <w:pPr>
        <w:numPr>
          <w:ilvl w:val="0"/>
          <w:numId w:val="294"/>
        </w:numPr>
        <w:tabs>
          <w:tab w:val="left" w:pos="706"/>
          <w:tab w:val="left" w:pos="707"/>
        </w:tabs>
        <w:spacing w:before="120"/>
        <w:ind w:left="704"/>
        <w:jc w:val="both"/>
        <w:rPr>
          <w:rFonts w:ascii="Arial" w:hAnsi="Arial" w:cs="Arial"/>
          <w:sz w:val="20"/>
        </w:rPr>
      </w:pPr>
      <w:r w:rsidRPr="008E0B60">
        <w:rPr>
          <w:rFonts w:ascii="Arial" w:hAnsi="Arial" w:cs="Arial"/>
          <w:sz w:val="20"/>
        </w:rPr>
        <w:t>Certification</w:t>
      </w:r>
      <w:r w:rsidRPr="008E0B60">
        <w:rPr>
          <w:rFonts w:ascii="Arial" w:hAnsi="Arial" w:cs="Arial"/>
          <w:spacing w:val="-7"/>
          <w:sz w:val="20"/>
        </w:rPr>
        <w:t xml:space="preserve"> </w:t>
      </w:r>
      <w:r w:rsidRPr="008E0B60">
        <w:rPr>
          <w:rFonts w:ascii="Arial" w:hAnsi="Arial" w:cs="Arial"/>
          <w:sz w:val="20"/>
        </w:rPr>
        <w:t>maintenance</w:t>
      </w:r>
      <w:r w:rsidRPr="008E0B60">
        <w:rPr>
          <w:rFonts w:ascii="Arial" w:hAnsi="Arial" w:cs="Arial"/>
          <w:spacing w:val="-3"/>
          <w:sz w:val="20"/>
        </w:rPr>
        <w:t xml:space="preserve"> </w:t>
      </w:r>
      <w:r w:rsidRPr="008E0B60">
        <w:rPr>
          <w:rFonts w:ascii="Arial" w:hAnsi="Arial" w:cs="Arial"/>
          <w:sz w:val="20"/>
        </w:rPr>
        <w:t>requirements</w:t>
      </w:r>
      <w:r w:rsidRPr="008E0B60">
        <w:rPr>
          <w:rFonts w:ascii="Arial" w:hAnsi="Arial" w:cs="Arial"/>
          <w:spacing w:val="-4"/>
          <w:sz w:val="20"/>
        </w:rPr>
        <w:t xml:space="preserve"> </w:t>
      </w:r>
      <w:r w:rsidRPr="008E0B60">
        <w:rPr>
          <w:rFonts w:ascii="Arial" w:hAnsi="Arial" w:cs="Arial"/>
          <w:sz w:val="20"/>
        </w:rPr>
        <w:t>(CMR)</w:t>
      </w:r>
    </w:p>
    <w:p w14:paraId="07C06C11" w14:textId="77777777" w:rsidR="008E0B60" w:rsidRPr="008E0B60" w:rsidRDefault="008E0B60" w:rsidP="008E0B60">
      <w:pPr>
        <w:numPr>
          <w:ilvl w:val="0"/>
          <w:numId w:val="294"/>
        </w:numPr>
        <w:tabs>
          <w:tab w:val="left" w:pos="706"/>
          <w:tab w:val="left" w:pos="707"/>
        </w:tabs>
        <w:spacing w:before="120"/>
        <w:ind w:left="704"/>
        <w:jc w:val="both"/>
        <w:rPr>
          <w:rFonts w:ascii="Arial" w:hAnsi="Arial" w:cs="Arial"/>
          <w:sz w:val="20"/>
        </w:rPr>
      </w:pPr>
      <w:r w:rsidRPr="008E0B60">
        <w:rPr>
          <w:rFonts w:ascii="Arial" w:hAnsi="Arial" w:cs="Arial"/>
          <w:sz w:val="20"/>
        </w:rPr>
        <w:t>Safe</w:t>
      </w:r>
      <w:r w:rsidRPr="008E0B60">
        <w:rPr>
          <w:rFonts w:ascii="Arial" w:hAnsi="Arial" w:cs="Arial"/>
          <w:spacing w:val="-2"/>
          <w:sz w:val="20"/>
        </w:rPr>
        <w:t xml:space="preserve"> </w:t>
      </w:r>
      <w:r w:rsidRPr="008E0B60">
        <w:rPr>
          <w:rFonts w:ascii="Arial" w:hAnsi="Arial" w:cs="Arial"/>
          <w:sz w:val="20"/>
        </w:rPr>
        <w:t>life</w:t>
      </w:r>
      <w:r w:rsidRPr="008E0B60">
        <w:rPr>
          <w:rFonts w:ascii="Arial" w:hAnsi="Arial" w:cs="Arial"/>
          <w:spacing w:val="-1"/>
          <w:sz w:val="20"/>
        </w:rPr>
        <w:t xml:space="preserve"> </w:t>
      </w:r>
      <w:r w:rsidRPr="008E0B60">
        <w:rPr>
          <w:rFonts w:ascii="Arial" w:hAnsi="Arial" w:cs="Arial"/>
          <w:sz w:val="20"/>
        </w:rPr>
        <w:t>items</w:t>
      </w:r>
      <w:r w:rsidRPr="008E0B60">
        <w:rPr>
          <w:rFonts w:ascii="Arial" w:hAnsi="Arial" w:cs="Arial"/>
          <w:spacing w:val="-4"/>
          <w:sz w:val="20"/>
        </w:rPr>
        <w:t xml:space="preserve"> </w:t>
      </w:r>
      <w:r w:rsidRPr="008E0B60">
        <w:rPr>
          <w:rFonts w:ascii="Arial" w:hAnsi="Arial" w:cs="Arial"/>
          <w:sz w:val="20"/>
        </w:rPr>
        <w:t>or</w:t>
      </w:r>
      <w:r w:rsidRPr="008E0B60">
        <w:rPr>
          <w:rFonts w:ascii="Arial" w:hAnsi="Arial" w:cs="Arial"/>
          <w:spacing w:val="-1"/>
          <w:sz w:val="20"/>
        </w:rPr>
        <w:t xml:space="preserve"> </w:t>
      </w:r>
      <w:r w:rsidRPr="008E0B60">
        <w:rPr>
          <w:rFonts w:ascii="Arial" w:hAnsi="Arial" w:cs="Arial"/>
          <w:sz w:val="20"/>
        </w:rPr>
        <w:t>safe life</w:t>
      </w:r>
      <w:r w:rsidRPr="008E0B60">
        <w:rPr>
          <w:rFonts w:ascii="Arial" w:hAnsi="Arial" w:cs="Arial"/>
          <w:spacing w:val="-5"/>
          <w:sz w:val="20"/>
        </w:rPr>
        <w:t xml:space="preserve"> </w:t>
      </w:r>
      <w:r w:rsidRPr="008E0B60">
        <w:rPr>
          <w:rFonts w:ascii="Arial" w:hAnsi="Arial" w:cs="Arial"/>
          <w:sz w:val="20"/>
        </w:rPr>
        <w:t>limits</w:t>
      </w:r>
      <w:r w:rsidRPr="008E0B60">
        <w:rPr>
          <w:rFonts w:ascii="Arial" w:hAnsi="Arial" w:cs="Arial"/>
          <w:spacing w:val="-3"/>
          <w:sz w:val="20"/>
        </w:rPr>
        <w:t xml:space="preserve"> </w:t>
      </w:r>
      <w:r w:rsidRPr="008E0B60">
        <w:rPr>
          <w:rFonts w:ascii="Arial" w:hAnsi="Arial" w:cs="Arial"/>
          <w:sz w:val="20"/>
        </w:rPr>
        <w:t>or</w:t>
      </w:r>
      <w:r w:rsidRPr="008E0B60">
        <w:rPr>
          <w:rFonts w:ascii="Arial" w:hAnsi="Arial" w:cs="Arial"/>
          <w:spacing w:val="-3"/>
          <w:sz w:val="20"/>
        </w:rPr>
        <w:t xml:space="preserve"> </w:t>
      </w:r>
      <w:r w:rsidRPr="008E0B60">
        <w:rPr>
          <w:rFonts w:ascii="Arial" w:hAnsi="Arial" w:cs="Arial"/>
          <w:sz w:val="20"/>
        </w:rPr>
        <w:t>safe</w:t>
      </w:r>
      <w:r w:rsidRPr="008E0B60">
        <w:rPr>
          <w:rFonts w:ascii="Arial" w:hAnsi="Arial" w:cs="Arial"/>
          <w:spacing w:val="-2"/>
          <w:sz w:val="20"/>
        </w:rPr>
        <w:t xml:space="preserve"> </w:t>
      </w:r>
      <w:r w:rsidRPr="008E0B60">
        <w:rPr>
          <w:rFonts w:ascii="Arial" w:hAnsi="Arial" w:cs="Arial"/>
          <w:sz w:val="20"/>
        </w:rPr>
        <w:t>life limitations</w:t>
      </w:r>
    </w:p>
    <w:p w14:paraId="7BFE8564" w14:textId="77777777" w:rsidR="008E0B60" w:rsidRPr="008E0B60" w:rsidRDefault="008E0B60" w:rsidP="008E0B60">
      <w:pPr>
        <w:numPr>
          <w:ilvl w:val="0"/>
          <w:numId w:val="294"/>
        </w:numPr>
        <w:tabs>
          <w:tab w:val="left" w:pos="706"/>
          <w:tab w:val="left" w:pos="707"/>
        </w:tabs>
        <w:spacing w:before="120"/>
        <w:ind w:left="704"/>
        <w:jc w:val="both"/>
        <w:rPr>
          <w:rFonts w:ascii="Arial" w:hAnsi="Arial" w:cs="Arial"/>
          <w:sz w:val="20"/>
        </w:rPr>
      </w:pPr>
      <w:r w:rsidRPr="008E0B60">
        <w:rPr>
          <w:rFonts w:ascii="Arial" w:hAnsi="Arial" w:cs="Arial"/>
          <w:sz w:val="20"/>
        </w:rPr>
        <w:t>Life-limited</w:t>
      </w:r>
      <w:r w:rsidRPr="008E0B60">
        <w:rPr>
          <w:rFonts w:ascii="Arial" w:hAnsi="Arial" w:cs="Arial"/>
          <w:spacing w:val="-4"/>
          <w:sz w:val="20"/>
        </w:rPr>
        <w:t xml:space="preserve"> </w:t>
      </w:r>
      <w:r w:rsidRPr="008E0B60">
        <w:rPr>
          <w:rFonts w:ascii="Arial" w:hAnsi="Arial" w:cs="Arial"/>
          <w:sz w:val="20"/>
        </w:rPr>
        <w:t>parts</w:t>
      </w:r>
      <w:r w:rsidRPr="008E0B60">
        <w:rPr>
          <w:rFonts w:ascii="Arial" w:hAnsi="Arial" w:cs="Arial"/>
          <w:spacing w:val="-2"/>
          <w:sz w:val="20"/>
        </w:rPr>
        <w:t xml:space="preserve"> </w:t>
      </w:r>
      <w:r w:rsidRPr="008E0B60">
        <w:rPr>
          <w:rFonts w:ascii="Arial" w:hAnsi="Arial" w:cs="Arial"/>
          <w:sz w:val="20"/>
        </w:rPr>
        <w:t>(LLP)</w:t>
      </w:r>
    </w:p>
    <w:p w14:paraId="6E503686" w14:textId="77777777" w:rsidR="008E0B60" w:rsidRPr="008E0B60" w:rsidRDefault="008E0B60" w:rsidP="008E0B60">
      <w:pPr>
        <w:numPr>
          <w:ilvl w:val="0"/>
          <w:numId w:val="294"/>
        </w:numPr>
        <w:tabs>
          <w:tab w:val="left" w:pos="706"/>
          <w:tab w:val="left" w:pos="707"/>
        </w:tabs>
        <w:spacing w:before="121"/>
        <w:ind w:left="704"/>
        <w:jc w:val="both"/>
        <w:rPr>
          <w:rFonts w:ascii="Arial" w:hAnsi="Arial" w:cs="Arial"/>
          <w:sz w:val="20"/>
        </w:rPr>
      </w:pPr>
      <w:r w:rsidRPr="008E0B60">
        <w:rPr>
          <w:rFonts w:ascii="Arial" w:hAnsi="Arial" w:cs="Arial"/>
          <w:sz w:val="20"/>
        </w:rPr>
        <w:t>Time</w:t>
      </w:r>
      <w:r w:rsidRPr="008E0B60">
        <w:rPr>
          <w:rFonts w:ascii="Arial" w:hAnsi="Arial" w:cs="Arial"/>
          <w:spacing w:val="-3"/>
          <w:sz w:val="20"/>
        </w:rPr>
        <w:t xml:space="preserve"> </w:t>
      </w:r>
      <w:r w:rsidRPr="008E0B60">
        <w:rPr>
          <w:rFonts w:ascii="Arial" w:hAnsi="Arial" w:cs="Arial"/>
          <w:sz w:val="20"/>
        </w:rPr>
        <w:t>limits</w:t>
      </w:r>
    </w:p>
    <w:p w14:paraId="1648B3C9" w14:textId="77777777" w:rsidR="008E0B60" w:rsidRPr="008E0B60" w:rsidRDefault="008E0B60" w:rsidP="008E0B60">
      <w:pPr>
        <w:numPr>
          <w:ilvl w:val="0"/>
          <w:numId w:val="294"/>
        </w:numPr>
        <w:tabs>
          <w:tab w:val="left" w:pos="706"/>
          <w:tab w:val="left" w:pos="707"/>
        </w:tabs>
        <w:spacing w:before="120"/>
        <w:ind w:left="704"/>
        <w:jc w:val="both"/>
        <w:rPr>
          <w:rFonts w:ascii="Arial" w:hAnsi="Arial" w:cs="Arial"/>
          <w:sz w:val="20"/>
        </w:rPr>
      </w:pPr>
      <w:r w:rsidRPr="008E0B60">
        <w:rPr>
          <w:rFonts w:ascii="Arial" w:hAnsi="Arial" w:cs="Arial"/>
          <w:sz w:val="20"/>
        </w:rPr>
        <w:t>Retirements</w:t>
      </w:r>
      <w:r w:rsidRPr="008E0B60">
        <w:rPr>
          <w:rFonts w:ascii="Arial" w:hAnsi="Arial" w:cs="Arial"/>
          <w:spacing w:val="-1"/>
          <w:sz w:val="20"/>
        </w:rPr>
        <w:t xml:space="preserve"> </w:t>
      </w:r>
      <w:r w:rsidRPr="008E0B60">
        <w:rPr>
          <w:rFonts w:ascii="Arial" w:hAnsi="Arial" w:cs="Arial"/>
          <w:sz w:val="20"/>
        </w:rPr>
        <w:t>life</w:t>
      </w:r>
    </w:p>
    <w:p w14:paraId="7E25D84B" w14:textId="77777777" w:rsidR="008E0B60" w:rsidRPr="008E0B60" w:rsidRDefault="008E0B60" w:rsidP="008E0B60">
      <w:pPr>
        <w:numPr>
          <w:ilvl w:val="0"/>
          <w:numId w:val="294"/>
        </w:numPr>
        <w:tabs>
          <w:tab w:val="left" w:pos="706"/>
          <w:tab w:val="left" w:pos="707"/>
        </w:tabs>
        <w:spacing w:before="120"/>
        <w:ind w:left="704"/>
        <w:jc w:val="both"/>
        <w:rPr>
          <w:rFonts w:ascii="Arial" w:hAnsi="Arial" w:cs="Arial"/>
          <w:sz w:val="20"/>
        </w:rPr>
      </w:pPr>
      <w:r w:rsidRPr="008E0B60">
        <w:rPr>
          <w:rFonts w:ascii="Arial" w:hAnsi="Arial" w:cs="Arial"/>
          <w:sz w:val="20"/>
        </w:rPr>
        <w:t>Mandatory</w:t>
      </w:r>
      <w:r w:rsidRPr="008E0B60">
        <w:rPr>
          <w:rFonts w:ascii="Arial" w:hAnsi="Arial" w:cs="Arial"/>
          <w:spacing w:val="-1"/>
          <w:sz w:val="20"/>
        </w:rPr>
        <w:t xml:space="preserve"> </w:t>
      </w:r>
      <w:r w:rsidRPr="008E0B60">
        <w:rPr>
          <w:rFonts w:ascii="Arial" w:hAnsi="Arial" w:cs="Arial"/>
          <w:sz w:val="20"/>
        </w:rPr>
        <w:t>Inspections</w:t>
      </w:r>
      <w:r w:rsidRPr="008E0B60">
        <w:rPr>
          <w:rFonts w:ascii="Arial" w:hAnsi="Arial" w:cs="Arial"/>
          <w:spacing w:val="-5"/>
          <w:sz w:val="20"/>
        </w:rPr>
        <w:t xml:space="preserve"> </w:t>
      </w:r>
      <w:r w:rsidRPr="008E0B60">
        <w:rPr>
          <w:rFonts w:ascii="Arial" w:hAnsi="Arial" w:cs="Arial"/>
          <w:sz w:val="20"/>
        </w:rPr>
        <w:t>or</w:t>
      </w:r>
      <w:r w:rsidRPr="008E0B60">
        <w:rPr>
          <w:rFonts w:ascii="Arial" w:hAnsi="Arial" w:cs="Arial"/>
          <w:spacing w:val="-6"/>
          <w:sz w:val="20"/>
        </w:rPr>
        <w:t xml:space="preserve"> </w:t>
      </w:r>
      <w:r w:rsidRPr="008E0B60">
        <w:rPr>
          <w:rFonts w:ascii="Arial" w:hAnsi="Arial" w:cs="Arial"/>
          <w:sz w:val="20"/>
        </w:rPr>
        <w:t>Mandatory</w:t>
      </w:r>
      <w:r w:rsidRPr="008E0B60">
        <w:rPr>
          <w:rFonts w:ascii="Arial" w:hAnsi="Arial" w:cs="Arial"/>
          <w:spacing w:val="-2"/>
          <w:sz w:val="20"/>
        </w:rPr>
        <w:t xml:space="preserve"> </w:t>
      </w:r>
      <w:r w:rsidRPr="008E0B60">
        <w:rPr>
          <w:rFonts w:ascii="Arial" w:hAnsi="Arial" w:cs="Arial"/>
          <w:sz w:val="20"/>
        </w:rPr>
        <w:t>Airworthiness</w:t>
      </w:r>
      <w:r w:rsidRPr="008E0B60">
        <w:rPr>
          <w:rFonts w:ascii="Arial" w:hAnsi="Arial" w:cs="Arial"/>
          <w:spacing w:val="-1"/>
          <w:sz w:val="20"/>
        </w:rPr>
        <w:t xml:space="preserve"> </w:t>
      </w:r>
      <w:r w:rsidRPr="008E0B60">
        <w:rPr>
          <w:rFonts w:ascii="Arial" w:hAnsi="Arial" w:cs="Arial"/>
          <w:sz w:val="20"/>
        </w:rPr>
        <w:t>Inspections</w:t>
      </w:r>
    </w:p>
    <w:p w14:paraId="0CE7B0E2" w14:textId="77777777" w:rsidR="008E0B60" w:rsidRPr="008E0B60" w:rsidRDefault="008E0B60" w:rsidP="008E0B60">
      <w:pPr>
        <w:numPr>
          <w:ilvl w:val="0"/>
          <w:numId w:val="294"/>
        </w:numPr>
        <w:tabs>
          <w:tab w:val="left" w:pos="706"/>
          <w:tab w:val="left" w:pos="707"/>
        </w:tabs>
        <w:spacing w:before="118" w:line="348" w:lineRule="auto"/>
        <w:ind w:left="138" w:right="2366" w:firstLine="0"/>
        <w:jc w:val="both"/>
        <w:rPr>
          <w:rFonts w:ascii="Arial" w:hAnsi="Arial" w:cs="Arial"/>
          <w:sz w:val="20"/>
        </w:rPr>
      </w:pPr>
      <w:r w:rsidRPr="008E0B60">
        <w:rPr>
          <w:rFonts w:ascii="Arial" w:hAnsi="Arial" w:cs="Arial"/>
          <w:sz w:val="20"/>
        </w:rPr>
        <w:t>Fuel airworthiness limitations or Fuel tank safety limitations</w:t>
      </w:r>
      <w:r w:rsidRPr="008E0B60">
        <w:rPr>
          <w:rFonts w:ascii="Arial" w:hAnsi="Arial" w:cs="Arial"/>
          <w:spacing w:val="1"/>
          <w:sz w:val="20"/>
        </w:rPr>
        <w:t xml:space="preserve"> </w:t>
      </w:r>
    </w:p>
    <w:p w14:paraId="2F79767D" w14:textId="77777777" w:rsidR="008E0B60" w:rsidRDefault="008E0B60" w:rsidP="008E0B60">
      <w:pPr>
        <w:tabs>
          <w:tab w:val="left" w:pos="706"/>
          <w:tab w:val="left" w:pos="707"/>
        </w:tabs>
        <w:spacing w:before="118" w:line="348" w:lineRule="auto"/>
        <w:ind w:left="138" w:right="2366"/>
        <w:jc w:val="both"/>
        <w:rPr>
          <w:rFonts w:ascii="Arial" w:hAnsi="Arial" w:cs="Arial"/>
          <w:sz w:val="20"/>
        </w:rPr>
      </w:pPr>
      <w:r w:rsidRPr="008E0B60">
        <w:rPr>
          <w:rFonts w:ascii="Arial" w:hAnsi="Arial" w:cs="Arial"/>
          <w:sz w:val="20"/>
        </w:rPr>
        <w:t>In</w:t>
      </w:r>
      <w:r w:rsidRPr="008E0B60">
        <w:rPr>
          <w:rFonts w:ascii="Arial" w:hAnsi="Arial" w:cs="Arial"/>
          <w:spacing w:val="-2"/>
          <w:sz w:val="20"/>
        </w:rPr>
        <w:t xml:space="preserve"> </w:t>
      </w:r>
      <w:r w:rsidRPr="008E0B60">
        <w:rPr>
          <w:rFonts w:ascii="Arial" w:hAnsi="Arial" w:cs="Arial"/>
          <w:sz w:val="20"/>
        </w:rPr>
        <w:t>case</w:t>
      </w:r>
      <w:r w:rsidRPr="008E0B60">
        <w:rPr>
          <w:rFonts w:ascii="Arial" w:hAnsi="Arial" w:cs="Arial"/>
          <w:spacing w:val="-3"/>
          <w:sz w:val="20"/>
        </w:rPr>
        <w:t xml:space="preserve"> </w:t>
      </w:r>
      <w:r w:rsidRPr="008E0B60">
        <w:rPr>
          <w:rFonts w:ascii="Arial" w:hAnsi="Arial" w:cs="Arial"/>
          <w:sz w:val="20"/>
        </w:rPr>
        <w:t>of doubt,</w:t>
      </w:r>
      <w:r w:rsidRPr="008E0B60">
        <w:rPr>
          <w:rFonts w:ascii="Arial" w:hAnsi="Arial" w:cs="Arial"/>
          <w:spacing w:val="-1"/>
          <w:sz w:val="20"/>
        </w:rPr>
        <w:t xml:space="preserve"> </w:t>
      </w:r>
      <w:r w:rsidRPr="008E0B60">
        <w:rPr>
          <w:rFonts w:ascii="Arial" w:hAnsi="Arial" w:cs="Arial"/>
          <w:sz w:val="20"/>
        </w:rPr>
        <w:t>it</w:t>
      </w:r>
      <w:r w:rsidRPr="008E0B60">
        <w:rPr>
          <w:rFonts w:ascii="Arial" w:hAnsi="Arial" w:cs="Arial"/>
          <w:spacing w:val="-1"/>
          <w:sz w:val="20"/>
        </w:rPr>
        <w:t xml:space="preserve"> </w:t>
      </w:r>
      <w:r w:rsidRPr="008E0B60">
        <w:rPr>
          <w:rFonts w:ascii="Arial" w:hAnsi="Arial" w:cs="Arial"/>
          <w:sz w:val="20"/>
        </w:rPr>
        <w:t>is advised</w:t>
      </w:r>
      <w:r w:rsidRPr="008E0B60">
        <w:rPr>
          <w:rFonts w:ascii="Arial" w:hAnsi="Arial" w:cs="Arial"/>
          <w:spacing w:val="-1"/>
          <w:sz w:val="20"/>
        </w:rPr>
        <w:t xml:space="preserve"> </w:t>
      </w:r>
      <w:r w:rsidRPr="008E0B60">
        <w:rPr>
          <w:rFonts w:ascii="Arial" w:hAnsi="Arial" w:cs="Arial"/>
          <w:sz w:val="20"/>
        </w:rPr>
        <w:t>to</w:t>
      </w:r>
      <w:r w:rsidRPr="008E0B60">
        <w:rPr>
          <w:rFonts w:ascii="Arial" w:hAnsi="Arial" w:cs="Arial"/>
          <w:spacing w:val="-1"/>
          <w:sz w:val="20"/>
        </w:rPr>
        <w:t xml:space="preserve"> </w:t>
      </w:r>
      <w:r w:rsidRPr="008E0B60">
        <w:rPr>
          <w:rFonts w:ascii="Arial" w:hAnsi="Arial" w:cs="Arial"/>
          <w:sz w:val="20"/>
        </w:rPr>
        <w:t>check</w:t>
      </w:r>
      <w:r w:rsidRPr="008E0B60">
        <w:rPr>
          <w:rFonts w:ascii="Arial" w:hAnsi="Arial" w:cs="Arial"/>
          <w:spacing w:val="1"/>
          <w:sz w:val="20"/>
        </w:rPr>
        <w:t xml:space="preserve"> </w:t>
      </w:r>
      <w:r w:rsidRPr="008E0B60">
        <w:rPr>
          <w:rFonts w:ascii="Arial" w:hAnsi="Arial" w:cs="Arial"/>
          <w:sz w:val="20"/>
        </w:rPr>
        <w:t>the TCDS</w:t>
      </w:r>
      <w:r w:rsidRPr="008E0B60">
        <w:rPr>
          <w:rFonts w:ascii="Arial" w:hAnsi="Arial" w:cs="Arial"/>
          <w:spacing w:val="-4"/>
          <w:sz w:val="20"/>
        </w:rPr>
        <w:t xml:space="preserve"> </w:t>
      </w:r>
      <w:r w:rsidRPr="008E0B60">
        <w:rPr>
          <w:rFonts w:ascii="Arial" w:hAnsi="Arial" w:cs="Arial"/>
          <w:sz w:val="20"/>
        </w:rPr>
        <w:t xml:space="preserve">or </w:t>
      </w:r>
      <w:r>
        <w:rPr>
          <w:rFonts w:ascii="Arial" w:hAnsi="Arial" w:cs="Arial"/>
          <w:sz w:val="20"/>
        </w:rPr>
        <w:t>contact the DAH.</w:t>
      </w:r>
    </w:p>
    <w:p w14:paraId="61C36F93" w14:textId="77777777" w:rsidR="008E0B60" w:rsidRPr="008E0B60" w:rsidRDefault="008E0B60" w:rsidP="008E0B60">
      <w:pPr>
        <w:ind w:left="138" w:right="199"/>
        <w:jc w:val="both"/>
        <w:rPr>
          <w:rFonts w:ascii="Arial" w:hAnsi="Arial" w:cs="Arial"/>
          <w:sz w:val="20"/>
        </w:rPr>
      </w:pPr>
      <w:r w:rsidRPr="008E0B60">
        <w:rPr>
          <w:rFonts w:ascii="Arial" w:hAnsi="Arial" w:cs="Arial"/>
          <w:sz w:val="20"/>
        </w:rPr>
        <w:t>The</w:t>
      </w:r>
      <w:r w:rsidRPr="008E0B60">
        <w:rPr>
          <w:rFonts w:ascii="Arial" w:hAnsi="Arial" w:cs="Arial"/>
          <w:spacing w:val="4"/>
          <w:sz w:val="20"/>
        </w:rPr>
        <w:t xml:space="preserve"> </w:t>
      </w:r>
      <w:r w:rsidRPr="008E0B60">
        <w:rPr>
          <w:rFonts w:ascii="Arial" w:hAnsi="Arial" w:cs="Arial"/>
          <w:sz w:val="20"/>
        </w:rPr>
        <w:t>intervals</w:t>
      </w:r>
      <w:r w:rsidRPr="008E0B60">
        <w:rPr>
          <w:rFonts w:ascii="Arial" w:hAnsi="Arial" w:cs="Arial"/>
          <w:spacing w:val="46"/>
          <w:sz w:val="20"/>
        </w:rPr>
        <w:t xml:space="preserve"> </w:t>
      </w:r>
      <w:r w:rsidRPr="008E0B60">
        <w:rPr>
          <w:rFonts w:ascii="Arial" w:hAnsi="Arial" w:cs="Arial"/>
          <w:sz w:val="20"/>
        </w:rPr>
        <w:t>of  the</w:t>
      </w:r>
      <w:r w:rsidRPr="008E0B60">
        <w:rPr>
          <w:rFonts w:ascii="Arial" w:hAnsi="Arial" w:cs="Arial"/>
          <w:spacing w:val="1"/>
          <w:sz w:val="20"/>
        </w:rPr>
        <w:t xml:space="preserve"> </w:t>
      </w:r>
      <w:r w:rsidRPr="008E0B60">
        <w:rPr>
          <w:rFonts w:ascii="Arial" w:hAnsi="Arial" w:cs="Arial"/>
          <w:sz w:val="20"/>
        </w:rPr>
        <w:t>mandatory</w:t>
      </w:r>
      <w:r w:rsidRPr="008E0B60">
        <w:rPr>
          <w:rFonts w:ascii="Arial" w:hAnsi="Arial" w:cs="Arial"/>
          <w:spacing w:val="1"/>
          <w:sz w:val="20"/>
        </w:rPr>
        <w:t xml:space="preserve"> </w:t>
      </w:r>
      <w:r w:rsidRPr="008E0B60">
        <w:rPr>
          <w:rFonts w:ascii="Arial" w:hAnsi="Arial" w:cs="Arial"/>
          <w:sz w:val="20"/>
        </w:rPr>
        <w:t>continuing</w:t>
      </w:r>
      <w:r w:rsidRPr="008E0B60">
        <w:rPr>
          <w:rFonts w:ascii="Arial" w:hAnsi="Arial" w:cs="Arial"/>
          <w:spacing w:val="2"/>
          <w:sz w:val="20"/>
        </w:rPr>
        <w:t xml:space="preserve"> </w:t>
      </w:r>
      <w:r w:rsidRPr="008E0B60">
        <w:rPr>
          <w:rFonts w:ascii="Arial" w:hAnsi="Arial" w:cs="Arial"/>
          <w:sz w:val="20"/>
        </w:rPr>
        <w:t>airworthiness</w:t>
      </w:r>
      <w:r w:rsidRPr="008E0B60">
        <w:rPr>
          <w:rFonts w:ascii="Arial" w:hAnsi="Arial" w:cs="Arial"/>
          <w:spacing w:val="4"/>
          <w:sz w:val="20"/>
        </w:rPr>
        <w:t xml:space="preserve"> </w:t>
      </w:r>
      <w:r w:rsidRPr="008E0B60">
        <w:rPr>
          <w:rFonts w:ascii="Arial" w:hAnsi="Arial" w:cs="Arial"/>
          <w:sz w:val="20"/>
        </w:rPr>
        <w:t>information</w:t>
      </w:r>
      <w:r w:rsidRPr="008E0B60">
        <w:rPr>
          <w:rFonts w:ascii="Arial" w:hAnsi="Arial" w:cs="Arial"/>
          <w:spacing w:val="48"/>
          <w:sz w:val="20"/>
        </w:rPr>
        <w:t xml:space="preserve"> </w:t>
      </w:r>
      <w:r w:rsidRPr="008E0B60">
        <w:rPr>
          <w:rFonts w:ascii="Arial" w:hAnsi="Arial" w:cs="Arial"/>
          <w:sz w:val="20"/>
        </w:rPr>
        <w:t>cannot</w:t>
      </w:r>
      <w:r w:rsidRPr="008E0B60">
        <w:rPr>
          <w:rFonts w:ascii="Arial" w:hAnsi="Arial" w:cs="Arial"/>
          <w:spacing w:val="1"/>
          <w:sz w:val="20"/>
        </w:rPr>
        <w:t xml:space="preserve"> </w:t>
      </w:r>
      <w:r w:rsidRPr="008E0B60">
        <w:rPr>
          <w:rFonts w:ascii="Arial" w:hAnsi="Arial" w:cs="Arial"/>
          <w:sz w:val="20"/>
        </w:rPr>
        <w:t>be</w:t>
      </w:r>
      <w:r w:rsidRPr="008E0B60">
        <w:rPr>
          <w:rFonts w:ascii="Arial" w:hAnsi="Arial" w:cs="Arial"/>
          <w:spacing w:val="1"/>
          <w:sz w:val="20"/>
        </w:rPr>
        <w:t xml:space="preserve"> </w:t>
      </w:r>
      <w:r w:rsidRPr="008E0B60">
        <w:rPr>
          <w:rFonts w:ascii="Arial" w:hAnsi="Arial" w:cs="Arial"/>
          <w:sz w:val="20"/>
        </w:rPr>
        <w:t>extended</w:t>
      </w:r>
      <w:r w:rsidRPr="008E0B60">
        <w:rPr>
          <w:rFonts w:ascii="Arial" w:hAnsi="Arial" w:cs="Arial"/>
          <w:spacing w:val="3"/>
          <w:sz w:val="20"/>
        </w:rPr>
        <w:t xml:space="preserve"> </w:t>
      </w:r>
      <w:r w:rsidRPr="008E0B60">
        <w:rPr>
          <w:rFonts w:ascii="Arial" w:hAnsi="Arial" w:cs="Arial"/>
          <w:sz w:val="20"/>
        </w:rPr>
        <w:t>by</w:t>
      </w:r>
      <w:r w:rsidRPr="008E0B60">
        <w:rPr>
          <w:rFonts w:ascii="Arial" w:hAnsi="Arial" w:cs="Arial"/>
          <w:spacing w:val="4"/>
          <w:sz w:val="20"/>
        </w:rPr>
        <w:t xml:space="preserve"> </w:t>
      </w:r>
      <w:r w:rsidRPr="008E0B60">
        <w:rPr>
          <w:rFonts w:ascii="Arial" w:hAnsi="Arial" w:cs="Arial"/>
          <w:sz w:val="20"/>
        </w:rPr>
        <w:t>a</w:t>
      </w:r>
      <w:r w:rsidRPr="008E0B60">
        <w:rPr>
          <w:rFonts w:ascii="Arial" w:hAnsi="Arial" w:cs="Arial"/>
          <w:spacing w:val="-47"/>
          <w:sz w:val="20"/>
        </w:rPr>
        <w:t xml:space="preserve"> </w:t>
      </w:r>
      <w:r w:rsidRPr="008E0B60">
        <w:rPr>
          <w:rFonts w:ascii="Arial" w:hAnsi="Arial" w:cs="Arial"/>
          <w:sz w:val="20"/>
        </w:rPr>
        <w:t>CAMO/CAO.</w:t>
      </w:r>
      <w:r w:rsidRPr="008E0B60">
        <w:rPr>
          <w:rFonts w:ascii="Arial" w:hAnsi="Arial" w:cs="Arial"/>
          <w:spacing w:val="-1"/>
          <w:sz w:val="20"/>
        </w:rPr>
        <w:t xml:space="preserve"> </w:t>
      </w:r>
      <w:r w:rsidRPr="008E0B60">
        <w:rPr>
          <w:rFonts w:ascii="Arial" w:hAnsi="Arial" w:cs="Arial"/>
          <w:sz w:val="20"/>
        </w:rPr>
        <w:t>The</w:t>
      </w:r>
      <w:r w:rsidRPr="008E0B60">
        <w:rPr>
          <w:rFonts w:ascii="Arial" w:hAnsi="Arial" w:cs="Arial"/>
          <w:spacing w:val="1"/>
          <w:sz w:val="20"/>
        </w:rPr>
        <w:t xml:space="preserve"> </w:t>
      </w:r>
      <w:r w:rsidRPr="008E0B60">
        <w:rPr>
          <w:rFonts w:ascii="Arial" w:hAnsi="Arial" w:cs="Arial"/>
          <w:sz w:val="20"/>
        </w:rPr>
        <w:t>escalation</w:t>
      </w:r>
      <w:r w:rsidRPr="008E0B60">
        <w:rPr>
          <w:rFonts w:ascii="Arial" w:hAnsi="Arial" w:cs="Arial"/>
          <w:spacing w:val="-4"/>
          <w:sz w:val="20"/>
        </w:rPr>
        <w:t xml:space="preserve"> </w:t>
      </w:r>
      <w:r w:rsidRPr="008E0B60">
        <w:rPr>
          <w:rFonts w:ascii="Arial" w:hAnsi="Arial" w:cs="Arial"/>
          <w:sz w:val="20"/>
        </w:rPr>
        <w:t>of such</w:t>
      </w:r>
      <w:r w:rsidRPr="008E0B60">
        <w:rPr>
          <w:rFonts w:ascii="Arial" w:hAnsi="Arial" w:cs="Arial"/>
          <w:spacing w:val="-5"/>
          <w:sz w:val="20"/>
        </w:rPr>
        <w:t xml:space="preserve"> </w:t>
      </w:r>
      <w:r w:rsidRPr="008E0B60">
        <w:rPr>
          <w:rFonts w:ascii="Arial" w:hAnsi="Arial" w:cs="Arial"/>
          <w:sz w:val="20"/>
        </w:rPr>
        <w:t>tasks is</w:t>
      </w:r>
      <w:r w:rsidRPr="008E0B60">
        <w:rPr>
          <w:rFonts w:ascii="Arial" w:hAnsi="Arial" w:cs="Arial"/>
          <w:spacing w:val="-2"/>
          <w:sz w:val="20"/>
        </w:rPr>
        <w:t xml:space="preserve"> </w:t>
      </w:r>
      <w:r w:rsidRPr="008E0B60">
        <w:rPr>
          <w:rFonts w:ascii="Arial" w:hAnsi="Arial" w:cs="Arial"/>
          <w:sz w:val="20"/>
        </w:rPr>
        <w:t>to</w:t>
      </w:r>
      <w:r w:rsidRPr="008E0B60">
        <w:rPr>
          <w:rFonts w:ascii="Arial" w:hAnsi="Arial" w:cs="Arial"/>
          <w:spacing w:val="1"/>
          <w:sz w:val="20"/>
        </w:rPr>
        <w:t xml:space="preserve"> </w:t>
      </w:r>
      <w:r w:rsidRPr="008E0B60">
        <w:rPr>
          <w:rFonts w:ascii="Arial" w:hAnsi="Arial" w:cs="Arial"/>
          <w:sz w:val="20"/>
        </w:rPr>
        <w:t>be</w:t>
      </w:r>
      <w:r w:rsidRPr="008E0B60">
        <w:rPr>
          <w:rFonts w:ascii="Arial" w:hAnsi="Arial" w:cs="Arial"/>
          <w:spacing w:val="1"/>
          <w:sz w:val="20"/>
        </w:rPr>
        <w:t xml:space="preserve"> </w:t>
      </w:r>
      <w:r w:rsidRPr="008E0B60">
        <w:rPr>
          <w:rFonts w:ascii="Arial" w:hAnsi="Arial" w:cs="Arial"/>
          <w:sz w:val="20"/>
        </w:rPr>
        <w:t>approved</w:t>
      </w:r>
      <w:r w:rsidRPr="008E0B60">
        <w:rPr>
          <w:rFonts w:ascii="Arial" w:hAnsi="Arial" w:cs="Arial"/>
          <w:spacing w:val="-1"/>
          <w:sz w:val="20"/>
        </w:rPr>
        <w:t xml:space="preserve"> </w:t>
      </w:r>
      <w:r w:rsidRPr="008E0B60">
        <w:rPr>
          <w:rFonts w:ascii="Arial" w:hAnsi="Arial" w:cs="Arial"/>
          <w:sz w:val="20"/>
        </w:rPr>
        <w:t>by</w:t>
      </w:r>
      <w:r w:rsidRPr="008E0B60">
        <w:rPr>
          <w:rFonts w:ascii="Arial" w:hAnsi="Arial" w:cs="Arial"/>
          <w:spacing w:val="-2"/>
          <w:sz w:val="20"/>
        </w:rPr>
        <w:t xml:space="preserve"> </w:t>
      </w:r>
      <w:r w:rsidRPr="008E0B60">
        <w:rPr>
          <w:rFonts w:ascii="Arial" w:hAnsi="Arial" w:cs="Arial"/>
          <w:sz w:val="20"/>
        </w:rPr>
        <w:t>the Agency.</w:t>
      </w:r>
    </w:p>
    <w:p w14:paraId="219C5643" w14:textId="77777777" w:rsidR="00D54D24" w:rsidRDefault="00D54D24" w:rsidP="00D54D24">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834" w:name="_Toc153137515"/>
      <w:r w:rsidRPr="00D54D24">
        <w:rPr>
          <w:rFonts w:ascii="Arial" w:eastAsia="Times New Roman" w:hAnsi="Arial" w:cs="Times New Roman"/>
          <w:b/>
          <w:color w:val="FFFFFF"/>
          <w:sz w:val="24"/>
        </w:rPr>
        <w:t>AMC1 ML.A.302(d) Aircraft maintenance programme</w:t>
      </w:r>
      <w:bookmarkEnd w:id="834"/>
    </w:p>
    <w:p w14:paraId="05A6057C" w14:textId="77777777" w:rsidR="00D54D24" w:rsidRPr="00D54D24" w:rsidRDefault="00D54D24" w:rsidP="00D54D24">
      <w:pPr>
        <w:rPr>
          <w:rFonts w:ascii="Arial" w:eastAsia="Times New Roman" w:hAnsi="Arial" w:cs="Times New Roman"/>
          <w:sz w:val="20"/>
        </w:rPr>
      </w:pPr>
      <w:r w:rsidRPr="00D54D24">
        <w:rPr>
          <w:rFonts w:ascii="Arial" w:eastAsia="Times New Roman" w:hAnsi="Arial" w:cs="Times New Roman"/>
          <w:sz w:val="20"/>
        </w:rPr>
        <w:t>This AMC contains an acceptable MIP for aeroplanes of 2 730 kg maximum take-off mass (MTOM) and below, and for ELA2 aircraft other than airships, grouped in the following categories:</w:t>
      </w:r>
    </w:p>
    <w:p w14:paraId="4D2D21EA" w14:textId="77777777" w:rsidR="00D54D24" w:rsidRPr="00D54D24" w:rsidRDefault="00D54D24" w:rsidP="00D54D24">
      <w:pPr>
        <w:numPr>
          <w:ilvl w:val="0"/>
          <w:numId w:val="294"/>
        </w:numPr>
        <w:rPr>
          <w:rFonts w:ascii="Arial" w:eastAsia="Times New Roman" w:hAnsi="Arial" w:cs="Times New Roman"/>
          <w:sz w:val="20"/>
        </w:rPr>
      </w:pPr>
      <w:r w:rsidRPr="00D54D24">
        <w:rPr>
          <w:rFonts w:ascii="Arial" w:eastAsia="Times New Roman" w:hAnsi="Arial" w:cs="Times New Roman"/>
          <w:sz w:val="20"/>
        </w:rPr>
        <w:t>aeroplanes of 2 730 kg MTOM and below;</w:t>
      </w:r>
    </w:p>
    <w:p w14:paraId="577AECDE" w14:textId="77777777" w:rsidR="00D54D24" w:rsidRPr="00D54D24" w:rsidRDefault="00D54D24" w:rsidP="00D54D24">
      <w:pPr>
        <w:numPr>
          <w:ilvl w:val="0"/>
          <w:numId w:val="294"/>
        </w:numPr>
        <w:rPr>
          <w:rFonts w:ascii="Arial" w:eastAsia="Times New Roman" w:hAnsi="Arial" w:cs="Times New Roman"/>
          <w:sz w:val="20"/>
        </w:rPr>
      </w:pPr>
      <w:r w:rsidRPr="00D54D24">
        <w:rPr>
          <w:rFonts w:ascii="Arial" w:eastAsia="Times New Roman" w:hAnsi="Arial" w:cs="Times New Roman"/>
          <w:sz w:val="20"/>
        </w:rPr>
        <w:t>ELA2 sailplanes and ELA2 powered sailplanes; and</w:t>
      </w:r>
    </w:p>
    <w:p w14:paraId="21DDD8D7" w14:textId="77777777" w:rsidR="00D54D24" w:rsidRPr="00D54D24" w:rsidRDefault="00D54D24" w:rsidP="00D54D24">
      <w:pPr>
        <w:numPr>
          <w:ilvl w:val="0"/>
          <w:numId w:val="294"/>
        </w:numPr>
        <w:rPr>
          <w:rFonts w:ascii="Arial" w:eastAsia="Times New Roman" w:hAnsi="Arial" w:cs="Times New Roman"/>
          <w:sz w:val="20"/>
        </w:rPr>
      </w:pPr>
      <w:r w:rsidRPr="00D54D24">
        <w:rPr>
          <w:rFonts w:ascii="Arial" w:eastAsia="Times New Roman" w:hAnsi="Arial" w:cs="Times New Roman"/>
          <w:sz w:val="20"/>
        </w:rPr>
        <w:t>ELA2 balloons.</w:t>
      </w:r>
    </w:p>
    <w:p w14:paraId="56D481ED" w14:textId="77777777" w:rsidR="00D54D24" w:rsidRPr="00D54D24" w:rsidRDefault="00D54D24" w:rsidP="00D54D24">
      <w:pPr>
        <w:rPr>
          <w:rFonts w:ascii="Arial" w:eastAsia="Times New Roman" w:hAnsi="Arial" w:cs="Times New Roman"/>
          <w:sz w:val="20"/>
        </w:rPr>
      </w:pPr>
      <w:r w:rsidRPr="00D54D24">
        <w:rPr>
          <w:rFonts w:ascii="Arial" w:eastAsia="Times New Roman" w:hAnsi="Arial" w:cs="Times New Roman"/>
          <w:sz w:val="20"/>
        </w:rPr>
        <w:t>These MIPs already comply with the requirements of ML.A.302(d) and may be used in order to define the basic information for the maintenance programme as required by ML.A.302(c)(2)(a). However, the maintenance programme must be customised as required by ML.A.302(c)(5), which may be achieved by using the standard template contained in AMC ML.A.302.</w:t>
      </w:r>
    </w:p>
    <w:p w14:paraId="3189486D" w14:textId="77777777" w:rsidR="008E0B60" w:rsidRDefault="00D54D24" w:rsidP="00D54D24">
      <w:pPr>
        <w:rPr>
          <w:rFonts w:ascii="Arial" w:eastAsia="Times New Roman" w:hAnsi="Arial" w:cs="Times New Roman"/>
          <w:sz w:val="20"/>
        </w:rPr>
      </w:pPr>
      <w:r w:rsidRPr="00D54D24">
        <w:rPr>
          <w:rFonts w:ascii="Arial" w:eastAsia="Times New Roman" w:hAnsi="Arial" w:cs="Times New Roman"/>
          <w:sz w:val="20"/>
        </w:rPr>
        <w:t>It should be noted that using the 1-month tolerance permitted by ML.A.302(d)(1) for the annual inspection may result in an expired ARC</w:t>
      </w:r>
      <w:r>
        <w:rPr>
          <w:rFonts w:ascii="Arial" w:eastAsia="Times New Roman" w:hAnsi="Arial" w:cs="Times New Roman"/>
          <w:sz w:val="20"/>
        </w:rPr>
        <w:t>.</w:t>
      </w:r>
    </w:p>
    <w:p w14:paraId="7AAC4394" w14:textId="77777777" w:rsidR="00D54D24" w:rsidRDefault="00D54D24" w:rsidP="00D54D24">
      <w:pPr>
        <w:rPr>
          <w:rFonts w:ascii="Arial" w:eastAsia="Times New Roman" w:hAnsi="Arial" w:cs="Times New Roman"/>
          <w:sz w:val="20"/>
        </w:rPr>
      </w:pPr>
    </w:p>
    <w:p w14:paraId="3DA977A2" w14:textId="77777777" w:rsidR="00D54D24" w:rsidRDefault="00D54D24" w:rsidP="00D54D24">
      <w:pPr>
        <w:ind w:left="881" w:right="939"/>
        <w:jc w:val="center"/>
        <w:rPr>
          <w:rFonts w:ascii="Arial" w:hAnsi="Arial" w:cs="Arial"/>
          <w:b/>
          <w:sz w:val="20"/>
        </w:rPr>
      </w:pPr>
      <w:r w:rsidRPr="00276D5E">
        <w:rPr>
          <w:rFonts w:ascii="Arial" w:hAnsi="Arial" w:cs="Arial"/>
          <w:b/>
          <w:sz w:val="20"/>
        </w:rPr>
        <w:t>MIP</w:t>
      </w:r>
      <w:r w:rsidRPr="00276D5E">
        <w:rPr>
          <w:rFonts w:ascii="Arial" w:hAnsi="Arial" w:cs="Arial"/>
          <w:b/>
          <w:spacing w:val="-3"/>
          <w:sz w:val="20"/>
        </w:rPr>
        <w:t xml:space="preserve"> </w:t>
      </w:r>
      <w:r w:rsidRPr="00276D5E">
        <w:rPr>
          <w:rFonts w:ascii="Arial" w:hAnsi="Arial" w:cs="Arial"/>
          <w:b/>
          <w:sz w:val="20"/>
        </w:rPr>
        <w:t>for</w:t>
      </w:r>
      <w:r w:rsidRPr="00276D5E">
        <w:rPr>
          <w:rFonts w:ascii="Arial" w:hAnsi="Arial" w:cs="Arial"/>
          <w:b/>
          <w:spacing w:val="-1"/>
          <w:sz w:val="20"/>
        </w:rPr>
        <w:t xml:space="preserve"> </w:t>
      </w:r>
      <w:r w:rsidRPr="00276D5E">
        <w:rPr>
          <w:rFonts w:ascii="Arial" w:hAnsi="Arial" w:cs="Arial"/>
          <w:b/>
          <w:sz w:val="20"/>
        </w:rPr>
        <w:t>aeroplanes</w:t>
      </w:r>
      <w:r w:rsidRPr="00276D5E">
        <w:rPr>
          <w:rFonts w:ascii="Arial" w:hAnsi="Arial" w:cs="Arial"/>
          <w:b/>
          <w:spacing w:val="-2"/>
          <w:sz w:val="20"/>
        </w:rPr>
        <w:t xml:space="preserve"> </w:t>
      </w:r>
      <w:r w:rsidRPr="00276D5E">
        <w:rPr>
          <w:rFonts w:ascii="Arial" w:hAnsi="Arial" w:cs="Arial"/>
          <w:b/>
          <w:sz w:val="20"/>
        </w:rPr>
        <w:t>of</w:t>
      </w:r>
      <w:r w:rsidRPr="00276D5E">
        <w:rPr>
          <w:rFonts w:ascii="Arial" w:hAnsi="Arial" w:cs="Arial"/>
          <w:b/>
          <w:spacing w:val="-3"/>
          <w:sz w:val="20"/>
        </w:rPr>
        <w:t xml:space="preserve"> </w:t>
      </w:r>
      <w:r w:rsidRPr="00276D5E">
        <w:rPr>
          <w:rFonts w:ascii="Arial" w:hAnsi="Arial" w:cs="Arial"/>
          <w:b/>
          <w:sz w:val="20"/>
        </w:rPr>
        <w:t>2</w:t>
      </w:r>
      <w:r w:rsidRPr="00276D5E">
        <w:rPr>
          <w:rFonts w:ascii="Arial" w:hAnsi="Arial" w:cs="Arial"/>
          <w:b/>
          <w:spacing w:val="2"/>
          <w:sz w:val="20"/>
        </w:rPr>
        <w:t xml:space="preserve"> </w:t>
      </w:r>
      <w:r w:rsidRPr="00276D5E">
        <w:rPr>
          <w:rFonts w:ascii="Arial" w:hAnsi="Arial" w:cs="Arial"/>
          <w:b/>
          <w:sz w:val="20"/>
        </w:rPr>
        <w:t>730</w:t>
      </w:r>
      <w:r w:rsidRPr="00276D5E">
        <w:rPr>
          <w:rFonts w:ascii="Arial" w:hAnsi="Arial" w:cs="Arial"/>
          <w:b/>
          <w:spacing w:val="-2"/>
          <w:sz w:val="20"/>
        </w:rPr>
        <w:t xml:space="preserve"> </w:t>
      </w:r>
      <w:r w:rsidRPr="00276D5E">
        <w:rPr>
          <w:rFonts w:ascii="Arial" w:hAnsi="Arial" w:cs="Arial"/>
          <w:b/>
          <w:sz w:val="20"/>
        </w:rPr>
        <w:t>kg</w:t>
      </w:r>
      <w:r w:rsidRPr="00276D5E">
        <w:rPr>
          <w:rFonts w:ascii="Arial" w:hAnsi="Arial" w:cs="Arial"/>
          <w:b/>
          <w:spacing w:val="-3"/>
          <w:sz w:val="20"/>
        </w:rPr>
        <w:t xml:space="preserve"> </w:t>
      </w:r>
      <w:r w:rsidRPr="00276D5E">
        <w:rPr>
          <w:rFonts w:ascii="Arial" w:hAnsi="Arial" w:cs="Arial"/>
          <w:b/>
          <w:sz w:val="20"/>
        </w:rPr>
        <w:t>MTOM</w:t>
      </w:r>
      <w:r w:rsidRPr="00276D5E">
        <w:rPr>
          <w:rFonts w:ascii="Arial" w:hAnsi="Arial" w:cs="Arial"/>
          <w:b/>
          <w:spacing w:val="-1"/>
          <w:sz w:val="20"/>
        </w:rPr>
        <w:t xml:space="preserve"> </w:t>
      </w:r>
      <w:r w:rsidRPr="00276D5E">
        <w:rPr>
          <w:rFonts w:ascii="Arial" w:hAnsi="Arial" w:cs="Arial"/>
          <w:b/>
          <w:sz w:val="20"/>
        </w:rPr>
        <w:t>and</w:t>
      </w:r>
      <w:r w:rsidRPr="00276D5E">
        <w:rPr>
          <w:rFonts w:ascii="Arial" w:hAnsi="Arial" w:cs="Arial"/>
          <w:b/>
          <w:spacing w:val="-1"/>
          <w:sz w:val="20"/>
        </w:rPr>
        <w:t xml:space="preserve"> </w:t>
      </w:r>
      <w:r w:rsidRPr="00276D5E">
        <w:rPr>
          <w:rFonts w:ascii="Arial" w:hAnsi="Arial" w:cs="Arial"/>
          <w:b/>
          <w:sz w:val="20"/>
        </w:rPr>
        <w:t>below</w:t>
      </w:r>
    </w:p>
    <w:p w14:paraId="295F46DD" w14:textId="77777777" w:rsidR="00D54D24" w:rsidRPr="00276D5E" w:rsidRDefault="00D54D24" w:rsidP="00D54D24">
      <w:pPr>
        <w:ind w:left="881" w:right="939"/>
        <w:jc w:val="both"/>
        <w:rPr>
          <w:rFonts w:ascii="Arial" w:hAnsi="Arial" w:cs="Arial"/>
          <w:b/>
          <w:sz w:val="20"/>
        </w:rPr>
      </w:pPr>
    </w:p>
    <w:p w14:paraId="472E4AED" w14:textId="77777777" w:rsidR="00D54D24" w:rsidRPr="00D54D24" w:rsidRDefault="00D54D24" w:rsidP="00D54D24">
      <w:pPr>
        <w:jc w:val="both"/>
        <w:rPr>
          <w:rFonts w:ascii="Arial" w:eastAsia="Times New Roman" w:hAnsi="Arial" w:cs="Times New Roman"/>
          <w:sz w:val="20"/>
        </w:rPr>
      </w:pPr>
      <w:r w:rsidRPr="00D54D24">
        <w:rPr>
          <w:rFonts w:ascii="Arial" w:eastAsia="Times New Roman" w:hAnsi="Arial" w:cs="Times New Roman"/>
          <w:sz w:val="20"/>
        </w:rPr>
        <w:t>To be performed at every annual/100-h interval, whichever comes first.</w:t>
      </w:r>
    </w:p>
    <w:p w14:paraId="55FD3A3E" w14:textId="77777777" w:rsidR="00D54D24" w:rsidRPr="00D54D24" w:rsidRDefault="00D54D24" w:rsidP="00D54D24">
      <w:pPr>
        <w:jc w:val="both"/>
        <w:rPr>
          <w:rFonts w:ascii="Arial" w:eastAsia="Times New Roman" w:hAnsi="Arial" w:cs="Times New Roman"/>
          <w:sz w:val="20"/>
        </w:rPr>
      </w:pPr>
      <w:r w:rsidRPr="00D54D24">
        <w:rPr>
          <w:rFonts w:ascii="Arial" w:eastAsia="Times New Roman" w:hAnsi="Arial" w:cs="Times New Roman"/>
          <w:sz w:val="20"/>
        </w:rPr>
        <w:t>A tolerance of 1 month or 10 h may be applied. The next interval shall be calculated from the time the inspection takes place.</w:t>
      </w:r>
    </w:p>
    <w:p w14:paraId="6EB035B0" w14:textId="77777777" w:rsidR="00D54D24" w:rsidRPr="00612EC5" w:rsidRDefault="00D54D24" w:rsidP="00D54D24">
      <w:pPr>
        <w:jc w:val="both"/>
        <w:rPr>
          <w:rFonts w:ascii="Arial" w:eastAsia="Times New Roman" w:hAnsi="Arial" w:cs="Times New Roman"/>
          <w:i/>
          <w:sz w:val="20"/>
        </w:rPr>
      </w:pPr>
      <w:r w:rsidRPr="00612EC5">
        <w:rPr>
          <w:rFonts w:ascii="Arial" w:eastAsia="Times New Roman" w:hAnsi="Arial" w:cs="Times New Roman"/>
          <w:i/>
          <w:sz w:val="20"/>
        </w:rPr>
        <w:t>Note 1: Use the manufacturer’s maintenance manual to accomplish each task/inspection.</w:t>
      </w:r>
    </w:p>
    <w:p w14:paraId="7908809E" w14:textId="77777777" w:rsidR="00D54D24" w:rsidRPr="00612EC5" w:rsidRDefault="00D54D24" w:rsidP="00D54D24">
      <w:pPr>
        <w:jc w:val="both"/>
        <w:rPr>
          <w:rFonts w:ascii="Arial" w:eastAsia="Times New Roman" w:hAnsi="Arial" w:cs="Times New Roman"/>
          <w:i/>
          <w:sz w:val="20"/>
        </w:rPr>
      </w:pPr>
      <w:r w:rsidRPr="00612EC5">
        <w:rPr>
          <w:rFonts w:ascii="Arial" w:eastAsia="Times New Roman" w:hAnsi="Arial" w:cs="Times New Roman"/>
          <w:i/>
          <w:sz w:val="20"/>
        </w:rPr>
        <w:t>Note 2: Proper operation of backup or secondary systems and components should be performed wherever a check for improper installation/operation is carried out.</w:t>
      </w:r>
    </w:p>
    <w:p w14:paraId="563B2BF4" w14:textId="77777777" w:rsidR="00D54D24" w:rsidRDefault="00D54D24" w:rsidP="00D54D24">
      <w:pPr>
        <w:rPr>
          <w:rFonts w:ascii="Arial" w:eastAsia="Times New Roman" w:hAnsi="Arial" w:cs="Times New Roman"/>
          <w:sz w:val="20"/>
        </w:rPr>
      </w:pPr>
    </w:p>
    <w:p w14:paraId="3712018A" w14:textId="77777777" w:rsidR="00D54D24" w:rsidRDefault="00D54D24" w:rsidP="00D54D24">
      <w:pPr>
        <w:rPr>
          <w:rFonts w:ascii="Arial" w:eastAsia="Times New Roman" w:hAnsi="Arial" w:cs="Times New Roman"/>
          <w:sz w:val="20"/>
        </w:rPr>
      </w:pPr>
    </w:p>
    <w:tbl>
      <w:tblPr>
        <w:tblStyle w:val="TableGrid31"/>
        <w:tblW w:w="9085" w:type="dxa"/>
        <w:tblLayout w:type="fixed"/>
        <w:tblLook w:val="01E0" w:firstRow="1" w:lastRow="1" w:firstColumn="1" w:lastColumn="1" w:noHBand="0" w:noVBand="0"/>
      </w:tblPr>
      <w:tblGrid>
        <w:gridCol w:w="2425"/>
        <w:gridCol w:w="6660"/>
      </w:tblGrid>
      <w:tr w:rsidR="00D54D24" w:rsidRPr="00D54D24" w14:paraId="349AF50A" w14:textId="77777777" w:rsidTr="00C342B1">
        <w:trPr>
          <w:trHeight w:val="203"/>
        </w:trPr>
        <w:tc>
          <w:tcPr>
            <w:tcW w:w="9085" w:type="dxa"/>
            <w:gridSpan w:val="2"/>
            <w:shd w:val="clear" w:color="auto" w:fill="F2F2F2" w:themeFill="background1" w:themeFillShade="F2"/>
          </w:tcPr>
          <w:p w14:paraId="48D1D310" w14:textId="77777777" w:rsidR="00D54D24" w:rsidRPr="00D54D24" w:rsidRDefault="00D54D24" w:rsidP="00D54D24">
            <w:pPr>
              <w:pStyle w:val="TableParagraph"/>
              <w:tabs>
                <w:tab w:val="left" w:pos="6180"/>
              </w:tabs>
              <w:spacing w:before="2" w:line="225" w:lineRule="exact"/>
              <w:ind w:right="2796"/>
              <w:rPr>
                <w:rFonts w:ascii="Arial" w:hAnsi="Arial" w:cs="Arial"/>
                <w:b/>
                <w:sz w:val="18"/>
                <w:szCs w:val="18"/>
              </w:rPr>
            </w:pPr>
            <w:r>
              <w:rPr>
                <w:rFonts w:ascii="Arial" w:hAnsi="Arial" w:cs="Arial"/>
                <w:b/>
                <w:sz w:val="18"/>
                <w:szCs w:val="18"/>
              </w:rPr>
              <w:lastRenderedPageBreak/>
              <w:t xml:space="preserve">                    </w:t>
            </w:r>
            <w:r w:rsidR="00587A27">
              <w:rPr>
                <w:rFonts w:ascii="Arial" w:hAnsi="Arial" w:cs="Arial"/>
                <w:b/>
                <w:sz w:val="18"/>
                <w:szCs w:val="18"/>
              </w:rPr>
              <w:t xml:space="preserve">                              </w:t>
            </w:r>
            <w:r w:rsidRPr="00D54D24">
              <w:rPr>
                <w:rFonts w:ascii="Arial" w:hAnsi="Arial" w:cs="Arial"/>
                <w:b/>
                <w:sz w:val="18"/>
                <w:szCs w:val="18"/>
              </w:rPr>
              <w:t>Aeroplanes</w:t>
            </w:r>
            <w:r w:rsidRPr="00D54D24">
              <w:rPr>
                <w:rFonts w:ascii="Arial" w:hAnsi="Arial" w:cs="Arial"/>
                <w:b/>
                <w:spacing w:val="-3"/>
                <w:sz w:val="18"/>
                <w:szCs w:val="18"/>
              </w:rPr>
              <w:t xml:space="preserve"> </w:t>
            </w:r>
            <w:r w:rsidRPr="00D54D24">
              <w:rPr>
                <w:rFonts w:ascii="Arial" w:hAnsi="Arial" w:cs="Arial"/>
                <w:b/>
                <w:sz w:val="18"/>
                <w:szCs w:val="18"/>
              </w:rPr>
              <w:t>of</w:t>
            </w:r>
            <w:r w:rsidRPr="00D54D24">
              <w:rPr>
                <w:rFonts w:ascii="Arial" w:hAnsi="Arial" w:cs="Arial"/>
                <w:b/>
                <w:spacing w:val="-3"/>
                <w:sz w:val="18"/>
                <w:szCs w:val="18"/>
              </w:rPr>
              <w:t xml:space="preserve"> </w:t>
            </w:r>
            <w:r w:rsidRPr="00D54D24">
              <w:rPr>
                <w:rFonts w:ascii="Arial" w:hAnsi="Arial" w:cs="Arial"/>
                <w:b/>
                <w:sz w:val="18"/>
                <w:szCs w:val="18"/>
              </w:rPr>
              <w:t>2 730</w:t>
            </w:r>
            <w:r w:rsidRPr="00D54D24">
              <w:rPr>
                <w:rFonts w:ascii="Arial" w:hAnsi="Arial" w:cs="Arial"/>
                <w:b/>
                <w:spacing w:val="-2"/>
                <w:sz w:val="18"/>
                <w:szCs w:val="18"/>
              </w:rPr>
              <w:t xml:space="preserve"> </w:t>
            </w:r>
            <w:r w:rsidRPr="00D54D24">
              <w:rPr>
                <w:rFonts w:ascii="Arial" w:hAnsi="Arial" w:cs="Arial"/>
                <w:b/>
                <w:sz w:val="18"/>
                <w:szCs w:val="18"/>
              </w:rPr>
              <w:t>kg</w:t>
            </w:r>
            <w:r w:rsidRPr="00D54D24">
              <w:rPr>
                <w:rFonts w:ascii="Arial" w:hAnsi="Arial" w:cs="Arial"/>
                <w:b/>
                <w:spacing w:val="-2"/>
                <w:sz w:val="18"/>
                <w:szCs w:val="18"/>
              </w:rPr>
              <w:t xml:space="preserve"> </w:t>
            </w:r>
            <w:r w:rsidRPr="00D54D24">
              <w:rPr>
                <w:rFonts w:ascii="Arial" w:hAnsi="Arial" w:cs="Arial"/>
                <w:b/>
                <w:sz w:val="18"/>
                <w:szCs w:val="18"/>
              </w:rPr>
              <w:t>MTOM</w:t>
            </w:r>
            <w:r w:rsidRPr="00D54D24">
              <w:rPr>
                <w:rFonts w:ascii="Arial" w:hAnsi="Arial" w:cs="Arial"/>
                <w:b/>
                <w:spacing w:val="-2"/>
                <w:sz w:val="18"/>
                <w:szCs w:val="18"/>
              </w:rPr>
              <w:t xml:space="preserve"> </w:t>
            </w:r>
            <w:r>
              <w:rPr>
                <w:rFonts w:ascii="Arial" w:hAnsi="Arial" w:cs="Arial"/>
                <w:b/>
                <w:sz w:val="18"/>
                <w:szCs w:val="18"/>
              </w:rPr>
              <w:t xml:space="preserve">and </w:t>
            </w:r>
            <w:r w:rsidRPr="00D54D24">
              <w:rPr>
                <w:rFonts w:ascii="Arial" w:hAnsi="Arial" w:cs="Arial"/>
                <w:b/>
                <w:sz w:val="18"/>
                <w:szCs w:val="18"/>
              </w:rPr>
              <w:t>below</w:t>
            </w:r>
          </w:p>
        </w:tc>
      </w:tr>
      <w:tr w:rsidR="00D54D24" w:rsidRPr="00D54D24" w14:paraId="4A475BCB" w14:textId="77777777" w:rsidTr="00C342B1">
        <w:trPr>
          <w:trHeight w:val="200"/>
        </w:trPr>
        <w:tc>
          <w:tcPr>
            <w:tcW w:w="2425" w:type="dxa"/>
          </w:tcPr>
          <w:p w14:paraId="37B74D83" w14:textId="77777777" w:rsidR="00D54D24" w:rsidRPr="00D54D24" w:rsidRDefault="00D54D24" w:rsidP="00D54D24">
            <w:pPr>
              <w:pStyle w:val="TableParagraph"/>
              <w:spacing w:line="223" w:lineRule="exact"/>
              <w:ind w:left="107"/>
              <w:rPr>
                <w:rFonts w:ascii="Arial" w:hAnsi="Arial" w:cs="Arial"/>
                <w:b/>
                <w:sz w:val="18"/>
                <w:szCs w:val="18"/>
              </w:rPr>
            </w:pPr>
            <w:r w:rsidRPr="00D54D24">
              <w:rPr>
                <w:rFonts w:ascii="Arial" w:hAnsi="Arial" w:cs="Arial"/>
                <w:b/>
                <w:sz w:val="18"/>
                <w:szCs w:val="18"/>
              </w:rPr>
              <w:t>System/component/area</w:t>
            </w:r>
          </w:p>
        </w:tc>
        <w:tc>
          <w:tcPr>
            <w:tcW w:w="6660" w:type="dxa"/>
            <w:shd w:val="clear" w:color="auto" w:fill="F2F2F2" w:themeFill="background1" w:themeFillShade="F2"/>
          </w:tcPr>
          <w:p w14:paraId="0E255C01" w14:textId="77777777" w:rsidR="00D54D24" w:rsidRPr="00D54D24" w:rsidRDefault="00D54D24" w:rsidP="00D54D24">
            <w:pPr>
              <w:pStyle w:val="TableParagraph"/>
              <w:spacing w:line="223" w:lineRule="exact"/>
              <w:ind w:left="2264" w:right="2264"/>
              <w:jc w:val="center"/>
              <w:rPr>
                <w:rFonts w:ascii="Arial" w:hAnsi="Arial" w:cs="Arial"/>
                <w:b/>
                <w:sz w:val="18"/>
                <w:szCs w:val="18"/>
              </w:rPr>
            </w:pPr>
            <w:r w:rsidRPr="00D54D24">
              <w:rPr>
                <w:rFonts w:ascii="Arial" w:hAnsi="Arial" w:cs="Arial"/>
                <w:b/>
                <w:sz w:val="18"/>
                <w:szCs w:val="18"/>
              </w:rPr>
              <w:t>Task</w:t>
            </w:r>
            <w:r w:rsidRPr="00D54D24">
              <w:rPr>
                <w:rFonts w:ascii="Arial" w:hAnsi="Arial" w:cs="Arial"/>
                <w:b/>
                <w:spacing w:val="-3"/>
                <w:sz w:val="18"/>
                <w:szCs w:val="18"/>
              </w:rPr>
              <w:t xml:space="preserve"> </w:t>
            </w:r>
            <w:r w:rsidRPr="00D54D24">
              <w:rPr>
                <w:rFonts w:ascii="Arial" w:hAnsi="Arial" w:cs="Arial"/>
                <w:b/>
                <w:sz w:val="18"/>
                <w:szCs w:val="18"/>
              </w:rPr>
              <w:t>and</w:t>
            </w:r>
            <w:r w:rsidRPr="00D54D24">
              <w:rPr>
                <w:rFonts w:ascii="Arial" w:hAnsi="Arial" w:cs="Arial"/>
                <w:b/>
                <w:spacing w:val="-3"/>
                <w:sz w:val="18"/>
                <w:szCs w:val="18"/>
              </w:rPr>
              <w:t xml:space="preserve"> </w:t>
            </w:r>
            <w:r w:rsidRPr="00D54D24">
              <w:rPr>
                <w:rFonts w:ascii="Arial" w:hAnsi="Arial" w:cs="Arial"/>
                <w:b/>
                <w:sz w:val="18"/>
                <w:szCs w:val="18"/>
              </w:rPr>
              <w:t>inspection</w:t>
            </w:r>
            <w:r w:rsidRPr="00D54D24">
              <w:rPr>
                <w:rFonts w:ascii="Arial" w:hAnsi="Arial" w:cs="Arial"/>
                <w:b/>
                <w:spacing w:val="-1"/>
                <w:sz w:val="18"/>
                <w:szCs w:val="18"/>
              </w:rPr>
              <w:t xml:space="preserve"> </w:t>
            </w:r>
            <w:r w:rsidRPr="00D54D24">
              <w:rPr>
                <w:rFonts w:ascii="Arial" w:hAnsi="Arial" w:cs="Arial"/>
                <w:b/>
                <w:sz w:val="18"/>
                <w:szCs w:val="18"/>
              </w:rPr>
              <w:t>detail</w:t>
            </w:r>
          </w:p>
        </w:tc>
      </w:tr>
      <w:tr w:rsidR="00D54D24" w:rsidRPr="00D54D24" w14:paraId="4B5A4FA5" w14:textId="77777777" w:rsidTr="00C342B1">
        <w:trPr>
          <w:trHeight w:val="202"/>
        </w:trPr>
        <w:tc>
          <w:tcPr>
            <w:tcW w:w="9085" w:type="dxa"/>
            <w:gridSpan w:val="2"/>
            <w:shd w:val="clear" w:color="auto" w:fill="F2F2F2" w:themeFill="background1" w:themeFillShade="F2"/>
          </w:tcPr>
          <w:p w14:paraId="2E9954E3" w14:textId="77777777" w:rsidR="00D54D24" w:rsidRPr="00D54D24" w:rsidRDefault="00D54D24" w:rsidP="00D54D24">
            <w:pPr>
              <w:pStyle w:val="TableParagraph"/>
              <w:spacing w:line="225" w:lineRule="exact"/>
              <w:ind w:left="86"/>
              <w:rPr>
                <w:rFonts w:ascii="Arial" w:hAnsi="Arial" w:cs="Arial"/>
                <w:b/>
                <w:sz w:val="18"/>
                <w:szCs w:val="18"/>
              </w:rPr>
            </w:pPr>
            <w:r w:rsidRPr="00D54D24">
              <w:rPr>
                <w:rFonts w:ascii="Arial" w:hAnsi="Arial" w:cs="Arial"/>
                <w:b/>
                <w:sz w:val="18"/>
                <w:szCs w:val="18"/>
              </w:rPr>
              <w:t>GENERAL</w:t>
            </w:r>
          </w:p>
        </w:tc>
      </w:tr>
      <w:tr w:rsidR="00D54D24" w:rsidRPr="00D54D24" w14:paraId="50FA777F" w14:textId="77777777" w:rsidTr="00C342B1">
        <w:trPr>
          <w:trHeight w:val="444"/>
        </w:trPr>
        <w:tc>
          <w:tcPr>
            <w:tcW w:w="2425" w:type="dxa"/>
          </w:tcPr>
          <w:p w14:paraId="62AE5C35" w14:textId="77777777" w:rsidR="00D54D24" w:rsidRPr="00D54D24" w:rsidRDefault="00D54D24" w:rsidP="00D54D24">
            <w:pPr>
              <w:pStyle w:val="TableParagraph"/>
              <w:spacing w:line="242" w:lineRule="exact"/>
              <w:ind w:left="86"/>
              <w:rPr>
                <w:rFonts w:ascii="Arial" w:hAnsi="Arial" w:cs="Arial"/>
                <w:sz w:val="18"/>
                <w:szCs w:val="18"/>
              </w:rPr>
            </w:pPr>
            <w:r w:rsidRPr="00D54D24">
              <w:rPr>
                <w:rFonts w:ascii="Arial" w:hAnsi="Arial" w:cs="Arial"/>
                <w:sz w:val="18"/>
                <w:szCs w:val="18"/>
              </w:rPr>
              <w:t>General</w:t>
            </w:r>
          </w:p>
        </w:tc>
        <w:tc>
          <w:tcPr>
            <w:tcW w:w="6660" w:type="dxa"/>
          </w:tcPr>
          <w:p w14:paraId="64CE14A2" w14:textId="080B107C" w:rsidR="00D54D24" w:rsidRPr="00D54D24" w:rsidRDefault="00D54D24" w:rsidP="00C6551A">
            <w:pPr>
              <w:pStyle w:val="TableParagraph"/>
              <w:spacing w:line="242" w:lineRule="exact"/>
              <w:rPr>
                <w:rFonts w:ascii="Arial" w:hAnsi="Arial" w:cs="Arial"/>
                <w:sz w:val="18"/>
                <w:szCs w:val="18"/>
              </w:rPr>
            </w:pPr>
            <w:r w:rsidRPr="00D54D24">
              <w:rPr>
                <w:rFonts w:ascii="Arial" w:hAnsi="Arial" w:cs="Arial"/>
                <w:sz w:val="18"/>
                <w:szCs w:val="18"/>
              </w:rPr>
              <w:t>Remove</w:t>
            </w:r>
            <w:r w:rsidRPr="00D54D24">
              <w:rPr>
                <w:rFonts w:ascii="Arial" w:hAnsi="Arial" w:cs="Arial"/>
                <w:spacing w:val="-4"/>
                <w:sz w:val="18"/>
                <w:szCs w:val="18"/>
              </w:rPr>
              <w:t xml:space="preserve"> </w:t>
            </w:r>
            <w:r w:rsidRPr="00D54D24">
              <w:rPr>
                <w:rFonts w:ascii="Arial" w:hAnsi="Arial" w:cs="Arial"/>
                <w:sz w:val="18"/>
                <w:szCs w:val="18"/>
              </w:rPr>
              <w:t>or</w:t>
            </w:r>
            <w:r w:rsidRPr="00D54D24">
              <w:rPr>
                <w:rFonts w:ascii="Arial" w:hAnsi="Arial" w:cs="Arial"/>
                <w:spacing w:val="-3"/>
                <w:sz w:val="18"/>
                <w:szCs w:val="18"/>
              </w:rPr>
              <w:t xml:space="preserve"> </w:t>
            </w:r>
            <w:r w:rsidRPr="00D54D24">
              <w:rPr>
                <w:rFonts w:ascii="Arial" w:hAnsi="Arial" w:cs="Arial"/>
                <w:sz w:val="18"/>
                <w:szCs w:val="18"/>
              </w:rPr>
              <w:t>open</w:t>
            </w:r>
            <w:r w:rsidRPr="00D54D24">
              <w:rPr>
                <w:rFonts w:ascii="Arial" w:hAnsi="Arial" w:cs="Arial"/>
                <w:spacing w:val="-3"/>
                <w:sz w:val="18"/>
                <w:szCs w:val="18"/>
              </w:rPr>
              <w:t xml:space="preserve"> </w:t>
            </w:r>
            <w:r w:rsidRPr="00D54D24">
              <w:rPr>
                <w:rFonts w:ascii="Arial" w:hAnsi="Arial" w:cs="Arial"/>
                <w:sz w:val="18"/>
                <w:szCs w:val="18"/>
              </w:rPr>
              <w:t>all</w:t>
            </w:r>
            <w:r w:rsidRPr="00D54D24">
              <w:rPr>
                <w:rFonts w:ascii="Arial" w:hAnsi="Arial" w:cs="Arial"/>
                <w:spacing w:val="-2"/>
                <w:sz w:val="18"/>
                <w:szCs w:val="18"/>
              </w:rPr>
              <w:t xml:space="preserve"> </w:t>
            </w:r>
            <w:r w:rsidRPr="00D54D24">
              <w:rPr>
                <w:rFonts w:ascii="Arial" w:hAnsi="Arial" w:cs="Arial"/>
                <w:sz w:val="18"/>
                <w:szCs w:val="18"/>
              </w:rPr>
              <w:t>necessary inspection</w:t>
            </w:r>
            <w:r w:rsidRPr="00D54D24">
              <w:rPr>
                <w:rFonts w:ascii="Arial" w:hAnsi="Arial" w:cs="Arial"/>
                <w:spacing w:val="-3"/>
                <w:sz w:val="18"/>
                <w:szCs w:val="18"/>
              </w:rPr>
              <w:t xml:space="preserve"> </w:t>
            </w:r>
            <w:r w:rsidRPr="00D54D24">
              <w:rPr>
                <w:rFonts w:ascii="Arial" w:hAnsi="Arial" w:cs="Arial"/>
                <w:sz w:val="18"/>
                <w:szCs w:val="18"/>
              </w:rPr>
              <w:t>plates,</w:t>
            </w:r>
            <w:r w:rsidRPr="00D54D24">
              <w:rPr>
                <w:rFonts w:ascii="Arial" w:hAnsi="Arial" w:cs="Arial"/>
                <w:spacing w:val="-3"/>
                <w:sz w:val="18"/>
                <w:szCs w:val="18"/>
              </w:rPr>
              <w:t xml:space="preserve"> </w:t>
            </w:r>
            <w:r w:rsidRPr="00D54D24">
              <w:rPr>
                <w:rFonts w:ascii="Arial" w:hAnsi="Arial" w:cs="Arial"/>
                <w:sz w:val="18"/>
                <w:szCs w:val="18"/>
              </w:rPr>
              <w:t>access</w:t>
            </w:r>
            <w:r w:rsidRPr="00D54D24">
              <w:rPr>
                <w:rFonts w:ascii="Arial" w:hAnsi="Arial" w:cs="Arial"/>
                <w:spacing w:val="-4"/>
                <w:sz w:val="18"/>
                <w:szCs w:val="18"/>
              </w:rPr>
              <w:t xml:space="preserve"> </w:t>
            </w:r>
            <w:r w:rsidRPr="00D54D24">
              <w:rPr>
                <w:rFonts w:ascii="Arial" w:hAnsi="Arial" w:cs="Arial"/>
                <w:sz w:val="18"/>
                <w:szCs w:val="18"/>
              </w:rPr>
              <w:t>doors,</w:t>
            </w:r>
            <w:r w:rsidRPr="00D54D24">
              <w:rPr>
                <w:rFonts w:ascii="Arial" w:hAnsi="Arial" w:cs="Arial"/>
                <w:spacing w:val="-3"/>
                <w:sz w:val="18"/>
                <w:szCs w:val="18"/>
              </w:rPr>
              <w:t xml:space="preserve"> </w:t>
            </w:r>
            <w:r w:rsidRPr="00D54D24">
              <w:rPr>
                <w:rFonts w:ascii="Arial" w:hAnsi="Arial" w:cs="Arial"/>
                <w:sz w:val="18"/>
                <w:szCs w:val="18"/>
              </w:rPr>
              <w:t>fairings,</w:t>
            </w:r>
            <w:r w:rsidRPr="00D54D24">
              <w:rPr>
                <w:rFonts w:ascii="Arial" w:hAnsi="Arial" w:cs="Arial"/>
                <w:spacing w:val="-3"/>
                <w:sz w:val="18"/>
                <w:szCs w:val="18"/>
              </w:rPr>
              <w:t xml:space="preserve"> </w:t>
            </w:r>
            <w:r w:rsidRPr="00D54D24">
              <w:rPr>
                <w:rFonts w:ascii="Arial" w:hAnsi="Arial" w:cs="Arial"/>
                <w:sz w:val="18"/>
                <w:szCs w:val="18"/>
              </w:rPr>
              <w:t>and</w:t>
            </w:r>
            <w:r w:rsidR="00C6551A">
              <w:rPr>
                <w:rFonts w:ascii="Arial" w:hAnsi="Arial" w:cs="Arial"/>
                <w:sz w:val="18"/>
                <w:szCs w:val="18"/>
              </w:rPr>
              <w:t xml:space="preserve"> </w:t>
            </w:r>
            <w:r w:rsidRPr="00D54D24">
              <w:rPr>
                <w:rFonts w:ascii="Arial" w:hAnsi="Arial" w:cs="Arial"/>
                <w:sz w:val="18"/>
                <w:szCs w:val="18"/>
              </w:rPr>
              <w:t>cowlings.</w:t>
            </w:r>
            <w:r w:rsidRPr="00D54D24">
              <w:rPr>
                <w:rFonts w:ascii="Arial" w:hAnsi="Arial" w:cs="Arial"/>
                <w:spacing w:val="-2"/>
                <w:sz w:val="18"/>
                <w:szCs w:val="18"/>
              </w:rPr>
              <w:t xml:space="preserve"> </w:t>
            </w:r>
            <w:r w:rsidRPr="00D54D24">
              <w:rPr>
                <w:rFonts w:ascii="Arial" w:hAnsi="Arial" w:cs="Arial"/>
                <w:sz w:val="18"/>
                <w:szCs w:val="18"/>
              </w:rPr>
              <w:t>Clean</w:t>
            </w:r>
            <w:r w:rsidRPr="00D54D24">
              <w:rPr>
                <w:rFonts w:ascii="Arial" w:hAnsi="Arial" w:cs="Arial"/>
                <w:spacing w:val="-1"/>
                <w:sz w:val="18"/>
                <w:szCs w:val="18"/>
              </w:rPr>
              <w:t xml:space="preserve"> </w:t>
            </w:r>
            <w:r w:rsidRPr="00D54D24">
              <w:rPr>
                <w:rFonts w:ascii="Arial" w:hAnsi="Arial" w:cs="Arial"/>
                <w:sz w:val="18"/>
                <w:szCs w:val="18"/>
              </w:rPr>
              <w:t>the</w:t>
            </w:r>
            <w:r w:rsidRPr="00D54D24">
              <w:rPr>
                <w:rFonts w:ascii="Arial" w:hAnsi="Arial" w:cs="Arial"/>
                <w:spacing w:val="-3"/>
                <w:sz w:val="18"/>
                <w:szCs w:val="18"/>
              </w:rPr>
              <w:t xml:space="preserve"> </w:t>
            </w:r>
            <w:r w:rsidRPr="00D54D24">
              <w:rPr>
                <w:rFonts w:ascii="Arial" w:hAnsi="Arial" w:cs="Arial"/>
                <w:sz w:val="18"/>
                <w:szCs w:val="18"/>
              </w:rPr>
              <w:t>aircraft</w:t>
            </w:r>
            <w:r w:rsidRPr="00D54D24">
              <w:rPr>
                <w:rFonts w:ascii="Arial" w:hAnsi="Arial" w:cs="Arial"/>
                <w:spacing w:val="-1"/>
                <w:sz w:val="18"/>
                <w:szCs w:val="18"/>
              </w:rPr>
              <w:t xml:space="preserve"> </w:t>
            </w:r>
            <w:r w:rsidRPr="00D54D24">
              <w:rPr>
                <w:rFonts w:ascii="Arial" w:hAnsi="Arial" w:cs="Arial"/>
                <w:sz w:val="18"/>
                <w:szCs w:val="18"/>
              </w:rPr>
              <w:t>and</w:t>
            </w:r>
            <w:r w:rsidRPr="00D54D24">
              <w:rPr>
                <w:rFonts w:ascii="Arial" w:hAnsi="Arial" w:cs="Arial"/>
                <w:spacing w:val="-2"/>
                <w:sz w:val="18"/>
                <w:szCs w:val="18"/>
              </w:rPr>
              <w:t xml:space="preserve"> </w:t>
            </w:r>
            <w:r w:rsidRPr="00D54D24">
              <w:rPr>
                <w:rFonts w:ascii="Arial" w:hAnsi="Arial" w:cs="Arial"/>
                <w:sz w:val="18"/>
                <w:szCs w:val="18"/>
              </w:rPr>
              <w:t>aircraft</w:t>
            </w:r>
            <w:r w:rsidRPr="00D54D24">
              <w:rPr>
                <w:rFonts w:ascii="Arial" w:hAnsi="Arial" w:cs="Arial"/>
                <w:spacing w:val="-2"/>
                <w:sz w:val="18"/>
                <w:szCs w:val="18"/>
              </w:rPr>
              <w:t xml:space="preserve"> </w:t>
            </w:r>
            <w:r w:rsidRPr="00D54D24">
              <w:rPr>
                <w:rFonts w:ascii="Arial" w:hAnsi="Arial" w:cs="Arial"/>
                <w:sz w:val="18"/>
                <w:szCs w:val="18"/>
              </w:rPr>
              <w:t>engine</w:t>
            </w:r>
            <w:r w:rsidRPr="00D54D24">
              <w:rPr>
                <w:rFonts w:ascii="Arial" w:hAnsi="Arial" w:cs="Arial"/>
                <w:spacing w:val="-2"/>
                <w:sz w:val="18"/>
                <w:szCs w:val="18"/>
              </w:rPr>
              <w:t xml:space="preserve"> </w:t>
            </w:r>
            <w:r w:rsidRPr="00D54D24">
              <w:rPr>
                <w:rFonts w:ascii="Arial" w:hAnsi="Arial" w:cs="Arial"/>
                <w:sz w:val="18"/>
                <w:szCs w:val="18"/>
              </w:rPr>
              <w:t>as</w:t>
            </w:r>
            <w:r w:rsidRPr="00D54D24">
              <w:rPr>
                <w:rFonts w:ascii="Arial" w:hAnsi="Arial" w:cs="Arial"/>
                <w:spacing w:val="-4"/>
                <w:sz w:val="18"/>
                <w:szCs w:val="18"/>
              </w:rPr>
              <w:t xml:space="preserve"> </w:t>
            </w:r>
            <w:r w:rsidRPr="00D54D24">
              <w:rPr>
                <w:rFonts w:ascii="Arial" w:hAnsi="Arial" w:cs="Arial"/>
                <w:sz w:val="18"/>
                <w:szCs w:val="18"/>
              </w:rPr>
              <w:t>required.</w:t>
            </w:r>
          </w:p>
        </w:tc>
      </w:tr>
      <w:tr w:rsidR="00D54D24" w:rsidRPr="00D54D24" w14:paraId="0196E3E6" w14:textId="77777777" w:rsidTr="00C342B1">
        <w:trPr>
          <w:trHeight w:val="444"/>
        </w:trPr>
        <w:tc>
          <w:tcPr>
            <w:tcW w:w="2425" w:type="dxa"/>
          </w:tcPr>
          <w:p w14:paraId="33C72B83" w14:textId="77777777" w:rsidR="00D54D24" w:rsidRPr="00D54D24" w:rsidRDefault="00D54D24" w:rsidP="00D54D24">
            <w:pPr>
              <w:pStyle w:val="TableParagraph"/>
              <w:ind w:left="86"/>
              <w:rPr>
                <w:rFonts w:ascii="Arial" w:hAnsi="Arial" w:cs="Arial"/>
                <w:sz w:val="18"/>
                <w:szCs w:val="18"/>
              </w:rPr>
            </w:pPr>
            <w:r w:rsidRPr="00D54D24">
              <w:rPr>
                <w:rFonts w:ascii="Arial" w:hAnsi="Arial" w:cs="Arial"/>
                <w:sz w:val="18"/>
                <w:szCs w:val="18"/>
              </w:rPr>
              <w:t>Lubrication/servicing</w:t>
            </w:r>
          </w:p>
        </w:tc>
        <w:tc>
          <w:tcPr>
            <w:tcW w:w="6660" w:type="dxa"/>
          </w:tcPr>
          <w:p w14:paraId="0F711DF4" w14:textId="5BD8FCF6" w:rsidR="00D54D24" w:rsidRPr="00D54D24" w:rsidRDefault="00D54D24" w:rsidP="00C6551A">
            <w:pPr>
              <w:pStyle w:val="TableParagraph"/>
              <w:spacing w:line="243" w:lineRule="exact"/>
              <w:rPr>
                <w:rFonts w:ascii="Arial" w:hAnsi="Arial" w:cs="Arial"/>
                <w:sz w:val="18"/>
                <w:szCs w:val="18"/>
              </w:rPr>
            </w:pPr>
            <w:r w:rsidRPr="00D54D24">
              <w:rPr>
                <w:rFonts w:ascii="Arial" w:hAnsi="Arial" w:cs="Arial"/>
                <w:sz w:val="18"/>
                <w:szCs w:val="18"/>
              </w:rPr>
              <w:t>Lubricate</w:t>
            </w:r>
            <w:r w:rsidRPr="00D54D24">
              <w:rPr>
                <w:rFonts w:ascii="Arial" w:hAnsi="Arial" w:cs="Arial"/>
                <w:spacing w:val="-4"/>
                <w:sz w:val="18"/>
                <w:szCs w:val="18"/>
              </w:rPr>
              <w:t xml:space="preserve"> </w:t>
            </w:r>
            <w:r w:rsidRPr="00D54D24">
              <w:rPr>
                <w:rFonts w:ascii="Arial" w:hAnsi="Arial" w:cs="Arial"/>
                <w:sz w:val="18"/>
                <w:szCs w:val="18"/>
              </w:rPr>
              <w:t>and</w:t>
            </w:r>
            <w:r w:rsidRPr="00D54D24">
              <w:rPr>
                <w:rFonts w:ascii="Arial" w:hAnsi="Arial" w:cs="Arial"/>
                <w:spacing w:val="-2"/>
                <w:sz w:val="18"/>
                <w:szCs w:val="18"/>
              </w:rPr>
              <w:t xml:space="preserve"> </w:t>
            </w:r>
            <w:r w:rsidRPr="00D54D24">
              <w:rPr>
                <w:rFonts w:ascii="Arial" w:hAnsi="Arial" w:cs="Arial"/>
                <w:sz w:val="18"/>
                <w:szCs w:val="18"/>
              </w:rPr>
              <w:t>replenish</w:t>
            </w:r>
            <w:r w:rsidRPr="00D54D24">
              <w:rPr>
                <w:rFonts w:ascii="Arial" w:hAnsi="Arial" w:cs="Arial"/>
                <w:spacing w:val="-2"/>
                <w:sz w:val="18"/>
                <w:szCs w:val="18"/>
              </w:rPr>
              <w:t xml:space="preserve"> </w:t>
            </w:r>
            <w:r w:rsidRPr="00D54D24">
              <w:rPr>
                <w:rFonts w:ascii="Arial" w:hAnsi="Arial" w:cs="Arial"/>
                <w:sz w:val="18"/>
                <w:szCs w:val="18"/>
              </w:rPr>
              <w:t>fluids</w:t>
            </w:r>
            <w:r w:rsidRPr="00D54D24">
              <w:rPr>
                <w:rFonts w:ascii="Arial" w:hAnsi="Arial" w:cs="Arial"/>
                <w:spacing w:val="-2"/>
                <w:sz w:val="18"/>
                <w:szCs w:val="18"/>
              </w:rPr>
              <w:t xml:space="preserve"> </w:t>
            </w:r>
            <w:r w:rsidRPr="00D54D24">
              <w:rPr>
                <w:rFonts w:ascii="Arial" w:hAnsi="Arial" w:cs="Arial"/>
                <w:sz w:val="18"/>
                <w:szCs w:val="18"/>
              </w:rPr>
              <w:t>in</w:t>
            </w:r>
            <w:r w:rsidRPr="00D54D24">
              <w:rPr>
                <w:rFonts w:ascii="Arial" w:hAnsi="Arial" w:cs="Arial"/>
                <w:spacing w:val="-2"/>
                <w:sz w:val="18"/>
                <w:szCs w:val="18"/>
              </w:rPr>
              <w:t xml:space="preserve"> </w:t>
            </w:r>
            <w:r w:rsidRPr="00D54D24">
              <w:rPr>
                <w:rFonts w:ascii="Arial" w:hAnsi="Arial" w:cs="Arial"/>
                <w:sz w:val="18"/>
                <w:szCs w:val="18"/>
              </w:rPr>
              <w:t>accordance</w:t>
            </w:r>
            <w:r w:rsidRPr="00D54D24">
              <w:rPr>
                <w:rFonts w:ascii="Arial" w:hAnsi="Arial" w:cs="Arial"/>
                <w:spacing w:val="-4"/>
                <w:sz w:val="18"/>
                <w:szCs w:val="18"/>
              </w:rPr>
              <w:t xml:space="preserve"> </w:t>
            </w:r>
            <w:r w:rsidRPr="00D54D24">
              <w:rPr>
                <w:rFonts w:ascii="Arial" w:hAnsi="Arial" w:cs="Arial"/>
                <w:sz w:val="18"/>
                <w:szCs w:val="18"/>
              </w:rPr>
              <w:t>with</w:t>
            </w:r>
            <w:r w:rsidRPr="00D54D24">
              <w:rPr>
                <w:rFonts w:ascii="Arial" w:hAnsi="Arial" w:cs="Arial"/>
                <w:spacing w:val="-3"/>
                <w:sz w:val="18"/>
                <w:szCs w:val="18"/>
              </w:rPr>
              <w:t xml:space="preserve"> </w:t>
            </w:r>
            <w:r w:rsidRPr="00D54D24">
              <w:rPr>
                <w:rFonts w:ascii="Arial" w:hAnsi="Arial" w:cs="Arial"/>
                <w:sz w:val="18"/>
                <w:szCs w:val="18"/>
              </w:rPr>
              <w:t>the</w:t>
            </w:r>
            <w:r w:rsidRPr="00D54D24">
              <w:rPr>
                <w:rFonts w:ascii="Arial" w:hAnsi="Arial" w:cs="Arial"/>
                <w:spacing w:val="-3"/>
                <w:sz w:val="18"/>
                <w:szCs w:val="18"/>
              </w:rPr>
              <w:t xml:space="preserve"> </w:t>
            </w:r>
            <w:r w:rsidRPr="00D54D24">
              <w:rPr>
                <w:rFonts w:ascii="Arial" w:hAnsi="Arial" w:cs="Arial"/>
                <w:sz w:val="18"/>
                <w:szCs w:val="18"/>
              </w:rPr>
              <w:t>manufacturer’s</w:t>
            </w:r>
            <w:r w:rsidR="00C6551A">
              <w:rPr>
                <w:rFonts w:ascii="Arial" w:hAnsi="Arial" w:cs="Arial"/>
                <w:sz w:val="18"/>
                <w:szCs w:val="18"/>
              </w:rPr>
              <w:t xml:space="preserve"> </w:t>
            </w:r>
            <w:r w:rsidRPr="00D54D24">
              <w:rPr>
                <w:rFonts w:ascii="Arial" w:hAnsi="Arial" w:cs="Arial"/>
                <w:sz w:val="18"/>
                <w:szCs w:val="18"/>
              </w:rPr>
              <w:t>requirements.</w:t>
            </w:r>
          </w:p>
        </w:tc>
      </w:tr>
      <w:tr w:rsidR="00D54D24" w:rsidRPr="00D54D24" w14:paraId="7C71D28C" w14:textId="77777777" w:rsidTr="00C342B1">
        <w:trPr>
          <w:trHeight w:val="1176"/>
        </w:trPr>
        <w:tc>
          <w:tcPr>
            <w:tcW w:w="2425" w:type="dxa"/>
          </w:tcPr>
          <w:p w14:paraId="14B1A242" w14:textId="77777777" w:rsidR="00D54D24" w:rsidRPr="00D54D24" w:rsidRDefault="00D54D24" w:rsidP="00D54D24">
            <w:pPr>
              <w:pStyle w:val="TableParagraph"/>
              <w:ind w:left="86"/>
              <w:rPr>
                <w:rFonts w:ascii="Arial" w:hAnsi="Arial" w:cs="Arial"/>
                <w:sz w:val="18"/>
                <w:szCs w:val="18"/>
              </w:rPr>
            </w:pPr>
            <w:r w:rsidRPr="00D54D24">
              <w:rPr>
                <w:rFonts w:ascii="Arial" w:hAnsi="Arial" w:cs="Arial"/>
                <w:sz w:val="18"/>
                <w:szCs w:val="18"/>
              </w:rPr>
              <w:t>Markings</w:t>
            </w:r>
          </w:p>
        </w:tc>
        <w:tc>
          <w:tcPr>
            <w:tcW w:w="6660" w:type="dxa"/>
          </w:tcPr>
          <w:p w14:paraId="10B7F655" w14:textId="08B5BB70" w:rsidR="00D54D24" w:rsidRPr="00D54D24" w:rsidRDefault="00D54D24" w:rsidP="00C6551A">
            <w:pPr>
              <w:pStyle w:val="TableParagraph"/>
              <w:ind w:right="212"/>
              <w:rPr>
                <w:rFonts w:ascii="Arial" w:hAnsi="Arial" w:cs="Arial"/>
                <w:sz w:val="18"/>
                <w:szCs w:val="18"/>
              </w:rPr>
            </w:pPr>
            <w:r w:rsidRPr="00D54D24">
              <w:rPr>
                <w:rFonts w:ascii="Arial" w:hAnsi="Arial" w:cs="Arial"/>
                <w:sz w:val="18"/>
                <w:szCs w:val="18"/>
              </w:rPr>
              <w:t>Check that side and underwing registration markings are correct. If applicable,</w:t>
            </w:r>
            <w:r w:rsidRPr="00D54D24">
              <w:rPr>
                <w:rFonts w:ascii="Arial" w:hAnsi="Arial" w:cs="Arial"/>
                <w:spacing w:val="-43"/>
                <w:sz w:val="18"/>
                <w:szCs w:val="18"/>
              </w:rPr>
              <w:t xml:space="preserve"> </w:t>
            </w:r>
            <w:r w:rsidRPr="00D54D24">
              <w:rPr>
                <w:rFonts w:ascii="Arial" w:hAnsi="Arial" w:cs="Arial"/>
                <w:sz w:val="18"/>
                <w:szCs w:val="18"/>
              </w:rPr>
              <w:t>check that an exemption for alternate display is approved. Identification plate</w:t>
            </w:r>
            <w:r w:rsidRPr="00D54D24">
              <w:rPr>
                <w:rFonts w:ascii="Arial" w:hAnsi="Arial" w:cs="Arial"/>
                <w:spacing w:val="1"/>
                <w:sz w:val="18"/>
                <w:szCs w:val="18"/>
              </w:rPr>
              <w:t xml:space="preserve"> </w:t>
            </w:r>
            <w:r w:rsidRPr="00D54D24">
              <w:rPr>
                <w:rFonts w:ascii="Arial" w:hAnsi="Arial" w:cs="Arial"/>
                <w:sz w:val="18"/>
                <w:szCs w:val="18"/>
              </w:rPr>
              <w:t>for national aviation authority (NAA)-registered aircraft is present, as well as</w:t>
            </w:r>
            <w:r w:rsidRPr="00D54D24">
              <w:rPr>
                <w:rFonts w:ascii="Arial" w:hAnsi="Arial" w:cs="Arial"/>
                <w:spacing w:val="1"/>
                <w:sz w:val="18"/>
                <w:szCs w:val="18"/>
              </w:rPr>
              <w:t xml:space="preserve"> </w:t>
            </w:r>
            <w:r w:rsidRPr="00D54D24">
              <w:rPr>
                <w:rFonts w:ascii="Arial" w:hAnsi="Arial" w:cs="Arial"/>
                <w:sz w:val="18"/>
                <w:szCs w:val="18"/>
              </w:rPr>
              <w:t>other</w:t>
            </w:r>
            <w:r w:rsidRPr="00D54D24">
              <w:rPr>
                <w:rFonts w:ascii="Arial" w:hAnsi="Arial" w:cs="Arial"/>
                <w:spacing w:val="-2"/>
                <w:sz w:val="18"/>
                <w:szCs w:val="18"/>
              </w:rPr>
              <w:t xml:space="preserve"> </w:t>
            </w:r>
            <w:r w:rsidRPr="00D54D24">
              <w:rPr>
                <w:rFonts w:ascii="Arial" w:hAnsi="Arial" w:cs="Arial"/>
                <w:sz w:val="18"/>
                <w:szCs w:val="18"/>
              </w:rPr>
              <w:t>identification markings</w:t>
            </w:r>
            <w:r w:rsidRPr="00D54D24">
              <w:rPr>
                <w:rFonts w:ascii="Arial" w:hAnsi="Arial" w:cs="Arial"/>
                <w:spacing w:val="-1"/>
                <w:sz w:val="18"/>
                <w:szCs w:val="18"/>
              </w:rPr>
              <w:t xml:space="preserve"> </w:t>
            </w:r>
            <w:r w:rsidRPr="00D54D24">
              <w:rPr>
                <w:rFonts w:ascii="Arial" w:hAnsi="Arial" w:cs="Arial"/>
                <w:sz w:val="18"/>
                <w:szCs w:val="18"/>
              </w:rPr>
              <w:t>on</w:t>
            </w:r>
            <w:r w:rsidRPr="00D54D24">
              <w:rPr>
                <w:rFonts w:ascii="Arial" w:hAnsi="Arial" w:cs="Arial"/>
                <w:spacing w:val="-1"/>
                <w:sz w:val="18"/>
                <w:szCs w:val="18"/>
              </w:rPr>
              <w:t xml:space="preserve"> </w:t>
            </w:r>
            <w:r w:rsidRPr="00D54D24">
              <w:rPr>
                <w:rFonts w:ascii="Arial" w:hAnsi="Arial" w:cs="Arial"/>
                <w:sz w:val="18"/>
                <w:szCs w:val="18"/>
              </w:rPr>
              <w:t>fuselage</w:t>
            </w:r>
            <w:r w:rsidRPr="00D54D24">
              <w:rPr>
                <w:rFonts w:ascii="Arial" w:hAnsi="Arial" w:cs="Arial"/>
                <w:spacing w:val="-3"/>
                <w:sz w:val="18"/>
                <w:szCs w:val="18"/>
              </w:rPr>
              <w:t xml:space="preserve"> </w:t>
            </w:r>
            <w:r w:rsidRPr="00D54D24">
              <w:rPr>
                <w:rFonts w:ascii="Arial" w:hAnsi="Arial" w:cs="Arial"/>
                <w:sz w:val="18"/>
                <w:szCs w:val="18"/>
              </w:rPr>
              <w:t>in accordance</w:t>
            </w:r>
            <w:r w:rsidRPr="00D54D24">
              <w:rPr>
                <w:rFonts w:ascii="Arial" w:hAnsi="Arial" w:cs="Arial"/>
                <w:spacing w:val="-4"/>
                <w:sz w:val="18"/>
                <w:szCs w:val="18"/>
              </w:rPr>
              <w:t xml:space="preserve"> </w:t>
            </w:r>
            <w:r w:rsidRPr="00D54D24">
              <w:rPr>
                <w:rFonts w:ascii="Arial" w:hAnsi="Arial" w:cs="Arial"/>
                <w:sz w:val="18"/>
                <w:szCs w:val="18"/>
              </w:rPr>
              <w:t>with</w:t>
            </w:r>
            <w:r w:rsidRPr="00D54D24">
              <w:rPr>
                <w:rFonts w:ascii="Arial" w:hAnsi="Arial" w:cs="Arial"/>
                <w:spacing w:val="-1"/>
                <w:sz w:val="18"/>
                <w:szCs w:val="18"/>
              </w:rPr>
              <w:t xml:space="preserve"> </w:t>
            </w:r>
            <w:r w:rsidRPr="00D54D24">
              <w:rPr>
                <w:rFonts w:ascii="Arial" w:hAnsi="Arial" w:cs="Arial"/>
                <w:sz w:val="18"/>
                <w:szCs w:val="18"/>
              </w:rPr>
              <w:t>local</w:t>
            </w:r>
            <w:r w:rsidRPr="00D54D24">
              <w:rPr>
                <w:rFonts w:ascii="Arial" w:hAnsi="Arial" w:cs="Arial"/>
                <w:spacing w:val="-1"/>
                <w:sz w:val="18"/>
                <w:szCs w:val="18"/>
              </w:rPr>
              <w:t xml:space="preserve"> </w:t>
            </w:r>
            <w:r w:rsidRPr="00D54D24">
              <w:rPr>
                <w:rFonts w:ascii="Arial" w:hAnsi="Arial" w:cs="Arial"/>
                <w:sz w:val="18"/>
                <w:szCs w:val="18"/>
              </w:rPr>
              <w:t>(national)</w:t>
            </w:r>
            <w:r w:rsidR="00C6551A">
              <w:rPr>
                <w:rFonts w:ascii="Arial" w:hAnsi="Arial" w:cs="Arial"/>
                <w:sz w:val="18"/>
                <w:szCs w:val="18"/>
              </w:rPr>
              <w:t xml:space="preserve"> </w:t>
            </w:r>
            <w:r w:rsidRPr="00D54D24">
              <w:rPr>
                <w:rFonts w:ascii="Arial" w:hAnsi="Arial" w:cs="Arial"/>
                <w:sz w:val="18"/>
                <w:szCs w:val="18"/>
              </w:rPr>
              <w:t>rules.</w:t>
            </w:r>
          </w:p>
        </w:tc>
      </w:tr>
      <w:tr w:rsidR="00D54D24" w:rsidRPr="00D54D24" w14:paraId="3F55A679" w14:textId="77777777" w:rsidTr="00C342B1">
        <w:trPr>
          <w:trHeight w:val="447"/>
        </w:trPr>
        <w:tc>
          <w:tcPr>
            <w:tcW w:w="2425" w:type="dxa"/>
          </w:tcPr>
          <w:p w14:paraId="35A7437D" w14:textId="77777777" w:rsidR="00D54D24" w:rsidRPr="00D54D24" w:rsidRDefault="00D54D24" w:rsidP="00D54D24">
            <w:pPr>
              <w:pStyle w:val="TableParagraph"/>
              <w:ind w:left="86"/>
              <w:rPr>
                <w:rFonts w:ascii="Arial" w:hAnsi="Arial" w:cs="Arial"/>
                <w:sz w:val="18"/>
                <w:szCs w:val="18"/>
              </w:rPr>
            </w:pPr>
            <w:r w:rsidRPr="00D54D24">
              <w:rPr>
                <w:rFonts w:ascii="Arial" w:hAnsi="Arial" w:cs="Arial"/>
                <w:sz w:val="18"/>
                <w:szCs w:val="18"/>
              </w:rPr>
              <w:t>Weighing</w:t>
            </w:r>
          </w:p>
        </w:tc>
        <w:tc>
          <w:tcPr>
            <w:tcW w:w="6660" w:type="dxa"/>
          </w:tcPr>
          <w:p w14:paraId="6CD4EB59" w14:textId="77777777" w:rsidR="00D54D24" w:rsidRPr="00D54D24" w:rsidRDefault="00D54D24" w:rsidP="00D54D24">
            <w:pPr>
              <w:pStyle w:val="TableParagraph"/>
              <w:spacing w:line="240" w:lineRule="atLeast"/>
              <w:ind w:right="212"/>
              <w:rPr>
                <w:rFonts w:ascii="Arial" w:hAnsi="Arial" w:cs="Arial"/>
                <w:sz w:val="18"/>
                <w:szCs w:val="18"/>
              </w:rPr>
            </w:pPr>
            <w:r w:rsidRPr="00D54D24">
              <w:rPr>
                <w:rFonts w:ascii="Arial" w:hAnsi="Arial" w:cs="Arial"/>
                <w:sz w:val="18"/>
                <w:szCs w:val="18"/>
              </w:rPr>
              <w:t>Review weighing record to establish accuracy against installed equipment.</w:t>
            </w:r>
            <w:r w:rsidRPr="00D54D24">
              <w:rPr>
                <w:rFonts w:ascii="Arial" w:hAnsi="Arial" w:cs="Arial"/>
                <w:spacing w:val="-43"/>
                <w:sz w:val="18"/>
                <w:szCs w:val="18"/>
              </w:rPr>
              <w:t xml:space="preserve"> </w:t>
            </w:r>
            <w:r w:rsidRPr="00D54D24">
              <w:rPr>
                <w:rFonts w:ascii="Arial" w:hAnsi="Arial" w:cs="Arial"/>
                <w:sz w:val="18"/>
                <w:szCs w:val="18"/>
              </w:rPr>
              <w:t>Weigh</w:t>
            </w:r>
            <w:r w:rsidRPr="00D54D24">
              <w:rPr>
                <w:rFonts w:ascii="Arial" w:hAnsi="Arial" w:cs="Arial"/>
                <w:spacing w:val="-1"/>
                <w:sz w:val="18"/>
                <w:szCs w:val="18"/>
              </w:rPr>
              <w:t xml:space="preserve"> </w:t>
            </w:r>
            <w:r w:rsidRPr="00D54D24">
              <w:rPr>
                <w:rFonts w:ascii="Arial" w:hAnsi="Arial" w:cs="Arial"/>
                <w:sz w:val="18"/>
                <w:szCs w:val="18"/>
              </w:rPr>
              <w:t>the</w:t>
            </w:r>
            <w:r w:rsidRPr="00D54D24">
              <w:rPr>
                <w:rFonts w:ascii="Arial" w:hAnsi="Arial" w:cs="Arial"/>
                <w:spacing w:val="-2"/>
                <w:sz w:val="18"/>
                <w:szCs w:val="18"/>
              </w:rPr>
              <w:t xml:space="preserve"> </w:t>
            </w:r>
            <w:r w:rsidRPr="00D54D24">
              <w:rPr>
                <w:rFonts w:ascii="Arial" w:hAnsi="Arial" w:cs="Arial"/>
                <w:sz w:val="18"/>
                <w:szCs w:val="18"/>
              </w:rPr>
              <w:t>aircraft</w:t>
            </w:r>
            <w:r w:rsidRPr="00D54D24">
              <w:rPr>
                <w:rFonts w:ascii="Arial" w:hAnsi="Arial" w:cs="Arial"/>
                <w:spacing w:val="-1"/>
                <w:sz w:val="18"/>
                <w:szCs w:val="18"/>
              </w:rPr>
              <w:t xml:space="preserve"> </w:t>
            </w:r>
            <w:r w:rsidRPr="00D54D24">
              <w:rPr>
                <w:rFonts w:ascii="Arial" w:hAnsi="Arial" w:cs="Arial"/>
                <w:sz w:val="18"/>
                <w:szCs w:val="18"/>
              </w:rPr>
              <w:t>as</w:t>
            </w:r>
            <w:r w:rsidRPr="00D54D24">
              <w:rPr>
                <w:rFonts w:ascii="Arial" w:hAnsi="Arial" w:cs="Arial"/>
                <w:spacing w:val="-3"/>
                <w:sz w:val="18"/>
                <w:szCs w:val="18"/>
              </w:rPr>
              <w:t xml:space="preserve"> </w:t>
            </w:r>
            <w:r w:rsidRPr="00D54D24">
              <w:rPr>
                <w:rFonts w:ascii="Arial" w:hAnsi="Arial" w:cs="Arial"/>
                <w:sz w:val="18"/>
                <w:szCs w:val="18"/>
              </w:rPr>
              <w:t>required</w:t>
            </w:r>
            <w:r w:rsidRPr="00D54D24">
              <w:rPr>
                <w:rFonts w:ascii="Arial" w:hAnsi="Arial" w:cs="Arial"/>
                <w:spacing w:val="1"/>
                <w:sz w:val="18"/>
                <w:szCs w:val="18"/>
              </w:rPr>
              <w:t xml:space="preserve"> </w:t>
            </w:r>
            <w:r w:rsidRPr="00D54D24">
              <w:rPr>
                <w:rFonts w:ascii="Arial" w:hAnsi="Arial" w:cs="Arial"/>
                <w:sz w:val="18"/>
                <w:szCs w:val="18"/>
              </w:rPr>
              <w:t>by</w:t>
            </w:r>
            <w:r w:rsidRPr="00D54D24">
              <w:rPr>
                <w:rFonts w:ascii="Arial" w:hAnsi="Arial" w:cs="Arial"/>
                <w:spacing w:val="-1"/>
                <w:sz w:val="18"/>
                <w:szCs w:val="18"/>
              </w:rPr>
              <w:t xml:space="preserve"> </w:t>
            </w:r>
            <w:r w:rsidRPr="00D54D24">
              <w:rPr>
                <w:rFonts w:ascii="Arial" w:hAnsi="Arial" w:cs="Arial"/>
                <w:sz w:val="18"/>
                <w:szCs w:val="18"/>
              </w:rPr>
              <w:t>Part-NCO</w:t>
            </w:r>
            <w:r w:rsidRPr="00D54D24">
              <w:rPr>
                <w:rFonts w:ascii="Arial" w:hAnsi="Arial" w:cs="Arial"/>
                <w:spacing w:val="-2"/>
                <w:sz w:val="18"/>
                <w:szCs w:val="18"/>
              </w:rPr>
              <w:t xml:space="preserve"> </w:t>
            </w:r>
            <w:r w:rsidRPr="00D54D24">
              <w:rPr>
                <w:rFonts w:ascii="Arial" w:hAnsi="Arial" w:cs="Arial"/>
                <w:sz w:val="18"/>
                <w:szCs w:val="18"/>
              </w:rPr>
              <w:t>or</w:t>
            </w:r>
            <w:r w:rsidRPr="00D54D24">
              <w:rPr>
                <w:rFonts w:ascii="Arial" w:hAnsi="Arial" w:cs="Arial"/>
                <w:spacing w:val="-1"/>
                <w:sz w:val="18"/>
                <w:szCs w:val="18"/>
              </w:rPr>
              <w:t xml:space="preserve"> </w:t>
            </w:r>
            <w:r w:rsidRPr="00D54D24">
              <w:rPr>
                <w:rFonts w:ascii="Arial" w:hAnsi="Arial" w:cs="Arial"/>
                <w:sz w:val="18"/>
                <w:szCs w:val="18"/>
              </w:rPr>
              <w:t>Part-SPO,</w:t>
            </w:r>
            <w:r w:rsidRPr="00D54D24">
              <w:rPr>
                <w:rFonts w:ascii="Arial" w:hAnsi="Arial" w:cs="Arial"/>
                <w:spacing w:val="-1"/>
                <w:sz w:val="18"/>
                <w:szCs w:val="18"/>
              </w:rPr>
              <w:t xml:space="preserve"> </w:t>
            </w:r>
            <w:r w:rsidRPr="00D54D24">
              <w:rPr>
                <w:rFonts w:ascii="Arial" w:hAnsi="Arial" w:cs="Arial"/>
                <w:sz w:val="18"/>
                <w:szCs w:val="18"/>
              </w:rPr>
              <w:t>as</w:t>
            </w:r>
            <w:r w:rsidRPr="00D54D24">
              <w:rPr>
                <w:rFonts w:ascii="Arial" w:hAnsi="Arial" w:cs="Arial"/>
                <w:spacing w:val="-3"/>
                <w:sz w:val="18"/>
                <w:szCs w:val="18"/>
              </w:rPr>
              <w:t xml:space="preserve"> </w:t>
            </w:r>
            <w:r w:rsidRPr="00D54D24">
              <w:rPr>
                <w:rFonts w:ascii="Arial" w:hAnsi="Arial" w:cs="Arial"/>
                <w:sz w:val="18"/>
                <w:szCs w:val="18"/>
              </w:rPr>
              <w:t>applicable.</w:t>
            </w:r>
          </w:p>
        </w:tc>
      </w:tr>
      <w:tr w:rsidR="00D54D24" w:rsidRPr="00D54D24" w14:paraId="714729C8" w14:textId="77777777" w:rsidTr="00C342B1">
        <w:trPr>
          <w:trHeight w:val="445"/>
        </w:trPr>
        <w:tc>
          <w:tcPr>
            <w:tcW w:w="2425" w:type="dxa"/>
          </w:tcPr>
          <w:p w14:paraId="53E05496" w14:textId="77777777" w:rsidR="00D54D24" w:rsidRPr="00D54D24" w:rsidRDefault="00D54D24" w:rsidP="00D54D24">
            <w:pPr>
              <w:pStyle w:val="TableParagraph"/>
              <w:spacing w:line="243" w:lineRule="exact"/>
              <w:ind w:left="86"/>
              <w:rPr>
                <w:rFonts w:ascii="Arial" w:hAnsi="Arial" w:cs="Arial"/>
                <w:sz w:val="18"/>
                <w:szCs w:val="18"/>
              </w:rPr>
            </w:pPr>
            <w:r w:rsidRPr="00D54D24">
              <w:rPr>
                <w:rFonts w:ascii="Arial" w:hAnsi="Arial" w:cs="Arial"/>
                <w:sz w:val="18"/>
                <w:szCs w:val="18"/>
              </w:rPr>
              <w:t>Service</w:t>
            </w:r>
            <w:r w:rsidRPr="00D54D24">
              <w:rPr>
                <w:rFonts w:ascii="Arial" w:hAnsi="Arial" w:cs="Arial"/>
                <w:spacing w:val="-3"/>
                <w:sz w:val="18"/>
                <w:szCs w:val="18"/>
              </w:rPr>
              <w:t xml:space="preserve"> </w:t>
            </w:r>
            <w:r w:rsidRPr="00D54D24">
              <w:rPr>
                <w:rFonts w:ascii="Arial" w:hAnsi="Arial" w:cs="Arial"/>
                <w:sz w:val="18"/>
                <w:szCs w:val="18"/>
              </w:rPr>
              <w:t>life</w:t>
            </w:r>
            <w:r w:rsidRPr="00D54D24">
              <w:rPr>
                <w:rFonts w:ascii="Arial" w:hAnsi="Arial" w:cs="Arial"/>
                <w:spacing w:val="-2"/>
                <w:sz w:val="18"/>
                <w:szCs w:val="18"/>
              </w:rPr>
              <w:t xml:space="preserve"> </w:t>
            </w:r>
            <w:r w:rsidRPr="00D54D24">
              <w:rPr>
                <w:rFonts w:ascii="Arial" w:hAnsi="Arial" w:cs="Arial"/>
                <w:sz w:val="18"/>
                <w:szCs w:val="18"/>
              </w:rPr>
              <w:t>limits</w:t>
            </w:r>
          </w:p>
        </w:tc>
        <w:tc>
          <w:tcPr>
            <w:tcW w:w="6660" w:type="dxa"/>
          </w:tcPr>
          <w:p w14:paraId="5A39AA4D" w14:textId="3597A1CD" w:rsidR="00D54D24" w:rsidRPr="00D54D24" w:rsidRDefault="00D54D24" w:rsidP="00C6551A">
            <w:pPr>
              <w:pStyle w:val="TableParagraph"/>
              <w:spacing w:line="243" w:lineRule="exact"/>
              <w:rPr>
                <w:rFonts w:ascii="Arial" w:hAnsi="Arial" w:cs="Arial"/>
                <w:sz w:val="18"/>
                <w:szCs w:val="18"/>
              </w:rPr>
            </w:pPr>
            <w:r w:rsidRPr="00D54D24">
              <w:rPr>
                <w:rFonts w:ascii="Arial" w:hAnsi="Arial" w:cs="Arial"/>
                <w:sz w:val="18"/>
                <w:szCs w:val="18"/>
              </w:rPr>
              <w:t>Check</w:t>
            </w:r>
            <w:r w:rsidRPr="00D54D24">
              <w:rPr>
                <w:rFonts w:ascii="Arial" w:hAnsi="Arial" w:cs="Arial"/>
                <w:spacing w:val="-2"/>
                <w:sz w:val="18"/>
                <w:szCs w:val="18"/>
              </w:rPr>
              <w:t xml:space="preserve"> </w:t>
            </w:r>
            <w:r w:rsidRPr="00D54D24">
              <w:rPr>
                <w:rFonts w:ascii="Arial" w:hAnsi="Arial" w:cs="Arial"/>
                <w:sz w:val="18"/>
                <w:szCs w:val="18"/>
              </w:rPr>
              <w:t>the</w:t>
            </w:r>
            <w:r w:rsidRPr="00D54D24">
              <w:rPr>
                <w:rFonts w:ascii="Arial" w:hAnsi="Arial" w:cs="Arial"/>
                <w:spacing w:val="-2"/>
                <w:sz w:val="18"/>
                <w:szCs w:val="18"/>
              </w:rPr>
              <w:t xml:space="preserve"> </w:t>
            </w:r>
            <w:r w:rsidRPr="00D54D24">
              <w:rPr>
                <w:rFonts w:ascii="Arial" w:hAnsi="Arial" w:cs="Arial"/>
                <w:sz w:val="18"/>
                <w:szCs w:val="18"/>
              </w:rPr>
              <w:t>records</w:t>
            </w:r>
            <w:r w:rsidRPr="00D54D24">
              <w:rPr>
                <w:rFonts w:ascii="Arial" w:hAnsi="Arial" w:cs="Arial"/>
                <w:spacing w:val="-4"/>
                <w:sz w:val="18"/>
                <w:szCs w:val="18"/>
              </w:rPr>
              <w:t xml:space="preserve"> </w:t>
            </w:r>
            <w:r w:rsidRPr="00D54D24">
              <w:rPr>
                <w:rFonts w:ascii="Arial" w:hAnsi="Arial" w:cs="Arial"/>
                <w:sz w:val="18"/>
                <w:szCs w:val="18"/>
              </w:rPr>
              <w:t>that</w:t>
            </w:r>
            <w:r w:rsidRPr="00D54D24">
              <w:rPr>
                <w:rFonts w:ascii="Arial" w:hAnsi="Arial" w:cs="Arial"/>
                <w:spacing w:val="-1"/>
                <w:sz w:val="18"/>
                <w:szCs w:val="18"/>
              </w:rPr>
              <w:t xml:space="preserve"> </w:t>
            </w:r>
            <w:r w:rsidRPr="00D54D24">
              <w:rPr>
                <w:rFonts w:ascii="Arial" w:hAnsi="Arial" w:cs="Arial"/>
                <w:sz w:val="18"/>
                <w:szCs w:val="18"/>
              </w:rPr>
              <w:t>the</w:t>
            </w:r>
            <w:r w:rsidRPr="00D54D24">
              <w:rPr>
                <w:rFonts w:ascii="Arial" w:hAnsi="Arial" w:cs="Arial"/>
                <w:spacing w:val="-2"/>
                <w:sz w:val="18"/>
                <w:szCs w:val="18"/>
              </w:rPr>
              <w:t xml:space="preserve"> </w:t>
            </w:r>
            <w:r w:rsidRPr="00D54D24">
              <w:rPr>
                <w:rFonts w:ascii="Arial" w:hAnsi="Arial" w:cs="Arial"/>
                <w:sz w:val="18"/>
                <w:szCs w:val="18"/>
              </w:rPr>
              <w:t>service</w:t>
            </w:r>
            <w:r w:rsidRPr="00D54D24">
              <w:rPr>
                <w:rFonts w:ascii="Arial" w:hAnsi="Arial" w:cs="Arial"/>
                <w:spacing w:val="-4"/>
                <w:sz w:val="18"/>
                <w:szCs w:val="18"/>
              </w:rPr>
              <w:t xml:space="preserve"> </w:t>
            </w:r>
            <w:r w:rsidRPr="00D54D24">
              <w:rPr>
                <w:rFonts w:ascii="Arial" w:hAnsi="Arial" w:cs="Arial"/>
                <w:sz w:val="18"/>
                <w:szCs w:val="18"/>
              </w:rPr>
              <w:t>life</w:t>
            </w:r>
            <w:r w:rsidRPr="00D54D24">
              <w:rPr>
                <w:rFonts w:ascii="Arial" w:hAnsi="Arial" w:cs="Arial"/>
                <w:spacing w:val="-2"/>
                <w:sz w:val="18"/>
                <w:szCs w:val="18"/>
              </w:rPr>
              <w:t xml:space="preserve"> </w:t>
            </w:r>
            <w:r w:rsidRPr="00D54D24">
              <w:rPr>
                <w:rFonts w:ascii="Arial" w:hAnsi="Arial" w:cs="Arial"/>
                <w:sz w:val="18"/>
                <w:szCs w:val="18"/>
              </w:rPr>
              <w:t>limits</w:t>
            </w:r>
            <w:r w:rsidRPr="00D54D24">
              <w:rPr>
                <w:rFonts w:ascii="Arial" w:hAnsi="Arial" w:cs="Arial"/>
                <w:spacing w:val="-3"/>
                <w:sz w:val="18"/>
                <w:szCs w:val="18"/>
              </w:rPr>
              <w:t xml:space="preserve"> </w:t>
            </w:r>
            <w:r w:rsidRPr="00D54D24">
              <w:rPr>
                <w:rFonts w:ascii="Arial" w:hAnsi="Arial" w:cs="Arial"/>
                <w:sz w:val="18"/>
                <w:szCs w:val="18"/>
              </w:rPr>
              <w:t>and</w:t>
            </w:r>
            <w:r w:rsidRPr="00D54D24">
              <w:rPr>
                <w:rFonts w:ascii="Arial" w:hAnsi="Arial" w:cs="Arial"/>
                <w:spacing w:val="-2"/>
                <w:sz w:val="18"/>
                <w:szCs w:val="18"/>
              </w:rPr>
              <w:t xml:space="preserve"> </w:t>
            </w:r>
            <w:r w:rsidRPr="00D54D24">
              <w:rPr>
                <w:rFonts w:ascii="Arial" w:hAnsi="Arial" w:cs="Arial"/>
                <w:sz w:val="18"/>
                <w:szCs w:val="18"/>
              </w:rPr>
              <w:t>airworthiness</w:t>
            </w:r>
            <w:r w:rsidRPr="00D54D24">
              <w:rPr>
                <w:rFonts w:ascii="Arial" w:hAnsi="Arial" w:cs="Arial"/>
                <w:spacing w:val="-3"/>
                <w:sz w:val="18"/>
                <w:szCs w:val="18"/>
              </w:rPr>
              <w:t xml:space="preserve"> </w:t>
            </w:r>
            <w:r w:rsidRPr="00D54D24">
              <w:rPr>
                <w:rFonts w:ascii="Arial" w:hAnsi="Arial" w:cs="Arial"/>
                <w:sz w:val="18"/>
                <w:szCs w:val="18"/>
              </w:rPr>
              <w:t>limits</w:t>
            </w:r>
            <w:r w:rsidRPr="00D54D24">
              <w:rPr>
                <w:rFonts w:ascii="Arial" w:hAnsi="Arial" w:cs="Arial"/>
                <w:spacing w:val="-3"/>
                <w:sz w:val="18"/>
                <w:szCs w:val="18"/>
              </w:rPr>
              <w:t xml:space="preserve"> </w:t>
            </w:r>
            <w:r w:rsidRPr="00D54D24">
              <w:rPr>
                <w:rFonts w:ascii="Arial" w:hAnsi="Arial" w:cs="Arial"/>
                <w:sz w:val="18"/>
                <w:szCs w:val="18"/>
              </w:rPr>
              <w:t>are</w:t>
            </w:r>
            <w:r w:rsidRPr="00D54D24">
              <w:rPr>
                <w:rFonts w:ascii="Arial" w:hAnsi="Arial" w:cs="Arial"/>
                <w:spacing w:val="-2"/>
                <w:sz w:val="18"/>
                <w:szCs w:val="18"/>
              </w:rPr>
              <w:t xml:space="preserve"> </w:t>
            </w:r>
            <w:r w:rsidRPr="00D54D24">
              <w:rPr>
                <w:rFonts w:ascii="Arial" w:hAnsi="Arial" w:cs="Arial"/>
                <w:sz w:val="18"/>
                <w:szCs w:val="18"/>
              </w:rPr>
              <w:t>within</w:t>
            </w:r>
            <w:r w:rsidR="00C6551A">
              <w:rPr>
                <w:rFonts w:ascii="Arial" w:hAnsi="Arial" w:cs="Arial"/>
                <w:sz w:val="18"/>
                <w:szCs w:val="18"/>
              </w:rPr>
              <w:t xml:space="preserve"> </w:t>
            </w:r>
            <w:r w:rsidRPr="00D54D24">
              <w:rPr>
                <w:rFonts w:ascii="Arial" w:hAnsi="Arial" w:cs="Arial"/>
                <w:sz w:val="18"/>
                <w:szCs w:val="18"/>
              </w:rPr>
              <w:t>the</w:t>
            </w:r>
            <w:r w:rsidRPr="00D54D24">
              <w:rPr>
                <w:rFonts w:ascii="Arial" w:hAnsi="Arial" w:cs="Arial"/>
                <w:spacing w:val="-2"/>
                <w:sz w:val="18"/>
                <w:szCs w:val="18"/>
              </w:rPr>
              <w:t xml:space="preserve"> </w:t>
            </w:r>
            <w:r w:rsidRPr="00D54D24">
              <w:rPr>
                <w:rFonts w:ascii="Arial" w:hAnsi="Arial" w:cs="Arial"/>
                <w:sz w:val="18"/>
                <w:szCs w:val="18"/>
              </w:rPr>
              <w:t>life</w:t>
            </w:r>
            <w:r w:rsidRPr="00D54D24">
              <w:rPr>
                <w:rFonts w:ascii="Arial" w:hAnsi="Arial" w:cs="Arial"/>
                <w:spacing w:val="-2"/>
                <w:sz w:val="18"/>
                <w:szCs w:val="18"/>
              </w:rPr>
              <w:t xml:space="preserve"> </w:t>
            </w:r>
            <w:r w:rsidRPr="00D54D24">
              <w:rPr>
                <w:rFonts w:ascii="Arial" w:hAnsi="Arial" w:cs="Arial"/>
                <w:sz w:val="18"/>
                <w:szCs w:val="18"/>
              </w:rPr>
              <w:t>time</w:t>
            </w:r>
            <w:r w:rsidRPr="00D54D24">
              <w:rPr>
                <w:rFonts w:ascii="Arial" w:hAnsi="Arial" w:cs="Arial"/>
                <w:spacing w:val="-2"/>
                <w:sz w:val="18"/>
                <w:szCs w:val="18"/>
              </w:rPr>
              <w:t xml:space="preserve"> </w:t>
            </w:r>
            <w:r w:rsidRPr="00D54D24">
              <w:rPr>
                <w:rFonts w:ascii="Arial" w:hAnsi="Arial" w:cs="Arial"/>
                <w:sz w:val="18"/>
                <w:szCs w:val="18"/>
              </w:rPr>
              <w:t>limits</w:t>
            </w:r>
            <w:r w:rsidRPr="00D54D24">
              <w:rPr>
                <w:rFonts w:ascii="Arial" w:hAnsi="Arial" w:cs="Arial"/>
                <w:spacing w:val="-2"/>
                <w:sz w:val="18"/>
                <w:szCs w:val="18"/>
              </w:rPr>
              <w:t xml:space="preserve"> </w:t>
            </w:r>
            <w:r w:rsidRPr="00D54D24">
              <w:rPr>
                <w:rFonts w:ascii="Arial" w:hAnsi="Arial" w:cs="Arial"/>
                <w:sz w:val="18"/>
                <w:szCs w:val="18"/>
              </w:rPr>
              <w:t>of</w:t>
            </w:r>
            <w:r w:rsidRPr="00D54D24">
              <w:rPr>
                <w:rFonts w:ascii="Arial" w:hAnsi="Arial" w:cs="Arial"/>
                <w:spacing w:val="-2"/>
                <w:sz w:val="18"/>
                <w:szCs w:val="18"/>
              </w:rPr>
              <w:t xml:space="preserve"> </w:t>
            </w:r>
            <w:r w:rsidRPr="00D54D24">
              <w:rPr>
                <w:rFonts w:ascii="Arial" w:hAnsi="Arial" w:cs="Arial"/>
                <w:sz w:val="18"/>
                <w:szCs w:val="18"/>
              </w:rPr>
              <w:t>the</w:t>
            </w:r>
            <w:r w:rsidRPr="00D54D24">
              <w:rPr>
                <w:rFonts w:ascii="Arial" w:hAnsi="Arial" w:cs="Arial"/>
                <w:spacing w:val="-2"/>
                <w:sz w:val="18"/>
                <w:szCs w:val="18"/>
              </w:rPr>
              <w:t xml:space="preserve"> </w:t>
            </w:r>
            <w:r w:rsidRPr="00D54D24">
              <w:rPr>
                <w:rFonts w:ascii="Arial" w:hAnsi="Arial" w:cs="Arial"/>
                <w:sz w:val="18"/>
                <w:szCs w:val="18"/>
              </w:rPr>
              <w:t>maintenance</w:t>
            </w:r>
            <w:r w:rsidRPr="00D54D24">
              <w:rPr>
                <w:rFonts w:ascii="Arial" w:hAnsi="Arial" w:cs="Arial"/>
                <w:spacing w:val="-3"/>
                <w:sz w:val="18"/>
                <w:szCs w:val="18"/>
              </w:rPr>
              <w:t xml:space="preserve"> </w:t>
            </w:r>
            <w:r w:rsidRPr="00D54D24">
              <w:rPr>
                <w:rFonts w:ascii="Arial" w:hAnsi="Arial" w:cs="Arial"/>
                <w:sz w:val="18"/>
                <w:szCs w:val="18"/>
              </w:rPr>
              <w:t>programme.</w:t>
            </w:r>
          </w:p>
        </w:tc>
      </w:tr>
      <w:tr w:rsidR="00D54D24" w:rsidRPr="00D54D24" w14:paraId="2B33DDF6" w14:textId="77777777" w:rsidTr="00C342B1">
        <w:trPr>
          <w:trHeight w:val="444"/>
        </w:trPr>
        <w:tc>
          <w:tcPr>
            <w:tcW w:w="2425" w:type="dxa"/>
          </w:tcPr>
          <w:p w14:paraId="521AC761" w14:textId="77777777" w:rsidR="00D54D24" w:rsidRPr="00D54D24" w:rsidRDefault="00D54D24" w:rsidP="00D54D24">
            <w:pPr>
              <w:pStyle w:val="TableParagraph"/>
              <w:ind w:left="86"/>
              <w:rPr>
                <w:rFonts w:ascii="Arial" w:hAnsi="Arial" w:cs="Arial"/>
                <w:sz w:val="18"/>
                <w:szCs w:val="18"/>
              </w:rPr>
            </w:pPr>
            <w:r w:rsidRPr="00D54D24">
              <w:rPr>
                <w:rFonts w:ascii="Arial" w:hAnsi="Arial" w:cs="Arial"/>
                <w:sz w:val="18"/>
                <w:szCs w:val="18"/>
              </w:rPr>
              <w:t>Software</w:t>
            </w:r>
          </w:p>
        </w:tc>
        <w:tc>
          <w:tcPr>
            <w:tcW w:w="6660" w:type="dxa"/>
          </w:tcPr>
          <w:p w14:paraId="3B5AF348" w14:textId="12DFEBA4" w:rsidR="00D54D24" w:rsidRPr="00D54D24" w:rsidRDefault="00D54D24" w:rsidP="00C6551A">
            <w:pPr>
              <w:pStyle w:val="TableParagraph"/>
              <w:spacing w:line="243" w:lineRule="exact"/>
              <w:rPr>
                <w:rFonts w:ascii="Arial" w:hAnsi="Arial" w:cs="Arial"/>
                <w:sz w:val="18"/>
                <w:szCs w:val="18"/>
              </w:rPr>
            </w:pPr>
            <w:r w:rsidRPr="00D54D24">
              <w:rPr>
                <w:rFonts w:ascii="Arial" w:hAnsi="Arial" w:cs="Arial"/>
                <w:sz w:val="18"/>
                <w:szCs w:val="18"/>
              </w:rPr>
              <w:t>Check</w:t>
            </w:r>
            <w:r w:rsidRPr="00D54D24">
              <w:rPr>
                <w:rFonts w:ascii="Arial" w:hAnsi="Arial" w:cs="Arial"/>
                <w:spacing w:val="-4"/>
                <w:sz w:val="18"/>
                <w:szCs w:val="18"/>
              </w:rPr>
              <w:t xml:space="preserve"> </w:t>
            </w:r>
            <w:r w:rsidRPr="00D54D24">
              <w:rPr>
                <w:rFonts w:ascii="Arial" w:hAnsi="Arial" w:cs="Arial"/>
                <w:sz w:val="18"/>
                <w:szCs w:val="18"/>
              </w:rPr>
              <w:t>for</w:t>
            </w:r>
            <w:r w:rsidRPr="00D54D24">
              <w:rPr>
                <w:rFonts w:ascii="Arial" w:hAnsi="Arial" w:cs="Arial"/>
                <w:spacing w:val="-3"/>
                <w:sz w:val="18"/>
                <w:szCs w:val="18"/>
              </w:rPr>
              <w:t xml:space="preserve"> </w:t>
            </w:r>
            <w:r w:rsidRPr="00D54D24">
              <w:rPr>
                <w:rFonts w:ascii="Arial" w:hAnsi="Arial" w:cs="Arial"/>
                <w:sz w:val="18"/>
                <w:szCs w:val="18"/>
              </w:rPr>
              <w:t>updated</w:t>
            </w:r>
            <w:r w:rsidRPr="00D54D24">
              <w:rPr>
                <w:rFonts w:ascii="Arial" w:hAnsi="Arial" w:cs="Arial"/>
                <w:spacing w:val="-3"/>
                <w:sz w:val="18"/>
                <w:szCs w:val="18"/>
              </w:rPr>
              <w:t xml:space="preserve"> </w:t>
            </w:r>
            <w:r w:rsidRPr="00D54D24">
              <w:rPr>
                <w:rFonts w:ascii="Arial" w:hAnsi="Arial" w:cs="Arial"/>
                <w:sz w:val="18"/>
                <w:szCs w:val="18"/>
              </w:rPr>
              <w:t>software/firmware</w:t>
            </w:r>
            <w:r w:rsidRPr="00D54D24">
              <w:rPr>
                <w:rFonts w:ascii="Arial" w:hAnsi="Arial" w:cs="Arial"/>
                <w:spacing w:val="-4"/>
                <w:sz w:val="18"/>
                <w:szCs w:val="18"/>
              </w:rPr>
              <w:t xml:space="preserve"> </w:t>
            </w:r>
            <w:r w:rsidRPr="00D54D24">
              <w:rPr>
                <w:rFonts w:ascii="Arial" w:hAnsi="Arial" w:cs="Arial"/>
                <w:sz w:val="18"/>
                <w:szCs w:val="18"/>
              </w:rPr>
              <w:t>status</w:t>
            </w:r>
            <w:r w:rsidRPr="00D54D24">
              <w:rPr>
                <w:rFonts w:ascii="Arial" w:hAnsi="Arial" w:cs="Arial"/>
                <w:spacing w:val="-5"/>
                <w:sz w:val="18"/>
                <w:szCs w:val="18"/>
              </w:rPr>
              <w:t xml:space="preserve"> </w:t>
            </w:r>
            <w:r w:rsidRPr="00D54D24">
              <w:rPr>
                <w:rFonts w:ascii="Arial" w:hAnsi="Arial" w:cs="Arial"/>
                <w:sz w:val="18"/>
                <w:szCs w:val="18"/>
              </w:rPr>
              <w:t>and</w:t>
            </w:r>
            <w:r w:rsidRPr="00D54D24">
              <w:rPr>
                <w:rFonts w:ascii="Arial" w:hAnsi="Arial" w:cs="Arial"/>
                <w:spacing w:val="-3"/>
                <w:sz w:val="18"/>
                <w:szCs w:val="18"/>
              </w:rPr>
              <w:t xml:space="preserve"> </w:t>
            </w:r>
            <w:r w:rsidRPr="00D54D24">
              <w:rPr>
                <w:rFonts w:ascii="Arial" w:hAnsi="Arial" w:cs="Arial"/>
                <w:sz w:val="18"/>
                <w:szCs w:val="18"/>
              </w:rPr>
              <w:t>databases</w:t>
            </w:r>
            <w:r w:rsidRPr="00D54D24">
              <w:rPr>
                <w:rFonts w:ascii="Arial" w:hAnsi="Arial" w:cs="Arial"/>
                <w:spacing w:val="-2"/>
                <w:sz w:val="18"/>
                <w:szCs w:val="18"/>
              </w:rPr>
              <w:t xml:space="preserve"> </w:t>
            </w:r>
            <w:r w:rsidRPr="00D54D24">
              <w:rPr>
                <w:rFonts w:ascii="Arial" w:hAnsi="Arial" w:cs="Arial"/>
                <w:sz w:val="18"/>
                <w:szCs w:val="18"/>
              </w:rPr>
              <w:t>for</w:t>
            </w:r>
            <w:r w:rsidRPr="00D54D24">
              <w:rPr>
                <w:rFonts w:ascii="Arial" w:hAnsi="Arial" w:cs="Arial"/>
                <w:spacing w:val="-3"/>
                <w:sz w:val="18"/>
                <w:szCs w:val="18"/>
              </w:rPr>
              <w:t xml:space="preserve"> </w:t>
            </w:r>
            <w:r w:rsidRPr="00D54D24">
              <w:rPr>
                <w:rFonts w:ascii="Arial" w:hAnsi="Arial" w:cs="Arial"/>
                <w:sz w:val="18"/>
                <w:szCs w:val="18"/>
              </w:rPr>
              <w:t>engine</w:t>
            </w:r>
            <w:r w:rsidRPr="00D54D24">
              <w:rPr>
                <w:rFonts w:ascii="Arial" w:hAnsi="Arial" w:cs="Arial"/>
                <w:spacing w:val="-4"/>
                <w:sz w:val="18"/>
                <w:szCs w:val="18"/>
              </w:rPr>
              <w:t xml:space="preserve"> </w:t>
            </w:r>
            <w:r w:rsidRPr="00D54D24">
              <w:rPr>
                <w:rFonts w:ascii="Arial" w:hAnsi="Arial" w:cs="Arial"/>
                <w:sz w:val="18"/>
                <w:szCs w:val="18"/>
              </w:rPr>
              <w:t>and</w:t>
            </w:r>
            <w:r w:rsidR="00C6551A">
              <w:rPr>
                <w:rFonts w:ascii="Arial" w:hAnsi="Arial" w:cs="Arial"/>
                <w:sz w:val="18"/>
                <w:szCs w:val="18"/>
              </w:rPr>
              <w:t xml:space="preserve"> </w:t>
            </w:r>
            <w:r w:rsidRPr="00D54D24">
              <w:rPr>
                <w:rFonts w:ascii="Arial" w:hAnsi="Arial" w:cs="Arial"/>
                <w:sz w:val="18"/>
                <w:szCs w:val="18"/>
              </w:rPr>
              <w:t>equipment.</w:t>
            </w:r>
          </w:p>
        </w:tc>
      </w:tr>
      <w:tr w:rsidR="00D54D24" w:rsidRPr="00D54D24" w14:paraId="717B591C" w14:textId="77777777" w:rsidTr="00C342B1">
        <w:trPr>
          <w:trHeight w:val="199"/>
        </w:trPr>
        <w:tc>
          <w:tcPr>
            <w:tcW w:w="9085" w:type="dxa"/>
            <w:gridSpan w:val="2"/>
            <w:shd w:val="clear" w:color="auto" w:fill="F2F2F2" w:themeFill="background1" w:themeFillShade="F2"/>
          </w:tcPr>
          <w:p w14:paraId="7FD6E0CF" w14:textId="77777777" w:rsidR="00D54D24" w:rsidRPr="00D54D24" w:rsidRDefault="00D54D24" w:rsidP="00D54D24">
            <w:pPr>
              <w:pStyle w:val="TableParagraph"/>
              <w:spacing w:line="222" w:lineRule="exact"/>
              <w:ind w:left="86"/>
              <w:rPr>
                <w:rFonts w:ascii="Arial" w:hAnsi="Arial" w:cs="Arial"/>
                <w:b/>
                <w:sz w:val="18"/>
                <w:szCs w:val="18"/>
              </w:rPr>
            </w:pPr>
            <w:r w:rsidRPr="00D54D24">
              <w:rPr>
                <w:rFonts w:ascii="Arial" w:hAnsi="Arial" w:cs="Arial"/>
                <w:b/>
                <w:sz w:val="18"/>
                <w:szCs w:val="18"/>
              </w:rPr>
              <w:t>AIRFRAME</w:t>
            </w:r>
          </w:p>
        </w:tc>
      </w:tr>
      <w:tr w:rsidR="00D54D24" w:rsidRPr="00D54D24" w14:paraId="2E19971F" w14:textId="77777777" w:rsidTr="00C342B1">
        <w:trPr>
          <w:trHeight w:val="448"/>
        </w:trPr>
        <w:tc>
          <w:tcPr>
            <w:tcW w:w="2425" w:type="dxa"/>
          </w:tcPr>
          <w:p w14:paraId="24168760" w14:textId="77777777" w:rsidR="00D54D24" w:rsidRPr="00D54D24" w:rsidRDefault="00D54D24" w:rsidP="00D54D24">
            <w:pPr>
              <w:pStyle w:val="TableParagraph"/>
              <w:ind w:left="86"/>
              <w:rPr>
                <w:rFonts w:ascii="Arial" w:hAnsi="Arial" w:cs="Arial"/>
                <w:sz w:val="18"/>
                <w:szCs w:val="18"/>
              </w:rPr>
            </w:pPr>
            <w:r w:rsidRPr="00D54D24">
              <w:rPr>
                <w:rFonts w:ascii="Arial" w:hAnsi="Arial" w:cs="Arial"/>
                <w:sz w:val="18"/>
                <w:szCs w:val="18"/>
              </w:rPr>
              <w:t>Fabric</w:t>
            </w:r>
            <w:r w:rsidRPr="00D54D24">
              <w:rPr>
                <w:rFonts w:ascii="Arial" w:hAnsi="Arial" w:cs="Arial"/>
                <w:spacing w:val="-4"/>
                <w:sz w:val="18"/>
                <w:szCs w:val="18"/>
              </w:rPr>
              <w:t xml:space="preserve"> </w:t>
            </w:r>
            <w:r w:rsidRPr="00D54D24">
              <w:rPr>
                <w:rFonts w:ascii="Arial" w:hAnsi="Arial" w:cs="Arial"/>
                <w:sz w:val="18"/>
                <w:szCs w:val="18"/>
              </w:rPr>
              <w:t>and</w:t>
            </w:r>
            <w:r w:rsidRPr="00D54D24">
              <w:rPr>
                <w:rFonts w:ascii="Arial" w:hAnsi="Arial" w:cs="Arial"/>
                <w:spacing w:val="-3"/>
                <w:sz w:val="18"/>
                <w:szCs w:val="18"/>
              </w:rPr>
              <w:t xml:space="preserve"> </w:t>
            </w:r>
            <w:r w:rsidRPr="00D54D24">
              <w:rPr>
                <w:rFonts w:ascii="Arial" w:hAnsi="Arial" w:cs="Arial"/>
                <w:sz w:val="18"/>
                <w:szCs w:val="18"/>
              </w:rPr>
              <w:t>skin</w:t>
            </w:r>
          </w:p>
        </w:tc>
        <w:tc>
          <w:tcPr>
            <w:tcW w:w="6660" w:type="dxa"/>
          </w:tcPr>
          <w:p w14:paraId="0F543FA0" w14:textId="77777777" w:rsidR="00D54D24" w:rsidRPr="00D54D24" w:rsidRDefault="00D54D24" w:rsidP="00D54D24">
            <w:pPr>
              <w:pStyle w:val="TableParagraph"/>
              <w:spacing w:line="240" w:lineRule="atLeast"/>
              <w:ind w:right="212"/>
              <w:rPr>
                <w:rFonts w:ascii="Arial" w:hAnsi="Arial" w:cs="Arial"/>
                <w:sz w:val="18"/>
                <w:szCs w:val="18"/>
              </w:rPr>
            </w:pPr>
            <w:r w:rsidRPr="00D54D24">
              <w:rPr>
                <w:rFonts w:ascii="Arial" w:hAnsi="Arial" w:cs="Arial"/>
                <w:sz w:val="18"/>
                <w:szCs w:val="18"/>
              </w:rPr>
              <w:t>Inspect for deterioration, distortion, other evidence of failure, and defective or</w:t>
            </w:r>
            <w:r w:rsidRPr="00D54D24">
              <w:rPr>
                <w:rFonts w:ascii="Arial" w:hAnsi="Arial" w:cs="Arial"/>
                <w:spacing w:val="-43"/>
                <w:sz w:val="18"/>
                <w:szCs w:val="18"/>
              </w:rPr>
              <w:t xml:space="preserve"> </w:t>
            </w:r>
            <w:r w:rsidRPr="00D54D24">
              <w:rPr>
                <w:rFonts w:ascii="Arial" w:hAnsi="Arial" w:cs="Arial"/>
                <w:sz w:val="18"/>
                <w:szCs w:val="18"/>
              </w:rPr>
              <w:t>insecure</w:t>
            </w:r>
            <w:r w:rsidRPr="00D54D24">
              <w:rPr>
                <w:rFonts w:ascii="Arial" w:hAnsi="Arial" w:cs="Arial"/>
                <w:spacing w:val="-2"/>
                <w:sz w:val="18"/>
                <w:szCs w:val="18"/>
              </w:rPr>
              <w:t xml:space="preserve"> </w:t>
            </w:r>
            <w:r w:rsidRPr="00D54D24">
              <w:rPr>
                <w:rFonts w:ascii="Arial" w:hAnsi="Arial" w:cs="Arial"/>
                <w:sz w:val="18"/>
                <w:szCs w:val="18"/>
              </w:rPr>
              <w:t>attachment of</w:t>
            </w:r>
            <w:r w:rsidRPr="00D54D24">
              <w:rPr>
                <w:rFonts w:ascii="Arial" w:hAnsi="Arial" w:cs="Arial"/>
                <w:spacing w:val="-2"/>
                <w:sz w:val="18"/>
                <w:szCs w:val="18"/>
              </w:rPr>
              <w:t xml:space="preserve"> </w:t>
            </w:r>
            <w:r w:rsidRPr="00D54D24">
              <w:rPr>
                <w:rFonts w:ascii="Arial" w:hAnsi="Arial" w:cs="Arial"/>
                <w:sz w:val="18"/>
                <w:szCs w:val="18"/>
              </w:rPr>
              <w:t>fittings.</w:t>
            </w:r>
          </w:p>
        </w:tc>
      </w:tr>
      <w:tr w:rsidR="00D54D24" w:rsidRPr="00D54D24" w14:paraId="1D4A8388" w14:textId="77777777" w:rsidTr="00C342B1">
        <w:trPr>
          <w:trHeight w:val="448"/>
        </w:trPr>
        <w:tc>
          <w:tcPr>
            <w:tcW w:w="2425" w:type="dxa"/>
          </w:tcPr>
          <w:p w14:paraId="26C74A5E" w14:textId="77777777" w:rsidR="00D54D24" w:rsidRPr="00D54D24" w:rsidRDefault="00D54D24" w:rsidP="00D54D24">
            <w:pPr>
              <w:pStyle w:val="TableParagraph"/>
              <w:ind w:left="86"/>
              <w:rPr>
                <w:rFonts w:ascii="Arial" w:hAnsi="Arial" w:cs="Arial"/>
                <w:sz w:val="18"/>
                <w:szCs w:val="18"/>
              </w:rPr>
            </w:pPr>
          </w:p>
        </w:tc>
        <w:tc>
          <w:tcPr>
            <w:tcW w:w="6660" w:type="dxa"/>
          </w:tcPr>
          <w:p w14:paraId="3B82A040" w14:textId="76418677" w:rsidR="00D54D24" w:rsidRPr="00C6551A" w:rsidRDefault="00D54D24" w:rsidP="00C6551A">
            <w:pPr>
              <w:pStyle w:val="TableParagraph"/>
              <w:spacing w:line="240" w:lineRule="atLeast"/>
              <w:ind w:right="212"/>
              <w:rPr>
                <w:rFonts w:ascii="Arial" w:hAnsi="Arial" w:cs="Arial"/>
                <w:i/>
                <w:sz w:val="18"/>
                <w:szCs w:val="18"/>
              </w:rPr>
            </w:pPr>
            <w:r w:rsidRPr="00612EC5">
              <w:rPr>
                <w:rFonts w:ascii="Arial" w:hAnsi="Arial" w:cs="Arial"/>
                <w:i/>
                <w:sz w:val="18"/>
                <w:szCs w:val="18"/>
              </w:rPr>
              <w:t>NOTE: When checking composite structures, check for signs of impact or</w:t>
            </w:r>
            <w:r w:rsidR="00C6551A">
              <w:rPr>
                <w:rFonts w:ascii="Arial" w:hAnsi="Arial" w:cs="Arial"/>
                <w:i/>
                <w:sz w:val="18"/>
                <w:szCs w:val="18"/>
              </w:rPr>
              <w:t xml:space="preserve"> </w:t>
            </w:r>
            <w:r w:rsidRPr="00612EC5">
              <w:rPr>
                <w:rFonts w:ascii="Arial" w:hAnsi="Arial" w:cs="Arial"/>
                <w:i/>
                <w:sz w:val="18"/>
                <w:szCs w:val="18"/>
              </w:rPr>
              <w:t>pressure damage that may indicate underlying damage.</w:t>
            </w:r>
          </w:p>
        </w:tc>
      </w:tr>
      <w:tr w:rsidR="00D54D24" w:rsidRPr="00D54D24" w14:paraId="313CBDB0" w14:textId="77777777" w:rsidTr="00C342B1">
        <w:trPr>
          <w:trHeight w:val="448"/>
        </w:trPr>
        <w:tc>
          <w:tcPr>
            <w:tcW w:w="2425" w:type="dxa"/>
          </w:tcPr>
          <w:p w14:paraId="4EA4A86F" w14:textId="77777777" w:rsidR="00D54D24" w:rsidRPr="00D54D24" w:rsidRDefault="00D54D24" w:rsidP="00D54D24">
            <w:pPr>
              <w:pStyle w:val="TableParagraph"/>
              <w:ind w:left="86"/>
              <w:rPr>
                <w:rFonts w:ascii="Arial" w:hAnsi="Arial" w:cs="Arial"/>
                <w:sz w:val="18"/>
                <w:szCs w:val="18"/>
              </w:rPr>
            </w:pPr>
            <w:r w:rsidRPr="00D54D24">
              <w:rPr>
                <w:rFonts w:ascii="Arial" w:hAnsi="Arial" w:cs="Arial"/>
                <w:sz w:val="18"/>
                <w:szCs w:val="18"/>
              </w:rPr>
              <w:t>Fuselage structure</w:t>
            </w:r>
          </w:p>
        </w:tc>
        <w:tc>
          <w:tcPr>
            <w:tcW w:w="6660" w:type="dxa"/>
          </w:tcPr>
          <w:p w14:paraId="7EFC5458" w14:textId="4542A02A" w:rsidR="00D54D24" w:rsidRPr="00D54D24" w:rsidRDefault="00D54D24" w:rsidP="00C342B1">
            <w:pPr>
              <w:pStyle w:val="TableParagraph"/>
              <w:spacing w:line="240" w:lineRule="atLeast"/>
              <w:ind w:right="212"/>
              <w:rPr>
                <w:rFonts w:ascii="Arial" w:hAnsi="Arial" w:cs="Arial"/>
                <w:sz w:val="18"/>
                <w:szCs w:val="18"/>
              </w:rPr>
            </w:pPr>
            <w:r w:rsidRPr="00D54D24">
              <w:rPr>
                <w:rFonts w:ascii="Arial" w:hAnsi="Arial" w:cs="Arial"/>
                <w:sz w:val="18"/>
                <w:szCs w:val="18"/>
              </w:rPr>
              <w:t>Check frames, formers, tubular structure, braces, and attachments. Inspect for</w:t>
            </w:r>
            <w:r w:rsidR="00C342B1">
              <w:rPr>
                <w:rFonts w:ascii="Arial" w:hAnsi="Arial" w:cs="Arial"/>
                <w:sz w:val="18"/>
                <w:szCs w:val="18"/>
              </w:rPr>
              <w:t xml:space="preserve"> </w:t>
            </w:r>
            <w:r w:rsidRPr="00D54D24">
              <w:rPr>
                <w:rFonts w:ascii="Arial" w:hAnsi="Arial" w:cs="Arial"/>
                <w:sz w:val="18"/>
                <w:szCs w:val="18"/>
              </w:rPr>
              <w:t>signs of corrosion and cracks.</w:t>
            </w:r>
          </w:p>
        </w:tc>
      </w:tr>
      <w:tr w:rsidR="00D54D24" w:rsidRPr="00D54D24" w14:paraId="4B44A9E4" w14:textId="77777777" w:rsidTr="00C342B1">
        <w:trPr>
          <w:trHeight w:val="448"/>
        </w:trPr>
        <w:tc>
          <w:tcPr>
            <w:tcW w:w="2425" w:type="dxa"/>
          </w:tcPr>
          <w:p w14:paraId="0245DD63" w14:textId="77777777" w:rsidR="00D54D24" w:rsidRPr="00D54D24" w:rsidRDefault="00D54D24" w:rsidP="00D54D24">
            <w:pPr>
              <w:pStyle w:val="TableParagraph"/>
              <w:ind w:left="86"/>
              <w:rPr>
                <w:rFonts w:ascii="Arial" w:hAnsi="Arial" w:cs="Arial"/>
                <w:sz w:val="18"/>
                <w:szCs w:val="18"/>
              </w:rPr>
            </w:pPr>
            <w:r w:rsidRPr="00D54D24">
              <w:rPr>
                <w:rFonts w:ascii="Arial" w:hAnsi="Arial" w:cs="Arial"/>
                <w:sz w:val="18"/>
                <w:szCs w:val="18"/>
              </w:rPr>
              <w:t>Systems and components</w:t>
            </w:r>
          </w:p>
        </w:tc>
        <w:tc>
          <w:tcPr>
            <w:tcW w:w="6660" w:type="dxa"/>
          </w:tcPr>
          <w:p w14:paraId="48CBBDFF" w14:textId="38B73475" w:rsidR="00D54D24" w:rsidRPr="00D54D24" w:rsidRDefault="00D54D24" w:rsidP="00C6551A">
            <w:pPr>
              <w:pStyle w:val="TableParagraph"/>
              <w:spacing w:line="240" w:lineRule="atLeast"/>
              <w:ind w:right="212"/>
              <w:rPr>
                <w:rFonts w:ascii="Arial" w:hAnsi="Arial" w:cs="Arial"/>
                <w:sz w:val="18"/>
                <w:szCs w:val="18"/>
              </w:rPr>
            </w:pPr>
            <w:r w:rsidRPr="00D54D24">
              <w:rPr>
                <w:rFonts w:ascii="Arial" w:hAnsi="Arial" w:cs="Arial"/>
                <w:sz w:val="18"/>
                <w:szCs w:val="18"/>
              </w:rPr>
              <w:t>Inspect for improper installation, apparent defects, and unsatisfactory</w:t>
            </w:r>
            <w:r w:rsidR="00C6551A">
              <w:rPr>
                <w:rFonts w:ascii="Arial" w:hAnsi="Arial" w:cs="Arial"/>
                <w:sz w:val="18"/>
                <w:szCs w:val="18"/>
              </w:rPr>
              <w:t xml:space="preserve"> </w:t>
            </w:r>
            <w:r w:rsidRPr="00D54D24">
              <w:rPr>
                <w:rFonts w:ascii="Arial" w:hAnsi="Arial" w:cs="Arial"/>
                <w:sz w:val="18"/>
                <w:szCs w:val="18"/>
              </w:rPr>
              <w:t>operation.</w:t>
            </w:r>
          </w:p>
        </w:tc>
      </w:tr>
      <w:tr w:rsidR="00D54D24" w:rsidRPr="00D54D24" w14:paraId="68F900CE" w14:textId="77777777" w:rsidTr="00C342B1">
        <w:trPr>
          <w:trHeight w:val="448"/>
        </w:trPr>
        <w:tc>
          <w:tcPr>
            <w:tcW w:w="2425" w:type="dxa"/>
          </w:tcPr>
          <w:p w14:paraId="243669E5" w14:textId="77777777" w:rsidR="00D54D24" w:rsidRPr="00D54D24" w:rsidRDefault="00D54D24" w:rsidP="00D54D24">
            <w:pPr>
              <w:pStyle w:val="TableParagraph"/>
              <w:ind w:left="86"/>
              <w:rPr>
                <w:rFonts w:ascii="Arial" w:hAnsi="Arial" w:cs="Arial"/>
                <w:sz w:val="18"/>
                <w:szCs w:val="18"/>
              </w:rPr>
            </w:pPr>
            <w:r w:rsidRPr="00D54D24">
              <w:rPr>
                <w:rFonts w:ascii="Arial" w:hAnsi="Arial" w:cs="Arial"/>
                <w:sz w:val="18"/>
                <w:szCs w:val="18"/>
              </w:rPr>
              <w:t>Pitot-static system</w:t>
            </w:r>
          </w:p>
        </w:tc>
        <w:tc>
          <w:tcPr>
            <w:tcW w:w="6660" w:type="dxa"/>
          </w:tcPr>
          <w:p w14:paraId="56893667" w14:textId="77777777" w:rsidR="00D54D24" w:rsidRPr="00D54D24" w:rsidRDefault="00D54D24" w:rsidP="00D54D24">
            <w:pPr>
              <w:pStyle w:val="TableParagraph"/>
              <w:spacing w:line="240" w:lineRule="atLeast"/>
              <w:ind w:right="212"/>
              <w:rPr>
                <w:rFonts w:ascii="Arial" w:hAnsi="Arial" w:cs="Arial"/>
                <w:sz w:val="18"/>
                <w:szCs w:val="18"/>
              </w:rPr>
            </w:pPr>
            <w:r w:rsidRPr="00D54D24">
              <w:rPr>
                <w:rFonts w:ascii="Arial" w:hAnsi="Arial" w:cs="Arial"/>
                <w:sz w:val="18"/>
                <w:szCs w:val="18"/>
              </w:rPr>
              <w:t>Inspect for security, damage, cleanliness, and condition. Drain any water from condensation drains.</w:t>
            </w:r>
          </w:p>
        </w:tc>
      </w:tr>
      <w:tr w:rsidR="00D54D24" w:rsidRPr="00D54D24" w14:paraId="6FC22508" w14:textId="77777777" w:rsidTr="00C342B1">
        <w:trPr>
          <w:trHeight w:val="448"/>
        </w:trPr>
        <w:tc>
          <w:tcPr>
            <w:tcW w:w="2425" w:type="dxa"/>
          </w:tcPr>
          <w:p w14:paraId="33A0D48D" w14:textId="77777777" w:rsidR="00D54D24" w:rsidRPr="00D54D24" w:rsidRDefault="00D54D24" w:rsidP="00D54D24">
            <w:pPr>
              <w:pStyle w:val="TableParagraph"/>
              <w:ind w:left="86"/>
              <w:rPr>
                <w:rFonts w:ascii="Arial" w:hAnsi="Arial" w:cs="Arial"/>
                <w:sz w:val="18"/>
                <w:szCs w:val="18"/>
              </w:rPr>
            </w:pPr>
            <w:r w:rsidRPr="00D54D24">
              <w:rPr>
                <w:rFonts w:ascii="Arial" w:hAnsi="Arial" w:cs="Arial"/>
                <w:sz w:val="18"/>
                <w:szCs w:val="18"/>
              </w:rPr>
              <w:t>General</w:t>
            </w:r>
          </w:p>
        </w:tc>
        <w:tc>
          <w:tcPr>
            <w:tcW w:w="6660" w:type="dxa"/>
          </w:tcPr>
          <w:p w14:paraId="3C06E669" w14:textId="77777777" w:rsidR="00D54D24" w:rsidRPr="00D54D24" w:rsidRDefault="00D54D24" w:rsidP="00D54D24">
            <w:pPr>
              <w:pStyle w:val="TableParagraph"/>
              <w:spacing w:line="240" w:lineRule="atLeast"/>
              <w:ind w:right="212"/>
              <w:rPr>
                <w:rFonts w:ascii="Arial" w:hAnsi="Arial" w:cs="Arial"/>
                <w:sz w:val="18"/>
                <w:szCs w:val="18"/>
              </w:rPr>
            </w:pPr>
            <w:r w:rsidRPr="00D54D24">
              <w:rPr>
                <w:rFonts w:ascii="Arial" w:hAnsi="Arial" w:cs="Arial"/>
                <w:sz w:val="18"/>
                <w:szCs w:val="18"/>
              </w:rPr>
              <w:t>Inspect for lack of cleanliness and loose equipment that may foul the controls.</w:t>
            </w:r>
          </w:p>
        </w:tc>
      </w:tr>
      <w:tr w:rsidR="00D54D24" w:rsidRPr="00D54D24" w14:paraId="7499DA98" w14:textId="77777777" w:rsidTr="00C342B1">
        <w:trPr>
          <w:trHeight w:val="448"/>
        </w:trPr>
        <w:tc>
          <w:tcPr>
            <w:tcW w:w="2425" w:type="dxa"/>
          </w:tcPr>
          <w:p w14:paraId="06138A69" w14:textId="77777777" w:rsidR="00D54D24" w:rsidRPr="00D54D24" w:rsidRDefault="00D54D24" w:rsidP="00D54D24">
            <w:pPr>
              <w:pStyle w:val="TableParagraph"/>
              <w:ind w:left="86"/>
              <w:rPr>
                <w:rFonts w:ascii="Arial" w:hAnsi="Arial" w:cs="Arial"/>
                <w:sz w:val="18"/>
                <w:szCs w:val="18"/>
              </w:rPr>
            </w:pPr>
            <w:r w:rsidRPr="00D54D24">
              <w:rPr>
                <w:rFonts w:ascii="Arial" w:hAnsi="Arial" w:cs="Arial"/>
                <w:sz w:val="18"/>
                <w:szCs w:val="18"/>
              </w:rPr>
              <w:t>Tow hooks</w:t>
            </w:r>
          </w:p>
        </w:tc>
        <w:tc>
          <w:tcPr>
            <w:tcW w:w="6660" w:type="dxa"/>
          </w:tcPr>
          <w:p w14:paraId="61105F71" w14:textId="77777777" w:rsidR="00C6551A" w:rsidRDefault="00D54D24" w:rsidP="00C6551A">
            <w:pPr>
              <w:pStyle w:val="TableParagraph"/>
              <w:spacing w:line="240" w:lineRule="atLeast"/>
              <w:ind w:right="212"/>
              <w:rPr>
                <w:rFonts w:ascii="Arial" w:hAnsi="Arial" w:cs="Arial"/>
                <w:sz w:val="18"/>
                <w:szCs w:val="18"/>
              </w:rPr>
            </w:pPr>
            <w:r w:rsidRPr="00D54D24">
              <w:rPr>
                <w:rFonts w:ascii="Arial" w:hAnsi="Arial" w:cs="Arial"/>
                <w:sz w:val="18"/>
                <w:szCs w:val="18"/>
              </w:rPr>
              <w:t>Inspect for condition of moving parts and wear. Check service life.</w:t>
            </w:r>
          </w:p>
          <w:p w14:paraId="57F5325C" w14:textId="0A4DADC7" w:rsidR="00D54D24" w:rsidRPr="00D54D24" w:rsidRDefault="00D54D24" w:rsidP="00C6551A">
            <w:pPr>
              <w:pStyle w:val="TableParagraph"/>
              <w:spacing w:line="240" w:lineRule="atLeast"/>
              <w:ind w:right="212"/>
              <w:rPr>
                <w:rFonts w:ascii="Arial" w:hAnsi="Arial" w:cs="Arial"/>
                <w:sz w:val="18"/>
                <w:szCs w:val="18"/>
              </w:rPr>
            </w:pPr>
            <w:r w:rsidRPr="00D54D24">
              <w:rPr>
                <w:rFonts w:ascii="Arial" w:hAnsi="Arial" w:cs="Arial"/>
                <w:sz w:val="18"/>
                <w:szCs w:val="18"/>
              </w:rPr>
              <w:t>Carry out operational test.</w:t>
            </w:r>
          </w:p>
        </w:tc>
      </w:tr>
      <w:tr w:rsidR="00D54D24" w:rsidRPr="00D54D24" w14:paraId="1013CE05" w14:textId="77777777" w:rsidTr="00C6551A">
        <w:trPr>
          <w:trHeight w:val="200"/>
        </w:trPr>
        <w:tc>
          <w:tcPr>
            <w:tcW w:w="9085" w:type="dxa"/>
            <w:gridSpan w:val="2"/>
            <w:shd w:val="clear" w:color="auto" w:fill="F2F2F2" w:themeFill="background1" w:themeFillShade="F2"/>
          </w:tcPr>
          <w:p w14:paraId="4D63FDFE" w14:textId="77777777" w:rsidR="00D54D24" w:rsidRPr="00D54D24" w:rsidRDefault="00D54D24" w:rsidP="00D54D24">
            <w:pPr>
              <w:pStyle w:val="TableParagraph"/>
              <w:spacing w:before="1" w:line="222" w:lineRule="exact"/>
              <w:ind w:left="86"/>
              <w:rPr>
                <w:rFonts w:ascii="Arial" w:hAnsi="Arial" w:cs="Arial"/>
                <w:b/>
                <w:sz w:val="18"/>
                <w:szCs w:val="18"/>
              </w:rPr>
            </w:pPr>
            <w:r w:rsidRPr="00D54D24">
              <w:rPr>
                <w:rFonts w:ascii="Arial" w:hAnsi="Arial" w:cs="Arial"/>
                <w:b/>
                <w:sz w:val="18"/>
                <w:szCs w:val="18"/>
              </w:rPr>
              <w:t>CABIN</w:t>
            </w:r>
            <w:r w:rsidRPr="00D54D24">
              <w:rPr>
                <w:rFonts w:ascii="Arial" w:hAnsi="Arial" w:cs="Arial"/>
                <w:b/>
                <w:spacing w:val="-4"/>
                <w:sz w:val="18"/>
                <w:szCs w:val="18"/>
              </w:rPr>
              <w:t xml:space="preserve"> </w:t>
            </w:r>
            <w:r w:rsidRPr="00D54D24">
              <w:rPr>
                <w:rFonts w:ascii="Arial" w:hAnsi="Arial" w:cs="Arial"/>
                <w:b/>
                <w:sz w:val="18"/>
                <w:szCs w:val="18"/>
              </w:rPr>
              <w:t>AND</w:t>
            </w:r>
            <w:r w:rsidRPr="00D54D24">
              <w:rPr>
                <w:rFonts w:ascii="Arial" w:hAnsi="Arial" w:cs="Arial"/>
                <w:b/>
                <w:spacing w:val="-4"/>
                <w:sz w:val="18"/>
                <w:szCs w:val="18"/>
              </w:rPr>
              <w:t xml:space="preserve"> </w:t>
            </w:r>
            <w:r w:rsidRPr="00D54D24">
              <w:rPr>
                <w:rFonts w:ascii="Arial" w:hAnsi="Arial" w:cs="Arial"/>
                <w:b/>
                <w:sz w:val="18"/>
                <w:szCs w:val="18"/>
              </w:rPr>
              <w:t>COCKPIT</w:t>
            </w:r>
          </w:p>
        </w:tc>
      </w:tr>
      <w:tr w:rsidR="00D54D24" w:rsidRPr="00D54D24" w14:paraId="2020B561" w14:textId="77777777" w:rsidTr="00C342B1">
        <w:trPr>
          <w:trHeight w:val="444"/>
        </w:trPr>
        <w:tc>
          <w:tcPr>
            <w:tcW w:w="2425" w:type="dxa"/>
          </w:tcPr>
          <w:p w14:paraId="62D35A00" w14:textId="77777777" w:rsidR="00D54D24" w:rsidRPr="00D54D24" w:rsidRDefault="00D54D24" w:rsidP="00D54D24">
            <w:pPr>
              <w:pStyle w:val="TableParagraph"/>
              <w:spacing w:line="240" w:lineRule="atLeast"/>
              <w:ind w:left="86"/>
              <w:rPr>
                <w:rFonts w:ascii="Arial" w:hAnsi="Arial" w:cs="Arial"/>
                <w:sz w:val="18"/>
                <w:szCs w:val="18"/>
              </w:rPr>
            </w:pPr>
            <w:r w:rsidRPr="00D54D24">
              <w:rPr>
                <w:rFonts w:ascii="Arial" w:hAnsi="Arial" w:cs="Arial"/>
                <w:sz w:val="18"/>
                <w:szCs w:val="18"/>
              </w:rPr>
              <w:t>Seats, safety belts and</w:t>
            </w:r>
            <w:r w:rsidRPr="00D54D24">
              <w:rPr>
                <w:rFonts w:ascii="Arial" w:hAnsi="Arial" w:cs="Arial"/>
                <w:spacing w:val="-43"/>
                <w:sz w:val="18"/>
                <w:szCs w:val="18"/>
              </w:rPr>
              <w:t xml:space="preserve"> </w:t>
            </w:r>
            <w:r w:rsidRPr="00D54D24">
              <w:rPr>
                <w:rFonts w:ascii="Arial" w:hAnsi="Arial" w:cs="Arial"/>
                <w:sz w:val="18"/>
                <w:szCs w:val="18"/>
              </w:rPr>
              <w:t>harnesses</w:t>
            </w:r>
          </w:p>
        </w:tc>
        <w:tc>
          <w:tcPr>
            <w:tcW w:w="6660" w:type="dxa"/>
          </w:tcPr>
          <w:p w14:paraId="61309714" w14:textId="77777777" w:rsidR="00D54D24" w:rsidRPr="00D54D24" w:rsidRDefault="00D54D24" w:rsidP="00D54D24">
            <w:pPr>
              <w:pStyle w:val="TableParagraph"/>
              <w:tabs>
                <w:tab w:val="left" w:pos="3856"/>
              </w:tabs>
              <w:spacing w:line="240" w:lineRule="atLeast"/>
              <w:ind w:right="2668"/>
              <w:rPr>
                <w:rFonts w:ascii="Arial" w:hAnsi="Arial" w:cs="Arial"/>
                <w:sz w:val="18"/>
                <w:szCs w:val="18"/>
              </w:rPr>
            </w:pPr>
            <w:r w:rsidRPr="00D54D24">
              <w:rPr>
                <w:rFonts w:ascii="Arial" w:hAnsi="Arial" w:cs="Arial"/>
                <w:sz w:val="18"/>
                <w:szCs w:val="18"/>
              </w:rPr>
              <w:t>Inspect for poor condition and apparent defects.</w:t>
            </w:r>
            <w:r w:rsidRPr="00D54D24">
              <w:rPr>
                <w:rFonts w:ascii="Arial" w:hAnsi="Arial" w:cs="Arial"/>
                <w:spacing w:val="-43"/>
                <w:sz w:val="18"/>
                <w:szCs w:val="18"/>
              </w:rPr>
              <w:t xml:space="preserve"> </w:t>
            </w:r>
            <w:r w:rsidRPr="00D54D24">
              <w:rPr>
                <w:rFonts w:ascii="Arial" w:hAnsi="Arial" w:cs="Arial"/>
                <w:sz w:val="18"/>
                <w:szCs w:val="18"/>
              </w:rPr>
              <w:t>Check</w:t>
            </w:r>
            <w:r w:rsidRPr="00D54D24">
              <w:rPr>
                <w:rFonts w:ascii="Arial" w:hAnsi="Arial" w:cs="Arial"/>
                <w:spacing w:val="-1"/>
                <w:sz w:val="18"/>
                <w:szCs w:val="18"/>
              </w:rPr>
              <w:t xml:space="preserve"> </w:t>
            </w:r>
            <w:r w:rsidRPr="00D54D24">
              <w:rPr>
                <w:rFonts w:ascii="Arial" w:hAnsi="Arial" w:cs="Arial"/>
                <w:sz w:val="18"/>
                <w:szCs w:val="18"/>
              </w:rPr>
              <w:t>for</w:t>
            </w:r>
            <w:r w:rsidRPr="00D54D24">
              <w:rPr>
                <w:rFonts w:ascii="Arial" w:hAnsi="Arial" w:cs="Arial"/>
                <w:spacing w:val="2"/>
                <w:sz w:val="18"/>
                <w:szCs w:val="18"/>
              </w:rPr>
              <w:t xml:space="preserve"> </w:t>
            </w:r>
            <w:r w:rsidRPr="00D54D24">
              <w:rPr>
                <w:rFonts w:ascii="Arial" w:hAnsi="Arial" w:cs="Arial"/>
                <w:sz w:val="18"/>
                <w:szCs w:val="18"/>
              </w:rPr>
              <w:t>service</w:t>
            </w:r>
            <w:r w:rsidRPr="00D54D24">
              <w:rPr>
                <w:rFonts w:ascii="Arial" w:hAnsi="Arial" w:cs="Arial"/>
                <w:spacing w:val="-1"/>
                <w:sz w:val="18"/>
                <w:szCs w:val="18"/>
              </w:rPr>
              <w:t xml:space="preserve"> </w:t>
            </w:r>
            <w:r w:rsidRPr="00D54D24">
              <w:rPr>
                <w:rFonts w:ascii="Arial" w:hAnsi="Arial" w:cs="Arial"/>
                <w:sz w:val="18"/>
                <w:szCs w:val="18"/>
              </w:rPr>
              <w:t>life.</w:t>
            </w:r>
          </w:p>
        </w:tc>
      </w:tr>
      <w:tr w:rsidR="00D54D24" w:rsidRPr="00D54D24" w14:paraId="0D0C8318" w14:textId="77777777" w:rsidTr="00C342B1">
        <w:trPr>
          <w:trHeight w:val="446"/>
        </w:trPr>
        <w:tc>
          <w:tcPr>
            <w:tcW w:w="2425" w:type="dxa"/>
          </w:tcPr>
          <w:p w14:paraId="21DB1F49" w14:textId="77777777" w:rsidR="00D54D24" w:rsidRPr="00D54D24" w:rsidRDefault="00D54D24" w:rsidP="00D54D24">
            <w:pPr>
              <w:pStyle w:val="TableParagraph"/>
              <w:ind w:left="86"/>
              <w:rPr>
                <w:rFonts w:ascii="Arial" w:hAnsi="Arial" w:cs="Arial"/>
                <w:sz w:val="18"/>
                <w:szCs w:val="18"/>
              </w:rPr>
            </w:pPr>
            <w:r w:rsidRPr="00D54D24">
              <w:rPr>
                <w:rFonts w:ascii="Arial" w:hAnsi="Arial" w:cs="Arial"/>
                <w:sz w:val="18"/>
                <w:szCs w:val="18"/>
              </w:rPr>
              <w:t>Windows,</w:t>
            </w:r>
            <w:r w:rsidRPr="00D54D24">
              <w:rPr>
                <w:rFonts w:ascii="Arial" w:hAnsi="Arial" w:cs="Arial"/>
                <w:spacing w:val="-3"/>
                <w:sz w:val="18"/>
                <w:szCs w:val="18"/>
              </w:rPr>
              <w:t xml:space="preserve"> </w:t>
            </w:r>
            <w:r w:rsidRPr="00D54D24">
              <w:rPr>
                <w:rFonts w:ascii="Arial" w:hAnsi="Arial" w:cs="Arial"/>
                <w:sz w:val="18"/>
                <w:szCs w:val="18"/>
              </w:rPr>
              <w:t>canopies</w:t>
            </w:r>
            <w:r w:rsidRPr="00D54D24">
              <w:rPr>
                <w:rFonts w:ascii="Arial" w:hAnsi="Arial" w:cs="Arial"/>
                <w:spacing w:val="-5"/>
                <w:sz w:val="18"/>
                <w:szCs w:val="18"/>
              </w:rPr>
              <w:t xml:space="preserve"> </w:t>
            </w:r>
            <w:r w:rsidRPr="00D54D24">
              <w:rPr>
                <w:rFonts w:ascii="Arial" w:hAnsi="Arial" w:cs="Arial"/>
                <w:sz w:val="18"/>
                <w:szCs w:val="18"/>
              </w:rPr>
              <w:t>and</w:t>
            </w:r>
          </w:p>
          <w:p w14:paraId="6E4BED36" w14:textId="77777777" w:rsidR="00D54D24" w:rsidRPr="00D54D24" w:rsidRDefault="00D54D24" w:rsidP="00D54D24">
            <w:pPr>
              <w:pStyle w:val="TableParagraph"/>
              <w:spacing w:before="1" w:line="225" w:lineRule="exact"/>
              <w:ind w:left="86"/>
              <w:rPr>
                <w:rFonts w:ascii="Arial" w:hAnsi="Arial" w:cs="Arial"/>
                <w:sz w:val="18"/>
                <w:szCs w:val="18"/>
              </w:rPr>
            </w:pPr>
            <w:r w:rsidRPr="00D54D24">
              <w:rPr>
                <w:rFonts w:ascii="Arial" w:hAnsi="Arial" w:cs="Arial"/>
                <w:sz w:val="18"/>
                <w:szCs w:val="18"/>
              </w:rPr>
              <w:t>windshields</w:t>
            </w:r>
          </w:p>
        </w:tc>
        <w:tc>
          <w:tcPr>
            <w:tcW w:w="6660" w:type="dxa"/>
          </w:tcPr>
          <w:p w14:paraId="71D82B92" w14:textId="77777777" w:rsidR="00D54D24" w:rsidRPr="00D54D24" w:rsidRDefault="00D54D24" w:rsidP="00D54D24">
            <w:pPr>
              <w:pStyle w:val="TableParagraph"/>
              <w:rPr>
                <w:rFonts w:ascii="Arial" w:hAnsi="Arial" w:cs="Arial"/>
                <w:sz w:val="18"/>
                <w:szCs w:val="18"/>
              </w:rPr>
            </w:pPr>
            <w:r w:rsidRPr="00D54D24">
              <w:rPr>
                <w:rFonts w:ascii="Arial" w:hAnsi="Arial" w:cs="Arial"/>
                <w:sz w:val="18"/>
                <w:szCs w:val="18"/>
              </w:rPr>
              <w:t>Inspect</w:t>
            </w:r>
            <w:r w:rsidRPr="00D54D24">
              <w:rPr>
                <w:rFonts w:ascii="Arial" w:hAnsi="Arial" w:cs="Arial"/>
                <w:spacing w:val="-3"/>
                <w:sz w:val="18"/>
                <w:szCs w:val="18"/>
              </w:rPr>
              <w:t xml:space="preserve"> </w:t>
            </w:r>
            <w:r w:rsidRPr="00D54D24">
              <w:rPr>
                <w:rFonts w:ascii="Arial" w:hAnsi="Arial" w:cs="Arial"/>
                <w:sz w:val="18"/>
                <w:szCs w:val="18"/>
              </w:rPr>
              <w:t>for</w:t>
            </w:r>
            <w:r w:rsidRPr="00D54D24">
              <w:rPr>
                <w:rFonts w:ascii="Arial" w:hAnsi="Arial" w:cs="Arial"/>
                <w:spacing w:val="-2"/>
                <w:sz w:val="18"/>
                <w:szCs w:val="18"/>
              </w:rPr>
              <w:t xml:space="preserve"> </w:t>
            </w:r>
            <w:r w:rsidRPr="00D54D24">
              <w:rPr>
                <w:rFonts w:ascii="Arial" w:hAnsi="Arial" w:cs="Arial"/>
                <w:sz w:val="18"/>
                <w:szCs w:val="18"/>
              </w:rPr>
              <w:t>deterioration</w:t>
            </w:r>
            <w:r w:rsidRPr="00D54D24">
              <w:rPr>
                <w:rFonts w:ascii="Arial" w:hAnsi="Arial" w:cs="Arial"/>
                <w:spacing w:val="-3"/>
                <w:sz w:val="18"/>
                <w:szCs w:val="18"/>
              </w:rPr>
              <w:t xml:space="preserve"> </w:t>
            </w:r>
            <w:r w:rsidRPr="00D54D24">
              <w:rPr>
                <w:rFonts w:ascii="Arial" w:hAnsi="Arial" w:cs="Arial"/>
                <w:sz w:val="18"/>
                <w:szCs w:val="18"/>
              </w:rPr>
              <w:t>and</w:t>
            </w:r>
            <w:r w:rsidRPr="00D54D24">
              <w:rPr>
                <w:rFonts w:ascii="Arial" w:hAnsi="Arial" w:cs="Arial"/>
                <w:spacing w:val="-2"/>
                <w:sz w:val="18"/>
                <w:szCs w:val="18"/>
              </w:rPr>
              <w:t xml:space="preserve"> </w:t>
            </w:r>
            <w:r w:rsidRPr="00D54D24">
              <w:rPr>
                <w:rFonts w:ascii="Arial" w:hAnsi="Arial" w:cs="Arial"/>
                <w:sz w:val="18"/>
                <w:szCs w:val="18"/>
              </w:rPr>
              <w:t>damage,</w:t>
            </w:r>
            <w:r w:rsidRPr="00D54D24">
              <w:rPr>
                <w:rFonts w:ascii="Arial" w:hAnsi="Arial" w:cs="Arial"/>
                <w:spacing w:val="-3"/>
                <w:sz w:val="18"/>
                <w:szCs w:val="18"/>
              </w:rPr>
              <w:t xml:space="preserve"> </w:t>
            </w:r>
            <w:r w:rsidRPr="00D54D24">
              <w:rPr>
                <w:rFonts w:ascii="Arial" w:hAnsi="Arial" w:cs="Arial"/>
                <w:sz w:val="18"/>
                <w:szCs w:val="18"/>
              </w:rPr>
              <w:t>and</w:t>
            </w:r>
            <w:r w:rsidRPr="00D54D24">
              <w:rPr>
                <w:rFonts w:ascii="Arial" w:hAnsi="Arial" w:cs="Arial"/>
                <w:spacing w:val="-2"/>
                <w:sz w:val="18"/>
                <w:szCs w:val="18"/>
              </w:rPr>
              <w:t xml:space="preserve"> </w:t>
            </w:r>
            <w:r w:rsidRPr="00D54D24">
              <w:rPr>
                <w:rFonts w:ascii="Arial" w:hAnsi="Arial" w:cs="Arial"/>
                <w:sz w:val="18"/>
                <w:szCs w:val="18"/>
              </w:rPr>
              <w:t>for</w:t>
            </w:r>
            <w:r w:rsidRPr="00D54D24">
              <w:rPr>
                <w:rFonts w:ascii="Arial" w:hAnsi="Arial" w:cs="Arial"/>
                <w:spacing w:val="-3"/>
                <w:sz w:val="18"/>
                <w:szCs w:val="18"/>
              </w:rPr>
              <w:t xml:space="preserve"> </w:t>
            </w:r>
            <w:r w:rsidRPr="00D54D24">
              <w:rPr>
                <w:rFonts w:ascii="Arial" w:hAnsi="Arial" w:cs="Arial"/>
                <w:sz w:val="18"/>
                <w:szCs w:val="18"/>
              </w:rPr>
              <w:t>function</w:t>
            </w:r>
            <w:r w:rsidRPr="00D54D24">
              <w:rPr>
                <w:rFonts w:ascii="Arial" w:hAnsi="Arial" w:cs="Arial"/>
                <w:spacing w:val="-2"/>
                <w:sz w:val="18"/>
                <w:szCs w:val="18"/>
              </w:rPr>
              <w:t xml:space="preserve"> </w:t>
            </w:r>
            <w:r w:rsidRPr="00D54D24">
              <w:rPr>
                <w:rFonts w:ascii="Arial" w:hAnsi="Arial" w:cs="Arial"/>
                <w:sz w:val="18"/>
                <w:szCs w:val="18"/>
              </w:rPr>
              <w:t>of</w:t>
            </w:r>
            <w:r w:rsidRPr="00D54D24">
              <w:rPr>
                <w:rFonts w:ascii="Arial" w:hAnsi="Arial" w:cs="Arial"/>
                <w:spacing w:val="-5"/>
                <w:sz w:val="18"/>
                <w:szCs w:val="18"/>
              </w:rPr>
              <w:t xml:space="preserve"> </w:t>
            </w:r>
            <w:r w:rsidRPr="00D54D24">
              <w:rPr>
                <w:rFonts w:ascii="Arial" w:hAnsi="Arial" w:cs="Arial"/>
                <w:sz w:val="18"/>
                <w:szCs w:val="18"/>
              </w:rPr>
              <w:t>emergency</w:t>
            </w:r>
            <w:r w:rsidRPr="00D54D24">
              <w:rPr>
                <w:rFonts w:ascii="Arial" w:hAnsi="Arial" w:cs="Arial"/>
                <w:spacing w:val="-2"/>
                <w:sz w:val="18"/>
                <w:szCs w:val="18"/>
              </w:rPr>
              <w:t xml:space="preserve"> </w:t>
            </w:r>
            <w:r w:rsidRPr="00D54D24">
              <w:rPr>
                <w:rFonts w:ascii="Arial" w:hAnsi="Arial" w:cs="Arial"/>
                <w:sz w:val="18"/>
                <w:szCs w:val="18"/>
              </w:rPr>
              <w:t>jettison.</w:t>
            </w:r>
          </w:p>
        </w:tc>
      </w:tr>
      <w:tr w:rsidR="00D54D24" w:rsidRPr="00D54D24" w14:paraId="450E3B8A" w14:textId="77777777" w:rsidTr="00C342B1">
        <w:trPr>
          <w:trHeight w:val="689"/>
        </w:trPr>
        <w:tc>
          <w:tcPr>
            <w:tcW w:w="2425" w:type="dxa"/>
          </w:tcPr>
          <w:p w14:paraId="340DD75B" w14:textId="77777777" w:rsidR="00D54D24" w:rsidRPr="00D54D24" w:rsidRDefault="00D54D24" w:rsidP="00D54D24">
            <w:pPr>
              <w:pStyle w:val="TableParagraph"/>
              <w:ind w:left="86"/>
              <w:rPr>
                <w:rFonts w:ascii="Arial" w:hAnsi="Arial" w:cs="Arial"/>
                <w:sz w:val="18"/>
                <w:szCs w:val="18"/>
              </w:rPr>
            </w:pPr>
            <w:r w:rsidRPr="00D54D24">
              <w:rPr>
                <w:rFonts w:ascii="Arial" w:hAnsi="Arial" w:cs="Arial"/>
                <w:sz w:val="18"/>
                <w:szCs w:val="18"/>
              </w:rPr>
              <w:t>Instrument panel</w:t>
            </w:r>
            <w:r w:rsidRPr="00D54D24">
              <w:rPr>
                <w:rFonts w:ascii="Arial" w:hAnsi="Arial" w:cs="Arial"/>
                <w:spacing w:val="-43"/>
                <w:sz w:val="18"/>
                <w:szCs w:val="18"/>
              </w:rPr>
              <w:t xml:space="preserve"> </w:t>
            </w:r>
            <w:r w:rsidRPr="00D54D24">
              <w:rPr>
                <w:rFonts w:ascii="Arial" w:hAnsi="Arial" w:cs="Arial"/>
                <w:sz w:val="18"/>
                <w:szCs w:val="18"/>
              </w:rPr>
              <w:t>assemblies</w:t>
            </w:r>
          </w:p>
        </w:tc>
        <w:tc>
          <w:tcPr>
            <w:tcW w:w="6660" w:type="dxa"/>
          </w:tcPr>
          <w:p w14:paraId="120B9B46" w14:textId="77777777" w:rsidR="00D54D24" w:rsidRPr="00D54D24" w:rsidRDefault="00D54D24" w:rsidP="00D54D24">
            <w:pPr>
              <w:pStyle w:val="TableParagraph"/>
              <w:ind w:right="831"/>
              <w:rPr>
                <w:rFonts w:ascii="Arial" w:hAnsi="Arial" w:cs="Arial"/>
                <w:sz w:val="18"/>
                <w:szCs w:val="18"/>
              </w:rPr>
            </w:pPr>
            <w:r w:rsidRPr="00D54D24">
              <w:rPr>
                <w:rFonts w:ascii="Arial" w:hAnsi="Arial" w:cs="Arial"/>
                <w:sz w:val="18"/>
                <w:szCs w:val="18"/>
              </w:rPr>
              <w:t>Inspect for poor condition, mounting, marking, and (where practicable)</w:t>
            </w:r>
            <w:r w:rsidRPr="00D54D24">
              <w:rPr>
                <w:rFonts w:ascii="Arial" w:hAnsi="Arial" w:cs="Arial"/>
                <w:spacing w:val="-43"/>
                <w:sz w:val="18"/>
                <w:szCs w:val="18"/>
              </w:rPr>
              <w:t xml:space="preserve"> </w:t>
            </w:r>
            <w:r w:rsidRPr="00D54D24">
              <w:rPr>
                <w:rFonts w:ascii="Arial" w:hAnsi="Arial" w:cs="Arial"/>
                <w:sz w:val="18"/>
                <w:szCs w:val="18"/>
              </w:rPr>
              <w:t>improper</w:t>
            </w:r>
            <w:r w:rsidRPr="00D54D24">
              <w:rPr>
                <w:rFonts w:ascii="Arial" w:hAnsi="Arial" w:cs="Arial"/>
                <w:spacing w:val="-1"/>
                <w:sz w:val="18"/>
                <w:szCs w:val="18"/>
              </w:rPr>
              <w:t xml:space="preserve"> </w:t>
            </w:r>
            <w:r w:rsidRPr="00D54D24">
              <w:rPr>
                <w:rFonts w:ascii="Arial" w:hAnsi="Arial" w:cs="Arial"/>
                <w:sz w:val="18"/>
                <w:szCs w:val="18"/>
              </w:rPr>
              <w:t>operation.</w:t>
            </w:r>
          </w:p>
          <w:p w14:paraId="62507E68" w14:textId="77777777" w:rsidR="00D54D24" w:rsidRPr="00D54D24" w:rsidRDefault="00D54D24" w:rsidP="00D54D24">
            <w:pPr>
              <w:pStyle w:val="TableParagraph"/>
              <w:spacing w:line="225" w:lineRule="exact"/>
              <w:rPr>
                <w:rFonts w:ascii="Arial" w:hAnsi="Arial" w:cs="Arial"/>
                <w:sz w:val="18"/>
                <w:szCs w:val="18"/>
              </w:rPr>
            </w:pPr>
            <w:r w:rsidRPr="00D54D24">
              <w:rPr>
                <w:rFonts w:ascii="Arial" w:hAnsi="Arial" w:cs="Arial"/>
                <w:sz w:val="18"/>
                <w:szCs w:val="18"/>
              </w:rPr>
              <w:t>Check</w:t>
            </w:r>
            <w:r w:rsidRPr="00D54D24">
              <w:rPr>
                <w:rFonts w:ascii="Arial" w:hAnsi="Arial" w:cs="Arial"/>
                <w:spacing w:val="-2"/>
                <w:sz w:val="18"/>
                <w:szCs w:val="18"/>
              </w:rPr>
              <w:t xml:space="preserve"> </w:t>
            </w:r>
            <w:r w:rsidRPr="00D54D24">
              <w:rPr>
                <w:rFonts w:ascii="Arial" w:hAnsi="Arial" w:cs="Arial"/>
                <w:sz w:val="18"/>
                <w:szCs w:val="18"/>
              </w:rPr>
              <w:t>markings</w:t>
            </w:r>
            <w:r w:rsidRPr="00D54D24">
              <w:rPr>
                <w:rFonts w:ascii="Arial" w:hAnsi="Arial" w:cs="Arial"/>
                <w:spacing w:val="-2"/>
                <w:sz w:val="18"/>
                <w:szCs w:val="18"/>
              </w:rPr>
              <w:t xml:space="preserve"> </w:t>
            </w:r>
            <w:r w:rsidRPr="00D54D24">
              <w:rPr>
                <w:rFonts w:ascii="Arial" w:hAnsi="Arial" w:cs="Arial"/>
                <w:sz w:val="18"/>
                <w:szCs w:val="18"/>
              </w:rPr>
              <w:t>of</w:t>
            </w:r>
            <w:r w:rsidRPr="00D54D24">
              <w:rPr>
                <w:rFonts w:ascii="Arial" w:hAnsi="Arial" w:cs="Arial"/>
                <w:spacing w:val="-3"/>
                <w:sz w:val="18"/>
                <w:szCs w:val="18"/>
              </w:rPr>
              <w:t xml:space="preserve"> </w:t>
            </w:r>
            <w:r w:rsidRPr="00D54D24">
              <w:rPr>
                <w:rFonts w:ascii="Arial" w:hAnsi="Arial" w:cs="Arial"/>
                <w:sz w:val="18"/>
                <w:szCs w:val="18"/>
              </w:rPr>
              <w:t>instruments</w:t>
            </w:r>
            <w:r w:rsidRPr="00D54D24">
              <w:rPr>
                <w:rFonts w:ascii="Arial" w:hAnsi="Arial" w:cs="Arial"/>
                <w:spacing w:val="-4"/>
                <w:sz w:val="18"/>
                <w:szCs w:val="18"/>
              </w:rPr>
              <w:t xml:space="preserve"> </w:t>
            </w:r>
            <w:r w:rsidRPr="00D54D24">
              <w:rPr>
                <w:rFonts w:ascii="Arial" w:hAnsi="Arial" w:cs="Arial"/>
                <w:sz w:val="18"/>
                <w:szCs w:val="18"/>
              </w:rPr>
              <w:t>in accordance</w:t>
            </w:r>
            <w:r w:rsidRPr="00D54D24">
              <w:rPr>
                <w:rFonts w:ascii="Arial" w:hAnsi="Arial" w:cs="Arial"/>
                <w:spacing w:val="-4"/>
                <w:sz w:val="18"/>
                <w:szCs w:val="18"/>
              </w:rPr>
              <w:t xml:space="preserve"> </w:t>
            </w:r>
            <w:r w:rsidRPr="00D54D24">
              <w:rPr>
                <w:rFonts w:ascii="Arial" w:hAnsi="Arial" w:cs="Arial"/>
                <w:sz w:val="18"/>
                <w:szCs w:val="18"/>
              </w:rPr>
              <w:t>with</w:t>
            </w:r>
            <w:r w:rsidRPr="00D54D24">
              <w:rPr>
                <w:rFonts w:ascii="Arial" w:hAnsi="Arial" w:cs="Arial"/>
                <w:spacing w:val="-2"/>
                <w:sz w:val="18"/>
                <w:szCs w:val="18"/>
              </w:rPr>
              <w:t xml:space="preserve"> </w:t>
            </w:r>
            <w:r w:rsidRPr="00D54D24">
              <w:rPr>
                <w:rFonts w:ascii="Arial" w:hAnsi="Arial" w:cs="Arial"/>
                <w:sz w:val="18"/>
                <w:szCs w:val="18"/>
              </w:rPr>
              <w:t>the</w:t>
            </w:r>
            <w:r w:rsidRPr="00D54D24">
              <w:rPr>
                <w:rFonts w:ascii="Arial" w:hAnsi="Arial" w:cs="Arial"/>
                <w:spacing w:val="-2"/>
                <w:sz w:val="18"/>
                <w:szCs w:val="18"/>
              </w:rPr>
              <w:t xml:space="preserve"> </w:t>
            </w:r>
            <w:r w:rsidRPr="00D54D24">
              <w:rPr>
                <w:rFonts w:ascii="Arial" w:hAnsi="Arial" w:cs="Arial"/>
                <w:sz w:val="18"/>
                <w:szCs w:val="18"/>
              </w:rPr>
              <w:t>flight</w:t>
            </w:r>
            <w:r w:rsidRPr="00D54D24">
              <w:rPr>
                <w:rFonts w:ascii="Arial" w:hAnsi="Arial" w:cs="Arial"/>
                <w:spacing w:val="1"/>
                <w:sz w:val="18"/>
                <w:szCs w:val="18"/>
              </w:rPr>
              <w:t xml:space="preserve"> </w:t>
            </w:r>
            <w:r w:rsidRPr="00D54D24">
              <w:rPr>
                <w:rFonts w:ascii="Arial" w:hAnsi="Arial" w:cs="Arial"/>
                <w:sz w:val="18"/>
                <w:szCs w:val="18"/>
              </w:rPr>
              <w:t>manual.</w:t>
            </w:r>
          </w:p>
        </w:tc>
      </w:tr>
      <w:tr w:rsidR="00D54D24" w:rsidRPr="00D54D24" w14:paraId="73F23FB9" w14:textId="77777777" w:rsidTr="00C342B1">
        <w:trPr>
          <w:trHeight w:val="199"/>
        </w:trPr>
        <w:tc>
          <w:tcPr>
            <w:tcW w:w="2425" w:type="dxa"/>
          </w:tcPr>
          <w:p w14:paraId="4E0EFC37" w14:textId="77777777" w:rsidR="00D54D24" w:rsidRPr="00D54D24" w:rsidRDefault="00D54D24" w:rsidP="00D54D24">
            <w:pPr>
              <w:pStyle w:val="TableParagraph"/>
              <w:spacing w:line="223" w:lineRule="exact"/>
              <w:ind w:left="86"/>
              <w:rPr>
                <w:rFonts w:ascii="Arial" w:hAnsi="Arial" w:cs="Arial"/>
                <w:sz w:val="18"/>
                <w:szCs w:val="18"/>
              </w:rPr>
            </w:pPr>
            <w:r w:rsidRPr="00D54D24">
              <w:rPr>
                <w:rFonts w:ascii="Arial" w:hAnsi="Arial" w:cs="Arial"/>
                <w:sz w:val="18"/>
                <w:szCs w:val="18"/>
              </w:rPr>
              <w:t>Flight</w:t>
            </w:r>
            <w:r w:rsidRPr="00D54D24">
              <w:rPr>
                <w:rFonts w:ascii="Arial" w:hAnsi="Arial" w:cs="Arial"/>
                <w:spacing w:val="-2"/>
                <w:sz w:val="18"/>
                <w:szCs w:val="18"/>
              </w:rPr>
              <w:t xml:space="preserve"> </w:t>
            </w:r>
            <w:r w:rsidRPr="00D54D24">
              <w:rPr>
                <w:rFonts w:ascii="Arial" w:hAnsi="Arial" w:cs="Arial"/>
                <w:sz w:val="18"/>
                <w:szCs w:val="18"/>
              </w:rPr>
              <w:t>and</w:t>
            </w:r>
            <w:r w:rsidRPr="00D54D24">
              <w:rPr>
                <w:rFonts w:ascii="Arial" w:hAnsi="Arial" w:cs="Arial"/>
                <w:spacing w:val="-2"/>
                <w:sz w:val="18"/>
                <w:szCs w:val="18"/>
              </w:rPr>
              <w:t xml:space="preserve"> </w:t>
            </w:r>
            <w:r w:rsidRPr="00D54D24">
              <w:rPr>
                <w:rFonts w:ascii="Arial" w:hAnsi="Arial" w:cs="Arial"/>
                <w:sz w:val="18"/>
                <w:szCs w:val="18"/>
              </w:rPr>
              <w:t>engine</w:t>
            </w:r>
            <w:r w:rsidRPr="00D54D24">
              <w:rPr>
                <w:rFonts w:ascii="Arial" w:hAnsi="Arial" w:cs="Arial"/>
                <w:spacing w:val="-3"/>
                <w:sz w:val="18"/>
                <w:szCs w:val="18"/>
              </w:rPr>
              <w:t xml:space="preserve"> </w:t>
            </w:r>
            <w:r w:rsidRPr="00D54D24">
              <w:rPr>
                <w:rFonts w:ascii="Arial" w:hAnsi="Arial" w:cs="Arial"/>
                <w:sz w:val="18"/>
                <w:szCs w:val="18"/>
              </w:rPr>
              <w:t>controls</w:t>
            </w:r>
          </w:p>
        </w:tc>
        <w:tc>
          <w:tcPr>
            <w:tcW w:w="6660" w:type="dxa"/>
          </w:tcPr>
          <w:p w14:paraId="2FEEB714" w14:textId="77777777" w:rsidR="00D54D24" w:rsidRPr="00D54D24" w:rsidRDefault="00D54D24" w:rsidP="00D54D24">
            <w:pPr>
              <w:pStyle w:val="TableParagraph"/>
              <w:spacing w:line="223" w:lineRule="exact"/>
              <w:rPr>
                <w:rFonts w:ascii="Arial" w:hAnsi="Arial" w:cs="Arial"/>
                <w:sz w:val="18"/>
                <w:szCs w:val="18"/>
              </w:rPr>
            </w:pPr>
            <w:r w:rsidRPr="00D54D24">
              <w:rPr>
                <w:rFonts w:ascii="Arial" w:hAnsi="Arial" w:cs="Arial"/>
                <w:sz w:val="18"/>
                <w:szCs w:val="18"/>
              </w:rPr>
              <w:t>Inspect</w:t>
            </w:r>
            <w:r w:rsidRPr="00D54D24">
              <w:rPr>
                <w:rFonts w:ascii="Arial" w:hAnsi="Arial" w:cs="Arial"/>
                <w:spacing w:val="-3"/>
                <w:sz w:val="18"/>
                <w:szCs w:val="18"/>
              </w:rPr>
              <w:t xml:space="preserve"> </w:t>
            </w:r>
            <w:r w:rsidRPr="00D54D24">
              <w:rPr>
                <w:rFonts w:ascii="Arial" w:hAnsi="Arial" w:cs="Arial"/>
                <w:sz w:val="18"/>
                <w:szCs w:val="18"/>
              </w:rPr>
              <w:t>for</w:t>
            </w:r>
            <w:r w:rsidRPr="00D54D24">
              <w:rPr>
                <w:rFonts w:ascii="Arial" w:hAnsi="Arial" w:cs="Arial"/>
                <w:spacing w:val="-3"/>
                <w:sz w:val="18"/>
                <w:szCs w:val="18"/>
              </w:rPr>
              <w:t xml:space="preserve"> </w:t>
            </w:r>
            <w:r w:rsidRPr="00D54D24">
              <w:rPr>
                <w:rFonts w:ascii="Arial" w:hAnsi="Arial" w:cs="Arial"/>
                <w:sz w:val="18"/>
                <w:szCs w:val="18"/>
              </w:rPr>
              <w:t>improper</w:t>
            </w:r>
            <w:r w:rsidRPr="00D54D24">
              <w:rPr>
                <w:rFonts w:ascii="Arial" w:hAnsi="Arial" w:cs="Arial"/>
                <w:spacing w:val="-3"/>
                <w:sz w:val="18"/>
                <w:szCs w:val="18"/>
              </w:rPr>
              <w:t xml:space="preserve"> </w:t>
            </w:r>
            <w:r w:rsidRPr="00D54D24">
              <w:rPr>
                <w:rFonts w:ascii="Arial" w:hAnsi="Arial" w:cs="Arial"/>
                <w:sz w:val="18"/>
                <w:szCs w:val="18"/>
              </w:rPr>
              <w:t>installation</w:t>
            </w:r>
            <w:r w:rsidRPr="00D54D24">
              <w:rPr>
                <w:rFonts w:ascii="Arial" w:hAnsi="Arial" w:cs="Arial"/>
                <w:spacing w:val="-3"/>
                <w:sz w:val="18"/>
                <w:szCs w:val="18"/>
              </w:rPr>
              <w:t xml:space="preserve"> </w:t>
            </w:r>
            <w:r w:rsidRPr="00D54D24">
              <w:rPr>
                <w:rFonts w:ascii="Arial" w:hAnsi="Arial" w:cs="Arial"/>
                <w:sz w:val="18"/>
                <w:szCs w:val="18"/>
              </w:rPr>
              <w:t>and</w:t>
            </w:r>
            <w:r w:rsidRPr="00D54D24">
              <w:rPr>
                <w:rFonts w:ascii="Arial" w:hAnsi="Arial" w:cs="Arial"/>
                <w:spacing w:val="-3"/>
                <w:sz w:val="18"/>
                <w:szCs w:val="18"/>
              </w:rPr>
              <w:t xml:space="preserve"> </w:t>
            </w:r>
            <w:r w:rsidRPr="00D54D24">
              <w:rPr>
                <w:rFonts w:ascii="Arial" w:hAnsi="Arial" w:cs="Arial"/>
                <w:sz w:val="18"/>
                <w:szCs w:val="18"/>
              </w:rPr>
              <w:t>improper</w:t>
            </w:r>
            <w:r w:rsidRPr="00D54D24">
              <w:rPr>
                <w:rFonts w:ascii="Arial" w:hAnsi="Arial" w:cs="Arial"/>
                <w:spacing w:val="-3"/>
                <w:sz w:val="18"/>
                <w:szCs w:val="18"/>
              </w:rPr>
              <w:t xml:space="preserve"> </w:t>
            </w:r>
            <w:r w:rsidRPr="00D54D24">
              <w:rPr>
                <w:rFonts w:ascii="Arial" w:hAnsi="Arial" w:cs="Arial"/>
                <w:sz w:val="18"/>
                <w:szCs w:val="18"/>
              </w:rPr>
              <w:t>operation.</w:t>
            </w:r>
          </w:p>
        </w:tc>
      </w:tr>
      <w:tr w:rsidR="00D54D24" w:rsidRPr="00D54D24" w14:paraId="00CF80B8" w14:textId="77777777" w:rsidTr="00C342B1">
        <w:trPr>
          <w:trHeight w:val="444"/>
        </w:trPr>
        <w:tc>
          <w:tcPr>
            <w:tcW w:w="2425" w:type="dxa"/>
          </w:tcPr>
          <w:p w14:paraId="2F8384A9" w14:textId="77777777" w:rsidR="00D54D24" w:rsidRPr="00D54D24" w:rsidRDefault="00D54D24" w:rsidP="00D54D24">
            <w:pPr>
              <w:pStyle w:val="TableParagraph"/>
              <w:spacing w:line="240" w:lineRule="atLeast"/>
              <w:ind w:left="86"/>
              <w:rPr>
                <w:rFonts w:ascii="Arial" w:hAnsi="Arial" w:cs="Arial"/>
                <w:sz w:val="18"/>
                <w:szCs w:val="18"/>
              </w:rPr>
            </w:pPr>
            <w:r w:rsidRPr="00D54D24">
              <w:rPr>
                <w:rFonts w:ascii="Arial" w:hAnsi="Arial" w:cs="Arial"/>
                <w:sz w:val="18"/>
                <w:szCs w:val="18"/>
              </w:rPr>
              <w:t>Speed/weight/manoeuvre</w:t>
            </w:r>
            <w:r w:rsidRPr="00D54D24">
              <w:rPr>
                <w:rFonts w:ascii="Arial" w:hAnsi="Arial" w:cs="Arial"/>
                <w:spacing w:val="-43"/>
                <w:sz w:val="18"/>
                <w:szCs w:val="18"/>
              </w:rPr>
              <w:t xml:space="preserve"> </w:t>
            </w:r>
            <w:r w:rsidRPr="00D54D24">
              <w:rPr>
                <w:rFonts w:ascii="Arial" w:hAnsi="Arial" w:cs="Arial"/>
                <w:sz w:val="18"/>
                <w:szCs w:val="18"/>
              </w:rPr>
              <w:t>placard</w:t>
            </w:r>
          </w:p>
        </w:tc>
        <w:tc>
          <w:tcPr>
            <w:tcW w:w="6660" w:type="dxa"/>
          </w:tcPr>
          <w:p w14:paraId="638502F6" w14:textId="77777777" w:rsidR="00D54D24" w:rsidRPr="00D54D24" w:rsidRDefault="00D54D24" w:rsidP="00D54D24">
            <w:pPr>
              <w:pStyle w:val="TableParagraph"/>
              <w:spacing w:line="240" w:lineRule="atLeast"/>
              <w:ind w:right="269"/>
              <w:rPr>
                <w:rFonts w:ascii="Arial" w:hAnsi="Arial" w:cs="Arial"/>
                <w:sz w:val="18"/>
                <w:szCs w:val="18"/>
              </w:rPr>
            </w:pPr>
            <w:r w:rsidRPr="00D54D24">
              <w:rPr>
                <w:rFonts w:ascii="Arial" w:hAnsi="Arial" w:cs="Arial"/>
                <w:sz w:val="18"/>
                <w:szCs w:val="18"/>
              </w:rPr>
              <w:t>Check that the placard is correct and legible, and accurately reflects the status</w:t>
            </w:r>
            <w:r w:rsidRPr="00D54D24">
              <w:rPr>
                <w:rFonts w:ascii="Arial" w:hAnsi="Arial" w:cs="Arial"/>
                <w:spacing w:val="-43"/>
                <w:sz w:val="18"/>
                <w:szCs w:val="18"/>
              </w:rPr>
              <w:t xml:space="preserve"> </w:t>
            </w:r>
            <w:r w:rsidRPr="00D54D24">
              <w:rPr>
                <w:rFonts w:ascii="Arial" w:hAnsi="Arial" w:cs="Arial"/>
                <w:sz w:val="18"/>
                <w:szCs w:val="18"/>
              </w:rPr>
              <w:t>of</w:t>
            </w:r>
            <w:r w:rsidRPr="00D54D24">
              <w:rPr>
                <w:rFonts w:ascii="Arial" w:hAnsi="Arial" w:cs="Arial"/>
                <w:spacing w:val="-1"/>
                <w:sz w:val="18"/>
                <w:szCs w:val="18"/>
              </w:rPr>
              <w:t xml:space="preserve"> </w:t>
            </w:r>
            <w:r w:rsidRPr="00D54D24">
              <w:rPr>
                <w:rFonts w:ascii="Arial" w:hAnsi="Arial" w:cs="Arial"/>
                <w:sz w:val="18"/>
                <w:szCs w:val="18"/>
              </w:rPr>
              <w:t>the</w:t>
            </w:r>
            <w:r w:rsidRPr="00D54D24">
              <w:rPr>
                <w:rFonts w:ascii="Arial" w:hAnsi="Arial" w:cs="Arial"/>
                <w:spacing w:val="-1"/>
                <w:sz w:val="18"/>
                <w:szCs w:val="18"/>
              </w:rPr>
              <w:t xml:space="preserve"> </w:t>
            </w:r>
            <w:r w:rsidRPr="00D54D24">
              <w:rPr>
                <w:rFonts w:ascii="Arial" w:hAnsi="Arial" w:cs="Arial"/>
                <w:sz w:val="18"/>
                <w:szCs w:val="18"/>
              </w:rPr>
              <w:t>aircraft.</w:t>
            </w:r>
          </w:p>
        </w:tc>
      </w:tr>
      <w:tr w:rsidR="00D54D24" w:rsidRPr="00D54D24" w14:paraId="57236F89" w14:textId="77777777" w:rsidTr="00C342B1">
        <w:trPr>
          <w:trHeight w:val="443"/>
        </w:trPr>
        <w:tc>
          <w:tcPr>
            <w:tcW w:w="2425" w:type="dxa"/>
          </w:tcPr>
          <w:p w14:paraId="3389D528" w14:textId="77777777" w:rsidR="00D54D24" w:rsidRPr="00D54D24" w:rsidRDefault="00D54D24" w:rsidP="00D54D24">
            <w:pPr>
              <w:pStyle w:val="TableParagraph"/>
              <w:ind w:left="86"/>
              <w:rPr>
                <w:rFonts w:ascii="Arial" w:hAnsi="Arial" w:cs="Arial"/>
                <w:sz w:val="18"/>
                <w:szCs w:val="18"/>
              </w:rPr>
            </w:pPr>
            <w:r w:rsidRPr="00D54D24">
              <w:rPr>
                <w:rFonts w:ascii="Arial" w:hAnsi="Arial" w:cs="Arial"/>
                <w:sz w:val="18"/>
                <w:szCs w:val="18"/>
              </w:rPr>
              <w:t>All</w:t>
            </w:r>
            <w:r w:rsidRPr="00D54D24">
              <w:rPr>
                <w:rFonts w:ascii="Arial" w:hAnsi="Arial" w:cs="Arial"/>
                <w:spacing w:val="-4"/>
                <w:sz w:val="18"/>
                <w:szCs w:val="18"/>
              </w:rPr>
              <w:t xml:space="preserve"> </w:t>
            </w:r>
            <w:r w:rsidRPr="00D54D24">
              <w:rPr>
                <w:rFonts w:ascii="Arial" w:hAnsi="Arial" w:cs="Arial"/>
                <w:sz w:val="18"/>
                <w:szCs w:val="18"/>
              </w:rPr>
              <w:t>systems</w:t>
            </w:r>
          </w:p>
        </w:tc>
        <w:tc>
          <w:tcPr>
            <w:tcW w:w="6660" w:type="dxa"/>
          </w:tcPr>
          <w:p w14:paraId="49C32FDB" w14:textId="77777777" w:rsidR="00D54D24" w:rsidRPr="00D54D24" w:rsidRDefault="00D54D24" w:rsidP="00D54D24">
            <w:pPr>
              <w:pStyle w:val="TableParagraph"/>
              <w:rPr>
                <w:rFonts w:ascii="Arial" w:hAnsi="Arial" w:cs="Arial"/>
                <w:sz w:val="18"/>
                <w:szCs w:val="18"/>
              </w:rPr>
            </w:pPr>
            <w:r w:rsidRPr="00D54D24">
              <w:rPr>
                <w:rFonts w:ascii="Arial" w:hAnsi="Arial" w:cs="Arial"/>
                <w:sz w:val="18"/>
                <w:szCs w:val="18"/>
              </w:rPr>
              <w:t>Inspect</w:t>
            </w:r>
            <w:r w:rsidRPr="00D54D24">
              <w:rPr>
                <w:rFonts w:ascii="Arial" w:hAnsi="Arial" w:cs="Arial"/>
                <w:spacing w:val="-3"/>
                <w:sz w:val="18"/>
                <w:szCs w:val="18"/>
              </w:rPr>
              <w:t xml:space="preserve"> </w:t>
            </w:r>
            <w:r w:rsidRPr="00D54D24">
              <w:rPr>
                <w:rFonts w:ascii="Arial" w:hAnsi="Arial" w:cs="Arial"/>
                <w:sz w:val="18"/>
                <w:szCs w:val="18"/>
              </w:rPr>
              <w:t>for</w:t>
            </w:r>
            <w:r w:rsidRPr="00D54D24">
              <w:rPr>
                <w:rFonts w:ascii="Arial" w:hAnsi="Arial" w:cs="Arial"/>
                <w:spacing w:val="-3"/>
                <w:sz w:val="18"/>
                <w:szCs w:val="18"/>
              </w:rPr>
              <w:t xml:space="preserve"> </w:t>
            </w:r>
            <w:r w:rsidRPr="00D54D24">
              <w:rPr>
                <w:rFonts w:ascii="Arial" w:hAnsi="Arial" w:cs="Arial"/>
                <w:sz w:val="18"/>
                <w:szCs w:val="18"/>
              </w:rPr>
              <w:t>improper</w:t>
            </w:r>
            <w:r w:rsidRPr="00D54D24">
              <w:rPr>
                <w:rFonts w:ascii="Arial" w:hAnsi="Arial" w:cs="Arial"/>
                <w:spacing w:val="-3"/>
                <w:sz w:val="18"/>
                <w:szCs w:val="18"/>
              </w:rPr>
              <w:t xml:space="preserve"> </w:t>
            </w:r>
            <w:r w:rsidRPr="00D54D24">
              <w:rPr>
                <w:rFonts w:ascii="Arial" w:hAnsi="Arial" w:cs="Arial"/>
                <w:sz w:val="18"/>
                <w:szCs w:val="18"/>
              </w:rPr>
              <w:t>installation,</w:t>
            </w:r>
            <w:r w:rsidRPr="00D54D24">
              <w:rPr>
                <w:rFonts w:ascii="Arial" w:hAnsi="Arial" w:cs="Arial"/>
                <w:spacing w:val="-3"/>
                <w:sz w:val="18"/>
                <w:szCs w:val="18"/>
              </w:rPr>
              <w:t xml:space="preserve"> </w:t>
            </w:r>
            <w:r w:rsidRPr="00D54D24">
              <w:rPr>
                <w:rFonts w:ascii="Arial" w:hAnsi="Arial" w:cs="Arial"/>
                <w:sz w:val="18"/>
                <w:szCs w:val="18"/>
              </w:rPr>
              <w:t>poor</w:t>
            </w:r>
            <w:r w:rsidRPr="00D54D24">
              <w:rPr>
                <w:rFonts w:ascii="Arial" w:hAnsi="Arial" w:cs="Arial"/>
                <w:spacing w:val="-3"/>
                <w:sz w:val="18"/>
                <w:szCs w:val="18"/>
              </w:rPr>
              <w:t xml:space="preserve"> </w:t>
            </w:r>
            <w:r w:rsidRPr="00D54D24">
              <w:rPr>
                <w:rFonts w:ascii="Arial" w:hAnsi="Arial" w:cs="Arial"/>
                <w:sz w:val="18"/>
                <w:szCs w:val="18"/>
              </w:rPr>
              <w:t>general</w:t>
            </w:r>
            <w:r w:rsidRPr="00D54D24">
              <w:rPr>
                <w:rFonts w:ascii="Arial" w:hAnsi="Arial" w:cs="Arial"/>
                <w:spacing w:val="-3"/>
                <w:sz w:val="18"/>
                <w:szCs w:val="18"/>
              </w:rPr>
              <w:t xml:space="preserve"> </w:t>
            </w:r>
            <w:r w:rsidRPr="00D54D24">
              <w:rPr>
                <w:rFonts w:ascii="Arial" w:hAnsi="Arial" w:cs="Arial"/>
                <w:sz w:val="18"/>
                <w:szCs w:val="18"/>
              </w:rPr>
              <w:t>condition,</w:t>
            </w:r>
            <w:r w:rsidRPr="00D54D24">
              <w:rPr>
                <w:rFonts w:ascii="Arial" w:hAnsi="Arial" w:cs="Arial"/>
                <w:spacing w:val="-3"/>
                <w:sz w:val="18"/>
                <w:szCs w:val="18"/>
              </w:rPr>
              <w:t xml:space="preserve"> </w:t>
            </w:r>
            <w:r w:rsidRPr="00D54D24">
              <w:rPr>
                <w:rFonts w:ascii="Arial" w:hAnsi="Arial" w:cs="Arial"/>
                <w:sz w:val="18"/>
                <w:szCs w:val="18"/>
              </w:rPr>
              <w:t>apparent</w:t>
            </w:r>
            <w:r w:rsidRPr="00D54D24">
              <w:rPr>
                <w:rFonts w:ascii="Arial" w:hAnsi="Arial" w:cs="Arial"/>
                <w:spacing w:val="-3"/>
                <w:sz w:val="18"/>
                <w:szCs w:val="18"/>
              </w:rPr>
              <w:t xml:space="preserve"> </w:t>
            </w:r>
            <w:r w:rsidRPr="00D54D24">
              <w:rPr>
                <w:rFonts w:ascii="Arial" w:hAnsi="Arial" w:cs="Arial"/>
                <w:sz w:val="18"/>
                <w:szCs w:val="18"/>
              </w:rPr>
              <w:t>and</w:t>
            </w:r>
            <w:r w:rsidRPr="00D54D24">
              <w:rPr>
                <w:rFonts w:ascii="Arial" w:hAnsi="Arial" w:cs="Arial"/>
                <w:spacing w:val="-3"/>
                <w:sz w:val="18"/>
                <w:szCs w:val="18"/>
              </w:rPr>
              <w:t xml:space="preserve"> </w:t>
            </w:r>
            <w:r w:rsidRPr="00D54D24">
              <w:rPr>
                <w:rFonts w:ascii="Arial" w:hAnsi="Arial" w:cs="Arial"/>
                <w:sz w:val="18"/>
                <w:szCs w:val="18"/>
              </w:rPr>
              <w:t>obvious</w:t>
            </w:r>
          </w:p>
          <w:p w14:paraId="600FBF1C" w14:textId="77777777" w:rsidR="00D54D24" w:rsidRPr="00D54D24" w:rsidRDefault="00D54D24" w:rsidP="00D54D24">
            <w:pPr>
              <w:pStyle w:val="TableParagraph"/>
              <w:spacing w:before="1" w:line="222" w:lineRule="exact"/>
              <w:rPr>
                <w:rFonts w:ascii="Arial" w:hAnsi="Arial" w:cs="Arial"/>
                <w:sz w:val="18"/>
                <w:szCs w:val="18"/>
              </w:rPr>
            </w:pPr>
            <w:r w:rsidRPr="00D54D24">
              <w:rPr>
                <w:rFonts w:ascii="Arial" w:hAnsi="Arial" w:cs="Arial"/>
                <w:sz w:val="18"/>
                <w:szCs w:val="18"/>
              </w:rPr>
              <w:t>defects,</w:t>
            </w:r>
            <w:r w:rsidRPr="00D54D24">
              <w:rPr>
                <w:rFonts w:ascii="Arial" w:hAnsi="Arial" w:cs="Arial"/>
                <w:spacing w:val="-3"/>
                <w:sz w:val="18"/>
                <w:szCs w:val="18"/>
              </w:rPr>
              <w:t xml:space="preserve"> </w:t>
            </w:r>
            <w:r w:rsidRPr="00D54D24">
              <w:rPr>
                <w:rFonts w:ascii="Arial" w:hAnsi="Arial" w:cs="Arial"/>
                <w:sz w:val="18"/>
                <w:szCs w:val="18"/>
              </w:rPr>
              <w:t>and</w:t>
            </w:r>
            <w:r w:rsidRPr="00D54D24">
              <w:rPr>
                <w:rFonts w:ascii="Arial" w:hAnsi="Arial" w:cs="Arial"/>
                <w:spacing w:val="-3"/>
                <w:sz w:val="18"/>
                <w:szCs w:val="18"/>
              </w:rPr>
              <w:t xml:space="preserve"> </w:t>
            </w:r>
            <w:r w:rsidRPr="00D54D24">
              <w:rPr>
                <w:rFonts w:ascii="Arial" w:hAnsi="Arial" w:cs="Arial"/>
                <w:sz w:val="18"/>
                <w:szCs w:val="18"/>
              </w:rPr>
              <w:t>insecurity</w:t>
            </w:r>
            <w:r w:rsidRPr="00D54D24">
              <w:rPr>
                <w:rFonts w:ascii="Arial" w:hAnsi="Arial" w:cs="Arial"/>
                <w:spacing w:val="-3"/>
                <w:sz w:val="18"/>
                <w:szCs w:val="18"/>
              </w:rPr>
              <w:t xml:space="preserve"> </w:t>
            </w:r>
            <w:r w:rsidRPr="00D54D24">
              <w:rPr>
                <w:rFonts w:ascii="Arial" w:hAnsi="Arial" w:cs="Arial"/>
                <w:sz w:val="18"/>
                <w:szCs w:val="18"/>
              </w:rPr>
              <w:t>of</w:t>
            </w:r>
            <w:r w:rsidRPr="00D54D24">
              <w:rPr>
                <w:rFonts w:ascii="Arial" w:hAnsi="Arial" w:cs="Arial"/>
                <w:spacing w:val="-5"/>
                <w:sz w:val="18"/>
                <w:szCs w:val="18"/>
              </w:rPr>
              <w:t xml:space="preserve"> </w:t>
            </w:r>
            <w:r w:rsidRPr="00D54D24">
              <w:rPr>
                <w:rFonts w:ascii="Arial" w:hAnsi="Arial" w:cs="Arial"/>
                <w:sz w:val="18"/>
                <w:szCs w:val="18"/>
              </w:rPr>
              <w:t>attachment.</w:t>
            </w:r>
          </w:p>
        </w:tc>
      </w:tr>
      <w:tr w:rsidR="00D54D24" w:rsidRPr="00D54D24" w14:paraId="4FC5D277" w14:textId="77777777" w:rsidTr="00C6551A">
        <w:trPr>
          <w:trHeight w:val="202"/>
        </w:trPr>
        <w:tc>
          <w:tcPr>
            <w:tcW w:w="9085" w:type="dxa"/>
            <w:gridSpan w:val="2"/>
            <w:shd w:val="clear" w:color="auto" w:fill="F2F2F2" w:themeFill="background1" w:themeFillShade="F2"/>
          </w:tcPr>
          <w:p w14:paraId="057AB6DC" w14:textId="77777777" w:rsidR="00D54D24" w:rsidRPr="00D54D24" w:rsidRDefault="00D54D24" w:rsidP="00D54D24">
            <w:pPr>
              <w:pStyle w:val="TableParagraph"/>
              <w:spacing w:line="225" w:lineRule="exact"/>
              <w:ind w:left="86"/>
              <w:rPr>
                <w:rFonts w:ascii="Arial" w:hAnsi="Arial" w:cs="Arial"/>
                <w:b/>
                <w:sz w:val="18"/>
                <w:szCs w:val="18"/>
              </w:rPr>
            </w:pPr>
            <w:r w:rsidRPr="00D54D24">
              <w:rPr>
                <w:rFonts w:ascii="Arial" w:hAnsi="Arial" w:cs="Arial"/>
                <w:b/>
                <w:sz w:val="18"/>
                <w:szCs w:val="18"/>
              </w:rPr>
              <w:t>LANDING</w:t>
            </w:r>
            <w:r w:rsidRPr="00D54D24">
              <w:rPr>
                <w:rFonts w:ascii="Arial" w:hAnsi="Arial" w:cs="Arial"/>
                <w:b/>
                <w:spacing w:val="-3"/>
                <w:sz w:val="18"/>
                <w:szCs w:val="18"/>
              </w:rPr>
              <w:t xml:space="preserve"> </w:t>
            </w:r>
            <w:r w:rsidRPr="00D54D24">
              <w:rPr>
                <w:rFonts w:ascii="Arial" w:hAnsi="Arial" w:cs="Arial"/>
                <w:b/>
                <w:sz w:val="18"/>
                <w:szCs w:val="18"/>
              </w:rPr>
              <w:t>GEAR</w:t>
            </w:r>
          </w:p>
        </w:tc>
      </w:tr>
      <w:tr w:rsidR="00D54D24" w:rsidRPr="00D54D24" w14:paraId="66A1505C" w14:textId="77777777" w:rsidTr="00C342B1">
        <w:trPr>
          <w:trHeight w:val="445"/>
        </w:trPr>
        <w:tc>
          <w:tcPr>
            <w:tcW w:w="2425" w:type="dxa"/>
          </w:tcPr>
          <w:p w14:paraId="7327F013" w14:textId="77777777" w:rsidR="00D54D24" w:rsidRPr="00D54D24" w:rsidRDefault="00D54D24" w:rsidP="00D54D24">
            <w:pPr>
              <w:pStyle w:val="TableParagraph"/>
              <w:spacing w:before="1"/>
              <w:ind w:left="86"/>
              <w:rPr>
                <w:rFonts w:ascii="Arial" w:hAnsi="Arial" w:cs="Arial"/>
                <w:sz w:val="18"/>
                <w:szCs w:val="18"/>
              </w:rPr>
            </w:pPr>
            <w:r w:rsidRPr="00D54D24">
              <w:rPr>
                <w:rFonts w:ascii="Arial" w:hAnsi="Arial" w:cs="Arial"/>
                <w:sz w:val="18"/>
                <w:szCs w:val="18"/>
              </w:rPr>
              <w:t>Shock-absorbing</w:t>
            </w:r>
            <w:r w:rsidRPr="00D54D24">
              <w:rPr>
                <w:rFonts w:ascii="Arial" w:hAnsi="Arial" w:cs="Arial"/>
                <w:spacing w:val="-5"/>
                <w:sz w:val="18"/>
                <w:szCs w:val="18"/>
              </w:rPr>
              <w:t xml:space="preserve"> </w:t>
            </w:r>
            <w:r w:rsidRPr="00D54D24">
              <w:rPr>
                <w:rFonts w:ascii="Arial" w:hAnsi="Arial" w:cs="Arial"/>
                <w:sz w:val="18"/>
                <w:szCs w:val="18"/>
              </w:rPr>
              <w:t>devices</w:t>
            </w:r>
          </w:p>
        </w:tc>
        <w:tc>
          <w:tcPr>
            <w:tcW w:w="6660" w:type="dxa"/>
          </w:tcPr>
          <w:p w14:paraId="5E3208BA" w14:textId="77777777" w:rsidR="00D54D24" w:rsidRPr="00D54D24" w:rsidRDefault="00D54D24" w:rsidP="00D54D24">
            <w:pPr>
              <w:pStyle w:val="TableParagraph"/>
              <w:spacing w:before="1" w:line="243" w:lineRule="exact"/>
              <w:rPr>
                <w:rFonts w:ascii="Arial" w:hAnsi="Arial" w:cs="Arial"/>
                <w:sz w:val="18"/>
                <w:szCs w:val="18"/>
              </w:rPr>
            </w:pPr>
            <w:r w:rsidRPr="00D54D24">
              <w:rPr>
                <w:rFonts w:ascii="Arial" w:hAnsi="Arial" w:cs="Arial"/>
                <w:sz w:val="18"/>
                <w:szCs w:val="18"/>
              </w:rPr>
              <w:t>Inspect</w:t>
            </w:r>
            <w:r w:rsidRPr="00D54D24">
              <w:rPr>
                <w:rFonts w:ascii="Arial" w:hAnsi="Arial" w:cs="Arial"/>
                <w:spacing w:val="-3"/>
                <w:sz w:val="18"/>
                <w:szCs w:val="18"/>
              </w:rPr>
              <w:t xml:space="preserve"> </w:t>
            </w:r>
            <w:r w:rsidRPr="00D54D24">
              <w:rPr>
                <w:rFonts w:ascii="Arial" w:hAnsi="Arial" w:cs="Arial"/>
                <w:sz w:val="18"/>
                <w:szCs w:val="18"/>
              </w:rPr>
              <w:t>for</w:t>
            </w:r>
            <w:r w:rsidRPr="00D54D24">
              <w:rPr>
                <w:rFonts w:ascii="Arial" w:hAnsi="Arial" w:cs="Arial"/>
                <w:spacing w:val="-3"/>
                <w:sz w:val="18"/>
                <w:szCs w:val="18"/>
              </w:rPr>
              <w:t xml:space="preserve"> </w:t>
            </w:r>
            <w:r w:rsidRPr="00D54D24">
              <w:rPr>
                <w:rFonts w:ascii="Arial" w:hAnsi="Arial" w:cs="Arial"/>
                <w:sz w:val="18"/>
                <w:szCs w:val="18"/>
              </w:rPr>
              <w:t>improper</w:t>
            </w:r>
            <w:r w:rsidRPr="00D54D24">
              <w:rPr>
                <w:rFonts w:ascii="Arial" w:hAnsi="Arial" w:cs="Arial"/>
                <w:spacing w:val="-3"/>
                <w:sz w:val="18"/>
                <w:szCs w:val="18"/>
              </w:rPr>
              <w:t xml:space="preserve"> </w:t>
            </w:r>
            <w:r w:rsidRPr="00D54D24">
              <w:rPr>
                <w:rFonts w:ascii="Arial" w:hAnsi="Arial" w:cs="Arial"/>
                <w:sz w:val="18"/>
                <w:szCs w:val="18"/>
              </w:rPr>
              <w:t>oleo</w:t>
            </w:r>
            <w:r w:rsidRPr="00D54D24">
              <w:rPr>
                <w:rFonts w:ascii="Arial" w:hAnsi="Arial" w:cs="Arial"/>
                <w:spacing w:val="-3"/>
                <w:sz w:val="18"/>
                <w:szCs w:val="18"/>
              </w:rPr>
              <w:t xml:space="preserve"> </w:t>
            </w:r>
            <w:r w:rsidRPr="00D54D24">
              <w:rPr>
                <w:rFonts w:ascii="Arial" w:hAnsi="Arial" w:cs="Arial"/>
                <w:sz w:val="18"/>
                <w:szCs w:val="18"/>
              </w:rPr>
              <w:t>fluid</w:t>
            </w:r>
            <w:r w:rsidRPr="00D54D24">
              <w:rPr>
                <w:rFonts w:ascii="Arial" w:hAnsi="Arial" w:cs="Arial"/>
                <w:spacing w:val="-2"/>
                <w:sz w:val="18"/>
                <w:szCs w:val="18"/>
              </w:rPr>
              <w:t xml:space="preserve"> </w:t>
            </w:r>
            <w:r w:rsidRPr="00D54D24">
              <w:rPr>
                <w:rFonts w:ascii="Arial" w:hAnsi="Arial" w:cs="Arial"/>
                <w:sz w:val="18"/>
                <w:szCs w:val="18"/>
              </w:rPr>
              <w:t>level.</w:t>
            </w:r>
          </w:p>
          <w:p w14:paraId="4085C347" w14:textId="77777777" w:rsidR="00D54D24" w:rsidRPr="00D54D24" w:rsidRDefault="00D54D24" w:rsidP="00D54D24">
            <w:pPr>
              <w:pStyle w:val="TableParagraph"/>
              <w:spacing w:line="224" w:lineRule="exact"/>
              <w:rPr>
                <w:rFonts w:ascii="Arial" w:hAnsi="Arial" w:cs="Arial"/>
                <w:sz w:val="18"/>
                <w:szCs w:val="18"/>
              </w:rPr>
            </w:pPr>
            <w:r w:rsidRPr="00D54D24">
              <w:rPr>
                <w:rFonts w:ascii="Arial" w:hAnsi="Arial" w:cs="Arial"/>
                <w:sz w:val="18"/>
                <w:szCs w:val="18"/>
              </w:rPr>
              <w:t>Inspect</w:t>
            </w:r>
            <w:r w:rsidRPr="00D54D24">
              <w:rPr>
                <w:rFonts w:ascii="Arial" w:hAnsi="Arial" w:cs="Arial"/>
                <w:spacing w:val="-3"/>
                <w:sz w:val="18"/>
                <w:szCs w:val="18"/>
              </w:rPr>
              <w:t xml:space="preserve"> </w:t>
            </w:r>
            <w:r w:rsidRPr="00D54D24">
              <w:rPr>
                <w:rFonts w:ascii="Arial" w:hAnsi="Arial" w:cs="Arial"/>
                <w:sz w:val="18"/>
                <w:szCs w:val="18"/>
              </w:rPr>
              <w:t>for</w:t>
            </w:r>
            <w:r w:rsidRPr="00D54D24">
              <w:rPr>
                <w:rFonts w:ascii="Arial" w:hAnsi="Arial" w:cs="Arial"/>
                <w:spacing w:val="-3"/>
                <w:sz w:val="18"/>
                <w:szCs w:val="18"/>
              </w:rPr>
              <w:t xml:space="preserve"> </w:t>
            </w:r>
            <w:r w:rsidRPr="00D54D24">
              <w:rPr>
                <w:rFonts w:ascii="Arial" w:hAnsi="Arial" w:cs="Arial"/>
                <w:sz w:val="18"/>
                <w:szCs w:val="18"/>
              </w:rPr>
              <w:t>wear</w:t>
            </w:r>
            <w:r w:rsidRPr="00D54D24">
              <w:rPr>
                <w:rFonts w:ascii="Arial" w:hAnsi="Arial" w:cs="Arial"/>
                <w:spacing w:val="-3"/>
                <w:sz w:val="18"/>
                <w:szCs w:val="18"/>
              </w:rPr>
              <w:t xml:space="preserve"> </w:t>
            </w:r>
            <w:r w:rsidRPr="00D54D24">
              <w:rPr>
                <w:rFonts w:ascii="Arial" w:hAnsi="Arial" w:cs="Arial"/>
                <w:sz w:val="18"/>
                <w:szCs w:val="18"/>
              </w:rPr>
              <w:t>and</w:t>
            </w:r>
            <w:r w:rsidRPr="00D54D24">
              <w:rPr>
                <w:rFonts w:ascii="Arial" w:hAnsi="Arial" w:cs="Arial"/>
                <w:spacing w:val="-3"/>
                <w:sz w:val="18"/>
                <w:szCs w:val="18"/>
              </w:rPr>
              <w:t xml:space="preserve"> </w:t>
            </w:r>
            <w:r w:rsidRPr="00D54D24">
              <w:rPr>
                <w:rFonts w:ascii="Arial" w:hAnsi="Arial" w:cs="Arial"/>
                <w:sz w:val="18"/>
                <w:szCs w:val="18"/>
              </w:rPr>
              <w:t>deformation</w:t>
            </w:r>
            <w:r w:rsidRPr="00D54D24">
              <w:rPr>
                <w:rFonts w:ascii="Arial" w:hAnsi="Arial" w:cs="Arial"/>
                <w:spacing w:val="2"/>
                <w:sz w:val="18"/>
                <w:szCs w:val="18"/>
              </w:rPr>
              <w:t xml:space="preserve"> </w:t>
            </w:r>
            <w:r w:rsidRPr="00D54D24">
              <w:rPr>
                <w:rFonts w:ascii="Arial" w:hAnsi="Arial" w:cs="Arial"/>
                <w:sz w:val="18"/>
                <w:szCs w:val="18"/>
              </w:rPr>
              <w:t>of</w:t>
            </w:r>
            <w:r w:rsidRPr="00D54D24">
              <w:rPr>
                <w:rFonts w:ascii="Arial" w:hAnsi="Arial" w:cs="Arial"/>
                <w:spacing w:val="-5"/>
                <w:sz w:val="18"/>
                <w:szCs w:val="18"/>
              </w:rPr>
              <w:t xml:space="preserve"> </w:t>
            </w:r>
            <w:r w:rsidRPr="00D54D24">
              <w:rPr>
                <w:rFonts w:ascii="Arial" w:hAnsi="Arial" w:cs="Arial"/>
                <w:sz w:val="18"/>
                <w:szCs w:val="18"/>
              </w:rPr>
              <w:t>rubber</w:t>
            </w:r>
            <w:r w:rsidRPr="00D54D24">
              <w:rPr>
                <w:rFonts w:ascii="Arial" w:hAnsi="Arial" w:cs="Arial"/>
                <w:spacing w:val="-2"/>
                <w:sz w:val="18"/>
                <w:szCs w:val="18"/>
              </w:rPr>
              <w:t xml:space="preserve"> </w:t>
            </w:r>
            <w:r w:rsidRPr="00D54D24">
              <w:rPr>
                <w:rFonts w:ascii="Arial" w:hAnsi="Arial" w:cs="Arial"/>
                <w:sz w:val="18"/>
                <w:szCs w:val="18"/>
              </w:rPr>
              <w:t>pads,</w:t>
            </w:r>
            <w:r w:rsidRPr="00D54D24">
              <w:rPr>
                <w:rFonts w:ascii="Arial" w:hAnsi="Arial" w:cs="Arial"/>
                <w:spacing w:val="-3"/>
                <w:sz w:val="18"/>
                <w:szCs w:val="18"/>
              </w:rPr>
              <w:t xml:space="preserve"> </w:t>
            </w:r>
            <w:r w:rsidRPr="00D54D24">
              <w:rPr>
                <w:rFonts w:ascii="Arial" w:hAnsi="Arial" w:cs="Arial"/>
                <w:sz w:val="18"/>
                <w:szCs w:val="18"/>
              </w:rPr>
              <w:t>bungees,</w:t>
            </w:r>
            <w:r w:rsidRPr="00D54D24">
              <w:rPr>
                <w:rFonts w:ascii="Arial" w:hAnsi="Arial" w:cs="Arial"/>
                <w:spacing w:val="-3"/>
                <w:sz w:val="18"/>
                <w:szCs w:val="18"/>
              </w:rPr>
              <w:t xml:space="preserve"> </w:t>
            </w:r>
            <w:r w:rsidRPr="00D54D24">
              <w:rPr>
                <w:rFonts w:ascii="Arial" w:hAnsi="Arial" w:cs="Arial"/>
                <w:sz w:val="18"/>
                <w:szCs w:val="18"/>
              </w:rPr>
              <w:t>and</w:t>
            </w:r>
            <w:r w:rsidRPr="00D54D24">
              <w:rPr>
                <w:rFonts w:ascii="Arial" w:hAnsi="Arial" w:cs="Arial"/>
                <w:spacing w:val="-3"/>
                <w:sz w:val="18"/>
                <w:szCs w:val="18"/>
              </w:rPr>
              <w:t xml:space="preserve"> </w:t>
            </w:r>
            <w:r w:rsidRPr="00D54D24">
              <w:rPr>
                <w:rFonts w:ascii="Arial" w:hAnsi="Arial" w:cs="Arial"/>
                <w:sz w:val="18"/>
                <w:szCs w:val="18"/>
              </w:rPr>
              <w:t>springs.</w:t>
            </w:r>
          </w:p>
        </w:tc>
      </w:tr>
      <w:tr w:rsidR="00D54D24" w:rsidRPr="00D54D24" w14:paraId="7EFA9734" w14:textId="77777777" w:rsidTr="00C342B1">
        <w:trPr>
          <w:trHeight w:val="444"/>
        </w:trPr>
        <w:tc>
          <w:tcPr>
            <w:tcW w:w="2425" w:type="dxa"/>
          </w:tcPr>
          <w:p w14:paraId="5594C3E5" w14:textId="77777777" w:rsidR="00D54D24" w:rsidRPr="00D54D24" w:rsidRDefault="00D54D24" w:rsidP="00D54D24">
            <w:pPr>
              <w:pStyle w:val="TableParagraph"/>
              <w:ind w:left="86"/>
              <w:rPr>
                <w:rFonts w:ascii="Arial" w:hAnsi="Arial" w:cs="Arial"/>
                <w:sz w:val="18"/>
                <w:szCs w:val="18"/>
              </w:rPr>
            </w:pPr>
            <w:r w:rsidRPr="00D54D24">
              <w:rPr>
                <w:rFonts w:ascii="Arial" w:hAnsi="Arial" w:cs="Arial"/>
                <w:sz w:val="18"/>
                <w:szCs w:val="18"/>
              </w:rPr>
              <w:lastRenderedPageBreak/>
              <w:t>All</w:t>
            </w:r>
            <w:r w:rsidRPr="00D54D24">
              <w:rPr>
                <w:rFonts w:ascii="Arial" w:hAnsi="Arial" w:cs="Arial"/>
                <w:spacing w:val="-2"/>
                <w:sz w:val="18"/>
                <w:szCs w:val="18"/>
              </w:rPr>
              <w:t xml:space="preserve"> </w:t>
            </w:r>
            <w:r w:rsidRPr="00D54D24">
              <w:rPr>
                <w:rFonts w:ascii="Arial" w:hAnsi="Arial" w:cs="Arial"/>
                <w:sz w:val="18"/>
                <w:szCs w:val="18"/>
              </w:rPr>
              <w:t>units</w:t>
            </w:r>
          </w:p>
        </w:tc>
        <w:tc>
          <w:tcPr>
            <w:tcW w:w="6660" w:type="dxa"/>
          </w:tcPr>
          <w:p w14:paraId="472C064D" w14:textId="77777777" w:rsidR="00D54D24" w:rsidRPr="00D54D24" w:rsidRDefault="00D54D24" w:rsidP="00D54D24">
            <w:pPr>
              <w:pStyle w:val="TableParagraph"/>
              <w:spacing w:line="240" w:lineRule="atLeast"/>
              <w:ind w:right="331"/>
              <w:rPr>
                <w:rFonts w:ascii="Arial" w:hAnsi="Arial" w:cs="Arial"/>
                <w:sz w:val="18"/>
                <w:szCs w:val="18"/>
              </w:rPr>
            </w:pPr>
            <w:r w:rsidRPr="00D54D24">
              <w:rPr>
                <w:rFonts w:ascii="Arial" w:hAnsi="Arial" w:cs="Arial"/>
                <w:sz w:val="18"/>
                <w:szCs w:val="18"/>
              </w:rPr>
              <w:t>Inspect for poor condition and insecurity of attachment, including the related</w:t>
            </w:r>
            <w:r w:rsidRPr="00D54D24">
              <w:rPr>
                <w:rFonts w:ascii="Arial" w:hAnsi="Arial" w:cs="Arial"/>
                <w:spacing w:val="-43"/>
                <w:sz w:val="18"/>
                <w:szCs w:val="18"/>
              </w:rPr>
              <w:t xml:space="preserve"> </w:t>
            </w:r>
            <w:r w:rsidRPr="00D54D24">
              <w:rPr>
                <w:rFonts w:ascii="Arial" w:hAnsi="Arial" w:cs="Arial"/>
                <w:sz w:val="18"/>
                <w:szCs w:val="18"/>
              </w:rPr>
              <w:t>structure.</w:t>
            </w:r>
          </w:p>
        </w:tc>
      </w:tr>
      <w:tr w:rsidR="00D54D24" w:rsidRPr="00D54D24" w14:paraId="775C4FBA" w14:textId="77777777" w:rsidTr="00C342B1">
        <w:trPr>
          <w:trHeight w:val="446"/>
        </w:trPr>
        <w:tc>
          <w:tcPr>
            <w:tcW w:w="2425" w:type="dxa"/>
          </w:tcPr>
          <w:p w14:paraId="6E87A0EC" w14:textId="77777777" w:rsidR="00D54D24" w:rsidRPr="00D54D24" w:rsidRDefault="00D54D24" w:rsidP="00D54D24">
            <w:pPr>
              <w:pStyle w:val="TableParagraph"/>
              <w:ind w:left="86"/>
              <w:rPr>
                <w:rFonts w:ascii="Arial" w:hAnsi="Arial" w:cs="Arial"/>
                <w:sz w:val="18"/>
                <w:szCs w:val="18"/>
              </w:rPr>
            </w:pPr>
            <w:r w:rsidRPr="00D54D24">
              <w:rPr>
                <w:rFonts w:ascii="Arial" w:hAnsi="Arial" w:cs="Arial"/>
                <w:sz w:val="18"/>
                <w:szCs w:val="18"/>
              </w:rPr>
              <w:t>Retracting</w:t>
            </w:r>
            <w:r w:rsidRPr="00D54D24">
              <w:rPr>
                <w:rFonts w:ascii="Arial" w:hAnsi="Arial" w:cs="Arial"/>
                <w:spacing w:val="-3"/>
                <w:sz w:val="18"/>
                <w:szCs w:val="18"/>
              </w:rPr>
              <w:t xml:space="preserve"> </w:t>
            </w:r>
            <w:r w:rsidRPr="00D54D24">
              <w:rPr>
                <w:rFonts w:ascii="Arial" w:hAnsi="Arial" w:cs="Arial"/>
                <w:sz w:val="18"/>
                <w:szCs w:val="18"/>
              </w:rPr>
              <w:t>and</w:t>
            </w:r>
            <w:r w:rsidRPr="00D54D24">
              <w:rPr>
                <w:rFonts w:ascii="Arial" w:hAnsi="Arial" w:cs="Arial"/>
                <w:spacing w:val="-2"/>
                <w:sz w:val="18"/>
                <w:szCs w:val="18"/>
              </w:rPr>
              <w:t xml:space="preserve"> </w:t>
            </w:r>
            <w:r w:rsidRPr="00D54D24">
              <w:rPr>
                <w:rFonts w:ascii="Arial" w:hAnsi="Arial" w:cs="Arial"/>
                <w:sz w:val="18"/>
                <w:szCs w:val="18"/>
              </w:rPr>
              <w:t>locking</w:t>
            </w:r>
          </w:p>
          <w:p w14:paraId="64356176" w14:textId="77777777" w:rsidR="00D54D24" w:rsidRPr="00D54D24" w:rsidRDefault="00D54D24" w:rsidP="00D54D24">
            <w:pPr>
              <w:pStyle w:val="TableParagraph"/>
              <w:spacing w:before="1" w:line="225" w:lineRule="exact"/>
              <w:ind w:left="86"/>
              <w:rPr>
                <w:rFonts w:ascii="Arial" w:hAnsi="Arial" w:cs="Arial"/>
                <w:sz w:val="18"/>
                <w:szCs w:val="18"/>
              </w:rPr>
            </w:pPr>
            <w:r w:rsidRPr="00D54D24">
              <w:rPr>
                <w:rFonts w:ascii="Arial" w:hAnsi="Arial" w:cs="Arial"/>
                <w:sz w:val="18"/>
                <w:szCs w:val="18"/>
              </w:rPr>
              <w:t>mechanism</w:t>
            </w:r>
          </w:p>
        </w:tc>
        <w:tc>
          <w:tcPr>
            <w:tcW w:w="6660" w:type="dxa"/>
          </w:tcPr>
          <w:p w14:paraId="6EE8E313" w14:textId="77777777" w:rsidR="00D54D24" w:rsidRPr="00D54D24" w:rsidRDefault="00D54D24" w:rsidP="00D54D24">
            <w:pPr>
              <w:pStyle w:val="TableParagraph"/>
              <w:rPr>
                <w:rFonts w:ascii="Arial" w:hAnsi="Arial" w:cs="Arial"/>
                <w:sz w:val="18"/>
                <w:szCs w:val="18"/>
              </w:rPr>
            </w:pPr>
            <w:r w:rsidRPr="00D54D24">
              <w:rPr>
                <w:rFonts w:ascii="Arial" w:hAnsi="Arial" w:cs="Arial"/>
                <w:sz w:val="18"/>
                <w:szCs w:val="18"/>
              </w:rPr>
              <w:t>Inspect</w:t>
            </w:r>
            <w:r w:rsidRPr="00D54D24">
              <w:rPr>
                <w:rFonts w:ascii="Arial" w:hAnsi="Arial" w:cs="Arial"/>
                <w:spacing w:val="-3"/>
                <w:sz w:val="18"/>
                <w:szCs w:val="18"/>
              </w:rPr>
              <w:t xml:space="preserve"> </w:t>
            </w:r>
            <w:r w:rsidRPr="00D54D24">
              <w:rPr>
                <w:rFonts w:ascii="Arial" w:hAnsi="Arial" w:cs="Arial"/>
                <w:sz w:val="18"/>
                <w:szCs w:val="18"/>
              </w:rPr>
              <w:t>mechanism.</w:t>
            </w:r>
            <w:r w:rsidRPr="00D54D24">
              <w:rPr>
                <w:rFonts w:ascii="Arial" w:hAnsi="Arial" w:cs="Arial"/>
                <w:spacing w:val="-3"/>
                <w:sz w:val="18"/>
                <w:szCs w:val="18"/>
              </w:rPr>
              <w:t xml:space="preserve"> </w:t>
            </w:r>
            <w:r w:rsidRPr="00D54D24">
              <w:rPr>
                <w:rFonts w:ascii="Arial" w:hAnsi="Arial" w:cs="Arial"/>
                <w:sz w:val="18"/>
                <w:szCs w:val="18"/>
              </w:rPr>
              <w:t>Operational</w:t>
            </w:r>
            <w:r w:rsidRPr="00D54D24">
              <w:rPr>
                <w:rFonts w:ascii="Arial" w:hAnsi="Arial" w:cs="Arial"/>
                <w:spacing w:val="-3"/>
                <w:sz w:val="18"/>
                <w:szCs w:val="18"/>
              </w:rPr>
              <w:t xml:space="preserve"> </w:t>
            </w:r>
            <w:r w:rsidRPr="00D54D24">
              <w:rPr>
                <w:rFonts w:ascii="Arial" w:hAnsi="Arial" w:cs="Arial"/>
                <w:sz w:val="18"/>
                <w:szCs w:val="18"/>
              </w:rPr>
              <w:t>check.</w:t>
            </w:r>
          </w:p>
        </w:tc>
      </w:tr>
      <w:tr w:rsidR="00D54D24" w:rsidRPr="00D54D24" w14:paraId="23876732" w14:textId="77777777" w:rsidTr="00C342B1">
        <w:trPr>
          <w:trHeight w:val="444"/>
        </w:trPr>
        <w:tc>
          <w:tcPr>
            <w:tcW w:w="2425" w:type="dxa"/>
          </w:tcPr>
          <w:p w14:paraId="2B6B8E47" w14:textId="77777777" w:rsidR="00D54D24" w:rsidRPr="00D54D24" w:rsidRDefault="00D54D24" w:rsidP="00D54D24">
            <w:pPr>
              <w:pStyle w:val="TableParagraph"/>
              <w:spacing w:line="242" w:lineRule="exact"/>
              <w:ind w:left="86"/>
              <w:rPr>
                <w:rFonts w:ascii="Arial" w:hAnsi="Arial" w:cs="Arial"/>
                <w:sz w:val="18"/>
                <w:szCs w:val="18"/>
              </w:rPr>
            </w:pPr>
            <w:r w:rsidRPr="00D54D24">
              <w:rPr>
                <w:rFonts w:ascii="Arial" w:hAnsi="Arial" w:cs="Arial"/>
                <w:sz w:val="18"/>
                <w:szCs w:val="18"/>
              </w:rPr>
              <w:t>Linkages,</w:t>
            </w:r>
            <w:r w:rsidRPr="00D54D24">
              <w:rPr>
                <w:rFonts w:ascii="Arial" w:hAnsi="Arial" w:cs="Arial"/>
                <w:spacing w:val="-3"/>
                <w:sz w:val="18"/>
                <w:szCs w:val="18"/>
              </w:rPr>
              <w:t xml:space="preserve"> </w:t>
            </w:r>
            <w:r w:rsidRPr="00D54D24">
              <w:rPr>
                <w:rFonts w:ascii="Arial" w:hAnsi="Arial" w:cs="Arial"/>
                <w:sz w:val="18"/>
                <w:szCs w:val="18"/>
              </w:rPr>
              <w:t>trusses</w:t>
            </w:r>
            <w:r w:rsidRPr="00D54D24">
              <w:rPr>
                <w:rFonts w:ascii="Arial" w:hAnsi="Arial" w:cs="Arial"/>
                <w:spacing w:val="-4"/>
                <w:sz w:val="18"/>
                <w:szCs w:val="18"/>
              </w:rPr>
              <w:t xml:space="preserve"> </w:t>
            </w:r>
            <w:r w:rsidRPr="00D54D24">
              <w:rPr>
                <w:rFonts w:ascii="Arial" w:hAnsi="Arial" w:cs="Arial"/>
                <w:sz w:val="18"/>
                <w:szCs w:val="18"/>
              </w:rPr>
              <w:t>and</w:t>
            </w:r>
          </w:p>
          <w:p w14:paraId="583E0F6F" w14:textId="77777777" w:rsidR="00D54D24" w:rsidRPr="00D54D24" w:rsidRDefault="00D54D24" w:rsidP="00D54D24">
            <w:pPr>
              <w:pStyle w:val="TableParagraph"/>
              <w:spacing w:line="225" w:lineRule="exact"/>
              <w:ind w:left="86"/>
              <w:rPr>
                <w:rFonts w:ascii="Arial" w:hAnsi="Arial" w:cs="Arial"/>
                <w:sz w:val="18"/>
                <w:szCs w:val="18"/>
              </w:rPr>
            </w:pPr>
            <w:r w:rsidRPr="00D54D24">
              <w:rPr>
                <w:rFonts w:ascii="Arial" w:hAnsi="Arial" w:cs="Arial"/>
                <w:sz w:val="18"/>
                <w:szCs w:val="18"/>
              </w:rPr>
              <w:t>members</w:t>
            </w:r>
          </w:p>
        </w:tc>
        <w:tc>
          <w:tcPr>
            <w:tcW w:w="6660" w:type="dxa"/>
          </w:tcPr>
          <w:p w14:paraId="5FE306C4" w14:textId="77777777" w:rsidR="00D54D24" w:rsidRPr="00D54D24" w:rsidRDefault="00D54D24" w:rsidP="00D54D24">
            <w:pPr>
              <w:pStyle w:val="TableParagraph"/>
              <w:spacing w:line="242" w:lineRule="exact"/>
              <w:rPr>
                <w:rFonts w:ascii="Arial" w:hAnsi="Arial" w:cs="Arial"/>
                <w:sz w:val="18"/>
                <w:szCs w:val="18"/>
              </w:rPr>
            </w:pPr>
            <w:r w:rsidRPr="00D54D24">
              <w:rPr>
                <w:rFonts w:ascii="Arial" w:hAnsi="Arial" w:cs="Arial"/>
                <w:sz w:val="18"/>
                <w:szCs w:val="18"/>
              </w:rPr>
              <w:t>Inspect</w:t>
            </w:r>
            <w:r w:rsidRPr="00D54D24">
              <w:rPr>
                <w:rFonts w:ascii="Arial" w:hAnsi="Arial" w:cs="Arial"/>
                <w:spacing w:val="-3"/>
                <w:sz w:val="18"/>
                <w:szCs w:val="18"/>
              </w:rPr>
              <w:t xml:space="preserve"> </w:t>
            </w:r>
            <w:r w:rsidRPr="00D54D24">
              <w:rPr>
                <w:rFonts w:ascii="Arial" w:hAnsi="Arial" w:cs="Arial"/>
                <w:sz w:val="18"/>
                <w:szCs w:val="18"/>
              </w:rPr>
              <w:t>for</w:t>
            </w:r>
            <w:r w:rsidRPr="00D54D24">
              <w:rPr>
                <w:rFonts w:ascii="Arial" w:hAnsi="Arial" w:cs="Arial"/>
                <w:spacing w:val="-3"/>
                <w:sz w:val="18"/>
                <w:szCs w:val="18"/>
              </w:rPr>
              <w:t xml:space="preserve"> </w:t>
            </w:r>
            <w:r w:rsidRPr="00D54D24">
              <w:rPr>
                <w:rFonts w:ascii="Arial" w:hAnsi="Arial" w:cs="Arial"/>
                <w:sz w:val="18"/>
                <w:szCs w:val="18"/>
              </w:rPr>
              <w:t>undue</w:t>
            </w:r>
            <w:r w:rsidRPr="00D54D24">
              <w:rPr>
                <w:rFonts w:ascii="Arial" w:hAnsi="Arial" w:cs="Arial"/>
                <w:spacing w:val="-3"/>
                <w:sz w:val="18"/>
                <w:szCs w:val="18"/>
              </w:rPr>
              <w:t xml:space="preserve"> </w:t>
            </w:r>
            <w:r w:rsidRPr="00D54D24">
              <w:rPr>
                <w:rFonts w:ascii="Arial" w:hAnsi="Arial" w:cs="Arial"/>
                <w:sz w:val="18"/>
                <w:szCs w:val="18"/>
              </w:rPr>
              <w:t>or</w:t>
            </w:r>
            <w:r w:rsidRPr="00D54D24">
              <w:rPr>
                <w:rFonts w:ascii="Arial" w:hAnsi="Arial" w:cs="Arial"/>
                <w:spacing w:val="-3"/>
                <w:sz w:val="18"/>
                <w:szCs w:val="18"/>
              </w:rPr>
              <w:t xml:space="preserve"> </w:t>
            </w:r>
            <w:r w:rsidRPr="00D54D24">
              <w:rPr>
                <w:rFonts w:ascii="Arial" w:hAnsi="Arial" w:cs="Arial"/>
                <w:sz w:val="18"/>
                <w:szCs w:val="18"/>
              </w:rPr>
              <w:t>excessive</w:t>
            </w:r>
            <w:r w:rsidRPr="00D54D24">
              <w:rPr>
                <w:rFonts w:ascii="Arial" w:hAnsi="Arial" w:cs="Arial"/>
                <w:spacing w:val="-3"/>
                <w:sz w:val="18"/>
                <w:szCs w:val="18"/>
              </w:rPr>
              <w:t xml:space="preserve"> </w:t>
            </w:r>
            <w:r w:rsidRPr="00D54D24">
              <w:rPr>
                <w:rFonts w:ascii="Arial" w:hAnsi="Arial" w:cs="Arial"/>
                <w:sz w:val="18"/>
                <w:szCs w:val="18"/>
              </w:rPr>
              <w:t>wear fatigue</w:t>
            </w:r>
            <w:r w:rsidRPr="00D54D24">
              <w:rPr>
                <w:rFonts w:ascii="Arial" w:hAnsi="Arial" w:cs="Arial"/>
                <w:spacing w:val="-3"/>
                <w:sz w:val="18"/>
                <w:szCs w:val="18"/>
              </w:rPr>
              <w:t xml:space="preserve"> </w:t>
            </w:r>
            <w:r w:rsidRPr="00D54D24">
              <w:rPr>
                <w:rFonts w:ascii="Arial" w:hAnsi="Arial" w:cs="Arial"/>
                <w:sz w:val="18"/>
                <w:szCs w:val="18"/>
              </w:rPr>
              <w:t>and</w:t>
            </w:r>
            <w:r w:rsidRPr="00D54D24">
              <w:rPr>
                <w:rFonts w:ascii="Arial" w:hAnsi="Arial" w:cs="Arial"/>
                <w:spacing w:val="-2"/>
                <w:sz w:val="18"/>
                <w:szCs w:val="18"/>
              </w:rPr>
              <w:t xml:space="preserve"> </w:t>
            </w:r>
            <w:r w:rsidRPr="00D54D24">
              <w:rPr>
                <w:rFonts w:ascii="Arial" w:hAnsi="Arial" w:cs="Arial"/>
                <w:sz w:val="18"/>
                <w:szCs w:val="18"/>
              </w:rPr>
              <w:t>distortion.</w:t>
            </w:r>
          </w:p>
        </w:tc>
      </w:tr>
      <w:tr w:rsidR="00D54D24" w:rsidRPr="00D54D24" w14:paraId="48FC7738" w14:textId="77777777" w:rsidTr="00C342B1">
        <w:trPr>
          <w:trHeight w:val="200"/>
        </w:trPr>
        <w:tc>
          <w:tcPr>
            <w:tcW w:w="2425" w:type="dxa"/>
          </w:tcPr>
          <w:p w14:paraId="1C8EA269" w14:textId="77777777" w:rsidR="00D54D24" w:rsidRPr="00D54D24" w:rsidRDefault="00D54D24" w:rsidP="00D54D24">
            <w:pPr>
              <w:pStyle w:val="TableParagraph"/>
              <w:spacing w:line="223" w:lineRule="exact"/>
              <w:ind w:left="86"/>
              <w:rPr>
                <w:rFonts w:ascii="Arial" w:hAnsi="Arial" w:cs="Arial"/>
                <w:sz w:val="18"/>
                <w:szCs w:val="18"/>
              </w:rPr>
            </w:pPr>
            <w:r w:rsidRPr="00D54D24">
              <w:rPr>
                <w:rFonts w:ascii="Arial" w:hAnsi="Arial" w:cs="Arial"/>
                <w:sz w:val="18"/>
                <w:szCs w:val="18"/>
              </w:rPr>
              <w:t>Steering</w:t>
            </w:r>
          </w:p>
        </w:tc>
        <w:tc>
          <w:tcPr>
            <w:tcW w:w="6660" w:type="dxa"/>
          </w:tcPr>
          <w:p w14:paraId="26F9674B" w14:textId="77777777" w:rsidR="00D54D24" w:rsidRPr="00D54D24" w:rsidRDefault="00D54D24" w:rsidP="00D54D24">
            <w:pPr>
              <w:pStyle w:val="TableParagraph"/>
              <w:spacing w:line="223" w:lineRule="exact"/>
              <w:rPr>
                <w:rFonts w:ascii="Arial" w:hAnsi="Arial" w:cs="Arial"/>
                <w:sz w:val="18"/>
                <w:szCs w:val="18"/>
              </w:rPr>
            </w:pPr>
            <w:r w:rsidRPr="00D54D24">
              <w:rPr>
                <w:rFonts w:ascii="Arial" w:hAnsi="Arial" w:cs="Arial"/>
                <w:sz w:val="18"/>
                <w:szCs w:val="18"/>
              </w:rPr>
              <w:t>Inspect</w:t>
            </w:r>
            <w:r w:rsidRPr="00D54D24">
              <w:rPr>
                <w:rFonts w:ascii="Arial" w:hAnsi="Arial" w:cs="Arial"/>
                <w:spacing w:val="-3"/>
                <w:sz w:val="18"/>
                <w:szCs w:val="18"/>
              </w:rPr>
              <w:t xml:space="preserve"> </w:t>
            </w:r>
            <w:r w:rsidRPr="00D54D24">
              <w:rPr>
                <w:rFonts w:ascii="Arial" w:hAnsi="Arial" w:cs="Arial"/>
                <w:sz w:val="18"/>
                <w:szCs w:val="18"/>
              </w:rPr>
              <w:t>the</w:t>
            </w:r>
            <w:r w:rsidRPr="00D54D24">
              <w:rPr>
                <w:rFonts w:ascii="Arial" w:hAnsi="Arial" w:cs="Arial"/>
                <w:spacing w:val="-4"/>
                <w:sz w:val="18"/>
                <w:szCs w:val="18"/>
              </w:rPr>
              <w:t xml:space="preserve"> </w:t>
            </w:r>
            <w:r w:rsidRPr="00D54D24">
              <w:rPr>
                <w:rFonts w:ascii="Arial" w:hAnsi="Arial" w:cs="Arial"/>
                <w:sz w:val="18"/>
                <w:szCs w:val="18"/>
              </w:rPr>
              <w:t>nose/tail</w:t>
            </w:r>
            <w:r w:rsidRPr="00D54D24">
              <w:rPr>
                <w:rFonts w:ascii="Arial" w:hAnsi="Arial" w:cs="Arial"/>
                <w:spacing w:val="-3"/>
                <w:sz w:val="18"/>
                <w:szCs w:val="18"/>
              </w:rPr>
              <w:t xml:space="preserve"> </w:t>
            </w:r>
            <w:r w:rsidRPr="00D54D24">
              <w:rPr>
                <w:rFonts w:ascii="Arial" w:hAnsi="Arial" w:cs="Arial"/>
                <w:sz w:val="18"/>
                <w:szCs w:val="18"/>
              </w:rPr>
              <w:t>wheel</w:t>
            </w:r>
            <w:r w:rsidRPr="00D54D24">
              <w:rPr>
                <w:rFonts w:ascii="Arial" w:hAnsi="Arial" w:cs="Arial"/>
                <w:spacing w:val="-2"/>
                <w:sz w:val="18"/>
                <w:szCs w:val="18"/>
              </w:rPr>
              <w:t xml:space="preserve"> </w:t>
            </w:r>
            <w:r w:rsidRPr="00D54D24">
              <w:rPr>
                <w:rFonts w:ascii="Arial" w:hAnsi="Arial" w:cs="Arial"/>
                <w:sz w:val="18"/>
                <w:szCs w:val="18"/>
              </w:rPr>
              <w:t>steering</w:t>
            </w:r>
            <w:r w:rsidRPr="00D54D24">
              <w:rPr>
                <w:rFonts w:ascii="Arial" w:hAnsi="Arial" w:cs="Arial"/>
                <w:spacing w:val="-4"/>
                <w:sz w:val="18"/>
                <w:szCs w:val="18"/>
              </w:rPr>
              <w:t xml:space="preserve"> </w:t>
            </w:r>
            <w:r w:rsidRPr="00D54D24">
              <w:rPr>
                <w:rFonts w:ascii="Arial" w:hAnsi="Arial" w:cs="Arial"/>
                <w:sz w:val="18"/>
                <w:szCs w:val="18"/>
              </w:rPr>
              <w:t>for</w:t>
            </w:r>
            <w:r w:rsidRPr="00D54D24">
              <w:rPr>
                <w:rFonts w:ascii="Arial" w:hAnsi="Arial" w:cs="Arial"/>
                <w:spacing w:val="-3"/>
                <w:sz w:val="18"/>
                <w:szCs w:val="18"/>
              </w:rPr>
              <w:t xml:space="preserve"> </w:t>
            </w:r>
            <w:r w:rsidRPr="00D54D24">
              <w:rPr>
                <w:rFonts w:ascii="Arial" w:hAnsi="Arial" w:cs="Arial"/>
                <w:sz w:val="18"/>
                <w:szCs w:val="18"/>
              </w:rPr>
              <w:t>proper</w:t>
            </w:r>
            <w:r w:rsidRPr="00D54D24">
              <w:rPr>
                <w:rFonts w:ascii="Arial" w:hAnsi="Arial" w:cs="Arial"/>
                <w:spacing w:val="-1"/>
                <w:sz w:val="18"/>
                <w:szCs w:val="18"/>
              </w:rPr>
              <w:t xml:space="preserve"> </w:t>
            </w:r>
            <w:r w:rsidRPr="00D54D24">
              <w:rPr>
                <w:rFonts w:ascii="Arial" w:hAnsi="Arial" w:cs="Arial"/>
                <w:sz w:val="18"/>
                <w:szCs w:val="18"/>
              </w:rPr>
              <w:t>function</w:t>
            </w:r>
            <w:r w:rsidRPr="00D54D24">
              <w:rPr>
                <w:rFonts w:ascii="Arial" w:hAnsi="Arial" w:cs="Arial"/>
                <w:spacing w:val="-3"/>
                <w:sz w:val="18"/>
                <w:szCs w:val="18"/>
              </w:rPr>
              <w:t xml:space="preserve"> </w:t>
            </w:r>
            <w:r w:rsidRPr="00D54D24">
              <w:rPr>
                <w:rFonts w:ascii="Arial" w:hAnsi="Arial" w:cs="Arial"/>
                <w:sz w:val="18"/>
                <w:szCs w:val="18"/>
              </w:rPr>
              <w:t>and</w:t>
            </w:r>
            <w:r w:rsidRPr="00D54D24">
              <w:rPr>
                <w:rFonts w:ascii="Arial" w:hAnsi="Arial" w:cs="Arial"/>
                <w:spacing w:val="-2"/>
                <w:sz w:val="18"/>
                <w:szCs w:val="18"/>
              </w:rPr>
              <w:t xml:space="preserve"> </w:t>
            </w:r>
            <w:r w:rsidRPr="00D54D24">
              <w:rPr>
                <w:rFonts w:ascii="Arial" w:hAnsi="Arial" w:cs="Arial"/>
                <w:sz w:val="18"/>
                <w:szCs w:val="18"/>
              </w:rPr>
              <w:t>wear.</w:t>
            </w:r>
          </w:p>
        </w:tc>
      </w:tr>
      <w:tr w:rsidR="00D54D24" w:rsidRPr="00D54D24" w14:paraId="6B776027" w14:textId="77777777" w:rsidTr="00C342B1">
        <w:trPr>
          <w:trHeight w:val="444"/>
        </w:trPr>
        <w:tc>
          <w:tcPr>
            <w:tcW w:w="2425" w:type="dxa"/>
          </w:tcPr>
          <w:p w14:paraId="18768A6B" w14:textId="77777777" w:rsidR="00D54D24" w:rsidRPr="00D54D24" w:rsidRDefault="00D54D24" w:rsidP="00D54D24">
            <w:pPr>
              <w:pStyle w:val="TableParagraph"/>
              <w:ind w:left="86"/>
              <w:rPr>
                <w:rFonts w:ascii="Arial" w:hAnsi="Arial" w:cs="Arial"/>
                <w:sz w:val="18"/>
                <w:szCs w:val="18"/>
              </w:rPr>
            </w:pPr>
            <w:r w:rsidRPr="00D54D24">
              <w:rPr>
                <w:rFonts w:ascii="Arial" w:hAnsi="Arial" w:cs="Arial"/>
                <w:sz w:val="18"/>
                <w:szCs w:val="18"/>
              </w:rPr>
              <w:t>Hydraulic</w:t>
            </w:r>
            <w:r w:rsidRPr="00D54D24">
              <w:rPr>
                <w:rFonts w:ascii="Arial" w:hAnsi="Arial" w:cs="Arial"/>
                <w:spacing w:val="-3"/>
                <w:sz w:val="18"/>
                <w:szCs w:val="18"/>
              </w:rPr>
              <w:t xml:space="preserve"> </w:t>
            </w:r>
            <w:r w:rsidRPr="00D54D24">
              <w:rPr>
                <w:rFonts w:ascii="Arial" w:hAnsi="Arial" w:cs="Arial"/>
                <w:sz w:val="18"/>
                <w:szCs w:val="18"/>
              </w:rPr>
              <w:t>lines</w:t>
            </w:r>
          </w:p>
        </w:tc>
        <w:tc>
          <w:tcPr>
            <w:tcW w:w="6660" w:type="dxa"/>
          </w:tcPr>
          <w:p w14:paraId="16A8F401" w14:textId="77777777" w:rsidR="00D54D24" w:rsidRPr="00D54D24" w:rsidRDefault="00D54D24" w:rsidP="00D54D24">
            <w:pPr>
              <w:pStyle w:val="TableParagraph"/>
              <w:rPr>
                <w:rFonts w:ascii="Arial" w:hAnsi="Arial" w:cs="Arial"/>
                <w:sz w:val="18"/>
                <w:szCs w:val="18"/>
              </w:rPr>
            </w:pPr>
            <w:r w:rsidRPr="00D54D24">
              <w:rPr>
                <w:rFonts w:ascii="Arial" w:hAnsi="Arial" w:cs="Arial"/>
                <w:sz w:val="18"/>
                <w:szCs w:val="18"/>
              </w:rPr>
              <w:t>Inspect</w:t>
            </w:r>
            <w:r w:rsidRPr="00D54D24">
              <w:rPr>
                <w:rFonts w:ascii="Arial" w:hAnsi="Arial" w:cs="Arial"/>
                <w:spacing w:val="-3"/>
                <w:sz w:val="18"/>
                <w:szCs w:val="18"/>
              </w:rPr>
              <w:t xml:space="preserve"> </w:t>
            </w:r>
            <w:r w:rsidRPr="00D54D24">
              <w:rPr>
                <w:rFonts w:ascii="Arial" w:hAnsi="Arial" w:cs="Arial"/>
                <w:sz w:val="18"/>
                <w:szCs w:val="18"/>
              </w:rPr>
              <w:t>for</w:t>
            </w:r>
            <w:r w:rsidRPr="00D54D24">
              <w:rPr>
                <w:rFonts w:ascii="Arial" w:hAnsi="Arial" w:cs="Arial"/>
                <w:spacing w:val="-2"/>
                <w:sz w:val="18"/>
                <w:szCs w:val="18"/>
              </w:rPr>
              <w:t xml:space="preserve"> </w:t>
            </w:r>
            <w:r w:rsidRPr="00D54D24">
              <w:rPr>
                <w:rFonts w:ascii="Arial" w:hAnsi="Arial" w:cs="Arial"/>
                <w:sz w:val="18"/>
                <w:szCs w:val="18"/>
              </w:rPr>
              <w:t>leakage.</w:t>
            </w:r>
          </w:p>
          <w:p w14:paraId="6AA588A0" w14:textId="77777777" w:rsidR="00D54D24" w:rsidRPr="00D54D24" w:rsidRDefault="00D54D24" w:rsidP="00D54D24">
            <w:pPr>
              <w:pStyle w:val="TableParagraph"/>
              <w:spacing w:before="1" w:line="222" w:lineRule="exact"/>
              <w:rPr>
                <w:rFonts w:ascii="Arial" w:hAnsi="Arial" w:cs="Arial"/>
                <w:sz w:val="18"/>
                <w:szCs w:val="18"/>
              </w:rPr>
            </w:pPr>
            <w:r w:rsidRPr="00D54D24">
              <w:rPr>
                <w:rFonts w:ascii="Arial" w:hAnsi="Arial" w:cs="Arial"/>
                <w:sz w:val="18"/>
                <w:szCs w:val="18"/>
              </w:rPr>
              <w:t>Check</w:t>
            </w:r>
            <w:r w:rsidRPr="00D54D24">
              <w:rPr>
                <w:rFonts w:ascii="Arial" w:hAnsi="Arial" w:cs="Arial"/>
                <w:spacing w:val="-3"/>
                <w:sz w:val="18"/>
                <w:szCs w:val="18"/>
              </w:rPr>
              <w:t xml:space="preserve"> </w:t>
            </w:r>
            <w:r w:rsidRPr="00D54D24">
              <w:rPr>
                <w:rFonts w:ascii="Arial" w:hAnsi="Arial" w:cs="Arial"/>
                <w:sz w:val="18"/>
                <w:szCs w:val="18"/>
              </w:rPr>
              <w:t>condition</w:t>
            </w:r>
            <w:r w:rsidRPr="00D54D24">
              <w:rPr>
                <w:rFonts w:ascii="Arial" w:hAnsi="Arial" w:cs="Arial"/>
                <w:spacing w:val="-3"/>
                <w:sz w:val="18"/>
                <w:szCs w:val="18"/>
              </w:rPr>
              <w:t xml:space="preserve"> </w:t>
            </w:r>
            <w:r w:rsidRPr="00D54D24">
              <w:rPr>
                <w:rFonts w:ascii="Arial" w:hAnsi="Arial" w:cs="Arial"/>
                <w:sz w:val="18"/>
                <w:szCs w:val="18"/>
              </w:rPr>
              <w:t>and</w:t>
            </w:r>
            <w:r w:rsidRPr="00D54D24">
              <w:rPr>
                <w:rFonts w:ascii="Arial" w:hAnsi="Arial" w:cs="Arial"/>
                <w:spacing w:val="-3"/>
                <w:sz w:val="18"/>
                <w:szCs w:val="18"/>
              </w:rPr>
              <w:t xml:space="preserve"> </w:t>
            </w:r>
            <w:r w:rsidRPr="00D54D24">
              <w:rPr>
                <w:rFonts w:ascii="Arial" w:hAnsi="Arial" w:cs="Arial"/>
                <w:sz w:val="18"/>
                <w:szCs w:val="18"/>
              </w:rPr>
              <w:t>replace</w:t>
            </w:r>
            <w:r w:rsidRPr="00D54D24">
              <w:rPr>
                <w:rFonts w:ascii="Arial" w:hAnsi="Arial" w:cs="Arial"/>
                <w:spacing w:val="-3"/>
                <w:sz w:val="18"/>
                <w:szCs w:val="18"/>
              </w:rPr>
              <w:t xml:space="preserve"> </w:t>
            </w:r>
            <w:r w:rsidRPr="00D54D24">
              <w:rPr>
                <w:rFonts w:ascii="Arial" w:hAnsi="Arial" w:cs="Arial"/>
                <w:sz w:val="18"/>
                <w:szCs w:val="18"/>
              </w:rPr>
              <w:t>if</w:t>
            </w:r>
            <w:r w:rsidRPr="00D54D24">
              <w:rPr>
                <w:rFonts w:ascii="Arial" w:hAnsi="Arial" w:cs="Arial"/>
                <w:spacing w:val="-2"/>
                <w:sz w:val="18"/>
                <w:szCs w:val="18"/>
              </w:rPr>
              <w:t xml:space="preserve"> </w:t>
            </w:r>
            <w:r w:rsidRPr="00D54D24">
              <w:rPr>
                <w:rFonts w:ascii="Arial" w:hAnsi="Arial" w:cs="Arial"/>
                <w:sz w:val="18"/>
                <w:szCs w:val="18"/>
              </w:rPr>
              <w:t>necessary.</w:t>
            </w:r>
          </w:p>
        </w:tc>
      </w:tr>
      <w:tr w:rsidR="00D54D24" w:rsidRPr="00D54D24" w14:paraId="4FED913B" w14:textId="77777777" w:rsidTr="00C342B1">
        <w:trPr>
          <w:trHeight w:val="202"/>
        </w:trPr>
        <w:tc>
          <w:tcPr>
            <w:tcW w:w="2425" w:type="dxa"/>
          </w:tcPr>
          <w:p w14:paraId="5DB0A5F0" w14:textId="77777777" w:rsidR="00D54D24" w:rsidRPr="00D54D24" w:rsidRDefault="00D54D24" w:rsidP="00D54D24">
            <w:pPr>
              <w:pStyle w:val="TableParagraph"/>
              <w:spacing w:line="225" w:lineRule="exact"/>
              <w:ind w:left="86"/>
              <w:rPr>
                <w:rFonts w:ascii="Arial" w:hAnsi="Arial" w:cs="Arial"/>
                <w:sz w:val="18"/>
                <w:szCs w:val="18"/>
              </w:rPr>
            </w:pPr>
            <w:r w:rsidRPr="00D54D24">
              <w:rPr>
                <w:rFonts w:ascii="Arial" w:hAnsi="Arial" w:cs="Arial"/>
                <w:sz w:val="18"/>
                <w:szCs w:val="18"/>
              </w:rPr>
              <w:t>Electrical</w:t>
            </w:r>
            <w:r w:rsidRPr="00D54D24">
              <w:rPr>
                <w:rFonts w:ascii="Arial" w:hAnsi="Arial" w:cs="Arial"/>
                <w:spacing w:val="-3"/>
                <w:sz w:val="18"/>
                <w:szCs w:val="18"/>
              </w:rPr>
              <w:t xml:space="preserve"> </w:t>
            </w:r>
            <w:r w:rsidRPr="00D54D24">
              <w:rPr>
                <w:rFonts w:ascii="Arial" w:hAnsi="Arial" w:cs="Arial"/>
                <w:sz w:val="18"/>
                <w:szCs w:val="18"/>
              </w:rPr>
              <w:t>system</w:t>
            </w:r>
          </w:p>
        </w:tc>
        <w:tc>
          <w:tcPr>
            <w:tcW w:w="6660" w:type="dxa"/>
          </w:tcPr>
          <w:p w14:paraId="5CDAC612" w14:textId="77777777" w:rsidR="00D54D24" w:rsidRPr="00D54D24" w:rsidRDefault="00D54D24" w:rsidP="00D54D24">
            <w:pPr>
              <w:pStyle w:val="TableParagraph"/>
              <w:spacing w:line="225" w:lineRule="exact"/>
              <w:rPr>
                <w:rFonts w:ascii="Arial" w:hAnsi="Arial" w:cs="Arial"/>
                <w:sz w:val="18"/>
                <w:szCs w:val="18"/>
              </w:rPr>
            </w:pPr>
            <w:r w:rsidRPr="00D54D24">
              <w:rPr>
                <w:rFonts w:ascii="Arial" w:hAnsi="Arial" w:cs="Arial"/>
                <w:sz w:val="18"/>
                <w:szCs w:val="18"/>
              </w:rPr>
              <w:t>Inspect</w:t>
            </w:r>
            <w:r w:rsidRPr="00D54D24">
              <w:rPr>
                <w:rFonts w:ascii="Arial" w:hAnsi="Arial" w:cs="Arial"/>
                <w:spacing w:val="-3"/>
                <w:sz w:val="18"/>
                <w:szCs w:val="18"/>
              </w:rPr>
              <w:t xml:space="preserve"> </w:t>
            </w:r>
            <w:r w:rsidRPr="00D54D24">
              <w:rPr>
                <w:rFonts w:ascii="Arial" w:hAnsi="Arial" w:cs="Arial"/>
                <w:sz w:val="18"/>
                <w:szCs w:val="18"/>
              </w:rPr>
              <w:t>for</w:t>
            </w:r>
            <w:r w:rsidRPr="00D54D24">
              <w:rPr>
                <w:rFonts w:ascii="Arial" w:hAnsi="Arial" w:cs="Arial"/>
                <w:spacing w:val="-2"/>
                <w:sz w:val="18"/>
                <w:szCs w:val="18"/>
              </w:rPr>
              <w:t xml:space="preserve"> </w:t>
            </w:r>
            <w:r w:rsidRPr="00D54D24">
              <w:rPr>
                <w:rFonts w:ascii="Arial" w:hAnsi="Arial" w:cs="Arial"/>
                <w:sz w:val="18"/>
                <w:szCs w:val="18"/>
              </w:rPr>
              <w:t>chafing.</w:t>
            </w:r>
            <w:r w:rsidRPr="00D54D24">
              <w:rPr>
                <w:rFonts w:ascii="Arial" w:hAnsi="Arial" w:cs="Arial"/>
                <w:spacing w:val="-4"/>
                <w:sz w:val="18"/>
                <w:szCs w:val="18"/>
              </w:rPr>
              <w:t xml:space="preserve"> </w:t>
            </w:r>
            <w:r w:rsidRPr="00D54D24">
              <w:rPr>
                <w:rFonts w:ascii="Arial" w:hAnsi="Arial" w:cs="Arial"/>
                <w:sz w:val="18"/>
                <w:szCs w:val="18"/>
              </w:rPr>
              <w:t>Operational</w:t>
            </w:r>
            <w:r w:rsidRPr="00D54D24">
              <w:rPr>
                <w:rFonts w:ascii="Arial" w:hAnsi="Arial" w:cs="Arial"/>
                <w:spacing w:val="1"/>
                <w:sz w:val="18"/>
                <w:szCs w:val="18"/>
              </w:rPr>
              <w:t xml:space="preserve"> </w:t>
            </w:r>
            <w:r w:rsidRPr="00D54D24">
              <w:rPr>
                <w:rFonts w:ascii="Arial" w:hAnsi="Arial" w:cs="Arial"/>
                <w:sz w:val="18"/>
                <w:szCs w:val="18"/>
              </w:rPr>
              <w:t>check</w:t>
            </w:r>
            <w:r w:rsidRPr="00D54D24">
              <w:rPr>
                <w:rFonts w:ascii="Arial" w:hAnsi="Arial" w:cs="Arial"/>
                <w:spacing w:val="-3"/>
                <w:sz w:val="18"/>
                <w:szCs w:val="18"/>
              </w:rPr>
              <w:t xml:space="preserve"> </w:t>
            </w:r>
            <w:r w:rsidRPr="00D54D24">
              <w:rPr>
                <w:rFonts w:ascii="Arial" w:hAnsi="Arial" w:cs="Arial"/>
                <w:sz w:val="18"/>
                <w:szCs w:val="18"/>
              </w:rPr>
              <w:t>of</w:t>
            </w:r>
            <w:r w:rsidRPr="00D54D24">
              <w:rPr>
                <w:rFonts w:ascii="Arial" w:hAnsi="Arial" w:cs="Arial"/>
                <w:spacing w:val="-4"/>
                <w:sz w:val="18"/>
                <w:szCs w:val="18"/>
              </w:rPr>
              <w:t xml:space="preserve"> </w:t>
            </w:r>
            <w:r w:rsidRPr="00D54D24">
              <w:rPr>
                <w:rFonts w:ascii="Arial" w:hAnsi="Arial" w:cs="Arial"/>
                <w:sz w:val="18"/>
                <w:szCs w:val="18"/>
              </w:rPr>
              <w:t>switches.</w:t>
            </w:r>
          </w:p>
        </w:tc>
      </w:tr>
      <w:tr w:rsidR="00D54D24" w:rsidRPr="00D54D24" w14:paraId="454AF557" w14:textId="77777777" w:rsidTr="00C342B1">
        <w:trPr>
          <w:trHeight w:val="200"/>
        </w:trPr>
        <w:tc>
          <w:tcPr>
            <w:tcW w:w="2425" w:type="dxa"/>
          </w:tcPr>
          <w:p w14:paraId="67E96577" w14:textId="77777777" w:rsidR="00D54D24" w:rsidRPr="00D54D24" w:rsidRDefault="00D54D24" w:rsidP="00D54D24">
            <w:pPr>
              <w:pStyle w:val="TableParagraph"/>
              <w:spacing w:line="222" w:lineRule="exact"/>
              <w:ind w:left="86"/>
              <w:rPr>
                <w:rFonts w:ascii="Arial" w:hAnsi="Arial" w:cs="Arial"/>
                <w:sz w:val="18"/>
                <w:szCs w:val="18"/>
              </w:rPr>
            </w:pPr>
            <w:r w:rsidRPr="00D54D24">
              <w:rPr>
                <w:rFonts w:ascii="Arial" w:hAnsi="Arial" w:cs="Arial"/>
                <w:sz w:val="18"/>
                <w:szCs w:val="18"/>
              </w:rPr>
              <w:t>Wheels</w:t>
            </w:r>
          </w:p>
        </w:tc>
        <w:tc>
          <w:tcPr>
            <w:tcW w:w="6660" w:type="dxa"/>
          </w:tcPr>
          <w:p w14:paraId="7FE668AF" w14:textId="77777777" w:rsidR="00D54D24" w:rsidRPr="00D54D24" w:rsidRDefault="00D54D24" w:rsidP="00D54D24">
            <w:pPr>
              <w:pStyle w:val="TableParagraph"/>
              <w:spacing w:line="222" w:lineRule="exact"/>
              <w:rPr>
                <w:rFonts w:ascii="Arial" w:hAnsi="Arial" w:cs="Arial"/>
                <w:sz w:val="18"/>
                <w:szCs w:val="18"/>
              </w:rPr>
            </w:pPr>
            <w:r w:rsidRPr="00D54D24">
              <w:rPr>
                <w:rFonts w:ascii="Arial" w:hAnsi="Arial" w:cs="Arial"/>
                <w:sz w:val="18"/>
                <w:szCs w:val="18"/>
              </w:rPr>
              <w:t>Inspect</w:t>
            </w:r>
            <w:r w:rsidRPr="00D54D24">
              <w:rPr>
                <w:rFonts w:ascii="Arial" w:hAnsi="Arial" w:cs="Arial"/>
                <w:spacing w:val="-3"/>
                <w:sz w:val="18"/>
                <w:szCs w:val="18"/>
              </w:rPr>
              <w:t xml:space="preserve"> </w:t>
            </w:r>
            <w:r w:rsidRPr="00D54D24">
              <w:rPr>
                <w:rFonts w:ascii="Arial" w:hAnsi="Arial" w:cs="Arial"/>
                <w:sz w:val="18"/>
                <w:szCs w:val="18"/>
              </w:rPr>
              <w:t>for</w:t>
            </w:r>
            <w:r w:rsidRPr="00D54D24">
              <w:rPr>
                <w:rFonts w:ascii="Arial" w:hAnsi="Arial" w:cs="Arial"/>
                <w:spacing w:val="-2"/>
                <w:sz w:val="18"/>
                <w:szCs w:val="18"/>
              </w:rPr>
              <w:t xml:space="preserve"> </w:t>
            </w:r>
            <w:r w:rsidRPr="00D54D24">
              <w:rPr>
                <w:rFonts w:ascii="Arial" w:hAnsi="Arial" w:cs="Arial"/>
                <w:sz w:val="18"/>
                <w:szCs w:val="18"/>
              </w:rPr>
              <w:t>cracks,</w:t>
            </w:r>
            <w:r w:rsidRPr="00D54D24">
              <w:rPr>
                <w:rFonts w:ascii="Arial" w:hAnsi="Arial" w:cs="Arial"/>
                <w:spacing w:val="-2"/>
                <w:sz w:val="18"/>
                <w:szCs w:val="18"/>
              </w:rPr>
              <w:t xml:space="preserve"> </w:t>
            </w:r>
            <w:r w:rsidRPr="00D54D24">
              <w:rPr>
                <w:rFonts w:ascii="Arial" w:hAnsi="Arial" w:cs="Arial"/>
                <w:sz w:val="18"/>
                <w:szCs w:val="18"/>
              </w:rPr>
              <w:t>defects,</w:t>
            </w:r>
            <w:r w:rsidRPr="00D54D24">
              <w:rPr>
                <w:rFonts w:ascii="Arial" w:hAnsi="Arial" w:cs="Arial"/>
                <w:spacing w:val="-2"/>
                <w:sz w:val="18"/>
                <w:szCs w:val="18"/>
              </w:rPr>
              <w:t xml:space="preserve"> </w:t>
            </w:r>
            <w:r w:rsidRPr="00D54D24">
              <w:rPr>
                <w:rFonts w:ascii="Arial" w:hAnsi="Arial" w:cs="Arial"/>
                <w:sz w:val="18"/>
                <w:szCs w:val="18"/>
              </w:rPr>
              <w:t>and</w:t>
            </w:r>
            <w:r w:rsidRPr="00D54D24">
              <w:rPr>
                <w:rFonts w:ascii="Arial" w:hAnsi="Arial" w:cs="Arial"/>
                <w:spacing w:val="-2"/>
                <w:sz w:val="18"/>
                <w:szCs w:val="18"/>
              </w:rPr>
              <w:t xml:space="preserve"> </w:t>
            </w:r>
            <w:r w:rsidRPr="00D54D24">
              <w:rPr>
                <w:rFonts w:ascii="Arial" w:hAnsi="Arial" w:cs="Arial"/>
                <w:sz w:val="18"/>
                <w:szCs w:val="18"/>
              </w:rPr>
              <w:t>condition</w:t>
            </w:r>
            <w:r w:rsidRPr="00D54D24">
              <w:rPr>
                <w:rFonts w:ascii="Arial" w:hAnsi="Arial" w:cs="Arial"/>
                <w:spacing w:val="-2"/>
                <w:sz w:val="18"/>
                <w:szCs w:val="18"/>
              </w:rPr>
              <w:t xml:space="preserve"> </w:t>
            </w:r>
            <w:r w:rsidRPr="00D54D24">
              <w:rPr>
                <w:rFonts w:ascii="Arial" w:hAnsi="Arial" w:cs="Arial"/>
                <w:sz w:val="18"/>
                <w:szCs w:val="18"/>
              </w:rPr>
              <w:t>of</w:t>
            </w:r>
            <w:r w:rsidRPr="00D54D24">
              <w:rPr>
                <w:rFonts w:ascii="Arial" w:hAnsi="Arial" w:cs="Arial"/>
                <w:spacing w:val="-4"/>
                <w:sz w:val="18"/>
                <w:szCs w:val="18"/>
              </w:rPr>
              <w:t xml:space="preserve"> </w:t>
            </w:r>
            <w:r w:rsidRPr="00D54D24">
              <w:rPr>
                <w:rFonts w:ascii="Arial" w:hAnsi="Arial" w:cs="Arial"/>
                <w:sz w:val="18"/>
                <w:szCs w:val="18"/>
              </w:rPr>
              <w:t>bearings.</w:t>
            </w:r>
          </w:p>
        </w:tc>
      </w:tr>
      <w:tr w:rsidR="00D54D24" w:rsidRPr="00D54D24" w14:paraId="5FD724B7" w14:textId="77777777" w:rsidTr="00C342B1">
        <w:trPr>
          <w:trHeight w:val="202"/>
        </w:trPr>
        <w:tc>
          <w:tcPr>
            <w:tcW w:w="2425" w:type="dxa"/>
          </w:tcPr>
          <w:p w14:paraId="67B2D681" w14:textId="77777777" w:rsidR="00D54D24" w:rsidRPr="00D54D24" w:rsidRDefault="00D54D24" w:rsidP="00D54D24">
            <w:pPr>
              <w:pStyle w:val="TableParagraph"/>
              <w:spacing w:line="225" w:lineRule="exact"/>
              <w:ind w:left="86"/>
              <w:rPr>
                <w:rFonts w:ascii="Arial" w:hAnsi="Arial" w:cs="Arial"/>
                <w:sz w:val="18"/>
                <w:szCs w:val="18"/>
              </w:rPr>
            </w:pPr>
            <w:r w:rsidRPr="00D54D24">
              <w:rPr>
                <w:rFonts w:ascii="Arial" w:hAnsi="Arial" w:cs="Arial"/>
                <w:sz w:val="18"/>
                <w:szCs w:val="18"/>
              </w:rPr>
              <w:t>Tires</w:t>
            </w:r>
          </w:p>
        </w:tc>
        <w:tc>
          <w:tcPr>
            <w:tcW w:w="6660" w:type="dxa"/>
          </w:tcPr>
          <w:p w14:paraId="52DC1324" w14:textId="77777777" w:rsidR="00D54D24" w:rsidRPr="00D54D24" w:rsidRDefault="00D54D24" w:rsidP="00D54D24">
            <w:pPr>
              <w:pStyle w:val="TableParagraph"/>
              <w:spacing w:line="225" w:lineRule="exact"/>
              <w:rPr>
                <w:rFonts w:ascii="Arial" w:hAnsi="Arial" w:cs="Arial"/>
                <w:sz w:val="18"/>
                <w:szCs w:val="18"/>
              </w:rPr>
            </w:pPr>
            <w:r w:rsidRPr="00D54D24">
              <w:rPr>
                <w:rFonts w:ascii="Arial" w:hAnsi="Arial" w:cs="Arial"/>
                <w:sz w:val="18"/>
                <w:szCs w:val="18"/>
              </w:rPr>
              <w:t>Inspect</w:t>
            </w:r>
            <w:r w:rsidRPr="00D54D24">
              <w:rPr>
                <w:rFonts w:ascii="Arial" w:hAnsi="Arial" w:cs="Arial"/>
                <w:spacing w:val="-2"/>
                <w:sz w:val="18"/>
                <w:szCs w:val="18"/>
              </w:rPr>
              <w:t xml:space="preserve"> </w:t>
            </w:r>
            <w:r w:rsidRPr="00D54D24">
              <w:rPr>
                <w:rFonts w:ascii="Arial" w:hAnsi="Arial" w:cs="Arial"/>
                <w:sz w:val="18"/>
                <w:szCs w:val="18"/>
              </w:rPr>
              <w:t>for</w:t>
            </w:r>
            <w:r w:rsidRPr="00D54D24">
              <w:rPr>
                <w:rFonts w:ascii="Arial" w:hAnsi="Arial" w:cs="Arial"/>
                <w:spacing w:val="-2"/>
                <w:sz w:val="18"/>
                <w:szCs w:val="18"/>
              </w:rPr>
              <w:t xml:space="preserve"> </w:t>
            </w:r>
            <w:r w:rsidRPr="00D54D24">
              <w:rPr>
                <w:rFonts w:ascii="Arial" w:hAnsi="Arial" w:cs="Arial"/>
                <w:sz w:val="18"/>
                <w:szCs w:val="18"/>
              </w:rPr>
              <w:t>wear</w:t>
            </w:r>
            <w:r w:rsidRPr="00D54D24">
              <w:rPr>
                <w:rFonts w:ascii="Arial" w:hAnsi="Arial" w:cs="Arial"/>
                <w:spacing w:val="-2"/>
                <w:sz w:val="18"/>
                <w:szCs w:val="18"/>
              </w:rPr>
              <w:t xml:space="preserve"> </w:t>
            </w:r>
            <w:r w:rsidRPr="00D54D24">
              <w:rPr>
                <w:rFonts w:ascii="Arial" w:hAnsi="Arial" w:cs="Arial"/>
                <w:sz w:val="18"/>
                <w:szCs w:val="18"/>
              </w:rPr>
              <w:t>and</w:t>
            </w:r>
            <w:r w:rsidRPr="00D54D24">
              <w:rPr>
                <w:rFonts w:ascii="Arial" w:hAnsi="Arial" w:cs="Arial"/>
                <w:spacing w:val="-2"/>
                <w:sz w:val="18"/>
                <w:szCs w:val="18"/>
              </w:rPr>
              <w:t xml:space="preserve"> </w:t>
            </w:r>
            <w:r w:rsidRPr="00D54D24">
              <w:rPr>
                <w:rFonts w:ascii="Arial" w:hAnsi="Arial" w:cs="Arial"/>
                <w:sz w:val="18"/>
                <w:szCs w:val="18"/>
              </w:rPr>
              <w:t>cuts.</w:t>
            </w:r>
          </w:p>
        </w:tc>
      </w:tr>
      <w:tr w:rsidR="00D54D24" w:rsidRPr="00D54D24" w14:paraId="400E5AA6" w14:textId="77777777" w:rsidTr="00C342B1">
        <w:trPr>
          <w:trHeight w:val="445"/>
        </w:trPr>
        <w:tc>
          <w:tcPr>
            <w:tcW w:w="2425" w:type="dxa"/>
          </w:tcPr>
          <w:p w14:paraId="5BA87C1C" w14:textId="77777777" w:rsidR="00D54D24" w:rsidRPr="00D54D24" w:rsidRDefault="00D54D24" w:rsidP="00D54D24">
            <w:pPr>
              <w:pStyle w:val="TableParagraph"/>
              <w:spacing w:before="1"/>
              <w:ind w:left="86"/>
              <w:rPr>
                <w:rFonts w:ascii="Arial" w:hAnsi="Arial" w:cs="Arial"/>
                <w:sz w:val="18"/>
                <w:szCs w:val="18"/>
              </w:rPr>
            </w:pPr>
            <w:r w:rsidRPr="00D54D24">
              <w:rPr>
                <w:rFonts w:ascii="Arial" w:hAnsi="Arial" w:cs="Arial"/>
                <w:sz w:val="18"/>
                <w:szCs w:val="18"/>
              </w:rPr>
              <w:t>Brakes</w:t>
            </w:r>
          </w:p>
        </w:tc>
        <w:tc>
          <w:tcPr>
            <w:tcW w:w="6660" w:type="dxa"/>
          </w:tcPr>
          <w:p w14:paraId="69AE3322" w14:textId="77777777" w:rsidR="00D54D24" w:rsidRPr="00D54D24" w:rsidRDefault="00D54D24" w:rsidP="00D54D24">
            <w:pPr>
              <w:pStyle w:val="TableParagraph"/>
              <w:spacing w:before="1" w:line="243" w:lineRule="exact"/>
              <w:rPr>
                <w:rFonts w:ascii="Arial" w:hAnsi="Arial" w:cs="Arial"/>
                <w:sz w:val="18"/>
                <w:szCs w:val="18"/>
              </w:rPr>
            </w:pPr>
            <w:r w:rsidRPr="00D54D24">
              <w:rPr>
                <w:rFonts w:ascii="Arial" w:hAnsi="Arial" w:cs="Arial"/>
                <w:sz w:val="18"/>
                <w:szCs w:val="18"/>
              </w:rPr>
              <w:t>Inspect</w:t>
            </w:r>
            <w:r w:rsidRPr="00D54D24">
              <w:rPr>
                <w:rFonts w:ascii="Arial" w:hAnsi="Arial" w:cs="Arial"/>
                <w:spacing w:val="-3"/>
                <w:sz w:val="18"/>
                <w:szCs w:val="18"/>
              </w:rPr>
              <w:t xml:space="preserve"> </w:t>
            </w:r>
            <w:r w:rsidRPr="00D54D24">
              <w:rPr>
                <w:rFonts w:ascii="Arial" w:hAnsi="Arial" w:cs="Arial"/>
                <w:sz w:val="18"/>
                <w:szCs w:val="18"/>
              </w:rPr>
              <w:t>for</w:t>
            </w:r>
            <w:r w:rsidRPr="00D54D24">
              <w:rPr>
                <w:rFonts w:ascii="Arial" w:hAnsi="Arial" w:cs="Arial"/>
                <w:spacing w:val="-2"/>
                <w:sz w:val="18"/>
                <w:szCs w:val="18"/>
              </w:rPr>
              <w:t xml:space="preserve"> </w:t>
            </w:r>
            <w:r w:rsidRPr="00D54D24">
              <w:rPr>
                <w:rFonts w:ascii="Arial" w:hAnsi="Arial" w:cs="Arial"/>
                <w:sz w:val="18"/>
                <w:szCs w:val="18"/>
              </w:rPr>
              <w:t>improper</w:t>
            </w:r>
            <w:r w:rsidRPr="00D54D24">
              <w:rPr>
                <w:rFonts w:ascii="Arial" w:hAnsi="Arial" w:cs="Arial"/>
                <w:spacing w:val="-3"/>
                <w:sz w:val="18"/>
                <w:szCs w:val="18"/>
              </w:rPr>
              <w:t xml:space="preserve"> </w:t>
            </w:r>
            <w:r w:rsidRPr="00D54D24">
              <w:rPr>
                <w:rFonts w:ascii="Arial" w:hAnsi="Arial" w:cs="Arial"/>
                <w:sz w:val="18"/>
                <w:szCs w:val="18"/>
              </w:rPr>
              <w:t>adjustment</w:t>
            </w:r>
            <w:r w:rsidRPr="00D54D24">
              <w:rPr>
                <w:rFonts w:ascii="Arial" w:hAnsi="Arial" w:cs="Arial"/>
                <w:spacing w:val="-2"/>
                <w:sz w:val="18"/>
                <w:szCs w:val="18"/>
              </w:rPr>
              <w:t xml:space="preserve"> </w:t>
            </w:r>
            <w:r w:rsidRPr="00D54D24">
              <w:rPr>
                <w:rFonts w:ascii="Arial" w:hAnsi="Arial" w:cs="Arial"/>
                <w:sz w:val="18"/>
                <w:szCs w:val="18"/>
              </w:rPr>
              <w:t>and</w:t>
            </w:r>
            <w:r w:rsidRPr="00D54D24">
              <w:rPr>
                <w:rFonts w:ascii="Arial" w:hAnsi="Arial" w:cs="Arial"/>
                <w:spacing w:val="-3"/>
                <w:sz w:val="18"/>
                <w:szCs w:val="18"/>
              </w:rPr>
              <w:t xml:space="preserve"> </w:t>
            </w:r>
            <w:r w:rsidRPr="00D54D24">
              <w:rPr>
                <w:rFonts w:ascii="Arial" w:hAnsi="Arial" w:cs="Arial"/>
                <w:sz w:val="18"/>
                <w:szCs w:val="18"/>
              </w:rPr>
              <w:t>wear.</w:t>
            </w:r>
          </w:p>
          <w:p w14:paraId="5AEC8DF2" w14:textId="77777777" w:rsidR="00D54D24" w:rsidRPr="00D54D24" w:rsidRDefault="00D54D24" w:rsidP="00D54D24">
            <w:pPr>
              <w:pStyle w:val="TableParagraph"/>
              <w:spacing w:line="224" w:lineRule="exact"/>
              <w:rPr>
                <w:rFonts w:ascii="Arial" w:hAnsi="Arial" w:cs="Arial"/>
                <w:sz w:val="18"/>
                <w:szCs w:val="18"/>
              </w:rPr>
            </w:pPr>
            <w:r w:rsidRPr="00D54D24">
              <w:rPr>
                <w:rFonts w:ascii="Arial" w:hAnsi="Arial" w:cs="Arial"/>
                <w:sz w:val="18"/>
                <w:szCs w:val="18"/>
              </w:rPr>
              <w:t>Carry</w:t>
            </w:r>
            <w:r w:rsidRPr="00D54D24">
              <w:rPr>
                <w:rFonts w:ascii="Arial" w:hAnsi="Arial" w:cs="Arial"/>
                <w:spacing w:val="-4"/>
                <w:sz w:val="18"/>
                <w:szCs w:val="18"/>
              </w:rPr>
              <w:t xml:space="preserve"> </w:t>
            </w:r>
            <w:r w:rsidRPr="00D54D24">
              <w:rPr>
                <w:rFonts w:ascii="Arial" w:hAnsi="Arial" w:cs="Arial"/>
                <w:sz w:val="18"/>
                <w:szCs w:val="18"/>
              </w:rPr>
              <w:t>out</w:t>
            </w:r>
            <w:r w:rsidRPr="00D54D24">
              <w:rPr>
                <w:rFonts w:ascii="Arial" w:hAnsi="Arial" w:cs="Arial"/>
                <w:spacing w:val="-3"/>
                <w:sz w:val="18"/>
                <w:szCs w:val="18"/>
              </w:rPr>
              <w:t xml:space="preserve"> </w:t>
            </w:r>
            <w:r w:rsidRPr="00D54D24">
              <w:rPr>
                <w:rFonts w:ascii="Arial" w:hAnsi="Arial" w:cs="Arial"/>
                <w:sz w:val="18"/>
                <w:szCs w:val="18"/>
              </w:rPr>
              <w:t>operational</w:t>
            </w:r>
            <w:r w:rsidRPr="00D54D24">
              <w:rPr>
                <w:rFonts w:ascii="Arial" w:hAnsi="Arial" w:cs="Arial"/>
                <w:spacing w:val="-4"/>
                <w:sz w:val="18"/>
                <w:szCs w:val="18"/>
              </w:rPr>
              <w:t xml:space="preserve"> </w:t>
            </w:r>
            <w:r w:rsidRPr="00D54D24">
              <w:rPr>
                <w:rFonts w:ascii="Arial" w:hAnsi="Arial" w:cs="Arial"/>
                <w:sz w:val="18"/>
                <w:szCs w:val="18"/>
              </w:rPr>
              <w:t>test.</w:t>
            </w:r>
          </w:p>
        </w:tc>
      </w:tr>
      <w:tr w:rsidR="00D54D24" w:rsidRPr="00D54D24" w14:paraId="02CEFFEC" w14:textId="77777777" w:rsidTr="00C342B1">
        <w:trPr>
          <w:trHeight w:val="199"/>
        </w:trPr>
        <w:tc>
          <w:tcPr>
            <w:tcW w:w="2425" w:type="dxa"/>
          </w:tcPr>
          <w:p w14:paraId="01B87510" w14:textId="77777777" w:rsidR="00D54D24" w:rsidRPr="00D54D24" w:rsidRDefault="00D54D24" w:rsidP="00D54D24">
            <w:pPr>
              <w:pStyle w:val="TableParagraph"/>
              <w:spacing w:line="222" w:lineRule="exact"/>
              <w:ind w:left="86"/>
              <w:rPr>
                <w:rFonts w:ascii="Arial" w:hAnsi="Arial" w:cs="Arial"/>
                <w:sz w:val="18"/>
                <w:szCs w:val="18"/>
              </w:rPr>
            </w:pPr>
            <w:r w:rsidRPr="00D54D24">
              <w:rPr>
                <w:rFonts w:ascii="Arial" w:hAnsi="Arial" w:cs="Arial"/>
                <w:sz w:val="18"/>
                <w:szCs w:val="18"/>
              </w:rPr>
              <w:t>Floats</w:t>
            </w:r>
            <w:r w:rsidRPr="00D54D24">
              <w:rPr>
                <w:rFonts w:ascii="Arial" w:hAnsi="Arial" w:cs="Arial"/>
                <w:spacing w:val="-4"/>
                <w:sz w:val="18"/>
                <w:szCs w:val="18"/>
              </w:rPr>
              <w:t xml:space="preserve"> </w:t>
            </w:r>
            <w:r w:rsidRPr="00D54D24">
              <w:rPr>
                <w:rFonts w:ascii="Arial" w:hAnsi="Arial" w:cs="Arial"/>
                <w:sz w:val="18"/>
                <w:szCs w:val="18"/>
              </w:rPr>
              <w:t>and</w:t>
            </w:r>
            <w:r w:rsidRPr="00D54D24">
              <w:rPr>
                <w:rFonts w:ascii="Arial" w:hAnsi="Arial" w:cs="Arial"/>
                <w:spacing w:val="-3"/>
                <w:sz w:val="18"/>
                <w:szCs w:val="18"/>
              </w:rPr>
              <w:t xml:space="preserve"> </w:t>
            </w:r>
            <w:r w:rsidRPr="00D54D24">
              <w:rPr>
                <w:rFonts w:ascii="Arial" w:hAnsi="Arial" w:cs="Arial"/>
                <w:sz w:val="18"/>
                <w:szCs w:val="18"/>
              </w:rPr>
              <w:t>skis</w:t>
            </w:r>
          </w:p>
        </w:tc>
        <w:tc>
          <w:tcPr>
            <w:tcW w:w="6660" w:type="dxa"/>
          </w:tcPr>
          <w:p w14:paraId="1C6FA9BA" w14:textId="77777777" w:rsidR="00D54D24" w:rsidRPr="00D54D24" w:rsidRDefault="00D54D24" w:rsidP="00D54D24">
            <w:pPr>
              <w:pStyle w:val="TableParagraph"/>
              <w:spacing w:line="222" w:lineRule="exact"/>
              <w:rPr>
                <w:rFonts w:ascii="Arial" w:hAnsi="Arial" w:cs="Arial"/>
                <w:sz w:val="18"/>
                <w:szCs w:val="18"/>
              </w:rPr>
            </w:pPr>
            <w:r w:rsidRPr="00D54D24">
              <w:rPr>
                <w:rFonts w:ascii="Arial" w:hAnsi="Arial" w:cs="Arial"/>
                <w:sz w:val="18"/>
                <w:szCs w:val="18"/>
              </w:rPr>
              <w:t>Inspect</w:t>
            </w:r>
            <w:r w:rsidRPr="00D54D24">
              <w:rPr>
                <w:rFonts w:ascii="Arial" w:hAnsi="Arial" w:cs="Arial"/>
                <w:spacing w:val="-3"/>
                <w:sz w:val="18"/>
                <w:szCs w:val="18"/>
              </w:rPr>
              <w:t xml:space="preserve"> </w:t>
            </w:r>
            <w:r w:rsidRPr="00D54D24">
              <w:rPr>
                <w:rFonts w:ascii="Arial" w:hAnsi="Arial" w:cs="Arial"/>
                <w:sz w:val="18"/>
                <w:szCs w:val="18"/>
              </w:rPr>
              <w:t>for</w:t>
            </w:r>
            <w:r w:rsidRPr="00D54D24">
              <w:rPr>
                <w:rFonts w:ascii="Arial" w:hAnsi="Arial" w:cs="Arial"/>
                <w:spacing w:val="-2"/>
                <w:sz w:val="18"/>
                <w:szCs w:val="18"/>
              </w:rPr>
              <w:t xml:space="preserve"> </w:t>
            </w:r>
            <w:r w:rsidRPr="00D54D24">
              <w:rPr>
                <w:rFonts w:ascii="Arial" w:hAnsi="Arial" w:cs="Arial"/>
                <w:sz w:val="18"/>
                <w:szCs w:val="18"/>
              </w:rPr>
              <w:t>insecure</w:t>
            </w:r>
            <w:r w:rsidRPr="00D54D24">
              <w:rPr>
                <w:rFonts w:ascii="Arial" w:hAnsi="Arial" w:cs="Arial"/>
                <w:spacing w:val="-3"/>
                <w:sz w:val="18"/>
                <w:szCs w:val="18"/>
              </w:rPr>
              <w:t xml:space="preserve"> </w:t>
            </w:r>
            <w:r w:rsidRPr="00D54D24">
              <w:rPr>
                <w:rFonts w:ascii="Arial" w:hAnsi="Arial" w:cs="Arial"/>
                <w:sz w:val="18"/>
                <w:szCs w:val="18"/>
              </w:rPr>
              <w:t>attachment</w:t>
            </w:r>
            <w:r w:rsidRPr="00D54D24">
              <w:rPr>
                <w:rFonts w:ascii="Arial" w:hAnsi="Arial" w:cs="Arial"/>
                <w:spacing w:val="-2"/>
                <w:sz w:val="18"/>
                <w:szCs w:val="18"/>
              </w:rPr>
              <w:t xml:space="preserve"> </w:t>
            </w:r>
            <w:r w:rsidRPr="00D54D24">
              <w:rPr>
                <w:rFonts w:ascii="Arial" w:hAnsi="Arial" w:cs="Arial"/>
                <w:sz w:val="18"/>
                <w:szCs w:val="18"/>
              </w:rPr>
              <w:t>and</w:t>
            </w:r>
            <w:r w:rsidRPr="00D54D24">
              <w:rPr>
                <w:rFonts w:ascii="Arial" w:hAnsi="Arial" w:cs="Arial"/>
                <w:spacing w:val="-2"/>
                <w:sz w:val="18"/>
                <w:szCs w:val="18"/>
              </w:rPr>
              <w:t xml:space="preserve"> </w:t>
            </w:r>
            <w:r w:rsidRPr="00D54D24">
              <w:rPr>
                <w:rFonts w:ascii="Arial" w:hAnsi="Arial" w:cs="Arial"/>
                <w:sz w:val="18"/>
                <w:szCs w:val="18"/>
              </w:rPr>
              <w:t>apparent</w:t>
            </w:r>
            <w:r w:rsidRPr="00D54D24">
              <w:rPr>
                <w:rFonts w:ascii="Arial" w:hAnsi="Arial" w:cs="Arial"/>
                <w:spacing w:val="-2"/>
                <w:sz w:val="18"/>
                <w:szCs w:val="18"/>
              </w:rPr>
              <w:t xml:space="preserve"> </w:t>
            </w:r>
            <w:r w:rsidRPr="00D54D24">
              <w:rPr>
                <w:rFonts w:ascii="Arial" w:hAnsi="Arial" w:cs="Arial"/>
                <w:sz w:val="18"/>
                <w:szCs w:val="18"/>
              </w:rPr>
              <w:t>defects.</w:t>
            </w:r>
          </w:p>
        </w:tc>
      </w:tr>
      <w:tr w:rsidR="00D54D24" w:rsidRPr="00D54D24" w14:paraId="62BE111D" w14:textId="77777777" w:rsidTr="00C6551A">
        <w:trPr>
          <w:trHeight w:val="202"/>
        </w:trPr>
        <w:tc>
          <w:tcPr>
            <w:tcW w:w="9085" w:type="dxa"/>
            <w:gridSpan w:val="2"/>
            <w:shd w:val="clear" w:color="auto" w:fill="F2F2F2" w:themeFill="background1" w:themeFillShade="F2"/>
          </w:tcPr>
          <w:p w14:paraId="5A3C9F74" w14:textId="77777777" w:rsidR="00D54D24" w:rsidRPr="00D54D24" w:rsidRDefault="00D54D24" w:rsidP="00D54D24">
            <w:pPr>
              <w:pStyle w:val="TableParagraph"/>
              <w:spacing w:line="225" w:lineRule="exact"/>
              <w:ind w:left="86"/>
              <w:rPr>
                <w:rFonts w:ascii="Arial" w:hAnsi="Arial" w:cs="Arial"/>
                <w:b/>
                <w:sz w:val="18"/>
                <w:szCs w:val="18"/>
              </w:rPr>
            </w:pPr>
            <w:r w:rsidRPr="00D54D24">
              <w:rPr>
                <w:rFonts w:ascii="Arial" w:hAnsi="Arial" w:cs="Arial"/>
                <w:b/>
                <w:sz w:val="18"/>
                <w:szCs w:val="18"/>
              </w:rPr>
              <w:t>WING</w:t>
            </w:r>
            <w:r w:rsidRPr="00D54D24">
              <w:rPr>
                <w:rFonts w:ascii="Arial" w:hAnsi="Arial" w:cs="Arial"/>
                <w:b/>
                <w:spacing w:val="-3"/>
                <w:sz w:val="18"/>
                <w:szCs w:val="18"/>
              </w:rPr>
              <w:t xml:space="preserve"> </w:t>
            </w:r>
            <w:r w:rsidRPr="00D54D24">
              <w:rPr>
                <w:rFonts w:ascii="Arial" w:hAnsi="Arial" w:cs="Arial"/>
                <w:b/>
                <w:sz w:val="18"/>
                <w:szCs w:val="18"/>
              </w:rPr>
              <w:t>AND</w:t>
            </w:r>
            <w:r w:rsidRPr="00D54D24">
              <w:rPr>
                <w:rFonts w:ascii="Arial" w:hAnsi="Arial" w:cs="Arial"/>
                <w:b/>
                <w:spacing w:val="-4"/>
                <w:sz w:val="18"/>
                <w:szCs w:val="18"/>
              </w:rPr>
              <w:t xml:space="preserve"> </w:t>
            </w:r>
            <w:r w:rsidRPr="00D54D24">
              <w:rPr>
                <w:rFonts w:ascii="Arial" w:hAnsi="Arial" w:cs="Arial"/>
                <w:b/>
                <w:sz w:val="18"/>
                <w:szCs w:val="18"/>
              </w:rPr>
              <w:t>CENTRE</w:t>
            </w:r>
            <w:r w:rsidRPr="00D54D24">
              <w:rPr>
                <w:rFonts w:ascii="Arial" w:hAnsi="Arial" w:cs="Arial"/>
                <w:b/>
                <w:spacing w:val="-5"/>
                <w:sz w:val="18"/>
                <w:szCs w:val="18"/>
              </w:rPr>
              <w:t xml:space="preserve"> </w:t>
            </w:r>
            <w:r w:rsidRPr="00D54D24">
              <w:rPr>
                <w:rFonts w:ascii="Arial" w:hAnsi="Arial" w:cs="Arial"/>
                <w:b/>
                <w:sz w:val="18"/>
                <w:szCs w:val="18"/>
              </w:rPr>
              <w:t>SECTION</w:t>
            </w:r>
          </w:p>
        </w:tc>
      </w:tr>
      <w:tr w:rsidR="00D54D24" w:rsidRPr="00D54D24" w14:paraId="4C783C29" w14:textId="77777777" w:rsidTr="00C342B1">
        <w:trPr>
          <w:trHeight w:val="690"/>
        </w:trPr>
        <w:tc>
          <w:tcPr>
            <w:tcW w:w="2425" w:type="dxa"/>
          </w:tcPr>
          <w:p w14:paraId="30A36C90" w14:textId="77777777" w:rsidR="00D54D24" w:rsidRPr="00D54D24" w:rsidRDefault="00D54D24" w:rsidP="00D54D24">
            <w:pPr>
              <w:pStyle w:val="TableParagraph"/>
              <w:ind w:left="86"/>
              <w:rPr>
                <w:rFonts w:ascii="Arial" w:hAnsi="Arial" w:cs="Arial"/>
                <w:sz w:val="18"/>
                <w:szCs w:val="18"/>
              </w:rPr>
            </w:pPr>
            <w:r w:rsidRPr="00D54D24">
              <w:rPr>
                <w:rFonts w:ascii="Arial" w:hAnsi="Arial" w:cs="Arial"/>
                <w:sz w:val="18"/>
                <w:szCs w:val="18"/>
              </w:rPr>
              <w:t>All</w:t>
            </w:r>
            <w:r w:rsidRPr="00D54D24">
              <w:rPr>
                <w:rFonts w:ascii="Arial" w:hAnsi="Arial" w:cs="Arial"/>
                <w:spacing w:val="-4"/>
                <w:sz w:val="18"/>
                <w:szCs w:val="18"/>
              </w:rPr>
              <w:t xml:space="preserve"> </w:t>
            </w:r>
            <w:r w:rsidRPr="00D54D24">
              <w:rPr>
                <w:rFonts w:ascii="Arial" w:hAnsi="Arial" w:cs="Arial"/>
                <w:sz w:val="18"/>
                <w:szCs w:val="18"/>
              </w:rPr>
              <w:t>components</w:t>
            </w:r>
          </w:p>
        </w:tc>
        <w:tc>
          <w:tcPr>
            <w:tcW w:w="6660" w:type="dxa"/>
          </w:tcPr>
          <w:p w14:paraId="7C8D1C01" w14:textId="639A82D9" w:rsidR="00D54D24" w:rsidRPr="00D54D24" w:rsidRDefault="00D54D24" w:rsidP="00C6551A">
            <w:pPr>
              <w:pStyle w:val="TableParagraph"/>
              <w:ind w:right="212"/>
              <w:rPr>
                <w:rFonts w:ascii="Arial" w:hAnsi="Arial" w:cs="Arial"/>
                <w:sz w:val="18"/>
                <w:szCs w:val="18"/>
              </w:rPr>
            </w:pPr>
            <w:r w:rsidRPr="00D54D24">
              <w:rPr>
                <w:rFonts w:ascii="Arial" w:hAnsi="Arial" w:cs="Arial"/>
                <w:sz w:val="18"/>
                <w:szCs w:val="18"/>
              </w:rPr>
              <w:t>Inspect all components of the wing and centre section assembly for poor</w:t>
            </w:r>
            <w:r w:rsidRPr="00D54D24">
              <w:rPr>
                <w:rFonts w:ascii="Arial" w:hAnsi="Arial" w:cs="Arial"/>
                <w:spacing w:val="1"/>
                <w:sz w:val="18"/>
                <w:szCs w:val="18"/>
              </w:rPr>
              <w:t xml:space="preserve"> </w:t>
            </w:r>
            <w:r w:rsidRPr="00D54D24">
              <w:rPr>
                <w:rFonts w:ascii="Arial" w:hAnsi="Arial" w:cs="Arial"/>
                <w:sz w:val="18"/>
                <w:szCs w:val="18"/>
              </w:rPr>
              <w:t>general</w:t>
            </w:r>
            <w:r w:rsidRPr="00D54D24">
              <w:rPr>
                <w:rFonts w:ascii="Arial" w:hAnsi="Arial" w:cs="Arial"/>
                <w:spacing w:val="-3"/>
                <w:sz w:val="18"/>
                <w:szCs w:val="18"/>
              </w:rPr>
              <w:t xml:space="preserve"> </w:t>
            </w:r>
            <w:r w:rsidRPr="00D54D24">
              <w:rPr>
                <w:rFonts w:ascii="Arial" w:hAnsi="Arial" w:cs="Arial"/>
                <w:sz w:val="18"/>
                <w:szCs w:val="18"/>
              </w:rPr>
              <w:t>condition,</w:t>
            </w:r>
            <w:r w:rsidRPr="00D54D24">
              <w:rPr>
                <w:rFonts w:ascii="Arial" w:hAnsi="Arial" w:cs="Arial"/>
                <w:spacing w:val="-3"/>
                <w:sz w:val="18"/>
                <w:szCs w:val="18"/>
              </w:rPr>
              <w:t xml:space="preserve"> </w:t>
            </w:r>
            <w:r w:rsidRPr="00D54D24">
              <w:rPr>
                <w:rFonts w:ascii="Arial" w:hAnsi="Arial" w:cs="Arial"/>
                <w:sz w:val="18"/>
                <w:szCs w:val="18"/>
              </w:rPr>
              <w:t>fabric</w:t>
            </w:r>
            <w:r w:rsidRPr="00D54D24">
              <w:rPr>
                <w:rFonts w:ascii="Arial" w:hAnsi="Arial" w:cs="Arial"/>
                <w:spacing w:val="-4"/>
                <w:sz w:val="18"/>
                <w:szCs w:val="18"/>
              </w:rPr>
              <w:t xml:space="preserve"> </w:t>
            </w:r>
            <w:r w:rsidRPr="00D54D24">
              <w:rPr>
                <w:rFonts w:ascii="Arial" w:hAnsi="Arial" w:cs="Arial"/>
                <w:sz w:val="18"/>
                <w:szCs w:val="18"/>
              </w:rPr>
              <w:t>or</w:t>
            </w:r>
            <w:r w:rsidRPr="00D54D24">
              <w:rPr>
                <w:rFonts w:ascii="Arial" w:hAnsi="Arial" w:cs="Arial"/>
                <w:spacing w:val="-3"/>
                <w:sz w:val="18"/>
                <w:szCs w:val="18"/>
              </w:rPr>
              <w:t xml:space="preserve"> </w:t>
            </w:r>
            <w:r w:rsidRPr="00D54D24">
              <w:rPr>
                <w:rFonts w:ascii="Arial" w:hAnsi="Arial" w:cs="Arial"/>
                <w:sz w:val="18"/>
                <w:szCs w:val="18"/>
              </w:rPr>
              <w:t>skin</w:t>
            </w:r>
            <w:r w:rsidRPr="00D54D24">
              <w:rPr>
                <w:rFonts w:ascii="Arial" w:hAnsi="Arial" w:cs="Arial"/>
                <w:spacing w:val="-2"/>
                <w:sz w:val="18"/>
                <w:szCs w:val="18"/>
              </w:rPr>
              <w:t xml:space="preserve"> </w:t>
            </w:r>
            <w:r w:rsidRPr="00D54D24">
              <w:rPr>
                <w:rFonts w:ascii="Arial" w:hAnsi="Arial" w:cs="Arial"/>
                <w:sz w:val="18"/>
                <w:szCs w:val="18"/>
              </w:rPr>
              <w:t>deterioration,</w:t>
            </w:r>
            <w:r w:rsidRPr="00D54D24">
              <w:rPr>
                <w:rFonts w:ascii="Arial" w:hAnsi="Arial" w:cs="Arial"/>
                <w:spacing w:val="-3"/>
                <w:sz w:val="18"/>
                <w:szCs w:val="18"/>
              </w:rPr>
              <w:t xml:space="preserve"> </w:t>
            </w:r>
            <w:r w:rsidRPr="00D54D24">
              <w:rPr>
                <w:rFonts w:ascii="Arial" w:hAnsi="Arial" w:cs="Arial"/>
                <w:sz w:val="18"/>
                <w:szCs w:val="18"/>
              </w:rPr>
              <w:t>distortion,</w:t>
            </w:r>
            <w:r w:rsidRPr="00D54D24">
              <w:rPr>
                <w:rFonts w:ascii="Arial" w:hAnsi="Arial" w:cs="Arial"/>
                <w:spacing w:val="-3"/>
                <w:sz w:val="18"/>
                <w:szCs w:val="18"/>
              </w:rPr>
              <w:t xml:space="preserve"> </w:t>
            </w:r>
            <w:r w:rsidRPr="00D54D24">
              <w:rPr>
                <w:rFonts w:ascii="Arial" w:hAnsi="Arial" w:cs="Arial"/>
                <w:sz w:val="18"/>
                <w:szCs w:val="18"/>
              </w:rPr>
              <w:t>evidence</w:t>
            </w:r>
            <w:r w:rsidRPr="00D54D24">
              <w:rPr>
                <w:rFonts w:ascii="Arial" w:hAnsi="Arial" w:cs="Arial"/>
                <w:spacing w:val="-5"/>
                <w:sz w:val="18"/>
                <w:szCs w:val="18"/>
              </w:rPr>
              <w:t xml:space="preserve"> </w:t>
            </w:r>
            <w:r w:rsidRPr="00D54D24">
              <w:rPr>
                <w:rFonts w:ascii="Arial" w:hAnsi="Arial" w:cs="Arial"/>
                <w:sz w:val="18"/>
                <w:szCs w:val="18"/>
              </w:rPr>
              <w:t>of</w:t>
            </w:r>
            <w:r w:rsidRPr="00D54D24">
              <w:rPr>
                <w:rFonts w:ascii="Arial" w:hAnsi="Arial" w:cs="Arial"/>
                <w:spacing w:val="-4"/>
                <w:sz w:val="18"/>
                <w:szCs w:val="18"/>
              </w:rPr>
              <w:t xml:space="preserve"> </w:t>
            </w:r>
            <w:r w:rsidRPr="00D54D24">
              <w:rPr>
                <w:rFonts w:ascii="Arial" w:hAnsi="Arial" w:cs="Arial"/>
                <w:sz w:val="18"/>
                <w:szCs w:val="18"/>
              </w:rPr>
              <w:t>failure</w:t>
            </w:r>
            <w:r w:rsidR="00C6551A">
              <w:rPr>
                <w:rFonts w:ascii="Arial" w:hAnsi="Arial" w:cs="Arial"/>
                <w:sz w:val="18"/>
                <w:szCs w:val="18"/>
              </w:rPr>
              <w:t xml:space="preserve"> </w:t>
            </w:r>
            <w:r w:rsidRPr="00D54D24">
              <w:rPr>
                <w:rFonts w:ascii="Arial" w:hAnsi="Arial" w:cs="Arial"/>
                <w:sz w:val="18"/>
                <w:szCs w:val="18"/>
              </w:rPr>
              <w:t>and</w:t>
            </w:r>
            <w:r w:rsidRPr="00D54D24">
              <w:rPr>
                <w:rFonts w:ascii="Arial" w:hAnsi="Arial" w:cs="Arial"/>
                <w:spacing w:val="-3"/>
                <w:sz w:val="18"/>
                <w:szCs w:val="18"/>
              </w:rPr>
              <w:t xml:space="preserve"> </w:t>
            </w:r>
            <w:r w:rsidRPr="00D54D24">
              <w:rPr>
                <w:rFonts w:ascii="Arial" w:hAnsi="Arial" w:cs="Arial"/>
                <w:sz w:val="18"/>
                <w:szCs w:val="18"/>
              </w:rPr>
              <w:t>insecurity</w:t>
            </w:r>
            <w:r w:rsidRPr="00D54D24">
              <w:rPr>
                <w:rFonts w:ascii="Arial" w:hAnsi="Arial" w:cs="Arial"/>
                <w:spacing w:val="-2"/>
                <w:sz w:val="18"/>
                <w:szCs w:val="18"/>
              </w:rPr>
              <w:t xml:space="preserve"> </w:t>
            </w:r>
            <w:r w:rsidRPr="00D54D24">
              <w:rPr>
                <w:rFonts w:ascii="Arial" w:hAnsi="Arial" w:cs="Arial"/>
                <w:sz w:val="18"/>
                <w:szCs w:val="18"/>
              </w:rPr>
              <w:t>of</w:t>
            </w:r>
            <w:r w:rsidRPr="00D54D24">
              <w:rPr>
                <w:rFonts w:ascii="Arial" w:hAnsi="Arial" w:cs="Arial"/>
                <w:spacing w:val="-4"/>
                <w:sz w:val="18"/>
                <w:szCs w:val="18"/>
              </w:rPr>
              <w:t xml:space="preserve"> </w:t>
            </w:r>
            <w:r w:rsidRPr="00D54D24">
              <w:rPr>
                <w:rFonts w:ascii="Arial" w:hAnsi="Arial" w:cs="Arial"/>
                <w:sz w:val="18"/>
                <w:szCs w:val="18"/>
              </w:rPr>
              <w:t>attachment.</w:t>
            </w:r>
          </w:p>
        </w:tc>
      </w:tr>
      <w:tr w:rsidR="00D54D24" w:rsidRPr="00D54D24" w14:paraId="6C8C82BF" w14:textId="77777777" w:rsidTr="00C342B1">
        <w:trPr>
          <w:trHeight w:val="690"/>
        </w:trPr>
        <w:tc>
          <w:tcPr>
            <w:tcW w:w="2425" w:type="dxa"/>
          </w:tcPr>
          <w:p w14:paraId="3BA8DD04" w14:textId="77777777" w:rsidR="00D54D24" w:rsidRPr="00D54D24" w:rsidRDefault="00D54D24" w:rsidP="00D54D24">
            <w:pPr>
              <w:pStyle w:val="TableParagraph"/>
              <w:ind w:left="86"/>
              <w:rPr>
                <w:rFonts w:ascii="Arial" w:hAnsi="Arial" w:cs="Arial"/>
                <w:sz w:val="18"/>
                <w:szCs w:val="18"/>
              </w:rPr>
            </w:pPr>
            <w:r w:rsidRPr="00D54D24">
              <w:rPr>
                <w:rFonts w:ascii="Arial" w:hAnsi="Arial" w:cs="Arial"/>
                <w:sz w:val="18"/>
                <w:szCs w:val="18"/>
              </w:rPr>
              <w:t>Connections</w:t>
            </w:r>
          </w:p>
        </w:tc>
        <w:tc>
          <w:tcPr>
            <w:tcW w:w="6660" w:type="dxa"/>
          </w:tcPr>
          <w:p w14:paraId="546973CE" w14:textId="101B1F92" w:rsidR="00D54D24" w:rsidRPr="00D54D24" w:rsidRDefault="00D54D24" w:rsidP="00C6551A">
            <w:pPr>
              <w:pStyle w:val="TableParagraph"/>
              <w:ind w:right="212"/>
              <w:rPr>
                <w:rFonts w:ascii="Arial" w:hAnsi="Arial" w:cs="Arial"/>
                <w:sz w:val="18"/>
                <w:szCs w:val="18"/>
              </w:rPr>
            </w:pPr>
            <w:r w:rsidRPr="00D54D24">
              <w:rPr>
                <w:rFonts w:ascii="Arial" w:hAnsi="Arial" w:cs="Arial"/>
                <w:sz w:val="18"/>
                <w:szCs w:val="18"/>
              </w:rPr>
              <w:t>Inspect main connections (e.g. between wings, fuselage, wing tips) for proper</w:t>
            </w:r>
            <w:r w:rsidR="00C6551A">
              <w:rPr>
                <w:rFonts w:ascii="Arial" w:hAnsi="Arial" w:cs="Arial"/>
                <w:sz w:val="18"/>
                <w:szCs w:val="18"/>
              </w:rPr>
              <w:t xml:space="preserve"> </w:t>
            </w:r>
            <w:r w:rsidRPr="00D54D24">
              <w:rPr>
                <w:rFonts w:ascii="Arial" w:hAnsi="Arial" w:cs="Arial"/>
                <w:sz w:val="18"/>
                <w:szCs w:val="18"/>
              </w:rPr>
              <w:t>fit, play within tolerances, wear or corrosion on bolts and bushings.</w:t>
            </w:r>
          </w:p>
        </w:tc>
      </w:tr>
      <w:tr w:rsidR="00D54D24" w:rsidRPr="00D54D24" w14:paraId="16C17A4D" w14:textId="77777777" w:rsidTr="00C6551A">
        <w:trPr>
          <w:trHeight w:val="199"/>
        </w:trPr>
        <w:tc>
          <w:tcPr>
            <w:tcW w:w="9085" w:type="dxa"/>
            <w:gridSpan w:val="2"/>
            <w:shd w:val="clear" w:color="auto" w:fill="F2F2F2" w:themeFill="background1" w:themeFillShade="F2"/>
          </w:tcPr>
          <w:p w14:paraId="6580BC37" w14:textId="77777777" w:rsidR="00D54D24" w:rsidRPr="00D54D24" w:rsidRDefault="00D54D24" w:rsidP="00D54D24">
            <w:pPr>
              <w:pStyle w:val="TableParagraph"/>
              <w:spacing w:line="222" w:lineRule="exact"/>
              <w:ind w:left="86"/>
              <w:rPr>
                <w:rFonts w:ascii="Arial" w:hAnsi="Arial" w:cs="Arial"/>
                <w:b/>
                <w:sz w:val="18"/>
                <w:szCs w:val="18"/>
              </w:rPr>
            </w:pPr>
            <w:r w:rsidRPr="00D54D24">
              <w:rPr>
                <w:rFonts w:ascii="Arial" w:hAnsi="Arial" w:cs="Arial"/>
                <w:b/>
                <w:sz w:val="18"/>
                <w:szCs w:val="18"/>
              </w:rPr>
              <w:t>FLIGHT</w:t>
            </w:r>
            <w:r w:rsidRPr="00D54D24">
              <w:rPr>
                <w:rFonts w:ascii="Arial" w:hAnsi="Arial" w:cs="Arial"/>
                <w:b/>
                <w:spacing w:val="-5"/>
                <w:sz w:val="18"/>
                <w:szCs w:val="18"/>
              </w:rPr>
              <w:t xml:space="preserve"> </w:t>
            </w:r>
            <w:r w:rsidRPr="00D54D24">
              <w:rPr>
                <w:rFonts w:ascii="Arial" w:hAnsi="Arial" w:cs="Arial"/>
                <w:b/>
                <w:sz w:val="18"/>
                <w:szCs w:val="18"/>
              </w:rPr>
              <w:t>CONTROLS</w:t>
            </w:r>
          </w:p>
        </w:tc>
      </w:tr>
      <w:tr w:rsidR="00D54D24" w:rsidRPr="00D54D24" w14:paraId="59743B88" w14:textId="77777777" w:rsidTr="00C342B1">
        <w:trPr>
          <w:trHeight w:val="444"/>
        </w:trPr>
        <w:tc>
          <w:tcPr>
            <w:tcW w:w="2425" w:type="dxa"/>
          </w:tcPr>
          <w:p w14:paraId="177D9A2A" w14:textId="77777777" w:rsidR="00D54D24" w:rsidRPr="00D54D24" w:rsidRDefault="00D54D24" w:rsidP="00D54D24">
            <w:pPr>
              <w:pStyle w:val="TableParagraph"/>
              <w:ind w:left="86"/>
              <w:rPr>
                <w:rFonts w:ascii="Arial" w:hAnsi="Arial" w:cs="Arial"/>
                <w:sz w:val="18"/>
                <w:szCs w:val="18"/>
              </w:rPr>
            </w:pPr>
            <w:r w:rsidRPr="00D54D24">
              <w:rPr>
                <w:rFonts w:ascii="Arial" w:hAnsi="Arial" w:cs="Arial"/>
                <w:sz w:val="18"/>
                <w:szCs w:val="18"/>
              </w:rPr>
              <w:t>Control</w:t>
            </w:r>
            <w:r w:rsidRPr="00D54D24">
              <w:rPr>
                <w:rFonts w:ascii="Arial" w:hAnsi="Arial" w:cs="Arial"/>
                <w:spacing w:val="-3"/>
                <w:sz w:val="18"/>
                <w:szCs w:val="18"/>
              </w:rPr>
              <w:t xml:space="preserve"> </w:t>
            </w:r>
            <w:r w:rsidRPr="00D54D24">
              <w:rPr>
                <w:rFonts w:ascii="Arial" w:hAnsi="Arial" w:cs="Arial"/>
                <w:sz w:val="18"/>
                <w:szCs w:val="18"/>
              </w:rPr>
              <w:t>circuit/stops</w:t>
            </w:r>
          </w:p>
        </w:tc>
        <w:tc>
          <w:tcPr>
            <w:tcW w:w="6660" w:type="dxa"/>
          </w:tcPr>
          <w:p w14:paraId="48900DF5" w14:textId="77777777" w:rsidR="00D54D24" w:rsidRPr="00D54D24" w:rsidRDefault="00D54D24" w:rsidP="00D54D24">
            <w:pPr>
              <w:pStyle w:val="TableParagraph"/>
              <w:spacing w:line="240" w:lineRule="atLeast"/>
              <w:rPr>
                <w:rFonts w:ascii="Arial" w:hAnsi="Arial" w:cs="Arial"/>
                <w:sz w:val="18"/>
                <w:szCs w:val="18"/>
              </w:rPr>
            </w:pPr>
            <w:r w:rsidRPr="00D54D24">
              <w:rPr>
                <w:rFonts w:ascii="Arial" w:hAnsi="Arial" w:cs="Arial"/>
                <w:sz w:val="18"/>
                <w:szCs w:val="18"/>
              </w:rPr>
              <w:t>Inspect control rods and cables. Check that the control primary stops are secure</w:t>
            </w:r>
            <w:r w:rsidRPr="00D54D24">
              <w:rPr>
                <w:rFonts w:ascii="Arial" w:hAnsi="Arial" w:cs="Arial"/>
                <w:spacing w:val="-43"/>
                <w:sz w:val="18"/>
                <w:szCs w:val="18"/>
              </w:rPr>
              <w:t xml:space="preserve"> </w:t>
            </w:r>
            <w:r w:rsidRPr="00D54D24">
              <w:rPr>
                <w:rFonts w:ascii="Arial" w:hAnsi="Arial" w:cs="Arial"/>
                <w:sz w:val="18"/>
                <w:szCs w:val="18"/>
              </w:rPr>
              <w:t>and</w:t>
            </w:r>
            <w:r w:rsidRPr="00D54D24">
              <w:rPr>
                <w:rFonts w:ascii="Arial" w:hAnsi="Arial" w:cs="Arial"/>
                <w:spacing w:val="-1"/>
                <w:sz w:val="18"/>
                <w:szCs w:val="18"/>
              </w:rPr>
              <w:t xml:space="preserve"> </w:t>
            </w:r>
            <w:r w:rsidRPr="00D54D24">
              <w:rPr>
                <w:rFonts w:ascii="Arial" w:hAnsi="Arial" w:cs="Arial"/>
                <w:sz w:val="18"/>
                <w:szCs w:val="18"/>
              </w:rPr>
              <w:t>make</w:t>
            </w:r>
            <w:r w:rsidRPr="00D54D24">
              <w:rPr>
                <w:rFonts w:ascii="Arial" w:hAnsi="Arial" w:cs="Arial"/>
                <w:spacing w:val="-1"/>
                <w:sz w:val="18"/>
                <w:szCs w:val="18"/>
              </w:rPr>
              <w:t xml:space="preserve"> </w:t>
            </w:r>
            <w:r w:rsidRPr="00D54D24">
              <w:rPr>
                <w:rFonts w:ascii="Arial" w:hAnsi="Arial" w:cs="Arial"/>
                <w:sz w:val="18"/>
                <w:szCs w:val="18"/>
              </w:rPr>
              <w:t>contact.</w:t>
            </w:r>
          </w:p>
        </w:tc>
      </w:tr>
      <w:tr w:rsidR="00D54D24" w:rsidRPr="00D54D24" w14:paraId="66F9D0A3" w14:textId="77777777" w:rsidTr="00C342B1">
        <w:trPr>
          <w:trHeight w:val="688"/>
        </w:trPr>
        <w:tc>
          <w:tcPr>
            <w:tcW w:w="2425" w:type="dxa"/>
          </w:tcPr>
          <w:p w14:paraId="5B1CADD7" w14:textId="77777777" w:rsidR="00D54D24" w:rsidRPr="00D54D24" w:rsidRDefault="00D54D24" w:rsidP="00D54D24">
            <w:pPr>
              <w:pStyle w:val="TableParagraph"/>
              <w:ind w:left="86"/>
              <w:rPr>
                <w:rFonts w:ascii="Arial" w:hAnsi="Arial" w:cs="Arial"/>
                <w:sz w:val="18"/>
                <w:szCs w:val="18"/>
              </w:rPr>
            </w:pPr>
            <w:r w:rsidRPr="00D54D24">
              <w:rPr>
                <w:rFonts w:ascii="Arial" w:hAnsi="Arial" w:cs="Arial"/>
                <w:sz w:val="18"/>
                <w:szCs w:val="18"/>
              </w:rPr>
              <w:t>Control</w:t>
            </w:r>
            <w:r w:rsidRPr="00D54D24">
              <w:rPr>
                <w:rFonts w:ascii="Arial" w:hAnsi="Arial" w:cs="Arial"/>
                <w:spacing w:val="-3"/>
                <w:sz w:val="18"/>
                <w:szCs w:val="18"/>
              </w:rPr>
              <w:t xml:space="preserve"> </w:t>
            </w:r>
            <w:r w:rsidRPr="00D54D24">
              <w:rPr>
                <w:rFonts w:ascii="Arial" w:hAnsi="Arial" w:cs="Arial"/>
                <w:sz w:val="18"/>
                <w:szCs w:val="18"/>
              </w:rPr>
              <w:t>surfaces</w:t>
            </w:r>
          </w:p>
        </w:tc>
        <w:tc>
          <w:tcPr>
            <w:tcW w:w="6660" w:type="dxa"/>
          </w:tcPr>
          <w:p w14:paraId="7645FE59" w14:textId="77777777" w:rsidR="00D54D24" w:rsidRPr="00D54D24" w:rsidRDefault="00D54D24" w:rsidP="00D54D24">
            <w:pPr>
              <w:pStyle w:val="TableParagraph"/>
              <w:ind w:right="246"/>
              <w:rPr>
                <w:rFonts w:ascii="Arial" w:hAnsi="Arial" w:cs="Arial"/>
                <w:sz w:val="18"/>
                <w:szCs w:val="18"/>
              </w:rPr>
            </w:pPr>
            <w:r w:rsidRPr="00D54D24">
              <w:rPr>
                <w:rFonts w:ascii="Arial" w:hAnsi="Arial" w:cs="Arial"/>
                <w:sz w:val="18"/>
                <w:szCs w:val="18"/>
              </w:rPr>
              <w:t>Inspect aileron, flap, elevator, air brake and rudder assemblies, hinges, control</w:t>
            </w:r>
            <w:r w:rsidRPr="00D54D24">
              <w:rPr>
                <w:rFonts w:ascii="Arial" w:hAnsi="Arial" w:cs="Arial"/>
                <w:spacing w:val="-43"/>
                <w:sz w:val="18"/>
                <w:szCs w:val="18"/>
              </w:rPr>
              <w:t xml:space="preserve"> </w:t>
            </w:r>
            <w:r w:rsidRPr="00D54D24">
              <w:rPr>
                <w:rFonts w:ascii="Arial" w:hAnsi="Arial" w:cs="Arial"/>
                <w:sz w:val="18"/>
                <w:szCs w:val="18"/>
              </w:rPr>
              <w:t>connections,</w:t>
            </w:r>
            <w:r w:rsidRPr="00D54D24">
              <w:rPr>
                <w:rFonts w:ascii="Arial" w:hAnsi="Arial" w:cs="Arial"/>
                <w:spacing w:val="-1"/>
                <w:sz w:val="18"/>
                <w:szCs w:val="18"/>
              </w:rPr>
              <w:t xml:space="preserve"> </w:t>
            </w:r>
            <w:r w:rsidRPr="00D54D24">
              <w:rPr>
                <w:rFonts w:ascii="Arial" w:hAnsi="Arial" w:cs="Arial"/>
                <w:sz w:val="18"/>
                <w:szCs w:val="18"/>
              </w:rPr>
              <w:t>springs/bungees, tapes</w:t>
            </w:r>
            <w:r w:rsidRPr="00D54D24">
              <w:rPr>
                <w:rFonts w:ascii="Arial" w:hAnsi="Arial" w:cs="Arial"/>
                <w:spacing w:val="-3"/>
                <w:sz w:val="18"/>
                <w:szCs w:val="18"/>
              </w:rPr>
              <w:t xml:space="preserve"> </w:t>
            </w:r>
            <w:r w:rsidRPr="00D54D24">
              <w:rPr>
                <w:rFonts w:ascii="Arial" w:hAnsi="Arial" w:cs="Arial"/>
                <w:sz w:val="18"/>
                <w:szCs w:val="18"/>
              </w:rPr>
              <w:t>and seals.</w:t>
            </w:r>
          </w:p>
          <w:p w14:paraId="763B9616" w14:textId="77777777" w:rsidR="00D54D24" w:rsidRPr="00D54D24" w:rsidRDefault="00D54D24" w:rsidP="00D54D24">
            <w:pPr>
              <w:pStyle w:val="TableParagraph"/>
              <w:spacing w:before="1" w:line="222" w:lineRule="exact"/>
              <w:rPr>
                <w:rFonts w:ascii="Arial" w:hAnsi="Arial" w:cs="Arial"/>
                <w:sz w:val="18"/>
                <w:szCs w:val="18"/>
              </w:rPr>
            </w:pPr>
            <w:r w:rsidRPr="00D54D24">
              <w:rPr>
                <w:rFonts w:ascii="Arial" w:hAnsi="Arial" w:cs="Arial"/>
                <w:sz w:val="18"/>
                <w:szCs w:val="18"/>
              </w:rPr>
              <w:t>Check</w:t>
            </w:r>
            <w:r w:rsidRPr="00D54D24">
              <w:rPr>
                <w:rFonts w:ascii="Arial" w:hAnsi="Arial" w:cs="Arial"/>
                <w:spacing w:val="-2"/>
                <w:sz w:val="18"/>
                <w:szCs w:val="18"/>
              </w:rPr>
              <w:t xml:space="preserve"> </w:t>
            </w:r>
            <w:r w:rsidRPr="00D54D24">
              <w:rPr>
                <w:rFonts w:ascii="Arial" w:hAnsi="Arial" w:cs="Arial"/>
                <w:sz w:val="18"/>
                <w:szCs w:val="18"/>
              </w:rPr>
              <w:t>full</w:t>
            </w:r>
            <w:r w:rsidRPr="00D54D24">
              <w:rPr>
                <w:rFonts w:ascii="Arial" w:hAnsi="Arial" w:cs="Arial"/>
                <w:spacing w:val="-2"/>
                <w:sz w:val="18"/>
                <w:szCs w:val="18"/>
              </w:rPr>
              <w:t xml:space="preserve"> </w:t>
            </w:r>
            <w:r w:rsidRPr="00D54D24">
              <w:rPr>
                <w:rFonts w:ascii="Arial" w:hAnsi="Arial" w:cs="Arial"/>
                <w:sz w:val="18"/>
                <w:szCs w:val="18"/>
              </w:rPr>
              <w:t>range</w:t>
            </w:r>
            <w:r w:rsidRPr="00D54D24">
              <w:rPr>
                <w:rFonts w:ascii="Arial" w:hAnsi="Arial" w:cs="Arial"/>
                <w:spacing w:val="-4"/>
                <w:sz w:val="18"/>
                <w:szCs w:val="18"/>
              </w:rPr>
              <w:t xml:space="preserve"> </w:t>
            </w:r>
            <w:r w:rsidRPr="00D54D24">
              <w:rPr>
                <w:rFonts w:ascii="Arial" w:hAnsi="Arial" w:cs="Arial"/>
                <w:sz w:val="18"/>
                <w:szCs w:val="18"/>
              </w:rPr>
              <w:t>of</w:t>
            </w:r>
            <w:r w:rsidRPr="00D54D24">
              <w:rPr>
                <w:rFonts w:ascii="Arial" w:hAnsi="Arial" w:cs="Arial"/>
                <w:spacing w:val="-3"/>
                <w:sz w:val="18"/>
                <w:szCs w:val="18"/>
              </w:rPr>
              <w:t xml:space="preserve"> </w:t>
            </w:r>
            <w:r w:rsidRPr="00D54D24">
              <w:rPr>
                <w:rFonts w:ascii="Arial" w:hAnsi="Arial" w:cs="Arial"/>
                <w:sz w:val="18"/>
                <w:szCs w:val="18"/>
              </w:rPr>
              <w:t>motion</w:t>
            </w:r>
            <w:r w:rsidRPr="00D54D24">
              <w:rPr>
                <w:rFonts w:ascii="Arial" w:hAnsi="Arial" w:cs="Arial"/>
                <w:spacing w:val="-1"/>
                <w:sz w:val="18"/>
                <w:szCs w:val="18"/>
              </w:rPr>
              <w:t xml:space="preserve"> </w:t>
            </w:r>
            <w:r w:rsidRPr="00D54D24">
              <w:rPr>
                <w:rFonts w:ascii="Arial" w:hAnsi="Arial" w:cs="Arial"/>
                <w:sz w:val="18"/>
                <w:szCs w:val="18"/>
              </w:rPr>
              <w:t>and</w:t>
            </w:r>
            <w:r w:rsidRPr="00D54D24">
              <w:rPr>
                <w:rFonts w:ascii="Arial" w:hAnsi="Arial" w:cs="Arial"/>
                <w:spacing w:val="-2"/>
                <w:sz w:val="18"/>
                <w:szCs w:val="18"/>
              </w:rPr>
              <w:t xml:space="preserve"> </w:t>
            </w:r>
            <w:r w:rsidRPr="00D54D24">
              <w:rPr>
                <w:rFonts w:ascii="Arial" w:hAnsi="Arial" w:cs="Arial"/>
                <w:sz w:val="18"/>
                <w:szCs w:val="18"/>
              </w:rPr>
              <w:t>free</w:t>
            </w:r>
            <w:r w:rsidRPr="00D54D24">
              <w:rPr>
                <w:rFonts w:ascii="Arial" w:hAnsi="Arial" w:cs="Arial"/>
                <w:spacing w:val="-3"/>
                <w:sz w:val="18"/>
                <w:szCs w:val="18"/>
              </w:rPr>
              <w:t xml:space="preserve"> </w:t>
            </w:r>
            <w:r w:rsidRPr="00D54D24">
              <w:rPr>
                <w:rFonts w:ascii="Arial" w:hAnsi="Arial" w:cs="Arial"/>
                <w:sz w:val="18"/>
                <w:szCs w:val="18"/>
              </w:rPr>
              <w:t>play.</w:t>
            </w:r>
          </w:p>
        </w:tc>
      </w:tr>
      <w:tr w:rsidR="00D54D24" w:rsidRPr="00D54D24" w14:paraId="082499E9" w14:textId="77777777" w:rsidTr="00C342B1">
        <w:trPr>
          <w:trHeight w:val="447"/>
        </w:trPr>
        <w:tc>
          <w:tcPr>
            <w:tcW w:w="2425" w:type="dxa"/>
          </w:tcPr>
          <w:p w14:paraId="18C5E6CB" w14:textId="77777777" w:rsidR="00D54D24" w:rsidRPr="00D54D24" w:rsidRDefault="00D54D24" w:rsidP="00D54D24">
            <w:pPr>
              <w:pStyle w:val="TableParagraph"/>
              <w:ind w:left="86"/>
              <w:rPr>
                <w:rFonts w:ascii="Arial" w:hAnsi="Arial" w:cs="Arial"/>
                <w:sz w:val="18"/>
                <w:szCs w:val="18"/>
              </w:rPr>
            </w:pPr>
            <w:r w:rsidRPr="00D54D24">
              <w:rPr>
                <w:rFonts w:ascii="Arial" w:hAnsi="Arial" w:cs="Arial"/>
                <w:sz w:val="18"/>
                <w:szCs w:val="18"/>
              </w:rPr>
              <w:t>Trim</w:t>
            </w:r>
            <w:r w:rsidRPr="00D54D24">
              <w:rPr>
                <w:rFonts w:ascii="Arial" w:hAnsi="Arial" w:cs="Arial"/>
                <w:spacing w:val="-3"/>
                <w:sz w:val="18"/>
                <w:szCs w:val="18"/>
              </w:rPr>
              <w:t xml:space="preserve"> </w:t>
            </w:r>
            <w:r w:rsidRPr="00D54D24">
              <w:rPr>
                <w:rFonts w:ascii="Arial" w:hAnsi="Arial" w:cs="Arial"/>
                <w:sz w:val="18"/>
                <w:szCs w:val="18"/>
              </w:rPr>
              <w:t>systems</w:t>
            </w:r>
          </w:p>
        </w:tc>
        <w:tc>
          <w:tcPr>
            <w:tcW w:w="6660" w:type="dxa"/>
          </w:tcPr>
          <w:p w14:paraId="7B33AA99" w14:textId="4450B294" w:rsidR="00D54D24" w:rsidRPr="00D54D24" w:rsidRDefault="00D54D24" w:rsidP="0065014B">
            <w:pPr>
              <w:pStyle w:val="TableParagraph"/>
              <w:spacing w:line="240" w:lineRule="atLeast"/>
              <w:ind w:right="-522"/>
              <w:rPr>
                <w:rFonts w:ascii="Arial" w:hAnsi="Arial" w:cs="Arial"/>
                <w:sz w:val="18"/>
                <w:szCs w:val="18"/>
              </w:rPr>
            </w:pPr>
            <w:r w:rsidRPr="00D54D24">
              <w:rPr>
                <w:rFonts w:ascii="Arial" w:hAnsi="Arial" w:cs="Arial"/>
                <w:sz w:val="18"/>
                <w:szCs w:val="18"/>
              </w:rPr>
              <w:t>Inspect trim surfaces, controls, and</w:t>
            </w:r>
            <w:r w:rsidR="0065014B">
              <w:rPr>
                <w:rFonts w:ascii="Arial" w:hAnsi="Arial" w:cs="Arial"/>
                <w:sz w:val="18"/>
                <w:szCs w:val="18"/>
              </w:rPr>
              <w:t xml:space="preserve"> </w:t>
            </w:r>
            <w:r w:rsidRPr="00D54D24">
              <w:rPr>
                <w:rFonts w:ascii="Arial" w:hAnsi="Arial" w:cs="Arial"/>
                <w:sz w:val="18"/>
                <w:szCs w:val="18"/>
              </w:rPr>
              <w:t>connections.</w:t>
            </w:r>
            <w:r w:rsidRPr="00D54D24">
              <w:rPr>
                <w:rFonts w:ascii="Arial" w:hAnsi="Arial" w:cs="Arial"/>
                <w:spacing w:val="-43"/>
                <w:sz w:val="18"/>
                <w:szCs w:val="18"/>
              </w:rPr>
              <w:t xml:space="preserve"> </w:t>
            </w:r>
            <w:r w:rsidRPr="00D54D24">
              <w:rPr>
                <w:rFonts w:ascii="Arial" w:hAnsi="Arial" w:cs="Arial"/>
                <w:sz w:val="18"/>
                <w:szCs w:val="18"/>
              </w:rPr>
              <w:t>Check</w:t>
            </w:r>
            <w:r w:rsidRPr="00D54D24">
              <w:rPr>
                <w:rFonts w:ascii="Arial" w:hAnsi="Arial" w:cs="Arial"/>
                <w:spacing w:val="-1"/>
                <w:sz w:val="18"/>
                <w:szCs w:val="18"/>
              </w:rPr>
              <w:t xml:space="preserve"> </w:t>
            </w:r>
            <w:r w:rsidRPr="00D54D24">
              <w:rPr>
                <w:rFonts w:ascii="Arial" w:hAnsi="Arial" w:cs="Arial"/>
                <w:sz w:val="18"/>
                <w:szCs w:val="18"/>
              </w:rPr>
              <w:t>full range</w:t>
            </w:r>
            <w:r w:rsidRPr="00D54D24">
              <w:rPr>
                <w:rFonts w:ascii="Arial" w:hAnsi="Arial" w:cs="Arial"/>
                <w:spacing w:val="-2"/>
                <w:sz w:val="18"/>
                <w:szCs w:val="18"/>
              </w:rPr>
              <w:t xml:space="preserve"> </w:t>
            </w:r>
            <w:r w:rsidRPr="00D54D24">
              <w:rPr>
                <w:rFonts w:ascii="Arial" w:hAnsi="Arial" w:cs="Arial"/>
                <w:sz w:val="18"/>
                <w:szCs w:val="18"/>
              </w:rPr>
              <w:t>of</w:t>
            </w:r>
            <w:r w:rsidRPr="00D54D24">
              <w:rPr>
                <w:rFonts w:ascii="Arial" w:hAnsi="Arial" w:cs="Arial"/>
                <w:spacing w:val="-2"/>
                <w:sz w:val="18"/>
                <w:szCs w:val="18"/>
              </w:rPr>
              <w:t xml:space="preserve"> </w:t>
            </w:r>
            <w:r w:rsidRPr="00D54D24">
              <w:rPr>
                <w:rFonts w:ascii="Arial" w:hAnsi="Arial" w:cs="Arial"/>
                <w:sz w:val="18"/>
                <w:szCs w:val="18"/>
              </w:rPr>
              <w:t>motion.</w:t>
            </w:r>
          </w:p>
        </w:tc>
      </w:tr>
      <w:tr w:rsidR="00D54D24" w:rsidRPr="00D54D24" w14:paraId="1C130E7D" w14:textId="77777777" w:rsidTr="0065014B">
        <w:trPr>
          <w:trHeight w:val="202"/>
        </w:trPr>
        <w:tc>
          <w:tcPr>
            <w:tcW w:w="9085" w:type="dxa"/>
            <w:gridSpan w:val="2"/>
            <w:shd w:val="clear" w:color="auto" w:fill="F2F2F2" w:themeFill="background1" w:themeFillShade="F2"/>
          </w:tcPr>
          <w:p w14:paraId="7F312987" w14:textId="77777777" w:rsidR="00D54D24" w:rsidRPr="00D54D24" w:rsidRDefault="00D54D24" w:rsidP="00D54D24">
            <w:pPr>
              <w:pStyle w:val="TableParagraph"/>
              <w:spacing w:line="225" w:lineRule="exact"/>
              <w:ind w:left="86"/>
              <w:rPr>
                <w:rFonts w:ascii="Arial" w:hAnsi="Arial" w:cs="Arial"/>
                <w:b/>
                <w:sz w:val="18"/>
                <w:szCs w:val="18"/>
              </w:rPr>
            </w:pPr>
            <w:r w:rsidRPr="00D54D24">
              <w:rPr>
                <w:rFonts w:ascii="Arial" w:hAnsi="Arial" w:cs="Arial"/>
                <w:b/>
                <w:sz w:val="18"/>
                <w:szCs w:val="18"/>
              </w:rPr>
              <w:t>EMPENNAGE</w:t>
            </w:r>
          </w:p>
        </w:tc>
      </w:tr>
      <w:tr w:rsidR="00D54D24" w:rsidRPr="00D54D24" w14:paraId="30FC3916" w14:textId="77777777" w:rsidTr="00C342B1">
        <w:trPr>
          <w:trHeight w:val="932"/>
        </w:trPr>
        <w:tc>
          <w:tcPr>
            <w:tcW w:w="2425" w:type="dxa"/>
          </w:tcPr>
          <w:p w14:paraId="221FA15C" w14:textId="77777777" w:rsidR="00D54D24" w:rsidRPr="00D54D24" w:rsidRDefault="00D54D24" w:rsidP="00D54D24">
            <w:pPr>
              <w:pStyle w:val="TableParagraph"/>
              <w:ind w:left="86"/>
              <w:rPr>
                <w:rFonts w:ascii="Arial" w:hAnsi="Arial" w:cs="Arial"/>
                <w:sz w:val="18"/>
                <w:szCs w:val="18"/>
              </w:rPr>
            </w:pPr>
            <w:r w:rsidRPr="00D54D24">
              <w:rPr>
                <w:rFonts w:ascii="Arial" w:hAnsi="Arial" w:cs="Arial"/>
                <w:sz w:val="18"/>
                <w:szCs w:val="18"/>
              </w:rPr>
              <w:t>All components and</w:t>
            </w:r>
            <w:r w:rsidRPr="00D54D24">
              <w:rPr>
                <w:rFonts w:ascii="Arial" w:hAnsi="Arial" w:cs="Arial"/>
                <w:spacing w:val="-43"/>
                <w:sz w:val="18"/>
                <w:szCs w:val="18"/>
              </w:rPr>
              <w:t xml:space="preserve"> </w:t>
            </w:r>
            <w:r w:rsidRPr="00D54D24">
              <w:rPr>
                <w:rFonts w:ascii="Arial" w:hAnsi="Arial" w:cs="Arial"/>
                <w:sz w:val="18"/>
                <w:szCs w:val="18"/>
              </w:rPr>
              <w:t>systems</w:t>
            </w:r>
          </w:p>
        </w:tc>
        <w:tc>
          <w:tcPr>
            <w:tcW w:w="6660" w:type="dxa"/>
          </w:tcPr>
          <w:p w14:paraId="327E18FE" w14:textId="77777777" w:rsidR="00D54D24" w:rsidRPr="00D54D24" w:rsidRDefault="00D54D24" w:rsidP="0065014B">
            <w:pPr>
              <w:pStyle w:val="TableParagraph"/>
              <w:jc w:val="both"/>
              <w:rPr>
                <w:rFonts w:ascii="Arial" w:hAnsi="Arial" w:cs="Arial"/>
                <w:sz w:val="18"/>
                <w:szCs w:val="18"/>
              </w:rPr>
            </w:pPr>
            <w:r w:rsidRPr="00D54D24">
              <w:rPr>
                <w:rFonts w:ascii="Arial" w:hAnsi="Arial" w:cs="Arial"/>
                <w:sz w:val="18"/>
                <w:szCs w:val="18"/>
              </w:rPr>
              <w:t>Inspect all components and systems that make up the complete empennage</w:t>
            </w:r>
            <w:r w:rsidRPr="00D54D24">
              <w:rPr>
                <w:rFonts w:ascii="Arial" w:hAnsi="Arial" w:cs="Arial"/>
                <w:spacing w:val="1"/>
                <w:sz w:val="18"/>
                <w:szCs w:val="18"/>
              </w:rPr>
              <w:t xml:space="preserve"> </w:t>
            </w:r>
            <w:r w:rsidRPr="00D54D24">
              <w:rPr>
                <w:rFonts w:ascii="Arial" w:hAnsi="Arial" w:cs="Arial"/>
                <w:sz w:val="18"/>
                <w:szCs w:val="18"/>
              </w:rPr>
              <w:t>assembly for poor general condition, fabric or skin deterioration, distortion,</w:t>
            </w:r>
            <w:r w:rsidRPr="00D54D24">
              <w:rPr>
                <w:rFonts w:ascii="Arial" w:hAnsi="Arial" w:cs="Arial"/>
                <w:spacing w:val="1"/>
                <w:sz w:val="18"/>
                <w:szCs w:val="18"/>
              </w:rPr>
              <w:t xml:space="preserve"> </w:t>
            </w:r>
            <w:r w:rsidRPr="00D54D24">
              <w:rPr>
                <w:rFonts w:ascii="Arial" w:hAnsi="Arial" w:cs="Arial"/>
                <w:sz w:val="18"/>
                <w:szCs w:val="18"/>
              </w:rPr>
              <w:t>evidence</w:t>
            </w:r>
            <w:r w:rsidRPr="00D54D24">
              <w:rPr>
                <w:rFonts w:ascii="Arial" w:hAnsi="Arial" w:cs="Arial"/>
                <w:spacing w:val="-5"/>
                <w:sz w:val="18"/>
                <w:szCs w:val="18"/>
              </w:rPr>
              <w:t xml:space="preserve"> </w:t>
            </w:r>
            <w:r w:rsidRPr="00D54D24">
              <w:rPr>
                <w:rFonts w:ascii="Arial" w:hAnsi="Arial" w:cs="Arial"/>
                <w:sz w:val="18"/>
                <w:szCs w:val="18"/>
              </w:rPr>
              <w:t>of</w:t>
            </w:r>
            <w:r w:rsidRPr="00D54D24">
              <w:rPr>
                <w:rFonts w:ascii="Arial" w:hAnsi="Arial" w:cs="Arial"/>
                <w:spacing w:val="-4"/>
                <w:sz w:val="18"/>
                <w:szCs w:val="18"/>
              </w:rPr>
              <w:t xml:space="preserve"> </w:t>
            </w:r>
            <w:r w:rsidRPr="00D54D24">
              <w:rPr>
                <w:rFonts w:ascii="Arial" w:hAnsi="Arial" w:cs="Arial"/>
                <w:sz w:val="18"/>
                <w:szCs w:val="18"/>
              </w:rPr>
              <w:t>failure,</w:t>
            </w:r>
            <w:r w:rsidRPr="00D54D24">
              <w:rPr>
                <w:rFonts w:ascii="Arial" w:hAnsi="Arial" w:cs="Arial"/>
                <w:spacing w:val="-3"/>
                <w:sz w:val="18"/>
                <w:szCs w:val="18"/>
              </w:rPr>
              <w:t xml:space="preserve"> </w:t>
            </w:r>
            <w:r w:rsidRPr="00D54D24">
              <w:rPr>
                <w:rFonts w:ascii="Arial" w:hAnsi="Arial" w:cs="Arial"/>
                <w:sz w:val="18"/>
                <w:szCs w:val="18"/>
              </w:rPr>
              <w:t>insecure</w:t>
            </w:r>
            <w:r w:rsidRPr="00D54D24">
              <w:rPr>
                <w:rFonts w:ascii="Arial" w:hAnsi="Arial" w:cs="Arial"/>
                <w:spacing w:val="-3"/>
                <w:sz w:val="18"/>
                <w:szCs w:val="18"/>
              </w:rPr>
              <w:t xml:space="preserve"> </w:t>
            </w:r>
            <w:r w:rsidRPr="00D54D24">
              <w:rPr>
                <w:rFonts w:ascii="Arial" w:hAnsi="Arial" w:cs="Arial"/>
                <w:sz w:val="18"/>
                <w:szCs w:val="18"/>
              </w:rPr>
              <w:t>attachment,</w:t>
            </w:r>
            <w:r w:rsidRPr="00D54D24">
              <w:rPr>
                <w:rFonts w:ascii="Arial" w:hAnsi="Arial" w:cs="Arial"/>
                <w:spacing w:val="-3"/>
                <w:sz w:val="18"/>
                <w:szCs w:val="18"/>
              </w:rPr>
              <w:t xml:space="preserve"> </w:t>
            </w:r>
            <w:r w:rsidRPr="00D54D24">
              <w:rPr>
                <w:rFonts w:ascii="Arial" w:hAnsi="Arial" w:cs="Arial"/>
                <w:sz w:val="18"/>
                <w:szCs w:val="18"/>
              </w:rPr>
              <w:t>improper</w:t>
            </w:r>
            <w:r w:rsidRPr="00D54D24">
              <w:rPr>
                <w:rFonts w:ascii="Arial" w:hAnsi="Arial" w:cs="Arial"/>
                <w:spacing w:val="-2"/>
                <w:sz w:val="18"/>
                <w:szCs w:val="18"/>
              </w:rPr>
              <w:t xml:space="preserve"> </w:t>
            </w:r>
            <w:r w:rsidRPr="00D54D24">
              <w:rPr>
                <w:rFonts w:ascii="Arial" w:hAnsi="Arial" w:cs="Arial"/>
                <w:sz w:val="18"/>
                <w:szCs w:val="18"/>
              </w:rPr>
              <w:t>component</w:t>
            </w:r>
            <w:r w:rsidRPr="00D54D24">
              <w:rPr>
                <w:rFonts w:ascii="Arial" w:hAnsi="Arial" w:cs="Arial"/>
                <w:spacing w:val="-3"/>
                <w:sz w:val="18"/>
                <w:szCs w:val="18"/>
              </w:rPr>
              <w:t xml:space="preserve"> </w:t>
            </w:r>
            <w:r w:rsidRPr="00D54D24">
              <w:rPr>
                <w:rFonts w:ascii="Arial" w:hAnsi="Arial" w:cs="Arial"/>
                <w:sz w:val="18"/>
                <w:szCs w:val="18"/>
              </w:rPr>
              <w:t>installation,</w:t>
            </w:r>
            <w:r w:rsidRPr="00D54D24">
              <w:rPr>
                <w:rFonts w:ascii="Arial" w:hAnsi="Arial" w:cs="Arial"/>
                <w:spacing w:val="-2"/>
                <w:sz w:val="18"/>
                <w:szCs w:val="18"/>
              </w:rPr>
              <w:t xml:space="preserve"> </w:t>
            </w:r>
            <w:r w:rsidRPr="00D54D24">
              <w:rPr>
                <w:rFonts w:ascii="Arial" w:hAnsi="Arial" w:cs="Arial"/>
                <w:sz w:val="18"/>
                <w:szCs w:val="18"/>
              </w:rPr>
              <w:t>and</w:t>
            </w:r>
          </w:p>
          <w:p w14:paraId="2A91A88F" w14:textId="77777777" w:rsidR="00D54D24" w:rsidRPr="00D54D24" w:rsidRDefault="00D54D24" w:rsidP="0065014B">
            <w:pPr>
              <w:pStyle w:val="TableParagraph"/>
              <w:spacing w:before="1" w:line="222" w:lineRule="exact"/>
              <w:jc w:val="both"/>
              <w:rPr>
                <w:rFonts w:ascii="Arial" w:hAnsi="Arial" w:cs="Arial"/>
                <w:sz w:val="18"/>
                <w:szCs w:val="18"/>
              </w:rPr>
            </w:pPr>
            <w:r w:rsidRPr="00D54D24">
              <w:rPr>
                <w:rFonts w:ascii="Arial" w:hAnsi="Arial" w:cs="Arial"/>
                <w:sz w:val="18"/>
                <w:szCs w:val="18"/>
              </w:rPr>
              <w:t>improper</w:t>
            </w:r>
            <w:r w:rsidRPr="00D54D24">
              <w:rPr>
                <w:rFonts w:ascii="Arial" w:hAnsi="Arial" w:cs="Arial"/>
                <w:spacing w:val="-4"/>
                <w:sz w:val="18"/>
                <w:szCs w:val="18"/>
              </w:rPr>
              <w:t xml:space="preserve"> </w:t>
            </w:r>
            <w:r w:rsidRPr="00D54D24">
              <w:rPr>
                <w:rFonts w:ascii="Arial" w:hAnsi="Arial" w:cs="Arial"/>
                <w:sz w:val="18"/>
                <w:szCs w:val="18"/>
              </w:rPr>
              <w:t>component</w:t>
            </w:r>
            <w:r w:rsidRPr="00D54D24">
              <w:rPr>
                <w:rFonts w:ascii="Arial" w:hAnsi="Arial" w:cs="Arial"/>
                <w:spacing w:val="-4"/>
                <w:sz w:val="18"/>
                <w:szCs w:val="18"/>
              </w:rPr>
              <w:t xml:space="preserve"> </w:t>
            </w:r>
            <w:r w:rsidRPr="00D54D24">
              <w:rPr>
                <w:rFonts w:ascii="Arial" w:hAnsi="Arial" w:cs="Arial"/>
                <w:sz w:val="18"/>
                <w:szCs w:val="18"/>
              </w:rPr>
              <w:t>operation.</w:t>
            </w:r>
          </w:p>
        </w:tc>
      </w:tr>
      <w:tr w:rsidR="00D54D24" w:rsidRPr="00D54D24" w14:paraId="0735FF9C" w14:textId="77777777" w:rsidTr="0065014B">
        <w:trPr>
          <w:trHeight w:val="202"/>
        </w:trPr>
        <w:tc>
          <w:tcPr>
            <w:tcW w:w="9085" w:type="dxa"/>
            <w:gridSpan w:val="2"/>
            <w:shd w:val="clear" w:color="auto" w:fill="F2F2F2" w:themeFill="background1" w:themeFillShade="F2"/>
          </w:tcPr>
          <w:p w14:paraId="5726D13D" w14:textId="77777777" w:rsidR="00D54D24" w:rsidRPr="00D54D24" w:rsidRDefault="00D54D24" w:rsidP="00D54D24">
            <w:pPr>
              <w:pStyle w:val="TableParagraph"/>
              <w:spacing w:line="225" w:lineRule="exact"/>
              <w:ind w:left="86"/>
              <w:rPr>
                <w:rFonts w:ascii="Arial" w:hAnsi="Arial" w:cs="Arial"/>
                <w:b/>
                <w:sz w:val="18"/>
                <w:szCs w:val="18"/>
              </w:rPr>
            </w:pPr>
            <w:r w:rsidRPr="00D54D24">
              <w:rPr>
                <w:rFonts w:ascii="Arial" w:hAnsi="Arial" w:cs="Arial"/>
                <w:b/>
                <w:sz w:val="18"/>
                <w:szCs w:val="18"/>
              </w:rPr>
              <w:t>AVIONICS</w:t>
            </w:r>
            <w:r w:rsidRPr="00D54D24">
              <w:rPr>
                <w:rFonts w:ascii="Arial" w:hAnsi="Arial" w:cs="Arial"/>
                <w:b/>
                <w:spacing w:val="-6"/>
                <w:sz w:val="18"/>
                <w:szCs w:val="18"/>
              </w:rPr>
              <w:t xml:space="preserve"> </w:t>
            </w:r>
            <w:r w:rsidRPr="00D54D24">
              <w:rPr>
                <w:rFonts w:ascii="Arial" w:hAnsi="Arial" w:cs="Arial"/>
                <w:b/>
                <w:sz w:val="18"/>
                <w:szCs w:val="18"/>
              </w:rPr>
              <w:t>AND</w:t>
            </w:r>
            <w:r w:rsidRPr="00D54D24">
              <w:rPr>
                <w:rFonts w:ascii="Arial" w:hAnsi="Arial" w:cs="Arial"/>
                <w:b/>
                <w:spacing w:val="-5"/>
                <w:sz w:val="18"/>
                <w:szCs w:val="18"/>
              </w:rPr>
              <w:t xml:space="preserve"> </w:t>
            </w:r>
            <w:r w:rsidRPr="00D54D24">
              <w:rPr>
                <w:rFonts w:ascii="Arial" w:hAnsi="Arial" w:cs="Arial"/>
                <w:b/>
                <w:sz w:val="18"/>
                <w:szCs w:val="18"/>
              </w:rPr>
              <w:t>ELECTRICS</w:t>
            </w:r>
          </w:p>
        </w:tc>
      </w:tr>
      <w:tr w:rsidR="00D54D24" w:rsidRPr="00D54D24" w14:paraId="55CCFA5C" w14:textId="77777777" w:rsidTr="00C342B1">
        <w:trPr>
          <w:trHeight w:val="199"/>
        </w:trPr>
        <w:tc>
          <w:tcPr>
            <w:tcW w:w="2425" w:type="dxa"/>
          </w:tcPr>
          <w:p w14:paraId="3D9BAD1C" w14:textId="77777777" w:rsidR="00D54D24" w:rsidRPr="00D54D24" w:rsidRDefault="00D54D24" w:rsidP="00D54D24">
            <w:pPr>
              <w:pStyle w:val="TableParagraph"/>
              <w:spacing w:line="222" w:lineRule="exact"/>
              <w:ind w:left="86"/>
              <w:rPr>
                <w:rFonts w:ascii="Arial" w:hAnsi="Arial" w:cs="Arial"/>
                <w:sz w:val="18"/>
                <w:szCs w:val="18"/>
              </w:rPr>
            </w:pPr>
            <w:r w:rsidRPr="00D54D24">
              <w:rPr>
                <w:rFonts w:ascii="Arial" w:hAnsi="Arial" w:cs="Arial"/>
                <w:sz w:val="18"/>
                <w:szCs w:val="18"/>
              </w:rPr>
              <w:t>Batteries</w:t>
            </w:r>
          </w:p>
        </w:tc>
        <w:tc>
          <w:tcPr>
            <w:tcW w:w="6660" w:type="dxa"/>
          </w:tcPr>
          <w:p w14:paraId="184CCFCF" w14:textId="77777777" w:rsidR="00D54D24" w:rsidRPr="00D54D24" w:rsidRDefault="00D54D24" w:rsidP="00D54D24">
            <w:pPr>
              <w:pStyle w:val="TableParagraph"/>
              <w:spacing w:line="222" w:lineRule="exact"/>
              <w:rPr>
                <w:rFonts w:ascii="Arial" w:hAnsi="Arial" w:cs="Arial"/>
                <w:sz w:val="18"/>
                <w:szCs w:val="18"/>
              </w:rPr>
            </w:pPr>
            <w:r w:rsidRPr="00D54D24">
              <w:rPr>
                <w:rFonts w:ascii="Arial" w:hAnsi="Arial" w:cs="Arial"/>
                <w:sz w:val="18"/>
                <w:szCs w:val="18"/>
              </w:rPr>
              <w:t>Inspect</w:t>
            </w:r>
            <w:r w:rsidRPr="00D54D24">
              <w:rPr>
                <w:rFonts w:ascii="Arial" w:hAnsi="Arial" w:cs="Arial"/>
                <w:spacing w:val="-4"/>
                <w:sz w:val="18"/>
                <w:szCs w:val="18"/>
              </w:rPr>
              <w:t xml:space="preserve"> </w:t>
            </w:r>
            <w:r w:rsidRPr="00D54D24">
              <w:rPr>
                <w:rFonts w:ascii="Arial" w:hAnsi="Arial" w:cs="Arial"/>
                <w:sz w:val="18"/>
                <w:szCs w:val="18"/>
              </w:rPr>
              <w:t>for</w:t>
            </w:r>
            <w:r w:rsidRPr="00D54D24">
              <w:rPr>
                <w:rFonts w:ascii="Arial" w:hAnsi="Arial" w:cs="Arial"/>
                <w:spacing w:val="-3"/>
                <w:sz w:val="18"/>
                <w:szCs w:val="18"/>
              </w:rPr>
              <w:t xml:space="preserve"> </w:t>
            </w:r>
            <w:r w:rsidRPr="00D54D24">
              <w:rPr>
                <w:rFonts w:ascii="Arial" w:hAnsi="Arial" w:cs="Arial"/>
                <w:sz w:val="18"/>
                <w:szCs w:val="18"/>
              </w:rPr>
              <w:t>improper</w:t>
            </w:r>
            <w:r w:rsidRPr="00D54D24">
              <w:rPr>
                <w:rFonts w:ascii="Arial" w:hAnsi="Arial" w:cs="Arial"/>
                <w:spacing w:val="-3"/>
                <w:sz w:val="18"/>
                <w:szCs w:val="18"/>
              </w:rPr>
              <w:t xml:space="preserve"> </w:t>
            </w:r>
            <w:r w:rsidRPr="00D54D24">
              <w:rPr>
                <w:rFonts w:ascii="Arial" w:hAnsi="Arial" w:cs="Arial"/>
                <w:sz w:val="18"/>
                <w:szCs w:val="18"/>
              </w:rPr>
              <w:t>installation,</w:t>
            </w:r>
            <w:r w:rsidRPr="00D54D24">
              <w:rPr>
                <w:rFonts w:ascii="Arial" w:hAnsi="Arial" w:cs="Arial"/>
                <w:spacing w:val="-4"/>
                <w:sz w:val="18"/>
                <w:szCs w:val="18"/>
              </w:rPr>
              <w:t xml:space="preserve"> </w:t>
            </w:r>
            <w:r w:rsidRPr="00D54D24">
              <w:rPr>
                <w:rFonts w:ascii="Arial" w:hAnsi="Arial" w:cs="Arial"/>
                <w:sz w:val="18"/>
                <w:szCs w:val="18"/>
              </w:rPr>
              <w:t>improper</w:t>
            </w:r>
            <w:r w:rsidRPr="00D54D24">
              <w:rPr>
                <w:rFonts w:ascii="Arial" w:hAnsi="Arial" w:cs="Arial"/>
                <w:spacing w:val="-3"/>
                <w:sz w:val="18"/>
                <w:szCs w:val="18"/>
              </w:rPr>
              <w:t xml:space="preserve"> </w:t>
            </w:r>
            <w:r w:rsidRPr="00D54D24">
              <w:rPr>
                <w:rFonts w:ascii="Arial" w:hAnsi="Arial" w:cs="Arial"/>
                <w:sz w:val="18"/>
                <w:szCs w:val="18"/>
              </w:rPr>
              <w:t>charge,</w:t>
            </w:r>
            <w:r w:rsidRPr="00D54D24">
              <w:rPr>
                <w:rFonts w:ascii="Arial" w:hAnsi="Arial" w:cs="Arial"/>
                <w:spacing w:val="-3"/>
                <w:sz w:val="18"/>
                <w:szCs w:val="18"/>
              </w:rPr>
              <w:t xml:space="preserve"> </w:t>
            </w:r>
            <w:r w:rsidRPr="00D54D24">
              <w:rPr>
                <w:rFonts w:ascii="Arial" w:hAnsi="Arial" w:cs="Arial"/>
                <w:sz w:val="18"/>
                <w:szCs w:val="18"/>
              </w:rPr>
              <w:t>spillage</w:t>
            </w:r>
            <w:r w:rsidRPr="00D54D24">
              <w:rPr>
                <w:rFonts w:ascii="Arial" w:hAnsi="Arial" w:cs="Arial"/>
                <w:spacing w:val="-3"/>
                <w:sz w:val="18"/>
                <w:szCs w:val="18"/>
              </w:rPr>
              <w:t xml:space="preserve"> </w:t>
            </w:r>
            <w:r w:rsidRPr="00D54D24">
              <w:rPr>
                <w:rFonts w:ascii="Arial" w:hAnsi="Arial" w:cs="Arial"/>
                <w:sz w:val="18"/>
                <w:szCs w:val="18"/>
              </w:rPr>
              <w:t>and</w:t>
            </w:r>
            <w:r w:rsidRPr="00D54D24">
              <w:rPr>
                <w:rFonts w:ascii="Arial" w:hAnsi="Arial" w:cs="Arial"/>
                <w:spacing w:val="-3"/>
                <w:sz w:val="18"/>
                <w:szCs w:val="18"/>
              </w:rPr>
              <w:t xml:space="preserve"> </w:t>
            </w:r>
            <w:r w:rsidRPr="00D54D24">
              <w:rPr>
                <w:rFonts w:ascii="Arial" w:hAnsi="Arial" w:cs="Arial"/>
                <w:sz w:val="18"/>
                <w:szCs w:val="18"/>
              </w:rPr>
              <w:t>corrosion.</w:t>
            </w:r>
          </w:p>
        </w:tc>
      </w:tr>
      <w:tr w:rsidR="00D54D24" w:rsidRPr="00D54D24" w14:paraId="7D5165B8" w14:textId="77777777" w:rsidTr="00C342B1">
        <w:trPr>
          <w:trHeight w:val="447"/>
        </w:trPr>
        <w:tc>
          <w:tcPr>
            <w:tcW w:w="2425" w:type="dxa"/>
          </w:tcPr>
          <w:p w14:paraId="33AD842C" w14:textId="77777777" w:rsidR="00D54D24" w:rsidRPr="00D54D24" w:rsidRDefault="00D54D24" w:rsidP="00D54D24">
            <w:pPr>
              <w:pStyle w:val="TableParagraph"/>
              <w:spacing w:line="240" w:lineRule="atLeast"/>
              <w:ind w:left="86"/>
              <w:rPr>
                <w:rFonts w:ascii="Arial" w:hAnsi="Arial" w:cs="Arial"/>
                <w:sz w:val="18"/>
                <w:szCs w:val="18"/>
              </w:rPr>
            </w:pPr>
            <w:r w:rsidRPr="00D54D24">
              <w:rPr>
                <w:rFonts w:ascii="Arial" w:hAnsi="Arial" w:cs="Arial"/>
                <w:sz w:val="18"/>
                <w:szCs w:val="18"/>
              </w:rPr>
              <w:t>Radio and electronic</w:t>
            </w:r>
            <w:r w:rsidRPr="00D54D24">
              <w:rPr>
                <w:rFonts w:ascii="Arial" w:hAnsi="Arial" w:cs="Arial"/>
                <w:spacing w:val="-43"/>
                <w:sz w:val="18"/>
                <w:szCs w:val="18"/>
              </w:rPr>
              <w:t xml:space="preserve"> </w:t>
            </w:r>
            <w:r w:rsidRPr="00D54D24">
              <w:rPr>
                <w:rFonts w:ascii="Arial" w:hAnsi="Arial" w:cs="Arial"/>
                <w:sz w:val="18"/>
                <w:szCs w:val="18"/>
              </w:rPr>
              <w:t>equipment</w:t>
            </w:r>
          </w:p>
        </w:tc>
        <w:tc>
          <w:tcPr>
            <w:tcW w:w="6660" w:type="dxa"/>
          </w:tcPr>
          <w:p w14:paraId="22B46347" w14:textId="77777777" w:rsidR="00D54D24" w:rsidRPr="00D54D24" w:rsidRDefault="00D54D24" w:rsidP="00D54D24">
            <w:pPr>
              <w:pStyle w:val="TableParagraph"/>
              <w:spacing w:line="240" w:lineRule="atLeast"/>
              <w:ind w:right="1631"/>
              <w:rPr>
                <w:rFonts w:ascii="Arial" w:hAnsi="Arial" w:cs="Arial"/>
                <w:sz w:val="18"/>
                <w:szCs w:val="18"/>
              </w:rPr>
            </w:pPr>
            <w:r w:rsidRPr="00D54D24">
              <w:rPr>
                <w:rFonts w:ascii="Arial" w:hAnsi="Arial" w:cs="Arial"/>
                <w:sz w:val="18"/>
                <w:szCs w:val="18"/>
              </w:rPr>
              <w:t>Inspect for improper installation and insecure mounting.</w:t>
            </w:r>
            <w:r w:rsidRPr="00D54D24">
              <w:rPr>
                <w:rFonts w:ascii="Arial" w:hAnsi="Arial" w:cs="Arial"/>
                <w:spacing w:val="-43"/>
                <w:sz w:val="18"/>
                <w:szCs w:val="18"/>
              </w:rPr>
              <w:t xml:space="preserve"> </w:t>
            </w:r>
            <w:r w:rsidRPr="00D54D24">
              <w:rPr>
                <w:rFonts w:ascii="Arial" w:hAnsi="Arial" w:cs="Arial"/>
                <w:sz w:val="18"/>
                <w:szCs w:val="18"/>
              </w:rPr>
              <w:t>Carry</w:t>
            </w:r>
            <w:r w:rsidRPr="00D54D24">
              <w:rPr>
                <w:rFonts w:ascii="Arial" w:hAnsi="Arial" w:cs="Arial"/>
                <w:spacing w:val="-1"/>
                <w:sz w:val="18"/>
                <w:szCs w:val="18"/>
              </w:rPr>
              <w:t xml:space="preserve"> </w:t>
            </w:r>
            <w:r w:rsidRPr="00D54D24">
              <w:rPr>
                <w:rFonts w:ascii="Arial" w:hAnsi="Arial" w:cs="Arial"/>
                <w:sz w:val="18"/>
                <w:szCs w:val="18"/>
              </w:rPr>
              <w:t>out ground function</w:t>
            </w:r>
            <w:r w:rsidRPr="00D54D24">
              <w:rPr>
                <w:rFonts w:ascii="Arial" w:hAnsi="Arial" w:cs="Arial"/>
                <w:spacing w:val="-1"/>
                <w:sz w:val="18"/>
                <w:szCs w:val="18"/>
              </w:rPr>
              <w:t xml:space="preserve"> </w:t>
            </w:r>
            <w:r w:rsidRPr="00D54D24">
              <w:rPr>
                <w:rFonts w:ascii="Arial" w:hAnsi="Arial" w:cs="Arial"/>
                <w:sz w:val="18"/>
                <w:szCs w:val="18"/>
              </w:rPr>
              <w:t>test.</w:t>
            </w:r>
          </w:p>
        </w:tc>
      </w:tr>
      <w:tr w:rsidR="00D54D24" w:rsidRPr="00D54D24" w14:paraId="15199A4A" w14:textId="77777777" w:rsidTr="00C342B1">
        <w:trPr>
          <w:trHeight w:val="200"/>
        </w:trPr>
        <w:tc>
          <w:tcPr>
            <w:tcW w:w="2425" w:type="dxa"/>
          </w:tcPr>
          <w:p w14:paraId="36B83643" w14:textId="77777777" w:rsidR="00D54D24" w:rsidRPr="00D54D24" w:rsidRDefault="00D54D24" w:rsidP="00D54D24">
            <w:pPr>
              <w:pStyle w:val="TableParagraph"/>
              <w:spacing w:line="223" w:lineRule="exact"/>
              <w:ind w:left="86"/>
              <w:rPr>
                <w:rFonts w:ascii="Arial" w:hAnsi="Arial" w:cs="Arial"/>
                <w:sz w:val="18"/>
                <w:szCs w:val="18"/>
              </w:rPr>
            </w:pPr>
            <w:r w:rsidRPr="00D54D24">
              <w:rPr>
                <w:rFonts w:ascii="Arial" w:hAnsi="Arial" w:cs="Arial"/>
                <w:sz w:val="18"/>
                <w:szCs w:val="18"/>
              </w:rPr>
              <w:t>Wiring</w:t>
            </w:r>
            <w:r w:rsidRPr="00D54D24">
              <w:rPr>
                <w:rFonts w:ascii="Arial" w:hAnsi="Arial" w:cs="Arial"/>
                <w:spacing w:val="-3"/>
                <w:sz w:val="18"/>
                <w:szCs w:val="18"/>
              </w:rPr>
              <w:t xml:space="preserve"> </w:t>
            </w:r>
            <w:r w:rsidRPr="00D54D24">
              <w:rPr>
                <w:rFonts w:ascii="Arial" w:hAnsi="Arial" w:cs="Arial"/>
                <w:sz w:val="18"/>
                <w:szCs w:val="18"/>
              </w:rPr>
              <w:t>and</w:t>
            </w:r>
            <w:r w:rsidRPr="00D54D24">
              <w:rPr>
                <w:rFonts w:ascii="Arial" w:hAnsi="Arial" w:cs="Arial"/>
                <w:spacing w:val="-2"/>
                <w:sz w:val="18"/>
                <w:szCs w:val="18"/>
              </w:rPr>
              <w:t xml:space="preserve"> </w:t>
            </w:r>
            <w:r w:rsidRPr="00D54D24">
              <w:rPr>
                <w:rFonts w:ascii="Arial" w:hAnsi="Arial" w:cs="Arial"/>
                <w:sz w:val="18"/>
                <w:szCs w:val="18"/>
              </w:rPr>
              <w:t>conduits</w:t>
            </w:r>
          </w:p>
        </w:tc>
        <w:tc>
          <w:tcPr>
            <w:tcW w:w="6660" w:type="dxa"/>
          </w:tcPr>
          <w:p w14:paraId="540669E7" w14:textId="77777777" w:rsidR="00D54D24" w:rsidRPr="00D54D24" w:rsidRDefault="00D54D24" w:rsidP="00D54D24">
            <w:pPr>
              <w:pStyle w:val="TableParagraph"/>
              <w:spacing w:line="223" w:lineRule="exact"/>
              <w:rPr>
                <w:rFonts w:ascii="Arial" w:hAnsi="Arial" w:cs="Arial"/>
                <w:sz w:val="18"/>
                <w:szCs w:val="18"/>
              </w:rPr>
            </w:pPr>
            <w:r w:rsidRPr="00D54D24">
              <w:rPr>
                <w:rFonts w:ascii="Arial" w:hAnsi="Arial" w:cs="Arial"/>
                <w:sz w:val="18"/>
                <w:szCs w:val="18"/>
              </w:rPr>
              <w:t>Inspect</w:t>
            </w:r>
            <w:r w:rsidRPr="00D54D24">
              <w:rPr>
                <w:rFonts w:ascii="Arial" w:hAnsi="Arial" w:cs="Arial"/>
                <w:spacing w:val="-3"/>
                <w:sz w:val="18"/>
                <w:szCs w:val="18"/>
              </w:rPr>
              <w:t xml:space="preserve"> </w:t>
            </w:r>
            <w:r w:rsidRPr="00D54D24">
              <w:rPr>
                <w:rFonts w:ascii="Arial" w:hAnsi="Arial" w:cs="Arial"/>
                <w:sz w:val="18"/>
                <w:szCs w:val="18"/>
              </w:rPr>
              <w:t>for</w:t>
            </w:r>
            <w:r w:rsidRPr="00D54D24">
              <w:rPr>
                <w:rFonts w:ascii="Arial" w:hAnsi="Arial" w:cs="Arial"/>
                <w:spacing w:val="-3"/>
                <w:sz w:val="18"/>
                <w:szCs w:val="18"/>
              </w:rPr>
              <w:t xml:space="preserve"> </w:t>
            </w:r>
            <w:r w:rsidRPr="00D54D24">
              <w:rPr>
                <w:rFonts w:ascii="Arial" w:hAnsi="Arial" w:cs="Arial"/>
                <w:sz w:val="18"/>
                <w:szCs w:val="18"/>
              </w:rPr>
              <w:t>improper</w:t>
            </w:r>
            <w:r w:rsidRPr="00D54D24">
              <w:rPr>
                <w:rFonts w:ascii="Arial" w:hAnsi="Arial" w:cs="Arial"/>
                <w:spacing w:val="-3"/>
                <w:sz w:val="18"/>
                <w:szCs w:val="18"/>
              </w:rPr>
              <w:t xml:space="preserve"> </w:t>
            </w:r>
            <w:r w:rsidRPr="00D54D24">
              <w:rPr>
                <w:rFonts w:ascii="Arial" w:hAnsi="Arial" w:cs="Arial"/>
                <w:sz w:val="18"/>
                <w:szCs w:val="18"/>
              </w:rPr>
              <w:t>routing,</w:t>
            </w:r>
            <w:r w:rsidRPr="00D54D24">
              <w:rPr>
                <w:rFonts w:ascii="Arial" w:hAnsi="Arial" w:cs="Arial"/>
                <w:spacing w:val="-3"/>
                <w:sz w:val="18"/>
                <w:szCs w:val="18"/>
              </w:rPr>
              <w:t xml:space="preserve"> </w:t>
            </w:r>
            <w:r w:rsidRPr="00D54D24">
              <w:rPr>
                <w:rFonts w:ascii="Arial" w:hAnsi="Arial" w:cs="Arial"/>
                <w:sz w:val="18"/>
                <w:szCs w:val="18"/>
              </w:rPr>
              <w:t>insecure</w:t>
            </w:r>
            <w:r w:rsidRPr="00D54D24">
              <w:rPr>
                <w:rFonts w:ascii="Arial" w:hAnsi="Arial" w:cs="Arial"/>
                <w:spacing w:val="-2"/>
                <w:sz w:val="18"/>
                <w:szCs w:val="18"/>
              </w:rPr>
              <w:t xml:space="preserve"> </w:t>
            </w:r>
            <w:r w:rsidRPr="00D54D24">
              <w:rPr>
                <w:rFonts w:ascii="Arial" w:hAnsi="Arial" w:cs="Arial"/>
                <w:sz w:val="18"/>
                <w:szCs w:val="18"/>
              </w:rPr>
              <w:t>mounting,</w:t>
            </w:r>
            <w:r w:rsidRPr="00D54D24">
              <w:rPr>
                <w:rFonts w:ascii="Arial" w:hAnsi="Arial" w:cs="Arial"/>
                <w:spacing w:val="-3"/>
                <w:sz w:val="18"/>
                <w:szCs w:val="18"/>
              </w:rPr>
              <w:t xml:space="preserve"> </w:t>
            </w:r>
            <w:r w:rsidRPr="00D54D24">
              <w:rPr>
                <w:rFonts w:ascii="Arial" w:hAnsi="Arial" w:cs="Arial"/>
                <w:sz w:val="18"/>
                <w:szCs w:val="18"/>
              </w:rPr>
              <w:t>and</w:t>
            </w:r>
            <w:r w:rsidRPr="00D54D24">
              <w:rPr>
                <w:rFonts w:ascii="Arial" w:hAnsi="Arial" w:cs="Arial"/>
                <w:spacing w:val="-3"/>
                <w:sz w:val="18"/>
                <w:szCs w:val="18"/>
              </w:rPr>
              <w:t xml:space="preserve"> </w:t>
            </w:r>
            <w:r w:rsidRPr="00D54D24">
              <w:rPr>
                <w:rFonts w:ascii="Arial" w:hAnsi="Arial" w:cs="Arial"/>
                <w:sz w:val="18"/>
                <w:szCs w:val="18"/>
              </w:rPr>
              <w:t>obvious</w:t>
            </w:r>
            <w:r w:rsidRPr="00D54D24">
              <w:rPr>
                <w:rFonts w:ascii="Arial" w:hAnsi="Arial" w:cs="Arial"/>
                <w:spacing w:val="-5"/>
                <w:sz w:val="18"/>
                <w:szCs w:val="18"/>
              </w:rPr>
              <w:t xml:space="preserve"> </w:t>
            </w:r>
            <w:r w:rsidRPr="00D54D24">
              <w:rPr>
                <w:rFonts w:ascii="Arial" w:hAnsi="Arial" w:cs="Arial"/>
                <w:sz w:val="18"/>
                <w:szCs w:val="18"/>
              </w:rPr>
              <w:t>defects.</w:t>
            </w:r>
          </w:p>
        </w:tc>
      </w:tr>
      <w:tr w:rsidR="00D54D24" w:rsidRPr="00D54D24" w14:paraId="213484B3" w14:textId="77777777" w:rsidTr="00C342B1">
        <w:trPr>
          <w:trHeight w:val="202"/>
        </w:trPr>
        <w:tc>
          <w:tcPr>
            <w:tcW w:w="2425" w:type="dxa"/>
          </w:tcPr>
          <w:p w14:paraId="1240B46B" w14:textId="77777777" w:rsidR="00D54D24" w:rsidRPr="00D54D24" w:rsidRDefault="00D54D24" w:rsidP="00D54D24">
            <w:pPr>
              <w:pStyle w:val="TableParagraph"/>
              <w:spacing w:line="225" w:lineRule="exact"/>
              <w:ind w:left="86"/>
              <w:rPr>
                <w:rFonts w:ascii="Arial" w:hAnsi="Arial" w:cs="Arial"/>
                <w:sz w:val="18"/>
                <w:szCs w:val="18"/>
              </w:rPr>
            </w:pPr>
            <w:r w:rsidRPr="00D54D24">
              <w:rPr>
                <w:rFonts w:ascii="Arial" w:hAnsi="Arial" w:cs="Arial"/>
                <w:sz w:val="18"/>
                <w:szCs w:val="18"/>
              </w:rPr>
              <w:t>Bonding</w:t>
            </w:r>
            <w:r w:rsidRPr="00D54D24">
              <w:rPr>
                <w:rFonts w:ascii="Arial" w:hAnsi="Arial" w:cs="Arial"/>
                <w:spacing w:val="-5"/>
                <w:sz w:val="18"/>
                <w:szCs w:val="18"/>
              </w:rPr>
              <w:t xml:space="preserve"> </w:t>
            </w:r>
            <w:r w:rsidRPr="00D54D24">
              <w:rPr>
                <w:rFonts w:ascii="Arial" w:hAnsi="Arial" w:cs="Arial"/>
                <w:sz w:val="18"/>
                <w:szCs w:val="18"/>
              </w:rPr>
              <w:t>and</w:t>
            </w:r>
            <w:r w:rsidRPr="00D54D24">
              <w:rPr>
                <w:rFonts w:ascii="Arial" w:hAnsi="Arial" w:cs="Arial"/>
                <w:spacing w:val="-3"/>
                <w:sz w:val="18"/>
                <w:szCs w:val="18"/>
              </w:rPr>
              <w:t xml:space="preserve"> </w:t>
            </w:r>
            <w:r w:rsidRPr="00D54D24">
              <w:rPr>
                <w:rFonts w:ascii="Arial" w:hAnsi="Arial" w:cs="Arial"/>
                <w:sz w:val="18"/>
                <w:szCs w:val="18"/>
              </w:rPr>
              <w:t>shielding</w:t>
            </w:r>
          </w:p>
        </w:tc>
        <w:tc>
          <w:tcPr>
            <w:tcW w:w="6660" w:type="dxa"/>
          </w:tcPr>
          <w:p w14:paraId="575634CD" w14:textId="77777777" w:rsidR="00D54D24" w:rsidRPr="00D54D24" w:rsidRDefault="00D54D24" w:rsidP="00D54D24">
            <w:pPr>
              <w:pStyle w:val="TableParagraph"/>
              <w:spacing w:line="225" w:lineRule="exact"/>
              <w:rPr>
                <w:rFonts w:ascii="Arial" w:hAnsi="Arial" w:cs="Arial"/>
                <w:sz w:val="18"/>
                <w:szCs w:val="18"/>
              </w:rPr>
            </w:pPr>
            <w:r w:rsidRPr="00D54D24">
              <w:rPr>
                <w:rFonts w:ascii="Arial" w:hAnsi="Arial" w:cs="Arial"/>
                <w:sz w:val="18"/>
                <w:szCs w:val="18"/>
              </w:rPr>
              <w:t>Inspect</w:t>
            </w:r>
            <w:r w:rsidRPr="00D54D24">
              <w:rPr>
                <w:rFonts w:ascii="Arial" w:hAnsi="Arial" w:cs="Arial"/>
                <w:spacing w:val="-2"/>
                <w:sz w:val="18"/>
                <w:szCs w:val="18"/>
              </w:rPr>
              <w:t xml:space="preserve"> </w:t>
            </w:r>
            <w:r w:rsidRPr="00D54D24">
              <w:rPr>
                <w:rFonts w:ascii="Arial" w:hAnsi="Arial" w:cs="Arial"/>
                <w:sz w:val="18"/>
                <w:szCs w:val="18"/>
              </w:rPr>
              <w:t>for</w:t>
            </w:r>
            <w:r w:rsidRPr="00D54D24">
              <w:rPr>
                <w:rFonts w:ascii="Arial" w:hAnsi="Arial" w:cs="Arial"/>
                <w:spacing w:val="-2"/>
                <w:sz w:val="18"/>
                <w:szCs w:val="18"/>
              </w:rPr>
              <w:t xml:space="preserve"> </w:t>
            </w:r>
            <w:r w:rsidRPr="00D54D24">
              <w:rPr>
                <w:rFonts w:ascii="Arial" w:hAnsi="Arial" w:cs="Arial"/>
                <w:sz w:val="18"/>
                <w:szCs w:val="18"/>
              </w:rPr>
              <w:t>improper</w:t>
            </w:r>
            <w:r w:rsidRPr="00D54D24">
              <w:rPr>
                <w:rFonts w:ascii="Arial" w:hAnsi="Arial" w:cs="Arial"/>
                <w:spacing w:val="-2"/>
                <w:sz w:val="18"/>
                <w:szCs w:val="18"/>
              </w:rPr>
              <w:t xml:space="preserve"> </w:t>
            </w:r>
            <w:r w:rsidRPr="00D54D24">
              <w:rPr>
                <w:rFonts w:ascii="Arial" w:hAnsi="Arial" w:cs="Arial"/>
                <w:sz w:val="18"/>
                <w:szCs w:val="18"/>
              </w:rPr>
              <w:t>installation,</w:t>
            </w:r>
            <w:r w:rsidRPr="00D54D24">
              <w:rPr>
                <w:rFonts w:ascii="Arial" w:hAnsi="Arial" w:cs="Arial"/>
                <w:spacing w:val="-2"/>
                <w:sz w:val="18"/>
                <w:szCs w:val="18"/>
              </w:rPr>
              <w:t xml:space="preserve"> </w:t>
            </w:r>
            <w:r w:rsidRPr="00D54D24">
              <w:rPr>
                <w:rFonts w:ascii="Arial" w:hAnsi="Arial" w:cs="Arial"/>
                <w:sz w:val="18"/>
                <w:szCs w:val="18"/>
              </w:rPr>
              <w:t>poor</w:t>
            </w:r>
            <w:r w:rsidRPr="00D54D24">
              <w:rPr>
                <w:rFonts w:ascii="Arial" w:hAnsi="Arial" w:cs="Arial"/>
                <w:spacing w:val="-2"/>
                <w:sz w:val="18"/>
                <w:szCs w:val="18"/>
              </w:rPr>
              <w:t xml:space="preserve"> </w:t>
            </w:r>
            <w:r w:rsidRPr="00D54D24">
              <w:rPr>
                <w:rFonts w:ascii="Arial" w:hAnsi="Arial" w:cs="Arial"/>
                <w:sz w:val="18"/>
                <w:szCs w:val="18"/>
              </w:rPr>
              <w:t>condition,</w:t>
            </w:r>
            <w:r w:rsidRPr="00D54D24">
              <w:rPr>
                <w:rFonts w:ascii="Arial" w:hAnsi="Arial" w:cs="Arial"/>
                <w:spacing w:val="-2"/>
                <w:sz w:val="18"/>
                <w:szCs w:val="18"/>
              </w:rPr>
              <w:t xml:space="preserve"> </w:t>
            </w:r>
            <w:r w:rsidRPr="00D54D24">
              <w:rPr>
                <w:rFonts w:ascii="Arial" w:hAnsi="Arial" w:cs="Arial"/>
                <w:sz w:val="18"/>
                <w:szCs w:val="18"/>
              </w:rPr>
              <w:t>chafing</w:t>
            </w:r>
            <w:r w:rsidRPr="00D54D24">
              <w:rPr>
                <w:rFonts w:ascii="Arial" w:hAnsi="Arial" w:cs="Arial"/>
                <w:spacing w:val="-3"/>
                <w:sz w:val="18"/>
                <w:szCs w:val="18"/>
              </w:rPr>
              <w:t xml:space="preserve"> </w:t>
            </w:r>
            <w:r w:rsidRPr="00D54D24">
              <w:rPr>
                <w:rFonts w:ascii="Arial" w:hAnsi="Arial" w:cs="Arial"/>
                <w:sz w:val="18"/>
                <w:szCs w:val="18"/>
              </w:rPr>
              <w:t>and</w:t>
            </w:r>
            <w:r w:rsidRPr="00D54D24">
              <w:rPr>
                <w:rFonts w:ascii="Arial" w:hAnsi="Arial" w:cs="Arial"/>
                <w:spacing w:val="-2"/>
                <w:sz w:val="18"/>
                <w:szCs w:val="18"/>
              </w:rPr>
              <w:t xml:space="preserve"> </w:t>
            </w:r>
            <w:r w:rsidRPr="00D54D24">
              <w:rPr>
                <w:rFonts w:ascii="Arial" w:hAnsi="Arial" w:cs="Arial"/>
                <w:sz w:val="18"/>
                <w:szCs w:val="18"/>
              </w:rPr>
              <w:t>wear</w:t>
            </w:r>
            <w:r w:rsidRPr="00D54D24">
              <w:rPr>
                <w:rFonts w:ascii="Arial" w:hAnsi="Arial" w:cs="Arial"/>
                <w:spacing w:val="-2"/>
                <w:sz w:val="18"/>
                <w:szCs w:val="18"/>
              </w:rPr>
              <w:t xml:space="preserve"> </w:t>
            </w:r>
            <w:r w:rsidRPr="00D54D24">
              <w:rPr>
                <w:rFonts w:ascii="Arial" w:hAnsi="Arial" w:cs="Arial"/>
                <w:sz w:val="18"/>
                <w:szCs w:val="18"/>
              </w:rPr>
              <w:t>of</w:t>
            </w:r>
            <w:r w:rsidRPr="00D54D24">
              <w:rPr>
                <w:rFonts w:ascii="Arial" w:hAnsi="Arial" w:cs="Arial"/>
                <w:spacing w:val="-4"/>
                <w:sz w:val="18"/>
                <w:szCs w:val="18"/>
              </w:rPr>
              <w:t xml:space="preserve"> </w:t>
            </w:r>
            <w:r w:rsidRPr="00D54D24">
              <w:rPr>
                <w:rFonts w:ascii="Arial" w:hAnsi="Arial" w:cs="Arial"/>
                <w:sz w:val="18"/>
                <w:szCs w:val="18"/>
              </w:rPr>
              <w:t>insulation.</w:t>
            </w:r>
          </w:p>
        </w:tc>
      </w:tr>
      <w:tr w:rsidR="00D54D24" w:rsidRPr="00D54D24" w14:paraId="35CE322B" w14:textId="77777777" w:rsidTr="00C342B1">
        <w:trPr>
          <w:trHeight w:val="199"/>
        </w:trPr>
        <w:tc>
          <w:tcPr>
            <w:tcW w:w="2425" w:type="dxa"/>
          </w:tcPr>
          <w:p w14:paraId="76D393E7" w14:textId="77777777" w:rsidR="00D54D24" w:rsidRPr="00D54D24" w:rsidRDefault="00D54D24" w:rsidP="00D54D24">
            <w:pPr>
              <w:pStyle w:val="TableParagraph"/>
              <w:spacing w:line="223" w:lineRule="exact"/>
              <w:ind w:left="86"/>
              <w:rPr>
                <w:rFonts w:ascii="Arial" w:hAnsi="Arial" w:cs="Arial"/>
                <w:sz w:val="18"/>
                <w:szCs w:val="18"/>
              </w:rPr>
            </w:pPr>
            <w:r w:rsidRPr="00D54D24">
              <w:rPr>
                <w:rFonts w:ascii="Arial" w:hAnsi="Arial" w:cs="Arial"/>
                <w:sz w:val="18"/>
                <w:szCs w:val="18"/>
              </w:rPr>
              <w:t>Antennas</w:t>
            </w:r>
          </w:p>
        </w:tc>
        <w:tc>
          <w:tcPr>
            <w:tcW w:w="6660" w:type="dxa"/>
          </w:tcPr>
          <w:p w14:paraId="2DDDECB2" w14:textId="77777777" w:rsidR="00D54D24" w:rsidRPr="00D54D24" w:rsidRDefault="00D54D24" w:rsidP="00D54D24">
            <w:pPr>
              <w:pStyle w:val="TableParagraph"/>
              <w:spacing w:line="223" w:lineRule="exact"/>
              <w:rPr>
                <w:rFonts w:ascii="Arial" w:hAnsi="Arial" w:cs="Arial"/>
                <w:sz w:val="18"/>
                <w:szCs w:val="18"/>
              </w:rPr>
            </w:pPr>
            <w:r w:rsidRPr="00D54D24">
              <w:rPr>
                <w:rFonts w:ascii="Arial" w:hAnsi="Arial" w:cs="Arial"/>
                <w:sz w:val="18"/>
                <w:szCs w:val="18"/>
              </w:rPr>
              <w:t>Inspect</w:t>
            </w:r>
            <w:r w:rsidRPr="00D54D24">
              <w:rPr>
                <w:rFonts w:ascii="Arial" w:hAnsi="Arial" w:cs="Arial"/>
                <w:spacing w:val="-3"/>
                <w:sz w:val="18"/>
                <w:szCs w:val="18"/>
              </w:rPr>
              <w:t xml:space="preserve"> </w:t>
            </w:r>
            <w:r w:rsidRPr="00D54D24">
              <w:rPr>
                <w:rFonts w:ascii="Arial" w:hAnsi="Arial" w:cs="Arial"/>
                <w:sz w:val="18"/>
                <w:szCs w:val="18"/>
              </w:rPr>
              <w:t>for</w:t>
            </w:r>
            <w:r w:rsidRPr="00D54D24">
              <w:rPr>
                <w:rFonts w:ascii="Arial" w:hAnsi="Arial" w:cs="Arial"/>
                <w:spacing w:val="-2"/>
                <w:sz w:val="18"/>
                <w:szCs w:val="18"/>
              </w:rPr>
              <w:t xml:space="preserve"> </w:t>
            </w:r>
            <w:r w:rsidRPr="00D54D24">
              <w:rPr>
                <w:rFonts w:ascii="Arial" w:hAnsi="Arial" w:cs="Arial"/>
                <w:sz w:val="18"/>
                <w:szCs w:val="18"/>
              </w:rPr>
              <w:t>poor</w:t>
            </w:r>
            <w:r w:rsidRPr="00D54D24">
              <w:rPr>
                <w:rFonts w:ascii="Arial" w:hAnsi="Arial" w:cs="Arial"/>
                <w:spacing w:val="-3"/>
                <w:sz w:val="18"/>
                <w:szCs w:val="18"/>
              </w:rPr>
              <w:t xml:space="preserve"> </w:t>
            </w:r>
            <w:r w:rsidRPr="00D54D24">
              <w:rPr>
                <w:rFonts w:ascii="Arial" w:hAnsi="Arial" w:cs="Arial"/>
                <w:sz w:val="18"/>
                <w:szCs w:val="18"/>
              </w:rPr>
              <w:t>condition,</w:t>
            </w:r>
            <w:r w:rsidRPr="00D54D24">
              <w:rPr>
                <w:rFonts w:ascii="Arial" w:hAnsi="Arial" w:cs="Arial"/>
                <w:spacing w:val="-2"/>
                <w:sz w:val="18"/>
                <w:szCs w:val="18"/>
              </w:rPr>
              <w:t xml:space="preserve"> </w:t>
            </w:r>
            <w:r w:rsidRPr="00D54D24">
              <w:rPr>
                <w:rFonts w:ascii="Arial" w:hAnsi="Arial" w:cs="Arial"/>
                <w:sz w:val="18"/>
                <w:szCs w:val="18"/>
              </w:rPr>
              <w:t>insecure</w:t>
            </w:r>
            <w:r w:rsidRPr="00D54D24">
              <w:rPr>
                <w:rFonts w:ascii="Arial" w:hAnsi="Arial" w:cs="Arial"/>
                <w:spacing w:val="-4"/>
                <w:sz w:val="18"/>
                <w:szCs w:val="18"/>
              </w:rPr>
              <w:t xml:space="preserve"> </w:t>
            </w:r>
            <w:r w:rsidRPr="00D54D24">
              <w:rPr>
                <w:rFonts w:ascii="Arial" w:hAnsi="Arial" w:cs="Arial"/>
                <w:sz w:val="18"/>
                <w:szCs w:val="18"/>
              </w:rPr>
              <w:t>mounting,</w:t>
            </w:r>
            <w:r w:rsidRPr="00D54D24">
              <w:rPr>
                <w:rFonts w:ascii="Arial" w:hAnsi="Arial" w:cs="Arial"/>
                <w:spacing w:val="-2"/>
                <w:sz w:val="18"/>
                <w:szCs w:val="18"/>
              </w:rPr>
              <w:t xml:space="preserve"> </w:t>
            </w:r>
            <w:r w:rsidRPr="00D54D24">
              <w:rPr>
                <w:rFonts w:ascii="Arial" w:hAnsi="Arial" w:cs="Arial"/>
                <w:sz w:val="18"/>
                <w:szCs w:val="18"/>
              </w:rPr>
              <w:t>and</w:t>
            </w:r>
            <w:r w:rsidRPr="00D54D24">
              <w:rPr>
                <w:rFonts w:ascii="Arial" w:hAnsi="Arial" w:cs="Arial"/>
                <w:spacing w:val="-2"/>
                <w:sz w:val="18"/>
                <w:szCs w:val="18"/>
              </w:rPr>
              <w:t xml:space="preserve"> </w:t>
            </w:r>
            <w:r w:rsidRPr="00D54D24">
              <w:rPr>
                <w:rFonts w:ascii="Arial" w:hAnsi="Arial" w:cs="Arial"/>
                <w:sz w:val="18"/>
                <w:szCs w:val="18"/>
              </w:rPr>
              <w:t>improper</w:t>
            </w:r>
            <w:r w:rsidRPr="00D54D24">
              <w:rPr>
                <w:rFonts w:ascii="Arial" w:hAnsi="Arial" w:cs="Arial"/>
                <w:spacing w:val="-3"/>
                <w:sz w:val="18"/>
                <w:szCs w:val="18"/>
              </w:rPr>
              <w:t xml:space="preserve"> </w:t>
            </w:r>
            <w:r w:rsidRPr="00D54D24">
              <w:rPr>
                <w:rFonts w:ascii="Arial" w:hAnsi="Arial" w:cs="Arial"/>
                <w:sz w:val="18"/>
                <w:szCs w:val="18"/>
              </w:rPr>
              <w:t>operation.</w:t>
            </w:r>
          </w:p>
        </w:tc>
      </w:tr>
      <w:tr w:rsidR="00D54D24" w:rsidRPr="00D54D24" w14:paraId="148003EB" w14:textId="77777777" w:rsidTr="00C342B1">
        <w:trPr>
          <w:trHeight w:val="199"/>
        </w:trPr>
        <w:tc>
          <w:tcPr>
            <w:tcW w:w="2425" w:type="dxa"/>
          </w:tcPr>
          <w:p w14:paraId="42677CBA" w14:textId="77777777" w:rsidR="00D54D24" w:rsidRPr="00D54D24" w:rsidRDefault="00D54D24" w:rsidP="00D54D24">
            <w:pPr>
              <w:pStyle w:val="TableParagraph"/>
              <w:spacing w:line="222" w:lineRule="exact"/>
              <w:ind w:left="86"/>
              <w:rPr>
                <w:rFonts w:ascii="Arial" w:hAnsi="Arial" w:cs="Arial"/>
                <w:sz w:val="18"/>
                <w:szCs w:val="18"/>
              </w:rPr>
            </w:pPr>
            <w:r w:rsidRPr="00D54D24">
              <w:rPr>
                <w:rFonts w:ascii="Arial" w:hAnsi="Arial" w:cs="Arial"/>
                <w:sz w:val="18"/>
                <w:szCs w:val="18"/>
              </w:rPr>
              <w:t>Lights</w:t>
            </w:r>
          </w:p>
        </w:tc>
        <w:tc>
          <w:tcPr>
            <w:tcW w:w="6660" w:type="dxa"/>
          </w:tcPr>
          <w:p w14:paraId="1728D4FF" w14:textId="77777777" w:rsidR="00D54D24" w:rsidRPr="00D54D24" w:rsidRDefault="00D54D24" w:rsidP="00D54D24">
            <w:pPr>
              <w:pStyle w:val="TableParagraph"/>
              <w:spacing w:line="222" w:lineRule="exact"/>
              <w:rPr>
                <w:rFonts w:ascii="Arial" w:hAnsi="Arial" w:cs="Arial"/>
                <w:sz w:val="18"/>
                <w:szCs w:val="18"/>
              </w:rPr>
            </w:pPr>
            <w:r w:rsidRPr="00D54D24">
              <w:rPr>
                <w:rFonts w:ascii="Arial" w:hAnsi="Arial" w:cs="Arial"/>
                <w:sz w:val="18"/>
                <w:szCs w:val="18"/>
              </w:rPr>
              <w:t>Operational</w:t>
            </w:r>
            <w:r w:rsidRPr="00D54D24">
              <w:rPr>
                <w:rFonts w:ascii="Arial" w:hAnsi="Arial" w:cs="Arial"/>
                <w:spacing w:val="-3"/>
                <w:sz w:val="18"/>
                <w:szCs w:val="18"/>
              </w:rPr>
              <w:t xml:space="preserve"> </w:t>
            </w:r>
            <w:r w:rsidRPr="00D54D24">
              <w:rPr>
                <w:rFonts w:ascii="Arial" w:hAnsi="Arial" w:cs="Arial"/>
                <w:sz w:val="18"/>
                <w:szCs w:val="18"/>
              </w:rPr>
              <w:t>check</w:t>
            </w:r>
            <w:r w:rsidRPr="00D54D24">
              <w:rPr>
                <w:rFonts w:ascii="Arial" w:hAnsi="Arial" w:cs="Arial"/>
                <w:spacing w:val="-2"/>
                <w:sz w:val="18"/>
                <w:szCs w:val="18"/>
              </w:rPr>
              <w:t xml:space="preserve"> </w:t>
            </w:r>
            <w:r w:rsidRPr="00D54D24">
              <w:rPr>
                <w:rFonts w:ascii="Arial" w:hAnsi="Arial" w:cs="Arial"/>
                <w:sz w:val="18"/>
                <w:szCs w:val="18"/>
              </w:rPr>
              <w:t>of</w:t>
            </w:r>
            <w:r w:rsidRPr="00D54D24">
              <w:rPr>
                <w:rFonts w:ascii="Arial" w:hAnsi="Arial" w:cs="Arial"/>
                <w:spacing w:val="-4"/>
                <w:sz w:val="18"/>
                <w:szCs w:val="18"/>
              </w:rPr>
              <w:t xml:space="preserve"> </w:t>
            </w:r>
            <w:r w:rsidRPr="00D54D24">
              <w:rPr>
                <w:rFonts w:ascii="Arial" w:hAnsi="Arial" w:cs="Arial"/>
                <w:sz w:val="18"/>
                <w:szCs w:val="18"/>
              </w:rPr>
              <w:t>the</w:t>
            </w:r>
            <w:r w:rsidRPr="00D54D24">
              <w:rPr>
                <w:rFonts w:ascii="Arial" w:hAnsi="Arial" w:cs="Arial"/>
                <w:spacing w:val="-3"/>
                <w:sz w:val="18"/>
                <w:szCs w:val="18"/>
              </w:rPr>
              <w:t xml:space="preserve"> </w:t>
            </w:r>
            <w:r w:rsidRPr="00D54D24">
              <w:rPr>
                <w:rFonts w:ascii="Arial" w:hAnsi="Arial" w:cs="Arial"/>
                <w:sz w:val="18"/>
                <w:szCs w:val="18"/>
              </w:rPr>
              <w:t>interior,</w:t>
            </w:r>
            <w:r w:rsidRPr="00D54D24">
              <w:rPr>
                <w:rFonts w:ascii="Arial" w:hAnsi="Arial" w:cs="Arial"/>
                <w:spacing w:val="-2"/>
                <w:sz w:val="18"/>
                <w:szCs w:val="18"/>
              </w:rPr>
              <w:t xml:space="preserve"> </w:t>
            </w:r>
            <w:r w:rsidRPr="00D54D24">
              <w:rPr>
                <w:rFonts w:ascii="Arial" w:hAnsi="Arial" w:cs="Arial"/>
                <w:sz w:val="18"/>
                <w:szCs w:val="18"/>
              </w:rPr>
              <w:t>exterior</w:t>
            </w:r>
            <w:r w:rsidRPr="00D54D24">
              <w:rPr>
                <w:rFonts w:ascii="Arial" w:hAnsi="Arial" w:cs="Arial"/>
                <w:spacing w:val="-2"/>
                <w:sz w:val="18"/>
                <w:szCs w:val="18"/>
              </w:rPr>
              <w:t xml:space="preserve"> </w:t>
            </w:r>
            <w:r w:rsidRPr="00D54D24">
              <w:rPr>
                <w:rFonts w:ascii="Arial" w:hAnsi="Arial" w:cs="Arial"/>
                <w:sz w:val="18"/>
                <w:szCs w:val="18"/>
              </w:rPr>
              <w:t>and</w:t>
            </w:r>
            <w:r w:rsidRPr="00D54D24">
              <w:rPr>
                <w:rFonts w:ascii="Arial" w:hAnsi="Arial" w:cs="Arial"/>
                <w:spacing w:val="-2"/>
                <w:sz w:val="18"/>
                <w:szCs w:val="18"/>
              </w:rPr>
              <w:t xml:space="preserve"> </w:t>
            </w:r>
            <w:r w:rsidRPr="00D54D24">
              <w:rPr>
                <w:rFonts w:ascii="Arial" w:hAnsi="Arial" w:cs="Arial"/>
                <w:sz w:val="18"/>
                <w:szCs w:val="18"/>
              </w:rPr>
              <w:t>instrument</w:t>
            </w:r>
            <w:r w:rsidRPr="00D54D24">
              <w:rPr>
                <w:rFonts w:ascii="Arial" w:hAnsi="Arial" w:cs="Arial"/>
                <w:spacing w:val="-2"/>
                <w:sz w:val="18"/>
                <w:szCs w:val="18"/>
              </w:rPr>
              <w:t xml:space="preserve"> </w:t>
            </w:r>
            <w:r w:rsidRPr="00D54D24">
              <w:rPr>
                <w:rFonts w:ascii="Arial" w:hAnsi="Arial" w:cs="Arial"/>
                <w:sz w:val="18"/>
                <w:szCs w:val="18"/>
              </w:rPr>
              <w:t>lightning</w:t>
            </w:r>
          </w:p>
        </w:tc>
      </w:tr>
      <w:tr w:rsidR="00D54D24" w:rsidRPr="00D54D24" w14:paraId="73BF48D3" w14:textId="77777777" w:rsidTr="0065014B">
        <w:trPr>
          <w:trHeight w:val="202"/>
        </w:trPr>
        <w:tc>
          <w:tcPr>
            <w:tcW w:w="9085" w:type="dxa"/>
            <w:gridSpan w:val="2"/>
            <w:shd w:val="clear" w:color="auto" w:fill="F2F2F2" w:themeFill="background1" w:themeFillShade="F2"/>
          </w:tcPr>
          <w:p w14:paraId="0E231A94" w14:textId="77777777" w:rsidR="00D54D24" w:rsidRPr="00D54D24" w:rsidRDefault="00D54D24" w:rsidP="00D54D24">
            <w:pPr>
              <w:pStyle w:val="TableParagraph"/>
              <w:spacing w:line="225" w:lineRule="exact"/>
              <w:ind w:left="86"/>
              <w:rPr>
                <w:rFonts w:ascii="Arial" w:hAnsi="Arial" w:cs="Arial"/>
                <w:b/>
                <w:sz w:val="18"/>
                <w:szCs w:val="18"/>
              </w:rPr>
            </w:pPr>
            <w:r w:rsidRPr="00D54D24">
              <w:rPr>
                <w:rFonts w:ascii="Arial" w:hAnsi="Arial" w:cs="Arial"/>
                <w:b/>
                <w:sz w:val="18"/>
                <w:szCs w:val="18"/>
              </w:rPr>
              <w:t>POWER</w:t>
            </w:r>
            <w:r w:rsidRPr="00D54D24">
              <w:rPr>
                <w:rFonts w:ascii="Arial" w:hAnsi="Arial" w:cs="Arial"/>
                <w:b/>
                <w:spacing w:val="-5"/>
                <w:sz w:val="18"/>
                <w:szCs w:val="18"/>
              </w:rPr>
              <w:t xml:space="preserve"> </w:t>
            </w:r>
            <w:r w:rsidRPr="00D54D24">
              <w:rPr>
                <w:rFonts w:ascii="Arial" w:hAnsi="Arial" w:cs="Arial"/>
                <w:b/>
                <w:sz w:val="18"/>
                <w:szCs w:val="18"/>
              </w:rPr>
              <w:t>PLANT</w:t>
            </w:r>
            <w:r w:rsidRPr="00D54D24">
              <w:rPr>
                <w:rFonts w:ascii="Arial" w:hAnsi="Arial" w:cs="Arial"/>
                <w:b/>
                <w:spacing w:val="-6"/>
                <w:sz w:val="18"/>
                <w:szCs w:val="18"/>
              </w:rPr>
              <w:t xml:space="preserve"> </w:t>
            </w:r>
            <w:r w:rsidRPr="00D54D24">
              <w:rPr>
                <w:rFonts w:ascii="Arial" w:hAnsi="Arial" w:cs="Arial"/>
                <w:b/>
                <w:sz w:val="18"/>
                <w:szCs w:val="18"/>
              </w:rPr>
              <w:t>(OTHER</w:t>
            </w:r>
            <w:r w:rsidRPr="00D54D24">
              <w:rPr>
                <w:rFonts w:ascii="Arial" w:hAnsi="Arial" w:cs="Arial"/>
                <w:b/>
                <w:spacing w:val="-4"/>
                <w:sz w:val="18"/>
                <w:szCs w:val="18"/>
              </w:rPr>
              <w:t xml:space="preserve"> </w:t>
            </w:r>
            <w:r w:rsidRPr="00D54D24">
              <w:rPr>
                <w:rFonts w:ascii="Arial" w:hAnsi="Arial" w:cs="Arial"/>
                <w:b/>
                <w:sz w:val="18"/>
                <w:szCs w:val="18"/>
              </w:rPr>
              <w:t>THAN</w:t>
            </w:r>
            <w:r w:rsidRPr="00D54D24">
              <w:rPr>
                <w:rFonts w:ascii="Arial" w:hAnsi="Arial" w:cs="Arial"/>
                <w:b/>
                <w:spacing w:val="-3"/>
                <w:sz w:val="18"/>
                <w:szCs w:val="18"/>
              </w:rPr>
              <w:t xml:space="preserve"> </w:t>
            </w:r>
            <w:r w:rsidRPr="00D54D24">
              <w:rPr>
                <w:rFonts w:ascii="Arial" w:hAnsi="Arial" w:cs="Arial"/>
                <w:b/>
                <w:sz w:val="18"/>
                <w:szCs w:val="18"/>
              </w:rPr>
              <w:t>TURBOPROP</w:t>
            </w:r>
            <w:r w:rsidRPr="00D54D24">
              <w:rPr>
                <w:rFonts w:ascii="Arial" w:hAnsi="Arial" w:cs="Arial"/>
                <w:b/>
                <w:spacing w:val="-4"/>
                <w:sz w:val="18"/>
                <w:szCs w:val="18"/>
              </w:rPr>
              <w:t xml:space="preserve"> </w:t>
            </w:r>
            <w:r w:rsidRPr="00D54D24">
              <w:rPr>
                <w:rFonts w:ascii="Arial" w:hAnsi="Arial" w:cs="Arial"/>
                <w:b/>
                <w:sz w:val="18"/>
                <w:szCs w:val="18"/>
              </w:rPr>
              <w:t>ENGINE)</w:t>
            </w:r>
          </w:p>
        </w:tc>
      </w:tr>
      <w:tr w:rsidR="00D54D24" w:rsidRPr="00D54D24" w14:paraId="45B6AFEA" w14:textId="77777777" w:rsidTr="00C342B1">
        <w:trPr>
          <w:trHeight w:val="445"/>
        </w:trPr>
        <w:tc>
          <w:tcPr>
            <w:tcW w:w="2425" w:type="dxa"/>
          </w:tcPr>
          <w:p w14:paraId="0C59B52D" w14:textId="77777777" w:rsidR="00D54D24" w:rsidRPr="00D54D24" w:rsidRDefault="00D54D24" w:rsidP="00D54D24">
            <w:pPr>
              <w:pStyle w:val="TableParagraph"/>
              <w:ind w:left="86"/>
              <w:rPr>
                <w:rFonts w:ascii="Arial" w:hAnsi="Arial" w:cs="Arial"/>
                <w:sz w:val="18"/>
                <w:szCs w:val="18"/>
              </w:rPr>
            </w:pPr>
            <w:r w:rsidRPr="00D54D24">
              <w:rPr>
                <w:rFonts w:ascii="Arial" w:hAnsi="Arial" w:cs="Arial"/>
                <w:sz w:val="18"/>
                <w:szCs w:val="18"/>
              </w:rPr>
              <w:t>Engine</w:t>
            </w:r>
            <w:r w:rsidRPr="00D54D24">
              <w:rPr>
                <w:rFonts w:ascii="Arial" w:hAnsi="Arial" w:cs="Arial"/>
                <w:spacing w:val="-4"/>
                <w:sz w:val="18"/>
                <w:szCs w:val="18"/>
              </w:rPr>
              <w:t xml:space="preserve"> </w:t>
            </w:r>
            <w:r w:rsidRPr="00D54D24">
              <w:rPr>
                <w:rFonts w:ascii="Arial" w:hAnsi="Arial" w:cs="Arial"/>
                <w:sz w:val="18"/>
                <w:szCs w:val="18"/>
              </w:rPr>
              <w:t>section</w:t>
            </w:r>
          </w:p>
        </w:tc>
        <w:tc>
          <w:tcPr>
            <w:tcW w:w="6660" w:type="dxa"/>
          </w:tcPr>
          <w:p w14:paraId="4B9F9F7F" w14:textId="2C02943A" w:rsidR="00D54D24" w:rsidRPr="00D54D24" w:rsidRDefault="00D54D24" w:rsidP="0065014B">
            <w:pPr>
              <w:pStyle w:val="TableParagraph"/>
              <w:spacing w:line="243" w:lineRule="exact"/>
              <w:rPr>
                <w:rFonts w:ascii="Arial" w:hAnsi="Arial" w:cs="Arial"/>
                <w:sz w:val="18"/>
                <w:szCs w:val="18"/>
              </w:rPr>
            </w:pPr>
            <w:r w:rsidRPr="00D54D24">
              <w:rPr>
                <w:rFonts w:ascii="Arial" w:hAnsi="Arial" w:cs="Arial"/>
                <w:sz w:val="18"/>
                <w:szCs w:val="18"/>
              </w:rPr>
              <w:t>Inspect</w:t>
            </w:r>
            <w:r w:rsidRPr="00D54D24">
              <w:rPr>
                <w:rFonts w:ascii="Arial" w:hAnsi="Arial" w:cs="Arial"/>
                <w:spacing w:val="-3"/>
                <w:sz w:val="18"/>
                <w:szCs w:val="18"/>
              </w:rPr>
              <w:t xml:space="preserve"> </w:t>
            </w:r>
            <w:r w:rsidRPr="00D54D24">
              <w:rPr>
                <w:rFonts w:ascii="Arial" w:hAnsi="Arial" w:cs="Arial"/>
                <w:sz w:val="18"/>
                <w:szCs w:val="18"/>
              </w:rPr>
              <w:t>for visual</w:t>
            </w:r>
            <w:r w:rsidRPr="00D54D24">
              <w:rPr>
                <w:rFonts w:ascii="Arial" w:hAnsi="Arial" w:cs="Arial"/>
                <w:spacing w:val="-3"/>
                <w:sz w:val="18"/>
                <w:szCs w:val="18"/>
              </w:rPr>
              <w:t xml:space="preserve"> </w:t>
            </w:r>
            <w:r w:rsidRPr="00D54D24">
              <w:rPr>
                <w:rFonts w:ascii="Arial" w:hAnsi="Arial" w:cs="Arial"/>
                <w:sz w:val="18"/>
                <w:szCs w:val="18"/>
              </w:rPr>
              <w:t>evidence</w:t>
            </w:r>
            <w:r w:rsidRPr="00D54D24">
              <w:rPr>
                <w:rFonts w:ascii="Arial" w:hAnsi="Arial" w:cs="Arial"/>
                <w:spacing w:val="-3"/>
                <w:sz w:val="18"/>
                <w:szCs w:val="18"/>
              </w:rPr>
              <w:t xml:space="preserve"> </w:t>
            </w:r>
            <w:r w:rsidRPr="00D54D24">
              <w:rPr>
                <w:rFonts w:ascii="Arial" w:hAnsi="Arial" w:cs="Arial"/>
                <w:sz w:val="18"/>
                <w:szCs w:val="18"/>
              </w:rPr>
              <w:t>of</w:t>
            </w:r>
            <w:r w:rsidRPr="00D54D24">
              <w:rPr>
                <w:rFonts w:ascii="Arial" w:hAnsi="Arial" w:cs="Arial"/>
                <w:spacing w:val="1"/>
                <w:sz w:val="18"/>
                <w:szCs w:val="18"/>
              </w:rPr>
              <w:t xml:space="preserve"> </w:t>
            </w:r>
            <w:r w:rsidRPr="00D54D24">
              <w:rPr>
                <w:rFonts w:ascii="Arial" w:hAnsi="Arial" w:cs="Arial"/>
                <w:sz w:val="18"/>
                <w:szCs w:val="18"/>
              </w:rPr>
              <w:t>oil,</w:t>
            </w:r>
            <w:r w:rsidRPr="00D54D24">
              <w:rPr>
                <w:rFonts w:ascii="Arial" w:hAnsi="Arial" w:cs="Arial"/>
                <w:spacing w:val="-2"/>
                <w:sz w:val="18"/>
                <w:szCs w:val="18"/>
              </w:rPr>
              <w:t xml:space="preserve"> </w:t>
            </w:r>
            <w:r w:rsidRPr="00D54D24">
              <w:rPr>
                <w:rFonts w:ascii="Arial" w:hAnsi="Arial" w:cs="Arial"/>
                <w:sz w:val="18"/>
                <w:szCs w:val="18"/>
              </w:rPr>
              <w:t>fuel</w:t>
            </w:r>
            <w:r w:rsidRPr="00D54D24">
              <w:rPr>
                <w:rFonts w:ascii="Arial" w:hAnsi="Arial" w:cs="Arial"/>
                <w:spacing w:val="-3"/>
                <w:sz w:val="18"/>
                <w:szCs w:val="18"/>
              </w:rPr>
              <w:t xml:space="preserve"> </w:t>
            </w:r>
            <w:r w:rsidRPr="00D54D24">
              <w:rPr>
                <w:rFonts w:ascii="Arial" w:hAnsi="Arial" w:cs="Arial"/>
                <w:sz w:val="18"/>
                <w:szCs w:val="18"/>
              </w:rPr>
              <w:t>or</w:t>
            </w:r>
            <w:r w:rsidRPr="00D54D24">
              <w:rPr>
                <w:rFonts w:ascii="Arial" w:hAnsi="Arial" w:cs="Arial"/>
                <w:spacing w:val="-2"/>
                <w:sz w:val="18"/>
                <w:szCs w:val="18"/>
              </w:rPr>
              <w:t xml:space="preserve"> </w:t>
            </w:r>
            <w:r w:rsidRPr="00D54D24">
              <w:rPr>
                <w:rFonts w:ascii="Arial" w:hAnsi="Arial" w:cs="Arial"/>
                <w:sz w:val="18"/>
                <w:szCs w:val="18"/>
              </w:rPr>
              <w:t>hydraulic</w:t>
            </w:r>
            <w:r w:rsidRPr="00D54D24">
              <w:rPr>
                <w:rFonts w:ascii="Arial" w:hAnsi="Arial" w:cs="Arial"/>
                <w:spacing w:val="-4"/>
                <w:sz w:val="18"/>
                <w:szCs w:val="18"/>
              </w:rPr>
              <w:t xml:space="preserve"> </w:t>
            </w:r>
            <w:r w:rsidRPr="00D54D24">
              <w:rPr>
                <w:rFonts w:ascii="Arial" w:hAnsi="Arial" w:cs="Arial"/>
                <w:sz w:val="18"/>
                <w:szCs w:val="18"/>
              </w:rPr>
              <w:t>leaks</w:t>
            </w:r>
            <w:r w:rsidRPr="00D54D24">
              <w:rPr>
                <w:rFonts w:ascii="Arial" w:hAnsi="Arial" w:cs="Arial"/>
                <w:spacing w:val="-4"/>
                <w:sz w:val="18"/>
                <w:szCs w:val="18"/>
              </w:rPr>
              <w:t xml:space="preserve"> </w:t>
            </w:r>
            <w:r w:rsidRPr="00D54D24">
              <w:rPr>
                <w:rFonts w:ascii="Arial" w:hAnsi="Arial" w:cs="Arial"/>
                <w:sz w:val="18"/>
                <w:szCs w:val="18"/>
              </w:rPr>
              <w:t>and</w:t>
            </w:r>
            <w:r w:rsidRPr="00D54D24">
              <w:rPr>
                <w:rFonts w:ascii="Arial" w:hAnsi="Arial" w:cs="Arial"/>
                <w:spacing w:val="-2"/>
                <w:sz w:val="18"/>
                <w:szCs w:val="18"/>
              </w:rPr>
              <w:t xml:space="preserve"> </w:t>
            </w:r>
            <w:r w:rsidRPr="00D54D24">
              <w:rPr>
                <w:rFonts w:ascii="Arial" w:hAnsi="Arial" w:cs="Arial"/>
                <w:sz w:val="18"/>
                <w:szCs w:val="18"/>
              </w:rPr>
              <w:t>sources</w:t>
            </w:r>
            <w:r w:rsidRPr="00D54D24">
              <w:rPr>
                <w:rFonts w:ascii="Arial" w:hAnsi="Arial" w:cs="Arial"/>
                <w:spacing w:val="-5"/>
                <w:sz w:val="18"/>
                <w:szCs w:val="18"/>
              </w:rPr>
              <w:t xml:space="preserve"> </w:t>
            </w:r>
            <w:r w:rsidRPr="00D54D24">
              <w:rPr>
                <w:rFonts w:ascii="Arial" w:hAnsi="Arial" w:cs="Arial"/>
                <w:sz w:val="18"/>
                <w:szCs w:val="18"/>
              </w:rPr>
              <w:t>of</w:t>
            </w:r>
            <w:r w:rsidRPr="00D54D24">
              <w:rPr>
                <w:rFonts w:ascii="Arial" w:hAnsi="Arial" w:cs="Arial"/>
                <w:spacing w:val="-4"/>
                <w:sz w:val="18"/>
                <w:szCs w:val="18"/>
              </w:rPr>
              <w:t xml:space="preserve"> </w:t>
            </w:r>
            <w:r w:rsidRPr="00D54D24">
              <w:rPr>
                <w:rFonts w:ascii="Arial" w:hAnsi="Arial" w:cs="Arial"/>
                <w:sz w:val="18"/>
                <w:szCs w:val="18"/>
              </w:rPr>
              <w:t>such</w:t>
            </w:r>
            <w:r w:rsidR="0065014B">
              <w:rPr>
                <w:rFonts w:ascii="Arial" w:hAnsi="Arial" w:cs="Arial"/>
                <w:sz w:val="18"/>
                <w:szCs w:val="18"/>
              </w:rPr>
              <w:t xml:space="preserve"> </w:t>
            </w:r>
            <w:r w:rsidRPr="00D54D24">
              <w:rPr>
                <w:rFonts w:ascii="Arial" w:hAnsi="Arial" w:cs="Arial"/>
                <w:sz w:val="18"/>
                <w:szCs w:val="18"/>
              </w:rPr>
              <w:t>leaks.</w:t>
            </w:r>
          </w:p>
        </w:tc>
      </w:tr>
      <w:tr w:rsidR="00D54D24" w:rsidRPr="00D54D24" w14:paraId="77358215" w14:textId="77777777" w:rsidTr="00C342B1">
        <w:trPr>
          <w:trHeight w:val="202"/>
        </w:trPr>
        <w:tc>
          <w:tcPr>
            <w:tcW w:w="2425" w:type="dxa"/>
          </w:tcPr>
          <w:p w14:paraId="0C87899D" w14:textId="77777777" w:rsidR="00D54D24" w:rsidRPr="00D54D24" w:rsidRDefault="00D54D24" w:rsidP="00D54D24">
            <w:pPr>
              <w:pStyle w:val="TableParagraph"/>
              <w:spacing w:line="225" w:lineRule="exact"/>
              <w:ind w:left="86"/>
              <w:rPr>
                <w:rFonts w:ascii="Arial" w:hAnsi="Arial" w:cs="Arial"/>
                <w:sz w:val="18"/>
                <w:szCs w:val="18"/>
              </w:rPr>
            </w:pPr>
            <w:r w:rsidRPr="00D54D24">
              <w:rPr>
                <w:rFonts w:ascii="Arial" w:hAnsi="Arial" w:cs="Arial"/>
                <w:sz w:val="18"/>
                <w:szCs w:val="18"/>
              </w:rPr>
              <w:t>Studs</w:t>
            </w:r>
            <w:r w:rsidRPr="00D54D24">
              <w:rPr>
                <w:rFonts w:ascii="Arial" w:hAnsi="Arial" w:cs="Arial"/>
                <w:spacing w:val="-4"/>
                <w:sz w:val="18"/>
                <w:szCs w:val="18"/>
              </w:rPr>
              <w:t xml:space="preserve"> </w:t>
            </w:r>
            <w:r w:rsidRPr="00D54D24">
              <w:rPr>
                <w:rFonts w:ascii="Arial" w:hAnsi="Arial" w:cs="Arial"/>
                <w:sz w:val="18"/>
                <w:szCs w:val="18"/>
              </w:rPr>
              <w:t>and</w:t>
            </w:r>
            <w:r w:rsidRPr="00D54D24">
              <w:rPr>
                <w:rFonts w:ascii="Arial" w:hAnsi="Arial" w:cs="Arial"/>
                <w:spacing w:val="-1"/>
                <w:sz w:val="18"/>
                <w:szCs w:val="18"/>
              </w:rPr>
              <w:t xml:space="preserve"> </w:t>
            </w:r>
            <w:r w:rsidRPr="00D54D24">
              <w:rPr>
                <w:rFonts w:ascii="Arial" w:hAnsi="Arial" w:cs="Arial"/>
                <w:sz w:val="18"/>
                <w:szCs w:val="18"/>
              </w:rPr>
              <w:t>nuts</w:t>
            </w:r>
          </w:p>
        </w:tc>
        <w:tc>
          <w:tcPr>
            <w:tcW w:w="6660" w:type="dxa"/>
          </w:tcPr>
          <w:p w14:paraId="46B70B33" w14:textId="77777777" w:rsidR="00D54D24" w:rsidRPr="00D54D24" w:rsidRDefault="00D54D24" w:rsidP="00D54D24">
            <w:pPr>
              <w:pStyle w:val="TableParagraph"/>
              <w:spacing w:line="225" w:lineRule="exact"/>
              <w:rPr>
                <w:rFonts w:ascii="Arial" w:hAnsi="Arial" w:cs="Arial"/>
                <w:sz w:val="18"/>
                <w:szCs w:val="18"/>
              </w:rPr>
            </w:pPr>
            <w:r w:rsidRPr="00D54D24">
              <w:rPr>
                <w:rFonts w:ascii="Arial" w:hAnsi="Arial" w:cs="Arial"/>
                <w:sz w:val="18"/>
                <w:szCs w:val="18"/>
              </w:rPr>
              <w:t>Inspect</w:t>
            </w:r>
            <w:r w:rsidRPr="00D54D24">
              <w:rPr>
                <w:rFonts w:ascii="Arial" w:hAnsi="Arial" w:cs="Arial"/>
                <w:spacing w:val="-3"/>
                <w:sz w:val="18"/>
                <w:szCs w:val="18"/>
              </w:rPr>
              <w:t xml:space="preserve"> </w:t>
            </w:r>
            <w:r w:rsidRPr="00D54D24">
              <w:rPr>
                <w:rFonts w:ascii="Arial" w:hAnsi="Arial" w:cs="Arial"/>
                <w:sz w:val="18"/>
                <w:szCs w:val="18"/>
              </w:rPr>
              <w:t>for</w:t>
            </w:r>
            <w:r w:rsidRPr="00D54D24">
              <w:rPr>
                <w:rFonts w:ascii="Arial" w:hAnsi="Arial" w:cs="Arial"/>
                <w:spacing w:val="-3"/>
                <w:sz w:val="18"/>
                <w:szCs w:val="18"/>
              </w:rPr>
              <w:t xml:space="preserve"> </w:t>
            </w:r>
            <w:r w:rsidRPr="00D54D24">
              <w:rPr>
                <w:rFonts w:ascii="Arial" w:hAnsi="Arial" w:cs="Arial"/>
                <w:sz w:val="18"/>
                <w:szCs w:val="18"/>
              </w:rPr>
              <w:t>looseness, signs</w:t>
            </w:r>
            <w:r w:rsidRPr="00D54D24">
              <w:rPr>
                <w:rFonts w:ascii="Arial" w:hAnsi="Arial" w:cs="Arial"/>
                <w:spacing w:val="-3"/>
                <w:sz w:val="18"/>
                <w:szCs w:val="18"/>
              </w:rPr>
              <w:t xml:space="preserve"> </w:t>
            </w:r>
            <w:r w:rsidRPr="00D54D24">
              <w:rPr>
                <w:rFonts w:ascii="Arial" w:hAnsi="Arial" w:cs="Arial"/>
                <w:sz w:val="18"/>
                <w:szCs w:val="18"/>
              </w:rPr>
              <w:t>of</w:t>
            </w:r>
            <w:r w:rsidRPr="00D54D24">
              <w:rPr>
                <w:rFonts w:ascii="Arial" w:hAnsi="Arial" w:cs="Arial"/>
                <w:spacing w:val="-2"/>
                <w:sz w:val="18"/>
                <w:szCs w:val="18"/>
              </w:rPr>
              <w:t xml:space="preserve"> </w:t>
            </w:r>
            <w:r w:rsidRPr="00D54D24">
              <w:rPr>
                <w:rFonts w:ascii="Arial" w:hAnsi="Arial" w:cs="Arial"/>
                <w:sz w:val="18"/>
                <w:szCs w:val="18"/>
              </w:rPr>
              <w:t>rotation</w:t>
            </w:r>
            <w:r w:rsidRPr="00D54D24">
              <w:rPr>
                <w:rFonts w:ascii="Arial" w:hAnsi="Arial" w:cs="Arial"/>
                <w:spacing w:val="-3"/>
                <w:sz w:val="18"/>
                <w:szCs w:val="18"/>
              </w:rPr>
              <w:t xml:space="preserve"> </w:t>
            </w:r>
            <w:r w:rsidRPr="00D54D24">
              <w:rPr>
                <w:rFonts w:ascii="Arial" w:hAnsi="Arial" w:cs="Arial"/>
                <w:sz w:val="18"/>
                <w:szCs w:val="18"/>
              </w:rPr>
              <w:t>and</w:t>
            </w:r>
            <w:r w:rsidRPr="00D54D24">
              <w:rPr>
                <w:rFonts w:ascii="Arial" w:hAnsi="Arial" w:cs="Arial"/>
                <w:spacing w:val="-3"/>
                <w:sz w:val="18"/>
                <w:szCs w:val="18"/>
              </w:rPr>
              <w:t xml:space="preserve"> </w:t>
            </w:r>
            <w:r w:rsidRPr="00D54D24">
              <w:rPr>
                <w:rFonts w:ascii="Arial" w:hAnsi="Arial" w:cs="Arial"/>
                <w:sz w:val="18"/>
                <w:szCs w:val="18"/>
              </w:rPr>
              <w:t>obvious</w:t>
            </w:r>
            <w:r w:rsidRPr="00D54D24">
              <w:rPr>
                <w:rFonts w:ascii="Arial" w:hAnsi="Arial" w:cs="Arial"/>
                <w:spacing w:val="-4"/>
                <w:sz w:val="18"/>
                <w:szCs w:val="18"/>
              </w:rPr>
              <w:t xml:space="preserve"> </w:t>
            </w:r>
            <w:r w:rsidRPr="00D54D24">
              <w:rPr>
                <w:rFonts w:ascii="Arial" w:hAnsi="Arial" w:cs="Arial"/>
                <w:sz w:val="18"/>
                <w:szCs w:val="18"/>
              </w:rPr>
              <w:t>defects.</w:t>
            </w:r>
          </w:p>
        </w:tc>
      </w:tr>
      <w:tr w:rsidR="00D54D24" w:rsidRPr="00D54D24" w14:paraId="330BE494" w14:textId="77777777" w:rsidTr="00C342B1">
        <w:trPr>
          <w:trHeight w:val="689"/>
        </w:trPr>
        <w:tc>
          <w:tcPr>
            <w:tcW w:w="2425" w:type="dxa"/>
          </w:tcPr>
          <w:p w14:paraId="5ACC68AC" w14:textId="77777777" w:rsidR="00D54D24" w:rsidRPr="00D54D24" w:rsidRDefault="00D54D24" w:rsidP="00D54D24">
            <w:pPr>
              <w:pStyle w:val="TableParagraph"/>
              <w:spacing w:line="242" w:lineRule="exact"/>
              <w:ind w:left="86"/>
              <w:rPr>
                <w:rFonts w:ascii="Arial" w:hAnsi="Arial" w:cs="Arial"/>
                <w:sz w:val="18"/>
                <w:szCs w:val="18"/>
              </w:rPr>
            </w:pPr>
            <w:r w:rsidRPr="00D54D24">
              <w:rPr>
                <w:rFonts w:ascii="Arial" w:hAnsi="Arial" w:cs="Arial"/>
                <w:sz w:val="18"/>
                <w:szCs w:val="18"/>
              </w:rPr>
              <w:t>Internal</w:t>
            </w:r>
            <w:r w:rsidRPr="00D54D24">
              <w:rPr>
                <w:rFonts w:ascii="Arial" w:hAnsi="Arial" w:cs="Arial"/>
                <w:spacing w:val="-2"/>
                <w:sz w:val="18"/>
                <w:szCs w:val="18"/>
              </w:rPr>
              <w:t xml:space="preserve"> </w:t>
            </w:r>
            <w:r w:rsidRPr="00D54D24">
              <w:rPr>
                <w:rFonts w:ascii="Arial" w:hAnsi="Arial" w:cs="Arial"/>
                <w:sz w:val="18"/>
                <w:szCs w:val="18"/>
              </w:rPr>
              <w:t>engine</w:t>
            </w:r>
          </w:p>
        </w:tc>
        <w:tc>
          <w:tcPr>
            <w:tcW w:w="6660" w:type="dxa"/>
          </w:tcPr>
          <w:p w14:paraId="006EBB16" w14:textId="5B4A7B76" w:rsidR="00D54D24" w:rsidRPr="00D54D24" w:rsidRDefault="00D54D24" w:rsidP="0065014B">
            <w:pPr>
              <w:pStyle w:val="TableParagraph"/>
              <w:spacing w:line="242" w:lineRule="exact"/>
              <w:rPr>
                <w:rFonts w:ascii="Arial" w:hAnsi="Arial" w:cs="Arial"/>
                <w:sz w:val="18"/>
                <w:szCs w:val="18"/>
              </w:rPr>
            </w:pPr>
            <w:r w:rsidRPr="00D54D24">
              <w:rPr>
                <w:rFonts w:ascii="Arial" w:hAnsi="Arial" w:cs="Arial"/>
                <w:sz w:val="18"/>
                <w:szCs w:val="18"/>
              </w:rPr>
              <w:t>Inspect</w:t>
            </w:r>
            <w:r w:rsidRPr="00D54D24">
              <w:rPr>
                <w:rFonts w:ascii="Arial" w:hAnsi="Arial" w:cs="Arial"/>
                <w:spacing w:val="-3"/>
                <w:sz w:val="18"/>
                <w:szCs w:val="18"/>
              </w:rPr>
              <w:t xml:space="preserve"> </w:t>
            </w:r>
            <w:r w:rsidRPr="00D54D24">
              <w:rPr>
                <w:rFonts w:ascii="Arial" w:hAnsi="Arial" w:cs="Arial"/>
                <w:sz w:val="18"/>
                <w:szCs w:val="18"/>
              </w:rPr>
              <w:t>for</w:t>
            </w:r>
            <w:r w:rsidRPr="00D54D24">
              <w:rPr>
                <w:rFonts w:ascii="Arial" w:hAnsi="Arial" w:cs="Arial"/>
                <w:spacing w:val="-3"/>
                <w:sz w:val="18"/>
                <w:szCs w:val="18"/>
              </w:rPr>
              <w:t xml:space="preserve"> </w:t>
            </w:r>
            <w:r w:rsidRPr="00D54D24">
              <w:rPr>
                <w:rFonts w:ascii="Arial" w:hAnsi="Arial" w:cs="Arial"/>
                <w:sz w:val="18"/>
                <w:szCs w:val="18"/>
              </w:rPr>
              <w:t>proper</w:t>
            </w:r>
            <w:r w:rsidRPr="00D54D24">
              <w:rPr>
                <w:rFonts w:ascii="Arial" w:hAnsi="Arial" w:cs="Arial"/>
                <w:spacing w:val="-2"/>
                <w:sz w:val="18"/>
                <w:szCs w:val="18"/>
              </w:rPr>
              <w:t xml:space="preserve"> </w:t>
            </w:r>
            <w:r w:rsidRPr="00D54D24">
              <w:rPr>
                <w:rFonts w:ascii="Arial" w:hAnsi="Arial" w:cs="Arial"/>
                <w:sz w:val="18"/>
                <w:szCs w:val="18"/>
              </w:rPr>
              <w:t>cylinder</w:t>
            </w:r>
            <w:r w:rsidRPr="00D54D24">
              <w:rPr>
                <w:rFonts w:ascii="Arial" w:hAnsi="Arial" w:cs="Arial"/>
                <w:spacing w:val="-3"/>
                <w:sz w:val="18"/>
                <w:szCs w:val="18"/>
              </w:rPr>
              <w:t xml:space="preserve"> </w:t>
            </w:r>
            <w:r w:rsidRPr="00D54D24">
              <w:rPr>
                <w:rFonts w:ascii="Arial" w:hAnsi="Arial" w:cs="Arial"/>
                <w:sz w:val="18"/>
                <w:szCs w:val="18"/>
              </w:rPr>
              <w:t>compression</w:t>
            </w:r>
            <w:r w:rsidRPr="00D54D24">
              <w:rPr>
                <w:rFonts w:ascii="Arial" w:hAnsi="Arial" w:cs="Arial"/>
                <w:spacing w:val="-1"/>
                <w:sz w:val="18"/>
                <w:szCs w:val="18"/>
              </w:rPr>
              <w:t xml:space="preserve"> </w:t>
            </w:r>
            <w:r w:rsidRPr="00D54D24">
              <w:rPr>
                <w:rFonts w:ascii="Arial" w:hAnsi="Arial" w:cs="Arial"/>
                <w:sz w:val="18"/>
                <w:szCs w:val="18"/>
              </w:rPr>
              <w:t>(record</w:t>
            </w:r>
            <w:r w:rsidRPr="00D54D24">
              <w:rPr>
                <w:rFonts w:ascii="Arial" w:hAnsi="Arial" w:cs="Arial"/>
                <w:spacing w:val="-2"/>
                <w:sz w:val="18"/>
                <w:szCs w:val="18"/>
              </w:rPr>
              <w:t xml:space="preserve"> </w:t>
            </w:r>
            <w:r w:rsidRPr="00D54D24">
              <w:rPr>
                <w:rFonts w:ascii="Arial" w:hAnsi="Arial" w:cs="Arial"/>
                <w:sz w:val="18"/>
                <w:szCs w:val="18"/>
              </w:rPr>
              <w:t>measures</w:t>
            </w:r>
            <w:r w:rsidRPr="00D54D24">
              <w:rPr>
                <w:rFonts w:ascii="Arial" w:hAnsi="Arial" w:cs="Arial"/>
                <w:spacing w:val="-5"/>
                <w:sz w:val="18"/>
                <w:szCs w:val="18"/>
              </w:rPr>
              <w:t xml:space="preserve"> </w:t>
            </w:r>
            <w:r w:rsidRPr="00D54D24">
              <w:rPr>
                <w:rFonts w:ascii="Arial" w:hAnsi="Arial" w:cs="Arial"/>
                <w:sz w:val="18"/>
                <w:szCs w:val="18"/>
              </w:rPr>
              <w:t>for</w:t>
            </w:r>
            <w:r w:rsidRPr="00D54D24">
              <w:rPr>
                <w:rFonts w:ascii="Arial" w:hAnsi="Arial" w:cs="Arial"/>
                <w:spacing w:val="-2"/>
                <w:sz w:val="18"/>
                <w:szCs w:val="18"/>
              </w:rPr>
              <w:t xml:space="preserve"> </w:t>
            </w:r>
            <w:r w:rsidRPr="00D54D24">
              <w:rPr>
                <w:rFonts w:ascii="Arial" w:hAnsi="Arial" w:cs="Arial"/>
                <w:sz w:val="18"/>
                <w:szCs w:val="18"/>
              </w:rPr>
              <w:t>each</w:t>
            </w:r>
            <w:r w:rsidRPr="00D54D24">
              <w:rPr>
                <w:rFonts w:ascii="Arial" w:hAnsi="Arial" w:cs="Arial"/>
                <w:spacing w:val="-2"/>
                <w:sz w:val="18"/>
                <w:szCs w:val="18"/>
              </w:rPr>
              <w:t xml:space="preserve"> </w:t>
            </w:r>
            <w:r w:rsidRPr="00D54D24">
              <w:rPr>
                <w:rFonts w:ascii="Arial" w:hAnsi="Arial" w:cs="Arial"/>
                <w:sz w:val="18"/>
                <w:szCs w:val="18"/>
              </w:rPr>
              <w:t>cylinder)</w:t>
            </w:r>
            <w:r w:rsidR="0065014B">
              <w:rPr>
                <w:rFonts w:ascii="Arial" w:hAnsi="Arial" w:cs="Arial"/>
                <w:sz w:val="18"/>
                <w:szCs w:val="18"/>
              </w:rPr>
              <w:t xml:space="preserve"> </w:t>
            </w:r>
            <w:r w:rsidRPr="00D54D24">
              <w:rPr>
                <w:rFonts w:ascii="Arial" w:hAnsi="Arial" w:cs="Arial"/>
                <w:sz w:val="18"/>
                <w:szCs w:val="18"/>
              </w:rPr>
              <w:t>and for metal particles or foreign matter in oil filter, screens and sump drain</w:t>
            </w:r>
            <w:r w:rsidR="0065014B">
              <w:rPr>
                <w:rFonts w:ascii="Arial" w:hAnsi="Arial" w:cs="Arial"/>
                <w:spacing w:val="-43"/>
                <w:sz w:val="18"/>
                <w:szCs w:val="18"/>
              </w:rPr>
              <w:t xml:space="preserve"> </w:t>
            </w:r>
            <w:r w:rsidRPr="00D54D24">
              <w:rPr>
                <w:rFonts w:ascii="Arial" w:hAnsi="Arial" w:cs="Arial"/>
                <w:sz w:val="18"/>
                <w:szCs w:val="18"/>
              </w:rPr>
              <w:t>plugs.</w:t>
            </w:r>
          </w:p>
        </w:tc>
      </w:tr>
      <w:tr w:rsidR="00D54D24" w:rsidRPr="00D54D24" w14:paraId="194F281D" w14:textId="77777777" w:rsidTr="00C342B1">
        <w:trPr>
          <w:trHeight w:val="444"/>
        </w:trPr>
        <w:tc>
          <w:tcPr>
            <w:tcW w:w="2425" w:type="dxa"/>
          </w:tcPr>
          <w:p w14:paraId="6A4CD456" w14:textId="77777777" w:rsidR="00D54D24" w:rsidRPr="00D54D24" w:rsidRDefault="00D54D24" w:rsidP="00D54D24">
            <w:pPr>
              <w:pStyle w:val="TableParagraph"/>
              <w:spacing w:line="242" w:lineRule="exact"/>
              <w:ind w:left="86"/>
              <w:rPr>
                <w:rFonts w:ascii="Arial" w:hAnsi="Arial" w:cs="Arial"/>
                <w:sz w:val="18"/>
                <w:szCs w:val="18"/>
              </w:rPr>
            </w:pPr>
            <w:r w:rsidRPr="00D54D24">
              <w:rPr>
                <w:rFonts w:ascii="Arial" w:hAnsi="Arial" w:cs="Arial"/>
                <w:sz w:val="18"/>
                <w:szCs w:val="18"/>
              </w:rPr>
              <w:lastRenderedPageBreak/>
              <w:t>Engine</w:t>
            </w:r>
            <w:r w:rsidRPr="00D54D24">
              <w:rPr>
                <w:rFonts w:ascii="Arial" w:hAnsi="Arial" w:cs="Arial"/>
                <w:spacing w:val="-3"/>
                <w:sz w:val="18"/>
                <w:szCs w:val="18"/>
              </w:rPr>
              <w:t xml:space="preserve"> </w:t>
            </w:r>
            <w:r w:rsidRPr="00D54D24">
              <w:rPr>
                <w:rFonts w:ascii="Arial" w:hAnsi="Arial" w:cs="Arial"/>
                <w:sz w:val="18"/>
                <w:szCs w:val="18"/>
              </w:rPr>
              <w:t>mounts</w:t>
            </w:r>
          </w:p>
        </w:tc>
        <w:tc>
          <w:tcPr>
            <w:tcW w:w="6660" w:type="dxa"/>
          </w:tcPr>
          <w:p w14:paraId="207AD307" w14:textId="77777777" w:rsidR="00D54D24" w:rsidRPr="00D54D24" w:rsidRDefault="00D54D24" w:rsidP="00D54D24">
            <w:pPr>
              <w:pStyle w:val="TableParagraph"/>
              <w:spacing w:line="242" w:lineRule="exact"/>
              <w:rPr>
                <w:rFonts w:ascii="Arial" w:hAnsi="Arial" w:cs="Arial"/>
                <w:sz w:val="18"/>
                <w:szCs w:val="18"/>
              </w:rPr>
            </w:pPr>
            <w:r w:rsidRPr="00D54D24">
              <w:rPr>
                <w:rFonts w:ascii="Arial" w:hAnsi="Arial" w:cs="Arial"/>
                <w:sz w:val="18"/>
                <w:szCs w:val="18"/>
              </w:rPr>
              <w:t>Inspect</w:t>
            </w:r>
            <w:r w:rsidRPr="00D54D24">
              <w:rPr>
                <w:rFonts w:ascii="Arial" w:hAnsi="Arial" w:cs="Arial"/>
                <w:spacing w:val="-2"/>
                <w:sz w:val="18"/>
                <w:szCs w:val="18"/>
              </w:rPr>
              <w:t xml:space="preserve"> </w:t>
            </w:r>
            <w:r w:rsidRPr="00D54D24">
              <w:rPr>
                <w:rFonts w:ascii="Arial" w:hAnsi="Arial" w:cs="Arial"/>
                <w:sz w:val="18"/>
                <w:szCs w:val="18"/>
              </w:rPr>
              <w:t>for</w:t>
            </w:r>
            <w:r w:rsidRPr="00D54D24">
              <w:rPr>
                <w:rFonts w:ascii="Arial" w:hAnsi="Arial" w:cs="Arial"/>
                <w:spacing w:val="-2"/>
                <w:sz w:val="18"/>
                <w:szCs w:val="18"/>
              </w:rPr>
              <w:t xml:space="preserve"> </w:t>
            </w:r>
            <w:r w:rsidRPr="00D54D24">
              <w:rPr>
                <w:rFonts w:ascii="Arial" w:hAnsi="Arial" w:cs="Arial"/>
                <w:sz w:val="18"/>
                <w:szCs w:val="18"/>
              </w:rPr>
              <w:t>cracks,</w:t>
            </w:r>
            <w:r w:rsidRPr="00D54D24">
              <w:rPr>
                <w:rFonts w:ascii="Arial" w:hAnsi="Arial" w:cs="Arial"/>
                <w:spacing w:val="-2"/>
                <w:sz w:val="18"/>
                <w:szCs w:val="18"/>
              </w:rPr>
              <w:t xml:space="preserve"> </w:t>
            </w:r>
            <w:r w:rsidRPr="00D54D24">
              <w:rPr>
                <w:rFonts w:ascii="Arial" w:hAnsi="Arial" w:cs="Arial"/>
                <w:sz w:val="18"/>
                <w:szCs w:val="18"/>
              </w:rPr>
              <w:t>looseness</w:t>
            </w:r>
            <w:r w:rsidRPr="00D54D24">
              <w:rPr>
                <w:rFonts w:ascii="Arial" w:hAnsi="Arial" w:cs="Arial"/>
                <w:spacing w:val="-1"/>
                <w:sz w:val="18"/>
                <w:szCs w:val="18"/>
              </w:rPr>
              <w:t xml:space="preserve"> </w:t>
            </w:r>
            <w:r w:rsidRPr="00D54D24">
              <w:rPr>
                <w:rFonts w:ascii="Arial" w:hAnsi="Arial" w:cs="Arial"/>
                <w:sz w:val="18"/>
                <w:szCs w:val="18"/>
              </w:rPr>
              <w:t>of</w:t>
            </w:r>
            <w:r w:rsidRPr="00D54D24">
              <w:rPr>
                <w:rFonts w:ascii="Arial" w:hAnsi="Arial" w:cs="Arial"/>
                <w:spacing w:val="-4"/>
                <w:sz w:val="18"/>
                <w:szCs w:val="18"/>
              </w:rPr>
              <w:t xml:space="preserve"> </w:t>
            </w:r>
            <w:r w:rsidRPr="00D54D24">
              <w:rPr>
                <w:rFonts w:ascii="Arial" w:hAnsi="Arial" w:cs="Arial"/>
                <w:sz w:val="18"/>
                <w:szCs w:val="18"/>
              </w:rPr>
              <w:t>mounting,</w:t>
            </w:r>
            <w:r w:rsidRPr="00D54D24">
              <w:rPr>
                <w:rFonts w:ascii="Arial" w:hAnsi="Arial" w:cs="Arial"/>
                <w:spacing w:val="-2"/>
                <w:sz w:val="18"/>
                <w:szCs w:val="18"/>
              </w:rPr>
              <w:t xml:space="preserve"> </w:t>
            </w:r>
            <w:r w:rsidRPr="00D54D24">
              <w:rPr>
                <w:rFonts w:ascii="Arial" w:hAnsi="Arial" w:cs="Arial"/>
                <w:sz w:val="18"/>
                <w:szCs w:val="18"/>
              </w:rPr>
              <w:t>and</w:t>
            </w:r>
            <w:r w:rsidRPr="00D54D24">
              <w:rPr>
                <w:rFonts w:ascii="Arial" w:hAnsi="Arial" w:cs="Arial"/>
                <w:spacing w:val="-1"/>
                <w:sz w:val="18"/>
                <w:szCs w:val="18"/>
              </w:rPr>
              <w:t xml:space="preserve"> </w:t>
            </w:r>
            <w:r w:rsidRPr="00D54D24">
              <w:rPr>
                <w:rFonts w:ascii="Arial" w:hAnsi="Arial" w:cs="Arial"/>
                <w:sz w:val="18"/>
                <w:szCs w:val="18"/>
              </w:rPr>
              <w:t>looseness</w:t>
            </w:r>
            <w:r w:rsidRPr="00D54D24">
              <w:rPr>
                <w:rFonts w:ascii="Arial" w:hAnsi="Arial" w:cs="Arial"/>
                <w:spacing w:val="-4"/>
                <w:sz w:val="18"/>
                <w:szCs w:val="18"/>
              </w:rPr>
              <w:t xml:space="preserve"> </w:t>
            </w:r>
            <w:r w:rsidRPr="00D54D24">
              <w:rPr>
                <w:rFonts w:ascii="Arial" w:hAnsi="Arial" w:cs="Arial"/>
                <w:sz w:val="18"/>
                <w:szCs w:val="18"/>
              </w:rPr>
              <w:t>of</w:t>
            </w:r>
            <w:r w:rsidRPr="00D54D24">
              <w:rPr>
                <w:rFonts w:ascii="Arial" w:hAnsi="Arial" w:cs="Arial"/>
                <w:spacing w:val="-1"/>
                <w:sz w:val="18"/>
                <w:szCs w:val="18"/>
              </w:rPr>
              <w:t xml:space="preserve"> </w:t>
            </w:r>
            <w:r w:rsidRPr="00D54D24">
              <w:rPr>
                <w:rFonts w:ascii="Arial" w:hAnsi="Arial" w:cs="Arial"/>
                <w:sz w:val="18"/>
                <w:szCs w:val="18"/>
              </w:rPr>
              <w:t>the</w:t>
            </w:r>
            <w:r w:rsidRPr="00D54D24">
              <w:rPr>
                <w:rFonts w:ascii="Arial" w:hAnsi="Arial" w:cs="Arial"/>
                <w:spacing w:val="-3"/>
                <w:sz w:val="18"/>
                <w:szCs w:val="18"/>
              </w:rPr>
              <w:t xml:space="preserve"> </w:t>
            </w:r>
            <w:r w:rsidRPr="00D54D24">
              <w:rPr>
                <w:rFonts w:ascii="Arial" w:hAnsi="Arial" w:cs="Arial"/>
                <w:sz w:val="18"/>
                <w:szCs w:val="18"/>
              </w:rPr>
              <w:t>engine</w:t>
            </w:r>
            <w:r w:rsidRPr="00D54D24">
              <w:rPr>
                <w:rFonts w:ascii="Arial" w:hAnsi="Arial" w:cs="Arial"/>
                <w:spacing w:val="-3"/>
                <w:sz w:val="18"/>
                <w:szCs w:val="18"/>
              </w:rPr>
              <w:t xml:space="preserve"> </w:t>
            </w:r>
            <w:r w:rsidRPr="00D54D24">
              <w:rPr>
                <w:rFonts w:ascii="Arial" w:hAnsi="Arial" w:cs="Arial"/>
                <w:sz w:val="18"/>
                <w:szCs w:val="18"/>
              </w:rPr>
              <w:t>to</w:t>
            </w:r>
            <w:r w:rsidRPr="00D54D24">
              <w:rPr>
                <w:rFonts w:ascii="Arial" w:hAnsi="Arial" w:cs="Arial"/>
                <w:spacing w:val="-2"/>
                <w:sz w:val="18"/>
                <w:szCs w:val="18"/>
              </w:rPr>
              <w:t xml:space="preserve"> </w:t>
            </w:r>
            <w:r w:rsidRPr="00D54D24">
              <w:rPr>
                <w:rFonts w:ascii="Arial" w:hAnsi="Arial" w:cs="Arial"/>
                <w:sz w:val="18"/>
                <w:szCs w:val="18"/>
              </w:rPr>
              <w:t>the</w:t>
            </w:r>
          </w:p>
          <w:p w14:paraId="22FE855E" w14:textId="77777777" w:rsidR="00D54D24" w:rsidRPr="00D54D24" w:rsidRDefault="00D54D24" w:rsidP="00D54D24">
            <w:pPr>
              <w:pStyle w:val="TableParagraph"/>
              <w:spacing w:line="225" w:lineRule="exact"/>
              <w:rPr>
                <w:rFonts w:ascii="Arial" w:hAnsi="Arial" w:cs="Arial"/>
                <w:sz w:val="18"/>
                <w:szCs w:val="18"/>
              </w:rPr>
            </w:pPr>
            <w:r w:rsidRPr="00D54D24">
              <w:rPr>
                <w:rFonts w:ascii="Arial" w:hAnsi="Arial" w:cs="Arial"/>
                <w:sz w:val="18"/>
                <w:szCs w:val="18"/>
              </w:rPr>
              <w:t>engine-mount</w:t>
            </w:r>
            <w:r w:rsidRPr="00D54D24">
              <w:rPr>
                <w:rFonts w:ascii="Arial" w:hAnsi="Arial" w:cs="Arial"/>
                <w:spacing w:val="-5"/>
                <w:sz w:val="18"/>
                <w:szCs w:val="18"/>
              </w:rPr>
              <w:t xml:space="preserve"> </w:t>
            </w:r>
            <w:r w:rsidRPr="00D54D24">
              <w:rPr>
                <w:rFonts w:ascii="Arial" w:hAnsi="Arial" w:cs="Arial"/>
                <w:sz w:val="18"/>
                <w:szCs w:val="18"/>
              </w:rPr>
              <w:t>attachment.</w:t>
            </w:r>
          </w:p>
        </w:tc>
      </w:tr>
      <w:tr w:rsidR="00D54D24" w:rsidRPr="00D54D24" w14:paraId="6AB6D9BD" w14:textId="77777777" w:rsidTr="00C342B1">
        <w:trPr>
          <w:trHeight w:val="444"/>
        </w:trPr>
        <w:tc>
          <w:tcPr>
            <w:tcW w:w="2425" w:type="dxa"/>
          </w:tcPr>
          <w:p w14:paraId="0CC2A686" w14:textId="77777777" w:rsidR="00D54D24" w:rsidRPr="00D54D24" w:rsidRDefault="00D54D24" w:rsidP="00D54D24">
            <w:pPr>
              <w:pStyle w:val="TableParagraph"/>
              <w:spacing w:line="242" w:lineRule="exact"/>
              <w:ind w:left="86"/>
              <w:rPr>
                <w:rFonts w:ascii="Arial" w:hAnsi="Arial" w:cs="Arial"/>
                <w:sz w:val="18"/>
                <w:szCs w:val="18"/>
              </w:rPr>
            </w:pPr>
            <w:r w:rsidRPr="00D54D24">
              <w:rPr>
                <w:rFonts w:ascii="Arial" w:hAnsi="Arial" w:cs="Arial"/>
                <w:sz w:val="18"/>
                <w:szCs w:val="18"/>
              </w:rPr>
              <w:t>Flexible</w:t>
            </w:r>
            <w:r w:rsidRPr="00D54D24">
              <w:rPr>
                <w:rFonts w:ascii="Arial" w:hAnsi="Arial" w:cs="Arial"/>
                <w:spacing w:val="-5"/>
                <w:sz w:val="18"/>
                <w:szCs w:val="18"/>
              </w:rPr>
              <w:t xml:space="preserve"> </w:t>
            </w:r>
            <w:r w:rsidRPr="00D54D24">
              <w:rPr>
                <w:rFonts w:ascii="Arial" w:hAnsi="Arial" w:cs="Arial"/>
                <w:sz w:val="18"/>
                <w:szCs w:val="18"/>
              </w:rPr>
              <w:t>vibration</w:t>
            </w:r>
          </w:p>
          <w:p w14:paraId="227B08D2" w14:textId="77777777" w:rsidR="00D54D24" w:rsidRPr="00D54D24" w:rsidRDefault="00D54D24" w:rsidP="00D54D24">
            <w:pPr>
              <w:pStyle w:val="TableParagraph"/>
              <w:spacing w:line="225" w:lineRule="exact"/>
              <w:ind w:left="86"/>
              <w:rPr>
                <w:rFonts w:ascii="Arial" w:hAnsi="Arial" w:cs="Arial"/>
                <w:sz w:val="18"/>
                <w:szCs w:val="18"/>
              </w:rPr>
            </w:pPr>
            <w:r w:rsidRPr="00D54D24">
              <w:rPr>
                <w:rFonts w:ascii="Arial" w:hAnsi="Arial" w:cs="Arial"/>
                <w:sz w:val="18"/>
                <w:szCs w:val="18"/>
              </w:rPr>
              <w:t>dampeners</w:t>
            </w:r>
          </w:p>
        </w:tc>
        <w:tc>
          <w:tcPr>
            <w:tcW w:w="6660" w:type="dxa"/>
          </w:tcPr>
          <w:p w14:paraId="650E2539" w14:textId="77777777" w:rsidR="00D54D24" w:rsidRPr="00D54D24" w:rsidRDefault="00D54D24" w:rsidP="00D54D24">
            <w:pPr>
              <w:pStyle w:val="TableParagraph"/>
              <w:spacing w:line="242" w:lineRule="exact"/>
              <w:rPr>
                <w:rFonts w:ascii="Arial" w:hAnsi="Arial" w:cs="Arial"/>
                <w:sz w:val="18"/>
                <w:szCs w:val="18"/>
              </w:rPr>
            </w:pPr>
            <w:r w:rsidRPr="00D54D24">
              <w:rPr>
                <w:rFonts w:ascii="Arial" w:hAnsi="Arial" w:cs="Arial"/>
                <w:sz w:val="18"/>
                <w:szCs w:val="18"/>
              </w:rPr>
              <w:t>Inspect</w:t>
            </w:r>
            <w:r w:rsidRPr="00D54D24">
              <w:rPr>
                <w:rFonts w:ascii="Arial" w:hAnsi="Arial" w:cs="Arial"/>
                <w:spacing w:val="-3"/>
                <w:sz w:val="18"/>
                <w:szCs w:val="18"/>
              </w:rPr>
              <w:t xml:space="preserve"> </w:t>
            </w:r>
            <w:r w:rsidRPr="00D54D24">
              <w:rPr>
                <w:rFonts w:ascii="Arial" w:hAnsi="Arial" w:cs="Arial"/>
                <w:sz w:val="18"/>
                <w:szCs w:val="18"/>
              </w:rPr>
              <w:t>for</w:t>
            </w:r>
            <w:r w:rsidRPr="00D54D24">
              <w:rPr>
                <w:rFonts w:ascii="Arial" w:hAnsi="Arial" w:cs="Arial"/>
                <w:spacing w:val="-2"/>
                <w:sz w:val="18"/>
                <w:szCs w:val="18"/>
              </w:rPr>
              <w:t xml:space="preserve"> </w:t>
            </w:r>
            <w:r w:rsidRPr="00D54D24">
              <w:rPr>
                <w:rFonts w:ascii="Arial" w:hAnsi="Arial" w:cs="Arial"/>
                <w:sz w:val="18"/>
                <w:szCs w:val="18"/>
              </w:rPr>
              <w:t>poor</w:t>
            </w:r>
            <w:r w:rsidRPr="00D54D24">
              <w:rPr>
                <w:rFonts w:ascii="Arial" w:hAnsi="Arial" w:cs="Arial"/>
                <w:spacing w:val="-2"/>
                <w:sz w:val="18"/>
                <w:szCs w:val="18"/>
              </w:rPr>
              <w:t xml:space="preserve"> </w:t>
            </w:r>
            <w:r w:rsidRPr="00D54D24">
              <w:rPr>
                <w:rFonts w:ascii="Arial" w:hAnsi="Arial" w:cs="Arial"/>
                <w:sz w:val="18"/>
                <w:szCs w:val="18"/>
              </w:rPr>
              <w:t>condition</w:t>
            </w:r>
            <w:r w:rsidRPr="00D54D24">
              <w:rPr>
                <w:rFonts w:ascii="Arial" w:hAnsi="Arial" w:cs="Arial"/>
                <w:spacing w:val="-3"/>
                <w:sz w:val="18"/>
                <w:szCs w:val="18"/>
              </w:rPr>
              <w:t xml:space="preserve"> </w:t>
            </w:r>
            <w:r w:rsidRPr="00D54D24">
              <w:rPr>
                <w:rFonts w:ascii="Arial" w:hAnsi="Arial" w:cs="Arial"/>
                <w:sz w:val="18"/>
                <w:szCs w:val="18"/>
              </w:rPr>
              <w:t>and</w:t>
            </w:r>
            <w:r w:rsidRPr="00D54D24">
              <w:rPr>
                <w:rFonts w:ascii="Arial" w:hAnsi="Arial" w:cs="Arial"/>
                <w:spacing w:val="-2"/>
                <w:sz w:val="18"/>
                <w:szCs w:val="18"/>
              </w:rPr>
              <w:t xml:space="preserve"> </w:t>
            </w:r>
            <w:r w:rsidRPr="00D54D24">
              <w:rPr>
                <w:rFonts w:ascii="Arial" w:hAnsi="Arial" w:cs="Arial"/>
                <w:sz w:val="18"/>
                <w:szCs w:val="18"/>
              </w:rPr>
              <w:t>deterioration.</w:t>
            </w:r>
          </w:p>
        </w:tc>
      </w:tr>
      <w:tr w:rsidR="00D54D24" w:rsidRPr="00D54D24" w14:paraId="0DAA52B1" w14:textId="77777777" w:rsidTr="00C342B1">
        <w:trPr>
          <w:trHeight w:val="200"/>
        </w:trPr>
        <w:tc>
          <w:tcPr>
            <w:tcW w:w="2425" w:type="dxa"/>
          </w:tcPr>
          <w:p w14:paraId="03CC264B" w14:textId="77777777" w:rsidR="00D54D24" w:rsidRPr="00D54D24" w:rsidRDefault="00D54D24" w:rsidP="00D54D24">
            <w:pPr>
              <w:pStyle w:val="TableParagraph"/>
              <w:spacing w:line="222" w:lineRule="exact"/>
              <w:ind w:left="86"/>
              <w:rPr>
                <w:rFonts w:ascii="Arial" w:hAnsi="Arial" w:cs="Arial"/>
                <w:sz w:val="18"/>
                <w:szCs w:val="18"/>
              </w:rPr>
            </w:pPr>
            <w:r w:rsidRPr="00D54D24">
              <w:rPr>
                <w:rFonts w:ascii="Arial" w:hAnsi="Arial" w:cs="Arial"/>
                <w:sz w:val="18"/>
                <w:szCs w:val="18"/>
              </w:rPr>
              <w:t>Engine</w:t>
            </w:r>
            <w:r w:rsidRPr="00D54D24">
              <w:rPr>
                <w:rFonts w:ascii="Arial" w:hAnsi="Arial" w:cs="Arial"/>
                <w:spacing w:val="-3"/>
                <w:sz w:val="18"/>
                <w:szCs w:val="18"/>
              </w:rPr>
              <w:t xml:space="preserve"> </w:t>
            </w:r>
            <w:r w:rsidRPr="00D54D24">
              <w:rPr>
                <w:rFonts w:ascii="Arial" w:hAnsi="Arial" w:cs="Arial"/>
                <w:sz w:val="18"/>
                <w:szCs w:val="18"/>
              </w:rPr>
              <w:t>controls</w:t>
            </w:r>
          </w:p>
        </w:tc>
        <w:tc>
          <w:tcPr>
            <w:tcW w:w="6660" w:type="dxa"/>
          </w:tcPr>
          <w:p w14:paraId="49E5BDAC" w14:textId="77777777" w:rsidR="00D54D24" w:rsidRPr="00D54D24" w:rsidRDefault="00D54D24" w:rsidP="00D54D24">
            <w:pPr>
              <w:pStyle w:val="TableParagraph"/>
              <w:spacing w:line="222" w:lineRule="exact"/>
              <w:rPr>
                <w:rFonts w:ascii="Arial" w:hAnsi="Arial" w:cs="Arial"/>
                <w:sz w:val="18"/>
                <w:szCs w:val="18"/>
              </w:rPr>
            </w:pPr>
            <w:r w:rsidRPr="00D54D24">
              <w:rPr>
                <w:rFonts w:ascii="Arial" w:hAnsi="Arial" w:cs="Arial"/>
                <w:sz w:val="18"/>
                <w:szCs w:val="18"/>
              </w:rPr>
              <w:t>Inspect</w:t>
            </w:r>
            <w:r w:rsidRPr="00D54D24">
              <w:rPr>
                <w:rFonts w:ascii="Arial" w:hAnsi="Arial" w:cs="Arial"/>
                <w:spacing w:val="-3"/>
                <w:sz w:val="18"/>
                <w:szCs w:val="18"/>
              </w:rPr>
              <w:t xml:space="preserve"> </w:t>
            </w:r>
            <w:r w:rsidRPr="00D54D24">
              <w:rPr>
                <w:rFonts w:ascii="Arial" w:hAnsi="Arial" w:cs="Arial"/>
                <w:sz w:val="18"/>
                <w:szCs w:val="18"/>
              </w:rPr>
              <w:t>for</w:t>
            </w:r>
            <w:r w:rsidRPr="00D54D24">
              <w:rPr>
                <w:rFonts w:ascii="Arial" w:hAnsi="Arial" w:cs="Arial"/>
                <w:spacing w:val="-2"/>
                <w:sz w:val="18"/>
                <w:szCs w:val="18"/>
              </w:rPr>
              <w:t xml:space="preserve"> </w:t>
            </w:r>
            <w:r w:rsidRPr="00D54D24">
              <w:rPr>
                <w:rFonts w:ascii="Arial" w:hAnsi="Arial" w:cs="Arial"/>
                <w:sz w:val="18"/>
                <w:szCs w:val="18"/>
              </w:rPr>
              <w:t>defects,</w:t>
            </w:r>
            <w:r w:rsidRPr="00D54D24">
              <w:rPr>
                <w:rFonts w:ascii="Arial" w:hAnsi="Arial" w:cs="Arial"/>
                <w:spacing w:val="-3"/>
                <w:sz w:val="18"/>
                <w:szCs w:val="18"/>
              </w:rPr>
              <w:t xml:space="preserve"> </w:t>
            </w:r>
            <w:r w:rsidRPr="00D54D24">
              <w:rPr>
                <w:rFonts w:ascii="Arial" w:hAnsi="Arial" w:cs="Arial"/>
                <w:sz w:val="18"/>
                <w:szCs w:val="18"/>
              </w:rPr>
              <w:t>improper travel,</w:t>
            </w:r>
            <w:r w:rsidRPr="00D54D24">
              <w:rPr>
                <w:rFonts w:ascii="Arial" w:hAnsi="Arial" w:cs="Arial"/>
                <w:spacing w:val="-3"/>
                <w:sz w:val="18"/>
                <w:szCs w:val="18"/>
              </w:rPr>
              <w:t xml:space="preserve"> </w:t>
            </w:r>
            <w:r w:rsidRPr="00D54D24">
              <w:rPr>
                <w:rFonts w:ascii="Arial" w:hAnsi="Arial" w:cs="Arial"/>
                <w:sz w:val="18"/>
                <w:szCs w:val="18"/>
              </w:rPr>
              <w:t>and</w:t>
            </w:r>
            <w:r w:rsidRPr="00D54D24">
              <w:rPr>
                <w:rFonts w:ascii="Arial" w:hAnsi="Arial" w:cs="Arial"/>
                <w:spacing w:val="-2"/>
                <w:sz w:val="18"/>
                <w:szCs w:val="18"/>
              </w:rPr>
              <w:t xml:space="preserve"> </w:t>
            </w:r>
            <w:r w:rsidRPr="00D54D24">
              <w:rPr>
                <w:rFonts w:ascii="Arial" w:hAnsi="Arial" w:cs="Arial"/>
                <w:sz w:val="18"/>
                <w:szCs w:val="18"/>
              </w:rPr>
              <w:t>improper</w:t>
            </w:r>
            <w:r w:rsidRPr="00D54D24">
              <w:rPr>
                <w:rFonts w:ascii="Arial" w:hAnsi="Arial" w:cs="Arial"/>
                <w:spacing w:val="-3"/>
                <w:sz w:val="18"/>
                <w:szCs w:val="18"/>
              </w:rPr>
              <w:t xml:space="preserve"> </w:t>
            </w:r>
            <w:r w:rsidRPr="00D54D24">
              <w:rPr>
                <w:rFonts w:ascii="Arial" w:hAnsi="Arial" w:cs="Arial"/>
                <w:sz w:val="18"/>
                <w:szCs w:val="18"/>
              </w:rPr>
              <w:t>safe</w:t>
            </w:r>
            <w:r w:rsidRPr="00D54D24">
              <w:rPr>
                <w:rFonts w:ascii="Arial" w:hAnsi="Arial" w:cs="Arial"/>
                <w:spacing w:val="-3"/>
                <w:sz w:val="18"/>
                <w:szCs w:val="18"/>
              </w:rPr>
              <w:t xml:space="preserve"> </w:t>
            </w:r>
            <w:r w:rsidRPr="00D54D24">
              <w:rPr>
                <w:rFonts w:ascii="Arial" w:hAnsi="Arial" w:cs="Arial"/>
                <w:sz w:val="18"/>
                <w:szCs w:val="18"/>
              </w:rPr>
              <w:t>tying.</w:t>
            </w:r>
          </w:p>
        </w:tc>
      </w:tr>
      <w:tr w:rsidR="00D54D24" w:rsidRPr="00D54D24" w14:paraId="1375AB92" w14:textId="77777777" w:rsidTr="00C342B1">
        <w:trPr>
          <w:trHeight w:val="202"/>
        </w:trPr>
        <w:tc>
          <w:tcPr>
            <w:tcW w:w="2425" w:type="dxa"/>
          </w:tcPr>
          <w:p w14:paraId="5A3316A8" w14:textId="77777777" w:rsidR="00D54D24" w:rsidRPr="00D54D24" w:rsidRDefault="00D54D24" w:rsidP="00D54D24">
            <w:pPr>
              <w:pStyle w:val="TableParagraph"/>
              <w:spacing w:line="225" w:lineRule="exact"/>
              <w:ind w:left="86"/>
              <w:rPr>
                <w:rFonts w:ascii="Arial" w:hAnsi="Arial" w:cs="Arial"/>
                <w:sz w:val="18"/>
                <w:szCs w:val="18"/>
              </w:rPr>
            </w:pPr>
            <w:r w:rsidRPr="00D54D24">
              <w:rPr>
                <w:rFonts w:ascii="Arial" w:hAnsi="Arial" w:cs="Arial"/>
                <w:sz w:val="18"/>
                <w:szCs w:val="18"/>
              </w:rPr>
              <w:t>Lines,</w:t>
            </w:r>
            <w:r w:rsidRPr="00D54D24">
              <w:rPr>
                <w:rFonts w:ascii="Arial" w:hAnsi="Arial" w:cs="Arial"/>
                <w:spacing w:val="-3"/>
                <w:sz w:val="18"/>
                <w:szCs w:val="18"/>
              </w:rPr>
              <w:t xml:space="preserve"> </w:t>
            </w:r>
            <w:r w:rsidRPr="00D54D24">
              <w:rPr>
                <w:rFonts w:ascii="Arial" w:hAnsi="Arial" w:cs="Arial"/>
                <w:sz w:val="18"/>
                <w:szCs w:val="18"/>
              </w:rPr>
              <w:t>hoses</w:t>
            </w:r>
            <w:r w:rsidRPr="00D54D24">
              <w:rPr>
                <w:rFonts w:ascii="Arial" w:hAnsi="Arial" w:cs="Arial"/>
                <w:spacing w:val="-5"/>
                <w:sz w:val="18"/>
                <w:szCs w:val="18"/>
              </w:rPr>
              <w:t xml:space="preserve"> </w:t>
            </w:r>
            <w:r w:rsidRPr="00D54D24">
              <w:rPr>
                <w:rFonts w:ascii="Arial" w:hAnsi="Arial" w:cs="Arial"/>
                <w:sz w:val="18"/>
                <w:szCs w:val="18"/>
              </w:rPr>
              <w:t>and</w:t>
            </w:r>
            <w:r w:rsidRPr="00D54D24">
              <w:rPr>
                <w:rFonts w:ascii="Arial" w:hAnsi="Arial" w:cs="Arial"/>
                <w:spacing w:val="-3"/>
                <w:sz w:val="18"/>
                <w:szCs w:val="18"/>
              </w:rPr>
              <w:t xml:space="preserve"> </w:t>
            </w:r>
            <w:r w:rsidRPr="00D54D24">
              <w:rPr>
                <w:rFonts w:ascii="Arial" w:hAnsi="Arial" w:cs="Arial"/>
                <w:sz w:val="18"/>
                <w:szCs w:val="18"/>
              </w:rPr>
              <w:t>clamps</w:t>
            </w:r>
          </w:p>
        </w:tc>
        <w:tc>
          <w:tcPr>
            <w:tcW w:w="6660" w:type="dxa"/>
          </w:tcPr>
          <w:p w14:paraId="74F91A5F" w14:textId="77777777" w:rsidR="00D54D24" w:rsidRPr="00D54D24" w:rsidRDefault="00D54D24" w:rsidP="00D54D24">
            <w:pPr>
              <w:pStyle w:val="TableParagraph"/>
              <w:spacing w:line="225" w:lineRule="exact"/>
              <w:rPr>
                <w:rFonts w:ascii="Arial" w:hAnsi="Arial" w:cs="Arial"/>
                <w:sz w:val="18"/>
                <w:szCs w:val="18"/>
              </w:rPr>
            </w:pPr>
            <w:r w:rsidRPr="00D54D24">
              <w:rPr>
                <w:rFonts w:ascii="Arial" w:hAnsi="Arial" w:cs="Arial"/>
                <w:sz w:val="18"/>
                <w:szCs w:val="18"/>
              </w:rPr>
              <w:t>Inspect</w:t>
            </w:r>
            <w:r w:rsidRPr="00D54D24">
              <w:rPr>
                <w:rFonts w:ascii="Arial" w:hAnsi="Arial" w:cs="Arial"/>
                <w:spacing w:val="-3"/>
                <w:sz w:val="18"/>
                <w:szCs w:val="18"/>
              </w:rPr>
              <w:t xml:space="preserve"> </w:t>
            </w:r>
            <w:r w:rsidRPr="00D54D24">
              <w:rPr>
                <w:rFonts w:ascii="Arial" w:hAnsi="Arial" w:cs="Arial"/>
                <w:sz w:val="18"/>
                <w:szCs w:val="18"/>
              </w:rPr>
              <w:t>for</w:t>
            </w:r>
            <w:r w:rsidRPr="00D54D24">
              <w:rPr>
                <w:rFonts w:ascii="Arial" w:hAnsi="Arial" w:cs="Arial"/>
                <w:spacing w:val="-3"/>
                <w:sz w:val="18"/>
                <w:szCs w:val="18"/>
              </w:rPr>
              <w:t xml:space="preserve"> </w:t>
            </w:r>
            <w:r w:rsidRPr="00D54D24">
              <w:rPr>
                <w:rFonts w:ascii="Arial" w:hAnsi="Arial" w:cs="Arial"/>
                <w:sz w:val="18"/>
                <w:szCs w:val="18"/>
              </w:rPr>
              <w:t>leaks,</w:t>
            </w:r>
            <w:r w:rsidRPr="00D54D24">
              <w:rPr>
                <w:rFonts w:ascii="Arial" w:hAnsi="Arial" w:cs="Arial"/>
                <w:spacing w:val="-3"/>
                <w:sz w:val="18"/>
                <w:szCs w:val="18"/>
              </w:rPr>
              <w:t xml:space="preserve"> </w:t>
            </w:r>
            <w:r w:rsidRPr="00D54D24">
              <w:rPr>
                <w:rFonts w:ascii="Arial" w:hAnsi="Arial" w:cs="Arial"/>
                <w:sz w:val="18"/>
                <w:szCs w:val="18"/>
              </w:rPr>
              <w:t>improper</w:t>
            </w:r>
            <w:r w:rsidRPr="00D54D24">
              <w:rPr>
                <w:rFonts w:ascii="Arial" w:hAnsi="Arial" w:cs="Arial"/>
                <w:spacing w:val="-3"/>
                <w:sz w:val="18"/>
                <w:szCs w:val="18"/>
              </w:rPr>
              <w:t xml:space="preserve"> </w:t>
            </w:r>
            <w:r w:rsidRPr="00D54D24">
              <w:rPr>
                <w:rFonts w:ascii="Arial" w:hAnsi="Arial" w:cs="Arial"/>
                <w:sz w:val="18"/>
                <w:szCs w:val="18"/>
              </w:rPr>
              <w:t>condition,</w:t>
            </w:r>
            <w:r w:rsidRPr="00D54D24">
              <w:rPr>
                <w:rFonts w:ascii="Arial" w:hAnsi="Arial" w:cs="Arial"/>
                <w:spacing w:val="-3"/>
                <w:sz w:val="18"/>
                <w:szCs w:val="18"/>
              </w:rPr>
              <w:t xml:space="preserve"> </w:t>
            </w:r>
            <w:r w:rsidRPr="00D54D24">
              <w:rPr>
                <w:rFonts w:ascii="Arial" w:hAnsi="Arial" w:cs="Arial"/>
                <w:sz w:val="18"/>
                <w:szCs w:val="18"/>
              </w:rPr>
              <w:t>and</w:t>
            </w:r>
            <w:r w:rsidRPr="00D54D24">
              <w:rPr>
                <w:rFonts w:ascii="Arial" w:hAnsi="Arial" w:cs="Arial"/>
                <w:spacing w:val="-5"/>
                <w:sz w:val="18"/>
                <w:szCs w:val="18"/>
              </w:rPr>
              <w:t xml:space="preserve"> </w:t>
            </w:r>
            <w:r w:rsidRPr="00D54D24">
              <w:rPr>
                <w:rFonts w:ascii="Arial" w:hAnsi="Arial" w:cs="Arial"/>
                <w:sz w:val="18"/>
                <w:szCs w:val="18"/>
              </w:rPr>
              <w:t>looseness.</w:t>
            </w:r>
          </w:p>
        </w:tc>
      </w:tr>
      <w:tr w:rsidR="00D54D24" w:rsidRPr="00D54D24" w14:paraId="208EDE8D" w14:textId="77777777" w:rsidTr="00C342B1">
        <w:trPr>
          <w:trHeight w:val="200"/>
        </w:trPr>
        <w:tc>
          <w:tcPr>
            <w:tcW w:w="2425" w:type="dxa"/>
          </w:tcPr>
          <w:p w14:paraId="2443B9A9" w14:textId="77777777" w:rsidR="00D54D24" w:rsidRPr="00D54D24" w:rsidRDefault="00D54D24" w:rsidP="00D54D24">
            <w:pPr>
              <w:pStyle w:val="TableParagraph"/>
              <w:spacing w:line="222" w:lineRule="exact"/>
              <w:ind w:left="86"/>
              <w:rPr>
                <w:rFonts w:ascii="Arial" w:hAnsi="Arial" w:cs="Arial"/>
                <w:sz w:val="18"/>
                <w:szCs w:val="18"/>
              </w:rPr>
            </w:pPr>
            <w:r w:rsidRPr="00D54D24">
              <w:rPr>
                <w:rFonts w:ascii="Arial" w:hAnsi="Arial" w:cs="Arial"/>
                <w:sz w:val="18"/>
                <w:szCs w:val="18"/>
              </w:rPr>
              <w:t>Exhaust</w:t>
            </w:r>
            <w:r w:rsidRPr="00D54D24">
              <w:rPr>
                <w:rFonts w:ascii="Arial" w:hAnsi="Arial" w:cs="Arial"/>
                <w:spacing w:val="-4"/>
                <w:sz w:val="18"/>
                <w:szCs w:val="18"/>
              </w:rPr>
              <w:t xml:space="preserve"> </w:t>
            </w:r>
            <w:r w:rsidRPr="00D54D24">
              <w:rPr>
                <w:rFonts w:ascii="Arial" w:hAnsi="Arial" w:cs="Arial"/>
                <w:sz w:val="18"/>
                <w:szCs w:val="18"/>
              </w:rPr>
              <w:t>stacks</w:t>
            </w:r>
          </w:p>
        </w:tc>
        <w:tc>
          <w:tcPr>
            <w:tcW w:w="6660" w:type="dxa"/>
          </w:tcPr>
          <w:p w14:paraId="55365605" w14:textId="77777777" w:rsidR="00D54D24" w:rsidRPr="00D54D24" w:rsidRDefault="00D54D24" w:rsidP="00D54D24">
            <w:pPr>
              <w:pStyle w:val="TableParagraph"/>
              <w:spacing w:line="222" w:lineRule="exact"/>
              <w:rPr>
                <w:rFonts w:ascii="Arial" w:hAnsi="Arial" w:cs="Arial"/>
                <w:sz w:val="18"/>
                <w:szCs w:val="18"/>
              </w:rPr>
            </w:pPr>
            <w:r w:rsidRPr="00D54D24">
              <w:rPr>
                <w:rFonts w:ascii="Arial" w:hAnsi="Arial" w:cs="Arial"/>
                <w:sz w:val="18"/>
                <w:szCs w:val="18"/>
              </w:rPr>
              <w:t>Inspect</w:t>
            </w:r>
            <w:r w:rsidRPr="00D54D24">
              <w:rPr>
                <w:rFonts w:ascii="Arial" w:hAnsi="Arial" w:cs="Arial"/>
                <w:spacing w:val="-3"/>
                <w:sz w:val="18"/>
                <w:szCs w:val="18"/>
              </w:rPr>
              <w:t xml:space="preserve"> </w:t>
            </w:r>
            <w:r w:rsidRPr="00D54D24">
              <w:rPr>
                <w:rFonts w:ascii="Arial" w:hAnsi="Arial" w:cs="Arial"/>
                <w:sz w:val="18"/>
                <w:szCs w:val="18"/>
              </w:rPr>
              <w:t>for</w:t>
            </w:r>
            <w:r w:rsidRPr="00D54D24">
              <w:rPr>
                <w:rFonts w:ascii="Arial" w:hAnsi="Arial" w:cs="Arial"/>
                <w:spacing w:val="-2"/>
                <w:sz w:val="18"/>
                <w:szCs w:val="18"/>
              </w:rPr>
              <w:t xml:space="preserve"> </w:t>
            </w:r>
            <w:r w:rsidRPr="00D54D24">
              <w:rPr>
                <w:rFonts w:ascii="Arial" w:hAnsi="Arial" w:cs="Arial"/>
                <w:sz w:val="18"/>
                <w:szCs w:val="18"/>
              </w:rPr>
              <w:t>cracks,</w:t>
            </w:r>
            <w:r w:rsidRPr="00D54D24">
              <w:rPr>
                <w:rFonts w:ascii="Arial" w:hAnsi="Arial" w:cs="Arial"/>
                <w:spacing w:val="-3"/>
                <w:sz w:val="18"/>
                <w:szCs w:val="18"/>
              </w:rPr>
              <w:t xml:space="preserve"> </w:t>
            </w:r>
            <w:r w:rsidRPr="00D54D24">
              <w:rPr>
                <w:rFonts w:ascii="Arial" w:hAnsi="Arial" w:cs="Arial"/>
                <w:sz w:val="18"/>
                <w:szCs w:val="18"/>
              </w:rPr>
              <w:t>defects,</w:t>
            </w:r>
            <w:r w:rsidRPr="00D54D24">
              <w:rPr>
                <w:rFonts w:ascii="Arial" w:hAnsi="Arial" w:cs="Arial"/>
                <w:spacing w:val="-2"/>
                <w:sz w:val="18"/>
                <w:szCs w:val="18"/>
              </w:rPr>
              <w:t xml:space="preserve"> </w:t>
            </w:r>
            <w:r w:rsidRPr="00D54D24">
              <w:rPr>
                <w:rFonts w:ascii="Arial" w:hAnsi="Arial" w:cs="Arial"/>
                <w:sz w:val="18"/>
                <w:szCs w:val="18"/>
              </w:rPr>
              <w:t>and</w:t>
            </w:r>
            <w:r w:rsidRPr="00D54D24">
              <w:rPr>
                <w:rFonts w:ascii="Arial" w:hAnsi="Arial" w:cs="Arial"/>
                <w:spacing w:val="-3"/>
                <w:sz w:val="18"/>
                <w:szCs w:val="18"/>
              </w:rPr>
              <w:t xml:space="preserve"> </w:t>
            </w:r>
            <w:r w:rsidRPr="00D54D24">
              <w:rPr>
                <w:rFonts w:ascii="Arial" w:hAnsi="Arial" w:cs="Arial"/>
                <w:sz w:val="18"/>
                <w:szCs w:val="18"/>
              </w:rPr>
              <w:t>improper</w:t>
            </w:r>
            <w:r w:rsidRPr="00D54D24">
              <w:rPr>
                <w:rFonts w:ascii="Arial" w:hAnsi="Arial" w:cs="Arial"/>
                <w:spacing w:val="-2"/>
                <w:sz w:val="18"/>
                <w:szCs w:val="18"/>
              </w:rPr>
              <w:t xml:space="preserve"> </w:t>
            </w:r>
            <w:r w:rsidRPr="00D54D24">
              <w:rPr>
                <w:rFonts w:ascii="Arial" w:hAnsi="Arial" w:cs="Arial"/>
                <w:sz w:val="18"/>
                <w:szCs w:val="18"/>
              </w:rPr>
              <w:t>attachment.</w:t>
            </w:r>
          </w:p>
        </w:tc>
      </w:tr>
      <w:tr w:rsidR="00D54D24" w:rsidRPr="00D54D24" w14:paraId="18845CCE" w14:textId="77777777" w:rsidTr="00C342B1">
        <w:trPr>
          <w:trHeight w:val="935"/>
        </w:trPr>
        <w:tc>
          <w:tcPr>
            <w:tcW w:w="2425" w:type="dxa"/>
          </w:tcPr>
          <w:p w14:paraId="23FC8DCF" w14:textId="77777777" w:rsidR="00D54D24" w:rsidRPr="00D54D24" w:rsidRDefault="00D54D24" w:rsidP="00D54D24">
            <w:pPr>
              <w:pStyle w:val="TableParagraph"/>
              <w:ind w:left="86"/>
              <w:rPr>
                <w:rFonts w:ascii="Arial" w:hAnsi="Arial" w:cs="Arial"/>
                <w:sz w:val="18"/>
                <w:szCs w:val="18"/>
              </w:rPr>
            </w:pPr>
            <w:r w:rsidRPr="00D54D24">
              <w:rPr>
                <w:rFonts w:ascii="Arial" w:hAnsi="Arial" w:cs="Arial"/>
                <w:sz w:val="18"/>
                <w:szCs w:val="18"/>
              </w:rPr>
              <w:t>Turbocharger and</w:t>
            </w:r>
            <w:r w:rsidRPr="00D54D24">
              <w:rPr>
                <w:rFonts w:ascii="Arial" w:hAnsi="Arial" w:cs="Arial"/>
                <w:spacing w:val="-43"/>
                <w:sz w:val="18"/>
                <w:szCs w:val="18"/>
              </w:rPr>
              <w:t xml:space="preserve"> </w:t>
            </w:r>
            <w:r w:rsidRPr="00D54D24">
              <w:rPr>
                <w:rFonts w:ascii="Arial" w:hAnsi="Arial" w:cs="Arial"/>
                <w:sz w:val="18"/>
                <w:szCs w:val="18"/>
              </w:rPr>
              <w:t>intercooler</w:t>
            </w:r>
          </w:p>
        </w:tc>
        <w:tc>
          <w:tcPr>
            <w:tcW w:w="6660" w:type="dxa"/>
          </w:tcPr>
          <w:p w14:paraId="2AD8F5B9" w14:textId="77777777" w:rsidR="00D54D24" w:rsidRPr="00D54D24" w:rsidRDefault="00D54D24" w:rsidP="00D54D24">
            <w:pPr>
              <w:pStyle w:val="TableParagraph"/>
              <w:ind w:right="123"/>
              <w:rPr>
                <w:rFonts w:ascii="Arial" w:hAnsi="Arial" w:cs="Arial"/>
                <w:sz w:val="18"/>
                <w:szCs w:val="18"/>
              </w:rPr>
            </w:pPr>
            <w:r w:rsidRPr="00D54D24">
              <w:rPr>
                <w:rFonts w:ascii="Arial" w:hAnsi="Arial" w:cs="Arial"/>
                <w:sz w:val="18"/>
                <w:szCs w:val="18"/>
              </w:rPr>
              <w:t>Inspect for leaks, improper condition, and looseness of connections and fittings.</w:t>
            </w:r>
            <w:r w:rsidRPr="00D54D24">
              <w:rPr>
                <w:rFonts w:ascii="Arial" w:hAnsi="Arial" w:cs="Arial"/>
                <w:spacing w:val="-43"/>
                <w:sz w:val="18"/>
                <w:szCs w:val="18"/>
              </w:rPr>
              <w:t xml:space="preserve"> </w:t>
            </w:r>
            <w:r w:rsidRPr="00D54D24">
              <w:rPr>
                <w:rFonts w:ascii="Arial" w:hAnsi="Arial" w:cs="Arial"/>
                <w:sz w:val="18"/>
                <w:szCs w:val="18"/>
              </w:rPr>
              <w:t>Check MP controller or density controller for leakage and free movement of</w:t>
            </w:r>
            <w:r w:rsidRPr="00D54D24">
              <w:rPr>
                <w:rFonts w:ascii="Arial" w:hAnsi="Arial" w:cs="Arial"/>
                <w:spacing w:val="1"/>
                <w:sz w:val="18"/>
                <w:szCs w:val="18"/>
              </w:rPr>
              <w:t xml:space="preserve"> </w:t>
            </w:r>
            <w:r w:rsidRPr="00D54D24">
              <w:rPr>
                <w:rFonts w:ascii="Arial" w:hAnsi="Arial" w:cs="Arial"/>
                <w:sz w:val="18"/>
                <w:szCs w:val="18"/>
              </w:rPr>
              <w:t>controls.</w:t>
            </w:r>
          </w:p>
          <w:p w14:paraId="60578489" w14:textId="77777777" w:rsidR="00D54D24" w:rsidRPr="00D54D24" w:rsidRDefault="00D54D24" w:rsidP="00D54D24">
            <w:pPr>
              <w:pStyle w:val="TableParagraph"/>
              <w:spacing w:before="1" w:line="225" w:lineRule="exact"/>
              <w:rPr>
                <w:rFonts w:ascii="Arial" w:hAnsi="Arial" w:cs="Arial"/>
                <w:sz w:val="18"/>
                <w:szCs w:val="18"/>
              </w:rPr>
            </w:pPr>
            <w:r w:rsidRPr="00D54D24">
              <w:rPr>
                <w:rFonts w:ascii="Arial" w:hAnsi="Arial" w:cs="Arial"/>
                <w:sz w:val="18"/>
                <w:szCs w:val="18"/>
              </w:rPr>
              <w:t>Check</w:t>
            </w:r>
            <w:r w:rsidRPr="00D54D24">
              <w:rPr>
                <w:rFonts w:ascii="Arial" w:hAnsi="Arial" w:cs="Arial"/>
                <w:spacing w:val="-3"/>
                <w:sz w:val="18"/>
                <w:szCs w:val="18"/>
              </w:rPr>
              <w:t xml:space="preserve"> </w:t>
            </w:r>
            <w:r w:rsidRPr="00D54D24">
              <w:rPr>
                <w:rFonts w:ascii="Arial" w:hAnsi="Arial" w:cs="Arial"/>
                <w:sz w:val="18"/>
                <w:szCs w:val="18"/>
              </w:rPr>
              <w:t>waste</w:t>
            </w:r>
            <w:r w:rsidRPr="00D54D24">
              <w:rPr>
                <w:rFonts w:ascii="Arial" w:hAnsi="Arial" w:cs="Arial"/>
                <w:spacing w:val="-4"/>
                <w:sz w:val="18"/>
                <w:szCs w:val="18"/>
              </w:rPr>
              <w:t xml:space="preserve"> </w:t>
            </w:r>
            <w:r w:rsidRPr="00D54D24">
              <w:rPr>
                <w:rFonts w:ascii="Arial" w:hAnsi="Arial" w:cs="Arial"/>
                <w:sz w:val="18"/>
                <w:szCs w:val="18"/>
              </w:rPr>
              <w:t>gate</w:t>
            </w:r>
            <w:r w:rsidRPr="00D54D24">
              <w:rPr>
                <w:rFonts w:ascii="Arial" w:hAnsi="Arial" w:cs="Arial"/>
                <w:spacing w:val="-4"/>
                <w:sz w:val="18"/>
                <w:szCs w:val="18"/>
              </w:rPr>
              <w:t xml:space="preserve"> </w:t>
            </w:r>
            <w:r w:rsidRPr="00D54D24">
              <w:rPr>
                <w:rFonts w:ascii="Arial" w:hAnsi="Arial" w:cs="Arial"/>
                <w:sz w:val="18"/>
                <w:szCs w:val="18"/>
              </w:rPr>
              <w:t>or</w:t>
            </w:r>
            <w:r w:rsidRPr="00D54D24">
              <w:rPr>
                <w:rFonts w:ascii="Arial" w:hAnsi="Arial" w:cs="Arial"/>
                <w:spacing w:val="-3"/>
                <w:sz w:val="18"/>
                <w:szCs w:val="18"/>
              </w:rPr>
              <w:t xml:space="preserve"> </w:t>
            </w:r>
            <w:r w:rsidRPr="00D54D24">
              <w:rPr>
                <w:rFonts w:ascii="Arial" w:hAnsi="Arial" w:cs="Arial"/>
                <w:sz w:val="18"/>
                <w:szCs w:val="18"/>
              </w:rPr>
              <w:t>overpressure</w:t>
            </w:r>
            <w:r w:rsidRPr="00D54D24">
              <w:rPr>
                <w:rFonts w:ascii="Arial" w:hAnsi="Arial" w:cs="Arial"/>
                <w:spacing w:val="-4"/>
                <w:sz w:val="18"/>
                <w:szCs w:val="18"/>
              </w:rPr>
              <w:t xml:space="preserve"> </w:t>
            </w:r>
            <w:r w:rsidRPr="00D54D24">
              <w:rPr>
                <w:rFonts w:ascii="Arial" w:hAnsi="Arial" w:cs="Arial"/>
                <w:sz w:val="18"/>
                <w:szCs w:val="18"/>
              </w:rPr>
              <w:t>relief</w:t>
            </w:r>
            <w:r w:rsidRPr="00D54D24">
              <w:rPr>
                <w:rFonts w:ascii="Arial" w:hAnsi="Arial" w:cs="Arial"/>
                <w:spacing w:val="-2"/>
                <w:sz w:val="18"/>
                <w:szCs w:val="18"/>
              </w:rPr>
              <w:t xml:space="preserve"> </w:t>
            </w:r>
            <w:r w:rsidRPr="00D54D24">
              <w:rPr>
                <w:rFonts w:ascii="Arial" w:hAnsi="Arial" w:cs="Arial"/>
                <w:sz w:val="18"/>
                <w:szCs w:val="18"/>
              </w:rPr>
              <w:t>valve</w:t>
            </w:r>
            <w:r w:rsidRPr="00D54D24">
              <w:rPr>
                <w:rFonts w:ascii="Arial" w:hAnsi="Arial" w:cs="Arial"/>
                <w:spacing w:val="-4"/>
                <w:sz w:val="18"/>
                <w:szCs w:val="18"/>
              </w:rPr>
              <w:t xml:space="preserve"> </w:t>
            </w:r>
            <w:r w:rsidRPr="00D54D24">
              <w:rPr>
                <w:rFonts w:ascii="Arial" w:hAnsi="Arial" w:cs="Arial"/>
                <w:sz w:val="18"/>
                <w:szCs w:val="18"/>
              </w:rPr>
              <w:t>for free</w:t>
            </w:r>
            <w:r w:rsidRPr="00D54D24">
              <w:rPr>
                <w:rFonts w:ascii="Arial" w:hAnsi="Arial" w:cs="Arial"/>
                <w:spacing w:val="-4"/>
                <w:sz w:val="18"/>
                <w:szCs w:val="18"/>
              </w:rPr>
              <w:t xml:space="preserve"> </w:t>
            </w:r>
            <w:r w:rsidRPr="00D54D24">
              <w:rPr>
                <w:rFonts w:ascii="Arial" w:hAnsi="Arial" w:cs="Arial"/>
                <w:sz w:val="18"/>
                <w:szCs w:val="18"/>
              </w:rPr>
              <w:t>movements.</w:t>
            </w:r>
          </w:p>
        </w:tc>
      </w:tr>
      <w:tr w:rsidR="00D54D24" w:rsidRPr="00D54D24" w14:paraId="00A0BA7C" w14:textId="77777777" w:rsidTr="00C342B1">
        <w:trPr>
          <w:trHeight w:val="444"/>
        </w:trPr>
        <w:tc>
          <w:tcPr>
            <w:tcW w:w="2425" w:type="dxa"/>
          </w:tcPr>
          <w:p w14:paraId="28E906EE" w14:textId="77777777" w:rsidR="00D54D24" w:rsidRPr="00D54D24" w:rsidRDefault="00D54D24" w:rsidP="00D54D24">
            <w:pPr>
              <w:pStyle w:val="TableParagraph"/>
              <w:ind w:left="86"/>
              <w:rPr>
                <w:rFonts w:ascii="Arial" w:hAnsi="Arial" w:cs="Arial"/>
                <w:sz w:val="18"/>
                <w:szCs w:val="18"/>
              </w:rPr>
            </w:pPr>
            <w:r w:rsidRPr="00D54D24">
              <w:rPr>
                <w:rFonts w:ascii="Arial" w:hAnsi="Arial" w:cs="Arial"/>
                <w:sz w:val="18"/>
                <w:szCs w:val="18"/>
              </w:rPr>
              <w:t>Heating</w:t>
            </w:r>
          </w:p>
        </w:tc>
        <w:tc>
          <w:tcPr>
            <w:tcW w:w="6660" w:type="dxa"/>
          </w:tcPr>
          <w:p w14:paraId="4FD6DB1D" w14:textId="6DC44065" w:rsidR="00D54D24" w:rsidRPr="00D54D24" w:rsidRDefault="00D54D24" w:rsidP="0065014B">
            <w:pPr>
              <w:pStyle w:val="TableParagraph"/>
              <w:spacing w:line="243" w:lineRule="exact"/>
              <w:rPr>
                <w:rFonts w:ascii="Arial" w:hAnsi="Arial" w:cs="Arial"/>
                <w:sz w:val="18"/>
                <w:szCs w:val="18"/>
              </w:rPr>
            </w:pPr>
            <w:r w:rsidRPr="00D54D24">
              <w:rPr>
                <w:rFonts w:ascii="Arial" w:hAnsi="Arial" w:cs="Arial"/>
                <w:sz w:val="18"/>
                <w:szCs w:val="18"/>
              </w:rPr>
              <w:t>Inspect</w:t>
            </w:r>
            <w:r w:rsidRPr="00D54D24">
              <w:rPr>
                <w:rFonts w:ascii="Arial" w:hAnsi="Arial" w:cs="Arial"/>
                <w:spacing w:val="-3"/>
                <w:sz w:val="18"/>
                <w:szCs w:val="18"/>
              </w:rPr>
              <w:t xml:space="preserve"> </w:t>
            </w:r>
            <w:r w:rsidRPr="00D54D24">
              <w:rPr>
                <w:rFonts w:ascii="Arial" w:hAnsi="Arial" w:cs="Arial"/>
                <w:sz w:val="18"/>
                <w:szCs w:val="18"/>
              </w:rPr>
              <w:t>cabin heating</w:t>
            </w:r>
            <w:r w:rsidRPr="00D54D24">
              <w:rPr>
                <w:rFonts w:ascii="Arial" w:hAnsi="Arial" w:cs="Arial"/>
                <w:spacing w:val="-3"/>
                <w:sz w:val="18"/>
                <w:szCs w:val="18"/>
              </w:rPr>
              <w:t xml:space="preserve"> </w:t>
            </w:r>
            <w:r w:rsidRPr="00D54D24">
              <w:rPr>
                <w:rFonts w:ascii="Arial" w:hAnsi="Arial" w:cs="Arial"/>
                <w:sz w:val="18"/>
                <w:szCs w:val="18"/>
              </w:rPr>
              <w:t>heat</w:t>
            </w:r>
            <w:r w:rsidRPr="00D54D24">
              <w:rPr>
                <w:rFonts w:ascii="Arial" w:hAnsi="Arial" w:cs="Arial"/>
                <w:spacing w:val="-3"/>
                <w:sz w:val="18"/>
                <w:szCs w:val="18"/>
              </w:rPr>
              <w:t xml:space="preserve"> </w:t>
            </w:r>
            <w:r w:rsidRPr="00D54D24">
              <w:rPr>
                <w:rFonts w:ascii="Arial" w:hAnsi="Arial" w:cs="Arial"/>
                <w:sz w:val="18"/>
                <w:szCs w:val="18"/>
              </w:rPr>
              <w:t>exchanger</w:t>
            </w:r>
            <w:r w:rsidRPr="00D54D24">
              <w:rPr>
                <w:rFonts w:ascii="Arial" w:hAnsi="Arial" w:cs="Arial"/>
                <w:spacing w:val="-2"/>
                <w:sz w:val="18"/>
                <w:szCs w:val="18"/>
              </w:rPr>
              <w:t xml:space="preserve"> </w:t>
            </w:r>
            <w:r w:rsidRPr="00D54D24">
              <w:rPr>
                <w:rFonts w:ascii="Arial" w:hAnsi="Arial" w:cs="Arial"/>
                <w:sz w:val="18"/>
                <w:szCs w:val="18"/>
              </w:rPr>
              <w:t>for</w:t>
            </w:r>
            <w:r w:rsidRPr="00D54D24">
              <w:rPr>
                <w:rFonts w:ascii="Arial" w:hAnsi="Arial" w:cs="Arial"/>
                <w:spacing w:val="-2"/>
                <w:sz w:val="18"/>
                <w:szCs w:val="18"/>
              </w:rPr>
              <w:t xml:space="preserve"> </w:t>
            </w:r>
            <w:r w:rsidRPr="00D54D24">
              <w:rPr>
                <w:rFonts w:ascii="Arial" w:hAnsi="Arial" w:cs="Arial"/>
                <w:sz w:val="18"/>
                <w:szCs w:val="18"/>
              </w:rPr>
              <w:t>improper</w:t>
            </w:r>
            <w:r w:rsidRPr="00D54D24">
              <w:rPr>
                <w:rFonts w:ascii="Arial" w:hAnsi="Arial" w:cs="Arial"/>
                <w:spacing w:val="-3"/>
                <w:sz w:val="18"/>
                <w:szCs w:val="18"/>
              </w:rPr>
              <w:t xml:space="preserve"> </w:t>
            </w:r>
            <w:r w:rsidRPr="00D54D24">
              <w:rPr>
                <w:rFonts w:ascii="Arial" w:hAnsi="Arial" w:cs="Arial"/>
                <w:sz w:val="18"/>
                <w:szCs w:val="18"/>
              </w:rPr>
              <w:t>condition</w:t>
            </w:r>
            <w:r w:rsidRPr="00D54D24">
              <w:rPr>
                <w:rFonts w:ascii="Arial" w:hAnsi="Arial" w:cs="Arial"/>
                <w:spacing w:val="-2"/>
                <w:sz w:val="18"/>
                <w:szCs w:val="18"/>
              </w:rPr>
              <w:t xml:space="preserve"> </w:t>
            </w:r>
            <w:r w:rsidRPr="00D54D24">
              <w:rPr>
                <w:rFonts w:ascii="Arial" w:hAnsi="Arial" w:cs="Arial"/>
                <w:sz w:val="18"/>
                <w:szCs w:val="18"/>
              </w:rPr>
              <w:t>and</w:t>
            </w:r>
            <w:r w:rsidRPr="00D54D24">
              <w:rPr>
                <w:rFonts w:ascii="Arial" w:hAnsi="Arial" w:cs="Arial"/>
                <w:spacing w:val="-2"/>
                <w:sz w:val="18"/>
                <w:szCs w:val="18"/>
              </w:rPr>
              <w:t xml:space="preserve"> </w:t>
            </w:r>
            <w:r w:rsidRPr="00D54D24">
              <w:rPr>
                <w:rFonts w:ascii="Arial" w:hAnsi="Arial" w:cs="Arial"/>
                <w:sz w:val="18"/>
                <w:szCs w:val="18"/>
              </w:rPr>
              <w:t>function.</w:t>
            </w:r>
            <w:r w:rsidRPr="00D54D24">
              <w:rPr>
                <w:rFonts w:ascii="Arial" w:hAnsi="Arial" w:cs="Arial"/>
                <w:spacing w:val="-3"/>
                <w:sz w:val="18"/>
                <w:szCs w:val="18"/>
              </w:rPr>
              <w:t xml:space="preserve"> </w:t>
            </w:r>
            <w:r w:rsidRPr="00D54D24">
              <w:rPr>
                <w:rFonts w:ascii="Arial" w:hAnsi="Arial" w:cs="Arial"/>
                <w:sz w:val="18"/>
                <w:szCs w:val="18"/>
              </w:rPr>
              <w:t>For</w:t>
            </w:r>
            <w:r w:rsidR="0065014B">
              <w:rPr>
                <w:rFonts w:ascii="Arial" w:hAnsi="Arial" w:cs="Arial"/>
                <w:sz w:val="18"/>
                <w:szCs w:val="18"/>
              </w:rPr>
              <w:t xml:space="preserve"> </w:t>
            </w:r>
            <w:r w:rsidRPr="00D54D24">
              <w:rPr>
                <w:rFonts w:ascii="Arial" w:hAnsi="Arial" w:cs="Arial"/>
                <w:sz w:val="18"/>
                <w:szCs w:val="18"/>
              </w:rPr>
              <w:t>exhaust</w:t>
            </w:r>
            <w:r w:rsidRPr="00D54D24">
              <w:rPr>
                <w:rFonts w:ascii="Arial" w:hAnsi="Arial" w:cs="Arial"/>
                <w:spacing w:val="-3"/>
                <w:sz w:val="18"/>
                <w:szCs w:val="18"/>
              </w:rPr>
              <w:t xml:space="preserve"> </w:t>
            </w:r>
            <w:r w:rsidRPr="00D54D24">
              <w:rPr>
                <w:rFonts w:ascii="Arial" w:hAnsi="Arial" w:cs="Arial"/>
                <w:sz w:val="18"/>
                <w:szCs w:val="18"/>
              </w:rPr>
              <w:t>heat</w:t>
            </w:r>
            <w:r w:rsidRPr="00D54D24">
              <w:rPr>
                <w:rFonts w:ascii="Arial" w:hAnsi="Arial" w:cs="Arial"/>
                <w:spacing w:val="-3"/>
                <w:sz w:val="18"/>
                <w:szCs w:val="18"/>
              </w:rPr>
              <w:t xml:space="preserve"> </w:t>
            </w:r>
            <w:r w:rsidRPr="00D54D24">
              <w:rPr>
                <w:rFonts w:ascii="Arial" w:hAnsi="Arial" w:cs="Arial"/>
                <w:sz w:val="18"/>
                <w:szCs w:val="18"/>
              </w:rPr>
              <w:t>exchanger,</w:t>
            </w:r>
            <w:r w:rsidRPr="00D54D24">
              <w:rPr>
                <w:rFonts w:ascii="Arial" w:hAnsi="Arial" w:cs="Arial"/>
                <w:spacing w:val="-3"/>
                <w:sz w:val="18"/>
                <w:szCs w:val="18"/>
              </w:rPr>
              <w:t xml:space="preserve"> </w:t>
            </w:r>
            <w:r w:rsidRPr="00D54D24">
              <w:rPr>
                <w:rFonts w:ascii="Arial" w:hAnsi="Arial" w:cs="Arial"/>
                <w:sz w:val="18"/>
                <w:szCs w:val="18"/>
              </w:rPr>
              <w:t>check</w:t>
            </w:r>
            <w:r w:rsidRPr="00D54D24">
              <w:rPr>
                <w:rFonts w:ascii="Arial" w:hAnsi="Arial" w:cs="Arial"/>
                <w:spacing w:val="-3"/>
                <w:sz w:val="18"/>
                <w:szCs w:val="18"/>
              </w:rPr>
              <w:t xml:space="preserve"> </w:t>
            </w:r>
            <w:r w:rsidRPr="00D54D24">
              <w:rPr>
                <w:rFonts w:ascii="Arial" w:hAnsi="Arial" w:cs="Arial"/>
                <w:sz w:val="18"/>
                <w:szCs w:val="18"/>
              </w:rPr>
              <w:t>CO</w:t>
            </w:r>
            <w:r w:rsidRPr="00D54D24">
              <w:rPr>
                <w:rFonts w:ascii="Arial" w:hAnsi="Arial" w:cs="Arial"/>
                <w:spacing w:val="-4"/>
                <w:sz w:val="18"/>
                <w:szCs w:val="18"/>
              </w:rPr>
              <w:t xml:space="preserve"> </w:t>
            </w:r>
            <w:r w:rsidRPr="00D54D24">
              <w:rPr>
                <w:rFonts w:ascii="Arial" w:hAnsi="Arial" w:cs="Arial"/>
                <w:sz w:val="18"/>
                <w:szCs w:val="18"/>
              </w:rPr>
              <w:t>(Carbon</w:t>
            </w:r>
            <w:r w:rsidRPr="00D54D24">
              <w:rPr>
                <w:rFonts w:ascii="Arial" w:hAnsi="Arial" w:cs="Arial"/>
                <w:spacing w:val="-3"/>
                <w:sz w:val="18"/>
                <w:szCs w:val="18"/>
              </w:rPr>
              <w:t xml:space="preserve"> </w:t>
            </w:r>
            <w:r w:rsidRPr="00D54D24">
              <w:rPr>
                <w:rFonts w:ascii="Arial" w:hAnsi="Arial" w:cs="Arial"/>
                <w:sz w:val="18"/>
                <w:szCs w:val="18"/>
              </w:rPr>
              <w:t>Monoxide)</w:t>
            </w:r>
            <w:r w:rsidRPr="00D54D24">
              <w:rPr>
                <w:rFonts w:ascii="Arial" w:hAnsi="Arial" w:cs="Arial"/>
                <w:spacing w:val="-4"/>
                <w:sz w:val="18"/>
                <w:szCs w:val="18"/>
              </w:rPr>
              <w:t xml:space="preserve"> </w:t>
            </w:r>
            <w:r w:rsidRPr="00D54D24">
              <w:rPr>
                <w:rFonts w:ascii="Arial" w:hAnsi="Arial" w:cs="Arial"/>
                <w:sz w:val="18"/>
                <w:szCs w:val="18"/>
              </w:rPr>
              <w:t>concentration.</w:t>
            </w:r>
          </w:p>
        </w:tc>
      </w:tr>
      <w:tr w:rsidR="00D54D24" w:rsidRPr="00D54D24" w14:paraId="23173B53" w14:textId="77777777" w:rsidTr="00C342B1">
        <w:trPr>
          <w:trHeight w:val="444"/>
        </w:trPr>
        <w:tc>
          <w:tcPr>
            <w:tcW w:w="2425" w:type="dxa"/>
          </w:tcPr>
          <w:p w14:paraId="311EDD72" w14:textId="77777777" w:rsidR="00D54D24" w:rsidRPr="00D54D24" w:rsidRDefault="00D54D24" w:rsidP="00D54D24">
            <w:pPr>
              <w:pStyle w:val="TableParagraph"/>
              <w:ind w:left="86"/>
              <w:rPr>
                <w:rFonts w:ascii="Arial" w:hAnsi="Arial" w:cs="Arial"/>
                <w:sz w:val="18"/>
                <w:szCs w:val="18"/>
              </w:rPr>
            </w:pPr>
            <w:r w:rsidRPr="00D54D24">
              <w:rPr>
                <w:rFonts w:ascii="Arial" w:hAnsi="Arial" w:cs="Arial"/>
                <w:sz w:val="18"/>
                <w:szCs w:val="18"/>
              </w:rPr>
              <w:t>Liquid cooling systems</w:t>
            </w:r>
          </w:p>
        </w:tc>
        <w:tc>
          <w:tcPr>
            <w:tcW w:w="6660" w:type="dxa"/>
          </w:tcPr>
          <w:p w14:paraId="08223350" w14:textId="77777777" w:rsidR="00D54D24" w:rsidRPr="00D54D24" w:rsidRDefault="00D54D24" w:rsidP="00D54D24">
            <w:pPr>
              <w:pStyle w:val="TableParagraph"/>
              <w:spacing w:line="243" w:lineRule="exact"/>
              <w:rPr>
                <w:rFonts w:ascii="Arial" w:hAnsi="Arial" w:cs="Arial"/>
                <w:sz w:val="18"/>
                <w:szCs w:val="18"/>
              </w:rPr>
            </w:pPr>
            <w:r w:rsidRPr="00D54D24">
              <w:rPr>
                <w:rFonts w:ascii="Arial" w:hAnsi="Arial" w:cs="Arial"/>
                <w:sz w:val="18"/>
                <w:szCs w:val="18"/>
              </w:rPr>
              <w:t>Inspect for leaks and proper fluid level.</w:t>
            </w:r>
          </w:p>
        </w:tc>
      </w:tr>
      <w:tr w:rsidR="00D54D24" w:rsidRPr="00D54D24" w14:paraId="4E50F37F" w14:textId="77777777" w:rsidTr="00C342B1">
        <w:trPr>
          <w:trHeight w:val="444"/>
        </w:trPr>
        <w:tc>
          <w:tcPr>
            <w:tcW w:w="2425" w:type="dxa"/>
          </w:tcPr>
          <w:p w14:paraId="4D4BA446" w14:textId="77777777" w:rsidR="00D54D24" w:rsidRPr="00D54D24" w:rsidRDefault="00D54D24" w:rsidP="00D54D24">
            <w:pPr>
              <w:pStyle w:val="TableParagraph"/>
              <w:ind w:left="86"/>
              <w:rPr>
                <w:rFonts w:ascii="Arial" w:hAnsi="Arial" w:cs="Arial"/>
                <w:sz w:val="18"/>
                <w:szCs w:val="18"/>
              </w:rPr>
            </w:pPr>
            <w:r w:rsidRPr="00D54D24">
              <w:rPr>
                <w:rFonts w:ascii="Arial" w:hAnsi="Arial" w:cs="Arial"/>
                <w:sz w:val="18"/>
                <w:szCs w:val="18"/>
              </w:rPr>
              <w:t>Electronic engine control</w:t>
            </w:r>
          </w:p>
        </w:tc>
        <w:tc>
          <w:tcPr>
            <w:tcW w:w="6660" w:type="dxa"/>
          </w:tcPr>
          <w:p w14:paraId="69E9EDB4" w14:textId="77777777" w:rsidR="00D54D24" w:rsidRPr="00D54D24" w:rsidRDefault="00D54D24" w:rsidP="00D54D24">
            <w:pPr>
              <w:pStyle w:val="TableParagraph"/>
              <w:spacing w:line="243" w:lineRule="exact"/>
              <w:rPr>
                <w:rFonts w:ascii="Arial" w:hAnsi="Arial" w:cs="Arial"/>
                <w:sz w:val="18"/>
                <w:szCs w:val="18"/>
              </w:rPr>
            </w:pPr>
            <w:r w:rsidRPr="00D54D24">
              <w:rPr>
                <w:rFonts w:ascii="Arial" w:hAnsi="Arial" w:cs="Arial"/>
                <w:sz w:val="18"/>
                <w:szCs w:val="18"/>
              </w:rPr>
              <w:t>Inspect for signs of chafing, and proper electronics and sensor installation.</w:t>
            </w:r>
          </w:p>
        </w:tc>
      </w:tr>
      <w:tr w:rsidR="00D54D24" w:rsidRPr="00D54D24" w14:paraId="4EDB546C" w14:textId="77777777" w:rsidTr="00C342B1">
        <w:trPr>
          <w:trHeight w:val="444"/>
        </w:trPr>
        <w:tc>
          <w:tcPr>
            <w:tcW w:w="2425" w:type="dxa"/>
          </w:tcPr>
          <w:p w14:paraId="129A3890" w14:textId="77777777" w:rsidR="00D54D24" w:rsidRPr="00D54D24" w:rsidRDefault="00D54D24" w:rsidP="00D54D24">
            <w:pPr>
              <w:pStyle w:val="TableParagraph"/>
              <w:ind w:left="86"/>
              <w:rPr>
                <w:rFonts w:ascii="Arial" w:hAnsi="Arial" w:cs="Arial"/>
                <w:sz w:val="18"/>
                <w:szCs w:val="18"/>
              </w:rPr>
            </w:pPr>
            <w:r w:rsidRPr="00D54D24">
              <w:rPr>
                <w:rFonts w:ascii="Arial" w:hAnsi="Arial" w:cs="Arial"/>
                <w:sz w:val="18"/>
                <w:szCs w:val="18"/>
              </w:rPr>
              <w:t>Accessories</w:t>
            </w:r>
          </w:p>
        </w:tc>
        <w:tc>
          <w:tcPr>
            <w:tcW w:w="6660" w:type="dxa"/>
          </w:tcPr>
          <w:p w14:paraId="4178B598" w14:textId="77777777" w:rsidR="00D54D24" w:rsidRPr="00D54D24" w:rsidRDefault="00D54D24" w:rsidP="00D54D24">
            <w:pPr>
              <w:pStyle w:val="TableParagraph"/>
              <w:spacing w:line="243" w:lineRule="exact"/>
              <w:rPr>
                <w:rFonts w:ascii="Arial" w:hAnsi="Arial" w:cs="Arial"/>
                <w:sz w:val="18"/>
                <w:szCs w:val="18"/>
              </w:rPr>
            </w:pPr>
            <w:r w:rsidRPr="00D54D24">
              <w:rPr>
                <w:rFonts w:ascii="Arial" w:hAnsi="Arial" w:cs="Arial"/>
                <w:sz w:val="18"/>
                <w:szCs w:val="18"/>
              </w:rPr>
              <w:t>Inspect for apparent defects in security of mounting.</w:t>
            </w:r>
          </w:p>
        </w:tc>
      </w:tr>
      <w:tr w:rsidR="00D54D24" w:rsidRPr="00D54D24" w14:paraId="40EA48C9" w14:textId="77777777" w:rsidTr="00C342B1">
        <w:trPr>
          <w:trHeight w:val="444"/>
        </w:trPr>
        <w:tc>
          <w:tcPr>
            <w:tcW w:w="2425" w:type="dxa"/>
          </w:tcPr>
          <w:p w14:paraId="4F4282A8" w14:textId="77777777" w:rsidR="00D54D24" w:rsidRPr="00D54D24" w:rsidRDefault="00D54D24" w:rsidP="00D54D24">
            <w:pPr>
              <w:pStyle w:val="TableParagraph"/>
              <w:ind w:left="86"/>
              <w:rPr>
                <w:rFonts w:ascii="Arial" w:hAnsi="Arial" w:cs="Arial"/>
                <w:sz w:val="18"/>
                <w:szCs w:val="18"/>
              </w:rPr>
            </w:pPr>
            <w:r w:rsidRPr="00D54D24">
              <w:rPr>
                <w:rFonts w:ascii="Arial" w:hAnsi="Arial" w:cs="Arial"/>
                <w:sz w:val="18"/>
                <w:szCs w:val="18"/>
              </w:rPr>
              <w:t>All systems</w:t>
            </w:r>
          </w:p>
        </w:tc>
        <w:tc>
          <w:tcPr>
            <w:tcW w:w="6660" w:type="dxa"/>
          </w:tcPr>
          <w:p w14:paraId="732DD8FD" w14:textId="73C6DD24" w:rsidR="00D54D24" w:rsidRPr="00D54D24" w:rsidRDefault="00D54D24" w:rsidP="0065014B">
            <w:pPr>
              <w:pStyle w:val="TableParagraph"/>
              <w:spacing w:line="243" w:lineRule="exact"/>
              <w:rPr>
                <w:rFonts w:ascii="Arial" w:hAnsi="Arial" w:cs="Arial"/>
                <w:sz w:val="18"/>
                <w:szCs w:val="18"/>
              </w:rPr>
            </w:pPr>
            <w:r w:rsidRPr="00D54D24">
              <w:rPr>
                <w:rFonts w:ascii="Arial" w:hAnsi="Arial" w:cs="Arial"/>
                <w:sz w:val="18"/>
                <w:szCs w:val="18"/>
              </w:rPr>
              <w:t>Inspect for improper installation, poor general condition, defects and insecure</w:t>
            </w:r>
            <w:r w:rsidR="0065014B">
              <w:rPr>
                <w:rFonts w:ascii="Arial" w:hAnsi="Arial" w:cs="Arial"/>
                <w:sz w:val="18"/>
                <w:szCs w:val="18"/>
              </w:rPr>
              <w:t xml:space="preserve"> </w:t>
            </w:r>
            <w:r w:rsidRPr="00D54D24">
              <w:rPr>
                <w:rFonts w:ascii="Arial" w:hAnsi="Arial" w:cs="Arial"/>
                <w:sz w:val="18"/>
                <w:szCs w:val="18"/>
              </w:rPr>
              <w:t>attachment.</w:t>
            </w:r>
          </w:p>
        </w:tc>
      </w:tr>
      <w:tr w:rsidR="00D54D24" w:rsidRPr="00D54D24" w14:paraId="3A3808DB" w14:textId="77777777" w:rsidTr="00C342B1">
        <w:trPr>
          <w:trHeight w:val="444"/>
        </w:trPr>
        <w:tc>
          <w:tcPr>
            <w:tcW w:w="2425" w:type="dxa"/>
          </w:tcPr>
          <w:p w14:paraId="76F72FFE" w14:textId="77777777" w:rsidR="00D54D24" w:rsidRPr="00D54D24" w:rsidRDefault="00D54D24" w:rsidP="00D54D24">
            <w:pPr>
              <w:pStyle w:val="TableParagraph"/>
              <w:ind w:left="86"/>
              <w:rPr>
                <w:rFonts w:ascii="Arial" w:hAnsi="Arial" w:cs="Arial"/>
                <w:sz w:val="18"/>
                <w:szCs w:val="18"/>
              </w:rPr>
            </w:pPr>
            <w:r w:rsidRPr="00D54D24">
              <w:rPr>
                <w:rFonts w:ascii="Arial" w:hAnsi="Arial" w:cs="Arial"/>
                <w:sz w:val="18"/>
                <w:szCs w:val="18"/>
              </w:rPr>
              <w:t>Cowling</w:t>
            </w:r>
          </w:p>
        </w:tc>
        <w:tc>
          <w:tcPr>
            <w:tcW w:w="6660" w:type="dxa"/>
          </w:tcPr>
          <w:p w14:paraId="03F90F79" w14:textId="77777777" w:rsidR="00D54D24" w:rsidRPr="00D54D24" w:rsidRDefault="00D54D24" w:rsidP="00D54D24">
            <w:pPr>
              <w:pStyle w:val="TableParagraph"/>
              <w:spacing w:line="243" w:lineRule="exact"/>
              <w:rPr>
                <w:rFonts w:ascii="Arial" w:hAnsi="Arial" w:cs="Arial"/>
                <w:sz w:val="18"/>
                <w:szCs w:val="18"/>
              </w:rPr>
            </w:pPr>
            <w:r w:rsidRPr="00D54D24">
              <w:rPr>
                <w:rFonts w:ascii="Arial" w:hAnsi="Arial" w:cs="Arial"/>
                <w:sz w:val="18"/>
                <w:szCs w:val="18"/>
              </w:rPr>
              <w:t>Inspect for cracks and defects.</w:t>
            </w:r>
          </w:p>
          <w:p w14:paraId="04D35387" w14:textId="77777777" w:rsidR="00D54D24" w:rsidRPr="00D54D24" w:rsidRDefault="00D54D24" w:rsidP="00D54D24">
            <w:pPr>
              <w:pStyle w:val="TableParagraph"/>
              <w:spacing w:line="243" w:lineRule="exact"/>
              <w:rPr>
                <w:rFonts w:ascii="Arial" w:hAnsi="Arial" w:cs="Arial"/>
                <w:sz w:val="18"/>
                <w:szCs w:val="18"/>
              </w:rPr>
            </w:pPr>
            <w:r w:rsidRPr="00D54D24">
              <w:rPr>
                <w:rFonts w:ascii="Arial" w:hAnsi="Arial" w:cs="Arial"/>
                <w:sz w:val="18"/>
                <w:szCs w:val="18"/>
              </w:rPr>
              <w:t>Check cowling flaps.</w:t>
            </w:r>
          </w:p>
        </w:tc>
      </w:tr>
      <w:tr w:rsidR="00D54D24" w:rsidRPr="00D54D24" w14:paraId="15539CEF" w14:textId="77777777" w:rsidTr="00C342B1">
        <w:trPr>
          <w:trHeight w:val="444"/>
        </w:trPr>
        <w:tc>
          <w:tcPr>
            <w:tcW w:w="2425" w:type="dxa"/>
          </w:tcPr>
          <w:p w14:paraId="12B896D9" w14:textId="77777777" w:rsidR="00D54D24" w:rsidRPr="00D54D24" w:rsidRDefault="00D54D24" w:rsidP="00D54D24">
            <w:pPr>
              <w:pStyle w:val="TableParagraph"/>
              <w:ind w:left="86"/>
              <w:rPr>
                <w:rFonts w:ascii="Arial" w:hAnsi="Arial" w:cs="Arial"/>
                <w:sz w:val="18"/>
                <w:szCs w:val="18"/>
              </w:rPr>
            </w:pPr>
            <w:r w:rsidRPr="00D54D24">
              <w:rPr>
                <w:rFonts w:ascii="Arial" w:hAnsi="Arial" w:cs="Arial"/>
                <w:sz w:val="18"/>
                <w:szCs w:val="18"/>
              </w:rPr>
              <w:t>Cooling baffles and seals</w:t>
            </w:r>
          </w:p>
        </w:tc>
        <w:tc>
          <w:tcPr>
            <w:tcW w:w="6660" w:type="dxa"/>
          </w:tcPr>
          <w:p w14:paraId="4E7FBBC7" w14:textId="77777777" w:rsidR="00D54D24" w:rsidRPr="00D54D24" w:rsidRDefault="00D54D24" w:rsidP="00D54D24">
            <w:pPr>
              <w:pStyle w:val="TableParagraph"/>
              <w:spacing w:line="243" w:lineRule="exact"/>
              <w:rPr>
                <w:rFonts w:ascii="Arial" w:hAnsi="Arial" w:cs="Arial"/>
                <w:sz w:val="18"/>
                <w:szCs w:val="18"/>
              </w:rPr>
            </w:pPr>
            <w:r w:rsidRPr="00D54D24">
              <w:rPr>
                <w:rFonts w:ascii="Arial" w:hAnsi="Arial" w:cs="Arial"/>
                <w:sz w:val="18"/>
                <w:szCs w:val="18"/>
              </w:rPr>
              <w:t>Inspect for defects, improper attachment, and wear.</w:t>
            </w:r>
          </w:p>
        </w:tc>
      </w:tr>
      <w:tr w:rsidR="00D54D24" w:rsidRPr="00D54D24" w14:paraId="0CF961F3" w14:textId="77777777" w:rsidTr="0065014B">
        <w:trPr>
          <w:trHeight w:val="202"/>
        </w:trPr>
        <w:tc>
          <w:tcPr>
            <w:tcW w:w="9085" w:type="dxa"/>
            <w:gridSpan w:val="2"/>
            <w:shd w:val="clear" w:color="auto" w:fill="F2F2F2" w:themeFill="background1" w:themeFillShade="F2"/>
          </w:tcPr>
          <w:p w14:paraId="43B835EB" w14:textId="77777777" w:rsidR="00D54D24" w:rsidRPr="00D54D24" w:rsidRDefault="00D54D24" w:rsidP="00D54D24">
            <w:pPr>
              <w:pStyle w:val="TableParagraph"/>
              <w:spacing w:line="225" w:lineRule="exact"/>
              <w:ind w:left="86"/>
              <w:rPr>
                <w:rFonts w:ascii="Arial" w:hAnsi="Arial" w:cs="Arial"/>
                <w:b/>
                <w:sz w:val="18"/>
                <w:szCs w:val="18"/>
              </w:rPr>
            </w:pPr>
            <w:r w:rsidRPr="00D54D24">
              <w:rPr>
                <w:rFonts w:ascii="Arial" w:hAnsi="Arial" w:cs="Arial"/>
                <w:b/>
                <w:sz w:val="18"/>
                <w:szCs w:val="18"/>
              </w:rPr>
              <w:t>TURBOPROP</w:t>
            </w:r>
            <w:r w:rsidRPr="00D54D24">
              <w:rPr>
                <w:rFonts w:ascii="Arial" w:hAnsi="Arial" w:cs="Arial"/>
                <w:b/>
                <w:spacing w:val="-6"/>
                <w:sz w:val="18"/>
                <w:szCs w:val="18"/>
              </w:rPr>
              <w:t xml:space="preserve"> </w:t>
            </w:r>
            <w:r w:rsidRPr="00D54D24">
              <w:rPr>
                <w:rFonts w:ascii="Arial" w:hAnsi="Arial" w:cs="Arial"/>
                <w:b/>
                <w:sz w:val="18"/>
                <w:szCs w:val="18"/>
              </w:rPr>
              <w:t>ENGINE</w:t>
            </w:r>
          </w:p>
        </w:tc>
      </w:tr>
      <w:tr w:rsidR="00D54D24" w:rsidRPr="00D54D24" w14:paraId="69A4D26C" w14:textId="77777777" w:rsidTr="00C342B1">
        <w:trPr>
          <w:trHeight w:val="444"/>
        </w:trPr>
        <w:tc>
          <w:tcPr>
            <w:tcW w:w="2425" w:type="dxa"/>
          </w:tcPr>
          <w:p w14:paraId="562F5821" w14:textId="77777777" w:rsidR="00D54D24" w:rsidRPr="00D54D24" w:rsidRDefault="00D54D24" w:rsidP="00D54D24">
            <w:pPr>
              <w:pStyle w:val="TableParagraph"/>
              <w:ind w:left="86"/>
              <w:rPr>
                <w:rFonts w:ascii="Arial" w:hAnsi="Arial" w:cs="Arial"/>
                <w:sz w:val="18"/>
                <w:szCs w:val="18"/>
              </w:rPr>
            </w:pPr>
            <w:r w:rsidRPr="00D54D24">
              <w:rPr>
                <w:rFonts w:ascii="Arial" w:hAnsi="Arial" w:cs="Arial"/>
                <w:sz w:val="18"/>
                <w:szCs w:val="18"/>
              </w:rPr>
              <w:t>Incoming</w:t>
            </w:r>
            <w:r w:rsidRPr="00D54D24">
              <w:rPr>
                <w:rFonts w:ascii="Arial" w:hAnsi="Arial" w:cs="Arial"/>
                <w:spacing w:val="-3"/>
                <w:sz w:val="18"/>
                <w:szCs w:val="18"/>
              </w:rPr>
              <w:t xml:space="preserve"> </w:t>
            </w:r>
            <w:r w:rsidRPr="00D54D24">
              <w:rPr>
                <w:rFonts w:ascii="Arial" w:hAnsi="Arial" w:cs="Arial"/>
                <w:sz w:val="18"/>
                <w:szCs w:val="18"/>
              </w:rPr>
              <w:t>power</w:t>
            </w:r>
            <w:r w:rsidRPr="00D54D24">
              <w:rPr>
                <w:rFonts w:ascii="Arial" w:hAnsi="Arial" w:cs="Arial"/>
                <w:spacing w:val="-2"/>
                <w:sz w:val="18"/>
                <w:szCs w:val="18"/>
              </w:rPr>
              <w:t xml:space="preserve"> </w:t>
            </w:r>
            <w:r w:rsidRPr="00D54D24">
              <w:rPr>
                <w:rFonts w:ascii="Arial" w:hAnsi="Arial" w:cs="Arial"/>
                <w:sz w:val="18"/>
                <w:szCs w:val="18"/>
              </w:rPr>
              <w:t>check</w:t>
            </w:r>
          </w:p>
        </w:tc>
        <w:tc>
          <w:tcPr>
            <w:tcW w:w="6660" w:type="dxa"/>
          </w:tcPr>
          <w:p w14:paraId="5E61D13C" w14:textId="43F495CD" w:rsidR="00D54D24" w:rsidRPr="00D54D24" w:rsidRDefault="00D54D24" w:rsidP="0065014B">
            <w:pPr>
              <w:pStyle w:val="TableParagraph"/>
              <w:spacing w:line="243" w:lineRule="exact"/>
              <w:rPr>
                <w:rFonts w:ascii="Arial" w:hAnsi="Arial" w:cs="Arial"/>
                <w:sz w:val="18"/>
                <w:szCs w:val="18"/>
              </w:rPr>
            </w:pPr>
            <w:r w:rsidRPr="00D54D24">
              <w:rPr>
                <w:rFonts w:ascii="Arial" w:hAnsi="Arial" w:cs="Arial"/>
                <w:sz w:val="18"/>
                <w:szCs w:val="18"/>
              </w:rPr>
              <w:t>Perform</w:t>
            </w:r>
            <w:r w:rsidRPr="00D54D24">
              <w:rPr>
                <w:rFonts w:ascii="Arial" w:hAnsi="Arial" w:cs="Arial"/>
                <w:spacing w:val="-3"/>
                <w:sz w:val="18"/>
                <w:szCs w:val="18"/>
              </w:rPr>
              <w:t xml:space="preserve"> </w:t>
            </w:r>
            <w:r w:rsidRPr="00D54D24">
              <w:rPr>
                <w:rFonts w:ascii="Arial" w:hAnsi="Arial" w:cs="Arial"/>
                <w:sz w:val="18"/>
                <w:szCs w:val="18"/>
              </w:rPr>
              <w:t>in accordance</w:t>
            </w:r>
            <w:r w:rsidRPr="00D54D24">
              <w:rPr>
                <w:rFonts w:ascii="Arial" w:hAnsi="Arial" w:cs="Arial"/>
                <w:spacing w:val="-3"/>
                <w:sz w:val="18"/>
                <w:szCs w:val="18"/>
              </w:rPr>
              <w:t xml:space="preserve"> </w:t>
            </w:r>
            <w:r w:rsidRPr="00D54D24">
              <w:rPr>
                <w:rFonts w:ascii="Arial" w:hAnsi="Arial" w:cs="Arial"/>
                <w:sz w:val="18"/>
                <w:szCs w:val="18"/>
              </w:rPr>
              <w:t>with</w:t>
            </w:r>
            <w:r w:rsidRPr="00D54D24">
              <w:rPr>
                <w:rFonts w:ascii="Arial" w:hAnsi="Arial" w:cs="Arial"/>
                <w:spacing w:val="-2"/>
                <w:sz w:val="18"/>
                <w:szCs w:val="18"/>
              </w:rPr>
              <w:t xml:space="preserve"> </w:t>
            </w:r>
            <w:r w:rsidRPr="00D54D24">
              <w:rPr>
                <w:rFonts w:ascii="Arial" w:hAnsi="Arial" w:cs="Arial"/>
                <w:sz w:val="18"/>
                <w:szCs w:val="18"/>
              </w:rPr>
              <w:t>the</w:t>
            </w:r>
            <w:r w:rsidRPr="00D54D24">
              <w:rPr>
                <w:rFonts w:ascii="Arial" w:hAnsi="Arial" w:cs="Arial"/>
                <w:spacing w:val="-2"/>
                <w:sz w:val="18"/>
                <w:szCs w:val="18"/>
              </w:rPr>
              <w:t xml:space="preserve"> </w:t>
            </w:r>
            <w:r w:rsidRPr="00D54D24">
              <w:rPr>
                <w:rFonts w:ascii="Arial" w:hAnsi="Arial" w:cs="Arial"/>
                <w:sz w:val="18"/>
                <w:szCs w:val="18"/>
              </w:rPr>
              <w:t>graphs</w:t>
            </w:r>
            <w:r w:rsidRPr="00D54D24">
              <w:rPr>
                <w:rFonts w:ascii="Arial" w:hAnsi="Arial" w:cs="Arial"/>
                <w:spacing w:val="-3"/>
                <w:sz w:val="18"/>
                <w:szCs w:val="18"/>
              </w:rPr>
              <w:t xml:space="preserve"> </w:t>
            </w:r>
            <w:r w:rsidRPr="00D54D24">
              <w:rPr>
                <w:rFonts w:ascii="Arial" w:hAnsi="Arial" w:cs="Arial"/>
                <w:sz w:val="18"/>
                <w:szCs w:val="18"/>
              </w:rPr>
              <w:t>found</w:t>
            </w:r>
            <w:r w:rsidRPr="00D54D24">
              <w:rPr>
                <w:rFonts w:ascii="Arial" w:hAnsi="Arial" w:cs="Arial"/>
                <w:spacing w:val="-1"/>
                <w:sz w:val="18"/>
                <w:szCs w:val="18"/>
              </w:rPr>
              <w:t xml:space="preserve"> </w:t>
            </w:r>
            <w:r w:rsidRPr="00D54D24">
              <w:rPr>
                <w:rFonts w:ascii="Arial" w:hAnsi="Arial" w:cs="Arial"/>
                <w:sz w:val="18"/>
                <w:szCs w:val="18"/>
              </w:rPr>
              <w:t>in</w:t>
            </w:r>
            <w:r w:rsidRPr="00D54D24">
              <w:rPr>
                <w:rFonts w:ascii="Arial" w:hAnsi="Arial" w:cs="Arial"/>
                <w:spacing w:val="-1"/>
                <w:sz w:val="18"/>
                <w:szCs w:val="18"/>
              </w:rPr>
              <w:t xml:space="preserve"> </w:t>
            </w:r>
            <w:r w:rsidRPr="00D54D24">
              <w:rPr>
                <w:rFonts w:ascii="Arial" w:hAnsi="Arial" w:cs="Arial"/>
                <w:sz w:val="18"/>
                <w:szCs w:val="18"/>
              </w:rPr>
              <w:t>the</w:t>
            </w:r>
            <w:r w:rsidRPr="00D54D24">
              <w:rPr>
                <w:rFonts w:ascii="Arial" w:hAnsi="Arial" w:cs="Arial"/>
                <w:spacing w:val="-2"/>
                <w:sz w:val="18"/>
                <w:szCs w:val="18"/>
              </w:rPr>
              <w:t xml:space="preserve"> </w:t>
            </w:r>
            <w:r w:rsidRPr="00D54D24">
              <w:rPr>
                <w:rFonts w:ascii="Arial" w:hAnsi="Arial" w:cs="Arial"/>
                <w:sz w:val="18"/>
                <w:szCs w:val="18"/>
              </w:rPr>
              <w:t>engine maintenance</w:t>
            </w:r>
            <w:r w:rsidR="0065014B">
              <w:rPr>
                <w:rFonts w:ascii="Arial" w:hAnsi="Arial" w:cs="Arial"/>
                <w:sz w:val="18"/>
                <w:szCs w:val="18"/>
              </w:rPr>
              <w:t xml:space="preserve"> </w:t>
            </w:r>
            <w:r w:rsidRPr="00D54D24">
              <w:rPr>
                <w:rFonts w:ascii="Arial" w:hAnsi="Arial" w:cs="Arial"/>
                <w:sz w:val="18"/>
                <w:szCs w:val="18"/>
              </w:rPr>
              <w:t>manual</w:t>
            </w:r>
            <w:r w:rsidRPr="00D54D24">
              <w:rPr>
                <w:rFonts w:ascii="Arial" w:hAnsi="Arial" w:cs="Arial"/>
                <w:spacing w:val="-3"/>
                <w:sz w:val="18"/>
                <w:szCs w:val="18"/>
              </w:rPr>
              <w:t xml:space="preserve"> </w:t>
            </w:r>
            <w:r w:rsidRPr="00D54D24">
              <w:rPr>
                <w:rFonts w:ascii="Arial" w:hAnsi="Arial" w:cs="Arial"/>
                <w:sz w:val="18"/>
                <w:szCs w:val="18"/>
              </w:rPr>
              <w:t>(EMM).</w:t>
            </w:r>
          </w:p>
        </w:tc>
      </w:tr>
      <w:tr w:rsidR="00D54D24" w:rsidRPr="00D54D24" w14:paraId="3537102B" w14:textId="77777777" w:rsidTr="00C342B1">
        <w:trPr>
          <w:trHeight w:val="202"/>
        </w:trPr>
        <w:tc>
          <w:tcPr>
            <w:tcW w:w="2425" w:type="dxa"/>
          </w:tcPr>
          <w:p w14:paraId="73295B17" w14:textId="77777777" w:rsidR="00D54D24" w:rsidRPr="00D54D24" w:rsidRDefault="00D54D24" w:rsidP="00D54D24">
            <w:pPr>
              <w:pStyle w:val="TableParagraph"/>
              <w:spacing w:line="225" w:lineRule="exact"/>
              <w:ind w:left="86"/>
              <w:rPr>
                <w:rFonts w:ascii="Arial" w:hAnsi="Arial" w:cs="Arial"/>
                <w:sz w:val="18"/>
                <w:szCs w:val="18"/>
              </w:rPr>
            </w:pPr>
            <w:r w:rsidRPr="00D54D24">
              <w:rPr>
                <w:rFonts w:ascii="Arial" w:hAnsi="Arial" w:cs="Arial"/>
                <w:sz w:val="18"/>
                <w:szCs w:val="18"/>
              </w:rPr>
              <w:t>Inertial</w:t>
            </w:r>
            <w:r w:rsidRPr="00D54D24">
              <w:rPr>
                <w:rFonts w:ascii="Arial" w:hAnsi="Arial" w:cs="Arial"/>
                <w:spacing w:val="-4"/>
                <w:sz w:val="18"/>
                <w:szCs w:val="18"/>
              </w:rPr>
              <w:t xml:space="preserve"> </w:t>
            </w:r>
            <w:r w:rsidRPr="00D54D24">
              <w:rPr>
                <w:rFonts w:ascii="Arial" w:hAnsi="Arial" w:cs="Arial"/>
                <w:sz w:val="18"/>
                <w:szCs w:val="18"/>
              </w:rPr>
              <w:t>separator</w:t>
            </w:r>
          </w:p>
        </w:tc>
        <w:tc>
          <w:tcPr>
            <w:tcW w:w="6660" w:type="dxa"/>
          </w:tcPr>
          <w:p w14:paraId="149863BD" w14:textId="77777777" w:rsidR="00D54D24" w:rsidRPr="00D54D24" w:rsidRDefault="00D54D24" w:rsidP="00D54D24">
            <w:pPr>
              <w:pStyle w:val="TableParagraph"/>
              <w:spacing w:line="225" w:lineRule="exact"/>
              <w:rPr>
                <w:rFonts w:ascii="Arial" w:hAnsi="Arial" w:cs="Arial"/>
                <w:sz w:val="18"/>
                <w:szCs w:val="18"/>
              </w:rPr>
            </w:pPr>
            <w:r w:rsidRPr="00D54D24">
              <w:rPr>
                <w:rFonts w:ascii="Arial" w:hAnsi="Arial" w:cs="Arial"/>
                <w:sz w:val="18"/>
                <w:szCs w:val="18"/>
              </w:rPr>
              <w:t>Functional</w:t>
            </w:r>
            <w:r w:rsidRPr="00D54D24">
              <w:rPr>
                <w:rFonts w:ascii="Arial" w:hAnsi="Arial" w:cs="Arial"/>
                <w:spacing w:val="-2"/>
                <w:sz w:val="18"/>
                <w:szCs w:val="18"/>
              </w:rPr>
              <w:t xml:space="preserve"> </w:t>
            </w:r>
            <w:r w:rsidRPr="00D54D24">
              <w:rPr>
                <w:rFonts w:ascii="Arial" w:hAnsi="Arial" w:cs="Arial"/>
                <w:sz w:val="18"/>
                <w:szCs w:val="18"/>
              </w:rPr>
              <w:t>check</w:t>
            </w:r>
          </w:p>
        </w:tc>
      </w:tr>
      <w:tr w:rsidR="00D54D24" w:rsidRPr="00D54D24" w14:paraId="639418C9" w14:textId="77777777" w:rsidTr="00C342B1">
        <w:trPr>
          <w:trHeight w:val="200"/>
        </w:trPr>
        <w:tc>
          <w:tcPr>
            <w:tcW w:w="2425" w:type="dxa"/>
          </w:tcPr>
          <w:p w14:paraId="1C74188A" w14:textId="77777777" w:rsidR="00D54D24" w:rsidRPr="00D54D24" w:rsidRDefault="00D54D24" w:rsidP="00D54D24">
            <w:pPr>
              <w:pStyle w:val="TableParagraph"/>
              <w:spacing w:line="223" w:lineRule="exact"/>
              <w:ind w:left="86"/>
              <w:rPr>
                <w:rFonts w:ascii="Arial" w:hAnsi="Arial" w:cs="Arial"/>
                <w:sz w:val="18"/>
                <w:szCs w:val="18"/>
              </w:rPr>
            </w:pPr>
            <w:r w:rsidRPr="00D54D24">
              <w:rPr>
                <w:rFonts w:ascii="Arial" w:hAnsi="Arial" w:cs="Arial"/>
                <w:sz w:val="18"/>
                <w:szCs w:val="18"/>
              </w:rPr>
              <w:t>Engine</w:t>
            </w:r>
            <w:r w:rsidRPr="00D54D24">
              <w:rPr>
                <w:rFonts w:ascii="Arial" w:hAnsi="Arial" w:cs="Arial"/>
                <w:spacing w:val="-4"/>
                <w:sz w:val="18"/>
                <w:szCs w:val="18"/>
              </w:rPr>
              <w:t xml:space="preserve"> </w:t>
            </w:r>
            <w:r w:rsidRPr="00D54D24">
              <w:rPr>
                <w:rFonts w:ascii="Arial" w:hAnsi="Arial" w:cs="Arial"/>
                <w:sz w:val="18"/>
                <w:szCs w:val="18"/>
              </w:rPr>
              <w:t>cowling</w:t>
            </w:r>
          </w:p>
        </w:tc>
        <w:tc>
          <w:tcPr>
            <w:tcW w:w="6660" w:type="dxa"/>
          </w:tcPr>
          <w:p w14:paraId="2CDE3496" w14:textId="77777777" w:rsidR="00D54D24" w:rsidRPr="00D54D24" w:rsidRDefault="00D54D24" w:rsidP="00D54D24">
            <w:pPr>
              <w:pStyle w:val="TableParagraph"/>
              <w:spacing w:line="223" w:lineRule="exact"/>
              <w:rPr>
                <w:rFonts w:ascii="Arial" w:hAnsi="Arial" w:cs="Arial"/>
                <w:sz w:val="18"/>
                <w:szCs w:val="18"/>
              </w:rPr>
            </w:pPr>
            <w:r w:rsidRPr="00D54D24">
              <w:rPr>
                <w:rFonts w:ascii="Arial" w:hAnsi="Arial" w:cs="Arial"/>
                <w:sz w:val="18"/>
                <w:szCs w:val="18"/>
              </w:rPr>
              <w:t>Remove,</w:t>
            </w:r>
            <w:r w:rsidRPr="00D54D24">
              <w:rPr>
                <w:rFonts w:ascii="Arial" w:hAnsi="Arial" w:cs="Arial"/>
                <w:spacing w:val="-3"/>
                <w:sz w:val="18"/>
                <w:szCs w:val="18"/>
              </w:rPr>
              <w:t xml:space="preserve"> </w:t>
            </w:r>
            <w:r w:rsidRPr="00D54D24">
              <w:rPr>
                <w:rFonts w:ascii="Arial" w:hAnsi="Arial" w:cs="Arial"/>
                <w:sz w:val="18"/>
                <w:szCs w:val="18"/>
              </w:rPr>
              <w:t>inspect</w:t>
            </w:r>
            <w:r w:rsidRPr="00D54D24">
              <w:rPr>
                <w:rFonts w:ascii="Arial" w:hAnsi="Arial" w:cs="Arial"/>
                <w:spacing w:val="-2"/>
                <w:sz w:val="18"/>
                <w:szCs w:val="18"/>
              </w:rPr>
              <w:t xml:space="preserve"> </w:t>
            </w:r>
            <w:r w:rsidRPr="00D54D24">
              <w:rPr>
                <w:rFonts w:ascii="Arial" w:hAnsi="Arial" w:cs="Arial"/>
                <w:sz w:val="18"/>
                <w:szCs w:val="18"/>
              </w:rPr>
              <w:t>for</w:t>
            </w:r>
            <w:r w:rsidRPr="00D54D24">
              <w:rPr>
                <w:rFonts w:ascii="Arial" w:hAnsi="Arial" w:cs="Arial"/>
                <w:spacing w:val="-3"/>
                <w:sz w:val="18"/>
                <w:szCs w:val="18"/>
              </w:rPr>
              <w:t xml:space="preserve"> </w:t>
            </w:r>
            <w:r w:rsidRPr="00D54D24">
              <w:rPr>
                <w:rFonts w:ascii="Arial" w:hAnsi="Arial" w:cs="Arial"/>
                <w:sz w:val="18"/>
                <w:szCs w:val="18"/>
              </w:rPr>
              <w:t>damage.</w:t>
            </w:r>
          </w:p>
        </w:tc>
      </w:tr>
      <w:tr w:rsidR="00D54D24" w:rsidRPr="00D54D24" w14:paraId="11A3D7E6" w14:textId="77777777" w:rsidTr="00C342B1">
        <w:trPr>
          <w:trHeight w:val="202"/>
        </w:trPr>
        <w:tc>
          <w:tcPr>
            <w:tcW w:w="2425" w:type="dxa"/>
          </w:tcPr>
          <w:p w14:paraId="4387BCFF" w14:textId="77777777" w:rsidR="00D54D24" w:rsidRPr="00D54D24" w:rsidRDefault="00D54D24" w:rsidP="00D54D24">
            <w:pPr>
              <w:pStyle w:val="TableParagraph"/>
              <w:spacing w:line="225" w:lineRule="exact"/>
              <w:ind w:left="86"/>
              <w:rPr>
                <w:rFonts w:ascii="Arial" w:hAnsi="Arial" w:cs="Arial"/>
                <w:sz w:val="18"/>
                <w:szCs w:val="18"/>
              </w:rPr>
            </w:pPr>
            <w:r w:rsidRPr="00D54D24">
              <w:rPr>
                <w:rFonts w:ascii="Arial" w:hAnsi="Arial" w:cs="Arial"/>
                <w:sz w:val="18"/>
                <w:szCs w:val="18"/>
              </w:rPr>
              <w:t>General</w:t>
            </w:r>
            <w:r w:rsidRPr="00D54D24">
              <w:rPr>
                <w:rFonts w:ascii="Arial" w:hAnsi="Arial" w:cs="Arial"/>
                <w:spacing w:val="-4"/>
                <w:sz w:val="18"/>
                <w:szCs w:val="18"/>
              </w:rPr>
              <w:t xml:space="preserve"> </w:t>
            </w:r>
            <w:r w:rsidRPr="00D54D24">
              <w:rPr>
                <w:rFonts w:ascii="Arial" w:hAnsi="Arial" w:cs="Arial"/>
                <w:sz w:val="18"/>
                <w:szCs w:val="18"/>
              </w:rPr>
              <w:t>condition</w:t>
            </w:r>
          </w:p>
        </w:tc>
        <w:tc>
          <w:tcPr>
            <w:tcW w:w="6660" w:type="dxa"/>
          </w:tcPr>
          <w:p w14:paraId="496A64A5" w14:textId="77777777" w:rsidR="00D54D24" w:rsidRPr="00D54D24" w:rsidRDefault="00D54D24" w:rsidP="00D54D24">
            <w:pPr>
              <w:pStyle w:val="TableParagraph"/>
              <w:spacing w:line="225" w:lineRule="exact"/>
              <w:rPr>
                <w:rFonts w:ascii="Arial" w:hAnsi="Arial" w:cs="Arial"/>
                <w:sz w:val="18"/>
                <w:szCs w:val="18"/>
              </w:rPr>
            </w:pPr>
            <w:r w:rsidRPr="00D54D24">
              <w:rPr>
                <w:rFonts w:ascii="Arial" w:hAnsi="Arial" w:cs="Arial"/>
                <w:sz w:val="18"/>
                <w:szCs w:val="18"/>
              </w:rPr>
              <w:t>Inspect</w:t>
            </w:r>
            <w:r w:rsidRPr="00D54D24">
              <w:rPr>
                <w:rFonts w:ascii="Arial" w:hAnsi="Arial" w:cs="Arial"/>
                <w:spacing w:val="-3"/>
                <w:sz w:val="18"/>
                <w:szCs w:val="18"/>
              </w:rPr>
              <w:t xml:space="preserve"> </w:t>
            </w:r>
            <w:r w:rsidRPr="00D54D24">
              <w:rPr>
                <w:rFonts w:ascii="Arial" w:hAnsi="Arial" w:cs="Arial"/>
                <w:sz w:val="18"/>
                <w:szCs w:val="18"/>
              </w:rPr>
              <w:t>for</w:t>
            </w:r>
            <w:r w:rsidRPr="00D54D24">
              <w:rPr>
                <w:rFonts w:ascii="Arial" w:hAnsi="Arial" w:cs="Arial"/>
                <w:spacing w:val="-2"/>
                <w:sz w:val="18"/>
                <w:szCs w:val="18"/>
              </w:rPr>
              <w:t xml:space="preserve"> </w:t>
            </w:r>
            <w:r w:rsidRPr="00D54D24">
              <w:rPr>
                <w:rFonts w:ascii="Arial" w:hAnsi="Arial" w:cs="Arial"/>
                <w:sz w:val="18"/>
                <w:szCs w:val="18"/>
              </w:rPr>
              <w:t>oil,</w:t>
            </w:r>
            <w:r w:rsidRPr="00D54D24">
              <w:rPr>
                <w:rFonts w:ascii="Arial" w:hAnsi="Arial" w:cs="Arial"/>
                <w:spacing w:val="-2"/>
                <w:sz w:val="18"/>
                <w:szCs w:val="18"/>
              </w:rPr>
              <w:t xml:space="preserve"> </w:t>
            </w:r>
            <w:r w:rsidRPr="00D54D24">
              <w:rPr>
                <w:rFonts w:ascii="Arial" w:hAnsi="Arial" w:cs="Arial"/>
                <w:sz w:val="18"/>
                <w:szCs w:val="18"/>
              </w:rPr>
              <w:t>fuel,</w:t>
            </w:r>
            <w:r w:rsidRPr="00D54D24">
              <w:rPr>
                <w:rFonts w:ascii="Arial" w:hAnsi="Arial" w:cs="Arial"/>
                <w:spacing w:val="-2"/>
                <w:sz w:val="18"/>
                <w:szCs w:val="18"/>
              </w:rPr>
              <w:t xml:space="preserve"> </w:t>
            </w:r>
            <w:r w:rsidRPr="00D54D24">
              <w:rPr>
                <w:rFonts w:ascii="Arial" w:hAnsi="Arial" w:cs="Arial"/>
                <w:sz w:val="18"/>
                <w:szCs w:val="18"/>
              </w:rPr>
              <w:t>bleed-air or</w:t>
            </w:r>
            <w:r w:rsidRPr="00D54D24">
              <w:rPr>
                <w:rFonts w:ascii="Arial" w:hAnsi="Arial" w:cs="Arial"/>
                <w:spacing w:val="-2"/>
                <w:sz w:val="18"/>
                <w:szCs w:val="18"/>
              </w:rPr>
              <w:t xml:space="preserve"> </w:t>
            </w:r>
            <w:r w:rsidRPr="00D54D24">
              <w:rPr>
                <w:rFonts w:ascii="Arial" w:hAnsi="Arial" w:cs="Arial"/>
                <w:sz w:val="18"/>
                <w:szCs w:val="18"/>
              </w:rPr>
              <w:t>other</w:t>
            </w:r>
            <w:r w:rsidRPr="00D54D24">
              <w:rPr>
                <w:rFonts w:ascii="Arial" w:hAnsi="Arial" w:cs="Arial"/>
                <w:spacing w:val="-2"/>
                <w:sz w:val="18"/>
                <w:szCs w:val="18"/>
              </w:rPr>
              <w:t xml:space="preserve"> </w:t>
            </w:r>
            <w:r w:rsidRPr="00D54D24">
              <w:rPr>
                <w:rFonts w:ascii="Arial" w:hAnsi="Arial" w:cs="Arial"/>
                <w:sz w:val="18"/>
                <w:szCs w:val="18"/>
              </w:rPr>
              <w:t>leaks.</w:t>
            </w:r>
          </w:p>
        </w:tc>
      </w:tr>
      <w:tr w:rsidR="00D54D24" w:rsidRPr="00D54D24" w14:paraId="1933A6C1" w14:textId="77777777" w:rsidTr="00C342B1">
        <w:trPr>
          <w:trHeight w:val="445"/>
        </w:trPr>
        <w:tc>
          <w:tcPr>
            <w:tcW w:w="2425" w:type="dxa"/>
          </w:tcPr>
          <w:p w14:paraId="358C8016" w14:textId="18E0D446" w:rsidR="00D54D24" w:rsidRPr="00D54D24" w:rsidRDefault="00D54D24" w:rsidP="00061309">
            <w:pPr>
              <w:pStyle w:val="TableParagraph"/>
              <w:spacing w:line="243" w:lineRule="exact"/>
              <w:ind w:left="86"/>
              <w:rPr>
                <w:rFonts w:ascii="Arial" w:hAnsi="Arial" w:cs="Arial"/>
                <w:sz w:val="18"/>
                <w:szCs w:val="18"/>
              </w:rPr>
            </w:pPr>
            <w:r w:rsidRPr="00D54D24">
              <w:rPr>
                <w:rFonts w:ascii="Arial" w:hAnsi="Arial" w:cs="Arial"/>
                <w:sz w:val="18"/>
                <w:szCs w:val="18"/>
              </w:rPr>
              <w:t>1st</w:t>
            </w:r>
            <w:r w:rsidRPr="00D54D24">
              <w:rPr>
                <w:rFonts w:ascii="Arial" w:hAnsi="Arial" w:cs="Arial"/>
                <w:spacing w:val="-3"/>
                <w:sz w:val="18"/>
                <w:szCs w:val="18"/>
              </w:rPr>
              <w:t xml:space="preserve"> </w:t>
            </w:r>
            <w:r w:rsidRPr="00D54D24">
              <w:rPr>
                <w:rFonts w:ascii="Arial" w:hAnsi="Arial" w:cs="Arial"/>
                <w:sz w:val="18"/>
                <w:szCs w:val="18"/>
              </w:rPr>
              <w:t>stage</w:t>
            </w:r>
            <w:r w:rsidRPr="00D54D24">
              <w:rPr>
                <w:rFonts w:ascii="Arial" w:hAnsi="Arial" w:cs="Arial"/>
                <w:spacing w:val="-4"/>
                <w:sz w:val="18"/>
                <w:szCs w:val="18"/>
              </w:rPr>
              <w:t xml:space="preserve"> </w:t>
            </w:r>
            <w:r w:rsidRPr="00D54D24">
              <w:rPr>
                <w:rFonts w:ascii="Arial" w:hAnsi="Arial" w:cs="Arial"/>
                <w:sz w:val="18"/>
                <w:szCs w:val="18"/>
              </w:rPr>
              <w:t>compressor</w:t>
            </w:r>
            <w:r w:rsidR="00061309">
              <w:rPr>
                <w:rFonts w:ascii="Arial" w:hAnsi="Arial" w:cs="Arial"/>
                <w:sz w:val="18"/>
                <w:szCs w:val="18"/>
              </w:rPr>
              <w:t xml:space="preserve"> </w:t>
            </w:r>
            <w:r w:rsidRPr="00D54D24">
              <w:rPr>
                <w:rFonts w:ascii="Arial" w:hAnsi="Arial" w:cs="Arial"/>
                <w:sz w:val="18"/>
                <w:szCs w:val="18"/>
              </w:rPr>
              <w:t>blades</w:t>
            </w:r>
          </w:p>
        </w:tc>
        <w:tc>
          <w:tcPr>
            <w:tcW w:w="6660" w:type="dxa"/>
          </w:tcPr>
          <w:p w14:paraId="6A1A9785" w14:textId="77777777" w:rsidR="00D54D24" w:rsidRPr="00D54D24" w:rsidRDefault="00D54D24" w:rsidP="00D54D24">
            <w:pPr>
              <w:pStyle w:val="TableParagraph"/>
              <w:spacing w:line="243" w:lineRule="exact"/>
              <w:rPr>
                <w:rFonts w:ascii="Arial" w:hAnsi="Arial" w:cs="Arial"/>
                <w:sz w:val="18"/>
                <w:szCs w:val="18"/>
              </w:rPr>
            </w:pPr>
            <w:r w:rsidRPr="00D54D24">
              <w:rPr>
                <w:rFonts w:ascii="Arial" w:hAnsi="Arial" w:cs="Arial"/>
                <w:sz w:val="18"/>
                <w:szCs w:val="18"/>
              </w:rPr>
              <w:t>Remove</w:t>
            </w:r>
            <w:r w:rsidRPr="00D54D24">
              <w:rPr>
                <w:rFonts w:ascii="Arial" w:hAnsi="Arial" w:cs="Arial"/>
                <w:spacing w:val="-2"/>
                <w:sz w:val="18"/>
                <w:szCs w:val="18"/>
              </w:rPr>
              <w:t xml:space="preserve"> </w:t>
            </w:r>
            <w:r w:rsidRPr="00D54D24">
              <w:rPr>
                <w:rFonts w:ascii="Arial" w:hAnsi="Arial" w:cs="Arial"/>
                <w:sz w:val="18"/>
                <w:szCs w:val="18"/>
              </w:rPr>
              <w:t>screen,</w:t>
            </w:r>
            <w:r w:rsidRPr="00D54D24">
              <w:rPr>
                <w:rFonts w:ascii="Arial" w:hAnsi="Arial" w:cs="Arial"/>
                <w:spacing w:val="-3"/>
                <w:sz w:val="18"/>
                <w:szCs w:val="18"/>
              </w:rPr>
              <w:t xml:space="preserve"> </w:t>
            </w:r>
            <w:r w:rsidRPr="00D54D24">
              <w:rPr>
                <w:rFonts w:ascii="Arial" w:hAnsi="Arial" w:cs="Arial"/>
                <w:sz w:val="18"/>
                <w:szCs w:val="18"/>
              </w:rPr>
              <w:t>check</w:t>
            </w:r>
            <w:r w:rsidRPr="00D54D24">
              <w:rPr>
                <w:rFonts w:ascii="Arial" w:hAnsi="Arial" w:cs="Arial"/>
                <w:spacing w:val="-3"/>
                <w:sz w:val="18"/>
                <w:szCs w:val="18"/>
              </w:rPr>
              <w:t xml:space="preserve"> </w:t>
            </w:r>
            <w:r w:rsidRPr="00D54D24">
              <w:rPr>
                <w:rFonts w:ascii="Arial" w:hAnsi="Arial" w:cs="Arial"/>
                <w:sz w:val="18"/>
                <w:szCs w:val="18"/>
              </w:rPr>
              <w:t>for</w:t>
            </w:r>
            <w:r w:rsidRPr="00D54D24">
              <w:rPr>
                <w:rFonts w:ascii="Arial" w:hAnsi="Arial" w:cs="Arial"/>
                <w:spacing w:val="-1"/>
                <w:sz w:val="18"/>
                <w:szCs w:val="18"/>
              </w:rPr>
              <w:t xml:space="preserve"> </w:t>
            </w:r>
            <w:r w:rsidRPr="00D54D24">
              <w:rPr>
                <w:rFonts w:ascii="Arial" w:hAnsi="Arial" w:cs="Arial"/>
                <w:sz w:val="18"/>
                <w:szCs w:val="18"/>
              </w:rPr>
              <w:t>foreign</w:t>
            </w:r>
            <w:r w:rsidRPr="00D54D24">
              <w:rPr>
                <w:rFonts w:ascii="Arial" w:hAnsi="Arial" w:cs="Arial"/>
                <w:spacing w:val="-2"/>
                <w:sz w:val="18"/>
                <w:szCs w:val="18"/>
              </w:rPr>
              <w:t xml:space="preserve"> </w:t>
            </w:r>
            <w:r w:rsidRPr="00D54D24">
              <w:rPr>
                <w:rFonts w:ascii="Arial" w:hAnsi="Arial" w:cs="Arial"/>
                <w:sz w:val="18"/>
                <w:szCs w:val="18"/>
              </w:rPr>
              <w:t>object</w:t>
            </w:r>
            <w:r w:rsidRPr="00D54D24">
              <w:rPr>
                <w:rFonts w:ascii="Arial" w:hAnsi="Arial" w:cs="Arial"/>
                <w:spacing w:val="-3"/>
                <w:sz w:val="18"/>
                <w:szCs w:val="18"/>
              </w:rPr>
              <w:t xml:space="preserve"> </w:t>
            </w:r>
            <w:r w:rsidRPr="00D54D24">
              <w:rPr>
                <w:rFonts w:ascii="Arial" w:hAnsi="Arial" w:cs="Arial"/>
                <w:sz w:val="18"/>
                <w:szCs w:val="18"/>
              </w:rPr>
              <w:t>debris</w:t>
            </w:r>
            <w:r w:rsidRPr="00D54D24">
              <w:rPr>
                <w:rFonts w:ascii="Arial" w:hAnsi="Arial" w:cs="Arial"/>
                <w:spacing w:val="-2"/>
                <w:sz w:val="18"/>
                <w:szCs w:val="18"/>
              </w:rPr>
              <w:t xml:space="preserve"> </w:t>
            </w:r>
            <w:r w:rsidRPr="00D54D24">
              <w:rPr>
                <w:rFonts w:ascii="Arial" w:hAnsi="Arial" w:cs="Arial"/>
                <w:sz w:val="18"/>
                <w:szCs w:val="18"/>
              </w:rPr>
              <w:t>(FOD)</w:t>
            </w:r>
            <w:r w:rsidRPr="00D54D24">
              <w:rPr>
                <w:rFonts w:ascii="Arial" w:hAnsi="Arial" w:cs="Arial"/>
                <w:spacing w:val="-4"/>
                <w:sz w:val="18"/>
                <w:szCs w:val="18"/>
              </w:rPr>
              <w:t xml:space="preserve"> </w:t>
            </w:r>
            <w:r w:rsidRPr="00D54D24">
              <w:rPr>
                <w:rFonts w:ascii="Arial" w:hAnsi="Arial" w:cs="Arial"/>
                <w:sz w:val="18"/>
                <w:szCs w:val="18"/>
              </w:rPr>
              <w:t>or</w:t>
            </w:r>
            <w:r w:rsidRPr="00D54D24">
              <w:rPr>
                <w:rFonts w:ascii="Arial" w:hAnsi="Arial" w:cs="Arial"/>
                <w:spacing w:val="-3"/>
                <w:sz w:val="18"/>
                <w:szCs w:val="18"/>
              </w:rPr>
              <w:t xml:space="preserve"> </w:t>
            </w:r>
            <w:r w:rsidRPr="00D54D24">
              <w:rPr>
                <w:rFonts w:ascii="Arial" w:hAnsi="Arial" w:cs="Arial"/>
                <w:sz w:val="18"/>
                <w:szCs w:val="18"/>
              </w:rPr>
              <w:t>other</w:t>
            </w:r>
            <w:r w:rsidRPr="00D54D24">
              <w:rPr>
                <w:rFonts w:ascii="Arial" w:hAnsi="Arial" w:cs="Arial"/>
                <w:spacing w:val="-3"/>
                <w:sz w:val="18"/>
                <w:szCs w:val="18"/>
              </w:rPr>
              <w:t xml:space="preserve"> </w:t>
            </w:r>
            <w:r w:rsidRPr="00D54D24">
              <w:rPr>
                <w:rFonts w:ascii="Arial" w:hAnsi="Arial" w:cs="Arial"/>
                <w:sz w:val="18"/>
                <w:szCs w:val="18"/>
              </w:rPr>
              <w:t>damage.</w:t>
            </w:r>
          </w:p>
        </w:tc>
      </w:tr>
      <w:tr w:rsidR="00D54D24" w:rsidRPr="00D54D24" w14:paraId="23EDB531" w14:textId="77777777" w:rsidTr="00C342B1">
        <w:trPr>
          <w:trHeight w:val="200"/>
        </w:trPr>
        <w:tc>
          <w:tcPr>
            <w:tcW w:w="2425" w:type="dxa"/>
          </w:tcPr>
          <w:p w14:paraId="6D9100FE" w14:textId="77777777" w:rsidR="00D54D24" w:rsidRPr="00D54D24" w:rsidRDefault="00D54D24" w:rsidP="00D54D24">
            <w:pPr>
              <w:pStyle w:val="TableParagraph"/>
              <w:spacing w:line="223" w:lineRule="exact"/>
              <w:ind w:left="86"/>
              <w:rPr>
                <w:rFonts w:ascii="Arial" w:hAnsi="Arial" w:cs="Arial"/>
                <w:sz w:val="18"/>
                <w:szCs w:val="18"/>
              </w:rPr>
            </w:pPr>
            <w:r w:rsidRPr="00D54D24">
              <w:rPr>
                <w:rFonts w:ascii="Arial" w:hAnsi="Arial" w:cs="Arial"/>
                <w:sz w:val="18"/>
                <w:szCs w:val="18"/>
              </w:rPr>
              <w:t>P3</w:t>
            </w:r>
            <w:r w:rsidRPr="00D54D24">
              <w:rPr>
                <w:rFonts w:ascii="Arial" w:hAnsi="Arial" w:cs="Arial"/>
                <w:spacing w:val="-2"/>
                <w:sz w:val="18"/>
                <w:szCs w:val="18"/>
              </w:rPr>
              <w:t xml:space="preserve"> </w:t>
            </w:r>
            <w:r w:rsidRPr="00D54D24">
              <w:rPr>
                <w:rFonts w:ascii="Arial" w:hAnsi="Arial" w:cs="Arial"/>
                <w:sz w:val="18"/>
                <w:szCs w:val="18"/>
              </w:rPr>
              <w:t>filter</w:t>
            </w:r>
          </w:p>
        </w:tc>
        <w:tc>
          <w:tcPr>
            <w:tcW w:w="6660" w:type="dxa"/>
          </w:tcPr>
          <w:p w14:paraId="6EE00A08" w14:textId="77777777" w:rsidR="00D54D24" w:rsidRPr="00D54D24" w:rsidRDefault="00D54D24" w:rsidP="00D54D24">
            <w:pPr>
              <w:pStyle w:val="TableParagraph"/>
              <w:spacing w:line="223" w:lineRule="exact"/>
              <w:rPr>
                <w:rFonts w:ascii="Arial" w:hAnsi="Arial" w:cs="Arial"/>
                <w:sz w:val="18"/>
                <w:szCs w:val="18"/>
              </w:rPr>
            </w:pPr>
            <w:r w:rsidRPr="00D54D24">
              <w:rPr>
                <w:rFonts w:ascii="Arial" w:hAnsi="Arial" w:cs="Arial"/>
                <w:sz w:val="18"/>
                <w:szCs w:val="18"/>
              </w:rPr>
              <w:t>Replace</w:t>
            </w:r>
          </w:p>
        </w:tc>
      </w:tr>
      <w:tr w:rsidR="00D54D24" w:rsidRPr="00D54D24" w14:paraId="3FAD38A9" w14:textId="77777777" w:rsidTr="00C342B1">
        <w:trPr>
          <w:trHeight w:val="202"/>
        </w:trPr>
        <w:tc>
          <w:tcPr>
            <w:tcW w:w="2425" w:type="dxa"/>
          </w:tcPr>
          <w:p w14:paraId="714CDC02" w14:textId="77777777" w:rsidR="00D54D24" w:rsidRPr="00D54D24" w:rsidRDefault="00D54D24" w:rsidP="00D54D24">
            <w:pPr>
              <w:pStyle w:val="TableParagraph"/>
              <w:spacing w:line="225" w:lineRule="exact"/>
              <w:ind w:left="86"/>
              <w:rPr>
                <w:rFonts w:ascii="Arial" w:hAnsi="Arial" w:cs="Arial"/>
                <w:sz w:val="18"/>
                <w:szCs w:val="18"/>
              </w:rPr>
            </w:pPr>
            <w:r w:rsidRPr="00D54D24">
              <w:rPr>
                <w:rFonts w:ascii="Arial" w:hAnsi="Arial" w:cs="Arial"/>
                <w:sz w:val="18"/>
                <w:szCs w:val="18"/>
              </w:rPr>
              <w:t>Oil</w:t>
            </w:r>
            <w:r w:rsidRPr="00D54D24">
              <w:rPr>
                <w:rFonts w:ascii="Arial" w:hAnsi="Arial" w:cs="Arial"/>
                <w:spacing w:val="-4"/>
                <w:sz w:val="18"/>
                <w:szCs w:val="18"/>
              </w:rPr>
              <w:t xml:space="preserve"> </w:t>
            </w:r>
            <w:r w:rsidRPr="00D54D24">
              <w:rPr>
                <w:rFonts w:ascii="Arial" w:hAnsi="Arial" w:cs="Arial"/>
                <w:sz w:val="18"/>
                <w:szCs w:val="18"/>
              </w:rPr>
              <w:t>filter</w:t>
            </w:r>
          </w:p>
        </w:tc>
        <w:tc>
          <w:tcPr>
            <w:tcW w:w="6660" w:type="dxa"/>
          </w:tcPr>
          <w:p w14:paraId="2CA1364F" w14:textId="77777777" w:rsidR="00D54D24" w:rsidRPr="00D54D24" w:rsidRDefault="00D54D24" w:rsidP="00D54D24">
            <w:pPr>
              <w:pStyle w:val="TableParagraph"/>
              <w:spacing w:line="225" w:lineRule="exact"/>
              <w:rPr>
                <w:rFonts w:ascii="Arial" w:hAnsi="Arial" w:cs="Arial"/>
                <w:sz w:val="18"/>
                <w:szCs w:val="18"/>
              </w:rPr>
            </w:pPr>
            <w:r w:rsidRPr="00D54D24">
              <w:rPr>
                <w:rFonts w:ascii="Arial" w:hAnsi="Arial" w:cs="Arial"/>
                <w:sz w:val="18"/>
                <w:szCs w:val="18"/>
              </w:rPr>
              <w:t>Inspection</w:t>
            </w:r>
            <w:r w:rsidRPr="00D54D24">
              <w:rPr>
                <w:rFonts w:ascii="Arial" w:hAnsi="Arial" w:cs="Arial"/>
                <w:spacing w:val="-3"/>
                <w:sz w:val="18"/>
                <w:szCs w:val="18"/>
              </w:rPr>
              <w:t xml:space="preserve"> </w:t>
            </w:r>
            <w:r w:rsidRPr="00D54D24">
              <w:rPr>
                <w:rFonts w:ascii="Arial" w:hAnsi="Arial" w:cs="Arial"/>
                <w:sz w:val="18"/>
                <w:szCs w:val="18"/>
              </w:rPr>
              <w:t>and</w:t>
            </w:r>
            <w:r w:rsidRPr="00D54D24">
              <w:rPr>
                <w:rFonts w:ascii="Arial" w:hAnsi="Arial" w:cs="Arial"/>
                <w:spacing w:val="-2"/>
                <w:sz w:val="18"/>
                <w:szCs w:val="18"/>
              </w:rPr>
              <w:t xml:space="preserve"> </w:t>
            </w:r>
            <w:r w:rsidRPr="00D54D24">
              <w:rPr>
                <w:rFonts w:ascii="Arial" w:hAnsi="Arial" w:cs="Arial"/>
                <w:sz w:val="18"/>
                <w:szCs w:val="18"/>
              </w:rPr>
              <w:t>cleaning</w:t>
            </w:r>
          </w:p>
        </w:tc>
      </w:tr>
      <w:tr w:rsidR="00D54D24" w:rsidRPr="00D54D24" w14:paraId="6A9E1929" w14:textId="77777777" w:rsidTr="00C342B1">
        <w:trPr>
          <w:trHeight w:val="199"/>
        </w:trPr>
        <w:tc>
          <w:tcPr>
            <w:tcW w:w="2425" w:type="dxa"/>
          </w:tcPr>
          <w:p w14:paraId="73637B91" w14:textId="77777777" w:rsidR="00D54D24" w:rsidRPr="00D54D24" w:rsidRDefault="00D54D24" w:rsidP="00D54D24">
            <w:pPr>
              <w:pStyle w:val="TableParagraph"/>
              <w:spacing w:line="223" w:lineRule="exact"/>
              <w:ind w:left="86"/>
              <w:rPr>
                <w:rFonts w:ascii="Arial" w:hAnsi="Arial" w:cs="Arial"/>
                <w:sz w:val="18"/>
                <w:szCs w:val="18"/>
              </w:rPr>
            </w:pPr>
            <w:r w:rsidRPr="00D54D24">
              <w:rPr>
                <w:rFonts w:ascii="Arial" w:hAnsi="Arial" w:cs="Arial"/>
                <w:sz w:val="18"/>
                <w:szCs w:val="18"/>
              </w:rPr>
              <w:t>Fuel</w:t>
            </w:r>
            <w:r w:rsidRPr="00D54D24">
              <w:rPr>
                <w:rFonts w:ascii="Arial" w:hAnsi="Arial" w:cs="Arial"/>
                <w:spacing w:val="-3"/>
                <w:sz w:val="18"/>
                <w:szCs w:val="18"/>
              </w:rPr>
              <w:t xml:space="preserve"> </w:t>
            </w:r>
            <w:r w:rsidRPr="00D54D24">
              <w:rPr>
                <w:rFonts w:ascii="Arial" w:hAnsi="Arial" w:cs="Arial"/>
                <w:sz w:val="18"/>
                <w:szCs w:val="18"/>
              </w:rPr>
              <w:t>low</w:t>
            </w:r>
            <w:r w:rsidRPr="00D54D24">
              <w:rPr>
                <w:rFonts w:ascii="Arial" w:hAnsi="Arial" w:cs="Arial"/>
                <w:spacing w:val="-3"/>
                <w:sz w:val="18"/>
                <w:szCs w:val="18"/>
              </w:rPr>
              <w:t xml:space="preserve"> </w:t>
            </w:r>
            <w:r w:rsidRPr="00D54D24">
              <w:rPr>
                <w:rFonts w:ascii="Arial" w:hAnsi="Arial" w:cs="Arial"/>
                <w:sz w:val="18"/>
                <w:szCs w:val="18"/>
              </w:rPr>
              <w:t>pressure</w:t>
            </w:r>
            <w:r w:rsidRPr="00D54D24">
              <w:rPr>
                <w:rFonts w:ascii="Arial" w:hAnsi="Arial" w:cs="Arial"/>
                <w:spacing w:val="-3"/>
                <w:sz w:val="18"/>
                <w:szCs w:val="18"/>
              </w:rPr>
              <w:t xml:space="preserve"> </w:t>
            </w:r>
            <w:r w:rsidRPr="00D54D24">
              <w:rPr>
                <w:rFonts w:ascii="Arial" w:hAnsi="Arial" w:cs="Arial"/>
                <w:sz w:val="18"/>
                <w:szCs w:val="18"/>
              </w:rPr>
              <w:t>filter</w:t>
            </w:r>
          </w:p>
        </w:tc>
        <w:tc>
          <w:tcPr>
            <w:tcW w:w="6660" w:type="dxa"/>
          </w:tcPr>
          <w:p w14:paraId="4A885127" w14:textId="77777777" w:rsidR="00D54D24" w:rsidRPr="00D54D24" w:rsidRDefault="00D54D24" w:rsidP="00D54D24">
            <w:pPr>
              <w:pStyle w:val="TableParagraph"/>
              <w:spacing w:line="223" w:lineRule="exact"/>
              <w:rPr>
                <w:rFonts w:ascii="Arial" w:hAnsi="Arial" w:cs="Arial"/>
                <w:sz w:val="18"/>
                <w:szCs w:val="18"/>
              </w:rPr>
            </w:pPr>
            <w:r w:rsidRPr="00D54D24">
              <w:rPr>
                <w:rFonts w:ascii="Arial" w:hAnsi="Arial" w:cs="Arial"/>
                <w:sz w:val="18"/>
                <w:szCs w:val="18"/>
              </w:rPr>
              <w:t>Replace</w:t>
            </w:r>
          </w:p>
        </w:tc>
      </w:tr>
      <w:tr w:rsidR="00D54D24" w:rsidRPr="00D54D24" w14:paraId="18E2F6D3" w14:textId="77777777" w:rsidTr="00C342B1">
        <w:trPr>
          <w:trHeight w:val="202"/>
        </w:trPr>
        <w:tc>
          <w:tcPr>
            <w:tcW w:w="2425" w:type="dxa"/>
          </w:tcPr>
          <w:p w14:paraId="4E382B7C" w14:textId="77777777" w:rsidR="00D54D24" w:rsidRPr="00D54D24" w:rsidRDefault="00D54D24" w:rsidP="00D54D24">
            <w:pPr>
              <w:pStyle w:val="TableParagraph"/>
              <w:spacing w:line="225" w:lineRule="exact"/>
              <w:ind w:left="86"/>
              <w:rPr>
                <w:rFonts w:ascii="Arial" w:hAnsi="Arial" w:cs="Arial"/>
                <w:sz w:val="18"/>
                <w:szCs w:val="18"/>
              </w:rPr>
            </w:pPr>
            <w:r w:rsidRPr="00D54D24">
              <w:rPr>
                <w:rFonts w:ascii="Arial" w:hAnsi="Arial" w:cs="Arial"/>
                <w:sz w:val="18"/>
                <w:szCs w:val="18"/>
              </w:rPr>
              <w:t>Fuel</w:t>
            </w:r>
            <w:r w:rsidRPr="00D54D24">
              <w:rPr>
                <w:rFonts w:ascii="Arial" w:hAnsi="Arial" w:cs="Arial"/>
                <w:spacing w:val="-3"/>
                <w:sz w:val="18"/>
                <w:szCs w:val="18"/>
              </w:rPr>
              <w:t xml:space="preserve"> </w:t>
            </w:r>
            <w:r w:rsidRPr="00D54D24">
              <w:rPr>
                <w:rFonts w:ascii="Arial" w:hAnsi="Arial" w:cs="Arial"/>
                <w:sz w:val="18"/>
                <w:szCs w:val="18"/>
              </w:rPr>
              <w:t>high</w:t>
            </w:r>
            <w:r w:rsidRPr="00D54D24">
              <w:rPr>
                <w:rFonts w:ascii="Arial" w:hAnsi="Arial" w:cs="Arial"/>
                <w:spacing w:val="-1"/>
                <w:sz w:val="18"/>
                <w:szCs w:val="18"/>
              </w:rPr>
              <w:t xml:space="preserve"> </w:t>
            </w:r>
            <w:r w:rsidRPr="00D54D24">
              <w:rPr>
                <w:rFonts w:ascii="Arial" w:hAnsi="Arial" w:cs="Arial"/>
                <w:sz w:val="18"/>
                <w:szCs w:val="18"/>
              </w:rPr>
              <w:t>pressure</w:t>
            </w:r>
            <w:r w:rsidRPr="00D54D24">
              <w:rPr>
                <w:rFonts w:ascii="Arial" w:hAnsi="Arial" w:cs="Arial"/>
                <w:spacing w:val="-3"/>
                <w:sz w:val="18"/>
                <w:szCs w:val="18"/>
              </w:rPr>
              <w:t xml:space="preserve"> </w:t>
            </w:r>
            <w:r w:rsidRPr="00D54D24">
              <w:rPr>
                <w:rFonts w:ascii="Arial" w:hAnsi="Arial" w:cs="Arial"/>
                <w:sz w:val="18"/>
                <w:szCs w:val="18"/>
              </w:rPr>
              <w:t>filter</w:t>
            </w:r>
          </w:p>
        </w:tc>
        <w:tc>
          <w:tcPr>
            <w:tcW w:w="6660" w:type="dxa"/>
          </w:tcPr>
          <w:p w14:paraId="5BE91BF9" w14:textId="77777777" w:rsidR="00D54D24" w:rsidRPr="00D54D24" w:rsidRDefault="00D54D24" w:rsidP="00D54D24">
            <w:pPr>
              <w:pStyle w:val="TableParagraph"/>
              <w:spacing w:line="225" w:lineRule="exact"/>
              <w:rPr>
                <w:rFonts w:ascii="Arial" w:hAnsi="Arial" w:cs="Arial"/>
                <w:sz w:val="18"/>
                <w:szCs w:val="18"/>
              </w:rPr>
            </w:pPr>
            <w:r w:rsidRPr="00D54D24">
              <w:rPr>
                <w:rFonts w:ascii="Arial" w:hAnsi="Arial" w:cs="Arial"/>
                <w:sz w:val="18"/>
                <w:szCs w:val="18"/>
              </w:rPr>
              <w:t>Inspection</w:t>
            </w:r>
            <w:r w:rsidRPr="00D54D24">
              <w:rPr>
                <w:rFonts w:ascii="Arial" w:hAnsi="Arial" w:cs="Arial"/>
                <w:spacing w:val="-3"/>
                <w:sz w:val="18"/>
                <w:szCs w:val="18"/>
              </w:rPr>
              <w:t xml:space="preserve"> </w:t>
            </w:r>
            <w:r w:rsidRPr="00D54D24">
              <w:rPr>
                <w:rFonts w:ascii="Arial" w:hAnsi="Arial" w:cs="Arial"/>
                <w:sz w:val="18"/>
                <w:szCs w:val="18"/>
              </w:rPr>
              <w:t>and</w:t>
            </w:r>
            <w:r w:rsidRPr="00D54D24">
              <w:rPr>
                <w:rFonts w:ascii="Arial" w:hAnsi="Arial" w:cs="Arial"/>
                <w:spacing w:val="-2"/>
                <w:sz w:val="18"/>
                <w:szCs w:val="18"/>
              </w:rPr>
              <w:t xml:space="preserve"> </w:t>
            </w:r>
            <w:r w:rsidRPr="00D54D24">
              <w:rPr>
                <w:rFonts w:ascii="Arial" w:hAnsi="Arial" w:cs="Arial"/>
                <w:sz w:val="18"/>
                <w:szCs w:val="18"/>
              </w:rPr>
              <w:t>cleaning</w:t>
            </w:r>
          </w:p>
        </w:tc>
      </w:tr>
      <w:tr w:rsidR="00D54D24" w:rsidRPr="00D54D24" w14:paraId="422D2365" w14:textId="77777777" w:rsidTr="00C342B1">
        <w:trPr>
          <w:trHeight w:val="199"/>
        </w:trPr>
        <w:tc>
          <w:tcPr>
            <w:tcW w:w="2425" w:type="dxa"/>
          </w:tcPr>
          <w:p w14:paraId="5623CE8C" w14:textId="77777777" w:rsidR="00D54D24" w:rsidRPr="00D54D24" w:rsidRDefault="00D54D24" w:rsidP="00D54D24">
            <w:pPr>
              <w:pStyle w:val="TableParagraph"/>
              <w:spacing w:line="223" w:lineRule="exact"/>
              <w:ind w:left="86"/>
              <w:rPr>
                <w:rFonts w:ascii="Arial" w:hAnsi="Arial" w:cs="Arial"/>
                <w:sz w:val="18"/>
                <w:szCs w:val="18"/>
              </w:rPr>
            </w:pPr>
            <w:r w:rsidRPr="00D54D24">
              <w:rPr>
                <w:rFonts w:ascii="Arial" w:hAnsi="Arial" w:cs="Arial"/>
                <w:sz w:val="18"/>
                <w:szCs w:val="18"/>
              </w:rPr>
              <w:t>Oil</w:t>
            </w:r>
            <w:r w:rsidRPr="00D54D24">
              <w:rPr>
                <w:rFonts w:ascii="Arial" w:hAnsi="Arial" w:cs="Arial"/>
                <w:spacing w:val="-4"/>
                <w:sz w:val="18"/>
                <w:szCs w:val="18"/>
              </w:rPr>
              <w:t xml:space="preserve"> </w:t>
            </w:r>
            <w:r w:rsidRPr="00D54D24">
              <w:rPr>
                <w:rFonts w:ascii="Arial" w:hAnsi="Arial" w:cs="Arial"/>
                <w:sz w:val="18"/>
                <w:szCs w:val="18"/>
              </w:rPr>
              <w:t>scavenge</w:t>
            </w:r>
            <w:r w:rsidRPr="00D54D24">
              <w:rPr>
                <w:rFonts w:ascii="Arial" w:hAnsi="Arial" w:cs="Arial"/>
                <w:spacing w:val="-4"/>
                <w:sz w:val="18"/>
                <w:szCs w:val="18"/>
              </w:rPr>
              <w:t xml:space="preserve"> </w:t>
            </w:r>
            <w:r w:rsidRPr="00D54D24">
              <w:rPr>
                <w:rFonts w:ascii="Arial" w:hAnsi="Arial" w:cs="Arial"/>
                <w:sz w:val="18"/>
                <w:szCs w:val="18"/>
              </w:rPr>
              <w:t>filter</w:t>
            </w:r>
          </w:p>
        </w:tc>
        <w:tc>
          <w:tcPr>
            <w:tcW w:w="6660" w:type="dxa"/>
          </w:tcPr>
          <w:p w14:paraId="36B7BF28" w14:textId="77777777" w:rsidR="00D54D24" w:rsidRPr="00D54D24" w:rsidRDefault="00D54D24" w:rsidP="00D54D24">
            <w:pPr>
              <w:pStyle w:val="TableParagraph"/>
              <w:spacing w:line="223" w:lineRule="exact"/>
              <w:rPr>
                <w:rFonts w:ascii="Arial" w:hAnsi="Arial" w:cs="Arial"/>
                <w:sz w:val="18"/>
                <w:szCs w:val="18"/>
              </w:rPr>
            </w:pPr>
            <w:r w:rsidRPr="00D54D24">
              <w:rPr>
                <w:rFonts w:ascii="Arial" w:hAnsi="Arial" w:cs="Arial"/>
                <w:sz w:val="18"/>
                <w:szCs w:val="18"/>
              </w:rPr>
              <w:t>Inspection</w:t>
            </w:r>
            <w:r w:rsidRPr="00D54D24">
              <w:rPr>
                <w:rFonts w:ascii="Arial" w:hAnsi="Arial" w:cs="Arial"/>
                <w:spacing w:val="-3"/>
                <w:sz w:val="18"/>
                <w:szCs w:val="18"/>
              </w:rPr>
              <w:t xml:space="preserve"> </w:t>
            </w:r>
            <w:r w:rsidRPr="00D54D24">
              <w:rPr>
                <w:rFonts w:ascii="Arial" w:hAnsi="Arial" w:cs="Arial"/>
                <w:sz w:val="18"/>
                <w:szCs w:val="18"/>
              </w:rPr>
              <w:t>and</w:t>
            </w:r>
            <w:r w:rsidRPr="00D54D24">
              <w:rPr>
                <w:rFonts w:ascii="Arial" w:hAnsi="Arial" w:cs="Arial"/>
                <w:spacing w:val="-2"/>
                <w:sz w:val="18"/>
                <w:szCs w:val="18"/>
              </w:rPr>
              <w:t xml:space="preserve"> </w:t>
            </w:r>
            <w:r w:rsidRPr="00D54D24">
              <w:rPr>
                <w:rFonts w:ascii="Arial" w:hAnsi="Arial" w:cs="Arial"/>
                <w:sz w:val="18"/>
                <w:szCs w:val="18"/>
              </w:rPr>
              <w:t>cleaning</w:t>
            </w:r>
          </w:p>
        </w:tc>
      </w:tr>
      <w:tr w:rsidR="00D54D24" w:rsidRPr="00D54D24" w14:paraId="3B5A5B92" w14:textId="77777777" w:rsidTr="00C342B1">
        <w:trPr>
          <w:trHeight w:val="202"/>
        </w:trPr>
        <w:tc>
          <w:tcPr>
            <w:tcW w:w="2425" w:type="dxa"/>
          </w:tcPr>
          <w:p w14:paraId="58B3A691" w14:textId="77777777" w:rsidR="00D54D24" w:rsidRPr="00D54D24" w:rsidRDefault="00D54D24" w:rsidP="00D54D24">
            <w:pPr>
              <w:pStyle w:val="TableParagraph"/>
              <w:spacing w:line="225" w:lineRule="exact"/>
              <w:ind w:left="86"/>
              <w:rPr>
                <w:rFonts w:ascii="Arial" w:hAnsi="Arial" w:cs="Arial"/>
                <w:sz w:val="18"/>
                <w:szCs w:val="18"/>
              </w:rPr>
            </w:pPr>
            <w:r w:rsidRPr="00D54D24">
              <w:rPr>
                <w:rFonts w:ascii="Arial" w:hAnsi="Arial" w:cs="Arial"/>
                <w:sz w:val="18"/>
                <w:szCs w:val="18"/>
              </w:rPr>
              <w:t>Chip</w:t>
            </w:r>
            <w:r w:rsidRPr="00D54D24">
              <w:rPr>
                <w:rFonts w:ascii="Arial" w:hAnsi="Arial" w:cs="Arial"/>
                <w:spacing w:val="-3"/>
                <w:sz w:val="18"/>
                <w:szCs w:val="18"/>
              </w:rPr>
              <w:t xml:space="preserve"> </w:t>
            </w:r>
            <w:r w:rsidRPr="00D54D24">
              <w:rPr>
                <w:rFonts w:ascii="Arial" w:hAnsi="Arial" w:cs="Arial"/>
                <w:sz w:val="18"/>
                <w:szCs w:val="18"/>
              </w:rPr>
              <w:t>detector</w:t>
            </w:r>
          </w:p>
        </w:tc>
        <w:tc>
          <w:tcPr>
            <w:tcW w:w="6660" w:type="dxa"/>
          </w:tcPr>
          <w:p w14:paraId="7F09F073" w14:textId="77777777" w:rsidR="00D54D24" w:rsidRPr="00D54D24" w:rsidRDefault="00D54D24" w:rsidP="00D54D24">
            <w:pPr>
              <w:pStyle w:val="TableParagraph"/>
              <w:spacing w:line="225" w:lineRule="exact"/>
              <w:rPr>
                <w:rFonts w:ascii="Arial" w:hAnsi="Arial" w:cs="Arial"/>
                <w:sz w:val="18"/>
                <w:szCs w:val="18"/>
              </w:rPr>
            </w:pPr>
            <w:r w:rsidRPr="00D54D24">
              <w:rPr>
                <w:rFonts w:ascii="Arial" w:hAnsi="Arial" w:cs="Arial"/>
                <w:sz w:val="18"/>
                <w:szCs w:val="18"/>
              </w:rPr>
              <w:t>Inspection</w:t>
            </w:r>
            <w:r w:rsidRPr="00D54D24">
              <w:rPr>
                <w:rFonts w:ascii="Arial" w:hAnsi="Arial" w:cs="Arial"/>
                <w:spacing w:val="-3"/>
                <w:sz w:val="18"/>
                <w:szCs w:val="18"/>
              </w:rPr>
              <w:t xml:space="preserve"> </w:t>
            </w:r>
            <w:r w:rsidRPr="00D54D24">
              <w:rPr>
                <w:rFonts w:ascii="Arial" w:hAnsi="Arial" w:cs="Arial"/>
                <w:sz w:val="18"/>
                <w:szCs w:val="18"/>
              </w:rPr>
              <w:t>and</w:t>
            </w:r>
            <w:r w:rsidRPr="00D54D24">
              <w:rPr>
                <w:rFonts w:ascii="Arial" w:hAnsi="Arial" w:cs="Arial"/>
                <w:spacing w:val="-2"/>
                <w:sz w:val="18"/>
                <w:szCs w:val="18"/>
              </w:rPr>
              <w:t xml:space="preserve"> </w:t>
            </w:r>
            <w:r w:rsidRPr="00D54D24">
              <w:rPr>
                <w:rFonts w:ascii="Arial" w:hAnsi="Arial" w:cs="Arial"/>
                <w:sz w:val="18"/>
                <w:szCs w:val="18"/>
              </w:rPr>
              <w:t>cleaning</w:t>
            </w:r>
          </w:p>
        </w:tc>
      </w:tr>
      <w:tr w:rsidR="00D54D24" w:rsidRPr="00D54D24" w14:paraId="14E5D319" w14:textId="77777777" w:rsidTr="00C342B1">
        <w:trPr>
          <w:trHeight w:val="199"/>
        </w:trPr>
        <w:tc>
          <w:tcPr>
            <w:tcW w:w="2425" w:type="dxa"/>
          </w:tcPr>
          <w:p w14:paraId="1477CA2E" w14:textId="77777777" w:rsidR="00D54D24" w:rsidRPr="00D54D24" w:rsidRDefault="00D54D24" w:rsidP="00D54D24">
            <w:pPr>
              <w:pStyle w:val="TableParagraph"/>
              <w:spacing w:line="223" w:lineRule="exact"/>
              <w:ind w:left="86"/>
              <w:rPr>
                <w:rFonts w:ascii="Arial" w:hAnsi="Arial" w:cs="Arial"/>
                <w:sz w:val="18"/>
                <w:szCs w:val="18"/>
              </w:rPr>
            </w:pPr>
            <w:r w:rsidRPr="00D54D24">
              <w:rPr>
                <w:rFonts w:ascii="Arial" w:hAnsi="Arial" w:cs="Arial"/>
                <w:sz w:val="18"/>
                <w:szCs w:val="18"/>
              </w:rPr>
              <w:t>Exhaust</w:t>
            </w:r>
            <w:r w:rsidRPr="00D54D24">
              <w:rPr>
                <w:rFonts w:ascii="Arial" w:hAnsi="Arial" w:cs="Arial"/>
                <w:spacing w:val="-3"/>
                <w:sz w:val="18"/>
                <w:szCs w:val="18"/>
              </w:rPr>
              <w:t xml:space="preserve"> </w:t>
            </w:r>
            <w:r w:rsidRPr="00D54D24">
              <w:rPr>
                <w:rFonts w:ascii="Arial" w:hAnsi="Arial" w:cs="Arial"/>
                <w:sz w:val="18"/>
                <w:szCs w:val="18"/>
              </w:rPr>
              <w:t>duct</w:t>
            </w:r>
          </w:p>
        </w:tc>
        <w:tc>
          <w:tcPr>
            <w:tcW w:w="6660" w:type="dxa"/>
          </w:tcPr>
          <w:p w14:paraId="52940DE4" w14:textId="77777777" w:rsidR="00D54D24" w:rsidRPr="00D54D24" w:rsidRDefault="00D54D24" w:rsidP="00D54D24">
            <w:pPr>
              <w:pStyle w:val="TableParagraph"/>
              <w:spacing w:line="223" w:lineRule="exact"/>
              <w:rPr>
                <w:rFonts w:ascii="Arial" w:hAnsi="Arial" w:cs="Arial"/>
                <w:sz w:val="18"/>
                <w:szCs w:val="18"/>
              </w:rPr>
            </w:pPr>
            <w:r w:rsidRPr="00D54D24">
              <w:rPr>
                <w:rFonts w:ascii="Arial" w:hAnsi="Arial" w:cs="Arial"/>
                <w:sz w:val="18"/>
                <w:szCs w:val="18"/>
              </w:rPr>
              <w:t>Inspection</w:t>
            </w:r>
          </w:p>
        </w:tc>
      </w:tr>
      <w:tr w:rsidR="00D54D24" w:rsidRPr="00D54D24" w14:paraId="420A21EE" w14:textId="77777777" w:rsidTr="00C342B1">
        <w:trPr>
          <w:trHeight w:val="202"/>
        </w:trPr>
        <w:tc>
          <w:tcPr>
            <w:tcW w:w="2425" w:type="dxa"/>
          </w:tcPr>
          <w:p w14:paraId="4FE035CE" w14:textId="77777777" w:rsidR="00D54D24" w:rsidRPr="00D54D24" w:rsidRDefault="00D54D24" w:rsidP="00D54D24">
            <w:pPr>
              <w:pStyle w:val="TableParagraph"/>
              <w:spacing w:line="225" w:lineRule="exact"/>
              <w:ind w:left="86"/>
              <w:rPr>
                <w:rFonts w:ascii="Arial" w:hAnsi="Arial" w:cs="Arial"/>
                <w:sz w:val="18"/>
                <w:szCs w:val="18"/>
              </w:rPr>
            </w:pPr>
            <w:r w:rsidRPr="00D54D24">
              <w:rPr>
                <w:rFonts w:ascii="Arial" w:hAnsi="Arial" w:cs="Arial"/>
                <w:sz w:val="18"/>
                <w:szCs w:val="18"/>
              </w:rPr>
              <w:t>Starter/generator</w:t>
            </w:r>
            <w:r w:rsidRPr="00D54D24">
              <w:rPr>
                <w:rFonts w:ascii="Arial" w:hAnsi="Arial" w:cs="Arial"/>
                <w:spacing w:val="-5"/>
                <w:sz w:val="18"/>
                <w:szCs w:val="18"/>
              </w:rPr>
              <w:t xml:space="preserve"> </w:t>
            </w:r>
            <w:r w:rsidRPr="00D54D24">
              <w:rPr>
                <w:rFonts w:ascii="Arial" w:hAnsi="Arial" w:cs="Arial"/>
                <w:sz w:val="18"/>
                <w:szCs w:val="18"/>
              </w:rPr>
              <w:t>brushes</w:t>
            </w:r>
          </w:p>
        </w:tc>
        <w:tc>
          <w:tcPr>
            <w:tcW w:w="6660" w:type="dxa"/>
          </w:tcPr>
          <w:p w14:paraId="677D03DD" w14:textId="77777777" w:rsidR="00D54D24" w:rsidRPr="00D54D24" w:rsidRDefault="00D54D24" w:rsidP="00D54D24">
            <w:pPr>
              <w:pStyle w:val="TableParagraph"/>
              <w:spacing w:line="225" w:lineRule="exact"/>
              <w:rPr>
                <w:rFonts w:ascii="Arial" w:hAnsi="Arial" w:cs="Arial"/>
                <w:sz w:val="18"/>
                <w:szCs w:val="18"/>
              </w:rPr>
            </w:pPr>
            <w:r w:rsidRPr="00D54D24">
              <w:rPr>
                <w:rFonts w:ascii="Arial" w:hAnsi="Arial" w:cs="Arial"/>
                <w:sz w:val="18"/>
                <w:szCs w:val="18"/>
              </w:rPr>
              <w:t>Inspection</w:t>
            </w:r>
            <w:r w:rsidRPr="00D54D24">
              <w:rPr>
                <w:rFonts w:ascii="Arial" w:hAnsi="Arial" w:cs="Arial"/>
                <w:spacing w:val="-3"/>
                <w:sz w:val="18"/>
                <w:szCs w:val="18"/>
              </w:rPr>
              <w:t xml:space="preserve"> </w:t>
            </w:r>
            <w:r w:rsidRPr="00D54D24">
              <w:rPr>
                <w:rFonts w:ascii="Arial" w:hAnsi="Arial" w:cs="Arial"/>
                <w:sz w:val="18"/>
                <w:szCs w:val="18"/>
              </w:rPr>
              <w:t>for</w:t>
            </w:r>
            <w:r w:rsidRPr="00D54D24">
              <w:rPr>
                <w:rFonts w:ascii="Arial" w:hAnsi="Arial" w:cs="Arial"/>
                <w:spacing w:val="-3"/>
                <w:sz w:val="18"/>
                <w:szCs w:val="18"/>
              </w:rPr>
              <w:t xml:space="preserve"> </w:t>
            </w:r>
            <w:r w:rsidRPr="00D54D24">
              <w:rPr>
                <w:rFonts w:ascii="Arial" w:hAnsi="Arial" w:cs="Arial"/>
                <w:sz w:val="18"/>
                <w:szCs w:val="18"/>
              </w:rPr>
              <w:t>proper</w:t>
            </w:r>
            <w:r w:rsidRPr="00D54D24">
              <w:rPr>
                <w:rFonts w:ascii="Arial" w:hAnsi="Arial" w:cs="Arial"/>
                <w:spacing w:val="-3"/>
                <w:sz w:val="18"/>
                <w:szCs w:val="18"/>
              </w:rPr>
              <w:t xml:space="preserve"> </w:t>
            </w:r>
            <w:r w:rsidRPr="00D54D24">
              <w:rPr>
                <w:rFonts w:ascii="Arial" w:hAnsi="Arial" w:cs="Arial"/>
                <w:sz w:val="18"/>
                <w:szCs w:val="18"/>
              </w:rPr>
              <w:t>length</w:t>
            </w:r>
          </w:p>
        </w:tc>
      </w:tr>
      <w:tr w:rsidR="00D54D24" w:rsidRPr="00D54D24" w14:paraId="2F632A1F" w14:textId="77777777" w:rsidTr="00C342B1">
        <w:trPr>
          <w:trHeight w:val="200"/>
        </w:trPr>
        <w:tc>
          <w:tcPr>
            <w:tcW w:w="2425" w:type="dxa"/>
          </w:tcPr>
          <w:p w14:paraId="19C48FD7" w14:textId="77777777" w:rsidR="00D54D24" w:rsidRPr="00D54D24" w:rsidRDefault="00D54D24" w:rsidP="00D54D24">
            <w:pPr>
              <w:pStyle w:val="TableParagraph"/>
              <w:spacing w:line="223" w:lineRule="exact"/>
              <w:ind w:left="86"/>
              <w:rPr>
                <w:rFonts w:ascii="Arial" w:hAnsi="Arial" w:cs="Arial"/>
                <w:sz w:val="18"/>
                <w:szCs w:val="18"/>
              </w:rPr>
            </w:pPr>
            <w:r w:rsidRPr="00D54D24">
              <w:rPr>
                <w:rFonts w:ascii="Arial" w:hAnsi="Arial" w:cs="Arial"/>
                <w:sz w:val="18"/>
                <w:szCs w:val="18"/>
              </w:rPr>
              <w:t>Ignitor/glow</w:t>
            </w:r>
            <w:r w:rsidRPr="00D54D24">
              <w:rPr>
                <w:rFonts w:ascii="Arial" w:hAnsi="Arial" w:cs="Arial"/>
                <w:spacing w:val="-3"/>
                <w:sz w:val="18"/>
                <w:szCs w:val="18"/>
              </w:rPr>
              <w:t xml:space="preserve"> </w:t>
            </w:r>
            <w:r w:rsidRPr="00D54D24">
              <w:rPr>
                <w:rFonts w:ascii="Arial" w:hAnsi="Arial" w:cs="Arial"/>
                <w:sz w:val="18"/>
                <w:szCs w:val="18"/>
              </w:rPr>
              <w:t>plugs</w:t>
            </w:r>
          </w:p>
        </w:tc>
        <w:tc>
          <w:tcPr>
            <w:tcW w:w="6660" w:type="dxa"/>
          </w:tcPr>
          <w:p w14:paraId="24CEDF8F" w14:textId="77777777" w:rsidR="00D54D24" w:rsidRPr="00D54D24" w:rsidRDefault="00D54D24" w:rsidP="00D54D24">
            <w:pPr>
              <w:pStyle w:val="TableParagraph"/>
              <w:spacing w:line="223" w:lineRule="exact"/>
              <w:rPr>
                <w:rFonts w:ascii="Arial" w:hAnsi="Arial" w:cs="Arial"/>
                <w:sz w:val="18"/>
                <w:szCs w:val="18"/>
              </w:rPr>
            </w:pPr>
            <w:r w:rsidRPr="00D54D24">
              <w:rPr>
                <w:rFonts w:ascii="Arial" w:hAnsi="Arial" w:cs="Arial"/>
                <w:sz w:val="18"/>
                <w:szCs w:val="18"/>
              </w:rPr>
              <w:t>Functional</w:t>
            </w:r>
            <w:r w:rsidRPr="00D54D24">
              <w:rPr>
                <w:rFonts w:ascii="Arial" w:hAnsi="Arial" w:cs="Arial"/>
                <w:spacing w:val="-3"/>
                <w:sz w:val="18"/>
                <w:szCs w:val="18"/>
              </w:rPr>
              <w:t xml:space="preserve"> </w:t>
            </w:r>
            <w:r w:rsidRPr="00D54D24">
              <w:rPr>
                <w:rFonts w:ascii="Arial" w:hAnsi="Arial" w:cs="Arial"/>
                <w:sz w:val="18"/>
                <w:szCs w:val="18"/>
              </w:rPr>
              <w:t>check</w:t>
            </w:r>
          </w:p>
        </w:tc>
      </w:tr>
      <w:tr w:rsidR="00D54D24" w:rsidRPr="00D54D24" w14:paraId="5410E923" w14:textId="77777777" w:rsidTr="00C342B1">
        <w:trPr>
          <w:trHeight w:val="199"/>
        </w:trPr>
        <w:tc>
          <w:tcPr>
            <w:tcW w:w="2425" w:type="dxa"/>
          </w:tcPr>
          <w:p w14:paraId="0A53B172" w14:textId="77777777" w:rsidR="00D54D24" w:rsidRPr="00D54D24" w:rsidRDefault="00D54D24" w:rsidP="00D54D24">
            <w:pPr>
              <w:pStyle w:val="TableParagraph"/>
              <w:spacing w:line="222" w:lineRule="exact"/>
              <w:ind w:left="86"/>
              <w:rPr>
                <w:rFonts w:ascii="Arial" w:hAnsi="Arial" w:cs="Arial"/>
                <w:sz w:val="18"/>
                <w:szCs w:val="18"/>
              </w:rPr>
            </w:pPr>
            <w:r w:rsidRPr="00D54D24">
              <w:rPr>
                <w:rFonts w:ascii="Arial" w:hAnsi="Arial" w:cs="Arial"/>
                <w:sz w:val="18"/>
                <w:szCs w:val="18"/>
              </w:rPr>
              <w:t>Overspeed</w:t>
            </w:r>
            <w:r w:rsidRPr="00D54D24">
              <w:rPr>
                <w:rFonts w:ascii="Arial" w:hAnsi="Arial" w:cs="Arial"/>
                <w:spacing w:val="-4"/>
                <w:sz w:val="18"/>
                <w:szCs w:val="18"/>
              </w:rPr>
              <w:t xml:space="preserve"> </w:t>
            </w:r>
            <w:r w:rsidRPr="00D54D24">
              <w:rPr>
                <w:rFonts w:ascii="Arial" w:hAnsi="Arial" w:cs="Arial"/>
                <w:sz w:val="18"/>
                <w:szCs w:val="18"/>
              </w:rPr>
              <w:t>governor</w:t>
            </w:r>
          </w:p>
        </w:tc>
        <w:tc>
          <w:tcPr>
            <w:tcW w:w="6660" w:type="dxa"/>
          </w:tcPr>
          <w:p w14:paraId="47CB0F25" w14:textId="77777777" w:rsidR="00D54D24" w:rsidRPr="00D54D24" w:rsidRDefault="00D54D24" w:rsidP="00D54D24">
            <w:pPr>
              <w:pStyle w:val="TableParagraph"/>
              <w:spacing w:line="222" w:lineRule="exact"/>
              <w:rPr>
                <w:rFonts w:ascii="Arial" w:hAnsi="Arial" w:cs="Arial"/>
                <w:sz w:val="18"/>
                <w:szCs w:val="18"/>
              </w:rPr>
            </w:pPr>
            <w:r w:rsidRPr="00D54D24">
              <w:rPr>
                <w:rFonts w:ascii="Arial" w:hAnsi="Arial" w:cs="Arial"/>
                <w:sz w:val="18"/>
                <w:szCs w:val="18"/>
              </w:rPr>
              <w:t>Inspect</w:t>
            </w:r>
            <w:r w:rsidRPr="00D54D24">
              <w:rPr>
                <w:rFonts w:ascii="Arial" w:hAnsi="Arial" w:cs="Arial"/>
                <w:spacing w:val="-2"/>
                <w:sz w:val="18"/>
                <w:szCs w:val="18"/>
              </w:rPr>
              <w:t xml:space="preserve"> </w:t>
            </w:r>
            <w:r w:rsidRPr="00D54D24">
              <w:rPr>
                <w:rFonts w:ascii="Arial" w:hAnsi="Arial" w:cs="Arial"/>
                <w:sz w:val="18"/>
                <w:szCs w:val="18"/>
              </w:rPr>
              <w:t>for</w:t>
            </w:r>
            <w:r w:rsidRPr="00D54D24">
              <w:rPr>
                <w:rFonts w:ascii="Arial" w:hAnsi="Arial" w:cs="Arial"/>
                <w:spacing w:val="-2"/>
                <w:sz w:val="18"/>
                <w:szCs w:val="18"/>
              </w:rPr>
              <w:t xml:space="preserve"> </w:t>
            </w:r>
            <w:r w:rsidRPr="00D54D24">
              <w:rPr>
                <w:rFonts w:ascii="Arial" w:hAnsi="Arial" w:cs="Arial"/>
                <w:sz w:val="18"/>
                <w:szCs w:val="18"/>
              </w:rPr>
              <w:t>oil</w:t>
            </w:r>
            <w:r w:rsidRPr="00D54D24">
              <w:rPr>
                <w:rFonts w:ascii="Arial" w:hAnsi="Arial" w:cs="Arial"/>
                <w:spacing w:val="-2"/>
                <w:sz w:val="18"/>
                <w:szCs w:val="18"/>
              </w:rPr>
              <w:t xml:space="preserve"> </w:t>
            </w:r>
            <w:r w:rsidRPr="00D54D24">
              <w:rPr>
                <w:rFonts w:ascii="Arial" w:hAnsi="Arial" w:cs="Arial"/>
                <w:sz w:val="18"/>
                <w:szCs w:val="18"/>
              </w:rPr>
              <w:t>leaks.</w:t>
            </w:r>
          </w:p>
        </w:tc>
      </w:tr>
      <w:tr w:rsidR="00D54D24" w:rsidRPr="00D54D24" w14:paraId="2CE432A1" w14:textId="77777777" w:rsidTr="00C342B1">
        <w:trPr>
          <w:trHeight w:val="202"/>
        </w:trPr>
        <w:tc>
          <w:tcPr>
            <w:tcW w:w="2425" w:type="dxa"/>
          </w:tcPr>
          <w:p w14:paraId="27CCD6BB" w14:textId="77777777" w:rsidR="00D54D24" w:rsidRPr="00D54D24" w:rsidRDefault="00D54D24" w:rsidP="00D54D24">
            <w:pPr>
              <w:pStyle w:val="TableParagraph"/>
              <w:spacing w:line="225" w:lineRule="exact"/>
              <w:ind w:left="86"/>
              <w:rPr>
                <w:rFonts w:ascii="Arial" w:hAnsi="Arial" w:cs="Arial"/>
                <w:sz w:val="18"/>
                <w:szCs w:val="18"/>
              </w:rPr>
            </w:pPr>
            <w:r w:rsidRPr="00D54D24">
              <w:rPr>
                <w:rFonts w:ascii="Arial" w:hAnsi="Arial" w:cs="Arial"/>
                <w:sz w:val="18"/>
                <w:szCs w:val="18"/>
              </w:rPr>
              <w:t>Governor</w:t>
            </w:r>
            <w:r w:rsidRPr="00D54D24">
              <w:rPr>
                <w:rFonts w:ascii="Arial" w:hAnsi="Arial" w:cs="Arial"/>
                <w:spacing w:val="-3"/>
                <w:sz w:val="18"/>
                <w:szCs w:val="18"/>
              </w:rPr>
              <w:t xml:space="preserve"> </w:t>
            </w:r>
            <w:r w:rsidRPr="00D54D24">
              <w:rPr>
                <w:rFonts w:ascii="Arial" w:hAnsi="Arial" w:cs="Arial"/>
                <w:sz w:val="18"/>
                <w:szCs w:val="18"/>
              </w:rPr>
              <w:t>and</w:t>
            </w:r>
            <w:r w:rsidRPr="00D54D24">
              <w:rPr>
                <w:rFonts w:ascii="Arial" w:hAnsi="Arial" w:cs="Arial"/>
                <w:spacing w:val="-2"/>
                <w:sz w:val="18"/>
                <w:szCs w:val="18"/>
              </w:rPr>
              <w:t xml:space="preserve"> </w:t>
            </w:r>
            <w:r w:rsidRPr="00D54D24">
              <w:rPr>
                <w:rFonts w:ascii="Arial" w:hAnsi="Arial" w:cs="Arial"/>
                <w:sz w:val="18"/>
                <w:szCs w:val="18"/>
              </w:rPr>
              <w:t>beta-valve</w:t>
            </w:r>
          </w:p>
        </w:tc>
        <w:tc>
          <w:tcPr>
            <w:tcW w:w="6660" w:type="dxa"/>
          </w:tcPr>
          <w:p w14:paraId="785696CD" w14:textId="77777777" w:rsidR="00D54D24" w:rsidRPr="00D54D24" w:rsidRDefault="00D54D24" w:rsidP="00D54D24">
            <w:pPr>
              <w:pStyle w:val="TableParagraph"/>
              <w:spacing w:line="225" w:lineRule="exact"/>
              <w:rPr>
                <w:rFonts w:ascii="Arial" w:hAnsi="Arial" w:cs="Arial"/>
                <w:sz w:val="18"/>
                <w:szCs w:val="18"/>
              </w:rPr>
            </w:pPr>
            <w:r w:rsidRPr="00D54D24">
              <w:rPr>
                <w:rFonts w:ascii="Arial" w:hAnsi="Arial" w:cs="Arial"/>
                <w:sz w:val="18"/>
                <w:szCs w:val="18"/>
              </w:rPr>
              <w:t>Inspect</w:t>
            </w:r>
            <w:r w:rsidRPr="00D54D24">
              <w:rPr>
                <w:rFonts w:ascii="Arial" w:hAnsi="Arial" w:cs="Arial"/>
                <w:spacing w:val="-2"/>
                <w:sz w:val="18"/>
                <w:szCs w:val="18"/>
              </w:rPr>
              <w:t xml:space="preserve"> </w:t>
            </w:r>
            <w:r w:rsidRPr="00D54D24">
              <w:rPr>
                <w:rFonts w:ascii="Arial" w:hAnsi="Arial" w:cs="Arial"/>
                <w:sz w:val="18"/>
                <w:szCs w:val="18"/>
              </w:rPr>
              <w:t>for</w:t>
            </w:r>
            <w:r w:rsidRPr="00D54D24">
              <w:rPr>
                <w:rFonts w:ascii="Arial" w:hAnsi="Arial" w:cs="Arial"/>
                <w:spacing w:val="-2"/>
                <w:sz w:val="18"/>
                <w:szCs w:val="18"/>
              </w:rPr>
              <w:t xml:space="preserve"> </w:t>
            </w:r>
            <w:r w:rsidRPr="00D54D24">
              <w:rPr>
                <w:rFonts w:ascii="Arial" w:hAnsi="Arial" w:cs="Arial"/>
                <w:sz w:val="18"/>
                <w:szCs w:val="18"/>
              </w:rPr>
              <w:t>oil</w:t>
            </w:r>
            <w:r w:rsidRPr="00D54D24">
              <w:rPr>
                <w:rFonts w:ascii="Arial" w:hAnsi="Arial" w:cs="Arial"/>
                <w:spacing w:val="-2"/>
                <w:sz w:val="18"/>
                <w:szCs w:val="18"/>
              </w:rPr>
              <w:t xml:space="preserve"> </w:t>
            </w:r>
            <w:r w:rsidRPr="00D54D24">
              <w:rPr>
                <w:rFonts w:ascii="Arial" w:hAnsi="Arial" w:cs="Arial"/>
                <w:sz w:val="18"/>
                <w:szCs w:val="18"/>
              </w:rPr>
              <w:t>leaks</w:t>
            </w:r>
            <w:r w:rsidRPr="00D54D24">
              <w:rPr>
                <w:rFonts w:ascii="Arial" w:hAnsi="Arial" w:cs="Arial"/>
                <w:spacing w:val="-3"/>
                <w:sz w:val="18"/>
                <w:szCs w:val="18"/>
              </w:rPr>
              <w:t xml:space="preserve"> </w:t>
            </w:r>
            <w:r w:rsidRPr="00D54D24">
              <w:rPr>
                <w:rFonts w:ascii="Arial" w:hAnsi="Arial" w:cs="Arial"/>
                <w:sz w:val="18"/>
                <w:szCs w:val="18"/>
              </w:rPr>
              <w:t>or</w:t>
            </w:r>
            <w:r w:rsidRPr="00D54D24">
              <w:rPr>
                <w:rFonts w:ascii="Arial" w:hAnsi="Arial" w:cs="Arial"/>
                <w:spacing w:val="-2"/>
                <w:sz w:val="18"/>
                <w:szCs w:val="18"/>
              </w:rPr>
              <w:t xml:space="preserve"> </w:t>
            </w:r>
            <w:r w:rsidRPr="00D54D24">
              <w:rPr>
                <w:rFonts w:ascii="Arial" w:hAnsi="Arial" w:cs="Arial"/>
                <w:sz w:val="18"/>
                <w:szCs w:val="18"/>
              </w:rPr>
              <w:t>binding</w:t>
            </w:r>
            <w:r w:rsidRPr="00D54D24">
              <w:rPr>
                <w:rFonts w:ascii="Arial" w:hAnsi="Arial" w:cs="Arial"/>
                <w:spacing w:val="-3"/>
                <w:sz w:val="18"/>
                <w:szCs w:val="18"/>
              </w:rPr>
              <w:t xml:space="preserve"> </w:t>
            </w:r>
            <w:r w:rsidRPr="00D54D24">
              <w:rPr>
                <w:rFonts w:ascii="Arial" w:hAnsi="Arial" w:cs="Arial"/>
                <w:sz w:val="18"/>
                <w:szCs w:val="18"/>
              </w:rPr>
              <w:t>of</w:t>
            </w:r>
            <w:r w:rsidRPr="00D54D24">
              <w:rPr>
                <w:rFonts w:ascii="Arial" w:hAnsi="Arial" w:cs="Arial"/>
                <w:spacing w:val="-3"/>
                <w:sz w:val="18"/>
                <w:szCs w:val="18"/>
              </w:rPr>
              <w:t xml:space="preserve"> </w:t>
            </w:r>
            <w:r w:rsidRPr="00D54D24">
              <w:rPr>
                <w:rFonts w:ascii="Arial" w:hAnsi="Arial" w:cs="Arial"/>
                <w:sz w:val="18"/>
                <w:szCs w:val="18"/>
              </w:rPr>
              <w:t>controls.</w:t>
            </w:r>
          </w:p>
        </w:tc>
      </w:tr>
      <w:tr w:rsidR="00D54D24" w:rsidRPr="00D54D24" w14:paraId="6A1DF3EB" w14:textId="77777777" w:rsidTr="00C342B1">
        <w:trPr>
          <w:trHeight w:val="200"/>
        </w:trPr>
        <w:tc>
          <w:tcPr>
            <w:tcW w:w="2425" w:type="dxa"/>
          </w:tcPr>
          <w:p w14:paraId="49772394" w14:textId="77777777" w:rsidR="00D54D24" w:rsidRPr="00D54D24" w:rsidRDefault="00D54D24" w:rsidP="00D54D24">
            <w:pPr>
              <w:pStyle w:val="TableParagraph"/>
              <w:spacing w:line="223" w:lineRule="exact"/>
              <w:ind w:left="86"/>
              <w:rPr>
                <w:rFonts w:ascii="Arial" w:hAnsi="Arial" w:cs="Arial"/>
                <w:sz w:val="18"/>
                <w:szCs w:val="18"/>
              </w:rPr>
            </w:pPr>
            <w:r w:rsidRPr="00D54D24">
              <w:rPr>
                <w:rFonts w:ascii="Arial" w:hAnsi="Arial" w:cs="Arial"/>
                <w:sz w:val="18"/>
                <w:szCs w:val="18"/>
              </w:rPr>
              <w:t>Propeller</w:t>
            </w:r>
          </w:p>
        </w:tc>
        <w:tc>
          <w:tcPr>
            <w:tcW w:w="6660" w:type="dxa"/>
          </w:tcPr>
          <w:p w14:paraId="7A9CBD7A" w14:textId="77777777" w:rsidR="00D54D24" w:rsidRPr="00D54D24" w:rsidRDefault="00D54D24" w:rsidP="00D54D24">
            <w:pPr>
              <w:pStyle w:val="TableParagraph"/>
              <w:spacing w:line="223" w:lineRule="exact"/>
              <w:rPr>
                <w:rFonts w:ascii="Arial" w:hAnsi="Arial" w:cs="Arial"/>
                <w:sz w:val="18"/>
                <w:szCs w:val="18"/>
              </w:rPr>
            </w:pPr>
            <w:r w:rsidRPr="00D54D24">
              <w:rPr>
                <w:rFonts w:ascii="Arial" w:hAnsi="Arial" w:cs="Arial"/>
                <w:sz w:val="18"/>
                <w:szCs w:val="18"/>
              </w:rPr>
              <w:t>Inspect</w:t>
            </w:r>
            <w:r w:rsidRPr="00D54D24">
              <w:rPr>
                <w:rFonts w:ascii="Arial" w:hAnsi="Arial" w:cs="Arial"/>
                <w:spacing w:val="-2"/>
                <w:sz w:val="18"/>
                <w:szCs w:val="18"/>
              </w:rPr>
              <w:t xml:space="preserve"> </w:t>
            </w:r>
            <w:r w:rsidRPr="00D54D24">
              <w:rPr>
                <w:rFonts w:ascii="Arial" w:hAnsi="Arial" w:cs="Arial"/>
                <w:sz w:val="18"/>
                <w:szCs w:val="18"/>
              </w:rPr>
              <w:t>blades</w:t>
            </w:r>
            <w:r w:rsidRPr="00D54D24">
              <w:rPr>
                <w:rFonts w:ascii="Arial" w:hAnsi="Arial" w:cs="Arial"/>
                <w:spacing w:val="-1"/>
                <w:sz w:val="18"/>
                <w:szCs w:val="18"/>
              </w:rPr>
              <w:t xml:space="preserve"> </w:t>
            </w:r>
            <w:r w:rsidRPr="00D54D24">
              <w:rPr>
                <w:rFonts w:ascii="Arial" w:hAnsi="Arial" w:cs="Arial"/>
                <w:sz w:val="18"/>
                <w:szCs w:val="18"/>
              </w:rPr>
              <w:t>for</w:t>
            </w:r>
            <w:r w:rsidRPr="00D54D24">
              <w:rPr>
                <w:rFonts w:ascii="Arial" w:hAnsi="Arial" w:cs="Arial"/>
                <w:spacing w:val="-1"/>
                <w:sz w:val="18"/>
                <w:szCs w:val="18"/>
              </w:rPr>
              <w:t xml:space="preserve"> </w:t>
            </w:r>
            <w:r w:rsidRPr="00D54D24">
              <w:rPr>
                <w:rFonts w:ascii="Arial" w:hAnsi="Arial" w:cs="Arial"/>
                <w:sz w:val="18"/>
                <w:szCs w:val="18"/>
              </w:rPr>
              <w:t>damage</w:t>
            </w:r>
            <w:r w:rsidRPr="00D54D24">
              <w:rPr>
                <w:rFonts w:ascii="Arial" w:hAnsi="Arial" w:cs="Arial"/>
                <w:spacing w:val="-3"/>
                <w:sz w:val="18"/>
                <w:szCs w:val="18"/>
              </w:rPr>
              <w:t xml:space="preserve"> </w:t>
            </w:r>
            <w:r w:rsidRPr="00D54D24">
              <w:rPr>
                <w:rFonts w:ascii="Arial" w:hAnsi="Arial" w:cs="Arial"/>
                <w:sz w:val="18"/>
                <w:szCs w:val="18"/>
              </w:rPr>
              <w:t>and</w:t>
            </w:r>
            <w:r w:rsidRPr="00D54D24">
              <w:rPr>
                <w:rFonts w:ascii="Arial" w:hAnsi="Arial" w:cs="Arial"/>
                <w:spacing w:val="-2"/>
                <w:sz w:val="18"/>
                <w:szCs w:val="18"/>
              </w:rPr>
              <w:t xml:space="preserve"> </w:t>
            </w:r>
            <w:r w:rsidRPr="00D54D24">
              <w:rPr>
                <w:rFonts w:ascii="Arial" w:hAnsi="Arial" w:cs="Arial"/>
                <w:sz w:val="18"/>
                <w:szCs w:val="18"/>
              </w:rPr>
              <w:t>hub</w:t>
            </w:r>
            <w:r w:rsidRPr="00D54D24">
              <w:rPr>
                <w:rFonts w:ascii="Arial" w:hAnsi="Arial" w:cs="Arial"/>
                <w:spacing w:val="-1"/>
                <w:sz w:val="18"/>
                <w:szCs w:val="18"/>
              </w:rPr>
              <w:t xml:space="preserve"> </w:t>
            </w:r>
            <w:r w:rsidRPr="00D54D24">
              <w:rPr>
                <w:rFonts w:ascii="Arial" w:hAnsi="Arial" w:cs="Arial"/>
                <w:sz w:val="18"/>
                <w:szCs w:val="18"/>
              </w:rPr>
              <w:t>leaks.</w:t>
            </w:r>
          </w:p>
        </w:tc>
      </w:tr>
      <w:tr w:rsidR="00D54D24" w:rsidRPr="00D54D24" w14:paraId="7EB61398" w14:textId="77777777" w:rsidTr="00C342B1">
        <w:trPr>
          <w:trHeight w:val="447"/>
        </w:trPr>
        <w:tc>
          <w:tcPr>
            <w:tcW w:w="2425" w:type="dxa"/>
          </w:tcPr>
          <w:p w14:paraId="1A236F4A" w14:textId="77777777" w:rsidR="00D54D24" w:rsidRPr="00D54D24" w:rsidRDefault="00D54D24" w:rsidP="00D54D24">
            <w:pPr>
              <w:pStyle w:val="TableParagraph"/>
              <w:spacing w:line="240" w:lineRule="atLeast"/>
              <w:ind w:left="86" w:right="202"/>
              <w:rPr>
                <w:rFonts w:ascii="Arial" w:hAnsi="Arial" w:cs="Arial"/>
                <w:sz w:val="18"/>
                <w:szCs w:val="18"/>
              </w:rPr>
            </w:pPr>
            <w:r w:rsidRPr="00D54D24">
              <w:rPr>
                <w:rFonts w:ascii="Arial" w:hAnsi="Arial" w:cs="Arial"/>
                <w:sz w:val="18"/>
                <w:szCs w:val="18"/>
              </w:rPr>
              <w:t>(if installed) fire detector</w:t>
            </w:r>
            <w:r w:rsidRPr="00D54D24">
              <w:rPr>
                <w:rFonts w:ascii="Arial" w:hAnsi="Arial" w:cs="Arial"/>
                <w:spacing w:val="-43"/>
                <w:sz w:val="18"/>
                <w:szCs w:val="18"/>
              </w:rPr>
              <w:t xml:space="preserve"> </w:t>
            </w:r>
            <w:r w:rsidRPr="00D54D24">
              <w:rPr>
                <w:rFonts w:ascii="Arial" w:hAnsi="Arial" w:cs="Arial"/>
                <w:sz w:val="18"/>
                <w:szCs w:val="18"/>
              </w:rPr>
              <w:t>loop</w:t>
            </w:r>
            <w:r w:rsidRPr="00D54D24">
              <w:rPr>
                <w:rFonts w:ascii="Arial" w:hAnsi="Arial" w:cs="Arial"/>
                <w:spacing w:val="-2"/>
                <w:sz w:val="18"/>
                <w:szCs w:val="18"/>
              </w:rPr>
              <w:t xml:space="preserve"> </w:t>
            </w:r>
            <w:r w:rsidRPr="00D54D24">
              <w:rPr>
                <w:rFonts w:ascii="Arial" w:hAnsi="Arial" w:cs="Arial"/>
                <w:sz w:val="18"/>
                <w:szCs w:val="18"/>
              </w:rPr>
              <w:t>or</w:t>
            </w:r>
            <w:r w:rsidRPr="00D54D24">
              <w:rPr>
                <w:rFonts w:ascii="Arial" w:hAnsi="Arial" w:cs="Arial"/>
                <w:spacing w:val="-1"/>
                <w:sz w:val="18"/>
                <w:szCs w:val="18"/>
              </w:rPr>
              <w:t xml:space="preserve"> </w:t>
            </w:r>
            <w:r w:rsidRPr="00D54D24">
              <w:rPr>
                <w:rFonts w:ascii="Arial" w:hAnsi="Arial" w:cs="Arial"/>
                <w:sz w:val="18"/>
                <w:szCs w:val="18"/>
              </w:rPr>
              <w:t>sense module</w:t>
            </w:r>
          </w:p>
        </w:tc>
        <w:tc>
          <w:tcPr>
            <w:tcW w:w="6660" w:type="dxa"/>
          </w:tcPr>
          <w:p w14:paraId="5C713975" w14:textId="77777777" w:rsidR="00D54D24" w:rsidRPr="00D54D24" w:rsidRDefault="00D54D24" w:rsidP="00D54D24">
            <w:pPr>
              <w:pStyle w:val="TableParagraph"/>
              <w:rPr>
                <w:rFonts w:ascii="Arial" w:hAnsi="Arial" w:cs="Arial"/>
                <w:sz w:val="18"/>
                <w:szCs w:val="18"/>
              </w:rPr>
            </w:pPr>
            <w:r w:rsidRPr="00D54D24">
              <w:rPr>
                <w:rFonts w:ascii="Arial" w:hAnsi="Arial" w:cs="Arial"/>
                <w:sz w:val="18"/>
                <w:szCs w:val="18"/>
              </w:rPr>
              <w:t>Functional</w:t>
            </w:r>
            <w:r w:rsidRPr="00D54D24">
              <w:rPr>
                <w:rFonts w:ascii="Arial" w:hAnsi="Arial" w:cs="Arial"/>
                <w:spacing w:val="-3"/>
                <w:sz w:val="18"/>
                <w:szCs w:val="18"/>
              </w:rPr>
              <w:t xml:space="preserve"> </w:t>
            </w:r>
            <w:r w:rsidRPr="00D54D24">
              <w:rPr>
                <w:rFonts w:ascii="Arial" w:hAnsi="Arial" w:cs="Arial"/>
                <w:sz w:val="18"/>
                <w:szCs w:val="18"/>
              </w:rPr>
              <w:t>check</w:t>
            </w:r>
          </w:p>
        </w:tc>
      </w:tr>
      <w:tr w:rsidR="00D54D24" w:rsidRPr="00D54D24" w14:paraId="4A98C62E" w14:textId="77777777" w:rsidTr="00C342B1">
        <w:trPr>
          <w:trHeight w:val="200"/>
        </w:trPr>
        <w:tc>
          <w:tcPr>
            <w:tcW w:w="2425" w:type="dxa"/>
          </w:tcPr>
          <w:p w14:paraId="2A1AA31C" w14:textId="77777777" w:rsidR="00D54D24" w:rsidRPr="00D54D24" w:rsidRDefault="00D54D24" w:rsidP="00D54D24">
            <w:pPr>
              <w:pStyle w:val="TableParagraph"/>
              <w:spacing w:line="223" w:lineRule="exact"/>
              <w:ind w:left="86"/>
              <w:rPr>
                <w:rFonts w:ascii="Arial" w:hAnsi="Arial" w:cs="Arial"/>
                <w:sz w:val="18"/>
                <w:szCs w:val="18"/>
              </w:rPr>
            </w:pPr>
            <w:r w:rsidRPr="00D54D24">
              <w:rPr>
                <w:rFonts w:ascii="Arial" w:hAnsi="Arial" w:cs="Arial"/>
                <w:sz w:val="18"/>
                <w:szCs w:val="18"/>
              </w:rPr>
              <w:t>Engine</w:t>
            </w:r>
            <w:r w:rsidRPr="00D54D24">
              <w:rPr>
                <w:rFonts w:ascii="Arial" w:hAnsi="Arial" w:cs="Arial"/>
                <w:spacing w:val="-4"/>
                <w:sz w:val="18"/>
                <w:szCs w:val="18"/>
              </w:rPr>
              <w:t xml:space="preserve"> </w:t>
            </w:r>
            <w:r w:rsidRPr="00D54D24">
              <w:rPr>
                <w:rFonts w:ascii="Arial" w:hAnsi="Arial" w:cs="Arial"/>
                <w:sz w:val="18"/>
                <w:szCs w:val="18"/>
              </w:rPr>
              <w:t>cowling</w:t>
            </w:r>
          </w:p>
        </w:tc>
        <w:tc>
          <w:tcPr>
            <w:tcW w:w="6660" w:type="dxa"/>
          </w:tcPr>
          <w:p w14:paraId="5AF02A6F" w14:textId="77777777" w:rsidR="00D54D24" w:rsidRPr="00D54D24" w:rsidRDefault="00D54D24" w:rsidP="00D54D24">
            <w:pPr>
              <w:pStyle w:val="TableParagraph"/>
              <w:spacing w:line="223" w:lineRule="exact"/>
              <w:rPr>
                <w:rFonts w:ascii="Arial" w:hAnsi="Arial" w:cs="Arial"/>
                <w:sz w:val="18"/>
                <w:szCs w:val="18"/>
              </w:rPr>
            </w:pPr>
            <w:r w:rsidRPr="00D54D24">
              <w:rPr>
                <w:rFonts w:ascii="Arial" w:hAnsi="Arial" w:cs="Arial"/>
                <w:sz w:val="18"/>
                <w:szCs w:val="18"/>
              </w:rPr>
              <w:t>Install</w:t>
            </w:r>
          </w:p>
        </w:tc>
      </w:tr>
      <w:tr w:rsidR="00D54D24" w:rsidRPr="00D54D24" w14:paraId="353D481E" w14:textId="77777777" w:rsidTr="00C342B1">
        <w:trPr>
          <w:trHeight w:val="202"/>
        </w:trPr>
        <w:tc>
          <w:tcPr>
            <w:tcW w:w="2425" w:type="dxa"/>
          </w:tcPr>
          <w:p w14:paraId="61F7B517" w14:textId="77777777" w:rsidR="00D54D24" w:rsidRPr="00D54D24" w:rsidRDefault="00D54D24" w:rsidP="00D54D24">
            <w:pPr>
              <w:pStyle w:val="TableParagraph"/>
              <w:spacing w:line="225" w:lineRule="exact"/>
              <w:ind w:left="86"/>
              <w:rPr>
                <w:rFonts w:ascii="Arial" w:hAnsi="Arial" w:cs="Arial"/>
                <w:sz w:val="18"/>
                <w:szCs w:val="18"/>
              </w:rPr>
            </w:pPr>
            <w:r w:rsidRPr="00D54D24">
              <w:rPr>
                <w:rFonts w:ascii="Arial" w:hAnsi="Arial" w:cs="Arial"/>
                <w:sz w:val="18"/>
                <w:szCs w:val="18"/>
              </w:rPr>
              <w:lastRenderedPageBreak/>
              <w:t>Power</w:t>
            </w:r>
            <w:r w:rsidRPr="00D54D24">
              <w:rPr>
                <w:rFonts w:ascii="Arial" w:hAnsi="Arial" w:cs="Arial"/>
                <w:spacing w:val="-2"/>
                <w:sz w:val="18"/>
                <w:szCs w:val="18"/>
              </w:rPr>
              <w:t xml:space="preserve"> </w:t>
            </w:r>
            <w:r w:rsidRPr="00D54D24">
              <w:rPr>
                <w:rFonts w:ascii="Arial" w:hAnsi="Arial" w:cs="Arial"/>
                <w:sz w:val="18"/>
                <w:szCs w:val="18"/>
              </w:rPr>
              <w:t>check</w:t>
            </w:r>
          </w:p>
        </w:tc>
        <w:tc>
          <w:tcPr>
            <w:tcW w:w="6660" w:type="dxa"/>
          </w:tcPr>
          <w:p w14:paraId="76EB2026" w14:textId="77777777" w:rsidR="00D54D24" w:rsidRPr="00D54D24" w:rsidRDefault="00D54D24" w:rsidP="00D54D24">
            <w:pPr>
              <w:pStyle w:val="TableParagraph"/>
              <w:spacing w:line="225" w:lineRule="exact"/>
              <w:rPr>
                <w:rFonts w:ascii="Arial" w:hAnsi="Arial" w:cs="Arial"/>
                <w:sz w:val="18"/>
                <w:szCs w:val="18"/>
              </w:rPr>
            </w:pPr>
            <w:r w:rsidRPr="00D54D24">
              <w:rPr>
                <w:rFonts w:ascii="Arial" w:hAnsi="Arial" w:cs="Arial"/>
                <w:sz w:val="18"/>
                <w:szCs w:val="18"/>
              </w:rPr>
              <w:t>Perform</w:t>
            </w:r>
            <w:r w:rsidRPr="00D54D24">
              <w:rPr>
                <w:rFonts w:ascii="Arial" w:hAnsi="Arial" w:cs="Arial"/>
                <w:spacing w:val="-3"/>
                <w:sz w:val="18"/>
                <w:szCs w:val="18"/>
              </w:rPr>
              <w:t xml:space="preserve"> </w:t>
            </w:r>
            <w:r w:rsidRPr="00D54D24">
              <w:rPr>
                <w:rFonts w:ascii="Arial" w:hAnsi="Arial" w:cs="Arial"/>
                <w:sz w:val="18"/>
                <w:szCs w:val="18"/>
              </w:rPr>
              <w:t>in accordance</w:t>
            </w:r>
            <w:r w:rsidRPr="00D54D24">
              <w:rPr>
                <w:rFonts w:ascii="Arial" w:hAnsi="Arial" w:cs="Arial"/>
                <w:spacing w:val="-4"/>
                <w:sz w:val="18"/>
                <w:szCs w:val="18"/>
              </w:rPr>
              <w:t xml:space="preserve"> </w:t>
            </w:r>
            <w:r w:rsidRPr="00D54D24">
              <w:rPr>
                <w:rFonts w:ascii="Arial" w:hAnsi="Arial" w:cs="Arial"/>
                <w:sz w:val="18"/>
                <w:szCs w:val="18"/>
              </w:rPr>
              <w:t>with</w:t>
            </w:r>
            <w:r w:rsidRPr="00D54D24">
              <w:rPr>
                <w:rFonts w:ascii="Arial" w:hAnsi="Arial" w:cs="Arial"/>
                <w:spacing w:val="-1"/>
                <w:sz w:val="18"/>
                <w:szCs w:val="18"/>
              </w:rPr>
              <w:t xml:space="preserve"> </w:t>
            </w:r>
            <w:r w:rsidRPr="00D54D24">
              <w:rPr>
                <w:rFonts w:ascii="Arial" w:hAnsi="Arial" w:cs="Arial"/>
                <w:sz w:val="18"/>
                <w:szCs w:val="18"/>
              </w:rPr>
              <w:t>the</w:t>
            </w:r>
            <w:r w:rsidRPr="00D54D24">
              <w:rPr>
                <w:rFonts w:ascii="Arial" w:hAnsi="Arial" w:cs="Arial"/>
                <w:spacing w:val="-3"/>
                <w:sz w:val="18"/>
                <w:szCs w:val="18"/>
              </w:rPr>
              <w:t xml:space="preserve"> </w:t>
            </w:r>
            <w:r w:rsidRPr="00D54D24">
              <w:rPr>
                <w:rFonts w:ascii="Arial" w:hAnsi="Arial" w:cs="Arial"/>
                <w:sz w:val="18"/>
                <w:szCs w:val="18"/>
              </w:rPr>
              <w:t>graphs</w:t>
            </w:r>
            <w:r w:rsidRPr="00D54D24">
              <w:rPr>
                <w:rFonts w:ascii="Arial" w:hAnsi="Arial" w:cs="Arial"/>
                <w:spacing w:val="-3"/>
                <w:sz w:val="18"/>
                <w:szCs w:val="18"/>
              </w:rPr>
              <w:t xml:space="preserve"> </w:t>
            </w:r>
            <w:r w:rsidRPr="00D54D24">
              <w:rPr>
                <w:rFonts w:ascii="Arial" w:hAnsi="Arial" w:cs="Arial"/>
                <w:sz w:val="18"/>
                <w:szCs w:val="18"/>
              </w:rPr>
              <w:t>found</w:t>
            </w:r>
            <w:r w:rsidRPr="00D54D24">
              <w:rPr>
                <w:rFonts w:ascii="Arial" w:hAnsi="Arial" w:cs="Arial"/>
                <w:spacing w:val="-1"/>
                <w:sz w:val="18"/>
                <w:szCs w:val="18"/>
              </w:rPr>
              <w:t xml:space="preserve"> </w:t>
            </w:r>
            <w:r w:rsidRPr="00D54D24">
              <w:rPr>
                <w:rFonts w:ascii="Arial" w:hAnsi="Arial" w:cs="Arial"/>
                <w:sz w:val="18"/>
                <w:szCs w:val="18"/>
              </w:rPr>
              <w:t>in</w:t>
            </w:r>
            <w:r w:rsidRPr="00D54D24">
              <w:rPr>
                <w:rFonts w:ascii="Arial" w:hAnsi="Arial" w:cs="Arial"/>
                <w:spacing w:val="-1"/>
                <w:sz w:val="18"/>
                <w:szCs w:val="18"/>
              </w:rPr>
              <w:t xml:space="preserve"> </w:t>
            </w:r>
            <w:r w:rsidRPr="00D54D24">
              <w:rPr>
                <w:rFonts w:ascii="Arial" w:hAnsi="Arial" w:cs="Arial"/>
                <w:sz w:val="18"/>
                <w:szCs w:val="18"/>
              </w:rPr>
              <w:t>the</w:t>
            </w:r>
            <w:r w:rsidRPr="00D54D24">
              <w:rPr>
                <w:rFonts w:ascii="Arial" w:hAnsi="Arial" w:cs="Arial"/>
                <w:spacing w:val="-2"/>
                <w:sz w:val="18"/>
                <w:szCs w:val="18"/>
              </w:rPr>
              <w:t xml:space="preserve"> </w:t>
            </w:r>
            <w:r w:rsidRPr="00D54D24">
              <w:rPr>
                <w:rFonts w:ascii="Arial" w:hAnsi="Arial" w:cs="Arial"/>
                <w:sz w:val="18"/>
                <w:szCs w:val="18"/>
              </w:rPr>
              <w:t>EMM,</w:t>
            </w:r>
            <w:r w:rsidRPr="00D54D24">
              <w:rPr>
                <w:rFonts w:ascii="Arial" w:hAnsi="Arial" w:cs="Arial"/>
                <w:spacing w:val="-4"/>
                <w:sz w:val="18"/>
                <w:szCs w:val="18"/>
              </w:rPr>
              <w:t xml:space="preserve"> </w:t>
            </w:r>
            <w:r w:rsidRPr="00D54D24">
              <w:rPr>
                <w:rFonts w:ascii="Arial" w:hAnsi="Arial" w:cs="Arial"/>
                <w:sz w:val="18"/>
                <w:szCs w:val="18"/>
              </w:rPr>
              <w:t>record values.</w:t>
            </w:r>
          </w:p>
        </w:tc>
      </w:tr>
      <w:tr w:rsidR="00D54D24" w:rsidRPr="00D54D24" w14:paraId="330474C4" w14:textId="77777777" w:rsidTr="00C342B1">
        <w:trPr>
          <w:trHeight w:val="199"/>
        </w:trPr>
        <w:tc>
          <w:tcPr>
            <w:tcW w:w="2425" w:type="dxa"/>
          </w:tcPr>
          <w:p w14:paraId="0B04798C" w14:textId="77777777" w:rsidR="00D54D24" w:rsidRPr="00D54D24" w:rsidRDefault="00D54D24" w:rsidP="00D54D24">
            <w:pPr>
              <w:pStyle w:val="TableParagraph"/>
              <w:spacing w:line="223" w:lineRule="exact"/>
              <w:ind w:left="86"/>
              <w:rPr>
                <w:rFonts w:ascii="Arial" w:hAnsi="Arial" w:cs="Arial"/>
                <w:sz w:val="18"/>
                <w:szCs w:val="18"/>
              </w:rPr>
            </w:pPr>
            <w:r w:rsidRPr="00D54D24">
              <w:rPr>
                <w:rFonts w:ascii="Arial" w:hAnsi="Arial" w:cs="Arial"/>
                <w:sz w:val="18"/>
                <w:szCs w:val="18"/>
              </w:rPr>
              <w:t>Oil</w:t>
            </w:r>
            <w:r w:rsidRPr="00D54D24">
              <w:rPr>
                <w:rFonts w:ascii="Arial" w:hAnsi="Arial" w:cs="Arial"/>
                <w:spacing w:val="-4"/>
                <w:sz w:val="18"/>
                <w:szCs w:val="18"/>
              </w:rPr>
              <w:t xml:space="preserve"> </w:t>
            </w:r>
            <w:r w:rsidRPr="00D54D24">
              <w:rPr>
                <w:rFonts w:ascii="Arial" w:hAnsi="Arial" w:cs="Arial"/>
                <w:sz w:val="18"/>
                <w:szCs w:val="18"/>
              </w:rPr>
              <w:t>level</w:t>
            </w:r>
          </w:p>
        </w:tc>
        <w:tc>
          <w:tcPr>
            <w:tcW w:w="6660" w:type="dxa"/>
          </w:tcPr>
          <w:p w14:paraId="45B7B0BF" w14:textId="77777777" w:rsidR="00D54D24" w:rsidRPr="00D54D24" w:rsidRDefault="00D54D24" w:rsidP="00D54D24">
            <w:pPr>
              <w:pStyle w:val="TableParagraph"/>
              <w:spacing w:line="223" w:lineRule="exact"/>
              <w:rPr>
                <w:rFonts w:ascii="Arial" w:hAnsi="Arial" w:cs="Arial"/>
                <w:sz w:val="18"/>
                <w:szCs w:val="18"/>
              </w:rPr>
            </w:pPr>
            <w:r w:rsidRPr="00D54D24">
              <w:rPr>
                <w:rFonts w:ascii="Arial" w:hAnsi="Arial" w:cs="Arial"/>
                <w:sz w:val="18"/>
                <w:szCs w:val="18"/>
              </w:rPr>
              <w:t>Check</w:t>
            </w:r>
            <w:r w:rsidRPr="00D54D24">
              <w:rPr>
                <w:rFonts w:ascii="Arial" w:hAnsi="Arial" w:cs="Arial"/>
                <w:spacing w:val="-3"/>
                <w:sz w:val="18"/>
                <w:szCs w:val="18"/>
              </w:rPr>
              <w:t xml:space="preserve"> </w:t>
            </w:r>
            <w:r w:rsidRPr="00D54D24">
              <w:rPr>
                <w:rFonts w:ascii="Arial" w:hAnsi="Arial" w:cs="Arial"/>
                <w:sz w:val="18"/>
                <w:szCs w:val="18"/>
              </w:rPr>
              <w:t>within</w:t>
            </w:r>
            <w:r w:rsidRPr="00D54D24">
              <w:rPr>
                <w:rFonts w:ascii="Arial" w:hAnsi="Arial" w:cs="Arial"/>
                <w:spacing w:val="-3"/>
                <w:sz w:val="18"/>
                <w:szCs w:val="18"/>
              </w:rPr>
              <w:t xml:space="preserve"> </w:t>
            </w:r>
            <w:r w:rsidRPr="00D54D24">
              <w:rPr>
                <w:rFonts w:ascii="Arial" w:hAnsi="Arial" w:cs="Arial"/>
                <w:sz w:val="18"/>
                <w:szCs w:val="18"/>
              </w:rPr>
              <w:t>10 minutes</w:t>
            </w:r>
            <w:r w:rsidRPr="00D54D24">
              <w:rPr>
                <w:rFonts w:ascii="Arial" w:hAnsi="Arial" w:cs="Arial"/>
                <w:spacing w:val="-5"/>
                <w:sz w:val="18"/>
                <w:szCs w:val="18"/>
              </w:rPr>
              <w:t xml:space="preserve"> </w:t>
            </w:r>
            <w:r w:rsidRPr="00D54D24">
              <w:rPr>
                <w:rFonts w:ascii="Arial" w:hAnsi="Arial" w:cs="Arial"/>
                <w:sz w:val="18"/>
                <w:szCs w:val="18"/>
              </w:rPr>
              <w:t>after</w:t>
            </w:r>
            <w:r w:rsidRPr="00D54D24">
              <w:rPr>
                <w:rFonts w:ascii="Arial" w:hAnsi="Arial" w:cs="Arial"/>
                <w:spacing w:val="-1"/>
                <w:sz w:val="18"/>
                <w:szCs w:val="18"/>
              </w:rPr>
              <w:t xml:space="preserve"> </w:t>
            </w:r>
            <w:r w:rsidRPr="00D54D24">
              <w:rPr>
                <w:rFonts w:ascii="Arial" w:hAnsi="Arial" w:cs="Arial"/>
                <w:sz w:val="18"/>
                <w:szCs w:val="18"/>
              </w:rPr>
              <w:t>shutdown.</w:t>
            </w:r>
          </w:p>
        </w:tc>
      </w:tr>
      <w:tr w:rsidR="00D54D24" w:rsidRPr="00D54D24" w14:paraId="209CB094" w14:textId="77777777" w:rsidTr="00061309">
        <w:trPr>
          <w:trHeight w:val="202"/>
        </w:trPr>
        <w:tc>
          <w:tcPr>
            <w:tcW w:w="9085" w:type="dxa"/>
            <w:gridSpan w:val="2"/>
            <w:shd w:val="clear" w:color="auto" w:fill="F2F2F2" w:themeFill="background1" w:themeFillShade="F2"/>
          </w:tcPr>
          <w:p w14:paraId="4D0053D3" w14:textId="77777777" w:rsidR="00D54D24" w:rsidRPr="00D54D24" w:rsidRDefault="00D54D24" w:rsidP="00D54D24">
            <w:pPr>
              <w:pStyle w:val="TableParagraph"/>
              <w:spacing w:line="225" w:lineRule="exact"/>
              <w:ind w:left="86"/>
              <w:rPr>
                <w:rFonts w:ascii="Arial" w:hAnsi="Arial" w:cs="Arial"/>
                <w:b/>
                <w:sz w:val="18"/>
                <w:szCs w:val="18"/>
              </w:rPr>
            </w:pPr>
            <w:r w:rsidRPr="00D54D24">
              <w:rPr>
                <w:rFonts w:ascii="Arial" w:hAnsi="Arial" w:cs="Arial"/>
                <w:b/>
                <w:sz w:val="18"/>
                <w:szCs w:val="18"/>
              </w:rPr>
              <w:t>FUEL</w:t>
            </w:r>
          </w:p>
        </w:tc>
      </w:tr>
      <w:tr w:rsidR="00D54D24" w:rsidRPr="00D54D24" w14:paraId="2A5E06B3" w14:textId="77777777" w:rsidTr="00C342B1">
        <w:trPr>
          <w:trHeight w:val="444"/>
        </w:trPr>
        <w:tc>
          <w:tcPr>
            <w:tcW w:w="2425" w:type="dxa"/>
          </w:tcPr>
          <w:p w14:paraId="362ED8F6" w14:textId="77777777" w:rsidR="00D54D24" w:rsidRPr="00D54D24" w:rsidRDefault="00D54D24" w:rsidP="00D54D24">
            <w:pPr>
              <w:pStyle w:val="TableParagraph"/>
              <w:spacing w:line="242" w:lineRule="exact"/>
              <w:ind w:left="86"/>
              <w:rPr>
                <w:rFonts w:ascii="Arial" w:hAnsi="Arial" w:cs="Arial"/>
                <w:sz w:val="18"/>
                <w:szCs w:val="18"/>
              </w:rPr>
            </w:pPr>
            <w:r w:rsidRPr="00D54D24">
              <w:rPr>
                <w:rFonts w:ascii="Arial" w:hAnsi="Arial" w:cs="Arial"/>
                <w:sz w:val="18"/>
                <w:szCs w:val="18"/>
              </w:rPr>
              <w:t>Fuel</w:t>
            </w:r>
            <w:r w:rsidRPr="00D54D24">
              <w:rPr>
                <w:rFonts w:ascii="Arial" w:hAnsi="Arial" w:cs="Arial"/>
                <w:spacing w:val="-2"/>
                <w:sz w:val="18"/>
                <w:szCs w:val="18"/>
              </w:rPr>
              <w:t xml:space="preserve"> </w:t>
            </w:r>
            <w:r w:rsidRPr="00D54D24">
              <w:rPr>
                <w:rFonts w:ascii="Arial" w:hAnsi="Arial" w:cs="Arial"/>
                <w:sz w:val="18"/>
                <w:szCs w:val="18"/>
              </w:rPr>
              <w:t>tanks</w:t>
            </w:r>
          </w:p>
        </w:tc>
        <w:tc>
          <w:tcPr>
            <w:tcW w:w="6660" w:type="dxa"/>
          </w:tcPr>
          <w:p w14:paraId="3E461BE0" w14:textId="77777777" w:rsidR="00D54D24" w:rsidRPr="00D54D24" w:rsidRDefault="00D54D24" w:rsidP="00D54D24">
            <w:pPr>
              <w:pStyle w:val="TableParagraph"/>
              <w:spacing w:line="242" w:lineRule="exact"/>
              <w:rPr>
                <w:rFonts w:ascii="Arial" w:hAnsi="Arial" w:cs="Arial"/>
                <w:sz w:val="18"/>
                <w:szCs w:val="18"/>
              </w:rPr>
            </w:pPr>
            <w:r w:rsidRPr="00D54D24">
              <w:rPr>
                <w:rFonts w:ascii="Arial" w:hAnsi="Arial" w:cs="Arial"/>
                <w:sz w:val="18"/>
                <w:szCs w:val="18"/>
              </w:rPr>
              <w:t>Inspect</w:t>
            </w:r>
            <w:r w:rsidRPr="00D54D24">
              <w:rPr>
                <w:rFonts w:ascii="Arial" w:hAnsi="Arial" w:cs="Arial"/>
                <w:spacing w:val="-2"/>
                <w:sz w:val="18"/>
                <w:szCs w:val="18"/>
              </w:rPr>
              <w:t xml:space="preserve"> </w:t>
            </w:r>
            <w:r w:rsidRPr="00D54D24">
              <w:rPr>
                <w:rFonts w:ascii="Arial" w:hAnsi="Arial" w:cs="Arial"/>
                <w:sz w:val="18"/>
                <w:szCs w:val="18"/>
              </w:rPr>
              <w:t>for</w:t>
            </w:r>
            <w:r w:rsidRPr="00D54D24">
              <w:rPr>
                <w:rFonts w:ascii="Arial" w:hAnsi="Arial" w:cs="Arial"/>
                <w:spacing w:val="-2"/>
                <w:sz w:val="18"/>
                <w:szCs w:val="18"/>
              </w:rPr>
              <w:t xml:space="preserve"> </w:t>
            </w:r>
            <w:r w:rsidRPr="00D54D24">
              <w:rPr>
                <w:rFonts w:ascii="Arial" w:hAnsi="Arial" w:cs="Arial"/>
                <w:sz w:val="18"/>
                <w:szCs w:val="18"/>
              </w:rPr>
              <w:t>leaks</w:t>
            </w:r>
            <w:r w:rsidRPr="00D54D24">
              <w:rPr>
                <w:rFonts w:ascii="Arial" w:hAnsi="Arial" w:cs="Arial"/>
                <w:spacing w:val="-4"/>
                <w:sz w:val="18"/>
                <w:szCs w:val="18"/>
              </w:rPr>
              <w:t xml:space="preserve"> </w:t>
            </w:r>
            <w:r w:rsidRPr="00D54D24">
              <w:rPr>
                <w:rFonts w:ascii="Arial" w:hAnsi="Arial" w:cs="Arial"/>
                <w:sz w:val="18"/>
                <w:szCs w:val="18"/>
              </w:rPr>
              <w:t>and</w:t>
            </w:r>
            <w:r w:rsidRPr="00D54D24">
              <w:rPr>
                <w:rFonts w:ascii="Arial" w:hAnsi="Arial" w:cs="Arial"/>
                <w:spacing w:val="-1"/>
                <w:sz w:val="18"/>
                <w:szCs w:val="18"/>
              </w:rPr>
              <w:t xml:space="preserve"> </w:t>
            </w:r>
            <w:r w:rsidRPr="00D54D24">
              <w:rPr>
                <w:rFonts w:ascii="Arial" w:hAnsi="Arial" w:cs="Arial"/>
                <w:sz w:val="18"/>
                <w:szCs w:val="18"/>
              </w:rPr>
              <w:t>improper</w:t>
            </w:r>
            <w:r w:rsidRPr="00D54D24">
              <w:rPr>
                <w:rFonts w:ascii="Arial" w:hAnsi="Arial" w:cs="Arial"/>
                <w:spacing w:val="-2"/>
                <w:sz w:val="18"/>
                <w:szCs w:val="18"/>
              </w:rPr>
              <w:t xml:space="preserve"> </w:t>
            </w:r>
            <w:r w:rsidRPr="00D54D24">
              <w:rPr>
                <w:rFonts w:ascii="Arial" w:hAnsi="Arial" w:cs="Arial"/>
                <w:sz w:val="18"/>
                <w:szCs w:val="18"/>
              </w:rPr>
              <w:t>installation</w:t>
            </w:r>
            <w:r w:rsidRPr="00D54D24">
              <w:rPr>
                <w:rFonts w:ascii="Arial" w:hAnsi="Arial" w:cs="Arial"/>
                <w:spacing w:val="-1"/>
                <w:sz w:val="18"/>
                <w:szCs w:val="18"/>
              </w:rPr>
              <w:t xml:space="preserve"> </w:t>
            </w:r>
            <w:r w:rsidRPr="00D54D24">
              <w:rPr>
                <w:rFonts w:ascii="Arial" w:hAnsi="Arial" w:cs="Arial"/>
                <w:sz w:val="18"/>
                <w:szCs w:val="18"/>
              </w:rPr>
              <w:t>and</w:t>
            </w:r>
            <w:r w:rsidRPr="00D54D24">
              <w:rPr>
                <w:rFonts w:ascii="Arial" w:hAnsi="Arial" w:cs="Arial"/>
                <w:spacing w:val="-2"/>
                <w:sz w:val="18"/>
                <w:szCs w:val="18"/>
              </w:rPr>
              <w:t xml:space="preserve"> </w:t>
            </w:r>
            <w:r w:rsidRPr="00D54D24">
              <w:rPr>
                <w:rFonts w:ascii="Arial" w:hAnsi="Arial" w:cs="Arial"/>
                <w:sz w:val="18"/>
                <w:szCs w:val="18"/>
              </w:rPr>
              <w:t>connection.</w:t>
            </w:r>
          </w:p>
          <w:p w14:paraId="22A8374B" w14:textId="77777777" w:rsidR="00D54D24" w:rsidRPr="00D54D24" w:rsidRDefault="00D54D24" w:rsidP="00D54D24">
            <w:pPr>
              <w:pStyle w:val="TableParagraph"/>
              <w:spacing w:line="225" w:lineRule="exact"/>
              <w:rPr>
                <w:rFonts w:ascii="Arial" w:hAnsi="Arial" w:cs="Arial"/>
                <w:sz w:val="18"/>
                <w:szCs w:val="18"/>
              </w:rPr>
            </w:pPr>
            <w:r w:rsidRPr="00D54D24">
              <w:rPr>
                <w:rFonts w:ascii="Arial" w:hAnsi="Arial" w:cs="Arial"/>
                <w:sz w:val="18"/>
                <w:szCs w:val="18"/>
              </w:rPr>
              <w:t>Verify</w:t>
            </w:r>
            <w:r w:rsidRPr="00D54D24">
              <w:rPr>
                <w:rFonts w:ascii="Arial" w:hAnsi="Arial" w:cs="Arial"/>
                <w:spacing w:val="-3"/>
                <w:sz w:val="18"/>
                <w:szCs w:val="18"/>
              </w:rPr>
              <w:t xml:space="preserve"> </w:t>
            </w:r>
            <w:r w:rsidRPr="00D54D24">
              <w:rPr>
                <w:rFonts w:ascii="Arial" w:hAnsi="Arial" w:cs="Arial"/>
                <w:sz w:val="18"/>
                <w:szCs w:val="18"/>
              </w:rPr>
              <w:t>proper</w:t>
            </w:r>
            <w:r w:rsidRPr="00D54D24">
              <w:rPr>
                <w:rFonts w:ascii="Arial" w:hAnsi="Arial" w:cs="Arial"/>
                <w:spacing w:val="-2"/>
                <w:sz w:val="18"/>
                <w:szCs w:val="18"/>
              </w:rPr>
              <w:t xml:space="preserve"> </w:t>
            </w:r>
            <w:r w:rsidRPr="00D54D24">
              <w:rPr>
                <w:rFonts w:ascii="Arial" w:hAnsi="Arial" w:cs="Arial"/>
                <w:sz w:val="18"/>
                <w:szCs w:val="18"/>
              </w:rPr>
              <w:t>sealing</w:t>
            </w:r>
            <w:r w:rsidRPr="00D54D24">
              <w:rPr>
                <w:rFonts w:ascii="Arial" w:hAnsi="Arial" w:cs="Arial"/>
                <w:spacing w:val="-3"/>
                <w:sz w:val="18"/>
                <w:szCs w:val="18"/>
              </w:rPr>
              <w:t xml:space="preserve"> </w:t>
            </w:r>
            <w:r w:rsidRPr="00D54D24">
              <w:rPr>
                <w:rFonts w:ascii="Arial" w:hAnsi="Arial" w:cs="Arial"/>
                <w:sz w:val="18"/>
                <w:szCs w:val="18"/>
              </w:rPr>
              <w:t>and</w:t>
            </w:r>
            <w:r w:rsidRPr="00D54D24">
              <w:rPr>
                <w:rFonts w:ascii="Arial" w:hAnsi="Arial" w:cs="Arial"/>
                <w:spacing w:val="-2"/>
                <w:sz w:val="18"/>
                <w:szCs w:val="18"/>
              </w:rPr>
              <w:t xml:space="preserve"> </w:t>
            </w:r>
            <w:r w:rsidRPr="00D54D24">
              <w:rPr>
                <w:rFonts w:ascii="Arial" w:hAnsi="Arial" w:cs="Arial"/>
                <w:sz w:val="18"/>
                <w:szCs w:val="18"/>
              </w:rPr>
              <w:t>function</w:t>
            </w:r>
            <w:r w:rsidRPr="00D54D24">
              <w:rPr>
                <w:rFonts w:ascii="Arial" w:hAnsi="Arial" w:cs="Arial"/>
                <w:spacing w:val="-2"/>
                <w:sz w:val="18"/>
                <w:szCs w:val="18"/>
              </w:rPr>
              <w:t xml:space="preserve"> </w:t>
            </w:r>
            <w:r w:rsidRPr="00D54D24">
              <w:rPr>
                <w:rFonts w:ascii="Arial" w:hAnsi="Arial" w:cs="Arial"/>
                <w:sz w:val="18"/>
                <w:szCs w:val="18"/>
              </w:rPr>
              <w:t>of</w:t>
            </w:r>
            <w:r w:rsidRPr="00D54D24">
              <w:rPr>
                <w:rFonts w:ascii="Arial" w:hAnsi="Arial" w:cs="Arial"/>
                <w:spacing w:val="-4"/>
                <w:sz w:val="18"/>
                <w:szCs w:val="18"/>
              </w:rPr>
              <w:t xml:space="preserve"> </w:t>
            </w:r>
            <w:r w:rsidRPr="00D54D24">
              <w:rPr>
                <w:rFonts w:ascii="Arial" w:hAnsi="Arial" w:cs="Arial"/>
                <w:sz w:val="18"/>
                <w:szCs w:val="18"/>
              </w:rPr>
              <w:t>tank</w:t>
            </w:r>
            <w:r w:rsidRPr="00D54D24">
              <w:rPr>
                <w:rFonts w:ascii="Arial" w:hAnsi="Arial" w:cs="Arial"/>
                <w:spacing w:val="-2"/>
                <w:sz w:val="18"/>
                <w:szCs w:val="18"/>
              </w:rPr>
              <w:t xml:space="preserve"> </w:t>
            </w:r>
            <w:r w:rsidRPr="00D54D24">
              <w:rPr>
                <w:rFonts w:ascii="Arial" w:hAnsi="Arial" w:cs="Arial"/>
                <w:sz w:val="18"/>
                <w:szCs w:val="18"/>
              </w:rPr>
              <w:t>drains.</w:t>
            </w:r>
          </w:p>
        </w:tc>
      </w:tr>
      <w:tr w:rsidR="00D54D24" w:rsidRPr="00D54D24" w14:paraId="7FA61EC3" w14:textId="77777777" w:rsidTr="00061309">
        <w:trPr>
          <w:trHeight w:val="200"/>
        </w:trPr>
        <w:tc>
          <w:tcPr>
            <w:tcW w:w="9085" w:type="dxa"/>
            <w:gridSpan w:val="2"/>
            <w:shd w:val="clear" w:color="auto" w:fill="F2F2F2" w:themeFill="background1" w:themeFillShade="F2"/>
          </w:tcPr>
          <w:p w14:paraId="7433BB52" w14:textId="77777777" w:rsidR="00D54D24" w:rsidRPr="00D54D24" w:rsidRDefault="00D54D24" w:rsidP="00D54D24">
            <w:pPr>
              <w:pStyle w:val="TableParagraph"/>
              <w:spacing w:line="223" w:lineRule="exact"/>
              <w:ind w:left="86"/>
              <w:rPr>
                <w:rFonts w:ascii="Arial" w:hAnsi="Arial" w:cs="Arial"/>
                <w:b/>
                <w:sz w:val="18"/>
                <w:szCs w:val="18"/>
              </w:rPr>
            </w:pPr>
            <w:r w:rsidRPr="00D54D24">
              <w:rPr>
                <w:rFonts w:ascii="Arial" w:hAnsi="Arial" w:cs="Arial"/>
                <w:b/>
                <w:sz w:val="18"/>
                <w:szCs w:val="18"/>
              </w:rPr>
              <w:t>CLUTCHES</w:t>
            </w:r>
            <w:r w:rsidRPr="00D54D24">
              <w:rPr>
                <w:rFonts w:ascii="Arial" w:hAnsi="Arial" w:cs="Arial"/>
                <w:b/>
                <w:spacing w:val="-4"/>
                <w:sz w:val="18"/>
                <w:szCs w:val="18"/>
              </w:rPr>
              <w:t xml:space="preserve"> </w:t>
            </w:r>
            <w:r w:rsidRPr="00D54D24">
              <w:rPr>
                <w:rFonts w:ascii="Arial" w:hAnsi="Arial" w:cs="Arial"/>
                <w:b/>
                <w:sz w:val="18"/>
                <w:szCs w:val="18"/>
              </w:rPr>
              <w:t>AND</w:t>
            </w:r>
            <w:r w:rsidRPr="00D54D24">
              <w:rPr>
                <w:rFonts w:ascii="Arial" w:hAnsi="Arial" w:cs="Arial"/>
                <w:b/>
                <w:spacing w:val="-4"/>
                <w:sz w:val="18"/>
                <w:szCs w:val="18"/>
              </w:rPr>
              <w:t xml:space="preserve"> </w:t>
            </w:r>
            <w:r w:rsidRPr="00D54D24">
              <w:rPr>
                <w:rFonts w:ascii="Arial" w:hAnsi="Arial" w:cs="Arial"/>
                <w:b/>
                <w:sz w:val="18"/>
                <w:szCs w:val="18"/>
              </w:rPr>
              <w:t>GEARBOXES</w:t>
            </w:r>
          </w:p>
        </w:tc>
      </w:tr>
      <w:tr w:rsidR="00D54D24" w:rsidRPr="00D54D24" w14:paraId="7E406B5A" w14:textId="77777777" w:rsidTr="00C342B1">
        <w:trPr>
          <w:trHeight w:val="444"/>
        </w:trPr>
        <w:tc>
          <w:tcPr>
            <w:tcW w:w="2425" w:type="dxa"/>
          </w:tcPr>
          <w:p w14:paraId="22F72749" w14:textId="77777777" w:rsidR="00D54D24" w:rsidRPr="00D54D24" w:rsidRDefault="00D54D24" w:rsidP="00D54D24">
            <w:pPr>
              <w:pStyle w:val="TableParagraph"/>
              <w:spacing w:line="240" w:lineRule="atLeast"/>
              <w:ind w:left="86"/>
              <w:rPr>
                <w:rFonts w:ascii="Arial" w:hAnsi="Arial" w:cs="Arial"/>
                <w:sz w:val="18"/>
                <w:szCs w:val="18"/>
              </w:rPr>
            </w:pPr>
            <w:r w:rsidRPr="00D54D24">
              <w:rPr>
                <w:rFonts w:ascii="Arial" w:hAnsi="Arial" w:cs="Arial"/>
                <w:sz w:val="18"/>
                <w:szCs w:val="18"/>
              </w:rPr>
              <w:t>Filters, screens, and chip</w:t>
            </w:r>
            <w:r w:rsidRPr="00D54D24">
              <w:rPr>
                <w:rFonts w:ascii="Arial" w:hAnsi="Arial" w:cs="Arial"/>
                <w:spacing w:val="-43"/>
                <w:sz w:val="18"/>
                <w:szCs w:val="18"/>
              </w:rPr>
              <w:t xml:space="preserve"> </w:t>
            </w:r>
            <w:r w:rsidRPr="00D54D24">
              <w:rPr>
                <w:rFonts w:ascii="Arial" w:hAnsi="Arial" w:cs="Arial"/>
                <w:sz w:val="18"/>
                <w:szCs w:val="18"/>
              </w:rPr>
              <w:t>detectors</w:t>
            </w:r>
          </w:p>
        </w:tc>
        <w:tc>
          <w:tcPr>
            <w:tcW w:w="6660" w:type="dxa"/>
          </w:tcPr>
          <w:p w14:paraId="7EAAEC83" w14:textId="77777777" w:rsidR="00D54D24" w:rsidRPr="00D54D24" w:rsidRDefault="00D54D24" w:rsidP="00D54D24">
            <w:pPr>
              <w:pStyle w:val="TableParagraph"/>
              <w:rPr>
                <w:rFonts w:ascii="Arial" w:hAnsi="Arial" w:cs="Arial"/>
                <w:sz w:val="18"/>
                <w:szCs w:val="18"/>
              </w:rPr>
            </w:pPr>
            <w:r w:rsidRPr="00D54D24">
              <w:rPr>
                <w:rFonts w:ascii="Arial" w:hAnsi="Arial" w:cs="Arial"/>
                <w:sz w:val="18"/>
                <w:szCs w:val="18"/>
              </w:rPr>
              <w:t>Inspect</w:t>
            </w:r>
            <w:r w:rsidRPr="00D54D24">
              <w:rPr>
                <w:rFonts w:ascii="Arial" w:hAnsi="Arial" w:cs="Arial"/>
                <w:spacing w:val="-3"/>
                <w:sz w:val="18"/>
                <w:szCs w:val="18"/>
              </w:rPr>
              <w:t xml:space="preserve"> </w:t>
            </w:r>
            <w:r w:rsidRPr="00D54D24">
              <w:rPr>
                <w:rFonts w:ascii="Arial" w:hAnsi="Arial" w:cs="Arial"/>
                <w:sz w:val="18"/>
                <w:szCs w:val="18"/>
              </w:rPr>
              <w:t>for</w:t>
            </w:r>
            <w:r w:rsidRPr="00D54D24">
              <w:rPr>
                <w:rFonts w:ascii="Arial" w:hAnsi="Arial" w:cs="Arial"/>
                <w:spacing w:val="-2"/>
                <w:sz w:val="18"/>
                <w:szCs w:val="18"/>
              </w:rPr>
              <w:t xml:space="preserve"> </w:t>
            </w:r>
            <w:r w:rsidRPr="00D54D24">
              <w:rPr>
                <w:rFonts w:ascii="Arial" w:hAnsi="Arial" w:cs="Arial"/>
                <w:sz w:val="18"/>
                <w:szCs w:val="18"/>
              </w:rPr>
              <w:t>metal</w:t>
            </w:r>
            <w:r w:rsidRPr="00D54D24">
              <w:rPr>
                <w:rFonts w:ascii="Arial" w:hAnsi="Arial" w:cs="Arial"/>
                <w:spacing w:val="-2"/>
                <w:sz w:val="18"/>
                <w:szCs w:val="18"/>
              </w:rPr>
              <w:t xml:space="preserve"> </w:t>
            </w:r>
            <w:r w:rsidRPr="00D54D24">
              <w:rPr>
                <w:rFonts w:ascii="Arial" w:hAnsi="Arial" w:cs="Arial"/>
                <w:sz w:val="18"/>
                <w:szCs w:val="18"/>
              </w:rPr>
              <w:t>particles</w:t>
            </w:r>
            <w:r w:rsidRPr="00D54D24">
              <w:rPr>
                <w:rFonts w:ascii="Arial" w:hAnsi="Arial" w:cs="Arial"/>
                <w:spacing w:val="-5"/>
                <w:sz w:val="18"/>
                <w:szCs w:val="18"/>
              </w:rPr>
              <w:t xml:space="preserve"> </w:t>
            </w:r>
            <w:r w:rsidRPr="00D54D24">
              <w:rPr>
                <w:rFonts w:ascii="Arial" w:hAnsi="Arial" w:cs="Arial"/>
                <w:sz w:val="18"/>
                <w:szCs w:val="18"/>
              </w:rPr>
              <w:t>and</w:t>
            </w:r>
            <w:r w:rsidRPr="00D54D24">
              <w:rPr>
                <w:rFonts w:ascii="Arial" w:hAnsi="Arial" w:cs="Arial"/>
                <w:spacing w:val="-2"/>
                <w:sz w:val="18"/>
                <w:szCs w:val="18"/>
              </w:rPr>
              <w:t xml:space="preserve"> </w:t>
            </w:r>
            <w:r w:rsidRPr="00D54D24">
              <w:rPr>
                <w:rFonts w:ascii="Arial" w:hAnsi="Arial" w:cs="Arial"/>
                <w:sz w:val="18"/>
                <w:szCs w:val="18"/>
              </w:rPr>
              <w:t>foreign</w:t>
            </w:r>
            <w:r w:rsidRPr="00D54D24">
              <w:rPr>
                <w:rFonts w:ascii="Arial" w:hAnsi="Arial" w:cs="Arial"/>
                <w:spacing w:val="-2"/>
                <w:sz w:val="18"/>
                <w:szCs w:val="18"/>
              </w:rPr>
              <w:t xml:space="preserve"> </w:t>
            </w:r>
            <w:r w:rsidRPr="00D54D24">
              <w:rPr>
                <w:rFonts w:ascii="Arial" w:hAnsi="Arial" w:cs="Arial"/>
                <w:sz w:val="18"/>
                <w:szCs w:val="18"/>
              </w:rPr>
              <w:t>matter.</w:t>
            </w:r>
          </w:p>
        </w:tc>
      </w:tr>
      <w:tr w:rsidR="00D54D24" w:rsidRPr="00D54D24" w14:paraId="3DFE3D23" w14:textId="77777777" w:rsidTr="00C342B1">
        <w:trPr>
          <w:trHeight w:val="201"/>
        </w:trPr>
        <w:tc>
          <w:tcPr>
            <w:tcW w:w="2425" w:type="dxa"/>
          </w:tcPr>
          <w:p w14:paraId="08634F04" w14:textId="77777777" w:rsidR="00D54D24" w:rsidRPr="00D54D24" w:rsidRDefault="00D54D24" w:rsidP="00D54D24">
            <w:pPr>
              <w:pStyle w:val="TableParagraph"/>
              <w:spacing w:line="225" w:lineRule="exact"/>
              <w:ind w:left="86"/>
              <w:rPr>
                <w:rFonts w:ascii="Arial" w:hAnsi="Arial" w:cs="Arial"/>
                <w:sz w:val="18"/>
                <w:szCs w:val="18"/>
              </w:rPr>
            </w:pPr>
            <w:r w:rsidRPr="00D54D24">
              <w:rPr>
                <w:rFonts w:ascii="Arial" w:hAnsi="Arial" w:cs="Arial"/>
                <w:sz w:val="18"/>
                <w:szCs w:val="18"/>
              </w:rPr>
              <w:t>Exterior</w:t>
            </w:r>
          </w:p>
        </w:tc>
        <w:tc>
          <w:tcPr>
            <w:tcW w:w="6660" w:type="dxa"/>
          </w:tcPr>
          <w:p w14:paraId="64DAEE8B" w14:textId="77777777" w:rsidR="00D54D24" w:rsidRPr="00D54D24" w:rsidRDefault="00D54D24" w:rsidP="00D54D24">
            <w:pPr>
              <w:pStyle w:val="TableParagraph"/>
              <w:spacing w:line="225" w:lineRule="exact"/>
              <w:rPr>
                <w:rFonts w:ascii="Arial" w:hAnsi="Arial" w:cs="Arial"/>
                <w:sz w:val="18"/>
                <w:szCs w:val="18"/>
              </w:rPr>
            </w:pPr>
            <w:r w:rsidRPr="00D54D24">
              <w:rPr>
                <w:rFonts w:ascii="Arial" w:hAnsi="Arial" w:cs="Arial"/>
                <w:sz w:val="18"/>
                <w:szCs w:val="18"/>
              </w:rPr>
              <w:t>Inspect</w:t>
            </w:r>
            <w:r w:rsidRPr="00D54D24">
              <w:rPr>
                <w:rFonts w:ascii="Arial" w:hAnsi="Arial" w:cs="Arial"/>
                <w:spacing w:val="-2"/>
                <w:sz w:val="18"/>
                <w:szCs w:val="18"/>
              </w:rPr>
              <w:t xml:space="preserve"> </w:t>
            </w:r>
            <w:r w:rsidRPr="00D54D24">
              <w:rPr>
                <w:rFonts w:ascii="Arial" w:hAnsi="Arial" w:cs="Arial"/>
                <w:sz w:val="18"/>
                <w:szCs w:val="18"/>
              </w:rPr>
              <w:t>for</w:t>
            </w:r>
            <w:r w:rsidRPr="00D54D24">
              <w:rPr>
                <w:rFonts w:ascii="Arial" w:hAnsi="Arial" w:cs="Arial"/>
                <w:spacing w:val="-2"/>
                <w:sz w:val="18"/>
                <w:szCs w:val="18"/>
              </w:rPr>
              <w:t xml:space="preserve"> </w:t>
            </w:r>
            <w:r w:rsidRPr="00D54D24">
              <w:rPr>
                <w:rFonts w:ascii="Arial" w:hAnsi="Arial" w:cs="Arial"/>
                <w:sz w:val="18"/>
                <w:szCs w:val="18"/>
              </w:rPr>
              <w:t>oil</w:t>
            </w:r>
            <w:r w:rsidRPr="00D54D24">
              <w:rPr>
                <w:rFonts w:ascii="Arial" w:hAnsi="Arial" w:cs="Arial"/>
                <w:spacing w:val="-2"/>
                <w:sz w:val="18"/>
                <w:szCs w:val="18"/>
              </w:rPr>
              <w:t xml:space="preserve"> </w:t>
            </w:r>
            <w:r w:rsidRPr="00D54D24">
              <w:rPr>
                <w:rFonts w:ascii="Arial" w:hAnsi="Arial" w:cs="Arial"/>
                <w:sz w:val="18"/>
                <w:szCs w:val="18"/>
              </w:rPr>
              <w:t>leaks.</w:t>
            </w:r>
          </w:p>
        </w:tc>
      </w:tr>
      <w:tr w:rsidR="00D54D24" w:rsidRPr="00D54D24" w14:paraId="5714D465" w14:textId="77777777" w:rsidTr="00C342B1">
        <w:trPr>
          <w:trHeight w:val="199"/>
        </w:trPr>
        <w:tc>
          <w:tcPr>
            <w:tcW w:w="2425" w:type="dxa"/>
          </w:tcPr>
          <w:p w14:paraId="5D7C3E1B" w14:textId="77777777" w:rsidR="00D54D24" w:rsidRPr="00D54D24" w:rsidRDefault="00D54D24" w:rsidP="00D54D24">
            <w:pPr>
              <w:pStyle w:val="TableParagraph"/>
              <w:spacing w:line="222" w:lineRule="exact"/>
              <w:ind w:left="86"/>
              <w:rPr>
                <w:rFonts w:ascii="Arial" w:hAnsi="Arial" w:cs="Arial"/>
                <w:sz w:val="18"/>
                <w:szCs w:val="18"/>
              </w:rPr>
            </w:pPr>
            <w:r w:rsidRPr="00D54D24">
              <w:rPr>
                <w:rFonts w:ascii="Arial" w:hAnsi="Arial" w:cs="Arial"/>
                <w:sz w:val="18"/>
                <w:szCs w:val="18"/>
              </w:rPr>
              <w:t>Output</w:t>
            </w:r>
            <w:r w:rsidRPr="00D54D24">
              <w:rPr>
                <w:rFonts w:ascii="Arial" w:hAnsi="Arial" w:cs="Arial"/>
                <w:spacing w:val="-3"/>
                <w:sz w:val="18"/>
                <w:szCs w:val="18"/>
              </w:rPr>
              <w:t xml:space="preserve"> </w:t>
            </w:r>
            <w:r w:rsidRPr="00D54D24">
              <w:rPr>
                <w:rFonts w:ascii="Arial" w:hAnsi="Arial" w:cs="Arial"/>
                <w:sz w:val="18"/>
                <w:szCs w:val="18"/>
              </w:rPr>
              <w:t>shaft</w:t>
            </w:r>
          </w:p>
        </w:tc>
        <w:tc>
          <w:tcPr>
            <w:tcW w:w="6660" w:type="dxa"/>
          </w:tcPr>
          <w:p w14:paraId="02677C36" w14:textId="77777777" w:rsidR="00D54D24" w:rsidRPr="00D54D24" w:rsidRDefault="00D54D24" w:rsidP="00D54D24">
            <w:pPr>
              <w:pStyle w:val="TableParagraph"/>
              <w:spacing w:line="222" w:lineRule="exact"/>
              <w:rPr>
                <w:rFonts w:ascii="Arial" w:hAnsi="Arial" w:cs="Arial"/>
                <w:sz w:val="18"/>
                <w:szCs w:val="18"/>
              </w:rPr>
            </w:pPr>
            <w:r w:rsidRPr="00D54D24">
              <w:rPr>
                <w:rFonts w:ascii="Arial" w:hAnsi="Arial" w:cs="Arial"/>
                <w:sz w:val="18"/>
                <w:szCs w:val="18"/>
              </w:rPr>
              <w:t>Inspect</w:t>
            </w:r>
            <w:r w:rsidRPr="00D54D24">
              <w:rPr>
                <w:rFonts w:ascii="Arial" w:hAnsi="Arial" w:cs="Arial"/>
                <w:spacing w:val="-2"/>
                <w:sz w:val="18"/>
                <w:szCs w:val="18"/>
              </w:rPr>
              <w:t xml:space="preserve"> </w:t>
            </w:r>
            <w:r w:rsidRPr="00D54D24">
              <w:rPr>
                <w:rFonts w:ascii="Arial" w:hAnsi="Arial" w:cs="Arial"/>
                <w:sz w:val="18"/>
                <w:szCs w:val="18"/>
              </w:rPr>
              <w:t>for</w:t>
            </w:r>
            <w:r w:rsidRPr="00D54D24">
              <w:rPr>
                <w:rFonts w:ascii="Arial" w:hAnsi="Arial" w:cs="Arial"/>
                <w:spacing w:val="-1"/>
                <w:sz w:val="18"/>
                <w:szCs w:val="18"/>
              </w:rPr>
              <w:t xml:space="preserve"> </w:t>
            </w:r>
            <w:r w:rsidRPr="00D54D24">
              <w:rPr>
                <w:rFonts w:ascii="Arial" w:hAnsi="Arial" w:cs="Arial"/>
                <w:sz w:val="18"/>
                <w:szCs w:val="18"/>
              </w:rPr>
              <w:t>excessive</w:t>
            </w:r>
            <w:r w:rsidRPr="00D54D24">
              <w:rPr>
                <w:rFonts w:ascii="Arial" w:hAnsi="Arial" w:cs="Arial"/>
                <w:spacing w:val="-3"/>
                <w:sz w:val="18"/>
                <w:szCs w:val="18"/>
              </w:rPr>
              <w:t xml:space="preserve"> </w:t>
            </w:r>
            <w:r w:rsidRPr="00D54D24">
              <w:rPr>
                <w:rFonts w:ascii="Arial" w:hAnsi="Arial" w:cs="Arial"/>
                <w:sz w:val="18"/>
                <w:szCs w:val="18"/>
              </w:rPr>
              <w:t>bearings’</w:t>
            </w:r>
            <w:r w:rsidRPr="00D54D24">
              <w:rPr>
                <w:rFonts w:ascii="Arial" w:hAnsi="Arial" w:cs="Arial"/>
                <w:spacing w:val="-1"/>
                <w:sz w:val="18"/>
                <w:szCs w:val="18"/>
              </w:rPr>
              <w:t xml:space="preserve"> </w:t>
            </w:r>
            <w:r w:rsidRPr="00D54D24">
              <w:rPr>
                <w:rFonts w:ascii="Arial" w:hAnsi="Arial" w:cs="Arial"/>
                <w:sz w:val="18"/>
                <w:szCs w:val="18"/>
              </w:rPr>
              <w:t>play</w:t>
            </w:r>
            <w:r w:rsidRPr="00D54D24">
              <w:rPr>
                <w:rFonts w:ascii="Arial" w:hAnsi="Arial" w:cs="Arial"/>
                <w:spacing w:val="-1"/>
                <w:sz w:val="18"/>
                <w:szCs w:val="18"/>
              </w:rPr>
              <w:t xml:space="preserve"> </w:t>
            </w:r>
            <w:r w:rsidRPr="00D54D24">
              <w:rPr>
                <w:rFonts w:ascii="Arial" w:hAnsi="Arial" w:cs="Arial"/>
                <w:sz w:val="18"/>
                <w:szCs w:val="18"/>
              </w:rPr>
              <w:t>and</w:t>
            </w:r>
            <w:r w:rsidRPr="00D54D24">
              <w:rPr>
                <w:rFonts w:ascii="Arial" w:hAnsi="Arial" w:cs="Arial"/>
                <w:spacing w:val="-3"/>
                <w:sz w:val="18"/>
                <w:szCs w:val="18"/>
              </w:rPr>
              <w:t xml:space="preserve"> </w:t>
            </w:r>
            <w:r w:rsidRPr="00D54D24">
              <w:rPr>
                <w:rFonts w:ascii="Arial" w:hAnsi="Arial" w:cs="Arial"/>
                <w:sz w:val="18"/>
                <w:szCs w:val="18"/>
              </w:rPr>
              <w:t>condition.</w:t>
            </w:r>
          </w:p>
        </w:tc>
      </w:tr>
      <w:tr w:rsidR="00D54D24" w:rsidRPr="00D54D24" w14:paraId="08FF59A9" w14:textId="77777777" w:rsidTr="00061309">
        <w:trPr>
          <w:trHeight w:val="203"/>
        </w:trPr>
        <w:tc>
          <w:tcPr>
            <w:tcW w:w="9085" w:type="dxa"/>
            <w:gridSpan w:val="2"/>
            <w:shd w:val="clear" w:color="auto" w:fill="F2F2F2" w:themeFill="background1" w:themeFillShade="F2"/>
          </w:tcPr>
          <w:p w14:paraId="55250A0C" w14:textId="77777777" w:rsidR="00D54D24" w:rsidRPr="00D54D24" w:rsidRDefault="00D54D24" w:rsidP="00D54D24">
            <w:pPr>
              <w:pStyle w:val="TableParagraph"/>
              <w:spacing w:before="1" w:line="225" w:lineRule="exact"/>
              <w:ind w:left="86"/>
              <w:rPr>
                <w:rFonts w:ascii="Arial" w:hAnsi="Arial" w:cs="Arial"/>
                <w:b/>
                <w:sz w:val="18"/>
                <w:szCs w:val="18"/>
              </w:rPr>
            </w:pPr>
            <w:r w:rsidRPr="00D54D24">
              <w:rPr>
                <w:rFonts w:ascii="Arial" w:hAnsi="Arial" w:cs="Arial"/>
                <w:b/>
                <w:sz w:val="18"/>
                <w:szCs w:val="18"/>
              </w:rPr>
              <w:t>PROPELLER</w:t>
            </w:r>
          </w:p>
        </w:tc>
      </w:tr>
      <w:tr w:rsidR="00D54D24" w:rsidRPr="00D54D24" w14:paraId="5A0F7BD7" w14:textId="77777777" w:rsidTr="00C342B1">
        <w:trPr>
          <w:trHeight w:val="200"/>
        </w:trPr>
        <w:tc>
          <w:tcPr>
            <w:tcW w:w="2425" w:type="dxa"/>
          </w:tcPr>
          <w:p w14:paraId="471F6011" w14:textId="77777777" w:rsidR="00D54D24" w:rsidRPr="00D54D24" w:rsidRDefault="00D54D24" w:rsidP="00D54D24">
            <w:pPr>
              <w:pStyle w:val="TableParagraph"/>
              <w:spacing w:line="222" w:lineRule="exact"/>
              <w:ind w:left="86"/>
              <w:rPr>
                <w:rFonts w:ascii="Arial" w:hAnsi="Arial" w:cs="Arial"/>
                <w:sz w:val="18"/>
                <w:szCs w:val="18"/>
              </w:rPr>
            </w:pPr>
            <w:r w:rsidRPr="00D54D24">
              <w:rPr>
                <w:rFonts w:ascii="Arial" w:hAnsi="Arial" w:cs="Arial"/>
                <w:sz w:val="18"/>
                <w:szCs w:val="18"/>
              </w:rPr>
              <w:t>Propeller</w:t>
            </w:r>
            <w:r w:rsidRPr="00D54D24">
              <w:rPr>
                <w:rFonts w:ascii="Arial" w:hAnsi="Arial" w:cs="Arial"/>
                <w:spacing w:val="-4"/>
                <w:sz w:val="18"/>
                <w:szCs w:val="18"/>
              </w:rPr>
              <w:t xml:space="preserve"> </w:t>
            </w:r>
            <w:r w:rsidRPr="00D54D24">
              <w:rPr>
                <w:rFonts w:ascii="Arial" w:hAnsi="Arial" w:cs="Arial"/>
                <w:sz w:val="18"/>
                <w:szCs w:val="18"/>
              </w:rPr>
              <w:t>assembly</w:t>
            </w:r>
          </w:p>
        </w:tc>
        <w:tc>
          <w:tcPr>
            <w:tcW w:w="6660" w:type="dxa"/>
          </w:tcPr>
          <w:p w14:paraId="19B54472" w14:textId="77777777" w:rsidR="00D54D24" w:rsidRPr="00D54D24" w:rsidRDefault="00D54D24" w:rsidP="00D54D24">
            <w:pPr>
              <w:pStyle w:val="TableParagraph"/>
              <w:spacing w:line="222" w:lineRule="exact"/>
              <w:rPr>
                <w:rFonts w:ascii="Arial" w:hAnsi="Arial" w:cs="Arial"/>
                <w:sz w:val="18"/>
                <w:szCs w:val="18"/>
              </w:rPr>
            </w:pPr>
            <w:r w:rsidRPr="00D54D24">
              <w:rPr>
                <w:rFonts w:ascii="Arial" w:hAnsi="Arial" w:cs="Arial"/>
                <w:sz w:val="18"/>
                <w:szCs w:val="18"/>
              </w:rPr>
              <w:t>Inspect</w:t>
            </w:r>
            <w:r w:rsidRPr="00D54D24">
              <w:rPr>
                <w:rFonts w:ascii="Arial" w:hAnsi="Arial" w:cs="Arial"/>
                <w:spacing w:val="-2"/>
                <w:sz w:val="18"/>
                <w:szCs w:val="18"/>
              </w:rPr>
              <w:t xml:space="preserve"> </w:t>
            </w:r>
            <w:r w:rsidRPr="00D54D24">
              <w:rPr>
                <w:rFonts w:ascii="Arial" w:hAnsi="Arial" w:cs="Arial"/>
                <w:sz w:val="18"/>
                <w:szCs w:val="18"/>
              </w:rPr>
              <w:t>for</w:t>
            </w:r>
            <w:r w:rsidRPr="00D54D24">
              <w:rPr>
                <w:rFonts w:ascii="Arial" w:hAnsi="Arial" w:cs="Arial"/>
                <w:spacing w:val="-2"/>
                <w:sz w:val="18"/>
                <w:szCs w:val="18"/>
              </w:rPr>
              <w:t xml:space="preserve"> </w:t>
            </w:r>
            <w:r w:rsidRPr="00D54D24">
              <w:rPr>
                <w:rFonts w:ascii="Arial" w:hAnsi="Arial" w:cs="Arial"/>
                <w:sz w:val="18"/>
                <w:szCs w:val="18"/>
              </w:rPr>
              <w:t>cracks,</w:t>
            </w:r>
            <w:r w:rsidRPr="00D54D24">
              <w:rPr>
                <w:rFonts w:ascii="Arial" w:hAnsi="Arial" w:cs="Arial"/>
                <w:spacing w:val="-1"/>
                <w:sz w:val="18"/>
                <w:szCs w:val="18"/>
              </w:rPr>
              <w:t xml:space="preserve"> </w:t>
            </w:r>
            <w:r w:rsidRPr="00D54D24">
              <w:rPr>
                <w:rFonts w:ascii="Arial" w:hAnsi="Arial" w:cs="Arial"/>
                <w:sz w:val="18"/>
                <w:szCs w:val="18"/>
              </w:rPr>
              <w:t>nicks,</w:t>
            </w:r>
            <w:r w:rsidRPr="00D54D24">
              <w:rPr>
                <w:rFonts w:ascii="Arial" w:hAnsi="Arial" w:cs="Arial"/>
                <w:spacing w:val="-2"/>
                <w:sz w:val="18"/>
                <w:szCs w:val="18"/>
              </w:rPr>
              <w:t xml:space="preserve"> </w:t>
            </w:r>
            <w:r w:rsidRPr="00D54D24">
              <w:rPr>
                <w:rFonts w:ascii="Arial" w:hAnsi="Arial" w:cs="Arial"/>
                <w:sz w:val="18"/>
                <w:szCs w:val="18"/>
              </w:rPr>
              <w:t>binds,</w:t>
            </w:r>
            <w:r w:rsidRPr="00D54D24">
              <w:rPr>
                <w:rFonts w:ascii="Arial" w:hAnsi="Arial" w:cs="Arial"/>
                <w:spacing w:val="-1"/>
                <w:sz w:val="18"/>
                <w:szCs w:val="18"/>
              </w:rPr>
              <w:t xml:space="preserve"> </w:t>
            </w:r>
            <w:r w:rsidRPr="00D54D24">
              <w:rPr>
                <w:rFonts w:ascii="Arial" w:hAnsi="Arial" w:cs="Arial"/>
                <w:sz w:val="18"/>
                <w:szCs w:val="18"/>
              </w:rPr>
              <w:t>and</w:t>
            </w:r>
            <w:r w:rsidRPr="00D54D24">
              <w:rPr>
                <w:rFonts w:ascii="Arial" w:hAnsi="Arial" w:cs="Arial"/>
                <w:spacing w:val="-2"/>
                <w:sz w:val="18"/>
                <w:szCs w:val="18"/>
              </w:rPr>
              <w:t xml:space="preserve"> </w:t>
            </w:r>
            <w:r w:rsidRPr="00D54D24">
              <w:rPr>
                <w:rFonts w:ascii="Arial" w:hAnsi="Arial" w:cs="Arial"/>
                <w:sz w:val="18"/>
                <w:szCs w:val="18"/>
              </w:rPr>
              <w:t>oil</w:t>
            </w:r>
            <w:r w:rsidRPr="00D54D24">
              <w:rPr>
                <w:rFonts w:ascii="Arial" w:hAnsi="Arial" w:cs="Arial"/>
                <w:spacing w:val="-1"/>
                <w:sz w:val="18"/>
                <w:szCs w:val="18"/>
              </w:rPr>
              <w:t xml:space="preserve"> </w:t>
            </w:r>
            <w:r w:rsidRPr="00D54D24">
              <w:rPr>
                <w:rFonts w:ascii="Arial" w:hAnsi="Arial" w:cs="Arial"/>
                <w:sz w:val="18"/>
                <w:szCs w:val="18"/>
              </w:rPr>
              <w:t>leakage.</w:t>
            </w:r>
          </w:p>
        </w:tc>
      </w:tr>
      <w:tr w:rsidR="00D54D24" w:rsidRPr="00D54D24" w14:paraId="23CC6937" w14:textId="77777777" w:rsidTr="00C342B1">
        <w:trPr>
          <w:trHeight w:val="447"/>
        </w:trPr>
        <w:tc>
          <w:tcPr>
            <w:tcW w:w="2425" w:type="dxa"/>
          </w:tcPr>
          <w:p w14:paraId="1F0ECA50" w14:textId="77777777" w:rsidR="00D54D24" w:rsidRPr="00D54D24" w:rsidRDefault="00D54D24" w:rsidP="00D54D24">
            <w:pPr>
              <w:pStyle w:val="TableParagraph"/>
              <w:ind w:left="86"/>
              <w:rPr>
                <w:rFonts w:ascii="Arial" w:hAnsi="Arial" w:cs="Arial"/>
                <w:sz w:val="18"/>
                <w:szCs w:val="18"/>
              </w:rPr>
            </w:pPr>
            <w:r w:rsidRPr="00D54D24">
              <w:rPr>
                <w:rFonts w:ascii="Arial" w:hAnsi="Arial" w:cs="Arial"/>
                <w:sz w:val="18"/>
                <w:szCs w:val="18"/>
              </w:rPr>
              <w:t>Propeller</w:t>
            </w:r>
            <w:r w:rsidRPr="00D54D24">
              <w:rPr>
                <w:rFonts w:ascii="Arial" w:hAnsi="Arial" w:cs="Arial"/>
                <w:spacing w:val="-4"/>
                <w:sz w:val="18"/>
                <w:szCs w:val="18"/>
              </w:rPr>
              <w:t xml:space="preserve"> </w:t>
            </w:r>
            <w:r w:rsidRPr="00D54D24">
              <w:rPr>
                <w:rFonts w:ascii="Arial" w:hAnsi="Arial" w:cs="Arial"/>
                <w:sz w:val="18"/>
                <w:szCs w:val="18"/>
              </w:rPr>
              <w:t>bolts</w:t>
            </w:r>
          </w:p>
        </w:tc>
        <w:tc>
          <w:tcPr>
            <w:tcW w:w="6660" w:type="dxa"/>
          </w:tcPr>
          <w:p w14:paraId="1574256C" w14:textId="18BA6370" w:rsidR="00D54D24" w:rsidRPr="00D54D24" w:rsidRDefault="00D54D24" w:rsidP="00D54D24">
            <w:pPr>
              <w:pStyle w:val="TableParagraph"/>
              <w:spacing w:line="240" w:lineRule="atLeast"/>
              <w:ind w:right="535"/>
              <w:rPr>
                <w:rFonts w:ascii="Arial" w:hAnsi="Arial" w:cs="Arial"/>
                <w:sz w:val="18"/>
                <w:szCs w:val="18"/>
              </w:rPr>
            </w:pPr>
            <w:r w:rsidRPr="00D54D24">
              <w:rPr>
                <w:rFonts w:ascii="Arial" w:hAnsi="Arial" w:cs="Arial"/>
                <w:sz w:val="18"/>
                <w:szCs w:val="18"/>
              </w:rPr>
              <w:t>Inspect for proper installation, looseness, signs of rotation, and lack of</w:t>
            </w:r>
            <w:r w:rsidR="00061309">
              <w:rPr>
                <w:rFonts w:ascii="Arial" w:hAnsi="Arial" w:cs="Arial"/>
                <w:sz w:val="18"/>
                <w:szCs w:val="18"/>
              </w:rPr>
              <w:t xml:space="preserve"> </w:t>
            </w:r>
            <w:r w:rsidRPr="00D54D24">
              <w:rPr>
                <w:rFonts w:ascii="Arial" w:hAnsi="Arial" w:cs="Arial"/>
                <w:sz w:val="18"/>
                <w:szCs w:val="18"/>
              </w:rPr>
              <w:t>safe</w:t>
            </w:r>
            <w:r w:rsidRPr="00D54D24">
              <w:rPr>
                <w:rFonts w:ascii="Arial" w:hAnsi="Arial" w:cs="Arial"/>
                <w:spacing w:val="-43"/>
                <w:sz w:val="18"/>
                <w:szCs w:val="18"/>
              </w:rPr>
              <w:t xml:space="preserve"> </w:t>
            </w:r>
            <w:r w:rsidRPr="00D54D24">
              <w:rPr>
                <w:rFonts w:ascii="Arial" w:hAnsi="Arial" w:cs="Arial"/>
                <w:sz w:val="18"/>
                <w:szCs w:val="18"/>
              </w:rPr>
              <w:t>tying.</w:t>
            </w:r>
          </w:p>
        </w:tc>
      </w:tr>
      <w:tr w:rsidR="00D54D24" w:rsidRPr="00D54D24" w14:paraId="5FE45342" w14:textId="77777777" w:rsidTr="00C342B1">
        <w:trPr>
          <w:trHeight w:val="444"/>
        </w:trPr>
        <w:tc>
          <w:tcPr>
            <w:tcW w:w="2425" w:type="dxa"/>
          </w:tcPr>
          <w:p w14:paraId="73ED39AB" w14:textId="77777777" w:rsidR="00D54D24" w:rsidRPr="00D54D24" w:rsidRDefault="00D54D24" w:rsidP="00D54D24">
            <w:pPr>
              <w:pStyle w:val="TableParagraph"/>
              <w:spacing w:line="242" w:lineRule="exact"/>
              <w:ind w:left="86"/>
              <w:rPr>
                <w:rFonts w:ascii="Arial" w:hAnsi="Arial" w:cs="Arial"/>
                <w:sz w:val="18"/>
                <w:szCs w:val="18"/>
              </w:rPr>
            </w:pPr>
            <w:r w:rsidRPr="00D54D24">
              <w:rPr>
                <w:rFonts w:ascii="Arial" w:hAnsi="Arial" w:cs="Arial"/>
                <w:sz w:val="18"/>
                <w:szCs w:val="18"/>
              </w:rPr>
              <w:t>Propeller</w:t>
            </w:r>
            <w:r w:rsidRPr="00D54D24">
              <w:rPr>
                <w:rFonts w:ascii="Arial" w:hAnsi="Arial" w:cs="Arial"/>
                <w:spacing w:val="-3"/>
                <w:sz w:val="18"/>
                <w:szCs w:val="18"/>
              </w:rPr>
              <w:t xml:space="preserve"> </w:t>
            </w:r>
            <w:r w:rsidRPr="00D54D24">
              <w:rPr>
                <w:rFonts w:ascii="Arial" w:hAnsi="Arial" w:cs="Arial"/>
                <w:sz w:val="18"/>
                <w:szCs w:val="18"/>
              </w:rPr>
              <w:t>control</w:t>
            </w:r>
          </w:p>
          <w:p w14:paraId="6ECA5B64" w14:textId="77777777" w:rsidR="00D54D24" w:rsidRPr="00D54D24" w:rsidRDefault="00D54D24" w:rsidP="00D54D24">
            <w:pPr>
              <w:pStyle w:val="TableParagraph"/>
              <w:spacing w:line="225" w:lineRule="exact"/>
              <w:ind w:left="86"/>
              <w:rPr>
                <w:rFonts w:ascii="Arial" w:hAnsi="Arial" w:cs="Arial"/>
                <w:sz w:val="18"/>
                <w:szCs w:val="18"/>
              </w:rPr>
            </w:pPr>
            <w:r w:rsidRPr="00D54D24">
              <w:rPr>
                <w:rFonts w:ascii="Arial" w:hAnsi="Arial" w:cs="Arial"/>
                <w:sz w:val="18"/>
                <w:szCs w:val="18"/>
              </w:rPr>
              <w:t>mechanism</w:t>
            </w:r>
          </w:p>
        </w:tc>
        <w:tc>
          <w:tcPr>
            <w:tcW w:w="6660" w:type="dxa"/>
          </w:tcPr>
          <w:p w14:paraId="6420F859" w14:textId="77777777" w:rsidR="00D54D24" w:rsidRPr="00D54D24" w:rsidRDefault="00D54D24" w:rsidP="00D54D24">
            <w:pPr>
              <w:pStyle w:val="TableParagraph"/>
              <w:spacing w:line="242" w:lineRule="exact"/>
              <w:rPr>
                <w:rFonts w:ascii="Arial" w:hAnsi="Arial" w:cs="Arial"/>
                <w:sz w:val="18"/>
                <w:szCs w:val="18"/>
              </w:rPr>
            </w:pPr>
            <w:r w:rsidRPr="00D54D24">
              <w:rPr>
                <w:rFonts w:ascii="Arial" w:hAnsi="Arial" w:cs="Arial"/>
                <w:sz w:val="18"/>
                <w:szCs w:val="18"/>
              </w:rPr>
              <w:t>Inspect</w:t>
            </w:r>
            <w:r w:rsidRPr="00D54D24">
              <w:rPr>
                <w:rFonts w:ascii="Arial" w:hAnsi="Arial" w:cs="Arial"/>
                <w:spacing w:val="-3"/>
                <w:sz w:val="18"/>
                <w:szCs w:val="18"/>
              </w:rPr>
              <w:t xml:space="preserve"> </w:t>
            </w:r>
            <w:r w:rsidRPr="00D54D24">
              <w:rPr>
                <w:rFonts w:ascii="Arial" w:hAnsi="Arial" w:cs="Arial"/>
                <w:sz w:val="18"/>
                <w:szCs w:val="18"/>
              </w:rPr>
              <w:t>for</w:t>
            </w:r>
            <w:r w:rsidRPr="00D54D24">
              <w:rPr>
                <w:rFonts w:ascii="Arial" w:hAnsi="Arial" w:cs="Arial"/>
                <w:spacing w:val="-2"/>
                <w:sz w:val="18"/>
                <w:szCs w:val="18"/>
              </w:rPr>
              <w:t xml:space="preserve"> </w:t>
            </w:r>
            <w:r w:rsidRPr="00D54D24">
              <w:rPr>
                <w:rFonts w:ascii="Arial" w:hAnsi="Arial" w:cs="Arial"/>
                <w:sz w:val="18"/>
                <w:szCs w:val="18"/>
              </w:rPr>
              <w:t>improper</w:t>
            </w:r>
            <w:r w:rsidRPr="00D54D24">
              <w:rPr>
                <w:rFonts w:ascii="Arial" w:hAnsi="Arial" w:cs="Arial"/>
                <w:spacing w:val="-2"/>
                <w:sz w:val="18"/>
                <w:szCs w:val="18"/>
              </w:rPr>
              <w:t xml:space="preserve"> </w:t>
            </w:r>
            <w:r w:rsidRPr="00D54D24">
              <w:rPr>
                <w:rFonts w:ascii="Arial" w:hAnsi="Arial" w:cs="Arial"/>
                <w:sz w:val="18"/>
                <w:szCs w:val="18"/>
              </w:rPr>
              <w:t>operation,</w:t>
            </w:r>
            <w:r w:rsidRPr="00D54D24">
              <w:rPr>
                <w:rFonts w:ascii="Arial" w:hAnsi="Arial" w:cs="Arial"/>
                <w:spacing w:val="-2"/>
                <w:sz w:val="18"/>
                <w:szCs w:val="18"/>
              </w:rPr>
              <w:t xml:space="preserve"> </w:t>
            </w:r>
            <w:r w:rsidRPr="00D54D24">
              <w:rPr>
                <w:rFonts w:ascii="Arial" w:hAnsi="Arial" w:cs="Arial"/>
                <w:sz w:val="18"/>
                <w:szCs w:val="18"/>
              </w:rPr>
              <w:t>insecure</w:t>
            </w:r>
            <w:r w:rsidRPr="00D54D24">
              <w:rPr>
                <w:rFonts w:ascii="Arial" w:hAnsi="Arial" w:cs="Arial"/>
                <w:spacing w:val="-4"/>
                <w:sz w:val="18"/>
                <w:szCs w:val="18"/>
              </w:rPr>
              <w:t xml:space="preserve"> </w:t>
            </w:r>
            <w:r w:rsidRPr="00D54D24">
              <w:rPr>
                <w:rFonts w:ascii="Arial" w:hAnsi="Arial" w:cs="Arial"/>
                <w:sz w:val="18"/>
                <w:szCs w:val="18"/>
              </w:rPr>
              <w:t>mounting,</w:t>
            </w:r>
            <w:r w:rsidRPr="00D54D24">
              <w:rPr>
                <w:rFonts w:ascii="Arial" w:hAnsi="Arial" w:cs="Arial"/>
                <w:spacing w:val="-2"/>
                <w:sz w:val="18"/>
                <w:szCs w:val="18"/>
              </w:rPr>
              <w:t xml:space="preserve"> </w:t>
            </w:r>
            <w:r w:rsidRPr="00D54D24">
              <w:rPr>
                <w:rFonts w:ascii="Arial" w:hAnsi="Arial" w:cs="Arial"/>
                <w:sz w:val="18"/>
                <w:szCs w:val="18"/>
              </w:rPr>
              <w:t>and</w:t>
            </w:r>
            <w:r w:rsidRPr="00D54D24">
              <w:rPr>
                <w:rFonts w:ascii="Arial" w:hAnsi="Arial" w:cs="Arial"/>
                <w:spacing w:val="-2"/>
                <w:sz w:val="18"/>
                <w:szCs w:val="18"/>
              </w:rPr>
              <w:t xml:space="preserve"> </w:t>
            </w:r>
            <w:r w:rsidRPr="00D54D24">
              <w:rPr>
                <w:rFonts w:ascii="Arial" w:hAnsi="Arial" w:cs="Arial"/>
                <w:sz w:val="18"/>
                <w:szCs w:val="18"/>
              </w:rPr>
              <w:t>restricted</w:t>
            </w:r>
            <w:r w:rsidRPr="00D54D24">
              <w:rPr>
                <w:rFonts w:ascii="Arial" w:hAnsi="Arial" w:cs="Arial"/>
                <w:spacing w:val="-2"/>
                <w:sz w:val="18"/>
                <w:szCs w:val="18"/>
              </w:rPr>
              <w:t xml:space="preserve"> </w:t>
            </w:r>
            <w:r w:rsidRPr="00D54D24">
              <w:rPr>
                <w:rFonts w:ascii="Arial" w:hAnsi="Arial" w:cs="Arial"/>
                <w:sz w:val="18"/>
                <w:szCs w:val="18"/>
              </w:rPr>
              <w:t>travel.</w:t>
            </w:r>
          </w:p>
        </w:tc>
      </w:tr>
      <w:tr w:rsidR="00D54D24" w:rsidRPr="00D54D24" w14:paraId="02676279" w14:textId="77777777" w:rsidTr="00C342B1">
        <w:trPr>
          <w:trHeight w:val="444"/>
        </w:trPr>
        <w:tc>
          <w:tcPr>
            <w:tcW w:w="2425" w:type="dxa"/>
          </w:tcPr>
          <w:p w14:paraId="555AFE84" w14:textId="77777777" w:rsidR="00D54D24" w:rsidRPr="00D54D24" w:rsidRDefault="00D54D24" w:rsidP="00D54D24">
            <w:pPr>
              <w:pStyle w:val="TableParagraph"/>
              <w:spacing w:line="242" w:lineRule="exact"/>
              <w:ind w:left="86"/>
              <w:rPr>
                <w:rFonts w:ascii="Arial" w:hAnsi="Arial" w:cs="Arial"/>
                <w:sz w:val="18"/>
                <w:szCs w:val="18"/>
              </w:rPr>
            </w:pPr>
            <w:r w:rsidRPr="00D54D24">
              <w:rPr>
                <w:rFonts w:ascii="Arial" w:hAnsi="Arial" w:cs="Arial"/>
                <w:sz w:val="18"/>
                <w:szCs w:val="18"/>
              </w:rPr>
              <w:t>Anti-icing devices</w:t>
            </w:r>
          </w:p>
        </w:tc>
        <w:tc>
          <w:tcPr>
            <w:tcW w:w="6660" w:type="dxa"/>
          </w:tcPr>
          <w:p w14:paraId="1EE2EB3E" w14:textId="77777777" w:rsidR="00D54D24" w:rsidRPr="00D54D24" w:rsidRDefault="00D54D24" w:rsidP="00D54D24">
            <w:pPr>
              <w:pStyle w:val="TableParagraph"/>
              <w:spacing w:line="242" w:lineRule="exact"/>
              <w:rPr>
                <w:rFonts w:ascii="Arial" w:hAnsi="Arial" w:cs="Arial"/>
                <w:sz w:val="18"/>
                <w:szCs w:val="18"/>
              </w:rPr>
            </w:pPr>
            <w:r w:rsidRPr="00D54D24">
              <w:rPr>
                <w:rFonts w:ascii="Arial" w:hAnsi="Arial" w:cs="Arial"/>
                <w:sz w:val="18"/>
                <w:szCs w:val="18"/>
              </w:rPr>
              <w:t>Inspect for improper operation and obvious defects.</w:t>
            </w:r>
          </w:p>
        </w:tc>
      </w:tr>
      <w:tr w:rsidR="00D54D24" w:rsidRPr="00D54D24" w14:paraId="5DB9C3E5" w14:textId="77777777" w:rsidTr="00061309">
        <w:trPr>
          <w:trHeight w:val="200"/>
        </w:trPr>
        <w:tc>
          <w:tcPr>
            <w:tcW w:w="9085" w:type="dxa"/>
            <w:gridSpan w:val="2"/>
            <w:shd w:val="clear" w:color="auto" w:fill="F2F2F2" w:themeFill="background1" w:themeFillShade="F2"/>
          </w:tcPr>
          <w:p w14:paraId="5339713B" w14:textId="77777777" w:rsidR="00D54D24" w:rsidRPr="00D54D24" w:rsidRDefault="00D54D24" w:rsidP="00D54D24">
            <w:pPr>
              <w:pStyle w:val="TableParagraph"/>
              <w:spacing w:line="223" w:lineRule="exact"/>
              <w:ind w:left="86"/>
              <w:rPr>
                <w:rFonts w:ascii="Arial" w:hAnsi="Arial" w:cs="Arial"/>
                <w:b/>
                <w:sz w:val="18"/>
                <w:szCs w:val="18"/>
              </w:rPr>
            </w:pPr>
            <w:r w:rsidRPr="00D54D24">
              <w:rPr>
                <w:rFonts w:ascii="Arial" w:hAnsi="Arial" w:cs="Arial"/>
                <w:b/>
                <w:sz w:val="18"/>
                <w:szCs w:val="18"/>
              </w:rPr>
              <w:t>MISCELLANEOUS</w:t>
            </w:r>
          </w:p>
        </w:tc>
      </w:tr>
      <w:tr w:rsidR="00D54D24" w:rsidRPr="00D54D24" w14:paraId="41EA16C5" w14:textId="77777777" w:rsidTr="00C342B1">
        <w:trPr>
          <w:trHeight w:val="689"/>
        </w:trPr>
        <w:tc>
          <w:tcPr>
            <w:tcW w:w="2425" w:type="dxa"/>
          </w:tcPr>
          <w:p w14:paraId="3A9D0268" w14:textId="77777777" w:rsidR="00D54D24" w:rsidRPr="00D54D24" w:rsidRDefault="00D54D24" w:rsidP="00D54D24">
            <w:pPr>
              <w:pStyle w:val="TableParagraph"/>
              <w:ind w:left="86"/>
              <w:rPr>
                <w:rFonts w:ascii="Arial" w:hAnsi="Arial" w:cs="Arial"/>
                <w:sz w:val="18"/>
                <w:szCs w:val="18"/>
              </w:rPr>
            </w:pPr>
            <w:r w:rsidRPr="00D54D24">
              <w:rPr>
                <w:rFonts w:ascii="Arial" w:hAnsi="Arial" w:cs="Arial"/>
                <w:sz w:val="18"/>
                <w:szCs w:val="18"/>
              </w:rPr>
              <w:t>Ballistic</w:t>
            </w:r>
            <w:r w:rsidRPr="00D54D24">
              <w:rPr>
                <w:rFonts w:ascii="Arial" w:hAnsi="Arial" w:cs="Arial"/>
                <w:spacing w:val="-3"/>
                <w:sz w:val="18"/>
                <w:szCs w:val="18"/>
              </w:rPr>
              <w:t xml:space="preserve"> </w:t>
            </w:r>
            <w:r w:rsidRPr="00D54D24">
              <w:rPr>
                <w:rFonts w:ascii="Arial" w:hAnsi="Arial" w:cs="Arial"/>
                <w:sz w:val="18"/>
                <w:szCs w:val="18"/>
              </w:rPr>
              <w:t>rescue</w:t>
            </w:r>
            <w:r w:rsidRPr="00D54D24">
              <w:rPr>
                <w:rFonts w:ascii="Arial" w:hAnsi="Arial" w:cs="Arial"/>
                <w:spacing w:val="-3"/>
                <w:sz w:val="18"/>
                <w:szCs w:val="18"/>
              </w:rPr>
              <w:t xml:space="preserve"> </w:t>
            </w:r>
            <w:r w:rsidRPr="00D54D24">
              <w:rPr>
                <w:rFonts w:ascii="Arial" w:hAnsi="Arial" w:cs="Arial"/>
                <w:sz w:val="18"/>
                <w:szCs w:val="18"/>
              </w:rPr>
              <w:t>system</w:t>
            </w:r>
          </w:p>
        </w:tc>
        <w:tc>
          <w:tcPr>
            <w:tcW w:w="6660" w:type="dxa"/>
          </w:tcPr>
          <w:p w14:paraId="18F31E9C" w14:textId="3746C7F1" w:rsidR="00D54D24" w:rsidRPr="00D54D24" w:rsidRDefault="00D54D24" w:rsidP="00061309">
            <w:pPr>
              <w:pStyle w:val="TableParagraph"/>
              <w:ind w:right="111"/>
              <w:rPr>
                <w:rFonts w:ascii="Arial" w:hAnsi="Arial" w:cs="Arial"/>
                <w:sz w:val="18"/>
                <w:szCs w:val="18"/>
              </w:rPr>
            </w:pPr>
            <w:r w:rsidRPr="00D54D24">
              <w:rPr>
                <w:rFonts w:ascii="Arial" w:hAnsi="Arial" w:cs="Arial"/>
                <w:sz w:val="18"/>
                <w:szCs w:val="18"/>
              </w:rPr>
              <w:t>Inspect for proper installation, unbroken activation mechanism, proper securing</w:t>
            </w:r>
            <w:r w:rsidRPr="00D54D24">
              <w:rPr>
                <w:rFonts w:ascii="Arial" w:hAnsi="Arial" w:cs="Arial"/>
                <w:spacing w:val="-43"/>
                <w:sz w:val="18"/>
                <w:szCs w:val="18"/>
              </w:rPr>
              <w:t xml:space="preserve"> </w:t>
            </w:r>
            <w:r w:rsidRPr="00D54D24">
              <w:rPr>
                <w:rFonts w:ascii="Arial" w:hAnsi="Arial" w:cs="Arial"/>
                <w:sz w:val="18"/>
                <w:szCs w:val="18"/>
              </w:rPr>
              <w:t>while</w:t>
            </w:r>
            <w:r w:rsidRPr="00D54D24">
              <w:rPr>
                <w:rFonts w:ascii="Arial" w:hAnsi="Arial" w:cs="Arial"/>
                <w:spacing w:val="-3"/>
                <w:sz w:val="18"/>
                <w:szCs w:val="18"/>
              </w:rPr>
              <w:t xml:space="preserve"> </w:t>
            </w:r>
            <w:r w:rsidRPr="00D54D24">
              <w:rPr>
                <w:rFonts w:ascii="Arial" w:hAnsi="Arial" w:cs="Arial"/>
                <w:sz w:val="18"/>
                <w:szCs w:val="18"/>
              </w:rPr>
              <w:t>on</w:t>
            </w:r>
            <w:r w:rsidRPr="00D54D24">
              <w:rPr>
                <w:rFonts w:ascii="Arial" w:hAnsi="Arial" w:cs="Arial"/>
                <w:spacing w:val="-1"/>
                <w:sz w:val="18"/>
                <w:szCs w:val="18"/>
              </w:rPr>
              <w:t xml:space="preserve"> </w:t>
            </w:r>
            <w:r w:rsidRPr="00D54D24">
              <w:rPr>
                <w:rFonts w:ascii="Arial" w:hAnsi="Arial" w:cs="Arial"/>
                <w:sz w:val="18"/>
                <w:szCs w:val="18"/>
              </w:rPr>
              <w:t>ground,</w:t>
            </w:r>
            <w:r w:rsidRPr="00D54D24">
              <w:rPr>
                <w:rFonts w:ascii="Arial" w:hAnsi="Arial" w:cs="Arial"/>
                <w:spacing w:val="-1"/>
                <w:sz w:val="18"/>
                <w:szCs w:val="18"/>
              </w:rPr>
              <w:t xml:space="preserve"> </w:t>
            </w:r>
            <w:r w:rsidRPr="00D54D24">
              <w:rPr>
                <w:rFonts w:ascii="Arial" w:hAnsi="Arial" w:cs="Arial"/>
                <w:sz w:val="18"/>
                <w:szCs w:val="18"/>
              </w:rPr>
              <w:t>validity</w:t>
            </w:r>
            <w:r w:rsidRPr="00D54D24">
              <w:rPr>
                <w:rFonts w:ascii="Arial" w:hAnsi="Arial" w:cs="Arial"/>
                <w:spacing w:val="-1"/>
                <w:sz w:val="18"/>
                <w:szCs w:val="18"/>
              </w:rPr>
              <w:t xml:space="preserve"> </w:t>
            </w:r>
            <w:r w:rsidRPr="00D54D24">
              <w:rPr>
                <w:rFonts w:ascii="Arial" w:hAnsi="Arial" w:cs="Arial"/>
                <w:sz w:val="18"/>
                <w:szCs w:val="18"/>
              </w:rPr>
              <w:t>of</w:t>
            </w:r>
            <w:r w:rsidRPr="00D54D24">
              <w:rPr>
                <w:rFonts w:ascii="Arial" w:hAnsi="Arial" w:cs="Arial"/>
                <w:spacing w:val="-3"/>
                <w:sz w:val="18"/>
                <w:szCs w:val="18"/>
              </w:rPr>
              <w:t xml:space="preserve"> </w:t>
            </w:r>
            <w:r w:rsidRPr="00D54D24">
              <w:rPr>
                <w:rFonts w:ascii="Arial" w:hAnsi="Arial" w:cs="Arial"/>
                <w:sz w:val="18"/>
                <w:szCs w:val="18"/>
              </w:rPr>
              <w:t>inspection</w:t>
            </w:r>
            <w:r w:rsidRPr="00D54D24">
              <w:rPr>
                <w:rFonts w:ascii="Arial" w:hAnsi="Arial" w:cs="Arial"/>
                <w:spacing w:val="-1"/>
                <w:sz w:val="18"/>
                <w:szCs w:val="18"/>
              </w:rPr>
              <w:t xml:space="preserve"> </w:t>
            </w:r>
            <w:r w:rsidRPr="00D54D24">
              <w:rPr>
                <w:rFonts w:ascii="Arial" w:hAnsi="Arial" w:cs="Arial"/>
                <w:sz w:val="18"/>
                <w:szCs w:val="18"/>
              </w:rPr>
              <w:t>periods</w:t>
            </w:r>
            <w:r w:rsidRPr="00D54D24">
              <w:rPr>
                <w:rFonts w:ascii="Arial" w:hAnsi="Arial" w:cs="Arial"/>
                <w:spacing w:val="-3"/>
                <w:sz w:val="18"/>
                <w:szCs w:val="18"/>
              </w:rPr>
              <w:t xml:space="preserve"> </w:t>
            </w:r>
            <w:r w:rsidRPr="00D54D24">
              <w:rPr>
                <w:rFonts w:ascii="Arial" w:hAnsi="Arial" w:cs="Arial"/>
                <w:sz w:val="18"/>
                <w:szCs w:val="18"/>
              </w:rPr>
              <w:t>of</w:t>
            </w:r>
            <w:r w:rsidRPr="00D54D24">
              <w:rPr>
                <w:rFonts w:ascii="Arial" w:hAnsi="Arial" w:cs="Arial"/>
                <w:spacing w:val="-3"/>
                <w:sz w:val="18"/>
                <w:szCs w:val="18"/>
              </w:rPr>
              <w:t xml:space="preserve"> </w:t>
            </w:r>
            <w:r w:rsidRPr="00D54D24">
              <w:rPr>
                <w:rFonts w:ascii="Arial" w:hAnsi="Arial" w:cs="Arial"/>
                <w:sz w:val="18"/>
                <w:szCs w:val="18"/>
              </w:rPr>
              <w:t>pyrotechnic devices,</w:t>
            </w:r>
            <w:r w:rsidRPr="00D54D24">
              <w:rPr>
                <w:rFonts w:ascii="Arial" w:hAnsi="Arial" w:cs="Arial"/>
                <w:spacing w:val="-1"/>
                <w:sz w:val="18"/>
                <w:szCs w:val="18"/>
              </w:rPr>
              <w:t xml:space="preserve"> </w:t>
            </w:r>
            <w:r w:rsidRPr="00D54D24">
              <w:rPr>
                <w:rFonts w:ascii="Arial" w:hAnsi="Arial" w:cs="Arial"/>
                <w:sz w:val="18"/>
                <w:szCs w:val="18"/>
              </w:rPr>
              <w:t>and</w:t>
            </w:r>
            <w:r w:rsidR="00061309">
              <w:rPr>
                <w:rFonts w:ascii="Arial" w:hAnsi="Arial" w:cs="Arial"/>
                <w:sz w:val="18"/>
                <w:szCs w:val="18"/>
              </w:rPr>
              <w:t xml:space="preserve"> </w:t>
            </w:r>
            <w:r w:rsidRPr="00D54D24">
              <w:rPr>
                <w:rFonts w:ascii="Arial" w:hAnsi="Arial" w:cs="Arial"/>
                <w:sz w:val="18"/>
                <w:szCs w:val="18"/>
              </w:rPr>
              <w:t>parachute-packing</w:t>
            </w:r>
            <w:r w:rsidRPr="00D54D24">
              <w:rPr>
                <w:rFonts w:ascii="Arial" w:hAnsi="Arial" w:cs="Arial"/>
                <w:spacing w:val="-5"/>
                <w:sz w:val="18"/>
                <w:szCs w:val="18"/>
              </w:rPr>
              <w:t xml:space="preserve"> </w:t>
            </w:r>
            <w:r w:rsidRPr="00D54D24">
              <w:rPr>
                <w:rFonts w:ascii="Arial" w:hAnsi="Arial" w:cs="Arial"/>
                <w:sz w:val="18"/>
                <w:szCs w:val="18"/>
              </w:rPr>
              <w:t>intervals.</w:t>
            </w:r>
          </w:p>
        </w:tc>
      </w:tr>
      <w:tr w:rsidR="00D54D24" w:rsidRPr="00D54D24" w14:paraId="6B184871" w14:textId="77777777" w:rsidTr="00C342B1">
        <w:trPr>
          <w:trHeight w:val="444"/>
        </w:trPr>
        <w:tc>
          <w:tcPr>
            <w:tcW w:w="2425" w:type="dxa"/>
          </w:tcPr>
          <w:p w14:paraId="41A404F1" w14:textId="32A450CA" w:rsidR="00D54D24" w:rsidRPr="00D54D24" w:rsidRDefault="00D54D24" w:rsidP="00061309">
            <w:pPr>
              <w:pStyle w:val="TableParagraph"/>
              <w:spacing w:line="243" w:lineRule="exact"/>
              <w:ind w:left="86"/>
              <w:rPr>
                <w:rFonts w:ascii="Arial" w:hAnsi="Arial" w:cs="Arial"/>
                <w:sz w:val="18"/>
                <w:szCs w:val="18"/>
              </w:rPr>
            </w:pPr>
            <w:r w:rsidRPr="00D54D24">
              <w:rPr>
                <w:rFonts w:ascii="Arial" w:hAnsi="Arial" w:cs="Arial"/>
                <w:sz w:val="18"/>
                <w:szCs w:val="18"/>
              </w:rPr>
              <w:t>Other</w:t>
            </w:r>
            <w:r w:rsidRPr="00D54D24">
              <w:rPr>
                <w:rFonts w:ascii="Arial" w:hAnsi="Arial" w:cs="Arial"/>
                <w:spacing w:val="-4"/>
                <w:sz w:val="18"/>
                <w:szCs w:val="18"/>
              </w:rPr>
              <w:t xml:space="preserve"> </w:t>
            </w:r>
            <w:r w:rsidRPr="00D54D24">
              <w:rPr>
                <w:rFonts w:ascii="Arial" w:hAnsi="Arial" w:cs="Arial"/>
                <w:sz w:val="18"/>
                <w:szCs w:val="18"/>
              </w:rPr>
              <w:t>miscellaneous</w:t>
            </w:r>
            <w:r w:rsidR="00061309">
              <w:rPr>
                <w:rFonts w:ascii="Arial" w:hAnsi="Arial" w:cs="Arial"/>
                <w:sz w:val="18"/>
                <w:szCs w:val="18"/>
              </w:rPr>
              <w:t xml:space="preserve"> </w:t>
            </w:r>
            <w:r w:rsidRPr="00D54D24">
              <w:rPr>
                <w:rFonts w:ascii="Arial" w:hAnsi="Arial" w:cs="Arial"/>
                <w:sz w:val="18"/>
                <w:szCs w:val="18"/>
              </w:rPr>
              <w:t>items</w:t>
            </w:r>
          </w:p>
        </w:tc>
        <w:tc>
          <w:tcPr>
            <w:tcW w:w="6660" w:type="dxa"/>
          </w:tcPr>
          <w:p w14:paraId="5FC030AD" w14:textId="5D219522" w:rsidR="00D54D24" w:rsidRPr="00D54D24" w:rsidRDefault="00D54D24" w:rsidP="00061309">
            <w:pPr>
              <w:pStyle w:val="TableParagraph"/>
              <w:spacing w:line="243" w:lineRule="exact"/>
              <w:rPr>
                <w:rFonts w:ascii="Arial" w:hAnsi="Arial" w:cs="Arial"/>
                <w:sz w:val="18"/>
                <w:szCs w:val="18"/>
              </w:rPr>
            </w:pPr>
            <w:r w:rsidRPr="00D54D24">
              <w:rPr>
                <w:rFonts w:ascii="Arial" w:hAnsi="Arial" w:cs="Arial"/>
                <w:sz w:val="18"/>
                <w:szCs w:val="18"/>
              </w:rPr>
              <w:t>Inspect</w:t>
            </w:r>
            <w:r w:rsidRPr="00D54D24">
              <w:rPr>
                <w:rFonts w:ascii="Arial" w:hAnsi="Arial" w:cs="Arial"/>
                <w:spacing w:val="-3"/>
                <w:sz w:val="18"/>
                <w:szCs w:val="18"/>
              </w:rPr>
              <w:t xml:space="preserve"> </w:t>
            </w:r>
            <w:r w:rsidRPr="00D54D24">
              <w:rPr>
                <w:rFonts w:ascii="Arial" w:hAnsi="Arial" w:cs="Arial"/>
                <w:sz w:val="18"/>
                <w:szCs w:val="18"/>
              </w:rPr>
              <w:t>installed</w:t>
            </w:r>
            <w:r w:rsidRPr="00D54D24">
              <w:rPr>
                <w:rFonts w:ascii="Arial" w:hAnsi="Arial" w:cs="Arial"/>
                <w:spacing w:val="-2"/>
                <w:sz w:val="18"/>
                <w:szCs w:val="18"/>
              </w:rPr>
              <w:t xml:space="preserve"> </w:t>
            </w:r>
            <w:r w:rsidRPr="00D54D24">
              <w:rPr>
                <w:rFonts w:ascii="Arial" w:hAnsi="Arial" w:cs="Arial"/>
                <w:sz w:val="18"/>
                <w:szCs w:val="18"/>
              </w:rPr>
              <w:t>miscellaneous</w:t>
            </w:r>
            <w:r w:rsidRPr="00D54D24">
              <w:rPr>
                <w:rFonts w:ascii="Arial" w:hAnsi="Arial" w:cs="Arial"/>
                <w:spacing w:val="-4"/>
                <w:sz w:val="18"/>
                <w:szCs w:val="18"/>
              </w:rPr>
              <w:t xml:space="preserve"> </w:t>
            </w:r>
            <w:r w:rsidRPr="00D54D24">
              <w:rPr>
                <w:rFonts w:ascii="Arial" w:hAnsi="Arial" w:cs="Arial"/>
                <w:sz w:val="18"/>
                <w:szCs w:val="18"/>
              </w:rPr>
              <w:t>items</w:t>
            </w:r>
            <w:r w:rsidRPr="00D54D24">
              <w:rPr>
                <w:rFonts w:ascii="Arial" w:hAnsi="Arial" w:cs="Arial"/>
                <w:spacing w:val="-5"/>
                <w:sz w:val="18"/>
                <w:szCs w:val="18"/>
              </w:rPr>
              <w:t xml:space="preserve"> </w:t>
            </w:r>
            <w:r w:rsidRPr="00D54D24">
              <w:rPr>
                <w:rFonts w:ascii="Arial" w:hAnsi="Arial" w:cs="Arial"/>
                <w:sz w:val="18"/>
                <w:szCs w:val="18"/>
              </w:rPr>
              <w:t>that</w:t>
            </w:r>
            <w:r w:rsidRPr="00D54D24">
              <w:rPr>
                <w:rFonts w:ascii="Arial" w:hAnsi="Arial" w:cs="Arial"/>
                <w:spacing w:val="-2"/>
                <w:sz w:val="18"/>
                <w:szCs w:val="18"/>
              </w:rPr>
              <w:t xml:space="preserve"> </w:t>
            </w:r>
            <w:r w:rsidRPr="00D54D24">
              <w:rPr>
                <w:rFonts w:ascii="Arial" w:hAnsi="Arial" w:cs="Arial"/>
                <w:sz w:val="18"/>
                <w:szCs w:val="18"/>
              </w:rPr>
              <w:t>are</w:t>
            </w:r>
            <w:r w:rsidRPr="00D54D24">
              <w:rPr>
                <w:rFonts w:ascii="Arial" w:hAnsi="Arial" w:cs="Arial"/>
                <w:spacing w:val="-3"/>
                <w:sz w:val="18"/>
                <w:szCs w:val="18"/>
              </w:rPr>
              <w:t xml:space="preserve"> </w:t>
            </w:r>
            <w:r w:rsidRPr="00D54D24">
              <w:rPr>
                <w:rFonts w:ascii="Arial" w:hAnsi="Arial" w:cs="Arial"/>
                <w:sz w:val="18"/>
                <w:szCs w:val="18"/>
              </w:rPr>
              <w:t>not</w:t>
            </w:r>
            <w:r w:rsidRPr="00D54D24">
              <w:rPr>
                <w:rFonts w:ascii="Arial" w:hAnsi="Arial" w:cs="Arial"/>
                <w:spacing w:val="-3"/>
                <w:sz w:val="18"/>
                <w:szCs w:val="18"/>
              </w:rPr>
              <w:t xml:space="preserve"> </w:t>
            </w:r>
            <w:r w:rsidRPr="00D54D24">
              <w:rPr>
                <w:rFonts w:ascii="Arial" w:hAnsi="Arial" w:cs="Arial"/>
                <w:sz w:val="18"/>
                <w:szCs w:val="18"/>
              </w:rPr>
              <w:t>otherwise</w:t>
            </w:r>
            <w:r w:rsidRPr="00D54D24">
              <w:rPr>
                <w:rFonts w:ascii="Arial" w:hAnsi="Arial" w:cs="Arial"/>
                <w:spacing w:val="-1"/>
                <w:sz w:val="18"/>
                <w:szCs w:val="18"/>
              </w:rPr>
              <w:t xml:space="preserve"> </w:t>
            </w:r>
            <w:r w:rsidRPr="00D54D24">
              <w:rPr>
                <w:rFonts w:ascii="Arial" w:hAnsi="Arial" w:cs="Arial"/>
                <w:sz w:val="18"/>
                <w:szCs w:val="18"/>
              </w:rPr>
              <w:t>covered</w:t>
            </w:r>
            <w:r w:rsidRPr="00D54D24">
              <w:rPr>
                <w:rFonts w:ascii="Arial" w:hAnsi="Arial" w:cs="Arial"/>
                <w:spacing w:val="-3"/>
                <w:sz w:val="18"/>
                <w:szCs w:val="18"/>
              </w:rPr>
              <w:t xml:space="preserve"> </w:t>
            </w:r>
            <w:r w:rsidRPr="00D54D24">
              <w:rPr>
                <w:rFonts w:ascii="Arial" w:hAnsi="Arial" w:cs="Arial"/>
                <w:sz w:val="18"/>
                <w:szCs w:val="18"/>
              </w:rPr>
              <w:t>by</w:t>
            </w:r>
            <w:r w:rsidRPr="00D54D24">
              <w:rPr>
                <w:rFonts w:ascii="Arial" w:hAnsi="Arial" w:cs="Arial"/>
                <w:spacing w:val="-2"/>
                <w:sz w:val="18"/>
                <w:szCs w:val="18"/>
              </w:rPr>
              <w:t xml:space="preserve"> </w:t>
            </w:r>
            <w:r w:rsidRPr="00D54D24">
              <w:rPr>
                <w:rFonts w:ascii="Arial" w:hAnsi="Arial" w:cs="Arial"/>
                <w:sz w:val="18"/>
                <w:szCs w:val="18"/>
              </w:rPr>
              <w:t>this</w:t>
            </w:r>
            <w:r w:rsidR="00061309">
              <w:rPr>
                <w:rFonts w:ascii="Arial" w:hAnsi="Arial" w:cs="Arial"/>
                <w:sz w:val="18"/>
                <w:szCs w:val="18"/>
              </w:rPr>
              <w:t xml:space="preserve"> </w:t>
            </w:r>
            <w:r w:rsidRPr="00D54D24">
              <w:rPr>
                <w:rFonts w:ascii="Arial" w:hAnsi="Arial" w:cs="Arial"/>
                <w:sz w:val="18"/>
                <w:szCs w:val="18"/>
              </w:rPr>
              <w:t>listing</w:t>
            </w:r>
            <w:r w:rsidRPr="00D54D24">
              <w:rPr>
                <w:rFonts w:ascii="Arial" w:hAnsi="Arial" w:cs="Arial"/>
                <w:spacing w:val="-4"/>
                <w:sz w:val="18"/>
                <w:szCs w:val="18"/>
              </w:rPr>
              <w:t xml:space="preserve"> </w:t>
            </w:r>
            <w:r w:rsidRPr="00D54D24">
              <w:rPr>
                <w:rFonts w:ascii="Arial" w:hAnsi="Arial" w:cs="Arial"/>
                <w:sz w:val="18"/>
                <w:szCs w:val="18"/>
              </w:rPr>
              <w:t>for</w:t>
            </w:r>
            <w:r w:rsidRPr="00D54D24">
              <w:rPr>
                <w:rFonts w:ascii="Arial" w:hAnsi="Arial" w:cs="Arial"/>
                <w:spacing w:val="-3"/>
                <w:sz w:val="18"/>
                <w:szCs w:val="18"/>
              </w:rPr>
              <w:t xml:space="preserve"> </w:t>
            </w:r>
            <w:r w:rsidRPr="00D54D24">
              <w:rPr>
                <w:rFonts w:ascii="Arial" w:hAnsi="Arial" w:cs="Arial"/>
                <w:sz w:val="18"/>
                <w:szCs w:val="18"/>
              </w:rPr>
              <w:t>improper</w:t>
            </w:r>
            <w:r w:rsidRPr="00D54D24">
              <w:rPr>
                <w:rFonts w:ascii="Arial" w:hAnsi="Arial" w:cs="Arial"/>
                <w:spacing w:val="-3"/>
                <w:sz w:val="18"/>
                <w:szCs w:val="18"/>
              </w:rPr>
              <w:t xml:space="preserve"> </w:t>
            </w:r>
            <w:r w:rsidRPr="00D54D24">
              <w:rPr>
                <w:rFonts w:ascii="Arial" w:hAnsi="Arial" w:cs="Arial"/>
                <w:sz w:val="18"/>
                <w:szCs w:val="18"/>
              </w:rPr>
              <w:t>installation</w:t>
            </w:r>
            <w:r w:rsidRPr="00D54D24">
              <w:rPr>
                <w:rFonts w:ascii="Arial" w:hAnsi="Arial" w:cs="Arial"/>
                <w:spacing w:val="-3"/>
                <w:sz w:val="18"/>
                <w:szCs w:val="18"/>
              </w:rPr>
              <w:t xml:space="preserve"> </w:t>
            </w:r>
            <w:r w:rsidRPr="00D54D24">
              <w:rPr>
                <w:rFonts w:ascii="Arial" w:hAnsi="Arial" w:cs="Arial"/>
                <w:sz w:val="18"/>
                <w:szCs w:val="18"/>
              </w:rPr>
              <w:t>and</w:t>
            </w:r>
            <w:r w:rsidRPr="00D54D24">
              <w:rPr>
                <w:rFonts w:ascii="Arial" w:hAnsi="Arial" w:cs="Arial"/>
                <w:spacing w:val="-3"/>
                <w:sz w:val="18"/>
                <w:szCs w:val="18"/>
              </w:rPr>
              <w:t xml:space="preserve"> </w:t>
            </w:r>
            <w:r w:rsidRPr="00D54D24">
              <w:rPr>
                <w:rFonts w:ascii="Arial" w:hAnsi="Arial" w:cs="Arial"/>
                <w:sz w:val="18"/>
                <w:szCs w:val="18"/>
              </w:rPr>
              <w:t>improper</w:t>
            </w:r>
            <w:r w:rsidRPr="00D54D24">
              <w:rPr>
                <w:rFonts w:ascii="Arial" w:hAnsi="Arial" w:cs="Arial"/>
                <w:spacing w:val="-2"/>
                <w:sz w:val="18"/>
                <w:szCs w:val="18"/>
              </w:rPr>
              <w:t xml:space="preserve"> </w:t>
            </w:r>
            <w:r w:rsidRPr="00D54D24">
              <w:rPr>
                <w:rFonts w:ascii="Arial" w:hAnsi="Arial" w:cs="Arial"/>
                <w:sz w:val="18"/>
                <w:szCs w:val="18"/>
              </w:rPr>
              <w:t>operation.</w:t>
            </w:r>
          </w:p>
        </w:tc>
      </w:tr>
      <w:tr w:rsidR="00D54D24" w:rsidRPr="00D54D24" w14:paraId="20B7753A" w14:textId="77777777" w:rsidTr="00061309">
        <w:trPr>
          <w:trHeight w:val="202"/>
        </w:trPr>
        <w:tc>
          <w:tcPr>
            <w:tcW w:w="9085" w:type="dxa"/>
            <w:gridSpan w:val="2"/>
            <w:shd w:val="clear" w:color="auto" w:fill="F2F2F2" w:themeFill="background1" w:themeFillShade="F2"/>
          </w:tcPr>
          <w:p w14:paraId="1DA010F6" w14:textId="77777777" w:rsidR="00D54D24" w:rsidRPr="00D54D24" w:rsidRDefault="00D54D24" w:rsidP="00D54D24">
            <w:pPr>
              <w:pStyle w:val="TableParagraph"/>
              <w:spacing w:line="225" w:lineRule="exact"/>
              <w:ind w:left="86"/>
              <w:rPr>
                <w:rFonts w:ascii="Arial" w:hAnsi="Arial" w:cs="Arial"/>
                <w:b/>
                <w:sz w:val="18"/>
                <w:szCs w:val="18"/>
              </w:rPr>
            </w:pPr>
            <w:r w:rsidRPr="00D54D24">
              <w:rPr>
                <w:rFonts w:ascii="Arial" w:hAnsi="Arial" w:cs="Arial"/>
                <w:b/>
                <w:sz w:val="18"/>
                <w:szCs w:val="18"/>
              </w:rPr>
              <w:t>OPERATIONAL</w:t>
            </w:r>
            <w:r w:rsidRPr="00D54D24">
              <w:rPr>
                <w:rFonts w:ascii="Arial" w:hAnsi="Arial" w:cs="Arial"/>
                <w:b/>
                <w:spacing w:val="-4"/>
                <w:sz w:val="18"/>
                <w:szCs w:val="18"/>
              </w:rPr>
              <w:t xml:space="preserve"> </w:t>
            </w:r>
            <w:r w:rsidRPr="00D54D24">
              <w:rPr>
                <w:rFonts w:ascii="Arial" w:hAnsi="Arial" w:cs="Arial"/>
                <w:b/>
                <w:sz w:val="18"/>
                <w:szCs w:val="18"/>
              </w:rPr>
              <w:t>AND</w:t>
            </w:r>
            <w:r w:rsidRPr="00D54D24">
              <w:rPr>
                <w:rFonts w:ascii="Arial" w:hAnsi="Arial" w:cs="Arial"/>
                <w:b/>
                <w:spacing w:val="-5"/>
                <w:sz w:val="18"/>
                <w:szCs w:val="18"/>
              </w:rPr>
              <w:t xml:space="preserve"> </w:t>
            </w:r>
            <w:r w:rsidRPr="00D54D24">
              <w:rPr>
                <w:rFonts w:ascii="Arial" w:hAnsi="Arial" w:cs="Arial"/>
                <w:b/>
                <w:sz w:val="18"/>
                <w:szCs w:val="18"/>
              </w:rPr>
              <w:t>FUNCTIONAL</w:t>
            </w:r>
            <w:r w:rsidRPr="00D54D24">
              <w:rPr>
                <w:rFonts w:ascii="Arial" w:hAnsi="Arial" w:cs="Arial"/>
                <w:b/>
                <w:spacing w:val="-5"/>
                <w:sz w:val="18"/>
                <w:szCs w:val="18"/>
              </w:rPr>
              <w:t xml:space="preserve"> </w:t>
            </w:r>
            <w:r w:rsidRPr="00D54D24">
              <w:rPr>
                <w:rFonts w:ascii="Arial" w:hAnsi="Arial" w:cs="Arial"/>
                <w:b/>
                <w:sz w:val="18"/>
                <w:szCs w:val="18"/>
              </w:rPr>
              <w:t>CHECKS</w:t>
            </w:r>
          </w:p>
        </w:tc>
      </w:tr>
      <w:tr w:rsidR="00D54D24" w:rsidRPr="00D54D24" w14:paraId="6FE61B68" w14:textId="77777777" w:rsidTr="00C342B1">
        <w:trPr>
          <w:trHeight w:val="444"/>
        </w:trPr>
        <w:tc>
          <w:tcPr>
            <w:tcW w:w="2425" w:type="dxa"/>
          </w:tcPr>
          <w:p w14:paraId="0C4790BB" w14:textId="2089851C" w:rsidR="00D54D24" w:rsidRPr="00D54D24" w:rsidRDefault="00D54D24" w:rsidP="00061309">
            <w:pPr>
              <w:pStyle w:val="TableParagraph"/>
              <w:spacing w:line="242" w:lineRule="exact"/>
              <w:ind w:left="86"/>
              <w:rPr>
                <w:rFonts w:ascii="Arial" w:hAnsi="Arial" w:cs="Arial"/>
                <w:sz w:val="18"/>
                <w:szCs w:val="18"/>
              </w:rPr>
            </w:pPr>
            <w:r w:rsidRPr="00D54D24">
              <w:rPr>
                <w:rFonts w:ascii="Arial" w:hAnsi="Arial" w:cs="Arial"/>
                <w:sz w:val="18"/>
                <w:szCs w:val="18"/>
              </w:rPr>
              <w:t>Power</w:t>
            </w:r>
            <w:r w:rsidRPr="00D54D24">
              <w:rPr>
                <w:rFonts w:ascii="Arial" w:hAnsi="Arial" w:cs="Arial"/>
                <w:spacing w:val="-3"/>
                <w:sz w:val="18"/>
                <w:szCs w:val="18"/>
              </w:rPr>
              <w:t xml:space="preserve"> </w:t>
            </w:r>
            <w:r w:rsidRPr="00D54D24">
              <w:rPr>
                <w:rFonts w:ascii="Arial" w:hAnsi="Arial" w:cs="Arial"/>
                <w:sz w:val="18"/>
                <w:szCs w:val="18"/>
              </w:rPr>
              <w:t>and</w:t>
            </w:r>
            <w:r w:rsidRPr="00D54D24">
              <w:rPr>
                <w:rFonts w:ascii="Arial" w:hAnsi="Arial" w:cs="Arial"/>
                <w:spacing w:val="-3"/>
                <w:sz w:val="18"/>
                <w:szCs w:val="18"/>
              </w:rPr>
              <w:t xml:space="preserve"> </w:t>
            </w:r>
            <w:r w:rsidRPr="00D54D24">
              <w:rPr>
                <w:rFonts w:ascii="Arial" w:hAnsi="Arial" w:cs="Arial"/>
                <w:sz w:val="18"/>
                <w:szCs w:val="18"/>
              </w:rPr>
              <w:t>revolutions</w:t>
            </w:r>
            <w:r w:rsidR="00061309">
              <w:rPr>
                <w:rFonts w:ascii="Arial" w:hAnsi="Arial" w:cs="Arial"/>
                <w:sz w:val="18"/>
                <w:szCs w:val="18"/>
              </w:rPr>
              <w:t xml:space="preserve"> </w:t>
            </w:r>
            <w:r w:rsidRPr="00D54D24">
              <w:rPr>
                <w:rFonts w:ascii="Arial" w:hAnsi="Arial" w:cs="Arial"/>
                <w:sz w:val="18"/>
                <w:szCs w:val="18"/>
              </w:rPr>
              <w:t>per</w:t>
            </w:r>
            <w:r w:rsidRPr="00D54D24">
              <w:rPr>
                <w:rFonts w:ascii="Arial" w:hAnsi="Arial" w:cs="Arial"/>
                <w:spacing w:val="-3"/>
                <w:sz w:val="18"/>
                <w:szCs w:val="18"/>
              </w:rPr>
              <w:t xml:space="preserve"> </w:t>
            </w:r>
            <w:r w:rsidRPr="00D54D24">
              <w:rPr>
                <w:rFonts w:ascii="Arial" w:hAnsi="Arial" w:cs="Arial"/>
                <w:sz w:val="18"/>
                <w:szCs w:val="18"/>
              </w:rPr>
              <w:t>minute</w:t>
            </w:r>
            <w:r w:rsidRPr="00D54D24">
              <w:rPr>
                <w:rFonts w:ascii="Arial" w:hAnsi="Arial" w:cs="Arial"/>
                <w:spacing w:val="-3"/>
                <w:sz w:val="18"/>
                <w:szCs w:val="18"/>
              </w:rPr>
              <w:t xml:space="preserve"> </w:t>
            </w:r>
            <w:r w:rsidRPr="00D54D24">
              <w:rPr>
                <w:rFonts w:ascii="Arial" w:hAnsi="Arial" w:cs="Arial"/>
                <w:sz w:val="18"/>
                <w:szCs w:val="18"/>
              </w:rPr>
              <w:t>(rpm)</w:t>
            </w:r>
          </w:p>
        </w:tc>
        <w:tc>
          <w:tcPr>
            <w:tcW w:w="6660" w:type="dxa"/>
          </w:tcPr>
          <w:p w14:paraId="308816F9" w14:textId="77777777" w:rsidR="00D54D24" w:rsidRPr="00D54D24" w:rsidRDefault="00D54D24" w:rsidP="00D54D24">
            <w:pPr>
              <w:pStyle w:val="TableParagraph"/>
              <w:spacing w:line="242" w:lineRule="exact"/>
              <w:rPr>
                <w:rFonts w:ascii="Arial" w:hAnsi="Arial" w:cs="Arial"/>
                <w:sz w:val="18"/>
                <w:szCs w:val="18"/>
              </w:rPr>
            </w:pPr>
            <w:r w:rsidRPr="00D54D24">
              <w:rPr>
                <w:rFonts w:ascii="Arial" w:hAnsi="Arial" w:cs="Arial"/>
                <w:sz w:val="18"/>
                <w:szCs w:val="18"/>
              </w:rPr>
              <w:t>Check</w:t>
            </w:r>
            <w:r w:rsidRPr="00D54D24">
              <w:rPr>
                <w:rFonts w:ascii="Arial" w:hAnsi="Arial" w:cs="Arial"/>
                <w:spacing w:val="-3"/>
                <w:sz w:val="18"/>
                <w:szCs w:val="18"/>
              </w:rPr>
              <w:t xml:space="preserve"> </w:t>
            </w:r>
            <w:r w:rsidRPr="00D54D24">
              <w:rPr>
                <w:rFonts w:ascii="Arial" w:hAnsi="Arial" w:cs="Arial"/>
                <w:sz w:val="18"/>
                <w:szCs w:val="18"/>
              </w:rPr>
              <w:t>that</w:t>
            </w:r>
            <w:r w:rsidRPr="00D54D24">
              <w:rPr>
                <w:rFonts w:ascii="Arial" w:hAnsi="Arial" w:cs="Arial"/>
                <w:spacing w:val="-2"/>
                <w:sz w:val="18"/>
                <w:szCs w:val="18"/>
              </w:rPr>
              <w:t xml:space="preserve"> </w:t>
            </w:r>
            <w:r w:rsidRPr="00D54D24">
              <w:rPr>
                <w:rFonts w:ascii="Arial" w:hAnsi="Arial" w:cs="Arial"/>
                <w:sz w:val="18"/>
                <w:szCs w:val="18"/>
              </w:rPr>
              <w:t>power</w:t>
            </w:r>
            <w:r w:rsidRPr="00D54D24">
              <w:rPr>
                <w:rFonts w:ascii="Arial" w:hAnsi="Arial" w:cs="Arial"/>
                <w:spacing w:val="-2"/>
                <w:sz w:val="18"/>
                <w:szCs w:val="18"/>
              </w:rPr>
              <w:t xml:space="preserve"> </w:t>
            </w:r>
            <w:r w:rsidRPr="00D54D24">
              <w:rPr>
                <w:rFonts w:ascii="Arial" w:hAnsi="Arial" w:cs="Arial"/>
                <w:sz w:val="18"/>
                <w:szCs w:val="18"/>
              </w:rPr>
              <w:t>output,</w:t>
            </w:r>
            <w:r w:rsidRPr="00D54D24">
              <w:rPr>
                <w:rFonts w:ascii="Arial" w:hAnsi="Arial" w:cs="Arial"/>
                <w:spacing w:val="-2"/>
                <w:sz w:val="18"/>
                <w:szCs w:val="18"/>
              </w:rPr>
              <w:t xml:space="preserve"> </w:t>
            </w:r>
            <w:r w:rsidRPr="00D54D24">
              <w:rPr>
                <w:rFonts w:ascii="Arial" w:hAnsi="Arial" w:cs="Arial"/>
                <w:sz w:val="18"/>
                <w:szCs w:val="18"/>
              </w:rPr>
              <w:t>static</w:t>
            </w:r>
            <w:r w:rsidRPr="00D54D24">
              <w:rPr>
                <w:rFonts w:ascii="Arial" w:hAnsi="Arial" w:cs="Arial"/>
                <w:spacing w:val="-3"/>
                <w:sz w:val="18"/>
                <w:szCs w:val="18"/>
              </w:rPr>
              <w:t xml:space="preserve"> </w:t>
            </w:r>
            <w:r w:rsidRPr="00D54D24">
              <w:rPr>
                <w:rFonts w:ascii="Arial" w:hAnsi="Arial" w:cs="Arial"/>
                <w:sz w:val="18"/>
                <w:szCs w:val="18"/>
              </w:rPr>
              <w:t>and</w:t>
            </w:r>
            <w:r w:rsidRPr="00D54D24">
              <w:rPr>
                <w:rFonts w:ascii="Arial" w:hAnsi="Arial" w:cs="Arial"/>
                <w:spacing w:val="-2"/>
                <w:sz w:val="18"/>
                <w:szCs w:val="18"/>
              </w:rPr>
              <w:t xml:space="preserve"> </w:t>
            </w:r>
            <w:r w:rsidRPr="00D54D24">
              <w:rPr>
                <w:rFonts w:ascii="Arial" w:hAnsi="Arial" w:cs="Arial"/>
                <w:sz w:val="18"/>
                <w:szCs w:val="18"/>
              </w:rPr>
              <w:t>idle</w:t>
            </w:r>
            <w:r w:rsidRPr="00D54D24">
              <w:rPr>
                <w:rFonts w:ascii="Arial" w:hAnsi="Arial" w:cs="Arial"/>
                <w:spacing w:val="-4"/>
                <w:sz w:val="18"/>
                <w:szCs w:val="18"/>
              </w:rPr>
              <w:t xml:space="preserve"> </w:t>
            </w:r>
            <w:r w:rsidRPr="00D54D24">
              <w:rPr>
                <w:rFonts w:ascii="Arial" w:hAnsi="Arial" w:cs="Arial"/>
                <w:sz w:val="18"/>
                <w:szCs w:val="18"/>
              </w:rPr>
              <w:t>rpm</w:t>
            </w:r>
            <w:r w:rsidRPr="00D54D24">
              <w:rPr>
                <w:rFonts w:ascii="Arial" w:hAnsi="Arial" w:cs="Arial"/>
                <w:spacing w:val="-3"/>
                <w:sz w:val="18"/>
                <w:szCs w:val="18"/>
              </w:rPr>
              <w:t xml:space="preserve"> </w:t>
            </w:r>
            <w:r w:rsidRPr="00D54D24">
              <w:rPr>
                <w:rFonts w:ascii="Arial" w:hAnsi="Arial" w:cs="Arial"/>
                <w:sz w:val="18"/>
                <w:szCs w:val="18"/>
              </w:rPr>
              <w:t>are</w:t>
            </w:r>
            <w:r w:rsidRPr="00D54D24">
              <w:rPr>
                <w:rFonts w:ascii="Arial" w:hAnsi="Arial" w:cs="Arial"/>
                <w:spacing w:val="-3"/>
                <w:sz w:val="18"/>
                <w:szCs w:val="18"/>
              </w:rPr>
              <w:t xml:space="preserve"> </w:t>
            </w:r>
            <w:r w:rsidRPr="00D54D24">
              <w:rPr>
                <w:rFonts w:ascii="Arial" w:hAnsi="Arial" w:cs="Arial"/>
                <w:sz w:val="18"/>
                <w:szCs w:val="18"/>
              </w:rPr>
              <w:t>within</w:t>
            </w:r>
            <w:r w:rsidRPr="00D54D24">
              <w:rPr>
                <w:rFonts w:ascii="Arial" w:hAnsi="Arial" w:cs="Arial"/>
                <w:spacing w:val="-3"/>
                <w:sz w:val="18"/>
                <w:szCs w:val="18"/>
              </w:rPr>
              <w:t xml:space="preserve"> </w:t>
            </w:r>
            <w:r w:rsidRPr="00D54D24">
              <w:rPr>
                <w:rFonts w:ascii="Arial" w:hAnsi="Arial" w:cs="Arial"/>
                <w:sz w:val="18"/>
                <w:szCs w:val="18"/>
              </w:rPr>
              <w:t>published</w:t>
            </w:r>
            <w:r w:rsidRPr="00D54D24">
              <w:rPr>
                <w:rFonts w:ascii="Arial" w:hAnsi="Arial" w:cs="Arial"/>
                <w:spacing w:val="-2"/>
                <w:sz w:val="18"/>
                <w:szCs w:val="18"/>
              </w:rPr>
              <w:t xml:space="preserve"> </w:t>
            </w:r>
            <w:r w:rsidRPr="00D54D24">
              <w:rPr>
                <w:rFonts w:ascii="Arial" w:hAnsi="Arial" w:cs="Arial"/>
                <w:sz w:val="18"/>
                <w:szCs w:val="18"/>
              </w:rPr>
              <w:t>limits.</w:t>
            </w:r>
          </w:p>
        </w:tc>
      </w:tr>
      <w:tr w:rsidR="00D54D24" w:rsidRPr="00D54D24" w14:paraId="648B41F3" w14:textId="77777777" w:rsidTr="00C342B1">
        <w:trPr>
          <w:trHeight w:val="199"/>
        </w:trPr>
        <w:tc>
          <w:tcPr>
            <w:tcW w:w="2425" w:type="dxa"/>
          </w:tcPr>
          <w:p w14:paraId="69B65386" w14:textId="77777777" w:rsidR="00D54D24" w:rsidRPr="00D54D24" w:rsidRDefault="00D54D24" w:rsidP="00D54D24">
            <w:pPr>
              <w:pStyle w:val="TableParagraph"/>
              <w:spacing w:line="222" w:lineRule="exact"/>
              <w:ind w:left="86"/>
              <w:rPr>
                <w:rFonts w:ascii="Arial" w:hAnsi="Arial" w:cs="Arial"/>
                <w:sz w:val="18"/>
                <w:szCs w:val="18"/>
              </w:rPr>
            </w:pPr>
            <w:r w:rsidRPr="00D54D24">
              <w:rPr>
                <w:rFonts w:ascii="Arial" w:hAnsi="Arial" w:cs="Arial"/>
                <w:sz w:val="18"/>
                <w:szCs w:val="18"/>
              </w:rPr>
              <w:t>Magnetos</w:t>
            </w:r>
          </w:p>
        </w:tc>
        <w:tc>
          <w:tcPr>
            <w:tcW w:w="6660" w:type="dxa"/>
          </w:tcPr>
          <w:p w14:paraId="12AF2781" w14:textId="77777777" w:rsidR="00D54D24" w:rsidRPr="00D54D24" w:rsidRDefault="00D54D24" w:rsidP="00D54D24">
            <w:pPr>
              <w:pStyle w:val="TableParagraph"/>
              <w:spacing w:line="222" w:lineRule="exact"/>
              <w:rPr>
                <w:rFonts w:ascii="Arial" w:hAnsi="Arial" w:cs="Arial"/>
                <w:sz w:val="18"/>
                <w:szCs w:val="18"/>
              </w:rPr>
            </w:pPr>
            <w:r w:rsidRPr="00D54D24">
              <w:rPr>
                <w:rFonts w:ascii="Arial" w:hAnsi="Arial" w:cs="Arial"/>
                <w:sz w:val="18"/>
                <w:szCs w:val="18"/>
              </w:rPr>
              <w:t>Check</w:t>
            </w:r>
            <w:r w:rsidRPr="00D54D24">
              <w:rPr>
                <w:rFonts w:ascii="Arial" w:hAnsi="Arial" w:cs="Arial"/>
                <w:spacing w:val="-4"/>
                <w:sz w:val="18"/>
                <w:szCs w:val="18"/>
              </w:rPr>
              <w:t xml:space="preserve"> </w:t>
            </w:r>
            <w:r w:rsidRPr="00D54D24">
              <w:rPr>
                <w:rFonts w:ascii="Arial" w:hAnsi="Arial" w:cs="Arial"/>
                <w:sz w:val="18"/>
                <w:szCs w:val="18"/>
              </w:rPr>
              <w:t>for</w:t>
            </w:r>
            <w:r w:rsidRPr="00D54D24">
              <w:rPr>
                <w:rFonts w:ascii="Arial" w:hAnsi="Arial" w:cs="Arial"/>
                <w:spacing w:val="-3"/>
                <w:sz w:val="18"/>
                <w:szCs w:val="18"/>
              </w:rPr>
              <w:t xml:space="preserve"> </w:t>
            </w:r>
            <w:r w:rsidRPr="00D54D24">
              <w:rPr>
                <w:rFonts w:ascii="Arial" w:hAnsi="Arial" w:cs="Arial"/>
                <w:sz w:val="18"/>
                <w:szCs w:val="18"/>
              </w:rPr>
              <w:t>normal</w:t>
            </w:r>
            <w:r w:rsidRPr="00D54D24">
              <w:rPr>
                <w:rFonts w:ascii="Arial" w:hAnsi="Arial" w:cs="Arial"/>
                <w:spacing w:val="-2"/>
                <w:sz w:val="18"/>
                <w:szCs w:val="18"/>
              </w:rPr>
              <w:t xml:space="preserve"> </w:t>
            </w:r>
            <w:r w:rsidRPr="00D54D24">
              <w:rPr>
                <w:rFonts w:ascii="Arial" w:hAnsi="Arial" w:cs="Arial"/>
                <w:sz w:val="18"/>
                <w:szCs w:val="18"/>
              </w:rPr>
              <w:t>function.</w:t>
            </w:r>
          </w:p>
        </w:tc>
      </w:tr>
      <w:tr w:rsidR="00D54D24" w:rsidRPr="00D54D24" w14:paraId="74D74BD6" w14:textId="77777777" w:rsidTr="00C342B1">
        <w:trPr>
          <w:trHeight w:val="447"/>
        </w:trPr>
        <w:tc>
          <w:tcPr>
            <w:tcW w:w="2425" w:type="dxa"/>
          </w:tcPr>
          <w:p w14:paraId="4D6DE90F" w14:textId="77777777" w:rsidR="00D54D24" w:rsidRPr="00D54D24" w:rsidRDefault="00D54D24" w:rsidP="00D54D24">
            <w:pPr>
              <w:pStyle w:val="TableParagraph"/>
              <w:ind w:left="86"/>
              <w:rPr>
                <w:rFonts w:ascii="Arial" w:hAnsi="Arial" w:cs="Arial"/>
                <w:sz w:val="18"/>
                <w:szCs w:val="18"/>
              </w:rPr>
            </w:pPr>
            <w:r w:rsidRPr="00D54D24">
              <w:rPr>
                <w:rFonts w:ascii="Arial" w:hAnsi="Arial" w:cs="Arial"/>
                <w:sz w:val="18"/>
                <w:szCs w:val="18"/>
              </w:rPr>
              <w:t>Fuel</w:t>
            </w:r>
            <w:r w:rsidRPr="00D54D24">
              <w:rPr>
                <w:rFonts w:ascii="Arial" w:hAnsi="Arial" w:cs="Arial"/>
                <w:spacing w:val="-3"/>
                <w:sz w:val="18"/>
                <w:szCs w:val="18"/>
              </w:rPr>
              <w:t xml:space="preserve"> </w:t>
            </w:r>
            <w:r w:rsidRPr="00D54D24">
              <w:rPr>
                <w:rFonts w:ascii="Arial" w:hAnsi="Arial" w:cs="Arial"/>
                <w:sz w:val="18"/>
                <w:szCs w:val="18"/>
              </w:rPr>
              <w:t>and</w:t>
            </w:r>
            <w:r w:rsidRPr="00D54D24">
              <w:rPr>
                <w:rFonts w:ascii="Arial" w:hAnsi="Arial" w:cs="Arial"/>
                <w:spacing w:val="-2"/>
                <w:sz w:val="18"/>
                <w:szCs w:val="18"/>
              </w:rPr>
              <w:t xml:space="preserve"> </w:t>
            </w:r>
            <w:r w:rsidRPr="00D54D24">
              <w:rPr>
                <w:rFonts w:ascii="Arial" w:hAnsi="Arial" w:cs="Arial"/>
                <w:sz w:val="18"/>
                <w:szCs w:val="18"/>
              </w:rPr>
              <w:t>oil</w:t>
            </w:r>
            <w:r w:rsidRPr="00D54D24">
              <w:rPr>
                <w:rFonts w:ascii="Arial" w:hAnsi="Arial" w:cs="Arial"/>
                <w:spacing w:val="-3"/>
                <w:sz w:val="18"/>
                <w:szCs w:val="18"/>
              </w:rPr>
              <w:t xml:space="preserve"> </w:t>
            </w:r>
            <w:r w:rsidRPr="00D54D24">
              <w:rPr>
                <w:rFonts w:ascii="Arial" w:hAnsi="Arial" w:cs="Arial"/>
                <w:sz w:val="18"/>
                <w:szCs w:val="18"/>
              </w:rPr>
              <w:t>pressure</w:t>
            </w:r>
          </w:p>
        </w:tc>
        <w:tc>
          <w:tcPr>
            <w:tcW w:w="6660" w:type="dxa"/>
          </w:tcPr>
          <w:p w14:paraId="0C92BFDD" w14:textId="77777777" w:rsidR="00D54D24" w:rsidRPr="00D54D24" w:rsidRDefault="00D54D24" w:rsidP="00D54D24">
            <w:pPr>
              <w:pStyle w:val="TableParagraph"/>
              <w:spacing w:line="240" w:lineRule="atLeast"/>
              <w:ind w:right="212"/>
              <w:rPr>
                <w:rFonts w:ascii="Arial" w:hAnsi="Arial" w:cs="Arial"/>
                <w:sz w:val="18"/>
                <w:szCs w:val="18"/>
              </w:rPr>
            </w:pPr>
            <w:r w:rsidRPr="00D54D24">
              <w:rPr>
                <w:rFonts w:ascii="Arial" w:hAnsi="Arial" w:cs="Arial"/>
                <w:sz w:val="18"/>
                <w:szCs w:val="18"/>
              </w:rPr>
              <w:t>Check that they are within normal values. Check fuel pumps for proper</w:t>
            </w:r>
            <w:r w:rsidRPr="00D54D24">
              <w:rPr>
                <w:rFonts w:ascii="Arial" w:hAnsi="Arial" w:cs="Arial"/>
                <w:spacing w:val="-43"/>
                <w:sz w:val="18"/>
                <w:szCs w:val="18"/>
              </w:rPr>
              <w:t xml:space="preserve"> </w:t>
            </w:r>
            <w:r w:rsidRPr="00D54D24">
              <w:rPr>
                <w:rFonts w:ascii="Arial" w:hAnsi="Arial" w:cs="Arial"/>
                <w:sz w:val="18"/>
                <w:szCs w:val="18"/>
              </w:rPr>
              <w:t>operation.</w:t>
            </w:r>
          </w:p>
        </w:tc>
      </w:tr>
      <w:tr w:rsidR="00D54D24" w:rsidRPr="00D54D24" w14:paraId="5828D99A" w14:textId="77777777" w:rsidTr="00C342B1">
        <w:trPr>
          <w:trHeight w:val="200"/>
        </w:trPr>
        <w:tc>
          <w:tcPr>
            <w:tcW w:w="2425" w:type="dxa"/>
          </w:tcPr>
          <w:p w14:paraId="028546AF" w14:textId="77777777" w:rsidR="00D54D24" w:rsidRPr="00D54D24" w:rsidRDefault="00D54D24" w:rsidP="00D54D24">
            <w:pPr>
              <w:pStyle w:val="TableParagraph"/>
              <w:spacing w:line="223" w:lineRule="exact"/>
              <w:ind w:left="86"/>
              <w:rPr>
                <w:rFonts w:ascii="Arial" w:hAnsi="Arial" w:cs="Arial"/>
                <w:sz w:val="18"/>
                <w:szCs w:val="18"/>
              </w:rPr>
            </w:pPr>
            <w:r w:rsidRPr="00D54D24">
              <w:rPr>
                <w:rFonts w:ascii="Arial" w:hAnsi="Arial" w:cs="Arial"/>
                <w:sz w:val="18"/>
                <w:szCs w:val="18"/>
              </w:rPr>
              <w:t>Engine</w:t>
            </w:r>
            <w:r w:rsidRPr="00D54D24">
              <w:rPr>
                <w:rFonts w:ascii="Arial" w:hAnsi="Arial" w:cs="Arial"/>
                <w:spacing w:val="-5"/>
                <w:sz w:val="18"/>
                <w:szCs w:val="18"/>
              </w:rPr>
              <w:t xml:space="preserve"> </w:t>
            </w:r>
            <w:r w:rsidRPr="00D54D24">
              <w:rPr>
                <w:rFonts w:ascii="Arial" w:hAnsi="Arial" w:cs="Arial"/>
                <w:sz w:val="18"/>
                <w:szCs w:val="18"/>
              </w:rPr>
              <w:t>temperatures</w:t>
            </w:r>
          </w:p>
        </w:tc>
        <w:tc>
          <w:tcPr>
            <w:tcW w:w="6660" w:type="dxa"/>
          </w:tcPr>
          <w:p w14:paraId="4DF55774" w14:textId="77777777" w:rsidR="00D54D24" w:rsidRPr="00D54D24" w:rsidRDefault="00D54D24" w:rsidP="00D54D24">
            <w:pPr>
              <w:pStyle w:val="TableParagraph"/>
              <w:spacing w:line="223" w:lineRule="exact"/>
              <w:rPr>
                <w:rFonts w:ascii="Arial" w:hAnsi="Arial" w:cs="Arial"/>
                <w:sz w:val="18"/>
                <w:szCs w:val="18"/>
              </w:rPr>
            </w:pPr>
            <w:r w:rsidRPr="00D54D24">
              <w:rPr>
                <w:rFonts w:ascii="Arial" w:hAnsi="Arial" w:cs="Arial"/>
                <w:sz w:val="18"/>
                <w:szCs w:val="18"/>
              </w:rPr>
              <w:t>Check</w:t>
            </w:r>
            <w:r w:rsidRPr="00D54D24">
              <w:rPr>
                <w:rFonts w:ascii="Arial" w:hAnsi="Arial" w:cs="Arial"/>
                <w:spacing w:val="-3"/>
                <w:sz w:val="18"/>
                <w:szCs w:val="18"/>
              </w:rPr>
              <w:t xml:space="preserve"> </w:t>
            </w:r>
            <w:r w:rsidRPr="00D54D24">
              <w:rPr>
                <w:rFonts w:ascii="Arial" w:hAnsi="Arial" w:cs="Arial"/>
                <w:sz w:val="18"/>
                <w:szCs w:val="18"/>
              </w:rPr>
              <w:t>that</w:t>
            </w:r>
            <w:r w:rsidRPr="00D54D24">
              <w:rPr>
                <w:rFonts w:ascii="Arial" w:hAnsi="Arial" w:cs="Arial"/>
                <w:spacing w:val="-2"/>
                <w:sz w:val="18"/>
                <w:szCs w:val="18"/>
              </w:rPr>
              <w:t xml:space="preserve"> </w:t>
            </w:r>
            <w:r w:rsidRPr="00D54D24">
              <w:rPr>
                <w:rFonts w:ascii="Arial" w:hAnsi="Arial" w:cs="Arial"/>
                <w:sz w:val="18"/>
                <w:szCs w:val="18"/>
              </w:rPr>
              <w:t>they</w:t>
            </w:r>
            <w:r w:rsidRPr="00D54D24">
              <w:rPr>
                <w:rFonts w:ascii="Arial" w:hAnsi="Arial" w:cs="Arial"/>
                <w:spacing w:val="-3"/>
                <w:sz w:val="18"/>
                <w:szCs w:val="18"/>
              </w:rPr>
              <w:t xml:space="preserve"> </w:t>
            </w:r>
            <w:r w:rsidRPr="00D54D24">
              <w:rPr>
                <w:rFonts w:ascii="Arial" w:hAnsi="Arial" w:cs="Arial"/>
                <w:sz w:val="18"/>
                <w:szCs w:val="18"/>
              </w:rPr>
              <w:t>are</w:t>
            </w:r>
            <w:r w:rsidRPr="00D54D24">
              <w:rPr>
                <w:rFonts w:ascii="Arial" w:hAnsi="Arial" w:cs="Arial"/>
                <w:spacing w:val="-3"/>
                <w:sz w:val="18"/>
                <w:szCs w:val="18"/>
              </w:rPr>
              <w:t xml:space="preserve"> </w:t>
            </w:r>
            <w:r w:rsidRPr="00D54D24">
              <w:rPr>
                <w:rFonts w:ascii="Arial" w:hAnsi="Arial" w:cs="Arial"/>
                <w:sz w:val="18"/>
                <w:szCs w:val="18"/>
              </w:rPr>
              <w:t>within</w:t>
            </w:r>
            <w:r w:rsidRPr="00D54D24">
              <w:rPr>
                <w:rFonts w:ascii="Arial" w:hAnsi="Arial" w:cs="Arial"/>
                <w:spacing w:val="-2"/>
                <w:sz w:val="18"/>
                <w:szCs w:val="18"/>
              </w:rPr>
              <w:t xml:space="preserve"> </w:t>
            </w:r>
            <w:r w:rsidRPr="00D54D24">
              <w:rPr>
                <w:rFonts w:ascii="Arial" w:hAnsi="Arial" w:cs="Arial"/>
                <w:sz w:val="18"/>
                <w:szCs w:val="18"/>
              </w:rPr>
              <w:t>normal</w:t>
            </w:r>
            <w:r w:rsidRPr="00D54D24">
              <w:rPr>
                <w:rFonts w:ascii="Arial" w:hAnsi="Arial" w:cs="Arial"/>
                <w:spacing w:val="-2"/>
                <w:sz w:val="18"/>
                <w:szCs w:val="18"/>
              </w:rPr>
              <w:t xml:space="preserve"> </w:t>
            </w:r>
            <w:r w:rsidRPr="00D54D24">
              <w:rPr>
                <w:rFonts w:ascii="Arial" w:hAnsi="Arial" w:cs="Arial"/>
                <w:sz w:val="18"/>
                <w:szCs w:val="18"/>
              </w:rPr>
              <w:t>values.</w:t>
            </w:r>
          </w:p>
        </w:tc>
      </w:tr>
      <w:tr w:rsidR="00D54D24" w:rsidRPr="00D54D24" w14:paraId="498C6EC8" w14:textId="77777777" w:rsidTr="00C342B1">
        <w:trPr>
          <w:trHeight w:val="444"/>
        </w:trPr>
        <w:tc>
          <w:tcPr>
            <w:tcW w:w="2425" w:type="dxa"/>
          </w:tcPr>
          <w:p w14:paraId="3230DF55" w14:textId="77777777" w:rsidR="00D54D24" w:rsidRPr="00D54D24" w:rsidRDefault="00D54D24" w:rsidP="00D54D24">
            <w:pPr>
              <w:pStyle w:val="TableParagraph"/>
              <w:ind w:left="86"/>
              <w:rPr>
                <w:rFonts w:ascii="Arial" w:hAnsi="Arial" w:cs="Arial"/>
                <w:sz w:val="18"/>
                <w:szCs w:val="18"/>
              </w:rPr>
            </w:pPr>
            <w:r w:rsidRPr="00D54D24">
              <w:rPr>
                <w:rFonts w:ascii="Arial" w:hAnsi="Arial" w:cs="Arial"/>
                <w:sz w:val="18"/>
                <w:szCs w:val="18"/>
              </w:rPr>
              <w:t>Engine</w:t>
            </w:r>
          </w:p>
        </w:tc>
        <w:tc>
          <w:tcPr>
            <w:tcW w:w="6660" w:type="dxa"/>
          </w:tcPr>
          <w:p w14:paraId="1DAE7A09" w14:textId="40A50DA6" w:rsidR="00D54D24" w:rsidRPr="00D54D24" w:rsidRDefault="00D54D24" w:rsidP="00061309">
            <w:pPr>
              <w:pStyle w:val="TableParagraph"/>
              <w:spacing w:line="243" w:lineRule="exact"/>
              <w:rPr>
                <w:rFonts w:ascii="Arial" w:hAnsi="Arial" w:cs="Arial"/>
                <w:sz w:val="18"/>
                <w:szCs w:val="18"/>
              </w:rPr>
            </w:pPr>
            <w:r w:rsidRPr="00D54D24">
              <w:rPr>
                <w:rFonts w:ascii="Arial" w:hAnsi="Arial" w:cs="Arial"/>
                <w:sz w:val="18"/>
                <w:szCs w:val="18"/>
              </w:rPr>
              <w:t>For</w:t>
            </w:r>
            <w:r w:rsidRPr="00D54D24">
              <w:rPr>
                <w:rFonts w:ascii="Arial" w:hAnsi="Arial" w:cs="Arial"/>
                <w:spacing w:val="-3"/>
                <w:sz w:val="18"/>
                <w:szCs w:val="18"/>
              </w:rPr>
              <w:t xml:space="preserve"> </w:t>
            </w:r>
            <w:r w:rsidRPr="00D54D24">
              <w:rPr>
                <w:rFonts w:ascii="Arial" w:hAnsi="Arial" w:cs="Arial"/>
                <w:sz w:val="18"/>
                <w:szCs w:val="18"/>
              </w:rPr>
              <w:t>engines</w:t>
            </w:r>
            <w:r w:rsidRPr="00D54D24">
              <w:rPr>
                <w:rFonts w:ascii="Arial" w:hAnsi="Arial" w:cs="Arial"/>
                <w:spacing w:val="-5"/>
                <w:sz w:val="18"/>
                <w:szCs w:val="18"/>
              </w:rPr>
              <w:t xml:space="preserve"> </w:t>
            </w:r>
            <w:r w:rsidRPr="00D54D24">
              <w:rPr>
                <w:rFonts w:ascii="Arial" w:hAnsi="Arial" w:cs="Arial"/>
                <w:sz w:val="18"/>
                <w:szCs w:val="18"/>
              </w:rPr>
              <w:t>equipped</w:t>
            </w:r>
            <w:r w:rsidRPr="00D54D24">
              <w:rPr>
                <w:rFonts w:ascii="Arial" w:hAnsi="Arial" w:cs="Arial"/>
                <w:spacing w:val="-3"/>
                <w:sz w:val="18"/>
                <w:szCs w:val="18"/>
              </w:rPr>
              <w:t xml:space="preserve"> </w:t>
            </w:r>
            <w:r w:rsidRPr="00D54D24">
              <w:rPr>
                <w:rFonts w:ascii="Arial" w:hAnsi="Arial" w:cs="Arial"/>
                <w:sz w:val="18"/>
                <w:szCs w:val="18"/>
              </w:rPr>
              <w:t>with</w:t>
            </w:r>
            <w:r w:rsidRPr="00D54D24">
              <w:rPr>
                <w:rFonts w:ascii="Arial" w:hAnsi="Arial" w:cs="Arial"/>
                <w:spacing w:val="-3"/>
                <w:sz w:val="18"/>
                <w:szCs w:val="18"/>
              </w:rPr>
              <w:t xml:space="preserve"> </w:t>
            </w:r>
            <w:r w:rsidRPr="00D54D24">
              <w:rPr>
                <w:rFonts w:ascii="Arial" w:hAnsi="Arial" w:cs="Arial"/>
                <w:sz w:val="18"/>
                <w:szCs w:val="18"/>
              </w:rPr>
              <w:t>automated</w:t>
            </w:r>
            <w:r w:rsidRPr="00D54D24">
              <w:rPr>
                <w:rFonts w:ascii="Arial" w:hAnsi="Arial" w:cs="Arial"/>
                <w:spacing w:val="-2"/>
                <w:sz w:val="18"/>
                <w:szCs w:val="18"/>
              </w:rPr>
              <w:t xml:space="preserve"> </w:t>
            </w:r>
            <w:r w:rsidRPr="00D54D24">
              <w:rPr>
                <w:rFonts w:ascii="Arial" w:hAnsi="Arial" w:cs="Arial"/>
                <w:sz w:val="18"/>
                <w:szCs w:val="18"/>
              </w:rPr>
              <w:t>engine</w:t>
            </w:r>
            <w:r w:rsidRPr="00D54D24">
              <w:rPr>
                <w:rFonts w:ascii="Arial" w:hAnsi="Arial" w:cs="Arial"/>
                <w:spacing w:val="-4"/>
                <w:sz w:val="18"/>
                <w:szCs w:val="18"/>
              </w:rPr>
              <w:t xml:space="preserve"> </w:t>
            </w:r>
            <w:r w:rsidRPr="00D54D24">
              <w:rPr>
                <w:rFonts w:ascii="Arial" w:hAnsi="Arial" w:cs="Arial"/>
                <w:sz w:val="18"/>
                <w:szCs w:val="18"/>
              </w:rPr>
              <w:t>control</w:t>
            </w:r>
            <w:r w:rsidRPr="00D54D24">
              <w:rPr>
                <w:rFonts w:ascii="Arial" w:hAnsi="Arial" w:cs="Arial"/>
                <w:spacing w:val="-3"/>
                <w:sz w:val="18"/>
                <w:szCs w:val="18"/>
              </w:rPr>
              <w:t xml:space="preserve"> </w:t>
            </w:r>
            <w:r w:rsidRPr="00D54D24">
              <w:rPr>
                <w:rFonts w:ascii="Arial" w:hAnsi="Arial" w:cs="Arial"/>
                <w:sz w:val="18"/>
                <w:szCs w:val="18"/>
              </w:rPr>
              <w:t>(e.g.</w:t>
            </w:r>
            <w:r w:rsidRPr="00D54D24">
              <w:rPr>
                <w:rFonts w:ascii="Arial" w:hAnsi="Arial" w:cs="Arial"/>
                <w:spacing w:val="-1"/>
                <w:sz w:val="18"/>
                <w:szCs w:val="18"/>
              </w:rPr>
              <w:t xml:space="preserve"> </w:t>
            </w:r>
            <w:r w:rsidRPr="00D54D24">
              <w:rPr>
                <w:rFonts w:ascii="Arial" w:hAnsi="Arial" w:cs="Arial"/>
                <w:sz w:val="18"/>
                <w:szCs w:val="18"/>
              </w:rPr>
              <w:t>FADEC),</w:t>
            </w:r>
            <w:r w:rsidRPr="00D54D24">
              <w:rPr>
                <w:rFonts w:ascii="Arial" w:hAnsi="Arial" w:cs="Arial"/>
                <w:spacing w:val="-3"/>
                <w:sz w:val="18"/>
                <w:szCs w:val="18"/>
              </w:rPr>
              <w:t xml:space="preserve"> </w:t>
            </w:r>
            <w:r w:rsidRPr="00D54D24">
              <w:rPr>
                <w:rFonts w:ascii="Arial" w:hAnsi="Arial" w:cs="Arial"/>
                <w:sz w:val="18"/>
                <w:szCs w:val="18"/>
              </w:rPr>
              <w:t>perform</w:t>
            </w:r>
            <w:r w:rsidRPr="00D54D24">
              <w:rPr>
                <w:rFonts w:ascii="Arial" w:hAnsi="Arial" w:cs="Arial"/>
                <w:spacing w:val="-3"/>
                <w:sz w:val="18"/>
                <w:szCs w:val="18"/>
              </w:rPr>
              <w:t xml:space="preserve"> </w:t>
            </w:r>
            <w:r w:rsidRPr="00D54D24">
              <w:rPr>
                <w:rFonts w:ascii="Arial" w:hAnsi="Arial" w:cs="Arial"/>
                <w:sz w:val="18"/>
                <w:szCs w:val="18"/>
              </w:rPr>
              <w:t>the</w:t>
            </w:r>
            <w:r w:rsidR="00061309">
              <w:rPr>
                <w:rFonts w:ascii="Arial" w:hAnsi="Arial" w:cs="Arial"/>
                <w:sz w:val="18"/>
                <w:szCs w:val="18"/>
              </w:rPr>
              <w:t xml:space="preserve"> </w:t>
            </w:r>
            <w:r w:rsidRPr="00D54D24">
              <w:rPr>
                <w:rFonts w:ascii="Arial" w:hAnsi="Arial" w:cs="Arial"/>
                <w:sz w:val="18"/>
                <w:szCs w:val="18"/>
              </w:rPr>
              <w:t>published</w:t>
            </w:r>
            <w:r w:rsidRPr="00D54D24">
              <w:rPr>
                <w:rFonts w:ascii="Arial" w:hAnsi="Arial" w:cs="Arial"/>
                <w:spacing w:val="-3"/>
                <w:sz w:val="18"/>
                <w:szCs w:val="18"/>
              </w:rPr>
              <w:t xml:space="preserve"> </w:t>
            </w:r>
            <w:r w:rsidRPr="00D54D24">
              <w:rPr>
                <w:rFonts w:ascii="Arial" w:hAnsi="Arial" w:cs="Arial"/>
                <w:sz w:val="18"/>
                <w:szCs w:val="18"/>
              </w:rPr>
              <w:t>run-up</w:t>
            </w:r>
            <w:r w:rsidRPr="00D54D24">
              <w:rPr>
                <w:rFonts w:ascii="Arial" w:hAnsi="Arial" w:cs="Arial"/>
                <w:spacing w:val="-3"/>
                <w:sz w:val="18"/>
                <w:szCs w:val="18"/>
              </w:rPr>
              <w:t xml:space="preserve"> </w:t>
            </w:r>
            <w:r w:rsidRPr="00D54D24">
              <w:rPr>
                <w:rFonts w:ascii="Arial" w:hAnsi="Arial" w:cs="Arial"/>
                <w:sz w:val="18"/>
                <w:szCs w:val="18"/>
              </w:rPr>
              <w:t>procedure</w:t>
            </w:r>
            <w:r w:rsidRPr="00D54D24">
              <w:rPr>
                <w:rFonts w:ascii="Arial" w:hAnsi="Arial" w:cs="Arial"/>
                <w:spacing w:val="-4"/>
                <w:sz w:val="18"/>
                <w:szCs w:val="18"/>
              </w:rPr>
              <w:t xml:space="preserve"> </w:t>
            </w:r>
            <w:r w:rsidRPr="00D54D24">
              <w:rPr>
                <w:rFonts w:ascii="Arial" w:hAnsi="Arial" w:cs="Arial"/>
                <w:sz w:val="18"/>
                <w:szCs w:val="18"/>
              </w:rPr>
              <w:t>and</w:t>
            </w:r>
            <w:r w:rsidRPr="00D54D24">
              <w:rPr>
                <w:rFonts w:ascii="Arial" w:hAnsi="Arial" w:cs="Arial"/>
                <w:spacing w:val="-3"/>
                <w:sz w:val="18"/>
                <w:szCs w:val="18"/>
              </w:rPr>
              <w:t xml:space="preserve"> </w:t>
            </w:r>
            <w:r w:rsidRPr="00D54D24">
              <w:rPr>
                <w:rFonts w:ascii="Arial" w:hAnsi="Arial" w:cs="Arial"/>
                <w:sz w:val="18"/>
                <w:szCs w:val="18"/>
              </w:rPr>
              <w:t>check</w:t>
            </w:r>
            <w:r w:rsidRPr="00D54D24">
              <w:rPr>
                <w:rFonts w:ascii="Arial" w:hAnsi="Arial" w:cs="Arial"/>
                <w:spacing w:val="-3"/>
                <w:sz w:val="18"/>
                <w:szCs w:val="18"/>
              </w:rPr>
              <w:t xml:space="preserve"> </w:t>
            </w:r>
            <w:r w:rsidRPr="00D54D24">
              <w:rPr>
                <w:rFonts w:ascii="Arial" w:hAnsi="Arial" w:cs="Arial"/>
                <w:sz w:val="18"/>
                <w:szCs w:val="18"/>
              </w:rPr>
              <w:t>for</w:t>
            </w:r>
            <w:r w:rsidRPr="00D54D24">
              <w:rPr>
                <w:rFonts w:ascii="Arial" w:hAnsi="Arial" w:cs="Arial"/>
                <w:spacing w:val="-3"/>
                <w:sz w:val="18"/>
                <w:szCs w:val="18"/>
              </w:rPr>
              <w:t xml:space="preserve"> </w:t>
            </w:r>
            <w:r w:rsidRPr="00D54D24">
              <w:rPr>
                <w:rFonts w:ascii="Arial" w:hAnsi="Arial" w:cs="Arial"/>
                <w:sz w:val="18"/>
                <w:szCs w:val="18"/>
              </w:rPr>
              <w:t>discrepancies.</w:t>
            </w:r>
          </w:p>
        </w:tc>
      </w:tr>
      <w:tr w:rsidR="00D54D24" w:rsidRPr="00D54D24" w14:paraId="3D2858B9" w14:textId="77777777" w:rsidTr="00C342B1">
        <w:trPr>
          <w:trHeight w:val="444"/>
        </w:trPr>
        <w:tc>
          <w:tcPr>
            <w:tcW w:w="2425" w:type="dxa"/>
          </w:tcPr>
          <w:p w14:paraId="2B82BB62" w14:textId="77777777" w:rsidR="00D54D24" w:rsidRPr="00D54D24" w:rsidRDefault="00D54D24" w:rsidP="00D54D24">
            <w:pPr>
              <w:pStyle w:val="TableParagraph"/>
              <w:ind w:left="86"/>
              <w:rPr>
                <w:rFonts w:ascii="Arial" w:hAnsi="Arial" w:cs="Arial"/>
                <w:sz w:val="18"/>
                <w:szCs w:val="18"/>
              </w:rPr>
            </w:pPr>
            <w:r w:rsidRPr="00D54D24">
              <w:rPr>
                <w:rFonts w:ascii="Arial" w:hAnsi="Arial" w:cs="Arial"/>
                <w:sz w:val="18"/>
                <w:szCs w:val="18"/>
              </w:rPr>
              <w:t>Engine</w:t>
            </w:r>
          </w:p>
        </w:tc>
        <w:tc>
          <w:tcPr>
            <w:tcW w:w="6660" w:type="dxa"/>
          </w:tcPr>
          <w:p w14:paraId="515B7871" w14:textId="77777777" w:rsidR="00D54D24" w:rsidRPr="00D54D24" w:rsidRDefault="00D54D24" w:rsidP="00D54D24">
            <w:pPr>
              <w:pStyle w:val="TableParagraph"/>
              <w:spacing w:line="240" w:lineRule="atLeast"/>
              <w:rPr>
                <w:rFonts w:ascii="Arial" w:hAnsi="Arial" w:cs="Arial"/>
                <w:sz w:val="18"/>
                <w:szCs w:val="18"/>
              </w:rPr>
            </w:pPr>
            <w:r w:rsidRPr="00D54D24">
              <w:rPr>
                <w:rFonts w:ascii="Arial" w:hAnsi="Arial" w:cs="Arial"/>
                <w:sz w:val="18"/>
                <w:szCs w:val="18"/>
              </w:rPr>
              <w:t>For dry-sump engines, engines with turbochargers and liquid-cooled engines,</w:t>
            </w:r>
            <w:r w:rsidRPr="00D54D24">
              <w:rPr>
                <w:rFonts w:ascii="Arial" w:hAnsi="Arial" w:cs="Arial"/>
                <w:spacing w:val="-43"/>
                <w:sz w:val="18"/>
                <w:szCs w:val="18"/>
              </w:rPr>
              <w:t xml:space="preserve"> </w:t>
            </w:r>
            <w:r w:rsidRPr="00D54D24">
              <w:rPr>
                <w:rFonts w:ascii="Arial" w:hAnsi="Arial" w:cs="Arial"/>
                <w:sz w:val="18"/>
                <w:szCs w:val="18"/>
              </w:rPr>
              <w:t>check</w:t>
            </w:r>
            <w:r w:rsidRPr="00D54D24">
              <w:rPr>
                <w:rFonts w:ascii="Arial" w:hAnsi="Arial" w:cs="Arial"/>
                <w:spacing w:val="-1"/>
                <w:sz w:val="18"/>
                <w:szCs w:val="18"/>
              </w:rPr>
              <w:t xml:space="preserve"> </w:t>
            </w:r>
            <w:r w:rsidRPr="00D54D24">
              <w:rPr>
                <w:rFonts w:ascii="Arial" w:hAnsi="Arial" w:cs="Arial"/>
                <w:sz w:val="18"/>
                <w:szCs w:val="18"/>
              </w:rPr>
              <w:t>for signs</w:t>
            </w:r>
            <w:r w:rsidRPr="00D54D24">
              <w:rPr>
                <w:rFonts w:ascii="Arial" w:hAnsi="Arial" w:cs="Arial"/>
                <w:spacing w:val="-2"/>
                <w:sz w:val="18"/>
                <w:szCs w:val="18"/>
              </w:rPr>
              <w:t xml:space="preserve"> </w:t>
            </w:r>
            <w:r w:rsidRPr="00D54D24">
              <w:rPr>
                <w:rFonts w:ascii="Arial" w:hAnsi="Arial" w:cs="Arial"/>
                <w:sz w:val="18"/>
                <w:szCs w:val="18"/>
              </w:rPr>
              <w:t>of</w:t>
            </w:r>
            <w:r w:rsidRPr="00D54D24">
              <w:rPr>
                <w:rFonts w:ascii="Arial" w:hAnsi="Arial" w:cs="Arial"/>
                <w:spacing w:val="-2"/>
                <w:sz w:val="18"/>
                <w:szCs w:val="18"/>
              </w:rPr>
              <w:t xml:space="preserve"> </w:t>
            </w:r>
            <w:r w:rsidRPr="00D54D24">
              <w:rPr>
                <w:rFonts w:ascii="Arial" w:hAnsi="Arial" w:cs="Arial"/>
                <w:sz w:val="18"/>
                <w:szCs w:val="18"/>
              </w:rPr>
              <w:t>disturbed fluid</w:t>
            </w:r>
            <w:r w:rsidRPr="00D54D24">
              <w:rPr>
                <w:rFonts w:ascii="Arial" w:hAnsi="Arial" w:cs="Arial"/>
                <w:spacing w:val="-1"/>
                <w:sz w:val="18"/>
                <w:szCs w:val="18"/>
              </w:rPr>
              <w:t xml:space="preserve"> </w:t>
            </w:r>
            <w:r w:rsidRPr="00D54D24">
              <w:rPr>
                <w:rFonts w:ascii="Arial" w:hAnsi="Arial" w:cs="Arial"/>
                <w:sz w:val="18"/>
                <w:szCs w:val="18"/>
              </w:rPr>
              <w:t>circulation.</w:t>
            </w:r>
          </w:p>
        </w:tc>
      </w:tr>
      <w:tr w:rsidR="00D54D24" w:rsidRPr="00D54D24" w14:paraId="381719F4" w14:textId="77777777" w:rsidTr="00C342B1">
        <w:trPr>
          <w:trHeight w:val="201"/>
        </w:trPr>
        <w:tc>
          <w:tcPr>
            <w:tcW w:w="2425" w:type="dxa"/>
          </w:tcPr>
          <w:p w14:paraId="4FE08A99" w14:textId="77777777" w:rsidR="00D54D24" w:rsidRPr="00D54D24" w:rsidRDefault="00D54D24" w:rsidP="00D54D24">
            <w:pPr>
              <w:pStyle w:val="TableParagraph"/>
              <w:spacing w:line="225" w:lineRule="exact"/>
              <w:ind w:left="86"/>
              <w:rPr>
                <w:rFonts w:ascii="Arial" w:hAnsi="Arial" w:cs="Arial"/>
                <w:sz w:val="18"/>
                <w:szCs w:val="18"/>
              </w:rPr>
            </w:pPr>
            <w:r w:rsidRPr="00D54D24">
              <w:rPr>
                <w:rFonts w:ascii="Arial" w:hAnsi="Arial" w:cs="Arial"/>
                <w:sz w:val="18"/>
                <w:szCs w:val="18"/>
              </w:rPr>
              <w:t>Pitot-static</w:t>
            </w:r>
            <w:r w:rsidRPr="00D54D24">
              <w:rPr>
                <w:rFonts w:ascii="Arial" w:hAnsi="Arial" w:cs="Arial"/>
                <w:spacing w:val="-4"/>
                <w:sz w:val="18"/>
                <w:szCs w:val="18"/>
              </w:rPr>
              <w:t xml:space="preserve"> </w:t>
            </w:r>
            <w:r w:rsidRPr="00D54D24">
              <w:rPr>
                <w:rFonts w:ascii="Arial" w:hAnsi="Arial" w:cs="Arial"/>
                <w:sz w:val="18"/>
                <w:szCs w:val="18"/>
              </w:rPr>
              <w:t>system</w:t>
            </w:r>
          </w:p>
        </w:tc>
        <w:tc>
          <w:tcPr>
            <w:tcW w:w="6660" w:type="dxa"/>
          </w:tcPr>
          <w:p w14:paraId="7431DDCE" w14:textId="77777777" w:rsidR="00D54D24" w:rsidRPr="00D54D24" w:rsidRDefault="00D54D24" w:rsidP="00D54D24">
            <w:pPr>
              <w:pStyle w:val="TableParagraph"/>
              <w:spacing w:line="225" w:lineRule="exact"/>
              <w:rPr>
                <w:rFonts w:ascii="Arial" w:hAnsi="Arial" w:cs="Arial"/>
                <w:sz w:val="18"/>
                <w:szCs w:val="18"/>
              </w:rPr>
            </w:pPr>
            <w:r w:rsidRPr="00D54D24">
              <w:rPr>
                <w:rFonts w:ascii="Arial" w:hAnsi="Arial" w:cs="Arial"/>
                <w:sz w:val="18"/>
                <w:szCs w:val="18"/>
              </w:rPr>
              <w:t>Perform</w:t>
            </w:r>
            <w:r w:rsidRPr="00D54D24">
              <w:rPr>
                <w:rFonts w:ascii="Arial" w:hAnsi="Arial" w:cs="Arial"/>
                <w:spacing w:val="-3"/>
                <w:sz w:val="18"/>
                <w:szCs w:val="18"/>
              </w:rPr>
              <w:t xml:space="preserve"> </w:t>
            </w:r>
            <w:r w:rsidRPr="00D54D24">
              <w:rPr>
                <w:rFonts w:ascii="Arial" w:hAnsi="Arial" w:cs="Arial"/>
                <w:sz w:val="18"/>
                <w:szCs w:val="18"/>
              </w:rPr>
              <w:t>functional</w:t>
            </w:r>
            <w:r w:rsidRPr="00D54D24">
              <w:rPr>
                <w:rFonts w:ascii="Arial" w:hAnsi="Arial" w:cs="Arial"/>
                <w:spacing w:val="-2"/>
                <w:sz w:val="18"/>
                <w:szCs w:val="18"/>
              </w:rPr>
              <w:t xml:space="preserve"> </w:t>
            </w:r>
            <w:r w:rsidRPr="00D54D24">
              <w:rPr>
                <w:rFonts w:ascii="Arial" w:hAnsi="Arial" w:cs="Arial"/>
                <w:sz w:val="18"/>
                <w:szCs w:val="18"/>
              </w:rPr>
              <w:t>check.</w:t>
            </w:r>
          </w:p>
        </w:tc>
      </w:tr>
      <w:tr w:rsidR="00D54D24" w:rsidRPr="00D54D24" w14:paraId="00625792" w14:textId="77777777" w:rsidTr="00C342B1">
        <w:trPr>
          <w:trHeight w:val="199"/>
        </w:trPr>
        <w:tc>
          <w:tcPr>
            <w:tcW w:w="2425" w:type="dxa"/>
          </w:tcPr>
          <w:p w14:paraId="694B71B1" w14:textId="77777777" w:rsidR="00D54D24" w:rsidRPr="00D54D24" w:rsidRDefault="00D54D24" w:rsidP="00D54D24">
            <w:pPr>
              <w:pStyle w:val="TableParagraph"/>
              <w:spacing w:line="222" w:lineRule="exact"/>
              <w:ind w:left="86"/>
              <w:rPr>
                <w:rFonts w:ascii="Arial" w:hAnsi="Arial" w:cs="Arial"/>
                <w:sz w:val="18"/>
                <w:szCs w:val="18"/>
              </w:rPr>
            </w:pPr>
            <w:r w:rsidRPr="00D54D24">
              <w:rPr>
                <w:rFonts w:ascii="Arial" w:hAnsi="Arial" w:cs="Arial"/>
                <w:sz w:val="18"/>
                <w:szCs w:val="18"/>
              </w:rPr>
              <w:t>Transponder</w:t>
            </w:r>
          </w:p>
        </w:tc>
        <w:tc>
          <w:tcPr>
            <w:tcW w:w="6660" w:type="dxa"/>
          </w:tcPr>
          <w:p w14:paraId="0E557B28" w14:textId="77777777" w:rsidR="00D54D24" w:rsidRPr="00D54D24" w:rsidRDefault="00D54D24" w:rsidP="00D54D24">
            <w:pPr>
              <w:pStyle w:val="TableParagraph"/>
              <w:spacing w:line="222" w:lineRule="exact"/>
              <w:rPr>
                <w:rFonts w:ascii="Arial" w:hAnsi="Arial" w:cs="Arial"/>
                <w:sz w:val="18"/>
                <w:szCs w:val="18"/>
              </w:rPr>
            </w:pPr>
            <w:r w:rsidRPr="00D54D24">
              <w:rPr>
                <w:rFonts w:ascii="Arial" w:hAnsi="Arial" w:cs="Arial"/>
                <w:sz w:val="18"/>
                <w:szCs w:val="18"/>
              </w:rPr>
              <w:t>Perform</w:t>
            </w:r>
            <w:r w:rsidRPr="00D54D24">
              <w:rPr>
                <w:rFonts w:ascii="Arial" w:hAnsi="Arial" w:cs="Arial"/>
                <w:spacing w:val="-4"/>
                <w:sz w:val="18"/>
                <w:szCs w:val="18"/>
              </w:rPr>
              <w:t xml:space="preserve"> </w:t>
            </w:r>
            <w:r w:rsidRPr="00D54D24">
              <w:rPr>
                <w:rFonts w:ascii="Arial" w:hAnsi="Arial" w:cs="Arial"/>
                <w:sz w:val="18"/>
                <w:szCs w:val="18"/>
              </w:rPr>
              <w:t>operational</w:t>
            </w:r>
            <w:r w:rsidRPr="00D54D24">
              <w:rPr>
                <w:rFonts w:ascii="Arial" w:hAnsi="Arial" w:cs="Arial"/>
                <w:spacing w:val="-4"/>
                <w:sz w:val="18"/>
                <w:szCs w:val="18"/>
              </w:rPr>
              <w:t xml:space="preserve"> </w:t>
            </w:r>
            <w:r w:rsidRPr="00D54D24">
              <w:rPr>
                <w:rFonts w:ascii="Arial" w:hAnsi="Arial" w:cs="Arial"/>
                <w:sz w:val="18"/>
                <w:szCs w:val="18"/>
              </w:rPr>
              <w:t>check.</w:t>
            </w:r>
          </w:p>
        </w:tc>
      </w:tr>
      <w:tr w:rsidR="00D54D24" w:rsidRPr="00D54D24" w14:paraId="20F9457B" w14:textId="77777777" w:rsidTr="00C342B1">
        <w:trPr>
          <w:trHeight w:val="202"/>
        </w:trPr>
        <w:tc>
          <w:tcPr>
            <w:tcW w:w="2425" w:type="dxa"/>
          </w:tcPr>
          <w:p w14:paraId="57C62BB1" w14:textId="77777777" w:rsidR="00D54D24" w:rsidRPr="00D54D24" w:rsidRDefault="00D54D24" w:rsidP="00D54D24">
            <w:pPr>
              <w:pStyle w:val="TableParagraph"/>
              <w:spacing w:line="225" w:lineRule="exact"/>
              <w:ind w:left="86"/>
              <w:rPr>
                <w:rFonts w:ascii="Arial" w:hAnsi="Arial" w:cs="Arial"/>
                <w:sz w:val="18"/>
                <w:szCs w:val="18"/>
              </w:rPr>
            </w:pPr>
            <w:r w:rsidRPr="00D54D24">
              <w:rPr>
                <w:rFonts w:ascii="Arial" w:hAnsi="Arial" w:cs="Arial"/>
                <w:sz w:val="18"/>
                <w:szCs w:val="18"/>
              </w:rPr>
              <w:t>Ice</w:t>
            </w:r>
            <w:r w:rsidRPr="00D54D24">
              <w:rPr>
                <w:rFonts w:ascii="Arial" w:hAnsi="Arial" w:cs="Arial"/>
                <w:spacing w:val="-3"/>
                <w:sz w:val="18"/>
                <w:szCs w:val="18"/>
              </w:rPr>
              <w:t xml:space="preserve"> </w:t>
            </w:r>
            <w:r w:rsidRPr="00D54D24">
              <w:rPr>
                <w:rFonts w:ascii="Arial" w:hAnsi="Arial" w:cs="Arial"/>
                <w:sz w:val="18"/>
                <w:szCs w:val="18"/>
              </w:rPr>
              <w:t>protection</w:t>
            </w:r>
          </w:p>
        </w:tc>
        <w:tc>
          <w:tcPr>
            <w:tcW w:w="6660" w:type="dxa"/>
          </w:tcPr>
          <w:p w14:paraId="68871338" w14:textId="77777777" w:rsidR="00D54D24" w:rsidRPr="00D54D24" w:rsidRDefault="00D54D24" w:rsidP="00D54D24">
            <w:pPr>
              <w:pStyle w:val="TableParagraph"/>
              <w:spacing w:line="225" w:lineRule="exact"/>
              <w:rPr>
                <w:rFonts w:ascii="Arial" w:hAnsi="Arial" w:cs="Arial"/>
                <w:sz w:val="18"/>
                <w:szCs w:val="18"/>
              </w:rPr>
            </w:pPr>
            <w:r w:rsidRPr="00D54D24">
              <w:rPr>
                <w:rFonts w:ascii="Arial" w:hAnsi="Arial" w:cs="Arial"/>
                <w:sz w:val="18"/>
                <w:szCs w:val="18"/>
              </w:rPr>
              <w:t>Perform</w:t>
            </w:r>
            <w:r w:rsidRPr="00D54D24">
              <w:rPr>
                <w:rFonts w:ascii="Arial" w:hAnsi="Arial" w:cs="Arial"/>
                <w:spacing w:val="-3"/>
                <w:sz w:val="18"/>
                <w:szCs w:val="18"/>
              </w:rPr>
              <w:t xml:space="preserve"> </w:t>
            </w:r>
            <w:r w:rsidRPr="00D54D24">
              <w:rPr>
                <w:rFonts w:ascii="Arial" w:hAnsi="Arial" w:cs="Arial"/>
                <w:sz w:val="18"/>
                <w:szCs w:val="18"/>
              </w:rPr>
              <w:t>operational</w:t>
            </w:r>
            <w:r w:rsidRPr="00D54D24">
              <w:rPr>
                <w:rFonts w:ascii="Arial" w:hAnsi="Arial" w:cs="Arial"/>
                <w:spacing w:val="-2"/>
                <w:sz w:val="18"/>
                <w:szCs w:val="18"/>
              </w:rPr>
              <w:t xml:space="preserve"> </w:t>
            </w:r>
            <w:r w:rsidRPr="00D54D24">
              <w:rPr>
                <w:rFonts w:ascii="Arial" w:hAnsi="Arial" w:cs="Arial"/>
                <w:sz w:val="18"/>
                <w:szCs w:val="18"/>
              </w:rPr>
              <w:t>check</w:t>
            </w:r>
            <w:r w:rsidRPr="00D54D24">
              <w:rPr>
                <w:rFonts w:ascii="Arial" w:hAnsi="Arial" w:cs="Arial"/>
                <w:spacing w:val="-2"/>
                <w:sz w:val="18"/>
                <w:szCs w:val="18"/>
              </w:rPr>
              <w:t xml:space="preserve"> </w:t>
            </w:r>
            <w:r w:rsidRPr="00D54D24">
              <w:rPr>
                <w:rFonts w:ascii="Arial" w:hAnsi="Arial" w:cs="Arial"/>
                <w:sz w:val="18"/>
                <w:szCs w:val="18"/>
              </w:rPr>
              <w:t>of</w:t>
            </w:r>
            <w:r w:rsidRPr="00D54D24">
              <w:rPr>
                <w:rFonts w:ascii="Arial" w:hAnsi="Arial" w:cs="Arial"/>
                <w:spacing w:val="-1"/>
                <w:sz w:val="18"/>
                <w:szCs w:val="18"/>
              </w:rPr>
              <w:t xml:space="preserve"> </w:t>
            </w:r>
            <w:r w:rsidRPr="00D54D24">
              <w:rPr>
                <w:rFonts w:ascii="Arial" w:hAnsi="Arial" w:cs="Arial"/>
                <w:sz w:val="18"/>
                <w:szCs w:val="18"/>
              </w:rPr>
              <w:t>ice</w:t>
            </w:r>
            <w:r w:rsidRPr="00D54D24">
              <w:rPr>
                <w:rFonts w:ascii="Arial" w:hAnsi="Arial" w:cs="Arial"/>
                <w:spacing w:val="-4"/>
                <w:sz w:val="18"/>
                <w:szCs w:val="18"/>
              </w:rPr>
              <w:t xml:space="preserve"> </w:t>
            </w:r>
            <w:r w:rsidRPr="00D54D24">
              <w:rPr>
                <w:rFonts w:ascii="Arial" w:hAnsi="Arial" w:cs="Arial"/>
                <w:sz w:val="18"/>
                <w:szCs w:val="18"/>
              </w:rPr>
              <w:t>protection</w:t>
            </w:r>
            <w:r w:rsidRPr="00D54D24">
              <w:rPr>
                <w:rFonts w:ascii="Arial" w:hAnsi="Arial" w:cs="Arial"/>
                <w:spacing w:val="-1"/>
                <w:sz w:val="18"/>
                <w:szCs w:val="18"/>
              </w:rPr>
              <w:t xml:space="preserve"> </w:t>
            </w:r>
            <w:r w:rsidRPr="00D54D24">
              <w:rPr>
                <w:rFonts w:ascii="Arial" w:hAnsi="Arial" w:cs="Arial"/>
                <w:sz w:val="18"/>
                <w:szCs w:val="18"/>
              </w:rPr>
              <w:t>system.</w:t>
            </w:r>
          </w:p>
        </w:tc>
      </w:tr>
      <w:tr w:rsidR="00D54D24" w:rsidRPr="00D54D24" w14:paraId="074FB4EA" w14:textId="77777777" w:rsidTr="00C342B1">
        <w:trPr>
          <w:trHeight w:val="199"/>
        </w:trPr>
        <w:tc>
          <w:tcPr>
            <w:tcW w:w="2425" w:type="dxa"/>
          </w:tcPr>
          <w:p w14:paraId="15EB3602" w14:textId="77777777" w:rsidR="00D54D24" w:rsidRPr="00D54D24" w:rsidRDefault="00D54D24" w:rsidP="00D54D24">
            <w:pPr>
              <w:pStyle w:val="TableParagraph"/>
              <w:spacing w:line="222" w:lineRule="exact"/>
              <w:ind w:left="86"/>
              <w:rPr>
                <w:rFonts w:ascii="Arial" w:hAnsi="Arial" w:cs="Arial"/>
                <w:sz w:val="18"/>
                <w:szCs w:val="18"/>
              </w:rPr>
            </w:pPr>
            <w:r w:rsidRPr="00D54D24">
              <w:rPr>
                <w:rFonts w:ascii="Arial" w:hAnsi="Arial" w:cs="Arial"/>
                <w:sz w:val="18"/>
                <w:szCs w:val="18"/>
              </w:rPr>
              <w:t>Fuel</w:t>
            </w:r>
            <w:r w:rsidRPr="00D54D24">
              <w:rPr>
                <w:rFonts w:ascii="Arial" w:hAnsi="Arial" w:cs="Arial"/>
                <w:spacing w:val="-2"/>
                <w:sz w:val="18"/>
                <w:szCs w:val="18"/>
              </w:rPr>
              <w:t xml:space="preserve"> </w:t>
            </w:r>
            <w:r w:rsidRPr="00D54D24">
              <w:rPr>
                <w:rFonts w:ascii="Arial" w:hAnsi="Arial" w:cs="Arial"/>
                <w:sz w:val="18"/>
                <w:szCs w:val="18"/>
              </w:rPr>
              <w:t>quantity</w:t>
            </w:r>
            <w:r w:rsidRPr="00D54D24">
              <w:rPr>
                <w:rFonts w:ascii="Arial" w:hAnsi="Arial" w:cs="Arial"/>
                <w:spacing w:val="-2"/>
                <w:sz w:val="18"/>
                <w:szCs w:val="18"/>
              </w:rPr>
              <w:t xml:space="preserve"> </w:t>
            </w:r>
            <w:r w:rsidRPr="00D54D24">
              <w:rPr>
                <w:rFonts w:ascii="Arial" w:hAnsi="Arial" w:cs="Arial"/>
                <w:sz w:val="18"/>
                <w:szCs w:val="18"/>
              </w:rPr>
              <w:t>indication</w:t>
            </w:r>
          </w:p>
        </w:tc>
        <w:tc>
          <w:tcPr>
            <w:tcW w:w="6660" w:type="dxa"/>
          </w:tcPr>
          <w:p w14:paraId="7B83B8A6" w14:textId="77777777" w:rsidR="00D54D24" w:rsidRPr="00D54D24" w:rsidRDefault="00D54D24" w:rsidP="00D54D24">
            <w:pPr>
              <w:pStyle w:val="TableParagraph"/>
              <w:spacing w:line="222" w:lineRule="exact"/>
              <w:rPr>
                <w:rFonts w:ascii="Arial" w:hAnsi="Arial" w:cs="Arial"/>
                <w:sz w:val="18"/>
                <w:szCs w:val="18"/>
              </w:rPr>
            </w:pPr>
            <w:r w:rsidRPr="00D54D24">
              <w:rPr>
                <w:rFonts w:ascii="Arial" w:hAnsi="Arial" w:cs="Arial"/>
                <w:sz w:val="18"/>
                <w:szCs w:val="18"/>
              </w:rPr>
              <w:t>Check</w:t>
            </w:r>
            <w:r w:rsidRPr="00D54D24">
              <w:rPr>
                <w:rFonts w:ascii="Arial" w:hAnsi="Arial" w:cs="Arial"/>
                <w:spacing w:val="-3"/>
                <w:sz w:val="18"/>
                <w:szCs w:val="18"/>
              </w:rPr>
              <w:t xml:space="preserve"> </w:t>
            </w:r>
            <w:r w:rsidRPr="00D54D24">
              <w:rPr>
                <w:rFonts w:ascii="Arial" w:hAnsi="Arial" w:cs="Arial"/>
                <w:sz w:val="18"/>
                <w:szCs w:val="18"/>
              </w:rPr>
              <w:t>the</w:t>
            </w:r>
            <w:r w:rsidRPr="00D54D24">
              <w:rPr>
                <w:rFonts w:ascii="Arial" w:hAnsi="Arial" w:cs="Arial"/>
                <w:spacing w:val="-4"/>
                <w:sz w:val="18"/>
                <w:szCs w:val="18"/>
              </w:rPr>
              <w:t xml:space="preserve"> </w:t>
            </w:r>
            <w:r w:rsidRPr="00D54D24">
              <w:rPr>
                <w:rFonts w:ascii="Arial" w:hAnsi="Arial" w:cs="Arial"/>
                <w:sz w:val="18"/>
                <w:szCs w:val="18"/>
              </w:rPr>
              <w:t>fuel</w:t>
            </w:r>
            <w:r w:rsidRPr="00D54D24">
              <w:rPr>
                <w:rFonts w:ascii="Arial" w:hAnsi="Arial" w:cs="Arial"/>
                <w:spacing w:val="-2"/>
                <w:sz w:val="18"/>
                <w:szCs w:val="18"/>
              </w:rPr>
              <w:t xml:space="preserve"> </w:t>
            </w:r>
            <w:r w:rsidRPr="00D54D24">
              <w:rPr>
                <w:rFonts w:ascii="Arial" w:hAnsi="Arial" w:cs="Arial"/>
                <w:sz w:val="18"/>
                <w:szCs w:val="18"/>
              </w:rPr>
              <w:t>quantity</w:t>
            </w:r>
            <w:r w:rsidRPr="00D54D24">
              <w:rPr>
                <w:rFonts w:ascii="Arial" w:hAnsi="Arial" w:cs="Arial"/>
                <w:spacing w:val="-3"/>
                <w:sz w:val="18"/>
                <w:szCs w:val="18"/>
              </w:rPr>
              <w:t xml:space="preserve"> </w:t>
            </w:r>
            <w:r w:rsidRPr="00D54D24">
              <w:rPr>
                <w:rFonts w:ascii="Arial" w:hAnsi="Arial" w:cs="Arial"/>
                <w:sz w:val="18"/>
                <w:szCs w:val="18"/>
              </w:rPr>
              <w:t>indication</w:t>
            </w:r>
            <w:r w:rsidRPr="00D54D24">
              <w:rPr>
                <w:rFonts w:ascii="Arial" w:hAnsi="Arial" w:cs="Arial"/>
                <w:spacing w:val="-2"/>
                <w:sz w:val="18"/>
                <w:szCs w:val="18"/>
              </w:rPr>
              <w:t xml:space="preserve"> </w:t>
            </w:r>
            <w:r w:rsidRPr="00D54D24">
              <w:rPr>
                <w:rFonts w:ascii="Arial" w:hAnsi="Arial" w:cs="Arial"/>
                <w:sz w:val="18"/>
                <w:szCs w:val="18"/>
              </w:rPr>
              <w:t>for</w:t>
            </w:r>
            <w:r w:rsidRPr="00D54D24">
              <w:rPr>
                <w:rFonts w:ascii="Arial" w:hAnsi="Arial" w:cs="Arial"/>
                <w:spacing w:val="-3"/>
                <w:sz w:val="18"/>
                <w:szCs w:val="18"/>
              </w:rPr>
              <w:t xml:space="preserve"> </w:t>
            </w:r>
            <w:r w:rsidRPr="00D54D24">
              <w:rPr>
                <w:rFonts w:ascii="Arial" w:hAnsi="Arial" w:cs="Arial"/>
                <w:sz w:val="18"/>
                <w:szCs w:val="18"/>
              </w:rPr>
              <w:t>proper</w:t>
            </w:r>
            <w:r w:rsidRPr="00D54D24">
              <w:rPr>
                <w:rFonts w:ascii="Arial" w:hAnsi="Arial" w:cs="Arial"/>
                <w:spacing w:val="-3"/>
                <w:sz w:val="18"/>
                <w:szCs w:val="18"/>
              </w:rPr>
              <w:t xml:space="preserve"> </w:t>
            </w:r>
            <w:r w:rsidRPr="00D54D24">
              <w:rPr>
                <w:rFonts w:ascii="Arial" w:hAnsi="Arial" w:cs="Arial"/>
                <w:sz w:val="18"/>
                <w:szCs w:val="18"/>
              </w:rPr>
              <w:t>indication.</w:t>
            </w:r>
          </w:p>
        </w:tc>
      </w:tr>
      <w:tr w:rsidR="00D54D24" w:rsidRPr="00D54D24" w14:paraId="3DFEC64C" w14:textId="77777777" w:rsidTr="00C342B1">
        <w:trPr>
          <w:trHeight w:val="203"/>
        </w:trPr>
        <w:tc>
          <w:tcPr>
            <w:tcW w:w="2425" w:type="dxa"/>
          </w:tcPr>
          <w:p w14:paraId="17DC2B2F" w14:textId="77777777" w:rsidR="00D54D24" w:rsidRPr="00D54D24" w:rsidRDefault="00D54D24" w:rsidP="00D54D24">
            <w:pPr>
              <w:pStyle w:val="TableParagraph"/>
              <w:spacing w:line="226" w:lineRule="exact"/>
              <w:ind w:left="86"/>
              <w:rPr>
                <w:rFonts w:ascii="Arial" w:hAnsi="Arial" w:cs="Arial"/>
                <w:sz w:val="18"/>
                <w:szCs w:val="18"/>
              </w:rPr>
            </w:pPr>
            <w:r w:rsidRPr="00D54D24">
              <w:rPr>
                <w:rFonts w:ascii="Arial" w:hAnsi="Arial" w:cs="Arial"/>
                <w:sz w:val="18"/>
                <w:szCs w:val="18"/>
              </w:rPr>
              <w:t>Caution</w:t>
            </w:r>
            <w:r w:rsidRPr="00D54D24">
              <w:rPr>
                <w:rFonts w:ascii="Arial" w:hAnsi="Arial" w:cs="Arial"/>
                <w:spacing w:val="-2"/>
                <w:sz w:val="18"/>
                <w:szCs w:val="18"/>
              </w:rPr>
              <w:t xml:space="preserve"> </w:t>
            </w:r>
            <w:r w:rsidRPr="00D54D24">
              <w:rPr>
                <w:rFonts w:ascii="Arial" w:hAnsi="Arial" w:cs="Arial"/>
                <w:sz w:val="18"/>
                <w:szCs w:val="18"/>
              </w:rPr>
              <w:t>and</w:t>
            </w:r>
            <w:r w:rsidRPr="00D54D24">
              <w:rPr>
                <w:rFonts w:ascii="Arial" w:hAnsi="Arial" w:cs="Arial"/>
                <w:spacing w:val="-2"/>
                <w:sz w:val="18"/>
                <w:szCs w:val="18"/>
              </w:rPr>
              <w:t xml:space="preserve"> </w:t>
            </w:r>
            <w:r w:rsidRPr="00D54D24">
              <w:rPr>
                <w:rFonts w:ascii="Arial" w:hAnsi="Arial" w:cs="Arial"/>
                <w:sz w:val="18"/>
                <w:szCs w:val="18"/>
              </w:rPr>
              <w:t>warning</w:t>
            </w:r>
          </w:p>
        </w:tc>
        <w:tc>
          <w:tcPr>
            <w:tcW w:w="6660" w:type="dxa"/>
          </w:tcPr>
          <w:p w14:paraId="74716A0F" w14:textId="77777777" w:rsidR="00D54D24" w:rsidRPr="00D54D24" w:rsidRDefault="00D54D24" w:rsidP="00D54D24">
            <w:pPr>
              <w:pStyle w:val="TableParagraph"/>
              <w:spacing w:line="226" w:lineRule="exact"/>
              <w:rPr>
                <w:rFonts w:ascii="Arial" w:hAnsi="Arial" w:cs="Arial"/>
                <w:sz w:val="18"/>
                <w:szCs w:val="18"/>
              </w:rPr>
            </w:pPr>
            <w:r w:rsidRPr="00D54D24">
              <w:rPr>
                <w:rFonts w:ascii="Arial" w:hAnsi="Arial" w:cs="Arial"/>
                <w:sz w:val="18"/>
                <w:szCs w:val="18"/>
              </w:rPr>
              <w:t>Operational</w:t>
            </w:r>
            <w:r w:rsidRPr="00D54D24">
              <w:rPr>
                <w:rFonts w:ascii="Arial" w:hAnsi="Arial" w:cs="Arial"/>
                <w:spacing w:val="-3"/>
                <w:sz w:val="18"/>
                <w:szCs w:val="18"/>
              </w:rPr>
              <w:t xml:space="preserve"> </w:t>
            </w:r>
            <w:r w:rsidRPr="00D54D24">
              <w:rPr>
                <w:rFonts w:ascii="Arial" w:hAnsi="Arial" w:cs="Arial"/>
                <w:sz w:val="18"/>
                <w:szCs w:val="18"/>
              </w:rPr>
              <w:t>check</w:t>
            </w:r>
            <w:r w:rsidRPr="00D54D24">
              <w:rPr>
                <w:rFonts w:ascii="Arial" w:hAnsi="Arial" w:cs="Arial"/>
                <w:spacing w:val="-2"/>
                <w:sz w:val="18"/>
                <w:szCs w:val="18"/>
              </w:rPr>
              <w:t xml:space="preserve"> </w:t>
            </w:r>
            <w:r w:rsidRPr="00D54D24">
              <w:rPr>
                <w:rFonts w:ascii="Arial" w:hAnsi="Arial" w:cs="Arial"/>
                <w:sz w:val="18"/>
                <w:szCs w:val="18"/>
              </w:rPr>
              <w:t>of</w:t>
            </w:r>
            <w:r w:rsidRPr="00D54D24">
              <w:rPr>
                <w:rFonts w:ascii="Arial" w:hAnsi="Arial" w:cs="Arial"/>
                <w:spacing w:val="-4"/>
                <w:sz w:val="18"/>
                <w:szCs w:val="18"/>
              </w:rPr>
              <w:t xml:space="preserve"> </w:t>
            </w:r>
            <w:r w:rsidRPr="00D54D24">
              <w:rPr>
                <w:rFonts w:ascii="Arial" w:hAnsi="Arial" w:cs="Arial"/>
                <w:sz w:val="18"/>
                <w:szCs w:val="18"/>
              </w:rPr>
              <w:t>cautions</w:t>
            </w:r>
            <w:r w:rsidRPr="00D54D24">
              <w:rPr>
                <w:rFonts w:ascii="Arial" w:hAnsi="Arial" w:cs="Arial"/>
                <w:spacing w:val="-3"/>
                <w:sz w:val="18"/>
                <w:szCs w:val="18"/>
              </w:rPr>
              <w:t xml:space="preserve"> </w:t>
            </w:r>
            <w:r w:rsidRPr="00D54D24">
              <w:rPr>
                <w:rFonts w:ascii="Arial" w:hAnsi="Arial" w:cs="Arial"/>
                <w:sz w:val="18"/>
                <w:szCs w:val="18"/>
              </w:rPr>
              <w:t>and</w:t>
            </w:r>
            <w:r w:rsidRPr="00D54D24">
              <w:rPr>
                <w:rFonts w:ascii="Arial" w:hAnsi="Arial" w:cs="Arial"/>
                <w:spacing w:val="-2"/>
                <w:sz w:val="18"/>
                <w:szCs w:val="18"/>
              </w:rPr>
              <w:t xml:space="preserve"> </w:t>
            </w:r>
            <w:r w:rsidRPr="00D54D24">
              <w:rPr>
                <w:rFonts w:ascii="Arial" w:hAnsi="Arial" w:cs="Arial"/>
                <w:sz w:val="18"/>
                <w:szCs w:val="18"/>
              </w:rPr>
              <w:t>warnings</w:t>
            </w:r>
            <w:r w:rsidRPr="00D54D24">
              <w:rPr>
                <w:rFonts w:ascii="Arial" w:hAnsi="Arial" w:cs="Arial"/>
                <w:spacing w:val="-4"/>
                <w:sz w:val="18"/>
                <w:szCs w:val="18"/>
              </w:rPr>
              <w:t xml:space="preserve"> </w:t>
            </w:r>
            <w:r w:rsidRPr="00D54D24">
              <w:rPr>
                <w:rFonts w:ascii="Arial" w:hAnsi="Arial" w:cs="Arial"/>
                <w:sz w:val="18"/>
                <w:szCs w:val="18"/>
              </w:rPr>
              <w:t>lights.</w:t>
            </w:r>
          </w:p>
        </w:tc>
      </w:tr>
    </w:tbl>
    <w:p w14:paraId="720A2D65" w14:textId="77777777" w:rsidR="00D54D24" w:rsidRDefault="00D54D24" w:rsidP="00D54D24">
      <w:pPr>
        <w:rPr>
          <w:rFonts w:ascii="Arial" w:eastAsia="Times New Roman" w:hAnsi="Arial" w:cs="Times New Roman"/>
          <w:sz w:val="20"/>
        </w:rPr>
      </w:pPr>
    </w:p>
    <w:p w14:paraId="1470C8B9" w14:textId="77777777" w:rsidR="00AD338D" w:rsidRPr="00276D5E" w:rsidRDefault="00AD338D" w:rsidP="00AD338D">
      <w:pPr>
        <w:spacing w:before="1"/>
        <w:ind w:left="878" w:right="939"/>
        <w:jc w:val="center"/>
        <w:rPr>
          <w:rFonts w:ascii="Arial" w:hAnsi="Arial" w:cs="Arial"/>
          <w:b/>
          <w:sz w:val="20"/>
        </w:rPr>
      </w:pPr>
      <w:r w:rsidRPr="00276D5E">
        <w:rPr>
          <w:rFonts w:ascii="Arial" w:hAnsi="Arial" w:cs="Arial"/>
          <w:b/>
          <w:sz w:val="20"/>
        </w:rPr>
        <w:t>MIP</w:t>
      </w:r>
      <w:r w:rsidRPr="00276D5E">
        <w:rPr>
          <w:rFonts w:ascii="Arial" w:hAnsi="Arial" w:cs="Arial"/>
          <w:b/>
          <w:spacing w:val="-3"/>
          <w:sz w:val="20"/>
        </w:rPr>
        <w:t xml:space="preserve"> </w:t>
      </w:r>
      <w:r w:rsidRPr="00276D5E">
        <w:rPr>
          <w:rFonts w:ascii="Arial" w:hAnsi="Arial" w:cs="Arial"/>
          <w:b/>
          <w:sz w:val="20"/>
        </w:rPr>
        <w:t>for</w:t>
      </w:r>
      <w:r w:rsidRPr="00276D5E">
        <w:rPr>
          <w:rFonts w:ascii="Arial" w:hAnsi="Arial" w:cs="Arial"/>
          <w:b/>
          <w:spacing w:val="-2"/>
          <w:sz w:val="20"/>
        </w:rPr>
        <w:t xml:space="preserve"> </w:t>
      </w:r>
      <w:r w:rsidRPr="00276D5E">
        <w:rPr>
          <w:rFonts w:ascii="Arial" w:hAnsi="Arial" w:cs="Arial"/>
          <w:b/>
          <w:sz w:val="20"/>
        </w:rPr>
        <w:t>ELA2</w:t>
      </w:r>
      <w:r w:rsidRPr="00276D5E">
        <w:rPr>
          <w:rFonts w:ascii="Arial" w:hAnsi="Arial" w:cs="Arial"/>
          <w:b/>
          <w:spacing w:val="-3"/>
          <w:sz w:val="20"/>
        </w:rPr>
        <w:t xml:space="preserve"> </w:t>
      </w:r>
      <w:r w:rsidRPr="00276D5E">
        <w:rPr>
          <w:rFonts w:ascii="Arial" w:hAnsi="Arial" w:cs="Arial"/>
          <w:b/>
          <w:sz w:val="20"/>
        </w:rPr>
        <w:t>hot-air</w:t>
      </w:r>
      <w:r w:rsidRPr="00276D5E">
        <w:rPr>
          <w:rFonts w:ascii="Arial" w:hAnsi="Arial" w:cs="Arial"/>
          <w:b/>
          <w:spacing w:val="-2"/>
          <w:sz w:val="20"/>
        </w:rPr>
        <w:t xml:space="preserve"> </w:t>
      </w:r>
      <w:r w:rsidRPr="00276D5E">
        <w:rPr>
          <w:rFonts w:ascii="Arial" w:hAnsi="Arial" w:cs="Arial"/>
          <w:b/>
          <w:sz w:val="20"/>
        </w:rPr>
        <w:t>balloons</w:t>
      </w:r>
    </w:p>
    <w:p w14:paraId="45D129D0" w14:textId="77777777" w:rsidR="00AD338D" w:rsidRDefault="00AD338D" w:rsidP="00AD338D">
      <w:pPr>
        <w:rPr>
          <w:rFonts w:ascii="Arial" w:eastAsia="Times New Roman" w:hAnsi="Arial" w:cs="Times New Roman"/>
          <w:sz w:val="20"/>
        </w:rPr>
      </w:pPr>
    </w:p>
    <w:p w14:paraId="043DEAC8" w14:textId="77777777" w:rsidR="00AD338D" w:rsidRPr="00AD338D" w:rsidRDefault="00AD338D" w:rsidP="00AD338D">
      <w:pPr>
        <w:jc w:val="both"/>
        <w:rPr>
          <w:rFonts w:ascii="Arial" w:eastAsia="Times New Roman" w:hAnsi="Arial" w:cs="Times New Roman"/>
          <w:sz w:val="20"/>
        </w:rPr>
      </w:pPr>
      <w:r w:rsidRPr="00AD338D">
        <w:rPr>
          <w:rFonts w:ascii="Arial" w:eastAsia="Times New Roman" w:hAnsi="Arial" w:cs="Times New Roman"/>
          <w:sz w:val="20"/>
        </w:rPr>
        <w:t>To be performed at every 100-h/annual interval, whichever comes first.</w:t>
      </w:r>
    </w:p>
    <w:p w14:paraId="5664A271" w14:textId="77777777" w:rsidR="00AD338D" w:rsidRDefault="00AD338D" w:rsidP="00AD338D">
      <w:pPr>
        <w:jc w:val="both"/>
        <w:rPr>
          <w:rFonts w:ascii="Arial" w:eastAsia="Times New Roman" w:hAnsi="Arial" w:cs="Times New Roman"/>
          <w:sz w:val="20"/>
        </w:rPr>
      </w:pPr>
      <w:r w:rsidRPr="00AD338D">
        <w:rPr>
          <w:rFonts w:ascii="Arial" w:eastAsia="Times New Roman" w:hAnsi="Arial" w:cs="Times New Roman"/>
          <w:sz w:val="20"/>
        </w:rPr>
        <w:t>A tolerance of 1 month or 10 h may be applied. The next interval shall be calculated from the time the inspection takes place.</w:t>
      </w:r>
    </w:p>
    <w:p w14:paraId="6DB8B432" w14:textId="77777777" w:rsidR="00AD338D" w:rsidRPr="00AD338D" w:rsidRDefault="00AD338D" w:rsidP="00AD338D">
      <w:pPr>
        <w:jc w:val="both"/>
        <w:rPr>
          <w:rFonts w:ascii="Arial" w:eastAsia="Times New Roman" w:hAnsi="Arial" w:cs="Times New Roman"/>
          <w:sz w:val="20"/>
        </w:rPr>
      </w:pPr>
    </w:p>
    <w:p w14:paraId="61E5D8A0" w14:textId="77777777" w:rsidR="00AD338D" w:rsidRPr="00612EC5" w:rsidRDefault="00AD338D" w:rsidP="00AD338D">
      <w:pPr>
        <w:jc w:val="both"/>
        <w:rPr>
          <w:rFonts w:ascii="Arial" w:eastAsia="Times New Roman" w:hAnsi="Arial" w:cs="Times New Roman"/>
          <w:i/>
          <w:sz w:val="20"/>
        </w:rPr>
      </w:pPr>
      <w:r w:rsidRPr="00612EC5">
        <w:rPr>
          <w:rFonts w:ascii="Arial" w:eastAsia="Times New Roman" w:hAnsi="Arial" w:cs="Times New Roman"/>
          <w:i/>
          <w:sz w:val="20"/>
        </w:rPr>
        <w:t>Note 1: Use the manufacturer’s maintenance manual to accomplish each task/inspection.</w:t>
      </w:r>
    </w:p>
    <w:p w14:paraId="4E026B8F" w14:textId="5BE999C2" w:rsidR="00FD6E29" w:rsidRPr="003B7464" w:rsidRDefault="00AD338D" w:rsidP="00AD338D">
      <w:pPr>
        <w:jc w:val="both"/>
        <w:rPr>
          <w:rFonts w:ascii="Arial" w:eastAsia="Times New Roman" w:hAnsi="Arial" w:cs="Times New Roman"/>
          <w:i/>
          <w:sz w:val="20"/>
        </w:rPr>
      </w:pPr>
      <w:r w:rsidRPr="00612EC5">
        <w:rPr>
          <w:rFonts w:ascii="Arial" w:eastAsia="Times New Roman" w:hAnsi="Arial" w:cs="Times New Roman"/>
          <w:i/>
          <w:sz w:val="20"/>
        </w:rPr>
        <w:t>Note 2: Proper operation of backup or secondary systems and components should be carried out wherever a check for improper installation/operation is performed.</w:t>
      </w:r>
    </w:p>
    <w:p w14:paraId="4DE53254" w14:textId="77777777" w:rsidR="00FD6E29" w:rsidRPr="00AD338D" w:rsidRDefault="00FD6E29" w:rsidP="00AD338D">
      <w:pPr>
        <w:jc w:val="both"/>
        <w:rPr>
          <w:rFonts w:ascii="Arial" w:eastAsia="Times New Roman" w:hAnsi="Arial" w:cs="Times New Roman"/>
          <w:sz w:val="20"/>
        </w:rPr>
      </w:pPr>
    </w:p>
    <w:p w14:paraId="6CC89123" w14:textId="77777777" w:rsidR="00AD338D" w:rsidRPr="00FD6E29" w:rsidRDefault="00AD338D" w:rsidP="00D54D24">
      <w:pPr>
        <w:numPr>
          <w:ilvl w:val="0"/>
          <w:numId w:val="295"/>
        </w:numPr>
        <w:jc w:val="both"/>
        <w:rPr>
          <w:rFonts w:ascii="Arial" w:eastAsia="Times New Roman" w:hAnsi="Arial" w:cs="Times New Roman"/>
          <w:sz w:val="20"/>
        </w:rPr>
      </w:pPr>
      <w:r w:rsidRPr="00AD338D">
        <w:rPr>
          <w:rFonts w:ascii="Arial" w:eastAsia="Times New Roman" w:hAnsi="Arial" w:cs="Times New Roman"/>
          <w:sz w:val="20"/>
        </w:rPr>
        <w:t>Envelope</w:t>
      </w:r>
    </w:p>
    <w:tbl>
      <w:tblPr>
        <w:tblStyle w:val="TableGrid31"/>
        <w:tblW w:w="8995" w:type="dxa"/>
        <w:tblLayout w:type="fixed"/>
        <w:tblLook w:val="01E0" w:firstRow="1" w:lastRow="1" w:firstColumn="1" w:lastColumn="1" w:noHBand="0" w:noVBand="0"/>
      </w:tblPr>
      <w:tblGrid>
        <w:gridCol w:w="2424"/>
        <w:gridCol w:w="6571"/>
      </w:tblGrid>
      <w:tr w:rsidR="00AD338D" w:rsidRPr="00276D5E" w14:paraId="1608AE50" w14:textId="77777777" w:rsidTr="004127B5">
        <w:trPr>
          <w:trHeight w:val="200"/>
        </w:trPr>
        <w:tc>
          <w:tcPr>
            <w:tcW w:w="2424" w:type="dxa"/>
            <w:shd w:val="clear" w:color="auto" w:fill="F2F2F2" w:themeFill="background1" w:themeFillShade="F2"/>
          </w:tcPr>
          <w:p w14:paraId="6574D6A3" w14:textId="77777777" w:rsidR="00AD338D" w:rsidRPr="00AD338D" w:rsidRDefault="00AD338D" w:rsidP="000B112D">
            <w:pPr>
              <w:pStyle w:val="TableParagraph"/>
              <w:spacing w:line="224" w:lineRule="exact"/>
              <w:ind w:left="86"/>
              <w:rPr>
                <w:rFonts w:ascii="Arial" w:hAnsi="Arial" w:cs="Arial"/>
                <w:b/>
                <w:sz w:val="18"/>
              </w:rPr>
            </w:pPr>
            <w:r w:rsidRPr="00AD338D">
              <w:rPr>
                <w:rFonts w:ascii="Arial" w:hAnsi="Arial" w:cs="Arial"/>
                <w:b/>
                <w:sz w:val="18"/>
              </w:rPr>
              <w:t>System/component/area</w:t>
            </w:r>
          </w:p>
        </w:tc>
        <w:tc>
          <w:tcPr>
            <w:tcW w:w="6571" w:type="dxa"/>
            <w:shd w:val="clear" w:color="auto" w:fill="F2F2F2" w:themeFill="background1" w:themeFillShade="F2"/>
          </w:tcPr>
          <w:p w14:paraId="4E5B0CD9" w14:textId="77777777" w:rsidR="00AD338D" w:rsidRPr="00AD338D" w:rsidRDefault="00AD338D" w:rsidP="000B112D">
            <w:pPr>
              <w:pStyle w:val="TableParagraph"/>
              <w:spacing w:line="224" w:lineRule="exact"/>
              <w:rPr>
                <w:rFonts w:ascii="Arial" w:hAnsi="Arial" w:cs="Arial"/>
                <w:b/>
                <w:sz w:val="18"/>
              </w:rPr>
            </w:pPr>
            <w:r w:rsidRPr="00AD338D">
              <w:rPr>
                <w:rFonts w:ascii="Arial" w:hAnsi="Arial" w:cs="Arial"/>
                <w:b/>
                <w:sz w:val="18"/>
              </w:rPr>
              <w:t>Task</w:t>
            </w:r>
            <w:r w:rsidRPr="00AD338D">
              <w:rPr>
                <w:rFonts w:ascii="Arial" w:hAnsi="Arial" w:cs="Arial"/>
                <w:b/>
                <w:spacing w:val="-3"/>
                <w:sz w:val="18"/>
              </w:rPr>
              <w:t xml:space="preserve"> </w:t>
            </w:r>
            <w:r w:rsidRPr="00AD338D">
              <w:rPr>
                <w:rFonts w:ascii="Arial" w:hAnsi="Arial" w:cs="Arial"/>
                <w:b/>
                <w:sz w:val="18"/>
              </w:rPr>
              <w:t>and</w:t>
            </w:r>
            <w:r w:rsidRPr="00AD338D">
              <w:rPr>
                <w:rFonts w:ascii="Arial" w:hAnsi="Arial" w:cs="Arial"/>
                <w:b/>
                <w:spacing w:val="-3"/>
                <w:sz w:val="18"/>
              </w:rPr>
              <w:t xml:space="preserve"> </w:t>
            </w:r>
            <w:r w:rsidRPr="00AD338D">
              <w:rPr>
                <w:rFonts w:ascii="Arial" w:hAnsi="Arial" w:cs="Arial"/>
                <w:b/>
                <w:sz w:val="18"/>
              </w:rPr>
              <w:t>inspection</w:t>
            </w:r>
            <w:r w:rsidRPr="00AD338D">
              <w:rPr>
                <w:rFonts w:ascii="Arial" w:hAnsi="Arial" w:cs="Arial"/>
                <w:b/>
                <w:spacing w:val="-1"/>
                <w:sz w:val="18"/>
              </w:rPr>
              <w:t xml:space="preserve"> </w:t>
            </w:r>
            <w:r w:rsidRPr="00AD338D">
              <w:rPr>
                <w:rFonts w:ascii="Arial" w:hAnsi="Arial" w:cs="Arial"/>
                <w:b/>
                <w:sz w:val="18"/>
              </w:rPr>
              <w:t>detail</w:t>
            </w:r>
          </w:p>
        </w:tc>
      </w:tr>
      <w:tr w:rsidR="00AD338D" w:rsidRPr="00276D5E" w14:paraId="2665193D" w14:textId="77777777" w:rsidTr="003B7464">
        <w:trPr>
          <w:trHeight w:val="445"/>
        </w:trPr>
        <w:tc>
          <w:tcPr>
            <w:tcW w:w="2424" w:type="dxa"/>
          </w:tcPr>
          <w:p w14:paraId="6613DF7E" w14:textId="77777777" w:rsidR="00AD338D" w:rsidRPr="00AD338D" w:rsidRDefault="00AD338D" w:rsidP="000B112D">
            <w:pPr>
              <w:pStyle w:val="TableParagraph"/>
              <w:ind w:left="86"/>
              <w:rPr>
                <w:rFonts w:ascii="Arial" w:hAnsi="Arial" w:cs="Arial"/>
                <w:sz w:val="18"/>
              </w:rPr>
            </w:pPr>
            <w:r w:rsidRPr="00AD338D">
              <w:rPr>
                <w:rFonts w:ascii="Arial" w:hAnsi="Arial" w:cs="Arial"/>
                <w:sz w:val="18"/>
              </w:rPr>
              <w:t>Identification</w:t>
            </w:r>
            <w:r w:rsidRPr="00AD338D">
              <w:rPr>
                <w:rFonts w:ascii="Arial" w:hAnsi="Arial" w:cs="Arial"/>
                <w:spacing w:val="-5"/>
                <w:sz w:val="18"/>
              </w:rPr>
              <w:t xml:space="preserve"> </w:t>
            </w:r>
            <w:r w:rsidRPr="00AD338D">
              <w:rPr>
                <w:rFonts w:ascii="Arial" w:hAnsi="Arial" w:cs="Arial"/>
                <w:sz w:val="18"/>
              </w:rPr>
              <w:t>(type/serial</w:t>
            </w:r>
          </w:p>
          <w:p w14:paraId="2371D9F7" w14:textId="77777777" w:rsidR="00AD338D" w:rsidRPr="00AD338D" w:rsidRDefault="00AD338D" w:rsidP="000B112D">
            <w:pPr>
              <w:pStyle w:val="TableParagraph"/>
              <w:spacing w:before="1" w:line="222" w:lineRule="exact"/>
              <w:ind w:left="86"/>
              <w:rPr>
                <w:rFonts w:ascii="Arial" w:hAnsi="Arial" w:cs="Arial"/>
                <w:sz w:val="18"/>
              </w:rPr>
            </w:pPr>
            <w:r w:rsidRPr="00AD338D">
              <w:rPr>
                <w:rFonts w:ascii="Arial" w:hAnsi="Arial" w:cs="Arial"/>
                <w:sz w:val="18"/>
              </w:rPr>
              <w:t>number/registration</w:t>
            </w:r>
            <w:r w:rsidRPr="00AD338D">
              <w:rPr>
                <w:rFonts w:ascii="Arial" w:hAnsi="Arial" w:cs="Arial"/>
                <w:spacing w:val="-5"/>
                <w:sz w:val="18"/>
              </w:rPr>
              <w:t xml:space="preserve"> </w:t>
            </w:r>
            <w:r w:rsidRPr="00AD338D">
              <w:rPr>
                <w:rFonts w:ascii="Arial" w:hAnsi="Arial" w:cs="Arial"/>
                <w:sz w:val="18"/>
              </w:rPr>
              <w:t>plate)</w:t>
            </w:r>
          </w:p>
        </w:tc>
        <w:tc>
          <w:tcPr>
            <w:tcW w:w="6571" w:type="dxa"/>
          </w:tcPr>
          <w:p w14:paraId="61C38F80" w14:textId="77777777" w:rsidR="00AD338D" w:rsidRPr="00AD338D" w:rsidRDefault="00AD338D" w:rsidP="000B112D">
            <w:pPr>
              <w:pStyle w:val="TableParagraph"/>
              <w:rPr>
                <w:rFonts w:ascii="Arial" w:hAnsi="Arial" w:cs="Arial"/>
                <w:sz w:val="18"/>
              </w:rPr>
            </w:pPr>
            <w:r w:rsidRPr="00AD338D">
              <w:rPr>
                <w:rFonts w:ascii="Arial" w:hAnsi="Arial" w:cs="Arial"/>
                <w:sz w:val="18"/>
              </w:rPr>
              <w:t>Check</w:t>
            </w:r>
            <w:r w:rsidRPr="00AD338D">
              <w:rPr>
                <w:rFonts w:ascii="Arial" w:hAnsi="Arial" w:cs="Arial"/>
                <w:spacing w:val="-4"/>
                <w:sz w:val="18"/>
              </w:rPr>
              <w:t xml:space="preserve"> </w:t>
            </w:r>
            <w:r w:rsidRPr="00AD338D">
              <w:rPr>
                <w:rFonts w:ascii="Arial" w:hAnsi="Arial" w:cs="Arial"/>
                <w:sz w:val="18"/>
              </w:rPr>
              <w:t>for</w:t>
            </w:r>
            <w:r w:rsidRPr="00AD338D">
              <w:rPr>
                <w:rFonts w:ascii="Arial" w:hAnsi="Arial" w:cs="Arial"/>
                <w:spacing w:val="-3"/>
                <w:sz w:val="18"/>
              </w:rPr>
              <w:t xml:space="preserve"> </w:t>
            </w:r>
            <w:r w:rsidRPr="00AD338D">
              <w:rPr>
                <w:rFonts w:ascii="Arial" w:hAnsi="Arial" w:cs="Arial"/>
                <w:sz w:val="18"/>
              </w:rPr>
              <w:t>presence.</w:t>
            </w:r>
          </w:p>
        </w:tc>
      </w:tr>
      <w:tr w:rsidR="00AD338D" w:rsidRPr="00276D5E" w14:paraId="5B281D34" w14:textId="77777777" w:rsidTr="003B7464">
        <w:trPr>
          <w:trHeight w:val="202"/>
        </w:trPr>
        <w:tc>
          <w:tcPr>
            <w:tcW w:w="2424" w:type="dxa"/>
          </w:tcPr>
          <w:p w14:paraId="0F85F6AE" w14:textId="77777777" w:rsidR="00AD338D" w:rsidRPr="00AD338D" w:rsidRDefault="00AD338D" w:rsidP="000B112D">
            <w:pPr>
              <w:pStyle w:val="TableParagraph"/>
              <w:spacing w:line="225" w:lineRule="exact"/>
              <w:ind w:left="86"/>
              <w:rPr>
                <w:rFonts w:ascii="Arial" w:hAnsi="Arial" w:cs="Arial"/>
                <w:sz w:val="18"/>
              </w:rPr>
            </w:pPr>
            <w:r w:rsidRPr="00AD338D">
              <w:rPr>
                <w:rFonts w:ascii="Arial" w:hAnsi="Arial" w:cs="Arial"/>
                <w:sz w:val="18"/>
              </w:rPr>
              <w:t>Crown</w:t>
            </w:r>
            <w:r w:rsidRPr="00AD338D">
              <w:rPr>
                <w:rFonts w:ascii="Arial" w:hAnsi="Arial" w:cs="Arial"/>
                <w:spacing w:val="-3"/>
                <w:sz w:val="18"/>
              </w:rPr>
              <w:t xml:space="preserve"> </w:t>
            </w:r>
            <w:r w:rsidRPr="00AD338D">
              <w:rPr>
                <w:rFonts w:ascii="Arial" w:hAnsi="Arial" w:cs="Arial"/>
                <w:sz w:val="18"/>
              </w:rPr>
              <w:t>ring</w:t>
            </w:r>
          </w:p>
        </w:tc>
        <w:tc>
          <w:tcPr>
            <w:tcW w:w="6571" w:type="dxa"/>
          </w:tcPr>
          <w:p w14:paraId="2155298F" w14:textId="77777777" w:rsidR="00AD338D" w:rsidRPr="00AD338D" w:rsidRDefault="00AD338D" w:rsidP="000B112D">
            <w:pPr>
              <w:pStyle w:val="TableParagraph"/>
              <w:spacing w:line="225" w:lineRule="exact"/>
              <w:rPr>
                <w:rFonts w:ascii="Arial" w:hAnsi="Arial" w:cs="Arial"/>
                <w:sz w:val="18"/>
              </w:rPr>
            </w:pPr>
            <w:r w:rsidRPr="00AD338D">
              <w:rPr>
                <w:rFonts w:ascii="Arial" w:hAnsi="Arial" w:cs="Arial"/>
                <w:sz w:val="18"/>
              </w:rPr>
              <w:t>Inspect</w:t>
            </w:r>
            <w:r w:rsidRPr="00AD338D">
              <w:rPr>
                <w:rFonts w:ascii="Arial" w:hAnsi="Arial" w:cs="Arial"/>
                <w:spacing w:val="-4"/>
                <w:sz w:val="18"/>
              </w:rPr>
              <w:t xml:space="preserve"> </w:t>
            </w:r>
            <w:r w:rsidRPr="00AD338D">
              <w:rPr>
                <w:rFonts w:ascii="Arial" w:hAnsi="Arial" w:cs="Arial"/>
                <w:sz w:val="18"/>
              </w:rPr>
              <w:t>for</w:t>
            </w:r>
            <w:r w:rsidRPr="00AD338D">
              <w:rPr>
                <w:rFonts w:ascii="Arial" w:hAnsi="Arial" w:cs="Arial"/>
                <w:spacing w:val="-4"/>
                <w:sz w:val="18"/>
              </w:rPr>
              <w:t xml:space="preserve"> </w:t>
            </w:r>
            <w:r w:rsidRPr="00AD338D">
              <w:rPr>
                <w:rFonts w:ascii="Arial" w:hAnsi="Arial" w:cs="Arial"/>
                <w:sz w:val="18"/>
              </w:rPr>
              <w:t>damage/corrosion.</w:t>
            </w:r>
          </w:p>
        </w:tc>
      </w:tr>
      <w:tr w:rsidR="00AD338D" w:rsidRPr="00276D5E" w14:paraId="3570C15F" w14:textId="77777777" w:rsidTr="003B7464">
        <w:trPr>
          <w:trHeight w:val="199"/>
        </w:trPr>
        <w:tc>
          <w:tcPr>
            <w:tcW w:w="2424" w:type="dxa"/>
          </w:tcPr>
          <w:p w14:paraId="2CF52DF5" w14:textId="77777777" w:rsidR="00AD338D" w:rsidRPr="00AD338D" w:rsidRDefault="00AD338D" w:rsidP="000B112D">
            <w:pPr>
              <w:pStyle w:val="TableParagraph"/>
              <w:spacing w:line="223" w:lineRule="exact"/>
              <w:ind w:left="86"/>
              <w:rPr>
                <w:rFonts w:ascii="Arial" w:hAnsi="Arial" w:cs="Arial"/>
                <w:sz w:val="18"/>
              </w:rPr>
            </w:pPr>
            <w:r w:rsidRPr="00AD338D">
              <w:rPr>
                <w:rFonts w:ascii="Arial" w:hAnsi="Arial" w:cs="Arial"/>
                <w:sz w:val="18"/>
              </w:rPr>
              <w:t>Crown</w:t>
            </w:r>
            <w:r w:rsidRPr="00AD338D">
              <w:rPr>
                <w:rFonts w:ascii="Arial" w:hAnsi="Arial" w:cs="Arial"/>
                <w:spacing w:val="-3"/>
                <w:sz w:val="18"/>
              </w:rPr>
              <w:t xml:space="preserve"> </w:t>
            </w:r>
            <w:r w:rsidRPr="00AD338D">
              <w:rPr>
                <w:rFonts w:ascii="Arial" w:hAnsi="Arial" w:cs="Arial"/>
                <w:sz w:val="18"/>
              </w:rPr>
              <w:t>line</w:t>
            </w:r>
          </w:p>
        </w:tc>
        <w:tc>
          <w:tcPr>
            <w:tcW w:w="6571" w:type="dxa"/>
          </w:tcPr>
          <w:p w14:paraId="54F0D037" w14:textId="77777777" w:rsidR="00AD338D" w:rsidRPr="00AD338D" w:rsidRDefault="00AD338D" w:rsidP="000B112D">
            <w:pPr>
              <w:pStyle w:val="TableParagraph"/>
              <w:spacing w:line="223" w:lineRule="exact"/>
              <w:rPr>
                <w:rFonts w:ascii="Arial" w:hAnsi="Arial" w:cs="Arial"/>
                <w:sz w:val="18"/>
              </w:rPr>
            </w:pPr>
            <w:r w:rsidRPr="00AD338D">
              <w:rPr>
                <w:rFonts w:ascii="Arial" w:hAnsi="Arial" w:cs="Arial"/>
                <w:sz w:val="18"/>
              </w:rPr>
              <w:t>Inspect</w:t>
            </w:r>
            <w:r w:rsidRPr="00AD338D">
              <w:rPr>
                <w:rFonts w:ascii="Arial" w:hAnsi="Arial" w:cs="Arial"/>
                <w:spacing w:val="-3"/>
                <w:sz w:val="18"/>
              </w:rPr>
              <w:t xml:space="preserve"> </w:t>
            </w:r>
            <w:r w:rsidRPr="00AD338D">
              <w:rPr>
                <w:rFonts w:ascii="Arial" w:hAnsi="Arial" w:cs="Arial"/>
                <w:sz w:val="18"/>
              </w:rPr>
              <w:t>for</w:t>
            </w:r>
            <w:r w:rsidRPr="00AD338D">
              <w:rPr>
                <w:rFonts w:ascii="Arial" w:hAnsi="Arial" w:cs="Arial"/>
                <w:spacing w:val="-3"/>
                <w:sz w:val="18"/>
              </w:rPr>
              <w:t xml:space="preserve"> </w:t>
            </w:r>
            <w:r w:rsidRPr="00AD338D">
              <w:rPr>
                <w:rFonts w:ascii="Arial" w:hAnsi="Arial" w:cs="Arial"/>
                <w:sz w:val="18"/>
              </w:rPr>
              <w:t>damage,</w:t>
            </w:r>
            <w:r w:rsidRPr="00AD338D">
              <w:rPr>
                <w:rFonts w:ascii="Arial" w:hAnsi="Arial" w:cs="Arial"/>
                <w:spacing w:val="-2"/>
                <w:sz w:val="18"/>
              </w:rPr>
              <w:t xml:space="preserve"> </w:t>
            </w:r>
            <w:r w:rsidRPr="00AD338D">
              <w:rPr>
                <w:rFonts w:ascii="Arial" w:hAnsi="Arial" w:cs="Arial"/>
                <w:sz w:val="18"/>
              </w:rPr>
              <w:t>wear,</w:t>
            </w:r>
            <w:r w:rsidRPr="00AD338D">
              <w:rPr>
                <w:rFonts w:ascii="Arial" w:hAnsi="Arial" w:cs="Arial"/>
                <w:spacing w:val="2"/>
                <w:sz w:val="18"/>
              </w:rPr>
              <w:t xml:space="preserve"> </w:t>
            </w:r>
            <w:r w:rsidRPr="00AD338D">
              <w:rPr>
                <w:rFonts w:ascii="Arial" w:hAnsi="Arial" w:cs="Arial"/>
                <w:sz w:val="18"/>
              </w:rPr>
              <w:t>security</w:t>
            </w:r>
            <w:r w:rsidRPr="00AD338D">
              <w:rPr>
                <w:rFonts w:ascii="Arial" w:hAnsi="Arial" w:cs="Arial"/>
                <w:spacing w:val="-2"/>
                <w:sz w:val="18"/>
              </w:rPr>
              <w:t xml:space="preserve"> </w:t>
            </w:r>
            <w:r w:rsidRPr="00AD338D">
              <w:rPr>
                <w:rFonts w:ascii="Arial" w:hAnsi="Arial" w:cs="Arial"/>
                <w:sz w:val="18"/>
              </w:rPr>
              <w:t>of</w:t>
            </w:r>
            <w:r w:rsidRPr="00AD338D">
              <w:rPr>
                <w:rFonts w:ascii="Arial" w:hAnsi="Arial" w:cs="Arial"/>
                <w:spacing w:val="-5"/>
                <w:sz w:val="18"/>
              </w:rPr>
              <w:t xml:space="preserve"> </w:t>
            </w:r>
            <w:r w:rsidRPr="00AD338D">
              <w:rPr>
                <w:rFonts w:ascii="Arial" w:hAnsi="Arial" w:cs="Arial"/>
                <w:sz w:val="18"/>
              </w:rPr>
              <w:t>attachment.</w:t>
            </w:r>
            <w:r w:rsidRPr="00AD338D">
              <w:rPr>
                <w:rFonts w:ascii="Arial" w:hAnsi="Arial" w:cs="Arial"/>
                <w:spacing w:val="-2"/>
                <w:sz w:val="18"/>
              </w:rPr>
              <w:t xml:space="preserve"> </w:t>
            </w:r>
            <w:r w:rsidRPr="00AD338D">
              <w:rPr>
                <w:rFonts w:ascii="Arial" w:hAnsi="Arial" w:cs="Arial"/>
                <w:sz w:val="18"/>
              </w:rPr>
              <w:t>Check</w:t>
            </w:r>
            <w:r w:rsidRPr="00AD338D">
              <w:rPr>
                <w:rFonts w:ascii="Arial" w:hAnsi="Arial" w:cs="Arial"/>
                <w:spacing w:val="-3"/>
                <w:sz w:val="18"/>
              </w:rPr>
              <w:t xml:space="preserve"> </w:t>
            </w:r>
            <w:r w:rsidRPr="00AD338D">
              <w:rPr>
                <w:rFonts w:ascii="Arial" w:hAnsi="Arial" w:cs="Arial"/>
                <w:sz w:val="18"/>
              </w:rPr>
              <w:t>correct</w:t>
            </w:r>
            <w:r w:rsidRPr="00AD338D">
              <w:rPr>
                <w:rFonts w:ascii="Arial" w:hAnsi="Arial" w:cs="Arial"/>
                <w:spacing w:val="-2"/>
                <w:sz w:val="18"/>
              </w:rPr>
              <w:t xml:space="preserve"> </w:t>
            </w:r>
            <w:r w:rsidRPr="00AD338D">
              <w:rPr>
                <w:rFonts w:ascii="Arial" w:hAnsi="Arial" w:cs="Arial"/>
                <w:sz w:val="18"/>
              </w:rPr>
              <w:t>length.</w:t>
            </w:r>
          </w:p>
        </w:tc>
      </w:tr>
      <w:tr w:rsidR="00AD338D" w:rsidRPr="00276D5E" w14:paraId="7C51AFF8" w14:textId="77777777" w:rsidTr="003B7464">
        <w:trPr>
          <w:trHeight w:val="934"/>
        </w:trPr>
        <w:tc>
          <w:tcPr>
            <w:tcW w:w="2424" w:type="dxa"/>
          </w:tcPr>
          <w:p w14:paraId="41B728DC" w14:textId="77777777" w:rsidR="00AD338D" w:rsidRPr="00AD338D" w:rsidRDefault="00AD338D" w:rsidP="000B112D">
            <w:pPr>
              <w:pStyle w:val="TableParagraph"/>
              <w:ind w:left="86"/>
              <w:rPr>
                <w:rFonts w:ascii="Arial" w:hAnsi="Arial" w:cs="Arial"/>
                <w:sz w:val="18"/>
              </w:rPr>
            </w:pPr>
            <w:r w:rsidRPr="00AD338D">
              <w:rPr>
                <w:rFonts w:ascii="Arial" w:hAnsi="Arial" w:cs="Arial"/>
                <w:sz w:val="18"/>
              </w:rPr>
              <w:t>Vertical-/horizontal-load</w:t>
            </w:r>
            <w:r w:rsidRPr="00AD338D">
              <w:rPr>
                <w:rFonts w:ascii="Arial" w:hAnsi="Arial" w:cs="Arial"/>
                <w:spacing w:val="-43"/>
                <w:sz w:val="18"/>
              </w:rPr>
              <w:t xml:space="preserve"> </w:t>
            </w:r>
            <w:r w:rsidRPr="00AD338D">
              <w:rPr>
                <w:rFonts w:ascii="Arial" w:hAnsi="Arial" w:cs="Arial"/>
                <w:sz w:val="18"/>
              </w:rPr>
              <w:t>tapes</w:t>
            </w:r>
          </w:p>
        </w:tc>
        <w:tc>
          <w:tcPr>
            <w:tcW w:w="6571" w:type="dxa"/>
          </w:tcPr>
          <w:p w14:paraId="733967D8" w14:textId="75AA717D" w:rsidR="00AD338D" w:rsidRPr="00AD338D" w:rsidRDefault="00AD338D" w:rsidP="004127B5">
            <w:pPr>
              <w:pStyle w:val="TableParagraph"/>
              <w:ind w:right="151"/>
              <w:rPr>
                <w:rFonts w:ascii="Arial" w:hAnsi="Arial" w:cs="Arial"/>
                <w:sz w:val="18"/>
              </w:rPr>
            </w:pPr>
            <w:r w:rsidRPr="00AD338D">
              <w:rPr>
                <w:rFonts w:ascii="Arial" w:hAnsi="Arial" w:cs="Arial"/>
                <w:sz w:val="18"/>
              </w:rPr>
              <w:t>Inspect joints with the crown ring, top of the envelope and wires.</w:t>
            </w:r>
            <w:r w:rsidRPr="00AD338D">
              <w:rPr>
                <w:rFonts w:ascii="Arial" w:hAnsi="Arial" w:cs="Arial"/>
                <w:spacing w:val="1"/>
                <w:sz w:val="18"/>
              </w:rPr>
              <w:t xml:space="preserve"> </w:t>
            </w:r>
            <w:r w:rsidRPr="00AD338D">
              <w:rPr>
                <w:rFonts w:ascii="Arial" w:hAnsi="Arial" w:cs="Arial"/>
                <w:sz w:val="18"/>
              </w:rPr>
              <w:t>Inspect that all load tapes are undamaged along their entire length.</w:t>
            </w:r>
            <w:r w:rsidRPr="00AD338D">
              <w:rPr>
                <w:rFonts w:ascii="Arial" w:hAnsi="Arial" w:cs="Arial"/>
                <w:spacing w:val="1"/>
                <w:sz w:val="18"/>
              </w:rPr>
              <w:t xml:space="preserve"> </w:t>
            </w:r>
            <w:r w:rsidRPr="00AD338D">
              <w:rPr>
                <w:rFonts w:ascii="Arial" w:hAnsi="Arial" w:cs="Arial"/>
                <w:sz w:val="18"/>
              </w:rPr>
              <w:t>Inspect</w:t>
            </w:r>
            <w:r w:rsidRPr="00AD338D">
              <w:rPr>
                <w:rFonts w:ascii="Arial" w:hAnsi="Arial" w:cs="Arial"/>
                <w:spacing w:val="-2"/>
                <w:sz w:val="18"/>
              </w:rPr>
              <w:t xml:space="preserve"> </w:t>
            </w:r>
            <w:r w:rsidRPr="00AD338D">
              <w:rPr>
                <w:rFonts w:ascii="Arial" w:hAnsi="Arial" w:cs="Arial"/>
                <w:sz w:val="18"/>
              </w:rPr>
              <w:t>base</w:t>
            </w:r>
            <w:r w:rsidRPr="00AD338D">
              <w:rPr>
                <w:rFonts w:ascii="Arial" w:hAnsi="Arial" w:cs="Arial"/>
                <w:spacing w:val="-4"/>
                <w:sz w:val="18"/>
              </w:rPr>
              <w:t xml:space="preserve"> </w:t>
            </w:r>
            <w:r w:rsidRPr="00AD338D">
              <w:rPr>
                <w:rFonts w:ascii="Arial" w:hAnsi="Arial" w:cs="Arial"/>
                <w:sz w:val="18"/>
              </w:rPr>
              <w:t>horizontal</w:t>
            </w:r>
            <w:r w:rsidRPr="00AD338D">
              <w:rPr>
                <w:rFonts w:ascii="Arial" w:hAnsi="Arial" w:cs="Arial"/>
                <w:spacing w:val="-2"/>
                <w:sz w:val="18"/>
              </w:rPr>
              <w:t xml:space="preserve"> </w:t>
            </w:r>
            <w:r w:rsidRPr="00AD338D">
              <w:rPr>
                <w:rFonts w:ascii="Arial" w:hAnsi="Arial" w:cs="Arial"/>
                <w:sz w:val="18"/>
              </w:rPr>
              <w:t>tape</w:t>
            </w:r>
            <w:r w:rsidRPr="00AD338D">
              <w:rPr>
                <w:rFonts w:ascii="Arial" w:hAnsi="Arial" w:cs="Arial"/>
                <w:spacing w:val="-3"/>
                <w:sz w:val="18"/>
              </w:rPr>
              <w:t xml:space="preserve"> </w:t>
            </w:r>
            <w:r w:rsidRPr="00AD338D">
              <w:rPr>
                <w:rFonts w:ascii="Arial" w:hAnsi="Arial" w:cs="Arial"/>
                <w:sz w:val="18"/>
              </w:rPr>
              <w:t>and</w:t>
            </w:r>
            <w:r w:rsidRPr="00AD338D">
              <w:rPr>
                <w:rFonts w:ascii="Arial" w:hAnsi="Arial" w:cs="Arial"/>
                <w:spacing w:val="-1"/>
                <w:sz w:val="18"/>
              </w:rPr>
              <w:t xml:space="preserve"> </w:t>
            </w:r>
            <w:r w:rsidRPr="00AD338D">
              <w:rPr>
                <w:rFonts w:ascii="Arial" w:hAnsi="Arial" w:cs="Arial"/>
                <w:sz w:val="18"/>
              </w:rPr>
              <w:t>edge</w:t>
            </w:r>
            <w:r w:rsidRPr="00AD338D">
              <w:rPr>
                <w:rFonts w:ascii="Arial" w:hAnsi="Arial" w:cs="Arial"/>
                <w:spacing w:val="-4"/>
                <w:sz w:val="18"/>
              </w:rPr>
              <w:t xml:space="preserve"> </w:t>
            </w:r>
            <w:r w:rsidRPr="00AD338D">
              <w:rPr>
                <w:rFonts w:ascii="Arial" w:hAnsi="Arial" w:cs="Arial"/>
                <w:sz w:val="18"/>
              </w:rPr>
              <w:t>of the</w:t>
            </w:r>
            <w:r w:rsidRPr="00AD338D">
              <w:rPr>
                <w:rFonts w:ascii="Arial" w:hAnsi="Arial" w:cs="Arial"/>
                <w:spacing w:val="-3"/>
                <w:sz w:val="18"/>
              </w:rPr>
              <w:t xml:space="preserve"> </w:t>
            </w:r>
            <w:r w:rsidRPr="00AD338D">
              <w:rPr>
                <w:rFonts w:ascii="Arial" w:hAnsi="Arial" w:cs="Arial"/>
                <w:sz w:val="18"/>
              </w:rPr>
              <w:t>envelope</w:t>
            </w:r>
            <w:r w:rsidRPr="00AD338D">
              <w:rPr>
                <w:rFonts w:ascii="Arial" w:hAnsi="Arial" w:cs="Arial"/>
                <w:spacing w:val="-2"/>
                <w:sz w:val="18"/>
              </w:rPr>
              <w:t xml:space="preserve"> </w:t>
            </w:r>
            <w:r w:rsidRPr="00AD338D">
              <w:rPr>
                <w:rFonts w:ascii="Arial" w:hAnsi="Arial" w:cs="Arial"/>
                <w:sz w:val="18"/>
              </w:rPr>
              <w:t>top.</w:t>
            </w:r>
            <w:r w:rsidRPr="00AD338D">
              <w:rPr>
                <w:rFonts w:ascii="Arial" w:hAnsi="Arial" w:cs="Arial"/>
                <w:spacing w:val="-2"/>
                <w:sz w:val="18"/>
              </w:rPr>
              <w:t xml:space="preserve"> </w:t>
            </w:r>
            <w:r w:rsidRPr="00AD338D">
              <w:rPr>
                <w:rFonts w:ascii="Arial" w:hAnsi="Arial" w:cs="Arial"/>
                <w:sz w:val="18"/>
              </w:rPr>
              <w:t>Inspect</w:t>
            </w:r>
            <w:r w:rsidRPr="00AD338D">
              <w:rPr>
                <w:rFonts w:ascii="Arial" w:hAnsi="Arial" w:cs="Arial"/>
                <w:spacing w:val="-2"/>
                <w:sz w:val="18"/>
              </w:rPr>
              <w:t xml:space="preserve"> </w:t>
            </w:r>
            <w:r w:rsidRPr="00AD338D">
              <w:rPr>
                <w:rFonts w:ascii="Arial" w:hAnsi="Arial" w:cs="Arial"/>
                <w:sz w:val="18"/>
              </w:rPr>
              <w:t>joint</w:t>
            </w:r>
            <w:r w:rsidR="004127B5">
              <w:rPr>
                <w:rFonts w:ascii="Arial" w:hAnsi="Arial" w:cs="Arial"/>
                <w:sz w:val="18"/>
              </w:rPr>
              <w:t xml:space="preserve"> </w:t>
            </w:r>
            <w:r w:rsidRPr="00AD338D">
              <w:rPr>
                <w:rFonts w:ascii="Arial" w:hAnsi="Arial" w:cs="Arial"/>
                <w:sz w:val="18"/>
              </w:rPr>
              <w:t>between</w:t>
            </w:r>
            <w:r w:rsidRPr="00AD338D">
              <w:rPr>
                <w:rFonts w:ascii="Arial" w:hAnsi="Arial" w:cs="Arial"/>
                <w:spacing w:val="-3"/>
                <w:sz w:val="18"/>
              </w:rPr>
              <w:t xml:space="preserve"> </w:t>
            </w:r>
            <w:r w:rsidRPr="00AD338D">
              <w:rPr>
                <w:rFonts w:ascii="Arial" w:hAnsi="Arial" w:cs="Arial"/>
                <w:sz w:val="18"/>
              </w:rPr>
              <w:t>base</w:t>
            </w:r>
            <w:r w:rsidRPr="00AD338D">
              <w:rPr>
                <w:rFonts w:ascii="Arial" w:hAnsi="Arial" w:cs="Arial"/>
                <w:spacing w:val="-4"/>
                <w:sz w:val="18"/>
              </w:rPr>
              <w:t xml:space="preserve"> </w:t>
            </w:r>
            <w:r w:rsidRPr="00AD338D">
              <w:rPr>
                <w:rFonts w:ascii="Arial" w:hAnsi="Arial" w:cs="Arial"/>
                <w:sz w:val="18"/>
              </w:rPr>
              <w:t>horizontal-load</w:t>
            </w:r>
            <w:r w:rsidRPr="00AD338D">
              <w:rPr>
                <w:rFonts w:ascii="Arial" w:hAnsi="Arial" w:cs="Arial"/>
                <w:spacing w:val="-1"/>
                <w:sz w:val="18"/>
              </w:rPr>
              <w:t xml:space="preserve"> </w:t>
            </w:r>
            <w:r w:rsidRPr="00AD338D">
              <w:rPr>
                <w:rFonts w:ascii="Arial" w:hAnsi="Arial" w:cs="Arial"/>
                <w:sz w:val="18"/>
              </w:rPr>
              <w:t>tape</w:t>
            </w:r>
            <w:r w:rsidRPr="00AD338D">
              <w:rPr>
                <w:rFonts w:ascii="Arial" w:hAnsi="Arial" w:cs="Arial"/>
                <w:spacing w:val="-4"/>
                <w:sz w:val="18"/>
              </w:rPr>
              <w:t xml:space="preserve"> </w:t>
            </w:r>
            <w:r w:rsidRPr="00AD338D">
              <w:rPr>
                <w:rFonts w:ascii="Arial" w:hAnsi="Arial" w:cs="Arial"/>
                <w:sz w:val="18"/>
              </w:rPr>
              <w:t>and</w:t>
            </w:r>
            <w:r w:rsidRPr="00AD338D">
              <w:rPr>
                <w:rFonts w:ascii="Arial" w:hAnsi="Arial" w:cs="Arial"/>
                <w:spacing w:val="-2"/>
                <w:sz w:val="18"/>
              </w:rPr>
              <w:t xml:space="preserve"> </w:t>
            </w:r>
            <w:r w:rsidRPr="00AD338D">
              <w:rPr>
                <w:rFonts w:ascii="Arial" w:hAnsi="Arial" w:cs="Arial"/>
                <w:sz w:val="18"/>
              </w:rPr>
              <w:t>vertical-load</w:t>
            </w:r>
            <w:r w:rsidRPr="00AD338D">
              <w:rPr>
                <w:rFonts w:ascii="Arial" w:hAnsi="Arial" w:cs="Arial"/>
                <w:spacing w:val="-3"/>
                <w:sz w:val="18"/>
              </w:rPr>
              <w:t xml:space="preserve"> </w:t>
            </w:r>
            <w:r w:rsidRPr="00AD338D">
              <w:rPr>
                <w:rFonts w:ascii="Arial" w:hAnsi="Arial" w:cs="Arial"/>
                <w:sz w:val="18"/>
              </w:rPr>
              <w:t>tapes.</w:t>
            </w:r>
          </w:p>
        </w:tc>
      </w:tr>
      <w:tr w:rsidR="00AD338D" w:rsidRPr="00276D5E" w14:paraId="37DADC6F" w14:textId="77777777" w:rsidTr="003B7464">
        <w:trPr>
          <w:trHeight w:val="1909"/>
        </w:trPr>
        <w:tc>
          <w:tcPr>
            <w:tcW w:w="2424" w:type="dxa"/>
          </w:tcPr>
          <w:p w14:paraId="64D8A983" w14:textId="77777777" w:rsidR="00AD338D" w:rsidRPr="00AD338D" w:rsidRDefault="00AD338D" w:rsidP="000B112D">
            <w:pPr>
              <w:pStyle w:val="TableParagraph"/>
              <w:ind w:left="86"/>
              <w:rPr>
                <w:rFonts w:ascii="Arial" w:hAnsi="Arial" w:cs="Arial"/>
                <w:sz w:val="18"/>
              </w:rPr>
            </w:pPr>
            <w:r w:rsidRPr="00AD338D">
              <w:rPr>
                <w:rFonts w:ascii="Arial" w:hAnsi="Arial" w:cs="Arial"/>
                <w:sz w:val="18"/>
              </w:rPr>
              <w:t>Envelope</w:t>
            </w:r>
            <w:r w:rsidRPr="00AD338D">
              <w:rPr>
                <w:rFonts w:ascii="Arial" w:hAnsi="Arial" w:cs="Arial"/>
                <w:spacing w:val="-5"/>
                <w:sz w:val="18"/>
              </w:rPr>
              <w:t xml:space="preserve"> </w:t>
            </w:r>
            <w:r w:rsidRPr="00AD338D">
              <w:rPr>
                <w:rFonts w:ascii="Arial" w:hAnsi="Arial" w:cs="Arial"/>
                <w:sz w:val="18"/>
              </w:rPr>
              <w:t>fabric</w:t>
            </w:r>
          </w:p>
        </w:tc>
        <w:tc>
          <w:tcPr>
            <w:tcW w:w="6571" w:type="dxa"/>
          </w:tcPr>
          <w:p w14:paraId="66EC007F" w14:textId="77777777" w:rsidR="00AD338D" w:rsidRPr="00AD338D" w:rsidRDefault="00AD338D" w:rsidP="000B112D">
            <w:pPr>
              <w:pStyle w:val="TableParagraph"/>
              <w:rPr>
                <w:rFonts w:ascii="Arial" w:hAnsi="Arial" w:cs="Arial"/>
                <w:sz w:val="18"/>
              </w:rPr>
            </w:pPr>
            <w:r w:rsidRPr="00AD338D">
              <w:rPr>
                <w:rFonts w:ascii="Arial" w:hAnsi="Arial" w:cs="Arial"/>
                <w:sz w:val="18"/>
              </w:rPr>
              <w:t>Inspect the envelope fabric panels (including parachute and rotation</w:t>
            </w:r>
            <w:r w:rsidRPr="00AD338D">
              <w:rPr>
                <w:rFonts w:ascii="Arial" w:hAnsi="Arial" w:cs="Arial"/>
                <w:spacing w:val="-43"/>
                <w:sz w:val="18"/>
              </w:rPr>
              <w:t xml:space="preserve"> </w:t>
            </w:r>
            <w:r w:rsidRPr="00AD338D">
              <w:rPr>
                <w:rFonts w:ascii="Arial" w:hAnsi="Arial" w:cs="Arial"/>
                <w:sz w:val="18"/>
              </w:rPr>
              <w:t>vents,</w:t>
            </w:r>
            <w:r w:rsidRPr="00AD338D">
              <w:rPr>
                <w:rFonts w:ascii="Arial" w:hAnsi="Arial" w:cs="Arial"/>
                <w:spacing w:val="-2"/>
                <w:sz w:val="18"/>
              </w:rPr>
              <w:t xml:space="preserve"> </w:t>
            </w:r>
            <w:r w:rsidRPr="00AD338D">
              <w:rPr>
                <w:rFonts w:ascii="Arial" w:hAnsi="Arial" w:cs="Arial"/>
                <w:sz w:val="18"/>
              </w:rPr>
              <w:t>if</w:t>
            </w:r>
            <w:r w:rsidRPr="00AD338D">
              <w:rPr>
                <w:rFonts w:ascii="Arial" w:hAnsi="Arial" w:cs="Arial"/>
                <w:spacing w:val="-3"/>
                <w:sz w:val="18"/>
              </w:rPr>
              <w:t xml:space="preserve"> </w:t>
            </w:r>
            <w:r w:rsidRPr="00AD338D">
              <w:rPr>
                <w:rFonts w:ascii="Arial" w:hAnsi="Arial" w:cs="Arial"/>
                <w:sz w:val="18"/>
              </w:rPr>
              <w:t>fitted) for</w:t>
            </w:r>
            <w:r w:rsidRPr="00AD338D">
              <w:rPr>
                <w:rFonts w:ascii="Arial" w:hAnsi="Arial" w:cs="Arial"/>
                <w:spacing w:val="-1"/>
                <w:sz w:val="18"/>
              </w:rPr>
              <w:t xml:space="preserve"> </w:t>
            </w:r>
            <w:r w:rsidRPr="00AD338D">
              <w:rPr>
                <w:rFonts w:ascii="Arial" w:hAnsi="Arial" w:cs="Arial"/>
                <w:sz w:val="18"/>
              </w:rPr>
              <w:t>damage,</w:t>
            </w:r>
            <w:r w:rsidRPr="00AD338D">
              <w:rPr>
                <w:rFonts w:ascii="Arial" w:hAnsi="Arial" w:cs="Arial"/>
                <w:spacing w:val="-1"/>
                <w:sz w:val="18"/>
              </w:rPr>
              <w:t xml:space="preserve"> </w:t>
            </w:r>
            <w:r w:rsidRPr="00AD338D">
              <w:rPr>
                <w:rFonts w:ascii="Arial" w:hAnsi="Arial" w:cs="Arial"/>
                <w:sz w:val="18"/>
              </w:rPr>
              <w:t>porosity</w:t>
            </w:r>
            <w:r w:rsidRPr="00AD338D">
              <w:rPr>
                <w:rFonts w:ascii="Arial" w:hAnsi="Arial" w:cs="Arial"/>
                <w:spacing w:val="-2"/>
                <w:sz w:val="18"/>
              </w:rPr>
              <w:t xml:space="preserve"> </w:t>
            </w:r>
            <w:r w:rsidRPr="00AD338D">
              <w:rPr>
                <w:rFonts w:ascii="Arial" w:hAnsi="Arial" w:cs="Arial"/>
                <w:sz w:val="18"/>
              </w:rPr>
              <w:t>overheating</w:t>
            </w:r>
            <w:r w:rsidRPr="00AD338D">
              <w:rPr>
                <w:rFonts w:ascii="Arial" w:hAnsi="Arial" w:cs="Arial"/>
                <w:spacing w:val="-2"/>
                <w:sz w:val="18"/>
              </w:rPr>
              <w:t xml:space="preserve"> </w:t>
            </w:r>
            <w:r w:rsidRPr="00AD338D">
              <w:rPr>
                <w:rFonts w:ascii="Arial" w:hAnsi="Arial" w:cs="Arial"/>
                <w:sz w:val="18"/>
              </w:rPr>
              <w:t>or</w:t>
            </w:r>
            <w:r w:rsidRPr="00AD338D">
              <w:rPr>
                <w:rFonts w:ascii="Arial" w:hAnsi="Arial" w:cs="Arial"/>
                <w:spacing w:val="-2"/>
                <w:sz w:val="18"/>
              </w:rPr>
              <w:t xml:space="preserve"> </w:t>
            </w:r>
            <w:r w:rsidRPr="00AD338D">
              <w:rPr>
                <w:rFonts w:ascii="Arial" w:hAnsi="Arial" w:cs="Arial"/>
                <w:sz w:val="18"/>
              </w:rPr>
              <w:t>weakness.</w:t>
            </w:r>
          </w:p>
          <w:p w14:paraId="06DBF649" w14:textId="77777777" w:rsidR="00AD338D" w:rsidRPr="00AD338D" w:rsidRDefault="00AD338D" w:rsidP="000B112D">
            <w:pPr>
              <w:pStyle w:val="TableParagraph"/>
              <w:ind w:right="151"/>
              <w:rPr>
                <w:rFonts w:ascii="Arial" w:hAnsi="Arial" w:cs="Arial"/>
                <w:sz w:val="18"/>
              </w:rPr>
            </w:pPr>
            <w:r w:rsidRPr="00AD338D">
              <w:rPr>
                <w:rFonts w:ascii="Arial" w:hAnsi="Arial" w:cs="Arial"/>
                <w:sz w:val="18"/>
              </w:rPr>
              <w:t>Unrepaired damage is within tolerance provided for by the</w:t>
            </w:r>
            <w:r w:rsidRPr="00AD338D">
              <w:rPr>
                <w:rFonts w:ascii="Arial" w:hAnsi="Arial" w:cs="Arial"/>
                <w:spacing w:val="-43"/>
                <w:sz w:val="18"/>
              </w:rPr>
              <w:t xml:space="preserve"> </w:t>
            </w:r>
            <w:r w:rsidRPr="00AD338D">
              <w:rPr>
                <w:rFonts w:ascii="Arial" w:hAnsi="Arial" w:cs="Arial"/>
                <w:sz w:val="18"/>
              </w:rPr>
              <w:t>manufacturer.</w:t>
            </w:r>
          </w:p>
          <w:p w14:paraId="3F840272" w14:textId="77777777" w:rsidR="00AD338D" w:rsidRPr="00AD338D" w:rsidRDefault="00AD338D" w:rsidP="000B112D">
            <w:pPr>
              <w:pStyle w:val="TableParagraph"/>
              <w:ind w:right="138"/>
              <w:rPr>
                <w:rFonts w:ascii="Arial" w:hAnsi="Arial" w:cs="Arial"/>
                <w:sz w:val="18"/>
              </w:rPr>
            </w:pPr>
            <w:r w:rsidRPr="00AD338D">
              <w:rPr>
                <w:rFonts w:ascii="Arial" w:hAnsi="Arial" w:cs="Arial"/>
                <w:sz w:val="18"/>
              </w:rPr>
              <w:t>If substantial fabric porosity is suspected, a flight test should be</w:t>
            </w:r>
            <w:r w:rsidRPr="00AD338D">
              <w:rPr>
                <w:rFonts w:ascii="Arial" w:hAnsi="Arial" w:cs="Arial"/>
                <w:spacing w:val="1"/>
                <w:sz w:val="18"/>
              </w:rPr>
              <w:t xml:space="preserve"> </w:t>
            </w:r>
            <w:r w:rsidRPr="00AD338D">
              <w:rPr>
                <w:rFonts w:ascii="Arial" w:hAnsi="Arial" w:cs="Arial"/>
                <w:sz w:val="18"/>
              </w:rPr>
              <w:t>performed, but only after a grab test has demonstrated that the balloon</w:t>
            </w:r>
            <w:r w:rsidRPr="00AD338D">
              <w:rPr>
                <w:rFonts w:ascii="Arial" w:hAnsi="Arial" w:cs="Arial"/>
                <w:spacing w:val="-43"/>
                <w:sz w:val="18"/>
              </w:rPr>
              <w:t xml:space="preserve"> </w:t>
            </w:r>
            <w:r w:rsidRPr="00AD338D">
              <w:rPr>
                <w:rFonts w:ascii="Arial" w:hAnsi="Arial" w:cs="Arial"/>
                <w:sz w:val="18"/>
              </w:rPr>
              <w:t>is</w:t>
            </w:r>
            <w:r w:rsidRPr="00AD338D">
              <w:rPr>
                <w:rFonts w:ascii="Arial" w:hAnsi="Arial" w:cs="Arial"/>
                <w:spacing w:val="-3"/>
                <w:sz w:val="18"/>
              </w:rPr>
              <w:t xml:space="preserve"> </w:t>
            </w:r>
            <w:r w:rsidRPr="00AD338D">
              <w:rPr>
                <w:rFonts w:ascii="Arial" w:hAnsi="Arial" w:cs="Arial"/>
                <w:sz w:val="18"/>
              </w:rPr>
              <w:t>safe</w:t>
            </w:r>
            <w:r w:rsidRPr="00AD338D">
              <w:rPr>
                <w:rFonts w:ascii="Arial" w:hAnsi="Arial" w:cs="Arial"/>
                <w:spacing w:val="-1"/>
                <w:sz w:val="18"/>
              </w:rPr>
              <w:t xml:space="preserve"> </w:t>
            </w:r>
            <w:r w:rsidRPr="00AD338D">
              <w:rPr>
                <w:rFonts w:ascii="Arial" w:hAnsi="Arial" w:cs="Arial"/>
                <w:sz w:val="18"/>
              </w:rPr>
              <w:t>to fly.</w:t>
            </w:r>
          </w:p>
          <w:p w14:paraId="465EA488" w14:textId="77777777" w:rsidR="00AD338D" w:rsidRPr="00AD338D" w:rsidRDefault="00AD338D" w:rsidP="000B112D">
            <w:pPr>
              <w:pStyle w:val="TableParagraph"/>
              <w:spacing w:line="223" w:lineRule="exact"/>
              <w:rPr>
                <w:rFonts w:ascii="Arial" w:hAnsi="Arial" w:cs="Arial"/>
                <w:sz w:val="18"/>
              </w:rPr>
            </w:pPr>
            <w:r w:rsidRPr="00AD338D">
              <w:rPr>
                <w:rFonts w:ascii="Arial" w:hAnsi="Arial" w:cs="Arial"/>
                <w:sz w:val="18"/>
              </w:rPr>
              <w:t>Perform</w:t>
            </w:r>
            <w:r w:rsidRPr="00AD338D">
              <w:rPr>
                <w:rFonts w:ascii="Arial" w:hAnsi="Arial" w:cs="Arial"/>
                <w:spacing w:val="-3"/>
                <w:sz w:val="18"/>
              </w:rPr>
              <w:t xml:space="preserve"> </w:t>
            </w:r>
            <w:r w:rsidRPr="00AD338D">
              <w:rPr>
                <w:rFonts w:ascii="Arial" w:hAnsi="Arial" w:cs="Arial"/>
                <w:sz w:val="18"/>
              </w:rPr>
              <w:t>grab</w:t>
            </w:r>
            <w:r w:rsidRPr="00AD338D">
              <w:rPr>
                <w:rFonts w:ascii="Arial" w:hAnsi="Arial" w:cs="Arial"/>
                <w:spacing w:val="-2"/>
                <w:sz w:val="18"/>
              </w:rPr>
              <w:t xml:space="preserve"> </w:t>
            </w:r>
            <w:r w:rsidRPr="00AD338D">
              <w:rPr>
                <w:rFonts w:ascii="Arial" w:hAnsi="Arial" w:cs="Arial"/>
                <w:sz w:val="18"/>
              </w:rPr>
              <w:t>test</w:t>
            </w:r>
            <w:r w:rsidRPr="00AD338D">
              <w:rPr>
                <w:rFonts w:ascii="Arial" w:hAnsi="Arial" w:cs="Arial"/>
                <w:spacing w:val="-2"/>
                <w:sz w:val="18"/>
              </w:rPr>
              <w:t xml:space="preserve"> </w:t>
            </w:r>
            <w:r w:rsidRPr="00AD338D">
              <w:rPr>
                <w:rFonts w:ascii="Arial" w:hAnsi="Arial" w:cs="Arial"/>
                <w:sz w:val="18"/>
              </w:rPr>
              <w:t>in</w:t>
            </w:r>
            <w:r w:rsidRPr="00AD338D">
              <w:rPr>
                <w:rFonts w:ascii="Arial" w:hAnsi="Arial" w:cs="Arial"/>
                <w:spacing w:val="-1"/>
                <w:sz w:val="18"/>
              </w:rPr>
              <w:t xml:space="preserve"> </w:t>
            </w:r>
            <w:r w:rsidRPr="00AD338D">
              <w:rPr>
                <w:rFonts w:ascii="Arial" w:hAnsi="Arial" w:cs="Arial"/>
                <w:sz w:val="18"/>
              </w:rPr>
              <w:t>accordance</w:t>
            </w:r>
            <w:r w:rsidRPr="00AD338D">
              <w:rPr>
                <w:rFonts w:ascii="Arial" w:hAnsi="Arial" w:cs="Arial"/>
                <w:spacing w:val="-4"/>
                <w:sz w:val="18"/>
              </w:rPr>
              <w:t xml:space="preserve"> </w:t>
            </w:r>
            <w:r w:rsidRPr="00AD338D">
              <w:rPr>
                <w:rFonts w:ascii="Arial" w:hAnsi="Arial" w:cs="Arial"/>
                <w:sz w:val="18"/>
              </w:rPr>
              <w:t>with</w:t>
            </w:r>
            <w:r w:rsidRPr="00AD338D">
              <w:rPr>
                <w:rFonts w:ascii="Arial" w:hAnsi="Arial" w:cs="Arial"/>
                <w:spacing w:val="-2"/>
                <w:sz w:val="18"/>
              </w:rPr>
              <w:t xml:space="preserve"> </w:t>
            </w:r>
            <w:r w:rsidRPr="00AD338D">
              <w:rPr>
                <w:rFonts w:ascii="Arial" w:hAnsi="Arial" w:cs="Arial"/>
                <w:sz w:val="18"/>
              </w:rPr>
              <w:t>the</w:t>
            </w:r>
            <w:r w:rsidRPr="00AD338D">
              <w:rPr>
                <w:rFonts w:ascii="Arial" w:hAnsi="Arial" w:cs="Arial"/>
                <w:spacing w:val="-3"/>
                <w:sz w:val="18"/>
              </w:rPr>
              <w:t xml:space="preserve"> </w:t>
            </w:r>
            <w:r w:rsidRPr="00AD338D">
              <w:rPr>
                <w:rFonts w:ascii="Arial" w:hAnsi="Arial" w:cs="Arial"/>
                <w:sz w:val="18"/>
              </w:rPr>
              <w:t>manufacturer’s</w:t>
            </w:r>
            <w:r w:rsidRPr="00AD338D">
              <w:rPr>
                <w:rFonts w:ascii="Arial" w:hAnsi="Arial" w:cs="Arial"/>
                <w:spacing w:val="-3"/>
                <w:sz w:val="18"/>
              </w:rPr>
              <w:t xml:space="preserve"> </w:t>
            </w:r>
            <w:r w:rsidRPr="00AD338D">
              <w:rPr>
                <w:rFonts w:ascii="Arial" w:hAnsi="Arial" w:cs="Arial"/>
                <w:sz w:val="18"/>
              </w:rPr>
              <w:t>instructions.</w:t>
            </w:r>
          </w:p>
        </w:tc>
      </w:tr>
      <w:tr w:rsidR="00AD338D" w:rsidRPr="00276D5E" w14:paraId="68C0A384" w14:textId="77777777" w:rsidTr="003B7464">
        <w:trPr>
          <w:trHeight w:val="202"/>
        </w:trPr>
        <w:tc>
          <w:tcPr>
            <w:tcW w:w="2424" w:type="dxa"/>
          </w:tcPr>
          <w:p w14:paraId="62475ECC" w14:textId="77777777" w:rsidR="00AD338D" w:rsidRPr="00AD338D" w:rsidRDefault="00AD338D" w:rsidP="000B112D">
            <w:pPr>
              <w:pStyle w:val="TableParagraph"/>
              <w:spacing w:before="1" w:line="225" w:lineRule="exact"/>
              <w:ind w:left="86"/>
              <w:rPr>
                <w:rFonts w:ascii="Arial" w:hAnsi="Arial" w:cs="Arial"/>
                <w:sz w:val="18"/>
              </w:rPr>
            </w:pPr>
            <w:r w:rsidRPr="00AD338D">
              <w:rPr>
                <w:rFonts w:ascii="Arial" w:hAnsi="Arial" w:cs="Arial"/>
                <w:sz w:val="18"/>
              </w:rPr>
              <w:t>Flying</w:t>
            </w:r>
            <w:r w:rsidRPr="00AD338D">
              <w:rPr>
                <w:rFonts w:ascii="Arial" w:hAnsi="Arial" w:cs="Arial"/>
                <w:spacing w:val="-5"/>
                <w:sz w:val="18"/>
              </w:rPr>
              <w:t xml:space="preserve"> </w:t>
            </w:r>
            <w:r w:rsidRPr="00AD338D">
              <w:rPr>
                <w:rFonts w:ascii="Arial" w:hAnsi="Arial" w:cs="Arial"/>
                <w:sz w:val="18"/>
              </w:rPr>
              <w:t>cables</w:t>
            </w:r>
          </w:p>
        </w:tc>
        <w:tc>
          <w:tcPr>
            <w:tcW w:w="6571" w:type="dxa"/>
          </w:tcPr>
          <w:p w14:paraId="670C9518" w14:textId="77777777" w:rsidR="00AD338D" w:rsidRPr="00AD338D" w:rsidRDefault="00AD338D" w:rsidP="000B112D">
            <w:pPr>
              <w:pStyle w:val="TableParagraph"/>
              <w:spacing w:before="1" w:line="225" w:lineRule="exact"/>
              <w:rPr>
                <w:rFonts w:ascii="Arial" w:hAnsi="Arial" w:cs="Arial"/>
                <w:sz w:val="18"/>
              </w:rPr>
            </w:pPr>
            <w:r w:rsidRPr="00AD338D">
              <w:rPr>
                <w:rFonts w:ascii="Arial" w:hAnsi="Arial" w:cs="Arial"/>
                <w:sz w:val="18"/>
              </w:rPr>
              <w:t>Inspect</w:t>
            </w:r>
            <w:r w:rsidRPr="00AD338D">
              <w:rPr>
                <w:rFonts w:ascii="Arial" w:hAnsi="Arial" w:cs="Arial"/>
                <w:spacing w:val="-3"/>
                <w:sz w:val="18"/>
              </w:rPr>
              <w:t xml:space="preserve"> </w:t>
            </w:r>
            <w:r w:rsidRPr="00AD338D">
              <w:rPr>
                <w:rFonts w:ascii="Arial" w:hAnsi="Arial" w:cs="Arial"/>
                <w:sz w:val="18"/>
              </w:rPr>
              <w:t>for</w:t>
            </w:r>
            <w:r w:rsidRPr="00AD338D">
              <w:rPr>
                <w:rFonts w:ascii="Arial" w:hAnsi="Arial" w:cs="Arial"/>
                <w:spacing w:val="-3"/>
                <w:sz w:val="18"/>
              </w:rPr>
              <w:t xml:space="preserve"> </w:t>
            </w:r>
            <w:r w:rsidRPr="00AD338D">
              <w:rPr>
                <w:rFonts w:ascii="Arial" w:hAnsi="Arial" w:cs="Arial"/>
                <w:sz w:val="18"/>
              </w:rPr>
              <w:t>damage</w:t>
            </w:r>
            <w:r w:rsidRPr="00AD338D">
              <w:rPr>
                <w:rFonts w:ascii="Arial" w:hAnsi="Arial" w:cs="Arial"/>
                <w:spacing w:val="-3"/>
                <w:sz w:val="18"/>
              </w:rPr>
              <w:t xml:space="preserve"> </w:t>
            </w:r>
            <w:r w:rsidRPr="00AD338D">
              <w:rPr>
                <w:rFonts w:ascii="Arial" w:hAnsi="Arial" w:cs="Arial"/>
                <w:sz w:val="18"/>
              </w:rPr>
              <w:t>(particularly</w:t>
            </w:r>
            <w:r w:rsidRPr="00AD338D">
              <w:rPr>
                <w:rFonts w:ascii="Arial" w:hAnsi="Arial" w:cs="Arial"/>
                <w:spacing w:val="-3"/>
                <w:sz w:val="18"/>
              </w:rPr>
              <w:t xml:space="preserve"> </w:t>
            </w:r>
            <w:r w:rsidRPr="00AD338D">
              <w:rPr>
                <w:rFonts w:ascii="Arial" w:hAnsi="Arial" w:cs="Arial"/>
                <w:sz w:val="18"/>
              </w:rPr>
              <w:t>heat</w:t>
            </w:r>
            <w:r w:rsidRPr="00AD338D">
              <w:rPr>
                <w:rFonts w:ascii="Arial" w:hAnsi="Arial" w:cs="Arial"/>
                <w:spacing w:val="-2"/>
                <w:sz w:val="18"/>
              </w:rPr>
              <w:t xml:space="preserve"> </w:t>
            </w:r>
            <w:r w:rsidRPr="00AD338D">
              <w:rPr>
                <w:rFonts w:ascii="Arial" w:hAnsi="Arial" w:cs="Arial"/>
                <w:sz w:val="18"/>
              </w:rPr>
              <w:t>damage).</w:t>
            </w:r>
          </w:p>
        </w:tc>
      </w:tr>
      <w:tr w:rsidR="00AD338D" w:rsidRPr="00276D5E" w14:paraId="66939095" w14:textId="77777777" w:rsidTr="003B7464">
        <w:trPr>
          <w:trHeight w:val="199"/>
        </w:trPr>
        <w:tc>
          <w:tcPr>
            <w:tcW w:w="2424" w:type="dxa"/>
          </w:tcPr>
          <w:p w14:paraId="414DEB13" w14:textId="77777777" w:rsidR="00AD338D" w:rsidRPr="00AD338D" w:rsidRDefault="00AD338D" w:rsidP="000B112D">
            <w:pPr>
              <w:pStyle w:val="TableParagraph"/>
              <w:spacing w:line="222" w:lineRule="exact"/>
              <w:ind w:left="86"/>
              <w:rPr>
                <w:rFonts w:ascii="Arial" w:hAnsi="Arial" w:cs="Arial"/>
                <w:sz w:val="18"/>
              </w:rPr>
            </w:pPr>
            <w:r w:rsidRPr="00AD338D">
              <w:rPr>
                <w:rFonts w:ascii="Arial" w:hAnsi="Arial" w:cs="Arial"/>
                <w:sz w:val="18"/>
              </w:rPr>
              <w:t>Karabiners</w:t>
            </w:r>
          </w:p>
        </w:tc>
        <w:tc>
          <w:tcPr>
            <w:tcW w:w="6571" w:type="dxa"/>
          </w:tcPr>
          <w:p w14:paraId="654015DC" w14:textId="77777777" w:rsidR="00AD338D" w:rsidRPr="00AD338D" w:rsidRDefault="00AD338D" w:rsidP="000B112D">
            <w:pPr>
              <w:pStyle w:val="TableParagraph"/>
              <w:spacing w:line="222" w:lineRule="exact"/>
              <w:rPr>
                <w:rFonts w:ascii="Arial" w:hAnsi="Arial" w:cs="Arial"/>
                <w:sz w:val="18"/>
              </w:rPr>
            </w:pPr>
            <w:r w:rsidRPr="00AD338D">
              <w:rPr>
                <w:rFonts w:ascii="Arial" w:hAnsi="Arial" w:cs="Arial"/>
                <w:sz w:val="18"/>
              </w:rPr>
              <w:t>Inspect</w:t>
            </w:r>
            <w:r w:rsidRPr="00AD338D">
              <w:rPr>
                <w:rFonts w:ascii="Arial" w:hAnsi="Arial" w:cs="Arial"/>
                <w:spacing w:val="-4"/>
                <w:sz w:val="18"/>
              </w:rPr>
              <w:t xml:space="preserve"> </w:t>
            </w:r>
            <w:r w:rsidRPr="00AD338D">
              <w:rPr>
                <w:rFonts w:ascii="Arial" w:hAnsi="Arial" w:cs="Arial"/>
                <w:sz w:val="18"/>
              </w:rPr>
              <w:t>for</w:t>
            </w:r>
            <w:r w:rsidRPr="00AD338D">
              <w:rPr>
                <w:rFonts w:ascii="Arial" w:hAnsi="Arial" w:cs="Arial"/>
                <w:spacing w:val="-3"/>
                <w:sz w:val="18"/>
              </w:rPr>
              <w:t xml:space="preserve"> </w:t>
            </w:r>
            <w:r w:rsidRPr="00AD338D">
              <w:rPr>
                <w:rFonts w:ascii="Arial" w:hAnsi="Arial" w:cs="Arial"/>
                <w:sz w:val="18"/>
              </w:rPr>
              <w:t>damage/corrosion.</w:t>
            </w:r>
            <w:r w:rsidRPr="00AD338D">
              <w:rPr>
                <w:rFonts w:ascii="Arial" w:hAnsi="Arial" w:cs="Arial"/>
                <w:spacing w:val="-3"/>
                <w:sz w:val="18"/>
              </w:rPr>
              <w:t xml:space="preserve"> </w:t>
            </w:r>
            <w:r w:rsidRPr="00AD338D">
              <w:rPr>
                <w:rFonts w:ascii="Arial" w:hAnsi="Arial" w:cs="Arial"/>
                <w:sz w:val="18"/>
              </w:rPr>
              <w:t>Operational</w:t>
            </w:r>
            <w:r w:rsidRPr="00AD338D">
              <w:rPr>
                <w:rFonts w:ascii="Arial" w:hAnsi="Arial" w:cs="Arial"/>
                <w:spacing w:val="-3"/>
                <w:sz w:val="18"/>
              </w:rPr>
              <w:t xml:space="preserve"> </w:t>
            </w:r>
            <w:r w:rsidRPr="00AD338D">
              <w:rPr>
                <w:rFonts w:ascii="Arial" w:hAnsi="Arial" w:cs="Arial"/>
                <w:sz w:val="18"/>
              </w:rPr>
              <w:t>check</w:t>
            </w:r>
            <w:r w:rsidRPr="00AD338D">
              <w:rPr>
                <w:rFonts w:ascii="Arial" w:hAnsi="Arial" w:cs="Arial"/>
                <w:spacing w:val="-3"/>
                <w:sz w:val="18"/>
              </w:rPr>
              <w:t xml:space="preserve"> </w:t>
            </w:r>
            <w:r w:rsidRPr="00AD338D">
              <w:rPr>
                <w:rFonts w:ascii="Arial" w:hAnsi="Arial" w:cs="Arial"/>
                <w:sz w:val="18"/>
              </w:rPr>
              <w:t>of</w:t>
            </w:r>
            <w:r w:rsidRPr="00AD338D">
              <w:rPr>
                <w:rFonts w:ascii="Arial" w:hAnsi="Arial" w:cs="Arial"/>
                <w:spacing w:val="-5"/>
                <w:sz w:val="18"/>
              </w:rPr>
              <w:t xml:space="preserve"> </w:t>
            </w:r>
            <w:r w:rsidRPr="00AD338D">
              <w:rPr>
                <w:rFonts w:ascii="Arial" w:hAnsi="Arial" w:cs="Arial"/>
                <w:sz w:val="18"/>
              </w:rPr>
              <w:t>karabiner</w:t>
            </w:r>
            <w:r w:rsidRPr="00AD338D">
              <w:rPr>
                <w:rFonts w:ascii="Arial" w:hAnsi="Arial" w:cs="Arial"/>
                <w:spacing w:val="-3"/>
                <w:sz w:val="18"/>
              </w:rPr>
              <w:t xml:space="preserve"> </w:t>
            </w:r>
            <w:r w:rsidRPr="00AD338D">
              <w:rPr>
                <w:rFonts w:ascii="Arial" w:hAnsi="Arial" w:cs="Arial"/>
                <w:sz w:val="18"/>
              </w:rPr>
              <w:t>lock.</w:t>
            </w:r>
          </w:p>
        </w:tc>
      </w:tr>
      <w:tr w:rsidR="00AD338D" w:rsidRPr="00276D5E" w14:paraId="6414821C" w14:textId="77777777" w:rsidTr="003B7464">
        <w:trPr>
          <w:trHeight w:val="447"/>
        </w:trPr>
        <w:tc>
          <w:tcPr>
            <w:tcW w:w="2424" w:type="dxa"/>
          </w:tcPr>
          <w:p w14:paraId="461E810A" w14:textId="77777777" w:rsidR="00AD338D" w:rsidRPr="00AD338D" w:rsidRDefault="00AD338D" w:rsidP="000B112D">
            <w:pPr>
              <w:pStyle w:val="TableParagraph"/>
              <w:spacing w:line="240" w:lineRule="atLeast"/>
              <w:ind w:left="86" w:right="41"/>
              <w:rPr>
                <w:rFonts w:ascii="Arial" w:hAnsi="Arial" w:cs="Arial"/>
                <w:sz w:val="18"/>
              </w:rPr>
            </w:pPr>
            <w:r w:rsidRPr="00AD338D">
              <w:rPr>
                <w:rFonts w:ascii="Arial" w:hAnsi="Arial" w:cs="Arial"/>
                <w:sz w:val="18"/>
              </w:rPr>
              <w:t>Melting link and</w:t>
            </w:r>
            <w:r w:rsidRPr="00AD338D">
              <w:rPr>
                <w:rFonts w:ascii="Arial" w:hAnsi="Arial" w:cs="Arial"/>
                <w:spacing w:val="-43"/>
                <w:sz w:val="18"/>
              </w:rPr>
              <w:t xml:space="preserve"> </w:t>
            </w:r>
            <w:r w:rsidRPr="00AD338D">
              <w:rPr>
                <w:rFonts w:ascii="Arial" w:hAnsi="Arial" w:cs="Arial"/>
                <w:sz w:val="18"/>
              </w:rPr>
              <w:t>‘tempilabel’</w:t>
            </w:r>
          </w:p>
        </w:tc>
        <w:tc>
          <w:tcPr>
            <w:tcW w:w="6571" w:type="dxa"/>
          </w:tcPr>
          <w:p w14:paraId="1B493F77" w14:textId="77777777" w:rsidR="00AD338D" w:rsidRPr="00AD338D" w:rsidRDefault="00AD338D" w:rsidP="000B112D">
            <w:pPr>
              <w:pStyle w:val="TableParagraph"/>
              <w:rPr>
                <w:rFonts w:ascii="Arial" w:hAnsi="Arial" w:cs="Arial"/>
                <w:sz w:val="18"/>
              </w:rPr>
            </w:pPr>
            <w:r w:rsidRPr="00AD338D">
              <w:rPr>
                <w:rFonts w:ascii="Arial" w:hAnsi="Arial" w:cs="Arial"/>
                <w:sz w:val="18"/>
              </w:rPr>
              <w:t>Check</w:t>
            </w:r>
            <w:r w:rsidRPr="00AD338D">
              <w:rPr>
                <w:rFonts w:ascii="Arial" w:hAnsi="Arial" w:cs="Arial"/>
                <w:spacing w:val="-3"/>
                <w:sz w:val="18"/>
              </w:rPr>
              <w:t xml:space="preserve"> </w:t>
            </w:r>
            <w:r w:rsidRPr="00AD338D">
              <w:rPr>
                <w:rFonts w:ascii="Arial" w:hAnsi="Arial" w:cs="Arial"/>
                <w:sz w:val="18"/>
              </w:rPr>
              <w:t>and</w:t>
            </w:r>
            <w:r w:rsidRPr="00AD338D">
              <w:rPr>
                <w:rFonts w:ascii="Arial" w:hAnsi="Arial" w:cs="Arial"/>
                <w:spacing w:val="-2"/>
                <w:sz w:val="18"/>
              </w:rPr>
              <w:t xml:space="preserve"> </w:t>
            </w:r>
            <w:r w:rsidRPr="00AD338D">
              <w:rPr>
                <w:rFonts w:ascii="Arial" w:hAnsi="Arial" w:cs="Arial"/>
                <w:sz w:val="18"/>
              </w:rPr>
              <w:t>record</w:t>
            </w:r>
            <w:r w:rsidRPr="00AD338D">
              <w:rPr>
                <w:rFonts w:ascii="Arial" w:hAnsi="Arial" w:cs="Arial"/>
                <w:spacing w:val="-2"/>
                <w:sz w:val="18"/>
              </w:rPr>
              <w:t xml:space="preserve"> </w:t>
            </w:r>
            <w:r w:rsidRPr="00AD338D">
              <w:rPr>
                <w:rFonts w:ascii="Arial" w:hAnsi="Arial" w:cs="Arial"/>
                <w:sz w:val="18"/>
              </w:rPr>
              <w:t>maximum</w:t>
            </w:r>
            <w:r w:rsidRPr="00AD338D">
              <w:rPr>
                <w:rFonts w:ascii="Arial" w:hAnsi="Arial" w:cs="Arial"/>
                <w:spacing w:val="-3"/>
                <w:sz w:val="18"/>
              </w:rPr>
              <w:t xml:space="preserve"> </w:t>
            </w:r>
            <w:r w:rsidRPr="00AD338D">
              <w:rPr>
                <w:rFonts w:ascii="Arial" w:hAnsi="Arial" w:cs="Arial"/>
                <w:sz w:val="18"/>
              </w:rPr>
              <w:t>temperature</w:t>
            </w:r>
            <w:r w:rsidRPr="00AD338D">
              <w:rPr>
                <w:rFonts w:ascii="Arial" w:hAnsi="Arial" w:cs="Arial"/>
                <w:spacing w:val="-3"/>
                <w:sz w:val="18"/>
              </w:rPr>
              <w:t xml:space="preserve"> </w:t>
            </w:r>
            <w:r w:rsidRPr="00AD338D">
              <w:rPr>
                <w:rFonts w:ascii="Arial" w:hAnsi="Arial" w:cs="Arial"/>
                <w:sz w:val="18"/>
              </w:rPr>
              <w:t>indication</w:t>
            </w:r>
            <w:r w:rsidRPr="00AD338D">
              <w:rPr>
                <w:rFonts w:ascii="Arial" w:hAnsi="Arial" w:cs="Arial"/>
                <w:spacing w:val="-3"/>
                <w:sz w:val="18"/>
              </w:rPr>
              <w:t xml:space="preserve"> </w:t>
            </w:r>
            <w:r w:rsidRPr="00AD338D">
              <w:rPr>
                <w:rFonts w:ascii="Arial" w:hAnsi="Arial" w:cs="Arial"/>
                <w:sz w:val="18"/>
              </w:rPr>
              <w:t>(flag/tempilabel).</w:t>
            </w:r>
          </w:p>
        </w:tc>
      </w:tr>
      <w:tr w:rsidR="00AD338D" w:rsidRPr="00276D5E" w14:paraId="1351B2CE" w14:textId="77777777" w:rsidTr="003B7464">
        <w:trPr>
          <w:trHeight w:val="688"/>
        </w:trPr>
        <w:tc>
          <w:tcPr>
            <w:tcW w:w="2424" w:type="dxa"/>
          </w:tcPr>
          <w:p w14:paraId="01D049C3" w14:textId="77777777" w:rsidR="00AD338D" w:rsidRPr="00AD338D" w:rsidRDefault="00AD338D" w:rsidP="000B112D">
            <w:pPr>
              <w:pStyle w:val="TableParagraph"/>
              <w:ind w:left="86"/>
              <w:rPr>
                <w:rFonts w:ascii="Arial" w:hAnsi="Arial" w:cs="Arial"/>
                <w:sz w:val="18"/>
              </w:rPr>
            </w:pPr>
            <w:r w:rsidRPr="00AD338D">
              <w:rPr>
                <w:rFonts w:ascii="Arial" w:hAnsi="Arial" w:cs="Arial"/>
                <w:sz w:val="18"/>
              </w:rPr>
              <w:t>Control lines and</w:t>
            </w:r>
            <w:r w:rsidRPr="00AD338D">
              <w:rPr>
                <w:rFonts w:ascii="Arial" w:hAnsi="Arial" w:cs="Arial"/>
                <w:spacing w:val="-43"/>
                <w:sz w:val="18"/>
              </w:rPr>
              <w:t xml:space="preserve"> </w:t>
            </w:r>
            <w:r w:rsidRPr="00AD338D">
              <w:rPr>
                <w:rFonts w:ascii="Arial" w:hAnsi="Arial" w:cs="Arial"/>
                <w:sz w:val="18"/>
              </w:rPr>
              <w:t>attachments</w:t>
            </w:r>
          </w:p>
        </w:tc>
        <w:tc>
          <w:tcPr>
            <w:tcW w:w="6571" w:type="dxa"/>
          </w:tcPr>
          <w:p w14:paraId="2EAA6C4C" w14:textId="77777777" w:rsidR="00AD338D" w:rsidRPr="00AD338D" w:rsidRDefault="00AD338D" w:rsidP="000B112D">
            <w:pPr>
              <w:pStyle w:val="TableParagraph"/>
              <w:spacing w:line="242" w:lineRule="exact"/>
              <w:rPr>
                <w:rFonts w:ascii="Arial" w:hAnsi="Arial" w:cs="Arial"/>
                <w:sz w:val="18"/>
              </w:rPr>
            </w:pPr>
            <w:r w:rsidRPr="00AD338D">
              <w:rPr>
                <w:rFonts w:ascii="Arial" w:hAnsi="Arial" w:cs="Arial"/>
                <w:sz w:val="18"/>
              </w:rPr>
              <w:t>Inspect</w:t>
            </w:r>
            <w:r w:rsidRPr="00AD338D">
              <w:rPr>
                <w:rFonts w:ascii="Arial" w:hAnsi="Arial" w:cs="Arial"/>
                <w:spacing w:val="-2"/>
                <w:sz w:val="18"/>
              </w:rPr>
              <w:t xml:space="preserve"> </w:t>
            </w:r>
            <w:r w:rsidRPr="00AD338D">
              <w:rPr>
                <w:rFonts w:ascii="Arial" w:hAnsi="Arial" w:cs="Arial"/>
                <w:sz w:val="18"/>
              </w:rPr>
              <w:t>for</w:t>
            </w:r>
            <w:r w:rsidRPr="00AD338D">
              <w:rPr>
                <w:rFonts w:ascii="Arial" w:hAnsi="Arial" w:cs="Arial"/>
                <w:spacing w:val="-2"/>
                <w:sz w:val="18"/>
              </w:rPr>
              <w:t xml:space="preserve"> </w:t>
            </w:r>
            <w:r w:rsidRPr="00AD338D">
              <w:rPr>
                <w:rFonts w:ascii="Arial" w:hAnsi="Arial" w:cs="Arial"/>
                <w:sz w:val="18"/>
              </w:rPr>
              <w:t>damage</w:t>
            </w:r>
            <w:r w:rsidRPr="00AD338D">
              <w:rPr>
                <w:rFonts w:ascii="Arial" w:hAnsi="Arial" w:cs="Arial"/>
                <w:spacing w:val="-2"/>
                <w:sz w:val="18"/>
              </w:rPr>
              <w:t xml:space="preserve"> </w:t>
            </w:r>
            <w:r w:rsidRPr="00AD338D">
              <w:rPr>
                <w:rFonts w:ascii="Arial" w:hAnsi="Arial" w:cs="Arial"/>
                <w:sz w:val="18"/>
              </w:rPr>
              <w:t>wear,</w:t>
            </w:r>
            <w:r w:rsidRPr="00AD338D">
              <w:rPr>
                <w:rFonts w:ascii="Arial" w:hAnsi="Arial" w:cs="Arial"/>
                <w:spacing w:val="-2"/>
                <w:sz w:val="18"/>
              </w:rPr>
              <w:t xml:space="preserve"> </w:t>
            </w:r>
            <w:r w:rsidRPr="00AD338D">
              <w:rPr>
                <w:rFonts w:ascii="Arial" w:hAnsi="Arial" w:cs="Arial"/>
                <w:sz w:val="18"/>
              </w:rPr>
              <w:t>security</w:t>
            </w:r>
            <w:r w:rsidRPr="00AD338D">
              <w:rPr>
                <w:rFonts w:ascii="Arial" w:hAnsi="Arial" w:cs="Arial"/>
                <w:spacing w:val="-2"/>
                <w:sz w:val="18"/>
              </w:rPr>
              <w:t xml:space="preserve"> </w:t>
            </w:r>
            <w:r w:rsidRPr="00AD338D">
              <w:rPr>
                <w:rFonts w:ascii="Arial" w:hAnsi="Arial" w:cs="Arial"/>
                <w:sz w:val="18"/>
              </w:rPr>
              <w:t>of</w:t>
            </w:r>
            <w:r w:rsidRPr="00AD338D">
              <w:rPr>
                <w:rFonts w:ascii="Arial" w:hAnsi="Arial" w:cs="Arial"/>
                <w:spacing w:val="-3"/>
                <w:sz w:val="18"/>
              </w:rPr>
              <w:t xml:space="preserve"> </w:t>
            </w:r>
            <w:r w:rsidRPr="00AD338D">
              <w:rPr>
                <w:rFonts w:ascii="Arial" w:hAnsi="Arial" w:cs="Arial"/>
                <w:sz w:val="18"/>
              </w:rPr>
              <w:t>knots.</w:t>
            </w:r>
          </w:p>
          <w:p w14:paraId="5B096AC3" w14:textId="77777777" w:rsidR="00AD338D" w:rsidRPr="00AD338D" w:rsidRDefault="00AD338D" w:rsidP="000B112D">
            <w:pPr>
              <w:pStyle w:val="TableParagraph"/>
              <w:spacing w:line="240" w:lineRule="atLeast"/>
              <w:ind w:right="751"/>
              <w:rPr>
                <w:rFonts w:ascii="Arial" w:hAnsi="Arial" w:cs="Arial"/>
                <w:sz w:val="18"/>
              </w:rPr>
            </w:pPr>
            <w:r w:rsidRPr="00AD338D">
              <w:rPr>
                <w:rFonts w:ascii="Arial" w:hAnsi="Arial" w:cs="Arial"/>
                <w:sz w:val="18"/>
              </w:rPr>
              <w:t>Check proper length. Check lines attachments for damage, wear,</w:t>
            </w:r>
            <w:r w:rsidRPr="00AD338D">
              <w:rPr>
                <w:rFonts w:ascii="Arial" w:hAnsi="Arial" w:cs="Arial"/>
                <w:spacing w:val="-43"/>
                <w:sz w:val="18"/>
              </w:rPr>
              <w:t xml:space="preserve"> </w:t>
            </w:r>
            <w:r w:rsidRPr="00AD338D">
              <w:rPr>
                <w:rFonts w:ascii="Arial" w:hAnsi="Arial" w:cs="Arial"/>
                <w:sz w:val="18"/>
              </w:rPr>
              <w:t>security.</w:t>
            </w:r>
          </w:p>
        </w:tc>
      </w:tr>
      <w:tr w:rsidR="00AD338D" w:rsidRPr="00276D5E" w14:paraId="542D0483" w14:textId="77777777" w:rsidTr="003B7464">
        <w:trPr>
          <w:trHeight w:val="688"/>
        </w:trPr>
        <w:tc>
          <w:tcPr>
            <w:tcW w:w="2424" w:type="dxa"/>
          </w:tcPr>
          <w:p w14:paraId="404534E5" w14:textId="77777777" w:rsidR="00AD338D" w:rsidRPr="00AD338D" w:rsidRDefault="00AD338D" w:rsidP="00AD338D">
            <w:pPr>
              <w:pStyle w:val="TableParagraph"/>
              <w:ind w:left="86"/>
              <w:rPr>
                <w:rFonts w:ascii="Arial" w:hAnsi="Arial" w:cs="Arial"/>
                <w:sz w:val="18"/>
              </w:rPr>
            </w:pPr>
            <w:r w:rsidRPr="00AD338D">
              <w:rPr>
                <w:rFonts w:ascii="Arial" w:hAnsi="Arial" w:cs="Arial"/>
                <w:sz w:val="18"/>
              </w:rPr>
              <w:t>Envelope pulleys/guide rings</w:t>
            </w:r>
          </w:p>
        </w:tc>
        <w:tc>
          <w:tcPr>
            <w:tcW w:w="6571" w:type="dxa"/>
          </w:tcPr>
          <w:p w14:paraId="3A0B078A" w14:textId="77777777" w:rsidR="00AD338D" w:rsidRPr="00AD338D" w:rsidRDefault="00AD338D" w:rsidP="00AD338D">
            <w:pPr>
              <w:pStyle w:val="TableParagraph"/>
              <w:spacing w:line="242" w:lineRule="exact"/>
              <w:rPr>
                <w:rFonts w:ascii="Arial" w:hAnsi="Arial" w:cs="Arial"/>
                <w:sz w:val="18"/>
              </w:rPr>
            </w:pPr>
            <w:r w:rsidRPr="00AD338D">
              <w:rPr>
                <w:rFonts w:ascii="Arial" w:hAnsi="Arial" w:cs="Arial"/>
                <w:sz w:val="18"/>
              </w:rPr>
              <w:t>Inspect for damage, wear, free running, contamination, security of attachment.</w:t>
            </w:r>
          </w:p>
        </w:tc>
      </w:tr>
    </w:tbl>
    <w:p w14:paraId="5E12E516" w14:textId="77777777" w:rsidR="00AD338D" w:rsidRDefault="00AD338D" w:rsidP="00D54D24">
      <w:pPr>
        <w:rPr>
          <w:rFonts w:ascii="Arial" w:eastAsia="Times New Roman" w:hAnsi="Arial" w:cs="Times New Roman"/>
          <w:sz w:val="20"/>
        </w:rPr>
      </w:pPr>
    </w:p>
    <w:p w14:paraId="15EB727C" w14:textId="77777777" w:rsidR="00FD6E29" w:rsidRDefault="00FD6E29" w:rsidP="00FD6E29">
      <w:pPr>
        <w:numPr>
          <w:ilvl w:val="0"/>
          <w:numId w:val="295"/>
        </w:numPr>
        <w:jc w:val="both"/>
        <w:rPr>
          <w:rFonts w:ascii="Arial" w:eastAsia="Times New Roman" w:hAnsi="Arial" w:cs="Times New Roman"/>
          <w:sz w:val="20"/>
        </w:rPr>
      </w:pPr>
      <w:r>
        <w:rPr>
          <w:rFonts w:ascii="Arial" w:eastAsia="Times New Roman" w:hAnsi="Arial" w:cs="Times New Roman"/>
          <w:sz w:val="20"/>
        </w:rPr>
        <w:t>Burner</w:t>
      </w:r>
    </w:p>
    <w:p w14:paraId="0493AB55" w14:textId="77777777" w:rsidR="00FD6E29" w:rsidRPr="00FD6E29" w:rsidRDefault="00FD6E29" w:rsidP="00FD6E29">
      <w:pPr>
        <w:ind w:left="139"/>
        <w:jc w:val="both"/>
        <w:rPr>
          <w:rFonts w:ascii="Arial" w:eastAsia="Times New Roman" w:hAnsi="Arial" w:cs="Times New Roman"/>
          <w:sz w:val="20"/>
        </w:rPr>
      </w:pPr>
    </w:p>
    <w:tbl>
      <w:tblPr>
        <w:tblStyle w:val="TableGrid31"/>
        <w:tblW w:w="0" w:type="auto"/>
        <w:tblLayout w:type="fixed"/>
        <w:tblLook w:val="01E0" w:firstRow="1" w:lastRow="1" w:firstColumn="1" w:lastColumn="1" w:noHBand="0" w:noVBand="0"/>
      </w:tblPr>
      <w:tblGrid>
        <w:gridCol w:w="2425"/>
        <w:gridCol w:w="6570"/>
      </w:tblGrid>
      <w:tr w:rsidR="00FD6E29" w:rsidRPr="00FD6E29" w14:paraId="005C54C2" w14:textId="77777777" w:rsidTr="004127B5">
        <w:trPr>
          <w:trHeight w:val="243"/>
        </w:trPr>
        <w:tc>
          <w:tcPr>
            <w:tcW w:w="2425" w:type="dxa"/>
            <w:shd w:val="clear" w:color="auto" w:fill="F2F2F2" w:themeFill="background1" w:themeFillShade="F2"/>
          </w:tcPr>
          <w:p w14:paraId="30209CC5" w14:textId="77777777" w:rsidR="00FD6E29" w:rsidRPr="008D7F65" w:rsidRDefault="00FD6E29" w:rsidP="00FD6E29">
            <w:pPr>
              <w:spacing w:before="1" w:line="222" w:lineRule="exact"/>
              <w:ind w:right="78"/>
              <w:jc w:val="right"/>
              <w:rPr>
                <w:rFonts w:ascii="Arial" w:hAnsi="Arial" w:cs="Arial"/>
                <w:b/>
                <w:sz w:val="18"/>
                <w:szCs w:val="18"/>
              </w:rPr>
            </w:pPr>
            <w:r w:rsidRPr="008D7F65">
              <w:rPr>
                <w:rFonts w:ascii="Arial" w:hAnsi="Arial" w:cs="Arial"/>
                <w:b/>
                <w:sz w:val="18"/>
                <w:szCs w:val="18"/>
              </w:rPr>
              <w:t>System/component/area</w:t>
            </w:r>
          </w:p>
        </w:tc>
        <w:tc>
          <w:tcPr>
            <w:tcW w:w="6570" w:type="dxa"/>
            <w:shd w:val="clear" w:color="auto" w:fill="F2F2F2" w:themeFill="background1" w:themeFillShade="F2"/>
          </w:tcPr>
          <w:p w14:paraId="6E2AF094" w14:textId="77777777" w:rsidR="00FD6E29" w:rsidRPr="008D7F65" w:rsidRDefault="00FD6E29" w:rsidP="00FD6E29">
            <w:pPr>
              <w:spacing w:before="1" w:line="222" w:lineRule="exact"/>
              <w:ind w:left="91"/>
              <w:rPr>
                <w:rFonts w:ascii="Arial" w:hAnsi="Arial" w:cs="Arial"/>
                <w:b/>
                <w:sz w:val="18"/>
                <w:szCs w:val="18"/>
              </w:rPr>
            </w:pPr>
            <w:r w:rsidRPr="008D7F65">
              <w:rPr>
                <w:rFonts w:ascii="Arial" w:hAnsi="Arial" w:cs="Arial"/>
                <w:b/>
                <w:sz w:val="18"/>
                <w:szCs w:val="18"/>
              </w:rPr>
              <w:t>Task</w:t>
            </w:r>
            <w:r w:rsidRPr="008D7F65">
              <w:rPr>
                <w:rFonts w:ascii="Arial" w:hAnsi="Arial" w:cs="Arial"/>
                <w:b/>
                <w:spacing w:val="-3"/>
                <w:sz w:val="18"/>
                <w:szCs w:val="18"/>
              </w:rPr>
              <w:t xml:space="preserve"> </w:t>
            </w:r>
            <w:r w:rsidRPr="008D7F65">
              <w:rPr>
                <w:rFonts w:ascii="Arial" w:hAnsi="Arial" w:cs="Arial"/>
                <w:b/>
                <w:sz w:val="18"/>
                <w:szCs w:val="18"/>
              </w:rPr>
              <w:t>and</w:t>
            </w:r>
            <w:r w:rsidRPr="008D7F65">
              <w:rPr>
                <w:rFonts w:ascii="Arial" w:hAnsi="Arial" w:cs="Arial"/>
                <w:b/>
                <w:spacing w:val="-3"/>
                <w:sz w:val="18"/>
                <w:szCs w:val="18"/>
              </w:rPr>
              <w:t xml:space="preserve"> </w:t>
            </w:r>
            <w:r w:rsidRPr="008D7F65">
              <w:rPr>
                <w:rFonts w:ascii="Arial" w:hAnsi="Arial" w:cs="Arial"/>
                <w:b/>
                <w:sz w:val="18"/>
                <w:szCs w:val="18"/>
              </w:rPr>
              <w:t>inspection</w:t>
            </w:r>
            <w:r w:rsidRPr="008D7F65">
              <w:rPr>
                <w:rFonts w:ascii="Arial" w:hAnsi="Arial" w:cs="Arial"/>
                <w:b/>
                <w:spacing w:val="-1"/>
                <w:sz w:val="18"/>
                <w:szCs w:val="18"/>
              </w:rPr>
              <w:t xml:space="preserve"> </w:t>
            </w:r>
            <w:r w:rsidRPr="008D7F65">
              <w:rPr>
                <w:rFonts w:ascii="Arial" w:hAnsi="Arial" w:cs="Arial"/>
                <w:b/>
                <w:sz w:val="18"/>
                <w:szCs w:val="18"/>
              </w:rPr>
              <w:t>detail</w:t>
            </w:r>
          </w:p>
        </w:tc>
      </w:tr>
      <w:tr w:rsidR="00FD6E29" w:rsidRPr="00FD6E29" w14:paraId="7F2256E3" w14:textId="77777777" w:rsidTr="004127B5">
        <w:trPr>
          <w:trHeight w:val="490"/>
        </w:trPr>
        <w:tc>
          <w:tcPr>
            <w:tcW w:w="2425" w:type="dxa"/>
          </w:tcPr>
          <w:p w14:paraId="712C34AC" w14:textId="77777777" w:rsidR="00FD6E29" w:rsidRPr="008D7F65" w:rsidRDefault="00FD6E29" w:rsidP="00FD6E29">
            <w:pPr>
              <w:spacing w:line="240" w:lineRule="atLeast"/>
              <w:ind w:left="86" w:right="106"/>
              <w:rPr>
                <w:rFonts w:ascii="Arial" w:hAnsi="Arial" w:cs="Arial"/>
                <w:sz w:val="18"/>
                <w:szCs w:val="18"/>
              </w:rPr>
            </w:pPr>
            <w:r w:rsidRPr="008D7F65">
              <w:rPr>
                <w:rFonts w:ascii="Arial" w:hAnsi="Arial" w:cs="Arial"/>
                <w:spacing w:val="-1"/>
                <w:sz w:val="18"/>
                <w:szCs w:val="18"/>
              </w:rPr>
              <w:t xml:space="preserve">Identification </w:t>
            </w:r>
            <w:r w:rsidRPr="008D7F65">
              <w:rPr>
                <w:rFonts w:ascii="Arial" w:hAnsi="Arial" w:cs="Arial"/>
                <w:sz w:val="18"/>
                <w:szCs w:val="18"/>
              </w:rPr>
              <w:t>(type/serial</w:t>
            </w:r>
            <w:r w:rsidRPr="008D7F65">
              <w:rPr>
                <w:rFonts w:ascii="Arial" w:hAnsi="Arial" w:cs="Arial"/>
                <w:spacing w:val="-43"/>
                <w:sz w:val="18"/>
                <w:szCs w:val="18"/>
              </w:rPr>
              <w:t xml:space="preserve"> </w:t>
            </w:r>
            <w:r w:rsidRPr="008D7F65">
              <w:rPr>
                <w:rFonts w:ascii="Arial" w:hAnsi="Arial" w:cs="Arial"/>
                <w:sz w:val="18"/>
                <w:szCs w:val="18"/>
              </w:rPr>
              <w:t>number)</w:t>
            </w:r>
          </w:p>
        </w:tc>
        <w:tc>
          <w:tcPr>
            <w:tcW w:w="6570" w:type="dxa"/>
          </w:tcPr>
          <w:p w14:paraId="47ED8C0B" w14:textId="77777777" w:rsidR="00FD6E29" w:rsidRPr="008D7F65" w:rsidRDefault="00FD6E29" w:rsidP="00FD6E29">
            <w:pPr>
              <w:ind w:left="91"/>
              <w:rPr>
                <w:rFonts w:ascii="Arial" w:hAnsi="Arial" w:cs="Arial"/>
                <w:sz w:val="18"/>
                <w:szCs w:val="18"/>
              </w:rPr>
            </w:pPr>
            <w:r w:rsidRPr="008D7F65">
              <w:rPr>
                <w:rFonts w:ascii="Arial" w:hAnsi="Arial" w:cs="Arial"/>
                <w:sz w:val="18"/>
                <w:szCs w:val="18"/>
              </w:rPr>
              <w:t>Check</w:t>
            </w:r>
            <w:r w:rsidRPr="008D7F65">
              <w:rPr>
                <w:rFonts w:ascii="Arial" w:hAnsi="Arial" w:cs="Arial"/>
                <w:spacing w:val="-4"/>
                <w:sz w:val="18"/>
                <w:szCs w:val="18"/>
              </w:rPr>
              <w:t xml:space="preserve"> </w:t>
            </w:r>
            <w:r w:rsidRPr="008D7F65">
              <w:rPr>
                <w:rFonts w:ascii="Arial" w:hAnsi="Arial" w:cs="Arial"/>
                <w:sz w:val="18"/>
                <w:szCs w:val="18"/>
              </w:rPr>
              <w:t>for</w:t>
            </w:r>
            <w:r w:rsidRPr="008D7F65">
              <w:rPr>
                <w:rFonts w:ascii="Arial" w:hAnsi="Arial" w:cs="Arial"/>
                <w:spacing w:val="-3"/>
                <w:sz w:val="18"/>
                <w:szCs w:val="18"/>
              </w:rPr>
              <w:t xml:space="preserve"> </w:t>
            </w:r>
            <w:r w:rsidRPr="008D7F65">
              <w:rPr>
                <w:rFonts w:ascii="Arial" w:hAnsi="Arial" w:cs="Arial"/>
                <w:sz w:val="18"/>
                <w:szCs w:val="18"/>
              </w:rPr>
              <w:t>presence</w:t>
            </w:r>
            <w:r w:rsidRPr="008D7F65">
              <w:rPr>
                <w:rFonts w:ascii="Arial" w:hAnsi="Arial" w:cs="Arial"/>
                <w:spacing w:val="-5"/>
                <w:sz w:val="18"/>
                <w:szCs w:val="18"/>
              </w:rPr>
              <w:t xml:space="preserve"> </w:t>
            </w:r>
            <w:r w:rsidRPr="008D7F65">
              <w:rPr>
                <w:rFonts w:ascii="Arial" w:hAnsi="Arial" w:cs="Arial"/>
                <w:sz w:val="18"/>
                <w:szCs w:val="18"/>
              </w:rPr>
              <w:t>and</w:t>
            </w:r>
            <w:r w:rsidRPr="008D7F65">
              <w:rPr>
                <w:rFonts w:ascii="Arial" w:hAnsi="Arial" w:cs="Arial"/>
                <w:spacing w:val="-3"/>
                <w:sz w:val="18"/>
                <w:szCs w:val="18"/>
              </w:rPr>
              <w:t xml:space="preserve"> </w:t>
            </w:r>
            <w:r w:rsidRPr="008D7F65">
              <w:rPr>
                <w:rFonts w:ascii="Arial" w:hAnsi="Arial" w:cs="Arial"/>
                <w:sz w:val="18"/>
                <w:szCs w:val="18"/>
              </w:rPr>
              <w:t>verify</w:t>
            </w:r>
            <w:r w:rsidRPr="008D7F65">
              <w:rPr>
                <w:rFonts w:ascii="Arial" w:hAnsi="Arial" w:cs="Arial"/>
                <w:spacing w:val="-4"/>
                <w:sz w:val="18"/>
                <w:szCs w:val="18"/>
              </w:rPr>
              <w:t xml:space="preserve"> </w:t>
            </w:r>
            <w:r w:rsidRPr="008D7F65">
              <w:rPr>
                <w:rFonts w:ascii="Arial" w:hAnsi="Arial" w:cs="Arial"/>
                <w:sz w:val="18"/>
                <w:szCs w:val="18"/>
              </w:rPr>
              <w:t>type/serial</w:t>
            </w:r>
            <w:r w:rsidRPr="008D7F65">
              <w:rPr>
                <w:rFonts w:ascii="Arial" w:hAnsi="Arial" w:cs="Arial"/>
                <w:spacing w:val="-3"/>
                <w:sz w:val="18"/>
                <w:szCs w:val="18"/>
              </w:rPr>
              <w:t xml:space="preserve"> </w:t>
            </w:r>
            <w:r w:rsidRPr="008D7F65">
              <w:rPr>
                <w:rFonts w:ascii="Arial" w:hAnsi="Arial" w:cs="Arial"/>
                <w:sz w:val="18"/>
                <w:szCs w:val="18"/>
              </w:rPr>
              <w:t>number</w:t>
            </w:r>
            <w:r w:rsidRPr="008D7F65">
              <w:rPr>
                <w:rFonts w:ascii="Arial" w:hAnsi="Arial" w:cs="Arial"/>
                <w:spacing w:val="-3"/>
                <w:sz w:val="18"/>
                <w:szCs w:val="18"/>
              </w:rPr>
              <w:t xml:space="preserve"> </w:t>
            </w:r>
            <w:r w:rsidRPr="008D7F65">
              <w:rPr>
                <w:rFonts w:ascii="Arial" w:hAnsi="Arial" w:cs="Arial"/>
                <w:sz w:val="18"/>
                <w:szCs w:val="18"/>
              </w:rPr>
              <w:t>installed.</w:t>
            </w:r>
          </w:p>
        </w:tc>
      </w:tr>
      <w:tr w:rsidR="00FD6E29" w:rsidRPr="00FD6E29" w14:paraId="094D8967" w14:textId="77777777" w:rsidTr="004127B5">
        <w:trPr>
          <w:trHeight w:val="242"/>
        </w:trPr>
        <w:tc>
          <w:tcPr>
            <w:tcW w:w="2425" w:type="dxa"/>
            <w:vMerge w:val="restart"/>
          </w:tcPr>
          <w:p w14:paraId="636C3AF3" w14:textId="77777777" w:rsidR="00FD6E29" w:rsidRPr="008D7F65" w:rsidRDefault="00FD6E29" w:rsidP="00FD6E29">
            <w:pPr>
              <w:spacing w:line="242" w:lineRule="exact"/>
              <w:ind w:left="86"/>
              <w:rPr>
                <w:rFonts w:ascii="Arial" w:hAnsi="Arial" w:cs="Arial"/>
                <w:sz w:val="18"/>
                <w:szCs w:val="18"/>
              </w:rPr>
            </w:pPr>
            <w:r w:rsidRPr="008D7F65">
              <w:rPr>
                <w:rFonts w:ascii="Arial" w:hAnsi="Arial" w:cs="Arial"/>
                <w:sz w:val="18"/>
                <w:szCs w:val="18"/>
              </w:rPr>
              <w:t>Burner</w:t>
            </w:r>
            <w:r w:rsidRPr="008D7F65">
              <w:rPr>
                <w:rFonts w:ascii="Arial" w:hAnsi="Arial" w:cs="Arial"/>
                <w:spacing w:val="-2"/>
                <w:sz w:val="18"/>
                <w:szCs w:val="18"/>
              </w:rPr>
              <w:t xml:space="preserve"> </w:t>
            </w:r>
            <w:r w:rsidRPr="008D7F65">
              <w:rPr>
                <w:rFonts w:ascii="Arial" w:hAnsi="Arial" w:cs="Arial"/>
                <w:sz w:val="18"/>
                <w:szCs w:val="18"/>
              </w:rPr>
              <w:t>frame</w:t>
            </w:r>
          </w:p>
        </w:tc>
        <w:tc>
          <w:tcPr>
            <w:tcW w:w="6570" w:type="dxa"/>
          </w:tcPr>
          <w:p w14:paraId="4A1E591D" w14:textId="77777777" w:rsidR="00FD6E29" w:rsidRPr="008D7F65" w:rsidRDefault="00FD6E29" w:rsidP="00FD6E29">
            <w:pPr>
              <w:spacing w:line="223" w:lineRule="exact"/>
              <w:ind w:left="91"/>
              <w:rPr>
                <w:rFonts w:ascii="Arial" w:hAnsi="Arial" w:cs="Arial"/>
                <w:sz w:val="18"/>
                <w:szCs w:val="18"/>
              </w:rPr>
            </w:pPr>
            <w:r w:rsidRPr="008D7F65">
              <w:rPr>
                <w:rFonts w:ascii="Arial" w:hAnsi="Arial" w:cs="Arial"/>
                <w:sz w:val="18"/>
                <w:szCs w:val="18"/>
              </w:rPr>
              <w:t>Inspect</w:t>
            </w:r>
            <w:r w:rsidRPr="008D7F65">
              <w:rPr>
                <w:rFonts w:ascii="Arial" w:hAnsi="Arial" w:cs="Arial"/>
                <w:spacing w:val="-3"/>
                <w:sz w:val="18"/>
                <w:szCs w:val="18"/>
              </w:rPr>
              <w:t xml:space="preserve"> </w:t>
            </w:r>
            <w:r w:rsidRPr="008D7F65">
              <w:rPr>
                <w:rFonts w:ascii="Arial" w:hAnsi="Arial" w:cs="Arial"/>
                <w:sz w:val="18"/>
                <w:szCs w:val="18"/>
              </w:rPr>
              <w:t>welds</w:t>
            </w:r>
            <w:r w:rsidRPr="008D7F65">
              <w:rPr>
                <w:rFonts w:ascii="Arial" w:hAnsi="Arial" w:cs="Arial"/>
                <w:spacing w:val="-5"/>
                <w:sz w:val="18"/>
                <w:szCs w:val="18"/>
              </w:rPr>
              <w:t xml:space="preserve"> </w:t>
            </w:r>
            <w:r w:rsidRPr="008D7F65">
              <w:rPr>
                <w:rFonts w:ascii="Arial" w:hAnsi="Arial" w:cs="Arial"/>
                <w:sz w:val="18"/>
                <w:szCs w:val="18"/>
              </w:rPr>
              <w:t>for cracking.</w:t>
            </w:r>
          </w:p>
        </w:tc>
      </w:tr>
      <w:tr w:rsidR="00FD6E29" w:rsidRPr="00FD6E29" w14:paraId="03A055F4" w14:textId="77777777" w:rsidTr="004127B5">
        <w:trPr>
          <w:trHeight w:val="243"/>
        </w:trPr>
        <w:tc>
          <w:tcPr>
            <w:tcW w:w="2425" w:type="dxa"/>
            <w:vMerge/>
          </w:tcPr>
          <w:p w14:paraId="7E9CDC0D" w14:textId="77777777" w:rsidR="00FD6E29" w:rsidRPr="008D7F65" w:rsidRDefault="00FD6E29" w:rsidP="00FD6E29">
            <w:pPr>
              <w:rPr>
                <w:rFonts w:ascii="Arial" w:hAnsi="Arial" w:cs="Arial"/>
                <w:sz w:val="18"/>
                <w:szCs w:val="18"/>
              </w:rPr>
            </w:pPr>
          </w:p>
        </w:tc>
        <w:tc>
          <w:tcPr>
            <w:tcW w:w="6570" w:type="dxa"/>
          </w:tcPr>
          <w:p w14:paraId="62B2E24C" w14:textId="77777777" w:rsidR="00FD6E29" w:rsidRPr="008D7F65" w:rsidRDefault="00FD6E29" w:rsidP="00FD6E29">
            <w:pPr>
              <w:spacing w:line="222" w:lineRule="exact"/>
              <w:ind w:left="91"/>
              <w:rPr>
                <w:rFonts w:ascii="Arial" w:hAnsi="Arial" w:cs="Arial"/>
                <w:sz w:val="18"/>
                <w:szCs w:val="18"/>
              </w:rPr>
            </w:pPr>
            <w:r w:rsidRPr="008D7F65">
              <w:rPr>
                <w:rFonts w:ascii="Arial" w:hAnsi="Arial" w:cs="Arial"/>
                <w:sz w:val="18"/>
                <w:szCs w:val="18"/>
              </w:rPr>
              <w:t>Inspect</w:t>
            </w:r>
            <w:r w:rsidRPr="008D7F65">
              <w:rPr>
                <w:rFonts w:ascii="Arial" w:hAnsi="Arial" w:cs="Arial"/>
                <w:spacing w:val="-6"/>
                <w:sz w:val="18"/>
                <w:szCs w:val="18"/>
              </w:rPr>
              <w:t xml:space="preserve"> </w:t>
            </w:r>
            <w:r w:rsidRPr="008D7F65">
              <w:rPr>
                <w:rFonts w:ascii="Arial" w:hAnsi="Arial" w:cs="Arial"/>
                <w:sz w:val="18"/>
                <w:szCs w:val="18"/>
              </w:rPr>
              <w:t>tubes</w:t>
            </w:r>
            <w:r w:rsidRPr="008D7F65">
              <w:rPr>
                <w:rFonts w:ascii="Arial" w:hAnsi="Arial" w:cs="Arial"/>
                <w:spacing w:val="-7"/>
                <w:sz w:val="18"/>
                <w:szCs w:val="18"/>
              </w:rPr>
              <w:t xml:space="preserve"> </w:t>
            </w:r>
            <w:r w:rsidRPr="008D7F65">
              <w:rPr>
                <w:rFonts w:ascii="Arial" w:hAnsi="Arial" w:cs="Arial"/>
                <w:sz w:val="18"/>
                <w:szCs w:val="18"/>
              </w:rPr>
              <w:t>for</w:t>
            </w:r>
            <w:r w:rsidRPr="008D7F65">
              <w:rPr>
                <w:rFonts w:ascii="Arial" w:hAnsi="Arial" w:cs="Arial"/>
                <w:spacing w:val="-6"/>
                <w:sz w:val="18"/>
                <w:szCs w:val="18"/>
              </w:rPr>
              <w:t xml:space="preserve"> </w:t>
            </w:r>
            <w:r w:rsidRPr="008D7F65">
              <w:rPr>
                <w:rFonts w:ascii="Arial" w:hAnsi="Arial" w:cs="Arial"/>
                <w:sz w:val="18"/>
                <w:szCs w:val="18"/>
              </w:rPr>
              <w:t>distortion/deformation/cuts/gouges.</w:t>
            </w:r>
          </w:p>
        </w:tc>
      </w:tr>
      <w:tr w:rsidR="00FD6E29" w:rsidRPr="00FD6E29" w14:paraId="627384CA" w14:textId="77777777" w:rsidTr="004127B5">
        <w:trPr>
          <w:trHeight w:val="245"/>
        </w:trPr>
        <w:tc>
          <w:tcPr>
            <w:tcW w:w="2425" w:type="dxa"/>
            <w:vMerge/>
          </w:tcPr>
          <w:p w14:paraId="390E2B09" w14:textId="77777777" w:rsidR="00FD6E29" w:rsidRPr="008D7F65" w:rsidRDefault="00FD6E29" w:rsidP="00FD6E29">
            <w:pPr>
              <w:rPr>
                <w:rFonts w:ascii="Arial" w:hAnsi="Arial" w:cs="Arial"/>
                <w:sz w:val="18"/>
                <w:szCs w:val="18"/>
              </w:rPr>
            </w:pPr>
          </w:p>
        </w:tc>
        <w:tc>
          <w:tcPr>
            <w:tcW w:w="6570" w:type="dxa"/>
          </w:tcPr>
          <w:p w14:paraId="6F95D75A" w14:textId="77777777" w:rsidR="00FD6E29" w:rsidRPr="008D7F65" w:rsidRDefault="00FD6E29" w:rsidP="00FD6E29">
            <w:pPr>
              <w:spacing w:line="225" w:lineRule="exact"/>
              <w:ind w:left="91"/>
              <w:rPr>
                <w:rFonts w:ascii="Arial" w:hAnsi="Arial" w:cs="Arial"/>
                <w:sz w:val="18"/>
                <w:szCs w:val="18"/>
              </w:rPr>
            </w:pPr>
            <w:r w:rsidRPr="008D7F65">
              <w:rPr>
                <w:rFonts w:ascii="Arial" w:hAnsi="Arial" w:cs="Arial"/>
                <w:sz w:val="18"/>
                <w:szCs w:val="18"/>
              </w:rPr>
              <w:t>Inspect</w:t>
            </w:r>
            <w:r w:rsidRPr="008D7F65">
              <w:rPr>
                <w:rFonts w:ascii="Arial" w:hAnsi="Arial" w:cs="Arial"/>
                <w:spacing w:val="-3"/>
                <w:sz w:val="18"/>
                <w:szCs w:val="18"/>
              </w:rPr>
              <w:t xml:space="preserve"> </w:t>
            </w:r>
            <w:r w:rsidRPr="008D7F65">
              <w:rPr>
                <w:rFonts w:ascii="Arial" w:hAnsi="Arial" w:cs="Arial"/>
                <w:sz w:val="18"/>
                <w:szCs w:val="18"/>
              </w:rPr>
              <w:t>frame</w:t>
            </w:r>
            <w:r w:rsidRPr="008D7F65">
              <w:rPr>
                <w:rFonts w:ascii="Arial" w:hAnsi="Arial" w:cs="Arial"/>
                <w:spacing w:val="-4"/>
                <w:sz w:val="18"/>
                <w:szCs w:val="18"/>
              </w:rPr>
              <w:t xml:space="preserve"> </w:t>
            </w:r>
            <w:r w:rsidRPr="008D7F65">
              <w:rPr>
                <w:rFonts w:ascii="Arial" w:hAnsi="Arial" w:cs="Arial"/>
                <w:sz w:val="18"/>
                <w:szCs w:val="18"/>
              </w:rPr>
              <w:t>for</w:t>
            </w:r>
            <w:r w:rsidRPr="008D7F65">
              <w:rPr>
                <w:rFonts w:ascii="Arial" w:hAnsi="Arial" w:cs="Arial"/>
                <w:spacing w:val="-1"/>
                <w:sz w:val="18"/>
                <w:szCs w:val="18"/>
              </w:rPr>
              <w:t xml:space="preserve"> </w:t>
            </w:r>
            <w:r w:rsidRPr="008D7F65">
              <w:rPr>
                <w:rFonts w:ascii="Arial" w:hAnsi="Arial" w:cs="Arial"/>
                <w:sz w:val="18"/>
                <w:szCs w:val="18"/>
              </w:rPr>
              <w:t>security</w:t>
            </w:r>
            <w:r w:rsidRPr="008D7F65">
              <w:rPr>
                <w:rFonts w:ascii="Arial" w:hAnsi="Arial" w:cs="Arial"/>
                <w:spacing w:val="-2"/>
                <w:sz w:val="18"/>
                <w:szCs w:val="18"/>
              </w:rPr>
              <w:t xml:space="preserve"> </w:t>
            </w:r>
            <w:r w:rsidRPr="008D7F65">
              <w:rPr>
                <w:rFonts w:ascii="Arial" w:hAnsi="Arial" w:cs="Arial"/>
                <w:sz w:val="18"/>
                <w:szCs w:val="18"/>
              </w:rPr>
              <w:t>of</w:t>
            </w:r>
            <w:r w:rsidRPr="008D7F65">
              <w:rPr>
                <w:rFonts w:ascii="Arial" w:hAnsi="Arial" w:cs="Arial"/>
                <w:spacing w:val="-2"/>
                <w:sz w:val="18"/>
                <w:szCs w:val="18"/>
              </w:rPr>
              <w:t xml:space="preserve"> </w:t>
            </w:r>
            <w:r w:rsidRPr="008D7F65">
              <w:rPr>
                <w:rFonts w:ascii="Arial" w:hAnsi="Arial" w:cs="Arial"/>
                <w:sz w:val="18"/>
                <w:szCs w:val="18"/>
              </w:rPr>
              <w:t>fasteners</w:t>
            </w:r>
            <w:r w:rsidRPr="008D7F65">
              <w:rPr>
                <w:rFonts w:ascii="Arial" w:hAnsi="Arial" w:cs="Arial"/>
                <w:spacing w:val="-5"/>
                <w:sz w:val="18"/>
                <w:szCs w:val="18"/>
              </w:rPr>
              <w:t xml:space="preserve"> </w:t>
            </w:r>
            <w:r w:rsidRPr="008D7F65">
              <w:rPr>
                <w:rFonts w:ascii="Arial" w:hAnsi="Arial" w:cs="Arial"/>
                <w:sz w:val="18"/>
                <w:szCs w:val="18"/>
              </w:rPr>
              <w:t>(heat</w:t>
            </w:r>
            <w:r w:rsidRPr="008D7F65">
              <w:rPr>
                <w:rFonts w:ascii="Arial" w:hAnsi="Arial" w:cs="Arial"/>
                <w:spacing w:val="-3"/>
                <w:sz w:val="18"/>
                <w:szCs w:val="18"/>
              </w:rPr>
              <w:t xml:space="preserve"> </w:t>
            </w:r>
            <w:r w:rsidRPr="008D7F65">
              <w:rPr>
                <w:rFonts w:ascii="Arial" w:hAnsi="Arial" w:cs="Arial"/>
                <w:sz w:val="18"/>
                <w:szCs w:val="18"/>
              </w:rPr>
              <w:t>shields,</w:t>
            </w:r>
            <w:r w:rsidRPr="008D7F65">
              <w:rPr>
                <w:rFonts w:ascii="Arial" w:hAnsi="Arial" w:cs="Arial"/>
                <w:spacing w:val="-3"/>
                <w:sz w:val="18"/>
                <w:szCs w:val="18"/>
              </w:rPr>
              <w:t xml:space="preserve"> </w:t>
            </w:r>
            <w:r w:rsidRPr="008D7F65">
              <w:rPr>
                <w:rFonts w:ascii="Arial" w:hAnsi="Arial" w:cs="Arial"/>
                <w:sz w:val="18"/>
                <w:szCs w:val="18"/>
              </w:rPr>
              <w:t>flexi-corners).</w:t>
            </w:r>
          </w:p>
        </w:tc>
      </w:tr>
      <w:tr w:rsidR="00FD6E29" w:rsidRPr="00FD6E29" w14:paraId="42A8FF63" w14:textId="77777777" w:rsidTr="004127B5">
        <w:trPr>
          <w:trHeight w:val="242"/>
        </w:trPr>
        <w:tc>
          <w:tcPr>
            <w:tcW w:w="2425" w:type="dxa"/>
            <w:vMerge/>
          </w:tcPr>
          <w:p w14:paraId="04BA2535" w14:textId="77777777" w:rsidR="00FD6E29" w:rsidRPr="008D7F65" w:rsidRDefault="00FD6E29" w:rsidP="00FD6E29">
            <w:pPr>
              <w:rPr>
                <w:rFonts w:ascii="Arial" w:hAnsi="Arial" w:cs="Arial"/>
                <w:sz w:val="18"/>
                <w:szCs w:val="18"/>
              </w:rPr>
            </w:pPr>
          </w:p>
        </w:tc>
        <w:tc>
          <w:tcPr>
            <w:tcW w:w="6570" w:type="dxa"/>
          </w:tcPr>
          <w:p w14:paraId="74322456" w14:textId="77777777" w:rsidR="00FD6E29" w:rsidRPr="008D7F65" w:rsidRDefault="00FD6E29" w:rsidP="00FD6E29">
            <w:pPr>
              <w:spacing w:line="222" w:lineRule="exact"/>
              <w:ind w:left="91"/>
              <w:rPr>
                <w:rFonts w:ascii="Arial" w:hAnsi="Arial" w:cs="Arial"/>
                <w:sz w:val="18"/>
                <w:szCs w:val="18"/>
              </w:rPr>
            </w:pPr>
            <w:r w:rsidRPr="008D7F65">
              <w:rPr>
                <w:rFonts w:ascii="Arial" w:hAnsi="Arial" w:cs="Arial"/>
                <w:sz w:val="18"/>
                <w:szCs w:val="18"/>
              </w:rPr>
              <w:t>Inspect</w:t>
            </w:r>
            <w:r w:rsidRPr="008D7F65">
              <w:rPr>
                <w:rFonts w:ascii="Arial" w:hAnsi="Arial" w:cs="Arial"/>
                <w:spacing w:val="-2"/>
                <w:sz w:val="18"/>
                <w:szCs w:val="18"/>
              </w:rPr>
              <w:t xml:space="preserve"> </w:t>
            </w:r>
            <w:r w:rsidRPr="008D7F65">
              <w:rPr>
                <w:rFonts w:ascii="Arial" w:hAnsi="Arial" w:cs="Arial"/>
                <w:sz w:val="18"/>
                <w:szCs w:val="18"/>
              </w:rPr>
              <w:t>frame</w:t>
            </w:r>
            <w:r w:rsidRPr="008D7F65">
              <w:rPr>
                <w:rFonts w:ascii="Arial" w:hAnsi="Arial" w:cs="Arial"/>
                <w:spacing w:val="-2"/>
                <w:sz w:val="18"/>
                <w:szCs w:val="18"/>
              </w:rPr>
              <w:t xml:space="preserve"> </w:t>
            </w:r>
            <w:r w:rsidRPr="008D7F65">
              <w:rPr>
                <w:rFonts w:ascii="Arial" w:hAnsi="Arial" w:cs="Arial"/>
                <w:sz w:val="18"/>
                <w:szCs w:val="18"/>
              </w:rPr>
              <w:t>lugs</w:t>
            </w:r>
            <w:r w:rsidRPr="008D7F65">
              <w:rPr>
                <w:rFonts w:ascii="Arial" w:hAnsi="Arial" w:cs="Arial"/>
                <w:spacing w:val="-3"/>
                <w:sz w:val="18"/>
                <w:szCs w:val="18"/>
              </w:rPr>
              <w:t xml:space="preserve"> </w:t>
            </w:r>
            <w:r w:rsidRPr="008D7F65">
              <w:rPr>
                <w:rFonts w:ascii="Arial" w:hAnsi="Arial" w:cs="Arial"/>
                <w:sz w:val="18"/>
                <w:szCs w:val="18"/>
              </w:rPr>
              <w:t>for</w:t>
            </w:r>
            <w:r w:rsidRPr="008D7F65">
              <w:rPr>
                <w:rFonts w:ascii="Arial" w:hAnsi="Arial" w:cs="Arial"/>
                <w:spacing w:val="-1"/>
                <w:sz w:val="18"/>
                <w:szCs w:val="18"/>
              </w:rPr>
              <w:t xml:space="preserve"> </w:t>
            </w:r>
            <w:r w:rsidRPr="008D7F65">
              <w:rPr>
                <w:rFonts w:ascii="Arial" w:hAnsi="Arial" w:cs="Arial"/>
                <w:sz w:val="18"/>
                <w:szCs w:val="18"/>
              </w:rPr>
              <w:t>wear</w:t>
            </w:r>
            <w:r w:rsidRPr="008D7F65">
              <w:rPr>
                <w:rFonts w:ascii="Arial" w:hAnsi="Arial" w:cs="Arial"/>
                <w:spacing w:val="-2"/>
                <w:sz w:val="18"/>
                <w:szCs w:val="18"/>
              </w:rPr>
              <w:t xml:space="preserve"> </w:t>
            </w:r>
            <w:r w:rsidRPr="008D7F65">
              <w:rPr>
                <w:rFonts w:ascii="Arial" w:hAnsi="Arial" w:cs="Arial"/>
                <w:sz w:val="18"/>
                <w:szCs w:val="18"/>
              </w:rPr>
              <w:t>and</w:t>
            </w:r>
            <w:r w:rsidRPr="008D7F65">
              <w:rPr>
                <w:rFonts w:ascii="Arial" w:hAnsi="Arial" w:cs="Arial"/>
                <w:spacing w:val="-1"/>
                <w:sz w:val="18"/>
                <w:szCs w:val="18"/>
              </w:rPr>
              <w:t xml:space="preserve"> </w:t>
            </w:r>
            <w:r w:rsidRPr="008D7F65">
              <w:rPr>
                <w:rFonts w:ascii="Arial" w:hAnsi="Arial" w:cs="Arial"/>
                <w:sz w:val="18"/>
                <w:szCs w:val="18"/>
              </w:rPr>
              <w:t>cracking.</w:t>
            </w:r>
          </w:p>
        </w:tc>
      </w:tr>
      <w:tr w:rsidR="00FD6E29" w:rsidRPr="00FD6E29" w14:paraId="3BA0C036" w14:textId="77777777" w:rsidTr="004127B5">
        <w:trPr>
          <w:trHeight w:val="246"/>
        </w:trPr>
        <w:tc>
          <w:tcPr>
            <w:tcW w:w="2425" w:type="dxa"/>
            <w:vMerge/>
          </w:tcPr>
          <w:p w14:paraId="685A5473" w14:textId="77777777" w:rsidR="00FD6E29" w:rsidRPr="008D7F65" w:rsidRDefault="00FD6E29" w:rsidP="00FD6E29">
            <w:pPr>
              <w:rPr>
                <w:rFonts w:ascii="Arial" w:hAnsi="Arial" w:cs="Arial"/>
                <w:sz w:val="18"/>
                <w:szCs w:val="18"/>
              </w:rPr>
            </w:pPr>
          </w:p>
        </w:tc>
        <w:tc>
          <w:tcPr>
            <w:tcW w:w="6570" w:type="dxa"/>
          </w:tcPr>
          <w:p w14:paraId="6C66B7A9" w14:textId="77777777" w:rsidR="00FD6E29" w:rsidRPr="008D7F65" w:rsidRDefault="00FD6E29" w:rsidP="00FD6E29">
            <w:pPr>
              <w:spacing w:before="1" w:line="225" w:lineRule="exact"/>
              <w:ind w:left="91"/>
              <w:rPr>
                <w:rFonts w:ascii="Arial" w:hAnsi="Arial" w:cs="Arial"/>
                <w:sz w:val="18"/>
                <w:szCs w:val="18"/>
              </w:rPr>
            </w:pPr>
            <w:r w:rsidRPr="008D7F65">
              <w:rPr>
                <w:rFonts w:ascii="Arial" w:hAnsi="Arial" w:cs="Arial"/>
                <w:sz w:val="18"/>
                <w:szCs w:val="18"/>
              </w:rPr>
              <w:t>Inspect</w:t>
            </w:r>
            <w:r w:rsidRPr="008D7F65">
              <w:rPr>
                <w:rFonts w:ascii="Arial" w:hAnsi="Arial" w:cs="Arial"/>
                <w:spacing w:val="-4"/>
                <w:sz w:val="18"/>
                <w:szCs w:val="18"/>
              </w:rPr>
              <w:t xml:space="preserve"> </w:t>
            </w:r>
            <w:r w:rsidRPr="008D7F65">
              <w:rPr>
                <w:rFonts w:ascii="Arial" w:hAnsi="Arial" w:cs="Arial"/>
                <w:sz w:val="18"/>
                <w:szCs w:val="18"/>
              </w:rPr>
              <w:t>general</w:t>
            </w:r>
            <w:r w:rsidRPr="008D7F65">
              <w:rPr>
                <w:rFonts w:ascii="Arial" w:hAnsi="Arial" w:cs="Arial"/>
                <w:spacing w:val="-4"/>
                <w:sz w:val="18"/>
                <w:szCs w:val="18"/>
              </w:rPr>
              <w:t xml:space="preserve"> </w:t>
            </w:r>
            <w:r w:rsidRPr="008D7F65">
              <w:rPr>
                <w:rFonts w:ascii="Arial" w:hAnsi="Arial" w:cs="Arial"/>
                <w:sz w:val="18"/>
                <w:szCs w:val="18"/>
              </w:rPr>
              <w:t>condition</w:t>
            </w:r>
            <w:r w:rsidRPr="008D7F65">
              <w:rPr>
                <w:rFonts w:ascii="Arial" w:hAnsi="Arial" w:cs="Arial"/>
                <w:spacing w:val="-4"/>
                <w:sz w:val="18"/>
                <w:szCs w:val="18"/>
              </w:rPr>
              <w:t xml:space="preserve"> </w:t>
            </w:r>
            <w:r w:rsidRPr="008D7F65">
              <w:rPr>
                <w:rFonts w:ascii="Arial" w:hAnsi="Arial" w:cs="Arial"/>
                <w:sz w:val="18"/>
                <w:szCs w:val="18"/>
              </w:rPr>
              <w:t>(corrosion,</w:t>
            </w:r>
            <w:r w:rsidRPr="008D7F65">
              <w:rPr>
                <w:rFonts w:ascii="Arial" w:hAnsi="Arial" w:cs="Arial"/>
                <w:spacing w:val="-4"/>
                <w:sz w:val="18"/>
                <w:szCs w:val="18"/>
              </w:rPr>
              <w:t xml:space="preserve"> </w:t>
            </w:r>
            <w:r w:rsidRPr="008D7F65">
              <w:rPr>
                <w:rFonts w:ascii="Arial" w:hAnsi="Arial" w:cs="Arial"/>
                <w:sz w:val="18"/>
                <w:szCs w:val="18"/>
              </w:rPr>
              <w:t>heat</w:t>
            </w:r>
            <w:r w:rsidRPr="008D7F65">
              <w:rPr>
                <w:rFonts w:ascii="Arial" w:hAnsi="Arial" w:cs="Arial"/>
                <w:spacing w:val="-3"/>
                <w:sz w:val="18"/>
                <w:szCs w:val="18"/>
              </w:rPr>
              <w:t xml:space="preserve"> </w:t>
            </w:r>
            <w:r w:rsidRPr="008D7F65">
              <w:rPr>
                <w:rFonts w:ascii="Arial" w:hAnsi="Arial" w:cs="Arial"/>
                <w:sz w:val="18"/>
                <w:szCs w:val="18"/>
              </w:rPr>
              <w:t>shields).</w:t>
            </w:r>
          </w:p>
        </w:tc>
      </w:tr>
      <w:tr w:rsidR="00FD6E29" w:rsidRPr="00FD6E29" w14:paraId="0ADE0F8D" w14:textId="77777777" w:rsidTr="004127B5">
        <w:trPr>
          <w:trHeight w:val="242"/>
        </w:trPr>
        <w:tc>
          <w:tcPr>
            <w:tcW w:w="2425" w:type="dxa"/>
          </w:tcPr>
          <w:p w14:paraId="20FAAE29" w14:textId="77777777" w:rsidR="00FD6E29" w:rsidRPr="008D7F65" w:rsidRDefault="00FD6E29" w:rsidP="00FD6E29">
            <w:pPr>
              <w:spacing w:line="222" w:lineRule="exact"/>
              <w:ind w:left="86"/>
              <w:rPr>
                <w:rFonts w:ascii="Arial" w:hAnsi="Arial" w:cs="Arial"/>
                <w:sz w:val="18"/>
                <w:szCs w:val="18"/>
              </w:rPr>
            </w:pPr>
            <w:r w:rsidRPr="008D7F65">
              <w:rPr>
                <w:rFonts w:ascii="Arial" w:hAnsi="Arial" w:cs="Arial"/>
                <w:sz w:val="18"/>
                <w:szCs w:val="18"/>
              </w:rPr>
              <w:t>Gimballing</w:t>
            </w:r>
          </w:p>
        </w:tc>
        <w:tc>
          <w:tcPr>
            <w:tcW w:w="6570" w:type="dxa"/>
          </w:tcPr>
          <w:p w14:paraId="4BF82CDE" w14:textId="77777777" w:rsidR="00FD6E29" w:rsidRPr="008D7F65" w:rsidRDefault="00FD6E29" w:rsidP="00FD6E29">
            <w:pPr>
              <w:spacing w:line="222" w:lineRule="exact"/>
              <w:ind w:left="91"/>
              <w:rPr>
                <w:rFonts w:ascii="Arial" w:hAnsi="Arial" w:cs="Arial"/>
                <w:sz w:val="18"/>
                <w:szCs w:val="18"/>
              </w:rPr>
            </w:pPr>
            <w:r w:rsidRPr="008D7F65">
              <w:rPr>
                <w:rFonts w:ascii="Arial" w:hAnsi="Arial" w:cs="Arial"/>
                <w:sz w:val="18"/>
                <w:szCs w:val="18"/>
              </w:rPr>
              <w:t>Operational</w:t>
            </w:r>
            <w:r w:rsidRPr="008D7F65">
              <w:rPr>
                <w:rFonts w:ascii="Arial" w:hAnsi="Arial" w:cs="Arial"/>
                <w:spacing w:val="-3"/>
                <w:sz w:val="18"/>
                <w:szCs w:val="18"/>
              </w:rPr>
              <w:t xml:space="preserve"> </w:t>
            </w:r>
            <w:r w:rsidRPr="008D7F65">
              <w:rPr>
                <w:rFonts w:ascii="Arial" w:hAnsi="Arial" w:cs="Arial"/>
                <w:sz w:val="18"/>
                <w:szCs w:val="18"/>
              </w:rPr>
              <w:t>check</w:t>
            </w:r>
            <w:r w:rsidRPr="008D7F65">
              <w:rPr>
                <w:rFonts w:ascii="Arial" w:hAnsi="Arial" w:cs="Arial"/>
                <w:spacing w:val="-3"/>
                <w:sz w:val="18"/>
                <w:szCs w:val="18"/>
              </w:rPr>
              <w:t xml:space="preserve"> </w:t>
            </w:r>
            <w:r w:rsidRPr="008D7F65">
              <w:rPr>
                <w:rFonts w:ascii="Arial" w:hAnsi="Arial" w:cs="Arial"/>
                <w:sz w:val="18"/>
                <w:szCs w:val="18"/>
              </w:rPr>
              <w:t>of</w:t>
            </w:r>
            <w:r w:rsidRPr="008D7F65">
              <w:rPr>
                <w:rFonts w:ascii="Arial" w:hAnsi="Arial" w:cs="Arial"/>
                <w:spacing w:val="-4"/>
                <w:sz w:val="18"/>
                <w:szCs w:val="18"/>
              </w:rPr>
              <w:t xml:space="preserve"> </w:t>
            </w:r>
            <w:r w:rsidRPr="008D7F65">
              <w:rPr>
                <w:rFonts w:ascii="Arial" w:hAnsi="Arial" w:cs="Arial"/>
                <w:sz w:val="18"/>
                <w:szCs w:val="18"/>
              </w:rPr>
              <w:t>stiffness</w:t>
            </w:r>
            <w:r w:rsidRPr="008D7F65">
              <w:rPr>
                <w:rFonts w:ascii="Arial" w:hAnsi="Arial" w:cs="Arial"/>
                <w:spacing w:val="-2"/>
                <w:sz w:val="18"/>
                <w:szCs w:val="18"/>
              </w:rPr>
              <w:t xml:space="preserve"> </w:t>
            </w:r>
            <w:r w:rsidRPr="008D7F65">
              <w:rPr>
                <w:rFonts w:ascii="Arial" w:hAnsi="Arial" w:cs="Arial"/>
                <w:sz w:val="18"/>
                <w:szCs w:val="18"/>
              </w:rPr>
              <w:t>and</w:t>
            </w:r>
            <w:r w:rsidRPr="008D7F65">
              <w:rPr>
                <w:rFonts w:ascii="Arial" w:hAnsi="Arial" w:cs="Arial"/>
                <w:spacing w:val="-2"/>
                <w:sz w:val="18"/>
                <w:szCs w:val="18"/>
              </w:rPr>
              <w:t xml:space="preserve"> </w:t>
            </w:r>
            <w:r w:rsidRPr="008D7F65">
              <w:rPr>
                <w:rFonts w:ascii="Arial" w:hAnsi="Arial" w:cs="Arial"/>
                <w:sz w:val="18"/>
                <w:szCs w:val="18"/>
              </w:rPr>
              <w:t>security</w:t>
            </w:r>
            <w:r w:rsidRPr="008D7F65">
              <w:rPr>
                <w:rFonts w:ascii="Arial" w:hAnsi="Arial" w:cs="Arial"/>
                <w:spacing w:val="-3"/>
                <w:sz w:val="18"/>
                <w:szCs w:val="18"/>
              </w:rPr>
              <w:t xml:space="preserve"> </w:t>
            </w:r>
            <w:r w:rsidRPr="008D7F65">
              <w:rPr>
                <w:rFonts w:ascii="Arial" w:hAnsi="Arial" w:cs="Arial"/>
                <w:sz w:val="18"/>
                <w:szCs w:val="18"/>
              </w:rPr>
              <w:t>of</w:t>
            </w:r>
            <w:r w:rsidRPr="008D7F65">
              <w:rPr>
                <w:rFonts w:ascii="Arial" w:hAnsi="Arial" w:cs="Arial"/>
                <w:spacing w:val="1"/>
                <w:sz w:val="18"/>
                <w:szCs w:val="18"/>
              </w:rPr>
              <w:t xml:space="preserve"> </w:t>
            </w:r>
            <w:r w:rsidRPr="008D7F65">
              <w:rPr>
                <w:rFonts w:ascii="Arial" w:hAnsi="Arial" w:cs="Arial"/>
                <w:sz w:val="18"/>
                <w:szCs w:val="18"/>
              </w:rPr>
              <w:t>fasteners.</w:t>
            </w:r>
          </w:p>
        </w:tc>
      </w:tr>
      <w:tr w:rsidR="00FD6E29" w:rsidRPr="00FD6E29" w14:paraId="60B6AA70" w14:textId="77777777" w:rsidTr="004127B5">
        <w:trPr>
          <w:trHeight w:val="245"/>
        </w:trPr>
        <w:tc>
          <w:tcPr>
            <w:tcW w:w="2425" w:type="dxa"/>
          </w:tcPr>
          <w:p w14:paraId="040751F8" w14:textId="77777777" w:rsidR="00FD6E29" w:rsidRPr="008D7F65" w:rsidRDefault="00FD6E29" w:rsidP="00FD6E29">
            <w:pPr>
              <w:spacing w:line="225" w:lineRule="exact"/>
              <w:ind w:left="86"/>
              <w:rPr>
                <w:rFonts w:ascii="Arial" w:hAnsi="Arial" w:cs="Arial"/>
                <w:sz w:val="18"/>
                <w:szCs w:val="18"/>
              </w:rPr>
            </w:pPr>
            <w:r w:rsidRPr="008D7F65">
              <w:rPr>
                <w:rFonts w:ascii="Arial" w:hAnsi="Arial" w:cs="Arial"/>
                <w:sz w:val="18"/>
                <w:szCs w:val="18"/>
              </w:rPr>
              <w:t>Leak</w:t>
            </w:r>
            <w:r w:rsidRPr="008D7F65">
              <w:rPr>
                <w:rFonts w:ascii="Arial" w:hAnsi="Arial" w:cs="Arial"/>
                <w:spacing w:val="-3"/>
                <w:sz w:val="18"/>
                <w:szCs w:val="18"/>
              </w:rPr>
              <w:t xml:space="preserve"> </w:t>
            </w:r>
            <w:r w:rsidRPr="008D7F65">
              <w:rPr>
                <w:rFonts w:ascii="Arial" w:hAnsi="Arial" w:cs="Arial"/>
                <w:sz w:val="18"/>
                <w:szCs w:val="18"/>
              </w:rPr>
              <w:t>check</w:t>
            </w:r>
          </w:p>
        </w:tc>
        <w:tc>
          <w:tcPr>
            <w:tcW w:w="6570" w:type="dxa"/>
          </w:tcPr>
          <w:p w14:paraId="27E03DFC" w14:textId="77777777" w:rsidR="00FD6E29" w:rsidRPr="008D7F65" w:rsidRDefault="00FD6E29" w:rsidP="00FD6E29">
            <w:pPr>
              <w:spacing w:line="225" w:lineRule="exact"/>
              <w:ind w:left="91"/>
              <w:rPr>
                <w:rFonts w:ascii="Arial" w:hAnsi="Arial" w:cs="Arial"/>
                <w:sz w:val="18"/>
                <w:szCs w:val="18"/>
              </w:rPr>
            </w:pPr>
            <w:r w:rsidRPr="008D7F65">
              <w:rPr>
                <w:rFonts w:ascii="Arial" w:hAnsi="Arial" w:cs="Arial"/>
                <w:sz w:val="18"/>
                <w:szCs w:val="18"/>
              </w:rPr>
              <w:t>Perform</w:t>
            </w:r>
            <w:r w:rsidRPr="008D7F65">
              <w:rPr>
                <w:rFonts w:ascii="Arial" w:hAnsi="Arial" w:cs="Arial"/>
                <w:spacing w:val="-3"/>
                <w:sz w:val="18"/>
                <w:szCs w:val="18"/>
              </w:rPr>
              <w:t xml:space="preserve"> </w:t>
            </w:r>
            <w:r w:rsidRPr="008D7F65">
              <w:rPr>
                <w:rFonts w:ascii="Arial" w:hAnsi="Arial" w:cs="Arial"/>
                <w:sz w:val="18"/>
                <w:szCs w:val="18"/>
              </w:rPr>
              <w:t>leak</w:t>
            </w:r>
            <w:r w:rsidRPr="008D7F65">
              <w:rPr>
                <w:rFonts w:ascii="Arial" w:hAnsi="Arial" w:cs="Arial"/>
                <w:spacing w:val="-1"/>
                <w:sz w:val="18"/>
                <w:szCs w:val="18"/>
              </w:rPr>
              <w:t xml:space="preserve"> </w:t>
            </w:r>
            <w:r w:rsidRPr="008D7F65">
              <w:rPr>
                <w:rFonts w:ascii="Arial" w:hAnsi="Arial" w:cs="Arial"/>
                <w:sz w:val="18"/>
                <w:szCs w:val="18"/>
              </w:rPr>
              <w:t>check</w:t>
            </w:r>
            <w:r w:rsidRPr="008D7F65">
              <w:rPr>
                <w:rFonts w:ascii="Arial" w:hAnsi="Arial" w:cs="Arial"/>
                <w:spacing w:val="-1"/>
                <w:sz w:val="18"/>
                <w:szCs w:val="18"/>
              </w:rPr>
              <w:t xml:space="preserve"> </w:t>
            </w:r>
            <w:r w:rsidRPr="008D7F65">
              <w:rPr>
                <w:rFonts w:ascii="Arial" w:hAnsi="Arial" w:cs="Arial"/>
                <w:sz w:val="18"/>
                <w:szCs w:val="18"/>
              </w:rPr>
              <w:t>of</w:t>
            </w:r>
            <w:r w:rsidRPr="008D7F65">
              <w:rPr>
                <w:rFonts w:ascii="Arial" w:hAnsi="Arial" w:cs="Arial"/>
                <w:spacing w:val="-3"/>
                <w:sz w:val="18"/>
                <w:szCs w:val="18"/>
              </w:rPr>
              <w:t xml:space="preserve"> </w:t>
            </w:r>
            <w:r w:rsidRPr="008D7F65">
              <w:rPr>
                <w:rFonts w:ascii="Arial" w:hAnsi="Arial" w:cs="Arial"/>
                <w:sz w:val="18"/>
                <w:szCs w:val="18"/>
              </w:rPr>
              <w:t>the</w:t>
            </w:r>
            <w:r w:rsidRPr="008D7F65">
              <w:rPr>
                <w:rFonts w:ascii="Arial" w:hAnsi="Arial" w:cs="Arial"/>
                <w:spacing w:val="-2"/>
                <w:sz w:val="18"/>
                <w:szCs w:val="18"/>
              </w:rPr>
              <w:t xml:space="preserve"> </w:t>
            </w:r>
            <w:r w:rsidRPr="008D7F65">
              <w:rPr>
                <w:rFonts w:ascii="Arial" w:hAnsi="Arial" w:cs="Arial"/>
                <w:sz w:val="18"/>
                <w:szCs w:val="18"/>
              </w:rPr>
              <w:t>burner.</w:t>
            </w:r>
          </w:p>
        </w:tc>
      </w:tr>
      <w:tr w:rsidR="00FD6E29" w:rsidRPr="00FD6E29" w14:paraId="1D8FB66D" w14:textId="77777777" w:rsidTr="004127B5">
        <w:trPr>
          <w:trHeight w:val="487"/>
        </w:trPr>
        <w:tc>
          <w:tcPr>
            <w:tcW w:w="2425" w:type="dxa"/>
          </w:tcPr>
          <w:p w14:paraId="7C121E62" w14:textId="212FF2A8" w:rsidR="00FD6E29" w:rsidRPr="008D7F65" w:rsidRDefault="00FD6E29" w:rsidP="008D7F65">
            <w:pPr>
              <w:spacing w:line="243" w:lineRule="exact"/>
              <w:ind w:left="86"/>
              <w:rPr>
                <w:rFonts w:ascii="Arial" w:hAnsi="Arial" w:cs="Arial"/>
                <w:sz w:val="18"/>
                <w:szCs w:val="18"/>
              </w:rPr>
            </w:pPr>
            <w:r w:rsidRPr="008D7F65">
              <w:rPr>
                <w:rFonts w:ascii="Arial" w:hAnsi="Arial" w:cs="Arial"/>
                <w:sz w:val="18"/>
                <w:szCs w:val="18"/>
              </w:rPr>
              <w:t>Fuel</w:t>
            </w:r>
            <w:r w:rsidRPr="008D7F65">
              <w:rPr>
                <w:rFonts w:ascii="Arial" w:hAnsi="Arial" w:cs="Arial"/>
                <w:spacing w:val="-2"/>
                <w:sz w:val="18"/>
                <w:szCs w:val="18"/>
              </w:rPr>
              <w:t xml:space="preserve"> </w:t>
            </w:r>
            <w:r w:rsidRPr="008D7F65">
              <w:rPr>
                <w:rFonts w:ascii="Arial" w:hAnsi="Arial" w:cs="Arial"/>
                <w:sz w:val="18"/>
                <w:szCs w:val="18"/>
              </w:rPr>
              <w:t>hoses</w:t>
            </w:r>
            <w:r w:rsidRPr="008D7F65">
              <w:rPr>
                <w:rFonts w:ascii="Arial" w:hAnsi="Arial" w:cs="Arial"/>
                <w:spacing w:val="-4"/>
                <w:sz w:val="18"/>
                <w:szCs w:val="18"/>
              </w:rPr>
              <w:t xml:space="preserve"> </w:t>
            </w:r>
            <w:r w:rsidRPr="008D7F65">
              <w:rPr>
                <w:rFonts w:ascii="Arial" w:hAnsi="Arial" w:cs="Arial"/>
                <w:sz w:val="18"/>
                <w:szCs w:val="18"/>
              </w:rPr>
              <w:t>including</w:t>
            </w:r>
            <w:r w:rsidR="008D7F65" w:rsidRPr="008D7F65">
              <w:rPr>
                <w:rFonts w:ascii="Arial" w:hAnsi="Arial" w:cs="Arial"/>
                <w:sz w:val="18"/>
                <w:szCs w:val="18"/>
              </w:rPr>
              <w:t xml:space="preserve"> </w:t>
            </w:r>
            <w:r w:rsidRPr="008D7F65">
              <w:rPr>
                <w:rFonts w:ascii="Arial" w:hAnsi="Arial" w:cs="Arial"/>
                <w:sz w:val="18"/>
                <w:szCs w:val="18"/>
              </w:rPr>
              <w:t>manifolds</w:t>
            </w:r>
          </w:p>
        </w:tc>
        <w:tc>
          <w:tcPr>
            <w:tcW w:w="6570" w:type="dxa"/>
          </w:tcPr>
          <w:p w14:paraId="5E2497E6" w14:textId="77777777" w:rsidR="00FD6E29" w:rsidRPr="008D7F65" w:rsidRDefault="00FD6E29" w:rsidP="00FD6E29">
            <w:pPr>
              <w:spacing w:line="243" w:lineRule="exact"/>
              <w:ind w:left="91"/>
              <w:rPr>
                <w:rFonts w:ascii="Arial" w:hAnsi="Arial" w:cs="Arial"/>
                <w:sz w:val="18"/>
                <w:szCs w:val="18"/>
              </w:rPr>
            </w:pPr>
            <w:r w:rsidRPr="008D7F65">
              <w:rPr>
                <w:rFonts w:ascii="Arial" w:hAnsi="Arial" w:cs="Arial"/>
                <w:sz w:val="18"/>
                <w:szCs w:val="18"/>
              </w:rPr>
              <w:t>Inspect</w:t>
            </w:r>
            <w:r w:rsidRPr="008D7F65">
              <w:rPr>
                <w:rFonts w:ascii="Arial" w:hAnsi="Arial" w:cs="Arial"/>
                <w:spacing w:val="-3"/>
                <w:sz w:val="18"/>
                <w:szCs w:val="18"/>
              </w:rPr>
              <w:t xml:space="preserve"> </w:t>
            </w:r>
            <w:r w:rsidRPr="008D7F65">
              <w:rPr>
                <w:rFonts w:ascii="Arial" w:hAnsi="Arial" w:cs="Arial"/>
                <w:sz w:val="18"/>
                <w:szCs w:val="18"/>
              </w:rPr>
              <w:t>all</w:t>
            </w:r>
            <w:r w:rsidRPr="008D7F65">
              <w:rPr>
                <w:rFonts w:ascii="Arial" w:hAnsi="Arial" w:cs="Arial"/>
                <w:spacing w:val="-2"/>
                <w:sz w:val="18"/>
                <w:szCs w:val="18"/>
              </w:rPr>
              <w:t xml:space="preserve"> </w:t>
            </w:r>
            <w:r w:rsidRPr="008D7F65">
              <w:rPr>
                <w:rFonts w:ascii="Arial" w:hAnsi="Arial" w:cs="Arial"/>
                <w:sz w:val="18"/>
                <w:szCs w:val="18"/>
              </w:rPr>
              <w:t>hoses</w:t>
            </w:r>
            <w:r w:rsidRPr="008D7F65">
              <w:rPr>
                <w:rFonts w:ascii="Arial" w:hAnsi="Arial" w:cs="Arial"/>
                <w:spacing w:val="-4"/>
                <w:sz w:val="18"/>
                <w:szCs w:val="18"/>
              </w:rPr>
              <w:t xml:space="preserve"> </w:t>
            </w:r>
            <w:r w:rsidRPr="008D7F65">
              <w:rPr>
                <w:rFonts w:ascii="Arial" w:hAnsi="Arial" w:cs="Arial"/>
                <w:sz w:val="18"/>
                <w:szCs w:val="18"/>
              </w:rPr>
              <w:t>for wear,</w:t>
            </w:r>
            <w:r w:rsidRPr="008D7F65">
              <w:rPr>
                <w:rFonts w:ascii="Arial" w:hAnsi="Arial" w:cs="Arial"/>
                <w:spacing w:val="-2"/>
                <w:sz w:val="18"/>
                <w:szCs w:val="18"/>
              </w:rPr>
              <w:t xml:space="preserve"> </w:t>
            </w:r>
            <w:r w:rsidRPr="008D7F65">
              <w:rPr>
                <w:rFonts w:ascii="Arial" w:hAnsi="Arial" w:cs="Arial"/>
                <w:sz w:val="18"/>
                <w:szCs w:val="18"/>
              </w:rPr>
              <w:t>damage,</w:t>
            </w:r>
            <w:r w:rsidRPr="008D7F65">
              <w:rPr>
                <w:rFonts w:ascii="Arial" w:hAnsi="Arial" w:cs="Arial"/>
                <w:spacing w:val="-3"/>
                <w:sz w:val="18"/>
                <w:szCs w:val="18"/>
              </w:rPr>
              <w:t xml:space="preserve"> </w:t>
            </w:r>
            <w:r w:rsidRPr="008D7F65">
              <w:rPr>
                <w:rFonts w:ascii="Arial" w:hAnsi="Arial" w:cs="Arial"/>
                <w:sz w:val="18"/>
                <w:szCs w:val="18"/>
              </w:rPr>
              <w:t>leakage</w:t>
            </w:r>
            <w:r w:rsidRPr="008D7F65">
              <w:rPr>
                <w:rFonts w:ascii="Arial" w:hAnsi="Arial" w:cs="Arial"/>
                <w:spacing w:val="-3"/>
                <w:sz w:val="18"/>
                <w:szCs w:val="18"/>
              </w:rPr>
              <w:t xml:space="preserve"> </w:t>
            </w:r>
            <w:r w:rsidRPr="008D7F65">
              <w:rPr>
                <w:rFonts w:ascii="Arial" w:hAnsi="Arial" w:cs="Arial"/>
                <w:sz w:val="18"/>
                <w:szCs w:val="18"/>
              </w:rPr>
              <w:t>and</w:t>
            </w:r>
            <w:r w:rsidRPr="008D7F65">
              <w:rPr>
                <w:rFonts w:ascii="Arial" w:hAnsi="Arial" w:cs="Arial"/>
                <w:spacing w:val="-2"/>
                <w:sz w:val="18"/>
                <w:szCs w:val="18"/>
              </w:rPr>
              <w:t xml:space="preserve"> </w:t>
            </w:r>
            <w:r w:rsidRPr="008D7F65">
              <w:rPr>
                <w:rFonts w:ascii="Arial" w:hAnsi="Arial" w:cs="Arial"/>
                <w:sz w:val="18"/>
                <w:szCs w:val="18"/>
              </w:rPr>
              <w:t>service</w:t>
            </w:r>
            <w:r w:rsidRPr="008D7F65">
              <w:rPr>
                <w:rFonts w:ascii="Arial" w:hAnsi="Arial" w:cs="Arial"/>
                <w:spacing w:val="1"/>
                <w:sz w:val="18"/>
                <w:szCs w:val="18"/>
              </w:rPr>
              <w:t xml:space="preserve"> </w:t>
            </w:r>
            <w:r w:rsidRPr="008D7F65">
              <w:rPr>
                <w:rFonts w:ascii="Arial" w:hAnsi="Arial" w:cs="Arial"/>
                <w:sz w:val="18"/>
                <w:szCs w:val="18"/>
              </w:rPr>
              <w:t>life</w:t>
            </w:r>
            <w:r w:rsidRPr="008D7F65">
              <w:rPr>
                <w:rFonts w:ascii="Arial" w:hAnsi="Arial" w:cs="Arial"/>
                <w:spacing w:val="-1"/>
                <w:sz w:val="18"/>
                <w:szCs w:val="18"/>
              </w:rPr>
              <w:t xml:space="preserve"> </w:t>
            </w:r>
            <w:r w:rsidRPr="008D7F65">
              <w:rPr>
                <w:rFonts w:ascii="Arial" w:hAnsi="Arial" w:cs="Arial"/>
                <w:sz w:val="18"/>
                <w:szCs w:val="18"/>
              </w:rPr>
              <w:t>limitations.</w:t>
            </w:r>
          </w:p>
          <w:p w14:paraId="3CE44DF6" w14:textId="77777777" w:rsidR="00FD6E29" w:rsidRPr="008D7F65" w:rsidRDefault="00FD6E29" w:rsidP="00FD6E29">
            <w:pPr>
              <w:spacing w:line="243" w:lineRule="exact"/>
              <w:ind w:left="91"/>
              <w:rPr>
                <w:rFonts w:ascii="Arial" w:hAnsi="Arial" w:cs="Arial"/>
                <w:sz w:val="18"/>
                <w:szCs w:val="18"/>
              </w:rPr>
            </w:pPr>
            <w:r w:rsidRPr="008D7F65">
              <w:rPr>
                <w:rFonts w:ascii="Arial" w:hAnsi="Arial" w:cs="Arial"/>
                <w:sz w:val="18"/>
                <w:szCs w:val="18"/>
              </w:rPr>
              <w:t>Inspect</w:t>
            </w:r>
            <w:r w:rsidRPr="008D7F65">
              <w:rPr>
                <w:rFonts w:ascii="Arial" w:hAnsi="Arial" w:cs="Arial"/>
                <w:spacing w:val="-3"/>
                <w:sz w:val="18"/>
                <w:szCs w:val="18"/>
              </w:rPr>
              <w:t xml:space="preserve"> </w:t>
            </w:r>
            <w:r w:rsidRPr="008D7F65">
              <w:rPr>
                <w:rFonts w:ascii="Arial" w:hAnsi="Arial" w:cs="Arial"/>
                <w:sz w:val="18"/>
                <w:szCs w:val="18"/>
              </w:rPr>
              <w:t>O-ring</w:t>
            </w:r>
            <w:r w:rsidRPr="008D7F65">
              <w:rPr>
                <w:rFonts w:ascii="Arial" w:hAnsi="Arial" w:cs="Arial"/>
                <w:spacing w:val="-4"/>
                <w:sz w:val="18"/>
                <w:szCs w:val="18"/>
              </w:rPr>
              <w:t xml:space="preserve"> </w:t>
            </w:r>
            <w:r w:rsidRPr="008D7F65">
              <w:rPr>
                <w:rFonts w:ascii="Arial" w:hAnsi="Arial" w:cs="Arial"/>
                <w:sz w:val="18"/>
                <w:szCs w:val="18"/>
              </w:rPr>
              <w:t>seals,</w:t>
            </w:r>
            <w:r w:rsidRPr="008D7F65">
              <w:rPr>
                <w:rFonts w:ascii="Arial" w:hAnsi="Arial" w:cs="Arial"/>
                <w:spacing w:val="-3"/>
                <w:sz w:val="18"/>
                <w:szCs w:val="18"/>
              </w:rPr>
              <w:t xml:space="preserve"> </w:t>
            </w:r>
            <w:r w:rsidRPr="008D7F65">
              <w:rPr>
                <w:rFonts w:ascii="Arial" w:hAnsi="Arial" w:cs="Arial"/>
                <w:sz w:val="18"/>
                <w:szCs w:val="18"/>
              </w:rPr>
              <w:t>lubricate/replace</w:t>
            </w:r>
            <w:r w:rsidRPr="008D7F65">
              <w:rPr>
                <w:rFonts w:ascii="Arial" w:hAnsi="Arial" w:cs="Arial"/>
                <w:spacing w:val="-4"/>
                <w:sz w:val="18"/>
                <w:szCs w:val="18"/>
              </w:rPr>
              <w:t xml:space="preserve"> </w:t>
            </w:r>
            <w:r w:rsidRPr="008D7F65">
              <w:rPr>
                <w:rFonts w:ascii="Arial" w:hAnsi="Arial" w:cs="Arial"/>
                <w:sz w:val="18"/>
                <w:szCs w:val="18"/>
              </w:rPr>
              <w:t>as</w:t>
            </w:r>
            <w:r w:rsidRPr="008D7F65">
              <w:rPr>
                <w:rFonts w:ascii="Arial" w:hAnsi="Arial" w:cs="Arial"/>
                <w:spacing w:val="-5"/>
                <w:sz w:val="18"/>
                <w:szCs w:val="18"/>
              </w:rPr>
              <w:t xml:space="preserve"> </w:t>
            </w:r>
            <w:r w:rsidRPr="008D7F65">
              <w:rPr>
                <w:rFonts w:ascii="Arial" w:hAnsi="Arial" w:cs="Arial"/>
                <w:sz w:val="18"/>
                <w:szCs w:val="18"/>
              </w:rPr>
              <w:t>required.</w:t>
            </w:r>
          </w:p>
        </w:tc>
      </w:tr>
      <w:tr w:rsidR="00FD6E29" w:rsidRPr="00FD6E29" w14:paraId="75121576" w14:textId="77777777" w:rsidTr="004127B5">
        <w:trPr>
          <w:trHeight w:val="245"/>
        </w:trPr>
        <w:tc>
          <w:tcPr>
            <w:tcW w:w="2425" w:type="dxa"/>
          </w:tcPr>
          <w:p w14:paraId="2D564831" w14:textId="77777777" w:rsidR="00FD6E29" w:rsidRPr="008D7F65" w:rsidRDefault="00FD6E29" w:rsidP="00FD6E29">
            <w:pPr>
              <w:spacing w:line="225" w:lineRule="exact"/>
              <w:ind w:left="86"/>
              <w:rPr>
                <w:rFonts w:ascii="Arial" w:hAnsi="Arial" w:cs="Arial"/>
                <w:sz w:val="18"/>
                <w:szCs w:val="18"/>
              </w:rPr>
            </w:pPr>
            <w:r w:rsidRPr="008D7F65">
              <w:rPr>
                <w:rFonts w:ascii="Arial" w:hAnsi="Arial" w:cs="Arial"/>
                <w:sz w:val="18"/>
                <w:szCs w:val="18"/>
              </w:rPr>
              <w:t>Pressure</w:t>
            </w:r>
            <w:r w:rsidRPr="008D7F65">
              <w:rPr>
                <w:rFonts w:ascii="Arial" w:hAnsi="Arial" w:cs="Arial"/>
                <w:spacing w:val="-4"/>
                <w:sz w:val="18"/>
                <w:szCs w:val="18"/>
              </w:rPr>
              <w:t xml:space="preserve"> </w:t>
            </w:r>
            <w:r w:rsidRPr="008D7F65">
              <w:rPr>
                <w:rFonts w:ascii="Arial" w:hAnsi="Arial" w:cs="Arial"/>
                <w:sz w:val="18"/>
                <w:szCs w:val="18"/>
              </w:rPr>
              <w:t>gauges</w:t>
            </w:r>
          </w:p>
        </w:tc>
        <w:tc>
          <w:tcPr>
            <w:tcW w:w="6570" w:type="dxa"/>
          </w:tcPr>
          <w:p w14:paraId="621C5C69" w14:textId="77777777" w:rsidR="00FD6E29" w:rsidRPr="008D7F65" w:rsidRDefault="00FD6E29" w:rsidP="00FD6E29">
            <w:pPr>
              <w:spacing w:line="225" w:lineRule="exact"/>
              <w:ind w:left="91"/>
              <w:rPr>
                <w:rFonts w:ascii="Arial" w:hAnsi="Arial" w:cs="Arial"/>
                <w:sz w:val="18"/>
                <w:szCs w:val="18"/>
              </w:rPr>
            </w:pPr>
            <w:r w:rsidRPr="008D7F65">
              <w:rPr>
                <w:rFonts w:ascii="Arial" w:hAnsi="Arial" w:cs="Arial"/>
                <w:sz w:val="18"/>
                <w:szCs w:val="18"/>
              </w:rPr>
              <w:t>Check</w:t>
            </w:r>
            <w:r w:rsidRPr="008D7F65">
              <w:rPr>
                <w:rFonts w:ascii="Arial" w:hAnsi="Arial" w:cs="Arial"/>
                <w:spacing w:val="-2"/>
                <w:sz w:val="18"/>
                <w:szCs w:val="18"/>
              </w:rPr>
              <w:t xml:space="preserve"> </w:t>
            </w:r>
            <w:r w:rsidRPr="008D7F65">
              <w:rPr>
                <w:rFonts w:ascii="Arial" w:hAnsi="Arial" w:cs="Arial"/>
                <w:sz w:val="18"/>
                <w:szCs w:val="18"/>
              </w:rPr>
              <w:t>that</w:t>
            </w:r>
            <w:r w:rsidRPr="008D7F65">
              <w:rPr>
                <w:rFonts w:ascii="Arial" w:hAnsi="Arial" w:cs="Arial"/>
                <w:spacing w:val="-2"/>
                <w:sz w:val="18"/>
                <w:szCs w:val="18"/>
              </w:rPr>
              <w:t xml:space="preserve"> </w:t>
            </w:r>
            <w:r w:rsidRPr="008D7F65">
              <w:rPr>
                <w:rFonts w:ascii="Arial" w:hAnsi="Arial" w:cs="Arial"/>
                <w:sz w:val="18"/>
                <w:szCs w:val="18"/>
              </w:rPr>
              <w:t>the</w:t>
            </w:r>
            <w:r w:rsidRPr="008D7F65">
              <w:rPr>
                <w:rFonts w:ascii="Arial" w:hAnsi="Arial" w:cs="Arial"/>
                <w:spacing w:val="-3"/>
                <w:sz w:val="18"/>
                <w:szCs w:val="18"/>
              </w:rPr>
              <w:t xml:space="preserve"> </w:t>
            </w:r>
            <w:r w:rsidRPr="008D7F65">
              <w:rPr>
                <w:rFonts w:ascii="Arial" w:hAnsi="Arial" w:cs="Arial"/>
                <w:sz w:val="18"/>
                <w:szCs w:val="18"/>
              </w:rPr>
              <w:t>pressure</w:t>
            </w:r>
            <w:r w:rsidRPr="008D7F65">
              <w:rPr>
                <w:rFonts w:ascii="Arial" w:hAnsi="Arial" w:cs="Arial"/>
                <w:spacing w:val="-2"/>
                <w:sz w:val="18"/>
                <w:szCs w:val="18"/>
              </w:rPr>
              <w:t xml:space="preserve"> </w:t>
            </w:r>
            <w:r w:rsidRPr="008D7F65">
              <w:rPr>
                <w:rFonts w:ascii="Arial" w:hAnsi="Arial" w:cs="Arial"/>
                <w:sz w:val="18"/>
                <w:szCs w:val="18"/>
              </w:rPr>
              <w:t>gauge</w:t>
            </w:r>
            <w:r w:rsidRPr="008D7F65">
              <w:rPr>
                <w:rFonts w:ascii="Arial" w:hAnsi="Arial" w:cs="Arial"/>
                <w:spacing w:val="-3"/>
                <w:sz w:val="18"/>
                <w:szCs w:val="18"/>
              </w:rPr>
              <w:t xml:space="preserve"> </w:t>
            </w:r>
            <w:r w:rsidRPr="008D7F65">
              <w:rPr>
                <w:rFonts w:ascii="Arial" w:hAnsi="Arial" w:cs="Arial"/>
                <w:sz w:val="18"/>
                <w:szCs w:val="18"/>
              </w:rPr>
              <w:t>reads</w:t>
            </w:r>
            <w:r w:rsidRPr="008D7F65">
              <w:rPr>
                <w:rFonts w:ascii="Arial" w:hAnsi="Arial" w:cs="Arial"/>
                <w:spacing w:val="-4"/>
                <w:sz w:val="18"/>
                <w:szCs w:val="18"/>
              </w:rPr>
              <w:t xml:space="preserve"> </w:t>
            </w:r>
            <w:r w:rsidRPr="008D7F65">
              <w:rPr>
                <w:rFonts w:ascii="Arial" w:hAnsi="Arial" w:cs="Arial"/>
                <w:sz w:val="18"/>
                <w:szCs w:val="18"/>
              </w:rPr>
              <w:t>correctly,</w:t>
            </w:r>
            <w:r w:rsidRPr="008D7F65">
              <w:rPr>
                <w:rFonts w:ascii="Arial" w:hAnsi="Arial" w:cs="Arial"/>
                <w:spacing w:val="-1"/>
                <w:sz w:val="18"/>
                <w:szCs w:val="18"/>
              </w:rPr>
              <w:t xml:space="preserve"> </w:t>
            </w:r>
            <w:r w:rsidRPr="008D7F65">
              <w:rPr>
                <w:rFonts w:ascii="Arial" w:hAnsi="Arial" w:cs="Arial"/>
                <w:sz w:val="18"/>
                <w:szCs w:val="18"/>
              </w:rPr>
              <w:t>and</w:t>
            </w:r>
            <w:r w:rsidRPr="008D7F65">
              <w:rPr>
                <w:rFonts w:ascii="Arial" w:hAnsi="Arial" w:cs="Arial"/>
                <w:spacing w:val="-2"/>
                <w:sz w:val="18"/>
                <w:szCs w:val="18"/>
              </w:rPr>
              <w:t xml:space="preserve"> </w:t>
            </w:r>
            <w:r w:rsidRPr="008D7F65">
              <w:rPr>
                <w:rFonts w:ascii="Arial" w:hAnsi="Arial" w:cs="Arial"/>
                <w:sz w:val="18"/>
                <w:szCs w:val="18"/>
              </w:rPr>
              <w:t>that</w:t>
            </w:r>
            <w:r w:rsidRPr="008D7F65">
              <w:rPr>
                <w:rFonts w:ascii="Arial" w:hAnsi="Arial" w:cs="Arial"/>
                <w:spacing w:val="-2"/>
                <w:sz w:val="18"/>
                <w:szCs w:val="18"/>
              </w:rPr>
              <w:t xml:space="preserve"> </w:t>
            </w:r>
            <w:r w:rsidRPr="008D7F65">
              <w:rPr>
                <w:rFonts w:ascii="Arial" w:hAnsi="Arial" w:cs="Arial"/>
                <w:sz w:val="18"/>
                <w:szCs w:val="18"/>
              </w:rPr>
              <w:t>lens</w:t>
            </w:r>
            <w:r w:rsidRPr="008D7F65">
              <w:rPr>
                <w:rFonts w:ascii="Arial" w:hAnsi="Arial" w:cs="Arial"/>
                <w:spacing w:val="-3"/>
                <w:sz w:val="18"/>
                <w:szCs w:val="18"/>
              </w:rPr>
              <w:t xml:space="preserve"> </w:t>
            </w:r>
            <w:r w:rsidRPr="008D7F65">
              <w:rPr>
                <w:rFonts w:ascii="Arial" w:hAnsi="Arial" w:cs="Arial"/>
                <w:sz w:val="18"/>
                <w:szCs w:val="18"/>
              </w:rPr>
              <w:t>is</w:t>
            </w:r>
            <w:r w:rsidRPr="008D7F65">
              <w:rPr>
                <w:rFonts w:ascii="Arial" w:hAnsi="Arial" w:cs="Arial"/>
                <w:spacing w:val="-3"/>
                <w:sz w:val="18"/>
                <w:szCs w:val="18"/>
              </w:rPr>
              <w:t xml:space="preserve"> </w:t>
            </w:r>
            <w:r w:rsidRPr="008D7F65">
              <w:rPr>
                <w:rFonts w:ascii="Arial" w:hAnsi="Arial" w:cs="Arial"/>
                <w:sz w:val="18"/>
                <w:szCs w:val="18"/>
              </w:rPr>
              <w:t>present.</w:t>
            </w:r>
          </w:p>
        </w:tc>
      </w:tr>
      <w:tr w:rsidR="00FD6E29" w:rsidRPr="00FD6E29" w14:paraId="7D4F59FB" w14:textId="77777777" w:rsidTr="004127B5">
        <w:trPr>
          <w:trHeight w:val="487"/>
        </w:trPr>
        <w:tc>
          <w:tcPr>
            <w:tcW w:w="2425" w:type="dxa"/>
          </w:tcPr>
          <w:p w14:paraId="51CE5098" w14:textId="77777777" w:rsidR="00FD6E29" w:rsidRPr="008D7F65" w:rsidRDefault="00FD6E29" w:rsidP="00FD6E29">
            <w:pPr>
              <w:spacing w:line="242" w:lineRule="exact"/>
              <w:ind w:left="86"/>
              <w:rPr>
                <w:rFonts w:ascii="Arial" w:hAnsi="Arial" w:cs="Arial"/>
                <w:sz w:val="18"/>
                <w:szCs w:val="18"/>
              </w:rPr>
            </w:pPr>
            <w:r w:rsidRPr="008D7F65">
              <w:rPr>
                <w:rFonts w:ascii="Arial" w:hAnsi="Arial" w:cs="Arial"/>
                <w:sz w:val="18"/>
                <w:szCs w:val="18"/>
              </w:rPr>
              <w:t>Pilot</w:t>
            </w:r>
            <w:r w:rsidRPr="008D7F65">
              <w:rPr>
                <w:rFonts w:ascii="Arial" w:hAnsi="Arial" w:cs="Arial"/>
                <w:spacing w:val="-3"/>
                <w:sz w:val="18"/>
                <w:szCs w:val="18"/>
              </w:rPr>
              <w:t xml:space="preserve"> </w:t>
            </w:r>
            <w:r w:rsidRPr="008D7F65">
              <w:rPr>
                <w:rFonts w:ascii="Arial" w:hAnsi="Arial" w:cs="Arial"/>
                <w:sz w:val="18"/>
                <w:szCs w:val="18"/>
              </w:rPr>
              <w:t>valves/flame</w:t>
            </w:r>
          </w:p>
        </w:tc>
        <w:tc>
          <w:tcPr>
            <w:tcW w:w="6570" w:type="dxa"/>
          </w:tcPr>
          <w:p w14:paraId="72F6B374" w14:textId="77777777" w:rsidR="00FD6E29" w:rsidRPr="008D7F65" w:rsidRDefault="00FD6E29" w:rsidP="00FD6E29">
            <w:pPr>
              <w:spacing w:line="242" w:lineRule="exact"/>
              <w:ind w:left="91"/>
              <w:rPr>
                <w:rFonts w:ascii="Arial" w:hAnsi="Arial" w:cs="Arial"/>
                <w:sz w:val="18"/>
                <w:szCs w:val="18"/>
              </w:rPr>
            </w:pPr>
            <w:r w:rsidRPr="008D7F65">
              <w:rPr>
                <w:rFonts w:ascii="Arial" w:hAnsi="Arial" w:cs="Arial"/>
                <w:sz w:val="18"/>
                <w:szCs w:val="18"/>
              </w:rPr>
              <w:t>Check</w:t>
            </w:r>
            <w:r w:rsidRPr="008D7F65">
              <w:rPr>
                <w:rFonts w:ascii="Arial" w:hAnsi="Arial" w:cs="Arial"/>
                <w:spacing w:val="-3"/>
                <w:sz w:val="18"/>
                <w:szCs w:val="18"/>
              </w:rPr>
              <w:t xml:space="preserve"> </w:t>
            </w:r>
            <w:r w:rsidRPr="008D7F65">
              <w:rPr>
                <w:rFonts w:ascii="Arial" w:hAnsi="Arial" w:cs="Arial"/>
                <w:sz w:val="18"/>
                <w:szCs w:val="18"/>
              </w:rPr>
              <w:t>shut-off,</w:t>
            </w:r>
            <w:r w:rsidRPr="008D7F65">
              <w:rPr>
                <w:rFonts w:ascii="Arial" w:hAnsi="Arial" w:cs="Arial"/>
                <w:spacing w:val="-3"/>
                <w:sz w:val="18"/>
                <w:szCs w:val="18"/>
              </w:rPr>
              <w:t xml:space="preserve"> </w:t>
            </w:r>
            <w:r w:rsidRPr="008D7F65">
              <w:rPr>
                <w:rFonts w:ascii="Arial" w:hAnsi="Arial" w:cs="Arial"/>
                <w:sz w:val="18"/>
                <w:szCs w:val="18"/>
              </w:rPr>
              <w:t>free</w:t>
            </w:r>
            <w:r w:rsidRPr="008D7F65">
              <w:rPr>
                <w:rFonts w:ascii="Arial" w:hAnsi="Arial" w:cs="Arial"/>
                <w:spacing w:val="-2"/>
                <w:sz w:val="18"/>
                <w:szCs w:val="18"/>
              </w:rPr>
              <w:t xml:space="preserve"> </w:t>
            </w:r>
            <w:r w:rsidRPr="008D7F65">
              <w:rPr>
                <w:rFonts w:ascii="Arial" w:hAnsi="Arial" w:cs="Arial"/>
                <w:sz w:val="18"/>
                <w:szCs w:val="18"/>
              </w:rPr>
              <w:t>movement,</w:t>
            </w:r>
            <w:r w:rsidRPr="008D7F65">
              <w:rPr>
                <w:rFonts w:ascii="Arial" w:hAnsi="Arial" w:cs="Arial"/>
                <w:spacing w:val="-3"/>
                <w:sz w:val="18"/>
                <w:szCs w:val="18"/>
              </w:rPr>
              <w:t xml:space="preserve"> </w:t>
            </w:r>
            <w:r w:rsidRPr="008D7F65">
              <w:rPr>
                <w:rFonts w:ascii="Arial" w:hAnsi="Arial" w:cs="Arial"/>
                <w:sz w:val="18"/>
                <w:szCs w:val="18"/>
              </w:rPr>
              <w:t>correct</w:t>
            </w:r>
            <w:r w:rsidRPr="008D7F65">
              <w:rPr>
                <w:rFonts w:ascii="Arial" w:hAnsi="Arial" w:cs="Arial"/>
                <w:spacing w:val="-3"/>
                <w:sz w:val="18"/>
                <w:szCs w:val="18"/>
              </w:rPr>
              <w:t xml:space="preserve"> </w:t>
            </w:r>
            <w:r w:rsidRPr="008D7F65">
              <w:rPr>
                <w:rFonts w:ascii="Arial" w:hAnsi="Arial" w:cs="Arial"/>
                <w:sz w:val="18"/>
                <w:szCs w:val="18"/>
              </w:rPr>
              <w:t>function,</w:t>
            </w:r>
            <w:r w:rsidRPr="008D7F65">
              <w:rPr>
                <w:rFonts w:ascii="Arial" w:hAnsi="Arial" w:cs="Arial"/>
                <w:spacing w:val="-3"/>
                <w:sz w:val="18"/>
                <w:szCs w:val="18"/>
              </w:rPr>
              <w:t xml:space="preserve"> </w:t>
            </w:r>
            <w:r w:rsidRPr="008D7F65">
              <w:rPr>
                <w:rFonts w:ascii="Arial" w:hAnsi="Arial" w:cs="Arial"/>
                <w:sz w:val="18"/>
                <w:szCs w:val="18"/>
              </w:rPr>
              <w:t>and</w:t>
            </w:r>
            <w:r w:rsidRPr="008D7F65">
              <w:rPr>
                <w:rFonts w:ascii="Arial" w:hAnsi="Arial" w:cs="Arial"/>
                <w:spacing w:val="-3"/>
                <w:sz w:val="18"/>
                <w:szCs w:val="18"/>
              </w:rPr>
              <w:t xml:space="preserve"> </w:t>
            </w:r>
            <w:r w:rsidRPr="008D7F65">
              <w:rPr>
                <w:rFonts w:ascii="Arial" w:hAnsi="Arial" w:cs="Arial"/>
                <w:sz w:val="18"/>
                <w:szCs w:val="18"/>
              </w:rPr>
              <w:t>lubricate</w:t>
            </w:r>
            <w:r w:rsidRPr="008D7F65">
              <w:rPr>
                <w:rFonts w:ascii="Arial" w:hAnsi="Arial" w:cs="Arial"/>
                <w:spacing w:val="-4"/>
                <w:sz w:val="18"/>
                <w:szCs w:val="18"/>
              </w:rPr>
              <w:t xml:space="preserve"> </w:t>
            </w:r>
            <w:r w:rsidRPr="008D7F65">
              <w:rPr>
                <w:rFonts w:ascii="Arial" w:hAnsi="Arial" w:cs="Arial"/>
                <w:sz w:val="18"/>
                <w:szCs w:val="18"/>
              </w:rPr>
              <w:t>if necessary.</w:t>
            </w:r>
          </w:p>
        </w:tc>
      </w:tr>
      <w:tr w:rsidR="00FD6E29" w:rsidRPr="00FD6E29" w14:paraId="7F028466" w14:textId="77777777" w:rsidTr="004127B5">
        <w:trPr>
          <w:trHeight w:val="487"/>
        </w:trPr>
        <w:tc>
          <w:tcPr>
            <w:tcW w:w="2425" w:type="dxa"/>
          </w:tcPr>
          <w:p w14:paraId="683BE14D" w14:textId="77777777" w:rsidR="00FD6E29" w:rsidRPr="008D7F65" w:rsidRDefault="00FD6E29" w:rsidP="00FD6E29">
            <w:pPr>
              <w:spacing w:line="242" w:lineRule="exact"/>
              <w:ind w:left="86"/>
              <w:rPr>
                <w:rFonts w:ascii="Arial" w:hAnsi="Arial" w:cs="Arial"/>
                <w:sz w:val="18"/>
                <w:szCs w:val="18"/>
              </w:rPr>
            </w:pPr>
            <w:r w:rsidRPr="008D7F65">
              <w:rPr>
                <w:rFonts w:ascii="Arial" w:hAnsi="Arial" w:cs="Arial"/>
                <w:sz w:val="18"/>
                <w:szCs w:val="18"/>
              </w:rPr>
              <w:t>Whisper</w:t>
            </w:r>
            <w:r w:rsidRPr="008D7F65">
              <w:rPr>
                <w:rFonts w:ascii="Arial" w:hAnsi="Arial" w:cs="Arial"/>
                <w:spacing w:val="-4"/>
                <w:sz w:val="18"/>
                <w:szCs w:val="18"/>
              </w:rPr>
              <w:t xml:space="preserve"> </w:t>
            </w:r>
            <w:r w:rsidRPr="008D7F65">
              <w:rPr>
                <w:rFonts w:ascii="Arial" w:hAnsi="Arial" w:cs="Arial"/>
                <w:sz w:val="18"/>
                <w:szCs w:val="18"/>
              </w:rPr>
              <w:t>valves/flame</w:t>
            </w:r>
          </w:p>
        </w:tc>
        <w:tc>
          <w:tcPr>
            <w:tcW w:w="6570" w:type="dxa"/>
          </w:tcPr>
          <w:p w14:paraId="5C3F2F32" w14:textId="77777777" w:rsidR="00FD6E29" w:rsidRPr="008D7F65" w:rsidRDefault="00FD6E29" w:rsidP="00FD6E29">
            <w:pPr>
              <w:spacing w:line="242" w:lineRule="exact"/>
              <w:ind w:left="91"/>
              <w:rPr>
                <w:rFonts w:ascii="Arial" w:hAnsi="Arial" w:cs="Arial"/>
                <w:sz w:val="18"/>
                <w:szCs w:val="18"/>
              </w:rPr>
            </w:pPr>
            <w:r w:rsidRPr="008D7F65">
              <w:rPr>
                <w:rFonts w:ascii="Arial" w:hAnsi="Arial" w:cs="Arial"/>
                <w:sz w:val="18"/>
                <w:szCs w:val="18"/>
              </w:rPr>
              <w:t>Check</w:t>
            </w:r>
            <w:r w:rsidRPr="008D7F65">
              <w:rPr>
                <w:rFonts w:ascii="Arial" w:hAnsi="Arial" w:cs="Arial"/>
                <w:spacing w:val="-3"/>
                <w:sz w:val="18"/>
                <w:szCs w:val="18"/>
              </w:rPr>
              <w:t xml:space="preserve"> </w:t>
            </w:r>
            <w:r w:rsidRPr="008D7F65">
              <w:rPr>
                <w:rFonts w:ascii="Arial" w:hAnsi="Arial" w:cs="Arial"/>
                <w:sz w:val="18"/>
                <w:szCs w:val="18"/>
              </w:rPr>
              <w:t>shut-off,</w:t>
            </w:r>
            <w:r w:rsidRPr="008D7F65">
              <w:rPr>
                <w:rFonts w:ascii="Arial" w:hAnsi="Arial" w:cs="Arial"/>
                <w:spacing w:val="-3"/>
                <w:sz w:val="18"/>
                <w:szCs w:val="18"/>
              </w:rPr>
              <w:t xml:space="preserve"> </w:t>
            </w:r>
            <w:r w:rsidRPr="008D7F65">
              <w:rPr>
                <w:rFonts w:ascii="Arial" w:hAnsi="Arial" w:cs="Arial"/>
                <w:sz w:val="18"/>
                <w:szCs w:val="18"/>
              </w:rPr>
              <w:t>free</w:t>
            </w:r>
            <w:r w:rsidRPr="008D7F65">
              <w:rPr>
                <w:rFonts w:ascii="Arial" w:hAnsi="Arial" w:cs="Arial"/>
                <w:spacing w:val="-2"/>
                <w:sz w:val="18"/>
                <w:szCs w:val="18"/>
              </w:rPr>
              <w:t xml:space="preserve"> </w:t>
            </w:r>
            <w:r w:rsidRPr="008D7F65">
              <w:rPr>
                <w:rFonts w:ascii="Arial" w:hAnsi="Arial" w:cs="Arial"/>
                <w:sz w:val="18"/>
                <w:szCs w:val="18"/>
              </w:rPr>
              <w:t>movement,</w:t>
            </w:r>
            <w:r w:rsidRPr="008D7F65">
              <w:rPr>
                <w:rFonts w:ascii="Arial" w:hAnsi="Arial" w:cs="Arial"/>
                <w:spacing w:val="-3"/>
                <w:sz w:val="18"/>
                <w:szCs w:val="18"/>
              </w:rPr>
              <w:t xml:space="preserve"> </w:t>
            </w:r>
            <w:r w:rsidRPr="008D7F65">
              <w:rPr>
                <w:rFonts w:ascii="Arial" w:hAnsi="Arial" w:cs="Arial"/>
                <w:sz w:val="18"/>
                <w:szCs w:val="18"/>
              </w:rPr>
              <w:t>correct</w:t>
            </w:r>
            <w:r w:rsidRPr="008D7F65">
              <w:rPr>
                <w:rFonts w:ascii="Arial" w:hAnsi="Arial" w:cs="Arial"/>
                <w:spacing w:val="-3"/>
                <w:sz w:val="18"/>
                <w:szCs w:val="18"/>
              </w:rPr>
              <w:t xml:space="preserve"> </w:t>
            </w:r>
            <w:r w:rsidRPr="008D7F65">
              <w:rPr>
                <w:rFonts w:ascii="Arial" w:hAnsi="Arial" w:cs="Arial"/>
                <w:sz w:val="18"/>
                <w:szCs w:val="18"/>
              </w:rPr>
              <w:t>function,</w:t>
            </w:r>
            <w:r w:rsidRPr="008D7F65">
              <w:rPr>
                <w:rFonts w:ascii="Arial" w:hAnsi="Arial" w:cs="Arial"/>
                <w:spacing w:val="-3"/>
                <w:sz w:val="18"/>
                <w:szCs w:val="18"/>
              </w:rPr>
              <w:t xml:space="preserve"> </w:t>
            </w:r>
            <w:r w:rsidRPr="008D7F65">
              <w:rPr>
                <w:rFonts w:ascii="Arial" w:hAnsi="Arial" w:cs="Arial"/>
                <w:sz w:val="18"/>
                <w:szCs w:val="18"/>
              </w:rPr>
              <w:t>and</w:t>
            </w:r>
            <w:r w:rsidRPr="008D7F65">
              <w:rPr>
                <w:rFonts w:ascii="Arial" w:hAnsi="Arial" w:cs="Arial"/>
                <w:spacing w:val="-3"/>
                <w:sz w:val="18"/>
                <w:szCs w:val="18"/>
              </w:rPr>
              <w:t xml:space="preserve"> </w:t>
            </w:r>
            <w:r w:rsidRPr="008D7F65">
              <w:rPr>
                <w:rFonts w:ascii="Arial" w:hAnsi="Arial" w:cs="Arial"/>
                <w:sz w:val="18"/>
                <w:szCs w:val="18"/>
              </w:rPr>
              <w:t>lubricate</w:t>
            </w:r>
            <w:r w:rsidRPr="008D7F65">
              <w:rPr>
                <w:rFonts w:ascii="Arial" w:hAnsi="Arial" w:cs="Arial"/>
                <w:spacing w:val="-4"/>
                <w:sz w:val="18"/>
                <w:szCs w:val="18"/>
              </w:rPr>
              <w:t xml:space="preserve"> </w:t>
            </w:r>
            <w:r w:rsidRPr="008D7F65">
              <w:rPr>
                <w:rFonts w:ascii="Arial" w:hAnsi="Arial" w:cs="Arial"/>
                <w:sz w:val="18"/>
                <w:szCs w:val="18"/>
              </w:rPr>
              <w:t>if necessary.</w:t>
            </w:r>
          </w:p>
        </w:tc>
      </w:tr>
      <w:tr w:rsidR="00FD6E29" w:rsidRPr="00FD6E29" w14:paraId="50B62F3A" w14:textId="77777777" w:rsidTr="004127B5">
        <w:trPr>
          <w:trHeight w:val="487"/>
        </w:trPr>
        <w:tc>
          <w:tcPr>
            <w:tcW w:w="2425" w:type="dxa"/>
          </w:tcPr>
          <w:p w14:paraId="1E9E4B32" w14:textId="77777777" w:rsidR="00FD6E29" w:rsidRPr="008D7F65" w:rsidRDefault="00FD6E29" w:rsidP="00FD6E29">
            <w:pPr>
              <w:ind w:left="86"/>
              <w:rPr>
                <w:rFonts w:ascii="Arial" w:hAnsi="Arial" w:cs="Arial"/>
                <w:sz w:val="18"/>
                <w:szCs w:val="18"/>
              </w:rPr>
            </w:pPr>
            <w:r w:rsidRPr="008D7F65">
              <w:rPr>
                <w:rFonts w:ascii="Arial" w:hAnsi="Arial" w:cs="Arial"/>
                <w:sz w:val="18"/>
                <w:szCs w:val="18"/>
              </w:rPr>
              <w:t>Main</w:t>
            </w:r>
            <w:r w:rsidRPr="008D7F65">
              <w:rPr>
                <w:rFonts w:ascii="Arial" w:hAnsi="Arial" w:cs="Arial"/>
                <w:spacing w:val="-3"/>
                <w:sz w:val="18"/>
                <w:szCs w:val="18"/>
              </w:rPr>
              <w:t xml:space="preserve"> </w:t>
            </w:r>
            <w:r w:rsidRPr="008D7F65">
              <w:rPr>
                <w:rFonts w:ascii="Arial" w:hAnsi="Arial" w:cs="Arial"/>
                <w:sz w:val="18"/>
                <w:szCs w:val="18"/>
              </w:rPr>
              <w:t>valves/flame</w:t>
            </w:r>
          </w:p>
        </w:tc>
        <w:tc>
          <w:tcPr>
            <w:tcW w:w="6570" w:type="dxa"/>
          </w:tcPr>
          <w:p w14:paraId="39B786AB" w14:textId="77777777" w:rsidR="00FD6E29" w:rsidRPr="008D7F65" w:rsidRDefault="00FD6E29" w:rsidP="00FD6E29">
            <w:pPr>
              <w:spacing w:line="243" w:lineRule="exact"/>
              <w:ind w:left="91"/>
              <w:rPr>
                <w:rFonts w:ascii="Arial" w:hAnsi="Arial" w:cs="Arial"/>
                <w:sz w:val="18"/>
                <w:szCs w:val="18"/>
              </w:rPr>
            </w:pPr>
            <w:r w:rsidRPr="008D7F65">
              <w:rPr>
                <w:rFonts w:ascii="Arial" w:hAnsi="Arial" w:cs="Arial"/>
                <w:sz w:val="18"/>
                <w:szCs w:val="18"/>
              </w:rPr>
              <w:t>Check</w:t>
            </w:r>
            <w:r w:rsidRPr="008D7F65">
              <w:rPr>
                <w:rFonts w:ascii="Arial" w:hAnsi="Arial" w:cs="Arial"/>
                <w:spacing w:val="-3"/>
                <w:sz w:val="18"/>
                <w:szCs w:val="18"/>
              </w:rPr>
              <w:t xml:space="preserve"> </w:t>
            </w:r>
            <w:r w:rsidRPr="008D7F65">
              <w:rPr>
                <w:rFonts w:ascii="Arial" w:hAnsi="Arial" w:cs="Arial"/>
                <w:sz w:val="18"/>
                <w:szCs w:val="18"/>
              </w:rPr>
              <w:t>shut-off,</w:t>
            </w:r>
            <w:r w:rsidRPr="008D7F65">
              <w:rPr>
                <w:rFonts w:ascii="Arial" w:hAnsi="Arial" w:cs="Arial"/>
                <w:spacing w:val="-3"/>
                <w:sz w:val="18"/>
                <w:szCs w:val="18"/>
              </w:rPr>
              <w:t xml:space="preserve"> </w:t>
            </w:r>
            <w:r w:rsidRPr="008D7F65">
              <w:rPr>
                <w:rFonts w:ascii="Arial" w:hAnsi="Arial" w:cs="Arial"/>
                <w:sz w:val="18"/>
                <w:szCs w:val="18"/>
              </w:rPr>
              <w:t>free</w:t>
            </w:r>
            <w:r w:rsidRPr="008D7F65">
              <w:rPr>
                <w:rFonts w:ascii="Arial" w:hAnsi="Arial" w:cs="Arial"/>
                <w:spacing w:val="-2"/>
                <w:sz w:val="18"/>
                <w:szCs w:val="18"/>
              </w:rPr>
              <w:t xml:space="preserve"> </w:t>
            </w:r>
            <w:r w:rsidRPr="008D7F65">
              <w:rPr>
                <w:rFonts w:ascii="Arial" w:hAnsi="Arial" w:cs="Arial"/>
                <w:sz w:val="18"/>
                <w:szCs w:val="18"/>
              </w:rPr>
              <w:t>movement,</w:t>
            </w:r>
            <w:r w:rsidRPr="008D7F65">
              <w:rPr>
                <w:rFonts w:ascii="Arial" w:hAnsi="Arial" w:cs="Arial"/>
                <w:spacing w:val="-2"/>
                <w:sz w:val="18"/>
                <w:szCs w:val="18"/>
              </w:rPr>
              <w:t xml:space="preserve"> </w:t>
            </w:r>
            <w:r w:rsidRPr="008D7F65">
              <w:rPr>
                <w:rFonts w:ascii="Arial" w:hAnsi="Arial" w:cs="Arial"/>
                <w:sz w:val="18"/>
                <w:szCs w:val="18"/>
              </w:rPr>
              <w:t>correct</w:t>
            </w:r>
            <w:r w:rsidRPr="008D7F65">
              <w:rPr>
                <w:rFonts w:ascii="Arial" w:hAnsi="Arial" w:cs="Arial"/>
                <w:spacing w:val="-3"/>
                <w:sz w:val="18"/>
                <w:szCs w:val="18"/>
              </w:rPr>
              <w:t xml:space="preserve"> </w:t>
            </w:r>
            <w:r w:rsidRPr="008D7F65">
              <w:rPr>
                <w:rFonts w:ascii="Arial" w:hAnsi="Arial" w:cs="Arial"/>
                <w:sz w:val="18"/>
                <w:szCs w:val="18"/>
              </w:rPr>
              <w:t>function,</w:t>
            </w:r>
            <w:r w:rsidRPr="008D7F65">
              <w:rPr>
                <w:rFonts w:ascii="Arial" w:hAnsi="Arial" w:cs="Arial"/>
                <w:spacing w:val="-3"/>
                <w:sz w:val="18"/>
                <w:szCs w:val="18"/>
              </w:rPr>
              <w:t xml:space="preserve"> </w:t>
            </w:r>
            <w:r w:rsidRPr="008D7F65">
              <w:rPr>
                <w:rFonts w:ascii="Arial" w:hAnsi="Arial" w:cs="Arial"/>
                <w:sz w:val="18"/>
                <w:szCs w:val="18"/>
              </w:rPr>
              <w:t>and</w:t>
            </w:r>
            <w:r w:rsidRPr="008D7F65">
              <w:rPr>
                <w:rFonts w:ascii="Arial" w:hAnsi="Arial" w:cs="Arial"/>
                <w:spacing w:val="-2"/>
                <w:sz w:val="18"/>
                <w:szCs w:val="18"/>
              </w:rPr>
              <w:t xml:space="preserve"> </w:t>
            </w:r>
            <w:r w:rsidRPr="008D7F65">
              <w:rPr>
                <w:rFonts w:ascii="Arial" w:hAnsi="Arial" w:cs="Arial"/>
                <w:sz w:val="18"/>
                <w:szCs w:val="18"/>
              </w:rPr>
              <w:t>lubricate</w:t>
            </w:r>
            <w:r w:rsidRPr="008D7F65">
              <w:rPr>
                <w:rFonts w:ascii="Arial" w:hAnsi="Arial" w:cs="Arial"/>
                <w:spacing w:val="-4"/>
                <w:sz w:val="18"/>
                <w:szCs w:val="18"/>
              </w:rPr>
              <w:t xml:space="preserve"> </w:t>
            </w:r>
            <w:r w:rsidRPr="008D7F65">
              <w:rPr>
                <w:rFonts w:ascii="Arial" w:hAnsi="Arial" w:cs="Arial"/>
                <w:sz w:val="18"/>
                <w:szCs w:val="18"/>
              </w:rPr>
              <w:t>if necessary.</w:t>
            </w:r>
          </w:p>
        </w:tc>
      </w:tr>
      <w:tr w:rsidR="00FD6E29" w:rsidRPr="00FD6E29" w14:paraId="5BD64311" w14:textId="77777777" w:rsidTr="004127B5">
        <w:trPr>
          <w:trHeight w:val="733"/>
        </w:trPr>
        <w:tc>
          <w:tcPr>
            <w:tcW w:w="2425" w:type="dxa"/>
          </w:tcPr>
          <w:p w14:paraId="783EAD7E" w14:textId="77777777" w:rsidR="00FD6E29" w:rsidRPr="008D7F65" w:rsidRDefault="00FD6E29" w:rsidP="00FD6E29">
            <w:pPr>
              <w:ind w:left="86"/>
              <w:rPr>
                <w:rFonts w:ascii="Arial" w:hAnsi="Arial" w:cs="Arial"/>
                <w:sz w:val="18"/>
                <w:szCs w:val="18"/>
              </w:rPr>
            </w:pPr>
            <w:r w:rsidRPr="008D7F65">
              <w:rPr>
                <w:rFonts w:ascii="Arial" w:hAnsi="Arial" w:cs="Arial"/>
                <w:sz w:val="18"/>
                <w:szCs w:val="18"/>
              </w:rPr>
              <w:t>Coils</w:t>
            </w:r>
          </w:p>
        </w:tc>
        <w:tc>
          <w:tcPr>
            <w:tcW w:w="6570" w:type="dxa"/>
          </w:tcPr>
          <w:p w14:paraId="1792AA6B" w14:textId="77777777" w:rsidR="00FD6E29" w:rsidRPr="008D7F65" w:rsidRDefault="00FD6E29" w:rsidP="00FD6E29">
            <w:pPr>
              <w:ind w:left="91"/>
              <w:rPr>
                <w:rFonts w:ascii="Arial" w:hAnsi="Arial" w:cs="Arial"/>
                <w:sz w:val="18"/>
                <w:szCs w:val="18"/>
              </w:rPr>
            </w:pPr>
            <w:r w:rsidRPr="008D7F65">
              <w:rPr>
                <w:rFonts w:ascii="Arial" w:hAnsi="Arial" w:cs="Arial"/>
                <w:sz w:val="18"/>
                <w:szCs w:val="18"/>
              </w:rPr>
              <w:t>Check</w:t>
            </w:r>
            <w:r w:rsidRPr="008D7F65">
              <w:rPr>
                <w:rFonts w:ascii="Arial" w:hAnsi="Arial" w:cs="Arial"/>
                <w:spacing w:val="-4"/>
                <w:sz w:val="18"/>
                <w:szCs w:val="18"/>
              </w:rPr>
              <w:t xml:space="preserve"> </w:t>
            </w:r>
            <w:r w:rsidRPr="008D7F65">
              <w:rPr>
                <w:rFonts w:ascii="Arial" w:hAnsi="Arial" w:cs="Arial"/>
                <w:sz w:val="18"/>
                <w:szCs w:val="18"/>
              </w:rPr>
              <w:t>for</w:t>
            </w:r>
            <w:r w:rsidRPr="008D7F65">
              <w:rPr>
                <w:rFonts w:ascii="Arial" w:hAnsi="Arial" w:cs="Arial"/>
                <w:spacing w:val="-3"/>
                <w:sz w:val="18"/>
                <w:szCs w:val="18"/>
              </w:rPr>
              <w:t xml:space="preserve"> </w:t>
            </w:r>
            <w:r w:rsidRPr="008D7F65">
              <w:rPr>
                <w:rFonts w:ascii="Arial" w:hAnsi="Arial" w:cs="Arial"/>
                <w:sz w:val="18"/>
                <w:szCs w:val="18"/>
              </w:rPr>
              <w:t>damage,</w:t>
            </w:r>
            <w:r w:rsidRPr="008D7F65">
              <w:rPr>
                <w:rFonts w:ascii="Arial" w:hAnsi="Arial" w:cs="Arial"/>
                <w:spacing w:val="-3"/>
                <w:sz w:val="18"/>
                <w:szCs w:val="18"/>
              </w:rPr>
              <w:t xml:space="preserve"> </w:t>
            </w:r>
            <w:r w:rsidRPr="008D7F65">
              <w:rPr>
                <w:rFonts w:ascii="Arial" w:hAnsi="Arial" w:cs="Arial"/>
                <w:sz w:val="18"/>
                <w:szCs w:val="18"/>
              </w:rPr>
              <w:t>distortion,</w:t>
            </w:r>
            <w:r w:rsidRPr="008D7F65">
              <w:rPr>
                <w:rFonts w:ascii="Arial" w:hAnsi="Arial" w:cs="Arial"/>
                <w:spacing w:val="-3"/>
                <w:sz w:val="18"/>
                <w:szCs w:val="18"/>
              </w:rPr>
              <w:t xml:space="preserve"> </w:t>
            </w:r>
            <w:r w:rsidRPr="008D7F65">
              <w:rPr>
                <w:rFonts w:ascii="Arial" w:hAnsi="Arial" w:cs="Arial"/>
                <w:sz w:val="18"/>
                <w:szCs w:val="18"/>
              </w:rPr>
              <w:t>security</w:t>
            </w:r>
            <w:r w:rsidRPr="008D7F65">
              <w:rPr>
                <w:rFonts w:ascii="Arial" w:hAnsi="Arial" w:cs="Arial"/>
                <w:spacing w:val="-3"/>
                <w:sz w:val="18"/>
                <w:szCs w:val="18"/>
              </w:rPr>
              <w:t xml:space="preserve"> </w:t>
            </w:r>
            <w:r w:rsidRPr="008D7F65">
              <w:rPr>
                <w:rFonts w:ascii="Arial" w:hAnsi="Arial" w:cs="Arial"/>
                <w:sz w:val="18"/>
                <w:szCs w:val="18"/>
              </w:rPr>
              <w:t>of</w:t>
            </w:r>
            <w:r w:rsidRPr="008D7F65">
              <w:rPr>
                <w:rFonts w:ascii="Arial" w:hAnsi="Arial" w:cs="Arial"/>
                <w:spacing w:val="-5"/>
                <w:sz w:val="18"/>
                <w:szCs w:val="18"/>
              </w:rPr>
              <w:t xml:space="preserve"> </w:t>
            </w:r>
            <w:r w:rsidRPr="008D7F65">
              <w:rPr>
                <w:rFonts w:ascii="Arial" w:hAnsi="Arial" w:cs="Arial"/>
                <w:sz w:val="18"/>
                <w:szCs w:val="18"/>
              </w:rPr>
              <w:t>fasteners.</w:t>
            </w:r>
            <w:r w:rsidRPr="008D7F65">
              <w:rPr>
                <w:rFonts w:ascii="Arial" w:hAnsi="Arial" w:cs="Arial"/>
                <w:spacing w:val="-4"/>
                <w:sz w:val="18"/>
                <w:szCs w:val="18"/>
              </w:rPr>
              <w:t xml:space="preserve"> </w:t>
            </w:r>
            <w:r w:rsidRPr="008D7F65">
              <w:rPr>
                <w:rFonts w:ascii="Arial" w:hAnsi="Arial" w:cs="Arial"/>
                <w:sz w:val="18"/>
                <w:szCs w:val="18"/>
              </w:rPr>
              <w:t>Inspect</w:t>
            </w:r>
            <w:r w:rsidRPr="008D7F65">
              <w:rPr>
                <w:rFonts w:ascii="Arial" w:hAnsi="Arial" w:cs="Arial"/>
                <w:spacing w:val="-1"/>
                <w:sz w:val="18"/>
                <w:szCs w:val="18"/>
              </w:rPr>
              <w:t xml:space="preserve"> </w:t>
            </w:r>
            <w:r w:rsidRPr="008D7F65">
              <w:rPr>
                <w:rFonts w:ascii="Arial" w:hAnsi="Arial" w:cs="Arial"/>
                <w:sz w:val="18"/>
                <w:szCs w:val="18"/>
              </w:rPr>
              <w:t>welds</w:t>
            </w:r>
            <w:r w:rsidRPr="008D7F65">
              <w:rPr>
                <w:rFonts w:ascii="Arial" w:hAnsi="Arial" w:cs="Arial"/>
                <w:spacing w:val="-5"/>
                <w:sz w:val="18"/>
                <w:szCs w:val="18"/>
              </w:rPr>
              <w:t xml:space="preserve"> </w:t>
            </w:r>
            <w:r w:rsidRPr="008D7F65">
              <w:rPr>
                <w:rFonts w:ascii="Arial" w:hAnsi="Arial" w:cs="Arial"/>
                <w:sz w:val="18"/>
                <w:szCs w:val="18"/>
              </w:rPr>
              <w:t>for</w:t>
            </w:r>
            <w:r w:rsidRPr="008D7F65">
              <w:rPr>
                <w:rFonts w:ascii="Arial" w:hAnsi="Arial" w:cs="Arial"/>
                <w:spacing w:val="-42"/>
                <w:sz w:val="18"/>
                <w:szCs w:val="18"/>
              </w:rPr>
              <w:t xml:space="preserve"> </w:t>
            </w:r>
            <w:r w:rsidRPr="008D7F65">
              <w:rPr>
                <w:rFonts w:ascii="Arial" w:hAnsi="Arial" w:cs="Arial"/>
                <w:sz w:val="18"/>
                <w:szCs w:val="18"/>
              </w:rPr>
              <w:t>cracking.</w:t>
            </w:r>
          </w:p>
          <w:p w14:paraId="70A09738" w14:textId="77777777" w:rsidR="00FD6E29" w:rsidRPr="008D7F65" w:rsidRDefault="00FD6E29" w:rsidP="00FD6E29">
            <w:pPr>
              <w:spacing w:line="225" w:lineRule="exact"/>
              <w:ind w:left="91"/>
              <w:rPr>
                <w:rFonts w:ascii="Arial" w:hAnsi="Arial" w:cs="Arial"/>
                <w:sz w:val="18"/>
                <w:szCs w:val="18"/>
              </w:rPr>
            </w:pPr>
            <w:r w:rsidRPr="008D7F65">
              <w:rPr>
                <w:rFonts w:ascii="Arial" w:hAnsi="Arial" w:cs="Arial"/>
                <w:sz w:val="18"/>
                <w:szCs w:val="18"/>
              </w:rPr>
              <w:t>Check</w:t>
            </w:r>
            <w:r w:rsidRPr="008D7F65">
              <w:rPr>
                <w:rFonts w:ascii="Arial" w:hAnsi="Arial" w:cs="Arial"/>
                <w:spacing w:val="-3"/>
                <w:sz w:val="18"/>
                <w:szCs w:val="18"/>
              </w:rPr>
              <w:t xml:space="preserve"> </w:t>
            </w:r>
            <w:r w:rsidRPr="008D7F65">
              <w:rPr>
                <w:rFonts w:ascii="Arial" w:hAnsi="Arial" w:cs="Arial"/>
                <w:sz w:val="18"/>
                <w:szCs w:val="18"/>
              </w:rPr>
              <w:t>security</w:t>
            </w:r>
            <w:r w:rsidRPr="008D7F65">
              <w:rPr>
                <w:rFonts w:ascii="Arial" w:hAnsi="Arial" w:cs="Arial"/>
                <w:spacing w:val="-2"/>
                <w:sz w:val="18"/>
                <w:szCs w:val="18"/>
              </w:rPr>
              <w:t xml:space="preserve"> </w:t>
            </w:r>
            <w:r w:rsidRPr="008D7F65">
              <w:rPr>
                <w:rFonts w:ascii="Arial" w:hAnsi="Arial" w:cs="Arial"/>
                <w:sz w:val="18"/>
                <w:szCs w:val="18"/>
              </w:rPr>
              <w:t>of</w:t>
            </w:r>
            <w:r w:rsidRPr="008D7F65">
              <w:rPr>
                <w:rFonts w:ascii="Arial" w:hAnsi="Arial" w:cs="Arial"/>
                <w:spacing w:val="-5"/>
                <w:sz w:val="18"/>
                <w:szCs w:val="18"/>
              </w:rPr>
              <w:t xml:space="preserve"> </w:t>
            </w:r>
            <w:r w:rsidRPr="008D7F65">
              <w:rPr>
                <w:rFonts w:ascii="Arial" w:hAnsi="Arial" w:cs="Arial"/>
                <w:sz w:val="18"/>
                <w:szCs w:val="18"/>
              </w:rPr>
              <w:t>jets.</w:t>
            </w:r>
            <w:r w:rsidRPr="008D7F65">
              <w:rPr>
                <w:rFonts w:ascii="Arial" w:hAnsi="Arial" w:cs="Arial"/>
                <w:spacing w:val="-2"/>
                <w:sz w:val="18"/>
                <w:szCs w:val="18"/>
              </w:rPr>
              <w:t xml:space="preserve"> </w:t>
            </w:r>
            <w:r w:rsidRPr="008D7F65">
              <w:rPr>
                <w:rFonts w:ascii="Arial" w:hAnsi="Arial" w:cs="Arial"/>
                <w:sz w:val="18"/>
                <w:szCs w:val="18"/>
              </w:rPr>
              <w:t>Tighten</w:t>
            </w:r>
            <w:r w:rsidRPr="008D7F65">
              <w:rPr>
                <w:rFonts w:ascii="Arial" w:hAnsi="Arial" w:cs="Arial"/>
                <w:spacing w:val="-2"/>
                <w:sz w:val="18"/>
                <w:szCs w:val="18"/>
              </w:rPr>
              <w:t xml:space="preserve"> </w:t>
            </w:r>
            <w:r w:rsidRPr="008D7F65">
              <w:rPr>
                <w:rFonts w:ascii="Arial" w:hAnsi="Arial" w:cs="Arial"/>
                <w:sz w:val="18"/>
                <w:szCs w:val="18"/>
              </w:rPr>
              <w:t>or</w:t>
            </w:r>
            <w:r w:rsidRPr="008D7F65">
              <w:rPr>
                <w:rFonts w:ascii="Arial" w:hAnsi="Arial" w:cs="Arial"/>
                <w:spacing w:val="-3"/>
                <w:sz w:val="18"/>
                <w:szCs w:val="18"/>
              </w:rPr>
              <w:t xml:space="preserve"> </w:t>
            </w:r>
            <w:r w:rsidRPr="008D7F65">
              <w:rPr>
                <w:rFonts w:ascii="Arial" w:hAnsi="Arial" w:cs="Arial"/>
                <w:sz w:val="18"/>
                <w:szCs w:val="18"/>
              </w:rPr>
              <w:t>replace,</w:t>
            </w:r>
            <w:r w:rsidRPr="008D7F65">
              <w:rPr>
                <w:rFonts w:ascii="Arial" w:hAnsi="Arial" w:cs="Arial"/>
                <w:spacing w:val="-2"/>
                <w:sz w:val="18"/>
                <w:szCs w:val="18"/>
              </w:rPr>
              <w:t xml:space="preserve"> </w:t>
            </w:r>
            <w:r w:rsidRPr="008D7F65">
              <w:rPr>
                <w:rFonts w:ascii="Arial" w:hAnsi="Arial" w:cs="Arial"/>
                <w:sz w:val="18"/>
                <w:szCs w:val="18"/>
              </w:rPr>
              <w:t>as</w:t>
            </w:r>
            <w:r w:rsidRPr="008D7F65">
              <w:rPr>
                <w:rFonts w:ascii="Arial" w:hAnsi="Arial" w:cs="Arial"/>
                <w:spacing w:val="-4"/>
                <w:sz w:val="18"/>
                <w:szCs w:val="18"/>
              </w:rPr>
              <w:t xml:space="preserve"> </w:t>
            </w:r>
            <w:r w:rsidRPr="008D7F65">
              <w:rPr>
                <w:rFonts w:ascii="Arial" w:hAnsi="Arial" w:cs="Arial"/>
                <w:sz w:val="18"/>
                <w:szCs w:val="18"/>
              </w:rPr>
              <w:t>necessary.</w:t>
            </w:r>
          </w:p>
        </w:tc>
      </w:tr>
    </w:tbl>
    <w:p w14:paraId="45D7C99A" w14:textId="77777777" w:rsidR="00FD6E29" w:rsidRDefault="00FD6E29" w:rsidP="00FD6E29">
      <w:pPr>
        <w:numPr>
          <w:ilvl w:val="0"/>
          <w:numId w:val="295"/>
        </w:numPr>
        <w:jc w:val="both"/>
        <w:rPr>
          <w:rFonts w:ascii="Arial" w:eastAsia="Times New Roman" w:hAnsi="Arial" w:cs="Times New Roman"/>
          <w:sz w:val="20"/>
        </w:rPr>
      </w:pPr>
      <w:r>
        <w:rPr>
          <w:rFonts w:ascii="Arial" w:eastAsia="Times New Roman" w:hAnsi="Arial" w:cs="Times New Roman"/>
          <w:sz w:val="20"/>
        </w:rPr>
        <w:lastRenderedPageBreak/>
        <w:t>Basket</w:t>
      </w:r>
    </w:p>
    <w:p w14:paraId="025DFE67" w14:textId="77777777" w:rsidR="00FD6E29" w:rsidRDefault="00FD6E29" w:rsidP="00FD6E29">
      <w:pPr>
        <w:ind w:left="706"/>
        <w:jc w:val="both"/>
        <w:rPr>
          <w:rFonts w:ascii="Arial" w:eastAsia="Times New Roman" w:hAnsi="Arial" w:cs="Times New Roman"/>
          <w:sz w:val="20"/>
        </w:rPr>
      </w:pPr>
    </w:p>
    <w:tbl>
      <w:tblPr>
        <w:tblStyle w:val="TableGrid31"/>
        <w:tblW w:w="0" w:type="auto"/>
        <w:tblLayout w:type="fixed"/>
        <w:tblLook w:val="01E0" w:firstRow="1" w:lastRow="1" w:firstColumn="1" w:lastColumn="1" w:noHBand="0" w:noVBand="0"/>
      </w:tblPr>
      <w:tblGrid>
        <w:gridCol w:w="2425"/>
        <w:gridCol w:w="6570"/>
      </w:tblGrid>
      <w:tr w:rsidR="00FD6E29" w:rsidRPr="008D7F65" w14:paraId="4E8FA808" w14:textId="77777777" w:rsidTr="008D7F65">
        <w:trPr>
          <w:trHeight w:val="243"/>
        </w:trPr>
        <w:tc>
          <w:tcPr>
            <w:tcW w:w="2425" w:type="dxa"/>
            <w:shd w:val="clear" w:color="auto" w:fill="F2F2F2" w:themeFill="background1" w:themeFillShade="F2"/>
          </w:tcPr>
          <w:p w14:paraId="6AF566A5" w14:textId="77777777" w:rsidR="00FD6E29" w:rsidRPr="008D7F65" w:rsidRDefault="00FD6E29" w:rsidP="000B112D">
            <w:pPr>
              <w:pStyle w:val="TableParagraph"/>
              <w:spacing w:line="224" w:lineRule="exact"/>
              <w:ind w:left="0" w:right="66"/>
              <w:jc w:val="right"/>
              <w:rPr>
                <w:rFonts w:ascii="Arial" w:hAnsi="Arial" w:cs="Arial"/>
                <w:b/>
                <w:sz w:val="18"/>
                <w:szCs w:val="18"/>
              </w:rPr>
            </w:pPr>
            <w:r w:rsidRPr="008D7F65">
              <w:rPr>
                <w:rFonts w:ascii="Arial" w:hAnsi="Arial" w:cs="Arial"/>
                <w:b/>
                <w:sz w:val="18"/>
                <w:szCs w:val="18"/>
              </w:rPr>
              <w:t>System/component/area</w:t>
            </w:r>
          </w:p>
        </w:tc>
        <w:tc>
          <w:tcPr>
            <w:tcW w:w="6570" w:type="dxa"/>
            <w:shd w:val="clear" w:color="auto" w:fill="F2F2F2" w:themeFill="background1" w:themeFillShade="F2"/>
          </w:tcPr>
          <w:p w14:paraId="636FAEBE" w14:textId="77777777" w:rsidR="00FD6E29" w:rsidRPr="008D7F65" w:rsidRDefault="00FD6E29" w:rsidP="000B112D">
            <w:pPr>
              <w:pStyle w:val="TableParagraph"/>
              <w:spacing w:line="224" w:lineRule="exact"/>
              <w:ind w:left="106"/>
              <w:rPr>
                <w:rFonts w:ascii="Arial" w:hAnsi="Arial" w:cs="Arial"/>
                <w:b/>
                <w:sz w:val="18"/>
                <w:szCs w:val="18"/>
              </w:rPr>
            </w:pPr>
            <w:r w:rsidRPr="008D7F65">
              <w:rPr>
                <w:rFonts w:ascii="Arial" w:hAnsi="Arial" w:cs="Arial"/>
                <w:b/>
                <w:sz w:val="18"/>
                <w:szCs w:val="18"/>
              </w:rPr>
              <w:t>Task</w:t>
            </w:r>
            <w:r w:rsidRPr="008D7F65">
              <w:rPr>
                <w:rFonts w:ascii="Arial" w:hAnsi="Arial" w:cs="Arial"/>
                <w:b/>
                <w:spacing w:val="-3"/>
                <w:sz w:val="18"/>
                <w:szCs w:val="18"/>
              </w:rPr>
              <w:t xml:space="preserve"> </w:t>
            </w:r>
            <w:r w:rsidRPr="008D7F65">
              <w:rPr>
                <w:rFonts w:ascii="Arial" w:hAnsi="Arial" w:cs="Arial"/>
                <w:b/>
                <w:sz w:val="18"/>
                <w:szCs w:val="18"/>
              </w:rPr>
              <w:t>and</w:t>
            </w:r>
            <w:r w:rsidRPr="008D7F65">
              <w:rPr>
                <w:rFonts w:ascii="Arial" w:hAnsi="Arial" w:cs="Arial"/>
                <w:b/>
                <w:spacing w:val="-3"/>
                <w:sz w:val="18"/>
                <w:szCs w:val="18"/>
              </w:rPr>
              <w:t xml:space="preserve"> </w:t>
            </w:r>
            <w:r w:rsidRPr="008D7F65">
              <w:rPr>
                <w:rFonts w:ascii="Arial" w:hAnsi="Arial" w:cs="Arial"/>
                <w:b/>
                <w:sz w:val="18"/>
                <w:szCs w:val="18"/>
              </w:rPr>
              <w:t>inspection</w:t>
            </w:r>
            <w:r w:rsidRPr="008D7F65">
              <w:rPr>
                <w:rFonts w:ascii="Arial" w:hAnsi="Arial" w:cs="Arial"/>
                <w:b/>
                <w:spacing w:val="-1"/>
                <w:sz w:val="18"/>
                <w:szCs w:val="18"/>
              </w:rPr>
              <w:t xml:space="preserve"> </w:t>
            </w:r>
            <w:r w:rsidRPr="008D7F65">
              <w:rPr>
                <w:rFonts w:ascii="Arial" w:hAnsi="Arial" w:cs="Arial"/>
                <w:b/>
                <w:sz w:val="18"/>
                <w:szCs w:val="18"/>
              </w:rPr>
              <w:t>detail</w:t>
            </w:r>
          </w:p>
        </w:tc>
      </w:tr>
      <w:tr w:rsidR="00FD6E29" w:rsidRPr="008D7F65" w14:paraId="0810E459" w14:textId="77777777" w:rsidTr="008D7F65">
        <w:trPr>
          <w:trHeight w:val="487"/>
        </w:trPr>
        <w:tc>
          <w:tcPr>
            <w:tcW w:w="2425" w:type="dxa"/>
          </w:tcPr>
          <w:p w14:paraId="782E2228" w14:textId="77777777" w:rsidR="00FD6E29" w:rsidRPr="008D7F65" w:rsidRDefault="00FD6E29" w:rsidP="000B112D">
            <w:pPr>
              <w:pStyle w:val="TableParagraph"/>
              <w:spacing w:line="240" w:lineRule="atLeast"/>
              <w:ind w:left="98" w:right="94"/>
              <w:rPr>
                <w:rFonts w:ascii="Arial" w:hAnsi="Arial" w:cs="Arial"/>
                <w:sz w:val="18"/>
                <w:szCs w:val="18"/>
              </w:rPr>
            </w:pPr>
            <w:r w:rsidRPr="008D7F65">
              <w:rPr>
                <w:rFonts w:ascii="Arial" w:hAnsi="Arial" w:cs="Arial"/>
                <w:spacing w:val="-1"/>
                <w:sz w:val="18"/>
                <w:szCs w:val="18"/>
              </w:rPr>
              <w:t xml:space="preserve">Identification </w:t>
            </w:r>
            <w:r w:rsidRPr="008D7F65">
              <w:rPr>
                <w:rFonts w:ascii="Arial" w:hAnsi="Arial" w:cs="Arial"/>
                <w:sz w:val="18"/>
                <w:szCs w:val="18"/>
              </w:rPr>
              <w:t>(type/serial</w:t>
            </w:r>
            <w:r w:rsidRPr="008D7F65">
              <w:rPr>
                <w:rFonts w:ascii="Arial" w:hAnsi="Arial" w:cs="Arial"/>
                <w:spacing w:val="-43"/>
                <w:sz w:val="18"/>
                <w:szCs w:val="18"/>
              </w:rPr>
              <w:t xml:space="preserve"> </w:t>
            </w:r>
            <w:r w:rsidRPr="008D7F65">
              <w:rPr>
                <w:rFonts w:ascii="Arial" w:hAnsi="Arial" w:cs="Arial"/>
                <w:sz w:val="18"/>
                <w:szCs w:val="18"/>
              </w:rPr>
              <w:t>number)</w:t>
            </w:r>
          </w:p>
        </w:tc>
        <w:tc>
          <w:tcPr>
            <w:tcW w:w="6570" w:type="dxa"/>
          </w:tcPr>
          <w:p w14:paraId="1CE13DE9" w14:textId="77777777" w:rsidR="00FD6E29" w:rsidRPr="008D7F65" w:rsidRDefault="00FD6E29" w:rsidP="000B112D">
            <w:pPr>
              <w:pStyle w:val="TableParagraph"/>
              <w:ind w:left="106"/>
              <w:rPr>
                <w:rFonts w:ascii="Arial" w:hAnsi="Arial" w:cs="Arial"/>
                <w:sz w:val="18"/>
                <w:szCs w:val="18"/>
              </w:rPr>
            </w:pPr>
            <w:r w:rsidRPr="008D7F65">
              <w:rPr>
                <w:rFonts w:ascii="Arial" w:hAnsi="Arial" w:cs="Arial"/>
                <w:sz w:val="18"/>
                <w:szCs w:val="18"/>
              </w:rPr>
              <w:t>Check</w:t>
            </w:r>
            <w:r w:rsidRPr="008D7F65">
              <w:rPr>
                <w:rFonts w:ascii="Arial" w:hAnsi="Arial" w:cs="Arial"/>
                <w:spacing w:val="-4"/>
                <w:sz w:val="18"/>
                <w:szCs w:val="18"/>
              </w:rPr>
              <w:t xml:space="preserve"> </w:t>
            </w:r>
            <w:r w:rsidRPr="008D7F65">
              <w:rPr>
                <w:rFonts w:ascii="Arial" w:hAnsi="Arial" w:cs="Arial"/>
                <w:sz w:val="18"/>
                <w:szCs w:val="18"/>
              </w:rPr>
              <w:t>for</w:t>
            </w:r>
            <w:r w:rsidRPr="008D7F65">
              <w:rPr>
                <w:rFonts w:ascii="Arial" w:hAnsi="Arial" w:cs="Arial"/>
                <w:spacing w:val="-3"/>
                <w:sz w:val="18"/>
                <w:szCs w:val="18"/>
              </w:rPr>
              <w:t xml:space="preserve"> </w:t>
            </w:r>
            <w:r w:rsidRPr="008D7F65">
              <w:rPr>
                <w:rFonts w:ascii="Arial" w:hAnsi="Arial" w:cs="Arial"/>
                <w:sz w:val="18"/>
                <w:szCs w:val="18"/>
              </w:rPr>
              <w:t>presence.</w:t>
            </w:r>
          </w:p>
        </w:tc>
      </w:tr>
      <w:tr w:rsidR="00FD6E29" w:rsidRPr="008D7F65" w14:paraId="6A8C71EA" w14:textId="77777777" w:rsidTr="008D7F65">
        <w:trPr>
          <w:trHeight w:val="487"/>
        </w:trPr>
        <w:tc>
          <w:tcPr>
            <w:tcW w:w="2425" w:type="dxa"/>
          </w:tcPr>
          <w:p w14:paraId="0B14CF80" w14:textId="77777777" w:rsidR="00FD6E29" w:rsidRPr="008D7F65" w:rsidRDefault="00FD6E29" w:rsidP="000B112D">
            <w:pPr>
              <w:pStyle w:val="TableParagraph"/>
              <w:ind w:left="98"/>
              <w:rPr>
                <w:rFonts w:ascii="Arial" w:hAnsi="Arial" w:cs="Arial"/>
                <w:sz w:val="18"/>
                <w:szCs w:val="18"/>
              </w:rPr>
            </w:pPr>
            <w:r w:rsidRPr="008D7F65">
              <w:rPr>
                <w:rFonts w:ascii="Arial" w:hAnsi="Arial" w:cs="Arial"/>
                <w:sz w:val="18"/>
                <w:szCs w:val="18"/>
              </w:rPr>
              <w:t>Basket</w:t>
            </w:r>
            <w:r w:rsidRPr="008D7F65">
              <w:rPr>
                <w:rFonts w:ascii="Arial" w:hAnsi="Arial" w:cs="Arial"/>
                <w:spacing w:val="-1"/>
                <w:sz w:val="18"/>
                <w:szCs w:val="18"/>
              </w:rPr>
              <w:t xml:space="preserve"> </w:t>
            </w:r>
            <w:r w:rsidRPr="008D7F65">
              <w:rPr>
                <w:rFonts w:ascii="Arial" w:hAnsi="Arial" w:cs="Arial"/>
                <w:sz w:val="18"/>
                <w:szCs w:val="18"/>
              </w:rPr>
              <w:t>walls</w:t>
            </w:r>
          </w:p>
        </w:tc>
        <w:tc>
          <w:tcPr>
            <w:tcW w:w="6570" w:type="dxa"/>
          </w:tcPr>
          <w:p w14:paraId="38691893" w14:textId="77777777" w:rsidR="00FD6E29" w:rsidRPr="008D7F65" w:rsidRDefault="00FD6E29" w:rsidP="000B112D">
            <w:pPr>
              <w:pStyle w:val="TableParagraph"/>
              <w:ind w:left="106"/>
              <w:rPr>
                <w:rFonts w:ascii="Arial" w:hAnsi="Arial" w:cs="Arial"/>
                <w:sz w:val="18"/>
                <w:szCs w:val="18"/>
              </w:rPr>
            </w:pPr>
            <w:r w:rsidRPr="008D7F65">
              <w:rPr>
                <w:rFonts w:ascii="Arial" w:hAnsi="Arial" w:cs="Arial"/>
                <w:sz w:val="18"/>
                <w:szCs w:val="18"/>
              </w:rPr>
              <w:t>Check</w:t>
            </w:r>
            <w:r w:rsidRPr="008D7F65">
              <w:rPr>
                <w:rFonts w:ascii="Arial" w:hAnsi="Arial" w:cs="Arial"/>
                <w:spacing w:val="-3"/>
                <w:sz w:val="18"/>
                <w:szCs w:val="18"/>
              </w:rPr>
              <w:t xml:space="preserve"> </w:t>
            </w:r>
            <w:r w:rsidRPr="008D7F65">
              <w:rPr>
                <w:rFonts w:ascii="Arial" w:hAnsi="Arial" w:cs="Arial"/>
                <w:sz w:val="18"/>
                <w:szCs w:val="18"/>
              </w:rPr>
              <w:t>the</w:t>
            </w:r>
            <w:r w:rsidRPr="008D7F65">
              <w:rPr>
                <w:rFonts w:ascii="Arial" w:hAnsi="Arial" w:cs="Arial"/>
                <w:spacing w:val="-3"/>
                <w:sz w:val="18"/>
                <w:szCs w:val="18"/>
              </w:rPr>
              <w:t xml:space="preserve"> </w:t>
            </w:r>
            <w:r w:rsidRPr="008D7F65">
              <w:rPr>
                <w:rFonts w:ascii="Arial" w:hAnsi="Arial" w:cs="Arial"/>
                <w:sz w:val="18"/>
                <w:szCs w:val="18"/>
              </w:rPr>
              <w:t>general</w:t>
            </w:r>
            <w:r w:rsidRPr="008D7F65">
              <w:rPr>
                <w:rFonts w:ascii="Arial" w:hAnsi="Arial" w:cs="Arial"/>
                <w:spacing w:val="-2"/>
                <w:sz w:val="18"/>
                <w:szCs w:val="18"/>
              </w:rPr>
              <w:t xml:space="preserve"> </w:t>
            </w:r>
            <w:r w:rsidRPr="008D7F65">
              <w:rPr>
                <w:rFonts w:ascii="Arial" w:hAnsi="Arial" w:cs="Arial"/>
                <w:sz w:val="18"/>
                <w:szCs w:val="18"/>
              </w:rPr>
              <w:t>condition</w:t>
            </w:r>
            <w:r w:rsidRPr="008D7F65">
              <w:rPr>
                <w:rFonts w:ascii="Arial" w:hAnsi="Arial" w:cs="Arial"/>
                <w:spacing w:val="-2"/>
                <w:sz w:val="18"/>
                <w:szCs w:val="18"/>
              </w:rPr>
              <w:t xml:space="preserve"> </w:t>
            </w:r>
            <w:r w:rsidRPr="008D7F65">
              <w:rPr>
                <w:rFonts w:ascii="Arial" w:hAnsi="Arial" w:cs="Arial"/>
                <w:sz w:val="18"/>
                <w:szCs w:val="18"/>
              </w:rPr>
              <w:t>of</w:t>
            </w:r>
            <w:r w:rsidRPr="008D7F65">
              <w:rPr>
                <w:rFonts w:ascii="Arial" w:hAnsi="Arial" w:cs="Arial"/>
                <w:spacing w:val="-4"/>
                <w:sz w:val="18"/>
                <w:szCs w:val="18"/>
              </w:rPr>
              <w:t xml:space="preserve"> </w:t>
            </w:r>
            <w:r w:rsidRPr="008D7F65">
              <w:rPr>
                <w:rFonts w:ascii="Arial" w:hAnsi="Arial" w:cs="Arial"/>
                <w:sz w:val="18"/>
                <w:szCs w:val="18"/>
              </w:rPr>
              <w:t>the</w:t>
            </w:r>
            <w:r w:rsidRPr="008D7F65">
              <w:rPr>
                <w:rFonts w:ascii="Arial" w:hAnsi="Arial" w:cs="Arial"/>
                <w:spacing w:val="-3"/>
                <w:sz w:val="18"/>
                <w:szCs w:val="18"/>
              </w:rPr>
              <w:t xml:space="preserve"> </w:t>
            </w:r>
            <w:r w:rsidRPr="008D7F65">
              <w:rPr>
                <w:rFonts w:ascii="Arial" w:hAnsi="Arial" w:cs="Arial"/>
                <w:sz w:val="18"/>
                <w:szCs w:val="18"/>
              </w:rPr>
              <w:t>basket</w:t>
            </w:r>
            <w:r w:rsidRPr="008D7F65">
              <w:rPr>
                <w:rFonts w:ascii="Arial" w:hAnsi="Arial" w:cs="Arial"/>
                <w:spacing w:val="-2"/>
                <w:sz w:val="18"/>
                <w:szCs w:val="18"/>
              </w:rPr>
              <w:t xml:space="preserve"> </w:t>
            </w:r>
            <w:r w:rsidRPr="008D7F65">
              <w:rPr>
                <w:rFonts w:ascii="Arial" w:hAnsi="Arial" w:cs="Arial"/>
                <w:sz w:val="18"/>
                <w:szCs w:val="18"/>
              </w:rPr>
              <w:t>walls.</w:t>
            </w:r>
            <w:r w:rsidRPr="008D7F65">
              <w:rPr>
                <w:rFonts w:ascii="Arial" w:hAnsi="Arial" w:cs="Arial"/>
                <w:spacing w:val="-2"/>
                <w:sz w:val="18"/>
                <w:szCs w:val="18"/>
              </w:rPr>
              <w:t xml:space="preserve"> </w:t>
            </w:r>
            <w:r w:rsidRPr="008D7F65">
              <w:rPr>
                <w:rFonts w:ascii="Arial" w:hAnsi="Arial" w:cs="Arial"/>
                <w:sz w:val="18"/>
                <w:szCs w:val="18"/>
              </w:rPr>
              <w:t>Inspect</w:t>
            </w:r>
            <w:r w:rsidRPr="008D7F65">
              <w:rPr>
                <w:rFonts w:ascii="Arial" w:hAnsi="Arial" w:cs="Arial"/>
                <w:spacing w:val="-2"/>
                <w:sz w:val="18"/>
                <w:szCs w:val="18"/>
              </w:rPr>
              <w:t xml:space="preserve"> </w:t>
            </w:r>
            <w:r w:rsidRPr="008D7F65">
              <w:rPr>
                <w:rFonts w:ascii="Arial" w:hAnsi="Arial" w:cs="Arial"/>
                <w:sz w:val="18"/>
                <w:szCs w:val="18"/>
              </w:rPr>
              <w:t>weave</w:t>
            </w:r>
            <w:r w:rsidRPr="008D7F65">
              <w:rPr>
                <w:rFonts w:ascii="Arial" w:hAnsi="Arial" w:cs="Arial"/>
                <w:spacing w:val="-3"/>
                <w:sz w:val="18"/>
                <w:szCs w:val="18"/>
              </w:rPr>
              <w:t xml:space="preserve"> </w:t>
            </w:r>
            <w:r w:rsidRPr="008D7F65">
              <w:rPr>
                <w:rFonts w:ascii="Arial" w:hAnsi="Arial" w:cs="Arial"/>
                <w:sz w:val="18"/>
                <w:szCs w:val="18"/>
              </w:rPr>
              <w:t>for</w:t>
            </w:r>
          </w:p>
          <w:p w14:paraId="32E08649" w14:textId="77777777" w:rsidR="00FD6E29" w:rsidRPr="008D7F65" w:rsidRDefault="00FD6E29" w:rsidP="000B112D">
            <w:pPr>
              <w:pStyle w:val="TableParagraph"/>
              <w:spacing w:before="1" w:line="222" w:lineRule="exact"/>
              <w:ind w:left="106"/>
              <w:rPr>
                <w:rFonts w:ascii="Arial" w:hAnsi="Arial" w:cs="Arial"/>
                <w:sz w:val="18"/>
                <w:szCs w:val="18"/>
              </w:rPr>
            </w:pPr>
            <w:r w:rsidRPr="008D7F65">
              <w:rPr>
                <w:rFonts w:ascii="Arial" w:hAnsi="Arial" w:cs="Arial"/>
                <w:sz w:val="18"/>
                <w:szCs w:val="18"/>
              </w:rPr>
              <w:t>damage,</w:t>
            </w:r>
            <w:r w:rsidRPr="008D7F65">
              <w:rPr>
                <w:rFonts w:ascii="Arial" w:hAnsi="Arial" w:cs="Arial"/>
                <w:spacing w:val="-4"/>
                <w:sz w:val="18"/>
                <w:szCs w:val="18"/>
              </w:rPr>
              <w:t xml:space="preserve"> </w:t>
            </w:r>
            <w:r w:rsidRPr="008D7F65">
              <w:rPr>
                <w:rFonts w:ascii="Arial" w:hAnsi="Arial" w:cs="Arial"/>
                <w:sz w:val="18"/>
                <w:szCs w:val="18"/>
              </w:rPr>
              <w:t>cracks/holes.</w:t>
            </w:r>
            <w:r w:rsidRPr="008D7F65">
              <w:rPr>
                <w:rFonts w:ascii="Arial" w:hAnsi="Arial" w:cs="Arial"/>
                <w:spacing w:val="-3"/>
                <w:sz w:val="18"/>
                <w:szCs w:val="18"/>
              </w:rPr>
              <w:t xml:space="preserve"> </w:t>
            </w:r>
            <w:r w:rsidRPr="008D7F65">
              <w:rPr>
                <w:rFonts w:ascii="Arial" w:hAnsi="Arial" w:cs="Arial"/>
                <w:sz w:val="18"/>
                <w:szCs w:val="18"/>
              </w:rPr>
              <w:t>Check for</w:t>
            </w:r>
            <w:r w:rsidRPr="008D7F65">
              <w:rPr>
                <w:rFonts w:ascii="Arial" w:hAnsi="Arial" w:cs="Arial"/>
                <w:spacing w:val="-3"/>
                <w:sz w:val="18"/>
                <w:szCs w:val="18"/>
              </w:rPr>
              <w:t xml:space="preserve"> </w:t>
            </w:r>
            <w:r w:rsidRPr="008D7F65">
              <w:rPr>
                <w:rFonts w:ascii="Arial" w:hAnsi="Arial" w:cs="Arial"/>
                <w:sz w:val="18"/>
                <w:szCs w:val="18"/>
              </w:rPr>
              <w:t>no</w:t>
            </w:r>
            <w:r w:rsidRPr="008D7F65">
              <w:rPr>
                <w:rFonts w:ascii="Arial" w:hAnsi="Arial" w:cs="Arial"/>
                <w:spacing w:val="-3"/>
                <w:sz w:val="18"/>
                <w:szCs w:val="18"/>
              </w:rPr>
              <w:t xml:space="preserve"> </w:t>
            </w:r>
            <w:r w:rsidRPr="008D7F65">
              <w:rPr>
                <w:rFonts w:ascii="Arial" w:hAnsi="Arial" w:cs="Arial"/>
                <w:sz w:val="18"/>
                <w:szCs w:val="18"/>
              </w:rPr>
              <w:t>sharp</w:t>
            </w:r>
            <w:r w:rsidRPr="008D7F65">
              <w:rPr>
                <w:rFonts w:ascii="Arial" w:hAnsi="Arial" w:cs="Arial"/>
                <w:spacing w:val="-3"/>
                <w:sz w:val="18"/>
                <w:szCs w:val="18"/>
              </w:rPr>
              <w:t xml:space="preserve"> </w:t>
            </w:r>
            <w:r w:rsidRPr="008D7F65">
              <w:rPr>
                <w:rFonts w:ascii="Arial" w:hAnsi="Arial" w:cs="Arial"/>
                <w:sz w:val="18"/>
                <w:szCs w:val="18"/>
              </w:rPr>
              <w:t>objects</w:t>
            </w:r>
            <w:r w:rsidRPr="008D7F65">
              <w:rPr>
                <w:rFonts w:ascii="Arial" w:hAnsi="Arial" w:cs="Arial"/>
                <w:spacing w:val="-4"/>
                <w:sz w:val="18"/>
                <w:szCs w:val="18"/>
              </w:rPr>
              <w:t xml:space="preserve"> </w:t>
            </w:r>
            <w:r w:rsidRPr="008D7F65">
              <w:rPr>
                <w:rFonts w:ascii="Arial" w:hAnsi="Arial" w:cs="Arial"/>
                <w:sz w:val="18"/>
                <w:szCs w:val="18"/>
              </w:rPr>
              <w:t>inside</w:t>
            </w:r>
            <w:r w:rsidRPr="008D7F65">
              <w:rPr>
                <w:rFonts w:ascii="Arial" w:hAnsi="Arial" w:cs="Arial"/>
                <w:spacing w:val="-4"/>
                <w:sz w:val="18"/>
                <w:szCs w:val="18"/>
              </w:rPr>
              <w:t xml:space="preserve"> </w:t>
            </w:r>
            <w:r w:rsidRPr="008D7F65">
              <w:rPr>
                <w:rFonts w:ascii="Arial" w:hAnsi="Arial" w:cs="Arial"/>
                <w:sz w:val="18"/>
                <w:szCs w:val="18"/>
              </w:rPr>
              <w:t>the</w:t>
            </w:r>
            <w:r w:rsidRPr="008D7F65">
              <w:rPr>
                <w:rFonts w:ascii="Arial" w:hAnsi="Arial" w:cs="Arial"/>
                <w:spacing w:val="-2"/>
                <w:sz w:val="18"/>
                <w:szCs w:val="18"/>
              </w:rPr>
              <w:t xml:space="preserve"> </w:t>
            </w:r>
            <w:r w:rsidRPr="008D7F65">
              <w:rPr>
                <w:rFonts w:ascii="Arial" w:hAnsi="Arial" w:cs="Arial"/>
                <w:sz w:val="18"/>
                <w:szCs w:val="18"/>
              </w:rPr>
              <w:t>basket.</w:t>
            </w:r>
          </w:p>
        </w:tc>
      </w:tr>
      <w:tr w:rsidR="00FD6E29" w:rsidRPr="008D7F65" w14:paraId="112483F6" w14:textId="77777777" w:rsidTr="008D7F65">
        <w:trPr>
          <w:trHeight w:val="245"/>
        </w:trPr>
        <w:tc>
          <w:tcPr>
            <w:tcW w:w="2425" w:type="dxa"/>
          </w:tcPr>
          <w:p w14:paraId="28FAFE38" w14:textId="77777777" w:rsidR="00FD6E29" w:rsidRPr="008D7F65" w:rsidRDefault="00FD6E29" w:rsidP="000B112D">
            <w:pPr>
              <w:pStyle w:val="TableParagraph"/>
              <w:spacing w:line="225" w:lineRule="exact"/>
              <w:ind w:left="98"/>
              <w:rPr>
                <w:rFonts w:ascii="Arial" w:hAnsi="Arial" w:cs="Arial"/>
                <w:sz w:val="18"/>
                <w:szCs w:val="18"/>
              </w:rPr>
            </w:pPr>
            <w:r w:rsidRPr="008D7F65">
              <w:rPr>
                <w:rFonts w:ascii="Arial" w:hAnsi="Arial" w:cs="Arial"/>
                <w:sz w:val="18"/>
                <w:szCs w:val="18"/>
              </w:rPr>
              <w:t>Basket</w:t>
            </w:r>
            <w:r w:rsidRPr="008D7F65">
              <w:rPr>
                <w:rFonts w:ascii="Arial" w:hAnsi="Arial" w:cs="Arial"/>
                <w:spacing w:val="-1"/>
                <w:sz w:val="18"/>
                <w:szCs w:val="18"/>
              </w:rPr>
              <w:t xml:space="preserve"> </w:t>
            </w:r>
            <w:r w:rsidRPr="008D7F65">
              <w:rPr>
                <w:rFonts w:ascii="Arial" w:hAnsi="Arial" w:cs="Arial"/>
                <w:sz w:val="18"/>
                <w:szCs w:val="18"/>
              </w:rPr>
              <w:t>wires</w:t>
            </w:r>
          </w:p>
        </w:tc>
        <w:tc>
          <w:tcPr>
            <w:tcW w:w="6570" w:type="dxa"/>
          </w:tcPr>
          <w:p w14:paraId="3FF76683" w14:textId="77777777" w:rsidR="00FD6E29" w:rsidRPr="008D7F65" w:rsidRDefault="00FD6E29" w:rsidP="000B112D">
            <w:pPr>
              <w:pStyle w:val="TableParagraph"/>
              <w:spacing w:line="225" w:lineRule="exact"/>
              <w:ind w:left="106"/>
              <w:rPr>
                <w:rFonts w:ascii="Arial" w:hAnsi="Arial" w:cs="Arial"/>
                <w:sz w:val="18"/>
                <w:szCs w:val="18"/>
              </w:rPr>
            </w:pPr>
            <w:r w:rsidRPr="008D7F65">
              <w:rPr>
                <w:rFonts w:ascii="Arial" w:hAnsi="Arial" w:cs="Arial"/>
                <w:sz w:val="18"/>
                <w:szCs w:val="18"/>
              </w:rPr>
              <w:t>Inspect</w:t>
            </w:r>
            <w:r w:rsidRPr="008D7F65">
              <w:rPr>
                <w:rFonts w:ascii="Arial" w:hAnsi="Arial" w:cs="Arial"/>
                <w:spacing w:val="-2"/>
                <w:sz w:val="18"/>
                <w:szCs w:val="18"/>
              </w:rPr>
              <w:t xml:space="preserve"> </w:t>
            </w:r>
            <w:r w:rsidRPr="008D7F65">
              <w:rPr>
                <w:rFonts w:ascii="Arial" w:hAnsi="Arial" w:cs="Arial"/>
                <w:sz w:val="18"/>
                <w:szCs w:val="18"/>
              </w:rPr>
              <w:t>for</w:t>
            </w:r>
            <w:r w:rsidRPr="008D7F65">
              <w:rPr>
                <w:rFonts w:ascii="Arial" w:hAnsi="Arial" w:cs="Arial"/>
                <w:spacing w:val="-2"/>
                <w:sz w:val="18"/>
                <w:szCs w:val="18"/>
              </w:rPr>
              <w:t xml:space="preserve"> </w:t>
            </w:r>
            <w:r w:rsidRPr="008D7F65">
              <w:rPr>
                <w:rFonts w:ascii="Arial" w:hAnsi="Arial" w:cs="Arial"/>
                <w:sz w:val="18"/>
                <w:szCs w:val="18"/>
              </w:rPr>
              <w:t>damage,</w:t>
            </w:r>
            <w:r w:rsidRPr="008D7F65">
              <w:rPr>
                <w:rFonts w:ascii="Arial" w:hAnsi="Arial" w:cs="Arial"/>
                <w:spacing w:val="-2"/>
                <w:sz w:val="18"/>
                <w:szCs w:val="18"/>
              </w:rPr>
              <w:t xml:space="preserve"> </w:t>
            </w:r>
            <w:r w:rsidRPr="008D7F65">
              <w:rPr>
                <w:rFonts w:ascii="Arial" w:hAnsi="Arial" w:cs="Arial"/>
                <w:sz w:val="18"/>
                <w:szCs w:val="18"/>
              </w:rPr>
              <w:t>check</w:t>
            </w:r>
            <w:r w:rsidRPr="008D7F65">
              <w:rPr>
                <w:rFonts w:ascii="Arial" w:hAnsi="Arial" w:cs="Arial"/>
                <w:spacing w:val="-1"/>
                <w:sz w:val="18"/>
                <w:szCs w:val="18"/>
              </w:rPr>
              <w:t xml:space="preserve"> </w:t>
            </w:r>
            <w:r w:rsidRPr="008D7F65">
              <w:rPr>
                <w:rFonts w:ascii="Arial" w:hAnsi="Arial" w:cs="Arial"/>
                <w:sz w:val="18"/>
                <w:szCs w:val="18"/>
              </w:rPr>
              <w:t>swaging</w:t>
            </w:r>
            <w:r w:rsidRPr="008D7F65">
              <w:rPr>
                <w:rFonts w:ascii="Arial" w:hAnsi="Arial" w:cs="Arial"/>
                <w:spacing w:val="-3"/>
                <w:sz w:val="18"/>
                <w:szCs w:val="18"/>
              </w:rPr>
              <w:t xml:space="preserve"> </w:t>
            </w:r>
            <w:r w:rsidRPr="008D7F65">
              <w:rPr>
                <w:rFonts w:ascii="Arial" w:hAnsi="Arial" w:cs="Arial"/>
                <w:sz w:val="18"/>
                <w:szCs w:val="18"/>
              </w:rPr>
              <w:t>and</w:t>
            </w:r>
            <w:r w:rsidRPr="008D7F65">
              <w:rPr>
                <w:rFonts w:ascii="Arial" w:hAnsi="Arial" w:cs="Arial"/>
                <w:spacing w:val="-2"/>
                <w:sz w:val="18"/>
                <w:szCs w:val="18"/>
              </w:rPr>
              <w:t xml:space="preserve"> </w:t>
            </w:r>
            <w:r w:rsidRPr="008D7F65">
              <w:rPr>
                <w:rFonts w:ascii="Arial" w:hAnsi="Arial" w:cs="Arial"/>
                <w:sz w:val="18"/>
                <w:szCs w:val="18"/>
              </w:rPr>
              <w:t>eye</w:t>
            </w:r>
            <w:r w:rsidRPr="008D7F65">
              <w:rPr>
                <w:rFonts w:ascii="Arial" w:hAnsi="Arial" w:cs="Arial"/>
                <w:spacing w:val="-2"/>
                <w:sz w:val="18"/>
                <w:szCs w:val="18"/>
              </w:rPr>
              <w:t xml:space="preserve"> </w:t>
            </w:r>
            <w:r w:rsidRPr="008D7F65">
              <w:rPr>
                <w:rFonts w:ascii="Arial" w:hAnsi="Arial" w:cs="Arial"/>
                <w:sz w:val="18"/>
                <w:szCs w:val="18"/>
              </w:rPr>
              <w:t>rings</w:t>
            </w:r>
            <w:r w:rsidRPr="008D7F65">
              <w:rPr>
                <w:rFonts w:ascii="Arial" w:hAnsi="Arial" w:cs="Arial"/>
                <w:spacing w:val="-4"/>
                <w:sz w:val="18"/>
                <w:szCs w:val="18"/>
              </w:rPr>
              <w:t xml:space="preserve"> </w:t>
            </w:r>
            <w:r w:rsidRPr="008D7F65">
              <w:rPr>
                <w:rFonts w:ascii="Arial" w:hAnsi="Arial" w:cs="Arial"/>
                <w:sz w:val="18"/>
                <w:szCs w:val="18"/>
              </w:rPr>
              <w:t>(thimbles).</w:t>
            </w:r>
          </w:p>
        </w:tc>
      </w:tr>
      <w:tr w:rsidR="00FD6E29" w:rsidRPr="008D7F65" w14:paraId="3428FBF3" w14:textId="77777777" w:rsidTr="008D7F65">
        <w:trPr>
          <w:trHeight w:val="242"/>
        </w:trPr>
        <w:tc>
          <w:tcPr>
            <w:tcW w:w="2425" w:type="dxa"/>
          </w:tcPr>
          <w:p w14:paraId="40E73C13" w14:textId="77777777" w:rsidR="00FD6E29" w:rsidRPr="008D7F65" w:rsidRDefault="00FD6E29" w:rsidP="000B112D">
            <w:pPr>
              <w:pStyle w:val="TableParagraph"/>
              <w:spacing w:line="222" w:lineRule="exact"/>
              <w:ind w:left="98"/>
              <w:rPr>
                <w:rFonts w:ascii="Arial" w:hAnsi="Arial" w:cs="Arial"/>
                <w:sz w:val="18"/>
                <w:szCs w:val="18"/>
              </w:rPr>
            </w:pPr>
            <w:r w:rsidRPr="008D7F65">
              <w:rPr>
                <w:rFonts w:ascii="Arial" w:hAnsi="Arial" w:cs="Arial"/>
                <w:sz w:val="18"/>
                <w:szCs w:val="18"/>
              </w:rPr>
              <w:t>Karabiners</w:t>
            </w:r>
          </w:p>
        </w:tc>
        <w:tc>
          <w:tcPr>
            <w:tcW w:w="6570" w:type="dxa"/>
          </w:tcPr>
          <w:p w14:paraId="01F8783A" w14:textId="77777777" w:rsidR="00FD6E29" w:rsidRPr="008D7F65" w:rsidRDefault="00FD6E29" w:rsidP="000B112D">
            <w:pPr>
              <w:pStyle w:val="TableParagraph"/>
              <w:spacing w:line="222" w:lineRule="exact"/>
              <w:ind w:left="106"/>
              <w:rPr>
                <w:rFonts w:ascii="Arial" w:hAnsi="Arial" w:cs="Arial"/>
                <w:sz w:val="18"/>
                <w:szCs w:val="18"/>
              </w:rPr>
            </w:pPr>
            <w:r w:rsidRPr="008D7F65">
              <w:rPr>
                <w:rFonts w:ascii="Arial" w:hAnsi="Arial" w:cs="Arial"/>
                <w:sz w:val="18"/>
                <w:szCs w:val="18"/>
              </w:rPr>
              <w:t>Inspect</w:t>
            </w:r>
            <w:r w:rsidRPr="008D7F65">
              <w:rPr>
                <w:rFonts w:ascii="Arial" w:hAnsi="Arial" w:cs="Arial"/>
                <w:spacing w:val="-4"/>
                <w:sz w:val="18"/>
                <w:szCs w:val="18"/>
              </w:rPr>
              <w:t xml:space="preserve"> </w:t>
            </w:r>
            <w:r w:rsidRPr="008D7F65">
              <w:rPr>
                <w:rFonts w:ascii="Arial" w:hAnsi="Arial" w:cs="Arial"/>
                <w:sz w:val="18"/>
                <w:szCs w:val="18"/>
              </w:rPr>
              <w:t>for</w:t>
            </w:r>
            <w:r w:rsidRPr="008D7F65">
              <w:rPr>
                <w:rFonts w:ascii="Arial" w:hAnsi="Arial" w:cs="Arial"/>
                <w:spacing w:val="-3"/>
                <w:sz w:val="18"/>
                <w:szCs w:val="18"/>
              </w:rPr>
              <w:t xml:space="preserve"> </w:t>
            </w:r>
            <w:r w:rsidRPr="008D7F65">
              <w:rPr>
                <w:rFonts w:ascii="Arial" w:hAnsi="Arial" w:cs="Arial"/>
                <w:sz w:val="18"/>
                <w:szCs w:val="18"/>
              </w:rPr>
              <w:t>damage/corrosion.</w:t>
            </w:r>
            <w:r w:rsidRPr="008D7F65">
              <w:rPr>
                <w:rFonts w:ascii="Arial" w:hAnsi="Arial" w:cs="Arial"/>
                <w:spacing w:val="-3"/>
                <w:sz w:val="18"/>
                <w:szCs w:val="18"/>
              </w:rPr>
              <w:t xml:space="preserve"> </w:t>
            </w:r>
            <w:r w:rsidRPr="008D7F65">
              <w:rPr>
                <w:rFonts w:ascii="Arial" w:hAnsi="Arial" w:cs="Arial"/>
                <w:sz w:val="18"/>
                <w:szCs w:val="18"/>
              </w:rPr>
              <w:t>Operational</w:t>
            </w:r>
            <w:r w:rsidRPr="008D7F65">
              <w:rPr>
                <w:rFonts w:ascii="Arial" w:hAnsi="Arial" w:cs="Arial"/>
                <w:spacing w:val="-3"/>
                <w:sz w:val="18"/>
                <w:szCs w:val="18"/>
              </w:rPr>
              <w:t xml:space="preserve"> </w:t>
            </w:r>
            <w:r w:rsidRPr="008D7F65">
              <w:rPr>
                <w:rFonts w:ascii="Arial" w:hAnsi="Arial" w:cs="Arial"/>
                <w:sz w:val="18"/>
                <w:szCs w:val="18"/>
              </w:rPr>
              <w:t>check</w:t>
            </w:r>
            <w:r w:rsidRPr="008D7F65">
              <w:rPr>
                <w:rFonts w:ascii="Arial" w:hAnsi="Arial" w:cs="Arial"/>
                <w:spacing w:val="-3"/>
                <w:sz w:val="18"/>
                <w:szCs w:val="18"/>
              </w:rPr>
              <w:t xml:space="preserve"> </w:t>
            </w:r>
            <w:r w:rsidRPr="008D7F65">
              <w:rPr>
                <w:rFonts w:ascii="Arial" w:hAnsi="Arial" w:cs="Arial"/>
                <w:sz w:val="18"/>
                <w:szCs w:val="18"/>
              </w:rPr>
              <w:t>of</w:t>
            </w:r>
            <w:r w:rsidRPr="008D7F65">
              <w:rPr>
                <w:rFonts w:ascii="Arial" w:hAnsi="Arial" w:cs="Arial"/>
                <w:spacing w:val="-5"/>
                <w:sz w:val="18"/>
                <w:szCs w:val="18"/>
              </w:rPr>
              <w:t xml:space="preserve"> </w:t>
            </w:r>
            <w:r w:rsidRPr="008D7F65">
              <w:rPr>
                <w:rFonts w:ascii="Arial" w:hAnsi="Arial" w:cs="Arial"/>
                <w:sz w:val="18"/>
                <w:szCs w:val="18"/>
              </w:rPr>
              <w:t>karabiner</w:t>
            </w:r>
            <w:r w:rsidRPr="008D7F65">
              <w:rPr>
                <w:rFonts w:ascii="Arial" w:hAnsi="Arial" w:cs="Arial"/>
                <w:spacing w:val="-3"/>
                <w:sz w:val="18"/>
                <w:szCs w:val="18"/>
              </w:rPr>
              <w:t xml:space="preserve"> </w:t>
            </w:r>
            <w:r w:rsidRPr="008D7F65">
              <w:rPr>
                <w:rFonts w:ascii="Arial" w:hAnsi="Arial" w:cs="Arial"/>
                <w:sz w:val="18"/>
                <w:szCs w:val="18"/>
              </w:rPr>
              <w:t>lock.</w:t>
            </w:r>
          </w:p>
        </w:tc>
      </w:tr>
      <w:tr w:rsidR="00FD6E29" w:rsidRPr="008D7F65" w14:paraId="00BB8103" w14:textId="77777777" w:rsidTr="008D7F65">
        <w:trPr>
          <w:trHeight w:val="245"/>
        </w:trPr>
        <w:tc>
          <w:tcPr>
            <w:tcW w:w="2425" w:type="dxa"/>
          </w:tcPr>
          <w:p w14:paraId="23565992" w14:textId="77777777" w:rsidR="00FD6E29" w:rsidRPr="008D7F65" w:rsidRDefault="00FD6E29" w:rsidP="000B112D">
            <w:pPr>
              <w:pStyle w:val="TableParagraph"/>
              <w:spacing w:line="225" w:lineRule="exact"/>
              <w:ind w:left="98"/>
              <w:rPr>
                <w:rFonts w:ascii="Arial" w:hAnsi="Arial" w:cs="Arial"/>
                <w:sz w:val="18"/>
                <w:szCs w:val="18"/>
              </w:rPr>
            </w:pPr>
            <w:r w:rsidRPr="008D7F65">
              <w:rPr>
                <w:rFonts w:ascii="Arial" w:hAnsi="Arial" w:cs="Arial"/>
                <w:sz w:val="18"/>
                <w:szCs w:val="18"/>
              </w:rPr>
              <w:t>Basket</w:t>
            </w:r>
            <w:r w:rsidRPr="008D7F65">
              <w:rPr>
                <w:rFonts w:ascii="Arial" w:hAnsi="Arial" w:cs="Arial"/>
                <w:spacing w:val="-2"/>
                <w:sz w:val="18"/>
                <w:szCs w:val="18"/>
              </w:rPr>
              <w:t xml:space="preserve"> </w:t>
            </w:r>
            <w:r w:rsidRPr="008D7F65">
              <w:rPr>
                <w:rFonts w:ascii="Arial" w:hAnsi="Arial" w:cs="Arial"/>
                <w:sz w:val="18"/>
                <w:szCs w:val="18"/>
              </w:rPr>
              <w:t>floor</w:t>
            </w:r>
          </w:p>
        </w:tc>
        <w:tc>
          <w:tcPr>
            <w:tcW w:w="6570" w:type="dxa"/>
          </w:tcPr>
          <w:p w14:paraId="42B6FAAC" w14:textId="77777777" w:rsidR="00FD6E29" w:rsidRPr="008D7F65" w:rsidRDefault="00FD6E29" w:rsidP="000B112D">
            <w:pPr>
              <w:pStyle w:val="TableParagraph"/>
              <w:spacing w:line="225" w:lineRule="exact"/>
              <w:ind w:left="106"/>
              <w:rPr>
                <w:rFonts w:ascii="Arial" w:hAnsi="Arial" w:cs="Arial"/>
                <w:sz w:val="18"/>
                <w:szCs w:val="18"/>
              </w:rPr>
            </w:pPr>
            <w:r w:rsidRPr="008D7F65">
              <w:rPr>
                <w:rFonts w:ascii="Arial" w:hAnsi="Arial" w:cs="Arial"/>
                <w:sz w:val="18"/>
                <w:szCs w:val="18"/>
              </w:rPr>
              <w:t>Inspect</w:t>
            </w:r>
            <w:r w:rsidRPr="008D7F65">
              <w:rPr>
                <w:rFonts w:ascii="Arial" w:hAnsi="Arial" w:cs="Arial"/>
                <w:spacing w:val="-2"/>
                <w:sz w:val="18"/>
                <w:szCs w:val="18"/>
              </w:rPr>
              <w:t xml:space="preserve"> </w:t>
            </w:r>
            <w:r w:rsidRPr="008D7F65">
              <w:rPr>
                <w:rFonts w:ascii="Arial" w:hAnsi="Arial" w:cs="Arial"/>
                <w:sz w:val="18"/>
                <w:szCs w:val="18"/>
              </w:rPr>
              <w:t>for</w:t>
            </w:r>
            <w:r w:rsidRPr="008D7F65">
              <w:rPr>
                <w:rFonts w:ascii="Arial" w:hAnsi="Arial" w:cs="Arial"/>
                <w:spacing w:val="-2"/>
                <w:sz w:val="18"/>
                <w:szCs w:val="18"/>
              </w:rPr>
              <w:t xml:space="preserve"> </w:t>
            </w:r>
            <w:r w:rsidRPr="008D7F65">
              <w:rPr>
                <w:rFonts w:ascii="Arial" w:hAnsi="Arial" w:cs="Arial"/>
                <w:sz w:val="18"/>
                <w:szCs w:val="18"/>
              </w:rPr>
              <w:t>damage</w:t>
            </w:r>
            <w:r w:rsidRPr="008D7F65">
              <w:rPr>
                <w:rFonts w:ascii="Arial" w:hAnsi="Arial" w:cs="Arial"/>
                <w:spacing w:val="-3"/>
                <w:sz w:val="18"/>
                <w:szCs w:val="18"/>
              </w:rPr>
              <w:t xml:space="preserve"> </w:t>
            </w:r>
            <w:r w:rsidRPr="008D7F65">
              <w:rPr>
                <w:rFonts w:ascii="Arial" w:hAnsi="Arial" w:cs="Arial"/>
                <w:sz w:val="18"/>
                <w:szCs w:val="18"/>
              </w:rPr>
              <w:t>and</w:t>
            </w:r>
            <w:r w:rsidRPr="008D7F65">
              <w:rPr>
                <w:rFonts w:ascii="Arial" w:hAnsi="Arial" w:cs="Arial"/>
                <w:spacing w:val="-2"/>
                <w:sz w:val="18"/>
                <w:szCs w:val="18"/>
              </w:rPr>
              <w:t xml:space="preserve"> </w:t>
            </w:r>
            <w:r w:rsidRPr="008D7F65">
              <w:rPr>
                <w:rFonts w:ascii="Arial" w:hAnsi="Arial" w:cs="Arial"/>
                <w:sz w:val="18"/>
                <w:szCs w:val="18"/>
              </w:rPr>
              <w:t>cracks.</w:t>
            </w:r>
          </w:p>
        </w:tc>
      </w:tr>
      <w:tr w:rsidR="00FD6E29" w:rsidRPr="008D7F65" w14:paraId="6FFDC276" w14:textId="77777777" w:rsidTr="008D7F65">
        <w:trPr>
          <w:trHeight w:val="243"/>
        </w:trPr>
        <w:tc>
          <w:tcPr>
            <w:tcW w:w="2425" w:type="dxa"/>
          </w:tcPr>
          <w:p w14:paraId="3451127A" w14:textId="77777777" w:rsidR="00FD6E29" w:rsidRPr="008D7F65" w:rsidRDefault="00FD6E29" w:rsidP="000B112D">
            <w:pPr>
              <w:pStyle w:val="TableParagraph"/>
              <w:spacing w:line="222" w:lineRule="exact"/>
              <w:ind w:left="98"/>
              <w:rPr>
                <w:rFonts w:ascii="Arial" w:hAnsi="Arial" w:cs="Arial"/>
                <w:sz w:val="18"/>
                <w:szCs w:val="18"/>
              </w:rPr>
            </w:pPr>
            <w:r w:rsidRPr="008D7F65">
              <w:rPr>
                <w:rFonts w:ascii="Arial" w:hAnsi="Arial" w:cs="Arial"/>
                <w:sz w:val="18"/>
                <w:szCs w:val="18"/>
              </w:rPr>
              <w:t>Runners</w:t>
            </w:r>
          </w:p>
        </w:tc>
        <w:tc>
          <w:tcPr>
            <w:tcW w:w="6570" w:type="dxa"/>
          </w:tcPr>
          <w:p w14:paraId="253EA99D" w14:textId="77777777" w:rsidR="00FD6E29" w:rsidRPr="008D7F65" w:rsidRDefault="00FD6E29" w:rsidP="000B112D">
            <w:pPr>
              <w:pStyle w:val="TableParagraph"/>
              <w:spacing w:line="222" w:lineRule="exact"/>
              <w:ind w:left="106"/>
              <w:rPr>
                <w:rFonts w:ascii="Arial" w:hAnsi="Arial" w:cs="Arial"/>
                <w:sz w:val="18"/>
                <w:szCs w:val="18"/>
              </w:rPr>
            </w:pPr>
            <w:r w:rsidRPr="008D7F65">
              <w:rPr>
                <w:rFonts w:ascii="Arial" w:hAnsi="Arial" w:cs="Arial"/>
                <w:sz w:val="18"/>
                <w:szCs w:val="18"/>
              </w:rPr>
              <w:t>Inspect</w:t>
            </w:r>
            <w:r w:rsidRPr="008D7F65">
              <w:rPr>
                <w:rFonts w:ascii="Arial" w:hAnsi="Arial" w:cs="Arial"/>
                <w:spacing w:val="-3"/>
                <w:sz w:val="18"/>
                <w:szCs w:val="18"/>
              </w:rPr>
              <w:t xml:space="preserve"> </w:t>
            </w:r>
            <w:r w:rsidRPr="008D7F65">
              <w:rPr>
                <w:rFonts w:ascii="Arial" w:hAnsi="Arial" w:cs="Arial"/>
                <w:sz w:val="18"/>
                <w:szCs w:val="18"/>
              </w:rPr>
              <w:t>for</w:t>
            </w:r>
            <w:r w:rsidRPr="008D7F65">
              <w:rPr>
                <w:rFonts w:ascii="Arial" w:hAnsi="Arial" w:cs="Arial"/>
                <w:spacing w:val="-3"/>
                <w:sz w:val="18"/>
                <w:szCs w:val="18"/>
              </w:rPr>
              <w:t xml:space="preserve"> </w:t>
            </w:r>
            <w:r w:rsidRPr="008D7F65">
              <w:rPr>
                <w:rFonts w:ascii="Arial" w:hAnsi="Arial" w:cs="Arial"/>
                <w:sz w:val="18"/>
                <w:szCs w:val="18"/>
              </w:rPr>
              <w:t>damage,</w:t>
            </w:r>
            <w:r w:rsidRPr="008D7F65">
              <w:rPr>
                <w:rFonts w:ascii="Arial" w:hAnsi="Arial" w:cs="Arial"/>
                <w:spacing w:val="-2"/>
                <w:sz w:val="18"/>
                <w:szCs w:val="18"/>
              </w:rPr>
              <w:t xml:space="preserve"> </w:t>
            </w:r>
            <w:r w:rsidRPr="008D7F65">
              <w:rPr>
                <w:rFonts w:ascii="Arial" w:hAnsi="Arial" w:cs="Arial"/>
                <w:sz w:val="18"/>
                <w:szCs w:val="18"/>
              </w:rPr>
              <w:t>security</w:t>
            </w:r>
            <w:r w:rsidRPr="008D7F65">
              <w:rPr>
                <w:rFonts w:ascii="Arial" w:hAnsi="Arial" w:cs="Arial"/>
                <w:spacing w:val="-3"/>
                <w:sz w:val="18"/>
                <w:szCs w:val="18"/>
              </w:rPr>
              <w:t xml:space="preserve"> </w:t>
            </w:r>
            <w:r w:rsidRPr="008D7F65">
              <w:rPr>
                <w:rFonts w:ascii="Arial" w:hAnsi="Arial" w:cs="Arial"/>
                <w:sz w:val="18"/>
                <w:szCs w:val="18"/>
              </w:rPr>
              <w:t>of</w:t>
            </w:r>
            <w:r w:rsidRPr="008D7F65">
              <w:rPr>
                <w:rFonts w:ascii="Arial" w:hAnsi="Arial" w:cs="Arial"/>
                <w:spacing w:val="-4"/>
                <w:sz w:val="18"/>
                <w:szCs w:val="18"/>
              </w:rPr>
              <w:t xml:space="preserve"> </w:t>
            </w:r>
            <w:r w:rsidRPr="008D7F65">
              <w:rPr>
                <w:rFonts w:ascii="Arial" w:hAnsi="Arial" w:cs="Arial"/>
                <w:sz w:val="18"/>
                <w:szCs w:val="18"/>
              </w:rPr>
              <w:t>attachment.</w:t>
            </w:r>
          </w:p>
        </w:tc>
      </w:tr>
      <w:tr w:rsidR="00FD6E29" w:rsidRPr="008D7F65" w14:paraId="0A4D27A2" w14:textId="77777777" w:rsidTr="008D7F65">
        <w:trPr>
          <w:trHeight w:val="245"/>
        </w:trPr>
        <w:tc>
          <w:tcPr>
            <w:tcW w:w="2425" w:type="dxa"/>
          </w:tcPr>
          <w:p w14:paraId="751A29EE" w14:textId="77777777" w:rsidR="00FD6E29" w:rsidRPr="008D7F65" w:rsidRDefault="00FD6E29" w:rsidP="000B112D">
            <w:pPr>
              <w:pStyle w:val="TableParagraph"/>
              <w:spacing w:line="225" w:lineRule="exact"/>
              <w:ind w:left="98"/>
              <w:rPr>
                <w:rFonts w:ascii="Arial" w:hAnsi="Arial" w:cs="Arial"/>
                <w:sz w:val="18"/>
                <w:szCs w:val="18"/>
              </w:rPr>
            </w:pPr>
            <w:r w:rsidRPr="008D7F65">
              <w:rPr>
                <w:rFonts w:ascii="Arial" w:hAnsi="Arial" w:cs="Arial"/>
                <w:sz w:val="18"/>
                <w:szCs w:val="18"/>
              </w:rPr>
              <w:t>Rawhide</w:t>
            </w:r>
          </w:p>
        </w:tc>
        <w:tc>
          <w:tcPr>
            <w:tcW w:w="6570" w:type="dxa"/>
          </w:tcPr>
          <w:p w14:paraId="07C777D7" w14:textId="77777777" w:rsidR="00FD6E29" w:rsidRPr="008D7F65" w:rsidRDefault="00FD6E29" w:rsidP="000B112D">
            <w:pPr>
              <w:pStyle w:val="TableParagraph"/>
              <w:spacing w:line="225" w:lineRule="exact"/>
              <w:ind w:left="106"/>
              <w:rPr>
                <w:rFonts w:ascii="Arial" w:hAnsi="Arial" w:cs="Arial"/>
                <w:sz w:val="18"/>
                <w:szCs w:val="18"/>
              </w:rPr>
            </w:pPr>
            <w:r w:rsidRPr="008D7F65">
              <w:rPr>
                <w:rFonts w:ascii="Arial" w:hAnsi="Arial" w:cs="Arial"/>
                <w:sz w:val="18"/>
                <w:szCs w:val="18"/>
              </w:rPr>
              <w:t>Inspect</w:t>
            </w:r>
            <w:r w:rsidRPr="008D7F65">
              <w:rPr>
                <w:rFonts w:ascii="Arial" w:hAnsi="Arial" w:cs="Arial"/>
                <w:spacing w:val="-3"/>
                <w:sz w:val="18"/>
                <w:szCs w:val="18"/>
              </w:rPr>
              <w:t xml:space="preserve"> </w:t>
            </w:r>
            <w:r w:rsidRPr="008D7F65">
              <w:rPr>
                <w:rFonts w:ascii="Arial" w:hAnsi="Arial" w:cs="Arial"/>
                <w:sz w:val="18"/>
                <w:szCs w:val="18"/>
              </w:rPr>
              <w:t>for</w:t>
            </w:r>
            <w:r w:rsidRPr="008D7F65">
              <w:rPr>
                <w:rFonts w:ascii="Arial" w:hAnsi="Arial" w:cs="Arial"/>
                <w:spacing w:val="-2"/>
                <w:sz w:val="18"/>
                <w:szCs w:val="18"/>
              </w:rPr>
              <w:t xml:space="preserve"> </w:t>
            </w:r>
            <w:r w:rsidRPr="008D7F65">
              <w:rPr>
                <w:rFonts w:ascii="Arial" w:hAnsi="Arial" w:cs="Arial"/>
                <w:sz w:val="18"/>
                <w:szCs w:val="18"/>
              </w:rPr>
              <w:t>damage,</w:t>
            </w:r>
            <w:r w:rsidRPr="008D7F65">
              <w:rPr>
                <w:rFonts w:ascii="Arial" w:hAnsi="Arial" w:cs="Arial"/>
                <w:spacing w:val="-1"/>
                <w:sz w:val="18"/>
                <w:szCs w:val="18"/>
              </w:rPr>
              <w:t xml:space="preserve"> </w:t>
            </w:r>
            <w:r w:rsidRPr="008D7F65">
              <w:rPr>
                <w:rFonts w:ascii="Arial" w:hAnsi="Arial" w:cs="Arial"/>
                <w:sz w:val="18"/>
                <w:szCs w:val="18"/>
              </w:rPr>
              <w:t>wear</w:t>
            </w:r>
            <w:r w:rsidRPr="008D7F65">
              <w:rPr>
                <w:rFonts w:ascii="Arial" w:hAnsi="Arial" w:cs="Arial"/>
                <w:spacing w:val="-2"/>
                <w:sz w:val="18"/>
                <w:szCs w:val="18"/>
              </w:rPr>
              <w:t xml:space="preserve"> </w:t>
            </w:r>
            <w:r w:rsidRPr="008D7F65">
              <w:rPr>
                <w:rFonts w:ascii="Arial" w:hAnsi="Arial" w:cs="Arial"/>
                <w:sz w:val="18"/>
                <w:szCs w:val="18"/>
              </w:rPr>
              <w:t>and</w:t>
            </w:r>
            <w:r w:rsidRPr="008D7F65">
              <w:rPr>
                <w:rFonts w:ascii="Arial" w:hAnsi="Arial" w:cs="Arial"/>
                <w:spacing w:val="-1"/>
                <w:sz w:val="18"/>
                <w:szCs w:val="18"/>
              </w:rPr>
              <w:t xml:space="preserve"> </w:t>
            </w:r>
            <w:r w:rsidRPr="008D7F65">
              <w:rPr>
                <w:rFonts w:ascii="Arial" w:hAnsi="Arial" w:cs="Arial"/>
                <w:sz w:val="18"/>
                <w:szCs w:val="18"/>
              </w:rPr>
              <w:t>attachments</w:t>
            </w:r>
            <w:r w:rsidRPr="008D7F65">
              <w:rPr>
                <w:rFonts w:ascii="Arial" w:hAnsi="Arial" w:cs="Arial"/>
                <w:spacing w:val="-3"/>
                <w:sz w:val="18"/>
                <w:szCs w:val="18"/>
              </w:rPr>
              <w:t xml:space="preserve"> </w:t>
            </w:r>
            <w:r w:rsidRPr="008D7F65">
              <w:rPr>
                <w:rFonts w:ascii="Arial" w:hAnsi="Arial" w:cs="Arial"/>
                <w:sz w:val="18"/>
                <w:szCs w:val="18"/>
              </w:rPr>
              <w:t>to</w:t>
            </w:r>
            <w:r w:rsidRPr="008D7F65">
              <w:rPr>
                <w:rFonts w:ascii="Arial" w:hAnsi="Arial" w:cs="Arial"/>
                <w:spacing w:val="-2"/>
                <w:sz w:val="18"/>
                <w:szCs w:val="18"/>
              </w:rPr>
              <w:t xml:space="preserve"> </w:t>
            </w:r>
            <w:r w:rsidRPr="008D7F65">
              <w:rPr>
                <w:rFonts w:ascii="Arial" w:hAnsi="Arial" w:cs="Arial"/>
                <w:sz w:val="18"/>
                <w:szCs w:val="18"/>
              </w:rPr>
              <w:t>the</w:t>
            </w:r>
            <w:r w:rsidRPr="008D7F65">
              <w:rPr>
                <w:rFonts w:ascii="Arial" w:hAnsi="Arial" w:cs="Arial"/>
                <w:spacing w:val="-4"/>
                <w:sz w:val="18"/>
                <w:szCs w:val="18"/>
              </w:rPr>
              <w:t xml:space="preserve"> </w:t>
            </w:r>
            <w:r w:rsidRPr="008D7F65">
              <w:rPr>
                <w:rFonts w:ascii="Arial" w:hAnsi="Arial" w:cs="Arial"/>
                <w:sz w:val="18"/>
                <w:szCs w:val="18"/>
              </w:rPr>
              <w:t>floor.</w:t>
            </w:r>
          </w:p>
        </w:tc>
      </w:tr>
      <w:tr w:rsidR="00FD6E29" w:rsidRPr="008D7F65" w14:paraId="46CEC759" w14:textId="77777777" w:rsidTr="008D7F65">
        <w:trPr>
          <w:trHeight w:val="243"/>
        </w:trPr>
        <w:tc>
          <w:tcPr>
            <w:tcW w:w="2425" w:type="dxa"/>
          </w:tcPr>
          <w:p w14:paraId="4CF631FD" w14:textId="77777777" w:rsidR="00FD6E29" w:rsidRPr="008D7F65" w:rsidRDefault="00FD6E29" w:rsidP="000B112D">
            <w:pPr>
              <w:pStyle w:val="TableParagraph"/>
              <w:spacing w:before="1" w:line="222" w:lineRule="exact"/>
              <w:ind w:left="98"/>
              <w:rPr>
                <w:rFonts w:ascii="Arial" w:hAnsi="Arial" w:cs="Arial"/>
                <w:sz w:val="18"/>
                <w:szCs w:val="18"/>
              </w:rPr>
            </w:pPr>
            <w:r w:rsidRPr="008D7F65">
              <w:rPr>
                <w:rFonts w:ascii="Arial" w:hAnsi="Arial" w:cs="Arial"/>
                <w:sz w:val="18"/>
                <w:szCs w:val="18"/>
              </w:rPr>
              <w:t>Rope</w:t>
            </w:r>
            <w:r w:rsidRPr="008D7F65">
              <w:rPr>
                <w:rFonts w:ascii="Arial" w:hAnsi="Arial" w:cs="Arial"/>
                <w:spacing w:val="-2"/>
                <w:sz w:val="18"/>
                <w:szCs w:val="18"/>
              </w:rPr>
              <w:t xml:space="preserve"> </w:t>
            </w:r>
            <w:r w:rsidRPr="008D7F65">
              <w:rPr>
                <w:rFonts w:ascii="Arial" w:hAnsi="Arial" w:cs="Arial"/>
                <w:sz w:val="18"/>
                <w:szCs w:val="18"/>
              </w:rPr>
              <w:t>handles</w:t>
            </w:r>
          </w:p>
        </w:tc>
        <w:tc>
          <w:tcPr>
            <w:tcW w:w="6570" w:type="dxa"/>
          </w:tcPr>
          <w:p w14:paraId="1BE8A355" w14:textId="77777777" w:rsidR="00FD6E29" w:rsidRPr="008D7F65" w:rsidRDefault="00FD6E29" w:rsidP="000B112D">
            <w:pPr>
              <w:pStyle w:val="TableParagraph"/>
              <w:spacing w:before="1" w:line="222" w:lineRule="exact"/>
              <w:ind w:left="106"/>
              <w:rPr>
                <w:rFonts w:ascii="Arial" w:hAnsi="Arial" w:cs="Arial"/>
                <w:sz w:val="18"/>
                <w:szCs w:val="18"/>
              </w:rPr>
            </w:pPr>
            <w:r w:rsidRPr="008D7F65">
              <w:rPr>
                <w:rFonts w:ascii="Arial" w:hAnsi="Arial" w:cs="Arial"/>
                <w:sz w:val="18"/>
                <w:szCs w:val="18"/>
              </w:rPr>
              <w:t>Inspect</w:t>
            </w:r>
            <w:r w:rsidRPr="008D7F65">
              <w:rPr>
                <w:rFonts w:ascii="Arial" w:hAnsi="Arial" w:cs="Arial"/>
                <w:spacing w:val="-3"/>
                <w:sz w:val="18"/>
                <w:szCs w:val="18"/>
              </w:rPr>
              <w:t xml:space="preserve"> </w:t>
            </w:r>
            <w:r w:rsidRPr="008D7F65">
              <w:rPr>
                <w:rFonts w:ascii="Arial" w:hAnsi="Arial" w:cs="Arial"/>
                <w:sz w:val="18"/>
                <w:szCs w:val="18"/>
              </w:rPr>
              <w:t>for</w:t>
            </w:r>
            <w:r w:rsidRPr="008D7F65">
              <w:rPr>
                <w:rFonts w:ascii="Arial" w:hAnsi="Arial" w:cs="Arial"/>
                <w:spacing w:val="-3"/>
                <w:sz w:val="18"/>
                <w:szCs w:val="18"/>
              </w:rPr>
              <w:t xml:space="preserve"> </w:t>
            </w:r>
            <w:r w:rsidRPr="008D7F65">
              <w:rPr>
                <w:rFonts w:ascii="Arial" w:hAnsi="Arial" w:cs="Arial"/>
                <w:sz w:val="18"/>
                <w:szCs w:val="18"/>
              </w:rPr>
              <w:t>damage,</w:t>
            </w:r>
            <w:r w:rsidRPr="008D7F65">
              <w:rPr>
                <w:rFonts w:ascii="Arial" w:hAnsi="Arial" w:cs="Arial"/>
                <w:spacing w:val="-2"/>
                <w:sz w:val="18"/>
                <w:szCs w:val="18"/>
              </w:rPr>
              <w:t xml:space="preserve"> </w:t>
            </w:r>
            <w:r w:rsidRPr="008D7F65">
              <w:rPr>
                <w:rFonts w:ascii="Arial" w:hAnsi="Arial" w:cs="Arial"/>
                <w:sz w:val="18"/>
                <w:szCs w:val="18"/>
              </w:rPr>
              <w:t>security</w:t>
            </w:r>
            <w:r w:rsidRPr="008D7F65">
              <w:rPr>
                <w:rFonts w:ascii="Arial" w:hAnsi="Arial" w:cs="Arial"/>
                <w:spacing w:val="-3"/>
                <w:sz w:val="18"/>
                <w:szCs w:val="18"/>
              </w:rPr>
              <w:t xml:space="preserve"> </w:t>
            </w:r>
            <w:r w:rsidRPr="008D7F65">
              <w:rPr>
                <w:rFonts w:ascii="Arial" w:hAnsi="Arial" w:cs="Arial"/>
                <w:sz w:val="18"/>
                <w:szCs w:val="18"/>
              </w:rPr>
              <w:t>of</w:t>
            </w:r>
            <w:r w:rsidRPr="008D7F65">
              <w:rPr>
                <w:rFonts w:ascii="Arial" w:hAnsi="Arial" w:cs="Arial"/>
                <w:spacing w:val="-4"/>
                <w:sz w:val="18"/>
                <w:szCs w:val="18"/>
              </w:rPr>
              <w:t xml:space="preserve"> </w:t>
            </w:r>
            <w:r w:rsidRPr="008D7F65">
              <w:rPr>
                <w:rFonts w:ascii="Arial" w:hAnsi="Arial" w:cs="Arial"/>
                <w:sz w:val="18"/>
                <w:szCs w:val="18"/>
              </w:rPr>
              <w:t>attachment.</w:t>
            </w:r>
          </w:p>
        </w:tc>
      </w:tr>
      <w:tr w:rsidR="00FD6E29" w:rsidRPr="008D7F65" w14:paraId="5F405EF5" w14:textId="77777777" w:rsidTr="008D7F65">
        <w:trPr>
          <w:trHeight w:val="245"/>
        </w:trPr>
        <w:tc>
          <w:tcPr>
            <w:tcW w:w="2425" w:type="dxa"/>
          </w:tcPr>
          <w:p w14:paraId="05C28883" w14:textId="77777777" w:rsidR="00FD6E29" w:rsidRPr="008D7F65" w:rsidRDefault="00FD6E29" w:rsidP="000B112D">
            <w:pPr>
              <w:pStyle w:val="TableParagraph"/>
              <w:spacing w:line="225" w:lineRule="exact"/>
              <w:ind w:left="98"/>
              <w:rPr>
                <w:rFonts w:ascii="Arial" w:hAnsi="Arial" w:cs="Arial"/>
                <w:sz w:val="18"/>
                <w:szCs w:val="18"/>
              </w:rPr>
            </w:pPr>
            <w:r w:rsidRPr="008D7F65">
              <w:rPr>
                <w:rFonts w:ascii="Arial" w:hAnsi="Arial" w:cs="Arial"/>
                <w:sz w:val="18"/>
                <w:szCs w:val="18"/>
              </w:rPr>
              <w:t>Cylinder</w:t>
            </w:r>
            <w:r w:rsidRPr="008D7F65">
              <w:rPr>
                <w:rFonts w:ascii="Arial" w:hAnsi="Arial" w:cs="Arial"/>
                <w:spacing w:val="-5"/>
                <w:sz w:val="18"/>
                <w:szCs w:val="18"/>
              </w:rPr>
              <w:t xml:space="preserve"> </w:t>
            </w:r>
            <w:r w:rsidRPr="008D7F65">
              <w:rPr>
                <w:rFonts w:ascii="Arial" w:hAnsi="Arial" w:cs="Arial"/>
                <w:sz w:val="18"/>
                <w:szCs w:val="18"/>
              </w:rPr>
              <w:t>straps</w:t>
            </w:r>
          </w:p>
        </w:tc>
        <w:tc>
          <w:tcPr>
            <w:tcW w:w="6570" w:type="dxa"/>
          </w:tcPr>
          <w:p w14:paraId="12FBC1A4" w14:textId="77777777" w:rsidR="00FD6E29" w:rsidRPr="008D7F65" w:rsidRDefault="00FD6E29" w:rsidP="000B112D">
            <w:pPr>
              <w:pStyle w:val="TableParagraph"/>
              <w:spacing w:line="225" w:lineRule="exact"/>
              <w:ind w:left="106"/>
              <w:rPr>
                <w:rFonts w:ascii="Arial" w:hAnsi="Arial" w:cs="Arial"/>
                <w:sz w:val="18"/>
                <w:szCs w:val="18"/>
              </w:rPr>
            </w:pPr>
            <w:r w:rsidRPr="008D7F65">
              <w:rPr>
                <w:rFonts w:ascii="Arial" w:hAnsi="Arial" w:cs="Arial"/>
                <w:sz w:val="18"/>
                <w:szCs w:val="18"/>
              </w:rPr>
              <w:t>Inspect</w:t>
            </w:r>
            <w:r w:rsidRPr="008D7F65">
              <w:rPr>
                <w:rFonts w:ascii="Arial" w:hAnsi="Arial" w:cs="Arial"/>
                <w:spacing w:val="-4"/>
                <w:sz w:val="18"/>
                <w:szCs w:val="18"/>
              </w:rPr>
              <w:t xml:space="preserve"> </w:t>
            </w:r>
            <w:r w:rsidRPr="008D7F65">
              <w:rPr>
                <w:rFonts w:ascii="Arial" w:hAnsi="Arial" w:cs="Arial"/>
                <w:sz w:val="18"/>
                <w:szCs w:val="18"/>
              </w:rPr>
              <w:t>for</w:t>
            </w:r>
            <w:r w:rsidRPr="008D7F65">
              <w:rPr>
                <w:rFonts w:ascii="Arial" w:hAnsi="Arial" w:cs="Arial"/>
                <w:spacing w:val="-3"/>
                <w:sz w:val="18"/>
                <w:szCs w:val="18"/>
              </w:rPr>
              <w:t xml:space="preserve"> </w:t>
            </w:r>
            <w:r w:rsidRPr="008D7F65">
              <w:rPr>
                <w:rFonts w:ascii="Arial" w:hAnsi="Arial" w:cs="Arial"/>
                <w:sz w:val="18"/>
                <w:szCs w:val="18"/>
              </w:rPr>
              <w:t>damage,</w:t>
            </w:r>
            <w:r w:rsidRPr="008D7F65">
              <w:rPr>
                <w:rFonts w:ascii="Arial" w:hAnsi="Arial" w:cs="Arial"/>
                <w:spacing w:val="-3"/>
                <w:sz w:val="18"/>
                <w:szCs w:val="18"/>
              </w:rPr>
              <w:t xml:space="preserve"> </w:t>
            </w:r>
            <w:r w:rsidRPr="008D7F65">
              <w:rPr>
                <w:rFonts w:ascii="Arial" w:hAnsi="Arial" w:cs="Arial"/>
                <w:sz w:val="18"/>
                <w:szCs w:val="18"/>
              </w:rPr>
              <w:t>deterioration,</w:t>
            </w:r>
            <w:r w:rsidRPr="008D7F65">
              <w:rPr>
                <w:rFonts w:ascii="Arial" w:hAnsi="Arial" w:cs="Arial"/>
                <w:spacing w:val="-3"/>
                <w:sz w:val="18"/>
                <w:szCs w:val="18"/>
              </w:rPr>
              <w:t xml:space="preserve"> </w:t>
            </w:r>
            <w:r w:rsidRPr="008D7F65">
              <w:rPr>
                <w:rFonts w:ascii="Arial" w:hAnsi="Arial" w:cs="Arial"/>
                <w:sz w:val="18"/>
                <w:szCs w:val="18"/>
              </w:rPr>
              <w:t>approved</w:t>
            </w:r>
            <w:r w:rsidRPr="008D7F65">
              <w:rPr>
                <w:rFonts w:ascii="Arial" w:hAnsi="Arial" w:cs="Arial"/>
                <w:spacing w:val="-3"/>
                <w:sz w:val="18"/>
                <w:szCs w:val="18"/>
              </w:rPr>
              <w:t xml:space="preserve"> </w:t>
            </w:r>
            <w:r w:rsidRPr="008D7F65">
              <w:rPr>
                <w:rFonts w:ascii="Arial" w:hAnsi="Arial" w:cs="Arial"/>
                <w:sz w:val="18"/>
                <w:szCs w:val="18"/>
              </w:rPr>
              <w:t>type</w:t>
            </w:r>
            <w:r w:rsidRPr="008D7F65">
              <w:rPr>
                <w:rFonts w:ascii="Arial" w:hAnsi="Arial" w:cs="Arial"/>
                <w:spacing w:val="-4"/>
                <w:sz w:val="18"/>
                <w:szCs w:val="18"/>
              </w:rPr>
              <w:t xml:space="preserve"> </w:t>
            </w:r>
            <w:r w:rsidRPr="008D7F65">
              <w:rPr>
                <w:rFonts w:ascii="Arial" w:hAnsi="Arial" w:cs="Arial"/>
                <w:sz w:val="18"/>
                <w:szCs w:val="18"/>
              </w:rPr>
              <w:t>fitted.</w:t>
            </w:r>
          </w:p>
        </w:tc>
      </w:tr>
      <w:tr w:rsidR="00FD6E29" w:rsidRPr="008D7F65" w14:paraId="3FDED216" w14:textId="77777777" w:rsidTr="008D7F65">
        <w:trPr>
          <w:trHeight w:val="243"/>
        </w:trPr>
        <w:tc>
          <w:tcPr>
            <w:tcW w:w="2425" w:type="dxa"/>
          </w:tcPr>
          <w:p w14:paraId="4387C78D" w14:textId="77777777" w:rsidR="00FD6E29" w:rsidRPr="008D7F65" w:rsidRDefault="00FD6E29" w:rsidP="000B112D">
            <w:pPr>
              <w:pStyle w:val="TableParagraph"/>
              <w:spacing w:line="222" w:lineRule="exact"/>
              <w:ind w:left="0" w:right="136"/>
              <w:jc w:val="right"/>
              <w:rPr>
                <w:rFonts w:ascii="Arial" w:hAnsi="Arial" w:cs="Arial"/>
                <w:sz w:val="18"/>
                <w:szCs w:val="18"/>
              </w:rPr>
            </w:pPr>
            <w:r w:rsidRPr="008D7F65">
              <w:rPr>
                <w:rFonts w:ascii="Arial" w:hAnsi="Arial" w:cs="Arial"/>
                <w:sz w:val="18"/>
                <w:szCs w:val="18"/>
              </w:rPr>
              <w:t>Padded</w:t>
            </w:r>
            <w:r w:rsidRPr="008D7F65">
              <w:rPr>
                <w:rFonts w:ascii="Arial" w:hAnsi="Arial" w:cs="Arial"/>
                <w:spacing w:val="-2"/>
                <w:sz w:val="18"/>
                <w:szCs w:val="18"/>
              </w:rPr>
              <w:t xml:space="preserve"> </w:t>
            </w:r>
            <w:r w:rsidRPr="008D7F65">
              <w:rPr>
                <w:rFonts w:ascii="Arial" w:hAnsi="Arial" w:cs="Arial"/>
                <w:sz w:val="18"/>
                <w:szCs w:val="18"/>
              </w:rPr>
              <w:t>basket</w:t>
            </w:r>
            <w:r w:rsidRPr="008D7F65">
              <w:rPr>
                <w:rFonts w:ascii="Arial" w:hAnsi="Arial" w:cs="Arial"/>
                <w:spacing w:val="-2"/>
                <w:sz w:val="18"/>
                <w:szCs w:val="18"/>
              </w:rPr>
              <w:t xml:space="preserve"> </w:t>
            </w:r>
            <w:r w:rsidRPr="008D7F65">
              <w:rPr>
                <w:rFonts w:ascii="Arial" w:hAnsi="Arial" w:cs="Arial"/>
                <w:sz w:val="18"/>
                <w:szCs w:val="18"/>
              </w:rPr>
              <w:t>edge</w:t>
            </w:r>
            <w:r w:rsidRPr="008D7F65">
              <w:rPr>
                <w:rFonts w:ascii="Arial" w:hAnsi="Arial" w:cs="Arial"/>
                <w:spacing w:val="-4"/>
                <w:sz w:val="18"/>
                <w:szCs w:val="18"/>
              </w:rPr>
              <w:t xml:space="preserve"> </w:t>
            </w:r>
            <w:r w:rsidRPr="008D7F65">
              <w:rPr>
                <w:rFonts w:ascii="Arial" w:hAnsi="Arial" w:cs="Arial"/>
                <w:sz w:val="18"/>
                <w:szCs w:val="18"/>
              </w:rPr>
              <w:t>trim</w:t>
            </w:r>
          </w:p>
        </w:tc>
        <w:tc>
          <w:tcPr>
            <w:tcW w:w="6570" w:type="dxa"/>
          </w:tcPr>
          <w:p w14:paraId="4AFF514D" w14:textId="77777777" w:rsidR="00FD6E29" w:rsidRPr="008D7F65" w:rsidRDefault="00FD6E29" w:rsidP="000B112D">
            <w:pPr>
              <w:pStyle w:val="TableParagraph"/>
              <w:spacing w:line="222" w:lineRule="exact"/>
              <w:ind w:left="106"/>
              <w:rPr>
                <w:rFonts w:ascii="Arial" w:hAnsi="Arial" w:cs="Arial"/>
                <w:sz w:val="18"/>
                <w:szCs w:val="18"/>
              </w:rPr>
            </w:pPr>
            <w:r w:rsidRPr="008D7F65">
              <w:rPr>
                <w:rFonts w:ascii="Arial" w:hAnsi="Arial" w:cs="Arial"/>
                <w:sz w:val="18"/>
                <w:szCs w:val="18"/>
              </w:rPr>
              <w:t>Inspect</w:t>
            </w:r>
            <w:r w:rsidRPr="008D7F65">
              <w:rPr>
                <w:rFonts w:ascii="Arial" w:hAnsi="Arial" w:cs="Arial"/>
                <w:spacing w:val="-2"/>
                <w:sz w:val="18"/>
                <w:szCs w:val="18"/>
              </w:rPr>
              <w:t xml:space="preserve"> </w:t>
            </w:r>
            <w:r w:rsidRPr="008D7F65">
              <w:rPr>
                <w:rFonts w:ascii="Arial" w:hAnsi="Arial" w:cs="Arial"/>
                <w:sz w:val="18"/>
                <w:szCs w:val="18"/>
              </w:rPr>
              <w:t>for</w:t>
            </w:r>
            <w:r w:rsidRPr="008D7F65">
              <w:rPr>
                <w:rFonts w:ascii="Arial" w:hAnsi="Arial" w:cs="Arial"/>
                <w:spacing w:val="-2"/>
                <w:sz w:val="18"/>
                <w:szCs w:val="18"/>
              </w:rPr>
              <w:t xml:space="preserve"> </w:t>
            </w:r>
            <w:r w:rsidRPr="008D7F65">
              <w:rPr>
                <w:rFonts w:ascii="Arial" w:hAnsi="Arial" w:cs="Arial"/>
                <w:sz w:val="18"/>
                <w:szCs w:val="18"/>
              </w:rPr>
              <w:t>damage</w:t>
            </w:r>
            <w:r w:rsidRPr="008D7F65">
              <w:rPr>
                <w:rFonts w:ascii="Arial" w:hAnsi="Arial" w:cs="Arial"/>
                <w:spacing w:val="-3"/>
                <w:sz w:val="18"/>
                <w:szCs w:val="18"/>
              </w:rPr>
              <w:t xml:space="preserve"> </w:t>
            </w:r>
            <w:r w:rsidRPr="008D7F65">
              <w:rPr>
                <w:rFonts w:ascii="Arial" w:hAnsi="Arial" w:cs="Arial"/>
                <w:sz w:val="18"/>
                <w:szCs w:val="18"/>
              </w:rPr>
              <w:t>and</w:t>
            </w:r>
            <w:r w:rsidRPr="008D7F65">
              <w:rPr>
                <w:rFonts w:ascii="Arial" w:hAnsi="Arial" w:cs="Arial"/>
                <w:spacing w:val="-2"/>
                <w:sz w:val="18"/>
                <w:szCs w:val="18"/>
              </w:rPr>
              <w:t xml:space="preserve"> </w:t>
            </w:r>
            <w:r w:rsidRPr="008D7F65">
              <w:rPr>
                <w:rFonts w:ascii="Arial" w:hAnsi="Arial" w:cs="Arial"/>
                <w:sz w:val="18"/>
                <w:szCs w:val="18"/>
              </w:rPr>
              <w:t>wear.</w:t>
            </w:r>
          </w:p>
        </w:tc>
      </w:tr>
      <w:tr w:rsidR="00FD6E29" w:rsidRPr="008D7F65" w14:paraId="3C2B231C" w14:textId="77777777" w:rsidTr="008D7F65">
        <w:trPr>
          <w:trHeight w:val="245"/>
        </w:trPr>
        <w:tc>
          <w:tcPr>
            <w:tcW w:w="2425" w:type="dxa"/>
          </w:tcPr>
          <w:p w14:paraId="622E6B09" w14:textId="77777777" w:rsidR="00FD6E29" w:rsidRPr="008D7F65" w:rsidRDefault="00FD6E29" w:rsidP="000B112D">
            <w:pPr>
              <w:pStyle w:val="TableParagraph"/>
              <w:spacing w:line="225" w:lineRule="exact"/>
              <w:ind w:left="98"/>
              <w:rPr>
                <w:rFonts w:ascii="Arial" w:hAnsi="Arial" w:cs="Arial"/>
                <w:sz w:val="18"/>
                <w:szCs w:val="18"/>
              </w:rPr>
            </w:pPr>
            <w:r w:rsidRPr="008D7F65">
              <w:rPr>
                <w:rFonts w:ascii="Arial" w:hAnsi="Arial" w:cs="Arial"/>
                <w:sz w:val="18"/>
                <w:szCs w:val="18"/>
              </w:rPr>
              <w:t>Burner</w:t>
            </w:r>
            <w:r w:rsidRPr="008D7F65">
              <w:rPr>
                <w:rFonts w:ascii="Arial" w:hAnsi="Arial" w:cs="Arial"/>
                <w:spacing w:val="-3"/>
                <w:sz w:val="18"/>
                <w:szCs w:val="18"/>
              </w:rPr>
              <w:t xml:space="preserve"> </w:t>
            </w:r>
            <w:r w:rsidRPr="008D7F65">
              <w:rPr>
                <w:rFonts w:ascii="Arial" w:hAnsi="Arial" w:cs="Arial"/>
                <w:sz w:val="18"/>
                <w:szCs w:val="18"/>
              </w:rPr>
              <w:t>support</w:t>
            </w:r>
            <w:r w:rsidRPr="008D7F65">
              <w:rPr>
                <w:rFonts w:ascii="Arial" w:hAnsi="Arial" w:cs="Arial"/>
                <w:spacing w:val="-2"/>
                <w:sz w:val="18"/>
                <w:szCs w:val="18"/>
              </w:rPr>
              <w:t xml:space="preserve"> </w:t>
            </w:r>
            <w:r w:rsidRPr="008D7F65">
              <w:rPr>
                <w:rFonts w:ascii="Arial" w:hAnsi="Arial" w:cs="Arial"/>
                <w:sz w:val="18"/>
                <w:szCs w:val="18"/>
              </w:rPr>
              <w:t>rods</w:t>
            </w:r>
          </w:p>
        </w:tc>
        <w:tc>
          <w:tcPr>
            <w:tcW w:w="6570" w:type="dxa"/>
          </w:tcPr>
          <w:p w14:paraId="29CD1854" w14:textId="77777777" w:rsidR="00FD6E29" w:rsidRPr="008D7F65" w:rsidRDefault="00FD6E29" w:rsidP="000B112D">
            <w:pPr>
              <w:pStyle w:val="TableParagraph"/>
              <w:spacing w:line="225" w:lineRule="exact"/>
              <w:ind w:left="106"/>
              <w:rPr>
                <w:rFonts w:ascii="Arial" w:hAnsi="Arial" w:cs="Arial"/>
                <w:sz w:val="18"/>
                <w:szCs w:val="18"/>
              </w:rPr>
            </w:pPr>
            <w:r w:rsidRPr="008D7F65">
              <w:rPr>
                <w:rFonts w:ascii="Arial" w:hAnsi="Arial" w:cs="Arial"/>
                <w:sz w:val="18"/>
                <w:szCs w:val="18"/>
              </w:rPr>
              <w:t>Inspect</w:t>
            </w:r>
            <w:r w:rsidRPr="008D7F65">
              <w:rPr>
                <w:rFonts w:ascii="Arial" w:hAnsi="Arial" w:cs="Arial"/>
                <w:spacing w:val="-2"/>
                <w:sz w:val="18"/>
                <w:szCs w:val="18"/>
              </w:rPr>
              <w:t xml:space="preserve"> </w:t>
            </w:r>
            <w:r w:rsidRPr="008D7F65">
              <w:rPr>
                <w:rFonts w:ascii="Arial" w:hAnsi="Arial" w:cs="Arial"/>
                <w:sz w:val="18"/>
                <w:szCs w:val="18"/>
              </w:rPr>
              <w:t>for</w:t>
            </w:r>
            <w:r w:rsidRPr="008D7F65">
              <w:rPr>
                <w:rFonts w:ascii="Arial" w:hAnsi="Arial" w:cs="Arial"/>
                <w:spacing w:val="-2"/>
                <w:sz w:val="18"/>
                <w:szCs w:val="18"/>
              </w:rPr>
              <w:t xml:space="preserve"> </w:t>
            </w:r>
            <w:r w:rsidRPr="008D7F65">
              <w:rPr>
                <w:rFonts w:ascii="Arial" w:hAnsi="Arial" w:cs="Arial"/>
                <w:sz w:val="18"/>
                <w:szCs w:val="18"/>
              </w:rPr>
              <w:t>damage,</w:t>
            </w:r>
            <w:r w:rsidRPr="008D7F65">
              <w:rPr>
                <w:rFonts w:ascii="Arial" w:hAnsi="Arial" w:cs="Arial"/>
                <w:spacing w:val="-2"/>
                <w:sz w:val="18"/>
                <w:szCs w:val="18"/>
              </w:rPr>
              <w:t xml:space="preserve"> </w:t>
            </w:r>
            <w:r w:rsidRPr="008D7F65">
              <w:rPr>
                <w:rFonts w:ascii="Arial" w:hAnsi="Arial" w:cs="Arial"/>
                <w:sz w:val="18"/>
                <w:szCs w:val="18"/>
              </w:rPr>
              <w:t>wear</w:t>
            </w:r>
            <w:r w:rsidRPr="008D7F65">
              <w:rPr>
                <w:rFonts w:ascii="Arial" w:hAnsi="Arial" w:cs="Arial"/>
                <w:spacing w:val="-2"/>
                <w:sz w:val="18"/>
                <w:szCs w:val="18"/>
              </w:rPr>
              <w:t xml:space="preserve"> </w:t>
            </w:r>
            <w:r w:rsidRPr="008D7F65">
              <w:rPr>
                <w:rFonts w:ascii="Arial" w:hAnsi="Arial" w:cs="Arial"/>
                <w:sz w:val="18"/>
                <w:szCs w:val="18"/>
              </w:rPr>
              <w:t>and cracking.</w:t>
            </w:r>
          </w:p>
        </w:tc>
      </w:tr>
      <w:tr w:rsidR="00FD6E29" w:rsidRPr="008D7F65" w14:paraId="5AAF2F2F" w14:textId="77777777" w:rsidTr="008D7F65">
        <w:trPr>
          <w:trHeight w:val="620"/>
        </w:trPr>
        <w:tc>
          <w:tcPr>
            <w:tcW w:w="2425" w:type="dxa"/>
          </w:tcPr>
          <w:p w14:paraId="5DEEC5C8" w14:textId="77777777" w:rsidR="00FD6E29" w:rsidRPr="008D7F65" w:rsidRDefault="00FD6E29" w:rsidP="000B112D">
            <w:pPr>
              <w:pStyle w:val="TableParagraph"/>
              <w:ind w:left="98" w:right="249"/>
              <w:rPr>
                <w:rFonts w:ascii="Arial" w:hAnsi="Arial" w:cs="Arial"/>
                <w:sz w:val="18"/>
                <w:szCs w:val="18"/>
              </w:rPr>
            </w:pPr>
            <w:r w:rsidRPr="008D7F65">
              <w:rPr>
                <w:rFonts w:ascii="Arial" w:hAnsi="Arial" w:cs="Arial"/>
                <w:sz w:val="18"/>
                <w:szCs w:val="18"/>
              </w:rPr>
              <w:t>Padded burner support</w:t>
            </w:r>
            <w:r w:rsidRPr="008D7F65">
              <w:rPr>
                <w:rFonts w:ascii="Arial" w:hAnsi="Arial" w:cs="Arial"/>
                <w:spacing w:val="-44"/>
                <w:sz w:val="18"/>
                <w:szCs w:val="18"/>
              </w:rPr>
              <w:t xml:space="preserve"> </w:t>
            </w:r>
            <w:r w:rsidRPr="008D7F65">
              <w:rPr>
                <w:rFonts w:ascii="Arial" w:hAnsi="Arial" w:cs="Arial"/>
                <w:sz w:val="18"/>
                <w:szCs w:val="18"/>
              </w:rPr>
              <w:t>rod</w:t>
            </w:r>
            <w:r w:rsidRPr="008D7F65">
              <w:rPr>
                <w:rFonts w:ascii="Arial" w:hAnsi="Arial" w:cs="Arial"/>
                <w:spacing w:val="-1"/>
                <w:sz w:val="18"/>
                <w:szCs w:val="18"/>
              </w:rPr>
              <w:t xml:space="preserve"> </w:t>
            </w:r>
            <w:r w:rsidRPr="008D7F65">
              <w:rPr>
                <w:rFonts w:ascii="Arial" w:hAnsi="Arial" w:cs="Arial"/>
                <w:sz w:val="18"/>
                <w:szCs w:val="18"/>
              </w:rPr>
              <w:t>covers</w:t>
            </w:r>
          </w:p>
        </w:tc>
        <w:tc>
          <w:tcPr>
            <w:tcW w:w="6570" w:type="dxa"/>
          </w:tcPr>
          <w:p w14:paraId="2C2676FA" w14:textId="77777777" w:rsidR="00FD6E29" w:rsidRPr="008D7F65" w:rsidRDefault="00FD6E29" w:rsidP="000B112D">
            <w:pPr>
              <w:pStyle w:val="TableParagraph"/>
              <w:spacing w:line="242" w:lineRule="exact"/>
              <w:ind w:left="106"/>
              <w:rPr>
                <w:rFonts w:ascii="Arial" w:hAnsi="Arial" w:cs="Arial"/>
                <w:sz w:val="18"/>
                <w:szCs w:val="18"/>
              </w:rPr>
            </w:pPr>
            <w:r w:rsidRPr="008D7F65">
              <w:rPr>
                <w:rFonts w:ascii="Arial" w:hAnsi="Arial" w:cs="Arial"/>
                <w:sz w:val="18"/>
                <w:szCs w:val="18"/>
              </w:rPr>
              <w:t>Inspect</w:t>
            </w:r>
            <w:r w:rsidRPr="008D7F65">
              <w:rPr>
                <w:rFonts w:ascii="Arial" w:hAnsi="Arial" w:cs="Arial"/>
                <w:spacing w:val="-2"/>
                <w:sz w:val="18"/>
                <w:szCs w:val="18"/>
              </w:rPr>
              <w:t xml:space="preserve"> </w:t>
            </w:r>
            <w:r w:rsidRPr="008D7F65">
              <w:rPr>
                <w:rFonts w:ascii="Arial" w:hAnsi="Arial" w:cs="Arial"/>
                <w:sz w:val="18"/>
                <w:szCs w:val="18"/>
              </w:rPr>
              <w:t>for</w:t>
            </w:r>
            <w:r w:rsidRPr="008D7F65">
              <w:rPr>
                <w:rFonts w:ascii="Arial" w:hAnsi="Arial" w:cs="Arial"/>
                <w:spacing w:val="-2"/>
                <w:sz w:val="18"/>
                <w:szCs w:val="18"/>
              </w:rPr>
              <w:t xml:space="preserve"> </w:t>
            </w:r>
            <w:r w:rsidRPr="008D7F65">
              <w:rPr>
                <w:rFonts w:ascii="Arial" w:hAnsi="Arial" w:cs="Arial"/>
                <w:sz w:val="18"/>
                <w:szCs w:val="18"/>
              </w:rPr>
              <w:t>damage</w:t>
            </w:r>
            <w:r w:rsidRPr="008D7F65">
              <w:rPr>
                <w:rFonts w:ascii="Arial" w:hAnsi="Arial" w:cs="Arial"/>
                <w:spacing w:val="-3"/>
                <w:sz w:val="18"/>
                <w:szCs w:val="18"/>
              </w:rPr>
              <w:t xml:space="preserve"> </w:t>
            </w:r>
            <w:r w:rsidRPr="008D7F65">
              <w:rPr>
                <w:rFonts w:ascii="Arial" w:hAnsi="Arial" w:cs="Arial"/>
                <w:sz w:val="18"/>
                <w:szCs w:val="18"/>
              </w:rPr>
              <w:t>and</w:t>
            </w:r>
            <w:r w:rsidRPr="008D7F65">
              <w:rPr>
                <w:rFonts w:ascii="Arial" w:hAnsi="Arial" w:cs="Arial"/>
                <w:spacing w:val="-2"/>
                <w:sz w:val="18"/>
                <w:szCs w:val="18"/>
              </w:rPr>
              <w:t xml:space="preserve"> </w:t>
            </w:r>
            <w:r w:rsidRPr="008D7F65">
              <w:rPr>
                <w:rFonts w:ascii="Arial" w:hAnsi="Arial" w:cs="Arial"/>
                <w:sz w:val="18"/>
                <w:szCs w:val="18"/>
              </w:rPr>
              <w:t>wear.</w:t>
            </w:r>
          </w:p>
        </w:tc>
      </w:tr>
      <w:tr w:rsidR="00FD6E29" w:rsidRPr="008D7F65" w14:paraId="706E5E51" w14:textId="77777777" w:rsidTr="008D7F65">
        <w:trPr>
          <w:trHeight w:val="620"/>
        </w:trPr>
        <w:tc>
          <w:tcPr>
            <w:tcW w:w="2425" w:type="dxa"/>
          </w:tcPr>
          <w:p w14:paraId="0DB1FA2A" w14:textId="77777777" w:rsidR="00FD6E29" w:rsidRPr="008D7F65" w:rsidRDefault="00FD6E29" w:rsidP="00FD6E29">
            <w:pPr>
              <w:pStyle w:val="TableParagraph"/>
              <w:ind w:left="98" w:right="249"/>
              <w:rPr>
                <w:rFonts w:ascii="Arial" w:hAnsi="Arial" w:cs="Arial"/>
                <w:sz w:val="18"/>
                <w:szCs w:val="18"/>
              </w:rPr>
            </w:pPr>
            <w:r w:rsidRPr="008D7F65">
              <w:rPr>
                <w:rFonts w:ascii="Arial" w:hAnsi="Arial" w:cs="Arial"/>
                <w:sz w:val="18"/>
                <w:szCs w:val="18"/>
              </w:rPr>
              <w:t>Basket equipment</w:t>
            </w:r>
          </w:p>
        </w:tc>
        <w:tc>
          <w:tcPr>
            <w:tcW w:w="6570" w:type="dxa"/>
          </w:tcPr>
          <w:p w14:paraId="7FD6D9CC" w14:textId="77777777" w:rsidR="00FD6E29" w:rsidRPr="008D7F65" w:rsidRDefault="00FD6E29" w:rsidP="00FD6E29">
            <w:pPr>
              <w:pStyle w:val="TableParagraph"/>
              <w:spacing w:line="242" w:lineRule="exact"/>
              <w:ind w:left="106"/>
              <w:rPr>
                <w:rFonts w:ascii="Arial" w:hAnsi="Arial" w:cs="Arial"/>
                <w:sz w:val="18"/>
                <w:szCs w:val="18"/>
              </w:rPr>
            </w:pPr>
            <w:r w:rsidRPr="008D7F65">
              <w:rPr>
                <w:rFonts w:ascii="Arial" w:hAnsi="Arial" w:cs="Arial"/>
                <w:sz w:val="18"/>
                <w:szCs w:val="18"/>
              </w:rPr>
              <w:t>Check presence and functionality.</w:t>
            </w:r>
          </w:p>
        </w:tc>
      </w:tr>
      <w:tr w:rsidR="00FD6E29" w:rsidRPr="008D7F65" w14:paraId="127F7198" w14:textId="77777777" w:rsidTr="008D7F65">
        <w:trPr>
          <w:trHeight w:val="620"/>
        </w:trPr>
        <w:tc>
          <w:tcPr>
            <w:tcW w:w="2425" w:type="dxa"/>
          </w:tcPr>
          <w:p w14:paraId="55254954" w14:textId="77777777" w:rsidR="00FD6E29" w:rsidRPr="008D7F65" w:rsidRDefault="00FD6E29" w:rsidP="00FD6E29">
            <w:pPr>
              <w:pStyle w:val="TableParagraph"/>
              <w:ind w:left="98" w:right="249"/>
              <w:rPr>
                <w:rFonts w:ascii="Arial" w:hAnsi="Arial" w:cs="Arial"/>
                <w:sz w:val="18"/>
                <w:szCs w:val="18"/>
              </w:rPr>
            </w:pPr>
            <w:r w:rsidRPr="008D7F65">
              <w:rPr>
                <w:rFonts w:ascii="Arial" w:hAnsi="Arial" w:cs="Arial"/>
                <w:sz w:val="18"/>
                <w:szCs w:val="18"/>
              </w:rPr>
              <w:t>Pilot restraint and anchor</w:t>
            </w:r>
          </w:p>
        </w:tc>
        <w:tc>
          <w:tcPr>
            <w:tcW w:w="6570" w:type="dxa"/>
          </w:tcPr>
          <w:p w14:paraId="127AF7C1" w14:textId="77777777" w:rsidR="00FD6E29" w:rsidRPr="008D7F65" w:rsidRDefault="00FD6E29" w:rsidP="00FD6E29">
            <w:pPr>
              <w:pStyle w:val="TableParagraph"/>
              <w:spacing w:line="242" w:lineRule="exact"/>
              <w:ind w:left="106"/>
              <w:rPr>
                <w:rFonts w:ascii="Arial" w:hAnsi="Arial" w:cs="Arial"/>
                <w:sz w:val="18"/>
                <w:szCs w:val="18"/>
              </w:rPr>
            </w:pPr>
            <w:r w:rsidRPr="008D7F65">
              <w:rPr>
                <w:rFonts w:ascii="Arial" w:hAnsi="Arial" w:cs="Arial"/>
                <w:sz w:val="18"/>
                <w:szCs w:val="18"/>
              </w:rPr>
              <w:t>Inspect for security and condition.</w:t>
            </w:r>
          </w:p>
        </w:tc>
      </w:tr>
      <w:tr w:rsidR="00FD6E29" w:rsidRPr="008D7F65" w14:paraId="646926CC" w14:textId="77777777" w:rsidTr="008D7F65">
        <w:trPr>
          <w:trHeight w:val="620"/>
        </w:trPr>
        <w:tc>
          <w:tcPr>
            <w:tcW w:w="2425" w:type="dxa"/>
          </w:tcPr>
          <w:p w14:paraId="3E359CD3" w14:textId="77777777" w:rsidR="00FD6E29" w:rsidRPr="008D7F65" w:rsidRDefault="00FD6E29" w:rsidP="00FD6E29">
            <w:pPr>
              <w:pStyle w:val="TableParagraph"/>
              <w:ind w:left="98" w:right="249"/>
              <w:rPr>
                <w:rFonts w:ascii="Arial" w:hAnsi="Arial" w:cs="Arial"/>
                <w:sz w:val="18"/>
                <w:szCs w:val="18"/>
              </w:rPr>
            </w:pPr>
            <w:r w:rsidRPr="008D7F65">
              <w:rPr>
                <w:rFonts w:ascii="Arial" w:hAnsi="Arial" w:cs="Arial"/>
                <w:sz w:val="18"/>
                <w:szCs w:val="18"/>
              </w:rPr>
              <w:t>Fire extinguisher</w:t>
            </w:r>
          </w:p>
        </w:tc>
        <w:tc>
          <w:tcPr>
            <w:tcW w:w="6570" w:type="dxa"/>
          </w:tcPr>
          <w:p w14:paraId="29CE24DE" w14:textId="77777777" w:rsidR="00FD6E29" w:rsidRPr="008D7F65" w:rsidRDefault="00FD6E29" w:rsidP="00FD6E29">
            <w:pPr>
              <w:pStyle w:val="TableParagraph"/>
              <w:spacing w:line="242" w:lineRule="exact"/>
              <w:ind w:left="106"/>
              <w:rPr>
                <w:rFonts w:ascii="Arial" w:hAnsi="Arial" w:cs="Arial"/>
                <w:sz w:val="18"/>
                <w:szCs w:val="18"/>
              </w:rPr>
            </w:pPr>
            <w:r w:rsidRPr="008D7F65">
              <w:rPr>
                <w:rFonts w:ascii="Arial" w:hAnsi="Arial" w:cs="Arial"/>
                <w:sz w:val="18"/>
                <w:szCs w:val="18"/>
              </w:rPr>
              <w:t>Check expiration date and protection cover.</w:t>
            </w:r>
          </w:p>
        </w:tc>
      </w:tr>
      <w:tr w:rsidR="00FD6E29" w:rsidRPr="008D7F65" w14:paraId="72330068" w14:textId="77777777" w:rsidTr="008D7F65">
        <w:trPr>
          <w:trHeight w:val="620"/>
        </w:trPr>
        <w:tc>
          <w:tcPr>
            <w:tcW w:w="2425" w:type="dxa"/>
          </w:tcPr>
          <w:p w14:paraId="31024B42" w14:textId="77777777" w:rsidR="00FD6E29" w:rsidRPr="008D7F65" w:rsidRDefault="00FD6E29" w:rsidP="00FD6E29">
            <w:pPr>
              <w:pStyle w:val="TableParagraph"/>
              <w:ind w:left="98" w:right="249"/>
              <w:rPr>
                <w:rFonts w:ascii="Arial" w:hAnsi="Arial" w:cs="Arial"/>
                <w:sz w:val="18"/>
                <w:szCs w:val="18"/>
              </w:rPr>
            </w:pPr>
            <w:r w:rsidRPr="008D7F65">
              <w:rPr>
                <w:rFonts w:ascii="Arial" w:hAnsi="Arial" w:cs="Arial"/>
                <w:sz w:val="18"/>
                <w:szCs w:val="18"/>
              </w:rPr>
              <w:t>First aid kit</w:t>
            </w:r>
          </w:p>
        </w:tc>
        <w:tc>
          <w:tcPr>
            <w:tcW w:w="6570" w:type="dxa"/>
          </w:tcPr>
          <w:p w14:paraId="400DF313" w14:textId="77777777" w:rsidR="00FD6E29" w:rsidRPr="008D7F65" w:rsidRDefault="00FD6E29" w:rsidP="00FD6E29">
            <w:pPr>
              <w:pStyle w:val="TableParagraph"/>
              <w:spacing w:line="242" w:lineRule="exact"/>
              <w:ind w:left="106"/>
              <w:rPr>
                <w:rFonts w:ascii="Arial" w:hAnsi="Arial" w:cs="Arial"/>
                <w:sz w:val="18"/>
                <w:szCs w:val="18"/>
              </w:rPr>
            </w:pPr>
            <w:r w:rsidRPr="008D7F65">
              <w:rPr>
                <w:rFonts w:ascii="Arial" w:hAnsi="Arial" w:cs="Arial"/>
                <w:sz w:val="18"/>
                <w:szCs w:val="18"/>
              </w:rPr>
              <w:t>Check for completeness and expiration date.</w:t>
            </w:r>
          </w:p>
        </w:tc>
      </w:tr>
    </w:tbl>
    <w:p w14:paraId="29A39430" w14:textId="77777777" w:rsidR="00FD6E29" w:rsidRDefault="00FD6E29" w:rsidP="00FD6E29">
      <w:pPr>
        <w:ind w:left="706"/>
        <w:jc w:val="both"/>
        <w:rPr>
          <w:rFonts w:ascii="Arial" w:eastAsia="Times New Roman" w:hAnsi="Arial" w:cs="Times New Roman"/>
          <w:sz w:val="20"/>
        </w:rPr>
      </w:pPr>
    </w:p>
    <w:p w14:paraId="0378B967" w14:textId="77777777" w:rsidR="00FD6E29" w:rsidRDefault="00FD6E29" w:rsidP="00FD6E29">
      <w:pPr>
        <w:numPr>
          <w:ilvl w:val="0"/>
          <w:numId w:val="295"/>
        </w:numPr>
        <w:jc w:val="both"/>
        <w:rPr>
          <w:rFonts w:ascii="Arial" w:eastAsia="Times New Roman" w:hAnsi="Arial" w:cs="Times New Roman"/>
          <w:sz w:val="20"/>
        </w:rPr>
      </w:pPr>
      <w:r w:rsidRPr="00FD6E29">
        <w:rPr>
          <w:rFonts w:ascii="Arial" w:eastAsia="Times New Roman" w:hAnsi="Arial" w:cs="Times New Roman"/>
          <w:sz w:val="20"/>
        </w:rPr>
        <w:t>Fuel cylinders</w:t>
      </w:r>
    </w:p>
    <w:p w14:paraId="496D4E3A" w14:textId="77777777" w:rsidR="00FD6E29" w:rsidRDefault="00FD6E29" w:rsidP="00FD6E29">
      <w:pPr>
        <w:ind w:left="706"/>
        <w:jc w:val="both"/>
        <w:rPr>
          <w:rFonts w:ascii="Arial" w:eastAsia="Times New Roman" w:hAnsi="Arial" w:cs="Times New Roman"/>
          <w:sz w:val="20"/>
        </w:rPr>
      </w:pPr>
    </w:p>
    <w:tbl>
      <w:tblPr>
        <w:tblStyle w:val="TableGrid31"/>
        <w:tblW w:w="0" w:type="auto"/>
        <w:tblLayout w:type="fixed"/>
        <w:tblLook w:val="01E0" w:firstRow="1" w:lastRow="1" w:firstColumn="1" w:lastColumn="1" w:noHBand="0" w:noVBand="0"/>
      </w:tblPr>
      <w:tblGrid>
        <w:gridCol w:w="2425"/>
        <w:gridCol w:w="6570"/>
      </w:tblGrid>
      <w:tr w:rsidR="00FD6E29" w:rsidRPr="00FD6E29" w14:paraId="364570EB" w14:textId="77777777" w:rsidTr="008D7F65">
        <w:trPr>
          <w:trHeight w:val="243"/>
        </w:trPr>
        <w:tc>
          <w:tcPr>
            <w:tcW w:w="2425" w:type="dxa"/>
            <w:shd w:val="clear" w:color="auto" w:fill="F2F2F2" w:themeFill="background1" w:themeFillShade="F2"/>
          </w:tcPr>
          <w:p w14:paraId="015EEE8D" w14:textId="77777777" w:rsidR="00FD6E29" w:rsidRPr="00FD6E29" w:rsidRDefault="00FD6E29" w:rsidP="000B112D">
            <w:pPr>
              <w:pStyle w:val="TableParagraph"/>
              <w:spacing w:line="224" w:lineRule="exact"/>
              <w:ind w:left="86"/>
              <w:rPr>
                <w:rFonts w:ascii="Arial" w:hAnsi="Arial" w:cs="Arial"/>
                <w:b/>
                <w:sz w:val="18"/>
              </w:rPr>
            </w:pPr>
            <w:r w:rsidRPr="00FD6E29">
              <w:rPr>
                <w:rFonts w:ascii="Arial" w:hAnsi="Arial" w:cs="Arial"/>
                <w:b/>
                <w:sz w:val="18"/>
              </w:rPr>
              <w:t>System/component/area</w:t>
            </w:r>
          </w:p>
        </w:tc>
        <w:tc>
          <w:tcPr>
            <w:tcW w:w="6570" w:type="dxa"/>
            <w:shd w:val="clear" w:color="auto" w:fill="F2F2F2" w:themeFill="background1" w:themeFillShade="F2"/>
          </w:tcPr>
          <w:p w14:paraId="31F244C8" w14:textId="77777777" w:rsidR="00FD6E29" w:rsidRPr="00FD6E29" w:rsidRDefault="00FD6E29" w:rsidP="000B112D">
            <w:pPr>
              <w:pStyle w:val="TableParagraph"/>
              <w:spacing w:line="224" w:lineRule="exact"/>
              <w:ind w:left="97"/>
              <w:rPr>
                <w:rFonts w:ascii="Arial" w:hAnsi="Arial" w:cs="Arial"/>
                <w:b/>
                <w:sz w:val="18"/>
              </w:rPr>
            </w:pPr>
            <w:r w:rsidRPr="00FD6E29">
              <w:rPr>
                <w:rFonts w:ascii="Arial" w:hAnsi="Arial" w:cs="Arial"/>
                <w:b/>
                <w:sz w:val="18"/>
              </w:rPr>
              <w:t>Task</w:t>
            </w:r>
            <w:r w:rsidRPr="00FD6E29">
              <w:rPr>
                <w:rFonts w:ascii="Arial" w:hAnsi="Arial" w:cs="Arial"/>
                <w:b/>
                <w:spacing w:val="-3"/>
                <w:sz w:val="18"/>
              </w:rPr>
              <w:t xml:space="preserve"> </w:t>
            </w:r>
            <w:r w:rsidRPr="00FD6E29">
              <w:rPr>
                <w:rFonts w:ascii="Arial" w:hAnsi="Arial" w:cs="Arial"/>
                <w:b/>
                <w:sz w:val="18"/>
              </w:rPr>
              <w:t>and</w:t>
            </w:r>
            <w:r w:rsidRPr="00FD6E29">
              <w:rPr>
                <w:rFonts w:ascii="Arial" w:hAnsi="Arial" w:cs="Arial"/>
                <w:b/>
                <w:spacing w:val="-3"/>
                <w:sz w:val="18"/>
              </w:rPr>
              <w:t xml:space="preserve"> </w:t>
            </w:r>
            <w:r w:rsidRPr="00FD6E29">
              <w:rPr>
                <w:rFonts w:ascii="Arial" w:hAnsi="Arial" w:cs="Arial"/>
                <w:b/>
                <w:sz w:val="18"/>
              </w:rPr>
              <w:t>inspection</w:t>
            </w:r>
            <w:r w:rsidRPr="00FD6E29">
              <w:rPr>
                <w:rFonts w:ascii="Arial" w:hAnsi="Arial" w:cs="Arial"/>
                <w:b/>
                <w:spacing w:val="-1"/>
                <w:sz w:val="18"/>
              </w:rPr>
              <w:t xml:space="preserve"> </w:t>
            </w:r>
            <w:r w:rsidRPr="00FD6E29">
              <w:rPr>
                <w:rFonts w:ascii="Arial" w:hAnsi="Arial" w:cs="Arial"/>
                <w:b/>
                <w:sz w:val="18"/>
              </w:rPr>
              <w:t>detail</w:t>
            </w:r>
          </w:p>
        </w:tc>
      </w:tr>
      <w:tr w:rsidR="00FD6E29" w:rsidRPr="00FD6E29" w14:paraId="6DC0CD4A" w14:textId="77777777" w:rsidTr="008D7F65">
        <w:trPr>
          <w:trHeight w:val="487"/>
        </w:trPr>
        <w:tc>
          <w:tcPr>
            <w:tcW w:w="2425" w:type="dxa"/>
          </w:tcPr>
          <w:p w14:paraId="0CFA0531" w14:textId="15C28C4B" w:rsidR="00FD6E29" w:rsidRPr="00FD6E29" w:rsidRDefault="00FD6E29" w:rsidP="008D7F65">
            <w:pPr>
              <w:pStyle w:val="TableParagraph"/>
              <w:spacing w:line="243" w:lineRule="exact"/>
              <w:ind w:left="86"/>
              <w:rPr>
                <w:rFonts w:ascii="Arial" w:hAnsi="Arial" w:cs="Arial"/>
                <w:sz w:val="18"/>
              </w:rPr>
            </w:pPr>
            <w:r w:rsidRPr="00FD6E29">
              <w:rPr>
                <w:rFonts w:ascii="Arial" w:hAnsi="Arial" w:cs="Arial"/>
                <w:sz w:val="18"/>
              </w:rPr>
              <w:t>Identification</w:t>
            </w:r>
            <w:r w:rsidRPr="00FD6E29">
              <w:rPr>
                <w:rFonts w:ascii="Arial" w:hAnsi="Arial" w:cs="Arial"/>
                <w:spacing w:val="-5"/>
                <w:sz w:val="18"/>
              </w:rPr>
              <w:t xml:space="preserve"> </w:t>
            </w:r>
            <w:r w:rsidRPr="00FD6E29">
              <w:rPr>
                <w:rFonts w:ascii="Arial" w:hAnsi="Arial" w:cs="Arial"/>
                <w:sz w:val="18"/>
              </w:rPr>
              <w:t>(type/serial</w:t>
            </w:r>
            <w:r w:rsidR="008D7F65">
              <w:rPr>
                <w:rFonts w:ascii="Arial" w:hAnsi="Arial" w:cs="Arial"/>
                <w:sz w:val="18"/>
              </w:rPr>
              <w:t xml:space="preserve"> </w:t>
            </w:r>
            <w:r w:rsidRPr="00FD6E29">
              <w:rPr>
                <w:rFonts w:ascii="Arial" w:hAnsi="Arial" w:cs="Arial"/>
                <w:sz w:val="18"/>
              </w:rPr>
              <w:t>number)</w:t>
            </w:r>
          </w:p>
        </w:tc>
        <w:tc>
          <w:tcPr>
            <w:tcW w:w="6570" w:type="dxa"/>
          </w:tcPr>
          <w:p w14:paraId="6EA5E7F6" w14:textId="77777777" w:rsidR="00FD6E29" w:rsidRPr="00FD6E29" w:rsidRDefault="00FD6E29" w:rsidP="000B112D">
            <w:pPr>
              <w:pStyle w:val="TableParagraph"/>
              <w:ind w:left="97"/>
              <w:rPr>
                <w:rFonts w:ascii="Arial" w:hAnsi="Arial" w:cs="Arial"/>
                <w:sz w:val="18"/>
              </w:rPr>
            </w:pPr>
            <w:r w:rsidRPr="00FD6E29">
              <w:rPr>
                <w:rFonts w:ascii="Arial" w:hAnsi="Arial" w:cs="Arial"/>
                <w:sz w:val="18"/>
              </w:rPr>
              <w:t>Check</w:t>
            </w:r>
            <w:r w:rsidRPr="00FD6E29">
              <w:rPr>
                <w:rFonts w:ascii="Arial" w:hAnsi="Arial" w:cs="Arial"/>
                <w:spacing w:val="-4"/>
                <w:sz w:val="18"/>
              </w:rPr>
              <w:t xml:space="preserve"> </w:t>
            </w:r>
            <w:r w:rsidRPr="00FD6E29">
              <w:rPr>
                <w:rFonts w:ascii="Arial" w:hAnsi="Arial" w:cs="Arial"/>
                <w:sz w:val="18"/>
              </w:rPr>
              <w:t>for</w:t>
            </w:r>
            <w:r w:rsidRPr="00FD6E29">
              <w:rPr>
                <w:rFonts w:ascii="Arial" w:hAnsi="Arial" w:cs="Arial"/>
                <w:spacing w:val="-3"/>
                <w:sz w:val="18"/>
              </w:rPr>
              <w:t xml:space="preserve"> </w:t>
            </w:r>
            <w:r w:rsidRPr="00FD6E29">
              <w:rPr>
                <w:rFonts w:ascii="Arial" w:hAnsi="Arial" w:cs="Arial"/>
                <w:sz w:val="18"/>
              </w:rPr>
              <w:t>presence.</w:t>
            </w:r>
          </w:p>
        </w:tc>
      </w:tr>
      <w:tr w:rsidR="00FD6E29" w:rsidRPr="00FD6E29" w14:paraId="6C50A6E0" w14:textId="77777777" w:rsidTr="008D7F65">
        <w:trPr>
          <w:trHeight w:val="487"/>
        </w:trPr>
        <w:tc>
          <w:tcPr>
            <w:tcW w:w="2425" w:type="dxa"/>
          </w:tcPr>
          <w:p w14:paraId="189072B7" w14:textId="77777777" w:rsidR="00FD6E29" w:rsidRPr="00FD6E29" w:rsidRDefault="00FD6E29" w:rsidP="000B112D">
            <w:pPr>
              <w:pStyle w:val="TableParagraph"/>
              <w:ind w:left="86"/>
              <w:rPr>
                <w:rFonts w:ascii="Arial" w:hAnsi="Arial" w:cs="Arial"/>
                <w:sz w:val="18"/>
              </w:rPr>
            </w:pPr>
            <w:r w:rsidRPr="00FD6E29">
              <w:rPr>
                <w:rFonts w:ascii="Arial" w:hAnsi="Arial" w:cs="Arial"/>
                <w:sz w:val="18"/>
              </w:rPr>
              <w:t>Cylinder</w:t>
            </w:r>
          </w:p>
        </w:tc>
        <w:tc>
          <w:tcPr>
            <w:tcW w:w="6570" w:type="dxa"/>
          </w:tcPr>
          <w:p w14:paraId="788DA06E" w14:textId="2BEFC2DF" w:rsidR="00FD6E29" w:rsidRPr="00FD6E29" w:rsidRDefault="00FD6E29" w:rsidP="000B112D">
            <w:pPr>
              <w:pStyle w:val="TableParagraph"/>
              <w:spacing w:line="240" w:lineRule="atLeast"/>
              <w:ind w:left="97" w:right="536"/>
              <w:rPr>
                <w:rFonts w:ascii="Arial" w:hAnsi="Arial" w:cs="Arial"/>
                <w:sz w:val="18"/>
              </w:rPr>
            </w:pPr>
            <w:r w:rsidRPr="00FD6E29">
              <w:rPr>
                <w:rFonts w:ascii="Arial" w:hAnsi="Arial" w:cs="Arial"/>
                <w:sz w:val="18"/>
              </w:rPr>
              <w:t>Check</w:t>
            </w:r>
            <w:r w:rsidRPr="00FD6E29">
              <w:rPr>
                <w:rFonts w:ascii="Arial" w:hAnsi="Arial" w:cs="Arial"/>
                <w:spacing w:val="-2"/>
                <w:sz w:val="18"/>
              </w:rPr>
              <w:t xml:space="preserve"> </w:t>
            </w:r>
            <w:r w:rsidRPr="00FD6E29">
              <w:rPr>
                <w:rFonts w:ascii="Arial" w:hAnsi="Arial" w:cs="Arial"/>
                <w:sz w:val="18"/>
              </w:rPr>
              <w:t>if</w:t>
            </w:r>
            <w:r w:rsidRPr="00FD6E29">
              <w:rPr>
                <w:rFonts w:ascii="Arial" w:hAnsi="Arial" w:cs="Arial"/>
                <w:spacing w:val="-4"/>
                <w:sz w:val="18"/>
              </w:rPr>
              <w:t xml:space="preserve"> </w:t>
            </w:r>
            <w:r w:rsidRPr="00FD6E29">
              <w:rPr>
                <w:rFonts w:ascii="Arial" w:hAnsi="Arial" w:cs="Arial"/>
                <w:sz w:val="18"/>
              </w:rPr>
              <w:t>periodic</w:t>
            </w:r>
            <w:r w:rsidRPr="00FD6E29">
              <w:rPr>
                <w:rFonts w:ascii="Arial" w:hAnsi="Arial" w:cs="Arial"/>
                <w:spacing w:val="-3"/>
                <w:sz w:val="18"/>
              </w:rPr>
              <w:t xml:space="preserve"> </w:t>
            </w:r>
            <w:r w:rsidRPr="00FD6E29">
              <w:rPr>
                <w:rFonts w:ascii="Arial" w:hAnsi="Arial" w:cs="Arial"/>
                <w:sz w:val="18"/>
              </w:rPr>
              <w:t>inspections</w:t>
            </w:r>
            <w:r w:rsidRPr="00FD6E29">
              <w:rPr>
                <w:rFonts w:ascii="Arial" w:hAnsi="Arial" w:cs="Arial"/>
                <w:spacing w:val="-4"/>
                <w:sz w:val="18"/>
              </w:rPr>
              <w:t xml:space="preserve"> </w:t>
            </w:r>
            <w:r w:rsidRPr="00FD6E29">
              <w:rPr>
                <w:rFonts w:ascii="Arial" w:hAnsi="Arial" w:cs="Arial"/>
                <w:sz w:val="18"/>
              </w:rPr>
              <w:t>for</w:t>
            </w:r>
            <w:r w:rsidRPr="00FD6E29">
              <w:rPr>
                <w:rFonts w:ascii="Arial" w:hAnsi="Arial" w:cs="Arial"/>
                <w:spacing w:val="-2"/>
                <w:sz w:val="18"/>
              </w:rPr>
              <w:t xml:space="preserve"> </w:t>
            </w:r>
            <w:r w:rsidRPr="00FD6E29">
              <w:rPr>
                <w:rFonts w:ascii="Arial" w:hAnsi="Arial" w:cs="Arial"/>
                <w:sz w:val="18"/>
              </w:rPr>
              <w:t>each</w:t>
            </w:r>
            <w:r w:rsidRPr="00FD6E29">
              <w:rPr>
                <w:rFonts w:ascii="Arial" w:hAnsi="Arial" w:cs="Arial"/>
                <w:spacing w:val="-1"/>
                <w:sz w:val="18"/>
              </w:rPr>
              <w:t xml:space="preserve"> </w:t>
            </w:r>
            <w:r w:rsidRPr="00FD6E29">
              <w:rPr>
                <w:rFonts w:ascii="Arial" w:hAnsi="Arial" w:cs="Arial"/>
                <w:sz w:val="18"/>
              </w:rPr>
              <w:t>cylinder are</w:t>
            </w:r>
            <w:r w:rsidRPr="00FD6E29">
              <w:rPr>
                <w:rFonts w:ascii="Arial" w:hAnsi="Arial" w:cs="Arial"/>
                <w:spacing w:val="-2"/>
                <w:sz w:val="18"/>
              </w:rPr>
              <w:t xml:space="preserve"> </w:t>
            </w:r>
            <w:r w:rsidRPr="00FD6E29">
              <w:rPr>
                <w:rFonts w:ascii="Arial" w:hAnsi="Arial" w:cs="Arial"/>
                <w:sz w:val="18"/>
              </w:rPr>
              <w:t>valid</w:t>
            </w:r>
            <w:r w:rsidRPr="00FD6E29">
              <w:rPr>
                <w:rFonts w:ascii="Arial" w:hAnsi="Arial" w:cs="Arial"/>
                <w:spacing w:val="-2"/>
                <w:sz w:val="18"/>
              </w:rPr>
              <w:t xml:space="preserve"> </w:t>
            </w:r>
            <w:r w:rsidRPr="00FD6E29">
              <w:rPr>
                <w:rFonts w:ascii="Arial" w:hAnsi="Arial" w:cs="Arial"/>
                <w:sz w:val="18"/>
              </w:rPr>
              <w:t>(date)</w:t>
            </w:r>
            <w:r w:rsidRPr="00FD6E29">
              <w:rPr>
                <w:rFonts w:ascii="Arial" w:hAnsi="Arial" w:cs="Arial"/>
                <w:spacing w:val="-3"/>
                <w:sz w:val="18"/>
              </w:rPr>
              <w:t xml:space="preserve"> </w:t>
            </w:r>
            <w:r w:rsidRPr="00FD6E29">
              <w:rPr>
                <w:rFonts w:ascii="Arial" w:hAnsi="Arial" w:cs="Arial"/>
                <w:sz w:val="18"/>
              </w:rPr>
              <w:t>(e.g.</w:t>
            </w:r>
            <w:r w:rsidRPr="00FD6E29">
              <w:rPr>
                <w:rFonts w:ascii="Arial" w:hAnsi="Arial" w:cs="Arial"/>
                <w:spacing w:val="-42"/>
                <w:sz w:val="18"/>
              </w:rPr>
              <w:t xml:space="preserve"> </w:t>
            </w:r>
            <w:r w:rsidRPr="00FD6E29">
              <w:rPr>
                <w:rFonts w:ascii="Arial" w:hAnsi="Arial" w:cs="Arial"/>
                <w:sz w:val="18"/>
              </w:rPr>
              <w:t>10</w:t>
            </w:r>
            <w:r w:rsidR="008D7F65">
              <w:rPr>
                <w:rFonts w:ascii="Arial" w:hAnsi="Arial" w:cs="Arial"/>
                <w:spacing w:val="-1"/>
                <w:sz w:val="18"/>
              </w:rPr>
              <w:t xml:space="preserve"> </w:t>
            </w:r>
            <w:r w:rsidRPr="00FD6E29">
              <w:rPr>
                <w:rFonts w:ascii="Arial" w:hAnsi="Arial" w:cs="Arial"/>
                <w:sz w:val="18"/>
              </w:rPr>
              <w:t>years’ inspection).</w:t>
            </w:r>
          </w:p>
        </w:tc>
      </w:tr>
      <w:tr w:rsidR="00FD6E29" w:rsidRPr="00FD6E29" w14:paraId="508F9924" w14:textId="77777777" w:rsidTr="008D7F65">
        <w:trPr>
          <w:trHeight w:val="246"/>
        </w:trPr>
        <w:tc>
          <w:tcPr>
            <w:tcW w:w="2425" w:type="dxa"/>
          </w:tcPr>
          <w:p w14:paraId="6D1ED695" w14:textId="77777777" w:rsidR="00FD6E29" w:rsidRPr="00FD6E29" w:rsidRDefault="00FD6E29" w:rsidP="000B112D">
            <w:pPr>
              <w:pStyle w:val="TableParagraph"/>
              <w:spacing w:line="225" w:lineRule="exact"/>
              <w:ind w:left="86"/>
              <w:rPr>
                <w:rFonts w:ascii="Arial" w:hAnsi="Arial" w:cs="Arial"/>
                <w:sz w:val="18"/>
              </w:rPr>
            </w:pPr>
            <w:r w:rsidRPr="00FD6E29">
              <w:rPr>
                <w:rFonts w:ascii="Arial" w:hAnsi="Arial" w:cs="Arial"/>
                <w:sz w:val="18"/>
              </w:rPr>
              <w:t>Cylinder</w:t>
            </w:r>
            <w:r w:rsidRPr="00FD6E29">
              <w:rPr>
                <w:rFonts w:ascii="Arial" w:hAnsi="Arial" w:cs="Arial"/>
                <w:spacing w:val="-4"/>
                <w:sz w:val="18"/>
              </w:rPr>
              <w:t xml:space="preserve"> </w:t>
            </w:r>
            <w:r w:rsidRPr="00FD6E29">
              <w:rPr>
                <w:rFonts w:ascii="Arial" w:hAnsi="Arial" w:cs="Arial"/>
                <w:sz w:val="18"/>
              </w:rPr>
              <w:t>body</w:t>
            </w:r>
          </w:p>
        </w:tc>
        <w:tc>
          <w:tcPr>
            <w:tcW w:w="6570" w:type="dxa"/>
          </w:tcPr>
          <w:p w14:paraId="531B1208" w14:textId="77777777" w:rsidR="00FD6E29" w:rsidRPr="00FD6E29" w:rsidRDefault="00FD6E29" w:rsidP="000B112D">
            <w:pPr>
              <w:pStyle w:val="TableParagraph"/>
              <w:spacing w:line="225" w:lineRule="exact"/>
              <w:ind w:left="97"/>
              <w:rPr>
                <w:rFonts w:ascii="Arial" w:hAnsi="Arial" w:cs="Arial"/>
                <w:sz w:val="18"/>
              </w:rPr>
            </w:pPr>
            <w:r w:rsidRPr="00FD6E29">
              <w:rPr>
                <w:rFonts w:ascii="Arial" w:hAnsi="Arial" w:cs="Arial"/>
                <w:sz w:val="18"/>
              </w:rPr>
              <w:t>Inspect</w:t>
            </w:r>
            <w:r w:rsidRPr="00FD6E29">
              <w:rPr>
                <w:rFonts w:ascii="Arial" w:hAnsi="Arial" w:cs="Arial"/>
                <w:spacing w:val="-3"/>
                <w:sz w:val="18"/>
              </w:rPr>
              <w:t xml:space="preserve"> </w:t>
            </w:r>
            <w:r w:rsidRPr="00FD6E29">
              <w:rPr>
                <w:rFonts w:ascii="Arial" w:hAnsi="Arial" w:cs="Arial"/>
                <w:sz w:val="18"/>
              </w:rPr>
              <w:t>for</w:t>
            </w:r>
            <w:r w:rsidRPr="00FD6E29">
              <w:rPr>
                <w:rFonts w:ascii="Arial" w:hAnsi="Arial" w:cs="Arial"/>
                <w:spacing w:val="-2"/>
                <w:sz w:val="18"/>
              </w:rPr>
              <w:t xml:space="preserve"> </w:t>
            </w:r>
            <w:r w:rsidRPr="00FD6E29">
              <w:rPr>
                <w:rFonts w:ascii="Arial" w:hAnsi="Arial" w:cs="Arial"/>
                <w:sz w:val="18"/>
              </w:rPr>
              <w:t>damage,</w:t>
            </w:r>
            <w:r w:rsidRPr="00FD6E29">
              <w:rPr>
                <w:rFonts w:ascii="Arial" w:hAnsi="Arial" w:cs="Arial"/>
                <w:spacing w:val="-2"/>
                <w:sz w:val="18"/>
              </w:rPr>
              <w:t xml:space="preserve"> </w:t>
            </w:r>
            <w:r w:rsidRPr="00FD6E29">
              <w:rPr>
                <w:rFonts w:ascii="Arial" w:hAnsi="Arial" w:cs="Arial"/>
                <w:sz w:val="18"/>
              </w:rPr>
              <w:t>corrosion.</w:t>
            </w:r>
          </w:p>
        </w:tc>
      </w:tr>
      <w:tr w:rsidR="00FD6E29" w:rsidRPr="00FD6E29" w14:paraId="33B76BD2" w14:textId="77777777" w:rsidTr="008D7F65">
        <w:trPr>
          <w:trHeight w:val="242"/>
        </w:trPr>
        <w:tc>
          <w:tcPr>
            <w:tcW w:w="2425" w:type="dxa"/>
            <w:vMerge w:val="restart"/>
          </w:tcPr>
          <w:p w14:paraId="2FF2EAEC" w14:textId="77777777" w:rsidR="00FD6E29" w:rsidRPr="00FD6E29" w:rsidRDefault="00FD6E29" w:rsidP="000B112D">
            <w:pPr>
              <w:pStyle w:val="TableParagraph"/>
              <w:ind w:left="86"/>
              <w:rPr>
                <w:rFonts w:ascii="Arial" w:hAnsi="Arial" w:cs="Arial"/>
                <w:sz w:val="18"/>
              </w:rPr>
            </w:pPr>
            <w:r w:rsidRPr="00FD6E29">
              <w:rPr>
                <w:rFonts w:ascii="Arial" w:hAnsi="Arial" w:cs="Arial"/>
                <w:sz w:val="18"/>
              </w:rPr>
              <w:t>Liquid</w:t>
            </w:r>
            <w:r w:rsidRPr="00FD6E29">
              <w:rPr>
                <w:rFonts w:ascii="Arial" w:hAnsi="Arial" w:cs="Arial"/>
                <w:spacing w:val="-4"/>
                <w:sz w:val="18"/>
              </w:rPr>
              <w:t xml:space="preserve"> </w:t>
            </w:r>
            <w:r w:rsidRPr="00FD6E29">
              <w:rPr>
                <w:rFonts w:ascii="Arial" w:hAnsi="Arial" w:cs="Arial"/>
                <w:sz w:val="18"/>
              </w:rPr>
              <w:t>valve</w:t>
            </w:r>
          </w:p>
        </w:tc>
        <w:tc>
          <w:tcPr>
            <w:tcW w:w="6570" w:type="dxa"/>
          </w:tcPr>
          <w:p w14:paraId="152B2858" w14:textId="77777777" w:rsidR="00FD6E29" w:rsidRPr="00FD6E29" w:rsidRDefault="00FD6E29" w:rsidP="000B112D">
            <w:pPr>
              <w:pStyle w:val="TableParagraph"/>
              <w:spacing w:line="222" w:lineRule="exact"/>
              <w:ind w:left="97"/>
              <w:rPr>
                <w:rFonts w:ascii="Arial" w:hAnsi="Arial" w:cs="Arial"/>
                <w:sz w:val="18"/>
              </w:rPr>
            </w:pPr>
            <w:r w:rsidRPr="00FD6E29">
              <w:rPr>
                <w:rFonts w:ascii="Arial" w:hAnsi="Arial" w:cs="Arial"/>
                <w:sz w:val="18"/>
              </w:rPr>
              <w:t>Inspect</w:t>
            </w:r>
            <w:r w:rsidRPr="00FD6E29">
              <w:rPr>
                <w:rFonts w:ascii="Arial" w:hAnsi="Arial" w:cs="Arial"/>
                <w:spacing w:val="-3"/>
                <w:sz w:val="18"/>
              </w:rPr>
              <w:t xml:space="preserve"> </w:t>
            </w:r>
            <w:r w:rsidRPr="00FD6E29">
              <w:rPr>
                <w:rFonts w:ascii="Arial" w:hAnsi="Arial" w:cs="Arial"/>
                <w:sz w:val="18"/>
              </w:rPr>
              <w:t>for</w:t>
            </w:r>
            <w:r w:rsidRPr="00FD6E29">
              <w:rPr>
                <w:rFonts w:ascii="Arial" w:hAnsi="Arial" w:cs="Arial"/>
                <w:spacing w:val="-3"/>
                <w:sz w:val="18"/>
              </w:rPr>
              <w:t xml:space="preserve"> </w:t>
            </w:r>
            <w:r w:rsidRPr="00FD6E29">
              <w:rPr>
                <w:rFonts w:ascii="Arial" w:hAnsi="Arial" w:cs="Arial"/>
                <w:sz w:val="18"/>
              </w:rPr>
              <w:t>damage,</w:t>
            </w:r>
            <w:r w:rsidRPr="00FD6E29">
              <w:rPr>
                <w:rFonts w:ascii="Arial" w:hAnsi="Arial" w:cs="Arial"/>
                <w:spacing w:val="-3"/>
                <w:sz w:val="18"/>
              </w:rPr>
              <w:t xml:space="preserve"> </w:t>
            </w:r>
            <w:r w:rsidRPr="00FD6E29">
              <w:rPr>
                <w:rFonts w:ascii="Arial" w:hAnsi="Arial" w:cs="Arial"/>
                <w:sz w:val="18"/>
              </w:rPr>
              <w:t>corrosion,</w:t>
            </w:r>
            <w:r w:rsidRPr="00FD6E29">
              <w:rPr>
                <w:rFonts w:ascii="Arial" w:hAnsi="Arial" w:cs="Arial"/>
                <w:spacing w:val="-3"/>
                <w:sz w:val="18"/>
              </w:rPr>
              <w:t xml:space="preserve"> </w:t>
            </w:r>
            <w:r w:rsidRPr="00FD6E29">
              <w:rPr>
                <w:rFonts w:ascii="Arial" w:hAnsi="Arial" w:cs="Arial"/>
                <w:sz w:val="18"/>
              </w:rPr>
              <w:t>correct</w:t>
            </w:r>
            <w:r w:rsidRPr="00FD6E29">
              <w:rPr>
                <w:rFonts w:ascii="Arial" w:hAnsi="Arial" w:cs="Arial"/>
                <w:spacing w:val="-2"/>
                <w:sz w:val="18"/>
              </w:rPr>
              <w:t xml:space="preserve"> </w:t>
            </w:r>
            <w:r w:rsidRPr="00FD6E29">
              <w:rPr>
                <w:rFonts w:ascii="Arial" w:hAnsi="Arial" w:cs="Arial"/>
                <w:sz w:val="18"/>
              </w:rPr>
              <w:t>operation.</w:t>
            </w:r>
          </w:p>
        </w:tc>
      </w:tr>
      <w:tr w:rsidR="00FD6E29" w:rsidRPr="00FD6E29" w14:paraId="1C26F5D8" w14:textId="77777777" w:rsidTr="008D7F65">
        <w:trPr>
          <w:trHeight w:val="245"/>
        </w:trPr>
        <w:tc>
          <w:tcPr>
            <w:tcW w:w="2425" w:type="dxa"/>
            <w:vMerge/>
          </w:tcPr>
          <w:p w14:paraId="1EB02571" w14:textId="77777777" w:rsidR="00FD6E29" w:rsidRPr="00FD6E29" w:rsidRDefault="00FD6E29" w:rsidP="000B112D">
            <w:pPr>
              <w:rPr>
                <w:rFonts w:ascii="Arial" w:hAnsi="Arial" w:cs="Arial"/>
                <w:sz w:val="18"/>
                <w:szCs w:val="2"/>
              </w:rPr>
            </w:pPr>
          </w:p>
        </w:tc>
        <w:tc>
          <w:tcPr>
            <w:tcW w:w="6570" w:type="dxa"/>
          </w:tcPr>
          <w:p w14:paraId="669924D5" w14:textId="77777777" w:rsidR="00FD6E29" w:rsidRPr="00FD6E29" w:rsidRDefault="00FD6E29" w:rsidP="000B112D">
            <w:pPr>
              <w:pStyle w:val="TableParagraph"/>
              <w:spacing w:line="225" w:lineRule="exact"/>
              <w:ind w:left="97"/>
              <w:rPr>
                <w:rFonts w:ascii="Arial" w:hAnsi="Arial" w:cs="Arial"/>
                <w:sz w:val="18"/>
              </w:rPr>
            </w:pPr>
            <w:r w:rsidRPr="00FD6E29">
              <w:rPr>
                <w:rFonts w:ascii="Arial" w:hAnsi="Arial" w:cs="Arial"/>
                <w:sz w:val="18"/>
              </w:rPr>
              <w:t>Inspect</w:t>
            </w:r>
            <w:r w:rsidRPr="00FD6E29">
              <w:rPr>
                <w:rFonts w:ascii="Arial" w:hAnsi="Arial" w:cs="Arial"/>
                <w:spacing w:val="-3"/>
                <w:sz w:val="18"/>
              </w:rPr>
              <w:t xml:space="preserve"> </w:t>
            </w:r>
            <w:r w:rsidRPr="00FD6E29">
              <w:rPr>
                <w:rFonts w:ascii="Arial" w:hAnsi="Arial" w:cs="Arial"/>
                <w:sz w:val="18"/>
              </w:rPr>
              <w:t>O-ring</w:t>
            </w:r>
            <w:r w:rsidRPr="00FD6E29">
              <w:rPr>
                <w:rFonts w:ascii="Arial" w:hAnsi="Arial" w:cs="Arial"/>
                <w:spacing w:val="-4"/>
                <w:sz w:val="18"/>
              </w:rPr>
              <w:t xml:space="preserve"> </w:t>
            </w:r>
            <w:r w:rsidRPr="00FD6E29">
              <w:rPr>
                <w:rFonts w:ascii="Arial" w:hAnsi="Arial" w:cs="Arial"/>
                <w:sz w:val="18"/>
              </w:rPr>
              <w:t>seals,</w:t>
            </w:r>
            <w:r w:rsidRPr="00FD6E29">
              <w:rPr>
                <w:rFonts w:ascii="Arial" w:hAnsi="Arial" w:cs="Arial"/>
                <w:spacing w:val="-3"/>
                <w:sz w:val="18"/>
              </w:rPr>
              <w:t xml:space="preserve"> </w:t>
            </w:r>
            <w:r w:rsidRPr="00FD6E29">
              <w:rPr>
                <w:rFonts w:ascii="Arial" w:hAnsi="Arial" w:cs="Arial"/>
                <w:sz w:val="18"/>
              </w:rPr>
              <w:t>lubricate/replace</w:t>
            </w:r>
            <w:r w:rsidRPr="00FD6E29">
              <w:rPr>
                <w:rFonts w:ascii="Arial" w:hAnsi="Arial" w:cs="Arial"/>
                <w:spacing w:val="-4"/>
                <w:sz w:val="18"/>
              </w:rPr>
              <w:t xml:space="preserve"> </w:t>
            </w:r>
            <w:r w:rsidRPr="00FD6E29">
              <w:rPr>
                <w:rFonts w:ascii="Arial" w:hAnsi="Arial" w:cs="Arial"/>
                <w:sz w:val="18"/>
              </w:rPr>
              <w:t>as</w:t>
            </w:r>
            <w:r w:rsidRPr="00FD6E29">
              <w:rPr>
                <w:rFonts w:ascii="Arial" w:hAnsi="Arial" w:cs="Arial"/>
                <w:spacing w:val="-5"/>
                <w:sz w:val="18"/>
              </w:rPr>
              <w:t xml:space="preserve"> </w:t>
            </w:r>
            <w:r w:rsidRPr="00FD6E29">
              <w:rPr>
                <w:rFonts w:ascii="Arial" w:hAnsi="Arial" w:cs="Arial"/>
                <w:sz w:val="18"/>
              </w:rPr>
              <w:t>required.</w:t>
            </w:r>
          </w:p>
        </w:tc>
      </w:tr>
      <w:tr w:rsidR="00FD6E29" w:rsidRPr="00FD6E29" w14:paraId="24728C60" w14:textId="77777777" w:rsidTr="008D7F65">
        <w:trPr>
          <w:trHeight w:val="487"/>
        </w:trPr>
        <w:tc>
          <w:tcPr>
            <w:tcW w:w="2425" w:type="dxa"/>
          </w:tcPr>
          <w:p w14:paraId="1DB2199E" w14:textId="77777777" w:rsidR="00FD6E29" w:rsidRPr="00FD6E29" w:rsidRDefault="00FD6E29" w:rsidP="000B112D">
            <w:pPr>
              <w:pStyle w:val="TableParagraph"/>
              <w:spacing w:line="243" w:lineRule="exact"/>
              <w:ind w:left="86"/>
              <w:rPr>
                <w:rFonts w:ascii="Arial" w:hAnsi="Arial" w:cs="Arial"/>
                <w:sz w:val="18"/>
              </w:rPr>
            </w:pPr>
            <w:r w:rsidRPr="00FD6E29">
              <w:rPr>
                <w:rFonts w:ascii="Arial" w:hAnsi="Arial" w:cs="Arial"/>
                <w:sz w:val="18"/>
              </w:rPr>
              <w:t>Fixed</w:t>
            </w:r>
            <w:r w:rsidRPr="00FD6E29">
              <w:rPr>
                <w:rFonts w:ascii="Arial" w:hAnsi="Arial" w:cs="Arial"/>
                <w:spacing w:val="-8"/>
                <w:sz w:val="18"/>
              </w:rPr>
              <w:t xml:space="preserve"> </w:t>
            </w:r>
            <w:r w:rsidRPr="00FD6E29">
              <w:rPr>
                <w:rFonts w:ascii="Arial" w:hAnsi="Arial" w:cs="Arial"/>
                <w:sz w:val="18"/>
              </w:rPr>
              <w:t>liquid</w:t>
            </w:r>
          </w:p>
          <w:p w14:paraId="548D7413" w14:textId="77777777" w:rsidR="00FD6E29" w:rsidRPr="00FD6E29" w:rsidRDefault="00FD6E29" w:rsidP="000B112D">
            <w:pPr>
              <w:pStyle w:val="TableParagraph"/>
              <w:spacing w:line="224" w:lineRule="exact"/>
              <w:ind w:left="86"/>
              <w:rPr>
                <w:rFonts w:ascii="Arial" w:hAnsi="Arial" w:cs="Arial"/>
                <w:sz w:val="18"/>
              </w:rPr>
            </w:pPr>
            <w:r w:rsidRPr="00FD6E29">
              <w:rPr>
                <w:rFonts w:ascii="Arial" w:hAnsi="Arial" w:cs="Arial"/>
                <w:sz w:val="18"/>
              </w:rPr>
              <w:t>Level</w:t>
            </w:r>
            <w:r w:rsidRPr="00FD6E29">
              <w:rPr>
                <w:rFonts w:ascii="Arial" w:hAnsi="Arial" w:cs="Arial"/>
                <w:spacing w:val="-7"/>
                <w:sz w:val="18"/>
              </w:rPr>
              <w:t xml:space="preserve"> </w:t>
            </w:r>
            <w:r w:rsidRPr="00FD6E29">
              <w:rPr>
                <w:rFonts w:ascii="Arial" w:hAnsi="Arial" w:cs="Arial"/>
                <w:sz w:val="18"/>
              </w:rPr>
              <w:t>gauge</w:t>
            </w:r>
          </w:p>
        </w:tc>
        <w:tc>
          <w:tcPr>
            <w:tcW w:w="6570" w:type="dxa"/>
          </w:tcPr>
          <w:p w14:paraId="51AAE726" w14:textId="77777777" w:rsidR="00FD6E29" w:rsidRPr="00FD6E29" w:rsidRDefault="00FD6E29" w:rsidP="000B112D">
            <w:pPr>
              <w:pStyle w:val="TableParagraph"/>
              <w:ind w:left="97"/>
              <w:rPr>
                <w:rFonts w:ascii="Arial" w:hAnsi="Arial" w:cs="Arial"/>
                <w:sz w:val="18"/>
              </w:rPr>
            </w:pPr>
            <w:r w:rsidRPr="00FD6E29">
              <w:rPr>
                <w:rFonts w:ascii="Arial" w:hAnsi="Arial" w:cs="Arial"/>
                <w:sz w:val="18"/>
              </w:rPr>
              <w:t>Inspect</w:t>
            </w:r>
            <w:r w:rsidRPr="00FD6E29">
              <w:rPr>
                <w:rFonts w:ascii="Arial" w:hAnsi="Arial" w:cs="Arial"/>
                <w:spacing w:val="-3"/>
                <w:sz w:val="18"/>
              </w:rPr>
              <w:t xml:space="preserve"> </w:t>
            </w:r>
            <w:r w:rsidRPr="00FD6E29">
              <w:rPr>
                <w:rFonts w:ascii="Arial" w:hAnsi="Arial" w:cs="Arial"/>
                <w:sz w:val="18"/>
              </w:rPr>
              <w:t>for</w:t>
            </w:r>
            <w:r w:rsidRPr="00FD6E29">
              <w:rPr>
                <w:rFonts w:ascii="Arial" w:hAnsi="Arial" w:cs="Arial"/>
                <w:spacing w:val="-3"/>
                <w:sz w:val="18"/>
              </w:rPr>
              <w:t xml:space="preserve"> </w:t>
            </w:r>
            <w:r w:rsidRPr="00FD6E29">
              <w:rPr>
                <w:rFonts w:ascii="Arial" w:hAnsi="Arial" w:cs="Arial"/>
                <w:sz w:val="18"/>
              </w:rPr>
              <w:t>damage, corrosion,</w:t>
            </w:r>
            <w:r w:rsidRPr="00FD6E29">
              <w:rPr>
                <w:rFonts w:ascii="Arial" w:hAnsi="Arial" w:cs="Arial"/>
                <w:spacing w:val="-3"/>
                <w:sz w:val="18"/>
              </w:rPr>
              <w:t xml:space="preserve"> </w:t>
            </w:r>
            <w:r w:rsidRPr="00FD6E29">
              <w:rPr>
                <w:rFonts w:ascii="Arial" w:hAnsi="Arial" w:cs="Arial"/>
                <w:sz w:val="18"/>
              </w:rPr>
              <w:t>correct</w:t>
            </w:r>
            <w:r w:rsidRPr="00FD6E29">
              <w:rPr>
                <w:rFonts w:ascii="Arial" w:hAnsi="Arial" w:cs="Arial"/>
                <w:spacing w:val="-3"/>
                <w:sz w:val="18"/>
              </w:rPr>
              <w:t xml:space="preserve"> </w:t>
            </w:r>
            <w:r w:rsidRPr="00FD6E29">
              <w:rPr>
                <w:rFonts w:ascii="Arial" w:hAnsi="Arial" w:cs="Arial"/>
                <w:sz w:val="18"/>
              </w:rPr>
              <w:t>operation.</w:t>
            </w:r>
          </w:p>
        </w:tc>
      </w:tr>
      <w:tr w:rsidR="00FD6E29" w:rsidRPr="00FD6E29" w14:paraId="3B8C4FA0" w14:textId="77777777" w:rsidTr="008D7F65">
        <w:trPr>
          <w:trHeight w:val="487"/>
        </w:trPr>
        <w:tc>
          <w:tcPr>
            <w:tcW w:w="2425" w:type="dxa"/>
          </w:tcPr>
          <w:p w14:paraId="5980041C" w14:textId="77777777" w:rsidR="00FD6E29" w:rsidRPr="00FD6E29" w:rsidRDefault="00FD6E29" w:rsidP="000B112D">
            <w:pPr>
              <w:pStyle w:val="TableParagraph"/>
              <w:spacing w:line="240" w:lineRule="atLeast"/>
              <w:ind w:left="86" w:right="1438"/>
              <w:rPr>
                <w:rFonts w:ascii="Arial" w:hAnsi="Arial" w:cs="Arial"/>
                <w:sz w:val="18"/>
              </w:rPr>
            </w:pPr>
            <w:r w:rsidRPr="00FD6E29">
              <w:rPr>
                <w:rFonts w:ascii="Arial" w:hAnsi="Arial" w:cs="Arial"/>
                <w:spacing w:val="-1"/>
                <w:sz w:val="18"/>
              </w:rPr>
              <w:t>Contents</w:t>
            </w:r>
            <w:r w:rsidRPr="00FD6E29">
              <w:rPr>
                <w:rFonts w:ascii="Arial" w:hAnsi="Arial" w:cs="Arial"/>
                <w:spacing w:val="-43"/>
                <w:sz w:val="18"/>
              </w:rPr>
              <w:t xml:space="preserve"> </w:t>
            </w:r>
            <w:r w:rsidRPr="00FD6E29">
              <w:rPr>
                <w:rFonts w:ascii="Arial" w:hAnsi="Arial" w:cs="Arial"/>
                <w:sz w:val="18"/>
              </w:rPr>
              <w:t>Gauge</w:t>
            </w:r>
          </w:p>
        </w:tc>
        <w:tc>
          <w:tcPr>
            <w:tcW w:w="6570" w:type="dxa"/>
          </w:tcPr>
          <w:p w14:paraId="1F2A79B8" w14:textId="77777777" w:rsidR="00FD6E29" w:rsidRPr="00FD6E29" w:rsidRDefault="00FD6E29" w:rsidP="000B112D">
            <w:pPr>
              <w:pStyle w:val="TableParagraph"/>
              <w:ind w:left="97"/>
              <w:rPr>
                <w:rFonts w:ascii="Arial" w:hAnsi="Arial" w:cs="Arial"/>
                <w:sz w:val="18"/>
              </w:rPr>
            </w:pPr>
            <w:r w:rsidRPr="00FD6E29">
              <w:rPr>
                <w:rFonts w:ascii="Arial" w:hAnsi="Arial" w:cs="Arial"/>
                <w:sz w:val="18"/>
              </w:rPr>
              <w:t>Inspect</w:t>
            </w:r>
            <w:r w:rsidRPr="00FD6E29">
              <w:rPr>
                <w:rFonts w:ascii="Arial" w:hAnsi="Arial" w:cs="Arial"/>
                <w:spacing w:val="-3"/>
                <w:sz w:val="18"/>
              </w:rPr>
              <w:t xml:space="preserve"> </w:t>
            </w:r>
            <w:r w:rsidRPr="00FD6E29">
              <w:rPr>
                <w:rFonts w:ascii="Arial" w:hAnsi="Arial" w:cs="Arial"/>
                <w:sz w:val="18"/>
              </w:rPr>
              <w:t>for</w:t>
            </w:r>
            <w:r w:rsidRPr="00FD6E29">
              <w:rPr>
                <w:rFonts w:ascii="Arial" w:hAnsi="Arial" w:cs="Arial"/>
                <w:spacing w:val="-3"/>
                <w:sz w:val="18"/>
              </w:rPr>
              <w:t xml:space="preserve"> </w:t>
            </w:r>
            <w:r w:rsidRPr="00FD6E29">
              <w:rPr>
                <w:rFonts w:ascii="Arial" w:hAnsi="Arial" w:cs="Arial"/>
                <w:sz w:val="18"/>
              </w:rPr>
              <w:t>damage,</w:t>
            </w:r>
            <w:r w:rsidRPr="00FD6E29">
              <w:rPr>
                <w:rFonts w:ascii="Arial" w:hAnsi="Arial" w:cs="Arial"/>
                <w:spacing w:val="-3"/>
                <w:sz w:val="18"/>
              </w:rPr>
              <w:t xml:space="preserve"> </w:t>
            </w:r>
            <w:r w:rsidRPr="00FD6E29">
              <w:rPr>
                <w:rFonts w:ascii="Arial" w:hAnsi="Arial" w:cs="Arial"/>
                <w:sz w:val="18"/>
              </w:rPr>
              <w:t>corrosion,</w:t>
            </w:r>
            <w:r w:rsidRPr="00FD6E29">
              <w:rPr>
                <w:rFonts w:ascii="Arial" w:hAnsi="Arial" w:cs="Arial"/>
                <w:spacing w:val="-3"/>
                <w:sz w:val="18"/>
              </w:rPr>
              <w:t xml:space="preserve"> </w:t>
            </w:r>
            <w:r w:rsidRPr="00FD6E29">
              <w:rPr>
                <w:rFonts w:ascii="Arial" w:hAnsi="Arial" w:cs="Arial"/>
                <w:sz w:val="18"/>
              </w:rPr>
              <w:t>freedom</w:t>
            </w:r>
            <w:r w:rsidRPr="00FD6E29">
              <w:rPr>
                <w:rFonts w:ascii="Arial" w:hAnsi="Arial" w:cs="Arial"/>
                <w:spacing w:val="-3"/>
                <w:sz w:val="18"/>
              </w:rPr>
              <w:t xml:space="preserve"> </w:t>
            </w:r>
            <w:r w:rsidRPr="00FD6E29">
              <w:rPr>
                <w:rFonts w:ascii="Arial" w:hAnsi="Arial" w:cs="Arial"/>
                <w:sz w:val="18"/>
              </w:rPr>
              <w:t>of</w:t>
            </w:r>
            <w:r w:rsidRPr="00FD6E29">
              <w:rPr>
                <w:rFonts w:ascii="Arial" w:hAnsi="Arial" w:cs="Arial"/>
                <w:spacing w:val="-5"/>
                <w:sz w:val="18"/>
              </w:rPr>
              <w:t xml:space="preserve"> </w:t>
            </w:r>
            <w:r w:rsidRPr="00FD6E29">
              <w:rPr>
                <w:rFonts w:ascii="Arial" w:hAnsi="Arial" w:cs="Arial"/>
                <w:sz w:val="18"/>
              </w:rPr>
              <w:t>movement.</w:t>
            </w:r>
          </w:p>
        </w:tc>
      </w:tr>
      <w:tr w:rsidR="00FD6E29" w:rsidRPr="00FD6E29" w14:paraId="7132B7A3" w14:textId="77777777" w:rsidTr="008D7F65">
        <w:trPr>
          <w:trHeight w:val="533"/>
        </w:trPr>
        <w:tc>
          <w:tcPr>
            <w:tcW w:w="2425" w:type="dxa"/>
          </w:tcPr>
          <w:p w14:paraId="10D7876B" w14:textId="77777777" w:rsidR="00FD6E29" w:rsidRPr="0081202F" w:rsidRDefault="00FD6E29" w:rsidP="000B112D">
            <w:pPr>
              <w:pStyle w:val="TableParagraph"/>
              <w:ind w:left="86"/>
              <w:rPr>
                <w:rFonts w:ascii="Arial" w:hAnsi="Arial" w:cs="Arial"/>
                <w:sz w:val="18"/>
              </w:rPr>
            </w:pPr>
            <w:r w:rsidRPr="0081202F">
              <w:rPr>
                <w:rFonts w:ascii="Arial" w:hAnsi="Arial" w:cs="Arial"/>
                <w:sz w:val="18"/>
              </w:rPr>
              <w:t>Vapour</w:t>
            </w:r>
            <w:r w:rsidRPr="0081202F">
              <w:rPr>
                <w:rFonts w:ascii="Arial" w:hAnsi="Arial" w:cs="Arial"/>
                <w:spacing w:val="-4"/>
                <w:sz w:val="18"/>
              </w:rPr>
              <w:t xml:space="preserve"> </w:t>
            </w:r>
            <w:r w:rsidRPr="0081202F">
              <w:rPr>
                <w:rFonts w:ascii="Arial" w:hAnsi="Arial" w:cs="Arial"/>
                <w:sz w:val="18"/>
              </w:rPr>
              <w:t>valve</w:t>
            </w:r>
          </w:p>
        </w:tc>
        <w:tc>
          <w:tcPr>
            <w:tcW w:w="6570" w:type="dxa"/>
          </w:tcPr>
          <w:p w14:paraId="3772C2A1" w14:textId="77777777" w:rsidR="00FD6E29" w:rsidRPr="0081202F" w:rsidRDefault="00FD6E29" w:rsidP="0081202F">
            <w:pPr>
              <w:pStyle w:val="TableParagraph"/>
              <w:ind w:left="97"/>
              <w:rPr>
                <w:rFonts w:ascii="Arial" w:hAnsi="Arial" w:cs="Arial"/>
                <w:sz w:val="18"/>
              </w:rPr>
            </w:pPr>
            <w:r w:rsidRPr="0081202F">
              <w:rPr>
                <w:rFonts w:ascii="Arial" w:hAnsi="Arial" w:cs="Arial"/>
                <w:sz w:val="18"/>
              </w:rPr>
              <w:t>Inspect for damage, corrosion, correct operation (including regulator).</w:t>
            </w:r>
            <w:r w:rsidRPr="0081202F">
              <w:rPr>
                <w:rFonts w:ascii="Arial" w:hAnsi="Arial" w:cs="Arial"/>
                <w:sz w:val="18"/>
              </w:rPr>
              <w:tab/>
            </w:r>
          </w:p>
          <w:p w14:paraId="48A15B27" w14:textId="77777777" w:rsidR="00FD6E29" w:rsidRPr="0081202F" w:rsidRDefault="00FD6E29" w:rsidP="0081202F">
            <w:pPr>
              <w:pStyle w:val="TableParagraph"/>
              <w:ind w:left="0"/>
              <w:rPr>
                <w:rFonts w:ascii="Arial" w:hAnsi="Arial" w:cs="Arial"/>
                <w:sz w:val="18"/>
              </w:rPr>
            </w:pPr>
            <w:r w:rsidRPr="0081202F">
              <w:rPr>
                <w:rFonts w:ascii="Arial" w:hAnsi="Arial" w:cs="Arial"/>
                <w:sz w:val="18"/>
              </w:rPr>
              <w:t xml:space="preserve">  Check quick-release coupling for correct operation, sealing.</w:t>
            </w:r>
            <w:r w:rsidRPr="0081202F">
              <w:rPr>
                <w:rFonts w:ascii="Arial" w:hAnsi="Arial" w:cs="Arial"/>
                <w:sz w:val="18"/>
              </w:rPr>
              <w:tab/>
            </w:r>
          </w:p>
        </w:tc>
      </w:tr>
      <w:tr w:rsidR="00FD6E29" w:rsidRPr="00FD6E29" w14:paraId="435A472A" w14:textId="77777777" w:rsidTr="008D7F65">
        <w:trPr>
          <w:trHeight w:val="245"/>
        </w:trPr>
        <w:tc>
          <w:tcPr>
            <w:tcW w:w="2425" w:type="dxa"/>
          </w:tcPr>
          <w:p w14:paraId="41BBEB90" w14:textId="77777777" w:rsidR="00FD6E29" w:rsidRPr="00FD6E29" w:rsidRDefault="00FD6E29" w:rsidP="0081202F">
            <w:pPr>
              <w:pStyle w:val="TableParagraph"/>
              <w:ind w:left="97"/>
              <w:rPr>
                <w:rFonts w:ascii="Arial" w:hAnsi="Arial" w:cs="Arial"/>
                <w:sz w:val="18"/>
              </w:rPr>
            </w:pPr>
            <w:r w:rsidRPr="0081202F">
              <w:rPr>
                <w:rFonts w:ascii="Arial" w:hAnsi="Arial" w:cs="Arial"/>
                <w:sz w:val="18"/>
              </w:rPr>
              <w:t>Padded cover</w:t>
            </w:r>
            <w:r w:rsidRPr="0081202F">
              <w:rPr>
                <w:rFonts w:ascii="Arial" w:hAnsi="Arial" w:cs="Arial"/>
                <w:sz w:val="18"/>
              </w:rPr>
              <w:tab/>
            </w:r>
          </w:p>
        </w:tc>
        <w:tc>
          <w:tcPr>
            <w:tcW w:w="6570" w:type="dxa"/>
          </w:tcPr>
          <w:p w14:paraId="6148DD2F" w14:textId="77777777" w:rsidR="00FD6E29" w:rsidRPr="00FD6E29" w:rsidRDefault="00FD6E29" w:rsidP="0081202F">
            <w:pPr>
              <w:pStyle w:val="TableParagraph"/>
              <w:tabs>
                <w:tab w:val="left" w:pos="6182"/>
              </w:tabs>
              <w:ind w:left="97"/>
              <w:rPr>
                <w:rFonts w:ascii="Arial" w:hAnsi="Arial" w:cs="Arial"/>
                <w:sz w:val="18"/>
              </w:rPr>
            </w:pPr>
            <w:r w:rsidRPr="0081202F">
              <w:rPr>
                <w:rFonts w:ascii="Arial" w:hAnsi="Arial" w:cs="Arial"/>
                <w:sz w:val="18"/>
              </w:rPr>
              <w:t>Inspect for damage. Check for correct thickness.</w:t>
            </w:r>
            <w:r w:rsidRPr="0081202F">
              <w:rPr>
                <w:rFonts w:ascii="Arial" w:hAnsi="Arial" w:cs="Arial"/>
                <w:sz w:val="18"/>
              </w:rPr>
              <w:tab/>
            </w:r>
          </w:p>
        </w:tc>
      </w:tr>
      <w:tr w:rsidR="00FD6E29" w:rsidRPr="00FD6E29" w14:paraId="422285A7" w14:textId="77777777" w:rsidTr="008D7F65">
        <w:trPr>
          <w:trHeight w:val="242"/>
        </w:trPr>
        <w:tc>
          <w:tcPr>
            <w:tcW w:w="2425" w:type="dxa"/>
          </w:tcPr>
          <w:p w14:paraId="7968F018" w14:textId="77777777" w:rsidR="00FD6E29" w:rsidRPr="00FD6E29" w:rsidRDefault="00FD6E29" w:rsidP="0081202F">
            <w:pPr>
              <w:pStyle w:val="TableParagraph"/>
              <w:ind w:left="97"/>
              <w:rPr>
                <w:rFonts w:ascii="Arial" w:hAnsi="Arial" w:cs="Arial"/>
                <w:sz w:val="18"/>
              </w:rPr>
            </w:pPr>
            <w:r w:rsidRPr="0081202F">
              <w:rPr>
                <w:rFonts w:ascii="Arial" w:hAnsi="Arial" w:cs="Arial"/>
                <w:sz w:val="18"/>
              </w:rPr>
              <w:t>Pressure relief</w:t>
            </w:r>
            <w:r w:rsidR="0081202F" w:rsidRPr="0081202F">
              <w:rPr>
                <w:rFonts w:ascii="Arial" w:hAnsi="Arial" w:cs="Arial"/>
                <w:sz w:val="18"/>
              </w:rPr>
              <w:t xml:space="preserve"> </w:t>
            </w:r>
            <w:r w:rsidRPr="0081202F">
              <w:rPr>
                <w:rFonts w:ascii="Arial" w:hAnsi="Arial" w:cs="Arial"/>
                <w:sz w:val="18"/>
              </w:rPr>
              <w:t>valve</w:t>
            </w:r>
            <w:r w:rsidRPr="0081202F">
              <w:rPr>
                <w:rFonts w:ascii="Arial" w:hAnsi="Arial" w:cs="Arial"/>
                <w:sz w:val="18"/>
              </w:rPr>
              <w:tab/>
            </w:r>
          </w:p>
        </w:tc>
        <w:tc>
          <w:tcPr>
            <w:tcW w:w="6570" w:type="dxa"/>
          </w:tcPr>
          <w:p w14:paraId="49CFC0C1" w14:textId="77777777" w:rsidR="00FD6E29" w:rsidRPr="00FD6E29" w:rsidRDefault="00FD6E29" w:rsidP="0081202F">
            <w:pPr>
              <w:pStyle w:val="TableParagraph"/>
              <w:tabs>
                <w:tab w:val="left" w:pos="6182"/>
              </w:tabs>
              <w:ind w:left="97"/>
              <w:rPr>
                <w:rFonts w:ascii="Arial" w:hAnsi="Arial" w:cs="Arial"/>
                <w:sz w:val="18"/>
              </w:rPr>
            </w:pPr>
            <w:r w:rsidRPr="0081202F">
              <w:rPr>
                <w:rFonts w:ascii="Arial" w:hAnsi="Arial" w:cs="Arial"/>
                <w:sz w:val="18"/>
              </w:rPr>
              <w:t>Inspect for contamination, corrosion. Check service life limit.</w:t>
            </w:r>
            <w:r w:rsidRPr="0081202F">
              <w:rPr>
                <w:rFonts w:ascii="Arial" w:hAnsi="Arial" w:cs="Arial"/>
                <w:sz w:val="18"/>
              </w:rPr>
              <w:tab/>
            </w:r>
          </w:p>
        </w:tc>
      </w:tr>
      <w:tr w:rsidR="00FD6E29" w:rsidRPr="00FD6E29" w14:paraId="0065796E" w14:textId="77777777" w:rsidTr="008D7F65">
        <w:trPr>
          <w:trHeight w:val="534"/>
        </w:trPr>
        <w:tc>
          <w:tcPr>
            <w:tcW w:w="2425" w:type="dxa"/>
          </w:tcPr>
          <w:p w14:paraId="416E33D4" w14:textId="77777777" w:rsidR="00FD6E29" w:rsidRPr="00FD6E29" w:rsidRDefault="00FD6E29" w:rsidP="0081202F">
            <w:pPr>
              <w:pStyle w:val="TableParagraph"/>
              <w:rPr>
                <w:rFonts w:ascii="Arial" w:hAnsi="Arial" w:cs="Arial"/>
                <w:sz w:val="18"/>
              </w:rPr>
            </w:pPr>
            <w:r w:rsidRPr="00FD6E29">
              <w:rPr>
                <w:rFonts w:ascii="Arial" w:hAnsi="Arial" w:cs="Arial"/>
                <w:sz w:val="18"/>
              </w:rPr>
              <w:t>Assembly</w:t>
            </w:r>
          </w:p>
        </w:tc>
        <w:tc>
          <w:tcPr>
            <w:tcW w:w="6570" w:type="dxa"/>
          </w:tcPr>
          <w:p w14:paraId="3BC735E4" w14:textId="77777777" w:rsidR="00FD6E29" w:rsidRPr="00FD6E29" w:rsidRDefault="00FD6E29" w:rsidP="0081202F">
            <w:pPr>
              <w:pStyle w:val="TableParagraph"/>
              <w:tabs>
                <w:tab w:val="left" w:pos="6182"/>
              </w:tabs>
              <w:ind w:left="97" w:right="-15"/>
              <w:rPr>
                <w:rFonts w:ascii="Arial" w:hAnsi="Arial" w:cs="Arial"/>
                <w:sz w:val="18"/>
              </w:rPr>
            </w:pPr>
            <w:r w:rsidRPr="0081202F">
              <w:rPr>
                <w:rFonts w:ascii="Arial" w:hAnsi="Arial" w:cs="Arial"/>
                <w:sz w:val="18"/>
              </w:rPr>
              <w:t>Inspect, and test for leaks all pressure-holding joints using leak detector.</w:t>
            </w:r>
            <w:r w:rsidRPr="0081202F">
              <w:rPr>
                <w:rFonts w:ascii="Arial" w:hAnsi="Arial" w:cs="Arial"/>
                <w:sz w:val="18"/>
              </w:rPr>
              <w:tab/>
            </w:r>
          </w:p>
          <w:p w14:paraId="646B388E" w14:textId="77777777" w:rsidR="00FD6E29" w:rsidRPr="00FD6E29" w:rsidRDefault="00FD6E29" w:rsidP="0081202F">
            <w:pPr>
              <w:pStyle w:val="TableParagraph"/>
              <w:tabs>
                <w:tab w:val="left" w:pos="6182"/>
              </w:tabs>
              <w:spacing w:before="44"/>
              <w:ind w:left="97" w:right="-15"/>
              <w:rPr>
                <w:rFonts w:ascii="Arial" w:hAnsi="Arial" w:cs="Arial"/>
                <w:sz w:val="18"/>
              </w:rPr>
            </w:pPr>
            <w:r w:rsidRPr="0081202F">
              <w:rPr>
                <w:rFonts w:ascii="Arial" w:hAnsi="Arial" w:cs="Arial"/>
                <w:sz w:val="18"/>
              </w:rPr>
              <w:t>Perform functional test</w:t>
            </w:r>
            <w:r w:rsidRPr="0081202F">
              <w:rPr>
                <w:rFonts w:ascii="Arial" w:hAnsi="Arial" w:cs="Arial"/>
                <w:sz w:val="18"/>
              </w:rPr>
              <w:tab/>
            </w:r>
          </w:p>
        </w:tc>
      </w:tr>
    </w:tbl>
    <w:p w14:paraId="4FF01C45" w14:textId="77777777" w:rsidR="00FD6E29" w:rsidRDefault="00FD6E29" w:rsidP="00FD6E29">
      <w:pPr>
        <w:ind w:left="706"/>
        <w:jc w:val="both"/>
        <w:rPr>
          <w:rFonts w:ascii="Arial" w:eastAsia="Times New Roman" w:hAnsi="Arial" w:cs="Times New Roman"/>
          <w:sz w:val="20"/>
        </w:rPr>
      </w:pPr>
    </w:p>
    <w:p w14:paraId="49795C75" w14:textId="77777777" w:rsidR="0081202F" w:rsidRDefault="0081202F" w:rsidP="00FD6E29">
      <w:pPr>
        <w:ind w:left="706"/>
        <w:jc w:val="both"/>
        <w:rPr>
          <w:rFonts w:ascii="Arial" w:eastAsia="Times New Roman" w:hAnsi="Arial" w:cs="Times New Roman"/>
          <w:sz w:val="20"/>
        </w:rPr>
      </w:pPr>
    </w:p>
    <w:p w14:paraId="4FDCD11D" w14:textId="77777777" w:rsidR="0081202F" w:rsidRDefault="0081202F" w:rsidP="0081202F">
      <w:pPr>
        <w:numPr>
          <w:ilvl w:val="0"/>
          <w:numId w:val="295"/>
        </w:numPr>
        <w:jc w:val="both"/>
        <w:rPr>
          <w:rFonts w:ascii="Arial" w:eastAsia="Times New Roman" w:hAnsi="Arial" w:cs="Times New Roman"/>
          <w:sz w:val="20"/>
        </w:rPr>
      </w:pPr>
      <w:r w:rsidRPr="0081202F">
        <w:rPr>
          <w:rFonts w:ascii="Arial" w:eastAsia="Times New Roman" w:hAnsi="Arial" w:cs="Times New Roman"/>
          <w:sz w:val="20"/>
        </w:rPr>
        <w:t>Additional equipment</w:t>
      </w:r>
    </w:p>
    <w:p w14:paraId="654F32DB" w14:textId="77777777" w:rsidR="0081202F" w:rsidRDefault="0081202F" w:rsidP="0081202F">
      <w:pPr>
        <w:ind w:left="706"/>
        <w:jc w:val="both"/>
        <w:rPr>
          <w:rFonts w:ascii="Arial" w:eastAsia="Times New Roman" w:hAnsi="Arial" w:cs="Times New Roman"/>
          <w:sz w:val="20"/>
        </w:rPr>
      </w:pPr>
    </w:p>
    <w:tbl>
      <w:tblPr>
        <w:tblStyle w:val="TableGrid31"/>
        <w:tblW w:w="0" w:type="auto"/>
        <w:tblLayout w:type="fixed"/>
        <w:tblLook w:val="01E0" w:firstRow="1" w:lastRow="1" w:firstColumn="1" w:lastColumn="1" w:noHBand="0" w:noVBand="0"/>
      </w:tblPr>
      <w:tblGrid>
        <w:gridCol w:w="2425"/>
        <w:gridCol w:w="6570"/>
      </w:tblGrid>
      <w:tr w:rsidR="0081202F" w:rsidRPr="0081202F" w14:paraId="56DD4D31" w14:textId="77777777" w:rsidTr="008D7F65">
        <w:trPr>
          <w:trHeight w:val="243"/>
        </w:trPr>
        <w:tc>
          <w:tcPr>
            <w:tcW w:w="2425" w:type="dxa"/>
            <w:shd w:val="clear" w:color="auto" w:fill="F2F2F2" w:themeFill="background1" w:themeFillShade="F2"/>
          </w:tcPr>
          <w:p w14:paraId="2A5ED5EC" w14:textId="77777777" w:rsidR="0081202F" w:rsidRPr="0081202F" w:rsidRDefault="0081202F" w:rsidP="000B112D">
            <w:pPr>
              <w:pStyle w:val="TableParagraph"/>
              <w:spacing w:line="224" w:lineRule="exact"/>
              <w:ind w:left="86"/>
              <w:rPr>
                <w:rFonts w:ascii="Arial" w:hAnsi="Arial" w:cs="Arial"/>
                <w:b/>
                <w:sz w:val="18"/>
              </w:rPr>
            </w:pPr>
            <w:r w:rsidRPr="0081202F">
              <w:rPr>
                <w:rFonts w:ascii="Arial" w:hAnsi="Arial" w:cs="Arial"/>
                <w:b/>
                <w:sz w:val="18"/>
              </w:rPr>
              <w:t>System/component/area</w:t>
            </w:r>
          </w:p>
        </w:tc>
        <w:tc>
          <w:tcPr>
            <w:tcW w:w="6570" w:type="dxa"/>
            <w:shd w:val="clear" w:color="auto" w:fill="F2F2F2" w:themeFill="background1" w:themeFillShade="F2"/>
          </w:tcPr>
          <w:p w14:paraId="13419AD3" w14:textId="77777777" w:rsidR="0081202F" w:rsidRPr="0081202F" w:rsidRDefault="0081202F" w:rsidP="000B112D">
            <w:pPr>
              <w:pStyle w:val="TableParagraph"/>
              <w:spacing w:line="224" w:lineRule="exact"/>
              <w:ind w:left="97"/>
              <w:rPr>
                <w:rFonts w:ascii="Arial" w:hAnsi="Arial" w:cs="Arial"/>
                <w:b/>
                <w:sz w:val="18"/>
              </w:rPr>
            </w:pPr>
            <w:r w:rsidRPr="0081202F">
              <w:rPr>
                <w:rFonts w:ascii="Arial" w:hAnsi="Arial" w:cs="Arial"/>
                <w:b/>
                <w:sz w:val="18"/>
              </w:rPr>
              <w:t>Task</w:t>
            </w:r>
            <w:r w:rsidRPr="0081202F">
              <w:rPr>
                <w:rFonts w:ascii="Arial" w:hAnsi="Arial" w:cs="Arial"/>
                <w:b/>
                <w:spacing w:val="-3"/>
                <w:sz w:val="18"/>
              </w:rPr>
              <w:t xml:space="preserve"> </w:t>
            </w:r>
            <w:r w:rsidRPr="0081202F">
              <w:rPr>
                <w:rFonts w:ascii="Arial" w:hAnsi="Arial" w:cs="Arial"/>
                <w:b/>
                <w:sz w:val="18"/>
              </w:rPr>
              <w:t>and</w:t>
            </w:r>
            <w:r w:rsidRPr="0081202F">
              <w:rPr>
                <w:rFonts w:ascii="Arial" w:hAnsi="Arial" w:cs="Arial"/>
                <w:b/>
                <w:spacing w:val="-3"/>
                <w:sz w:val="18"/>
              </w:rPr>
              <w:t xml:space="preserve"> </w:t>
            </w:r>
            <w:r w:rsidRPr="0081202F">
              <w:rPr>
                <w:rFonts w:ascii="Arial" w:hAnsi="Arial" w:cs="Arial"/>
                <w:b/>
                <w:sz w:val="18"/>
              </w:rPr>
              <w:t>inspection</w:t>
            </w:r>
            <w:r w:rsidRPr="0081202F">
              <w:rPr>
                <w:rFonts w:ascii="Arial" w:hAnsi="Arial" w:cs="Arial"/>
                <w:b/>
                <w:spacing w:val="-1"/>
                <w:sz w:val="18"/>
              </w:rPr>
              <w:t xml:space="preserve"> </w:t>
            </w:r>
            <w:r w:rsidRPr="0081202F">
              <w:rPr>
                <w:rFonts w:ascii="Arial" w:hAnsi="Arial" w:cs="Arial"/>
                <w:b/>
                <w:sz w:val="18"/>
              </w:rPr>
              <w:t>detail</w:t>
            </w:r>
          </w:p>
        </w:tc>
      </w:tr>
      <w:tr w:rsidR="0081202F" w:rsidRPr="0081202F" w14:paraId="27FE40C9" w14:textId="77777777" w:rsidTr="008D7F65">
        <w:trPr>
          <w:trHeight w:val="245"/>
        </w:trPr>
        <w:tc>
          <w:tcPr>
            <w:tcW w:w="2425" w:type="dxa"/>
          </w:tcPr>
          <w:p w14:paraId="02E74804" w14:textId="77777777" w:rsidR="0081202F" w:rsidRPr="0081202F" w:rsidRDefault="0081202F" w:rsidP="000B112D">
            <w:pPr>
              <w:pStyle w:val="TableParagraph"/>
              <w:tabs>
                <w:tab w:val="left" w:pos="2282"/>
              </w:tabs>
              <w:spacing w:line="225" w:lineRule="exact"/>
              <w:ind w:left="0" w:right="-15"/>
              <w:rPr>
                <w:rFonts w:ascii="Arial" w:hAnsi="Arial" w:cs="Arial"/>
                <w:sz w:val="18"/>
              </w:rPr>
            </w:pPr>
            <w:r w:rsidRPr="008D7F65">
              <w:rPr>
                <w:rFonts w:ascii="Arial" w:hAnsi="Arial" w:cs="Arial"/>
                <w:w w:val="99"/>
                <w:sz w:val="18"/>
              </w:rPr>
              <w:t xml:space="preserve"> </w:t>
            </w:r>
            <w:r w:rsidRPr="008D7F65">
              <w:rPr>
                <w:rFonts w:ascii="Arial" w:hAnsi="Arial" w:cs="Arial"/>
                <w:spacing w:val="-4"/>
                <w:sz w:val="18"/>
              </w:rPr>
              <w:t xml:space="preserve"> </w:t>
            </w:r>
            <w:r w:rsidRPr="0081202F">
              <w:rPr>
                <w:rFonts w:ascii="Arial" w:hAnsi="Arial" w:cs="Arial"/>
                <w:sz w:val="18"/>
              </w:rPr>
              <w:t>Instruments</w:t>
            </w:r>
            <w:r w:rsidRPr="0081202F">
              <w:rPr>
                <w:rFonts w:ascii="Arial" w:hAnsi="Arial" w:cs="Arial"/>
                <w:sz w:val="18"/>
              </w:rPr>
              <w:tab/>
            </w:r>
          </w:p>
        </w:tc>
        <w:tc>
          <w:tcPr>
            <w:tcW w:w="6570" w:type="dxa"/>
          </w:tcPr>
          <w:p w14:paraId="7DC2748D" w14:textId="77777777" w:rsidR="0081202F" w:rsidRPr="0081202F" w:rsidRDefault="0081202F" w:rsidP="000B112D">
            <w:pPr>
              <w:pStyle w:val="TableParagraph"/>
              <w:tabs>
                <w:tab w:val="left" w:pos="6182"/>
              </w:tabs>
              <w:spacing w:line="225" w:lineRule="exact"/>
              <w:ind w:left="10" w:right="-15"/>
              <w:rPr>
                <w:rFonts w:ascii="Arial" w:hAnsi="Arial" w:cs="Arial"/>
                <w:sz w:val="18"/>
              </w:rPr>
            </w:pPr>
            <w:r w:rsidRPr="0081202F">
              <w:rPr>
                <w:rFonts w:ascii="Arial" w:hAnsi="Arial" w:cs="Arial"/>
                <w:sz w:val="18"/>
              </w:rPr>
              <w:t xml:space="preserve">  Perform functional check.</w:t>
            </w:r>
            <w:r w:rsidRPr="0081202F">
              <w:rPr>
                <w:rFonts w:ascii="Arial" w:hAnsi="Arial" w:cs="Arial"/>
                <w:sz w:val="18"/>
              </w:rPr>
              <w:tab/>
            </w:r>
          </w:p>
        </w:tc>
      </w:tr>
      <w:tr w:rsidR="0081202F" w:rsidRPr="0081202F" w14:paraId="0A89DD10" w14:textId="77777777" w:rsidTr="008D7F65">
        <w:trPr>
          <w:trHeight w:val="732"/>
        </w:trPr>
        <w:tc>
          <w:tcPr>
            <w:tcW w:w="2425" w:type="dxa"/>
          </w:tcPr>
          <w:p w14:paraId="6008174A" w14:textId="77777777" w:rsidR="0081202F" w:rsidRPr="0081202F" w:rsidRDefault="0081202F" w:rsidP="000B112D">
            <w:pPr>
              <w:pStyle w:val="TableParagraph"/>
              <w:spacing w:line="242" w:lineRule="exact"/>
              <w:ind w:left="86"/>
              <w:rPr>
                <w:rFonts w:ascii="Arial" w:hAnsi="Arial" w:cs="Arial"/>
                <w:sz w:val="18"/>
              </w:rPr>
            </w:pPr>
            <w:r w:rsidRPr="0081202F">
              <w:rPr>
                <w:rFonts w:ascii="Arial" w:hAnsi="Arial" w:cs="Arial"/>
                <w:sz w:val="18"/>
              </w:rPr>
              <w:t>Quick</w:t>
            </w:r>
            <w:r w:rsidRPr="0081202F">
              <w:rPr>
                <w:rFonts w:ascii="Arial" w:hAnsi="Arial" w:cs="Arial"/>
                <w:spacing w:val="-3"/>
                <w:sz w:val="18"/>
              </w:rPr>
              <w:t xml:space="preserve"> </w:t>
            </w:r>
            <w:r w:rsidRPr="0081202F">
              <w:rPr>
                <w:rFonts w:ascii="Arial" w:hAnsi="Arial" w:cs="Arial"/>
                <w:sz w:val="18"/>
              </w:rPr>
              <w:t>release</w:t>
            </w:r>
          </w:p>
        </w:tc>
        <w:tc>
          <w:tcPr>
            <w:tcW w:w="6570" w:type="dxa"/>
          </w:tcPr>
          <w:p w14:paraId="0B2E4E98" w14:textId="502D7260" w:rsidR="0081202F" w:rsidRPr="0081202F" w:rsidRDefault="0081202F" w:rsidP="008D7F65">
            <w:pPr>
              <w:pStyle w:val="TableParagraph"/>
              <w:ind w:left="97" w:right="123"/>
              <w:rPr>
                <w:rFonts w:ascii="Arial" w:hAnsi="Arial" w:cs="Arial"/>
                <w:sz w:val="18"/>
              </w:rPr>
            </w:pPr>
            <w:r w:rsidRPr="0081202F">
              <w:rPr>
                <w:rFonts w:ascii="Arial" w:hAnsi="Arial" w:cs="Arial"/>
                <w:sz w:val="18"/>
              </w:rPr>
              <w:t>Perform</w:t>
            </w:r>
            <w:r w:rsidRPr="0081202F">
              <w:rPr>
                <w:rFonts w:ascii="Arial" w:hAnsi="Arial" w:cs="Arial"/>
                <w:spacing w:val="-3"/>
                <w:sz w:val="18"/>
              </w:rPr>
              <w:t xml:space="preserve"> </w:t>
            </w:r>
            <w:r w:rsidRPr="0081202F">
              <w:rPr>
                <w:rFonts w:ascii="Arial" w:hAnsi="Arial" w:cs="Arial"/>
                <w:sz w:val="18"/>
              </w:rPr>
              <w:t>functional</w:t>
            </w:r>
            <w:r w:rsidRPr="0081202F">
              <w:rPr>
                <w:rFonts w:ascii="Arial" w:hAnsi="Arial" w:cs="Arial"/>
                <w:spacing w:val="-2"/>
                <w:sz w:val="18"/>
              </w:rPr>
              <w:t xml:space="preserve"> </w:t>
            </w:r>
            <w:r w:rsidRPr="0081202F">
              <w:rPr>
                <w:rFonts w:ascii="Arial" w:hAnsi="Arial" w:cs="Arial"/>
                <w:sz w:val="18"/>
              </w:rPr>
              <w:t>check</w:t>
            </w:r>
            <w:r w:rsidRPr="0081202F">
              <w:rPr>
                <w:rFonts w:ascii="Arial" w:hAnsi="Arial" w:cs="Arial"/>
                <w:spacing w:val="-2"/>
                <w:sz w:val="18"/>
              </w:rPr>
              <w:t xml:space="preserve"> </w:t>
            </w:r>
            <w:r w:rsidRPr="0081202F">
              <w:rPr>
                <w:rFonts w:ascii="Arial" w:hAnsi="Arial" w:cs="Arial"/>
                <w:sz w:val="18"/>
              </w:rPr>
              <w:t>and</w:t>
            </w:r>
            <w:r w:rsidRPr="0081202F">
              <w:rPr>
                <w:rFonts w:ascii="Arial" w:hAnsi="Arial" w:cs="Arial"/>
                <w:spacing w:val="-1"/>
                <w:sz w:val="18"/>
              </w:rPr>
              <w:t xml:space="preserve"> </w:t>
            </w:r>
            <w:r w:rsidRPr="0081202F">
              <w:rPr>
                <w:rFonts w:ascii="Arial" w:hAnsi="Arial" w:cs="Arial"/>
                <w:sz w:val="18"/>
              </w:rPr>
              <w:t>inspect</w:t>
            </w:r>
            <w:r w:rsidRPr="0081202F">
              <w:rPr>
                <w:rFonts w:ascii="Arial" w:hAnsi="Arial" w:cs="Arial"/>
                <w:spacing w:val="-2"/>
                <w:sz w:val="18"/>
              </w:rPr>
              <w:t xml:space="preserve"> </w:t>
            </w:r>
            <w:r w:rsidRPr="0081202F">
              <w:rPr>
                <w:rFonts w:ascii="Arial" w:hAnsi="Arial" w:cs="Arial"/>
                <w:sz w:val="18"/>
              </w:rPr>
              <w:t>the</w:t>
            </w:r>
            <w:r w:rsidRPr="0081202F">
              <w:rPr>
                <w:rFonts w:ascii="Arial" w:hAnsi="Arial" w:cs="Arial"/>
                <w:spacing w:val="-3"/>
                <w:sz w:val="18"/>
              </w:rPr>
              <w:t xml:space="preserve"> </w:t>
            </w:r>
            <w:r w:rsidRPr="0081202F">
              <w:rPr>
                <w:rFonts w:ascii="Arial" w:hAnsi="Arial" w:cs="Arial"/>
                <w:sz w:val="18"/>
              </w:rPr>
              <w:t>condition</w:t>
            </w:r>
            <w:r w:rsidRPr="0081202F">
              <w:rPr>
                <w:rFonts w:ascii="Arial" w:hAnsi="Arial" w:cs="Arial"/>
                <w:spacing w:val="-2"/>
                <w:sz w:val="18"/>
              </w:rPr>
              <w:t xml:space="preserve"> </w:t>
            </w:r>
            <w:r w:rsidRPr="0081202F">
              <w:rPr>
                <w:rFonts w:ascii="Arial" w:hAnsi="Arial" w:cs="Arial"/>
                <w:sz w:val="18"/>
              </w:rPr>
              <w:t>of</w:t>
            </w:r>
            <w:r w:rsidRPr="0081202F">
              <w:rPr>
                <w:rFonts w:ascii="Arial" w:hAnsi="Arial" w:cs="Arial"/>
                <w:spacing w:val="-3"/>
                <w:sz w:val="18"/>
              </w:rPr>
              <w:t xml:space="preserve"> </w:t>
            </w:r>
            <w:r w:rsidRPr="0081202F">
              <w:rPr>
                <w:rFonts w:ascii="Arial" w:hAnsi="Arial" w:cs="Arial"/>
                <w:sz w:val="18"/>
              </w:rPr>
              <w:t>the</w:t>
            </w:r>
            <w:r w:rsidRPr="0081202F">
              <w:rPr>
                <w:rFonts w:ascii="Arial" w:hAnsi="Arial" w:cs="Arial"/>
                <w:spacing w:val="-3"/>
                <w:sz w:val="18"/>
              </w:rPr>
              <w:t xml:space="preserve"> </w:t>
            </w:r>
            <w:r w:rsidRPr="0081202F">
              <w:rPr>
                <w:rFonts w:ascii="Arial" w:hAnsi="Arial" w:cs="Arial"/>
                <w:sz w:val="18"/>
              </w:rPr>
              <w:t>latch,</w:t>
            </w:r>
            <w:r w:rsidRPr="0081202F">
              <w:rPr>
                <w:rFonts w:ascii="Arial" w:hAnsi="Arial" w:cs="Arial"/>
                <w:spacing w:val="-2"/>
                <w:sz w:val="18"/>
              </w:rPr>
              <w:t xml:space="preserve"> </w:t>
            </w:r>
            <w:r w:rsidRPr="0081202F">
              <w:rPr>
                <w:rFonts w:ascii="Arial" w:hAnsi="Arial" w:cs="Arial"/>
                <w:sz w:val="18"/>
              </w:rPr>
              <w:t>bridle</w:t>
            </w:r>
            <w:r w:rsidRPr="0081202F">
              <w:rPr>
                <w:rFonts w:ascii="Arial" w:hAnsi="Arial" w:cs="Arial"/>
                <w:spacing w:val="-42"/>
                <w:sz w:val="18"/>
              </w:rPr>
              <w:t xml:space="preserve"> </w:t>
            </w:r>
            <w:r w:rsidRPr="0081202F">
              <w:rPr>
                <w:rFonts w:ascii="Arial" w:hAnsi="Arial" w:cs="Arial"/>
                <w:sz w:val="18"/>
              </w:rPr>
              <w:t>and</w:t>
            </w:r>
            <w:r w:rsidRPr="0081202F">
              <w:rPr>
                <w:rFonts w:ascii="Arial" w:hAnsi="Arial" w:cs="Arial"/>
                <w:spacing w:val="-2"/>
                <w:sz w:val="18"/>
              </w:rPr>
              <w:t xml:space="preserve"> </w:t>
            </w:r>
            <w:r w:rsidRPr="0081202F">
              <w:rPr>
                <w:rFonts w:ascii="Arial" w:hAnsi="Arial" w:cs="Arial"/>
                <w:sz w:val="18"/>
              </w:rPr>
              <w:t>ropes</w:t>
            </w:r>
            <w:r w:rsidRPr="0081202F">
              <w:rPr>
                <w:rFonts w:ascii="Arial" w:hAnsi="Arial" w:cs="Arial"/>
                <w:spacing w:val="-3"/>
                <w:sz w:val="18"/>
              </w:rPr>
              <w:t xml:space="preserve"> </w:t>
            </w:r>
            <w:r w:rsidRPr="0081202F">
              <w:rPr>
                <w:rFonts w:ascii="Arial" w:hAnsi="Arial" w:cs="Arial"/>
                <w:sz w:val="18"/>
              </w:rPr>
              <w:t>for</w:t>
            </w:r>
            <w:r w:rsidRPr="0081202F">
              <w:rPr>
                <w:rFonts w:ascii="Arial" w:hAnsi="Arial" w:cs="Arial"/>
                <w:spacing w:val="-2"/>
                <w:sz w:val="18"/>
              </w:rPr>
              <w:t xml:space="preserve"> </w:t>
            </w:r>
            <w:r w:rsidRPr="0081202F">
              <w:rPr>
                <w:rFonts w:ascii="Arial" w:hAnsi="Arial" w:cs="Arial"/>
                <w:sz w:val="18"/>
              </w:rPr>
              <w:t>wear</w:t>
            </w:r>
            <w:r w:rsidRPr="0081202F">
              <w:rPr>
                <w:rFonts w:ascii="Arial" w:hAnsi="Arial" w:cs="Arial"/>
                <w:spacing w:val="-1"/>
                <w:sz w:val="18"/>
              </w:rPr>
              <w:t xml:space="preserve"> </w:t>
            </w:r>
            <w:r w:rsidRPr="0081202F">
              <w:rPr>
                <w:rFonts w:ascii="Arial" w:hAnsi="Arial" w:cs="Arial"/>
                <w:sz w:val="18"/>
              </w:rPr>
              <w:t>and</w:t>
            </w:r>
            <w:r w:rsidRPr="0081202F">
              <w:rPr>
                <w:rFonts w:ascii="Arial" w:hAnsi="Arial" w:cs="Arial"/>
                <w:spacing w:val="-2"/>
                <w:sz w:val="18"/>
              </w:rPr>
              <w:t xml:space="preserve"> </w:t>
            </w:r>
            <w:r w:rsidRPr="0081202F">
              <w:rPr>
                <w:rFonts w:ascii="Arial" w:hAnsi="Arial" w:cs="Arial"/>
                <w:sz w:val="18"/>
              </w:rPr>
              <w:t>deterioration.</w:t>
            </w:r>
            <w:r w:rsidRPr="0081202F">
              <w:rPr>
                <w:rFonts w:ascii="Arial" w:hAnsi="Arial" w:cs="Arial"/>
                <w:spacing w:val="-1"/>
                <w:sz w:val="18"/>
              </w:rPr>
              <w:t xml:space="preserve"> </w:t>
            </w:r>
            <w:r w:rsidRPr="0081202F">
              <w:rPr>
                <w:rFonts w:ascii="Arial" w:hAnsi="Arial" w:cs="Arial"/>
                <w:sz w:val="18"/>
              </w:rPr>
              <w:t>Check</w:t>
            </w:r>
            <w:r w:rsidRPr="0081202F">
              <w:rPr>
                <w:rFonts w:ascii="Arial" w:hAnsi="Arial" w:cs="Arial"/>
                <w:spacing w:val="-2"/>
                <w:sz w:val="18"/>
              </w:rPr>
              <w:t xml:space="preserve"> </w:t>
            </w:r>
            <w:r w:rsidRPr="0081202F">
              <w:rPr>
                <w:rFonts w:ascii="Arial" w:hAnsi="Arial" w:cs="Arial"/>
                <w:sz w:val="18"/>
              </w:rPr>
              <w:t>that</w:t>
            </w:r>
            <w:r w:rsidRPr="0081202F">
              <w:rPr>
                <w:rFonts w:ascii="Arial" w:hAnsi="Arial" w:cs="Arial"/>
                <w:spacing w:val="-1"/>
                <w:sz w:val="18"/>
              </w:rPr>
              <w:t xml:space="preserve"> </w:t>
            </w:r>
            <w:r w:rsidRPr="0081202F">
              <w:rPr>
                <w:rFonts w:ascii="Arial" w:hAnsi="Arial" w:cs="Arial"/>
                <w:sz w:val="18"/>
              </w:rPr>
              <w:t>the</w:t>
            </w:r>
            <w:r w:rsidRPr="0081202F">
              <w:rPr>
                <w:rFonts w:ascii="Arial" w:hAnsi="Arial" w:cs="Arial"/>
                <w:spacing w:val="-3"/>
                <w:sz w:val="18"/>
              </w:rPr>
              <w:t xml:space="preserve"> </w:t>
            </w:r>
            <w:r w:rsidRPr="0081202F">
              <w:rPr>
                <w:rFonts w:ascii="Arial" w:hAnsi="Arial" w:cs="Arial"/>
                <w:sz w:val="18"/>
              </w:rPr>
              <w:t>karabiners</w:t>
            </w:r>
            <w:r w:rsidRPr="0081202F">
              <w:rPr>
                <w:rFonts w:ascii="Arial" w:hAnsi="Arial" w:cs="Arial"/>
                <w:spacing w:val="-3"/>
                <w:sz w:val="18"/>
              </w:rPr>
              <w:t xml:space="preserve"> </w:t>
            </w:r>
            <w:r w:rsidRPr="0081202F">
              <w:rPr>
                <w:rFonts w:ascii="Arial" w:hAnsi="Arial" w:cs="Arial"/>
                <w:sz w:val="18"/>
              </w:rPr>
              <w:t>are</w:t>
            </w:r>
            <w:r w:rsidR="008D7F65">
              <w:rPr>
                <w:rFonts w:ascii="Arial" w:hAnsi="Arial" w:cs="Arial"/>
                <w:sz w:val="18"/>
              </w:rPr>
              <w:t xml:space="preserve"> </w:t>
            </w:r>
            <w:r w:rsidRPr="0081202F">
              <w:rPr>
                <w:rFonts w:ascii="Arial" w:hAnsi="Arial" w:cs="Arial"/>
                <w:sz w:val="18"/>
              </w:rPr>
              <w:t>undamaged</w:t>
            </w:r>
            <w:r w:rsidRPr="0081202F">
              <w:rPr>
                <w:rFonts w:ascii="Arial" w:hAnsi="Arial" w:cs="Arial"/>
                <w:spacing w:val="-3"/>
                <w:sz w:val="18"/>
              </w:rPr>
              <w:t xml:space="preserve"> </w:t>
            </w:r>
            <w:r w:rsidRPr="0081202F">
              <w:rPr>
                <w:rFonts w:ascii="Arial" w:hAnsi="Arial" w:cs="Arial"/>
                <w:sz w:val="18"/>
              </w:rPr>
              <w:t>and</w:t>
            </w:r>
            <w:r w:rsidRPr="0081202F">
              <w:rPr>
                <w:rFonts w:ascii="Arial" w:hAnsi="Arial" w:cs="Arial"/>
                <w:spacing w:val="-3"/>
                <w:sz w:val="18"/>
              </w:rPr>
              <w:t xml:space="preserve"> </w:t>
            </w:r>
            <w:r w:rsidRPr="0081202F">
              <w:rPr>
                <w:rFonts w:ascii="Arial" w:hAnsi="Arial" w:cs="Arial"/>
                <w:sz w:val="18"/>
              </w:rPr>
              <w:t>operate</w:t>
            </w:r>
            <w:r w:rsidRPr="0081202F">
              <w:rPr>
                <w:rFonts w:ascii="Arial" w:hAnsi="Arial" w:cs="Arial"/>
                <w:spacing w:val="-4"/>
                <w:sz w:val="18"/>
              </w:rPr>
              <w:t xml:space="preserve"> </w:t>
            </w:r>
            <w:r w:rsidRPr="0081202F">
              <w:rPr>
                <w:rFonts w:ascii="Arial" w:hAnsi="Arial" w:cs="Arial"/>
                <w:sz w:val="18"/>
              </w:rPr>
              <w:t>correctly.</w:t>
            </w:r>
          </w:p>
        </w:tc>
      </w:tr>
      <w:tr w:rsidR="0081202F" w:rsidRPr="0081202F" w14:paraId="30CF1089" w14:textId="77777777" w:rsidTr="008D7F65">
        <w:trPr>
          <w:trHeight w:val="487"/>
        </w:trPr>
        <w:tc>
          <w:tcPr>
            <w:tcW w:w="2425" w:type="dxa"/>
          </w:tcPr>
          <w:p w14:paraId="65F258FF" w14:textId="77777777" w:rsidR="0081202F" w:rsidRPr="0081202F" w:rsidRDefault="0081202F" w:rsidP="00590921">
            <w:pPr>
              <w:pStyle w:val="TableParagraph"/>
              <w:spacing w:line="242" w:lineRule="exact"/>
              <w:rPr>
                <w:rFonts w:ascii="Arial" w:hAnsi="Arial" w:cs="Arial"/>
                <w:sz w:val="18"/>
              </w:rPr>
            </w:pPr>
            <w:r w:rsidRPr="0081202F">
              <w:rPr>
                <w:rFonts w:ascii="Arial" w:hAnsi="Arial" w:cs="Arial"/>
                <w:sz w:val="18"/>
              </w:rPr>
              <w:t>Communication/navigation</w:t>
            </w:r>
            <w:r w:rsidRPr="0081202F">
              <w:rPr>
                <w:rFonts w:ascii="Arial" w:hAnsi="Arial" w:cs="Arial"/>
                <w:spacing w:val="-4"/>
                <w:sz w:val="18"/>
              </w:rPr>
              <w:t xml:space="preserve"> </w:t>
            </w:r>
            <w:r w:rsidRPr="0081202F">
              <w:rPr>
                <w:rFonts w:ascii="Arial" w:hAnsi="Arial" w:cs="Arial"/>
                <w:sz w:val="18"/>
              </w:rPr>
              <w:t>equipment</w:t>
            </w:r>
            <w:r w:rsidRPr="0081202F">
              <w:rPr>
                <w:rFonts w:ascii="Arial" w:hAnsi="Arial" w:cs="Arial"/>
                <w:spacing w:val="-3"/>
                <w:sz w:val="18"/>
              </w:rPr>
              <w:t xml:space="preserve"> </w:t>
            </w:r>
            <w:r w:rsidRPr="0081202F">
              <w:rPr>
                <w:rFonts w:ascii="Arial" w:hAnsi="Arial" w:cs="Arial"/>
                <w:sz w:val="18"/>
              </w:rPr>
              <w:t>(radio)</w:t>
            </w:r>
          </w:p>
        </w:tc>
        <w:tc>
          <w:tcPr>
            <w:tcW w:w="6570" w:type="dxa"/>
          </w:tcPr>
          <w:p w14:paraId="1D4D1298" w14:textId="77777777" w:rsidR="0081202F" w:rsidRPr="0081202F" w:rsidRDefault="0081202F" w:rsidP="000B112D">
            <w:pPr>
              <w:pStyle w:val="TableParagraph"/>
              <w:spacing w:line="242" w:lineRule="exact"/>
              <w:ind w:left="97"/>
              <w:rPr>
                <w:rFonts w:ascii="Arial" w:hAnsi="Arial" w:cs="Arial"/>
                <w:sz w:val="18"/>
              </w:rPr>
            </w:pPr>
            <w:r w:rsidRPr="0081202F">
              <w:rPr>
                <w:rFonts w:ascii="Arial" w:hAnsi="Arial" w:cs="Arial"/>
                <w:sz w:val="18"/>
              </w:rPr>
              <w:t>Perform</w:t>
            </w:r>
            <w:r w:rsidRPr="0081202F">
              <w:rPr>
                <w:rFonts w:ascii="Arial" w:hAnsi="Arial" w:cs="Arial"/>
                <w:spacing w:val="-4"/>
                <w:sz w:val="18"/>
              </w:rPr>
              <w:t xml:space="preserve"> </w:t>
            </w:r>
            <w:r w:rsidRPr="0081202F">
              <w:rPr>
                <w:rFonts w:ascii="Arial" w:hAnsi="Arial" w:cs="Arial"/>
                <w:sz w:val="18"/>
              </w:rPr>
              <w:t>operational</w:t>
            </w:r>
            <w:r w:rsidRPr="0081202F">
              <w:rPr>
                <w:rFonts w:ascii="Arial" w:hAnsi="Arial" w:cs="Arial"/>
                <w:spacing w:val="-4"/>
                <w:sz w:val="18"/>
              </w:rPr>
              <w:t xml:space="preserve"> </w:t>
            </w:r>
            <w:r w:rsidRPr="0081202F">
              <w:rPr>
                <w:rFonts w:ascii="Arial" w:hAnsi="Arial" w:cs="Arial"/>
                <w:sz w:val="18"/>
              </w:rPr>
              <w:t>check.</w:t>
            </w:r>
          </w:p>
        </w:tc>
      </w:tr>
      <w:tr w:rsidR="0081202F" w:rsidRPr="0081202F" w14:paraId="45B2E31D" w14:textId="77777777" w:rsidTr="008D7F65">
        <w:trPr>
          <w:trHeight w:val="243"/>
        </w:trPr>
        <w:tc>
          <w:tcPr>
            <w:tcW w:w="2425" w:type="dxa"/>
          </w:tcPr>
          <w:p w14:paraId="12BA1DE8" w14:textId="77777777" w:rsidR="0081202F" w:rsidRPr="0081202F" w:rsidRDefault="0081202F" w:rsidP="000B112D">
            <w:pPr>
              <w:pStyle w:val="TableParagraph"/>
              <w:tabs>
                <w:tab w:val="left" w:pos="2282"/>
              </w:tabs>
              <w:spacing w:line="224" w:lineRule="exact"/>
              <w:ind w:left="0" w:right="-15"/>
              <w:rPr>
                <w:rFonts w:ascii="Arial" w:hAnsi="Arial" w:cs="Arial"/>
                <w:sz w:val="18"/>
              </w:rPr>
            </w:pPr>
            <w:r w:rsidRPr="0081202F">
              <w:rPr>
                <w:rFonts w:ascii="Arial" w:hAnsi="Arial" w:cs="Arial"/>
                <w:sz w:val="18"/>
              </w:rPr>
              <w:t xml:space="preserve">  Transponder</w:t>
            </w:r>
            <w:r w:rsidRPr="0081202F">
              <w:rPr>
                <w:rFonts w:ascii="Arial" w:hAnsi="Arial" w:cs="Arial"/>
                <w:sz w:val="18"/>
              </w:rPr>
              <w:tab/>
            </w:r>
          </w:p>
        </w:tc>
        <w:tc>
          <w:tcPr>
            <w:tcW w:w="6570" w:type="dxa"/>
          </w:tcPr>
          <w:p w14:paraId="091A015C" w14:textId="77777777" w:rsidR="0081202F" w:rsidRPr="0081202F" w:rsidRDefault="0081202F" w:rsidP="000B112D">
            <w:pPr>
              <w:pStyle w:val="TableParagraph"/>
              <w:tabs>
                <w:tab w:val="left" w:pos="6182"/>
              </w:tabs>
              <w:spacing w:line="224" w:lineRule="exact"/>
              <w:ind w:left="10" w:right="-15"/>
              <w:rPr>
                <w:rFonts w:ascii="Arial" w:hAnsi="Arial" w:cs="Arial"/>
                <w:sz w:val="18"/>
              </w:rPr>
            </w:pPr>
            <w:r w:rsidRPr="0081202F">
              <w:rPr>
                <w:rFonts w:ascii="Arial" w:hAnsi="Arial" w:cs="Arial"/>
                <w:sz w:val="18"/>
              </w:rPr>
              <w:t xml:space="preserve">  Perform operational check.</w:t>
            </w:r>
            <w:r w:rsidRPr="0081202F">
              <w:rPr>
                <w:rFonts w:ascii="Arial" w:hAnsi="Arial" w:cs="Arial"/>
                <w:sz w:val="18"/>
              </w:rPr>
              <w:tab/>
            </w:r>
          </w:p>
        </w:tc>
      </w:tr>
    </w:tbl>
    <w:p w14:paraId="7ABFAE51" w14:textId="77777777" w:rsidR="000B112D" w:rsidRDefault="000B112D" w:rsidP="000B112D">
      <w:pPr>
        <w:jc w:val="both"/>
        <w:rPr>
          <w:rFonts w:ascii="Arial" w:eastAsia="Times New Roman" w:hAnsi="Arial" w:cs="Times New Roman"/>
          <w:sz w:val="20"/>
        </w:rPr>
      </w:pPr>
    </w:p>
    <w:p w14:paraId="268F5103" w14:textId="77777777" w:rsidR="000B112D" w:rsidRPr="000B112D" w:rsidRDefault="000B112D" w:rsidP="000B112D">
      <w:pPr>
        <w:keepNext/>
        <w:keepLines/>
        <w:widowControl/>
        <w:shd w:val="clear" w:color="auto" w:fill="339966"/>
        <w:autoSpaceDE/>
        <w:autoSpaceDN/>
        <w:spacing w:before="160" w:after="120" w:line="259" w:lineRule="auto"/>
        <w:outlineLvl w:val="4"/>
        <w:rPr>
          <w:rFonts w:ascii="Arial" w:eastAsia="Times New Roman" w:hAnsi="Arial" w:cs="Times New Roman"/>
          <w:b/>
          <w:color w:val="FFFFFF"/>
          <w:sz w:val="24"/>
        </w:rPr>
      </w:pPr>
      <w:bookmarkStart w:id="835" w:name="_Toc153137516"/>
      <w:r w:rsidRPr="000B112D">
        <w:rPr>
          <w:rFonts w:ascii="Arial" w:eastAsia="Times New Roman" w:hAnsi="Arial" w:cs="Times New Roman"/>
          <w:b/>
          <w:color w:val="FFFFFF"/>
          <w:sz w:val="24"/>
        </w:rPr>
        <w:t>GM1 ML.A.302(d)(2) Aircraft maintenance programme</w:t>
      </w:r>
      <w:bookmarkEnd w:id="835"/>
      <w:r w:rsidRPr="000B112D">
        <w:rPr>
          <w:rFonts w:ascii="Arial" w:eastAsia="Times New Roman" w:hAnsi="Arial" w:cs="Times New Roman"/>
          <w:b/>
          <w:color w:val="FFFFFF"/>
          <w:sz w:val="24"/>
        </w:rPr>
        <w:tab/>
      </w:r>
    </w:p>
    <w:p w14:paraId="6323B608" w14:textId="77777777" w:rsidR="000B112D" w:rsidRPr="000B112D" w:rsidRDefault="000B112D" w:rsidP="000B112D">
      <w:pPr>
        <w:widowControl/>
        <w:autoSpaceDE/>
        <w:autoSpaceDN/>
        <w:spacing w:before="240" w:after="160" w:line="264" w:lineRule="auto"/>
        <w:jc w:val="both"/>
        <w:rPr>
          <w:rFonts w:ascii="Arial" w:eastAsiaTheme="minorHAnsi" w:hAnsi="Arial" w:cs="Arial"/>
          <w:b/>
          <w:bCs/>
          <w:sz w:val="20"/>
          <w:szCs w:val="20"/>
        </w:rPr>
      </w:pPr>
      <w:r w:rsidRPr="000B112D">
        <w:rPr>
          <w:rFonts w:ascii="Arial" w:eastAsiaTheme="minorHAnsi" w:hAnsi="Arial" w:cs="Arial"/>
          <w:b/>
          <w:bCs/>
          <w:sz w:val="20"/>
          <w:szCs w:val="20"/>
        </w:rPr>
        <w:t>OPERATIONAL TEST AND FUNCTIONAL TEST</w:t>
      </w:r>
    </w:p>
    <w:p w14:paraId="6C0B37DB" w14:textId="77777777" w:rsidR="000B112D" w:rsidRPr="000B112D" w:rsidRDefault="000B112D" w:rsidP="007471DE">
      <w:pPr>
        <w:pStyle w:val="BodyText"/>
        <w:spacing w:before="121" w:line="276" w:lineRule="auto"/>
        <w:jc w:val="both"/>
        <w:rPr>
          <w:rFonts w:ascii="Arial" w:hAnsi="Arial" w:cs="Arial"/>
          <w:sz w:val="20"/>
        </w:rPr>
      </w:pPr>
      <w:r w:rsidRPr="000B112D">
        <w:rPr>
          <w:rFonts w:ascii="Arial" w:hAnsi="Arial" w:cs="Arial"/>
          <w:sz w:val="20"/>
        </w:rPr>
        <w:t>An</w:t>
      </w:r>
      <w:r w:rsidRPr="000B112D">
        <w:rPr>
          <w:rFonts w:ascii="Arial" w:hAnsi="Arial" w:cs="Arial"/>
          <w:spacing w:val="34"/>
          <w:sz w:val="20"/>
        </w:rPr>
        <w:t xml:space="preserve"> </w:t>
      </w:r>
      <w:r w:rsidRPr="000B112D">
        <w:rPr>
          <w:rFonts w:ascii="Arial" w:hAnsi="Arial" w:cs="Arial"/>
          <w:sz w:val="20"/>
        </w:rPr>
        <w:t>operational</w:t>
      </w:r>
      <w:r w:rsidRPr="000B112D">
        <w:rPr>
          <w:rFonts w:ascii="Arial" w:hAnsi="Arial" w:cs="Arial"/>
          <w:spacing w:val="36"/>
          <w:sz w:val="20"/>
        </w:rPr>
        <w:t xml:space="preserve"> </w:t>
      </w:r>
      <w:r w:rsidRPr="000B112D">
        <w:rPr>
          <w:rFonts w:ascii="Arial" w:hAnsi="Arial" w:cs="Arial"/>
          <w:sz w:val="20"/>
        </w:rPr>
        <w:t>test</w:t>
      </w:r>
      <w:r w:rsidRPr="000B112D">
        <w:rPr>
          <w:rFonts w:ascii="Arial" w:hAnsi="Arial" w:cs="Arial"/>
          <w:spacing w:val="35"/>
          <w:sz w:val="20"/>
        </w:rPr>
        <w:t xml:space="preserve"> </w:t>
      </w:r>
      <w:r w:rsidRPr="000B112D">
        <w:rPr>
          <w:rFonts w:ascii="Arial" w:hAnsi="Arial" w:cs="Arial"/>
          <w:sz w:val="20"/>
        </w:rPr>
        <w:t>(or</w:t>
      </w:r>
      <w:r w:rsidRPr="000B112D">
        <w:rPr>
          <w:rFonts w:ascii="Arial" w:hAnsi="Arial" w:cs="Arial"/>
          <w:spacing w:val="34"/>
          <w:sz w:val="20"/>
        </w:rPr>
        <w:t xml:space="preserve"> </w:t>
      </w:r>
      <w:r w:rsidRPr="000B112D">
        <w:rPr>
          <w:rFonts w:ascii="Arial" w:hAnsi="Arial" w:cs="Arial"/>
          <w:sz w:val="20"/>
        </w:rPr>
        <w:t>operational</w:t>
      </w:r>
      <w:r w:rsidRPr="000B112D">
        <w:rPr>
          <w:rFonts w:ascii="Arial" w:hAnsi="Arial" w:cs="Arial"/>
          <w:spacing w:val="32"/>
          <w:sz w:val="20"/>
        </w:rPr>
        <w:t xml:space="preserve"> </w:t>
      </w:r>
      <w:r w:rsidRPr="000B112D">
        <w:rPr>
          <w:rFonts w:ascii="Arial" w:hAnsi="Arial" w:cs="Arial"/>
          <w:sz w:val="20"/>
        </w:rPr>
        <w:t>check)</w:t>
      </w:r>
      <w:r w:rsidRPr="000B112D">
        <w:rPr>
          <w:rFonts w:ascii="Arial" w:hAnsi="Arial" w:cs="Arial"/>
          <w:spacing w:val="37"/>
          <w:sz w:val="20"/>
        </w:rPr>
        <w:t xml:space="preserve"> </w:t>
      </w:r>
      <w:r w:rsidRPr="000B112D">
        <w:rPr>
          <w:rFonts w:ascii="Arial" w:hAnsi="Arial" w:cs="Arial"/>
          <w:sz w:val="20"/>
        </w:rPr>
        <w:t>is</w:t>
      </w:r>
      <w:r w:rsidRPr="000B112D">
        <w:rPr>
          <w:rFonts w:ascii="Arial" w:hAnsi="Arial" w:cs="Arial"/>
          <w:spacing w:val="34"/>
          <w:sz w:val="20"/>
        </w:rPr>
        <w:t xml:space="preserve"> </w:t>
      </w:r>
      <w:r w:rsidRPr="000B112D">
        <w:rPr>
          <w:rFonts w:ascii="Arial" w:hAnsi="Arial" w:cs="Arial"/>
          <w:sz w:val="20"/>
        </w:rPr>
        <w:t>a</w:t>
      </w:r>
      <w:r w:rsidRPr="000B112D">
        <w:rPr>
          <w:rFonts w:ascii="Arial" w:hAnsi="Arial" w:cs="Arial"/>
          <w:spacing w:val="36"/>
          <w:sz w:val="20"/>
        </w:rPr>
        <w:t xml:space="preserve"> </w:t>
      </w:r>
      <w:r w:rsidRPr="000B112D">
        <w:rPr>
          <w:rFonts w:ascii="Arial" w:hAnsi="Arial" w:cs="Arial"/>
          <w:sz w:val="20"/>
        </w:rPr>
        <w:t>task</w:t>
      </w:r>
      <w:r w:rsidRPr="000B112D">
        <w:rPr>
          <w:rFonts w:ascii="Arial" w:hAnsi="Arial" w:cs="Arial"/>
          <w:spacing w:val="34"/>
          <w:sz w:val="20"/>
        </w:rPr>
        <w:t xml:space="preserve"> </w:t>
      </w:r>
      <w:r w:rsidRPr="000B112D">
        <w:rPr>
          <w:rFonts w:ascii="Arial" w:hAnsi="Arial" w:cs="Arial"/>
          <w:sz w:val="20"/>
        </w:rPr>
        <w:t>used</w:t>
      </w:r>
      <w:r w:rsidRPr="000B112D">
        <w:rPr>
          <w:rFonts w:ascii="Arial" w:hAnsi="Arial" w:cs="Arial"/>
          <w:spacing w:val="35"/>
          <w:sz w:val="20"/>
        </w:rPr>
        <w:t xml:space="preserve"> </w:t>
      </w:r>
      <w:r w:rsidRPr="000B112D">
        <w:rPr>
          <w:rFonts w:ascii="Arial" w:hAnsi="Arial" w:cs="Arial"/>
          <w:sz w:val="20"/>
        </w:rPr>
        <w:t>to</w:t>
      </w:r>
      <w:r w:rsidRPr="000B112D">
        <w:rPr>
          <w:rFonts w:ascii="Arial" w:hAnsi="Arial" w:cs="Arial"/>
          <w:spacing w:val="35"/>
          <w:sz w:val="20"/>
        </w:rPr>
        <w:t xml:space="preserve"> </w:t>
      </w:r>
      <w:r w:rsidRPr="000B112D">
        <w:rPr>
          <w:rFonts w:ascii="Arial" w:hAnsi="Arial" w:cs="Arial"/>
          <w:sz w:val="20"/>
        </w:rPr>
        <w:t>determine</w:t>
      </w:r>
      <w:r w:rsidRPr="000B112D">
        <w:rPr>
          <w:rFonts w:ascii="Arial" w:hAnsi="Arial" w:cs="Arial"/>
          <w:spacing w:val="37"/>
          <w:sz w:val="20"/>
        </w:rPr>
        <w:t xml:space="preserve"> </w:t>
      </w:r>
      <w:r w:rsidRPr="000B112D">
        <w:rPr>
          <w:rFonts w:ascii="Arial" w:hAnsi="Arial" w:cs="Arial"/>
          <w:sz w:val="20"/>
        </w:rPr>
        <w:t>that</w:t>
      </w:r>
      <w:r w:rsidRPr="000B112D">
        <w:rPr>
          <w:rFonts w:ascii="Arial" w:hAnsi="Arial" w:cs="Arial"/>
          <w:spacing w:val="34"/>
          <w:sz w:val="20"/>
        </w:rPr>
        <w:t xml:space="preserve"> </w:t>
      </w:r>
      <w:r w:rsidRPr="000B112D">
        <w:rPr>
          <w:rFonts w:ascii="Arial" w:hAnsi="Arial" w:cs="Arial"/>
          <w:sz w:val="20"/>
        </w:rPr>
        <w:t>an</w:t>
      </w:r>
      <w:r w:rsidRPr="000B112D">
        <w:rPr>
          <w:rFonts w:ascii="Arial" w:hAnsi="Arial" w:cs="Arial"/>
          <w:spacing w:val="35"/>
          <w:sz w:val="20"/>
        </w:rPr>
        <w:t xml:space="preserve"> </w:t>
      </w:r>
      <w:r w:rsidRPr="000B112D">
        <w:rPr>
          <w:rFonts w:ascii="Arial" w:hAnsi="Arial" w:cs="Arial"/>
          <w:sz w:val="20"/>
        </w:rPr>
        <w:t>item</w:t>
      </w:r>
      <w:r w:rsidRPr="000B112D">
        <w:rPr>
          <w:rFonts w:ascii="Arial" w:hAnsi="Arial" w:cs="Arial"/>
          <w:spacing w:val="36"/>
          <w:sz w:val="20"/>
        </w:rPr>
        <w:t xml:space="preserve"> </w:t>
      </w:r>
      <w:r w:rsidRPr="000B112D">
        <w:rPr>
          <w:rFonts w:ascii="Arial" w:hAnsi="Arial" w:cs="Arial"/>
          <w:sz w:val="20"/>
        </w:rPr>
        <w:t>is</w:t>
      </w:r>
      <w:r w:rsidRPr="000B112D">
        <w:rPr>
          <w:rFonts w:ascii="Arial" w:hAnsi="Arial" w:cs="Arial"/>
          <w:spacing w:val="34"/>
          <w:sz w:val="20"/>
        </w:rPr>
        <w:t xml:space="preserve"> </w:t>
      </w:r>
      <w:r w:rsidRPr="000B112D">
        <w:rPr>
          <w:rFonts w:ascii="Arial" w:hAnsi="Arial" w:cs="Arial"/>
          <w:sz w:val="20"/>
        </w:rPr>
        <w:t>operating</w:t>
      </w:r>
      <w:r w:rsidRPr="000B112D">
        <w:rPr>
          <w:rFonts w:ascii="Arial" w:hAnsi="Arial" w:cs="Arial"/>
          <w:spacing w:val="-47"/>
          <w:sz w:val="20"/>
        </w:rPr>
        <w:t xml:space="preserve"> </w:t>
      </w:r>
      <w:r w:rsidRPr="000B112D">
        <w:rPr>
          <w:rFonts w:ascii="Arial" w:hAnsi="Arial" w:cs="Arial"/>
          <w:sz w:val="20"/>
        </w:rPr>
        <w:t>normally.</w:t>
      </w:r>
      <w:r w:rsidRPr="000B112D">
        <w:rPr>
          <w:rFonts w:ascii="Arial" w:hAnsi="Arial" w:cs="Arial"/>
          <w:spacing w:val="-2"/>
          <w:sz w:val="20"/>
        </w:rPr>
        <w:t xml:space="preserve"> </w:t>
      </w:r>
      <w:r w:rsidRPr="000B112D">
        <w:rPr>
          <w:rFonts w:ascii="Arial" w:hAnsi="Arial" w:cs="Arial"/>
          <w:sz w:val="20"/>
        </w:rPr>
        <w:t>It does</w:t>
      </w:r>
      <w:r w:rsidRPr="000B112D">
        <w:rPr>
          <w:rFonts w:ascii="Arial" w:hAnsi="Arial" w:cs="Arial"/>
          <w:spacing w:val="-2"/>
          <w:sz w:val="20"/>
        </w:rPr>
        <w:t xml:space="preserve"> </w:t>
      </w:r>
      <w:r w:rsidRPr="000B112D">
        <w:rPr>
          <w:rFonts w:ascii="Arial" w:hAnsi="Arial" w:cs="Arial"/>
          <w:sz w:val="20"/>
        </w:rPr>
        <w:t>not require</w:t>
      </w:r>
      <w:r w:rsidRPr="000B112D">
        <w:rPr>
          <w:rFonts w:ascii="Arial" w:hAnsi="Arial" w:cs="Arial"/>
          <w:spacing w:val="1"/>
          <w:sz w:val="20"/>
        </w:rPr>
        <w:t xml:space="preserve"> </w:t>
      </w:r>
      <w:r w:rsidRPr="000B112D">
        <w:rPr>
          <w:rFonts w:ascii="Arial" w:hAnsi="Arial" w:cs="Arial"/>
          <w:sz w:val="20"/>
        </w:rPr>
        <w:t>quantitative</w:t>
      </w:r>
      <w:r w:rsidRPr="000B112D">
        <w:rPr>
          <w:rFonts w:ascii="Arial" w:hAnsi="Arial" w:cs="Arial"/>
          <w:spacing w:val="-2"/>
          <w:sz w:val="20"/>
        </w:rPr>
        <w:t xml:space="preserve"> </w:t>
      </w:r>
      <w:r w:rsidRPr="000B112D">
        <w:rPr>
          <w:rFonts w:ascii="Arial" w:hAnsi="Arial" w:cs="Arial"/>
          <w:sz w:val="20"/>
        </w:rPr>
        <w:t>tolerances.</w:t>
      </w:r>
    </w:p>
    <w:p w14:paraId="056ABC6E" w14:textId="77777777" w:rsidR="000B112D" w:rsidRPr="000B112D" w:rsidRDefault="000B112D" w:rsidP="007471DE">
      <w:pPr>
        <w:pStyle w:val="BodyText"/>
        <w:spacing w:before="57" w:line="276" w:lineRule="auto"/>
        <w:ind w:right="194"/>
        <w:jc w:val="both"/>
        <w:rPr>
          <w:rFonts w:ascii="Arial" w:hAnsi="Arial" w:cs="Arial"/>
          <w:sz w:val="20"/>
        </w:rPr>
      </w:pPr>
      <w:r w:rsidRPr="000B112D">
        <w:rPr>
          <w:rFonts w:ascii="Arial" w:hAnsi="Arial" w:cs="Arial"/>
          <w:sz w:val="20"/>
        </w:rPr>
        <w:t>A</w:t>
      </w:r>
      <w:r w:rsidRPr="000B112D">
        <w:rPr>
          <w:rFonts w:ascii="Arial" w:hAnsi="Arial" w:cs="Arial"/>
          <w:spacing w:val="-4"/>
          <w:sz w:val="20"/>
        </w:rPr>
        <w:t xml:space="preserve"> </w:t>
      </w:r>
      <w:r w:rsidRPr="000B112D">
        <w:rPr>
          <w:rFonts w:ascii="Arial" w:hAnsi="Arial" w:cs="Arial"/>
          <w:sz w:val="20"/>
        </w:rPr>
        <w:t>functional</w:t>
      </w:r>
      <w:r w:rsidRPr="000B112D">
        <w:rPr>
          <w:rFonts w:ascii="Arial" w:hAnsi="Arial" w:cs="Arial"/>
          <w:spacing w:val="-5"/>
          <w:sz w:val="20"/>
        </w:rPr>
        <w:t xml:space="preserve"> </w:t>
      </w:r>
      <w:r w:rsidRPr="000B112D">
        <w:rPr>
          <w:rFonts w:ascii="Arial" w:hAnsi="Arial" w:cs="Arial"/>
          <w:sz w:val="20"/>
        </w:rPr>
        <w:t>test</w:t>
      </w:r>
      <w:r w:rsidRPr="000B112D">
        <w:rPr>
          <w:rFonts w:ascii="Arial" w:hAnsi="Arial" w:cs="Arial"/>
          <w:spacing w:val="-3"/>
          <w:sz w:val="20"/>
        </w:rPr>
        <w:t xml:space="preserve"> </w:t>
      </w:r>
      <w:r w:rsidRPr="000B112D">
        <w:rPr>
          <w:rFonts w:ascii="Arial" w:hAnsi="Arial" w:cs="Arial"/>
          <w:sz w:val="20"/>
        </w:rPr>
        <w:t>(or</w:t>
      </w:r>
      <w:r w:rsidRPr="000B112D">
        <w:rPr>
          <w:rFonts w:ascii="Arial" w:hAnsi="Arial" w:cs="Arial"/>
          <w:spacing w:val="-2"/>
          <w:sz w:val="20"/>
        </w:rPr>
        <w:t xml:space="preserve"> </w:t>
      </w:r>
      <w:r w:rsidRPr="000B112D">
        <w:rPr>
          <w:rFonts w:ascii="Arial" w:hAnsi="Arial" w:cs="Arial"/>
          <w:sz w:val="20"/>
        </w:rPr>
        <w:t>functional</w:t>
      </w:r>
      <w:r w:rsidRPr="000B112D">
        <w:rPr>
          <w:rFonts w:ascii="Arial" w:hAnsi="Arial" w:cs="Arial"/>
          <w:spacing w:val="-4"/>
          <w:sz w:val="20"/>
        </w:rPr>
        <w:t xml:space="preserve"> </w:t>
      </w:r>
      <w:r w:rsidRPr="000B112D">
        <w:rPr>
          <w:rFonts w:ascii="Arial" w:hAnsi="Arial" w:cs="Arial"/>
          <w:sz w:val="20"/>
        </w:rPr>
        <w:t>check)</w:t>
      </w:r>
      <w:r w:rsidRPr="000B112D">
        <w:rPr>
          <w:rFonts w:ascii="Arial" w:hAnsi="Arial" w:cs="Arial"/>
          <w:spacing w:val="-2"/>
          <w:sz w:val="20"/>
        </w:rPr>
        <w:t xml:space="preserve"> </w:t>
      </w:r>
      <w:r w:rsidRPr="000B112D">
        <w:rPr>
          <w:rFonts w:ascii="Arial" w:hAnsi="Arial" w:cs="Arial"/>
          <w:sz w:val="20"/>
        </w:rPr>
        <w:t>is</w:t>
      </w:r>
      <w:r w:rsidRPr="000B112D">
        <w:rPr>
          <w:rFonts w:ascii="Arial" w:hAnsi="Arial" w:cs="Arial"/>
          <w:spacing w:val="-3"/>
          <w:sz w:val="20"/>
        </w:rPr>
        <w:t xml:space="preserve"> </w:t>
      </w:r>
      <w:r w:rsidRPr="000B112D">
        <w:rPr>
          <w:rFonts w:ascii="Arial" w:hAnsi="Arial" w:cs="Arial"/>
          <w:sz w:val="20"/>
        </w:rPr>
        <w:t>a</w:t>
      </w:r>
      <w:r w:rsidRPr="000B112D">
        <w:rPr>
          <w:rFonts w:ascii="Arial" w:hAnsi="Arial" w:cs="Arial"/>
          <w:spacing w:val="-5"/>
          <w:sz w:val="20"/>
        </w:rPr>
        <w:t xml:space="preserve"> </w:t>
      </w:r>
      <w:r w:rsidRPr="000B112D">
        <w:rPr>
          <w:rFonts w:ascii="Arial" w:hAnsi="Arial" w:cs="Arial"/>
          <w:sz w:val="20"/>
        </w:rPr>
        <w:t>quantitative</w:t>
      </w:r>
      <w:r w:rsidRPr="000B112D">
        <w:rPr>
          <w:rFonts w:ascii="Arial" w:hAnsi="Arial" w:cs="Arial"/>
          <w:spacing w:val="-7"/>
          <w:sz w:val="20"/>
        </w:rPr>
        <w:t xml:space="preserve"> </w:t>
      </w:r>
      <w:r w:rsidRPr="000B112D">
        <w:rPr>
          <w:rFonts w:ascii="Arial" w:hAnsi="Arial" w:cs="Arial"/>
          <w:sz w:val="20"/>
        </w:rPr>
        <w:t>check</w:t>
      </w:r>
      <w:r w:rsidRPr="000B112D">
        <w:rPr>
          <w:rFonts w:ascii="Arial" w:hAnsi="Arial" w:cs="Arial"/>
          <w:spacing w:val="-4"/>
          <w:sz w:val="20"/>
        </w:rPr>
        <w:t xml:space="preserve"> </w:t>
      </w:r>
      <w:r w:rsidRPr="000B112D">
        <w:rPr>
          <w:rFonts w:ascii="Arial" w:hAnsi="Arial" w:cs="Arial"/>
          <w:sz w:val="20"/>
        </w:rPr>
        <w:t>to</w:t>
      </w:r>
      <w:r w:rsidRPr="000B112D">
        <w:rPr>
          <w:rFonts w:ascii="Arial" w:hAnsi="Arial" w:cs="Arial"/>
          <w:spacing w:val="-4"/>
          <w:sz w:val="20"/>
        </w:rPr>
        <w:t xml:space="preserve"> </w:t>
      </w:r>
      <w:r w:rsidRPr="000B112D">
        <w:rPr>
          <w:rFonts w:ascii="Arial" w:hAnsi="Arial" w:cs="Arial"/>
          <w:sz w:val="20"/>
        </w:rPr>
        <w:t>determine</w:t>
      </w:r>
      <w:r w:rsidRPr="000B112D">
        <w:rPr>
          <w:rFonts w:ascii="Arial" w:hAnsi="Arial" w:cs="Arial"/>
          <w:spacing w:val="-2"/>
          <w:sz w:val="20"/>
        </w:rPr>
        <w:t xml:space="preserve"> </w:t>
      </w:r>
      <w:r w:rsidRPr="000B112D">
        <w:rPr>
          <w:rFonts w:ascii="Arial" w:hAnsi="Arial" w:cs="Arial"/>
          <w:sz w:val="20"/>
        </w:rPr>
        <w:t>if</w:t>
      </w:r>
      <w:r w:rsidRPr="000B112D">
        <w:rPr>
          <w:rFonts w:ascii="Arial" w:hAnsi="Arial" w:cs="Arial"/>
          <w:spacing w:val="-5"/>
          <w:sz w:val="20"/>
        </w:rPr>
        <w:t xml:space="preserve"> </w:t>
      </w:r>
      <w:r w:rsidRPr="000B112D">
        <w:rPr>
          <w:rFonts w:ascii="Arial" w:hAnsi="Arial" w:cs="Arial"/>
          <w:sz w:val="20"/>
        </w:rPr>
        <w:t>one</w:t>
      </w:r>
      <w:r w:rsidRPr="000B112D">
        <w:rPr>
          <w:rFonts w:ascii="Arial" w:hAnsi="Arial" w:cs="Arial"/>
          <w:spacing w:val="-5"/>
          <w:sz w:val="20"/>
        </w:rPr>
        <w:t xml:space="preserve"> </w:t>
      </w:r>
      <w:r w:rsidRPr="000B112D">
        <w:rPr>
          <w:rFonts w:ascii="Arial" w:hAnsi="Arial" w:cs="Arial"/>
          <w:sz w:val="20"/>
        </w:rPr>
        <w:t>or</w:t>
      </w:r>
      <w:r w:rsidRPr="000B112D">
        <w:rPr>
          <w:rFonts w:ascii="Arial" w:hAnsi="Arial" w:cs="Arial"/>
          <w:spacing w:val="-2"/>
          <w:sz w:val="20"/>
        </w:rPr>
        <w:t xml:space="preserve"> </w:t>
      </w:r>
      <w:r w:rsidRPr="000B112D">
        <w:rPr>
          <w:rFonts w:ascii="Arial" w:hAnsi="Arial" w:cs="Arial"/>
          <w:sz w:val="20"/>
        </w:rPr>
        <w:t>more</w:t>
      </w:r>
      <w:r w:rsidRPr="000B112D">
        <w:rPr>
          <w:rFonts w:ascii="Arial" w:hAnsi="Arial" w:cs="Arial"/>
          <w:spacing w:val="-5"/>
          <w:sz w:val="20"/>
        </w:rPr>
        <w:t xml:space="preserve"> </w:t>
      </w:r>
      <w:r w:rsidRPr="000B112D">
        <w:rPr>
          <w:rFonts w:ascii="Arial" w:hAnsi="Arial" w:cs="Arial"/>
          <w:sz w:val="20"/>
        </w:rPr>
        <w:t>functions</w:t>
      </w:r>
      <w:r w:rsidRPr="000B112D">
        <w:rPr>
          <w:rFonts w:ascii="Arial" w:hAnsi="Arial" w:cs="Arial"/>
          <w:spacing w:val="-5"/>
          <w:sz w:val="20"/>
        </w:rPr>
        <w:t xml:space="preserve"> </w:t>
      </w:r>
      <w:r w:rsidRPr="000B112D">
        <w:rPr>
          <w:rFonts w:ascii="Arial" w:hAnsi="Arial" w:cs="Arial"/>
          <w:sz w:val="20"/>
        </w:rPr>
        <w:t>of</w:t>
      </w:r>
      <w:r w:rsidRPr="000B112D">
        <w:rPr>
          <w:rFonts w:ascii="Arial" w:hAnsi="Arial" w:cs="Arial"/>
          <w:spacing w:val="-48"/>
          <w:sz w:val="20"/>
        </w:rPr>
        <w:t xml:space="preserve"> </w:t>
      </w:r>
      <w:r w:rsidRPr="000B112D">
        <w:rPr>
          <w:rFonts w:ascii="Arial" w:hAnsi="Arial" w:cs="Arial"/>
          <w:sz w:val="20"/>
        </w:rPr>
        <w:t>an item performs within the limits specified in the appropriate maintenance data. The measured</w:t>
      </w:r>
      <w:r w:rsidRPr="000B112D">
        <w:rPr>
          <w:rFonts w:ascii="Arial" w:hAnsi="Arial" w:cs="Arial"/>
          <w:spacing w:val="1"/>
          <w:sz w:val="20"/>
        </w:rPr>
        <w:t xml:space="preserve"> </w:t>
      </w:r>
      <w:r w:rsidRPr="000B112D">
        <w:rPr>
          <w:rFonts w:ascii="Arial" w:hAnsi="Arial" w:cs="Arial"/>
          <w:sz w:val="20"/>
        </w:rPr>
        <w:t>parameter</w:t>
      </w:r>
      <w:r w:rsidRPr="000B112D">
        <w:rPr>
          <w:rFonts w:ascii="Arial" w:hAnsi="Arial" w:cs="Arial"/>
          <w:spacing w:val="-1"/>
          <w:sz w:val="20"/>
        </w:rPr>
        <w:t xml:space="preserve"> </w:t>
      </w:r>
      <w:r w:rsidRPr="000B112D">
        <w:rPr>
          <w:rFonts w:ascii="Arial" w:hAnsi="Arial" w:cs="Arial"/>
          <w:sz w:val="20"/>
        </w:rPr>
        <w:t>should</w:t>
      </w:r>
      <w:r w:rsidRPr="000B112D">
        <w:rPr>
          <w:rFonts w:ascii="Arial" w:hAnsi="Arial" w:cs="Arial"/>
          <w:spacing w:val="-1"/>
          <w:sz w:val="20"/>
        </w:rPr>
        <w:t xml:space="preserve"> </w:t>
      </w:r>
      <w:r w:rsidRPr="000B112D">
        <w:rPr>
          <w:rFonts w:ascii="Arial" w:hAnsi="Arial" w:cs="Arial"/>
          <w:sz w:val="20"/>
        </w:rPr>
        <w:t>be recorded.</w:t>
      </w:r>
    </w:p>
    <w:p w14:paraId="6ACB82C7" w14:textId="77777777" w:rsidR="000B112D" w:rsidRDefault="000B112D" w:rsidP="000B112D">
      <w:pPr>
        <w:jc w:val="both"/>
        <w:rPr>
          <w:rFonts w:ascii="Arial" w:eastAsia="Times New Roman" w:hAnsi="Arial" w:cs="Times New Roman"/>
          <w:sz w:val="20"/>
        </w:rPr>
      </w:pPr>
    </w:p>
    <w:p w14:paraId="1C64FCB0" w14:textId="77777777" w:rsidR="000B112D" w:rsidRPr="000B112D" w:rsidRDefault="000B112D" w:rsidP="000B112D">
      <w:pPr>
        <w:keepNext/>
        <w:keepLines/>
        <w:widowControl/>
        <w:shd w:val="clear" w:color="auto" w:fill="339966"/>
        <w:autoSpaceDE/>
        <w:autoSpaceDN/>
        <w:spacing w:before="160" w:after="120" w:line="259" w:lineRule="auto"/>
        <w:outlineLvl w:val="4"/>
        <w:rPr>
          <w:rFonts w:ascii="Arial" w:eastAsia="Times New Roman" w:hAnsi="Arial" w:cs="Times New Roman"/>
          <w:b/>
          <w:color w:val="FFFFFF"/>
          <w:sz w:val="24"/>
        </w:rPr>
      </w:pPr>
      <w:bookmarkStart w:id="836" w:name="GM1_ML.A.302(d)(2)(d)__Aircraft_maintena"/>
      <w:bookmarkStart w:id="837" w:name="_bookmark352"/>
      <w:bookmarkStart w:id="838" w:name="_Toc153137517"/>
      <w:bookmarkEnd w:id="836"/>
      <w:bookmarkEnd w:id="837"/>
      <w:r w:rsidRPr="000B112D">
        <w:rPr>
          <w:rFonts w:ascii="Arial" w:eastAsia="Times New Roman" w:hAnsi="Arial" w:cs="Times New Roman"/>
          <w:b/>
          <w:color w:val="FFFFFF"/>
          <w:sz w:val="24"/>
        </w:rPr>
        <w:t>GM1 ML.A.302(d)(2)(d) Aircraft maintenance programme</w:t>
      </w:r>
      <w:bookmarkEnd w:id="838"/>
    </w:p>
    <w:p w14:paraId="693EB118" w14:textId="77777777" w:rsidR="000B112D" w:rsidRPr="000B112D" w:rsidRDefault="000B112D" w:rsidP="000B112D">
      <w:pPr>
        <w:widowControl/>
        <w:autoSpaceDE/>
        <w:autoSpaceDN/>
        <w:spacing w:before="240" w:after="160" w:line="264" w:lineRule="auto"/>
        <w:jc w:val="both"/>
        <w:rPr>
          <w:rFonts w:ascii="Arial" w:eastAsiaTheme="minorHAnsi" w:hAnsi="Arial" w:cs="Arial"/>
          <w:b/>
          <w:bCs/>
          <w:sz w:val="20"/>
          <w:szCs w:val="20"/>
        </w:rPr>
      </w:pPr>
      <w:r w:rsidRPr="000B112D">
        <w:rPr>
          <w:rFonts w:ascii="Arial" w:eastAsiaTheme="minorHAnsi" w:hAnsi="Arial" w:cs="Arial"/>
          <w:b/>
          <w:bCs/>
          <w:sz w:val="20"/>
          <w:szCs w:val="20"/>
        </w:rPr>
        <w:t>OPERATIONAL TEST OF TRANSPONDER</w:t>
      </w:r>
    </w:p>
    <w:p w14:paraId="251CD8A9" w14:textId="5DA43A49" w:rsidR="000B112D" w:rsidRDefault="000B112D" w:rsidP="007471DE">
      <w:pPr>
        <w:spacing w:line="276" w:lineRule="auto"/>
        <w:jc w:val="both"/>
        <w:rPr>
          <w:rFonts w:ascii="Arial" w:eastAsia="Times New Roman" w:hAnsi="Arial" w:cs="Times New Roman"/>
          <w:sz w:val="20"/>
        </w:rPr>
      </w:pPr>
      <w:r w:rsidRPr="000B112D">
        <w:rPr>
          <w:rFonts w:ascii="Arial" w:eastAsia="Times New Roman" w:hAnsi="Arial" w:cs="Times New Roman"/>
          <w:sz w:val="20"/>
        </w:rPr>
        <w:t xml:space="preserve">A transponder test that is carried out in accordance </w:t>
      </w:r>
      <w:hyperlink r:id="rId101" w:history="1">
        <w:r w:rsidR="00244E1F" w:rsidRPr="00244E1F">
          <w:rPr>
            <w:rStyle w:val="Hyperlink"/>
            <w:rFonts w:ascii="Arial" w:eastAsia="Times New Roman" w:hAnsi="Arial" w:cs="Times New Roman"/>
            <w:sz w:val="20"/>
          </w:rPr>
          <w:t>the order N 10-N of the Minister of Territorial Administration and Infrastructure of RA, dated 01.06.2022</w:t>
        </w:r>
      </w:hyperlink>
      <w:r w:rsidR="00244E1F" w:rsidRPr="00244E1F">
        <w:rPr>
          <w:rFonts w:ascii="Arial" w:eastAsia="Times New Roman" w:hAnsi="Arial" w:cs="Times New Roman"/>
          <w:sz w:val="20"/>
        </w:rPr>
        <w:t xml:space="preserve"> </w:t>
      </w:r>
      <w:r w:rsidRPr="000B112D">
        <w:rPr>
          <w:rFonts w:ascii="Arial" w:eastAsia="Times New Roman" w:hAnsi="Arial" w:cs="Times New Roman"/>
          <w:sz w:val="20"/>
        </w:rPr>
        <w:t>is considered to include the MIP task described in ML.A.302(d)(2)(d).</w:t>
      </w:r>
    </w:p>
    <w:p w14:paraId="5EB0974C" w14:textId="77777777" w:rsidR="000B112D" w:rsidRPr="000B112D" w:rsidRDefault="000B112D" w:rsidP="000B112D">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839" w:name="ML.A.303_Airworthiness_directives"/>
      <w:bookmarkStart w:id="840" w:name="_bookmark353"/>
      <w:bookmarkStart w:id="841" w:name="_Toc153137518"/>
      <w:bookmarkEnd w:id="839"/>
      <w:bookmarkEnd w:id="840"/>
      <w:r w:rsidRPr="000B112D">
        <w:rPr>
          <w:rFonts w:ascii="Arial" w:eastAsia="Times New Roman" w:hAnsi="Arial" w:cs="Times New Roman"/>
          <w:b/>
          <w:iCs/>
          <w:color w:val="FFFFFF"/>
          <w:sz w:val="24"/>
        </w:rPr>
        <w:t>ML.A.303 Airworthiness directives</w:t>
      </w:r>
      <w:bookmarkEnd w:id="841"/>
    </w:p>
    <w:p w14:paraId="37A91886" w14:textId="77777777" w:rsidR="000B112D" w:rsidRDefault="000B112D" w:rsidP="000B112D">
      <w:pPr>
        <w:jc w:val="both"/>
        <w:rPr>
          <w:rFonts w:ascii="Arial" w:eastAsia="Times New Roman" w:hAnsi="Arial" w:cs="Times New Roman"/>
          <w:sz w:val="20"/>
        </w:rPr>
      </w:pPr>
      <w:r w:rsidRPr="000B112D">
        <w:rPr>
          <w:rFonts w:ascii="Arial" w:eastAsia="Times New Roman" w:hAnsi="Arial" w:cs="Times New Roman"/>
          <w:sz w:val="20"/>
        </w:rPr>
        <w:t>Any applicable AD must be carried out within the requirements of that AD unless otherwise specified by the Agency.</w:t>
      </w:r>
    </w:p>
    <w:p w14:paraId="6D1EA551" w14:textId="77777777" w:rsidR="000B112D" w:rsidRPr="000B112D" w:rsidRDefault="000B112D" w:rsidP="000B112D">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842" w:name="ML.A.304_Data_for_modifications_and_repa"/>
      <w:bookmarkStart w:id="843" w:name="_bookmark354"/>
      <w:bookmarkStart w:id="844" w:name="_Toc153137519"/>
      <w:bookmarkEnd w:id="842"/>
      <w:bookmarkEnd w:id="843"/>
      <w:r w:rsidRPr="000B112D">
        <w:rPr>
          <w:rFonts w:ascii="Arial" w:eastAsia="Times New Roman" w:hAnsi="Arial" w:cs="Times New Roman"/>
          <w:b/>
          <w:iCs/>
          <w:color w:val="FFFFFF"/>
          <w:sz w:val="24"/>
        </w:rPr>
        <w:t>ML.A.304 Data for modifications and repairs</w:t>
      </w:r>
      <w:bookmarkEnd w:id="844"/>
    </w:p>
    <w:p w14:paraId="4BB9100F" w14:textId="77777777" w:rsidR="00282C53" w:rsidRPr="00282C53" w:rsidRDefault="00282C53" w:rsidP="00AE59F6">
      <w:pPr>
        <w:spacing w:line="276" w:lineRule="auto"/>
        <w:jc w:val="both"/>
        <w:rPr>
          <w:rFonts w:ascii="Arial" w:eastAsia="Times New Roman" w:hAnsi="Arial" w:cs="Times New Roman"/>
          <w:sz w:val="20"/>
        </w:rPr>
      </w:pPr>
      <w:r w:rsidRPr="00282C53">
        <w:rPr>
          <w:rFonts w:ascii="Arial" w:eastAsia="Times New Roman" w:hAnsi="Arial" w:cs="Times New Roman"/>
          <w:sz w:val="20"/>
        </w:rPr>
        <w:t>A person or organisation repairing an aircraft or a component shall assess any damage. Modifications and repairs shall be carried out using, as appropriate, the following data:</w:t>
      </w:r>
    </w:p>
    <w:p w14:paraId="15A9DE34" w14:textId="77777777" w:rsidR="00282C53" w:rsidRPr="00282C53" w:rsidRDefault="00282C53" w:rsidP="00AE59F6">
      <w:pPr>
        <w:numPr>
          <w:ilvl w:val="0"/>
          <w:numId w:val="296"/>
        </w:numPr>
        <w:spacing w:line="276" w:lineRule="auto"/>
        <w:jc w:val="both"/>
        <w:rPr>
          <w:rFonts w:ascii="Arial" w:eastAsia="Times New Roman" w:hAnsi="Arial" w:cs="Times New Roman"/>
          <w:sz w:val="20"/>
        </w:rPr>
      </w:pPr>
      <w:r w:rsidRPr="00282C53">
        <w:rPr>
          <w:rFonts w:ascii="Arial" w:eastAsia="Times New Roman" w:hAnsi="Arial" w:cs="Times New Roman"/>
          <w:sz w:val="20"/>
        </w:rPr>
        <w:t>approved by the Agency;</w:t>
      </w:r>
    </w:p>
    <w:p w14:paraId="30BE20B2" w14:textId="24538DFA" w:rsidR="00282C53" w:rsidRPr="00282C53" w:rsidRDefault="00282C53" w:rsidP="00AE59F6">
      <w:pPr>
        <w:numPr>
          <w:ilvl w:val="0"/>
          <w:numId w:val="296"/>
        </w:numPr>
        <w:spacing w:line="276" w:lineRule="auto"/>
        <w:jc w:val="both"/>
        <w:rPr>
          <w:rFonts w:ascii="Arial" w:eastAsia="Times New Roman" w:hAnsi="Arial" w:cs="Times New Roman"/>
          <w:sz w:val="20"/>
        </w:rPr>
      </w:pPr>
      <w:r w:rsidRPr="00282C53">
        <w:rPr>
          <w:rFonts w:ascii="Arial" w:eastAsia="Times New Roman" w:hAnsi="Arial" w:cs="Times New Roman"/>
          <w:sz w:val="20"/>
        </w:rPr>
        <w:t xml:space="preserve">approved by a design organisation complying with Annex I (Part-21) to </w:t>
      </w:r>
      <w:hyperlink r:id="rId102" w:history="1">
        <w:r w:rsidR="007A4CF1">
          <w:rPr>
            <w:rStyle w:val="Hyperlink"/>
            <w:rFonts w:ascii="Arial" w:hAnsi="Arial" w:cs="Arial"/>
            <w:sz w:val="20"/>
          </w:rPr>
          <w:t>the order N 20-N of the Minister of Territorial Administration and Infrastructure of RA, dated 18.11.2022</w:t>
        </w:r>
      </w:hyperlink>
      <w:r w:rsidRPr="007A4CF1">
        <w:rPr>
          <w:rFonts w:ascii="Arial" w:eastAsia="Times New Roman" w:hAnsi="Arial" w:cs="Times New Roman"/>
          <w:sz w:val="20"/>
        </w:rPr>
        <w:t>;</w:t>
      </w:r>
    </w:p>
    <w:p w14:paraId="08F92229" w14:textId="0A4739E4" w:rsidR="00282C53" w:rsidRPr="00282C53" w:rsidRDefault="00282C53" w:rsidP="00AE59F6">
      <w:pPr>
        <w:numPr>
          <w:ilvl w:val="0"/>
          <w:numId w:val="296"/>
        </w:numPr>
        <w:spacing w:line="276" w:lineRule="auto"/>
        <w:jc w:val="both"/>
        <w:rPr>
          <w:rFonts w:ascii="Arial" w:eastAsia="Times New Roman" w:hAnsi="Arial" w:cs="Times New Roman"/>
          <w:sz w:val="20"/>
        </w:rPr>
      </w:pPr>
      <w:r w:rsidRPr="00282C53">
        <w:rPr>
          <w:rFonts w:ascii="Arial" w:eastAsia="Times New Roman" w:hAnsi="Arial" w:cs="Times New Roman"/>
          <w:sz w:val="20"/>
        </w:rPr>
        <w:t xml:space="preserve">contained in the requirements referred to in point 21.A.90B or point </w:t>
      </w:r>
      <w:r w:rsidRPr="007A4CF1">
        <w:rPr>
          <w:rFonts w:ascii="Arial" w:eastAsia="Times New Roman" w:hAnsi="Arial" w:cs="Times New Roman"/>
          <w:sz w:val="20"/>
        </w:rPr>
        <w:t xml:space="preserve">21.A.431B of Annex I (Part-21) to </w:t>
      </w:r>
      <w:hyperlink r:id="rId103" w:history="1">
        <w:r w:rsidR="007A4CF1" w:rsidRPr="007A4CF1">
          <w:rPr>
            <w:rStyle w:val="Hyperlink"/>
            <w:rFonts w:ascii="Arial" w:hAnsi="Arial" w:cs="Arial"/>
            <w:sz w:val="20"/>
          </w:rPr>
          <w:t>the order N 20-N of the Minister of Territorial Administration and Infrastructure of RA, dated 18.11.2022</w:t>
        </w:r>
      </w:hyperlink>
    </w:p>
    <w:p w14:paraId="58A03C09" w14:textId="77777777" w:rsidR="002D1024" w:rsidRPr="002D1024" w:rsidRDefault="002D1024" w:rsidP="002D1024">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845" w:name="ML.A.305_Aircraft_continuing-airworthine"/>
      <w:bookmarkStart w:id="846" w:name="_bookmark355"/>
      <w:bookmarkStart w:id="847" w:name="_Toc153137520"/>
      <w:bookmarkEnd w:id="845"/>
      <w:bookmarkEnd w:id="846"/>
      <w:r w:rsidRPr="002D1024">
        <w:rPr>
          <w:rFonts w:ascii="Arial" w:eastAsia="Times New Roman" w:hAnsi="Arial" w:cs="Times New Roman"/>
          <w:b/>
          <w:iCs/>
          <w:color w:val="FFFFFF"/>
          <w:sz w:val="24"/>
        </w:rPr>
        <w:t>ML.A.305 Aircraft continuing-airworthiness record system</w:t>
      </w:r>
      <w:bookmarkEnd w:id="847"/>
    </w:p>
    <w:p w14:paraId="162C0781" w14:textId="77777777" w:rsidR="002D1024" w:rsidRPr="002D1024" w:rsidRDefault="002D1024" w:rsidP="00AE59F6">
      <w:pPr>
        <w:numPr>
          <w:ilvl w:val="0"/>
          <w:numId w:val="297"/>
        </w:numPr>
        <w:tabs>
          <w:tab w:val="left" w:pos="707"/>
        </w:tabs>
        <w:spacing w:before="117" w:line="276" w:lineRule="auto"/>
        <w:ind w:right="196"/>
        <w:jc w:val="both"/>
        <w:rPr>
          <w:rFonts w:ascii="Arial" w:hAnsi="Arial" w:cs="Arial"/>
          <w:sz w:val="20"/>
        </w:rPr>
      </w:pPr>
      <w:r w:rsidRPr="002D1024">
        <w:rPr>
          <w:rFonts w:ascii="Arial" w:hAnsi="Arial" w:cs="Arial"/>
          <w:sz w:val="20"/>
        </w:rPr>
        <w:t>At the completion of any maintenance, the certificate of release to service (CRS) required by</w:t>
      </w:r>
      <w:r w:rsidRPr="002D1024">
        <w:rPr>
          <w:rFonts w:ascii="Arial" w:hAnsi="Arial" w:cs="Arial"/>
          <w:spacing w:val="1"/>
          <w:sz w:val="20"/>
        </w:rPr>
        <w:t xml:space="preserve"> </w:t>
      </w:r>
      <w:r w:rsidRPr="002D1024">
        <w:rPr>
          <w:rFonts w:ascii="Arial" w:hAnsi="Arial" w:cs="Arial"/>
          <w:sz w:val="20"/>
        </w:rPr>
        <w:t>point</w:t>
      </w:r>
      <w:r w:rsidRPr="002D1024">
        <w:rPr>
          <w:rFonts w:ascii="Arial" w:hAnsi="Arial" w:cs="Arial"/>
          <w:color w:val="0000FF"/>
          <w:sz w:val="20"/>
        </w:rPr>
        <w:t xml:space="preserve"> </w:t>
      </w:r>
      <w:r w:rsidRPr="002D1024">
        <w:rPr>
          <w:rFonts w:ascii="Arial" w:hAnsi="Arial" w:cs="Arial"/>
          <w:sz w:val="20"/>
        </w:rPr>
        <w:t>ML.A.801</w:t>
      </w:r>
      <w:r w:rsidRPr="002D1024">
        <w:rPr>
          <w:rFonts w:ascii="Arial" w:hAnsi="Arial" w:cs="Arial"/>
          <w:color w:val="0000FF"/>
          <w:sz w:val="20"/>
        </w:rPr>
        <w:t xml:space="preserve"> </w:t>
      </w:r>
      <w:r w:rsidRPr="002D1024">
        <w:rPr>
          <w:rFonts w:ascii="Arial" w:hAnsi="Arial" w:cs="Arial"/>
          <w:sz w:val="20"/>
        </w:rPr>
        <w:t>shall be entered in the aircraft continuing airworthiness record system. Each</w:t>
      </w:r>
      <w:r w:rsidRPr="002D1024">
        <w:rPr>
          <w:rFonts w:ascii="Arial" w:hAnsi="Arial" w:cs="Arial"/>
          <w:spacing w:val="1"/>
          <w:sz w:val="20"/>
        </w:rPr>
        <w:t xml:space="preserve"> </w:t>
      </w:r>
      <w:r w:rsidRPr="002D1024">
        <w:rPr>
          <w:rFonts w:ascii="Arial" w:hAnsi="Arial" w:cs="Arial"/>
          <w:sz w:val="20"/>
        </w:rPr>
        <w:t>entry shall be made as soon as possible</w:t>
      </w:r>
      <w:r w:rsidRPr="002D1024">
        <w:rPr>
          <w:rFonts w:ascii="Arial" w:hAnsi="Arial" w:cs="Arial"/>
          <w:spacing w:val="1"/>
          <w:sz w:val="20"/>
        </w:rPr>
        <w:t xml:space="preserve"> </w:t>
      </w:r>
      <w:r w:rsidRPr="002D1024">
        <w:rPr>
          <w:rFonts w:ascii="Arial" w:hAnsi="Arial" w:cs="Arial"/>
          <w:sz w:val="20"/>
        </w:rPr>
        <w:t>but not later than 30 days after the</w:t>
      </w:r>
      <w:r w:rsidRPr="002D1024">
        <w:rPr>
          <w:rFonts w:ascii="Arial" w:hAnsi="Arial" w:cs="Arial"/>
          <w:spacing w:val="1"/>
          <w:sz w:val="20"/>
        </w:rPr>
        <w:t xml:space="preserve"> </w:t>
      </w:r>
      <w:r w:rsidRPr="002D1024">
        <w:rPr>
          <w:rFonts w:ascii="Arial" w:hAnsi="Arial" w:cs="Arial"/>
          <w:sz w:val="20"/>
        </w:rPr>
        <w:t>day of the</w:t>
      </w:r>
      <w:r w:rsidRPr="002D1024">
        <w:rPr>
          <w:rFonts w:ascii="Arial" w:hAnsi="Arial" w:cs="Arial"/>
          <w:spacing w:val="1"/>
          <w:sz w:val="20"/>
        </w:rPr>
        <w:t xml:space="preserve"> </w:t>
      </w:r>
      <w:r w:rsidRPr="002D1024">
        <w:rPr>
          <w:rFonts w:ascii="Arial" w:hAnsi="Arial" w:cs="Arial"/>
          <w:sz w:val="20"/>
        </w:rPr>
        <w:t>completion</w:t>
      </w:r>
      <w:r w:rsidRPr="002D1024">
        <w:rPr>
          <w:rFonts w:ascii="Arial" w:hAnsi="Arial" w:cs="Arial"/>
          <w:spacing w:val="-4"/>
          <w:sz w:val="20"/>
        </w:rPr>
        <w:t xml:space="preserve"> </w:t>
      </w:r>
      <w:r w:rsidRPr="002D1024">
        <w:rPr>
          <w:rFonts w:ascii="Arial" w:hAnsi="Arial" w:cs="Arial"/>
          <w:sz w:val="20"/>
        </w:rPr>
        <w:t>of the</w:t>
      </w:r>
      <w:r w:rsidRPr="002D1024">
        <w:rPr>
          <w:rFonts w:ascii="Arial" w:hAnsi="Arial" w:cs="Arial"/>
          <w:spacing w:val="-2"/>
          <w:sz w:val="20"/>
        </w:rPr>
        <w:t xml:space="preserve"> </w:t>
      </w:r>
      <w:r w:rsidRPr="002D1024">
        <w:rPr>
          <w:rFonts w:ascii="Arial" w:hAnsi="Arial" w:cs="Arial"/>
          <w:sz w:val="20"/>
        </w:rPr>
        <w:t>maintenance</w:t>
      </w:r>
      <w:r w:rsidRPr="002D1024">
        <w:rPr>
          <w:rFonts w:ascii="Arial" w:hAnsi="Arial" w:cs="Arial"/>
          <w:spacing w:val="1"/>
          <w:sz w:val="20"/>
        </w:rPr>
        <w:t xml:space="preserve"> </w:t>
      </w:r>
      <w:r w:rsidRPr="002D1024">
        <w:rPr>
          <w:rFonts w:ascii="Arial" w:hAnsi="Arial" w:cs="Arial"/>
          <w:sz w:val="20"/>
        </w:rPr>
        <w:t>task.</w:t>
      </w:r>
    </w:p>
    <w:p w14:paraId="3228985C" w14:textId="77777777" w:rsidR="002D1024" w:rsidRPr="002D1024" w:rsidRDefault="002D1024" w:rsidP="00AE59F6">
      <w:pPr>
        <w:numPr>
          <w:ilvl w:val="0"/>
          <w:numId w:val="297"/>
        </w:numPr>
        <w:tabs>
          <w:tab w:val="left" w:pos="707"/>
        </w:tabs>
        <w:spacing w:before="119" w:line="276" w:lineRule="auto"/>
        <w:ind w:right="193"/>
        <w:jc w:val="both"/>
        <w:rPr>
          <w:rFonts w:ascii="Arial" w:hAnsi="Arial" w:cs="Arial"/>
          <w:sz w:val="20"/>
        </w:rPr>
      </w:pPr>
      <w:r w:rsidRPr="002D1024">
        <w:rPr>
          <w:rFonts w:ascii="Arial" w:hAnsi="Arial" w:cs="Arial"/>
          <w:sz w:val="20"/>
        </w:rPr>
        <w:lastRenderedPageBreak/>
        <w:t>The</w:t>
      </w:r>
      <w:r w:rsidRPr="002D1024">
        <w:rPr>
          <w:rFonts w:ascii="Arial" w:hAnsi="Arial" w:cs="Arial"/>
          <w:spacing w:val="1"/>
          <w:sz w:val="20"/>
        </w:rPr>
        <w:t xml:space="preserve"> </w:t>
      </w:r>
      <w:r w:rsidRPr="002D1024">
        <w:rPr>
          <w:rFonts w:ascii="Arial" w:hAnsi="Arial" w:cs="Arial"/>
          <w:sz w:val="20"/>
        </w:rPr>
        <w:t>aircraft</w:t>
      </w:r>
      <w:r w:rsidRPr="002D1024">
        <w:rPr>
          <w:rFonts w:ascii="Arial" w:hAnsi="Arial" w:cs="Arial"/>
          <w:spacing w:val="1"/>
          <w:sz w:val="20"/>
        </w:rPr>
        <w:t xml:space="preserve"> </w:t>
      </w:r>
      <w:r w:rsidRPr="002D1024">
        <w:rPr>
          <w:rFonts w:ascii="Arial" w:hAnsi="Arial" w:cs="Arial"/>
          <w:sz w:val="20"/>
        </w:rPr>
        <w:t>continuing</w:t>
      </w:r>
      <w:r w:rsidRPr="002D1024">
        <w:rPr>
          <w:rFonts w:ascii="Arial" w:hAnsi="Arial" w:cs="Arial"/>
          <w:spacing w:val="1"/>
          <w:sz w:val="20"/>
        </w:rPr>
        <w:t xml:space="preserve"> </w:t>
      </w:r>
      <w:r w:rsidRPr="002D1024">
        <w:rPr>
          <w:rFonts w:ascii="Arial" w:hAnsi="Arial" w:cs="Arial"/>
          <w:sz w:val="20"/>
        </w:rPr>
        <w:t>airworthiness</w:t>
      </w:r>
      <w:r w:rsidRPr="002D1024">
        <w:rPr>
          <w:rFonts w:ascii="Arial" w:hAnsi="Arial" w:cs="Arial"/>
          <w:spacing w:val="1"/>
          <w:sz w:val="20"/>
        </w:rPr>
        <w:t xml:space="preserve"> </w:t>
      </w:r>
      <w:r w:rsidRPr="002D1024">
        <w:rPr>
          <w:rFonts w:ascii="Arial" w:hAnsi="Arial" w:cs="Arial"/>
          <w:sz w:val="20"/>
        </w:rPr>
        <w:t>records</w:t>
      </w:r>
      <w:r w:rsidRPr="002D1024">
        <w:rPr>
          <w:rFonts w:ascii="Arial" w:hAnsi="Arial" w:cs="Arial"/>
          <w:spacing w:val="1"/>
          <w:sz w:val="20"/>
        </w:rPr>
        <w:t xml:space="preserve"> </w:t>
      </w:r>
      <w:r w:rsidRPr="002D1024">
        <w:rPr>
          <w:rFonts w:ascii="Arial" w:hAnsi="Arial" w:cs="Arial"/>
          <w:sz w:val="20"/>
        </w:rPr>
        <w:t>shall</w:t>
      </w:r>
      <w:r w:rsidRPr="002D1024">
        <w:rPr>
          <w:rFonts w:ascii="Arial" w:hAnsi="Arial" w:cs="Arial"/>
          <w:spacing w:val="1"/>
          <w:sz w:val="20"/>
        </w:rPr>
        <w:t xml:space="preserve"> </w:t>
      </w:r>
      <w:r w:rsidRPr="002D1024">
        <w:rPr>
          <w:rFonts w:ascii="Arial" w:hAnsi="Arial" w:cs="Arial"/>
          <w:sz w:val="20"/>
        </w:rPr>
        <w:t>consist</w:t>
      </w:r>
      <w:r w:rsidRPr="002D1024">
        <w:rPr>
          <w:rFonts w:ascii="Arial" w:hAnsi="Arial" w:cs="Arial"/>
          <w:spacing w:val="1"/>
          <w:sz w:val="20"/>
        </w:rPr>
        <w:t xml:space="preserve"> </w:t>
      </w:r>
      <w:r w:rsidRPr="002D1024">
        <w:rPr>
          <w:rFonts w:ascii="Arial" w:hAnsi="Arial" w:cs="Arial"/>
          <w:sz w:val="20"/>
        </w:rPr>
        <w:t>of</w:t>
      </w:r>
      <w:r w:rsidRPr="002D1024">
        <w:rPr>
          <w:rFonts w:ascii="Arial" w:hAnsi="Arial" w:cs="Arial"/>
          <w:spacing w:val="1"/>
          <w:sz w:val="20"/>
        </w:rPr>
        <w:t xml:space="preserve"> </w:t>
      </w:r>
      <w:r w:rsidRPr="002D1024">
        <w:rPr>
          <w:rFonts w:ascii="Arial" w:hAnsi="Arial" w:cs="Arial"/>
          <w:sz w:val="20"/>
        </w:rPr>
        <w:t>an</w:t>
      </w:r>
      <w:r w:rsidRPr="002D1024">
        <w:rPr>
          <w:rFonts w:ascii="Arial" w:hAnsi="Arial" w:cs="Arial"/>
          <w:spacing w:val="1"/>
          <w:sz w:val="20"/>
        </w:rPr>
        <w:t xml:space="preserve"> </w:t>
      </w:r>
      <w:r w:rsidRPr="002D1024">
        <w:rPr>
          <w:rFonts w:ascii="Arial" w:hAnsi="Arial" w:cs="Arial"/>
          <w:sz w:val="20"/>
        </w:rPr>
        <w:t>aircraft</w:t>
      </w:r>
      <w:r w:rsidRPr="002D1024">
        <w:rPr>
          <w:rFonts w:ascii="Arial" w:hAnsi="Arial" w:cs="Arial"/>
          <w:spacing w:val="1"/>
          <w:sz w:val="20"/>
        </w:rPr>
        <w:t xml:space="preserve"> </w:t>
      </w:r>
      <w:r w:rsidRPr="002D1024">
        <w:rPr>
          <w:rFonts w:ascii="Arial" w:hAnsi="Arial" w:cs="Arial"/>
          <w:sz w:val="20"/>
        </w:rPr>
        <w:t>logbook,</w:t>
      </w:r>
      <w:r w:rsidRPr="002D1024">
        <w:rPr>
          <w:rFonts w:ascii="Arial" w:hAnsi="Arial" w:cs="Arial"/>
          <w:spacing w:val="1"/>
          <w:sz w:val="20"/>
        </w:rPr>
        <w:t xml:space="preserve"> </w:t>
      </w:r>
      <w:r w:rsidRPr="002D1024">
        <w:rPr>
          <w:rFonts w:ascii="Arial" w:hAnsi="Arial" w:cs="Arial"/>
          <w:sz w:val="20"/>
        </w:rPr>
        <w:t>engine</w:t>
      </w:r>
      <w:r w:rsidRPr="002D1024">
        <w:rPr>
          <w:rFonts w:ascii="Arial" w:hAnsi="Arial" w:cs="Arial"/>
          <w:spacing w:val="1"/>
          <w:sz w:val="20"/>
        </w:rPr>
        <w:t xml:space="preserve"> </w:t>
      </w:r>
      <w:r w:rsidRPr="002D1024">
        <w:rPr>
          <w:rFonts w:ascii="Arial" w:hAnsi="Arial" w:cs="Arial"/>
          <w:sz w:val="20"/>
        </w:rPr>
        <w:t>logbook(s) or engine module log cards, propeller logbook(s) and log cards, for any service-life-</w:t>
      </w:r>
      <w:r w:rsidRPr="002D1024">
        <w:rPr>
          <w:rFonts w:ascii="Arial" w:hAnsi="Arial" w:cs="Arial"/>
          <w:spacing w:val="1"/>
          <w:sz w:val="20"/>
        </w:rPr>
        <w:t xml:space="preserve"> </w:t>
      </w:r>
      <w:r w:rsidRPr="002D1024">
        <w:rPr>
          <w:rFonts w:ascii="Arial" w:hAnsi="Arial" w:cs="Arial"/>
          <w:sz w:val="20"/>
        </w:rPr>
        <w:t>limited</w:t>
      </w:r>
      <w:r w:rsidRPr="002D1024">
        <w:rPr>
          <w:rFonts w:ascii="Arial" w:hAnsi="Arial" w:cs="Arial"/>
          <w:spacing w:val="-3"/>
          <w:sz w:val="20"/>
        </w:rPr>
        <w:t xml:space="preserve"> </w:t>
      </w:r>
      <w:r w:rsidRPr="002D1024">
        <w:rPr>
          <w:rFonts w:ascii="Arial" w:hAnsi="Arial" w:cs="Arial"/>
          <w:sz w:val="20"/>
        </w:rPr>
        <w:t>component, as appropriate.</w:t>
      </w:r>
    </w:p>
    <w:p w14:paraId="5A69D99C" w14:textId="77777777" w:rsidR="002D1024" w:rsidRPr="002D1024" w:rsidRDefault="002D1024" w:rsidP="00AE59F6">
      <w:pPr>
        <w:numPr>
          <w:ilvl w:val="0"/>
          <w:numId w:val="297"/>
        </w:numPr>
        <w:tabs>
          <w:tab w:val="left" w:pos="707"/>
        </w:tabs>
        <w:spacing w:before="121" w:line="276" w:lineRule="auto"/>
        <w:ind w:right="199"/>
        <w:jc w:val="both"/>
        <w:rPr>
          <w:rFonts w:ascii="Arial" w:hAnsi="Arial" w:cs="Arial"/>
          <w:sz w:val="20"/>
        </w:rPr>
      </w:pPr>
      <w:r w:rsidRPr="002D1024">
        <w:rPr>
          <w:rFonts w:ascii="Arial" w:hAnsi="Arial" w:cs="Arial"/>
          <w:sz w:val="20"/>
        </w:rPr>
        <w:t>The aircraft type and registration mark, the date together with the total flight time and flight</w:t>
      </w:r>
      <w:r w:rsidRPr="002D1024">
        <w:rPr>
          <w:rFonts w:ascii="Arial" w:hAnsi="Arial" w:cs="Arial"/>
          <w:spacing w:val="1"/>
          <w:sz w:val="20"/>
        </w:rPr>
        <w:t xml:space="preserve"> </w:t>
      </w:r>
      <w:r w:rsidRPr="002D1024">
        <w:rPr>
          <w:rFonts w:ascii="Arial" w:hAnsi="Arial" w:cs="Arial"/>
          <w:sz w:val="20"/>
        </w:rPr>
        <w:t>cycles</w:t>
      </w:r>
      <w:r w:rsidRPr="002D1024">
        <w:rPr>
          <w:rFonts w:ascii="Arial" w:hAnsi="Arial" w:cs="Arial"/>
          <w:spacing w:val="-3"/>
          <w:sz w:val="20"/>
        </w:rPr>
        <w:t xml:space="preserve"> </w:t>
      </w:r>
      <w:r w:rsidRPr="002D1024">
        <w:rPr>
          <w:rFonts w:ascii="Arial" w:hAnsi="Arial" w:cs="Arial"/>
          <w:sz w:val="20"/>
        </w:rPr>
        <w:t>and</w:t>
      </w:r>
      <w:r w:rsidRPr="002D1024">
        <w:rPr>
          <w:rFonts w:ascii="Arial" w:hAnsi="Arial" w:cs="Arial"/>
          <w:spacing w:val="-1"/>
          <w:sz w:val="20"/>
        </w:rPr>
        <w:t xml:space="preserve"> </w:t>
      </w:r>
      <w:r w:rsidRPr="002D1024">
        <w:rPr>
          <w:rFonts w:ascii="Arial" w:hAnsi="Arial" w:cs="Arial"/>
          <w:sz w:val="20"/>
        </w:rPr>
        <w:t>landings, shall</w:t>
      </w:r>
      <w:r w:rsidRPr="002D1024">
        <w:rPr>
          <w:rFonts w:ascii="Arial" w:hAnsi="Arial" w:cs="Arial"/>
          <w:spacing w:val="-1"/>
          <w:sz w:val="20"/>
        </w:rPr>
        <w:t xml:space="preserve"> </w:t>
      </w:r>
      <w:r w:rsidRPr="002D1024">
        <w:rPr>
          <w:rFonts w:ascii="Arial" w:hAnsi="Arial" w:cs="Arial"/>
          <w:sz w:val="20"/>
        </w:rPr>
        <w:t>be</w:t>
      </w:r>
      <w:r w:rsidRPr="002D1024">
        <w:rPr>
          <w:rFonts w:ascii="Arial" w:hAnsi="Arial" w:cs="Arial"/>
          <w:spacing w:val="1"/>
          <w:sz w:val="20"/>
        </w:rPr>
        <w:t xml:space="preserve"> </w:t>
      </w:r>
      <w:r w:rsidRPr="002D1024">
        <w:rPr>
          <w:rFonts w:ascii="Arial" w:hAnsi="Arial" w:cs="Arial"/>
          <w:sz w:val="20"/>
        </w:rPr>
        <w:t>entered in</w:t>
      </w:r>
      <w:r w:rsidRPr="002D1024">
        <w:rPr>
          <w:rFonts w:ascii="Arial" w:hAnsi="Arial" w:cs="Arial"/>
          <w:spacing w:val="-2"/>
          <w:sz w:val="20"/>
        </w:rPr>
        <w:t xml:space="preserve"> </w:t>
      </w:r>
      <w:r w:rsidRPr="002D1024">
        <w:rPr>
          <w:rFonts w:ascii="Arial" w:hAnsi="Arial" w:cs="Arial"/>
          <w:sz w:val="20"/>
        </w:rPr>
        <w:t>the</w:t>
      </w:r>
      <w:r w:rsidRPr="002D1024">
        <w:rPr>
          <w:rFonts w:ascii="Arial" w:hAnsi="Arial" w:cs="Arial"/>
          <w:spacing w:val="1"/>
          <w:sz w:val="20"/>
        </w:rPr>
        <w:t xml:space="preserve"> </w:t>
      </w:r>
      <w:r w:rsidRPr="002D1024">
        <w:rPr>
          <w:rFonts w:ascii="Arial" w:hAnsi="Arial" w:cs="Arial"/>
          <w:sz w:val="20"/>
        </w:rPr>
        <w:t>aircraft logbooks.</w:t>
      </w:r>
    </w:p>
    <w:p w14:paraId="29CE2DDC" w14:textId="77777777" w:rsidR="002D1024" w:rsidRPr="002D1024" w:rsidRDefault="002D1024" w:rsidP="00AE59F6">
      <w:pPr>
        <w:numPr>
          <w:ilvl w:val="0"/>
          <w:numId w:val="297"/>
        </w:numPr>
        <w:tabs>
          <w:tab w:val="left" w:pos="707"/>
        </w:tabs>
        <w:spacing w:before="121" w:line="276" w:lineRule="auto"/>
        <w:jc w:val="both"/>
        <w:rPr>
          <w:rFonts w:ascii="Arial" w:hAnsi="Arial" w:cs="Arial"/>
          <w:sz w:val="20"/>
        </w:rPr>
      </w:pPr>
      <w:r w:rsidRPr="002D1024">
        <w:rPr>
          <w:rFonts w:ascii="Arial" w:hAnsi="Arial" w:cs="Arial"/>
          <w:sz w:val="20"/>
        </w:rPr>
        <w:t>The</w:t>
      </w:r>
      <w:r w:rsidRPr="002D1024">
        <w:rPr>
          <w:rFonts w:ascii="Arial" w:hAnsi="Arial" w:cs="Arial"/>
          <w:spacing w:val="-2"/>
          <w:sz w:val="20"/>
        </w:rPr>
        <w:t xml:space="preserve"> </w:t>
      </w:r>
      <w:r w:rsidRPr="002D1024">
        <w:rPr>
          <w:rFonts w:ascii="Arial" w:hAnsi="Arial" w:cs="Arial"/>
          <w:sz w:val="20"/>
        </w:rPr>
        <w:t>aircraft</w:t>
      </w:r>
      <w:r w:rsidRPr="002D1024">
        <w:rPr>
          <w:rFonts w:ascii="Arial" w:hAnsi="Arial" w:cs="Arial"/>
          <w:spacing w:val="-2"/>
          <w:sz w:val="20"/>
        </w:rPr>
        <w:t xml:space="preserve"> </w:t>
      </w:r>
      <w:r w:rsidRPr="002D1024">
        <w:rPr>
          <w:rFonts w:ascii="Arial" w:hAnsi="Arial" w:cs="Arial"/>
          <w:sz w:val="20"/>
        </w:rPr>
        <w:t>continuing</w:t>
      </w:r>
      <w:r w:rsidRPr="002D1024">
        <w:rPr>
          <w:rFonts w:ascii="Arial" w:hAnsi="Arial" w:cs="Arial"/>
          <w:spacing w:val="-3"/>
          <w:sz w:val="20"/>
        </w:rPr>
        <w:t xml:space="preserve"> </w:t>
      </w:r>
      <w:r w:rsidRPr="002D1024">
        <w:rPr>
          <w:rFonts w:ascii="Arial" w:hAnsi="Arial" w:cs="Arial"/>
          <w:sz w:val="20"/>
        </w:rPr>
        <w:t>airworthiness records</w:t>
      </w:r>
      <w:r w:rsidRPr="002D1024">
        <w:rPr>
          <w:rFonts w:ascii="Arial" w:hAnsi="Arial" w:cs="Arial"/>
          <w:spacing w:val="-5"/>
          <w:sz w:val="20"/>
        </w:rPr>
        <w:t xml:space="preserve"> </w:t>
      </w:r>
      <w:r w:rsidRPr="002D1024">
        <w:rPr>
          <w:rFonts w:ascii="Arial" w:hAnsi="Arial" w:cs="Arial"/>
          <w:sz w:val="20"/>
        </w:rPr>
        <w:t>shall</w:t>
      </w:r>
      <w:r w:rsidRPr="002D1024">
        <w:rPr>
          <w:rFonts w:ascii="Arial" w:hAnsi="Arial" w:cs="Arial"/>
          <w:spacing w:val="-2"/>
          <w:sz w:val="20"/>
        </w:rPr>
        <w:t xml:space="preserve"> </w:t>
      </w:r>
      <w:r w:rsidRPr="002D1024">
        <w:rPr>
          <w:rFonts w:ascii="Arial" w:hAnsi="Arial" w:cs="Arial"/>
          <w:sz w:val="20"/>
        </w:rPr>
        <w:t>contain:</w:t>
      </w:r>
    </w:p>
    <w:p w14:paraId="65C211E2" w14:textId="607D02A5" w:rsidR="002D1024" w:rsidRPr="002D1024" w:rsidRDefault="002D1024" w:rsidP="00AE59F6">
      <w:pPr>
        <w:numPr>
          <w:ilvl w:val="1"/>
          <w:numId w:val="297"/>
        </w:numPr>
        <w:tabs>
          <w:tab w:val="left" w:pos="1274"/>
        </w:tabs>
        <w:spacing w:before="120" w:line="276" w:lineRule="auto"/>
        <w:ind w:right="195"/>
        <w:jc w:val="both"/>
        <w:rPr>
          <w:rFonts w:ascii="Arial" w:hAnsi="Arial" w:cs="Arial"/>
          <w:sz w:val="20"/>
        </w:rPr>
      </w:pPr>
      <w:r w:rsidRPr="002D1024">
        <w:rPr>
          <w:rFonts w:ascii="Arial" w:hAnsi="Arial" w:cs="Arial"/>
          <w:sz w:val="20"/>
        </w:rPr>
        <w:t>the</w:t>
      </w:r>
      <w:r w:rsidRPr="002D1024">
        <w:rPr>
          <w:rFonts w:ascii="Arial" w:hAnsi="Arial" w:cs="Arial"/>
          <w:spacing w:val="1"/>
          <w:sz w:val="20"/>
        </w:rPr>
        <w:t xml:space="preserve"> </w:t>
      </w:r>
      <w:r w:rsidRPr="002D1024">
        <w:rPr>
          <w:rFonts w:ascii="Arial" w:hAnsi="Arial" w:cs="Arial"/>
          <w:sz w:val="20"/>
        </w:rPr>
        <w:t>current</w:t>
      </w:r>
      <w:r w:rsidRPr="002D1024">
        <w:rPr>
          <w:rFonts w:ascii="Arial" w:hAnsi="Arial" w:cs="Arial"/>
          <w:spacing w:val="1"/>
          <w:sz w:val="20"/>
        </w:rPr>
        <w:t xml:space="preserve"> </w:t>
      </w:r>
      <w:r w:rsidRPr="002D1024">
        <w:rPr>
          <w:rFonts w:ascii="Arial" w:hAnsi="Arial" w:cs="Arial"/>
          <w:sz w:val="20"/>
        </w:rPr>
        <w:t>status</w:t>
      </w:r>
      <w:r w:rsidRPr="002D1024">
        <w:rPr>
          <w:rFonts w:ascii="Arial" w:hAnsi="Arial" w:cs="Arial"/>
          <w:spacing w:val="1"/>
          <w:sz w:val="20"/>
        </w:rPr>
        <w:t xml:space="preserve"> </w:t>
      </w:r>
      <w:r w:rsidRPr="002D1024">
        <w:rPr>
          <w:rFonts w:ascii="Arial" w:hAnsi="Arial" w:cs="Arial"/>
          <w:sz w:val="20"/>
        </w:rPr>
        <w:t>of</w:t>
      </w:r>
      <w:r w:rsidRPr="002D1024">
        <w:rPr>
          <w:rFonts w:ascii="Arial" w:hAnsi="Arial" w:cs="Arial"/>
          <w:spacing w:val="1"/>
          <w:sz w:val="20"/>
        </w:rPr>
        <w:t xml:space="preserve"> </w:t>
      </w:r>
      <w:r w:rsidRPr="002D1024">
        <w:rPr>
          <w:rFonts w:ascii="Arial" w:hAnsi="Arial" w:cs="Arial"/>
          <w:sz w:val="20"/>
        </w:rPr>
        <w:t>ADs</w:t>
      </w:r>
      <w:r w:rsidRPr="002D1024">
        <w:rPr>
          <w:rFonts w:ascii="Arial" w:hAnsi="Arial" w:cs="Arial"/>
          <w:spacing w:val="1"/>
          <w:sz w:val="20"/>
        </w:rPr>
        <w:t xml:space="preserve"> </w:t>
      </w:r>
      <w:r w:rsidRPr="002D1024">
        <w:rPr>
          <w:rFonts w:ascii="Arial" w:hAnsi="Arial" w:cs="Arial"/>
          <w:sz w:val="20"/>
        </w:rPr>
        <w:t>and</w:t>
      </w:r>
      <w:r w:rsidRPr="002D1024">
        <w:rPr>
          <w:rFonts w:ascii="Arial" w:hAnsi="Arial" w:cs="Arial"/>
          <w:spacing w:val="1"/>
          <w:sz w:val="20"/>
        </w:rPr>
        <w:t xml:space="preserve"> </w:t>
      </w:r>
      <w:r w:rsidRPr="002D1024">
        <w:rPr>
          <w:rFonts w:ascii="Arial" w:hAnsi="Arial" w:cs="Arial"/>
          <w:sz w:val="20"/>
        </w:rPr>
        <w:t>measures</w:t>
      </w:r>
      <w:r w:rsidRPr="002D1024">
        <w:rPr>
          <w:rFonts w:ascii="Arial" w:hAnsi="Arial" w:cs="Arial"/>
          <w:spacing w:val="1"/>
          <w:sz w:val="20"/>
        </w:rPr>
        <w:t xml:space="preserve"> </w:t>
      </w:r>
      <w:r w:rsidRPr="002D1024">
        <w:rPr>
          <w:rFonts w:ascii="Arial" w:hAnsi="Arial" w:cs="Arial"/>
          <w:sz w:val="20"/>
        </w:rPr>
        <w:t>mandated</w:t>
      </w:r>
      <w:r w:rsidRPr="002D1024">
        <w:rPr>
          <w:rFonts w:ascii="Arial" w:hAnsi="Arial" w:cs="Arial"/>
          <w:spacing w:val="1"/>
          <w:sz w:val="20"/>
        </w:rPr>
        <w:t xml:space="preserve"> </w:t>
      </w:r>
      <w:r w:rsidRPr="002D1024">
        <w:rPr>
          <w:rFonts w:ascii="Arial" w:hAnsi="Arial" w:cs="Arial"/>
          <w:sz w:val="20"/>
        </w:rPr>
        <w:t>by</w:t>
      </w:r>
      <w:r w:rsidRPr="002D1024">
        <w:rPr>
          <w:rFonts w:ascii="Arial" w:hAnsi="Arial" w:cs="Arial"/>
          <w:spacing w:val="1"/>
          <w:sz w:val="20"/>
        </w:rPr>
        <w:t xml:space="preserve"> </w:t>
      </w:r>
      <w:r w:rsidRPr="002D1024">
        <w:rPr>
          <w:rFonts w:ascii="Arial" w:hAnsi="Arial" w:cs="Arial"/>
          <w:sz w:val="20"/>
        </w:rPr>
        <w:t>the</w:t>
      </w:r>
      <w:r w:rsidRPr="002D1024">
        <w:rPr>
          <w:rFonts w:ascii="Arial" w:hAnsi="Arial" w:cs="Arial"/>
          <w:spacing w:val="1"/>
          <w:sz w:val="20"/>
        </w:rPr>
        <w:t xml:space="preserve"> </w:t>
      </w:r>
      <w:r w:rsidR="004E22F1">
        <w:rPr>
          <w:rFonts w:ascii="Arial" w:hAnsi="Arial" w:cs="Arial"/>
          <w:sz w:val="20"/>
          <w:szCs w:val="20"/>
        </w:rPr>
        <w:t xml:space="preserve">CAC RA </w:t>
      </w:r>
      <w:r w:rsidRPr="002D1024">
        <w:rPr>
          <w:rFonts w:ascii="Arial" w:hAnsi="Arial" w:cs="Arial"/>
          <w:sz w:val="20"/>
        </w:rPr>
        <w:t>in</w:t>
      </w:r>
      <w:r w:rsidRPr="002D1024">
        <w:rPr>
          <w:rFonts w:ascii="Arial" w:hAnsi="Arial" w:cs="Arial"/>
          <w:spacing w:val="1"/>
          <w:sz w:val="20"/>
        </w:rPr>
        <w:t xml:space="preserve"> </w:t>
      </w:r>
      <w:r w:rsidRPr="002D1024">
        <w:rPr>
          <w:rFonts w:ascii="Arial" w:hAnsi="Arial" w:cs="Arial"/>
          <w:sz w:val="20"/>
        </w:rPr>
        <w:t>immediate</w:t>
      </w:r>
      <w:r w:rsidRPr="002D1024">
        <w:rPr>
          <w:rFonts w:ascii="Arial" w:hAnsi="Arial" w:cs="Arial"/>
          <w:spacing w:val="-3"/>
          <w:sz w:val="20"/>
        </w:rPr>
        <w:t xml:space="preserve"> </w:t>
      </w:r>
      <w:r w:rsidRPr="002D1024">
        <w:rPr>
          <w:rFonts w:ascii="Arial" w:hAnsi="Arial" w:cs="Arial"/>
          <w:sz w:val="20"/>
        </w:rPr>
        <w:t>reaction</w:t>
      </w:r>
      <w:r w:rsidRPr="002D1024">
        <w:rPr>
          <w:rFonts w:ascii="Arial" w:hAnsi="Arial" w:cs="Arial"/>
          <w:spacing w:val="-3"/>
          <w:sz w:val="20"/>
        </w:rPr>
        <w:t xml:space="preserve"> </w:t>
      </w:r>
      <w:r w:rsidRPr="002D1024">
        <w:rPr>
          <w:rFonts w:ascii="Arial" w:hAnsi="Arial" w:cs="Arial"/>
          <w:sz w:val="20"/>
        </w:rPr>
        <w:t>to</w:t>
      </w:r>
      <w:r w:rsidRPr="002D1024">
        <w:rPr>
          <w:rFonts w:ascii="Arial" w:hAnsi="Arial" w:cs="Arial"/>
          <w:spacing w:val="-1"/>
          <w:sz w:val="20"/>
        </w:rPr>
        <w:t xml:space="preserve"> </w:t>
      </w:r>
      <w:r w:rsidRPr="002D1024">
        <w:rPr>
          <w:rFonts w:ascii="Arial" w:hAnsi="Arial" w:cs="Arial"/>
          <w:sz w:val="20"/>
        </w:rPr>
        <w:t>a safety problem;</w:t>
      </w:r>
    </w:p>
    <w:p w14:paraId="6134F772" w14:textId="77777777" w:rsidR="002D1024" w:rsidRPr="002D1024" w:rsidRDefault="002D1024" w:rsidP="00AE59F6">
      <w:pPr>
        <w:numPr>
          <w:ilvl w:val="1"/>
          <w:numId w:val="297"/>
        </w:numPr>
        <w:tabs>
          <w:tab w:val="left" w:pos="1274"/>
        </w:tabs>
        <w:spacing w:before="123" w:line="276" w:lineRule="auto"/>
        <w:ind w:right="198"/>
        <w:jc w:val="both"/>
        <w:rPr>
          <w:rFonts w:ascii="Arial" w:hAnsi="Arial" w:cs="Arial"/>
          <w:sz w:val="20"/>
        </w:rPr>
      </w:pPr>
      <w:r w:rsidRPr="002D1024">
        <w:rPr>
          <w:rFonts w:ascii="Arial" w:hAnsi="Arial" w:cs="Arial"/>
          <w:sz w:val="20"/>
        </w:rPr>
        <w:t>the</w:t>
      </w:r>
      <w:r w:rsidRPr="002D1024">
        <w:rPr>
          <w:rFonts w:ascii="Arial" w:hAnsi="Arial" w:cs="Arial"/>
          <w:spacing w:val="1"/>
          <w:sz w:val="20"/>
        </w:rPr>
        <w:t xml:space="preserve"> </w:t>
      </w:r>
      <w:r w:rsidRPr="002D1024">
        <w:rPr>
          <w:rFonts w:ascii="Arial" w:hAnsi="Arial" w:cs="Arial"/>
          <w:sz w:val="20"/>
        </w:rPr>
        <w:t>current</w:t>
      </w:r>
      <w:r w:rsidRPr="002D1024">
        <w:rPr>
          <w:rFonts w:ascii="Arial" w:hAnsi="Arial" w:cs="Arial"/>
          <w:spacing w:val="1"/>
          <w:sz w:val="20"/>
        </w:rPr>
        <w:t xml:space="preserve"> </w:t>
      </w:r>
      <w:r w:rsidRPr="002D1024">
        <w:rPr>
          <w:rFonts w:ascii="Arial" w:hAnsi="Arial" w:cs="Arial"/>
          <w:sz w:val="20"/>
        </w:rPr>
        <w:t>status</w:t>
      </w:r>
      <w:r w:rsidRPr="002D1024">
        <w:rPr>
          <w:rFonts w:ascii="Arial" w:hAnsi="Arial" w:cs="Arial"/>
          <w:spacing w:val="1"/>
          <w:sz w:val="20"/>
        </w:rPr>
        <w:t xml:space="preserve"> </w:t>
      </w:r>
      <w:r w:rsidRPr="002D1024">
        <w:rPr>
          <w:rFonts w:ascii="Arial" w:hAnsi="Arial" w:cs="Arial"/>
          <w:sz w:val="20"/>
        </w:rPr>
        <w:t>of</w:t>
      </w:r>
      <w:r w:rsidRPr="002D1024">
        <w:rPr>
          <w:rFonts w:ascii="Arial" w:hAnsi="Arial" w:cs="Arial"/>
          <w:spacing w:val="1"/>
          <w:sz w:val="20"/>
        </w:rPr>
        <w:t xml:space="preserve"> </w:t>
      </w:r>
      <w:r w:rsidRPr="002D1024">
        <w:rPr>
          <w:rFonts w:ascii="Arial" w:hAnsi="Arial" w:cs="Arial"/>
          <w:sz w:val="20"/>
        </w:rPr>
        <w:t>modifications,</w:t>
      </w:r>
      <w:r w:rsidRPr="002D1024">
        <w:rPr>
          <w:rFonts w:ascii="Arial" w:hAnsi="Arial" w:cs="Arial"/>
          <w:spacing w:val="1"/>
          <w:sz w:val="20"/>
        </w:rPr>
        <w:t xml:space="preserve"> </w:t>
      </w:r>
      <w:r w:rsidRPr="002D1024">
        <w:rPr>
          <w:rFonts w:ascii="Arial" w:hAnsi="Arial" w:cs="Arial"/>
          <w:sz w:val="20"/>
        </w:rPr>
        <w:t>repairs</w:t>
      </w:r>
      <w:r w:rsidRPr="002D1024">
        <w:rPr>
          <w:rFonts w:ascii="Arial" w:hAnsi="Arial" w:cs="Arial"/>
          <w:spacing w:val="1"/>
          <w:sz w:val="20"/>
        </w:rPr>
        <w:t xml:space="preserve"> </w:t>
      </w:r>
      <w:r w:rsidRPr="002D1024">
        <w:rPr>
          <w:rFonts w:ascii="Arial" w:hAnsi="Arial" w:cs="Arial"/>
          <w:sz w:val="20"/>
        </w:rPr>
        <w:t>and</w:t>
      </w:r>
      <w:r w:rsidRPr="002D1024">
        <w:rPr>
          <w:rFonts w:ascii="Arial" w:hAnsi="Arial" w:cs="Arial"/>
          <w:spacing w:val="1"/>
          <w:sz w:val="20"/>
        </w:rPr>
        <w:t xml:space="preserve"> </w:t>
      </w:r>
      <w:r w:rsidRPr="002D1024">
        <w:rPr>
          <w:rFonts w:ascii="Arial" w:hAnsi="Arial" w:cs="Arial"/>
          <w:sz w:val="20"/>
        </w:rPr>
        <w:t>other</w:t>
      </w:r>
      <w:r w:rsidRPr="002D1024">
        <w:rPr>
          <w:rFonts w:ascii="Arial" w:hAnsi="Arial" w:cs="Arial"/>
          <w:spacing w:val="1"/>
          <w:sz w:val="20"/>
        </w:rPr>
        <w:t xml:space="preserve"> </w:t>
      </w:r>
      <w:r w:rsidRPr="002D1024">
        <w:rPr>
          <w:rFonts w:ascii="Arial" w:hAnsi="Arial" w:cs="Arial"/>
          <w:sz w:val="20"/>
        </w:rPr>
        <w:t>DAH</w:t>
      </w:r>
      <w:r w:rsidRPr="002D1024">
        <w:rPr>
          <w:rFonts w:ascii="Arial" w:hAnsi="Arial" w:cs="Arial"/>
          <w:spacing w:val="1"/>
          <w:sz w:val="20"/>
        </w:rPr>
        <w:t xml:space="preserve"> </w:t>
      </w:r>
      <w:r w:rsidRPr="002D1024">
        <w:rPr>
          <w:rFonts w:ascii="Arial" w:hAnsi="Arial" w:cs="Arial"/>
          <w:sz w:val="20"/>
        </w:rPr>
        <w:t>maintenance</w:t>
      </w:r>
      <w:r w:rsidRPr="002D1024">
        <w:rPr>
          <w:rFonts w:ascii="Arial" w:hAnsi="Arial" w:cs="Arial"/>
          <w:spacing w:val="1"/>
          <w:sz w:val="20"/>
        </w:rPr>
        <w:t xml:space="preserve"> </w:t>
      </w:r>
      <w:r w:rsidRPr="002D1024">
        <w:rPr>
          <w:rFonts w:ascii="Arial" w:hAnsi="Arial" w:cs="Arial"/>
          <w:sz w:val="20"/>
        </w:rPr>
        <w:t>recommendations;</w:t>
      </w:r>
    </w:p>
    <w:p w14:paraId="4805C347" w14:textId="77777777" w:rsidR="002D1024" w:rsidRPr="002D1024" w:rsidRDefault="002D1024" w:rsidP="00AE59F6">
      <w:pPr>
        <w:pStyle w:val="ListParagraph"/>
        <w:numPr>
          <w:ilvl w:val="1"/>
          <w:numId w:val="297"/>
        </w:numPr>
        <w:tabs>
          <w:tab w:val="left" w:pos="1273"/>
          <w:tab w:val="left" w:pos="1274"/>
        </w:tabs>
        <w:spacing w:before="57" w:line="276" w:lineRule="auto"/>
        <w:ind w:hanging="568"/>
        <w:jc w:val="both"/>
        <w:rPr>
          <w:rFonts w:ascii="Arial" w:hAnsi="Arial" w:cs="Arial"/>
          <w:sz w:val="20"/>
        </w:rPr>
      </w:pPr>
      <w:r w:rsidRPr="002D1024">
        <w:rPr>
          <w:rFonts w:ascii="Arial" w:hAnsi="Arial" w:cs="Arial"/>
          <w:sz w:val="20"/>
        </w:rPr>
        <w:t>the</w:t>
      </w:r>
      <w:r w:rsidRPr="002D1024">
        <w:rPr>
          <w:rFonts w:ascii="Arial" w:hAnsi="Arial" w:cs="Arial"/>
          <w:spacing w:val="-1"/>
          <w:sz w:val="20"/>
        </w:rPr>
        <w:t xml:space="preserve"> </w:t>
      </w:r>
      <w:r w:rsidRPr="002D1024">
        <w:rPr>
          <w:rFonts w:ascii="Arial" w:hAnsi="Arial" w:cs="Arial"/>
          <w:sz w:val="20"/>
        </w:rPr>
        <w:t>current</w:t>
      </w:r>
      <w:r w:rsidRPr="002D1024">
        <w:rPr>
          <w:rFonts w:ascii="Arial" w:hAnsi="Arial" w:cs="Arial"/>
          <w:spacing w:val="-3"/>
          <w:sz w:val="20"/>
        </w:rPr>
        <w:t xml:space="preserve"> </w:t>
      </w:r>
      <w:r w:rsidRPr="002D1024">
        <w:rPr>
          <w:rFonts w:ascii="Arial" w:hAnsi="Arial" w:cs="Arial"/>
          <w:sz w:val="20"/>
        </w:rPr>
        <w:t>status</w:t>
      </w:r>
      <w:r w:rsidRPr="002D1024">
        <w:rPr>
          <w:rFonts w:ascii="Arial" w:hAnsi="Arial" w:cs="Arial"/>
          <w:spacing w:val="-1"/>
          <w:sz w:val="20"/>
        </w:rPr>
        <w:t xml:space="preserve"> </w:t>
      </w:r>
      <w:r w:rsidRPr="002D1024">
        <w:rPr>
          <w:rFonts w:ascii="Arial" w:hAnsi="Arial" w:cs="Arial"/>
          <w:sz w:val="20"/>
        </w:rPr>
        <w:t>of</w:t>
      </w:r>
      <w:r w:rsidRPr="002D1024">
        <w:rPr>
          <w:rFonts w:ascii="Arial" w:hAnsi="Arial" w:cs="Arial"/>
          <w:spacing w:val="-3"/>
          <w:sz w:val="20"/>
        </w:rPr>
        <w:t xml:space="preserve"> </w:t>
      </w:r>
      <w:r w:rsidRPr="002D1024">
        <w:rPr>
          <w:rFonts w:ascii="Arial" w:hAnsi="Arial" w:cs="Arial"/>
          <w:sz w:val="20"/>
        </w:rPr>
        <w:t>compliance with</w:t>
      </w:r>
      <w:r w:rsidRPr="002D1024">
        <w:rPr>
          <w:rFonts w:ascii="Arial" w:hAnsi="Arial" w:cs="Arial"/>
          <w:spacing w:val="-1"/>
          <w:sz w:val="20"/>
        </w:rPr>
        <w:t xml:space="preserve"> </w:t>
      </w:r>
      <w:r w:rsidRPr="002D1024">
        <w:rPr>
          <w:rFonts w:ascii="Arial" w:hAnsi="Arial" w:cs="Arial"/>
          <w:sz w:val="20"/>
        </w:rPr>
        <w:t>the AMP;</w:t>
      </w:r>
    </w:p>
    <w:p w14:paraId="20216618" w14:textId="77777777" w:rsidR="002D1024" w:rsidRPr="002D1024" w:rsidRDefault="002D1024" w:rsidP="00AE59F6">
      <w:pPr>
        <w:pStyle w:val="ListParagraph"/>
        <w:numPr>
          <w:ilvl w:val="1"/>
          <w:numId w:val="297"/>
        </w:numPr>
        <w:tabs>
          <w:tab w:val="left" w:pos="1273"/>
          <w:tab w:val="left" w:pos="1274"/>
        </w:tabs>
        <w:spacing w:line="276" w:lineRule="auto"/>
        <w:ind w:hanging="568"/>
        <w:jc w:val="both"/>
        <w:rPr>
          <w:rFonts w:ascii="Arial" w:hAnsi="Arial" w:cs="Arial"/>
          <w:sz w:val="20"/>
        </w:rPr>
      </w:pPr>
      <w:r w:rsidRPr="002D1024">
        <w:rPr>
          <w:rFonts w:ascii="Arial" w:hAnsi="Arial" w:cs="Arial"/>
          <w:sz w:val="20"/>
        </w:rPr>
        <w:t>the</w:t>
      </w:r>
      <w:r w:rsidRPr="002D1024">
        <w:rPr>
          <w:rFonts w:ascii="Arial" w:hAnsi="Arial" w:cs="Arial"/>
          <w:spacing w:val="-2"/>
          <w:sz w:val="20"/>
        </w:rPr>
        <w:t xml:space="preserve"> </w:t>
      </w:r>
      <w:r w:rsidRPr="002D1024">
        <w:rPr>
          <w:rFonts w:ascii="Arial" w:hAnsi="Arial" w:cs="Arial"/>
          <w:sz w:val="20"/>
        </w:rPr>
        <w:t>current</w:t>
      </w:r>
      <w:r w:rsidRPr="002D1024">
        <w:rPr>
          <w:rFonts w:ascii="Arial" w:hAnsi="Arial" w:cs="Arial"/>
          <w:spacing w:val="-4"/>
          <w:sz w:val="20"/>
        </w:rPr>
        <w:t xml:space="preserve"> </w:t>
      </w:r>
      <w:r w:rsidRPr="002D1024">
        <w:rPr>
          <w:rFonts w:ascii="Arial" w:hAnsi="Arial" w:cs="Arial"/>
          <w:sz w:val="20"/>
        </w:rPr>
        <w:t>status</w:t>
      </w:r>
      <w:r w:rsidRPr="002D1024">
        <w:rPr>
          <w:rFonts w:ascii="Arial" w:hAnsi="Arial" w:cs="Arial"/>
          <w:spacing w:val="-1"/>
          <w:sz w:val="20"/>
        </w:rPr>
        <w:t xml:space="preserve"> </w:t>
      </w:r>
      <w:r w:rsidRPr="002D1024">
        <w:rPr>
          <w:rFonts w:ascii="Arial" w:hAnsi="Arial" w:cs="Arial"/>
          <w:sz w:val="20"/>
        </w:rPr>
        <w:t>of</w:t>
      </w:r>
      <w:r w:rsidRPr="002D1024">
        <w:rPr>
          <w:rFonts w:ascii="Arial" w:hAnsi="Arial" w:cs="Arial"/>
          <w:spacing w:val="-5"/>
          <w:sz w:val="20"/>
        </w:rPr>
        <w:t xml:space="preserve"> </w:t>
      </w:r>
      <w:r w:rsidRPr="002D1024">
        <w:rPr>
          <w:rFonts w:ascii="Arial" w:hAnsi="Arial" w:cs="Arial"/>
          <w:sz w:val="20"/>
        </w:rPr>
        <w:t>service-life-limited</w:t>
      </w:r>
      <w:r w:rsidRPr="002D1024">
        <w:rPr>
          <w:rFonts w:ascii="Arial" w:hAnsi="Arial" w:cs="Arial"/>
          <w:spacing w:val="-3"/>
          <w:sz w:val="20"/>
        </w:rPr>
        <w:t xml:space="preserve"> </w:t>
      </w:r>
      <w:r w:rsidRPr="002D1024">
        <w:rPr>
          <w:rFonts w:ascii="Arial" w:hAnsi="Arial" w:cs="Arial"/>
          <w:sz w:val="20"/>
        </w:rPr>
        <w:t>components;</w:t>
      </w:r>
    </w:p>
    <w:p w14:paraId="3C565E64" w14:textId="77777777" w:rsidR="002D1024" w:rsidRPr="002D1024" w:rsidRDefault="002D1024" w:rsidP="00AE59F6">
      <w:pPr>
        <w:pStyle w:val="ListParagraph"/>
        <w:numPr>
          <w:ilvl w:val="1"/>
          <w:numId w:val="297"/>
        </w:numPr>
        <w:tabs>
          <w:tab w:val="left" w:pos="1273"/>
          <w:tab w:val="left" w:pos="1274"/>
        </w:tabs>
        <w:spacing w:before="118" w:line="276" w:lineRule="auto"/>
        <w:ind w:hanging="568"/>
        <w:jc w:val="both"/>
        <w:rPr>
          <w:rFonts w:ascii="Arial" w:hAnsi="Arial" w:cs="Arial"/>
          <w:sz w:val="20"/>
        </w:rPr>
      </w:pPr>
      <w:r w:rsidRPr="002D1024">
        <w:rPr>
          <w:rFonts w:ascii="Arial" w:hAnsi="Arial" w:cs="Arial"/>
          <w:sz w:val="20"/>
        </w:rPr>
        <w:t>the</w:t>
      </w:r>
      <w:r w:rsidRPr="002D1024">
        <w:rPr>
          <w:rFonts w:ascii="Arial" w:hAnsi="Arial" w:cs="Arial"/>
          <w:spacing w:val="-1"/>
          <w:sz w:val="20"/>
        </w:rPr>
        <w:t xml:space="preserve"> </w:t>
      </w:r>
      <w:r w:rsidRPr="002D1024">
        <w:rPr>
          <w:rFonts w:ascii="Arial" w:hAnsi="Arial" w:cs="Arial"/>
          <w:sz w:val="20"/>
        </w:rPr>
        <w:t>current</w:t>
      </w:r>
      <w:r w:rsidRPr="002D1024">
        <w:rPr>
          <w:rFonts w:ascii="Arial" w:hAnsi="Arial" w:cs="Arial"/>
          <w:spacing w:val="-3"/>
          <w:sz w:val="20"/>
        </w:rPr>
        <w:t xml:space="preserve"> </w:t>
      </w:r>
      <w:r w:rsidRPr="002D1024">
        <w:rPr>
          <w:rFonts w:ascii="Arial" w:hAnsi="Arial" w:cs="Arial"/>
          <w:sz w:val="20"/>
        </w:rPr>
        <w:t>mass and</w:t>
      </w:r>
      <w:r w:rsidRPr="002D1024">
        <w:rPr>
          <w:rFonts w:ascii="Arial" w:hAnsi="Arial" w:cs="Arial"/>
          <w:spacing w:val="-2"/>
          <w:sz w:val="20"/>
        </w:rPr>
        <w:t xml:space="preserve"> </w:t>
      </w:r>
      <w:r w:rsidRPr="002D1024">
        <w:rPr>
          <w:rFonts w:ascii="Arial" w:hAnsi="Arial" w:cs="Arial"/>
          <w:sz w:val="20"/>
        </w:rPr>
        <w:t>balance</w:t>
      </w:r>
      <w:r w:rsidRPr="002D1024">
        <w:rPr>
          <w:rFonts w:ascii="Arial" w:hAnsi="Arial" w:cs="Arial"/>
          <w:spacing w:val="1"/>
          <w:sz w:val="20"/>
        </w:rPr>
        <w:t xml:space="preserve"> </w:t>
      </w:r>
      <w:r w:rsidRPr="002D1024">
        <w:rPr>
          <w:rFonts w:ascii="Arial" w:hAnsi="Arial" w:cs="Arial"/>
          <w:sz w:val="20"/>
        </w:rPr>
        <w:t>report;</w:t>
      </w:r>
    </w:p>
    <w:p w14:paraId="586FFA98" w14:textId="77777777" w:rsidR="002D1024" w:rsidRPr="002D1024" w:rsidRDefault="002D1024" w:rsidP="00AE59F6">
      <w:pPr>
        <w:pStyle w:val="ListParagraph"/>
        <w:numPr>
          <w:ilvl w:val="1"/>
          <w:numId w:val="297"/>
        </w:numPr>
        <w:tabs>
          <w:tab w:val="left" w:pos="1273"/>
          <w:tab w:val="left" w:pos="1274"/>
        </w:tabs>
        <w:spacing w:line="276" w:lineRule="auto"/>
        <w:ind w:hanging="568"/>
        <w:jc w:val="both"/>
        <w:rPr>
          <w:rFonts w:ascii="Arial" w:hAnsi="Arial" w:cs="Arial"/>
          <w:sz w:val="20"/>
        </w:rPr>
      </w:pPr>
      <w:r w:rsidRPr="002D1024">
        <w:rPr>
          <w:rFonts w:ascii="Arial" w:hAnsi="Arial" w:cs="Arial"/>
          <w:sz w:val="20"/>
        </w:rPr>
        <w:t>the current</w:t>
      </w:r>
      <w:r w:rsidRPr="002D1024">
        <w:rPr>
          <w:rFonts w:ascii="Arial" w:hAnsi="Arial" w:cs="Arial"/>
          <w:spacing w:val="-2"/>
          <w:sz w:val="20"/>
        </w:rPr>
        <w:t xml:space="preserve"> </w:t>
      </w:r>
      <w:r w:rsidRPr="002D1024">
        <w:rPr>
          <w:rFonts w:ascii="Arial" w:hAnsi="Arial" w:cs="Arial"/>
          <w:sz w:val="20"/>
        </w:rPr>
        <w:t>list</w:t>
      </w:r>
      <w:r w:rsidRPr="002D1024">
        <w:rPr>
          <w:rFonts w:ascii="Arial" w:hAnsi="Arial" w:cs="Arial"/>
          <w:spacing w:val="-2"/>
          <w:sz w:val="20"/>
        </w:rPr>
        <w:t xml:space="preserve"> </w:t>
      </w:r>
      <w:r w:rsidRPr="002D1024">
        <w:rPr>
          <w:rFonts w:ascii="Arial" w:hAnsi="Arial" w:cs="Arial"/>
          <w:sz w:val="20"/>
        </w:rPr>
        <w:t>of deferred</w:t>
      </w:r>
      <w:r w:rsidRPr="002D1024">
        <w:rPr>
          <w:rFonts w:ascii="Arial" w:hAnsi="Arial" w:cs="Arial"/>
          <w:spacing w:val="-4"/>
          <w:sz w:val="20"/>
        </w:rPr>
        <w:t xml:space="preserve"> </w:t>
      </w:r>
      <w:r w:rsidRPr="002D1024">
        <w:rPr>
          <w:rFonts w:ascii="Arial" w:hAnsi="Arial" w:cs="Arial"/>
          <w:sz w:val="20"/>
        </w:rPr>
        <w:t>maintenance.</w:t>
      </w:r>
    </w:p>
    <w:p w14:paraId="5AED7202" w14:textId="0C2CC56A" w:rsidR="002D1024" w:rsidRPr="002D1024" w:rsidRDefault="002D1024" w:rsidP="00AE59F6">
      <w:pPr>
        <w:pStyle w:val="ListParagraph"/>
        <w:numPr>
          <w:ilvl w:val="0"/>
          <w:numId w:val="297"/>
        </w:numPr>
        <w:tabs>
          <w:tab w:val="left" w:pos="707"/>
        </w:tabs>
        <w:spacing w:line="276" w:lineRule="auto"/>
        <w:ind w:right="194"/>
        <w:jc w:val="both"/>
        <w:rPr>
          <w:rFonts w:ascii="Arial" w:hAnsi="Arial" w:cs="Arial"/>
          <w:sz w:val="20"/>
        </w:rPr>
      </w:pPr>
      <w:r w:rsidRPr="002D1024">
        <w:rPr>
          <w:rFonts w:ascii="Arial" w:hAnsi="Arial" w:cs="Arial"/>
          <w:sz w:val="20"/>
        </w:rPr>
        <w:t>In addition to the authorised release document, EASA Form 1</w:t>
      </w:r>
      <w:r w:rsidR="00244E1F">
        <w:rPr>
          <w:rFonts w:ascii="Arial" w:hAnsi="Arial" w:cs="Arial"/>
          <w:sz w:val="20"/>
        </w:rPr>
        <w:t xml:space="preserve"> (</w:t>
      </w:r>
      <w:hyperlink r:id="rId104" w:history="1">
        <w:r w:rsidR="00244E1F" w:rsidRPr="00244E1F">
          <w:rPr>
            <w:rStyle w:val="Hyperlink"/>
            <w:rFonts w:ascii="Arial" w:hAnsi="Arial" w:cs="Arial"/>
            <w:sz w:val="20"/>
            <w:szCs w:val="20"/>
          </w:rPr>
          <w:t>the order N 20-N of the Minister of Territorial Administration and Infrastructure of RA, dated 18.11.2022</w:t>
        </w:r>
      </w:hyperlink>
      <w:r w:rsidR="00244E1F">
        <w:rPr>
          <w:rFonts w:ascii="Arial" w:hAnsi="Arial" w:cs="Arial"/>
          <w:sz w:val="20"/>
        </w:rPr>
        <w:t>)</w:t>
      </w:r>
      <w:r w:rsidRPr="002D1024">
        <w:rPr>
          <w:rFonts w:ascii="Arial" w:hAnsi="Arial" w:cs="Arial"/>
          <w:sz w:val="20"/>
        </w:rPr>
        <w:t>, as set out in Appendix II of</w:t>
      </w:r>
      <w:r w:rsidRPr="002D1024">
        <w:rPr>
          <w:rFonts w:ascii="Arial" w:hAnsi="Arial" w:cs="Arial"/>
          <w:spacing w:val="1"/>
          <w:sz w:val="20"/>
        </w:rPr>
        <w:t xml:space="preserve"> </w:t>
      </w:r>
      <w:r w:rsidRPr="002D1024">
        <w:rPr>
          <w:rFonts w:ascii="Arial" w:hAnsi="Arial" w:cs="Arial"/>
          <w:sz w:val="20"/>
        </w:rPr>
        <w:t>Annex</w:t>
      </w:r>
      <w:r w:rsidRPr="002D1024">
        <w:rPr>
          <w:rFonts w:ascii="Arial" w:hAnsi="Arial" w:cs="Arial"/>
          <w:spacing w:val="-1"/>
          <w:sz w:val="20"/>
        </w:rPr>
        <w:t xml:space="preserve"> </w:t>
      </w:r>
      <w:r w:rsidRPr="002D1024">
        <w:rPr>
          <w:rFonts w:ascii="Arial" w:hAnsi="Arial" w:cs="Arial"/>
          <w:sz w:val="20"/>
        </w:rPr>
        <w:t>I</w:t>
      </w:r>
      <w:r w:rsidRPr="002D1024">
        <w:rPr>
          <w:rFonts w:ascii="Arial" w:hAnsi="Arial" w:cs="Arial"/>
          <w:spacing w:val="-7"/>
          <w:sz w:val="20"/>
        </w:rPr>
        <w:t xml:space="preserve"> </w:t>
      </w:r>
      <w:r w:rsidRPr="002D1024">
        <w:rPr>
          <w:rFonts w:ascii="Arial" w:hAnsi="Arial" w:cs="Arial"/>
          <w:sz w:val="20"/>
        </w:rPr>
        <w:t>(Part-M),</w:t>
      </w:r>
      <w:r w:rsidRPr="002D1024">
        <w:rPr>
          <w:rFonts w:ascii="Arial" w:hAnsi="Arial" w:cs="Arial"/>
          <w:spacing w:val="-6"/>
          <w:sz w:val="20"/>
        </w:rPr>
        <w:t xml:space="preserve"> </w:t>
      </w:r>
      <w:r w:rsidRPr="002D1024">
        <w:rPr>
          <w:rFonts w:ascii="Arial" w:hAnsi="Arial" w:cs="Arial"/>
          <w:sz w:val="20"/>
        </w:rPr>
        <w:t>or</w:t>
      </w:r>
      <w:r w:rsidRPr="002D1024">
        <w:rPr>
          <w:rFonts w:ascii="Arial" w:hAnsi="Arial" w:cs="Arial"/>
          <w:spacing w:val="-8"/>
          <w:sz w:val="20"/>
        </w:rPr>
        <w:t xml:space="preserve"> </w:t>
      </w:r>
      <w:r w:rsidRPr="002D1024">
        <w:rPr>
          <w:rFonts w:ascii="Arial" w:hAnsi="Arial" w:cs="Arial"/>
          <w:sz w:val="20"/>
        </w:rPr>
        <w:t>equivalent,</w:t>
      </w:r>
      <w:r w:rsidRPr="002D1024">
        <w:rPr>
          <w:rFonts w:ascii="Arial" w:hAnsi="Arial" w:cs="Arial"/>
          <w:spacing w:val="-6"/>
          <w:sz w:val="20"/>
        </w:rPr>
        <w:t xml:space="preserve"> </w:t>
      </w:r>
      <w:r w:rsidRPr="002D1024">
        <w:rPr>
          <w:rFonts w:ascii="Arial" w:hAnsi="Arial" w:cs="Arial"/>
          <w:sz w:val="20"/>
        </w:rPr>
        <w:t>the</w:t>
      </w:r>
      <w:r w:rsidRPr="002D1024">
        <w:rPr>
          <w:rFonts w:ascii="Arial" w:hAnsi="Arial" w:cs="Arial"/>
          <w:spacing w:val="-6"/>
          <w:sz w:val="20"/>
        </w:rPr>
        <w:t xml:space="preserve"> </w:t>
      </w:r>
      <w:r w:rsidRPr="002D1024">
        <w:rPr>
          <w:rFonts w:ascii="Arial" w:hAnsi="Arial" w:cs="Arial"/>
          <w:sz w:val="20"/>
        </w:rPr>
        <w:t>following</w:t>
      </w:r>
      <w:r w:rsidRPr="002D1024">
        <w:rPr>
          <w:rFonts w:ascii="Arial" w:hAnsi="Arial" w:cs="Arial"/>
          <w:spacing w:val="-8"/>
          <w:sz w:val="20"/>
        </w:rPr>
        <w:t xml:space="preserve"> </w:t>
      </w:r>
      <w:r w:rsidRPr="002D1024">
        <w:rPr>
          <w:rFonts w:ascii="Arial" w:hAnsi="Arial" w:cs="Arial"/>
          <w:sz w:val="20"/>
        </w:rPr>
        <w:t>information</w:t>
      </w:r>
      <w:r w:rsidRPr="002D1024">
        <w:rPr>
          <w:rFonts w:ascii="Arial" w:hAnsi="Arial" w:cs="Arial"/>
          <w:spacing w:val="-7"/>
          <w:sz w:val="20"/>
        </w:rPr>
        <w:t xml:space="preserve"> </w:t>
      </w:r>
      <w:r w:rsidRPr="002D1024">
        <w:rPr>
          <w:rFonts w:ascii="Arial" w:hAnsi="Arial" w:cs="Arial"/>
          <w:sz w:val="20"/>
        </w:rPr>
        <w:t>relevant</w:t>
      </w:r>
      <w:r w:rsidRPr="002D1024">
        <w:rPr>
          <w:rFonts w:ascii="Arial" w:hAnsi="Arial" w:cs="Arial"/>
          <w:spacing w:val="-5"/>
          <w:sz w:val="20"/>
        </w:rPr>
        <w:t xml:space="preserve"> </w:t>
      </w:r>
      <w:r w:rsidRPr="002D1024">
        <w:rPr>
          <w:rFonts w:ascii="Arial" w:hAnsi="Arial" w:cs="Arial"/>
          <w:sz w:val="20"/>
        </w:rPr>
        <w:t>to</w:t>
      </w:r>
      <w:r w:rsidRPr="002D1024">
        <w:rPr>
          <w:rFonts w:ascii="Arial" w:hAnsi="Arial" w:cs="Arial"/>
          <w:spacing w:val="-5"/>
          <w:sz w:val="20"/>
        </w:rPr>
        <w:t xml:space="preserve"> </w:t>
      </w:r>
      <w:r w:rsidRPr="002D1024">
        <w:rPr>
          <w:rFonts w:ascii="Arial" w:hAnsi="Arial" w:cs="Arial"/>
          <w:sz w:val="20"/>
        </w:rPr>
        <w:t>any</w:t>
      </w:r>
      <w:r w:rsidRPr="002D1024">
        <w:rPr>
          <w:rFonts w:ascii="Arial" w:hAnsi="Arial" w:cs="Arial"/>
          <w:spacing w:val="-6"/>
          <w:sz w:val="20"/>
        </w:rPr>
        <w:t xml:space="preserve"> </w:t>
      </w:r>
      <w:r w:rsidRPr="002D1024">
        <w:rPr>
          <w:rFonts w:ascii="Arial" w:hAnsi="Arial" w:cs="Arial"/>
          <w:sz w:val="20"/>
        </w:rPr>
        <w:t>component</w:t>
      </w:r>
      <w:r w:rsidRPr="002D1024">
        <w:rPr>
          <w:rFonts w:ascii="Arial" w:hAnsi="Arial" w:cs="Arial"/>
          <w:spacing w:val="-5"/>
          <w:sz w:val="20"/>
        </w:rPr>
        <w:t xml:space="preserve"> </w:t>
      </w:r>
      <w:r w:rsidRPr="002D1024">
        <w:rPr>
          <w:rFonts w:ascii="Arial" w:hAnsi="Arial" w:cs="Arial"/>
          <w:sz w:val="20"/>
        </w:rPr>
        <w:t>installed,</w:t>
      </w:r>
      <w:r w:rsidRPr="002D1024">
        <w:rPr>
          <w:rFonts w:ascii="Arial" w:hAnsi="Arial" w:cs="Arial"/>
          <w:spacing w:val="-48"/>
          <w:sz w:val="20"/>
        </w:rPr>
        <w:t xml:space="preserve"> </w:t>
      </w:r>
      <w:r w:rsidRPr="002D1024">
        <w:rPr>
          <w:rFonts w:ascii="Arial" w:hAnsi="Arial" w:cs="Arial"/>
          <w:sz w:val="20"/>
        </w:rPr>
        <w:t>such</w:t>
      </w:r>
      <w:r w:rsidRPr="002D1024">
        <w:rPr>
          <w:rFonts w:ascii="Arial" w:hAnsi="Arial" w:cs="Arial"/>
          <w:spacing w:val="-3"/>
          <w:sz w:val="20"/>
        </w:rPr>
        <w:t xml:space="preserve"> </w:t>
      </w:r>
      <w:r w:rsidRPr="002D1024">
        <w:rPr>
          <w:rFonts w:ascii="Arial" w:hAnsi="Arial" w:cs="Arial"/>
          <w:sz w:val="20"/>
        </w:rPr>
        <w:t>as</w:t>
      </w:r>
      <w:r w:rsidRPr="002D1024">
        <w:rPr>
          <w:rFonts w:ascii="Arial" w:hAnsi="Arial" w:cs="Arial"/>
          <w:spacing w:val="-3"/>
          <w:sz w:val="20"/>
        </w:rPr>
        <w:t xml:space="preserve"> </w:t>
      </w:r>
      <w:r w:rsidRPr="002D1024">
        <w:rPr>
          <w:rFonts w:ascii="Arial" w:hAnsi="Arial" w:cs="Arial"/>
          <w:sz w:val="20"/>
        </w:rPr>
        <w:t>engine,</w:t>
      </w:r>
      <w:r w:rsidRPr="002D1024">
        <w:rPr>
          <w:rFonts w:ascii="Arial" w:hAnsi="Arial" w:cs="Arial"/>
          <w:spacing w:val="-4"/>
          <w:sz w:val="20"/>
        </w:rPr>
        <w:t xml:space="preserve"> </w:t>
      </w:r>
      <w:r w:rsidRPr="002D1024">
        <w:rPr>
          <w:rFonts w:ascii="Arial" w:hAnsi="Arial" w:cs="Arial"/>
          <w:sz w:val="20"/>
        </w:rPr>
        <w:t>propeller,</w:t>
      </w:r>
      <w:r w:rsidRPr="002D1024">
        <w:rPr>
          <w:rFonts w:ascii="Arial" w:hAnsi="Arial" w:cs="Arial"/>
          <w:spacing w:val="-3"/>
          <w:sz w:val="20"/>
        </w:rPr>
        <w:t xml:space="preserve"> </w:t>
      </w:r>
      <w:r w:rsidRPr="002D1024">
        <w:rPr>
          <w:rFonts w:ascii="Arial" w:hAnsi="Arial" w:cs="Arial"/>
          <w:sz w:val="20"/>
        </w:rPr>
        <w:t>engine module</w:t>
      </w:r>
      <w:r w:rsidRPr="002D1024">
        <w:rPr>
          <w:rFonts w:ascii="Arial" w:hAnsi="Arial" w:cs="Arial"/>
          <w:spacing w:val="-5"/>
          <w:sz w:val="20"/>
        </w:rPr>
        <w:t xml:space="preserve"> </w:t>
      </w:r>
      <w:r w:rsidRPr="002D1024">
        <w:rPr>
          <w:rFonts w:ascii="Arial" w:hAnsi="Arial" w:cs="Arial"/>
          <w:sz w:val="20"/>
        </w:rPr>
        <w:t>or</w:t>
      </w:r>
      <w:r w:rsidRPr="002D1024">
        <w:rPr>
          <w:rFonts w:ascii="Arial" w:hAnsi="Arial" w:cs="Arial"/>
          <w:spacing w:val="-4"/>
          <w:sz w:val="20"/>
        </w:rPr>
        <w:t xml:space="preserve"> </w:t>
      </w:r>
      <w:r w:rsidRPr="002D1024">
        <w:rPr>
          <w:rFonts w:ascii="Arial" w:hAnsi="Arial" w:cs="Arial"/>
          <w:sz w:val="20"/>
        </w:rPr>
        <w:t>service-life-limited</w:t>
      </w:r>
      <w:r w:rsidRPr="002D1024">
        <w:rPr>
          <w:rFonts w:ascii="Arial" w:hAnsi="Arial" w:cs="Arial"/>
          <w:spacing w:val="-1"/>
          <w:sz w:val="20"/>
        </w:rPr>
        <w:t xml:space="preserve"> </w:t>
      </w:r>
      <w:r w:rsidRPr="002D1024">
        <w:rPr>
          <w:rFonts w:ascii="Arial" w:hAnsi="Arial" w:cs="Arial"/>
          <w:sz w:val="20"/>
        </w:rPr>
        <w:t>component,</w:t>
      </w:r>
      <w:r w:rsidRPr="002D1024">
        <w:rPr>
          <w:rFonts w:ascii="Arial" w:hAnsi="Arial" w:cs="Arial"/>
          <w:spacing w:val="-4"/>
          <w:sz w:val="20"/>
        </w:rPr>
        <w:t xml:space="preserve"> </w:t>
      </w:r>
      <w:r w:rsidRPr="002D1024">
        <w:rPr>
          <w:rFonts w:ascii="Arial" w:hAnsi="Arial" w:cs="Arial"/>
          <w:sz w:val="20"/>
        </w:rPr>
        <w:t>shall</w:t>
      </w:r>
      <w:r w:rsidRPr="002D1024">
        <w:rPr>
          <w:rFonts w:ascii="Arial" w:hAnsi="Arial" w:cs="Arial"/>
          <w:spacing w:val="-4"/>
          <w:sz w:val="20"/>
        </w:rPr>
        <w:t xml:space="preserve"> </w:t>
      </w:r>
      <w:r w:rsidRPr="002D1024">
        <w:rPr>
          <w:rFonts w:ascii="Arial" w:hAnsi="Arial" w:cs="Arial"/>
          <w:sz w:val="20"/>
        </w:rPr>
        <w:t>be entered</w:t>
      </w:r>
      <w:r w:rsidRPr="002D1024">
        <w:rPr>
          <w:rFonts w:ascii="Arial" w:hAnsi="Arial" w:cs="Arial"/>
          <w:spacing w:val="-5"/>
          <w:sz w:val="20"/>
        </w:rPr>
        <w:t xml:space="preserve"> </w:t>
      </w:r>
      <w:r w:rsidRPr="002D1024">
        <w:rPr>
          <w:rFonts w:ascii="Arial" w:hAnsi="Arial" w:cs="Arial"/>
          <w:sz w:val="20"/>
        </w:rPr>
        <w:t>in</w:t>
      </w:r>
      <w:r w:rsidRPr="002D1024">
        <w:rPr>
          <w:rFonts w:ascii="Arial" w:hAnsi="Arial" w:cs="Arial"/>
          <w:spacing w:val="-47"/>
          <w:sz w:val="20"/>
        </w:rPr>
        <w:t xml:space="preserve"> </w:t>
      </w:r>
      <w:r w:rsidRPr="002D1024">
        <w:rPr>
          <w:rFonts w:ascii="Arial" w:hAnsi="Arial" w:cs="Arial"/>
          <w:sz w:val="20"/>
        </w:rPr>
        <w:t>the appropriate engine or propeller logbook, engine module or service-life-limited component</w:t>
      </w:r>
      <w:r w:rsidRPr="002D1024">
        <w:rPr>
          <w:rFonts w:ascii="Arial" w:hAnsi="Arial" w:cs="Arial"/>
          <w:spacing w:val="1"/>
          <w:sz w:val="20"/>
        </w:rPr>
        <w:t xml:space="preserve"> </w:t>
      </w:r>
      <w:r w:rsidRPr="002D1024">
        <w:rPr>
          <w:rFonts w:ascii="Arial" w:hAnsi="Arial" w:cs="Arial"/>
          <w:sz w:val="20"/>
        </w:rPr>
        <w:t>log</w:t>
      </w:r>
      <w:r w:rsidRPr="002D1024">
        <w:rPr>
          <w:rFonts w:ascii="Arial" w:hAnsi="Arial" w:cs="Arial"/>
          <w:spacing w:val="-1"/>
          <w:sz w:val="20"/>
        </w:rPr>
        <w:t xml:space="preserve"> </w:t>
      </w:r>
      <w:r w:rsidRPr="002D1024">
        <w:rPr>
          <w:rFonts w:ascii="Arial" w:hAnsi="Arial" w:cs="Arial"/>
          <w:sz w:val="20"/>
        </w:rPr>
        <w:t>card:</w:t>
      </w:r>
    </w:p>
    <w:p w14:paraId="623B99EE" w14:textId="77777777" w:rsidR="002D1024" w:rsidRPr="002D1024" w:rsidRDefault="002D1024" w:rsidP="00AE59F6">
      <w:pPr>
        <w:pStyle w:val="ListParagraph"/>
        <w:numPr>
          <w:ilvl w:val="1"/>
          <w:numId w:val="297"/>
        </w:numPr>
        <w:tabs>
          <w:tab w:val="left" w:pos="1274"/>
        </w:tabs>
        <w:spacing w:before="122" w:line="276" w:lineRule="auto"/>
        <w:ind w:hanging="568"/>
        <w:jc w:val="both"/>
        <w:rPr>
          <w:rFonts w:ascii="Arial" w:hAnsi="Arial" w:cs="Arial"/>
          <w:sz w:val="20"/>
        </w:rPr>
      </w:pPr>
      <w:r w:rsidRPr="002D1024">
        <w:rPr>
          <w:rFonts w:ascii="Arial" w:hAnsi="Arial" w:cs="Arial"/>
          <w:sz w:val="20"/>
        </w:rPr>
        <w:t>the identification</w:t>
      </w:r>
      <w:r w:rsidRPr="002D1024">
        <w:rPr>
          <w:rFonts w:ascii="Arial" w:hAnsi="Arial" w:cs="Arial"/>
          <w:spacing w:val="-3"/>
          <w:sz w:val="20"/>
        </w:rPr>
        <w:t xml:space="preserve"> </w:t>
      </w:r>
      <w:r w:rsidRPr="002D1024">
        <w:rPr>
          <w:rFonts w:ascii="Arial" w:hAnsi="Arial" w:cs="Arial"/>
          <w:sz w:val="20"/>
        </w:rPr>
        <w:t>of</w:t>
      </w:r>
      <w:r w:rsidRPr="002D1024">
        <w:rPr>
          <w:rFonts w:ascii="Arial" w:hAnsi="Arial" w:cs="Arial"/>
          <w:spacing w:val="-2"/>
          <w:sz w:val="20"/>
        </w:rPr>
        <w:t xml:space="preserve"> </w:t>
      </w:r>
      <w:r w:rsidRPr="002D1024">
        <w:rPr>
          <w:rFonts w:ascii="Arial" w:hAnsi="Arial" w:cs="Arial"/>
          <w:sz w:val="20"/>
        </w:rPr>
        <w:t>the component;</w:t>
      </w:r>
    </w:p>
    <w:p w14:paraId="238D2C2F" w14:textId="77777777" w:rsidR="002D1024" w:rsidRPr="002D1024" w:rsidRDefault="002D1024" w:rsidP="00AE59F6">
      <w:pPr>
        <w:pStyle w:val="ListParagraph"/>
        <w:numPr>
          <w:ilvl w:val="1"/>
          <w:numId w:val="297"/>
        </w:numPr>
        <w:tabs>
          <w:tab w:val="left" w:pos="1274"/>
        </w:tabs>
        <w:spacing w:line="276" w:lineRule="auto"/>
        <w:ind w:right="196"/>
        <w:jc w:val="both"/>
        <w:rPr>
          <w:rFonts w:ascii="Arial" w:hAnsi="Arial" w:cs="Arial"/>
          <w:sz w:val="20"/>
        </w:rPr>
      </w:pPr>
      <w:r w:rsidRPr="002D1024">
        <w:rPr>
          <w:rFonts w:ascii="Arial" w:hAnsi="Arial" w:cs="Arial"/>
          <w:sz w:val="20"/>
        </w:rPr>
        <w:t>the</w:t>
      </w:r>
      <w:r w:rsidRPr="002D1024">
        <w:rPr>
          <w:rFonts w:ascii="Arial" w:hAnsi="Arial" w:cs="Arial"/>
          <w:spacing w:val="-10"/>
          <w:sz w:val="20"/>
        </w:rPr>
        <w:t xml:space="preserve"> </w:t>
      </w:r>
      <w:r w:rsidRPr="002D1024">
        <w:rPr>
          <w:rFonts w:ascii="Arial" w:hAnsi="Arial" w:cs="Arial"/>
          <w:sz w:val="20"/>
        </w:rPr>
        <w:t>type,</w:t>
      </w:r>
      <w:r w:rsidRPr="002D1024">
        <w:rPr>
          <w:rFonts w:ascii="Arial" w:hAnsi="Arial" w:cs="Arial"/>
          <w:spacing w:val="-10"/>
          <w:sz w:val="20"/>
        </w:rPr>
        <w:t xml:space="preserve"> </w:t>
      </w:r>
      <w:r w:rsidRPr="002D1024">
        <w:rPr>
          <w:rFonts w:ascii="Arial" w:hAnsi="Arial" w:cs="Arial"/>
          <w:sz w:val="20"/>
        </w:rPr>
        <w:t>serial</w:t>
      </w:r>
      <w:r w:rsidRPr="002D1024">
        <w:rPr>
          <w:rFonts w:ascii="Arial" w:hAnsi="Arial" w:cs="Arial"/>
          <w:spacing w:val="-9"/>
          <w:sz w:val="20"/>
        </w:rPr>
        <w:t xml:space="preserve"> </w:t>
      </w:r>
      <w:r w:rsidRPr="002D1024">
        <w:rPr>
          <w:rFonts w:ascii="Arial" w:hAnsi="Arial" w:cs="Arial"/>
          <w:sz w:val="20"/>
        </w:rPr>
        <w:t>number</w:t>
      </w:r>
      <w:r w:rsidRPr="002D1024">
        <w:rPr>
          <w:rFonts w:ascii="Arial" w:hAnsi="Arial" w:cs="Arial"/>
          <w:spacing w:val="-9"/>
          <w:sz w:val="20"/>
        </w:rPr>
        <w:t xml:space="preserve"> </w:t>
      </w:r>
      <w:r w:rsidRPr="002D1024">
        <w:rPr>
          <w:rFonts w:ascii="Arial" w:hAnsi="Arial" w:cs="Arial"/>
          <w:sz w:val="20"/>
        </w:rPr>
        <w:t>and</w:t>
      </w:r>
      <w:r w:rsidRPr="002D1024">
        <w:rPr>
          <w:rFonts w:ascii="Arial" w:hAnsi="Arial" w:cs="Arial"/>
          <w:spacing w:val="-11"/>
          <w:sz w:val="20"/>
        </w:rPr>
        <w:t xml:space="preserve"> </w:t>
      </w:r>
      <w:r w:rsidRPr="002D1024">
        <w:rPr>
          <w:rFonts w:ascii="Arial" w:hAnsi="Arial" w:cs="Arial"/>
          <w:sz w:val="20"/>
        </w:rPr>
        <w:t>registration,</w:t>
      </w:r>
      <w:r w:rsidRPr="002D1024">
        <w:rPr>
          <w:rFonts w:ascii="Arial" w:hAnsi="Arial" w:cs="Arial"/>
          <w:spacing w:val="-10"/>
          <w:sz w:val="20"/>
        </w:rPr>
        <w:t xml:space="preserve"> </w:t>
      </w:r>
      <w:r w:rsidRPr="002D1024">
        <w:rPr>
          <w:rFonts w:ascii="Arial" w:hAnsi="Arial" w:cs="Arial"/>
          <w:sz w:val="20"/>
        </w:rPr>
        <w:t>as</w:t>
      </w:r>
      <w:r w:rsidRPr="002D1024">
        <w:rPr>
          <w:rFonts w:ascii="Arial" w:hAnsi="Arial" w:cs="Arial"/>
          <w:spacing w:val="-10"/>
          <w:sz w:val="20"/>
        </w:rPr>
        <w:t xml:space="preserve"> </w:t>
      </w:r>
      <w:r w:rsidRPr="002D1024">
        <w:rPr>
          <w:rFonts w:ascii="Arial" w:hAnsi="Arial" w:cs="Arial"/>
          <w:sz w:val="20"/>
        </w:rPr>
        <w:t>appropriate,</w:t>
      </w:r>
      <w:r w:rsidRPr="002D1024">
        <w:rPr>
          <w:rFonts w:ascii="Arial" w:hAnsi="Arial" w:cs="Arial"/>
          <w:spacing w:val="-9"/>
          <w:sz w:val="20"/>
        </w:rPr>
        <w:t xml:space="preserve"> </w:t>
      </w:r>
      <w:r w:rsidRPr="002D1024">
        <w:rPr>
          <w:rFonts w:ascii="Arial" w:hAnsi="Arial" w:cs="Arial"/>
          <w:sz w:val="20"/>
        </w:rPr>
        <w:t>of</w:t>
      </w:r>
      <w:r w:rsidRPr="002D1024">
        <w:rPr>
          <w:rFonts w:ascii="Arial" w:hAnsi="Arial" w:cs="Arial"/>
          <w:spacing w:val="-11"/>
          <w:sz w:val="20"/>
        </w:rPr>
        <w:t xml:space="preserve"> </w:t>
      </w:r>
      <w:r w:rsidRPr="002D1024">
        <w:rPr>
          <w:rFonts w:ascii="Arial" w:hAnsi="Arial" w:cs="Arial"/>
          <w:sz w:val="20"/>
        </w:rPr>
        <w:t>the</w:t>
      </w:r>
      <w:r w:rsidRPr="002D1024">
        <w:rPr>
          <w:rFonts w:ascii="Arial" w:hAnsi="Arial" w:cs="Arial"/>
          <w:spacing w:val="-10"/>
          <w:sz w:val="20"/>
        </w:rPr>
        <w:t xml:space="preserve"> </w:t>
      </w:r>
      <w:r w:rsidRPr="002D1024">
        <w:rPr>
          <w:rFonts w:ascii="Arial" w:hAnsi="Arial" w:cs="Arial"/>
          <w:sz w:val="20"/>
        </w:rPr>
        <w:t>aircraft,</w:t>
      </w:r>
      <w:r w:rsidRPr="002D1024">
        <w:rPr>
          <w:rFonts w:ascii="Arial" w:hAnsi="Arial" w:cs="Arial"/>
          <w:spacing w:val="-9"/>
          <w:sz w:val="20"/>
        </w:rPr>
        <w:t xml:space="preserve"> </w:t>
      </w:r>
      <w:r w:rsidRPr="002D1024">
        <w:rPr>
          <w:rFonts w:ascii="Arial" w:hAnsi="Arial" w:cs="Arial"/>
          <w:sz w:val="20"/>
        </w:rPr>
        <w:t>engine,</w:t>
      </w:r>
      <w:r w:rsidRPr="002D1024">
        <w:rPr>
          <w:rFonts w:ascii="Arial" w:hAnsi="Arial" w:cs="Arial"/>
          <w:spacing w:val="-10"/>
          <w:sz w:val="20"/>
        </w:rPr>
        <w:t xml:space="preserve"> </w:t>
      </w:r>
      <w:r w:rsidRPr="002D1024">
        <w:rPr>
          <w:rFonts w:ascii="Arial" w:hAnsi="Arial" w:cs="Arial"/>
          <w:sz w:val="20"/>
        </w:rPr>
        <w:t>propeller,</w:t>
      </w:r>
      <w:r w:rsidRPr="002D1024">
        <w:rPr>
          <w:rFonts w:ascii="Arial" w:hAnsi="Arial" w:cs="Arial"/>
          <w:spacing w:val="-47"/>
          <w:sz w:val="20"/>
        </w:rPr>
        <w:t xml:space="preserve"> </w:t>
      </w:r>
      <w:r w:rsidRPr="002D1024">
        <w:rPr>
          <w:rFonts w:ascii="Arial" w:hAnsi="Arial" w:cs="Arial"/>
          <w:sz w:val="20"/>
        </w:rPr>
        <w:t>engine module or service-life-limited component to which the particular component has</w:t>
      </w:r>
      <w:r w:rsidRPr="002D1024">
        <w:rPr>
          <w:rFonts w:ascii="Arial" w:hAnsi="Arial" w:cs="Arial"/>
          <w:spacing w:val="-47"/>
          <w:sz w:val="20"/>
        </w:rPr>
        <w:t xml:space="preserve"> </w:t>
      </w:r>
      <w:r w:rsidRPr="002D1024">
        <w:rPr>
          <w:rFonts w:ascii="Arial" w:hAnsi="Arial" w:cs="Arial"/>
          <w:sz w:val="20"/>
        </w:rPr>
        <w:t>been</w:t>
      </w:r>
      <w:r w:rsidRPr="002D1024">
        <w:rPr>
          <w:rFonts w:ascii="Arial" w:hAnsi="Arial" w:cs="Arial"/>
          <w:spacing w:val="-2"/>
          <w:sz w:val="20"/>
        </w:rPr>
        <w:t xml:space="preserve"> </w:t>
      </w:r>
      <w:r w:rsidRPr="002D1024">
        <w:rPr>
          <w:rFonts w:ascii="Arial" w:hAnsi="Arial" w:cs="Arial"/>
          <w:sz w:val="20"/>
        </w:rPr>
        <w:t>fitted, along</w:t>
      </w:r>
      <w:r w:rsidRPr="002D1024">
        <w:rPr>
          <w:rFonts w:ascii="Arial" w:hAnsi="Arial" w:cs="Arial"/>
          <w:spacing w:val="-1"/>
          <w:sz w:val="20"/>
        </w:rPr>
        <w:t xml:space="preserve"> </w:t>
      </w:r>
      <w:r w:rsidRPr="002D1024">
        <w:rPr>
          <w:rFonts w:ascii="Arial" w:hAnsi="Arial" w:cs="Arial"/>
          <w:sz w:val="20"/>
        </w:rPr>
        <w:t>with</w:t>
      </w:r>
      <w:r w:rsidRPr="002D1024">
        <w:rPr>
          <w:rFonts w:ascii="Arial" w:hAnsi="Arial" w:cs="Arial"/>
          <w:spacing w:val="-4"/>
          <w:sz w:val="20"/>
        </w:rPr>
        <w:t xml:space="preserve"> </w:t>
      </w:r>
      <w:r w:rsidRPr="002D1024">
        <w:rPr>
          <w:rFonts w:ascii="Arial" w:hAnsi="Arial" w:cs="Arial"/>
          <w:sz w:val="20"/>
        </w:rPr>
        <w:t>the</w:t>
      </w:r>
      <w:r w:rsidRPr="002D1024">
        <w:rPr>
          <w:rFonts w:ascii="Arial" w:hAnsi="Arial" w:cs="Arial"/>
          <w:spacing w:val="-2"/>
          <w:sz w:val="20"/>
        </w:rPr>
        <w:t xml:space="preserve"> </w:t>
      </w:r>
      <w:r w:rsidRPr="002D1024">
        <w:rPr>
          <w:rFonts w:ascii="Arial" w:hAnsi="Arial" w:cs="Arial"/>
          <w:sz w:val="20"/>
        </w:rPr>
        <w:t>reference</w:t>
      </w:r>
      <w:r w:rsidRPr="002D1024">
        <w:rPr>
          <w:rFonts w:ascii="Arial" w:hAnsi="Arial" w:cs="Arial"/>
          <w:spacing w:val="1"/>
          <w:sz w:val="20"/>
        </w:rPr>
        <w:t xml:space="preserve"> </w:t>
      </w:r>
      <w:r w:rsidRPr="002D1024">
        <w:rPr>
          <w:rFonts w:ascii="Arial" w:hAnsi="Arial" w:cs="Arial"/>
          <w:sz w:val="20"/>
        </w:rPr>
        <w:t>to</w:t>
      </w:r>
      <w:r w:rsidRPr="002D1024">
        <w:rPr>
          <w:rFonts w:ascii="Arial" w:hAnsi="Arial" w:cs="Arial"/>
          <w:spacing w:val="-1"/>
          <w:sz w:val="20"/>
        </w:rPr>
        <w:t xml:space="preserve"> </w:t>
      </w:r>
      <w:r w:rsidRPr="002D1024">
        <w:rPr>
          <w:rFonts w:ascii="Arial" w:hAnsi="Arial" w:cs="Arial"/>
          <w:sz w:val="20"/>
        </w:rPr>
        <w:t>the</w:t>
      </w:r>
      <w:r w:rsidRPr="002D1024">
        <w:rPr>
          <w:rFonts w:ascii="Arial" w:hAnsi="Arial" w:cs="Arial"/>
          <w:spacing w:val="-1"/>
          <w:sz w:val="20"/>
        </w:rPr>
        <w:t xml:space="preserve"> </w:t>
      </w:r>
      <w:r w:rsidRPr="002D1024">
        <w:rPr>
          <w:rFonts w:ascii="Arial" w:hAnsi="Arial" w:cs="Arial"/>
          <w:sz w:val="20"/>
        </w:rPr>
        <w:t>installation</w:t>
      </w:r>
      <w:r w:rsidRPr="002D1024">
        <w:rPr>
          <w:rFonts w:ascii="Arial" w:hAnsi="Arial" w:cs="Arial"/>
          <w:spacing w:val="-1"/>
          <w:sz w:val="20"/>
        </w:rPr>
        <w:t xml:space="preserve"> </w:t>
      </w:r>
      <w:r w:rsidRPr="002D1024">
        <w:rPr>
          <w:rFonts w:ascii="Arial" w:hAnsi="Arial" w:cs="Arial"/>
          <w:sz w:val="20"/>
        </w:rPr>
        <w:t>and</w:t>
      </w:r>
      <w:r w:rsidRPr="002D1024">
        <w:rPr>
          <w:rFonts w:ascii="Arial" w:hAnsi="Arial" w:cs="Arial"/>
          <w:spacing w:val="-1"/>
          <w:sz w:val="20"/>
        </w:rPr>
        <w:t xml:space="preserve"> </w:t>
      </w:r>
      <w:r w:rsidRPr="002D1024">
        <w:rPr>
          <w:rFonts w:ascii="Arial" w:hAnsi="Arial" w:cs="Arial"/>
          <w:sz w:val="20"/>
        </w:rPr>
        <w:t>removal</w:t>
      </w:r>
      <w:r w:rsidRPr="002D1024">
        <w:rPr>
          <w:rFonts w:ascii="Arial" w:hAnsi="Arial" w:cs="Arial"/>
          <w:spacing w:val="-3"/>
          <w:sz w:val="20"/>
        </w:rPr>
        <w:t xml:space="preserve"> </w:t>
      </w:r>
      <w:r w:rsidRPr="002D1024">
        <w:rPr>
          <w:rFonts w:ascii="Arial" w:hAnsi="Arial" w:cs="Arial"/>
          <w:sz w:val="20"/>
        </w:rPr>
        <w:t>of</w:t>
      </w:r>
      <w:r w:rsidRPr="002D1024">
        <w:rPr>
          <w:rFonts w:ascii="Arial" w:hAnsi="Arial" w:cs="Arial"/>
          <w:spacing w:val="-1"/>
          <w:sz w:val="20"/>
        </w:rPr>
        <w:t xml:space="preserve"> </w:t>
      </w:r>
      <w:r w:rsidRPr="002D1024">
        <w:rPr>
          <w:rFonts w:ascii="Arial" w:hAnsi="Arial" w:cs="Arial"/>
          <w:sz w:val="20"/>
        </w:rPr>
        <w:t>the</w:t>
      </w:r>
      <w:r w:rsidRPr="002D1024">
        <w:rPr>
          <w:rFonts w:ascii="Arial" w:hAnsi="Arial" w:cs="Arial"/>
          <w:spacing w:val="-2"/>
          <w:sz w:val="20"/>
        </w:rPr>
        <w:t xml:space="preserve"> </w:t>
      </w:r>
      <w:r w:rsidRPr="002D1024">
        <w:rPr>
          <w:rFonts w:ascii="Arial" w:hAnsi="Arial" w:cs="Arial"/>
          <w:sz w:val="20"/>
        </w:rPr>
        <w:t>component;</w:t>
      </w:r>
    </w:p>
    <w:p w14:paraId="79E4D00D" w14:textId="77777777" w:rsidR="002D1024" w:rsidRPr="002D1024" w:rsidRDefault="002D1024" w:rsidP="00AE59F6">
      <w:pPr>
        <w:pStyle w:val="ListParagraph"/>
        <w:numPr>
          <w:ilvl w:val="1"/>
          <w:numId w:val="297"/>
        </w:numPr>
        <w:tabs>
          <w:tab w:val="left" w:pos="1274"/>
        </w:tabs>
        <w:spacing w:before="119" w:line="276" w:lineRule="auto"/>
        <w:ind w:right="200"/>
        <w:jc w:val="both"/>
        <w:rPr>
          <w:rFonts w:ascii="Arial" w:hAnsi="Arial" w:cs="Arial"/>
          <w:sz w:val="20"/>
        </w:rPr>
      </w:pPr>
      <w:r w:rsidRPr="002D1024">
        <w:rPr>
          <w:rFonts w:ascii="Arial" w:hAnsi="Arial" w:cs="Arial"/>
          <w:sz w:val="20"/>
        </w:rPr>
        <w:t>the date together with the component’s accumulated total flight time, flight cycles,</w:t>
      </w:r>
      <w:r w:rsidRPr="002D1024">
        <w:rPr>
          <w:rFonts w:ascii="Arial" w:hAnsi="Arial" w:cs="Arial"/>
          <w:spacing w:val="1"/>
          <w:sz w:val="20"/>
        </w:rPr>
        <w:t xml:space="preserve"> </w:t>
      </w:r>
      <w:r w:rsidRPr="002D1024">
        <w:rPr>
          <w:rFonts w:ascii="Arial" w:hAnsi="Arial" w:cs="Arial"/>
          <w:sz w:val="20"/>
        </w:rPr>
        <w:t>landings</w:t>
      </w:r>
      <w:r w:rsidRPr="002D1024">
        <w:rPr>
          <w:rFonts w:ascii="Arial" w:hAnsi="Arial" w:cs="Arial"/>
          <w:spacing w:val="-1"/>
          <w:sz w:val="20"/>
        </w:rPr>
        <w:t xml:space="preserve"> </w:t>
      </w:r>
      <w:r w:rsidRPr="002D1024">
        <w:rPr>
          <w:rFonts w:ascii="Arial" w:hAnsi="Arial" w:cs="Arial"/>
          <w:sz w:val="20"/>
        </w:rPr>
        <w:t>and</w:t>
      </w:r>
      <w:r w:rsidRPr="002D1024">
        <w:rPr>
          <w:rFonts w:ascii="Arial" w:hAnsi="Arial" w:cs="Arial"/>
          <w:spacing w:val="-1"/>
          <w:sz w:val="20"/>
        </w:rPr>
        <w:t xml:space="preserve"> </w:t>
      </w:r>
      <w:r w:rsidRPr="002D1024">
        <w:rPr>
          <w:rFonts w:ascii="Arial" w:hAnsi="Arial" w:cs="Arial"/>
          <w:sz w:val="20"/>
        </w:rPr>
        <w:t>calendar time, as</w:t>
      </w:r>
      <w:r w:rsidRPr="002D1024">
        <w:rPr>
          <w:rFonts w:ascii="Arial" w:hAnsi="Arial" w:cs="Arial"/>
          <w:spacing w:val="-1"/>
          <w:sz w:val="20"/>
        </w:rPr>
        <w:t xml:space="preserve"> </w:t>
      </w:r>
      <w:r w:rsidRPr="002D1024">
        <w:rPr>
          <w:rFonts w:ascii="Arial" w:hAnsi="Arial" w:cs="Arial"/>
          <w:sz w:val="20"/>
        </w:rPr>
        <w:t>relevant</w:t>
      </w:r>
      <w:r w:rsidRPr="002D1024">
        <w:rPr>
          <w:rFonts w:ascii="Arial" w:hAnsi="Arial" w:cs="Arial"/>
          <w:spacing w:val="-2"/>
          <w:sz w:val="20"/>
        </w:rPr>
        <w:t xml:space="preserve"> </w:t>
      </w:r>
      <w:r w:rsidRPr="002D1024">
        <w:rPr>
          <w:rFonts w:ascii="Arial" w:hAnsi="Arial" w:cs="Arial"/>
          <w:sz w:val="20"/>
        </w:rPr>
        <w:t>to</w:t>
      </w:r>
      <w:r w:rsidRPr="002D1024">
        <w:rPr>
          <w:rFonts w:ascii="Arial" w:hAnsi="Arial" w:cs="Arial"/>
          <w:spacing w:val="1"/>
          <w:sz w:val="20"/>
        </w:rPr>
        <w:t xml:space="preserve"> </w:t>
      </w:r>
      <w:r w:rsidRPr="002D1024">
        <w:rPr>
          <w:rFonts w:ascii="Arial" w:hAnsi="Arial" w:cs="Arial"/>
          <w:sz w:val="20"/>
        </w:rPr>
        <w:t>the</w:t>
      </w:r>
      <w:r w:rsidRPr="002D1024">
        <w:rPr>
          <w:rFonts w:ascii="Arial" w:hAnsi="Arial" w:cs="Arial"/>
          <w:spacing w:val="1"/>
          <w:sz w:val="20"/>
        </w:rPr>
        <w:t xml:space="preserve"> </w:t>
      </w:r>
      <w:r w:rsidRPr="002D1024">
        <w:rPr>
          <w:rFonts w:ascii="Arial" w:hAnsi="Arial" w:cs="Arial"/>
          <w:sz w:val="20"/>
        </w:rPr>
        <w:t>particular component;</w:t>
      </w:r>
    </w:p>
    <w:p w14:paraId="5A0E7FC7" w14:textId="77777777" w:rsidR="002D1024" w:rsidRPr="002D1024" w:rsidRDefault="002D1024" w:rsidP="00AE59F6">
      <w:pPr>
        <w:pStyle w:val="ListParagraph"/>
        <w:numPr>
          <w:ilvl w:val="1"/>
          <w:numId w:val="297"/>
        </w:numPr>
        <w:tabs>
          <w:tab w:val="left" w:pos="1274"/>
        </w:tabs>
        <w:spacing w:line="276" w:lineRule="auto"/>
        <w:ind w:hanging="568"/>
        <w:jc w:val="both"/>
        <w:rPr>
          <w:rFonts w:ascii="Arial" w:hAnsi="Arial" w:cs="Arial"/>
          <w:sz w:val="20"/>
        </w:rPr>
      </w:pPr>
      <w:r w:rsidRPr="002D1024">
        <w:rPr>
          <w:rFonts w:ascii="Arial" w:hAnsi="Arial" w:cs="Arial"/>
          <w:sz w:val="20"/>
        </w:rPr>
        <w:t>the</w:t>
      </w:r>
      <w:r w:rsidRPr="002D1024">
        <w:rPr>
          <w:rFonts w:ascii="Arial" w:hAnsi="Arial" w:cs="Arial"/>
          <w:spacing w:val="-2"/>
          <w:sz w:val="20"/>
        </w:rPr>
        <w:t xml:space="preserve"> </w:t>
      </w:r>
      <w:r w:rsidRPr="002D1024">
        <w:rPr>
          <w:rFonts w:ascii="Arial" w:hAnsi="Arial" w:cs="Arial"/>
          <w:sz w:val="20"/>
        </w:rPr>
        <w:t>current</w:t>
      </w:r>
      <w:r w:rsidRPr="002D1024">
        <w:rPr>
          <w:rFonts w:ascii="Arial" w:hAnsi="Arial" w:cs="Arial"/>
          <w:spacing w:val="-3"/>
          <w:sz w:val="20"/>
        </w:rPr>
        <w:t xml:space="preserve"> </w:t>
      </w:r>
      <w:r w:rsidRPr="002D1024">
        <w:rPr>
          <w:rFonts w:ascii="Arial" w:hAnsi="Arial" w:cs="Arial"/>
          <w:sz w:val="20"/>
        </w:rPr>
        <w:t>information</w:t>
      </w:r>
      <w:r w:rsidRPr="002D1024">
        <w:rPr>
          <w:rFonts w:ascii="Arial" w:hAnsi="Arial" w:cs="Arial"/>
          <w:spacing w:val="-2"/>
          <w:sz w:val="20"/>
        </w:rPr>
        <w:t xml:space="preserve"> </w:t>
      </w:r>
      <w:r w:rsidRPr="002D1024">
        <w:rPr>
          <w:rFonts w:ascii="Arial" w:hAnsi="Arial" w:cs="Arial"/>
          <w:sz w:val="20"/>
        </w:rPr>
        <w:t>referred</w:t>
      </w:r>
      <w:r w:rsidRPr="002D1024">
        <w:rPr>
          <w:rFonts w:ascii="Arial" w:hAnsi="Arial" w:cs="Arial"/>
          <w:spacing w:val="-1"/>
          <w:sz w:val="20"/>
        </w:rPr>
        <w:t xml:space="preserve"> </w:t>
      </w:r>
      <w:r w:rsidRPr="002D1024">
        <w:rPr>
          <w:rFonts w:ascii="Arial" w:hAnsi="Arial" w:cs="Arial"/>
          <w:sz w:val="20"/>
        </w:rPr>
        <w:t>to in</w:t>
      </w:r>
      <w:r w:rsidRPr="002D1024">
        <w:rPr>
          <w:rFonts w:ascii="Arial" w:hAnsi="Arial" w:cs="Arial"/>
          <w:spacing w:val="-1"/>
          <w:sz w:val="20"/>
        </w:rPr>
        <w:t xml:space="preserve"> </w:t>
      </w:r>
      <w:r w:rsidRPr="002D1024">
        <w:rPr>
          <w:rFonts w:ascii="Arial" w:hAnsi="Arial" w:cs="Arial"/>
          <w:sz w:val="20"/>
        </w:rPr>
        <w:t>point</w:t>
      </w:r>
      <w:r w:rsidRPr="002D1024">
        <w:rPr>
          <w:rFonts w:ascii="Arial" w:hAnsi="Arial" w:cs="Arial"/>
          <w:spacing w:val="-1"/>
          <w:sz w:val="20"/>
        </w:rPr>
        <w:t xml:space="preserve"> </w:t>
      </w:r>
      <w:r w:rsidRPr="002D1024">
        <w:rPr>
          <w:rFonts w:ascii="Arial" w:hAnsi="Arial" w:cs="Arial"/>
          <w:sz w:val="20"/>
        </w:rPr>
        <w:t>(d),</w:t>
      </w:r>
      <w:r w:rsidRPr="002D1024">
        <w:rPr>
          <w:rFonts w:ascii="Arial" w:hAnsi="Arial" w:cs="Arial"/>
          <w:spacing w:val="-4"/>
          <w:sz w:val="20"/>
        </w:rPr>
        <w:t xml:space="preserve"> </w:t>
      </w:r>
      <w:r w:rsidRPr="002D1024">
        <w:rPr>
          <w:rFonts w:ascii="Arial" w:hAnsi="Arial" w:cs="Arial"/>
          <w:sz w:val="20"/>
        </w:rPr>
        <w:t>applicable</w:t>
      </w:r>
      <w:r w:rsidRPr="002D1024">
        <w:rPr>
          <w:rFonts w:ascii="Arial" w:hAnsi="Arial" w:cs="Arial"/>
          <w:spacing w:val="-1"/>
          <w:sz w:val="20"/>
        </w:rPr>
        <w:t xml:space="preserve"> </w:t>
      </w:r>
      <w:r w:rsidRPr="002D1024">
        <w:rPr>
          <w:rFonts w:ascii="Arial" w:hAnsi="Arial" w:cs="Arial"/>
          <w:sz w:val="20"/>
        </w:rPr>
        <w:t>to</w:t>
      </w:r>
      <w:r w:rsidRPr="002D1024">
        <w:rPr>
          <w:rFonts w:ascii="Arial" w:hAnsi="Arial" w:cs="Arial"/>
          <w:spacing w:val="-3"/>
          <w:sz w:val="20"/>
        </w:rPr>
        <w:t xml:space="preserve"> </w:t>
      </w:r>
      <w:r w:rsidRPr="002D1024">
        <w:rPr>
          <w:rFonts w:ascii="Arial" w:hAnsi="Arial" w:cs="Arial"/>
          <w:sz w:val="20"/>
        </w:rPr>
        <w:t>the</w:t>
      </w:r>
      <w:r w:rsidRPr="002D1024">
        <w:rPr>
          <w:rFonts w:ascii="Arial" w:hAnsi="Arial" w:cs="Arial"/>
          <w:spacing w:val="-3"/>
          <w:sz w:val="20"/>
        </w:rPr>
        <w:t xml:space="preserve"> </w:t>
      </w:r>
      <w:r w:rsidRPr="002D1024">
        <w:rPr>
          <w:rFonts w:ascii="Arial" w:hAnsi="Arial" w:cs="Arial"/>
          <w:sz w:val="20"/>
        </w:rPr>
        <w:t>component.</w:t>
      </w:r>
    </w:p>
    <w:p w14:paraId="7948D546" w14:textId="40BF200A" w:rsidR="002D1024" w:rsidRPr="002D1024" w:rsidRDefault="002D1024" w:rsidP="00AE59F6">
      <w:pPr>
        <w:pStyle w:val="ListParagraph"/>
        <w:numPr>
          <w:ilvl w:val="0"/>
          <w:numId w:val="297"/>
        </w:numPr>
        <w:tabs>
          <w:tab w:val="left" w:pos="707"/>
        </w:tabs>
        <w:spacing w:line="276" w:lineRule="auto"/>
        <w:ind w:right="195"/>
        <w:jc w:val="both"/>
        <w:rPr>
          <w:rFonts w:ascii="Arial" w:hAnsi="Arial" w:cs="Arial"/>
          <w:sz w:val="20"/>
        </w:rPr>
      </w:pPr>
      <w:r w:rsidRPr="002D1024">
        <w:rPr>
          <w:rFonts w:ascii="Arial" w:hAnsi="Arial" w:cs="Arial"/>
          <w:sz w:val="20"/>
        </w:rPr>
        <w:t>The person or organisation responsible for the management of continuing airworthiness and</w:t>
      </w:r>
      <w:r w:rsidRPr="002D1024">
        <w:rPr>
          <w:rFonts w:ascii="Arial" w:hAnsi="Arial" w:cs="Arial"/>
          <w:spacing w:val="1"/>
          <w:sz w:val="20"/>
        </w:rPr>
        <w:t xml:space="preserve"> </w:t>
      </w:r>
      <w:r w:rsidRPr="002D1024">
        <w:rPr>
          <w:rFonts w:ascii="Arial" w:hAnsi="Arial" w:cs="Arial"/>
          <w:sz w:val="20"/>
        </w:rPr>
        <w:t>tasks pursuant to point</w:t>
      </w:r>
      <w:r w:rsidRPr="002D1024">
        <w:rPr>
          <w:rFonts w:ascii="Arial" w:hAnsi="Arial" w:cs="Arial"/>
          <w:color w:val="0000FF"/>
          <w:sz w:val="20"/>
        </w:rPr>
        <w:t xml:space="preserve"> </w:t>
      </w:r>
      <w:r w:rsidRPr="002D1024">
        <w:rPr>
          <w:rFonts w:ascii="Arial" w:hAnsi="Arial" w:cs="Arial"/>
          <w:sz w:val="20"/>
        </w:rPr>
        <w:t>ML.A.201, shall control the records as detailed in point ML.A.305</w:t>
      </w:r>
      <w:r w:rsidRPr="002D1024">
        <w:rPr>
          <w:rFonts w:ascii="Arial" w:hAnsi="Arial" w:cs="Arial"/>
          <w:color w:val="0000FF"/>
          <w:sz w:val="20"/>
        </w:rPr>
        <w:t xml:space="preserve"> </w:t>
      </w:r>
      <w:r w:rsidRPr="002D1024">
        <w:rPr>
          <w:rFonts w:ascii="Arial" w:hAnsi="Arial" w:cs="Arial"/>
          <w:sz w:val="20"/>
        </w:rPr>
        <w:t>and</w:t>
      </w:r>
      <w:r w:rsidRPr="002D1024">
        <w:rPr>
          <w:rFonts w:ascii="Arial" w:hAnsi="Arial" w:cs="Arial"/>
          <w:spacing w:val="1"/>
          <w:sz w:val="20"/>
        </w:rPr>
        <w:t xml:space="preserve"> </w:t>
      </w:r>
      <w:r w:rsidRPr="002D1024">
        <w:rPr>
          <w:rFonts w:ascii="Arial" w:hAnsi="Arial" w:cs="Arial"/>
          <w:sz w:val="20"/>
        </w:rPr>
        <w:t>present</w:t>
      </w:r>
      <w:r w:rsidRPr="002D1024">
        <w:rPr>
          <w:rFonts w:ascii="Arial" w:hAnsi="Arial" w:cs="Arial"/>
          <w:spacing w:val="-1"/>
          <w:sz w:val="20"/>
        </w:rPr>
        <w:t xml:space="preserve"> </w:t>
      </w:r>
      <w:r w:rsidRPr="002D1024">
        <w:rPr>
          <w:rFonts w:ascii="Arial" w:hAnsi="Arial" w:cs="Arial"/>
          <w:sz w:val="20"/>
        </w:rPr>
        <w:t>the</w:t>
      </w:r>
      <w:r w:rsidRPr="002D1024">
        <w:rPr>
          <w:rFonts w:ascii="Arial" w:hAnsi="Arial" w:cs="Arial"/>
          <w:spacing w:val="1"/>
          <w:sz w:val="20"/>
        </w:rPr>
        <w:t xml:space="preserve"> </w:t>
      </w:r>
      <w:r w:rsidRPr="002D1024">
        <w:rPr>
          <w:rFonts w:ascii="Arial" w:hAnsi="Arial" w:cs="Arial"/>
          <w:sz w:val="20"/>
        </w:rPr>
        <w:t>records</w:t>
      </w:r>
      <w:r w:rsidRPr="002D1024">
        <w:rPr>
          <w:rFonts w:ascii="Arial" w:hAnsi="Arial" w:cs="Arial"/>
          <w:spacing w:val="-3"/>
          <w:sz w:val="20"/>
        </w:rPr>
        <w:t xml:space="preserve"> </w:t>
      </w:r>
      <w:r w:rsidRPr="002D1024">
        <w:rPr>
          <w:rFonts w:ascii="Arial" w:hAnsi="Arial" w:cs="Arial"/>
          <w:sz w:val="20"/>
        </w:rPr>
        <w:t>to</w:t>
      </w:r>
      <w:r w:rsidRPr="002D1024">
        <w:rPr>
          <w:rFonts w:ascii="Arial" w:hAnsi="Arial" w:cs="Arial"/>
          <w:spacing w:val="1"/>
          <w:sz w:val="20"/>
        </w:rPr>
        <w:t xml:space="preserve"> </w:t>
      </w:r>
      <w:r w:rsidRPr="002D1024">
        <w:rPr>
          <w:rFonts w:ascii="Arial" w:hAnsi="Arial" w:cs="Arial"/>
          <w:sz w:val="20"/>
        </w:rPr>
        <w:t>the</w:t>
      </w:r>
      <w:r w:rsidRPr="002D1024">
        <w:rPr>
          <w:rFonts w:ascii="Arial" w:hAnsi="Arial" w:cs="Arial"/>
          <w:spacing w:val="-4"/>
          <w:sz w:val="20"/>
        </w:rPr>
        <w:t xml:space="preserve"> </w:t>
      </w:r>
      <w:r w:rsidR="004E22F1">
        <w:rPr>
          <w:rFonts w:ascii="Arial" w:hAnsi="Arial" w:cs="Arial"/>
          <w:sz w:val="20"/>
          <w:szCs w:val="20"/>
        </w:rPr>
        <w:t xml:space="preserve">CAC RA </w:t>
      </w:r>
      <w:r w:rsidRPr="002D1024">
        <w:rPr>
          <w:rFonts w:ascii="Arial" w:hAnsi="Arial" w:cs="Arial"/>
          <w:sz w:val="20"/>
        </w:rPr>
        <w:t>upon</w:t>
      </w:r>
      <w:r w:rsidRPr="002D1024">
        <w:rPr>
          <w:rFonts w:ascii="Arial" w:hAnsi="Arial" w:cs="Arial"/>
          <w:spacing w:val="-3"/>
          <w:sz w:val="20"/>
        </w:rPr>
        <w:t xml:space="preserve"> </w:t>
      </w:r>
      <w:r w:rsidRPr="002D1024">
        <w:rPr>
          <w:rFonts w:ascii="Arial" w:hAnsi="Arial" w:cs="Arial"/>
          <w:sz w:val="20"/>
        </w:rPr>
        <w:t>request.</w:t>
      </w:r>
    </w:p>
    <w:p w14:paraId="7A2AD26A" w14:textId="77777777" w:rsidR="002D1024" w:rsidRPr="002D1024" w:rsidRDefault="002D1024" w:rsidP="00AE59F6">
      <w:pPr>
        <w:pStyle w:val="ListParagraph"/>
        <w:numPr>
          <w:ilvl w:val="0"/>
          <w:numId w:val="297"/>
        </w:numPr>
        <w:tabs>
          <w:tab w:val="left" w:pos="707"/>
        </w:tabs>
        <w:spacing w:before="121" w:line="276" w:lineRule="auto"/>
        <w:ind w:right="196"/>
        <w:jc w:val="both"/>
        <w:rPr>
          <w:rFonts w:ascii="Arial" w:hAnsi="Arial" w:cs="Arial"/>
          <w:sz w:val="20"/>
        </w:rPr>
      </w:pPr>
      <w:r w:rsidRPr="002D1024">
        <w:rPr>
          <w:rFonts w:ascii="Arial" w:hAnsi="Arial" w:cs="Arial"/>
          <w:sz w:val="20"/>
        </w:rPr>
        <w:t>All entries made in the aircraft continuing airworthiness records shall be clear and accurate.</w:t>
      </w:r>
      <w:r w:rsidRPr="002D1024">
        <w:rPr>
          <w:rFonts w:ascii="Arial" w:hAnsi="Arial" w:cs="Arial"/>
          <w:spacing w:val="1"/>
          <w:sz w:val="20"/>
        </w:rPr>
        <w:t xml:space="preserve"> </w:t>
      </w:r>
      <w:r w:rsidRPr="002D1024">
        <w:rPr>
          <w:rFonts w:ascii="Arial" w:hAnsi="Arial" w:cs="Arial"/>
          <w:sz w:val="20"/>
        </w:rPr>
        <w:t>When it is necessary to correct an entry, the correction shall be made in a manner that clearly</w:t>
      </w:r>
      <w:r w:rsidRPr="002D1024">
        <w:rPr>
          <w:rFonts w:ascii="Arial" w:hAnsi="Arial" w:cs="Arial"/>
          <w:spacing w:val="1"/>
          <w:sz w:val="20"/>
        </w:rPr>
        <w:t xml:space="preserve"> </w:t>
      </w:r>
      <w:r w:rsidRPr="002D1024">
        <w:rPr>
          <w:rFonts w:ascii="Arial" w:hAnsi="Arial" w:cs="Arial"/>
          <w:sz w:val="20"/>
        </w:rPr>
        <w:t>shows</w:t>
      </w:r>
      <w:r w:rsidRPr="002D1024">
        <w:rPr>
          <w:rFonts w:ascii="Arial" w:hAnsi="Arial" w:cs="Arial"/>
          <w:spacing w:val="-4"/>
          <w:sz w:val="20"/>
        </w:rPr>
        <w:t xml:space="preserve"> </w:t>
      </w:r>
      <w:r w:rsidRPr="002D1024">
        <w:rPr>
          <w:rFonts w:ascii="Arial" w:hAnsi="Arial" w:cs="Arial"/>
          <w:sz w:val="20"/>
        </w:rPr>
        <w:t>the</w:t>
      </w:r>
      <w:r w:rsidRPr="002D1024">
        <w:rPr>
          <w:rFonts w:ascii="Arial" w:hAnsi="Arial" w:cs="Arial"/>
          <w:spacing w:val="-2"/>
          <w:sz w:val="20"/>
        </w:rPr>
        <w:t xml:space="preserve"> </w:t>
      </w:r>
      <w:r w:rsidRPr="002D1024">
        <w:rPr>
          <w:rFonts w:ascii="Arial" w:hAnsi="Arial" w:cs="Arial"/>
          <w:sz w:val="20"/>
        </w:rPr>
        <w:t>original entry.</w:t>
      </w:r>
    </w:p>
    <w:p w14:paraId="57D7339A" w14:textId="77777777" w:rsidR="002D1024" w:rsidRPr="002D1024" w:rsidRDefault="002D1024" w:rsidP="00AE59F6">
      <w:pPr>
        <w:pStyle w:val="ListParagraph"/>
        <w:numPr>
          <w:ilvl w:val="0"/>
          <w:numId w:val="297"/>
        </w:numPr>
        <w:tabs>
          <w:tab w:val="left" w:pos="707"/>
        </w:tabs>
        <w:spacing w:before="119" w:line="276" w:lineRule="auto"/>
        <w:ind w:right="194"/>
        <w:jc w:val="both"/>
        <w:rPr>
          <w:rFonts w:ascii="Arial" w:hAnsi="Arial" w:cs="Arial"/>
          <w:sz w:val="20"/>
        </w:rPr>
      </w:pPr>
      <w:r w:rsidRPr="002D1024">
        <w:rPr>
          <w:rFonts w:ascii="Arial" w:hAnsi="Arial" w:cs="Arial"/>
          <w:sz w:val="20"/>
        </w:rPr>
        <w:t>An</w:t>
      </w:r>
      <w:r w:rsidRPr="002D1024">
        <w:rPr>
          <w:rFonts w:ascii="Arial" w:hAnsi="Arial" w:cs="Arial"/>
          <w:spacing w:val="-5"/>
          <w:sz w:val="20"/>
        </w:rPr>
        <w:t xml:space="preserve"> </w:t>
      </w:r>
      <w:r w:rsidRPr="002D1024">
        <w:rPr>
          <w:rFonts w:ascii="Arial" w:hAnsi="Arial" w:cs="Arial"/>
          <w:sz w:val="20"/>
        </w:rPr>
        <w:t>owner</w:t>
      </w:r>
      <w:r w:rsidRPr="002D1024">
        <w:rPr>
          <w:rFonts w:ascii="Arial" w:hAnsi="Arial" w:cs="Arial"/>
          <w:spacing w:val="-5"/>
          <w:sz w:val="20"/>
        </w:rPr>
        <w:t xml:space="preserve"> </w:t>
      </w:r>
      <w:r w:rsidRPr="002D1024">
        <w:rPr>
          <w:rFonts w:ascii="Arial" w:hAnsi="Arial" w:cs="Arial"/>
          <w:sz w:val="20"/>
        </w:rPr>
        <w:t>shall</w:t>
      </w:r>
      <w:r w:rsidRPr="002D1024">
        <w:rPr>
          <w:rFonts w:ascii="Arial" w:hAnsi="Arial" w:cs="Arial"/>
          <w:spacing w:val="-4"/>
          <w:sz w:val="20"/>
        </w:rPr>
        <w:t xml:space="preserve"> </w:t>
      </w:r>
      <w:r w:rsidRPr="002D1024">
        <w:rPr>
          <w:rFonts w:ascii="Arial" w:hAnsi="Arial" w:cs="Arial"/>
          <w:sz w:val="20"/>
        </w:rPr>
        <w:t>ensure</w:t>
      </w:r>
      <w:r w:rsidRPr="002D1024">
        <w:rPr>
          <w:rFonts w:ascii="Arial" w:hAnsi="Arial" w:cs="Arial"/>
          <w:spacing w:val="-2"/>
          <w:sz w:val="20"/>
        </w:rPr>
        <w:t xml:space="preserve"> </w:t>
      </w:r>
      <w:r w:rsidRPr="002D1024">
        <w:rPr>
          <w:rFonts w:ascii="Arial" w:hAnsi="Arial" w:cs="Arial"/>
          <w:sz w:val="20"/>
        </w:rPr>
        <w:t>that</w:t>
      </w:r>
      <w:r w:rsidRPr="002D1024">
        <w:rPr>
          <w:rFonts w:ascii="Arial" w:hAnsi="Arial" w:cs="Arial"/>
          <w:spacing w:val="-5"/>
          <w:sz w:val="20"/>
        </w:rPr>
        <w:t xml:space="preserve"> </w:t>
      </w:r>
      <w:r w:rsidRPr="002D1024">
        <w:rPr>
          <w:rFonts w:ascii="Arial" w:hAnsi="Arial" w:cs="Arial"/>
          <w:sz w:val="20"/>
        </w:rPr>
        <w:t>a</w:t>
      </w:r>
      <w:r w:rsidRPr="002D1024">
        <w:rPr>
          <w:rFonts w:ascii="Arial" w:hAnsi="Arial" w:cs="Arial"/>
          <w:spacing w:val="-3"/>
          <w:sz w:val="20"/>
        </w:rPr>
        <w:t xml:space="preserve"> </w:t>
      </w:r>
      <w:r w:rsidRPr="002D1024">
        <w:rPr>
          <w:rFonts w:ascii="Arial" w:hAnsi="Arial" w:cs="Arial"/>
          <w:sz w:val="20"/>
        </w:rPr>
        <w:t>system</w:t>
      </w:r>
      <w:r w:rsidRPr="002D1024">
        <w:rPr>
          <w:rFonts w:ascii="Arial" w:hAnsi="Arial" w:cs="Arial"/>
          <w:spacing w:val="-1"/>
          <w:sz w:val="20"/>
        </w:rPr>
        <w:t xml:space="preserve"> </w:t>
      </w:r>
      <w:r w:rsidRPr="002D1024">
        <w:rPr>
          <w:rFonts w:ascii="Arial" w:hAnsi="Arial" w:cs="Arial"/>
          <w:sz w:val="20"/>
        </w:rPr>
        <w:t>has</w:t>
      </w:r>
      <w:r w:rsidRPr="002D1024">
        <w:rPr>
          <w:rFonts w:ascii="Arial" w:hAnsi="Arial" w:cs="Arial"/>
          <w:spacing w:val="-2"/>
          <w:sz w:val="20"/>
        </w:rPr>
        <w:t xml:space="preserve"> </w:t>
      </w:r>
      <w:r w:rsidRPr="002D1024">
        <w:rPr>
          <w:rFonts w:ascii="Arial" w:hAnsi="Arial" w:cs="Arial"/>
          <w:sz w:val="20"/>
        </w:rPr>
        <w:t>been</w:t>
      </w:r>
      <w:r w:rsidRPr="002D1024">
        <w:rPr>
          <w:rFonts w:ascii="Arial" w:hAnsi="Arial" w:cs="Arial"/>
          <w:spacing w:val="-3"/>
          <w:sz w:val="20"/>
        </w:rPr>
        <w:t xml:space="preserve"> </w:t>
      </w:r>
      <w:r w:rsidRPr="002D1024">
        <w:rPr>
          <w:rFonts w:ascii="Arial" w:hAnsi="Arial" w:cs="Arial"/>
          <w:sz w:val="20"/>
        </w:rPr>
        <w:t>established</w:t>
      </w:r>
      <w:r w:rsidRPr="002D1024">
        <w:rPr>
          <w:rFonts w:ascii="Arial" w:hAnsi="Arial" w:cs="Arial"/>
          <w:spacing w:val="-2"/>
          <w:sz w:val="20"/>
        </w:rPr>
        <w:t xml:space="preserve"> </w:t>
      </w:r>
      <w:r w:rsidRPr="002D1024">
        <w:rPr>
          <w:rFonts w:ascii="Arial" w:hAnsi="Arial" w:cs="Arial"/>
          <w:sz w:val="20"/>
        </w:rPr>
        <w:t>to</w:t>
      </w:r>
      <w:r w:rsidRPr="002D1024">
        <w:rPr>
          <w:rFonts w:ascii="Arial" w:hAnsi="Arial" w:cs="Arial"/>
          <w:spacing w:val="-3"/>
          <w:sz w:val="20"/>
        </w:rPr>
        <w:t xml:space="preserve"> </w:t>
      </w:r>
      <w:r w:rsidRPr="002D1024">
        <w:rPr>
          <w:rFonts w:ascii="Arial" w:hAnsi="Arial" w:cs="Arial"/>
          <w:sz w:val="20"/>
        </w:rPr>
        <w:t>keep</w:t>
      </w:r>
      <w:r w:rsidRPr="002D1024">
        <w:rPr>
          <w:rFonts w:ascii="Arial" w:hAnsi="Arial" w:cs="Arial"/>
          <w:spacing w:val="-3"/>
          <w:sz w:val="20"/>
        </w:rPr>
        <w:t xml:space="preserve"> </w:t>
      </w:r>
      <w:r w:rsidRPr="002D1024">
        <w:rPr>
          <w:rFonts w:ascii="Arial" w:hAnsi="Arial" w:cs="Arial"/>
          <w:sz w:val="20"/>
        </w:rPr>
        <w:t>the</w:t>
      </w:r>
      <w:r w:rsidRPr="002D1024">
        <w:rPr>
          <w:rFonts w:ascii="Arial" w:hAnsi="Arial" w:cs="Arial"/>
          <w:spacing w:val="-2"/>
          <w:sz w:val="20"/>
        </w:rPr>
        <w:t xml:space="preserve"> </w:t>
      </w:r>
      <w:r w:rsidRPr="002D1024">
        <w:rPr>
          <w:rFonts w:ascii="Arial" w:hAnsi="Arial" w:cs="Arial"/>
          <w:sz w:val="20"/>
        </w:rPr>
        <w:t>following</w:t>
      </w:r>
      <w:r w:rsidRPr="002D1024">
        <w:rPr>
          <w:rFonts w:ascii="Arial" w:hAnsi="Arial" w:cs="Arial"/>
          <w:spacing w:val="-5"/>
          <w:sz w:val="20"/>
        </w:rPr>
        <w:t xml:space="preserve"> </w:t>
      </w:r>
      <w:r w:rsidRPr="002D1024">
        <w:rPr>
          <w:rFonts w:ascii="Arial" w:hAnsi="Arial" w:cs="Arial"/>
          <w:sz w:val="20"/>
        </w:rPr>
        <w:t>records</w:t>
      </w:r>
      <w:r w:rsidRPr="002D1024">
        <w:rPr>
          <w:rFonts w:ascii="Arial" w:hAnsi="Arial" w:cs="Arial"/>
          <w:spacing w:val="-5"/>
          <w:sz w:val="20"/>
        </w:rPr>
        <w:t xml:space="preserve"> </w:t>
      </w:r>
      <w:r w:rsidRPr="002D1024">
        <w:rPr>
          <w:rFonts w:ascii="Arial" w:hAnsi="Arial" w:cs="Arial"/>
          <w:sz w:val="20"/>
        </w:rPr>
        <w:t>for</w:t>
      </w:r>
      <w:r w:rsidRPr="002D1024">
        <w:rPr>
          <w:rFonts w:ascii="Arial" w:hAnsi="Arial" w:cs="Arial"/>
          <w:spacing w:val="-5"/>
          <w:sz w:val="20"/>
        </w:rPr>
        <w:t xml:space="preserve"> </w:t>
      </w:r>
      <w:r w:rsidRPr="002D1024">
        <w:rPr>
          <w:rFonts w:ascii="Arial" w:hAnsi="Arial" w:cs="Arial"/>
          <w:sz w:val="20"/>
        </w:rPr>
        <w:t>the</w:t>
      </w:r>
      <w:r w:rsidRPr="002D1024">
        <w:rPr>
          <w:rFonts w:ascii="Arial" w:hAnsi="Arial" w:cs="Arial"/>
          <w:spacing w:val="-48"/>
          <w:sz w:val="20"/>
        </w:rPr>
        <w:t xml:space="preserve"> </w:t>
      </w:r>
      <w:r w:rsidRPr="002D1024">
        <w:rPr>
          <w:rFonts w:ascii="Arial" w:hAnsi="Arial" w:cs="Arial"/>
          <w:sz w:val="20"/>
        </w:rPr>
        <w:t>periods</w:t>
      </w:r>
      <w:r w:rsidRPr="002D1024">
        <w:rPr>
          <w:rFonts w:ascii="Arial" w:hAnsi="Arial" w:cs="Arial"/>
          <w:spacing w:val="-1"/>
          <w:sz w:val="20"/>
        </w:rPr>
        <w:t xml:space="preserve"> </w:t>
      </w:r>
      <w:r w:rsidRPr="002D1024">
        <w:rPr>
          <w:rFonts w:ascii="Arial" w:hAnsi="Arial" w:cs="Arial"/>
          <w:sz w:val="20"/>
        </w:rPr>
        <w:t>specified:</w:t>
      </w:r>
    </w:p>
    <w:p w14:paraId="75E387F7" w14:textId="77777777" w:rsidR="002D1024" w:rsidRPr="002D1024" w:rsidRDefault="002D1024" w:rsidP="00AE59F6">
      <w:pPr>
        <w:pStyle w:val="ListParagraph"/>
        <w:numPr>
          <w:ilvl w:val="1"/>
          <w:numId w:val="297"/>
        </w:numPr>
        <w:tabs>
          <w:tab w:val="left" w:pos="1274"/>
        </w:tabs>
        <w:spacing w:line="276" w:lineRule="auto"/>
        <w:ind w:right="193"/>
        <w:jc w:val="both"/>
        <w:rPr>
          <w:rFonts w:ascii="Arial" w:hAnsi="Arial" w:cs="Arial"/>
          <w:sz w:val="20"/>
        </w:rPr>
      </w:pPr>
      <w:r w:rsidRPr="002D1024">
        <w:rPr>
          <w:rFonts w:ascii="Arial" w:hAnsi="Arial" w:cs="Arial"/>
          <w:sz w:val="20"/>
        </w:rPr>
        <w:t>all detailed maintenance records in respect of the aircraft and any service-life-limited</w:t>
      </w:r>
      <w:r w:rsidRPr="002D1024">
        <w:rPr>
          <w:rFonts w:ascii="Arial" w:hAnsi="Arial" w:cs="Arial"/>
          <w:spacing w:val="1"/>
          <w:sz w:val="20"/>
        </w:rPr>
        <w:t xml:space="preserve"> </w:t>
      </w:r>
      <w:r w:rsidRPr="002D1024">
        <w:rPr>
          <w:rFonts w:ascii="Arial" w:hAnsi="Arial" w:cs="Arial"/>
          <w:sz w:val="20"/>
        </w:rPr>
        <w:t>component</w:t>
      </w:r>
      <w:r w:rsidRPr="002D1024">
        <w:rPr>
          <w:rFonts w:ascii="Arial" w:hAnsi="Arial" w:cs="Arial"/>
          <w:spacing w:val="1"/>
          <w:sz w:val="20"/>
        </w:rPr>
        <w:t xml:space="preserve"> </w:t>
      </w:r>
      <w:r w:rsidRPr="002D1024">
        <w:rPr>
          <w:rFonts w:ascii="Arial" w:hAnsi="Arial" w:cs="Arial"/>
          <w:sz w:val="20"/>
        </w:rPr>
        <w:t>fitted</w:t>
      </w:r>
      <w:r w:rsidRPr="002D1024">
        <w:rPr>
          <w:rFonts w:ascii="Arial" w:hAnsi="Arial" w:cs="Arial"/>
          <w:spacing w:val="1"/>
          <w:sz w:val="20"/>
        </w:rPr>
        <w:t xml:space="preserve"> </w:t>
      </w:r>
      <w:r w:rsidRPr="002D1024">
        <w:rPr>
          <w:rFonts w:ascii="Arial" w:hAnsi="Arial" w:cs="Arial"/>
          <w:sz w:val="20"/>
        </w:rPr>
        <w:t>thereto,</w:t>
      </w:r>
      <w:r w:rsidRPr="002D1024">
        <w:rPr>
          <w:rFonts w:ascii="Arial" w:hAnsi="Arial" w:cs="Arial"/>
          <w:spacing w:val="1"/>
          <w:sz w:val="20"/>
        </w:rPr>
        <w:t xml:space="preserve"> </w:t>
      </w:r>
      <w:r w:rsidRPr="002D1024">
        <w:rPr>
          <w:rFonts w:ascii="Arial" w:hAnsi="Arial" w:cs="Arial"/>
          <w:sz w:val="20"/>
        </w:rPr>
        <w:t>until</w:t>
      </w:r>
      <w:r w:rsidRPr="002D1024">
        <w:rPr>
          <w:rFonts w:ascii="Arial" w:hAnsi="Arial" w:cs="Arial"/>
          <w:spacing w:val="1"/>
          <w:sz w:val="20"/>
        </w:rPr>
        <w:t xml:space="preserve"> </w:t>
      </w:r>
      <w:r w:rsidRPr="002D1024">
        <w:rPr>
          <w:rFonts w:ascii="Arial" w:hAnsi="Arial" w:cs="Arial"/>
          <w:sz w:val="20"/>
        </w:rPr>
        <w:t>such</w:t>
      </w:r>
      <w:r w:rsidRPr="002D1024">
        <w:rPr>
          <w:rFonts w:ascii="Arial" w:hAnsi="Arial" w:cs="Arial"/>
          <w:spacing w:val="1"/>
          <w:sz w:val="20"/>
        </w:rPr>
        <w:t xml:space="preserve"> </w:t>
      </w:r>
      <w:r w:rsidRPr="002D1024">
        <w:rPr>
          <w:rFonts w:ascii="Arial" w:hAnsi="Arial" w:cs="Arial"/>
          <w:sz w:val="20"/>
        </w:rPr>
        <w:t>time</w:t>
      </w:r>
      <w:r w:rsidRPr="002D1024">
        <w:rPr>
          <w:rFonts w:ascii="Arial" w:hAnsi="Arial" w:cs="Arial"/>
          <w:spacing w:val="1"/>
          <w:sz w:val="20"/>
        </w:rPr>
        <w:t xml:space="preserve"> </w:t>
      </w:r>
      <w:r w:rsidRPr="002D1024">
        <w:rPr>
          <w:rFonts w:ascii="Arial" w:hAnsi="Arial" w:cs="Arial"/>
          <w:sz w:val="20"/>
        </w:rPr>
        <w:t>as</w:t>
      </w:r>
      <w:r w:rsidRPr="002D1024">
        <w:rPr>
          <w:rFonts w:ascii="Arial" w:hAnsi="Arial" w:cs="Arial"/>
          <w:spacing w:val="1"/>
          <w:sz w:val="20"/>
        </w:rPr>
        <w:t xml:space="preserve"> </w:t>
      </w:r>
      <w:r w:rsidRPr="002D1024">
        <w:rPr>
          <w:rFonts w:ascii="Arial" w:hAnsi="Arial" w:cs="Arial"/>
          <w:sz w:val="20"/>
        </w:rPr>
        <w:t>the</w:t>
      </w:r>
      <w:r w:rsidRPr="002D1024">
        <w:rPr>
          <w:rFonts w:ascii="Arial" w:hAnsi="Arial" w:cs="Arial"/>
          <w:spacing w:val="1"/>
          <w:sz w:val="20"/>
        </w:rPr>
        <w:t xml:space="preserve"> </w:t>
      </w:r>
      <w:r w:rsidRPr="002D1024">
        <w:rPr>
          <w:rFonts w:ascii="Arial" w:hAnsi="Arial" w:cs="Arial"/>
          <w:sz w:val="20"/>
        </w:rPr>
        <w:t>information</w:t>
      </w:r>
      <w:r w:rsidRPr="002D1024">
        <w:rPr>
          <w:rFonts w:ascii="Arial" w:hAnsi="Arial" w:cs="Arial"/>
          <w:spacing w:val="1"/>
          <w:sz w:val="20"/>
        </w:rPr>
        <w:t xml:space="preserve"> </w:t>
      </w:r>
      <w:r w:rsidRPr="002D1024">
        <w:rPr>
          <w:rFonts w:ascii="Arial" w:hAnsi="Arial" w:cs="Arial"/>
          <w:sz w:val="20"/>
        </w:rPr>
        <w:t>contained</w:t>
      </w:r>
      <w:r w:rsidRPr="002D1024">
        <w:rPr>
          <w:rFonts w:ascii="Arial" w:hAnsi="Arial" w:cs="Arial"/>
          <w:spacing w:val="1"/>
          <w:sz w:val="20"/>
        </w:rPr>
        <w:t xml:space="preserve"> </w:t>
      </w:r>
      <w:r w:rsidRPr="002D1024">
        <w:rPr>
          <w:rFonts w:ascii="Arial" w:hAnsi="Arial" w:cs="Arial"/>
          <w:sz w:val="20"/>
        </w:rPr>
        <w:t>therein</w:t>
      </w:r>
      <w:r w:rsidRPr="002D1024">
        <w:rPr>
          <w:rFonts w:ascii="Arial" w:hAnsi="Arial" w:cs="Arial"/>
          <w:spacing w:val="1"/>
          <w:sz w:val="20"/>
        </w:rPr>
        <w:t xml:space="preserve"> </w:t>
      </w:r>
      <w:r w:rsidRPr="002D1024">
        <w:rPr>
          <w:rFonts w:ascii="Arial" w:hAnsi="Arial" w:cs="Arial"/>
          <w:sz w:val="20"/>
        </w:rPr>
        <w:t>is</w:t>
      </w:r>
      <w:r w:rsidRPr="002D1024">
        <w:rPr>
          <w:rFonts w:ascii="Arial" w:hAnsi="Arial" w:cs="Arial"/>
          <w:spacing w:val="1"/>
          <w:sz w:val="20"/>
        </w:rPr>
        <w:t xml:space="preserve"> </w:t>
      </w:r>
      <w:r w:rsidRPr="002D1024">
        <w:rPr>
          <w:rFonts w:ascii="Arial" w:hAnsi="Arial" w:cs="Arial"/>
          <w:spacing w:val="-1"/>
          <w:sz w:val="20"/>
        </w:rPr>
        <w:t>superseded</w:t>
      </w:r>
      <w:r w:rsidRPr="002D1024">
        <w:rPr>
          <w:rFonts w:ascii="Arial" w:hAnsi="Arial" w:cs="Arial"/>
          <w:spacing w:val="-12"/>
          <w:sz w:val="20"/>
        </w:rPr>
        <w:t xml:space="preserve"> </w:t>
      </w:r>
      <w:r w:rsidRPr="002D1024">
        <w:rPr>
          <w:rFonts w:ascii="Arial" w:hAnsi="Arial" w:cs="Arial"/>
          <w:sz w:val="20"/>
        </w:rPr>
        <w:t>by</w:t>
      </w:r>
      <w:r w:rsidRPr="002D1024">
        <w:rPr>
          <w:rFonts w:ascii="Arial" w:hAnsi="Arial" w:cs="Arial"/>
          <w:spacing w:val="-11"/>
          <w:sz w:val="20"/>
        </w:rPr>
        <w:t xml:space="preserve"> </w:t>
      </w:r>
      <w:r w:rsidRPr="002D1024">
        <w:rPr>
          <w:rFonts w:ascii="Arial" w:hAnsi="Arial" w:cs="Arial"/>
          <w:sz w:val="20"/>
        </w:rPr>
        <w:t>new</w:t>
      </w:r>
      <w:r w:rsidRPr="002D1024">
        <w:rPr>
          <w:rFonts w:ascii="Arial" w:hAnsi="Arial" w:cs="Arial"/>
          <w:spacing w:val="-11"/>
          <w:sz w:val="20"/>
        </w:rPr>
        <w:t xml:space="preserve"> </w:t>
      </w:r>
      <w:r w:rsidRPr="002D1024">
        <w:rPr>
          <w:rFonts w:ascii="Arial" w:hAnsi="Arial" w:cs="Arial"/>
          <w:sz w:val="20"/>
        </w:rPr>
        <w:t>information</w:t>
      </w:r>
      <w:r w:rsidRPr="002D1024">
        <w:rPr>
          <w:rFonts w:ascii="Arial" w:hAnsi="Arial" w:cs="Arial"/>
          <w:spacing w:val="-15"/>
          <w:sz w:val="20"/>
        </w:rPr>
        <w:t xml:space="preserve"> </w:t>
      </w:r>
      <w:r w:rsidRPr="002D1024">
        <w:rPr>
          <w:rFonts w:ascii="Arial" w:hAnsi="Arial" w:cs="Arial"/>
          <w:sz w:val="20"/>
        </w:rPr>
        <w:t>equivalent</w:t>
      </w:r>
      <w:r w:rsidRPr="002D1024">
        <w:rPr>
          <w:rFonts w:ascii="Arial" w:hAnsi="Arial" w:cs="Arial"/>
          <w:spacing w:val="-14"/>
          <w:sz w:val="20"/>
        </w:rPr>
        <w:t xml:space="preserve"> </w:t>
      </w:r>
      <w:r w:rsidRPr="002D1024">
        <w:rPr>
          <w:rFonts w:ascii="Arial" w:hAnsi="Arial" w:cs="Arial"/>
          <w:sz w:val="20"/>
        </w:rPr>
        <w:t>in</w:t>
      </w:r>
      <w:r w:rsidRPr="002D1024">
        <w:rPr>
          <w:rFonts w:ascii="Arial" w:hAnsi="Arial" w:cs="Arial"/>
          <w:spacing w:val="-13"/>
          <w:sz w:val="20"/>
        </w:rPr>
        <w:t xml:space="preserve"> </w:t>
      </w:r>
      <w:r w:rsidRPr="002D1024">
        <w:rPr>
          <w:rFonts w:ascii="Arial" w:hAnsi="Arial" w:cs="Arial"/>
          <w:sz w:val="20"/>
        </w:rPr>
        <w:t>scope</w:t>
      </w:r>
      <w:r w:rsidRPr="002D1024">
        <w:rPr>
          <w:rFonts w:ascii="Arial" w:hAnsi="Arial" w:cs="Arial"/>
          <w:spacing w:val="-14"/>
          <w:sz w:val="20"/>
        </w:rPr>
        <w:t xml:space="preserve"> </w:t>
      </w:r>
      <w:r w:rsidRPr="002D1024">
        <w:rPr>
          <w:rFonts w:ascii="Arial" w:hAnsi="Arial" w:cs="Arial"/>
          <w:sz w:val="20"/>
        </w:rPr>
        <w:t>and</w:t>
      </w:r>
      <w:r w:rsidRPr="002D1024">
        <w:rPr>
          <w:rFonts w:ascii="Arial" w:hAnsi="Arial" w:cs="Arial"/>
          <w:spacing w:val="-13"/>
          <w:sz w:val="20"/>
        </w:rPr>
        <w:t xml:space="preserve"> </w:t>
      </w:r>
      <w:r w:rsidRPr="002D1024">
        <w:rPr>
          <w:rFonts w:ascii="Arial" w:hAnsi="Arial" w:cs="Arial"/>
          <w:sz w:val="20"/>
        </w:rPr>
        <w:t>detail</w:t>
      </w:r>
      <w:r w:rsidRPr="002D1024">
        <w:rPr>
          <w:rFonts w:ascii="Arial" w:hAnsi="Arial" w:cs="Arial"/>
          <w:spacing w:val="-13"/>
          <w:sz w:val="20"/>
        </w:rPr>
        <w:t xml:space="preserve"> </w:t>
      </w:r>
      <w:r w:rsidRPr="002D1024">
        <w:rPr>
          <w:rFonts w:ascii="Arial" w:hAnsi="Arial" w:cs="Arial"/>
          <w:sz w:val="20"/>
        </w:rPr>
        <w:t>but</w:t>
      </w:r>
      <w:r w:rsidRPr="002D1024">
        <w:rPr>
          <w:rFonts w:ascii="Arial" w:hAnsi="Arial" w:cs="Arial"/>
          <w:spacing w:val="-14"/>
          <w:sz w:val="20"/>
        </w:rPr>
        <w:t xml:space="preserve"> </w:t>
      </w:r>
      <w:r w:rsidRPr="002D1024">
        <w:rPr>
          <w:rFonts w:ascii="Arial" w:hAnsi="Arial" w:cs="Arial"/>
          <w:sz w:val="20"/>
        </w:rPr>
        <w:t>no</w:t>
      </w:r>
      <w:r w:rsidRPr="002D1024">
        <w:rPr>
          <w:rFonts w:ascii="Arial" w:hAnsi="Arial" w:cs="Arial"/>
          <w:spacing w:val="-13"/>
          <w:sz w:val="20"/>
        </w:rPr>
        <w:t xml:space="preserve"> </w:t>
      </w:r>
      <w:r w:rsidRPr="002D1024">
        <w:rPr>
          <w:rFonts w:ascii="Arial" w:hAnsi="Arial" w:cs="Arial"/>
          <w:sz w:val="20"/>
        </w:rPr>
        <w:t>less</w:t>
      </w:r>
      <w:r w:rsidRPr="002D1024">
        <w:rPr>
          <w:rFonts w:ascii="Arial" w:hAnsi="Arial" w:cs="Arial"/>
          <w:spacing w:val="-14"/>
          <w:sz w:val="20"/>
        </w:rPr>
        <w:t xml:space="preserve"> </w:t>
      </w:r>
      <w:r w:rsidRPr="002D1024">
        <w:rPr>
          <w:rFonts w:ascii="Arial" w:hAnsi="Arial" w:cs="Arial"/>
          <w:sz w:val="20"/>
        </w:rPr>
        <w:t>than</w:t>
      </w:r>
      <w:r w:rsidRPr="002D1024">
        <w:rPr>
          <w:rFonts w:ascii="Arial" w:hAnsi="Arial" w:cs="Arial"/>
          <w:spacing w:val="-15"/>
          <w:sz w:val="20"/>
        </w:rPr>
        <w:t xml:space="preserve"> </w:t>
      </w:r>
      <w:r w:rsidRPr="002D1024">
        <w:rPr>
          <w:rFonts w:ascii="Arial" w:hAnsi="Arial" w:cs="Arial"/>
          <w:sz w:val="20"/>
        </w:rPr>
        <w:t>36</w:t>
      </w:r>
      <w:r w:rsidRPr="002D1024">
        <w:rPr>
          <w:rFonts w:ascii="Arial" w:hAnsi="Arial" w:cs="Arial"/>
          <w:spacing w:val="-4"/>
          <w:sz w:val="20"/>
        </w:rPr>
        <w:t xml:space="preserve"> </w:t>
      </w:r>
      <w:r w:rsidRPr="002D1024">
        <w:rPr>
          <w:rFonts w:ascii="Arial" w:hAnsi="Arial" w:cs="Arial"/>
          <w:sz w:val="20"/>
        </w:rPr>
        <w:t>months</w:t>
      </w:r>
      <w:r w:rsidRPr="002D1024">
        <w:rPr>
          <w:rFonts w:ascii="Arial" w:hAnsi="Arial" w:cs="Arial"/>
          <w:spacing w:val="-47"/>
          <w:sz w:val="20"/>
        </w:rPr>
        <w:t xml:space="preserve"> </w:t>
      </w:r>
      <w:r w:rsidRPr="002D1024">
        <w:rPr>
          <w:rFonts w:ascii="Arial" w:hAnsi="Arial" w:cs="Arial"/>
          <w:sz w:val="20"/>
        </w:rPr>
        <w:t>after</w:t>
      </w:r>
      <w:r w:rsidRPr="002D1024">
        <w:rPr>
          <w:rFonts w:ascii="Arial" w:hAnsi="Arial" w:cs="Arial"/>
          <w:spacing w:val="-1"/>
          <w:sz w:val="20"/>
        </w:rPr>
        <w:t xml:space="preserve"> </w:t>
      </w:r>
      <w:r w:rsidRPr="002D1024">
        <w:rPr>
          <w:rFonts w:ascii="Arial" w:hAnsi="Arial" w:cs="Arial"/>
          <w:sz w:val="20"/>
        </w:rPr>
        <w:t>the</w:t>
      </w:r>
      <w:r w:rsidRPr="002D1024">
        <w:rPr>
          <w:rFonts w:ascii="Arial" w:hAnsi="Arial" w:cs="Arial"/>
          <w:spacing w:val="1"/>
          <w:sz w:val="20"/>
        </w:rPr>
        <w:t xml:space="preserve"> </w:t>
      </w:r>
      <w:r w:rsidRPr="002D1024">
        <w:rPr>
          <w:rFonts w:ascii="Arial" w:hAnsi="Arial" w:cs="Arial"/>
          <w:sz w:val="20"/>
        </w:rPr>
        <w:t>aircraft</w:t>
      </w:r>
      <w:r w:rsidRPr="002D1024">
        <w:rPr>
          <w:rFonts w:ascii="Arial" w:hAnsi="Arial" w:cs="Arial"/>
          <w:spacing w:val="-2"/>
          <w:sz w:val="20"/>
        </w:rPr>
        <w:t xml:space="preserve"> </w:t>
      </w:r>
      <w:r w:rsidRPr="002D1024">
        <w:rPr>
          <w:rFonts w:ascii="Arial" w:hAnsi="Arial" w:cs="Arial"/>
          <w:sz w:val="20"/>
        </w:rPr>
        <w:t>or component has</w:t>
      </w:r>
      <w:r w:rsidRPr="002D1024">
        <w:rPr>
          <w:rFonts w:ascii="Arial" w:hAnsi="Arial" w:cs="Arial"/>
          <w:spacing w:val="-1"/>
          <w:sz w:val="20"/>
        </w:rPr>
        <w:t xml:space="preserve"> </w:t>
      </w:r>
      <w:r w:rsidRPr="002D1024">
        <w:rPr>
          <w:rFonts w:ascii="Arial" w:hAnsi="Arial" w:cs="Arial"/>
          <w:sz w:val="20"/>
        </w:rPr>
        <w:t>been released to</w:t>
      </w:r>
      <w:r w:rsidRPr="002D1024">
        <w:rPr>
          <w:rFonts w:ascii="Arial" w:hAnsi="Arial" w:cs="Arial"/>
          <w:spacing w:val="-1"/>
          <w:sz w:val="20"/>
        </w:rPr>
        <w:t xml:space="preserve"> </w:t>
      </w:r>
      <w:r w:rsidRPr="002D1024">
        <w:rPr>
          <w:rFonts w:ascii="Arial" w:hAnsi="Arial" w:cs="Arial"/>
          <w:sz w:val="20"/>
        </w:rPr>
        <w:t>service;</w:t>
      </w:r>
    </w:p>
    <w:p w14:paraId="34E3F396" w14:textId="77777777" w:rsidR="002D1024" w:rsidRPr="002D1024" w:rsidRDefault="002D1024" w:rsidP="00AE59F6">
      <w:pPr>
        <w:pStyle w:val="ListParagraph"/>
        <w:numPr>
          <w:ilvl w:val="1"/>
          <w:numId w:val="297"/>
        </w:numPr>
        <w:tabs>
          <w:tab w:val="left" w:pos="1274"/>
        </w:tabs>
        <w:spacing w:before="121" w:line="276" w:lineRule="auto"/>
        <w:ind w:right="195"/>
        <w:jc w:val="both"/>
        <w:rPr>
          <w:rFonts w:ascii="Arial" w:hAnsi="Arial" w:cs="Arial"/>
          <w:sz w:val="20"/>
        </w:rPr>
      </w:pPr>
      <w:r w:rsidRPr="002D1024">
        <w:rPr>
          <w:rFonts w:ascii="Arial" w:hAnsi="Arial" w:cs="Arial"/>
          <w:sz w:val="20"/>
        </w:rPr>
        <w:t>the total time in service, this is to say hours, calendar time, cycles and landings, of the</w:t>
      </w:r>
      <w:r w:rsidRPr="002D1024">
        <w:rPr>
          <w:rFonts w:ascii="Arial" w:hAnsi="Arial" w:cs="Arial"/>
          <w:spacing w:val="1"/>
          <w:sz w:val="20"/>
        </w:rPr>
        <w:t xml:space="preserve"> </w:t>
      </w:r>
      <w:r w:rsidRPr="002D1024">
        <w:rPr>
          <w:rFonts w:ascii="Arial" w:hAnsi="Arial" w:cs="Arial"/>
          <w:sz w:val="20"/>
        </w:rPr>
        <w:t>aircraft and all service-life-limited components, for at least 12 months after the aircraft</w:t>
      </w:r>
      <w:r w:rsidRPr="002D1024">
        <w:rPr>
          <w:rFonts w:ascii="Arial" w:hAnsi="Arial" w:cs="Arial"/>
          <w:spacing w:val="1"/>
          <w:sz w:val="20"/>
        </w:rPr>
        <w:t xml:space="preserve"> </w:t>
      </w:r>
      <w:r w:rsidRPr="002D1024">
        <w:rPr>
          <w:rFonts w:ascii="Arial" w:hAnsi="Arial" w:cs="Arial"/>
          <w:sz w:val="20"/>
        </w:rPr>
        <w:t>or</w:t>
      </w:r>
      <w:r w:rsidRPr="002D1024">
        <w:rPr>
          <w:rFonts w:ascii="Arial" w:hAnsi="Arial" w:cs="Arial"/>
          <w:spacing w:val="-1"/>
          <w:sz w:val="20"/>
        </w:rPr>
        <w:t xml:space="preserve"> </w:t>
      </w:r>
      <w:r w:rsidRPr="002D1024">
        <w:rPr>
          <w:rFonts w:ascii="Arial" w:hAnsi="Arial" w:cs="Arial"/>
          <w:sz w:val="20"/>
        </w:rPr>
        <w:t>component</w:t>
      </w:r>
      <w:r w:rsidRPr="002D1024">
        <w:rPr>
          <w:rFonts w:ascii="Arial" w:hAnsi="Arial" w:cs="Arial"/>
          <w:spacing w:val="-2"/>
          <w:sz w:val="20"/>
        </w:rPr>
        <w:t xml:space="preserve"> </w:t>
      </w:r>
      <w:r w:rsidRPr="002D1024">
        <w:rPr>
          <w:rFonts w:ascii="Arial" w:hAnsi="Arial" w:cs="Arial"/>
          <w:sz w:val="20"/>
        </w:rPr>
        <w:t>has been</w:t>
      </w:r>
      <w:r w:rsidRPr="002D1024">
        <w:rPr>
          <w:rFonts w:ascii="Arial" w:hAnsi="Arial" w:cs="Arial"/>
          <w:spacing w:val="-1"/>
          <w:sz w:val="20"/>
        </w:rPr>
        <w:t xml:space="preserve"> </w:t>
      </w:r>
      <w:r w:rsidRPr="002D1024">
        <w:rPr>
          <w:rFonts w:ascii="Arial" w:hAnsi="Arial" w:cs="Arial"/>
          <w:sz w:val="20"/>
        </w:rPr>
        <w:t>permanently withdrawn from</w:t>
      </w:r>
      <w:r w:rsidRPr="002D1024">
        <w:rPr>
          <w:rFonts w:ascii="Arial" w:hAnsi="Arial" w:cs="Arial"/>
          <w:spacing w:val="-2"/>
          <w:sz w:val="20"/>
        </w:rPr>
        <w:t xml:space="preserve"> </w:t>
      </w:r>
      <w:r w:rsidRPr="002D1024">
        <w:rPr>
          <w:rFonts w:ascii="Arial" w:hAnsi="Arial" w:cs="Arial"/>
          <w:sz w:val="20"/>
        </w:rPr>
        <w:t>service;</w:t>
      </w:r>
    </w:p>
    <w:p w14:paraId="280487DA" w14:textId="77777777" w:rsidR="002D1024" w:rsidRPr="002D1024" w:rsidRDefault="002D1024" w:rsidP="00AE59F6">
      <w:pPr>
        <w:pStyle w:val="ListParagraph"/>
        <w:numPr>
          <w:ilvl w:val="1"/>
          <w:numId w:val="297"/>
        </w:numPr>
        <w:tabs>
          <w:tab w:val="left" w:pos="1274"/>
        </w:tabs>
        <w:spacing w:before="119" w:line="276" w:lineRule="auto"/>
        <w:ind w:right="195"/>
        <w:jc w:val="both"/>
        <w:rPr>
          <w:rFonts w:ascii="Arial" w:hAnsi="Arial" w:cs="Arial"/>
          <w:sz w:val="20"/>
        </w:rPr>
      </w:pPr>
      <w:r w:rsidRPr="002D1024">
        <w:rPr>
          <w:rFonts w:ascii="Arial" w:hAnsi="Arial" w:cs="Arial"/>
          <w:sz w:val="20"/>
        </w:rPr>
        <w:t>the</w:t>
      </w:r>
      <w:r w:rsidRPr="002D1024">
        <w:rPr>
          <w:rFonts w:ascii="Arial" w:hAnsi="Arial" w:cs="Arial"/>
          <w:spacing w:val="-10"/>
          <w:sz w:val="20"/>
        </w:rPr>
        <w:t xml:space="preserve"> </w:t>
      </w:r>
      <w:r w:rsidRPr="002D1024">
        <w:rPr>
          <w:rFonts w:ascii="Arial" w:hAnsi="Arial" w:cs="Arial"/>
          <w:sz w:val="20"/>
        </w:rPr>
        <w:t>time</w:t>
      </w:r>
      <w:r w:rsidRPr="002D1024">
        <w:rPr>
          <w:rFonts w:ascii="Arial" w:hAnsi="Arial" w:cs="Arial"/>
          <w:spacing w:val="-7"/>
          <w:sz w:val="20"/>
        </w:rPr>
        <w:t xml:space="preserve"> </w:t>
      </w:r>
      <w:r w:rsidRPr="002D1024">
        <w:rPr>
          <w:rFonts w:ascii="Arial" w:hAnsi="Arial" w:cs="Arial"/>
          <w:sz w:val="20"/>
        </w:rPr>
        <w:t>in</w:t>
      </w:r>
      <w:r w:rsidRPr="002D1024">
        <w:rPr>
          <w:rFonts w:ascii="Arial" w:hAnsi="Arial" w:cs="Arial"/>
          <w:spacing w:val="-11"/>
          <w:sz w:val="20"/>
        </w:rPr>
        <w:t xml:space="preserve"> </w:t>
      </w:r>
      <w:r w:rsidRPr="002D1024">
        <w:rPr>
          <w:rFonts w:ascii="Arial" w:hAnsi="Arial" w:cs="Arial"/>
          <w:sz w:val="20"/>
        </w:rPr>
        <w:t>service,</w:t>
      </w:r>
      <w:r w:rsidRPr="002D1024">
        <w:rPr>
          <w:rFonts w:ascii="Arial" w:hAnsi="Arial" w:cs="Arial"/>
          <w:spacing w:val="-10"/>
          <w:sz w:val="20"/>
        </w:rPr>
        <w:t xml:space="preserve"> </w:t>
      </w:r>
      <w:r w:rsidRPr="002D1024">
        <w:rPr>
          <w:rFonts w:ascii="Arial" w:hAnsi="Arial" w:cs="Arial"/>
          <w:sz w:val="20"/>
        </w:rPr>
        <w:t>this</w:t>
      </w:r>
      <w:r w:rsidRPr="002D1024">
        <w:rPr>
          <w:rFonts w:ascii="Arial" w:hAnsi="Arial" w:cs="Arial"/>
          <w:spacing w:val="-8"/>
          <w:sz w:val="20"/>
        </w:rPr>
        <w:t xml:space="preserve"> </w:t>
      </w:r>
      <w:r w:rsidRPr="002D1024">
        <w:rPr>
          <w:rFonts w:ascii="Arial" w:hAnsi="Arial" w:cs="Arial"/>
          <w:sz w:val="20"/>
        </w:rPr>
        <w:t>is</w:t>
      </w:r>
      <w:r w:rsidRPr="002D1024">
        <w:rPr>
          <w:rFonts w:ascii="Arial" w:hAnsi="Arial" w:cs="Arial"/>
          <w:spacing w:val="-10"/>
          <w:sz w:val="20"/>
        </w:rPr>
        <w:t xml:space="preserve"> </w:t>
      </w:r>
      <w:r w:rsidRPr="002D1024">
        <w:rPr>
          <w:rFonts w:ascii="Arial" w:hAnsi="Arial" w:cs="Arial"/>
          <w:sz w:val="20"/>
        </w:rPr>
        <w:t>to</w:t>
      </w:r>
      <w:r w:rsidRPr="002D1024">
        <w:rPr>
          <w:rFonts w:ascii="Arial" w:hAnsi="Arial" w:cs="Arial"/>
          <w:spacing w:val="-9"/>
          <w:sz w:val="20"/>
        </w:rPr>
        <w:t xml:space="preserve"> </w:t>
      </w:r>
      <w:r w:rsidRPr="002D1024">
        <w:rPr>
          <w:rFonts w:ascii="Arial" w:hAnsi="Arial" w:cs="Arial"/>
          <w:sz w:val="20"/>
        </w:rPr>
        <w:t>say</w:t>
      </w:r>
      <w:r w:rsidRPr="002D1024">
        <w:rPr>
          <w:rFonts w:ascii="Arial" w:hAnsi="Arial" w:cs="Arial"/>
          <w:spacing w:val="-10"/>
          <w:sz w:val="20"/>
        </w:rPr>
        <w:t xml:space="preserve"> </w:t>
      </w:r>
      <w:r w:rsidRPr="002D1024">
        <w:rPr>
          <w:rFonts w:ascii="Arial" w:hAnsi="Arial" w:cs="Arial"/>
          <w:sz w:val="20"/>
        </w:rPr>
        <w:t>hours,</w:t>
      </w:r>
      <w:r w:rsidRPr="002D1024">
        <w:rPr>
          <w:rFonts w:ascii="Arial" w:hAnsi="Arial" w:cs="Arial"/>
          <w:spacing w:val="-11"/>
          <w:sz w:val="20"/>
        </w:rPr>
        <w:t xml:space="preserve"> </w:t>
      </w:r>
      <w:r w:rsidRPr="002D1024">
        <w:rPr>
          <w:rFonts w:ascii="Arial" w:hAnsi="Arial" w:cs="Arial"/>
          <w:sz w:val="20"/>
        </w:rPr>
        <w:t>calendar</w:t>
      </w:r>
      <w:r w:rsidRPr="002D1024">
        <w:rPr>
          <w:rFonts w:ascii="Arial" w:hAnsi="Arial" w:cs="Arial"/>
          <w:spacing w:val="-11"/>
          <w:sz w:val="20"/>
        </w:rPr>
        <w:t xml:space="preserve"> </w:t>
      </w:r>
      <w:r w:rsidRPr="002D1024">
        <w:rPr>
          <w:rFonts w:ascii="Arial" w:hAnsi="Arial" w:cs="Arial"/>
          <w:sz w:val="20"/>
        </w:rPr>
        <w:t>time,</w:t>
      </w:r>
      <w:r w:rsidRPr="002D1024">
        <w:rPr>
          <w:rFonts w:ascii="Arial" w:hAnsi="Arial" w:cs="Arial"/>
          <w:spacing w:val="-10"/>
          <w:sz w:val="20"/>
        </w:rPr>
        <w:t xml:space="preserve"> </w:t>
      </w:r>
      <w:r w:rsidRPr="002D1024">
        <w:rPr>
          <w:rFonts w:ascii="Arial" w:hAnsi="Arial" w:cs="Arial"/>
          <w:sz w:val="20"/>
        </w:rPr>
        <w:t>cycles</w:t>
      </w:r>
      <w:r w:rsidRPr="002D1024">
        <w:rPr>
          <w:rFonts w:ascii="Arial" w:hAnsi="Arial" w:cs="Arial"/>
          <w:spacing w:val="-10"/>
          <w:sz w:val="20"/>
        </w:rPr>
        <w:t xml:space="preserve"> </w:t>
      </w:r>
      <w:r w:rsidRPr="002D1024">
        <w:rPr>
          <w:rFonts w:ascii="Arial" w:hAnsi="Arial" w:cs="Arial"/>
          <w:sz w:val="20"/>
        </w:rPr>
        <w:t>and</w:t>
      </w:r>
      <w:r w:rsidRPr="002D1024">
        <w:rPr>
          <w:rFonts w:ascii="Arial" w:hAnsi="Arial" w:cs="Arial"/>
          <w:spacing w:val="-8"/>
          <w:sz w:val="20"/>
        </w:rPr>
        <w:t xml:space="preserve"> </w:t>
      </w:r>
      <w:r w:rsidRPr="002D1024">
        <w:rPr>
          <w:rFonts w:ascii="Arial" w:hAnsi="Arial" w:cs="Arial"/>
          <w:sz w:val="20"/>
        </w:rPr>
        <w:t>landings,</w:t>
      </w:r>
      <w:r w:rsidRPr="002D1024">
        <w:rPr>
          <w:rFonts w:ascii="Arial" w:hAnsi="Arial" w:cs="Arial"/>
          <w:spacing w:val="-10"/>
          <w:sz w:val="20"/>
        </w:rPr>
        <w:t xml:space="preserve"> </w:t>
      </w:r>
      <w:r w:rsidRPr="002D1024">
        <w:rPr>
          <w:rFonts w:ascii="Arial" w:hAnsi="Arial" w:cs="Arial"/>
          <w:sz w:val="20"/>
        </w:rPr>
        <w:t>as</w:t>
      </w:r>
      <w:r w:rsidRPr="002D1024">
        <w:rPr>
          <w:rFonts w:ascii="Arial" w:hAnsi="Arial" w:cs="Arial"/>
          <w:spacing w:val="-10"/>
          <w:sz w:val="20"/>
        </w:rPr>
        <w:t xml:space="preserve"> </w:t>
      </w:r>
      <w:r w:rsidRPr="002D1024">
        <w:rPr>
          <w:rFonts w:ascii="Arial" w:hAnsi="Arial" w:cs="Arial"/>
          <w:sz w:val="20"/>
        </w:rPr>
        <w:t>appropriate,</w:t>
      </w:r>
      <w:r w:rsidRPr="002D1024">
        <w:rPr>
          <w:rFonts w:ascii="Arial" w:hAnsi="Arial" w:cs="Arial"/>
          <w:spacing w:val="-48"/>
          <w:sz w:val="20"/>
        </w:rPr>
        <w:t xml:space="preserve"> </w:t>
      </w:r>
      <w:r w:rsidRPr="002D1024">
        <w:rPr>
          <w:rFonts w:ascii="Arial" w:hAnsi="Arial" w:cs="Arial"/>
          <w:sz w:val="20"/>
        </w:rPr>
        <w:t>since the last scheduled maintenance of the component subjected to a service life limit,</w:t>
      </w:r>
      <w:r w:rsidRPr="002D1024">
        <w:rPr>
          <w:rFonts w:ascii="Arial" w:hAnsi="Arial" w:cs="Arial"/>
          <w:spacing w:val="1"/>
          <w:sz w:val="20"/>
        </w:rPr>
        <w:t xml:space="preserve"> </w:t>
      </w:r>
      <w:r w:rsidRPr="002D1024">
        <w:rPr>
          <w:rFonts w:ascii="Arial" w:hAnsi="Arial" w:cs="Arial"/>
          <w:sz w:val="20"/>
        </w:rPr>
        <w:t>at least until the component scheduled maintenance has been superseded by another</w:t>
      </w:r>
      <w:r w:rsidRPr="002D1024">
        <w:rPr>
          <w:rFonts w:ascii="Arial" w:hAnsi="Arial" w:cs="Arial"/>
          <w:spacing w:val="1"/>
          <w:sz w:val="20"/>
        </w:rPr>
        <w:t xml:space="preserve"> </w:t>
      </w:r>
      <w:r w:rsidRPr="002D1024">
        <w:rPr>
          <w:rFonts w:ascii="Arial" w:hAnsi="Arial" w:cs="Arial"/>
          <w:sz w:val="20"/>
        </w:rPr>
        <w:t>scheduled</w:t>
      </w:r>
      <w:r w:rsidRPr="002D1024">
        <w:rPr>
          <w:rFonts w:ascii="Arial" w:hAnsi="Arial" w:cs="Arial"/>
          <w:spacing w:val="-3"/>
          <w:sz w:val="20"/>
        </w:rPr>
        <w:t xml:space="preserve"> </w:t>
      </w:r>
      <w:r w:rsidRPr="002D1024">
        <w:rPr>
          <w:rFonts w:ascii="Arial" w:hAnsi="Arial" w:cs="Arial"/>
          <w:sz w:val="20"/>
        </w:rPr>
        <w:t>maintenance</w:t>
      </w:r>
      <w:r w:rsidRPr="002D1024">
        <w:rPr>
          <w:rFonts w:ascii="Arial" w:hAnsi="Arial" w:cs="Arial"/>
          <w:spacing w:val="-2"/>
          <w:sz w:val="20"/>
        </w:rPr>
        <w:t xml:space="preserve"> </w:t>
      </w:r>
      <w:r w:rsidRPr="002D1024">
        <w:rPr>
          <w:rFonts w:ascii="Arial" w:hAnsi="Arial" w:cs="Arial"/>
          <w:sz w:val="20"/>
        </w:rPr>
        <w:t>of</w:t>
      </w:r>
      <w:r w:rsidRPr="002D1024">
        <w:rPr>
          <w:rFonts w:ascii="Arial" w:hAnsi="Arial" w:cs="Arial"/>
          <w:spacing w:val="-5"/>
          <w:sz w:val="20"/>
        </w:rPr>
        <w:t xml:space="preserve"> </w:t>
      </w:r>
      <w:r w:rsidRPr="002D1024">
        <w:rPr>
          <w:rFonts w:ascii="Arial" w:hAnsi="Arial" w:cs="Arial"/>
          <w:sz w:val="20"/>
        </w:rPr>
        <w:t>equivalent</w:t>
      </w:r>
      <w:r w:rsidRPr="002D1024">
        <w:rPr>
          <w:rFonts w:ascii="Arial" w:hAnsi="Arial" w:cs="Arial"/>
          <w:spacing w:val="-2"/>
          <w:sz w:val="20"/>
        </w:rPr>
        <w:t xml:space="preserve"> </w:t>
      </w:r>
      <w:r w:rsidRPr="002D1024">
        <w:rPr>
          <w:rFonts w:ascii="Arial" w:hAnsi="Arial" w:cs="Arial"/>
          <w:sz w:val="20"/>
        </w:rPr>
        <w:t>work scope</w:t>
      </w:r>
      <w:r w:rsidRPr="002D1024">
        <w:rPr>
          <w:rFonts w:ascii="Arial" w:hAnsi="Arial" w:cs="Arial"/>
          <w:spacing w:val="-2"/>
          <w:sz w:val="20"/>
        </w:rPr>
        <w:t xml:space="preserve"> </w:t>
      </w:r>
      <w:r w:rsidRPr="002D1024">
        <w:rPr>
          <w:rFonts w:ascii="Arial" w:hAnsi="Arial" w:cs="Arial"/>
          <w:sz w:val="20"/>
        </w:rPr>
        <w:t>and</w:t>
      </w:r>
      <w:r w:rsidRPr="002D1024">
        <w:rPr>
          <w:rFonts w:ascii="Arial" w:hAnsi="Arial" w:cs="Arial"/>
          <w:spacing w:val="-3"/>
          <w:sz w:val="20"/>
        </w:rPr>
        <w:t xml:space="preserve"> </w:t>
      </w:r>
      <w:r w:rsidRPr="002D1024">
        <w:rPr>
          <w:rFonts w:ascii="Arial" w:hAnsi="Arial" w:cs="Arial"/>
          <w:sz w:val="20"/>
        </w:rPr>
        <w:t>detail;</w:t>
      </w:r>
    </w:p>
    <w:p w14:paraId="50DC7F2D" w14:textId="77777777" w:rsidR="002D1024" w:rsidRPr="002D1024" w:rsidRDefault="002D1024" w:rsidP="00AE59F6">
      <w:pPr>
        <w:pStyle w:val="ListParagraph"/>
        <w:numPr>
          <w:ilvl w:val="1"/>
          <w:numId w:val="297"/>
        </w:numPr>
        <w:tabs>
          <w:tab w:val="left" w:pos="1274"/>
        </w:tabs>
        <w:spacing w:before="121" w:line="276" w:lineRule="auto"/>
        <w:ind w:right="196"/>
        <w:jc w:val="both"/>
        <w:rPr>
          <w:rFonts w:ascii="Arial" w:hAnsi="Arial" w:cs="Arial"/>
          <w:sz w:val="20"/>
        </w:rPr>
      </w:pPr>
      <w:r w:rsidRPr="002D1024">
        <w:rPr>
          <w:rFonts w:ascii="Arial" w:hAnsi="Arial" w:cs="Arial"/>
          <w:sz w:val="20"/>
        </w:rPr>
        <w:t>the current status of compliance with the AMP at least until the scheduled maintenance</w:t>
      </w:r>
      <w:r w:rsidRPr="002D1024">
        <w:rPr>
          <w:rFonts w:ascii="Arial" w:hAnsi="Arial" w:cs="Arial"/>
          <w:spacing w:val="-47"/>
          <w:sz w:val="20"/>
        </w:rPr>
        <w:t xml:space="preserve"> </w:t>
      </w:r>
      <w:r w:rsidRPr="002D1024">
        <w:rPr>
          <w:rFonts w:ascii="Arial" w:hAnsi="Arial" w:cs="Arial"/>
          <w:sz w:val="20"/>
        </w:rPr>
        <w:lastRenderedPageBreak/>
        <w:t>of</w:t>
      </w:r>
      <w:r w:rsidRPr="002D1024">
        <w:rPr>
          <w:rFonts w:ascii="Arial" w:hAnsi="Arial" w:cs="Arial"/>
          <w:spacing w:val="-6"/>
          <w:sz w:val="20"/>
        </w:rPr>
        <w:t xml:space="preserve"> </w:t>
      </w:r>
      <w:r w:rsidRPr="002D1024">
        <w:rPr>
          <w:rFonts w:ascii="Arial" w:hAnsi="Arial" w:cs="Arial"/>
          <w:sz w:val="20"/>
        </w:rPr>
        <w:t>the</w:t>
      </w:r>
      <w:r w:rsidRPr="002D1024">
        <w:rPr>
          <w:rFonts w:ascii="Arial" w:hAnsi="Arial" w:cs="Arial"/>
          <w:spacing w:val="-6"/>
          <w:sz w:val="20"/>
        </w:rPr>
        <w:t xml:space="preserve"> </w:t>
      </w:r>
      <w:r w:rsidRPr="002D1024">
        <w:rPr>
          <w:rFonts w:ascii="Arial" w:hAnsi="Arial" w:cs="Arial"/>
          <w:sz w:val="20"/>
        </w:rPr>
        <w:t>aircraft</w:t>
      </w:r>
      <w:r w:rsidRPr="002D1024">
        <w:rPr>
          <w:rFonts w:ascii="Arial" w:hAnsi="Arial" w:cs="Arial"/>
          <w:spacing w:val="-4"/>
          <w:sz w:val="20"/>
        </w:rPr>
        <w:t xml:space="preserve"> </w:t>
      </w:r>
      <w:r w:rsidRPr="002D1024">
        <w:rPr>
          <w:rFonts w:ascii="Arial" w:hAnsi="Arial" w:cs="Arial"/>
          <w:sz w:val="20"/>
        </w:rPr>
        <w:t>or</w:t>
      </w:r>
      <w:r w:rsidRPr="002D1024">
        <w:rPr>
          <w:rFonts w:ascii="Arial" w:hAnsi="Arial" w:cs="Arial"/>
          <w:spacing w:val="-6"/>
          <w:sz w:val="20"/>
        </w:rPr>
        <w:t xml:space="preserve"> </w:t>
      </w:r>
      <w:r w:rsidRPr="002D1024">
        <w:rPr>
          <w:rFonts w:ascii="Arial" w:hAnsi="Arial" w:cs="Arial"/>
          <w:sz w:val="20"/>
        </w:rPr>
        <w:t>component</w:t>
      </w:r>
      <w:r w:rsidRPr="002D1024">
        <w:rPr>
          <w:rFonts w:ascii="Arial" w:hAnsi="Arial" w:cs="Arial"/>
          <w:spacing w:val="-4"/>
          <w:sz w:val="20"/>
        </w:rPr>
        <w:t xml:space="preserve"> </w:t>
      </w:r>
      <w:r w:rsidRPr="002D1024">
        <w:rPr>
          <w:rFonts w:ascii="Arial" w:hAnsi="Arial" w:cs="Arial"/>
          <w:sz w:val="20"/>
        </w:rPr>
        <w:t>has</w:t>
      </w:r>
      <w:r w:rsidRPr="002D1024">
        <w:rPr>
          <w:rFonts w:ascii="Arial" w:hAnsi="Arial" w:cs="Arial"/>
          <w:spacing w:val="-6"/>
          <w:sz w:val="20"/>
        </w:rPr>
        <w:t xml:space="preserve"> </w:t>
      </w:r>
      <w:r w:rsidRPr="002D1024">
        <w:rPr>
          <w:rFonts w:ascii="Arial" w:hAnsi="Arial" w:cs="Arial"/>
          <w:sz w:val="20"/>
        </w:rPr>
        <w:t>been</w:t>
      </w:r>
      <w:r w:rsidRPr="002D1024">
        <w:rPr>
          <w:rFonts w:ascii="Arial" w:hAnsi="Arial" w:cs="Arial"/>
          <w:spacing w:val="-6"/>
          <w:sz w:val="20"/>
        </w:rPr>
        <w:t xml:space="preserve"> </w:t>
      </w:r>
      <w:r w:rsidRPr="002D1024">
        <w:rPr>
          <w:rFonts w:ascii="Arial" w:hAnsi="Arial" w:cs="Arial"/>
          <w:sz w:val="20"/>
        </w:rPr>
        <w:t>superseded</w:t>
      </w:r>
      <w:r w:rsidRPr="002D1024">
        <w:rPr>
          <w:rFonts w:ascii="Arial" w:hAnsi="Arial" w:cs="Arial"/>
          <w:spacing w:val="-5"/>
          <w:sz w:val="20"/>
        </w:rPr>
        <w:t xml:space="preserve"> </w:t>
      </w:r>
      <w:r w:rsidRPr="002D1024">
        <w:rPr>
          <w:rFonts w:ascii="Arial" w:hAnsi="Arial" w:cs="Arial"/>
          <w:sz w:val="20"/>
        </w:rPr>
        <w:t>by</w:t>
      </w:r>
      <w:r w:rsidRPr="002D1024">
        <w:rPr>
          <w:rFonts w:ascii="Arial" w:hAnsi="Arial" w:cs="Arial"/>
          <w:spacing w:val="-7"/>
          <w:sz w:val="20"/>
        </w:rPr>
        <w:t xml:space="preserve"> </w:t>
      </w:r>
      <w:r w:rsidRPr="002D1024">
        <w:rPr>
          <w:rFonts w:ascii="Arial" w:hAnsi="Arial" w:cs="Arial"/>
          <w:sz w:val="20"/>
        </w:rPr>
        <w:t>another</w:t>
      </w:r>
      <w:r w:rsidRPr="002D1024">
        <w:rPr>
          <w:rFonts w:ascii="Arial" w:hAnsi="Arial" w:cs="Arial"/>
          <w:spacing w:val="-5"/>
          <w:sz w:val="20"/>
        </w:rPr>
        <w:t xml:space="preserve"> </w:t>
      </w:r>
      <w:r w:rsidRPr="002D1024">
        <w:rPr>
          <w:rFonts w:ascii="Arial" w:hAnsi="Arial" w:cs="Arial"/>
          <w:sz w:val="20"/>
        </w:rPr>
        <w:t>scheduled</w:t>
      </w:r>
      <w:r w:rsidRPr="002D1024">
        <w:rPr>
          <w:rFonts w:ascii="Arial" w:hAnsi="Arial" w:cs="Arial"/>
          <w:spacing w:val="-6"/>
          <w:sz w:val="20"/>
        </w:rPr>
        <w:t xml:space="preserve"> </w:t>
      </w:r>
      <w:r w:rsidRPr="002D1024">
        <w:rPr>
          <w:rFonts w:ascii="Arial" w:hAnsi="Arial" w:cs="Arial"/>
          <w:sz w:val="20"/>
        </w:rPr>
        <w:t>maintenance</w:t>
      </w:r>
      <w:r w:rsidRPr="002D1024">
        <w:rPr>
          <w:rFonts w:ascii="Arial" w:hAnsi="Arial" w:cs="Arial"/>
          <w:spacing w:val="-4"/>
          <w:sz w:val="20"/>
        </w:rPr>
        <w:t xml:space="preserve"> </w:t>
      </w:r>
      <w:r w:rsidRPr="002D1024">
        <w:rPr>
          <w:rFonts w:ascii="Arial" w:hAnsi="Arial" w:cs="Arial"/>
          <w:sz w:val="20"/>
        </w:rPr>
        <w:t>of</w:t>
      </w:r>
      <w:r w:rsidRPr="002D1024">
        <w:rPr>
          <w:rFonts w:ascii="Arial" w:hAnsi="Arial" w:cs="Arial"/>
          <w:spacing w:val="-48"/>
          <w:sz w:val="20"/>
        </w:rPr>
        <w:t xml:space="preserve"> </w:t>
      </w:r>
      <w:r w:rsidRPr="002D1024">
        <w:rPr>
          <w:rFonts w:ascii="Arial" w:hAnsi="Arial" w:cs="Arial"/>
          <w:sz w:val="20"/>
        </w:rPr>
        <w:t>equivalent</w:t>
      </w:r>
      <w:r w:rsidRPr="002D1024">
        <w:rPr>
          <w:rFonts w:ascii="Arial" w:hAnsi="Arial" w:cs="Arial"/>
          <w:spacing w:val="-2"/>
          <w:sz w:val="20"/>
        </w:rPr>
        <w:t xml:space="preserve"> </w:t>
      </w:r>
      <w:r w:rsidRPr="002D1024">
        <w:rPr>
          <w:rFonts w:ascii="Arial" w:hAnsi="Arial" w:cs="Arial"/>
          <w:sz w:val="20"/>
        </w:rPr>
        <w:t>work scope</w:t>
      </w:r>
      <w:r w:rsidRPr="002D1024">
        <w:rPr>
          <w:rFonts w:ascii="Arial" w:hAnsi="Arial" w:cs="Arial"/>
          <w:spacing w:val="-2"/>
          <w:sz w:val="20"/>
        </w:rPr>
        <w:t xml:space="preserve"> </w:t>
      </w:r>
      <w:r w:rsidRPr="002D1024">
        <w:rPr>
          <w:rFonts w:ascii="Arial" w:hAnsi="Arial" w:cs="Arial"/>
          <w:sz w:val="20"/>
        </w:rPr>
        <w:t>and</w:t>
      </w:r>
      <w:r w:rsidRPr="002D1024">
        <w:rPr>
          <w:rFonts w:ascii="Arial" w:hAnsi="Arial" w:cs="Arial"/>
          <w:spacing w:val="-3"/>
          <w:sz w:val="20"/>
        </w:rPr>
        <w:t xml:space="preserve"> </w:t>
      </w:r>
      <w:r w:rsidRPr="002D1024">
        <w:rPr>
          <w:rFonts w:ascii="Arial" w:hAnsi="Arial" w:cs="Arial"/>
          <w:sz w:val="20"/>
        </w:rPr>
        <w:t>detail;</w:t>
      </w:r>
    </w:p>
    <w:p w14:paraId="3607B80A" w14:textId="77777777" w:rsidR="002D1024" w:rsidRPr="002D1024" w:rsidRDefault="002D1024" w:rsidP="00AE59F6">
      <w:pPr>
        <w:pStyle w:val="ListParagraph"/>
        <w:numPr>
          <w:ilvl w:val="1"/>
          <w:numId w:val="297"/>
        </w:numPr>
        <w:tabs>
          <w:tab w:val="left" w:pos="1274"/>
        </w:tabs>
        <w:spacing w:before="121" w:line="276" w:lineRule="auto"/>
        <w:ind w:right="196"/>
        <w:jc w:val="both"/>
        <w:rPr>
          <w:rFonts w:ascii="Arial" w:hAnsi="Arial" w:cs="Arial"/>
          <w:sz w:val="20"/>
        </w:rPr>
      </w:pPr>
      <w:r w:rsidRPr="002D1024">
        <w:rPr>
          <w:rFonts w:ascii="Arial" w:hAnsi="Arial" w:cs="Arial"/>
          <w:sz w:val="20"/>
        </w:rPr>
        <w:t>the current status of ADs applicable to the aircraft and components, at least 12 months</w:t>
      </w:r>
      <w:r w:rsidRPr="002D1024">
        <w:rPr>
          <w:rFonts w:ascii="Arial" w:hAnsi="Arial" w:cs="Arial"/>
          <w:spacing w:val="1"/>
          <w:sz w:val="20"/>
        </w:rPr>
        <w:t xml:space="preserve"> </w:t>
      </w:r>
      <w:r w:rsidRPr="002D1024">
        <w:rPr>
          <w:rFonts w:ascii="Arial" w:hAnsi="Arial" w:cs="Arial"/>
          <w:sz w:val="20"/>
        </w:rPr>
        <w:t>after</w:t>
      </w:r>
      <w:r w:rsidRPr="002D1024">
        <w:rPr>
          <w:rFonts w:ascii="Arial" w:hAnsi="Arial" w:cs="Arial"/>
          <w:spacing w:val="-1"/>
          <w:sz w:val="20"/>
        </w:rPr>
        <w:t xml:space="preserve"> </w:t>
      </w:r>
      <w:r w:rsidRPr="002D1024">
        <w:rPr>
          <w:rFonts w:ascii="Arial" w:hAnsi="Arial" w:cs="Arial"/>
          <w:sz w:val="20"/>
        </w:rPr>
        <w:t>the aircraft</w:t>
      </w:r>
      <w:r w:rsidRPr="002D1024">
        <w:rPr>
          <w:rFonts w:ascii="Arial" w:hAnsi="Arial" w:cs="Arial"/>
          <w:spacing w:val="-3"/>
          <w:sz w:val="20"/>
        </w:rPr>
        <w:t xml:space="preserve"> </w:t>
      </w:r>
      <w:r w:rsidRPr="002D1024">
        <w:rPr>
          <w:rFonts w:ascii="Arial" w:hAnsi="Arial" w:cs="Arial"/>
          <w:sz w:val="20"/>
        </w:rPr>
        <w:t>or component</w:t>
      </w:r>
      <w:r w:rsidRPr="002D1024">
        <w:rPr>
          <w:rFonts w:ascii="Arial" w:hAnsi="Arial" w:cs="Arial"/>
          <w:spacing w:val="-1"/>
          <w:sz w:val="20"/>
        </w:rPr>
        <w:t xml:space="preserve"> </w:t>
      </w:r>
      <w:r w:rsidRPr="002D1024">
        <w:rPr>
          <w:rFonts w:ascii="Arial" w:hAnsi="Arial" w:cs="Arial"/>
          <w:sz w:val="20"/>
        </w:rPr>
        <w:t>has</w:t>
      </w:r>
      <w:r w:rsidRPr="002D1024">
        <w:rPr>
          <w:rFonts w:ascii="Arial" w:hAnsi="Arial" w:cs="Arial"/>
          <w:spacing w:val="-1"/>
          <w:sz w:val="20"/>
        </w:rPr>
        <w:t xml:space="preserve"> </w:t>
      </w:r>
      <w:r w:rsidRPr="002D1024">
        <w:rPr>
          <w:rFonts w:ascii="Arial" w:hAnsi="Arial" w:cs="Arial"/>
          <w:sz w:val="20"/>
        </w:rPr>
        <w:t>been permanently</w:t>
      </w:r>
      <w:r w:rsidRPr="002D1024">
        <w:rPr>
          <w:rFonts w:ascii="Arial" w:hAnsi="Arial" w:cs="Arial"/>
          <w:spacing w:val="-1"/>
          <w:sz w:val="20"/>
        </w:rPr>
        <w:t xml:space="preserve"> </w:t>
      </w:r>
      <w:r w:rsidRPr="002D1024">
        <w:rPr>
          <w:rFonts w:ascii="Arial" w:hAnsi="Arial" w:cs="Arial"/>
          <w:sz w:val="20"/>
        </w:rPr>
        <w:t>withdrawn</w:t>
      </w:r>
      <w:r w:rsidRPr="002D1024">
        <w:rPr>
          <w:rFonts w:ascii="Arial" w:hAnsi="Arial" w:cs="Arial"/>
          <w:spacing w:val="-1"/>
          <w:sz w:val="20"/>
        </w:rPr>
        <w:t xml:space="preserve"> </w:t>
      </w:r>
      <w:r w:rsidRPr="002D1024">
        <w:rPr>
          <w:rFonts w:ascii="Arial" w:hAnsi="Arial" w:cs="Arial"/>
          <w:sz w:val="20"/>
        </w:rPr>
        <w:t>from</w:t>
      </w:r>
      <w:r w:rsidRPr="002D1024">
        <w:rPr>
          <w:rFonts w:ascii="Arial" w:hAnsi="Arial" w:cs="Arial"/>
          <w:spacing w:val="-2"/>
          <w:sz w:val="20"/>
        </w:rPr>
        <w:t xml:space="preserve"> </w:t>
      </w:r>
      <w:r w:rsidRPr="002D1024">
        <w:rPr>
          <w:rFonts w:ascii="Arial" w:hAnsi="Arial" w:cs="Arial"/>
          <w:sz w:val="20"/>
        </w:rPr>
        <w:t>service;</w:t>
      </w:r>
    </w:p>
    <w:p w14:paraId="612C378A" w14:textId="77777777" w:rsidR="002D1024" w:rsidRPr="002D1024" w:rsidRDefault="002D1024" w:rsidP="00AE59F6">
      <w:pPr>
        <w:pStyle w:val="ListParagraph"/>
        <w:numPr>
          <w:ilvl w:val="1"/>
          <w:numId w:val="297"/>
        </w:numPr>
        <w:tabs>
          <w:tab w:val="left" w:pos="1274"/>
        </w:tabs>
        <w:spacing w:before="57" w:line="276" w:lineRule="auto"/>
        <w:ind w:right="194"/>
        <w:jc w:val="both"/>
        <w:rPr>
          <w:rFonts w:ascii="Arial" w:hAnsi="Arial" w:cs="Arial"/>
          <w:sz w:val="20"/>
        </w:rPr>
      </w:pPr>
      <w:r w:rsidRPr="002D1024">
        <w:rPr>
          <w:rFonts w:ascii="Arial" w:hAnsi="Arial" w:cs="Arial"/>
          <w:sz w:val="20"/>
        </w:rPr>
        <w:t>details</w:t>
      </w:r>
      <w:r w:rsidRPr="002D1024">
        <w:rPr>
          <w:rFonts w:ascii="Arial" w:hAnsi="Arial" w:cs="Arial"/>
          <w:spacing w:val="-8"/>
          <w:sz w:val="20"/>
        </w:rPr>
        <w:t xml:space="preserve"> </w:t>
      </w:r>
      <w:r w:rsidRPr="002D1024">
        <w:rPr>
          <w:rFonts w:ascii="Arial" w:hAnsi="Arial" w:cs="Arial"/>
          <w:sz w:val="20"/>
        </w:rPr>
        <w:t>of</w:t>
      </w:r>
      <w:r w:rsidRPr="002D1024">
        <w:rPr>
          <w:rFonts w:ascii="Arial" w:hAnsi="Arial" w:cs="Arial"/>
          <w:spacing w:val="-11"/>
          <w:sz w:val="20"/>
        </w:rPr>
        <w:t xml:space="preserve"> </w:t>
      </w:r>
      <w:r w:rsidRPr="002D1024">
        <w:rPr>
          <w:rFonts w:ascii="Arial" w:hAnsi="Arial" w:cs="Arial"/>
          <w:sz w:val="20"/>
        </w:rPr>
        <w:t>current</w:t>
      </w:r>
      <w:r w:rsidRPr="002D1024">
        <w:rPr>
          <w:rFonts w:ascii="Arial" w:hAnsi="Arial" w:cs="Arial"/>
          <w:spacing w:val="-9"/>
          <w:sz w:val="20"/>
        </w:rPr>
        <w:t xml:space="preserve"> </w:t>
      </w:r>
      <w:r w:rsidRPr="002D1024">
        <w:rPr>
          <w:rFonts w:ascii="Arial" w:hAnsi="Arial" w:cs="Arial"/>
          <w:sz w:val="20"/>
        </w:rPr>
        <w:t>modifications</w:t>
      </w:r>
      <w:r w:rsidRPr="002D1024">
        <w:rPr>
          <w:rFonts w:ascii="Arial" w:hAnsi="Arial" w:cs="Arial"/>
          <w:spacing w:val="-8"/>
          <w:sz w:val="20"/>
        </w:rPr>
        <w:t xml:space="preserve"> </w:t>
      </w:r>
      <w:r w:rsidRPr="002D1024">
        <w:rPr>
          <w:rFonts w:ascii="Arial" w:hAnsi="Arial" w:cs="Arial"/>
          <w:sz w:val="20"/>
        </w:rPr>
        <w:t>and</w:t>
      </w:r>
      <w:r w:rsidRPr="002D1024">
        <w:rPr>
          <w:rFonts w:ascii="Arial" w:hAnsi="Arial" w:cs="Arial"/>
          <w:spacing w:val="-9"/>
          <w:sz w:val="20"/>
        </w:rPr>
        <w:t xml:space="preserve"> </w:t>
      </w:r>
      <w:r w:rsidRPr="002D1024">
        <w:rPr>
          <w:rFonts w:ascii="Arial" w:hAnsi="Arial" w:cs="Arial"/>
          <w:sz w:val="20"/>
        </w:rPr>
        <w:t>repairs</w:t>
      </w:r>
      <w:r w:rsidRPr="002D1024">
        <w:rPr>
          <w:rFonts w:ascii="Arial" w:hAnsi="Arial" w:cs="Arial"/>
          <w:spacing w:val="-7"/>
          <w:sz w:val="20"/>
        </w:rPr>
        <w:t xml:space="preserve"> </w:t>
      </w:r>
      <w:r w:rsidRPr="002D1024">
        <w:rPr>
          <w:rFonts w:ascii="Arial" w:hAnsi="Arial" w:cs="Arial"/>
          <w:sz w:val="20"/>
        </w:rPr>
        <w:t>to</w:t>
      </w:r>
      <w:r w:rsidRPr="002D1024">
        <w:rPr>
          <w:rFonts w:ascii="Arial" w:hAnsi="Arial" w:cs="Arial"/>
          <w:spacing w:val="-7"/>
          <w:sz w:val="20"/>
        </w:rPr>
        <w:t xml:space="preserve"> </w:t>
      </w:r>
      <w:r w:rsidRPr="002D1024">
        <w:rPr>
          <w:rFonts w:ascii="Arial" w:hAnsi="Arial" w:cs="Arial"/>
          <w:sz w:val="20"/>
        </w:rPr>
        <w:t>the</w:t>
      </w:r>
      <w:r w:rsidRPr="002D1024">
        <w:rPr>
          <w:rFonts w:ascii="Arial" w:hAnsi="Arial" w:cs="Arial"/>
          <w:spacing w:val="-7"/>
          <w:sz w:val="20"/>
        </w:rPr>
        <w:t xml:space="preserve"> </w:t>
      </w:r>
      <w:r w:rsidRPr="002D1024">
        <w:rPr>
          <w:rFonts w:ascii="Arial" w:hAnsi="Arial" w:cs="Arial"/>
          <w:sz w:val="20"/>
        </w:rPr>
        <w:t>aircraft,</w:t>
      </w:r>
      <w:r w:rsidRPr="002D1024">
        <w:rPr>
          <w:rFonts w:ascii="Arial" w:hAnsi="Arial" w:cs="Arial"/>
          <w:spacing w:val="-7"/>
          <w:sz w:val="20"/>
        </w:rPr>
        <w:t xml:space="preserve"> </w:t>
      </w:r>
      <w:r w:rsidRPr="002D1024">
        <w:rPr>
          <w:rFonts w:ascii="Arial" w:hAnsi="Arial" w:cs="Arial"/>
          <w:sz w:val="20"/>
        </w:rPr>
        <w:t>engine(s),</w:t>
      </w:r>
      <w:r w:rsidRPr="002D1024">
        <w:rPr>
          <w:rFonts w:ascii="Arial" w:hAnsi="Arial" w:cs="Arial"/>
          <w:spacing w:val="-8"/>
          <w:sz w:val="20"/>
        </w:rPr>
        <w:t xml:space="preserve"> </w:t>
      </w:r>
      <w:r w:rsidRPr="002D1024">
        <w:rPr>
          <w:rFonts w:ascii="Arial" w:hAnsi="Arial" w:cs="Arial"/>
          <w:sz w:val="20"/>
        </w:rPr>
        <w:t>propeller(s)</w:t>
      </w:r>
      <w:r w:rsidRPr="002D1024">
        <w:rPr>
          <w:rFonts w:ascii="Arial" w:hAnsi="Arial" w:cs="Arial"/>
          <w:spacing w:val="-7"/>
          <w:sz w:val="20"/>
        </w:rPr>
        <w:t xml:space="preserve"> </w:t>
      </w:r>
      <w:r w:rsidRPr="002D1024">
        <w:rPr>
          <w:rFonts w:ascii="Arial" w:hAnsi="Arial" w:cs="Arial"/>
          <w:sz w:val="20"/>
        </w:rPr>
        <w:t>and</w:t>
      </w:r>
      <w:r w:rsidRPr="002D1024">
        <w:rPr>
          <w:rFonts w:ascii="Arial" w:hAnsi="Arial" w:cs="Arial"/>
          <w:spacing w:val="-8"/>
          <w:sz w:val="20"/>
        </w:rPr>
        <w:t xml:space="preserve"> </w:t>
      </w:r>
      <w:r w:rsidRPr="002D1024">
        <w:rPr>
          <w:rFonts w:ascii="Arial" w:hAnsi="Arial" w:cs="Arial"/>
          <w:sz w:val="20"/>
        </w:rPr>
        <w:t>any</w:t>
      </w:r>
      <w:r w:rsidRPr="002D1024">
        <w:rPr>
          <w:rFonts w:ascii="Arial" w:hAnsi="Arial" w:cs="Arial"/>
          <w:spacing w:val="-48"/>
          <w:sz w:val="20"/>
        </w:rPr>
        <w:t xml:space="preserve"> </w:t>
      </w:r>
      <w:r w:rsidRPr="002D1024">
        <w:rPr>
          <w:rFonts w:ascii="Arial" w:hAnsi="Arial" w:cs="Arial"/>
          <w:sz w:val="20"/>
        </w:rPr>
        <w:t>other</w:t>
      </w:r>
      <w:r w:rsidRPr="002D1024">
        <w:rPr>
          <w:rFonts w:ascii="Arial" w:hAnsi="Arial" w:cs="Arial"/>
          <w:spacing w:val="1"/>
          <w:sz w:val="20"/>
        </w:rPr>
        <w:t xml:space="preserve"> </w:t>
      </w:r>
      <w:r w:rsidRPr="002D1024">
        <w:rPr>
          <w:rFonts w:ascii="Arial" w:hAnsi="Arial" w:cs="Arial"/>
          <w:sz w:val="20"/>
        </w:rPr>
        <w:t>component</w:t>
      </w:r>
      <w:r w:rsidRPr="002D1024">
        <w:rPr>
          <w:rFonts w:ascii="Arial" w:hAnsi="Arial" w:cs="Arial"/>
          <w:spacing w:val="1"/>
          <w:sz w:val="20"/>
        </w:rPr>
        <w:t xml:space="preserve"> </w:t>
      </w:r>
      <w:r w:rsidRPr="002D1024">
        <w:rPr>
          <w:rFonts w:ascii="Arial" w:hAnsi="Arial" w:cs="Arial"/>
          <w:sz w:val="20"/>
        </w:rPr>
        <w:t>vital</w:t>
      </w:r>
      <w:r w:rsidRPr="002D1024">
        <w:rPr>
          <w:rFonts w:ascii="Arial" w:hAnsi="Arial" w:cs="Arial"/>
          <w:spacing w:val="1"/>
          <w:sz w:val="20"/>
        </w:rPr>
        <w:t xml:space="preserve"> </w:t>
      </w:r>
      <w:r w:rsidRPr="002D1024">
        <w:rPr>
          <w:rFonts w:ascii="Arial" w:hAnsi="Arial" w:cs="Arial"/>
          <w:sz w:val="20"/>
        </w:rPr>
        <w:t>to</w:t>
      </w:r>
      <w:r w:rsidRPr="002D1024">
        <w:rPr>
          <w:rFonts w:ascii="Arial" w:hAnsi="Arial" w:cs="Arial"/>
          <w:spacing w:val="1"/>
          <w:sz w:val="20"/>
        </w:rPr>
        <w:t xml:space="preserve"> </w:t>
      </w:r>
      <w:r w:rsidRPr="002D1024">
        <w:rPr>
          <w:rFonts w:ascii="Arial" w:hAnsi="Arial" w:cs="Arial"/>
          <w:sz w:val="20"/>
        </w:rPr>
        <w:t>flight</w:t>
      </w:r>
      <w:r w:rsidRPr="002D1024">
        <w:rPr>
          <w:rFonts w:ascii="Arial" w:hAnsi="Arial" w:cs="Arial"/>
          <w:spacing w:val="1"/>
          <w:sz w:val="20"/>
        </w:rPr>
        <w:t xml:space="preserve"> </w:t>
      </w:r>
      <w:r w:rsidRPr="002D1024">
        <w:rPr>
          <w:rFonts w:ascii="Arial" w:hAnsi="Arial" w:cs="Arial"/>
          <w:sz w:val="20"/>
        </w:rPr>
        <w:t>safety,</w:t>
      </w:r>
      <w:r w:rsidRPr="002D1024">
        <w:rPr>
          <w:rFonts w:ascii="Arial" w:hAnsi="Arial" w:cs="Arial"/>
          <w:spacing w:val="1"/>
          <w:sz w:val="20"/>
        </w:rPr>
        <w:t xml:space="preserve"> </w:t>
      </w:r>
      <w:r w:rsidRPr="002D1024">
        <w:rPr>
          <w:rFonts w:ascii="Arial" w:hAnsi="Arial" w:cs="Arial"/>
          <w:sz w:val="20"/>
        </w:rPr>
        <w:t>at</w:t>
      </w:r>
      <w:r w:rsidRPr="002D1024">
        <w:rPr>
          <w:rFonts w:ascii="Arial" w:hAnsi="Arial" w:cs="Arial"/>
          <w:spacing w:val="1"/>
          <w:sz w:val="20"/>
        </w:rPr>
        <w:t xml:space="preserve"> </w:t>
      </w:r>
      <w:r w:rsidRPr="002D1024">
        <w:rPr>
          <w:rFonts w:ascii="Arial" w:hAnsi="Arial" w:cs="Arial"/>
          <w:sz w:val="20"/>
        </w:rPr>
        <w:t>least</w:t>
      </w:r>
      <w:r w:rsidRPr="002D1024">
        <w:rPr>
          <w:rFonts w:ascii="Arial" w:hAnsi="Arial" w:cs="Arial"/>
          <w:spacing w:val="1"/>
          <w:sz w:val="20"/>
        </w:rPr>
        <w:t xml:space="preserve"> </w:t>
      </w:r>
      <w:r w:rsidRPr="002D1024">
        <w:rPr>
          <w:rFonts w:ascii="Arial" w:hAnsi="Arial" w:cs="Arial"/>
          <w:sz w:val="20"/>
        </w:rPr>
        <w:t>12 months</w:t>
      </w:r>
      <w:r w:rsidRPr="002D1024">
        <w:rPr>
          <w:rFonts w:ascii="Arial" w:hAnsi="Arial" w:cs="Arial"/>
          <w:spacing w:val="1"/>
          <w:sz w:val="20"/>
        </w:rPr>
        <w:t xml:space="preserve"> </w:t>
      </w:r>
      <w:r w:rsidRPr="002D1024">
        <w:rPr>
          <w:rFonts w:ascii="Arial" w:hAnsi="Arial" w:cs="Arial"/>
          <w:sz w:val="20"/>
        </w:rPr>
        <w:t>after</w:t>
      </w:r>
      <w:r w:rsidRPr="002D1024">
        <w:rPr>
          <w:rFonts w:ascii="Arial" w:hAnsi="Arial" w:cs="Arial"/>
          <w:spacing w:val="1"/>
          <w:sz w:val="20"/>
        </w:rPr>
        <w:t xml:space="preserve"> </w:t>
      </w:r>
      <w:r w:rsidRPr="002D1024">
        <w:rPr>
          <w:rFonts w:ascii="Arial" w:hAnsi="Arial" w:cs="Arial"/>
          <w:sz w:val="20"/>
        </w:rPr>
        <w:t>they</w:t>
      </w:r>
      <w:r w:rsidRPr="002D1024">
        <w:rPr>
          <w:rFonts w:ascii="Arial" w:hAnsi="Arial" w:cs="Arial"/>
          <w:spacing w:val="1"/>
          <w:sz w:val="20"/>
        </w:rPr>
        <w:t xml:space="preserve"> </w:t>
      </w:r>
      <w:r w:rsidRPr="002D1024">
        <w:rPr>
          <w:rFonts w:ascii="Arial" w:hAnsi="Arial" w:cs="Arial"/>
          <w:sz w:val="20"/>
        </w:rPr>
        <w:t>have</w:t>
      </w:r>
      <w:r w:rsidRPr="002D1024">
        <w:rPr>
          <w:rFonts w:ascii="Arial" w:hAnsi="Arial" w:cs="Arial"/>
          <w:spacing w:val="1"/>
          <w:sz w:val="20"/>
        </w:rPr>
        <w:t xml:space="preserve"> </w:t>
      </w:r>
      <w:r w:rsidRPr="002D1024">
        <w:rPr>
          <w:rFonts w:ascii="Arial" w:hAnsi="Arial" w:cs="Arial"/>
          <w:sz w:val="20"/>
        </w:rPr>
        <w:t>been</w:t>
      </w:r>
      <w:r w:rsidRPr="002D1024">
        <w:rPr>
          <w:rFonts w:ascii="Arial" w:hAnsi="Arial" w:cs="Arial"/>
          <w:spacing w:val="1"/>
          <w:sz w:val="20"/>
        </w:rPr>
        <w:t xml:space="preserve"> </w:t>
      </w:r>
      <w:r w:rsidRPr="002D1024">
        <w:rPr>
          <w:rFonts w:ascii="Arial" w:hAnsi="Arial" w:cs="Arial"/>
          <w:sz w:val="20"/>
        </w:rPr>
        <w:t>permanently</w:t>
      </w:r>
      <w:r w:rsidRPr="002D1024">
        <w:rPr>
          <w:rFonts w:ascii="Arial" w:hAnsi="Arial" w:cs="Arial"/>
          <w:spacing w:val="-2"/>
          <w:sz w:val="20"/>
        </w:rPr>
        <w:t xml:space="preserve"> </w:t>
      </w:r>
      <w:r w:rsidRPr="002D1024">
        <w:rPr>
          <w:rFonts w:ascii="Arial" w:hAnsi="Arial" w:cs="Arial"/>
          <w:sz w:val="20"/>
        </w:rPr>
        <w:t>withdrawn from</w:t>
      </w:r>
      <w:r w:rsidRPr="002D1024">
        <w:rPr>
          <w:rFonts w:ascii="Arial" w:hAnsi="Arial" w:cs="Arial"/>
          <w:spacing w:val="-2"/>
          <w:sz w:val="20"/>
        </w:rPr>
        <w:t xml:space="preserve"> </w:t>
      </w:r>
      <w:r w:rsidRPr="002D1024">
        <w:rPr>
          <w:rFonts w:ascii="Arial" w:hAnsi="Arial" w:cs="Arial"/>
          <w:sz w:val="20"/>
        </w:rPr>
        <w:t>service.</w:t>
      </w:r>
    </w:p>
    <w:p w14:paraId="785B9626" w14:textId="77777777" w:rsidR="00D069FB" w:rsidRPr="00D069FB" w:rsidRDefault="00D069FB" w:rsidP="00D069FB">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848" w:name="AMC1_ML.A.305__Aircraft_continuing-airwo"/>
      <w:bookmarkStart w:id="849" w:name="_bookmark356"/>
      <w:bookmarkStart w:id="850" w:name="_Toc153137521"/>
      <w:bookmarkEnd w:id="848"/>
      <w:bookmarkEnd w:id="849"/>
      <w:r w:rsidRPr="00D069FB">
        <w:rPr>
          <w:rFonts w:ascii="Arial" w:eastAsia="Times New Roman" w:hAnsi="Arial" w:cs="Times New Roman"/>
          <w:b/>
          <w:color w:val="FFFFFF"/>
          <w:sz w:val="24"/>
        </w:rPr>
        <w:t>AMC1 ML.A.305 Aircraft continuing-airworthiness record system</w:t>
      </w:r>
      <w:bookmarkEnd w:id="850"/>
    </w:p>
    <w:p w14:paraId="6C9C3B05" w14:textId="77777777" w:rsidR="00D069FB" w:rsidRPr="00D069FB" w:rsidRDefault="00D069FB" w:rsidP="00AE59F6">
      <w:pPr>
        <w:numPr>
          <w:ilvl w:val="0"/>
          <w:numId w:val="298"/>
        </w:numPr>
        <w:tabs>
          <w:tab w:val="left" w:pos="707"/>
        </w:tabs>
        <w:spacing w:before="117" w:line="276" w:lineRule="auto"/>
        <w:ind w:right="44"/>
        <w:jc w:val="both"/>
        <w:rPr>
          <w:rFonts w:ascii="Arial" w:hAnsi="Arial" w:cs="Arial"/>
          <w:sz w:val="20"/>
        </w:rPr>
      </w:pPr>
      <w:r w:rsidRPr="00D069FB">
        <w:rPr>
          <w:rFonts w:ascii="Arial" w:hAnsi="Arial" w:cs="Arial"/>
          <w:sz w:val="20"/>
        </w:rPr>
        <w:t>Any other forms different from a logbook/log card of keeping the below information could be</w:t>
      </w:r>
      <w:r w:rsidRPr="00D069FB">
        <w:rPr>
          <w:rFonts w:ascii="Arial" w:hAnsi="Arial" w:cs="Arial"/>
          <w:spacing w:val="1"/>
          <w:sz w:val="20"/>
        </w:rPr>
        <w:t xml:space="preserve"> </w:t>
      </w:r>
      <w:r w:rsidRPr="00D069FB">
        <w:rPr>
          <w:rFonts w:ascii="Arial" w:hAnsi="Arial" w:cs="Arial"/>
          <w:sz w:val="20"/>
        </w:rPr>
        <w:t>acceptable.</w:t>
      </w:r>
      <w:r w:rsidRPr="00D069FB">
        <w:rPr>
          <w:rFonts w:ascii="Arial" w:hAnsi="Arial" w:cs="Arial"/>
          <w:spacing w:val="-1"/>
          <w:sz w:val="20"/>
        </w:rPr>
        <w:t xml:space="preserve"> </w:t>
      </w:r>
      <w:r w:rsidRPr="00D069FB">
        <w:rPr>
          <w:rFonts w:ascii="Arial" w:hAnsi="Arial" w:cs="Arial"/>
          <w:sz w:val="20"/>
        </w:rPr>
        <w:t>For</w:t>
      </w:r>
      <w:r w:rsidRPr="00D069FB">
        <w:rPr>
          <w:rFonts w:ascii="Arial" w:hAnsi="Arial" w:cs="Arial"/>
          <w:spacing w:val="-2"/>
          <w:sz w:val="20"/>
        </w:rPr>
        <w:t xml:space="preserve"> </w:t>
      </w:r>
      <w:r w:rsidRPr="00D069FB">
        <w:rPr>
          <w:rFonts w:ascii="Arial" w:hAnsi="Arial" w:cs="Arial"/>
          <w:sz w:val="20"/>
        </w:rPr>
        <w:t>example,</w:t>
      </w:r>
      <w:r w:rsidRPr="00D069FB">
        <w:rPr>
          <w:rFonts w:ascii="Arial" w:hAnsi="Arial" w:cs="Arial"/>
          <w:spacing w:val="-3"/>
          <w:sz w:val="20"/>
        </w:rPr>
        <w:t xml:space="preserve"> </w:t>
      </w:r>
      <w:r w:rsidRPr="00D069FB">
        <w:rPr>
          <w:rFonts w:ascii="Arial" w:hAnsi="Arial" w:cs="Arial"/>
          <w:sz w:val="20"/>
        </w:rPr>
        <w:t>that could</w:t>
      </w:r>
      <w:r w:rsidRPr="00D069FB">
        <w:rPr>
          <w:rFonts w:ascii="Arial" w:hAnsi="Arial" w:cs="Arial"/>
          <w:spacing w:val="-1"/>
          <w:sz w:val="20"/>
        </w:rPr>
        <w:t xml:space="preserve"> </w:t>
      </w:r>
      <w:r w:rsidRPr="00D069FB">
        <w:rPr>
          <w:rFonts w:ascii="Arial" w:hAnsi="Arial" w:cs="Arial"/>
          <w:sz w:val="20"/>
        </w:rPr>
        <w:t>be in</w:t>
      </w:r>
      <w:r w:rsidRPr="00D069FB">
        <w:rPr>
          <w:rFonts w:ascii="Arial" w:hAnsi="Arial" w:cs="Arial"/>
          <w:spacing w:val="-1"/>
          <w:sz w:val="20"/>
        </w:rPr>
        <w:t xml:space="preserve"> </w:t>
      </w:r>
      <w:r w:rsidRPr="00D069FB">
        <w:rPr>
          <w:rFonts w:ascii="Arial" w:hAnsi="Arial" w:cs="Arial"/>
          <w:sz w:val="20"/>
        </w:rPr>
        <w:t>paper</w:t>
      </w:r>
      <w:r w:rsidRPr="00D069FB">
        <w:rPr>
          <w:rFonts w:ascii="Arial" w:hAnsi="Arial" w:cs="Arial"/>
          <w:spacing w:val="-1"/>
          <w:sz w:val="20"/>
        </w:rPr>
        <w:t xml:space="preserve"> </w:t>
      </w:r>
      <w:r w:rsidRPr="00D069FB">
        <w:rPr>
          <w:rFonts w:ascii="Arial" w:hAnsi="Arial" w:cs="Arial"/>
          <w:sz w:val="20"/>
        </w:rPr>
        <w:t>form,</w:t>
      </w:r>
      <w:r w:rsidRPr="00D069FB">
        <w:rPr>
          <w:rFonts w:ascii="Arial" w:hAnsi="Arial" w:cs="Arial"/>
          <w:spacing w:val="-3"/>
          <w:sz w:val="20"/>
        </w:rPr>
        <w:t xml:space="preserve"> </w:t>
      </w:r>
      <w:r w:rsidRPr="00D069FB">
        <w:rPr>
          <w:rFonts w:ascii="Arial" w:hAnsi="Arial" w:cs="Arial"/>
          <w:sz w:val="20"/>
        </w:rPr>
        <w:t>a spreadsheet</w:t>
      </w:r>
      <w:r w:rsidRPr="00D069FB">
        <w:rPr>
          <w:rFonts w:ascii="Arial" w:hAnsi="Arial" w:cs="Arial"/>
          <w:spacing w:val="-3"/>
          <w:sz w:val="20"/>
        </w:rPr>
        <w:t xml:space="preserve"> </w:t>
      </w:r>
      <w:r w:rsidRPr="00D069FB">
        <w:rPr>
          <w:rFonts w:ascii="Arial" w:hAnsi="Arial" w:cs="Arial"/>
          <w:sz w:val="20"/>
        </w:rPr>
        <w:t>or an</w:t>
      </w:r>
      <w:r w:rsidRPr="00D069FB">
        <w:rPr>
          <w:rFonts w:ascii="Arial" w:hAnsi="Arial" w:cs="Arial"/>
          <w:spacing w:val="-1"/>
          <w:sz w:val="20"/>
        </w:rPr>
        <w:t xml:space="preserve"> </w:t>
      </w:r>
      <w:r w:rsidRPr="00D069FB">
        <w:rPr>
          <w:rFonts w:ascii="Arial" w:hAnsi="Arial" w:cs="Arial"/>
          <w:sz w:val="20"/>
        </w:rPr>
        <w:t>IT system.</w:t>
      </w:r>
    </w:p>
    <w:p w14:paraId="40911B8A" w14:textId="77777777" w:rsidR="00D069FB" w:rsidRPr="00D069FB" w:rsidRDefault="00D069FB" w:rsidP="00AE59F6">
      <w:pPr>
        <w:numPr>
          <w:ilvl w:val="0"/>
          <w:numId w:val="298"/>
        </w:numPr>
        <w:tabs>
          <w:tab w:val="left" w:pos="707"/>
        </w:tabs>
        <w:spacing w:before="121" w:line="276" w:lineRule="auto"/>
        <w:ind w:right="44"/>
        <w:jc w:val="both"/>
        <w:rPr>
          <w:rFonts w:ascii="Arial" w:hAnsi="Arial" w:cs="Arial"/>
          <w:sz w:val="20"/>
        </w:rPr>
      </w:pPr>
      <w:r w:rsidRPr="00D069FB">
        <w:rPr>
          <w:rFonts w:ascii="Arial" w:hAnsi="Arial" w:cs="Arial"/>
          <w:sz w:val="20"/>
        </w:rPr>
        <w:t>A log card and status for components other than propeller and engines could be combined in a</w:t>
      </w:r>
      <w:r w:rsidRPr="00D069FB">
        <w:rPr>
          <w:rFonts w:ascii="Arial" w:hAnsi="Arial" w:cs="Arial"/>
          <w:spacing w:val="-47"/>
          <w:sz w:val="20"/>
        </w:rPr>
        <w:t xml:space="preserve"> </w:t>
      </w:r>
      <w:r w:rsidRPr="00D069FB">
        <w:rPr>
          <w:rFonts w:ascii="Arial" w:hAnsi="Arial" w:cs="Arial"/>
          <w:sz w:val="20"/>
        </w:rPr>
        <w:t>single</w:t>
      </w:r>
      <w:r w:rsidRPr="00D069FB">
        <w:rPr>
          <w:rFonts w:ascii="Arial" w:hAnsi="Arial" w:cs="Arial"/>
          <w:spacing w:val="-1"/>
          <w:sz w:val="20"/>
        </w:rPr>
        <w:t xml:space="preserve"> </w:t>
      </w:r>
      <w:r w:rsidRPr="00D069FB">
        <w:rPr>
          <w:rFonts w:ascii="Arial" w:hAnsi="Arial" w:cs="Arial"/>
          <w:sz w:val="20"/>
        </w:rPr>
        <w:t>document.</w:t>
      </w:r>
    </w:p>
    <w:p w14:paraId="19DA4631" w14:textId="77777777" w:rsidR="00D069FB" w:rsidRPr="00D069FB" w:rsidRDefault="00D069FB" w:rsidP="00AE59F6">
      <w:pPr>
        <w:numPr>
          <w:ilvl w:val="0"/>
          <w:numId w:val="298"/>
        </w:numPr>
        <w:tabs>
          <w:tab w:val="left" w:pos="707"/>
        </w:tabs>
        <w:spacing w:before="120" w:line="276" w:lineRule="auto"/>
        <w:ind w:right="44"/>
        <w:jc w:val="both"/>
        <w:rPr>
          <w:rFonts w:ascii="Arial" w:hAnsi="Arial" w:cs="Arial"/>
          <w:sz w:val="20"/>
        </w:rPr>
      </w:pPr>
      <w:r w:rsidRPr="00D069FB">
        <w:rPr>
          <w:rFonts w:ascii="Arial" w:hAnsi="Arial" w:cs="Arial"/>
          <w:sz w:val="20"/>
        </w:rPr>
        <w:t>If the AD is generally applicable to the aircraft or component type but is not applicable to the</w:t>
      </w:r>
      <w:r w:rsidRPr="00D069FB">
        <w:rPr>
          <w:rFonts w:ascii="Arial" w:hAnsi="Arial" w:cs="Arial"/>
          <w:spacing w:val="1"/>
          <w:sz w:val="20"/>
        </w:rPr>
        <w:t xml:space="preserve"> </w:t>
      </w:r>
      <w:r w:rsidRPr="00D069FB">
        <w:rPr>
          <w:rFonts w:ascii="Arial" w:hAnsi="Arial" w:cs="Arial"/>
          <w:sz w:val="20"/>
        </w:rPr>
        <w:t>particular</w:t>
      </w:r>
      <w:r w:rsidRPr="00D069FB">
        <w:rPr>
          <w:rFonts w:ascii="Arial" w:hAnsi="Arial" w:cs="Arial"/>
          <w:spacing w:val="-4"/>
          <w:sz w:val="20"/>
        </w:rPr>
        <w:t xml:space="preserve"> </w:t>
      </w:r>
      <w:r w:rsidRPr="00D069FB">
        <w:rPr>
          <w:rFonts w:ascii="Arial" w:hAnsi="Arial" w:cs="Arial"/>
          <w:sz w:val="20"/>
        </w:rPr>
        <w:t>aircraft,</w:t>
      </w:r>
      <w:r w:rsidRPr="00D069FB">
        <w:rPr>
          <w:rFonts w:ascii="Arial" w:hAnsi="Arial" w:cs="Arial"/>
          <w:spacing w:val="-2"/>
          <w:sz w:val="20"/>
        </w:rPr>
        <w:t xml:space="preserve"> </w:t>
      </w:r>
      <w:r w:rsidRPr="00D069FB">
        <w:rPr>
          <w:rFonts w:ascii="Arial" w:hAnsi="Arial" w:cs="Arial"/>
          <w:sz w:val="20"/>
        </w:rPr>
        <w:t>engine,</w:t>
      </w:r>
      <w:r w:rsidRPr="00D069FB">
        <w:rPr>
          <w:rFonts w:ascii="Arial" w:hAnsi="Arial" w:cs="Arial"/>
          <w:spacing w:val="-4"/>
          <w:sz w:val="20"/>
        </w:rPr>
        <w:t xml:space="preserve"> </w:t>
      </w:r>
      <w:r w:rsidRPr="00D069FB">
        <w:rPr>
          <w:rFonts w:ascii="Arial" w:hAnsi="Arial" w:cs="Arial"/>
          <w:sz w:val="20"/>
        </w:rPr>
        <w:t>propeller</w:t>
      </w:r>
      <w:r w:rsidRPr="00D069FB">
        <w:rPr>
          <w:rFonts w:ascii="Arial" w:hAnsi="Arial" w:cs="Arial"/>
          <w:spacing w:val="-5"/>
          <w:sz w:val="20"/>
        </w:rPr>
        <w:t xml:space="preserve"> </w:t>
      </w:r>
      <w:r w:rsidRPr="00D069FB">
        <w:rPr>
          <w:rFonts w:ascii="Arial" w:hAnsi="Arial" w:cs="Arial"/>
          <w:sz w:val="20"/>
        </w:rPr>
        <w:t>or</w:t>
      </w:r>
      <w:r w:rsidRPr="00D069FB">
        <w:rPr>
          <w:rFonts w:ascii="Arial" w:hAnsi="Arial" w:cs="Arial"/>
          <w:spacing w:val="-5"/>
          <w:sz w:val="20"/>
        </w:rPr>
        <w:t xml:space="preserve"> </w:t>
      </w:r>
      <w:r w:rsidRPr="00D069FB">
        <w:rPr>
          <w:rFonts w:ascii="Arial" w:hAnsi="Arial" w:cs="Arial"/>
          <w:sz w:val="20"/>
        </w:rPr>
        <w:t>component,</w:t>
      </w:r>
      <w:r w:rsidRPr="00D069FB">
        <w:rPr>
          <w:rFonts w:ascii="Arial" w:hAnsi="Arial" w:cs="Arial"/>
          <w:spacing w:val="-4"/>
          <w:sz w:val="20"/>
        </w:rPr>
        <w:t xml:space="preserve"> </w:t>
      </w:r>
      <w:r w:rsidRPr="00D069FB">
        <w:rPr>
          <w:rFonts w:ascii="Arial" w:hAnsi="Arial" w:cs="Arial"/>
          <w:sz w:val="20"/>
        </w:rPr>
        <w:t>then</w:t>
      </w:r>
      <w:r w:rsidRPr="00D069FB">
        <w:rPr>
          <w:rFonts w:ascii="Arial" w:hAnsi="Arial" w:cs="Arial"/>
          <w:spacing w:val="-3"/>
          <w:sz w:val="20"/>
        </w:rPr>
        <w:t xml:space="preserve"> </w:t>
      </w:r>
      <w:r w:rsidRPr="00D069FB">
        <w:rPr>
          <w:rFonts w:ascii="Arial" w:hAnsi="Arial" w:cs="Arial"/>
          <w:sz w:val="20"/>
        </w:rPr>
        <w:t>this</w:t>
      </w:r>
      <w:r w:rsidRPr="00D069FB">
        <w:rPr>
          <w:rFonts w:ascii="Arial" w:hAnsi="Arial" w:cs="Arial"/>
          <w:spacing w:val="-2"/>
          <w:sz w:val="20"/>
        </w:rPr>
        <w:t xml:space="preserve"> </w:t>
      </w:r>
      <w:r w:rsidRPr="00D069FB">
        <w:rPr>
          <w:rFonts w:ascii="Arial" w:hAnsi="Arial" w:cs="Arial"/>
          <w:sz w:val="20"/>
        </w:rPr>
        <w:t>should</w:t>
      </w:r>
      <w:r w:rsidRPr="00D069FB">
        <w:rPr>
          <w:rFonts w:ascii="Arial" w:hAnsi="Arial" w:cs="Arial"/>
          <w:spacing w:val="-3"/>
          <w:sz w:val="20"/>
        </w:rPr>
        <w:t xml:space="preserve"> </w:t>
      </w:r>
      <w:r w:rsidRPr="00D069FB">
        <w:rPr>
          <w:rFonts w:ascii="Arial" w:hAnsi="Arial" w:cs="Arial"/>
          <w:sz w:val="20"/>
        </w:rPr>
        <w:t>be</w:t>
      </w:r>
      <w:r w:rsidRPr="00D069FB">
        <w:rPr>
          <w:rFonts w:ascii="Arial" w:hAnsi="Arial" w:cs="Arial"/>
          <w:spacing w:val="-3"/>
          <w:sz w:val="20"/>
        </w:rPr>
        <w:t xml:space="preserve"> </w:t>
      </w:r>
      <w:r w:rsidRPr="00D069FB">
        <w:rPr>
          <w:rFonts w:ascii="Arial" w:hAnsi="Arial" w:cs="Arial"/>
          <w:sz w:val="20"/>
        </w:rPr>
        <w:t>identified</w:t>
      </w:r>
      <w:r w:rsidRPr="00D069FB">
        <w:rPr>
          <w:rFonts w:ascii="Arial" w:hAnsi="Arial" w:cs="Arial"/>
          <w:spacing w:val="-2"/>
          <w:sz w:val="20"/>
        </w:rPr>
        <w:t xml:space="preserve"> </w:t>
      </w:r>
      <w:r w:rsidRPr="00D069FB">
        <w:rPr>
          <w:rFonts w:ascii="Arial" w:hAnsi="Arial" w:cs="Arial"/>
          <w:sz w:val="20"/>
        </w:rPr>
        <w:t>as</w:t>
      </w:r>
      <w:r w:rsidRPr="00D069FB">
        <w:rPr>
          <w:rFonts w:ascii="Arial" w:hAnsi="Arial" w:cs="Arial"/>
          <w:spacing w:val="-2"/>
          <w:sz w:val="20"/>
        </w:rPr>
        <w:t xml:space="preserve"> </w:t>
      </w:r>
      <w:r w:rsidRPr="00D069FB">
        <w:rPr>
          <w:rFonts w:ascii="Arial" w:hAnsi="Arial" w:cs="Arial"/>
          <w:sz w:val="20"/>
        </w:rPr>
        <w:t>well</w:t>
      </w:r>
      <w:r w:rsidRPr="00D069FB">
        <w:rPr>
          <w:rFonts w:ascii="Arial" w:hAnsi="Arial" w:cs="Arial"/>
          <w:spacing w:val="-2"/>
          <w:sz w:val="20"/>
        </w:rPr>
        <w:t xml:space="preserve"> </w:t>
      </w:r>
      <w:r w:rsidRPr="00D069FB">
        <w:rPr>
          <w:rFonts w:ascii="Arial" w:hAnsi="Arial" w:cs="Arial"/>
          <w:sz w:val="20"/>
        </w:rPr>
        <w:t>as</w:t>
      </w:r>
      <w:r w:rsidRPr="00D069FB">
        <w:rPr>
          <w:rFonts w:ascii="Arial" w:hAnsi="Arial" w:cs="Arial"/>
          <w:spacing w:val="-5"/>
          <w:sz w:val="20"/>
        </w:rPr>
        <w:t xml:space="preserve"> </w:t>
      </w:r>
      <w:r w:rsidRPr="00D069FB">
        <w:rPr>
          <w:rFonts w:ascii="Arial" w:hAnsi="Arial" w:cs="Arial"/>
          <w:sz w:val="20"/>
        </w:rPr>
        <w:t>the</w:t>
      </w:r>
      <w:r w:rsidRPr="00D069FB">
        <w:rPr>
          <w:rFonts w:ascii="Arial" w:hAnsi="Arial" w:cs="Arial"/>
          <w:spacing w:val="-47"/>
          <w:sz w:val="20"/>
        </w:rPr>
        <w:t xml:space="preserve"> </w:t>
      </w:r>
      <w:r w:rsidRPr="00D069FB">
        <w:rPr>
          <w:rFonts w:ascii="Arial" w:hAnsi="Arial" w:cs="Arial"/>
          <w:sz w:val="20"/>
        </w:rPr>
        <w:t>reason why it is not applicable. There is no need to list those ADs that are superseded or</w:t>
      </w:r>
      <w:r w:rsidRPr="00D069FB">
        <w:rPr>
          <w:rFonts w:ascii="Arial" w:hAnsi="Arial" w:cs="Arial"/>
          <w:spacing w:val="1"/>
          <w:sz w:val="20"/>
        </w:rPr>
        <w:t xml:space="preserve"> </w:t>
      </w:r>
      <w:r w:rsidRPr="00D069FB">
        <w:rPr>
          <w:rFonts w:ascii="Arial" w:hAnsi="Arial" w:cs="Arial"/>
          <w:sz w:val="20"/>
        </w:rPr>
        <w:t>cancelled.</w:t>
      </w:r>
    </w:p>
    <w:p w14:paraId="65C37D19" w14:textId="77777777" w:rsidR="00D069FB" w:rsidRPr="00D069FB" w:rsidRDefault="00D069FB" w:rsidP="00AE59F6">
      <w:pPr>
        <w:numPr>
          <w:ilvl w:val="0"/>
          <w:numId w:val="298"/>
        </w:numPr>
        <w:tabs>
          <w:tab w:val="left" w:pos="707"/>
        </w:tabs>
        <w:spacing w:before="120" w:line="276" w:lineRule="auto"/>
        <w:ind w:right="44"/>
        <w:jc w:val="both"/>
        <w:rPr>
          <w:rFonts w:ascii="Arial" w:hAnsi="Arial" w:cs="Arial"/>
          <w:sz w:val="20"/>
        </w:rPr>
      </w:pPr>
      <w:r w:rsidRPr="00D069FB">
        <w:rPr>
          <w:rFonts w:ascii="Arial" w:hAnsi="Arial" w:cs="Arial"/>
          <w:sz w:val="20"/>
        </w:rPr>
        <w:t>The</w:t>
      </w:r>
      <w:r w:rsidRPr="00D069FB">
        <w:rPr>
          <w:rFonts w:ascii="Arial" w:hAnsi="Arial" w:cs="Arial"/>
          <w:spacing w:val="-6"/>
          <w:sz w:val="20"/>
        </w:rPr>
        <w:t xml:space="preserve"> </w:t>
      </w:r>
      <w:r w:rsidRPr="00D069FB">
        <w:rPr>
          <w:rFonts w:ascii="Arial" w:hAnsi="Arial" w:cs="Arial"/>
          <w:sz w:val="20"/>
        </w:rPr>
        <w:t>current</w:t>
      </w:r>
      <w:r w:rsidRPr="00D069FB">
        <w:rPr>
          <w:rFonts w:ascii="Arial" w:hAnsi="Arial" w:cs="Arial"/>
          <w:spacing w:val="-6"/>
          <w:sz w:val="20"/>
        </w:rPr>
        <w:t xml:space="preserve"> </w:t>
      </w:r>
      <w:r w:rsidRPr="00D069FB">
        <w:rPr>
          <w:rFonts w:ascii="Arial" w:hAnsi="Arial" w:cs="Arial"/>
          <w:sz w:val="20"/>
        </w:rPr>
        <w:t>status</w:t>
      </w:r>
      <w:r w:rsidRPr="00D069FB">
        <w:rPr>
          <w:rFonts w:ascii="Arial" w:hAnsi="Arial" w:cs="Arial"/>
          <w:spacing w:val="-6"/>
          <w:sz w:val="20"/>
        </w:rPr>
        <w:t xml:space="preserve"> </w:t>
      </w:r>
      <w:r w:rsidRPr="00D069FB">
        <w:rPr>
          <w:rFonts w:ascii="Arial" w:hAnsi="Arial" w:cs="Arial"/>
          <w:sz w:val="20"/>
        </w:rPr>
        <w:t>of</w:t>
      </w:r>
      <w:r w:rsidRPr="00D069FB">
        <w:rPr>
          <w:rFonts w:ascii="Arial" w:hAnsi="Arial" w:cs="Arial"/>
          <w:spacing w:val="-5"/>
          <w:sz w:val="20"/>
        </w:rPr>
        <w:t xml:space="preserve"> </w:t>
      </w:r>
      <w:r w:rsidRPr="00D069FB">
        <w:rPr>
          <w:rFonts w:ascii="Arial" w:hAnsi="Arial" w:cs="Arial"/>
          <w:sz w:val="20"/>
        </w:rPr>
        <w:t>ADs</w:t>
      </w:r>
      <w:r w:rsidRPr="00D069FB">
        <w:rPr>
          <w:rFonts w:ascii="Arial" w:hAnsi="Arial" w:cs="Arial"/>
          <w:spacing w:val="-6"/>
          <w:sz w:val="20"/>
        </w:rPr>
        <w:t xml:space="preserve"> </w:t>
      </w:r>
      <w:r w:rsidRPr="00D069FB">
        <w:rPr>
          <w:rFonts w:ascii="Arial" w:hAnsi="Arial" w:cs="Arial"/>
          <w:sz w:val="20"/>
        </w:rPr>
        <w:t>should</w:t>
      </w:r>
      <w:r w:rsidRPr="00D069FB">
        <w:rPr>
          <w:rFonts w:ascii="Arial" w:hAnsi="Arial" w:cs="Arial"/>
          <w:spacing w:val="-7"/>
          <w:sz w:val="20"/>
        </w:rPr>
        <w:t xml:space="preserve"> </w:t>
      </w:r>
      <w:r w:rsidRPr="00D069FB">
        <w:rPr>
          <w:rFonts w:ascii="Arial" w:hAnsi="Arial" w:cs="Arial"/>
          <w:sz w:val="20"/>
        </w:rPr>
        <w:t>be</w:t>
      </w:r>
      <w:r w:rsidRPr="00D069FB">
        <w:rPr>
          <w:rFonts w:ascii="Arial" w:hAnsi="Arial" w:cs="Arial"/>
          <w:spacing w:val="-4"/>
          <w:sz w:val="20"/>
        </w:rPr>
        <w:t xml:space="preserve"> </w:t>
      </w:r>
      <w:r w:rsidRPr="00D069FB">
        <w:rPr>
          <w:rFonts w:ascii="Arial" w:hAnsi="Arial" w:cs="Arial"/>
          <w:sz w:val="20"/>
        </w:rPr>
        <w:t>sufficiently</w:t>
      </w:r>
      <w:r w:rsidRPr="00D069FB">
        <w:rPr>
          <w:rFonts w:ascii="Arial" w:hAnsi="Arial" w:cs="Arial"/>
          <w:spacing w:val="-5"/>
          <w:sz w:val="20"/>
        </w:rPr>
        <w:t xml:space="preserve"> </w:t>
      </w:r>
      <w:r w:rsidRPr="00D069FB">
        <w:rPr>
          <w:rFonts w:ascii="Arial" w:hAnsi="Arial" w:cs="Arial"/>
          <w:sz w:val="20"/>
        </w:rPr>
        <w:t>detailed</w:t>
      </w:r>
      <w:r w:rsidRPr="00D069FB">
        <w:rPr>
          <w:rFonts w:ascii="Arial" w:hAnsi="Arial" w:cs="Arial"/>
          <w:spacing w:val="-6"/>
          <w:sz w:val="20"/>
        </w:rPr>
        <w:t xml:space="preserve"> </w:t>
      </w:r>
      <w:r w:rsidRPr="00D069FB">
        <w:rPr>
          <w:rFonts w:ascii="Arial" w:hAnsi="Arial" w:cs="Arial"/>
          <w:sz w:val="20"/>
        </w:rPr>
        <w:t>to</w:t>
      </w:r>
      <w:r w:rsidRPr="00D069FB">
        <w:rPr>
          <w:rFonts w:ascii="Arial" w:hAnsi="Arial" w:cs="Arial"/>
          <w:spacing w:val="-3"/>
          <w:sz w:val="20"/>
        </w:rPr>
        <w:t xml:space="preserve"> </w:t>
      </w:r>
      <w:r w:rsidRPr="00D069FB">
        <w:rPr>
          <w:rFonts w:ascii="Arial" w:hAnsi="Arial" w:cs="Arial"/>
          <w:sz w:val="20"/>
        </w:rPr>
        <w:t>identify</w:t>
      </w:r>
      <w:r w:rsidRPr="00D069FB">
        <w:rPr>
          <w:rFonts w:ascii="Arial" w:hAnsi="Arial" w:cs="Arial"/>
          <w:spacing w:val="-5"/>
          <w:sz w:val="20"/>
        </w:rPr>
        <w:t xml:space="preserve"> </w:t>
      </w:r>
      <w:r w:rsidRPr="00D069FB">
        <w:rPr>
          <w:rFonts w:ascii="Arial" w:hAnsi="Arial" w:cs="Arial"/>
          <w:sz w:val="20"/>
        </w:rPr>
        <w:t>the</w:t>
      </w:r>
      <w:r w:rsidRPr="00D069FB">
        <w:rPr>
          <w:rFonts w:ascii="Arial" w:hAnsi="Arial" w:cs="Arial"/>
          <w:spacing w:val="-6"/>
          <w:sz w:val="20"/>
        </w:rPr>
        <w:t xml:space="preserve"> </w:t>
      </w:r>
      <w:r w:rsidRPr="00D069FB">
        <w:rPr>
          <w:rFonts w:ascii="Arial" w:hAnsi="Arial" w:cs="Arial"/>
          <w:sz w:val="20"/>
        </w:rPr>
        <w:t>complied</w:t>
      </w:r>
      <w:r w:rsidRPr="00D069FB">
        <w:rPr>
          <w:rFonts w:ascii="Arial" w:hAnsi="Arial" w:cs="Arial"/>
          <w:spacing w:val="-7"/>
          <w:sz w:val="20"/>
        </w:rPr>
        <w:t xml:space="preserve"> </w:t>
      </w:r>
      <w:r w:rsidRPr="00D069FB">
        <w:rPr>
          <w:rFonts w:ascii="Arial" w:hAnsi="Arial" w:cs="Arial"/>
          <w:sz w:val="20"/>
        </w:rPr>
        <w:t>AD</w:t>
      </w:r>
      <w:r w:rsidRPr="00D069FB">
        <w:rPr>
          <w:rFonts w:ascii="Arial" w:hAnsi="Arial" w:cs="Arial"/>
          <w:spacing w:val="-5"/>
          <w:sz w:val="20"/>
        </w:rPr>
        <w:t xml:space="preserve"> </w:t>
      </w:r>
      <w:r w:rsidRPr="00D069FB">
        <w:rPr>
          <w:rFonts w:ascii="Arial" w:hAnsi="Arial" w:cs="Arial"/>
          <w:sz w:val="20"/>
        </w:rPr>
        <w:t>and/or</w:t>
      </w:r>
      <w:r w:rsidRPr="00D069FB">
        <w:rPr>
          <w:rFonts w:ascii="Arial" w:hAnsi="Arial" w:cs="Arial"/>
          <w:spacing w:val="-8"/>
          <w:sz w:val="20"/>
        </w:rPr>
        <w:t xml:space="preserve"> </w:t>
      </w:r>
      <w:r w:rsidRPr="00D069FB">
        <w:rPr>
          <w:rFonts w:ascii="Arial" w:hAnsi="Arial" w:cs="Arial"/>
          <w:sz w:val="20"/>
        </w:rPr>
        <w:t>the</w:t>
      </w:r>
      <w:r w:rsidRPr="00D069FB">
        <w:rPr>
          <w:rFonts w:ascii="Arial" w:hAnsi="Arial" w:cs="Arial"/>
          <w:spacing w:val="-47"/>
          <w:sz w:val="20"/>
        </w:rPr>
        <w:t xml:space="preserve"> </w:t>
      </w:r>
      <w:r w:rsidRPr="00D069FB">
        <w:rPr>
          <w:rFonts w:ascii="Arial" w:hAnsi="Arial" w:cs="Arial"/>
          <w:sz w:val="20"/>
        </w:rPr>
        <w:t>due</w:t>
      </w:r>
      <w:r w:rsidRPr="00D069FB">
        <w:rPr>
          <w:rFonts w:ascii="Arial" w:hAnsi="Arial" w:cs="Arial"/>
          <w:spacing w:val="1"/>
          <w:sz w:val="20"/>
        </w:rPr>
        <w:t xml:space="preserve"> </w:t>
      </w:r>
      <w:r w:rsidRPr="00D069FB">
        <w:rPr>
          <w:rFonts w:ascii="Arial" w:hAnsi="Arial" w:cs="Arial"/>
          <w:sz w:val="20"/>
        </w:rPr>
        <w:t>limit.</w:t>
      </w:r>
    </w:p>
    <w:p w14:paraId="17A303DF" w14:textId="77777777" w:rsidR="00D069FB" w:rsidRPr="00E7180E" w:rsidRDefault="00D069FB" w:rsidP="00AE59F6">
      <w:pPr>
        <w:numPr>
          <w:ilvl w:val="0"/>
          <w:numId w:val="298"/>
        </w:numPr>
        <w:tabs>
          <w:tab w:val="left" w:pos="707"/>
        </w:tabs>
        <w:spacing w:before="120" w:line="276" w:lineRule="auto"/>
        <w:ind w:right="44"/>
        <w:jc w:val="both"/>
        <w:rPr>
          <w:rFonts w:ascii="Arial" w:hAnsi="Arial" w:cs="Arial"/>
          <w:sz w:val="20"/>
        </w:rPr>
      </w:pPr>
      <w:r w:rsidRPr="00D069FB">
        <w:rPr>
          <w:rFonts w:ascii="Arial" w:hAnsi="Arial" w:cs="Arial"/>
          <w:sz w:val="20"/>
        </w:rPr>
        <w:t>If the IT system is the only record-keeping system, it should have at least one backup system,</w:t>
      </w:r>
      <w:r w:rsidRPr="00D069FB">
        <w:rPr>
          <w:rFonts w:ascii="Arial" w:hAnsi="Arial" w:cs="Arial"/>
          <w:spacing w:val="1"/>
          <w:sz w:val="20"/>
        </w:rPr>
        <w:t xml:space="preserve"> </w:t>
      </w:r>
      <w:r w:rsidRPr="00D069FB">
        <w:rPr>
          <w:rFonts w:ascii="Arial" w:hAnsi="Arial" w:cs="Arial"/>
          <w:sz w:val="20"/>
        </w:rPr>
        <w:t>which</w:t>
      </w:r>
      <w:r w:rsidRPr="00D069FB">
        <w:rPr>
          <w:rFonts w:ascii="Arial" w:hAnsi="Arial" w:cs="Arial"/>
          <w:spacing w:val="1"/>
          <w:sz w:val="20"/>
        </w:rPr>
        <w:t xml:space="preserve"> </w:t>
      </w:r>
      <w:r w:rsidRPr="00D069FB">
        <w:rPr>
          <w:rFonts w:ascii="Arial" w:hAnsi="Arial" w:cs="Arial"/>
          <w:sz w:val="20"/>
        </w:rPr>
        <w:t>should</w:t>
      </w:r>
      <w:r w:rsidRPr="00D069FB">
        <w:rPr>
          <w:rFonts w:ascii="Arial" w:hAnsi="Arial" w:cs="Arial"/>
          <w:spacing w:val="1"/>
          <w:sz w:val="20"/>
        </w:rPr>
        <w:t xml:space="preserve"> </w:t>
      </w:r>
      <w:r w:rsidRPr="00D069FB">
        <w:rPr>
          <w:rFonts w:ascii="Arial" w:hAnsi="Arial" w:cs="Arial"/>
          <w:sz w:val="20"/>
        </w:rPr>
        <w:t>be</w:t>
      </w:r>
      <w:r w:rsidRPr="00D069FB">
        <w:rPr>
          <w:rFonts w:ascii="Arial" w:hAnsi="Arial" w:cs="Arial"/>
          <w:spacing w:val="1"/>
          <w:sz w:val="20"/>
        </w:rPr>
        <w:t xml:space="preserve"> </w:t>
      </w:r>
      <w:r w:rsidRPr="00D069FB">
        <w:rPr>
          <w:rFonts w:ascii="Arial" w:hAnsi="Arial" w:cs="Arial"/>
          <w:sz w:val="20"/>
        </w:rPr>
        <w:t>regularly</w:t>
      </w:r>
      <w:r w:rsidRPr="00D069FB">
        <w:rPr>
          <w:rFonts w:ascii="Arial" w:hAnsi="Arial" w:cs="Arial"/>
          <w:spacing w:val="1"/>
          <w:sz w:val="20"/>
        </w:rPr>
        <w:t xml:space="preserve"> </w:t>
      </w:r>
      <w:r w:rsidRPr="00D069FB">
        <w:rPr>
          <w:rFonts w:ascii="Arial" w:hAnsi="Arial" w:cs="Arial"/>
          <w:sz w:val="20"/>
        </w:rPr>
        <w:t>updated.</w:t>
      </w:r>
      <w:r w:rsidRPr="00D069FB">
        <w:rPr>
          <w:rFonts w:ascii="Arial" w:hAnsi="Arial" w:cs="Arial"/>
          <w:spacing w:val="1"/>
          <w:sz w:val="20"/>
        </w:rPr>
        <w:t xml:space="preserve"> </w:t>
      </w:r>
      <w:r w:rsidRPr="00D069FB">
        <w:rPr>
          <w:rFonts w:ascii="Arial" w:hAnsi="Arial" w:cs="Arial"/>
          <w:sz w:val="20"/>
        </w:rPr>
        <w:t>Each</w:t>
      </w:r>
      <w:r w:rsidRPr="00D069FB">
        <w:rPr>
          <w:rFonts w:ascii="Arial" w:hAnsi="Arial" w:cs="Arial"/>
          <w:spacing w:val="1"/>
          <w:sz w:val="20"/>
        </w:rPr>
        <w:t xml:space="preserve"> </w:t>
      </w:r>
      <w:r w:rsidRPr="00D069FB">
        <w:rPr>
          <w:rFonts w:ascii="Arial" w:hAnsi="Arial" w:cs="Arial"/>
          <w:sz w:val="20"/>
        </w:rPr>
        <w:t>terminal</w:t>
      </w:r>
      <w:r w:rsidRPr="00D069FB">
        <w:rPr>
          <w:rFonts w:ascii="Arial" w:hAnsi="Arial" w:cs="Arial"/>
          <w:spacing w:val="1"/>
          <w:sz w:val="20"/>
        </w:rPr>
        <w:t xml:space="preserve"> </w:t>
      </w:r>
      <w:r w:rsidRPr="00D069FB">
        <w:rPr>
          <w:rFonts w:ascii="Arial" w:hAnsi="Arial" w:cs="Arial"/>
          <w:sz w:val="20"/>
        </w:rPr>
        <w:t>should</w:t>
      </w:r>
      <w:r w:rsidRPr="00D069FB">
        <w:rPr>
          <w:rFonts w:ascii="Arial" w:hAnsi="Arial" w:cs="Arial"/>
          <w:spacing w:val="1"/>
          <w:sz w:val="20"/>
        </w:rPr>
        <w:t xml:space="preserve"> </w:t>
      </w:r>
      <w:r w:rsidRPr="00D069FB">
        <w:rPr>
          <w:rFonts w:ascii="Arial" w:hAnsi="Arial" w:cs="Arial"/>
          <w:sz w:val="20"/>
        </w:rPr>
        <w:t>contain</w:t>
      </w:r>
      <w:r w:rsidRPr="00D069FB">
        <w:rPr>
          <w:rFonts w:ascii="Arial" w:hAnsi="Arial" w:cs="Arial"/>
          <w:spacing w:val="1"/>
          <w:sz w:val="20"/>
        </w:rPr>
        <w:t xml:space="preserve"> </w:t>
      </w:r>
      <w:r w:rsidRPr="00D069FB">
        <w:rPr>
          <w:rFonts w:ascii="Arial" w:hAnsi="Arial" w:cs="Arial"/>
          <w:sz w:val="20"/>
        </w:rPr>
        <w:t>programme</w:t>
      </w:r>
      <w:r w:rsidRPr="00D069FB">
        <w:rPr>
          <w:rFonts w:ascii="Arial" w:hAnsi="Arial" w:cs="Arial"/>
          <w:spacing w:val="1"/>
          <w:sz w:val="20"/>
        </w:rPr>
        <w:t xml:space="preserve"> </w:t>
      </w:r>
      <w:r w:rsidRPr="00D069FB">
        <w:rPr>
          <w:rFonts w:ascii="Arial" w:hAnsi="Arial" w:cs="Arial"/>
          <w:sz w:val="20"/>
        </w:rPr>
        <w:t>safeguards</w:t>
      </w:r>
      <w:r w:rsidRPr="00D069FB">
        <w:rPr>
          <w:rFonts w:ascii="Arial" w:hAnsi="Arial" w:cs="Arial"/>
          <w:spacing w:val="-47"/>
          <w:sz w:val="20"/>
        </w:rPr>
        <w:t xml:space="preserve"> </w:t>
      </w:r>
      <w:r w:rsidRPr="00D069FB">
        <w:rPr>
          <w:rFonts w:ascii="Arial" w:hAnsi="Arial" w:cs="Arial"/>
          <w:sz w:val="20"/>
        </w:rPr>
        <w:t>against the probability</w:t>
      </w:r>
      <w:r w:rsidRPr="00D069FB">
        <w:rPr>
          <w:rFonts w:ascii="Arial" w:hAnsi="Arial" w:cs="Arial"/>
          <w:spacing w:val="-2"/>
          <w:sz w:val="20"/>
        </w:rPr>
        <w:t xml:space="preserve"> </w:t>
      </w:r>
      <w:r w:rsidRPr="00D069FB">
        <w:rPr>
          <w:rFonts w:ascii="Arial" w:hAnsi="Arial" w:cs="Arial"/>
          <w:sz w:val="20"/>
        </w:rPr>
        <w:t>of</w:t>
      </w:r>
      <w:r w:rsidRPr="00D069FB">
        <w:rPr>
          <w:rFonts w:ascii="Arial" w:hAnsi="Arial" w:cs="Arial"/>
          <w:spacing w:val="-3"/>
          <w:sz w:val="20"/>
        </w:rPr>
        <w:t xml:space="preserve"> </w:t>
      </w:r>
      <w:r w:rsidRPr="00D069FB">
        <w:rPr>
          <w:rFonts w:ascii="Arial" w:hAnsi="Arial" w:cs="Arial"/>
          <w:sz w:val="20"/>
        </w:rPr>
        <w:t>unauthorised</w:t>
      </w:r>
      <w:r w:rsidRPr="00D069FB">
        <w:rPr>
          <w:rFonts w:ascii="Arial" w:hAnsi="Arial" w:cs="Arial"/>
          <w:spacing w:val="-1"/>
          <w:sz w:val="20"/>
        </w:rPr>
        <w:t xml:space="preserve"> </w:t>
      </w:r>
      <w:r w:rsidRPr="00D069FB">
        <w:rPr>
          <w:rFonts w:ascii="Arial" w:hAnsi="Arial" w:cs="Arial"/>
          <w:sz w:val="20"/>
        </w:rPr>
        <w:t>personnel</w:t>
      </w:r>
      <w:r w:rsidRPr="00D069FB">
        <w:rPr>
          <w:rFonts w:ascii="Arial" w:hAnsi="Arial" w:cs="Arial"/>
          <w:spacing w:val="-3"/>
          <w:sz w:val="20"/>
        </w:rPr>
        <w:t xml:space="preserve"> </w:t>
      </w:r>
      <w:r w:rsidRPr="00D069FB">
        <w:rPr>
          <w:rFonts w:ascii="Arial" w:hAnsi="Arial" w:cs="Arial"/>
          <w:sz w:val="20"/>
        </w:rPr>
        <w:t>altering</w:t>
      </w:r>
      <w:r w:rsidRPr="00D069FB">
        <w:rPr>
          <w:rFonts w:ascii="Arial" w:hAnsi="Arial" w:cs="Arial"/>
          <w:spacing w:val="-1"/>
          <w:sz w:val="20"/>
        </w:rPr>
        <w:t xml:space="preserve"> </w:t>
      </w:r>
      <w:r w:rsidRPr="00D069FB">
        <w:rPr>
          <w:rFonts w:ascii="Arial" w:hAnsi="Arial" w:cs="Arial"/>
          <w:sz w:val="20"/>
        </w:rPr>
        <w:t>the database.</w:t>
      </w:r>
    </w:p>
    <w:p w14:paraId="63D8490B" w14:textId="77777777" w:rsidR="00E7180E" w:rsidRPr="00E7180E" w:rsidRDefault="00E7180E" w:rsidP="00E7180E">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851" w:name="ML.A.307_Transfer_of_aircraft_continuing"/>
      <w:bookmarkStart w:id="852" w:name="_bookmark357"/>
      <w:bookmarkStart w:id="853" w:name="_Toc153137522"/>
      <w:bookmarkEnd w:id="851"/>
      <w:bookmarkEnd w:id="852"/>
      <w:r w:rsidRPr="00E7180E">
        <w:rPr>
          <w:rFonts w:ascii="Arial" w:eastAsia="Times New Roman" w:hAnsi="Arial" w:cs="Times New Roman"/>
          <w:b/>
          <w:iCs/>
          <w:color w:val="FFFFFF"/>
          <w:sz w:val="24"/>
        </w:rPr>
        <w:t>ML.A.307 Transfer of aircraft continuing-airworthiness records</w:t>
      </w:r>
      <w:bookmarkEnd w:id="853"/>
    </w:p>
    <w:p w14:paraId="7B770C53" w14:textId="77777777" w:rsidR="00E7180E" w:rsidRPr="00E7180E" w:rsidRDefault="00E7180E" w:rsidP="00AE59F6">
      <w:pPr>
        <w:pStyle w:val="ListParagraph"/>
        <w:numPr>
          <w:ilvl w:val="0"/>
          <w:numId w:val="299"/>
        </w:numPr>
        <w:tabs>
          <w:tab w:val="left" w:pos="707"/>
        </w:tabs>
        <w:spacing w:before="117" w:line="276" w:lineRule="auto"/>
        <w:ind w:right="44"/>
        <w:jc w:val="both"/>
        <w:rPr>
          <w:rFonts w:ascii="Arial" w:hAnsi="Arial" w:cs="Arial"/>
          <w:sz w:val="20"/>
        </w:rPr>
      </w:pPr>
      <w:r w:rsidRPr="00E7180E">
        <w:rPr>
          <w:rFonts w:ascii="Arial" w:hAnsi="Arial" w:cs="Arial"/>
          <w:spacing w:val="-1"/>
          <w:sz w:val="20"/>
        </w:rPr>
        <w:t>When</w:t>
      </w:r>
      <w:r w:rsidRPr="00E7180E">
        <w:rPr>
          <w:rFonts w:ascii="Arial" w:hAnsi="Arial" w:cs="Arial"/>
          <w:spacing w:val="-11"/>
          <w:sz w:val="20"/>
        </w:rPr>
        <w:t xml:space="preserve"> </w:t>
      </w:r>
      <w:r w:rsidRPr="00E7180E">
        <w:rPr>
          <w:rFonts w:ascii="Arial" w:hAnsi="Arial" w:cs="Arial"/>
          <w:spacing w:val="-1"/>
          <w:sz w:val="20"/>
        </w:rPr>
        <w:t>an</w:t>
      </w:r>
      <w:r w:rsidRPr="00E7180E">
        <w:rPr>
          <w:rFonts w:ascii="Arial" w:hAnsi="Arial" w:cs="Arial"/>
          <w:spacing w:val="-10"/>
          <w:sz w:val="20"/>
        </w:rPr>
        <w:t xml:space="preserve"> </w:t>
      </w:r>
      <w:r w:rsidRPr="00E7180E">
        <w:rPr>
          <w:rFonts w:ascii="Arial" w:hAnsi="Arial" w:cs="Arial"/>
          <w:spacing w:val="-1"/>
          <w:sz w:val="20"/>
        </w:rPr>
        <w:t>aircraft</w:t>
      </w:r>
      <w:r w:rsidRPr="00E7180E">
        <w:rPr>
          <w:rFonts w:ascii="Arial" w:hAnsi="Arial" w:cs="Arial"/>
          <w:spacing w:val="-9"/>
          <w:sz w:val="20"/>
        </w:rPr>
        <w:t xml:space="preserve"> </w:t>
      </w:r>
      <w:r w:rsidRPr="00E7180E">
        <w:rPr>
          <w:rFonts w:ascii="Arial" w:hAnsi="Arial" w:cs="Arial"/>
          <w:sz w:val="20"/>
        </w:rPr>
        <w:t>is</w:t>
      </w:r>
      <w:r w:rsidRPr="00E7180E">
        <w:rPr>
          <w:rFonts w:ascii="Arial" w:hAnsi="Arial" w:cs="Arial"/>
          <w:spacing w:val="-9"/>
          <w:sz w:val="20"/>
        </w:rPr>
        <w:t xml:space="preserve"> </w:t>
      </w:r>
      <w:r w:rsidRPr="00E7180E">
        <w:rPr>
          <w:rFonts w:ascii="Arial" w:hAnsi="Arial" w:cs="Arial"/>
          <w:sz w:val="20"/>
        </w:rPr>
        <w:t>permanently</w:t>
      </w:r>
      <w:r w:rsidRPr="00E7180E">
        <w:rPr>
          <w:rFonts w:ascii="Arial" w:hAnsi="Arial" w:cs="Arial"/>
          <w:spacing w:val="-12"/>
          <w:sz w:val="20"/>
        </w:rPr>
        <w:t xml:space="preserve"> </w:t>
      </w:r>
      <w:r w:rsidRPr="00E7180E">
        <w:rPr>
          <w:rFonts w:ascii="Arial" w:hAnsi="Arial" w:cs="Arial"/>
          <w:sz w:val="20"/>
        </w:rPr>
        <w:t>transferred</w:t>
      </w:r>
      <w:r w:rsidRPr="00E7180E">
        <w:rPr>
          <w:rFonts w:ascii="Arial" w:hAnsi="Arial" w:cs="Arial"/>
          <w:spacing w:val="-9"/>
          <w:sz w:val="20"/>
        </w:rPr>
        <w:t xml:space="preserve"> </w:t>
      </w:r>
      <w:r w:rsidRPr="00E7180E">
        <w:rPr>
          <w:rFonts w:ascii="Arial" w:hAnsi="Arial" w:cs="Arial"/>
          <w:sz w:val="20"/>
        </w:rPr>
        <w:t>from</w:t>
      </w:r>
      <w:r w:rsidRPr="00E7180E">
        <w:rPr>
          <w:rFonts w:ascii="Arial" w:hAnsi="Arial" w:cs="Arial"/>
          <w:spacing w:val="-11"/>
          <w:sz w:val="20"/>
        </w:rPr>
        <w:t xml:space="preserve"> </w:t>
      </w:r>
      <w:r w:rsidRPr="00E7180E">
        <w:rPr>
          <w:rFonts w:ascii="Arial" w:hAnsi="Arial" w:cs="Arial"/>
          <w:sz w:val="20"/>
        </w:rPr>
        <w:t>one</w:t>
      </w:r>
      <w:r w:rsidRPr="00E7180E">
        <w:rPr>
          <w:rFonts w:ascii="Arial" w:hAnsi="Arial" w:cs="Arial"/>
          <w:spacing w:val="-11"/>
          <w:sz w:val="20"/>
        </w:rPr>
        <w:t xml:space="preserve"> </w:t>
      </w:r>
      <w:r w:rsidRPr="00E7180E">
        <w:rPr>
          <w:rFonts w:ascii="Arial" w:hAnsi="Arial" w:cs="Arial"/>
          <w:sz w:val="20"/>
        </w:rPr>
        <w:t>owner</w:t>
      </w:r>
      <w:r w:rsidRPr="00E7180E">
        <w:rPr>
          <w:rFonts w:ascii="Arial" w:hAnsi="Arial" w:cs="Arial"/>
          <w:spacing w:val="-13"/>
          <w:sz w:val="20"/>
        </w:rPr>
        <w:t xml:space="preserve"> </w:t>
      </w:r>
      <w:r w:rsidRPr="00E7180E">
        <w:rPr>
          <w:rFonts w:ascii="Arial" w:hAnsi="Arial" w:cs="Arial"/>
          <w:sz w:val="20"/>
        </w:rPr>
        <w:t>to</w:t>
      </w:r>
      <w:r w:rsidRPr="00E7180E">
        <w:rPr>
          <w:rFonts w:ascii="Arial" w:hAnsi="Arial" w:cs="Arial"/>
          <w:spacing w:val="-8"/>
          <w:sz w:val="20"/>
        </w:rPr>
        <w:t xml:space="preserve"> </w:t>
      </w:r>
      <w:r w:rsidRPr="00E7180E">
        <w:rPr>
          <w:rFonts w:ascii="Arial" w:hAnsi="Arial" w:cs="Arial"/>
          <w:sz w:val="20"/>
        </w:rPr>
        <w:t>another,</w:t>
      </w:r>
      <w:r w:rsidRPr="00E7180E">
        <w:rPr>
          <w:rFonts w:ascii="Arial" w:hAnsi="Arial" w:cs="Arial"/>
          <w:spacing w:val="-12"/>
          <w:sz w:val="20"/>
        </w:rPr>
        <w:t xml:space="preserve"> </w:t>
      </w:r>
      <w:r w:rsidRPr="00E7180E">
        <w:rPr>
          <w:rFonts w:ascii="Arial" w:hAnsi="Arial" w:cs="Arial"/>
          <w:sz w:val="20"/>
        </w:rPr>
        <w:t>the</w:t>
      </w:r>
      <w:r w:rsidRPr="00E7180E">
        <w:rPr>
          <w:rFonts w:ascii="Arial" w:hAnsi="Arial" w:cs="Arial"/>
          <w:spacing w:val="-12"/>
          <w:sz w:val="20"/>
        </w:rPr>
        <w:t xml:space="preserve"> </w:t>
      </w:r>
      <w:r w:rsidRPr="00E7180E">
        <w:rPr>
          <w:rFonts w:ascii="Arial" w:hAnsi="Arial" w:cs="Arial"/>
          <w:sz w:val="20"/>
        </w:rPr>
        <w:t>transferring owner shall ensure that the continuing airworthiness records referred to in point ML.A.305 are also transferred.</w:t>
      </w:r>
    </w:p>
    <w:p w14:paraId="2120CA7C" w14:textId="77777777" w:rsidR="00E7180E" w:rsidRPr="00E7180E" w:rsidRDefault="00E7180E" w:rsidP="00AE59F6">
      <w:pPr>
        <w:pStyle w:val="ListParagraph"/>
        <w:numPr>
          <w:ilvl w:val="0"/>
          <w:numId w:val="299"/>
        </w:numPr>
        <w:tabs>
          <w:tab w:val="left" w:pos="707"/>
        </w:tabs>
        <w:spacing w:before="122" w:line="276" w:lineRule="auto"/>
        <w:ind w:right="44"/>
        <w:jc w:val="both"/>
        <w:rPr>
          <w:rFonts w:ascii="Arial" w:hAnsi="Arial" w:cs="Arial"/>
          <w:sz w:val="20"/>
        </w:rPr>
      </w:pPr>
      <w:r w:rsidRPr="00E7180E">
        <w:rPr>
          <w:rFonts w:ascii="Arial" w:hAnsi="Arial" w:cs="Arial"/>
          <w:sz w:val="20"/>
        </w:rPr>
        <w:t>When the owner contracts the continuing airworthiness management tasks to a CAMO or CAO the owner shall ensure that the continuing airworthiness records referred to in point ML.A.305 are transferred to the contracted organisation.</w:t>
      </w:r>
    </w:p>
    <w:p w14:paraId="0204B41E" w14:textId="77777777" w:rsidR="00E7180E" w:rsidRPr="00E7180E" w:rsidRDefault="00E7180E" w:rsidP="00AE59F6">
      <w:pPr>
        <w:pStyle w:val="ListParagraph"/>
        <w:numPr>
          <w:ilvl w:val="0"/>
          <w:numId w:val="299"/>
        </w:numPr>
        <w:tabs>
          <w:tab w:val="left" w:pos="707"/>
        </w:tabs>
        <w:spacing w:before="118" w:line="276" w:lineRule="auto"/>
        <w:ind w:right="44"/>
        <w:jc w:val="both"/>
        <w:rPr>
          <w:rFonts w:ascii="Arial" w:hAnsi="Arial" w:cs="Arial"/>
          <w:sz w:val="20"/>
        </w:rPr>
      </w:pPr>
      <w:r w:rsidRPr="00E7180E">
        <w:rPr>
          <w:rFonts w:ascii="Arial" w:hAnsi="Arial" w:cs="Arial"/>
          <w:sz w:val="20"/>
        </w:rPr>
        <w:t>The time periods for the retention of records set out in point (h) of point ML.A.305 shall continue to apply to the new owner, CAMO or CAO.</w:t>
      </w:r>
    </w:p>
    <w:p w14:paraId="097E97CD" w14:textId="77777777" w:rsidR="00E7180E" w:rsidRDefault="00E7180E" w:rsidP="000B112D">
      <w:pPr>
        <w:jc w:val="both"/>
        <w:rPr>
          <w:rFonts w:ascii="Arial" w:eastAsia="Times New Roman" w:hAnsi="Arial" w:cs="Times New Roman"/>
          <w:sz w:val="20"/>
        </w:rPr>
      </w:pPr>
    </w:p>
    <w:p w14:paraId="58925017" w14:textId="77777777" w:rsidR="00E7180E" w:rsidRDefault="00E7180E" w:rsidP="000B112D">
      <w:pPr>
        <w:jc w:val="both"/>
        <w:rPr>
          <w:rFonts w:ascii="Arial" w:eastAsia="Times New Roman" w:hAnsi="Arial" w:cs="Times New Roman"/>
          <w:sz w:val="20"/>
        </w:rPr>
      </w:pPr>
    </w:p>
    <w:p w14:paraId="0017712B" w14:textId="77777777" w:rsidR="00E7180E" w:rsidRDefault="00E7180E" w:rsidP="000B112D">
      <w:pPr>
        <w:jc w:val="both"/>
        <w:rPr>
          <w:rFonts w:ascii="Arial" w:eastAsia="Times New Roman" w:hAnsi="Arial" w:cs="Times New Roman"/>
          <w:sz w:val="20"/>
        </w:rPr>
        <w:sectPr w:rsidR="00E7180E" w:rsidSect="008304B0">
          <w:headerReference w:type="default" r:id="rId105"/>
          <w:pgSz w:w="11906" w:h="16838" w:code="9"/>
          <w:pgMar w:top="450" w:right="1440" w:bottom="900" w:left="1350" w:header="407" w:footer="0" w:gutter="0"/>
          <w:cols w:space="720"/>
          <w:docGrid w:linePitch="360"/>
        </w:sectPr>
      </w:pPr>
    </w:p>
    <w:p w14:paraId="1E5D3B9D" w14:textId="77777777" w:rsidR="00E7180E" w:rsidRPr="00E7180E" w:rsidRDefault="00E7180E" w:rsidP="00E7180E">
      <w:pPr>
        <w:keepNext/>
        <w:keepLines/>
        <w:widowControl/>
        <w:autoSpaceDE/>
        <w:autoSpaceDN/>
        <w:spacing w:before="40" w:line="276" w:lineRule="auto"/>
        <w:jc w:val="center"/>
        <w:outlineLvl w:val="2"/>
        <w:rPr>
          <w:rFonts w:ascii="Arial" w:eastAsiaTheme="majorEastAsia" w:hAnsi="Arial" w:cs="Arial"/>
          <w:b/>
          <w:color w:val="00B0F0"/>
          <w:sz w:val="24"/>
          <w:szCs w:val="24"/>
        </w:rPr>
      </w:pPr>
      <w:bookmarkStart w:id="854" w:name="_Toc153137523"/>
      <w:r w:rsidRPr="00E7180E">
        <w:rPr>
          <w:rFonts w:ascii="Arial" w:eastAsiaTheme="majorEastAsia" w:hAnsi="Arial" w:cs="Arial"/>
          <w:b/>
          <w:color w:val="00B0F0"/>
          <w:sz w:val="24"/>
          <w:szCs w:val="24"/>
        </w:rPr>
        <w:lastRenderedPageBreak/>
        <w:t>SUBPART D — MAINTENANCE STANDARDS</w:t>
      </w:r>
      <w:bookmarkEnd w:id="854"/>
    </w:p>
    <w:p w14:paraId="79C4CA54" w14:textId="77777777" w:rsidR="00E7180E" w:rsidRPr="00E7180E" w:rsidRDefault="00E7180E" w:rsidP="00E7180E">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855" w:name="ML.A.401_Maintenance_data"/>
      <w:bookmarkStart w:id="856" w:name="_bookmark359"/>
      <w:bookmarkStart w:id="857" w:name="_Toc153137524"/>
      <w:bookmarkEnd w:id="855"/>
      <w:bookmarkEnd w:id="856"/>
      <w:r w:rsidRPr="00E7180E">
        <w:rPr>
          <w:rFonts w:ascii="Arial" w:eastAsia="Times New Roman" w:hAnsi="Arial" w:cs="Times New Roman"/>
          <w:b/>
          <w:iCs/>
          <w:color w:val="FFFFFF"/>
          <w:sz w:val="24"/>
        </w:rPr>
        <w:t>ML.A.401 Maintenance data</w:t>
      </w:r>
      <w:bookmarkEnd w:id="857"/>
    </w:p>
    <w:p w14:paraId="0D92ED42" w14:textId="77777777" w:rsidR="00E7180E" w:rsidRPr="00E7180E" w:rsidRDefault="00E7180E" w:rsidP="003A430D">
      <w:pPr>
        <w:numPr>
          <w:ilvl w:val="0"/>
          <w:numId w:val="300"/>
        </w:numPr>
        <w:spacing w:line="276" w:lineRule="auto"/>
        <w:jc w:val="both"/>
        <w:rPr>
          <w:rFonts w:ascii="Arial" w:eastAsia="Times New Roman" w:hAnsi="Arial" w:cs="Times New Roman"/>
          <w:sz w:val="20"/>
        </w:rPr>
      </w:pPr>
      <w:r w:rsidRPr="00E7180E">
        <w:rPr>
          <w:rFonts w:ascii="Arial" w:eastAsia="Times New Roman" w:hAnsi="Arial" w:cs="Times New Roman"/>
          <w:sz w:val="20"/>
        </w:rPr>
        <w:t>The person or organisation maintaining an aircraft shall only use applicable maintenance data during the performance of maintenance.</w:t>
      </w:r>
    </w:p>
    <w:p w14:paraId="58A4B073" w14:textId="77777777" w:rsidR="00E7180E" w:rsidRPr="00E7180E" w:rsidRDefault="00E7180E" w:rsidP="003A430D">
      <w:pPr>
        <w:numPr>
          <w:ilvl w:val="0"/>
          <w:numId w:val="300"/>
        </w:numPr>
        <w:spacing w:line="276" w:lineRule="auto"/>
        <w:jc w:val="both"/>
        <w:rPr>
          <w:rFonts w:ascii="Arial" w:eastAsia="Times New Roman" w:hAnsi="Arial" w:cs="Times New Roman"/>
          <w:sz w:val="20"/>
        </w:rPr>
      </w:pPr>
      <w:r w:rsidRPr="00E7180E">
        <w:rPr>
          <w:rFonts w:ascii="Arial" w:eastAsia="Times New Roman" w:hAnsi="Arial" w:cs="Times New Roman"/>
          <w:sz w:val="20"/>
        </w:rPr>
        <w:t>For the purposes of this Annex, 'applicable maintenance' data means:</w:t>
      </w:r>
    </w:p>
    <w:p w14:paraId="411223D0" w14:textId="4C2DD74E" w:rsidR="00E7180E" w:rsidRPr="00E7180E" w:rsidRDefault="00E7180E" w:rsidP="003A430D">
      <w:pPr>
        <w:numPr>
          <w:ilvl w:val="1"/>
          <w:numId w:val="300"/>
        </w:numPr>
        <w:spacing w:line="276" w:lineRule="auto"/>
        <w:jc w:val="both"/>
        <w:rPr>
          <w:rFonts w:ascii="Arial" w:eastAsia="Times New Roman" w:hAnsi="Arial" w:cs="Times New Roman"/>
          <w:sz w:val="20"/>
        </w:rPr>
      </w:pPr>
      <w:r w:rsidRPr="00E7180E">
        <w:rPr>
          <w:rFonts w:ascii="Arial" w:eastAsia="Times New Roman" w:hAnsi="Arial" w:cs="Times New Roman"/>
          <w:sz w:val="20"/>
        </w:rPr>
        <w:t xml:space="preserve">any applicable requirement, procedure, standard or information issued by the </w:t>
      </w:r>
      <w:r w:rsidR="004E22F1">
        <w:rPr>
          <w:rFonts w:ascii="Arial" w:hAnsi="Arial" w:cs="Arial"/>
          <w:sz w:val="20"/>
          <w:szCs w:val="20"/>
        </w:rPr>
        <w:t>CAC RA</w:t>
      </w:r>
      <w:r w:rsidRPr="00E7180E">
        <w:rPr>
          <w:rFonts w:ascii="Arial" w:eastAsia="Times New Roman" w:hAnsi="Arial" w:cs="Times New Roman"/>
          <w:sz w:val="20"/>
        </w:rPr>
        <w:t>;</w:t>
      </w:r>
    </w:p>
    <w:p w14:paraId="6FF4BBF3" w14:textId="77777777" w:rsidR="00E7180E" w:rsidRPr="00E7180E" w:rsidRDefault="00E7180E" w:rsidP="003A430D">
      <w:pPr>
        <w:numPr>
          <w:ilvl w:val="1"/>
          <w:numId w:val="300"/>
        </w:numPr>
        <w:spacing w:line="276" w:lineRule="auto"/>
        <w:jc w:val="both"/>
        <w:rPr>
          <w:rFonts w:ascii="Arial" w:eastAsia="Times New Roman" w:hAnsi="Arial" w:cs="Times New Roman"/>
          <w:sz w:val="20"/>
        </w:rPr>
      </w:pPr>
      <w:r w:rsidRPr="00E7180E">
        <w:rPr>
          <w:rFonts w:ascii="Arial" w:eastAsia="Times New Roman" w:hAnsi="Arial" w:cs="Times New Roman"/>
          <w:sz w:val="20"/>
        </w:rPr>
        <w:t>any applicable AD;</w:t>
      </w:r>
    </w:p>
    <w:p w14:paraId="1ADB4DDE" w14:textId="4EE54132" w:rsidR="00E7180E" w:rsidRPr="00E7180E" w:rsidRDefault="00E7180E" w:rsidP="003A430D">
      <w:pPr>
        <w:numPr>
          <w:ilvl w:val="1"/>
          <w:numId w:val="300"/>
        </w:numPr>
        <w:spacing w:line="276" w:lineRule="auto"/>
        <w:jc w:val="both"/>
        <w:rPr>
          <w:rFonts w:ascii="Arial" w:eastAsia="Times New Roman" w:hAnsi="Arial" w:cs="Times New Roman"/>
          <w:sz w:val="20"/>
        </w:rPr>
      </w:pPr>
      <w:r w:rsidRPr="00E7180E">
        <w:rPr>
          <w:rFonts w:ascii="Arial" w:eastAsia="Times New Roman" w:hAnsi="Arial" w:cs="Times New Roman"/>
          <w:sz w:val="20"/>
        </w:rPr>
        <w:t xml:space="preserve">applicable ICA issued by type certificate holders, supplementary type certificate holders and any other organisation that publishes such data in accordance with Annex I (Part-21) to </w:t>
      </w:r>
      <w:hyperlink r:id="rId106" w:history="1">
        <w:r w:rsidR="007A4CF1">
          <w:rPr>
            <w:rStyle w:val="Hyperlink"/>
            <w:rFonts w:ascii="Arial" w:hAnsi="Arial" w:cs="Arial"/>
            <w:sz w:val="20"/>
          </w:rPr>
          <w:t>the order N 20-N of the Minister of Territorial Administration and Infrastructure of RA, dated 18.11.2022</w:t>
        </w:r>
      </w:hyperlink>
      <w:r w:rsidRPr="00E7180E">
        <w:rPr>
          <w:rFonts w:ascii="Arial" w:eastAsia="Times New Roman" w:hAnsi="Arial" w:cs="Times New Roman"/>
          <w:sz w:val="20"/>
        </w:rPr>
        <w:t>;</w:t>
      </w:r>
    </w:p>
    <w:p w14:paraId="6A470966" w14:textId="77777777" w:rsidR="00E7180E" w:rsidRPr="00E7180E" w:rsidRDefault="00E7180E" w:rsidP="003A430D">
      <w:pPr>
        <w:numPr>
          <w:ilvl w:val="1"/>
          <w:numId w:val="300"/>
        </w:numPr>
        <w:spacing w:line="276" w:lineRule="auto"/>
        <w:jc w:val="both"/>
        <w:rPr>
          <w:rFonts w:ascii="Arial" w:eastAsia="Times New Roman" w:hAnsi="Arial" w:cs="Times New Roman"/>
          <w:sz w:val="20"/>
        </w:rPr>
      </w:pPr>
      <w:r w:rsidRPr="00E7180E">
        <w:rPr>
          <w:rFonts w:ascii="Arial" w:eastAsia="Times New Roman" w:hAnsi="Arial" w:cs="Times New Roman"/>
          <w:sz w:val="20"/>
        </w:rPr>
        <w:t>any applicable data issued in accordance with point (d) of point 145.A.45.</w:t>
      </w:r>
    </w:p>
    <w:p w14:paraId="42408065" w14:textId="77777777" w:rsidR="001E5A67" w:rsidRPr="001E5A67" w:rsidRDefault="001E5A67" w:rsidP="001E5A67">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858" w:name="ML.A.402_Performance_of_maintenance"/>
      <w:bookmarkStart w:id="859" w:name="_bookmark360"/>
      <w:bookmarkStart w:id="860" w:name="_Toc153137525"/>
      <w:bookmarkEnd w:id="858"/>
      <w:bookmarkEnd w:id="859"/>
      <w:r w:rsidRPr="001E5A67">
        <w:rPr>
          <w:rFonts w:ascii="Arial" w:eastAsia="Times New Roman" w:hAnsi="Arial" w:cs="Times New Roman"/>
          <w:b/>
          <w:iCs/>
          <w:color w:val="FFFFFF"/>
          <w:sz w:val="24"/>
        </w:rPr>
        <w:t>ML.A.402 Performance of maintenance</w:t>
      </w:r>
      <w:bookmarkEnd w:id="860"/>
    </w:p>
    <w:p w14:paraId="3F8A8393" w14:textId="77777777" w:rsidR="001E5A67" w:rsidRPr="001E5A67" w:rsidRDefault="001E5A67" w:rsidP="00701F8D">
      <w:pPr>
        <w:numPr>
          <w:ilvl w:val="0"/>
          <w:numId w:val="301"/>
        </w:numPr>
        <w:jc w:val="both"/>
        <w:rPr>
          <w:rFonts w:ascii="Arial" w:eastAsia="Times New Roman" w:hAnsi="Arial" w:cs="Times New Roman"/>
          <w:sz w:val="20"/>
          <w:szCs w:val="20"/>
        </w:rPr>
      </w:pPr>
      <w:r w:rsidRPr="001E5A67">
        <w:rPr>
          <w:rFonts w:ascii="Arial" w:eastAsia="Times New Roman" w:hAnsi="Arial" w:cs="Times New Roman"/>
          <w:sz w:val="20"/>
          <w:szCs w:val="20"/>
        </w:rPr>
        <w:t>Maintenance performed by approved maintenance organisations shall be in accordance with Subpart F of Annex I (Part-M), Annex II (Part-145) or Annex Vd (Part-CAO), as applicable.</w:t>
      </w:r>
    </w:p>
    <w:p w14:paraId="3FE672EC" w14:textId="77777777" w:rsidR="001E5A67" w:rsidRPr="001E5A67" w:rsidRDefault="001E5A67" w:rsidP="00701F8D">
      <w:pPr>
        <w:numPr>
          <w:ilvl w:val="0"/>
          <w:numId w:val="301"/>
        </w:numPr>
        <w:jc w:val="both"/>
        <w:rPr>
          <w:rFonts w:ascii="Arial" w:eastAsia="Times New Roman" w:hAnsi="Arial" w:cs="Times New Roman"/>
          <w:sz w:val="20"/>
          <w:szCs w:val="20"/>
        </w:rPr>
      </w:pPr>
      <w:r w:rsidRPr="001E5A67">
        <w:rPr>
          <w:rFonts w:ascii="Arial" w:eastAsia="Times New Roman" w:hAnsi="Arial" w:cs="Times New Roman"/>
          <w:sz w:val="20"/>
          <w:szCs w:val="20"/>
        </w:rPr>
        <w:t>For maintenance not performed in accordance with point (a), the person performing maintenance shall:</w:t>
      </w:r>
    </w:p>
    <w:p w14:paraId="06D39D62" w14:textId="77777777" w:rsidR="001E5A67" w:rsidRPr="001E5A67" w:rsidRDefault="001E5A67" w:rsidP="00701F8D">
      <w:pPr>
        <w:numPr>
          <w:ilvl w:val="1"/>
          <w:numId w:val="301"/>
        </w:numPr>
        <w:jc w:val="both"/>
        <w:rPr>
          <w:rFonts w:ascii="Arial" w:eastAsia="Times New Roman" w:hAnsi="Arial" w:cs="Times New Roman"/>
          <w:sz w:val="20"/>
          <w:szCs w:val="20"/>
        </w:rPr>
      </w:pPr>
      <w:r w:rsidRPr="001E5A67">
        <w:rPr>
          <w:rFonts w:ascii="Arial" w:eastAsia="Times New Roman" w:hAnsi="Arial" w:cs="Times New Roman"/>
          <w:sz w:val="20"/>
          <w:szCs w:val="20"/>
        </w:rPr>
        <w:t>be qualified for the tasks performed, as required by this Annex;</w:t>
      </w:r>
    </w:p>
    <w:p w14:paraId="7F495D50" w14:textId="77777777" w:rsidR="001E5A67" w:rsidRPr="001E5A67" w:rsidRDefault="001E5A67" w:rsidP="00701F8D">
      <w:pPr>
        <w:numPr>
          <w:ilvl w:val="1"/>
          <w:numId w:val="301"/>
        </w:numPr>
        <w:jc w:val="both"/>
        <w:rPr>
          <w:rFonts w:ascii="Arial" w:eastAsia="Times New Roman" w:hAnsi="Arial" w:cs="Times New Roman"/>
          <w:sz w:val="20"/>
          <w:szCs w:val="20"/>
        </w:rPr>
      </w:pPr>
      <w:r w:rsidRPr="001E5A67">
        <w:rPr>
          <w:rFonts w:ascii="Arial" w:eastAsia="Times New Roman" w:hAnsi="Arial" w:cs="Times New Roman"/>
          <w:sz w:val="20"/>
          <w:szCs w:val="20"/>
        </w:rPr>
        <w:t>ensure that the area in which maintenance is carried out is well organised and clean with no dirt or contamination;</w:t>
      </w:r>
    </w:p>
    <w:p w14:paraId="3C8DC66A" w14:textId="77777777" w:rsidR="001E5A67" w:rsidRPr="001E5A67" w:rsidRDefault="001E5A67" w:rsidP="00701F8D">
      <w:pPr>
        <w:numPr>
          <w:ilvl w:val="1"/>
          <w:numId w:val="301"/>
        </w:numPr>
        <w:jc w:val="both"/>
        <w:rPr>
          <w:rFonts w:ascii="Arial" w:eastAsia="Times New Roman" w:hAnsi="Arial" w:cs="Times New Roman"/>
          <w:sz w:val="20"/>
          <w:szCs w:val="20"/>
        </w:rPr>
      </w:pPr>
      <w:r w:rsidRPr="001E5A67">
        <w:rPr>
          <w:rFonts w:ascii="Arial" w:eastAsia="Times New Roman" w:hAnsi="Arial" w:cs="Times New Roman"/>
          <w:sz w:val="20"/>
          <w:szCs w:val="20"/>
        </w:rPr>
        <w:t>use the methods, techniques, standards and instructions specified in the maintenance data referred to in point ML.A.401;</w:t>
      </w:r>
    </w:p>
    <w:p w14:paraId="2601B031" w14:textId="77777777" w:rsidR="001E5A67" w:rsidRPr="001E5A67" w:rsidRDefault="001E5A67" w:rsidP="00701F8D">
      <w:pPr>
        <w:numPr>
          <w:ilvl w:val="1"/>
          <w:numId w:val="301"/>
        </w:numPr>
        <w:jc w:val="both"/>
        <w:rPr>
          <w:rFonts w:ascii="Arial" w:eastAsia="Times New Roman" w:hAnsi="Arial" w:cs="Times New Roman"/>
          <w:sz w:val="20"/>
          <w:szCs w:val="20"/>
        </w:rPr>
      </w:pPr>
      <w:r w:rsidRPr="001E5A67">
        <w:rPr>
          <w:rFonts w:ascii="Arial" w:eastAsia="Times New Roman" w:hAnsi="Arial" w:cs="Times New Roman"/>
          <w:sz w:val="20"/>
          <w:szCs w:val="20"/>
        </w:rPr>
        <w:t>use the tools, equipment and material specified in the maintenance data referred to in point ML.A.401. If necessary, tools and equipment shall be controlled and calibrated to an officially recognised standard;</w:t>
      </w:r>
    </w:p>
    <w:p w14:paraId="29D11FEB" w14:textId="77777777" w:rsidR="001E5A67" w:rsidRPr="001E5A67" w:rsidRDefault="001E5A67" w:rsidP="00701F8D">
      <w:pPr>
        <w:numPr>
          <w:ilvl w:val="1"/>
          <w:numId w:val="301"/>
        </w:numPr>
        <w:jc w:val="both"/>
        <w:rPr>
          <w:rFonts w:ascii="Arial" w:eastAsia="Times New Roman" w:hAnsi="Arial" w:cs="Times New Roman"/>
          <w:sz w:val="20"/>
          <w:szCs w:val="20"/>
        </w:rPr>
      </w:pPr>
      <w:r w:rsidRPr="001E5A67">
        <w:rPr>
          <w:rFonts w:ascii="Arial" w:eastAsia="Times New Roman" w:hAnsi="Arial" w:cs="Times New Roman"/>
          <w:sz w:val="20"/>
          <w:szCs w:val="20"/>
        </w:rPr>
        <w:t>ensure that maintenance is performed within any environmental limitations specified in the maintenance data referred to in point ML.A.401;</w:t>
      </w:r>
    </w:p>
    <w:p w14:paraId="56C24539" w14:textId="77777777" w:rsidR="001E5A67" w:rsidRPr="001E5A67" w:rsidRDefault="001E5A67" w:rsidP="00701F8D">
      <w:pPr>
        <w:numPr>
          <w:ilvl w:val="1"/>
          <w:numId w:val="301"/>
        </w:numPr>
        <w:jc w:val="both"/>
        <w:rPr>
          <w:rFonts w:ascii="Arial" w:eastAsia="Times New Roman" w:hAnsi="Arial" w:cs="Times New Roman"/>
          <w:sz w:val="20"/>
          <w:szCs w:val="20"/>
        </w:rPr>
      </w:pPr>
      <w:r w:rsidRPr="001E5A67">
        <w:rPr>
          <w:rFonts w:ascii="Arial" w:eastAsia="Times New Roman" w:hAnsi="Arial" w:cs="Times New Roman"/>
          <w:sz w:val="20"/>
          <w:szCs w:val="20"/>
        </w:rPr>
        <w:t>ensure that proper facilities are used in case of inclement weather or lengthy maintenance;</w:t>
      </w:r>
    </w:p>
    <w:p w14:paraId="75E68727" w14:textId="77777777" w:rsidR="001E5A67" w:rsidRPr="001E5A67" w:rsidRDefault="001E5A67" w:rsidP="00701F8D">
      <w:pPr>
        <w:numPr>
          <w:ilvl w:val="1"/>
          <w:numId w:val="301"/>
        </w:numPr>
        <w:jc w:val="both"/>
        <w:rPr>
          <w:rFonts w:ascii="Arial" w:eastAsia="Times New Roman" w:hAnsi="Arial" w:cs="Times New Roman"/>
          <w:sz w:val="20"/>
          <w:szCs w:val="20"/>
        </w:rPr>
      </w:pPr>
      <w:r w:rsidRPr="001E5A67">
        <w:rPr>
          <w:rFonts w:ascii="Arial" w:eastAsia="Times New Roman" w:hAnsi="Arial" w:cs="Times New Roman"/>
          <w:sz w:val="20"/>
          <w:szCs w:val="20"/>
        </w:rPr>
        <w:t>ensure that the risk of multiple errors during maintenance and the risk of errors being repeated in identical maintenance tasks are minimised;</w:t>
      </w:r>
    </w:p>
    <w:p w14:paraId="27DBCF24" w14:textId="77777777" w:rsidR="001E5A67" w:rsidRPr="001E5A67" w:rsidRDefault="001E5A67" w:rsidP="00701F8D">
      <w:pPr>
        <w:numPr>
          <w:ilvl w:val="1"/>
          <w:numId w:val="301"/>
        </w:numPr>
        <w:jc w:val="both"/>
        <w:rPr>
          <w:rFonts w:ascii="Arial" w:eastAsia="Times New Roman" w:hAnsi="Arial" w:cs="Times New Roman"/>
          <w:sz w:val="20"/>
          <w:szCs w:val="20"/>
        </w:rPr>
      </w:pPr>
      <w:r w:rsidRPr="001E5A67">
        <w:rPr>
          <w:rFonts w:ascii="Arial" w:eastAsia="Times New Roman" w:hAnsi="Arial" w:cs="Times New Roman"/>
          <w:sz w:val="20"/>
          <w:szCs w:val="20"/>
        </w:rPr>
        <w:t>ensure that an error-capturing method is implemented after the performance of any critical maintenance task;</w:t>
      </w:r>
    </w:p>
    <w:p w14:paraId="36A6682D" w14:textId="77777777" w:rsidR="001E5A67" w:rsidRPr="001E5A67" w:rsidRDefault="001E5A67" w:rsidP="00701F8D">
      <w:pPr>
        <w:numPr>
          <w:ilvl w:val="1"/>
          <w:numId w:val="301"/>
        </w:numPr>
        <w:jc w:val="both"/>
        <w:rPr>
          <w:rFonts w:ascii="Arial" w:eastAsia="Times New Roman" w:hAnsi="Arial" w:cs="Times New Roman"/>
          <w:sz w:val="20"/>
          <w:szCs w:val="20"/>
        </w:rPr>
      </w:pPr>
      <w:r w:rsidRPr="001E5A67">
        <w:rPr>
          <w:rFonts w:ascii="Arial" w:eastAsia="Times New Roman" w:hAnsi="Arial" w:cs="Times New Roman"/>
          <w:sz w:val="20"/>
          <w:szCs w:val="20"/>
        </w:rPr>
        <w:t>perform a general verification after completion of maintenance to ensure that the aircraft or component is clear of all tools, equipment and any extraneous parts and material, and that all access panels removed have been refitted;</w:t>
      </w:r>
    </w:p>
    <w:p w14:paraId="28F766DB" w14:textId="77777777" w:rsidR="001E5A67" w:rsidRPr="001E5A67" w:rsidRDefault="001E5A67" w:rsidP="00701F8D">
      <w:pPr>
        <w:pStyle w:val="ListParagraph"/>
        <w:numPr>
          <w:ilvl w:val="1"/>
          <w:numId w:val="301"/>
        </w:numPr>
        <w:tabs>
          <w:tab w:val="left" w:pos="1273"/>
          <w:tab w:val="left" w:pos="1274"/>
        </w:tabs>
        <w:spacing w:before="57"/>
        <w:ind w:hanging="568"/>
        <w:rPr>
          <w:rFonts w:ascii="Arial" w:hAnsi="Arial" w:cs="Arial"/>
          <w:sz w:val="20"/>
          <w:szCs w:val="20"/>
        </w:rPr>
      </w:pPr>
      <w:r w:rsidRPr="001E5A67">
        <w:rPr>
          <w:rFonts w:ascii="Arial" w:hAnsi="Arial" w:cs="Arial"/>
          <w:sz w:val="20"/>
          <w:szCs w:val="20"/>
        </w:rPr>
        <w:t>ensure</w:t>
      </w:r>
      <w:r w:rsidRPr="001E5A67">
        <w:rPr>
          <w:rFonts w:ascii="Arial" w:hAnsi="Arial" w:cs="Arial"/>
          <w:spacing w:val="-1"/>
          <w:sz w:val="20"/>
          <w:szCs w:val="20"/>
        </w:rPr>
        <w:t xml:space="preserve"> </w:t>
      </w:r>
      <w:r w:rsidRPr="001E5A67">
        <w:rPr>
          <w:rFonts w:ascii="Arial" w:hAnsi="Arial" w:cs="Arial"/>
          <w:sz w:val="20"/>
          <w:szCs w:val="20"/>
        </w:rPr>
        <w:t>that</w:t>
      </w:r>
      <w:r w:rsidRPr="001E5A67">
        <w:rPr>
          <w:rFonts w:ascii="Arial" w:hAnsi="Arial" w:cs="Arial"/>
          <w:spacing w:val="-3"/>
          <w:sz w:val="20"/>
          <w:szCs w:val="20"/>
        </w:rPr>
        <w:t xml:space="preserve"> </w:t>
      </w:r>
      <w:r w:rsidRPr="001E5A67">
        <w:rPr>
          <w:rFonts w:ascii="Arial" w:hAnsi="Arial" w:cs="Arial"/>
          <w:sz w:val="20"/>
          <w:szCs w:val="20"/>
        </w:rPr>
        <w:t>all</w:t>
      </w:r>
      <w:r w:rsidRPr="001E5A67">
        <w:rPr>
          <w:rFonts w:ascii="Arial" w:hAnsi="Arial" w:cs="Arial"/>
          <w:spacing w:val="-3"/>
          <w:sz w:val="20"/>
          <w:szCs w:val="20"/>
        </w:rPr>
        <w:t xml:space="preserve"> </w:t>
      </w:r>
      <w:r w:rsidRPr="001E5A67">
        <w:rPr>
          <w:rFonts w:ascii="Arial" w:hAnsi="Arial" w:cs="Arial"/>
          <w:sz w:val="20"/>
          <w:szCs w:val="20"/>
        </w:rPr>
        <w:t>maintenance performed is properly</w:t>
      </w:r>
      <w:r w:rsidRPr="001E5A67">
        <w:rPr>
          <w:rFonts w:ascii="Arial" w:hAnsi="Arial" w:cs="Arial"/>
          <w:spacing w:val="-1"/>
          <w:sz w:val="20"/>
          <w:szCs w:val="20"/>
        </w:rPr>
        <w:t xml:space="preserve"> </w:t>
      </w:r>
      <w:r w:rsidRPr="001E5A67">
        <w:rPr>
          <w:rFonts w:ascii="Arial" w:hAnsi="Arial" w:cs="Arial"/>
          <w:sz w:val="20"/>
          <w:szCs w:val="20"/>
        </w:rPr>
        <w:t>recorded and</w:t>
      </w:r>
      <w:r w:rsidRPr="001E5A67">
        <w:rPr>
          <w:rFonts w:ascii="Arial" w:hAnsi="Arial" w:cs="Arial"/>
          <w:spacing w:val="-2"/>
          <w:sz w:val="20"/>
          <w:szCs w:val="20"/>
        </w:rPr>
        <w:t xml:space="preserve"> </w:t>
      </w:r>
      <w:r w:rsidRPr="001E5A67">
        <w:rPr>
          <w:rFonts w:ascii="Arial" w:hAnsi="Arial" w:cs="Arial"/>
          <w:sz w:val="20"/>
          <w:szCs w:val="20"/>
        </w:rPr>
        <w:t>documented.</w:t>
      </w:r>
    </w:p>
    <w:p w14:paraId="3631B79A" w14:textId="77777777" w:rsidR="001E5A67" w:rsidRPr="001E5A67" w:rsidRDefault="001E5A67" w:rsidP="001E5A67">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861" w:name="AMC1_ML.A.402__Performance_of_maintenanc"/>
      <w:bookmarkStart w:id="862" w:name="_bookmark361"/>
      <w:bookmarkStart w:id="863" w:name="_Toc153137526"/>
      <w:bookmarkEnd w:id="861"/>
      <w:bookmarkEnd w:id="862"/>
      <w:r w:rsidRPr="001E5A67">
        <w:rPr>
          <w:rFonts w:ascii="Arial" w:eastAsia="Times New Roman" w:hAnsi="Arial" w:cs="Times New Roman"/>
          <w:b/>
          <w:color w:val="FFFFFF"/>
          <w:sz w:val="24"/>
        </w:rPr>
        <w:t>AMC1 ML.A.402 Performance of maintenance</w:t>
      </w:r>
      <w:bookmarkEnd w:id="863"/>
    </w:p>
    <w:p w14:paraId="2C5D52D5" w14:textId="77777777" w:rsidR="001E5A67" w:rsidRPr="001E5A67" w:rsidRDefault="001E5A67" w:rsidP="00701F8D">
      <w:pPr>
        <w:numPr>
          <w:ilvl w:val="0"/>
          <w:numId w:val="302"/>
        </w:numPr>
        <w:jc w:val="both"/>
        <w:rPr>
          <w:rFonts w:ascii="Arial" w:eastAsia="Times New Roman" w:hAnsi="Arial" w:cs="Times New Roman"/>
          <w:sz w:val="20"/>
        </w:rPr>
      </w:pPr>
      <w:r w:rsidRPr="001E5A67">
        <w:rPr>
          <w:rFonts w:ascii="Arial" w:eastAsia="Times New Roman" w:hAnsi="Arial" w:cs="Times New Roman"/>
          <w:sz w:val="20"/>
        </w:rPr>
        <w:t>Examples of acceptable methods to record and document the maintenance performed are the following:</w:t>
      </w:r>
    </w:p>
    <w:p w14:paraId="133F7E96" w14:textId="77777777" w:rsidR="001E5A67" w:rsidRPr="001E5A67" w:rsidRDefault="001E5A67" w:rsidP="00701F8D">
      <w:pPr>
        <w:numPr>
          <w:ilvl w:val="1"/>
          <w:numId w:val="302"/>
        </w:numPr>
        <w:jc w:val="both"/>
        <w:rPr>
          <w:rFonts w:ascii="Arial" w:eastAsia="Times New Roman" w:hAnsi="Arial" w:cs="Times New Roman"/>
          <w:sz w:val="20"/>
        </w:rPr>
      </w:pPr>
      <w:r w:rsidRPr="001E5A67">
        <w:rPr>
          <w:rFonts w:ascii="Arial" w:eastAsia="Times New Roman" w:hAnsi="Arial" w:cs="Times New Roman"/>
          <w:sz w:val="20"/>
        </w:rPr>
        <w:t>a copy of the 100-h/annual inspection checklist with ticks and signature; and</w:t>
      </w:r>
    </w:p>
    <w:p w14:paraId="05E805BB" w14:textId="77777777" w:rsidR="001E5A67" w:rsidRPr="001E5A67" w:rsidRDefault="001E5A67" w:rsidP="00701F8D">
      <w:pPr>
        <w:numPr>
          <w:ilvl w:val="1"/>
          <w:numId w:val="302"/>
        </w:numPr>
        <w:jc w:val="both"/>
        <w:rPr>
          <w:rFonts w:ascii="Arial" w:eastAsia="Times New Roman" w:hAnsi="Arial" w:cs="Times New Roman"/>
          <w:sz w:val="20"/>
        </w:rPr>
      </w:pPr>
      <w:r w:rsidRPr="001E5A67">
        <w:rPr>
          <w:rFonts w:ascii="Arial" w:eastAsia="Times New Roman" w:hAnsi="Arial" w:cs="Times New Roman"/>
          <w:sz w:val="20"/>
        </w:rPr>
        <w:t>a copy of the release to service indicating the tasks performed.</w:t>
      </w:r>
    </w:p>
    <w:p w14:paraId="3130841E" w14:textId="77777777" w:rsidR="001E5A67" w:rsidRPr="001E5A67" w:rsidRDefault="001E5A67" w:rsidP="00701F8D">
      <w:pPr>
        <w:numPr>
          <w:ilvl w:val="0"/>
          <w:numId w:val="302"/>
        </w:numPr>
        <w:jc w:val="both"/>
        <w:rPr>
          <w:rFonts w:ascii="Arial" w:eastAsia="Times New Roman" w:hAnsi="Arial" w:cs="Times New Roman"/>
          <w:sz w:val="20"/>
        </w:rPr>
      </w:pPr>
      <w:r w:rsidRPr="001E5A67">
        <w:rPr>
          <w:rFonts w:ascii="Arial" w:eastAsia="Times New Roman" w:hAnsi="Arial" w:cs="Times New Roman"/>
          <w:sz w:val="20"/>
        </w:rPr>
        <w:t>Airborne contamination (e.g. dust, precipitation, paint particles, filings) should be kept to a minimum to ensure aircraft/components surfaces are not contaminated. If this is not possible, all susceptible systems should be sealed until acceptable conditions are re-established.</w:t>
      </w:r>
    </w:p>
    <w:p w14:paraId="2D493AAE" w14:textId="77777777" w:rsidR="001E5A67" w:rsidRPr="001E5A67" w:rsidRDefault="001E5A67" w:rsidP="001E5A67">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864" w:name="AMC1_ML.A.402(b)(7)__Performance_of_main"/>
      <w:bookmarkStart w:id="865" w:name="_bookmark362"/>
      <w:bookmarkStart w:id="866" w:name="_Toc153137527"/>
      <w:bookmarkEnd w:id="864"/>
      <w:bookmarkEnd w:id="865"/>
      <w:r w:rsidRPr="001E5A67">
        <w:rPr>
          <w:rFonts w:ascii="Arial" w:eastAsia="Times New Roman" w:hAnsi="Arial" w:cs="Times New Roman"/>
          <w:b/>
          <w:color w:val="FFFFFF"/>
          <w:sz w:val="24"/>
        </w:rPr>
        <w:t>AMC1 ML.A.402(b)(7) Performance of maintenance</w:t>
      </w:r>
      <w:bookmarkEnd w:id="866"/>
    </w:p>
    <w:p w14:paraId="6D5CFF7F" w14:textId="77777777" w:rsidR="001E5A67" w:rsidRPr="001E5A67" w:rsidRDefault="001E5A67" w:rsidP="003A430D">
      <w:pPr>
        <w:spacing w:line="276" w:lineRule="auto"/>
        <w:jc w:val="both"/>
        <w:rPr>
          <w:rFonts w:ascii="Arial" w:eastAsia="Times New Roman" w:hAnsi="Arial" w:cs="Times New Roman"/>
          <w:sz w:val="20"/>
        </w:rPr>
      </w:pPr>
      <w:r w:rsidRPr="001E5A67">
        <w:rPr>
          <w:rFonts w:ascii="Arial" w:eastAsia="Times New Roman" w:hAnsi="Arial" w:cs="Times New Roman"/>
          <w:sz w:val="20"/>
        </w:rPr>
        <w:t>To minimise the risk of errors and to prevent omissions, the person performing maintenance should ensure that:</w:t>
      </w:r>
    </w:p>
    <w:p w14:paraId="23C2A69F" w14:textId="77777777" w:rsidR="001E5A67" w:rsidRPr="001E5A67" w:rsidRDefault="001E5A67" w:rsidP="003A430D">
      <w:pPr>
        <w:numPr>
          <w:ilvl w:val="0"/>
          <w:numId w:val="303"/>
        </w:numPr>
        <w:spacing w:line="276" w:lineRule="auto"/>
        <w:jc w:val="both"/>
        <w:rPr>
          <w:rFonts w:ascii="Arial" w:eastAsia="Times New Roman" w:hAnsi="Arial" w:cs="Times New Roman"/>
          <w:sz w:val="20"/>
        </w:rPr>
      </w:pPr>
      <w:r w:rsidRPr="001E5A67">
        <w:rPr>
          <w:rFonts w:ascii="Arial" w:eastAsia="Times New Roman" w:hAnsi="Arial" w:cs="Times New Roman"/>
          <w:sz w:val="20"/>
        </w:rPr>
        <w:t>every maintenance task is signed off only after completion;</w:t>
      </w:r>
    </w:p>
    <w:p w14:paraId="7D7EE26C" w14:textId="77777777" w:rsidR="001E5A67" w:rsidRPr="001E5A67" w:rsidRDefault="001E5A67" w:rsidP="003A430D">
      <w:pPr>
        <w:numPr>
          <w:ilvl w:val="0"/>
          <w:numId w:val="303"/>
        </w:numPr>
        <w:spacing w:line="276" w:lineRule="auto"/>
        <w:jc w:val="both"/>
        <w:rPr>
          <w:rFonts w:ascii="Arial" w:eastAsia="Times New Roman" w:hAnsi="Arial" w:cs="Times New Roman"/>
          <w:sz w:val="20"/>
        </w:rPr>
      </w:pPr>
      <w:r w:rsidRPr="001E5A67">
        <w:rPr>
          <w:rFonts w:ascii="Arial" w:eastAsia="Times New Roman" w:hAnsi="Arial" w:cs="Times New Roman"/>
          <w:sz w:val="20"/>
        </w:rPr>
        <w:t>the grouping of tasks for the purpose of sign-off allows critical steps to be clearly identified; and</w:t>
      </w:r>
    </w:p>
    <w:p w14:paraId="07C14013" w14:textId="77777777" w:rsidR="001E5A67" w:rsidRPr="001E5A67" w:rsidRDefault="001E5A67" w:rsidP="003A430D">
      <w:pPr>
        <w:numPr>
          <w:ilvl w:val="0"/>
          <w:numId w:val="303"/>
        </w:numPr>
        <w:spacing w:line="276" w:lineRule="auto"/>
        <w:jc w:val="both"/>
        <w:rPr>
          <w:rFonts w:ascii="Arial" w:eastAsia="Times New Roman" w:hAnsi="Arial" w:cs="Times New Roman"/>
          <w:sz w:val="20"/>
        </w:rPr>
      </w:pPr>
      <w:r w:rsidRPr="001E5A67">
        <w:rPr>
          <w:rFonts w:ascii="Arial" w:eastAsia="Times New Roman" w:hAnsi="Arial" w:cs="Times New Roman"/>
          <w:sz w:val="20"/>
        </w:rPr>
        <w:t>any work performed by personnel under supervision (i.e. temporary staff, trainees) is checked and signed off by an authorised person.</w:t>
      </w:r>
    </w:p>
    <w:p w14:paraId="1BC3CFAD" w14:textId="77777777" w:rsidR="001E5A67" w:rsidRPr="001E5A67" w:rsidRDefault="001E5A67" w:rsidP="001E5A67">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867" w:name="AMC1_ML.A.402(b)(8)__Performance_of_main"/>
      <w:bookmarkStart w:id="868" w:name="_bookmark363"/>
      <w:bookmarkStart w:id="869" w:name="_Toc153137528"/>
      <w:bookmarkEnd w:id="867"/>
      <w:bookmarkEnd w:id="868"/>
      <w:r w:rsidRPr="001E5A67">
        <w:rPr>
          <w:rFonts w:ascii="Arial" w:eastAsia="Times New Roman" w:hAnsi="Arial" w:cs="Times New Roman"/>
          <w:b/>
          <w:color w:val="FFFFFF"/>
          <w:sz w:val="24"/>
        </w:rPr>
        <w:lastRenderedPageBreak/>
        <w:t>AMC1 ML.A.402(b)(8) Performance of maintenance</w:t>
      </w:r>
      <w:bookmarkEnd w:id="869"/>
    </w:p>
    <w:p w14:paraId="4202F138" w14:textId="77777777" w:rsidR="001E5A67" w:rsidRPr="001E5A67" w:rsidRDefault="001E5A67" w:rsidP="003A430D">
      <w:pPr>
        <w:spacing w:line="276" w:lineRule="auto"/>
        <w:jc w:val="both"/>
        <w:rPr>
          <w:rFonts w:ascii="Arial" w:eastAsia="Times New Roman" w:hAnsi="Arial" w:cs="Times New Roman"/>
          <w:b/>
          <w:sz w:val="20"/>
        </w:rPr>
      </w:pPr>
      <w:r w:rsidRPr="001E5A67">
        <w:rPr>
          <w:rFonts w:ascii="Arial" w:eastAsia="Times New Roman" w:hAnsi="Arial" w:cs="Times New Roman"/>
          <w:b/>
          <w:sz w:val="20"/>
        </w:rPr>
        <w:t>CRITICAL MAINTENANCE TASKS</w:t>
      </w:r>
    </w:p>
    <w:p w14:paraId="05ECD53A" w14:textId="77777777" w:rsidR="001E5A67" w:rsidRPr="001E5A67" w:rsidRDefault="001E5A67" w:rsidP="003A430D">
      <w:pPr>
        <w:spacing w:line="276" w:lineRule="auto"/>
        <w:jc w:val="both"/>
        <w:rPr>
          <w:rFonts w:ascii="Arial" w:eastAsia="Times New Roman" w:hAnsi="Arial" w:cs="Times New Roman"/>
          <w:sz w:val="20"/>
        </w:rPr>
      </w:pPr>
      <w:r w:rsidRPr="001E5A67">
        <w:rPr>
          <w:rFonts w:ascii="Arial" w:eastAsia="Times New Roman" w:hAnsi="Arial" w:cs="Times New Roman"/>
          <w:sz w:val="20"/>
        </w:rPr>
        <w:t>The following maintenance tasks should primarily be reviewed to assess their impact on safety:</w:t>
      </w:r>
    </w:p>
    <w:p w14:paraId="69BCCA6A" w14:textId="77777777" w:rsidR="001E5A67" w:rsidRPr="001E5A67" w:rsidRDefault="001E5A67" w:rsidP="003A430D">
      <w:pPr>
        <w:numPr>
          <w:ilvl w:val="0"/>
          <w:numId w:val="304"/>
        </w:numPr>
        <w:spacing w:line="276" w:lineRule="auto"/>
        <w:jc w:val="both"/>
        <w:rPr>
          <w:rFonts w:ascii="Arial" w:eastAsia="Times New Roman" w:hAnsi="Arial" w:cs="Times New Roman"/>
          <w:sz w:val="20"/>
        </w:rPr>
      </w:pPr>
      <w:r w:rsidRPr="001E5A67">
        <w:rPr>
          <w:rFonts w:ascii="Arial" w:eastAsia="Times New Roman" w:hAnsi="Arial" w:cs="Times New Roman"/>
          <w:sz w:val="20"/>
        </w:rPr>
        <w:t>tasks that may affect the control of the aircraft’s flight path and attitude, such as the installation, rigging and adjustments of flight controls;</w:t>
      </w:r>
    </w:p>
    <w:p w14:paraId="0AAE3521" w14:textId="77777777" w:rsidR="001E5A67" w:rsidRPr="001E5A67" w:rsidRDefault="001E5A67" w:rsidP="003A430D">
      <w:pPr>
        <w:numPr>
          <w:ilvl w:val="0"/>
          <w:numId w:val="304"/>
        </w:numPr>
        <w:spacing w:line="276" w:lineRule="auto"/>
        <w:jc w:val="both"/>
        <w:rPr>
          <w:rFonts w:ascii="Arial" w:eastAsia="Times New Roman" w:hAnsi="Arial" w:cs="Times New Roman"/>
          <w:sz w:val="20"/>
        </w:rPr>
      </w:pPr>
      <w:r w:rsidRPr="001E5A67">
        <w:rPr>
          <w:rFonts w:ascii="Arial" w:eastAsia="Times New Roman" w:hAnsi="Arial" w:cs="Times New Roman"/>
          <w:sz w:val="20"/>
        </w:rPr>
        <w:t>tasks that may affect aircraft stability control systems (autopilots, fuel transfer);</w:t>
      </w:r>
    </w:p>
    <w:p w14:paraId="5838E6B0" w14:textId="77777777" w:rsidR="001E5A67" w:rsidRPr="001E5A67" w:rsidRDefault="001E5A67" w:rsidP="003A430D">
      <w:pPr>
        <w:numPr>
          <w:ilvl w:val="0"/>
          <w:numId w:val="304"/>
        </w:numPr>
        <w:spacing w:line="276" w:lineRule="auto"/>
        <w:jc w:val="both"/>
        <w:rPr>
          <w:rFonts w:ascii="Arial" w:eastAsia="Times New Roman" w:hAnsi="Arial" w:cs="Times New Roman"/>
          <w:sz w:val="20"/>
        </w:rPr>
      </w:pPr>
      <w:r w:rsidRPr="001E5A67">
        <w:rPr>
          <w:rFonts w:ascii="Arial" w:eastAsia="Times New Roman" w:hAnsi="Arial" w:cs="Times New Roman"/>
          <w:sz w:val="20"/>
        </w:rPr>
        <w:t>tasks that may affect the propulsive force of the aircraft, including the installation of aircraft engines, propellers and rotors; and</w:t>
      </w:r>
    </w:p>
    <w:p w14:paraId="19F6D484" w14:textId="77777777" w:rsidR="001E5A67" w:rsidRPr="001E5A67" w:rsidRDefault="001E5A67" w:rsidP="003A430D">
      <w:pPr>
        <w:numPr>
          <w:ilvl w:val="0"/>
          <w:numId w:val="304"/>
        </w:numPr>
        <w:spacing w:line="276" w:lineRule="auto"/>
        <w:jc w:val="both"/>
        <w:rPr>
          <w:rFonts w:ascii="Arial" w:eastAsia="Times New Roman" w:hAnsi="Arial" w:cs="Times New Roman"/>
          <w:sz w:val="20"/>
        </w:rPr>
      </w:pPr>
      <w:r w:rsidRPr="001E5A67">
        <w:rPr>
          <w:rFonts w:ascii="Arial" w:eastAsia="Times New Roman" w:hAnsi="Arial" w:cs="Times New Roman"/>
          <w:sz w:val="20"/>
        </w:rPr>
        <w:t>the overhaul, calibration or rigging of engines, propellers, transmissions and gearboxes.</w:t>
      </w:r>
    </w:p>
    <w:p w14:paraId="2D4398FB" w14:textId="77777777" w:rsidR="00E7180E" w:rsidRDefault="00E7180E" w:rsidP="000B112D">
      <w:pPr>
        <w:jc w:val="both"/>
        <w:rPr>
          <w:rFonts w:ascii="Arial" w:eastAsia="Times New Roman" w:hAnsi="Arial" w:cs="Times New Roman"/>
          <w:sz w:val="20"/>
        </w:rPr>
      </w:pPr>
    </w:p>
    <w:p w14:paraId="1550A489" w14:textId="77777777" w:rsidR="001E5A67" w:rsidRPr="001E5A67" w:rsidRDefault="001E5A67" w:rsidP="001E5A67">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870" w:name="AMC2_ML.A.402(b)(8)__Performance_of_main"/>
      <w:bookmarkStart w:id="871" w:name="_bookmark364"/>
      <w:bookmarkStart w:id="872" w:name="_Toc153137529"/>
      <w:bookmarkEnd w:id="870"/>
      <w:bookmarkEnd w:id="871"/>
      <w:r w:rsidRPr="001E5A67">
        <w:rPr>
          <w:rFonts w:ascii="Arial" w:eastAsia="Times New Roman" w:hAnsi="Arial" w:cs="Times New Roman"/>
          <w:b/>
          <w:color w:val="FFFFFF"/>
          <w:sz w:val="24"/>
        </w:rPr>
        <w:t>AMC2 ML.A.402(b)(8) Performance of maintenance</w:t>
      </w:r>
      <w:bookmarkEnd w:id="872"/>
    </w:p>
    <w:p w14:paraId="51C4DCF5" w14:textId="77777777" w:rsidR="001E5A67" w:rsidRPr="001E5A67" w:rsidRDefault="001E5A67" w:rsidP="003A430D">
      <w:pPr>
        <w:spacing w:line="276" w:lineRule="auto"/>
        <w:jc w:val="both"/>
        <w:rPr>
          <w:rFonts w:ascii="Arial" w:eastAsia="Times New Roman" w:hAnsi="Arial" w:cs="Times New Roman"/>
          <w:b/>
          <w:sz w:val="20"/>
        </w:rPr>
      </w:pPr>
      <w:r w:rsidRPr="001E5A67">
        <w:rPr>
          <w:rFonts w:ascii="Arial" w:eastAsia="Times New Roman" w:hAnsi="Arial" w:cs="Times New Roman"/>
          <w:b/>
          <w:sz w:val="20"/>
        </w:rPr>
        <w:t>ERROR-CAPTURING METHODS</w:t>
      </w:r>
    </w:p>
    <w:p w14:paraId="085D7DE5" w14:textId="77777777" w:rsidR="001E5A67" w:rsidRDefault="001E5A67" w:rsidP="003A430D">
      <w:pPr>
        <w:spacing w:line="276" w:lineRule="auto"/>
        <w:jc w:val="both"/>
        <w:rPr>
          <w:rFonts w:ascii="Arial" w:eastAsia="Times New Roman" w:hAnsi="Arial" w:cs="Times New Roman"/>
          <w:sz w:val="20"/>
        </w:rPr>
      </w:pPr>
      <w:r w:rsidRPr="001E5A67">
        <w:rPr>
          <w:rFonts w:ascii="Arial" w:eastAsia="Times New Roman" w:hAnsi="Arial" w:cs="Times New Roman"/>
          <w:sz w:val="20"/>
        </w:rPr>
        <w:t>Re-inspection, when only one person is available to carry out the task, or independent inspection, are possible error-capturing methods.</w:t>
      </w:r>
    </w:p>
    <w:p w14:paraId="05B37A55" w14:textId="77777777" w:rsidR="001E5A67" w:rsidRPr="001E5A67" w:rsidRDefault="001E5A67" w:rsidP="001E5A67">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873" w:name="ML.A.403_Aircraft_defects"/>
      <w:bookmarkStart w:id="874" w:name="_bookmark365"/>
      <w:bookmarkStart w:id="875" w:name="_Toc153137530"/>
      <w:bookmarkEnd w:id="873"/>
      <w:bookmarkEnd w:id="874"/>
      <w:r w:rsidRPr="001E5A67">
        <w:rPr>
          <w:rFonts w:ascii="Arial" w:eastAsia="Times New Roman" w:hAnsi="Arial" w:cs="Times New Roman"/>
          <w:b/>
          <w:iCs/>
          <w:color w:val="FFFFFF"/>
          <w:sz w:val="24"/>
        </w:rPr>
        <w:t>ML.A.403 Aircraft defects</w:t>
      </w:r>
      <w:bookmarkEnd w:id="875"/>
    </w:p>
    <w:p w14:paraId="5168D4F0" w14:textId="77777777" w:rsidR="001E5A67" w:rsidRPr="001E5A67" w:rsidRDefault="001E5A67" w:rsidP="003A430D">
      <w:pPr>
        <w:numPr>
          <w:ilvl w:val="0"/>
          <w:numId w:val="305"/>
        </w:numPr>
        <w:spacing w:line="276" w:lineRule="auto"/>
        <w:jc w:val="both"/>
        <w:rPr>
          <w:rFonts w:ascii="Arial" w:eastAsia="Times New Roman" w:hAnsi="Arial" w:cs="Times New Roman"/>
          <w:sz w:val="20"/>
        </w:rPr>
      </w:pPr>
      <w:r w:rsidRPr="001E5A67">
        <w:rPr>
          <w:rFonts w:ascii="Arial" w:eastAsia="Times New Roman" w:hAnsi="Arial" w:cs="Times New Roman"/>
          <w:sz w:val="20"/>
        </w:rPr>
        <w:t>Any aircraft defect that seriously endangers the flight safety shall be rectified before further flight.</w:t>
      </w:r>
    </w:p>
    <w:p w14:paraId="3DBDCEA8" w14:textId="77777777" w:rsidR="001E5A67" w:rsidRPr="001E5A67" w:rsidRDefault="001E5A67" w:rsidP="003A430D">
      <w:pPr>
        <w:numPr>
          <w:ilvl w:val="0"/>
          <w:numId w:val="305"/>
        </w:numPr>
        <w:spacing w:line="276" w:lineRule="auto"/>
        <w:jc w:val="both"/>
        <w:rPr>
          <w:rFonts w:ascii="Arial" w:eastAsia="Times New Roman" w:hAnsi="Arial" w:cs="Times New Roman"/>
          <w:sz w:val="20"/>
        </w:rPr>
      </w:pPr>
      <w:r w:rsidRPr="001E5A67">
        <w:rPr>
          <w:rFonts w:ascii="Arial" w:eastAsia="Times New Roman" w:hAnsi="Arial" w:cs="Times New Roman"/>
          <w:sz w:val="20"/>
        </w:rPr>
        <w:t>The following persons may decide that a defect does not seriously endanger flight safety, and may defer it accordingly:</w:t>
      </w:r>
    </w:p>
    <w:p w14:paraId="35ADEA35" w14:textId="77777777" w:rsidR="001E5A67" w:rsidRPr="001E5A67" w:rsidRDefault="001E5A67" w:rsidP="003A430D">
      <w:pPr>
        <w:numPr>
          <w:ilvl w:val="1"/>
          <w:numId w:val="305"/>
        </w:numPr>
        <w:spacing w:line="276" w:lineRule="auto"/>
        <w:jc w:val="both"/>
        <w:rPr>
          <w:rFonts w:ascii="Arial" w:eastAsia="Times New Roman" w:hAnsi="Arial" w:cs="Times New Roman"/>
          <w:sz w:val="20"/>
        </w:rPr>
      </w:pPr>
      <w:r w:rsidRPr="001E5A67">
        <w:rPr>
          <w:rFonts w:ascii="Arial" w:eastAsia="Times New Roman" w:hAnsi="Arial" w:cs="Times New Roman"/>
          <w:sz w:val="20"/>
        </w:rPr>
        <w:t>the pilot in respect of defects affecting non-required aircraft equipment;</w:t>
      </w:r>
    </w:p>
    <w:p w14:paraId="6BFED1A9" w14:textId="77777777" w:rsidR="001E5A67" w:rsidRPr="001E5A67" w:rsidRDefault="001E5A67" w:rsidP="003A430D">
      <w:pPr>
        <w:numPr>
          <w:ilvl w:val="1"/>
          <w:numId w:val="305"/>
        </w:numPr>
        <w:spacing w:line="276" w:lineRule="auto"/>
        <w:jc w:val="both"/>
        <w:rPr>
          <w:rFonts w:ascii="Arial" w:eastAsia="Times New Roman" w:hAnsi="Arial" w:cs="Times New Roman"/>
          <w:sz w:val="20"/>
        </w:rPr>
      </w:pPr>
      <w:r w:rsidRPr="001E5A67">
        <w:rPr>
          <w:rFonts w:ascii="Arial" w:eastAsia="Times New Roman" w:hAnsi="Arial" w:cs="Times New Roman"/>
          <w:sz w:val="20"/>
        </w:rPr>
        <w:t>the pilot, when using the minimum equipment list, in respect of defects affecting required aircraft equipment — otherwise, these defects may only be deferred by authorised certifying staff;</w:t>
      </w:r>
    </w:p>
    <w:p w14:paraId="29BE3B81" w14:textId="77777777" w:rsidR="001E5A67" w:rsidRPr="001E5A67" w:rsidRDefault="001E5A67" w:rsidP="003A430D">
      <w:pPr>
        <w:numPr>
          <w:ilvl w:val="1"/>
          <w:numId w:val="305"/>
        </w:numPr>
        <w:spacing w:line="276" w:lineRule="auto"/>
        <w:jc w:val="both"/>
        <w:rPr>
          <w:rFonts w:ascii="Arial" w:eastAsia="Times New Roman" w:hAnsi="Arial" w:cs="Times New Roman"/>
          <w:sz w:val="20"/>
        </w:rPr>
      </w:pPr>
      <w:r w:rsidRPr="001E5A67">
        <w:rPr>
          <w:rFonts w:ascii="Arial" w:eastAsia="Times New Roman" w:hAnsi="Arial" w:cs="Times New Roman"/>
          <w:sz w:val="20"/>
        </w:rPr>
        <w:t>the pilot in respect of defects other than those referred to in points (b)(1) and (b)(2) if all the following conditions are met:</w:t>
      </w:r>
    </w:p>
    <w:p w14:paraId="01FD8821" w14:textId="7CA801CD" w:rsidR="001E5A67" w:rsidRPr="00670F7B" w:rsidRDefault="001E5A67" w:rsidP="003A430D">
      <w:pPr>
        <w:numPr>
          <w:ilvl w:val="2"/>
          <w:numId w:val="305"/>
        </w:numPr>
        <w:spacing w:line="276" w:lineRule="auto"/>
        <w:jc w:val="both"/>
        <w:rPr>
          <w:rFonts w:ascii="Arial" w:eastAsia="Times New Roman" w:hAnsi="Arial" w:cs="Times New Roman"/>
          <w:sz w:val="20"/>
        </w:rPr>
      </w:pPr>
      <w:r w:rsidRPr="001E5A67">
        <w:rPr>
          <w:rFonts w:ascii="Arial" w:eastAsia="Times New Roman" w:hAnsi="Arial" w:cs="Times New Roman"/>
          <w:sz w:val="20"/>
        </w:rPr>
        <w:t xml:space="preserve">the aircraft is operated under Annex VII to </w:t>
      </w:r>
      <w:hyperlink r:id="rId107" w:history="1">
        <w:r w:rsidR="003A6AB3">
          <w:rPr>
            <w:rStyle w:val="Hyperlink"/>
            <w:rFonts w:ascii="Arial" w:hAnsi="Arial" w:cs="Arial"/>
            <w:sz w:val="20"/>
            <w:szCs w:val="20"/>
          </w:rPr>
          <w:t>the order N 3-N of the Minister of Territorial Administration and Infrastructure of RA, dated 11.02.2022</w:t>
        </w:r>
      </w:hyperlink>
      <w:r w:rsidR="003A6AB3" w:rsidRPr="001E5A67">
        <w:rPr>
          <w:rFonts w:ascii="Arial" w:eastAsia="Times New Roman" w:hAnsi="Arial" w:cs="Times New Roman"/>
          <w:sz w:val="20"/>
        </w:rPr>
        <w:t xml:space="preserve"> </w:t>
      </w:r>
      <w:r w:rsidRPr="001E5A67">
        <w:rPr>
          <w:rFonts w:ascii="Arial" w:eastAsia="Times New Roman" w:hAnsi="Arial" w:cs="Times New Roman"/>
          <w:sz w:val="20"/>
        </w:rPr>
        <w:t xml:space="preserve">(Part-NCO) or, in the case of balloons, not operated under Subpart-ADD of Annex II (Part-BOP) to </w:t>
      </w:r>
      <w:r w:rsidR="00062F40" w:rsidRPr="00062F40">
        <w:rPr>
          <w:rFonts w:ascii="Arial" w:eastAsia="Times New Roman" w:hAnsi="Arial" w:cs="Times New Roman"/>
          <w:sz w:val="20"/>
        </w:rPr>
        <w:t>this Regulation</w:t>
      </w:r>
      <w:r w:rsidRPr="00670F7B">
        <w:rPr>
          <w:rFonts w:ascii="Arial" w:eastAsia="Times New Roman" w:hAnsi="Arial" w:cs="Times New Roman"/>
          <w:sz w:val="20"/>
        </w:rPr>
        <w:t>;</w:t>
      </w:r>
    </w:p>
    <w:p w14:paraId="765BF94E" w14:textId="77777777" w:rsidR="001E5A67" w:rsidRPr="001E5A67" w:rsidRDefault="001E5A67" w:rsidP="003A430D">
      <w:pPr>
        <w:numPr>
          <w:ilvl w:val="2"/>
          <w:numId w:val="305"/>
        </w:numPr>
        <w:spacing w:line="276" w:lineRule="auto"/>
        <w:jc w:val="both"/>
        <w:rPr>
          <w:rFonts w:ascii="Arial" w:eastAsia="Times New Roman" w:hAnsi="Arial" w:cs="Times New Roman"/>
          <w:sz w:val="20"/>
        </w:rPr>
      </w:pPr>
      <w:r w:rsidRPr="001E5A67">
        <w:rPr>
          <w:rFonts w:ascii="Arial" w:eastAsia="Times New Roman" w:hAnsi="Arial" w:cs="Times New Roman"/>
          <w:sz w:val="20"/>
        </w:rPr>
        <w:t>the pilot defers the defect with the agreement of the aircraft owner or, if applicable, of the contracted CAMO or CAO;</w:t>
      </w:r>
    </w:p>
    <w:p w14:paraId="417822B2" w14:textId="77777777" w:rsidR="001E5A67" w:rsidRPr="001E5A67" w:rsidRDefault="001E5A67" w:rsidP="003A430D">
      <w:pPr>
        <w:numPr>
          <w:ilvl w:val="1"/>
          <w:numId w:val="305"/>
        </w:numPr>
        <w:spacing w:line="276" w:lineRule="auto"/>
        <w:jc w:val="both"/>
        <w:rPr>
          <w:rFonts w:ascii="Arial" w:eastAsia="Times New Roman" w:hAnsi="Arial" w:cs="Times New Roman"/>
          <w:sz w:val="20"/>
        </w:rPr>
      </w:pPr>
      <w:r w:rsidRPr="001E5A67">
        <w:rPr>
          <w:rFonts w:ascii="Arial" w:eastAsia="Times New Roman" w:hAnsi="Arial" w:cs="Times New Roman"/>
          <w:sz w:val="20"/>
        </w:rPr>
        <w:t>the appropriately qualified certifying staff in respect of other defects than those referred to in points (b)(1) and (b)(2), where the conditions referred to in point 3(i) and (ii) are not met.</w:t>
      </w:r>
    </w:p>
    <w:p w14:paraId="38D7CCB9" w14:textId="77777777" w:rsidR="001E5A67" w:rsidRPr="001E5A67" w:rsidRDefault="001E5A67" w:rsidP="003A430D">
      <w:pPr>
        <w:numPr>
          <w:ilvl w:val="0"/>
          <w:numId w:val="305"/>
        </w:numPr>
        <w:spacing w:line="276" w:lineRule="auto"/>
        <w:jc w:val="both"/>
        <w:rPr>
          <w:rFonts w:ascii="Arial" w:eastAsia="Times New Roman" w:hAnsi="Arial" w:cs="Times New Roman"/>
          <w:sz w:val="20"/>
        </w:rPr>
      </w:pPr>
      <w:r w:rsidRPr="001E5A67">
        <w:rPr>
          <w:rFonts w:ascii="Arial" w:eastAsia="Times New Roman" w:hAnsi="Arial" w:cs="Times New Roman"/>
          <w:sz w:val="20"/>
        </w:rPr>
        <w:t>Any aircraft defect that does not seriously hazard flight safety shall be rectified as soon as practicable from the date on which the defect was first identified and within the limits specified in the maintenance data.</w:t>
      </w:r>
    </w:p>
    <w:p w14:paraId="49D5A8AD" w14:textId="77777777" w:rsidR="001E5A67" w:rsidRPr="001E5A67" w:rsidRDefault="001E5A67" w:rsidP="003A430D">
      <w:pPr>
        <w:numPr>
          <w:ilvl w:val="0"/>
          <w:numId w:val="305"/>
        </w:numPr>
        <w:spacing w:line="276" w:lineRule="auto"/>
        <w:jc w:val="both"/>
        <w:rPr>
          <w:rFonts w:ascii="Arial" w:eastAsia="Times New Roman" w:hAnsi="Arial" w:cs="Times New Roman"/>
          <w:sz w:val="20"/>
        </w:rPr>
      </w:pPr>
      <w:r w:rsidRPr="001E5A67">
        <w:rPr>
          <w:rFonts w:ascii="Arial" w:eastAsia="Times New Roman" w:hAnsi="Arial" w:cs="Times New Roman"/>
          <w:sz w:val="20"/>
        </w:rPr>
        <w:t>Any defect not rectified before flight shall be recorded in the aircraft continuing airworthiness record system referred to in point ML.A.305 and a record shall be available to the pilot.</w:t>
      </w:r>
    </w:p>
    <w:p w14:paraId="24B4DC07" w14:textId="77777777" w:rsidR="001E5A67" w:rsidRPr="001E5A67" w:rsidRDefault="001E5A67" w:rsidP="001E5A67">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876" w:name="AMC1_ML.A.403__Aircraft_defects"/>
      <w:bookmarkStart w:id="877" w:name="_bookmark366"/>
      <w:bookmarkStart w:id="878" w:name="_Toc153137531"/>
      <w:bookmarkEnd w:id="876"/>
      <w:bookmarkEnd w:id="877"/>
      <w:r w:rsidRPr="001E5A67">
        <w:rPr>
          <w:rFonts w:ascii="Arial" w:eastAsia="Times New Roman" w:hAnsi="Arial" w:cs="Times New Roman"/>
          <w:b/>
          <w:color w:val="FFFFFF"/>
          <w:sz w:val="24"/>
        </w:rPr>
        <w:t>AMC1 ML.A.403 Aircraft defects</w:t>
      </w:r>
      <w:bookmarkEnd w:id="878"/>
    </w:p>
    <w:p w14:paraId="4969B097" w14:textId="77777777" w:rsidR="001E5A67" w:rsidRDefault="001E5A67" w:rsidP="003A430D">
      <w:pPr>
        <w:spacing w:line="276" w:lineRule="auto"/>
        <w:jc w:val="both"/>
        <w:rPr>
          <w:rFonts w:ascii="Arial" w:eastAsia="Times New Roman" w:hAnsi="Arial" w:cs="Times New Roman"/>
          <w:sz w:val="20"/>
        </w:rPr>
      </w:pPr>
      <w:r w:rsidRPr="001E5A67">
        <w:rPr>
          <w:rFonts w:ascii="Arial" w:eastAsia="Times New Roman" w:hAnsi="Arial" w:cs="Times New Roman"/>
          <w:sz w:val="20"/>
        </w:rPr>
        <w:t>Aircraft equipment should be declared to be defective if the pilot observed a malfunction during the flight, or if considered as faulty after inspection/test referred to in the maintenance data. This does not prevent the pilot from recording observations and comments on the performance of the aircraft equipment where this is not considered to constitute a defect.</w:t>
      </w:r>
    </w:p>
    <w:p w14:paraId="76A86599" w14:textId="77777777" w:rsidR="001E5A67" w:rsidRPr="001E5A67" w:rsidRDefault="001E5A67" w:rsidP="001E5A67">
      <w:pPr>
        <w:keepNext/>
        <w:keepLines/>
        <w:widowControl/>
        <w:shd w:val="clear" w:color="auto" w:fill="339966"/>
        <w:autoSpaceDE/>
        <w:autoSpaceDN/>
        <w:spacing w:before="160" w:after="120" w:line="259" w:lineRule="auto"/>
        <w:outlineLvl w:val="4"/>
        <w:rPr>
          <w:rFonts w:ascii="Arial" w:eastAsia="Times New Roman" w:hAnsi="Arial" w:cs="Times New Roman"/>
          <w:b/>
          <w:color w:val="FFFFFF"/>
          <w:sz w:val="24"/>
        </w:rPr>
      </w:pPr>
      <w:bookmarkStart w:id="879" w:name="GM1_ML.A.403__Aircraft_defects"/>
      <w:bookmarkStart w:id="880" w:name="_bookmark367"/>
      <w:bookmarkStart w:id="881" w:name="_Toc153137532"/>
      <w:bookmarkEnd w:id="879"/>
      <w:bookmarkEnd w:id="880"/>
      <w:r w:rsidRPr="001E5A67">
        <w:rPr>
          <w:rFonts w:ascii="Arial" w:eastAsia="Times New Roman" w:hAnsi="Arial" w:cs="Times New Roman"/>
          <w:b/>
          <w:color w:val="FFFFFF"/>
          <w:sz w:val="24"/>
        </w:rPr>
        <w:t>GM1 ML.A.403 Aircraft defects</w:t>
      </w:r>
      <w:bookmarkEnd w:id="881"/>
    </w:p>
    <w:p w14:paraId="354E8922" w14:textId="77777777" w:rsidR="001E5A67" w:rsidRPr="001E5A67" w:rsidRDefault="001E5A67" w:rsidP="003A430D">
      <w:pPr>
        <w:spacing w:line="276" w:lineRule="auto"/>
        <w:jc w:val="both"/>
        <w:rPr>
          <w:rFonts w:ascii="Arial" w:eastAsia="Times New Roman" w:hAnsi="Arial" w:cs="Times New Roman"/>
          <w:sz w:val="20"/>
        </w:rPr>
      </w:pPr>
      <w:r w:rsidRPr="001E5A67">
        <w:rPr>
          <w:rFonts w:ascii="Arial" w:eastAsia="Times New Roman" w:hAnsi="Arial" w:cs="Times New Roman"/>
          <w:sz w:val="20"/>
        </w:rPr>
        <w:t>If appropriate certifying staff is readily available for consultation, the pilot should consider consultation with them before deferring any defect.</w:t>
      </w:r>
    </w:p>
    <w:p w14:paraId="20EF9C38" w14:textId="77777777" w:rsidR="001E5A67" w:rsidRPr="001E5A67" w:rsidRDefault="001E5A67" w:rsidP="003A430D">
      <w:pPr>
        <w:spacing w:line="276" w:lineRule="auto"/>
        <w:jc w:val="both"/>
        <w:rPr>
          <w:rFonts w:ascii="Arial" w:eastAsia="Times New Roman" w:hAnsi="Arial" w:cs="Times New Roman"/>
          <w:sz w:val="20"/>
        </w:rPr>
      </w:pPr>
      <w:r w:rsidRPr="001E5A67">
        <w:rPr>
          <w:rFonts w:ascii="Arial" w:eastAsia="Times New Roman" w:hAnsi="Arial" w:cs="Times New Roman"/>
          <w:sz w:val="20"/>
        </w:rPr>
        <w:t>For balloons not operated under Subpart-ADD, sailplanes not operated under Subpart-DEC, or other aircraft operated under Part-NCO, the pilot may defer required equipment, regardless of whether or not a CAMO or CAO is contracted. However, if doing so, he or she has the obligation to receive the agreement of the owner, or the contracted CAMO or CAO.</w:t>
      </w:r>
    </w:p>
    <w:p w14:paraId="2348D308" w14:textId="77777777" w:rsidR="001E5A67" w:rsidRPr="001E5A67" w:rsidRDefault="001E5A67" w:rsidP="003A430D">
      <w:pPr>
        <w:spacing w:line="276" w:lineRule="auto"/>
        <w:jc w:val="both"/>
        <w:rPr>
          <w:rFonts w:ascii="Arial" w:eastAsia="Times New Roman" w:hAnsi="Arial" w:cs="Times New Roman"/>
          <w:sz w:val="20"/>
        </w:rPr>
      </w:pPr>
      <w:r w:rsidRPr="001E5A67">
        <w:rPr>
          <w:rFonts w:ascii="Arial" w:eastAsia="Times New Roman" w:hAnsi="Arial" w:cs="Times New Roman"/>
          <w:sz w:val="20"/>
        </w:rPr>
        <w:t xml:space="preserve">The term ‘required’ refers to equipment that is required by the applicable airworthiness code (certification specification) or required by the relevant regulations for air operations or the applicable rules of the air </w:t>
      </w:r>
      <w:r w:rsidRPr="001E5A67">
        <w:rPr>
          <w:rFonts w:ascii="Arial" w:eastAsia="Times New Roman" w:hAnsi="Arial" w:cs="Times New Roman"/>
          <w:sz w:val="20"/>
        </w:rPr>
        <w:lastRenderedPageBreak/>
        <w:t>or as required by air traffic management (e.g. a transponder in certain controlled airspace).</w:t>
      </w:r>
    </w:p>
    <w:p w14:paraId="3BD4A6B5" w14:textId="77777777" w:rsidR="001E5A67" w:rsidRPr="001E5A67" w:rsidRDefault="001E5A67" w:rsidP="001E5A67">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882" w:name="_Toc153137533"/>
      <w:r w:rsidRPr="001E5A67">
        <w:rPr>
          <w:rFonts w:ascii="Arial" w:eastAsia="Times New Roman" w:hAnsi="Arial" w:cs="Times New Roman"/>
          <w:b/>
          <w:color w:val="FFFFFF"/>
          <w:sz w:val="24"/>
        </w:rPr>
        <w:t>AMC1 ML.A.403(d) Aircraft defects</w:t>
      </w:r>
      <w:bookmarkEnd w:id="882"/>
      <w:r w:rsidRPr="001E5A67">
        <w:rPr>
          <w:rFonts w:ascii="Arial" w:eastAsia="Times New Roman" w:hAnsi="Arial" w:cs="Times New Roman"/>
          <w:b/>
          <w:color w:val="FFFFFF"/>
          <w:sz w:val="24"/>
        </w:rPr>
        <w:tab/>
      </w:r>
    </w:p>
    <w:p w14:paraId="680C4E8F" w14:textId="77777777" w:rsidR="001E5A67" w:rsidRPr="001E5A67" w:rsidRDefault="001E5A67" w:rsidP="003A430D">
      <w:pPr>
        <w:spacing w:line="276" w:lineRule="auto"/>
        <w:jc w:val="both"/>
        <w:rPr>
          <w:rFonts w:ascii="Arial" w:eastAsia="Times New Roman" w:hAnsi="Arial" w:cs="Times New Roman"/>
          <w:sz w:val="20"/>
        </w:rPr>
      </w:pPr>
      <w:r w:rsidRPr="001E5A67">
        <w:rPr>
          <w:rFonts w:ascii="Arial" w:eastAsia="Times New Roman" w:hAnsi="Arial" w:cs="Times New Roman"/>
          <w:sz w:val="20"/>
        </w:rPr>
        <w:t>All deferred defects should be made known to the pilot/flight crew, whenever possible, prior to their arrival at the aircraft.</w:t>
      </w:r>
    </w:p>
    <w:p w14:paraId="181F9338" w14:textId="1CB38A8D" w:rsidR="002F0E71" w:rsidRDefault="001E5A67" w:rsidP="003A430D">
      <w:pPr>
        <w:spacing w:line="276" w:lineRule="auto"/>
        <w:jc w:val="both"/>
        <w:rPr>
          <w:rFonts w:ascii="Arial" w:eastAsia="Times New Roman" w:hAnsi="Arial" w:cs="Times New Roman"/>
          <w:sz w:val="20"/>
        </w:rPr>
      </w:pPr>
      <w:r w:rsidRPr="001E5A67">
        <w:rPr>
          <w:rFonts w:ascii="Arial" w:eastAsia="Times New Roman" w:hAnsi="Arial" w:cs="Times New Roman"/>
          <w:sz w:val="20"/>
        </w:rPr>
        <w:t>Deferred defects should be listed on the current list of deferred maintenance (ML.A.305(d)(6)) and rectified at the next appropriate maintenance event and within the limit specified in the maintenance data. Any deferred defect that is not rectified during the next maintenance event, should be re- entered on the list of deferred maintenance and the original date of the defect should be retained.</w:t>
      </w:r>
    </w:p>
    <w:p w14:paraId="2ED70011" w14:textId="06E80E72" w:rsidR="003A430D" w:rsidRDefault="003A430D" w:rsidP="003A430D">
      <w:pPr>
        <w:spacing w:line="276" w:lineRule="auto"/>
        <w:jc w:val="both"/>
        <w:rPr>
          <w:rFonts w:ascii="Arial" w:eastAsia="Times New Roman" w:hAnsi="Arial" w:cs="Times New Roman"/>
          <w:sz w:val="20"/>
        </w:rPr>
      </w:pPr>
    </w:p>
    <w:p w14:paraId="0F7EE4F6" w14:textId="32DB167A" w:rsidR="003A430D" w:rsidRDefault="003A430D" w:rsidP="003A430D">
      <w:pPr>
        <w:spacing w:line="276" w:lineRule="auto"/>
        <w:jc w:val="both"/>
        <w:rPr>
          <w:rFonts w:ascii="Arial" w:eastAsia="Times New Roman" w:hAnsi="Arial" w:cs="Times New Roman"/>
          <w:sz w:val="20"/>
        </w:rPr>
      </w:pPr>
    </w:p>
    <w:p w14:paraId="19FA27BB" w14:textId="7C1688E1" w:rsidR="003A430D" w:rsidRDefault="003A430D" w:rsidP="003A430D">
      <w:pPr>
        <w:spacing w:line="276" w:lineRule="auto"/>
        <w:jc w:val="both"/>
        <w:rPr>
          <w:rFonts w:ascii="Arial" w:eastAsia="Times New Roman" w:hAnsi="Arial" w:cs="Times New Roman"/>
          <w:sz w:val="20"/>
        </w:rPr>
      </w:pPr>
    </w:p>
    <w:p w14:paraId="078E0771" w14:textId="6E10B126" w:rsidR="003A430D" w:rsidRDefault="003A430D" w:rsidP="003A430D">
      <w:pPr>
        <w:spacing w:line="276" w:lineRule="auto"/>
        <w:jc w:val="both"/>
        <w:rPr>
          <w:rFonts w:ascii="Arial" w:eastAsia="Times New Roman" w:hAnsi="Arial" w:cs="Times New Roman"/>
          <w:sz w:val="20"/>
        </w:rPr>
      </w:pPr>
    </w:p>
    <w:p w14:paraId="1168FF89" w14:textId="6EBCCBD6" w:rsidR="003A430D" w:rsidRDefault="003A430D" w:rsidP="003A430D">
      <w:pPr>
        <w:spacing w:line="276" w:lineRule="auto"/>
        <w:jc w:val="both"/>
        <w:rPr>
          <w:rFonts w:ascii="Arial" w:eastAsia="Times New Roman" w:hAnsi="Arial" w:cs="Times New Roman"/>
          <w:sz w:val="20"/>
        </w:rPr>
      </w:pPr>
    </w:p>
    <w:p w14:paraId="5BE4D151" w14:textId="04D5F17F" w:rsidR="003A430D" w:rsidRDefault="003A430D" w:rsidP="003A430D">
      <w:pPr>
        <w:spacing w:line="276" w:lineRule="auto"/>
        <w:jc w:val="both"/>
        <w:rPr>
          <w:rFonts w:ascii="Arial" w:eastAsia="Times New Roman" w:hAnsi="Arial" w:cs="Times New Roman"/>
          <w:sz w:val="20"/>
        </w:rPr>
      </w:pPr>
    </w:p>
    <w:p w14:paraId="1E9E36DB" w14:textId="3FC00E9C" w:rsidR="003A430D" w:rsidRDefault="003A430D" w:rsidP="003A430D">
      <w:pPr>
        <w:spacing w:line="276" w:lineRule="auto"/>
        <w:jc w:val="both"/>
        <w:rPr>
          <w:rFonts w:ascii="Arial" w:eastAsia="Times New Roman" w:hAnsi="Arial" w:cs="Times New Roman"/>
          <w:sz w:val="20"/>
        </w:rPr>
      </w:pPr>
    </w:p>
    <w:p w14:paraId="45FD5F6C" w14:textId="2B517E83" w:rsidR="003A430D" w:rsidRDefault="003A430D" w:rsidP="003A430D">
      <w:pPr>
        <w:spacing w:line="276" w:lineRule="auto"/>
        <w:jc w:val="both"/>
        <w:rPr>
          <w:rFonts w:ascii="Arial" w:eastAsia="Times New Roman" w:hAnsi="Arial" w:cs="Times New Roman"/>
          <w:sz w:val="20"/>
        </w:rPr>
      </w:pPr>
    </w:p>
    <w:p w14:paraId="706F2913" w14:textId="594280CB" w:rsidR="003A430D" w:rsidRDefault="003A430D" w:rsidP="003A430D">
      <w:pPr>
        <w:spacing w:line="276" w:lineRule="auto"/>
        <w:jc w:val="both"/>
        <w:rPr>
          <w:rFonts w:ascii="Arial" w:eastAsia="Times New Roman" w:hAnsi="Arial" w:cs="Times New Roman"/>
          <w:sz w:val="20"/>
        </w:rPr>
      </w:pPr>
    </w:p>
    <w:p w14:paraId="6753DA57" w14:textId="41620FB2" w:rsidR="003A430D" w:rsidRDefault="003A430D" w:rsidP="003A430D">
      <w:pPr>
        <w:spacing w:line="276" w:lineRule="auto"/>
        <w:jc w:val="both"/>
        <w:rPr>
          <w:rFonts w:ascii="Arial" w:eastAsia="Times New Roman" w:hAnsi="Arial" w:cs="Times New Roman"/>
          <w:sz w:val="20"/>
        </w:rPr>
      </w:pPr>
    </w:p>
    <w:p w14:paraId="6A010171" w14:textId="3A0B189D" w:rsidR="003A430D" w:rsidRDefault="003A430D" w:rsidP="003A430D">
      <w:pPr>
        <w:spacing w:line="276" w:lineRule="auto"/>
        <w:jc w:val="both"/>
        <w:rPr>
          <w:rFonts w:ascii="Arial" w:eastAsia="Times New Roman" w:hAnsi="Arial" w:cs="Times New Roman"/>
          <w:sz w:val="20"/>
        </w:rPr>
      </w:pPr>
    </w:p>
    <w:p w14:paraId="56BC1520" w14:textId="57010DD6" w:rsidR="003A430D" w:rsidRDefault="003A430D" w:rsidP="003A430D">
      <w:pPr>
        <w:spacing w:line="276" w:lineRule="auto"/>
        <w:jc w:val="both"/>
        <w:rPr>
          <w:rFonts w:ascii="Arial" w:eastAsia="Times New Roman" w:hAnsi="Arial" w:cs="Times New Roman"/>
          <w:sz w:val="20"/>
        </w:rPr>
      </w:pPr>
    </w:p>
    <w:p w14:paraId="5E7CAD1F" w14:textId="29FB91B4" w:rsidR="003A430D" w:rsidRDefault="003A430D" w:rsidP="003A430D">
      <w:pPr>
        <w:spacing w:line="276" w:lineRule="auto"/>
        <w:jc w:val="both"/>
        <w:rPr>
          <w:rFonts w:ascii="Arial" w:eastAsia="Times New Roman" w:hAnsi="Arial" w:cs="Times New Roman"/>
          <w:sz w:val="20"/>
        </w:rPr>
      </w:pPr>
    </w:p>
    <w:p w14:paraId="33116748" w14:textId="2C0F813C" w:rsidR="003A430D" w:rsidRDefault="003A430D" w:rsidP="003A430D">
      <w:pPr>
        <w:spacing w:line="276" w:lineRule="auto"/>
        <w:jc w:val="both"/>
        <w:rPr>
          <w:rFonts w:ascii="Arial" w:eastAsia="Times New Roman" w:hAnsi="Arial" w:cs="Times New Roman"/>
          <w:sz w:val="20"/>
        </w:rPr>
      </w:pPr>
    </w:p>
    <w:p w14:paraId="69DD95FD" w14:textId="5E0DF7DA" w:rsidR="003A430D" w:rsidRDefault="003A430D" w:rsidP="003A430D">
      <w:pPr>
        <w:spacing w:line="276" w:lineRule="auto"/>
        <w:jc w:val="both"/>
        <w:rPr>
          <w:rFonts w:ascii="Arial" w:eastAsia="Times New Roman" w:hAnsi="Arial" w:cs="Times New Roman"/>
          <w:sz w:val="20"/>
        </w:rPr>
      </w:pPr>
    </w:p>
    <w:p w14:paraId="58EA46DA" w14:textId="7453063A" w:rsidR="003A430D" w:rsidRDefault="003A430D" w:rsidP="003A430D">
      <w:pPr>
        <w:spacing w:line="276" w:lineRule="auto"/>
        <w:jc w:val="both"/>
        <w:rPr>
          <w:rFonts w:ascii="Arial" w:eastAsia="Times New Roman" w:hAnsi="Arial" w:cs="Times New Roman"/>
          <w:sz w:val="20"/>
        </w:rPr>
      </w:pPr>
    </w:p>
    <w:p w14:paraId="3022C3A0" w14:textId="6F8980ED" w:rsidR="003A430D" w:rsidRDefault="003A430D" w:rsidP="003A430D">
      <w:pPr>
        <w:spacing w:line="276" w:lineRule="auto"/>
        <w:jc w:val="both"/>
        <w:rPr>
          <w:rFonts w:ascii="Arial" w:eastAsia="Times New Roman" w:hAnsi="Arial" w:cs="Times New Roman"/>
          <w:sz w:val="20"/>
        </w:rPr>
      </w:pPr>
    </w:p>
    <w:p w14:paraId="0923F219" w14:textId="2D4457D5" w:rsidR="003A430D" w:rsidRDefault="003A430D" w:rsidP="003A430D">
      <w:pPr>
        <w:spacing w:line="276" w:lineRule="auto"/>
        <w:jc w:val="both"/>
        <w:rPr>
          <w:rFonts w:ascii="Arial" w:eastAsia="Times New Roman" w:hAnsi="Arial" w:cs="Times New Roman"/>
          <w:sz w:val="20"/>
        </w:rPr>
      </w:pPr>
    </w:p>
    <w:p w14:paraId="31EA5DE5" w14:textId="72D72668" w:rsidR="003A430D" w:rsidRDefault="003A430D" w:rsidP="003A430D">
      <w:pPr>
        <w:spacing w:line="276" w:lineRule="auto"/>
        <w:jc w:val="both"/>
        <w:rPr>
          <w:rFonts w:ascii="Arial" w:eastAsia="Times New Roman" w:hAnsi="Arial" w:cs="Times New Roman"/>
          <w:sz w:val="20"/>
        </w:rPr>
      </w:pPr>
    </w:p>
    <w:p w14:paraId="42E94FFA" w14:textId="42F56962" w:rsidR="003A430D" w:rsidRDefault="003A430D" w:rsidP="003A430D">
      <w:pPr>
        <w:spacing w:line="276" w:lineRule="auto"/>
        <w:jc w:val="both"/>
        <w:rPr>
          <w:rFonts w:ascii="Arial" w:eastAsia="Times New Roman" w:hAnsi="Arial" w:cs="Times New Roman"/>
          <w:sz w:val="20"/>
        </w:rPr>
      </w:pPr>
    </w:p>
    <w:p w14:paraId="5BD8B3E9" w14:textId="6D96CA9B" w:rsidR="003A430D" w:rsidRDefault="003A430D" w:rsidP="003A430D">
      <w:pPr>
        <w:spacing w:line="276" w:lineRule="auto"/>
        <w:jc w:val="both"/>
        <w:rPr>
          <w:rFonts w:ascii="Arial" w:eastAsia="Times New Roman" w:hAnsi="Arial" w:cs="Times New Roman"/>
          <w:sz w:val="20"/>
        </w:rPr>
      </w:pPr>
    </w:p>
    <w:p w14:paraId="4CE799E3" w14:textId="7983AB35" w:rsidR="003A430D" w:rsidRDefault="003A430D" w:rsidP="003A430D">
      <w:pPr>
        <w:spacing w:line="276" w:lineRule="auto"/>
        <w:jc w:val="both"/>
        <w:rPr>
          <w:rFonts w:ascii="Arial" w:eastAsia="Times New Roman" w:hAnsi="Arial" w:cs="Times New Roman"/>
          <w:sz w:val="20"/>
        </w:rPr>
      </w:pPr>
    </w:p>
    <w:p w14:paraId="4B4C188C" w14:textId="1A6C35AD" w:rsidR="003A430D" w:rsidRDefault="003A430D" w:rsidP="003A430D">
      <w:pPr>
        <w:spacing w:line="276" w:lineRule="auto"/>
        <w:jc w:val="both"/>
        <w:rPr>
          <w:rFonts w:ascii="Arial" w:eastAsia="Times New Roman" w:hAnsi="Arial" w:cs="Times New Roman"/>
          <w:sz w:val="20"/>
        </w:rPr>
      </w:pPr>
    </w:p>
    <w:p w14:paraId="4453FD46" w14:textId="1D7355DB" w:rsidR="003A430D" w:rsidRDefault="003A430D" w:rsidP="003A430D">
      <w:pPr>
        <w:spacing w:line="276" w:lineRule="auto"/>
        <w:jc w:val="both"/>
        <w:rPr>
          <w:rFonts w:ascii="Arial" w:eastAsia="Times New Roman" w:hAnsi="Arial" w:cs="Times New Roman"/>
          <w:sz w:val="20"/>
        </w:rPr>
      </w:pPr>
    </w:p>
    <w:p w14:paraId="6CB17518" w14:textId="29B41A7B" w:rsidR="003A430D" w:rsidRDefault="003A430D" w:rsidP="003A430D">
      <w:pPr>
        <w:spacing w:line="276" w:lineRule="auto"/>
        <w:jc w:val="both"/>
        <w:rPr>
          <w:rFonts w:ascii="Arial" w:eastAsia="Times New Roman" w:hAnsi="Arial" w:cs="Times New Roman"/>
          <w:sz w:val="20"/>
        </w:rPr>
      </w:pPr>
    </w:p>
    <w:p w14:paraId="7D689DF9" w14:textId="36D312D6" w:rsidR="003A430D" w:rsidRDefault="003A430D" w:rsidP="003A430D">
      <w:pPr>
        <w:spacing w:line="276" w:lineRule="auto"/>
        <w:jc w:val="both"/>
        <w:rPr>
          <w:rFonts w:ascii="Arial" w:eastAsia="Times New Roman" w:hAnsi="Arial" w:cs="Times New Roman"/>
          <w:sz w:val="20"/>
        </w:rPr>
      </w:pPr>
    </w:p>
    <w:p w14:paraId="5A866266" w14:textId="4028BBAD" w:rsidR="003A430D" w:rsidRDefault="003A430D" w:rsidP="003A430D">
      <w:pPr>
        <w:spacing w:line="276" w:lineRule="auto"/>
        <w:jc w:val="both"/>
        <w:rPr>
          <w:rFonts w:ascii="Arial" w:eastAsia="Times New Roman" w:hAnsi="Arial" w:cs="Times New Roman"/>
          <w:sz w:val="20"/>
        </w:rPr>
      </w:pPr>
    </w:p>
    <w:p w14:paraId="75B4C1BF" w14:textId="63B7988D" w:rsidR="003A430D" w:rsidRDefault="003A430D" w:rsidP="003A430D">
      <w:pPr>
        <w:spacing w:line="276" w:lineRule="auto"/>
        <w:jc w:val="both"/>
        <w:rPr>
          <w:rFonts w:ascii="Arial" w:eastAsia="Times New Roman" w:hAnsi="Arial" w:cs="Times New Roman"/>
          <w:sz w:val="20"/>
        </w:rPr>
      </w:pPr>
    </w:p>
    <w:p w14:paraId="15644FB0" w14:textId="4B16685E" w:rsidR="003A430D" w:rsidRDefault="003A430D" w:rsidP="003A430D">
      <w:pPr>
        <w:spacing w:line="276" w:lineRule="auto"/>
        <w:jc w:val="both"/>
        <w:rPr>
          <w:rFonts w:ascii="Arial" w:eastAsia="Times New Roman" w:hAnsi="Arial" w:cs="Times New Roman"/>
          <w:sz w:val="20"/>
        </w:rPr>
      </w:pPr>
    </w:p>
    <w:p w14:paraId="35AECDB8" w14:textId="204E5659" w:rsidR="003A430D" w:rsidRDefault="003A430D" w:rsidP="003A430D">
      <w:pPr>
        <w:spacing w:line="276" w:lineRule="auto"/>
        <w:jc w:val="both"/>
        <w:rPr>
          <w:rFonts w:ascii="Arial" w:eastAsia="Times New Roman" w:hAnsi="Arial" w:cs="Times New Roman"/>
          <w:sz w:val="20"/>
        </w:rPr>
      </w:pPr>
    </w:p>
    <w:p w14:paraId="78534841" w14:textId="374E3BDC" w:rsidR="003A430D" w:rsidRDefault="003A430D" w:rsidP="003A430D">
      <w:pPr>
        <w:spacing w:line="276" w:lineRule="auto"/>
        <w:jc w:val="both"/>
        <w:rPr>
          <w:rFonts w:ascii="Arial" w:eastAsia="Times New Roman" w:hAnsi="Arial" w:cs="Times New Roman"/>
          <w:sz w:val="20"/>
        </w:rPr>
      </w:pPr>
    </w:p>
    <w:p w14:paraId="4F5B440F" w14:textId="4364A068" w:rsidR="003A430D" w:rsidRDefault="003A430D" w:rsidP="003A430D">
      <w:pPr>
        <w:spacing w:line="276" w:lineRule="auto"/>
        <w:jc w:val="both"/>
        <w:rPr>
          <w:rFonts w:ascii="Arial" w:eastAsia="Times New Roman" w:hAnsi="Arial" w:cs="Times New Roman"/>
          <w:sz w:val="20"/>
        </w:rPr>
      </w:pPr>
    </w:p>
    <w:p w14:paraId="066A8702" w14:textId="0F3B3A64" w:rsidR="003A430D" w:rsidRDefault="003A430D" w:rsidP="003A430D">
      <w:pPr>
        <w:spacing w:line="276" w:lineRule="auto"/>
        <w:jc w:val="both"/>
        <w:rPr>
          <w:rFonts w:ascii="Arial" w:eastAsia="Times New Roman" w:hAnsi="Arial" w:cs="Times New Roman"/>
          <w:sz w:val="20"/>
        </w:rPr>
      </w:pPr>
    </w:p>
    <w:p w14:paraId="6E3BC912" w14:textId="51783829" w:rsidR="003A430D" w:rsidRDefault="003A430D" w:rsidP="003A430D">
      <w:pPr>
        <w:spacing w:line="276" w:lineRule="auto"/>
        <w:jc w:val="both"/>
        <w:rPr>
          <w:rFonts w:ascii="Arial" w:eastAsia="Times New Roman" w:hAnsi="Arial" w:cs="Times New Roman"/>
          <w:sz w:val="20"/>
        </w:rPr>
      </w:pPr>
    </w:p>
    <w:p w14:paraId="0C0F6E90" w14:textId="73FC6DC0" w:rsidR="003A430D" w:rsidRDefault="003A430D" w:rsidP="003A430D">
      <w:pPr>
        <w:spacing w:line="276" w:lineRule="auto"/>
        <w:jc w:val="both"/>
        <w:rPr>
          <w:rFonts w:ascii="Arial" w:eastAsia="Times New Roman" w:hAnsi="Arial" w:cs="Times New Roman"/>
          <w:sz w:val="20"/>
        </w:rPr>
      </w:pPr>
    </w:p>
    <w:p w14:paraId="360B49AC" w14:textId="3F4E26AC" w:rsidR="003A430D" w:rsidRDefault="003A430D" w:rsidP="003A430D">
      <w:pPr>
        <w:spacing w:line="276" w:lineRule="auto"/>
        <w:jc w:val="both"/>
        <w:rPr>
          <w:rFonts w:ascii="Arial" w:eastAsia="Times New Roman" w:hAnsi="Arial" w:cs="Times New Roman"/>
          <w:sz w:val="20"/>
        </w:rPr>
      </w:pPr>
    </w:p>
    <w:p w14:paraId="342E6363" w14:textId="12297DB2" w:rsidR="003A430D" w:rsidRDefault="003A430D" w:rsidP="003A430D">
      <w:pPr>
        <w:spacing w:line="276" w:lineRule="auto"/>
        <w:jc w:val="both"/>
        <w:rPr>
          <w:rFonts w:ascii="Arial" w:eastAsia="Times New Roman" w:hAnsi="Arial" w:cs="Times New Roman"/>
          <w:sz w:val="20"/>
        </w:rPr>
      </w:pPr>
    </w:p>
    <w:p w14:paraId="5CC7D175" w14:textId="21FB0FD0" w:rsidR="003A430D" w:rsidRDefault="003A430D" w:rsidP="003A430D">
      <w:pPr>
        <w:spacing w:line="276" w:lineRule="auto"/>
        <w:jc w:val="both"/>
        <w:rPr>
          <w:rFonts w:ascii="Arial" w:eastAsia="Times New Roman" w:hAnsi="Arial" w:cs="Times New Roman"/>
          <w:sz w:val="20"/>
        </w:rPr>
      </w:pPr>
    </w:p>
    <w:p w14:paraId="379A630C" w14:textId="7F31C3D2" w:rsidR="003A430D" w:rsidRDefault="003A430D" w:rsidP="003A430D">
      <w:pPr>
        <w:spacing w:line="276" w:lineRule="auto"/>
        <w:jc w:val="both"/>
        <w:rPr>
          <w:rFonts w:ascii="Arial" w:eastAsia="Times New Roman" w:hAnsi="Arial" w:cs="Times New Roman"/>
          <w:sz w:val="20"/>
        </w:rPr>
      </w:pPr>
    </w:p>
    <w:p w14:paraId="333247A0" w14:textId="135D278E" w:rsidR="003A430D" w:rsidRDefault="003A430D" w:rsidP="003A430D">
      <w:pPr>
        <w:spacing w:line="276" w:lineRule="auto"/>
        <w:jc w:val="both"/>
        <w:rPr>
          <w:rFonts w:ascii="Arial" w:eastAsia="Times New Roman" w:hAnsi="Arial" w:cs="Times New Roman"/>
          <w:sz w:val="20"/>
        </w:rPr>
      </w:pPr>
    </w:p>
    <w:p w14:paraId="77C33139" w14:textId="2D5707FF" w:rsidR="003A430D" w:rsidRDefault="003A430D" w:rsidP="003A430D">
      <w:pPr>
        <w:spacing w:line="276" w:lineRule="auto"/>
        <w:jc w:val="both"/>
        <w:rPr>
          <w:rFonts w:ascii="Arial" w:eastAsia="Times New Roman" w:hAnsi="Arial" w:cs="Times New Roman"/>
          <w:sz w:val="20"/>
        </w:rPr>
      </w:pPr>
    </w:p>
    <w:p w14:paraId="7EDA95A1" w14:textId="7637252A" w:rsidR="003A430D" w:rsidRDefault="003A430D" w:rsidP="003A430D">
      <w:pPr>
        <w:spacing w:line="276" w:lineRule="auto"/>
        <w:jc w:val="both"/>
        <w:rPr>
          <w:rFonts w:ascii="Arial" w:eastAsia="Times New Roman" w:hAnsi="Arial" w:cs="Times New Roman"/>
          <w:sz w:val="20"/>
        </w:rPr>
      </w:pPr>
    </w:p>
    <w:p w14:paraId="3C99B485" w14:textId="0E594E4E" w:rsidR="003A430D" w:rsidRDefault="003A430D" w:rsidP="003A430D">
      <w:pPr>
        <w:spacing w:line="276" w:lineRule="auto"/>
        <w:jc w:val="both"/>
        <w:rPr>
          <w:rFonts w:ascii="Arial" w:eastAsia="Times New Roman" w:hAnsi="Arial" w:cs="Times New Roman"/>
          <w:sz w:val="20"/>
        </w:rPr>
      </w:pPr>
    </w:p>
    <w:p w14:paraId="131DC820" w14:textId="77777777" w:rsidR="003A430D" w:rsidRDefault="003A430D" w:rsidP="003A430D">
      <w:pPr>
        <w:spacing w:line="276" w:lineRule="auto"/>
        <w:jc w:val="both"/>
        <w:rPr>
          <w:rFonts w:ascii="Arial" w:eastAsia="Times New Roman" w:hAnsi="Arial" w:cs="Times New Roman"/>
          <w:sz w:val="20"/>
        </w:rPr>
      </w:pPr>
    </w:p>
    <w:p w14:paraId="0E5F7DB3" w14:textId="77777777" w:rsidR="002F0E71" w:rsidRPr="002F0E71" w:rsidRDefault="002F0E71" w:rsidP="002F0E71">
      <w:pPr>
        <w:keepNext/>
        <w:keepLines/>
        <w:widowControl/>
        <w:autoSpaceDE/>
        <w:autoSpaceDN/>
        <w:spacing w:before="40" w:line="276" w:lineRule="auto"/>
        <w:jc w:val="center"/>
        <w:outlineLvl w:val="2"/>
        <w:rPr>
          <w:rFonts w:ascii="Arial" w:eastAsiaTheme="majorEastAsia" w:hAnsi="Arial" w:cs="Arial"/>
          <w:b/>
          <w:color w:val="00B0F0"/>
          <w:sz w:val="24"/>
          <w:szCs w:val="24"/>
        </w:rPr>
      </w:pPr>
      <w:bookmarkStart w:id="883" w:name="_Toc153137534"/>
      <w:r w:rsidRPr="002F0E71">
        <w:rPr>
          <w:rFonts w:ascii="Arial" w:eastAsiaTheme="majorEastAsia" w:hAnsi="Arial" w:cs="Arial"/>
          <w:b/>
          <w:color w:val="00B0F0"/>
          <w:sz w:val="24"/>
          <w:szCs w:val="24"/>
        </w:rPr>
        <w:lastRenderedPageBreak/>
        <w:t>SUBPART E — COMPONENTS</w:t>
      </w:r>
      <w:bookmarkEnd w:id="883"/>
    </w:p>
    <w:p w14:paraId="0065F1E8" w14:textId="77777777" w:rsidR="002F0E71" w:rsidRPr="002F0E71" w:rsidRDefault="002F0E71" w:rsidP="002F0E71">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884" w:name="ML.A.501_Classification_and_installation"/>
      <w:bookmarkStart w:id="885" w:name="_bookmark370"/>
      <w:bookmarkStart w:id="886" w:name="_Toc153137535"/>
      <w:bookmarkEnd w:id="884"/>
      <w:bookmarkEnd w:id="885"/>
      <w:r w:rsidRPr="002F0E71">
        <w:rPr>
          <w:rFonts w:ascii="Arial" w:eastAsia="Times New Roman" w:hAnsi="Arial" w:cs="Times New Roman"/>
          <w:b/>
          <w:iCs/>
          <w:color w:val="FFFFFF"/>
          <w:sz w:val="24"/>
        </w:rPr>
        <w:t>ML.A.501 Classification and installation</w:t>
      </w:r>
      <w:bookmarkEnd w:id="886"/>
    </w:p>
    <w:p w14:paraId="61FDF565" w14:textId="53BAB4C3" w:rsidR="002F0E71" w:rsidRPr="002F0E71" w:rsidRDefault="002F0E71" w:rsidP="007B4CE2">
      <w:pPr>
        <w:numPr>
          <w:ilvl w:val="0"/>
          <w:numId w:val="307"/>
        </w:numPr>
        <w:spacing w:line="276" w:lineRule="auto"/>
        <w:jc w:val="both"/>
        <w:rPr>
          <w:rFonts w:ascii="Arial" w:eastAsia="Times New Roman" w:hAnsi="Arial" w:cs="Times New Roman"/>
          <w:sz w:val="20"/>
        </w:rPr>
      </w:pPr>
      <w:r w:rsidRPr="002F0E71">
        <w:rPr>
          <w:rFonts w:ascii="Arial" w:eastAsia="Times New Roman" w:hAnsi="Arial" w:cs="Times New Roman"/>
          <w:sz w:val="20"/>
        </w:rPr>
        <w:t xml:space="preserve">Unless otherwise specified in Subpart F of Annex I (Part-M), Annex II (Part-145), Annex Vd (Part- CAO) to this Regulation and Annex I (Part-21) to </w:t>
      </w:r>
      <w:hyperlink r:id="rId108" w:history="1">
        <w:r w:rsidR="007A4CF1">
          <w:rPr>
            <w:rStyle w:val="Hyperlink"/>
            <w:rFonts w:ascii="Arial" w:hAnsi="Arial" w:cs="Arial"/>
            <w:sz w:val="20"/>
          </w:rPr>
          <w:t>the order N 20-N of the Minister of Territorial Administration and Infrastructure of RA, dated 18.11.2022</w:t>
        </w:r>
      </w:hyperlink>
      <w:r w:rsidRPr="002F0E71">
        <w:rPr>
          <w:rFonts w:ascii="Arial" w:eastAsia="Times New Roman" w:hAnsi="Arial" w:cs="Times New Roman"/>
          <w:sz w:val="20"/>
        </w:rPr>
        <w:t>, component may be fitted only if all of the following conditions are met:</w:t>
      </w:r>
    </w:p>
    <w:p w14:paraId="66BC12A9" w14:textId="77777777" w:rsidR="002F0E71" w:rsidRPr="002F0E71" w:rsidRDefault="002F0E71" w:rsidP="007B4CE2">
      <w:pPr>
        <w:numPr>
          <w:ilvl w:val="1"/>
          <w:numId w:val="307"/>
        </w:numPr>
        <w:spacing w:line="276" w:lineRule="auto"/>
        <w:jc w:val="both"/>
        <w:rPr>
          <w:rFonts w:ascii="Arial" w:eastAsia="Times New Roman" w:hAnsi="Arial" w:cs="Times New Roman"/>
          <w:sz w:val="20"/>
        </w:rPr>
      </w:pPr>
      <w:r w:rsidRPr="002F0E71">
        <w:rPr>
          <w:rFonts w:ascii="Arial" w:eastAsia="Times New Roman" w:hAnsi="Arial" w:cs="Times New Roman"/>
          <w:sz w:val="20"/>
        </w:rPr>
        <w:t>it is in a satisfactory condition;</w:t>
      </w:r>
    </w:p>
    <w:p w14:paraId="5824C5FE" w14:textId="09EEEEF4" w:rsidR="002F0E71" w:rsidRPr="002F0E71" w:rsidRDefault="002F0E71" w:rsidP="007B4CE2">
      <w:pPr>
        <w:numPr>
          <w:ilvl w:val="1"/>
          <w:numId w:val="307"/>
        </w:numPr>
        <w:spacing w:line="276" w:lineRule="auto"/>
        <w:jc w:val="both"/>
        <w:rPr>
          <w:rFonts w:ascii="Arial" w:eastAsia="Times New Roman" w:hAnsi="Arial" w:cs="Times New Roman"/>
          <w:sz w:val="20"/>
        </w:rPr>
      </w:pPr>
      <w:r w:rsidRPr="002F0E71">
        <w:rPr>
          <w:rFonts w:ascii="Arial" w:eastAsia="Times New Roman" w:hAnsi="Arial" w:cs="Times New Roman"/>
          <w:sz w:val="20"/>
        </w:rPr>
        <w:t>has been appropriately released to service using a</w:t>
      </w:r>
      <w:r w:rsidRPr="00BD3E17">
        <w:rPr>
          <w:rFonts w:ascii="Arial" w:eastAsia="Times New Roman" w:hAnsi="Arial" w:cs="Times New Roman"/>
          <w:sz w:val="20"/>
        </w:rPr>
        <w:t>n  Form 1</w:t>
      </w:r>
      <w:r w:rsidR="00BD3E17" w:rsidRPr="00BD3E17">
        <w:rPr>
          <w:rFonts w:ascii="Arial" w:eastAsia="Times New Roman" w:hAnsi="Arial" w:cs="Times New Roman"/>
          <w:sz w:val="20"/>
          <w:lang w:val="hy-AM"/>
        </w:rPr>
        <w:t xml:space="preserve"> </w:t>
      </w:r>
      <w:hyperlink r:id="rId109" w:history="1">
        <w:r w:rsidR="00BD3E17" w:rsidRPr="00BD3E17">
          <w:rPr>
            <w:rStyle w:val="Hyperlink"/>
            <w:rFonts w:ascii="Arial" w:hAnsi="Arial" w:cs="Arial"/>
            <w:sz w:val="20"/>
          </w:rPr>
          <w:t>the order N 20-N of the Minister of Territorial Administration and Infrastructure of RA, dated 18.11.2022</w:t>
        </w:r>
      </w:hyperlink>
      <w:r w:rsidR="00BD3E17" w:rsidRPr="002F0E71">
        <w:rPr>
          <w:rFonts w:ascii="Arial" w:eastAsia="Times New Roman" w:hAnsi="Arial" w:cs="Times New Roman"/>
          <w:sz w:val="20"/>
        </w:rPr>
        <w:t>.</w:t>
      </w:r>
      <w:r w:rsidRPr="002F0E71">
        <w:rPr>
          <w:rFonts w:ascii="Arial" w:eastAsia="Times New Roman" w:hAnsi="Arial" w:cs="Times New Roman"/>
          <w:sz w:val="20"/>
        </w:rPr>
        <w:t xml:space="preserve"> as set out in Appendix II of Annex I (Part-M), or equivalent;</w:t>
      </w:r>
    </w:p>
    <w:p w14:paraId="15CC90FF" w14:textId="48150400" w:rsidR="002F0E71" w:rsidRPr="002F0E71" w:rsidRDefault="002F0E71" w:rsidP="007B4CE2">
      <w:pPr>
        <w:numPr>
          <w:ilvl w:val="1"/>
          <w:numId w:val="307"/>
        </w:numPr>
        <w:spacing w:line="276" w:lineRule="auto"/>
        <w:jc w:val="both"/>
        <w:rPr>
          <w:rFonts w:ascii="Arial" w:eastAsia="Times New Roman" w:hAnsi="Arial" w:cs="Times New Roman"/>
          <w:sz w:val="20"/>
        </w:rPr>
      </w:pPr>
      <w:r w:rsidRPr="002F0E71">
        <w:rPr>
          <w:rFonts w:ascii="Arial" w:eastAsia="Times New Roman" w:hAnsi="Arial" w:cs="Times New Roman"/>
          <w:sz w:val="20"/>
        </w:rPr>
        <w:t xml:space="preserve">has been marked in accordance with Subpart Q of Annex I (Part-21) to Regulation (EU) No </w:t>
      </w:r>
      <w:hyperlink r:id="rId110" w:history="1">
        <w:r w:rsidR="003D723D">
          <w:rPr>
            <w:rStyle w:val="Hyperlink"/>
            <w:rFonts w:ascii="Arial" w:hAnsi="Arial" w:cs="Arial"/>
            <w:sz w:val="20"/>
          </w:rPr>
          <w:t>the order N 20-N of the Minister of Territorial Administration and Infrastructure of RA, dated 18.11.2022</w:t>
        </w:r>
      </w:hyperlink>
      <w:r w:rsidRPr="002F0E71">
        <w:rPr>
          <w:rFonts w:ascii="Arial" w:eastAsia="Times New Roman" w:hAnsi="Arial" w:cs="Times New Roman"/>
          <w:sz w:val="20"/>
        </w:rPr>
        <w:t>.</w:t>
      </w:r>
    </w:p>
    <w:p w14:paraId="63E33371" w14:textId="77777777" w:rsidR="002F0E71" w:rsidRPr="002F0E71" w:rsidRDefault="002F0E71" w:rsidP="007B4CE2">
      <w:pPr>
        <w:numPr>
          <w:ilvl w:val="0"/>
          <w:numId w:val="307"/>
        </w:numPr>
        <w:spacing w:line="276" w:lineRule="auto"/>
        <w:jc w:val="both"/>
        <w:rPr>
          <w:rFonts w:ascii="Arial" w:eastAsia="Times New Roman" w:hAnsi="Arial" w:cs="Times New Roman"/>
          <w:sz w:val="20"/>
        </w:rPr>
      </w:pPr>
      <w:r w:rsidRPr="002F0E71">
        <w:rPr>
          <w:rFonts w:ascii="Arial" w:eastAsia="Times New Roman" w:hAnsi="Arial" w:cs="Times New Roman"/>
          <w:sz w:val="20"/>
        </w:rPr>
        <w:t>Prior to the installation of a component on an aircraft, the person or approved maintenance organisation shall ensure that the particular component is eligible to be fitted if different modifications or AD configurations are applicable.</w:t>
      </w:r>
    </w:p>
    <w:p w14:paraId="1E3967B8" w14:textId="77777777" w:rsidR="002F0E71" w:rsidRPr="002F0E71" w:rsidRDefault="002F0E71" w:rsidP="007B4CE2">
      <w:pPr>
        <w:numPr>
          <w:ilvl w:val="0"/>
          <w:numId w:val="307"/>
        </w:numPr>
        <w:spacing w:line="276" w:lineRule="auto"/>
        <w:jc w:val="both"/>
        <w:rPr>
          <w:rFonts w:ascii="Arial" w:eastAsia="Times New Roman" w:hAnsi="Arial" w:cs="Times New Roman"/>
          <w:sz w:val="20"/>
        </w:rPr>
      </w:pPr>
      <w:r w:rsidRPr="002F0E71">
        <w:rPr>
          <w:rFonts w:ascii="Arial" w:eastAsia="Times New Roman" w:hAnsi="Arial" w:cs="Times New Roman"/>
          <w:sz w:val="20"/>
        </w:rPr>
        <w:t>Standard parts shall only be fitted to an aircraft or component when the maintenance data specifies those particular standard parts. Standard parts shall only be fitted when accompanied by evidence of conformity to the applicable standard and has appropriate traceability.</w:t>
      </w:r>
    </w:p>
    <w:p w14:paraId="1B4CC660" w14:textId="77777777" w:rsidR="002F0E71" w:rsidRPr="002F0E71" w:rsidRDefault="002F0E71" w:rsidP="007B4CE2">
      <w:pPr>
        <w:numPr>
          <w:ilvl w:val="0"/>
          <w:numId w:val="307"/>
        </w:numPr>
        <w:spacing w:line="276" w:lineRule="auto"/>
        <w:jc w:val="both"/>
        <w:rPr>
          <w:rFonts w:ascii="Arial" w:eastAsia="Times New Roman" w:hAnsi="Arial" w:cs="Times New Roman"/>
          <w:sz w:val="20"/>
        </w:rPr>
      </w:pPr>
      <w:r w:rsidRPr="002F0E71">
        <w:rPr>
          <w:rFonts w:ascii="Arial" w:eastAsia="Times New Roman" w:hAnsi="Arial" w:cs="Times New Roman"/>
          <w:sz w:val="20"/>
        </w:rPr>
        <w:t>Raw or consumable material shall only be used on an aircraft or component provided that:</w:t>
      </w:r>
    </w:p>
    <w:p w14:paraId="6B63241E" w14:textId="77777777" w:rsidR="002F0E71" w:rsidRPr="002F0E71" w:rsidRDefault="002F0E71" w:rsidP="007B4CE2">
      <w:pPr>
        <w:numPr>
          <w:ilvl w:val="1"/>
          <w:numId w:val="307"/>
        </w:numPr>
        <w:spacing w:line="276" w:lineRule="auto"/>
        <w:jc w:val="both"/>
        <w:rPr>
          <w:rFonts w:ascii="Arial" w:eastAsia="Times New Roman" w:hAnsi="Arial" w:cs="Times New Roman"/>
          <w:sz w:val="20"/>
        </w:rPr>
      </w:pPr>
      <w:r w:rsidRPr="002F0E71">
        <w:rPr>
          <w:rFonts w:ascii="Arial" w:eastAsia="Times New Roman" w:hAnsi="Arial" w:cs="Times New Roman"/>
          <w:sz w:val="20"/>
        </w:rPr>
        <w:t>the aircraft or component manufacturer allows for the use of raw or consumable material in relevant maintenance data or as specified in Subpart F of Annex I (Part-M), Annex II (Part-145) or Annex Vd (Part-CAO).</w:t>
      </w:r>
    </w:p>
    <w:p w14:paraId="556D8B88" w14:textId="77777777" w:rsidR="002F0E71" w:rsidRPr="002F0E71" w:rsidRDefault="002F0E71" w:rsidP="007B4CE2">
      <w:pPr>
        <w:numPr>
          <w:ilvl w:val="1"/>
          <w:numId w:val="307"/>
        </w:numPr>
        <w:spacing w:line="276" w:lineRule="auto"/>
        <w:jc w:val="both"/>
        <w:rPr>
          <w:rFonts w:ascii="Arial" w:eastAsia="Times New Roman" w:hAnsi="Arial" w:cs="Times New Roman"/>
          <w:sz w:val="20"/>
        </w:rPr>
      </w:pPr>
      <w:r w:rsidRPr="002F0E71">
        <w:rPr>
          <w:rFonts w:ascii="Arial" w:eastAsia="Times New Roman" w:hAnsi="Arial" w:cs="Times New Roman"/>
          <w:sz w:val="20"/>
        </w:rPr>
        <w:t>such material meets the required material specification and has appropriate traceability.</w:t>
      </w:r>
    </w:p>
    <w:p w14:paraId="668ECB54" w14:textId="77777777" w:rsidR="002F0E71" w:rsidRPr="002F0E71" w:rsidRDefault="002F0E71" w:rsidP="007B4CE2">
      <w:pPr>
        <w:numPr>
          <w:ilvl w:val="1"/>
          <w:numId w:val="307"/>
        </w:numPr>
        <w:spacing w:line="276" w:lineRule="auto"/>
        <w:jc w:val="both"/>
        <w:rPr>
          <w:rFonts w:ascii="Arial" w:eastAsia="Times New Roman" w:hAnsi="Arial" w:cs="Times New Roman"/>
          <w:sz w:val="20"/>
        </w:rPr>
      </w:pPr>
      <w:r w:rsidRPr="002F0E71">
        <w:rPr>
          <w:rFonts w:ascii="Arial" w:eastAsia="Times New Roman" w:hAnsi="Arial" w:cs="Times New Roman"/>
          <w:sz w:val="20"/>
        </w:rPr>
        <w:t>such material is accompanied by documentation clearly relating to the particular material and containing a conformity-to-specification statement as well as the manufacturing and supplier source.</w:t>
      </w:r>
    </w:p>
    <w:p w14:paraId="0F1B3713" w14:textId="77777777" w:rsidR="002F0E71" w:rsidRPr="002F0E71" w:rsidRDefault="002F0E71" w:rsidP="007B4CE2">
      <w:pPr>
        <w:numPr>
          <w:ilvl w:val="0"/>
          <w:numId w:val="307"/>
        </w:numPr>
        <w:spacing w:line="276" w:lineRule="auto"/>
        <w:jc w:val="both"/>
        <w:rPr>
          <w:rFonts w:ascii="Arial" w:eastAsia="Times New Roman" w:hAnsi="Arial" w:cs="Times New Roman"/>
          <w:sz w:val="20"/>
        </w:rPr>
      </w:pPr>
      <w:r w:rsidRPr="002F0E71">
        <w:rPr>
          <w:rFonts w:ascii="Arial" w:eastAsia="Times New Roman" w:hAnsi="Arial" w:cs="Times New Roman"/>
          <w:sz w:val="20"/>
        </w:rPr>
        <w:t>In case of balloons, where different combinations of baskets, burners and fuel cylinders are possible for a particular envelope, the person installing them shall ensure that:</w:t>
      </w:r>
    </w:p>
    <w:p w14:paraId="221C9A69" w14:textId="77777777" w:rsidR="002F0E71" w:rsidRPr="002F0E71" w:rsidRDefault="002F0E71" w:rsidP="007B4CE2">
      <w:pPr>
        <w:numPr>
          <w:ilvl w:val="0"/>
          <w:numId w:val="306"/>
        </w:numPr>
        <w:spacing w:line="276" w:lineRule="auto"/>
        <w:jc w:val="both"/>
        <w:rPr>
          <w:rFonts w:ascii="Arial" w:eastAsia="Times New Roman" w:hAnsi="Arial" w:cs="Times New Roman"/>
          <w:sz w:val="20"/>
        </w:rPr>
      </w:pPr>
      <w:r w:rsidRPr="002F0E71">
        <w:rPr>
          <w:rFonts w:ascii="Arial" w:eastAsia="Times New Roman" w:hAnsi="Arial" w:cs="Times New Roman"/>
          <w:sz w:val="20"/>
        </w:rPr>
        <w:t>the basket, burner and/or fuel cylinders are eligible for installation according to the TCDS or other documents referred to in the TCDS;</w:t>
      </w:r>
    </w:p>
    <w:p w14:paraId="3E5C8510" w14:textId="77777777" w:rsidR="002F0E71" w:rsidRPr="002F0E71" w:rsidRDefault="002F0E71" w:rsidP="007B4CE2">
      <w:pPr>
        <w:numPr>
          <w:ilvl w:val="0"/>
          <w:numId w:val="306"/>
        </w:numPr>
        <w:spacing w:line="276" w:lineRule="auto"/>
        <w:jc w:val="both"/>
        <w:rPr>
          <w:rFonts w:ascii="Arial" w:eastAsia="Times New Roman" w:hAnsi="Arial" w:cs="Times New Roman"/>
          <w:sz w:val="20"/>
        </w:rPr>
      </w:pPr>
      <w:r w:rsidRPr="002F0E71">
        <w:rPr>
          <w:rFonts w:ascii="Arial" w:eastAsia="Times New Roman" w:hAnsi="Arial" w:cs="Times New Roman"/>
          <w:sz w:val="20"/>
        </w:rPr>
        <w:t>the basket, burner and/or fuel cylinders are in serviceable condition and have the appropriate maintenance records.</w:t>
      </w:r>
    </w:p>
    <w:p w14:paraId="7E698542" w14:textId="77777777" w:rsidR="002F0E71" w:rsidRPr="002F0E71" w:rsidRDefault="002F0E71" w:rsidP="002F0E71">
      <w:pPr>
        <w:keepNext/>
        <w:keepLines/>
        <w:widowControl/>
        <w:shd w:val="clear" w:color="auto" w:fill="339966"/>
        <w:autoSpaceDE/>
        <w:autoSpaceDN/>
        <w:spacing w:before="160" w:after="120" w:line="259" w:lineRule="auto"/>
        <w:outlineLvl w:val="4"/>
        <w:rPr>
          <w:rFonts w:ascii="Arial" w:eastAsia="Times New Roman" w:hAnsi="Arial" w:cs="Times New Roman"/>
          <w:b/>
          <w:color w:val="FFFFFF"/>
          <w:sz w:val="24"/>
        </w:rPr>
      </w:pPr>
      <w:bookmarkStart w:id="887" w:name="GM1_ML.A.501__Classification_and_install"/>
      <w:bookmarkStart w:id="888" w:name="_bookmark371"/>
      <w:bookmarkStart w:id="889" w:name="_Toc153137536"/>
      <w:bookmarkEnd w:id="887"/>
      <w:bookmarkEnd w:id="888"/>
      <w:r w:rsidRPr="002F0E71">
        <w:rPr>
          <w:rFonts w:ascii="Arial" w:eastAsia="Times New Roman" w:hAnsi="Arial" w:cs="Times New Roman"/>
          <w:b/>
          <w:color w:val="FFFFFF"/>
          <w:sz w:val="24"/>
        </w:rPr>
        <w:t>GM1 ML.A.501 Classification and installation</w:t>
      </w:r>
      <w:bookmarkEnd w:id="889"/>
    </w:p>
    <w:p w14:paraId="312A3C00" w14:textId="07EB4D3E" w:rsidR="002F0E71" w:rsidRPr="00BD3E17" w:rsidRDefault="002F0E71" w:rsidP="007B4CE2">
      <w:pPr>
        <w:spacing w:line="276" w:lineRule="auto"/>
        <w:jc w:val="both"/>
        <w:rPr>
          <w:rFonts w:ascii="Arial" w:eastAsia="Times New Roman" w:hAnsi="Arial" w:cs="Times New Roman"/>
          <w:sz w:val="20"/>
          <w:lang w:val="hy-AM"/>
        </w:rPr>
      </w:pPr>
      <w:r w:rsidRPr="002F0E71">
        <w:rPr>
          <w:rFonts w:ascii="Arial" w:eastAsia="Times New Roman" w:hAnsi="Arial" w:cs="Times New Roman"/>
          <w:sz w:val="20"/>
        </w:rPr>
        <w:t xml:space="preserve">Components accepted by the owner in accordance with </w:t>
      </w:r>
      <w:r w:rsidR="00F82CF7">
        <w:rPr>
          <w:rFonts w:ascii="Arial" w:eastAsia="Times New Roman" w:hAnsi="Arial" w:cs="Times New Roman"/>
          <w:sz w:val="20"/>
        </w:rPr>
        <w:t xml:space="preserve">airworthiness requirements specified in </w:t>
      </w:r>
      <w:hyperlink r:id="rId111" w:history="1">
        <w:r w:rsidR="00F82CF7" w:rsidRPr="008037EB">
          <w:rPr>
            <w:rStyle w:val="Hyperlink"/>
            <w:rFonts w:ascii="Arial" w:eastAsia="Times New Roman" w:hAnsi="Arial" w:cs="Times New Roman"/>
            <w:sz w:val="20"/>
          </w:rPr>
          <w:t>the order 20-N of the Minister of Territorial Administration and Infrastructure of RA, dated 18.11.2022</w:t>
        </w:r>
      </w:hyperlink>
      <w:r w:rsidRPr="002F0E71">
        <w:rPr>
          <w:rFonts w:ascii="Arial" w:eastAsia="Times New Roman" w:hAnsi="Arial" w:cs="Times New Roman"/>
          <w:sz w:val="20"/>
        </w:rPr>
        <w:t xml:space="preserve">, or standard parts are eligible for installation without </w:t>
      </w:r>
      <w:r w:rsidRPr="00BD3E17">
        <w:rPr>
          <w:rFonts w:ascii="Arial" w:eastAsia="Times New Roman" w:hAnsi="Arial" w:cs="Times New Roman"/>
          <w:sz w:val="20"/>
        </w:rPr>
        <w:t>an EASA Form 1</w:t>
      </w:r>
      <w:r w:rsidR="00244E1F">
        <w:rPr>
          <w:rFonts w:ascii="Arial" w:eastAsia="Times New Roman" w:hAnsi="Arial" w:cs="Times New Roman"/>
          <w:sz w:val="20"/>
        </w:rPr>
        <w:t xml:space="preserve"> </w:t>
      </w:r>
      <w:r w:rsidR="00244E1F">
        <w:rPr>
          <w:rFonts w:ascii="Arial" w:hAnsi="Arial" w:cs="Arial"/>
          <w:sz w:val="20"/>
        </w:rPr>
        <w:t>(</w:t>
      </w:r>
      <w:hyperlink r:id="rId112" w:history="1">
        <w:r w:rsidR="00244E1F" w:rsidRPr="00244E1F">
          <w:rPr>
            <w:rStyle w:val="Hyperlink"/>
            <w:rFonts w:ascii="Arial" w:hAnsi="Arial" w:cs="Arial"/>
            <w:sz w:val="20"/>
            <w:szCs w:val="20"/>
          </w:rPr>
          <w:t>the order N 20-N of the Minister of Territorial Administration and Infrastructure of RA, dated 18.11.2022</w:t>
        </w:r>
      </w:hyperlink>
      <w:r w:rsidR="00244E1F">
        <w:rPr>
          <w:rFonts w:ascii="Arial" w:hAnsi="Arial" w:cs="Arial"/>
          <w:sz w:val="20"/>
        </w:rPr>
        <w:t>)</w:t>
      </w:r>
      <w:r w:rsidR="00244E1F" w:rsidRPr="002D1024">
        <w:rPr>
          <w:rFonts w:ascii="Arial" w:hAnsi="Arial" w:cs="Arial"/>
          <w:sz w:val="20"/>
        </w:rPr>
        <w:t>,</w:t>
      </w:r>
      <w:r w:rsidRPr="00BD3E17">
        <w:rPr>
          <w:rFonts w:ascii="Arial" w:eastAsia="Times New Roman" w:hAnsi="Arial" w:cs="Times New Roman"/>
          <w:sz w:val="20"/>
        </w:rPr>
        <w:t>.</w:t>
      </w:r>
      <w:r w:rsidR="00BD3E17">
        <w:rPr>
          <w:rFonts w:ascii="Arial" w:eastAsia="Times New Roman" w:hAnsi="Arial" w:cs="Times New Roman"/>
          <w:sz w:val="20"/>
          <w:lang w:val="hy-AM"/>
        </w:rPr>
        <w:t xml:space="preserve"> </w:t>
      </w:r>
    </w:p>
    <w:p w14:paraId="3C4C8BC4" w14:textId="77777777" w:rsidR="002F0E71" w:rsidRPr="002F0E71" w:rsidRDefault="002F0E71" w:rsidP="002F0E71">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890" w:name="AMC1_ML.A.501(a)(ii)__Classification_and"/>
      <w:bookmarkStart w:id="891" w:name="_bookmark372"/>
      <w:bookmarkStart w:id="892" w:name="_Toc153137537"/>
      <w:bookmarkEnd w:id="890"/>
      <w:bookmarkEnd w:id="891"/>
      <w:r w:rsidRPr="002F0E71">
        <w:rPr>
          <w:rFonts w:ascii="Arial" w:eastAsia="Times New Roman" w:hAnsi="Arial" w:cs="Times New Roman"/>
          <w:b/>
          <w:color w:val="FFFFFF"/>
          <w:sz w:val="24"/>
        </w:rPr>
        <w:t>AMC1 ML.A.501(a)(ii) Classification and installation</w:t>
      </w:r>
      <w:bookmarkEnd w:id="892"/>
    </w:p>
    <w:p w14:paraId="2F899F5C" w14:textId="0CEAB0F3" w:rsidR="00BD3E17" w:rsidRPr="00BD3E17" w:rsidRDefault="002F0E71" w:rsidP="00BD3E17">
      <w:pPr>
        <w:spacing w:line="276" w:lineRule="auto"/>
        <w:jc w:val="both"/>
        <w:rPr>
          <w:rFonts w:ascii="Arial" w:eastAsia="Times New Roman" w:hAnsi="Arial" w:cs="Times New Roman"/>
          <w:sz w:val="20"/>
          <w:lang w:val="hy-AM"/>
        </w:rPr>
      </w:pPr>
      <w:r w:rsidRPr="00BD3E17">
        <w:rPr>
          <w:rFonts w:ascii="Arial" w:eastAsia="Times New Roman" w:hAnsi="Arial" w:cs="Times New Roman"/>
          <w:b/>
          <w:sz w:val="20"/>
        </w:rPr>
        <w:t>EASA FORM 1 OR EQUIVALENT</w:t>
      </w:r>
      <w:r w:rsidR="00BD3E17">
        <w:rPr>
          <w:rFonts w:ascii="Arial" w:eastAsia="Times New Roman" w:hAnsi="Arial" w:cs="Times New Roman"/>
          <w:b/>
          <w:sz w:val="20"/>
          <w:lang w:val="hy-AM"/>
        </w:rPr>
        <w:t xml:space="preserve"> </w:t>
      </w:r>
    </w:p>
    <w:p w14:paraId="5F9AA7C8" w14:textId="77777777" w:rsidR="002F0E71" w:rsidRPr="00BD3E17" w:rsidRDefault="002F0E71" w:rsidP="007B4CE2">
      <w:pPr>
        <w:spacing w:line="276" w:lineRule="auto"/>
        <w:jc w:val="both"/>
        <w:rPr>
          <w:rFonts w:ascii="Arial" w:eastAsia="Times New Roman" w:hAnsi="Arial" w:cs="Times New Roman"/>
          <w:b/>
          <w:sz w:val="20"/>
          <w:lang w:val="hy-AM"/>
        </w:rPr>
      </w:pPr>
    </w:p>
    <w:p w14:paraId="4B238BBB" w14:textId="7E72F060" w:rsidR="002F0E71" w:rsidRPr="002F0E71" w:rsidRDefault="002F0E71" w:rsidP="007B4CE2">
      <w:pPr>
        <w:spacing w:line="276" w:lineRule="auto"/>
        <w:jc w:val="both"/>
        <w:rPr>
          <w:rFonts w:ascii="Arial" w:eastAsia="Times New Roman" w:hAnsi="Arial" w:cs="Times New Roman"/>
          <w:sz w:val="20"/>
        </w:rPr>
      </w:pPr>
      <w:r w:rsidRPr="002F0E71">
        <w:rPr>
          <w:rFonts w:ascii="Arial" w:eastAsia="Times New Roman" w:hAnsi="Arial" w:cs="Times New Roman"/>
          <w:sz w:val="20"/>
        </w:rPr>
        <w:t>A document equivalent to an EASA Form 1</w:t>
      </w:r>
      <w:r w:rsidR="00244E1F">
        <w:rPr>
          <w:rFonts w:ascii="Arial" w:eastAsia="Times New Roman" w:hAnsi="Arial" w:cs="Times New Roman"/>
          <w:sz w:val="20"/>
        </w:rPr>
        <w:t xml:space="preserve"> </w:t>
      </w:r>
      <w:r w:rsidR="00244E1F">
        <w:rPr>
          <w:rFonts w:ascii="Arial" w:hAnsi="Arial" w:cs="Arial"/>
          <w:sz w:val="20"/>
        </w:rPr>
        <w:t>(</w:t>
      </w:r>
      <w:hyperlink r:id="rId113" w:history="1">
        <w:r w:rsidR="00244E1F" w:rsidRPr="00244E1F">
          <w:rPr>
            <w:rStyle w:val="Hyperlink"/>
            <w:rFonts w:ascii="Arial" w:hAnsi="Arial" w:cs="Arial"/>
            <w:sz w:val="20"/>
            <w:szCs w:val="20"/>
          </w:rPr>
          <w:t>the order N 20-N of the Minister of Territorial Administration and Infrastructure of RA, dated 18.11.2022</w:t>
        </w:r>
      </w:hyperlink>
      <w:r w:rsidR="00244E1F">
        <w:rPr>
          <w:rFonts w:ascii="Arial" w:hAnsi="Arial" w:cs="Arial"/>
          <w:sz w:val="20"/>
        </w:rPr>
        <w:t>)</w:t>
      </w:r>
      <w:r w:rsidR="00244E1F" w:rsidRPr="002D1024">
        <w:rPr>
          <w:rFonts w:ascii="Arial" w:hAnsi="Arial" w:cs="Arial"/>
          <w:sz w:val="20"/>
        </w:rPr>
        <w:t xml:space="preserve">, </w:t>
      </w:r>
      <w:r w:rsidRPr="002F0E71">
        <w:rPr>
          <w:rFonts w:ascii="Arial" w:eastAsia="Times New Roman" w:hAnsi="Arial" w:cs="Times New Roman"/>
          <w:sz w:val="20"/>
        </w:rPr>
        <w:t xml:space="preserve"> may be:</w:t>
      </w:r>
    </w:p>
    <w:p w14:paraId="752FEAC7" w14:textId="2B5589D2" w:rsidR="002F0E71" w:rsidRPr="002F0E71" w:rsidRDefault="00F82CF7" w:rsidP="007B4CE2">
      <w:pPr>
        <w:numPr>
          <w:ilvl w:val="0"/>
          <w:numId w:val="308"/>
        </w:numPr>
        <w:spacing w:line="276" w:lineRule="auto"/>
        <w:jc w:val="both"/>
        <w:rPr>
          <w:rFonts w:ascii="Arial" w:eastAsia="Times New Roman" w:hAnsi="Arial" w:cs="Times New Roman"/>
          <w:sz w:val="20"/>
        </w:rPr>
      </w:pPr>
      <w:r>
        <w:rPr>
          <w:rFonts w:ascii="Arial" w:eastAsia="Times New Roman" w:hAnsi="Arial" w:cs="Times New Roman"/>
          <w:sz w:val="20"/>
        </w:rPr>
        <w:t>Interstate Aviation Committee DP 4-2004 and GOST 27693-88</w:t>
      </w:r>
      <w:r w:rsidR="002F0E71" w:rsidRPr="002F0E71">
        <w:rPr>
          <w:rFonts w:ascii="Arial" w:eastAsia="Times New Roman" w:hAnsi="Arial" w:cs="Times New Roman"/>
          <w:sz w:val="20"/>
        </w:rPr>
        <w:t>;</w:t>
      </w:r>
    </w:p>
    <w:p w14:paraId="4A4EB89F" w14:textId="6E5B8C89" w:rsidR="002F0E71" w:rsidRDefault="006A0FB7" w:rsidP="007B4CE2">
      <w:pPr>
        <w:numPr>
          <w:ilvl w:val="0"/>
          <w:numId w:val="308"/>
        </w:numPr>
        <w:spacing w:line="276" w:lineRule="auto"/>
        <w:jc w:val="both"/>
        <w:rPr>
          <w:rFonts w:ascii="Arial" w:eastAsia="Times New Roman" w:hAnsi="Arial" w:cs="Times New Roman"/>
          <w:sz w:val="20"/>
        </w:rPr>
      </w:pPr>
      <w:r>
        <w:rPr>
          <w:rFonts w:ascii="Arial" w:eastAsia="Times New Roman" w:hAnsi="Arial" w:cs="Times New Roman"/>
          <w:sz w:val="20"/>
        </w:rPr>
        <w:t>Federal Aviation Authorities FAA 8130-3;</w:t>
      </w:r>
    </w:p>
    <w:p w14:paraId="762B4383" w14:textId="064417F8" w:rsidR="006A0FB7" w:rsidRDefault="006A0FB7" w:rsidP="007B4CE2">
      <w:pPr>
        <w:numPr>
          <w:ilvl w:val="0"/>
          <w:numId w:val="308"/>
        </w:numPr>
        <w:spacing w:line="276" w:lineRule="auto"/>
        <w:jc w:val="both"/>
        <w:rPr>
          <w:rFonts w:ascii="Arial" w:eastAsia="Times New Roman" w:hAnsi="Arial" w:cs="Times New Roman"/>
          <w:sz w:val="20"/>
        </w:rPr>
      </w:pPr>
      <w:r>
        <w:rPr>
          <w:rFonts w:ascii="Arial" w:eastAsia="Times New Roman" w:hAnsi="Arial" w:cs="Times New Roman"/>
          <w:sz w:val="20"/>
        </w:rPr>
        <w:t xml:space="preserve">TCA Form 24-0078; </w:t>
      </w:r>
    </w:p>
    <w:p w14:paraId="565581B9" w14:textId="34460FA9" w:rsidR="006A0FB7" w:rsidRPr="006A0FB7" w:rsidRDefault="006A0FB7" w:rsidP="006A0FB7">
      <w:pPr>
        <w:numPr>
          <w:ilvl w:val="0"/>
          <w:numId w:val="308"/>
        </w:numPr>
        <w:spacing w:line="276" w:lineRule="auto"/>
        <w:jc w:val="both"/>
        <w:rPr>
          <w:rFonts w:ascii="Arial" w:eastAsia="Times New Roman" w:hAnsi="Arial" w:cs="Times New Roman"/>
          <w:sz w:val="20"/>
        </w:rPr>
      </w:pPr>
      <w:r>
        <w:rPr>
          <w:rFonts w:ascii="Arial" w:eastAsia="Times New Roman" w:hAnsi="Arial" w:cs="Times New Roman"/>
          <w:sz w:val="20"/>
        </w:rPr>
        <w:t>UK CAA Form 1; and</w:t>
      </w:r>
    </w:p>
    <w:p w14:paraId="280D2822" w14:textId="12B7AFD5" w:rsidR="002F7048" w:rsidRPr="007B4CE2" w:rsidRDefault="002F0E71" w:rsidP="002F7048">
      <w:pPr>
        <w:numPr>
          <w:ilvl w:val="0"/>
          <w:numId w:val="308"/>
        </w:numPr>
        <w:spacing w:line="276" w:lineRule="auto"/>
        <w:jc w:val="both"/>
        <w:rPr>
          <w:rFonts w:ascii="Arial" w:eastAsia="Times New Roman" w:hAnsi="Arial" w:cs="Times New Roman"/>
          <w:sz w:val="20"/>
        </w:rPr>
      </w:pPr>
      <w:r w:rsidRPr="002F0E71">
        <w:rPr>
          <w:rFonts w:ascii="Arial" w:eastAsia="Times New Roman" w:hAnsi="Arial" w:cs="Times New Roman"/>
          <w:sz w:val="20"/>
        </w:rPr>
        <w:t xml:space="preserve">a release document issued under the conditions described in Article 4(4) of </w:t>
      </w:r>
      <w:hyperlink r:id="rId114" w:history="1">
        <w:r w:rsidR="00550407">
          <w:rPr>
            <w:rStyle w:val="Hyperlink"/>
            <w:rFonts w:ascii="Arial" w:hAnsi="Arial" w:cs="Arial"/>
            <w:sz w:val="20"/>
          </w:rPr>
          <w:t>the order N 10-N of the Minister of Territorial Administration and Infrastructure of RA, dated 01.06.2022</w:t>
        </w:r>
      </w:hyperlink>
      <w:r w:rsidRPr="002F0E71">
        <w:rPr>
          <w:rFonts w:ascii="Arial" w:eastAsia="Times New Roman" w:hAnsi="Arial" w:cs="Times New Roman"/>
          <w:sz w:val="20"/>
        </w:rPr>
        <w:t>.</w:t>
      </w:r>
    </w:p>
    <w:p w14:paraId="1BC9788B" w14:textId="77777777" w:rsidR="002F7048" w:rsidRPr="002F7048" w:rsidRDefault="002F7048" w:rsidP="002F7048">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893" w:name="AMC1_ML.A.501(e)__Classification_and_ins"/>
      <w:bookmarkStart w:id="894" w:name="_bookmark373"/>
      <w:bookmarkStart w:id="895" w:name="_Toc153137538"/>
      <w:bookmarkEnd w:id="893"/>
      <w:bookmarkEnd w:id="894"/>
      <w:r w:rsidRPr="002F7048">
        <w:rPr>
          <w:rFonts w:ascii="Arial" w:eastAsia="Times New Roman" w:hAnsi="Arial" w:cs="Times New Roman"/>
          <w:b/>
          <w:color w:val="FFFFFF"/>
          <w:sz w:val="24"/>
        </w:rPr>
        <w:t>AMC1 ML.A.501(e) Classification and installation</w:t>
      </w:r>
      <w:bookmarkEnd w:id="895"/>
    </w:p>
    <w:p w14:paraId="0BBD90C1" w14:textId="454D2B88" w:rsidR="002F7048" w:rsidRPr="007B4CE2" w:rsidRDefault="002F7048" w:rsidP="007B4CE2">
      <w:pPr>
        <w:spacing w:line="276" w:lineRule="auto"/>
        <w:jc w:val="both"/>
        <w:rPr>
          <w:rFonts w:ascii="Arial" w:eastAsia="Times New Roman" w:hAnsi="Arial" w:cs="Times New Roman"/>
          <w:b/>
          <w:sz w:val="20"/>
        </w:rPr>
      </w:pPr>
      <w:r w:rsidRPr="002F7048">
        <w:rPr>
          <w:rFonts w:ascii="Arial" w:eastAsia="Times New Roman" w:hAnsi="Arial" w:cs="Times New Roman"/>
          <w:b/>
          <w:sz w:val="20"/>
        </w:rPr>
        <w:t>BALLOONS</w:t>
      </w:r>
    </w:p>
    <w:p w14:paraId="44C84595" w14:textId="2BE12D96" w:rsidR="00B24EC4" w:rsidRPr="002F7048" w:rsidRDefault="002F7048" w:rsidP="007B4CE2">
      <w:pPr>
        <w:spacing w:line="276" w:lineRule="auto"/>
        <w:jc w:val="both"/>
        <w:rPr>
          <w:rFonts w:ascii="Arial" w:eastAsia="Times New Roman" w:hAnsi="Arial" w:cs="Times New Roman"/>
          <w:sz w:val="20"/>
        </w:rPr>
      </w:pPr>
      <w:r w:rsidRPr="002F7048">
        <w:rPr>
          <w:rFonts w:ascii="Arial" w:eastAsia="Times New Roman" w:hAnsi="Arial" w:cs="Times New Roman"/>
          <w:sz w:val="20"/>
        </w:rPr>
        <w:lastRenderedPageBreak/>
        <w:t>Baskets, burners and fuel cylinders are components which are often interchanged between different balloons. Furthermore, they are often removed/installed by the pilot-owner (or by other persons when such removal/installation is not considered maintenance because the task is described in the AFM).</w:t>
      </w:r>
    </w:p>
    <w:p w14:paraId="09745AA4" w14:textId="67540F3F" w:rsidR="00B24EC4" w:rsidRPr="002F7048" w:rsidRDefault="002F7048" w:rsidP="007B4CE2">
      <w:pPr>
        <w:spacing w:line="276" w:lineRule="auto"/>
        <w:jc w:val="both"/>
        <w:rPr>
          <w:rFonts w:ascii="Arial" w:eastAsia="Times New Roman" w:hAnsi="Arial" w:cs="Times New Roman"/>
          <w:sz w:val="20"/>
        </w:rPr>
      </w:pPr>
      <w:r w:rsidRPr="002F7048">
        <w:rPr>
          <w:rFonts w:ascii="Arial" w:eastAsia="Times New Roman" w:hAnsi="Arial" w:cs="Times New Roman"/>
          <w:sz w:val="20"/>
        </w:rPr>
        <w:t>As a consequence, an EASA Form 1</w:t>
      </w:r>
      <w:r w:rsidR="00244E1F">
        <w:rPr>
          <w:rFonts w:ascii="Arial" w:eastAsia="Times New Roman" w:hAnsi="Arial" w:cs="Times New Roman"/>
          <w:sz w:val="20"/>
        </w:rPr>
        <w:t xml:space="preserve"> </w:t>
      </w:r>
      <w:r w:rsidR="00244E1F">
        <w:rPr>
          <w:rFonts w:ascii="Arial" w:hAnsi="Arial" w:cs="Arial"/>
          <w:sz w:val="20"/>
        </w:rPr>
        <w:t>(</w:t>
      </w:r>
      <w:hyperlink r:id="rId115" w:history="1">
        <w:r w:rsidR="00244E1F" w:rsidRPr="00244E1F">
          <w:rPr>
            <w:rStyle w:val="Hyperlink"/>
            <w:rFonts w:ascii="Arial" w:hAnsi="Arial" w:cs="Arial"/>
            <w:sz w:val="20"/>
            <w:szCs w:val="20"/>
          </w:rPr>
          <w:t>the order N 20-N of the Minister of Territorial Administration and Infrastructure of RA, dated 18.11.2022</w:t>
        </w:r>
      </w:hyperlink>
      <w:r w:rsidR="00244E1F">
        <w:rPr>
          <w:rFonts w:ascii="Arial" w:hAnsi="Arial" w:cs="Arial"/>
          <w:sz w:val="20"/>
        </w:rPr>
        <w:t>)</w:t>
      </w:r>
      <w:r w:rsidR="00244E1F" w:rsidRPr="002D1024">
        <w:rPr>
          <w:rFonts w:ascii="Arial" w:hAnsi="Arial" w:cs="Arial"/>
          <w:sz w:val="20"/>
        </w:rPr>
        <w:t xml:space="preserve">, </w:t>
      </w:r>
      <w:r w:rsidRPr="002F7048">
        <w:rPr>
          <w:rFonts w:ascii="Arial" w:eastAsia="Times New Roman" w:hAnsi="Arial" w:cs="Times New Roman"/>
          <w:sz w:val="20"/>
        </w:rPr>
        <w:t>does not need to be issued when these components are removed in serviceable condition from a balloon, and can be installed on another balloon as long as the person performing the installation has access to the appropriate maintenance records necessary to establish their serviceable condition. In particular, due attention should be paid to the inspection dates of the various components.</w:t>
      </w:r>
    </w:p>
    <w:p w14:paraId="4FC5EE6A" w14:textId="60A531E5" w:rsidR="002F0E71" w:rsidRDefault="002F7048" w:rsidP="007B4CE2">
      <w:pPr>
        <w:spacing w:line="276" w:lineRule="auto"/>
        <w:jc w:val="both"/>
        <w:rPr>
          <w:rFonts w:ascii="Arial" w:eastAsia="Times New Roman" w:hAnsi="Arial" w:cs="Times New Roman"/>
          <w:sz w:val="20"/>
        </w:rPr>
      </w:pPr>
      <w:r w:rsidRPr="002F7048">
        <w:rPr>
          <w:rFonts w:ascii="Arial" w:eastAsia="Times New Roman" w:hAnsi="Arial" w:cs="Times New Roman"/>
          <w:sz w:val="20"/>
        </w:rPr>
        <w:t>This does not supersede the requirement to release any maintenance performed on such components either on an EASA Form 1</w:t>
      </w:r>
      <w:r w:rsidR="00244E1F">
        <w:rPr>
          <w:rFonts w:ascii="Arial" w:eastAsia="Times New Roman" w:hAnsi="Arial" w:cs="Times New Roman"/>
          <w:sz w:val="20"/>
        </w:rPr>
        <w:t xml:space="preserve"> </w:t>
      </w:r>
      <w:r w:rsidR="00244E1F">
        <w:rPr>
          <w:rFonts w:ascii="Arial" w:hAnsi="Arial" w:cs="Arial"/>
          <w:sz w:val="20"/>
        </w:rPr>
        <w:t>(</w:t>
      </w:r>
      <w:hyperlink r:id="rId116" w:history="1">
        <w:r w:rsidR="00244E1F" w:rsidRPr="00244E1F">
          <w:rPr>
            <w:rStyle w:val="Hyperlink"/>
            <w:rFonts w:ascii="Arial" w:hAnsi="Arial" w:cs="Arial"/>
            <w:sz w:val="20"/>
            <w:szCs w:val="20"/>
          </w:rPr>
          <w:t>the order N 20-N of the Minister of Territorial Administration and Infrastructure of RA, dated 18.11.2022</w:t>
        </w:r>
      </w:hyperlink>
      <w:r w:rsidR="00244E1F">
        <w:rPr>
          <w:rFonts w:ascii="Arial" w:hAnsi="Arial" w:cs="Arial"/>
          <w:sz w:val="20"/>
        </w:rPr>
        <w:t>),</w:t>
      </w:r>
      <w:r w:rsidRPr="002F7048">
        <w:rPr>
          <w:rFonts w:ascii="Arial" w:eastAsia="Times New Roman" w:hAnsi="Arial" w:cs="Times New Roman"/>
          <w:sz w:val="20"/>
        </w:rPr>
        <w:t xml:space="preserve"> or equivalent or on the balloon maintenance log book, as applicable.</w:t>
      </w:r>
    </w:p>
    <w:p w14:paraId="7758321E" w14:textId="77777777" w:rsidR="00B24EC4" w:rsidRPr="00B24EC4" w:rsidRDefault="00B24EC4" w:rsidP="00B24EC4">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896" w:name="_Toc153137539"/>
      <w:r w:rsidRPr="00B24EC4">
        <w:rPr>
          <w:rFonts w:ascii="Arial" w:eastAsia="Times New Roman" w:hAnsi="Arial" w:cs="Times New Roman"/>
          <w:b/>
          <w:iCs/>
          <w:color w:val="FFFFFF"/>
          <w:sz w:val="24"/>
        </w:rPr>
        <w:t>ML.A.502 Component maintenance</w:t>
      </w:r>
      <w:bookmarkEnd w:id="896"/>
      <w:r w:rsidRPr="00B24EC4">
        <w:rPr>
          <w:rFonts w:ascii="Arial" w:eastAsia="Times New Roman" w:hAnsi="Arial" w:cs="Times New Roman"/>
          <w:b/>
          <w:iCs/>
          <w:color w:val="FFFFFF"/>
          <w:sz w:val="24"/>
        </w:rPr>
        <w:tab/>
      </w:r>
    </w:p>
    <w:p w14:paraId="0D87B265" w14:textId="1FA6ED7A" w:rsidR="00B24EC4" w:rsidRPr="00B24EC4" w:rsidRDefault="00B24EC4" w:rsidP="005E7CDD">
      <w:pPr>
        <w:pStyle w:val="ListParagraph"/>
        <w:numPr>
          <w:ilvl w:val="0"/>
          <w:numId w:val="309"/>
        </w:numPr>
        <w:tabs>
          <w:tab w:val="left" w:pos="707"/>
        </w:tabs>
        <w:ind w:right="44"/>
        <w:jc w:val="both"/>
        <w:rPr>
          <w:rFonts w:ascii="Arial" w:hAnsi="Arial" w:cs="Arial"/>
          <w:sz w:val="20"/>
        </w:rPr>
      </w:pPr>
      <w:r w:rsidRPr="00B24EC4">
        <w:rPr>
          <w:rFonts w:ascii="Arial" w:hAnsi="Arial" w:cs="Arial"/>
          <w:sz w:val="20"/>
        </w:rPr>
        <w:t xml:space="preserve">Components accepted by the owner in accordance with </w:t>
      </w:r>
      <w:r w:rsidR="006A0FB7">
        <w:rPr>
          <w:rFonts w:ascii="Arial" w:eastAsia="Times New Roman" w:hAnsi="Arial" w:cs="Times New Roman"/>
          <w:sz w:val="20"/>
        </w:rPr>
        <w:t xml:space="preserve">airworthiness requirements specified in </w:t>
      </w:r>
      <w:hyperlink r:id="rId117" w:history="1">
        <w:r w:rsidR="006A0FB7" w:rsidRPr="001D5FA0">
          <w:rPr>
            <w:rStyle w:val="Hyperlink"/>
            <w:rFonts w:ascii="Arial" w:eastAsia="Times New Roman" w:hAnsi="Arial" w:cs="Times New Roman"/>
            <w:sz w:val="20"/>
          </w:rPr>
          <w:t>the order 20-N of the Minister of Territorial Administration and Infrastructure of RA, dated 18.11.2022</w:t>
        </w:r>
      </w:hyperlink>
      <w:r w:rsidR="003D723D">
        <w:t xml:space="preserve"> </w:t>
      </w:r>
      <w:r w:rsidRPr="00B24EC4">
        <w:rPr>
          <w:rFonts w:ascii="Arial" w:hAnsi="Arial" w:cs="Arial"/>
          <w:sz w:val="20"/>
        </w:rPr>
        <w:t>shall be maintained by any person or organisation,</w:t>
      </w:r>
      <w:r w:rsidRPr="00B24EC4">
        <w:rPr>
          <w:rFonts w:ascii="Arial" w:hAnsi="Arial" w:cs="Arial"/>
          <w:spacing w:val="1"/>
          <w:sz w:val="20"/>
        </w:rPr>
        <w:t xml:space="preserve"> </w:t>
      </w:r>
      <w:r w:rsidRPr="00B24EC4">
        <w:rPr>
          <w:rFonts w:ascii="Arial" w:hAnsi="Arial" w:cs="Arial"/>
          <w:sz w:val="20"/>
        </w:rPr>
        <w:t xml:space="preserve">subject to reacceptance by the owner under the conditions of </w:t>
      </w:r>
      <w:r w:rsidR="006A0FB7">
        <w:rPr>
          <w:rFonts w:ascii="Arial" w:eastAsia="Times New Roman" w:hAnsi="Arial" w:cs="Times New Roman"/>
          <w:sz w:val="20"/>
        </w:rPr>
        <w:t xml:space="preserve">airworthiness requirements specified </w:t>
      </w:r>
      <w:hyperlink r:id="rId118" w:history="1">
        <w:r w:rsidR="006A0FB7" w:rsidRPr="009131C0">
          <w:rPr>
            <w:rStyle w:val="Hyperlink"/>
            <w:rFonts w:ascii="Arial" w:eastAsia="Times New Roman" w:hAnsi="Arial" w:cs="Times New Roman"/>
            <w:sz w:val="20"/>
          </w:rPr>
          <w:t>in the order 20-N of the Minister of Territorial Administration and Infrastructure of RA, dated 18.11.2022</w:t>
        </w:r>
      </w:hyperlink>
      <w:r w:rsidRPr="00B24EC4">
        <w:rPr>
          <w:rFonts w:ascii="Arial" w:hAnsi="Arial" w:cs="Arial"/>
          <w:sz w:val="20"/>
        </w:rPr>
        <w:t>.</w:t>
      </w:r>
      <w:r w:rsidRPr="00B24EC4">
        <w:rPr>
          <w:rFonts w:ascii="Arial" w:hAnsi="Arial" w:cs="Arial"/>
          <w:spacing w:val="-47"/>
          <w:sz w:val="20"/>
        </w:rPr>
        <w:t xml:space="preserve"> </w:t>
      </w:r>
      <w:r w:rsidRPr="00B24EC4">
        <w:rPr>
          <w:rFonts w:ascii="Arial" w:hAnsi="Arial" w:cs="Arial"/>
          <w:sz w:val="20"/>
        </w:rPr>
        <w:t>This maintenance is not eligible for the issuance of an EASA Form 1</w:t>
      </w:r>
      <w:r w:rsidR="00244E1F">
        <w:rPr>
          <w:rFonts w:ascii="Arial" w:hAnsi="Arial" w:cs="Arial"/>
          <w:sz w:val="20"/>
        </w:rPr>
        <w:t xml:space="preserve"> (</w:t>
      </w:r>
      <w:hyperlink r:id="rId119" w:history="1">
        <w:r w:rsidR="00244E1F" w:rsidRPr="00244E1F">
          <w:rPr>
            <w:rStyle w:val="Hyperlink"/>
            <w:rFonts w:ascii="Arial" w:hAnsi="Arial" w:cs="Arial"/>
            <w:sz w:val="20"/>
            <w:szCs w:val="20"/>
          </w:rPr>
          <w:t>the order N 20-N of the Minister of Territorial Administration and Infrastructure of RA, dated 18.11.2022</w:t>
        </w:r>
      </w:hyperlink>
      <w:r w:rsidR="00244E1F">
        <w:rPr>
          <w:rFonts w:ascii="Arial" w:hAnsi="Arial" w:cs="Arial"/>
          <w:sz w:val="20"/>
        </w:rPr>
        <w:t>)</w:t>
      </w:r>
      <w:r w:rsidR="00244E1F" w:rsidRPr="002D1024">
        <w:rPr>
          <w:rFonts w:ascii="Arial" w:hAnsi="Arial" w:cs="Arial"/>
          <w:sz w:val="20"/>
        </w:rPr>
        <w:t>,</w:t>
      </w:r>
      <w:r w:rsidRPr="00B24EC4">
        <w:rPr>
          <w:rFonts w:ascii="Arial" w:hAnsi="Arial" w:cs="Arial"/>
          <w:sz w:val="20"/>
        </w:rPr>
        <w:t xml:space="preserve"> as set out in Appendix II of</w:t>
      </w:r>
      <w:r w:rsidRPr="00B24EC4">
        <w:rPr>
          <w:rFonts w:ascii="Arial" w:hAnsi="Arial" w:cs="Arial"/>
          <w:spacing w:val="-47"/>
          <w:sz w:val="20"/>
        </w:rPr>
        <w:t xml:space="preserve"> </w:t>
      </w:r>
      <w:r w:rsidRPr="00B24EC4">
        <w:rPr>
          <w:rFonts w:ascii="Arial" w:hAnsi="Arial" w:cs="Arial"/>
          <w:sz w:val="20"/>
        </w:rPr>
        <w:t>Annex I (Part-M), and</w:t>
      </w:r>
      <w:r w:rsidRPr="00B24EC4">
        <w:rPr>
          <w:rFonts w:ascii="Arial" w:hAnsi="Arial" w:cs="Arial"/>
          <w:spacing w:val="-1"/>
          <w:sz w:val="20"/>
        </w:rPr>
        <w:t xml:space="preserve"> </w:t>
      </w:r>
      <w:r w:rsidRPr="00B24EC4">
        <w:rPr>
          <w:rFonts w:ascii="Arial" w:hAnsi="Arial" w:cs="Arial"/>
          <w:sz w:val="20"/>
        </w:rPr>
        <w:t>shall</w:t>
      </w:r>
      <w:r w:rsidRPr="00B24EC4">
        <w:rPr>
          <w:rFonts w:ascii="Arial" w:hAnsi="Arial" w:cs="Arial"/>
          <w:spacing w:val="-3"/>
          <w:sz w:val="20"/>
        </w:rPr>
        <w:t xml:space="preserve"> </w:t>
      </w:r>
      <w:r w:rsidRPr="00B24EC4">
        <w:rPr>
          <w:rFonts w:ascii="Arial" w:hAnsi="Arial" w:cs="Arial"/>
          <w:sz w:val="20"/>
        </w:rPr>
        <w:t>be</w:t>
      </w:r>
      <w:r w:rsidRPr="00B24EC4">
        <w:rPr>
          <w:rFonts w:ascii="Arial" w:hAnsi="Arial" w:cs="Arial"/>
          <w:spacing w:val="1"/>
          <w:sz w:val="20"/>
        </w:rPr>
        <w:t xml:space="preserve"> </w:t>
      </w:r>
      <w:r w:rsidRPr="00B24EC4">
        <w:rPr>
          <w:rFonts w:ascii="Arial" w:hAnsi="Arial" w:cs="Arial"/>
          <w:sz w:val="20"/>
        </w:rPr>
        <w:t>subject</w:t>
      </w:r>
      <w:r w:rsidRPr="00B24EC4">
        <w:rPr>
          <w:rFonts w:ascii="Arial" w:hAnsi="Arial" w:cs="Arial"/>
          <w:spacing w:val="-2"/>
          <w:sz w:val="20"/>
        </w:rPr>
        <w:t xml:space="preserve"> </w:t>
      </w:r>
      <w:r w:rsidRPr="00B24EC4">
        <w:rPr>
          <w:rFonts w:ascii="Arial" w:hAnsi="Arial" w:cs="Arial"/>
          <w:sz w:val="20"/>
        </w:rPr>
        <w:t>to</w:t>
      </w:r>
      <w:r w:rsidRPr="00B24EC4">
        <w:rPr>
          <w:rFonts w:ascii="Arial" w:hAnsi="Arial" w:cs="Arial"/>
          <w:spacing w:val="1"/>
          <w:sz w:val="20"/>
        </w:rPr>
        <w:t xml:space="preserve"> </w:t>
      </w:r>
      <w:r w:rsidRPr="00B24EC4">
        <w:rPr>
          <w:rFonts w:ascii="Arial" w:hAnsi="Arial" w:cs="Arial"/>
          <w:sz w:val="20"/>
        </w:rPr>
        <w:t>the</w:t>
      </w:r>
      <w:r w:rsidRPr="00B24EC4">
        <w:rPr>
          <w:rFonts w:ascii="Arial" w:hAnsi="Arial" w:cs="Arial"/>
          <w:spacing w:val="-3"/>
          <w:sz w:val="20"/>
        </w:rPr>
        <w:t xml:space="preserve"> </w:t>
      </w:r>
      <w:r w:rsidRPr="00B24EC4">
        <w:rPr>
          <w:rFonts w:ascii="Arial" w:hAnsi="Arial" w:cs="Arial"/>
          <w:sz w:val="20"/>
        </w:rPr>
        <w:t>aircraft</w:t>
      </w:r>
      <w:r w:rsidRPr="00B24EC4">
        <w:rPr>
          <w:rFonts w:ascii="Arial" w:hAnsi="Arial" w:cs="Arial"/>
          <w:spacing w:val="-2"/>
          <w:sz w:val="20"/>
        </w:rPr>
        <w:t xml:space="preserve"> </w:t>
      </w:r>
      <w:r w:rsidRPr="00B24EC4">
        <w:rPr>
          <w:rFonts w:ascii="Arial" w:hAnsi="Arial" w:cs="Arial"/>
          <w:sz w:val="20"/>
        </w:rPr>
        <w:t>release</w:t>
      </w:r>
      <w:r w:rsidRPr="00B24EC4">
        <w:rPr>
          <w:rFonts w:ascii="Arial" w:hAnsi="Arial" w:cs="Arial"/>
          <w:spacing w:val="1"/>
          <w:sz w:val="20"/>
        </w:rPr>
        <w:t xml:space="preserve"> </w:t>
      </w:r>
      <w:r w:rsidRPr="00B24EC4">
        <w:rPr>
          <w:rFonts w:ascii="Arial" w:hAnsi="Arial" w:cs="Arial"/>
          <w:sz w:val="20"/>
        </w:rPr>
        <w:t>requirements.</w:t>
      </w:r>
    </w:p>
    <w:p w14:paraId="29D38C28" w14:textId="77777777" w:rsidR="00B24EC4" w:rsidRPr="00B24EC4" w:rsidRDefault="00B24EC4" w:rsidP="005E7CDD">
      <w:pPr>
        <w:pStyle w:val="ListParagraph"/>
        <w:numPr>
          <w:ilvl w:val="0"/>
          <w:numId w:val="309"/>
        </w:numPr>
        <w:tabs>
          <w:tab w:val="left" w:pos="707"/>
        </w:tabs>
        <w:spacing w:before="119"/>
        <w:ind w:right="44"/>
        <w:jc w:val="both"/>
        <w:rPr>
          <w:rFonts w:ascii="Arial" w:hAnsi="Arial" w:cs="Arial"/>
          <w:sz w:val="20"/>
        </w:rPr>
      </w:pPr>
      <w:r w:rsidRPr="00B24EC4">
        <w:rPr>
          <w:rFonts w:ascii="Arial" w:hAnsi="Arial" w:cs="Arial"/>
          <w:sz w:val="20"/>
        </w:rPr>
        <w:t>Components</w:t>
      </w:r>
      <w:r w:rsidRPr="00B24EC4">
        <w:rPr>
          <w:rFonts w:ascii="Arial" w:hAnsi="Arial" w:cs="Arial"/>
          <w:spacing w:val="-1"/>
          <w:sz w:val="20"/>
        </w:rPr>
        <w:t xml:space="preserve"> </w:t>
      </w:r>
      <w:r w:rsidRPr="00B24EC4">
        <w:rPr>
          <w:rFonts w:ascii="Arial" w:hAnsi="Arial" w:cs="Arial"/>
          <w:sz w:val="20"/>
        </w:rPr>
        <w:t>shall</w:t>
      </w:r>
      <w:r w:rsidRPr="00B24EC4">
        <w:rPr>
          <w:rFonts w:ascii="Arial" w:hAnsi="Arial" w:cs="Arial"/>
          <w:spacing w:val="-2"/>
          <w:sz w:val="20"/>
        </w:rPr>
        <w:t xml:space="preserve"> </w:t>
      </w:r>
      <w:r w:rsidRPr="00B24EC4">
        <w:rPr>
          <w:rFonts w:ascii="Arial" w:hAnsi="Arial" w:cs="Arial"/>
          <w:sz w:val="20"/>
        </w:rPr>
        <w:t>be</w:t>
      </w:r>
      <w:r w:rsidRPr="00B24EC4">
        <w:rPr>
          <w:rFonts w:ascii="Arial" w:hAnsi="Arial" w:cs="Arial"/>
          <w:spacing w:val="-3"/>
          <w:sz w:val="20"/>
        </w:rPr>
        <w:t xml:space="preserve"> </w:t>
      </w:r>
      <w:r w:rsidRPr="00B24EC4">
        <w:rPr>
          <w:rFonts w:ascii="Arial" w:hAnsi="Arial" w:cs="Arial"/>
          <w:sz w:val="20"/>
        </w:rPr>
        <w:t>released</w:t>
      </w:r>
      <w:r w:rsidRPr="00B24EC4">
        <w:rPr>
          <w:rFonts w:ascii="Arial" w:hAnsi="Arial" w:cs="Arial"/>
          <w:spacing w:val="-1"/>
          <w:sz w:val="20"/>
        </w:rPr>
        <w:t xml:space="preserve"> </w:t>
      </w:r>
      <w:r w:rsidRPr="00B24EC4">
        <w:rPr>
          <w:rFonts w:ascii="Arial" w:hAnsi="Arial" w:cs="Arial"/>
          <w:sz w:val="20"/>
        </w:rPr>
        <w:t>in</w:t>
      </w:r>
      <w:r w:rsidRPr="00B24EC4">
        <w:rPr>
          <w:rFonts w:ascii="Arial" w:hAnsi="Arial" w:cs="Arial"/>
          <w:spacing w:val="-1"/>
          <w:sz w:val="20"/>
        </w:rPr>
        <w:t xml:space="preserve"> </w:t>
      </w:r>
      <w:r w:rsidRPr="00B24EC4">
        <w:rPr>
          <w:rFonts w:ascii="Arial" w:hAnsi="Arial" w:cs="Arial"/>
          <w:sz w:val="20"/>
        </w:rPr>
        <w:t>accordance</w:t>
      </w:r>
      <w:r w:rsidRPr="00B24EC4">
        <w:rPr>
          <w:rFonts w:ascii="Arial" w:hAnsi="Arial" w:cs="Arial"/>
          <w:spacing w:val="-3"/>
          <w:sz w:val="20"/>
        </w:rPr>
        <w:t xml:space="preserve"> </w:t>
      </w:r>
      <w:r w:rsidRPr="00B24EC4">
        <w:rPr>
          <w:rFonts w:ascii="Arial" w:hAnsi="Arial" w:cs="Arial"/>
          <w:sz w:val="20"/>
        </w:rPr>
        <w:t>with</w:t>
      </w:r>
      <w:r w:rsidRPr="00B24EC4">
        <w:rPr>
          <w:rFonts w:ascii="Arial" w:hAnsi="Arial" w:cs="Arial"/>
          <w:spacing w:val="-3"/>
          <w:sz w:val="20"/>
        </w:rPr>
        <w:t xml:space="preserve"> </w:t>
      </w:r>
      <w:r w:rsidRPr="00B24EC4">
        <w:rPr>
          <w:rFonts w:ascii="Arial" w:hAnsi="Arial" w:cs="Arial"/>
          <w:sz w:val="20"/>
        </w:rPr>
        <w:t>the</w:t>
      </w:r>
      <w:r w:rsidRPr="00B24EC4">
        <w:rPr>
          <w:rFonts w:ascii="Arial" w:hAnsi="Arial" w:cs="Arial"/>
          <w:spacing w:val="-3"/>
          <w:sz w:val="20"/>
        </w:rPr>
        <w:t xml:space="preserve"> </w:t>
      </w:r>
      <w:r w:rsidRPr="00B24EC4">
        <w:rPr>
          <w:rFonts w:ascii="Arial" w:hAnsi="Arial" w:cs="Arial"/>
          <w:sz w:val="20"/>
        </w:rPr>
        <w:t>following</w:t>
      </w:r>
      <w:r w:rsidRPr="00B24EC4">
        <w:rPr>
          <w:rFonts w:ascii="Arial" w:hAnsi="Arial" w:cs="Arial"/>
          <w:spacing w:val="-1"/>
          <w:sz w:val="20"/>
        </w:rPr>
        <w:t xml:space="preserve"> </w:t>
      </w:r>
      <w:r w:rsidRPr="00B24EC4">
        <w:rPr>
          <w:rFonts w:ascii="Arial" w:hAnsi="Arial" w:cs="Arial"/>
          <w:sz w:val="20"/>
        </w:rPr>
        <w:t>table:</w:t>
      </w:r>
    </w:p>
    <w:p w14:paraId="33B4AE9A" w14:textId="77777777" w:rsidR="00B24EC4" w:rsidRDefault="00B24EC4" w:rsidP="000B112D">
      <w:pPr>
        <w:jc w:val="both"/>
        <w:rPr>
          <w:rFonts w:ascii="Arial" w:eastAsia="Times New Roman" w:hAnsi="Arial" w:cs="Times New Roman"/>
          <w:sz w:val="18"/>
        </w:rPr>
      </w:pPr>
    </w:p>
    <w:tbl>
      <w:tblPr>
        <w:tblStyle w:val="TableGrid31"/>
        <w:tblW w:w="9108" w:type="dxa"/>
        <w:tblLayout w:type="fixed"/>
        <w:tblLook w:val="01E0" w:firstRow="1" w:lastRow="1" w:firstColumn="1" w:lastColumn="1" w:noHBand="0" w:noVBand="0"/>
      </w:tblPr>
      <w:tblGrid>
        <w:gridCol w:w="2609"/>
        <w:gridCol w:w="2966"/>
        <w:gridCol w:w="3533"/>
      </w:tblGrid>
      <w:tr w:rsidR="00B24EC4" w:rsidRPr="00B24EC4" w14:paraId="6F2309A1" w14:textId="77777777" w:rsidTr="007C7612">
        <w:trPr>
          <w:trHeight w:val="690"/>
        </w:trPr>
        <w:tc>
          <w:tcPr>
            <w:tcW w:w="2609" w:type="dxa"/>
            <w:shd w:val="clear" w:color="auto" w:fill="F2F2F2" w:themeFill="background1" w:themeFillShade="F2"/>
          </w:tcPr>
          <w:p w14:paraId="359B1C25" w14:textId="77777777" w:rsidR="00B24EC4" w:rsidRPr="00B24EC4" w:rsidRDefault="00B24EC4" w:rsidP="008D238F">
            <w:pPr>
              <w:pStyle w:val="TableParagraph"/>
              <w:ind w:left="0"/>
              <w:rPr>
                <w:rFonts w:ascii="Arial" w:hAnsi="Arial" w:cs="Arial"/>
                <w:sz w:val="18"/>
              </w:rPr>
            </w:pPr>
          </w:p>
        </w:tc>
        <w:tc>
          <w:tcPr>
            <w:tcW w:w="2966" w:type="dxa"/>
            <w:shd w:val="clear" w:color="auto" w:fill="F2F2F2" w:themeFill="background1" w:themeFillShade="F2"/>
          </w:tcPr>
          <w:p w14:paraId="1A9374E3" w14:textId="77777777" w:rsidR="00B24EC4" w:rsidRDefault="00B24EC4" w:rsidP="00B24EC4">
            <w:pPr>
              <w:pStyle w:val="TableParagraph"/>
              <w:spacing w:before="1"/>
              <w:ind w:left="113" w:right="112"/>
              <w:jc w:val="center"/>
              <w:rPr>
                <w:rFonts w:ascii="Arial" w:hAnsi="Arial" w:cs="Arial"/>
                <w:b/>
                <w:sz w:val="18"/>
              </w:rPr>
            </w:pPr>
            <w:r w:rsidRPr="00B24EC4">
              <w:rPr>
                <w:rFonts w:ascii="Arial" w:hAnsi="Arial" w:cs="Arial"/>
                <w:b/>
                <w:sz w:val="18"/>
              </w:rPr>
              <w:t>Released using an EASA Form 1</w:t>
            </w:r>
            <w:r w:rsidRPr="00B24EC4">
              <w:rPr>
                <w:rFonts w:ascii="Arial" w:hAnsi="Arial" w:cs="Arial"/>
                <w:b/>
                <w:spacing w:val="1"/>
                <w:sz w:val="18"/>
              </w:rPr>
              <w:t xml:space="preserve"> </w:t>
            </w:r>
            <w:r w:rsidRPr="00B24EC4">
              <w:rPr>
                <w:rFonts w:ascii="Arial" w:hAnsi="Arial" w:cs="Arial"/>
                <w:b/>
                <w:sz w:val="18"/>
              </w:rPr>
              <w:t>(as</w:t>
            </w:r>
            <w:r w:rsidRPr="00B24EC4">
              <w:rPr>
                <w:rFonts w:ascii="Arial" w:hAnsi="Arial" w:cs="Arial"/>
                <w:b/>
                <w:spacing w:val="-1"/>
                <w:sz w:val="18"/>
              </w:rPr>
              <w:t xml:space="preserve"> </w:t>
            </w:r>
            <w:r w:rsidRPr="00B24EC4">
              <w:rPr>
                <w:rFonts w:ascii="Arial" w:hAnsi="Arial" w:cs="Arial"/>
                <w:b/>
                <w:sz w:val="18"/>
              </w:rPr>
              <w:t>set</w:t>
            </w:r>
            <w:r w:rsidRPr="00B24EC4">
              <w:rPr>
                <w:rFonts w:ascii="Arial" w:hAnsi="Arial" w:cs="Arial"/>
                <w:b/>
                <w:spacing w:val="-1"/>
                <w:sz w:val="18"/>
              </w:rPr>
              <w:t xml:space="preserve"> </w:t>
            </w:r>
            <w:r w:rsidRPr="00B24EC4">
              <w:rPr>
                <w:rFonts w:ascii="Arial" w:hAnsi="Arial" w:cs="Arial"/>
                <w:b/>
                <w:sz w:val="18"/>
              </w:rPr>
              <w:t>out</w:t>
            </w:r>
            <w:r w:rsidRPr="00B24EC4">
              <w:rPr>
                <w:rFonts w:ascii="Arial" w:hAnsi="Arial" w:cs="Arial"/>
                <w:b/>
                <w:spacing w:val="-1"/>
                <w:sz w:val="18"/>
              </w:rPr>
              <w:t xml:space="preserve"> </w:t>
            </w:r>
            <w:r w:rsidRPr="00B24EC4">
              <w:rPr>
                <w:rFonts w:ascii="Arial" w:hAnsi="Arial" w:cs="Arial"/>
                <w:b/>
                <w:sz w:val="18"/>
              </w:rPr>
              <w:t>in Appendix</w:t>
            </w:r>
            <w:r w:rsidRPr="00B24EC4">
              <w:rPr>
                <w:rFonts w:ascii="Arial" w:hAnsi="Arial" w:cs="Arial"/>
                <w:b/>
                <w:spacing w:val="-2"/>
                <w:sz w:val="18"/>
              </w:rPr>
              <w:t xml:space="preserve"> </w:t>
            </w:r>
            <w:r w:rsidRPr="00B24EC4">
              <w:rPr>
                <w:rFonts w:ascii="Arial" w:hAnsi="Arial" w:cs="Arial"/>
                <w:b/>
                <w:sz w:val="18"/>
              </w:rPr>
              <w:t>II</w:t>
            </w:r>
            <w:r w:rsidRPr="00B24EC4">
              <w:rPr>
                <w:rFonts w:ascii="Arial" w:hAnsi="Arial" w:cs="Arial"/>
                <w:b/>
                <w:spacing w:val="-2"/>
                <w:sz w:val="18"/>
              </w:rPr>
              <w:t xml:space="preserve"> </w:t>
            </w:r>
            <w:r w:rsidRPr="00B24EC4">
              <w:rPr>
                <w:rFonts w:ascii="Arial" w:hAnsi="Arial" w:cs="Arial"/>
                <w:b/>
                <w:sz w:val="18"/>
              </w:rPr>
              <w:t>of</w:t>
            </w:r>
          </w:p>
          <w:p w14:paraId="25F7D9D8" w14:textId="77777777" w:rsidR="00B24EC4" w:rsidRPr="00B24EC4" w:rsidRDefault="00B24EC4" w:rsidP="00B24EC4">
            <w:pPr>
              <w:pStyle w:val="TableParagraph"/>
              <w:spacing w:before="1"/>
              <w:ind w:left="113" w:right="112"/>
              <w:jc w:val="center"/>
              <w:rPr>
                <w:rFonts w:ascii="Arial" w:hAnsi="Arial" w:cs="Arial"/>
                <w:b/>
                <w:sz w:val="18"/>
              </w:rPr>
            </w:pPr>
            <w:r w:rsidRPr="00B24EC4">
              <w:rPr>
                <w:rFonts w:ascii="Arial" w:hAnsi="Arial" w:cs="Arial"/>
                <w:b/>
                <w:sz w:val="18"/>
              </w:rPr>
              <w:t>Annex</w:t>
            </w:r>
            <w:r w:rsidRPr="00B24EC4">
              <w:rPr>
                <w:rFonts w:ascii="Arial" w:hAnsi="Arial" w:cs="Arial"/>
                <w:b/>
                <w:spacing w:val="-4"/>
                <w:sz w:val="18"/>
              </w:rPr>
              <w:t xml:space="preserve"> </w:t>
            </w:r>
            <w:r w:rsidRPr="00B24EC4">
              <w:rPr>
                <w:rFonts w:ascii="Arial" w:hAnsi="Arial" w:cs="Arial"/>
                <w:b/>
                <w:sz w:val="18"/>
              </w:rPr>
              <w:t>I</w:t>
            </w:r>
            <w:r w:rsidRPr="00B24EC4">
              <w:rPr>
                <w:rFonts w:ascii="Arial" w:hAnsi="Arial" w:cs="Arial"/>
                <w:b/>
                <w:spacing w:val="-3"/>
                <w:sz w:val="18"/>
              </w:rPr>
              <w:t xml:space="preserve"> </w:t>
            </w:r>
            <w:r w:rsidRPr="00B24EC4">
              <w:rPr>
                <w:rFonts w:ascii="Arial" w:hAnsi="Arial" w:cs="Arial"/>
                <w:b/>
                <w:sz w:val="18"/>
              </w:rPr>
              <w:t>(Part-M))</w:t>
            </w:r>
          </w:p>
        </w:tc>
        <w:tc>
          <w:tcPr>
            <w:tcW w:w="3530" w:type="dxa"/>
          </w:tcPr>
          <w:p w14:paraId="306D01D8" w14:textId="77777777" w:rsidR="00B24EC4" w:rsidRDefault="00B24EC4" w:rsidP="00B24EC4">
            <w:pPr>
              <w:pStyle w:val="TableParagraph"/>
              <w:spacing w:before="1"/>
              <w:ind w:left="187" w:right="191" w:firstLine="4"/>
              <w:jc w:val="center"/>
              <w:rPr>
                <w:rFonts w:ascii="Arial" w:hAnsi="Arial" w:cs="Arial"/>
                <w:b/>
                <w:sz w:val="18"/>
              </w:rPr>
            </w:pPr>
            <w:r w:rsidRPr="00B24EC4">
              <w:rPr>
                <w:rFonts w:ascii="Arial" w:hAnsi="Arial" w:cs="Arial"/>
                <w:b/>
                <w:sz w:val="18"/>
              </w:rPr>
              <w:t>Released at aircraft level per</w:t>
            </w:r>
            <w:r w:rsidRPr="00B24EC4">
              <w:rPr>
                <w:rFonts w:ascii="Arial" w:hAnsi="Arial" w:cs="Arial"/>
                <w:b/>
                <w:spacing w:val="1"/>
                <w:sz w:val="18"/>
              </w:rPr>
              <w:t xml:space="preserve"> </w:t>
            </w:r>
            <w:r w:rsidRPr="00B24EC4">
              <w:rPr>
                <w:rFonts w:ascii="Arial" w:hAnsi="Arial" w:cs="Arial"/>
                <w:b/>
                <w:sz w:val="18"/>
              </w:rPr>
              <w:t>point</w:t>
            </w:r>
            <w:r w:rsidRPr="00B24EC4">
              <w:rPr>
                <w:rFonts w:ascii="Arial" w:hAnsi="Arial" w:cs="Arial"/>
                <w:b/>
                <w:spacing w:val="-4"/>
                <w:sz w:val="18"/>
              </w:rPr>
              <w:t xml:space="preserve"> </w:t>
            </w:r>
            <w:r w:rsidRPr="00B24EC4">
              <w:rPr>
                <w:rFonts w:ascii="Arial" w:hAnsi="Arial" w:cs="Arial"/>
                <w:b/>
                <w:sz w:val="18"/>
              </w:rPr>
              <w:t>ML.A.801</w:t>
            </w:r>
            <w:r w:rsidRPr="00B24EC4">
              <w:rPr>
                <w:rFonts w:ascii="Arial" w:hAnsi="Arial" w:cs="Arial"/>
                <w:b/>
                <w:spacing w:val="-5"/>
                <w:sz w:val="18"/>
              </w:rPr>
              <w:t xml:space="preserve"> </w:t>
            </w:r>
            <w:r w:rsidRPr="00B24EC4">
              <w:rPr>
                <w:rFonts w:ascii="Arial" w:hAnsi="Arial" w:cs="Arial"/>
                <w:b/>
                <w:sz w:val="18"/>
              </w:rPr>
              <w:t>(not</w:t>
            </w:r>
            <w:r w:rsidRPr="00B24EC4">
              <w:rPr>
                <w:rFonts w:ascii="Arial" w:hAnsi="Arial" w:cs="Arial"/>
                <w:b/>
                <w:spacing w:val="-3"/>
                <w:sz w:val="18"/>
              </w:rPr>
              <w:t xml:space="preserve"> </w:t>
            </w:r>
            <w:r w:rsidRPr="00B24EC4">
              <w:rPr>
                <w:rFonts w:ascii="Arial" w:hAnsi="Arial" w:cs="Arial"/>
                <w:b/>
                <w:sz w:val="18"/>
              </w:rPr>
              <w:t>possible</w:t>
            </w:r>
            <w:r w:rsidRPr="00B24EC4">
              <w:rPr>
                <w:rFonts w:ascii="Arial" w:hAnsi="Arial" w:cs="Arial"/>
                <w:b/>
                <w:spacing w:val="-2"/>
                <w:sz w:val="18"/>
              </w:rPr>
              <w:t xml:space="preserve"> </w:t>
            </w:r>
            <w:r w:rsidRPr="00B24EC4">
              <w:rPr>
                <w:rFonts w:ascii="Arial" w:hAnsi="Arial" w:cs="Arial"/>
                <w:b/>
                <w:sz w:val="18"/>
              </w:rPr>
              <w:t>to</w:t>
            </w:r>
          </w:p>
          <w:p w14:paraId="60EC9528" w14:textId="77777777" w:rsidR="00B24EC4" w:rsidRPr="00B24EC4" w:rsidRDefault="00B24EC4" w:rsidP="00B24EC4">
            <w:pPr>
              <w:pStyle w:val="TableParagraph"/>
              <w:spacing w:before="1"/>
              <w:ind w:left="187" w:right="191" w:firstLine="4"/>
              <w:jc w:val="center"/>
              <w:rPr>
                <w:rFonts w:ascii="Arial" w:hAnsi="Arial" w:cs="Arial"/>
                <w:b/>
                <w:sz w:val="18"/>
              </w:rPr>
            </w:pPr>
            <w:r w:rsidRPr="00B24EC4">
              <w:rPr>
                <w:rFonts w:ascii="Arial" w:hAnsi="Arial" w:cs="Arial"/>
                <w:b/>
                <w:sz w:val="18"/>
              </w:rPr>
              <w:t>issue</w:t>
            </w:r>
            <w:r w:rsidRPr="00B24EC4">
              <w:rPr>
                <w:rFonts w:ascii="Arial" w:hAnsi="Arial" w:cs="Arial"/>
                <w:b/>
                <w:spacing w:val="-2"/>
                <w:sz w:val="18"/>
              </w:rPr>
              <w:t xml:space="preserve"> </w:t>
            </w:r>
            <w:r w:rsidRPr="00B24EC4">
              <w:rPr>
                <w:rFonts w:ascii="Arial" w:hAnsi="Arial" w:cs="Arial"/>
                <w:b/>
                <w:sz w:val="18"/>
              </w:rPr>
              <w:t>an</w:t>
            </w:r>
            <w:r w:rsidRPr="00B24EC4">
              <w:rPr>
                <w:rFonts w:ascii="Arial" w:hAnsi="Arial" w:cs="Arial"/>
                <w:b/>
                <w:spacing w:val="-1"/>
                <w:sz w:val="18"/>
              </w:rPr>
              <w:t xml:space="preserve"> </w:t>
            </w:r>
            <w:r w:rsidRPr="00B24EC4">
              <w:rPr>
                <w:rFonts w:ascii="Arial" w:hAnsi="Arial" w:cs="Arial"/>
                <w:b/>
                <w:sz w:val="18"/>
              </w:rPr>
              <w:t>EASA</w:t>
            </w:r>
            <w:r w:rsidRPr="00B24EC4">
              <w:rPr>
                <w:rFonts w:ascii="Arial" w:hAnsi="Arial" w:cs="Arial"/>
                <w:b/>
                <w:spacing w:val="-3"/>
                <w:sz w:val="18"/>
              </w:rPr>
              <w:t xml:space="preserve"> </w:t>
            </w:r>
            <w:r w:rsidRPr="00B24EC4">
              <w:rPr>
                <w:rFonts w:ascii="Arial" w:hAnsi="Arial" w:cs="Arial"/>
                <w:b/>
                <w:sz w:val="18"/>
              </w:rPr>
              <w:t>Form</w:t>
            </w:r>
            <w:r w:rsidRPr="00B24EC4">
              <w:rPr>
                <w:rFonts w:ascii="Arial" w:hAnsi="Arial" w:cs="Arial"/>
                <w:b/>
                <w:spacing w:val="1"/>
                <w:sz w:val="18"/>
              </w:rPr>
              <w:t xml:space="preserve"> </w:t>
            </w:r>
            <w:r w:rsidRPr="00B24EC4">
              <w:rPr>
                <w:rFonts w:ascii="Arial" w:hAnsi="Arial" w:cs="Arial"/>
                <w:b/>
                <w:sz w:val="18"/>
              </w:rPr>
              <w:t>1)</w:t>
            </w:r>
          </w:p>
        </w:tc>
      </w:tr>
      <w:tr w:rsidR="00B24EC4" w:rsidRPr="00B24EC4" w14:paraId="1DAE2E54" w14:textId="77777777" w:rsidTr="007C7612">
        <w:trPr>
          <w:trHeight w:val="445"/>
        </w:trPr>
        <w:tc>
          <w:tcPr>
            <w:tcW w:w="9108" w:type="dxa"/>
            <w:gridSpan w:val="3"/>
            <w:shd w:val="clear" w:color="auto" w:fill="F2F2F2" w:themeFill="background1" w:themeFillShade="F2"/>
          </w:tcPr>
          <w:p w14:paraId="2E35471F" w14:textId="77777777" w:rsidR="00B24EC4" w:rsidRPr="00B24EC4" w:rsidRDefault="00B24EC4" w:rsidP="008D238F">
            <w:pPr>
              <w:pStyle w:val="TableParagraph"/>
              <w:spacing w:line="243" w:lineRule="exact"/>
              <w:ind w:left="1128" w:right="1131"/>
              <w:jc w:val="center"/>
              <w:rPr>
                <w:rFonts w:ascii="Arial" w:hAnsi="Arial" w:cs="Arial"/>
                <w:b/>
                <w:sz w:val="18"/>
              </w:rPr>
            </w:pPr>
            <w:r w:rsidRPr="00B24EC4">
              <w:rPr>
                <w:rFonts w:ascii="Arial" w:hAnsi="Arial" w:cs="Arial"/>
                <w:b/>
                <w:sz w:val="18"/>
              </w:rPr>
              <w:t>Components</w:t>
            </w:r>
            <w:r w:rsidRPr="00B24EC4">
              <w:rPr>
                <w:rFonts w:ascii="Arial" w:hAnsi="Arial" w:cs="Arial"/>
                <w:b/>
                <w:spacing w:val="-5"/>
                <w:sz w:val="18"/>
              </w:rPr>
              <w:t xml:space="preserve"> </w:t>
            </w:r>
            <w:r w:rsidRPr="00B24EC4">
              <w:rPr>
                <w:rFonts w:ascii="Arial" w:hAnsi="Arial" w:cs="Arial"/>
                <w:b/>
                <w:sz w:val="18"/>
              </w:rPr>
              <w:t>maintained</w:t>
            </w:r>
            <w:r w:rsidRPr="00B24EC4">
              <w:rPr>
                <w:rFonts w:ascii="Arial" w:hAnsi="Arial" w:cs="Arial"/>
                <w:b/>
                <w:spacing w:val="-3"/>
                <w:sz w:val="18"/>
              </w:rPr>
              <w:t xml:space="preserve"> </w:t>
            </w:r>
            <w:r w:rsidRPr="00B24EC4">
              <w:rPr>
                <w:rFonts w:ascii="Arial" w:hAnsi="Arial" w:cs="Arial"/>
                <w:b/>
                <w:sz w:val="18"/>
              </w:rPr>
              <w:t>in</w:t>
            </w:r>
            <w:r w:rsidRPr="00B24EC4">
              <w:rPr>
                <w:rFonts w:ascii="Arial" w:hAnsi="Arial" w:cs="Arial"/>
                <w:b/>
                <w:spacing w:val="-4"/>
                <w:sz w:val="18"/>
              </w:rPr>
              <w:t xml:space="preserve"> </w:t>
            </w:r>
            <w:r w:rsidRPr="00B24EC4">
              <w:rPr>
                <w:rFonts w:ascii="Arial" w:hAnsi="Arial" w:cs="Arial"/>
                <w:b/>
                <w:sz w:val="18"/>
              </w:rPr>
              <w:t>accordance</w:t>
            </w:r>
            <w:r w:rsidRPr="00B24EC4">
              <w:rPr>
                <w:rFonts w:ascii="Arial" w:hAnsi="Arial" w:cs="Arial"/>
                <w:b/>
                <w:spacing w:val="-5"/>
                <w:sz w:val="18"/>
              </w:rPr>
              <w:t xml:space="preserve"> </w:t>
            </w:r>
            <w:r w:rsidRPr="00B24EC4">
              <w:rPr>
                <w:rFonts w:ascii="Arial" w:hAnsi="Arial" w:cs="Arial"/>
                <w:b/>
                <w:sz w:val="18"/>
              </w:rPr>
              <w:t>with</w:t>
            </w:r>
            <w:r w:rsidRPr="00B24EC4">
              <w:rPr>
                <w:rFonts w:ascii="Arial" w:hAnsi="Arial" w:cs="Arial"/>
                <w:b/>
                <w:spacing w:val="-3"/>
                <w:sz w:val="18"/>
              </w:rPr>
              <w:t xml:space="preserve"> </w:t>
            </w:r>
            <w:r w:rsidRPr="00B24EC4">
              <w:rPr>
                <w:rFonts w:ascii="Arial" w:hAnsi="Arial" w:cs="Arial"/>
                <w:b/>
                <w:sz w:val="18"/>
              </w:rPr>
              <w:t>component</w:t>
            </w:r>
            <w:r w:rsidRPr="00B24EC4">
              <w:rPr>
                <w:rFonts w:ascii="Arial" w:hAnsi="Arial" w:cs="Arial"/>
                <w:b/>
                <w:spacing w:val="-4"/>
                <w:sz w:val="18"/>
              </w:rPr>
              <w:t xml:space="preserve"> </w:t>
            </w:r>
            <w:r w:rsidRPr="00B24EC4">
              <w:rPr>
                <w:rFonts w:ascii="Arial" w:hAnsi="Arial" w:cs="Arial"/>
                <w:b/>
                <w:sz w:val="18"/>
              </w:rPr>
              <w:t>maintenance</w:t>
            </w:r>
            <w:r w:rsidRPr="00B24EC4">
              <w:rPr>
                <w:rFonts w:ascii="Arial" w:hAnsi="Arial" w:cs="Arial"/>
                <w:b/>
                <w:spacing w:val="-4"/>
                <w:sz w:val="18"/>
              </w:rPr>
              <w:t xml:space="preserve"> </w:t>
            </w:r>
            <w:r w:rsidRPr="00B24EC4">
              <w:rPr>
                <w:rFonts w:ascii="Arial" w:hAnsi="Arial" w:cs="Arial"/>
                <w:b/>
                <w:sz w:val="18"/>
              </w:rPr>
              <w:t>data</w:t>
            </w:r>
          </w:p>
          <w:p w14:paraId="4CF63DD0" w14:textId="77777777" w:rsidR="00B24EC4" w:rsidRPr="00B24EC4" w:rsidRDefault="00B24EC4" w:rsidP="008D238F">
            <w:pPr>
              <w:pStyle w:val="TableParagraph"/>
              <w:spacing w:line="224" w:lineRule="exact"/>
              <w:ind w:left="1128" w:right="1128"/>
              <w:jc w:val="center"/>
              <w:rPr>
                <w:rFonts w:ascii="Arial" w:hAnsi="Arial" w:cs="Arial"/>
                <w:b/>
                <w:sz w:val="18"/>
              </w:rPr>
            </w:pPr>
            <w:r w:rsidRPr="00B24EC4">
              <w:rPr>
                <w:rFonts w:ascii="Arial" w:hAnsi="Arial" w:cs="Arial"/>
                <w:b/>
                <w:sz w:val="18"/>
              </w:rPr>
              <w:t>(data</w:t>
            </w:r>
            <w:r w:rsidRPr="00B24EC4">
              <w:rPr>
                <w:rFonts w:ascii="Arial" w:hAnsi="Arial" w:cs="Arial"/>
                <w:b/>
                <w:spacing w:val="-4"/>
                <w:sz w:val="18"/>
              </w:rPr>
              <w:t xml:space="preserve"> </w:t>
            </w:r>
            <w:r w:rsidRPr="00B24EC4">
              <w:rPr>
                <w:rFonts w:ascii="Arial" w:hAnsi="Arial" w:cs="Arial"/>
                <w:b/>
                <w:sz w:val="18"/>
              </w:rPr>
              <w:t>issued</w:t>
            </w:r>
            <w:r w:rsidRPr="00B24EC4">
              <w:rPr>
                <w:rFonts w:ascii="Arial" w:hAnsi="Arial" w:cs="Arial"/>
                <w:b/>
                <w:spacing w:val="-3"/>
                <w:sz w:val="18"/>
              </w:rPr>
              <w:t xml:space="preserve"> </w:t>
            </w:r>
            <w:r w:rsidRPr="00B24EC4">
              <w:rPr>
                <w:rFonts w:ascii="Arial" w:hAnsi="Arial" w:cs="Arial"/>
                <w:b/>
                <w:sz w:val="18"/>
              </w:rPr>
              <w:t>by</w:t>
            </w:r>
            <w:r w:rsidRPr="00B24EC4">
              <w:rPr>
                <w:rFonts w:ascii="Arial" w:hAnsi="Arial" w:cs="Arial"/>
                <w:b/>
                <w:spacing w:val="-4"/>
                <w:sz w:val="18"/>
              </w:rPr>
              <w:t xml:space="preserve"> </w:t>
            </w:r>
            <w:r w:rsidRPr="00B24EC4">
              <w:rPr>
                <w:rFonts w:ascii="Arial" w:hAnsi="Arial" w:cs="Arial"/>
                <w:b/>
                <w:sz w:val="18"/>
              </w:rPr>
              <w:t>the</w:t>
            </w:r>
            <w:r w:rsidRPr="00B24EC4">
              <w:rPr>
                <w:rFonts w:ascii="Arial" w:hAnsi="Arial" w:cs="Arial"/>
                <w:b/>
                <w:spacing w:val="-3"/>
                <w:sz w:val="18"/>
              </w:rPr>
              <w:t xml:space="preserve"> </w:t>
            </w:r>
            <w:r w:rsidRPr="00B24EC4">
              <w:rPr>
                <w:rFonts w:ascii="Arial" w:hAnsi="Arial" w:cs="Arial"/>
                <w:b/>
                <w:sz w:val="18"/>
              </w:rPr>
              <w:t>component</w:t>
            </w:r>
            <w:r w:rsidRPr="00B24EC4">
              <w:rPr>
                <w:rFonts w:ascii="Arial" w:hAnsi="Arial" w:cs="Arial"/>
                <w:b/>
                <w:spacing w:val="-3"/>
                <w:sz w:val="18"/>
              </w:rPr>
              <w:t xml:space="preserve"> </w:t>
            </w:r>
            <w:r w:rsidRPr="00B24EC4">
              <w:rPr>
                <w:rFonts w:ascii="Arial" w:hAnsi="Arial" w:cs="Arial"/>
                <w:b/>
                <w:sz w:val="18"/>
              </w:rPr>
              <w:t>manufacturer)</w:t>
            </w:r>
          </w:p>
        </w:tc>
      </w:tr>
      <w:tr w:rsidR="00B24EC4" w:rsidRPr="00B24EC4" w14:paraId="2A4F2B53" w14:textId="77777777" w:rsidTr="007C7612">
        <w:trPr>
          <w:trHeight w:val="934"/>
        </w:trPr>
        <w:tc>
          <w:tcPr>
            <w:tcW w:w="2609" w:type="dxa"/>
            <w:shd w:val="clear" w:color="auto" w:fill="F2F2F2" w:themeFill="background1" w:themeFillShade="F2"/>
          </w:tcPr>
          <w:p w14:paraId="3E341738" w14:textId="77777777" w:rsidR="00B24EC4" w:rsidRPr="00B24EC4" w:rsidRDefault="00B24EC4" w:rsidP="008D238F">
            <w:pPr>
              <w:pStyle w:val="TableParagraph"/>
              <w:spacing w:before="1"/>
              <w:ind w:left="86"/>
              <w:rPr>
                <w:rFonts w:ascii="Arial" w:hAnsi="Arial" w:cs="Arial"/>
                <w:b/>
                <w:sz w:val="18"/>
              </w:rPr>
            </w:pPr>
            <w:r w:rsidRPr="00B24EC4">
              <w:rPr>
                <w:rFonts w:ascii="Arial" w:hAnsi="Arial" w:cs="Arial"/>
                <w:b/>
                <w:sz w:val="18"/>
              </w:rPr>
              <w:t>Maintenance other than</w:t>
            </w:r>
            <w:r w:rsidRPr="00B24EC4">
              <w:rPr>
                <w:rFonts w:ascii="Arial" w:hAnsi="Arial" w:cs="Arial"/>
                <w:b/>
                <w:spacing w:val="-43"/>
                <w:sz w:val="18"/>
              </w:rPr>
              <w:t xml:space="preserve"> </w:t>
            </w:r>
            <w:r w:rsidRPr="00B24EC4">
              <w:rPr>
                <w:rFonts w:ascii="Arial" w:hAnsi="Arial" w:cs="Arial"/>
                <w:b/>
                <w:sz w:val="18"/>
              </w:rPr>
              <w:t>overhaul</w:t>
            </w:r>
          </w:p>
        </w:tc>
        <w:tc>
          <w:tcPr>
            <w:tcW w:w="2966" w:type="dxa"/>
          </w:tcPr>
          <w:p w14:paraId="6F6B9CDA" w14:textId="77777777" w:rsidR="00B24EC4" w:rsidRPr="00B24EC4" w:rsidRDefault="00B24EC4" w:rsidP="00B24EC4">
            <w:pPr>
              <w:pStyle w:val="TableParagraph"/>
              <w:spacing w:before="1"/>
              <w:ind w:right="456"/>
              <w:jc w:val="both"/>
              <w:rPr>
                <w:rFonts w:ascii="Arial" w:hAnsi="Arial" w:cs="Arial"/>
                <w:sz w:val="18"/>
              </w:rPr>
            </w:pPr>
            <w:r w:rsidRPr="00B24EC4">
              <w:rPr>
                <w:rFonts w:ascii="Arial" w:hAnsi="Arial" w:cs="Arial"/>
                <w:sz w:val="18"/>
              </w:rPr>
              <w:t>Engine-rated (for engine) or</w:t>
            </w:r>
            <w:r w:rsidRPr="00B24EC4">
              <w:rPr>
                <w:rFonts w:ascii="Arial" w:hAnsi="Arial" w:cs="Arial"/>
                <w:spacing w:val="1"/>
                <w:sz w:val="18"/>
              </w:rPr>
              <w:t xml:space="preserve"> </w:t>
            </w:r>
            <w:r w:rsidRPr="00B24EC4">
              <w:rPr>
                <w:rFonts w:ascii="Arial" w:hAnsi="Arial" w:cs="Arial"/>
                <w:sz w:val="18"/>
              </w:rPr>
              <w:t>component-rated (for other</w:t>
            </w:r>
            <w:r w:rsidRPr="00B24EC4">
              <w:rPr>
                <w:rFonts w:ascii="Arial" w:hAnsi="Arial" w:cs="Arial"/>
                <w:spacing w:val="1"/>
                <w:sz w:val="18"/>
              </w:rPr>
              <w:t xml:space="preserve"> </w:t>
            </w:r>
            <w:r w:rsidRPr="00B24EC4">
              <w:rPr>
                <w:rFonts w:ascii="Arial" w:hAnsi="Arial" w:cs="Arial"/>
                <w:sz w:val="18"/>
              </w:rPr>
              <w:t>components)</w:t>
            </w:r>
            <w:r w:rsidRPr="00B24EC4">
              <w:rPr>
                <w:rFonts w:ascii="Arial" w:hAnsi="Arial" w:cs="Arial"/>
                <w:spacing w:val="-1"/>
                <w:sz w:val="18"/>
              </w:rPr>
              <w:t xml:space="preserve"> </w:t>
            </w:r>
            <w:r w:rsidRPr="00B24EC4">
              <w:rPr>
                <w:rFonts w:ascii="Arial" w:hAnsi="Arial" w:cs="Arial"/>
                <w:sz w:val="18"/>
              </w:rPr>
              <w:t>maintenance</w:t>
            </w:r>
            <w:r>
              <w:rPr>
                <w:rFonts w:ascii="Arial" w:hAnsi="Arial" w:cs="Arial"/>
                <w:sz w:val="18"/>
              </w:rPr>
              <w:t xml:space="preserve"> </w:t>
            </w:r>
            <w:r w:rsidRPr="00B24EC4">
              <w:rPr>
                <w:rFonts w:ascii="Arial" w:hAnsi="Arial" w:cs="Arial"/>
                <w:sz w:val="18"/>
              </w:rPr>
              <w:t>organisations</w:t>
            </w:r>
          </w:p>
        </w:tc>
        <w:tc>
          <w:tcPr>
            <w:tcW w:w="3530" w:type="dxa"/>
          </w:tcPr>
          <w:p w14:paraId="0E6D4B6A" w14:textId="77777777" w:rsidR="00B24EC4" w:rsidRPr="00B24EC4" w:rsidRDefault="00B24EC4" w:rsidP="00701F8D">
            <w:pPr>
              <w:pStyle w:val="TableParagraph"/>
              <w:numPr>
                <w:ilvl w:val="0"/>
                <w:numId w:val="312"/>
              </w:numPr>
              <w:tabs>
                <w:tab w:val="left" w:pos="652"/>
                <w:tab w:val="left" w:pos="653"/>
              </w:tabs>
              <w:spacing w:before="1"/>
              <w:ind w:right="86"/>
              <w:rPr>
                <w:rFonts w:ascii="Arial" w:hAnsi="Arial" w:cs="Arial"/>
                <w:sz w:val="18"/>
              </w:rPr>
            </w:pPr>
            <w:r w:rsidRPr="00B24EC4">
              <w:rPr>
                <w:rFonts w:ascii="Arial" w:hAnsi="Arial" w:cs="Arial"/>
                <w:sz w:val="18"/>
              </w:rPr>
              <w:t>Aircraft-rated</w:t>
            </w:r>
            <w:r w:rsidRPr="00B24EC4">
              <w:rPr>
                <w:rFonts w:ascii="Arial" w:hAnsi="Arial" w:cs="Arial"/>
                <w:spacing w:val="1"/>
                <w:sz w:val="18"/>
              </w:rPr>
              <w:t xml:space="preserve"> </w:t>
            </w:r>
            <w:r w:rsidRPr="00B24EC4">
              <w:rPr>
                <w:rFonts w:ascii="Arial" w:hAnsi="Arial" w:cs="Arial"/>
                <w:sz w:val="18"/>
              </w:rPr>
              <w:t>maintenance</w:t>
            </w:r>
            <w:r w:rsidRPr="00B24EC4">
              <w:rPr>
                <w:rFonts w:ascii="Arial" w:hAnsi="Arial" w:cs="Arial"/>
                <w:spacing w:val="-43"/>
                <w:sz w:val="18"/>
              </w:rPr>
              <w:t xml:space="preserve"> </w:t>
            </w:r>
            <w:r w:rsidRPr="00B24EC4">
              <w:rPr>
                <w:rFonts w:ascii="Arial" w:hAnsi="Arial" w:cs="Arial"/>
                <w:sz w:val="18"/>
              </w:rPr>
              <w:t>organisations;</w:t>
            </w:r>
            <w:r w:rsidRPr="00B24EC4">
              <w:rPr>
                <w:rFonts w:ascii="Arial" w:hAnsi="Arial" w:cs="Arial"/>
                <w:spacing w:val="-2"/>
                <w:sz w:val="18"/>
              </w:rPr>
              <w:t xml:space="preserve"> </w:t>
            </w:r>
            <w:r w:rsidRPr="00B24EC4">
              <w:rPr>
                <w:rFonts w:ascii="Arial" w:hAnsi="Arial" w:cs="Arial"/>
                <w:sz w:val="18"/>
              </w:rPr>
              <w:t>and/or</w:t>
            </w:r>
          </w:p>
          <w:p w14:paraId="11F2CA7F" w14:textId="77777777" w:rsidR="00B24EC4" w:rsidRPr="00B24EC4" w:rsidRDefault="00B24EC4" w:rsidP="00701F8D">
            <w:pPr>
              <w:pStyle w:val="TableParagraph"/>
              <w:numPr>
                <w:ilvl w:val="0"/>
                <w:numId w:val="312"/>
              </w:numPr>
              <w:tabs>
                <w:tab w:val="left" w:pos="652"/>
                <w:tab w:val="left" w:pos="653"/>
              </w:tabs>
              <w:spacing w:line="243" w:lineRule="exact"/>
              <w:rPr>
                <w:rFonts w:ascii="Arial" w:hAnsi="Arial" w:cs="Arial"/>
                <w:sz w:val="18"/>
              </w:rPr>
            </w:pPr>
            <w:r w:rsidRPr="00B24EC4">
              <w:rPr>
                <w:rFonts w:ascii="Arial" w:hAnsi="Arial" w:cs="Arial"/>
                <w:sz w:val="18"/>
              </w:rPr>
              <w:t>independent</w:t>
            </w:r>
            <w:r w:rsidRPr="00B24EC4">
              <w:rPr>
                <w:rFonts w:ascii="Arial" w:hAnsi="Arial" w:cs="Arial"/>
                <w:spacing w:val="-6"/>
                <w:sz w:val="18"/>
              </w:rPr>
              <w:t xml:space="preserve"> </w:t>
            </w:r>
            <w:r w:rsidRPr="00B24EC4">
              <w:rPr>
                <w:rFonts w:ascii="Arial" w:hAnsi="Arial" w:cs="Arial"/>
                <w:sz w:val="18"/>
              </w:rPr>
              <w:t>certifying</w:t>
            </w:r>
            <w:r w:rsidRPr="00B24EC4">
              <w:rPr>
                <w:rFonts w:ascii="Arial" w:hAnsi="Arial" w:cs="Arial"/>
                <w:spacing w:val="-6"/>
                <w:sz w:val="18"/>
              </w:rPr>
              <w:t xml:space="preserve"> </w:t>
            </w:r>
            <w:r w:rsidRPr="00B24EC4">
              <w:rPr>
                <w:rFonts w:ascii="Arial" w:hAnsi="Arial" w:cs="Arial"/>
                <w:sz w:val="18"/>
              </w:rPr>
              <w:t>staff</w:t>
            </w:r>
          </w:p>
        </w:tc>
      </w:tr>
      <w:tr w:rsidR="00B24EC4" w:rsidRPr="00B24EC4" w14:paraId="76EF9B79" w14:textId="77777777" w:rsidTr="007C7612">
        <w:trPr>
          <w:trHeight w:val="689"/>
        </w:trPr>
        <w:tc>
          <w:tcPr>
            <w:tcW w:w="2609" w:type="dxa"/>
            <w:shd w:val="clear" w:color="auto" w:fill="F2F2F2" w:themeFill="background1" w:themeFillShade="F2"/>
          </w:tcPr>
          <w:p w14:paraId="3A3DEA0B" w14:textId="77777777" w:rsidR="00B24EC4" w:rsidRPr="00B24EC4" w:rsidRDefault="00B24EC4" w:rsidP="00B24EC4">
            <w:pPr>
              <w:pStyle w:val="TableParagraph"/>
              <w:spacing w:line="242" w:lineRule="exact"/>
              <w:ind w:left="86"/>
              <w:rPr>
                <w:rFonts w:ascii="Arial" w:hAnsi="Arial" w:cs="Arial"/>
                <w:b/>
                <w:sz w:val="18"/>
              </w:rPr>
            </w:pPr>
            <w:r w:rsidRPr="00B24EC4">
              <w:rPr>
                <w:rFonts w:ascii="Arial" w:hAnsi="Arial" w:cs="Arial"/>
                <w:b/>
                <w:sz w:val="18"/>
              </w:rPr>
              <w:t>Overhaul</w:t>
            </w:r>
            <w:r w:rsidRPr="00B24EC4">
              <w:rPr>
                <w:rFonts w:ascii="Arial" w:hAnsi="Arial" w:cs="Arial"/>
                <w:b/>
                <w:spacing w:val="-5"/>
                <w:sz w:val="18"/>
              </w:rPr>
              <w:t xml:space="preserve"> </w:t>
            </w:r>
            <w:r w:rsidRPr="00B24EC4">
              <w:rPr>
                <w:rFonts w:ascii="Arial" w:hAnsi="Arial" w:cs="Arial"/>
                <w:b/>
                <w:sz w:val="18"/>
              </w:rPr>
              <w:t>of</w:t>
            </w:r>
            <w:r w:rsidRPr="00B24EC4">
              <w:rPr>
                <w:rFonts w:ascii="Arial" w:hAnsi="Arial" w:cs="Arial"/>
                <w:b/>
                <w:spacing w:val="-3"/>
                <w:sz w:val="18"/>
              </w:rPr>
              <w:t xml:space="preserve"> </w:t>
            </w:r>
            <w:r w:rsidRPr="00B24EC4">
              <w:rPr>
                <w:rFonts w:ascii="Arial" w:hAnsi="Arial" w:cs="Arial"/>
                <w:b/>
                <w:sz w:val="18"/>
              </w:rPr>
              <w:t>components</w:t>
            </w:r>
            <w:r>
              <w:rPr>
                <w:rFonts w:ascii="Arial" w:hAnsi="Arial" w:cs="Arial"/>
                <w:b/>
                <w:sz w:val="18"/>
              </w:rPr>
              <w:t xml:space="preserve"> </w:t>
            </w:r>
            <w:r w:rsidRPr="00B24EC4">
              <w:rPr>
                <w:rFonts w:ascii="Arial" w:hAnsi="Arial" w:cs="Arial"/>
                <w:b/>
                <w:sz w:val="18"/>
              </w:rPr>
              <w:t>other than engines and</w:t>
            </w:r>
            <w:r w:rsidRPr="00B24EC4">
              <w:rPr>
                <w:rFonts w:ascii="Arial" w:hAnsi="Arial" w:cs="Arial"/>
                <w:b/>
                <w:spacing w:val="-43"/>
                <w:sz w:val="18"/>
              </w:rPr>
              <w:t xml:space="preserve"> </w:t>
            </w:r>
            <w:r w:rsidRPr="00B24EC4">
              <w:rPr>
                <w:rFonts w:ascii="Arial" w:hAnsi="Arial" w:cs="Arial"/>
                <w:b/>
                <w:sz w:val="18"/>
              </w:rPr>
              <w:t>propellers</w:t>
            </w:r>
          </w:p>
        </w:tc>
        <w:tc>
          <w:tcPr>
            <w:tcW w:w="2966" w:type="dxa"/>
          </w:tcPr>
          <w:p w14:paraId="74486822" w14:textId="77777777" w:rsidR="00B24EC4" w:rsidRPr="00B24EC4" w:rsidRDefault="00B24EC4" w:rsidP="008D238F">
            <w:pPr>
              <w:pStyle w:val="TableParagraph"/>
              <w:rPr>
                <w:rFonts w:ascii="Arial" w:hAnsi="Arial" w:cs="Arial"/>
                <w:sz w:val="18"/>
              </w:rPr>
            </w:pPr>
            <w:r w:rsidRPr="00B24EC4">
              <w:rPr>
                <w:rFonts w:ascii="Arial" w:hAnsi="Arial" w:cs="Arial"/>
                <w:sz w:val="18"/>
              </w:rPr>
              <w:t>Component-rated maintenance</w:t>
            </w:r>
            <w:r w:rsidRPr="00B24EC4">
              <w:rPr>
                <w:rFonts w:ascii="Arial" w:hAnsi="Arial" w:cs="Arial"/>
                <w:spacing w:val="1"/>
                <w:sz w:val="18"/>
              </w:rPr>
              <w:t xml:space="preserve"> </w:t>
            </w:r>
            <w:r w:rsidRPr="00B24EC4">
              <w:rPr>
                <w:rFonts w:ascii="Arial" w:hAnsi="Arial" w:cs="Arial"/>
                <w:sz w:val="18"/>
              </w:rPr>
              <w:t>organisations</w:t>
            </w:r>
          </w:p>
        </w:tc>
        <w:tc>
          <w:tcPr>
            <w:tcW w:w="3530" w:type="dxa"/>
          </w:tcPr>
          <w:p w14:paraId="18CFCCC7" w14:textId="77777777" w:rsidR="00B24EC4" w:rsidRPr="00B24EC4" w:rsidRDefault="00B24EC4" w:rsidP="008D238F">
            <w:pPr>
              <w:pStyle w:val="TableParagraph"/>
              <w:spacing w:line="242" w:lineRule="exact"/>
              <w:ind w:left="86"/>
              <w:rPr>
                <w:rFonts w:ascii="Arial" w:hAnsi="Arial" w:cs="Arial"/>
                <w:sz w:val="18"/>
              </w:rPr>
            </w:pPr>
            <w:r w:rsidRPr="00B24EC4">
              <w:rPr>
                <w:rFonts w:ascii="Arial" w:hAnsi="Arial" w:cs="Arial"/>
                <w:sz w:val="18"/>
              </w:rPr>
              <w:t>Not</w:t>
            </w:r>
            <w:r w:rsidRPr="00B24EC4">
              <w:rPr>
                <w:rFonts w:ascii="Arial" w:hAnsi="Arial" w:cs="Arial"/>
                <w:spacing w:val="-4"/>
                <w:sz w:val="18"/>
              </w:rPr>
              <w:t xml:space="preserve"> </w:t>
            </w:r>
            <w:r w:rsidRPr="00B24EC4">
              <w:rPr>
                <w:rFonts w:ascii="Arial" w:hAnsi="Arial" w:cs="Arial"/>
                <w:sz w:val="18"/>
              </w:rPr>
              <w:t>possible</w:t>
            </w:r>
          </w:p>
        </w:tc>
      </w:tr>
      <w:tr w:rsidR="00B24EC4" w:rsidRPr="00B24EC4" w14:paraId="31F7D064" w14:textId="77777777" w:rsidTr="007C7612">
        <w:trPr>
          <w:trHeight w:val="689"/>
        </w:trPr>
        <w:tc>
          <w:tcPr>
            <w:tcW w:w="2609" w:type="dxa"/>
            <w:shd w:val="clear" w:color="auto" w:fill="F2F2F2" w:themeFill="background1" w:themeFillShade="F2"/>
          </w:tcPr>
          <w:p w14:paraId="612C5F1A" w14:textId="77777777" w:rsidR="00B24EC4" w:rsidRPr="00B24EC4" w:rsidRDefault="00B24EC4" w:rsidP="00B24EC4">
            <w:pPr>
              <w:pStyle w:val="TableParagraph"/>
              <w:ind w:left="86"/>
              <w:rPr>
                <w:rFonts w:ascii="Arial" w:hAnsi="Arial" w:cs="Arial"/>
                <w:b/>
                <w:sz w:val="18"/>
              </w:rPr>
            </w:pPr>
            <w:r w:rsidRPr="00B24EC4">
              <w:rPr>
                <w:rFonts w:ascii="Arial" w:hAnsi="Arial" w:cs="Arial"/>
                <w:b/>
                <w:sz w:val="18"/>
              </w:rPr>
              <w:t>Overhaul of engines and</w:t>
            </w:r>
            <w:r w:rsidRPr="00B24EC4">
              <w:rPr>
                <w:rFonts w:ascii="Arial" w:hAnsi="Arial" w:cs="Arial"/>
                <w:b/>
                <w:spacing w:val="1"/>
                <w:sz w:val="18"/>
              </w:rPr>
              <w:t xml:space="preserve"> </w:t>
            </w:r>
            <w:r w:rsidRPr="00B24EC4">
              <w:rPr>
                <w:rFonts w:ascii="Arial" w:hAnsi="Arial" w:cs="Arial"/>
                <w:b/>
                <w:sz w:val="18"/>
              </w:rPr>
              <w:t>propellers</w:t>
            </w:r>
            <w:r w:rsidRPr="00B24EC4">
              <w:rPr>
                <w:rFonts w:ascii="Arial" w:hAnsi="Arial" w:cs="Arial"/>
                <w:b/>
                <w:spacing w:val="-5"/>
                <w:sz w:val="18"/>
              </w:rPr>
              <w:t xml:space="preserve"> </w:t>
            </w:r>
            <w:r w:rsidRPr="00B24EC4">
              <w:rPr>
                <w:rFonts w:ascii="Arial" w:hAnsi="Arial" w:cs="Arial"/>
                <w:b/>
                <w:sz w:val="18"/>
              </w:rPr>
              <w:t>for</w:t>
            </w:r>
            <w:r w:rsidRPr="00B24EC4">
              <w:rPr>
                <w:rFonts w:ascii="Arial" w:hAnsi="Arial" w:cs="Arial"/>
                <w:b/>
                <w:spacing w:val="-3"/>
                <w:sz w:val="18"/>
              </w:rPr>
              <w:t xml:space="preserve"> </w:t>
            </w:r>
            <w:r w:rsidRPr="00B24EC4">
              <w:rPr>
                <w:rFonts w:ascii="Arial" w:hAnsi="Arial" w:cs="Arial"/>
                <w:b/>
                <w:sz w:val="18"/>
              </w:rPr>
              <w:t>CS-VLA,</w:t>
            </w:r>
            <w:r w:rsidRPr="00B24EC4">
              <w:rPr>
                <w:rFonts w:ascii="Arial" w:hAnsi="Arial" w:cs="Arial"/>
                <w:b/>
                <w:spacing w:val="-6"/>
                <w:sz w:val="18"/>
              </w:rPr>
              <w:t xml:space="preserve"> </w:t>
            </w:r>
            <w:r w:rsidRPr="00B24EC4">
              <w:rPr>
                <w:rFonts w:ascii="Arial" w:hAnsi="Arial" w:cs="Arial"/>
                <w:b/>
                <w:sz w:val="18"/>
              </w:rPr>
              <w:t>CS-22</w:t>
            </w:r>
            <w:r>
              <w:rPr>
                <w:rFonts w:ascii="Arial" w:hAnsi="Arial" w:cs="Arial"/>
                <w:b/>
                <w:sz w:val="18"/>
              </w:rPr>
              <w:t xml:space="preserve"> </w:t>
            </w:r>
            <w:r w:rsidRPr="00B24EC4">
              <w:rPr>
                <w:rFonts w:ascii="Arial" w:hAnsi="Arial" w:cs="Arial"/>
                <w:b/>
                <w:sz w:val="18"/>
              </w:rPr>
              <w:t>and</w:t>
            </w:r>
            <w:r w:rsidRPr="00B24EC4">
              <w:rPr>
                <w:rFonts w:ascii="Arial" w:hAnsi="Arial" w:cs="Arial"/>
                <w:b/>
                <w:spacing w:val="-2"/>
                <w:sz w:val="18"/>
              </w:rPr>
              <w:t xml:space="preserve"> </w:t>
            </w:r>
            <w:r w:rsidRPr="00B24EC4">
              <w:rPr>
                <w:rFonts w:ascii="Arial" w:hAnsi="Arial" w:cs="Arial"/>
                <w:b/>
                <w:sz w:val="18"/>
              </w:rPr>
              <w:t>LSA</w:t>
            </w:r>
            <w:r w:rsidRPr="00B24EC4">
              <w:rPr>
                <w:rFonts w:ascii="Arial" w:hAnsi="Arial" w:cs="Arial"/>
                <w:b/>
                <w:spacing w:val="-3"/>
                <w:sz w:val="18"/>
              </w:rPr>
              <w:t xml:space="preserve"> </w:t>
            </w:r>
            <w:r w:rsidRPr="00B24EC4">
              <w:rPr>
                <w:rFonts w:ascii="Arial" w:hAnsi="Arial" w:cs="Arial"/>
                <w:b/>
                <w:sz w:val="18"/>
              </w:rPr>
              <w:t>aircraft</w:t>
            </w:r>
          </w:p>
        </w:tc>
        <w:tc>
          <w:tcPr>
            <w:tcW w:w="2966" w:type="dxa"/>
          </w:tcPr>
          <w:p w14:paraId="7E4942E1" w14:textId="77777777" w:rsidR="00B24EC4" w:rsidRPr="00B24EC4" w:rsidRDefault="00B24EC4" w:rsidP="00B24EC4">
            <w:pPr>
              <w:pStyle w:val="TableParagraph"/>
              <w:ind w:right="96"/>
              <w:rPr>
                <w:rFonts w:ascii="Arial" w:hAnsi="Arial" w:cs="Arial"/>
                <w:sz w:val="18"/>
              </w:rPr>
            </w:pPr>
            <w:r w:rsidRPr="00B24EC4">
              <w:rPr>
                <w:rFonts w:ascii="Arial" w:hAnsi="Arial" w:cs="Arial"/>
                <w:sz w:val="18"/>
              </w:rPr>
              <w:t>Engine-rated (for engine) or</w:t>
            </w:r>
            <w:r w:rsidRPr="00B24EC4">
              <w:rPr>
                <w:rFonts w:ascii="Arial" w:hAnsi="Arial" w:cs="Arial"/>
                <w:spacing w:val="1"/>
                <w:sz w:val="18"/>
              </w:rPr>
              <w:t xml:space="preserve"> </w:t>
            </w:r>
            <w:r w:rsidRPr="00B24EC4">
              <w:rPr>
                <w:rFonts w:ascii="Arial" w:hAnsi="Arial" w:cs="Arial"/>
                <w:sz w:val="18"/>
              </w:rPr>
              <w:t>component-rated</w:t>
            </w:r>
            <w:r w:rsidRPr="00B24EC4">
              <w:rPr>
                <w:rFonts w:ascii="Arial" w:hAnsi="Arial" w:cs="Arial"/>
                <w:spacing w:val="-4"/>
                <w:sz w:val="18"/>
              </w:rPr>
              <w:t xml:space="preserve"> </w:t>
            </w:r>
            <w:r w:rsidRPr="00B24EC4">
              <w:rPr>
                <w:rFonts w:ascii="Arial" w:hAnsi="Arial" w:cs="Arial"/>
                <w:sz w:val="18"/>
              </w:rPr>
              <w:t>(for</w:t>
            </w:r>
            <w:r w:rsidRPr="00B24EC4">
              <w:rPr>
                <w:rFonts w:ascii="Arial" w:hAnsi="Arial" w:cs="Arial"/>
                <w:spacing w:val="-3"/>
                <w:sz w:val="18"/>
              </w:rPr>
              <w:t xml:space="preserve"> </w:t>
            </w:r>
            <w:r w:rsidRPr="00B24EC4">
              <w:rPr>
                <w:rFonts w:ascii="Arial" w:hAnsi="Arial" w:cs="Arial"/>
                <w:sz w:val="18"/>
              </w:rPr>
              <w:t>propeller)</w:t>
            </w:r>
            <w:r>
              <w:rPr>
                <w:rFonts w:ascii="Arial" w:hAnsi="Arial" w:cs="Arial"/>
                <w:sz w:val="18"/>
              </w:rPr>
              <w:t xml:space="preserve"> </w:t>
            </w:r>
            <w:r w:rsidRPr="00B24EC4">
              <w:rPr>
                <w:rFonts w:ascii="Arial" w:hAnsi="Arial" w:cs="Arial"/>
                <w:sz w:val="18"/>
              </w:rPr>
              <w:t>maintenance</w:t>
            </w:r>
            <w:r w:rsidRPr="00B24EC4">
              <w:rPr>
                <w:rFonts w:ascii="Arial" w:hAnsi="Arial" w:cs="Arial"/>
                <w:spacing w:val="-3"/>
                <w:sz w:val="18"/>
              </w:rPr>
              <w:t xml:space="preserve"> </w:t>
            </w:r>
            <w:r w:rsidRPr="00B24EC4">
              <w:rPr>
                <w:rFonts w:ascii="Arial" w:hAnsi="Arial" w:cs="Arial"/>
                <w:sz w:val="18"/>
              </w:rPr>
              <w:t>organisations</w:t>
            </w:r>
          </w:p>
        </w:tc>
        <w:tc>
          <w:tcPr>
            <w:tcW w:w="3530" w:type="dxa"/>
          </w:tcPr>
          <w:p w14:paraId="5B97BB28" w14:textId="77777777" w:rsidR="00B24EC4" w:rsidRPr="00B24EC4" w:rsidRDefault="00B24EC4" w:rsidP="00701F8D">
            <w:pPr>
              <w:pStyle w:val="TableParagraph"/>
              <w:numPr>
                <w:ilvl w:val="0"/>
                <w:numId w:val="311"/>
              </w:numPr>
              <w:tabs>
                <w:tab w:val="left" w:pos="652"/>
                <w:tab w:val="left" w:pos="653"/>
              </w:tabs>
              <w:ind w:right="86"/>
              <w:rPr>
                <w:rFonts w:ascii="Arial" w:hAnsi="Arial" w:cs="Arial"/>
                <w:sz w:val="18"/>
              </w:rPr>
            </w:pPr>
            <w:r w:rsidRPr="00B24EC4">
              <w:rPr>
                <w:rFonts w:ascii="Arial" w:hAnsi="Arial" w:cs="Arial"/>
                <w:sz w:val="18"/>
              </w:rPr>
              <w:t>Aircraft-rated</w:t>
            </w:r>
            <w:r w:rsidRPr="00B24EC4">
              <w:rPr>
                <w:rFonts w:ascii="Arial" w:hAnsi="Arial" w:cs="Arial"/>
                <w:spacing w:val="1"/>
                <w:sz w:val="18"/>
              </w:rPr>
              <w:t xml:space="preserve"> </w:t>
            </w:r>
            <w:r w:rsidRPr="00B24EC4">
              <w:rPr>
                <w:rFonts w:ascii="Arial" w:hAnsi="Arial" w:cs="Arial"/>
                <w:sz w:val="18"/>
              </w:rPr>
              <w:t>maintenance</w:t>
            </w:r>
            <w:r w:rsidRPr="00B24EC4">
              <w:rPr>
                <w:rFonts w:ascii="Arial" w:hAnsi="Arial" w:cs="Arial"/>
                <w:spacing w:val="-43"/>
                <w:sz w:val="18"/>
              </w:rPr>
              <w:t xml:space="preserve"> </w:t>
            </w:r>
            <w:r w:rsidRPr="00B24EC4">
              <w:rPr>
                <w:rFonts w:ascii="Arial" w:hAnsi="Arial" w:cs="Arial"/>
                <w:sz w:val="18"/>
              </w:rPr>
              <w:t>organisations;</w:t>
            </w:r>
            <w:r w:rsidRPr="00B24EC4">
              <w:rPr>
                <w:rFonts w:ascii="Arial" w:hAnsi="Arial" w:cs="Arial"/>
                <w:spacing w:val="-2"/>
                <w:sz w:val="18"/>
              </w:rPr>
              <w:t xml:space="preserve"> </w:t>
            </w:r>
            <w:r w:rsidRPr="00B24EC4">
              <w:rPr>
                <w:rFonts w:ascii="Arial" w:hAnsi="Arial" w:cs="Arial"/>
                <w:sz w:val="18"/>
              </w:rPr>
              <w:t>and/or</w:t>
            </w:r>
          </w:p>
          <w:p w14:paraId="66F3CC77" w14:textId="77777777" w:rsidR="00B24EC4" w:rsidRPr="00B24EC4" w:rsidRDefault="00B24EC4" w:rsidP="00701F8D">
            <w:pPr>
              <w:pStyle w:val="TableParagraph"/>
              <w:numPr>
                <w:ilvl w:val="0"/>
                <w:numId w:val="311"/>
              </w:numPr>
              <w:tabs>
                <w:tab w:val="left" w:pos="652"/>
                <w:tab w:val="left" w:pos="653"/>
              </w:tabs>
              <w:spacing w:line="225" w:lineRule="exact"/>
              <w:rPr>
                <w:rFonts w:ascii="Arial" w:hAnsi="Arial" w:cs="Arial"/>
                <w:sz w:val="18"/>
              </w:rPr>
            </w:pPr>
            <w:r w:rsidRPr="00B24EC4">
              <w:rPr>
                <w:rFonts w:ascii="Arial" w:hAnsi="Arial" w:cs="Arial"/>
                <w:sz w:val="18"/>
              </w:rPr>
              <w:t>independent</w:t>
            </w:r>
            <w:r w:rsidRPr="00B24EC4">
              <w:rPr>
                <w:rFonts w:ascii="Arial" w:hAnsi="Arial" w:cs="Arial"/>
                <w:spacing w:val="-6"/>
                <w:sz w:val="18"/>
              </w:rPr>
              <w:t xml:space="preserve"> </w:t>
            </w:r>
            <w:r w:rsidRPr="00B24EC4">
              <w:rPr>
                <w:rFonts w:ascii="Arial" w:hAnsi="Arial" w:cs="Arial"/>
                <w:sz w:val="18"/>
              </w:rPr>
              <w:t>certifying</w:t>
            </w:r>
            <w:r w:rsidRPr="00B24EC4">
              <w:rPr>
                <w:rFonts w:ascii="Arial" w:hAnsi="Arial" w:cs="Arial"/>
                <w:spacing w:val="-6"/>
                <w:sz w:val="18"/>
              </w:rPr>
              <w:t xml:space="preserve"> </w:t>
            </w:r>
            <w:r w:rsidRPr="00B24EC4">
              <w:rPr>
                <w:rFonts w:ascii="Arial" w:hAnsi="Arial" w:cs="Arial"/>
                <w:sz w:val="18"/>
              </w:rPr>
              <w:t>staff</w:t>
            </w:r>
          </w:p>
        </w:tc>
      </w:tr>
      <w:tr w:rsidR="00B24EC4" w:rsidRPr="00B24EC4" w14:paraId="103111AC" w14:textId="77777777" w:rsidTr="007C7612">
        <w:trPr>
          <w:trHeight w:val="689"/>
        </w:trPr>
        <w:tc>
          <w:tcPr>
            <w:tcW w:w="2609" w:type="dxa"/>
            <w:shd w:val="clear" w:color="auto" w:fill="F2F2F2" w:themeFill="background1" w:themeFillShade="F2"/>
          </w:tcPr>
          <w:p w14:paraId="0B025A08" w14:textId="77777777" w:rsidR="00B24EC4" w:rsidRPr="00B24EC4" w:rsidRDefault="00B24EC4" w:rsidP="00B24EC4">
            <w:pPr>
              <w:pStyle w:val="TableParagraph"/>
              <w:ind w:left="86"/>
              <w:rPr>
                <w:rFonts w:ascii="Arial" w:hAnsi="Arial" w:cs="Arial"/>
                <w:b/>
                <w:sz w:val="18"/>
              </w:rPr>
            </w:pPr>
            <w:r w:rsidRPr="00B24EC4">
              <w:rPr>
                <w:rFonts w:ascii="Arial" w:hAnsi="Arial" w:cs="Arial"/>
                <w:b/>
                <w:sz w:val="18"/>
              </w:rPr>
              <w:t>Overhaul of engines and</w:t>
            </w:r>
            <w:r w:rsidRPr="00B24EC4">
              <w:rPr>
                <w:rFonts w:ascii="Arial" w:hAnsi="Arial" w:cs="Arial"/>
                <w:b/>
                <w:spacing w:val="1"/>
                <w:sz w:val="18"/>
              </w:rPr>
              <w:t xml:space="preserve"> </w:t>
            </w:r>
            <w:r w:rsidRPr="00B24EC4">
              <w:rPr>
                <w:rFonts w:ascii="Arial" w:hAnsi="Arial" w:cs="Arial"/>
                <w:b/>
                <w:sz w:val="18"/>
              </w:rPr>
              <w:t>propellers</w:t>
            </w:r>
            <w:r w:rsidRPr="00B24EC4">
              <w:rPr>
                <w:rFonts w:ascii="Arial" w:hAnsi="Arial" w:cs="Arial"/>
                <w:b/>
                <w:spacing w:val="-4"/>
                <w:sz w:val="18"/>
              </w:rPr>
              <w:t xml:space="preserve"> </w:t>
            </w:r>
            <w:r w:rsidRPr="00B24EC4">
              <w:rPr>
                <w:rFonts w:ascii="Arial" w:hAnsi="Arial" w:cs="Arial"/>
                <w:b/>
                <w:sz w:val="18"/>
              </w:rPr>
              <w:t>for</w:t>
            </w:r>
            <w:r w:rsidRPr="00B24EC4">
              <w:rPr>
                <w:rFonts w:ascii="Arial" w:hAnsi="Arial" w:cs="Arial"/>
                <w:b/>
                <w:spacing w:val="-2"/>
                <w:sz w:val="18"/>
              </w:rPr>
              <w:t xml:space="preserve"> </w:t>
            </w:r>
            <w:r w:rsidRPr="00B24EC4">
              <w:rPr>
                <w:rFonts w:ascii="Arial" w:hAnsi="Arial" w:cs="Arial"/>
                <w:b/>
                <w:sz w:val="18"/>
              </w:rPr>
              <w:t>other</w:t>
            </w:r>
            <w:r w:rsidRPr="00B24EC4">
              <w:rPr>
                <w:rFonts w:ascii="Arial" w:hAnsi="Arial" w:cs="Arial"/>
                <w:b/>
                <w:spacing w:val="-2"/>
                <w:sz w:val="18"/>
              </w:rPr>
              <w:t xml:space="preserve"> </w:t>
            </w:r>
            <w:r w:rsidRPr="00B24EC4">
              <w:rPr>
                <w:rFonts w:ascii="Arial" w:hAnsi="Arial" w:cs="Arial"/>
                <w:b/>
                <w:sz w:val="18"/>
              </w:rPr>
              <w:t>than</w:t>
            </w:r>
            <w:r w:rsidRPr="00B24EC4">
              <w:rPr>
                <w:rFonts w:ascii="Arial" w:hAnsi="Arial" w:cs="Arial"/>
                <w:b/>
                <w:spacing w:val="-3"/>
                <w:sz w:val="18"/>
              </w:rPr>
              <w:t xml:space="preserve"> </w:t>
            </w:r>
            <w:r w:rsidRPr="00B24EC4">
              <w:rPr>
                <w:rFonts w:ascii="Arial" w:hAnsi="Arial" w:cs="Arial"/>
                <w:b/>
                <w:sz w:val="18"/>
              </w:rPr>
              <w:t>CS-VLA,</w:t>
            </w:r>
            <w:r w:rsidRPr="00B24EC4">
              <w:rPr>
                <w:rFonts w:ascii="Arial" w:hAnsi="Arial" w:cs="Arial"/>
                <w:b/>
                <w:spacing w:val="-4"/>
                <w:sz w:val="18"/>
              </w:rPr>
              <w:t xml:space="preserve"> </w:t>
            </w:r>
            <w:r w:rsidRPr="00B24EC4">
              <w:rPr>
                <w:rFonts w:ascii="Arial" w:hAnsi="Arial" w:cs="Arial"/>
                <w:b/>
                <w:sz w:val="18"/>
              </w:rPr>
              <w:t>CS-22</w:t>
            </w:r>
            <w:r w:rsidRPr="00B24EC4">
              <w:rPr>
                <w:rFonts w:ascii="Arial" w:hAnsi="Arial" w:cs="Arial"/>
                <w:b/>
                <w:spacing w:val="-2"/>
                <w:sz w:val="18"/>
              </w:rPr>
              <w:t xml:space="preserve"> </w:t>
            </w:r>
            <w:r w:rsidRPr="00B24EC4">
              <w:rPr>
                <w:rFonts w:ascii="Arial" w:hAnsi="Arial" w:cs="Arial"/>
                <w:b/>
                <w:sz w:val="18"/>
              </w:rPr>
              <w:t>and</w:t>
            </w:r>
            <w:r w:rsidRPr="00B24EC4">
              <w:rPr>
                <w:rFonts w:ascii="Arial" w:hAnsi="Arial" w:cs="Arial"/>
                <w:b/>
                <w:spacing w:val="-1"/>
                <w:sz w:val="18"/>
              </w:rPr>
              <w:t xml:space="preserve"> </w:t>
            </w:r>
            <w:r w:rsidRPr="00B24EC4">
              <w:rPr>
                <w:rFonts w:ascii="Arial" w:hAnsi="Arial" w:cs="Arial"/>
                <w:b/>
                <w:sz w:val="18"/>
              </w:rPr>
              <w:t>LSA</w:t>
            </w:r>
            <w:r w:rsidRPr="00B24EC4">
              <w:rPr>
                <w:rFonts w:ascii="Arial" w:hAnsi="Arial" w:cs="Arial"/>
                <w:b/>
                <w:spacing w:val="-4"/>
                <w:sz w:val="18"/>
              </w:rPr>
              <w:t xml:space="preserve"> </w:t>
            </w:r>
            <w:r w:rsidRPr="00B24EC4">
              <w:rPr>
                <w:rFonts w:ascii="Arial" w:hAnsi="Arial" w:cs="Arial"/>
                <w:b/>
                <w:sz w:val="18"/>
              </w:rPr>
              <w:t>aircraft</w:t>
            </w:r>
          </w:p>
        </w:tc>
        <w:tc>
          <w:tcPr>
            <w:tcW w:w="2966" w:type="dxa"/>
          </w:tcPr>
          <w:p w14:paraId="7444A63E" w14:textId="77777777" w:rsidR="00B24EC4" w:rsidRPr="00B24EC4" w:rsidRDefault="00B24EC4" w:rsidP="00B24EC4">
            <w:pPr>
              <w:pStyle w:val="TableParagraph"/>
              <w:ind w:right="96"/>
              <w:rPr>
                <w:rFonts w:ascii="Arial" w:hAnsi="Arial" w:cs="Arial"/>
                <w:sz w:val="18"/>
              </w:rPr>
            </w:pPr>
            <w:r w:rsidRPr="00B24EC4">
              <w:rPr>
                <w:rFonts w:ascii="Arial" w:hAnsi="Arial" w:cs="Arial"/>
                <w:sz w:val="18"/>
              </w:rPr>
              <w:t>Engine-rated (for engine) or</w:t>
            </w:r>
            <w:r w:rsidRPr="00B24EC4">
              <w:rPr>
                <w:rFonts w:ascii="Arial" w:hAnsi="Arial" w:cs="Arial"/>
                <w:spacing w:val="1"/>
                <w:sz w:val="18"/>
              </w:rPr>
              <w:t xml:space="preserve"> </w:t>
            </w:r>
            <w:r w:rsidRPr="00B24EC4">
              <w:rPr>
                <w:rFonts w:ascii="Arial" w:hAnsi="Arial" w:cs="Arial"/>
                <w:sz w:val="18"/>
              </w:rPr>
              <w:t>component-rated</w:t>
            </w:r>
            <w:r w:rsidRPr="00B24EC4">
              <w:rPr>
                <w:rFonts w:ascii="Arial" w:hAnsi="Arial" w:cs="Arial"/>
                <w:spacing w:val="-4"/>
                <w:sz w:val="18"/>
              </w:rPr>
              <w:t xml:space="preserve"> </w:t>
            </w:r>
            <w:r w:rsidRPr="00B24EC4">
              <w:rPr>
                <w:rFonts w:ascii="Arial" w:hAnsi="Arial" w:cs="Arial"/>
                <w:sz w:val="18"/>
              </w:rPr>
              <w:t>(for</w:t>
            </w:r>
            <w:r w:rsidRPr="00B24EC4">
              <w:rPr>
                <w:rFonts w:ascii="Arial" w:hAnsi="Arial" w:cs="Arial"/>
                <w:spacing w:val="-3"/>
                <w:sz w:val="18"/>
              </w:rPr>
              <w:t xml:space="preserve"> </w:t>
            </w:r>
            <w:r w:rsidRPr="00B24EC4">
              <w:rPr>
                <w:rFonts w:ascii="Arial" w:hAnsi="Arial" w:cs="Arial"/>
                <w:sz w:val="18"/>
              </w:rPr>
              <w:t>propeller)</w:t>
            </w:r>
            <w:r>
              <w:rPr>
                <w:rFonts w:ascii="Arial" w:hAnsi="Arial" w:cs="Arial"/>
                <w:sz w:val="18"/>
              </w:rPr>
              <w:t xml:space="preserve"> </w:t>
            </w:r>
            <w:r w:rsidRPr="00B24EC4">
              <w:rPr>
                <w:rFonts w:ascii="Arial" w:hAnsi="Arial" w:cs="Arial"/>
                <w:sz w:val="18"/>
              </w:rPr>
              <w:t>maintenance</w:t>
            </w:r>
            <w:r w:rsidRPr="00B24EC4">
              <w:rPr>
                <w:rFonts w:ascii="Arial" w:hAnsi="Arial" w:cs="Arial"/>
                <w:spacing w:val="-4"/>
                <w:sz w:val="18"/>
              </w:rPr>
              <w:t xml:space="preserve"> </w:t>
            </w:r>
            <w:r w:rsidRPr="00B24EC4">
              <w:rPr>
                <w:rFonts w:ascii="Arial" w:hAnsi="Arial" w:cs="Arial"/>
                <w:sz w:val="18"/>
              </w:rPr>
              <w:t>organisations</w:t>
            </w:r>
          </w:p>
        </w:tc>
        <w:tc>
          <w:tcPr>
            <w:tcW w:w="3530" w:type="dxa"/>
          </w:tcPr>
          <w:p w14:paraId="08AA815A" w14:textId="77777777" w:rsidR="00B24EC4" w:rsidRPr="00B24EC4" w:rsidRDefault="00B24EC4" w:rsidP="008D238F">
            <w:pPr>
              <w:pStyle w:val="TableParagraph"/>
              <w:spacing w:line="242" w:lineRule="exact"/>
              <w:ind w:left="86"/>
              <w:rPr>
                <w:rFonts w:ascii="Arial" w:hAnsi="Arial" w:cs="Arial"/>
                <w:sz w:val="18"/>
              </w:rPr>
            </w:pPr>
            <w:r w:rsidRPr="00B24EC4">
              <w:rPr>
                <w:rFonts w:ascii="Arial" w:hAnsi="Arial" w:cs="Arial"/>
                <w:sz w:val="18"/>
              </w:rPr>
              <w:t>Not</w:t>
            </w:r>
            <w:r w:rsidRPr="00B24EC4">
              <w:rPr>
                <w:rFonts w:ascii="Arial" w:hAnsi="Arial" w:cs="Arial"/>
                <w:spacing w:val="-4"/>
                <w:sz w:val="18"/>
              </w:rPr>
              <w:t xml:space="preserve"> </w:t>
            </w:r>
            <w:r w:rsidRPr="00B24EC4">
              <w:rPr>
                <w:rFonts w:ascii="Arial" w:hAnsi="Arial" w:cs="Arial"/>
                <w:sz w:val="18"/>
              </w:rPr>
              <w:t>possible</w:t>
            </w:r>
          </w:p>
        </w:tc>
      </w:tr>
      <w:tr w:rsidR="00B24EC4" w:rsidRPr="00B24EC4" w14:paraId="2A93A9A1" w14:textId="77777777" w:rsidTr="007C7612">
        <w:trPr>
          <w:trHeight w:val="445"/>
        </w:trPr>
        <w:tc>
          <w:tcPr>
            <w:tcW w:w="9108" w:type="dxa"/>
            <w:gridSpan w:val="3"/>
            <w:shd w:val="clear" w:color="auto" w:fill="F2F2F2" w:themeFill="background1" w:themeFillShade="F2"/>
          </w:tcPr>
          <w:p w14:paraId="457F9AE6" w14:textId="77777777" w:rsidR="00B24EC4" w:rsidRPr="00B24EC4" w:rsidRDefault="00B24EC4" w:rsidP="008D238F">
            <w:pPr>
              <w:pStyle w:val="TableParagraph"/>
              <w:spacing w:line="242" w:lineRule="exact"/>
              <w:ind w:left="1128" w:right="1130"/>
              <w:jc w:val="center"/>
              <w:rPr>
                <w:rFonts w:ascii="Arial" w:hAnsi="Arial" w:cs="Arial"/>
                <w:b/>
                <w:sz w:val="18"/>
              </w:rPr>
            </w:pPr>
            <w:r w:rsidRPr="00B24EC4">
              <w:rPr>
                <w:rFonts w:ascii="Arial" w:hAnsi="Arial" w:cs="Arial"/>
                <w:b/>
                <w:sz w:val="18"/>
              </w:rPr>
              <w:t>Components</w:t>
            </w:r>
            <w:r w:rsidRPr="00B24EC4">
              <w:rPr>
                <w:rFonts w:ascii="Arial" w:hAnsi="Arial" w:cs="Arial"/>
                <w:b/>
                <w:spacing w:val="-5"/>
                <w:sz w:val="18"/>
              </w:rPr>
              <w:t xml:space="preserve"> </w:t>
            </w:r>
            <w:r w:rsidRPr="00B24EC4">
              <w:rPr>
                <w:rFonts w:ascii="Arial" w:hAnsi="Arial" w:cs="Arial"/>
                <w:b/>
                <w:sz w:val="18"/>
              </w:rPr>
              <w:t>maintained</w:t>
            </w:r>
            <w:r w:rsidRPr="00B24EC4">
              <w:rPr>
                <w:rFonts w:ascii="Arial" w:hAnsi="Arial" w:cs="Arial"/>
                <w:b/>
                <w:spacing w:val="-3"/>
                <w:sz w:val="18"/>
              </w:rPr>
              <w:t xml:space="preserve"> </w:t>
            </w:r>
            <w:r w:rsidRPr="00B24EC4">
              <w:rPr>
                <w:rFonts w:ascii="Arial" w:hAnsi="Arial" w:cs="Arial"/>
                <w:b/>
                <w:sz w:val="18"/>
              </w:rPr>
              <w:t>in</w:t>
            </w:r>
            <w:r w:rsidRPr="00B24EC4">
              <w:rPr>
                <w:rFonts w:ascii="Arial" w:hAnsi="Arial" w:cs="Arial"/>
                <w:b/>
                <w:spacing w:val="-3"/>
                <w:sz w:val="18"/>
              </w:rPr>
              <w:t xml:space="preserve"> </w:t>
            </w:r>
            <w:r w:rsidRPr="00B24EC4">
              <w:rPr>
                <w:rFonts w:ascii="Arial" w:hAnsi="Arial" w:cs="Arial"/>
                <w:b/>
                <w:sz w:val="18"/>
              </w:rPr>
              <w:t>accordance</w:t>
            </w:r>
            <w:r w:rsidRPr="00B24EC4">
              <w:rPr>
                <w:rFonts w:ascii="Arial" w:hAnsi="Arial" w:cs="Arial"/>
                <w:b/>
                <w:spacing w:val="-6"/>
                <w:sz w:val="18"/>
              </w:rPr>
              <w:t xml:space="preserve"> </w:t>
            </w:r>
            <w:r w:rsidRPr="00B24EC4">
              <w:rPr>
                <w:rFonts w:ascii="Arial" w:hAnsi="Arial" w:cs="Arial"/>
                <w:b/>
                <w:sz w:val="18"/>
              </w:rPr>
              <w:t>with</w:t>
            </w:r>
            <w:r w:rsidRPr="00B24EC4">
              <w:rPr>
                <w:rFonts w:ascii="Arial" w:hAnsi="Arial" w:cs="Arial"/>
                <w:b/>
                <w:spacing w:val="-2"/>
                <w:sz w:val="18"/>
              </w:rPr>
              <w:t xml:space="preserve"> </w:t>
            </w:r>
            <w:r w:rsidRPr="00B24EC4">
              <w:rPr>
                <w:rFonts w:ascii="Arial" w:hAnsi="Arial" w:cs="Arial"/>
                <w:b/>
                <w:sz w:val="18"/>
              </w:rPr>
              <w:t>aircraft</w:t>
            </w:r>
            <w:r w:rsidRPr="00B24EC4">
              <w:rPr>
                <w:rFonts w:ascii="Arial" w:hAnsi="Arial" w:cs="Arial"/>
                <w:b/>
                <w:spacing w:val="-4"/>
                <w:sz w:val="18"/>
              </w:rPr>
              <w:t xml:space="preserve"> </w:t>
            </w:r>
            <w:r w:rsidRPr="00B24EC4">
              <w:rPr>
                <w:rFonts w:ascii="Arial" w:hAnsi="Arial" w:cs="Arial"/>
                <w:b/>
                <w:sz w:val="18"/>
              </w:rPr>
              <w:t>maintenance</w:t>
            </w:r>
            <w:r w:rsidRPr="00B24EC4">
              <w:rPr>
                <w:rFonts w:ascii="Arial" w:hAnsi="Arial" w:cs="Arial"/>
                <w:b/>
                <w:spacing w:val="-2"/>
                <w:sz w:val="18"/>
              </w:rPr>
              <w:t xml:space="preserve"> </w:t>
            </w:r>
            <w:r w:rsidRPr="00B24EC4">
              <w:rPr>
                <w:rFonts w:ascii="Arial" w:hAnsi="Arial" w:cs="Arial"/>
                <w:b/>
                <w:sz w:val="18"/>
              </w:rPr>
              <w:t>data</w:t>
            </w:r>
          </w:p>
          <w:p w14:paraId="4B6631DC" w14:textId="77777777" w:rsidR="00B24EC4" w:rsidRPr="00B24EC4" w:rsidRDefault="00B24EC4" w:rsidP="008D238F">
            <w:pPr>
              <w:pStyle w:val="TableParagraph"/>
              <w:spacing w:before="1" w:line="225" w:lineRule="exact"/>
              <w:ind w:left="1128" w:right="1128"/>
              <w:jc w:val="center"/>
              <w:rPr>
                <w:rFonts w:ascii="Arial" w:hAnsi="Arial" w:cs="Arial"/>
                <w:b/>
                <w:sz w:val="18"/>
              </w:rPr>
            </w:pPr>
            <w:r w:rsidRPr="00B24EC4">
              <w:rPr>
                <w:rFonts w:ascii="Arial" w:hAnsi="Arial" w:cs="Arial"/>
                <w:b/>
                <w:sz w:val="18"/>
              </w:rPr>
              <w:t>(data</w:t>
            </w:r>
            <w:r w:rsidRPr="00B24EC4">
              <w:rPr>
                <w:rFonts w:ascii="Arial" w:hAnsi="Arial" w:cs="Arial"/>
                <w:b/>
                <w:spacing w:val="-3"/>
                <w:sz w:val="18"/>
              </w:rPr>
              <w:t xml:space="preserve"> </w:t>
            </w:r>
            <w:r w:rsidRPr="00B24EC4">
              <w:rPr>
                <w:rFonts w:ascii="Arial" w:hAnsi="Arial" w:cs="Arial"/>
                <w:b/>
                <w:sz w:val="18"/>
              </w:rPr>
              <w:t>issued</w:t>
            </w:r>
            <w:r w:rsidRPr="00B24EC4">
              <w:rPr>
                <w:rFonts w:ascii="Arial" w:hAnsi="Arial" w:cs="Arial"/>
                <w:b/>
                <w:spacing w:val="-2"/>
                <w:sz w:val="18"/>
              </w:rPr>
              <w:t xml:space="preserve"> </w:t>
            </w:r>
            <w:r w:rsidRPr="00B24EC4">
              <w:rPr>
                <w:rFonts w:ascii="Arial" w:hAnsi="Arial" w:cs="Arial"/>
                <w:b/>
                <w:sz w:val="18"/>
              </w:rPr>
              <w:t>by</w:t>
            </w:r>
            <w:r w:rsidRPr="00B24EC4">
              <w:rPr>
                <w:rFonts w:ascii="Arial" w:hAnsi="Arial" w:cs="Arial"/>
                <w:b/>
                <w:spacing w:val="-4"/>
                <w:sz w:val="18"/>
              </w:rPr>
              <w:t xml:space="preserve"> </w:t>
            </w:r>
            <w:r w:rsidRPr="00B24EC4">
              <w:rPr>
                <w:rFonts w:ascii="Arial" w:hAnsi="Arial" w:cs="Arial"/>
                <w:b/>
                <w:sz w:val="18"/>
              </w:rPr>
              <w:t>the</w:t>
            </w:r>
            <w:r w:rsidRPr="00B24EC4">
              <w:rPr>
                <w:rFonts w:ascii="Arial" w:hAnsi="Arial" w:cs="Arial"/>
                <w:b/>
                <w:spacing w:val="-2"/>
                <w:sz w:val="18"/>
              </w:rPr>
              <w:t xml:space="preserve"> </w:t>
            </w:r>
            <w:r w:rsidRPr="00B24EC4">
              <w:rPr>
                <w:rFonts w:ascii="Arial" w:hAnsi="Arial" w:cs="Arial"/>
                <w:b/>
                <w:sz w:val="18"/>
              </w:rPr>
              <w:t>aircraft</w:t>
            </w:r>
            <w:r w:rsidRPr="00B24EC4">
              <w:rPr>
                <w:rFonts w:ascii="Arial" w:hAnsi="Arial" w:cs="Arial"/>
                <w:b/>
                <w:spacing w:val="-4"/>
                <w:sz w:val="18"/>
              </w:rPr>
              <w:t xml:space="preserve"> </w:t>
            </w:r>
            <w:r w:rsidRPr="00B24EC4">
              <w:rPr>
                <w:rFonts w:ascii="Arial" w:hAnsi="Arial" w:cs="Arial"/>
                <w:b/>
                <w:sz w:val="18"/>
              </w:rPr>
              <w:t>manufacturer)</w:t>
            </w:r>
          </w:p>
        </w:tc>
      </w:tr>
      <w:tr w:rsidR="00B24EC4" w:rsidRPr="00B24EC4" w14:paraId="7AA2BC9D" w14:textId="77777777" w:rsidTr="007C7612">
        <w:trPr>
          <w:trHeight w:val="932"/>
        </w:trPr>
        <w:tc>
          <w:tcPr>
            <w:tcW w:w="2609" w:type="dxa"/>
            <w:shd w:val="clear" w:color="auto" w:fill="F2F2F2" w:themeFill="background1" w:themeFillShade="F2"/>
          </w:tcPr>
          <w:p w14:paraId="7DDF3DC2" w14:textId="77777777" w:rsidR="00B24EC4" w:rsidRPr="00B24EC4" w:rsidRDefault="00B24EC4" w:rsidP="008D238F">
            <w:pPr>
              <w:pStyle w:val="TableParagraph"/>
              <w:ind w:left="86"/>
              <w:rPr>
                <w:rFonts w:ascii="Arial" w:hAnsi="Arial" w:cs="Arial"/>
                <w:b/>
                <w:sz w:val="18"/>
              </w:rPr>
            </w:pPr>
            <w:r w:rsidRPr="00B24EC4">
              <w:rPr>
                <w:rFonts w:ascii="Arial" w:hAnsi="Arial" w:cs="Arial"/>
                <w:b/>
                <w:sz w:val="18"/>
              </w:rPr>
              <w:t>All components and all types</w:t>
            </w:r>
            <w:r w:rsidRPr="00B24EC4">
              <w:rPr>
                <w:rFonts w:ascii="Arial" w:hAnsi="Arial" w:cs="Arial"/>
                <w:b/>
                <w:spacing w:val="-43"/>
                <w:sz w:val="18"/>
              </w:rPr>
              <w:t xml:space="preserve"> </w:t>
            </w:r>
            <w:r w:rsidRPr="00B24EC4">
              <w:rPr>
                <w:rFonts w:ascii="Arial" w:hAnsi="Arial" w:cs="Arial"/>
                <w:b/>
                <w:sz w:val="18"/>
              </w:rPr>
              <w:t>of</w:t>
            </w:r>
            <w:r w:rsidRPr="00B24EC4">
              <w:rPr>
                <w:rFonts w:ascii="Arial" w:hAnsi="Arial" w:cs="Arial"/>
                <w:b/>
                <w:spacing w:val="-2"/>
                <w:sz w:val="18"/>
              </w:rPr>
              <w:t xml:space="preserve"> </w:t>
            </w:r>
            <w:r w:rsidRPr="00B24EC4">
              <w:rPr>
                <w:rFonts w:ascii="Arial" w:hAnsi="Arial" w:cs="Arial"/>
                <w:b/>
                <w:sz w:val="18"/>
              </w:rPr>
              <w:t>maintenance</w:t>
            </w:r>
          </w:p>
        </w:tc>
        <w:tc>
          <w:tcPr>
            <w:tcW w:w="2966" w:type="dxa"/>
          </w:tcPr>
          <w:p w14:paraId="7851251F" w14:textId="77777777" w:rsidR="00B24EC4" w:rsidRPr="00B24EC4" w:rsidRDefault="00B24EC4" w:rsidP="00B24EC4">
            <w:pPr>
              <w:pStyle w:val="TableParagraph"/>
              <w:tabs>
                <w:tab w:val="left" w:pos="2132"/>
              </w:tabs>
              <w:ind w:right="456"/>
              <w:jc w:val="both"/>
              <w:rPr>
                <w:rFonts w:ascii="Arial" w:hAnsi="Arial" w:cs="Arial"/>
                <w:sz w:val="18"/>
              </w:rPr>
            </w:pPr>
            <w:r w:rsidRPr="00B24EC4">
              <w:rPr>
                <w:rFonts w:ascii="Arial" w:hAnsi="Arial" w:cs="Arial"/>
                <w:sz w:val="18"/>
              </w:rPr>
              <w:t>Engine-rated (for engine) or</w:t>
            </w:r>
            <w:r w:rsidRPr="00B24EC4">
              <w:rPr>
                <w:rFonts w:ascii="Arial" w:hAnsi="Arial" w:cs="Arial"/>
                <w:spacing w:val="1"/>
                <w:sz w:val="18"/>
              </w:rPr>
              <w:t xml:space="preserve"> </w:t>
            </w:r>
            <w:r w:rsidRPr="00B24EC4">
              <w:rPr>
                <w:rFonts w:ascii="Arial" w:hAnsi="Arial" w:cs="Arial"/>
                <w:sz w:val="18"/>
              </w:rPr>
              <w:t>component-rated (for other</w:t>
            </w:r>
            <w:r w:rsidRPr="00B24EC4">
              <w:rPr>
                <w:rFonts w:ascii="Arial" w:hAnsi="Arial" w:cs="Arial"/>
                <w:spacing w:val="1"/>
                <w:sz w:val="18"/>
              </w:rPr>
              <w:t xml:space="preserve"> </w:t>
            </w:r>
            <w:r w:rsidRPr="00B24EC4">
              <w:rPr>
                <w:rFonts w:ascii="Arial" w:hAnsi="Arial" w:cs="Arial"/>
                <w:sz w:val="18"/>
              </w:rPr>
              <w:t>components)</w:t>
            </w:r>
            <w:r w:rsidRPr="00B24EC4">
              <w:rPr>
                <w:rFonts w:ascii="Arial" w:hAnsi="Arial" w:cs="Arial"/>
                <w:spacing w:val="-1"/>
                <w:sz w:val="18"/>
              </w:rPr>
              <w:t xml:space="preserve"> </w:t>
            </w:r>
            <w:r w:rsidRPr="00B24EC4">
              <w:rPr>
                <w:rFonts w:ascii="Arial" w:hAnsi="Arial" w:cs="Arial"/>
                <w:sz w:val="18"/>
              </w:rPr>
              <w:t>maintenance</w:t>
            </w:r>
            <w:r>
              <w:rPr>
                <w:rFonts w:ascii="Arial" w:hAnsi="Arial" w:cs="Arial"/>
                <w:sz w:val="18"/>
              </w:rPr>
              <w:t xml:space="preserve"> </w:t>
            </w:r>
            <w:r w:rsidRPr="00B24EC4">
              <w:rPr>
                <w:rFonts w:ascii="Arial" w:hAnsi="Arial" w:cs="Arial"/>
                <w:sz w:val="18"/>
              </w:rPr>
              <w:t>organisations</w:t>
            </w:r>
          </w:p>
        </w:tc>
        <w:tc>
          <w:tcPr>
            <w:tcW w:w="3530" w:type="dxa"/>
          </w:tcPr>
          <w:p w14:paraId="5C0A1AF5" w14:textId="77777777" w:rsidR="00B24EC4" w:rsidRPr="00B24EC4" w:rsidRDefault="00B24EC4" w:rsidP="00701F8D">
            <w:pPr>
              <w:pStyle w:val="TableParagraph"/>
              <w:numPr>
                <w:ilvl w:val="0"/>
                <w:numId w:val="310"/>
              </w:numPr>
              <w:tabs>
                <w:tab w:val="left" w:pos="652"/>
                <w:tab w:val="left" w:pos="653"/>
              </w:tabs>
              <w:ind w:right="86"/>
              <w:rPr>
                <w:rFonts w:ascii="Arial" w:hAnsi="Arial" w:cs="Arial"/>
                <w:sz w:val="18"/>
              </w:rPr>
            </w:pPr>
            <w:r w:rsidRPr="00B24EC4">
              <w:rPr>
                <w:rFonts w:ascii="Arial" w:hAnsi="Arial" w:cs="Arial"/>
                <w:sz w:val="18"/>
              </w:rPr>
              <w:t>Aircraft-rated</w:t>
            </w:r>
            <w:r w:rsidRPr="00B24EC4">
              <w:rPr>
                <w:rFonts w:ascii="Arial" w:hAnsi="Arial" w:cs="Arial"/>
                <w:spacing w:val="1"/>
                <w:sz w:val="18"/>
              </w:rPr>
              <w:t xml:space="preserve"> </w:t>
            </w:r>
            <w:r w:rsidRPr="00B24EC4">
              <w:rPr>
                <w:rFonts w:ascii="Arial" w:hAnsi="Arial" w:cs="Arial"/>
                <w:sz w:val="18"/>
              </w:rPr>
              <w:t>maintenance</w:t>
            </w:r>
            <w:r w:rsidRPr="00B24EC4">
              <w:rPr>
                <w:rFonts w:ascii="Arial" w:hAnsi="Arial" w:cs="Arial"/>
                <w:spacing w:val="-43"/>
                <w:sz w:val="18"/>
              </w:rPr>
              <w:t xml:space="preserve"> </w:t>
            </w:r>
            <w:r w:rsidRPr="00B24EC4">
              <w:rPr>
                <w:rFonts w:ascii="Arial" w:hAnsi="Arial" w:cs="Arial"/>
                <w:sz w:val="18"/>
              </w:rPr>
              <w:t>organisations;</w:t>
            </w:r>
            <w:r w:rsidRPr="00B24EC4">
              <w:rPr>
                <w:rFonts w:ascii="Arial" w:hAnsi="Arial" w:cs="Arial"/>
                <w:spacing w:val="-2"/>
                <w:sz w:val="18"/>
              </w:rPr>
              <w:t xml:space="preserve"> </w:t>
            </w:r>
            <w:r w:rsidRPr="00B24EC4">
              <w:rPr>
                <w:rFonts w:ascii="Arial" w:hAnsi="Arial" w:cs="Arial"/>
                <w:sz w:val="18"/>
              </w:rPr>
              <w:t>and/or</w:t>
            </w:r>
          </w:p>
          <w:p w14:paraId="0AB91D39" w14:textId="77777777" w:rsidR="00B24EC4" w:rsidRPr="00B24EC4" w:rsidRDefault="00B24EC4" w:rsidP="00701F8D">
            <w:pPr>
              <w:pStyle w:val="TableParagraph"/>
              <w:numPr>
                <w:ilvl w:val="0"/>
                <w:numId w:val="310"/>
              </w:numPr>
              <w:tabs>
                <w:tab w:val="left" w:pos="652"/>
                <w:tab w:val="left" w:pos="653"/>
              </w:tabs>
              <w:rPr>
                <w:rFonts w:ascii="Arial" w:hAnsi="Arial" w:cs="Arial"/>
                <w:sz w:val="18"/>
              </w:rPr>
            </w:pPr>
            <w:r w:rsidRPr="00B24EC4">
              <w:rPr>
                <w:rFonts w:ascii="Arial" w:hAnsi="Arial" w:cs="Arial"/>
                <w:sz w:val="18"/>
              </w:rPr>
              <w:t>independent</w:t>
            </w:r>
            <w:r w:rsidRPr="00B24EC4">
              <w:rPr>
                <w:rFonts w:ascii="Arial" w:hAnsi="Arial" w:cs="Arial"/>
                <w:spacing w:val="-6"/>
                <w:sz w:val="18"/>
              </w:rPr>
              <w:t xml:space="preserve"> </w:t>
            </w:r>
            <w:r w:rsidRPr="00B24EC4">
              <w:rPr>
                <w:rFonts w:ascii="Arial" w:hAnsi="Arial" w:cs="Arial"/>
                <w:sz w:val="18"/>
              </w:rPr>
              <w:t>certifying</w:t>
            </w:r>
            <w:r w:rsidRPr="00B24EC4">
              <w:rPr>
                <w:rFonts w:ascii="Arial" w:hAnsi="Arial" w:cs="Arial"/>
                <w:spacing w:val="-6"/>
                <w:sz w:val="18"/>
              </w:rPr>
              <w:t xml:space="preserve"> </w:t>
            </w:r>
            <w:r w:rsidRPr="00B24EC4">
              <w:rPr>
                <w:rFonts w:ascii="Arial" w:hAnsi="Arial" w:cs="Arial"/>
                <w:sz w:val="18"/>
              </w:rPr>
              <w:t>staff</w:t>
            </w:r>
          </w:p>
        </w:tc>
      </w:tr>
    </w:tbl>
    <w:p w14:paraId="502AD9FB" w14:textId="77777777" w:rsidR="00B24EC4" w:rsidRDefault="00B24EC4" w:rsidP="000B112D">
      <w:pPr>
        <w:jc w:val="both"/>
        <w:rPr>
          <w:rFonts w:ascii="Arial" w:eastAsia="Times New Roman" w:hAnsi="Arial" w:cs="Times New Roman"/>
          <w:sz w:val="18"/>
        </w:rPr>
      </w:pPr>
    </w:p>
    <w:p w14:paraId="16F95145" w14:textId="77777777" w:rsidR="0070525B" w:rsidRPr="0070525B" w:rsidRDefault="0070525B" w:rsidP="0070525B">
      <w:pPr>
        <w:keepNext/>
        <w:keepLines/>
        <w:widowControl/>
        <w:shd w:val="clear" w:color="auto" w:fill="339966"/>
        <w:autoSpaceDE/>
        <w:autoSpaceDN/>
        <w:spacing w:before="160" w:after="120" w:line="259" w:lineRule="auto"/>
        <w:outlineLvl w:val="4"/>
        <w:rPr>
          <w:rFonts w:ascii="Arial" w:eastAsia="Times New Roman" w:hAnsi="Arial" w:cs="Times New Roman"/>
          <w:b/>
          <w:color w:val="FFFFFF"/>
          <w:sz w:val="24"/>
        </w:rPr>
      </w:pPr>
      <w:bookmarkStart w:id="897" w:name="_Toc153137540"/>
      <w:r w:rsidRPr="0070525B">
        <w:rPr>
          <w:rFonts w:ascii="Arial" w:eastAsia="Times New Roman" w:hAnsi="Arial" w:cs="Times New Roman"/>
          <w:b/>
          <w:color w:val="FFFFFF"/>
          <w:sz w:val="24"/>
        </w:rPr>
        <w:t>GM1 ML.A.502 Component maintenance</w:t>
      </w:r>
      <w:bookmarkEnd w:id="897"/>
      <w:r w:rsidRPr="0070525B">
        <w:rPr>
          <w:rFonts w:ascii="Arial" w:eastAsia="Times New Roman" w:hAnsi="Arial" w:cs="Times New Roman"/>
          <w:b/>
          <w:color w:val="FFFFFF"/>
          <w:sz w:val="24"/>
        </w:rPr>
        <w:tab/>
      </w:r>
    </w:p>
    <w:p w14:paraId="75AF8ACC" w14:textId="77777777" w:rsidR="0070525B" w:rsidRPr="0070525B" w:rsidRDefault="0070525B" w:rsidP="0070525B">
      <w:pPr>
        <w:jc w:val="both"/>
        <w:rPr>
          <w:rFonts w:ascii="Arial" w:eastAsia="Times New Roman" w:hAnsi="Arial" w:cs="Times New Roman"/>
          <w:b/>
          <w:sz w:val="20"/>
        </w:rPr>
      </w:pPr>
      <w:r w:rsidRPr="0070525B">
        <w:rPr>
          <w:rFonts w:ascii="Arial" w:eastAsia="Times New Roman" w:hAnsi="Arial" w:cs="Times New Roman"/>
          <w:b/>
          <w:sz w:val="20"/>
        </w:rPr>
        <w:t>COMPONENT MAINTENANCE BY INDEPENDENT CERTIFYING STAFF</w:t>
      </w:r>
    </w:p>
    <w:p w14:paraId="6A6C9FEE" w14:textId="77777777" w:rsidR="0070525B" w:rsidRPr="0070525B" w:rsidRDefault="0070525B" w:rsidP="005E7CDD">
      <w:pPr>
        <w:pStyle w:val="BodyText"/>
        <w:spacing w:before="118"/>
        <w:ind w:right="44"/>
        <w:jc w:val="both"/>
        <w:rPr>
          <w:rFonts w:ascii="Arial" w:hAnsi="Arial" w:cs="Arial"/>
          <w:sz w:val="20"/>
        </w:rPr>
      </w:pPr>
      <w:r w:rsidRPr="0070525B">
        <w:rPr>
          <w:rFonts w:ascii="Arial" w:hAnsi="Arial" w:cs="Arial"/>
          <w:sz w:val="20"/>
        </w:rPr>
        <w:t>The cases where the independent certifying staff can release component maintenance are only valid</w:t>
      </w:r>
      <w:r w:rsidRPr="0070525B">
        <w:rPr>
          <w:rFonts w:ascii="Arial" w:hAnsi="Arial" w:cs="Arial"/>
          <w:spacing w:val="1"/>
          <w:sz w:val="20"/>
        </w:rPr>
        <w:t xml:space="preserve"> </w:t>
      </w:r>
      <w:r w:rsidRPr="0070525B">
        <w:rPr>
          <w:rFonts w:ascii="Arial" w:hAnsi="Arial" w:cs="Arial"/>
          <w:sz w:val="20"/>
        </w:rPr>
        <w:t>when the independent certifying staff is allowed, according to ML.A.201, to carry out maintenance</w:t>
      </w:r>
      <w:r w:rsidRPr="0070525B">
        <w:rPr>
          <w:rFonts w:ascii="Arial" w:hAnsi="Arial" w:cs="Arial"/>
          <w:spacing w:val="1"/>
          <w:sz w:val="20"/>
        </w:rPr>
        <w:t xml:space="preserve"> </w:t>
      </w:r>
      <w:r w:rsidRPr="0070525B">
        <w:rPr>
          <w:rFonts w:ascii="Arial" w:hAnsi="Arial" w:cs="Arial"/>
          <w:sz w:val="20"/>
        </w:rPr>
        <w:t>(refer</w:t>
      </w:r>
      <w:r w:rsidRPr="0070525B">
        <w:rPr>
          <w:rFonts w:ascii="Arial" w:hAnsi="Arial" w:cs="Arial"/>
          <w:spacing w:val="-3"/>
          <w:sz w:val="20"/>
        </w:rPr>
        <w:t xml:space="preserve"> </w:t>
      </w:r>
      <w:r w:rsidRPr="0070525B">
        <w:rPr>
          <w:rFonts w:ascii="Arial" w:hAnsi="Arial" w:cs="Arial"/>
          <w:sz w:val="20"/>
        </w:rPr>
        <w:t>to</w:t>
      </w:r>
      <w:r w:rsidRPr="0070525B">
        <w:rPr>
          <w:rFonts w:ascii="Arial" w:hAnsi="Arial" w:cs="Arial"/>
          <w:spacing w:val="-1"/>
          <w:sz w:val="20"/>
        </w:rPr>
        <w:t xml:space="preserve"> </w:t>
      </w:r>
      <w:r w:rsidRPr="0070525B">
        <w:rPr>
          <w:rFonts w:ascii="Arial" w:hAnsi="Arial" w:cs="Arial"/>
          <w:sz w:val="20"/>
        </w:rPr>
        <w:t>GM1 ML.A.201)</w:t>
      </w:r>
      <w:r w:rsidRPr="0070525B">
        <w:rPr>
          <w:rFonts w:ascii="Arial" w:hAnsi="Arial" w:cs="Arial"/>
          <w:spacing w:val="-1"/>
          <w:sz w:val="20"/>
        </w:rPr>
        <w:t xml:space="preserve"> </w:t>
      </w:r>
      <w:r w:rsidRPr="0070525B">
        <w:rPr>
          <w:rFonts w:ascii="Arial" w:hAnsi="Arial" w:cs="Arial"/>
          <w:sz w:val="20"/>
        </w:rPr>
        <w:t>and</w:t>
      </w:r>
      <w:r w:rsidRPr="0070525B">
        <w:rPr>
          <w:rFonts w:ascii="Arial" w:hAnsi="Arial" w:cs="Arial"/>
          <w:spacing w:val="-1"/>
          <w:sz w:val="20"/>
        </w:rPr>
        <w:t xml:space="preserve"> </w:t>
      </w:r>
      <w:r w:rsidRPr="0070525B">
        <w:rPr>
          <w:rFonts w:ascii="Arial" w:hAnsi="Arial" w:cs="Arial"/>
          <w:sz w:val="20"/>
        </w:rPr>
        <w:t>when</w:t>
      </w:r>
      <w:r w:rsidRPr="0070525B">
        <w:rPr>
          <w:rFonts w:ascii="Arial" w:hAnsi="Arial" w:cs="Arial"/>
          <w:spacing w:val="-1"/>
          <w:sz w:val="20"/>
        </w:rPr>
        <w:t xml:space="preserve"> </w:t>
      </w:r>
      <w:r w:rsidRPr="0070525B">
        <w:rPr>
          <w:rFonts w:ascii="Arial" w:hAnsi="Arial" w:cs="Arial"/>
          <w:sz w:val="20"/>
        </w:rPr>
        <w:t>he</w:t>
      </w:r>
      <w:r w:rsidRPr="0070525B">
        <w:rPr>
          <w:rFonts w:ascii="Arial" w:hAnsi="Arial" w:cs="Arial"/>
          <w:spacing w:val="-2"/>
          <w:sz w:val="20"/>
        </w:rPr>
        <w:t xml:space="preserve"> </w:t>
      </w:r>
      <w:r w:rsidRPr="0070525B">
        <w:rPr>
          <w:rFonts w:ascii="Arial" w:hAnsi="Arial" w:cs="Arial"/>
          <w:sz w:val="20"/>
        </w:rPr>
        <w:t>or</w:t>
      </w:r>
      <w:r w:rsidRPr="0070525B">
        <w:rPr>
          <w:rFonts w:ascii="Arial" w:hAnsi="Arial" w:cs="Arial"/>
          <w:spacing w:val="-1"/>
          <w:sz w:val="20"/>
        </w:rPr>
        <w:t xml:space="preserve"> </w:t>
      </w:r>
      <w:r w:rsidRPr="0070525B">
        <w:rPr>
          <w:rFonts w:ascii="Arial" w:hAnsi="Arial" w:cs="Arial"/>
          <w:sz w:val="20"/>
        </w:rPr>
        <w:t>she is competent</w:t>
      </w:r>
      <w:r w:rsidRPr="0070525B">
        <w:rPr>
          <w:rFonts w:ascii="Arial" w:hAnsi="Arial" w:cs="Arial"/>
          <w:spacing w:val="-1"/>
          <w:sz w:val="20"/>
        </w:rPr>
        <w:t xml:space="preserve"> </w:t>
      </w:r>
      <w:r w:rsidRPr="0070525B">
        <w:rPr>
          <w:rFonts w:ascii="Arial" w:hAnsi="Arial" w:cs="Arial"/>
          <w:sz w:val="20"/>
        </w:rPr>
        <w:t>for</w:t>
      </w:r>
      <w:r w:rsidRPr="0070525B">
        <w:rPr>
          <w:rFonts w:ascii="Arial" w:hAnsi="Arial" w:cs="Arial"/>
          <w:spacing w:val="-3"/>
          <w:sz w:val="20"/>
        </w:rPr>
        <w:t xml:space="preserve"> </w:t>
      </w:r>
      <w:r w:rsidRPr="0070525B">
        <w:rPr>
          <w:rFonts w:ascii="Arial" w:hAnsi="Arial" w:cs="Arial"/>
          <w:sz w:val="20"/>
        </w:rPr>
        <w:t>such</w:t>
      </w:r>
      <w:r w:rsidRPr="0070525B">
        <w:rPr>
          <w:rFonts w:ascii="Arial" w:hAnsi="Arial" w:cs="Arial"/>
          <w:spacing w:val="-1"/>
          <w:sz w:val="20"/>
        </w:rPr>
        <w:t xml:space="preserve"> </w:t>
      </w:r>
      <w:r w:rsidRPr="0070525B">
        <w:rPr>
          <w:rFonts w:ascii="Arial" w:hAnsi="Arial" w:cs="Arial"/>
          <w:sz w:val="20"/>
        </w:rPr>
        <w:t>component</w:t>
      </w:r>
      <w:r w:rsidRPr="0070525B">
        <w:rPr>
          <w:rFonts w:ascii="Arial" w:hAnsi="Arial" w:cs="Arial"/>
          <w:spacing w:val="-5"/>
          <w:sz w:val="20"/>
        </w:rPr>
        <w:t xml:space="preserve"> </w:t>
      </w:r>
      <w:r w:rsidRPr="0070525B">
        <w:rPr>
          <w:rFonts w:ascii="Arial" w:hAnsi="Arial" w:cs="Arial"/>
          <w:sz w:val="20"/>
        </w:rPr>
        <w:t>maintenance.</w:t>
      </w:r>
    </w:p>
    <w:p w14:paraId="644055FC" w14:textId="77777777" w:rsidR="0070525B" w:rsidRPr="0070525B" w:rsidRDefault="0070525B" w:rsidP="005E7CDD">
      <w:pPr>
        <w:pStyle w:val="BodyText"/>
        <w:spacing w:before="121"/>
        <w:ind w:right="44"/>
        <w:jc w:val="both"/>
        <w:rPr>
          <w:rFonts w:ascii="Arial" w:hAnsi="Arial" w:cs="Arial"/>
          <w:sz w:val="20"/>
        </w:rPr>
      </w:pPr>
      <w:r w:rsidRPr="0070525B">
        <w:rPr>
          <w:rFonts w:ascii="Arial" w:hAnsi="Arial" w:cs="Arial"/>
          <w:sz w:val="20"/>
        </w:rPr>
        <w:lastRenderedPageBreak/>
        <w:t>As an example, in accordance with ML.A.201(e), the independent certifying staff cannot carry out</w:t>
      </w:r>
      <w:r w:rsidRPr="0070525B">
        <w:rPr>
          <w:rFonts w:ascii="Arial" w:hAnsi="Arial" w:cs="Arial"/>
          <w:spacing w:val="1"/>
          <w:sz w:val="20"/>
        </w:rPr>
        <w:t xml:space="preserve"> </w:t>
      </w:r>
      <w:r w:rsidRPr="0070525B">
        <w:rPr>
          <w:rFonts w:ascii="Arial" w:hAnsi="Arial" w:cs="Arial"/>
          <w:sz w:val="20"/>
        </w:rPr>
        <w:t>maintenance when the</w:t>
      </w:r>
      <w:r w:rsidRPr="0070525B">
        <w:rPr>
          <w:rFonts w:ascii="Arial" w:hAnsi="Arial" w:cs="Arial"/>
          <w:spacing w:val="-2"/>
          <w:sz w:val="20"/>
        </w:rPr>
        <w:t xml:space="preserve"> </w:t>
      </w:r>
      <w:r w:rsidRPr="0070525B">
        <w:rPr>
          <w:rFonts w:ascii="Arial" w:hAnsi="Arial" w:cs="Arial"/>
          <w:sz w:val="20"/>
        </w:rPr>
        <w:t>balloon</w:t>
      </w:r>
      <w:r w:rsidRPr="0070525B">
        <w:rPr>
          <w:rFonts w:ascii="Arial" w:hAnsi="Arial" w:cs="Arial"/>
          <w:spacing w:val="-1"/>
          <w:sz w:val="20"/>
        </w:rPr>
        <w:t xml:space="preserve"> </w:t>
      </w:r>
      <w:r w:rsidRPr="0070525B">
        <w:rPr>
          <w:rFonts w:ascii="Arial" w:hAnsi="Arial" w:cs="Arial"/>
          <w:sz w:val="20"/>
        </w:rPr>
        <w:t>is operated</w:t>
      </w:r>
      <w:r w:rsidRPr="0070525B">
        <w:rPr>
          <w:rFonts w:ascii="Arial" w:hAnsi="Arial" w:cs="Arial"/>
          <w:spacing w:val="-4"/>
          <w:sz w:val="20"/>
        </w:rPr>
        <w:t xml:space="preserve"> </w:t>
      </w:r>
      <w:r w:rsidRPr="0070525B">
        <w:rPr>
          <w:rFonts w:ascii="Arial" w:hAnsi="Arial" w:cs="Arial"/>
          <w:sz w:val="20"/>
        </w:rPr>
        <w:t>under Subpart-ADD.</w:t>
      </w:r>
    </w:p>
    <w:p w14:paraId="132F8D4D" w14:textId="77777777" w:rsidR="003C5975" w:rsidRPr="003C5975" w:rsidRDefault="003C5975" w:rsidP="003C5975">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898" w:name="_Toc153137541"/>
      <w:r w:rsidRPr="003C5975">
        <w:rPr>
          <w:rFonts w:ascii="Arial" w:eastAsia="Times New Roman" w:hAnsi="Arial" w:cs="Times New Roman"/>
          <w:b/>
          <w:iCs/>
          <w:color w:val="FFFFFF"/>
          <w:sz w:val="24"/>
        </w:rPr>
        <w:t>ML.A.503 Service-life-limited components</w:t>
      </w:r>
      <w:bookmarkEnd w:id="898"/>
      <w:r w:rsidRPr="003C5975">
        <w:rPr>
          <w:rFonts w:ascii="Arial" w:eastAsia="Times New Roman" w:hAnsi="Arial" w:cs="Times New Roman"/>
          <w:b/>
          <w:iCs/>
          <w:color w:val="FFFFFF"/>
          <w:sz w:val="24"/>
        </w:rPr>
        <w:tab/>
      </w:r>
    </w:p>
    <w:p w14:paraId="224C73E7" w14:textId="77777777" w:rsidR="003C5975" w:rsidRPr="005D5F38" w:rsidRDefault="003C5975" w:rsidP="003C5975">
      <w:pPr>
        <w:pStyle w:val="ListParagraph"/>
        <w:numPr>
          <w:ilvl w:val="0"/>
          <w:numId w:val="313"/>
        </w:numPr>
        <w:tabs>
          <w:tab w:val="left" w:pos="706"/>
          <w:tab w:val="left" w:pos="707"/>
        </w:tabs>
        <w:spacing w:before="118"/>
        <w:jc w:val="both"/>
        <w:rPr>
          <w:rFonts w:ascii="Arial" w:hAnsi="Arial" w:cs="Arial"/>
          <w:sz w:val="20"/>
        </w:rPr>
      </w:pPr>
      <w:r w:rsidRPr="005D5F38">
        <w:rPr>
          <w:rFonts w:ascii="Arial" w:hAnsi="Arial" w:cs="Arial"/>
          <w:sz w:val="20"/>
        </w:rPr>
        <w:t>The</w:t>
      </w:r>
      <w:r w:rsidRPr="005D5F38">
        <w:rPr>
          <w:rFonts w:ascii="Arial" w:hAnsi="Arial" w:cs="Arial"/>
          <w:spacing w:val="-1"/>
          <w:sz w:val="20"/>
        </w:rPr>
        <w:t xml:space="preserve"> </w:t>
      </w:r>
      <w:r w:rsidRPr="005D5F38">
        <w:rPr>
          <w:rFonts w:ascii="Arial" w:hAnsi="Arial" w:cs="Arial"/>
          <w:sz w:val="20"/>
        </w:rPr>
        <w:t>term</w:t>
      </w:r>
      <w:r w:rsidRPr="005D5F38">
        <w:rPr>
          <w:rFonts w:ascii="Arial" w:hAnsi="Arial" w:cs="Arial"/>
          <w:spacing w:val="-2"/>
          <w:sz w:val="20"/>
        </w:rPr>
        <w:t xml:space="preserve"> </w:t>
      </w:r>
      <w:r w:rsidRPr="005D5F38">
        <w:rPr>
          <w:rFonts w:ascii="Arial" w:hAnsi="Arial" w:cs="Arial"/>
          <w:sz w:val="20"/>
        </w:rPr>
        <w:t>‘service</w:t>
      </w:r>
      <w:r w:rsidRPr="005D5F38">
        <w:rPr>
          <w:rFonts w:ascii="Arial" w:hAnsi="Arial" w:cs="Arial"/>
          <w:spacing w:val="-3"/>
          <w:sz w:val="20"/>
        </w:rPr>
        <w:t xml:space="preserve"> </w:t>
      </w:r>
      <w:r w:rsidRPr="005D5F38">
        <w:rPr>
          <w:rFonts w:ascii="Arial" w:hAnsi="Arial" w:cs="Arial"/>
          <w:sz w:val="20"/>
        </w:rPr>
        <w:t>life-limited</w:t>
      </w:r>
      <w:r w:rsidRPr="005D5F38">
        <w:rPr>
          <w:rFonts w:ascii="Arial" w:hAnsi="Arial" w:cs="Arial"/>
          <w:spacing w:val="-2"/>
          <w:sz w:val="20"/>
        </w:rPr>
        <w:t xml:space="preserve"> </w:t>
      </w:r>
      <w:r w:rsidRPr="005D5F38">
        <w:rPr>
          <w:rFonts w:ascii="Arial" w:hAnsi="Arial" w:cs="Arial"/>
          <w:sz w:val="20"/>
        </w:rPr>
        <w:t>components’ contains</w:t>
      </w:r>
      <w:r w:rsidRPr="005D5F38">
        <w:rPr>
          <w:rFonts w:ascii="Arial" w:hAnsi="Arial" w:cs="Arial"/>
          <w:spacing w:val="-3"/>
          <w:sz w:val="20"/>
        </w:rPr>
        <w:t xml:space="preserve"> </w:t>
      </w:r>
      <w:r w:rsidRPr="005D5F38">
        <w:rPr>
          <w:rFonts w:ascii="Arial" w:hAnsi="Arial" w:cs="Arial"/>
          <w:sz w:val="20"/>
        </w:rPr>
        <w:t>the following</w:t>
      </w:r>
      <w:r w:rsidRPr="005D5F38">
        <w:rPr>
          <w:rFonts w:ascii="Arial" w:hAnsi="Arial" w:cs="Arial"/>
          <w:spacing w:val="-5"/>
          <w:sz w:val="20"/>
        </w:rPr>
        <w:t xml:space="preserve"> </w:t>
      </w:r>
      <w:r w:rsidRPr="005D5F38">
        <w:rPr>
          <w:rFonts w:ascii="Arial" w:hAnsi="Arial" w:cs="Arial"/>
          <w:sz w:val="20"/>
        </w:rPr>
        <w:t>components:</w:t>
      </w:r>
    </w:p>
    <w:p w14:paraId="6A072FD8" w14:textId="77777777" w:rsidR="003C5975" w:rsidRPr="005D5F38" w:rsidRDefault="003C5975" w:rsidP="003C5975">
      <w:pPr>
        <w:pStyle w:val="ListParagraph"/>
        <w:numPr>
          <w:ilvl w:val="1"/>
          <w:numId w:val="313"/>
        </w:numPr>
        <w:tabs>
          <w:tab w:val="left" w:pos="1273"/>
          <w:tab w:val="left" w:pos="1274"/>
        </w:tabs>
        <w:spacing w:before="57"/>
        <w:ind w:right="195"/>
        <w:jc w:val="both"/>
        <w:rPr>
          <w:rFonts w:ascii="Arial" w:hAnsi="Arial" w:cs="Arial"/>
          <w:sz w:val="20"/>
        </w:rPr>
      </w:pPr>
      <w:r w:rsidRPr="005D5F38">
        <w:rPr>
          <w:rFonts w:ascii="Arial" w:hAnsi="Arial" w:cs="Arial"/>
          <w:spacing w:val="-1"/>
          <w:sz w:val="20"/>
        </w:rPr>
        <w:t>components</w:t>
      </w:r>
      <w:r w:rsidRPr="005D5F38">
        <w:rPr>
          <w:rFonts w:ascii="Arial" w:hAnsi="Arial" w:cs="Arial"/>
          <w:spacing w:val="-9"/>
          <w:sz w:val="20"/>
        </w:rPr>
        <w:t xml:space="preserve"> </w:t>
      </w:r>
      <w:r w:rsidRPr="005D5F38">
        <w:rPr>
          <w:rFonts w:ascii="Arial" w:hAnsi="Arial" w:cs="Arial"/>
          <w:spacing w:val="-1"/>
          <w:sz w:val="20"/>
        </w:rPr>
        <w:t>subject</w:t>
      </w:r>
      <w:r w:rsidRPr="005D5F38">
        <w:rPr>
          <w:rFonts w:ascii="Arial" w:hAnsi="Arial" w:cs="Arial"/>
          <w:spacing w:val="-9"/>
          <w:sz w:val="20"/>
        </w:rPr>
        <w:t xml:space="preserve"> </w:t>
      </w:r>
      <w:r w:rsidRPr="005D5F38">
        <w:rPr>
          <w:rFonts w:ascii="Arial" w:hAnsi="Arial" w:cs="Arial"/>
          <w:sz w:val="20"/>
        </w:rPr>
        <w:t>to</w:t>
      </w:r>
      <w:r w:rsidRPr="005D5F38">
        <w:rPr>
          <w:rFonts w:ascii="Arial" w:hAnsi="Arial" w:cs="Arial"/>
          <w:spacing w:val="-8"/>
          <w:sz w:val="20"/>
        </w:rPr>
        <w:t xml:space="preserve"> </w:t>
      </w:r>
      <w:r w:rsidRPr="005D5F38">
        <w:rPr>
          <w:rFonts w:ascii="Arial" w:hAnsi="Arial" w:cs="Arial"/>
          <w:sz w:val="20"/>
        </w:rPr>
        <w:t>a</w:t>
      </w:r>
      <w:r w:rsidRPr="005D5F38">
        <w:rPr>
          <w:rFonts w:ascii="Arial" w:hAnsi="Arial" w:cs="Arial"/>
          <w:spacing w:val="-10"/>
          <w:sz w:val="20"/>
        </w:rPr>
        <w:t xml:space="preserve"> </w:t>
      </w:r>
      <w:r w:rsidRPr="005D5F38">
        <w:rPr>
          <w:rFonts w:ascii="Arial" w:hAnsi="Arial" w:cs="Arial"/>
          <w:sz w:val="20"/>
        </w:rPr>
        <w:t>certified</w:t>
      </w:r>
      <w:r w:rsidRPr="005D5F38">
        <w:rPr>
          <w:rFonts w:ascii="Arial" w:hAnsi="Arial" w:cs="Arial"/>
          <w:spacing w:val="-6"/>
          <w:sz w:val="20"/>
        </w:rPr>
        <w:t xml:space="preserve"> </w:t>
      </w:r>
      <w:r w:rsidRPr="005D5F38">
        <w:rPr>
          <w:rFonts w:ascii="Arial" w:hAnsi="Arial" w:cs="Arial"/>
          <w:sz w:val="20"/>
        </w:rPr>
        <w:t>life</w:t>
      </w:r>
      <w:r w:rsidRPr="005D5F38">
        <w:rPr>
          <w:rFonts w:ascii="Arial" w:hAnsi="Arial" w:cs="Arial"/>
          <w:spacing w:val="-6"/>
          <w:sz w:val="20"/>
        </w:rPr>
        <w:t xml:space="preserve"> </w:t>
      </w:r>
      <w:r w:rsidRPr="005D5F38">
        <w:rPr>
          <w:rFonts w:ascii="Arial" w:hAnsi="Arial" w:cs="Arial"/>
          <w:sz w:val="20"/>
        </w:rPr>
        <w:t>limit</w:t>
      </w:r>
      <w:r w:rsidRPr="005D5F38">
        <w:rPr>
          <w:rFonts w:ascii="Arial" w:hAnsi="Arial" w:cs="Arial"/>
          <w:spacing w:val="-9"/>
          <w:sz w:val="20"/>
        </w:rPr>
        <w:t xml:space="preserve"> </w:t>
      </w:r>
      <w:r w:rsidRPr="005D5F38">
        <w:rPr>
          <w:rFonts w:ascii="Arial" w:hAnsi="Arial" w:cs="Arial"/>
          <w:sz w:val="20"/>
        </w:rPr>
        <w:t>after</w:t>
      </w:r>
      <w:r w:rsidRPr="005D5F38">
        <w:rPr>
          <w:rFonts w:ascii="Arial" w:hAnsi="Arial" w:cs="Arial"/>
          <w:spacing w:val="-9"/>
          <w:sz w:val="20"/>
        </w:rPr>
        <w:t xml:space="preserve"> </w:t>
      </w:r>
      <w:r w:rsidRPr="005D5F38">
        <w:rPr>
          <w:rFonts w:ascii="Arial" w:hAnsi="Arial" w:cs="Arial"/>
          <w:sz w:val="20"/>
        </w:rPr>
        <w:t>which</w:t>
      </w:r>
      <w:r w:rsidRPr="005D5F38">
        <w:rPr>
          <w:rFonts w:ascii="Arial" w:hAnsi="Arial" w:cs="Arial"/>
          <w:spacing w:val="-13"/>
          <w:sz w:val="20"/>
        </w:rPr>
        <w:t xml:space="preserve"> </w:t>
      </w:r>
      <w:r w:rsidRPr="005D5F38">
        <w:rPr>
          <w:rFonts w:ascii="Arial" w:hAnsi="Arial" w:cs="Arial"/>
          <w:sz w:val="20"/>
        </w:rPr>
        <w:t>the</w:t>
      </w:r>
      <w:r w:rsidRPr="005D5F38">
        <w:rPr>
          <w:rFonts w:ascii="Arial" w:hAnsi="Arial" w:cs="Arial"/>
          <w:spacing w:val="-6"/>
          <w:sz w:val="20"/>
        </w:rPr>
        <w:t xml:space="preserve"> </w:t>
      </w:r>
      <w:r w:rsidRPr="005D5F38">
        <w:rPr>
          <w:rFonts w:ascii="Arial" w:hAnsi="Arial" w:cs="Arial"/>
          <w:sz w:val="20"/>
        </w:rPr>
        <w:t>components</w:t>
      </w:r>
      <w:r w:rsidRPr="005D5F38">
        <w:rPr>
          <w:rFonts w:ascii="Arial" w:hAnsi="Arial" w:cs="Arial"/>
          <w:spacing w:val="-9"/>
          <w:sz w:val="20"/>
        </w:rPr>
        <w:t xml:space="preserve"> </w:t>
      </w:r>
      <w:r w:rsidRPr="005D5F38">
        <w:rPr>
          <w:rFonts w:ascii="Arial" w:hAnsi="Arial" w:cs="Arial"/>
          <w:sz w:val="20"/>
        </w:rPr>
        <w:t>should</w:t>
      </w:r>
      <w:r w:rsidRPr="005D5F38">
        <w:rPr>
          <w:rFonts w:ascii="Arial" w:hAnsi="Arial" w:cs="Arial"/>
          <w:spacing w:val="-11"/>
          <w:sz w:val="20"/>
        </w:rPr>
        <w:t xml:space="preserve"> </w:t>
      </w:r>
      <w:r w:rsidRPr="005D5F38">
        <w:rPr>
          <w:rFonts w:ascii="Arial" w:hAnsi="Arial" w:cs="Arial"/>
          <w:sz w:val="20"/>
        </w:rPr>
        <w:t>be</w:t>
      </w:r>
      <w:r w:rsidRPr="005D5F38">
        <w:rPr>
          <w:rFonts w:ascii="Arial" w:hAnsi="Arial" w:cs="Arial"/>
          <w:spacing w:val="-11"/>
          <w:sz w:val="20"/>
        </w:rPr>
        <w:t xml:space="preserve"> </w:t>
      </w:r>
      <w:r w:rsidRPr="005D5F38">
        <w:rPr>
          <w:rFonts w:ascii="Arial" w:hAnsi="Arial" w:cs="Arial"/>
          <w:sz w:val="20"/>
        </w:rPr>
        <w:t>retired,</w:t>
      </w:r>
      <w:r w:rsidRPr="005D5F38">
        <w:rPr>
          <w:rFonts w:ascii="Arial" w:hAnsi="Arial" w:cs="Arial"/>
          <w:spacing w:val="-47"/>
          <w:sz w:val="20"/>
        </w:rPr>
        <w:t xml:space="preserve"> </w:t>
      </w:r>
      <w:r w:rsidRPr="005D5F38">
        <w:rPr>
          <w:rFonts w:ascii="Arial" w:hAnsi="Arial" w:cs="Arial"/>
          <w:sz w:val="20"/>
        </w:rPr>
        <w:t>and;</w:t>
      </w:r>
    </w:p>
    <w:p w14:paraId="30C363E3" w14:textId="77777777" w:rsidR="003C5975" w:rsidRPr="005D5F38" w:rsidRDefault="003C5975" w:rsidP="003C5975">
      <w:pPr>
        <w:pStyle w:val="ListParagraph"/>
        <w:numPr>
          <w:ilvl w:val="1"/>
          <w:numId w:val="313"/>
        </w:numPr>
        <w:tabs>
          <w:tab w:val="left" w:pos="1273"/>
          <w:tab w:val="left" w:pos="1274"/>
        </w:tabs>
        <w:spacing w:before="118"/>
        <w:ind w:right="203"/>
        <w:jc w:val="both"/>
        <w:rPr>
          <w:rFonts w:ascii="Arial" w:hAnsi="Arial" w:cs="Arial"/>
          <w:sz w:val="20"/>
        </w:rPr>
      </w:pPr>
      <w:r w:rsidRPr="005D5F38">
        <w:rPr>
          <w:rFonts w:ascii="Arial" w:hAnsi="Arial" w:cs="Arial"/>
          <w:sz w:val="20"/>
        </w:rPr>
        <w:t>components</w:t>
      </w:r>
      <w:r w:rsidRPr="005D5F38">
        <w:rPr>
          <w:rFonts w:ascii="Arial" w:hAnsi="Arial" w:cs="Arial"/>
          <w:spacing w:val="32"/>
          <w:sz w:val="20"/>
        </w:rPr>
        <w:t xml:space="preserve"> </w:t>
      </w:r>
      <w:r w:rsidRPr="005D5F38">
        <w:rPr>
          <w:rFonts w:ascii="Arial" w:hAnsi="Arial" w:cs="Arial"/>
          <w:sz w:val="20"/>
        </w:rPr>
        <w:t>subject</w:t>
      </w:r>
      <w:r w:rsidRPr="005D5F38">
        <w:rPr>
          <w:rFonts w:ascii="Arial" w:hAnsi="Arial" w:cs="Arial"/>
          <w:spacing w:val="30"/>
          <w:sz w:val="20"/>
        </w:rPr>
        <w:t xml:space="preserve"> </w:t>
      </w:r>
      <w:r w:rsidRPr="005D5F38">
        <w:rPr>
          <w:rFonts w:ascii="Arial" w:hAnsi="Arial" w:cs="Arial"/>
          <w:sz w:val="20"/>
        </w:rPr>
        <w:t>to</w:t>
      </w:r>
      <w:r w:rsidRPr="005D5F38">
        <w:rPr>
          <w:rFonts w:ascii="Arial" w:hAnsi="Arial" w:cs="Arial"/>
          <w:spacing w:val="33"/>
          <w:sz w:val="20"/>
        </w:rPr>
        <w:t xml:space="preserve"> </w:t>
      </w:r>
      <w:r w:rsidRPr="005D5F38">
        <w:rPr>
          <w:rFonts w:ascii="Arial" w:hAnsi="Arial" w:cs="Arial"/>
          <w:sz w:val="20"/>
        </w:rPr>
        <w:t>a</w:t>
      </w:r>
      <w:r w:rsidRPr="005D5F38">
        <w:rPr>
          <w:rFonts w:ascii="Arial" w:hAnsi="Arial" w:cs="Arial"/>
          <w:spacing w:val="27"/>
          <w:sz w:val="20"/>
        </w:rPr>
        <w:t xml:space="preserve"> </w:t>
      </w:r>
      <w:r w:rsidRPr="005D5F38">
        <w:rPr>
          <w:rFonts w:ascii="Arial" w:hAnsi="Arial" w:cs="Arial"/>
          <w:sz w:val="20"/>
        </w:rPr>
        <w:t>service</w:t>
      </w:r>
      <w:r w:rsidRPr="005D5F38">
        <w:rPr>
          <w:rFonts w:ascii="Arial" w:hAnsi="Arial" w:cs="Arial"/>
          <w:spacing w:val="33"/>
          <w:sz w:val="20"/>
        </w:rPr>
        <w:t xml:space="preserve"> </w:t>
      </w:r>
      <w:r w:rsidRPr="005D5F38">
        <w:rPr>
          <w:rFonts w:ascii="Arial" w:hAnsi="Arial" w:cs="Arial"/>
          <w:sz w:val="20"/>
        </w:rPr>
        <w:t>life</w:t>
      </w:r>
      <w:r w:rsidRPr="005D5F38">
        <w:rPr>
          <w:rFonts w:ascii="Arial" w:hAnsi="Arial" w:cs="Arial"/>
          <w:spacing w:val="32"/>
          <w:sz w:val="20"/>
        </w:rPr>
        <w:t xml:space="preserve"> </w:t>
      </w:r>
      <w:r w:rsidRPr="005D5F38">
        <w:rPr>
          <w:rFonts w:ascii="Arial" w:hAnsi="Arial" w:cs="Arial"/>
          <w:sz w:val="20"/>
        </w:rPr>
        <w:t>limit</w:t>
      </w:r>
      <w:r w:rsidRPr="005D5F38">
        <w:rPr>
          <w:rFonts w:ascii="Arial" w:hAnsi="Arial" w:cs="Arial"/>
          <w:spacing w:val="29"/>
          <w:sz w:val="20"/>
        </w:rPr>
        <w:t xml:space="preserve"> </w:t>
      </w:r>
      <w:r w:rsidRPr="005D5F38">
        <w:rPr>
          <w:rFonts w:ascii="Arial" w:hAnsi="Arial" w:cs="Arial"/>
          <w:sz w:val="20"/>
        </w:rPr>
        <w:t>after</w:t>
      </w:r>
      <w:r w:rsidRPr="005D5F38">
        <w:rPr>
          <w:rFonts w:ascii="Arial" w:hAnsi="Arial" w:cs="Arial"/>
          <w:spacing w:val="30"/>
          <w:sz w:val="20"/>
        </w:rPr>
        <w:t xml:space="preserve"> </w:t>
      </w:r>
      <w:r w:rsidRPr="005D5F38">
        <w:rPr>
          <w:rFonts w:ascii="Arial" w:hAnsi="Arial" w:cs="Arial"/>
          <w:sz w:val="20"/>
        </w:rPr>
        <w:t>which</w:t>
      </w:r>
      <w:r w:rsidRPr="005D5F38">
        <w:rPr>
          <w:rFonts w:ascii="Arial" w:hAnsi="Arial" w:cs="Arial"/>
          <w:spacing w:val="31"/>
          <w:sz w:val="20"/>
        </w:rPr>
        <w:t xml:space="preserve"> </w:t>
      </w:r>
      <w:r w:rsidRPr="005D5F38">
        <w:rPr>
          <w:rFonts w:ascii="Arial" w:hAnsi="Arial" w:cs="Arial"/>
          <w:sz w:val="20"/>
        </w:rPr>
        <w:t>the</w:t>
      </w:r>
      <w:r w:rsidRPr="005D5F38">
        <w:rPr>
          <w:rFonts w:ascii="Arial" w:hAnsi="Arial" w:cs="Arial"/>
          <w:spacing w:val="31"/>
          <w:sz w:val="20"/>
        </w:rPr>
        <w:t xml:space="preserve"> </w:t>
      </w:r>
      <w:r w:rsidRPr="005D5F38">
        <w:rPr>
          <w:rFonts w:ascii="Arial" w:hAnsi="Arial" w:cs="Arial"/>
          <w:sz w:val="20"/>
        </w:rPr>
        <w:t>components</w:t>
      </w:r>
      <w:r w:rsidRPr="005D5F38">
        <w:rPr>
          <w:rFonts w:ascii="Arial" w:hAnsi="Arial" w:cs="Arial"/>
          <w:spacing w:val="30"/>
          <w:sz w:val="20"/>
        </w:rPr>
        <w:t xml:space="preserve"> </w:t>
      </w:r>
      <w:r w:rsidRPr="005D5F38">
        <w:rPr>
          <w:rFonts w:ascii="Arial" w:hAnsi="Arial" w:cs="Arial"/>
          <w:sz w:val="20"/>
        </w:rPr>
        <w:t>shall</w:t>
      </w:r>
      <w:r w:rsidRPr="005D5F38">
        <w:rPr>
          <w:rFonts w:ascii="Arial" w:hAnsi="Arial" w:cs="Arial"/>
          <w:spacing w:val="27"/>
          <w:sz w:val="20"/>
        </w:rPr>
        <w:t xml:space="preserve"> </w:t>
      </w:r>
      <w:r w:rsidRPr="005D5F38">
        <w:rPr>
          <w:rFonts w:ascii="Arial" w:hAnsi="Arial" w:cs="Arial"/>
          <w:sz w:val="20"/>
        </w:rPr>
        <w:t>undergo</w:t>
      </w:r>
      <w:r w:rsidRPr="005D5F38">
        <w:rPr>
          <w:rFonts w:ascii="Arial" w:hAnsi="Arial" w:cs="Arial"/>
          <w:spacing w:val="-47"/>
          <w:sz w:val="20"/>
        </w:rPr>
        <w:t xml:space="preserve"> </w:t>
      </w:r>
      <w:r w:rsidRPr="005D5F38">
        <w:rPr>
          <w:rFonts w:ascii="Arial" w:hAnsi="Arial" w:cs="Arial"/>
          <w:sz w:val="20"/>
        </w:rPr>
        <w:t>maintenance to</w:t>
      </w:r>
      <w:r w:rsidRPr="005D5F38">
        <w:rPr>
          <w:rFonts w:ascii="Arial" w:hAnsi="Arial" w:cs="Arial"/>
          <w:spacing w:val="1"/>
          <w:sz w:val="20"/>
        </w:rPr>
        <w:t xml:space="preserve"> </w:t>
      </w:r>
      <w:r w:rsidRPr="005D5F38">
        <w:rPr>
          <w:rFonts w:ascii="Arial" w:hAnsi="Arial" w:cs="Arial"/>
          <w:sz w:val="20"/>
        </w:rPr>
        <w:t>restore</w:t>
      </w:r>
      <w:r w:rsidRPr="005D5F38">
        <w:rPr>
          <w:rFonts w:ascii="Arial" w:hAnsi="Arial" w:cs="Arial"/>
          <w:spacing w:val="-2"/>
          <w:sz w:val="20"/>
        </w:rPr>
        <w:t xml:space="preserve"> </w:t>
      </w:r>
      <w:r w:rsidRPr="005D5F38">
        <w:rPr>
          <w:rFonts w:ascii="Arial" w:hAnsi="Arial" w:cs="Arial"/>
          <w:sz w:val="20"/>
        </w:rPr>
        <w:t>their serviceability.</w:t>
      </w:r>
    </w:p>
    <w:p w14:paraId="52DBBCF4" w14:textId="77777777" w:rsidR="003C5975" w:rsidRPr="005D5F38" w:rsidRDefault="003C5975" w:rsidP="003C5975">
      <w:pPr>
        <w:pStyle w:val="ListParagraph"/>
        <w:numPr>
          <w:ilvl w:val="0"/>
          <w:numId w:val="313"/>
        </w:numPr>
        <w:tabs>
          <w:tab w:val="left" w:pos="706"/>
          <w:tab w:val="left" w:pos="707"/>
        </w:tabs>
        <w:ind w:right="199"/>
        <w:jc w:val="both"/>
        <w:rPr>
          <w:rFonts w:ascii="Arial" w:hAnsi="Arial" w:cs="Arial"/>
          <w:sz w:val="20"/>
        </w:rPr>
      </w:pPr>
      <w:r w:rsidRPr="005D5F38">
        <w:rPr>
          <w:rFonts w:ascii="Arial" w:hAnsi="Arial" w:cs="Arial"/>
          <w:sz w:val="20"/>
        </w:rPr>
        <w:t>Installed</w:t>
      </w:r>
      <w:r w:rsidRPr="005D5F38">
        <w:rPr>
          <w:rFonts w:ascii="Arial" w:hAnsi="Arial" w:cs="Arial"/>
          <w:spacing w:val="30"/>
          <w:sz w:val="20"/>
        </w:rPr>
        <w:t xml:space="preserve"> </w:t>
      </w:r>
      <w:r w:rsidRPr="005D5F38">
        <w:rPr>
          <w:rFonts w:ascii="Arial" w:hAnsi="Arial" w:cs="Arial"/>
          <w:sz w:val="20"/>
        </w:rPr>
        <w:t>service-life-limited</w:t>
      </w:r>
      <w:r w:rsidRPr="005D5F38">
        <w:rPr>
          <w:rFonts w:ascii="Arial" w:hAnsi="Arial" w:cs="Arial"/>
          <w:spacing w:val="30"/>
          <w:sz w:val="20"/>
        </w:rPr>
        <w:t xml:space="preserve"> </w:t>
      </w:r>
      <w:r w:rsidRPr="005D5F38">
        <w:rPr>
          <w:rFonts w:ascii="Arial" w:hAnsi="Arial" w:cs="Arial"/>
          <w:sz w:val="20"/>
        </w:rPr>
        <w:t>components</w:t>
      </w:r>
      <w:r w:rsidRPr="005D5F38">
        <w:rPr>
          <w:rFonts w:ascii="Arial" w:hAnsi="Arial" w:cs="Arial"/>
          <w:spacing w:val="30"/>
          <w:sz w:val="20"/>
        </w:rPr>
        <w:t xml:space="preserve"> </w:t>
      </w:r>
      <w:r w:rsidRPr="005D5F38">
        <w:rPr>
          <w:rFonts w:ascii="Arial" w:hAnsi="Arial" w:cs="Arial"/>
          <w:sz w:val="20"/>
        </w:rPr>
        <w:t>shall</w:t>
      </w:r>
      <w:r w:rsidRPr="005D5F38">
        <w:rPr>
          <w:rFonts w:ascii="Arial" w:hAnsi="Arial" w:cs="Arial"/>
          <w:spacing w:val="30"/>
          <w:sz w:val="20"/>
        </w:rPr>
        <w:t xml:space="preserve"> </w:t>
      </w:r>
      <w:r w:rsidRPr="005D5F38">
        <w:rPr>
          <w:rFonts w:ascii="Arial" w:hAnsi="Arial" w:cs="Arial"/>
          <w:sz w:val="20"/>
        </w:rPr>
        <w:t>not</w:t>
      </w:r>
      <w:r w:rsidRPr="005D5F38">
        <w:rPr>
          <w:rFonts w:ascii="Arial" w:hAnsi="Arial" w:cs="Arial"/>
          <w:spacing w:val="29"/>
          <w:sz w:val="20"/>
        </w:rPr>
        <w:t xml:space="preserve"> </w:t>
      </w:r>
      <w:r w:rsidRPr="005D5F38">
        <w:rPr>
          <w:rFonts w:ascii="Arial" w:hAnsi="Arial" w:cs="Arial"/>
          <w:sz w:val="20"/>
        </w:rPr>
        <w:t>exceed</w:t>
      </w:r>
      <w:r w:rsidRPr="005D5F38">
        <w:rPr>
          <w:rFonts w:ascii="Arial" w:hAnsi="Arial" w:cs="Arial"/>
          <w:spacing w:val="32"/>
          <w:sz w:val="20"/>
        </w:rPr>
        <w:t xml:space="preserve"> </w:t>
      </w:r>
      <w:r w:rsidRPr="005D5F38">
        <w:rPr>
          <w:rFonts w:ascii="Arial" w:hAnsi="Arial" w:cs="Arial"/>
          <w:sz w:val="20"/>
        </w:rPr>
        <w:t>the</w:t>
      </w:r>
      <w:r w:rsidRPr="005D5F38">
        <w:rPr>
          <w:rFonts w:ascii="Arial" w:hAnsi="Arial" w:cs="Arial"/>
          <w:spacing w:val="31"/>
          <w:sz w:val="20"/>
        </w:rPr>
        <w:t xml:space="preserve"> </w:t>
      </w:r>
      <w:r w:rsidRPr="005D5F38">
        <w:rPr>
          <w:rFonts w:ascii="Arial" w:hAnsi="Arial" w:cs="Arial"/>
          <w:sz w:val="20"/>
        </w:rPr>
        <w:t>approved</w:t>
      </w:r>
      <w:r w:rsidRPr="005D5F38">
        <w:rPr>
          <w:rFonts w:ascii="Arial" w:hAnsi="Arial" w:cs="Arial"/>
          <w:spacing w:val="31"/>
          <w:sz w:val="20"/>
        </w:rPr>
        <w:t xml:space="preserve"> </w:t>
      </w:r>
      <w:r w:rsidRPr="005D5F38">
        <w:rPr>
          <w:rFonts w:ascii="Arial" w:hAnsi="Arial" w:cs="Arial"/>
          <w:sz w:val="20"/>
        </w:rPr>
        <w:t>service</w:t>
      </w:r>
      <w:r w:rsidRPr="005D5F38">
        <w:rPr>
          <w:rFonts w:ascii="Arial" w:hAnsi="Arial" w:cs="Arial"/>
          <w:spacing w:val="32"/>
          <w:sz w:val="20"/>
        </w:rPr>
        <w:t xml:space="preserve"> </w:t>
      </w:r>
      <w:r w:rsidRPr="005D5F38">
        <w:rPr>
          <w:rFonts w:ascii="Arial" w:hAnsi="Arial" w:cs="Arial"/>
          <w:sz w:val="20"/>
        </w:rPr>
        <w:t>life</w:t>
      </w:r>
      <w:r w:rsidRPr="005D5F38">
        <w:rPr>
          <w:rFonts w:ascii="Arial" w:hAnsi="Arial" w:cs="Arial"/>
          <w:spacing w:val="31"/>
          <w:sz w:val="20"/>
        </w:rPr>
        <w:t xml:space="preserve"> </w:t>
      </w:r>
      <w:r w:rsidRPr="005D5F38">
        <w:rPr>
          <w:rFonts w:ascii="Arial" w:hAnsi="Arial" w:cs="Arial"/>
          <w:sz w:val="20"/>
        </w:rPr>
        <w:t>limit</w:t>
      </w:r>
      <w:r w:rsidRPr="005D5F38">
        <w:rPr>
          <w:rFonts w:ascii="Arial" w:hAnsi="Arial" w:cs="Arial"/>
          <w:spacing w:val="31"/>
          <w:sz w:val="20"/>
        </w:rPr>
        <w:t xml:space="preserve"> </w:t>
      </w:r>
      <w:r w:rsidRPr="005D5F38">
        <w:rPr>
          <w:rFonts w:ascii="Arial" w:hAnsi="Arial" w:cs="Arial"/>
          <w:sz w:val="20"/>
        </w:rPr>
        <w:t>as</w:t>
      </w:r>
      <w:r w:rsidRPr="005D5F38">
        <w:rPr>
          <w:rFonts w:ascii="Arial" w:hAnsi="Arial" w:cs="Arial"/>
          <w:spacing w:val="-46"/>
          <w:sz w:val="20"/>
        </w:rPr>
        <w:t xml:space="preserve"> </w:t>
      </w:r>
      <w:r w:rsidRPr="005D5F38">
        <w:rPr>
          <w:rFonts w:ascii="Arial" w:hAnsi="Arial" w:cs="Arial"/>
          <w:sz w:val="20"/>
        </w:rPr>
        <w:t>specified</w:t>
      </w:r>
      <w:r w:rsidRPr="005D5F38">
        <w:rPr>
          <w:rFonts w:ascii="Arial" w:hAnsi="Arial" w:cs="Arial"/>
          <w:spacing w:val="-1"/>
          <w:sz w:val="20"/>
        </w:rPr>
        <w:t xml:space="preserve"> </w:t>
      </w:r>
      <w:r w:rsidRPr="005D5F38">
        <w:rPr>
          <w:rFonts w:ascii="Arial" w:hAnsi="Arial" w:cs="Arial"/>
          <w:sz w:val="20"/>
        </w:rPr>
        <w:t>in</w:t>
      </w:r>
      <w:r w:rsidRPr="005D5F38">
        <w:rPr>
          <w:rFonts w:ascii="Arial" w:hAnsi="Arial" w:cs="Arial"/>
          <w:spacing w:val="-1"/>
          <w:sz w:val="20"/>
        </w:rPr>
        <w:t xml:space="preserve"> </w:t>
      </w:r>
      <w:r w:rsidRPr="005D5F38">
        <w:rPr>
          <w:rFonts w:ascii="Arial" w:hAnsi="Arial" w:cs="Arial"/>
          <w:sz w:val="20"/>
        </w:rPr>
        <w:t>the AMP</w:t>
      </w:r>
      <w:r w:rsidRPr="005D5F38">
        <w:rPr>
          <w:rFonts w:ascii="Arial" w:hAnsi="Arial" w:cs="Arial"/>
          <w:spacing w:val="1"/>
          <w:sz w:val="20"/>
        </w:rPr>
        <w:t xml:space="preserve"> </w:t>
      </w:r>
      <w:r w:rsidRPr="005D5F38">
        <w:rPr>
          <w:rFonts w:ascii="Arial" w:hAnsi="Arial" w:cs="Arial"/>
          <w:sz w:val="20"/>
        </w:rPr>
        <w:t>and</w:t>
      </w:r>
      <w:r w:rsidRPr="005D5F38">
        <w:rPr>
          <w:rFonts w:ascii="Arial" w:hAnsi="Arial" w:cs="Arial"/>
          <w:spacing w:val="-2"/>
          <w:sz w:val="20"/>
        </w:rPr>
        <w:t xml:space="preserve"> </w:t>
      </w:r>
      <w:r w:rsidRPr="005D5F38">
        <w:rPr>
          <w:rFonts w:ascii="Arial" w:hAnsi="Arial" w:cs="Arial"/>
          <w:sz w:val="20"/>
        </w:rPr>
        <w:t>ADs,</w:t>
      </w:r>
      <w:r w:rsidRPr="005D5F38">
        <w:rPr>
          <w:rFonts w:ascii="Arial" w:hAnsi="Arial" w:cs="Arial"/>
          <w:spacing w:val="-2"/>
          <w:sz w:val="20"/>
        </w:rPr>
        <w:t xml:space="preserve"> </w:t>
      </w:r>
      <w:r w:rsidRPr="005D5F38">
        <w:rPr>
          <w:rFonts w:ascii="Arial" w:hAnsi="Arial" w:cs="Arial"/>
          <w:sz w:val="20"/>
        </w:rPr>
        <w:t>except</w:t>
      </w:r>
      <w:r w:rsidRPr="005D5F38">
        <w:rPr>
          <w:rFonts w:ascii="Arial" w:hAnsi="Arial" w:cs="Arial"/>
          <w:spacing w:val="-1"/>
          <w:sz w:val="20"/>
        </w:rPr>
        <w:t xml:space="preserve"> </w:t>
      </w:r>
      <w:r w:rsidRPr="005D5F38">
        <w:rPr>
          <w:rFonts w:ascii="Arial" w:hAnsi="Arial" w:cs="Arial"/>
          <w:sz w:val="20"/>
        </w:rPr>
        <w:t>as provided</w:t>
      </w:r>
      <w:r w:rsidRPr="005D5F38">
        <w:rPr>
          <w:rFonts w:ascii="Arial" w:hAnsi="Arial" w:cs="Arial"/>
          <w:spacing w:val="-1"/>
          <w:sz w:val="20"/>
        </w:rPr>
        <w:t xml:space="preserve"> </w:t>
      </w:r>
      <w:r w:rsidRPr="005D5F38">
        <w:rPr>
          <w:rFonts w:ascii="Arial" w:hAnsi="Arial" w:cs="Arial"/>
          <w:sz w:val="20"/>
        </w:rPr>
        <w:t>for in</w:t>
      </w:r>
      <w:r w:rsidRPr="005D5F38">
        <w:rPr>
          <w:rFonts w:ascii="Arial" w:hAnsi="Arial" w:cs="Arial"/>
          <w:spacing w:val="-2"/>
          <w:sz w:val="20"/>
        </w:rPr>
        <w:t xml:space="preserve"> </w:t>
      </w:r>
      <w:r w:rsidRPr="005D5F38">
        <w:rPr>
          <w:rFonts w:ascii="Arial" w:hAnsi="Arial" w:cs="Arial"/>
          <w:sz w:val="20"/>
        </w:rPr>
        <w:t>point</w:t>
      </w:r>
      <w:r w:rsidRPr="005D5F38">
        <w:rPr>
          <w:rFonts w:ascii="Arial" w:hAnsi="Arial" w:cs="Arial"/>
          <w:color w:val="0000FF"/>
          <w:spacing w:val="-1"/>
          <w:sz w:val="20"/>
        </w:rPr>
        <w:t xml:space="preserve"> </w:t>
      </w:r>
      <w:r w:rsidRPr="005D5F38">
        <w:rPr>
          <w:rFonts w:ascii="Arial" w:hAnsi="Arial" w:cs="Arial"/>
          <w:sz w:val="20"/>
        </w:rPr>
        <w:t>ML.A.504(c).</w:t>
      </w:r>
    </w:p>
    <w:p w14:paraId="52ECAD0A" w14:textId="77777777" w:rsidR="003C5975" w:rsidRPr="005D5F38" w:rsidRDefault="003C5975" w:rsidP="003C5975">
      <w:pPr>
        <w:pStyle w:val="ListParagraph"/>
        <w:numPr>
          <w:ilvl w:val="0"/>
          <w:numId w:val="313"/>
        </w:numPr>
        <w:tabs>
          <w:tab w:val="left" w:pos="706"/>
          <w:tab w:val="left" w:pos="707"/>
        </w:tabs>
        <w:spacing w:before="121"/>
        <w:ind w:right="198"/>
        <w:jc w:val="both"/>
        <w:rPr>
          <w:rFonts w:ascii="Arial" w:hAnsi="Arial" w:cs="Arial"/>
          <w:sz w:val="20"/>
        </w:rPr>
      </w:pPr>
      <w:r w:rsidRPr="005D5F38">
        <w:rPr>
          <w:rFonts w:ascii="Arial" w:hAnsi="Arial" w:cs="Arial"/>
          <w:sz w:val="20"/>
        </w:rPr>
        <w:t>The</w:t>
      </w:r>
      <w:r w:rsidRPr="005D5F38">
        <w:rPr>
          <w:rFonts w:ascii="Arial" w:hAnsi="Arial" w:cs="Arial"/>
          <w:spacing w:val="34"/>
          <w:sz w:val="20"/>
        </w:rPr>
        <w:t xml:space="preserve"> </w:t>
      </w:r>
      <w:r w:rsidRPr="005D5F38">
        <w:rPr>
          <w:rFonts w:ascii="Arial" w:hAnsi="Arial" w:cs="Arial"/>
          <w:sz w:val="20"/>
        </w:rPr>
        <w:t>approved</w:t>
      </w:r>
      <w:r w:rsidRPr="005D5F38">
        <w:rPr>
          <w:rFonts w:ascii="Arial" w:hAnsi="Arial" w:cs="Arial"/>
          <w:spacing w:val="34"/>
          <w:sz w:val="20"/>
        </w:rPr>
        <w:t xml:space="preserve"> </w:t>
      </w:r>
      <w:r w:rsidRPr="005D5F38">
        <w:rPr>
          <w:rFonts w:ascii="Arial" w:hAnsi="Arial" w:cs="Arial"/>
          <w:sz w:val="20"/>
        </w:rPr>
        <w:t>service</w:t>
      </w:r>
      <w:r w:rsidRPr="005D5F38">
        <w:rPr>
          <w:rFonts w:ascii="Arial" w:hAnsi="Arial" w:cs="Arial"/>
          <w:spacing w:val="36"/>
          <w:sz w:val="20"/>
        </w:rPr>
        <w:t xml:space="preserve"> </w:t>
      </w:r>
      <w:r w:rsidRPr="005D5F38">
        <w:rPr>
          <w:rFonts w:ascii="Arial" w:hAnsi="Arial" w:cs="Arial"/>
          <w:sz w:val="20"/>
        </w:rPr>
        <w:t>life</w:t>
      </w:r>
      <w:r w:rsidRPr="005D5F38">
        <w:rPr>
          <w:rFonts w:ascii="Arial" w:hAnsi="Arial" w:cs="Arial"/>
          <w:spacing w:val="32"/>
          <w:sz w:val="20"/>
        </w:rPr>
        <w:t xml:space="preserve"> </w:t>
      </w:r>
      <w:r w:rsidRPr="005D5F38">
        <w:rPr>
          <w:rFonts w:ascii="Arial" w:hAnsi="Arial" w:cs="Arial"/>
          <w:sz w:val="20"/>
        </w:rPr>
        <w:t>is</w:t>
      </w:r>
      <w:r w:rsidRPr="005D5F38">
        <w:rPr>
          <w:rFonts w:ascii="Arial" w:hAnsi="Arial" w:cs="Arial"/>
          <w:spacing w:val="35"/>
          <w:sz w:val="20"/>
        </w:rPr>
        <w:t xml:space="preserve"> </w:t>
      </w:r>
      <w:r w:rsidRPr="005D5F38">
        <w:rPr>
          <w:rFonts w:ascii="Arial" w:hAnsi="Arial" w:cs="Arial"/>
          <w:sz w:val="20"/>
        </w:rPr>
        <w:t>expressed</w:t>
      </w:r>
      <w:r w:rsidRPr="005D5F38">
        <w:rPr>
          <w:rFonts w:ascii="Arial" w:hAnsi="Arial" w:cs="Arial"/>
          <w:spacing w:val="31"/>
          <w:sz w:val="20"/>
        </w:rPr>
        <w:t xml:space="preserve"> </w:t>
      </w:r>
      <w:r w:rsidRPr="005D5F38">
        <w:rPr>
          <w:rFonts w:ascii="Arial" w:hAnsi="Arial" w:cs="Arial"/>
          <w:sz w:val="20"/>
        </w:rPr>
        <w:t>in</w:t>
      </w:r>
      <w:r w:rsidRPr="005D5F38">
        <w:rPr>
          <w:rFonts w:ascii="Arial" w:hAnsi="Arial" w:cs="Arial"/>
          <w:spacing w:val="34"/>
          <w:sz w:val="20"/>
        </w:rPr>
        <w:t xml:space="preserve"> </w:t>
      </w:r>
      <w:r w:rsidRPr="005D5F38">
        <w:rPr>
          <w:rFonts w:ascii="Arial" w:hAnsi="Arial" w:cs="Arial"/>
          <w:sz w:val="20"/>
        </w:rPr>
        <w:t>calendar</w:t>
      </w:r>
      <w:r w:rsidRPr="005D5F38">
        <w:rPr>
          <w:rFonts w:ascii="Arial" w:hAnsi="Arial" w:cs="Arial"/>
          <w:spacing w:val="34"/>
          <w:sz w:val="20"/>
        </w:rPr>
        <w:t xml:space="preserve"> </w:t>
      </w:r>
      <w:r w:rsidRPr="005D5F38">
        <w:rPr>
          <w:rFonts w:ascii="Arial" w:hAnsi="Arial" w:cs="Arial"/>
          <w:sz w:val="20"/>
        </w:rPr>
        <w:t>time,</w:t>
      </w:r>
      <w:r w:rsidRPr="005D5F38">
        <w:rPr>
          <w:rFonts w:ascii="Arial" w:hAnsi="Arial" w:cs="Arial"/>
          <w:spacing w:val="33"/>
          <w:sz w:val="20"/>
        </w:rPr>
        <w:t xml:space="preserve"> </w:t>
      </w:r>
      <w:r w:rsidRPr="005D5F38">
        <w:rPr>
          <w:rFonts w:ascii="Arial" w:hAnsi="Arial" w:cs="Arial"/>
          <w:sz w:val="20"/>
        </w:rPr>
        <w:t>flight</w:t>
      </w:r>
      <w:r w:rsidRPr="005D5F38">
        <w:rPr>
          <w:rFonts w:ascii="Arial" w:hAnsi="Arial" w:cs="Arial"/>
          <w:spacing w:val="35"/>
          <w:sz w:val="20"/>
        </w:rPr>
        <w:t xml:space="preserve"> </w:t>
      </w:r>
      <w:r w:rsidRPr="005D5F38">
        <w:rPr>
          <w:rFonts w:ascii="Arial" w:hAnsi="Arial" w:cs="Arial"/>
          <w:sz w:val="20"/>
        </w:rPr>
        <w:t>hours,</w:t>
      </w:r>
      <w:r w:rsidRPr="005D5F38">
        <w:rPr>
          <w:rFonts w:ascii="Arial" w:hAnsi="Arial" w:cs="Arial"/>
          <w:spacing w:val="32"/>
          <w:sz w:val="20"/>
        </w:rPr>
        <w:t xml:space="preserve"> </w:t>
      </w:r>
      <w:r w:rsidRPr="005D5F38">
        <w:rPr>
          <w:rFonts w:ascii="Arial" w:hAnsi="Arial" w:cs="Arial"/>
          <w:sz w:val="20"/>
        </w:rPr>
        <w:t>landings</w:t>
      </w:r>
      <w:r w:rsidRPr="005D5F38">
        <w:rPr>
          <w:rFonts w:ascii="Arial" w:hAnsi="Arial" w:cs="Arial"/>
          <w:spacing w:val="33"/>
          <w:sz w:val="20"/>
        </w:rPr>
        <w:t xml:space="preserve"> </w:t>
      </w:r>
      <w:r w:rsidRPr="005D5F38">
        <w:rPr>
          <w:rFonts w:ascii="Arial" w:hAnsi="Arial" w:cs="Arial"/>
          <w:sz w:val="20"/>
        </w:rPr>
        <w:t>or</w:t>
      </w:r>
      <w:r w:rsidRPr="005D5F38">
        <w:rPr>
          <w:rFonts w:ascii="Arial" w:hAnsi="Arial" w:cs="Arial"/>
          <w:spacing w:val="32"/>
          <w:sz w:val="20"/>
        </w:rPr>
        <w:t xml:space="preserve"> </w:t>
      </w:r>
      <w:r w:rsidRPr="005D5F38">
        <w:rPr>
          <w:rFonts w:ascii="Arial" w:hAnsi="Arial" w:cs="Arial"/>
          <w:sz w:val="20"/>
        </w:rPr>
        <w:t>cycles,</w:t>
      </w:r>
      <w:r w:rsidRPr="005D5F38">
        <w:rPr>
          <w:rFonts w:ascii="Arial" w:hAnsi="Arial" w:cs="Arial"/>
          <w:spacing w:val="34"/>
          <w:sz w:val="20"/>
        </w:rPr>
        <w:t xml:space="preserve"> </w:t>
      </w:r>
      <w:r w:rsidRPr="005D5F38">
        <w:rPr>
          <w:rFonts w:ascii="Arial" w:hAnsi="Arial" w:cs="Arial"/>
          <w:sz w:val="20"/>
        </w:rPr>
        <w:t>as</w:t>
      </w:r>
      <w:r w:rsidRPr="005D5F38">
        <w:rPr>
          <w:rFonts w:ascii="Arial" w:hAnsi="Arial" w:cs="Arial"/>
          <w:spacing w:val="-47"/>
          <w:sz w:val="20"/>
        </w:rPr>
        <w:t xml:space="preserve"> </w:t>
      </w:r>
      <w:r w:rsidRPr="005D5F38">
        <w:rPr>
          <w:rFonts w:ascii="Arial" w:hAnsi="Arial" w:cs="Arial"/>
          <w:sz w:val="20"/>
        </w:rPr>
        <w:t>appropriate.</w:t>
      </w:r>
    </w:p>
    <w:p w14:paraId="5CB72EA6" w14:textId="77777777" w:rsidR="003C5975" w:rsidRPr="005D5F38" w:rsidRDefault="003C5975" w:rsidP="003C5975">
      <w:pPr>
        <w:pStyle w:val="ListParagraph"/>
        <w:numPr>
          <w:ilvl w:val="0"/>
          <w:numId w:val="313"/>
        </w:numPr>
        <w:tabs>
          <w:tab w:val="left" w:pos="706"/>
          <w:tab w:val="left" w:pos="707"/>
        </w:tabs>
        <w:ind w:right="197"/>
        <w:jc w:val="both"/>
        <w:rPr>
          <w:rFonts w:ascii="Arial" w:hAnsi="Arial" w:cs="Arial"/>
          <w:sz w:val="20"/>
        </w:rPr>
      </w:pPr>
      <w:r w:rsidRPr="005D5F38">
        <w:rPr>
          <w:rFonts w:ascii="Arial" w:hAnsi="Arial" w:cs="Arial"/>
          <w:sz w:val="20"/>
        </w:rPr>
        <w:t>At</w:t>
      </w:r>
      <w:r w:rsidRPr="005D5F38">
        <w:rPr>
          <w:rFonts w:ascii="Arial" w:hAnsi="Arial" w:cs="Arial"/>
          <w:spacing w:val="-6"/>
          <w:sz w:val="20"/>
        </w:rPr>
        <w:t xml:space="preserve"> </w:t>
      </w:r>
      <w:r w:rsidRPr="005D5F38">
        <w:rPr>
          <w:rFonts w:ascii="Arial" w:hAnsi="Arial" w:cs="Arial"/>
          <w:sz w:val="20"/>
        </w:rPr>
        <w:t>the</w:t>
      </w:r>
      <w:r w:rsidRPr="005D5F38">
        <w:rPr>
          <w:rFonts w:ascii="Arial" w:hAnsi="Arial" w:cs="Arial"/>
          <w:spacing w:val="-6"/>
          <w:sz w:val="20"/>
        </w:rPr>
        <w:t xml:space="preserve"> </w:t>
      </w:r>
      <w:r w:rsidRPr="005D5F38">
        <w:rPr>
          <w:rFonts w:ascii="Arial" w:hAnsi="Arial" w:cs="Arial"/>
          <w:sz w:val="20"/>
        </w:rPr>
        <w:t>end</w:t>
      </w:r>
      <w:r w:rsidRPr="005D5F38">
        <w:rPr>
          <w:rFonts w:ascii="Arial" w:hAnsi="Arial" w:cs="Arial"/>
          <w:spacing w:val="-7"/>
          <w:sz w:val="20"/>
        </w:rPr>
        <w:t xml:space="preserve"> </w:t>
      </w:r>
      <w:r w:rsidRPr="005D5F38">
        <w:rPr>
          <w:rFonts w:ascii="Arial" w:hAnsi="Arial" w:cs="Arial"/>
          <w:sz w:val="20"/>
        </w:rPr>
        <w:t>of</w:t>
      </w:r>
      <w:r w:rsidRPr="005D5F38">
        <w:rPr>
          <w:rFonts w:ascii="Arial" w:hAnsi="Arial" w:cs="Arial"/>
          <w:spacing w:val="-6"/>
          <w:sz w:val="20"/>
        </w:rPr>
        <w:t xml:space="preserve"> </w:t>
      </w:r>
      <w:r w:rsidRPr="005D5F38">
        <w:rPr>
          <w:rFonts w:ascii="Arial" w:hAnsi="Arial" w:cs="Arial"/>
          <w:sz w:val="20"/>
        </w:rPr>
        <w:t>the</w:t>
      </w:r>
      <w:r w:rsidRPr="005D5F38">
        <w:rPr>
          <w:rFonts w:ascii="Arial" w:hAnsi="Arial" w:cs="Arial"/>
          <w:spacing w:val="-5"/>
          <w:sz w:val="20"/>
        </w:rPr>
        <w:t xml:space="preserve"> </w:t>
      </w:r>
      <w:r w:rsidRPr="005D5F38">
        <w:rPr>
          <w:rFonts w:ascii="Arial" w:hAnsi="Arial" w:cs="Arial"/>
          <w:sz w:val="20"/>
        </w:rPr>
        <w:t>approved</w:t>
      </w:r>
      <w:r w:rsidRPr="005D5F38">
        <w:rPr>
          <w:rFonts w:ascii="Arial" w:hAnsi="Arial" w:cs="Arial"/>
          <w:spacing w:val="-8"/>
          <w:sz w:val="20"/>
        </w:rPr>
        <w:t xml:space="preserve"> </w:t>
      </w:r>
      <w:r w:rsidRPr="005D5F38">
        <w:rPr>
          <w:rFonts w:ascii="Arial" w:hAnsi="Arial" w:cs="Arial"/>
          <w:sz w:val="20"/>
        </w:rPr>
        <w:t>service</w:t>
      </w:r>
      <w:r w:rsidRPr="005D5F38">
        <w:rPr>
          <w:rFonts w:ascii="Arial" w:hAnsi="Arial" w:cs="Arial"/>
          <w:spacing w:val="-5"/>
          <w:sz w:val="20"/>
        </w:rPr>
        <w:t xml:space="preserve"> </w:t>
      </w:r>
      <w:r w:rsidRPr="005D5F38">
        <w:rPr>
          <w:rFonts w:ascii="Arial" w:hAnsi="Arial" w:cs="Arial"/>
          <w:sz w:val="20"/>
        </w:rPr>
        <w:t>life</w:t>
      </w:r>
      <w:r w:rsidRPr="005D5F38">
        <w:rPr>
          <w:rFonts w:ascii="Arial" w:hAnsi="Arial" w:cs="Arial"/>
          <w:spacing w:val="-5"/>
          <w:sz w:val="20"/>
        </w:rPr>
        <w:t xml:space="preserve"> </w:t>
      </w:r>
      <w:r w:rsidRPr="005D5F38">
        <w:rPr>
          <w:rFonts w:ascii="Arial" w:hAnsi="Arial" w:cs="Arial"/>
          <w:sz w:val="20"/>
        </w:rPr>
        <w:t>limit,</w:t>
      </w:r>
      <w:r w:rsidRPr="005D5F38">
        <w:rPr>
          <w:rFonts w:ascii="Arial" w:hAnsi="Arial" w:cs="Arial"/>
          <w:spacing w:val="-5"/>
          <w:sz w:val="20"/>
        </w:rPr>
        <w:t xml:space="preserve"> </w:t>
      </w:r>
      <w:r w:rsidRPr="005D5F38">
        <w:rPr>
          <w:rFonts w:ascii="Arial" w:hAnsi="Arial" w:cs="Arial"/>
          <w:sz w:val="20"/>
        </w:rPr>
        <w:t>the</w:t>
      </w:r>
      <w:r w:rsidRPr="005D5F38">
        <w:rPr>
          <w:rFonts w:ascii="Arial" w:hAnsi="Arial" w:cs="Arial"/>
          <w:spacing w:val="-6"/>
          <w:sz w:val="20"/>
        </w:rPr>
        <w:t xml:space="preserve"> </w:t>
      </w:r>
      <w:r w:rsidRPr="005D5F38">
        <w:rPr>
          <w:rFonts w:ascii="Arial" w:hAnsi="Arial" w:cs="Arial"/>
          <w:sz w:val="20"/>
        </w:rPr>
        <w:t>component</w:t>
      </w:r>
      <w:r w:rsidRPr="005D5F38">
        <w:rPr>
          <w:rFonts w:ascii="Arial" w:hAnsi="Arial" w:cs="Arial"/>
          <w:spacing w:val="-8"/>
          <w:sz w:val="20"/>
        </w:rPr>
        <w:t xml:space="preserve"> </w:t>
      </w:r>
      <w:r w:rsidRPr="005D5F38">
        <w:rPr>
          <w:rFonts w:ascii="Arial" w:hAnsi="Arial" w:cs="Arial"/>
          <w:sz w:val="20"/>
        </w:rPr>
        <w:t>must</w:t>
      </w:r>
      <w:r w:rsidRPr="005D5F38">
        <w:rPr>
          <w:rFonts w:ascii="Arial" w:hAnsi="Arial" w:cs="Arial"/>
          <w:spacing w:val="-5"/>
          <w:sz w:val="20"/>
        </w:rPr>
        <w:t xml:space="preserve"> </w:t>
      </w:r>
      <w:r w:rsidRPr="005D5F38">
        <w:rPr>
          <w:rFonts w:ascii="Arial" w:hAnsi="Arial" w:cs="Arial"/>
          <w:sz w:val="20"/>
        </w:rPr>
        <w:t>be</w:t>
      </w:r>
      <w:r w:rsidRPr="005D5F38">
        <w:rPr>
          <w:rFonts w:ascii="Arial" w:hAnsi="Arial" w:cs="Arial"/>
          <w:spacing w:val="-5"/>
          <w:sz w:val="20"/>
        </w:rPr>
        <w:t xml:space="preserve"> </w:t>
      </w:r>
      <w:r w:rsidRPr="005D5F38">
        <w:rPr>
          <w:rFonts w:ascii="Arial" w:hAnsi="Arial" w:cs="Arial"/>
          <w:sz w:val="20"/>
        </w:rPr>
        <w:t>removed</w:t>
      </w:r>
      <w:r w:rsidRPr="005D5F38">
        <w:rPr>
          <w:rFonts w:ascii="Arial" w:hAnsi="Arial" w:cs="Arial"/>
          <w:spacing w:val="-6"/>
          <w:sz w:val="20"/>
        </w:rPr>
        <w:t xml:space="preserve"> </w:t>
      </w:r>
      <w:r w:rsidRPr="005D5F38">
        <w:rPr>
          <w:rFonts w:ascii="Arial" w:hAnsi="Arial" w:cs="Arial"/>
          <w:sz w:val="20"/>
        </w:rPr>
        <w:t>from</w:t>
      </w:r>
      <w:r w:rsidRPr="005D5F38">
        <w:rPr>
          <w:rFonts w:ascii="Arial" w:hAnsi="Arial" w:cs="Arial"/>
          <w:spacing w:val="-5"/>
          <w:sz w:val="20"/>
        </w:rPr>
        <w:t xml:space="preserve"> </w:t>
      </w:r>
      <w:r w:rsidRPr="005D5F38">
        <w:rPr>
          <w:rFonts w:ascii="Arial" w:hAnsi="Arial" w:cs="Arial"/>
          <w:sz w:val="20"/>
        </w:rPr>
        <w:t>the</w:t>
      </w:r>
      <w:r w:rsidRPr="005D5F38">
        <w:rPr>
          <w:rFonts w:ascii="Arial" w:hAnsi="Arial" w:cs="Arial"/>
          <w:spacing w:val="-6"/>
          <w:sz w:val="20"/>
        </w:rPr>
        <w:t xml:space="preserve"> </w:t>
      </w:r>
      <w:r w:rsidRPr="005D5F38">
        <w:rPr>
          <w:rFonts w:ascii="Arial" w:hAnsi="Arial" w:cs="Arial"/>
          <w:sz w:val="20"/>
        </w:rPr>
        <w:t>aircraft</w:t>
      </w:r>
      <w:r w:rsidRPr="005D5F38">
        <w:rPr>
          <w:rFonts w:ascii="Arial" w:hAnsi="Arial" w:cs="Arial"/>
          <w:spacing w:val="-46"/>
          <w:sz w:val="20"/>
        </w:rPr>
        <w:t xml:space="preserve"> </w:t>
      </w:r>
      <w:r w:rsidRPr="005D5F38">
        <w:rPr>
          <w:rFonts w:ascii="Arial" w:hAnsi="Arial" w:cs="Arial"/>
          <w:sz w:val="20"/>
        </w:rPr>
        <w:t>for</w:t>
      </w:r>
      <w:r w:rsidRPr="005D5F38">
        <w:rPr>
          <w:rFonts w:ascii="Arial" w:hAnsi="Arial" w:cs="Arial"/>
          <w:spacing w:val="-3"/>
          <w:sz w:val="20"/>
        </w:rPr>
        <w:t xml:space="preserve"> </w:t>
      </w:r>
      <w:r w:rsidRPr="005D5F38">
        <w:rPr>
          <w:rFonts w:ascii="Arial" w:hAnsi="Arial" w:cs="Arial"/>
          <w:sz w:val="20"/>
        </w:rPr>
        <w:t>maintenance,</w:t>
      </w:r>
      <w:r w:rsidRPr="005D5F38">
        <w:rPr>
          <w:rFonts w:ascii="Arial" w:hAnsi="Arial" w:cs="Arial"/>
          <w:spacing w:val="-2"/>
          <w:sz w:val="20"/>
        </w:rPr>
        <w:t xml:space="preserve"> </w:t>
      </w:r>
      <w:r w:rsidRPr="005D5F38">
        <w:rPr>
          <w:rFonts w:ascii="Arial" w:hAnsi="Arial" w:cs="Arial"/>
          <w:sz w:val="20"/>
        </w:rPr>
        <w:t>or</w:t>
      </w:r>
      <w:r w:rsidRPr="005D5F38">
        <w:rPr>
          <w:rFonts w:ascii="Arial" w:hAnsi="Arial" w:cs="Arial"/>
          <w:spacing w:val="-1"/>
          <w:sz w:val="20"/>
        </w:rPr>
        <w:t xml:space="preserve"> </w:t>
      </w:r>
      <w:r w:rsidRPr="005D5F38">
        <w:rPr>
          <w:rFonts w:ascii="Arial" w:hAnsi="Arial" w:cs="Arial"/>
          <w:sz w:val="20"/>
        </w:rPr>
        <w:t>for disposal</w:t>
      </w:r>
      <w:r w:rsidRPr="005D5F38">
        <w:rPr>
          <w:rFonts w:ascii="Arial" w:hAnsi="Arial" w:cs="Arial"/>
          <w:spacing w:val="-1"/>
          <w:sz w:val="20"/>
        </w:rPr>
        <w:t xml:space="preserve"> </w:t>
      </w:r>
      <w:r w:rsidRPr="005D5F38">
        <w:rPr>
          <w:rFonts w:ascii="Arial" w:hAnsi="Arial" w:cs="Arial"/>
          <w:sz w:val="20"/>
        </w:rPr>
        <w:t>in</w:t>
      </w:r>
      <w:r w:rsidRPr="005D5F38">
        <w:rPr>
          <w:rFonts w:ascii="Arial" w:hAnsi="Arial" w:cs="Arial"/>
          <w:spacing w:val="-1"/>
          <w:sz w:val="20"/>
        </w:rPr>
        <w:t xml:space="preserve"> </w:t>
      </w:r>
      <w:r w:rsidRPr="005D5F38">
        <w:rPr>
          <w:rFonts w:ascii="Arial" w:hAnsi="Arial" w:cs="Arial"/>
          <w:sz w:val="20"/>
        </w:rPr>
        <w:t>the case</w:t>
      </w:r>
      <w:r w:rsidRPr="005D5F38">
        <w:rPr>
          <w:rFonts w:ascii="Arial" w:hAnsi="Arial" w:cs="Arial"/>
          <w:spacing w:val="-2"/>
          <w:sz w:val="20"/>
        </w:rPr>
        <w:t xml:space="preserve"> </w:t>
      </w:r>
      <w:r w:rsidRPr="005D5F38">
        <w:rPr>
          <w:rFonts w:ascii="Arial" w:hAnsi="Arial" w:cs="Arial"/>
          <w:sz w:val="20"/>
        </w:rPr>
        <w:t>of components</w:t>
      </w:r>
      <w:r w:rsidRPr="005D5F38">
        <w:rPr>
          <w:rFonts w:ascii="Arial" w:hAnsi="Arial" w:cs="Arial"/>
          <w:spacing w:val="-1"/>
          <w:sz w:val="20"/>
        </w:rPr>
        <w:t xml:space="preserve"> </w:t>
      </w:r>
      <w:r w:rsidRPr="005D5F38">
        <w:rPr>
          <w:rFonts w:ascii="Arial" w:hAnsi="Arial" w:cs="Arial"/>
          <w:sz w:val="20"/>
        </w:rPr>
        <w:t>with</w:t>
      </w:r>
      <w:r w:rsidRPr="005D5F38">
        <w:rPr>
          <w:rFonts w:ascii="Arial" w:hAnsi="Arial" w:cs="Arial"/>
          <w:spacing w:val="-3"/>
          <w:sz w:val="20"/>
        </w:rPr>
        <w:t xml:space="preserve"> </w:t>
      </w:r>
      <w:r w:rsidRPr="005D5F38">
        <w:rPr>
          <w:rFonts w:ascii="Arial" w:hAnsi="Arial" w:cs="Arial"/>
          <w:sz w:val="20"/>
        </w:rPr>
        <w:t>a</w:t>
      </w:r>
      <w:r w:rsidRPr="005D5F38">
        <w:rPr>
          <w:rFonts w:ascii="Arial" w:hAnsi="Arial" w:cs="Arial"/>
          <w:spacing w:val="-1"/>
          <w:sz w:val="20"/>
        </w:rPr>
        <w:t xml:space="preserve"> </w:t>
      </w:r>
      <w:r w:rsidRPr="005D5F38">
        <w:rPr>
          <w:rFonts w:ascii="Arial" w:hAnsi="Arial" w:cs="Arial"/>
          <w:sz w:val="20"/>
        </w:rPr>
        <w:t>certified life limit.</w:t>
      </w:r>
    </w:p>
    <w:p w14:paraId="7A858439" w14:textId="77777777" w:rsidR="005D5F38" w:rsidRPr="005D5F38" w:rsidRDefault="005D5F38" w:rsidP="005D5F38">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899" w:name="_Toc153137542"/>
      <w:r w:rsidRPr="005D5F38">
        <w:rPr>
          <w:rFonts w:ascii="Arial" w:eastAsia="Times New Roman" w:hAnsi="Arial" w:cs="Times New Roman"/>
          <w:b/>
          <w:iCs/>
          <w:color w:val="FFFFFF"/>
          <w:sz w:val="24"/>
        </w:rPr>
        <w:t>ML.A.504 Control of unserviceable components</w:t>
      </w:r>
      <w:bookmarkEnd w:id="899"/>
      <w:r w:rsidRPr="005D5F38">
        <w:rPr>
          <w:rFonts w:ascii="Arial" w:eastAsia="Times New Roman" w:hAnsi="Arial" w:cs="Times New Roman"/>
          <w:b/>
          <w:iCs/>
          <w:color w:val="FFFFFF"/>
          <w:sz w:val="24"/>
        </w:rPr>
        <w:tab/>
      </w:r>
    </w:p>
    <w:p w14:paraId="6F2E6A74" w14:textId="77777777" w:rsidR="005D5F38" w:rsidRPr="005D5F38" w:rsidRDefault="005D5F38" w:rsidP="005E7CDD">
      <w:pPr>
        <w:numPr>
          <w:ilvl w:val="0"/>
          <w:numId w:val="314"/>
        </w:numPr>
        <w:ind w:right="44"/>
        <w:jc w:val="both"/>
        <w:rPr>
          <w:rFonts w:ascii="Arial" w:eastAsia="Times New Roman" w:hAnsi="Arial" w:cs="Times New Roman"/>
          <w:sz w:val="20"/>
        </w:rPr>
      </w:pPr>
      <w:r w:rsidRPr="005D5F38">
        <w:rPr>
          <w:rFonts w:ascii="Arial" w:eastAsia="Times New Roman" w:hAnsi="Arial" w:cs="Times New Roman"/>
          <w:sz w:val="20"/>
        </w:rPr>
        <w:t>A component shall be considered unserviceable in any of the following circumstances:</w:t>
      </w:r>
    </w:p>
    <w:p w14:paraId="62B6C5C5" w14:textId="77777777" w:rsidR="005D5F38" w:rsidRPr="005D5F38" w:rsidRDefault="005D5F38" w:rsidP="005E7CDD">
      <w:pPr>
        <w:pStyle w:val="ListParagraph"/>
        <w:numPr>
          <w:ilvl w:val="1"/>
          <w:numId w:val="313"/>
        </w:numPr>
        <w:tabs>
          <w:tab w:val="left" w:pos="1273"/>
          <w:tab w:val="left" w:pos="1274"/>
        </w:tabs>
        <w:spacing w:before="57"/>
        <w:ind w:right="44"/>
        <w:jc w:val="both"/>
        <w:rPr>
          <w:rFonts w:ascii="Arial" w:hAnsi="Arial" w:cs="Arial"/>
          <w:spacing w:val="-1"/>
          <w:sz w:val="20"/>
        </w:rPr>
      </w:pPr>
      <w:r w:rsidRPr="005D5F38">
        <w:rPr>
          <w:rFonts w:ascii="Arial" w:hAnsi="Arial" w:cs="Arial"/>
          <w:spacing w:val="-1"/>
          <w:sz w:val="20"/>
        </w:rPr>
        <w:t>expiry of the component’s service life limit as defined in the AMP;</w:t>
      </w:r>
    </w:p>
    <w:p w14:paraId="18CE0A7C" w14:textId="77777777" w:rsidR="005D5F38" w:rsidRPr="005D5F38" w:rsidRDefault="005D5F38" w:rsidP="005E7CDD">
      <w:pPr>
        <w:pStyle w:val="ListParagraph"/>
        <w:numPr>
          <w:ilvl w:val="1"/>
          <w:numId w:val="313"/>
        </w:numPr>
        <w:tabs>
          <w:tab w:val="left" w:pos="1273"/>
          <w:tab w:val="left" w:pos="1274"/>
        </w:tabs>
        <w:spacing w:before="57"/>
        <w:ind w:right="44"/>
        <w:jc w:val="both"/>
        <w:rPr>
          <w:rFonts w:ascii="Arial" w:hAnsi="Arial" w:cs="Arial"/>
          <w:spacing w:val="-1"/>
          <w:sz w:val="20"/>
        </w:rPr>
      </w:pPr>
      <w:r w:rsidRPr="005D5F38">
        <w:rPr>
          <w:rFonts w:ascii="Arial" w:hAnsi="Arial" w:cs="Arial"/>
          <w:spacing w:val="-1"/>
          <w:sz w:val="20"/>
        </w:rPr>
        <w:t>non-compliance with the applicable ADs and other continued-airworthiness requirement mandated by the Agency;</w:t>
      </w:r>
    </w:p>
    <w:p w14:paraId="3374EA73" w14:textId="77777777" w:rsidR="005D5F38" w:rsidRPr="005D5F38" w:rsidRDefault="005D5F38" w:rsidP="005E7CDD">
      <w:pPr>
        <w:pStyle w:val="ListParagraph"/>
        <w:numPr>
          <w:ilvl w:val="1"/>
          <w:numId w:val="313"/>
        </w:numPr>
        <w:tabs>
          <w:tab w:val="left" w:pos="1273"/>
          <w:tab w:val="left" w:pos="1274"/>
        </w:tabs>
        <w:spacing w:before="57"/>
        <w:ind w:right="44"/>
        <w:jc w:val="both"/>
        <w:rPr>
          <w:rFonts w:ascii="Arial" w:hAnsi="Arial" w:cs="Arial"/>
          <w:spacing w:val="-1"/>
          <w:sz w:val="20"/>
        </w:rPr>
      </w:pPr>
      <w:r w:rsidRPr="005D5F38">
        <w:rPr>
          <w:rFonts w:ascii="Arial" w:hAnsi="Arial" w:cs="Arial"/>
          <w:spacing w:val="-1"/>
          <w:sz w:val="20"/>
        </w:rPr>
        <w:t>absence of the necessary information to determine the airworthiness status of the component or its eligibility for installation;</w:t>
      </w:r>
    </w:p>
    <w:p w14:paraId="2753087C" w14:textId="77777777" w:rsidR="005D5F38" w:rsidRPr="005D5F38" w:rsidRDefault="005D5F38" w:rsidP="005E7CDD">
      <w:pPr>
        <w:pStyle w:val="ListParagraph"/>
        <w:numPr>
          <w:ilvl w:val="1"/>
          <w:numId w:val="313"/>
        </w:numPr>
        <w:tabs>
          <w:tab w:val="left" w:pos="1273"/>
          <w:tab w:val="left" w:pos="1274"/>
        </w:tabs>
        <w:spacing w:before="57"/>
        <w:ind w:right="44"/>
        <w:jc w:val="both"/>
        <w:rPr>
          <w:rFonts w:ascii="Arial" w:hAnsi="Arial" w:cs="Arial"/>
          <w:spacing w:val="-1"/>
          <w:sz w:val="20"/>
        </w:rPr>
      </w:pPr>
      <w:r w:rsidRPr="005D5F38">
        <w:rPr>
          <w:rFonts w:ascii="Arial" w:hAnsi="Arial" w:cs="Arial"/>
          <w:spacing w:val="-1"/>
          <w:sz w:val="20"/>
        </w:rPr>
        <w:t>evidence of component defects or malfunctions;</w:t>
      </w:r>
    </w:p>
    <w:p w14:paraId="37793432" w14:textId="77777777" w:rsidR="005D5F38" w:rsidRPr="005D5F38" w:rsidRDefault="005D5F38" w:rsidP="005E7CDD">
      <w:pPr>
        <w:pStyle w:val="ListParagraph"/>
        <w:numPr>
          <w:ilvl w:val="1"/>
          <w:numId w:val="313"/>
        </w:numPr>
        <w:tabs>
          <w:tab w:val="left" w:pos="1273"/>
          <w:tab w:val="left" w:pos="1274"/>
        </w:tabs>
        <w:spacing w:before="57"/>
        <w:ind w:right="44"/>
        <w:jc w:val="both"/>
        <w:rPr>
          <w:rFonts w:ascii="Arial" w:hAnsi="Arial" w:cs="Arial"/>
          <w:spacing w:val="-1"/>
          <w:sz w:val="20"/>
        </w:rPr>
      </w:pPr>
      <w:r w:rsidRPr="005D5F38">
        <w:rPr>
          <w:rFonts w:ascii="Arial" w:hAnsi="Arial" w:cs="Arial"/>
          <w:spacing w:val="-1"/>
          <w:sz w:val="20"/>
        </w:rPr>
        <w:t>component involvement in an incident or accident likely to affect its serviceability.</w:t>
      </w:r>
    </w:p>
    <w:p w14:paraId="3FD43004" w14:textId="77777777" w:rsidR="005D5F38" w:rsidRPr="005D5F38" w:rsidRDefault="005D5F38" w:rsidP="005E7CDD">
      <w:pPr>
        <w:numPr>
          <w:ilvl w:val="0"/>
          <w:numId w:val="314"/>
        </w:numPr>
        <w:ind w:right="44"/>
        <w:jc w:val="both"/>
        <w:rPr>
          <w:rFonts w:ascii="Arial" w:eastAsia="Times New Roman" w:hAnsi="Arial" w:cs="Times New Roman"/>
          <w:sz w:val="20"/>
        </w:rPr>
      </w:pPr>
      <w:r w:rsidRPr="005D5F38">
        <w:rPr>
          <w:rFonts w:ascii="Arial" w:eastAsia="Times New Roman" w:hAnsi="Arial" w:cs="Times New Roman"/>
          <w:sz w:val="20"/>
        </w:rPr>
        <w:t>Unserviceable components shall be identified as one of the following:</w:t>
      </w:r>
    </w:p>
    <w:p w14:paraId="4A42D8BA" w14:textId="77777777" w:rsidR="005D5F38" w:rsidRPr="005D5F38" w:rsidRDefault="005D5F38" w:rsidP="005E7CDD">
      <w:pPr>
        <w:pStyle w:val="ListParagraph"/>
        <w:numPr>
          <w:ilvl w:val="0"/>
          <w:numId w:val="315"/>
        </w:numPr>
        <w:tabs>
          <w:tab w:val="left" w:pos="1273"/>
          <w:tab w:val="left" w:pos="1274"/>
        </w:tabs>
        <w:spacing w:before="57"/>
        <w:ind w:right="44"/>
        <w:jc w:val="both"/>
        <w:rPr>
          <w:rFonts w:ascii="Arial" w:hAnsi="Arial" w:cs="Arial"/>
          <w:spacing w:val="-1"/>
          <w:sz w:val="20"/>
        </w:rPr>
      </w:pPr>
      <w:r w:rsidRPr="005D5F38">
        <w:rPr>
          <w:rFonts w:ascii="Arial" w:hAnsi="Arial" w:cs="Arial"/>
          <w:spacing w:val="-1"/>
          <w:sz w:val="20"/>
        </w:rPr>
        <w:t>unserviceable and stored in a secure location under the control of an approved maintenance organisation or independent certifying staff until a decision is made on the future status of such components;</w:t>
      </w:r>
    </w:p>
    <w:p w14:paraId="01813828" w14:textId="77777777" w:rsidR="005D5F38" w:rsidRPr="005D5F38" w:rsidRDefault="005D5F38" w:rsidP="005E7CDD">
      <w:pPr>
        <w:pStyle w:val="ListParagraph"/>
        <w:numPr>
          <w:ilvl w:val="0"/>
          <w:numId w:val="315"/>
        </w:numPr>
        <w:tabs>
          <w:tab w:val="left" w:pos="1273"/>
          <w:tab w:val="left" w:pos="1274"/>
        </w:tabs>
        <w:spacing w:before="57"/>
        <w:ind w:right="44"/>
        <w:jc w:val="both"/>
        <w:rPr>
          <w:rFonts w:ascii="Arial" w:hAnsi="Arial" w:cs="Arial"/>
          <w:spacing w:val="-1"/>
          <w:sz w:val="20"/>
        </w:rPr>
      </w:pPr>
      <w:r w:rsidRPr="005D5F38">
        <w:rPr>
          <w:rFonts w:ascii="Arial" w:hAnsi="Arial" w:cs="Arial"/>
          <w:spacing w:val="-1"/>
          <w:sz w:val="20"/>
        </w:rPr>
        <w:t>unserviceable by the person or organisation that declared the component unserviceable, and its custody shall be transferred to the aircraft owner after documenting such transfer in aircraft maintenance record system referred to in point ML.A.305.</w:t>
      </w:r>
    </w:p>
    <w:p w14:paraId="55540F2D" w14:textId="77777777" w:rsidR="005D5F38" w:rsidRPr="005D5F38" w:rsidRDefault="005D5F38" w:rsidP="005E7CDD">
      <w:pPr>
        <w:numPr>
          <w:ilvl w:val="0"/>
          <w:numId w:val="314"/>
        </w:numPr>
        <w:ind w:right="44"/>
        <w:jc w:val="both"/>
        <w:rPr>
          <w:rFonts w:ascii="Arial" w:eastAsia="Times New Roman" w:hAnsi="Arial" w:cs="Times New Roman"/>
          <w:sz w:val="20"/>
        </w:rPr>
      </w:pPr>
      <w:r w:rsidRPr="005D5F38">
        <w:rPr>
          <w:rFonts w:ascii="Arial" w:eastAsia="Times New Roman" w:hAnsi="Arial" w:cs="Times New Roman"/>
          <w:sz w:val="20"/>
        </w:rPr>
        <w:t xml:space="preserve">Components which have reached their certified life limit or contain a non-repairable defect or malfunction shall be classified as unsalvageable and shall not be permitted to re-enter the component supply system unless certified life limits have been extended or a repair solution has been approved in accordance with point </w:t>
      </w:r>
      <w:hyperlink w:anchor="_bookmark354" w:history="1">
        <w:r w:rsidRPr="005D5F38">
          <w:t>ML.A.304.</w:t>
        </w:r>
      </w:hyperlink>
    </w:p>
    <w:p w14:paraId="14D7177B" w14:textId="77777777" w:rsidR="005D5F38" w:rsidRPr="005D5F38" w:rsidRDefault="005D5F38" w:rsidP="005E7CDD">
      <w:pPr>
        <w:numPr>
          <w:ilvl w:val="0"/>
          <w:numId w:val="314"/>
        </w:numPr>
        <w:ind w:right="44"/>
        <w:jc w:val="both"/>
        <w:rPr>
          <w:rFonts w:ascii="Arial" w:eastAsia="Times New Roman" w:hAnsi="Arial" w:cs="Times New Roman"/>
          <w:sz w:val="20"/>
        </w:rPr>
      </w:pPr>
      <w:r w:rsidRPr="005D5F38">
        <w:rPr>
          <w:rFonts w:ascii="Arial" w:eastAsia="Times New Roman" w:hAnsi="Arial" w:cs="Times New Roman"/>
          <w:sz w:val="20"/>
        </w:rPr>
        <w:t>Any person or organisation responsible pursuant to point ML.A.201 shall in the case of an unsalvageable component, as provided for in point (c), take one of the following actions:</w:t>
      </w:r>
    </w:p>
    <w:p w14:paraId="1AAC785E" w14:textId="77777777" w:rsidR="005D5F38" w:rsidRPr="005D5F38" w:rsidRDefault="005D5F38" w:rsidP="005E7CDD">
      <w:pPr>
        <w:pStyle w:val="ListParagraph"/>
        <w:numPr>
          <w:ilvl w:val="0"/>
          <w:numId w:val="316"/>
        </w:numPr>
        <w:tabs>
          <w:tab w:val="left" w:pos="1273"/>
          <w:tab w:val="left" w:pos="1274"/>
        </w:tabs>
        <w:spacing w:before="57"/>
        <w:ind w:right="44"/>
        <w:jc w:val="both"/>
        <w:rPr>
          <w:rFonts w:ascii="Arial" w:hAnsi="Arial" w:cs="Arial"/>
          <w:spacing w:val="-1"/>
          <w:sz w:val="20"/>
        </w:rPr>
      </w:pPr>
      <w:r w:rsidRPr="005D5F38">
        <w:rPr>
          <w:rFonts w:ascii="Arial" w:hAnsi="Arial" w:cs="Arial"/>
          <w:spacing w:val="-1"/>
          <w:sz w:val="20"/>
        </w:rPr>
        <w:t>retain such component in a location referred to in point (b)(1);</w:t>
      </w:r>
    </w:p>
    <w:p w14:paraId="659267D7" w14:textId="77777777" w:rsidR="005D5F38" w:rsidRPr="005D5F38" w:rsidRDefault="005D5F38" w:rsidP="005E7CDD">
      <w:pPr>
        <w:pStyle w:val="ListParagraph"/>
        <w:numPr>
          <w:ilvl w:val="0"/>
          <w:numId w:val="316"/>
        </w:numPr>
        <w:tabs>
          <w:tab w:val="left" w:pos="1273"/>
          <w:tab w:val="left" w:pos="1274"/>
        </w:tabs>
        <w:spacing w:before="57"/>
        <w:ind w:right="44"/>
        <w:jc w:val="both"/>
        <w:rPr>
          <w:rFonts w:ascii="Arial" w:eastAsia="Times New Roman" w:hAnsi="Arial" w:cs="Times New Roman"/>
          <w:sz w:val="20"/>
        </w:rPr>
      </w:pPr>
      <w:r w:rsidRPr="005D5F38">
        <w:rPr>
          <w:rFonts w:ascii="Arial" w:hAnsi="Arial" w:cs="Arial"/>
          <w:spacing w:val="-1"/>
          <w:sz w:val="20"/>
        </w:rPr>
        <w:t>arrange for the component to be mutilated in a manner that ensures that it is beyond</w:t>
      </w:r>
      <w:r w:rsidRPr="005D5F38">
        <w:rPr>
          <w:rFonts w:ascii="Arial" w:eastAsia="Times New Roman" w:hAnsi="Arial" w:cs="Times New Roman"/>
          <w:sz w:val="20"/>
        </w:rPr>
        <w:t xml:space="preserve"> economic salvage or repair before relinquishing responsibility for such a component.</w:t>
      </w:r>
    </w:p>
    <w:p w14:paraId="3CA69E10" w14:textId="77777777" w:rsidR="005D5F38" w:rsidRPr="005D5F38" w:rsidRDefault="005D5F38" w:rsidP="005E7CDD">
      <w:pPr>
        <w:numPr>
          <w:ilvl w:val="0"/>
          <w:numId w:val="314"/>
        </w:numPr>
        <w:ind w:right="44"/>
        <w:jc w:val="both"/>
        <w:rPr>
          <w:rFonts w:ascii="Arial" w:eastAsia="Times New Roman" w:hAnsi="Arial" w:cs="Times New Roman"/>
          <w:sz w:val="20"/>
        </w:rPr>
      </w:pPr>
      <w:r w:rsidRPr="005D5F38">
        <w:rPr>
          <w:rFonts w:ascii="Arial" w:eastAsia="Times New Roman" w:hAnsi="Arial" w:cs="Times New Roman"/>
          <w:sz w:val="20"/>
        </w:rPr>
        <w:t xml:space="preserve">Notwithstanding point (d), a person or organisation responsible pursuant to point </w:t>
      </w:r>
      <w:hyperlink w:anchor="_bookmark330" w:history="1">
        <w:r w:rsidRPr="005D5F38">
          <w:rPr>
            <w:rFonts w:ascii="Arial" w:eastAsia="Times New Roman" w:hAnsi="Arial" w:cs="Times New Roman"/>
            <w:sz w:val="20"/>
          </w:rPr>
          <w:t>ML.A.201</w:t>
        </w:r>
      </w:hyperlink>
      <w:r w:rsidRPr="005D5F38">
        <w:rPr>
          <w:rFonts w:ascii="Arial" w:eastAsia="Times New Roman" w:hAnsi="Arial" w:cs="Times New Roman"/>
          <w:sz w:val="20"/>
        </w:rPr>
        <w:t xml:space="preserve"> may transfer responsibility of components classified as unsalvageable without mutilation to an organisation for training or research.</w:t>
      </w:r>
    </w:p>
    <w:p w14:paraId="5F0AA86C" w14:textId="77777777" w:rsidR="0070525B" w:rsidRDefault="0070525B" w:rsidP="005D5F38">
      <w:pPr>
        <w:ind w:left="706"/>
        <w:jc w:val="both"/>
        <w:rPr>
          <w:rFonts w:ascii="Arial" w:eastAsia="Times New Roman" w:hAnsi="Arial" w:cs="Times New Roman"/>
          <w:sz w:val="18"/>
        </w:rPr>
      </w:pPr>
    </w:p>
    <w:p w14:paraId="36EC248E" w14:textId="77777777" w:rsidR="008D238F" w:rsidRDefault="008D238F" w:rsidP="005D5F38">
      <w:pPr>
        <w:ind w:left="706"/>
        <w:jc w:val="both"/>
        <w:rPr>
          <w:rFonts w:ascii="Arial" w:eastAsia="Times New Roman" w:hAnsi="Arial" w:cs="Times New Roman"/>
          <w:sz w:val="18"/>
        </w:rPr>
      </w:pPr>
    </w:p>
    <w:p w14:paraId="1C4335F4" w14:textId="77777777" w:rsidR="008D238F" w:rsidRDefault="008D238F" w:rsidP="005D5F38">
      <w:pPr>
        <w:ind w:left="706"/>
        <w:jc w:val="both"/>
        <w:rPr>
          <w:rFonts w:ascii="Arial" w:eastAsia="Times New Roman" w:hAnsi="Arial" w:cs="Times New Roman"/>
          <w:sz w:val="18"/>
        </w:rPr>
      </w:pPr>
    </w:p>
    <w:p w14:paraId="0019BA3B" w14:textId="3283C68B" w:rsidR="008D238F" w:rsidRDefault="008D238F" w:rsidP="005E7CDD">
      <w:pPr>
        <w:jc w:val="both"/>
        <w:rPr>
          <w:rFonts w:ascii="Arial" w:eastAsia="Times New Roman" w:hAnsi="Arial" w:cs="Times New Roman"/>
          <w:sz w:val="18"/>
        </w:rPr>
      </w:pPr>
    </w:p>
    <w:p w14:paraId="04648B55" w14:textId="50D2EC66" w:rsidR="00761C94" w:rsidRDefault="00761C94" w:rsidP="005E7CDD">
      <w:pPr>
        <w:jc w:val="both"/>
        <w:rPr>
          <w:rFonts w:ascii="Arial" w:eastAsia="Times New Roman" w:hAnsi="Arial" w:cs="Times New Roman"/>
          <w:sz w:val="18"/>
        </w:rPr>
      </w:pPr>
    </w:p>
    <w:p w14:paraId="46C3DC0C" w14:textId="16936124" w:rsidR="00761C94" w:rsidRDefault="00761C94" w:rsidP="005E7CDD">
      <w:pPr>
        <w:jc w:val="both"/>
        <w:rPr>
          <w:rFonts w:ascii="Arial" w:eastAsia="Times New Roman" w:hAnsi="Arial" w:cs="Times New Roman"/>
          <w:sz w:val="18"/>
        </w:rPr>
      </w:pPr>
    </w:p>
    <w:p w14:paraId="2F0264C4" w14:textId="65E0DBF5" w:rsidR="00761C94" w:rsidRDefault="00761C94" w:rsidP="005E7CDD">
      <w:pPr>
        <w:jc w:val="both"/>
        <w:rPr>
          <w:rFonts w:ascii="Arial" w:eastAsia="Times New Roman" w:hAnsi="Arial" w:cs="Times New Roman"/>
          <w:sz w:val="18"/>
        </w:rPr>
      </w:pPr>
    </w:p>
    <w:p w14:paraId="7E6322D6" w14:textId="6D3C4132" w:rsidR="00761C94" w:rsidRDefault="00761C94" w:rsidP="005E7CDD">
      <w:pPr>
        <w:jc w:val="both"/>
        <w:rPr>
          <w:rFonts w:ascii="Arial" w:eastAsia="Times New Roman" w:hAnsi="Arial" w:cs="Times New Roman"/>
          <w:sz w:val="18"/>
        </w:rPr>
      </w:pPr>
    </w:p>
    <w:p w14:paraId="3B9DFEF8" w14:textId="77777777" w:rsidR="00761C94" w:rsidRDefault="00761C94" w:rsidP="005E7CDD">
      <w:pPr>
        <w:jc w:val="both"/>
        <w:rPr>
          <w:rFonts w:ascii="Arial" w:eastAsia="Times New Roman" w:hAnsi="Arial" w:cs="Times New Roman"/>
          <w:sz w:val="18"/>
        </w:rPr>
      </w:pPr>
    </w:p>
    <w:p w14:paraId="760A1A95" w14:textId="77777777" w:rsidR="008D238F" w:rsidRDefault="008D238F" w:rsidP="005D5F38">
      <w:pPr>
        <w:ind w:left="706"/>
        <w:jc w:val="both"/>
        <w:rPr>
          <w:rFonts w:ascii="Arial" w:eastAsia="Times New Roman" w:hAnsi="Arial" w:cs="Times New Roman"/>
          <w:sz w:val="18"/>
        </w:rPr>
      </w:pPr>
    </w:p>
    <w:p w14:paraId="7CAACC53" w14:textId="77777777" w:rsidR="008D238F" w:rsidRPr="008D238F" w:rsidRDefault="008D238F" w:rsidP="008D238F">
      <w:pPr>
        <w:keepNext/>
        <w:keepLines/>
        <w:widowControl/>
        <w:autoSpaceDE/>
        <w:autoSpaceDN/>
        <w:spacing w:before="40" w:line="276" w:lineRule="auto"/>
        <w:jc w:val="center"/>
        <w:outlineLvl w:val="2"/>
        <w:rPr>
          <w:rFonts w:ascii="Arial" w:eastAsiaTheme="majorEastAsia" w:hAnsi="Arial" w:cs="Arial"/>
          <w:b/>
          <w:color w:val="00B0F0"/>
          <w:sz w:val="24"/>
          <w:szCs w:val="24"/>
        </w:rPr>
      </w:pPr>
      <w:bookmarkStart w:id="900" w:name="_Toc153137543"/>
      <w:r w:rsidRPr="008D238F">
        <w:rPr>
          <w:rFonts w:ascii="Arial" w:eastAsiaTheme="majorEastAsia" w:hAnsi="Arial" w:cs="Arial"/>
          <w:b/>
          <w:color w:val="00B0F0"/>
          <w:sz w:val="24"/>
          <w:szCs w:val="24"/>
        </w:rPr>
        <w:lastRenderedPageBreak/>
        <w:t>SUBPART H — CERTIFICATE OF RELEASE TO SERVICE (CRS)</w:t>
      </w:r>
      <w:bookmarkEnd w:id="900"/>
    </w:p>
    <w:p w14:paraId="3F6D7FEB" w14:textId="77777777" w:rsidR="008D238F" w:rsidRPr="008D238F" w:rsidRDefault="008D238F" w:rsidP="008D238F">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901" w:name="_Toc153137544"/>
      <w:r w:rsidRPr="008D238F">
        <w:rPr>
          <w:rFonts w:ascii="Arial" w:eastAsia="Times New Roman" w:hAnsi="Arial" w:cs="Times New Roman"/>
          <w:b/>
          <w:iCs/>
          <w:color w:val="FFFFFF"/>
          <w:sz w:val="24"/>
        </w:rPr>
        <w:t>ML.A.801 Aircraft certificate of release to service</w:t>
      </w:r>
      <w:bookmarkEnd w:id="901"/>
      <w:r w:rsidRPr="008D238F">
        <w:rPr>
          <w:rFonts w:ascii="Arial" w:eastAsia="Times New Roman" w:hAnsi="Arial" w:cs="Times New Roman"/>
          <w:b/>
          <w:iCs/>
          <w:color w:val="FFFFFF"/>
          <w:sz w:val="24"/>
        </w:rPr>
        <w:tab/>
      </w:r>
    </w:p>
    <w:p w14:paraId="66D12645" w14:textId="77777777" w:rsidR="008D238F" w:rsidRPr="00455D53" w:rsidRDefault="008D238F" w:rsidP="003075E4">
      <w:pPr>
        <w:numPr>
          <w:ilvl w:val="0"/>
          <w:numId w:val="317"/>
        </w:numPr>
        <w:tabs>
          <w:tab w:val="left" w:pos="706"/>
          <w:tab w:val="left" w:pos="707"/>
        </w:tabs>
        <w:spacing w:before="117"/>
        <w:ind w:right="44"/>
        <w:jc w:val="both"/>
        <w:rPr>
          <w:rFonts w:ascii="Arial" w:hAnsi="Arial" w:cs="Arial"/>
          <w:sz w:val="20"/>
        </w:rPr>
      </w:pPr>
      <w:r w:rsidRPr="00455D53">
        <w:rPr>
          <w:rFonts w:ascii="Arial" w:hAnsi="Arial" w:cs="Arial"/>
          <w:sz w:val="20"/>
        </w:rPr>
        <w:t>A</w:t>
      </w:r>
      <w:r w:rsidRPr="00455D53">
        <w:rPr>
          <w:rFonts w:ascii="Arial" w:hAnsi="Arial" w:cs="Arial"/>
          <w:spacing w:val="30"/>
          <w:sz w:val="20"/>
        </w:rPr>
        <w:t xml:space="preserve"> </w:t>
      </w:r>
      <w:r w:rsidRPr="00455D53">
        <w:rPr>
          <w:rFonts w:ascii="Arial" w:hAnsi="Arial" w:cs="Arial"/>
          <w:sz w:val="20"/>
        </w:rPr>
        <w:t>CRS</w:t>
      </w:r>
      <w:r w:rsidRPr="00455D53">
        <w:rPr>
          <w:rFonts w:ascii="Arial" w:hAnsi="Arial" w:cs="Arial"/>
          <w:spacing w:val="31"/>
          <w:sz w:val="20"/>
        </w:rPr>
        <w:t xml:space="preserve"> </w:t>
      </w:r>
      <w:r w:rsidRPr="00455D53">
        <w:rPr>
          <w:rFonts w:ascii="Arial" w:hAnsi="Arial" w:cs="Arial"/>
          <w:sz w:val="20"/>
        </w:rPr>
        <w:t>shall</w:t>
      </w:r>
      <w:r w:rsidRPr="00455D53">
        <w:rPr>
          <w:rFonts w:ascii="Arial" w:hAnsi="Arial" w:cs="Arial"/>
          <w:spacing w:val="31"/>
          <w:sz w:val="20"/>
        </w:rPr>
        <w:t xml:space="preserve"> </w:t>
      </w:r>
      <w:r w:rsidRPr="00455D53">
        <w:rPr>
          <w:rFonts w:ascii="Arial" w:hAnsi="Arial" w:cs="Arial"/>
          <w:sz w:val="20"/>
        </w:rPr>
        <w:t>be</w:t>
      </w:r>
      <w:r w:rsidRPr="00455D53">
        <w:rPr>
          <w:rFonts w:ascii="Arial" w:hAnsi="Arial" w:cs="Arial"/>
          <w:spacing w:val="31"/>
          <w:sz w:val="20"/>
        </w:rPr>
        <w:t xml:space="preserve"> </w:t>
      </w:r>
      <w:r w:rsidRPr="00455D53">
        <w:rPr>
          <w:rFonts w:ascii="Arial" w:hAnsi="Arial" w:cs="Arial"/>
          <w:sz w:val="20"/>
        </w:rPr>
        <w:t>issued</w:t>
      </w:r>
      <w:r w:rsidRPr="00455D53">
        <w:rPr>
          <w:rFonts w:ascii="Arial" w:hAnsi="Arial" w:cs="Arial"/>
          <w:spacing w:val="31"/>
          <w:sz w:val="20"/>
        </w:rPr>
        <w:t xml:space="preserve"> </w:t>
      </w:r>
      <w:r w:rsidRPr="00455D53">
        <w:rPr>
          <w:rFonts w:ascii="Arial" w:hAnsi="Arial" w:cs="Arial"/>
          <w:sz w:val="20"/>
        </w:rPr>
        <w:t>after</w:t>
      </w:r>
      <w:r w:rsidRPr="00455D53">
        <w:rPr>
          <w:rFonts w:ascii="Arial" w:hAnsi="Arial" w:cs="Arial"/>
          <w:spacing w:val="31"/>
          <w:sz w:val="20"/>
        </w:rPr>
        <w:t xml:space="preserve"> </w:t>
      </w:r>
      <w:r w:rsidRPr="00455D53">
        <w:rPr>
          <w:rFonts w:ascii="Arial" w:hAnsi="Arial" w:cs="Arial"/>
          <w:sz w:val="20"/>
        </w:rPr>
        <w:t>the</w:t>
      </w:r>
      <w:r w:rsidRPr="00455D53">
        <w:rPr>
          <w:rFonts w:ascii="Arial" w:hAnsi="Arial" w:cs="Arial"/>
          <w:spacing w:val="31"/>
          <w:sz w:val="20"/>
        </w:rPr>
        <w:t xml:space="preserve"> </w:t>
      </w:r>
      <w:r w:rsidRPr="00455D53">
        <w:rPr>
          <w:rFonts w:ascii="Arial" w:hAnsi="Arial" w:cs="Arial"/>
          <w:sz w:val="20"/>
        </w:rPr>
        <w:t>required</w:t>
      </w:r>
      <w:r w:rsidRPr="00455D53">
        <w:rPr>
          <w:rFonts w:ascii="Arial" w:hAnsi="Arial" w:cs="Arial"/>
          <w:spacing w:val="28"/>
          <w:sz w:val="20"/>
        </w:rPr>
        <w:t xml:space="preserve"> </w:t>
      </w:r>
      <w:r w:rsidRPr="00455D53">
        <w:rPr>
          <w:rFonts w:ascii="Arial" w:hAnsi="Arial" w:cs="Arial"/>
          <w:sz w:val="20"/>
        </w:rPr>
        <w:t>maintenance</w:t>
      </w:r>
      <w:r w:rsidRPr="00455D53">
        <w:rPr>
          <w:rFonts w:ascii="Arial" w:hAnsi="Arial" w:cs="Arial"/>
          <w:spacing w:val="32"/>
          <w:sz w:val="20"/>
        </w:rPr>
        <w:t xml:space="preserve"> </w:t>
      </w:r>
      <w:r w:rsidRPr="00455D53">
        <w:rPr>
          <w:rFonts w:ascii="Arial" w:hAnsi="Arial" w:cs="Arial"/>
          <w:sz w:val="20"/>
        </w:rPr>
        <w:t>has</w:t>
      </w:r>
      <w:r w:rsidRPr="00455D53">
        <w:rPr>
          <w:rFonts w:ascii="Arial" w:hAnsi="Arial" w:cs="Arial"/>
          <w:spacing w:val="30"/>
          <w:sz w:val="20"/>
        </w:rPr>
        <w:t xml:space="preserve"> </w:t>
      </w:r>
      <w:r w:rsidRPr="00455D53">
        <w:rPr>
          <w:rFonts w:ascii="Arial" w:hAnsi="Arial" w:cs="Arial"/>
          <w:sz w:val="20"/>
        </w:rPr>
        <w:t>been</w:t>
      </w:r>
      <w:r w:rsidRPr="00455D53">
        <w:rPr>
          <w:rFonts w:ascii="Arial" w:hAnsi="Arial" w:cs="Arial"/>
          <w:spacing w:val="31"/>
          <w:sz w:val="20"/>
        </w:rPr>
        <w:t xml:space="preserve"> </w:t>
      </w:r>
      <w:r w:rsidRPr="00455D53">
        <w:rPr>
          <w:rFonts w:ascii="Arial" w:hAnsi="Arial" w:cs="Arial"/>
          <w:sz w:val="20"/>
        </w:rPr>
        <w:t>carried</w:t>
      </w:r>
      <w:r w:rsidRPr="00455D53">
        <w:rPr>
          <w:rFonts w:ascii="Arial" w:hAnsi="Arial" w:cs="Arial"/>
          <w:spacing w:val="31"/>
          <w:sz w:val="20"/>
        </w:rPr>
        <w:t xml:space="preserve"> </w:t>
      </w:r>
      <w:r w:rsidRPr="00455D53">
        <w:rPr>
          <w:rFonts w:ascii="Arial" w:hAnsi="Arial" w:cs="Arial"/>
          <w:sz w:val="20"/>
        </w:rPr>
        <w:t>out</w:t>
      </w:r>
      <w:r w:rsidRPr="00455D53">
        <w:rPr>
          <w:rFonts w:ascii="Arial" w:hAnsi="Arial" w:cs="Arial"/>
          <w:spacing w:val="32"/>
          <w:sz w:val="20"/>
        </w:rPr>
        <w:t xml:space="preserve"> </w:t>
      </w:r>
      <w:r w:rsidRPr="00455D53">
        <w:rPr>
          <w:rFonts w:ascii="Arial" w:hAnsi="Arial" w:cs="Arial"/>
          <w:sz w:val="20"/>
        </w:rPr>
        <w:t>properly</w:t>
      </w:r>
      <w:r w:rsidRPr="00455D53">
        <w:rPr>
          <w:rFonts w:ascii="Arial" w:hAnsi="Arial" w:cs="Arial"/>
          <w:spacing w:val="29"/>
          <w:sz w:val="20"/>
        </w:rPr>
        <w:t xml:space="preserve"> </w:t>
      </w:r>
      <w:r w:rsidRPr="00455D53">
        <w:rPr>
          <w:rFonts w:ascii="Arial" w:hAnsi="Arial" w:cs="Arial"/>
          <w:sz w:val="20"/>
        </w:rPr>
        <w:t>on</w:t>
      </w:r>
      <w:r w:rsidRPr="00455D53">
        <w:rPr>
          <w:rFonts w:ascii="Arial" w:hAnsi="Arial" w:cs="Arial"/>
          <w:spacing w:val="31"/>
          <w:sz w:val="20"/>
        </w:rPr>
        <w:t xml:space="preserve"> </w:t>
      </w:r>
      <w:r w:rsidRPr="00455D53">
        <w:rPr>
          <w:rFonts w:ascii="Arial" w:hAnsi="Arial" w:cs="Arial"/>
          <w:sz w:val="20"/>
        </w:rPr>
        <w:t>an</w:t>
      </w:r>
      <w:r w:rsidRPr="00455D53">
        <w:rPr>
          <w:rFonts w:ascii="Arial" w:hAnsi="Arial" w:cs="Arial"/>
          <w:spacing w:val="-47"/>
          <w:sz w:val="20"/>
        </w:rPr>
        <w:t xml:space="preserve"> </w:t>
      </w:r>
      <w:r w:rsidRPr="00455D53">
        <w:rPr>
          <w:rFonts w:ascii="Arial" w:hAnsi="Arial" w:cs="Arial"/>
          <w:sz w:val="20"/>
        </w:rPr>
        <w:t>aircraft.</w:t>
      </w:r>
    </w:p>
    <w:p w14:paraId="00B62559" w14:textId="77777777" w:rsidR="008D238F" w:rsidRPr="00455D53" w:rsidRDefault="008D238F" w:rsidP="003075E4">
      <w:pPr>
        <w:numPr>
          <w:ilvl w:val="0"/>
          <w:numId w:val="317"/>
        </w:numPr>
        <w:tabs>
          <w:tab w:val="left" w:pos="706"/>
          <w:tab w:val="left" w:pos="707"/>
        </w:tabs>
        <w:spacing w:before="121"/>
        <w:ind w:right="44"/>
        <w:jc w:val="both"/>
        <w:rPr>
          <w:rFonts w:ascii="Arial" w:hAnsi="Arial" w:cs="Arial"/>
          <w:sz w:val="20"/>
        </w:rPr>
      </w:pPr>
      <w:r w:rsidRPr="00455D53">
        <w:rPr>
          <w:rFonts w:ascii="Arial" w:hAnsi="Arial" w:cs="Arial"/>
          <w:sz w:val="20"/>
        </w:rPr>
        <w:t>The</w:t>
      </w:r>
      <w:r w:rsidRPr="00455D53">
        <w:rPr>
          <w:rFonts w:ascii="Arial" w:hAnsi="Arial" w:cs="Arial"/>
          <w:spacing w:val="-2"/>
          <w:sz w:val="20"/>
        </w:rPr>
        <w:t xml:space="preserve"> </w:t>
      </w:r>
      <w:r w:rsidRPr="00455D53">
        <w:rPr>
          <w:rFonts w:ascii="Arial" w:hAnsi="Arial" w:cs="Arial"/>
          <w:sz w:val="20"/>
        </w:rPr>
        <w:t>CRS</w:t>
      </w:r>
      <w:r w:rsidRPr="00455D53">
        <w:rPr>
          <w:rFonts w:ascii="Arial" w:hAnsi="Arial" w:cs="Arial"/>
          <w:spacing w:val="-1"/>
          <w:sz w:val="20"/>
        </w:rPr>
        <w:t xml:space="preserve"> </w:t>
      </w:r>
      <w:r w:rsidRPr="00455D53">
        <w:rPr>
          <w:rFonts w:ascii="Arial" w:hAnsi="Arial" w:cs="Arial"/>
          <w:sz w:val="20"/>
        </w:rPr>
        <w:t>shall</w:t>
      </w:r>
      <w:r w:rsidRPr="00455D53">
        <w:rPr>
          <w:rFonts w:ascii="Arial" w:hAnsi="Arial" w:cs="Arial"/>
          <w:spacing w:val="-5"/>
          <w:sz w:val="20"/>
        </w:rPr>
        <w:t xml:space="preserve"> </w:t>
      </w:r>
      <w:r w:rsidRPr="00455D53">
        <w:rPr>
          <w:rFonts w:ascii="Arial" w:hAnsi="Arial" w:cs="Arial"/>
          <w:sz w:val="20"/>
        </w:rPr>
        <w:t>be</w:t>
      </w:r>
      <w:r w:rsidRPr="00455D53">
        <w:rPr>
          <w:rFonts w:ascii="Arial" w:hAnsi="Arial" w:cs="Arial"/>
          <w:spacing w:val="-1"/>
          <w:sz w:val="20"/>
        </w:rPr>
        <w:t xml:space="preserve"> </w:t>
      </w:r>
      <w:r w:rsidRPr="00455D53">
        <w:rPr>
          <w:rFonts w:ascii="Arial" w:hAnsi="Arial" w:cs="Arial"/>
          <w:sz w:val="20"/>
        </w:rPr>
        <w:t>issued,</w:t>
      </w:r>
      <w:r w:rsidRPr="00455D53">
        <w:rPr>
          <w:rFonts w:ascii="Arial" w:hAnsi="Arial" w:cs="Arial"/>
          <w:spacing w:val="-1"/>
          <w:sz w:val="20"/>
        </w:rPr>
        <w:t xml:space="preserve"> </w:t>
      </w:r>
      <w:r w:rsidRPr="00455D53">
        <w:rPr>
          <w:rFonts w:ascii="Arial" w:hAnsi="Arial" w:cs="Arial"/>
          <w:sz w:val="20"/>
        </w:rPr>
        <w:t>alternatively</w:t>
      </w:r>
      <w:r w:rsidRPr="00455D53">
        <w:rPr>
          <w:rFonts w:ascii="Arial" w:hAnsi="Arial" w:cs="Arial"/>
          <w:spacing w:val="-1"/>
          <w:sz w:val="20"/>
        </w:rPr>
        <w:t xml:space="preserve"> </w:t>
      </w:r>
      <w:r w:rsidRPr="00455D53">
        <w:rPr>
          <w:rFonts w:ascii="Arial" w:hAnsi="Arial" w:cs="Arial"/>
          <w:sz w:val="20"/>
        </w:rPr>
        <w:t>by:</w:t>
      </w:r>
    </w:p>
    <w:p w14:paraId="66C3799B" w14:textId="77777777" w:rsidR="008D238F" w:rsidRPr="00455D53" w:rsidRDefault="008D238F" w:rsidP="003075E4">
      <w:pPr>
        <w:numPr>
          <w:ilvl w:val="1"/>
          <w:numId w:val="317"/>
        </w:numPr>
        <w:tabs>
          <w:tab w:val="left" w:pos="1273"/>
          <w:tab w:val="left" w:pos="1274"/>
        </w:tabs>
        <w:spacing w:before="120"/>
        <w:ind w:right="44" w:hanging="568"/>
        <w:jc w:val="both"/>
        <w:rPr>
          <w:rFonts w:ascii="Arial" w:hAnsi="Arial" w:cs="Arial"/>
          <w:sz w:val="20"/>
        </w:rPr>
      </w:pPr>
      <w:r w:rsidRPr="00455D53">
        <w:rPr>
          <w:rFonts w:ascii="Arial" w:hAnsi="Arial" w:cs="Arial"/>
          <w:sz w:val="20"/>
        </w:rPr>
        <w:t>appropriate</w:t>
      </w:r>
      <w:r w:rsidRPr="00455D53">
        <w:rPr>
          <w:rFonts w:ascii="Arial" w:hAnsi="Arial" w:cs="Arial"/>
          <w:spacing w:val="-3"/>
          <w:sz w:val="20"/>
        </w:rPr>
        <w:t xml:space="preserve"> </w:t>
      </w:r>
      <w:r w:rsidRPr="00455D53">
        <w:rPr>
          <w:rFonts w:ascii="Arial" w:hAnsi="Arial" w:cs="Arial"/>
          <w:sz w:val="20"/>
        </w:rPr>
        <w:t>certifying</w:t>
      </w:r>
      <w:r w:rsidRPr="00455D53">
        <w:rPr>
          <w:rFonts w:ascii="Arial" w:hAnsi="Arial" w:cs="Arial"/>
          <w:spacing w:val="-2"/>
          <w:sz w:val="20"/>
        </w:rPr>
        <w:t xml:space="preserve"> </w:t>
      </w:r>
      <w:r w:rsidRPr="00455D53">
        <w:rPr>
          <w:rFonts w:ascii="Arial" w:hAnsi="Arial" w:cs="Arial"/>
          <w:sz w:val="20"/>
        </w:rPr>
        <w:t>staff</w:t>
      </w:r>
      <w:r w:rsidRPr="00455D53">
        <w:rPr>
          <w:rFonts w:ascii="Arial" w:hAnsi="Arial" w:cs="Arial"/>
          <w:spacing w:val="-5"/>
          <w:sz w:val="20"/>
        </w:rPr>
        <w:t xml:space="preserve"> </w:t>
      </w:r>
      <w:r w:rsidRPr="00455D53">
        <w:rPr>
          <w:rFonts w:ascii="Arial" w:hAnsi="Arial" w:cs="Arial"/>
          <w:sz w:val="20"/>
        </w:rPr>
        <w:t>on</w:t>
      </w:r>
      <w:r w:rsidRPr="00455D53">
        <w:rPr>
          <w:rFonts w:ascii="Arial" w:hAnsi="Arial" w:cs="Arial"/>
          <w:spacing w:val="-2"/>
          <w:sz w:val="20"/>
        </w:rPr>
        <w:t xml:space="preserve"> </w:t>
      </w:r>
      <w:r w:rsidRPr="00455D53">
        <w:rPr>
          <w:rFonts w:ascii="Arial" w:hAnsi="Arial" w:cs="Arial"/>
          <w:sz w:val="20"/>
        </w:rPr>
        <w:t>behalf</w:t>
      </w:r>
      <w:r w:rsidRPr="00455D53">
        <w:rPr>
          <w:rFonts w:ascii="Arial" w:hAnsi="Arial" w:cs="Arial"/>
          <w:spacing w:val="-3"/>
          <w:sz w:val="20"/>
        </w:rPr>
        <w:t xml:space="preserve"> </w:t>
      </w:r>
      <w:r w:rsidRPr="00455D53">
        <w:rPr>
          <w:rFonts w:ascii="Arial" w:hAnsi="Arial" w:cs="Arial"/>
          <w:sz w:val="20"/>
        </w:rPr>
        <w:t>of</w:t>
      </w:r>
      <w:r w:rsidRPr="00455D53">
        <w:rPr>
          <w:rFonts w:ascii="Arial" w:hAnsi="Arial" w:cs="Arial"/>
          <w:spacing w:val="-1"/>
          <w:sz w:val="20"/>
        </w:rPr>
        <w:t xml:space="preserve"> </w:t>
      </w:r>
      <w:r w:rsidRPr="00455D53">
        <w:rPr>
          <w:rFonts w:ascii="Arial" w:hAnsi="Arial" w:cs="Arial"/>
          <w:sz w:val="20"/>
        </w:rPr>
        <w:t>the approved</w:t>
      </w:r>
      <w:r w:rsidRPr="00455D53">
        <w:rPr>
          <w:rFonts w:ascii="Arial" w:hAnsi="Arial" w:cs="Arial"/>
          <w:spacing w:val="-2"/>
          <w:sz w:val="20"/>
        </w:rPr>
        <w:t xml:space="preserve"> </w:t>
      </w:r>
      <w:r w:rsidRPr="00455D53">
        <w:rPr>
          <w:rFonts w:ascii="Arial" w:hAnsi="Arial" w:cs="Arial"/>
          <w:sz w:val="20"/>
        </w:rPr>
        <w:t>maintenance</w:t>
      </w:r>
      <w:r w:rsidRPr="00455D53">
        <w:rPr>
          <w:rFonts w:ascii="Arial" w:hAnsi="Arial" w:cs="Arial"/>
          <w:spacing w:val="-3"/>
          <w:sz w:val="20"/>
        </w:rPr>
        <w:t xml:space="preserve"> </w:t>
      </w:r>
      <w:r w:rsidRPr="00455D53">
        <w:rPr>
          <w:rFonts w:ascii="Arial" w:hAnsi="Arial" w:cs="Arial"/>
          <w:sz w:val="20"/>
        </w:rPr>
        <w:t>organisation;</w:t>
      </w:r>
    </w:p>
    <w:p w14:paraId="741D2AF0" w14:textId="77777777" w:rsidR="008D238F" w:rsidRPr="00455D53" w:rsidRDefault="008D238F" w:rsidP="003075E4">
      <w:pPr>
        <w:numPr>
          <w:ilvl w:val="1"/>
          <w:numId w:val="317"/>
        </w:numPr>
        <w:tabs>
          <w:tab w:val="left" w:pos="1273"/>
          <w:tab w:val="left" w:pos="1274"/>
        </w:tabs>
        <w:spacing w:before="120"/>
        <w:ind w:right="44" w:hanging="568"/>
        <w:jc w:val="both"/>
        <w:rPr>
          <w:rFonts w:ascii="Arial" w:hAnsi="Arial" w:cs="Arial"/>
          <w:sz w:val="20"/>
        </w:rPr>
      </w:pPr>
      <w:r w:rsidRPr="00455D53">
        <w:rPr>
          <w:rFonts w:ascii="Arial" w:hAnsi="Arial" w:cs="Arial"/>
          <w:sz w:val="20"/>
        </w:rPr>
        <w:t>independent</w:t>
      </w:r>
      <w:r w:rsidRPr="00455D53">
        <w:rPr>
          <w:rFonts w:ascii="Arial" w:hAnsi="Arial" w:cs="Arial"/>
          <w:spacing w:val="-2"/>
          <w:sz w:val="20"/>
        </w:rPr>
        <w:t xml:space="preserve"> </w:t>
      </w:r>
      <w:r w:rsidRPr="00455D53">
        <w:rPr>
          <w:rFonts w:ascii="Arial" w:hAnsi="Arial" w:cs="Arial"/>
          <w:sz w:val="20"/>
        </w:rPr>
        <w:t>certifying</w:t>
      </w:r>
      <w:r w:rsidRPr="00455D53">
        <w:rPr>
          <w:rFonts w:ascii="Arial" w:hAnsi="Arial" w:cs="Arial"/>
          <w:spacing w:val="-3"/>
          <w:sz w:val="20"/>
        </w:rPr>
        <w:t xml:space="preserve"> </w:t>
      </w:r>
      <w:r w:rsidRPr="00455D53">
        <w:rPr>
          <w:rFonts w:ascii="Arial" w:hAnsi="Arial" w:cs="Arial"/>
          <w:sz w:val="20"/>
        </w:rPr>
        <w:t>staff;</w:t>
      </w:r>
    </w:p>
    <w:p w14:paraId="1E05399E" w14:textId="77777777" w:rsidR="008D238F" w:rsidRPr="00455D53" w:rsidRDefault="008D238F" w:rsidP="003075E4">
      <w:pPr>
        <w:numPr>
          <w:ilvl w:val="1"/>
          <w:numId w:val="317"/>
        </w:numPr>
        <w:tabs>
          <w:tab w:val="left" w:pos="1273"/>
          <w:tab w:val="left" w:pos="1274"/>
        </w:tabs>
        <w:spacing w:before="121"/>
        <w:ind w:right="44" w:hanging="568"/>
        <w:jc w:val="both"/>
        <w:rPr>
          <w:rFonts w:ascii="Arial" w:hAnsi="Arial" w:cs="Arial"/>
          <w:sz w:val="20"/>
        </w:rPr>
      </w:pPr>
      <w:r w:rsidRPr="00455D53">
        <w:rPr>
          <w:rFonts w:ascii="Arial" w:hAnsi="Arial" w:cs="Arial"/>
          <w:sz w:val="20"/>
        </w:rPr>
        <w:t>the</w:t>
      </w:r>
      <w:r w:rsidRPr="00455D53">
        <w:rPr>
          <w:rFonts w:ascii="Arial" w:hAnsi="Arial" w:cs="Arial"/>
          <w:spacing w:val="-2"/>
          <w:sz w:val="20"/>
        </w:rPr>
        <w:t xml:space="preserve"> </w:t>
      </w:r>
      <w:r w:rsidRPr="00455D53">
        <w:rPr>
          <w:rFonts w:ascii="Arial" w:hAnsi="Arial" w:cs="Arial"/>
          <w:sz w:val="20"/>
        </w:rPr>
        <w:t>pilot-owner</w:t>
      </w:r>
      <w:r w:rsidRPr="00455D53">
        <w:rPr>
          <w:rFonts w:ascii="Arial" w:hAnsi="Arial" w:cs="Arial"/>
          <w:spacing w:val="-2"/>
          <w:sz w:val="20"/>
        </w:rPr>
        <w:t xml:space="preserve"> </w:t>
      </w:r>
      <w:r w:rsidRPr="00455D53">
        <w:rPr>
          <w:rFonts w:ascii="Arial" w:hAnsi="Arial" w:cs="Arial"/>
          <w:sz w:val="20"/>
        </w:rPr>
        <w:t>in</w:t>
      </w:r>
      <w:r w:rsidRPr="00455D53">
        <w:rPr>
          <w:rFonts w:ascii="Arial" w:hAnsi="Arial" w:cs="Arial"/>
          <w:spacing w:val="-1"/>
          <w:sz w:val="20"/>
        </w:rPr>
        <w:t xml:space="preserve"> </w:t>
      </w:r>
      <w:r w:rsidRPr="00455D53">
        <w:rPr>
          <w:rFonts w:ascii="Arial" w:hAnsi="Arial" w:cs="Arial"/>
          <w:sz w:val="20"/>
        </w:rPr>
        <w:t>compliance</w:t>
      </w:r>
      <w:r w:rsidRPr="00455D53">
        <w:rPr>
          <w:rFonts w:ascii="Arial" w:hAnsi="Arial" w:cs="Arial"/>
          <w:spacing w:val="-1"/>
          <w:sz w:val="20"/>
        </w:rPr>
        <w:t xml:space="preserve"> </w:t>
      </w:r>
      <w:r w:rsidRPr="00455D53">
        <w:rPr>
          <w:rFonts w:ascii="Arial" w:hAnsi="Arial" w:cs="Arial"/>
          <w:sz w:val="20"/>
        </w:rPr>
        <w:t>with</w:t>
      </w:r>
      <w:r w:rsidRPr="00455D53">
        <w:rPr>
          <w:rFonts w:ascii="Arial" w:hAnsi="Arial" w:cs="Arial"/>
          <w:spacing w:val="-5"/>
          <w:sz w:val="20"/>
        </w:rPr>
        <w:t xml:space="preserve"> </w:t>
      </w:r>
      <w:r w:rsidRPr="00455D53">
        <w:rPr>
          <w:rFonts w:ascii="Arial" w:hAnsi="Arial" w:cs="Arial"/>
          <w:sz w:val="20"/>
        </w:rPr>
        <w:t>point ML.A.803.</w:t>
      </w:r>
    </w:p>
    <w:p w14:paraId="498022C3" w14:textId="77777777" w:rsidR="008D238F" w:rsidRPr="00455D53" w:rsidRDefault="008D238F" w:rsidP="003075E4">
      <w:pPr>
        <w:numPr>
          <w:ilvl w:val="0"/>
          <w:numId w:val="317"/>
        </w:numPr>
        <w:tabs>
          <w:tab w:val="left" w:pos="707"/>
        </w:tabs>
        <w:spacing w:before="120"/>
        <w:ind w:right="44"/>
        <w:jc w:val="both"/>
        <w:rPr>
          <w:rFonts w:ascii="Arial" w:hAnsi="Arial" w:cs="Arial"/>
          <w:sz w:val="20"/>
        </w:rPr>
      </w:pPr>
      <w:r w:rsidRPr="00455D53">
        <w:rPr>
          <w:rFonts w:ascii="Arial" w:hAnsi="Arial" w:cs="Arial"/>
          <w:sz w:val="20"/>
        </w:rPr>
        <w:t>By derogation from point (b), in the case of unforeseen circumstances, when an aircraft is</w:t>
      </w:r>
      <w:r w:rsidRPr="00455D53">
        <w:rPr>
          <w:rFonts w:ascii="Arial" w:hAnsi="Arial" w:cs="Arial"/>
          <w:spacing w:val="1"/>
          <w:sz w:val="20"/>
        </w:rPr>
        <w:t xml:space="preserve"> </w:t>
      </w:r>
      <w:r w:rsidRPr="00455D53">
        <w:rPr>
          <w:rFonts w:ascii="Arial" w:hAnsi="Arial" w:cs="Arial"/>
          <w:sz w:val="20"/>
        </w:rPr>
        <w:t>grounded at a location where no appropriately approved maintenance organisation and no</w:t>
      </w:r>
      <w:r w:rsidRPr="00455D53">
        <w:rPr>
          <w:rFonts w:ascii="Arial" w:hAnsi="Arial" w:cs="Arial"/>
          <w:spacing w:val="1"/>
          <w:sz w:val="20"/>
        </w:rPr>
        <w:t xml:space="preserve"> </w:t>
      </w:r>
      <w:r w:rsidRPr="00455D53">
        <w:rPr>
          <w:rFonts w:ascii="Arial" w:hAnsi="Arial" w:cs="Arial"/>
          <w:spacing w:val="-1"/>
          <w:sz w:val="20"/>
        </w:rPr>
        <w:t>appropriate</w:t>
      </w:r>
      <w:r w:rsidRPr="00455D53">
        <w:rPr>
          <w:rFonts w:ascii="Arial" w:hAnsi="Arial" w:cs="Arial"/>
          <w:spacing w:val="-11"/>
          <w:sz w:val="20"/>
        </w:rPr>
        <w:t xml:space="preserve"> </w:t>
      </w:r>
      <w:r w:rsidRPr="00455D53">
        <w:rPr>
          <w:rFonts w:ascii="Arial" w:hAnsi="Arial" w:cs="Arial"/>
          <w:sz w:val="20"/>
        </w:rPr>
        <w:t>certifying</w:t>
      </w:r>
      <w:r w:rsidRPr="00455D53">
        <w:rPr>
          <w:rFonts w:ascii="Arial" w:hAnsi="Arial" w:cs="Arial"/>
          <w:spacing w:val="-9"/>
          <w:sz w:val="20"/>
        </w:rPr>
        <w:t xml:space="preserve"> </w:t>
      </w:r>
      <w:r w:rsidRPr="00455D53">
        <w:rPr>
          <w:rFonts w:ascii="Arial" w:hAnsi="Arial" w:cs="Arial"/>
          <w:sz w:val="20"/>
        </w:rPr>
        <w:t>staff</w:t>
      </w:r>
      <w:r w:rsidRPr="00455D53">
        <w:rPr>
          <w:rFonts w:ascii="Arial" w:hAnsi="Arial" w:cs="Arial"/>
          <w:spacing w:val="-12"/>
          <w:sz w:val="20"/>
        </w:rPr>
        <w:t xml:space="preserve"> </w:t>
      </w:r>
      <w:r w:rsidRPr="00455D53">
        <w:rPr>
          <w:rFonts w:ascii="Arial" w:hAnsi="Arial" w:cs="Arial"/>
          <w:sz w:val="20"/>
        </w:rPr>
        <w:t>are</w:t>
      </w:r>
      <w:r w:rsidRPr="00455D53">
        <w:rPr>
          <w:rFonts w:ascii="Arial" w:hAnsi="Arial" w:cs="Arial"/>
          <w:spacing w:val="-8"/>
          <w:sz w:val="20"/>
        </w:rPr>
        <w:t xml:space="preserve"> </w:t>
      </w:r>
      <w:r w:rsidRPr="00455D53">
        <w:rPr>
          <w:rFonts w:ascii="Arial" w:hAnsi="Arial" w:cs="Arial"/>
          <w:sz w:val="20"/>
        </w:rPr>
        <w:t>available,</w:t>
      </w:r>
      <w:r w:rsidRPr="00455D53">
        <w:rPr>
          <w:rFonts w:ascii="Arial" w:hAnsi="Arial" w:cs="Arial"/>
          <w:spacing w:val="-11"/>
          <w:sz w:val="20"/>
        </w:rPr>
        <w:t xml:space="preserve"> </w:t>
      </w:r>
      <w:r w:rsidRPr="00455D53">
        <w:rPr>
          <w:rFonts w:ascii="Arial" w:hAnsi="Arial" w:cs="Arial"/>
          <w:sz w:val="20"/>
        </w:rPr>
        <w:t>the</w:t>
      </w:r>
      <w:r w:rsidRPr="00455D53">
        <w:rPr>
          <w:rFonts w:ascii="Arial" w:hAnsi="Arial" w:cs="Arial"/>
          <w:spacing w:val="-14"/>
          <w:sz w:val="20"/>
        </w:rPr>
        <w:t xml:space="preserve"> </w:t>
      </w:r>
      <w:r w:rsidRPr="00455D53">
        <w:rPr>
          <w:rFonts w:ascii="Arial" w:hAnsi="Arial" w:cs="Arial"/>
          <w:sz w:val="20"/>
        </w:rPr>
        <w:t>owner</w:t>
      </w:r>
      <w:r w:rsidRPr="00455D53">
        <w:rPr>
          <w:rFonts w:ascii="Arial" w:hAnsi="Arial" w:cs="Arial"/>
          <w:spacing w:val="-13"/>
          <w:sz w:val="20"/>
        </w:rPr>
        <w:t xml:space="preserve"> </w:t>
      </w:r>
      <w:r w:rsidRPr="00455D53">
        <w:rPr>
          <w:rFonts w:ascii="Arial" w:hAnsi="Arial" w:cs="Arial"/>
          <w:sz w:val="20"/>
        </w:rPr>
        <w:t>may</w:t>
      </w:r>
      <w:r w:rsidRPr="00455D53">
        <w:rPr>
          <w:rFonts w:ascii="Arial" w:hAnsi="Arial" w:cs="Arial"/>
          <w:spacing w:val="-9"/>
          <w:sz w:val="20"/>
        </w:rPr>
        <w:t xml:space="preserve"> </w:t>
      </w:r>
      <w:r w:rsidRPr="00455D53">
        <w:rPr>
          <w:rFonts w:ascii="Arial" w:hAnsi="Arial" w:cs="Arial"/>
          <w:sz w:val="20"/>
        </w:rPr>
        <w:t>authorise</w:t>
      </w:r>
      <w:r w:rsidRPr="00455D53">
        <w:rPr>
          <w:rFonts w:ascii="Arial" w:hAnsi="Arial" w:cs="Arial"/>
          <w:spacing w:val="-11"/>
          <w:sz w:val="20"/>
        </w:rPr>
        <w:t xml:space="preserve"> </w:t>
      </w:r>
      <w:r w:rsidRPr="00455D53">
        <w:rPr>
          <w:rFonts w:ascii="Arial" w:hAnsi="Arial" w:cs="Arial"/>
          <w:sz w:val="20"/>
        </w:rPr>
        <w:t>any</w:t>
      </w:r>
      <w:r w:rsidRPr="00455D53">
        <w:rPr>
          <w:rFonts w:ascii="Arial" w:hAnsi="Arial" w:cs="Arial"/>
          <w:spacing w:val="-11"/>
          <w:sz w:val="20"/>
        </w:rPr>
        <w:t xml:space="preserve"> </w:t>
      </w:r>
      <w:r w:rsidRPr="00455D53">
        <w:rPr>
          <w:rFonts w:ascii="Arial" w:hAnsi="Arial" w:cs="Arial"/>
          <w:sz w:val="20"/>
        </w:rPr>
        <w:t>person,</w:t>
      </w:r>
      <w:r w:rsidRPr="00455D53">
        <w:rPr>
          <w:rFonts w:ascii="Arial" w:hAnsi="Arial" w:cs="Arial"/>
          <w:spacing w:val="-11"/>
          <w:sz w:val="20"/>
        </w:rPr>
        <w:t xml:space="preserve"> </w:t>
      </w:r>
      <w:r w:rsidRPr="00455D53">
        <w:rPr>
          <w:rFonts w:ascii="Arial" w:hAnsi="Arial" w:cs="Arial"/>
          <w:sz w:val="20"/>
        </w:rPr>
        <w:t>with</w:t>
      </w:r>
      <w:r w:rsidRPr="00455D53">
        <w:rPr>
          <w:rFonts w:ascii="Arial" w:hAnsi="Arial" w:cs="Arial"/>
          <w:spacing w:val="-9"/>
          <w:sz w:val="20"/>
        </w:rPr>
        <w:t xml:space="preserve"> </w:t>
      </w:r>
      <w:r w:rsidRPr="00455D53">
        <w:rPr>
          <w:rFonts w:ascii="Arial" w:hAnsi="Arial" w:cs="Arial"/>
          <w:sz w:val="20"/>
        </w:rPr>
        <w:t>no</w:t>
      </w:r>
      <w:r w:rsidRPr="00455D53">
        <w:rPr>
          <w:rFonts w:ascii="Arial" w:hAnsi="Arial" w:cs="Arial"/>
          <w:spacing w:val="-8"/>
          <w:sz w:val="20"/>
        </w:rPr>
        <w:t xml:space="preserve"> </w:t>
      </w:r>
      <w:r w:rsidRPr="00455D53">
        <w:rPr>
          <w:rFonts w:ascii="Arial" w:hAnsi="Arial" w:cs="Arial"/>
          <w:sz w:val="20"/>
        </w:rPr>
        <w:t>less</w:t>
      </w:r>
      <w:r w:rsidRPr="00455D53">
        <w:rPr>
          <w:rFonts w:ascii="Arial" w:hAnsi="Arial" w:cs="Arial"/>
          <w:spacing w:val="-10"/>
          <w:sz w:val="20"/>
        </w:rPr>
        <w:t xml:space="preserve"> </w:t>
      </w:r>
      <w:r w:rsidRPr="00455D53">
        <w:rPr>
          <w:rFonts w:ascii="Arial" w:hAnsi="Arial" w:cs="Arial"/>
          <w:sz w:val="20"/>
        </w:rPr>
        <w:t>than</w:t>
      </w:r>
      <w:r w:rsidRPr="00455D53">
        <w:rPr>
          <w:rFonts w:ascii="Arial" w:hAnsi="Arial" w:cs="Arial"/>
          <w:spacing w:val="-47"/>
          <w:sz w:val="20"/>
        </w:rPr>
        <w:t xml:space="preserve"> </w:t>
      </w:r>
      <w:r w:rsidRPr="00455D53">
        <w:rPr>
          <w:rFonts w:ascii="Arial" w:hAnsi="Arial" w:cs="Arial"/>
          <w:sz w:val="20"/>
        </w:rPr>
        <w:t>3 years</w:t>
      </w:r>
      <w:r w:rsidRPr="00455D53">
        <w:rPr>
          <w:rFonts w:ascii="Arial" w:hAnsi="Arial" w:cs="Arial"/>
          <w:spacing w:val="1"/>
          <w:sz w:val="20"/>
        </w:rPr>
        <w:t xml:space="preserve"> </w:t>
      </w:r>
      <w:r w:rsidRPr="00455D53">
        <w:rPr>
          <w:rFonts w:ascii="Arial" w:hAnsi="Arial" w:cs="Arial"/>
          <w:sz w:val="20"/>
        </w:rPr>
        <w:t>of</w:t>
      </w:r>
      <w:r w:rsidRPr="00455D53">
        <w:rPr>
          <w:rFonts w:ascii="Arial" w:hAnsi="Arial" w:cs="Arial"/>
          <w:spacing w:val="1"/>
          <w:sz w:val="20"/>
        </w:rPr>
        <w:t xml:space="preserve"> </w:t>
      </w:r>
      <w:r w:rsidRPr="00455D53">
        <w:rPr>
          <w:rFonts w:ascii="Arial" w:hAnsi="Arial" w:cs="Arial"/>
          <w:sz w:val="20"/>
        </w:rPr>
        <w:t>appropriate</w:t>
      </w:r>
      <w:r w:rsidRPr="00455D53">
        <w:rPr>
          <w:rFonts w:ascii="Arial" w:hAnsi="Arial" w:cs="Arial"/>
          <w:spacing w:val="1"/>
          <w:sz w:val="20"/>
        </w:rPr>
        <w:t xml:space="preserve"> </w:t>
      </w:r>
      <w:r w:rsidRPr="00455D53">
        <w:rPr>
          <w:rFonts w:ascii="Arial" w:hAnsi="Arial" w:cs="Arial"/>
          <w:sz w:val="20"/>
        </w:rPr>
        <w:t>maintenance</w:t>
      </w:r>
      <w:r w:rsidRPr="00455D53">
        <w:rPr>
          <w:rFonts w:ascii="Arial" w:hAnsi="Arial" w:cs="Arial"/>
          <w:spacing w:val="1"/>
          <w:sz w:val="20"/>
        </w:rPr>
        <w:t xml:space="preserve"> </w:t>
      </w:r>
      <w:r w:rsidRPr="00455D53">
        <w:rPr>
          <w:rFonts w:ascii="Arial" w:hAnsi="Arial" w:cs="Arial"/>
          <w:sz w:val="20"/>
        </w:rPr>
        <w:t>experience</w:t>
      </w:r>
      <w:r w:rsidRPr="00455D53">
        <w:rPr>
          <w:rFonts w:ascii="Arial" w:hAnsi="Arial" w:cs="Arial"/>
          <w:spacing w:val="1"/>
          <w:sz w:val="20"/>
        </w:rPr>
        <w:t xml:space="preserve"> </w:t>
      </w:r>
      <w:r w:rsidRPr="00455D53">
        <w:rPr>
          <w:rFonts w:ascii="Arial" w:hAnsi="Arial" w:cs="Arial"/>
          <w:sz w:val="20"/>
        </w:rPr>
        <w:t>and</w:t>
      </w:r>
      <w:r w:rsidRPr="00455D53">
        <w:rPr>
          <w:rFonts w:ascii="Arial" w:hAnsi="Arial" w:cs="Arial"/>
          <w:spacing w:val="1"/>
          <w:sz w:val="20"/>
        </w:rPr>
        <w:t xml:space="preserve"> </w:t>
      </w:r>
      <w:r w:rsidRPr="00455D53">
        <w:rPr>
          <w:rFonts w:ascii="Arial" w:hAnsi="Arial" w:cs="Arial"/>
          <w:sz w:val="20"/>
        </w:rPr>
        <w:t>holding</w:t>
      </w:r>
      <w:r w:rsidRPr="00455D53">
        <w:rPr>
          <w:rFonts w:ascii="Arial" w:hAnsi="Arial" w:cs="Arial"/>
          <w:spacing w:val="1"/>
          <w:sz w:val="20"/>
        </w:rPr>
        <w:t xml:space="preserve"> </w:t>
      </w:r>
      <w:r w:rsidRPr="00455D53">
        <w:rPr>
          <w:rFonts w:ascii="Arial" w:hAnsi="Arial" w:cs="Arial"/>
          <w:sz w:val="20"/>
        </w:rPr>
        <w:t>the</w:t>
      </w:r>
      <w:r w:rsidRPr="00455D53">
        <w:rPr>
          <w:rFonts w:ascii="Arial" w:hAnsi="Arial" w:cs="Arial"/>
          <w:spacing w:val="1"/>
          <w:sz w:val="20"/>
        </w:rPr>
        <w:t xml:space="preserve"> </w:t>
      </w:r>
      <w:r w:rsidRPr="00455D53">
        <w:rPr>
          <w:rFonts w:ascii="Arial" w:hAnsi="Arial" w:cs="Arial"/>
          <w:sz w:val="20"/>
        </w:rPr>
        <w:t>proper</w:t>
      </w:r>
      <w:r w:rsidRPr="00455D53">
        <w:rPr>
          <w:rFonts w:ascii="Arial" w:hAnsi="Arial" w:cs="Arial"/>
          <w:spacing w:val="1"/>
          <w:sz w:val="20"/>
        </w:rPr>
        <w:t xml:space="preserve"> </w:t>
      </w:r>
      <w:r w:rsidRPr="00455D53">
        <w:rPr>
          <w:rFonts w:ascii="Arial" w:hAnsi="Arial" w:cs="Arial"/>
          <w:sz w:val="20"/>
        </w:rPr>
        <w:t>qualifications,</w:t>
      </w:r>
      <w:r w:rsidRPr="00455D53">
        <w:rPr>
          <w:rFonts w:ascii="Arial" w:hAnsi="Arial" w:cs="Arial"/>
          <w:spacing w:val="1"/>
          <w:sz w:val="20"/>
        </w:rPr>
        <w:t xml:space="preserve"> </w:t>
      </w:r>
      <w:r w:rsidRPr="00455D53">
        <w:rPr>
          <w:rFonts w:ascii="Arial" w:hAnsi="Arial" w:cs="Arial"/>
          <w:sz w:val="20"/>
        </w:rPr>
        <w:t>to</w:t>
      </w:r>
      <w:r w:rsidRPr="00455D53">
        <w:rPr>
          <w:rFonts w:ascii="Arial" w:hAnsi="Arial" w:cs="Arial"/>
          <w:spacing w:val="1"/>
          <w:sz w:val="20"/>
        </w:rPr>
        <w:t xml:space="preserve"> </w:t>
      </w:r>
      <w:r w:rsidRPr="00455D53">
        <w:rPr>
          <w:rFonts w:ascii="Arial" w:hAnsi="Arial" w:cs="Arial"/>
          <w:sz w:val="20"/>
        </w:rPr>
        <w:t>maintain the aircraft according to the standards set out in Subpart D of this Annex and release</w:t>
      </w:r>
      <w:r w:rsidRPr="00455D53">
        <w:rPr>
          <w:rFonts w:ascii="Arial" w:hAnsi="Arial" w:cs="Arial"/>
          <w:spacing w:val="1"/>
          <w:sz w:val="20"/>
        </w:rPr>
        <w:t xml:space="preserve"> </w:t>
      </w:r>
      <w:r w:rsidRPr="00455D53">
        <w:rPr>
          <w:rFonts w:ascii="Arial" w:hAnsi="Arial" w:cs="Arial"/>
          <w:sz w:val="20"/>
        </w:rPr>
        <w:t>the</w:t>
      </w:r>
      <w:r w:rsidRPr="00455D53">
        <w:rPr>
          <w:rFonts w:ascii="Arial" w:hAnsi="Arial" w:cs="Arial"/>
          <w:spacing w:val="-1"/>
          <w:sz w:val="20"/>
        </w:rPr>
        <w:t xml:space="preserve"> </w:t>
      </w:r>
      <w:r w:rsidRPr="00455D53">
        <w:rPr>
          <w:rFonts w:ascii="Arial" w:hAnsi="Arial" w:cs="Arial"/>
          <w:sz w:val="20"/>
        </w:rPr>
        <w:t>aircraft. The</w:t>
      </w:r>
      <w:r w:rsidRPr="00455D53">
        <w:rPr>
          <w:rFonts w:ascii="Arial" w:hAnsi="Arial" w:cs="Arial"/>
          <w:spacing w:val="-2"/>
          <w:sz w:val="20"/>
        </w:rPr>
        <w:t xml:space="preserve"> </w:t>
      </w:r>
      <w:r w:rsidRPr="00455D53">
        <w:rPr>
          <w:rFonts w:ascii="Arial" w:hAnsi="Arial" w:cs="Arial"/>
          <w:sz w:val="20"/>
        </w:rPr>
        <w:t>owner shall</w:t>
      </w:r>
      <w:r w:rsidRPr="00455D53">
        <w:rPr>
          <w:rFonts w:ascii="Arial" w:hAnsi="Arial" w:cs="Arial"/>
          <w:spacing w:val="-1"/>
          <w:sz w:val="20"/>
        </w:rPr>
        <w:t xml:space="preserve"> </w:t>
      </w:r>
      <w:r w:rsidRPr="00455D53">
        <w:rPr>
          <w:rFonts w:ascii="Arial" w:hAnsi="Arial" w:cs="Arial"/>
          <w:sz w:val="20"/>
        </w:rPr>
        <w:t>in that case:</w:t>
      </w:r>
    </w:p>
    <w:p w14:paraId="53C26DCD" w14:textId="77777777" w:rsidR="008D238F" w:rsidRPr="00455D53" w:rsidRDefault="008D238F" w:rsidP="003075E4">
      <w:pPr>
        <w:numPr>
          <w:ilvl w:val="1"/>
          <w:numId w:val="317"/>
        </w:numPr>
        <w:tabs>
          <w:tab w:val="left" w:pos="1274"/>
        </w:tabs>
        <w:spacing w:before="120"/>
        <w:ind w:right="44"/>
        <w:jc w:val="both"/>
        <w:rPr>
          <w:rFonts w:ascii="Arial" w:hAnsi="Arial" w:cs="Arial"/>
          <w:sz w:val="20"/>
        </w:rPr>
      </w:pPr>
      <w:r w:rsidRPr="00455D53">
        <w:rPr>
          <w:rFonts w:ascii="Arial" w:hAnsi="Arial" w:cs="Arial"/>
          <w:sz w:val="20"/>
        </w:rPr>
        <w:t>obtain and keep in the aircraft records, details of all the work carried out and of the</w:t>
      </w:r>
      <w:r w:rsidRPr="00455D53">
        <w:rPr>
          <w:rFonts w:ascii="Arial" w:hAnsi="Arial" w:cs="Arial"/>
          <w:spacing w:val="1"/>
          <w:sz w:val="20"/>
        </w:rPr>
        <w:t xml:space="preserve"> </w:t>
      </w:r>
      <w:r w:rsidRPr="00455D53">
        <w:rPr>
          <w:rFonts w:ascii="Arial" w:hAnsi="Arial" w:cs="Arial"/>
          <w:sz w:val="20"/>
        </w:rPr>
        <w:t>qualifications</w:t>
      </w:r>
      <w:r w:rsidRPr="00455D53">
        <w:rPr>
          <w:rFonts w:ascii="Arial" w:hAnsi="Arial" w:cs="Arial"/>
          <w:spacing w:val="-1"/>
          <w:sz w:val="20"/>
        </w:rPr>
        <w:t xml:space="preserve"> </w:t>
      </w:r>
      <w:r w:rsidRPr="00455D53">
        <w:rPr>
          <w:rFonts w:ascii="Arial" w:hAnsi="Arial" w:cs="Arial"/>
          <w:sz w:val="20"/>
        </w:rPr>
        <w:t>held</w:t>
      </w:r>
      <w:r w:rsidRPr="00455D53">
        <w:rPr>
          <w:rFonts w:ascii="Arial" w:hAnsi="Arial" w:cs="Arial"/>
          <w:spacing w:val="-1"/>
          <w:sz w:val="20"/>
        </w:rPr>
        <w:t xml:space="preserve"> </w:t>
      </w:r>
      <w:r w:rsidRPr="00455D53">
        <w:rPr>
          <w:rFonts w:ascii="Arial" w:hAnsi="Arial" w:cs="Arial"/>
          <w:sz w:val="20"/>
        </w:rPr>
        <w:t>by</w:t>
      </w:r>
      <w:r w:rsidRPr="00455D53">
        <w:rPr>
          <w:rFonts w:ascii="Arial" w:hAnsi="Arial" w:cs="Arial"/>
          <w:spacing w:val="-1"/>
          <w:sz w:val="20"/>
        </w:rPr>
        <w:t xml:space="preserve"> </w:t>
      </w:r>
      <w:r w:rsidRPr="00455D53">
        <w:rPr>
          <w:rFonts w:ascii="Arial" w:hAnsi="Arial" w:cs="Arial"/>
          <w:sz w:val="20"/>
        </w:rPr>
        <w:t>the</w:t>
      </w:r>
      <w:r w:rsidRPr="00455D53">
        <w:rPr>
          <w:rFonts w:ascii="Arial" w:hAnsi="Arial" w:cs="Arial"/>
          <w:spacing w:val="1"/>
          <w:sz w:val="20"/>
        </w:rPr>
        <w:t xml:space="preserve"> </w:t>
      </w:r>
      <w:r w:rsidRPr="00455D53">
        <w:rPr>
          <w:rFonts w:ascii="Arial" w:hAnsi="Arial" w:cs="Arial"/>
          <w:sz w:val="20"/>
        </w:rPr>
        <w:t>person</w:t>
      </w:r>
      <w:r w:rsidRPr="00455D53">
        <w:rPr>
          <w:rFonts w:ascii="Arial" w:hAnsi="Arial" w:cs="Arial"/>
          <w:spacing w:val="-1"/>
          <w:sz w:val="20"/>
        </w:rPr>
        <w:t xml:space="preserve"> </w:t>
      </w:r>
      <w:r w:rsidRPr="00455D53">
        <w:rPr>
          <w:rFonts w:ascii="Arial" w:hAnsi="Arial" w:cs="Arial"/>
          <w:sz w:val="20"/>
        </w:rPr>
        <w:t>issuing</w:t>
      </w:r>
      <w:r w:rsidRPr="00455D53">
        <w:rPr>
          <w:rFonts w:ascii="Arial" w:hAnsi="Arial" w:cs="Arial"/>
          <w:spacing w:val="-2"/>
          <w:sz w:val="20"/>
        </w:rPr>
        <w:t xml:space="preserve"> </w:t>
      </w:r>
      <w:r w:rsidRPr="00455D53">
        <w:rPr>
          <w:rFonts w:ascii="Arial" w:hAnsi="Arial" w:cs="Arial"/>
          <w:sz w:val="20"/>
        </w:rPr>
        <w:t>the</w:t>
      </w:r>
      <w:r w:rsidRPr="00455D53">
        <w:rPr>
          <w:rFonts w:ascii="Arial" w:hAnsi="Arial" w:cs="Arial"/>
          <w:spacing w:val="1"/>
          <w:sz w:val="20"/>
        </w:rPr>
        <w:t xml:space="preserve"> </w:t>
      </w:r>
      <w:r w:rsidRPr="00455D53">
        <w:rPr>
          <w:rFonts w:ascii="Arial" w:hAnsi="Arial" w:cs="Arial"/>
          <w:sz w:val="20"/>
        </w:rPr>
        <w:t>certification;</w:t>
      </w:r>
    </w:p>
    <w:p w14:paraId="64FB3EF1" w14:textId="26889D23" w:rsidR="008D238F" w:rsidRPr="00455D53" w:rsidRDefault="008D238F" w:rsidP="003075E4">
      <w:pPr>
        <w:numPr>
          <w:ilvl w:val="1"/>
          <w:numId w:val="317"/>
        </w:numPr>
        <w:tabs>
          <w:tab w:val="left" w:pos="1274"/>
        </w:tabs>
        <w:spacing w:before="120"/>
        <w:ind w:right="44"/>
        <w:jc w:val="both"/>
        <w:rPr>
          <w:rFonts w:ascii="Arial" w:hAnsi="Arial" w:cs="Arial"/>
          <w:sz w:val="20"/>
        </w:rPr>
      </w:pPr>
      <w:r w:rsidRPr="00455D53">
        <w:rPr>
          <w:rFonts w:ascii="Arial" w:hAnsi="Arial" w:cs="Arial"/>
          <w:sz w:val="20"/>
        </w:rPr>
        <w:t>ensure</w:t>
      </w:r>
      <w:r w:rsidRPr="00455D53">
        <w:rPr>
          <w:rFonts w:ascii="Arial" w:hAnsi="Arial" w:cs="Arial"/>
          <w:spacing w:val="-9"/>
          <w:sz w:val="20"/>
        </w:rPr>
        <w:t xml:space="preserve"> </w:t>
      </w:r>
      <w:r w:rsidRPr="00455D53">
        <w:rPr>
          <w:rFonts w:ascii="Arial" w:hAnsi="Arial" w:cs="Arial"/>
          <w:sz w:val="20"/>
        </w:rPr>
        <w:t>that</w:t>
      </w:r>
      <w:r w:rsidRPr="00455D53">
        <w:rPr>
          <w:rFonts w:ascii="Arial" w:hAnsi="Arial" w:cs="Arial"/>
          <w:spacing w:val="-7"/>
          <w:sz w:val="20"/>
        </w:rPr>
        <w:t xml:space="preserve"> </w:t>
      </w:r>
      <w:r w:rsidRPr="00455D53">
        <w:rPr>
          <w:rFonts w:ascii="Arial" w:hAnsi="Arial" w:cs="Arial"/>
          <w:sz w:val="20"/>
        </w:rPr>
        <w:t>any</w:t>
      </w:r>
      <w:r w:rsidRPr="00455D53">
        <w:rPr>
          <w:rFonts w:ascii="Arial" w:hAnsi="Arial" w:cs="Arial"/>
          <w:spacing w:val="-7"/>
          <w:sz w:val="20"/>
        </w:rPr>
        <w:t xml:space="preserve"> </w:t>
      </w:r>
      <w:r w:rsidRPr="00455D53">
        <w:rPr>
          <w:rFonts w:ascii="Arial" w:hAnsi="Arial" w:cs="Arial"/>
          <w:sz w:val="20"/>
        </w:rPr>
        <w:t>such</w:t>
      </w:r>
      <w:r w:rsidRPr="00455D53">
        <w:rPr>
          <w:rFonts w:ascii="Arial" w:hAnsi="Arial" w:cs="Arial"/>
          <w:spacing w:val="-12"/>
          <w:sz w:val="20"/>
        </w:rPr>
        <w:t xml:space="preserve"> </w:t>
      </w:r>
      <w:r w:rsidRPr="00455D53">
        <w:rPr>
          <w:rFonts w:ascii="Arial" w:hAnsi="Arial" w:cs="Arial"/>
          <w:sz w:val="20"/>
        </w:rPr>
        <w:t>maintenance is rechecked and released in accordance with point (b) of point ML.A.801 at the earliest opportunity and within a period not exceeding 7 days</w:t>
      </w:r>
      <w:r w:rsidRPr="00455D53">
        <w:rPr>
          <w:rFonts w:ascii="Arial" w:hAnsi="Arial" w:cs="Arial"/>
          <w:spacing w:val="1"/>
          <w:sz w:val="20"/>
        </w:rPr>
        <w:t xml:space="preserve"> </w:t>
      </w:r>
      <w:r w:rsidRPr="00455D53">
        <w:rPr>
          <w:rFonts w:ascii="Arial" w:hAnsi="Arial" w:cs="Arial"/>
          <w:sz w:val="20"/>
        </w:rPr>
        <w:t>or,</w:t>
      </w:r>
      <w:r w:rsidRPr="00455D53">
        <w:rPr>
          <w:rFonts w:ascii="Arial" w:hAnsi="Arial" w:cs="Arial"/>
          <w:spacing w:val="-8"/>
          <w:sz w:val="20"/>
        </w:rPr>
        <w:t xml:space="preserve"> </w:t>
      </w:r>
      <w:r w:rsidRPr="00455D53">
        <w:rPr>
          <w:rFonts w:ascii="Arial" w:hAnsi="Arial" w:cs="Arial"/>
          <w:sz w:val="20"/>
        </w:rPr>
        <w:t>in</w:t>
      </w:r>
      <w:r w:rsidRPr="00455D53">
        <w:rPr>
          <w:rFonts w:ascii="Arial" w:hAnsi="Arial" w:cs="Arial"/>
          <w:spacing w:val="-9"/>
          <w:sz w:val="20"/>
        </w:rPr>
        <w:t xml:space="preserve"> </w:t>
      </w:r>
      <w:r w:rsidRPr="00455D53">
        <w:rPr>
          <w:rFonts w:ascii="Arial" w:hAnsi="Arial" w:cs="Arial"/>
          <w:sz w:val="20"/>
        </w:rPr>
        <w:t>the</w:t>
      </w:r>
      <w:r w:rsidRPr="00455D53">
        <w:rPr>
          <w:rFonts w:ascii="Arial" w:hAnsi="Arial" w:cs="Arial"/>
          <w:spacing w:val="-9"/>
          <w:sz w:val="20"/>
        </w:rPr>
        <w:t xml:space="preserve"> </w:t>
      </w:r>
      <w:r w:rsidRPr="00455D53">
        <w:rPr>
          <w:rFonts w:ascii="Arial" w:hAnsi="Arial" w:cs="Arial"/>
          <w:sz w:val="20"/>
        </w:rPr>
        <w:t>case</w:t>
      </w:r>
      <w:r w:rsidRPr="00455D53">
        <w:rPr>
          <w:rFonts w:ascii="Arial" w:hAnsi="Arial" w:cs="Arial"/>
          <w:spacing w:val="-10"/>
          <w:sz w:val="20"/>
        </w:rPr>
        <w:t xml:space="preserve"> </w:t>
      </w:r>
      <w:r w:rsidRPr="00455D53">
        <w:rPr>
          <w:rFonts w:ascii="Arial" w:hAnsi="Arial" w:cs="Arial"/>
          <w:sz w:val="20"/>
        </w:rPr>
        <w:t>of</w:t>
      </w:r>
      <w:r w:rsidRPr="00455D53">
        <w:rPr>
          <w:rFonts w:ascii="Arial" w:hAnsi="Arial" w:cs="Arial"/>
          <w:spacing w:val="-10"/>
          <w:sz w:val="20"/>
        </w:rPr>
        <w:t xml:space="preserve"> </w:t>
      </w:r>
      <w:r w:rsidRPr="00455D53">
        <w:rPr>
          <w:rFonts w:ascii="Arial" w:hAnsi="Arial" w:cs="Arial"/>
          <w:sz w:val="20"/>
        </w:rPr>
        <w:t>aircraft</w:t>
      </w:r>
      <w:r w:rsidRPr="00455D53">
        <w:rPr>
          <w:rFonts w:ascii="Arial" w:hAnsi="Arial" w:cs="Arial"/>
          <w:spacing w:val="-10"/>
          <w:sz w:val="20"/>
        </w:rPr>
        <w:t xml:space="preserve"> </w:t>
      </w:r>
      <w:r w:rsidRPr="00455D53">
        <w:rPr>
          <w:rFonts w:ascii="Arial" w:hAnsi="Arial" w:cs="Arial"/>
          <w:sz w:val="20"/>
        </w:rPr>
        <w:t>operated</w:t>
      </w:r>
      <w:r w:rsidRPr="00455D53">
        <w:rPr>
          <w:rFonts w:ascii="Arial" w:hAnsi="Arial" w:cs="Arial"/>
          <w:spacing w:val="-9"/>
          <w:sz w:val="20"/>
        </w:rPr>
        <w:t xml:space="preserve"> </w:t>
      </w:r>
      <w:r w:rsidRPr="00455D53">
        <w:rPr>
          <w:rFonts w:ascii="Arial" w:hAnsi="Arial" w:cs="Arial"/>
          <w:sz w:val="20"/>
        </w:rPr>
        <w:t>under</w:t>
      </w:r>
      <w:r w:rsidRPr="00455D53">
        <w:rPr>
          <w:rFonts w:ascii="Arial" w:hAnsi="Arial" w:cs="Arial"/>
          <w:spacing w:val="-7"/>
          <w:sz w:val="20"/>
        </w:rPr>
        <w:t xml:space="preserve"> </w:t>
      </w:r>
      <w:r w:rsidRPr="00455D53">
        <w:rPr>
          <w:rFonts w:ascii="Arial" w:hAnsi="Arial" w:cs="Arial"/>
          <w:sz w:val="20"/>
        </w:rPr>
        <w:t>Annex</w:t>
      </w:r>
      <w:r w:rsidRPr="00455D53">
        <w:rPr>
          <w:rFonts w:ascii="Arial" w:hAnsi="Arial" w:cs="Arial"/>
          <w:spacing w:val="-8"/>
          <w:sz w:val="20"/>
        </w:rPr>
        <w:t xml:space="preserve"> </w:t>
      </w:r>
      <w:r w:rsidRPr="00455D53">
        <w:rPr>
          <w:rFonts w:ascii="Arial" w:hAnsi="Arial" w:cs="Arial"/>
          <w:sz w:val="20"/>
        </w:rPr>
        <w:t>VII</w:t>
      </w:r>
      <w:r w:rsidRPr="00455D53">
        <w:rPr>
          <w:rFonts w:ascii="Arial" w:hAnsi="Arial" w:cs="Arial"/>
          <w:spacing w:val="-8"/>
          <w:sz w:val="20"/>
        </w:rPr>
        <w:t xml:space="preserve"> </w:t>
      </w:r>
      <w:r w:rsidRPr="00455D53">
        <w:rPr>
          <w:rFonts w:ascii="Arial" w:hAnsi="Arial" w:cs="Arial"/>
          <w:sz w:val="20"/>
        </w:rPr>
        <w:t>to</w:t>
      </w:r>
      <w:r w:rsidRPr="00455D53">
        <w:rPr>
          <w:rFonts w:ascii="Arial" w:hAnsi="Arial" w:cs="Arial"/>
          <w:spacing w:val="-6"/>
          <w:sz w:val="20"/>
        </w:rPr>
        <w:t xml:space="preserve"> </w:t>
      </w:r>
      <w:hyperlink r:id="rId120" w:history="1">
        <w:r w:rsidR="00F82E4C">
          <w:rPr>
            <w:rStyle w:val="Hyperlink"/>
            <w:rFonts w:ascii="Arial" w:hAnsi="Arial" w:cs="Arial"/>
            <w:sz w:val="20"/>
          </w:rPr>
          <w:t>the order N 2-N of the Minister of Territorial Administration and Infrastructure of RA, dated 11.02.2022</w:t>
        </w:r>
      </w:hyperlink>
      <w:r w:rsidR="00F82E4C" w:rsidRPr="00455D53">
        <w:rPr>
          <w:rFonts w:ascii="Arial" w:hAnsi="Arial" w:cs="Arial"/>
          <w:sz w:val="20"/>
        </w:rPr>
        <w:t xml:space="preserve"> </w:t>
      </w:r>
      <w:r w:rsidRPr="00455D53">
        <w:rPr>
          <w:rFonts w:ascii="Arial" w:hAnsi="Arial" w:cs="Arial"/>
          <w:sz w:val="20"/>
        </w:rPr>
        <w:t>(Part-</w:t>
      </w:r>
      <w:r w:rsidRPr="00455D53">
        <w:rPr>
          <w:rFonts w:ascii="Arial" w:hAnsi="Arial" w:cs="Arial"/>
          <w:spacing w:val="-47"/>
          <w:sz w:val="20"/>
        </w:rPr>
        <w:t xml:space="preserve"> </w:t>
      </w:r>
      <w:r w:rsidRPr="00455D53">
        <w:rPr>
          <w:rFonts w:ascii="Arial" w:hAnsi="Arial" w:cs="Arial"/>
          <w:sz w:val="20"/>
        </w:rPr>
        <w:t>NCO) or, in the case of balloons, not operated under Subpart-ADD of Annex II (Part-BOP)</w:t>
      </w:r>
      <w:r w:rsidRPr="00455D53">
        <w:rPr>
          <w:rFonts w:ascii="Arial" w:hAnsi="Arial" w:cs="Arial"/>
          <w:spacing w:val="-48"/>
          <w:sz w:val="20"/>
        </w:rPr>
        <w:t xml:space="preserve"> </w:t>
      </w:r>
      <w:r w:rsidRPr="00455D53">
        <w:rPr>
          <w:rFonts w:ascii="Arial" w:hAnsi="Arial" w:cs="Arial"/>
          <w:sz w:val="20"/>
        </w:rPr>
        <w:t xml:space="preserve">to </w:t>
      </w:r>
      <w:r w:rsidR="00062F40" w:rsidRPr="00062F40">
        <w:rPr>
          <w:rFonts w:ascii="Arial" w:hAnsi="Arial" w:cs="Arial"/>
          <w:sz w:val="20"/>
        </w:rPr>
        <w:t xml:space="preserve">this Regulation </w:t>
      </w:r>
      <w:r w:rsidRPr="00455D53">
        <w:rPr>
          <w:rFonts w:ascii="Arial" w:hAnsi="Arial" w:cs="Arial"/>
          <w:sz w:val="20"/>
        </w:rPr>
        <w:t>or,</w:t>
      </w:r>
      <w:r w:rsidRPr="00455D53">
        <w:rPr>
          <w:rFonts w:ascii="Arial" w:hAnsi="Arial" w:cs="Arial"/>
          <w:spacing w:val="-10"/>
          <w:sz w:val="20"/>
        </w:rPr>
        <w:t xml:space="preserve"> </w:t>
      </w:r>
      <w:r w:rsidRPr="00455D53">
        <w:rPr>
          <w:rFonts w:ascii="Arial" w:hAnsi="Arial" w:cs="Arial"/>
          <w:sz w:val="20"/>
        </w:rPr>
        <w:t>within</w:t>
      </w:r>
      <w:r w:rsidRPr="00455D53">
        <w:rPr>
          <w:rFonts w:ascii="Arial" w:hAnsi="Arial" w:cs="Arial"/>
          <w:spacing w:val="-10"/>
          <w:sz w:val="20"/>
        </w:rPr>
        <w:t xml:space="preserve"> </w:t>
      </w:r>
      <w:r w:rsidRPr="00455D53">
        <w:rPr>
          <w:rFonts w:ascii="Arial" w:hAnsi="Arial" w:cs="Arial"/>
          <w:sz w:val="20"/>
        </w:rPr>
        <w:t>a</w:t>
      </w:r>
      <w:r w:rsidRPr="00455D53">
        <w:rPr>
          <w:rFonts w:ascii="Arial" w:hAnsi="Arial" w:cs="Arial"/>
          <w:spacing w:val="-9"/>
          <w:sz w:val="20"/>
        </w:rPr>
        <w:t xml:space="preserve"> </w:t>
      </w:r>
      <w:r w:rsidRPr="00455D53">
        <w:rPr>
          <w:rFonts w:ascii="Arial" w:hAnsi="Arial" w:cs="Arial"/>
          <w:sz w:val="20"/>
        </w:rPr>
        <w:t>period</w:t>
      </w:r>
      <w:r w:rsidRPr="00455D53">
        <w:rPr>
          <w:rFonts w:ascii="Arial" w:hAnsi="Arial" w:cs="Arial"/>
          <w:spacing w:val="-10"/>
          <w:sz w:val="20"/>
        </w:rPr>
        <w:t xml:space="preserve"> </w:t>
      </w:r>
      <w:r w:rsidRPr="00455D53">
        <w:rPr>
          <w:rFonts w:ascii="Arial" w:hAnsi="Arial" w:cs="Arial"/>
          <w:sz w:val="20"/>
        </w:rPr>
        <w:t>not</w:t>
      </w:r>
      <w:r w:rsidRPr="00455D53">
        <w:rPr>
          <w:rFonts w:ascii="Arial" w:hAnsi="Arial" w:cs="Arial"/>
          <w:spacing w:val="-11"/>
          <w:sz w:val="20"/>
        </w:rPr>
        <w:t xml:space="preserve"> </w:t>
      </w:r>
      <w:r w:rsidRPr="00455D53">
        <w:rPr>
          <w:rFonts w:ascii="Arial" w:hAnsi="Arial" w:cs="Arial"/>
          <w:sz w:val="20"/>
        </w:rPr>
        <w:t>exceeding</w:t>
      </w:r>
      <w:r w:rsidRPr="00455D53">
        <w:rPr>
          <w:rFonts w:ascii="Arial" w:hAnsi="Arial" w:cs="Arial"/>
          <w:spacing w:val="-10"/>
          <w:sz w:val="20"/>
        </w:rPr>
        <w:t xml:space="preserve"> </w:t>
      </w:r>
      <w:r w:rsidRPr="00455D53">
        <w:rPr>
          <w:rFonts w:ascii="Arial" w:hAnsi="Arial" w:cs="Arial"/>
          <w:sz w:val="20"/>
        </w:rPr>
        <w:t>30</w:t>
      </w:r>
      <w:r w:rsidRPr="00455D53">
        <w:rPr>
          <w:rFonts w:ascii="Arial" w:hAnsi="Arial" w:cs="Arial"/>
          <w:spacing w:val="-1"/>
          <w:sz w:val="20"/>
        </w:rPr>
        <w:t xml:space="preserve"> </w:t>
      </w:r>
      <w:r w:rsidRPr="00455D53">
        <w:rPr>
          <w:rFonts w:ascii="Arial" w:hAnsi="Arial" w:cs="Arial"/>
          <w:sz w:val="20"/>
        </w:rPr>
        <w:t>days;</w:t>
      </w:r>
    </w:p>
    <w:p w14:paraId="15AA8BDB" w14:textId="5D0E4F99" w:rsidR="008D238F" w:rsidRPr="00455D53" w:rsidRDefault="008D238F" w:rsidP="003075E4">
      <w:pPr>
        <w:numPr>
          <w:ilvl w:val="1"/>
          <w:numId w:val="317"/>
        </w:numPr>
        <w:tabs>
          <w:tab w:val="left" w:pos="1274"/>
        </w:tabs>
        <w:spacing w:before="120"/>
        <w:ind w:right="44"/>
        <w:jc w:val="both"/>
        <w:rPr>
          <w:rFonts w:ascii="Arial" w:hAnsi="Arial" w:cs="Arial"/>
          <w:sz w:val="20"/>
        </w:rPr>
      </w:pPr>
      <w:r w:rsidRPr="00455D53">
        <w:rPr>
          <w:rFonts w:ascii="Arial" w:hAnsi="Arial" w:cs="Arial"/>
          <w:sz w:val="20"/>
        </w:rPr>
        <w:t xml:space="preserve">notify the contracted CAMO or CAO, or the </w:t>
      </w:r>
      <w:r w:rsidR="004E22F1">
        <w:rPr>
          <w:rFonts w:ascii="Arial" w:hAnsi="Arial" w:cs="Arial"/>
          <w:sz w:val="20"/>
          <w:szCs w:val="20"/>
        </w:rPr>
        <w:t xml:space="preserve">CAC RA </w:t>
      </w:r>
      <w:r w:rsidRPr="00455D53">
        <w:rPr>
          <w:rFonts w:ascii="Arial" w:hAnsi="Arial" w:cs="Arial"/>
          <w:sz w:val="20"/>
        </w:rPr>
        <w:t>in the absence of such</w:t>
      </w:r>
      <w:r w:rsidRPr="00455D53">
        <w:rPr>
          <w:rFonts w:ascii="Arial" w:hAnsi="Arial" w:cs="Arial"/>
          <w:spacing w:val="1"/>
          <w:sz w:val="20"/>
        </w:rPr>
        <w:t xml:space="preserve"> </w:t>
      </w:r>
      <w:r w:rsidRPr="00455D53">
        <w:rPr>
          <w:rFonts w:ascii="Arial" w:hAnsi="Arial" w:cs="Arial"/>
          <w:sz w:val="20"/>
        </w:rPr>
        <w:t>a contract,</w:t>
      </w:r>
      <w:r w:rsidRPr="00455D53">
        <w:rPr>
          <w:rFonts w:ascii="Arial" w:hAnsi="Arial" w:cs="Arial"/>
          <w:spacing w:val="-2"/>
          <w:sz w:val="20"/>
        </w:rPr>
        <w:t xml:space="preserve"> </w:t>
      </w:r>
      <w:r w:rsidRPr="00455D53">
        <w:rPr>
          <w:rFonts w:ascii="Arial" w:hAnsi="Arial" w:cs="Arial"/>
          <w:sz w:val="20"/>
        </w:rPr>
        <w:t>within</w:t>
      </w:r>
      <w:r w:rsidRPr="00455D53">
        <w:rPr>
          <w:rFonts w:ascii="Arial" w:hAnsi="Arial" w:cs="Arial"/>
          <w:spacing w:val="-4"/>
          <w:sz w:val="20"/>
        </w:rPr>
        <w:t xml:space="preserve"> </w:t>
      </w:r>
      <w:r w:rsidRPr="00455D53">
        <w:rPr>
          <w:rFonts w:ascii="Arial" w:hAnsi="Arial" w:cs="Arial"/>
          <w:sz w:val="20"/>
        </w:rPr>
        <w:t>7</w:t>
      </w:r>
      <w:r w:rsidRPr="00455D53">
        <w:rPr>
          <w:rFonts w:ascii="Arial" w:hAnsi="Arial" w:cs="Arial"/>
          <w:spacing w:val="2"/>
          <w:sz w:val="20"/>
        </w:rPr>
        <w:t xml:space="preserve"> </w:t>
      </w:r>
      <w:r w:rsidRPr="00455D53">
        <w:rPr>
          <w:rFonts w:ascii="Arial" w:hAnsi="Arial" w:cs="Arial"/>
          <w:sz w:val="20"/>
        </w:rPr>
        <w:t>days</w:t>
      </w:r>
      <w:r w:rsidRPr="00455D53">
        <w:rPr>
          <w:rFonts w:ascii="Arial" w:hAnsi="Arial" w:cs="Arial"/>
          <w:spacing w:val="-2"/>
          <w:sz w:val="20"/>
        </w:rPr>
        <w:t xml:space="preserve"> </w:t>
      </w:r>
      <w:r w:rsidRPr="00455D53">
        <w:rPr>
          <w:rFonts w:ascii="Arial" w:hAnsi="Arial" w:cs="Arial"/>
          <w:sz w:val="20"/>
        </w:rPr>
        <w:t>of</w:t>
      </w:r>
      <w:r w:rsidRPr="00455D53">
        <w:rPr>
          <w:rFonts w:ascii="Arial" w:hAnsi="Arial" w:cs="Arial"/>
          <w:spacing w:val="-3"/>
          <w:sz w:val="20"/>
        </w:rPr>
        <w:t xml:space="preserve"> </w:t>
      </w:r>
      <w:r w:rsidRPr="00455D53">
        <w:rPr>
          <w:rFonts w:ascii="Arial" w:hAnsi="Arial" w:cs="Arial"/>
          <w:sz w:val="20"/>
        </w:rPr>
        <w:t>the</w:t>
      </w:r>
      <w:r w:rsidRPr="00455D53">
        <w:rPr>
          <w:rFonts w:ascii="Arial" w:hAnsi="Arial" w:cs="Arial"/>
          <w:spacing w:val="1"/>
          <w:sz w:val="20"/>
        </w:rPr>
        <w:t xml:space="preserve"> </w:t>
      </w:r>
      <w:r w:rsidRPr="00455D53">
        <w:rPr>
          <w:rFonts w:ascii="Arial" w:hAnsi="Arial" w:cs="Arial"/>
          <w:sz w:val="20"/>
        </w:rPr>
        <w:t>issuance</w:t>
      </w:r>
      <w:r w:rsidRPr="00455D53">
        <w:rPr>
          <w:rFonts w:ascii="Arial" w:hAnsi="Arial" w:cs="Arial"/>
          <w:spacing w:val="-2"/>
          <w:sz w:val="20"/>
        </w:rPr>
        <w:t xml:space="preserve"> </w:t>
      </w:r>
      <w:r w:rsidRPr="00455D53">
        <w:rPr>
          <w:rFonts w:ascii="Arial" w:hAnsi="Arial" w:cs="Arial"/>
          <w:sz w:val="20"/>
        </w:rPr>
        <w:t>of such</w:t>
      </w:r>
      <w:r w:rsidRPr="00455D53">
        <w:rPr>
          <w:rFonts w:ascii="Arial" w:hAnsi="Arial" w:cs="Arial"/>
          <w:spacing w:val="-1"/>
          <w:sz w:val="20"/>
        </w:rPr>
        <w:t xml:space="preserve"> </w:t>
      </w:r>
      <w:r w:rsidRPr="00455D53">
        <w:rPr>
          <w:rFonts w:ascii="Arial" w:hAnsi="Arial" w:cs="Arial"/>
          <w:sz w:val="20"/>
        </w:rPr>
        <w:t>authorisation.</w:t>
      </w:r>
    </w:p>
    <w:p w14:paraId="4AC3FE0A" w14:textId="77777777" w:rsidR="008D238F" w:rsidRPr="00455D53" w:rsidRDefault="008D238F" w:rsidP="003075E4">
      <w:pPr>
        <w:numPr>
          <w:ilvl w:val="0"/>
          <w:numId w:val="317"/>
        </w:numPr>
        <w:tabs>
          <w:tab w:val="left" w:pos="707"/>
        </w:tabs>
        <w:spacing w:before="120"/>
        <w:ind w:right="44"/>
        <w:jc w:val="both"/>
        <w:rPr>
          <w:rFonts w:ascii="Arial" w:hAnsi="Arial" w:cs="Arial"/>
          <w:sz w:val="20"/>
        </w:rPr>
      </w:pPr>
      <w:r w:rsidRPr="00455D53">
        <w:rPr>
          <w:rFonts w:ascii="Arial" w:hAnsi="Arial" w:cs="Arial"/>
          <w:sz w:val="20"/>
        </w:rPr>
        <w:t>In the case of a release to service in accordance with points (b)(1) or (b)(2), the certifying staff</w:t>
      </w:r>
      <w:r w:rsidRPr="00455D53">
        <w:rPr>
          <w:rFonts w:ascii="Arial" w:hAnsi="Arial" w:cs="Arial"/>
          <w:spacing w:val="1"/>
          <w:sz w:val="20"/>
        </w:rPr>
        <w:t xml:space="preserve"> </w:t>
      </w:r>
      <w:r w:rsidRPr="00455D53">
        <w:rPr>
          <w:rFonts w:ascii="Arial" w:hAnsi="Arial" w:cs="Arial"/>
          <w:sz w:val="20"/>
        </w:rPr>
        <w:t>may be assisted in performing the maintenance tasks by one or more persons subject to his</w:t>
      </w:r>
      <w:r w:rsidRPr="00455D53">
        <w:rPr>
          <w:rFonts w:ascii="Arial" w:hAnsi="Arial" w:cs="Arial"/>
          <w:spacing w:val="1"/>
          <w:sz w:val="20"/>
        </w:rPr>
        <w:t xml:space="preserve"> </w:t>
      </w:r>
      <w:r w:rsidRPr="00455D53">
        <w:rPr>
          <w:rFonts w:ascii="Arial" w:hAnsi="Arial" w:cs="Arial"/>
          <w:sz w:val="20"/>
        </w:rPr>
        <w:t>direct</w:t>
      </w:r>
      <w:r w:rsidRPr="00455D53">
        <w:rPr>
          <w:rFonts w:ascii="Arial" w:hAnsi="Arial" w:cs="Arial"/>
          <w:spacing w:val="1"/>
          <w:sz w:val="20"/>
        </w:rPr>
        <w:t xml:space="preserve"> </w:t>
      </w:r>
      <w:r w:rsidRPr="00455D53">
        <w:rPr>
          <w:rFonts w:ascii="Arial" w:hAnsi="Arial" w:cs="Arial"/>
          <w:sz w:val="20"/>
        </w:rPr>
        <w:t>and</w:t>
      </w:r>
      <w:r w:rsidRPr="00455D53">
        <w:rPr>
          <w:rFonts w:ascii="Arial" w:hAnsi="Arial" w:cs="Arial"/>
          <w:spacing w:val="-2"/>
          <w:sz w:val="20"/>
        </w:rPr>
        <w:t xml:space="preserve"> </w:t>
      </w:r>
      <w:r w:rsidRPr="00455D53">
        <w:rPr>
          <w:rFonts w:ascii="Arial" w:hAnsi="Arial" w:cs="Arial"/>
          <w:sz w:val="20"/>
        </w:rPr>
        <w:t>continuous</w:t>
      </w:r>
      <w:r w:rsidRPr="00455D53">
        <w:rPr>
          <w:rFonts w:ascii="Arial" w:hAnsi="Arial" w:cs="Arial"/>
          <w:spacing w:val="-3"/>
          <w:sz w:val="20"/>
        </w:rPr>
        <w:t xml:space="preserve"> </w:t>
      </w:r>
      <w:r w:rsidRPr="00455D53">
        <w:rPr>
          <w:rFonts w:ascii="Arial" w:hAnsi="Arial" w:cs="Arial"/>
          <w:sz w:val="20"/>
        </w:rPr>
        <w:t>control;</w:t>
      </w:r>
    </w:p>
    <w:p w14:paraId="5BF5A949" w14:textId="77777777" w:rsidR="008D238F" w:rsidRPr="00455D53" w:rsidRDefault="008D238F" w:rsidP="003075E4">
      <w:pPr>
        <w:numPr>
          <w:ilvl w:val="0"/>
          <w:numId w:val="317"/>
        </w:numPr>
        <w:tabs>
          <w:tab w:val="left" w:pos="707"/>
        </w:tabs>
        <w:spacing w:before="121"/>
        <w:ind w:right="44"/>
        <w:jc w:val="both"/>
        <w:rPr>
          <w:rFonts w:ascii="Arial" w:hAnsi="Arial" w:cs="Arial"/>
          <w:sz w:val="20"/>
        </w:rPr>
      </w:pPr>
      <w:r w:rsidRPr="00455D53">
        <w:rPr>
          <w:rFonts w:ascii="Arial" w:hAnsi="Arial" w:cs="Arial"/>
          <w:sz w:val="20"/>
        </w:rPr>
        <w:t>A</w:t>
      </w:r>
      <w:r w:rsidRPr="00455D53">
        <w:rPr>
          <w:rFonts w:ascii="Arial" w:hAnsi="Arial" w:cs="Arial"/>
          <w:spacing w:val="-1"/>
          <w:sz w:val="20"/>
        </w:rPr>
        <w:t xml:space="preserve"> </w:t>
      </w:r>
      <w:r w:rsidRPr="00455D53">
        <w:rPr>
          <w:rFonts w:ascii="Arial" w:hAnsi="Arial" w:cs="Arial"/>
          <w:sz w:val="20"/>
        </w:rPr>
        <w:t>CRS</w:t>
      </w:r>
      <w:r w:rsidRPr="00455D53">
        <w:rPr>
          <w:rFonts w:ascii="Arial" w:hAnsi="Arial" w:cs="Arial"/>
          <w:spacing w:val="-2"/>
          <w:sz w:val="20"/>
        </w:rPr>
        <w:t xml:space="preserve"> </w:t>
      </w:r>
      <w:r w:rsidRPr="00455D53">
        <w:rPr>
          <w:rFonts w:ascii="Arial" w:hAnsi="Arial" w:cs="Arial"/>
          <w:sz w:val="20"/>
        </w:rPr>
        <w:t>shall</w:t>
      </w:r>
      <w:r w:rsidRPr="00455D53">
        <w:rPr>
          <w:rFonts w:ascii="Arial" w:hAnsi="Arial" w:cs="Arial"/>
          <w:spacing w:val="-1"/>
          <w:sz w:val="20"/>
        </w:rPr>
        <w:t xml:space="preserve"> </w:t>
      </w:r>
      <w:r w:rsidRPr="00455D53">
        <w:rPr>
          <w:rFonts w:ascii="Arial" w:hAnsi="Arial" w:cs="Arial"/>
          <w:sz w:val="20"/>
        </w:rPr>
        <w:t>contain</w:t>
      </w:r>
      <w:r w:rsidRPr="00455D53">
        <w:rPr>
          <w:rFonts w:ascii="Arial" w:hAnsi="Arial" w:cs="Arial"/>
          <w:spacing w:val="-2"/>
          <w:sz w:val="20"/>
        </w:rPr>
        <w:t xml:space="preserve"> </w:t>
      </w:r>
      <w:r w:rsidRPr="00455D53">
        <w:rPr>
          <w:rFonts w:ascii="Arial" w:hAnsi="Arial" w:cs="Arial"/>
          <w:sz w:val="20"/>
        </w:rPr>
        <w:t>at least:</w:t>
      </w:r>
    </w:p>
    <w:p w14:paraId="7A6C45AF" w14:textId="77777777" w:rsidR="008D238F" w:rsidRPr="00455D53" w:rsidRDefault="008D238F" w:rsidP="003075E4">
      <w:pPr>
        <w:numPr>
          <w:ilvl w:val="1"/>
          <w:numId w:val="317"/>
        </w:numPr>
        <w:tabs>
          <w:tab w:val="left" w:pos="1274"/>
        </w:tabs>
        <w:spacing w:before="120"/>
        <w:ind w:right="44" w:hanging="568"/>
        <w:jc w:val="both"/>
        <w:rPr>
          <w:rFonts w:ascii="Arial" w:hAnsi="Arial" w:cs="Arial"/>
          <w:sz w:val="20"/>
        </w:rPr>
      </w:pPr>
      <w:r w:rsidRPr="00455D53">
        <w:rPr>
          <w:rFonts w:ascii="Arial" w:hAnsi="Arial" w:cs="Arial"/>
          <w:sz w:val="20"/>
        </w:rPr>
        <w:t>basic</w:t>
      </w:r>
      <w:r w:rsidRPr="00455D53">
        <w:rPr>
          <w:rFonts w:ascii="Arial" w:hAnsi="Arial" w:cs="Arial"/>
          <w:spacing w:val="-1"/>
          <w:sz w:val="20"/>
        </w:rPr>
        <w:t xml:space="preserve"> </w:t>
      </w:r>
      <w:r w:rsidRPr="00455D53">
        <w:rPr>
          <w:rFonts w:ascii="Arial" w:hAnsi="Arial" w:cs="Arial"/>
          <w:sz w:val="20"/>
        </w:rPr>
        <w:t>details</w:t>
      </w:r>
      <w:r w:rsidRPr="00455D53">
        <w:rPr>
          <w:rFonts w:ascii="Arial" w:hAnsi="Arial" w:cs="Arial"/>
          <w:spacing w:val="-2"/>
          <w:sz w:val="20"/>
        </w:rPr>
        <w:t xml:space="preserve"> </w:t>
      </w:r>
      <w:r w:rsidRPr="00455D53">
        <w:rPr>
          <w:rFonts w:ascii="Arial" w:hAnsi="Arial" w:cs="Arial"/>
          <w:sz w:val="20"/>
        </w:rPr>
        <w:t>of</w:t>
      </w:r>
      <w:r w:rsidRPr="00455D53">
        <w:rPr>
          <w:rFonts w:ascii="Arial" w:hAnsi="Arial" w:cs="Arial"/>
          <w:spacing w:val="-2"/>
          <w:sz w:val="20"/>
        </w:rPr>
        <w:t xml:space="preserve"> </w:t>
      </w:r>
      <w:r w:rsidRPr="00455D53">
        <w:rPr>
          <w:rFonts w:ascii="Arial" w:hAnsi="Arial" w:cs="Arial"/>
          <w:sz w:val="20"/>
        </w:rPr>
        <w:t>the</w:t>
      </w:r>
      <w:r w:rsidRPr="00455D53">
        <w:rPr>
          <w:rFonts w:ascii="Arial" w:hAnsi="Arial" w:cs="Arial"/>
          <w:spacing w:val="-2"/>
          <w:sz w:val="20"/>
        </w:rPr>
        <w:t xml:space="preserve"> </w:t>
      </w:r>
      <w:r w:rsidRPr="00455D53">
        <w:rPr>
          <w:rFonts w:ascii="Arial" w:hAnsi="Arial" w:cs="Arial"/>
          <w:sz w:val="20"/>
        </w:rPr>
        <w:t>maintenance</w:t>
      </w:r>
      <w:r w:rsidRPr="00455D53">
        <w:rPr>
          <w:rFonts w:ascii="Arial" w:hAnsi="Arial" w:cs="Arial"/>
          <w:spacing w:val="1"/>
          <w:sz w:val="20"/>
        </w:rPr>
        <w:t xml:space="preserve"> </w:t>
      </w:r>
      <w:r w:rsidRPr="00455D53">
        <w:rPr>
          <w:rFonts w:ascii="Arial" w:hAnsi="Arial" w:cs="Arial"/>
          <w:sz w:val="20"/>
        </w:rPr>
        <w:t>carried</w:t>
      </w:r>
      <w:r w:rsidRPr="00455D53">
        <w:rPr>
          <w:rFonts w:ascii="Arial" w:hAnsi="Arial" w:cs="Arial"/>
          <w:spacing w:val="-3"/>
          <w:sz w:val="20"/>
        </w:rPr>
        <w:t xml:space="preserve"> </w:t>
      </w:r>
      <w:r w:rsidRPr="00455D53">
        <w:rPr>
          <w:rFonts w:ascii="Arial" w:hAnsi="Arial" w:cs="Arial"/>
          <w:sz w:val="20"/>
        </w:rPr>
        <w:t>out;</w:t>
      </w:r>
    </w:p>
    <w:p w14:paraId="26BA478E" w14:textId="77777777" w:rsidR="008D238F" w:rsidRPr="00455D53" w:rsidRDefault="008D238F" w:rsidP="003075E4">
      <w:pPr>
        <w:numPr>
          <w:ilvl w:val="1"/>
          <w:numId w:val="317"/>
        </w:numPr>
        <w:tabs>
          <w:tab w:val="left" w:pos="1274"/>
        </w:tabs>
        <w:spacing w:before="120"/>
        <w:ind w:right="44" w:hanging="568"/>
        <w:jc w:val="both"/>
        <w:rPr>
          <w:rFonts w:ascii="Arial" w:hAnsi="Arial" w:cs="Arial"/>
          <w:sz w:val="20"/>
        </w:rPr>
      </w:pPr>
      <w:r w:rsidRPr="00455D53">
        <w:rPr>
          <w:rFonts w:ascii="Arial" w:hAnsi="Arial" w:cs="Arial"/>
          <w:sz w:val="20"/>
        </w:rPr>
        <w:t>the</w:t>
      </w:r>
      <w:r w:rsidRPr="00455D53">
        <w:rPr>
          <w:rFonts w:ascii="Arial" w:hAnsi="Arial" w:cs="Arial"/>
          <w:spacing w:val="-1"/>
          <w:sz w:val="20"/>
        </w:rPr>
        <w:t xml:space="preserve"> </w:t>
      </w:r>
      <w:r w:rsidRPr="00455D53">
        <w:rPr>
          <w:rFonts w:ascii="Arial" w:hAnsi="Arial" w:cs="Arial"/>
          <w:sz w:val="20"/>
        </w:rPr>
        <w:t>date</w:t>
      </w:r>
      <w:r w:rsidRPr="00455D53">
        <w:rPr>
          <w:rFonts w:ascii="Arial" w:hAnsi="Arial" w:cs="Arial"/>
          <w:spacing w:val="-3"/>
          <w:sz w:val="20"/>
        </w:rPr>
        <w:t xml:space="preserve"> </w:t>
      </w:r>
      <w:r w:rsidRPr="00455D53">
        <w:rPr>
          <w:rFonts w:ascii="Arial" w:hAnsi="Arial" w:cs="Arial"/>
          <w:sz w:val="20"/>
        </w:rPr>
        <w:t>on</w:t>
      </w:r>
      <w:r w:rsidRPr="00455D53">
        <w:rPr>
          <w:rFonts w:ascii="Arial" w:hAnsi="Arial" w:cs="Arial"/>
          <w:spacing w:val="-3"/>
          <w:sz w:val="20"/>
        </w:rPr>
        <w:t xml:space="preserve"> </w:t>
      </w:r>
      <w:r w:rsidRPr="00455D53">
        <w:rPr>
          <w:rFonts w:ascii="Arial" w:hAnsi="Arial" w:cs="Arial"/>
          <w:sz w:val="20"/>
        </w:rPr>
        <w:t>which</w:t>
      </w:r>
      <w:r w:rsidRPr="00455D53">
        <w:rPr>
          <w:rFonts w:ascii="Arial" w:hAnsi="Arial" w:cs="Arial"/>
          <w:spacing w:val="-2"/>
          <w:sz w:val="20"/>
        </w:rPr>
        <w:t xml:space="preserve"> </w:t>
      </w:r>
      <w:r w:rsidRPr="00455D53">
        <w:rPr>
          <w:rFonts w:ascii="Arial" w:hAnsi="Arial" w:cs="Arial"/>
          <w:sz w:val="20"/>
        </w:rPr>
        <w:t>the</w:t>
      </w:r>
      <w:r w:rsidRPr="00455D53">
        <w:rPr>
          <w:rFonts w:ascii="Arial" w:hAnsi="Arial" w:cs="Arial"/>
          <w:spacing w:val="-2"/>
          <w:sz w:val="20"/>
        </w:rPr>
        <w:t xml:space="preserve"> </w:t>
      </w:r>
      <w:r w:rsidRPr="00455D53">
        <w:rPr>
          <w:rFonts w:ascii="Arial" w:hAnsi="Arial" w:cs="Arial"/>
          <w:sz w:val="20"/>
        </w:rPr>
        <w:t>maintenance</w:t>
      </w:r>
      <w:r w:rsidRPr="00455D53">
        <w:rPr>
          <w:rFonts w:ascii="Arial" w:hAnsi="Arial" w:cs="Arial"/>
          <w:spacing w:val="-3"/>
          <w:sz w:val="20"/>
        </w:rPr>
        <w:t xml:space="preserve"> </w:t>
      </w:r>
      <w:r w:rsidRPr="00455D53">
        <w:rPr>
          <w:rFonts w:ascii="Arial" w:hAnsi="Arial" w:cs="Arial"/>
          <w:sz w:val="20"/>
        </w:rPr>
        <w:t>was completed;</w:t>
      </w:r>
    </w:p>
    <w:p w14:paraId="5357EB86" w14:textId="77777777" w:rsidR="008D238F" w:rsidRPr="00455D53" w:rsidRDefault="008D238F" w:rsidP="003075E4">
      <w:pPr>
        <w:numPr>
          <w:ilvl w:val="1"/>
          <w:numId w:val="317"/>
        </w:numPr>
        <w:tabs>
          <w:tab w:val="left" w:pos="1274"/>
        </w:tabs>
        <w:spacing w:before="118"/>
        <w:ind w:right="44"/>
        <w:jc w:val="both"/>
        <w:rPr>
          <w:rFonts w:ascii="Arial" w:hAnsi="Arial" w:cs="Arial"/>
          <w:sz w:val="20"/>
        </w:rPr>
      </w:pPr>
      <w:r w:rsidRPr="00455D53">
        <w:rPr>
          <w:rFonts w:ascii="Arial" w:hAnsi="Arial" w:cs="Arial"/>
          <w:sz w:val="20"/>
        </w:rPr>
        <w:t>the</w:t>
      </w:r>
      <w:r w:rsidRPr="00455D53">
        <w:rPr>
          <w:rFonts w:ascii="Arial" w:hAnsi="Arial" w:cs="Arial"/>
          <w:spacing w:val="1"/>
          <w:sz w:val="20"/>
        </w:rPr>
        <w:t xml:space="preserve"> </w:t>
      </w:r>
      <w:r w:rsidRPr="00455D53">
        <w:rPr>
          <w:rFonts w:ascii="Arial" w:hAnsi="Arial" w:cs="Arial"/>
          <w:sz w:val="20"/>
        </w:rPr>
        <w:t>identity</w:t>
      </w:r>
      <w:r w:rsidRPr="00455D53">
        <w:rPr>
          <w:rFonts w:ascii="Arial" w:hAnsi="Arial" w:cs="Arial"/>
          <w:spacing w:val="1"/>
          <w:sz w:val="20"/>
        </w:rPr>
        <w:t xml:space="preserve"> </w:t>
      </w:r>
      <w:r w:rsidRPr="00455D53">
        <w:rPr>
          <w:rFonts w:ascii="Arial" w:hAnsi="Arial" w:cs="Arial"/>
          <w:sz w:val="20"/>
        </w:rPr>
        <w:t>of</w:t>
      </w:r>
      <w:r w:rsidRPr="00455D53">
        <w:rPr>
          <w:rFonts w:ascii="Arial" w:hAnsi="Arial" w:cs="Arial"/>
          <w:spacing w:val="1"/>
          <w:sz w:val="20"/>
        </w:rPr>
        <w:t xml:space="preserve"> </w:t>
      </w:r>
      <w:r w:rsidRPr="00455D53">
        <w:rPr>
          <w:rFonts w:ascii="Arial" w:hAnsi="Arial" w:cs="Arial"/>
          <w:sz w:val="20"/>
        </w:rPr>
        <w:t>the</w:t>
      </w:r>
      <w:r w:rsidRPr="00455D53">
        <w:rPr>
          <w:rFonts w:ascii="Arial" w:hAnsi="Arial" w:cs="Arial"/>
          <w:spacing w:val="1"/>
          <w:sz w:val="20"/>
        </w:rPr>
        <w:t xml:space="preserve"> </w:t>
      </w:r>
      <w:r w:rsidRPr="00455D53">
        <w:rPr>
          <w:rFonts w:ascii="Arial" w:hAnsi="Arial" w:cs="Arial"/>
          <w:sz w:val="20"/>
        </w:rPr>
        <w:t>organisation</w:t>
      </w:r>
      <w:r w:rsidRPr="00455D53">
        <w:rPr>
          <w:rFonts w:ascii="Arial" w:hAnsi="Arial" w:cs="Arial"/>
          <w:spacing w:val="1"/>
          <w:sz w:val="20"/>
        </w:rPr>
        <w:t xml:space="preserve"> </w:t>
      </w:r>
      <w:r w:rsidRPr="00455D53">
        <w:rPr>
          <w:rFonts w:ascii="Arial" w:hAnsi="Arial" w:cs="Arial"/>
          <w:sz w:val="20"/>
        </w:rPr>
        <w:t>or</w:t>
      </w:r>
      <w:r w:rsidRPr="00455D53">
        <w:rPr>
          <w:rFonts w:ascii="Arial" w:hAnsi="Arial" w:cs="Arial"/>
          <w:spacing w:val="1"/>
          <w:sz w:val="20"/>
        </w:rPr>
        <w:t xml:space="preserve"> </w:t>
      </w:r>
      <w:r w:rsidRPr="00455D53">
        <w:rPr>
          <w:rFonts w:ascii="Arial" w:hAnsi="Arial" w:cs="Arial"/>
          <w:sz w:val="20"/>
        </w:rPr>
        <w:t>person</w:t>
      </w:r>
      <w:r w:rsidRPr="00455D53">
        <w:rPr>
          <w:rFonts w:ascii="Arial" w:hAnsi="Arial" w:cs="Arial"/>
          <w:spacing w:val="1"/>
          <w:sz w:val="20"/>
        </w:rPr>
        <w:t xml:space="preserve"> </w:t>
      </w:r>
      <w:r w:rsidRPr="00455D53">
        <w:rPr>
          <w:rFonts w:ascii="Arial" w:hAnsi="Arial" w:cs="Arial"/>
          <w:sz w:val="20"/>
        </w:rPr>
        <w:t>issuing</w:t>
      </w:r>
      <w:r w:rsidRPr="00455D53">
        <w:rPr>
          <w:rFonts w:ascii="Arial" w:hAnsi="Arial" w:cs="Arial"/>
          <w:spacing w:val="1"/>
          <w:sz w:val="20"/>
        </w:rPr>
        <w:t xml:space="preserve"> </w:t>
      </w:r>
      <w:r w:rsidRPr="00455D53">
        <w:rPr>
          <w:rFonts w:ascii="Arial" w:hAnsi="Arial" w:cs="Arial"/>
          <w:sz w:val="20"/>
        </w:rPr>
        <w:t>the</w:t>
      </w:r>
      <w:r w:rsidRPr="00455D53">
        <w:rPr>
          <w:rFonts w:ascii="Arial" w:hAnsi="Arial" w:cs="Arial"/>
          <w:spacing w:val="1"/>
          <w:sz w:val="20"/>
        </w:rPr>
        <w:t xml:space="preserve"> </w:t>
      </w:r>
      <w:r w:rsidRPr="00455D53">
        <w:rPr>
          <w:rFonts w:ascii="Arial" w:hAnsi="Arial" w:cs="Arial"/>
          <w:sz w:val="20"/>
        </w:rPr>
        <w:t>release</w:t>
      </w:r>
      <w:r w:rsidRPr="00455D53">
        <w:rPr>
          <w:rFonts w:ascii="Arial" w:hAnsi="Arial" w:cs="Arial"/>
          <w:spacing w:val="1"/>
          <w:sz w:val="20"/>
        </w:rPr>
        <w:t xml:space="preserve"> </w:t>
      </w:r>
      <w:r w:rsidRPr="00455D53">
        <w:rPr>
          <w:rFonts w:ascii="Arial" w:hAnsi="Arial" w:cs="Arial"/>
          <w:sz w:val="20"/>
        </w:rPr>
        <w:t>to</w:t>
      </w:r>
      <w:r w:rsidRPr="00455D53">
        <w:rPr>
          <w:rFonts w:ascii="Arial" w:hAnsi="Arial" w:cs="Arial"/>
          <w:spacing w:val="1"/>
          <w:sz w:val="20"/>
        </w:rPr>
        <w:t xml:space="preserve"> </w:t>
      </w:r>
      <w:r w:rsidRPr="00455D53">
        <w:rPr>
          <w:rFonts w:ascii="Arial" w:hAnsi="Arial" w:cs="Arial"/>
          <w:sz w:val="20"/>
        </w:rPr>
        <w:t>service,</w:t>
      </w:r>
      <w:r w:rsidRPr="00455D53">
        <w:rPr>
          <w:rFonts w:ascii="Arial" w:hAnsi="Arial" w:cs="Arial"/>
          <w:spacing w:val="1"/>
          <w:sz w:val="20"/>
        </w:rPr>
        <w:t xml:space="preserve"> </w:t>
      </w:r>
      <w:r w:rsidRPr="00455D53">
        <w:rPr>
          <w:rFonts w:ascii="Arial" w:hAnsi="Arial" w:cs="Arial"/>
          <w:sz w:val="20"/>
        </w:rPr>
        <w:t>including,</w:t>
      </w:r>
      <w:r w:rsidRPr="00455D53">
        <w:rPr>
          <w:rFonts w:ascii="Arial" w:hAnsi="Arial" w:cs="Arial"/>
          <w:spacing w:val="-47"/>
          <w:sz w:val="20"/>
        </w:rPr>
        <w:t xml:space="preserve"> </w:t>
      </w:r>
      <w:r w:rsidRPr="00455D53">
        <w:rPr>
          <w:rFonts w:ascii="Arial" w:hAnsi="Arial" w:cs="Arial"/>
          <w:sz w:val="20"/>
        </w:rPr>
        <w:t>alternatively:</w:t>
      </w:r>
    </w:p>
    <w:p w14:paraId="6EF364D2" w14:textId="77777777" w:rsidR="008D238F" w:rsidRPr="00455D53" w:rsidRDefault="008D238F" w:rsidP="003075E4">
      <w:pPr>
        <w:numPr>
          <w:ilvl w:val="2"/>
          <w:numId w:val="317"/>
        </w:numPr>
        <w:tabs>
          <w:tab w:val="left" w:pos="1842"/>
        </w:tabs>
        <w:spacing w:before="121"/>
        <w:ind w:right="44"/>
        <w:jc w:val="both"/>
        <w:rPr>
          <w:rFonts w:ascii="Arial" w:hAnsi="Arial" w:cs="Arial"/>
          <w:sz w:val="20"/>
        </w:rPr>
      </w:pPr>
      <w:r w:rsidRPr="00455D53">
        <w:rPr>
          <w:rFonts w:ascii="Arial" w:hAnsi="Arial" w:cs="Arial"/>
          <w:sz w:val="20"/>
        </w:rPr>
        <w:t>the</w:t>
      </w:r>
      <w:r w:rsidRPr="00455D53">
        <w:rPr>
          <w:rFonts w:ascii="Arial" w:hAnsi="Arial" w:cs="Arial"/>
          <w:spacing w:val="-8"/>
          <w:sz w:val="20"/>
        </w:rPr>
        <w:t xml:space="preserve"> </w:t>
      </w:r>
      <w:r w:rsidRPr="00455D53">
        <w:rPr>
          <w:rFonts w:ascii="Arial" w:hAnsi="Arial" w:cs="Arial"/>
          <w:sz w:val="20"/>
        </w:rPr>
        <w:t>approval</w:t>
      </w:r>
      <w:r w:rsidRPr="00455D53">
        <w:rPr>
          <w:rFonts w:ascii="Arial" w:hAnsi="Arial" w:cs="Arial"/>
          <w:spacing w:val="-9"/>
          <w:sz w:val="20"/>
        </w:rPr>
        <w:t xml:space="preserve"> </w:t>
      </w:r>
      <w:r w:rsidRPr="00455D53">
        <w:rPr>
          <w:rFonts w:ascii="Arial" w:hAnsi="Arial" w:cs="Arial"/>
          <w:sz w:val="20"/>
        </w:rPr>
        <w:t>reference</w:t>
      </w:r>
      <w:r w:rsidRPr="00455D53">
        <w:rPr>
          <w:rFonts w:ascii="Arial" w:hAnsi="Arial" w:cs="Arial"/>
          <w:spacing w:val="-10"/>
          <w:sz w:val="20"/>
        </w:rPr>
        <w:t xml:space="preserve"> </w:t>
      </w:r>
      <w:r w:rsidRPr="00455D53">
        <w:rPr>
          <w:rFonts w:ascii="Arial" w:hAnsi="Arial" w:cs="Arial"/>
          <w:sz w:val="20"/>
        </w:rPr>
        <w:t>of</w:t>
      </w:r>
      <w:r w:rsidRPr="00455D53">
        <w:rPr>
          <w:rFonts w:ascii="Arial" w:hAnsi="Arial" w:cs="Arial"/>
          <w:spacing w:val="-7"/>
          <w:sz w:val="20"/>
        </w:rPr>
        <w:t xml:space="preserve"> </w:t>
      </w:r>
      <w:r w:rsidRPr="00455D53">
        <w:rPr>
          <w:rFonts w:ascii="Arial" w:hAnsi="Arial" w:cs="Arial"/>
          <w:sz w:val="20"/>
        </w:rPr>
        <w:t>the</w:t>
      </w:r>
      <w:r w:rsidRPr="00455D53">
        <w:rPr>
          <w:rFonts w:ascii="Arial" w:hAnsi="Arial" w:cs="Arial"/>
          <w:spacing w:val="-7"/>
          <w:sz w:val="20"/>
        </w:rPr>
        <w:t xml:space="preserve"> </w:t>
      </w:r>
      <w:r w:rsidRPr="00455D53">
        <w:rPr>
          <w:rFonts w:ascii="Arial" w:hAnsi="Arial" w:cs="Arial"/>
          <w:sz w:val="20"/>
        </w:rPr>
        <w:t>maintenance</w:t>
      </w:r>
      <w:r w:rsidRPr="00455D53">
        <w:rPr>
          <w:rFonts w:ascii="Arial" w:hAnsi="Arial" w:cs="Arial"/>
          <w:spacing w:val="-10"/>
          <w:sz w:val="20"/>
        </w:rPr>
        <w:t xml:space="preserve"> </w:t>
      </w:r>
      <w:r w:rsidRPr="00455D53">
        <w:rPr>
          <w:rFonts w:ascii="Arial" w:hAnsi="Arial" w:cs="Arial"/>
          <w:sz w:val="20"/>
        </w:rPr>
        <w:t>organisation</w:t>
      </w:r>
      <w:r w:rsidRPr="00455D53">
        <w:rPr>
          <w:rFonts w:ascii="Arial" w:hAnsi="Arial" w:cs="Arial"/>
          <w:spacing w:val="-8"/>
          <w:sz w:val="20"/>
        </w:rPr>
        <w:t xml:space="preserve"> </w:t>
      </w:r>
      <w:r w:rsidRPr="00455D53">
        <w:rPr>
          <w:rFonts w:ascii="Arial" w:hAnsi="Arial" w:cs="Arial"/>
          <w:sz w:val="20"/>
        </w:rPr>
        <w:t>and</w:t>
      </w:r>
      <w:r w:rsidRPr="00455D53">
        <w:rPr>
          <w:rFonts w:ascii="Arial" w:hAnsi="Arial" w:cs="Arial"/>
          <w:spacing w:val="-8"/>
          <w:sz w:val="20"/>
        </w:rPr>
        <w:t xml:space="preserve"> </w:t>
      </w:r>
      <w:r w:rsidRPr="00455D53">
        <w:rPr>
          <w:rFonts w:ascii="Arial" w:hAnsi="Arial" w:cs="Arial"/>
          <w:sz w:val="20"/>
        </w:rPr>
        <w:t>certifying</w:t>
      </w:r>
      <w:r w:rsidRPr="00455D53">
        <w:rPr>
          <w:rFonts w:ascii="Arial" w:hAnsi="Arial" w:cs="Arial"/>
          <w:spacing w:val="-9"/>
          <w:sz w:val="20"/>
        </w:rPr>
        <w:t xml:space="preserve"> </w:t>
      </w:r>
      <w:r w:rsidRPr="00455D53">
        <w:rPr>
          <w:rFonts w:ascii="Arial" w:hAnsi="Arial" w:cs="Arial"/>
          <w:sz w:val="20"/>
        </w:rPr>
        <w:t>staff</w:t>
      </w:r>
      <w:r w:rsidRPr="00455D53">
        <w:rPr>
          <w:rFonts w:ascii="Arial" w:hAnsi="Arial" w:cs="Arial"/>
          <w:spacing w:val="-8"/>
          <w:sz w:val="20"/>
        </w:rPr>
        <w:t xml:space="preserve"> </w:t>
      </w:r>
      <w:r w:rsidRPr="00455D53">
        <w:rPr>
          <w:rFonts w:ascii="Arial" w:hAnsi="Arial" w:cs="Arial"/>
          <w:sz w:val="20"/>
        </w:rPr>
        <w:t>issuing</w:t>
      </w:r>
      <w:r w:rsidRPr="00455D53">
        <w:rPr>
          <w:rFonts w:ascii="Arial" w:hAnsi="Arial" w:cs="Arial"/>
          <w:spacing w:val="-47"/>
          <w:sz w:val="20"/>
        </w:rPr>
        <w:t xml:space="preserve"> </w:t>
      </w:r>
      <w:r w:rsidRPr="00455D53">
        <w:rPr>
          <w:rFonts w:ascii="Arial" w:hAnsi="Arial" w:cs="Arial"/>
          <w:sz w:val="20"/>
        </w:rPr>
        <w:t>the CRS;</w:t>
      </w:r>
    </w:p>
    <w:p w14:paraId="0A6FB0C6" w14:textId="77777777" w:rsidR="008D238F" w:rsidRPr="00455D53" w:rsidRDefault="008D238F" w:rsidP="003075E4">
      <w:pPr>
        <w:numPr>
          <w:ilvl w:val="2"/>
          <w:numId w:val="317"/>
        </w:numPr>
        <w:tabs>
          <w:tab w:val="left" w:pos="1842"/>
        </w:tabs>
        <w:spacing w:before="121"/>
        <w:ind w:right="44"/>
        <w:jc w:val="both"/>
        <w:rPr>
          <w:rFonts w:ascii="Arial" w:hAnsi="Arial" w:cs="Arial"/>
          <w:sz w:val="20"/>
        </w:rPr>
      </w:pPr>
      <w:r w:rsidRPr="00455D53">
        <w:rPr>
          <w:rFonts w:ascii="Arial" w:hAnsi="Arial" w:cs="Arial"/>
          <w:sz w:val="20"/>
        </w:rPr>
        <w:t>in</w:t>
      </w:r>
      <w:r w:rsidRPr="00455D53">
        <w:rPr>
          <w:rFonts w:ascii="Arial" w:hAnsi="Arial" w:cs="Arial"/>
          <w:spacing w:val="-7"/>
          <w:sz w:val="20"/>
        </w:rPr>
        <w:t xml:space="preserve"> </w:t>
      </w:r>
      <w:r w:rsidRPr="00455D53">
        <w:rPr>
          <w:rFonts w:ascii="Arial" w:hAnsi="Arial" w:cs="Arial"/>
          <w:sz w:val="20"/>
        </w:rPr>
        <w:t>the</w:t>
      </w:r>
      <w:r w:rsidRPr="00455D53">
        <w:rPr>
          <w:rFonts w:ascii="Arial" w:hAnsi="Arial" w:cs="Arial"/>
          <w:spacing w:val="-5"/>
          <w:sz w:val="20"/>
        </w:rPr>
        <w:t xml:space="preserve"> </w:t>
      </w:r>
      <w:r w:rsidRPr="00455D53">
        <w:rPr>
          <w:rFonts w:ascii="Arial" w:hAnsi="Arial" w:cs="Arial"/>
          <w:sz w:val="20"/>
        </w:rPr>
        <w:t>case</w:t>
      </w:r>
      <w:r w:rsidRPr="00455D53">
        <w:rPr>
          <w:rFonts w:ascii="Arial" w:hAnsi="Arial" w:cs="Arial"/>
          <w:spacing w:val="-4"/>
          <w:sz w:val="20"/>
        </w:rPr>
        <w:t xml:space="preserve"> </w:t>
      </w:r>
      <w:r w:rsidRPr="00455D53">
        <w:rPr>
          <w:rFonts w:ascii="Arial" w:hAnsi="Arial" w:cs="Arial"/>
          <w:sz w:val="20"/>
        </w:rPr>
        <w:t>of</w:t>
      </w:r>
      <w:r w:rsidRPr="00455D53">
        <w:rPr>
          <w:rFonts w:ascii="Arial" w:hAnsi="Arial" w:cs="Arial"/>
          <w:spacing w:val="-6"/>
          <w:sz w:val="20"/>
        </w:rPr>
        <w:t xml:space="preserve"> </w:t>
      </w:r>
      <w:r w:rsidRPr="00455D53">
        <w:rPr>
          <w:rFonts w:ascii="Arial" w:hAnsi="Arial" w:cs="Arial"/>
          <w:sz w:val="20"/>
        </w:rPr>
        <w:t>point</w:t>
      </w:r>
      <w:r w:rsidRPr="00455D53">
        <w:rPr>
          <w:rFonts w:ascii="Arial" w:hAnsi="Arial" w:cs="Arial"/>
          <w:spacing w:val="-4"/>
          <w:sz w:val="20"/>
        </w:rPr>
        <w:t xml:space="preserve"> </w:t>
      </w:r>
      <w:r w:rsidRPr="00455D53">
        <w:rPr>
          <w:rFonts w:ascii="Arial" w:hAnsi="Arial" w:cs="Arial"/>
          <w:sz w:val="20"/>
        </w:rPr>
        <w:t>(b)(2),</w:t>
      </w:r>
      <w:r w:rsidRPr="00455D53">
        <w:rPr>
          <w:rFonts w:ascii="Arial" w:hAnsi="Arial" w:cs="Arial"/>
          <w:spacing w:val="-4"/>
          <w:sz w:val="20"/>
        </w:rPr>
        <w:t xml:space="preserve"> </w:t>
      </w:r>
      <w:r w:rsidRPr="00455D53">
        <w:rPr>
          <w:rFonts w:ascii="Arial" w:hAnsi="Arial" w:cs="Arial"/>
          <w:sz w:val="20"/>
        </w:rPr>
        <w:t>the</w:t>
      </w:r>
      <w:r w:rsidRPr="00455D53">
        <w:rPr>
          <w:rFonts w:ascii="Arial" w:hAnsi="Arial" w:cs="Arial"/>
          <w:spacing w:val="-5"/>
          <w:sz w:val="20"/>
        </w:rPr>
        <w:t xml:space="preserve"> </w:t>
      </w:r>
      <w:r w:rsidRPr="00455D53">
        <w:rPr>
          <w:rFonts w:ascii="Arial" w:hAnsi="Arial" w:cs="Arial"/>
          <w:sz w:val="20"/>
        </w:rPr>
        <w:t>identity</w:t>
      </w:r>
      <w:r w:rsidRPr="00455D53">
        <w:rPr>
          <w:rFonts w:ascii="Arial" w:hAnsi="Arial" w:cs="Arial"/>
          <w:spacing w:val="-4"/>
          <w:sz w:val="20"/>
        </w:rPr>
        <w:t xml:space="preserve"> </w:t>
      </w:r>
      <w:r w:rsidRPr="00455D53">
        <w:rPr>
          <w:rFonts w:ascii="Arial" w:hAnsi="Arial" w:cs="Arial"/>
          <w:sz w:val="20"/>
        </w:rPr>
        <w:t>and,</w:t>
      </w:r>
      <w:r w:rsidRPr="00455D53">
        <w:rPr>
          <w:rFonts w:ascii="Arial" w:hAnsi="Arial" w:cs="Arial"/>
          <w:spacing w:val="-4"/>
          <w:sz w:val="20"/>
        </w:rPr>
        <w:t xml:space="preserve"> </w:t>
      </w:r>
      <w:r w:rsidRPr="00455D53">
        <w:rPr>
          <w:rFonts w:ascii="Arial" w:hAnsi="Arial" w:cs="Arial"/>
          <w:sz w:val="20"/>
        </w:rPr>
        <w:t>if</w:t>
      </w:r>
      <w:r w:rsidRPr="00455D53">
        <w:rPr>
          <w:rFonts w:ascii="Arial" w:hAnsi="Arial" w:cs="Arial"/>
          <w:spacing w:val="-6"/>
          <w:sz w:val="20"/>
        </w:rPr>
        <w:t xml:space="preserve"> </w:t>
      </w:r>
      <w:r w:rsidRPr="00455D53">
        <w:rPr>
          <w:rFonts w:ascii="Arial" w:hAnsi="Arial" w:cs="Arial"/>
          <w:sz w:val="20"/>
        </w:rPr>
        <w:t>applicable,</w:t>
      </w:r>
      <w:r w:rsidRPr="00455D53">
        <w:rPr>
          <w:rFonts w:ascii="Arial" w:hAnsi="Arial" w:cs="Arial"/>
          <w:spacing w:val="-4"/>
          <w:sz w:val="20"/>
        </w:rPr>
        <w:t xml:space="preserve"> </w:t>
      </w:r>
      <w:r w:rsidRPr="00455D53">
        <w:rPr>
          <w:rFonts w:ascii="Arial" w:hAnsi="Arial" w:cs="Arial"/>
          <w:sz w:val="20"/>
        </w:rPr>
        <w:t>the</w:t>
      </w:r>
      <w:r w:rsidRPr="00455D53">
        <w:rPr>
          <w:rFonts w:ascii="Arial" w:hAnsi="Arial" w:cs="Arial"/>
          <w:spacing w:val="-5"/>
          <w:sz w:val="20"/>
        </w:rPr>
        <w:t xml:space="preserve"> </w:t>
      </w:r>
      <w:r w:rsidRPr="00455D53">
        <w:rPr>
          <w:rFonts w:ascii="Arial" w:hAnsi="Arial" w:cs="Arial"/>
          <w:sz w:val="20"/>
        </w:rPr>
        <w:t>licence</w:t>
      </w:r>
      <w:r w:rsidRPr="00455D53">
        <w:rPr>
          <w:rFonts w:ascii="Arial" w:hAnsi="Arial" w:cs="Arial"/>
          <w:spacing w:val="-5"/>
          <w:sz w:val="20"/>
        </w:rPr>
        <w:t xml:space="preserve"> </w:t>
      </w:r>
      <w:r w:rsidRPr="00455D53">
        <w:rPr>
          <w:rFonts w:ascii="Arial" w:hAnsi="Arial" w:cs="Arial"/>
          <w:sz w:val="20"/>
        </w:rPr>
        <w:t>number</w:t>
      </w:r>
      <w:r w:rsidRPr="00455D53">
        <w:rPr>
          <w:rFonts w:ascii="Arial" w:hAnsi="Arial" w:cs="Arial"/>
          <w:spacing w:val="-7"/>
          <w:sz w:val="20"/>
        </w:rPr>
        <w:t xml:space="preserve"> </w:t>
      </w:r>
      <w:r w:rsidRPr="00455D53">
        <w:rPr>
          <w:rFonts w:ascii="Arial" w:hAnsi="Arial" w:cs="Arial"/>
          <w:sz w:val="20"/>
        </w:rPr>
        <w:t>of</w:t>
      </w:r>
      <w:r w:rsidRPr="00455D53">
        <w:rPr>
          <w:rFonts w:ascii="Arial" w:hAnsi="Arial" w:cs="Arial"/>
          <w:spacing w:val="-5"/>
          <w:sz w:val="20"/>
        </w:rPr>
        <w:t xml:space="preserve"> </w:t>
      </w:r>
      <w:r w:rsidRPr="00455D53">
        <w:rPr>
          <w:rFonts w:ascii="Arial" w:hAnsi="Arial" w:cs="Arial"/>
          <w:sz w:val="20"/>
        </w:rPr>
        <w:t>the</w:t>
      </w:r>
      <w:r w:rsidRPr="00455D53">
        <w:rPr>
          <w:rFonts w:ascii="Arial" w:hAnsi="Arial" w:cs="Arial"/>
          <w:spacing w:val="-47"/>
          <w:sz w:val="20"/>
        </w:rPr>
        <w:t xml:space="preserve"> </w:t>
      </w:r>
      <w:r w:rsidRPr="00455D53">
        <w:rPr>
          <w:rFonts w:ascii="Arial" w:hAnsi="Arial" w:cs="Arial"/>
          <w:sz w:val="20"/>
        </w:rPr>
        <w:t>independent</w:t>
      </w:r>
      <w:r w:rsidRPr="00455D53">
        <w:rPr>
          <w:rFonts w:ascii="Arial" w:hAnsi="Arial" w:cs="Arial"/>
          <w:spacing w:val="-1"/>
          <w:sz w:val="20"/>
        </w:rPr>
        <w:t xml:space="preserve"> </w:t>
      </w:r>
      <w:r w:rsidRPr="00455D53">
        <w:rPr>
          <w:rFonts w:ascii="Arial" w:hAnsi="Arial" w:cs="Arial"/>
          <w:sz w:val="20"/>
        </w:rPr>
        <w:t>certifying</w:t>
      </w:r>
      <w:r w:rsidRPr="00455D53">
        <w:rPr>
          <w:rFonts w:ascii="Arial" w:hAnsi="Arial" w:cs="Arial"/>
          <w:spacing w:val="-1"/>
          <w:sz w:val="20"/>
        </w:rPr>
        <w:t xml:space="preserve"> </w:t>
      </w:r>
      <w:r w:rsidRPr="00455D53">
        <w:rPr>
          <w:rFonts w:ascii="Arial" w:hAnsi="Arial" w:cs="Arial"/>
          <w:sz w:val="20"/>
        </w:rPr>
        <w:t>staff issuing</w:t>
      </w:r>
      <w:r w:rsidRPr="00455D53">
        <w:rPr>
          <w:rFonts w:ascii="Arial" w:hAnsi="Arial" w:cs="Arial"/>
          <w:spacing w:val="-1"/>
          <w:sz w:val="20"/>
        </w:rPr>
        <w:t xml:space="preserve"> </w:t>
      </w:r>
      <w:r w:rsidRPr="00455D53">
        <w:rPr>
          <w:rFonts w:ascii="Arial" w:hAnsi="Arial" w:cs="Arial"/>
          <w:sz w:val="20"/>
        </w:rPr>
        <w:t>the</w:t>
      </w:r>
      <w:r w:rsidRPr="00455D53">
        <w:rPr>
          <w:rFonts w:ascii="Arial" w:hAnsi="Arial" w:cs="Arial"/>
          <w:spacing w:val="1"/>
          <w:sz w:val="20"/>
        </w:rPr>
        <w:t xml:space="preserve"> </w:t>
      </w:r>
      <w:r w:rsidRPr="00455D53">
        <w:rPr>
          <w:rFonts w:ascii="Arial" w:hAnsi="Arial" w:cs="Arial"/>
          <w:sz w:val="20"/>
        </w:rPr>
        <w:t>CRS;</w:t>
      </w:r>
    </w:p>
    <w:p w14:paraId="79DD3F5E" w14:textId="77777777" w:rsidR="008D238F" w:rsidRPr="00455D53" w:rsidRDefault="008D238F" w:rsidP="003075E4">
      <w:pPr>
        <w:numPr>
          <w:ilvl w:val="1"/>
          <w:numId w:val="317"/>
        </w:numPr>
        <w:tabs>
          <w:tab w:val="left" w:pos="1274"/>
        </w:tabs>
        <w:spacing w:before="120"/>
        <w:ind w:right="44" w:hanging="568"/>
        <w:jc w:val="both"/>
        <w:rPr>
          <w:rFonts w:ascii="Arial" w:hAnsi="Arial" w:cs="Arial"/>
          <w:sz w:val="20"/>
        </w:rPr>
      </w:pPr>
      <w:r w:rsidRPr="00455D53">
        <w:rPr>
          <w:rFonts w:ascii="Arial" w:hAnsi="Arial" w:cs="Arial"/>
          <w:sz w:val="20"/>
        </w:rPr>
        <w:t>the</w:t>
      </w:r>
      <w:r w:rsidRPr="00455D53">
        <w:rPr>
          <w:rFonts w:ascii="Arial" w:hAnsi="Arial" w:cs="Arial"/>
          <w:spacing w:val="-2"/>
          <w:sz w:val="20"/>
        </w:rPr>
        <w:t xml:space="preserve"> </w:t>
      </w:r>
      <w:r w:rsidRPr="00455D53">
        <w:rPr>
          <w:rFonts w:ascii="Arial" w:hAnsi="Arial" w:cs="Arial"/>
          <w:sz w:val="20"/>
        </w:rPr>
        <w:t>limitations</w:t>
      </w:r>
      <w:r w:rsidRPr="00455D53">
        <w:rPr>
          <w:rFonts w:ascii="Arial" w:hAnsi="Arial" w:cs="Arial"/>
          <w:spacing w:val="-1"/>
          <w:sz w:val="20"/>
        </w:rPr>
        <w:t xml:space="preserve"> </w:t>
      </w:r>
      <w:r w:rsidRPr="00455D53">
        <w:rPr>
          <w:rFonts w:ascii="Arial" w:hAnsi="Arial" w:cs="Arial"/>
          <w:sz w:val="20"/>
        </w:rPr>
        <w:t>to airworthiness or</w:t>
      </w:r>
      <w:r w:rsidRPr="00455D53">
        <w:rPr>
          <w:rFonts w:ascii="Arial" w:hAnsi="Arial" w:cs="Arial"/>
          <w:spacing w:val="-4"/>
          <w:sz w:val="20"/>
        </w:rPr>
        <w:t xml:space="preserve"> </w:t>
      </w:r>
      <w:r w:rsidRPr="00455D53">
        <w:rPr>
          <w:rFonts w:ascii="Arial" w:hAnsi="Arial" w:cs="Arial"/>
          <w:sz w:val="20"/>
        </w:rPr>
        <w:t>operations,</w:t>
      </w:r>
      <w:r w:rsidRPr="00455D53">
        <w:rPr>
          <w:rFonts w:ascii="Arial" w:hAnsi="Arial" w:cs="Arial"/>
          <w:spacing w:val="-2"/>
          <w:sz w:val="20"/>
        </w:rPr>
        <w:t xml:space="preserve"> </w:t>
      </w:r>
      <w:r w:rsidRPr="00455D53">
        <w:rPr>
          <w:rFonts w:ascii="Arial" w:hAnsi="Arial" w:cs="Arial"/>
          <w:sz w:val="20"/>
        </w:rPr>
        <w:t>if</w:t>
      </w:r>
      <w:r w:rsidRPr="00455D53">
        <w:rPr>
          <w:rFonts w:ascii="Arial" w:hAnsi="Arial" w:cs="Arial"/>
          <w:spacing w:val="-1"/>
          <w:sz w:val="20"/>
        </w:rPr>
        <w:t xml:space="preserve"> </w:t>
      </w:r>
      <w:r w:rsidRPr="00455D53">
        <w:rPr>
          <w:rFonts w:ascii="Arial" w:hAnsi="Arial" w:cs="Arial"/>
          <w:sz w:val="20"/>
        </w:rPr>
        <w:t>any.</w:t>
      </w:r>
    </w:p>
    <w:p w14:paraId="37D4F621" w14:textId="77777777" w:rsidR="008D238F" w:rsidRPr="00455D53" w:rsidRDefault="008D238F" w:rsidP="003075E4">
      <w:pPr>
        <w:pStyle w:val="ListParagraph"/>
        <w:numPr>
          <w:ilvl w:val="0"/>
          <w:numId w:val="317"/>
        </w:numPr>
        <w:tabs>
          <w:tab w:val="left" w:pos="707"/>
        </w:tabs>
        <w:spacing w:before="57"/>
        <w:ind w:right="44"/>
        <w:jc w:val="both"/>
        <w:rPr>
          <w:rFonts w:ascii="Arial" w:hAnsi="Arial" w:cs="Arial"/>
          <w:sz w:val="20"/>
        </w:rPr>
      </w:pPr>
      <w:r w:rsidRPr="00455D53">
        <w:rPr>
          <w:rFonts w:ascii="Arial" w:hAnsi="Arial" w:cs="Arial"/>
          <w:sz w:val="20"/>
        </w:rPr>
        <w:t>By derogation from point (a) and notwithstanding point (g), when the required maintenance</w:t>
      </w:r>
      <w:r w:rsidRPr="00455D53">
        <w:rPr>
          <w:rFonts w:ascii="Arial" w:hAnsi="Arial" w:cs="Arial"/>
          <w:spacing w:val="1"/>
          <w:sz w:val="20"/>
        </w:rPr>
        <w:t xml:space="preserve"> </w:t>
      </w:r>
      <w:r w:rsidRPr="00455D53">
        <w:rPr>
          <w:rFonts w:ascii="Arial" w:hAnsi="Arial" w:cs="Arial"/>
          <w:sz w:val="20"/>
        </w:rPr>
        <w:t>cannot</w:t>
      </w:r>
      <w:r w:rsidRPr="00455D53">
        <w:rPr>
          <w:rFonts w:ascii="Arial" w:hAnsi="Arial" w:cs="Arial"/>
          <w:spacing w:val="-7"/>
          <w:sz w:val="20"/>
        </w:rPr>
        <w:t xml:space="preserve"> </w:t>
      </w:r>
      <w:r w:rsidRPr="00455D53">
        <w:rPr>
          <w:rFonts w:ascii="Arial" w:hAnsi="Arial" w:cs="Arial"/>
          <w:sz w:val="20"/>
        </w:rPr>
        <w:t>be</w:t>
      </w:r>
      <w:r w:rsidRPr="00455D53">
        <w:rPr>
          <w:rFonts w:ascii="Arial" w:hAnsi="Arial" w:cs="Arial"/>
          <w:spacing w:val="-7"/>
          <w:sz w:val="20"/>
        </w:rPr>
        <w:t xml:space="preserve"> </w:t>
      </w:r>
      <w:r w:rsidRPr="00455D53">
        <w:rPr>
          <w:rFonts w:ascii="Arial" w:hAnsi="Arial" w:cs="Arial"/>
          <w:sz w:val="20"/>
        </w:rPr>
        <w:t>completed,</w:t>
      </w:r>
      <w:r w:rsidRPr="00455D53">
        <w:rPr>
          <w:rFonts w:ascii="Arial" w:hAnsi="Arial" w:cs="Arial"/>
          <w:spacing w:val="-7"/>
          <w:sz w:val="20"/>
        </w:rPr>
        <w:t xml:space="preserve"> </w:t>
      </w:r>
      <w:r w:rsidRPr="00455D53">
        <w:rPr>
          <w:rFonts w:ascii="Arial" w:hAnsi="Arial" w:cs="Arial"/>
          <w:sz w:val="20"/>
        </w:rPr>
        <w:t>a</w:t>
      </w:r>
      <w:r w:rsidRPr="00455D53">
        <w:rPr>
          <w:rFonts w:ascii="Arial" w:hAnsi="Arial" w:cs="Arial"/>
          <w:spacing w:val="-11"/>
          <w:sz w:val="20"/>
        </w:rPr>
        <w:t xml:space="preserve"> </w:t>
      </w:r>
      <w:r w:rsidRPr="00455D53">
        <w:rPr>
          <w:rFonts w:ascii="Arial" w:hAnsi="Arial" w:cs="Arial"/>
          <w:sz w:val="20"/>
        </w:rPr>
        <w:t>CRS</w:t>
      </w:r>
      <w:r w:rsidRPr="00455D53">
        <w:rPr>
          <w:rFonts w:ascii="Arial" w:hAnsi="Arial" w:cs="Arial"/>
          <w:spacing w:val="-8"/>
          <w:sz w:val="20"/>
        </w:rPr>
        <w:t xml:space="preserve"> </w:t>
      </w:r>
      <w:r w:rsidRPr="00455D53">
        <w:rPr>
          <w:rFonts w:ascii="Arial" w:hAnsi="Arial" w:cs="Arial"/>
          <w:sz w:val="20"/>
        </w:rPr>
        <w:t>may</w:t>
      </w:r>
      <w:r w:rsidRPr="00455D53">
        <w:rPr>
          <w:rFonts w:ascii="Arial" w:hAnsi="Arial" w:cs="Arial"/>
          <w:spacing w:val="-7"/>
          <w:sz w:val="20"/>
        </w:rPr>
        <w:t xml:space="preserve"> </w:t>
      </w:r>
      <w:r w:rsidRPr="00455D53">
        <w:rPr>
          <w:rFonts w:ascii="Arial" w:hAnsi="Arial" w:cs="Arial"/>
          <w:sz w:val="20"/>
        </w:rPr>
        <w:t>be</w:t>
      </w:r>
      <w:r w:rsidRPr="00455D53">
        <w:rPr>
          <w:rFonts w:ascii="Arial" w:hAnsi="Arial" w:cs="Arial"/>
          <w:spacing w:val="-9"/>
          <w:sz w:val="20"/>
        </w:rPr>
        <w:t xml:space="preserve"> </w:t>
      </w:r>
      <w:r w:rsidRPr="00455D53">
        <w:rPr>
          <w:rFonts w:ascii="Arial" w:hAnsi="Arial" w:cs="Arial"/>
          <w:sz w:val="20"/>
        </w:rPr>
        <w:t>issued</w:t>
      </w:r>
      <w:r w:rsidRPr="00455D53">
        <w:rPr>
          <w:rFonts w:ascii="Arial" w:hAnsi="Arial" w:cs="Arial"/>
          <w:spacing w:val="-10"/>
          <w:sz w:val="20"/>
        </w:rPr>
        <w:t xml:space="preserve"> </w:t>
      </w:r>
      <w:r w:rsidRPr="00455D53">
        <w:rPr>
          <w:rFonts w:ascii="Arial" w:hAnsi="Arial" w:cs="Arial"/>
          <w:sz w:val="20"/>
        </w:rPr>
        <w:t>within</w:t>
      </w:r>
      <w:r w:rsidRPr="00455D53">
        <w:rPr>
          <w:rFonts w:ascii="Arial" w:hAnsi="Arial" w:cs="Arial"/>
          <w:spacing w:val="-11"/>
          <w:sz w:val="20"/>
        </w:rPr>
        <w:t xml:space="preserve"> </w:t>
      </w:r>
      <w:r w:rsidRPr="00455D53">
        <w:rPr>
          <w:rFonts w:ascii="Arial" w:hAnsi="Arial" w:cs="Arial"/>
          <w:sz w:val="20"/>
        </w:rPr>
        <w:t>the</w:t>
      </w:r>
      <w:r w:rsidRPr="00455D53">
        <w:rPr>
          <w:rFonts w:ascii="Arial" w:hAnsi="Arial" w:cs="Arial"/>
          <w:spacing w:val="-10"/>
          <w:sz w:val="20"/>
        </w:rPr>
        <w:t xml:space="preserve"> </w:t>
      </w:r>
      <w:r w:rsidRPr="00455D53">
        <w:rPr>
          <w:rFonts w:ascii="Arial" w:hAnsi="Arial" w:cs="Arial"/>
          <w:sz w:val="20"/>
        </w:rPr>
        <w:t>approved</w:t>
      </w:r>
      <w:r w:rsidRPr="00455D53">
        <w:rPr>
          <w:rFonts w:ascii="Arial" w:hAnsi="Arial" w:cs="Arial"/>
          <w:spacing w:val="-10"/>
          <w:sz w:val="20"/>
        </w:rPr>
        <w:t xml:space="preserve"> </w:t>
      </w:r>
      <w:r w:rsidRPr="00455D53">
        <w:rPr>
          <w:rFonts w:ascii="Arial" w:hAnsi="Arial" w:cs="Arial"/>
          <w:sz w:val="20"/>
        </w:rPr>
        <w:t>aircraft</w:t>
      </w:r>
      <w:r w:rsidRPr="00455D53">
        <w:rPr>
          <w:rFonts w:ascii="Arial" w:hAnsi="Arial" w:cs="Arial"/>
          <w:spacing w:val="-10"/>
          <w:sz w:val="20"/>
        </w:rPr>
        <w:t xml:space="preserve"> </w:t>
      </w:r>
      <w:r w:rsidRPr="00455D53">
        <w:rPr>
          <w:rFonts w:ascii="Arial" w:hAnsi="Arial" w:cs="Arial"/>
          <w:sz w:val="20"/>
        </w:rPr>
        <w:t>limitations.</w:t>
      </w:r>
      <w:r w:rsidRPr="00455D53">
        <w:rPr>
          <w:rFonts w:ascii="Arial" w:hAnsi="Arial" w:cs="Arial"/>
          <w:spacing w:val="-8"/>
          <w:sz w:val="20"/>
        </w:rPr>
        <w:t xml:space="preserve"> </w:t>
      </w:r>
      <w:r w:rsidRPr="00455D53">
        <w:rPr>
          <w:rFonts w:ascii="Arial" w:hAnsi="Arial" w:cs="Arial"/>
          <w:sz w:val="20"/>
        </w:rPr>
        <w:t>In</w:t>
      </w:r>
      <w:r w:rsidRPr="00455D53">
        <w:rPr>
          <w:rFonts w:ascii="Arial" w:hAnsi="Arial" w:cs="Arial"/>
          <w:spacing w:val="-8"/>
          <w:sz w:val="20"/>
        </w:rPr>
        <w:t xml:space="preserve"> </w:t>
      </w:r>
      <w:r w:rsidRPr="00455D53">
        <w:rPr>
          <w:rFonts w:ascii="Arial" w:hAnsi="Arial" w:cs="Arial"/>
          <w:sz w:val="20"/>
        </w:rPr>
        <w:t>that</w:t>
      </w:r>
      <w:r w:rsidRPr="00455D53">
        <w:rPr>
          <w:rFonts w:ascii="Arial" w:hAnsi="Arial" w:cs="Arial"/>
          <w:spacing w:val="-10"/>
          <w:sz w:val="20"/>
        </w:rPr>
        <w:t xml:space="preserve"> </w:t>
      </w:r>
      <w:r w:rsidRPr="00455D53">
        <w:rPr>
          <w:rFonts w:ascii="Arial" w:hAnsi="Arial" w:cs="Arial"/>
          <w:sz w:val="20"/>
        </w:rPr>
        <w:t>case,</w:t>
      </w:r>
      <w:r w:rsidRPr="00455D53">
        <w:rPr>
          <w:rFonts w:ascii="Arial" w:hAnsi="Arial" w:cs="Arial"/>
          <w:spacing w:val="-47"/>
          <w:sz w:val="20"/>
        </w:rPr>
        <w:t xml:space="preserve"> </w:t>
      </w:r>
      <w:r w:rsidRPr="00455D53">
        <w:rPr>
          <w:rFonts w:ascii="Arial" w:hAnsi="Arial" w:cs="Arial"/>
          <w:sz w:val="20"/>
        </w:rPr>
        <w:t>the CRS shall indicate that the maintenance could not be completed, as well as indicate any</w:t>
      </w:r>
      <w:r w:rsidRPr="00455D53">
        <w:rPr>
          <w:rFonts w:ascii="Arial" w:hAnsi="Arial" w:cs="Arial"/>
          <w:spacing w:val="1"/>
          <w:sz w:val="20"/>
        </w:rPr>
        <w:t xml:space="preserve"> </w:t>
      </w:r>
      <w:r w:rsidRPr="00455D53">
        <w:rPr>
          <w:rFonts w:ascii="Arial" w:hAnsi="Arial" w:cs="Arial"/>
          <w:sz w:val="20"/>
        </w:rPr>
        <w:t>applicable airworthiness or operations limitations, as part of the information required in point</w:t>
      </w:r>
      <w:r w:rsidRPr="00455D53">
        <w:rPr>
          <w:rFonts w:ascii="Arial" w:hAnsi="Arial" w:cs="Arial"/>
          <w:spacing w:val="1"/>
          <w:sz w:val="20"/>
        </w:rPr>
        <w:t xml:space="preserve"> </w:t>
      </w:r>
      <w:r w:rsidRPr="00455D53">
        <w:rPr>
          <w:rFonts w:ascii="Arial" w:hAnsi="Arial" w:cs="Arial"/>
          <w:sz w:val="20"/>
        </w:rPr>
        <w:t>(e)(4)</w:t>
      </w:r>
      <w:r w:rsidRPr="00455D53">
        <w:rPr>
          <w:rFonts w:ascii="Arial" w:hAnsi="Arial" w:cs="Arial"/>
          <w:spacing w:val="-1"/>
          <w:sz w:val="20"/>
        </w:rPr>
        <w:t xml:space="preserve"> </w:t>
      </w:r>
      <w:r w:rsidRPr="00455D53">
        <w:rPr>
          <w:rFonts w:ascii="Arial" w:hAnsi="Arial" w:cs="Arial"/>
          <w:sz w:val="20"/>
        </w:rPr>
        <w:t>.</w:t>
      </w:r>
    </w:p>
    <w:p w14:paraId="7FF328ED" w14:textId="77777777" w:rsidR="008D238F" w:rsidRPr="00455D53" w:rsidRDefault="008D238F" w:rsidP="003075E4">
      <w:pPr>
        <w:pStyle w:val="ListParagraph"/>
        <w:numPr>
          <w:ilvl w:val="0"/>
          <w:numId w:val="317"/>
        </w:numPr>
        <w:tabs>
          <w:tab w:val="left" w:pos="707"/>
        </w:tabs>
        <w:spacing w:before="119"/>
        <w:ind w:right="44"/>
        <w:jc w:val="both"/>
        <w:rPr>
          <w:rFonts w:ascii="Arial" w:hAnsi="Arial" w:cs="Arial"/>
          <w:sz w:val="20"/>
        </w:rPr>
      </w:pPr>
      <w:r w:rsidRPr="00455D53">
        <w:rPr>
          <w:rFonts w:ascii="Arial" w:hAnsi="Arial" w:cs="Arial"/>
          <w:sz w:val="20"/>
        </w:rPr>
        <w:t>A CRS shall not be issued in the case of any known non-compliance with the requirements of</w:t>
      </w:r>
      <w:r w:rsidRPr="00455D53">
        <w:rPr>
          <w:rFonts w:ascii="Arial" w:hAnsi="Arial" w:cs="Arial"/>
          <w:spacing w:val="1"/>
          <w:sz w:val="20"/>
        </w:rPr>
        <w:t xml:space="preserve"> </w:t>
      </w:r>
      <w:r w:rsidRPr="00455D53">
        <w:rPr>
          <w:rFonts w:ascii="Arial" w:hAnsi="Arial" w:cs="Arial"/>
          <w:sz w:val="20"/>
        </w:rPr>
        <w:t>this</w:t>
      </w:r>
      <w:r w:rsidRPr="00455D53">
        <w:rPr>
          <w:rFonts w:ascii="Arial" w:hAnsi="Arial" w:cs="Arial"/>
          <w:spacing w:val="-1"/>
          <w:sz w:val="20"/>
        </w:rPr>
        <w:t xml:space="preserve"> </w:t>
      </w:r>
      <w:r w:rsidRPr="00455D53">
        <w:rPr>
          <w:rFonts w:ascii="Arial" w:hAnsi="Arial" w:cs="Arial"/>
          <w:sz w:val="20"/>
        </w:rPr>
        <w:t>Annex</w:t>
      </w:r>
      <w:r w:rsidRPr="00455D53">
        <w:rPr>
          <w:rFonts w:ascii="Arial" w:hAnsi="Arial" w:cs="Arial"/>
          <w:spacing w:val="-2"/>
          <w:sz w:val="20"/>
        </w:rPr>
        <w:t xml:space="preserve"> </w:t>
      </w:r>
      <w:r w:rsidRPr="00455D53">
        <w:rPr>
          <w:rFonts w:ascii="Arial" w:hAnsi="Arial" w:cs="Arial"/>
          <w:sz w:val="20"/>
        </w:rPr>
        <w:t>which</w:t>
      </w:r>
      <w:r w:rsidRPr="00455D53">
        <w:rPr>
          <w:rFonts w:ascii="Arial" w:hAnsi="Arial" w:cs="Arial"/>
          <w:spacing w:val="-1"/>
          <w:sz w:val="20"/>
        </w:rPr>
        <w:t xml:space="preserve"> </w:t>
      </w:r>
      <w:r w:rsidRPr="00455D53">
        <w:rPr>
          <w:rFonts w:ascii="Arial" w:hAnsi="Arial" w:cs="Arial"/>
          <w:sz w:val="20"/>
        </w:rPr>
        <w:t>endangers flight safety.</w:t>
      </w:r>
    </w:p>
    <w:p w14:paraId="2E75FD3E" w14:textId="77777777" w:rsidR="008D238F" w:rsidRDefault="008D238F" w:rsidP="008D238F">
      <w:pPr>
        <w:jc w:val="both"/>
        <w:rPr>
          <w:rFonts w:ascii="Arial" w:eastAsia="Times New Roman" w:hAnsi="Arial" w:cs="Times New Roman"/>
          <w:sz w:val="18"/>
        </w:rPr>
      </w:pPr>
    </w:p>
    <w:p w14:paraId="7F80F1C9" w14:textId="77777777" w:rsidR="00B229C2" w:rsidRPr="00B229C2" w:rsidRDefault="00B229C2" w:rsidP="00B229C2">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902" w:name="_Toc153137545"/>
      <w:r w:rsidRPr="00B229C2">
        <w:rPr>
          <w:rFonts w:ascii="Arial" w:eastAsia="Times New Roman" w:hAnsi="Arial" w:cs="Times New Roman"/>
          <w:b/>
          <w:color w:val="FFFFFF"/>
          <w:sz w:val="24"/>
        </w:rPr>
        <w:t>AMC1 ML.A.801 Aircraft certificate of release to service</w:t>
      </w:r>
      <w:bookmarkEnd w:id="902"/>
      <w:r w:rsidRPr="00B229C2">
        <w:rPr>
          <w:rFonts w:ascii="Arial" w:eastAsia="Times New Roman" w:hAnsi="Arial" w:cs="Times New Roman"/>
          <w:b/>
          <w:color w:val="FFFFFF"/>
          <w:sz w:val="24"/>
        </w:rPr>
        <w:tab/>
      </w:r>
    </w:p>
    <w:p w14:paraId="10C8AA0D" w14:textId="77777777" w:rsidR="00B229C2" w:rsidRPr="00B229C2" w:rsidRDefault="00B229C2" w:rsidP="00B229C2">
      <w:pPr>
        <w:widowControl/>
        <w:autoSpaceDE/>
        <w:autoSpaceDN/>
        <w:spacing w:before="240" w:after="160" w:line="264" w:lineRule="auto"/>
        <w:jc w:val="both"/>
        <w:rPr>
          <w:rFonts w:ascii="Arial" w:eastAsiaTheme="minorHAnsi" w:hAnsi="Arial" w:cs="Arial"/>
          <w:b/>
          <w:bCs/>
          <w:sz w:val="20"/>
          <w:szCs w:val="20"/>
        </w:rPr>
      </w:pPr>
      <w:r w:rsidRPr="00B229C2">
        <w:rPr>
          <w:rFonts w:ascii="Arial" w:eastAsiaTheme="minorHAnsi" w:hAnsi="Arial" w:cs="Arial"/>
          <w:b/>
          <w:bCs/>
          <w:sz w:val="20"/>
          <w:szCs w:val="20"/>
        </w:rPr>
        <w:t>AIRCRAFT CERTIFICATE OF RELEASE TO SERVICE (CRS) AFTER EMBODIMENT OF A STANDARD CHANGE OR A STANDARD REPAIR (SC/SR)</w:t>
      </w:r>
    </w:p>
    <w:p w14:paraId="7D307C47" w14:textId="77777777" w:rsidR="00B229C2" w:rsidRPr="00B229C2" w:rsidRDefault="00B229C2" w:rsidP="003075E4">
      <w:pPr>
        <w:pStyle w:val="BodyText"/>
        <w:numPr>
          <w:ilvl w:val="0"/>
          <w:numId w:val="319"/>
        </w:numPr>
        <w:ind w:right="44"/>
        <w:jc w:val="both"/>
        <w:rPr>
          <w:rFonts w:ascii="Arial" w:eastAsiaTheme="minorHAnsi" w:hAnsi="Arial" w:cs="Arial"/>
          <w:b/>
          <w:bCs/>
          <w:sz w:val="20"/>
          <w:szCs w:val="20"/>
        </w:rPr>
      </w:pPr>
      <w:r w:rsidRPr="00B229C2">
        <w:rPr>
          <w:rFonts w:ascii="Arial" w:eastAsiaTheme="minorHAnsi" w:hAnsi="Arial" w:cs="Arial"/>
          <w:b/>
          <w:bCs/>
          <w:sz w:val="20"/>
          <w:szCs w:val="20"/>
        </w:rPr>
        <w:t>Release to service and eligible persons</w:t>
      </w:r>
    </w:p>
    <w:p w14:paraId="481C9B8A" w14:textId="77777777" w:rsidR="00B229C2" w:rsidRPr="00B229C2" w:rsidRDefault="00B229C2" w:rsidP="003075E4">
      <w:pPr>
        <w:spacing w:before="121"/>
        <w:ind w:left="706" w:right="44"/>
        <w:jc w:val="both"/>
        <w:rPr>
          <w:rFonts w:ascii="Arial" w:hAnsi="Arial" w:cs="Arial"/>
          <w:sz w:val="20"/>
          <w:szCs w:val="20"/>
        </w:rPr>
      </w:pPr>
      <w:r w:rsidRPr="00B229C2">
        <w:rPr>
          <w:rFonts w:ascii="Arial" w:hAnsi="Arial" w:cs="Arial"/>
          <w:sz w:val="20"/>
          <w:szCs w:val="20"/>
        </w:rPr>
        <w:t>Only natural or legal persons entitled to release to service an aircraft after maintenance (see</w:t>
      </w:r>
      <w:r w:rsidRPr="00B229C2">
        <w:rPr>
          <w:rFonts w:ascii="Arial" w:hAnsi="Arial" w:cs="Arial"/>
          <w:spacing w:val="1"/>
          <w:sz w:val="20"/>
          <w:szCs w:val="20"/>
        </w:rPr>
        <w:t xml:space="preserve"> </w:t>
      </w:r>
      <w:r w:rsidRPr="00B229C2">
        <w:rPr>
          <w:rFonts w:ascii="Arial" w:hAnsi="Arial" w:cs="Arial"/>
          <w:sz w:val="20"/>
          <w:szCs w:val="20"/>
        </w:rPr>
        <w:lastRenderedPageBreak/>
        <w:t>ML.A.801(b)) are considered as an eligible installer responsible for the embodiment of a SC/SR</w:t>
      </w:r>
      <w:r w:rsidRPr="00B229C2">
        <w:rPr>
          <w:rFonts w:ascii="Arial" w:hAnsi="Arial" w:cs="Arial"/>
          <w:spacing w:val="-47"/>
          <w:sz w:val="20"/>
          <w:szCs w:val="20"/>
        </w:rPr>
        <w:t xml:space="preserve"> </w:t>
      </w:r>
      <w:r w:rsidRPr="00B229C2">
        <w:rPr>
          <w:rFonts w:ascii="Arial" w:hAnsi="Arial" w:cs="Arial"/>
          <w:sz w:val="20"/>
          <w:szCs w:val="20"/>
        </w:rPr>
        <w:t>when</w:t>
      </w:r>
      <w:r w:rsidRPr="00B229C2">
        <w:rPr>
          <w:rFonts w:ascii="Arial" w:hAnsi="Arial" w:cs="Arial"/>
          <w:spacing w:val="-1"/>
          <w:sz w:val="20"/>
          <w:szCs w:val="20"/>
        </w:rPr>
        <w:t xml:space="preserve"> </w:t>
      </w:r>
      <w:r w:rsidRPr="00B229C2">
        <w:rPr>
          <w:rFonts w:ascii="Arial" w:hAnsi="Arial" w:cs="Arial"/>
          <w:sz w:val="20"/>
          <w:szCs w:val="20"/>
        </w:rPr>
        <w:t>in</w:t>
      </w:r>
      <w:r w:rsidRPr="00B229C2">
        <w:rPr>
          <w:rFonts w:ascii="Arial" w:hAnsi="Arial" w:cs="Arial"/>
          <w:spacing w:val="-1"/>
          <w:sz w:val="20"/>
          <w:szCs w:val="20"/>
        </w:rPr>
        <w:t xml:space="preserve"> </w:t>
      </w:r>
      <w:r w:rsidRPr="00B229C2">
        <w:rPr>
          <w:rFonts w:ascii="Arial" w:hAnsi="Arial" w:cs="Arial"/>
          <w:sz w:val="20"/>
          <w:szCs w:val="20"/>
        </w:rPr>
        <w:t>compliance</w:t>
      </w:r>
      <w:r w:rsidRPr="00B229C2">
        <w:rPr>
          <w:rFonts w:ascii="Arial" w:hAnsi="Arial" w:cs="Arial"/>
          <w:spacing w:val="-2"/>
          <w:sz w:val="20"/>
          <w:szCs w:val="20"/>
        </w:rPr>
        <w:t xml:space="preserve"> </w:t>
      </w:r>
      <w:r w:rsidRPr="00B229C2">
        <w:rPr>
          <w:rFonts w:ascii="Arial" w:hAnsi="Arial" w:cs="Arial"/>
          <w:sz w:val="20"/>
          <w:szCs w:val="20"/>
        </w:rPr>
        <w:t>with applicable requirements.</w:t>
      </w:r>
    </w:p>
    <w:p w14:paraId="0C87DEC5" w14:textId="77777777" w:rsidR="00B229C2" w:rsidRPr="00B229C2" w:rsidRDefault="00B229C2" w:rsidP="003075E4">
      <w:pPr>
        <w:spacing w:before="120"/>
        <w:ind w:left="706" w:right="44"/>
        <w:jc w:val="both"/>
        <w:rPr>
          <w:rFonts w:ascii="Arial" w:hAnsi="Arial" w:cs="Arial"/>
          <w:sz w:val="20"/>
          <w:szCs w:val="20"/>
        </w:rPr>
      </w:pPr>
      <w:r w:rsidRPr="00B229C2">
        <w:rPr>
          <w:rFonts w:ascii="Arial" w:hAnsi="Arial" w:cs="Arial"/>
          <w:sz w:val="20"/>
          <w:szCs w:val="20"/>
        </w:rPr>
        <w:t>Since the design of the SC/SR does not require specific approval, the natural or legal person</w:t>
      </w:r>
      <w:r w:rsidRPr="00B229C2">
        <w:rPr>
          <w:rFonts w:ascii="Arial" w:hAnsi="Arial" w:cs="Arial"/>
          <w:spacing w:val="1"/>
          <w:sz w:val="20"/>
          <w:szCs w:val="20"/>
        </w:rPr>
        <w:t xml:space="preserve"> </w:t>
      </w:r>
      <w:r w:rsidRPr="00B229C2">
        <w:rPr>
          <w:rFonts w:ascii="Arial" w:hAnsi="Arial" w:cs="Arial"/>
          <w:sz w:val="20"/>
          <w:szCs w:val="20"/>
        </w:rPr>
        <w:t>releasing the embodiment of the change or repair takes the responsibility that the applicable</w:t>
      </w:r>
      <w:r w:rsidRPr="00B229C2">
        <w:rPr>
          <w:rFonts w:ascii="Arial" w:hAnsi="Arial" w:cs="Arial"/>
          <w:spacing w:val="1"/>
          <w:sz w:val="20"/>
          <w:szCs w:val="20"/>
        </w:rPr>
        <w:t xml:space="preserve"> </w:t>
      </w:r>
      <w:r w:rsidRPr="00B229C2">
        <w:rPr>
          <w:rFonts w:ascii="Arial" w:hAnsi="Arial" w:cs="Arial"/>
          <w:sz w:val="20"/>
          <w:szCs w:val="20"/>
        </w:rPr>
        <w:t>certification</w:t>
      </w:r>
      <w:r w:rsidRPr="00B229C2">
        <w:rPr>
          <w:rFonts w:ascii="Arial" w:hAnsi="Arial" w:cs="Arial"/>
          <w:spacing w:val="-6"/>
          <w:sz w:val="20"/>
          <w:szCs w:val="20"/>
        </w:rPr>
        <w:t xml:space="preserve"> </w:t>
      </w:r>
      <w:r w:rsidRPr="00B229C2">
        <w:rPr>
          <w:rFonts w:ascii="Arial" w:hAnsi="Arial" w:cs="Arial"/>
          <w:sz w:val="20"/>
          <w:szCs w:val="20"/>
        </w:rPr>
        <w:t>specifications</w:t>
      </w:r>
      <w:r w:rsidRPr="00B229C2">
        <w:rPr>
          <w:rFonts w:ascii="Arial" w:hAnsi="Arial" w:cs="Arial"/>
          <w:spacing w:val="-8"/>
          <w:sz w:val="20"/>
          <w:szCs w:val="20"/>
        </w:rPr>
        <w:t xml:space="preserve"> </w:t>
      </w:r>
      <w:r w:rsidRPr="00B229C2">
        <w:rPr>
          <w:rFonts w:ascii="Arial" w:hAnsi="Arial" w:cs="Arial"/>
          <w:sz w:val="20"/>
          <w:szCs w:val="20"/>
        </w:rPr>
        <w:t>within</w:t>
      </w:r>
      <w:r w:rsidRPr="00B229C2">
        <w:rPr>
          <w:rFonts w:ascii="Arial" w:hAnsi="Arial" w:cs="Arial"/>
          <w:spacing w:val="-5"/>
          <w:sz w:val="20"/>
          <w:szCs w:val="20"/>
        </w:rPr>
        <w:t xml:space="preserve"> </w:t>
      </w:r>
      <w:r w:rsidRPr="00B229C2">
        <w:rPr>
          <w:rFonts w:ascii="Arial" w:hAnsi="Arial" w:cs="Arial"/>
          <w:sz w:val="20"/>
          <w:szCs w:val="20"/>
        </w:rPr>
        <w:t>CS-STAN</w:t>
      </w:r>
      <w:r w:rsidRPr="00B229C2">
        <w:rPr>
          <w:rFonts w:ascii="Arial" w:hAnsi="Arial" w:cs="Arial"/>
          <w:spacing w:val="-7"/>
          <w:sz w:val="20"/>
          <w:szCs w:val="20"/>
        </w:rPr>
        <w:t xml:space="preserve"> </w:t>
      </w:r>
      <w:r w:rsidRPr="00B229C2">
        <w:rPr>
          <w:rFonts w:ascii="Arial" w:hAnsi="Arial" w:cs="Arial"/>
          <w:sz w:val="20"/>
          <w:szCs w:val="20"/>
        </w:rPr>
        <w:t>are</w:t>
      </w:r>
      <w:r w:rsidRPr="00B229C2">
        <w:rPr>
          <w:rFonts w:ascii="Arial" w:hAnsi="Arial" w:cs="Arial"/>
          <w:spacing w:val="-5"/>
          <w:sz w:val="20"/>
          <w:szCs w:val="20"/>
        </w:rPr>
        <w:t xml:space="preserve"> </w:t>
      </w:r>
      <w:r w:rsidRPr="00B229C2">
        <w:rPr>
          <w:rFonts w:ascii="Arial" w:hAnsi="Arial" w:cs="Arial"/>
          <w:sz w:val="20"/>
          <w:szCs w:val="20"/>
        </w:rPr>
        <w:t>fulfilled</w:t>
      </w:r>
      <w:r w:rsidRPr="00B229C2">
        <w:rPr>
          <w:rFonts w:ascii="Arial" w:hAnsi="Arial" w:cs="Arial"/>
          <w:spacing w:val="-6"/>
          <w:sz w:val="20"/>
          <w:szCs w:val="20"/>
        </w:rPr>
        <w:t xml:space="preserve"> </w:t>
      </w:r>
      <w:r w:rsidRPr="00B229C2">
        <w:rPr>
          <w:rFonts w:ascii="Arial" w:hAnsi="Arial" w:cs="Arial"/>
          <w:sz w:val="20"/>
          <w:szCs w:val="20"/>
        </w:rPr>
        <w:t>while</w:t>
      </w:r>
      <w:r w:rsidRPr="00B229C2">
        <w:rPr>
          <w:rFonts w:ascii="Arial" w:hAnsi="Arial" w:cs="Arial"/>
          <w:spacing w:val="-5"/>
          <w:sz w:val="20"/>
          <w:szCs w:val="20"/>
        </w:rPr>
        <w:t xml:space="preserve"> </w:t>
      </w:r>
      <w:r w:rsidRPr="00B229C2">
        <w:rPr>
          <w:rFonts w:ascii="Arial" w:hAnsi="Arial" w:cs="Arial"/>
          <w:sz w:val="20"/>
          <w:szCs w:val="20"/>
        </w:rPr>
        <w:t>being</w:t>
      </w:r>
      <w:r w:rsidRPr="00B229C2">
        <w:rPr>
          <w:rFonts w:ascii="Arial" w:hAnsi="Arial" w:cs="Arial"/>
          <w:spacing w:val="-6"/>
          <w:sz w:val="20"/>
          <w:szCs w:val="20"/>
        </w:rPr>
        <w:t xml:space="preserve"> </w:t>
      </w:r>
      <w:r w:rsidRPr="00B229C2">
        <w:rPr>
          <w:rFonts w:ascii="Arial" w:hAnsi="Arial" w:cs="Arial"/>
          <w:sz w:val="20"/>
          <w:szCs w:val="20"/>
        </w:rPr>
        <w:t>in</w:t>
      </w:r>
      <w:r w:rsidRPr="00B229C2">
        <w:rPr>
          <w:rFonts w:ascii="Arial" w:hAnsi="Arial" w:cs="Arial"/>
          <w:spacing w:val="-3"/>
          <w:sz w:val="20"/>
          <w:szCs w:val="20"/>
        </w:rPr>
        <w:t xml:space="preserve"> </w:t>
      </w:r>
      <w:r w:rsidRPr="00B229C2">
        <w:rPr>
          <w:rFonts w:ascii="Arial" w:hAnsi="Arial" w:cs="Arial"/>
          <w:sz w:val="20"/>
          <w:szCs w:val="20"/>
        </w:rPr>
        <w:t>compliance</w:t>
      </w:r>
      <w:r w:rsidRPr="00B229C2">
        <w:rPr>
          <w:rFonts w:ascii="Arial" w:hAnsi="Arial" w:cs="Arial"/>
          <w:spacing w:val="-7"/>
          <w:sz w:val="20"/>
          <w:szCs w:val="20"/>
        </w:rPr>
        <w:t xml:space="preserve"> </w:t>
      </w:r>
      <w:r w:rsidRPr="00B229C2">
        <w:rPr>
          <w:rFonts w:ascii="Arial" w:hAnsi="Arial" w:cs="Arial"/>
          <w:sz w:val="20"/>
          <w:szCs w:val="20"/>
        </w:rPr>
        <w:t>with</w:t>
      </w:r>
      <w:r w:rsidRPr="00B229C2">
        <w:rPr>
          <w:rFonts w:ascii="Arial" w:hAnsi="Arial" w:cs="Arial"/>
          <w:spacing w:val="-6"/>
          <w:sz w:val="20"/>
          <w:szCs w:val="20"/>
        </w:rPr>
        <w:t xml:space="preserve"> </w:t>
      </w:r>
      <w:r w:rsidRPr="00B229C2">
        <w:rPr>
          <w:rFonts w:ascii="Arial" w:hAnsi="Arial" w:cs="Arial"/>
          <w:sz w:val="20"/>
          <w:szCs w:val="20"/>
        </w:rPr>
        <w:t>Part-ML/</w:t>
      </w:r>
      <w:r w:rsidRPr="00B229C2">
        <w:rPr>
          <w:rFonts w:ascii="Arial" w:hAnsi="Arial" w:cs="Arial"/>
          <w:spacing w:val="-47"/>
          <w:sz w:val="20"/>
          <w:szCs w:val="20"/>
        </w:rPr>
        <w:t xml:space="preserve"> </w:t>
      </w:r>
      <w:r w:rsidRPr="00B229C2">
        <w:rPr>
          <w:rFonts w:ascii="Arial" w:hAnsi="Arial" w:cs="Arial"/>
          <w:sz w:val="20"/>
          <w:szCs w:val="20"/>
        </w:rPr>
        <w:t>Part-M Subpart F/Part-CAO and/or Part-145 and not in conflict with the TC holder’s data. This</w:t>
      </w:r>
      <w:r w:rsidRPr="00B229C2">
        <w:rPr>
          <w:rFonts w:ascii="Arial" w:hAnsi="Arial" w:cs="Arial"/>
          <w:spacing w:val="1"/>
          <w:sz w:val="20"/>
          <w:szCs w:val="20"/>
        </w:rPr>
        <w:t xml:space="preserve"> </w:t>
      </w:r>
      <w:r w:rsidRPr="00B229C2">
        <w:rPr>
          <w:rFonts w:ascii="Arial" w:hAnsi="Arial" w:cs="Arial"/>
          <w:spacing w:val="-1"/>
          <w:sz w:val="20"/>
          <w:szCs w:val="20"/>
        </w:rPr>
        <w:t>includes</w:t>
      </w:r>
      <w:r w:rsidRPr="00B229C2">
        <w:rPr>
          <w:rFonts w:ascii="Arial" w:hAnsi="Arial" w:cs="Arial"/>
          <w:spacing w:val="-11"/>
          <w:sz w:val="20"/>
          <w:szCs w:val="20"/>
        </w:rPr>
        <w:t xml:space="preserve"> </w:t>
      </w:r>
      <w:r w:rsidRPr="00B229C2">
        <w:rPr>
          <w:rFonts w:ascii="Arial" w:hAnsi="Arial" w:cs="Arial"/>
          <w:spacing w:val="-1"/>
          <w:sz w:val="20"/>
          <w:szCs w:val="20"/>
        </w:rPr>
        <w:t>responsibility</w:t>
      </w:r>
      <w:r w:rsidRPr="00B229C2">
        <w:rPr>
          <w:rFonts w:ascii="Arial" w:hAnsi="Arial" w:cs="Arial"/>
          <w:spacing w:val="-11"/>
          <w:sz w:val="20"/>
          <w:szCs w:val="20"/>
        </w:rPr>
        <w:t xml:space="preserve"> </w:t>
      </w:r>
      <w:r w:rsidRPr="00B229C2">
        <w:rPr>
          <w:rFonts w:ascii="Arial" w:hAnsi="Arial" w:cs="Arial"/>
          <w:spacing w:val="-1"/>
          <w:sz w:val="20"/>
          <w:szCs w:val="20"/>
        </w:rPr>
        <w:t>in</w:t>
      </w:r>
      <w:r w:rsidRPr="00B229C2">
        <w:rPr>
          <w:rFonts w:ascii="Arial" w:hAnsi="Arial" w:cs="Arial"/>
          <w:spacing w:val="-13"/>
          <w:sz w:val="20"/>
          <w:szCs w:val="20"/>
        </w:rPr>
        <w:t xml:space="preserve"> </w:t>
      </w:r>
      <w:r w:rsidRPr="00B229C2">
        <w:rPr>
          <w:rFonts w:ascii="Arial" w:hAnsi="Arial" w:cs="Arial"/>
          <w:sz w:val="20"/>
          <w:szCs w:val="20"/>
        </w:rPr>
        <w:t>respect</w:t>
      </w:r>
      <w:r w:rsidRPr="00B229C2">
        <w:rPr>
          <w:rFonts w:ascii="Arial" w:hAnsi="Arial" w:cs="Arial"/>
          <w:spacing w:val="-14"/>
          <w:sz w:val="20"/>
          <w:szCs w:val="20"/>
        </w:rPr>
        <w:t xml:space="preserve"> </w:t>
      </w:r>
      <w:r w:rsidRPr="00B229C2">
        <w:rPr>
          <w:rFonts w:ascii="Arial" w:hAnsi="Arial" w:cs="Arial"/>
          <w:sz w:val="20"/>
          <w:szCs w:val="20"/>
        </w:rPr>
        <w:t>of</w:t>
      </w:r>
      <w:r w:rsidRPr="00B229C2">
        <w:rPr>
          <w:rFonts w:ascii="Arial" w:hAnsi="Arial" w:cs="Arial"/>
          <w:spacing w:val="-12"/>
          <w:sz w:val="20"/>
          <w:szCs w:val="20"/>
        </w:rPr>
        <w:t xml:space="preserve"> </w:t>
      </w:r>
      <w:r w:rsidRPr="00B229C2">
        <w:rPr>
          <w:rFonts w:ascii="Arial" w:hAnsi="Arial" w:cs="Arial"/>
          <w:sz w:val="20"/>
          <w:szCs w:val="20"/>
        </w:rPr>
        <w:t>an</w:t>
      </w:r>
      <w:r w:rsidRPr="00B229C2">
        <w:rPr>
          <w:rFonts w:ascii="Arial" w:hAnsi="Arial" w:cs="Arial"/>
          <w:spacing w:val="-13"/>
          <w:sz w:val="20"/>
          <w:szCs w:val="20"/>
        </w:rPr>
        <w:t xml:space="preserve"> </w:t>
      </w:r>
      <w:r w:rsidRPr="00B229C2">
        <w:rPr>
          <w:rFonts w:ascii="Arial" w:hAnsi="Arial" w:cs="Arial"/>
          <w:sz w:val="20"/>
          <w:szCs w:val="20"/>
        </w:rPr>
        <w:t>adequate</w:t>
      </w:r>
      <w:r w:rsidRPr="00B229C2">
        <w:rPr>
          <w:rFonts w:ascii="Arial" w:hAnsi="Arial" w:cs="Arial"/>
          <w:spacing w:val="-11"/>
          <w:sz w:val="20"/>
          <w:szCs w:val="20"/>
        </w:rPr>
        <w:t xml:space="preserve"> </w:t>
      </w:r>
      <w:r w:rsidRPr="00B229C2">
        <w:rPr>
          <w:rFonts w:ascii="Arial" w:hAnsi="Arial" w:cs="Arial"/>
          <w:sz w:val="20"/>
          <w:szCs w:val="20"/>
        </w:rPr>
        <w:t>design,</w:t>
      </w:r>
      <w:r w:rsidRPr="00B229C2">
        <w:rPr>
          <w:rFonts w:ascii="Arial" w:hAnsi="Arial" w:cs="Arial"/>
          <w:spacing w:val="-12"/>
          <w:sz w:val="20"/>
          <w:szCs w:val="20"/>
        </w:rPr>
        <w:t xml:space="preserve"> </w:t>
      </w:r>
      <w:r w:rsidRPr="00B229C2">
        <w:rPr>
          <w:rFonts w:ascii="Arial" w:hAnsi="Arial" w:cs="Arial"/>
          <w:sz w:val="20"/>
          <w:szCs w:val="20"/>
        </w:rPr>
        <w:t>the</w:t>
      </w:r>
      <w:r w:rsidRPr="00B229C2">
        <w:rPr>
          <w:rFonts w:ascii="Arial" w:hAnsi="Arial" w:cs="Arial"/>
          <w:spacing w:val="-12"/>
          <w:sz w:val="20"/>
          <w:szCs w:val="20"/>
        </w:rPr>
        <w:t xml:space="preserve"> </w:t>
      </w:r>
      <w:r w:rsidRPr="00B229C2">
        <w:rPr>
          <w:rFonts w:ascii="Arial" w:hAnsi="Arial" w:cs="Arial"/>
          <w:sz w:val="20"/>
          <w:szCs w:val="20"/>
        </w:rPr>
        <w:t>selection/manufacturing</w:t>
      </w:r>
      <w:r w:rsidRPr="00B229C2">
        <w:rPr>
          <w:rFonts w:ascii="Arial" w:hAnsi="Arial" w:cs="Arial"/>
          <w:spacing w:val="-13"/>
          <w:sz w:val="20"/>
          <w:szCs w:val="20"/>
        </w:rPr>
        <w:t xml:space="preserve"> </w:t>
      </w:r>
      <w:r w:rsidRPr="00B229C2">
        <w:rPr>
          <w:rFonts w:ascii="Arial" w:hAnsi="Arial" w:cs="Arial"/>
          <w:sz w:val="20"/>
          <w:szCs w:val="20"/>
        </w:rPr>
        <w:t>of</w:t>
      </w:r>
      <w:r w:rsidRPr="00B229C2">
        <w:rPr>
          <w:rFonts w:ascii="Arial" w:hAnsi="Arial" w:cs="Arial"/>
          <w:spacing w:val="-12"/>
          <w:sz w:val="20"/>
          <w:szCs w:val="20"/>
        </w:rPr>
        <w:t xml:space="preserve"> </w:t>
      </w:r>
      <w:r w:rsidRPr="00B229C2">
        <w:rPr>
          <w:rFonts w:ascii="Arial" w:hAnsi="Arial" w:cs="Arial"/>
          <w:sz w:val="20"/>
          <w:szCs w:val="20"/>
        </w:rPr>
        <w:t>suitable</w:t>
      </w:r>
      <w:r w:rsidRPr="00B229C2">
        <w:rPr>
          <w:rFonts w:ascii="Arial" w:hAnsi="Arial" w:cs="Arial"/>
          <w:spacing w:val="-48"/>
          <w:sz w:val="20"/>
          <w:szCs w:val="20"/>
        </w:rPr>
        <w:t xml:space="preserve"> </w:t>
      </w:r>
      <w:r w:rsidRPr="00B229C2">
        <w:rPr>
          <w:rFonts w:ascii="Arial" w:hAnsi="Arial" w:cs="Arial"/>
          <w:sz w:val="20"/>
          <w:szCs w:val="20"/>
        </w:rPr>
        <w:t>parts and their identification, documenting the change or repair, generation or amendment of</w:t>
      </w:r>
      <w:r w:rsidRPr="00B229C2">
        <w:rPr>
          <w:rFonts w:ascii="Arial" w:hAnsi="Arial" w:cs="Arial"/>
          <w:spacing w:val="1"/>
          <w:sz w:val="20"/>
          <w:szCs w:val="20"/>
        </w:rPr>
        <w:t xml:space="preserve"> </w:t>
      </w:r>
      <w:r w:rsidRPr="00B229C2">
        <w:rPr>
          <w:rFonts w:ascii="Arial" w:hAnsi="Arial" w:cs="Arial"/>
          <w:sz w:val="20"/>
          <w:szCs w:val="20"/>
        </w:rPr>
        <w:t>aircraft manuals and instructions as needed, embodiment of the change/repair, releasing the</w:t>
      </w:r>
      <w:r w:rsidRPr="00B229C2">
        <w:rPr>
          <w:rFonts w:ascii="Arial" w:hAnsi="Arial" w:cs="Arial"/>
          <w:spacing w:val="1"/>
          <w:sz w:val="20"/>
          <w:szCs w:val="20"/>
        </w:rPr>
        <w:t xml:space="preserve"> </w:t>
      </w:r>
      <w:r w:rsidRPr="00B229C2">
        <w:rPr>
          <w:rFonts w:ascii="Arial" w:hAnsi="Arial" w:cs="Arial"/>
          <w:sz w:val="20"/>
          <w:szCs w:val="20"/>
        </w:rPr>
        <w:t>aircraft</w:t>
      </w:r>
      <w:r w:rsidRPr="00B229C2">
        <w:rPr>
          <w:rFonts w:ascii="Arial" w:hAnsi="Arial" w:cs="Arial"/>
          <w:spacing w:val="-1"/>
          <w:sz w:val="20"/>
          <w:szCs w:val="20"/>
        </w:rPr>
        <w:t xml:space="preserve"> </w:t>
      </w:r>
      <w:r w:rsidRPr="00B229C2">
        <w:rPr>
          <w:rFonts w:ascii="Arial" w:hAnsi="Arial" w:cs="Arial"/>
          <w:sz w:val="20"/>
          <w:szCs w:val="20"/>
        </w:rPr>
        <w:t>to</w:t>
      </w:r>
      <w:r w:rsidRPr="00B229C2">
        <w:rPr>
          <w:rFonts w:ascii="Arial" w:hAnsi="Arial" w:cs="Arial"/>
          <w:spacing w:val="1"/>
          <w:sz w:val="20"/>
          <w:szCs w:val="20"/>
        </w:rPr>
        <w:t xml:space="preserve"> </w:t>
      </w:r>
      <w:r w:rsidRPr="00B229C2">
        <w:rPr>
          <w:rFonts w:ascii="Arial" w:hAnsi="Arial" w:cs="Arial"/>
          <w:sz w:val="20"/>
          <w:szCs w:val="20"/>
        </w:rPr>
        <w:t>service</w:t>
      </w:r>
      <w:r w:rsidRPr="00B229C2">
        <w:rPr>
          <w:rFonts w:ascii="Arial" w:hAnsi="Arial" w:cs="Arial"/>
          <w:spacing w:val="1"/>
          <w:sz w:val="20"/>
          <w:szCs w:val="20"/>
        </w:rPr>
        <w:t xml:space="preserve"> </w:t>
      </w:r>
      <w:r w:rsidRPr="00B229C2">
        <w:rPr>
          <w:rFonts w:ascii="Arial" w:hAnsi="Arial" w:cs="Arial"/>
          <w:sz w:val="20"/>
          <w:szCs w:val="20"/>
        </w:rPr>
        <w:t>and</w:t>
      </w:r>
      <w:r w:rsidRPr="00B229C2">
        <w:rPr>
          <w:rFonts w:ascii="Arial" w:hAnsi="Arial" w:cs="Arial"/>
          <w:spacing w:val="-1"/>
          <w:sz w:val="20"/>
          <w:szCs w:val="20"/>
        </w:rPr>
        <w:t xml:space="preserve"> </w:t>
      </w:r>
      <w:r w:rsidRPr="00B229C2">
        <w:rPr>
          <w:rFonts w:ascii="Arial" w:hAnsi="Arial" w:cs="Arial"/>
          <w:sz w:val="20"/>
          <w:szCs w:val="20"/>
        </w:rPr>
        <w:t>record-keeping.</w:t>
      </w:r>
    </w:p>
    <w:p w14:paraId="5379D2AE" w14:textId="77777777" w:rsidR="00B229C2" w:rsidRPr="00B229C2" w:rsidRDefault="00B229C2" w:rsidP="003075E4">
      <w:pPr>
        <w:spacing w:before="120"/>
        <w:ind w:left="706" w:right="44"/>
        <w:jc w:val="both"/>
        <w:rPr>
          <w:rFonts w:ascii="Arial" w:hAnsi="Arial" w:cs="Arial"/>
          <w:sz w:val="20"/>
          <w:szCs w:val="20"/>
        </w:rPr>
      </w:pPr>
      <w:r w:rsidRPr="00B229C2">
        <w:rPr>
          <w:rFonts w:ascii="Arial" w:hAnsi="Arial" w:cs="Arial"/>
          <w:sz w:val="20"/>
          <w:szCs w:val="20"/>
        </w:rPr>
        <w:t>Depending on its nature, for certain SCs/SRs, CS-STAN might restrict the eligibility for the</w:t>
      </w:r>
      <w:r w:rsidRPr="00B229C2">
        <w:rPr>
          <w:rFonts w:ascii="Arial" w:hAnsi="Arial" w:cs="Arial"/>
          <w:spacing w:val="1"/>
          <w:sz w:val="20"/>
          <w:szCs w:val="20"/>
        </w:rPr>
        <w:t xml:space="preserve"> </w:t>
      </w:r>
      <w:r w:rsidRPr="00B229C2">
        <w:rPr>
          <w:rFonts w:ascii="Arial" w:hAnsi="Arial" w:cs="Arial"/>
          <w:sz w:val="20"/>
          <w:szCs w:val="20"/>
        </w:rPr>
        <w:t>issuance of the release to service to certain persons (e.g. standard change/repair not suitable</w:t>
      </w:r>
      <w:r w:rsidRPr="00B229C2">
        <w:rPr>
          <w:rFonts w:ascii="Arial" w:hAnsi="Arial" w:cs="Arial"/>
          <w:spacing w:val="1"/>
          <w:sz w:val="20"/>
          <w:szCs w:val="20"/>
        </w:rPr>
        <w:t xml:space="preserve"> </w:t>
      </w:r>
      <w:r w:rsidRPr="00B229C2">
        <w:rPr>
          <w:rFonts w:ascii="Arial" w:hAnsi="Arial" w:cs="Arial"/>
          <w:sz w:val="20"/>
          <w:szCs w:val="20"/>
        </w:rPr>
        <w:t>for</w:t>
      </w:r>
      <w:r w:rsidRPr="00B229C2">
        <w:rPr>
          <w:rFonts w:ascii="Arial" w:hAnsi="Arial" w:cs="Arial"/>
          <w:spacing w:val="-1"/>
          <w:sz w:val="20"/>
          <w:szCs w:val="20"/>
        </w:rPr>
        <w:t xml:space="preserve"> </w:t>
      </w:r>
      <w:r w:rsidRPr="00B229C2">
        <w:rPr>
          <w:rFonts w:ascii="Arial" w:hAnsi="Arial" w:cs="Arial"/>
          <w:sz w:val="20"/>
          <w:szCs w:val="20"/>
        </w:rPr>
        <w:t>release</w:t>
      </w:r>
      <w:r w:rsidRPr="00B229C2">
        <w:rPr>
          <w:rFonts w:ascii="Arial" w:hAnsi="Arial" w:cs="Arial"/>
          <w:spacing w:val="-2"/>
          <w:sz w:val="20"/>
          <w:szCs w:val="20"/>
        </w:rPr>
        <w:t xml:space="preserve"> </w:t>
      </w:r>
      <w:r w:rsidRPr="00B229C2">
        <w:rPr>
          <w:rFonts w:ascii="Arial" w:hAnsi="Arial" w:cs="Arial"/>
          <w:sz w:val="20"/>
          <w:szCs w:val="20"/>
        </w:rPr>
        <w:t>to</w:t>
      </w:r>
      <w:r w:rsidRPr="00B229C2">
        <w:rPr>
          <w:rFonts w:ascii="Arial" w:hAnsi="Arial" w:cs="Arial"/>
          <w:spacing w:val="1"/>
          <w:sz w:val="20"/>
          <w:szCs w:val="20"/>
        </w:rPr>
        <w:t xml:space="preserve"> </w:t>
      </w:r>
      <w:r w:rsidRPr="00B229C2">
        <w:rPr>
          <w:rFonts w:ascii="Arial" w:hAnsi="Arial" w:cs="Arial"/>
          <w:sz w:val="20"/>
          <w:szCs w:val="20"/>
        </w:rPr>
        <w:t>service</w:t>
      </w:r>
      <w:r w:rsidRPr="00B229C2">
        <w:rPr>
          <w:rFonts w:ascii="Arial" w:hAnsi="Arial" w:cs="Arial"/>
          <w:spacing w:val="1"/>
          <w:sz w:val="20"/>
          <w:szCs w:val="20"/>
        </w:rPr>
        <w:t xml:space="preserve"> </w:t>
      </w:r>
      <w:r w:rsidRPr="00B229C2">
        <w:rPr>
          <w:rFonts w:ascii="Arial" w:hAnsi="Arial" w:cs="Arial"/>
          <w:sz w:val="20"/>
          <w:szCs w:val="20"/>
        </w:rPr>
        <w:t>by</w:t>
      </w:r>
      <w:r w:rsidRPr="00B229C2">
        <w:rPr>
          <w:rFonts w:ascii="Arial" w:hAnsi="Arial" w:cs="Arial"/>
          <w:spacing w:val="-2"/>
          <w:sz w:val="20"/>
          <w:szCs w:val="20"/>
        </w:rPr>
        <w:t xml:space="preserve"> </w:t>
      </w:r>
      <w:r w:rsidRPr="00B229C2">
        <w:rPr>
          <w:rFonts w:ascii="Arial" w:hAnsi="Arial" w:cs="Arial"/>
          <w:sz w:val="20"/>
          <w:szCs w:val="20"/>
        </w:rPr>
        <w:t>the</w:t>
      </w:r>
      <w:r w:rsidRPr="00B229C2">
        <w:rPr>
          <w:rFonts w:ascii="Arial" w:hAnsi="Arial" w:cs="Arial"/>
          <w:spacing w:val="1"/>
          <w:sz w:val="20"/>
          <w:szCs w:val="20"/>
        </w:rPr>
        <w:t xml:space="preserve"> </w:t>
      </w:r>
      <w:r w:rsidRPr="00B229C2">
        <w:rPr>
          <w:rFonts w:ascii="Arial" w:hAnsi="Arial" w:cs="Arial"/>
          <w:sz w:val="20"/>
          <w:szCs w:val="20"/>
        </w:rPr>
        <w:t>pilot-owner).</w:t>
      </w:r>
    </w:p>
    <w:p w14:paraId="67028B8D" w14:textId="4220ECC2" w:rsidR="00B229C2" w:rsidRPr="00B229C2" w:rsidRDefault="00B229C2" w:rsidP="003075E4">
      <w:pPr>
        <w:numPr>
          <w:ilvl w:val="0"/>
          <w:numId w:val="318"/>
        </w:numPr>
        <w:tabs>
          <w:tab w:val="left" w:pos="1274"/>
        </w:tabs>
        <w:spacing w:before="119"/>
        <w:ind w:right="44"/>
        <w:jc w:val="both"/>
        <w:rPr>
          <w:rFonts w:ascii="Arial" w:hAnsi="Arial" w:cs="Arial"/>
          <w:sz w:val="20"/>
          <w:szCs w:val="20"/>
        </w:rPr>
      </w:pPr>
      <w:r w:rsidRPr="00B229C2">
        <w:rPr>
          <w:rFonts w:ascii="Arial" w:hAnsi="Arial" w:cs="Arial"/>
          <w:sz w:val="20"/>
          <w:szCs w:val="20"/>
        </w:rPr>
        <w:t>If the holder signs the release to service on behalf of a maintenance organisation, this</w:t>
      </w:r>
      <w:r w:rsidRPr="00B229C2">
        <w:rPr>
          <w:rFonts w:ascii="Arial" w:hAnsi="Arial" w:cs="Arial"/>
          <w:spacing w:val="1"/>
          <w:sz w:val="20"/>
          <w:szCs w:val="20"/>
        </w:rPr>
        <w:t xml:space="preserve"> </w:t>
      </w:r>
      <w:r w:rsidRPr="00B229C2">
        <w:rPr>
          <w:rFonts w:ascii="Arial" w:hAnsi="Arial" w:cs="Arial"/>
          <w:sz w:val="20"/>
          <w:szCs w:val="20"/>
        </w:rPr>
        <w:t>release</w:t>
      </w:r>
      <w:r w:rsidRPr="00B229C2">
        <w:rPr>
          <w:rFonts w:ascii="Arial" w:hAnsi="Arial" w:cs="Arial"/>
          <w:spacing w:val="-3"/>
          <w:sz w:val="20"/>
          <w:szCs w:val="20"/>
        </w:rPr>
        <w:t xml:space="preserve"> </w:t>
      </w:r>
      <w:r w:rsidRPr="00B229C2">
        <w:rPr>
          <w:rFonts w:ascii="Arial" w:hAnsi="Arial" w:cs="Arial"/>
          <w:sz w:val="20"/>
          <w:szCs w:val="20"/>
        </w:rPr>
        <w:t>is</w:t>
      </w:r>
      <w:r w:rsidRPr="00B229C2">
        <w:rPr>
          <w:rFonts w:ascii="Arial" w:hAnsi="Arial" w:cs="Arial"/>
          <w:spacing w:val="-2"/>
          <w:sz w:val="20"/>
          <w:szCs w:val="20"/>
        </w:rPr>
        <w:t xml:space="preserve"> </w:t>
      </w:r>
      <w:r w:rsidRPr="00B229C2">
        <w:rPr>
          <w:rFonts w:ascii="Arial" w:hAnsi="Arial" w:cs="Arial"/>
          <w:sz w:val="20"/>
          <w:szCs w:val="20"/>
        </w:rPr>
        <w:t>valid</w:t>
      </w:r>
      <w:r w:rsidRPr="00B229C2">
        <w:rPr>
          <w:rFonts w:ascii="Arial" w:hAnsi="Arial" w:cs="Arial"/>
          <w:spacing w:val="-1"/>
          <w:sz w:val="20"/>
          <w:szCs w:val="20"/>
        </w:rPr>
        <w:t xml:space="preserve"> </w:t>
      </w:r>
      <w:r w:rsidRPr="00B229C2">
        <w:rPr>
          <w:rFonts w:ascii="Arial" w:hAnsi="Arial" w:cs="Arial"/>
          <w:sz w:val="20"/>
          <w:szCs w:val="20"/>
        </w:rPr>
        <w:t>regardless</w:t>
      </w:r>
      <w:r w:rsidRPr="00B229C2">
        <w:rPr>
          <w:rFonts w:ascii="Arial" w:hAnsi="Arial" w:cs="Arial"/>
          <w:spacing w:val="-3"/>
          <w:sz w:val="20"/>
          <w:szCs w:val="20"/>
        </w:rPr>
        <w:t xml:space="preserve"> </w:t>
      </w:r>
      <w:r w:rsidRPr="00B229C2">
        <w:rPr>
          <w:rFonts w:ascii="Arial" w:hAnsi="Arial" w:cs="Arial"/>
          <w:sz w:val="20"/>
          <w:szCs w:val="20"/>
        </w:rPr>
        <w:t xml:space="preserve">of </w:t>
      </w:r>
      <w:r w:rsidR="00BE47FC">
        <w:rPr>
          <w:rFonts w:ascii="Arial" w:hAnsi="Arial" w:cs="Arial"/>
          <w:sz w:val="20"/>
        </w:rPr>
        <w:t xml:space="preserve">the Republic of Armenia </w:t>
      </w:r>
      <w:r w:rsidRPr="00B229C2">
        <w:rPr>
          <w:rFonts w:ascii="Arial" w:hAnsi="Arial" w:cs="Arial"/>
          <w:sz w:val="20"/>
          <w:szCs w:val="20"/>
        </w:rPr>
        <w:t>where</w:t>
      </w:r>
      <w:r w:rsidRPr="00B229C2">
        <w:rPr>
          <w:rFonts w:ascii="Arial" w:hAnsi="Arial" w:cs="Arial"/>
          <w:spacing w:val="-2"/>
          <w:sz w:val="20"/>
          <w:szCs w:val="20"/>
        </w:rPr>
        <w:t xml:space="preserve"> </w:t>
      </w:r>
      <w:r w:rsidRPr="00B229C2">
        <w:rPr>
          <w:rFonts w:ascii="Arial" w:hAnsi="Arial" w:cs="Arial"/>
          <w:sz w:val="20"/>
          <w:szCs w:val="20"/>
        </w:rPr>
        <w:t>the aircraft</w:t>
      </w:r>
      <w:r w:rsidRPr="00B229C2">
        <w:rPr>
          <w:rFonts w:ascii="Arial" w:hAnsi="Arial" w:cs="Arial"/>
          <w:spacing w:val="-1"/>
          <w:sz w:val="20"/>
          <w:szCs w:val="20"/>
        </w:rPr>
        <w:t xml:space="preserve"> </w:t>
      </w:r>
      <w:r w:rsidRPr="00B229C2">
        <w:rPr>
          <w:rFonts w:ascii="Arial" w:hAnsi="Arial" w:cs="Arial"/>
          <w:sz w:val="20"/>
          <w:szCs w:val="20"/>
        </w:rPr>
        <w:t>is registered.</w:t>
      </w:r>
    </w:p>
    <w:p w14:paraId="67B07D5B" w14:textId="47CF73AD" w:rsidR="00B229C2" w:rsidRPr="00B229C2" w:rsidRDefault="00B229C2" w:rsidP="003075E4">
      <w:pPr>
        <w:numPr>
          <w:ilvl w:val="0"/>
          <w:numId w:val="318"/>
        </w:numPr>
        <w:tabs>
          <w:tab w:val="left" w:pos="1274"/>
        </w:tabs>
        <w:spacing w:before="120"/>
        <w:ind w:right="44"/>
        <w:jc w:val="both"/>
        <w:rPr>
          <w:rFonts w:ascii="Arial" w:hAnsi="Arial" w:cs="Arial"/>
          <w:sz w:val="20"/>
          <w:szCs w:val="20"/>
        </w:rPr>
      </w:pPr>
      <w:r w:rsidRPr="00B229C2">
        <w:rPr>
          <w:rFonts w:ascii="Arial" w:hAnsi="Arial" w:cs="Arial"/>
          <w:sz w:val="20"/>
          <w:szCs w:val="20"/>
        </w:rPr>
        <w:t>If</w:t>
      </w:r>
      <w:r w:rsidRPr="00B229C2">
        <w:rPr>
          <w:rFonts w:ascii="Arial" w:hAnsi="Arial" w:cs="Arial"/>
          <w:spacing w:val="-4"/>
          <w:sz w:val="20"/>
          <w:szCs w:val="20"/>
        </w:rPr>
        <w:t xml:space="preserve"> </w:t>
      </w:r>
      <w:r w:rsidRPr="00B229C2">
        <w:rPr>
          <w:rFonts w:ascii="Arial" w:hAnsi="Arial" w:cs="Arial"/>
          <w:sz w:val="20"/>
          <w:szCs w:val="20"/>
        </w:rPr>
        <w:t>the</w:t>
      </w:r>
      <w:r w:rsidRPr="00B229C2">
        <w:rPr>
          <w:rFonts w:ascii="Arial" w:hAnsi="Arial" w:cs="Arial"/>
          <w:spacing w:val="-3"/>
          <w:sz w:val="20"/>
          <w:szCs w:val="20"/>
        </w:rPr>
        <w:t xml:space="preserve"> </w:t>
      </w:r>
      <w:r w:rsidRPr="00B229C2">
        <w:rPr>
          <w:rFonts w:ascii="Arial" w:hAnsi="Arial" w:cs="Arial"/>
          <w:sz w:val="20"/>
          <w:szCs w:val="20"/>
        </w:rPr>
        <w:t>holder</w:t>
      </w:r>
      <w:r w:rsidRPr="00B229C2">
        <w:rPr>
          <w:rFonts w:ascii="Arial" w:hAnsi="Arial" w:cs="Arial"/>
          <w:spacing w:val="-3"/>
          <w:sz w:val="20"/>
          <w:szCs w:val="20"/>
        </w:rPr>
        <w:t xml:space="preserve"> </w:t>
      </w:r>
      <w:r w:rsidRPr="00B229C2">
        <w:rPr>
          <w:rFonts w:ascii="Arial" w:hAnsi="Arial" w:cs="Arial"/>
          <w:sz w:val="20"/>
          <w:szCs w:val="20"/>
        </w:rPr>
        <w:t>signs</w:t>
      </w:r>
      <w:r w:rsidRPr="00B229C2">
        <w:rPr>
          <w:rFonts w:ascii="Arial" w:hAnsi="Arial" w:cs="Arial"/>
          <w:spacing w:val="-2"/>
          <w:sz w:val="20"/>
          <w:szCs w:val="20"/>
        </w:rPr>
        <w:t xml:space="preserve"> </w:t>
      </w:r>
      <w:r w:rsidRPr="00B229C2">
        <w:rPr>
          <w:rFonts w:ascii="Arial" w:hAnsi="Arial" w:cs="Arial"/>
          <w:sz w:val="20"/>
          <w:szCs w:val="20"/>
        </w:rPr>
        <w:t>the</w:t>
      </w:r>
      <w:r w:rsidRPr="00B229C2">
        <w:rPr>
          <w:rFonts w:ascii="Arial" w:hAnsi="Arial" w:cs="Arial"/>
          <w:spacing w:val="-3"/>
          <w:sz w:val="20"/>
          <w:szCs w:val="20"/>
        </w:rPr>
        <w:t xml:space="preserve"> </w:t>
      </w:r>
      <w:r w:rsidRPr="00B229C2">
        <w:rPr>
          <w:rFonts w:ascii="Arial" w:hAnsi="Arial" w:cs="Arial"/>
          <w:sz w:val="20"/>
          <w:szCs w:val="20"/>
        </w:rPr>
        <w:t>release</w:t>
      </w:r>
      <w:r w:rsidRPr="00B229C2">
        <w:rPr>
          <w:rFonts w:ascii="Arial" w:hAnsi="Arial" w:cs="Arial"/>
          <w:spacing w:val="-3"/>
          <w:sz w:val="20"/>
          <w:szCs w:val="20"/>
        </w:rPr>
        <w:t xml:space="preserve"> </w:t>
      </w:r>
      <w:r w:rsidRPr="00B229C2">
        <w:rPr>
          <w:rFonts w:ascii="Arial" w:hAnsi="Arial" w:cs="Arial"/>
          <w:sz w:val="20"/>
          <w:szCs w:val="20"/>
        </w:rPr>
        <w:t>to</w:t>
      </w:r>
      <w:r w:rsidRPr="00B229C2">
        <w:rPr>
          <w:rFonts w:ascii="Arial" w:hAnsi="Arial" w:cs="Arial"/>
          <w:spacing w:val="-1"/>
          <w:sz w:val="20"/>
          <w:szCs w:val="20"/>
        </w:rPr>
        <w:t xml:space="preserve"> </w:t>
      </w:r>
      <w:r w:rsidRPr="00B229C2">
        <w:rPr>
          <w:rFonts w:ascii="Arial" w:hAnsi="Arial" w:cs="Arial"/>
          <w:sz w:val="20"/>
          <w:szCs w:val="20"/>
        </w:rPr>
        <w:t>service</w:t>
      </w:r>
      <w:r w:rsidRPr="00B229C2">
        <w:rPr>
          <w:rFonts w:ascii="Arial" w:hAnsi="Arial" w:cs="Arial"/>
          <w:spacing w:val="-3"/>
          <w:sz w:val="20"/>
          <w:szCs w:val="20"/>
        </w:rPr>
        <w:t xml:space="preserve"> </w:t>
      </w:r>
      <w:r w:rsidRPr="00B229C2">
        <w:rPr>
          <w:rFonts w:ascii="Arial" w:hAnsi="Arial" w:cs="Arial"/>
          <w:sz w:val="20"/>
          <w:szCs w:val="20"/>
        </w:rPr>
        <w:t>as</w:t>
      </w:r>
      <w:r w:rsidRPr="00B229C2">
        <w:rPr>
          <w:rFonts w:ascii="Arial" w:hAnsi="Arial" w:cs="Arial"/>
          <w:spacing w:val="-3"/>
          <w:sz w:val="20"/>
          <w:szCs w:val="20"/>
        </w:rPr>
        <w:t xml:space="preserve"> </w:t>
      </w:r>
      <w:r w:rsidRPr="00B229C2">
        <w:rPr>
          <w:rFonts w:ascii="Arial" w:hAnsi="Arial" w:cs="Arial"/>
          <w:sz w:val="20"/>
          <w:szCs w:val="20"/>
        </w:rPr>
        <w:t>an</w:t>
      </w:r>
      <w:r w:rsidRPr="00B229C2">
        <w:rPr>
          <w:rFonts w:ascii="Arial" w:hAnsi="Arial" w:cs="Arial"/>
          <w:spacing w:val="-3"/>
          <w:sz w:val="20"/>
          <w:szCs w:val="20"/>
        </w:rPr>
        <w:t xml:space="preserve"> </w:t>
      </w:r>
      <w:r w:rsidRPr="00B229C2">
        <w:rPr>
          <w:rFonts w:ascii="Arial" w:hAnsi="Arial" w:cs="Arial"/>
          <w:sz w:val="20"/>
          <w:szCs w:val="20"/>
        </w:rPr>
        <w:t>independent</w:t>
      </w:r>
      <w:r w:rsidRPr="00B229C2">
        <w:rPr>
          <w:rFonts w:ascii="Arial" w:hAnsi="Arial" w:cs="Arial"/>
          <w:spacing w:val="-3"/>
          <w:sz w:val="20"/>
          <w:szCs w:val="20"/>
        </w:rPr>
        <w:t xml:space="preserve"> </w:t>
      </w:r>
      <w:r w:rsidRPr="00B229C2">
        <w:rPr>
          <w:rFonts w:ascii="Arial" w:hAnsi="Arial" w:cs="Arial"/>
          <w:sz w:val="20"/>
          <w:szCs w:val="20"/>
        </w:rPr>
        <w:t>certifying</w:t>
      </w:r>
      <w:r w:rsidRPr="00B229C2">
        <w:rPr>
          <w:rFonts w:ascii="Arial" w:hAnsi="Arial" w:cs="Arial"/>
          <w:spacing w:val="-4"/>
          <w:sz w:val="20"/>
          <w:szCs w:val="20"/>
        </w:rPr>
        <w:t xml:space="preserve"> </w:t>
      </w:r>
      <w:r w:rsidRPr="00B229C2">
        <w:rPr>
          <w:rFonts w:ascii="Arial" w:hAnsi="Arial" w:cs="Arial"/>
          <w:sz w:val="20"/>
          <w:szCs w:val="20"/>
        </w:rPr>
        <w:t>staff,</w:t>
      </w:r>
      <w:r w:rsidRPr="00B229C2">
        <w:rPr>
          <w:rFonts w:ascii="Arial" w:hAnsi="Arial" w:cs="Arial"/>
          <w:spacing w:val="-3"/>
          <w:sz w:val="20"/>
          <w:szCs w:val="20"/>
        </w:rPr>
        <w:t xml:space="preserve"> </w:t>
      </w:r>
      <w:r w:rsidRPr="00B229C2">
        <w:rPr>
          <w:rFonts w:ascii="Arial" w:hAnsi="Arial" w:cs="Arial"/>
          <w:sz w:val="20"/>
          <w:szCs w:val="20"/>
        </w:rPr>
        <w:t>this</w:t>
      </w:r>
      <w:r w:rsidRPr="00B229C2">
        <w:rPr>
          <w:rFonts w:ascii="Arial" w:hAnsi="Arial" w:cs="Arial"/>
          <w:spacing w:val="-2"/>
          <w:sz w:val="20"/>
          <w:szCs w:val="20"/>
        </w:rPr>
        <w:t xml:space="preserve"> </w:t>
      </w:r>
      <w:r w:rsidRPr="00B229C2">
        <w:rPr>
          <w:rFonts w:ascii="Arial" w:hAnsi="Arial" w:cs="Arial"/>
          <w:sz w:val="20"/>
          <w:szCs w:val="20"/>
        </w:rPr>
        <w:t>release</w:t>
      </w:r>
      <w:r w:rsidRPr="00B229C2">
        <w:rPr>
          <w:rFonts w:ascii="Arial" w:hAnsi="Arial" w:cs="Arial"/>
          <w:spacing w:val="-3"/>
          <w:sz w:val="20"/>
          <w:szCs w:val="20"/>
        </w:rPr>
        <w:t xml:space="preserve"> </w:t>
      </w:r>
      <w:r w:rsidRPr="00B229C2">
        <w:rPr>
          <w:rFonts w:ascii="Arial" w:hAnsi="Arial" w:cs="Arial"/>
          <w:sz w:val="20"/>
          <w:szCs w:val="20"/>
        </w:rPr>
        <w:t>is</w:t>
      </w:r>
      <w:r w:rsidRPr="00B229C2">
        <w:rPr>
          <w:rFonts w:ascii="Arial" w:hAnsi="Arial" w:cs="Arial"/>
          <w:spacing w:val="-47"/>
          <w:sz w:val="20"/>
          <w:szCs w:val="20"/>
        </w:rPr>
        <w:t xml:space="preserve"> </w:t>
      </w:r>
      <w:r w:rsidRPr="00B229C2">
        <w:rPr>
          <w:rFonts w:ascii="Arial" w:hAnsi="Arial" w:cs="Arial"/>
          <w:sz w:val="20"/>
          <w:szCs w:val="20"/>
        </w:rPr>
        <w:t xml:space="preserve">only valid in </w:t>
      </w:r>
      <w:r w:rsidR="00BE47FC">
        <w:rPr>
          <w:rFonts w:ascii="Arial" w:hAnsi="Arial" w:cs="Arial"/>
          <w:sz w:val="20"/>
        </w:rPr>
        <w:t xml:space="preserve">the Republic of Armenia </w:t>
      </w:r>
      <w:r w:rsidRPr="00B229C2">
        <w:rPr>
          <w:rFonts w:ascii="Arial" w:hAnsi="Arial" w:cs="Arial"/>
          <w:sz w:val="20"/>
          <w:szCs w:val="20"/>
        </w:rPr>
        <w:t>responsible for such certifying staff qualification and</w:t>
      </w:r>
      <w:r w:rsidRPr="00B229C2">
        <w:rPr>
          <w:rFonts w:ascii="Arial" w:hAnsi="Arial" w:cs="Arial"/>
          <w:spacing w:val="1"/>
          <w:sz w:val="20"/>
          <w:szCs w:val="20"/>
        </w:rPr>
        <w:t xml:space="preserve"> </w:t>
      </w:r>
      <w:r w:rsidRPr="00B229C2">
        <w:rPr>
          <w:rFonts w:ascii="Arial" w:hAnsi="Arial" w:cs="Arial"/>
          <w:sz w:val="20"/>
          <w:szCs w:val="20"/>
        </w:rPr>
        <w:t>where</w:t>
      </w:r>
      <w:r w:rsidRPr="00B229C2">
        <w:rPr>
          <w:rFonts w:ascii="Arial" w:hAnsi="Arial" w:cs="Arial"/>
          <w:spacing w:val="-2"/>
          <w:sz w:val="20"/>
          <w:szCs w:val="20"/>
        </w:rPr>
        <w:t xml:space="preserve"> </w:t>
      </w:r>
      <w:r w:rsidRPr="00B229C2">
        <w:rPr>
          <w:rFonts w:ascii="Arial" w:hAnsi="Arial" w:cs="Arial"/>
          <w:sz w:val="20"/>
          <w:szCs w:val="20"/>
        </w:rPr>
        <w:t>the aircraft is</w:t>
      </w:r>
      <w:r w:rsidRPr="00B229C2">
        <w:rPr>
          <w:rFonts w:ascii="Arial" w:hAnsi="Arial" w:cs="Arial"/>
          <w:spacing w:val="-2"/>
          <w:sz w:val="20"/>
          <w:szCs w:val="20"/>
        </w:rPr>
        <w:t xml:space="preserve"> </w:t>
      </w:r>
      <w:r w:rsidRPr="00B229C2">
        <w:rPr>
          <w:rFonts w:ascii="Arial" w:hAnsi="Arial" w:cs="Arial"/>
          <w:sz w:val="20"/>
          <w:szCs w:val="20"/>
        </w:rPr>
        <w:t>registered.</w:t>
      </w:r>
    </w:p>
    <w:p w14:paraId="78C603CA" w14:textId="77777777" w:rsidR="00B229C2" w:rsidRPr="00B229C2" w:rsidRDefault="00B229C2" w:rsidP="003075E4">
      <w:pPr>
        <w:pStyle w:val="BodyText"/>
        <w:numPr>
          <w:ilvl w:val="0"/>
          <w:numId w:val="319"/>
        </w:numPr>
        <w:ind w:right="44"/>
        <w:jc w:val="both"/>
        <w:rPr>
          <w:rFonts w:ascii="Arial" w:hAnsi="Arial" w:cs="Arial"/>
          <w:b/>
          <w:bCs/>
          <w:sz w:val="20"/>
          <w:szCs w:val="20"/>
        </w:rPr>
      </w:pPr>
      <w:r w:rsidRPr="00B229C2">
        <w:rPr>
          <w:rFonts w:ascii="Arial" w:eastAsiaTheme="minorHAnsi" w:hAnsi="Arial" w:cs="Arial"/>
          <w:b/>
          <w:bCs/>
          <w:sz w:val="20"/>
          <w:szCs w:val="20"/>
        </w:rPr>
        <w:t>Parts and appliances to be installed as part of a SC/SR</w:t>
      </w:r>
    </w:p>
    <w:p w14:paraId="5F8C66A0" w14:textId="71DD9B7E" w:rsidR="00B229C2" w:rsidRPr="00B229C2" w:rsidRDefault="00B229C2" w:rsidP="003075E4">
      <w:pPr>
        <w:spacing w:before="121"/>
        <w:ind w:left="706" w:right="44"/>
        <w:jc w:val="both"/>
        <w:rPr>
          <w:rFonts w:ascii="Arial" w:hAnsi="Arial" w:cs="Arial"/>
          <w:sz w:val="20"/>
          <w:szCs w:val="20"/>
        </w:rPr>
      </w:pPr>
      <w:r w:rsidRPr="00B229C2">
        <w:rPr>
          <w:rFonts w:ascii="Arial" w:hAnsi="Arial" w:cs="Arial"/>
          <w:sz w:val="20"/>
          <w:szCs w:val="20"/>
        </w:rPr>
        <w:t>The design of the parts and appliances to be used in a SC/SR is considered a part of the</w:t>
      </w:r>
      <w:r w:rsidRPr="00B229C2">
        <w:rPr>
          <w:rFonts w:ascii="Arial" w:hAnsi="Arial" w:cs="Arial"/>
          <w:spacing w:val="1"/>
          <w:sz w:val="20"/>
          <w:szCs w:val="20"/>
        </w:rPr>
        <w:t xml:space="preserve"> </w:t>
      </w:r>
      <w:r w:rsidRPr="00B229C2">
        <w:rPr>
          <w:rFonts w:ascii="Arial" w:hAnsi="Arial" w:cs="Arial"/>
          <w:sz w:val="20"/>
          <w:szCs w:val="20"/>
        </w:rPr>
        <w:t>change/repair, and, therefore, there is no need of a specific design approval. However, it is</w:t>
      </w:r>
      <w:r w:rsidRPr="00B229C2">
        <w:rPr>
          <w:rFonts w:ascii="Arial" w:hAnsi="Arial" w:cs="Arial"/>
          <w:spacing w:val="1"/>
          <w:sz w:val="20"/>
          <w:szCs w:val="20"/>
        </w:rPr>
        <w:t xml:space="preserve"> </w:t>
      </w:r>
      <w:r w:rsidRPr="00B229C2">
        <w:rPr>
          <w:rFonts w:ascii="Arial" w:hAnsi="Arial" w:cs="Arial"/>
          <w:sz w:val="20"/>
          <w:szCs w:val="20"/>
        </w:rPr>
        <w:t>possible that for a particular SC, these certification specifications specifically require the use of</w:t>
      </w:r>
      <w:r w:rsidRPr="00B229C2">
        <w:rPr>
          <w:rFonts w:ascii="Arial" w:hAnsi="Arial" w:cs="Arial"/>
          <w:spacing w:val="-47"/>
          <w:sz w:val="20"/>
          <w:szCs w:val="20"/>
        </w:rPr>
        <w:t xml:space="preserve"> </w:t>
      </w:r>
      <w:r w:rsidRPr="00B229C2">
        <w:rPr>
          <w:rFonts w:ascii="Arial" w:hAnsi="Arial" w:cs="Arial"/>
          <w:sz w:val="20"/>
          <w:szCs w:val="20"/>
        </w:rPr>
        <w:t>parts</w:t>
      </w:r>
      <w:r w:rsidRPr="00B229C2">
        <w:rPr>
          <w:rFonts w:ascii="Arial" w:hAnsi="Arial" w:cs="Arial"/>
          <w:spacing w:val="-8"/>
          <w:sz w:val="20"/>
          <w:szCs w:val="20"/>
        </w:rPr>
        <w:t xml:space="preserve"> </w:t>
      </w:r>
      <w:r w:rsidRPr="00B229C2">
        <w:rPr>
          <w:rFonts w:ascii="Arial" w:hAnsi="Arial" w:cs="Arial"/>
          <w:sz w:val="20"/>
          <w:szCs w:val="20"/>
        </w:rPr>
        <w:t>and</w:t>
      </w:r>
      <w:r w:rsidRPr="00B229C2">
        <w:rPr>
          <w:rFonts w:ascii="Arial" w:hAnsi="Arial" w:cs="Arial"/>
          <w:spacing w:val="-8"/>
          <w:sz w:val="20"/>
          <w:szCs w:val="20"/>
        </w:rPr>
        <w:t xml:space="preserve"> </w:t>
      </w:r>
      <w:r w:rsidRPr="00B229C2">
        <w:rPr>
          <w:rFonts w:ascii="Arial" w:hAnsi="Arial" w:cs="Arial"/>
          <w:sz w:val="20"/>
          <w:szCs w:val="20"/>
        </w:rPr>
        <w:t>appliances</w:t>
      </w:r>
      <w:r w:rsidRPr="00B229C2">
        <w:rPr>
          <w:rFonts w:ascii="Arial" w:hAnsi="Arial" w:cs="Arial"/>
          <w:spacing w:val="-10"/>
          <w:sz w:val="20"/>
          <w:szCs w:val="20"/>
        </w:rPr>
        <w:t xml:space="preserve"> </w:t>
      </w:r>
      <w:r w:rsidRPr="00B229C2">
        <w:rPr>
          <w:rFonts w:ascii="Arial" w:hAnsi="Arial" w:cs="Arial"/>
          <w:sz w:val="20"/>
          <w:szCs w:val="20"/>
        </w:rPr>
        <w:t>that</w:t>
      </w:r>
      <w:r w:rsidRPr="00B229C2">
        <w:rPr>
          <w:rFonts w:ascii="Arial" w:hAnsi="Arial" w:cs="Arial"/>
          <w:spacing w:val="-9"/>
          <w:sz w:val="20"/>
          <w:szCs w:val="20"/>
        </w:rPr>
        <w:t xml:space="preserve"> </w:t>
      </w:r>
      <w:r w:rsidRPr="00B229C2">
        <w:rPr>
          <w:rFonts w:ascii="Arial" w:hAnsi="Arial" w:cs="Arial"/>
          <w:sz w:val="20"/>
          <w:szCs w:val="20"/>
        </w:rPr>
        <w:t>meet</w:t>
      </w:r>
      <w:r w:rsidRPr="00B229C2">
        <w:rPr>
          <w:rFonts w:ascii="Arial" w:hAnsi="Arial" w:cs="Arial"/>
          <w:spacing w:val="-7"/>
          <w:sz w:val="20"/>
          <w:szCs w:val="20"/>
        </w:rPr>
        <w:t xml:space="preserve"> </w:t>
      </w:r>
      <w:r w:rsidRPr="00B229C2">
        <w:rPr>
          <w:rFonts w:ascii="Arial" w:hAnsi="Arial" w:cs="Arial"/>
          <w:sz w:val="20"/>
          <w:szCs w:val="20"/>
        </w:rPr>
        <w:t>a</w:t>
      </w:r>
      <w:r w:rsidRPr="00B229C2">
        <w:rPr>
          <w:rFonts w:ascii="Arial" w:hAnsi="Arial" w:cs="Arial"/>
          <w:spacing w:val="-10"/>
          <w:sz w:val="20"/>
          <w:szCs w:val="20"/>
        </w:rPr>
        <w:t xml:space="preserve"> </w:t>
      </w:r>
      <w:r w:rsidRPr="00B229C2">
        <w:rPr>
          <w:rFonts w:ascii="Arial" w:hAnsi="Arial" w:cs="Arial"/>
          <w:sz w:val="20"/>
          <w:szCs w:val="20"/>
        </w:rPr>
        <w:t>technical</w:t>
      </w:r>
      <w:r w:rsidRPr="00B229C2">
        <w:rPr>
          <w:rFonts w:ascii="Arial" w:hAnsi="Arial" w:cs="Arial"/>
          <w:spacing w:val="-7"/>
          <w:sz w:val="20"/>
          <w:szCs w:val="20"/>
        </w:rPr>
        <w:t xml:space="preserve"> </w:t>
      </w:r>
      <w:r w:rsidRPr="00B229C2">
        <w:rPr>
          <w:rFonts w:ascii="Arial" w:hAnsi="Arial" w:cs="Arial"/>
          <w:sz w:val="20"/>
          <w:szCs w:val="20"/>
        </w:rPr>
        <w:t>standard.</w:t>
      </w:r>
      <w:r w:rsidRPr="00B229C2">
        <w:rPr>
          <w:rFonts w:ascii="Arial" w:hAnsi="Arial" w:cs="Arial"/>
          <w:spacing w:val="-9"/>
          <w:sz w:val="20"/>
          <w:szCs w:val="20"/>
        </w:rPr>
        <w:t xml:space="preserve"> </w:t>
      </w:r>
      <w:r w:rsidRPr="00B229C2">
        <w:rPr>
          <w:rFonts w:ascii="Arial" w:hAnsi="Arial" w:cs="Arial"/>
          <w:sz w:val="20"/>
          <w:szCs w:val="20"/>
        </w:rPr>
        <w:t>In</w:t>
      </w:r>
      <w:r w:rsidRPr="00B229C2">
        <w:rPr>
          <w:rFonts w:ascii="Arial" w:hAnsi="Arial" w:cs="Arial"/>
          <w:spacing w:val="-10"/>
          <w:sz w:val="20"/>
          <w:szCs w:val="20"/>
        </w:rPr>
        <w:t xml:space="preserve"> </w:t>
      </w:r>
      <w:r w:rsidRPr="00B229C2">
        <w:rPr>
          <w:rFonts w:ascii="Arial" w:hAnsi="Arial" w:cs="Arial"/>
          <w:sz w:val="20"/>
          <w:szCs w:val="20"/>
        </w:rPr>
        <w:t>this</w:t>
      </w:r>
      <w:r w:rsidRPr="00B229C2">
        <w:rPr>
          <w:rFonts w:ascii="Arial" w:hAnsi="Arial" w:cs="Arial"/>
          <w:spacing w:val="-8"/>
          <w:sz w:val="20"/>
          <w:szCs w:val="20"/>
        </w:rPr>
        <w:t xml:space="preserve"> </w:t>
      </w:r>
      <w:r w:rsidRPr="00B229C2">
        <w:rPr>
          <w:rFonts w:ascii="Arial" w:hAnsi="Arial" w:cs="Arial"/>
          <w:sz w:val="20"/>
          <w:szCs w:val="20"/>
        </w:rPr>
        <w:t>case,</w:t>
      </w:r>
      <w:r w:rsidRPr="00B229C2">
        <w:rPr>
          <w:rFonts w:ascii="Arial" w:hAnsi="Arial" w:cs="Arial"/>
          <w:spacing w:val="-7"/>
          <w:sz w:val="20"/>
          <w:szCs w:val="20"/>
        </w:rPr>
        <w:t xml:space="preserve"> </w:t>
      </w:r>
      <w:r w:rsidRPr="00B229C2">
        <w:rPr>
          <w:rFonts w:ascii="Arial" w:hAnsi="Arial" w:cs="Arial"/>
          <w:sz w:val="20"/>
          <w:szCs w:val="20"/>
        </w:rPr>
        <w:t>when</w:t>
      </w:r>
      <w:r w:rsidRPr="00B229C2">
        <w:rPr>
          <w:rFonts w:ascii="Arial" w:hAnsi="Arial" w:cs="Arial"/>
          <w:spacing w:val="-7"/>
          <w:sz w:val="20"/>
          <w:szCs w:val="20"/>
        </w:rPr>
        <w:t xml:space="preserve"> </w:t>
      </w:r>
      <w:r w:rsidRPr="00B229C2">
        <w:rPr>
          <w:rFonts w:ascii="Arial" w:hAnsi="Arial" w:cs="Arial"/>
          <w:sz w:val="20"/>
          <w:szCs w:val="20"/>
        </w:rPr>
        <w:t>the</w:t>
      </w:r>
      <w:r w:rsidRPr="00B229C2">
        <w:rPr>
          <w:rFonts w:ascii="Arial" w:hAnsi="Arial" w:cs="Arial"/>
          <w:spacing w:val="-10"/>
          <w:sz w:val="20"/>
          <w:szCs w:val="20"/>
        </w:rPr>
        <w:t xml:space="preserve"> </w:t>
      </w:r>
      <w:r w:rsidRPr="00B229C2">
        <w:rPr>
          <w:rFonts w:ascii="Arial" w:hAnsi="Arial" w:cs="Arial"/>
          <w:sz w:val="20"/>
          <w:szCs w:val="20"/>
        </w:rPr>
        <w:t>parts</w:t>
      </w:r>
      <w:r w:rsidRPr="00B229C2">
        <w:rPr>
          <w:rFonts w:ascii="Arial" w:hAnsi="Arial" w:cs="Arial"/>
          <w:spacing w:val="-7"/>
          <w:sz w:val="20"/>
          <w:szCs w:val="20"/>
        </w:rPr>
        <w:t xml:space="preserve"> </w:t>
      </w:r>
      <w:r w:rsidRPr="00B229C2">
        <w:rPr>
          <w:rFonts w:ascii="Arial" w:hAnsi="Arial" w:cs="Arial"/>
          <w:sz w:val="20"/>
          <w:szCs w:val="20"/>
        </w:rPr>
        <w:t>and</w:t>
      </w:r>
      <w:r w:rsidRPr="00B229C2">
        <w:rPr>
          <w:rFonts w:ascii="Arial" w:hAnsi="Arial" w:cs="Arial"/>
          <w:spacing w:val="-9"/>
          <w:sz w:val="20"/>
          <w:szCs w:val="20"/>
        </w:rPr>
        <w:t xml:space="preserve"> </w:t>
      </w:r>
      <w:r w:rsidRPr="00B229C2">
        <w:rPr>
          <w:rFonts w:ascii="Arial" w:hAnsi="Arial" w:cs="Arial"/>
          <w:sz w:val="20"/>
          <w:szCs w:val="20"/>
        </w:rPr>
        <w:t>appliances</w:t>
      </w:r>
      <w:r w:rsidRPr="00B229C2">
        <w:rPr>
          <w:rFonts w:ascii="Arial" w:hAnsi="Arial" w:cs="Arial"/>
          <w:spacing w:val="-47"/>
          <w:sz w:val="20"/>
          <w:szCs w:val="20"/>
        </w:rPr>
        <w:t xml:space="preserve"> </w:t>
      </w:r>
      <w:r w:rsidRPr="00B229C2">
        <w:rPr>
          <w:rFonts w:ascii="Arial" w:hAnsi="Arial" w:cs="Arial"/>
          <w:sz w:val="20"/>
          <w:szCs w:val="20"/>
        </w:rPr>
        <w:t>are required to be authorised as an ETSO article, other articles recognised as equivalent by</w:t>
      </w:r>
      <w:r w:rsidRPr="00B229C2">
        <w:rPr>
          <w:rFonts w:ascii="Arial" w:hAnsi="Arial" w:cs="Arial"/>
          <w:spacing w:val="1"/>
          <w:sz w:val="20"/>
          <w:szCs w:val="20"/>
        </w:rPr>
        <w:t xml:space="preserve"> </w:t>
      </w:r>
      <w:r w:rsidRPr="00B229C2">
        <w:rPr>
          <w:rFonts w:ascii="Arial" w:hAnsi="Arial" w:cs="Arial"/>
          <w:sz w:val="20"/>
          <w:szCs w:val="20"/>
        </w:rPr>
        <w:t xml:space="preserve">means of an international safety agreement or grandfathered in accordance with </w:t>
      </w:r>
      <w:hyperlink r:id="rId121" w:history="1">
        <w:r w:rsidR="003D723D">
          <w:rPr>
            <w:rStyle w:val="Hyperlink"/>
            <w:rFonts w:ascii="Arial" w:hAnsi="Arial" w:cs="Arial"/>
            <w:sz w:val="20"/>
          </w:rPr>
          <w:t>the order N 20-N of the Minister of Territorial Administration and Infrastructure of RA, dated 18.11.2022</w:t>
        </w:r>
      </w:hyperlink>
      <w:r w:rsidR="003D723D">
        <w:t xml:space="preserve"> </w:t>
      </w:r>
      <w:r w:rsidRPr="00B229C2">
        <w:rPr>
          <w:rFonts w:ascii="Arial" w:hAnsi="Arial" w:cs="Arial"/>
          <w:sz w:val="20"/>
          <w:szCs w:val="20"/>
        </w:rPr>
        <w:t>are</w:t>
      </w:r>
      <w:r w:rsidRPr="00B229C2">
        <w:rPr>
          <w:rFonts w:ascii="Arial" w:hAnsi="Arial" w:cs="Arial"/>
          <w:spacing w:val="-2"/>
          <w:sz w:val="20"/>
          <w:szCs w:val="20"/>
        </w:rPr>
        <w:t xml:space="preserve"> </w:t>
      </w:r>
      <w:r w:rsidRPr="00B229C2">
        <w:rPr>
          <w:rFonts w:ascii="Arial" w:hAnsi="Arial" w:cs="Arial"/>
          <w:sz w:val="20"/>
          <w:szCs w:val="20"/>
        </w:rPr>
        <w:t>equally acceptable.</w:t>
      </w:r>
    </w:p>
    <w:p w14:paraId="2849E6E9" w14:textId="664A817A" w:rsidR="00B229C2" w:rsidRPr="00B229C2" w:rsidRDefault="00B229C2" w:rsidP="003075E4">
      <w:pPr>
        <w:pStyle w:val="BodyText"/>
        <w:spacing w:before="57"/>
        <w:ind w:left="706" w:right="44"/>
        <w:jc w:val="both"/>
        <w:rPr>
          <w:rFonts w:ascii="Arial" w:hAnsi="Arial" w:cs="Arial"/>
          <w:sz w:val="20"/>
        </w:rPr>
      </w:pPr>
      <w:r w:rsidRPr="00B229C2">
        <w:rPr>
          <w:rFonts w:ascii="Arial" w:hAnsi="Arial" w:cs="Arial"/>
          <w:sz w:val="20"/>
        </w:rPr>
        <w:t>Normally, a SC/SR shall not contain specifically designed parts that should be produced by a</w:t>
      </w:r>
      <w:r w:rsidRPr="00B229C2">
        <w:rPr>
          <w:rFonts w:ascii="Arial" w:hAnsi="Arial" w:cs="Arial"/>
          <w:spacing w:val="1"/>
          <w:sz w:val="20"/>
        </w:rPr>
        <w:t xml:space="preserve"> </w:t>
      </w:r>
      <w:r w:rsidRPr="00B229C2">
        <w:rPr>
          <w:rFonts w:ascii="Arial" w:hAnsi="Arial" w:cs="Arial"/>
          <w:sz w:val="20"/>
        </w:rPr>
        <w:t>production organisation approved in accordance with Part 21 (POA). However, in the case that</w:t>
      </w:r>
      <w:r w:rsidRPr="00B229C2">
        <w:rPr>
          <w:rFonts w:ascii="Arial" w:hAnsi="Arial" w:cs="Arial"/>
          <w:spacing w:val="-47"/>
          <w:sz w:val="20"/>
        </w:rPr>
        <w:t xml:space="preserve"> </w:t>
      </w:r>
      <w:r w:rsidRPr="00B229C2">
        <w:rPr>
          <w:rFonts w:ascii="Arial" w:hAnsi="Arial" w:cs="Arial"/>
          <w:sz w:val="20"/>
        </w:rPr>
        <w:t>the</w:t>
      </w:r>
      <w:r w:rsidRPr="00B229C2">
        <w:rPr>
          <w:rFonts w:ascii="Arial" w:hAnsi="Arial" w:cs="Arial"/>
          <w:spacing w:val="1"/>
          <w:sz w:val="20"/>
        </w:rPr>
        <w:t xml:space="preserve"> </w:t>
      </w:r>
      <w:r w:rsidRPr="00B229C2">
        <w:rPr>
          <w:rFonts w:ascii="Arial" w:hAnsi="Arial" w:cs="Arial"/>
          <w:sz w:val="20"/>
        </w:rPr>
        <w:t>change</w:t>
      </w:r>
      <w:r w:rsidRPr="00B229C2">
        <w:rPr>
          <w:rFonts w:ascii="Arial" w:hAnsi="Arial" w:cs="Arial"/>
          <w:spacing w:val="1"/>
          <w:sz w:val="20"/>
        </w:rPr>
        <w:t xml:space="preserve"> </w:t>
      </w:r>
      <w:r w:rsidRPr="00B229C2">
        <w:rPr>
          <w:rFonts w:ascii="Arial" w:hAnsi="Arial" w:cs="Arial"/>
          <w:sz w:val="20"/>
        </w:rPr>
        <w:t>or</w:t>
      </w:r>
      <w:r w:rsidRPr="00B229C2">
        <w:rPr>
          <w:rFonts w:ascii="Arial" w:hAnsi="Arial" w:cs="Arial"/>
          <w:spacing w:val="1"/>
          <w:sz w:val="20"/>
        </w:rPr>
        <w:t xml:space="preserve"> </w:t>
      </w:r>
      <w:r w:rsidRPr="00B229C2">
        <w:rPr>
          <w:rFonts w:ascii="Arial" w:hAnsi="Arial" w:cs="Arial"/>
          <w:sz w:val="20"/>
        </w:rPr>
        <w:t>repair</w:t>
      </w:r>
      <w:r w:rsidRPr="00B229C2">
        <w:rPr>
          <w:rFonts w:ascii="Arial" w:hAnsi="Arial" w:cs="Arial"/>
          <w:spacing w:val="1"/>
          <w:sz w:val="20"/>
        </w:rPr>
        <w:t xml:space="preserve"> </w:t>
      </w:r>
      <w:r w:rsidRPr="00B229C2">
        <w:rPr>
          <w:rFonts w:ascii="Arial" w:hAnsi="Arial" w:cs="Arial"/>
          <w:sz w:val="20"/>
        </w:rPr>
        <w:t>would</w:t>
      </w:r>
      <w:r w:rsidRPr="00B229C2">
        <w:rPr>
          <w:rFonts w:ascii="Arial" w:hAnsi="Arial" w:cs="Arial"/>
          <w:spacing w:val="1"/>
          <w:sz w:val="20"/>
        </w:rPr>
        <w:t xml:space="preserve"> </w:t>
      </w:r>
      <w:r w:rsidRPr="00B229C2">
        <w:rPr>
          <w:rFonts w:ascii="Arial" w:hAnsi="Arial" w:cs="Arial"/>
          <w:sz w:val="20"/>
        </w:rPr>
        <w:t>contain</w:t>
      </w:r>
      <w:r w:rsidRPr="00B229C2">
        <w:rPr>
          <w:rFonts w:ascii="Arial" w:hAnsi="Arial" w:cs="Arial"/>
          <w:spacing w:val="1"/>
          <w:sz w:val="20"/>
        </w:rPr>
        <w:t xml:space="preserve"> </w:t>
      </w:r>
      <w:r w:rsidRPr="00B229C2">
        <w:rPr>
          <w:rFonts w:ascii="Arial" w:hAnsi="Arial" w:cs="Arial"/>
          <w:sz w:val="20"/>
        </w:rPr>
        <w:t>such</w:t>
      </w:r>
      <w:r w:rsidRPr="00B229C2">
        <w:rPr>
          <w:rFonts w:ascii="Arial" w:hAnsi="Arial" w:cs="Arial"/>
          <w:spacing w:val="1"/>
          <w:sz w:val="20"/>
        </w:rPr>
        <w:t xml:space="preserve"> </w:t>
      </w:r>
      <w:r w:rsidRPr="00B229C2">
        <w:rPr>
          <w:rFonts w:ascii="Arial" w:hAnsi="Arial" w:cs="Arial"/>
          <w:sz w:val="20"/>
        </w:rPr>
        <w:t>a</w:t>
      </w:r>
      <w:r w:rsidRPr="00B229C2">
        <w:rPr>
          <w:rFonts w:ascii="Arial" w:hAnsi="Arial" w:cs="Arial"/>
          <w:spacing w:val="1"/>
          <w:sz w:val="20"/>
        </w:rPr>
        <w:t xml:space="preserve"> </w:t>
      </w:r>
      <w:r w:rsidRPr="00B229C2">
        <w:rPr>
          <w:rFonts w:ascii="Arial" w:hAnsi="Arial" w:cs="Arial"/>
          <w:sz w:val="20"/>
        </w:rPr>
        <w:t>part,</w:t>
      </w:r>
      <w:r w:rsidRPr="00B229C2">
        <w:rPr>
          <w:rFonts w:ascii="Arial" w:hAnsi="Arial" w:cs="Arial"/>
          <w:spacing w:val="1"/>
          <w:sz w:val="20"/>
        </w:rPr>
        <w:t xml:space="preserve"> </w:t>
      </w:r>
      <w:r w:rsidRPr="00B229C2">
        <w:rPr>
          <w:rFonts w:ascii="Arial" w:hAnsi="Arial" w:cs="Arial"/>
          <w:sz w:val="20"/>
        </w:rPr>
        <w:t>it</w:t>
      </w:r>
      <w:r w:rsidRPr="00B229C2">
        <w:rPr>
          <w:rFonts w:ascii="Arial" w:hAnsi="Arial" w:cs="Arial"/>
          <w:spacing w:val="1"/>
          <w:sz w:val="20"/>
        </w:rPr>
        <w:t xml:space="preserve"> </w:t>
      </w:r>
      <w:r w:rsidRPr="00B229C2">
        <w:rPr>
          <w:rFonts w:ascii="Arial" w:hAnsi="Arial" w:cs="Arial"/>
          <w:sz w:val="20"/>
        </w:rPr>
        <w:t>should</w:t>
      </w:r>
      <w:r w:rsidRPr="00B229C2">
        <w:rPr>
          <w:rFonts w:ascii="Arial" w:hAnsi="Arial" w:cs="Arial"/>
          <w:spacing w:val="1"/>
          <w:sz w:val="20"/>
        </w:rPr>
        <w:t xml:space="preserve"> </w:t>
      </w:r>
      <w:r w:rsidRPr="00B229C2">
        <w:rPr>
          <w:rFonts w:ascii="Arial" w:hAnsi="Arial" w:cs="Arial"/>
          <w:sz w:val="20"/>
        </w:rPr>
        <w:t>be</w:t>
      </w:r>
      <w:r w:rsidRPr="00B229C2">
        <w:rPr>
          <w:rFonts w:ascii="Arial" w:hAnsi="Arial" w:cs="Arial"/>
          <w:spacing w:val="1"/>
          <w:sz w:val="20"/>
        </w:rPr>
        <w:t xml:space="preserve"> </w:t>
      </w:r>
      <w:r w:rsidRPr="00B229C2">
        <w:rPr>
          <w:rFonts w:ascii="Arial" w:hAnsi="Arial" w:cs="Arial"/>
          <w:sz w:val="20"/>
        </w:rPr>
        <w:t>produced</w:t>
      </w:r>
      <w:r w:rsidRPr="00B229C2">
        <w:rPr>
          <w:rFonts w:ascii="Arial" w:hAnsi="Arial" w:cs="Arial"/>
          <w:spacing w:val="1"/>
          <w:sz w:val="20"/>
        </w:rPr>
        <w:t xml:space="preserve"> </w:t>
      </w:r>
      <w:r w:rsidRPr="00B229C2">
        <w:rPr>
          <w:rFonts w:ascii="Arial" w:hAnsi="Arial" w:cs="Arial"/>
          <w:sz w:val="20"/>
        </w:rPr>
        <w:t>by</w:t>
      </w:r>
      <w:r w:rsidRPr="00B229C2">
        <w:rPr>
          <w:rFonts w:ascii="Arial" w:hAnsi="Arial" w:cs="Arial"/>
          <w:spacing w:val="1"/>
          <w:sz w:val="20"/>
        </w:rPr>
        <w:t xml:space="preserve"> </w:t>
      </w:r>
      <w:r w:rsidRPr="00B229C2">
        <w:rPr>
          <w:rFonts w:ascii="Arial" w:hAnsi="Arial" w:cs="Arial"/>
          <w:sz w:val="20"/>
        </w:rPr>
        <w:t>an</w:t>
      </w:r>
      <w:r w:rsidRPr="00B229C2">
        <w:rPr>
          <w:rFonts w:ascii="Arial" w:hAnsi="Arial" w:cs="Arial"/>
          <w:spacing w:val="1"/>
          <w:sz w:val="20"/>
        </w:rPr>
        <w:t xml:space="preserve"> </w:t>
      </w:r>
      <w:r w:rsidRPr="00B229C2">
        <w:rPr>
          <w:rFonts w:ascii="Arial" w:hAnsi="Arial" w:cs="Arial"/>
          <w:sz w:val="20"/>
        </w:rPr>
        <w:t>approved</w:t>
      </w:r>
      <w:r w:rsidRPr="00B229C2">
        <w:rPr>
          <w:rFonts w:ascii="Arial" w:hAnsi="Arial" w:cs="Arial"/>
          <w:spacing w:val="-47"/>
          <w:sz w:val="20"/>
        </w:rPr>
        <w:t xml:space="preserve"> </w:t>
      </w:r>
      <w:r w:rsidRPr="00B229C2">
        <w:rPr>
          <w:rFonts w:ascii="Arial" w:hAnsi="Arial" w:cs="Arial"/>
          <w:sz w:val="20"/>
        </w:rPr>
        <w:t xml:space="preserve">production organisation (POA holder), and delivered with </w:t>
      </w:r>
      <w:r w:rsidRPr="00BD3E17">
        <w:rPr>
          <w:rFonts w:ascii="Arial" w:hAnsi="Arial" w:cs="Arial"/>
          <w:sz w:val="20"/>
        </w:rPr>
        <w:t>an  Form 1.</w:t>
      </w:r>
      <w:r w:rsidRPr="00B229C2">
        <w:rPr>
          <w:rFonts w:ascii="Arial" w:hAnsi="Arial" w:cs="Arial"/>
          <w:sz w:val="20"/>
        </w:rPr>
        <w:t xml:space="preserve"> An arrangement in</w:t>
      </w:r>
      <w:r w:rsidRPr="00B229C2">
        <w:rPr>
          <w:rFonts w:ascii="Arial" w:hAnsi="Arial" w:cs="Arial"/>
          <w:spacing w:val="1"/>
          <w:sz w:val="20"/>
        </w:rPr>
        <w:t xml:space="preserve"> </w:t>
      </w:r>
      <w:r w:rsidRPr="00B229C2">
        <w:rPr>
          <w:rFonts w:ascii="Arial" w:hAnsi="Arial" w:cs="Arial"/>
          <w:sz w:val="20"/>
        </w:rPr>
        <w:t>accordance with 21.A.122(b) is not</w:t>
      </w:r>
      <w:r w:rsidRPr="00B229C2">
        <w:rPr>
          <w:rFonts w:ascii="Arial" w:hAnsi="Arial" w:cs="Arial"/>
          <w:spacing w:val="-2"/>
          <w:sz w:val="20"/>
        </w:rPr>
        <w:t xml:space="preserve"> </w:t>
      </w:r>
      <w:r w:rsidRPr="00B229C2">
        <w:rPr>
          <w:rFonts w:ascii="Arial" w:hAnsi="Arial" w:cs="Arial"/>
          <w:sz w:val="20"/>
        </w:rPr>
        <w:t>applicable.</w:t>
      </w:r>
    </w:p>
    <w:p w14:paraId="362C49DE" w14:textId="0485AF77" w:rsidR="00B229C2" w:rsidRPr="00BE332C" w:rsidRDefault="00B229C2" w:rsidP="003075E4">
      <w:pPr>
        <w:pStyle w:val="BodyText"/>
        <w:spacing w:before="119"/>
        <w:ind w:left="706" w:right="44"/>
        <w:jc w:val="both"/>
        <w:rPr>
          <w:rFonts w:ascii="Arial" w:hAnsi="Arial" w:cs="Arial"/>
          <w:sz w:val="20"/>
          <w:szCs w:val="20"/>
        </w:rPr>
      </w:pPr>
      <w:r w:rsidRPr="00B229C2">
        <w:rPr>
          <w:rFonts w:ascii="Arial" w:hAnsi="Arial" w:cs="Arial"/>
          <w:sz w:val="20"/>
        </w:rPr>
        <w:t>Eligibility for installation of parts and appliances belonging to a SC/SR is subject to compliance</w:t>
      </w:r>
      <w:r w:rsidRPr="00B229C2">
        <w:rPr>
          <w:rFonts w:ascii="Arial" w:hAnsi="Arial" w:cs="Arial"/>
          <w:spacing w:val="1"/>
          <w:sz w:val="20"/>
        </w:rPr>
        <w:t xml:space="preserve"> </w:t>
      </w:r>
      <w:r w:rsidRPr="00B229C2">
        <w:rPr>
          <w:rFonts w:ascii="Arial" w:hAnsi="Arial" w:cs="Arial"/>
          <w:sz w:val="20"/>
        </w:rPr>
        <w:t>with</w:t>
      </w:r>
      <w:r w:rsidRPr="00B229C2">
        <w:rPr>
          <w:rFonts w:ascii="Arial" w:hAnsi="Arial" w:cs="Arial"/>
          <w:spacing w:val="1"/>
          <w:sz w:val="20"/>
        </w:rPr>
        <w:t xml:space="preserve"> </w:t>
      </w:r>
      <w:r w:rsidRPr="00B229C2">
        <w:rPr>
          <w:rFonts w:ascii="Arial" w:hAnsi="Arial" w:cs="Arial"/>
          <w:sz w:val="20"/>
        </w:rPr>
        <w:t>the</w:t>
      </w:r>
      <w:r w:rsidRPr="00B229C2">
        <w:rPr>
          <w:rFonts w:ascii="Arial" w:hAnsi="Arial" w:cs="Arial"/>
          <w:spacing w:val="1"/>
          <w:sz w:val="20"/>
        </w:rPr>
        <w:t xml:space="preserve"> </w:t>
      </w:r>
      <w:r w:rsidRPr="00B229C2">
        <w:rPr>
          <w:rFonts w:ascii="Arial" w:hAnsi="Arial" w:cs="Arial"/>
          <w:sz w:val="20"/>
        </w:rPr>
        <w:t>Part</w:t>
      </w:r>
      <w:r w:rsidRPr="00B229C2">
        <w:rPr>
          <w:rFonts w:ascii="Arial" w:hAnsi="Arial" w:cs="Arial"/>
          <w:spacing w:val="1"/>
          <w:sz w:val="20"/>
        </w:rPr>
        <w:t xml:space="preserve"> </w:t>
      </w:r>
      <w:r w:rsidRPr="00B229C2">
        <w:rPr>
          <w:rFonts w:ascii="Arial" w:hAnsi="Arial" w:cs="Arial"/>
          <w:sz w:val="20"/>
        </w:rPr>
        <w:t>21</w:t>
      </w:r>
      <w:r w:rsidRPr="00B229C2">
        <w:rPr>
          <w:rFonts w:ascii="Arial" w:hAnsi="Arial" w:cs="Arial"/>
          <w:spacing w:val="1"/>
          <w:sz w:val="20"/>
        </w:rPr>
        <w:t xml:space="preserve"> </w:t>
      </w:r>
      <w:r w:rsidRPr="00B229C2">
        <w:rPr>
          <w:rFonts w:ascii="Arial" w:hAnsi="Arial" w:cs="Arial"/>
          <w:sz w:val="20"/>
        </w:rPr>
        <w:t>and</w:t>
      </w:r>
      <w:r w:rsidRPr="00B229C2">
        <w:rPr>
          <w:rFonts w:ascii="Arial" w:hAnsi="Arial" w:cs="Arial"/>
          <w:spacing w:val="1"/>
          <w:sz w:val="20"/>
        </w:rPr>
        <w:t xml:space="preserve"> </w:t>
      </w:r>
      <w:r w:rsidRPr="00B229C2">
        <w:rPr>
          <w:rFonts w:ascii="Arial" w:hAnsi="Arial" w:cs="Arial"/>
          <w:sz w:val="20"/>
        </w:rPr>
        <w:t>Part-ML</w:t>
      </w:r>
      <w:r w:rsidRPr="00B229C2">
        <w:rPr>
          <w:rFonts w:ascii="Arial" w:hAnsi="Arial" w:cs="Arial"/>
          <w:spacing w:val="1"/>
          <w:sz w:val="20"/>
        </w:rPr>
        <w:t xml:space="preserve"> </w:t>
      </w:r>
      <w:r w:rsidRPr="00B229C2">
        <w:rPr>
          <w:rFonts w:ascii="Arial" w:hAnsi="Arial" w:cs="Arial"/>
          <w:sz w:val="20"/>
        </w:rPr>
        <w:t>and</w:t>
      </w:r>
      <w:r w:rsidRPr="00B229C2">
        <w:rPr>
          <w:rFonts w:ascii="Arial" w:hAnsi="Arial" w:cs="Arial"/>
          <w:spacing w:val="1"/>
          <w:sz w:val="20"/>
        </w:rPr>
        <w:t xml:space="preserve"> </w:t>
      </w:r>
      <w:r w:rsidRPr="00B229C2">
        <w:rPr>
          <w:rFonts w:ascii="Arial" w:hAnsi="Arial" w:cs="Arial"/>
          <w:sz w:val="20"/>
        </w:rPr>
        <w:t>maintenance-organisation-related</w:t>
      </w:r>
      <w:r w:rsidRPr="00B229C2">
        <w:rPr>
          <w:rFonts w:ascii="Arial" w:hAnsi="Arial" w:cs="Arial"/>
          <w:spacing w:val="1"/>
          <w:sz w:val="20"/>
        </w:rPr>
        <w:t xml:space="preserve"> </w:t>
      </w:r>
      <w:r w:rsidRPr="00B229C2">
        <w:rPr>
          <w:rFonts w:ascii="Arial" w:hAnsi="Arial" w:cs="Arial"/>
          <w:sz w:val="20"/>
        </w:rPr>
        <w:t>provisions,</w:t>
      </w:r>
      <w:r w:rsidRPr="00B229C2">
        <w:rPr>
          <w:rFonts w:ascii="Arial" w:hAnsi="Arial" w:cs="Arial"/>
          <w:spacing w:val="1"/>
          <w:sz w:val="20"/>
        </w:rPr>
        <w:t xml:space="preserve"> </w:t>
      </w:r>
      <w:r w:rsidRPr="00B229C2">
        <w:rPr>
          <w:rFonts w:ascii="Arial" w:hAnsi="Arial" w:cs="Arial"/>
          <w:sz w:val="20"/>
        </w:rPr>
        <w:t>and</w:t>
      </w:r>
      <w:r w:rsidRPr="00B229C2">
        <w:rPr>
          <w:rFonts w:ascii="Arial" w:hAnsi="Arial" w:cs="Arial"/>
          <w:spacing w:val="1"/>
          <w:sz w:val="20"/>
        </w:rPr>
        <w:t xml:space="preserve"> </w:t>
      </w:r>
      <w:r w:rsidRPr="00B229C2">
        <w:rPr>
          <w:rFonts w:ascii="Arial" w:hAnsi="Arial" w:cs="Arial"/>
          <w:sz w:val="20"/>
        </w:rPr>
        <w:t>the</w:t>
      </w:r>
      <w:r w:rsidRPr="00B229C2">
        <w:rPr>
          <w:rFonts w:ascii="Arial" w:hAnsi="Arial" w:cs="Arial"/>
          <w:spacing w:val="1"/>
          <w:sz w:val="20"/>
        </w:rPr>
        <w:t xml:space="preserve"> </w:t>
      </w:r>
      <w:r w:rsidRPr="00BE332C">
        <w:rPr>
          <w:rFonts w:ascii="Arial" w:hAnsi="Arial" w:cs="Arial"/>
          <w:sz w:val="20"/>
          <w:szCs w:val="20"/>
        </w:rPr>
        <w:t>situation varies depending on the aircraft in/on which the SC/SR is to be embodied, and who</w:t>
      </w:r>
      <w:r w:rsidRPr="00BE332C">
        <w:rPr>
          <w:rFonts w:ascii="Arial" w:hAnsi="Arial" w:cs="Arial"/>
          <w:spacing w:val="1"/>
          <w:sz w:val="20"/>
          <w:szCs w:val="20"/>
        </w:rPr>
        <w:t xml:space="preserve"> </w:t>
      </w:r>
      <w:r w:rsidRPr="00BE332C">
        <w:rPr>
          <w:rFonts w:ascii="Arial" w:hAnsi="Arial" w:cs="Arial"/>
          <w:sz w:val="20"/>
          <w:szCs w:val="20"/>
        </w:rPr>
        <w:t xml:space="preserve">the installer is. The need for </w:t>
      </w:r>
      <w:r w:rsidRPr="00BD3E17">
        <w:rPr>
          <w:rFonts w:ascii="Arial" w:hAnsi="Arial" w:cs="Arial"/>
          <w:sz w:val="20"/>
          <w:szCs w:val="20"/>
        </w:rPr>
        <w:t>an  Form 1 is</w:t>
      </w:r>
      <w:r w:rsidRPr="00BE332C">
        <w:rPr>
          <w:rFonts w:ascii="Arial" w:hAnsi="Arial" w:cs="Arial"/>
          <w:sz w:val="20"/>
          <w:szCs w:val="20"/>
        </w:rPr>
        <w:t xml:space="preserve"> addressed in Part 21 and Part-ML, while less</w:t>
      </w:r>
      <w:r w:rsidRPr="00BE332C">
        <w:rPr>
          <w:rFonts w:ascii="Arial" w:hAnsi="Arial" w:cs="Arial"/>
          <w:spacing w:val="1"/>
          <w:sz w:val="20"/>
          <w:szCs w:val="20"/>
        </w:rPr>
        <w:t xml:space="preserve"> </w:t>
      </w:r>
      <w:r w:rsidRPr="00BE332C">
        <w:rPr>
          <w:rFonts w:ascii="Arial" w:hAnsi="Arial" w:cs="Arial"/>
          <w:sz w:val="20"/>
          <w:szCs w:val="20"/>
        </w:rPr>
        <w:t>restrictive rules may, for instance, apply for ELA1 and ELA2 aircraft parts (e.g. 21.A.307) and</w:t>
      </w:r>
      <w:r w:rsidRPr="00BE332C">
        <w:rPr>
          <w:rFonts w:ascii="Arial" w:hAnsi="Arial" w:cs="Arial"/>
          <w:spacing w:val="1"/>
          <w:sz w:val="20"/>
          <w:szCs w:val="20"/>
        </w:rPr>
        <w:t xml:space="preserve"> </w:t>
      </w:r>
      <w:r w:rsidRPr="00BE332C">
        <w:rPr>
          <w:rFonts w:ascii="Arial" w:hAnsi="Arial" w:cs="Arial"/>
          <w:sz w:val="20"/>
          <w:szCs w:val="20"/>
        </w:rPr>
        <w:t>sailplane parts (e.g. AMC 21.A.303 of the ‘AMC and GM to Part 21’). Furthermore, Part-M</w:t>
      </w:r>
      <w:r w:rsidRPr="00BE332C">
        <w:rPr>
          <w:rFonts w:ascii="Arial" w:hAnsi="Arial" w:cs="Arial"/>
          <w:spacing w:val="1"/>
          <w:sz w:val="20"/>
          <w:szCs w:val="20"/>
        </w:rPr>
        <w:t xml:space="preserve"> </w:t>
      </w:r>
      <w:r w:rsidRPr="00BE332C">
        <w:rPr>
          <w:rFonts w:ascii="Arial" w:hAnsi="Arial" w:cs="Arial"/>
          <w:sz w:val="20"/>
          <w:szCs w:val="20"/>
        </w:rPr>
        <w:t>Subpart</w:t>
      </w:r>
      <w:r w:rsidRPr="00BE332C">
        <w:rPr>
          <w:rFonts w:ascii="Arial" w:hAnsi="Arial" w:cs="Arial"/>
          <w:spacing w:val="1"/>
          <w:sz w:val="20"/>
          <w:szCs w:val="20"/>
        </w:rPr>
        <w:t xml:space="preserve"> </w:t>
      </w:r>
      <w:r w:rsidRPr="00BE332C">
        <w:rPr>
          <w:rFonts w:ascii="Arial" w:hAnsi="Arial" w:cs="Arial"/>
          <w:sz w:val="20"/>
          <w:szCs w:val="20"/>
        </w:rPr>
        <w:t>F,</w:t>
      </w:r>
      <w:r w:rsidRPr="00BE332C">
        <w:rPr>
          <w:rFonts w:ascii="Arial" w:hAnsi="Arial" w:cs="Arial"/>
          <w:spacing w:val="1"/>
          <w:sz w:val="20"/>
          <w:szCs w:val="20"/>
        </w:rPr>
        <w:t xml:space="preserve"> </w:t>
      </w:r>
      <w:r w:rsidRPr="00BE332C">
        <w:rPr>
          <w:rFonts w:ascii="Arial" w:hAnsi="Arial" w:cs="Arial"/>
          <w:sz w:val="20"/>
          <w:szCs w:val="20"/>
        </w:rPr>
        <w:t>Part-CAO</w:t>
      </w:r>
      <w:r w:rsidRPr="00BE332C">
        <w:rPr>
          <w:rFonts w:ascii="Arial" w:hAnsi="Arial" w:cs="Arial"/>
          <w:spacing w:val="1"/>
          <w:sz w:val="20"/>
          <w:szCs w:val="20"/>
        </w:rPr>
        <w:t xml:space="preserve"> </w:t>
      </w:r>
      <w:r w:rsidRPr="00BE332C">
        <w:rPr>
          <w:rFonts w:ascii="Arial" w:hAnsi="Arial" w:cs="Arial"/>
          <w:sz w:val="20"/>
          <w:szCs w:val="20"/>
        </w:rPr>
        <w:t>and</w:t>
      </w:r>
      <w:r w:rsidRPr="00BE332C">
        <w:rPr>
          <w:rFonts w:ascii="Arial" w:hAnsi="Arial" w:cs="Arial"/>
          <w:spacing w:val="1"/>
          <w:sz w:val="20"/>
          <w:szCs w:val="20"/>
        </w:rPr>
        <w:t xml:space="preserve"> </w:t>
      </w:r>
      <w:r w:rsidRPr="00BE332C">
        <w:rPr>
          <w:rFonts w:ascii="Arial" w:hAnsi="Arial" w:cs="Arial"/>
          <w:sz w:val="20"/>
          <w:szCs w:val="20"/>
        </w:rPr>
        <w:t>Part-145</w:t>
      </w:r>
      <w:r w:rsidRPr="00BE332C">
        <w:rPr>
          <w:rFonts w:ascii="Arial" w:hAnsi="Arial" w:cs="Arial"/>
          <w:spacing w:val="1"/>
          <w:sz w:val="20"/>
          <w:szCs w:val="20"/>
        </w:rPr>
        <w:t xml:space="preserve"> </w:t>
      </w:r>
      <w:r w:rsidRPr="00BE332C">
        <w:rPr>
          <w:rFonts w:ascii="Arial" w:hAnsi="Arial" w:cs="Arial"/>
          <w:sz w:val="20"/>
          <w:szCs w:val="20"/>
        </w:rPr>
        <w:t>contain</w:t>
      </w:r>
      <w:r w:rsidRPr="00BE332C">
        <w:rPr>
          <w:rFonts w:ascii="Arial" w:hAnsi="Arial" w:cs="Arial"/>
          <w:spacing w:val="1"/>
          <w:sz w:val="20"/>
          <w:szCs w:val="20"/>
        </w:rPr>
        <w:t xml:space="preserve"> </w:t>
      </w:r>
      <w:r w:rsidRPr="00BE332C">
        <w:rPr>
          <w:rFonts w:ascii="Arial" w:hAnsi="Arial" w:cs="Arial"/>
          <w:sz w:val="20"/>
          <w:szCs w:val="20"/>
        </w:rPr>
        <w:t>provisions</w:t>
      </w:r>
      <w:r w:rsidRPr="00BE332C">
        <w:rPr>
          <w:rFonts w:ascii="Arial" w:hAnsi="Arial" w:cs="Arial"/>
          <w:spacing w:val="1"/>
          <w:sz w:val="20"/>
          <w:szCs w:val="20"/>
        </w:rPr>
        <w:t xml:space="preserve"> </w:t>
      </w:r>
      <w:r w:rsidRPr="00BE332C">
        <w:rPr>
          <w:rFonts w:ascii="Arial" w:hAnsi="Arial" w:cs="Arial"/>
          <w:sz w:val="20"/>
          <w:szCs w:val="20"/>
        </w:rPr>
        <w:t>(i.e.</w:t>
      </w:r>
      <w:r w:rsidRPr="00BE332C">
        <w:rPr>
          <w:rFonts w:ascii="Arial" w:hAnsi="Arial" w:cs="Arial"/>
          <w:spacing w:val="1"/>
          <w:sz w:val="20"/>
          <w:szCs w:val="20"/>
        </w:rPr>
        <w:t xml:space="preserve"> </w:t>
      </w:r>
      <w:r w:rsidRPr="00BE332C">
        <w:rPr>
          <w:rFonts w:ascii="Arial" w:hAnsi="Arial" w:cs="Arial"/>
          <w:sz w:val="20"/>
          <w:szCs w:val="20"/>
        </w:rPr>
        <w:t>M.A.603(c),</w:t>
      </w:r>
      <w:r w:rsidRPr="00BE332C">
        <w:rPr>
          <w:rFonts w:ascii="Arial" w:hAnsi="Arial" w:cs="Arial"/>
          <w:spacing w:val="1"/>
          <w:sz w:val="20"/>
          <w:szCs w:val="20"/>
        </w:rPr>
        <w:t xml:space="preserve"> </w:t>
      </w:r>
      <w:r w:rsidRPr="00BE332C">
        <w:rPr>
          <w:rFonts w:ascii="Arial" w:hAnsi="Arial" w:cs="Arial"/>
          <w:sz w:val="20"/>
          <w:szCs w:val="20"/>
        </w:rPr>
        <w:t>CAO.A.020(c)</w:t>
      </w:r>
      <w:r w:rsidRPr="00BE332C">
        <w:rPr>
          <w:rFonts w:ascii="Arial" w:hAnsi="Arial" w:cs="Arial"/>
          <w:spacing w:val="1"/>
          <w:sz w:val="20"/>
          <w:szCs w:val="20"/>
        </w:rPr>
        <w:t xml:space="preserve"> </w:t>
      </w:r>
      <w:r w:rsidRPr="00BE332C">
        <w:rPr>
          <w:rFonts w:ascii="Arial" w:hAnsi="Arial" w:cs="Arial"/>
          <w:sz w:val="20"/>
          <w:szCs w:val="20"/>
        </w:rPr>
        <w:t>and</w:t>
      </w:r>
      <w:r w:rsidRPr="00BE332C">
        <w:rPr>
          <w:rFonts w:ascii="Arial" w:hAnsi="Arial" w:cs="Arial"/>
          <w:spacing w:val="1"/>
          <w:sz w:val="20"/>
          <w:szCs w:val="20"/>
        </w:rPr>
        <w:t xml:space="preserve"> </w:t>
      </w:r>
      <w:r w:rsidRPr="00BE332C">
        <w:rPr>
          <w:rFonts w:ascii="Arial" w:hAnsi="Arial" w:cs="Arial"/>
          <w:sz w:val="20"/>
          <w:szCs w:val="20"/>
        </w:rPr>
        <w:t>145.A.42(c)) that allow maintenance organisations to fabricate certain parts to be installed</w:t>
      </w:r>
      <w:r w:rsidRPr="00BE332C">
        <w:rPr>
          <w:rFonts w:ascii="Arial" w:hAnsi="Arial" w:cs="Arial"/>
          <w:spacing w:val="1"/>
          <w:sz w:val="20"/>
          <w:szCs w:val="20"/>
        </w:rPr>
        <w:t xml:space="preserve"> </w:t>
      </w:r>
      <w:r w:rsidRPr="00BE332C">
        <w:rPr>
          <w:rFonts w:ascii="Arial" w:hAnsi="Arial" w:cs="Arial"/>
          <w:sz w:val="20"/>
          <w:szCs w:val="20"/>
        </w:rPr>
        <w:t>in/on</w:t>
      </w:r>
      <w:r w:rsidRPr="00BE332C">
        <w:rPr>
          <w:rFonts w:ascii="Arial" w:hAnsi="Arial" w:cs="Arial"/>
          <w:spacing w:val="-2"/>
          <w:sz w:val="20"/>
          <w:szCs w:val="20"/>
        </w:rPr>
        <w:t xml:space="preserve"> </w:t>
      </w:r>
      <w:r w:rsidRPr="00BE332C">
        <w:rPr>
          <w:rFonts w:ascii="Arial" w:hAnsi="Arial" w:cs="Arial"/>
          <w:sz w:val="20"/>
          <w:szCs w:val="20"/>
        </w:rPr>
        <w:t>the</w:t>
      </w:r>
      <w:r w:rsidRPr="00BE332C">
        <w:rPr>
          <w:rFonts w:ascii="Arial" w:hAnsi="Arial" w:cs="Arial"/>
          <w:spacing w:val="1"/>
          <w:sz w:val="20"/>
          <w:szCs w:val="20"/>
        </w:rPr>
        <w:t xml:space="preserve"> </w:t>
      </w:r>
      <w:r w:rsidRPr="00BE332C">
        <w:rPr>
          <w:rFonts w:ascii="Arial" w:hAnsi="Arial" w:cs="Arial"/>
          <w:sz w:val="20"/>
          <w:szCs w:val="20"/>
        </w:rPr>
        <w:t>aircraft as part</w:t>
      </w:r>
      <w:r w:rsidRPr="00BE332C">
        <w:rPr>
          <w:rFonts w:ascii="Arial" w:hAnsi="Arial" w:cs="Arial"/>
          <w:spacing w:val="-2"/>
          <w:sz w:val="20"/>
          <w:szCs w:val="20"/>
        </w:rPr>
        <w:t xml:space="preserve"> </w:t>
      </w:r>
      <w:r w:rsidRPr="00BE332C">
        <w:rPr>
          <w:rFonts w:ascii="Arial" w:hAnsi="Arial" w:cs="Arial"/>
          <w:sz w:val="20"/>
          <w:szCs w:val="20"/>
        </w:rPr>
        <w:t>of</w:t>
      </w:r>
      <w:r w:rsidRPr="00BE332C">
        <w:rPr>
          <w:rFonts w:ascii="Arial" w:hAnsi="Arial" w:cs="Arial"/>
          <w:spacing w:val="-4"/>
          <w:sz w:val="20"/>
          <w:szCs w:val="20"/>
        </w:rPr>
        <w:t xml:space="preserve"> </w:t>
      </w:r>
      <w:r w:rsidRPr="00BE332C">
        <w:rPr>
          <w:rFonts w:ascii="Arial" w:hAnsi="Arial" w:cs="Arial"/>
          <w:sz w:val="20"/>
          <w:szCs w:val="20"/>
        </w:rPr>
        <w:t>their</w:t>
      </w:r>
      <w:r w:rsidRPr="00BE332C">
        <w:rPr>
          <w:rFonts w:ascii="Arial" w:hAnsi="Arial" w:cs="Arial"/>
          <w:spacing w:val="-2"/>
          <w:sz w:val="20"/>
          <w:szCs w:val="20"/>
        </w:rPr>
        <w:t xml:space="preserve"> </w:t>
      </w:r>
      <w:r w:rsidRPr="00BE332C">
        <w:rPr>
          <w:rFonts w:ascii="Arial" w:hAnsi="Arial" w:cs="Arial"/>
          <w:sz w:val="20"/>
          <w:szCs w:val="20"/>
        </w:rPr>
        <w:t>maintenance</w:t>
      </w:r>
      <w:r w:rsidRPr="00BE332C">
        <w:rPr>
          <w:rFonts w:ascii="Arial" w:hAnsi="Arial" w:cs="Arial"/>
          <w:spacing w:val="1"/>
          <w:sz w:val="20"/>
          <w:szCs w:val="20"/>
        </w:rPr>
        <w:t xml:space="preserve"> </w:t>
      </w:r>
      <w:r w:rsidRPr="00BE332C">
        <w:rPr>
          <w:rFonts w:ascii="Arial" w:hAnsi="Arial" w:cs="Arial"/>
          <w:sz w:val="20"/>
          <w:szCs w:val="20"/>
        </w:rPr>
        <w:t>activities.</w:t>
      </w:r>
    </w:p>
    <w:p w14:paraId="5C1A9F97" w14:textId="77777777" w:rsidR="00B229C2" w:rsidRPr="00BE332C" w:rsidRDefault="00B229C2" w:rsidP="003075E4">
      <w:pPr>
        <w:pStyle w:val="BodyText"/>
        <w:numPr>
          <w:ilvl w:val="0"/>
          <w:numId w:val="319"/>
        </w:numPr>
        <w:ind w:right="44"/>
        <w:jc w:val="both"/>
        <w:rPr>
          <w:rFonts w:ascii="Arial" w:eastAsiaTheme="minorHAnsi" w:hAnsi="Arial" w:cs="Arial"/>
          <w:b/>
          <w:bCs/>
          <w:sz w:val="20"/>
          <w:szCs w:val="20"/>
        </w:rPr>
      </w:pPr>
      <w:r w:rsidRPr="00BE332C">
        <w:rPr>
          <w:rFonts w:ascii="Arial" w:eastAsiaTheme="minorHAnsi" w:hAnsi="Arial" w:cs="Arial"/>
          <w:b/>
          <w:bCs/>
          <w:sz w:val="20"/>
          <w:szCs w:val="20"/>
        </w:rPr>
        <w:t>Parts’ and appliances’ identification</w:t>
      </w:r>
    </w:p>
    <w:p w14:paraId="04694AD0" w14:textId="77777777" w:rsidR="00B229C2" w:rsidRPr="00BE332C" w:rsidRDefault="00B229C2" w:rsidP="003075E4">
      <w:pPr>
        <w:pStyle w:val="BodyText"/>
        <w:ind w:left="706" w:right="44"/>
        <w:jc w:val="both"/>
        <w:rPr>
          <w:rFonts w:ascii="Arial" w:hAnsi="Arial" w:cs="Arial"/>
          <w:sz w:val="20"/>
          <w:szCs w:val="20"/>
        </w:rPr>
      </w:pPr>
      <w:r w:rsidRPr="00BE332C">
        <w:rPr>
          <w:rFonts w:ascii="Arial" w:hAnsi="Arial" w:cs="Arial"/>
          <w:sz w:val="20"/>
          <w:szCs w:val="20"/>
        </w:rPr>
        <w:t>The parts modified or installed during the embodiment of the SC/SR need to be permanently</w:t>
      </w:r>
      <w:r w:rsidRPr="00BE332C">
        <w:rPr>
          <w:rFonts w:ascii="Arial" w:hAnsi="Arial" w:cs="Arial"/>
          <w:spacing w:val="1"/>
          <w:sz w:val="20"/>
          <w:szCs w:val="20"/>
        </w:rPr>
        <w:t xml:space="preserve"> </w:t>
      </w:r>
      <w:r w:rsidRPr="00BE332C">
        <w:rPr>
          <w:rFonts w:ascii="Arial" w:hAnsi="Arial" w:cs="Arial"/>
          <w:sz w:val="20"/>
          <w:szCs w:val="20"/>
        </w:rPr>
        <w:t>marked in</w:t>
      </w:r>
      <w:r w:rsidRPr="00BE332C">
        <w:rPr>
          <w:rFonts w:ascii="Arial" w:hAnsi="Arial" w:cs="Arial"/>
          <w:spacing w:val="-1"/>
          <w:sz w:val="20"/>
          <w:szCs w:val="20"/>
        </w:rPr>
        <w:t xml:space="preserve"> </w:t>
      </w:r>
      <w:r w:rsidRPr="00BE332C">
        <w:rPr>
          <w:rFonts w:ascii="Arial" w:hAnsi="Arial" w:cs="Arial"/>
          <w:sz w:val="20"/>
          <w:szCs w:val="20"/>
        </w:rPr>
        <w:t>accordance</w:t>
      </w:r>
      <w:r w:rsidRPr="00BE332C">
        <w:rPr>
          <w:rFonts w:ascii="Arial" w:hAnsi="Arial" w:cs="Arial"/>
          <w:spacing w:val="-2"/>
          <w:sz w:val="20"/>
          <w:szCs w:val="20"/>
        </w:rPr>
        <w:t xml:space="preserve"> </w:t>
      </w:r>
      <w:r w:rsidRPr="00BE332C">
        <w:rPr>
          <w:rFonts w:ascii="Arial" w:hAnsi="Arial" w:cs="Arial"/>
          <w:sz w:val="20"/>
          <w:szCs w:val="20"/>
        </w:rPr>
        <w:t>with</w:t>
      </w:r>
      <w:r w:rsidRPr="00BE332C">
        <w:rPr>
          <w:rFonts w:ascii="Arial" w:hAnsi="Arial" w:cs="Arial"/>
          <w:spacing w:val="-3"/>
          <w:sz w:val="20"/>
          <w:szCs w:val="20"/>
        </w:rPr>
        <w:t xml:space="preserve"> </w:t>
      </w:r>
      <w:r w:rsidRPr="00BE332C">
        <w:rPr>
          <w:rFonts w:ascii="Arial" w:hAnsi="Arial" w:cs="Arial"/>
          <w:sz w:val="20"/>
          <w:szCs w:val="20"/>
        </w:rPr>
        <w:t>Part</w:t>
      </w:r>
      <w:r w:rsidRPr="00BE332C">
        <w:rPr>
          <w:rFonts w:ascii="Arial" w:hAnsi="Arial" w:cs="Arial"/>
          <w:spacing w:val="-3"/>
          <w:sz w:val="20"/>
          <w:szCs w:val="20"/>
        </w:rPr>
        <w:t xml:space="preserve"> </w:t>
      </w:r>
      <w:r w:rsidRPr="00BE332C">
        <w:rPr>
          <w:rFonts w:ascii="Arial" w:hAnsi="Arial" w:cs="Arial"/>
          <w:sz w:val="20"/>
          <w:szCs w:val="20"/>
        </w:rPr>
        <w:t>21 Subpart Q.</w:t>
      </w:r>
    </w:p>
    <w:p w14:paraId="5667B0B4" w14:textId="77777777" w:rsidR="00B229C2" w:rsidRPr="00BE332C" w:rsidRDefault="00B229C2" w:rsidP="003075E4">
      <w:pPr>
        <w:pStyle w:val="BodyText"/>
        <w:numPr>
          <w:ilvl w:val="0"/>
          <w:numId w:val="319"/>
        </w:numPr>
        <w:ind w:right="44"/>
        <w:jc w:val="both"/>
        <w:rPr>
          <w:rFonts w:ascii="Arial" w:eastAsiaTheme="minorHAnsi" w:hAnsi="Arial" w:cs="Arial"/>
          <w:b/>
          <w:bCs/>
          <w:sz w:val="20"/>
          <w:szCs w:val="20"/>
        </w:rPr>
      </w:pPr>
      <w:r w:rsidRPr="00BE332C">
        <w:rPr>
          <w:rFonts w:ascii="Arial" w:eastAsiaTheme="minorHAnsi" w:hAnsi="Arial" w:cs="Arial"/>
          <w:b/>
          <w:bCs/>
          <w:sz w:val="20"/>
          <w:szCs w:val="20"/>
        </w:rPr>
        <w:t>Documenting the SC/SR and declaring compliance with the certification specifications</w:t>
      </w:r>
    </w:p>
    <w:p w14:paraId="62F2CA7F" w14:textId="7E479E8B" w:rsidR="00B229C2" w:rsidRPr="00BE332C" w:rsidRDefault="00B229C2" w:rsidP="003075E4">
      <w:pPr>
        <w:pStyle w:val="BodyText"/>
        <w:ind w:left="706" w:right="44"/>
        <w:jc w:val="both"/>
        <w:rPr>
          <w:rFonts w:ascii="Arial" w:hAnsi="Arial" w:cs="Arial"/>
          <w:sz w:val="20"/>
          <w:szCs w:val="20"/>
        </w:rPr>
      </w:pPr>
      <w:r w:rsidRPr="00BE332C">
        <w:rPr>
          <w:rFonts w:ascii="Arial" w:hAnsi="Arial" w:cs="Arial"/>
          <w:spacing w:val="-1"/>
          <w:sz w:val="20"/>
          <w:szCs w:val="20"/>
        </w:rPr>
        <w:t>In</w:t>
      </w:r>
      <w:r w:rsidRPr="00BE332C">
        <w:rPr>
          <w:rFonts w:ascii="Arial" w:hAnsi="Arial" w:cs="Arial"/>
          <w:spacing w:val="-13"/>
          <w:sz w:val="20"/>
          <w:szCs w:val="20"/>
        </w:rPr>
        <w:t xml:space="preserve"> </w:t>
      </w:r>
      <w:r w:rsidRPr="00BE332C">
        <w:rPr>
          <w:rFonts w:ascii="Arial" w:hAnsi="Arial" w:cs="Arial"/>
          <w:spacing w:val="-1"/>
          <w:sz w:val="20"/>
          <w:szCs w:val="20"/>
        </w:rPr>
        <w:t>accordance</w:t>
      </w:r>
      <w:r w:rsidRPr="00BE332C">
        <w:rPr>
          <w:rFonts w:ascii="Arial" w:hAnsi="Arial" w:cs="Arial"/>
          <w:spacing w:val="-14"/>
          <w:sz w:val="20"/>
          <w:szCs w:val="20"/>
        </w:rPr>
        <w:t xml:space="preserve"> </w:t>
      </w:r>
      <w:r w:rsidRPr="00BE332C">
        <w:rPr>
          <w:rFonts w:ascii="Arial" w:hAnsi="Arial" w:cs="Arial"/>
          <w:spacing w:val="-1"/>
          <w:sz w:val="20"/>
          <w:szCs w:val="20"/>
        </w:rPr>
        <w:t>with</w:t>
      </w:r>
      <w:r w:rsidRPr="00BE332C">
        <w:rPr>
          <w:rFonts w:ascii="Arial" w:hAnsi="Arial" w:cs="Arial"/>
          <w:spacing w:val="-11"/>
          <w:sz w:val="20"/>
          <w:szCs w:val="20"/>
        </w:rPr>
        <w:t xml:space="preserve"> </w:t>
      </w:r>
      <w:r w:rsidRPr="00BE332C">
        <w:rPr>
          <w:rFonts w:ascii="Arial" w:hAnsi="Arial" w:cs="Arial"/>
          <w:spacing w:val="-1"/>
          <w:sz w:val="20"/>
          <w:szCs w:val="20"/>
        </w:rPr>
        <w:t>Part-ML,</w:t>
      </w:r>
      <w:r w:rsidRPr="00BE332C">
        <w:rPr>
          <w:rFonts w:ascii="Arial" w:hAnsi="Arial" w:cs="Arial"/>
          <w:spacing w:val="-12"/>
          <w:sz w:val="20"/>
          <w:szCs w:val="20"/>
        </w:rPr>
        <w:t xml:space="preserve"> </w:t>
      </w:r>
      <w:r w:rsidRPr="00BE332C">
        <w:rPr>
          <w:rFonts w:ascii="Arial" w:hAnsi="Arial" w:cs="Arial"/>
          <w:sz w:val="20"/>
          <w:szCs w:val="20"/>
        </w:rPr>
        <w:t>Part-M</w:t>
      </w:r>
      <w:r w:rsidRPr="00BE332C">
        <w:rPr>
          <w:rFonts w:ascii="Arial" w:hAnsi="Arial" w:cs="Arial"/>
          <w:spacing w:val="-10"/>
          <w:sz w:val="20"/>
          <w:szCs w:val="20"/>
        </w:rPr>
        <w:t xml:space="preserve"> </w:t>
      </w:r>
      <w:r w:rsidRPr="00BE332C">
        <w:rPr>
          <w:rFonts w:ascii="Arial" w:hAnsi="Arial" w:cs="Arial"/>
          <w:sz w:val="20"/>
          <w:szCs w:val="20"/>
        </w:rPr>
        <w:t>Subpart</w:t>
      </w:r>
      <w:r w:rsidRPr="00BE332C">
        <w:rPr>
          <w:rFonts w:ascii="Arial" w:hAnsi="Arial" w:cs="Arial"/>
          <w:spacing w:val="-12"/>
          <w:sz w:val="20"/>
          <w:szCs w:val="20"/>
        </w:rPr>
        <w:t xml:space="preserve"> </w:t>
      </w:r>
      <w:r w:rsidRPr="00BE332C">
        <w:rPr>
          <w:rFonts w:ascii="Arial" w:hAnsi="Arial" w:cs="Arial"/>
          <w:sz w:val="20"/>
          <w:szCs w:val="20"/>
        </w:rPr>
        <w:t>F,</w:t>
      </w:r>
      <w:r w:rsidRPr="00BE332C">
        <w:rPr>
          <w:rFonts w:ascii="Arial" w:hAnsi="Arial" w:cs="Arial"/>
          <w:spacing w:val="-12"/>
          <w:sz w:val="20"/>
          <w:szCs w:val="20"/>
        </w:rPr>
        <w:t xml:space="preserve"> </w:t>
      </w:r>
      <w:r w:rsidRPr="00BE332C">
        <w:rPr>
          <w:rFonts w:ascii="Arial" w:hAnsi="Arial" w:cs="Arial"/>
          <w:sz w:val="20"/>
          <w:szCs w:val="20"/>
        </w:rPr>
        <w:t>Part-CAO</w:t>
      </w:r>
      <w:r w:rsidRPr="00BE332C">
        <w:rPr>
          <w:rFonts w:ascii="Arial" w:hAnsi="Arial" w:cs="Arial"/>
          <w:spacing w:val="-12"/>
          <w:sz w:val="20"/>
          <w:szCs w:val="20"/>
        </w:rPr>
        <w:t xml:space="preserve"> </w:t>
      </w:r>
      <w:r w:rsidRPr="00BE332C">
        <w:rPr>
          <w:rFonts w:ascii="Arial" w:hAnsi="Arial" w:cs="Arial"/>
          <w:sz w:val="20"/>
          <w:szCs w:val="20"/>
        </w:rPr>
        <w:t>or</w:t>
      </w:r>
      <w:r w:rsidRPr="00BE332C">
        <w:rPr>
          <w:rFonts w:ascii="Arial" w:hAnsi="Arial" w:cs="Arial"/>
          <w:spacing w:val="-13"/>
          <w:sz w:val="20"/>
          <w:szCs w:val="20"/>
        </w:rPr>
        <w:t xml:space="preserve"> </w:t>
      </w:r>
      <w:r w:rsidRPr="00BE332C">
        <w:rPr>
          <w:rFonts w:ascii="Arial" w:hAnsi="Arial" w:cs="Arial"/>
          <w:sz w:val="20"/>
          <w:szCs w:val="20"/>
        </w:rPr>
        <w:t>Part-145</w:t>
      </w:r>
      <w:r w:rsidRPr="00BE332C">
        <w:rPr>
          <w:rFonts w:ascii="Arial" w:hAnsi="Arial" w:cs="Arial"/>
          <w:spacing w:val="-11"/>
          <w:sz w:val="20"/>
          <w:szCs w:val="20"/>
        </w:rPr>
        <w:t xml:space="preserve"> </w:t>
      </w:r>
      <w:r w:rsidRPr="00BE332C">
        <w:rPr>
          <w:rFonts w:ascii="Arial" w:hAnsi="Arial" w:cs="Arial"/>
          <w:sz w:val="20"/>
          <w:szCs w:val="20"/>
        </w:rPr>
        <w:t>(e.g.</w:t>
      </w:r>
      <w:r w:rsidRPr="00BE332C">
        <w:rPr>
          <w:rFonts w:ascii="Arial" w:hAnsi="Arial" w:cs="Arial"/>
          <w:spacing w:val="-10"/>
          <w:sz w:val="20"/>
          <w:szCs w:val="20"/>
        </w:rPr>
        <w:t xml:space="preserve"> </w:t>
      </w:r>
      <w:r w:rsidRPr="00BE332C">
        <w:rPr>
          <w:rFonts w:ascii="Arial" w:hAnsi="Arial" w:cs="Arial"/>
          <w:sz w:val="20"/>
          <w:szCs w:val="20"/>
        </w:rPr>
        <w:t>ML.A.801(e),</w:t>
      </w:r>
      <w:r w:rsidRPr="00BE332C">
        <w:rPr>
          <w:rFonts w:ascii="Arial" w:hAnsi="Arial" w:cs="Arial"/>
          <w:spacing w:val="-14"/>
          <w:sz w:val="20"/>
          <w:szCs w:val="20"/>
        </w:rPr>
        <w:t xml:space="preserve"> </w:t>
      </w:r>
      <w:r w:rsidRPr="00BE332C">
        <w:rPr>
          <w:rFonts w:ascii="Arial" w:hAnsi="Arial" w:cs="Arial"/>
          <w:sz w:val="20"/>
          <w:szCs w:val="20"/>
        </w:rPr>
        <w:t>M.A.612,</w:t>
      </w:r>
      <w:r w:rsidRPr="00BE332C">
        <w:rPr>
          <w:rFonts w:ascii="Arial" w:hAnsi="Arial" w:cs="Arial"/>
          <w:spacing w:val="-47"/>
          <w:sz w:val="20"/>
          <w:szCs w:val="20"/>
        </w:rPr>
        <w:t xml:space="preserve"> </w:t>
      </w:r>
      <w:r w:rsidRPr="00BE332C">
        <w:rPr>
          <w:rFonts w:ascii="Arial" w:hAnsi="Arial" w:cs="Arial"/>
          <w:sz w:val="20"/>
          <w:szCs w:val="20"/>
        </w:rPr>
        <w:t>CAO.A.065 and 145.A.50(b)), the legal or natural person responsible for the embodiment of a</w:t>
      </w:r>
      <w:r w:rsidRPr="00BE332C">
        <w:rPr>
          <w:rFonts w:ascii="Arial" w:hAnsi="Arial" w:cs="Arial"/>
          <w:spacing w:val="1"/>
          <w:sz w:val="20"/>
          <w:szCs w:val="20"/>
        </w:rPr>
        <w:t xml:space="preserve"> </w:t>
      </w:r>
      <w:r w:rsidRPr="00BE332C">
        <w:rPr>
          <w:rFonts w:ascii="Arial" w:hAnsi="Arial" w:cs="Arial"/>
          <w:sz w:val="20"/>
          <w:szCs w:val="20"/>
        </w:rPr>
        <w:t>change</w:t>
      </w:r>
      <w:r w:rsidRPr="00BE332C">
        <w:rPr>
          <w:rFonts w:ascii="Arial" w:hAnsi="Arial" w:cs="Arial"/>
          <w:spacing w:val="-3"/>
          <w:sz w:val="20"/>
          <w:szCs w:val="20"/>
        </w:rPr>
        <w:t xml:space="preserve"> </w:t>
      </w:r>
      <w:r w:rsidRPr="00BE332C">
        <w:rPr>
          <w:rFonts w:ascii="Arial" w:hAnsi="Arial" w:cs="Arial"/>
          <w:sz w:val="20"/>
          <w:szCs w:val="20"/>
        </w:rPr>
        <w:t>or</w:t>
      </w:r>
      <w:r w:rsidRPr="00BE332C">
        <w:rPr>
          <w:rFonts w:ascii="Arial" w:hAnsi="Arial" w:cs="Arial"/>
          <w:spacing w:val="-3"/>
          <w:sz w:val="20"/>
          <w:szCs w:val="20"/>
        </w:rPr>
        <w:t xml:space="preserve"> </w:t>
      </w:r>
      <w:r w:rsidRPr="00BE332C">
        <w:rPr>
          <w:rFonts w:ascii="Arial" w:hAnsi="Arial" w:cs="Arial"/>
          <w:sz w:val="20"/>
          <w:szCs w:val="20"/>
        </w:rPr>
        <w:t>a</w:t>
      </w:r>
      <w:r w:rsidRPr="00BE332C">
        <w:rPr>
          <w:rFonts w:ascii="Arial" w:hAnsi="Arial" w:cs="Arial"/>
          <w:spacing w:val="-6"/>
          <w:sz w:val="20"/>
          <w:szCs w:val="20"/>
        </w:rPr>
        <w:t xml:space="preserve"> </w:t>
      </w:r>
      <w:r w:rsidRPr="00BE332C">
        <w:rPr>
          <w:rFonts w:ascii="Arial" w:hAnsi="Arial" w:cs="Arial"/>
          <w:sz w:val="20"/>
          <w:szCs w:val="20"/>
        </w:rPr>
        <w:t>repair</w:t>
      </w:r>
      <w:r w:rsidRPr="00BE332C">
        <w:rPr>
          <w:rFonts w:ascii="Arial" w:hAnsi="Arial" w:cs="Arial"/>
          <w:spacing w:val="-6"/>
          <w:sz w:val="20"/>
          <w:szCs w:val="20"/>
        </w:rPr>
        <w:t xml:space="preserve"> </w:t>
      </w:r>
      <w:r w:rsidRPr="00BE332C">
        <w:rPr>
          <w:rFonts w:ascii="Arial" w:hAnsi="Arial" w:cs="Arial"/>
          <w:sz w:val="20"/>
          <w:szCs w:val="20"/>
        </w:rPr>
        <w:t>should</w:t>
      </w:r>
      <w:r w:rsidRPr="00BE332C">
        <w:rPr>
          <w:rFonts w:ascii="Arial" w:hAnsi="Arial" w:cs="Arial"/>
          <w:spacing w:val="-7"/>
          <w:sz w:val="20"/>
          <w:szCs w:val="20"/>
        </w:rPr>
        <w:t xml:space="preserve"> </w:t>
      </w:r>
      <w:r w:rsidRPr="00BE332C">
        <w:rPr>
          <w:rFonts w:ascii="Arial" w:hAnsi="Arial" w:cs="Arial"/>
          <w:sz w:val="20"/>
          <w:szCs w:val="20"/>
        </w:rPr>
        <w:t>compile</w:t>
      </w:r>
      <w:r w:rsidRPr="00BE332C">
        <w:rPr>
          <w:rFonts w:ascii="Arial" w:hAnsi="Arial" w:cs="Arial"/>
          <w:spacing w:val="-2"/>
          <w:sz w:val="20"/>
          <w:szCs w:val="20"/>
        </w:rPr>
        <w:t xml:space="preserve"> </w:t>
      </w:r>
      <w:r w:rsidRPr="00BE332C">
        <w:rPr>
          <w:rFonts w:ascii="Arial" w:hAnsi="Arial" w:cs="Arial"/>
          <w:sz w:val="20"/>
          <w:szCs w:val="20"/>
        </w:rPr>
        <w:t>details</w:t>
      </w:r>
      <w:r w:rsidRPr="00BE332C">
        <w:rPr>
          <w:rFonts w:ascii="Arial" w:hAnsi="Arial" w:cs="Arial"/>
          <w:spacing w:val="-6"/>
          <w:sz w:val="20"/>
          <w:szCs w:val="20"/>
        </w:rPr>
        <w:t xml:space="preserve"> </w:t>
      </w:r>
      <w:r w:rsidRPr="00BE332C">
        <w:rPr>
          <w:rFonts w:ascii="Arial" w:hAnsi="Arial" w:cs="Arial"/>
          <w:sz w:val="20"/>
          <w:szCs w:val="20"/>
        </w:rPr>
        <w:t>of</w:t>
      </w:r>
      <w:r w:rsidRPr="00BE332C">
        <w:rPr>
          <w:rFonts w:ascii="Arial" w:hAnsi="Arial" w:cs="Arial"/>
          <w:spacing w:val="-6"/>
          <w:sz w:val="20"/>
          <w:szCs w:val="20"/>
        </w:rPr>
        <w:t xml:space="preserve"> </w:t>
      </w:r>
      <w:r w:rsidRPr="00BE332C">
        <w:rPr>
          <w:rFonts w:ascii="Arial" w:hAnsi="Arial" w:cs="Arial"/>
          <w:sz w:val="20"/>
          <w:szCs w:val="20"/>
        </w:rPr>
        <w:t>the</w:t>
      </w:r>
      <w:r w:rsidRPr="00BE332C">
        <w:rPr>
          <w:rFonts w:ascii="Arial" w:hAnsi="Arial" w:cs="Arial"/>
          <w:spacing w:val="-6"/>
          <w:sz w:val="20"/>
          <w:szCs w:val="20"/>
        </w:rPr>
        <w:t xml:space="preserve"> </w:t>
      </w:r>
      <w:r w:rsidRPr="00BE332C">
        <w:rPr>
          <w:rFonts w:ascii="Arial" w:hAnsi="Arial" w:cs="Arial"/>
          <w:sz w:val="20"/>
          <w:szCs w:val="20"/>
        </w:rPr>
        <w:t>work</w:t>
      </w:r>
      <w:r w:rsidRPr="00BE332C">
        <w:rPr>
          <w:rFonts w:ascii="Arial" w:hAnsi="Arial" w:cs="Arial"/>
          <w:spacing w:val="-8"/>
          <w:sz w:val="20"/>
          <w:szCs w:val="20"/>
        </w:rPr>
        <w:t xml:space="preserve"> </w:t>
      </w:r>
      <w:r w:rsidRPr="00BE332C">
        <w:rPr>
          <w:rFonts w:ascii="Arial" w:hAnsi="Arial" w:cs="Arial"/>
          <w:sz w:val="20"/>
          <w:szCs w:val="20"/>
        </w:rPr>
        <w:t>accomplished.</w:t>
      </w:r>
      <w:r w:rsidRPr="00BE332C">
        <w:rPr>
          <w:rFonts w:ascii="Arial" w:hAnsi="Arial" w:cs="Arial"/>
          <w:spacing w:val="-4"/>
          <w:sz w:val="20"/>
          <w:szCs w:val="20"/>
        </w:rPr>
        <w:t xml:space="preserve"> </w:t>
      </w:r>
      <w:r w:rsidRPr="00BE332C">
        <w:rPr>
          <w:rFonts w:ascii="Arial" w:hAnsi="Arial" w:cs="Arial"/>
          <w:sz w:val="20"/>
          <w:szCs w:val="20"/>
        </w:rPr>
        <w:t>In</w:t>
      </w:r>
      <w:r w:rsidRPr="00BE332C">
        <w:rPr>
          <w:rFonts w:ascii="Arial" w:hAnsi="Arial" w:cs="Arial"/>
          <w:spacing w:val="-6"/>
          <w:sz w:val="20"/>
          <w:szCs w:val="20"/>
        </w:rPr>
        <w:t xml:space="preserve"> </w:t>
      </w:r>
      <w:r w:rsidRPr="00BE332C">
        <w:rPr>
          <w:rFonts w:ascii="Arial" w:hAnsi="Arial" w:cs="Arial"/>
          <w:sz w:val="20"/>
          <w:szCs w:val="20"/>
        </w:rPr>
        <w:t>the</w:t>
      </w:r>
      <w:r w:rsidRPr="00BE332C">
        <w:rPr>
          <w:rFonts w:ascii="Arial" w:hAnsi="Arial" w:cs="Arial"/>
          <w:spacing w:val="-6"/>
          <w:sz w:val="20"/>
          <w:szCs w:val="20"/>
        </w:rPr>
        <w:t xml:space="preserve"> </w:t>
      </w:r>
      <w:r w:rsidRPr="00BE332C">
        <w:rPr>
          <w:rFonts w:ascii="Arial" w:hAnsi="Arial" w:cs="Arial"/>
          <w:sz w:val="20"/>
          <w:szCs w:val="20"/>
        </w:rPr>
        <w:t>case</w:t>
      </w:r>
      <w:r w:rsidRPr="00BE332C">
        <w:rPr>
          <w:rFonts w:ascii="Arial" w:hAnsi="Arial" w:cs="Arial"/>
          <w:spacing w:val="-5"/>
          <w:sz w:val="20"/>
          <w:szCs w:val="20"/>
        </w:rPr>
        <w:t xml:space="preserve"> </w:t>
      </w:r>
      <w:r w:rsidRPr="00BE332C">
        <w:rPr>
          <w:rFonts w:ascii="Arial" w:hAnsi="Arial" w:cs="Arial"/>
          <w:sz w:val="20"/>
          <w:szCs w:val="20"/>
        </w:rPr>
        <w:t>of</w:t>
      </w:r>
      <w:r w:rsidRPr="00BE332C">
        <w:rPr>
          <w:rFonts w:ascii="Arial" w:hAnsi="Arial" w:cs="Arial"/>
          <w:spacing w:val="-3"/>
          <w:sz w:val="20"/>
          <w:szCs w:val="20"/>
        </w:rPr>
        <w:t xml:space="preserve"> </w:t>
      </w:r>
      <w:r w:rsidRPr="00BE332C">
        <w:rPr>
          <w:rFonts w:ascii="Arial" w:hAnsi="Arial" w:cs="Arial"/>
          <w:sz w:val="20"/>
          <w:szCs w:val="20"/>
        </w:rPr>
        <w:t>SCs/SRs,</w:t>
      </w:r>
      <w:r w:rsidRPr="00BE332C">
        <w:rPr>
          <w:rFonts w:ascii="Arial" w:hAnsi="Arial" w:cs="Arial"/>
          <w:spacing w:val="-6"/>
          <w:sz w:val="20"/>
          <w:szCs w:val="20"/>
        </w:rPr>
        <w:t xml:space="preserve"> </w:t>
      </w:r>
      <w:r w:rsidRPr="00BE332C">
        <w:rPr>
          <w:rFonts w:ascii="Arial" w:hAnsi="Arial" w:cs="Arial"/>
          <w:sz w:val="20"/>
          <w:szCs w:val="20"/>
        </w:rPr>
        <w:t>this</w:t>
      </w:r>
      <w:r w:rsidRPr="00BE332C">
        <w:rPr>
          <w:rFonts w:ascii="Arial" w:hAnsi="Arial" w:cs="Arial"/>
          <w:spacing w:val="-47"/>
          <w:sz w:val="20"/>
          <w:szCs w:val="20"/>
        </w:rPr>
        <w:t xml:space="preserve"> </w:t>
      </w:r>
      <w:r w:rsidRPr="00BE332C">
        <w:rPr>
          <w:rFonts w:ascii="Arial" w:hAnsi="Arial" w:cs="Arial"/>
          <w:sz w:val="20"/>
          <w:szCs w:val="20"/>
        </w:rPr>
        <w:t>includes, as necessary, based on the complexity, an engineering file containing drawings, a list</w:t>
      </w:r>
      <w:r w:rsidRPr="00BE332C">
        <w:rPr>
          <w:rFonts w:ascii="Arial" w:hAnsi="Arial" w:cs="Arial"/>
          <w:spacing w:val="1"/>
          <w:sz w:val="20"/>
          <w:szCs w:val="20"/>
        </w:rPr>
        <w:t xml:space="preserve"> </w:t>
      </w:r>
      <w:r w:rsidRPr="00BE332C">
        <w:rPr>
          <w:rFonts w:ascii="Arial" w:hAnsi="Arial" w:cs="Arial"/>
          <w:sz w:val="20"/>
          <w:szCs w:val="20"/>
        </w:rPr>
        <w:t>of</w:t>
      </w:r>
      <w:r w:rsidRPr="00BE332C">
        <w:rPr>
          <w:rFonts w:ascii="Arial" w:hAnsi="Arial" w:cs="Arial"/>
          <w:spacing w:val="-6"/>
          <w:sz w:val="20"/>
          <w:szCs w:val="20"/>
        </w:rPr>
        <w:t xml:space="preserve"> </w:t>
      </w:r>
      <w:r w:rsidRPr="00BE332C">
        <w:rPr>
          <w:rFonts w:ascii="Arial" w:hAnsi="Arial" w:cs="Arial"/>
          <w:sz w:val="20"/>
          <w:szCs w:val="20"/>
        </w:rPr>
        <w:t>the</w:t>
      </w:r>
      <w:r w:rsidRPr="00BE332C">
        <w:rPr>
          <w:rFonts w:ascii="Arial" w:hAnsi="Arial" w:cs="Arial"/>
          <w:spacing w:val="-5"/>
          <w:sz w:val="20"/>
          <w:szCs w:val="20"/>
        </w:rPr>
        <w:t xml:space="preserve"> </w:t>
      </w:r>
      <w:r w:rsidRPr="00BE332C">
        <w:rPr>
          <w:rFonts w:ascii="Arial" w:hAnsi="Arial" w:cs="Arial"/>
          <w:sz w:val="20"/>
          <w:szCs w:val="20"/>
        </w:rPr>
        <w:t>parts</w:t>
      </w:r>
      <w:r w:rsidRPr="00BE332C">
        <w:rPr>
          <w:rFonts w:ascii="Arial" w:hAnsi="Arial" w:cs="Arial"/>
          <w:spacing w:val="-5"/>
          <w:sz w:val="20"/>
          <w:szCs w:val="20"/>
        </w:rPr>
        <w:t xml:space="preserve"> </w:t>
      </w:r>
      <w:r w:rsidRPr="00BE332C">
        <w:rPr>
          <w:rFonts w:ascii="Arial" w:hAnsi="Arial" w:cs="Arial"/>
          <w:sz w:val="20"/>
          <w:szCs w:val="20"/>
        </w:rPr>
        <w:t>and</w:t>
      </w:r>
      <w:r w:rsidRPr="00BE332C">
        <w:rPr>
          <w:rFonts w:ascii="Arial" w:hAnsi="Arial" w:cs="Arial"/>
          <w:spacing w:val="-3"/>
          <w:sz w:val="20"/>
          <w:szCs w:val="20"/>
        </w:rPr>
        <w:t xml:space="preserve"> </w:t>
      </w:r>
      <w:r w:rsidRPr="00BE332C">
        <w:rPr>
          <w:rFonts w:ascii="Arial" w:hAnsi="Arial" w:cs="Arial"/>
          <w:sz w:val="20"/>
          <w:szCs w:val="20"/>
        </w:rPr>
        <w:t>appliances</w:t>
      </w:r>
      <w:r w:rsidRPr="00BE332C">
        <w:rPr>
          <w:rFonts w:ascii="Arial" w:hAnsi="Arial" w:cs="Arial"/>
          <w:spacing w:val="-7"/>
          <w:sz w:val="20"/>
          <w:szCs w:val="20"/>
        </w:rPr>
        <w:t xml:space="preserve"> </w:t>
      </w:r>
      <w:r w:rsidRPr="00BE332C">
        <w:rPr>
          <w:rFonts w:ascii="Arial" w:hAnsi="Arial" w:cs="Arial"/>
          <w:sz w:val="20"/>
          <w:szCs w:val="20"/>
        </w:rPr>
        <w:t>used</w:t>
      </w:r>
      <w:r w:rsidRPr="00BE332C">
        <w:rPr>
          <w:rFonts w:ascii="Arial" w:hAnsi="Arial" w:cs="Arial"/>
          <w:spacing w:val="-3"/>
          <w:sz w:val="20"/>
          <w:szCs w:val="20"/>
        </w:rPr>
        <w:t xml:space="preserve"> </w:t>
      </w:r>
      <w:r w:rsidRPr="00BE332C">
        <w:rPr>
          <w:rFonts w:ascii="Arial" w:hAnsi="Arial" w:cs="Arial"/>
          <w:sz w:val="20"/>
          <w:szCs w:val="20"/>
        </w:rPr>
        <w:t>for</w:t>
      </w:r>
      <w:r w:rsidRPr="00BE332C">
        <w:rPr>
          <w:rFonts w:ascii="Arial" w:hAnsi="Arial" w:cs="Arial"/>
          <w:spacing w:val="-5"/>
          <w:sz w:val="20"/>
          <w:szCs w:val="20"/>
        </w:rPr>
        <w:t xml:space="preserve"> </w:t>
      </w:r>
      <w:r w:rsidRPr="00BE332C">
        <w:rPr>
          <w:rFonts w:ascii="Arial" w:hAnsi="Arial" w:cs="Arial"/>
          <w:sz w:val="20"/>
          <w:szCs w:val="20"/>
        </w:rPr>
        <w:t>the</w:t>
      </w:r>
      <w:r w:rsidRPr="00BE332C">
        <w:rPr>
          <w:rFonts w:ascii="Arial" w:hAnsi="Arial" w:cs="Arial"/>
          <w:spacing w:val="-5"/>
          <w:sz w:val="20"/>
          <w:szCs w:val="20"/>
        </w:rPr>
        <w:t xml:space="preserve"> </w:t>
      </w:r>
      <w:r w:rsidRPr="00BE332C">
        <w:rPr>
          <w:rFonts w:ascii="Arial" w:hAnsi="Arial" w:cs="Arial"/>
          <w:sz w:val="20"/>
          <w:szCs w:val="20"/>
        </w:rPr>
        <w:t>change</w:t>
      </w:r>
      <w:r w:rsidRPr="00BE332C">
        <w:rPr>
          <w:rFonts w:ascii="Arial" w:hAnsi="Arial" w:cs="Arial"/>
          <w:spacing w:val="-5"/>
          <w:sz w:val="20"/>
          <w:szCs w:val="20"/>
        </w:rPr>
        <w:t xml:space="preserve"> </w:t>
      </w:r>
      <w:r w:rsidRPr="00BE332C">
        <w:rPr>
          <w:rFonts w:ascii="Arial" w:hAnsi="Arial" w:cs="Arial"/>
          <w:sz w:val="20"/>
          <w:szCs w:val="20"/>
        </w:rPr>
        <w:t>or</w:t>
      </w:r>
      <w:r w:rsidRPr="00BE332C">
        <w:rPr>
          <w:rFonts w:ascii="Arial" w:hAnsi="Arial" w:cs="Arial"/>
          <w:spacing w:val="-5"/>
          <w:sz w:val="20"/>
          <w:szCs w:val="20"/>
        </w:rPr>
        <w:t xml:space="preserve"> </w:t>
      </w:r>
      <w:r w:rsidRPr="00BE332C">
        <w:rPr>
          <w:rFonts w:ascii="Arial" w:hAnsi="Arial" w:cs="Arial"/>
          <w:sz w:val="20"/>
          <w:szCs w:val="20"/>
        </w:rPr>
        <w:t>repair,</w:t>
      </w:r>
      <w:r w:rsidRPr="00BE332C">
        <w:rPr>
          <w:rFonts w:ascii="Arial" w:hAnsi="Arial" w:cs="Arial"/>
          <w:spacing w:val="-2"/>
          <w:sz w:val="20"/>
          <w:szCs w:val="20"/>
        </w:rPr>
        <w:t xml:space="preserve"> </w:t>
      </w:r>
      <w:r w:rsidRPr="00BE332C">
        <w:rPr>
          <w:rFonts w:ascii="Arial" w:hAnsi="Arial" w:cs="Arial"/>
          <w:sz w:val="20"/>
          <w:szCs w:val="20"/>
        </w:rPr>
        <w:t>supporting</w:t>
      </w:r>
      <w:r w:rsidRPr="00BE332C">
        <w:rPr>
          <w:rFonts w:ascii="Arial" w:hAnsi="Arial" w:cs="Arial"/>
          <w:spacing w:val="-3"/>
          <w:sz w:val="20"/>
          <w:szCs w:val="20"/>
        </w:rPr>
        <w:t xml:space="preserve"> </w:t>
      </w:r>
      <w:r w:rsidRPr="00BE332C">
        <w:rPr>
          <w:rFonts w:ascii="Arial" w:hAnsi="Arial" w:cs="Arial"/>
          <w:sz w:val="20"/>
          <w:szCs w:val="20"/>
        </w:rPr>
        <w:t>analysis</w:t>
      </w:r>
      <w:r w:rsidRPr="00BE332C">
        <w:rPr>
          <w:rFonts w:ascii="Arial" w:hAnsi="Arial" w:cs="Arial"/>
          <w:spacing w:val="-3"/>
          <w:sz w:val="20"/>
          <w:szCs w:val="20"/>
        </w:rPr>
        <w:t xml:space="preserve"> </w:t>
      </w:r>
      <w:r w:rsidRPr="00BE332C">
        <w:rPr>
          <w:rFonts w:ascii="Arial" w:hAnsi="Arial" w:cs="Arial"/>
          <w:sz w:val="20"/>
          <w:szCs w:val="20"/>
        </w:rPr>
        <w:t>and</w:t>
      </w:r>
      <w:r w:rsidRPr="00BE332C">
        <w:rPr>
          <w:rFonts w:ascii="Arial" w:hAnsi="Arial" w:cs="Arial"/>
          <w:spacing w:val="-5"/>
          <w:sz w:val="20"/>
          <w:szCs w:val="20"/>
        </w:rPr>
        <w:t xml:space="preserve"> </w:t>
      </w:r>
      <w:r w:rsidRPr="00BE332C">
        <w:rPr>
          <w:rFonts w:ascii="Arial" w:hAnsi="Arial" w:cs="Arial"/>
          <w:sz w:val="20"/>
          <w:szCs w:val="20"/>
        </w:rPr>
        <w:t>the</w:t>
      </w:r>
      <w:r w:rsidRPr="00BE332C">
        <w:rPr>
          <w:rFonts w:ascii="Arial" w:hAnsi="Arial" w:cs="Arial"/>
          <w:spacing w:val="-5"/>
          <w:sz w:val="20"/>
          <w:szCs w:val="20"/>
        </w:rPr>
        <w:t xml:space="preserve"> </w:t>
      </w:r>
      <w:r w:rsidRPr="00BE332C">
        <w:rPr>
          <w:rFonts w:ascii="Arial" w:hAnsi="Arial" w:cs="Arial"/>
          <w:sz w:val="20"/>
          <w:szCs w:val="20"/>
        </w:rPr>
        <w:t>results</w:t>
      </w:r>
      <w:r w:rsidRPr="00BE332C">
        <w:rPr>
          <w:rFonts w:ascii="Arial" w:hAnsi="Arial" w:cs="Arial"/>
          <w:spacing w:val="-4"/>
          <w:sz w:val="20"/>
          <w:szCs w:val="20"/>
        </w:rPr>
        <w:t xml:space="preserve"> </w:t>
      </w:r>
      <w:r w:rsidRPr="00BE332C">
        <w:rPr>
          <w:rFonts w:ascii="Arial" w:hAnsi="Arial" w:cs="Arial"/>
          <w:sz w:val="20"/>
          <w:szCs w:val="20"/>
        </w:rPr>
        <w:t>of</w:t>
      </w:r>
      <w:r w:rsidRPr="00BE332C">
        <w:rPr>
          <w:rFonts w:ascii="Arial" w:hAnsi="Arial" w:cs="Arial"/>
          <w:spacing w:val="-48"/>
          <w:sz w:val="20"/>
          <w:szCs w:val="20"/>
        </w:rPr>
        <w:t xml:space="preserve"> </w:t>
      </w:r>
      <w:r w:rsidRPr="00BE332C">
        <w:rPr>
          <w:rFonts w:ascii="Arial" w:hAnsi="Arial" w:cs="Arial"/>
          <w:sz w:val="20"/>
          <w:szCs w:val="20"/>
        </w:rPr>
        <w:t>tests performed or any other evidence suitable to show that the design fulfils the applicable</w:t>
      </w:r>
      <w:r w:rsidRPr="00BE332C">
        <w:rPr>
          <w:rFonts w:ascii="Arial" w:hAnsi="Arial" w:cs="Arial"/>
          <w:spacing w:val="1"/>
          <w:sz w:val="20"/>
          <w:szCs w:val="20"/>
        </w:rPr>
        <w:t xml:space="preserve"> </w:t>
      </w:r>
      <w:r w:rsidRPr="00BE332C">
        <w:rPr>
          <w:rFonts w:ascii="Arial" w:hAnsi="Arial" w:cs="Arial"/>
          <w:sz w:val="20"/>
          <w:szCs w:val="20"/>
        </w:rPr>
        <w:t>certification</w:t>
      </w:r>
      <w:r w:rsidRPr="00BE332C">
        <w:rPr>
          <w:rFonts w:ascii="Arial" w:hAnsi="Arial" w:cs="Arial"/>
          <w:spacing w:val="1"/>
          <w:sz w:val="20"/>
          <w:szCs w:val="20"/>
        </w:rPr>
        <w:t xml:space="preserve"> </w:t>
      </w:r>
      <w:r w:rsidRPr="00BE332C">
        <w:rPr>
          <w:rFonts w:ascii="Arial" w:hAnsi="Arial" w:cs="Arial"/>
          <w:sz w:val="20"/>
          <w:szCs w:val="20"/>
        </w:rPr>
        <w:t>specifications</w:t>
      </w:r>
      <w:r w:rsidRPr="00BE332C">
        <w:rPr>
          <w:rFonts w:ascii="Arial" w:hAnsi="Arial" w:cs="Arial"/>
          <w:spacing w:val="1"/>
          <w:sz w:val="20"/>
          <w:szCs w:val="20"/>
        </w:rPr>
        <w:t xml:space="preserve"> </w:t>
      </w:r>
      <w:r w:rsidRPr="00BE332C">
        <w:rPr>
          <w:rFonts w:ascii="Arial" w:hAnsi="Arial" w:cs="Arial"/>
          <w:sz w:val="20"/>
          <w:szCs w:val="20"/>
        </w:rPr>
        <w:t>within</w:t>
      </w:r>
      <w:r w:rsidRPr="00BE332C">
        <w:rPr>
          <w:rFonts w:ascii="Arial" w:hAnsi="Arial" w:cs="Arial"/>
          <w:spacing w:val="1"/>
          <w:sz w:val="20"/>
          <w:szCs w:val="20"/>
        </w:rPr>
        <w:t xml:space="preserve"> </w:t>
      </w:r>
      <w:r w:rsidRPr="00BE332C">
        <w:rPr>
          <w:rFonts w:ascii="Arial" w:hAnsi="Arial" w:cs="Arial"/>
          <w:sz w:val="20"/>
          <w:szCs w:val="20"/>
        </w:rPr>
        <w:t>CS-STAN</w:t>
      </w:r>
      <w:r w:rsidRPr="00BE332C">
        <w:rPr>
          <w:rFonts w:ascii="Arial" w:hAnsi="Arial" w:cs="Arial"/>
          <w:spacing w:val="1"/>
          <w:sz w:val="20"/>
          <w:szCs w:val="20"/>
        </w:rPr>
        <w:t xml:space="preserve"> </w:t>
      </w:r>
      <w:r w:rsidRPr="00BE332C">
        <w:rPr>
          <w:rFonts w:ascii="Arial" w:hAnsi="Arial" w:cs="Arial"/>
          <w:sz w:val="20"/>
          <w:szCs w:val="20"/>
        </w:rPr>
        <w:t>together</w:t>
      </w:r>
      <w:r w:rsidRPr="00BE332C">
        <w:rPr>
          <w:rFonts w:ascii="Arial" w:hAnsi="Arial" w:cs="Arial"/>
          <w:spacing w:val="1"/>
          <w:sz w:val="20"/>
          <w:szCs w:val="20"/>
        </w:rPr>
        <w:t xml:space="preserve"> </w:t>
      </w:r>
      <w:r w:rsidRPr="00BE332C">
        <w:rPr>
          <w:rFonts w:ascii="Arial" w:hAnsi="Arial" w:cs="Arial"/>
          <w:sz w:val="20"/>
          <w:szCs w:val="20"/>
        </w:rPr>
        <w:t>with</w:t>
      </w:r>
      <w:r w:rsidRPr="00BE332C">
        <w:rPr>
          <w:rFonts w:ascii="Arial" w:hAnsi="Arial" w:cs="Arial"/>
          <w:spacing w:val="1"/>
          <w:sz w:val="20"/>
          <w:szCs w:val="20"/>
        </w:rPr>
        <w:t xml:space="preserve"> </w:t>
      </w:r>
      <w:r w:rsidRPr="00BE332C">
        <w:rPr>
          <w:rFonts w:ascii="Arial" w:hAnsi="Arial" w:cs="Arial"/>
          <w:sz w:val="20"/>
          <w:szCs w:val="20"/>
        </w:rPr>
        <w:t>a</w:t>
      </w:r>
      <w:r w:rsidRPr="00BE332C">
        <w:rPr>
          <w:rFonts w:ascii="Arial" w:hAnsi="Arial" w:cs="Arial"/>
          <w:spacing w:val="1"/>
          <w:sz w:val="20"/>
          <w:szCs w:val="20"/>
        </w:rPr>
        <w:t xml:space="preserve"> </w:t>
      </w:r>
      <w:r w:rsidRPr="00BE332C">
        <w:rPr>
          <w:rFonts w:ascii="Arial" w:hAnsi="Arial" w:cs="Arial"/>
          <w:sz w:val="20"/>
          <w:szCs w:val="20"/>
        </w:rPr>
        <w:t>statement</w:t>
      </w:r>
      <w:r w:rsidRPr="00BE332C">
        <w:rPr>
          <w:rFonts w:ascii="Arial" w:hAnsi="Arial" w:cs="Arial"/>
          <w:spacing w:val="1"/>
          <w:sz w:val="20"/>
          <w:szCs w:val="20"/>
        </w:rPr>
        <w:t xml:space="preserve"> </w:t>
      </w:r>
      <w:r w:rsidRPr="00BE332C">
        <w:rPr>
          <w:rFonts w:ascii="Arial" w:hAnsi="Arial" w:cs="Arial"/>
          <w:sz w:val="20"/>
          <w:szCs w:val="20"/>
        </w:rPr>
        <w:t>of</w:t>
      </w:r>
      <w:r w:rsidRPr="00BE332C">
        <w:rPr>
          <w:rFonts w:ascii="Arial" w:hAnsi="Arial" w:cs="Arial"/>
          <w:spacing w:val="1"/>
          <w:sz w:val="20"/>
          <w:szCs w:val="20"/>
        </w:rPr>
        <w:t xml:space="preserve"> </w:t>
      </w:r>
      <w:r w:rsidRPr="00BE332C">
        <w:rPr>
          <w:rFonts w:ascii="Arial" w:hAnsi="Arial" w:cs="Arial"/>
          <w:sz w:val="20"/>
          <w:szCs w:val="20"/>
        </w:rPr>
        <w:t>compliance</w:t>
      </w:r>
      <w:r w:rsidRPr="00BE332C">
        <w:rPr>
          <w:rFonts w:ascii="Arial" w:hAnsi="Arial" w:cs="Arial"/>
          <w:spacing w:val="1"/>
          <w:sz w:val="20"/>
          <w:szCs w:val="20"/>
        </w:rPr>
        <w:t xml:space="preserve"> </w:t>
      </w:r>
      <w:r w:rsidRPr="00BE332C">
        <w:rPr>
          <w:rFonts w:ascii="Arial" w:hAnsi="Arial" w:cs="Arial"/>
          <w:sz w:val="20"/>
          <w:szCs w:val="20"/>
        </w:rPr>
        <w:t>and</w:t>
      </w:r>
      <w:r w:rsidRPr="00BE332C">
        <w:rPr>
          <w:rFonts w:ascii="Arial" w:hAnsi="Arial" w:cs="Arial"/>
          <w:spacing w:val="1"/>
          <w:sz w:val="20"/>
          <w:szCs w:val="20"/>
        </w:rPr>
        <w:t xml:space="preserve"> </w:t>
      </w:r>
      <w:r w:rsidRPr="00BE332C">
        <w:rPr>
          <w:rFonts w:ascii="Arial" w:hAnsi="Arial" w:cs="Arial"/>
          <w:sz w:val="20"/>
          <w:szCs w:val="20"/>
        </w:rPr>
        <w:t>amendments to aircraft manuals, to instructions for continuing airworthiness and to other</w:t>
      </w:r>
      <w:r w:rsidRPr="00BE332C">
        <w:rPr>
          <w:rFonts w:ascii="Arial" w:hAnsi="Arial" w:cs="Arial"/>
          <w:spacing w:val="1"/>
          <w:sz w:val="20"/>
          <w:szCs w:val="20"/>
        </w:rPr>
        <w:t xml:space="preserve"> </w:t>
      </w:r>
      <w:r w:rsidRPr="00BE332C">
        <w:rPr>
          <w:rFonts w:ascii="Arial" w:hAnsi="Arial" w:cs="Arial"/>
          <w:spacing w:val="-1"/>
          <w:sz w:val="20"/>
          <w:szCs w:val="20"/>
        </w:rPr>
        <w:t>documents</w:t>
      </w:r>
      <w:r w:rsidRPr="00BE332C">
        <w:rPr>
          <w:rFonts w:ascii="Arial" w:hAnsi="Arial" w:cs="Arial"/>
          <w:spacing w:val="-11"/>
          <w:sz w:val="20"/>
          <w:szCs w:val="20"/>
        </w:rPr>
        <w:t xml:space="preserve"> </w:t>
      </w:r>
      <w:r w:rsidRPr="00BE332C">
        <w:rPr>
          <w:rFonts w:ascii="Arial" w:hAnsi="Arial" w:cs="Arial"/>
          <w:spacing w:val="-1"/>
          <w:sz w:val="20"/>
          <w:szCs w:val="20"/>
        </w:rPr>
        <w:t>such</w:t>
      </w:r>
      <w:r w:rsidRPr="00BE332C">
        <w:rPr>
          <w:rFonts w:ascii="Arial" w:hAnsi="Arial" w:cs="Arial"/>
          <w:spacing w:val="-13"/>
          <w:sz w:val="20"/>
          <w:szCs w:val="20"/>
        </w:rPr>
        <w:t xml:space="preserve"> </w:t>
      </w:r>
      <w:r w:rsidRPr="00BE332C">
        <w:rPr>
          <w:rFonts w:ascii="Arial" w:hAnsi="Arial" w:cs="Arial"/>
          <w:sz w:val="20"/>
          <w:szCs w:val="20"/>
        </w:rPr>
        <w:t>as</w:t>
      </w:r>
      <w:r w:rsidRPr="00BE332C">
        <w:rPr>
          <w:rFonts w:ascii="Arial" w:hAnsi="Arial" w:cs="Arial"/>
          <w:spacing w:val="-12"/>
          <w:sz w:val="20"/>
          <w:szCs w:val="20"/>
        </w:rPr>
        <w:t xml:space="preserve"> </w:t>
      </w:r>
      <w:r w:rsidRPr="00BE332C">
        <w:rPr>
          <w:rFonts w:ascii="Arial" w:hAnsi="Arial" w:cs="Arial"/>
          <w:sz w:val="20"/>
          <w:szCs w:val="20"/>
        </w:rPr>
        <w:t>aircraft</w:t>
      </w:r>
      <w:r w:rsidRPr="00BE332C">
        <w:rPr>
          <w:rFonts w:ascii="Arial" w:hAnsi="Arial" w:cs="Arial"/>
          <w:spacing w:val="-14"/>
          <w:sz w:val="20"/>
          <w:szCs w:val="20"/>
        </w:rPr>
        <w:t xml:space="preserve"> </w:t>
      </w:r>
      <w:r w:rsidRPr="00BE332C">
        <w:rPr>
          <w:rFonts w:ascii="Arial" w:hAnsi="Arial" w:cs="Arial"/>
          <w:sz w:val="20"/>
          <w:szCs w:val="20"/>
        </w:rPr>
        <w:t>parts</w:t>
      </w:r>
      <w:r w:rsidRPr="00BE332C">
        <w:rPr>
          <w:rFonts w:ascii="Arial" w:hAnsi="Arial" w:cs="Arial"/>
          <w:spacing w:val="-9"/>
          <w:sz w:val="20"/>
          <w:szCs w:val="20"/>
        </w:rPr>
        <w:t xml:space="preserve"> </w:t>
      </w:r>
      <w:r w:rsidRPr="00BE332C">
        <w:rPr>
          <w:rFonts w:ascii="Arial" w:hAnsi="Arial" w:cs="Arial"/>
          <w:sz w:val="20"/>
          <w:szCs w:val="20"/>
        </w:rPr>
        <w:t>list,</w:t>
      </w:r>
      <w:r w:rsidRPr="00BE332C">
        <w:rPr>
          <w:rFonts w:ascii="Arial" w:hAnsi="Arial" w:cs="Arial"/>
          <w:spacing w:val="-12"/>
          <w:sz w:val="20"/>
          <w:szCs w:val="20"/>
        </w:rPr>
        <w:t xml:space="preserve"> </w:t>
      </w:r>
      <w:r w:rsidRPr="00BE332C">
        <w:rPr>
          <w:rFonts w:ascii="Arial" w:hAnsi="Arial" w:cs="Arial"/>
          <w:sz w:val="20"/>
          <w:szCs w:val="20"/>
        </w:rPr>
        <w:t>wiring</w:t>
      </w:r>
      <w:r w:rsidRPr="00BE332C">
        <w:rPr>
          <w:rFonts w:ascii="Arial" w:hAnsi="Arial" w:cs="Arial"/>
          <w:spacing w:val="-10"/>
          <w:sz w:val="20"/>
          <w:szCs w:val="20"/>
        </w:rPr>
        <w:t xml:space="preserve"> </w:t>
      </w:r>
      <w:r w:rsidRPr="00BE332C">
        <w:rPr>
          <w:rFonts w:ascii="Arial" w:hAnsi="Arial" w:cs="Arial"/>
          <w:sz w:val="20"/>
          <w:szCs w:val="20"/>
        </w:rPr>
        <w:t>diagrams,</w:t>
      </w:r>
      <w:r w:rsidRPr="00BE332C">
        <w:rPr>
          <w:rFonts w:ascii="Arial" w:hAnsi="Arial" w:cs="Arial"/>
          <w:spacing w:val="-14"/>
          <w:sz w:val="20"/>
          <w:szCs w:val="20"/>
        </w:rPr>
        <w:t xml:space="preserve"> </w:t>
      </w:r>
      <w:r w:rsidRPr="00BE332C">
        <w:rPr>
          <w:rFonts w:ascii="Arial" w:hAnsi="Arial" w:cs="Arial"/>
          <w:sz w:val="20"/>
          <w:szCs w:val="20"/>
        </w:rPr>
        <w:t>etc.</w:t>
      </w:r>
      <w:r w:rsidRPr="00BE332C">
        <w:rPr>
          <w:rFonts w:ascii="Arial" w:hAnsi="Arial" w:cs="Arial"/>
          <w:spacing w:val="-11"/>
          <w:sz w:val="20"/>
          <w:szCs w:val="20"/>
        </w:rPr>
        <w:t xml:space="preserve"> </w:t>
      </w:r>
      <w:r w:rsidRPr="00BE332C">
        <w:rPr>
          <w:rFonts w:ascii="Arial" w:hAnsi="Arial" w:cs="Arial"/>
          <w:sz w:val="20"/>
          <w:szCs w:val="20"/>
        </w:rPr>
        <w:t>as</w:t>
      </w:r>
      <w:r w:rsidRPr="00BE332C">
        <w:rPr>
          <w:rFonts w:ascii="Arial" w:hAnsi="Arial" w:cs="Arial"/>
          <w:spacing w:val="-10"/>
          <w:sz w:val="20"/>
          <w:szCs w:val="20"/>
        </w:rPr>
        <w:t xml:space="preserve"> </w:t>
      </w:r>
      <w:r w:rsidRPr="00BE332C">
        <w:rPr>
          <w:rFonts w:ascii="Arial" w:hAnsi="Arial" w:cs="Arial"/>
          <w:sz w:val="20"/>
          <w:szCs w:val="20"/>
        </w:rPr>
        <w:t>deemed</w:t>
      </w:r>
      <w:r w:rsidRPr="00BE332C">
        <w:rPr>
          <w:rFonts w:ascii="Arial" w:hAnsi="Arial" w:cs="Arial"/>
          <w:spacing w:val="-12"/>
          <w:sz w:val="20"/>
          <w:szCs w:val="20"/>
        </w:rPr>
        <w:t xml:space="preserve"> </w:t>
      </w:r>
      <w:r w:rsidRPr="00BE332C">
        <w:rPr>
          <w:rFonts w:ascii="Arial" w:hAnsi="Arial" w:cs="Arial"/>
          <w:sz w:val="20"/>
          <w:szCs w:val="20"/>
        </w:rPr>
        <w:t>necessary.</w:t>
      </w:r>
      <w:r w:rsidRPr="00BE332C">
        <w:rPr>
          <w:rFonts w:ascii="Arial" w:hAnsi="Arial" w:cs="Arial"/>
          <w:spacing w:val="-12"/>
          <w:sz w:val="20"/>
          <w:szCs w:val="20"/>
        </w:rPr>
        <w:t xml:space="preserve"> </w:t>
      </w:r>
      <w:r w:rsidRPr="00BE332C">
        <w:rPr>
          <w:rFonts w:ascii="Arial" w:hAnsi="Arial" w:cs="Arial"/>
          <w:sz w:val="20"/>
          <w:szCs w:val="20"/>
        </w:rPr>
        <w:t>The</w:t>
      </w:r>
      <w:r w:rsidRPr="00BE332C">
        <w:rPr>
          <w:rFonts w:ascii="Arial" w:hAnsi="Arial" w:cs="Arial"/>
          <w:spacing w:val="-12"/>
          <w:sz w:val="20"/>
          <w:szCs w:val="20"/>
        </w:rPr>
        <w:t xml:space="preserve"> </w:t>
      </w:r>
      <w:r w:rsidRPr="004906DC">
        <w:rPr>
          <w:rFonts w:ascii="Arial" w:hAnsi="Arial" w:cs="Arial"/>
          <w:sz w:val="20"/>
          <w:szCs w:val="20"/>
        </w:rPr>
        <w:t>Form</w:t>
      </w:r>
      <w:r w:rsidRPr="004906DC">
        <w:rPr>
          <w:rFonts w:ascii="Arial" w:hAnsi="Arial" w:cs="Arial"/>
          <w:spacing w:val="-47"/>
          <w:sz w:val="20"/>
          <w:szCs w:val="20"/>
        </w:rPr>
        <w:t xml:space="preserve"> </w:t>
      </w:r>
      <w:r w:rsidRPr="004906DC">
        <w:rPr>
          <w:rFonts w:ascii="Arial" w:hAnsi="Arial" w:cs="Arial"/>
          <w:sz w:val="20"/>
          <w:szCs w:val="20"/>
        </w:rPr>
        <w:t>123</w:t>
      </w:r>
      <w:r w:rsidR="004906DC" w:rsidRPr="004906DC">
        <w:t xml:space="preserve"> </w:t>
      </w:r>
      <w:hyperlink r:id="rId122" w:history="1">
        <w:r w:rsidR="004906DC" w:rsidRPr="009131C0">
          <w:rPr>
            <w:rStyle w:val="Hyperlink"/>
            <w:rFonts w:ascii="Arial" w:hAnsi="Arial" w:cs="Arial"/>
            <w:sz w:val="20"/>
            <w:szCs w:val="20"/>
          </w:rPr>
          <w:t>order N 20-N of the Minister of Territorial Administration and Infrastructure of RA</w:t>
        </w:r>
      </w:hyperlink>
      <w:r w:rsidR="004906DC" w:rsidRPr="004906DC">
        <w:rPr>
          <w:rFonts w:ascii="Arial" w:hAnsi="Arial" w:cs="Arial"/>
          <w:sz w:val="20"/>
          <w:szCs w:val="20"/>
        </w:rPr>
        <w:t>, dated 18.11.2022</w:t>
      </w:r>
      <w:r w:rsidRPr="00BE332C">
        <w:rPr>
          <w:rFonts w:ascii="Arial" w:hAnsi="Arial" w:cs="Arial"/>
          <w:spacing w:val="-7"/>
          <w:sz w:val="20"/>
          <w:szCs w:val="20"/>
        </w:rPr>
        <w:t xml:space="preserve"> </w:t>
      </w:r>
      <w:r w:rsidRPr="00BE332C">
        <w:rPr>
          <w:rFonts w:ascii="Arial" w:hAnsi="Arial" w:cs="Arial"/>
          <w:sz w:val="20"/>
          <w:szCs w:val="20"/>
        </w:rPr>
        <w:t>is</w:t>
      </w:r>
      <w:r w:rsidRPr="00BE332C">
        <w:rPr>
          <w:rFonts w:ascii="Arial" w:hAnsi="Arial" w:cs="Arial"/>
          <w:spacing w:val="-10"/>
          <w:sz w:val="20"/>
          <w:szCs w:val="20"/>
        </w:rPr>
        <w:t xml:space="preserve"> </w:t>
      </w:r>
      <w:r w:rsidRPr="00BE332C">
        <w:rPr>
          <w:rFonts w:ascii="Arial" w:hAnsi="Arial" w:cs="Arial"/>
          <w:sz w:val="20"/>
          <w:szCs w:val="20"/>
        </w:rPr>
        <w:t>prepared</w:t>
      </w:r>
      <w:r w:rsidRPr="00BE332C">
        <w:rPr>
          <w:rFonts w:ascii="Arial" w:hAnsi="Arial" w:cs="Arial"/>
          <w:spacing w:val="-10"/>
          <w:sz w:val="20"/>
          <w:szCs w:val="20"/>
        </w:rPr>
        <w:t xml:space="preserve"> </w:t>
      </w:r>
      <w:r w:rsidRPr="00BE332C">
        <w:rPr>
          <w:rFonts w:ascii="Arial" w:hAnsi="Arial" w:cs="Arial"/>
          <w:sz w:val="20"/>
          <w:szCs w:val="20"/>
        </w:rPr>
        <w:t>for</w:t>
      </w:r>
      <w:r w:rsidRPr="00BE332C">
        <w:rPr>
          <w:rFonts w:ascii="Arial" w:hAnsi="Arial" w:cs="Arial"/>
          <w:spacing w:val="-10"/>
          <w:sz w:val="20"/>
          <w:szCs w:val="20"/>
        </w:rPr>
        <w:t xml:space="preserve"> </w:t>
      </w:r>
      <w:r w:rsidRPr="00BE332C">
        <w:rPr>
          <w:rFonts w:ascii="Arial" w:hAnsi="Arial" w:cs="Arial"/>
          <w:sz w:val="20"/>
          <w:szCs w:val="20"/>
        </w:rPr>
        <w:t>the</w:t>
      </w:r>
      <w:r w:rsidRPr="00BE332C">
        <w:rPr>
          <w:rFonts w:ascii="Arial" w:hAnsi="Arial" w:cs="Arial"/>
          <w:spacing w:val="-10"/>
          <w:sz w:val="20"/>
          <w:szCs w:val="20"/>
        </w:rPr>
        <w:t xml:space="preserve"> </w:t>
      </w:r>
      <w:r w:rsidRPr="00BE332C">
        <w:rPr>
          <w:rFonts w:ascii="Arial" w:hAnsi="Arial" w:cs="Arial"/>
          <w:sz w:val="20"/>
          <w:szCs w:val="20"/>
        </w:rPr>
        <w:t>purpose</w:t>
      </w:r>
      <w:r w:rsidRPr="00BE332C">
        <w:rPr>
          <w:rFonts w:ascii="Arial" w:hAnsi="Arial" w:cs="Arial"/>
          <w:spacing w:val="-9"/>
          <w:sz w:val="20"/>
          <w:szCs w:val="20"/>
        </w:rPr>
        <w:t xml:space="preserve"> </w:t>
      </w:r>
      <w:r w:rsidRPr="00BE332C">
        <w:rPr>
          <w:rFonts w:ascii="Arial" w:hAnsi="Arial" w:cs="Arial"/>
          <w:sz w:val="20"/>
          <w:szCs w:val="20"/>
        </w:rPr>
        <w:t>of</w:t>
      </w:r>
      <w:r w:rsidRPr="00BE332C">
        <w:rPr>
          <w:rFonts w:ascii="Arial" w:hAnsi="Arial" w:cs="Arial"/>
          <w:spacing w:val="-11"/>
          <w:sz w:val="20"/>
          <w:szCs w:val="20"/>
        </w:rPr>
        <w:t xml:space="preserve"> </w:t>
      </w:r>
      <w:r w:rsidRPr="00BE332C">
        <w:rPr>
          <w:rFonts w:ascii="Arial" w:hAnsi="Arial" w:cs="Arial"/>
          <w:sz w:val="20"/>
          <w:szCs w:val="20"/>
        </w:rPr>
        <w:t>documenting</w:t>
      </w:r>
      <w:r w:rsidRPr="00BE332C">
        <w:rPr>
          <w:rFonts w:ascii="Arial" w:hAnsi="Arial" w:cs="Arial"/>
          <w:spacing w:val="-8"/>
          <w:sz w:val="20"/>
          <w:szCs w:val="20"/>
        </w:rPr>
        <w:t xml:space="preserve"> </w:t>
      </w:r>
      <w:r w:rsidRPr="00BE332C">
        <w:rPr>
          <w:rFonts w:ascii="Arial" w:hAnsi="Arial" w:cs="Arial"/>
          <w:sz w:val="20"/>
          <w:szCs w:val="20"/>
        </w:rPr>
        <w:t>the</w:t>
      </w:r>
      <w:r w:rsidRPr="00BE332C">
        <w:rPr>
          <w:rFonts w:ascii="Arial" w:hAnsi="Arial" w:cs="Arial"/>
          <w:spacing w:val="-10"/>
          <w:sz w:val="20"/>
          <w:szCs w:val="20"/>
        </w:rPr>
        <w:t xml:space="preserve"> </w:t>
      </w:r>
      <w:r w:rsidRPr="00BE332C">
        <w:rPr>
          <w:rFonts w:ascii="Arial" w:hAnsi="Arial" w:cs="Arial"/>
          <w:sz w:val="20"/>
          <w:szCs w:val="20"/>
        </w:rPr>
        <w:t>preparation</w:t>
      </w:r>
      <w:r w:rsidRPr="00BE332C">
        <w:rPr>
          <w:rFonts w:ascii="Arial" w:hAnsi="Arial" w:cs="Arial"/>
          <w:spacing w:val="-10"/>
          <w:sz w:val="20"/>
          <w:szCs w:val="20"/>
        </w:rPr>
        <w:t xml:space="preserve"> </w:t>
      </w:r>
      <w:r w:rsidRPr="00BE332C">
        <w:rPr>
          <w:rFonts w:ascii="Arial" w:hAnsi="Arial" w:cs="Arial"/>
          <w:sz w:val="20"/>
          <w:szCs w:val="20"/>
        </w:rPr>
        <w:t>and</w:t>
      </w:r>
      <w:r w:rsidRPr="00BE332C">
        <w:rPr>
          <w:rFonts w:ascii="Arial" w:hAnsi="Arial" w:cs="Arial"/>
          <w:spacing w:val="-9"/>
          <w:sz w:val="20"/>
          <w:szCs w:val="20"/>
        </w:rPr>
        <w:t xml:space="preserve"> </w:t>
      </w:r>
      <w:r w:rsidRPr="00BE332C">
        <w:rPr>
          <w:rFonts w:ascii="Arial" w:hAnsi="Arial" w:cs="Arial"/>
          <w:sz w:val="20"/>
          <w:szCs w:val="20"/>
        </w:rPr>
        <w:t>embodiment</w:t>
      </w:r>
      <w:r w:rsidRPr="00BE332C">
        <w:rPr>
          <w:rFonts w:ascii="Arial" w:hAnsi="Arial" w:cs="Arial"/>
          <w:spacing w:val="-9"/>
          <w:sz w:val="20"/>
          <w:szCs w:val="20"/>
        </w:rPr>
        <w:t xml:space="preserve"> </w:t>
      </w:r>
      <w:r w:rsidRPr="00BE332C">
        <w:rPr>
          <w:rFonts w:ascii="Arial" w:hAnsi="Arial" w:cs="Arial"/>
          <w:sz w:val="20"/>
          <w:szCs w:val="20"/>
        </w:rPr>
        <w:t>of</w:t>
      </w:r>
      <w:r w:rsidRPr="00BE332C">
        <w:rPr>
          <w:rFonts w:ascii="Arial" w:hAnsi="Arial" w:cs="Arial"/>
          <w:spacing w:val="-11"/>
          <w:sz w:val="20"/>
          <w:szCs w:val="20"/>
        </w:rPr>
        <w:t xml:space="preserve"> </w:t>
      </w:r>
      <w:r w:rsidRPr="00BE332C">
        <w:rPr>
          <w:rFonts w:ascii="Arial" w:hAnsi="Arial" w:cs="Arial"/>
          <w:sz w:val="20"/>
          <w:szCs w:val="20"/>
        </w:rPr>
        <w:t>the</w:t>
      </w:r>
      <w:r w:rsidRPr="00BE332C">
        <w:rPr>
          <w:rFonts w:ascii="Arial" w:hAnsi="Arial" w:cs="Arial"/>
          <w:spacing w:val="-9"/>
          <w:sz w:val="20"/>
          <w:szCs w:val="20"/>
        </w:rPr>
        <w:t xml:space="preserve"> </w:t>
      </w:r>
      <w:r w:rsidRPr="00BE332C">
        <w:rPr>
          <w:rFonts w:ascii="Arial" w:hAnsi="Arial" w:cs="Arial"/>
          <w:sz w:val="20"/>
          <w:szCs w:val="20"/>
        </w:rPr>
        <w:t>SC/SR.</w:t>
      </w:r>
      <w:r w:rsidRPr="00BE332C">
        <w:rPr>
          <w:rFonts w:ascii="Arial" w:hAnsi="Arial" w:cs="Arial"/>
          <w:spacing w:val="-48"/>
          <w:sz w:val="20"/>
          <w:szCs w:val="20"/>
        </w:rPr>
        <w:t xml:space="preserve"> </w:t>
      </w:r>
      <w:r w:rsidRPr="00BE332C">
        <w:rPr>
          <w:rFonts w:ascii="Arial" w:hAnsi="Arial" w:cs="Arial"/>
          <w:sz w:val="20"/>
          <w:szCs w:val="20"/>
        </w:rPr>
        <w:t xml:space="preserve">The aircraft logbook should contain an entry referring to </w:t>
      </w:r>
      <w:r w:rsidRPr="004906DC">
        <w:rPr>
          <w:rFonts w:ascii="Arial" w:hAnsi="Arial" w:cs="Arial"/>
          <w:sz w:val="20"/>
          <w:szCs w:val="20"/>
        </w:rPr>
        <w:t>Form 123;</w:t>
      </w:r>
      <w:r w:rsidR="004906DC" w:rsidRPr="004906DC">
        <w:t xml:space="preserve"> </w:t>
      </w:r>
      <w:hyperlink r:id="rId123" w:history="1">
        <w:r w:rsidR="004906DC" w:rsidRPr="009131C0">
          <w:rPr>
            <w:rStyle w:val="Hyperlink"/>
            <w:rFonts w:ascii="Arial" w:hAnsi="Arial" w:cs="Arial"/>
            <w:sz w:val="20"/>
            <w:szCs w:val="20"/>
          </w:rPr>
          <w:t>order N 20-N of the Minister of Territorial Administration and Infrastructure of RA, dated 18.11.2022</w:t>
        </w:r>
      </w:hyperlink>
      <w:r w:rsidRPr="00BE332C">
        <w:rPr>
          <w:rFonts w:ascii="Arial" w:hAnsi="Arial" w:cs="Arial"/>
          <w:sz w:val="20"/>
          <w:szCs w:val="20"/>
        </w:rPr>
        <w:t xml:space="preserve"> both </w:t>
      </w:r>
      <w:r w:rsidRPr="004906DC">
        <w:rPr>
          <w:rFonts w:ascii="Arial" w:hAnsi="Arial" w:cs="Arial"/>
          <w:sz w:val="20"/>
          <w:szCs w:val="20"/>
        </w:rPr>
        <w:t>Form 123</w:t>
      </w:r>
      <w:r w:rsidRPr="00BE332C">
        <w:rPr>
          <w:rFonts w:ascii="Arial" w:hAnsi="Arial" w:cs="Arial"/>
          <w:spacing w:val="1"/>
          <w:sz w:val="20"/>
          <w:szCs w:val="20"/>
        </w:rPr>
        <w:t xml:space="preserve"> </w:t>
      </w:r>
      <w:r w:rsidRPr="00BE332C">
        <w:rPr>
          <w:rFonts w:ascii="Arial" w:hAnsi="Arial" w:cs="Arial"/>
          <w:sz w:val="20"/>
          <w:szCs w:val="20"/>
        </w:rPr>
        <w:t>and</w:t>
      </w:r>
      <w:r w:rsidRPr="00BE332C">
        <w:rPr>
          <w:rFonts w:ascii="Arial" w:hAnsi="Arial" w:cs="Arial"/>
          <w:spacing w:val="-2"/>
          <w:sz w:val="20"/>
          <w:szCs w:val="20"/>
        </w:rPr>
        <w:t xml:space="preserve"> </w:t>
      </w:r>
      <w:r w:rsidRPr="00BE332C">
        <w:rPr>
          <w:rFonts w:ascii="Arial" w:hAnsi="Arial" w:cs="Arial"/>
          <w:sz w:val="20"/>
          <w:szCs w:val="20"/>
        </w:rPr>
        <w:t>the</w:t>
      </w:r>
      <w:r w:rsidRPr="00BE332C">
        <w:rPr>
          <w:rFonts w:ascii="Arial" w:hAnsi="Arial" w:cs="Arial"/>
          <w:spacing w:val="-3"/>
          <w:sz w:val="20"/>
          <w:szCs w:val="20"/>
        </w:rPr>
        <w:t xml:space="preserve"> </w:t>
      </w:r>
      <w:r w:rsidRPr="00BE332C">
        <w:rPr>
          <w:rFonts w:ascii="Arial" w:hAnsi="Arial" w:cs="Arial"/>
          <w:sz w:val="20"/>
          <w:szCs w:val="20"/>
        </w:rPr>
        <w:t>release</w:t>
      </w:r>
      <w:r w:rsidRPr="00BE332C">
        <w:rPr>
          <w:rFonts w:ascii="Arial" w:hAnsi="Arial" w:cs="Arial"/>
          <w:spacing w:val="-3"/>
          <w:sz w:val="20"/>
          <w:szCs w:val="20"/>
        </w:rPr>
        <w:t xml:space="preserve"> </w:t>
      </w:r>
      <w:r w:rsidRPr="00BE332C">
        <w:rPr>
          <w:rFonts w:ascii="Arial" w:hAnsi="Arial" w:cs="Arial"/>
          <w:sz w:val="20"/>
          <w:szCs w:val="20"/>
        </w:rPr>
        <w:t>to</w:t>
      </w:r>
      <w:r w:rsidRPr="00BE332C">
        <w:rPr>
          <w:rFonts w:ascii="Arial" w:hAnsi="Arial" w:cs="Arial"/>
          <w:spacing w:val="-2"/>
          <w:sz w:val="20"/>
          <w:szCs w:val="20"/>
        </w:rPr>
        <w:t xml:space="preserve"> </w:t>
      </w:r>
      <w:r w:rsidRPr="00BE332C">
        <w:rPr>
          <w:rFonts w:ascii="Arial" w:hAnsi="Arial" w:cs="Arial"/>
          <w:sz w:val="20"/>
          <w:szCs w:val="20"/>
        </w:rPr>
        <w:t>service</w:t>
      </w:r>
      <w:r w:rsidRPr="00BE332C">
        <w:rPr>
          <w:rFonts w:ascii="Arial" w:hAnsi="Arial" w:cs="Arial"/>
          <w:spacing w:val="-3"/>
          <w:sz w:val="20"/>
          <w:szCs w:val="20"/>
        </w:rPr>
        <w:t xml:space="preserve"> </w:t>
      </w:r>
      <w:r w:rsidRPr="00BE332C">
        <w:rPr>
          <w:rFonts w:ascii="Arial" w:hAnsi="Arial" w:cs="Arial"/>
          <w:sz w:val="20"/>
          <w:szCs w:val="20"/>
        </w:rPr>
        <w:t>required</w:t>
      </w:r>
      <w:r w:rsidRPr="00BE332C">
        <w:rPr>
          <w:rFonts w:ascii="Arial" w:hAnsi="Arial" w:cs="Arial"/>
          <w:spacing w:val="-2"/>
          <w:sz w:val="20"/>
          <w:szCs w:val="20"/>
        </w:rPr>
        <w:t xml:space="preserve"> </w:t>
      </w:r>
      <w:r w:rsidRPr="00BE332C">
        <w:rPr>
          <w:rFonts w:ascii="Arial" w:hAnsi="Arial" w:cs="Arial"/>
          <w:sz w:val="20"/>
          <w:szCs w:val="20"/>
        </w:rPr>
        <w:t>after</w:t>
      </w:r>
      <w:r w:rsidRPr="00BE332C">
        <w:rPr>
          <w:rFonts w:ascii="Arial" w:hAnsi="Arial" w:cs="Arial"/>
          <w:spacing w:val="-2"/>
          <w:sz w:val="20"/>
          <w:szCs w:val="20"/>
        </w:rPr>
        <w:t xml:space="preserve"> </w:t>
      </w:r>
      <w:r w:rsidRPr="00BE332C">
        <w:rPr>
          <w:rFonts w:ascii="Arial" w:hAnsi="Arial" w:cs="Arial"/>
          <w:sz w:val="20"/>
          <w:szCs w:val="20"/>
        </w:rPr>
        <w:t>the</w:t>
      </w:r>
      <w:r w:rsidRPr="00BE332C">
        <w:rPr>
          <w:rFonts w:ascii="Arial" w:hAnsi="Arial" w:cs="Arial"/>
          <w:spacing w:val="-3"/>
          <w:sz w:val="20"/>
          <w:szCs w:val="20"/>
        </w:rPr>
        <w:t xml:space="preserve"> </w:t>
      </w:r>
      <w:r w:rsidRPr="00BE332C">
        <w:rPr>
          <w:rFonts w:ascii="Arial" w:hAnsi="Arial" w:cs="Arial"/>
          <w:sz w:val="20"/>
          <w:szCs w:val="20"/>
        </w:rPr>
        <w:t>embodiment</w:t>
      </w:r>
      <w:r w:rsidRPr="00BE332C">
        <w:rPr>
          <w:rFonts w:ascii="Arial" w:hAnsi="Arial" w:cs="Arial"/>
          <w:spacing w:val="-3"/>
          <w:sz w:val="20"/>
          <w:szCs w:val="20"/>
        </w:rPr>
        <w:t xml:space="preserve"> </w:t>
      </w:r>
      <w:r w:rsidRPr="00BE332C">
        <w:rPr>
          <w:rFonts w:ascii="Arial" w:hAnsi="Arial" w:cs="Arial"/>
          <w:sz w:val="20"/>
          <w:szCs w:val="20"/>
        </w:rPr>
        <w:t>of</w:t>
      </w:r>
      <w:r w:rsidRPr="00BE332C">
        <w:rPr>
          <w:rFonts w:ascii="Arial" w:hAnsi="Arial" w:cs="Arial"/>
          <w:spacing w:val="-4"/>
          <w:sz w:val="20"/>
          <w:szCs w:val="20"/>
        </w:rPr>
        <w:t xml:space="preserve"> </w:t>
      </w:r>
      <w:r w:rsidRPr="00BE332C">
        <w:rPr>
          <w:rFonts w:ascii="Arial" w:hAnsi="Arial" w:cs="Arial"/>
          <w:sz w:val="20"/>
          <w:szCs w:val="20"/>
        </w:rPr>
        <w:t>the</w:t>
      </w:r>
      <w:r w:rsidRPr="00BE332C">
        <w:rPr>
          <w:rFonts w:ascii="Arial" w:hAnsi="Arial" w:cs="Arial"/>
          <w:spacing w:val="-3"/>
          <w:sz w:val="20"/>
          <w:szCs w:val="20"/>
        </w:rPr>
        <w:t xml:space="preserve"> </w:t>
      </w:r>
      <w:r w:rsidRPr="00BE332C">
        <w:rPr>
          <w:rFonts w:ascii="Arial" w:hAnsi="Arial" w:cs="Arial"/>
          <w:sz w:val="20"/>
          <w:szCs w:val="20"/>
        </w:rPr>
        <w:t>SC/SR</w:t>
      </w:r>
      <w:r w:rsidRPr="00BE332C">
        <w:rPr>
          <w:rFonts w:ascii="Arial" w:hAnsi="Arial" w:cs="Arial"/>
          <w:spacing w:val="-3"/>
          <w:sz w:val="20"/>
          <w:szCs w:val="20"/>
        </w:rPr>
        <w:t xml:space="preserve"> </w:t>
      </w:r>
      <w:r w:rsidRPr="00BE332C">
        <w:rPr>
          <w:rFonts w:ascii="Arial" w:hAnsi="Arial" w:cs="Arial"/>
          <w:sz w:val="20"/>
          <w:szCs w:val="20"/>
        </w:rPr>
        <w:t>should</w:t>
      </w:r>
      <w:r w:rsidRPr="00BE332C">
        <w:rPr>
          <w:rFonts w:ascii="Arial" w:hAnsi="Arial" w:cs="Arial"/>
          <w:spacing w:val="-2"/>
          <w:sz w:val="20"/>
          <w:szCs w:val="20"/>
        </w:rPr>
        <w:t xml:space="preserve"> </w:t>
      </w:r>
      <w:r w:rsidRPr="00BE332C">
        <w:rPr>
          <w:rFonts w:ascii="Arial" w:hAnsi="Arial" w:cs="Arial"/>
          <w:sz w:val="20"/>
          <w:szCs w:val="20"/>
        </w:rPr>
        <w:t>be</w:t>
      </w:r>
      <w:r w:rsidRPr="00BE332C">
        <w:rPr>
          <w:rFonts w:ascii="Arial" w:hAnsi="Arial" w:cs="Arial"/>
          <w:spacing w:val="-6"/>
          <w:sz w:val="20"/>
          <w:szCs w:val="20"/>
        </w:rPr>
        <w:t xml:space="preserve"> </w:t>
      </w:r>
      <w:r w:rsidRPr="00BE332C">
        <w:rPr>
          <w:rFonts w:ascii="Arial" w:hAnsi="Arial" w:cs="Arial"/>
          <w:sz w:val="20"/>
          <w:szCs w:val="20"/>
        </w:rPr>
        <w:t>signed</w:t>
      </w:r>
      <w:r w:rsidRPr="00BE332C">
        <w:rPr>
          <w:rFonts w:ascii="Arial" w:hAnsi="Arial" w:cs="Arial"/>
          <w:spacing w:val="-1"/>
          <w:sz w:val="20"/>
          <w:szCs w:val="20"/>
        </w:rPr>
        <w:t xml:space="preserve"> </w:t>
      </w:r>
      <w:r w:rsidRPr="00BE332C">
        <w:rPr>
          <w:rFonts w:ascii="Arial" w:hAnsi="Arial" w:cs="Arial"/>
          <w:sz w:val="20"/>
          <w:szCs w:val="20"/>
        </w:rPr>
        <w:t>by</w:t>
      </w:r>
      <w:r w:rsidRPr="00BE332C">
        <w:rPr>
          <w:rFonts w:ascii="Arial" w:hAnsi="Arial" w:cs="Arial"/>
          <w:spacing w:val="-4"/>
          <w:sz w:val="20"/>
          <w:szCs w:val="20"/>
        </w:rPr>
        <w:t xml:space="preserve"> </w:t>
      </w:r>
      <w:r w:rsidRPr="00BE332C">
        <w:rPr>
          <w:rFonts w:ascii="Arial" w:hAnsi="Arial" w:cs="Arial"/>
          <w:sz w:val="20"/>
          <w:szCs w:val="20"/>
        </w:rPr>
        <w:t>the</w:t>
      </w:r>
      <w:r w:rsidRPr="00BE332C">
        <w:rPr>
          <w:rFonts w:ascii="Arial" w:hAnsi="Arial" w:cs="Arial"/>
          <w:spacing w:val="-47"/>
          <w:sz w:val="20"/>
          <w:szCs w:val="20"/>
        </w:rPr>
        <w:t xml:space="preserve"> </w:t>
      </w:r>
      <w:r w:rsidRPr="00BE332C">
        <w:rPr>
          <w:rFonts w:ascii="Arial" w:hAnsi="Arial" w:cs="Arial"/>
          <w:sz w:val="20"/>
          <w:szCs w:val="20"/>
        </w:rPr>
        <w:lastRenderedPageBreak/>
        <w:t>same</w:t>
      </w:r>
      <w:r w:rsidRPr="00BE332C">
        <w:rPr>
          <w:rFonts w:ascii="Arial" w:hAnsi="Arial" w:cs="Arial"/>
          <w:spacing w:val="-3"/>
          <w:sz w:val="20"/>
          <w:szCs w:val="20"/>
        </w:rPr>
        <w:t xml:space="preserve"> </w:t>
      </w:r>
      <w:r w:rsidRPr="00BE332C">
        <w:rPr>
          <w:rFonts w:ascii="Arial" w:hAnsi="Arial" w:cs="Arial"/>
          <w:sz w:val="20"/>
          <w:szCs w:val="20"/>
        </w:rPr>
        <w:t>person.</w:t>
      </w:r>
    </w:p>
    <w:p w14:paraId="174F5390" w14:textId="20E45E38" w:rsidR="00B229C2" w:rsidRPr="00BE332C" w:rsidRDefault="00B229C2" w:rsidP="003075E4">
      <w:pPr>
        <w:pStyle w:val="BodyText"/>
        <w:spacing w:before="119"/>
        <w:ind w:left="706" w:right="44"/>
        <w:jc w:val="both"/>
        <w:rPr>
          <w:rFonts w:ascii="Arial" w:hAnsi="Arial" w:cs="Arial"/>
          <w:sz w:val="20"/>
          <w:szCs w:val="20"/>
        </w:rPr>
      </w:pPr>
      <w:r w:rsidRPr="004906DC">
        <w:rPr>
          <w:rFonts w:ascii="Arial" w:hAnsi="Arial" w:cs="Arial"/>
          <w:sz w:val="20"/>
          <w:szCs w:val="20"/>
        </w:rPr>
        <w:t>Form</w:t>
      </w:r>
      <w:r w:rsidRPr="004906DC">
        <w:rPr>
          <w:rFonts w:ascii="Arial" w:hAnsi="Arial" w:cs="Arial"/>
          <w:spacing w:val="-6"/>
          <w:sz w:val="20"/>
          <w:szCs w:val="20"/>
        </w:rPr>
        <w:t xml:space="preserve"> </w:t>
      </w:r>
      <w:r w:rsidRPr="004906DC">
        <w:rPr>
          <w:rFonts w:ascii="Arial" w:hAnsi="Arial" w:cs="Arial"/>
          <w:sz w:val="20"/>
          <w:szCs w:val="20"/>
        </w:rPr>
        <w:t>123</w:t>
      </w:r>
      <w:r w:rsidRPr="00BE332C">
        <w:rPr>
          <w:rFonts w:ascii="Arial" w:hAnsi="Arial" w:cs="Arial"/>
          <w:spacing w:val="-5"/>
          <w:sz w:val="20"/>
          <w:szCs w:val="20"/>
        </w:rPr>
        <w:t xml:space="preserve"> </w:t>
      </w:r>
      <w:r w:rsidRPr="00BE332C">
        <w:rPr>
          <w:rFonts w:ascii="Arial" w:hAnsi="Arial" w:cs="Arial"/>
          <w:sz w:val="20"/>
          <w:szCs w:val="20"/>
        </w:rPr>
        <w:t>and</w:t>
      </w:r>
      <w:r w:rsidRPr="00BE332C">
        <w:rPr>
          <w:rFonts w:ascii="Arial" w:hAnsi="Arial" w:cs="Arial"/>
          <w:spacing w:val="-5"/>
          <w:sz w:val="20"/>
          <w:szCs w:val="20"/>
        </w:rPr>
        <w:t xml:space="preserve"> </w:t>
      </w:r>
      <w:r w:rsidRPr="00BE332C">
        <w:rPr>
          <w:rFonts w:ascii="Arial" w:hAnsi="Arial" w:cs="Arial"/>
          <w:sz w:val="20"/>
          <w:szCs w:val="20"/>
        </w:rPr>
        <w:t>all</w:t>
      </w:r>
      <w:r w:rsidRPr="00BE332C">
        <w:rPr>
          <w:rFonts w:ascii="Arial" w:hAnsi="Arial" w:cs="Arial"/>
          <w:spacing w:val="-6"/>
          <w:sz w:val="20"/>
          <w:szCs w:val="20"/>
        </w:rPr>
        <w:t xml:space="preserve"> </w:t>
      </w:r>
      <w:r w:rsidRPr="00BE332C">
        <w:rPr>
          <w:rFonts w:ascii="Arial" w:hAnsi="Arial" w:cs="Arial"/>
          <w:sz w:val="20"/>
          <w:szCs w:val="20"/>
        </w:rPr>
        <w:t>the</w:t>
      </w:r>
      <w:r w:rsidRPr="00BE332C">
        <w:rPr>
          <w:rFonts w:ascii="Arial" w:hAnsi="Arial" w:cs="Arial"/>
          <w:spacing w:val="-5"/>
          <w:sz w:val="20"/>
          <w:szCs w:val="20"/>
        </w:rPr>
        <w:t xml:space="preserve"> </w:t>
      </w:r>
      <w:r w:rsidRPr="00BE332C">
        <w:rPr>
          <w:rFonts w:ascii="Arial" w:hAnsi="Arial" w:cs="Arial"/>
          <w:sz w:val="20"/>
          <w:szCs w:val="20"/>
        </w:rPr>
        <w:t>records</w:t>
      </w:r>
      <w:r w:rsidRPr="00BE332C">
        <w:rPr>
          <w:rFonts w:ascii="Arial" w:hAnsi="Arial" w:cs="Arial"/>
          <w:spacing w:val="-5"/>
          <w:sz w:val="20"/>
          <w:szCs w:val="20"/>
        </w:rPr>
        <w:t xml:space="preserve"> </w:t>
      </w:r>
      <w:r w:rsidRPr="00BE332C">
        <w:rPr>
          <w:rFonts w:ascii="Arial" w:hAnsi="Arial" w:cs="Arial"/>
          <w:sz w:val="20"/>
          <w:szCs w:val="20"/>
        </w:rPr>
        <w:t>listed</w:t>
      </w:r>
      <w:r w:rsidRPr="00BE332C">
        <w:rPr>
          <w:rFonts w:ascii="Arial" w:hAnsi="Arial" w:cs="Arial"/>
          <w:spacing w:val="-6"/>
          <w:sz w:val="20"/>
          <w:szCs w:val="20"/>
        </w:rPr>
        <w:t xml:space="preserve"> </w:t>
      </w:r>
      <w:r w:rsidRPr="00BE332C">
        <w:rPr>
          <w:rFonts w:ascii="Arial" w:hAnsi="Arial" w:cs="Arial"/>
          <w:sz w:val="20"/>
          <w:szCs w:val="20"/>
        </w:rPr>
        <w:t>on</w:t>
      </w:r>
      <w:r w:rsidRPr="00BE332C">
        <w:rPr>
          <w:rFonts w:ascii="Arial" w:hAnsi="Arial" w:cs="Arial"/>
          <w:spacing w:val="-5"/>
          <w:sz w:val="20"/>
          <w:szCs w:val="20"/>
        </w:rPr>
        <w:t xml:space="preserve"> </w:t>
      </w:r>
      <w:r w:rsidRPr="00BE332C">
        <w:rPr>
          <w:rFonts w:ascii="Arial" w:hAnsi="Arial" w:cs="Arial"/>
          <w:sz w:val="20"/>
          <w:szCs w:val="20"/>
        </w:rPr>
        <w:t>it</w:t>
      </w:r>
      <w:r w:rsidRPr="00BE332C">
        <w:rPr>
          <w:rFonts w:ascii="Arial" w:hAnsi="Arial" w:cs="Arial"/>
          <w:spacing w:val="-5"/>
          <w:sz w:val="20"/>
          <w:szCs w:val="20"/>
        </w:rPr>
        <w:t xml:space="preserve"> </w:t>
      </w:r>
      <w:r w:rsidRPr="00BE332C">
        <w:rPr>
          <w:rFonts w:ascii="Arial" w:hAnsi="Arial" w:cs="Arial"/>
          <w:sz w:val="20"/>
          <w:szCs w:val="20"/>
        </w:rPr>
        <w:t>should</w:t>
      </w:r>
      <w:r w:rsidRPr="00BE332C">
        <w:rPr>
          <w:rFonts w:ascii="Arial" w:hAnsi="Arial" w:cs="Arial"/>
          <w:spacing w:val="-6"/>
          <w:sz w:val="20"/>
          <w:szCs w:val="20"/>
        </w:rPr>
        <w:t xml:space="preserve"> </w:t>
      </w:r>
      <w:r w:rsidRPr="00BE332C">
        <w:rPr>
          <w:rFonts w:ascii="Arial" w:hAnsi="Arial" w:cs="Arial"/>
          <w:sz w:val="20"/>
          <w:szCs w:val="20"/>
        </w:rPr>
        <w:t>follow</w:t>
      </w:r>
      <w:r w:rsidRPr="00BE332C">
        <w:rPr>
          <w:rFonts w:ascii="Arial" w:hAnsi="Arial" w:cs="Arial"/>
          <w:spacing w:val="-4"/>
          <w:sz w:val="20"/>
          <w:szCs w:val="20"/>
        </w:rPr>
        <w:t xml:space="preserve"> </w:t>
      </w:r>
      <w:r w:rsidRPr="00BE332C">
        <w:rPr>
          <w:rFonts w:ascii="Arial" w:hAnsi="Arial" w:cs="Arial"/>
          <w:sz w:val="20"/>
          <w:szCs w:val="20"/>
        </w:rPr>
        <w:t>elementary</w:t>
      </w:r>
      <w:r w:rsidRPr="00BE332C">
        <w:rPr>
          <w:rFonts w:ascii="Arial" w:hAnsi="Arial" w:cs="Arial"/>
          <w:spacing w:val="-4"/>
          <w:sz w:val="20"/>
          <w:szCs w:val="20"/>
        </w:rPr>
        <w:t xml:space="preserve"> </w:t>
      </w:r>
      <w:r w:rsidRPr="00BE332C">
        <w:rPr>
          <w:rFonts w:ascii="Arial" w:hAnsi="Arial" w:cs="Arial"/>
          <w:sz w:val="20"/>
          <w:szCs w:val="20"/>
        </w:rPr>
        <w:t>principles</w:t>
      </w:r>
      <w:r w:rsidRPr="00BE332C">
        <w:rPr>
          <w:rFonts w:ascii="Arial" w:hAnsi="Arial" w:cs="Arial"/>
          <w:spacing w:val="-5"/>
          <w:sz w:val="20"/>
          <w:szCs w:val="20"/>
        </w:rPr>
        <w:t xml:space="preserve"> </w:t>
      </w:r>
      <w:r w:rsidRPr="00BE332C">
        <w:rPr>
          <w:rFonts w:ascii="Arial" w:hAnsi="Arial" w:cs="Arial"/>
          <w:sz w:val="20"/>
          <w:szCs w:val="20"/>
        </w:rPr>
        <w:t>of</w:t>
      </w:r>
      <w:r w:rsidRPr="00BE332C">
        <w:rPr>
          <w:rFonts w:ascii="Arial" w:hAnsi="Arial" w:cs="Arial"/>
          <w:spacing w:val="-6"/>
          <w:sz w:val="20"/>
          <w:szCs w:val="20"/>
        </w:rPr>
        <w:t xml:space="preserve"> </w:t>
      </w:r>
      <w:r w:rsidRPr="00BE332C">
        <w:rPr>
          <w:rFonts w:ascii="Arial" w:hAnsi="Arial" w:cs="Arial"/>
          <w:sz w:val="20"/>
          <w:szCs w:val="20"/>
        </w:rPr>
        <w:t>controlled</w:t>
      </w:r>
      <w:r w:rsidRPr="00BE332C">
        <w:rPr>
          <w:rFonts w:ascii="Arial" w:hAnsi="Arial" w:cs="Arial"/>
          <w:spacing w:val="-47"/>
          <w:sz w:val="20"/>
          <w:szCs w:val="20"/>
        </w:rPr>
        <w:t xml:space="preserve"> </w:t>
      </w:r>
      <w:r w:rsidRPr="00BE332C">
        <w:rPr>
          <w:rFonts w:ascii="Arial" w:hAnsi="Arial" w:cs="Arial"/>
          <w:sz w:val="20"/>
          <w:szCs w:val="20"/>
        </w:rPr>
        <w:t>documentation, e.g. contain reference number of documents, issue dates, revision numbers,</w:t>
      </w:r>
      <w:r w:rsidRPr="00BE332C">
        <w:rPr>
          <w:rFonts w:ascii="Arial" w:hAnsi="Arial" w:cs="Arial"/>
          <w:spacing w:val="1"/>
          <w:sz w:val="20"/>
          <w:szCs w:val="20"/>
        </w:rPr>
        <w:t xml:space="preserve"> </w:t>
      </w:r>
      <w:r w:rsidRPr="00BE332C">
        <w:rPr>
          <w:rFonts w:ascii="Arial" w:hAnsi="Arial" w:cs="Arial"/>
          <w:sz w:val="20"/>
          <w:szCs w:val="20"/>
        </w:rPr>
        <w:t>name</w:t>
      </w:r>
      <w:r w:rsidRPr="00BE332C">
        <w:rPr>
          <w:rFonts w:ascii="Arial" w:hAnsi="Arial" w:cs="Arial"/>
          <w:spacing w:val="-3"/>
          <w:sz w:val="20"/>
          <w:szCs w:val="20"/>
        </w:rPr>
        <w:t xml:space="preserve"> </w:t>
      </w:r>
      <w:r w:rsidRPr="00BE332C">
        <w:rPr>
          <w:rFonts w:ascii="Arial" w:hAnsi="Arial" w:cs="Arial"/>
          <w:sz w:val="20"/>
          <w:szCs w:val="20"/>
        </w:rPr>
        <w:t>of persons</w:t>
      </w:r>
      <w:r w:rsidRPr="00BE332C">
        <w:rPr>
          <w:rFonts w:ascii="Arial" w:hAnsi="Arial" w:cs="Arial"/>
          <w:spacing w:val="-3"/>
          <w:sz w:val="20"/>
          <w:szCs w:val="20"/>
        </w:rPr>
        <w:t xml:space="preserve"> </w:t>
      </w:r>
      <w:r w:rsidRPr="00BE332C">
        <w:rPr>
          <w:rFonts w:ascii="Arial" w:hAnsi="Arial" w:cs="Arial"/>
          <w:sz w:val="20"/>
          <w:szCs w:val="20"/>
        </w:rPr>
        <w:t>preparing/releasing</w:t>
      </w:r>
      <w:r w:rsidRPr="00BE332C">
        <w:rPr>
          <w:rFonts w:ascii="Arial" w:hAnsi="Arial" w:cs="Arial"/>
          <w:spacing w:val="-1"/>
          <w:sz w:val="20"/>
          <w:szCs w:val="20"/>
        </w:rPr>
        <w:t xml:space="preserve"> </w:t>
      </w:r>
      <w:r w:rsidRPr="00BE332C">
        <w:rPr>
          <w:rFonts w:ascii="Arial" w:hAnsi="Arial" w:cs="Arial"/>
          <w:sz w:val="20"/>
          <w:szCs w:val="20"/>
        </w:rPr>
        <w:t>the</w:t>
      </w:r>
      <w:r w:rsidRPr="00BE332C">
        <w:rPr>
          <w:rFonts w:ascii="Arial" w:hAnsi="Arial" w:cs="Arial"/>
          <w:spacing w:val="1"/>
          <w:sz w:val="20"/>
          <w:szCs w:val="20"/>
        </w:rPr>
        <w:t xml:space="preserve"> </w:t>
      </w:r>
      <w:r w:rsidRPr="00BE332C">
        <w:rPr>
          <w:rFonts w:ascii="Arial" w:hAnsi="Arial" w:cs="Arial"/>
          <w:sz w:val="20"/>
          <w:szCs w:val="20"/>
        </w:rPr>
        <w:t>document,</w:t>
      </w:r>
      <w:r w:rsidRPr="00BE332C">
        <w:rPr>
          <w:rFonts w:ascii="Arial" w:hAnsi="Arial" w:cs="Arial"/>
          <w:spacing w:val="-2"/>
          <w:sz w:val="20"/>
          <w:szCs w:val="20"/>
        </w:rPr>
        <w:t xml:space="preserve"> </w:t>
      </w:r>
      <w:r w:rsidRPr="00BE332C">
        <w:rPr>
          <w:rFonts w:ascii="Arial" w:hAnsi="Arial" w:cs="Arial"/>
          <w:sz w:val="20"/>
          <w:szCs w:val="20"/>
        </w:rPr>
        <w:t>etc.</w:t>
      </w:r>
    </w:p>
    <w:p w14:paraId="59458497" w14:textId="77777777" w:rsidR="00B229C2" w:rsidRPr="00BE332C" w:rsidRDefault="00B229C2" w:rsidP="003075E4">
      <w:pPr>
        <w:pStyle w:val="BodyText"/>
        <w:numPr>
          <w:ilvl w:val="0"/>
          <w:numId w:val="319"/>
        </w:numPr>
        <w:ind w:right="44"/>
        <w:jc w:val="both"/>
        <w:rPr>
          <w:rFonts w:ascii="Arial" w:eastAsiaTheme="minorHAnsi" w:hAnsi="Arial" w:cs="Arial"/>
          <w:b/>
          <w:bCs/>
          <w:sz w:val="20"/>
          <w:szCs w:val="20"/>
        </w:rPr>
      </w:pPr>
      <w:r w:rsidRPr="00BE332C">
        <w:rPr>
          <w:rFonts w:ascii="Arial" w:eastAsiaTheme="minorHAnsi" w:hAnsi="Arial" w:cs="Arial"/>
          <w:b/>
          <w:bCs/>
          <w:sz w:val="20"/>
          <w:szCs w:val="20"/>
        </w:rPr>
        <w:t>Record-keeping</w:t>
      </w:r>
    </w:p>
    <w:p w14:paraId="5AFC876B" w14:textId="77777777" w:rsidR="00B229C2" w:rsidRPr="00BE332C" w:rsidRDefault="00B229C2" w:rsidP="003075E4">
      <w:pPr>
        <w:pStyle w:val="BodyText"/>
        <w:spacing w:before="121"/>
        <w:ind w:left="706" w:right="44"/>
        <w:jc w:val="both"/>
        <w:rPr>
          <w:rFonts w:ascii="Arial" w:hAnsi="Arial" w:cs="Arial"/>
          <w:sz w:val="20"/>
          <w:szCs w:val="20"/>
        </w:rPr>
      </w:pPr>
      <w:r w:rsidRPr="00BE332C">
        <w:rPr>
          <w:rFonts w:ascii="Arial" w:hAnsi="Arial" w:cs="Arial"/>
          <w:sz w:val="20"/>
          <w:szCs w:val="20"/>
        </w:rPr>
        <w:t>The legal or natural person responsible (see paragraph 1. above) for the embodiment of the</w:t>
      </w:r>
      <w:r w:rsidRPr="00BE332C">
        <w:rPr>
          <w:rFonts w:ascii="Arial" w:hAnsi="Arial" w:cs="Arial"/>
          <w:spacing w:val="1"/>
          <w:sz w:val="20"/>
          <w:szCs w:val="20"/>
        </w:rPr>
        <w:t xml:space="preserve"> </w:t>
      </w:r>
      <w:r w:rsidRPr="00BE332C">
        <w:rPr>
          <w:rFonts w:ascii="Arial" w:hAnsi="Arial" w:cs="Arial"/>
          <w:sz w:val="20"/>
          <w:szCs w:val="20"/>
        </w:rPr>
        <w:t>change/repair should keep the records generated with the SC/SR as required by Part-ML, Part-</w:t>
      </w:r>
      <w:r w:rsidRPr="00BE332C">
        <w:rPr>
          <w:rFonts w:ascii="Arial" w:hAnsi="Arial" w:cs="Arial"/>
          <w:spacing w:val="-47"/>
          <w:sz w:val="20"/>
          <w:szCs w:val="20"/>
        </w:rPr>
        <w:t xml:space="preserve"> </w:t>
      </w:r>
      <w:r w:rsidRPr="00BE332C">
        <w:rPr>
          <w:rFonts w:ascii="Arial" w:hAnsi="Arial" w:cs="Arial"/>
          <w:sz w:val="20"/>
          <w:szCs w:val="20"/>
        </w:rPr>
        <w:t>M</w:t>
      </w:r>
      <w:r w:rsidRPr="00BE332C">
        <w:rPr>
          <w:rFonts w:ascii="Arial" w:hAnsi="Arial" w:cs="Arial"/>
          <w:spacing w:val="-1"/>
          <w:sz w:val="20"/>
          <w:szCs w:val="20"/>
        </w:rPr>
        <w:t xml:space="preserve"> </w:t>
      </w:r>
      <w:r w:rsidRPr="00BE332C">
        <w:rPr>
          <w:rFonts w:ascii="Arial" w:hAnsi="Arial" w:cs="Arial"/>
          <w:sz w:val="20"/>
          <w:szCs w:val="20"/>
        </w:rPr>
        <w:t>Subpart F,</w:t>
      </w:r>
      <w:r w:rsidRPr="00BE332C">
        <w:rPr>
          <w:rFonts w:ascii="Arial" w:hAnsi="Arial" w:cs="Arial"/>
          <w:spacing w:val="-3"/>
          <w:sz w:val="20"/>
          <w:szCs w:val="20"/>
        </w:rPr>
        <w:t xml:space="preserve"> </w:t>
      </w:r>
      <w:r w:rsidRPr="00BE332C">
        <w:rPr>
          <w:rFonts w:ascii="Arial" w:hAnsi="Arial" w:cs="Arial"/>
          <w:sz w:val="20"/>
          <w:szCs w:val="20"/>
        </w:rPr>
        <w:t>Part-CAO</w:t>
      </w:r>
      <w:r w:rsidRPr="00BE332C">
        <w:rPr>
          <w:rFonts w:ascii="Arial" w:hAnsi="Arial" w:cs="Arial"/>
          <w:spacing w:val="-2"/>
          <w:sz w:val="20"/>
          <w:szCs w:val="20"/>
        </w:rPr>
        <w:t xml:space="preserve"> </w:t>
      </w:r>
      <w:r w:rsidRPr="00BE332C">
        <w:rPr>
          <w:rFonts w:ascii="Arial" w:hAnsi="Arial" w:cs="Arial"/>
          <w:sz w:val="20"/>
          <w:szCs w:val="20"/>
        </w:rPr>
        <w:t>or</w:t>
      </w:r>
      <w:r w:rsidRPr="00BE332C">
        <w:rPr>
          <w:rFonts w:ascii="Arial" w:hAnsi="Arial" w:cs="Arial"/>
          <w:spacing w:val="-2"/>
          <w:sz w:val="20"/>
          <w:szCs w:val="20"/>
        </w:rPr>
        <w:t xml:space="preserve"> </w:t>
      </w:r>
      <w:r w:rsidRPr="00BE332C">
        <w:rPr>
          <w:rFonts w:ascii="Arial" w:hAnsi="Arial" w:cs="Arial"/>
          <w:sz w:val="20"/>
          <w:szCs w:val="20"/>
        </w:rPr>
        <w:t>Part-145 and</w:t>
      </w:r>
      <w:r w:rsidRPr="00BE332C">
        <w:rPr>
          <w:rFonts w:ascii="Arial" w:hAnsi="Arial" w:cs="Arial"/>
          <w:spacing w:val="-1"/>
          <w:sz w:val="20"/>
          <w:szCs w:val="20"/>
        </w:rPr>
        <w:t xml:space="preserve"> </w:t>
      </w:r>
      <w:r w:rsidRPr="00BE332C">
        <w:rPr>
          <w:rFonts w:ascii="Arial" w:hAnsi="Arial" w:cs="Arial"/>
          <w:sz w:val="20"/>
          <w:szCs w:val="20"/>
        </w:rPr>
        <w:t>CS-STAN.</w:t>
      </w:r>
    </w:p>
    <w:p w14:paraId="24E409A9" w14:textId="77777777" w:rsidR="00B229C2" w:rsidRPr="00BE332C" w:rsidRDefault="00B229C2" w:rsidP="003075E4">
      <w:pPr>
        <w:pStyle w:val="BodyText"/>
        <w:spacing w:before="121"/>
        <w:ind w:left="706" w:right="44"/>
        <w:jc w:val="both"/>
        <w:rPr>
          <w:rFonts w:ascii="Arial" w:hAnsi="Arial" w:cs="Arial"/>
          <w:sz w:val="20"/>
          <w:szCs w:val="20"/>
        </w:rPr>
      </w:pPr>
      <w:r w:rsidRPr="00BE332C">
        <w:rPr>
          <w:rFonts w:ascii="Arial" w:hAnsi="Arial" w:cs="Arial"/>
          <w:sz w:val="20"/>
          <w:szCs w:val="20"/>
        </w:rPr>
        <w:t>In addition, ML.A.305 requires that the aircraft owner (or CAMO or CAO, if a contract in</w:t>
      </w:r>
      <w:r w:rsidRPr="00BE332C">
        <w:rPr>
          <w:rFonts w:ascii="Arial" w:hAnsi="Arial" w:cs="Arial"/>
          <w:spacing w:val="1"/>
          <w:sz w:val="20"/>
          <w:szCs w:val="20"/>
        </w:rPr>
        <w:t xml:space="preserve"> </w:t>
      </w:r>
      <w:r w:rsidRPr="00BE332C">
        <w:rPr>
          <w:rFonts w:ascii="Arial" w:hAnsi="Arial" w:cs="Arial"/>
          <w:sz w:val="20"/>
          <w:szCs w:val="20"/>
        </w:rPr>
        <w:t>accordance with ML.A.201 exists) keeps the status of the changes/repairs embodied in/on the</w:t>
      </w:r>
      <w:r w:rsidRPr="00BE332C">
        <w:rPr>
          <w:rFonts w:ascii="Arial" w:hAnsi="Arial" w:cs="Arial"/>
          <w:spacing w:val="1"/>
          <w:sz w:val="20"/>
          <w:szCs w:val="20"/>
        </w:rPr>
        <w:t xml:space="preserve"> </w:t>
      </w:r>
      <w:r w:rsidRPr="00BE332C">
        <w:rPr>
          <w:rFonts w:ascii="Arial" w:hAnsi="Arial" w:cs="Arial"/>
          <w:sz w:val="20"/>
          <w:szCs w:val="20"/>
        </w:rPr>
        <w:t>aircraft</w:t>
      </w:r>
      <w:r w:rsidRPr="00BE332C">
        <w:rPr>
          <w:rFonts w:ascii="Arial" w:hAnsi="Arial" w:cs="Arial"/>
          <w:spacing w:val="-1"/>
          <w:sz w:val="20"/>
          <w:szCs w:val="20"/>
        </w:rPr>
        <w:t xml:space="preserve"> </w:t>
      </w:r>
      <w:r w:rsidRPr="00BE332C">
        <w:rPr>
          <w:rFonts w:ascii="Arial" w:hAnsi="Arial" w:cs="Arial"/>
          <w:sz w:val="20"/>
          <w:szCs w:val="20"/>
        </w:rPr>
        <w:t>in</w:t>
      </w:r>
      <w:r w:rsidRPr="00BE332C">
        <w:rPr>
          <w:rFonts w:ascii="Arial" w:hAnsi="Arial" w:cs="Arial"/>
          <w:spacing w:val="-3"/>
          <w:sz w:val="20"/>
          <w:szCs w:val="20"/>
        </w:rPr>
        <w:t xml:space="preserve"> </w:t>
      </w:r>
      <w:r w:rsidRPr="00BE332C">
        <w:rPr>
          <w:rFonts w:ascii="Arial" w:hAnsi="Arial" w:cs="Arial"/>
          <w:sz w:val="20"/>
          <w:szCs w:val="20"/>
        </w:rPr>
        <w:t>order</w:t>
      </w:r>
      <w:r w:rsidRPr="00BE332C">
        <w:rPr>
          <w:rFonts w:ascii="Arial" w:hAnsi="Arial" w:cs="Arial"/>
          <w:spacing w:val="-3"/>
          <w:sz w:val="20"/>
          <w:szCs w:val="20"/>
        </w:rPr>
        <w:t xml:space="preserve"> </w:t>
      </w:r>
      <w:r w:rsidRPr="00BE332C">
        <w:rPr>
          <w:rFonts w:ascii="Arial" w:hAnsi="Arial" w:cs="Arial"/>
          <w:sz w:val="20"/>
          <w:szCs w:val="20"/>
        </w:rPr>
        <w:t>to</w:t>
      </w:r>
      <w:r w:rsidRPr="00BE332C">
        <w:rPr>
          <w:rFonts w:ascii="Arial" w:hAnsi="Arial" w:cs="Arial"/>
          <w:spacing w:val="-1"/>
          <w:sz w:val="20"/>
          <w:szCs w:val="20"/>
        </w:rPr>
        <w:t xml:space="preserve"> </w:t>
      </w:r>
      <w:r w:rsidRPr="00BE332C">
        <w:rPr>
          <w:rFonts w:ascii="Arial" w:hAnsi="Arial" w:cs="Arial"/>
          <w:sz w:val="20"/>
          <w:szCs w:val="20"/>
        </w:rPr>
        <w:t>control</w:t>
      </w:r>
      <w:r w:rsidRPr="00BE332C">
        <w:rPr>
          <w:rFonts w:ascii="Arial" w:hAnsi="Arial" w:cs="Arial"/>
          <w:spacing w:val="-5"/>
          <w:sz w:val="20"/>
          <w:szCs w:val="20"/>
        </w:rPr>
        <w:t xml:space="preserve"> </w:t>
      </w:r>
      <w:r w:rsidRPr="00BE332C">
        <w:rPr>
          <w:rFonts w:ascii="Arial" w:hAnsi="Arial" w:cs="Arial"/>
          <w:sz w:val="20"/>
          <w:szCs w:val="20"/>
        </w:rPr>
        <w:t>the</w:t>
      </w:r>
      <w:r w:rsidRPr="00BE332C">
        <w:rPr>
          <w:rFonts w:ascii="Arial" w:hAnsi="Arial" w:cs="Arial"/>
          <w:spacing w:val="-1"/>
          <w:sz w:val="20"/>
          <w:szCs w:val="20"/>
        </w:rPr>
        <w:t xml:space="preserve"> </w:t>
      </w:r>
      <w:r w:rsidRPr="00BE332C">
        <w:rPr>
          <w:rFonts w:ascii="Arial" w:hAnsi="Arial" w:cs="Arial"/>
          <w:sz w:val="20"/>
          <w:szCs w:val="20"/>
        </w:rPr>
        <w:t>aircraft configuration</w:t>
      </w:r>
      <w:r w:rsidRPr="00BE332C">
        <w:rPr>
          <w:rFonts w:ascii="Arial" w:hAnsi="Arial" w:cs="Arial"/>
          <w:spacing w:val="-2"/>
          <w:sz w:val="20"/>
          <w:szCs w:val="20"/>
        </w:rPr>
        <w:t xml:space="preserve"> </w:t>
      </w:r>
      <w:r w:rsidRPr="00BE332C">
        <w:rPr>
          <w:rFonts w:ascii="Arial" w:hAnsi="Arial" w:cs="Arial"/>
          <w:sz w:val="20"/>
          <w:szCs w:val="20"/>
        </w:rPr>
        <w:t>and</w:t>
      </w:r>
      <w:r w:rsidRPr="00BE332C">
        <w:rPr>
          <w:rFonts w:ascii="Arial" w:hAnsi="Arial" w:cs="Arial"/>
          <w:spacing w:val="-1"/>
          <w:sz w:val="20"/>
          <w:szCs w:val="20"/>
        </w:rPr>
        <w:t xml:space="preserve"> </w:t>
      </w:r>
      <w:r w:rsidRPr="00BE332C">
        <w:rPr>
          <w:rFonts w:ascii="Arial" w:hAnsi="Arial" w:cs="Arial"/>
          <w:sz w:val="20"/>
          <w:szCs w:val="20"/>
        </w:rPr>
        <w:t>manage</w:t>
      </w:r>
      <w:r w:rsidRPr="00BE332C">
        <w:rPr>
          <w:rFonts w:ascii="Arial" w:hAnsi="Arial" w:cs="Arial"/>
          <w:spacing w:val="1"/>
          <w:sz w:val="20"/>
          <w:szCs w:val="20"/>
        </w:rPr>
        <w:t xml:space="preserve"> </w:t>
      </w:r>
      <w:r w:rsidRPr="00BE332C">
        <w:rPr>
          <w:rFonts w:ascii="Arial" w:hAnsi="Arial" w:cs="Arial"/>
          <w:sz w:val="20"/>
          <w:szCs w:val="20"/>
        </w:rPr>
        <w:t>its</w:t>
      </w:r>
      <w:r w:rsidRPr="00BE332C">
        <w:rPr>
          <w:rFonts w:ascii="Arial" w:hAnsi="Arial" w:cs="Arial"/>
          <w:spacing w:val="-1"/>
          <w:sz w:val="20"/>
          <w:szCs w:val="20"/>
        </w:rPr>
        <w:t xml:space="preserve"> </w:t>
      </w:r>
      <w:r w:rsidRPr="00BE332C">
        <w:rPr>
          <w:rFonts w:ascii="Arial" w:hAnsi="Arial" w:cs="Arial"/>
          <w:sz w:val="20"/>
          <w:szCs w:val="20"/>
        </w:rPr>
        <w:t>continuing</w:t>
      </w:r>
      <w:r w:rsidRPr="00BE332C">
        <w:rPr>
          <w:rFonts w:ascii="Arial" w:hAnsi="Arial" w:cs="Arial"/>
          <w:spacing w:val="-1"/>
          <w:sz w:val="20"/>
          <w:szCs w:val="20"/>
        </w:rPr>
        <w:t xml:space="preserve"> </w:t>
      </w:r>
      <w:r w:rsidRPr="00BE332C">
        <w:rPr>
          <w:rFonts w:ascii="Arial" w:hAnsi="Arial" w:cs="Arial"/>
          <w:sz w:val="20"/>
          <w:szCs w:val="20"/>
        </w:rPr>
        <w:t>airworthiness.</w:t>
      </w:r>
    </w:p>
    <w:p w14:paraId="5B53608D" w14:textId="77777777" w:rsidR="00BE332C" w:rsidRPr="00BE332C" w:rsidRDefault="00B229C2" w:rsidP="003075E4">
      <w:pPr>
        <w:pStyle w:val="BodyText"/>
        <w:spacing w:before="57"/>
        <w:ind w:left="706" w:right="44"/>
        <w:jc w:val="both"/>
        <w:rPr>
          <w:rFonts w:ascii="Arial" w:hAnsi="Arial" w:cs="Arial"/>
          <w:sz w:val="20"/>
          <w:szCs w:val="20"/>
        </w:rPr>
      </w:pPr>
      <w:r w:rsidRPr="00BE332C">
        <w:rPr>
          <w:rFonts w:ascii="Arial" w:hAnsi="Arial" w:cs="Arial"/>
          <w:sz w:val="20"/>
          <w:szCs w:val="20"/>
        </w:rPr>
        <w:t>With regard to SCs/SRs, the information provided to the owner, CAMO or CAO may be listed in</w:t>
      </w:r>
      <w:r w:rsidRPr="00BE332C">
        <w:rPr>
          <w:rFonts w:ascii="Arial" w:hAnsi="Arial" w:cs="Arial"/>
          <w:spacing w:val="-47"/>
          <w:sz w:val="20"/>
          <w:szCs w:val="20"/>
        </w:rPr>
        <w:t xml:space="preserve"> </w:t>
      </w:r>
      <w:r w:rsidRPr="00BE332C">
        <w:rPr>
          <w:rFonts w:ascii="Arial" w:hAnsi="Arial" w:cs="Arial"/>
          <w:sz w:val="20"/>
          <w:szCs w:val="20"/>
        </w:rPr>
        <w:t>EASA Form 123 and should include, as required, a copy of any modified aircraft manual and/or</w:t>
      </w:r>
      <w:r w:rsidRPr="00BE332C">
        <w:rPr>
          <w:rFonts w:ascii="Arial" w:hAnsi="Arial" w:cs="Arial"/>
          <w:spacing w:val="-47"/>
          <w:sz w:val="20"/>
          <w:szCs w:val="20"/>
        </w:rPr>
        <w:t xml:space="preserve"> </w:t>
      </w:r>
      <w:r w:rsidRPr="00BE332C">
        <w:rPr>
          <w:rFonts w:ascii="Arial" w:hAnsi="Arial" w:cs="Arial"/>
          <w:sz w:val="20"/>
          <w:szCs w:val="20"/>
        </w:rPr>
        <w:t>instructions for continuing airworthiness. All this information</w:t>
      </w:r>
      <w:r w:rsidR="00BE332C" w:rsidRPr="00BE332C">
        <w:rPr>
          <w:rFonts w:ascii="Arial" w:eastAsia="Times New Roman" w:hAnsi="Arial" w:cs="Arial"/>
          <w:sz w:val="20"/>
          <w:szCs w:val="20"/>
        </w:rPr>
        <w:t xml:space="preserve"> </w:t>
      </w:r>
      <w:r w:rsidR="00BE332C" w:rsidRPr="00BE332C">
        <w:rPr>
          <w:rFonts w:ascii="Arial" w:hAnsi="Arial" w:cs="Arial"/>
          <w:sz w:val="20"/>
          <w:szCs w:val="20"/>
        </w:rPr>
        <w:t>of</w:t>
      </w:r>
      <w:r w:rsidR="00BE332C" w:rsidRPr="00BE332C">
        <w:rPr>
          <w:rFonts w:ascii="Arial" w:hAnsi="Arial" w:cs="Arial"/>
          <w:spacing w:val="1"/>
          <w:sz w:val="20"/>
          <w:szCs w:val="20"/>
        </w:rPr>
        <w:t xml:space="preserve"> </w:t>
      </w:r>
      <w:r w:rsidR="00BE332C" w:rsidRPr="00BE332C">
        <w:rPr>
          <w:rFonts w:ascii="Arial" w:hAnsi="Arial" w:cs="Arial"/>
          <w:sz w:val="20"/>
          <w:szCs w:val="20"/>
        </w:rPr>
        <w:t>SCs/SRs,</w:t>
      </w:r>
      <w:r w:rsidR="00BE332C" w:rsidRPr="00BE332C">
        <w:rPr>
          <w:rFonts w:ascii="Arial" w:hAnsi="Arial" w:cs="Arial"/>
          <w:spacing w:val="1"/>
          <w:sz w:val="20"/>
          <w:szCs w:val="20"/>
        </w:rPr>
        <w:t xml:space="preserve"> </w:t>
      </w:r>
      <w:r w:rsidR="00BE332C" w:rsidRPr="00BE332C">
        <w:rPr>
          <w:rFonts w:ascii="Arial" w:hAnsi="Arial" w:cs="Arial"/>
          <w:sz w:val="20"/>
          <w:szCs w:val="20"/>
        </w:rPr>
        <w:t>which</w:t>
      </w:r>
      <w:r w:rsidR="00BE332C" w:rsidRPr="00BE332C">
        <w:rPr>
          <w:rFonts w:ascii="Arial" w:hAnsi="Arial" w:cs="Arial"/>
          <w:spacing w:val="1"/>
          <w:sz w:val="20"/>
          <w:szCs w:val="20"/>
        </w:rPr>
        <w:t xml:space="preserve"> </w:t>
      </w:r>
      <w:r w:rsidR="00BE332C" w:rsidRPr="00BE332C">
        <w:rPr>
          <w:rFonts w:ascii="Arial" w:hAnsi="Arial" w:cs="Arial"/>
          <w:sz w:val="20"/>
          <w:szCs w:val="20"/>
        </w:rPr>
        <w:t>is</w:t>
      </w:r>
      <w:r w:rsidR="00BE332C" w:rsidRPr="00BE332C">
        <w:rPr>
          <w:rFonts w:ascii="Arial" w:hAnsi="Arial" w:cs="Arial"/>
          <w:spacing w:val="1"/>
          <w:sz w:val="20"/>
          <w:szCs w:val="20"/>
        </w:rPr>
        <w:t xml:space="preserve"> </w:t>
      </w:r>
      <w:r w:rsidR="00BE332C" w:rsidRPr="00BE332C">
        <w:rPr>
          <w:rFonts w:ascii="Arial" w:hAnsi="Arial" w:cs="Arial"/>
          <w:sz w:val="20"/>
          <w:szCs w:val="20"/>
        </w:rPr>
        <w:t>also</w:t>
      </w:r>
      <w:r w:rsidR="00BE332C" w:rsidRPr="00BE332C">
        <w:rPr>
          <w:rFonts w:ascii="Arial" w:hAnsi="Arial" w:cs="Arial"/>
          <w:spacing w:val="1"/>
          <w:sz w:val="20"/>
          <w:szCs w:val="20"/>
        </w:rPr>
        <w:t xml:space="preserve"> </w:t>
      </w:r>
      <w:r w:rsidR="00BE332C" w:rsidRPr="00BE332C">
        <w:rPr>
          <w:rFonts w:ascii="Arial" w:hAnsi="Arial" w:cs="Arial"/>
          <w:sz w:val="20"/>
          <w:szCs w:val="20"/>
        </w:rPr>
        <w:t>easily</w:t>
      </w:r>
      <w:r w:rsidR="00BE332C" w:rsidRPr="00BE332C">
        <w:rPr>
          <w:rFonts w:ascii="Arial" w:hAnsi="Arial" w:cs="Arial"/>
          <w:spacing w:val="1"/>
          <w:sz w:val="20"/>
          <w:szCs w:val="20"/>
        </w:rPr>
        <w:t xml:space="preserve"> </w:t>
      </w:r>
      <w:r w:rsidR="00BE332C" w:rsidRPr="00BE332C">
        <w:rPr>
          <w:rFonts w:ascii="Arial" w:hAnsi="Arial" w:cs="Arial"/>
          <w:sz w:val="20"/>
          <w:szCs w:val="20"/>
        </w:rPr>
        <w:t>traceable,</w:t>
      </w:r>
      <w:r w:rsidR="00BE332C" w:rsidRPr="00BE332C">
        <w:rPr>
          <w:rFonts w:ascii="Arial" w:hAnsi="Arial" w:cs="Arial"/>
          <w:spacing w:val="1"/>
          <w:sz w:val="20"/>
          <w:szCs w:val="20"/>
        </w:rPr>
        <w:t xml:space="preserve"> </w:t>
      </w:r>
      <w:r w:rsidR="00BE332C" w:rsidRPr="00BE332C">
        <w:rPr>
          <w:rFonts w:ascii="Arial" w:hAnsi="Arial" w:cs="Arial"/>
          <w:sz w:val="20"/>
          <w:szCs w:val="20"/>
        </w:rPr>
        <w:t>would</w:t>
      </w:r>
      <w:r w:rsidR="00BE332C" w:rsidRPr="00BE332C">
        <w:rPr>
          <w:rFonts w:ascii="Arial" w:hAnsi="Arial" w:cs="Arial"/>
          <w:spacing w:val="1"/>
          <w:sz w:val="20"/>
          <w:szCs w:val="20"/>
        </w:rPr>
        <w:t xml:space="preserve"> </w:t>
      </w:r>
      <w:r w:rsidR="00BE332C" w:rsidRPr="00BE332C">
        <w:rPr>
          <w:rFonts w:ascii="Arial" w:hAnsi="Arial" w:cs="Arial"/>
          <w:sz w:val="20"/>
          <w:szCs w:val="20"/>
        </w:rPr>
        <w:t>be</w:t>
      </w:r>
      <w:r w:rsidR="00BE332C" w:rsidRPr="00BE332C">
        <w:rPr>
          <w:rFonts w:ascii="Arial" w:hAnsi="Arial" w:cs="Arial"/>
          <w:spacing w:val="1"/>
          <w:sz w:val="20"/>
          <w:szCs w:val="20"/>
        </w:rPr>
        <w:t xml:space="preserve"> </w:t>
      </w:r>
      <w:r w:rsidR="00BE332C" w:rsidRPr="00BE332C">
        <w:rPr>
          <w:rFonts w:ascii="Arial" w:hAnsi="Arial" w:cs="Arial"/>
          <w:sz w:val="20"/>
          <w:szCs w:val="20"/>
        </w:rPr>
        <w:t>of</w:t>
      </w:r>
      <w:r w:rsidR="00BE332C" w:rsidRPr="00BE332C">
        <w:rPr>
          <w:rFonts w:ascii="Arial" w:hAnsi="Arial" w:cs="Arial"/>
          <w:spacing w:val="1"/>
          <w:sz w:val="20"/>
          <w:szCs w:val="20"/>
        </w:rPr>
        <w:t xml:space="preserve"> </w:t>
      </w:r>
      <w:r w:rsidR="00BE332C" w:rsidRPr="00BE332C">
        <w:rPr>
          <w:rFonts w:ascii="Arial" w:hAnsi="Arial" w:cs="Arial"/>
          <w:sz w:val="20"/>
          <w:szCs w:val="20"/>
        </w:rPr>
        <w:t>help</w:t>
      </w:r>
      <w:r w:rsidR="00BE332C" w:rsidRPr="00BE332C">
        <w:rPr>
          <w:rFonts w:ascii="Arial" w:hAnsi="Arial" w:cs="Arial"/>
          <w:spacing w:val="1"/>
          <w:sz w:val="20"/>
          <w:szCs w:val="20"/>
        </w:rPr>
        <w:t xml:space="preserve"> </w:t>
      </w:r>
      <w:r w:rsidR="00BE332C" w:rsidRPr="00BE332C">
        <w:rPr>
          <w:rFonts w:ascii="Arial" w:hAnsi="Arial" w:cs="Arial"/>
          <w:sz w:val="20"/>
          <w:szCs w:val="20"/>
        </w:rPr>
        <w:t>during</w:t>
      </w:r>
      <w:r w:rsidR="00BE332C" w:rsidRPr="00BE332C">
        <w:rPr>
          <w:rFonts w:ascii="Arial" w:hAnsi="Arial" w:cs="Arial"/>
          <w:spacing w:val="1"/>
          <w:sz w:val="20"/>
          <w:szCs w:val="20"/>
        </w:rPr>
        <w:t xml:space="preserve"> </w:t>
      </w:r>
      <w:r w:rsidR="00BE332C" w:rsidRPr="00BE332C">
        <w:rPr>
          <w:rFonts w:ascii="Arial" w:hAnsi="Arial" w:cs="Arial"/>
          <w:sz w:val="20"/>
          <w:szCs w:val="20"/>
        </w:rPr>
        <w:t>subsequent</w:t>
      </w:r>
      <w:r w:rsidR="00BE332C" w:rsidRPr="00BE332C">
        <w:rPr>
          <w:rFonts w:ascii="Arial" w:hAnsi="Arial" w:cs="Arial"/>
          <w:spacing w:val="1"/>
          <w:sz w:val="20"/>
          <w:szCs w:val="20"/>
        </w:rPr>
        <w:t xml:space="preserve"> </w:t>
      </w:r>
      <w:r w:rsidR="00BE332C" w:rsidRPr="00BE332C">
        <w:rPr>
          <w:rFonts w:ascii="Arial" w:hAnsi="Arial" w:cs="Arial"/>
          <w:sz w:val="20"/>
          <w:szCs w:val="20"/>
        </w:rPr>
        <w:t>aircraft</w:t>
      </w:r>
      <w:r w:rsidR="00BE332C" w:rsidRPr="00BE332C">
        <w:rPr>
          <w:rFonts w:ascii="Arial" w:hAnsi="Arial" w:cs="Arial"/>
          <w:spacing w:val="1"/>
          <w:sz w:val="20"/>
          <w:szCs w:val="20"/>
        </w:rPr>
        <w:t xml:space="preserve"> </w:t>
      </w:r>
      <w:r w:rsidR="00BE332C" w:rsidRPr="00BE332C">
        <w:rPr>
          <w:rFonts w:ascii="Arial" w:hAnsi="Arial" w:cs="Arial"/>
          <w:sz w:val="20"/>
          <w:szCs w:val="20"/>
        </w:rPr>
        <w:t>inspections.</w:t>
      </w:r>
    </w:p>
    <w:p w14:paraId="28ABD7FE" w14:textId="77777777" w:rsidR="00BE332C" w:rsidRPr="00BE332C" w:rsidRDefault="00BE332C" w:rsidP="003075E4">
      <w:pPr>
        <w:pStyle w:val="BodyText"/>
        <w:numPr>
          <w:ilvl w:val="0"/>
          <w:numId w:val="319"/>
        </w:numPr>
        <w:ind w:right="44"/>
        <w:jc w:val="both"/>
        <w:rPr>
          <w:rFonts w:ascii="Arial" w:eastAsiaTheme="minorHAnsi" w:hAnsi="Arial" w:cs="Arial"/>
          <w:b/>
          <w:bCs/>
          <w:sz w:val="20"/>
          <w:szCs w:val="20"/>
        </w:rPr>
      </w:pPr>
      <w:r w:rsidRPr="00BE332C">
        <w:rPr>
          <w:rFonts w:ascii="Arial" w:eastAsiaTheme="minorHAnsi" w:hAnsi="Arial" w:cs="Arial"/>
          <w:b/>
          <w:bCs/>
          <w:sz w:val="20"/>
          <w:szCs w:val="20"/>
        </w:rPr>
        <w:t>Instructions for continuing airworthiness (ICA)</w:t>
      </w:r>
    </w:p>
    <w:p w14:paraId="6389EBC9" w14:textId="77777777" w:rsidR="00BE332C" w:rsidRPr="00BE332C" w:rsidRDefault="00BE332C" w:rsidP="003075E4">
      <w:pPr>
        <w:spacing w:before="120"/>
        <w:ind w:left="706" w:right="44"/>
        <w:jc w:val="both"/>
        <w:rPr>
          <w:rFonts w:ascii="Arial" w:hAnsi="Arial" w:cs="Arial"/>
          <w:sz w:val="20"/>
          <w:szCs w:val="20"/>
        </w:rPr>
      </w:pPr>
      <w:r w:rsidRPr="00BE332C">
        <w:rPr>
          <w:rFonts w:ascii="Arial" w:hAnsi="Arial" w:cs="Arial"/>
          <w:sz w:val="20"/>
          <w:szCs w:val="20"/>
        </w:rPr>
        <w:t>As stipulated in ML.A.302, the aircraft owner, CAMO or CAO needs to assess if the changes in the ICA of the aircraft require the</w:t>
      </w:r>
      <w:r w:rsidRPr="00BE332C">
        <w:rPr>
          <w:rFonts w:ascii="Arial" w:hAnsi="Arial" w:cs="Arial"/>
          <w:spacing w:val="-2"/>
          <w:sz w:val="20"/>
          <w:szCs w:val="20"/>
        </w:rPr>
        <w:t xml:space="preserve"> </w:t>
      </w:r>
      <w:r w:rsidRPr="00BE332C">
        <w:rPr>
          <w:rFonts w:ascii="Arial" w:hAnsi="Arial" w:cs="Arial"/>
          <w:sz w:val="20"/>
          <w:szCs w:val="20"/>
        </w:rPr>
        <w:t>amendment</w:t>
      </w:r>
      <w:r w:rsidRPr="00BE332C">
        <w:rPr>
          <w:rFonts w:ascii="Arial" w:hAnsi="Arial" w:cs="Arial"/>
          <w:spacing w:val="-2"/>
          <w:sz w:val="20"/>
          <w:szCs w:val="20"/>
        </w:rPr>
        <w:t xml:space="preserve"> </w:t>
      </w:r>
      <w:r w:rsidRPr="00BE332C">
        <w:rPr>
          <w:rFonts w:ascii="Arial" w:hAnsi="Arial" w:cs="Arial"/>
          <w:sz w:val="20"/>
          <w:szCs w:val="20"/>
        </w:rPr>
        <w:t>of the</w:t>
      </w:r>
      <w:r w:rsidRPr="00BE332C">
        <w:rPr>
          <w:rFonts w:ascii="Arial" w:hAnsi="Arial" w:cs="Arial"/>
          <w:spacing w:val="-2"/>
          <w:sz w:val="20"/>
          <w:szCs w:val="20"/>
        </w:rPr>
        <w:t xml:space="preserve"> </w:t>
      </w:r>
      <w:r w:rsidRPr="00BE332C">
        <w:rPr>
          <w:rFonts w:ascii="Arial" w:hAnsi="Arial" w:cs="Arial"/>
          <w:sz w:val="20"/>
          <w:szCs w:val="20"/>
        </w:rPr>
        <w:t>AMP.</w:t>
      </w:r>
    </w:p>
    <w:p w14:paraId="3D2766EB" w14:textId="77777777" w:rsidR="00BE332C" w:rsidRPr="00BE332C" w:rsidRDefault="00BE332C" w:rsidP="003075E4">
      <w:pPr>
        <w:pStyle w:val="BodyText"/>
        <w:numPr>
          <w:ilvl w:val="0"/>
          <w:numId w:val="319"/>
        </w:numPr>
        <w:ind w:right="44"/>
        <w:jc w:val="both"/>
        <w:rPr>
          <w:rFonts w:ascii="Arial" w:eastAsiaTheme="minorHAnsi" w:hAnsi="Arial" w:cs="Arial"/>
          <w:b/>
          <w:bCs/>
          <w:sz w:val="20"/>
          <w:szCs w:val="20"/>
        </w:rPr>
      </w:pPr>
      <w:r w:rsidRPr="00BE332C">
        <w:rPr>
          <w:rFonts w:ascii="Arial" w:eastAsiaTheme="minorHAnsi" w:hAnsi="Arial" w:cs="Arial"/>
          <w:b/>
          <w:bCs/>
          <w:sz w:val="20"/>
          <w:szCs w:val="20"/>
        </w:rPr>
        <w:t>Embodiment of more than one SC</w:t>
      </w:r>
    </w:p>
    <w:p w14:paraId="2BA42A9A" w14:textId="369F369F" w:rsidR="00BE332C" w:rsidRPr="00BE332C" w:rsidRDefault="00BE332C" w:rsidP="003075E4">
      <w:pPr>
        <w:spacing w:before="120"/>
        <w:ind w:left="706" w:right="44"/>
        <w:jc w:val="both"/>
        <w:rPr>
          <w:rFonts w:ascii="Arial" w:hAnsi="Arial" w:cs="Arial"/>
          <w:sz w:val="20"/>
          <w:szCs w:val="20"/>
        </w:rPr>
      </w:pPr>
      <w:r w:rsidRPr="00BE332C">
        <w:rPr>
          <w:rFonts w:ascii="Arial" w:hAnsi="Arial" w:cs="Arial"/>
          <w:sz w:val="20"/>
          <w:szCs w:val="20"/>
        </w:rPr>
        <w:t>The embodiment of two or more related SCs described in Subpart B of CS-STAN is permitted as</w:t>
      </w:r>
      <w:r w:rsidRPr="00BE332C">
        <w:rPr>
          <w:rFonts w:ascii="Arial" w:hAnsi="Arial" w:cs="Arial"/>
          <w:spacing w:val="-47"/>
          <w:sz w:val="20"/>
          <w:szCs w:val="20"/>
        </w:rPr>
        <w:t xml:space="preserve"> </w:t>
      </w:r>
      <w:r w:rsidR="004906DC">
        <w:rPr>
          <w:rFonts w:ascii="Arial" w:hAnsi="Arial" w:cs="Arial"/>
          <w:sz w:val="20"/>
          <w:szCs w:val="20"/>
        </w:rPr>
        <w:t xml:space="preserve">a single change (the use of </w:t>
      </w:r>
      <w:r w:rsidR="004906DC" w:rsidRPr="004906DC">
        <w:rPr>
          <w:rFonts w:ascii="Arial" w:hAnsi="Arial" w:cs="Arial"/>
          <w:sz w:val="20"/>
          <w:szCs w:val="20"/>
        </w:rPr>
        <w:t xml:space="preserve">one </w:t>
      </w:r>
      <w:r w:rsidRPr="004906DC">
        <w:rPr>
          <w:rFonts w:ascii="Arial" w:hAnsi="Arial" w:cs="Arial"/>
          <w:sz w:val="20"/>
          <w:szCs w:val="20"/>
        </w:rPr>
        <w:t xml:space="preserve"> Form 123 only</w:t>
      </w:r>
      <w:r w:rsidRPr="00BE332C">
        <w:rPr>
          <w:rFonts w:ascii="Arial" w:hAnsi="Arial" w:cs="Arial"/>
          <w:sz w:val="20"/>
          <w:szCs w:val="20"/>
        </w:rPr>
        <w:t>) as long as adequate references to and</w:t>
      </w:r>
      <w:r w:rsidRPr="00BE332C">
        <w:rPr>
          <w:rFonts w:ascii="Arial" w:hAnsi="Arial" w:cs="Arial"/>
          <w:spacing w:val="1"/>
          <w:sz w:val="20"/>
          <w:szCs w:val="20"/>
        </w:rPr>
        <w:t xml:space="preserve"> </w:t>
      </w:r>
      <w:r w:rsidRPr="00BE332C">
        <w:rPr>
          <w:rFonts w:ascii="Arial" w:hAnsi="Arial" w:cs="Arial"/>
          <w:sz w:val="20"/>
          <w:szCs w:val="20"/>
        </w:rPr>
        <w:t>records of all SCs embodied are captured. Restrictions and limitations of the two (or more) SCs</w:t>
      </w:r>
      <w:r w:rsidRPr="00BE332C">
        <w:rPr>
          <w:rFonts w:ascii="Arial" w:hAnsi="Arial" w:cs="Arial"/>
          <w:spacing w:val="-47"/>
          <w:sz w:val="20"/>
          <w:szCs w:val="20"/>
        </w:rPr>
        <w:t xml:space="preserve"> </w:t>
      </w:r>
      <w:r w:rsidRPr="00BE332C">
        <w:rPr>
          <w:rFonts w:ascii="Arial" w:hAnsi="Arial" w:cs="Arial"/>
          <w:sz w:val="20"/>
          <w:szCs w:val="20"/>
        </w:rPr>
        <w:t>would</w:t>
      </w:r>
      <w:r w:rsidRPr="00BE332C">
        <w:rPr>
          <w:rFonts w:ascii="Arial" w:hAnsi="Arial" w:cs="Arial"/>
          <w:spacing w:val="-4"/>
          <w:sz w:val="20"/>
          <w:szCs w:val="20"/>
        </w:rPr>
        <w:t xml:space="preserve"> </w:t>
      </w:r>
      <w:r w:rsidRPr="00BE332C">
        <w:rPr>
          <w:rFonts w:ascii="Arial" w:hAnsi="Arial" w:cs="Arial"/>
          <w:sz w:val="20"/>
          <w:szCs w:val="20"/>
        </w:rPr>
        <w:t>apply.</w:t>
      </w:r>
      <w:r w:rsidRPr="00BE332C">
        <w:rPr>
          <w:rFonts w:ascii="Arial" w:hAnsi="Arial" w:cs="Arial"/>
          <w:spacing w:val="-1"/>
          <w:sz w:val="20"/>
          <w:szCs w:val="20"/>
        </w:rPr>
        <w:t xml:space="preserve"> </w:t>
      </w:r>
      <w:r w:rsidRPr="00BE332C">
        <w:rPr>
          <w:rFonts w:ascii="Arial" w:hAnsi="Arial" w:cs="Arial"/>
          <w:sz w:val="20"/>
          <w:szCs w:val="20"/>
        </w:rPr>
        <w:t>It</w:t>
      </w:r>
      <w:r w:rsidRPr="00BE332C">
        <w:rPr>
          <w:rFonts w:ascii="Arial" w:hAnsi="Arial" w:cs="Arial"/>
          <w:spacing w:val="-3"/>
          <w:sz w:val="20"/>
          <w:szCs w:val="20"/>
        </w:rPr>
        <w:t xml:space="preserve"> </w:t>
      </w:r>
      <w:r w:rsidRPr="00BE332C">
        <w:rPr>
          <w:rFonts w:ascii="Arial" w:hAnsi="Arial" w:cs="Arial"/>
          <w:sz w:val="20"/>
          <w:szCs w:val="20"/>
        </w:rPr>
        <w:t>is</w:t>
      </w:r>
      <w:r w:rsidRPr="00BE332C">
        <w:rPr>
          <w:rFonts w:ascii="Arial" w:hAnsi="Arial" w:cs="Arial"/>
          <w:spacing w:val="-3"/>
          <w:sz w:val="20"/>
          <w:szCs w:val="20"/>
        </w:rPr>
        <w:t xml:space="preserve"> </w:t>
      </w:r>
      <w:r w:rsidRPr="00BE332C">
        <w:rPr>
          <w:rFonts w:ascii="Arial" w:hAnsi="Arial" w:cs="Arial"/>
          <w:sz w:val="20"/>
          <w:szCs w:val="20"/>
        </w:rPr>
        <w:t>permitted</w:t>
      </w:r>
      <w:r w:rsidRPr="00BE332C">
        <w:rPr>
          <w:rFonts w:ascii="Arial" w:hAnsi="Arial" w:cs="Arial"/>
          <w:spacing w:val="-2"/>
          <w:sz w:val="20"/>
          <w:szCs w:val="20"/>
        </w:rPr>
        <w:t xml:space="preserve"> </w:t>
      </w:r>
      <w:r w:rsidRPr="00BE332C">
        <w:rPr>
          <w:rFonts w:ascii="Arial" w:hAnsi="Arial" w:cs="Arial"/>
          <w:sz w:val="20"/>
          <w:szCs w:val="20"/>
        </w:rPr>
        <w:t>to</w:t>
      </w:r>
      <w:r w:rsidRPr="00BE332C">
        <w:rPr>
          <w:rFonts w:ascii="Arial" w:hAnsi="Arial" w:cs="Arial"/>
          <w:spacing w:val="-3"/>
          <w:sz w:val="20"/>
          <w:szCs w:val="20"/>
        </w:rPr>
        <w:t xml:space="preserve"> </w:t>
      </w:r>
      <w:r w:rsidRPr="00BE332C">
        <w:rPr>
          <w:rFonts w:ascii="Arial" w:hAnsi="Arial" w:cs="Arial"/>
          <w:sz w:val="20"/>
          <w:szCs w:val="20"/>
        </w:rPr>
        <w:t>issue a</w:t>
      </w:r>
      <w:r w:rsidRPr="00BE332C">
        <w:rPr>
          <w:rFonts w:ascii="Arial" w:hAnsi="Arial" w:cs="Arial"/>
          <w:spacing w:val="-3"/>
          <w:sz w:val="20"/>
          <w:szCs w:val="20"/>
        </w:rPr>
        <w:t xml:space="preserve"> </w:t>
      </w:r>
      <w:r w:rsidRPr="00BE332C">
        <w:rPr>
          <w:rFonts w:ascii="Arial" w:hAnsi="Arial" w:cs="Arial"/>
          <w:sz w:val="20"/>
          <w:szCs w:val="20"/>
        </w:rPr>
        <w:t>single</w:t>
      </w:r>
      <w:r w:rsidRPr="00BE332C">
        <w:rPr>
          <w:rFonts w:ascii="Arial" w:hAnsi="Arial" w:cs="Arial"/>
          <w:spacing w:val="-4"/>
          <w:sz w:val="20"/>
          <w:szCs w:val="20"/>
        </w:rPr>
        <w:t xml:space="preserve"> </w:t>
      </w:r>
      <w:r w:rsidRPr="00BE332C">
        <w:rPr>
          <w:rFonts w:ascii="Arial" w:hAnsi="Arial" w:cs="Arial"/>
          <w:sz w:val="20"/>
          <w:szCs w:val="20"/>
        </w:rPr>
        <w:t>release</w:t>
      </w:r>
      <w:r w:rsidRPr="00BE332C">
        <w:rPr>
          <w:rFonts w:ascii="Arial" w:hAnsi="Arial" w:cs="Arial"/>
          <w:spacing w:val="-3"/>
          <w:sz w:val="20"/>
          <w:szCs w:val="20"/>
        </w:rPr>
        <w:t xml:space="preserve"> </w:t>
      </w:r>
      <w:r w:rsidRPr="00BE332C">
        <w:rPr>
          <w:rFonts w:ascii="Arial" w:hAnsi="Arial" w:cs="Arial"/>
          <w:sz w:val="20"/>
          <w:szCs w:val="20"/>
        </w:rPr>
        <w:t>to service</w:t>
      </w:r>
      <w:r w:rsidRPr="00BE332C">
        <w:rPr>
          <w:rFonts w:ascii="Arial" w:hAnsi="Arial" w:cs="Arial"/>
          <w:spacing w:val="-3"/>
          <w:sz w:val="20"/>
          <w:szCs w:val="20"/>
        </w:rPr>
        <w:t xml:space="preserve"> </w:t>
      </w:r>
      <w:r w:rsidRPr="00BE332C">
        <w:rPr>
          <w:rFonts w:ascii="Arial" w:hAnsi="Arial" w:cs="Arial"/>
          <w:sz w:val="20"/>
          <w:szCs w:val="20"/>
        </w:rPr>
        <w:t>containing</w:t>
      </w:r>
      <w:r w:rsidRPr="00BE332C">
        <w:rPr>
          <w:rFonts w:ascii="Arial" w:hAnsi="Arial" w:cs="Arial"/>
          <w:spacing w:val="-2"/>
          <w:sz w:val="20"/>
          <w:szCs w:val="20"/>
        </w:rPr>
        <w:t xml:space="preserve"> </w:t>
      </w:r>
      <w:r w:rsidRPr="00BE332C">
        <w:rPr>
          <w:rFonts w:ascii="Arial" w:hAnsi="Arial" w:cs="Arial"/>
          <w:sz w:val="20"/>
          <w:szCs w:val="20"/>
        </w:rPr>
        <w:t>adequate</w:t>
      </w:r>
      <w:r w:rsidRPr="00BE332C">
        <w:rPr>
          <w:rFonts w:ascii="Arial" w:hAnsi="Arial" w:cs="Arial"/>
          <w:spacing w:val="-3"/>
          <w:sz w:val="20"/>
          <w:szCs w:val="20"/>
        </w:rPr>
        <w:t xml:space="preserve"> </w:t>
      </w:r>
      <w:r w:rsidRPr="00BE332C">
        <w:rPr>
          <w:rFonts w:ascii="Arial" w:hAnsi="Arial" w:cs="Arial"/>
          <w:sz w:val="20"/>
          <w:szCs w:val="20"/>
        </w:rPr>
        <w:t>traceability</w:t>
      </w:r>
      <w:r w:rsidRPr="00BE332C">
        <w:rPr>
          <w:rFonts w:ascii="Arial" w:hAnsi="Arial" w:cs="Arial"/>
          <w:spacing w:val="-47"/>
          <w:sz w:val="20"/>
          <w:szCs w:val="20"/>
        </w:rPr>
        <w:t xml:space="preserve"> </w:t>
      </w:r>
      <w:r w:rsidRPr="00BE332C">
        <w:rPr>
          <w:rFonts w:ascii="Arial" w:hAnsi="Arial" w:cs="Arial"/>
          <w:sz w:val="20"/>
          <w:szCs w:val="20"/>
        </w:rPr>
        <w:t>of all</w:t>
      </w:r>
      <w:r w:rsidRPr="00BE332C">
        <w:rPr>
          <w:rFonts w:ascii="Arial" w:hAnsi="Arial" w:cs="Arial"/>
          <w:spacing w:val="-3"/>
          <w:sz w:val="20"/>
          <w:szCs w:val="20"/>
        </w:rPr>
        <w:t xml:space="preserve"> </w:t>
      </w:r>
      <w:r w:rsidRPr="00BE332C">
        <w:rPr>
          <w:rFonts w:ascii="Arial" w:hAnsi="Arial" w:cs="Arial"/>
          <w:sz w:val="20"/>
          <w:szCs w:val="20"/>
        </w:rPr>
        <w:t>the SCs</w:t>
      </w:r>
      <w:r w:rsidRPr="00BE332C">
        <w:rPr>
          <w:rFonts w:ascii="Arial" w:hAnsi="Arial" w:cs="Arial"/>
          <w:spacing w:val="-2"/>
          <w:sz w:val="20"/>
          <w:szCs w:val="20"/>
        </w:rPr>
        <w:t xml:space="preserve"> </w:t>
      </w:r>
      <w:r w:rsidRPr="00BE332C">
        <w:rPr>
          <w:rFonts w:ascii="Arial" w:hAnsi="Arial" w:cs="Arial"/>
          <w:sz w:val="20"/>
          <w:szCs w:val="20"/>
        </w:rPr>
        <w:t>embodied.</w:t>
      </w:r>
    </w:p>
    <w:p w14:paraId="540318A1" w14:textId="77777777" w:rsidR="00BE332C" w:rsidRPr="00BE332C" w:rsidRDefault="00BE332C" w:rsidP="003075E4">
      <w:pPr>
        <w:pStyle w:val="BodyText"/>
        <w:numPr>
          <w:ilvl w:val="0"/>
          <w:numId w:val="319"/>
        </w:numPr>
        <w:ind w:right="44"/>
        <w:jc w:val="both"/>
        <w:rPr>
          <w:rFonts w:ascii="Arial" w:eastAsiaTheme="minorHAnsi" w:hAnsi="Arial" w:cs="Arial"/>
          <w:b/>
          <w:bCs/>
          <w:sz w:val="20"/>
          <w:szCs w:val="20"/>
        </w:rPr>
      </w:pPr>
      <w:r w:rsidRPr="00BE332C">
        <w:rPr>
          <w:rFonts w:ascii="Arial" w:eastAsiaTheme="minorHAnsi" w:hAnsi="Arial" w:cs="Arial"/>
          <w:b/>
          <w:bCs/>
          <w:sz w:val="20"/>
          <w:szCs w:val="20"/>
        </w:rPr>
        <w:t>Acceptable form to be used to record the embodiment of SCs/SRs</w:t>
      </w:r>
    </w:p>
    <w:p w14:paraId="15D4CBA8" w14:textId="7F7E44A8" w:rsidR="00BE332C" w:rsidRPr="00BE332C" w:rsidRDefault="00BE332C" w:rsidP="003075E4">
      <w:pPr>
        <w:spacing w:before="120"/>
        <w:ind w:left="706" w:right="44"/>
        <w:jc w:val="both"/>
        <w:rPr>
          <w:rFonts w:ascii="Arial" w:hAnsi="Arial" w:cs="Arial"/>
          <w:sz w:val="20"/>
          <w:szCs w:val="20"/>
        </w:rPr>
      </w:pPr>
      <w:r w:rsidRPr="004906DC">
        <w:rPr>
          <w:rFonts w:ascii="Arial" w:hAnsi="Arial" w:cs="Arial"/>
          <w:sz w:val="20"/>
          <w:szCs w:val="20"/>
        </w:rPr>
        <w:t>See</w:t>
      </w:r>
      <w:r w:rsidRPr="004906DC">
        <w:rPr>
          <w:rFonts w:ascii="Arial" w:hAnsi="Arial" w:cs="Arial"/>
          <w:spacing w:val="-2"/>
          <w:sz w:val="20"/>
          <w:szCs w:val="20"/>
        </w:rPr>
        <w:t xml:space="preserve">  </w:t>
      </w:r>
      <w:r w:rsidRPr="004906DC">
        <w:rPr>
          <w:rFonts w:ascii="Arial" w:hAnsi="Arial" w:cs="Arial"/>
          <w:sz w:val="20"/>
          <w:szCs w:val="20"/>
        </w:rPr>
        <w:t>Form 123.</w:t>
      </w:r>
      <w:r w:rsidR="004906DC" w:rsidRPr="004906DC">
        <w:t xml:space="preserve"> </w:t>
      </w:r>
      <w:hyperlink r:id="rId124" w:history="1">
        <w:r w:rsidR="009131C0">
          <w:rPr>
            <w:rStyle w:val="Hyperlink"/>
            <w:rFonts w:ascii="Arial" w:hAnsi="Arial" w:cs="Arial"/>
            <w:sz w:val="20"/>
            <w:szCs w:val="20"/>
          </w:rPr>
          <w:t>the order N 20-N of the Minister of Territorial Administration and Infrastructure of RA, dated 18.11.2022</w:t>
        </w:r>
      </w:hyperlink>
      <w:r w:rsidR="002D7AA7">
        <w:t>.</w:t>
      </w:r>
    </w:p>
    <w:p w14:paraId="1F95A67A" w14:textId="77777777" w:rsidR="00B229C2" w:rsidRDefault="00B229C2" w:rsidP="00BE332C">
      <w:pPr>
        <w:ind w:left="706"/>
        <w:jc w:val="both"/>
        <w:rPr>
          <w:rFonts w:ascii="Arial" w:eastAsia="Times New Roman" w:hAnsi="Arial" w:cs="Arial"/>
          <w:sz w:val="20"/>
          <w:szCs w:val="20"/>
        </w:rPr>
      </w:pPr>
    </w:p>
    <w:p w14:paraId="4B2063DF" w14:textId="77777777" w:rsidR="00BE332C" w:rsidRDefault="00BE332C" w:rsidP="00BE332C">
      <w:pPr>
        <w:pStyle w:val="BodyText"/>
        <w:jc w:val="center"/>
        <w:rPr>
          <w:rFonts w:ascii="Arial" w:hAnsi="Arial" w:cs="Arial"/>
          <w:b/>
          <w:sz w:val="20"/>
        </w:rPr>
      </w:pPr>
      <w:r w:rsidRPr="00BE332C">
        <w:rPr>
          <w:rFonts w:ascii="Arial" w:hAnsi="Arial" w:cs="Arial"/>
          <w:b/>
          <w:sz w:val="20"/>
        </w:rPr>
        <w:t>EASA Form 123 — Standard Change/Standard Repair (SC/SR) embodiment record</w:t>
      </w:r>
    </w:p>
    <w:p w14:paraId="34A43BC7" w14:textId="77777777" w:rsidR="007F03DB" w:rsidRPr="00BE332C" w:rsidRDefault="007F03DB" w:rsidP="00BE332C">
      <w:pPr>
        <w:pStyle w:val="BodyText"/>
        <w:jc w:val="center"/>
        <w:rPr>
          <w:rFonts w:ascii="Arial" w:hAnsi="Arial" w:cs="Arial"/>
          <w:b/>
          <w:sz w:val="20"/>
        </w:rPr>
      </w:pPr>
    </w:p>
    <w:tbl>
      <w:tblPr>
        <w:tblW w:w="9125" w:type="dxa"/>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
        <w:gridCol w:w="3531"/>
        <w:gridCol w:w="3604"/>
        <w:gridCol w:w="1980"/>
      </w:tblGrid>
      <w:tr w:rsidR="00BE332C" w:rsidRPr="007F03DB" w14:paraId="001D0A4F" w14:textId="77777777" w:rsidTr="007F03DB">
        <w:trPr>
          <w:gridBefore w:val="1"/>
          <w:wBefore w:w="10" w:type="dxa"/>
          <w:trHeight w:val="613"/>
        </w:trPr>
        <w:tc>
          <w:tcPr>
            <w:tcW w:w="7135" w:type="dxa"/>
            <w:gridSpan w:val="2"/>
          </w:tcPr>
          <w:p w14:paraId="1B960C00" w14:textId="77777777" w:rsidR="00BE332C" w:rsidRPr="007F03DB" w:rsidRDefault="00BE332C" w:rsidP="00B83CD5">
            <w:pPr>
              <w:pStyle w:val="TableParagraph"/>
              <w:spacing w:line="243" w:lineRule="exact"/>
              <w:ind w:left="107"/>
              <w:rPr>
                <w:rFonts w:ascii="Arial" w:hAnsi="Arial" w:cs="Arial"/>
                <w:b/>
                <w:sz w:val="18"/>
              </w:rPr>
            </w:pPr>
            <w:r w:rsidRPr="007F03DB">
              <w:rPr>
                <w:rFonts w:ascii="Arial" w:hAnsi="Arial" w:cs="Arial"/>
                <w:b/>
                <w:sz w:val="18"/>
              </w:rPr>
              <w:t>EASA</w:t>
            </w:r>
            <w:r w:rsidRPr="007F03DB">
              <w:rPr>
                <w:rFonts w:ascii="Arial" w:hAnsi="Arial" w:cs="Arial"/>
                <w:b/>
                <w:spacing w:val="-5"/>
                <w:sz w:val="18"/>
              </w:rPr>
              <w:t xml:space="preserve"> </w:t>
            </w:r>
            <w:r w:rsidRPr="007F03DB">
              <w:rPr>
                <w:rFonts w:ascii="Arial" w:hAnsi="Arial" w:cs="Arial"/>
                <w:b/>
                <w:sz w:val="18"/>
              </w:rPr>
              <w:t>Form</w:t>
            </w:r>
            <w:r w:rsidRPr="007F03DB">
              <w:rPr>
                <w:rFonts w:ascii="Arial" w:hAnsi="Arial" w:cs="Arial"/>
                <w:b/>
                <w:spacing w:val="-1"/>
                <w:sz w:val="18"/>
              </w:rPr>
              <w:t xml:space="preserve"> </w:t>
            </w:r>
            <w:r w:rsidRPr="007F03DB">
              <w:rPr>
                <w:rFonts w:ascii="Arial" w:hAnsi="Arial" w:cs="Arial"/>
                <w:b/>
                <w:sz w:val="18"/>
              </w:rPr>
              <w:t>123</w:t>
            </w:r>
            <w:r w:rsidRPr="007F03DB">
              <w:rPr>
                <w:rFonts w:ascii="Arial" w:hAnsi="Arial" w:cs="Arial"/>
                <w:b/>
                <w:spacing w:val="-3"/>
                <w:sz w:val="18"/>
              </w:rPr>
              <w:t xml:space="preserve"> </w:t>
            </w:r>
            <w:r w:rsidRPr="007F03DB">
              <w:rPr>
                <w:rFonts w:ascii="Arial" w:hAnsi="Arial" w:cs="Arial"/>
                <w:b/>
                <w:sz w:val="18"/>
              </w:rPr>
              <w:t>—</w:t>
            </w:r>
            <w:r w:rsidRPr="007F03DB">
              <w:rPr>
                <w:rFonts w:ascii="Arial" w:hAnsi="Arial" w:cs="Arial"/>
                <w:b/>
                <w:spacing w:val="-3"/>
                <w:sz w:val="18"/>
              </w:rPr>
              <w:t xml:space="preserve"> </w:t>
            </w:r>
            <w:r w:rsidRPr="007F03DB">
              <w:rPr>
                <w:rFonts w:ascii="Arial" w:hAnsi="Arial" w:cs="Arial"/>
                <w:b/>
                <w:sz w:val="18"/>
              </w:rPr>
              <w:t>Standard</w:t>
            </w:r>
            <w:r w:rsidRPr="007F03DB">
              <w:rPr>
                <w:rFonts w:ascii="Arial" w:hAnsi="Arial" w:cs="Arial"/>
                <w:b/>
                <w:spacing w:val="-3"/>
                <w:sz w:val="18"/>
              </w:rPr>
              <w:t xml:space="preserve"> </w:t>
            </w:r>
            <w:r w:rsidRPr="007F03DB">
              <w:rPr>
                <w:rFonts w:ascii="Arial" w:hAnsi="Arial" w:cs="Arial"/>
                <w:b/>
                <w:sz w:val="18"/>
              </w:rPr>
              <w:t>Change/Standard</w:t>
            </w:r>
            <w:r w:rsidRPr="007F03DB">
              <w:rPr>
                <w:rFonts w:ascii="Arial" w:hAnsi="Arial" w:cs="Arial"/>
                <w:b/>
                <w:spacing w:val="-3"/>
                <w:sz w:val="18"/>
              </w:rPr>
              <w:t xml:space="preserve"> </w:t>
            </w:r>
            <w:r w:rsidRPr="007F03DB">
              <w:rPr>
                <w:rFonts w:ascii="Arial" w:hAnsi="Arial" w:cs="Arial"/>
                <w:b/>
                <w:sz w:val="18"/>
              </w:rPr>
              <w:t>Repair</w:t>
            </w:r>
            <w:r w:rsidRPr="007F03DB">
              <w:rPr>
                <w:rFonts w:ascii="Arial" w:hAnsi="Arial" w:cs="Arial"/>
                <w:b/>
                <w:spacing w:val="-3"/>
                <w:sz w:val="18"/>
              </w:rPr>
              <w:t xml:space="preserve"> </w:t>
            </w:r>
            <w:r w:rsidRPr="007F03DB">
              <w:rPr>
                <w:rFonts w:ascii="Arial" w:hAnsi="Arial" w:cs="Arial"/>
                <w:b/>
                <w:sz w:val="18"/>
              </w:rPr>
              <w:t>(SC/SR)</w:t>
            </w:r>
            <w:r w:rsidRPr="007F03DB">
              <w:rPr>
                <w:rFonts w:ascii="Arial" w:hAnsi="Arial" w:cs="Arial"/>
                <w:b/>
                <w:spacing w:val="-3"/>
                <w:sz w:val="18"/>
              </w:rPr>
              <w:t xml:space="preserve"> </w:t>
            </w:r>
            <w:r w:rsidRPr="007F03DB">
              <w:rPr>
                <w:rFonts w:ascii="Arial" w:hAnsi="Arial" w:cs="Arial"/>
                <w:b/>
                <w:sz w:val="18"/>
              </w:rPr>
              <w:t>embodiment</w:t>
            </w:r>
            <w:r w:rsidRPr="007F03DB">
              <w:rPr>
                <w:rFonts w:ascii="Arial" w:hAnsi="Arial" w:cs="Arial"/>
                <w:b/>
                <w:spacing w:val="-6"/>
                <w:sz w:val="18"/>
              </w:rPr>
              <w:t xml:space="preserve"> </w:t>
            </w:r>
            <w:r w:rsidRPr="007F03DB">
              <w:rPr>
                <w:rFonts w:ascii="Arial" w:hAnsi="Arial" w:cs="Arial"/>
                <w:b/>
                <w:sz w:val="18"/>
              </w:rPr>
              <w:t>record</w:t>
            </w:r>
          </w:p>
        </w:tc>
        <w:tc>
          <w:tcPr>
            <w:tcW w:w="1980" w:type="dxa"/>
          </w:tcPr>
          <w:p w14:paraId="66571325" w14:textId="77777777" w:rsidR="00BE332C" w:rsidRPr="007F03DB" w:rsidRDefault="00BE332C" w:rsidP="00B83CD5">
            <w:pPr>
              <w:pStyle w:val="TableParagraph"/>
              <w:ind w:left="0"/>
              <w:rPr>
                <w:rFonts w:ascii="Arial" w:hAnsi="Arial" w:cs="Arial"/>
                <w:b/>
                <w:sz w:val="18"/>
              </w:rPr>
            </w:pPr>
          </w:p>
          <w:p w14:paraId="358666A8" w14:textId="77777777" w:rsidR="00BE332C" w:rsidRPr="007F03DB" w:rsidRDefault="00BE332C" w:rsidP="00B83CD5">
            <w:pPr>
              <w:pStyle w:val="TableParagraph"/>
              <w:ind w:left="107"/>
              <w:rPr>
                <w:rFonts w:ascii="Arial" w:hAnsi="Arial" w:cs="Arial"/>
                <w:sz w:val="18"/>
              </w:rPr>
            </w:pPr>
            <w:r w:rsidRPr="007F03DB">
              <w:rPr>
                <w:rFonts w:ascii="Arial" w:hAnsi="Arial" w:cs="Arial"/>
                <w:sz w:val="18"/>
              </w:rPr>
              <w:t>1.</w:t>
            </w:r>
            <w:r w:rsidRPr="007F03DB">
              <w:rPr>
                <w:rFonts w:ascii="Arial" w:hAnsi="Arial" w:cs="Arial"/>
                <w:spacing w:val="68"/>
                <w:sz w:val="18"/>
              </w:rPr>
              <w:t xml:space="preserve"> </w:t>
            </w:r>
            <w:r w:rsidRPr="007F03DB">
              <w:rPr>
                <w:rFonts w:ascii="Arial" w:hAnsi="Arial" w:cs="Arial"/>
                <w:sz w:val="18"/>
              </w:rPr>
              <w:t>SC/SR</w:t>
            </w:r>
            <w:r w:rsidRPr="007F03DB">
              <w:rPr>
                <w:rFonts w:ascii="Arial" w:hAnsi="Arial" w:cs="Arial"/>
                <w:spacing w:val="-3"/>
                <w:sz w:val="18"/>
              </w:rPr>
              <w:t xml:space="preserve"> </w:t>
            </w:r>
            <w:r w:rsidRPr="007F03DB">
              <w:rPr>
                <w:rFonts w:ascii="Arial" w:hAnsi="Arial" w:cs="Arial"/>
                <w:sz w:val="18"/>
              </w:rPr>
              <w:t>number(s):</w:t>
            </w:r>
          </w:p>
        </w:tc>
      </w:tr>
      <w:tr w:rsidR="00BE332C" w:rsidRPr="007F03DB" w14:paraId="15AB4062" w14:textId="77777777" w:rsidTr="007F03DB">
        <w:trPr>
          <w:gridBefore w:val="1"/>
          <w:wBefore w:w="10" w:type="dxa"/>
          <w:trHeight w:val="566"/>
        </w:trPr>
        <w:tc>
          <w:tcPr>
            <w:tcW w:w="9115" w:type="dxa"/>
            <w:gridSpan w:val="3"/>
          </w:tcPr>
          <w:p w14:paraId="752132EA" w14:textId="77777777" w:rsidR="00BE332C" w:rsidRPr="007F03DB" w:rsidRDefault="00BE332C" w:rsidP="00B83CD5">
            <w:pPr>
              <w:pStyle w:val="TableParagraph"/>
              <w:spacing w:line="243" w:lineRule="exact"/>
              <w:ind w:left="107"/>
              <w:rPr>
                <w:rFonts w:ascii="Arial" w:hAnsi="Arial" w:cs="Arial"/>
                <w:sz w:val="18"/>
              </w:rPr>
            </w:pPr>
            <w:r w:rsidRPr="007F03DB">
              <w:rPr>
                <w:rFonts w:ascii="Arial" w:hAnsi="Arial" w:cs="Arial"/>
                <w:sz w:val="18"/>
              </w:rPr>
              <w:t>2.</w:t>
            </w:r>
            <w:r w:rsidRPr="007F03DB">
              <w:rPr>
                <w:rFonts w:ascii="Arial" w:hAnsi="Arial" w:cs="Arial"/>
                <w:spacing w:val="67"/>
                <w:sz w:val="18"/>
              </w:rPr>
              <w:t xml:space="preserve"> </w:t>
            </w:r>
            <w:r w:rsidRPr="007F03DB">
              <w:rPr>
                <w:rFonts w:ascii="Arial" w:hAnsi="Arial" w:cs="Arial"/>
                <w:sz w:val="18"/>
              </w:rPr>
              <w:t>SC/SR</w:t>
            </w:r>
            <w:r w:rsidRPr="007F03DB">
              <w:rPr>
                <w:rFonts w:ascii="Arial" w:hAnsi="Arial" w:cs="Arial"/>
                <w:spacing w:val="-3"/>
                <w:sz w:val="18"/>
              </w:rPr>
              <w:t xml:space="preserve"> </w:t>
            </w:r>
            <w:r w:rsidRPr="007F03DB">
              <w:rPr>
                <w:rFonts w:ascii="Arial" w:hAnsi="Arial" w:cs="Arial"/>
                <w:sz w:val="18"/>
              </w:rPr>
              <w:t>title</w:t>
            </w:r>
            <w:r w:rsidRPr="007F03DB">
              <w:rPr>
                <w:rFonts w:ascii="Arial" w:hAnsi="Arial" w:cs="Arial"/>
                <w:spacing w:val="-2"/>
                <w:sz w:val="18"/>
              </w:rPr>
              <w:t xml:space="preserve"> </w:t>
            </w:r>
            <w:r w:rsidRPr="007F03DB">
              <w:rPr>
                <w:rFonts w:ascii="Arial" w:hAnsi="Arial" w:cs="Arial"/>
                <w:sz w:val="18"/>
              </w:rPr>
              <w:t>&amp;</w:t>
            </w:r>
            <w:r w:rsidRPr="007F03DB">
              <w:rPr>
                <w:rFonts w:ascii="Arial" w:hAnsi="Arial" w:cs="Arial"/>
                <w:spacing w:val="-1"/>
                <w:sz w:val="18"/>
              </w:rPr>
              <w:t xml:space="preserve"> </w:t>
            </w:r>
            <w:r w:rsidRPr="007F03DB">
              <w:rPr>
                <w:rFonts w:ascii="Arial" w:hAnsi="Arial" w:cs="Arial"/>
                <w:sz w:val="18"/>
              </w:rPr>
              <w:t>description:</w:t>
            </w:r>
          </w:p>
        </w:tc>
      </w:tr>
      <w:tr w:rsidR="00BE332C" w:rsidRPr="007F03DB" w14:paraId="3A6959E6" w14:textId="77777777" w:rsidTr="007F03DB">
        <w:trPr>
          <w:gridBefore w:val="1"/>
          <w:wBefore w:w="10" w:type="dxa"/>
          <w:trHeight w:val="609"/>
        </w:trPr>
        <w:tc>
          <w:tcPr>
            <w:tcW w:w="9115" w:type="dxa"/>
            <w:gridSpan w:val="3"/>
          </w:tcPr>
          <w:p w14:paraId="65D1BDC0" w14:textId="77777777" w:rsidR="00BE332C" w:rsidRPr="007F03DB" w:rsidRDefault="00BE332C" w:rsidP="00B83CD5">
            <w:pPr>
              <w:pStyle w:val="TableParagraph"/>
              <w:spacing w:before="1"/>
              <w:ind w:left="107"/>
              <w:rPr>
                <w:rFonts w:ascii="Arial" w:hAnsi="Arial" w:cs="Arial"/>
                <w:sz w:val="18"/>
              </w:rPr>
            </w:pPr>
            <w:r w:rsidRPr="007F03DB">
              <w:rPr>
                <w:rFonts w:ascii="Arial" w:hAnsi="Arial" w:cs="Arial"/>
                <w:sz w:val="18"/>
              </w:rPr>
              <w:t>3.</w:t>
            </w:r>
            <w:r w:rsidRPr="007F03DB">
              <w:rPr>
                <w:rFonts w:ascii="Arial" w:hAnsi="Arial" w:cs="Arial"/>
                <w:spacing w:val="67"/>
                <w:sz w:val="18"/>
              </w:rPr>
              <w:t xml:space="preserve"> </w:t>
            </w:r>
            <w:r w:rsidRPr="007F03DB">
              <w:rPr>
                <w:rFonts w:ascii="Arial" w:hAnsi="Arial" w:cs="Arial"/>
                <w:sz w:val="18"/>
              </w:rPr>
              <w:t>Applicability:</w:t>
            </w:r>
          </w:p>
        </w:tc>
      </w:tr>
      <w:tr w:rsidR="00BE332C" w:rsidRPr="007F03DB" w14:paraId="0A48932E" w14:textId="77777777" w:rsidTr="007F03DB">
        <w:trPr>
          <w:gridBefore w:val="1"/>
          <w:wBefore w:w="10" w:type="dxa"/>
          <w:trHeight w:val="784"/>
        </w:trPr>
        <w:tc>
          <w:tcPr>
            <w:tcW w:w="9115" w:type="dxa"/>
            <w:gridSpan w:val="3"/>
          </w:tcPr>
          <w:p w14:paraId="76AA9CA6" w14:textId="77777777" w:rsidR="00BE332C" w:rsidRPr="007F03DB" w:rsidRDefault="00BE332C" w:rsidP="00B83CD5">
            <w:pPr>
              <w:pStyle w:val="TableParagraph"/>
              <w:spacing w:line="243" w:lineRule="exact"/>
              <w:ind w:left="107"/>
              <w:rPr>
                <w:rFonts w:ascii="Arial" w:hAnsi="Arial" w:cs="Arial"/>
                <w:sz w:val="18"/>
              </w:rPr>
            </w:pPr>
            <w:r w:rsidRPr="007F03DB">
              <w:rPr>
                <w:rFonts w:ascii="Arial" w:hAnsi="Arial" w:cs="Arial"/>
                <w:sz w:val="18"/>
              </w:rPr>
              <w:t>4.</w:t>
            </w:r>
            <w:r w:rsidRPr="007F03DB">
              <w:rPr>
                <w:rFonts w:ascii="Arial" w:hAnsi="Arial" w:cs="Arial"/>
                <w:spacing w:val="64"/>
                <w:sz w:val="18"/>
              </w:rPr>
              <w:t xml:space="preserve"> </w:t>
            </w:r>
            <w:r w:rsidRPr="007F03DB">
              <w:rPr>
                <w:rFonts w:ascii="Arial" w:hAnsi="Arial" w:cs="Arial"/>
                <w:sz w:val="18"/>
              </w:rPr>
              <w:t>List</w:t>
            </w:r>
            <w:r w:rsidRPr="007F03DB">
              <w:rPr>
                <w:rFonts w:ascii="Arial" w:hAnsi="Arial" w:cs="Arial"/>
                <w:spacing w:val="-3"/>
                <w:sz w:val="18"/>
              </w:rPr>
              <w:t xml:space="preserve"> </w:t>
            </w:r>
            <w:r w:rsidRPr="007F03DB">
              <w:rPr>
                <w:rFonts w:ascii="Arial" w:hAnsi="Arial" w:cs="Arial"/>
                <w:sz w:val="18"/>
              </w:rPr>
              <w:t>of</w:t>
            </w:r>
            <w:r w:rsidRPr="007F03DB">
              <w:rPr>
                <w:rFonts w:ascii="Arial" w:hAnsi="Arial" w:cs="Arial"/>
                <w:spacing w:val="-4"/>
                <w:sz w:val="18"/>
              </w:rPr>
              <w:t xml:space="preserve"> </w:t>
            </w:r>
            <w:r w:rsidRPr="007F03DB">
              <w:rPr>
                <w:rFonts w:ascii="Arial" w:hAnsi="Arial" w:cs="Arial"/>
                <w:sz w:val="18"/>
              </w:rPr>
              <w:t>parts</w:t>
            </w:r>
            <w:r w:rsidRPr="007F03DB">
              <w:rPr>
                <w:rFonts w:ascii="Arial" w:hAnsi="Arial" w:cs="Arial"/>
                <w:spacing w:val="-3"/>
                <w:sz w:val="18"/>
              </w:rPr>
              <w:t xml:space="preserve"> </w:t>
            </w:r>
            <w:r w:rsidRPr="007F03DB">
              <w:rPr>
                <w:rFonts w:ascii="Arial" w:hAnsi="Arial" w:cs="Arial"/>
                <w:sz w:val="18"/>
              </w:rPr>
              <w:t>(description/Part-No/Qty):</w:t>
            </w:r>
          </w:p>
        </w:tc>
      </w:tr>
      <w:tr w:rsidR="00BE332C" w:rsidRPr="007F03DB" w14:paraId="2DFFA937" w14:textId="77777777" w:rsidTr="007F03DB">
        <w:trPr>
          <w:gridBefore w:val="1"/>
          <w:wBefore w:w="10" w:type="dxa"/>
          <w:trHeight w:val="1003"/>
        </w:trPr>
        <w:tc>
          <w:tcPr>
            <w:tcW w:w="9115" w:type="dxa"/>
            <w:gridSpan w:val="3"/>
          </w:tcPr>
          <w:p w14:paraId="1D42FD64" w14:textId="77777777" w:rsidR="00BE332C" w:rsidRPr="007F03DB" w:rsidRDefault="00BE332C" w:rsidP="00B83CD5">
            <w:pPr>
              <w:pStyle w:val="TableParagraph"/>
              <w:ind w:left="419" w:right="305" w:hanging="312"/>
              <w:rPr>
                <w:rFonts w:ascii="Arial" w:hAnsi="Arial" w:cs="Arial"/>
                <w:sz w:val="18"/>
              </w:rPr>
            </w:pPr>
            <w:r w:rsidRPr="007F03DB">
              <w:rPr>
                <w:rFonts w:ascii="Arial" w:hAnsi="Arial" w:cs="Arial"/>
                <w:sz w:val="18"/>
              </w:rPr>
              <w:t>5.</w:t>
            </w:r>
            <w:r w:rsidRPr="007F03DB">
              <w:rPr>
                <w:rFonts w:ascii="Arial" w:hAnsi="Arial" w:cs="Arial"/>
                <w:spacing w:val="1"/>
                <w:sz w:val="18"/>
              </w:rPr>
              <w:t xml:space="preserve"> </w:t>
            </w:r>
            <w:r w:rsidRPr="007F03DB">
              <w:rPr>
                <w:rFonts w:ascii="Arial" w:hAnsi="Arial" w:cs="Arial"/>
                <w:sz w:val="18"/>
              </w:rPr>
              <w:t>Operational limitations/affected aircraft manuals. Copies of these manuals are provided to the aircraft</w:t>
            </w:r>
            <w:r w:rsidR="007F03DB">
              <w:rPr>
                <w:rFonts w:ascii="Arial" w:hAnsi="Arial" w:cs="Arial"/>
                <w:spacing w:val="-43"/>
                <w:sz w:val="18"/>
              </w:rPr>
              <w:t xml:space="preserve">     </w:t>
            </w:r>
            <w:r w:rsidRPr="007F03DB">
              <w:rPr>
                <w:rFonts w:ascii="Arial" w:hAnsi="Arial" w:cs="Arial"/>
                <w:sz w:val="18"/>
              </w:rPr>
              <w:t>owner:</w:t>
            </w:r>
          </w:p>
        </w:tc>
      </w:tr>
      <w:tr w:rsidR="00BE332C" w:rsidRPr="007F03DB" w14:paraId="579EC407" w14:textId="77777777" w:rsidTr="007F03DB">
        <w:trPr>
          <w:gridBefore w:val="1"/>
          <w:wBefore w:w="10" w:type="dxa"/>
          <w:trHeight w:val="601"/>
        </w:trPr>
        <w:tc>
          <w:tcPr>
            <w:tcW w:w="7135" w:type="dxa"/>
            <w:gridSpan w:val="2"/>
            <w:tcBorders>
              <w:bottom w:val="nil"/>
              <w:right w:val="nil"/>
            </w:tcBorders>
          </w:tcPr>
          <w:p w14:paraId="440B6C2F" w14:textId="77777777" w:rsidR="00BE332C" w:rsidRPr="007F03DB" w:rsidRDefault="00BE332C" w:rsidP="00B83CD5">
            <w:pPr>
              <w:pStyle w:val="TableParagraph"/>
              <w:spacing w:before="1"/>
              <w:ind w:left="107"/>
              <w:rPr>
                <w:rFonts w:ascii="Arial" w:hAnsi="Arial" w:cs="Arial"/>
                <w:sz w:val="18"/>
              </w:rPr>
            </w:pPr>
            <w:r w:rsidRPr="007F03DB">
              <w:rPr>
                <w:rFonts w:ascii="Arial" w:hAnsi="Arial" w:cs="Arial"/>
                <w:sz w:val="18"/>
              </w:rPr>
              <w:t>6.</w:t>
            </w:r>
            <w:r w:rsidRPr="007F03DB">
              <w:rPr>
                <w:rFonts w:ascii="Arial" w:hAnsi="Arial" w:cs="Arial"/>
                <w:spacing w:val="63"/>
                <w:sz w:val="18"/>
              </w:rPr>
              <w:t xml:space="preserve"> </w:t>
            </w:r>
            <w:r w:rsidRPr="007F03DB">
              <w:rPr>
                <w:rFonts w:ascii="Arial" w:hAnsi="Arial" w:cs="Arial"/>
                <w:sz w:val="18"/>
              </w:rPr>
              <w:t>Documents</w:t>
            </w:r>
            <w:r w:rsidRPr="007F03DB">
              <w:rPr>
                <w:rFonts w:ascii="Arial" w:hAnsi="Arial" w:cs="Arial"/>
                <w:spacing w:val="-5"/>
                <w:sz w:val="18"/>
              </w:rPr>
              <w:t xml:space="preserve"> </w:t>
            </w:r>
            <w:r w:rsidRPr="007F03DB">
              <w:rPr>
                <w:rFonts w:ascii="Arial" w:hAnsi="Arial" w:cs="Arial"/>
                <w:sz w:val="18"/>
              </w:rPr>
              <w:t>used</w:t>
            </w:r>
            <w:r w:rsidRPr="007F03DB">
              <w:rPr>
                <w:rFonts w:ascii="Arial" w:hAnsi="Arial" w:cs="Arial"/>
                <w:spacing w:val="-2"/>
                <w:sz w:val="18"/>
              </w:rPr>
              <w:t xml:space="preserve"> </w:t>
            </w:r>
            <w:r w:rsidRPr="007F03DB">
              <w:rPr>
                <w:rFonts w:ascii="Arial" w:hAnsi="Arial" w:cs="Arial"/>
                <w:sz w:val="18"/>
              </w:rPr>
              <w:t>for</w:t>
            </w:r>
            <w:r w:rsidRPr="007F03DB">
              <w:rPr>
                <w:rFonts w:ascii="Arial" w:hAnsi="Arial" w:cs="Arial"/>
                <w:spacing w:val="-2"/>
                <w:sz w:val="18"/>
              </w:rPr>
              <w:t xml:space="preserve"> </w:t>
            </w:r>
            <w:r w:rsidRPr="007F03DB">
              <w:rPr>
                <w:rFonts w:ascii="Arial" w:hAnsi="Arial" w:cs="Arial"/>
                <w:sz w:val="18"/>
              </w:rPr>
              <w:t>the</w:t>
            </w:r>
            <w:r w:rsidRPr="007F03DB">
              <w:rPr>
                <w:rFonts w:ascii="Arial" w:hAnsi="Arial" w:cs="Arial"/>
                <w:spacing w:val="-3"/>
                <w:sz w:val="18"/>
              </w:rPr>
              <w:t xml:space="preserve"> </w:t>
            </w:r>
            <w:r w:rsidRPr="007F03DB">
              <w:rPr>
                <w:rFonts w:ascii="Arial" w:hAnsi="Arial" w:cs="Arial"/>
                <w:sz w:val="18"/>
              </w:rPr>
              <w:t>development</w:t>
            </w:r>
            <w:r w:rsidRPr="007F03DB">
              <w:rPr>
                <w:rFonts w:ascii="Arial" w:hAnsi="Arial" w:cs="Arial"/>
                <w:spacing w:val="-2"/>
                <w:sz w:val="18"/>
              </w:rPr>
              <w:t xml:space="preserve"> </w:t>
            </w:r>
            <w:r w:rsidRPr="007F03DB">
              <w:rPr>
                <w:rFonts w:ascii="Arial" w:hAnsi="Arial" w:cs="Arial"/>
                <w:sz w:val="18"/>
              </w:rPr>
              <w:t>and</w:t>
            </w:r>
            <w:r w:rsidRPr="007F03DB">
              <w:rPr>
                <w:rFonts w:ascii="Arial" w:hAnsi="Arial" w:cs="Arial"/>
                <w:spacing w:val="-2"/>
                <w:sz w:val="18"/>
              </w:rPr>
              <w:t xml:space="preserve"> </w:t>
            </w:r>
            <w:r w:rsidRPr="007F03DB">
              <w:rPr>
                <w:rFonts w:ascii="Arial" w:hAnsi="Arial" w:cs="Arial"/>
                <w:sz w:val="18"/>
              </w:rPr>
              <w:t>embodiment</w:t>
            </w:r>
            <w:r w:rsidRPr="007F03DB">
              <w:rPr>
                <w:rFonts w:ascii="Arial" w:hAnsi="Arial" w:cs="Arial"/>
                <w:spacing w:val="-2"/>
                <w:sz w:val="18"/>
              </w:rPr>
              <w:t xml:space="preserve"> </w:t>
            </w:r>
            <w:r w:rsidRPr="007F03DB">
              <w:rPr>
                <w:rFonts w:ascii="Arial" w:hAnsi="Arial" w:cs="Arial"/>
                <w:sz w:val="18"/>
              </w:rPr>
              <w:t>of</w:t>
            </w:r>
            <w:r w:rsidRPr="007F03DB">
              <w:rPr>
                <w:rFonts w:ascii="Arial" w:hAnsi="Arial" w:cs="Arial"/>
                <w:spacing w:val="-4"/>
                <w:sz w:val="18"/>
              </w:rPr>
              <w:t xml:space="preserve"> </w:t>
            </w:r>
            <w:r w:rsidRPr="007F03DB">
              <w:rPr>
                <w:rFonts w:ascii="Arial" w:hAnsi="Arial" w:cs="Arial"/>
                <w:sz w:val="18"/>
              </w:rPr>
              <w:t>this</w:t>
            </w:r>
            <w:r w:rsidRPr="007F03DB">
              <w:rPr>
                <w:rFonts w:ascii="Arial" w:hAnsi="Arial" w:cs="Arial"/>
                <w:spacing w:val="-4"/>
                <w:sz w:val="18"/>
              </w:rPr>
              <w:t xml:space="preserve"> </w:t>
            </w:r>
            <w:r w:rsidRPr="007F03DB">
              <w:rPr>
                <w:rFonts w:ascii="Arial" w:hAnsi="Arial" w:cs="Arial"/>
                <w:sz w:val="18"/>
              </w:rPr>
              <w:t>SC/SR:</w:t>
            </w:r>
          </w:p>
        </w:tc>
        <w:tc>
          <w:tcPr>
            <w:tcW w:w="1980" w:type="dxa"/>
            <w:tcBorders>
              <w:left w:val="nil"/>
              <w:bottom w:val="nil"/>
            </w:tcBorders>
          </w:tcPr>
          <w:p w14:paraId="054232AD" w14:textId="77777777" w:rsidR="00BE332C" w:rsidRPr="007F03DB" w:rsidRDefault="00BE332C" w:rsidP="00B83CD5">
            <w:pPr>
              <w:pStyle w:val="TableParagraph"/>
              <w:ind w:left="0"/>
              <w:rPr>
                <w:rFonts w:ascii="Arial" w:hAnsi="Arial" w:cs="Arial"/>
                <w:sz w:val="18"/>
              </w:rPr>
            </w:pPr>
          </w:p>
        </w:tc>
      </w:tr>
      <w:tr w:rsidR="00BE332C" w:rsidRPr="007F03DB" w14:paraId="1B7841EE" w14:textId="77777777" w:rsidTr="007F03DB">
        <w:trPr>
          <w:gridBefore w:val="1"/>
          <w:wBefore w:w="10" w:type="dxa"/>
          <w:trHeight w:val="561"/>
        </w:trPr>
        <w:tc>
          <w:tcPr>
            <w:tcW w:w="7135" w:type="dxa"/>
            <w:gridSpan w:val="2"/>
            <w:tcBorders>
              <w:top w:val="nil"/>
              <w:right w:val="nil"/>
            </w:tcBorders>
          </w:tcPr>
          <w:p w14:paraId="00D32EB1" w14:textId="77777777" w:rsidR="00BE332C" w:rsidRPr="007F03DB" w:rsidRDefault="00BE332C" w:rsidP="00B83CD5">
            <w:pPr>
              <w:pStyle w:val="TableParagraph"/>
              <w:spacing w:before="1"/>
              <w:ind w:left="0"/>
              <w:rPr>
                <w:rFonts w:ascii="Arial" w:hAnsi="Arial" w:cs="Arial"/>
                <w:b/>
                <w:sz w:val="18"/>
              </w:rPr>
            </w:pPr>
          </w:p>
          <w:p w14:paraId="40B2F03A" w14:textId="77777777" w:rsidR="00BE332C" w:rsidRPr="007F03DB" w:rsidRDefault="00BE332C" w:rsidP="00B83CD5">
            <w:pPr>
              <w:pStyle w:val="TableParagraph"/>
              <w:spacing w:line="223" w:lineRule="exact"/>
              <w:ind w:left="107" w:right="-15"/>
              <w:rPr>
                <w:rFonts w:ascii="Arial" w:hAnsi="Arial" w:cs="Arial"/>
                <w:sz w:val="18"/>
              </w:rPr>
            </w:pPr>
            <w:r w:rsidRPr="007F03DB">
              <w:rPr>
                <w:rFonts w:ascii="Arial" w:hAnsi="Arial" w:cs="Arial"/>
                <w:sz w:val="18"/>
              </w:rPr>
              <w:t>*</w:t>
            </w:r>
            <w:r w:rsidRPr="007F03DB">
              <w:rPr>
                <w:rFonts w:ascii="Arial" w:hAnsi="Arial" w:cs="Arial"/>
                <w:spacing w:val="-3"/>
                <w:sz w:val="18"/>
              </w:rPr>
              <w:t xml:space="preserve"> </w:t>
            </w:r>
            <w:r w:rsidRPr="007F03DB">
              <w:rPr>
                <w:rFonts w:ascii="Arial" w:hAnsi="Arial" w:cs="Arial"/>
                <w:sz w:val="18"/>
              </w:rPr>
              <w:t>Copies</w:t>
            </w:r>
            <w:r w:rsidRPr="007F03DB">
              <w:rPr>
                <w:rFonts w:ascii="Arial" w:hAnsi="Arial" w:cs="Arial"/>
                <w:spacing w:val="-3"/>
                <w:sz w:val="18"/>
              </w:rPr>
              <w:t xml:space="preserve"> </w:t>
            </w:r>
            <w:r w:rsidRPr="007F03DB">
              <w:rPr>
                <w:rFonts w:ascii="Arial" w:hAnsi="Arial" w:cs="Arial"/>
                <w:sz w:val="18"/>
              </w:rPr>
              <w:t>of</w:t>
            </w:r>
            <w:r w:rsidRPr="007F03DB">
              <w:rPr>
                <w:rFonts w:ascii="Arial" w:hAnsi="Arial" w:cs="Arial"/>
                <w:spacing w:val="-4"/>
                <w:sz w:val="18"/>
              </w:rPr>
              <w:t xml:space="preserve"> </w:t>
            </w:r>
            <w:r w:rsidRPr="007F03DB">
              <w:rPr>
                <w:rFonts w:ascii="Arial" w:hAnsi="Arial" w:cs="Arial"/>
                <w:sz w:val="18"/>
              </w:rPr>
              <w:t>the</w:t>
            </w:r>
            <w:r w:rsidRPr="007F03DB">
              <w:rPr>
                <w:rFonts w:ascii="Arial" w:hAnsi="Arial" w:cs="Arial"/>
                <w:spacing w:val="-2"/>
                <w:sz w:val="18"/>
              </w:rPr>
              <w:t xml:space="preserve"> </w:t>
            </w:r>
            <w:r w:rsidRPr="007F03DB">
              <w:rPr>
                <w:rFonts w:ascii="Arial" w:hAnsi="Arial" w:cs="Arial"/>
                <w:sz w:val="18"/>
              </w:rPr>
              <w:t>documents</w:t>
            </w:r>
            <w:r w:rsidRPr="007F03DB">
              <w:rPr>
                <w:rFonts w:ascii="Arial" w:hAnsi="Arial" w:cs="Arial"/>
                <w:spacing w:val="-3"/>
                <w:sz w:val="18"/>
              </w:rPr>
              <w:t xml:space="preserve"> </w:t>
            </w:r>
            <w:r w:rsidRPr="007F03DB">
              <w:rPr>
                <w:rFonts w:ascii="Arial" w:hAnsi="Arial" w:cs="Arial"/>
                <w:sz w:val="18"/>
              </w:rPr>
              <w:t>marked</w:t>
            </w:r>
            <w:r w:rsidRPr="007F03DB">
              <w:rPr>
                <w:rFonts w:ascii="Arial" w:hAnsi="Arial" w:cs="Arial"/>
                <w:spacing w:val="-1"/>
                <w:sz w:val="18"/>
              </w:rPr>
              <w:t xml:space="preserve"> </w:t>
            </w:r>
            <w:r w:rsidRPr="007F03DB">
              <w:rPr>
                <w:rFonts w:ascii="Arial" w:hAnsi="Arial" w:cs="Arial"/>
                <w:sz w:val="18"/>
              </w:rPr>
              <w:t>with</w:t>
            </w:r>
            <w:r w:rsidRPr="007F03DB">
              <w:rPr>
                <w:rFonts w:ascii="Arial" w:hAnsi="Arial" w:cs="Arial"/>
                <w:spacing w:val="-2"/>
                <w:sz w:val="18"/>
              </w:rPr>
              <w:t xml:space="preserve"> </w:t>
            </w:r>
            <w:r w:rsidRPr="007F03DB">
              <w:rPr>
                <w:rFonts w:ascii="Arial" w:hAnsi="Arial" w:cs="Arial"/>
                <w:sz w:val="18"/>
              </w:rPr>
              <w:t>an</w:t>
            </w:r>
            <w:r w:rsidRPr="007F03DB">
              <w:rPr>
                <w:rFonts w:ascii="Arial" w:hAnsi="Arial" w:cs="Arial"/>
                <w:spacing w:val="-2"/>
                <w:sz w:val="18"/>
              </w:rPr>
              <w:t xml:space="preserve"> </w:t>
            </w:r>
            <w:r w:rsidRPr="007F03DB">
              <w:rPr>
                <w:rFonts w:ascii="Arial" w:hAnsi="Arial" w:cs="Arial"/>
                <w:sz w:val="18"/>
              </w:rPr>
              <w:t>asterisk</w:t>
            </w:r>
            <w:r w:rsidRPr="007F03DB">
              <w:rPr>
                <w:rFonts w:ascii="Arial" w:hAnsi="Arial" w:cs="Arial"/>
                <w:spacing w:val="-1"/>
                <w:sz w:val="18"/>
              </w:rPr>
              <w:t xml:space="preserve"> </w:t>
            </w:r>
            <w:r w:rsidRPr="007F03DB">
              <w:rPr>
                <w:rFonts w:ascii="Arial" w:hAnsi="Arial" w:cs="Arial"/>
                <w:sz w:val="18"/>
              </w:rPr>
              <w:t>are</w:t>
            </w:r>
            <w:r w:rsidRPr="007F03DB">
              <w:rPr>
                <w:rFonts w:ascii="Arial" w:hAnsi="Arial" w:cs="Arial"/>
                <w:spacing w:val="-3"/>
                <w:sz w:val="18"/>
              </w:rPr>
              <w:t xml:space="preserve"> </w:t>
            </w:r>
            <w:r w:rsidRPr="007F03DB">
              <w:rPr>
                <w:rFonts w:ascii="Arial" w:hAnsi="Arial" w:cs="Arial"/>
                <w:sz w:val="18"/>
              </w:rPr>
              <w:t>handed</w:t>
            </w:r>
            <w:r w:rsidRPr="007F03DB">
              <w:rPr>
                <w:rFonts w:ascii="Arial" w:hAnsi="Arial" w:cs="Arial"/>
                <w:spacing w:val="-1"/>
                <w:sz w:val="18"/>
              </w:rPr>
              <w:t xml:space="preserve"> </w:t>
            </w:r>
            <w:r w:rsidRPr="007F03DB">
              <w:rPr>
                <w:rFonts w:ascii="Arial" w:hAnsi="Arial" w:cs="Arial"/>
                <w:sz w:val="18"/>
              </w:rPr>
              <w:t>to</w:t>
            </w:r>
            <w:r w:rsidRPr="007F03DB">
              <w:rPr>
                <w:rFonts w:ascii="Arial" w:hAnsi="Arial" w:cs="Arial"/>
                <w:spacing w:val="-2"/>
                <w:sz w:val="18"/>
              </w:rPr>
              <w:t xml:space="preserve"> </w:t>
            </w:r>
            <w:r w:rsidRPr="007F03DB">
              <w:rPr>
                <w:rFonts w:ascii="Arial" w:hAnsi="Arial" w:cs="Arial"/>
                <w:sz w:val="18"/>
              </w:rPr>
              <w:t>the</w:t>
            </w:r>
            <w:r w:rsidRPr="007F03DB">
              <w:rPr>
                <w:rFonts w:ascii="Arial" w:hAnsi="Arial" w:cs="Arial"/>
                <w:spacing w:val="-2"/>
                <w:sz w:val="18"/>
              </w:rPr>
              <w:t xml:space="preserve"> </w:t>
            </w:r>
            <w:r w:rsidRPr="007F03DB">
              <w:rPr>
                <w:rFonts w:ascii="Arial" w:hAnsi="Arial" w:cs="Arial"/>
                <w:sz w:val="18"/>
              </w:rPr>
              <w:t>aircraft</w:t>
            </w:r>
            <w:r w:rsidRPr="007F03DB">
              <w:rPr>
                <w:rFonts w:ascii="Arial" w:hAnsi="Arial" w:cs="Arial"/>
                <w:spacing w:val="-2"/>
                <w:sz w:val="18"/>
              </w:rPr>
              <w:t xml:space="preserve"> </w:t>
            </w:r>
            <w:r w:rsidRPr="007F03DB">
              <w:rPr>
                <w:rFonts w:ascii="Arial" w:hAnsi="Arial" w:cs="Arial"/>
                <w:sz w:val="18"/>
              </w:rPr>
              <w:t>owner.</w:t>
            </w:r>
          </w:p>
        </w:tc>
        <w:tc>
          <w:tcPr>
            <w:tcW w:w="1980" w:type="dxa"/>
            <w:tcBorders>
              <w:top w:val="nil"/>
              <w:left w:val="nil"/>
            </w:tcBorders>
          </w:tcPr>
          <w:p w14:paraId="2BB6B631" w14:textId="77777777" w:rsidR="00BE332C" w:rsidRPr="007F03DB" w:rsidRDefault="00BE332C" w:rsidP="00B83CD5">
            <w:pPr>
              <w:pStyle w:val="TableParagraph"/>
              <w:ind w:left="0"/>
              <w:rPr>
                <w:rFonts w:ascii="Arial" w:hAnsi="Arial" w:cs="Arial"/>
                <w:sz w:val="18"/>
              </w:rPr>
            </w:pPr>
          </w:p>
        </w:tc>
      </w:tr>
      <w:tr w:rsidR="00BE332C" w:rsidRPr="007F03DB" w14:paraId="051D76A7" w14:textId="77777777" w:rsidTr="007F03DB">
        <w:trPr>
          <w:gridBefore w:val="1"/>
          <w:wBefore w:w="10" w:type="dxa"/>
          <w:trHeight w:val="815"/>
        </w:trPr>
        <w:tc>
          <w:tcPr>
            <w:tcW w:w="9115" w:type="dxa"/>
            <w:gridSpan w:val="3"/>
          </w:tcPr>
          <w:p w14:paraId="6F860FEA" w14:textId="77777777" w:rsidR="00BE332C" w:rsidRPr="007F03DB" w:rsidRDefault="00BE332C" w:rsidP="00B83CD5">
            <w:pPr>
              <w:pStyle w:val="TableParagraph"/>
              <w:spacing w:line="243" w:lineRule="exact"/>
              <w:ind w:left="107"/>
              <w:rPr>
                <w:rFonts w:ascii="Arial" w:hAnsi="Arial" w:cs="Arial"/>
                <w:sz w:val="18"/>
              </w:rPr>
            </w:pPr>
            <w:r w:rsidRPr="007F03DB">
              <w:rPr>
                <w:rFonts w:ascii="Arial" w:hAnsi="Arial" w:cs="Arial"/>
                <w:sz w:val="18"/>
              </w:rPr>
              <w:t>7.</w:t>
            </w:r>
            <w:r w:rsidRPr="007F03DB">
              <w:rPr>
                <w:rFonts w:ascii="Arial" w:hAnsi="Arial" w:cs="Arial"/>
                <w:spacing w:val="67"/>
                <w:sz w:val="18"/>
              </w:rPr>
              <w:t xml:space="preserve"> </w:t>
            </w:r>
            <w:r w:rsidRPr="007F03DB">
              <w:rPr>
                <w:rFonts w:ascii="Arial" w:hAnsi="Arial" w:cs="Arial"/>
                <w:sz w:val="18"/>
              </w:rPr>
              <w:t>Instructions</w:t>
            </w:r>
            <w:r w:rsidRPr="007F03DB">
              <w:rPr>
                <w:rFonts w:ascii="Arial" w:hAnsi="Arial" w:cs="Arial"/>
                <w:spacing w:val="-4"/>
                <w:sz w:val="18"/>
              </w:rPr>
              <w:t xml:space="preserve"> </w:t>
            </w:r>
            <w:r w:rsidRPr="007F03DB">
              <w:rPr>
                <w:rFonts w:ascii="Arial" w:hAnsi="Arial" w:cs="Arial"/>
                <w:sz w:val="18"/>
              </w:rPr>
              <w:t>for</w:t>
            </w:r>
            <w:r w:rsidRPr="007F03DB">
              <w:rPr>
                <w:rFonts w:ascii="Arial" w:hAnsi="Arial" w:cs="Arial"/>
                <w:spacing w:val="-1"/>
                <w:sz w:val="18"/>
              </w:rPr>
              <w:t xml:space="preserve"> </w:t>
            </w:r>
            <w:r w:rsidRPr="007F03DB">
              <w:rPr>
                <w:rFonts w:ascii="Arial" w:hAnsi="Arial" w:cs="Arial"/>
                <w:sz w:val="18"/>
              </w:rPr>
              <w:t>continuing</w:t>
            </w:r>
            <w:r w:rsidRPr="007F03DB">
              <w:rPr>
                <w:rFonts w:ascii="Arial" w:hAnsi="Arial" w:cs="Arial"/>
                <w:spacing w:val="-3"/>
                <w:sz w:val="18"/>
              </w:rPr>
              <w:t xml:space="preserve"> </w:t>
            </w:r>
            <w:r w:rsidRPr="007F03DB">
              <w:rPr>
                <w:rFonts w:ascii="Arial" w:hAnsi="Arial" w:cs="Arial"/>
                <w:sz w:val="18"/>
              </w:rPr>
              <w:t>airworthiness.</w:t>
            </w:r>
            <w:r w:rsidRPr="007F03DB">
              <w:rPr>
                <w:rFonts w:ascii="Arial" w:hAnsi="Arial" w:cs="Arial"/>
                <w:spacing w:val="-1"/>
                <w:sz w:val="18"/>
              </w:rPr>
              <w:t xml:space="preserve"> </w:t>
            </w:r>
            <w:r w:rsidRPr="007F03DB">
              <w:rPr>
                <w:rFonts w:ascii="Arial" w:hAnsi="Arial" w:cs="Arial"/>
                <w:sz w:val="18"/>
              </w:rPr>
              <w:t>Copies</w:t>
            </w:r>
            <w:r w:rsidRPr="007F03DB">
              <w:rPr>
                <w:rFonts w:ascii="Arial" w:hAnsi="Arial" w:cs="Arial"/>
                <w:spacing w:val="-3"/>
                <w:sz w:val="18"/>
              </w:rPr>
              <w:t xml:space="preserve"> </w:t>
            </w:r>
            <w:r w:rsidRPr="007F03DB">
              <w:rPr>
                <w:rFonts w:ascii="Arial" w:hAnsi="Arial" w:cs="Arial"/>
                <w:sz w:val="18"/>
              </w:rPr>
              <w:t>of</w:t>
            </w:r>
            <w:r w:rsidRPr="007F03DB">
              <w:rPr>
                <w:rFonts w:ascii="Arial" w:hAnsi="Arial" w:cs="Arial"/>
                <w:spacing w:val="-4"/>
                <w:sz w:val="18"/>
              </w:rPr>
              <w:t xml:space="preserve"> </w:t>
            </w:r>
            <w:r w:rsidRPr="007F03DB">
              <w:rPr>
                <w:rFonts w:ascii="Arial" w:hAnsi="Arial" w:cs="Arial"/>
                <w:sz w:val="18"/>
              </w:rPr>
              <w:t>these manuals</w:t>
            </w:r>
            <w:r w:rsidRPr="007F03DB">
              <w:rPr>
                <w:rFonts w:ascii="Arial" w:hAnsi="Arial" w:cs="Arial"/>
                <w:spacing w:val="-3"/>
                <w:sz w:val="18"/>
              </w:rPr>
              <w:t xml:space="preserve"> </w:t>
            </w:r>
            <w:r w:rsidRPr="007F03DB">
              <w:rPr>
                <w:rFonts w:ascii="Arial" w:hAnsi="Arial" w:cs="Arial"/>
                <w:sz w:val="18"/>
              </w:rPr>
              <w:t>are</w:t>
            </w:r>
            <w:r w:rsidRPr="007F03DB">
              <w:rPr>
                <w:rFonts w:ascii="Arial" w:hAnsi="Arial" w:cs="Arial"/>
                <w:spacing w:val="-2"/>
                <w:sz w:val="18"/>
              </w:rPr>
              <w:t xml:space="preserve"> </w:t>
            </w:r>
            <w:r w:rsidRPr="007F03DB">
              <w:rPr>
                <w:rFonts w:ascii="Arial" w:hAnsi="Arial" w:cs="Arial"/>
                <w:sz w:val="18"/>
              </w:rPr>
              <w:t>provided</w:t>
            </w:r>
            <w:r w:rsidRPr="007F03DB">
              <w:rPr>
                <w:rFonts w:ascii="Arial" w:hAnsi="Arial" w:cs="Arial"/>
                <w:spacing w:val="-1"/>
                <w:sz w:val="18"/>
              </w:rPr>
              <w:t xml:space="preserve"> </w:t>
            </w:r>
            <w:r w:rsidRPr="007F03DB">
              <w:rPr>
                <w:rFonts w:ascii="Arial" w:hAnsi="Arial" w:cs="Arial"/>
                <w:sz w:val="18"/>
              </w:rPr>
              <w:t>to</w:t>
            </w:r>
            <w:r w:rsidRPr="007F03DB">
              <w:rPr>
                <w:rFonts w:ascii="Arial" w:hAnsi="Arial" w:cs="Arial"/>
                <w:spacing w:val="-2"/>
                <w:sz w:val="18"/>
              </w:rPr>
              <w:t xml:space="preserve"> </w:t>
            </w:r>
            <w:r w:rsidRPr="007F03DB">
              <w:rPr>
                <w:rFonts w:ascii="Arial" w:hAnsi="Arial" w:cs="Arial"/>
                <w:sz w:val="18"/>
              </w:rPr>
              <w:t>the</w:t>
            </w:r>
            <w:r w:rsidRPr="007F03DB">
              <w:rPr>
                <w:rFonts w:ascii="Arial" w:hAnsi="Arial" w:cs="Arial"/>
                <w:spacing w:val="-2"/>
                <w:sz w:val="18"/>
              </w:rPr>
              <w:t xml:space="preserve"> </w:t>
            </w:r>
            <w:r w:rsidRPr="007F03DB">
              <w:rPr>
                <w:rFonts w:ascii="Arial" w:hAnsi="Arial" w:cs="Arial"/>
                <w:sz w:val="18"/>
              </w:rPr>
              <w:t>aircraft</w:t>
            </w:r>
            <w:r w:rsidRPr="007F03DB">
              <w:rPr>
                <w:rFonts w:ascii="Arial" w:hAnsi="Arial" w:cs="Arial"/>
                <w:spacing w:val="-2"/>
                <w:sz w:val="18"/>
              </w:rPr>
              <w:t xml:space="preserve"> </w:t>
            </w:r>
            <w:r w:rsidRPr="007F03DB">
              <w:rPr>
                <w:rFonts w:ascii="Arial" w:hAnsi="Arial" w:cs="Arial"/>
                <w:sz w:val="18"/>
              </w:rPr>
              <w:t>owner:</w:t>
            </w:r>
          </w:p>
        </w:tc>
      </w:tr>
      <w:tr w:rsidR="00BE332C" w:rsidRPr="007F03DB" w14:paraId="5F241ACD" w14:textId="77777777" w:rsidTr="007F03DB">
        <w:trPr>
          <w:gridBefore w:val="1"/>
          <w:wBefore w:w="10" w:type="dxa"/>
          <w:trHeight w:val="784"/>
        </w:trPr>
        <w:tc>
          <w:tcPr>
            <w:tcW w:w="9115" w:type="dxa"/>
            <w:gridSpan w:val="3"/>
            <w:tcBorders>
              <w:bottom w:val="single" w:sz="6" w:space="0" w:color="000000"/>
            </w:tcBorders>
          </w:tcPr>
          <w:p w14:paraId="565D94D9" w14:textId="77777777" w:rsidR="00BE332C" w:rsidRPr="007F03DB" w:rsidRDefault="00BE332C" w:rsidP="00B83CD5">
            <w:pPr>
              <w:pStyle w:val="TableParagraph"/>
              <w:spacing w:before="1"/>
              <w:ind w:left="107"/>
              <w:rPr>
                <w:rFonts w:ascii="Arial" w:hAnsi="Arial" w:cs="Arial"/>
                <w:sz w:val="18"/>
              </w:rPr>
            </w:pPr>
            <w:r w:rsidRPr="007F03DB">
              <w:rPr>
                <w:rFonts w:ascii="Arial" w:hAnsi="Arial" w:cs="Arial"/>
                <w:sz w:val="18"/>
              </w:rPr>
              <w:t>8.</w:t>
            </w:r>
            <w:r w:rsidRPr="007F03DB">
              <w:rPr>
                <w:rFonts w:ascii="Arial" w:hAnsi="Arial" w:cs="Arial"/>
                <w:spacing w:val="65"/>
                <w:sz w:val="18"/>
              </w:rPr>
              <w:t xml:space="preserve"> </w:t>
            </w:r>
            <w:r w:rsidRPr="007F03DB">
              <w:rPr>
                <w:rFonts w:ascii="Arial" w:hAnsi="Arial" w:cs="Arial"/>
                <w:sz w:val="18"/>
              </w:rPr>
              <w:t>Other</w:t>
            </w:r>
            <w:r w:rsidRPr="007F03DB">
              <w:rPr>
                <w:rFonts w:ascii="Arial" w:hAnsi="Arial" w:cs="Arial"/>
                <w:spacing w:val="-2"/>
                <w:sz w:val="18"/>
              </w:rPr>
              <w:t xml:space="preserve"> </w:t>
            </w:r>
            <w:r w:rsidRPr="007F03DB">
              <w:rPr>
                <w:rFonts w:ascii="Arial" w:hAnsi="Arial" w:cs="Arial"/>
                <w:sz w:val="18"/>
              </w:rPr>
              <w:t>information:</w:t>
            </w:r>
          </w:p>
        </w:tc>
      </w:tr>
      <w:tr w:rsidR="00BE332C" w:rsidRPr="007F03DB" w14:paraId="363F5367" w14:textId="77777777" w:rsidTr="007F03DB">
        <w:trPr>
          <w:gridBefore w:val="1"/>
          <w:wBefore w:w="10" w:type="dxa"/>
          <w:trHeight w:val="484"/>
        </w:trPr>
        <w:tc>
          <w:tcPr>
            <w:tcW w:w="9115" w:type="dxa"/>
            <w:gridSpan w:val="3"/>
            <w:tcBorders>
              <w:top w:val="single" w:sz="6" w:space="0" w:color="000000"/>
            </w:tcBorders>
          </w:tcPr>
          <w:p w14:paraId="07251FBD" w14:textId="77777777" w:rsidR="00BE332C" w:rsidRPr="007F03DB" w:rsidRDefault="007F03DB" w:rsidP="007F03DB">
            <w:pPr>
              <w:pStyle w:val="TableParagraph"/>
              <w:tabs>
                <w:tab w:val="left" w:pos="844"/>
              </w:tabs>
              <w:spacing w:line="241" w:lineRule="exact"/>
              <w:ind w:left="749" w:hanging="642"/>
              <w:rPr>
                <w:rFonts w:ascii="Arial" w:hAnsi="Arial" w:cs="Arial"/>
                <w:sz w:val="18"/>
              </w:rPr>
            </w:pPr>
            <w:r>
              <w:rPr>
                <w:rFonts w:ascii="Arial" w:hAnsi="Arial" w:cs="Arial"/>
                <w:sz w:val="18"/>
              </w:rPr>
              <w:lastRenderedPageBreak/>
              <w:t xml:space="preserve">9a.  </w:t>
            </w:r>
            <w:r w:rsidRPr="007F03DB">
              <w:rPr>
                <w:rFonts w:ascii="Arial" w:hAnsi="Arial" w:cs="Arial"/>
                <w:sz w:val="36"/>
                <w:szCs w:val="36"/>
              </w:rPr>
              <w:t>□</w:t>
            </w:r>
            <w:r>
              <w:rPr>
                <w:rFonts w:ascii="Arial" w:hAnsi="Arial" w:cs="Arial"/>
                <w:sz w:val="36"/>
                <w:szCs w:val="36"/>
              </w:rPr>
              <w:t xml:space="preserve"> </w:t>
            </w:r>
            <w:r w:rsidR="00BE332C" w:rsidRPr="007F03DB">
              <w:rPr>
                <w:rFonts w:ascii="Arial" w:hAnsi="Arial" w:cs="Arial"/>
                <w:sz w:val="18"/>
              </w:rPr>
              <w:t>This</w:t>
            </w:r>
            <w:r w:rsidR="00BE332C" w:rsidRPr="007F03DB">
              <w:rPr>
                <w:rFonts w:ascii="Arial" w:hAnsi="Arial" w:cs="Arial"/>
                <w:spacing w:val="-4"/>
                <w:sz w:val="18"/>
              </w:rPr>
              <w:t xml:space="preserve"> </w:t>
            </w:r>
            <w:r w:rsidR="00BE332C" w:rsidRPr="007F03DB">
              <w:rPr>
                <w:rFonts w:ascii="Arial" w:hAnsi="Arial" w:cs="Arial"/>
                <w:sz w:val="18"/>
              </w:rPr>
              <w:t>SC</w:t>
            </w:r>
            <w:r w:rsidR="00BE332C" w:rsidRPr="007F03DB">
              <w:rPr>
                <w:rFonts w:ascii="Arial" w:hAnsi="Arial" w:cs="Arial"/>
                <w:spacing w:val="-3"/>
                <w:sz w:val="18"/>
              </w:rPr>
              <w:t xml:space="preserve"> </w:t>
            </w:r>
            <w:r w:rsidR="00BE332C" w:rsidRPr="007F03DB">
              <w:rPr>
                <w:rFonts w:ascii="Arial" w:hAnsi="Arial" w:cs="Arial"/>
                <w:sz w:val="18"/>
              </w:rPr>
              <w:t>complies</w:t>
            </w:r>
            <w:r w:rsidR="00BE332C" w:rsidRPr="007F03DB">
              <w:rPr>
                <w:rFonts w:ascii="Arial" w:hAnsi="Arial" w:cs="Arial"/>
                <w:spacing w:val="-2"/>
                <w:sz w:val="18"/>
              </w:rPr>
              <w:t xml:space="preserve"> </w:t>
            </w:r>
            <w:r w:rsidR="00BE332C" w:rsidRPr="007F03DB">
              <w:rPr>
                <w:rFonts w:ascii="Arial" w:hAnsi="Arial" w:cs="Arial"/>
                <w:sz w:val="18"/>
              </w:rPr>
              <w:t>with</w:t>
            </w:r>
            <w:r w:rsidR="00BE332C" w:rsidRPr="007F03DB">
              <w:rPr>
                <w:rFonts w:ascii="Arial" w:hAnsi="Arial" w:cs="Arial"/>
                <w:spacing w:val="-2"/>
                <w:sz w:val="18"/>
              </w:rPr>
              <w:t xml:space="preserve"> </w:t>
            </w:r>
            <w:r w:rsidR="00BE332C" w:rsidRPr="007F03DB">
              <w:rPr>
                <w:rFonts w:ascii="Arial" w:hAnsi="Arial" w:cs="Arial"/>
                <w:sz w:val="18"/>
              </w:rPr>
              <w:t>the</w:t>
            </w:r>
            <w:r w:rsidR="00BE332C" w:rsidRPr="007F03DB">
              <w:rPr>
                <w:rFonts w:ascii="Arial" w:hAnsi="Arial" w:cs="Arial"/>
                <w:spacing w:val="-3"/>
                <w:sz w:val="18"/>
              </w:rPr>
              <w:t xml:space="preserve"> </w:t>
            </w:r>
            <w:r w:rsidR="00BE332C" w:rsidRPr="007F03DB">
              <w:rPr>
                <w:rFonts w:ascii="Arial" w:hAnsi="Arial" w:cs="Arial"/>
                <w:sz w:val="18"/>
              </w:rPr>
              <w:t>criteria</w:t>
            </w:r>
            <w:r w:rsidR="00BE332C" w:rsidRPr="007F03DB">
              <w:rPr>
                <w:rFonts w:ascii="Arial" w:hAnsi="Arial" w:cs="Arial"/>
                <w:spacing w:val="-2"/>
                <w:sz w:val="18"/>
              </w:rPr>
              <w:t xml:space="preserve"> </w:t>
            </w:r>
            <w:r w:rsidR="00BE332C" w:rsidRPr="007F03DB">
              <w:rPr>
                <w:rFonts w:ascii="Arial" w:hAnsi="Arial" w:cs="Arial"/>
                <w:sz w:val="18"/>
              </w:rPr>
              <w:t>established</w:t>
            </w:r>
            <w:r w:rsidR="00BE332C" w:rsidRPr="007F03DB">
              <w:rPr>
                <w:rFonts w:ascii="Arial" w:hAnsi="Arial" w:cs="Arial"/>
                <w:spacing w:val="-2"/>
                <w:sz w:val="18"/>
              </w:rPr>
              <w:t xml:space="preserve"> </w:t>
            </w:r>
            <w:r w:rsidR="00BE332C" w:rsidRPr="007F03DB">
              <w:rPr>
                <w:rFonts w:ascii="Arial" w:hAnsi="Arial" w:cs="Arial"/>
                <w:sz w:val="18"/>
              </w:rPr>
              <w:t>in</w:t>
            </w:r>
            <w:r w:rsidR="00BE332C" w:rsidRPr="007F03DB">
              <w:rPr>
                <w:rFonts w:ascii="Arial" w:hAnsi="Arial" w:cs="Arial"/>
                <w:spacing w:val="-1"/>
                <w:sz w:val="18"/>
              </w:rPr>
              <w:t xml:space="preserve"> </w:t>
            </w:r>
            <w:r w:rsidR="00BE332C" w:rsidRPr="007F03DB">
              <w:rPr>
                <w:rFonts w:ascii="Arial" w:hAnsi="Arial" w:cs="Arial"/>
                <w:sz w:val="18"/>
              </w:rPr>
              <w:t>21.A.90B(a)</w:t>
            </w:r>
            <w:r w:rsidR="00BE332C" w:rsidRPr="007F03DB">
              <w:rPr>
                <w:rFonts w:ascii="Arial" w:hAnsi="Arial" w:cs="Arial"/>
                <w:spacing w:val="-3"/>
                <w:sz w:val="18"/>
              </w:rPr>
              <w:t xml:space="preserve"> </w:t>
            </w:r>
            <w:r w:rsidR="00BE332C" w:rsidRPr="007F03DB">
              <w:rPr>
                <w:rFonts w:ascii="Arial" w:hAnsi="Arial" w:cs="Arial"/>
                <w:sz w:val="18"/>
              </w:rPr>
              <w:t>and</w:t>
            </w:r>
            <w:r w:rsidR="00BE332C" w:rsidRPr="007F03DB">
              <w:rPr>
                <w:rFonts w:ascii="Arial" w:hAnsi="Arial" w:cs="Arial"/>
                <w:spacing w:val="-2"/>
                <w:sz w:val="18"/>
              </w:rPr>
              <w:t xml:space="preserve"> </w:t>
            </w:r>
            <w:r w:rsidR="00BE332C" w:rsidRPr="007F03DB">
              <w:rPr>
                <w:rFonts w:ascii="Arial" w:hAnsi="Arial" w:cs="Arial"/>
                <w:sz w:val="18"/>
              </w:rPr>
              <w:t>with</w:t>
            </w:r>
            <w:r w:rsidR="00BE332C" w:rsidRPr="007F03DB">
              <w:rPr>
                <w:rFonts w:ascii="Arial" w:hAnsi="Arial" w:cs="Arial"/>
                <w:spacing w:val="-2"/>
                <w:sz w:val="18"/>
              </w:rPr>
              <w:t xml:space="preserve"> </w:t>
            </w:r>
            <w:r w:rsidR="00BE332C" w:rsidRPr="007F03DB">
              <w:rPr>
                <w:rFonts w:ascii="Arial" w:hAnsi="Arial" w:cs="Arial"/>
                <w:sz w:val="18"/>
              </w:rPr>
              <w:t>the</w:t>
            </w:r>
            <w:r w:rsidR="00BE332C" w:rsidRPr="007F03DB">
              <w:rPr>
                <w:rFonts w:ascii="Arial" w:hAnsi="Arial" w:cs="Arial"/>
                <w:spacing w:val="-3"/>
                <w:sz w:val="18"/>
              </w:rPr>
              <w:t xml:space="preserve"> </w:t>
            </w:r>
            <w:r w:rsidR="00BE332C" w:rsidRPr="007F03DB">
              <w:rPr>
                <w:rFonts w:ascii="Arial" w:hAnsi="Arial" w:cs="Arial"/>
                <w:sz w:val="18"/>
              </w:rPr>
              <w:t>relevant</w:t>
            </w:r>
            <w:r w:rsidR="00BE332C" w:rsidRPr="007F03DB">
              <w:rPr>
                <w:rFonts w:ascii="Arial" w:hAnsi="Arial" w:cs="Arial"/>
                <w:spacing w:val="-2"/>
                <w:sz w:val="18"/>
              </w:rPr>
              <w:t xml:space="preserve"> </w:t>
            </w:r>
            <w:r w:rsidR="00BE332C" w:rsidRPr="007F03DB">
              <w:rPr>
                <w:rFonts w:ascii="Arial" w:hAnsi="Arial" w:cs="Arial"/>
                <w:sz w:val="18"/>
              </w:rPr>
              <w:t>paragraphs</w:t>
            </w:r>
            <w:r w:rsidR="00BE332C" w:rsidRPr="007F03DB">
              <w:rPr>
                <w:rFonts w:ascii="Arial" w:hAnsi="Arial" w:cs="Arial"/>
                <w:spacing w:val="-4"/>
                <w:sz w:val="18"/>
              </w:rPr>
              <w:t xml:space="preserve"> </w:t>
            </w:r>
            <w:r w:rsidR="00BE332C" w:rsidRPr="007F03DB">
              <w:rPr>
                <w:rFonts w:ascii="Arial" w:hAnsi="Arial" w:cs="Arial"/>
                <w:sz w:val="18"/>
              </w:rPr>
              <w:t>of</w:t>
            </w:r>
            <w:r>
              <w:rPr>
                <w:rFonts w:ascii="Arial" w:hAnsi="Arial" w:cs="Arial"/>
                <w:sz w:val="18"/>
              </w:rPr>
              <w:t xml:space="preserve">                 </w:t>
            </w:r>
            <w:r w:rsidR="00BE332C" w:rsidRPr="007F03DB">
              <w:rPr>
                <w:rFonts w:ascii="Arial" w:hAnsi="Arial" w:cs="Arial"/>
                <w:sz w:val="18"/>
              </w:rPr>
              <w:t>CS-STAN.</w:t>
            </w:r>
          </w:p>
        </w:tc>
      </w:tr>
      <w:tr w:rsidR="00BE332C" w:rsidRPr="007F03DB" w14:paraId="6A4F7B5F" w14:textId="77777777" w:rsidTr="007F03DB">
        <w:trPr>
          <w:gridBefore w:val="1"/>
          <w:wBefore w:w="10" w:type="dxa"/>
          <w:trHeight w:val="508"/>
        </w:trPr>
        <w:tc>
          <w:tcPr>
            <w:tcW w:w="9115" w:type="dxa"/>
            <w:gridSpan w:val="3"/>
          </w:tcPr>
          <w:p w14:paraId="366F63AC" w14:textId="77777777" w:rsidR="00BE332C" w:rsidRPr="007F03DB" w:rsidRDefault="00BE332C" w:rsidP="00B83CD5">
            <w:pPr>
              <w:pStyle w:val="TableParagraph"/>
              <w:tabs>
                <w:tab w:val="left" w:pos="844"/>
              </w:tabs>
              <w:ind w:left="844" w:right="305" w:hanging="737"/>
              <w:rPr>
                <w:rFonts w:ascii="Arial" w:hAnsi="Arial" w:cs="Arial"/>
                <w:sz w:val="18"/>
              </w:rPr>
            </w:pPr>
            <w:r w:rsidRPr="007F03DB">
              <w:rPr>
                <w:rFonts w:ascii="Arial" w:hAnsi="Arial" w:cs="Arial"/>
                <w:sz w:val="18"/>
              </w:rPr>
              <w:t>9b.</w:t>
            </w:r>
            <w:r w:rsidR="007F03DB">
              <w:rPr>
                <w:rFonts w:ascii="Arial" w:hAnsi="Arial" w:cs="Arial"/>
                <w:sz w:val="18"/>
              </w:rPr>
              <w:t xml:space="preserve">  </w:t>
            </w:r>
            <w:r w:rsidR="007F03DB" w:rsidRPr="007F03DB">
              <w:rPr>
                <w:rFonts w:ascii="Arial" w:hAnsi="Arial" w:cs="Arial"/>
                <w:sz w:val="36"/>
                <w:szCs w:val="36"/>
              </w:rPr>
              <w:t>□</w:t>
            </w:r>
            <w:r w:rsidRPr="007F03DB">
              <w:rPr>
                <w:rFonts w:ascii="Arial" w:hAnsi="Arial" w:cs="Arial"/>
                <w:sz w:val="18"/>
              </w:rPr>
              <w:tab/>
              <w:t>This</w:t>
            </w:r>
            <w:r w:rsidRPr="007F03DB">
              <w:rPr>
                <w:rFonts w:ascii="Arial" w:hAnsi="Arial" w:cs="Arial"/>
                <w:spacing w:val="-4"/>
                <w:sz w:val="18"/>
              </w:rPr>
              <w:t xml:space="preserve"> </w:t>
            </w:r>
            <w:r w:rsidRPr="007F03DB">
              <w:rPr>
                <w:rFonts w:ascii="Arial" w:hAnsi="Arial" w:cs="Arial"/>
                <w:sz w:val="18"/>
              </w:rPr>
              <w:t>SR</w:t>
            </w:r>
            <w:r w:rsidRPr="007F03DB">
              <w:rPr>
                <w:rFonts w:ascii="Arial" w:hAnsi="Arial" w:cs="Arial"/>
                <w:spacing w:val="-3"/>
                <w:sz w:val="18"/>
              </w:rPr>
              <w:t xml:space="preserve"> </w:t>
            </w:r>
            <w:r w:rsidRPr="007F03DB">
              <w:rPr>
                <w:rFonts w:ascii="Arial" w:hAnsi="Arial" w:cs="Arial"/>
                <w:sz w:val="18"/>
              </w:rPr>
              <w:t>complies</w:t>
            </w:r>
            <w:r w:rsidRPr="007F03DB">
              <w:rPr>
                <w:rFonts w:ascii="Arial" w:hAnsi="Arial" w:cs="Arial"/>
                <w:spacing w:val="-1"/>
                <w:sz w:val="18"/>
              </w:rPr>
              <w:t xml:space="preserve"> </w:t>
            </w:r>
            <w:r w:rsidRPr="007F03DB">
              <w:rPr>
                <w:rFonts w:ascii="Arial" w:hAnsi="Arial" w:cs="Arial"/>
                <w:sz w:val="18"/>
              </w:rPr>
              <w:t>with</w:t>
            </w:r>
            <w:r w:rsidRPr="007F03DB">
              <w:rPr>
                <w:rFonts w:ascii="Arial" w:hAnsi="Arial" w:cs="Arial"/>
                <w:spacing w:val="-2"/>
                <w:sz w:val="18"/>
              </w:rPr>
              <w:t xml:space="preserve"> </w:t>
            </w:r>
            <w:r w:rsidRPr="007F03DB">
              <w:rPr>
                <w:rFonts w:ascii="Arial" w:hAnsi="Arial" w:cs="Arial"/>
                <w:sz w:val="18"/>
              </w:rPr>
              <w:t>the</w:t>
            </w:r>
            <w:r w:rsidRPr="007F03DB">
              <w:rPr>
                <w:rFonts w:ascii="Arial" w:hAnsi="Arial" w:cs="Arial"/>
                <w:spacing w:val="-3"/>
                <w:sz w:val="18"/>
              </w:rPr>
              <w:t xml:space="preserve"> </w:t>
            </w:r>
            <w:r w:rsidRPr="007F03DB">
              <w:rPr>
                <w:rFonts w:ascii="Arial" w:hAnsi="Arial" w:cs="Arial"/>
                <w:sz w:val="18"/>
              </w:rPr>
              <w:t>criteria</w:t>
            </w:r>
            <w:r w:rsidRPr="007F03DB">
              <w:rPr>
                <w:rFonts w:ascii="Arial" w:hAnsi="Arial" w:cs="Arial"/>
                <w:spacing w:val="-2"/>
                <w:sz w:val="18"/>
              </w:rPr>
              <w:t xml:space="preserve"> </w:t>
            </w:r>
            <w:r w:rsidRPr="007F03DB">
              <w:rPr>
                <w:rFonts w:ascii="Arial" w:hAnsi="Arial" w:cs="Arial"/>
                <w:sz w:val="18"/>
              </w:rPr>
              <w:t>established</w:t>
            </w:r>
            <w:r w:rsidRPr="007F03DB">
              <w:rPr>
                <w:rFonts w:ascii="Arial" w:hAnsi="Arial" w:cs="Arial"/>
                <w:spacing w:val="-2"/>
                <w:sz w:val="18"/>
              </w:rPr>
              <w:t xml:space="preserve"> </w:t>
            </w:r>
            <w:r w:rsidRPr="007F03DB">
              <w:rPr>
                <w:rFonts w:ascii="Arial" w:hAnsi="Arial" w:cs="Arial"/>
                <w:sz w:val="18"/>
              </w:rPr>
              <w:t>in</w:t>
            </w:r>
            <w:r w:rsidRPr="007F03DB">
              <w:rPr>
                <w:rFonts w:ascii="Arial" w:hAnsi="Arial" w:cs="Arial"/>
                <w:spacing w:val="-1"/>
                <w:sz w:val="18"/>
              </w:rPr>
              <w:t xml:space="preserve"> </w:t>
            </w:r>
            <w:r w:rsidRPr="007F03DB">
              <w:rPr>
                <w:rFonts w:ascii="Arial" w:hAnsi="Arial" w:cs="Arial"/>
                <w:sz w:val="18"/>
              </w:rPr>
              <w:t>21.A.431B(a)</w:t>
            </w:r>
            <w:r w:rsidRPr="007F03DB">
              <w:rPr>
                <w:rFonts w:ascii="Arial" w:hAnsi="Arial" w:cs="Arial"/>
                <w:spacing w:val="-2"/>
                <w:sz w:val="18"/>
              </w:rPr>
              <w:t xml:space="preserve"> </w:t>
            </w:r>
            <w:r w:rsidRPr="007F03DB">
              <w:rPr>
                <w:rFonts w:ascii="Arial" w:hAnsi="Arial" w:cs="Arial"/>
                <w:sz w:val="18"/>
              </w:rPr>
              <w:t>and</w:t>
            </w:r>
            <w:r w:rsidRPr="007F03DB">
              <w:rPr>
                <w:rFonts w:ascii="Arial" w:hAnsi="Arial" w:cs="Arial"/>
                <w:spacing w:val="-2"/>
                <w:sz w:val="18"/>
              </w:rPr>
              <w:t xml:space="preserve"> </w:t>
            </w:r>
            <w:r w:rsidRPr="007F03DB">
              <w:rPr>
                <w:rFonts w:ascii="Arial" w:hAnsi="Arial" w:cs="Arial"/>
                <w:sz w:val="18"/>
              </w:rPr>
              <w:t>with</w:t>
            </w:r>
            <w:r w:rsidRPr="007F03DB">
              <w:rPr>
                <w:rFonts w:ascii="Arial" w:hAnsi="Arial" w:cs="Arial"/>
                <w:spacing w:val="-2"/>
                <w:sz w:val="18"/>
              </w:rPr>
              <w:t xml:space="preserve"> </w:t>
            </w:r>
            <w:r w:rsidRPr="007F03DB">
              <w:rPr>
                <w:rFonts w:ascii="Arial" w:hAnsi="Arial" w:cs="Arial"/>
                <w:sz w:val="18"/>
              </w:rPr>
              <w:t>the</w:t>
            </w:r>
            <w:r w:rsidRPr="007F03DB">
              <w:rPr>
                <w:rFonts w:ascii="Arial" w:hAnsi="Arial" w:cs="Arial"/>
                <w:spacing w:val="-2"/>
                <w:sz w:val="18"/>
              </w:rPr>
              <w:t xml:space="preserve"> </w:t>
            </w:r>
            <w:r w:rsidRPr="007F03DB">
              <w:rPr>
                <w:rFonts w:ascii="Arial" w:hAnsi="Arial" w:cs="Arial"/>
                <w:sz w:val="18"/>
              </w:rPr>
              <w:t>relevant</w:t>
            </w:r>
            <w:r w:rsidRPr="007F03DB">
              <w:rPr>
                <w:rFonts w:ascii="Arial" w:hAnsi="Arial" w:cs="Arial"/>
                <w:spacing w:val="-2"/>
                <w:sz w:val="18"/>
              </w:rPr>
              <w:t xml:space="preserve"> </w:t>
            </w:r>
            <w:r w:rsidRPr="007F03DB">
              <w:rPr>
                <w:rFonts w:ascii="Arial" w:hAnsi="Arial" w:cs="Arial"/>
                <w:sz w:val="18"/>
              </w:rPr>
              <w:t>paragraphs</w:t>
            </w:r>
            <w:r w:rsidRPr="007F03DB">
              <w:rPr>
                <w:rFonts w:ascii="Arial" w:hAnsi="Arial" w:cs="Arial"/>
                <w:spacing w:val="-4"/>
                <w:sz w:val="18"/>
              </w:rPr>
              <w:t xml:space="preserve"> </w:t>
            </w:r>
            <w:r w:rsidRPr="007F03DB">
              <w:rPr>
                <w:rFonts w:ascii="Arial" w:hAnsi="Arial" w:cs="Arial"/>
                <w:sz w:val="18"/>
              </w:rPr>
              <w:t>of</w:t>
            </w:r>
            <w:r w:rsidRPr="007F03DB">
              <w:rPr>
                <w:rFonts w:ascii="Arial" w:hAnsi="Arial" w:cs="Arial"/>
                <w:spacing w:val="-42"/>
                <w:sz w:val="18"/>
              </w:rPr>
              <w:t xml:space="preserve"> </w:t>
            </w:r>
            <w:r w:rsidRPr="007F03DB">
              <w:rPr>
                <w:rFonts w:ascii="Arial" w:hAnsi="Arial" w:cs="Arial"/>
                <w:sz w:val="18"/>
              </w:rPr>
              <w:t>CS-STAN.</w:t>
            </w:r>
          </w:p>
        </w:tc>
      </w:tr>
      <w:tr w:rsidR="00BE332C" w:rsidRPr="007F03DB" w14:paraId="672C2C96" w14:textId="77777777" w:rsidTr="007F03DB">
        <w:trPr>
          <w:trHeight w:val="1034"/>
        </w:trPr>
        <w:tc>
          <w:tcPr>
            <w:tcW w:w="3541" w:type="dxa"/>
            <w:gridSpan w:val="2"/>
          </w:tcPr>
          <w:p w14:paraId="063CED11" w14:textId="77777777" w:rsidR="00BE332C" w:rsidRPr="007F03DB" w:rsidRDefault="00BE332C" w:rsidP="00B83CD5">
            <w:pPr>
              <w:pStyle w:val="TableParagraph"/>
              <w:spacing w:line="244" w:lineRule="exact"/>
              <w:ind w:left="107"/>
              <w:rPr>
                <w:rFonts w:ascii="Arial" w:hAnsi="Arial" w:cs="Arial"/>
                <w:sz w:val="18"/>
              </w:rPr>
            </w:pPr>
            <w:r w:rsidRPr="007F03DB">
              <w:rPr>
                <w:rFonts w:ascii="Arial" w:hAnsi="Arial" w:cs="Arial"/>
                <w:sz w:val="18"/>
              </w:rPr>
              <w:t>10.</w:t>
            </w:r>
            <w:r w:rsidRPr="007F03DB">
              <w:rPr>
                <w:rFonts w:ascii="Arial" w:hAnsi="Arial" w:cs="Arial"/>
                <w:spacing w:val="10"/>
                <w:sz w:val="18"/>
              </w:rPr>
              <w:t xml:space="preserve"> </w:t>
            </w:r>
            <w:r w:rsidRPr="007F03DB">
              <w:rPr>
                <w:rFonts w:ascii="Arial" w:hAnsi="Arial" w:cs="Arial"/>
                <w:sz w:val="18"/>
              </w:rPr>
              <w:t>Date</w:t>
            </w:r>
            <w:r w:rsidRPr="007F03DB">
              <w:rPr>
                <w:rFonts w:ascii="Arial" w:hAnsi="Arial" w:cs="Arial"/>
                <w:spacing w:val="-4"/>
                <w:sz w:val="18"/>
              </w:rPr>
              <w:t xml:space="preserve"> </w:t>
            </w:r>
            <w:r w:rsidRPr="007F03DB">
              <w:rPr>
                <w:rFonts w:ascii="Arial" w:hAnsi="Arial" w:cs="Arial"/>
                <w:sz w:val="18"/>
              </w:rPr>
              <w:t>of</w:t>
            </w:r>
            <w:r w:rsidRPr="007F03DB">
              <w:rPr>
                <w:rFonts w:ascii="Arial" w:hAnsi="Arial" w:cs="Arial"/>
                <w:spacing w:val="-4"/>
                <w:sz w:val="18"/>
              </w:rPr>
              <w:t xml:space="preserve"> </w:t>
            </w:r>
            <w:r w:rsidRPr="007F03DB">
              <w:rPr>
                <w:rFonts w:ascii="Arial" w:hAnsi="Arial" w:cs="Arial"/>
                <w:sz w:val="18"/>
              </w:rPr>
              <w:t>SC/SR</w:t>
            </w:r>
            <w:r w:rsidRPr="007F03DB">
              <w:rPr>
                <w:rFonts w:ascii="Arial" w:hAnsi="Arial" w:cs="Arial"/>
                <w:spacing w:val="-4"/>
                <w:sz w:val="18"/>
              </w:rPr>
              <w:t xml:space="preserve"> </w:t>
            </w:r>
            <w:r w:rsidRPr="007F03DB">
              <w:rPr>
                <w:rFonts w:ascii="Arial" w:hAnsi="Arial" w:cs="Arial"/>
                <w:sz w:val="18"/>
              </w:rPr>
              <w:t>embodiment:</w:t>
            </w:r>
          </w:p>
        </w:tc>
        <w:tc>
          <w:tcPr>
            <w:tcW w:w="5584" w:type="dxa"/>
            <w:gridSpan w:val="2"/>
          </w:tcPr>
          <w:p w14:paraId="6A5F5AD2" w14:textId="77777777" w:rsidR="00BE332C" w:rsidRPr="007F03DB" w:rsidRDefault="00BE332C" w:rsidP="00B83CD5">
            <w:pPr>
              <w:pStyle w:val="TableParagraph"/>
              <w:ind w:left="419" w:right="328" w:hanging="312"/>
              <w:rPr>
                <w:rFonts w:ascii="Arial" w:hAnsi="Arial" w:cs="Arial"/>
                <w:sz w:val="18"/>
              </w:rPr>
            </w:pPr>
            <w:r w:rsidRPr="007F03DB">
              <w:rPr>
                <w:rFonts w:ascii="Arial" w:hAnsi="Arial" w:cs="Arial"/>
                <w:sz w:val="18"/>
              </w:rPr>
              <w:t>11. Identification data and signature of the person responsible</w:t>
            </w:r>
            <w:r w:rsidRPr="007F03DB">
              <w:rPr>
                <w:rFonts w:ascii="Arial" w:hAnsi="Arial" w:cs="Arial"/>
                <w:spacing w:val="-43"/>
                <w:sz w:val="18"/>
              </w:rPr>
              <w:t xml:space="preserve"> </w:t>
            </w:r>
            <w:r w:rsidRPr="007F03DB">
              <w:rPr>
                <w:rFonts w:ascii="Arial" w:hAnsi="Arial" w:cs="Arial"/>
                <w:sz w:val="18"/>
              </w:rPr>
              <w:t>for</w:t>
            </w:r>
            <w:r w:rsidRPr="007F03DB">
              <w:rPr>
                <w:rFonts w:ascii="Arial" w:hAnsi="Arial" w:cs="Arial"/>
                <w:spacing w:val="-1"/>
                <w:sz w:val="18"/>
              </w:rPr>
              <w:t xml:space="preserve"> </w:t>
            </w:r>
            <w:r w:rsidRPr="007F03DB">
              <w:rPr>
                <w:rFonts w:ascii="Arial" w:hAnsi="Arial" w:cs="Arial"/>
                <w:sz w:val="18"/>
              </w:rPr>
              <w:t>the</w:t>
            </w:r>
            <w:r w:rsidRPr="007F03DB">
              <w:rPr>
                <w:rFonts w:ascii="Arial" w:hAnsi="Arial" w:cs="Arial"/>
                <w:spacing w:val="-1"/>
                <w:sz w:val="18"/>
              </w:rPr>
              <w:t xml:space="preserve"> </w:t>
            </w:r>
            <w:r w:rsidRPr="007F03DB">
              <w:rPr>
                <w:rFonts w:ascii="Arial" w:hAnsi="Arial" w:cs="Arial"/>
                <w:sz w:val="18"/>
              </w:rPr>
              <w:t>embodiment of</w:t>
            </w:r>
            <w:r w:rsidRPr="007F03DB">
              <w:rPr>
                <w:rFonts w:ascii="Arial" w:hAnsi="Arial" w:cs="Arial"/>
                <w:spacing w:val="-2"/>
                <w:sz w:val="18"/>
              </w:rPr>
              <w:t xml:space="preserve"> </w:t>
            </w:r>
            <w:r w:rsidRPr="007F03DB">
              <w:rPr>
                <w:rFonts w:ascii="Arial" w:hAnsi="Arial" w:cs="Arial"/>
                <w:sz w:val="18"/>
              </w:rPr>
              <w:t>the</w:t>
            </w:r>
            <w:r w:rsidRPr="007F03DB">
              <w:rPr>
                <w:rFonts w:ascii="Arial" w:hAnsi="Arial" w:cs="Arial"/>
                <w:spacing w:val="-2"/>
                <w:sz w:val="18"/>
              </w:rPr>
              <w:t xml:space="preserve"> </w:t>
            </w:r>
            <w:r w:rsidRPr="007F03DB">
              <w:rPr>
                <w:rFonts w:ascii="Arial" w:hAnsi="Arial" w:cs="Arial"/>
                <w:sz w:val="18"/>
              </w:rPr>
              <w:t>SC/SR:</w:t>
            </w:r>
          </w:p>
        </w:tc>
      </w:tr>
      <w:tr w:rsidR="00BE332C" w:rsidRPr="007F03DB" w14:paraId="2C9684BE" w14:textId="77777777" w:rsidTr="007F03DB">
        <w:trPr>
          <w:trHeight w:val="1703"/>
        </w:trPr>
        <w:tc>
          <w:tcPr>
            <w:tcW w:w="9125" w:type="dxa"/>
            <w:gridSpan w:val="4"/>
          </w:tcPr>
          <w:p w14:paraId="24B771D3" w14:textId="77777777" w:rsidR="00BE332C" w:rsidRPr="007F03DB" w:rsidRDefault="00BE332C" w:rsidP="00B83CD5">
            <w:pPr>
              <w:pStyle w:val="TableParagraph"/>
              <w:ind w:left="419" w:right="439" w:hanging="312"/>
              <w:rPr>
                <w:rFonts w:ascii="Arial" w:hAnsi="Arial" w:cs="Arial"/>
                <w:sz w:val="18"/>
              </w:rPr>
            </w:pPr>
            <w:r w:rsidRPr="007F03DB">
              <w:rPr>
                <w:rFonts w:ascii="Arial" w:hAnsi="Arial" w:cs="Arial"/>
                <w:sz w:val="18"/>
              </w:rPr>
              <w:t>12. Signature of the aircraft owner. This signature attests that all relevant documentation is handed over</w:t>
            </w:r>
            <w:r w:rsidRPr="007F03DB">
              <w:rPr>
                <w:rFonts w:ascii="Arial" w:hAnsi="Arial" w:cs="Arial"/>
                <w:spacing w:val="-43"/>
                <w:sz w:val="18"/>
              </w:rPr>
              <w:t xml:space="preserve"> </w:t>
            </w:r>
            <w:r w:rsidRPr="007F03DB">
              <w:rPr>
                <w:rFonts w:ascii="Arial" w:hAnsi="Arial" w:cs="Arial"/>
                <w:sz w:val="18"/>
              </w:rPr>
              <w:t>from the issuer of this form to the aircraft owner, and, therefore, the latter becomes aware of any</w:t>
            </w:r>
            <w:r w:rsidRPr="007F03DB">
              <w:rPr>
                <w:rFonts w:ascii="Arial" w:hAnsi="Arial" w:cs="Arial"/>
                <w:spacing w:val="1"/>
                <w:sz w:val="18"/>
              </w:rPr>
              <w:t xml:space="preserve"> </w:t>
            </w:r>
            <w:r w:rsidRPr="007F03DB">
              <w:rPr>
                <w:rFonts w:ascii="Arial" w:hAnsi="Arial" w:cs="Arial"/>
                <w:sz w:val="18"/>
              </w:rPr>
              <w:t>impact or limitations on operations or additional continuing airworthiness requirements which may</w:t>
            </w:r>
            <w:r w:rsidRPr="007F03DB">
              <w:rPr>
                <w:rFonts w:ascii="Arial" w:hAnsi="Arial" w:cs="Arial"/>
                <w:spacing w:val="1"/>
                <w:sz w:val="18"/>
              </w:rPr>
              <w:t xml:space="preserve"> </w:t>
            </w:r>
            <w:r w:rsidRPr="007F03DB">
              <w:rPr>
                <w:rFonts w:ascii="Arial" w:hAnsi="Arial" w:cs="Arial"/>
                <w:sz w:val="18"/>
              </w:rPr>
              <w:t>apply to the</w:t>
            </w:r>
            <w:r w:rsidRPr="007F03DB">
              <w:rPr>
                <w:rFonts w:ascii="Arial" w:hAnsi="Arial" w:cs="Arial"/>
                <w:spacing w:val="-1"/>
                <w:sz w:val="18"/>
              </w:rPr>
              <w:t xml:space="preserve"> </w:t>
            </w:r>
            <w:r w:rsidRPr="007F03DB">
              <w:rPr>
                <w:rFonts w:ascii="Arial" w:hAnsi="Arial" w:cs="Arial"/>
                <w:sz w:val="18"/>
              </w:rPr>
              <w:t>aircraft due</w:t>
            </w:r>
            <w:r w:rsidRPr="007F03DB">
              <w:rPr>
                <w:rFonts w:ascii="Arial" w:hAnsi="Arial" w:cs="Arial"/>
                <w:spacing w:val="-2"/>
                <w:sz w:val="18"/>
              </w:rPr>
              <w:t xml:space="preserve"> </w:t>
            </w:r>
            <w:r w:rsidRPr="007F03DB">
              <w:rPr>
                <w:rFonts w:ascii="Arial" w:hAnsi="Arial" w:cs="Arial"/>
                <w:sz w:val="18"/>
              </w:rPr>
              <w:t>to the</w:t>
            </w:r>
            <w:r w:rsidRPr="007F03DB">
              <w:rPr>
                <w:rFonts w:ascii="Arial" w:hAnsi="Arial" w:cs="Arial"/>
                <w:spacing w:val="-1"/>
                <w:sz w:val="18"/>
              </w:rPr>
              <w:t xml:space="preserve"> </w:t>
            </w:r>
            <w:r w:rsidRPr="007F03DB">
              <w:rPr>
                <w:rFonts w:ascii="Arial" w:hAnsi="Arial" w:cs="Arial"/>
                <w:sz w:val="18"/>
              </w:rPr>
              <w:t>embodiment of</w:t>
            </w:r>
            <w:r w:rsidRPr="007F03DB">
              <w:rPr>
                <w:rFonts w:ascii="Arial" w:hAnsi="Arial" w:cs="Arial"/>
                <w:spacing w:val="-3"/>
                <w:sz w:val="18"/>
              </w:rPr>
              <w:t xml:space="preserve"> </w:t>
            </w:r>
            <w:r w:rsidRPr="007F03DB">
              <w:rPr>
                <w:rFonts w:ascii="Arial" w:hAnsi="Arial" w:cs="Arial"/>
                <w:sz w:val="18"/>
              </w:rPr>
              <w:t>the</w:t>
            </w:r>
            <w:r w:rsidRPr="007F03DB">
              <w:rPr>
                <w:rFonts w:ascii="Arial" w:hAnsi="Arial" w:cs="Arial"/>
                <w:spacing w:val="-1"/>
                <w:sz w:val="18"/>
              </w:rPr>
              <w:t xml:space="preserve"> </w:t>
            </w:r>
            <w:r w:rsidRPr="007F03DB">
              <w:rPr>
                <w:rFonts w:ascii="Arial" w:hAnsi="Arial" w:cs="Arial"/>
                <w:sz w:val="18"/>
              </w:rPr>
              <w:t>change/repair.</w:t>
            </w:r>
          </w:p>
        </w:tc>
      </w:tr>
    </w:tbl>
    <w:p w14:paraId="256F45BE" w14:textId="77777777" w:rsidR="007F03DB" w:rsidRPr="00276D5E" w:rsidRDefault="007F03DB" w:rsidP="007F03DB">
      <w:pPr>
        <w:spacing w:line="219" w:lineRule="exact"/>
        <w:ind w:left="140"/>
        <w:rPr>
          <w:rFonts w:ascii="Arial" w:hAnsi="Arial" w:cs="Arial"/>
          <w:b/>
          <w:i/>
          <w:sz w:val="18"/>
        </w:rPr>
      </w:pPr>
      <w:r w:rsidRPr="004906DC">
        <w:rPr>
          <w:rFonts w:ascii="Arial" w:hAnsi="Arial" w:cs="Arial"/>
          <w:b/>
          <w:i/>
          <w:sz w:val="18"/>
        </w:rPr>
        <w:t>Form</w:t>
      </w:r>
      <w:r w:rsidRPr="004906DC">
        <w:rPr>
          <w:rFonts w:ascii="Arial" w:hAnsi="Arial" w:cs="Arial"/>
          <w:b/>
          <w:i/>
          <w:spacing w:val="-2"/>
          <w:sz w:val="18"/>
        </w:rPr>
        <w:t xml:space="preserve"> </w:t>
      </w:r>
      <w:r w:rsidRPr="004906DC">
        <w:rPr>
          <w:rFonts w:ascii="Arial" w:hAnsi="Arial" w:cs="Arial"/>
          <w:b/>
          <w:i/>
          <w:sz w:val="18"/>
        </w:rPr>
        <w:t>123</w:t>
      </w:r>
      <w:r w:rsidRPr="004906DC">
        <w:rPr>
          <w:rFonts w:ascii="Arial" w:hAnsi="Arial" w:cs="Arial"/>
          <w:b/>
          <w:i/>
          <w:spacing w:val="-1"/>
          <w:sz w:val="18"/>
        </w:rPr>
        <w:t xml:space="preserve"> </w:t>
      </w:r>
      <w:r w:rsidRPr="004906DC">
        <w:rPr>
          <w:rFonts w:ascii="Arial" w:hAnsi="Arial" w:cs="Arial"/>
          <w:b/>
          <w:i/>
          <w:sz w:val="18"/>
        </w:rPr>
        <w:t>Issue 00</w:t>
      </w:r>
    </w:p>
    <w:p w14:paraId="38D33FE6" w14:textId="77777777" w:rsidR="007F03DB" w:rsidRPr="007F03DB" w:rsidRDefault="007F03DB" w:rsidP="007F03DB">
      <w:pPr>
        <w:spacing w:before="143"/>
        <w:ind w:left="140"/>
        <w:jc w:val="both"/>
        <w:rPr>
          <w:rFonts w:ascii="Arial" w:hAnsi="Arial" w:cs="Arial"/>
          <w:i/>
          <w:sz w:val="20"/>
        </w:rPr>
      </w:pPr>
      <w:r w:rsidRPr="007F03DB">
        <w:rPr>
          <w:rFonts w:ascii="Arial" w:hAnsi="Arial" w:cs="Arial"/>
          <w:i/>
          <w:sz w:val="20"/>
          <w:u w:val="single"/>
        </w:rPr>
        <w:t>Notes</w:t>
      </w:r>
      <w:r w:rsidRPr="007F03DB">
        <w:rPr>
          <w:rFonts w:ascii="Arial" w:hAnsi="Arial" w:cs="Arial"/>
          <w:i/>
          <w:sz w:val="20"/>
        </w:rPr>
        <w:t>:</w:t>
      </w:r>
    </w:p>
    <w:p w14:paraId="1B472509" w14:textId="77777777" w:rsidR="007F03DB" w:rsidRDefault="007F03DB" w:rsidP="007F03DB">
      <w:pPr>
        <w:spacing w:before="122" w:line="386" w:lineRule="auto"/>
        <w:ind w:left="140" w:right="-64"/>
        <w:jc w:val="both"/>
        <w:rPr>
          <w:rFonts w:ascii="Arial" w:hAnsi="Arial" w:cs="Arial"/>
          <w:i/>
          <w:spacing w:val="-34"/>
          <w:sz w:val="20"/>
        </w:rPr>
      </w:pPr>
      <w:r w:rsidRPr="007F03DB">
        <w:rPr>
          <w:rFonts w:ascii="Arial" w:hAnsi="Arial" w:cs="Arial"/>
          <w:i/>
          <w:sz w:val="20"/>
        </w:rPr>
        <w:t>Original remains with the legal or natural person responsible for the embodiment of the SC/SR.</w:t>
      </w:r>
      <w:r w:rsidRPr="007F03DB">
        <w:rPr>
          <w:rFonts w:ascii="Arial" w:hAnsi="Arial" w:cs="Arial"/>
          <w:i/>
          <w:spacing w:val="-34"/>
          <w:sz w:val="20"/>
        </w:rPr>
        <w:t xml:space="preserve"> </w:t>
      </w:r>
    </w:p>
    <w:p w14:paraId="136492E1" w14:textId="77777777" w:rsidR="007F03DB" w:rsidRPr="007F03DB" w:rsidRDefault="007F03DB" w:rsidP="007F03DB">
      <w:pPr>
        <w:spacing w:before="122" w:line="386" w:lineRule="auto"/>
        <w:ind w:left="140" w:right="-64"/>
        <w:jc w:val="both"/>
        <w:rPr>
          <w:rFonts w:ascii="Arial" w:hAnsi="Arial" w:cs="Arial"/>
          <w:i/>
          <w:sz w:val="20"/>
        </w:rPr>
      </w:pPr>
      <w:r w:rsidRPr="007F03DB">
        <w:rPr>
          <w:rFonts w:ascii="Arial" w:hAnsi="Arial" w:cs="Arial"/>
          <w:i/>
          <w:sz w:val="20"/>
        </w:rPr>
        <w:t>The</w:t>
      </w:r>
      <w:r>
        <w:rPr>
          <w:rFonts w:ascii="Arial" w:hAnsi="Arial" w:cs="Arial"/>
          <w:i/>
          <w:spacing w:val="-3"/>
          <w:sz w:val="20"/>
        </w:rPr>
        <w:t xml:space="preserve"> </w:t>
      </w:r>
      <w:r w:rsidRPr="007F03DB">
        <w:rPr>
          <w:rFonts w:ascii="Arial" w:hAnsi="Arial" w:cs="Arial"/>
          <w:i/>
          <w:sz w:val="20"/>
        </w:rPr>
        <w:t>aircraft owner</w:t>
      </w:r>
      <w:r w:rsidRPr="007F03DB">
        <w:rPr>
          <w:rFonts w:ascii="Arial" w:hAnsi="Arial" w:cs="Arial"/>
          <w:i/>
          <w:spacing w:val="-1"/>
          <w:sz w:val="20"/>
        </w:rPr>
        <w:t xml:space="preserve"> </w:t>
      </w:r>
      <w:r w:rsidRPr="007F03DB">
        <w:rPr>
          <w:rFonts w:ascii="Arial" w:hAnsi="Arial" w:cs="Arial"/>
          <w:i/>
          <w:sz w:val="20"/>
        </w:rPr>
        <w:t>should</w:t>
      </w:r>
      <w:r w:rsidRPr="007F03DB">
        <w:rPr>
          <w:rFonts w:ascii="Arial" w:hAnsi="Arial" w:cs="Arial"/>
          <w:i/>
          <w:spacing w:val="1"/>
          <w:sz w:val="20"/>
        </w:rPr>
        <w:t xml:space="preserve"> </w:t>
      </w:r>
      <w:r w:rsidRPr="007F03DB">
        <w:rPr>
          <w:rFonts w:ascii="Arial" w:hAnsi="Arial" w:cs="Arial"/>
          <w:i/>
          <w:sz w:val="20"/>
        </w:rPr>
        <w:t>retain</w:t>
      </w:r>
      <w:r w:rsidRPr="007F03DB">
        <w:rPr>
          <w:rFonts w:ascii="Arial" w:hAnsi="Arial" w:cs="Arial"/>
          <w:i/>
          <w:spacing w:val="-1"/>
          <w:sz w:val="20"/>
        </w:rPr>
        <w:t xml:space="preserve"> </w:t>
      </w:r>
      <w:r w:rsidRPr="007F03DB">
        <w:rPr>
          <w:rFonts w:ascii="Arial" w:hAnsi="Arial" w:cs="Arial"/>
          <w:i/>
          <w:sz w:val="20"/>
        </w:rPr>
        <w:t>a copy</w:t>
      </w:r>
      <w:r w:rsidRPr="007F03DB">
        <w:rPr>
          <w:rFonts w:ascii="Arial" w:hAnsi="Arial" w:cs="Arial"/>
          <w:i/>
          <w:spacing w:val="-2"/>
          <w:sz w:val="20"/>
        </w:rPr>
        <w:t xml:space="preserve"> </w:t>
      </w:r>
      <w:r w:rsidRPr="007F03DB">
        <w:rPr>
          <w:rFonts w:ascii="Arial" w:hAnsi="Arial" w:cs="Arial"/>
          <w:i/>
          <w:sz w:val="20"/>
        </w:rPr>
        <w:t>of</w:t>
      </w:r>
      <w:r w:rsidRPr="007F03DB">
        <w:rPr>
          <w:rFonts w:ascii="Arial" w:hAnsi="Arial" w:cs="Arial"/>
          <w:i/>
          <w:spacing w:val="-1"/>
          <w:sz w:val="20"/>
        </w:rPr>
        <w:t xml:space="preserve"> </w:t>
      </w:r>
      <w:r w:rsidRPr="007F03DB">
        <w:rPr>
          <w:rFonts w:ascii="Arial" w:hAnsi="Arial" w:cs="Arial"/>
          <w:i/>
          <w:sz w:val="20"/>
        </w:rPr>
        <w:t>this</w:t>
      </w:r>
      <w:r w:rsidRPr="007F03DB">
        <w:rPr>
          <w:rFonts w:ascii="Arial" w:hAnsi="Arial" w:cs="Arial"/>
          <w:i/>
          <w:spacing w:val="-1"/>
          <w:sz w:val="20"/>
        </w:rPr>
        <w:t xml:space="preserve"> </w:t>
      </w:r>
      <w:r w:rsidRPr="007F03DB">
        <w:rPr>
          <w:rFonts w:ascii="Arial" w:hAnsi="Arial" w:cs="Arial"/>
          <w:i/>
          <w:sz w:val="20"/>
        </w:rPr>
        <w:t>form.</w:t>
      </w:r>
    </w:p>
    <w:p w14:paraId="14637597" w14:textId="77777777" w:rsidR="007F03DB" w:rsidRPr="007F03DB" w:rsidRDefault="007F03DB" w:rsidP="007F03DB">
      <w:pPr>
        <w:ind w:left="140" w:right="-64"/>
        <w:jc w:val="both"/>
        <w:rPr>
          <w:rFonts w:ascii="Arial" w:hAnsi="Arial" w:cs="Arial"/>
          <w:i/>
          <w:sz w:val="20"/>
        </w:rPr>
      </w:pPr>
      <w:r w:rsidRPr="007F03DB">
        <w:rPr>
          <w:rFonts w:ascii="Arial" w:hAnsi="Arial" w:cs="Arial"/>
          <w:i/>
          <w:sz w:val="20"/>
        </w:rPr>
        <w:t>The aircraft owner should be provided with copies of the documents referenced in boxes 5 and 7 and those in box 6 marked with an</w:t>
      </w:r>
      <w:r w:rsidRPr="007F03DB">
        <w:rPr>
          <w:rFonts w:ascii="Arial" w:hAnsi="Arial" w:cs="Arial"/>
          <w:i/>
          <w:spacing w:val="-34"/>
          <w:sz w:val="20"/>
        </w:rPr>
        <w:t xml:space="preserve"> </w:t>
      </w:r>
      <w:r w:rsidRPr="007F03DB">
        <w:rPr>
          <w:rFonts w:ascii="Arial" w:hAnsi="Arial" w:cs="Arial"/>
          <w:i/>
          <w:sz w:val="20"/>
        </w:rPr>
        <w:t>asterisk</w:t>
      </w:r>
      <w:r w:rsidRPr="007F03DB">
        <w:rPr>
          <w:rFonts w:ascii="Arial" w:hAnsi="Arial" w:cs="Arial"/>
          <w:i/>
          <w:spacing w:val="-1"/>
          <w:sz w:val="20"/>
        </w:rPr>
        <w:t xml:space="preserve"> </w:t>
      </w:r>
      <w:r w:rsidRPr="007F03DB">
        <w:rPr>
          <w:rFonts w:ascii="Arial" w:hAnsi="Arial" w:cs="Arial"/>
          <w:i/>
          <w:sz w:val="20"/>
        </w:rPr>
        <w:t>‘*’.</w:t>
      </w:r>
    </w:p>
    <w:p w14:paraId="46A2F001" w14:textId="77777777" w:rsidR="007F03DB" w:rsidRPr="007F03DB" w:rsidRDefault="007F03DB" w:rsidP="007F03DB">
      <w:pPr>
        <w:spacing w:before="121"/>
        <w:ind w:left="140" w:right="-64"/>
        <w:jc w:val="both"/>
        <w:rPr>
          <w:rFonts w:ascii="Arial" w:hAnsi="Arial" w:cs="Arial"/>
          <w:i/>
          <w:sz w:val="20"/>
        </w:rPr>
      </w:pPr>
      <w:r w:rsidRPr="007F03DB">
        <w:rPr>
          <w:rFonts w:ascii="Arial" w:hAnsi="Arial" w:cs="Arial"/>
          <w:i/>
          <w:sz w:val="20"/>
        </w:rPr>
        <w:t>The ‘relevant paragraphs’ in boxes 9a and 9b refer to the applicable paragraphs of ‘Subpart A – General’ of CS-STAN and those of the</w:t>
      </w:r>
      <w:r w:rsidRPr="007F03DB">
        <w:rPr>
          <w:rFonts w:ascii="Arial" w:hAnsi="Arial" w:cs="Arial"/>
          <w:i/>
          <w:spacing w:val="-34"/>
          <w:sz w:val="20"/>
        </w:rPr>
        <w:t xml:space="preserve"> </w:t>
      </w:r>
      <w:r w:rsidRPr="007F03DB">
        <w:rPr>
          <w:rFonts w:ascii="Arial" w:hAnsi="Arial" w:cs="Arial"/>
          <w:i/>
          <w:sz w:val="20"/>
        </w:rPr>
        <w:t>SC/SR</w:t>
      </w:r>
      <w:r w:rsidRPr="007F03DB">
        <w:rPr>
          <w:rFonts w:ascii="Arial" w:hAnsi="Arial" w:cs="Arial"/>
          <w:i/>
          <w:spacing w:val="-2"/>
          <w:sz w:val="20"/>
        </w:rPr>
        <w:t xml:space="preserve"> </w:t>
      </w:r>
      <w:r w:rsidRPr="007F03DB">
        <w:rPr>
          <w:rFonts w:ascii="Arial" w:hAnsi="Arial" w:cs="Arial"/>
          <w:i/>
          <w:sz w:val="20"/>
        </w:rPr>
        <w:t>quoted</w:t>
      </w:r>
      <w:r w:rsidRPr="007F03DB">
        <w:rPr>
          <w:rFonts w:ascii="Arial" w:hAnsi="Arial" w:cs="Arial"/>
          <w:i/>
          <w:spacing w:val="-1"/>
          <w:sz w:val="20"/>
        </w:rPr>
        <w:t xml:space="preserve"> </w:t>
      </w:r>
      <w:r w:rsidRPr="007F03DB">
        <w:rPr>
          <w:rFonts w:ascii="Arial" w:hAnsi="Arial" w:cs="Arial"/>
          <w:i/>
          <w:sz w:val="20"/>
        </w:rPr>
        <w:t>in</w:t>
      </w:r>
      <w:r w:rsidRPr="007F03DB">
        <w:rPr>
          <w:rFonts w:ascii="Arial" w:hAnsi="Arial" w:cs="Arial"/>
          <w:i/>
          <w:spacing w:val="-1"/>
          <w:sz w:val="20"/>
        </w:rPr>
        <w:t xml:space="preserve"> </w:t>
      </w:r>
      <w:r w:rsidRPr="007F03DB">
        <w:rPr>
          <w:rFonts w:ascii="Arial" w:hAnsi="Arial" w:cs="Arial"/>
          <w:i/>
          <w:sz w:val="20"/>
        </w:rPr>
        <w:t>box 2.</w:t>
      </w:r>
    </w:p>
    <w:p w14:paraId="73DE4182" w14:textId="77777777" w:rsidR="007F03DB" w:rsidRDefault="007F03DB" w:rsidP="007F03DB">
      <w:pPr>
        <w:spacing w:before="120"/>
        <w:ind w:left="140" w:right="26"/>
        <w:jc w:val="both"/>
        <w:rPr>
          <w:rFonts w:ascii="Arial" w:hAnsi="Arial" w:cs="Arial"/>
          <w:i/>
          <w:sz w:val="20"/>
        </w:rPr>
      </w:pPr>
      <w:r w:rsidRPr="007F03DB">
        <w:rPr>
          <w:rFonts w:ascii="Arial" w:hAnsi="Arial" w:cs="Arial"/>
          <w:i/>
          <w:sz w:val="20"/>
        </w:rPr>
        <w:t>For box 12, when the aircraft owner has signed a contract in accordance with ML.A.201, it is possible that the CAMO or CAO</w:t>
      </w:r>
      <w:r w:rsidRPr="007F03DB">
        <w:rPr>
          <w:rFonts w:ascii="Arial" w:hAnsi="Arial" w:cs="Arial"/>
          <w:i/>
          <w:spacing w:val="-34"/>
          <w:sz w:val="20"/>
        </w:rPr>
        <w:t xml:space="preserve"> </w:t>
      </w:r>
      <w:r w:rsidRPr="007F03DB">
        <w:rPr>
          <w:rFonts w:ascii="Arial" w:hAnsi="Arial" w:cs="Arial"/>
          <w:i/>
          <w:sz w:val="20"/>
        </w:rPr>
        <w:t>representative</w:t>
      </w:r>
      <w:r w:rsidRPr="007F03DB">
        <w:rPr>
          <w:rFonts w:ascii="Arial" w:hAnsi="Arial" w:cs="Arial"/>
          <w:i/>
          <w:spacing w:val="-2"/>
          <w:sz w:val="20"/>
        </w:rPr>
        <w:t xml:space="preserve"> </w:t>
      </w:r>
      <w:r w:rsidRPr="007F03DB">
        <w:rPr>
          <w:rFonts w:ascii="Arial" w:hAnsi="Arial" w:cs="Arial"/>
          <w:i/>
          <w:sz w:val="20"/>
        </w:rPr>
        <w:t>signs</w:t>
      </w:r>
      <w:r w:rsidRPr="007F03DB">
        <w:rPr>
          <w:rFonts w:ascii="Arial" w:hAnsi="Arial" w:cs="Arial"/>
          <w:i/>
          <w:spacing w:val="-1"/>
          <w:sz w:val="20"/>
        </w:rPr>
        <w:t xml:space="preserve"> </w:t>
      </w:r>
      <w:r w:rsidRPr="007F03DB">
        <w:rPr>
          <w:rFonts w:ascii="Arial" w:hAnsi="Arial" w:cs="Arial"/>
          <w:i/>
          <w:sz w:val="20"/>
        </w:rPr>
        <w:t>box</w:t>
      </w:r>
      <w:r w:rsidRPr="007F03DB">
        <w:rPr>
          <w:rFonts w:ascii="Arial" w:hAnsi="Arial" w:cs="Arial"/>
          <w:i/>
          <w:spacing w:val="-1"/>
          <w:sz w:val="20"/>
        </w:rPr>
        <w:t xml:space="preserve"> </w:t>
      </w:r>
      <w:r w:rsidRPr="007F03DB">
        <w:rPr>
          <w:rFonts w:ascii="Arial" w:hAnsi="Arial" w:cs="Arial"/>
          <w:i/>
          <w:sz w:val="20"/>
        </w:rPr>
        <w:t>12</w:t>
      </w:r>
      <w:r w:rsidRPr="007F03DB">
        <w:rPr>
          <w:rFonts w:ascii="Arial" w:hAnsi="Arial" w:cs="Arial"/>
          <w:i/>
          <w:spacing w:val="-1"/>
          <w:sz w:val="20"/>
        </w:rPr>
        <w:t xml:space="preserve"> </w:t>
      </w:r>
      <w:r w:rsidRPr="007F03DB">
        <w:rPr>
          <w:rFonts w:ascii="Arial" w:hAnsi="Arial" w:cs="Arial"/>
          <w:i/>
          <w:sz w:val="20"/>
        </w:rPr>
        <w:t>and</w:t>
      </w:r>
      <w:r w:rsidRPr="007F03DB">
        <w:rPr>
          <w:rFonts w:ascii="Arial" w:hAnsi="Arial" w:cs="Arial"/>
          <w:i/>
          <w:spacing w:val="-1"/>
          <w:sz w:val="20"/>
        </w:rPr>
        <w:t xml:space="preserve"> </w:t>
      </w:r>
      <w:r w:rsidRPr="007F03DB">
        <w:rPr>
          <w:rFonts w:ascii="Arial" w:hAnsi="Arial" w:cs="Arial"/>
          <w:i/>
          <w:sz w:val="20"/>
        </w:rPr>
        <w:t>provides</w:t>
      </w:r>
      <w:r w:rsidRPr="007F03DB">
        <w:rPr>
          <w:rFonts w:ascii="Arial" w:hAnsi="Arial" w:cs="Arial"/>
          <w:i/>
          <w:spacing w:val="-2"/>
          <w:sz w:val="20"/>
        </w:rPr>
        <w:t xml:space="preserve"> </w:t>
      </w:r>
      <w:r w:rsidRPr="007F03DB">
        <w:rPr>
          <w:rFonts w:ascii="Arial" w:hAnsi="Arial" w:cs="Arial"/>
          <w:i/>
          <w:sz w:val="20"/>
        </w:rPr>
        <w:t>all</w:t>
      </w:r>
      <w:r w:rsidRPr="007F03DB">
        <w:rPr>
          <w:rFonts w:ascii="Arial" w:hAnsi="Arial" w:cs="Arial"/>
          <w:i/>
          <w:spacing w:val="-1"/>
          <w:sz w:val="20"/>
        </w:rPr>
        <w:t xml:space="preserve"> </w:t>
      </w:r>
      <w:r w:rsidRPr="007F03DB">
        <w:rPr>
          <w:rFonts w:ascii="Arial" w:hAnsi="Arial" w:cs="Arial"/>
          <w:i/>
          <w:sz w:val="20"/>
        </w:rPr>
        <w:t>relevant</w:t>
      </w:r>
      <w:r w:rsidRPr="007F03DB">
        <w:rPr>
          <w:rFonts w:ascii="Arial" w:hAnsi="Arial" w:cs="Arial"/>
          <w:i/>
          <w:spacing w:val="-1"/>
          <w:sz w:val="20"/>
        </w:rPr>
        <w:t xml:space="preserve"> </w:t>
      </w:r>
      <w:r w:rsidRPr="007F03DB">
        <w:rPr>
          <w:rFonts w:ascii="Arial" w:hAnsi="Arial" w:cs="Arial"/>
          <w:i/>
          <w:sz w:val="20"/>
        </w:rPr>
        <w:t>information</w:t>
      </w:r>
      <w:r w:rsidRPr="007F03DB">
        <w:rPr>
          <w:rFonts w:ascii="Arial" w:hAnsi="Arial" w:cs="Arial"/>
          <w:i/>
          <w:spacing w:val="1"/>
          <w:sz w:val="20"/>
        </w:rPr>
        <w:t xml:space="preserve"> </w:t>
      </w:r>
      <w:r w:rsidRPr="007F03DB">
        <w:rPr>
          <w:rFonts w:ascii="Arial" w:hAnsi="Arial" w:cs="Arial"/>
          <w:i/>
          <w:sz w:val="20"/>
        </w:rPr>
        <w:t>to</w:t>
      </w:r>
      <w:r w:rsidRPr="007F03DB">
        <w:rPr>
          <w:rFonts w:ascii="Arial" w:hAnsi="Arial" w:cs="Arial"/>
          <w:i/>
          <w:spacing w:val="-1"/>
          <w:sz w:val="20"/>
        </w:rPr>
        <w:t xml:space="preserve"> </w:t>
      </w:r>
      <w:r w:rsidRPr="007F03DB">
        <w:rPr>
          <w:rFonts w:ascii="Arial" w:hAnsi="Arial" w:cs="Arial"/>
          <w:i/>
          <w:sz w:val="20"/>
        </w:rPr>
        <w:t>the</w:t>
      </w:r>
      <w:r w:rsidRPr="007F03DB">
        <w:rPr>
          <w:rFonts w:ascii="Arial" w:hAnsi="Arial" w:cs="Arial"/>
          <w:i/>
          <w:spacing w:val="-2"/>
          <w:sz w:val="20"/>
        </w:rPr>
        <w:t xml:space="preserve"> </w:t>
      </w:r>
      <w:r w:rsidRPr="007F03DB">
        <w:rPr>
          <w:rFonts w:ascii="Arial" w:hAnsi="Arial" w:cs="Arial"/>
          <w:i/>
          <w:sz w:val="20"/>
        </w:rPr>
        <w:t>owner</w:t>
      </w:r>
      <w:r w:rsidRPr="007F03DB">
        <w:rPr>
          <w:rFonts w:ascii="Arial" w:hAnsi="Arial" w:cs="Arial"/>
          <w:i/>
          <w:spacing w:val="-1"/>
          <w:sz w:val="20"/>
        </w:rPr>
        <w:t xml:space="preserve"> </w:t>
      </w:r>
      <w:r w:rsidRPr="007F03DB">
        <w:rPr>
          <w:rFonts w:ascii="Arial" w:hAnsi="Arial" w:cs="Arial"/>
          <w:i/>
          <w:sz w:val="20"/>
        </w:rPr>
        <w:t>before</w:t>
      </w:r>
      <w:r w:rsidRPr="007F03DB">
        <w:rPr>
          <w:rFonts w:ascii="Arial" w:hAnsi="Arial" w:cs="Arial"/>
          <w:i/>
          <w:spacing w:val="-2"/>
          <w:sz w:val="20"/>
        </w:rPr>
        <w:t xml:space="preserve"> </w:t>
      </w:r>
      <w:r w:rsidRPr="007F03DB">
        <w:rPr>
          <w:rFonts w:ascii="Arial" w:hAnsi="Arial" w:cs="Arial"/>
          <w:i/>
          <w:sz w:val="20"/>
        </w:rPr>
        <w:t>next</w:t>
      </w:r>
      <w:r w:rsidRPr="007F03DB">
        <w:rPr>
          <w:rFonts w:ascii="Arial" w:hAnsi="Arial" w:cs="Arial"/>
          <w:i/>
          <w:spacing w:val="-1"/>
          <w:sz w:val="20"/>
        </w:rPr>
        <w:t xml:space="preserve"> </w:t>
      </w:r>
      <w:r w:rsidRPr="007F03DB">
        <w:rPr>
          <w:rFonts w:ascii="Arial" w:hAnsi="Arial" w:cs="Arial"/>
          <w:i/>
          <w:sz w:val="20"/>
        </w:rPr>
        <w:t>flight.</w:t>
      </w:r>
    </w:p>
    <w:p w14:paraId="30840EB1" w14:textId="77777777" w:rsidR="007F03DB" w:rsidRPr="007F03DB" w:rsidRDefault="007F03DB" w:rsidP="006C216A">
      <w:pPr>
        <w:spacing w:before="120"/>
        <w:ind w:right="1161"/>
        <w:jc w:val="both"/>
        <w:rPr>
          <w:rFonts w:ascii="Arial" w:hAnsi="Arial" w:cs="Arial"/>
          <w:i/>
          <w:sz w:val="20"/>
        </w:rPr>
      </w:pPr>
    </w:p>
    <w:p w14:paraId="55345685" w14:textId="77777777" w:rsidR="007F03DB" w:rsidRPr="007F03DB" w:rsidRDefault="007F03DB" w:rsidP="007F03DB">
      <w:pPr>
        <w:ind w:left="140"/>
        <w:jc w:val="both"/>
        <w:rPr>
          <w:rFonts w:ascii="Arial" w:hAnsi="Arial" w:cs="Arial"/>
          <w:i/>
          <w:sz w:val="20"/>
        </w:rPr>
      </w:pPr>
      <w:r w:rsidRPr="007F03DB">
        <w:rPr>
          <w:rFonts w:ascii="Arial" w:hAnsi="Arial" w:cs="Arial"/>
          <w:i/>
          <w:sz w:val="20"/>
          <w:u w:val="single"/>
        </w:rPr>
        <w:t>Completion</w:t>
      </w:r>
      <w:r w:rsidRPr="007F03DB">
        <w:rPr>
          <w:rFonts w:ascii="Arial" w:hAnsi="Arial" w:cs="Arial"/>
          <w:i/>
          <w:spacing w:val="-7"/>
          <w:sz w:val="20"/>
          <w:u w:val="single"/>
        </w:rPr>
        <w:t xml:space="preserve"> </w:t>
      </w:r>
      <w:r w:rsidRPr="007F03DB">
        <w:rPr>
          <w:rFonts w:ascii="Arial" w:hAnsi="Arial" w:cs="Arial"/>
          <w:i/>
          <w:sz w:val="20"/>
          <w:u w:val="single"/>
        </w:rPr>
        <w:t>instructions</w:t>
      </w:r>
      <w:r w:rsidRPr="007F03DB">
        <w:rPr>
          <w:rFonts w:ascii="Arial" w:hAnsi="Arial" w:cs="Arial"/>
          <w:i/>
          <w:sz w:val="20"/>
        </w:rPr>
        <w:t>:</w:t>
      </w:r>
    </w:p>
    <w:p w14:paraId="53E80B53" w14:textId="77777777" w:rsidR="007F03DB" w:rsidRPr="007F03DB" w:rsidRDefault="007F03DB" w:rsidP="007F03DB">
      <w:pPr>
        <w:spacing w:before="122"/>
        <w:ind w:left="140"/>
        <w:jc w:val="both"/>
        <w:rPr>
          <w:rFonts w:ascii="Arial" w:hAnsi="Arial" w:cs="Arial"/>
          <w:i/>
          <w:sz w:val="20"/>
        </w:rPr>
      </w:pPr>
      <w:r w:rsidRPr="007F03DB">
        <w:rPr>
          <w:rFonts w:ascii="Arial" w:hAnsi="Arial" w:cs="Arial"/>
          <w:i/>
          <w:sz w:val="20"/>
        </w:rPr>
        <w:t>Use</w:t>
      </w:r>
      <w:r w:rsidRPr="007F03DB">
        <w:rPr>
          <w:rFonts w:ascii="Arial" w:hAnsi="Arial" w:cs="Arial"/>
          <w:i/>
          <w:spacing w:val="-2"/>
          <w:sz w:val="20"/>
        </w:rPr>
        <w:t xml:space="preserve"> </w:t>
      </w:r>
      <w:r w:rsidRPr="007F03DB">
        <w:rPr>
          <w:rFonts w:ascii="Arial" w:hAnsi="Arial" w:cs="Arial"/>
          <w:i/>
          <w:sz w:val="20"/>
        </w:rPr>
        <w:t>English</w:t>
      </w:r>
      <w:r w:rsidRPr="007F03DB">
        <w:rPr>
          <w:rFonts w:ascii="Arial" w:hAnsi="Arial" w:cs="Arial"/>
          <w:i/>
          <w:spacing w:val="-2"/>
          <w:sz w:val="20"/>
        </w:rPr>
        <w:t xml:space="preserve"> </w:t>
      </w:r>
      <w:r w:rsidRPr="007F03DB">
        <w:rPr>
          <w:rFonts w:ascii="Arial" w:hAnsi="Arial" w:cs="Arial"/>
          <w:i/>
          <w:sz w:val="20"/>
        </w:rPr>
        <w:t>or</w:t>
      </w:r>
      <w:r w:rsidRPr="007F03DB">
        <w:rPr>
          <w:rFonts w:ascii="Arial" w:hAnsi="Arial" w:cs="Arial"/>
          <w:i/>
          <w:spacing w:val="-2"/>
          <w:sz w:val="20"/>
        </w:rPr>
        <w:t xml:space="preserve"> </w:t>
      </w:r>
      <w:r w:rsidRPr="007F03DB">
        <w:rPr>
          <w:rFonts w:ascii="Arial" w:hAnsi="Arial" w:cs="Arial"/>
          <w:i/>
          <w:sz w:val="20"/>
        </w:rPr>
        <w:t>the</w:t>
      </w:r>
      <w:r w:rsidRPr="007F03DB">
        <w:rPr>
          <w:rFonts w:ascii="Arial" w:hAnsi="Arial" w:cs="Arial"/>
          <w:i/>
          <w:spacing w:val="-3"/>
          <w:sz w:val="20"/>
        </w:rPr>
        <w:t xml:space="preserve"> </w:t>
      </w:r>
      <w:r w:rsidRPr="007F03DB">
        <w:rPr>
          <w:rFonts w:ascii="Arial" w:hAnsi="Arial" w:cs="Arial"/>
          <w:i/>
          <w:sz w:val="20"/>
        </w:rPr>
        <w:t>official</w:t>
      </w:r>
      <w:r w:rsidRPr="007F03DB">
        <w:rPr>
          <w:rFonts w:ascii="Arial" w:hAnsi="Arial" w:cs="Arial"/>
          <w:i/>
          <w:spacing w:val="-3"/>
          <w:sz w:val="20"/>
        </w:rPr>
        <w:t xml:space="preserve"> </w:t>
      </w:r>
      <w:r w:rsidRPr="007F03DB">
        <w:rPr>
          <w:rFonts w:ascii="Arial" w:hAnsi="Arial" w:cs="Arial"/>
          <w:i/>
          <w:sz w:val="20"/>
        </w:rPr>
        <w:t>language</w:t>
      </w:r>
      <w:r w:rsidRPr="007F03DB">
        <w:rPr>
          <w:rFonts w:ascii="Arial" w:hAnsi="Arial" w:cs="Arial"/>
          <w:i/>
          <w:spacing w:val="-2"/>
          <w:sz w:val="20"/>
        </w:rPr>
        <w:t xml:space="preserve"> </w:t>
      </w:r>
      <w:r w:rsidRPr="007F03DB">
        <w:rPr>
          <w:rFonts w:ascii="Arial" w:hAnsi="Arial" w:cs="Arial"/>
          <w:i/>
          <w:sz w:val="20"/>
        </w:rPr>
        <w:t>of the</w:t>
      </w:r>
      <w:r w:rsidRPr="007F03DB">
        <w:rPr>
          <w:rFonts w:ascii="Arial" w:hAnsi="Arial" w:cs="Arial"/>
          <w:i/>
          <w:spacing w:val="-3"/>
          <w:sz w:val="20"/>
        </w:rPr>
        <w:t xml:space="preserve"> </w:t>
      </w:r>
      <w:r w:rsidRPr="007F03DB">
        <w:rPr>
          <w:rFonts w:ascii="Arial" w:hAnsi="Arial" w:cs="Arial"/>
          <w:i/>
          <w:sz w:val="20"/>
        </w:rPr>
        <w:t>State</w:t>
      </w:r>
      <w:r w:rsidRPr="007F03DB">
        <w:rPr>
          <w:rFonts w:ascii="Arial" w:hAnsi="Arial" w:cs="Arial"/>
          <w:i/>
          <w:spacing w:val="-2"/>
          <w:sz w:val="20"/>
        </w:rPr>
        <w:t xml:space="preserve"> </w:t>
      </w:r>
      <w:r w:rsidRPr="007F03DB">
        <w:rPr>
          <w:rFonts w:ascii="Arial" w:hAnsi="Arial" w:cs="Arial"/>
          <w:i/>
          <w:sz w:val="20"/>
        </w:rPr>
        <w:t>of</w:t>
      </w:r>
      <w:r w:rsidRPr="007F03DB">
        <w:rPr>
          <w:rFonts w:ascii="Arial" w:hAnsi="Arial" w:cs="Arial"/>
          <w:i/>
          <w:spacing w:val="-2"/>
          <w:sz w:val="20"/>
        </w:rPr>
        <w:t xml:space="preserve"> </w:t>
      </w:r>
      <w:r w:rsidRPr="007F03DB">
        <w:rPr>
          <w:rFonts w:ascii="Arial" w:hAnsi="Arial" w:cs="Arial"/>
          <w:i/>
          <w:sz w:val="20"/>
        </w:rPr>
        <w:t>registry</w:t>
      </w:r>
      <w:r w:rsidRPr="007F03DB">
        <w:rPr>
          <w:rFonts w:ascii="Arial" w:hAnsi="Arial" w:cs="Arial"/>
          <w:i/>
          <w:spacing w:val="-1"/>
          <w:sz w:val="20"/>
        </w:rPr>
        <w:t xml:space="preserve"> </w:t>
      </w:r>
      <w:r w:rsidRPr="007F03DB">
        <w:rPr>
          <w:rFonts w:ascii="Arial" w:hAnsi="Arial" w:cs="Arial"/>
          <w:i/>
          <w:sz w:val="20"/>
        </w:rPr>
        <w:t>to fill</w:t>
      </w:r>
      <w:r w:rsidRPr="007F03DB">
        <w:rPr>
          <w:rFonts w:ascii="Arial" w:hAnsi="Arial" w:cs="Arial"/>
          <w:i/>
          <w:spacing w:val="-2"/>
          <w:sz w:val="20"/>
        </w:rPr>
        <w:t xml:space="preserve"> </w:t>
      </w:r>
      <w:r w:rsidRPr="007F03DB">
        <w:rPr>
          <w:rFonts w:ascii="Arial" w:hAnsi="Arial" w:cs="Arial"/>
          <w:i/>
          <w:sz w:val="20"/>
        </w:rPr>
        <w:t>in</w:t>
      </w:r>
      <w:r w:rsidRPr="007F03DB">
        <w:rPr>
          <w:rFonts w:ascii="Arial" w:hAnsi="Arial" w:cs="Arial"/>
          <w:i/>
          <w:spacing w:val="-2"/>
          <w:sz w:val="20"/>
        </w:rPr>
        <w:t xml:space="preserve"> </w:t>
      </w:r>
      <w:r w:rsidRPr="007F03DB">
        <w:rPr>
          <w:rFonts w:ascii="Arial" w:hAnsi="Arial" w:cs="Arial"/>
          <w:i/>
          <w:sz w:val="20"/>
        </w:rPr>
        <w:t>the</w:t>
      </w:r>
      <w:r w:rsidRPr="007F03DB">
        <w:rPr>
          <w:rFonts w:ascii="Arial" w:hAnsi="Arial" w:cs="Arial"/>
          <w:i/>
          <w:spacing w:val="-2"/>
          <w:sz w:val="20"/>
        </w:rPr>
        <w:t xml:space="preserve"> </w:t>
      </w:r>
      <w:r w:rsidRPr="007F03DB">
        <w:rPr>
          <w:rFonts w:ascii="Arial" w:hAnsi="Arial" w:cs="Arial"/>
          <w:i/>
          <w:sz w:val="20"/>
        </w:rPr>
        <w:t>form.</w:t>
      </w:r>
    </w:p>
    <w:p w14:paraId="08075549" w14:textId="77777777" w:rsidR="007F03DB" w:rsidRPr="007F03DB" w:rsidRDefault="007F03DB" w:rsidP="00D34658">
      <w:pPr>
        <w:numPr>
          <w:ilvl w:val="0"/>
          <w:numId w:val="320"/>
        </w:numPr>
        <w:tabs>
          <w:tab w:val="left" w:pos="424"/>
        </w:tabs>
        <w:spacing w:before="119"/>
        <w:jc w:val="both"/>
        <w:rPr>
          <w:rFonts w:ascii="Arial" w:hAnsi="Arial" w:cs="Arial"/>
          <w:i/>
          <w:sz w:val="20"/>
        </w:rPr>
      </w:pPr>
      <w:r w:rsidRPr="007F03DB">
        <w:rPr>
          <w:rFonts w:ascii="Arial" w:hAnsi="Arial" w:cs="Arial"/>
          <w:i/>
          <w:sz w:val="20"/>
        </w:rPr>
        <w:t>Identify</w:t>
      </w:r>
      <w:r w:rsidRPr="007F03DB">
        <w:rPr>
          <w:rFonts w:ascii="Arial" w:hAnsi="Arial" w:cs="Arial"/>
          <w:i/>
          <w:spacing w:val="-2"/>
          <w:sz w:val="20"/>
        </w:rPr>
        <w:t xml:space="preserve"> </w:t>
      </w:r>
      <w:r w:rsidRPr="007F03DB">
        <w:rPr>
          <w:rFonts w:ascii="Arial" w:hAnsi="Arial" w:cs="Arial"/>
          <w:i/>
          <w:sz w:val="20"/>
        </w:rPr>
        <w:t>the</w:t>
      </w:r>
      <w:r w:rsidRPr="007F03DB">
        <w:rPr>
          <w:rFonts w:ascii="Arial" w:hAnsi="Arial" w:cs="Arial"/>
          <w:i/>
          <w:spacing w:val="-4"/>
          <w:sz w:val="20"/>
        </w:rPr>
        <w:t xml:space="preserve"> </w:t>
      </w:r>
      <w:r w:rsidRPr="007F03DB">
        <w:rPr>
          <w:rFonts w:ascii="Arial" w:hAnsi="Arial" w:cs="Arial"/>
          <w:i/>
          <w:sz w:val="20"/>
        </w:rPr>
        <w:t>SC/SR</w:t>
      </w:r>
      <w:r w:rsidRPr="007F03DB">
        <w:rPr>
          <w:rFonts w:ascii="Arial" w:hAnsi="Arial" w:cs="Arial"/>
          <w:i/>
          <w:spacing w:val="-3"/>
          <w:sz w:val="20"/>
        </w:rPr>
        <w:t xml:space="preserve"> </w:t>
      </w:r>
      <w:r w:rsidRPr="007F03DB">
        <w:rPr>
          <w:rFonts w:ascii="Arial" w:hAnsi="Arial" w:cs="Arial"/>
          <w:i/>
          <w:sz w:val="20"/>
        </w:rPr>
        <w:t>with</w:t>
      </w:r>
      <w:r w:rsidRPr="007F03DB">
        <w:rPr>
          <w:rFonts w:ascii="Arial" w:hAnsi="Arial" w:cs="Arial"/>
          <w:i/>
          <w:spacing w:val="-3"/>
          <w:sz w:val="20"/>
        </w:rPr>
        <w:t xml:space="preserve"> </w:t>
      </w:r>
      <w:r w:rsidRPr="007F03DB">
        <w:rPr>
          <w:rFonts w:ascii="Arial" w:hAnsi="Arial" w:cs="Arial"/>
          <w:i/>
          <w:sz w:val="20"/>
        </w:rPr>
        <w:t>a</w:t>
      </w:r>
      <w:r w:rsidRPr="007F03DB">
        <w:rPr>
          <w:rFonts w:ascii="Arial" w:hAnsi="Arial" w:cs="Arial"/>
          <w:i/>
          <w:spacing w:val="-4"/>
          <w:sz w:val="20"/>
        </w:rPr>
        <w:t xml:space="preserve"> </w:t>
      </w:r>
      <w:r w:rsidRPr="007F03DB">
        <w:rPr>
          <w:rFonts w:ascii="Arial" w:hAnsi="Arial" w:cs="Arial"/>
          <w:i/>
          <w:sz w:val="20"/>
        </w:rPr>
        <w:t>unique</w:t>
      </w:r>
      <w:r w:rsidRPr="007F03DB">
        <w:rPr>
          <w:rFonts w:ascii="Arial" w:hAnsi="Arial" w:cs="Arial"/>
          <w:i/>
          <w:spacing w:val="-3"/>
          <w:sz w:val="20"/>
        </w:rPr>
        <w:t xml:space="preserve"> </w:t>
      </w:r>
      <w:r w:rsidRPr="007F03DB">
        <w:rPr>
          <w:rFonts w:ascii="Arial" w:hAnsi="Arial" w:cs="Arial"/>
          <w:i/>
          <w:sz w:val="20"/>
        </w:rPr>
        <w:t>number</w:t>
      </w:r>
      <w:r w:rsidRPr="007F03DB">
        <w:rPr>
          <w:rFonts w:ascii="Arial" w:hAnsi="Arial" w:cs="Arial"/>
          <w:i/>
          <w:spacing w:val="-3"/>
          <w:sz w:val="20"/>
        </w:rPr>
        <w:t xml:space="preserve"> </w:t>
      </w:r>
      <w:r w:rsidRPr="007F03DB">
        <w:rPr>
          <w:rFonts w:ascii="Arial" w:hAnsi="Arial" w:cs="Arial"/>
          <w:i/>
          <w:sz w:val="20"/>
        </w:rPr>
        <w:t>and</w:t>
      </w:r>
      <w:r w:rsidRPr="007F03DB">
        <w:rPr>
          <w:rFonts w:ascii="Arial" w:hAnsi="Arial" w:cs="Arial"/>
          <w:i/>
          <w:spacing w:val="-3"/>
          <w:sz w:val="20"/>
        </w:rPr>
        <w:t xml:space="preserve"> </w:t>
      </w:r>
      <w:r w:rsidRPr="007F03DB">
        <w:rPr>
          <w:rFonts w:ascii="Arial" w:hAnsi="Arial" w:cs="Arial"/>
          <w:i/>
          <w:sz w:val="20"/>
        </w:rPr>
        <w:t>reference</w:t>
      </w:r>
      <w:r w:rsidRPr="007F03DB">
        <w:rPr>
          <w:rFonts w:ascii="Arial" w:hAnsi="Arial" w:cs="Arial"/>
          <w:i/>
          <w:spacing w:val="-2"/>
          <w:sz w:val="20"/>
        </w:rPr>
        <w:t xml:space="preserve"> </w:t>
      </w:r>
      <w:r w:rsidRPr="007F03DB">
        <w:rPr>
          <w:rFonts w:ascii="Arial" w:hAnsi="Arial" w:cs="Arial"/>
          <w:i/>
          <w:sz w:val="20"/>
        </w:rPr>
        <w:t>this</w:t>
      </w:r>
      <w:r w:rsidRPr="007F03DB">
        <w:rPr>
          <w:rFonts w:ascii="Arial" w:hAnsi="Arial" w:cs="Arial"/>
          <w:i/>
          <w:spacing w:val="-3"/>
          <w:sz w:val="20"/>
        </w:rPr>
        <w:t xml:space="preserve"> </w:t>
      </w:r>
      <w:r w:rsidRPr="007F03DB">
        <w:rPr>
          <w:rFonts w:ascii="Arial" w:hAnsi="Arial" w:cs="Arial"/>
          <w:i/>
          <w:sz w:val="20"/>
        </w:rPr>
        <w:t>number</w:t>
      </w:r>
      <w:r w:rsidRPr="007F03DB">
        <w:rPr>
          <w:rFonts w:ascii="Arial" w:hAnsi="Arial" w:cs="Arial"/>
          <w:i/>
          <w:spacing w:val="-3"/>
          <w:sz w:val="20"/>
        </w:rPr>
        <w:t xml:space="preserve"> </w:t>
      </w:r>
      <w:r w:rsidRPr="007F03DB">
        <w:rPr>
          <w:rFonts w:ascii="Arial" w:hAnsi="Arial" w:cs="Arial"/>
          <w:i/>
          <w:sz w:val="20"/>
        </w:rPr>
        <w:t>in</w:t>
      </w:r>
      <w:r w:rsidRPr="007F03DB">
        <w:rPr>
          <w:rFonts w:ascii="Arial" w:hAnsi="Arial" w:cs="Arial"/>
          <w:i/>
          <w:spacing w:val="-1"/>
          <w:sz w:val="20"/>
        </w:rPr>
        <w:t xml:space="preserve"> </w:t>
      </w:r>
      <w:r w:rsidRPr="007F03DB">
        <w:rPr>
          <w:rFonts w:ascii="Arial" w:hAnsi="Arial" w:cs="Arial"/>
          <w:i/>
          <w:sz w:val="20"/>
        </w:rPr>
        <w:t>the</w:t>
      </w:r>
      <w:r w:rsidRPr="007F03DB">
        <w:rPr>
          <w:rFonts w:ascii="Arial" w:hAnsi="Arial" w:cs="Arial"/>
          <w:i/>
          <w:spacing w:val="-3"/>
          <w:sz w:val="20"/>
        </w:rPr>
        <w:t xml:space="preserve"> </w:t>
      </w:r>
      <w:r w:rsidRPr="007F03DB">
        <w:rPr>
          <w:rFonts w:ascii="Arial" w:hAnsi="Arial" w:cs="Arial"/>
          <w:i/>
          <w:sz w:val="20"/>
        </w:rPr>
        <w:t>aircraft</w:t>
      </w:r>
      <w:r w:rsidRPr="007F03DB">
        <w:rPr>
          <w:rFonts w:ascii="Arial" w:hAnsi="Arial" w:cs="Arial"/>
          <w:i/>
          <w:spacing w:val="-3"/>
          <w:sz w:val="20"/>
        </w:rPr>
        <w:t xml:space="preserve"> </w:t>
      </w:r>
      <w:r w:rsidRPr="007F03DB">
        <w:rPr>
          <w:rFonts w:ascii="Arial" w:hAnsi="Arial" w:cs="Arial"/>
          <w:i/>
          <w:sz w:val="20"/>
        </w:rPr>
        <w:t>logbook.</w:t>
      </w:r>
    </w:p>
    <w:p w14:paraId="1C5F74BD" w14:textId="77777777" w:rsidR="007F03DB" w:rsidRPr="007F03DB" w:rsidRDefault="007F03DB" w:rsidP="00D34658">
      <w:pPr>
        <w:numPr>
          <w:ilvl w:val="0"/>
          <w:numId w:val="320"/>
        </w:numPr>
        <w:tabs>
          <w:tab w:val="left" w:pos="424"/>
        </w:tabs>
        <w:spacing w:before="119"/>
        <w:jc w:val="both"/>
        <w:rPr>
          <w:rFonts w:ascii="Arial" w:hAnsi="Arial" w:cs="Arial"/>
          <w:i/>
          <w:sz w:val="20"/>
        </w:rPr>
      </w:pPr>
      <w:r w:rsidRPr="007F03DB">
        <w:rPr>
          <w:rFonts w:ascii="Arial" w:hAnsi="Arial" w:cs="Arial"/>
          <w:i/>
          <w:sz w:val="20"/>
        </w:rPr>
        <w:t>Specify</w:t>
      </w:r>
      <w:r w:rsidRPr="007F03DB">
        <w:rPr>
          <w:rFonts w:ascii="Arial" w:hAnsi="Arial" w:cs="Arial"/>
          <w:i/>
          <w:spacing w:val="-3"/>
          <w:sz w:val="20"/>
        </w:rPr>
        <w:t xml:space="preserve"> </w:t>
      </w:r>
      <w:r w:rsidRPr="007F03DB">
        <w:rPr>
          <w:rFonts w:ascii="Arial" w:hAnsi="Arial" w:cs="Arial"/>
          <w:i/>
          <w:sz w:val="20"/>
        </w:rPr>
        <w:t>the</w:t>
      </w:r>
      <w:r w:rsidRPr="007F03DB">
        <w:rPr>
          <w:rFonts w:ascii="Arial" w:hAnsi="Arial" w:cs="Arial"/>
          <w:i/>
          <w:spacing w:val="-2"/>
          <w:sz w:val="20"/>
        </w:rPr>
        <w:t xml:space="preserve"> </w:t>
      </w:r>
      <w:r w:rsidRPr="007F03DB">
        <w:rPr>
          <w:rFonts w:ascii="Arial" w:hAnsi="Arial" w:cs="Arial"/>
          <w:i/>
          <w:sz w:val="20"/>
        </w:rPr>
        <w:t>applicable</w:t>
      </w:r>
      <w:r w:rsidRPr="007F03DB">
        <w:rPr>
          <w:rFonts w:ascii="Arial" w:hAnsi="Arial" w:cs="Arial"/>
          <w:i/>
          <w:spacing w:val="-3"/>
          <w:sz w:val="20"/>
        </w:rPr>
        <w:t xml:space="preserve"> </w:t>
      </w:r>
      <w:r w:rsidRPr="007F03DB">
        <w:rPr>
          <w:rFonts w:ascii="Arial" w:hAnsi="Arial" w:cs="Arial"/>
          <w:i/>
          <w:sz w:val="20"/>
        </w:rPr>
        <w:t>EASA</w:t>
      </w:r>
      <w:r w:rsidRPr="007F03DB">
        <w:rPr>
          <w:rFonts w:ascii="Arial" w:hAnsi="Arial" w:cs="Arial"/>
          <w:i/>
          <w:spacing w:val="-2"/>
          <w:sz w:val="20"/>
        </w:rPr>
        <w:t xml:space="preserve"> </w:t>
      </w:r>
      <w:r w:rsidRPr="007F03DB">
        <w:rPr>
          <w:rFonts w:ascii="Arial" w:hAnsi="Arial" w:cs="Arial"/>
          <w:i/>
          <w:sz w:val="20"/>
        </w:rPr>
        <w:t>CS-STAN</w:t>
      </w:r>
      <w:r w:rsidRPr="007F03DB">
        <w:rPr>
          <w:rFonts w:ascii="Arial" w:hAnsi="Arial" w:cs="Arial"/>
          <w:i/>
          <w:spacing w:val="-5"/>
          <w:sz w:val="20"/>
        </w:rPr>
        <w:t xml:space="preserve"> </w:t>
      </w:r>
      <w:r w:rsidRPr="007F03DB">
        <w:rPr>
          <w:rFonts w:ascii="Arial" w:hAnsi="Arial" w:cs="Arial"/>
          <w:i/>
          <w:sz w:val="20"/>
        </w:rPr>
        <w:t>chapter</w:t>
      </w:r>
      <w:r w:rsidRPr="007F03DB">
        <w:rPr>
          <w:rFonts w:ascii="Arial" w:hAnsi="Arial" w:cs="Arial"/>
          <w:i/>
          <w:spacing w:val="-3"/>
          <w:sz w:val="20"/>
        </w:rPr>
        <w:t xml:space="preserve"> </w:t>
      </w:r>
      <w:r w:rsidRPr="007F03DB">
        <w:rPr>
          <w:rFonts w:ascii="Arial" w:hAnsi="Arial" w:cs="Arial"/>
          <w:i/>
          <w:sz w:val="20"/>
        </w:rPr>
        <w:t>including</w:t>
      </w:r>
      <w:r w:rsidRPr="007F03DB">
        <w:rPr>
          <w:rFonts w:ascii="Arial" w:hAnsi="Arial" w:cs="Arial"/>
          <w:i/>
          <w:spacing w:val="-3"/>
          <w:sz w:val="20"/>
        </w:rPr>
        <w:t xml:space="preserve"> </w:t>
      </w:r>
      <w:r w:rsidRPr="007F03DB">
        <w:rPr>
          <w:rFonts w:ascii="Arial" w:hAnsi="Arial" w:cs="Arial"/>
          <w:i/>
          <w:sz w:val="20"/>
        </w:rPr>
        <w:t>revision</w:t>
      </w:r>
      <w:r w:rsidRPr="007F03DB">
        <w:rPr>
          <w:rFonts w:ascii="Arial" w:hAnsi="Arial" w:cs="Arial"/>
          <w:i/>
          <w:spacing w:val="-3"/>
          <w:sz w:val="20"/>
        </w:rPr>
        <w:t xml:space="preserve"> </w:t>
      </w:r>
      <w:r w:rsidRPr="007F03DB">
        <w:rPr>
          <w:rFonts w:ascii="Arial" w:hAnsi="Arial" w:cs="Arial"/>
          <w:i/>
          <w:sz w:val="20"/>
        </w:rPr>
        <w:t>(e.g.</w:t>
      </w:r>
      <w:r w:rsidRPr="007F03DB">
        <w:rPr>
          <w:rFonts w:ascii="Arial" w:hAnsi="Arial" w:cs="Arial"/>
          <w:i/>
          <w:spacing w:val="-2"/>
          <w:sz w:val="20"/>
        </w:rPr>
        <w:t xml:space="preserve"> </w:t>
      </w:r>
      <w:r w:rsidRPr="007F03DB">
        <w:rPr>
          <w:rFonts w:ascii="Arial" w:hAnsi="Arial" w:cs="Arial"/>
          <w:i/>
          <w:sz w:val="20"/>
        </w:rPr>
        <w:t>CS-SCxxxy</w:t>
      </w:r>
      <w:r w:rsidRPr="007F03DB">
        <w:rPr>
          <w:rFonts w:ascii="Arial" w:hAnsi="Arial" w:cs="Arial"/>
          <w:i/>
          <w:spacing w:val="-3"/>
          <w:sz w:val="20"/>
        </w:rPr>
        <w:t xml:space="preserve"> </w:t>
      </w:r>
      <w:r w:rsidRPr="007F03DB">
        <w:rPr>
          <w:rFonts w:ascii="Arial" w:hAnsi="Arial" w:cs="Arial"/>
          <w:i/>
          <w:sz w:val="20"/>
        </w:rPr>
        <w:t>or</w:t>
      </w:r>
      <w:r w:rsidRPr="007F03DB">
        <w:rPr>
          <w:rFonts w:ascii="Arial" w:hAnsi="Arial" w:cs="Arial"/>
          <w:i/>
          <w:spacing w:val="-3"/>
          <w:sz w:val="20"/>
        </w:rPr>
        <w:t xml:space="preserve"> </w:t>
      </w:r>
      <w:r w:rsidRPr="007F03DB">
        <w:rPr>
          <w:rFonts w:ascii="Arial" w:hAnsi="Arial" w:cs="Arial"/>
          <w:i/>
          <w:sz w:val="20"/>
        </w:rPr>
        <w:t>CS-SRxxxy)</w:t>
      </w:r>
      <w:r w:rsidRPr="007F03DB">
        <w:rPr>
          <w:rFonts w:ascii="Arial" w:hAnsi="Arial" w:cs="Arial"/>
          <w:i/>
          <w:spacing w:val="-3"/>
          <w:sz w:val="20"/>
        </w:rPr>
        <w:t xml:space="preserve"> </w:t>
      </w:r>
      <w:r w:rsidRPr="007F03DB">
        <w:rPr>
          <w:rFonts w:ascii="Arial" w:hAnsi="Arial" w:cs="Arial"/>
          <w:i/>
          <w:sz w:val="20"/>
        </w:rPr>
        <w:t>&amp;</w:t>
      </w:r>
      <w:r w:rsidRPr="007F03DB">
        <w:rPr>
          <w:rFonts w:ascii="Arial" w:hAnsi="Arial" w:cs="Arial"/>
          <w:i/>
          <w:spacing w:val="-2"/>
          <w:sz w:val="20"/>
        </w:rPr>
        <w:t xml:space="preserve"> </w:t>
      </w:r>
      <w:r w:rsidRPr="007F03DB">
        <w:rPr>
          <w:rFonts w:ascii="Arial" w:hAnsi="Arial" w:cs="Arial"/>
          <w:i/>
          <w:sz w:val="20"/>
        </w:rPr>
        <w:t>title.</w:t>
      </w:r>
      <w:r w:rsidRPr="007F03DB">
        <w:rPr>
          <w:rFonts w:ascii="Arial" w:hAnsi="Arial" w:cs="Arial"/>
          <w:i/>
          <w:spacing w:val="-2"/>
          <w:sz w:val="20"/>
        </w:rPr>
        <w:t xml:space="preserve"> </w:t>
      </w:r>
      <w:r w:rsidRPr="007F03DB">
        <w:rPr>
          <w:rFonts w:ascii="Arial" w:hAnsi="Arial" w:cs="Arial"/>
          <w:i/>
          <w:sz w:val="20"/>
        </w:rPr>
        <w:t>Provide</w:t>
      </w:r>
      <w:r w:rsidRPr="007F03DB">
        <w:rPr>
          <w:rFonts w:ascii="Arial" w:hAnsi="Arial" w:cs="Arial"/>
          <w:i/>
          <w:spacing w:val="-4"/>
          <w:sz w:val="20"/>
        </w:rPr>
        <w:t xml:space="preserve"> </w:t>
      </w:r>
      <w:r w:rsidRPr="007F03DB">
        <w:rPr>
          <w:rFonts w:ascii="Arial" w:hAnsi="Arial" w:cs="Arial"/>
          <w:i/>
          <w:sz w:val="20"/>
        </w:rPr>
        <w:t>also</w:t>
      </w:r>
      <w:r w:rsidRPr="007F03DB">
        <w:rPr>
          <w:rFonts w:ascii="Arial" w:hAnsi="Arial" w:cs="Arial"/>
          <w:i/>
          <w:spacing w:val="-3"/>
          <w:sz w:val="20"/>
        </w:rPr>
        <w:t xml:space="preserve"> </w:t>
      </w:r>
      <w:r w:rsidRPr="007F03DB">
        <w:rPr>
          <w:rFonts w:ascii="Arial" w:hAnsi="Arial" w:cs="Arial"/>
          <w:i/>
          <w:sz w:val="20"/>
        </w:rPr>
        <w:t>a</w:t>
      </w:r>
      <w:r w:rsidRPr="007F03DB">
        <w:rPr>
          <w:rFonts w:ascii="Arial" w:hAnsi="Arial" w:cs="Arial"/>
          <w:i/>
          <w:spacing w:val="-3"/>
          <w:sz w:val="20"/>
        </w:rPr>
        <w:t xml:space="preserve"> </w:t>
      </w:r>
      <w:r w:rsidRPr="007F03DB">
        <w:rPr>
          <w:rFonts w:ascii="Arial" w:hAnsi="Arial" w:cs="Arial"/>
          <w:i/>
          <w:sz w:val="20"/>
        </w:rPr>
        <w:t>short</w:t>
      </w:r>
      <w:r w:rsidRPr="007F03DB">
        <w:rPr>
          <w:rFonts w:ascii="Arial" w:hAnsi="Arial" w:cs="Arial"/>
          <w:i/>
          <w:spacing w:val="-3"/>
          <w:sz w:val="20"/>
        </w:rPr>
        <w:t xml:space="preserve"> </w:t>
      </w:r>
      <w:r w:rsidRPr="007F03DB">
        <w:rPr>
          <w:rFonts w:ascii="Arial" w:hAnsi="Arial" w:cs="Arial"/>
          <w:i/>
          <w:sz w:val="20"/>
        </w:rPr>
        <w:t>description.</w:t>
      </w:r>
    </w:p>
    <w:p w14:paraId="150E3860" w14:textId="77777777" w:rsidR="007F03DB" w:rsidRPr="007F03DB" w:rsidRDefault="007F03DB" w:rsidP="00D34658">
      <w:pPr>
        <w:numPr>
          <w:ilvl w:val="0"/>
          <w:numId w:val="320"/>
        </w:numPr>
        <w:tabs>
          <w:tab w:val="left" w:pos="424"/>
        </w:tabs>
        <w:spacing w:before="121"/>
        <w:jc w:val="both"/>
        <w:rPr>
          <w:rFonts w:ascii="Arial" w:hAnsi="Arial" w:cs="Arial"/>
          <w:i/>
          <w:sz w:val="20"/>
        </w:rPr>
      </w:pPr>
      <w:r w:rsidRPr="007F03DB">
        <w:rPr>
          <w:rFonts w:ascii="Arial" w:hAnsi="Arial" w:cs="Arial"/>
          <w:i/>
          <w:sz w:val="20"/>
        </w:rPr>
        <w:t>Identify</w:t>
      </w:r>
      <w:r w:rsidRPr="007F03DB">
        <w:rPr>
          <w:rFonts w:ascii="Arial" w:hAnsi="Arial" w:cs="Arial"/>
          <w:i/>
          <w:spacing w:val="-2"/>
          <w:sz w:val="20"/>
        </w:rPr>
        <w:t xml:space="preserve"> </w:t>
      </w:r>
      <w:r w:rsidRPr="007F03DB">
        <w:rPr>
          <w:rFonts w:ascii="Arial" w:hAnsi="Arial" w:cs="Arial"/>
          <w:i/>
          <w:sz w:val="20"/>
        </w:rPr>
        <w:t>the</w:t>
      </w:r>
      <w:r w:rsidRPr="007F03DB">
        <w:rPr>
          <w:rFonts w:ascii="Arial" w:hAnsi="Arial" w:cs="Arial"/>
          <w:i/>
          <w:spacing w:val="-4"/>
          <w:sz w:val="20"/>
        </w:rPr>
        <w:t xml:space="preserve"> </w:t>
      </w:r>
      <w:r w:rsidRPr="007F03DB">
        <w:rPr>
          <w:rFonts w:ascii="Arial" w:hAnsi="Arial" w:cs="Arial"/>
          <w:i/>
          <w:sz w:val="20"/>
        </w:rPr>
        <w:t>aircraft</w:t>
      </w:r>
      <w:r w:rsidRPr="007F03DB">
        <w:rPr>
          <w:rFonts w:ascii="Arial" w:hAnsi="Arial" w:cs="Arial"/>
          <w:i/>
          <w:spacing w:val="-3"/>
          <w:sz w:val="20"/>
        </w:rPr>
        <w:t xml:space="preserve"> </w:t>
      </w:r>
      <w:r w:rsidRPr="007F03DB">
        <w:rPr>
          <w:rFonts w:ascii="Arial" w:hAnsi="Arial" w:cs="Arial"/>
          <w:i/>
          <w:sz w:val="20"/>
        </w:rPr>
        <w:t>(a/c)</w:t>
      </w:r>
      <w:r w:rsidRPr="007F03DB">
        <w:rPr>
          <w:rFonts w:ascii="Arial" w:hAnsi="Arial" w:cs="Arial"/>
          <w:i/>
          <w:spacing w:val="-3"/>
          <w:sz w:val="20"/>
        </w:rPr>
        <w:t xml:space="preserve"> </w:t>
      </w:r>
      <w:r w:rsidRPr="007F03DB">
        <w:rPr>
          <w:rFonts w:ascii="Arial" w:hAnsi="Arial" w:cs="Arial"/>
          <w:i/>
          <w:sz w:val="20"/>
        </w:rPr>
        <w:t>registration, serial</w:t>
      </w:r>
      <w:r w:rsidRPr="007F03DB">
        <w:rPr>
          <w:rFonts w:ascii="Arial" w:hAnsi="Arial" w:cs="Arial"/>
          <w:i/>
          <w:spacing w:val="-5"/>
          <w:sz w:val="20"/>
        </w:rPr>
        <w:t xml:space="preserve"> </w:t>
      </w:r>
      <w:r w:rsidRPr="007F03DB">
        <w:rPr>
          <w:rFonts w:ascii="Arial" w:hAnsi="Arial" w:cs="Arial"/>
          <w:i/>
          <w:sz w:val="20"/>
        </w:rPr>
        <w:t>number</w:t>
      </w:r>
      <w:r w:rsidRPr="007F03DB">
        <w:rPr>
          <w:rFonts w:ascii="Arial" w:hAnsi="Arial" w:cs="Arial"/>
          <w:i/>
          <w:spacing w:val="-3"/>
          <w:sz w:val="20"/>
        </w:rPr>
        <w:t xml:space="preserve"> </w:t>
      </w:r>
      <w:r w:rsidRPr="007F03DB">
        <w:rPr>
          <w:rFonts w:ascii="Arial" w:hAnsi="Arial" w:cs="Arial"/>
          <w:i/>
          <w:sz w:val="20"/>
        </w:rPr>
        <w:t>and</w:t>
      </w:r>
      <w:r w:rsidRPr="007F03DB">
        <w:rPr>
          <w:rFonts w:ascii="Arial" w:hAnsi="Arial" w:cs="Arial"/>
          <w:i/>
          <w:spacing w:val="-3"/>
          <w:sz w:val="20"/>
        </w:rPr>
        <w:t xml:space="preserve"> </w:t>
      </w:r>
      <w:r w:rsidRPr="007F03DB">
        <w:rPr>
          <w:rFonts w:ascii="Arial" w:hAnsi="Arial" w:cs="Arial"/>
          <w:i/>
          <w:sz w:val="20"/>
        </w:rPr>
        <w:t>type.</w:t>
      </w:r>
    </w:p>
    <w:p w14:paraId="5D9579D0" w14:textId="77777777" w:rsidR="007F03DB" w:rsidRPr="007F03DB" w:rsidRDefault="007F03DB" w:rsidP="00D34658">
      <w:pPr>
        <w:numPr>
          <w:ilvl w:val="0"/>
          <w:numId w:val="320"/>
        </w:numPr>
        <w:tabs>
          <w:tab w:val="left" w:pos="424"/>
        </w:tabs>
        <w:spacing w:before="120"/>
        <w:jc w:val="both"/>
        <w:rPr>
          <w:rFonts w:ascii="Arial" w:hAnsi="Arial" w:cs="Arial"/>
          <w:i/>
          <w:sz w:val="20"/>
        </w:rPr>
      </w:pPr>
      <w:r w:rsidRPr="007F03DB">
        <w:rPr>
          <w:rFonts w:ascii="Arial" w:hAnsi="Arial" w:cs="Arial"/>
          <w:i/>
          <w:sz w:val="20"/>
        </w:rPr>
        <w:t>List</w:t>
      </w:r>
      <w:r w:rsidRPr="007F03DB">
        <w:rPr>
          <w:rFonts w:ascii="Arial" w:hAnsi="Arial" w:cs="Arial"/>
          <w:i/>
          <w:spacing w:val="-4"/>
          <w:sz w:val="20"/>
        </w:rPr>
        <w:t xml:space="preserve"> </w:t>
      </w:r>
      <w:r w:rsidRPr="007F03DB">
        <w:rPr>
          <w:rFonts w:ascii="Arial" w:hAnsi="Arial" w:cs="Arial"/>
          <w:i/>
          <w:sz w:val="20"/>
        </w:rPr>
        <w:t>the</w:t>
      </w:r>
      <w:r w:rsidRPr="007F03DB">
        <w:rPr>
          <w:rFonts w:ascii="Arial" w:hAnsi="Arial" w:cs="Arial"/>
          <w:i/>
          <w:spacing w:val="-4"/>
          <w:sz w:val="20"/>
        </w:rPr>
        <w:t xml:space="preserve"> </w:t>
      </w:r>
      <w:r w:rsidRPr="007F03DB">
        <w:rPr>
          <w:rFonts w:ascii="Arial" w:hAnsi="Arial" w:cs="Arial"/>
          <w:i/>
          <w:sz w:val="20"/>
        </w:rPr>
        <w:t>parts'</w:t>
      </w:r>
      <w:r w:rsidRPr="007F03DB">
        <w:rPr>
          <w:rFonts w:ascii="Arial" w:hAnsi="Arial" w:cs="Arial"/>
          <w:i/>
          <w:spacing w:val="-2"/>
          <w:sz w:val="20"/>
        </w:rPr>
        <w:t xml:space="preserve"> </w:t>
      </w:r>
      <w:r w:rsidRPr="007F03DB">
        <w:rPr>
          <w:rFonts w:ascii="Arial" w:hAnsi="Arial" w:cs="Arial"/>
          <w:i/>
          <w:sz w:val="20"/>
        </w:rPr>
        <w:t>numbers</w:t>
      </w:r>
      <w:r w:rsidRPr="007F03DB">
        <w:rPr>
          <w:rFonts w:ascii="Arial" w:hAnsi="Arial" w:cs="Arial"/>
          <w:i/>
          <w:spacing w:val="-3"/>
          <w:sz w:val="20"/>
        </w:rPr>
        <w:t xml:space="preserve"> </w:t>
      </w:r>
      <w:r w:rsidRPr="007F03DB">
        <w:rPr>
          <w:rFonts w:ascii="Arial" w:hAnsi="Arial" w:cs="Arial"/>
          <w:i/>
          <w:sz w:val="20"/>
        </w:rPr>
        <w:t>and</w:t>
      </w:r>
      <w:r w:rsidRPr="007F03DB">
        <w:rPr>
          <w:rFonts w:ascii="Arial" w:hAnsi="Arial" w:cs="Arial"/>
          <w:i/>
          <w:spacing w:val="-2"/>
          <w:sz w:val="20"/>
        </w:rPr>
        <w:t xml:space="preserve"> </w:t>
      </w:r>
      <w:r w:rsidRPr="007F03DB">
        <w:rPr>
          <w:rFonts w:ascii="Arial" w:hAnsi="Arial" w:cs="Arial"/>
          <w:i/>
          <w:sz w:val="20"/>
        </w:rPr>
        <w:t>description</w:t>
      </w:r>
      <w:r w:rsidRPr="007F03DB">
        <w:rPr>
          <w:rFonts w:ascii="Arial" w:hAnsi="Arial" w:cs="Arial"/>
          <w:i/>
          <w:spacing w:val="-3"/>
          <w:sz w:val="20"/>
        </w:rPr>
        <w:t xml:space="preserve"> </w:t>
      </w:r>
      <w:r w:rsidRPr="007F03DB">
        <w:rPr>
          <w:rFonts w:ascii="Arial" w:hAnsi="Arial" w:cs="Arial"/>
          <w:i/>
          <w:sz w:val="20"/>
        </w:rPr>
        <w:t>for</w:t>
      </w:r>
      <w:r w:rsidRPr="007F03DB">
        <w:rPr>
          <w:rFonts w:ascii="Arial" w:hAnsi="Arial" w:cs="Arial"/>
          <w:i/>
          <w:spacing w:val="-3"/>
          <w:sz w:val="20"/>
        </w:rPr>
        <w:t xml:space="preserve"> </w:t>
      </w:r>
      <w:r w:rsidRPr="007F03DB">
        <w:rPr>
          <w:rFonts w:ascii="Arial" w:hAnsi="Arial" w:cs="Arial"/>
          <w:i/>
          <w:sz w:val="20"/>
        </w:rPr>
        <w:t>the</w:t>
      </w:r>
      <w:r w:rsidRPr="007F03DB">
        <w:rPr>
          <w:rFonts w:ascii="Arial" w:hAnsi="Arial" w:cs="Arial"/>
          <w:i/>
          <w:spacing w:val="-1"/>
          <w:sz w:val="20"/>
        </w:rPr>
        <w:t xml:space="preserve"> </w:t>
      </w:r>
      <w:r w:rsidRPr="007F03DB">
        <w:rPr>
          <w:rFonts w:ascii="Arial" w:hAnsi="Arial" w:cs="Arial"/>
          <w:i/>
          <w:sz w:val="20"/>
        </w:rPr>
        <w:t>parts</w:t>
      </w:r>
      <w:r w:rsidRPr="007F03DB">
        <w:rPr>
          <w:rFonts w:ascii="Arial" w:hAnsi="Arial" w:cs="Arial"/>
          <w:i/>
          <w:spacing w:val="-1"/>
          <w:sz w:val="20"/>
        </w:rPr>
        <w:t xml:space="preserve"> </w:t>
      </w:r>
      <w:r w:rsidRPr="007F03DB">
        <w:rPr>
          <w:rFonts w:ascii="Arial" w:hAnsi="Arial" w:cs="Arial"/>
          <w:i/>
          <w:sz w:val="20"/>
        </w:rPr>
        <w:t>installed.</w:t>
      </w:r>
      <w:r w:rsidRPr="007F03DB">
        <w:rPr>
          <w:rFonts w:ascii="Arial" w:hAnsi="Arial" w:cs="Arial"/>
          <w:i/>
          <w:spacing w:val="-2"/>
          <w:sz w:val="20"/>
        </w:rPr>
        <w:t xml:space="preserve"> </w:t>
      </w:r>
      <w:r w:rsidRPr="007F03DB">
        <w:rPr>
          <w:rFonts w:ascii="Arial" w:hAnsi="Arial" w:cs="Arial"/>
          <w:i/>
          <w:sz w:val="20"/>
        </w:rPr>
        <w:t>Refer</w:t>
      </w:r>
      <w:r w:rsidRPr="007F03DB">
        <w:rPr>
          <w:rFonts w:ascii="Arial" w:hAnsi="Arial" w:cs="Arial"/>
          <w:i/>
          <w:spacing w:val="-2"/>
          <w:sz w:val="20"/>
        </w:rPr>
        <w:t xml:space="preserve"> </w:t>
      </w:r>
      <w:r w:rsidRPr="007F03DB">
        <w:rPr>
          <w:rFonts w:ascii="Arial" w:hAnsi="Arial" w:cs="Arial"/>
          <w:i/>
          <w:sz w:val="20"/>
        </w:rPr>
        <w:t>to</w:t>
      </w:r>
      <w:r w:rsidRPr="007F03DB">
        <w:rPr>
          <w:rFonts w:ascii="Arial" w:hAnsi="Arial" w:cs="Arial"/>
          <w:i/>
          <w:spacing w:val="-3"/>
          <w:sz w:val="20"/>
        </w:rPr>
        <w:t xml:space="preserve"> </w:t>
      </w:r>
      <w:r w:rsidRPr="007F03DB">
        <w:rPr>
          <w:rFonts w:ascii="Arial" w:hAnsi="Arial" w:cs="Arial"/>
          <w:i/>
          <w:sz w:val="20"/>
        </w:rPr>
        <w:t>an</w:t>
      </w:r>
      <w:r w:rsidRPr="007F03DB">
        <w:rPr>
          <w:rFonts w:ascii="Arial" w:hAnsi="Arial" w:cs="Arial"/>
          <w:i/>
          <w:spacing w:val="-3"/>
          <w:sz w:val="20"/>
        </w:rPr>
        <w:t xml:space="preserve"> </w:t>
      </w:r>
      <w:r w:rsidRPr="007F03DB">
        <w:rPr>
          <w:rFonts w:ascii="Arial" w:hAnsi="Arial" w:cs="Arial"/>
          <w:i/>
          <w:sz w:val="20"/>
        </w:rPr>
        <w:t>auxiliary</w:t>
      </w:r>
      <w:r w:rsidRPr="007F03DB">
        <w:rPr>
          <w:rFonts w:ascii="Arial" w:hAnsi="Arial" w:cs="Arial"/>
          <w:i/>
          <w:spacing w:val="-3"/>
          <w:sz w:val="20"/>
        </w:rPr>
        <w:t xml:space="preserve"> </w:t>
      </w:r>
      <w:r w:rsidRPr="007F03DB">
        <w:rPr>
          <w:rFonts w:ascii="Arial" w:hAnsi="Arial" w:cs="Arial"/>
          <w:i/>
          <w:sz w:val="20"/>
        </w:rPr>
        <w:t>document</w:t>
      </w:r>
      <w:r w:rsidRPr="007F03DB">
        <w:rPr>
          <w:rFonts w:ascii="Arial" w:hAnsi="Arial" w:cs="Arial"/>
          <w:i/>
          <w:spacing w:val="-3"/>
          <w:sz w:val="20"/>
        </w:rPr>
        <w:t xml:space="preserve"> </w:t>
      </w:r>
      <w:r w:rsidRPr="007F03DB">
        <w:rPr>
          <w:rFonts w:ascii="Arial" w:hAnsi="Arial" w:cs="Arial"/>
          <w:i/>
          <w:sz w:val="20"/>
        </w:rPr>
        <w:t>if</w:t>
      </w:r>
      <w:r w:rsidRPr="007F03DB">
        <w:rPr>
          <w:rFonts w:ascii="Arial" w:hAnsi="Arial" w:cs="Arial"/>
          <w:i/>
          <w:spacing w:val="-3"/>
          <w:sz w:val="20"/>
        </w:rPr>
        <w:t xml:space="preserve"> </w:t>
      </w:r>
      <w:r w:rsidRPr="007F03DB">
        <w:rPr>
          <w:rFonts w:ascii="Arial" w:hAnsi="Arial" w:cs="Arial"/>
          <w:i/>
          <w:sz w:val="20"/>
        </w:rPr>
        <w:t>necessary.</w:t>
      </w:r>
    </w:p>
    <w:p w14:paraId="4A6F1094" w14:textId="77777777" w:rsidR="007F03DB" w:rsidRPr="007F03DB" w:rsidRDefault="007F03DB" w:rsidP="00D34658">
      <w:pPr>
        <w:numPr>
          <w:ilvl w:val="0"/>
          <w:numId w:val="320"/>
        </w:numPr>
        <w:tabs>
          <w:tab w:val="left" w:pos="424"/>
        </w:tabs>
        <w:spacing w:before="119"/>
        <w:jc w:val="both"/>
        <w:rPr>
          <w:rFonts w:ascii="Arial" w:hAnsi="Arial" w:cs="Arial"/>
          <w:i/>
          <w:sz w:val="20"/>
        </w:rPr>
      </w:pPr>
      <w:r w:rsidRPr="007F03DB">
        <w:rPr>
          <w:rFonts w:ascii="Arial" w:hAnsi="Arial" w:cs="Arial"/>
          <w:i/>
          <w:sz w:val="20"/>
        </w:rPr>
        <w:t>Identify</w:t>
      </w:r>
      <w:r w:rsidRPr="007F03DB">
        <w:rPr>
          <w:rFonts w:ascii="Arial" w:hAnsi="Arial" w:cs="Arial"/>
          <w:i/>
          <w:spacing w:val="-4"/>
          <w:sz w:val="20"/>
        </w:rPr>
        <w:t xml:space="preserve"> </w:t>
      </w:r>
      <w:r w:rsidRPr="007F03DB">
        <w:rPr>
          <w:rFonts w:ascii="Arial" w:hAnsi="Arial" w:cs="Arial"/>
          <w:i/>
          <w:sz w:val="20"/>
        </w:rPr>
        <w:t>affected</w:t>
      </w:r>
      <w:r w:rsidRPr="007F03DB">
        <w:rPr>
          <w:rFonts w:ascii="Arial" w:hAnsi="Arial" w:cs="Arial"/>
          <w:i/>
          <w:spacing w:val="-3"/>
          <w:sz w:val="20"/>
        </w:rPr>
        <w:t xml:space="preserve"> </w:t>
      </w:r>
      <w:r w:rsidRPr="007F03DB">
        <w:rPr>
          <w:rFonts w:ascii="Arial" w:hAnsi="Arial" w:cs="Arial"/>
          <w:i/>
          <w:sz w:val="20"/>
        </w:rPr>
        <w:t>aircraft</w:t>
      </w:r>
      <w:r w:rsidRPr="007F03DB">
        <w:rPr>
          <w:rFonts w:ascii="Arial" w:hAnsi="Arial" w:cs="Arial"/>
          <w:i/>
          <w:spacing w:val="-3"/>
          <w:sz w:val="20"/>
        </w:rPr>
        <w:t xml:space="preserve"> </w:t>
      </w:r>
      <w:r w:rsidRPr="007F03DB">
        <w:rPr>
          <w:rFonts w:ascii="Arial" w:hAnsi="Arial" w:cs="Arial"/>
          <w:i/>
          <w:sz w:val="20"/>
        </w:rPr>
        <w:t>manuals.</w:t>
      </w:r>
    </w:p>
    <w:p w14:paraId="21DBECD0" w14:textId="77777777" w:rsidR="007F03DB" w:rsidRPr="007F03DB" w:rsidRDefault="007F03DB" w:rsidP="00D34658">
      <w:pPr>
        <w:numPr>
          <w:ilvl w:val="0"/>
          <w:numId w:val="320"/>
        </w:numPr>
        <w:tabs>
          <w:tab w:val="left" w:pos="424"/>
        </w:tabs>
        <w:spacing w:before="121"/>
        <w:ind w:right="218"/>
        <w:jc w:val="both"/>
        <w:rPr>
          <w:rFonts w:ascii="Arial" w:hAnsi="Arial" w:cs="Arial"/>
          <w:i/>
          <w:sz w:val="20"/>
        </w:rPr>
      </w:pPr>
      <w:r w:rsidRPr="007F03DB">
        <w:rPr>
          <w:rFonts w:ascii="Arial" w:hAnsi="Arial" w:cs="Arial"/>
          <w:i/>
          <w:sz w:val="20"/>
        </w:rPr>
        <w:t>Refer to the documentation developed to support the SC/SR and its embodiment, including design data required by CS-STAN: design</w:t>
      </w:r>
      <w:r w:rsidRPr="007F03DB">
        <w:rPr>
          <w:rFonts w:ascii="Arial" w:hAnsi="Arial" w:cs="Arial"/>
          <w:i/>
          <w:spacing w:val="1"/>
          <w:sz w:val="20"/>
        </w:rPr>
        <w:t xml:space="preserve"> </w:t>
      </w:r>
      <w:r w:rsidRPr="007F03DB">
        <w:rPr>
          <w:rFonts w:ascii="Arial" w:hAnsi="Arial" w:cs="Arial"/>
          <w:i/>
          <w:sz w:val="20"/>
        </w:rPr>
        <w:t>definition, documents recording the showing of compliance with the certification specifications or any test result, etc. The documents'</w:t>
      </w:r>
      <w:r w:rsidRPr="007F03DB">
        <w:rPr>
          <w:rFonts w:ascii="Arial" w:hAnsi="Arial" w:cs="Arial"/>
          <w:i/>
          <w:spacing w:val="-34"/>
          <w:sz w:val="20"/>
        </w:rPr>
        <w:t xml:space="preserve"> </w:t>
      </w:r>
      <w:r w:rsidRPr="007F03DB">
        <w:rPr>
          <w:rFonts w:ascii="Arial" w:hAnsi="Arial" w:cs="Arial"/>
          <w:i/>
          <w:sz w:val="20"/>
        </w:rPr>
        <w:t>references</w:t>
      </w:r>
      <w:r w:rsidRPr="007F03DB">
        <w:rPr>
          <w:rFonts w:ascii="Arial" w:hAnsi="Arial" w:cs="Arial"/>
          <w:i/>
          <w:spacing w:val="-2"/>
          <w:sz w:val="20"/>
        </w:rPr>
        <w:t xml:space="preserve"> </w:t>
      </w:r>
      <w:r w:rsidRPr="007F03DB">
        <w:rPr>
          <w:rFonts w:ascii="Arial" w:hAnsi="Arial" w:cs="Arial"/>
          <w:i/>
          <w:sz w:val="20"/>
        </w:rPr>
        <w:t>should</w:t>
      </w:r>
      <w:r w:rsidRPr="007F03DB">
        <w:rPr>
          <w:rFonts w:ascii="Arial" w:hAnsi="Arial" w:cs="Arial"/>
          <w:i/>
          <w:spacing w:val="-1"/>
          <w:sz w:val="20"/>
        </w:rPr>
        <w:t xml:space="preserve"> </w:t>
      </w:r>
      <w:r w:rsidRPr="007F03DB">
        <w:rPr>
          <w:rFonts w:ascii="Arial" w:hAnsi="Arial" w:cs="Arial"/>
          <w:i/>
          <w:sz w:val="20"/>
        </w:rPr>
        <w:t>quote</w:t>
      </w:r>
      <w:r w:rsidRPr="007F03DB">
        <w:rPr>
          <w:rFonts w:ascii="Arial" w:hAnsi="Arial" w:cs="Arial"/>
          <w:i/>
          <w:spacing w:val="1"/>
          <w:sz w:val="20"/>
        </w:rPr>
        <w:t xml:space="preserve"> </w:t>
      </w:r>
      <w:r w:rsidRPr="007F03DB">
        <w:rPr>
          <w:rFonts w:ascii="Arial" w:hAnsi="Arial" w:cs="Arial"/>
          <w:i/>
          <w:sz w:val="20"/>
        </w:rPr>
        <w:t>their</w:t>
      </w:r>
      <w:r w:rsidRPr="007F03DB">
        <w:rPr>
          <w:rFonts w:ascii="Arial" w:hAnsi="Arial" w:cs="Arial"/>
          <w:i/>
          <w:spacing w:val="1"/>
          <w:sz w:val="20"/>
        </w:rPr>
        <w:t xml:space="preserve"> </w:t>
      </w:r>
      <w:r w:rsidRPr="007F03DB">
        <w:rPr>
          <w:rFonts w:ascii="Arial" w:hAnsi="Arial" w:cs="Arial"/>
          <w:i/>
          <w:sz w:val="20"/>
        </w:rPr>
        <w:t>revision/issue.</w:t>
      </w:r>
    </w:p>
    <w:p w14:paraId="0D18A262" w14:textId="77777777" w:rsidR="007F03DB" w:rsidRPr="007F03DB" w:rsidRDefault="007F03DB" w:rsidP="00D34658">
      <w:pPr>
        <w:numPr>
          <w:ilvl w:val="0"/>
          <w:numId w:val="320"/>
        </w:numPr>
        <w:tabs>
          <w:tab w:val="left" w:pos="424"/>
        </w:tabs>
        <w:spacing w:before="120"/>
        <w:jc w:val="both"/>
        <w:rPr>
          <w:rFonts w:ascii="Arial" w:hAnsi="Arial" w:cs="Arial"/>
          <w:i/>
          <w:sz w:val="20"/>
        </w:rPr>
      </w:pPr>
      <w:r w:rsidRPr="007F03DB">
        <w:rPr>
          <w:rFonts w:ascii="Arial" w:hAnsi="Arial" w:cs="Arial"/>
          <w:i/>
          <w:sz w:val="20"/>
        </w:rPr>
        <w:t>Identify</w:t>
      </w:r>
      <w:r w:rsidRPr="007F03DB">
        <w:rPr>
          <w:rFonts w:ascii="Arial" w:hAnsi="Arial" w:cs="Arial"/>
          <w:i/>
          <w:spacing w:val="-2"/>
          <w:sz w:val="20"/>
        </w:rPr>
        <w:t xml:space="preserve"> </w:t>
      </w:r>
      <w:r w:rsidRPr="007F03DB">
        <w:rPr>
          <w:rFonts w:ascii="Arial" w:hAnsi="Arial" w:cs="Arial"/>
          <w:i/>
          <w:sz w:val="20"/>
        </w:rPr>
        <w:t>instructions</w:t>
      </w:r>
      <w:r w:rsidRPr="007F03DB">
        <w:rPr>
          <w:rFonts w:ascii="Arial" w:hAnsi="Arial" w:cs="Arial"/>
          <w:i/>
          <w:spacing w:val="-2"/>
          <w:sz w:val="20"/>
        </w:rPr>
        <w:t xml:space="preserve"> </w:t>
      </w:r>
      <w:r w:rsidRPr="007F03DB">
        <w:rPr>
          <w:rFonts w:ascii="Arial" w:hAnsi="Arial" w:cs="Arial"/>
          <w:i/>
          <w:sz w:val="20"/>
        </w:rPr>
        <w:t>for</w:t>
      </w:r>
      <w:r w:rsidRPr="007F03DB">
        <w:rPr>
          <w:rFonts w:ascii="Arial" w:hAnsi="Arial" w:cs="Arial"/>
          <w:i/>
          <w:spacing w:val="-3"/>
          <w:sz w:val="20"/>
        </w:rPr>
        <w:t xml:space="preserve"> </w:t>
      </w:r>
      <w:r w:rsidRPr="007F03DB">
        <w:rPr>
          <w:rFonts w:ascii="Arial" w:hAnsi="Arial" w:cs="Arial"/>
          <w:i/>
          <w:sz w:val="20"/>
        </w:rPr>
        <w:t>continuing</w:t>
      </w:r>
      <w:r w:rsidRPr="007F03DB">
        <w:rPr>
          <w:rFonts w:ascii="Arial" w:hAnsi="Arial" w:cs="Arial"/>
          <w:i/>
          <w:spacing w:val="-3"/>
          <w:sz w:val="20"/>
        </w:rPr>
        <w:t xml:space="preserve"> </w:t>
      </w:r>
      <w:r w:rsidRPr="007F03DB">
        <w:rPr>
          <w:rFonts w:ascii="Arial" w:hAnsi="Arial" w:cs="Arial"/>
          <w:i/>
          <w:sz w:val="20"/>
        </w:rPr>
        <w:t>airworthiness</w:t>
      </w:r>
      <w:r w:rsidRPr="007F03DB">
        <w:rPr>
          <w:rFonts w:ascii="Arial" w:hAnsi="Arial" w:cs="Arial"/>
          <w:i/>
          <w:spacing w:val="-1"/>
          <w:sz w:val="20"/>
        </w:rPr>
        <w:t xml:space="preserve"> </w:t>
      </w:r>
      <w:r w:rsidRPr="007F03DB">
        <w:rPr>
          <w:rFonts w:ascii="Arial" w:hAnsi="Arial" w:cs="Arial"/>
          <w:i/>
          <w:sz w:val="20"/>
        </w:rPr>
        <w:t>that</w:t>
      </w:r>
      <w:r w:rsidRPr="007F03DB">
        <w:rPr>
          <w:rFonts w:ascii="Arial" w:hAnsi="Arial" w:cs="Arial"/>
          <w:i/>
          <w:spacing w:val="-4"/>
          <w:sz w:val="20"/>
        </w:rPr>
        <w:t xml:space="preserve"> </w:t>
      </w:r>
      <w:r w:rsidRPr="007F03DB">
        <w:rPr>
          <w:rFonts w:ascii="Arial" w:hAnsi="Arial" w:cs="Arial"/>
          <w:i/>
          <w:sz w:val="20"/>
        </w:rPr>
        <w:t>need</w:t>
      </w:r>
      <w:r w:rsidRPr="007F03DB">
        <w:rPr>
          <w:rFonts w:ascii="Arial" w:hAnsi="Arial" w:cs="Arial"/>
          <w:i/>
          <w:spacing w:val="-3"/>
          <w:sz w:val="20"/>
        </w:rPr>
        <w:t xml:space="preserve"> </w:t>
      </w:r>
      <w:r w:rsidRPr="007F03DB">
        <w:rPr>
          <w:rFonts w:ascii="Arial" w:hAnsi="Arial" w:cs="Arial"/>
          <w:i/>
          <w:sz w:val="20"/>
        </w:rPr>
        <w:t>to</w:t>
      </w:r>
      <w:r w:rsidRPr="007F03DB">
        <w:rPr>
          <w:rFonts w:ascii="Arial" w:hAnsi="Arial" w:cs="Arial"/>
          <w:i/>
          <w:spacing w:val="-4"/>
          <w:sz w:val="20"/>
        </w:rPr>
        <w:t xml:space="preserve"> </w:t>
      </w:r>
      <w:r w:rsidRPr="007F03DB">
        <w:rPr>
          <w:rFonts w:ascii="Arial" w:hAnsi="Arial" w:cs="Arial"/>
          <w:i/>
          <w:sz w:val="20"/>
        </w:rPr>
        <w:t>be</w:t>
      </w:r>
      <w:r w:rsidRPr="007F03DB">
        <w:rPr>
          <w:rFonts w:ascii="Arial" w:hAnsi="Arial" w:cs="Arial"/>
          <w:i/>
          <w:spacing w:val="-2"/>
          <w:sz w:val="20"/>
        </w:rPr>
        <w:t xml:space="preserve"> </w:t>
      </w:r>
      <w:r w:rsidRPr="007F03DB">
        <w:rPr>
          <w:rFonts w:ascii="Arial" w:hAnsi="Arial" w:cs="Arial"/>
          <w:i/>
          <w:sz w:val="20"/>
        </w:rPr>
        <w:t>considered</w:t>
      </w:r>
      <w:r w:rsidRPr="007F03DB">
        <w:rPr>
          <w:rFonts w:ascii="Arial" w:hAnsi="Arial" w:cs="Arial"/>
          <w:i/>
          <w:spacing w:val="-3"/>
          <w:sz w:val="20"/>
        </w:rPr>
        <w:t xml:space="preserve"> </w:t>
      </w:r>
      <w:r w:rsidRPr="007F03DB">
        <w:rPr>
          <w:rFonts w:ascii="Arial" w:hAnsi="Arial" w:cs="Arial"/>
          <w:i/>
          <w:sz w:val="20"/>
        </w:rPr>
        <w:t>for</w:t>
      </w:r>
      <w:r w:rsidRPr="007F03DB">
        <w:rPr>
          <w:rFonts w:ascii="Arial" w:hAnsi="Arial" w:cs="Arial"/>
          <w:i/>
          <w:spacing w:val="-4"/>
          <w:sz w:val="20"/>
        </w:rPr>
        <w:t xml:space="preserve"> </w:t>
      </w:r>
      <w:r w:rsidRPr="007F03DB">
        <w:rPr>
          <w:rFonts w:ascii="Arial" w:hAnsi="Arial" w:cs="Arial"/>
          <w:i/>
          <w:sz w:val="20"/>
        </w:rPr>
        <w:t>the</w:t>
      </w:r>
      <w:r w:rsidRPr="007F03DB">
        <w:rPr>
          <w:rFonts w:ascii="Arial" w:hAnsi="Arial" w:cs="Arial"/>
          <w:i/>
          <w:spacing w:val="-3"/>
          <w:sz w:val="20"/>
        </w:rPr>
        <w:t xml:space="preserve"> </w:t>
      </w:r>
      <w:r w:rsidRPr="007F03DB">
        <w:rPr>
          <w:rFonts w:ascii="Arial" w:hAnsi="Arial" w:cs="Arial"/>
          <w:i/>
          <w:sz w:val="20"/>
        </w:rPr>
        <w:t>aircraft</w:t>
      </w:r>
      <w:r w:rsidRPr="007F03DB">
        <w:rPr>
          <w:rFonts w:ascii="Arial" w:hAnsi="Arial" w:cs="Arial"/>
          <w:i/>
          <w:spacing w:val="-4"/>
          <w:sz w:val="20"/>
        </w:rPr>
        <w:t xml:space="preserve"> </w:t>
      </w:r>
      <w:r w:rsidRPr="007F03DB">
        <w:rPr>
          <w:rFonts w:ascii="Arial" w:hAnsi="Arial" w:cs="Arial"/>
          <w:i/>
          <w:sz w:val="20"/>
        </w:rPr>
        <w:t>maintenance</w:t>
      </w:r>
      <w:r w:rsidRPr="007F03DB">
        <w:rPr>
          <w:rFonts w:ascii="Arial" w:hAnsi="Arial" w:cs="Arial"/>
          <w:i/>
          <w:spacing w:val="-3"/>
          <w:sz w:val="20"/>
        </w:rPr>
        <w:t xml:space="preserve"> </w:t>
      </w:r>
      <w:r w:rsidRPr="007F03DB">
        <w:rPr>
          <w:rFonts w:ascii="Arial" w:hAnsi="Arial" w:cs="Arial"/>
          <w:i/>
          <w:sz w:val="20"/>
        </w:rPr>
        <w:t>programme</w:t>
      </w:r>
      <w:r w:rsidRPr="007F03DB">
        <w:rPr>
          <w:rFonts w:ascii="Arial" w:hAnsi="Arial" w:cs="Arial"/>
          <w:i/>
          <w:spacing w:val="-4"/>
          <w:sz w:val="20"/>
        </w:rPr>
        <w:t xml:space="preserve"> </w:t>
      </w:r>
      <w:r w:rsidRPr="007F03DB">
        <w:rPr>
          <w:rFonts w:ascii="Arial" w:hAnsi="Arial" w:cs="Arial"/>
          <w:i/>
          <w:sz w:val="20"/>
        </w:rPr>
        <w:t>review.</w:t>
      </w:r>
    </w:p>
    <w:p w14:paraId="051A53A2" w14:textId="77777777" w:rsidR="007F03DB" w:rsidRPr="007F03DB" w:rsidRDefault="007F03DB" w:rsidP="00D34658">
      <w:pPr>
        <w:numPr>
          <w:ilvl w:val="0"/>
          <w:numId w:val="320"/>
        </w:numPr>
        <w:tabs>
          <w:tab w:val="left" w:pos="424"/>
        </w:tabs>
        <w:spacing w:before="119" w:line="388" w:lineRule="auto"/>
        <w:ind w:left="140" w:right="-64" w:firstLine="0"/>
        <w:jc w:val="both"/>
        <w:rPr>
          <w:rFonts w:ascii="Arial" w:hAnsi="Arial" w:cs="Arial"/>
          <w:i/>
          <w:sz w:val="20"/>
        </w:rPr>
      </w:pPr>
      <w:r w:rsidRPr="007F03DB">
        <w:rPr>
          <w:rFonts w:ascii="Arial" w:hAnsi="Arial" w:cs="Arial"/>
          <w:i/>
          <w:sz w:val="20"/>
        </w:rPr>
        <w:t>To be used as deemed</w:t>
      </w:r>
      <w:r>
        <w:rPr>
          <w:rFonts w:ascii="Arial" w:hAnsi="Arial" w:cs="Arial"/>
          <w:i/>
          <w:sz w:val="20"/>
        </w:rPr>
        <w:t xml:space="preserve"> </w:t>
      </w:r>
      <w:r w:rsidRPr="007F03DB">
        <w:rPr>
          <w:rFonts w:ascii="Arial" w:hAnsi="Arial" w:cs="Arial"/>
          <w:i/>
          <w:sz w:val="20"/>
        </w:rPr>
        <w:t>necessary by the installer.</w:t>
      </w:r>
      <w:r w:rsidRPr="007F03DB">
        <w:rPr>
          <w:rFonts w:ascii="Arial" w:hAnsi="Arial" w:cs="Arial"/>
          <w:i/>
          <w:spacing w:val="-34"/>
          <w:sz w:val="20"/>
        </w:rPr>
        <w:t xml:space="preserve"> </w:t>
      </w:r>
    </w:p>
    <w:p w14:paraId="5E073302" w14:textId="77777777" w:rsidR="007F03DB" w:rsidRPr="007F03DB" w:rsidRDefault="007F03DB" w:rsidP="007F03DB">
      <w:pPr>
        <w:tabs>
          <w:tab w:val="left" w:pos="424"/>
        </w:tabs>
        <w:spacing w:before="119" w:line="388" w:lineRule="auto"/>
        <w:ind w:left="140" w:right="-64"/>
        <w:jc w:val="both"/>
        <w:rPr>
          <w:rFonts w:ascii="Arial" w:hAnsi="Arial" w:cs="Arial"/>
          <w:i/>
          <w:sz w:val="20"/>
        </w:rPr>
      </w:pPr>
      <w:r w:rsidRPr="007F03DB">
        <w:rPr>
          <w:rFonts w:ascii="Arial" w:hAnsi="Arial" w:cs="Arial"/>
          <w:i/>
          <w:sz w:val="20"/>
        </w:rPr>
        <w:t>9a.,</w:t>
      </w:r>
      <w:r w:rsidRPr="007F03DB">
        <w:rPr>
          <w:rFonts w:ascii="Arial" w:hAnsi="Arial" w:cs="Arial"/>
          <w:i/>
          <w:spacing w:val="-1"/>
          <w:sz w:val="20"/>
        </w:rPr>
        <w:t xml:space="preserve"> </w:t>
      </w:r>
      <w:r w:rsidRPr="007F03DB">
        <w:rPr>
          <w:rFonts w:ascii="Arial" w:hAnsi="Arial" w:cs="Arial"/>
          <w:i/>
          <w:sz w:val="20"/>
        </w:rPr>
        <w:t>9b.,</w:t>
      </w:r>
      <w:r w:rsidRPr="007F03DB">
        <w:rPr>
          <w:rFonts w:ascii="Arial" w:hAnsi="Arial" w:cs="Arial"/>
          <w:i/>
          <w:spacing w:val="-2"/>
          <w:sz w:val="20"/>
        </w:rPr>
        <w:t xml:space="preserve"> </w:t>
      </w:r>
      <w:r w:rsidRPr="007F03DB">
        <w:rPr>
          <w:rFonts w:ascii="Arial" w:hAnsi="Arial" w:cs="Arial"/>
          <w:i/>
          <w:sz w:val="20"/>
        </w:rPr>
        <w:t>10. and</w:t>
      </w:r>
      <w:r w:rsidRPr="007F03DB">
        <w:rPr>
          <w:rFonts w:ascii="Arial" w:hAnsi="Arial" w:cs="Arial"/>
          <w:i/>
          <w:spacing w:val="-1"/>
          <w:sz w:val="20"/>
        </w:rPr>
        <w:t xml:space="preserve"> </w:t>
      </w:r>
      <w:r w:rsidRPr="007F03DB">
        <w:rPr>
          <w:rFonts w:ascii="Arial" w:hAnsi="Arial" w:cs="Arial"/>
          <w:i/>
          <w:sz w:val="20"/>
        </w:rPr>
        <w:t>12.</w:t>
      </w:r>
      <w:r w:rsidRPr="007F03DB">
        <w:rPr>
          <w:rFonts w:ascii="Arial" w:hAnsi="Arial" w:cs="Arial"/>
          <w:i/>
          <w:spacing w:val="-3"/>
          <w:sz w:val="20"/>
        </w:rPr>
        <w:t xml:space="preserve"> </w:t>
      </w:r>
      <w:r w:rsidRPr="007F03DB">
        <w:rPr>
          <w:rFonts w:ascii="Arial" w:hAnsi="Arial" w:cs="Arial"/>
          <w:i/>
          <w:sz w:val="20"/>
        </w:rPr>
        <w:t>Self-explanatory.</w:t>
      </w:r>
    </w:p>
    <w:p w14:paraId="553CC6AA" w14:textId="77777777" w:rsidR="007F03DB" w:rsidRPr="007F03DB" w:rsidRDefault="007F03DB" w:rsidP="007F03DB">
      <w:pPr>
        <w:spacing w:line="194" w:lineRule="exact"/>
        <w:ind w:left="140"/>
        <w:jc w:val="both"/>
        <w:rPr>
          <w:rFonts w:ascii="Arial" w:hAnsi="Arial" w:cs="Arial"/>
          <w:i/>
          <w:sz w:val="20"/>
        </w:rPr>
      </w:pPr>
      <w:r w:rsidRPr="007F03DB">
        <w:rPr>
          <w:rFonts w:ascii="Arial" w:hAnsi="Arial" w:cs="Arial"/>
          <w:i/>
          <w:sz w:val="20"/>
        </w:rPr>
        <w:t>11.</w:t>
      </w:r>
      <w:r w:rsidRPr="007F03DB">
        <w:rPr>
          <w:rFonts w:ascii="Arial" w:hAnsi="Arial" w:cs="Arial"/>
          <w:i/>
          <w:spacing w:val="6"/>
          <w:sz w:val="20"/>
        </w:rPr>
        <w:t xml:space="preserve"> </w:t>
      </w:r>
      <w:r w:rsidRPr="007F03DB">
        <w:rPr>
          <w:rFonts w:ascii="Arial" w:hAnsi="Arial" w:cs="Arial"/>
          <w:i/>
          <w:sz w:val="20"/>
        </w:rPr>
        <w:t>Give</w:t>
      </w:r>
      <w:r w:rsidRPr="007F03DB">
        <w:rPr>
          <w:rFonts w:ascii="Arial" w:hAnsi="Arial" w:cs="Arial"/>
          <w:i/>
          <w:spacing w:val="-3"/>
          <w:sz w:val="20"/>
        </w:rPr>
        <w:t xml:space="preserve"> </w:t>
      </w:r>
      <w:r w:rsidRPr="007F03DB">
        <w:rPr>
          <w:rFonts w:ascii="Arial" w:hAnsi="Arial" w:cs="Arial"/>
          <w:i/>
          <w:sz w:val="20"/>
        </w:rPr>
        <w:t>full</w:t>
      </w:r>
      <w:r w:rsidRPr="007F03DB">
        <w:rPr>
          <w:rFonts w:ascii="Arial" w:hAnsi="Arial" w:cs="Arial"/>
          <w:i/>
          <w:spacing w:val="-2"/>
          <w:sz w:val="20"/>
        </w:rPr>
        <w:t xml:space="preserve"> </w:t>
      </w:r>
      <w:r w:rsidRPr="007F03DB">
        <w:rPr>
          <w:rFonts w:ascii="Arial" w:hAnsi="Arial" w:cs="Arial"/>
          <w:i/>
          <w:sz w:val="20"/>
        </w:rPr>
        <w:t>name</w:t>
      </w:r>
      <w:r w:rsidRPr="007F03DB">
        <w:rPr>
          <w:rFonts w:ascii="Arial" w:hAnsi="Arial" w:cs="Arial"/>
          <w:i/>
          <w:spacing w:val="-2"/>
          <w:sz w:val="20"/>
        </w:rPr>
        <w:t xml:space="preserve"> </w:t>
      </w:r>
      <w:r w:rsidRPr="007F03DB">
        <w:rPr>
          <w:rFonts w:ascii="Arial" w:hAnsi="Arial" w:cs="Arial"/>
          <w:i/>
          <w:sz w:val="20"/>
        </w:rPr>
        <w:t>details</w:t>
      </w:r>
      <w:r w:rsidRPr="007F03DB">
        <w:rPr>
          <w:rFonts w:ascii="Arial" w:hAnsi="Arial" w:cs="Arial"/>
          <w:i/>
          <w:spacing w:val="-2"/>
          <w:sz w:val="20"/>
        </w:rPr>
        <w:t xml:space="preserve"> </w:t>
      </w:r>
      <w:r w:rsidRPr="007F03DB">
        <w:rPr>
          <w:rFonts w:ascii="Arial" w:hAnsi="Arial" w:cs="Arial"/>
          <w:i/>
          <w:sz w:val="20"/>
        </w:rPr>
        <w:t>and certificate reference</w:t>
      </w:r>
      <w:r w:rsidRPr="007F03DB">
        <w:rPr>
          <w:rFonts w:ascii="Arial" w:hAnsi="Arial" w:cs="Arial"/>
          <w:i/>
          <w:spacing w:val="-2"/>
          <w:sz w:val="20"/>
        </w:rPr>
        <w:t xml:space="preserve"> </w:t>
      </w:r>
      <w:r w:rsidRPr="007F03DB">
        <w:rPr>
          <w:rFonts w:ascii="Arial" w:hAnsi="Arial" w:cs="Arial"/>
          <w:i/>
          <w:sz w:val="20"/>
        </w:rPr>
        <w:t>(of</w:t>
      </w:r>
      <w:r w:rsidRPr="007F03DB">
        <w:rPr>
          <w:rFonts w:ascii="Arial" w:hAnsi="Arial" w:cs="Arial"/>
          <w:i/>
          <w:spacing w:val="-2"/>
          <w:sz w:val="20"/>
        </w:rPr>
        <w:t xml:space="preserve"> </w:t>
      </w:r>
      <w:r w:rsidRPr="007F03DB">
        <w:rPr>
          <w:rFonts w:ascii="Arial" w:hAnsi="Arial" w:cs="Arial"/>
          <w:i/>
          <w:sz w:val="20"/>
        </w:rPr>
        <w:t>the</w:t>
      </w:r>
      <w:r w:rsidRPr="007F03DB">
        <w:rPr>
          <w:rFonts w:ascii="Arial" w:hAnsi="Arial" w:cs="Arial"/>
          <w:i/>
          <w:spacing w:val="-3"/>
          <w:sz w:val="20"/>
        </w:rPr>
        <w:t xml:space="preserve"> </w:t>
      </w:r>
      <w:r w:rsidRPr="007F03DB">
        <w:rPr>
          <w:rFonts w:ascii="Arial" w:hAnsi="Arial" w:cs="Arial"/>
          <w:i/>
          <w:sz w:val="20"/>
        </w:rPr>
        <w:t>natural</w:t>
      </w:r>
      <w:r w:rsidRPr="007F03DB">
        <w:rPr>
          <w:rFonts w:ascii="Arial" w:hAnsi="Arial" w:cs="Arial"/>
          <w:i/>
          <w:spacing w:val="-3"/>
          <w:sz w:val="20"/>
        </w:rPr>
        <w:t xml:space="preserve"> </w:t>
      </w:r>
      <w:r w:rsidRPr="007F03DB">
        <w:rPr>
          <w:rFonts w:ascii="Arial" w:hAnsi="Arial" w:cs="Arial"/>
          <w:i/>
          <w:sz w:val="20"/>
        </w:rPr>
        <w:t>or</w:t>
      </w:r>
      <w:r w:rsidRPr="007F03DB">
        <w:rPr>
          <w:rFonts w:ascii="Arial" w:hAnsi="Arial" w:cs="Arial"/>
          <w:i/>
          <w:spacing w:val="-2"/>
          <w:sz w:val="20"/>
        </w:rPr>
        <w:t xml:space="preserve"> </w:t>
      </w:r>
      <w:r w:rsidRPr="007F03DB">
        <w:rPr>
          <w:rFonts w:ascii="Arial" w:hAnsi="Arial" w:cs="Arial"/>
          <w:i/>
          <w:sz w:val="20"/>
        </w:rPr>
        <w:t>legal</w:t>
      </w:r>
      <w:r w:rsidRPr="007F03DB">
        <w:rPr>
          <w:rFonts w:ascii="Arial" w:hAnsi="Arial" w:cs="Arial"/>
          <w:i/>
          <w:spacing w:val="-3"/>
          <w:sz w:val="20"/>
        </w:rPr>
        <w:t xml:space="preserve"> </w:t>
      </w:r>
      <w:r w:rsidRPr="007F03DB">
        <w:rPr>
          <w:rFonts w:ascii="Arial" w:hAnsi="Arial" w:cs="Arial"/>
          <w:i/>
          <w:sz w:val="20"/>
        </w:rPr>
        <w:t>person)</w:t>
      </w:r>
      <w:r w:rsidRPr="007F03DB">
        <w:rPr>
          <w:rFonts w:ascii="Arial" w:hAnsi="Arial" w:cs="Arial"/>
          <w:i/>
          <w:spacing w:val="-3"/>
          <w:sz w:val="20"/>
        </w:rPr>
        <w:t xml:space="preserve"> </w:t>
      </w:r>
      <w:r w:rsidRPr="007F03DB">
        <w:rPr>
          <w:rFonts w:ascii="Arial" w:hAnsi="Arial" w:cs="Arial"/>
          <w:i/>
          <w:sz w:val="20"/>
        </w:rPr>
        <w:t>used</w:t>
      </w:r>
      <w:r w:rsidRPr="007F03DB">
        <w:rPr>
          <w:rFonts w:ascii="Arial" w:hAnsi="Arial" w:cs="Arial"/>
          <w:i/>
          <w:spacing w:val="-2"/>
          <w:sz w:val="20"/>
        </w:rPr>
        <w:t xml:space="preserve"> </w:t>
      </w:r>
      <w:r w:rsidRPr="007F03DB">
        <w:rPr>
          <w:rFonts w:ascii="Arial" w:hAnsi="Arial" w:cs="Arial"/>
          <w:i/>
          <w:sz w:val="20"/>
        </w:rPr>
        <w:t>for</w:t>
      </w:r>
      <w:r w:rsidRPr="007F03DB">
        <w:rPr>
          <w:rFonts w:ascii="Arial" w:hAnsi="Arial" w:cs="Arial"/>
          <w:i/>
          <w:spacing w:val="-2"/>
          <w:sz w:val="20"/>
        </w:rPr>
        <w:t xml:space="preserve"> </w:t>
      </w:r>
      <w:r w:rsidRPr="007F03DB">
        <w:rPr>
          <w:rFonts w:ascii="Arial" w:hAnsi="Arial" w:cs="Arial"/>
          <w:i/>
          <w:sz w:val="20"/>
        </w:rPr>
        <w:t>issuing</w:t>
      </w:r>
      <w:r w:rsidRPr="007F03DB">
        <w:rPr>
          <w:rFonts w:ascii="Arial" w:hAnsi="Arial" w:cs="Arial"/>
          <w:i/>
          <w:spacing w:val="-1"/>
          <w:sz w:val="20"/>
        </w:rPr>
        <w:t xml:space="preserve"> </w:t>
      </w:r>
      <w:r w:rsidRPr="007F03DB">
        <w:rPr>
          <w:rFonts w:ascii="Arial" w:hAnsi="Arial" w:cs="Arial"/>
          <w:i/>
          <w:sz w:val="20"/>
        </w:rPr>
        <w:t>the aircraft</w:t>
      </w:r>
      <w:r w:rsidRPr="007F03DB">
        <w:rPr>
          <w:rFonts w:ascii="Arial" w:hAnsi="Arial" w:cs="Arial"/>
          <w:i/>
          <w:spacing w:val="-3"/>
          <w:sz w:val="20"/>
        </w:rPr>
        <w:t xml:space="preserve"> </w:t>
      </w:r>
      <w:r w:rsidRPr="007F03DB">
        <w:rPr>
          <w:rFonts w:ascii="Arial" w:hAnsi="Arial" w:cs="Arial"/>
          <w:i/>
          <w:sz w:val="20"/>
        </w:rPr>
        <w:t>release</w:t>
      </w:r>
      <w:r w:rsidRPr="007F03DB">
        <w:rPr>
          <w:rFonts w:ascii="Arial" w:hAnsi="Arial" w:cs="Arial"/>
          <w:i/>
          <w:spacing w:val="-2"/>
          <w:sz w:val="20"/>
        </w:rPr>
        <w:t xml:space="preserve"> </w:t>
      </w:r>
      <w:r w:rsidRPr="007F03DB">
        <w:rPr>
          <w:rFonts w:ascii="Arial" w:hAnsi="Arial" w:cs="Arial"/>
          <w:i/>
          <w:sz w:val="20"/>
        </w:rPr>
        <w:t>to</w:t>
      </w:r>
      <w:r w:rsidRPr="007F03DB">
        <w:rPr>
          <w:rFonts w:ascii="Arial" w:hAnsi="Arial" w:cs="Arial"/>
          <w:i/>
          <w:spacing w:val="-2"/>
          <w:sz w:val="20"/>
        </w:rPr>
        <w:t xml:space="preserve"> </w:t>
      </w:r>
      <w:r w:rsidRPr="007F03DB">
        <w:rPr>
          <w:rFonts w:ascii="Arial" w:hAnsi="Arial" w:cs="Arial"/>
          <w:i/>
          <w:sz w:val="20"/>
        </w:rPr>
        <w:t>service.</w:t>
      </w:r>
    </w:p>
    <w:p w14:paraId="179E5A07" w14:textId="77777777" w:rsidR="0052488E" w:rsidRPr="0052488E" w:rsidRDefault="0052488E" w:rsidP="0052488E">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903" w:name="_Toc153137546"/>
      <w:r w:rsidRPr="0052488E">
        <w:rPr>
          <w:rFonts w:ascii="Arial" w:eastAsia="Times New Roman" w:hAnsi="Arial" w:cs="Times New Roman"/>
          <w:b/>
          <w:color w:val="FFFFFF"/>
          <w:sz w:val="24"/>
        </w:rPr>
        <w:t>AMC1 ML.A.801(e) Aircraft certificate of release to service</w:t>
      </w:r>
      <w:bookmarkEnd w:id="903"/>
    </w:p>
    <w:p w14:paraId="30F07218" w14:textId="77777777" w:rsidR="0052488E" w:rsidRPr="0052488E" w:rsidRDefault="0052488E" w:rsidP="006C216A">
      <w:pPr>
        <w:numPr>
          <w:ilvl w:val="0"/>
          <w:numId w:val="321"/>
        </w:numPr>
        <w:tabs>
          <w:tab w:val="left" w:pos="707"/>
        </w:tabs>
        <w:spacing w:before="119"/>
        <w:ind w:right="44"/>
        <w:jc w:val="both"/>
        <w:rPr>
          <w:rFonts w:ascii="Arial" w:hAnsi="Arial" w:cs="Arial"/>
          <w:sz w:val="20"/>
        </w:rPr>
      </w:pPr>
      <w:r w:rsidRPr="0052488E">
        <w:rPr>
          <w:rFonts w:ascii="Arial" w:hAnsi="Arial" w:cs="Arial"/>
          <w:sz w:val="20"/>
        </w:rPr>
        <w:t>The</w:t>
      </w:r>
      <w:r w:rsidRPr="0052488E">
        <w:rPr>
          <w:rFonts w:ascii="Arial" w:hAnsi="Arial" w:cs="Arial"/>
          <w:spacing w:val="-2"/>
          <w:sz w:val="20"/>
        </w:rPr>
        <w:t xml:space="preserve"> </w:t>
      </w:r>
      <w:r w:rsidRPr="0052488E">
        <w:rPr>
          <w:rFonts w:ascii="Arial" w:hAnsi="Arial" w:cs="Arial"/>
          <w:sz w:val="20"/>
        </w:rPr>
        <w:t>aircraft</w:t>
      </w:r>
      <w:r w:rsidRPr="0052488E">
        <w:rPr>
          <w:rFonts w:ascii="Arial" w:hAnsi="Arial" w:cs="Arial"/>
          <w:spacing w:val="-1"/>
          <w:sz w:val="20"/>
        </w:rPr>
        <w:t xml:space="preserve"> </w:t>
      </w:r>
      <w:r w:rsidRPr="0052488E">
        <w:rPr>
          <w:rFonts w:ascii="Arial" w:hAnsi="Arial" w:cs="Arial"/>
          <w:sz w:val="20"/>
        </w:rPr>
        <w:t>CRS</w:t>
      </w:r>
      <w:r w:rsidRPr="0052488E">
        <w:rPr>
          <w:rFonts w:ascii="Arial" w:hAnsi="Arial" w:cs="Arial"/>
          <w:spacing w:val="-4"/>
          <w:sz w:val="20"/>
        </w:rPr>
        <w:t xml:space="preserve"> </w:t>
      </w:r>
      <w:r w:rsidRPr="0052488E">
        <w:rPr>
          <w:rFonts w:ascii="Arial" w:hAnsi="Arial" w:cs="Arial"/>
          <w:sz w:val="20"/>
        </w:rPr>
        <w:t>should</w:t>
      </w:r>
      <w:r w:rsidRPr="0052488E">
        <w:rPr>
          <w:rFonts w:ascii="Arial" w:hAnsi="Arial" w:cs="Arial"/>
          <w:spacing w:val="-3"/>
          <w:sz w:val="20"/>
        </w:rPr>
        <w:t xml:space="preserve"> </w:t>
      </w:r>
      <w:r w:rsidRPr="0052488E">
        <w:rPr>
          <w:rFonts w:ascii="Arial" w:hAnsi="Arial" w:cs="Arial"/>
          <w:sz w:val="20"/>
        </w:rPr>
        <w:t>contain</w:t>
      </w:r>
      <w:r w:rsidRPr="0052488E">
        <w:rPr>
          <w:rFonts w:ascii="Arial" w:hAnsi="Arial" w:cs="Arial"/>
          <w:spacing w:val="-2"/>
          <w:sz w:val="20"/>
        </w:rPr>
        <w:t xml:space="preserve"> </w:t>
      </w:r>
      <w:r w:rsidRPr="0052488E">
        <w:rPr>
          <w:rFonts w:ascii="Arial" w:hAnsi="Arial" w:cs="Arial"/>
          <w:sz w:val="20"/>
        </w:rPr>
        <w:t>one</w:t>
      </w:r>
      <w:r w:rsidRPr="0052488E">
        <w:rPr>
          <w:rFonts w:ascii="Arial" w:hAnsi="Arial" w:cs="Arial"/>
          <w:spacing w:val="-3"/>
          <w:sz w:val="20"/>
        </w:rPr>
        <w:t xml:space="preserve"> </w:t>
      </w:r>
      <w:r w:rsidRPr="0052488E">
        <w:rPr>
          <w:rFonts w:ascii="Arial" w:hAnsi="Arial" w:cs="Arial"/>
          <w:sz w:val="20"/>
        </w:rPr>
        <w:t>of</w:t>
      </w:r>
      <w:r w:rsidRPr="0052488E">
        <w:rPr>
          <w:rFonts w:ascii="Arial" w:hAnsi="Arial" w:cs="Arial"/>
          <w:spacing w:val="-4"/>
          <w:sz w:val="20"/>
        </w:rPr>
        <w:t xml:space="preserve"> </w:t>
      </w:r>
      <w:r w:rsidRPr="0052488E">
        <w:rPr>
          <w:rFonts w:ascii="Arial" w:hAnsi="Arial" w:cs="Arial"/>
          <w:sz w:val="20"/>
        </w:rPr>
        <w:t>the following</w:t>
      </w:r>
      <w:r w:rsidRPr="0052488E">
        <w:rPr>
          <w:rFonts w:ascii="Arial" w:hAnsi="Arial" w:cs="Arial"/>
          <w:spacing w:val="-3"/>
          <w:sz w:val="20"/>
        </w:rPr>
        <w:t xml:space="preserve"> </w:t>
      </w:r>
      <w:r w:rsidRPr="0052488E">
        <w:rPr>
          <w:rFonts w:ascii="Arial" w:hAnsi="Arial" w:cs="Arial"/>
          <w:sz w:val="20"/>
        </w:rPr>
        <w:t>statements:</w:t>
      </w:r>
    </w:p>
    <w:p w14:paraId="1355DB5D" w14:textId="77777777" w:rsidR="0052488E" w:rsidRPr="0052488E" w:rsidRDefault="0052488E" w:rsidP="006C216A">
      <w:pPr>
        <w:numPr>
          <w:ilvl w:val="1"/>
          <w:numId w:val="321"/>
        </w:numPr>
        <w:tabs>
          <w:tab w:val="left" w:pos="1274"/>
        </w:tabs>
        <w:spacing w:before="120"/>
        <w:ind w:right="44"/>
        <w:jc w:val="both"/>
        <w:rPr>
          <w:rFonts w:ascii="Arial" w:hAnsi="Arial" w:cs="Arial"/>
          <w:sz w:val="20"/>
        </w:rPr>
      </w:pPr>
      <w:r w:rsidRPr="0052488E">
        <w:rPr>
          <w:rFonts w:ascii="Arial" w:hAnsi="Arial" w:cs="Arial"/>
          <w:sz w:val="20"/>
        </w:rPr>
        <w:t>‘certifies</w:t>
      </w:r>
      <w:r w:rsidRPr="0052488E">
        <w:rPr>
          <w:rFonts w:ascii="Arial" w:hAnsi="Arial" w:cs="Arial"/>
          <w:spacing w:val="1"/>
          <w:sz w:val="20"/>
        </w:rPr>
        <w:t xml:space="preserve"> </w:t>
      </w:r>
      <w:r w:rsidRPr="0052488E">
        <w:rPr>
          <w:rFonts w:ascii="Arial" w:hAnsi="Arial" w:cs="Arial"/>
          <w:sz w:val="20"/>
        </w:rPr>
        <w:t>that the work specified, except</w:t>
      </w:r>
      <w:r w:rsidRPr="0052488E">
        <w:rPr>
          <w:rFonts w:ascii="Arial" w:hAnsi="Arial" w:cs="Arial"/>
          <w:spacing w:val="1"/>
          <w:sz w:val="20"/>
        </w:rPr>
        <w:t xml:space="preserve"> </w:t>
      </w:r>
      <w:r w:rsidRPr="0052488E">
        <w:rPr>
          <w:rFonts w:ascii="Arial" w:hAnsi="Arial" w:cs="Arial"/>
          <w:sz w:val="20"/>
        </w:rPr>
        <w:t>as otherwise</w:t>
      </w:r>
      <w:r w:rsidRPr="0052488E">
        <w:rPr>
          <w:rFonts w:ascii="Arial" w:hAnsi="Arial" w:cs="Arial"/>
          <w:spacing w:val="1"/>
          <w:sz w:val="20"/>
        </w:rPr>
        <w:t xml:space="preserve"> </w:t>
      </w:r>
      <w:r w:rsidRPr="0052488E">
        <w:rPr>
          <w:rFonts w:ascii="Arial" w:hAnsi="Arial" w:cs="Arial"/>
          <w:sz w:val="20"/>
        </w:rPr>
        <w:t>specified, was carried</w:t>
      </w:r>
      <w:r w:rsidRPr="0052488E">
        <w:rPr>
          <w:rFonts w:ascii="Arial" w:hAnsi="Arial" w:cs="Arial"/>
          <w:spacing w:val="1"/>
          <w:sz w:val="20"/>
        </w:rPr>
        <w:t xml:space="preserve"> </w:t>
      </w:r>
      <w:r w:rsidRPr="0052488E">
        <w:rPr>
          <w:rFonts w:ascii="Arial" w:hAnsi="Arial" w:cs="Arial"/>
          <w:sz w:val="20"/>
        </w:rPr>
        <w:t>out</w:t>
      </w:r>
      <w:r w:rsidRPr="0052488E">
        <w:rPr>
          <w:rFonts w:ascii="Arial" w:hAnsi="Arial" w:cs="Arial"/>
          <w:spacing w:val="1"/>
          <w:sz w:val="20"/>
        </w:rPr>
        <w:t xml:space="preserve"> </w:t>
      </w:r>
      <w:r w:rsidRPr="0052488E">
        <w:rPr>
          <w:rFonts w:ascii="Arial" w:hAnsi="Arial" w:cs="Arial"/>
          <w:sz w:val="20"/>
        </w:rPr>
        <w:t>in</w:t>
      </w:r>
      <w:r w:rsidRPr="0052488E">
        <w:rPr>
          <w:rFonts w:ascii="Arial" w:hAnsi="Arial" w:cs="Arial"/>
          <w:spacing w:val="1"/>
          <w:sz w:val="20"/>
        </w:rPr>
        <w:t xml:space="preserve"> </w:t>
      </w:r>
      <w:r w:rsidRPr="0052488E">
        <w:rPr>
          <w:rFonts w:ascii="Arial" w:hAnsi="Arial" w:cs="Arial"/>
          <w:sz w:val="20"/>
        </w:rPr>
        <w:t>accordance</w:t>
      </w:r>
      <w:r w:rsidRPr="0052488E">
        <w:rPr>
          <w:rFonts w:ascii="Arial" w:hAnsi="Arial" w:cs="Arial"/>
          <w:spacing w:val="-5"/>
          <w:sz w:val="20"/>
        </w:rPr>
        <w:t xml:space="preserve"> </w:t>
      </w:r>
      <w:r w:rsidRPr="0052488E">
        <w:rPr>
          <w:rFonts w:ascii="Arial" w:hAnsi="Arial" w:cs="Arial"/>
          <w:sz w:val="20"/>
        </w:rPr>
        <w:t>with</w:t>
      </w:r>
      <w:r w:rsidRPr="0052488E">
        <w:rPr>
          <w:rFonts w:ascii="Arial" w:hAnsi="Arial" w:cs="Arial"/>
          <w:spacing w:val="-5"/>
          <w:sz w:val="20"/>
        </w:rPr>
        <w:t xml:space="preserve"> </w:t>
      </w:r>
      <w:r w:rsidRPr="0052488E">
        <w:rPr>
          <w:rFonts w:ascii="Arial" w:hAnsi="Arial" w:cs="Arial"/>
          <w:sz w:val="20"/>
        </w:rPr>
        <w:t>Part-ML,</w:t>
      </w:r>
      <w:r w:rsidRPr="0052488E">
        <w:rPr>
          <w:rFonts w:ascii="Arial" w:hAnsi="Arial" w:cs="Arial"/>
          <w:spacing w:val="-5"/>
          <w:sz w:val="20"/>
        </w:rPr>
        <w:t xml:space="preserve"> </w:t>
      </w:r>
      <w:r w:rsidRPr="0052488E">
        <w:rPr>
          <w:rFonts w:ascii="Arial" w:hAnsi="Arial" w:cs="Arial"/>
          <w:sz w:val="20"/>
        </w:rPr>
        <w:t>and</w:t>
      </w:r>
      <w:r w:rsidRPr="0052488E">
        <w:rPr>
          <w:rFonts w:ascii="Arial" w:hAnsi="Arial" w:cs="Arial"/>
          <w:spacing w:val="-5"/>
          <w:sz w:val="20"/>
        </w:rPr>
        <w:t xml:space="preserve"> </w:t>
      </w:r>
      <w:r w:rsidRPr="0052488E">
        <w:rPr>
          <w:rFonts w:ascii="Arial" w:hAnsi="Arial" w:cs="Arial"/>
          <w:sz w:val="20"/>
        </w:rPr>
        <w:t>in</w:t>
      </w:r>
      <w:r w:rsidRPr="0052488E">
        <w:rPr>
          <w:rFonts w:ascii="Arial" w:hAnsi="Arial" w:cs="Arial"/>
          <w:spacing w:val="-6"/>
          <w:sz w:val="20"/>
        </w:rPr>
        <w:t xml:space="preserve"> </w:t>
      </w:r>
      <w:r w:rsidRPr="0052488E">
        <w:rPr>
          <w:rFonts w:ascii="Arial" w:hAnsi="Arial" w:cs="Arial"/>
          <w:sz w:val="20"/>
        </w:rPr>
        <w:t>respect</w:t>
      </w:r>
      <w:r w:rsidRPr="0052488E">
        <w:rPr>
          <w:rFonts w:ascii="Arial" w:hAnsi="Arial" w:cs="Arial"/>
          <w:spacing w:val="-7"/>
          <w:sz w:val="20"/>
        </w:rPr>
        <w:t xml:space="preserve"> </w:t>
      </w:r>
      <w:r w:rsidRPr="0052488E">
        <w:rPr>
          <w:rFonts w:ascii="Arial" w:hAnsi="Arial" w:cs="Arial"/>
          <w:sz w:val="20"/>
        </w:rPr>
        <w:t>to</w:t>
      </w:r>
      <w:r w:rsidRPr="0052488E">
        <w:rPr>
          <w:rFonts w:ascii="Arial" w:hAnsi="Arial" w:cs="Arial"/>
          <w:spacing w:val="-5"/>
          <w:sz w:val="20"/>
        </w:rPr>
        <w:t xml:space="preserve"> </w:t>
      </w:r>
      <w:r w:rsidRPr="0052488E">
        <w:rPr>
          <w:rFonts w:ascii="Arial" w:hAnsi="Arial" w:cs="Arial"/>
          <w:sz w:val="20"/>
        </w:rPr>
        <w:t>that</w:t>
      </w:r>
      <w:r w:rsidRPr="0052488E">
        <w:rPr>
          <w:rFonts w:ascii="Arial" w:hAnsi="Arial" w:cs="Arial"/>
          <w:spacing w:val="-8"/>
          <w:sz w:val="20"/>
        </w:rPr>
        <w:t xml:space="preserve"> </w:t>
      </w:r>
      <w:r w:rsidRPr="0052488E">
        <w:rPr>
          <w:rFonts w:ascii="Arial" w:hAnsi="Arial" w:cs="Arial"/>
          <w:sz w:val="20"/>
        </w:rPr>
        <w:t>work,</w:t>
      </w:r>
      <w:r w:rsidRPr="0052488E">
        <w:rPr>
          <w:rFonts w:ascii="Arial" w:hAnsi="Arial" w:cs="Arial"/>
          <w:spacing w:val="-7"/>
          <w:sz w:val="20"/>
        </w:rPr>
        <w:t xml:space="preserve"> </w:t>
      </w:r>
      <w:r w:rsidRPr="0052488E">
        <w:rPr>
          <w:rFonts w:ascii="Arial" w:hAnsi="Arial" w:cs="Arial"/>
          <w:sz w:val="20"/>
        </w:rPr>
        <w:t>the</w:t>
      </w:r>
      <w:r w:rsidRPr="0052488E">
        <w:rPr>
          <w:rFonts w:ascii="Arial" w:hAnsi="Arial" w:cs="Arial"/>
          <w:spacing w:val="-5"/>
          <w:sz w:val="20"/>
        </w:rPr>
        <w:t xml:space="preserve"> </w:t>
      </w:r>
      <w:r w:rsidRPr="0052488E">
        <w:rPr>
          <w:rFonts w:ascii="Arial" w:hAnsi="Arial" w:cs="Arial"/>
          <w:sz w:val="20"/>
        </w:rPr>
        <w:t>aircraft</w:t>
      </w:r>
      <w:r w:rsidRPr="0052488E">
        <w:rPr>
          <w:rFonts w:ascii="Arial" w:hAnsi="Arial" w:cs="Arial"/>
          <w:spacing w:val="-9"/>
          <w:sz w:val="20"/>
        </w:rPr>
        <w:t xml:space="preserve"> </w:t>
      </w:r>
      <w:r w:rsidRPr="0052488E">
        <w:rPr>
          <w:rFonts w:ascii="Arial" w:hAnsi="Arial" w:cs="Arial"/>
          <w:sz w:val="20"/>
        </w:rPr>
        <w:t>is</w:t>
      </w:r>
      <w:r w:rsidRPr="0052488E">
        <w:rPr>
          <w:rFonts w:ascii="Arial" w:hAnsi="Arial" w:cs="Arial"/>
          <w:spacing w:val="-5"/>
          <w:sz w:val="20"/>
        </w:rPr>
        <w:t xml:space="preserve"> </w:t>
      </w:r>
      <w:r w:rsidRPr="0052488E">
        <w:rPr>
          <w:rFonts w:ascii="Arial" w:hAnsi="Arial" w:cs="Arial"/>
          <w:sz w:val="20"/>
        </w:rPr>
        <w:t>considered</w:t>
      </w:r>
      <w:r w:rsidRPr="0052488E">
        <w:rPr>
          <w:rFonts w:ascii="Arial" w:hAnsi="Arial" w:cs="Arial"/>
          <w:spacing w:val="-7"/>
          <w:sz w:val="20"/>
        </w:rPr>
        <w:t xml:space="preserve"> </w:t>
      </w:r>
      <w:r w:rsidRPr="0052488E">
        <w:rPr>
          <w:rFonts w:ascii="Arial" w:hAnsi="Arial" w:cs="Arial"/>
          <w:sz w:val="20"/>
        </w:rPr>
        <w:t>ready</w:t>
      </w:r>
      <w:r w:rsidRPr="0052488E">
        <w:rPr>
          <w:rFonts w:ascii="Arial" w:hAnsi="Arial" w:cs="Arial"/>
          <w:spacing w:val="-5"/>
          <w:sz w:val="20"/>
        </w:rPr>
        <w:t xml:space="preserve"> </w:t>
      </w:r>
      <w:r w:rsidRPr="0052488E">
        <w:rPr>
          <w:rFonts w:ascii="Arial" w:hAnsi="Arial" w:cs="Arial"/>
          <w:sz w:val="20"/>
        </w:rPr>
        <w:t>for</w:t>
      </w:r>
      <w:r w:rsidRPr="0052488E">
        <w:rPr>
          <w:rFonts w:ascii="Arial" w:hAnsi="Arial" w:cs="Arial"/>
          <w:spacing w:val="-47"/>
          <w:sz w:val="20"/>
        </w:rPr>
        <w:t xml:space="preserve"> </w:t>
      </w:r>
      <w:r w:rsidRPr="0052488E">
        <w:rPr>
          <w:rFonts w:ascii="Arial" w:hAnsi="Arial" w:cs="Arial"/>
          <w:sz w:val="20"/>
        </w:rPr>
        <w:t>release</w:t>
      </w:r>
      <w:r w:rsidRPr="0052488E">
        <w:rPr>
          <w:rFonts w:ascii="Arial" w:hAnsi="Arial" w:cs="Arial"/>
          <w:spacing w:val="-3"/>
          <w:sz w:val="20"/>
        </w:rPr>
        <w:t xml:space="preserve"> </w:t>
      </w:r>
      <w:r w:rsidRPr="0052488E">
        <w:rPr>
          <w:rFonts w:ascii="Arial" w:hAnsi="Arial" w:cs="Arial"/>
          <w:sz w:val="20"/>
        </w:rPr>
        <w:t>to</w:t>
      </w:r>
      <w:r w:rsidRPr="0052488E">
        <w:rPr>
          <w:rFonts w:ascii="Arial" w:hAnsi="Arial" w:cs="Arial"/>
          <w:spacing w:val="1"/>
          <w:sz w:val="20"/>
        </w:rPr>
        <w:t xml:space="preserve"> </w:t>
      </w:r>
      <w:r w:rsidRPr="0052488E">
        <w:rPr>
          <w:rFonts w:ascii="Arial" w:hAnsi="Arial" w:cs="Arial"/>
          <w:sz w:val="20"/>
        </w:rPr>
        <w:t>service.’;</w:t>
      </w:r>
      <w:r w:rsidRPr="0052488E">
        <w:rPr>
          <w:rFonts w:ascii="Arial" w:hAnsi="Arial" w:cs="Arial"/>
          <w:spacing w:val="-2"/>
          <w:sz w:val="20"/>
        </w:rPr>
        <w:t xml:space="preserve"> </w:t>
      </w:r>
      <w:r w:rsidRPr="0052488E">
        <w:rPr>
          <w:rFonts w:ascii="Arial" w:hAnsi="Arial" w:cs="Arial"/>
          <w:sz w:val="20"/>
        </w:rPr>
        <w:t>or</w:t>
      </w:r>
    </w:p>
    <w:p w14:paraId="5FCD2DB0" w14:textId="77777777" w:rsidR="0052488E" w:rsidRPr="0052488E" w:rsidRDefault="0052488E" w:rsidP="006C216A">
      <w:pPr>
        <w:pStyle w:val="ListParagraph"/>
        <w:numPr>
          <w:ilvl w:val="1"/>
          <w:numId w:val="321"/>
        </w:numPr>
        <w:tabs>
          <w:tab w:val="left" w:pos="1274"/>
        </w:tabs>
        <w:spacing w:before="57"/>
        <w:ind w:right="44" w:hanging="568"/>
        <w:jc w:val="both"/>
        <w:rPr>
          <w:rFonts w:ascii="Arial" w:hAnsi="Arial" w:cs="Arial"/>
          <w:sz w:val="20"/>
        </w:rPr>
      </w:pPr>
      <w:r w:rsidRPr="0052488E">
        <w:rPr>
          <w:rFonts w:ascii="Arial" w:hAnsi="Arial" w:cs="Arial"/>
          <w:sz w:val="20"/>
        </w:rPr>
        <w:lastRenderedPageBreak/>
        <w:t>for</w:t>
      </w:r>
      <w:r w:rsidRPr="0052488E">
        <w:rPr>
          <w:rFonts w:ascii="Arial" w:hAnsi="Arial" w:cs="Arial"/>
          <w:spacing w:val="-2"/>
          <w:sz w:val="20"/>
        </w:rPr>
        <w:t xml:space="preserve"> </w:t>
      </w:r>
      <w:r w:rsidRPr="0052488E">
        <w:rPr>
          <w:rFonts w:ascii="Arial" w:hAnsi="Arial" w:cs="Arial"/>
          <w:sz w:val="20"/>
        </w:rPr>
        <w:t>a</w:t>
      </w:r>
      <w:r w:rsidRPr="0052488E">
        <w:rPr>
          <w:rFonts w:ascii="Arial" w:hAnsi="Arial" w:cs="Arial"/>
          <w:spacing w:val="-1"/>
          <w:sz w:val="20"/>
        </w:rPr>
        <w:t xml:space="preserve"> </w:t>
      </w:r>
      <w:r w:rsidRPr="0052488E">
        <w:rPr>
          <w:rFonts w:ascii="Arial" w:hAnsi="Arial" w:cs="Arial"/>
          <w:sz w:val="20"/>
        </w:rPr>
        <w:t>pilot-owner:</w:t>
      </w:r>
    </w:p>
    <w:p w14:paraId="5D5EADE6" w14:textId="77777777" w:rsidR="0052488E" w:rsidRPr="0052488E" w:rsidRDefault="0052488E" w:rsidP="006C216A">
      <w:pPr>
        <w:pStyle w:val="BodyText"/>
        <w:ind w:left="1273" w:right="44"/>
        <w:jc w:val="both"/>
        <w:rPr>
          <w:rFonts w:ascii="Arial" w:hAnsi="Arial" w:cs="Arial"/>
          <w:sz w:val="20"/>
        </w:rPr>
      </w:pPr>
      <w:r w:rsidRPr="0052488E">
        <w:rPr>
          <w:rFonts w:ascii="Arial" w:hAnsi="Arial" w:cs="Arial"/>
          <w:sz w:val="20"/>
        </w:rPr>
        <w:t>‘certifies</w:t>
      </w:r>
      <w:r w:rsidRPr="0052488E">
        <w:rPr>
          <w:rFonts w:ascii="Arial" w:hAnsi="Arial" w:cs="Arial"/>
          <w:spacing w:val="1"/>
          <w:sz w:val="20"/>
        </w:rPr>
        <w:t xml:space="preserve"> </w:t>
      </w:r>
      <w:r w:rsidRPr="0052488E">
        <w:rPr>
          <w:rFonts w:ascii="Arial" w:hAnsi="Arial" w:cs="Arial"/>
          <w:sz w:val="20"/>
        </w:rPr>
        <w:t>that</w:t>
      </w:r>
      <w:r w:rsidRPr="0052488E">
        <w:rPr>
          <w:rFonts w:ascii="Arial" w:hAnsi="Arial" w:cs="Arial"/>
          <w:spacing w:val="1"/>
          <w:sz w:val="20"/>
        </w:rPr>
        <w:t xml:space="preserve"> </w:t>
      </w:r>
      <w:r w:rsidRPr="0052488E">
        <w:rPr>
          <w:rFonts w:ascii="Arial" w:hAnsi="Arial" w:cs="Arial"/>
          <w:sz w:val="20"/>
        </w:rPr>
        <w:t>the</w:t>
      </w:r>
      <w:r w:rsidRPr="0052488E">
        <w:rPr>
          <w:rFonts w:ascii="Arial" w:hAnsi="Arial" w:cs="Arial"/>
          <w:spacing w:val="1"/>
          <w:sz w:val="20"/>
        </w:rPr>
        <w:t xml:space="preserve"> </w:t>
      </w:r>
      <w:r w:rsidRPr="0052488E">
        <w:rPr>
          <w:rFonts w:ascii="Arial" w:hAnsi="Arial" w:cs="Arial"/>
          <w:sz w:val="20"/>
        </w:rPr>
        <w:t>limited</w:t>
      </w:r>
      <w:r w:rsidRPr="0052488E">
        <w:rPr>
          <w:rFonts w:ascii="Arial" w:hAnsi="Arial" w:cs="Arial"/>
          <w:spacing w:val="1"/>
          <w:sz w:val="20"/>
        </w:rPr>
        <w:t xml:space="preserve"> </w:t>
      </w:r>
      <w:r w:rsidRPr="0052488E">
        <w:rPr>
          <w:rFonts w:ascii="Arial" w:hAnsi="Arial" w:cs="Arial"/>
          <w:sz w:val="20"/>
        </w:rPr>
        <w:t>pilot-owner</w:t>
      </w:r>
      <w:r w:rsidRPr="0052488E">
        <w:rPr>
          <w:rFonts w:ascii="Arial" w:hAnsi="Arial" w:cs="Arial"/>
          <w:spacing w:val="1"/>
          <w:sz w:val="20"/>
        </w:rPr>
        <w:t xml:space="preserve"> </w:t>
      </w:r>
      <w:r w:rsidRPr="0052488E">
        <w:rPr>
          <w:rFonts w:ascii="Arial" w:hAnsi="Arial" w:cs="Arial"/>
          <w:sz w:val="20"/>
        </w:rPr>
        <w:t>maintenance</w:t>
      </w:r>
      <w:r w:rsidRPr="0052488E">
        <w:rPr>
          <w:rFonts w:ascii="Arial" w:hAnsi="Arial" w:cs="Arial"/>
          <w:spacing w:val="1"/>
          <w:sz w:val="20"/>
        </w:rPr>
        <w:t xml:space="preserve"> </w:t>
      </w:r>
      <w:r w:rsidRPr="0052488E">
        <w:rPr>
          <w:rFonts w:ascii="Arial" w:hAnsi="Arial" w:cs="Arial"/>
          <w:sz w:val="20"/>
        </w:rPr>
        <w:t>specified,</w:t>
      </w:r>
      <w:r w:rsidRPr="0052488E">
        <w:rPr>
          <w:rFonts w:ascii="Arial" w:hAnsi="Arial" w:cs="Arial"/>
          <w:spacing w:val="1"/>
          <w:sz w:val="20"/>
        </w:rPr>
        <w:t xml:space="preserve"> </w:t>
      </w:r>
      <w:r w:rsidRPr="0052488E">
        <w:rPr>
          <w:rFonts w:ascii="Arial" w:hAnsi="Arial" w:cs="Arial"/>
          <w:sz w:val="20"/>
        </w:rPr>
        <w:t>except</w:t>
      </w:r>
      <w:r w:rsidRPr="0052488E">
        <w:rPr>
          <w:rFonts w:ascii="Arial" w:hAnsi="Arial" w:cs="Arial"/>
          <w:spacing w:val="1"/>
          <w:sz w:val="20"/>
        </w:rPr>
        <w:t xml:space="preserve"> </w:t>
      </w:r>
      <w:r w:rsidRPr="0052488E">
        <w:rPr>
          <w:rFonts w:ascii="Arial" w:hAnsi="Arial" w:cs="Arial"/>
          <w:sz w:val="20"/>
        </w:rPr>
        <w:t>as</w:t>
      </w:r>
      <w:r w:rsidRPr="0052488E">
        <w:rPr>
          <w:rFonts w:ascii="Arial" w:hAnsi="Arial" w:cs="Arial"/>
          <w:spacing w:val="1"/>
          <w:sz w:val="20"/>
        </w:rPr>
        <w:t xml:space="preserve"> </w:t>
      </w:r>
      <w:r w:rsidRPr="0052488E">
        <w:rPr>
          <w:rFonts w:ascii="Arial" w:hAnsi="Arial" w:cs="Arial"/>
          <w:sz w:val="20"/>
        </w:rPr>
        <w:t>otherwise</w:t>
      </w:r>
      <w:r w:rsidRPr="0052488E">
        <w:rPr>
          <w:rFonts w:ascii="Arial" w:hAnsi="Arial" w:cs="Arial"/>
          <w:spacing w:val="1"/>
          <w:sz w:val="20"/>
        </w:rPr>
        <w:t xml:space="preserve"> </w:t>
      </w:r>
      <w:r w:rsidRPr="0052488E">
        <w:rPr>
          <w:rFonts w:ascii="Arial" w:hAnsi="Arial" w:cs="Arial"/>
          <w:sz w:val="20"/>
        </w:rPr>
        <w:t>specified, was carried out in accordance with Part-ML, and in respect to that work, the</w:t>
      </w:r>
      <w:r w:rsidRPr="0052488E">
        <w:rPr>
          <w:rFonts w:ascii="Arial" w:hAnsi="Arial" w:cs="Arial"/>
          <w:spacing w:val="1"/>
          <w:sz w:val="20"/>
        </w:rPr>
        <w:t xml:space="preserve"> </w:t>
      </w:r>
      <w:r w:rsidRPr="0052488E">
        <w:rPr>
          <w:rFonts w:ascii="Arial" w:hAnsi="Arial" w:cs="Arial"/>
          <w:sz w:val="20"/>
        </w:rPr>
        <w:t>aircraft</w:t>
      </w:r>
      <w:r w:rsidRPr="0052488E">
        <w:rPr>
          <w:rFonts w:ascii="Arial" w:hAnsi="Arial" w:cs="Arial"/>
          <w:spacing w:val="-1"/>
          <w:sz w:val="20"/>
        </w:rPr>
        <w:t xml:space="preserve"> </w:t>
      </w:r>
      <w:r w:rsidRPr="0052488E">
        <w:rPr>
          <w:rFonts w:ascii="Arial" w:hAnsi="Arial" w:cs="Arial"/>
          <w:sz w:val="20"/>
        </w:rPr>
        <w:t>is</w:t>
      </w:r>
      <w:r w:rsidRPr="0052488E">
        <w:rPr>
          <w:rFonts w:ascii="Arial" w:hAnsi="Arial" w:cs="Arial"/>
          <w:spacing w:val="-2"/>
          <w:sz w:val="20"/>
        </w:rPr>
        <w:t xml:space="preserve"> </w:t>
      </w:r>
      <w:r w:rsidRPr="0052488E">
        <w:rPr>
          <w:rFonts w:ascii="Arial" w:hAnsi="Arial" w:cs="Arial"/>
          <w:sz w:val="20"/>
        </w:rPr>
        <w:t>considered ready</w:t>
      </w:r>
      <w:r w:rsidRPr="0052488E">
        <w:rPr>
          <w:rFonts w:ascii="Arial" w:hAnsi="Arial" w:cs="Arial"/>
          <w:spacing w:val="-2"/>
          <w:sz w:val="20"/>
        </w:rPr>
        <w:t xml:space="preserve"> </w:t>
      </w:r>
      <w:r w:rsidRPr="0052488E">
        <w:rPr>
          <w:rFonts w:ascii="Arial" w:hAnsi="Arial" w:cs="Arial"/>
          <w:sz w:val="20"/>
        </w:rPr>
        <w:t>for release</w:t>
      </w:r>
      <w:r w:rsidRPr="0052488E">
        <w:rPr>
          <w:rFonts w:ascii="Arial" w:hAnsi="Arial" w:cs="Arial"/>
          <w:spacing w:val="1"/>
          <w:sz w:val="20"/>
        </w:rPr>
        <w:t xml:space="preserve"> </w:t>
      </w:r>
      <w:r w:rsidRPr="0052488E">
        <w:rPr>
          <w:rFonts w:ascii="Arial" w:hAnsi="Arial" w:cs="Arial"/>
          <w:sz w:val="20"/>
        </w:rPr>
        <w:t>to</w:t>
      </w:r>
      <w:r w:rsidRPr="0052488E">
        <w:rPr>
          <w:rFonts w:ascii="Arial" w:hAnsi="Arial" w:cs="Arial"/>
          <w:spacing w:val="1"/>
          <w:sz w:val="20"/>
        </w:rPr>
        <w:t xml:space="preserve"> </w:t>
      </w:r>
      <w:r w:rsidRPr="0052488E">
        <w:rPr>
          <w:rFonts w:ascii="Arial" w:hAnsi="Arial" w:cs="Arial"/>
          <w:sz w:val="20"/>
        </w:rPr>
        <w:t>service.’.</w:t>
      </w:r>
    </w:p>
    <w:p w14:paraId="14423F27" w14:textId="77777777" w:rsidR="0052488E" w:rsidRPr="0052488E" w:rsidRDefault="0052488E" w:rsidP="006C216A">
      <w:pPr>
        <w:pStyle w:val="ListParagraph"/>
        <w:numPr>
          <w:ilvl w:val="0"/>
          <w:numId w:val="321"/>
        </w:numPr>
        <w:tabs>
          <w:tab w:val="left" w:pos="707"/>
        </w:tabs>
        <w:spacing w:before="118"/>
        <w:ind w:right="44"/>
        <w:jc w:val="both"/>
        <w:rPr>
          <w:rFonts w:ascii="Arial" w:hAnsi="Arial" w:cs="Arial"/>
          <w:sz w:val="20"/>
        </w:rPr>
      </w:pPr>
      <w:r w:rsidRPr="0052488E">
        <w:rPr>
          <w:rFonts w:ascii="Arial" w:hAnsi="Arial" w:cs="Arial"/>
          <w:sz w:val="20"/>
        </w:rPr>
        <w:t>The CRS should relate to the task specified in the DAH’s or operator’s instruction or the AMP</w:t>
      </w:r>
      <w:r w:rsidRPr="0052488E">
        <w:rPr>
          <w:rFonts w:ascii="Arial" w:hAnsi="Arial" w:cs="Arial"/>
          <w:spacing w:val="1"/>
          <w:sz w:val="20"/>
        </w:rPr>
        <w:t xml:space="preserve"> </w:t>
      </w:r>
      <w:r w:rsidRPr="0052488E">
        <w:rPr>
          <w:rFonts w:ascii="Arial" w:hAnsi="Arial" w:cs="Arial"/>
          <w:sz w:val="20"/>
        </w:rPr>
        <w:t>which</w:t>
      </w:r>
      <w:r w:rsidRPr="0052488E">
        <w:rPr>
          <w:rFonts w:ascii="Arial" w:hAnsi="Arial" w:cs="Arial"/>
          <w:spacing w:val="-7"/>
          <w:sz w:val="20"/>
        </w:rPr>
        <w:t xml:space="preserve"> </w:t>
      </w:r>
      <w:r w:rsidRPr="0052488E">
        <w:rPr>
          <w:rFonts w:ascii="Arial" w:hAnsi="Arial" w:cs="Arial"/>
          <w:sz w:val="20"/>
        </w:rPr>
        <w:t>itself</w:t>
      </w:r>
      <w:r w:rsidRPr="0052488E">
        <w:rPr>
          <w:rFonts w:ascii="Arial" w:hAnsi="Arial" w:cs="Arial"/>
          <w:spacing w:val="-10"/>
          <w:sz w:val="20"/>
        </w:rPr>
        <w:t xml:space="preserve"> </w:t>
      </w:r>
      <w:r w:rsidRPr="0052488E">
        <w:rPr>
          <w:rFonts w:ascii="Arial" w:hAnsi="Arial" w:cs="Arial"/>
          <w:sz w:val="20"/>
        </w:rPr>
        <w:t>may</w:t>
      </w:r>
      <w:r w:rsidRPr="0052488E">
        <w:rPr>
          <w:rFonts w:ascii="Arial" w:hAnsi="Arial" w:cs="Arial"/>
          <w:spacing w:val="-7"/>
          <w:sz w:val="20"/>
        </w:rPr>
        <w:t xml:space="preserve"> </w:t>
      </w:r>
      <w:r w:rsidRPr="0052488E">
        <w:rPr>
          <w:rFonts w:ascii="Arial" w:hAnsi="Arial" w:cs="Arial"/>
          <w:sz w:val="20"/>
        </w:rPr>
        <w:t>cross-refer</w:t>
      </w:r>
      <w:r w:rsidRPr="0052488E">
        <w:rPr>
          <w:rFonts w:ascii="Arial" w:hAnsi="Arial" w:cs="Arial"/>
          <w:spacing w:val="-8"/>
          <w:sz w:val="20"/>
        </w:rPr>
        <w:t xml:space="preserve"> </w:t>
      </w:r>
      <w:r w:rsidRPr="0052488E">
        <w:rPr>
          <w:rFonts w:ascii="Arial" w:hAnsi="Arial" w:cs="Arial"/>
          <w:sz w:val="20"/>
        </w:rPr>
        <w:t>to</w:t>
      </w:r>
      <w:r w:rsidRPr="0052488E">
        <w:rPr>
          <w:rFonts w:ascii="Arial" w:hAnsi="Arial" w:cs="Arial"/>
          <w:spacing w:val="-5"/>
          <w:sz w:val="20"/>
        </w:rPr>
        <w:t xml:space="preserve"> </w:t>
      </w:r>
      <w:r w:rsidRPr="0052488E">
        <w:rPr>
          <w:rFonts w:ascii="Arial" w:hAnsi="Arial" w:cs="Arial"/>
          <w:sz w:val="20"/>
        </w:rPr>
        <w:t>a</w:t>
      </w:r>
      <w:r w:rsidRPr="0052488E">
        <w:rPr>
          <w:rFonts w:ascii="Arial" w:hAnsi="Arial" w:cs="Arial"/>
          <w:spacing w:val="-8"/>
          <w:sz w:val="20"/>
        </w:rPr>
        <w:t xml:space="preserve"> </w:t>
      </w:r>
      <w:r w:rsidRPr="0052488E">
        <w:rPr>
          <w:rFonts w:ascii="Arial" w:hAnsi="Arial" w:cs="Arial"/>
          <w:sz w:val="20"/>
        </w:rPr>
        <w:t>DAH’s/operator’s</w:t>
      </w:r>
      <w:r w:rsidRPr="0052488E">
        <w:rPr>
          <w:rFonts w:ascii="Arial" w:hAnsi="Arial" w:cs="Arial"/>
          <w:spacing w:val="-5"/>
          <w:sz w:val="20"/>
        </w:rPr>
        <w:t xml:space="preserve"> </w:t>
      </w:r>
      <w:r w:rsidRPr="0052488E">
        <w:rPr>
          <w:rFonts w:ascii="Arial" w:hAnsi="Arial" w:cs="Arial"/>
          <w:sz w:val="20"/>
        </w:rPr>
        <w:t>instruction</w:t>
      </w:r>
      <w:r w:rsidRPr="0052488E">
        <w:rPr>
          <w:rFonts w:ascii="Arial" w:hAnsi="Arial" w:cs="Arial"/>
          <w:spacing w:val="-6"/>
          <w:sz w:val="20"/>
        </w:rPr>
        <w:t xml:space="preserve"> </w:t>
      </w:r>
      <w:r w:rsidRPr="0052488E">
        <w:rPr>
          <w:rFonts w:ascii="Arial" w:hAnsi="Arial" w:cs="Arial"/>
          <w:sz w:val="20"/>
        </w:rPr>
        <w:t>in</w:t>
      </w:r>
      <w:r w:rsidRPr="0052488E">
        <w:rPr>
          <w:rFonts w:ascii="Arial" w:hAnsi="Arial" w:cs="Arial"/>
          <w:spacing w:val="-7"/>
          <w:sz w:val="20"/>
        </w:rPr>
        <w:t xml:space="preserve"> </w:t>
      </w:r>
      <w:r w:rsidRPr="0052488E">
        <w:rPr>
          <w:rFonts w:ascii="Arial" w:hAnsi="Arial" w:cs="Arial"/>
          <w:sz w:val="20"/>
        </w:rPr>
        <w:t>a</w:t>
      </w:r>
      <w:r w:rsidRPr="0052488E">
        <w:rPr>
          <w:rFonts w:ascii="Arial" w:hAnsi="Arial" w:cs="Arial"/>
          <w:spacing w:val="-7"/>
          <w:sz w:val="20"/>
        </w:rPr>
        <w:t xml:space="preserve"> </w:t>
      </w:r>
      <w:r w:rsidRPr="0052488E">
        <w:rPr>
          <w:rFonts w:ascii="Arial" w:hAnsi="Arial" w:cs="Arial"/>
          <w:sz w:val="20"/>
        </w:rPr>
        <w:t>maintenance</w:t>
      </w:r>
      <w:r w:rsidRPr="0052488E">
        <w:rPr>
          <w:rFonts w:ascii="Arial" w:hAnsi="Arial" w:cs="Arial"/>
          <w:spacing w:val="-7"/>
          <w:sz w:val="20"/>
        </w:rPr>
        <w:t xml:space="preserve"> </w:t>
      </w:r>
      <w:r w:rsidRPr="0052488E">
        <w:rPr>
          <w:rFonts w:ascii="Arial" w:hAnsi="Arial" w:cs="Arial"/>
          <w:sz w:val="20"/>
        </w:rPr>
        <w:t>manual,</w:t>
      </w:r>
      <w:r w:rsidRPr="0052488E">
        <w:rPr>
          <w:rFonts w:ascii="Arial" w:hAnsi="Arial" w:cs="Arial"/>
          <w:spacing w:val="-5"/>
          <w:sz w:val="20"/>
        </w:rPr>
        <w:t xml:space="preserve"> </w:t>
      </w:r>
      <w:r w:rsidRPr="0052488E">
        <w:rPr>
          <w:rFonts w:ascii="Arial" w:hAnsi="Arial" w:cs="Arial"/>
          <w:sz w:val="20"/>
        </w:rPr>
        <w:t>service</w:t>
      </w:r>
      <w:r w:rsidRPr="0052488E">
        <w:rPr>
          <w:rFonts w:ascii="Arial" w:hAnsi="Arial" w:cs="Arial"/>
          <w:spacing w:val="-48"/>
          <w:sz w:val="20"/>
        </w:rPr>
        <w:t xml:space="preserve"> </w:t>
      </w:r>
      <w:r w:rsidRPr="0052488E">
        <w:rPr>
          <w:rFonts w:ascii="Arial" w:hAnsi="Arial" w:cs="Arial"/>
          <w:sz w:val="20"/>
        </w:rPr>
        <w:t>bulletin,</w:t>
      </w:r>
      <w:r w:rsidRPr="0052488E">
        <w:rPr>
          <w:rFonts w:ascii="Arial" w:hAnsi="Arial" w:cs="Arial"/>
          <w:spacing w:val="-1"/>
          <w:sz w:val="20"/>
        </w:rPr>
        <w:t xml:space="preserve"> </w:t>
      </w:r>
      <w:r w:rsidRPr="0052488E">
        <w:rPr>
          <w:rFonts w:ascii="Arial" w:hAnsi="Arial" w:cs="Arial"/>
          <w:sz w:val="20"/>
        </w:rPr>
        <w:t>etc.</w:t>
      </w:r>
      <w:r w:rsidRPr="0052488E">
        <w:rPr>
          <w:rFonts w:ascii="Arial" w:hAnsi="Arial" w:cs="Arial"/>
          <w:spacing w:val="-4"/>
          <w:sz w:val="20"/>
        </w:rPr>
        <w:t xml:space="preserve"> </w:t>
      </w:r>
      <w:r w:rsidRPr="0052488E">
        <w:rPr>
          <w:rFonts w:ascii="Arial" w:hAnsi="Arial" w:cs="Arial"/>
          <w:sz w:val="20"/>
        </w:rPr>
        <w:t>This</w:t>
      </w:r>
      <w:r w:rsidRPr="0052488E">
        <w:rPr>
          <w:rFonts w:ascii="Arial" w:hAnsi="Arial" w:cs="Arial"/>
          <w:spacing w:val="-1"/>
          <w:sz w:val="20"/>
        </w:rPr>
        <w:t xml:space="preserve"> </w:t>
      </w:r>
      <w:r w:rsidRPr="0052488E">
        <w:rPr>
          <w:rFonts w:ascii="Arial" w:hAnsi="Arial" w:cs="Arial"/>
          <w:sz w:val="20"/>
        </w:rPr>
        <w:t>should</w:t>
      </w:r>
      <w:r w:rsidRPr="0052488E">
        <w:rPr>
          <w:rFonts w:ascii="Arial" w:hAnsi="Arial" w:cs="Arial"/>
          <w:spacing w:val="-2"/>
          <w:sz w:val="20"/>
        </w:rPr>
        <w:t xml:space="preserve"> </w:t>
      </w:r>
      <w:r w:rsidRPr="0052488E">
        <w:rPr>
          <w:rFonts w:ascii="Arial" w:hAnsi="Arial" w:cs="Arial"/>
          <w:sz w:val="20"/>
        </w:rPr>
        <w:t>indicate the revision</w:t>
      </w:r>
      <w:r w:rsidRPr="0052488E">
        <w:rPr>
          <w:rFonts w:ascii="Arial" w:hAnsi="Arial" w:cs="Arial"/>
          <w:spacing w:val="-2"/>
          <w:sz w:val="20"/>
        </w:rPr>
        <w:t xml:space="preserve"> </w:t>
      </w:r>
      <w:r w:rsidRPr="0052488E">
        <w:rPr>
          <w:rFonts w:ascii="Arial" w:hAnsi="Arial" w:cs="Arial"/>
          <w:sz w:val="20"/>
        </w:rPr>
        <w:t>status</w:t>
      </w:r>
      <w:r w:rsidRPr="0052488E">
        <w:rPr>
          <w:rFonts w:ascii="Arial" w:hAnsi="Arial" w:cs="Arial"/>
          <w:spacing w:val="-1"/>
          <w:sz w:val="20"/>
        </w:rPr>
        <w:t xml:space="preserve"> </w:t>
      </w:r>
      <w:r w:rsidRPr="0052488E">
        <w:rPr>
          <w:rFonts w:ascii="Arial" w:hAnsi="Arial" w:cs="Arial"/>
          <w:sz w:val="20"/>
        </w:rPr>
        <w:t>of</w:t>
      </w:r>
      <w:r w:rsidRPr="0052488E">
        <w:rPr>
          <w:rFonts w:ascii="Arial" w:hAnsi="Arial" w:cs="Arial"/>
          <w:spacing w:val="-1"/>
          <w:sz w:val="20"/>
        </w:rPr>
        <w:t xml:space="preserve"> </w:t>
      </w:r>
      <w:r w:rsidRPr="0052488E">
        <w:rPr>
          <w:rFonts w:ascii="Arial" w:hAnsi="Arial" w:cs="Arial"/>
          <w:sz w:val="20"/>
        </w:rPr>
        <w:t>the</w:t>
      </w:r>
      <w:r w:rsidRPr="0052488E">
        <w:rPr>
          <w:rFonts w:ascii="Arial" w:hAnsi="Arial" w:cs="Arial"/>
          <w:spacing w:val="-3"/>
          <w:sz w:val="20"/>
        </w:rPr>
        <w:t xml:space="preserve"> </w:t>
      </w:r>
      <w:r w:rsidRPr="0052488E">
        <w:rPr>
          <w:rFonts w:ascii="Arial" w:hAnsi="Arial" w:cs="Arial"/>
          <w:sz w:val="20"/>
        </w:rPr>
        <w:t>maintenance instruction</w:t>
      </w:r>
      <w:r w:rsidRPr="0052488E">
        <w:rPr>
          <w:rFonts w:ascii="Arial" w:hAnsi="Arial" w:cs="Arial"/>
          <w:spacing w:val="-2"/>
          <w:sz w:val="20"/>
        </w:rPr>
        <w:t xml:space="preserve"> </w:t>
      </w:r>
      <w:r w:rsidRPr="0052488E">
        <w:rPr>
          <w:rFonts w:ascii="Arial" w:hAnsi="Arial" w:cs="Arial"/>
          <w:sz w:val="20"/>
        </w:rPr>
        <w:t>used.</w:t>
      </w:r>
    </w:p>
    <w:p w14:paraId="4C7D728A" w14:textId="77777777" w:rsidR="0052488E" w:rsidRPr="0052488E" w:rsidRDefault="0052488E" w:rsidP="006C216A">
      <w:pPr>
        <w:pStyle w:val="ListParagraph"/>
        <w:numPr>
          <w:ilvl w:val="0"/>
          <w:numId w:val="321"/>
        </w:numPr>
        <w:tabs>
          <w:tab w:val="left" w:pos="707"/>
        </w:tabs>
        <w:spacing w:before="121"/>
        <w:ind w:right="44"/>
        <w:jc w:val="both"/>
        <w:rPr>
          <w:rFonts w:ascii="Arial" w:hAnsi="Arial" w:cs="Arial"/>
          <w:sz w:val="20"/>
        </w:rPr>
      </w:pPr>
      <w:r w:rsidRPr="0052488E">
        <w:rPr>
          <w:rFonts w:ascii="Arial" w:hAnsi="Arial" w:cs="Arial"/>
          <w:sz w:val="20"/>
        </w:rPr>
        <w:t>The CRS should include the date when the maintenance took place relative to any life or</w:t>
      </w:r>
      <w:r w:rsidRPr="0052488E">
        <w:rPr>
          <w:rFonts w:ascii="Arial" w:hAnsi="Arial" w:cs="Arial"/>
          <w:spacing w:val="1"/>
          <w:sz w:val="20"/>
        </w:rPr>
        <w:t xml:space="preserve"> </w:t>
      </w:r>
      <w:r w:rsidRPr="0052488E">
        <w:rPr>
          <w:rFonts w:ascii="Arial" w:hAnsi="Arial" w:cs="Arial"/>
          <w:sz w:val="20"/>
        </w:rPr>
        <w:t>overhaul</w:t>
      </w:r>
      <w:r w:rsidRPr="0052488E">
        <w:rPr>
          <w:rFonts w:ascii="Arial" w:hAnsi="Arial" w:cs="Arial"/>
          <w:spacing w:val="-1"/>
          <w:sz w:val="20"/>
        </w:rPr>
        <w:t xml:space="preserve"> </w:t>
      </w:r>
      <w:r w:rsidRPr="0052488E">
        <w:rPr>
          <w:rFonts w:ascii="Arial" w:hAnsi="Arial" w:cs="Arial"/>
          <w:sz w:val="20"/>
        </w:rPr>
        <w:t>limitation</w:t>
      </w:r>
      <w:r w:rsidRPr="0052488E">
        <w:rPr>
          <w:rFonts w:ascii="Arial" w:hAnsi="Arial" w:cs="Arial"/>
          <w:spacing w:val="-2"/>
          <w:sz w:val="20"/>
        </w:rPr>
        <w:t xml:space="preserve"> </w:t>
      </w:r>
      <w:r w:rsidRPr="0052488E">
        <w:rPr>
          <w:rFonts w:ascii="Arial" w:hAnsi="Arial" w:cs="Arial"/>
          <w:sz w:val="20"/>
        </w:rPr>
        <w:t>in</w:t>
      </w:r>
      <w:r w:rsidRPr="0052488E">
        <w:rPr>
          <w:rFonts w:ascii="Arial" w:hAnsi="Arial" w:cs="Arial"/>
          <w:spacing w:val="-1"/>
          <w:sz w:val="20"/>
        </w:rPr>
        <w:t xml:space="preserve"> </w:t>
      </w:r>
      <w:r w:rsidRPr="0052488E">
        <w:rPr>
          <w:rFonts w:ascii="Arial" w:hAnsi="Arial" w:cs="Arial"/>
          <w:sz w:val="20"/>
        </w:rPr>
        <w:t>terms</w:t>
      </w:r>
      <w:r w:rsidRPr="0052488E">
        <w:rPr>
          <w:rFonts w:ascii="Arial" w:hAnsi="Arial" w:cs="Arial"/>
          <w:spacing w:val="-1"/>
          <w:sz w:val="20"/>
        </w:rPr>
        <w:t xml:space="preserve"> </w:t>
      </w:r>
      <w:r w:rsidRPr="0052488E">
        <w:rPr>
          <w:rFonts w:ascii="Arial" w:hAnsi="Arial" w:cs="Arial"/>
          <w:sz w:val="20"/>
        </w:rPr>
        <w:t>of date/flying</w:t>
      </w:r>
      <w:r w:rsidRPr="0052488E">
        <w:rPr>
          <w:rFonts w:ascii="Arial" w:hAnsi="Arial" w:cs="Arial"/>
          <w:spacing w:val="-2"/>
          <w:sz w:val="20"/>
        </w:rPr>
        <w:t xml:space="preserve"> </w:t>
      </w:r>
      <w:r w:rsidRPr="0052488E">
        <w:rPr>
          <w:rFonts w:ascii="Arial" w:hAnsi="Arial" w:cs="Arial"/>
          <w:sz w:val="20"/>
        </w:rPr>
        <w:t>hours/cycles/ landings</w:t>
      </w:r>
      <w:r w:rsidRPr="0052488E">
        <w:rPr>
          <w:rFonts w:ascii="Arial" w:hAnsi="Arial" w:cs="Arial"/>
          <w:spacing w:val="-1"/>
          <w:sz w:val="20"/>
        </w:rPr>
        <w:t xml:space="preserve"> </w:t>
      </w:r>
      <w:r w:rsidRPr="0052488E">
        <w:rPr>
          <w:rFonts w:ascii="Arial" w:hAnsi="Arial" w:cs="Arial"/>
          <w:sz w:val="20"/>
        </w:rPr>
        <w:t>etc.</w:t>
      </w:r>
      <w:r w:rsidRPr="0052488E">
        <w:rPr>
          <w:rFonts w:ascii="Arial" w:hAnsi="Arial" w:cs="Arial"/>
          <w:spacing w:val="-1"/>
          <w:sz w:val="20"/>
        </w:rPr>
        <w:t xml:space="preserve"> </w:t>
      </w:r>
      <w:r w:rsidRPr="0052488E">
        <w:rPr>
          <w:rFonts w:ascii="Arial" w:hAnsi="Arial" w:cs="Arial"/>
          <w:sz w:val="20"/>
        </w:rPr>
        <w:t>as appropriate.</w:t>
      </w:r>
    </w:p>
    <w:p w14:paraId="039FFAE4" w14:textId="77777777" w:rsidR="0052488E" w:rsidRPr="0052488E" w:rsidRDefault="0052488E" w:rsidP="006C216A">
      <w:pPr>
        <w:pStyle w:val="ListParagraph"/>
        <w:numPr>
          <w:ilvl w:val="0"/>
          <w:numId w:val="321"/>
        </w:numPr>
        <w:tabs>
          <w:tab w:val="left" w:pos="707"/>
        </w:tabs>
        <w:spacing w:before="121"/>
        <w:ind w:right="44"/>
        <w:jc w:val="both"/>
        <w:rPr>
          <w:rFonts w:ascii="Arial" w:hAnsi="Arial" w:cs="Arial"/>
          <w:sz w:val="20"/>
        </w:rPr>
      </w:pPr>
      <w:r w:rsidRPr="0052488E">
        <w:rPr>
          <w:rFonts w:ascii="Arial" w:hAnsi="Arial" w:cs="Arial"/>
          <w:sz w:val="20"/>
        </w:rPr>
        <w:t>When extensive maintenance has been carried out, it is acceptable for the CRS to summarise</w:t>
      </w:r>
      <w:r w:rsidRPr="0052488E">
        <w:rPr>
          <w:rFonts w:ascii="Arial" w:hAnsi="Arial" w:cs="Arial"/>
          <w:spacing w:val="1"/>
          <w:sz w:val="20"/>
        </w:rPr>
        <w:t xml:space="preserve"> </w:t>
      </w:r>
      <w:r w:rsidRPr="0052488E">
        <w:rPr>
          <w:rFonts w:ascii="Arial" w:hAnsi="Arial" w:cs="Arial"/>
          <w:sz w:val="20"/>
        </w:rPr>
        <w:t>the maintenance as long as there is a unique cross reference to the work pack containing full</w:t>
      </w:r>
      <w:r w:rsidRPr="0052488E">
        <w:rPr>
          <w:rFonts w:ascii="Arial" w:hAnsi="Arial" w:cs="Arial"/>
          <w:spacing w:val="1"/>
          <w:sz w:val="20"/>
        </w:rPr>
        <w:t xml:space="preserve"> </w:t>
      </w:r>
      <w:r w:rsidRPr="0052488E">
        <w:rPr>
          <w:rFonts w:ascii="Arial" w:hAnsi="Arial" w:cs="Arial"/>
          <w:sz w:val="20"/>
        </w:rPr>
        <w:t>details</w:t>
      </w:r>
      <w:r w:rsidRPr="0052488E">
        <w:rPr>
          <w:rFonts w:ascii="Arial" w:hAnsi="Arial" w:cs="Arial"/>
          <w:spacing w:val="-8"/>
          <w:sz w:val="20"/>
        </w:rPr>
        <w:t xml:space="preserve"> </w:t>
      </w:r>
      <w:r w:rsidRPr="0052488E">
        <w:rPr>
          <w:rFonts w:ascii="Arial" w:hAnsi="Arial" w:cs="Arial"/>
          <w:sz w:val="20"/>
        </w:rPr>
        <w:t>of</w:t>
      </w:r>
      <w:r w:rsidRPr="0052488E">
        <w:rPr>
          <w:rFonts w:ascii="Arial" w:hAnsi="Arial" w:cs="Arial"/>
          <w:spacing w:val="-10"/>
          <w:sz w:val="20"/>
        </w:rPr>
        <w:t xml:space="preserve"> </w:t>
      </w:r>
      <w:r w:rsidRPr="0052488E">
        <w:rPr>
          <w:rFonts w:ascii="Arial" w:hAnsi="Arial" w:cs="Arial"/>
          <w:sz w:val="20"/>
        </w:rPr>
        <w:t>the</w:t>
      </w:r>
      <w:r w:rsidRPr="0052488E">
        <w:rPr>
          <w:rFonts w:ascii="Arial" w:hAnsi="Arial" w:cs="Arial"/>
          <w:spacing w:val="-9"/>
          <w:sz w:val="20"/>
        </w:rPr>
        <w:t xml:space="preserve"> </w:t>
      </w:r>
      <w:r w:rsidRPr="0052488E">
        <w:rPr>
          <w:rFonts w:ascii="Arial" w:hAnsi="Arial" w:cs="Arial"/>
          <w:sz w:val="20"/>
        </w:rPr>
        <w:t>maintenance</w:t>
      </w:r>
      <w:r w:rsidRPr="0052488E">
        <w:rPr>
          <w:rFonts w:ascii="Arial" w:hAnsi="Arial" w:cs="Arial"/>
          <w:spacing w:val="-9"/>
          <w:sz w:val="20"/>
        </w:rPr>
        <w:t xml:space="preserve"> </w:t>
      </w:r>
      <w:r w:rsidRPr="0052488E">
        <w:rPr>
          <w:rFonts w:ascii="Arial" w:hAnsi="Arial" w:cs="Arial"/>
          <w:sz w:val="20"/>
        </w:rPr>
        <w:t>carried</w:t>
      </w:r>
      <w:r w:rsidRPr="0052488E">
        <w:rPr>
          <w:rFonts w:ascii="Arial" w:hAnsi="Arial" w:cs="Arial"/>
          <w:spacing w:val="-7"/>
          <w:sz w:val="20"/>
        </w:rPr>
        <w:t xml:space="preserve"> </w:t>
      </w:r>
      <w:r w:rsidRPr="0052488E">
        <w:rPr>
          <w:rFonts w:ascii="Arial" w:hAnsi="Arial" w:cs="Arial"/>
          <w:sz w:val="20"/>
        </w:rPr>
        <w:t>out.</w:t>
      </w:r>
      <w:r w:rsidRPr="0052488E">
        <w:rPr>
          <w:rFonts w:ascii="Arial" w:hAnsi="Arial" w:cs="Arial"/>
          <w:spacing w:val="-9"/>
          <w:sz w:val="20"/>
        </w:rPr>
        <w:t xml:space="preserve"> </w:t>
      </w:r>
      <w:r w:rsidRPr="0052488E">
        <w:rPr>
          <w:rFonts w:ascii="Arial" w:hAnsi="Arial" w:cs="Arial"/>
          <w:sz w:val="20"/>
        </w:rPr>
        <w:t>Dimensional</w:t>
      </w:r>
      <w:r w:rsidRPr="0052488E">
        <w:rPr>
          <w:rFonts w:ascii="Arial" w:hAnsi="Arial" w:cs="Arial"/>
          <w:spacing w:val="-8"/>
          <w:sz w:val="20"/>
        </w:rPr>
        <w:t xml:space="preserve"> </w:t>
      </w:r>
      <w:r w:rsidRPr="0052488E">
        <w:rPr>
          <w:rFonts w:ascii="Arial" w:hAnsi="Arial" w:cs="Arial"/>
          <w:sz w:val="20"/>
        </w:rPr>
        <w:t>information</w:t>
      </w:r>
      <w:r w:rsidRPr="0052488E">
        <w:rPr>
          <w:rFonts w:ascii="Arial" w:hAnsi="Arial" w:cs="Arial"/>
          <w:spacing w:val="-10"/>
          <w:sz w:val="20"/>
        </w:rPr>
        <w:t xml:space="preserve"> </w:t>
      </w:r>
      <w:r w:rsidRPr="0052488E">
        <w:rPr>
          <w:rFonts w:ascii="Arial" w:hAnsi="Arial" w:cs="Arial"/>
          <w:sz w:val="20"/>
        </w:rPr>
        <w:t>should</w:t>
      </w:r>
      <w:r w:rsidRPr="0052488E">
        <w:rPr>
          <w:rFonts w:ascii="Arial" w:hAnsi="Arial" w:cs="Arial"/>
          <w:spacing w:val="-8"/>
          <w:sz w:val="20"/>
        </w:rPr>
        <w:t xml:space="preserve"> </w:t>
      </w:r>
      <w:r w:rsidRPr="0052488E">
        <w:rPr>
          <w:rFonts w:ascii="Arial" w:hAnsi="Arial" w:cs="Arial"/>
          <w:sz w:val="20"/>
        </w:rPr>
        <w:t>be</w:t>
      </w:r>
      <w:r w:rsidRPr="0052488E">
        <w:rPr>
          <w:rFonts w:ascii="Arial" w:hAnsi="Arial" w:cs="Arial"/>
          <w:spacing w:val="-6"/>
          <w:sz w:val="20"/>
        </w:rPr>
        <w:t xml:space="preserve"> </w:t>
      </w:r>
      <w:r w:rsidRPr="0052488E">
        <w:rPr>
          <w:rFonts w:ascii="Arial" w:hAnsi="Arial" w:cs="Arial"/>
          <w:sz w:val="20"/>
        </w:rPr>
        <w:t>retained</w:t>
      </w:r>
      <w:r w:rsidRPr="0052488E">
        <w:rPr>
          <w:rFonts w:ascii="Arial" w:hAnsi="Arial" w:cs="Arial"/>
          <w:spacing w:val="-7"/>
          <w:sz w:val="20"/>
        </w:rPr>
        <w:t xml:space="preserve"> </w:t>
      </w:r>
      <w:r w:rsidRPr="0052488E">
        <w:rPr>
          <w:rFonts w:ascii="Arial" w:hAnsi="Arial" w:cs="Arial"/>
          <w:sz w:val="20"/>
        </w:rPr>
        <w:t>in</w:t>
      </w:r>
      <w:r w:rsidRPr="0052488E">
        <w:rPr>
          <w:rFonts w:ascii="Arial" w:hAnsi="Arial" w:cs="Arial"/>
          <w:spacing w:val="-8"/>
          <w:sz w:val="20"/>
        </w:rPr>
        <w:t xml:space="preserve"> </w:t>
      </w:r>
      <w:r w:rsidRPr="0052488E">
        <w:rPr>
          <w:rFonts w:ascii="Arial" w:hAnsi="Arial" w:cs="Arial"/>
          <w:sz w:val="20"/>
        </w:rPr>
        <w:t>the</w:t>
      </w:r>
      <w:r w:rsidRPr="0052488E">
        <w:rPr>
          <w:rFonts w:ascii="Arial" w:hAnsi="Arial" w:cs="Arial"/>
          <w:spacing w:val="-7"/>
          <w:sz w:val="20"/>
        </w:rPr>
        <w:t xml:space="preserve"> </w:t>
      </w:r>
      <w:r w:rsidRPr="0052488E">
        <w:rPr>
          <w:rFonts w:ascii="Arial" w:hAnsi="Arial" w:cs="Arial"/>
          <w:sz w:val="20"/>
        </w:rPr>
        <w:t>work</w:t>
      </w:r>
      <w:r w:rsidRPr="0052488E">
        <w:rPr>
          <w:rFonts w:ascii="Arial" w:hAnsi="Arial" w:cs="Arial"/>
          <w:spacing w:val="-47"/>
          <w:sz w:val="20"/>
        </w:rPr>
        <w:t xml:space="preserve"> </w:t>
      </w:r>
      <w:r w:rsidRPr="0052488E">
        <w:rPr>
          <w:rFonts w:ascii="Arial" w:hAnsi="Arial" w:cs="Arial"/>
          <w:sz w:val="20"/>
        </w:rPr>
        <w:t>pack record.</w:t>
      </w:r>
    </w:p>
    <w:p w14:paraId="2B68BFBE" w14:textId="4BE42075" w:rsidR="0052488E" w:rsidRPr="0052488E" w:rsidRDefault="0052488E" w:rsidP="006C216A">
      <w:pPr>
        <w:pStyle w:val="ListParagraph"/>
        <w:numPr>
          <w:ilvl w:val="0"/>
          <w:numId w:val="321"/>
        </w:numPr>
        <w:tabs>
          <w:tab w:val="left" w:pos="707"/>
        </w:tabs>
        <w:spacing w:before="119"/>
        <w:ind w:right="44"/>
        <w:jc w:val="both"/>
        <w:rPr>
          <w:rFonts w:ascii="Arial" w:hAnsi="Arial" w:cs="Arial"/>
          <w:sz w:val="20"/>
        </w:rPr>
      </w:pPr>
      <w:r w:rsidRPr="0052488E">
        <w:rPr>
          <w:rFonts w:ascii="Arial" w:hAnsi="Arial" w:cs="Arial"/>
          <w:sz w:val="20"/>
        </w:rPr>
        <w:t>The person issuing the CRS should use his or her normal signature except in the case where a</w:t>
      </w:r>
      <w:r w:rsidRPr="0052488E">
        <w:rPr>
          <w:rFonts w:ascii="Arial" w:hAnsi="Arial" w:cs="Arial"/>
          <w:spacing w:val="1"/>
          <w:sz w:val="20"/>
        </w:rPr>
        <w:t xml:space="preserve"> </w:t>
      </w:r>
      <w:r w:rsidRPr="0052488E">
        <w:rPr>
          <w:rFonts w:ascii="Arial" w:hAnsi="Arial" w:cs="Arial"/>
          <w:sz w:val="20"/>
        </w:rPr>
        <w:t xml:space="preserve">computer release-to-service system is used. In this latter case, the </w:t>
      </w:r>
      <w:r w:rsidR="004E22F1">
        <w:rPr>
          <w:rFonts w:ascii="Arial" w:hAnsi="Arial" w:cs="Arial"/>
          <w:sz w:val="20"/>
          <w:szCs w:val="20"/>
        </w:rPr>
        <w:t xml:space="preserve">CAC RA </w:t>
      </w:r>
      <w:r w:rsidRPr="0052488E">
        <w:rPr>
          <w:rFonts w:ascii="Arial" w:hAnsi="Arial" w:cs="Arial"/>
          <w:sz w:val="20"/>
        </w:rPr>
        <w:t>needs</w:t>
      </w:r>
      <w:r w:rsidRPr="0052488E">
        <w:rPr>
          <w:rFonts w:ascii="Arial" w:hAnsi="Arial" w:cs="Arial"/>
          <w:spacing w:val="1"/>
          <w:sz w:val="20"/>
        </w:rPr>
        <w:t xml:space="preserve"> </w:t>
      </w:r>
      <w:r w:rsidRPr="0052488E">
        <w:rPr>
          <w:rFonts w:ascii="Arial" w:hAnsi="Arial" w:cs="Arial"/>
          <w:sz w:val="20"/>
        </w:rPr>
        <w:t>to be satisfied that only this particular person may electronically issue the CRS. One such</w:t>
      </w:r>
      <w:r w:rsidRPr="0052488E">
        <w:rPr>
          <w:rFonts w:ascii="Arial" w:hAnsi="Arial" w:cs="Arial"/>
          <w:spacing w:val="1"/>
          <w:sz w:val="20"/>
        </w:rPr>
        <w:t xml:space="preserve"> </w:t>
      </w:r>
      <w:r w:rsidRPr="0052488E">
        <w:rPr>
          <w:rFonts w:ascii="Arial" w:hAnsi="Arial" w:cs="Arial"/>
          <w:sz w:val="20"/>
        </w:rPr>
        <w:t>method of compliance is the use of a magnetic or optical personal card in conjunction with a</w:t>
      </w:r>
      <w:r w:rsidRPr="0052488E">
        <w:rPr>
          <w:rFonts w:ascii="Arial" w:hAnsi="Arial" w:cs="Arial"/>
          <w:spacing w:val="1"/>
          <w:sz w:val="20"/>
        </w:rPr>
        <w:t xml:space="preserve"> </w:t>
      </w:r>
      <w:r w:rsidRPr="0052488E">
        <w:rPr>
          <w:rFonts w:ascii="Arial" w:hAnsi="Arial" w:cs="Arial"/>
          <w:sz w:val="20"/>
        </w:rPr>
        <w:t>personal identification number (PIN) known only to the individual, which is keyed into the</w:t>
      </w:r>
      <w:r w:rsidRPr="0052488E">
        <w:rPr>
          <w:rFonts w:ascii="Arial" w:hAnsi="Arial" w:cs="Arial"/>
          <w:spacing w:val="1"/>
          <w:sz w:val="20"/>
        </w:rPr>
        <w:t xml:space="preserve"> </w:t>
      </w:r>
      <w:r w:rsidRPr="0052488E">
        <w:rPr>
          <w:rFonts w:ascii="Arial" w:hAnsi="Arial" w:cs="Arial"/>
          <w:sz w:val="20"/>
        </w:rPr>
        <w:t>computer.</w:t>
      </w:r>
      <w:r w:rsidRPr="0052488E">
        <w:rPr>
          <w:rFonts w:ascii="Arial" w:hAnsi="Arial" w:cs="Arial"/>
          <w:spacing w:val="-2"/>
          <w:sz w:val="20"/>
        </w:rPr>
        <w:t xml:space="preserve"> </w:t>
      </w:r>
      <w:r w:rsidRPr="0052488E">
        <w:rPr>
          <w:rFonts w:ascii="Arial" w:hAnsi="Arial" w:cs="Arial"/>
          <w:sz w:val="20"/>
        </w:rPr>
        <w:t>A</w:t>
      </w:r>
      <w:r w:rsidRPr="0052488E">
        <w:rPr>
          <w:rFonts w:ascii="Arial" w:hAnsi="Arial" w:cs="Arial"/>
          <w:spacing w:val="-2"/>
          <w:sz w:val="20"/>
        </w:rPr>
        <w:t xml:space="preserve"> </w:t>
      </w:r>
      <w:r w:rsidRPr="0052488E">
        <w:rPr>
          <w:rFonts w:ascii="Arial" w:hAnsi="Arial" w:cs="Arial"/>
          <w:sz w:val="20"/>
        </w:rPr>
        <w:t>certification</w:t>
      </w:r>
      <w:r w:rsidRPr="0052488E">
        <w:rPr>
          <w:rFonts w:ascii="Arial" w:hAnsi="Arial" w:cs="Arial"/>
          <w:spacing w:val="-1"/>
          <w:sz w:val="20"/>
        </w:rPr>
        <w:t xml:space="preserve"> </w:t>
      </w:r>
      <w:r w:rsidRPr="0052488E">
        <w:rPr>
          <w:rFonts w:ascii="Arial" w:hAnsi="Arial" w:cs="Arial"/>
          <w:sz w:val="20"/>
        </w:rPr>
        <w:t>stamp</w:t>
      </w:r>
      <w:r w:rsidRPr="0052488E">
        <w:rPr>
          <w:rFonts w:ascii="Arial" w:hAnsi="Arial" w:cs="Arial"/>
          <w:spacing w:val="-1"/>
          <w:sz w:val="20"/>
        </w:rPr>
        <w:t xml:space="preserve"> </w:t>
      </w:r>
      <w:r w:rsidRPr="0052488E">
        <w:rPr>
          <w:rFonts w:ascii="Arial" w:hAnsi="Arial" w:cs="Arial"/>
          <w:sz w:val="20"/>
        </w:rPr>
        <w:t>is</w:t>
      </w:r>
      <w:r w:rsidRPr="0052488E">
        <w:rPr>
          <w:rFonts w:ascii="Arial" w:hAnsi="Arial" w:cs="Arial"/>
          <w:spacing w:val="-2"/>
          <w:sz w:val="20"/>
        </w:rPr>
        <w:t xml:space="preserve"> </w:t>
      </w:r>
      <w:r w:rsidRPr="0052488E">
        <w:rPr>
          <w:rFonts w:ascii="Arial" w:hAnsi="Arial" w:cs="Arial"/>
          <w:sz w:val="20"/>
        </w:rPr>
        <w:t>optional.</w:t>
      </w:r>
    </w:p>
    <w:p w14:paraId="6C90975D" w14:textId="77777777" w:rsidR="0052488E" w:rsidRPr="0052488E" w:rsidRDefault="0052488E" w:rsidP="006C216A">
      <w:pPr>
        <w:pStyle w:val="ListParagraph"/>
        <w:numPr>
          <w:ilvl w:val="0"/>
          <w:numId w:val="321"/>
        </w:numPr>
        <w:tabs>
          <w:tab w:val="left" w:pos="707"/>
        </w:tabs>
        <w:spacing w:before="121"/>
        <w:ind w:right="44"/>
        <w:jc w:val="both"/>
        <w:rPr>
          <w:rFonts w:ascii="Arial" w:hAnsi="Arial" w:cs="Arial"/>
          <w:sz w:val="20"/>
        </w:rPr>
      </w:pPr>
      <w:r w:rsidRPr="0052488E">
        <w:rPr>
          <w:rFonts w:ascii="Arial" w:hAnsi="Arial" w:cs="Arial"/>
          <w:sz w:val="20"/>
        </w:rPr>
        <w:t>At the completion of all maintenance, owners, certifying staff, operators and maintenance</w:t>
      </w:r>
      <w:r w:rsidRPr="0052488E">
        <w:rPr>
          <w:rFonts w:ascii="Arial" w:hAnsi="Arial" w:cs="Arial"/>
          <w:spacing w:val="1"/>
          <w:sz w:val="20"/>
        </w:rPr>
        <w:t xml:space="preserve"> </w:t>
      </w:r>
      <w:r w:rsidRPr="0052488E">
        <w:rPr>
          <w:rFonts w:ascii="Arial" w:hAnsi="Arial" w:cs="Arial"/>
          <w:sz w:val="20"/>
        </w:rPr>
        <w:t>organisations</w:t>
      </w:r>
      <w:r w:rsidRPr="0052488E">
        <w:rPr>
          <w:rFonts w:ascii="Arial" w:hAnsi="Arial" w:cs="Arial"/>
          <w:spacing w:val="1"/>
          <w:sz w:val="20"/>
        </w:rPr>
        <w:t xml:space="preserve"> </w:t>
      </w:r>
      <w:r w:rsidRPr="0052488E">
        <w:rPr>
          <w:rFonts w:ascii="Arial" w:hAnsi="Arial" w:cs="Arial"/>
          <w:sz w:val="20"/>
        </w:rPr>
        <w:t>should</w:t>
      </w:r>
      <w:r w:rsidRPr="0052488E">
        <w:rPr>
          <w:rFonts w:ascii="Arial" w:hAnsi="Arial" w:cs="Arial"/>
          <w:spacing w:val="1"/>
          <w:sz w:val="20"/>
        </w:rPr>
        <w:t xml:space="preserve"> </w:t>
      </w:r>
      <w:r w:rsidRPr="0052488E">
        <w:rPr>
          <w:rFonts w:ascii="Arial" w:hAnsi="Arial" w:cs="Arial"/>
          <w:sz w:val="20"/>
        </w:rPr>
        <w:t>ensure</w:t>
      </w:r>
      <w:r w:rsidRPr="0052488E">
        <w:rPr>
          <w:rFonts w:ascii="Arial" w:hAnsi="Arial" w:cs="Arial"/>
          <w:spacing w:val="1"/>
          <w:sz w:val="20"/>
        </w:rPr>
        <w:t xml:space="preserve"> </w:t>
      </w:r>
      <w:r w:rsidRPr="0052488E">
        <w:rPr>
          <w:rFonts w:ascii="Arial" w:hAnsi="Arial" w:cs="Arial"/>
          <w:sz w:val="20"/>
        </w:rPr>
        <w:t>they</w:t>
      </w:r>
      <w:r w:rsidRPr="0052488E">
        <w:rPr>
          <w:rFonts w:ascii="Arial" w:hAnsi="Arial" w:cs="Arial"/>
          <w:spacing w:val="1"/>
          <w:sz w:val="20"/>
        </w:rPr>
        <w:t xml:space="preserve"> </w:t>
      </w:r>
      <w:r w:rsidRPr="0052488E">
        <w:rPr>
          <w:rFonts w:ascii="Arial" w:hAnsi="Arial" w:cs="Arial"/>
          <w:sz w:val="20"/>
        </w:rPr>
        <w:t>have</w:t>
      </w:r>
      <w:r w:rsidRPr="0052488E">
        <w:rPr>
          <w:rFonts w:ascii="Arial" w:hAnsi="Arial" w:cs="Arial"/>
          <w:spacing w:val="1"/>
          <w:sz w:val="20"/>
        </w:rPr>
        <w:t xml:space="preserve"> </w:t>
      </w:r>
      <w:r w:rsidRPr="0052488E">
        <w:rPr>
          <w:rFonts w:ascii="Arial" w:hAnsi="Arial" w:cs="Arial"/>
          <w:sz w:val="20"/>
        </w:rPr>
        <w:t>a</w:t>
      </w:r>
      <w:r w:rsidRPr="0052488E">
        <w:rPr>
          <w:rFonts w:ascii="Arial" w:hAnsi="Arial" w:cs="Arial"/>
          <w:spacing w:val="1"/>
          <w:sz w:val="20"/>
        </w:rPr>
        <w:t xml:space="preserve"> </w:t>
      </w:r>
      <w:r w:rsidRPr="0052488E">
        <w:rPr>
          <w:rFonts w:ascii="Arial" w:hAnsi="Arial" w:cs="Arial"/>
          <w:sz w:val="20"/>
        </w:rPr>
        <w:t>clear,</w:t>
      </w:r>
      <w:r w:rsidRPr="0052488E">
        <w:rPr>
          <w:rFonts w:ascii="Arial" w:hAnsi="Arial" w:cs="Arial"/>
          <w:spacing w:val="1"/>
          <w:sz w:val="20"/>
        </w:rPr>
        <w:t xml:space="preserve"> </w:t>
      </w:r>
      <w:r w:rsidRPr="0052488E">
        <w:rPr>
          <w:rFonts w:ascii="Arial" w:hAnsi="Arial" w:cs="Arial"/>
          <w:sz w:val="20"/>
        </w:rPr>
        <w:t>concise</w:t>
      </w:r>
      <w:r w:rsidRPr="0052488E">
        <w:rPr>
          <w:rFonts w:ascii="Arial" w:hAnsi="Arial" w:cs="Arial"/>
          <w:spacing w:val="1"/>
          <w:sz w:val="20"/>
        </w:rPr>
        <w:t xml:space="preserve"> </w:t>
      </w:r>
      <w:r w:rsidRPr="0052488E">
        <w:rPr>
          <w:rFonts w:ascii="Arial" w:hAnsi="Arial" w:cs="Arial"/>
          <w:sz w:val="20"/>
        </w:rPr>
        <w:t>and</w:t>
      </w:r>
      <w:r w:rsidRPr="0052488E">
        <w:rPr>
          <w:rFonts w:ascii="Arial" w:hAnsi="Arial" w:cs="Arial"/>
          <w:spacing w:val="1"/>
          <w:sz w:val="20"/>
        </w:rPr>
        <w:t xml:space="preserve"> </w:t>
      </w:r>
      <w:r w:rsidRPr="0052488E">
        <w:rPr>
          <w:rFonts w:ascii="Arial" w:hAnsi="Arial" w:cs="Arial"/>
          <w:sz w:val="20"/>
        </w:rPr>
        <w:t>legible</w:t>
      </w:r>
      <w:r w:rsidRPr="0052488E">
        <w:rPr>
          <w:rFonts w:ascii="Arial" w:hAnsi="Arial" w:cs="Arial"/>
          <w:spacing w:val="1"/>
          <w:sz w:val="20"/>
        </w:rPr>
        <w:t xml:space="preserve"> </w:t>
      </w:r>
      <w:r w:rsidRPr="0052488E">
        <w:rPr>
          <w:rFonts w:ascii="Arial" w:hAnsi="Arial" w:cs="Arial"/>
          <w:sz w:val="20"/>
        </w:rPr>
        <w:t>record</w:t>
      </w:r>
      <w:r w:rsidRPr="0052488E">
        <w:rPr>
          <w:rFonts w:ascii="Arial" w:hAnsi="Arial" w:cs="Arial"/>
          <w:spacing w:val="1"/>
          <w:sz w:val="20"/>
        </w:rPr>
        <w:t xml:space="preserve"> </w:t>
      </w:r>
      <w:r w:rsidRPr="0052488E">
        <w:rPr>
          <w:rFonts w:ascii="Arial" w:hAnsi="Arial" w:cs="Arial"/>
          <w:sz w:val="20"/>
        </w:rPr>
        <w:t>of</w:t>
      </w:r>
      <w:r w:rsidRPr="0052488E">
        <w:rPr>
          <w:rFonts w:ascii="Arial" w:hAnsi="Arial" w:cs="Arial"/>
          <w:spacing w:val="1"/>
          <w:sz w:val="20"/>
        </w:rPr>
        <w:t xml:space="preserve"> </w:t>
      </w:r>
      <w:r w:rsidRPr="0052488E">
        <w:rPr>
          <w:rFonts w:ascii="Arial" w:hAnsi="Arial" w:cs="Arial"/>
          <w:sz w:val="20"/>
        </w:rPr>
        <w:t>the</w:t>
      </w:r>
      <w:r w:rsidRPr="0052488E">
        <w:rPr>
          <w:rFonts w:ascii="Arial" w:hAnsi="Arial" w:cs="Arial"/>
          <w:spacing w:val="1"/>
          <w:sz w:val="20"/>
        </w:rPr>
        <w:t xml:space="preserve"> </w:t>
      </w:r>
      <w:r w:rsidRPr="0052488E">
        <w:rPr>
          <w:rFonts w:ascii="Arial" w:hAnsi="Arial" w:cs="Arial"/>
          <w:sz w:val="20"/>
        </w:rPr>
        <w:t>work</w:t>
      </w:r>
      <w:r w:rsidRPr="0052488E">
        <w:rPr>
          <w:rFonts w:ascii="Arial" w:hAnsi="Arial" w:cs="Arial"/>
          <w:spacing w:val="1"/>
          <w:sz w:val="20"/>
        </w:rPr>
        <w:t xml:space="preserve"> </w:t>
      </w:r>
      <w:r w:rsidRPr="0052488E">
        <w:rPr>
          <w:rFonts w:ascii="Arial" w:hAnsi="Arial" w:cs="Arial"/>
          <w:sz w:val="20"/>
        </w:rPr>
        <w:t>performed.</w:t>
      </w:r>
    </w:p>
    <w:p w14:paraId="020BC599" w14:textId="77777777" w:rsidR="0052488E" w:rsidRPr="0052488E" w:rsidRDefault="0052488E" w:rsidP="006C216A">
      <w:pPr>
        <w:pStyle w:val="ListParagraph"/>
        <w:numPr>
          <w:ilvl w:val="0"/>
          <w:numId w:val="321"/>
        </w:numPr>
        <w:tabs>
          <w:tab w:val="left" w:pos="707"/>
        </w:tabs>
        <w:spacing w:before="119"/>
        <w:ind w:right="44"/>
        <w:jc w:val="both"/>
        <w:rPr>
          <w:rFonts w:ascii="Arial" w:hAnsi="Arial" w:cs="Arial"/>
          <w:sz w:val="20"/>
        </w:rPr>
      </w:pPr>
      <w:r w:rsidRPr="0052488E">
        <w:rPr>
          <w:rFonts w:ascii="Arial" w:hAnsi="Arial" w:cs="Arial"/>
          <w:sz w:val="20"/>
        </w:rPr>
        <w:t>In the case of an</w:t>
      </w:r>
      <w:r w:rsidRPr="0052488E">
        <w:rPr>
          <w:rFonts w:ascii="Arial" w:hAnsi="Arial" w:cs="Arial"/>
          <w:color w:val="0000FF"/>
          <w:sz w:val="20"/>
        </w:rPr>
        <w:t xml:space="preserve"> </w:t>
      </w:r>
      <w:r w:rsidRPr="0052488E">
        <w:rPr>
          <w:rFonts w:ascii="Arial" w:hAnsi="Arial" w:cs="Arial"/>
          <w:sz w:val="20"/>
        </w:rPr>
        <w:t>ML.A.801(b)(2) CRS, the independent certifying staff should retain all records</w:t>
      </w:r>
      <w:r w:rsidRPr="0052488E">
        <w:rPr>
          <w:rFonts w:ascii="Arial" w:hAnsi="Arial" w:cs="Arial"/>
          <w:spacing w:val="1"/>
          <w:sz w:val="20"/>
        </w:rPr>
        <w:t xml:space="preserve"> </w:t>
      </w:r>
      <w:r w:rsidRPr="0052488E">
        <w:rPr>
          <w:rFonts w:ascii="Arial" w:hAnsi="Arial" w:cs="Arial"/>
          <w:sz w:val="20"/>
        </w:rPr>
        <w:t>necessary</w:t>
      </w:r>
      <w:r w:rsidRPr="0052488E">
        <w:rPr>
          <w:rFonts w:ascii="Arial" w:hAnsi="Arial" w:cs="Arial"/>
          <w:spacing w:val="-1"/>
          <w:sz w:val="20"/>
        </w:rPr>
        <w:t xml:space="preserve"> </w:t>
      </w:r>
      <w:r w:rsidRPr="0052488E">
        <w:rPr>
          <w:rFonts w:ascii="Arial" w:hAnsi="Arial" w:cs="Arial"/>
          <w:sz w:val="20"/>
        </w:rPr>
        <w:t>to</w:t>
      </w:r>
      <w:r w:rsidRPr="0052488E">
        <w:rPr>
          <w:rFonts w:ascii="Arial" w:hAnsi="Arial" w:cs="Arial"/>
          <w:spacing w:val="1"/>
          <w:sz w:val="20"/>
        </w:rPr>
        <w:t xml:space="preserve"> </w:t>
      </w:r>
      <w:r w:rsidRPr="0052488E">
        <w:rPr>
          <w:rFonts w:ascii="Arial" w:hAnsi="Arial" w:cs="Arial"/>
          <w:sz w:val="20"/>
        </w:rPr>
        <w:t>prove that all</w:t>
      </w:r>
      <w:r w:rsidRPr="0052488E">
        <w:rPr>
          <w:rFonts w:ascii="Arial" w:hAnsi="Arial" w:cs="Arial"/>
          <w:spacing w:val="-4"/>
          <w:sz w:val="20"/>
        </w:rPr>
        <w:t xml:space="preserve"> </w:t>
      </w:r>
      <w:r w:rsidRPr="0052488E">
        <w:rPr>
          <w:rFonts w:ascii="Arial" w:hAnsi="Arial" w:cs="Arial"/>
          <w:sz w:val="20"/>
        </w:rPr>
        <w:t>requirements have</w:t>
      </w:r>
      <w:r w:rsidRPr="0052488E">
        <w:rPr>
          <w:rFonts w:ascii="Arial" w:hAnsi="Arial" w:cs="Arial"/>
          <w:spacing w:val="1"/>
          <w:sz w:val="20"/>
        </w:rPr>
        <w:t xml:space="preserve"> </w:t>
      </w:r>
      <w:r w:rsidRPr="0052488E">
        <w:rPr>
          <w:rFonts w:ascii="Arial" w:hAnsi="Arial" w:cs="Arial"/>
          <w:sz w:val="20"/>
        </w:rPr>
        <w:t>been</w:t>
      </w:r>
      <w:r w:rsidRPr="0052488E">
        <w:rPr>
          <w:rFonts w:ascii="Arial" w:hAnsi="Arial" w:cs="Arial"/>
          <w:spacing w:val="-4"/>
          <w:sz w:val="20"/>
        </w:rPr>
        <w:t xml:space="preserve"> </w:t>
      </w:r>
      <w:r w:rsidRPr="0052488E">
        <w:rPr>
          <w:rFonts w:ascii="Arial" w:hAnsi="Arial" w:cs="Arial"/>
          <w:sz w:val="20"/>
        </w:rPr>
        <w:t>met for</w:t>
      </w:r>
      <w:r w:rsidRPr="0052488E">
        <w:rPr>
          <w:rFonts w:ascii="Arial" w:hAnsi="Arial" w:cs="Arial"/>
          <w:spacing w:val="-1"/>
          <w:sz w:val="20"/>
        </w:rPr>
        <w:t xml:space="preserve"> </w:t>
      </w:r>
      <w:r w:rsidRPr="0052488E">
        <w:rPr>
          <w:rFonts w:ascii="Arial" w:hAnsi="Arial" w:cs="Arial"/>
          <w:sz w:val="20"/>
        </w:rPr>
        <w:t>the</w:t>
      </w:r>
      <w:r w:rsidRPr="0052488E">
        <w:rPr>
          <w:rFonts w:ascii="Arial" w:hAnsi="Arial" w:cs="Arial"/>
          <w:spacing w:val="-2"/>
          <w:sz w:val="20"/>
        </w:rPr>
        <w:t xml:space="preserve"> </w:t>
      </w:r>
      <w:r w:rsidRPr="0052488E">
        <w:rPr>
          <w:rFonts w:ascii="Arial" w:hAnsi="Arial" w:cs="Arial"/>
          <w:sz w:val="20"/>
        </w:rPr>
        <w:t>issuance</w:t>
      </w:r>
      <w:r w:rsidRPr="0052488E">
        <w:rPr>
          <w:rFonts w:ascii="Arial" w:hAnsi="Arial" w:cs="Arial"/>
          <w:spacing w:val="-3"/>
          <w:sz w:val="20"/>
        </w:rPr>
        <w:t xml:space="preserve"> </w:t>
      </w:r>
      <w:r w:rsidRPr="0052488E">
        <w:rPr>
          <w:rFonts w:ascii="Arial" w:hAnsi="Arial" w:cs="Arial"/>
          <w:sz w:val="20"/>
        </w:rPr>
        <w:t>of</w:t>
      </w:r>
      <w:r w:rsidRPr="0052488E">
        <w:rPr>
          <w:rFonts w:ascii="Arial" w:hAnsi="Arial" w:cs="Arial"/>
          <w:spacing w:val="-3"/>
          <w:sz w:val="20"/>
        </w:rPr>
        <w:t xml:space="preserve"> </w:t>
      </w:r>
      <w:r w:rsidRPr="0052488E">
        <w:rPr>
          <w:rFonts w:ascii="Arial" w:hAnsi="Arial" w:cs="Arial"/>
          <w:sz w:val="20"/>
        </w:rPr>
        <w:t>a CRS.</w:t>
      </w:r>
    </w:p>
    <w:p w14:paraId="18A826F9" w14:textId="77777777" w:rsidR="00586A63" w:rsidRPr="00586A63" w:rsidRDefault="00586A63" w:rsidP="00586A63">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904" w:name="AMC1_ML.A.801(f)__Aircraft_certificate_o"/>
      <w:bookmarkStart w:id="905" w:name="_bookmark382"/>
      <w:bookmarkStart w:id="906" w:name="_Toc153137547"/>
      <w:bookmarkEnd w:id="904"/>
      <w:bookmarkEnd w:id="905"/>
      <w:r w:rsidRPr="00586A63">
        <w:rPr>
          <w:rFonts w:ascii="Arial" w:eastAsia="Times New Roman" w:hAnsi="Arial" w:cs="Times New Roman"/>
          <w:b/>
          <w:color w:val="FFFFFF"/>
          <w:sz w:val="24"/>
        </w:rPr>
        <w:t>AMC1 ML.A.801(f) Aircraft certificate of release to service</w:t>
      </w:r>
      <w:bookmarkEnd w:id="906"/>
    </w:p>
    <w:p w14:paraId="05EBCE44" w14:textId="77777777" w:rsidR="005D6708" w:rsidRPr="005D6708" w:rsidRDefault="005D6708" w:rsidP="006C216A">
      <w:pPr>
        <w:spacing w:line="276" w:lineRule="auto"/>
        <w:jc w:val="both"/>
        <w:rPr>
          <w:rFonts w:ascii="Arial" w:eastAsia="Times New Roman" w:hAnsi="Arial" w:cs="Times New Roman"/>
          <w:sz w:val="20"/>
        </w:rPr>
      </w:pPr>
      <w:r w:rsidRPr="005D6708">
        <w:rPr>
          <w:rFonts w:ascii="Arial" w:eastAsia="Times New Roman" w:hAnsi="Arial" w:cs="Times New Roman"/>
          <w:sz w:val="20"/>
        </w:rPr>
        <w:t>Certain maintenance data issued by the DAH (e.g. AMM) requires that a maintenance task be performed in flight as a necessary condition to complete the maintenance ordered. Within the aircraft limitations, the person authorised to certify the maintenance per ML.A.801 should release the incomplete maintenance before this flight. GM1 ML.A.301(f) describes the relations with the aircraft operator, which retains the responsibility for the MCF. After performing the flight and any additional maintenance necessary to complete the maintenance ordered, a CRS should be issued in accordance with ML.A.801.</w:t>
      </w:r>
    </w:p>
    <w:p w14:paraId="4254CCD6" w14:textId="77777777" w:rsidR="00BD6E3A" w:rsidRPr="00BD6E3A" w:rsidRDefault="00BD6E3A" w:rsidP="00BD6E3A">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907" w:name="ML.A.802_Component_certificate_of_releas"/>
      <w:bookmarkStart w:id="908" w:name="_bookmark383"/>
      <w:bookmarkStart w:id="909" w:name="_Toc153137548"/>
      <w:bookmarkEnd w:id="907"/>
      <w:bookmarkEnd w:id="908"/>
      <w:r w:rsidRPr="00BD6E3A">
        <w:rPr>
          <w:rFonts w:ascii="Arial" w:eastAsia="Times New Roman" w:hAnsi="Arial" w:cs="Times New Roman"/>
          <w:b/>
          <w:iCs/>
          <w:color w:val="FFFFFF"/>
          <w:sz w:val="24"/>
        </w:rPr>
        <w:t>ML.A.802 Component certificate of release to service</w:t>
      </w:r>
      <w:bookmarkEnd w:id="909"/>
    </w:p>
    <w:p w14:paraId="4A43082E" w14:textId="77777777" w:rsidR="00BD6E3A" w:rsidRPr="00BD6E3A" w:rsidRDefault="00BD6E3A" w:rsidP="006C216A">
      <w:pPr>
        <w:numPr>
          <w:ilvl w:val="0"/>
          <w:numId w:val="322"/>
        </w:numPr>
        <w:spacing w:line="276" w:lineRule="auto"/>
        <w:jc w:val="both"/>
        <w:rPr>
          <w:rFonts w:ascii="Arial" w:eastAsia="Times New Roman" w:hAnsi="Arial" w:cs="Times New Roman"/>
          <w:sz w:val="20"/>
        </w:rPr>
      </w:pPr>
      <w:r w:rsidRPr="00BD6E3A">
        <w:rPr>
          <w:rFonts w:ascii="Arial" w:eastAsia="Times New Roman" w:hAnsi="Arial" w:cs="Times New Roman"/>
          <w:sz w:val="20"/>
        </w:rPr>
        <w:t>A component CRS shall be issued after the required maintenance has been carried out properly on an aircraft component in accordance with point ML.A.502.</w:t>
      </w:r>
    </w:p>
    <w:p w14:paraId="089DAFC5" w14:textId="2B54544A" w:rsidR="00BD6E3A" w:rsidRPr="00BD6E3A" w:rsidRDefault="00BD6E3A" w:rsidP="006C216A">
      <w:pPr>
        <w:numPr>
          <w:ilvl w:val="0"/>
          <w:numId w:val="322"/>
        </w:numPr>
        <w:spacing w:line="276" w:lineRule="auto"/>
        <w:jc w:val="both"/>
        <w:rPr>
          <w:rFonts w:ascii="Arial" w:eastAsia="Times New Roman" w:hAnsi="Arial" w:cs="Times New Roman"/>
          <w:sz w:val="20"/>
        </w:rPr>
      </w:pPr>
      <w:r w:rsidRPr="00BD6E3A">
        <w:rPr>
          <w:rFonts w:ascii="Arial" w:eastAsia="Times New Roman" w:hAnsi="Arial" w:cs="Times New Roman"/>
          <w:sz w:val="20"/>
        </w:rPr>
        <w:t xml:space="preserve">The authorised release certificate identified </w:t>
      </w:r>
      <w:r w:rsidRPr="004906DC">
        <w:rPr>
          <w:rFonts w:ascii="Arial" w:eastAsia="Times New Roman" w:hAnsi="Arial" w:cs="Times New Roman"/>
          <w:sz w:val="20"/>
        </w:rPr>
        <w:t>as  Form</w:t>
      </w:r>
      <w:r w:rsidRPr="00BD6E3A">
        <w:rPr>
          <w:rFonts w:ascii="Arial" w:eastAsia="Times New Roman" w:hAnsi="Arial" w:cs="Times New Roman"/>
          <w:sz w:val="20"/>
        </w:rPr>
        <w:t xml:space="preserve"> 1, as set out Appendix II of Annex I (Part-M) , constitutes the component CRS, except when such maintenance is released at aircraft level, as indicated in point ML.A.502(b).</w:t>
      </w:r>
    </w:p>
    <w:p w14:paraId="246CD0FD" w14:textId="77777777" w:rsidR="00BD6E3A" w:rsidRPr="00BD6E3A" w:rsidRDefault="00BD6E3A" w:rsidP="00BD6E3A">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910" w:name="ML.A.803_Pilot-owner_authorisation"/>
      <w:bookmarkStart w:id="911" w:name="_bookmark384"/>
      <w:bookmarkStart w:id="912" w:name="_Toc153137549"/>
      <w:bookmarkEnd w:id="910"/>
      <w:bookmarkEnd w:id="911"/>
      <w:r w:rsidRPr="00BD6E3A">
        <w:rPr>
          <w:rFonts w:ascii="Arial" w:eastAsia="Times New Roman" w:hAnsi="Arial" w:cs="Times New Roman"/>
          <w:b/>
          <w:iCs/>
          <w:color w:val="FFFFFF"/>
          <w:sz w:val="24"/>
        </w:rPr>
        <w:t>ML.A.803 Pilot-owner authorisation</w:t>
      </w:r>
      <w:bookmarkEnd w:id="912"/>
    </w:p>
    <w:p w14:paraId="7D9A4B21" w14:textId="77777777" w:rsidR="00BD6E3A" w:rsidRPr="00BD6E3A" w:rsidRDefault="00BD6E3A" w:rsidP="006C216A">
      <w:pPr>
        <w:numPr>
          <w:ilvl w:val="0"/>
          <w:numId w:val="323"/>
        </w:numPr>
        <w:jc w:val="both"/>
        <w:rPr>
          <w:rFonts w:ascii="Arial" w:eastAsia="Times New Roman" w:hAnsi="Arial" w:cs="Times New Roman"/>
          <w:sz w:val="20"/>
          <w:szCs w:val="20"/>
        </w:rPr>
      </w:pPr>
      <w:r w:rsidRPr="00BD6E3A">
        <w:rPr>
          <w:rFonts w:ascii="Arial" w:eastAsia="Times New Roman" w:hAnsi="Arial" w:cs="Times New Roman"/>
          <w:sz w:val="20"/>
          <w:szCs w:val="20"/>
        </w:rPr>
        <w:t>To qualify as a pilot-owner, the person must:</w:t>
      </w:r>
    </w:p>
    <w:p w14:paraId="23412D4C" w14:textId="697C6F9F" w:rsidR="00BD6E3A" w:rsidRPr="00BD6E3A" w:rsidRDefault="00BD6E3A" w:rsidP="006C216A">
      <w:pPr>
        <w:pStyle w:val="ListParagraph"/>
        <w:numPr>
          <w:ilvl w:val="1"/>
          <w:numId w:val="323"/>
        </w:numPr>
        <w:tabs>
          <w:tab w:val="left" w:pos="1274"/>
        </w:tabs>
        <w:spacing w:before="118"/>
        <w:ind w:right="44"/>
        <w:jc w:val="both"/>
        <w:rPr>
          <w:rFonts w:ascii="Arial" w:hAnsi="Arial" w:cs="Arial"/>
          <w:sz w:val="20"/>
          <w:szCs w:val="20"/>
        </w:rPr>
      </w:pPr>
      <w:r w:rsidRPr="00BD6E3A">
        <w:rPr>
          <w:rFonts w:ascii="Arial" w:hAnsi="Arial" w:cs="Arial"/>
          <w:sz w:val="20"/>
          <w:szCs w:val="20"/>
        </w:rPr>
        <w:t xml:space="preserve">hold a valid pilot licence or equivalent licence issued or validated by </w:t>
      </w:r>
      <w:r w:rsidR="00BE47FC">
        <w:rPr>
          <w:rFonts w:ascii="Arial" w:hAnsi="Arial" w:cs="Arial"/>
          <w:sz w:val="20"/>
        </w:rPr>
        <w:t xml:space="preserve">the Republic of Armenia </w:t>
      </w:r>
      <w:r w:rsidRPr="00BD6E3A">
        <w:rPr>
          <w:rFonts w:ascii="Arial" w:hAnsi="Arial" w:cs="Arial"/>
          <w:sz w:val="20"/>
          <w:szCs w:val="20"/>
        </w:rPr>
        <w:t>for</w:t>
      </w:r>
      <w:r w:rsidR="00BE47FC">
        <w:rPr>
          <w:rFonts w:ascii="Arial" w:hAnsi="Arial" w:cs="Arial"/>
          <w:sz w:val="20"/>
          <w:szCs w:val="20"/>
        </w:rPr>
        <w:t xml:space="preserve"> </w:t>
      </w:r>
      <w:r w:rsidRPr="00BD6E3A">
        <w:rPr>
          <w:rFonts w:ascii="Arial" w:hAnsi="Arial" w:cs="Arial"/>
          <w:spacing w:val="-47"/>
          <w:sz w:val="20"/>
          <w:szCs w:val="20"/>
        </w:rPr>
        <w:t xml:space="preserve"> </w:t>
      </w:r>
      <w:r w:rsidRPr="00BD6E3A">
        <w:rPr>
          <w:rFonts w:ascii="Arial" w:hAnsi="Arial" w:cs="Arial"/>
          <w:sz w:val="20"/>
          <w:szCs w:val="20"/>
        </w:rPr>
        <w:t>the</w:t>
      </w:r>
      <w:r w:rsidRPr="00BD6E3A">
        <w:rPr>
          <w:rFonts w:ascii="Arial" w:hAnsi="Arial" w:cs="Arial"/>
          <w:spacing w:val="-1"/>
          <w:sz w:val="20"/>
          <w:szCs w:val="20"/>
        </w:rPr>
        <w:t xml:space="preserve"> </w:t>
      </w:r>
      <w:r w:rsidRPr="00BD6E3A">
        <w:rPr>
          <w:rFonts w:ascii="Arial" w:hAnsi="Arial" w:cs="Arial"/>
          <w:sz w:val="20"/>
          <w:szCs w:val="20"/>
        </w:rPr>
        <w:t>aircraft type</w:t>
      </w:r>
      <w:r w:rsidRPr="00BD6E3A">
        <w:rPr>
          <w:rFonts w:ascii="Arial" w:hAnsi="Arial" w:cs="Arial"/>
          <w:spacing w:val="-2"/>
          <w:sz w:val="20"/>
          <w:szCs w:val="20"/>
        </w:rPr>
        <w:t xml:space="preserve"> </w:t>
      </w:r>
      <w:r w:rsidRPr="00BD6E3A">
        <w:rPr>
          <w:rFonts w:ascii="Arial" w:hAnsi="Arial" w:cs="Arial"/>
          <w:sz w:val="20"/>
          <w:szCs w:val="20"/>
        </w:rPr>
        <w:t>or class rating;</w:t>
      </w:r>
    </w:p>
    <w:p w14:paraId="16737D46" w14:textId="77777777" w:rsidR="00BD6E3A" w:rsidRPr="00BD6E3A" w:rsidRDefault="00BD6E3A" w:rsidP="006C216A">
      <w:pPr>
        <w:pStyle w:val="ListParagraph"/>
        <w:numPr>
          <w:ilvl w:val="1"/>
          <w:numId w:val="323"/>
        </w:numPr>
        <w:tabs>
          <w:tab w:val="left" w:pos="1274"/>
        </w:tabs>
        <w:ind w:right="44" w:hanging="568"/>
        <w:jc w:val="both"/>
        <w:rPr>
          <w:rFonts w:ascii="Arial" w:hAnsi="Arial" w:cs="Arial"/>
          <w:sz w:val="20"/>
          <w:szCs w:val="20"/>
        </w:rPr>
      </w:pPr>
      <w:r w:rsidRPr="00BD6E3A">
        <w:rPr>
          <w:rFonts w:ascii="Arial" w:hAnsi="Arial" w:cs="Arial"/>
          <w:sz w:val="20"/>
          <w:szCs w:val="20"/>
        </w:rPr>
        <w:t>own</w:t>
      </w:r>
      <w:r w:rsidRPr="00BD6E3A">
        <w:rPr>
          <w:rFonts w:ascii="Arial" w:hAnsi="Arial" w:cs="Arial"/>
          <w:spacing w:val="-3"/>
          <w:sz w:val="20"/>
          <w:szCs w:val="20"/>
        </w:rPr>
        <w:t xml:space="preserve"> </w:t>
      </w:r>
      <w:r w:rsidRPr="00BD6E3A">
        <w:rPr>
          <w:rFonts w:ascii="Arial" w:hAnsi="Arial" w:cs="Arial"/>
          <w:sz w:val="20"/>
          <w:szCs w:val="20"/>
        </w:rPr>
        <w:t>the aircraft,</w:t>
      </w:r>
      <w:r w:rsidRPr="00BD6E3A">
        <w:rPr>
          <w:rFonts w:ascii="Arial" w:hAnsi="Arial" w:cs="Arial"/>
          <w:spacing w:val="-2"/>
          <w:sz w:val="20"/>
          <w:szCs w:val="20"/>
        </w:rPr>
        <w:t xml:space="preserve"> </w:t>
      </w:r>
      <w:r w:rsidRPr="00BD6E3A">
        <w:rPr>
          <w:rFonts w:ascii="Arial" w:hAnsi="Arial" w:cs="Arial"/>
          <w:sz w:val="20"/>
          <w:szCs w:val="20"/>
        </w:rPr>
        <w:t>either as</w:t>
      </w:r>
      <w:r w:rsidRPr="00BD6E3A">
        <w:rPr>
          <w:rFonts w:ascii="Arial" w:hAnsi="Arial" w:cs="Arial"/>
          <w:spacing w:val="-2"/>
          <w:sz w:val="20"/>
          <w:szCs w:val="20"/>
        </w:rPr>
        <w:t xml:space="preserve"> </w:t>
      </w:r>
      <w:r w:rsidRPr="00BD6E3A">
        <w:rPr>
          <w:rFonts w:ascii="Arial" w:hAnsi="Arial" w:cs="Arial"/>
          <w:sz w:val="20"/>
          <w:szCs w:val="20"/>
        </w:rPr>
        <w:t>a sole</w:t>
      </w:r>
      <w:r w:rsidRPr="00BD6E3A">
        <w:rPr>
          <w:rFonts w:ascii="Arial" w:hAnsi="Arial" w:cs="Arial"/>
          <w:spacing w:val="1"/>
          <w:sz w:val="20"/>
          <w:szCs w:val="20"/>
        </w:rPr>
        <w:t xml:space="preserve"> </w:t>
      </w:r>
      <w:r w:rsidRPr="00BD6E3A">
        <w:rPr>
          <w:rFonts w:ascii="Arial" w:hAnsi="Arial" w:cs="Arial"/>
          <w:sz w:val="20"/>
          <w:szCs w:val="20"/>
        </w:rPr>
        <w:t>or</w:t>
      </w:r>
      <w:r w:rsidRPr="00BD6E3A">
        <w:rPr>
          <w:rFonts w:ascii="Arial" w:hAnsi="Arial" w:cs="Arial"/>
          <w:spacing w:val="-3"/>
          <w:sz w:val="20"/>
          <w:szCs w:val="20"/>
        </w:rPr>
        <w:t xml:space="preserve"> </w:t>
      </w:r>
      <w:r w:rsidRPr="00BD6E3A">
        <w:rPr>
          <w:rFonts w:ascii="Arial" w:hAnsi="Arial" w:cs="Arial"/>
          <w:sz w:val="20"/>
          <w:szCs w:val="20"/>
        </w:rPr>
        <w:t>joint</w:t>
      </w:r>
      <w:r w:rsidRPr="00BD6E3A">
        <w:rPr>
          <w:rFonts w:ascii="Arial" w:hAnsi="Arial" w:cs="Arial"/>
          <w:spacing w:val="-2"/>
          <w:sz w:val="20"/>
          <w:szCs w:val="20"/>
        </w:rPr>
        <w:t xml:space="preserve"> </w:t>
      </w:r>
      <w:r w:rsidRPr="00BD6E3A">
        <w:rPr>
          <w:rFonts w:ascii="Arial" w:hAnsi="Arial" w:cs="Arial"/>
          <w:sz w:val="20"/>
          <w:szCs w:val="20"/>
        </w:rPr>
        <w:t>owner; that</w:t>
      </w:r>
      <w:r w:rsidRPr="00BD6E3A">
        <w:rPr>
          <w:rFonts w:ascii="Arial" w:hAnsi="Arial" w:cs="Arial"/>
          <w:spacing w:val="-5"/>
          <w:sz w:val="20"/>
          <w:szCs w:val="20"/>
        </w:rPr>
        <w:t xml:space="preserve"> </w:t>
      </w:r>
      <w:r w:rsidRPr="00BD6E3A">
        <w:rPr>
          <w:rFonts w:ascii="Arial" w:hAnsi="Arial" w:cs="Arial"/>
          <w:sz w:val="20"/>
          <w:szCs w:val="20"/>
        </w:rPr>
        <w:t>owner</w:t>
      </w:r>
      <w:r w:rsidRPr="00BD6E3A">
        <w:rPr>
          <w:rFonts w:ascii="Arial" w:hAnsi="Arial" w:cs="Arial"/>
          <w:spacing w:val="-3"/>
          <w:sz w:val="20"/>
          <w:szCs w:val="20"/>
        </w:rPr>
        <w:t xml:space="preserve"> </w:t>
      </w:r>
      <w:r w:rsidRPr="00BD6E3A">
        <w:rPr>
          <w:rFonts w:ascii="Arial" w:hAnsi="Arial" w:cs="Arial"/>
          <w:sz w:val="20"/>
          <w:szCs w:val="20"/>
        </w:rPr>
        <w:t>must be,</w:t>
      </w:r>
      <w:r w:rsidRPr="00BD6E3A">
        <w:rPr>
          <w:rFonts w:ascii="Arial" w:hAnsi="Arial" w:cs="Arial"/>
          <w:spacing w:val="-2"/>
          <w:sz w:val="20"/>
          <w:szCs w:val="20"/>
        </w:rPr>
        <w:t xml:space="preserve"> </w:t>
      </w:r>
      <w:r w:rsidRPr="00BD6E3A">
        <w:rPr>
          <w:rFonts w:ascii="Arial" w:hAnsi="Arial" w:cs="Arial"/>
          <w:sz w:val="20"/>
          <w:szCs w:val="20"/>
        </w:rPr>
        <w:t>alternatively:</w:t>
      </w:r>
    </w:p>
    <w:p w14:paraId="6799B6E7" w14:textId="77777777" w:rsidR="00BD6E3A" w:rsidRPr="00BD6E3A" w:rsidRDefault="00BD6E3A" w:rsidP="006C216A">
      <w:pPr>
        <w:pStyle w:val="ListParagraph"/>
        <w:numPr>
          <w:ilvl w:val="2"/>
          <w:numId w:val="323"/>
        </w:numPr>
        <w:tabs>
          <w:tab w:val="left" w:pos="1842"/>
        </w:tabs>
        <w:spacing w:before="121"/>
        <w:ind w:right="44"/>
        <w:jc w:val="both"/>
        <w:rPr>
          <w:rFonts w:ascii="Arial" w:hAnsi="Arial" w:cs="Arial"/>
          <w:sz w:val="20"/>
          <w:szCs w:val="20"/>
        </w:rPr>
      </w:pPr>
      <w:r w:rsidRPr="00BD6E3A">
        <w:rPr>
          <w:rFonts w:ascii="Arial" w:hAnsi="Arial" w:cs="Arial"/>
          <w:sz w:val="20"/>
          <w:szCs w:val="20"/>
        </w:rPr>
        <w:t>one</w:t>
      </w:r>
      <w:r w:rsidRPr="00BD6E3A">
        <w:rPr>
          <w:rFonts w:ascii="Arial" w:hAnsi="Arial" w:cs="Arial"/>
          <w:spacing w:val="-3"/>
          <w:sz w:val="20"/>
          <w:szCs w:val="20"/>
        </w:rPr>
        <w:t xml:space="preserve"> </w:t>
      </w:r>
      <w:r w:rsidRPr="00BD6E3A">
        <w:rPr>
          <w:rFonts w:ascii="Arial" w:hAnsi="Arial" w:cs="Arial"/>
          <w:sz w:val="20"/>
          <w:szCs w:val="20"/>
        </w:rPr>
        <w:t>of the</w:t>
      </w:r>
      <w:r w:rsidRPr="00BD6E3A">
        <w:rPr>
          <w:rFonts w:ascii="Arial" w:hAnsi="Arial" w:cs="Arial"/>
          <w:spacing w:val="1"/>
          <w:sz w:val="20"/>
          <w:szCs w:val="20"/>
        </w:rPr>
        <w:t xml:space="preserve"> </w:t>
      </w:r>
      <w:r w:rsidRPr="00BD6E3A">
        <w:rPr>
          <w:rFonts w:ascii="Arial" w:hAnsi="Arial" w:cs="Arial"/>
          <w:sz w:val="20"/>
          <w:szCs w:val="20"/>
        </w:rPr>
        <w:t>natural persons</w:t>
      </w:r>
      <w:r w:rsidRPr="00BD6E3A">
        <w:rPr>
          <w:rFonts w:ascii="Arial" w:hAnsi="Arial" w:cs="Arial"/>
          <w:spacing w:val="-5"/>
          <w:sz w:val="20"/>
          <w:szCs w:val="20"/>
        </w:rPr>
        <w:t xml:space="preserve"> </w:t>
      </w:r>
      <w:r w:rsidRPr="00BD6E3A">
        <w:rPr>
          <w:rFonts w:ascii="Arial" w:hAnsi="Arial" w:cs="Arial"/>
          <w:sz w:val="20"/>
          <w:szCs w:val="20"/>
        </w:rPr>
        <w:t>on</w:t>
      </w:r>
      <w:r w:rsidRPr="00BD6E3A">
        <w:rPr>
          <w:rFonts w:ascii="Arial" w:hAnsi="Arial" w:cs="Arial"/>
          <w:spacing w:val="-1"/>
          <w:sz w:val="20"/>
          <w:szCs w:val="20"/>
        </w:rPr>
        <w:t xml:space="preserve"> </w:t>
      </w:r>
      <w:r w:rsidRPr="00BD6E3A">
        <w:rPr>
          <w:rFonts w:ascii="Arial" w:hAnsi="Arial" w:cs="Arial"/>
          <w:sz w:val="20"/>
          <w:szCs w:val="20"/>
        </w:rPr>
        <w:t>the</w:t>
      </w:r>
      <w:r w:rsidRPr="00BD6E3A">
        <w:rPr>
          <w:rFonts w:ascii="Arial" w:hAnsi="Arial" w:cs="Arial"/>
          <w:spacing w:val="-3"/>
          <w:sz w:val="20"/>
          <w:szCs w:val="20"/>
        </w:rPr>
        <w:t xml:space="preserve"> </w:t>
      </w:r>
      <w:r w:rsidRPr="00BD6E3A">
        <w:rPr>
          <w:rFonts w:ascii="Arial" w:hAnsi="Arial" w:cs="Arial"/>
          <w:sz w:val="20"/>
          <w:szCs w:val="20"/>
        </w:rPr>
        <w:t>registration</w:t>
      </w:r>
      <w:r w:rsidRPr="00BD6E3A">
        <w:rPr>
          <w:rFonts w:ascii="Arial" w:hAnsi="Arial" w:cs="Arial"/>
          <w:spacing w:val="-1"/>
          <w:sz w:val="20"/>
          <w:szCs w:val="20"/>
        </w:rPr>
        <w:t xml:space="preserve"> </w:t>
      </w:r>
      <w:r w:rsidRPr="00BD6E3A">
        <w:rPr>
          <w:rFonts w:ascii="Arial" w:hAnsi="Arial" w:cs="Arial"/>
          <w:sz w:val="20"/>
          <w:szCs w:val="20"/>
        </w:rPr>
        <w:t>form;</w:t>
      </w:r>
    </w:p>
    <w:p w14:paraId="0F0A98E8" w14:textId="77777777" w:rsidR="00BD6E3A" w:rsidRPr="00BD6E3A" w:rsidRDefault="00BD6E3A" w:rsidP="006C216A">
      <w:pPr>
        <w:pStyle w:val="ListParagraph"/>
        <w:numPr>
          <w:ilvl w:val="2"/>
          <w:numId w:val="323"/>
        </w:numPr>
        <w:tabs>
          <w:tab w:val="left" w:pos="1842"/>
        </w:tabs>
        <w:ind w:right="44"/>
        <w:jc w:val="both"/>
        <w:rPr>
          <w:rFonts w:ascii="Arial" w:hAnsi="Arial" w:cs="Arial"/>
          <w:sz w:val="20"/>
          <w:szCs w:val="20"/>
        </w:rPr>
      </w:pPr>
      <w:r w:rsidRPr="00BD6E3A">
        <w:rPr>
          <w:rFonts w:ascii="Arial" w:hAnsi="Arial" w:cs="Arial"/>
          <w:sz w:val="20"/>
          <w:szCs w:val="20"/>
        </w:rPr>
        <w:t>a</w:t>
      </w:r>
      <w:r w:rsidRPr="00BD6E3A">
        <w:rPr>
          <w:rFonts w:ascii="Arial" w:hAnsi="Arial" w:cs="Arial"/>
          <w:spacing w:val="1"/>
          <w:sz w:val="20"/>
          <w:szCs w:val="20"/>
        </w:rPr>
        <w:t xml:space="preserve"> </w:t>
      </w:r>
      <w:r w:rsidRPr="00BD6E3A">
        <w:rPr>
          <w:rFonts w:ascii="Arial" w:hAnsi="Arial" w:cs="Arial"/>
          <w:sz w:val="20"/>
          <w:szCs w:val="20"/>
        </w:rPr>
        <w:t>member</w:t>
      </w:r>
      <w:r w:rsidRPr="00BD6E3A">
        <w:rPr>
          <w:rFonts w:ascii="Arial" w:hAnsi="Arial" w:cs="Arial"/>
          <w:spacing w:val="1"/>
          <w:sz w:val="20"/>
          <w:szCs w:val="20"/>
        </w:rPr>
        <w:t xml:space="preserve"> </w:t>
      </w:r>
      <w:r w:rsidRPr="00BD6E3A">
        <w:rPr>
          <w:rFonts w:ascii="Arial" w:hAnsi="Arial" w:cs="Arial"/>
          <w:sz w:val="20"/>
          <w:szCs w:val="20"/>
        </w:rPr>
        <w:t>of</w:t>
      </w:r>
      <w:r w:rsidRPr="00BD6E3A">
        <w:rPr>
          <w:rFonts w:ascii="Arial" w:hAnsi="Arial" w:cs="Arial"/>
          <w:spacing w:val="1"/>
          <w:sz w:val="20"/>
          <w:szCs w:val="20"/>
        </w:rPr>
        <w:t xml:space="preserve"> </w:t>
      </w:r>
      <w:r w:rsidRPr="00BD6E3A">
        <w:rPr>
          <w:rFonts w:ascii="Arial" w:hAnsi="Arial" w:cs="Arial"/>
          <w:sz w:val="20"/>
          <w:szCs w:val="20"/>
        </w:rPr>
        <w:t>a</w:t>
      </w:r>
      <w:r w:rsidRPr="00BD6E3A">
        <w:rPr>
          <w:rFonts w:ascii="Arial" w:hAnsi="Arial" w:cs="Arial"/>
          <w:spacing w:val="1"/>
          <w:sz w:val="20"/>
          <w:szCs w:val="20"/>
        </w:rPr>
        <w:t xml:space="preserve"> </w:t>
      </w:r>
      <w:r w:rsidRPr="00BD6E3A">
        <w:rPr>
          <w:rFonts w:ascii="Arial" w:hAnsi="Arial" w:cs="Arial"/>
          <w:sz w:val="20"/>
          <w:szCs w:val="20"/>
        </w:rPr>
        <w:t>non-profit</w:t>
      </w:r>
      <w:r w:rsidRPr="00BD6E3A">
        <w:rPr>
          <w:rFonts w:ascii="Arial" w:hAnsi="Arial" w:cs="Arial"/>
          <w:spacing w:val="1"/>
          <w:sz w:val="20"/>
          <w:szCs w:val="20"/>
        </w:rPr>
        <w:t xml:space="preserve"> </w:t>
      </w:r>
      <w:r w:rsidRPr="00BD6E3A">
        <w:rPr>
          <w:rFonts w:ascii="Arial" w:hAnsi="Arial" w:cs="Arial"/>
          <w:sz w:val="20"/>
          <w:szCs w:val="20"/>
        </w:rPr>
        <w:t>recreational</w:t>
      </w:r>
      <w:r w:rsidRPr="00BD6E3A">
        <w:rPr>
          <w:rFonts w:ascii="Arial" w:hAnsi="Arial" w:cs="Arial"/>
          <w:spacing w:val="1"/>
          <w:sz w:val="20"/>
          <w:szCs w:val="20"/>
        </w:rPr>
        <w:t xml:space="preserve"> </w:t>
      </w:r>
      <w:r w:rsidRPr="00BD6E3A">
        <w:rPr>
          <w:rFonts w:ascii="Arial" w:hAnsi="Arial" w:cs="Arial"/>
          <w:sz w:val="20"/>
          <w:szCs w:val="20"/>
        </w:rPr>
        <w:t>legal</w:t>
      </w:r>
      <w:r w:rsidRPr="00BD6E3A">
        <w:rPr>
          <w:rFonts w:ascii="Arial" w:hAnsi="Arial" w:cs="Arial"/>
          <w:spacing w:val="1"/>
          <w:sz w:val="20"/>
          <w:szCs w:val="20"/>
        </w:rPr>
        <w:t xml:space="preserve"> </w:t>
      </w:r>
      <w:r w:rsidRPr="00BD6E3A">
        <w:rPr>
          <w:rFonts w:ascii="Arial" w:hAnsi="Arial" w:cs="Arial"/>
          <w:sz w:val="20"/>
          <w:szCs w:val="20"/>
        </w:rPr>
        <w:t>entity,</w:t>
      </w:r>
      <w:r w:rsidRPr="00BD6E3A">
        <w:rPr>
          <w:rFonts w:ascii="Arial" w:hAnsi="Arial" w:cs="Arial"/>
          <w:spacing w:val="1"/>
          <w:sz w:val="20"/>
          <w:szCs w:val="20"/>
        </w:rPr>
        <w:t xml:space="preserve"> </w:t>
      </w:r>
      <w:r w:rsidRPr="00BD6E3A">
        <w:rPr>
          <w:rFonts w:ascii="Arial" w:hAnsi="Arial" w:cs="Arial"/>
          <w:sz w:val="20"/>
          <w:szCs w:val="20"/>
        </w:rPr>
        <w:t>where</w:t>
      </w:r>
      <w:r w:rsidRPr="00BD6E3A">
        <w:rPr>
          <w:rFonts w:ascii="Arial" w:hAnsi="Arial" w:cs="Arial"/>
          <w:spacing w:val="1"/>
          <w:sz w:val="20"/>
          <w:szCs w:val="20"/>
        </w:rPr>
        <w:t xml:space="preserve"> </w:t>
      </w:r>
      <w:r w:rsidRPr="00BD6E3A">
        <w:rPr>
          <w:rFonts w:ascii="Arial" w:hAnsi="Arial" w:cs="Arial"/>
          <w:sz w:val="20"/>
          <w:szCs w:val="20"/>
        </w:rPr>
        <w:t>the</w:t>
      </w:r>
      <w:r w:rsidRPr="00BD6E3A">
        <w:rPr>
          <w:rFonts w:ascii="Arial" w:hAnsi="Arial" w:cs="Arial"/>
          <w:spacing w:val="1"/>
          <w:sz w:val="20"/>
          <w:szCs w:val="20"/>
        </w:rPr>
        <w:t xml:space="preserve"> </w:t>
      </w:r>
      <w:r w:rsidRPr="00BD6E3A">
        <w:rPr>
          <w:rFonts w:ascii="Arial" w:hAnsi="Arial" w:cs="Arial"/>
          <w:sz w:val="20"/>
          <w:szCs w:val="20"/>
        </w:rPr>
        <w:t>legal</w:t>
      </w:r>
      <w:r w:rsidRPr="00BD6E3A">
        <w:rPr>
          <w:rFonts w:ascii="Arial" w:hAnsi="Arial" w:cs="Arial"/>
          <w:spacing w:val="1"/>
          <w:sz w:val="20"/>
          <w:szCs w:val="20"/>
        </w:rPr>
        <w:t xml:space="preserve"> </w:t>
      </w:r>
      <w:r w:rsidRPr="00BD6E3A">
        <w:rPr>
          <w:rFonts w:ascii="Arial" w:hAnsi="Arial" w:cs="Arial"/>
          <w:sz w:val="20"/>
          <w:szCs w:val="20"/>
        </w:rPr>
        <w:t>entity</w:t>
      </w:r>
      <w:r w:rsidRPr="00BD6E3A">
        <w:rPr>
          <w:rFonts w:ascii="Arial" w:hAnsi="Arial" w:cs="Arial"/>
          <w:spacing w:val="1"/>
          <w:sz w:val="20"/>
          <w:szCs w:val="20"/>
        </w:rPr>
        <w:t xml:space="preserve"> </w:t>
      </w:r>
      <w:r w:rsidRPr="00BD6E3A">
        <w:rPr>
          <w:rFonts w:ascii="Arial" w:hAnsi="Arial" w:cs="Arial"/>
          <w:sz w:val="20"/>
          <w:szCs w:val="20"/>
        </w:rPr>
        <w:t>is</w:t>
      </w:r>
      <w:r w:rsidRPr="00BD6E3A">
        <w:rPr>
          <w:rFonts w:ascii="Arial" w:hAnsi="Arial" w:cs="Arial"/>
          <w:spacing w:val="-47"/>
          <w:sz w:val="20"/>
          <w:szCs w:val="20"/>
        </w:rPr>
        <w:t xml:space="preserve"> </w:t>
      </w:r>
      <w:r w:rsidRPr="00BD6E3A">
        <w:rPr>
          <w:rFonts w:ascii="Arial" w:hAnsi="Arial" w:cs="Arial"/>
          <w:sz w:val="20"/>
          <w:szCs w:val="20"/>
        </w:rPr>
        <w:t>specified on the registration document as owner or operator; that member must</w:t>
      </w:r>
      <w:r w:rsidRPr="00BD6E3A">
        <w:rPr>
          <w:rFonts w:ascii="Arial" w:hAnsi="Arial" w:cs="Arial"/>
          <w:spacing w:val="1"/>
          <w:sz w:val="20"/>
          <w:szCs w:val="20"/>
        </w:rPr>
        <w:t xml:space="preserve"> </w:t>
      </w:r>
      <w:r w:rsidRPr="00BD6E3A">
        <w:rPr>
          <w:rFonts w:ascii="Arial" w:hAnsi="Arial" w:cs="Arial"/>
          <w:sz w:val="20"/>
          <w:szCs w:val="20"/>
        </w:rPr>
        <w:t>be</w:t>
      </w:r>
      <w:r w:rsidRPr="00BD6E3A">
        <w:rPr>
          <w:rFonts w:ascii="Arial" w:hAnsi="Arial" w:cs="Arial"/>
          <w:spacing w:val="1"/>
          <w:sz w:val="20"/>
          <w:szCs w:val="20"/>
        </w:rPr>
        <w:t xml:space="preserve"> </w:t>
      </w:r>
      <w:r w:rsidRPr="00BD6E3A">
        <w:rPr>
          <w:rFonts w:ascii="Arial" w:hAnsi="Arial" w:cs="Arial"/>
          <w:sz w:val="20"/>
          <w:szCs w:val="20"/>
        </w:rPr>
        <w:t>directly</w:t>
      </w:r>
      <w:r w:rsidRPr="00BD6E3A">
        <w:rPr>
          <w:rFonts w:ascii="Arial" w:hAnsi="Arial" w:cs="Arial"/>
          <w:spacing w:val="1"/>
          <w:sz w:val="20"/>
          <w:szCs w:val="20"/>
        </w:rPr>
        <w:t xml:space="preserve"> </w:t>
      </w:r>
      <w:r w:rsidRPr="00BD6E3A">
        <w:rPr>
          <w:rFonts w:ascii="Arial" w:hAnsi="Arial" w:cs="Arial"/>
          <w:sz w:val="20"/>
          <w:szCs w:val="20"/>
        </w:rPr>
        <w:t>involved</w:t>
      </w:r>
      <w:r w:rsidRPr="00BD6E3A">
        <w:rPr>
          <w:rFonts w:ascii="Arial" w:hAnsi="Arial" w:cs="Arial"/>
          <w:spacing w:val="1"/>
          <w:sz w:val="20"/>
          <w:szCs w:val="20"/>
        </w:rPr>
        <w:t xml:space="preserve"> </w:t>
      </w:r>
      <w:r w:rsidRPr="00BD6E3A">
        <w:rPr>
          <w:rFonts w:ascii="Arial" w:hAnsi="Arial" w:cs="Arial"/>
          <w:sz w:val="20"/>
          <w:szCs w:val="20"/>
        </w:rPr>
        <w:t>in</w:t>
      </w:r>
      <w:r w:rsidRPr="00BD6E3A">
        <w:rPr>
          <w:rFonts w:ascii="Arial" w:hAnsi="Arial" w:cs="Arial"/>
          <w:spacing w:val="1"/>
          <w:sz w:val="20"/>
          <w:szCs w:val="20"/>
        </w:rPr>
        <w:t xml:space="preserve"> </w:t>
      </w:r>
      <w:r w:rsidRPr="00BD6E3A">
        <w:rPr>
          <w:rFonts w:ascii="Arial" w:hAnsi="Arial" w:cs="Arial"/>
          <w:sz w:val="20"/>
          <w:szCs w:val="20"/>
        </w:rPr>
        <w:t>the</w:t>
      </w:r>
      <w:r w:rsidRPr="00BD6E3A">
        <w:rPr>
          <w:rFonts w:ascii="Arial" w:hAnsi="Arial" w:cs="Arial"/>
          <w:spacing w:val="1"/>
          <w:sz w:val="20"/>
          <w:szCs w:val="20"/>
        </w:rPr>
        <w:t xml:space="preserve"> </w:t>
      </w:r>
      <w:r w:rsidRPr="00BD6E3A">
        <w:rPr>
          <w:rFonts w:ascii="Arial" w:hAnsi="Arial" w:cs="Arial"/>
          <w:sz w:val="20"/>
          <w:szCs w:val="20"/>
        </w:rPr>
        <w:t>decision-making</w:t>
      </w:r>
      <w:r w:rsidRPr="00BD6E3A">
        <w:rPr>
          <w:rFonts w:ascii="Arial" w:hAnsi="Arial" w:cs="Arial"/>
          <w:spacing w:val="1"/>
          <w:sz w:val="20"/>
          <w:szCs w:val="20"/>
        </w:rPr>
        <w:t xml:space="preserve"> </w:t>
      </w:r>
      <w:r w:rsidRPr="00BD6E3A">
        <w:rPr>
          <w:rFonts w:ascii="Arial" w:hAnsi="Arial" w:cs="Arial"/>
          <w:sz w:val="20"/>
          <w:szCs w:val="20"/>
        </w:rPr>
        <w:t>process</w:t>
      </w:r>
      <w:r w:rsidRPr="00BD6E3A">
        <w:rPr>
          <w:rFonts w:ascii="Arial" w:hAnsi="Arial" w:cs="Arial"/>
          <w:spacing w:val="1"/>
          <w:sz w:val="20"/>
          <w:szCs w:val="20"/>
        </w:rPr>
        <w:t xml:space="preserve"> </w:t>
      </w:r>
      <w:r w:rsidRPr="00BD6E3A">
        <w:rPr>
          <w:rFonts w:ascii="Arial" w:hAnsi="Arial" w:cs="Arial"/>
          <w:sz w:val="20"/>
          <w:szCs w:val="20"/>
        </w:rPr>
        <w:t>of</w:t>
      </w:r>
      <w:r w:rsidRPr="00BD6E3A">
        <w:rPr>
          <w:rFonts w:ascii="Arial" w:hAnsi="Arial" w:cs="Arial"/>
          <w:spacing w:val="1"/>
          <w:sz w:val="20"/>
          <w:szCs w:val="20"/>
        </w:rPr>
        <w:t xml:space="preserve"> </w:t>
      </w:r>
      <w:r w:rsidRPr="00BD6E3A">
        <w:rPr>
          <w:rFonts w:ascii="Arial" w:hAnsi="Arial" w:cs="Arial"/>
          <w:sz w:val="20"/>
          <w:szCs w:val="20"/>
        </w:rPr>
        <w:t>the</w:t>
      </w:r>
      <w:r w:rsidRPr="00BD6E3A">
        <w:rPr>
          <w:rFonts w:ascii="Arial" w:hAnsi="Arial" w:cs="Arial"/>
          <w:spacing w:val="1"/>
          <w:sz w:val="20"/>
          <w:szCs w:val="20"/>
        </w:rPr>
        <w:t xml:space="preserve"> </w:t>
      </w:r>
      <w:r w:rsidRPr="00BD6E3A">
        <w:rPr>
          <w:rFonts w:ascii="Arial" w:hAnsi="Arial" w:cs="Arial"/>
          <w:sz w:val="20"/>
          <w:szCs w:val="20"/>
        </w:rPr>
        <w:t>legal</w:t>
      </w:r>
      <w:r w:rsidRPr="00BD6E3A">
        <w:rPr>
          <w:rFonts w:ascii="Arial" w:hAnsi="Arial" w:cs="Arial"/>
          <w:spacing w:val="1"/>
          <w:sz w:val="20"/>
          <w:szCs w:val="20"/>
        </w:rPr>
        <w:t xml:space="preserve"> </w:t>
      </w:r>
      <w:r w:rsidRPr="00BD6E3A">
        <w:rPr>
          <w:rFonts w:ascii="Arial" w:hAnsi="Arial" w:cs="Arial"/>
          <w:sz w:val="20"/>
          <w:szCs w:val="20"/>
        </w:rPr>
        <w:t>entity</w:t>
      </w:r>
      <w:r w:rsidRPr="00BD6E3A">
        <w:rPr>
          <w:rFonts w:ascii="Arial" w:hAnsi="Arial" w:cs="Arial"/>
          <w:spacing w:val="1"/>
          <w:sz w:val="20"/>
          <w:szCs w:val="20"/>
        </w:rPr>
        <w:t xml:space="preserve"> </w:t>
      </w:r>
      <w:r w:rsidRPr="00BD6E3A">
        <w:rPr>
          <w:rFonts w:ascii="Arial" w:hAnsi="Arial" w:cs="Arial"/>
          <w:sz w:val="20"/>
          <w:szCs w:val="20"/>
        </w:rPr>
        <w:t>and</w:t>
      </w:r>
      <w:r w:rsidRPr="00BD6E3A">
        <w:rPr>
          <w:rFonts w:ascii="Arial" w:hAnsi="Arial" w:cs="Arial"/>
          <w:spacing w:val="1"/>
          <w:sz w:val="20"/>
          <w:szCs w:val="20"/>
        </w:rPr>
        <w:t xml:space="preserve"> </w:t>
      </w:r>
      <w:r w:rsidRPr="00BD6E3A">
        <w:rPr>
          <w:rFonts w:ascii="Arial" w:hAnsi="Arial" w:cs="Arial"/>
          <w:sz w:val="20"/>
          <w:szCs w:val="20"/>
        </w:rPr>
        <w:t>designated</w:t>
      </w:r>
      <w:r w:rsidRPr="00BD6E3A">
        <w:rPr>
          <w:rFonts w:ascii="Arial" w:hAnsi="Arial" w:cs="Arial"/>
          <w:spacing w:val="-2"/>
          <w:sz w:val="20"/>
          <w:szCs w:val="20"/>
        </w:rPr>
        <w:t xml:space="preserve"> </w:t>
      </w:r>
      <w:r w:rsidRPr="00BD6E3A">
        <w:rPr>
          <w:rFonts w:ascii="Arial" w:hAnsi="Arial" w:cs="Arial"/>
          <w:sz w:val="20"/>
          <w:szCs w:val="20"/>
        </w:rPr>
        <w:t>by</w:t>
      </w:r>
      <w:r w:rsidRPr="00BD6E3A">
        <w:rPr>
          <w:rFonts w:ascii="Arial" w:hAnsi="Arial" w:cs="Arial"/>
          <w:spacing w:val="-2"/>
          <w:sz w:val="20"/>
          <w:szCs w:val="20"/>
        </w:rPr>
        <w:t xml:space="preserve"> </w:t>
      </w:r>
      <w:r w:rsidRPr="00BD6E3A">
        <w:rPr>
          <w:rFonts w:ascii="Arial" w:hAnsi="Arial" w:cs="Arial"/>
          <w:sz w:val="20"/>
          <w:szCs w:val="20"/>
        </w:rPr>
        <w:t>that legal</w:t>
      </w:r>
      <w:r w:rsidRPr="00BD6E3A">
        <w:rPr>
          <w:rFonts w:ascii="Arial" w:hAnsi="Arial" w:cs="Arial"/>
          <w:spacing w:val="-1"/>
          <w:sz w:val="20"/>
          <w:szCs w:val="20"/>
        </w:rPr>
        <w:t xml:space="preserve"> </w:t>
      </w:r>
      <w:r w:rsidRPr="00BD6E3A">
        <w:rPr>
          <w:rFonts w:ascii="Arial" w:hAnsi="Arial" w:cs="Arial"/>
          <w:sz w:val="20"/>
          <w:szCs w:val="20"/>
        </w:rPr>
        <w:t>entity</w:t>
      </w:r>
      <w:r w:rsidRPr="00BD6E3A">
        <w:rPr>
          <w:rFonts w:ascii="Arial" w:hAnsi="Arial" w:cs="Arial"/>
          <w:spacing w:val="-1"/>
          <w:sz w:val="20"/>
          <w:szCs w:val="20"/>
        </w:rPr>
        <w:t xml:space="preserve"> </w:t>
      </w:r>
      <w:r w:rsidRPr="00BD6E3A">
        <w:rPr>
          <w:rFonts w:ascii="Arial" w:hAnsi="Arial" w:cs="Arial"/>
          <w:sz w:val="20"/>
          <w:szCs w:val="20"/>
        </w:rPr>
        <w:t>to</w:t>
      </w:r>
      <w:r w:rsidRPr="00BD6E3A">
        <w:rPr>
          <w:rFonts w:ascii="Arial" w:hAnsi="Arial" w:cs="Arial"/>
          <w:spacing w:val="-1"/>
          <w:sz w:val="20"/>
          <w:szCs w:val="20"/>
        </w:rPr>
        <w:t xml:space="preserve"> </w:t>
      </w:r>
      <w:r w:rsidRPr="00BD6E3A">
        <w:rPr>
          <w:rFonts w:ascii="Arial" w:hAnsi="Arial" w:cs="Arial"/>
          <w:sz w:val="20"/>
          <w:szCs w:val="20"/>
        </w:rPr>
        <w:t>carry</w:t>
      </w:r>
      <w:r w:rsidRPr="00BD6E3A">
        <w:rPr>
          <w:rFonts w:ascii="Arial" w:hAnsi="Arial" w:cs="Arial"/>
          <w:spacing w:val="-2"/>
          <w:sz w:val="20"/>
          <w:szCs w:val="20"/>
        </w:rPr>
        <w:t xml:space="preserve"> </w:t>
      </w:r>
      <w:r w:rsidRPr="00BD6E3A">
        <w:rPr>
          <w:rFonts w:ascii="Arial" w:hAnsi="Arial" w:cs="Arial"/>
          <w:sz w:val="20"/>
          <w:szCs w:val="20"/>
        </w:rPr>
        <w:t>out Pilot-owner</w:t>
      </w:r>
      <w:r w:rsidRPr="00BD6E3A">
        <w:rPr>
          <w:rFonts w:ascii="Arial" w:hAnsi="Arial" w:cs="Arial"/>
          <w:spacing w:val="-1"/>
          <w:sz w:val="20"/>
          <w:szCs w:val="20"/>
        </w:rPr>
        <w:t xml:space="preserve"> </w:t>
      </w:r>
      <w:r w:rsidRPr="00BD6E3A">
        <w:rPr>
          <w:rFonts w:ascii="Arial" w:hAnsi="Arial" w:cs="Arial"/>
          <w:sz w:val="20"/>
          <w:szCs w:val="20"/>
        </w:rPr>
        <w:t>maintenance.</w:t>
      </w:r>
    </w:p>
    <w:p w14:paraId="2498BFB8" w14:textId="358AA125" w:rsidR="00BD6E3A" w:rsidRPr="00BD6E3A" w:rsidRDefault="00BD6E3A" w:rsidP="006C216A">
      <w:pPr>
        <w:pStyle w:val="ListParagraph"/>
        <w:numPr>
          <w:ilvl w:val="0"/>
          <w:numId w:val="323"/>
        </w:numPr>
        <w:tabs>
          <w:tab w:val="left" w:pos="707"/>
        </w:tabs>
        <w:spacing w:before="122"/>
        <w:ind w:right="44"/>
        <w:jc w:val="both"/>
        <w:rPr>
          <w:rFonts w:ascii="Arial" w:hAnsi="Arial" w:cs="Arial"/>
          <w:sz w:val="20"/>
          <w:szCs w:val="20"/>
        </w:rPr>
      </w:pPr>
      <w:r w:rsidRPr="00BD6E3A">
        <w:rPr>
          <w:rFonts w:ascii="Arial" w:hAnsi="Arial" w:cs="Arial"/>
          <w:sz w:val="20"/>
          <w:szCs w:val="20"/>
        </w:rPr>
        <w:t>For</w:t>
      </w:r>
      <w:r w:rsidRPr="00BD6E3A">
        <w:rPr>
          <w:rFonts w:ascii="Arial" w:hAnsi="Arial" w:cs="Arial"/>
          <w:spacing w:val="-9"/>
          <w:sz w:val="20"/>
          <w:szCs w:val="20"/>
        </w:rPr>
        <w:t xml:space="preserve"> </w:t>
      </w:r>
      <w:r w:rsidRPr="00BD6E3A">
        <w:rPr>
          <w:rFonts w:ascii="Arial" w:hAnsi="Arial" w:cs="Arial"/>
          <w:sz w:val="20"/>
          <w:szCs w:val="20"/>
        </w:rPr>
        <w:t>aircraft</w:t>
      </w:r>
      <w:r w:rsidRPr="00BD6E3A">
        <w:rPr>
          <w:rFonts w:ascii="Arial" w:hAnsi="Arial" w:cs="Arial"/>
          <w:spacing w:val="-10"/>
          <w:sz w:val="20"/>
          <w:szCs w:val="20"/>
        </w:rPr>
        <w:t xml:space="preserve"> </w:t>
      </w:r>
      <w:r w:rsidRPr="00BD6E3A">
        <w:rPr>
          <w:rFonts w:ascii="Arial" w:hAnsi="Arial" w:cs="Arial"/>
          <w:sz w:val="20"/>
          <w:szCs w:val="20"/>
        </w:rPr>
        <w:t>operated</w:t>
      </w:r>
      <w:r w:rsidRPr="00BD6E3A">
        <w:rPr>
          <w:rFonts w:ascii="Arial" w:hAnsi="Arial" w:cs="Arial"/>
          <w:spacing w:val="-12"/>
          <w:sz w:val="20"/>
          <w:szCs w:val="20"/>
        </w:rPr>
        <w:t xml:space="preserve"> </w:t>
      </w:r>
      <w:r w:rsidRPr="00BD6E3A">
        <w:rPr>
          <w:rFonts w:ascii="Arial" w:hAnsi="Arial" w:cs="Arial"/>
          <w:sz w:val="20"/>
          <w:szCs w:val="20"/>
        </w:rPr>
        <w:t>under</w:t>
      </w:r>
      <w:r w:rsidRPr="00BD6E3A">
        <w:rPr>
          <w:rFonts w:ascii="Arial" w:hAnsi="Arial" w:cs="Arial"/>
          <w:spacing w:val="-10"/>
          <w:sz w:val="20"/>
          <w:szCs w:val="20"/>
        </w:rPr>
        <w:t xml:space="preserve"> </w:t>
      </w:r>
      <w:r w:rsidRPr="00BD6E3A">
        <w:rPr>
          <w:rFonts w:ascii="Arial" w:hAnsi="Arial" w:cs="Arial"/>
          <w:sz w:val="20"/>
          <w:szCs w:val="20"/>
        </w:rPr>
        <w:t>Annex</w:t>
      </w:r>
      <w:r w:rsidRPr="00BD6E3A">
        <w:rPr>
          <w:rFonts w:ascii="Arial" w:hAnsi="Arial" w:cs="Arial"/>
          <w:spacing w:val="-7"/>
          <w:sz w:val="20"/>
          <w:szCs w:val="20"/>
        </w:rPr>
        <w:t xml:space="preserve"> </w:t>
      </w:r>
      <w:r w:rsidRPr="00BD6E3A">
        <w:rPr>
          <w:rFonts w:ascii="Arial" w:hAnsi="Arial" w:cs="Arial"/>
          <w:sz w:val="20"/>
          <w:szCs w:val="20"/>
        </w:rPr>
        <w:t>VII</w:t>
      </w:r>
      <w:r w:rsidRPr="00BD6E3A">
        <w:rPr>
          <w:rFonts w:ascii="Arial" w:hAnsi="Arial" w:cs="Arial"/>
          <w:spacing w:val="-12"/>
          <w:sz w:val="20"/>
          <w:szCs w:val="20"/>
        </w:rPr>
        <w:t xml:space="preserve"> </w:t>
      </w:r>
      <w:r w:rsidRPr="00BD6E3A">
        <w:rPr>
          <w:rFonts w:ascii="Arial" w:hAnsi="Arial" w:cs="Arial"/>
          <w:sz w:val="20"/>
          <w:szCs w:val="20"/>
        </w:rPr>
        <w:t>(Part-NCO)</w:t>
      </w:r>
      <w:r w:rsidRPr="00BD6E3A">
        <w:rPr>
          <w:rFonts w:ascii="Arial" w:hAnsi="Arial" w:cs="Arial"/>
          <w:spacing w:val="-8"/>
          <w:sz w:val="20"/>
          <w:szCs w:val="20"/>
        </w:rPr>
        <w:t xml:space="preserve"> </w:t>
      </w:r>
      <w:r w:rsidRPr="00BD6E3A">
        <w:rPr>
          <w:rFonts w:ascii="Arial" w:hAnsi="Arial" w:cs="Arial"/>
          <w:sz w:val="20"/>
          <w:szCs w:val="20"/>
        </w:rPr>
        <w:t>to</w:t>
      </w:r>
      <w:r w:rsidRPr="00BD6E3A">
        <w:rPr>
          <w:rFonts w:ascii="Arial" w:hAnsi="Arial" w:cs="Arial"/>
          <w:spacing w:val="-9"/>
          <w:sz w:val="20"/>
          <w:szCs w:val="20"/>
        </w:rPr>
        <w:t xml:space="preserve"> </w:t>
      </w:r>
      <w:hyperlink r:id="rId125" w:history="1">
        <w:r w:rsidR="00B65966">
          <w:rPr>
            <w:rStyle w:val="Hyperlink"/>
            <w:rFonts w:ascii="Arial" w:hAnsi="Arial" w:cs="Arial"/>
            <w:sz w:val="20"/>
          </w:rPr>
          <w:t>the order N 2-N of the Minister of Territorial Administration and Infrastructure of RA, dated 11.02.2022</w:t>
        </w:r>
      </w:hyperlink>
      <w:r w:rsidR="00B65966">
        <w:rPr>
          <w:rFonts w:ascii="Arial" w:hAnsi="Arial" w:cs="Arial"/>
          <w:sz w:val="20"/>
        </w:rPr>
        <w:t xml:space="preserve"> </w:t>
      </w:r>
      <w:r w:rsidRPr="00BD6E3A">
        <w:rPr>
          <w:rFonts w:ascii="Arial" w:hAnsi="Arial" w:cs="Arial"/>
          <w:sz w:val="20"/>
          <w:szCs w:val="20"/>
        </w:rPr>
        <w:t>or,</w:t>
      </w:r>
      <w:r w:rsidRPr="00BD6E3A">
        <w:rPr>
          <w:rFonts w:ascii="Arial" w:hAnsi="Arial" w:cs="Arial"/>
          <w:spacing w:val="-8"/>
          <w:sz w:val="20"/>
          <w:szCs w:val="20"/>
        </w:rPr>
        <w:t xml:space="preserve"> </w:t>
      </w:r>
      <w:r w:rsidRPr="00BD6E3A">
        <w:rPr>
          <w:rFonts w:ascii="Arial" w:hAnsi="Arial" w:cs="Arial"/>
          <w:sz w:val="20"/>
          <w:szCs w:val="20"/>
        </w:rPr>
        <w:t>in</w:t>
      </w:r>
      <w:r w:rsidRPr="00BD6E3A">
        <w:rPr>
          <w:rFonts w:ascii="Arial" w:hAnsi="Arial" w:cs="Arial"/>
          <w:spacing w:val="-11"/>
          <w:sz w:val="20"/>
          <w:szCs w:val="20"/>
        </w:rPr>
        <w:t xml:space="preserve"> </w:t>
      </w:r>
      <w:r w:rsidRPr="00BD6E3A">
        <w:rPr>
          <w:rFonts w:ascii="Arial" w:hAnsi="Arial" w:cs="Arial"/>
          <w:sz w:val="20"/>
          <w:szCs w:val="20"/>
        </w:rPr>
        <w:t>the</w:t>
      </w:r>
      <w:r w:rsidRPr="00BD6E3A">
        <w:rPr>
          <w:rFonts w:ascii="Arial" w:hAnsi="Arial" w:cs="Arial"/>
          <w:spacing w:val="-11"/>
          <w:sz w:val="20"/>
          <w:szCs w:val="20"/>
        </w:rPr>
        <w:t xml:space="preserve"> </w:t>
      </w:r>
      <w:r w:rsidRPr="00BD6E3A">
        <w:rPr>
          <w:rFonts w:ascii="Arial" w:hAnsi="Arial" w:cs="Arial"/>
          <w:sz w:val="20"/>
          <w:szCs w:val="20"/>
        </w:rPr>
        <w:t>case</w:t>
      </w:r>
      <w:r w:rsidRPr="00BD6E3A">
        <w:rPr>
          <w:rFonts w:ascii="Arial" w:hAnsi="Arial" w:cs="Arial"/>
          <w:spacing w:val="-47"/>
          <w:sz w:val="20"/>
          <w:szCs w:val="20"/>
        </w:rPr>
        <w:t xml:space="preserve"> </w:t>
      </w:r>
      <w:r w:rsidRPr="00BD6E3A">
        <w:rPr>
          <w:rFonts w:ascii="Arial" w:hAnsi="Arial" w:cs="Arial"/>
          <w:sz w:val="20"/>
          <w:szCs w:val="20"/>
        </w:rPr>
        <w:t>of</w:t>
      </w:r>
      <w:r w:rsidRPr="00BD6E3A">
        <w:rPr>
          <w:rFonts w:ascii="Arial" w:hAnsi="Arial" w:cs="Arial"/>
          <w:spacing w:val="1"/>
          <w:sz w:val="20"/>
          <w:szCs w:val="20"/>
        </w:rPr>
        <w:t xml:space="preserve"> </w:t>
      </w:r>
      <w:r w:rsidRPr="00BD6E3A">
        <w:rPr>
          <w:rFonts w:ascii="Arial" w:hAnsi="Arial" w:cs="Arial"/>
          <w:sz w:val="20"/>
          <w:szCs w:val="20"/>
        </w:rPr>
        <w:t>balloons,</w:t>
      </w:r>
      <w:r w:rsidRPr="00BD6E3A">
        <w:rPr>
          <w:rFonts w:ascii="Arial" w:hAnsi="Arial" w:cs="Arial"/>
          <w:spacing w:val="1"/>
          <w:sz w:val="20"/>
          <w:szCs w:val="20"/>
        </w:rPr>
        <w:t xml:space="preserve"> </w:t>
      </w:r>
      <w:r w:rsidRPr="00BD6E3A">
        <w:rPr>
          <w:rFonts w:ascii="Arial" w:hAnsi="Arial" w:cs="Arial"/>
          <w:sz w:val="20"/>
          <w:szCs w:val="20"/>
        </w:rPr>
        <w:t>not</w:t>
      </w:r>
      <w:r w:rsidRPr="00BD6E3A">
        <w:rPr>
          <w:rFonts w:ascii="Arial" w:hAnsi="Arial" w:cs="Arial"/>
          <w:spacing w:val="1"/>
          <w:sz w:val="20"/>
          <w:szCs w:val="20"/>
        </w:rPr>
        <w:t xml:space="preserve"> </w:t>
      </w:r>
      <w:r w:rsidRPr="00BD6E3A">
        <w:rPr>
          <w:rFonts w:ascii="Arial" w:hAnsi="Arial" w:cs="Arial"/>
          <w:sz w:val="20"/>
          <w:szCs w:val="20"/>
        </w:rPr>
        <w:t>operated</w:t>
      </w:r>
      <w:r w:rsidRPr="00BD6E3A">
        <w:rPr>
          <w:rFonts w:ascii="Arial" w:hAnsi="Arial" w:cs="Arial"/>
          <w:spacing w:val="1"/>
          <w:sz w:val="20"/>
          <w:szCs w:val="20"/>
        </w:rPr>
        <w:t xml:space="preserve"> </w:t>
      </w:r>
      <w:r w:rsidRPr="00BD6E3A">
        <w:rPr>
          <w:rFonts w:ascii="Arial" w:hAnsi="Arial" w:cs="Arial"/>
          <w:sz w:val="20"/>
          <w:szCs w:val="20"/>
        </w:rPr>
        <w:t>under</w:t>
      </w:r>
      <w:r w:rsidRPr="00BD6E3A">
        <w:rPr>
          <w:rFonts w:ascii="Arial" w:hAnsi="Arial" w:cs="Arial"/>
          <w:spacing w:val="1"/>
          <w:sz w:val="20"/>
          <w:szCs w:val="20"/>
        </w:rPr>
        <w:t xml:space="preserve"> </w:t>
      </w:r>
      <w:r w:rsidRPr="00BD6E3A">
        <w:rPr>
          <w:rFonts w:ascii="Arial" w:hAnsi="Arial" w:cs="Arial"/>
          <w:sz w:val="20"/>
          <w:szCs w:val="20"/>
        </w:rPr>
        <w:t>Subpart-ADD</w:t>
      </w:r>
      <w:r w:rsidRPr="00BD6E3A">
        <w:rPr>
          <w:rFonts w:ascii="Arial" w:hAnsi="Arial" w:cs="Arial"/>
          <w:spacing w:val="1"/>
          <w:sz w:val="20"/>
          <w:szCs w:val="20"/>
        </w:rPr>
        <w:t xml:space="preserve"> </w:t>
      </w:r>
      <w:r w:rsidRPr="00BD6E3A">
        <w:rPr>
          <w:rFonts w:ascii="Arial" w:hAnsi="Arial" w:cs="Arial"/>
          <w:sz w:val="20"/>
          <w:szCs w:val="20"/>
        </w:rPr>
        <w:t>of</w:t>
      </w:r>
      <w:r w:rsidRPr="00BD6E3A">
        <w:rPr>
          <w:rFonts w:ascii="Arial" w:hAnsi="Arial" w:cs="Arial"/>
          <w:spacing w:val="1"/>
          <w:sz w:val="20"/>
          <w:szCs w:val="20"/>
        </w:rPr>
        <w:t xml:space="preserve"> </w:t>
      </w:r>
      <w:r w:rsidRPr="00BD6E3A">
        <w:rPr>
          <w:rFonts w:ascii="Arial" w:hAnsi="Arial" w:cs="Arial"/>
          <w:sz w:val="20"/>
          <w:szCs w:val="20"/>
        </w:rPr>
        <w:t>Annex II</w:t>
      </w:r>
      <w:r w:rsidRPr="00BD6E3A">
        <w:rPr>
          <w:rFonts w:ascii="Arial" w:hAnsi="Arial" w:cs="Arial"/>
          <w:spacing w:val="1"/>
          <w:sz w:val="20"/>
          <w:szCs w:val="20"/>
        </w:rPr>
        <w:t xml:space="preserve"> </w:t>
      </w:r>
      <w:r w:rsidRPr="00BD6E3A">
        <w:rPr>
          <w:rFonts w:ascii="Arial" w:hAnsi="Arial" w:cs="Arial"/>
          <w:sz w:val="20"/>
          <w:szCs w:val="20"/>
        </w:rPr>
        <w:t>(Part-BOP)</w:t>
      </w:r>
      <w:r w:rsidRPr="00BD6E3A">
        <w:rPr>
          <w:rFonts w:ascii="Arial" w:hAnsi="Arial" w:cs="Arial"/>
          <w:spacing w:val="1"/>
          <w:sz w:val="20"/>
          <w:szCs w:val="20"/>
        </w:rPr>
        <w:t xml:space="preserve"> </w:t>
      </w:r>
      <w:r w:rsidRPr="00BD6E3A">
        <w:rPr>
          <w:rFonts w:ascii="Arial" w:hAnsi="Arial" w:cs="Arial"/>
          <w:sz w:val="20"/>
          <w:szCs w:val="20"/>
        </w:rPr>
        <w:t>to</w:t>
      </w:r>
      <w:r w:rsidRPr="00BD6E3A">
        <w:rPr>
          <w:rFonts w:ascii="Arial" w:hAnsi="Arial" w:cs="Arial"/>
          <w:spacing w:val="1"/>
          <w:sz w:val="20"/>
          <w:szCs w:val="20"/>
        </w:rPr>
        <w:t xml:space="preserve"> </w:t>
      </w:r>
      <w:r w:rsidR="00062F40">
        <w:rPr>
          <w:rFonts w:ascii="Arial" w:hAnsi="Arial" w:cs="Arial"/>
          <w:sz w:val="20"/>
        </w:rPr>
        <w:t>this Regulation</w:t>
      </w:r>
      <w:r w:rsidR="00062F40" w:rsidRPr="00722524">
        <w:rPr>
          <w:rFonts w:ascii="Arial" w:hAnsi="Arial" w:cs="Arial"/>
          <w:spacing w:val="1"/>
          <w:sz w:val="20"/>
        </w:rPr>
        <w:t xml:space="preserve"> </w:t>
      </w:r>
      <w:r w:rsidR="00916716">
        <w:rPr>
          <w:rFonts w:ascii="Arial" w:hAnsi="Arial" w:cs="Arial"/>
          <w:sz w:val="20"/>
          <w:szCs w:val="20"/>
        </w:rPr>
        <w:t>or</w:t>
      </w:r>
      <w:r w:rsidRPr="004906DC">
        <w:rPr>
          <w:rFonts w:ascii="Arial" w:hAnsi="Arial" w:cs="Arial"/>
          <w:sz w:val="20"/>
          <w:szCs w:val="20"/>
        </w:rPr>
        <w:t>,</w:t>
      </w:r>
      <w:r w:rsidRPr="00BD6E3A">
        <w:rPr>
          <w:rFonts w:ascii="Arial" w:hAnsi="Arial" w:cs="Arial"/>
          <w:spacing w:val="1"/>
          <w:sz w:val="20"/>
          <w:szCs w:val="20"/>
        </w:rPr>
        <w:t xml:space="preserve"> </w:t>
      </w:r>
      <w:r w:rsidRPr="00BD6E3A">
        <w:rPr>
          <w:rFonts w:ascii="Arial" w:hAnsi="Arial" w:cs="Arial"/>
          <w:sz w:val="20"/>
          <w:szCs w:val="20"/>
        </w:rPr>
        <w:t>the</w:t>
      </w:r>
      <w:r w:rsidRPr="00BD6E3A">
        <w:rPr>
          <w:rFonts w:ascii="Arial" w:hAnsi="Arial" w:cs="Arial"/>
          <w:spacing w:val="1"/>
          <w:sz w:val="20"/>
          <w:szCs w:val="20"/>
        </w:rPr>
        <w:t xml:space="preserve"> </w:t>
      </w:r>
      <w:r w:rsidRPr="00BD6E3A">
        <w:rPr>
          <w:rFonts w:ascii="Arial" w:hAnsi="Arial" w:cs="Arial"/>
          <w:sz w:val="20"/>
          <w:szCs w:val="20"/>
        </w:rPr>
        <w:t>pilot-owner</w:t>
      </w:r>
      <w:r w:rsidRPr="00BD6E3A">
        <w:rPr>
          <w:rFonts w:ascii="Arial" w:hAnsi="Arial" w:cs="Arial"/>
          <w:spacing w:val="1"/>
          <w:sz w:val="20"/>
          <w:szCs w:val="20"/>
        </w:rPr>
        <w:t xml:space="preserve"> </w:t>
      </w:r>
      <w:r w:rsidRPr="00BD6E3A">
        <w:rPr>
          <w:rFonts w:ascii="Arial" w:hAnsi="Arial" w:cs="Arial"/>
          <w:sz w:val="20"/>
          <w:szCs w:val="20"/>
        </w:rPr>
        <w:t>may</w:t>
      </w:r>
      <w:r w:rsidRPr="00BD6E3A">
        <w:rPr>
          <w:rFonts w:ascii="Arial" w:hAnsi="Arial" w:cs="Arial"/>
          <w:spacing w:val="1"/>
          <w:sz w:val="20"/>
          <w:szCs w:val="20"/>
        </w:rPr>
        <w:t xml:space="preserve"> </w:t>
      </w:r>
      <w:r w:rsidRPr="00BD6E3A">
        <w:rPr>
          <w:rFonts w:ascii="Arial" w:hAnsi="Arial" w:cs="Arial"/>
          <w:sz w:val="20"/>
          <w:szCs w:val="20"/>
        </w:rPr>
        <w:t>issue</w:t>
      </w:r>
      <w:r w:rsidRPr="00BD6E3A">
        <w:rPr>
          <w:rFonts w:ascii="Arial" w:hAnsi="Arial" w:cs="Arial"/>
          <w:spacing w:val="1"/>
          <w:sz w:val="20"/>
          <w:szCs w:val="20"/>
        </w:rPr>
        <w:t xml:space="preserve"> </w:t>
      </w:r>
      <w:r w:rsidRPr="00BD6E3A">
        <w:rPr>
          <w:rFonts w:ascii="Arial" w:hAnsi="Arial" w:cs="Arial"/>
          <w:sz w:val="20"/>
          <w:szCs w:val="20"/>
        </w:rPr>
        <w:t>a</w:t>
      </w:r>
      <w:r w:rsidRPr="00BD6E3A">
        <w:rPr>
          <w:rFonts w:ascii="Arial" w:hAnsi="Arial" w:cs="Arial"/>
          <w:spacing w:val="1"/>
          <w:sz w:val="20"/>
          <w:szCs w:val="20"/>
        </w:rPr>
        <w:t xml:space="preserve"> </w:t>
      </w:r>
      <w:r w:rsidRPr="00BD6E3A">
        <w:rPr>
          <w:rFonts w:ascii="Arial" w:hAnsi="Arial" w:cs="Arial"/>
          <w:sz w:val="20"/>
          <w:szCs w:val="20"/>
        </w:rPr>
        <w:t>CRS</w:t>
      </w:r>
      <w:r w:rsidRPr="00BD6E3A">
        <w:rPr>
          <w:rFonts w:ascii="Arial" w:hAnsi="Arial" w:cs="Arial"/>
          <w:spacing w:val="1"/>
          <w:sz w:val="20"/>
          <w:szCs w:val="20"/>
        </w:rPr>
        <w:t xml:space="preserve"> </w:t>
      </w:r>
      <w:r w:rsidRPr="00BD6E3A">
        <w:rPr>
          <w:rFonts w:ascii="Arial" w:hAnsi="Arial" w:cs="Arial"/>
          <w:sz w:val="20"/>
          <w:szCs w:val="20"/>
        </w:rPr>
        <w:t>after</w:t>
      </w:r>
      <w:r w:rsidRPr="00BD6E3A">
        <w:rPr>
          <w:rFonts w:ascii="Arial" w:hAnsi="Arial" w:cs="Arial"/>
          <w:spacing w:val="1"/>
          <w:sz w:val="20"/>
          <w:szCs w:val="20"/>
        </w:rPr>
        <w:t xml:space="preserve"> </w:t>
      </w:r>
      <w:r w:rsidRPr="00BD6E3A">
        <w:rPr>
          <w:rFonts w:ascii="Arial" w:hAnsi="Arial" w:cs="Arial"/>
          <w:sz w:val="20"/>
          <w:szCs w:val="20"/>
        </w:rPr>
        <w:t>limited</w:t>
      </w:r>
      <w:r w:rsidRPr="00BD6E3A">
        <w:rPr>
          <w:rFonts w:ascii="Arial" w:hAnsi="Arial" w:cs="Arial"/>
          <w:spacing w:val="1"/>
          <w:sz w:val="20"/>
          <w:szCs w:val="20"/>
        </w:rPr>
        <w:t xml:space="preserve"> </w:t>
      </w:r>
      <w:r w:rsidRPr="00BD6E3A">
        <w:rPr>
          <w:rFonts w:ascii="Arial" w:hAnsi="Arial" w:cs="Arial"/>
          <w:sz w:val="20"/>
          <w:szCs w:val="20"/>
        </w:rPr>
        <w:t>Pilot-owner</w:t>
      </w:r>
      <w:r w:rsidRPr="00BD6E3A">
        <w:rPr>
          <w:rFonts w:ascii="Arial" w:hAnsi="Arial" w:cs="Arial"/>
          <w:spacing w:val="1"/>
          <w:sz w:val="20"/>
          <w:szCs w:val="20"/>
        </w:rPr>
        <w:t xml:space="preserve"> </w:t>
      </w:r>
      <w:r w:rsidRPr="00BD6E3A">
        <w:rPr>
          <w:rFonts w:ascii="Arial" w:hAnsi="Arial" w:cs="Arial"/>
          <w:sz w:val="20"/>
          <w:szCs w:val="20"/>
        </w:rPr>
        <w:t>maintenance as provided for in</w:t>
      </w:r>
      <w:r w:rsidRPr="00BD6E3A">
        <w:rPr>
          <w:rFonts w:ascii="Arial" w:hAnsi="Arial" w:cs="Arial"/>
          <w:spacing w:val="-1"/>
          <w:sz w:val="20"/>
          <w:szCs w:val="20"/>
        </w:rPr>
        <w:t xml:space="preserve"> </w:t>
      </w:r>
      <w:r w:rsidRPr="00BD6E3A">
        <w:rPr>
          <w:rFonts w:ascii="Arial" w:hAnsi="Arial" w:cs="Arial"/>
          <w:sz w:val="20"/>
          <w:szCs w:val="20"/>
        </w:rPr>
        <w:t>Appendix</w:t>
      </w:r>
      <w:r w:rsidRPr="00BD6E3A">
        <w:rPr>
          <w:rFonts w:ascii="Arial" w:hAnsi="Arial" w:cs="Arial"/>
          <w:spacing w:val="1"/>
          <w:sz w:val="20"/>
          <w:szCs w:val="20"/>
        </w:rPr>
        <w:t xml:space="preserve"> </w:t>
      </w:r>
      <w:r w:rsidRPr="00BD6E3A">
        <w:rPr>
          <w:rFonts w:ascii="Arial" w:hAnsi="Arial" w:cs="Arial"/>
          <w:sz w:val="20"/>
          <w:szCs w:val="20"/>
        </w:rPr>
        <w:t>II</w:t>
      </w:r>
      <w:r w:rsidRPr="00BD6E3A">
        <w:rPr>
          <w:rFonts w:ascii="Arial" w:hAnsi="Arial" w:cs="Arial"/>
          <w:spacing w:val="-3"/>
          <w:sz w:val="20"/>
          <w:szCs w:val="20"/>
        </w:rPr>
        <w:t xml:space="preserve"> </w:t>
      </w:r>
      <w:r w:rsidRPr="00BD6E3A">
        <w:rPr>
          <w:rFonts w:ascii="Arial" w:hAnsi="Arial" w:cs="Arial"/>
          <w:sz w:val="20"/>
          <w:szCs w:val="20"/>
        </w:rPr>
        <w:t>to</w:t>
      </w:r>
      <w:r w:rsidRPr="00BD6E3A">
        <w:rPr>
          <w:rFonts w:ascii="Arial" w:hAnsi="Arial" w:cs="Arial"/>
          <w:spacing w:val="-1"/>
          <w:sz w:val="20"/>
          <w:szCs w:val="20"/>
        </w:rPr>
        <w:t xml:space="preserve"> </w:t>
      </w:r>
      <w:r w:rsidRPr="00BD6E3A">
        <w:rPr>
          <w:rFonts w:ascii="Arial" w:hAnsi="Arial" w:cs="Arial"/>
          <w:sz w:val="20"/>
          <w:szCs w:val="20"/>
        </w:rPr>
        <w:t>this Annex.</w:t>
      </w:r>
    </w:p>
    <w:p w14:paraId="12FFBB9B" w14:textId="77777777" w:rsidR="00BD6E3A" w:rsidRPr="00BD6E3A" w:rsidRDefault="00BD6E3A" w:rsidP="006C216A">
      <w:pPr>
        <w:pStyle w:val="ListParagraph"/>
        <w:numPr>
          <w:ilvl w:val="0"/>
          <w:numId w:val="323"/>
        </w:numPr>
        <w:tabs>
          <w:tab w:val="left" w:pos="707"/>
        </w:tabs>
        <w:spacing w:before="118"/>
        <w:ind w:right="44"/>
        <w:jc w:val="both"/>
        <w:rPr>
          <w:rFonts w:ascii="Arial" w:hAnsi="Arial" w:cs="Arial"/>
          <w:sz w:val="20"/>
          <w:szCs w:val="20"/>
        </w:rPr>
      </w:pPr>
      <w:r w:rsidRPr="00BD6E3A">
        <w:rPr>
          <w:rFonts w:ascii="Arial" w:hAnsi="Arial" w:cs="Arial"/>
          <w:sz w:val="20"/>
          <w:szCs w:val="20"/>
        </w:rPr>
        <w:lastRenderedPageBreak/>
        <w:t>The CRS shall be entered in the logbooks and contain basic details of the maintenance carried</w:t>
      </w:r>
      <w:r w:rsidRPr="00BD6E3A">
        <w:rPr>
          <w:rFonts w:ascii="Arial" w:hAnsi="Arial" w:cs="Arial"/>
          <w:spacing w:val="1"/>
          <w:sz w:val="20"/>
          <w:szCs w:val="20"/>
        </w:rPr>
        <w:t xml:space="preserve"> </w:t>
      </w:r>
      <w:r w:rsidRPr="00BD6E3A">
        <w:rPr>
          <w:rFonts w:ascii="Arial" w:hAnsi="Arial" w:cs="Arial"/>
          <w:sz w:val="20"/>
          <w:szCs w:val="20"/>
        </w:rPr>
        <w:t>out, the maintenance data used, the date on which that maintenance was completed, as well</w:t>
      </w:r>
      <w:r w:rsidRPr="00BD6E3A">
        <w:rPr>
          <w:rFonts w:ascii="Arial" w:hAnsi="Arial" w:cs="Arial"/>
          <w:spacing w:val="1"/>
          <w:sz w:val="20"/>
          <w:szCs w:val="20"/>
        </w:rPr>
        <w:t xml:space="preserve"> </w:t>
      </w:r>
      <w:r w:rsidRPr="00BD6E3A">
        <w:rPr>
          <w:rFonts w:ascii="Arial" w:hAnsi="Arial" w:cs="Arial"/>
          <w:sz w:val="20"/>
          <w:szCs w:val="20"/>
        </w:rPr>
        <w:t>as the identity, the signature and the pilot licence (or equivalent) number of the pilot-owner</w:t>
      </w:r>
      <w:r w:rsidRPr="00BD6E3A">
        <w:rPr>
          <w:rFonts w:ascii="Arial" w:hAnsi="Arial" w:cs="Arial"/>
          <w:spacing w:val="1"/>
          <w:sz w:val="20"/>
          <w:szCs w:val="20"/>
        </w:rPr>
        <w:t xml:space="preserve"> </w:t>
      </w:r>
      <w:r w:rsidRPr="00BD6E3A">
        <w:rPr>
          <w:rFonts w:ascii="Arial" w:hAnsi="Arial" w:cs="Arial"/>
          <w:sz w:val="20"/>
          <w:szCs w:val="20"/>
        </w:rPr>
        <w:t>issuing</w:t>
      </w:r>
      <w:r w:rsidRPr="00BD6E3A">
        <w:rPr>
          <w:rFonts w:ascii="Arial" w:hAnsi="Arial" w:cs="Arial"/>
          <w:spacing w:val="-2"/>
          <w:sz w:val="20"/>
          <w:szCs w:val="20"/>
        </w:rPr>
        <w:t xml:space="preserve"> </w:t>
      </w:r>
      <w:r w:rsidRPr="00BD6E3A">
        <w:rPr>
          <w:rFonts w:ascii="Arial" w:hAnsi="Arial" w:cs="Arial"/>
          <w:sz w:val="20"/>
          <w:szCs w:val="20"/>
        </w:rPr>
        <w:t>such</w:t>
      </w:r>
      <w:r w:rsidRPr="00BD6E3A">
        <w:rPr>
          <w:rFonts w:ascii="Arial" w:hAnsi="Arial" w:cs="Arial"/>
          <w:spacing w:val="-1"/>
          <w:sz w:val="20"/>
          <w:szCs w:val="20"/>
        </w:rPr>
        <w:t xml:space="preserve"> </w:t>
      </w:r>
      <w:r w:rsidRPr="00BD6E3A">
        <w:rPr>
          <w:rFonts w:ascii="Arial" w:hAnsi="Arial" w:cs="Arial"/>
          <w:sz w:val="20"/>
          <w:szCs w:val="20"/>
        </w:rPr>
        <w:t>a certificate.</w:t>
      </w:r>
    </w:p>
    <w:p w14:paraId="77CCE0E7" w14:textId="77777777" w:rsidR="00BD6E3A" w:rsidRPr="00BD6E3A" w:rsidRDefault="00BD6E3A" w:rsidP="00BD6E3A">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913" w:name="AMC1_ML.A.803__Pilot-owner_authorisation"/>
      <w:bookmarkStart w:id="914" w:name="_bookmark385"/>
      <w:bookmarkStart w:id="915" w:name="_Toc153137550"/>
      <w:bookmarkEnd w:id="913"/>
      <w:bookmarkEnd w:id="914"/>
      <w:r w:rsidRPr="00BD6E3A">
        <w:rPr>
          <w:rFonts w:ascii="Arial" w:eastAsia="Times New Roman" w:hAnsi="Arial" w:cs="Times New Roman"/>
          <w:b/>
          <w:color w:val="FFFFFF"/>
          <w:sz w:val="24"/>
        </w:rPr>
        <w:t>AMC1 ML.A.803 Pilot-owner authorisation</w:t>
      </w:r>
      <w:bookmarkEnd w:id="915"/>
    </w:p>
    <w:p w14:paraId="09DCF595" w14:textId="77777777" w:rsidR="00BD6E3A" w:rsidRPr="00BD6E3A" w:rsidRDefault="00BD6E3A" w:rsidP="006C216A">
      <w:pPr>
        <w:numPr>
          <w:ilvl w:val="0"/>
          <w:numId w:val="324"/>
        </w:numPr>
        <w:spacing w:line="276" w:lineRule="auto"/>
        <w:jc w:val="both"/>
        <w:rPr>
          <w:rFonts w:ascii="Arial" w:eastAsia="Times New Roman" w:hAnsi="Arial" w:cs="Times New Roman"/>
          <w:sz w:val="20"/>
        </w:rPr>
      </w:pPr>
      <w:r w:rsidRPr="00BD6E3A">
        <w:rPr>
          <w:rFonts w:ascii="Arial" w:eastAsia="Times New Roman" w:hAnsi="Arial" w:cs="Times New Roman"/>
          <w:sz w:val="20"/>
        </w:rPr>
        <w:t>A pilot-owner may only issue a CRS for the maintenance he or she has performed (ref. ML.A.201(c), ML.A.801 and ML.A.803).</w:t>
      </w:r>
    </w:p>
    <w:p w14:paraId="7CC60BC0" w14:textId="77777777" w:rsidR="00BD6E3A" w:rsidRPr="00BD6E3A" w:rsidRDefault="00BD6E3A" w:rsidP="006C216A">
      <w:pPr>
        <w:numPr>
          <w:ilvl w:val="0"/>
          <w:numId w:val="324"/>
        </w:numPr>
        <w:spacing w:line="276" w:lineRule="auto"/>
        <w:jc w:val="both"/>
        <w:rPr>
          <w:rFonts w:ascii="Arial" w:eastAsia="Times New Roman" w:hAnsi="Arial" w:cs="Times New Roman"/>
          <w:sz w:val="20"/>
        </w:rPr>
      </w:pPr>
      <w:r w:rsidRPr="00BD6E3A">
        <w:rPr>
          <w:rFonts w:ascii="Arial" w:eastAsia="Times New Roman" w:hAnsi="Arial" w:cs="Times New Roman"/>
          <w:sz w:val="20"/>
        </w:rPr>
        <w:t>In the case of jointly-owned aircraft, the AMP should list the names of all pilot-owners that are competent and designated to perform pilot-owner maintenance (ref. ML.A.302(c)(6)). As an alternative, the AMP may contain a procedure to ensure how such a list should be managed and kept current.</w:t>
      </w:r>
    </w:p>
    <w:p w14:paraId="54BDAE8C" w14:textId="45F43BC7" w:rsidR="00BD6E3A" w:rsidRPr="00BD6E3A" w:rsidRDefault="00BD6E3A" w:rsidP="006C216A">
      <w:pPr>
        <w:numPr>
          <w:ilvl w:val="0"/>
          <w:numId w:val="324"/>
        </w:numPr>
        <w:spacing w:line="276" w:lineRule="auto"/>
        <w:jc w:val="both"/>
        <w:rPr>
          <w:rFonts w:ascii="Arial" w:eastAsia="Times New Roman" w:hAnsi="Arial" w:cs="Times New Roman"/>
          <w:sz w:val="20"/>
        </w:rPr>
      </w:pPr>
      <w:r w:rsidRPr="00BD6E3A">
        <w:rPr>
          <w:rFonts w:ascii="Arial" w:eastAsia="Times New Roman" w:hAnsi="Arial" w:cs="Times New Roman"/>
          <w:sz w:val="20"/>
        </w:rPr>
        <w:t xml:space="preserve">An equivalent valid pilot-owner licence may be any document attesting a pilot qualification recognised by </w:t>
      </w:r>
      <w:r w:rsidR="00BE47FC">
        <w:rPr>
          <w:rFonts w:ascii="Arial" w:hAnsi="Arial" w:cs="Arial"/>
          <w:sz w:val="20"/>
        </w:rPr>
        <w:t>the Republic of Armenia</w:t>
      </w:r>
      <w:r w:rsidRPr="00BD6E3A">
        <w:rPr>
          <w:rFonts w:ascii="Arial" w:eastAsia="Times New Roman" w:hAnsi="Arial" w:cs="Times New Roman"/>
          <w:sz w:val="20"/>
        </w:rPr>
        <w:t>.</w:t>
      </w:r>
    </w:p>
    <w:p w14:paraId="0BDE1CFC" w14:textId="77777777" w:rsidR="00BD6E3A" w:rsidRPr="00BD6E3A" w:rsidRDefault="00BD6E3A" w:rsidP="006C216A">
      <w:pPr>
        <w:numPr>
          <w:ilvl w:val="0"/>
          <w:numId w:val="324"/>
        </w:numPr>
        <w:spacing w:line="276" w:lineRule="auto"/>
        <w:jc w:val="both"/>
        <w:rPr>
          <w:rFonts w:ascii="Arial" w:eastAsia="Times New Roman" w:hAnsi="Arial" w:cs="Times New Roman"/>
          <w:sz w:val="20"/>
        </w:rPr>
      </w:pPr>
      <w:r w:rsidRPr="00BD6E3A">
        <w:rPr>
          <w:rFonts w:ascii="Arial" w:eastAsia="Times New Roman" w:hAnsi="Arial" w:cs="Times New Roman"/>
          <w:sz w:val="20"/>
        </w:rPr>
        <w:t>Not holding a valid medical examination does not invalidate the pilot licence (or equivalent) required under ML.A.803(a)(1) for the purpose of the pilot-owner authorisation.</w:t>
      </w:r>
    </w:p>
    <w:p w14:paraId="630AA724" w14:textId="77777777" w:rsidR="00BE332C" w:rsidRDefault="00BE332C" w:rsidP="0052488E">
      <w:pPr>
        <w:rPr>
          <w:rFonts w:ascii="Arial" w:eastAsia="Times New Roman" w:hAnsi="Arial" w:cs="Times New Roman"/>
          <w:sz w:val="24"/>
        </w:rPr>
      </w:pPr>
    </w:p>
    <w:p w14:paraId="2ABB07BD" w14:textId="77777777" w:rsidR="00906FFC" w:rsidRDefault="00906FFC" w:rsidP="0052488E">
      <w:pPr>
        <w:rPr>
          <w:rFonts w:ascii="Arial" w:eastAsia="Times New Roman" w:hAnsi="Arial" w:cs="Times New Roman"/>
          <w:sz w:val="24"/>
        </w:rPr>
      </w:pPr>
    </w:p>
    <w:p w14:paraId="6424BA92" w14:textId="77777777" w:rsidR="00906FFC" w:rsidRDefault="00906FFC" w:rsidP="0052488E">
      <w:pPr>
        <w:rPr>
          <w:rFonts w:ascii="Arial" w:eastAsia="Times New Roman" w:hAnsi="Arial" w:cs="Times New Roman"/>
          <w:sz w:val="24"/>
        </w:rPr>
      </w:pPr>
    </w:p>
    <w:p w14:paraId="701655DE" w14:textId="77777777" w:rsidR="00906FFC" w:rsidRDefault="00906FFC" w:rsidP="0052488E">
      <w:pPr>
        <w:rPr>
          <w:rFonts w:ascii="Arial" w:eastAsia="Times New Roman" w:hAnsi="Arial" w:cs="Times New Roman"/>
          <w:sz w:val="24"/>
        </w:rPr>
      </w:pPr>
    </w:p>
    <w:p w14:paraId="23E915E5" w14:textId="77777777" w:rsidR="00906FFC" w:rsidRDefault="00906FFC" w:rsidP="0052488E">
      <w:pPr>
        <w:rPr>
          <w:rFonts w:ascii="Arial" w:eastAsia="Times New Roman" w:hAnsi="Arial" w:cs="Times New Roman"/>
          <w:sz w:val="24"/>
        </w:rPr>
      </w:pPr>
    </w:p>
    <w:p w14:paraId="3FF9A990" w14:textId="77777777" w:rsidR="00906FFC" w:rsidRDefault="00906FFC" w:rsidP="0052488E">
      <w:pPr>
        <w:rPr>
          <w:rFonts w:ascii="Arial" w:eastAsia="Times New Roman" w:hAnsi="Arial" w:cs="Times New Roman"/>
          <w:sz w:val="24"/>
        </w:rPr>
      </w:pPr>
    </w:p>
    <w:p w14:paraId="67EADC11" w14:textId="77777777" w:rsidR="00906FFC" w:rsidRDefault="00906FFC" w:rsidP="0052488E">
      <w:pPr>
        <w:rPr>
          <w:rFonts w:ascii="Arial" w:eastAsia="Times New Roman" w:hAnsi="Arial" w:cs="Times New Roman"/>
          <w:sz w:val="24"/>
        </w:rPr>
      </w:pPr>
    </w:p>
    <w:p w14:paraId="38096173" w14:textId="77777777" w:rsidR="00906FFC" w:rsidRDefault="00906FFC" w:rsidP="0052488E">
      <w:pPr>
        <w:rPr>
          <w:rFonts w:ascii="Arial" w:eastAsia="Times New Roman" w:hAnsi="Arial" w:cs="Times New Roman"/>
          <w:sz w:val="24"/>
        </w:rPr>
      </w:pPr>
    </w:p>
    <w:p w14:paraId="5AEC5A7C" w14:textId="77777777" w:rsidR="00906FFC" w:rsidRDefault="00906FFC" w:rsidP="0052488E">
      <w:pPr>
        <w:rPr>
          <w:rFonts w:ascii="Arial" w:eastAsia="Times New Roman" w:hAnsi="Arial" w:cs="Times New Roman"/>
          <w:sz w:val="24"/>
        </w:rPr>
      </w:pPr>
    </w:p>
    <w:p w14:paraId="38581B7E" w14:textId="77777777" w:rsidR="00906FFC" w:rsidRDefault="00906FFC" w:rsidP="0052488E">
      <w:pPr>
        <w:rPr>
          <w:rFonts w:ascii="Arial" w:eastAsia="Times New Roman" w:hAnsi="Arial" w:cs="Times New Roman"/>
          <w:sz w:val="24"/>
        </w:rPr>
      </w:pPr>
    </w:p>
    <w:p w14:paraId="27237F73" w14:textId="77777777" w:rsidR="00906FFC" w:rsidRDefault="00906FFC" w:rsidP="0052488E">
      <w:pPr>
        <w:rPr>
          <w:rFonts w:ascii="Arial" w:eastAsia="Times New Roman" w:hAnsi="Arial" w:cs="Times New Roman"/>
          <w:sz w:val="24"/>
        </w:rPr>
      </w:pPr>
    </w:p>
    <w:p w14:paraId="17DD2DFB" w14:textId="77777777" w:rsidR="00906FFC" w:rsidRDefault="00906FFC" w:rsidP="0052488E">
      <w:pPr>
        <w:rPr>
          <w:rFonts w:ascii="Arial" w:eastAsia="Times New Roman" w:hAnsi="Arial" w:cs="Times New Roman"/>
          <w:sz w:val="24"/>
        </w:rPr>
      </w:pPr>
    </w:p>
    <w:p w14:paraId="1B39A970" w14:textId="77777777" w:rsidR="00906FFC" w:rsidRDefault="00906FFC" w:rsidP="0052488E">
      <w:pPr>
        <w:rPr>
          <w:rFonts w:ascii="Arial" w:eastAsia="Times New Roman" w:hAnsi="Arial" w:cs="Times New Roman"/>
          <w:sz w:val="24"/>
        </w:rPr>
      </w:pPr>
    </w:p>
    <w:p w14:paraId="0E25EA75" w14:textId="77777777" w:rsidR="00906FFC" w:rsidRDefault="00906FFC" w:rsidP="0052488E">
      <w:pPr>
        <w:rPr>
          <w:rFonts w:ascii="Arial" w:eastAsia="Times New Roman" w:hAnsi="Arial" w:cs="Times New Roman"/>
          <w:sz w:val="24"/>
        </w:rPr>
      </w:pPr>
    </w:p>
    <w:p w14:paraId="5FA049E4" w14:textId="77777777" w:rsidR="00906FFC" w:rsidRDefault="00906FFC" w:rsidP="0052488E">
      <w:pPr>
        <w:rPr>
          <w:rFonts w:ascii="Arial" w:eastAsia="Times New Roman" w:hAnsi="Arial" w:cs="Times New Roman"/>
          <w:sz w:val="24"/>
        </w:rPr>
      </w:pPr>
    </w:p>
    <w:p w14:paraId="233FA34B" w14:textId="77777777" w:rsidR="00906FFC" w:rsidRDefault="00906FFC" w:rsidP="0052488E">
      <w:pPr>
        <w:rPr>
          <w:rFonts w:ascii="Arial" w:eastAsia="Times New Roman" w:hAnsi="Arial" w:cs="Times New Roman"/>
          <w:sz w:val="24"/>
        </w:rPr>
      </w:pPr>
    </w:p>
    <w:p w14:paraId="5B684A90" w14:textId="77777777" w:rsidR="00906FFC" w:rsidRDefault="00906FFC" w:rsidP="0052488E">
      <w:pPr>
        <w:rPr>
          <w:rFonts w:ascii="Arial" w:eastAsia="Times New Roman" w:hAnsi="Arial" w:cs="Times New Roman"/>
          <w:sz w:val="24"/>
        </w:rPr>
      </w:pPr>
    </w:p>
    <w:p w14:paraId="4B0159BE" w14:textId="77777777" w:rsidR="00906FFC" w:rsidRDefault="00906FFC" w:rsidP="0052488E">
      <w:pPr>
        <w:rPr>
          <w:rFonts w:ascii="Arial" w:eastAsia="Times New Roman" w:hAnsi="Arial" w:cs="Times New Roman"/>
          <w:sz w:val="24"/>
        </w:rPr>
      </w:pPr>
    </w:p>
    <w:p w14:paraId="0DDCA94A" w14:textId="77777777" w:rsidR="00906FFC" w:rsidRDefault="00906FFC" w:rsidP="0052488E">
      <w:pPr>
        <w:rPr>
          <w:rFonts w:ascii="Arial" w:eastAsia="Times New Roman" w:hAnsi="Arial" w:cs="Times New Roman"/>
          <w:sz w:val="24"/>
        </w:rPr>
      </w:pPr>
    </w:p>
    <w:p w14:paraId="6557387F" w14:textId="77777777" w:rsidR="00906FFC" w:rsidRDefault="00906FFC" w:rsidP="0052488E">
      <w:pPr>
        <w:rPr>
          <w:rFonts w:ascii="Arial" w:eastAsia="Times New Roman" w:hAnsi="Arial" w:cs="Times New Roman"/>
          <w:sz w:val="24"/>
        </w:rPr>
      </w:pPr>
    </w:p>
    <w:p w14:paraId="5E1F5E50" w14:textId="77777777" w:rsidR="00906FFC" w:rsidRDefault="00906FFC" w:rsidP="0052488E">
      <w:pPr>
        <w:rPr>
          <w:rFonts w:ascii="Arial" w:eastAsia="Times New Roman" w:hAnsi="Arial" w:cs="Times New Roman"/>
          <w:sz w:val="24"/>
        </w:rPr>
      </w:pPr>
    </w:p>
    <w:p w14:paraId="74721EC4" w14:textId="77777777" w:rsidR="00906FFC" w:rsidRDefault="00906FFC" w:rsidP="0052488E">
      <w:pPr>
        <w:rPr>
          <w:rFonts w:ascii="Arial" w:eastAsia="Times New Roman" w:hAnsi="Arial" w:cs="Times New Roman"/>
          <w:sz w:val="24"/>
        </w:rPr>
      </w:pPr>
    </w:p>
    <w:p w14:paraId="59134122" w14:textId="77777777" w:rsidR="00906FFC" w:rsidRDefault="00906FFC" w:rsidP="0052488E">
      <w:pPr>
        <w:rPr>
          <w:rFonts w:ascii="Arial" w:eastAsia="Times New Roman" w:hAnsi="Arial" w:cs="Times New Roman"/>
          <w:sz w:val="24"/>
        </w:rPr>
      </w:pPr>
    </w:p>
    <w:p w14:paraId="52B69FF9" w14:textId="77777777" w:rsidR="00906FFC" w:rsidRDefault="00906FFC" w:rsidP="0052488E">
      <w:pPr>
        <w:rPr>
          <w:rFonts w:ascii="Arial" w:eastAsia="Times New Roman" w:hAnsi="Arial" w:cs="Times New Roman"/>
          <w:sz w:val="24"/>
        </w:rPr>
      </w:pPr>
    </w:p>
    <w:p w14:paraId="4323FF81" w14:textId="77777777" w:rsidR="00906FFC" w:rsidRDefault="00906FFC" w:rsidP="0052488E">
      <w:pPr>
        <w:rPr>
          <w:rFonts w:ascii="Arial" w:eastAsia="Times New Roman" w:hAnsi="Arial" w:cs="Times New Roman"/>
          <w:sz w:val="24"/>
        </w:rPr>
      </w:pPr>
    </w:p>
    <w:p w14:paraId="570DCEDB" w14:textId="38470DF3" w:rsidR="00906FFC" w:rsidRDefault="00906FFC" w:rsidP="0052488E">
      <w:pPr>
        <w:rPr>
          <w:rFonts w:ascii="Arial" w:eastAsia="Times New Roman" w:hAnsi="Arial" w:cs="Times New Roman"/>
          <w:sz w:val="24"/>
        </w:rPr>
      </w:pPr>
    </w:p>
    <w:p w14:paraId="18EF0297" w14:textId="24431022" w:rsidR="00B65966" w:rsidRDefault="00B65966" w:rsidP="0052488E">
      <w:pPr>
        <w:rPr>
          <w:rFonts w:ascii="Arial" w:eastAsia="Times New Roman" w:hAnsi="Arial" w:cs="Times New Roman"/>
          <w:sz w:val="24"/>
        </w:rPr>
      </w:pPr>
    </w:p>
    <w:p w14:paraId="3BCEA173" w14:textId="77777777" w:rsidR="00B65966" w:rsidRDefault="00B65966" w:rsidP="0052488E">
      <w:pPr>
        <w:rPr>
          <w:rFonts w:ascii="Arial" w:eastAsia="Times New Roman" w:hAnsi="Arial" w:cs="Times New Roman"/>
          <w:sz w:val="24"/>
        </w:rPr>
      </w:pPr>
    </w:p>
    <w:p w14:paraId="47C57CFA" w14:textId="77777777" w:rsidR="00906FFC" w:rsidRDefault="00906FFC" w:rsidP="0052488E">
      <w:pPr>
        <w:rPr>
          <w:rFonts w:ascii="Arial" w:eastAsia="Times New Roman" w:hAnsi="Arial" w:cs="Times New Roman"/>
          <w:sz w:val="24"/>
        </w:rPr>
      </w:pPr>
    </w:p>
    <w:p w14:paraId="7E585F5A" w14:textId="77777777" w:rsidR="00906FFC" w:rsidRDefault="00906FFC" w:rsidP="0052488E">
      <w:pPr>
        <w:rPr>
          <w:rFonts w:ascii="Arial" w:eastAsia="Times New Roman" w:hAnsi="Arial" w:cs="Times New Roman"/>
          <w:sz w:val="24"/>
        </w:rPr>
      </w:pPr>
    </w:p>
    <w:p w14:paraId="1F4F0C6A" w14:textId="79A81043" w:rsidR="00906FFC" w:rsidRDefault="00906FFC" w:rsidP="0052488E">
      <w:pPr>
        <w:rPr>
          <w:rFonts w:ascii="Arial" w:eastAsia="Times New Roman" w:hAnsi="Arial" w:cs="Times New Roman"/>
          <w:sz w:val="24"/>
        </w:rPr>
      </w:pPr>
    </w:p>
    <w:p w14:paraId="3F84DD9D" w14:textId="30283535" w:rsidR="00761C94" w:rsidRDefault="00761C94" w:rsidP="0052488E">
      <w:pPr>
        <w:rPr>
          <w:rFonts w:ascii="Arial" w:eastAsia="Times New Roman" w:hAnsi="Arial" w:cs="Times New Roman"/>
          <w:sz w:val="24"/>
        </w:rPr>
      </w:pPr>
    </w:p>
    <w:p w14:paraId="118DF1A5" w14:textId="77777777" w:rsidR="00761C94" w:rsidRDefault="00761C94" w:rsidP="0052488E">
      <w:pPr>
        <w:rPr>
          <w:rFonts w:ascii="Arial" w:eastAsia="Times New Roman" w:hAnsi="Arial" w:cs="Times New Roman"/>
          <w:sz w:val="24"/>
        </w:rPr>
      </w:pPr>
    </w:p>
    <w:p w14:paraId="369BF6C8" w14:textId="77777777" w:rsidR="00906FFC" w:rsidRDefault="00906FFC" w:rsidP="0052488E">
      <w:pPr>
        <w:rPr>
          <w:rFonts w:ascii="Arial" w:eastAsia="Times New Roman" w:hAnsi="Arial" w:cs="Times New Roman"/>
          <w:sz w:val="24"/>
        </w:rPr>
      </w:pPr>
    </w:p>
    <w:p w14:paraId="185719F2" w14:textId="77777777" w:rsidR="00906FFC" w:rsidRDefault="00906FFC" w:rsidP="0052488E">
      <w:pPr>
        <w:rPr>
          <w:rFonts w:ascii="Arial" w:eastAsia="Times New Roman" w:hAnsi="Arial" w:cs="Times New Roman"/>
          <w:sz w:val="24"/>
        </w:rPr>
      </w:pPr>
    </w:p>
    <w:p w14:paraId="608B10BC" w14:textId="77777777" w:rsidR="00906FFC" w:rsidRPr="00906FFC" w:rsidRDefault="00906FFC" w:rsidP="00906FFC">
      <w:pPr>
        <w:keepNext/>
        <w:keepLines/>
        <w:widowControl/>
        <w:autoSpaceDE/>
        <w:autoSpaceDN/>
        <w:spacing w:before="40" w:line="276" w:lineRule="auto"/>
        <w:jc w:val="center"/>
        <w:outlineLvl w:val="2"/>
        <w:rPr>
          <w:rFonts w:ascii="Arial" w:eastAsiaTheme="majorEastAsia" w:hAnsi="Arial" w:cs="Arial"/>
          <w:b/>
          <w:color w:val="00B0F0"/>
          <w:sz w:val="24"/>
          <w:szCs w:val="24"/>
        </w:rPr>
      </w:pPr>
      <w:bookmarkStart w:id="916" w:name="_Toc153137551"/>
      <w:r w:rsidRPr="00906FFC">
        <w:rPr>
          <w:rFonts w:ascii="Arial" w:eastAsiaTheme="majorEastAsia" w:hAnsi="Arial" w:cs="Arial"/>
          <w:b/>
          <w:color w:val="00B0F0"/>
          <w:sz w:val="24"/>
          <w:szCs w:val="24"/>
        </w:rPr>
        <w:lastRenderedPageBreak/>
        <w:t>SUBPART I — AIRWORTHINESS REVIEW CERTIFICATE (ARC)</w:t>
      </w:r>
      <w:bookmarkEnd w:id="916"/>
    </w:p>
    <w:p w14:paraId="520DE280" w14:textId="77777777" w:rsidR="00906FFC" w:rsidRPr="00906FFC" w:rsidRDefault="00906FFC" w:rsidP="00906FFC">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917" w:name="_Toc153137552"/>
      <w:r w:rsidRPr="00906FFC">
        <w:rPr>
          <w:rFonts w:ascii="Arial" w:eastAsia="Times New Roman" w:hAnsi="Arial" w:cs="Times New Roman"/>
          <w:b/>
          <w:iCs/>
          <w:color w:val="FFFFFF"/>
          <w:sz w:val="24"/>
        </w:rPr>
        <w:t>ML.A.901 Aircraft airworthiness review</w:t>
      </w:r>
      <w:bookmarkEnd w:id="917"/>
      <w:r w:rsidRPr="00906FFC">
        <w:rPr>
          <w:rFonts w:ascii="Arial" w:eastAsia="Times New Roman" w:hAnsi="Arial" w:cs="Times New Roman"/>
          <w:b/>
          <w:iCs/>
          <w:color w:val="FFFFFF"/>
          <w:sz w:val="24"/>
        </w:rPr>
        <w:tab/>
      </w:r>
    </w:p>
    <w:p w14:paraId="79B7190B" w14:textId="77777777" w:rsidR="00906FFC" w:rsidRPr="00906FFC" w:rsidRDefault="00906FFC" w:rsidP="00906FFC">
      <w:pPr>
        <w:spacing w:line="276" w:lineRule="auto"/>
        <w:jc w:val="both"/>
        <w:rPr>
          <w:rFonts w:ascii="Arial" w:eastAsia="Times New Roman" w:hAnsi="Arial" w:cs="Times New Roman"/>
          <w:sz w:val="20"/>
          <w:szCs w:val="20"/>
        </w:rPr>
      </w:pPr>
      <w:r w:rsidRPr="00906FFC">
        <w:rPr>
          <w:rFonts w:ascii="Arial" w:eastAsia="Times New Roman" w:hAnsi="Arial" w:cs="Times New Roman"/>
          <w:sz w:val="20"/>
          <w:szCs w:val="20"/>
        </w:rPr>
        <w:t>To ensure the validity of the aircraft airworthiness certificate ('ARC'), an airworthiness review of the aircraft and its continuing airworthiness records shall be carried out periodically.</w:t>
      </w:r>
    </w:p>
    <w:p w14:paraId="0048C551" w14:textId="77777777" w:rsidR="00906FFC" w:rsidRPr="00906FFC" w:rsidRDefault="00906FFC" w:rsidP="00906FFC">
      <w:pPr>
        <w:numPr>
          <w:ilvl w:val="0"/>
          <w:numId w:val="325"/>
        </w:numPr>
        <w:spacing w:line="276" w:lineRule="auto"/>
        <w:jc w:val="both"/>
        <w:rPr>
          <w:rFonts w:ascii="Arial" w:eastAsia="Times New Roman" w:hAnsi="Arial" w:cs="Times New Roman"/>
          <w:sz w:val="20"/>
          <w:szCs w:val="20"/>
        </w:rPr>
      </w:pPr>
      <w:r w:rsidRPr="00906FFC">
        <w:rPr>
          <w:rFonts w:ascii="Arial" w:eastAsia="Times New Roman" w:hAnsi="Arial" w:cs="Times New Roman"/>
          <w:sz w:val="20"/>
          <w:szCs w:val="20"/>
        </w:rPr>
        <w:t>An ARC is issued in accordance with Appendix IV (EASA Form 15c) to this Annex upon completion of a satisfactory airworthiness review. The ARC shall be valid for 1 year;</w:t>
      </w:r>
    </w:p>
    <w:p w14:paraId="02C673E5" w14:textId="77777777" w:rsidR="00906FFC" w:rsidRPr="00906FFC" w:rsidRDefault="00906FFC" w:rsidP="00906FFC">
      <w:pPr>
        <w:numPr>
          <w:ilvl w:val="0"/>
          <w:numId w:val="325"/>
        </w:numPr>
        <w:spacing w:line="276" w:lineRule="auto"/>
        <w:jc w:val="both"/>
        <w:rPr>
          <w:rFonts w:ascii="Arial" w:eastAsia="Times New Roman" w:hAnsi="Arial" w:cs="Times New Roman"/>
          <w:sz w:val="20"/>
          <w:szCs w:val="20"/>
        </w:rPr>
      </w:pPr>
      <w:r w:rsidRPr="00906FFC">
        <w:rPr>
          <w:rFonts w:ascii="Arial" w:eastAsia="Times New Roman" w:hAnsi="Arial" w:cs="Times New Roman"/>
          <w:sz w:val="20"/>
          <w:szCs w:val="20"/>
        </w:rPr>
        <w:t>The airworthiness review and the issuance of the ARC shall be performed in accordance with point ML.A.903, alternatively by:</w:t>
      </w:r>
    </w:p>
    <w:p w14:paraId="1258C5E7" w14:textId="5A031313" w:rsidR="00906FFC" w:rsidRPr="00906FFC" w:rsidRDefault="00906FFC" w:rsidP="00906FFC">
      <w:pPr>
        <w:numPr>
          <w:ilvl w:val="1"/>
          <w:numId w:val="325"/>
        </w:numPr>
        <w:spacing w:line="276" w:lineRule="auto"/>
        <w:jc w:val="both"/>
        <w:rPr>
          <w:rFonts w:ascii="Arial" w:eastAsia="Times New Roman" w:hAnsi="Arial" w:cs="Times New Roman"/>
          <w:sz w:val="20"/>
          <w:szCs w:val="20"/>
        </w:rPr>
      </w:pPr>
      <w:r w:rsidRPr="00906FFC">
        <w:rPr>
          <w:rFonts w:ascii="Arial" w:eastAsia="Times New Roman" w:hAnsi="Arial" w:cs="Times New Roman"/>
          <w:sz w:val="20"/>
          <w:szCs w:val="20"/>
        </w:rPr>
        <w:t xml:space="preserve">the </w:t>
      </w:r>
      <w:r w:rsidR="004E22F1">
        <w:rPr>
          <w:rFonts w:ascii="Arial" w:hAnsi="Arial" w:cs="Arial"/>
          <w:sz w:val="20"/>
          <w:szCs w:val="20"/>
        </w:rPr>
        <w:t>CAC RA</w:t>
      </w:r>
      <w:r w:rsidRPr="00906FFC">
        <w:rPr>
          <w:rFonts w:ascii="Arial" w:eastAsia="Times New Roman" w:hAnsi="Arial" w:cs="Times New Roman"/>
          <w:sz w:val="20"/>
          <w:szCs w:val="20"/>
        </w:rPr>
        <w:t>;</w:t>
      </w:r>
    </w:p>
    <w:p w14:paraId="72ACE91F" w14:textId="77777777" w:rsidR="00906FFC" w:rsidRPr="00906FFC" w:rsidRDefault="00906FFC" w:rsidP="00906FFC">
      <w:pPr>
        <w:numPr>
          <w:ilvl w:val="1"/>
          <w:numId w:val="325"/>
        </w:numPr>
        <w:spacing w:line="276" w:lineRule="auto"/>
        <w:jc w:val="both"/>
        <w:rPr>
          <w:rFonts w:ascii="Arial" w:eastAsia="Times New Roman" w:hAnsi="Arial" w:cs="Times New Roman"/>
          <w:sz w:val="20"/>
          <w:szCs w:val="20"/>
        </w:rPr>
      </w:pPr>
      <w:r w:rsidRPr="00906FFC">
        <w:rPr>
          <w:rFonts w:ascii="Arial" w:eastAsia="Times New Roman" w:hAnsi="Arial" w:cs="Times New Roman"/>
          <w:sz w:val="20"/>
          <w:szCs w:val="20"/>
        </w:rPr>
        <w:t>an appropriately approved CAMO or CAO;</w:t>
      </w:r>
    </w:p>
    <w:p w14:paraId="6E784FBE" w14:textId="77777777" w:rsidR="00906FFC" w:rsidRPr="00906FFC" w:rsidRDefault="00906FFC" w:rsidP="00906FFC">
      <w:pPr>
        <w:numPr>
          <w:ilvl w:val="1"/>
          <w:numId w:val="325"/>
        </w:numPr>
        <w:spacing w:line="276" w:lineRule="auto"/>
        <w:jc w:val="both"/>
        <w:rPr>
          <w:rFonts w:ascii="Arial" w:eastAsia="Times New Roman" w:hAnsi="Arial" w:cs="Times New Roman"/>
          <w:sz w:val="20"/>
          <w:szCs w:val="20"/>
        </w:rPr>
      </w:pPr>
      <w:r w:rsidRPr="00906FFC">
        <w:rPr>
          <w:rFonts w:ascii="Arial" w:eastAsia="Times New Roman" w:hAnsi="Arial" w:cs="Times New Roman"/>
          <w:sz w:val="20"/>
          <w:szCs w:val="20"/>
        </w:rPr>
        <w:t>the approved maintenance organisation while performing the 100-h/annual inspection contained in the AMP;</w:t>
      </w:r>
    </w:p>
    <w:p w14:paraId="18982FD3" w14:textId="39DEDDFF" w:rsidR="00906FFC" w:rsidRPr="00906FFC" w:rsidRDefault="00906FFC" w:rsidP="00906FFC">
      <w:pPr>
        <w:numPr>
          <w:ilvl w:val="1"/>
          <w:numId w:val="325"/>
        </w:numPr>
        <w:spacing w:line="276" w:lineRule="auto"/>
        <w:jc w:val="both"/>
        <w:rPr>
          <w:rFonts w:ascii="Arial" w:eastAsia="Times New Roman" w:hAnsi="Arial" w:cs="Times New Roman"/>
          <w:sz w:val="20"/>
          <w:szCs w:val="20"/>
        </w:rPr>
      </w:pPr>
      <w:r w:rsidRPr="00906FFC">
        <w:rPr>
          <w:rFonts w:ascii="Arial" w:eastAsia="Times New Roman" w:hAnsi="Arial" w:cs="Times New Roman"/>
          <w:sz w:val="20"/>
          <w:szCs w:val="20"/>
        </w:rPr>
        <w:t xml:space="preserve">for aircraft operated under Annex VII (Part-NCO) to </w:t>
      </w:r>
      <w:hyperlink r:id="rId126" w:history="1">
        <w:r w:rsidR="000F4BA2">
          <w:rPr>
            <w:rStyle w:val="Hyperlink"/>
            <w:rFonts w:ascii="Arial" w:hAnsi="Arial" w:cs="Arial"/>
            <w:sz w:val="20"/>
          </w:rPr>
          <w:t>the order N 2-N of the Minister of Territorial Administration and Infrastructure of RA, dated 11.02.2022</w:t>
        </w:r>
      </w:hyperlink>
      <w:r w:rsidR="000F4BA2">
        <w:rPr>
          <w:rFonts w:ascii="Arial" w:hAnsi="Arial" w:cs="Arial"/>
          <w:sz w:val="20"/>
        </w:rPr>
        <w:t xml:space="preserve"> </w:t>
      </w:r>
      <w:r w:rsidRPr="00906FFC">
        <w:rPr>
          <w:rFonts w:ascii="Arial" w:eastAsia="Times New Roman" w:hAnsi="Arial" w:cs="Times New Roman"/>
          <w:sz w:val="20"/>
          <w:szCs w:val="20"/>
        </w:rPr>
        <w:t xml:space="preserve">or, in the case of balloons, not operated under Subpart-ADD of Annex II (Part-BOP) to </w:t>
      </w:r>
      <w:r w:rsidR="00062F40">
        <w:rPr>
          <w:rFonts w:ascii="Arial" w:hAnsi="Arial" w:cs="Arial"/>
          <w:sz w:val="20"/>
        </w:rPr>
        <w:t>this Regulation</w:t>
      </w:r>
      <w:r w:rsidRPr="00906FFC">
        <w:rPr>
          <w:rFonts w:ascii="Arial" w:eastAsia="Times New Roman" w:hAnsi="Arial" w:cs="Times New Roman"/>
          <w:sz w:val="20"/>
          <w:szCs w:val="20"/>
        </w:rPr>
        <w:t xml:space="preserve"> </w:t>
      </w:r>
      <w:r w:rsidR="00916716">
        <w:rPr>
          <w:rFonts w:ascii="Arial" w:eastAsia="Times New Roman" w:hAnsi="Arial" w:cs="Times New Roman"/>
          <w:sz w:val="20"/>
          <w:szCs w:val="20"/>
        </w:rPr>
        <w:t>or</w:t>
      </w:r>
      <w:r w:rsidR="00054DA9">
        <w:rPr>
          <w:rFonts w:ascii="Arial" w:eastAsia="Times New Roman" w:hAnsi="Arial" w:cs="Times New Roman"/>
          <w:sz w:val="20"/>
          <w:szCs w:val="20"/>
        </w:rPr>
        <w:t xml:space="preserve">   </w:t>
      </w:r>
      <w:r w:rsidRPr="00906FFC">
        <w:rPr>
          <w:rFonts w:ascii="Arial" w:eastAsia="Times New Roman" w:hAnsi="Arial" w:cs="Times New Roman"/>
          <w:sz w:val="20"/>
          <w:szCs w:val="20"/>
        </w:rPr>
        <w:t>, the independent certifying staff while performing the 100-h/annual inspection contained in the AMP, when holding:</w:t>
      </w:r>
    </w:p>
    <w:p w14:paraId="216F789D" w14:textId="77777777" w:rsidR="00906FFC" w:rsidRPr="00906FFC" w:rsidRDefault="00906FFC" w:rsidP="00906FFC">
      <w:pPr>
        <w:numPr>
          <w:ilvl w:val="2"/>
          <w:numId w:val="325"/>
        </w:numPr>
        <w:spacing w:line="276" w:lineRule="auto"/>
        <w:jc w:val="both"/>
        <w:rPr>
          <w:rFonts w:ascii="Arial" w:eastAsia="Times New Roman" w:hAnsi="Arial" w:cs="Times New Roman"/>
          <w:sz w:val="20"/>
          <w:szCs w:val="20"/>
        </w:rPr>
      </w:pPr>
      <w:r w:rsidRPr="00906FFC">
        <w:rPr>
          <w:rFonts w:ascii="Arial" w:eastAsia="Times New Roman" w:hAnsi="Arial" w:cs="Times New Roman"/>
          <w:sz w:val="20"/>
          <w:szCs w:val="20"/>
        </w:rPr>
        <w:t>a licence issued in accordance with Annex III (Part-66) rated for the corresponding aircraft or, if Annex III (Part-66) is not applicable to the particular aircraft, a national certifying-staff qualification valid for that aircraft;</w:t>
      </w:r>
    </w:p>
    <w:p w14:paraId="4C72D309" w14:textId="77777777" w:rsidR="00906FFC" w:rsidRPr="00906FFC" w:rsidRDefault="00906FFC" w:rsidP="00906FFC">
      <w:pPr>
        <w:numPr>
          <w:ilvl w:val="2"/>
          <w:numId w:val="325"/>
        </w:numPr>
        <w:spacing w:line="276" w:lineRule="auto"/>
        <w:jc w:val="both"/>
        <w:rPr>
          <w:rFonts w:ascii="Arial" w:eastAsia="Times New Roman" w:hAnsi="Arial" w:cs="Times New Roman"/>
          <w:sz w:val="20"/>
          <w:szCs w:val="20"/>
        </w:rPr>
      </w:pPr>
      <w:r w:rsidRPr="00906FFC">
        <w:rPr>
          <w:rFonts w:ascii="Arial" w:eastAsia="Times New Roman" w:hAnsi="Arial" w:cs="Times New Roman"/>
          <w:sz w:val="20"/>
          <w:szCs w:val="20"/>
        </w:rPr>
        <w:t>an authorisation issued by, alternatively:</w:t>
      </w:r>
    </w:p>
    <w:p w14:paraId="6C16DC5B" w14:textId="7C01038B" w:rsidR="00906FFC" w:rsidRPr="00906FFC" w:rsidRDefault="00906FFC" w:rsidP="00906FFC">
      <w:pPr>
        <w:numPr>
          <w:ilvl w:val="3"/>
          <w:numId w:val="325"/>
        </w:numPr>
        <w:spacing w:line="276" w:lineRule="auto"/>
        <w:jc w:val="both"/>
        <w:rPr>
          <w:rFonts w:ascii="Arial" w:eastAsia="Times New Roman" w:hAnsi="Arial" w:cs="Times New Roman"/>
          <w:sz w:val="20"/>
          <w:szCs w:val="20"/>
        </w:rPr>
      </w:pPr>
      <w:r w:rsidRPr="00906FFC">
        <w:rPr>
          <w:rFonts w:ascii="Arial" w:eastAsia="Times New Roman" w:hAnsi="Arial" w:cs="Times New Roman"/>
          <w:sz w:val="20"/>
          <w:szCs w:val="20"/>
        </w:rPr>
        <w:t xml:space="preserve">the </w:t>
      </w:r>
      <w:r w:rsidR="004E22F1">
        <w:rPr>
          <w:rFonts w:ascii="Arial" w:hAnsi="Arial" w:cs="Arial"/>
          <w:sz w:val="20"/>
          <w:szCs w:val="20"/>
        </w:rPr>
        <w:t xml:space="preserve">CAC RA </w:t>
      </w:r>
      <w:r w:rsidRPr="00906FFC">
        <w:rPr>
          <w:rFonts w:ascii="Arial" w:eastAsia="Times New Roman" w:hAnsi="Arial" w:cs="Times New Roman"/>
          <w:sz w:val="20"/>
          <w:szCs w:val="20"/>
        </w:rPr>
        <w:t>who issued the licence issued in accordance with Annex III (Part-66),</w:t>
      </w:r>
    </w:p>
    <w:p w14:paraId="441071F7" w14:textId="6CDACB54" w:rsidR="00906FFC" w:rsidRPr="00906FFC" w:rsidRDefault="00906FFC" w:rsidP="00906FFC">
      <w:pPr>
        <w:numPr>
          <w:ilvl w:val="3"/>
          <w:numId w:val="325"/>
        </w:numPr>
        <w:spacing w:line="276" w:lineRule="auto"/>
        <w:jc w:val="both"/>
        <w:rPr>
          <w:rFonts w:ascii="Arial" w:eastAsia="Times New Roman" w:hAnsi="Arial" w:cs="Times New Roman"/>
          <w:sz w:val="20"/>
          <w:szCs w:val="20"/>
        </w:rPr>
      </w:pPr>
      <w:r w:rsidRPr="00906FFC">
        <w:rPr>
          <w:rFonts w:ascii="Arial" w:eastAsia="Times New Roman" w:hAnsi="Arial" w:cs="Times New Roman"/>
          <w:sz w:val="20"/>
          <w:szCs w:val="20"/>
        </w:rPr>
        <w:t xml:space="preserve">if Annex III (Part-66) is not applicable, the </w:t>
      </w:r>
      <w:r w:rsidR="004E22F1">
        <w:rPr>
          <w:rFonts w:ascii="Arial" w:hAnsi="Arial" w:cs="Arial"/>
          <w:sz w:val="20"/>
          <w:szCs w:val="20"/>
        </w:rPr>
        <w:t xml:space="preserve">CAC RA </w:t>
      </w:r>
      <w:r w:rsidRPr="00906FFC">
        <w:rPr>
          <w:rFonts w:ascii="Arial" w:eastAsia="Times New Roman" w:hAnsi="Arial" w:cs="Times New Roman"/>
          <w:sz w:val="20"/>
          <w:szCs w:val="20"/>
        </w:rPr>
        <w:t>responsible for the national certifying-staff qualification.</w:t>
      </w:r>
    </w:p>
    <w:p w14:paraId="45F0E194" w14:textId="77777777" w:rsidR="00906FFC" w:rsidRPr="00906FFC" w:rsidRDefault="00906FFC" w:rsidP="00906FFC">
      <w:pPr>
        <w:spacing w:line="276" w:lineRule="auto"/>
        <w:ind w:left="1440"/>
        <w:jc w:val="both"/>
        <w:rPr>
          <w:rFonts w:ascii="Arial" w:eastAsia="Times New Roman" w:hAnsi="Arial" w:cs="Times New Roman"/>
          <w:sz w:val="20"/>
          <w:szCs w:val="20"/>
        </w:rPr>
      </w:pPr>
      <w:r w:rsidRPr="00906FFC">
        <w:rPr>
          <w:rFonts w:ascii="Arial" w:eastAsia="Times New Roman" w:hAnsi="Arial" w:cs="Times New Roman"/>
          <w:sz w:val="20"/>
          <w:szCs w:val="20"/>
        </w:rPr>
        <w:t>Independent certifying staff holding a licence issued in accordance with Annex III (Part- 66), may perform airworthiness reviews and issue the ARC for aircraft registered in any Member State. However, independent certifying staff holding a national qualification shall only perform airworthiness reviews and issue the ARC for aircraft registered in the Member State responsible for the national qualification.</w:t>
      </w:r>
    </w:p>
    <w:p w14:paraId="450AC43B" w14:textId="77777777" w:rsidR="00906FFC" w:rsidRPr="00906FFC" w:rsidRDefault="00906FFC" w:rsidP="00906FFC">
      <w:pPr>
        <w:spacing w:line="276" w:lineRule="auto"/>
        <w:ind w:left="1440"/>
        <w:jc w:val="both"/>
        <w:rPr>
          <w:rFonts w:ascii="Arial" w:eastAsia="Times New Roman" w:hAnsi="Arial" w:cs="Times New Roman"/>
          <w:sz w:val="20"/>
          <w:szCs w:val="20"/>
        </w:rPr>
      </w:pPr>
      <w:r w:rsidRPr="00906FFC">
        <w:rPr>
          <w:rFonts w:ascii="Arial" w:eastAsia="Times New Roman" w:hAnsi="Arial" w:cs="Times New Roman"/>
          <w:sz w:val="20"/>
          <w:szCs w:val="20"/>
        </w:rPr>
        <w:t>ARCs issued by independent certifying staff holding a national qualification shall not benefit from mutual recognition when transferring the aircraft to another Member State.</w:t>
      </w:r>
    </w:p>
    <w:p w14:paraId="4916E0A0" w14:textId="361D3BA4" w:rsidR="00906FFC" w:rsidRPr="00906FFC" w:rsidRDefault="00906FFC" w:rsidP="00906FFC">
      <w:pPr>
        <w:spacing w:line="276" w:lineRule="auto"/>
        <w:ind w:left="706"/>
        <w:jc w:val="both"/>
        <w:rPr>
          <w:rFonts w:ascii="Arial" w:eastAsia="Times New Roman" w:hAnsi="Arial" w:cs="Times New Roman"/>
          <w:sz w:val="20"/>
          <w:szCs w:val="20"/>
        </w:rPr>
      </w:pPr>
      <w:r w:rsidRPr="00906FFC">
        <w:rPr>
          <w:rFonts w:ascii="Arial" w:eastAsia="Times New Roman" w:hAnsi="Arial" w:cs="Times New Roman"/>
          <w:sz w:val="20"/>
          <w:szCs w:val="20"/>
        </w:rPr>
        <w:t xml:space="preserve">Whenever circumstances reveal the existence of a potential safety threat, the </w:t>
      </w:r>
      <w:r w:rsidR="004E22F1">
        <w:rPr>
          <w:rFonts w:ascii="Arial" w:hAnsi="Arial" w:cs="Arial"/>
          <w:sz w:val="20"/>
          <w:szCs w:val="20"/>
        </w:rPr>
        <w:t xml:space="preserve">CAC RA </w:t>
      </w:r>
      <w:r w:rsidRPr="00906FFC">
        <w:rPr>
          <w:rFonts w:ascii="Arial" w:eastAsia="Times New Roman" w:hAnsi="Arial" w:cs="Times New Roman"/>
          <w:sz w:val="20"/>
          <w:szCs w:val="20"/>
        </w:rPr>
        <w:t>shall carry out the airworthiness review and issue the ARC itself.</w:t>
      </w:r>
    </w:p>
    <w:p w14:paraId="0DB44820" w14:textId="77777777" w:rsidR="00906FFC" w:rsidRPr="00906FFC" w:rsidRDefault="00906FFC" w:rsidP="00451903">
      <w:pPr>
        <w:numPr>
          <w:ilvl w:val="0"/>
          <w:numId w:val="325"/>
        </w:numPr>
        <w:tabs>
          <w:tab w:val="left" w:pos="707"/>
        </w:tabs>
        <w:spacing w:before="57" w:line="276" w:lineRule="auto"/>
        <w:ind w:right="44"/>
        <w:jc w:val="both"/>
        <w:rPr>
          <w:rFonts w:ascii="Arial" w:hAnsi="Arial" w:cs="Arial"/>
          <w:sz w:val="20"/>
          <w:szCs w:val="20"/>
        </w:rPr>
      </w:pPr>
      <w:r w:rsidRPr="00906FFC">
        <w:rPr>
          <w:rFonts w:ascii="Arial" w:hAnsi="Arial" w:cs="Arial"/>
          <w:sz w:val="20"/>
          <w:szCs w:val="20"/>
        </w:rPr>
        <w:t>The</w:t>
      </w:r>
      <w:r w:rsidRPr="00906FFC">
        <w:rPr>
          <w:rFonts w:ascii="Arial" w:hAnsi="Arial" w:cs="Arial"/>
          <w:spacing w:val="32"/>
          <w:sz w:val="20"/>
          <w:szCs w:val="20"/>
        </w:rPr>
        <w:t xml:space="preserve"> </w:t>
      </w:r>
      <w:r w:rsidRPr="00906FFC">
        <w:rPr>
          <w:rFonts w:ascii="Arial" w:hAnsi="Arial" w:cs="Arial"/>
          <w:sz w:val="20"/>
          <w:szCs w:val="20"/>
        </w:rPr>
        <w:t>validity</w:t>
      </w:r>
      <w:r w:rsidRPr="00906FFC">
        <w:rPr>
          <w:rFonts w:ascii="Arial" w:hAnsi="Arial" w:cs="Arial"/>
          <w:spacing w:val="34"/>
          <w:sz w:val="20"/>
          <w:szCs w:val="20"/>
        </w:rPr>
        <w:t xml:space="preserve"> </w:t>
      </w:r>
      <w:r w:rsidRPr="00906FFC">
        <w:rPr>
          <w:rFonts w:ascii="Arial" w:hAnsi="Arial" w:cs="Arial"/>
          <w:sz w:val="20"/>
          <w:szCs w:val="20"/>
        </w:rPr>
        <w:t>of</w:t>
      </w:r>
      <w:r w:rsidRPr="00906FFC">
        <w:rPr>
          <w:rFonts w:ascii="Arial" w:hAnsi="Arial" w:cs="Arial"/>
          <w:spacing w:val="31"/>
          <w:sz w:val="20"/>
          <w:szCs w:val="20"/>
        </w:rPr>
        <w:t xml:space="preserve"> </w:t>
      </w:r>
      <w:r w:rsidRPr="00906FFC">
        <w:rPr>
          <w:rFonts w:ascii="Arial" w:hAnsi="Arial" w:cs="Arial"/>
          <w:sz w:val="20"/>
          <w:szCs w:val="20"/>
        </w:rPr>
        <w:t>an</w:t>
      </w:r>
      <w:r w:rsidRPr="00906FFC">
        <w:rPr>
          <w:rFonts w:ascii="Arial" w:hAnsi="Arial" w:cs="Arial"/>
          <w:spacing w:val="34"/>
          <w:sz w:val="20"/>
          <w:szCs w:val="20"/>
        </w:rPr>
        <w:t xml:space="preserve"> </w:t>
      </w:r>
      <w:r w:rsidRPr="00906FFC">
        <w:rPr>
          <w:rFonts w:ascii="Arial" w:hAnsi="Arial" w:cs="Arial"/>
          <w:sz w:val="20"/>
          <w:szCs w:val="20"/>
        </w:rPr>
        <w:t>ARC</w:t>
      </w:r>
      <w:r w:rsidRPr="00906FFC">
        <w:rPr>
          <w:rFonts w:ascii="Arial" w:hAnsi="Arial" w:cs="Arial"/>
          <w:spacing w:val="32"/>
          <w:sz w:val="20"/>
          <w:szCs w:val="20"/>
        </w:rPr>
        <w:t xml:space="preserve"> </w:t>
      </w:r>
      <w:r w:rsidRPr="00906FFC">
        <w:rPr>
          <w:rFonts w:ascii="Arial" w:hAnsi="Arial" w:cs="Arial"/>
          <w:sz w:val="20"/>
          <w:szCs w:val="20"/>
        </w:rPr>
        <w:t>may</w:t>
      </w:r>
      <w:r w:rsidRPr="00906FFC">
        <w:rPr>
          <w:rFonts w:ascii="Arial" w:hAnsi="Arial" w:cs="Arial"/>
          <w:spacing w:val="36"/>
          <w:sz w:val="20"/>
          <w:szCs w:val="20"/>
        </w:rPr>
        <w:t xml:space="preserve"> </w:t>
      </w:r>
      <w:r w:rsidRPr="00906FFC">
        <w:rPr>
          <w:rFonts w:ascii="Arial" w:hAnsi="Arial" w:cs="Arial"/>
          <w:sz w:val="20"/>
          <w:szCs w:val="20"/>
        </w:rPr>
        <w:t>be</w:t>
      </w:r>
      <w:r w:rsidRPr="00906FFC">
        <w:rPr>
          <w:rFonts w:ascii="Arial" w:hAnsi="Arial" w:cs="Arial"/>
          <w:spacing w:val="33"/>
          <w:sz w:val="20"/>
          <w:szCs w:val="20"/>
        </w:rPr>
        <w:t xml:space="preserve"> </w:t>
      </w:r>
      <w:r w:rsidRPr="00906FFC">
        <w:rPr>
          <w:rFonts w:ascii="Arial" w:hAnsi="Arial" w:cs="Arial"/>
          <w:sz w:val="20"/>
          <w:szCs w:val="20"/>
        </w:rPr>
        <w:t>extended</w:t>
      </w:r>
      <w:r w:rsidRPr="00906FFC">
        <w:rPr>
          <w:rFonts w:ascii="Arial" w:hAnsi="Arial" w:cs="Arial"/>
          <w:spacing w:val="32"/>
          <w:sz w:val="20"/>
          <w:szCs w:val="20"/>
        </w:rPr>
        <w:t xml:space="preserve"> </w:t>
      </w:r>
      <w:r w:rsidRPr="00906FFC">
        <w:rPr>
          <w:rFonts w:ascii="Arial" w:hAnsi="Arial" w:cs="Arial"/>
          <w:sz w:val="20"/>
          <w:szCs w:val="20"/>
        </w:rPr>
        <w:t>maximum</w:t>
      </w:r>
      <w:r w:rsidRPr="00906FFC">
        <w:rPr>
          <w:rFonts w:ascii="Arial" w:hAnsi="Arial" w:cs="Arial"/>
          <w:spacing w:val="34"/>
          <w:sz w:val="20"/>
          <w:szCs w:val="20"/>
        </w:rPr>
        <w:t xml:space="preserve"> </w:t>
      </w:r>
      <w:r w:rsidRPr="00906FFC">
        <w:rPr>
          <w:rFonts w:ascii="Arial" w:hAnsi="Arial" w:cs="Arial"/>
          <w:sz w:val="20"/>
          <w:szCs w:val="20"/>
        </w:rPr>
        <w:t>two</w:t>
      </w:r>
      <w:r w:rsidRPr="00906FFC">
        <w:rPr>
          <w:rFonts w:ascii="Arial" w:hAnsi="Arial" w:cs="Arial"/>
          <w:spacing w:val="33"/>
          <w:sz w:val="20"/>
          <w:szCs w:val="20"/>
        </w:rPr>
        <w:t xml:space="preserve"> </w:t>
      </w:r>
      <w:r w:rsidRPr="00906FFC">
        <w:rPr>
          <w:rFonts w:ascii="Arial" w:hAnsi="Arial" w:cs="Arial"/>
          <w:sz w:val="20"/>
          <w:szCs w:val="20"/>
        </w:rPr>
        <w:t>consecutive</w:t>
      </w:r>
      <w:r w:rsidRPr="00906FFC">
        <w:rPr>
          <w:rFonts w:ascii="Arial" w:hAnsi="Arial" w:cs="Arial"/>
          <w:spacing w:val="33"/>
          <w:sz w:val="20"/>
          <w:szCs w:val="20"/>
        </w:rPr>
        <w:t xml:space="preserve"> </w:t>
      </w:r>
      <w:r w:rsidRPr="00906FFC">
        <w:rPr>
          <w:rFonts w:ascii="Arial" w:hAnsi="Arial" w:cs="Arial"/>
          <w:sz w:val="20"/>
          <w:szCs w:val="20"/>
        </w:rPr>
        <w:t>times,</w:t>
      </w:r>
      <w:r w:rsidRPr="00906FFC">
        <w:rPr>
          <w:rFonts w:ascii="Arial" w:hAnsi="Arial" w:cs="Arial"/>
          <w:spacing w:val="35"/>
          <w:sz w:val="20"/>
          <w:szCs w:val="20"/>
        </w:rPr>
        <w:t xml:space="preserve"> </w:t>
      </w:r>
      <w:r w:rsidRPr="00906FFC">
        <w:rPr>
          <w:rFonts w:ascii="Arial" w:hAnsi="Arial" w:cs="Arial"/>
          <w:sz w:val="20"/>
          <w:szCs w:val="20"/>
        </w:rPr>
        <w:t>for</w:t>
      </w:r>
      <w:r w:rsidRPr="00906FFC">
        <w:rPr>
          <w:rFonts w:ascii="Arial" w:hAnsi="Arial" w:cs="Arial"/>
          <w:spacing w:val="34"/>
          <w:sz w:val="20"/>
          <w:szCs w:val="20"/>
        </w:rPr>
        <w:t xml:space="preserve"> </w:t>
      </w:r>
      <w:r w:rsidRPr="00906FFC">
        <w:rPr>
          <w:rFonts w:ascii="Arial" w:hAnsi="Arial" w:cs="Arial"/>
          <w:sz w:val="20"/>
          <w:szCs w:val="20"/>
        </w:rPr>
        <w:t>a</w:t>
      </w:r>
      <w:r w:rsidRPr="00906FFC">
        <w:rPr>
          <w:rFonts w:ascii="Arial" w:hAnsi="Arial" w:cs="Arial"/>
          <w:spacing w:val="35"/>
          <w:sz w:val="20"/>
          <w:szCs w:val="20"/>
        </w:rPr>
        <w:t xml:space="preserve"> </w:t>
      </w:r>
      <w:r w:rsidRPr="00906FFC">
        <w:rPr>
          <w:rFonts w:ascii="Arial" w:hAnsi="Arial" w:cs="Arial"/>
          <w:sz w:val="20"/>
          <w:szCs w:val="20"/>
        </w:rPr>
        <w:t>period</w:t>
      </w:r>
      <w:r w:rsidRPr="00906FFC">
        <w:rPr>
          <w:rFonts w:ascii="Arial" w:hAnsi="Arial" w:cs="Arial"/>
          <w:spacing w:val="31"/>
          <w:sz w:val="20"/>
          <w:szCs w:val="20"/>
        </w:rPr>
        <w:t xml:space="preserve"> </w:t>
      </w:r>
      <w:r w:rsidRPr="00906FFC">
        <w:rPr>
          <w:rFonts w:ascii="Arial" w:hAnsi="Arial" w:cs="Arial"/>
          <w:sz w:val="20"/>
          <w:szCs w:val="20"/>
        </w:rPr>
        <w:t>of</w:t>
      </w:r>
      <w:r w:rsidRPr="00906FFC">
        <w:rPr>
          <w:rFonts w:ascii="Arial" w:hAnsi="Arial" w:cs="Arial"/>
          <w:spacing w:val="-47"/>
          <w:sz w:val="20"/>
          <w:szCs w:val="20"/>
        </w:rPr>
        <w:t xml:space="preserve"> </w:t>
      </w:r>
      <w:r w:rsidRPr="00906FFC">
        <w:rPr>
          <w:rFonts w:ascii="Arial" w:hAnsi="Arial" w:cs="Arial"/>
          <w:sz w:val="20"/>
          <w:szCs w:val="20"/>
        </w:rPr>
        <w:t>one year each time, by an appropriately approved CAMO or CAO, subject to the following</w:t>
      </w:r>
      <w:r w:rsidRPr="00906FFC">
        <w:rPr>
          <w:rFonts w:ascii="Arial" w:hAnsi="Arial" w:cs="Arial"/>
          <w:spacing w:val="1"/>
          <w:sz w:val="20"/>
          <w:szCs w:val="20"/>
        </w:rPr>
        <w:t xml:space="preserve"> </w:t>
      </w:r>
      <w:r w:rsidRPr="00906FFC">
        <w:rPr>
          <w:rFonts w:ascii="Arial" w:hAnsi="Arial" w:cs="Arial"/>
          <w:sz w:val="20"/>
          <w:szCs w:val="20"/>
        </w:rPr>
        <w:t>conditions:</w:t>
      </w:r>
    </w:p>
    <w:p w14:paraId="583F999D" w14:textId="77777777" w:rsidR="00906FFC" w:rsidRPr="00906FFC" w:rsidRDefault="00906FFC" w:rsidP="00451903">
      <w:pPr>
        <w:numPr>
          <w:ilvl w:val="1"/>
          <w:numId w:val="326"/>
        </w:numPr>
        <w:tabs>
          <w:tab w:val="left" w:pos="1274"/>
        </w:tabs>
        <w:spacing w:before="118" w:line="276" w:lineRule="auto"/>
        <w:ind w:right="44"/>
        <w:jc w:val="both"/>
        <w:rPr>
          <w:rFonts w:ascii="Arial" w:hAnsi="Arial" w:cs="Arial"/>
          <w:sz w:val="20"/>
          <w:szCs w:val="20"/>
        </w:rPr>
      </w:pPr>
      <w:r w:rsidRPr="00906FFC">
        <w:rPr>
          <w:rFonts w:ascii="Arial" w:hAnsi="Arial" w:cs="Arial"/>
          <w:sz w:val="20"/>
          <w:szCs w:val="20"/>
        </w:rPr>
        <w:t>the</w:t>
      </w:r>
      <w:r w:rsidRPr="00906FFC">
        <w:rPr>
          <w:rFonts w:ascii="Arial" w:hAnsi="Arial" w:cs="Arial"/>
          <w:spacing w:val="-3"/>
          <w:sz w:val="20"/>
          <w:szCs w:val="20"/>
        </w:rPr>
        <w:t xml:space="preserve"> </w:t>
      </w:r>
      <w:r w:rsidRPr="00906FFC">
        <w:rPr>
          <w:rFonts w:ascii="Arial" w:hAnsi="Arial" w:cs="Arial"/>
          <w:sz w:val="20"/>
          <w:szCs w:val="20"/>
        </w:rPr>
        <w:t>aircraft</w:t>
      </w:r>
      <w:r w:rsidRPr="00906FFC">
        <w:rPr>
          <w:rFonts w:ascii="Arial" w:hAnsi="Arial" w:cs="Arial"/>
          <w:spacing w:val="-3"/>
          <w:sz w:val="20"/>
          <w:szCs w:val="20"/>
        </w:rPr>
        <w:t xml:space="preserve"> </w:t>
      </w:r>
      <w:r w:rsidRPr="00906FFC">
        <w:rPr>
          <w:rFonts w:ascii="Arial" w:hAnsi="Arial" w:cs="Arial"/>
          <w:sz w:val="20"/>
          <w:szCs w:val="20"/>
        </w:rPr>
        <w:t>has</w:t>
      </w:r>
      <w:r w:rsidRPr="00906FFC">
        <w:rPr>
          <w:rFonts w:ascii="Arial" w:hAnsi="Arial" w:cs="Arial"/>
          <w:spacing w:val="-3"/>
          <w:sz w:val="20"/>
          <w:szCs w:val="20"/>
        </w:rPr>
        <w:t xml:space="preserve"> </w:t>
      </w:r>
      <w:r w:rsidRPr="00906FFC">
        <w:rPr>
          <w:rFonts w:ascii="Arial" w:hAnsi="Arial" w:cs="Arial"/>
          <w:sz w:val="20"/>
          <w:szCs w:val="20"/>
        </w:rPr>
        <w:t>been</w:t>
      </w:r>
      <w:r w:rsidRPr="00906FFC">
        <w:rPr>
          <w:rFonts w:ascii="Arial" w:hAnsi="Arial" w:cs="Arial"/>
          <w:spacing w:val="-3"/>
          <w:sz w:val="20"/>
          <w:szCs w:val="20"/>
        </w:rPr>
        <w:t xml:space="preserve"> </w:t>
      </w:r>
      <w:r w:rsidRPr="00906FFC">
        <w:rPr>
          <w:rFonts w:ascii="Arial" w:hAnsi="Arial" w:cs="Arial"/>
          <w:sz w:val="20"/>
          <w:szCs w:val="20"/>
        </w:rPr>
        <w:t>continuously</w:t>
      </w:r>
      <w:r w:rsidRPr="00906FFC">
        <w:rPr>
          <w:rFonts w:ascii="Arial" w:hAnsi="Arial" w:cs="Arial"/>
          <w:spacing w:val="-5"/>
          <w:sz w:val="20"/>
          <w:szCs w:val="20"/>
        </w:rPr>
        <w:t xml:space="preserve"> </w:t>
      </w:r>
      <w:r w:rsidRPr="00906FFC">
        <w:rPr>
          <w:rFonts w:ascii="Arial" w:hAnsi="Arial" w:cs="Arial"/>
          <w:sz w:val="20"/>
          <w:szCs w:val="20"/>
        </w:rPr>
        <w:t>managed</w:t>
      </w:r>
      <w:r w:rsidRPr="00906FFC">
        <w:rPr>
          <w:rFonts w:ascii="Arial" w:hAnsi="Arial" w:cs="Arial"/>
          <w:spacing w:val="-2"/>
          <w:sz w:val="20"/>
          <w:szCs w:val="20"/>
        </w:rPr>
        <w:t xml:space="preserve"> </w:t>
      </w:r>
      <w:r w:rsidRPr="00906FFC">
        <w:rPr>
          <w:rFonts w:ascii="Arial" w:hAnsi="Arial" w:cs="Arial"/>
          <w:sz w:val="20"/>
          <w:szCs w:val="20"/>
        </w:rPr>
        <w:t>for</w:t>
      </w:r>
      <w:r w:rsidRPr="00906FFC">
        <w:rPr>
          <w:rFonts w:ascii="Arial" w:hAnsi="Arial" w:cs="Arial"/>
          <w:spacing w:val="-3"/>
          <w:sz w:val="20"/>
          <w:szCs w:val="20"/>
        </w:rPr>
        <w:t xml:space="preserve"> </w:t>
      </w:r>
      <w:r w:rsidRPr="00906FFC">
        <w:rPr>
          <w:rFonts w:ascii="Arial" w:hAnsi="Arial" w:cs="Arial"/>
          <w:sz w:val="20"/>
          <w:szCs w:val="20"/>
        </w:rPr>
        <w:t>the</w:t>
      </w:r>
      <w:r w:rsidRPr="00906FFC">
        <w:rPr>
          <w:rFonts w:ascii="Arial" w:hAnsi="Arial" w:cs="Arial"/>
          <w:spacing w:val="-3"/>
          <w:sz w:val="20"/>
          <w:szCs w:val="20"/>
        </w:rPr>
        <w:t xml:space="preserve"> </w:t>
      </w:r>
      <w:r w:rsidRPr="00906FFC">
        <w:rPr>
          <w:rFonts w:ascii="Arial" w:hAnsi="Arial" w:cs="Arial"/>
          <w:sz w:val="20"/>
          <w:szCs w:val="20"/>
        </w:rPr>
        <w:t>previous</w:t>
      </w:r>
      <w:r w:rsidRPr="00906FFC">
        <w:rPr>
          <w:rFonts w:ascii="Arial" w:hAnsi="Arial" w:cs="Arial"/>
          <w:spacing w:val="-3"/>
          <w:sz w:val="20"/>
          <w:szCs w:val="20"/>
        </w:rPr>
        <w:t xml:space="preserve"> </w:t>
      </w:r>
      <w:r w:rsidRPr="00906FFC">
        <w:rPr>
          <w:rFonts w:ascii="Arial" w:hAnsi="Arial" w:cs="Arial"/>
          <w:sz w:val="20"/>
          <w:szCs w:val="20"/>
        </w:rPr>
        <w:t>12</w:t>
      </w:r>
      <w:r w:rsidRPr="00906FFC">
        <w:rPr>
          <w:rFonts w:ascii="Arial" w:hAnsi="Arial" w:cs="Arial"/>
          <w:spacing w:val="-5"/>
          <w:sz w:val="20"/>
          <w:szCs w:val="20"/>
        </w:rPr>
        <w:t xml:space="preserve"> </w:t>
      </w:r>
      <w:r w:rsidRPr="00906FFC">
        <w:rPr>
          <w:rFonts w:ascii="Arial" w:hAnsi="Arial" w:cs="Arial"/>
          <w:sz w:val="20"/>
          <w:szCs w:val="20"/>
        </w:rPr>
        <w:t>months</w:t>
      </w:r>
      <w:r w:rsidRPr="00906FFC">
        <w:rPr>
          <w:rFonts w:ascii="Arial" w:hAnsi="Arial" w:cs="Arial"/>
          <w:spacing w:val="-3"/>
          <w:sz w:val="20"/>
          <w:szCs w:val="20"/>
        </w:rPr>
        <w:t xml:space="preserve"> </w:t>
      </w:r>
      <w:r w:rsidRPr="00906FFC">
        <w:rPr>
          <w:rFonts w:ascii="Arial" w:hAnsi="Arial" w:cs="Arial"/>
          <w:sz w:val="20"/>
          <w:szCs w:val="20"/>
        </w:rPr>
        <w:t>by</w:t>
      </w:r>
      <w:r w:rsidRPr="00906FFC">
        <w:rPr>
          <w:rFonts w:ascii="Arial" w:hAnsi="Arial" w:cs="Arial"/>
          <w:spacing w:val="-5"/>
          <w:sz w:val="20"/>
          <w:szCs w:val="20"/>
        </w:rPr>
        <w:t xml:space="preserve"> </w:t>
      </w:r>
      <w:r w:rsidRPr="00906FFC">
        <w:rPr>
          <w:rFonts w:ascii="Arial" w:hAnsi="Arial" w:cs="Arial"/>
          <w:sz w:val="20"/>
          <w:szCs w:val="20"/>
        </w:rPr>
        <w:t>this</w:t>
      </w:r>
      <w:r w:rsidRPr="00906FFC">
        <w:rPr>
          <w:rFonts w:ascii="Arial" w:hAnsi="Arial" w:cs="Arial"/>
          <w:spacing w:val="-3"/>
          <w:sz w:val="20"/>
          <w:szCs w:val="20"/>
        </w:rPr>
        <w:t xml:space="preserve"> </w:t>
      </w:r>
      <w:r w:rsidRPr="00906FFC">
        <w:rPr>
          <w:rFonts w:ascii="Arial" w:hAnsi="Arial" w:cs="Arial"/>
          <w:sz w:val="20"/>
          <w:szCs w:val="20"/>
        </w:rPr>
        <w:t>CAMO</w:t>
      </w:r>
      <w:r w:rsidRPr="00906FFC">
        <w:rPr>
          <w:rFonts w:ascii="Arial" w:hAnsi="Arial" w:cs="Arial"/>
          <w:spacing w:val="-5"/>
          <w:sz w:val="20"/>
          <w:szCs w:val="20"/>
        </w:rPr>
        <w:t xml:space="preserve"> </w:t>
      </w:r>
      <w:r w:rsidRPr="00906FFC">
        <w:rPr>
          <w:rFonts w:ascii="Arial" w:hAnsi="Arial" w:cs="Arial"/>
          <w:sz w:val="20"/>
          <w:szCs w:val="20"/>
        </w:rPr>
        <w:t>or</w:t>
      </w:r>
      <w:r w:rsidRPr="00906FFC">
        <w:rPr>
          <w:rFonts w:ascii="Arial" w:hAnsi="Arial" w:cs="Arial"/>
          <w:spacing w:val="-47"/>
          <w:sz w:val="20"/>
          <w:szCs w:val="20"/>
        </w:rPr>
        <w:t xml:space="preserve"> </w:t>
      </w:r>
      <w:r w:rsidRPr="00906FFC">
        <w:rPr>
          <w:rFonts w:ascii="Arial" w:hAnsi="Arial" w:cs="Arial"/>
          <w:sz w:val="20"/>
          <w:szCs w:val="20"/>
        </w:rPr>
        <w:t>CAO;</w:t>
      </w:r>
    </w:p>
    <w:p w14:paraId="1AF4F966" w14:textId="77777777" w:rsidR="00906FFC" w:rsidRPr="00906FFC" w:rsidRDefault="00906FFC" w:rsidP="00451903">
      <w:pPr>
        <w:numPr>
          <w:ilvl w:val="1"/>
          <w:numId w:val="326"/>
        </w:numPr>
        <w:tabs>
          <w:tab w:val="left" w:pos="1274"/>
        </w:tabs>
        <w:spacing w:before="121" w:line="276" w:lineRule="auto"/>
        <w:ind w:right="44"/>
        <w:jc w:val="both"/>
        <w:rPr>
          <w:rFonts w:ascii="Arial" w:hAnsi="Arial" w:cs="Arial"/>
          <w:sz w:val="20"/>
          <w:szCs w:val="20"/>
        </w:rPr>
      </w:pPr>
      <w:r w:rsidRPr="00906FFC">
        <w:rPr>
          <w:rFonts w:ascii="Arial" w:hAnsi="Arial" w:cs="Arial"/>
          <w:sz w:val="20"/>
          <w:szCs w:val="20"/>
        </w:rPr>
        <w:t>the aircraft has been maintained for the previous 12 months by approved maintenance</w:t>
      </w:r>
      <w:r w:rsidRPr="00906FFC">
        <w:rPr>
          <w:rFonts w:ascii="Arial" w:hAnsi="Arial" w:cs="Arial"/>
          <w:spacing w:val="1"/>
          <w:sz w:val="20"/>
          <w:szCs w:val="20"/>
        </w:rPr>
        <w:t xml:space="preserve"> </w:t>
      </w:r>
      <w:r w:rsidRPr="00906FFC">
        <w:rPr>
          <w:rFonts w:ascii="Arial" w:hAnsi="Arial" w:cs="Arial"/>
          <w:sz w:val="20"/>
          <w:szCs w:val="20"/>
        </w:rPr>
        <w:t>organisations; this includes pilot-owner maintenance tasks carried out and released to</w:t>
      </w:r>
      <w:r w:rsidRPr="00906FFC">
        <w:rPr>
          <w:rFonts w:ascii="Arial" w:hAnsi="Arial" w:cs="Arial"/>
          <w:spacing w:val="1"/>
          <w:sz w:val="20"/>
          <w:szCs w:val="20"/>
        </w:rPr>
        <w:t xml:space="preserve"> </w:t>
      </w:r>
      <w:r w:rsidRPr="00906FFC">
        <w:rPr>
          <w:rFonts w:ascii="Arial" w:hAnsi="Arial" w:cs="Arial"/>
          <w:sz w:val="20"/>
          <w:szCs w:val="20"/>
        </w:rPr>
        <w:t>service either by the</w:t>
      </w:r>
      <w:r w:rsidRPr="00906FFC">
        <w:rPr>
          <w:rFonts w:ascii="Arial" w:hAnsi="Arial" w:cs="Arial"/>
          <w:spacing w:val="-2"/>
          <w:sz w:val="20"/>
          <w:szCs w:val="20"/>
        </w:rPr>
        <w:t xml:space="preserve"> </w:t>
      </w:r>
      <w:r w:rsidRPr="00906FFC">
        <w:rPr>
          <w:rFonts w:ascii="Arial" w:hAnsi="Arial" w:cs="Arial"/>
          <w:sz w:val="20"/>
          <w:szCs w:val="20"/>
        </w:rPr>
        <w:t>pilot-owner</w:t>
      </w:r>
      <w:r w:rsidRPr="00906FFC">
        <w:rPr>
          <w:rFonts w:ascii="Arial" w:hAnsi="Arial" w:cs="Arial"/>
          <w:spacing w:val="-3"/>
          <w:sz w:val="20"/>
          <w:szCs w:val="20"/>
        </w:rPr>
        <w:t xml:space="preserve"> </w:t>
      </w:r>
      <w:r w:rsidRPr="00906FFC">
        <w:rPr>
          <w:rFonts w:ascii="Arial" w:hAnsi="Arial" w:cs="Arial"/>
          <w:sz w:val="20"/>
          <w:szCs w:val="20"/>
        </w:rPr>
        <w:t>or</w:t>
      </w:r>
      <w:r w:rsidRPr="00906FFC">
        <w:rPr>
          <w:rFonts w:ascii="Arial" w:hAnsi="Arial" w:cs="Arial"/>
          <w:spacing w:val="-3"/>
          <w:sz w:val="20"/>
          <w:szCs w:val="20"/>
        </w:rPr>
        <w:t xml:space="preserve"> </w:t>
      </w:r>
      <w:r w:rsidRPr="00906FFC">
        <w:rPr>
          <w:rFonts w:ascii="Arial" w:hAnsi="Arial" w:cs="Arial"/>
          <w:sz w:val="20"/>
          <w:szCs w:val="20"/>
        </w:rPr>
        <w:t>by independent certifying</w:t>
      </w:r>
      <w:r w:rsidRPr="00906FFC">
        <w:rPr>
          <w:rFonts w:ascii="Arial" w:hAnsi="Arial" w:cs="Arial"/>
          <w:spacing w:val="-1"/>
          <w:sz w:val="20"/>
          <w:szCs w:val="20"/>
        </w:rPr>
        <w:t xml:space="preserve"> </w:t>
      </w:r>
      <w:r w:rsidRPr="00906FFC">
        <w:rPr>
          <w:rFonts w:ascii="Arial" w:hAnsi="Arial" w:cs="Arial"/>
          <w:sz w:val="20"/>
          <w:szCs w:val="20"/>
        </w:rPr>
        <w:t>staff;</w:t>
      </w:r>
    </w:p>
    <w:p w14:paraId="43107DF8" w14:textId="77777777" w:rsidR="00906FFC" w:rsidRPr="00906FFC" w:rsidRDefault="00906FFC" w:rsidP="00451903">
      <w:pPr>
        <w:numPr>
          <w:ilvl w:val="1"/>
          <w:numId w:val="326"/>
        </w:numPr>
        <w:tabs>
          <w:tab w:val="left" w:pos="1274"/>
        </w:tabs>
        <w:spacing w:before="120" w:line="276" w:lineRule="auto"/>
        <w:ind w:right="44"/>
        <w:jc w:val="both"/>
        <w:rPr>
          <w:rFonts w:ascii="Arial" w:hAnsi="Arial" w:cs="Arial"/>
          <w:sz w:val="20"/>
          <w:szCs w:val="20"/>
        </w:rPr>
      </w:pPr>
      <w:r w:rsidRPr="00906FFC">
        <w:rPr>
          <w:rFonts w:ascii="Arial" w:hAnsi="Arial" w:cs="Arial"/>
          <w:sz w:val="20"/>
          <w:szCs w:val="20"/>
        </w:rPr>
        <w:t>the</w:t>
      </w:r>
      <w:r w:rsidRPr="00906FFC">
        <w:rPr>
          <w:rFonts w:ascii="Arial" w:hAnsi="Arial" w:cs="Arial"/>
          <w:spacing w:val="-6"/>
          <w:sz w:val="20"/>
          <w:szCs w:val="20"/>
        </w:rPr>
        <w:t xml:space="preserve"> </w:t>
      </w:r>
      <w:r w:rsidRPr="00906FFC">
        <w:rPr>
          <w:rFonts w:ascii="Arial" w:hAnsi="Arial" w:cs="Arial"/>
          <w:sz w:val="20"/>
          <w:szCs w:val="20"/>
        </w:rPr>
        <w:t>CAMO</w:t>
      </w:r>
      <w:r w:rsidRPr="00906FFC">
        <w:rPr>
          <w:rFonts w:ascii="Arial" w:hAnsi="Arial" w:cs="Arial"/>
          <w:spacing w:val="-7"/>
          <w:sz w:val="20"/>
          <w:szCs w:val="20"/>
        </w:rPr>
        <w:t xml:space="preserve"> </w:t>
      </w:r>
      <w:r w:rsidRPr="00906FFC">
        <w:rPr>
          <w:rFonts w:ascii="Arial" w:hAnsi="Arial" w:cs="Arial"/>
          <w:sz w:val="20"/>
          <w:szCs w:val="20"/>
        </w:rPr>
        <w:t>or</w:t>
      </w:r>
      <w:r w:rsidRPr="00906FFC">
        <w:rPr>
          <w:rFonts w:ascii="Arial" w:hAnsi="Arial" w:cs="Arial"/>
          <w:spacing w:val="-8"/>
          <w:sz w:val="20"/>
          <w:szCs w:val="20"/>
        </w:rPr>
        <w:t xml:space="preserve"> </w:t>
      </w:r>
      <w:r w:rsidRPr="00906FFC">
        <w:rPr>
          <w:rFonts w:ascii="Arial" w:hAnsi="Arial" w:cs="Arial"/>
          <w:sz w:val="20"/>
          <w:szCs w:val="20"/>
        </w:rPr>
        <w:t>CAO</w:t>
      </w:r>
      <w:r w:rsidRPr="00906FFC">
        <w:rPr>
          <w:rFonts w:ascii="Arial" w:hAnsi="Arial" w:cs="Arial"/>
          <w:spacing w:val="-7"/>
          <w:sz w:val="20"/>
          <w:szCs w:val="20"/>
        </w:rPr>
        <w:t xml:space="preserve"> </w:t>
      </w:r>
      <w:r w:rsidRPr="00906FFC">
        <w:rPr>
          <w:rFonts w:ascii="Arial" w:hAnsi="Arial" w:cs="Arial"/>
          <w:sz w:val="20"/>
          <w:szCs w:val="20"/>
        </w:rPr>
        <w:t>does</w:t>
      </w:r>
      <w:r w:rsidRPr="00906FFC">
        <w:rPr>
          <w:rFonts w:ascii="Arial" w:hAnsi="Arial" w:cs="Arial"/>
          <w:spacing w:val="-4"/>
          <w:sz w:val="20"/>
          <w:szCs w:val="20"/>
        </w:rPr>
        <w:t xml:space="preserve"> </w:t>
      </w:r>
      <w:r w:rsidRPr="00906FFC">
        <w:rPr>
          <w:rFonts w:ascii="Arial" w:hAnsi="Arial" w:cs="Arial"/>
          <w:sz w:val="20"/>
          <w:szCs w:val="20"/>
        </w:rPr>
        <w:t>not</w:t>
      </w:r>
      <w:r w:rsidRPr="00906FFC">
        <w:rPr>
          <w:rFonts w:ascii="Arial" w:hAnsi="Arial" w:cs="Arial"/>
          <w:spacing w:val="-7"/>
          <w:sz w:val="20"/>
          <w:szCs w:val="20"/>
        </w:rPr>
        <w:t xml:space="preserve"> </w:t>
      </w:r>
      <w:r w:rsidRPr="00906FFC">
        <w:rPr>
          <w:rFonts w:ascii="Arial" w:hAnsi="Arial" w:cs="Arial"/>
          <w:sz w:val="20"/>
          <w:szCs w:val="20"/>
        </w:rPr>
        <w:t>have</w:t>
      </w:r>
      <w:r w:rsidRPr="00906FFC">
        <w:rPr>
          <w:rFonts w:ascii="Arial" w:hAnsi="Arial" w:cs="Arial"/>
          <w:spacing w:val="-6"/>
          <w:sz w:val="20"/>
          <w:szCs w:val="20"/>
        </w:rPr>
        <w:t xml:space="preserve"> </w:t>
      </w:r>
      <w:r w:rsidRPr="00906FFC">
        <w:rPr>
          <w:rFonts w:ascii="Arial" w:hAnsi="Arial" w:cs="Arial"/>
          <w:sz w:val="20"/>
          <w:szCs w:val="20"/>
        </w:rPr>
        <w:t>any</w:t>
      </w:r>
      <w:r w:rsidRPr="00906FFC">
        <w:rPr>
          <w:rFonts w:ascii="Arial" w:hAnsi="Arial" w:cs="Arial"/>
          <w:spacing w:val="-7"/>
          <w:sz w:val="20"/>
          <w:szCs w:val="20"/>
        </w:rPr>
        <w:t xml:space="preserve"> </w:t>
      </w:r>
      <w:r w:rsidRPr="00906FFC">
        <w:rPr>
          <w:rFonts w:ascii="Arial" w:hAnsi="Arial" w:cs="Arial"/>
          <w:sz w:val="20"/>
          <w:szCs w:val="20"/>
        </w:rPr>
        <w:t>evidence</w:t>
      </w:r>
      <w:r w:rsidRPr="00906FFC">
        <w:rPr>
          <w:rFonts w:ascii="Arial" w:hAnsi="Arial" w:cs="Arial"/>
          <w:spacing w:val="-6"/>
          <w:sz w:val="20"/>
          <w:szCs w:val="20"/>
        </w:rPr>
        <w:t xml:space="preserve"> </w:t>
      </w:r>
      <w:r w:rsidRPr="00906FFC">
        <w:rPr>
          <w:rFonts w:ascii="Arial" w:hAnsi="Arial" w:cs="Arial"/>
          <w:sz w:val="20"/>
          <w:szCs w:val="20"/>
        </w:rPr>
        <w:t>or</w:t>
      </w:r>
      <w:r w:rsidRPr="00906FFC">
        <w:rPr>
          <w:rFonts w:ascii="Arial" w:hAnsi="Arial" w:cs="Arial"/>
          <w:spacing w:val="-5"/>
          <w:sz w:val="20"/>
          <w:szCs w:val="20"/>
        </w:rPr>
        <w:t xml:space="preserve"> </w:t>
      </w:r>
      <w:r w:rsidRPr="00906FFC">
        <w:rPr>
          <w:rFonts w:ascii="Arial" w:hAnsi="Arial" w:cs="Arial"/>
          <w:sz w:val="20"/>
          <w:szCs w:val="20"/>
        </w:rPr>
        <w:t>reason</w:t>
      </w:r>
      <w:r w:rsidRPr="00906FFC">
        <w:rPr>
          <w:rFonts w:ascii="Arial" w:hAnsi="Arial" w:cs="Arial"/>
          <w:spacing w:val="-6"/>
          <w:sz w:val="20"/>
          <w:szCs w:val="20"/>
        </w:rPr>
        <w:t xml:space="preserve"> </w:t>
      </w:r>
      <w:r w:rsidRPr="00906FFC">
        <w:rPr>
          <w:rFonts w:ascii="Arial" w:hAnsi="Arial" w:cs="Arial"/>
          <w:sz w:val="20"/>
          <w:szCs w:val="20"/>
        </w:rPr>
        <w:t>to</w:t>
      </w:r>
      <w:r w:rsidRPr="00906FFC">
        <w:rPr>
          <w:rFonts w:ascii="Arial" w:hAnsi="Arial" w:cs="Arial"/>
          <w:spacing w:val="-6"/>
          <w:sz w:val="20"/>
          <w:szCs w:val="20"/>
        </w:rPr>
        <w:t xml:space="preserve"> </w:t>
      </w:r>
      <w:r w:rsidRPr="00906FFC">
        <w:rPr>
          <w:rFonts w:ascii="Arial" w:hAnsi="Arial" w:cs="Arial"/>
          <w:sz w:val="20"/>
          <w:szCs w:val="20"/>
        </w:rPr>
        <w:t>believe</w:t>
      </w:r>
      <w:r w:rsidRPr="00906FFC">
        <w:rPr>
          <w:rFonts w:ascii="Arial" w:hAnsi="Arial" w:cs="Arial"/>
          <w:spacing w:val="-7"/>
          <w:sz w:val="20"/>
          <w:szCs w:val="20"/>
        </w:rPr>
        <w:t xml:space="preserve"> </w:t>
      </w:r>
      <w:r w:rsidRPr="00906FFC">
        <w:rPr>
          <w:rFonts w:ascii="Arial" w:hAnsi="Arial" w:cs="Arial"/>
          <w:sz w:val="20"/>
          <w:szCs w:val="20"/>
        </w:rPr>
        <w:t>that</w:t>
      </w:r>
      <w:r w:rsidRPr="00906FFC">
        <w:rPr>
          <w:rFonts w:ascii="Arial" w:hAnsi="Arial" w:cs="Arial"/>
          <w:spacing w:val="-7"/>
          <w:sz w:val="20"/>
          <w:szCs w:val="20"/>
        </w:rPr>
        <w:t xml:space="preserve"> </w:t>
      </w:r>
      <w:r w:rsidRPr="00906FFC">
        <w:rPr>
          <w:rFonts w:ascii="Arial" w:hAnsi="Arial" w:cs="Arial"/>
          <w:sz w:val="20"/>
          <w:szCs w:val="20"/>
        </w:rPr>
        <w:t>the</w:t>
      </w:r>
      <w:r w:rsidRPr="00906FFC">
        <w:rPr>
          <w:rFonts w:ascii="Arial" w:hAnsi="Arial" w:cs="Arial"/>
          <w:spacing w:val="-7"/>
          <w:sz w:val="20"/>
          <w:szCs w:val="20"/>
        </w:rPr>
        <w:t xml:space="preserve"> </w:t>
      </w:r>
      <w:r w:rsidRPr="00906FFC">
        <w:rPr>
          <w:rFonts w:ascii="Arial" w:hAnsi="Arial" w:cs="Arial"/>
          <w:sz w:val="20"/>
          <w:szCs w:val="20"/>
        </w:rPr>
        <w:t>aircraft</w:t>
      </w:r>
      <w:r w:rsidRPr="00906FFC">
        <w:rPr>
          <w:rFonts w:ascii="Arial" w:hAnsi="Arial" w:cs="Arial"/>
          <w:spacing w:val="-6"/>
          <w:sz w:val="20"/>
          <w:szCs w:val="20"/>
        </w:rPr>
        <w:t xml:space="preserve"> </w:t>
      </w:r>
      <w:r w:rsidRPr="00906FFC">
        <w:rPr>
          <w:rFonts w:ascii="Arial" w:hAnsi="Arial" w:cs="Arial"/>
          <w:sz w:val="20"/>
          <w:szCs w:val="20"/>
        </w:rPr>
        <w:t>is</w:t>
      </w:r>
      <w:r w:rsidRPr="00906FFC">
        <w:rPr>
          <w:rFonts w:ascii="Arial" w:hAnsi="Arial" w:cs="Arial"/>
          <w:spacing w:val="-7"/>
          <w:sz w:val="20"/>
          <w:szCs w:val="20"/>
        </w:rPr>
        <w:t xml:space="preserve"> </w:t>
      </w:r>
      <w:r w:rsidRPr="00906FFC">
        <w:rPr>
          <w:rFonts w:ascii="Arial" w:hAnsi="Arial" w:cs="Arial"/>
          <w:sz w:val="20"/>
          <w:szCs w:val="20"/>
        </w:rPr>
        <w:t>not</w:t>
      </w:r>
      <w:r w:rsidRPr="00906FFC">
        <w:rPr>
          <w:rFonts w:ascii="Arial" w:hAnsi="Arial" w:cs="Arial"/>
          <w:spacing w:val="-48"/>
          <w:sz w:val="20"/>
          <w:szCs w:val="20"/>
        </w:rPr>
        <w:t xml:space="preserve"> </w:t>
      </w:r>
      <w:r w:rsidRPr="00906FFC">
        <w:rPr>
          <w:rFonts w:ascii="Arial" w:hAnsi="Arial" w:cs="Arial"/>
          <w:sz w:val="20"/>
          <w:szCs w:val="20"/>
        </w:rPr>
        <w:t>airworthy.</w:t>
      </w:r>
    </w:p>
    <w:p w14:paraId="6ABD6A9C" w14:textId="77777777" w:rsidR="00906FFC" w:rsidRPr="00906FFC" w:rsidRDefault="00906FFC" w:rsidP="00451903">
      <w:pPr>
        <w:spacing w:before="123" w:line="276" w:lineRule="auto"/>
        <w:ind w:left="706" w:right="44"/>
        <w:jc w:val="both"/>
        <w:rPr>
          <w:rFonts w:ascii="Arial" w:hAnsi="Arial" w:cs="Arial"/>
          <w:sz w:val="20"/>
          <w:szCs w:val="20"/>
        </w:rPr>
      </w:pPr>
      <w:r w:rsidRPr="00906FFC">
        <w:rPr>
          <w:rFonts w:ascii="Arial" w:hAnsi="Arial" w:cs="Arial"/>
          <w:sz w:val="20"/>
          <w:szCs w:val="20"/>
        </w:rPr>
        <w:t>This extension by the CAMO or CAO is possible regardless of which staff or organisation, as</w:t>
      </w:r>
      <w:r w:rsidRPr="00906FFC">
        <w:rPr>
          <w:rFonts w:ascii="Arial" w:hAnsi="Arial" w:cs="Arial"/>
          <w:spacing w:val="1"/>
          <w:sz w:val="20"/>
          <w:szCs w:val="20"/>
        </w:rPr>
        <w:t xml:space="preserve"> </w:t>
      </w:r>
      <w:r w:rsidRPr="00906FFC">
        <w:rPr>
          <w:rFonts w:ascii="Arial" w:hAnsi="Arial" w:cs="Arial"/>
          <w:sz w:val="20"/>
          <w:szCs w:val="20"/>
        </w:rPr>
        <w:t>provided</w:t>
      </w:r>
      <w:r w:rsidRPr="00906FFC">
        <w:rPr>
          <w:rFonts w:ascii="Arial" w:hAnsi="Arial" w:cs="Arial"/>
          <w:spacing w:val="-1"/>
          <w:sz w:val="20"/>
          <w:szCs w:val="20"/>
        </w:rPr>
        <w:t xml:space="preserve"> </w:t>
      </w:r>
      <w:r w:rsidRPr="00906FFC">
        <w:rPr>
          <w:rFonts w:ascii="Arial" w:hAnsi="Arial" w:cs="Arial"/>
          <w:sz w:val="20"/>
          <w:szCs w:val="20"/>
        </w:rPr>
        <w:t>for in</w:t>
      </w:r>
      <w:r w:rsidRPr="00906FFC">
        <w:rPr>
          <w:rFonts w:ascii="Arial" w:hAnsi="Arial" w:cs="Arial"/>
          <w:spacing w:val="-1"/>
          <w:sz w:val="20"/>
          <w:szCs w:val="20"/>
        </w:rPr>
        <w:t xml:space="preserve"> </w:t>
      </w:r>
      <w:r w:rsidRPr="00906FFC">
        <w:rPr>
          <w:rFonts w:ascii="Arial" w:hAnsi="Arial" w:cs="Arial"/>
          <w:sz w:val="20"/>
          <w:szCs w:val="20"/>
        </w:rPr>
        <w:t>point</w:t>
      </w:r>
      <w:r w:rsidRPr="00906FFC">
        <w:rPr>
          <w:rFonts w:ascii="Arial" w:hAnsi="Arial" w:cs="Arial"/>
          <w:spacing w:val="-2"/>
          <w:sz w:val="20"/>
          <w:szCs w:val="20"/>
        </w:rPr>
        <w:t xml:space="preserve"> </w:t>
      </w:r>
      <w:r w:rsidRPr="00906FFC">
        <w:rPr>
          <w:rFonts w:ascii="Arial" w:hAnsi="Arial" w:cs="Arial"/>
          <w:sz w:val="20"/>
          <w:szCs w:val="20"/>
        </w:rPr>
        <w:t>(b), initially</w:t>
      </w:r>
      <w:r w:rsidRPr="00906FFC">
        <w:rPr>
          <w:rFonts w:ascii="Arial" w:hAnsi="Arial" w:cs="Arial"/>
          <w:spacing w:val="1"/>
          <w:sz w:val="20"/>
          <w:szCs w:val="20"/>
        </w:rPr>
        <w:t xml:space="preserve"> </w:t>
      </w:r>
      <w:r w:rsidRPr="00906FFC">
        <w:rPr>
          <w:rFonts w:ascii="Arial" w:hAnsi="Arial" w:cs="Arial"/>
          <w:sz w:val="20"/>
          <w:szCs w:val="20"/>
        </w:rPr>
        <w:t>issued</w:t>
      </w:r>
      <w:r w:rsidRPr="00906FFC">
        <w:rPr>
          <w:rFonts w:ascii="Arial" w:hAnsi="Arial" w:cs="Arial"/>
          <w:spacing w:val="-3"/>
          <w:sz w:val="20"/>
          <w:szCs w:val="20"/>
        </w:rPr>
        <w:t xml:space="preserve"> </w:t>
      </w:r>
      <w:r w:rsidRPr="00906FFC">
        <w:rPr>
          <w:rFonts w:ascii="Arial" w:hAnsi="Arial" w:cs="Arial"/>
          <w:sz w:val="20"/>
          <w:szCs w:val="20"/>
        </w:rPr>
        <w:t>the</w:t>
      </w:r>
      <w:r w:rsidRPr="00906FFC">
        <w:rPr>
          <w:rFonts w:ascii="Arial" w:hAnsi="Arial" w:cs="Arial"/>
          <w:spacing w:val="1"/>
          <w:sz w:val="20"/>
          <w:szCs w:val="20"/>
        </w:rPr>
        <w:t xml:space="preserve"> </w:t>
      </w:r>
      <w:r w:rsidRPr="00906FFC">
        <w:rPr>
          <w:rFonts w:ascii="Arial" w:hAnsi="Arial" w:cs="Arial"/>
          <w:sz w:val="20"/>
          <w:szCs w:val="20"/>
        </w:rPr>
        <w:t>ARC.</w:t>
      </w:r>
    </w:p>
    <w:p w14:paraId="7FAFC280" w14:textId="77777777" w:rsidR="00906FFC" w:rsidRPr="00906FFC" w:rsidRDefault="00906FFC" w:rsidP="00451903">
      <w:pPr>
        <w:numPr>
          <w:ilvl w:val="0"/>
          <w:numId w:val="325"/>
        </w:numPr>
        <w:tabs>
          <w:tab w:val="left" w:pos="707"/>
        </w:tabs>
        <w:spacing w:before="122" w:line="276" w:lineRule="auto"/>
        <w:ind w:right="44"/>
        <w:jc w:val="both"/>
        <w:rPr>
          <w:rFonts w:ascii="Arial" w:hAnsi="Arial" w:cs="Arial"/>
          <w:sz w:val="20"/>
          <w:szCs w:val="20"/>
        </w:rPr>
      </w:pPr>
      <w:r w:rsidRPr="00906FFC">
        <w:rPr>
          <w:rFonts w:ascii="Arial" w:hAnsi="Arial" w:cs="Arial"/>
          <w:sz w:val="20"/>
          <w:szCs w:val="20"/>
        </w:rPr>
        <w:t>By derogation from point (c), the extension of the ARC may be anticipated for a maximum</w:t>
      </w:r>
      <w:r w:rsidRPr="00906FFC">
        <w:rPr>
          <w:rFonts w:ascii="Arial" w:hAnsi="Arial" w:cs="Arial"/>
          <w:spacing w:val="1"/>
          <w:sz w:val="20"/>
          <w:szCs w:val="20"/>
        </w:rPr>
        <w:t xml:space="preserve"> </w:t>
      </w:r>
      <w:r w:rsidRPr="00906FFC">
        <w:rPr>
          <w:rFonts w:ascii="Arial" w:hAnsi="Arial" w:cs="Arial"/>
          <w:sz w:val="20"/>
          <w:szCs w:val="20"/>
        </w:rPr>
        <w:t>period of 30 days, without loss of continuity of the airworthiness review pattern, to ensure the</w:t>
      </w:r>
      <w:r w:rsidRPr="00906FFC">
        <w:rPr>
          <w:rFonts w:ascii="Arial" w:hAnsi="Arial" w:cs="Arial"/>
          <w:spacing w:val="-47"/>
          <w:sz w:val="20"/>
          <w:szCs w:val="20"/>
        </w:rPr>
        <w:t xml:space="preserve"> </w:t>
      </w:r>
      <w:r w:rsidRPr="00906FFC">
        <w:rPr>
          <w:rFonts w:ascii="Arial" w:hAnsi="Arial" w:cs="Arial"/>
          <w:sz w:val="20"/>
          <w:szCs w:val="20"/>
        </w:rPr>
        <w:t>availability</w:t>
      </w:r>
      <w:r w:rsidRPr="00906FFC">
        <w:rPr>
          <w:rFonts w:ascii="Arial" w:hAnsi="Arial" w:cs="Arial"/>
          <w:spacing w:val="-2"/>
          <w:sz w:val="20"/>
          <w:szCs w:val="20"/>
        </w:rPr>
        <w:t xml:space="preserve"> </w:t>
      </w:r>
      <w:r w:rsidRPr="00906FFC">
        <w:rPr>
          <w:rFonts w:ascii="Arial" w:hAnsi="Arial" w:cs="Arial"/>
          <w:sz w:val="20"/>
          <w:szCs w:val="20"/>
        </w:rPr>
        <w:t>of</w:t>
      </w:r>
      <w:r w:rsidRPr="00906FFC">
        <w:rPr>
          <w:rFonts w:ascii="Arial" w:hAnsi="Arial" w:cs="Arial"/>
          <w:spacing w:val="-3"/>
          <w:sz w:val="20"/>
          <w:szCs w:val="20"/>
        </w:rPr>
        <w:t xml:space="preserve"> </w:t>
      </w:r>
      <w:r w:rsidRPr="00906FFC">
        <w:rPr>
          <w:rFonts w:ascii="Arial" w:hAnsi="Arial" w:cs="Arial"/>
          <w:sz w:val="20"/>
          <w:szCs w:val="20"/>
        </w:rPr>
        <w:t>the</w:t>
      </w:r>
      <w:r w:rsidRPr="00906FFC">
        <w:rPr>
          <w:rFonts w:ascii="Arial" w:hAnsi="Arial" w:cs="Arial"/>
          <w:spacing w:val="1"/>
          <w:sz w:val="20"/>
          <w:szCs w:val="20"/>
        </w:rPr>
        <w:t xml:space="preserve"> </w:t>
      </w:r>
      <w:r w:rsidRPr="00906FFC">
        <w:rPr>
          <w:rFonts w:ascii="Arial" w:hAnsi="Arial" w:cs="Arial"/>
          <w:sz w:val="20"/>
          <w:szCs w:val="20"/>
        </w:rPr>
        <w:t>aircraft in</w:t>
      </w:r>
      <w:r w:rsidRPr="00906FFC">
        <w:rPr>
          <w:rFonts w:ascii="Arial" w:hAnsi="Arial" w:cs="Arial"/>
          <w:spacing w:val="-3"/>
          <w:sz w:val="20"/>
          <w:szCs w:val="20"/>
        </w:rPr>
        <w:t xml:space="preserve"> </w:t>
      </w:r>
      <w:r w:rsidRPr="00906FFC">
        <w:rPr>
          <w:rFonts w:ascii="Arial" w:hAnsi="Arial" w:cs="Arial"/>
          <w:sz w:val="20"/>
          <w:szCs w:val="20"/>
        </w:rPr>
        <w:t>order</w:t>
      </w:r>
      <w:r w:rsidRPr="00906FFC">
        <w:rPr>
          <w:rFonts w:ascii="Arial" w:hAnsi="Arial" w:cs="Arial"/>
          <w:spacing w:val="-2"/>
          <w:sz w:val="20"/>
          <w:szCs w:val="20"/>
        </w:rPr>
        <w:t xml:space="preserve"> </w:t>
      </w:r>
      <w:r w:rsidRPr="00906FFC">
        <w:rPr>
          <w:rFonts w:ascii="Arial" w:hAnsi="Arial" w:cs="Arial"/>
          <w:sz w:val="20"/>
          <w:szCs w:val="20"/>
        </w:rPr>
        <w:t>to</w:t>
      </w:r>
      <w:r w:rsidRPr="00906FFC">
        <w:rPr>
          <w:rFonts w:ascii="Arial" w:hAnsi="Arial" w:cs="Arial"/>
          <w:spacing w:val="-2"/>
          <w:sz w:val="20"/>
          <w:szCs w:val="20"/>
        </w:rPr>
        <w:t xml:space="preserve"> </w:t>
      </w:r>
      <w:r w:rsidRPr="00906FFC">
        <w:rPr>
          <w:rFonts w:ascii="Arial" w:hAnsi="Arial" w:cs="Arial"/>
          <w:sz w:val="20"/>
          <w:szCs w:val="20"/>
        </w:rPr>
        <w:t>place</w:t>
      </w:r>
      <w:r w:rsidRPr="00906FFC">
        <w:rPr>
          <w:rFonts w:ascii="Arial" w:hAnsi="Arial" w:cs="Arial"/>
          <w:spacing w:val="-2"/>
          <w:sz w:val="20"/>
          <w:szCs w:val="20"/>
        </w:rPr>
        <w:t xml:space="preserve"> </w:t>
      </w:r>
      <w:r w:rsidRPr="00906FFC">
        <w:rPr>
          <w:rFonts w:ascii="Arial" w:hAnsi="Arial" w:cs="Arial"/>
          <w:sz w:val="20"/>
          <w:szCs w:val="20"/>
        </w:rPr>
        <w:t>the</w:t>
      </w:r>
      <w:r w:rsidRPr="00906FFC">
        <w:rPr>
          <w:rFonts w:ascii="Arial" w:hAnsi="Arial" w:cs="Arial"/>
          <w:spacing w:val="-2"/>
          <w:sz w:val="20"/>
          <w:szCs w:val="20"/>
        </w:rPr>
        <w:t xml:space="preserve"> </w:t>
      </w:r>
      <w:r w:rsidRPr="00906FFC">
        <w:rPr>
          <w:rFonts w:ascii="Arial" w:hAnsi="Arial" w:cs="Arial"/>
          <w:sz w:val="20"/>
          <w:szCs w:val="20"/>
        </w:rPr>
        <w:t>original</w:t>
      </w:r>
      <w:r w:rsidRPr="00906FFC">
        <w:rPr>
          <w:rFonts w:ascii="Arial" w:hAnsi="Arial" w:cs="Arial"/>
          <w:spacing w:val="-3"/>
          <w:sz w:val="20"/>
          <w:szCs w:val="20"/>
        </w:rPr>
        <w:t xml:space="preserve"> </w:t>
      </w:r>
      <w:r w:rsidRPr="00906FFC">
        <w:rPr>
          <w:rFonts w:ascii="Arial" w:hAnsi="Arial" w:cs="Arial"/>
          <w:sz w:val="20"/>
          <w:szCs w:val="20"/>
        </w:rPr>
        <w:t>ARC on board.</w:t>
      </w:r>
    </w:p>
    <w:p w14:paraId="14C5B4EB" w14:textId="12835603" w:rsidR="00906FFC" w:rsidRPr="00906FFC" w:rsidRDefault="00906FFC" w:rsidP="00451903">
      <w:pPr>
        <w:numPr>
          <w:ilvl w:val="0"/>
          <w:numId w:val="325"/>
        </w:numPr>
        <w:tabs>
          <w:tab w:val="left" w:pos="707"/>
        </w:tabs>
        <w:spacing w:before="121" w:line="276" w:lineRule="auto"/>
        <w:ind w:right="44"/>
        <w:jc w:val="both"/>
        <w:rPr>
          <w:rFonts w:ascii="Arial" w:hAnsi="Arial" w:cs="Arial"/>
          <w:sz w:val="20"/>
          <w:szCs w:val="20"/>
        </w:rPr>
      </w:pPr>
      <w:r w:rsidRPr="00906FFC">
        <w:rPr>
          <w:rFonts w:ascii="Arial" w:hAnsi="Arial" w:cs="Arial"/>
          <w:sz w:val="20"/>
          <w:szCs w:val="20"/>
        </w:rPr>
        <w:t xml:space="preserve">When the </w:t>
      </w:r>
      <w:r w:rsidR="004E22F1">
        <w:rPr>
          <w:rFonts w:ascii="Arial" w:hAnsi="Arial" w:cs="Arial"/>
          <w:sz w:val="20"/>
          <w:szCs w:val="20"/>
        </w:rPr>
        <w:t xml:space="preserve">CAC RA </w:t>
      </w:r>
      <w:r w:rsidRPr="00906FFC">
        <w:rPr>
          <w:rFonts w:ascii="Arial" w:hAnsi="Arial" w:cs="Arial"/>
          <w:sz w:val="20"/>
          <w:szCs w:val="20"/>
        </w:rPr>
        <w:t>carries out the airworthiness review and issues the ARC itself,</w:t>
      </w:r>
      <w:r w:rsidRPr="00906FFC">
        <w:rPr>
          <w:rFonts w:ascii="Arial" w:hAnsi="Arial" w:cs="Arial"/>
          <w:spacing w:val="1"/>
          <w:sz w:val="20"/>
          <w:szCs w:val="20"/>
        </w:rPr>
        <w:t xml:space="preserve"> </w:t>
      </w:r>
      <w:r w:rsidRPr="00906FFC">
        <w:rPr>
          <w:rFonts w:ascii="Arial" w:hAnsi="Arial" w:cs="Arial"/>
          <w:sz w:val="20"/>
          <w:szCs w:val="20"/>
        </w:rPr>
        <w:t>the</w:t>
      </w:r>
      <w:r w:rsidRPr="00906FFC">
        <w:rPr>
          <w:rFonts w:ascii="Arial" w:hAnsi="Arial" w:cs="Arial"/>
          <w:spacing w:val="-1"/>
          <w:sz w:val="20"/>
          <w:szCs w:val="20"/>
        </w:rPr>
        <w:t xml:space="preserve"> </w:t>
      </w:r>
      <w:r w:rsidRPr="00906FFC">
        <w:rPr>
          <w:rFonts w:ascii="Arial" w:hAnsi="Arial" w:cs="Arial"/>
          <w:sz w:val="20"/>
          <w:szCs w:val="20"/>
        </w:rPr>
        <w:t>owner</w:t>
      </w:r>
      <w:r w:rsidRPr="00906FFC">
        <w:rPr>
          <w:rFonts w:ascii="Arial" w:hAnsi="Arial" w:cs="Arial"/>
          <w:spacing w:val="-2"/>
          <w:sz w:val="20"/>
          <w:szCs w:val="20"/>
        </w:rPr>
        <w:t xml:space="preserve"> </w:t>
      </w:r>
      <w:r w:rsidRPr="00906FFC">
        <w:rPr>
          <w:rFonts w:ascii="Arial" w:hAnsi="Arial" w:cs="Arial"/>
          <w:sz w:val="20"/>
          <w:szCs w:val="20"/>
        </w:rPr>
        <w:t>shall</w:t>
      </w:r>
      <w:r w:rsidRPr="00906FFC">
        <w:rPr>
          <w:rFonts w:ascii="Arial" w:hAnsi="Arial" w:cs="Arial"/>
          <w:spacing w:val="-1"/>
          <w:sz w:val="20"/>
          <w:szCs w:val="20"/>
        </w:rPr>
        <w:t xml:space="preserve"> </w:t>
      </w:r>
      <w:r w:rsidRPr="00906FFC">
        <w:rPr>
          <w:rFonts w:ascii="Arial" w:hAnsi="Arial" w:cs="Arial"/>
          <w:sz w:val="20"/>
          <w:szCs w:val="20"/>
        </w:rPr>
        <w:t>provide</w:t>
      </w:r>
      <w:r w:rsidRPr="00906FFC">
        <w:rPr>
          <w:rFonts w:ascii="Arial" w:hAnsi="Arial" w:cs="Arial"/>
          <w:spacing w:val="-2"/>
          <w:sz w:val="20"/>
          <w:szCs w:val="20"/>
        </w:rPr>
        <w:t xml:space="preserve"> </w:t>
      </w:r>
      <w:r w:rsidRPr="00906FFC">
        <w:rPr>
          <w:rFonts w:ascii="Arial" w:hAnsi="Arial" w:cs="Arial"/>
          <w:sz w:val="20"/>
          <w:szCs w:val="20"/>
        </w:rPr>
        <w:t xml:space="preserve">the </w:t>
      </w:r>
      <w:r w:rsidR="004E22F1">
        <w:rPr>
          <w:rFonts w:ascii="Arial" w:hAnsi="Arial" w:cs="Arial"/>
          <w:sz w:val="20"/>
          <w:szCs w:val="20"/>
        </w:rPr>
        <w:t xml:space="preserve">CAC RA </w:t>
      </w:r>
      <w:r w:rsidRPr="00906FFC">
        <w:rPr>
          <w:rFonts w:ascii="Arial" w:hAnsi="Arial" w:cs="Arial"/>
          <w:sz w:val="20"/>
          <w:szCs w:val="20"/>
        </w:rPr>
        <w:t>with:</w:t>
      </w:r>
      <w:r w:rsidR="004E22F1">
        <w:rPr>
          <w:rFonts w:ascii="Arial" w:hAnsi="Arial" w:cs="Arial"/>
          <w:sz w:val="20"/>
          <w:szCs w:val="20"/>
        </w:rPr>
        <w:t xml:space="preserve"> </w:t>
      </w:r>
    </w:p>
    <w:p w14:paraId="7FBA5E21" w14:textId="68E83322" w:rsidR="00906FFC" w:rsidRPr="00906FFC" w:rsidRDefault="00906FFC" w:rsidP="00214379">
      <w:pPr>
        <w:numPr>
          <w:ilvl w:val="0"/>
          <w:numId w:val="475"/>
        </w:numPr>
        <w:tabs>
          <w:tab w:val="left" w:pos="1273"/>
          <w:tab w:val="left" w:pos="1274"/>
        </w:tabs>
        <w:spacing w:before="120" w:line="276" w:lineRule="auto"/>
        <w:jc w:val="both"/>
        <w:rPr>
          <w:rFonts w:ascii="Arial" w:hAnsi="Arial" w:cs="Arial"/>
          <w:sz w:val="20"/>
          <w:szCs w:val="20"/>
        </w:rPr>
      </w:pPr>
      <w:r w:rsidRPr="00906FFC">
        <w:rPr>
          <w:rFonts w:ascii="Arial" w:hAnsi="Arial" w:cs="Arial"/>
          <w:sz w:val="20"/>
          <w:szCs w:val="20"/>
        </w:rPr>
        <w:lastRenderedPageBreak/>
        <w:t>the</w:t>
      </w:r>
      <w:r w:rsidRPr="00906FFC">
        <w:rPr>
          <w:rFonts w:ascii="Arial" w:hAnsi="Arial" w:cs="Arial"/>
          <w:spacing w:val="-1"/>
          <w:sz w:val="20"/>
          <w:szCs w:val="20"/>
        </w:rPr>
        <w:t xml:space="preserve"> </w:t>
      </w:r>
      <w:r w:rsidRPr="00906FFC">
        <w:rPr>
          <w:rFonts w:ascii="Arial" w:hAnsi="Arial" w:cs="Arial"/>
          <w:sz w:val="20"/>
          <w:szCs w:val="20"/>
        </w:rPr>
        <w:t>documentation</w:t>
      </w:r>
      <w:r w:rsidRPr="00906FFC">
        <w:rPr>
          <w:rFonts w:ascii="Arial" w:hAnsi="Arial" w:cs="Arial"/>
          <w:spacing w:val="-2"/>
          <w:sz w:val="20"/>
          <w:szCs w:val="20"/>
        </w:rPr>
        <w:t xml:space="preserve"> </w:t>
      </w:r>
      <w:r w:rsidRPr="00906FFC">
        <w:rPr>
          <w:rFonts w:ascii="Arial" w:hAnsi="Arial" w:cs="Arial"/>
          <w:sz w:val="20"/>
          <w:szCs w:val="20"/>
        </w:rPr>
        <w:t>required</w:t>
      </w:r>
      <w:r w:rsidRPr="00906FFC">
        <w:rPr>
          <w:rFonts w:ascii="Arial" w:hAnsi="Arial" w:cs="Arial"/>
          <w:spacing w:val="-2"/>
          <w:sz w:val="20"/>
          <w:szCs w:val="20"/>
        </w:rPr>
        <w:t xml:space="preserve"> </w:t>
      </w:r>
      <w:r w:rsidRPr="00906FFC">
        <w:rPr>
          <w:rFonts w:ascii="Arial" w:hAnsi="Arial" w:cs="Arial"/>
          <w:sz w:val="20"/>
          <w:szCs w:val="20"/>
        </w:rPr>
        <w:t>by the</w:t>
      </w:r>
      <w:r w:rsidRPr="00906FFC">
        <w:rPr>
          <w:rFonts w:ascii="Arial" w:hAnsi="Arial" w:cs="Arial"/>
          <w:spacing w:val="-4"/>
          <w:sz w:val="20"/>
          <w:szCs w:val="20"/>
        </w:rPr>
        <w:t xml:space="preserve"> </w:t>
      </w:r>
      <w:r w:rsidR="004E22F1">
        <w:rPr>
          <w:rFonts w:ascii="Arial" w:hAnsi="Arial" w:cs="Arial"/>
          <w:sz w:val="20"/>
          <w:szCs w:val="20"/>
        </w:rPr>
        <w:t>CAC RA</w:t>
      </w:r>
      <w:r w:rsidRPr="00906FFC">
        <w:rPr>
          <w:rFonts w:ascii="Arial" w:hAnsi="Arial" w:cs="Arial"/>
          <w:sz w:val="20"/>
          <w:szCs w:val="20"/>
        </w:rPr>
        <w:t>;</w:t>
      </w:r>
    </w:p>
    <w:p w14:paraId="2BBA121F" w14:textId="77777777" w:rsidR="00906FFC" w:rsidRPr="00906FFC" w:rsidRDefault="00906FFC" w:rsidP="00214379">
      <w:pPr>
        <w:numPr>
          <w:ilvl w:val="0"/>
          <w:numId w:val="475"/>
        </w:numPr>
        <w:tabs>
          <w:tab w:val="left" w:pos="1273"/>
          <w:tab w:val="left" w:pos="1274"/>
        </w:tabs>
        <w:spacing w:before="120" w:line="276" w:lineRule="auto"/>
        <w:jc w:val="both"/>
        <w:rPr>
          <w:rFonts w:ascii="Arial" w:hAnsi="Arial" w:cs="Arial"/>
          <w:sz w:val="20"/>
          <w:szCs w:val="20"/>
        </w:rPr>
      </w:pPr>
      <w:r w:rsidRPr="00906FFC">
        <w:rPr>
          <w:rFonts w:ascii="Arial" w:hAnsi="Arial" w:cs="Arial"/>
          <w:sz w:val="20"/>
          <w:szCs w:val="20"/>
        </w:rPr>
        <w:t>suitable</w:t>
      </w:r>
      <w:r w:rsidRPr="00906FFC">
        <w:rPr>
          <w:rFonts w:ascii="Arial" w:hAnsi="Arial" w:cs="Arial"/>
          <w:spacing w:val="-1"/>
          <w:sz w:val="20"/>
          <w:szCs w:val="20"/>
        </w:rPr>
        <w:t xml:space="preserve"> </w:t>
      </w:r>
      <w:r w:rsidRPr="00906FFC">
        <w:rPr>
          <w:rFonts w:ascii="Arial" w:hAnsi="Arial" w:cs="Arial"/>
          <w:sz w:val="20"/>
          <w:szCs w:val="20"/>
        </w:rPr>
        <w:t>accommodation</w:t>
      </w:r>
      <w:r w:rsidRPr="00906FFC">
        <w:rPr>
          <w:rFonts w:ascii="Arial" w:hAnsi="Arial" w:cs="Arial"/>
          <w:spacing w:val="-2"/>
          <w:sz w:val="20"/>
          <w:szCs w:val="20"/>
        </w:rPr>
        <w:t xml:space="preserve"> </w:t>
      </w:r>
      <w:r w:rsidRPr="00906FFC">
        <w:rPr>
          <w:rFonts w:ascii="Arial" w:hAnsi="Arial" w:cs="Arial"/>
          <w:sz w:val="20"/>
          <w:szCs w:val="20"/>
        </w:rPr>
        <w:t>at</w:t>
      </w:r>
      <w:r w:rsidRPr="00906FFC">
        <w:rPr>
          <w:rFonts w:ascii="Arial" w:hAnsi="Arial" w:cs="Arial"/>
          <w:spacing w:val="-4"/>
          <w:sz w:val="20"/>
          <w:szCs w:val="20"/>
        </w:rPr>
        <w:t xml:space="preserve"> </w:t>
      </w:r>
      <w:r w:rsidRPr="00906FFC">
        <w:rPr>
          <w:rFonts w:ascii="Arial" w:hAnsi="Arial" w:cs="Arial"/>
          <w:sz w:val="20"/>
          <w:szCs w:val="20"/>
        </w:rPr>
        <w:t>the appropriate</w:t>
      </w:r>
      <w:r w:rsidRPr="00906FFC">
        <w:rPr>
          <w:rFonts w:ascii="Arial" w:hAnsi="Arial" w:cs="Arial"/>
          <w:spacing w:val="-2"/>
          <w:sz w:val="20"/>
          <w:szCs w:val="20"/>
        </w:rPr>
        <w:t xml:space="preserve"> </w:t>
      </w:r>
      <w:r w:rsidRPr="00906FFC">
        <w:rPr>
          <w:rFonts w:ascii="Arial" w:hAnsi="Arial" w:cs="Arial"/>
          <w:sz w:val="20"/>
          <w:szCs w:val="20"/>
        </w:rPr>
        <w:t>location</w:t>
      </w:r>
      <w:r w:rsidRPr="00906FFC">
        <w:rPr>
          <w:rFonts w:ascii="Arial" w:hAnsi="Arial" w:cs="Arial"/>
          <w:spacing w:val="-2"/>
          <w:sz w:val="20"/>
          <w:szCs w:val="20"/>
        </w:rPr>
        <w:t xml:space="preserve"> </w:t>
      </w:r>
      <w:r w:rsidRPr="00906FFC">
        <w:rPr>
          <w:rFonts w:ascii="Arial" w:hAnsi="Arial" w:cs="Arial"/>
          <w:sz w:val="20"/>
          <w:szCs w:val="20"/>
        </w:rPr>
        <w:t>for</w:t>
      </w:r>
      <w:r w:rsidRPr="00906FFC">
        <w:rPr>
          <w:rFonts w:ascii="Arial" w:hAnsi="Arial" w:cs="Arial"/>
          <w:spacing w:val="-2"/>
          <w:sz w:val="20"/>
          <w:szCs w:val="20"/>
        </w:rPr>
        <w:t xml:space="preserve"> </w:t>
      </w:r>
      <w:r w:rsidRPr="00906FFC">
        <w:rPr>
          <w:rFonts w:ascii="Arial" w:hAnsi="Arial" w:cs="Arial"/>
          <w:sz w:val="20"/>
          <w:szCs w:val="20"/>
        </w:rPr>
        <w:t>its</w:t>
      </w:r>
      <w:r w:rsidRPr="00906FFC">
        <w:rPr>
          <w:rFonts w:ascii="Arial" w:hAnsi="Arial" w:cs="Arial"/>
          <w:spacing w:val="-3"/>
          <w:sz w:val="20"/>
          <w:szCs w:val="20"/>
        </w:rPr>
        <w:t xml:space="preserve"> </w:t>
      </w:r>
      <w:r w:rsidRPr="00906FFC">
        <w:rPr>
          <w:rFonts w:ascii="Arial" w:hAnsi="Arial" w:cs="Arial"/>
          <w:sz w:val="20"/>
          <w:szCs w:val="20"/>
        </w:rPr>
        <w:t>personnel;</w:t>
      </w:r>
    </w:p>
    <w:p w14:paraId="1C560C1A" w14:textId="77777777" w:rsidR="00906FFC" w:rsidRPr="00906FFC" w:rsidRDefault="00906FFC" w:rsidP="00214379">
      <w:pPr>
        <w:numPr>
          <w:ilvl w:val="0"/>
          <w:numId w:val="475"/>
        </w:numPr>
        <w:tabs>
          <w:tab w:val="left" w:pos="1273"/>
          <w:tab w:val="left" w:pos="1274"/>
        </w:tabs>
        <w:spacing w:before="121" w:line="276" w:lineRule="auto"/>
        <w:jc w:val="both"/>
        <w:rPr>
          <w:rFonts w:ascii="Arial" w:hAnsi="Arial" w:cs="Arial"/>
          <w:sz w:val="20"/>
          <w:szCs w:val="20"/>
        </w:rPr>
      </w:pPr>
      <w:r w:rsidRPr="00906FFC">
        <w:rPr>
          <w:rFonts w:ascii="Arial" w:hAnsi="Arial" w:cs="Arial"/>
          <w:sz w:val="20"/>
          <w:szCs w:val="20"/>
        </w:rPr>
        <w:t>when</w:t>
      </w:r>
      <w:r w:rsidRPr="00906FFC">
        <w:rPr>
          <w:rFonts w:ascii="Arial" w:hAnsi="Arial" w:cs="Arial"/>
          <w:spacing w:val="-2"/>
          <w:sz w:val="20"/>
          <w:szCs w:val="20"/>
        </w:rPr>
        <w:t xml:space="preserve"> </w:t>
      </w:r>
      <w:r w:rsidRPr="00906FFC">
        <w:rPr>
          <w:rFonts w:ascii="Arial" w:hAnsi="Arial" w:cs="Arial"/>
          <w:sz w:val="20"/>
          <w:szCs w:val="20"/>
        </w:rPr>
        <w:t>necessary,</w:t>
      </w:r>
      <w:r w:rsidRPr="00906FFC">
        <w:rPr>
          <w:rFonts w:ascii="Arial" w:hAnsi="Arial" w:cs="Arial"/>
          <w:spacing w:val="-1"/>
          <w:sz w:val="20"/>
          <w:szCs w:val="20"/>
        </w:rPr>
        <w:t xml:space="preserve"> </w:t>
      </w:r>
      <w:r w:rsidRPr="00906FFC">
        <w:rPr>
          <w:rFonts w:ascii="Arial" w:hAnsi="Arial" w:cs="Arial"/>
          <w:sz w:val="20"/>
          <w:szCs w:val="20"/>
        </w:rPr>
        <w:t>the</w:t>
      </w:r>
      <w:r w:rsidRPr="00906FFC">
        <w:rPr>
          <w:rFonts w:ascii="Arial" w:hAnsi="Arial" w:cs="Arial"/>
          <w:spacing w:val="-3"/>
          <w:sz w:val="20"/>
          <w:szCs w:val="20"/>
        </w:rPr>
        <w:t xml:space="preserve"> </w:t>
      </w:r>
      <w:r w:rsidRPr="00906FFC">
        <w:rPr>
          <w:rFonts w:ascii="Arial" w:hAnsi="Arial" w:cs="Arial"/>
          <w:sz w:val="20"/>
          <w:szCs w:val="20"/>
        </w:rPr>
        <w:t>support</w:t>
      </w:r>
      <w:r w:rsidRPr="00906FFC">
        <w:rPr>
          <w:rFonts w:ascii="Arial" w:hAnsi="Arial" w:cs="Arial"/>
          <w:spacing w:val="-1"/>
          <w:sz w:val="20"/>
          <w:szCs w:val="20"/>
        </w:rPr>
        <w:t xml:space="preserve"> </w:t>
      </w:r>
      <w:r w:rsidRPr="00906FFC">
        <w:rPr>
          <w:rFonts w:ascii="Arial" w:hAnsi="Arial" w:cs="Arial"/>
          <w:sz w:val="20"/>
          <w:szCs w:val="20"/>
        </w:rPr>
        <w:t>of</w:t>
      </w:r>
      <w:r w:rsidRPr="00906FFC">
        <w:rPr>
          <w:rFonts w:ascii="Arial" w:hAnsi="Arial" w:cs="Arial"/>
          <w:spacing w:val="-4"/>
          <w:sz w:val="20"/>
          <w:szCs w:val="20"/>
        </w:rPr>
        <w:t xml:space="preserve"> </w:t>
      </w:r>
      <w:r w:rsidRPr="00906FFC">
        <w:rPr>
          <w:rFonts w:ascii="Arial" w:hAnsi="Arial" w:cs="Arial"/>
          <w:sz w:val="20"/>
          <w:szCs w:val="20"/>
        </w:rPr>
        <w:t>appropriate</w:t>
      </w:r>
      <w:r w:rsidRPr="00906FFC">
        <w:rPr>
          <w:rFonts w:ascii="Arial" w:hAnsi="Arial" w:cs="Arial"/>
          <w:spacing w:val="-1"/>
          <w:sz w:val="20"/>
          <w:szCs w:val="20"/>
        </w:rPr>
        <w:t xml:space="preserve"> </w:t>
      </w:r>
      <w:r w:rsidRPr="00906FFC">
        <w:rPr>
          <w:rFonts w:ascii="Arial" w:hAnsi="Arial" w:cs="Arial"/>
          <w:sz w:val="20"/>
          <w:szCs w:val="20"/>
        </w:rPr>
        <w:t>certifying</w:t>
      </w:r>
      <w:r w:rsidRPr="00906FFC">
        <w:rPr>
          <w:rFonts w:ascii="Arial" w:hAnsi="Arial" w:cs="Arial"/>
          <w:spacing w:val="-4"/>
          <w:sz w:val="20"/>
          <w:szCs w:val="20"/>
        </w:rPr>
        <w:t xml:space="preserve"> </w:t>
      </w:r>
      <w:r w:rsidRPr="00906FFC">
        <w:rPr>
          <w:rFonts w:ascii="Arial" w:hAnsi="Arial" w:cs="Arial"/>
          <w:sz w:val="20"/>
          <w:szCs w:val="20"/>
        </w:rPr>
        <w:t>staff.</w:t>
      </w:r>
    </w:p>
    <w:p w14:paraId="2C1AF6F2" w14:textId="77777777" w:rsidR="00D62A08" w:rsidRPr="00D62A08" w:rsidRDefault="00D62A08" w:rsidP="00D62A08">
      <w:pPr>
        <w:keepNext/>
        <w:keepLines/>
        <w:widowControl/>
        <w:shd w:val="clear" w:color="auto" w:fill="339966"/>
        <w:autoSpaceDE/>
        <w:autoSpaceDN/>
        <w:spacing w:before="160" w:after="120" w:line="259" w:lineRule="auto"/>
        <w:outlineLvl w:val="4"/>
        <w:rPr>
          <w:rFonts w:ascii="Arial" w:eastAsia="Times New Roman" w:hAnsi="Arial" w:cs="Times New Roman"/>
          <w:b/>
          <w:color w:val="FFFFFF"/>
          <w:sz w:val="24"/>
        </w:rPr>
      </w:pPr>
      <w:bookmarkStart w:id="918" w:name="GM1_ML.A.901__Aircraft_airworthiness_rev"/>
      <w:bookmarkStart w:id="919" w:name="_bookmark388"/>
      <w:bookmarkStart w:id="920" w:name="_Toc153137553"/>
      <w:bookmarkEnd w:id="918"/>
      <w:bookmarkEnd w:id="919"/>
      <w:r w:rsidRPr="00D62A08">
        <w:rPr>
          <w:rFonts w:ascii="Arial" w:eastAsia="Times New Roman" w:hAnsi="Arial" w:cs="Times New Roman"/>
          <w:b/>
          <w:color w:val="FFFFFF"/>
          <w:sz w:val="24"/>
        </w:rPr>
        <w:t>GM1 ML.A.901 Aircraft airworthiness review</w:t>
      </w:r>
      <w:bookmarkEnd w:id="920"/>
    </w:p>
    <w:p w14:paraId="21806FEB" w14:textId="77777777" w:rsidR="00D62A08" w:rsidRPr="00D62A08" w:rsidRDefault="00D62A08" w:rsidP="00451903">
      <w:pPr>
        <w:spacing w:line="276" w:lineRule="auto"/>
        <w:jc w:val="both"/>
        <w:rPr>
          <w:rFonts w:ascii="Arial" w:eastAsia="Times New Roman" w:hAnsi="Arial" w:cs="Times New Roman"/>
          <w:sz w:val="20"/>
        </w:rPr>
      </w:pPr>
      <w:r w:rsidRPr="00D62A08">
        <w:rPr>
          <w:rFonts w:ascii="Arial" w:eastAsia="Times New Roman" w:hAnsi="Arial" w:cs="Times New Roman"/>
          <w:sz w:val="20"/>
        </w:rPr>
        <w:t>If a CAMO/CAO holding the AR privilege is contracted by the owner, this organisation does not have the obligation to carry out the AR itself. The owner may select another CAMO or CAO to carry out the AR, or request the maintenance organisation to carry it out and issue the ARC in conjunction with the annual inspection.</w:t>
      </w:r>
    </w:p>
    <w:p w14:paraId="57524138" w14:textId="5A850962" w:rsidR="00D62A08" w:rsidRPr="00D62A08" w:rsidRDefault="00D62A08" w:rsidP="00451903">
      <w:pPr>
        <w:spacing w:line="276" w:lineRule="auto"/>
        <w:jc w:val="both"/>
        <w:rPr>
          <w:rFonts w:ascii="Arial" w:eastAsia="Times New Roman" w:hAnsi="Arial" w:cs="Times New Roman"/>
          <w:sz w:val="20"/>
        </w:rPr>
      </w:pPr>
      <w:r w:rsidRPr="00D62A08">
        <w:rPr>
          <w:rFonts w:ascii="Arial" w:eastAsia="Times New Roman" w:hAnsi="Arial" w:cs="Times New Roman"/>
          <w:sz w:val="20"/>
        </w:rPr>
        <w:t xml:space="preserve">Please refer to GM1 ML.A.201 to identify the cases where the owner may also request an independent certifying staff (authorised by the </w:t>
      </w:r>
      <w:r w:rsidR="004E22F1">
        <w:rPr>
          <w:rFonts w:ascii="Arial" w:hAnsi="Arial" w:cs="Arial"/>
          <w:sz w:val="20"/>
          <w:szCs w:val="20"/>
        </w:rPr>
        <w:t>CAC RA</w:t>
      </w:r>
      <w:r w:rsidRPr="00D62A08">
        <w:rPr>
          <w:rFonts w:ascii="Arial" w:eastAsia="Times New Roman" w:hAnsi="Arial" w:cs="Times New Roman"/>
          <w:sz w:val="20"/>
        </w:rPr>
        <w:t>) to carry out the AR and issue the ARC in conjunction with the annual inspection.</w:t>
      </w:r>
    </w:p>
    <w:p w14:paraId="099CD9B0" w14:textId="77777777" w:rsidR="00906FFC" w:rsidRPr="00B83CD5" w:rsidRDefault="00D62A08" w:rsidP="00451903">
      <w:pPr>
        <w:spacing w:line="276" w:lineRule="auto"/>
        <w:jc w:val="both"/>
        <w:rPr>
          <w:rFonts w:ascii="Arial" w:eastAsia="Times New Roman" w:hAnsi="Arial" w:cs="Times New Roman"/>
          <w:sz w:val="20"/>
        </w:rPr>
      </w:pPr>
      <w:r w:rsidRPr="00D62A08">
        <w:rPr>
          <w:rFonts w:ascii="Arial" w:eastAsia="Times New Roman" w:hAnsi="Arial" w:cs="Times New Roman"/>
          <w:sz w:val="20"/>
        </w:rPr>
        <w:t>Point ML.A.901(b) gives a list of the different organisations or persons that are allowed to perform an AR; it does not presume that they have the obligation to accept a request to carry out an AR.</w:t>
      </w:r>
    </w:p>
    <w:p w14:paraId="6157EE55" w14:textId="77777777" w:rsidR="00B83CD5" w:rsidRPr="00B83CD5" w:rsidRDefault="00B83CD5" w:rsidP="00B83CD5">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921" w:name="ML.A.902_Validity_of_the_airworthiness_r"/>
      <w:bookmarkStart w:id="922" w:name="_bookmark389"/>
      <w:bookmarkStart w:id="923" w:name="_Toc153137554"/>
      <w:bookmarkEnd w:id="921"/>
      <w:bookmarkEnd w:id="922"/>
      <w:r w:rsidRPr="00B83CD5">
        <w:rPr>
          <w:rFonts w:ascii="Arial" w:eastAsia="Times New Roman" w:hAnsi="Arial" w:cs="Times New Roman"/>
          <w:b/>
          <w:iCs/>
          <w:color w:val="FFFFFF"/>
          <w:sz w:val="24"/>
        </w:rPr>
        <w:t>ML.A.902 Validity of the airworthiness review certificate</w:t>
      </w:r>
      <w:bookmarkEnd w:id="923"/>
    </w:p>
    <w:p w14:paraId="055F11F8" w14:textId="77777777" w:rsidR="00B83CD5" w:rsidRPr="00B83CD5" w:rsidRDefault="00B83CD5" w:rsidP="00B83CD5">
      <w:pPr>
        <w:pStyle w:val="ListParagraph"/>
        <w:numPr>
          <w:ilvl w:val="0"/>
          <w:numId w:val="327"/>
        </w:numPr>
        <w:tabs>
          <w:tab w:val="left" w:pos="706"/>
          <w:tab w:val="left" w:pos="707"/>
        </w:tabs>
        <w:jc w:val="both"/>
        <w:rPr>
          <w:rFonts w:ascii="Arial" w:hAnsi="Arial" w:cs="Arial"/>
          <w:sz w:val="20"/>
        </w:rPr>
      </w:pPr>
      <w:r w:rsidRPr="00B83CD5">
        <w:rPr>
          <w:rFonts w:ascii="Arial" w:hAnsi="Arial" w:cs="Arial"/>
          <w:sz w:val="20"/>
        </w:rPr>
        <w:t>An</w:t>
      </w:r>
      <w:r w:rsidRPr="00B83CD5">
        <w:rPr>
          <w:rFonts w:ascii="Arial" w:hAnsi="Arial" w:cs="Arial"/>
          <w:spacing w:val="-3"/>
          <w:sz w:val="20"/>
        </w:rPr>
        <w:t xml:space="preserve"> </w:t>
      </w:r>
      <w:r w:rsidRPr="00B83CD5">
        <w:rPr>
          <w:rFonts w:ascii="Arial" w:hAnsi="Arial" w:cs="Arial"/>
          <w:sz w:val="20"/>
        </w:rPr>
        <w:t>ARC</w:t>
      </w:r>
      <w:r w:rsidRPr="00B83CD5">
        <w:rPr>
          <w:rFonts w:ascii="Arial" w:hAnsi="Arial" w:cs="Arial"/>
          <w:spacing w:val="-1"/>
          <w:sz w:val="20"/>
        </w:rPr>
        <w:t xml:space="preserve"> </w:t>
      </w:r>
      <w:r w:rsidRPr="00B83CD5">
        <w:rPr>
          <w:rFonts w:ascii="Arial" w:hAnsi="Arial" w:cs="Arial"/>
          <w:sz w:val="20"/>
        </w:rPr>
        <w:t>becomes invalid</w:t>
      </w:r>
      <w:r w:rsidRPr="00B83CD5">
        <w:rPr>
          <w:rFonts w:ascii="Arial" w:hAnsi="Arial" w:cs="Arial"/>
          <w:spacing w:val="-1"/>
          <w:sz w:val="20"/>
        </w:rPr>
        <w:t xml:space="preserve"> </w:t>
      </w:r>
      <w:r w:rsidRPr="00B83CD5">
        <w:rPr>
          <w:rFonts w:ascii="Arial" w:hAnsi="Arial" w:cs="Arial"/>
          <w:sz w:val="20"/>
        </w:rPr>
        <w:t>if,</w:t>
      </w:r>
      <w:r w:rsidRPr="00B83CD5">
        <w:rPr>
          <w:rFonts w:ascii="Arial" w:hAnsi="Arial" w:cs="Arial"/>
          <w:spacing w:val="-3"/>
          <w:sz w:val="20"/>
        </w:rPr>
        <w:t xml:space="preserve"> </w:t>
      </w:r>
      <w:r w:rsidRPr="00B83CD5">
        <w:rPr>
          <w:rFonts w:ascii="Arial" w:hAnsi="Arial" w:cs="Arial"/>
          <w:sz w:val="20"/>
        </w:rPr>
        <w:t>alternatively:</w:t>
      </w:r>
    </w:p>
    <w:p w14:paraId="2B40F777" w14:textId="77777777" w:rsidR="00B83CD5" w:rsidRPr="00B83CD5" w:rsidRDefault="00B83CD5" w:rsidP="00B83CD5">
      <w:pPr>
        <w:pStyle w:val="ListParagraph"/>
        <w:numPr>
          <w:ilvl w:val="1"/>
          <w:numId w:val="327"/>
        </w:numPr>
        <w:tabs>
          <w:tab w:val="left" w:pos="1273"/>
          <w:tab w:val="left" w:pos="1274"/>
        </w:tabs>
        <w:spacing w:before="118"/>
        <w:ind w:hanging="568"/>
        <w:jc w:val="both"/>
        <w:rPr>
          <w:rFonts w:ascii="Arial" w:hAnsi="Arial" w:cs="Arial"/>
          <w:sz w:val="20"/>
        </w:rPr>
      </w:pPr>
      <w:r w:rsidRPr="00B83CD5">
        <w:rPr>
          <w:rFonts w:ascii="Arial" w:hAnsi="Arial" w:cs="Arial"/>
          <w:sz w:val="20"/>
        </w:rPr>
        <w:t>it</w:t>
      </w:r>
      <w:r w:rsidRPr="00B83CD5">
        <w:rPr>
          <w:rFonts w:ascii="Arial" w:hAnsi="Arial" w:cs="Arial"/>
          <w:spacing w:val="-1"/>
          <w:sz w:val="20"/>
        </w:rPr>
        <w:t xml:space="preserve"> </w:t>
      </w:r>
      <w:r w:rsidRPr="00B83CD5">
        <w:rPr>
          <w:rFonts w:ascii="Arial" w:hAnsi="Arial" w:cs="Arial"/>
          <w:sz w:val="20"/>
        </w:rPr>
        <w:t>is suspended</w:t>
      </w:r>
      <w:r w:rsidRPr="00B83CD5">
        <w:rPr>
          <w:rFonts w:ascii="Arial" w:hAnsi="Arial" w:cs="Arial"/>
          <w:spacing w:val="-3"/>
          <w:sz w:val="20"/>
        </w:rPr>
        <w:t xml:space="preserve"> </w:t>
      </w:r>
      <w:r w:rsidRPr="00B83CD5">
        <w:rPr>
          <w:rFonts w:ascii="Arial" w:hAnsi="Arial" w:cs="Arial"/>
          <w:sz w:val="20"/>
        </w:rPr>
        <w:t>or revoked;</w:t>
      </w:r>
    </w:p>
    <w:p w14:paraId="766255B0" w14:textId="77777777" w:rsidR="00B83CD5" w:rsidRPr="00B83CD5" w:rsidRDefault="00B83CD5" w:rsidP="00B83CD5">
      <w:pPr>
        <w:pStyle w:val="ListParagraph"/>
        <w:numPr>
          <w:ilvl w:val="1"/>
          <w:numId w:val="327"/>
        </w:numPr>
        <w:tabs>
          <w:tab w:val="left" w:pos="1273"/>
          <w:tab w:val="left" w:pos="1274"/>
        </w:tabs>
        <w:spacing w:before="121"/>
        <w:ind w:hanging="568"/>
        <w:jc w:val="both"/>
        <w:rPr>
          <w:rFonts w:ascii="Arial" w:hAnsi="Arial" w:cs="Arial"/>
          <w:sz w:val="20"/>
        </w:rPr>
      </w:pPr>
      <w:r w:rsidRPr="00B83CD5">
        <w:rPr>
          <w:rFonts w:ascii="Arial" w:hAnsi="Arial" w:cs="Arial"/>
          <w:sz w:val="20"/>
        </w:rPr>
        <w:t>the</w:t>
      </w:r>
      <w:r w:rsidRPr="00B83CD5">
        <w:rPr>
          <w:rFonts w:ascii="Arial" w:hAnsi="Arial" w:cs="Arial"/>
          <w:spacing w:val="-1"/>
          <w:sz w:val="20"/>
        </w:rPr>
        <w:t xml:space="preserve"> </w:t>
      </w:r>
      <w:r w:rsidRPr="00B83CD5">
        <w:rPr>
          <w:rFonts w:ascii="Arial" w:hAnsi="Arial" w:cs="Arial"/>
          <w:sz w:val="20"/>
        </w:rPr>
        <w:t>airworthiness certificate is suspended</w:t>
      </w:r>
      <w:r w:rsidRPr="00B83CD5">
        <w:rPr>
          <w:rFonts w:ascii="Arial" w:hAnsi="Arial" w:cs="Arial"/>
          <w:spacing w:val="-4"/>
          <w:sz w:val="20"/>
        </w:rPr>
        <w:t xml:space="preserve"> </w:t>
      </w:r>
      <w:r w:rsidRPr="00B83CD5">
        <w:rPr>
          <w:rFonts w:ascii="Arial" w:hAnsi="Arial" w:cs="Arial"/>
          <w:sz w:val="20"/>
        </w:rPr>
        <w:t>or</w:t>
      </w:r>
      <w:r w:rsidRPr="00B83CD5">
        <w:rPr>
          <w:rFonts w:ascii="Arial" w:hAnsi="Arial" w:cs="Arial"/>
          <w:spacing w:val="-3"/>
          <w:sz w:val="20"/>
        </w:rPr>
        <w:t xml:space="preserve"> </w:t>
      </w:r>
      <w:r w:rsidRPr="00B83CD5">
        <w:rPr>
          <w:rFonts w:ascii="Arial" w:hAnsi="Arial" w:cs="Arial"/>
          <w:sz w:val="20"/>
        </w:rPr>
        <w:t>revoked;</w:t>
      </w:r>
    </w:p>
    <w:p w14:paraId="357E2963" w14:textId="4140C9E3" w:rsidR="00B83CD5" w:rsidRPr="00B83CD5" w:rsidRDefault="00B83CD5" w:rsidP="00C71058">
      <w:pPr>
        <w:pStyle w:val="ListParagraph"/>
        <w:numPr>
          <w:ilvl w:val="1"/>
          <w:numId w:val="327"/>
        </w:numPr>
        <w:tabs>
          <w:tab w:val="left" w:pos="1273"/>
          <w:tab w:val="left" w:pos="1274"/>
        </w:tabs>
        <w:ind w:right="44" w:hanging="568"/>
        <w:jc w:val="both"/>
        <w:rPr>
          <w:rFonts w:ascii="Arial" w:hAnsi="Arial" w:cs="Arial"/>
          <w:sz w:val="20"/>
        </w:rPr>
      </w:pPr>
      <w:r w:rsidRPr="00B83CD5">
        <w:rPr>
          <w:rFonts w:ascii="Arial" w:hAnsi="Arial" w:cs="Arial"/>
          <w:sz w:val="20"/>
        </w:rPr>
        <w:t>the</w:t>
      </w:r>
      <w:r w:rsidRPr="00B83CD5">
        <w:rPr>
          <w:rFonts w:ascii="Arial" w:hAnsi="Arial" w:cs="Arial"/>
          <w:spacing w:val="-1"/>
          <w:sz w:val="20"/>
        </w:rPr>
        <w:t xml:space="preserve"> </w:t>
      </w:r>
      <w:r w:rsidRPr="00B83CD5">
        <w:rPr>
          <w:rFonts w:ascii="Arial" w:hAnsi="Arial" w:cs="Arial"/>
          <w:sz w:val="20"/>
        </w:rPr>
        <w:t>aircraft is</w:t>
      </w:r>
      <w:r w:rsidRPr="00B83CD5">
        <w:rPr>
          <w:rFonts w:ascii="Arial" w:hAnsi="Arial" w:cs="Arial"/>
          <w:spacing w:val="-1"/>
          <w:sz w:val="20"/>
        </w:rPr>
        <w:t xml:space="preserve"> </w:t>
      </w:r>
      <w:r w:rsidRPr="00B83CD5">
        <w:rPr>
          <w:rFonts w:ascii="Arial" w:hAnsi="Arial" w:cs="Arial"/>
          <w:sz w:val="20"/>
        </w:rPr>
        <w:t>not in</w:t>
      </w:r>
      <w:r w:rsidRPr="00B83CD5">
        <w:rPr>
          <w:rFonts w:ascii="Arial" w:hAnsi="Arial" w:cs="Arial"/>
          <w:spacing w:val="-3"/>
          <w:sz w:val="20"/>
        </w:rPr>
        <w:t xml:space="preserve"> </w:t>
      </w:r>
      <w:r w:rsidRPr="00B83CD5">
        <w:rPr>
          <w:rFonts w:ascii="Arial" w:hAnsi="Arial" w:cs="Arial"/>
          <w:sz w:val="20"/>
        </w:rPr>
        <w:t>the</w:t>
      </w:r>
      <w:r w:rsidRPr="00B83CD5">
        <w:rPr>
          <w:rFonts w:ascii="Arial" w:hAnsi="Arial" w:cs="Arial"/>
          <w:spacing w:val="-1"/>
          <w:sz w:val="20"/>
        </w:rPr>
        <w:t xml:space="preserve"> </w:t>
      </w:r>
      <w:r w:rsidRPr="00B83CD5">
        <w:rPr>
          <w:rFonts w:ascii="Arial" w:hAnsi="Arial" w:cs="Arial"/>
          <w:sz w:val="20"/>
        </w:rPr>
        <w:t>aircraft register</w:t>
      </w:r>
      <w:r w:rsidRPr="00B83CD5">
        <w:rPr>
          <w:rFonts w:ascii="Arial" w:hAnsi="Arial" w:cs="Arial"/>
          <w:spacing w:val="-2"/>
          <w:sz w:val="20"/>
        </w:rPr>
        <w:t xml:space="preserve"> </w:t>
      </w:r>
      <w:r w:rsidRPr="00B83CD5">
        <w:rPr>
          <w:rFonts w:ascii="Arial" w:hAnsi="Arial" w:cs="Arial"/>
          <w:sz w:val="20"/>
        </w:rPr>
        <w:t>of</w:t>
      </w:r>
      <w:r w:rsidRPr="00B83CD5">
        <w:rPr>
          <w:rFonts w:ascii="Arial" w:hAnsi="Arial" w:cs="Arial"/>
          <w:spacing w:val="-1"/>
          <w:sz w:val="20"/>
        </w:rPr>
        <w:t xml:space="preserve"> </w:t>
      </w:r>
      <w:r w:rsidR="00BE47FC">
        <w:rPr>
          <w:rFonts w:ascii="Arial" w:hAnsi="Arial" w:cs="Arial"/>
          <w:sz w:val="20"/>
        </w:rPr>
        <w:t>the Republic of Armenia</w:t>
      </w:r>
      <w:r w:rsidRPr="00B83CD5">
        <w:rPr>
          <w:rFonts w:ascii="Arial" w:hAnsi="Arial" w:cs="Arial"/>
          <w:sz w:val="20"/>
        </w:rPr>
        <w:t>;</w:t>
      </w:r>
    </w:p>
    <w:p w14:paraId="44069CE5" w14:textId="77777777" w:rsidR="00B83CD5" w:rsidRPr="00B83CD5" w:rsidRDefault="00B83CD5" w:rsidP="00C71058">
      <w:pPr>
        <w:pStyle w:val="ListParagraph"/>
        <w:numPr>
          <w:ilvl w:val="1"/>
          <w:numId w:val="327"/>
        </w:numPr>
        <w:tabs>
          <w:tab w:val="left" w:pos="1273"/>
          <w:tab w:val="left" w:pos="1274"/>
        </w:tabs>
        <w:ind w:right="44" w:hanging="568"/>
        <w:jc w:val="both"/>
        <w:rPr>
          <w:rFonts w:ascii="Arial" w:hAnsi="Arial" w:cs="Arial"/>
          <w:sz w:val="20"/>
        </w:rPr>
      </w:pPr>
      <w:r w:rsidRPr="00B83CD5">
        <w:rPr>
          <w:rFonts w:ascii="Arial" w:hAnsi="Arial" w:cs="Arial"/>
          <w:sz w:val="20"/>
        </w:rPr>
        <w:t>the type certificate under which the airworthiness certificate was issued is suspended or</w:t>
      </w:r>
      <w:r w:rsidRPr="00B83CD5">
        <w:rPr>
          <w:rFonts w:ascii="Arial" w:hAnsi="Arial" w:cs="Arial"/>
          <w:spacing w:val="-47"/>
          <w:sz w:val="20"/>
        </w:rPr>
        <w:t xml:space="preserve"> </w:t>
      </w:r>
      <w:r w:rsidRPr="00B83CD5">
        <w:rPr>
          <w:rFonts w:ascii="Arial" w:hAnsi="Arial" w:cs="Arial"/>
          <w:sz w:val="20"/>
        </w:rPr>
        <w:t>revoked.</w:t>
      </w:r>
    </w:p>
    <w:p w14:paraId="4CBDE68A" w14:textId="77777777" w:rsidR="00B83CD5" w:rsidRPr="00B83CD5" w:rsidRDefault="00B83CD5" w:rsidP="00C71058">
      <w:pPr>
        <w:pStyle w:val="ListParagraph"/>
        <w:numPr>
          <w:ilvl w:val="0"/>
          <w:numId w:val="327"/>
        </w:numPr>
        <w:tabs>
          <w:tab w:val="left" w:pos="706"/>
          <w:tab w:val="left" w:pos="707"/>
        </w:tabs>
        <w:spacing w:before="57"/>
        <w:ind w:right="44"/>
        <w:jc w:val="both"/>
        <w:rPr>
          <w:rFonts w:ascii="Arial" w:hAnsi="Arial" w:cs="Arial"/>
          <w:sz w:val="20"/>
        </w:rPr>
      </w:pPr>
      <w:r w:rsidRPr="00B83CD5">
        <w:rPr>
          <w:rFonts w:ascii="Arial" w:hAnsi="Arial" w:cs="Arial"/>
          <w:sz w:val="20"/>
        </w:rPr>
        <w:t>An</w:t>
      </w:r>
      <w:r w:rsidRPr="00B83CD5">
        <w:rPr>
          <w:rFonts w:ascii="Arial" w:hAnsi="Arial" w:cs="Arial"/>
          <w:spacing w:val="-3"/>
          <w:sz w:val="20"/>
        </w:rPr>
        <w:t xml:space="preserve"> </w:t>
      </w:r>
      <w:r w:rsidRPr="00B83CD5">
        <w:rPr>
          <w:rFonts w:ascii="Arial" w:hAnsi="Arial" w:cs="Arial"/>
          <w:sz w:val="20"/>
        </w:rPr>
        <w:t>aircraft</w:t>
      </w:r>
      <w:r w:rsidRPr="00B83CD5">
        <w:rPr>
          <w:rFonts w:ascii="Arial" w:hAnsi="Arial" w:cs="Arial"/>
          <w:spacing w:val="-2"/>
          <w:sz w:val="20"/>
        </w:rPr>
        <w:t xml:space="preserve"> </w:t>
      </w:r>
      <w:r w:rsidRPr="00B83CD5">
        <w:rPr>
          <w:rFonts w:ascii="Arial" w:hAnsi="Arial" w:cs="Arial"/>
          <w:sz w:val="20"/>
        </w:rPr>
        <w:t>shall not</w:t>
      </w:r>
      <w:r w:rsidRPr="00B83CD5">
        <w:rPr>
          <w:rFonts w:ascii="Arial" w:hAnsi="Arial" w:cs="Arial"/>
          <w:spacing w:val="-3"/>
          <w:sz w:val="20"/>
        </w:rPr>
        <w:t xml:space="preserve"> </w:t>
      </w:r>
      <w:r w:rsidRPr="00B83CD5">
        <w:rPr>
          <w:rFonts w:ascii="Arial" w:hAnsi="Arial" w:cs="Arial"/>
          <w:sz w:val="20"/>
        </w:rPr>
        <w:t>fly</w:t>
      </w:r>
      <w:r w:rsidRPr="00B83CD5">
        <w:rPr>
          <w:rFonts w:ascii="Arial" w:hAnsi="Arial" w:cs="Arial"/>
          <w:spacing w:val="-2"/>
          <w:sz w:val="20"/>
        </w:rPr>
        <w:t xml:space="preserve"> </w:t>
      </w:r>
      <w:r w:rsidRPr="00B83CD5">
        <w:rPr>
          <w:rFonts w:ascii="Arial" w:hAnsi="Arial" w:cs="Arial"/>
          <w:sz w:val="20"/>
        </w:rPr>
        <w:t>if</w:t>
      </w:r>
      <w:r w:rsidRPr="00B83CD5">
        <w:rPr>
          <w:rFonts w:ascii="Arial" w:hAnsi="Arial" w:cs="Arial"/>
          <w:spacing w:val="-2"/>
          <w:sz w:val="20"/>
        </w:rPr>
        <w:t xml:space="preserve"> </w:t>
      </w:r>
      <w:r w:rsidRPr="00B83CD5">
        <w:rPr>
          <w:rFonts w:ascii="Arial" w:hAnsi="Arial" w:cs="Arial"/>
          <w:sz w:val="20"/>
        </w:rPr>
        <w:t>the</w:t>
      </w:r>
      <w:r w:rsidRPr="00B83CD5">
        <w:rPr>
          <w:rFonts w:ascii="Arial" w:hAnsi="Arial" w:cs="Arial"/>
          <w:spacing w:val="-1"/>
          <w:sz w:val="20"/>
        </w:rPr>
        <w:t xml:space="preserve"> </w:t>
      </w:r>
      <w:r w:rsidRPr="00B83CD5">
        <w:rPr>
          <w:rFonts w:ascii="Arial" w:hAnsi="Arial" w:cs="Arial"/>
          <w:sz w:val="20"/>
        </w:rPr>
        <w:t>ARC</w:t>
      </w:r>
      <w:r w:rsidRPr="00B83CD5">
        <w:rPr>
          <w:rFonts w:ascii="Arial" w:hAnsi="Arial" w:cs="Arial"/>
          <w:spacing w:val="-3"/>
          <w:sz w:val="20"/>
        </w:rPr>
        <w:t xml:space="preserve"> </w:t>
      </w:r>
      <w:r w:rsidRPr="00B83CD5">
        <w:rPr>
          <w:rFonts w:ascii="Arial" w:hAnsi="Arial" w:cs="Arial"/>
          <w:sz w:val="20"/>
        </w:rPr>
        <w:t>is</w:t>
      </w:r>
      <w:r w:rsidRPr="00B83CD5">
        <w:rPr>
          <w:rFonts w:ascii="Arial" w:hAnsi="Arial" w:cs="Arial"/>
          <w:spacing w:val="-2"/>
          <w:sz w:val="20"/>
        </w:rPr>
        <w:t xml:space="preserve"> </w:t>
      </w:r>
      <w:r w:rsidRPr="00B83CD5">
        <w:rPr>
          <w:rFonts w:ascii="Arial" w:hAnsi="Arial" w:cs="Arial"/>
          <w:sz w:val="20"/>
        </w:rPr>
        <w:t>invalid</w:t>
      </w:r>
      <w:r w:rsidRPr="00B83CD5">
        <w:rPr>
          <w:rFonts w:ascii="Arial" w:hAnsi="Arial" w:cs="Arial"/>
          <w:spacing w:val="-5"/>
          <w:sz w:val="20"/>
        </w:rPr>
        <w:t xml:space="preserve"> </w:t>
      </w:r>
      <w:r w:rsidRPr="00B83CD5">
        <w:rPr>
          <w:rFonts w:ascii="Arial" w:hAnsi="Arial" w:cs="Arial"/>
          <w:sz w:val="20"/>
        </w:rPr>
        <w:t>or</w:t>
      </w:r>
      <w:r w:rsidRPr="00B83CD5">
        <w:rPr>
          <w:rFonts w:ascii="Arial" w:hAnsi="Arial" w:cs="Arial"/>
          <w:spacing w:val="-3"/>
          <w:sz w:val="20"/>
        </w:rPr>
        <w:t xml:space="preserve"> </w:t>
      </w:r>
      <w:r w:rsidRPr="00B83CD5">
        <w:rPr>
          <w:rFonts w:ascii="Arial" w:hAnsi="Arial" w:cs="Arial"/>
          <w:sz w:val="20"/>
        </w:rPr>
        <w:t>if any</w:t>
      </w:r>
      <w:r w:rsidRPr="00B83CD5">
        <w:rPr>
          <w:rFonts w:ascii="Arial" w:hAnsi="Arial" w:cs="Arial"/>
          <w:spacing w:val="-3"/>
          <w:sz w:val="20"/>
        </w:rPr>
        <w:t xml:space="preserve"> </w:t>
      </w:r>
      <w:r w:rsidRPr="00B83CD5">
        <w:rPr>
          <w:rFonts w:ascii="Arial" w:hAnsi="Arial" w:cs="Arial"/>
          <w:sz w:val="20"/>
        </w:rPr>
        <w:t>of</w:t>
      </w:r>
      <w:r w:rsidRPr="00B83CD5">
        <w:rPr>
          <w:rFonts w:ascii="Arial" w:hAnsi="Arial" w:cs="Arial"/>
          <w:spacing w:val="-2"/>
          <w:sz w:val="20"/>
        </w:rPr>
        <w:t xml:space="preserve"> </w:t>
      </w:r>
      <w:r w:rsidRPr="00B83CD5">
        <w:rPr>
          <w:rFonts w:ascii="Arial" w:hAnsi="Arial" w:cs="Arial"/>
          <w:sz w:val="20"/>
        </w:rPr>
        <w:t>the following</w:t>
      </w:r>
      <w:r w:rsidRPr="00B83CD5">
        <w:rPr>
          <w:rFonts w:ascii="Arial" w:hAnsi="Arial" w:cs="Arial"/>
          <w:spacing w:val="-3"/>
          <w:sz w:val="20"/>
        </w:rPr>
        <w:t xml:space="preserve"> </w:t>
      </w:r>
      <w:r w:rsidRPr="00B83CD5">
        <w:rPr>
          <w:rFonts w:ascii="Arial" w:hAnsi="Arial" w:cs="Arial"/>
          <w:sz w:val="20"/>
        </w:rPr>
        <w:t>circumstances are</w:t>
      </w:r>
      <w:r w:rsidRPr="00B83CD5">
        <w:rPr>
          <w:rFonts w:ascii="Arial" w:hAnsi="Arial" w:cs="Arial"/>
          <w:spacing w:val="-2"/>
          <w:sz w:val="20"/>
        </w:rPr>
        <w:t xml:space="preserve"> </w:t>
      </w:r>
      <w:r w:rsidRPr="00B83CD5">
        <w:rPr>
          <w:rFonts w:ascii="Arial" w:hAnsi="Arial" w:cs="Arial"/>
          <w:sz w:val="20"/>
        </w:rPr>
        <w:t>present:</w:t>
      </w:r>
    </w:p>
    <w:p w14:paraId="2C4224CF" w14:textId="77777777" w:rsidR="00B83CD5" w:rsidRPr="00B83CD5" w:rsidRDefault="00B83CD5" w:rsidP="00C71058">
      <w:pPr>
        <w:pStyle w:val="ListParagraph"/>
        <w:numPr>
          <w:ilvl w:val="1"/>
          <w:numId w:val="327"/>
        </w:numPr>
        <w:tabs>
          <w:tab w:val="left" w:pos="1273"/>
          <w:tab w:val="left" w:pos="1274"/>
        </w:tabs>
        <w:spacing w:before="122" w:line="237" w:lineRule="auto"/>
        <w:ind w:right="44"/>
        <w:jc w:val="both"/>
        <w:rPr>
          <w:rFonts w:ascii="Arial" w:hAnsi="Arial" w:cs="Arial"/>
          <w:sz w:val="20"/>
        </w:rPr>
      </w:pPr>
      <w:r w:rsidRPr="00B83CD5">
        <w:rPr>
          <w:rFonts w:ascii="Arial" w:hAnsi="Arial" w:cs="Arial"/>
          <w:sz w:val="20"/>
        </w:rPr>
        <w:t>the</w:t>
      </w:r>
      <w:r w:rsidRPr="00B83CD5">
        <w:rPr>
          <w:rFonts w:ascii="Arial" w:hAnsi="Arial" w:cs="Arial"/>
          <w:spacing w:val="4"/>
          <w:sz w:val="20"/>
        </w:rPr>
        <w:t xml:space="preserve"> </w:t>
      </w:r>
      <w:r w:rsidRPr="00B83CD5">
        <w:rPr>
          <w:rFonts w:ascii="Arial" w:hAnsi="Arial" w:cs="Arial"/>
          <w:sz w:val="20"/>
        </w:rPr>
        <w:t>continuing</w:t>
      </w:r>
      <w:r w:rsidRPr="00B83CD5">
        <w:rPr>
          <w:rFonts w:ascii="Arial" w:hAnsi="Arial" w:cs="Arial"/>
          <w:spacing w:val="3"/>
          <w:sz w:val="20"/>
        </w:rPr>
        <w:t xml:space="preserve"> </w:t>
      </w:r>
      <w:r w:rsidRPr="00B83CD5">
        <w:rPr>
          <w:rFonts w:ascii="Arial" w:hAnsi="Arial" w:cs="Arial"/>
          <w:sz w:val="20"/>
        </w:rPr>
        <w:t>airworthiness</w:t>
      </w:r>
      <w:r w:rsidRPr="00B83CD5">
        <w:rPr>
          <w:rFonts w:ascii="Arial" w:hAnsi="Arial" w:cs="Arial"/>
          <w:spacing w:val="2"/>
          <w:sz w:val="20"/>
        </w:rPr>
        <w:t xml:space="preserve"> </w:t>
      </w:r>
      <w:r w:rsidRPr="00B83CD5">
        <w:rPr>
          <w:rFonts w:ascii="Arial" w:hAnsi="Arial" w:cs="Arial"/>
          <w:sz w:val="20"/>
        </w:rPr>
        <w:t>of</w:t>
      </w:r>
      <w:r w:rsidRPr="00B83CD5">
        <w:rPr>
          <w:rFonts w:ascii="Arial" w:hAnsi="Arial" w:cs="Arial"/>
          <w:spacing w:val="1"/>
          <w:sz w:val="20"/>
        </w:rPr>
        <w:t xml:space="preserve"> </w:t>
      </w:r>
      <w:r w:rsidRPr="00B83CD5">
        <w:rPr>
          <w:rFonts w:ascii="Arial" w:hAnsi="Arial" w:cs="Arial"/>
          <w:sz w:val="20"/>
        </w:rPr>
        <w:t>the</w:t>
      </w:r>
      <w:r w:rsidRPr="00B83CD5">
        <w:rPr>
          <w:rFonts w:ascii="Arial" w:hAnsi="Arial" w:cs="Arial"/>
          <w:spacing w:val="2"/>
          <w:sz w:val="20"/>
        </w:rPr>
        <w:t xml:space="preserve"> </w:t>
      </w:r>
      <w:r w:rsidRPr="00B83CD5">
        <w:rPr>
          <w:rFonts w:ascii="Arial" w:hAnsi="Arial" w:cs="Arial"/>
          <w:sz w:val="20"/>
        </w:rPr>
        <w:t>aircraft or</w:t>
      </w:r>
      <w:r w:rsidRPr="00B83CD5">
        <w:rPr>
          <w:rFonts w:ascii="Arial" w:hAnsi="Arial" w:cs="Arial"/>
          <w:spacing w:val="1"/>
          <w:sz w:val="20"/>
        </w:rPr>
        <w:t xml:space="preserve"> </w:t>
      </w:r>
      <w:r w:rsidRPr="00B83CD5">
        <w:rPr>
          <w:rFonts w:ascii="Arial" w:hAnsi="Arial" w:cs="Arial"/>
          <w:sz w:val="20"/>
        </w:rPr>
        <w:t>any</w:t>
      </w:r>
      <w:r w:rsidRPr="00B83CD5">
        <w:rPr>
          <w:rFonts w:ascii="Arial" w:hAnsi="Arial" w:cs="Arial"/>
          <w:spacing w:val="2"/>
          <w:sz w:val="20"/>
        </w:rPr>
        <w:t xml:space="preserve"> </w:t>
      </w:r>
      <w:r w:rsidRPr="00B83CD5">
        <w:rPr>
          <w:rFonts w:ascii="Arial" w:hAnsi="Arial" w:cs="Arial"/>
          <w:sz w:val="20"/>
        </w:rPr>
        <w:t>component</w:t>
      </w:r>
      <w:r w:rsidRPr="00B83CD5">
        <w:rPr>
          <w:rFonts w:ascii="Arial" w:hAnsi="Arial" w:cs="Arial"/>
          <w:spacing w:val="5"/>
          <w:sz w:val="20"/>
        </w:rPr>
        <w:t xml:space="preserve"> </w:t>
      </w:r>
      <w:r w:rsidRPr="00B83CD5">
        <w:rPr>
          <w:rFonts w:ascii="Arial" w:hAnsi="Arial" w:cs="Arial"/>
          <w:sz w:val="20"/>
        </w:rPr>
        <w:t>fitted</w:t>
      </w:r>
      <w:r w:rsidRPr="00B83CD5">
        <w:rPr>
          <w:rFonts w:ascii="Arial" w:hAnsi="Arial" w:cs="Arial"/>
          <w:spacing w:val="1"/>
          <w:sz w:val="20"/>
        </w:rPr>
        <w:t xml:space="preserve"> </w:t>
      </w:r>
      <w:r w:rsidRPr="00B83CD5">
        <w:rPr>
          <w:rFonts w:ascii="Arial" w:hAnsi="Arial" w:cs="Arial"/>
          <w:sz w:val="20"/>
        </w:rPr>
        <w:t>to</w:t>
      </w:r>
      <w:r w:rsidRPr="00B83CD5">
        <w:rPr>
          <w:rFonts w:ascii="Arial" w:hAnsi="Arial" w:cs="Arial"/>
          <w:spacing w:val="2"/>
          <w:sz w:val="20"/>
        </w:rPr>
        <w:t xml:space="preserve"> </w:t>
      </w:r>
      <w:r w:rsidRPr="00B83CD5">
        <w:rPr>
          <w:rFonts w:ascii="Arial" w:hAnsi="Arial" w:cs="Arial"/>
          <w:sz w:val="20"/>
        </w:rPr>
        <w:t>the</w:t>
      </w:r>
      <w:r w:rsidRPr="00B83CD5">
        <w:rPr>
          <w:rFonts w:ascii="Arial" w:hAnsi="Arial" w:cs="Arial"/>
          <w:spacing w:val="3"/>
          <w:sz w:val="20"/>
        </w:rPr>
        <w:t xml:space="preserve"> </w:t>
      </w:r>
      <w:r w:rsidRPr="00B83CD5">
        <w:rPr>
          <w:rFonts w:ascii="Arial" w:hAnsi="Arial" w:cs="Arial"/>
          <w:sz w:val="20"/>
        </w:rPr>
        <w:t>aircraft</w:t>
      </w:r>
      <w:r w:rsidRPr="00B83CD5">
        <w:rPr>
          <w:rFonts w:ascii="Arial" w:hAnsi="Arial" w:cs="Arial"/>
          <w:spacing w:val="4"/>
          <w:sz w:val="20"/>
        </w:rPr>
        <w:t xml:space="preserve"> </w:t>
      </w:r>
      <w:r w:rsidRPr="00B83CD5">
        <w:rPr>
          <w:rFonts w:ascii="Arial" w:hAnsi="Arial" w:cs="Arial"/>
          <w:sz w:val="20"/>
        </w:rPr>
        <w:t>does</w:t>
      </w:r>
      <w:r w:rsidRPr="00B83CD5">
        <w:rPr>
          <w:rFonts w:ascii="Arial" w:hAnsi="Arial" w:cs="Arial"/>
          <w:spacing w:val="-47"/>
          <w:sz w:val="20"/>
        </w:rPr>
        <w:t xml:space="preserve"> </w:t>
      </w:r>
      <w:r w:rsidRPr="00B83CD5">
        <w:rPr>
          <w:rFonts w:ascii="Arial" w:hAnsi="Arial" w:cs="Arial"/>
          <w:sz w:val="20"/>
        </w:rPr>
        <w:t>not</w:t>
      </w:r>
      <w:r w:rsidRPr="00B83CD5">
        <w:rPr>
          <w:rFonts w:ascii="Arial" w:hAnsi="Arial" w:cs="Arial"/>
          <w:spacing w:val="-3"/>
          <w:sz w:val="20"/>
        </w:rPr>
        <w:t xml:space="preserve"> </w:t>
      </w:r>
      <w:r w:rsidRPr="00B83CD5">
        <w:rPr>
          <w:rFonts w:ascii="Arial" w:hAnsi="Arial" w:cs="Arial"/>
          <w:sz w:val="20"/>
        </w:rPr>
        <w:t>meet the</w:t>
      </w:r>
      <w:r w:rsidRPr="00B83CD5">
        <w:rPr>
          <w:rFonts w:ascii="Arial" w:hAnsi="Arial" w:cs="Arial"/>
          <w:spacing w:val="2"/>
          <w:sz w:val="20"/>
        </w:rPr>
        <w:t xml:space="preserve"> </w:t>
      </w:r>
      <w:r w:rsidRPr="00B83CD5">
        <w:rPr>
          <w:rFonts w:ascii="Arial" w:hAnsi="Arial" w:cs="Arial"/>
          <w:sz w:val="20"/>
        </w:rPr>
        <w:t>requirements</w:t>
      </w:r>
      <w:r w:rsidRPr="00B83CD5">
        <w:rPr>
          <w:rFonts w:ascii="Arial" w:hAnsi="Arial" w:cs="Arial"/>
          <w:spacing w:val="-2"/>
          <w:sz w:val="20"/>
        </w:rPr>
        <w:t xml:space="preserve"> </w:t>
      </w:r>
      <w:r w:rsidRPr="00B83CD5">
        <w:rPr>
          <w:rFonts w:ascii="Arial" w:hAnsi="Arial" w:cs="Arial"/>
          <w:sz w:val="20"/>
        </w:rPr>
        <w:t>of</w:t>
      </w:r>
      <w:r w:rsidRPr="00B83CD5">
        <w:rPr>
          <w:rFonts w:ascii="Arial" w:hAnsi="Arial" w:cs="Arial"/>
          <w:spacing w:val="-2"/>
          <w:sz w:val="20"/>
        </w:rPr>
        <w:t xml:space="preserve"> </w:t>
      </w:r>
      <w:r w:rsidRPr="00B83CD5">
        <w:rPr>
          <w:rFonts w:ascii="Arial" w:hAnsi="Arial" w:cs="Arial"/>
          <w:sz w:val="20"/>
        </w:rPr>
        <w:t>this Annex;</w:t>
      </w:r>
    </w:p>
    <w:p w14:paraId="008AE987" w14:textId="77777777" w:rsidR="00B83CD5" w:rsidRPr="00B83CD5" w:rsidRDefault="00B83CD5" w:rsidP="00C71058">
      <w:pPr>
        <w:pStyle w:val="ListParagraph"/>
        <w:numPr>
          <w:ilvl w:val="1"/>
          <w:numId w:val="327"/>
        </w:numPr>
        <w:tabs>
          <w:tab w:val="left" w:pos="1273"/>
          <w:tab w:val="left" w:pos="1274"/>
        </w:tabs>
        <w:spacing w:before="121"/>
        <w:ind w:right="44" w:hanging="568"/>
        <w:jc w:val="both"/>
        <w:rPr>
          <w:rFonts w:ascii="Arial" w:hAnsi="Arial" w:cs="Arial"/>
          <w:sz w:val="20"/>
        </w:rPr>
      </w:pPr>
      <w:r w:rsidRPr="00B83CD5">
        <w:rPr>
          <w:rFonts w:ascii="Arial" w:hAnsi="Arial" w:cs="Arial"/>
          <w:sz w:val="20"/>
        </w:rPr>
        <w:t>the</w:t>
      </w:r>
      <w:r w:rsidRPr="00B83CD5">
        <w:rPr>
          <w:rFonts w:ascii="Arial" w:hAnsi="Arial" w:cs="Arial"/>
          <w:spacing w:val="-3"/>
          <w:sz w:val="20"/>
        </w:rPr>
        <w:t xml:space="preserve"> </w:t>
      </w:r>
      <w:r w:rsidRPr="00B83CD5">
        <w:rPr>
          <w:rFonts w:ascii="Arial" w:hAnsi="Arial" w:cs="Arial"/>
          <w:sz w:val="20"/>
        </w:rPr>
        <w:t>aircraft</w:t>
      </w:r>
      <w:r w:rsidRPr="00B83CD5">
        <w:rPr>
          <w:rFonts w:ascii="Arial" w:hAnsi="Arial" w:cs="Arial"/>
          <w:spacing w:val="-2"/>
          <w:sz w:val="20"/>
        </w:rPr>
        <w:t xml:space="preserve"> </w:t>
      </w:r>
      <w:r w:rsidRPr="00B83CD5">
        <w:rPr>
          <w:rFonts w:ascii="Arial" w:hAnsi="Arial" w:cs="Arial"/>
          <w:sz w:val="20"/>
        </w:rPr>
        <w:t>does</w:t>
      </w:r>
      <w:r w:rsidRPr="00B83CD5">
        <w:rPr>
          <w:rFonts w:ascii="Arial" w:hAnsi="Arial" w:cs="Arial"/>
          <w:spacing w:val="-1"/>
          <w:sz w:val="20"/>
        </w:rPr>
        <w:t xml:space="preserve"> </w:t>
      </w:r>
      <w:r w:rsidRPr="00B83CD5">
        <w:rPr>
          <w:rFonts w:ascii="Arial" w:hAnsi="Arial" w:cs="Arial"/>
          <w:sz w:val="20"/>
        </w:rPr>
        <w:t>not</w:t>
      </w:r>
      <w:r w:rsidRPr="00B83CD5">
        <w:rPr>
          <w:rFonts w:ascii="Arial" w:hAnsi="Arial" w:cs="Arial"/>
          <w:spacing w:val="-2"/>
          <w:sz w:val="20"/>
        </w:rPr>
        <w:t xml:space="preserve"> </w:t>
      </w:r>
      <w:r w:rsidRPr="00B83CD5">
        <w:rPr>
          <w:rFonts w:ascii="Arial" w:hAnsi="Arial" w:cs="Arial"/>
          <w:sz w:val="20"/>
        </w:rPr>
        <w:t>remain</w:t>
      </w:r>
      <w:r w:rsidRPr="00B83CD5">
        <w:rPr>
          <w:rFonts w:ascii="Arial" w:hAnsi="Arial" w:cs="Arial"/>
          <w:spacing w:val="-5"/>
          <w:sz w:val="20"/>
        </w:rPr>
        <w:t xml:space="preserve"> </w:t>
      </w:r>
      <w:r w:rsidRPr="00B83CD5">
        <w:rPr>
          <w:rFonts w:ascii="Arial" w:hAnsi="Arial" w:cs="Arial"/>
          <w:sz w:val="20"/>
        </w:rPr>
        <w:t>in</w:t>
      </w:r>
      <w:r w:rsidRPr="00B83CD5">
        <w:rPr>
          <w:rFonts w:ascii="Arial" w:hAnsi="Arial" w:cs="Arial"/>
          <w:spacing w:val="-3"/>
          <w:sz w:val="20"/>
        </w:rPr>
        <w:t xml:space="preserve"> </w:t>
      </w:r>
      <w:r w:rsidRPr="00B83CD5">
        <w:rPr>
          <w:rFonts w:ascii="Arial" w:hAnsi="Arial" w:cs="Arial"/>
          <w:sz w:val="20"/>
        </w:rPr>
        <w:t>conformity</w:t>
      </w:r>
      <w:r w:rsidRPr="00B83CD5">
        <w:rPr>
          <w:rFonts w:ascii="Arial" w:hAnsi="Arial" w:cs="Arial"/>
          <w:spacing w:val="-1"/>
          <w:sz w:val="20"/>
        </w:rPr>
        <w:t xml:space="preserve"> </w:t>
      </w:r>
      <w:r w:rsidRPr="00B83CD5">
        <w:rPr>
          <w:rFonts w:ascii="Arial" w:hAnsi="Arial" w:cs="Arial"/>
          <w:sz w:val="20"/>
        </w:rPr>
        <w:t>with</w:t>
      </w:r>
      <w:r w:rsidRPr="00B83CD5">
        <w:rPr>
          <w:rFonts w:ascii="Arial" w:hAnsi="Arial" w:cs="Arial"/>
          <w:spacing w:val="-3"/>
          <w:sz w:val="20"/>
        </w:rPr>
        <w:t xml:space="preserve"> </w:t>
      </w:r>
      <w:r w:rsidRPr="00B83CD5">
        <w:rPr>
          <w:rFonts w:ascii="Arial" w:hAnsi="Arial" w:cs="Arial"/>
          <w:sz w:val="20"/>
        </w:rPr>
        <w:t>the</w:t>
      </w:r>
      <w:r w:rsidRPr="00B83CD5">
        <w:rPr>
          <w:rFonts w:ascii="Arial" w:hAnsi="Arial" w:cs="Arial"/>
          <w:spacing w:val="-3"/>
          <w:sz w:val="20"/>
        </w:rPr>
        <w:t xml:space="preserve"> </w:t>
      </w:r>
      <w:r w:rsidRPr="00B83CD5">
        <w:rPr>
          <w:rFonts w:ascii="Arial" w:hAnsi="Arial" w:cs="Arial"/>
          <w:sz w:val="20"/>
        </w:rPr>
        <w:t>type</w:t>
      </w:r>
      <w:r w:rsidRPr="00B83CD5">
        <w:rPr>
          <w:rFonts w:ascii="Arial" w:hAnsi="Arial" w:cs="Arial"/>
          <w:spacing w:val="-2"/>
          <w:sz w:val="20"/>
        </w:rPr>
        <w:t xml:space="preserve"> </w:t>
      </w:r>
      <w:r w:rsidRPr="00B83CD5">
        <w:rPr>
          <w:rFonts w:ascii="Arial" w:hAnsi="Arial" w:cs="Arial"/>
          <w:sz w:val="20"/>
        </w:rPr>
        <w:t>design</w:t>
      </w:r>
      <w:r w:rsidRPr="00B83CD5">
        <w:rPr>
          <w:rFonts w:ascii="Arial" w:hAnsi="Arial" w:cs="Arial"/>
          <w:spacing w:val="-3"/>
          <w:sz w:val="20"/>
        </w:rPr>
        <w:t xml:space="preserve"> </w:t>
      </w:r>
      <w:r w:rsidRPr="00B83CD5">
        <w:rPr>
          <w:rFonts w:ascii="Arial" w:hAnsi="Arial" w:cs="Arial"/>
          <w:sz w:val="20"/>
        </w:rPr>
        <w:t>approved</w:t>
      </w:r>
      <w:r w:rsidRPr="00B83CD5">
        <w:rPr>
          <w:rFonts w:ascii="Arial" w:hAnsi="Arial" w:cs="Arial"/>
          <w:spacing w:val="-2"/>
          <w:sz w:val="20"/>
        </w:rPr>
        <w:t xml:space="preserve"> </w:t>
      </w:r>
      <w:r w:rsidRPr="00B83CD5">
        <w:rPr>
          <w:rFonts w:ascii="Arial" w:hAnsi="Arial" w:cs="Arial"/>
          <w:sz w:val="20"/>
        </w:rPr>
        <w:t>by</w:t>
      </w:r>
      <w:r w:rsidRPr="00B83CD5">
        <w:rPr>
          <w:rFonts w:ascii="Arial" w:hAnsi="Arial" w:cs="Arial"/>
          <w:spacing w:val="-3"/>
          <w:sz w:val="20"/>
        </w:rPr>
        <w:t xml:space="preserve"> </w:t>
      </w:r>
      <w:r w:rsidRPr="00B83CD5">
        <w:rPr>
          <w:rFonts w:ascii="Arial" w:hAnsi="Arial" w:cs="Arial"/>
          <w:sz w:val="20"/>
        </w:rPr>
        <w:t>the</w:t>
      </w:r>
      <w:r w:rsidRPr="00B83CD5">
        <w:rPr>
          <w:rFonts w:ascii="Arial" w:hAnsi="Arial" w:cs="Arial"/>
          <w:spacing w:val="-2"/>
          <w:sz w:val="20"/>
        </w:rPr>
        <w:t xml:space="preserve"> </w:t>
      </w:r>
      <w:r w:rsidRPr="00B83CD5">
        <w:rPr>
          <w:rFonts w:ascii="Arial" w:hAnsi="Arial" w:cs="Arial"/>
          <w:sz w:val="20"/>
        </w:rPr>
        <w:t>Agency;</w:t>
      </w:r>
    </w:p>
    <w:p w14:paraId="6C2D88BA" w14:textId="77777777" w:rsidR="00B83CD5" w:rsidRPr="00B83CD5" w:rsidRDefault="00B83CD5" w:rsidP="00C71058">
      <w:pPr>
        <w:pStyle w:val="ListParagraph"/>
        <w:numPr>
          <w:ilvl w:val="1"/>
          <w:numId w:val="327"/>
        </w:numPr>
        <w:tabs>
          <w:tab w:val="left" w:pos="1273"/>
          <w:tab w:val="left" w:pos="1274"/>
        </w:tabs>
        <w:spacing w:before="121"/>
        <w:ind w:right="44"/>
        <w:jc w:val="both"/>
        <w:rPr>
          <w:rFonts w:ascii="Arial" w:hAnsi="Arial" w:cs="Arial"/>
          <w:sz w:val="20"/>
        </w:rPr>
      </w:pPr>
      <w:r w:rsidRPr="00B83CD5">
        <w:rPr>
          <w:rFonts w:ascii="Arial" w:hAnsi="Arial" w:cs="Arial"/>
          <w:sz w:val="20"/>
        </w:rPr>
        <w:t>the</w:t>
      </w:r>
      <w:r w:rsidRPr="00B83CD5">
        <w:rPr>
          <w:rFonts w:ascii="Arial" w:hAnsi="Arial" w:cs="Arial"/>
          <w:spacing w:val="10"/>
          <w:sz w:val="20"/>
        </w:rPr>
        <w:t xml:space="preserve"> </w:t>
      </w:r>
      <w:r w:rsidRPr="00B83CD5">
        <w:rPr>
          <w:rFonts w:ascii="Arial" w:hAnsi="Arial" w:cs="Arial"/>
          <w:sz w:val="20"/>
        </w:rPr>
        <w:t>aircraft</w:t>
      </w:r>
      <w:r w:rsidRPr="00B83CD5">
        <w:rPr>
          <w:rFonts w:ascii="Arial" w:hAnsi="Arial" w:cs="Arial"/>
          <w:spacing w:val="8"/>
          <w:sz w:val="20"/>
        </w:rPr>
        <w:t xml:space="preserve"> </w:t>
      </w:r>
      <w:r w:rsidRPr="00B83CD5">
        <w:rPr>
          <w:rFonts w:ascii="Arial" w:hAnsi="Arial" w:cs="Arial"/>
          <w:sz w:val="20"/>
        </w:rPr>
        <w:t>has</w:t>
      </w:r>
      <w:r w:rsidRPr="00B83CD5">
        <w:rPr>
          <w:rFonts w:ascii="Arial" w:hAnsi="Arial" w:cs="Arial"/>
          <w:spacing w:val="11"/>
          <w:sz w:val="20"/>
        </w:rPr>
        <w:t xml:space="preserve"> </w:t>
      </w:r>
      <w:r w:rsidRPr="00B83CD5">
        <w:rPr>
          <w:rFonts w:ascii="Arial" w:hAnsi="Arial" w:cs="Arial"/>
          <w:sz w:val="20"/>
        </w:rPr>
        <w:t>been</w:t>
      </w:r>
      <w:r w:rsidRPr="00B83CD5">
        <w:rPr>
          <w:rFonts w:ascii="Arial" w:hAnsi="Arial" w:cs="Arial"/>
          <w:spacing w:val="7"/>
          <w:sz w:val="20"/>
        </w:rPr>
        <w:t xml:space="preserve"> </w:t>
      </w:r>
      <w:r w:rsidRPr="00B83CD5">
        <w:rPr>
          <w:rFonts w:ascii="Arial" w:hAnsi="Arial" w:cs="Arial"/>
          <w:sz w:val="20"/>
        </w:rPr>
        <w:t>operated</w:t>
      </w:r>
      <w:r w:rsidRPr="00B83CD5">
        <w:rPr>
          <w:rFonts w:ascii="Arial" w:hAnsi="Arial" w:cs="Arial"/>
          <w:spacing w:val="9"/>
          <w:sz w:val="20"/>
        </w:rPr>
        <w:t xml:space="preserve"> </w:t>
      </w:r>
      <w:r w:rsidRPr="00B83CD5">
        <w:rPr>
          <w:rFonts w:ascii="Arial" w:hAnsi="Arial" w:cs="Arial"/>
          <w:sz w:val="20"/>
        </w:rPr>
        <w:t>beyond</w:t>
      </w:r>
      <w:r w:rsidRPr="00B83CD5">
        <w:rPr>
          <w:rFonts w:ascii="Arial" w:hAnsi="Arial" w:cs="Arial"/>
          <w:spacing w:val="10"/>
          <w:sz w:val="20"/>
        </w:rPr>
        <w:t xml:space="preserve"> </w:t>
      </w:r>
      <w:r w:rsidRPr="00B83CD5">
        <w:rPr>
          <w:rFonts w:ascii="Arial" w:hAnsi="Arial" w:cs="Arial"/>
          <w:sz w:val="20"/>
        </w:rPr>
        <w:t>the</w:t>
      </w:r>
      <w:r w:rsidRPr="00B83CD5">
        <w:rPr>
          <w:rFonts w:ascii="Arial" w:hAnsi="Arial" w:cs="Arial"/>
          <w:spacing w:val="11"/>
          <w:sz w:val="20"/>
        </w:rPr>
        <w:t xml:space="preserve"> </w:t>
      </w:r>
      <w:r w:rsidRPr="00B83CD5">
        <w:rPr>
          <w:rFonts w:ascii="Arial" w:hAnsi="Arial" w:cs="Arial"/>
          <w:sz w:val="20"/>
        </w:rPr>
        <w:t>limitations</w:t>
      </w:r>
      <w:r w:rsidRPr="00B83CD5">
        <w:rPr>
          <w:rFonts w:ascii="Arial" w:hAnsi="Arial" w:cs="Arial"/>
          <w:spacing w:val="10"/>
          <w:sz w:val="20"/>
        </w:rPr>
        <w:t xml:space="preserve"> </w:t>
      </w:r>
      <w:r w:rsidRPr="00B83CD5">
        <w:rPr>
          <w:rFonts w:ascii="Arial" w:hAnsi="Arial" w:cs="Arial"/>
          <w:sz w:val="20"/>
        </w:rPr>
        <w:t>of</w:t>
      </w:r>
      <w:r w:rsidRPr="00B83CD5">
        <w:rPr>
          <w:rFonts w:ascii="Arial" w:hAnsi="Arial" w:cs="Arial"/>
          <w:spacing w:val="11"/>
          <w:sz w:val="20"/>
        </w:rPr>
        <w:t xml:space="preserve"> </w:t>
      </w:r>
      <w:r w:rsidRPr="00B83CD5">
        <w:rPr>
          <w:rFonts w:ascii="Arial" w:hAnsi="Arial" w:cs="Arial"/>
          <w:sz w:val="20"/>
        </w:rPr>
        <w:t>the</w:t>
      </w:r>
      <w:r w:rsidRPr="00B83CD5">
        <w:rPr>
          <w:rFonts w:ascii="Arial" w:hAnsi="Arial" w:cs="Arial"/>
          <w:spacing w:val="11"/>
          <w:sz w:val="20"/>
        </w:rPr>
        <w:t xml:space="preserve"> </w:t>
      </w:r>
      <w:r w:rsidRPr="00B83CD5">
        <w:rPr>
          <w:rFonts w:ascii="Arial" w:hAnsi="Arial" w:cs="Arial"/>
          <w:sz w:val="20"/>
        </w:rPr>
        <w:t>approved</w:t>
      </w:r>
      <w:r w:rsidRPr="00B83CD5">
        <w:rPr>
          <w:rFonts w:ascii="Arial" w:hAnsi="Arial" w:cs="Arial"/>
          <w:spacing w:val="10"/>
          <w:sz w:val="20"/>
        </w:rPr>
        <w:t xml:space="preserve"> </w:t>
      </w:r>
      <w:r w:rsidRPr="00B83CD5">
        <w:rPr>
          <w:rFonts w:ascii="Arial" w:hAnsi="Arial" w:cs="Arial"/>
          <w:sz w:val="20"/>
        </w:rPr>
        <w:t>flight</w:t>
      </w:r>
      <w:r w:rsidRPr="00B83CD5">
        <w:rPr>
          <w:rFonts w:ascii="Arial" w:hAnsi="Arial" w:cs="Arial"/>
          <w:spacing w:val="7"/>
          <w:sz w:val="20"/>
        </w:rPr>
        <w:t xml:space="preserve"> </w:t>
      </w:r>
      <w:r w:rsidRPr="00B83CD5">
        <w:rPr>
          <w:rFonts w:ascii="Arial" w:hAnsi="Arial" w:cs="Arial"/>
          <w:sz w:val="20"/>
        </w:rPr>
        <w:t>manual</w:t>
      </w:r>
      <w:r w:rsidRPr="00B83CD5">
        <w:rPr>
          <w:rFonts w:ascii="Arial" w:hAnsi="Arial" w:cs="Arial"/>
          <w:spacing w:val="9"/>
          <w:sz w:val="20"/>
        </w:rPr>
        <w:t xml:space="preserve"> </w:t>
      </w:r>
      <w:r w:rsidRPr="00B83CD5">
        <w:rPr>
          <w:rFonts w:ascii="Arial" w:hAnsi="Arial" w:cs="Arial"/>
          <w:sz w:val="20"/>
        </w:rPr>
        <w:t>or</w:t>
      </w:r>
      <w:r w:rsidRPr="00B83CD5">
        <w:rPr>
          <w:rFonts w:ascii="Arial" w:hAnsi="Arial" w:cs="Arial"/>
          <w:spacing w:val="-47"/>
          <w:sz w:val="20"/>
        </w:rPr>
        <w:t xml:space="preserve"> </w:t>
      </w:r>
      <w:r w:rsidRPr="00B83CD5">
        <w:rPr>
          <w:rFonts w:ascii="Arial" w:hAnsi="Arial" w:cs="Arial"/>
          <w:sz w:val="20"/>
        </w:rPr>
        <w:t>airworthiness certificate,</w:t>
      </w:r>
      <w:r w:rsidRPr="00B83CD5">
        <w:rPr>
          <w:rFonts w:ascii="Arial" w:hAnsi="Arial" w:cs="Arial"/>
          <w:spacing w:val="-2"/>
          <w:sz w:val="20"/>
        </w:rPr>
        <w:t xml:space="preserve"> </w:t>
      </w:r>
      <w:r w:rsidRPr="00B83CD5">
        <w:rPr>
          <w:rFonts w:ascii="Arial" w:hAnsi="Arial" w:cs="Arial"/>
          <w:sz w:val="20"/>
        </w:rPr>
        <w:t>without appropriate</w:t>
      </w:r>
      <w:r w:rsidRPr="00B83CD5">
        <w:rPr>
          <w:rFonts w:ascii="Arial" w:hAnsi="Arial" w:cs="Arial"/>
          <w:spacing w:val="-2"/>
          <w:sz w:val="20"/>
        </w:rPr>
        <w:t xml:space="preserve"> </w:t>
      </w:r>
      <w:r w:rsidRPr="00B83CD5">
        <w:rPr>
          <w:rFonts w:ascii="Arial" w:hAnsi="Arial" w:cs="Arial"/>
          <w:sz w:val="20"/>
        </w:rPr>
        <w:t>action</w:t>
      </w:r>
      <w:r w:rsidRPr="00B83CD5">
        <w:rPr>
          <w:rFonts w:ascii="Arial" w:hAnsi="Arial" w:cs="Arial"/>
          <w:spacing w:val="-1"/>
          <w:sz w:val="20"/>
        </w:rPr>
        <w:t xml:space="preserve"> </w:t>
      </w:r>
      <w:r w:rsidRPr="00B83CD5">
        <w:rPr>
          <w:rFonts w:ascii="Arial" w:hAnsi="Arial" w:cs="Arial"/>
          <w:sz w:val="20"/>
        </w:rPr>
        <w:t>being</w:t>
      </w:r>
      <w:r w:rsidRPr="00B83CD5">
        <w:rPr>
          <w:rFonts w:ascii="Arial" w:hAnsi="Arial" w:cs="Arial"/>
          <w:spacing w:val="-2"/>
          <w:sz w:val="20"/>
        </w:rPr>
        <w:t xml:space="preserve"> </w:t>
      </w:r>
      <w:r w:rsidRPr="00B83CD5">
        <w:rPr>
          <w:rFonts w:ascii="Arial" w:hAnsi="Arial" w:cs="Arial"/>
          <w:sz w:val="20"/>
        </w:rPr>
        <w:t>taken;</w:t>
      </w:r>
    </w:p>
    <w:p w14:paraId="29E3399D" w14:textId="77777777" w:rsidR="00B83CD5" w:rsidRPr="00B83CD5" w:rsidRDefault="00B83CD5" w:rsidP="00C71058">
      <w:pPr>
        <w:pStyle w:val="ListParagraph"/>
        <w:numPr>
          <w:ilvl w:val="1"/>
          <w:numId w:val="327"/>
        </w:numPr>
        <w:tabs>
          <w:tab w:val="left" w:pos="1273"/>
          <w:tab w:val="left" w:pos="1274"/>
        </w:tabs>
        <w:ind w:right="44"/>
        <w:jc w:val="both"/>
        <w:rPr>
          <w:rFonts w:ascii="Arial" w:hAnsi="Arial" w:cs="Arial"/>
          <w:sz w:val="20"/>
        </w:rPr>
      </w:pPr>
      <w:r w:rsidRPr="00B83CD5">
        <w:rPr>
          <w:rFonts w:ascii="Arial" w:hAnsi="Arial" w:cs="Arial"/>
          <w:sz w:val="20"/>
        </w:rPr>
        <w:t>the aircraft has been involved in an accident or incident that affects the airworthiness of</w:t>
      </w:r>
      <w:r w:rsidRPr="00B83CD5">
        <w:rPr>
          <w:rFonts w:ascii="Arial" w:hAnsi="Arial" w:cs="Arial"/>
          <w:spacing w:val="-47"/>
          <w:sz w:val="20"/>
        </w:rPr>
        <w:t xml:space="preserve"> </w:t>
      </w:r>
      <w:r w:rsidRPr="00B83CD5">
        <w:rPr>
          <w:rFonts w:ascii="Arial" w:hAnsi="Arial" w:cs="Arial"/>
          <w:sz w:val="20"/>
        </w:rPr>
        <w:t>the</w:t>
      </w:r>
      <w:r w:rsidRPr="00B83CD5">
        <w:rPr>
          <w:rFonts w:ascii="Arial" w:hAnsi="Arial" w:cs="Arial"/>
          <w:spacing w:val="-1"/>
          <w:sz w:val="20"/>
        </w:rPr>
        <w:t xml:space="preserve"> </w:t>
      </w:r>
      <w:r w:rsidRPr="00B83CD5">
        <w:rPr>
          <w:rFonts w:ascii="Arial" w:hAnsi="Arial" w:cs="Arial"/>
          <w:sz w:val="20"/>
        </w:rPr>
        <w:t>aircraft,</w:t>
      </w:r>
      <w:r w:rsidRPr="00B83CD5">
        <w:rPr>
          <w:rFonts w:ascii="Arial" w:hAnsi="Arial" w:cs="Arial"/>
          <w:spacing w:val="-1"/>
          <w:sz w:val="20"/>
        </w:rPr>
        <w:t xml:space="preserve"> </w:t>
      </w:r>
      <w:r w:rsidRPr="00B83CD5">
        <w:rPr>
          <w:rFonts w:ascii="Arial" w:hAnsi="Arial" w:cs="Arial"/>
          <w:sz w:val="20"/>
        </w:rPr>
        <w:t>without</w:t>
      </w:r>
      <w:r w:rsidRPr="00B83CD5">
        <w:rPr>
          <w:rFonts w:ascii="Arial" w:hAnsi="Arial" w:cs="Arial"/>
          <w:spacing w:val="-2"/>
          <w:sz w:val="20"/>
        </w:rPr>
        <w:t xml:space="preserve"> </w:t>
      </w:r>
      <w:r w:rsidRPr="00B83CD5">
        <w:rPr>
          <w:rFonts w:ascii="Arial" w:hAnsi="Arial" w:cs="Arial"/>
          <w:sz w:val="20"/>
        </w:rPr>
        <w:t>subsequent</w:t>
      </w:r>
      <w:r w:rsidRPr="00B83CD5">
        <w:rPr>
          <w:rFonts w:ascii="Arial" w:hAnsi="Arial" w:cs="Arial"/>
          <w:spacing w:val="-1"/>
          <w:sz w:val="20"/>
        </w:rPr>
        <w:t xml:space="preserve"> </w:t>
      </w:r>
      <w:r w:rsidRPr="00B83CD5">
        <w:rPr>
          <w:rFonts w:ascii="Arial" w:hAnsi="Arial" w:cs="Arial"/>
          <w:sz w:val="20"/>
        </w:rPr>
        <w:t>appropriate</w:t>
      </w:r>
      <w:r w:rsidRPr="00B83CD5">
        <w:rPr>
          <w:rFonts w:ascii="Arial" w:hAnsi="Arial" w:cs="Arial"/>
          <w:spacing w:val="1"/>
          <w:sz w:val="20"/>
        </w:rPr>
        <w:t xml:space="preserve"> </w:t>
      </w:r>
      <w:r w:rsidRPr="00B83CD5">
        <w:rPr>
          <w:rFonts w:ascii="Arial" w:hAnsi="Arial" w:cs="Arial"/>
          <w:sz w:val="20"/>
        </w:rPr>
        <w:t>action</w:t>
      </w:r>
      <w:r w:rsidRPr="00B83CD5">
        <w:rPr>
          <w:rFonts w:ascii="Arial" w:hAnsi="Arial" w:cs="Arial"/>
          <w:spacing w:val="-2"/>
          <w:sz w:val="20"/>
        </w:rPr>
        <w:t xml:space="preserve"> </w:t>
      </w:r>
      <w:r w:rsidRPr="00B83CD5">
        <w:rPr>
          <w:rFonts w:ascii="Arial" w:hAnsi="Arial" w:cs="Arial"/>
          <w:sz w:val="20"/>
        </w:rPr>
        <w:t>to</w:t>
      </w:r>
      <w:r w:rsidRPr="00B83CD5">
        <w:rPr>
          <w:rFonts w:ascii="Arial" w:hAnsi="Arial" w:cs="Arial"/>
          <w:spacing w:val="1"/>
          <w:sz w:val="20"/>
        </w:rPr>
        <w:t xml:space="preserve"> </w:t>
      </w:r>
      <w:r w:rsidRPr="00B83CD5">
        <w:rPr>
          <w:rFonts w:ascii="Arial" w:hAnsi="Arial" w:cs="Arial"/>
          <w:sz w:val="20"/>
        </w:rPr>
        <w:t>restore airworthiness;</w:t>
      </w:r>
    </w:p>
    <w:p w14:paraId="0D260C96" w14:textId="1225479A" w:rsidR="00B83CD5" w:rsidRPr="00B83CD5" w:rsidRDefault="00B83CD5" w:rsidP="00C71058">
      <w:pPr>
        <w:pStyle w:val="ListParagraph"/>
        <w:numPr>
          <w:ilvl w:val="1"/>
          <w:numId w:val="327"/>
        </w:numPr>
        <w:tabs>
          <w:tab w:val="left" w:pos="1273"/>
          <w:tab w:val="left" w:pos="1274"/>
        </w:tabs>
        <w:spacing w:before="121"/>
        <w:ind w:right="44"/>
        <w:jc w:val="both"/>
        <w:rPr>
          <w:rFonts w:ascii="Arial" w:hAnsi="Arial" w:cs="Arial"/>
          <w:sz w:val="20"/>
        </w:rPr>
      </w:pPr>
      <w:r w:rsidRPr="00B83CD5">
        <w:rPr>
          <w:rFonts w:ascii="Arial" w:hAnsi="Arial" w:cs="Arial"/>
          <w:sz w:val="20"/>
        </w:rPr>
        <w:t>a</w:t>
      </w:r>
      <w:r w:rsidRPr="00B83CD5">
        <w:rPr>
          <w:rFonts w:ascii="Arial" w:hAnsi="Arial" w:cs="Arial"/>
          <w:spacing w:val="13"/>
          <w:sz w:val="20"/>
        </w:rPr>
        <w:t xml:space="preserve"> </w:t>
      </w:r>
      <w:r w:rsidRPr="00B83CD5">
        <w:rPr>
          <w:rFonts w:ascii="Arial" w:hAnsi="Arial" w:cs="Arial"/>
          <w:sz w:val="20"/>
        </w:rPr>
        <w:t>modification</w:t>
      </w:r>
      <w:r w:rsidRPr="00B83CD5">
        <w:rPr>
          <w:rFonts w:ascii="Arial" w:hAnsi="Arial" w:cs="Arial"/>
          <w:spacing w:val="11"/>
          <w:sz w:val="20"/>
        </w:rPr>
        <w:t xml:space="preserve"> </w:t>
      </w:r>
      <w:r w:rsidRPr="00B83CD5">
        <w:rPr>
          <w:rFonts w:ascii="Arial" w:hAnsi="Arial" w:cs="Arial"/>
          <w:sz w:val="20"/>
        </w:rPr>
        <w:t>or</w:t>
      </w:r>
      <w:r w:rsidRPr="00B83CD5">
        <w:rPr>
          <w:rFonts w:ascii="Arial" w:hAnsi="Arial" w:cs="Arial"/>
          <w:spacing w:val="12"/>
          <w:sz w:val="20"/>
        </w:rPr>
        <w:t xml:space="preserve"> </w:t>
      </w:r>
      <w:r w:rsidRPr="00B83CD5">
        <w:rPr>
          <w:rFonts w:ascii="Arial" w:hAnsi="Arial" w:cs="Arial"/>
          <w:sz w:val="20"/>
        </w:rPr>
        <w:t>repair</w:t>
      </w:r>
      <w:r w:rsidRPr="00B83CD5">
        <w:rPr>
          <w:rFonts w:ascii="Arial" w:hAnsi="Arial" w:cs="Arial"/>
          <w:spacing w:val="10"/>
          <w:sz w:val="20"/>
        </w:rPr>
        <w:t xml:space="preserve"> </w:t>
      </w:r>
      <w:r w:rsidRPr="00B83CD5">
        <w:rPr>
          <w:rFonts w:ascii="Arial" w:hAnsi="Arial" w:cs="Arial"/>
          <w:sz w:val="20"/>
        </w:rPr>
        <w:t>to</w:t>
      </w:r>
      <w:r w:rsidRPr="00B83CD5">
        <w:rPr>
          <w:rFonts w:ascii="Arial" w:hAnsi="Arial" w:cs="Arial"/>
          <w:spacing w:val="13"/>
          <w:sz w:val="20"/>
        </w:rPr>
        <w:t xml:space="preserve"> </w:t>
      </w:r>
      <w:r w:rsidRPr="00B83CD5">
        <w:rPr>
          <w:rFonts w:ascii="Arial" w:hAnsi="Arial" w:cs="Arial"/>
          <w:sz w:val="20"/>
        </w:rPr>
        <w:t>the</w:t>
      </w:r>
      <w:r w:rsidRPr="00B83CD5">
        <w:rPr>
          <w:rFonts w:ascii="Arial" w:hAnsi="Arial" w:cs="Arial"/>
          <w:spacing w:val="12"/>
          <w:sz w:val="20"/>
        </w:rPr>
        <w:t xml:space="preserve"> </w:t>
      </w:r>
      <w:r w:rsidRPr="00B83CD5">
        <w:rPr>
          <w:rFonts w:ascii="Arial" w:hAnsi="Arial" w:cs="Arial"/>
          <w:sz w:val="20"/>
        </w:rPr>
        <w:t>aircraft</w:t>
      </w:r>
      <w:r w:rsidRPr="00B83CD5">
        <w:rPr>
          <w:rFonts w:ascii="Arial" w:hAnsi="Arial" w:cs="Arial"/>
          <w:spacing w:val="9"/>
          <w:sz w:val="20"/>
        </w:rPr>
        <w:t xml:space="preserve"> </w:t>
      </w:r>
      <w:r w:rsidRPr="00B83CD5">
        <w:rPr>
          <w:rFonts w:ascii="Arial" w:hAnsi="Arial" w:cs="Arial"/>
          <w:sz w:val="20"/>
        </w:rPr>
        <w:t>or</w:t>
      </w:r>
      <w:r w:rsidRPr="00B83CD5">
        <w:rPr>
          <w:rFonts w:ascii="Arial" w:hAnsi="Arial" w:cs="Arial"/>
          <w:spacing w:val="14"/>
          <w:sz w:val="20"/>
        </w:rPr>
        <w:t xml:space="preserve"> </w:t>
      </w:r>
      <w:r w:rsidRPr="00B83CD5">
        <w:rPr>
          <w:rFonts w:ascii="Arial" w:hAnsi="Arial" w:cs="Arial"/>
          <w:sz w:val="20"/>
        </w:rPr>
        <w:t>any</w:t>
      </w:r>
      <w:r w:rsidRPr="00B83CD5">
        <w:rPr>
          <w:rFonts w:ascii="Arial" w:hAnsi="Arial" w:cs="Arial"/>
          <w:spacing w:val="13"/>
          <w:sz w:val="20"/>
        </w:rPr>
        <w:t xml:space="preserve"> </w:t>
      </w:r>
      <w:r w:rsidRPr="00B83CD5">
        <w:rPr>
          <w:rFonts w:ascii="Arial" w:hAnsi="Arial" w:cs="Arial"/>
          <w:sz w:val="20"/>
        </w:rPr>
        <w:t>component</w:t>
      </w:r>
      <w:r w:rsidRPr="00B83CD5">
        <w:rPr>
          <w:rFonts w:ascii="Arial" w:hAnsi="Arial" w:cs="Arial"/>
          <w:spacing w:val="15"/>
          <w:sz w:val="20"/>
        </w:rPr>
        <w:t xml:space="preserve"> </w:t>
      </w:r>
      <w:r w:rsidRPr="00B83CD5">
        <w:rPr>
          <w:rFonts w:ascii="Arial" w:hAnsi="Arial" w:cs="Arial"/>
          <w:sz w:val="20"/>
        </w:rPr>
        <w:t>fitted</w:t>
      </w:r>
      <w:r w:rsidRPr="00B83CD5">
        <w:rPr>
          <w:rFonts w:ascii="Arial" w:hAnsi="Arial" w:cs="Arial"/>
          <w:spacing w:val="10"/>
          <w:sz w:val="20"/>
        </w:rPr>
        <w:t xml:space="preserve"> </w:t>
      </w:r>
      <w:r w:rsidRPr="00B83CD5">
        <w:rPr>
          <w:rFonts w:ascii="Arial" w:hAnsi="Arial" w:cs="Arial"/>
          <w:sz w:val="20"/>
        </w:rPr>
        <w:t>to</w:t>
      </w:r>
      <w:r w:rsidRPr="00B83CD5">
        <w:rPr>
          <w:rFonts w:ascii="Arial" w:hAnsi="Arial" w:cs="Arial"/>
          <w:spacing w:val="14"/>
          <w:sz w:val="20"/>
        </w:rPr>
        <w:t xml:space="preserve"> </w:t>
      </w:r>
      <w:r w:rsidRPr="00B83CD5">
        <w:rPr>
          <w:rFonts w:ascii="Arial" w:hAnsi="Arial" w:cs="Arial"/>
          <w:sz w:val="20"/>
        </w:rPr>
        <w:t>the</w:t>
      </w:r>
      <w:r w:rsidRPr="00B83CD5">
        <w:rPr>
          <w:rFonts w:ascii="Arial" w:hAnsi="Arial" w:cs="Arial"/>
          <w:spacing w:val="12"/>
          <w:sz w:val="20"/>
        </w:rPr>
        <w:t xml:space="preserve"> </w:t>
      </w:r>
      <w:r w:rsidRPr="00B83CD5">
        <w:rPr>
          <w:rFonts w:ascii="Arial" w:hAnsi="Arial" w:cs="Arial"/>
          <w:sz w:val="20"/>
        </w:rPr>
        <w:t>aircraft</w:t>
      </w:r>
      <w:r w:rsidRPr="00B83CD5">
        <w:rPr>
          <w:rFonts w:ascii="Arial" w:hAnsi="Arial" w:cs="Arial"/>
          <w:spacing w:val="15"/>
          <w:sz w:val="20"/>
        </w:rPr>
        <w:t xml:space="preserve"> </w:t>
      </w:r>
      <w:r w:rsidRPr="00B83CD5">
        <w:rPr>
          <w:rFonts w:ascii="Arial" w:hAnsi="Arial" w:cs="Arial"/>
          <w:sz w:val="20"/>
        </w:rPr>
        <w:t>is</w:t>
      </w:r>
      <w:r w:rsidRPr="00B83CD5">
        <w:rPr>
          <w:rFonts w:ascii="Arial" w:hAnsi="Arial" w:cs="Arial"/>
          <w:spacing w:val="14"/>
          <w:sz w:val="20"/>
        </w:rPr>
        <w:t xml:space="preserve"> </w:t>
      </w:r>
      <w:r w:rsidRPr="00B83CD5">
        <w:rPr>
          <w:rFonts w:ascii="Arial" w:hAnsi="Arial" w:cs="Arial"/>
          <w:sz w:val="20"/>
        </w:rPr>
        <w:t>not</w:t>
      </w:r>
      <w:r w:rsidRPr="00B83CD5">
        <w:rPr>
          <w:rFonts w:ascii="Arial" w:hAnsi="Arial" w:cs="Arial"/>
          <w:spacing w:val="15"/>
          <w:sz w:val="20"/>
        </w:rPr>
        <w:t xml:space="preserve"> </w:t>
      </w:r>
      <w:r w:rsidRPr="00B83CD5">
        <w:rPr>
          <w:rFonts w:ascii="Arial" w:hAnsi="Arial" w:cs="Arial"/>
          <w:sz w:val="20"/>
        </w:rPr>
        <w:t>in</w:t>
      </w:r>
      <w:r w:rsidRPr="00B83CD5">
        <w:rPr>
          <w:rFonts w:ascii="Arial" w:hAnsi="Arial" w:cs="Arial"/>
          <w:spacing w:val="-47"/>
          <w:sz w:val="20"/>
        </w:rPr>
        <w:t xml:space="preserve"> </w:t>
      </w:r>
      <w:r w:rsidRPr="00B83CD5">
        <w:rPr>
          <w:rFonts w:ascii="Arial" w:hAnsi="Arial" w:cs="Arial"/>
          <w:sz w:val="20"/>
        </w:rPr>
        <w:t>compliance</w:t>
      </w:r>
      <w:r w:rsidRPr="00B83CD5">
        <w:rPr>
          <w:rFonts w:ascii="Arial" w:hAnsi="Arial" w:cs="Arial"/>
          <w:spacing w:val="-3"/>
          <w:sz w:val="20"/>
        </w:rPr>
        <w:t xml:space="preserve"> </w:t>
      </w:r>
      <w:r w:rsidRPr="00B83CD5">
        <w:rPr>
          <w:rFonts w:ascii="Arial" w:hAnsi="Arial" w:cs="Arial"/>
          <w:sz w:val="20"/>
        </w:rPr>
        <w:t>with Annex</w:t>
      </w:r>
      <w:r w:rsidRPr="00B83CD5">
        <w:rPr>
          <w:rFonts w:ascii="Arial" w:hAnsi="Arial" w:cs="Arial"/>
          <w:spacing w:val="-1"/>
          <w:sz w:val="20"/>
        </w:rPr>
        <w:t xml:space="preserve"> </w:t>
      </w:r>
      <w:r w:rsidRPr="00B83CD5">
        <w:rPr>
          <w:rFonts w:ascii="Arial" w:hAnsi="Arial" w:cs="Arial"/>
          <w:sz w:val="20"/>
        </w:rPr>
        <w:t>I (Part-21)</w:t>
      </w:r>
      <w:r w:rsidRPr="00B83CD5">
        <w:rPr>
          <w:rFonts w:ascii="Arial" w:hAnsi="Arial" w:cs="Arial"/>
          <w:spacing w:val="-1"/>
          <w:sz w:val="20"/>
        </w:rPr>
        <w:t xml:space="preserve"> </w:t>
      </w:r>
      <w:r w:rsidRPr="00B83CD5">
        <w:rPr>
          <w:rFonts w:ascii="Arial" w:hAnsi="Arial" w:cs="Arial"/>
          <w:sz w:val="20"/>
        </w:rPr>
        <w:t>to</w:t>
      </w:r>
      <w:r w:rsidRPr="00B83CD5">
        <w:rPr>
          <w:rFonts w:ascii="Arial" w:hAnsi="Arial" w:cs="Arial"/>
          <w:spacing w:val="1"/>
          <w:sz w:val="20"/>
        </w:rPr>
        <w:t xml:space="preserve"> </w:t>
      </w:r>
      <w:hyperlink r:id="rId127" w:history="1">
        <w:r w:rsidR="003D723D">
          <w:rPr>
            <w:rStyle w:val="Hyperlink"/>
            <w:rFonts w:ascii="Arial" w:hAnsi="Arial" w:cs="Arial"/>
            <w:sz w:val="20"/>
          </w:rPr>
          <w:t>the order N 20-N of the Minister of Territorial Administration and Infrastructure of RA, dated 18.11.2022</w:t>
        </w:r>
      </w:hyperlink>
      <w:r w:rsidRPr="003D723D">
        <w:rPr>
          <w:rFonts w:ascii="Arial" w:hAnsi="Arial" w:cs="Arial"/>
          <w:sz w:val="20"/>
        </w:rPr>
        <w:t>.</w:t>
      </w:r>
    </w:p>
    <w:p w14:paraId="0EE6CF4F" w14:textId="094D2F56" w:rsidR="007C33E3" w:rsidRPr="00C71058" w:rsidRDefault="00B83CD5" w:rsidP="00C71058">
      <w:pPr>
        <w:pStyle w:val="ListParagraph"/>
        <w:numPr>
          <w:ilvl w:val="0"/>
          <w:numId w:val="327"/>
        </w:numPr>
        <w:tabs>
          <w:tab w:val="left" w:pos="706"/>
          <w:tab w:val="left" w:pos="707"/>
        </w:tabs>
        <w:ind w:right="44"/>
        <w:jc w:val="both"/>
        <w:rPr>
          <w:rFonts w:ascii="Arial" w:hAnsi="Arial" w:cs="Arial"/>
          <w:sz w:val="20"/>
        </w:rPr>
      </w:pPr>
      <w:r w:rsidRPr="00B83CD5">
        <w:rPr>
          <w:rFonts w:ascii="Arial" w:hAnsi="Arial" w:cs="Arial"/>
          <w:sz w:val="20"/>
        </w:rPr>
        <w:t>Upon</w:t>
      </w:r>
      <w:r w:rsidRPr="00B83CD5">
        <w:rPr>
          <w:rFonts w:ascii="Arial" w:hAnsi="Arial" w:cs="Arial"/>
          <w:spacing w:val="-2"/>
          <w:sz w:val="20"/>
        </w:rPr>
        <w:t xml:space="preserve"> </w:t>
      </w:r>
      <w:r w:rsidRPr="00B83CD5">
        <w:rPr>
          <w:rFonts w:ascii="Arial" w:hAnsi="Arial" w:cs="Arial"/>
          <w:sz w:val="20"/>
        </w:rPr>
        <w:t>surrender</w:t>
      </w:r>
      <w:r w:rsidRPr="00B83CD5">
        <w:rPr>
          <w:rFonts w:ascii="Arial" w:hAnsi="Arial" w:cs="Arial"/>
          <w:spacing w:val="-2"/>
          <w:sz w:val="20"/>
        </w:rPr>
        <w:t xml:space="preserve"> </w:t>
      </w:r>
      <w:r w:rsidRPr="00B83CD5">
        <w:rPr>
          <w:rFonts w:ascii="Arial" w:hAnsi="Arial" w:cs="Arial"/>
          <w:sz w:val="20"/>
        </w:rPr>
        <w:t>or</w:t>
      </w:r>
      <w:r w:rsidRPr="00B83CD5">
        <w:rPr>
          <w:rFonts w:ascii="Arial" w:hAnsi="Arial" w:cs="Arial"/>
          <w:spacing w:val="-4"/>
          <w:sz w:val="20"/>
        </w:rPr>
        <w:t xml:space="preserve"> </w:t>
      </w:r>
      <w:r w:rsidRPr="00B83CD5">
        <w:rPr>
          <w:rFonts w:ascii="Arial" w:hAnsi="Arial" w:cs="Arial"/>
          <w:sz w:val="20"/>
        </w:rPr>
        <w:t>revocation, the</w:t>
      </w:r>
      <w:r w:rsidRPr="00B83CD5">
        <w:rPr>
          <w:rFonts w:ascii="Arial" w:hAnsi="Arial" w:cs="Arial"/>
          <w:spacing w:val="-3"/>
          <w:sz w:val="20"/>
        </w:rPr>
        <w:t xml:space="preserve"> </w:t>
      </w:r>
      <w:r w:rsidRPr="00B83CD5">
        <w:rPr>
          <w:rFonts w:ascii="Arial" w:hAnsi="Arial" w:cs="Arial"/>
          <w:sz w:val="20"/>
        </w:rPr>
        <w:t>ARC shall</w:t>
      </w:r>
      <w:r w:rsidRPr="00B83CD5">
        <w:rPr>
          <w:rFonts w:ascii="Arial" w:hAnsi="Arial" w:cs="Arial"/>
          <w:spacing w:val="-3"/>
          <w:sz w:val="20"/>
        </w:rPr>
        <w:t xml:space="preserve"> </w:t>
      </w:r>
      <w:r w:rsidRPr="00B83CD5">
        <w:rPr>
          <w:rFonts w:ascii="Arial" w:hAnsi="Arial" w:cs="Arial"/>
          <w:sz w:val="20"/>
        </w:rPr>
        <w:t>be</w:t>
      </w:r>
      <w:r w:rsidRPr="00B83CD5">
        <w:rPr>
          <w:rFonts w:ascii="Arial" w:hAnsi="Arial" w:cs="Arial"/>
          <w:spacing w:val="-1"/>
          <w:sz w:val="20"/>
        </w:rPr>
        <w:t xml:space="preserve"> </w:t>
      </w:r>
      <w:r w:rsidRPr="00B83CD5">
        <w:rPr>
          <w:rFonts w:ascii="Arial" w:hAnsi="Arial" w:cs="Arial"/>
          <w:sz w:val="20"/>
        </w:rPr>
        <w:t>returned to</w:t>
      </w:r>
      <w:r w:rsidRPr="00B83CD5">
        <w:rPr>
          <w:rFonts w:ascii="Arial" w:hAnsi="Arial" w:cs="Arial"/>
          <w:spacing w:val="-1"/>
          <w:sz w:val="20"/>
        </w:rPr>
        <w:t xml:space="preserve"> </w:t>
      </w:r>
      <w:r w:rsidRPr="00B83CD5">
        <w:rPr>
          <w:rFonts w:ascii="Arial" w:hAnsi="Arial" w:cs="Arial"/>
          <w:sz w:val="20"/>
        </w:rPr>
        <w:t>the</w:t>
      </w:r>
      <w:r w:rsidRPr="00B83CD5">
        <w:rPr>
          <w:rFonts w:ascii="Arial" w:hAnsi="Arial" w:cs="Arial"/>
          <w:spacing w:val="-3"/>
          <w:sz w:val="20"/>
        </w:rPr>
        <w:t xml:space="preserve"> </w:t>
      </w:r>
      <w:r w:rsidR="004E22F1">
        <w:rPr>
          <w:rFonts w:ascii="Arial" w:hAnsi="Arial" w:cs="Arial"/>
          <w:sz w:val="20"/>
          <w:szCs w:val="20"/>
        </w:rPr>
        <w:t>CAC RA</w:t>
      </w:r>
      <w:r w:rsidRPr="00B83CD5">
        <w:rPr>
          <w:rFonts w:ascii="Arial" w:hAnsi="Arial" w:cs="Arial"/>
          <w:sz w:val="20"/>
        </w:rPr>
        <w:t>.</w:t>
      </w:r>
    </w:p>
    <w:p w14:paraId="47ABCFD5" w14:textId="77777777" w:rsidR="007C33E3" w:rsidRPr="007C33E3" w:rsidRDefault="007C33E3" w:rsidP="007C33E3">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924" w:name="_Toc153137555"/>
      <w:r w:rsidRPr="007C33E3">
        <w:rPr>
          <w:rFonts w:ascii="Arial" w:eastAsia="Times New Roman" w:hAnsi="Arial" w:cs="Times New Roman"/>
          <w:b/>
          <w:iCs/>
          <w:color w:val="FFFFFF"/>
          <w:sz w:val="24"/>
        </w:rPr>
        <w:t>ML.A.903 Airworthiness review process</w:t>
      </w:r>
      <w:bookmarkEnd w:id="924"/>
      <w:r w:rsidRPr="007C33E3">
        <w:rPr>
          <w:rFonts w:ascii="Arial" w:eastAsia="Times New Roman" w:hAnsi="Arial" w:cs="Times New Roman"/>
          <w:b/>
          <w:iCs/>
          <w:color w:val="FFFFFF"/>
          <w:sz w:val="24"/>
        </w:rPr>
        <w:tab/>
      </w:r>
    </w:p>
    <w:p w14:paraId="2550F8D2" w14:textId="77777777" w:rsidR="007C33E3" w:rsidRPr="00C71058" w:rsidRDefault="007C33E3" w:rsidP="00C71058">
      <w:pPr>
        <w:numPr>
          <w:ilvl w:val="0"/>
          <w:numId w:val="328"/>
        </w:numPr>
        <w:tabs>
          <w:tab w:val="left" w:pos="1273"/>
          <w:tab w:val="left" w:pos="1274"/>
        </w:tabs>
        <w:spacing w:line="276" w:lineRule="auto"/>
        <w:jc w:val="both"/>
        <w:rPr>
          <w:rFonts w:ascii="Arial" w:hAnsi="Arial" w:cs="Arial"/>
          <w:sz w:val="20"/>
          <w:szCs w:val="20"/>
        </w:rPr>
      </w:pPr>
      <w:r w:rsidRPr="00C71058">
        <w:rPr>
          <w:rFonts w:ascii="Arial" w:hAnsi="Arial" w:cs="Arial"/>
          <w:sz w:val="20"/>
          <w:szCs w:val="20"/>
        </w:rPr>
        <w:t>To satisfy the requirement for the airworthiness review of an aircraft referred to in point ML.A.901, the airworthiness review staff shall perform a documented review of the aircraft records to verify that:</w:t>
      </w:r>
    </w:p>
    <w:p w14:paraId="2E664CFB" w14:textId="77777777" w:rsidR="007C33E3" w:rsidRPr="00C71058" w:rsidRDefault="007C33E3" w:rsidP="00C71058">
      <w:pPr>
        <w:numPr>
          <w:ilvl w:val="1"/>
          <w:numId w:val="328"/>
        </w:numPr>
        <w:tabs>
          <w:tab w:val="left" w:pos="1273"/>
          <w:tab w:val="left" w:pos="1274"/>
        </w:tabs>
        <w:spacing w:line="276" w:lineRule="auto"/>
        <w:jc w:val="both"/>
        <w:rPr>
          <w:rFonts w:ascii="Arial" w:hAnsi="Arial" w:cs="Arial"/>
          <w:sz w:val="20"/>
          <w:szCs w:val="20"/>
        </w:rPr>
      </w:pPr>
      <w:r w:rsidRPr="00C71058">
        <w:rPr>
          <w:rFonts w:ascii="Arial" w:hAnsi="Arial" w:cs="Arial"/>
          <w:sz w:val="20"/>
          <w:szCs w:val="20"/>
        </w:rPr>
        <w:t>airframe, engine and propeller flying hours and associated flight cycles have been properly recorded;</w:t>
      </w:r>
    </w:p>
    <w:p w14:paraId="25A417F8" w14:textId="77777777" w:rsidR="007C33E3" w:rsidRPr="00C71058" w:rsidRDefault="007C33E3" w:rsidP="00C71058">
      <w:pPr>
        <w:numPr>
          <w:ilvl w:val="1"/>
          <w:numId w:val="328"/>
        </w:numPr>
        <w:tabs>
          <w:tab w:val="left" w:pos="1273"/>
          <w:tab w:val="left" w:pos="1274"/>
        </w:tabs>
        <w:spacing w:line="276" w:lineRule="auto"/>
        <w:jc w:val="both"/>
        <w:rPr>
          <w:rFonts w:ascii="Arial" w:hAnsi="Arial" w:cs="Arial"/>
          <w:sz w:val="20"/>
          <w:szCs w:val="20"/>
        </w:rPr>
      </w:pPr>
      <w:r w:rsidRPr="00C71058">
        <w:rPr>
          <w:rFonts w:ascii="Arial" w:hAnsi="Arial" w:cs="Arial"/>
          <w:sz w:val="20"/>
          <w:szCs w:val="20"/>
        </w:rPr>
        <w:t>the flight manual is applicable to the aircraft configuration and reflects the latest revision status;</w:t>
      </w:r>
    </w:p>
    <w:p w14:paraId="23385651" w14:textId="77777777" w:rsidR="007C33E3" w:rsidRPr="00C71058" w:rsidRDefault="007C33E3" w:rsidP="00C71058">
      <w:pPr>
        <w:numPr>
          <w:ilvl w:val="1"/>
          <w:numId w:val="328"/>
        </w:numPr>
        <w:tabs>
          <w:tab w:val="left" w:pos="1273"/>
          <w:tab w:val="left" w:pos="1274"/>
        </w:tabs>
        <w:spacing w:line="276" w:lineRule="auto"/>
        <w:jc w:val="both"/>
        <w:rPr>
          <w:rFonts w:ascii="Arial" w:hAnsi="Arial" w:cs="Arial"/>
          <w:sz w:val="20"/>
          <w:szCs w:val="20"/>
        </w:rPr>
      </w:pPr>
      <w:r w:rsidRPr="00C71058">
        <w:rPr>
          <w:rFonts w:ascii="Arial" w:hAnsi="Arial" w:cs="Arial"/>
          <w:sz w:val="20"/>
          <w:szCs w:val="20"/>
        </w:rPr>
        <w:t>all the maintenance due on the aircraft according to the AMP has been carried out;</w:t>
      </w:r>
    </w:p>
    <w:p w14:paraId="4354375E" w14:textId="77777777" w:rsidR="007C33E3" w:rsidRPr="00C71058" w:rsidRDefault="007C33E3" w:rsidP="00C71058">
      <w:pPr>
        <w:numPr>
          <w:ilvl w:val="1"/>
          <w:numId w:val="328"/>
        </w:numPr>
        <w:tabs>
          <w:tab w:val="left" w:pos="1273"/>
          <w:tab w:val="left" w:pos="1274"/>
        </w:tabs>
        <w:spacing w:line="276" w:lineRule="auto"/>
        <w:jc w:val="both"/>
        <w:rPr>
          <w:rFonts w:ascii="Arial" w:hAnsi="Arial" w:cs="Arial"/>
          <w:sz w:val="20"/>
          <w:szCs w:val="20"/>
        </w:rPr>
      </w:pPr>
      <w:r w:rsidRPr="00C71058">
        <w:rPr>
          <w:rFonts w:ascii="Arial" w:hAnsi="Arial" w:cs="Arial"/>
          <w:sz w:val="20"/>
          <w:szCs w:val="20"/>
        </w:rPr>
        <w:t>all known defects have been corrected or deferred in a controlled manner;</w:t>
      </w:r>
    </w:p>
    <w:p w14:paraId="10DCF81A" w14:textId="77777777" w:rsidR="007C33E3" w:rsidRPr="00C71058" w:rsidRDefault="007C33E3" w:rsidP="00C71058">
      <w:pPr>
        <w:numPr>
          <w:ilvl w:val="1"/>
          <w:numId w:val="328"/>
        </w:numPr>
        <w:tabs>
          <w:tab w:val="left" w:pos="1273"/>
          <w:tab w:val="left" w:pos="1274"/>
        </w:tabs>
        <w:spacing w:line="276" w:lineRule="auto"/>
        <w:jc w:val="both"/>
        <w:rPr>
          <w:rFonts w:ascii="Arial" w:hAnsi="Arial" w:cs="Arial"/>
          <w:sz w:val="20"/>
          <w:szCs w:val="20"/>
        </w:rPr>
      </w:pPr>
      <w:r w:rsidRPr="00C71058">
        <w:rPr>
          <w:rFonts w:ascii="Arial" w:hAnsi="Arial" w:cs="Arial"/>
          <w:sz w:val="20"/>
          <w:szCs w:val="20"/>
        </w:rPr>
        <w:t>all applicable ADs have been applied and properly registered;</w:t>
      </w:r>
    </w:p>
    <w:p w14:paraId="0826C6F4" w14:textId="1AA86FD7" w:rsidR="007C33E3" w:rsidRPr="00C71058" w:rsidRDefault="007C33E3" w:rsidP="00C71058">
      <w:pPr>
        <w:numPr>
          <w:ilvl w:val="1"/>
          <w:numId w:val="328"/>
        </w:numPr>
        <w:tabs>
          <w:tab w:val="left" w:pos="1273"/>
          <w:tab w:val="left" w:pos="1274"/>
        </w:tabs>
        <w:spacing w:line="276" w:lineRule="auto"/>
        <w:jc w:val="both"/>
        <w:rPr>
          <w:rFonts w:ascii="Arial" w:hAnsi="Arial" w:cs="Arial"/>
          <w:sz w:val="20"/>
          <w:szCs w:val="20"/>
        </w:rPr>
      </w:pPr>
      <w:r w:rsidRPr="00C71058">
        <w:rPr>
          <w:rFonts w:ascii="Arial" w:hAnsi="Arial" w:cs="Arial"/>
          <w:sz w:val="20"/>
          <w:szCs w:val="20"/>
        </w:rPr>
        <w:t xml:space="preserve">all modifications and repairs made to the aircraft have been registered and are in compliance with Annex I (Part-21) to </w:t>
      </w:r>
      <w:hyperlink r:id="rId128" w:history="1">
        <w:r w:rsidR="003D723D" w:rsidRPr="00C71058">
          <w:rPr>
            <w:rStyle w:val="Hyperlink"/>
            <w:rFonts w:ascii="Arial" w:hAnsi="Arial" w:cs="Arial"/>
            <w:sz w:val="20"/>
            <w:szCs w:val="20"/>
          </w:rPr>
          <w:t>the order N 20-N of the Minister of Territorial Administration and Infrastructure of RA, dated 18.11.2022</w:t>
        </w:r>
      </w:hyperlink>
      <w:r w:rsidRPr="00C71058">
        <w:rPr>
          <w:rFonts w:ascii="Arial" w:hAnsi="Arial" w:cs="Arial"/>
          <w:sz w:val="20"/>
          <w:szCs w:val="20"/>
        </w:rPr>
        <w:t>;</w:t>
      </w:r>
    </w:p>
    <w:p w14:paraId="52AB3962" w14:textId="77777777" w:rsidR="007C33E3" w:rsidRPr="00C71058" w:rsidRDefault="007C33E3" w:rsidP="00C71058">
      <w:pPr>
        <w:numPr>
          <w:ilvl w:val="1"/>
          <w:numId w:val="328"/>
        </w:numPr>
        <w:tabs>
          <w:tab w:val="left" w:pos="1273"/>
          <w:tab w:val="left" w:pos="1274"/>
        </w:tabs>
        <w:spacing w:line="276" w:lineRule="auto"/>
        <w:jc w:val="both"/>
        <w:rPr>
          <w:rFonts w:ascii="Arial" w:hAnsi="Arial" w:cs="Arial"/>
          <w:sz w:val="20"/>
          <w:szCs w:val="20"/>
        </w:rPr>
      </w:pPr>
      <w:r w:rsidRPr="00C71058">
        <w:rPr>
          <w:rFonts w:ascii="Arial" w:hAnsi="Arial" w:cs="Arial"/>
          <w:sz w:val="20"/>
          <w:szCs w:val="20"/>
        </w:rPr>
        <w:t>all service-life-limited components installed on the aircraft are properly identified, registered and have not exceeded their approved service life limit;</w:t>
      </w:r>
    </w:p>
    <w:p w14:paraId="0DC54E07" w14:textId="77777777" w:rsidR="007C33E3" w:rsidRPr="00C71058" w:rsidRDefault="007C33E3" w:rsidP="00C71058">
      <w:pPr>
        <w:numPr>
          <w:ilvl w:val="1"/>
          <w:numId w:val="328"/>
        </w:numPr>
        <w:tabs>
          <w:tab w:val="left" w:pos="1273"/>
          <w:tab w:val="left" w:pos="1274"/>
        </w:tabs>
        <w:spacing w:line="276" w:lineRule="auto"/>
        <w:jc w:val="both"/>
        <w:rPr>
          <w:rFonts w:ascii="Arial" w:hAnsi="Arial" w:cs="Arial"/>
          <w:sz w:val="20"/>
          <w:szCs w:val="20"/>
        </w:rPr>
      </w:pPr>
      <w:r w:rsidRPr="00C71058">
        <w:rPr>
          <w:rFonts w:ascii="Arial" w:hAnsi="Arial" w:cs="Arial"/>
          <w:sz w:val="20"/>
          <w:szCs w:val="20"/>
        </w:rPr>
        <w:lastRenderedPageBreak/>
        <w:t>all maintenance has been certified in accordance with this Annex;</w:t>
      </w:r>
    </w:p>
    <w:p w14:paraId="654F2BD2" w14:textId="77777777" w:rsidR="007C33E3" w:rsidRPr="00C71058" w:rsidRDefault="007C33E3" w:rsidP="00C71058">
      <w:pPr>
        <w:numPr>
          <w:ilvl w:val="1"/>
          <w:numId w:val="328"/>
        </w:numPr>
        <w:tabs>
          <w:tab w:val="left" w:pos="1273"/>
          <w:tab w:val="left" w:pos="1274"/>
        </w:tabs>
        <w:spacing w:line="276" w:lineRule="auto"/>
        <w:jc w:val="both"/>
        <w:rPr>
          <w:rFonts w:ascii="Arial" w:hAnsi="Arial" w:cs="Arial"/>
          <w:sz w:val="20"/>
          <w:szCs w:val="20"/>
        </w:rPr>
      </w:pPr>
      <w:r w:rsidRPr="00C71058">
        <w:rPr>
          <w:rFonts w:ascii="Arial" w:hAnsi="Arial" w:cs="Arial"/>
          <w:sz w:val="20"/>
          <w:szCs w:val="20"/>
        </w:rPr>
        <w:t>if required, the current mass-and-balance statement reflects the configuration of the aircraft and is valid;</w:t>
      </w:r>
    </w:p>
    <w:p w14:paraId="295109DB" w14:textId="77777777" w:rsidR="007C33E3" w:rsidRPr="00C71058" w:rsidRDefault="007C33E3" w:rsidP="00C71058">
      <w:pPr>
        <w:numPr>
          <w:ilvl w:val="1"/>
          <w:numId w:val="328"/>
        </w:numPr>
        <w:tabs>
          <w:tab w:val="left" w:pos="1273"/>
          <w:tab w:val="left" w:pos="1274"/>
        </w:tabs>
        <w:spacing w:line="276" w:lineRule="auto"/>
        <w:jc w:val="both"/>
        <w:rPr>
          <w:rFonts w:ascii="Arial" w:hAnsi="Arial" w:cs="Arial"/>
          <w:sz w:val="20"/>
          <w:szCs w:val="20"/>
        </w:rPr>
      </w:pPr>
      <w:r w:rsidRPr="00C71058">
        <w:rPr>
          <w:rFonts w:ascii="Arial" w:hAnsi="Arial" w:cs="Arial"/>
          <w:sz w:val="20"/>
          <w:szCs w:val="20"/>
        </w:rPr>
        <w:t>the aircraft complies with the latest revision of its type design approved by the Agency;</w:t>
      </w:r>
    </w:p>
    <w:p w14:paraId="24F3E5FC" w14:textId="69FC1E84" w:rsidR="007C33E3" w:rsidRPr="00C71058" w:rsidRDefault="007C33E3" w:rsidP="00C71058">
      <w:pPr>
        <w:numPr>
          <w:ilvl w:val="1"/>
          <w:numId w:val="328"/>
        </w:numPr>
        <w:tabs>
          <w:tab w:val="left" w:pos="1274"/>
        </w:tabs>
        <w:spacing w:line="276" w:lineRule="auto"/>
        <w:jc w:val="both"/>
        <w:rPr>
          <w:rFonts w:ascii="Arial" w:hAnsi="Arial" w:cs="Arial"/>
          <w:sz w:val="20"/>
          <w:szCs w:val="20"/>
        </w:rPr>
      </w:pPr>
      <w:r w:rsidRPr="00C71058">
        <w:rPr>
          <w:rFonts w:ascii="Arial" w:hAnsi="Arial" w:cs="Arial"/>
          <w:sz w:val="20"/>
          <w:szCs w:val="20"/>
        </w:rPr>
        <w:t xml:space="preserve">if required, the aircraft holds a noise certificate corresponding to the current configuration of the aircraft in compliance with Subpart I of Annex I (Part-21) to </w:t>
      </w:r>
      <w:hyperlink r:id="rId129" w:history="1">
        <w:r w:rsidR="003D723D" w:rsidRPr="00C71058">
          <w:rPr>
            <w:rStyle w:val="Hyperlink"/>
            <w:rFonts w:ascii="Arial" w:hAnsi="Arial" w:cs="Arial"/>
            <w:sz w:val="20"/>
            <w:szCs w:val="20"/>
          </w:rPr>
          <w:t>the order N 20-N of the Minister of Territorial Administration and Infrastructure of RA, dated 18.11.2022</w:t>
        </w:r>
      </w:hyperlink>
      <w:r w:rsidR="003D723D" w:rsidRPr="00C71058">
        <w:rPr>
          <w:sz w:val="20"/>
          <w:szCs w:val="20"/>
        </w:rPr>
        <w:t>.</w:t>
      </w:r>
    </w:p>
    <w:p w14:paraId="3BCABCB4" w14:textId="77777777" w:rsidR="007C33E3" w:rsidRPr="00C71058" w:rsidRDefault="007C33E3" w:rsidP="00C71058">
      <w:pPr>
        <w:numPr>
          <w:ilvl w:val="0"/>
          <w:numId w:val="328"/>
        </w:numPr>
        <w:tabs>
          <w:tab w:val="left" w:pos="1273"/>
          <w:tab w:val="left" w:pos="1274"/>
        </w:tabs>
        <w:spacing w:line="276" w:lineRule="auto"/>
        <w:jc w:val="both"/>
        <w:rPr>
          <w:rFonts w:ascii="Arial" w:hAnsi="Arial" w:cs="Arial"/>
          <w:sz w:val="20"/>
          <w:szCs w:val="20"/>
        </w:rPr>
      </w:pPr>
      <w:r w:rsidRPr="00C71058">
        <w:rPr>
          <w:rFonts w:ascii="Arial" w:hAnsi="Arial" w:cs="Arial"/>
          <w:sz w:val="20"/>
          <w:szCs w:val="20"/>
        </w:rPr>
        <w:t>The airworthiness review staff referred to in point (a) shall carry out a physical survey of the aircraft. For this survey, airworthiness review staff not appropriately qualified under Annex III (Part-66) shall be assisted by such qualified personnel.</w:t>
      </w:r>
    </w:p>
    <w:p w14:paraId="6BB61C28" w14:textId="77777777" w:rsidR="007C33E3" w:rsidRPr="00C71058" w:rsidRDefault="007C33E3" w:rsidP="00C71058">
      <w:pPr>
        <w:pStyle w:val="ListParagraph"/>
        <w:numPr>
          <w:ilvl w:val="0"/>
          <w:numId w:val="328"/>
        </w:numPr>
        <w:tabs>
          <w:tab w:val="left" w:pos="706"/>
          <w:tab w:val="left" w:pos="707"/>
        </w:tabs>
        <w:spacing w:before="57" w:line="276" w:lineRule="auto"/>
        <w:jc w:val="both"/>
        <w:rPr>
          <w:rFonts w:ascii="Arial" w:hAnsi="Arial" w:cs="Arial"/>
          <w:sz w:val="20"/>
          <w:szCs w:val="20"/>
        </w:rPr>
      </w:pPr>
      <w:r w:rsidRPr="00C71058">
        <w:rPr>
          <w:rFonts w:ascii="Arial" w:hAnsi="Arial" w:cs="Arial"/>
          <w:sz w:val="20"/>
          <w:szCs w:val="20"/>
        </w:rPr>
        <w:t>Through</w:t>
      </w:r>
      <w:r w:rsidRPr="00C71058">
        <w:rPr>
          <w:rFonts w:ascii="Arial" w:hAnsi="Arial" w:cs="Arial"/>
          <w:spacing w:val="-3"/>
          <w:sz w:val="20"/>
          <w:szCs w:val="20"/>
        </w:rPr>
        <w:t xml:space="preserve"> </w:t>
      </w:r>
      <w:r w:rsidRPr="00C71058">
        <w:rPr>
          <w:rFonts w:ascii="Arial" w:hAnsi="Arial" w:cs="Arial"/>
          <w:sz w:val="20"/>
          <w:szCs w:val="20"/>
        </w:rPr>
        <w:t>the</w:t>
      </w:r>
      <w:r w:rsidRPr="00C71058">
        <w:rPr>
          <w:rFonts w:ascii="Arial" w:hAnsi="Arial" w:cs="Arial"/>
          <w:spacing w:val="-1"/>
          <w:sz w:val="20"/>
          <w:szCs w:val="20"/>
        </w:rPr>
        <w:t xml:space="preserve"> </w:t>
      </w:r>
      <w:r w:rsidRPr="00C71058">
        <w:rPr>
          <w:rFonts w:ascii="Arial" w:hAnsi="Arial" w:cs="Arial"/>
          <w:sz w:val="20"/>
          <w:szCs w:val="20"/>
        </w:rPr>
        <w:t>physical</w:t>
      </w:r>
      <w:r w:rsidRPr="00C71058">
        <w:rPr>
          <w:rFonts w:ascii="Arial" w:hAnsi="Arial" w:cs="Arial"/>
          <w:spacing w:val="-2"/>
          <w:sz w:val="20"/>
          <w:szCs w:val="20"/>
        </w:rPr>
        <w:t xml:space="preserve"> </w:t>
      </w:r>
      <w:r w:rsidRPr="00C71058">
        <w:rPr>
          <w:rFonts w:ascii="Arial" w:hAnsi="Arial" w:cs="Arial"/>
          <w:sz w:val="20"/>
          <w:szCs w:val="20"/>
        </w:rPr>
        <w:t>survey</w:t>
      </w:r>
      <w:r w:rsidRPr="00C71058">
        <w:rPr>
          <w:rFonts w:ascii="Arial" w:hAnsi="Arial" w:cs="Arial"/>
          <w:spacing w:val="-2"/>
          <w:sz w:val="20"/>
          <w:szCs w:val="20"/>
        </w:rPr>
        <w:t xml:space="preserve"> </w:t>
      </w:r>
      <w:r w:rsidRPr="00C71058">
        <w:rPr>
          <w:rFonts w:ascii="Arial" w:hAnsi="Arial" w:cs="Arial"/>
          <w:sz w:val="20"/>
          <w:szCs w:val="20"/>
        </w:rPr>
        <w:t>of</w:t>
      </w:r>
      <w:r w:rsidRPr="00C71058">
        <w:rPr>
          <w:rFonts w:ascii="Arial" w:hAnsi="Arial" w:cs="Arial"/>
          <w:spacing w:val="-4"/>
          <w:sz w:val="20"/>
          <w:szCs w:val="20"/>
        </w:rPr>
        <w:t xml:space="preserve"> </w:t>
      </w:r>
      <w:r w:rsidRPr="00C71058">
        <w:rPr>
          <w:rFonts w:ascii="Arial" w:hAnsi="Arial" w:cs="Arial"/>
          <w:sz w:val="20"/>
          <w:szCs w:val="20"/>
        </w:rPr>
        <w:t>the</w:t>
      </w:r>
      <w:r w:rsidRPr="00C71058">
        <w:rPr>
          <w:rFonts w:ascii="Arial" w:hAnsi="Arial" w:cs="Arial"/>
          <w:spacing w:val="-1"/>
          <w:sz w:val="20"/>
          <w:szCs w:val="20"/>
        </w:rPr>
        <w:t xml:space="preserve"> </w:t>
      </w:r>
      <w:r w:rsidRPr="00C71058">
        <w:rPr>
          <w:rFonts w:ascii="Arial" w:hAnsi="Arial" w:cs="Arial"/>
          <w:sz w:val="20"/>
          <w:szCs w:val="20"/>
        </w:rPr>
        <w:t>aircraft,</w:t>
      </w:r>
      <w:r w:rsidRPr="00C71058">
        <w:rPr>
          <w:rFonts w:ascii="Arial" w:hAnsi="Arial" w:cs="Arial"/>
          <w:spacing w:val="-4"/>
          <w:sz w:val="20"/>
          <w:szCs w:val="20"/>
        </w:rPr>
        <w:t xml:space="preserve"> </w:t>
      </w:r>
      <w:r w:rsidRPr="00C71058">
        <w:rPr>
          <w:rFonts w:ascii="Arial" w:hAnsi="Arial" w:cs="Arial"/>
          <w:sz w:val="20"/>
          <w:szCs w:val="20"/>
        </w:rPr>
        <w:t>the</w:t>
      </w:r>
      <w:r w:rsidRPr="00C71058">
        <w:rPr>
          <w:rFonts w:ascii="Arial" w:hAnsi="Arial" w:cs="Arial"/>
          <w:spacing w:val="-4"/>
          <w:sz w:val="20"/>
          <w:szCs w:val="20"/>
        </w:rPr>
        <w:t xml:space="preserve"> </w:t>
      </w:r>
      <w:r w:rsidRPr="00C71058">
        <w:rPr>
          <w:rFonts w:ascii="Arial" w:hAnsi="Arial" w:cs="Arial"/>
          <w:sz w:val="20"/>
          <w:szCs w:val="20"/>
        </w:rPr>
        <w:t>airworthiness review</w:t>
      </w:r>
      <w:r w:rsidRPr="00C71058">
        <w:rPr>
          <w:rFonts w:ascii="Arial" w:hAnsi="Arial" w:cs="Arial"/>
          <w:spacing w:val="-1"/>
          <w:sz w:val="20"/>
          <w:szCs w:val="20"/>
        </w:rPr>
        <w:t xml:space="preserve"> </w:t>
      </w:r>
      <w:r w:rsidRPr="00C71058">
        <w:rPr>
          <w:rFonts w:ascii="Arial" w:hAnsi="Arial" w:cs="Arial"/>
          <w:sz w:val="20"/>
          <w:szCs w:val="20"/>
        </w:rPr>
        <w:t>staff</w:t>
      </w:r>
      <w:r w:rsidRPr="00C71058">
        <w:rPr>
          <w:rFonts w:ascii="Arial" w:hAnsi="Arial" w:cs="Arial"/>
          <w:spacing w:val="-2"/>
          <w:sz w:val="20"/>
          <w:szCs w:val="20"/>
        </w:rPr>
        <w:t xml:space="preserve"> </w:t>
      </w:r>
      <w:r w:rsidRPr="00C71058">
        <w:rPr>
          <w:rFonts w:ascii="Arial" w:hAnsi="Arial" w:cs="Arial"/>
          <w:sz w:val="20"/>
          <w:szCs w:val="20"/>
        </w:rPr>
        <w:t>shall</w:t>
      </w:r>
      <w:r w:rsidRPr="00C71058">
        <w:rPr>
          <w:rFonts w:ascii="Arial" w:hAnsi="Arial" w:cs="Arial"/>
          <w:spacing w:val="-2"/>
          <w:sz w:val="20"/>
          <w:szCs w:val="20"/>
        </w:rPr>
        <w:t xml:space="preserve"> </w:t>
      </w:r>
      <w:r w:rsidRPr="00C71058">
        <w:rPr>
          <w:rFonts w:ascii="Arial" w:hAnsi="Arial" w:cs="Arial"/>
          <w:sz w:val="20"/>
          <w:szCs w:val="20"/>
        </w:rPr>
        <w:t>ensure</w:t>
      </w:r>
      <w:r w:rsidRPr="00C71058">
        <w:rPr>
          <w:rFonts w:ascii="Arial" w:hAnsi="Arial" w:cs="Arial"/>
          <w:spacing w:val="-1"/>
          <w:sz w:val="20"/>
          <w:szCs w:val="20"/>
        </w:rPr>
        <w:t xml:space="preserve"> </w:t>
      </w:r>
      <w:r w:rsidRPr="00C71058">
        <w:rPr>
          <w:rFonts w:ascii="Arial" w:hAnsi="Arial" w:cs="Arial"/>
          <w:sz w:val="20"/>
          <w:szCs w:val="20"/>
        </w:rPr>
        <w:t>that:</w:t>
      </w:r>
    </w:p>
    <w:p w14:paraId="44631168" w14:textId="77777777" w:rsidR="007C33E3" w:rsidRPr="00C71058" w:rsidRDefault="007C33E3" w:rsidP="00C71058">
      <w:pPr>
        <w:pStyle w:val="ListParagraph"/>
        <w:numPr>
          <w:ilvl w:val="1"/>
          <w:numId w:val="328"/>
        </w:numPr>
        <w:tabs>
          <w:tab w:val="left" w:pos="1273"/>
          <w:tab w:val="left" w:pos="1274"/>
        </w:tabs>
        <w:spacing w:line="276" w:lineRule="auto"/>
        <w:ind w:hanging="568"/>
        <w:jc w:val="both"/>
        <w:rPr>
          <w:rFonts w:ascii="Arial" w:hAnsi="Arial" w:cs="Arial"/>
          <w:sz w:val="20"/>
          <w:szCs w:val="20"/>
        </w:rPr>
      </w:pPr>
      <w:r w:rsidRPr="00C71058">
        <w:rPr>
          <w:rFonts w:ascii="Arial" w:hAnsi="Arial" w:cs="Arial"/>
          <w:sz w:val="20"/>
          <w:szCs w:val="20"/>
        </w:rPr>
        <w:t>all</w:t>
      </w:r>
      <w:r w:rsidRPr="00C71058">
        <w:rPr>
          <w:rFonts w:ascii="Arial" w:hAnsi="Arial" w:cs="Arial"/>
          <w:spacing w:val="-2"/>
          <w:sz w:val="20"/>
          <w:szCs w:val="20"/>
        </w:rPr>
        <w:t xml:space="preserve"> </w:t>
      </w:r>
      <w:r w:rsidRPr="00C71058">
        <w:rPr>
          <w:rFonts w:ascii="Arial" w:hAnsi="Arial" w:cs="Arial"/>
          <w:sz w:val="20"/>
          <w:szCs w:val="20"/>
        </w:rPr>
        <w:t>required</w:t>
      </w:r>
      <w:r w:rsidRPr="00C71058">
        <w:rPr>
          <w:rFonts w:ascii="Arial" w:hAnsi="Arial" w:cs="Arial"/>
          <w:spacing w:val="-3"/>
          <w:sz w:val="20"/>
          <w:szCs w:val="20"/>
        </w:rPr>
        <w:t xml:space="preserve"> </w:t>
      </w:r>
      <w:r w:rsidRPr="00C71058">
        <w:rPr>
          <w:rFonts w:ascii="Arial" w:hAnsi="Arial" w:cs="Arial"/>
          <w:sz w:val="20"/>
          <w:szCs w:val="20"/>
        </w:rPr>
        <w:t>markings</w:t>
      </w:r>
      <w:r w:rsidRPr="00C71058">
        <w:rPr>
          <w:rFonts w:ascii="Arial" w:hAnsi="Arial" w:cs="Arial"/>
          <w:spacing w:val="-1"/>
          <w:sz w:val="20"/>
          <w:szCs w:val="20"/>
        </w:rPr>
        <w:t xml:space="preserve"> </w:t>
      </w:r>
      <w:r w:rsidRPr="00C71058">
        <w:rPr>
          <w:rFonts w:ascii="Arial" w:hAnsi="Arial" w:cs="Arial"/>
          <w:sz w:val="20"/>
          <w:szCs w:val="20"/>
        </w:rPr>
        <w:t>and</w:t>
      </w:r>
      <w:r w:rsidRPr="00C71058">
        <w:rPr>
          <w:rFonts w:ascii="Arial" w:hAnsi="Arial" w:cs="Arial"/>
          <w:spacing w:val="-1"/>
          <w:sz w:val="20"/>
          <w:szCs w:val="20"/>
        </w:rPr>
        <w:t xml:space="preserve"> </w:t>
      </w:r>
      <w:r w:rsidRPr="00C71058">
        <w:rPr>
          <w:rFonts w:ascii="Arial" w:hAnsi="Arial" w:cs="Arial"/>
          <w:sz w:val="20"/>
          <w:szCs w:val="20"/>
        </w:rPr>
        <w:t>placards</w:t>
      </w:r>
      <w:r w:rsidRPr="00C71058">
        <w:rPr>
          <w:rFonts w:ascii="Arial" w:hAnsi="Arial" w:cs="Arial"/>
          <w:spacing w:val="-1"/>
          <w:sz w:val="20"/>
          <w:szCs w:val="20"/>
        </w:rPr>
        <w:t xml:space="preserve"> </w:t>
      </w:r>
      <w:r w:rsidRPr="00C71058">
        <w:rPr>
          <w:rFonts w:ascii="Arial" w:hAnsi="Arial" w:cs="Arial"/>
          <w:sz w:val="20"/>
          <w:szCs w:val="20"/>
        </w:rPr>
        <w:t>are</w:t>
      </w:r>
      <w:r w:rsidRPr="00C71058">
        <w:rPr>
          <w:rFonts w:ascii="Arial" w:hAnsi="Arial" w:cs="Arial"/>
          <w:spacing w:val="1"/>
          <w:sz w:val="20"/>
          <w:szCs w:val="20"/>
        </w:rPr>
        <w:t xml:space="preserve"> </w:t>
      </w:r>
      <w:r w:rsidRPr="00C71058">
        <w:rPr>
          <w:rFonts w:ascii="Arial" w:hAnsi="Arial" w:cs="Arial"/>
          <w:sz w:val="20"/>
          <w:szCs w:val="20"/>
        </w:rPr>
        <w:t>properly</w:t>
      </w:r>
      <w:r w:rsidRPr="00C71058">
        <w:rPr>
          <w:rFonts w:ascii="Arial" w:hAnsi="Arial" w:cs="Arial"/>
          <w:spacing w:val="-1"/>
          <w:sz w:val="20"/>
          <w:szCs w:val="20"/>
        </w:rPr>
        <w:t xml:space="preserve"> </w:t>
      </w:r>
      <w:r w:rsidRPr="00C71058">
        <w:rPr>
          <w:rFonts w:ascii="Arial" w:hAnsi="Arial" w:cs="Arial"/>
          <w:sz w:val="20"/>
          <w:szCs w:val="20"/>
        </w:rPr>
        <w:t>installed;</w:t>
      </w:r>
    </w:p>
    <w:p w14:paraId="279FABC2" w14:textId="77777777" w:rsidR="007C33E3" w:rsidRPr="00C71058" w:rsidRDefault="007C33E3" w:rsidP="00C71058">
      <w:pPr>
        <w:pStyle w:val="ListParagraph"/>
        <w:numPr>
          <w:ilvl w:val="1"/>
          <w:numId w:val="328"/>
        </w:numPr>
        <w:tabs>
          <w:tab w:val="left" w:pos="1273"/>
          <w:tab w:val="left" w:pos="1274"/>
        </w:tabs>
        <w:spacing w:before="118" w:line="276" w:lineRule="auto"/>
        <w:ind w:hanging="568"/>
        <w:jc w:val="both"/>
        <w:rPr>
          <w:rFonts w:ascii="Arial" w:hAnsi="Arial" w:cs="Arial"/>
          <w:sz w:val="20"/>
          <w:szCs w:val="20"/>
        </w:rPr>
      </w:pPr>
      <w:r w:rsidRPr="00C71058">
        <w:rPr>
          <w:rFonts w:ascii="Arial" w:hAnsi="Arial" w:cs="Arial"/>
          <w:sz w:val="20"/>
          <w:szCs w:val="20"/>
        </w:rPr>
        <w:t>the</w:t>
      </w:r>
      <w:r w:rsidRPr="00C71058">
        <w:rPr>
          <w:rFonts w:ascii="Arial" w:hAnsi="Arial" w:cs="Arial"/>
          <w:spacing w:val="-2"/>
          <w:sz w:val="20"/>
          <w:szCs w:val="20"/>
        </w:rPr>
        <w:t xml:space="preserve"> </w:t>
      </w:r>
      <w:r w:rsidRPr="00C71058">
        <w:rPr>
          <w:rFonts w:ascii="Arial" w:hAnsi="Arial" w:cs="Arial"/>
          <w:sz w:val="20"/>
          <w:szCs w:val="20"/>
        </w:rPr>
        <w:t>aircraft</w:t>
      </w:r>
      <w:r w:rsidRPr="00C71058">
        <w:rPr>
          <w:rFonts w:ascii="Arial" w:hAnsi="Arial" w:cs="Arial"/>
          <w:spacing w:val="-1"/>
          <w:sz w:val="20"/>
          <w:szCs w:val="20"/>
        </w:rPr>
        <w:t xml:space="preserve"> </w:t>
      </w:r>
      <w:r w:rsidRPr="00C71058">
        <w:rPr>
          <w:rFonts w:ascii="Arial" w:hAnsi="Arial" w:cs="Arial"/>
          <w:sz w:val="20"/>
          <w:szCs w:val="20"/>
        </w:rPr>
        <w:t>complies</w:t>
      </w:r>
      <w:r w:rsidRPr="00C71058">
        <w:rPr>
          <w:rFonts w:ascii="Arial" w:hAnsi="Arial" w:cs="Arial"/>
          <w:spacing w:val="-2"/>
          <w:sz w:val="20"/>
          <w:szCs w:val="20"/>
        </w:rPr>
        <w:t xml:space="preserve"> </w:t>
      </w:r>
      <w:r w:rsidRPr="00C71058">
        <w:rPr>
          <w:rFonts w:ascii="Arial" w:hAnsi="Arial" w:cs="Arial"/>
          <w:sz w:val="20"/>
          <w:szCs w:val="20"/>
        </w:rPr>
        <w:t>with</w:t>
      </w:r>
      <w:r w:rsidRPr="00C71058">
        <w:rPr>
          <w:rFonts w:ascii="Arial" w:hAnsi="Arial" w:cs="Arial"/>
          <w:spacing w:val="-1"/>
          <w:sz w:val="20"/>
          <w:szCs w:val="20"/>
        </w:rPr>
        <w:t xml:space="preserve"> </w:t>
      </w:r>
      <w:r w:rsidRPr="00C71058">
        <w:rPr>
          <w:rFonts w:ascii="Arial" w:hAnsi="Arial" w:cs="Arial"/>
          <w:sz w:val="20"/>
          <w:szCs w:val="20"/>
        </w:rPr>
        <w:t>its approved</w:t>
      </w:r>
      <w:r w:rsidRPr="00C71058">
        <w:rPr>
          <w:rFonts w:ascii="Arial" w:hAnsi="Arial" w:cs="Arial"/>
          <w:spacing w:val="-2"/>
          <w:sz w:val="20"/>
          <w:szCs w:val="20"/>
        </w:rPr>
        <w:t xml:space="preserve"> </w:t>
      </w:r>
      <w:r w:rsidRPr="00C71058">
        <w:rPr>
          <w:rFonts w:ascii="Arial" w:hAnsi="Arial" w:cs="Arial"/>
          <w:sz w:val="20"/>
          <w:szCs w:val="20"/>
        </w:rPr>
        <w:t>flight</w:t>
      </w:r>
      <w:r w:rsidRPr="00C71058">
        <w:rPr>
          <w:rFonts w:ascii="Arial" w:hAnsi="Arial" w:cs="Arial"/>
          <w:spacing w:val="-3"/>
          <w:sz w:val="20"/>
          <w:szCs w:val="20"/>
        </w:rPr>
        <w:t xml:space="preserve"> </w:t>
      </w:r>
      <w:r w:rsidRPr="00C71058">
        <w:rPr>
          <w:rFonts w:ascii="Arial" w:hAnsi="Arial" w:cs="Arial"/>
          <w:sz w:val="20"/>
          <w:szCs w:val="20"/>
        </w:rPr>
        <w:t>manual;</w:t>
      </w:r>
    </w:p>
    <w:p w14:paraId="338CF750" w14:textId="77777777" w:rsidR="007C33E3" w:rsidRPr="00C71058" w:rsidRDefault="007C33E3" w:rsidP="00C71058">
      <w:pPr>
        <w:pStyle w:val="ListParagraph"/>
        <w:numPr>
          <w:ilvl w:val="1"/>
          <w:numId w:val="328"/>
        </w:numPr>
        <w:tabs>
          <w:tab w:val="left" w:pos="1273"/>
          <w:tab w:val="left" w:pos="1274"/>
        </w:tabs>
        <w:spacing w:line="276" w:lineRule="auto"/>
        <w:ind w:hanging="568"/>
        <w:jc w:val="both"/>
        <w:rPr>
          <w:rFonts w:ascii="Arial" w:hAnsi="Arial" w:cs="Arial"/>
          <w:sz w:val="20"/>
          <w:szCs w:val="20"/>
        </w:rPr>
      </w:pPr>
      <w:r w:rsidRPr="00C71058">
        <w:rPr>
          <w:rFonts w:ascii="Arial" w:hAnsi="Arial" w:cs="Arial"/>
          <w:sz w:val="20"/>
          <w:szCs w:val="20"/>
        </w:rPr>
        <w:t>the</w:t>
      </w:r>
      <w:r w:rsidRPr="00C71058">
        <w:rPr>
          <w:rFonts w:ascii="Arial" w:hAnsi="Arial" w:cs="Arial"/>
          <w:spacing w:val="-1"/>
          <w:sz w:val="20"/>
          <w:szCs w:val="20"/>
        </w:rPr>
        <w:t xml:space="preserve"> </w:t>
      </w:r>
      <w:r w:rsidRPr="00C71058">
        <w:rPr>
          <w:rFonts w:ascii="Arial" w:hAnsi="Arial" w:cs="Arial"/>
          <w:sz w:val="20"/>
          <w:szCs w:val="20"/>
        </w:rPr>
        <w:t>aircraft</w:t>
      </w:r>
      <w:r w:rsidRPr="00C71058">
        <w:rPr>
          <w:rFonts w:ascii="Arial" w:hAnsi="Arial" w:cs="Arial"/>
          <w:spacing w:val="-1"/>
          <w:sz w:val="20"/>
          <w:szCs w:val="20"/>
        </w:rPr>
        <w:t xml:space="preserve"> </w:t>
      </w:r>
      <w:r w:rsidRPr="00C71058">
        <w:rPr>
          <w:rFonts w:ascii="Arial" w:hAnsi="Arial" w:cs="Arial"/>
          <w:sz w:val="20"/>
          <w:szCs w:val="20"/>
        </w:rPr>
        <w:t>configuration</w:t>
      </w:r>
      <w:r w:rsidRPr="00C71058">
        <w:rPr>
          <w:rFonts w:ascii="Arial" w:hAnsi="Arial" w:cs="Arial"/>
          <w:spacing w:val="-4"/>
          <w:sz w:val="20"/>
          <w:szCs w:val="20"/>
        </w:rPr>
        <w:t xml:space="preserve"> </w:t>
      </w:r>
      <w:r w:rsidRPr="00C71058">
        <w:rPr>
          <w:rFonts w:ascii="Arial" w:hAnsi="Arial" w:cs="Arial"/>
          <w:sz w:val="20"/>
          <w:szCs w:val="20"/>
        </w:rPr>
        <w:t>complies with</w:t>
      </w:r>
      <w:r w:rsidRPr="00C71058">
        <w:rPr>
          <w:rFonts w:ascii="Arial" w:hAnsi="Arial" w:cs="Arial"/>
          <w:spacing w:val="-1"/>
          <w:sz w:val="20"/>
          <w:szCs w:val="20"/>
        </w:rPr>
        <w:t xml:space="preserve"> </w:t>
      </w:r>
      <w:r w:rsidRPr="00C71058">
        <w:rPr>
          <w:rFonts w:ascii="Arial" w:hAnsi="Arial" w:cs="Arial"/>
          <w:sz w:val="20"/>
          <w:szCs w:val="20"/>
        </w:rPr>
        <w:t>the</w:t>
      </w:r>
      <w:r w:rsidRPr="00C71058">
        <w:rPr>
          <w:rFonts w:ascii="Arial" w:hAnsi="Arial" w:cs="Arial"/>
          <w:spacing w:val="-3"/>
          <w:sz w:val="20"/>
          <w:szCs w:val="20"/>
        </w:rPr>
        <w:t xml:space="preserve"> </w:t>
      </w:r>
      <w:r w:rsidRPr="00C71058">
        <w:rPr>
          <w:rFonts w:ascii="Arial" w:hAnsi="Arial" w:cs="Arial"/>
          <w:sz w:val="20"/>
          <w:szCs w:val="20"/>
        </w:rPr>
        <w:t>approved</w:t>
      </w:r>
      <w:r w:rsidRPr="00C71058">
        <w:rPr>
          <w:rFonts w:ascii="Arial" w:hAnsi="Arial" w:cs="Arial"/>
          <w:spacing w:val="-3"/>
          <w:sz w:val="20"/>
          <w:szCs w:val="20"/>
        </w:rPr>
        <w:t xml:space="preserve"> </w:t>
      </w:r>
      <w:r w:rsidRPr="00C71058">
        <w:rPr>
          <w:rFonts w:ascii="Arial" w:hAnsi="Arial" w:cs="Arial"/>
          <w:sz w:val="20"/>
          <w:szCs w:val="20"/>
        </w:rPr>
        <w:t>documentation;</w:t>
      </w:r>
    </w:p>
    <w:p w14:paraId="41F876A1" w14:textId="77777777" w:rsidR="007C33E3" w:rsidRPr="00C71058" w:rsidRDefault="007C33E3" w:rsidP="00C71058">
      <w:pPr>
        <w:pStyle w:val="ListParagraph"/>
        <w:numPr>
          <w:ilvl w:val="1"/>
          <w:numId w:val="328"/>
        </w:numPr>
        <w:tabs>
          <w:tab w:val="left" w:pos="1273"/>
          <w:tab w:val="left" w:pos="1274"/>
        </w:tabs>
        <w:spacing w:line="276" w:lineRule="auto"/>
        <w:ind w:hanging="568"/>
        <w:jc w:val="both"/>
        <w:rPr>
          <w:rFonts w:ascii="Arial" w:hAnsi="Arial" w:cs="Arial"/>
          <w:sz w:val="20"/>
          <w:szCs w:val="20"/>
        </w:rPr>
      </w:pPr>
      <w:r w:rsidRPr="00C71058">
        <w:rPr>
          <w:rFonts w:ascii="Arial" w:hAnsi="Arial" w:cs="Arial"/>
          <w:spacing w:val="-1"/>
          <w:sz w:val="20"/>
          <w:szCs w:val="20"/>
        </w:rPr>
        <w:t>no</w:t>
      </w:r>
      <w:r w:rsidRPr="00C71058">
        <w:rPr>
          <w:rFonts w:ascii="Arial" w:hAnsi="Arial" w:cs="Arial"/>
          <w:spacing w:val="-8"/>
          <w:sz w:val="20"/>
          <w:szCs w:val="20"/>
        </w:rPr>
        <w:t xml:space="preserve"> </w:t>
      </w:r>
      <w:r w:rsidRPr="00C71058">
        <w:rPr>
          <w:rFonts w:ascii="Arial" w:hAnsi="Arial" w:cs="Arial"/>
          <w:spacing w:val="-1"/>
          <w:sz w:val="20"/>
          <w:szCs w:val="20"/>
        </w:rPr>
        <w:t>evident</w:t>
      </w:r>
      <w:r w:rsidRPr="00C71058">
        <w:rPr>
          <w:rFonts w:ascii="Arial" w:hAnsi="Arial" w:cs="Arial"/>
          <w:spacing w:val="-11"/>
          <w:sz w:val="20"/>
          <w:szCs w:val="20"/>
        </w:rPr>
        <w:t xml:space="preserve"> </w:t>
      </w:r>
      <w:r w:rsidRPr="00C71058">
        <w:rPr>
          <w:rFonts w:ascii="Arial" w:hAnsi="Arial" w:cs="Arial"/>
          <w:spacing w:val="-1"/>
          <w:sz w:val="20"/>
          <w:szCs w:val="20"/>
        </w:rPr>
        <w:t>defect</w:t>
      </w:r>
      <w:r w:rsidRPr="00C71058">
        <w:rPr>
          <w:rFonts w:ascii="Arial" w:hAnsi="Arial" w:cs="Arial"/>
          <w:spacing w:val="-11"/>
          <w:sz w:val="20"/>
          <w:szCs w:val="20"/>
        </w:rPr>
        <w:t xml:space="preserve"> </w:t>
      </w:r>
      <w:r w:rsidRPr="00C71058">
        <w:rPr>
          <w:rFonts w:ascii="Arial" w:hAnsi="Arial" w:cs="Arial"/>
          <w:sz w:val="20"/>
          <w:szCs w:val="20"/>
        </w:rPr>
        <w:t>can</w:t>
      </w:r>
      <w:r w:rsidRPr="00C71058">
        <w:rPr>
          <w:rFonts w:ascii="Arial" w:hAnsi="Arial" w:cs="Arial"/>
          <w:spacing w:val="-10"/>
          <w:sz w:val="20"/>
          <w:szCs w:val="20"/>
        </w:rPr>
        <w:t xml:space="preserve"> </w:t>
      </w:r>
      <w:r w:rsidRPr="00C71058">
        <w:rPr>
          <w:rFonts w:ascii="Arial" w:hAnsi="Arial" w:cs="Arial"/>
          <w:sz w:val="20"/>
          <w:szCs w:val="20"/>
        </w:rPr>
        <w:t>be</w:t>
      </w:r>
      <w:r w:rsidRPr="00C71058">
        <w:rPr>
          <w:rFonts w:ascii="Arial" w:hAnsi="Arial" w:cs="Arial"/>
          <w:spacing w:val="-10"/>
          <w:sz w:val="20"/>
          <w:szCs w:val="20"/>
        </w:rPr>
        <w:t xml:space="preserve"> </w:t>
      </w:r>
      <w:r w:rsidRPr="00C71058">
        <w:rPr>
          <w:rFonts w:ascii="Arial" w:hAnsi="Arial" w:cs="Arial"/>
          <w:sz w:val="20"/>
          <w:szCs w:val="20"/>
        </w:rPr>
        <w:t>found</w:t>
      </w:r>
      <w:r w:rsidRPr="00C71058">
        <w:rPr>
          <w:rFonts w:ascii="Arial" w:hAnsi="Arial" w:cs="Arial"/>
          <w:spacing w:val="-10"/>
          <w:sz w:val="20"/>
          <w:szCs w:val="20"/>
        </w:rPr>
        <w:t xml:space="preserve"> </w:t>
      </w:r>
      <w:r w:rsidRPr="00C71058">
        <w:rPr>
          <w:rFonts w:ascii="Arial" w:hAnsi="Arial" w:cs="Arial"/>
          <w:sz w:val="20"/>
          <w:szCs w:val="20"/>
        </w:rPr>
        <w:t>that</w:t>
      </w:r>
      <w:r w:rsidRPr="00C71058">
        <w:rPr>
          <w:rFonts w:ascii="Arial" w:hAnsi="Arial" w:cs="Arial"/>
          <w:spacing w:val="-9"/>
          <w:sz w:val="20"/>
          <w:szCs w:val="20"/>
        </w:rPr>
        <w:t xml:space="preserve"> </w:t>
      </w:r>
      <w:r w:rsidRPr="00C71058">
        <w:rPr>
          <w:rFonts w:ascii="Arial" w:hAnsi="Arial" w:cs="Arial"/>
          <w:sz w:val="20"/>
          <w:szCs w:val="20"/>
        </w:rPr>
        <w:t>has</w:t>
      </w:r>
      <w:r w:rsidRPr="00C71058">
        <w:rPr>
          <w:rFonts w:ascii="Arial" w:hAnsi="Arial" w:cs="Arial"/>
          <w:spacing w:val="-10"/>
          <w:sz w:val="20"/>
          <w:szCs w:val="20"/>
        </w:rPr>
        <w:t xml:space="preserve"> </w:t>
      </w:r>
      <w:r w:rsidRPr="00C71058">
        <w:rPr>
          <w:rFonts w:ascii="Arial" w:hAnsi="Arial" w:cs="Arial"/>
          <w:sz w:val="20"/>
          <w:szCs w:val="20"/>
        </w:rPr>
        <w:t>not</w:t>
      </w:r>
      <w:r w:rsidRPr="00C71058">
        <w:rPr>
          <w:rFonts w:ascii="Arial" w:hAnsi="Arial" w:cs="Arial"/>
          <w:spacing w:val="-10"/>
          <w:sz w:val="20"/>
          <w:szCs w:val="20"/>
        </w:rPr>
        <w:t xml:space="preserve"> </w:t>
      </w:r>
      <w:r w:rsidRPr="00C71058">
        <w:rPr>
          <w:rFonts w:ascii="Arial" w:hAnsi="Arial" w:cs="Arial"/>
          <w:sz w:val="20"/>
          <w:szCs w:val="20"/>
        </w:rPr>
        <w:t>been</w:t>
      </w:r>
      <w:r w:rsidRPr="00C71058">
        <w:rPr>
          <w:rFonts w:ascii="Arial" w:hAnsi="Arial" w:cs="Arial"/>
          <w:spacing w:val="-13"/>
          <w:sz w:val="20"/>
          <w:szCs w:val="20"/>
        </w:rPr>
        <w:t xml:space="preserve"> </w:t>
      </w:r>
      <w:r w:rsidRPr="00C71058">
        <w:rPr>
          <w:rFonts w:ascii="Arial" w:hAnsi="Arial" w:cs="Arial"/>
          <w:sz w:val="20"/>
          <w:szCs w:val="20"/>
        </w:rPr>
        <w:t>addressed</w:t>
      </w:r>
      <w:r w:rsidRPr="00C71058">
        <w:rPr>
          <w:rFonts w:ascii="Arial" w:hAnsi="Arial" w:cs="Arial"/>
          <w:spacing w:val="-10"/>
          <w:sz w:val="20"/>
          <w:szCs w:val="20"/>
        </w:rPr>
        <w:t xml:space="preserve"> </w:t>
      </w:r>
      <w:r w:rsidRPr="00C71058">
        <w:rPr>
          <w:rFonts w:ascii="Arial" w:hAnsi="Arial" w:cs="Arial"/>
          <w:sz w:val="20"/>
          <w:szCs w:val="20"/>
        </w:rPr>
        <w:t>according</w:t>
      </w:r>
      <w:r w:rsidRPr="00C71058">
        <w:rPr>
          <w:rFonts w:ascii="Arial" w:hAnsi="Arial" w:cs="Arial"/>
          <w:spacing w:val="-10"/>
          <w:sz w:val="20"/>
          <w:szCs w:val="20"/>
        </w:rPr>
        <w:t xml:space="preserve"> </w:t>
      </w:r>
      <w:r w:rsidRPr="00C71058">
        <w:rPr>
          <w:rFonts w:ascii="Arial" w:hAnsi="Arial" w:cs="Arial"/>
          <w:sz w:val="20"/>
          <w:szCs w:val="20"/>
        </w:rPr>
        <w:t>to</w:t>
      </w:r>
      <w:r w:rsidRPr="00C71058">
        <w:rPr>
          <w:rFonts w:ascii="Arial" w:hAnsi="Arial" w:cs="Arial"/>
          <w:spacing w:val="-9"/>
          <w:sz w:val="20"/>
          <w:szCs w:val="20"/>
        </w:rPr>
        <w:t xml:space="preserve"> </w:t>
      </w:r>
      <w:r w:rsidRPr="00C71058">
        <w:rPr>
          <w:rFonts w:ascii="Arial" w:hAnsi="Arial" w:cs="Arial"/>
          <w:sz w:val="20"/>
          <w:szCs w:val="20"/>
        </w:rPr>
        <w:t>point</w:t>
      </w:r>
      <w:r w:rsidRPr="00C71058">
        <w:rPr>
          <w:rFonts w:ascii="Arial" w:hAnsi="Arial" w:cs="Arial"/>
          <w:color w:val="0000FF"/>
          <w:spacing w:val="-12"/>
          <w:sz w:val="20"/>
          <w:szCs w:val="20"/>
        </w:rPr>
        <w:t xml:space="preserve"> </w:t>
      </w:r>
      <w:r w:rsidRPr="00C71058">
        <w:rPr>
          <w:rFonts w:ascii="Arial" w:hAnsi="Arial" w:cs="Arial"/>
          <w:sz w:val="20"/>
          <w:szCs w:val="20"/>
        </w:rPr>
        <w:t>ML.A.403;</w:t>
      </w:r>
    </w:p>
    <w:p w14:paraId="73EBCBA9" w14:textId="77777777" w:rsidR="007C33E3" w:rsidRPr="00C71058" w:rsidRDefault="007C33E3" w:rsidP="00C71058">
      <w:pPr>
        <w:pStyle w:val="ListParagraph"/>
        <w:numPr>
          <w:ilvl w:val="1"/>
          <w:numId w:val="328"/>
        </w:numPr>
        <w:tabs>
          <w:tab w:val="left" w:pos="1273"/>
          <w:tab w:val="left" w:pos="1274"/>
        </w:tabs>
        <w:spacing w:before="121" w:line="276" w:lineRule="auto"/>
        <w:ind w:right="199"/>
        <w:jc w:val="both"/>
        <w:rPr>
          <w:rFonts w:ascii="Arial" w:hAnsi="Arial" w:cs="Arial"/>
          <w:sz w:val="20"/>
          <w:szCs w:val="20"/>
        </w:rPr>
      </w:pPr>
      <w:r w:rsidRPr="00C71058">
        <w:rPr>
          <w:rFonts w:ascii="Arial" w:hAnsi="Arial" w:cs="Arial"/>
          <w:sz w:val="20"/>
          <w:szCs w:val="20"/>
        </w:rPr>
        <w:t>no</w:t>
      </w:r>
      <w:r w:rsidRPr="00C71058">
        <w:rPr>
          <w:rFonts w:ascii="Arial" w:hAnsi="Arial" w:cs="Arial"/>
          <w:spacing w:val="28"/>
          <w:sz w:val="20"/>
          <w:szCs w:val="20"/>
        </w:rPr>
        <w:t xml:space="preserve"> </w:t>
      </w:r>
      <w:r w:rsidRPr="00C71058">
        <w:rPr>
          <w:rFonts w:ascii="Arial" w:hAnsi="Arial" w:cs="Arial"/>
          <w:sz w:val="20"/>
          <w:szCs w:val="20"/>
        </w:rPr>
        <w:t>inconsistencies</w:t>
      </w:r>
      <w:r w:rsidRPr="00C71058">
        <w:rPr>
          <w:rFonts w:ascii="Arial" w:hAnsi="Arial" w:cs="Arial"/>
          <w:spacing w:val="29"/>
          <w:sz w:val="20"/>
          <w:szCs w:val="20"/>
        </w:rPr>
        <w:t xml:space="preserve"> </w:t>
      </w:r>
      <w:r w:rsidRPr="00C71058">
        <w:rPr>
          <w:rFonts w:ascii="Arial" w:hAnsi="Arial" w:cs="Arial"/>
          <w:sz w:val="20"/>
          <w:szCs w:val="20"/>
        </w:rPr>
        <w:t>can</w:t>
      </w:r>
      <w:r w:rsidRPr="00C71058">
        <w:rPr>
          <w:rFonts w:ascii="Arial" w:hAnsi="Arial" w:cs="Arial"/>
          <w:spacing w:val="24"/>
          <w:sz w:val="20"/>
          <w:szCs w:val="20"/>
        </w:rPr>
        <w:t xml:space="preserve"> </w:t>
      </w:r>
      <w:r w:rsidRPr="00C71058">
        <w:rPr>
          <w:rFonts w:ascii="Arial" w:hAnsi="Arial" w:cs="Arial"/>
          <w:sz w:val="20"/>
          <w:szCs w:val="20"/>
        </w:rPr>
        <w:t>be</w:t>
      </w:r>
      <w:r w:rsidRPr="00C71058">
        <w:rPr>
          <w:rFonts w:ascii="Arial" w:hAnsi="Arial" w:cs="Arial"/>
          <w:spacing w:val="26"/>
          <w:sz w:val="20"/>
          <w:szCs w:val="20"/>
        </w:rPr>
        <w:t xml:space="preserve"> </w:t>
      </w:r>
      <w:r w:rsidRPr="00C71058">
        <w:rPr>
          <w:rFonts w:ascii="Arial" w:hAnsi="Arial" w:cs="Arial"/>
          <w:sz w:val="20"/>
          <w:szCs w:val="20"/>
        </w:rPr>
        <w:t>found</w:t>
      </w:r>
      <w:r w:rsidRPr="00C71058">
        <w:rPr>
          <w:rFonts w:ascii="Arial" w:hAnsi="Arial" w:cs="Arial"/>
          <w:spacing w:val="26"/>
          <w:sz w:val="20"/>
          <w:szCs w:val="20"/>
        </w:rPr>
        <w:t xml:space="preserve"> </w:t>
      </w:r>
      <w:r w:rsidRPr="00C71058">
        <w:rPr>
          <w:rFonts w:ascii="Arial" w:hAnsi="Arial" w:cs="Arial"/>
          <w:sz w:val="20"/>
          <w:szCs w:val="20"/>
        </w:rPr>
        <w:t>between</w:t>
      </w:r>
      <w:r w:rsidRPr="00C71058">
        <w:rPr>
          <w:rFonts w:ascii="Arial" w:hAnsi="Arial" w:cs="Arial"/>
          <w:spacing w:val="25"/>
          <w:sz w:val="20"/>
          <w:szCs w:val="20"/>
        </w:rPr>
        <w:t xml:space="preserve"> </w:t>
      </w:r>
      <w:r w:rsidRPr="00C71058">
        <w:rPr>
          <w:rFonts w:ascii="Arial" w:hAnsi="Arial" w:cs="Arial"/>
          <w:sz w:val="20"/>
          <w:szCs w:val="20"/>
        </w:rPr>
        <w:t>the</w:t>
      </w:r>
      <w:r w:rsidRPr="00C71058">
        <w:rPr>
          <w:rFonts w:ascii="Arial" w:hAnsi="Arial" w:cs="Arial"/>
          <w:spacing w:val="27"/>
          <w:sz w:val="20"/>
          <w:szCs w:val="20"/>
        </w:rPr>
        <w:t xml:space="preserve"> </w:t>
      </w:r>
      <w:r w:rsidRPr="00C71058">
        <w:rPr>
          <w:rFonts w:ascii="Arial" w:hAnsi="Arial" w:cs="Arial"/>
          <w:sz w:val="20"/>
          <w:szCs w:val="20"/>
        </w:rPr>
        <w:t>aircraft</w:t>
      </w:r>
      <w:r w:rsidRPr="00C71058">
        <w:rPr>
          <w:rFonts w:ascii="Arial" w:hAnsi="Arial" w:cs="Arial"/>
          <w:spacing w:val="29"/>
          <w:sz w:val="20"/>
          <w:szCs w:val="20"/>
        </w:rPr>
        <w:t xml:space="preserve"> </w:t>
      </w:r>
      <w:r w:rsidRPr="00C71058">
        <w:rPr>
          <w:rFonts w:ascii="Arial" w:hAnsi="Arial" w:cs="Arial"/>
          <w:sz w:val="20"/>
          <w:szCs w:val="20"/>
        </w:rPr>
        <w:t>and</w:t>
      </w:r>
      <w:r w:rsidRPr="00C71058">
        <w:rPr>
          <w:rFonts w:ascii="Arial" w:hAnsi="Arial" w:cs="Arial"/>
          <w:spacing w:val="26"/>
          <w:sz w:val="20"/>
          <w:szCs w:val="20"/>
        </w:rPr>
        <w:t xml:space="preserve"> </w:t>
      </w:r>
      <w:r w:rsidRPr="00C71058">
        <w:rPr>
          <w:rFonts w:ascii="Arial" w:hAnsi="Arial" w:cs="Arial"/>
          <w:sz w:val="20"/>
          <w:szCs w:val="20"/>
        </w:rPr>
        <w:t>the</w:t>
      </w:r>
      <w:r w:rsidRPr="00C71058">
        <w:rPr>
          <w:rFonts w:ascii="Arial" w:hAnsi="Arial" w:cs="Arial"/>
          <w:spacing w:val="28"/>
          <w:sz w:val="20"/>
          <w:szCs w:val="20"/>
        </w:rPr>
        <w:t xml:space="preserve"> </w:t>
      </w:r>
      <w:r w:rsidRPr="00C71058">
        <w:rPr>
          <w:rFonts w:ascii="Arial" w:hAnsi="Arial" w:cs="Arial"/>
          <w:sz w:val="20"/>
          <w:szCs w:val="20"/>
        </w:rPr>
        <w:t>documented</w:t>
      </w:r>
      <w:r w:rsidRPr="00C71058">
        <w:rPr>
          <w:rFonts w:ascii="Arial" w:hAnsi="Arial" w:cs="Arial"/>
          <w:spacing w:val="28"/>
          <w:sz w:val="20"/>
          <w:szCs w:val="20"/>
        </w:rPr>
        <w:t xml:space="preserve"> </w:t>
      </w:r>
      <w:r w:rsidRPr="00C71058">
        <w:rPr>
          <w:rFonts w:ascii="Arial" w:hAnsi="Arial" w:cs="Arial"/>
          <w:sz w:val="20"/>
          <w:szCs w:val="20"/>
        </w:rPr>
        <w:t>review</w:t>
      </w:r>
      <w:r w:rsidRPr="00C71058">
        <w:rPr>
          <w:rFonts w:ascii="Arial" w:hAnsi="Arial" w:cs="Arial"/>
          <w:spacing w:val="25"/>
          <w:sz w:val="20"/>
          <w:szCs w:val="20"/>
        </w:rPr>
        <w:t xml:space="preserve"> </w:t>
      </w:r>
      <w:r w:rsidRPr="00C71058">
        <w:rPr>
          <w:rFonts w:ascii="Arial" w:hAnsi="Arial" w:cs="Arial"/>
          <w:sz w:val="20"/>
          <w:szCs w:val="20"/>
        </w:rPr>
        <w:t>of</w:t>
      </w:r>
      <w:r w:rsidRPr="00C71058">
        <w:rPr>
          <w:rFonts w:ascii="Arial" w:hAnsi="Arial" w:cs="Arial"/>
          <w:spacing w:val="-47"/>
          <w:sz w:val="20"/>
          <w:szCs w:val="20"/>
        </w:rPr>
        <w:t xml:space="preserve"> </w:t>
      </w:r>
      <w:r w:rsidRPr="00C71058">
        <w:rPr>
          <w:rFonts w:ascii="Arial" w:hAnsi="Arial" w:cs="Arial"/>
          <w:sz w:val="20"/>
          <w:szCs w:val="20"/>
        </w:rPr>
        <w:t>records</w:t>
      </w:r>
      <w:r w:rsidRPr="00C71058">
        <w:rPr>
          <w:rFonts w:ascii="Arial" w:hAnsi="Arial" w:cs="Arial"/>
          <w:spacing w:val="-3"/>
          <w:sz w:val="20"/>
          <w:szCs w:val="20"/>
        </w:rPr>
        <w:t xml:space="preserve"> </w:t>
      </w:r>
      <w:r w:rsidRPr="00C71058">
        <w:rPr>
          <w:rFonts w:ascii="Arial" w:hAnsi="Arial" w:cs="Arial"/>
          <w:sz w:val="20"/>
          <w:szCs w:val="20"/>
        </w:rPr>
        <w:t>as referred</w:t>
      </w:r>
      <w:r w:rsidRPr="00C71058">
        <w:rPr>
          <w:rFonts w:ascii="Arial" w:hAnsi="Arial" w:cs="Arial"/>
          <w:spacing w:val="-3"/>
          <w:sz w:val="20"/>
          <w:szCs w:val="20"/>
        </w:rPr>
        <w:t xml:space="preserve"> </w:t>
      </w:r>
      <w:r w:rsidRPr="00C71058">
        <w:rPr>
          <w:rFonts w:ascii="Arial" w:hAnsi="Arial" w:cs="Arial"/>
          <w:sz w:val="20"/>
          <w:szCs w:val="20"/>
        </w:rPr>
        <w:t>to</w:t>
      </w:r>
      <w:r w:rsidRPr="00C71058">
        <w:rPr>
          <w:rFonts w:ascii="Arial" w:hAnsi="Arial" w:cs="Arial"/>
          <w:spacing w:val="-2"/>
          <w:sz w:val="20"/>
          <w:szCs w:val="20"/>
        </w:rPr>
        <w:t xml:space="preserve"> </w:t>
      </w:r>
      <w:r w:rsidRPr="00C71058">
        <w:rPr>
          <w:rFonts w:ascii="Arial" w:hAnsi="Arial" w:cs="Arial"/>
          <w:sz w:val="20"/>
          <w:szCs w:val="20"/>
        </w:rPr>
        <w:t>in point (a).</w:t>
      </w:r>
    </w:p>
    <w:p w14:paraId="37F1160B" w14:textId="77777777" w:rsidR="007C33E3" w:rsidRPr="00C71058" w:rsidRDefault="007C33E3" w:rsidP="00C30C93">
      <w:pPr>
        <w:pStyle w:val="ListParagraph"/>
        <w:numPr>
          <w:ilvl w:val="0"/>
          <w:numId w:val="328"/>
        </w:numPr>
        <w:tabs>
          <w:tab w:val="left" w:pos="707"/>
        </w:tabs>
        <w:spacing w:line="276" w:lineRule="auto"/>
        <w:ind w:right="44"/>
        <w:jc w:val="both"/>
        <w:rPr>
          <w:rFonts w:ascii="Arial" w:hAnsi="Arial" w:cs="Arial"/>
          <w:sz w:val="20"/>
          <w:szCs w:val="20"/>
        </w:rPr>
      </w:pPr>
      <w:r w:rsidRPr="00C71058">
        <w:rPr>
          <w:rFonts w:ascii="Arial" w:hAnsi="Arial" w:cs="Arial"/>
          <w:sz w:val="20"/>
          <w:szCs w:val="20"/>
        </w:rPr>
        <w:t>By derogation from point ML.A.901(a), the airworthiness review may be anticipated for a</w:t>
      </w:r>
      <w:r w:rsidRPr="00C71058">
        <w:rPr>
          <w:rFonts w:ascii="Arial" w:hAnsi="Arial" w:cs="Arial"/>
          <w:spacing w:val="1"/>
          <w:sz w:val="20"/>
          <w:szCs w:val="20"/>
        </w:rPr>
        <w:t xml:space="preserve"> </w:t>
      </w:r>
      <w:r w:rsidRPr="00C71058">
        <w:rPr>
          <w:rFonts w:ascii="Arial" w:hAnsi="Arial" w:cs="Arial"/>
          <w:sz w:val="20"/>
          <w:szCs w:val="20"/>
        </w:rPr>
        <w:t>maximum period of 90 days, without loss of continuity of the airworthiness review pattern, so</w:t>
      </w:r>
      <w:r w:rsidRPr="00C71058">
        <w:rPr>
          <w:rFonts w:ascii="Arial" w:hAnsi="Arial" w:cs="Arial"/>
          <w:spacing w:val="1"/>
          <w:sz w:val="20"/>
          <w:szCs w:val="20"/>
        </w:rPr>
        <w:t xml:space="preserve"> </w:t>
      </w:r>
      <w:r w:rsidRPr="00C71058">
        <w:rPr>
          <w:rFonts w:ascii="Arial" w:hAnsi="Arial" w:cs="Arial"/>
          <w:sz w:val="20"/>
          <w:szCs w:val="20"/>
        </w:rPr>
        <w:t>as</w:t>
      </w:r>
      <w:r w:rsidRPr="00C71058">
        <w:rPr>
          <w:rFonts w:ascii="Arial" w:hAnsi="Arial" w:cs="Arial"/>
          <w:spacing w:val="-1"/>
          <w:sz w:val="20"/>
          <w:szCs w:val="20"/>
        </w:rPr>
        <w:t xml:space="preserve"> </w:t>
      </w:r>
      <w:r w:rsidRPr="00C71058">
        <w:rPr>
          <w:rFonts w:ascii="Arial" w:hAnsi="Arial" w:cs="Arial"/>
          <w:sz w:val="20"/>
          <w:szCs w:val="20"/>
        </w:rPr>
        <w:t>to</w:t>
      </w:r>
      <w:r w:rsidRPr="00C71058">
        <w:rPr>
          <w:rFonts w:ascii="Arial" w:hAnsi="Arial" w:cs="Arial"/>
          <w:spacing w:val="-2"/>
          <w:sz w:val="20"/>
          <w:szCs w:val="20"/>
        </w:rPr>
        <w:t xml:space="preserve"> </w:t>
      </w:r>
      <w:r w:rsidRPr="00C71058">
        <w:rPr>
          <w:rFonts w:ascii="Arial" w:hAnsi="Arial" w:cs="Arial"/>
          <w:sz w:val="20"/>
          <w:szCs w:val="20"/>
        </w:rPr>
        <w:t>allow</w:t>
      </w:r>
      <w:r w:rsidRPr="00C71058">
        <w:rPr>
          <w:rFonts w:ascii="Arial" w:hAnsi="Arial" w:cs="Arial"/>
          <w:spacing w:val="1"/>
          <w:sz w:val="20"/>
          <w:szCs w:val="20"/>
        </w:rPr>
        <w:t xml:space="preserve"> </w:t>
      </w:r>
      <w:r w:rsidRPr="00C71058">
        <w:rPr>
          <w:rFonts w:ascii="Arial" w:hAnsi="Arial" w:cs="Arial"/>
          <w:sz w:val="20"/>
          <w:szCs w:val="20"/>
        </w:rPr>
        <w:t>the physical review</w:t>
      </w:r>
      <w:r w:rsidRPr="00C71058">
        <w:rPr>
          <w:rFonts w:ascii="Arial" w:hAnsi="Arial" w:cs="Arial"/>
          <w:spacing w:val="1"/>
          <w:sz w:val="20"/>
          <w:szCs w:val="20"/>
        </w:rPr>
        <w:t xml:space="preserve"> </w:t>
      </w:r>
      <w:r w:rsidRPr="00C71058">
        <w:rPr>
          <w:rFonts w:ascii="Arial" w:hAnsi="Arial" w:cs="Arial"/>
          <w:sz w:val="20"/>
          <w:szCs w:val="20"/>
        </w:rPr>
        <w:t>to</w:t>
      </w:r>
      <w:r w:rsidRPr="00C71058">
        <w:rPr>
          <w:rFonts w:ascii="Arial" w:hAnsi="Arial" w:cs="Arial"/>
          <w:spacing w:val="-1"/>
          <w:sz w:val="20"/>
          <w:szCs w:val="20"/>
        </w:rPr>
        <w:t xml:space="preserve"> </w:t>
      </w:r>
      <w:r w:rsidRPr="00C71058">
        <w:rPr>
          <w:rFonts w:ascii="Arial" w:hAnsi="Arial" w:cs="Arial"/>
          <w:sz w:val="20"/>
          <w:szCs w:val="20"/>
        </w:rPr>
        <w:t>take</w:t>
      </w:r>
      <w:r w:rsidRPr="00C71058">
        <w:rPr>
          <w:rFonts w:ascii="Arial" w:hAnsi="Arial" w:cs="Arial"/>
          <w:spacing w:val="-3"/>
          <w:sz w:val="20"/>
          <w:szCs w:val="20"/>
        </w:rPr>
        <w:t xml:space="preserve"> </w:t>
      </w:r>
      <w:r w:rsidRPr="00C71058">
        <w:rPr>
          <w:rFonts w:ascii="Arial" w:hAnsi="Arial" w:cs="Arial"/>
          <w:sz w:val="20"/>
          <w:szCs w:val="20"/>
        </w:rPr>
        <w:t>place</w:t>
      </w:r>
      <w:r w:rsidRPr="00C71058">
        <w:rPr>
          <w:rFonts w:ascii="Arial" w:hAnsi="Arial" w:cs="Arial"/>
          <w:spacing w:val="1"/>
          <w:sz w:val="20"/>
          <w:szCs w:val="20"/>
        </w:rPr>
        <w:t xml:space="preserve"> </w:t>
      </w:r>
      <w:r w:rsidRPr="00C71058">
        <w:rPr>
          <w:rFonts w:ascii="Arial" w:hAnsi="Arial" w:cs="Arial"/>
          <w:sz w:val="20"/>
          <w:szCs w:val="20"/>
        </w:rPr>
        <w:t>during</w:t>
      </w:r>
      <w:r w:rsidRPr="00C71058">
        <w:rPr>
          <w:rFonts w:ascii="Arial" w:hAnsi="Arial" w:cs="Arial"/>
          <w:spacing w:val="-1"/>
          <w:sz w:val="20"/>
          <w:szCs w:val="20"/>
        </w:rPr>
        <w:t xml:space="preserve"> </w:t>
      </w:r>
      <w:r w:rsidRPr="00C71058">
        <w:rPr>
          <w:rFonts w:ascii="Arial" w:hAnsi="Arial" w:cs="Arial"/>
          <w:sz w:val="20"/>
          <w:szCs w:val="20"/>
        </w:rPr>
        <w:t>a</w:t>
      </w:r>
      <w:r w:rsidRPr="00C71058">
        <w:rPr>
          <w:rFonts w:ascii="Arial" w:hAnsi="Arial" w:cs="Arial"/>
          <w:spacing w:val="-2"/>
          <w:sz w:val="20"/>
          <w:szCs w:val="20"/>
        </w:rPr>
        <w:t xml:space="preserve"> </w:t>
      </w:r>
      <w:r w:rsidRPr="00C71058">
        <w:rPr>
          <w:rFonts w:ascii="Arial" w:hAnsi="Arial" w:cs="Arial"/>
          <w:sz w:val="20"/>
          <w:szCs w:val="20"/>
        </w:rPr>
        <w:t>maintenance check.</w:t>
      </w:r>
    </w:p>
    <w:p w14:paraId="36E78361" w14:textId="1F92CAA2" w:rsidR="007C33E3" w:rsidRPr="00C71058" w:rsidRDefault="007C33E3" w:rsidP="00C71058">
      <w:pPr>
        <w:pStyle w:val="ListParagraph"/>
        <w:numPr>
          <w:ilvl w:val="0"/>
          <w:numId w:val="328"/>
        </w:numPr>
        <w:tabs>
          <w:tab w:val="left" w:pos="707"/>
        </w:tabs>
        <w:spacing w:before="121" w:line="276" w:lineRule="auto"/>
        <w:jc w:val="both"/>
        <w:rPr>
          <w:rFonts w:ascii="Arial" w:hAnsi="Arial" w:cs="Arial"/>
          <w:sz w:val="20"/>
          <w:szCs w:val="20"/>
        </w:rPr>
      </w:pPr>
      <w:r w:rsidRPr="00E9237F">
        <w:rPr>
          <w:rFonts w:ascii="Arial" w:hAnsi="Arial" w:cs="Arial"/>
          <w:sz w:val="20"/>
          <w:szCs w:val="20"/>
        </w:rPr>
        <w:t>The</w:t>
      </w:r>
      <w:r w:rsidRPr="00E9237F">
        <w:rPr>
          <w:rFonts w:ascii="Arial" w:hAnsi="Arial" w:cs="Arial"/>
          <w:spacing w:val="-1"/>
          <w:sz w:val="20"/>
          <w:szCs w:val="20"/>
        </w:rPr>
        <w:t xml:space="preserve"> </w:t>
      </w:r>
      <w:r w:rsidRPr="00E9237F">
        <w:rPr>
          <w:rFonts w:ascii="Arial" w:hAnsi="Arial" w:cs="Arial"/>
          <w:sz w:val="20"/>
          <w:szCs w:val="20"/>
        </w:rPr>
        <w:t>ARC</w:t>
      </w:r>
      <w:r w:rsidRPr="00E9237F">
        <w:rPr>
          <w:rFonts w:ascii="Arial" w:hAnsi="Arial" w:cs="Arial"/>
          <w:spacing w:val="-4"/>
          <w:sz w:val="20"/>
          <w:szCs w:val="20"/>
        </w:rPr>
        <w:t xml:space="preserve"> </w:t>
      </w:r>
      <w:r w:rsidR="00E9237F" w:rsidRPr="00E9237F">
        <w:rPr>
          <w:rFonts w:ascii="Arial" w:hAnsi="Arial" w:cs="Arial"/>
          <w:sz w:val="20"/>
          <w:szCs w:val="20"/>
        </w:rPr>
        <w:t>(</w:t>
      </w:r>
      <w:r w:rsidRPr="00E9237F">
        <w:rPr>
          <w:rFonts w:ascii="Arial" w:hAnsi="Arial" w:cs="Arial"/>
          <w:sz w:val="20"/>
          <w:szCs w:val="20"/>
        </w:rPr>
        <w:t>Form</w:t>
      </w:r>
      <w:r w:rsidRPr="00E9237F">
        <w:rPr>
          <w:rFonts w:ascii="Arial" w:hAnsi="Arial" w:cs="Arial"/>
          <w:spacing w:val="-1"/>
          <w:sz w:val="20"/>
          <w:szCs w:val="20"/>
        </w:rPr>
        <w:t xml:space="preserve"> </w:t>
      </w:r>
      <w:r w:rsidRPr="00E9237F">
        <w:rPr>
          <w:rFonts w:ascii="Arial" w:hAnsi="Arial" w:cs="Arial"/>
          <w:sz w:val="20"/>
          <w:szCs w:val="20"/>
        </w:rPr>
        <w:t>15c)</w:t>
      </w:r>
      <w:r w:rsidRPr="00C71058">
        <w:rPr>
          <w:rFonts w:ascii="Arial" w:hAnsi="Arial" w:cs="Arial"/>
          <w:sz w:val="20"/>
          <w:szCs w:val="20"/>
        </w:rPr>
        <w:t xml:space="preserve"> </w:t>
      </w:r>
      <w:hyperlink r:id="rId130" w:history="1">
        <w:r w:rsidR="00E9237F">
          <w:rPr>
            <w:rStyle w:val="Hyperlink"/>
            <w:rFonts w:ascii="Arial" w:hAnsi="Arial" w:cs="Arial"/>
            <w:sz w:val="20"/>
            <w:szCs w:val="20"/>
          </w:rPr>
          <w:t xml:space="preserve"> order N 1</w:t>
        </w:r>
        <w:r w:rsidR="00E9237F" w:rsidRPr="00C71058">
          <w:rPr>
            <w:rStyle w:val="Hyperlink"/>
            <w:rFonts w:ascii="Arial" w:hAnsi="Arial" w:cs="Arial"/>
            <w:sz w:val="20"/>
            <w:szCs w:val="20"/>
          </w:rPr>
          <w:t>0-N of the Minister of Territorial Administration an</w:t>
        </w:r>
        <w:r w:rsidR="00E9237F">
          <w:rPr>
            <w:rStyle w:val="Hyperlink"/>
            <w:rFonts w:ascii="Arial" w:hAnsi="Arial" w:cs="Arial"/>
            <w:sz w:val="20"/>
            <w:szCs w:val="20"/>
          </w:rPr>
          <w:t>d Infrastructure of RA, dated 01.</w:t>
        </w:r>
        <w:r w:rsidR="00E9237F">
          <w:rPr>
            <w:rStyle w:val="Hyperlink"/>
            <w:rFonts w:ascii="Arial" w:hAnsi="Arial" w:cs="Arial"/>
            <w:sz w:val="20"/>
            <w:szCs w:val="20"/>
            <w:lang w:val="hy-AM"/>
          </w:rPr>
          <w:t>06</w:t>
        </w:r>
        <w:r w:rsidR="00E9237F" w:rsidRPr="00C71058">
          <w:rPr>
            <w:rStyle w:val="Hyperlink"/>
            <w:rFonts w:ascii="Arial" w:hAnsi="Arial" w:cs="Arial"/>
            <w:sz w:val="20"/>
            <w:szCs w:val="20"/>
          </w:rPr>
          <w:t>.2022</w:t>
        </w:r>
      </w:hyperlink>
      <w:r w:rsidR="00E9237F" w:rsidRPr="00C71058">
        <w:rPr>
          <w:sz w:val="20"/>
          <w:szCs w:val="20"/>
        </w:rPr>
        <w:t>.</w:t>
      </w:r>
      <w:r w:rsidRPr="00C71058">
        <w:rPr>
          <w:rFonts w:ascii="Arial" w:hAnsi="Arial" w:cs="Arial"/>
          <w:sz w:val="20"/>
          <w:szCs w:val="20"/>
        </w:rPr>
        <w:t>set</w:t>
      </w:r>
      <w:r w:rsidRPr="00C71058">
        <w:rPr>
          <w:rFonts w:ascii="Arial" w:hAnsi="Arial" w:cs="Arial"/>
          <w:spacing w:val="-2"/>
          <w:sz w:val="20"/>
          <w:szCs w:val="20"/>
        </w:rPr>
        <w:t xml:space="preserve"> </w:t>
      </w:r>
      <w:r w:rsidRPr="00C71058">
        <w:rPr>
          <w:rFonts w:ascii="Arial" w:hAnsi="Arial" w:cs="Arial"/>
          <w:sz w:val="20"/>
          <w:szCs w:val="20"/>
        </w:rPr>
        <w:t>out</w:t>
      </w:r>
      <w:r w:rsidRPr="00C71058">
        <w:rPr>
          <w:rFonts w:ascii="Arial" w:hAnsi="Arial" w:cs="Arial"/>
          <w:spacing w:val="-1"/>
          <w:sz w:val="20"/>
          <w:szCs w:val="20"/>
        </w:rPr>
        <w:t xml:space="preserve"> </w:t>
      </w:r>
      <w:r w:rsidRPr="00C71058">
        <w:rPr>
          <w:rFonts w:ascii="Arial" w:hAnsi="Arial" w:cs="Arial"/>
          <w:sz w:val="20"/>
          <w:szCs w:val="20"/>
        </w:rPr>
        <w:t>to</w:t>
      </w:r>
      <w:r w:rsidRPr="00C71058">
        <w:rPr>
          <w:rFonts w:ascii="Arial" w:hAnsi="Arial" w:cs="Arial"/>
          <w:spacing w:val="1"/>
          <w:sz w:val="20"/>
          <w:szCs w:val="20"/>
        </w:rPr>
        <w:t xml:space="preserve"> </w:t>
      </w:r>
      <w:r w:rsidRPr="00C71058">
        <w:rPr>
          <w:rFonts w:ascii="Arial" w:hAnsi="Arial" w:cs="Arial"/>
          <w:sz w:val="20"/>
          <w:szCs w:val="20"/>
        </w:rPr>
        <w:t>in</w:t>
      </w:r>
      <w:r w:rsidRPr="00C71058">
        <w:rPr>
          <w:rFonts w:ascii="Arial" w:hAnsi="Arial" w:cs="Arial"/>
          <w:spacing w:val="-1"/>
          <w:sz w:val="20"/>
          <w:szCs w:val="20"/>
        </w:rPr>
        <w:t xml:space="preserve"> </w:t>
      </w:r>
      <w:r w:rsidRPr="00C71058">
        <w:rPr>
          <w:rFonts w:ascii="Arial" w:hAnsi="Arial" w:cs="Arial"/>
          <w:sz w:val="20"/>
          <w:szCs w:val="20"/>
        </w:rPr>
        <w:t>Appendix</w:t>
      </w:r>
      <w:r w:rsidRPr="00C71058">
        <w:rPr>
          <w:rFonts w:ascii="Arial" w:hAnsi="Arial" w:cs="Arial"/>
          <w:spacing w:val="-3"/>
          <w:sz w:val="20"/>
          <w:szCs w:val="20"/>
        </w:rPr>
        <w:t xml:space="preserve"> </w:t>
      </w:r>
      <w:r w:rsidRPr="00C71058">
        <w:rPr>
          <w:rFonts w:ascii="Arial" w:hAnsi="Arial" w:cs="Arial"/>
          <w:sz w:val="20"/>
          <w:szCs w:val="20"/>
        </w:rPr>
        <w:t>IV</w:t>
      </w:r>
      <w:r w:rsidRPr="00C71058">
        <w:rPr>
          <w:rFonts w:ascii="Arial" w:hAnsi="Arial" w:cs="Arial"/>
          <w:spacing w:val="-1"/>
          <w:sz w:val="20"/>
          <w:szCs w:val="20"/>
        </w:rPr>
        <w:t xml:space="preserve"> </w:t>
      </w:r>
      <w:r w:rsidRPr="00C71058">
        <w:rPr>
          <w:rFonts w:ascii="Arial" w:hAnsi="Arial" w:cs="Arial"/>
          <w:sz w:val="20"/>
          <w:szCs w:val="20"/>
        </w:rPr>
        <w:t>shall</w:t>
      </w:r>
      <w:r w:rsidRPr="00C71058">
        <w:rPr>
          <w:rFonts w:ascii="Arial" w:hAnsi="Arial" w:cs="Arial"/>
          <w:spacing w:val="-2"/>
          <w:sz w:val="20"/>
          <w:szCs w:val="20"/>
        </w:rPr>
        <w:t xml:space="preserve"> </w:t>
      </w:r>
      <w:r w:rsidRPr="00C71058">
        <w:rPr>
          <w:rFonts w:ascii="Arial" w:hAnsi="Arial" w:cs="Arial"/>
          <w:sz w:val="20"/>
          <w:szCs w:val="20"/>
        </w:rPr>
        <w:t>only</w:t>
      </w:r>
      <w:r w:rsidRPr="00C71058">
        <w:rPr>
          <w:rFonts w:ascii="Arial" w:hAnsi="Arial" w:cs="Arial"/>
          <w:spacing w:val="-2"/>
          <w:sz w:val="20"/>
          <w:szCs w:val="20"/>
        </w:rPr>
        <w:t xml:space="preserve"> </w:t>
      </w:r>
      <w:r w:rsidRPr="00C71058">
        <w:rPr>
          <w:rFonts w:ascii="Arial" w:hAnsi="Arial" w:cs="Arial"/>
          <w:sz w:val="20"/>
          <w:szCs w:val="20"/>
        </w:rPr>
        <w:t>be</w:t>
      </w:r>
      <w:r w:rsidRPr="00C71058">
        <w:rPr>
          <w:rFonts w:ascii="Arial" w:hAnsi="Arial" w:cs="Arial"/>
          <w:spacing w:val="-1"/>
          <w:sz w:val="20"/>
          <w:szCs w:val="20"/>
        </w:rPr>
        <w:t xml:space="preserve"> </w:t>
      </w:r>
      <w:r w:rsidRPr="00C71058">
        <w:rPr>
          <w:rFonts w:ascii="Arial" w:hAnsi="Arial" w:cs="Arial"/>
          <w:sz w:val="20"/>
          <w:szCs w:val="20"/>
        </w:rPr>
        <w:t>issued:</w:t>
      </w:r>
    </w:p>
    <w:p w14:paraId="6AA802D7" w14:textId="77777777" w:rsidR="007C33E3" w:rsidRPr="00C71058" w:rsidRDefault="007C33E3" w:rsidP="00C71058">
      <w:pPr>
        <w:pStyle w:val="ListParagraph"/>
        <w:numPr>
          <w:ilvl w:val="1"/>
          <w:numId w:val="328"/>
        </w:numPr>
        <w:tabs>
          <w:tab w:val="left" w:pos="1274"/>
        </w:tabs>
        <w:spacing w:before="118" w:line="276" w:lineRule="auto"/>
        <w:ind w:hanging="568"/>
        <w:jc w:val="both"/>
        <w:rPr>
          <w:rFonts w:ascii="Arial" w:hAnsi="Arial" w:cs="Arial"/>
          <w:sz w:val="20"/>
          <w:szCs w:val="20"/>
        </w:rPr>
      </w:pPr>
      <w:r w:rsidRPr="00C71058">
        <w:rPr>
          <w:rFonts w:ascii="Arial" w:hAnsi="Arial" w:cs="Arial"/>
          <w:sz w:val="20"/>
          <w:szCs w:val="20"/>
        </w:rPr>
        <w:t>by</w:t>
      </w:r>
      <w:r w:rsidRPr="00C71058">
        <w:rPr>
          <w:rFonts w:ascii="Arial" w:hAnsi="Arial" w:cs="Arial"/>
          <w:spacing w:val="-2"/>
          <w:sz w:val="20"/>
          <w:szCs w:val="20"/>
        </w:rPr>
        <w:t xml:space="preserve"> </w:t>
      </w:r>
      <w:r w:rsidRPr="00C71058">
        <w:rPr>
          <w:rFonts w:ascii="Arial" w:hAnsi="Arial" w:cs="Arial"/>
          <w:sz w:val="20"/>
          <w:szCs w:val="20"/>
        </w:rPr>
        <w:t>appropriately</w:t>
      </w:r>
      <w:r w:rsidRPr="00C71058">
        <w:rPr>
          <w:rFonts w:ascii="Arial" w:hAnsi="Arial" w:cs="Arial"/>
          <w:spacing w:val="-4"/>
          <w:sz w:val="20"/>
          <w:szCs w:val="20"/>
        </w:rPr>
        <w:t xml:space="preserve"> </w:t>
      </w:r>
      <w:r w:rsidRPr="00C71058">
        <w:rPr>
          <w:rFonts w:ascii="Arial" w:hAnsi="Arial" w:cs="Arial"/>
          <w:sz w:val="20"/>
          <w:szCs w:val="20"/>
        </w:rPr>
        <w:t>authorised</w:t>
      </w:r>
      <w:r w:rsidRPr="00C71058">
        <w:rPr>
          <w:rFonts w:ascii="Arial" w:hAnsi="Arial" w:cs="Arial"/>
          <w:spacing w:val="-3"/>
          <w:sz w:val="20"/>
          <w:szCs w:val="20"/>
        </w:rPr>
        <w:t xml:space="preserve"> </w:t>
      </w:r>
      <w:r w:rsidRPr="00C71058">
        <w:rPr>
          <w:rFonts w:ascii="Arial" w:hAnsi="Arial" w:cs="Arial"/>
          <w:sz w:val="20"/>
          <w:szCs w:val="20"/>
        </w:rPr>
        <w:t>airworthiness</w:t>
      </w:r>
      <w:r w:rsidRPr="00C71058">
        <w:rPr>
          <w:rFonts w:ascii="Arial" w:hAnsi="Arial" w:cs="Arial"/>
          <w:spacing w:val="-1"/>
          <w:sz w:val="20"/>
          <w:szCs w:val="20"/>
        </w:rPr>
        <w:t xml:space="preserve"> </w:t>
      </w:r>
      <w:r w:rsidRPr="00C71058">
        <w:rPr>
          <w:rFonts w:ascii="Arial" w:hAnsi="Arial" w:cs="Arial"/>
          <w:sz w:val="20"/>
          <w:szCs w:val="20"/>
        </w:rPr>
        <w:t>review</w:t>
      </w:r>
      <w:r w:rsidRPr="00C71058">
        <w:rPr>
          <w:rFonts w:ascii="Arial" w:hAnsi="Arial" w:cs="Arial"/>
          <w:spacing w:val="-2"/>
          <w:sz w:val="20"/>
          <w:szCs w:val="20"/>
        </w:rPr>
        <w:t xml:space="preserve"> </w:t>
      </w:r>
      <w:r w:rsidRPr="00C71058">
        <w:rPr>
          <w:rFonts w:ascii="Arial" w:hAnsi="Arial" w:cs="Arial"/>
          <w:sz w:val="20"/>
          <w:szCs w:val="20"/>
        </w:rPr>
        <w:t>staff;</w:t>
      </w:r>
    </w:p>
    <w:p w14:paraId="4A81F3CE" w14:textId="77777777" w:rsidR="007C33E3" w:rsidRPr="00C71058" w:rsidRDefault="007C33E3" w:rsidP="00F07759">
      <w:pPr>
        <w:pStyle w:val="ListParagraph"/>
        <w:numPr>
          <w:ilvl w:val="1"/>
          <w:numId w:val="328"/>
        </w:numPr>
        <w:tabs>
          <w:tab w:val="left" w:pos="1274"/>
        </w:tabs>
        <w:spacing w:line="276" w:lineRule="auto"/>
        <w:ind w:right="44"/>
        <w:jc w:val="both"/>
        <w:rPr>
          <w:rFonts w:ascii="Arial" w:hAnsi="Arial" w:cs="Arial"/>
          <w:sz w:val="20"/>
          <w:szCs w:val="20"/>
        </w:rPr>
      </w:pPr>
      <w:r w:rsidRPr="00C71058">
        <w:rPr>
          <w:rFonts w:ascii="Arial" w:hAnsi="Arial" w:cs="Arial"/>
          <w:sz w:val="20"/>
          <w:szCs w:val="20"/>
        </w:rPr>
        <w:t>when the airworthiness review has been completely carried out, all findings have been</w:t>
      </w:r>
      <w:r w:rsidRPr="00C71058">
        <w:rPr>
          <w:rFonts w:ascii="Arial" w:hAnsi="Arial" w:cs="Arial"/>
          <w:spacing w:val="1"/>
          <w:sz w:val="20"/>
          <w:szCs w:val="20"/>
        </w:rPr>
        <w:t xml:space="preserve"> </w:t>
      </w:r>
      <w:r w:rsidRPr="00C71058">
        <w:rPr>
          <w:rFonts w:ascii="Arial" w:hAnsi="Arial" w:cs="Arial"/>
          <w:sz w:val="20"/>
          <w:szCs w:val="20"/>
        </w:rPr>
        <w:t>closed;</w:t>
      </w:r>
    </w:p>
    <w:p w14:paraId="76730FC8" w14:textId="77777777" w:rsidR="007C33E3" w:rsidRPr="00C71058" w:rsidRDefault="007C33E3" w:rsidP="00F07759">
      <w:pPr>
        <w:pStyle w:val="ListParagraph"/>
        <w:numPr>
          <w:ilvl w:val="1"/>
          <w:numId w:val="328"/>
        </w:numPr>
        <w:tabs>
          <w:tab w:val="left" w:pos="1274"/>
        </w:tabs>
        <w:spacing w:before="121" w:line="276" w:lineRule="auto"/>
        <w:ind w:right="44"/>
        <w:jc w:val="both"/>
        <w:rPr>
          <w:rFonts w:ascii="Arial" w:hAnsi="Arial" w:cs="Arial"/>
          <w:sz w:val="20"/>
          <w:szCs w:val="20"/>
        </w:rPr>
      </w:pPr>
      <w:r w:rsidRPr="00C71058">
        <w:rPr>
          <w:rFonts w:ascii="Arial" w:hAnsi="Arial" w:cs="Arial"/>
          <w:sz w:val="20"/>
          <w:szCs w:val="20"/>
        </w:rPr>
        <w:t>when</w:t>
      </w:r>
      <w:r w:rsidRPr="00C71058">
        <w:rPr>
          <w:rFonts w:ascii="Arial" w:hAnsi="Arial" w:cs="Arial"/>
          <w:spacing w:val="1"/>
          <w:sz w:val="20"/>
          <w:szCs w:val="20"/>
        </w:rPr>
        <w:t xml:space="preserve"> </w:t>
      </w:r>
      <w:r w:rsidRPr="00C71058">
        <w:rPr>
          <w:rFonts w:ascii="Arial" w:hAnsi="Arial" w:cs="Arial"/>
          <w:sz w:val="20"/>
          <w:szCs w:val="20"/>
        </w:rPr>
        <w:t>any</w:t>
      </w:r>
      <w:r w:rsidRPr="00C71058">
        <w:rPr>
          <w:rFonts w:ascii="Arial" w:hAnsi="Arial" w:cs="Arial"/>
          <w:spacing w:val="1"/>
          <w:sz w:val="20"/>
          <w:szCs w:val="20"/>
        </w:rPr>
        <w:t xml:space="preserve"> </w:t>
      </w:r>
      <w:r w:rsidRPr="00C71058">
        <w:rPr>
          <w:rFonts w:ascii="Arial" w:hAnsi="Arial" w:cs="Arial"/>
          <w:sz w:val="20"/>
          <w:szCs w:val="20"/>
        </w:rPr>
        <w:t>discrepancy</w:t>
      </w:r>
      <w:r w:rsidRPr="00C71058">
        <w:rPr>
          <w:rFonts w:ascii="Arial" w:hAnsi="Arial" w:cs="Arial"/>
          <w:spacing w:val="1"/>
          <w:sz w:val="20"/>
          <w:szCs w:val="20"/>
        </w:rPr>
        <w:t xml:space="preserve"> </w:t>
      </w:r>
      <w:r w:rsidRPr="00C71058">
        <w:rPr>
          <w:rFonts w:ascii="Arial" w:hAnsi="Arial" w:cs="Arial"/>
          <w:sz w:val="20"/>
          <w:szCs w:val="20"/>
        </w:rPr>
        <w:t>found</w:t>
      </w:r>
      <w:r w:rsidRPr="00C71058">
        <w:rPr>
          <w:rFonts w:ascii="Arial" w:hAnsi="Arial" w:cs="Arial"/>
          <w:spacing w:val="1"/>
          <w:sz w:val="20"/>
          <w:szCs w:val="20"/>
        </w:rPr>
        <w:t xml:space="preserve"> </w:t>
      </w:r>
      <w:r w:rsidRPr="00C71058">
        <w:rPr>
          <w:rFonts w:ascii="Arial" w:hAnsi="Arial" w:cs="Arial"/>
          <w:sz w:val="20"/>
          <w:szCs w:val="20"/>
        </w:rPr>
        <w:t>in</w:t>
      </w:r>
      <w:r w:rsidRPr="00C71058">
        <w:rPr>
          <w:rFonts w:ascii="Arial" w:hAnsi="Arial" w:cs="Arial"/>
          <w:spacing w:val="1"/>
          <w:sz w:val="20"/>
          <w:szCs w:val="20"/>
        </w:rPr>
        <w:t xml:space="preserve"> </w:t>
      </w:r>
      <w:r w:rsidRPr="00C71058">
        <w:rPr>
          <w:rFonts w:ascii="Arial" w:hAnsi="Arial" w:cs="Arial"/>
          <w:sz w:val="20"/>
          <w:szCs w:val="20"/>
        </w:rPr>
        <w:t>the</w:t>
      </w:r>
      <w:r w:rsidRPr="00C71058">
        <w:rPr>
          <w:rFonts w:ascii="Arial" w:hAnsi="Arial" w:cs="Arial"/>
          <w:spacing w:val="1"/>
          <w:sz w:val="20"/>
          <w:szCs w:val="20"/>
        </w:rPr>
        <w:t xml:space="preserve"> </w:t>
      </w:r>
      <w:r w:rsidRPr="00C71058">
        <w:rPr>
          <w:rFonts w:ascii="Arial" w:hAnsi="Arial" w:cs="Arial"/>
          <w:sz w:val="20"/>
          <w:szCs w:val="20"/>
        </w:rPr>
        <w:t>AMP</w:t>
      </w:r>
      <w:r w:rsidRPr="00C71058">
        <w:rPr>
          <w:rFonts w:ascii="Arial" w:hAnsi="Arial" w:cs="Arial"/>
          <w:spacing w:val="1"/>
          <w:sz w:val="20"/>
          <w:szCs w:val="20"/>
        </w:rPr>
        <w:t xml:space="preserve"> </w:t>
      </w:r>
      <w:r w:rsidRPr="00C71058">
        <w:rPr>
          <w:rFonts w:ascii="Arial" w:hAnsi="Arial" w:cs="Arial"/>
          <w:sz w:val="20"/>
          <w:szCs w:val="20"/>
        </w:rPr>
        <w:t>in</w:t>
      </w:r>
      <w:r w:rsidRPr="00C71058">
        <w:rPr>
          <w:rFonts w:ascii="Arial" w:hAnsi="Arial" w:cs="Arial"/>
          <w:spacing w:val="1"/>
          <w:sz w:val="20"/>
          <w:szCs w:val="20"/>
        </w:rPr>
        <w:t xml:space="preserve"> </w:t>
      </w:r>
      <w:r w:rsidRPr="00C71058">
        <w:rPr>
          <w:rFonts w:ascii="Arial" w:hAnsi="Arial" w:cs="Arial"/>
          <w:sz w:val="20"/>
          <w:szCs w:val="20"/>
        </w:rPr>
        <w:t>accordance</w:t>
      </w:r>
      <w:r w:rsidRPr="00C71058">
        <w:rPr>
          <w:rFonts w:ascii="Arial" w:hAnsi="Arial" w:cs="Arial"/>
          <w:spacing w:val="1"/>
          <w:sz w:val="20"/>
          <w:szCs w:val="20"/>
        </w:rPr>
        <w:t xml:space="preserve"> </w:t>
      </w:r>
      <w:r w:rsidRPr="00C71058">
        <w:rPr>
          <w:rFonts w:ascii="Arial" w:hAnsi="Arial" w:cs="Arial"/>
          <w:sz w:val="20"/>
          <w:szCs w:val="20"/>
        </w:rPr>
        <w:t>with</w:t>
      </w:r>
      <w:r w:rsidRPr="00C71058">
        <w:rPr>
          <w:rFonts w:ascii="Arial" w:hAnsi="Arial" w:cs="Arial"/>
          <w:spacing w:val="1"/>
          <w:sz w:val="20"/>
          <w:szCs w:val="20"/>
        </w:rPr>
        <w:t xml:space="preserve"> </w:t>
      </w:r>
      <w:r w:rsidRPr="00C71058">
        <w:rPr>
          <w:rFonts w:ascii="Arial" w:hAnsi="Arial" w:cs="Arial"/>
          <w:sz w:val="20"/>
          <w:szCs w:val="20"/>
        </w:rPr>
        <w:t>point</w:t>
      </w:r>
      <w:r w:rsidRPr="00C71058">
        <w:rPr>
          <w:rFonts w:ascii="Arial" w:hAnsi="Arial" w:cs="Arial"/>
          <w:spacing w:val="1"/>
          <w:sz w:val="20"/>
          <w:szCs w:val="20"/>
        </w:rPr>
        <w:t xml:space="preserve"> </w:t>
      </w:r>
      <w:r w:rsidRPr="00C71058">
        <w:rPr>
          <w:rFonts w:ascii="Arial" w:hAnsi="Arial" w:cs="Arial"/>
          <w:sz w:val="20"/>
          <w:szCs w:val="20"/>
        </w:rPr>
        <w:t>(h)</w:t>
      </w:r>
      <w:r w:rsidRPr="00C71058">
        <w:rPr>
          <w:rFonts w:ascii="Arial" w:hAnsi="Arial" w:cs="Arial"/>
          <w:spacing w:val="1"/>
          <w:sz w:val="20"/>
          <w:szCs w:val="20"/>
        </w:rPr>
        <w:t xml:space="preserve"> </w:t>
      </w:r>
      <w:r w:rsidRPr="00C71058">
        <w:rPr>
          <w:rFonts w:ascii="Arial" w:hAnsi="Arial" w:cs="Arial"/>
          <w:sz w:val="20"/>
          <w:szCs w:val="20"/>
        </w:rPr>
        <w:t>has</w:t>
      </w:r>
      <w:r w:rsidRPr="00C71058">
        <w:rPr>
          <w:rFonts w:ascii="Arial" w:hAnsi="Arial" w:cs="Arial"/>
          <w:spacing w:val="1"/>
          <w:sz w:val="20"/>
          <w:szCs w:val="20"/>
        </w:rPr>
        <w:t xml:space="preserve"> </w:t>
      </w:r>
      <w:r w:rsidRPr="00C71058">
        <w:rPr>
          <w:rFonts w:ascii="Arial" w:hAnsi="Arial" w:cs="Arial"/>
          <w:sz w:val="20"/>
          <w:szCs w:val="20"/>
        </w:rPr>
        <w:t>been</w:t>
      </w:r>
      <w:r w:rsidRPr="00C71058">
        <w:rPr>
          <w:rFonts w:ascii="Arial" w:hAnsi="Arial" w:cs="Arial"/>
          <w:spacing w:val="1"/>
          <w:sz w:val="20"/>
          <w:szCs w:val="20"/>
        </w:rPr>
        <w:t xml:space="preserve"> </w:t>
      </w:r>
      <w:r w:rsidRPr="00C71058">
        <w:rPr>
          <w:rFonts w:ascii="Arial" w:hAnsi="Arial" w:cs="Arial"/>
          <w:sz w:val="20"/>
          <w:szCs w:val="20"/>
        </w:rPr>
        <w:t>satisfactorily</w:t>
      </w:r>
      <w:r w:rsidRPr="00C71058">
        <w:rPr>
          <w:rFonts w:ascii="Arial" w:hAnsi="Arial" w:cs="Arial"/>
          <w:spacing w:val="-3"/>
          <w:sz w:val="20"/>
          <w:szCs w:val="20"/>
        </w:rPr>
        <w:t xml:space="preserve"> </w:t>
      </w:r>
      <w:r w:rsidRPr="00C71058">
        <w:rPr>
          <w:rFonts w:ascii="Arial" w:hAnsi="Arial" w:cs="Arial"/>
          <w:sz w:val="20"/>
          <w:szCs w:val="20"/>
        </w:rPr>
        <w:t>addressed.</w:t>
      </w:r>
    </w:p>
    <w:p w14:paraId="373165B7" w14:textId="1192E77E" w:rsidR="007C33E3" w:rsidRPr="00C71058" w:rsidRDefault="007C33E3" w:rsidP="00F07759">
      <w:pPr>
        <w:pStyle w:val="ListParagraph"/>
        <w:numPr>
          <w:ilvl w:val="0"/>
          <w:numId w:val="328"/>
        </w:numPr>
        <w:tabs>
          <w:tab w:val="left" w:pos="707"/>
        </w:tabs>
        <w:spacing w:line="276" w:lineRule="auto"/>
        <w:ind w:right="44"/>
        <w:jc w:val="both"/>
        <w:rPr>
          <w:rFonts w:ascii="Arial" w:hAnsi="Arial" w:cs="Arial"/>
          <w:sz w:val="20"/>
          <w:szCs w:val="20"/>
        </w:rPr>
      </w:pPr>
      <w:r w:rsidRPr="00C71058">
        <w:rPr>
          <w:rFonts w:ascii="Arial" w:hAnsi="Arial" w:cs="Arial"/>
          <w:sz w:val="20"/>
          <w:szCs w:val="20"/>
        </w:rPr>
        <w:t xml:space="preserve">A copy of any ARC issued or extended for an aircraft shall be sent to </w:t>
      </w:r>
      <w:r w:rsidR="00BE47FC">
        <w:rPr>
          <w:rFonts w:ascii="Arial" w:hAnsi="Arial" w:cs="Arial"/>
          <w:sz w:val="20"/>
        </w:rPr>
        <w:t xml:space="preserve">the Republic of Armenia </w:t>
      </w:r>
      <w:r w:rsidRPr="00C71058">
        <w:rPr>
          <w:rFonts w:ascii="Arial" w:hAnsi="Arial" w:cs="Arial"/>
          <w:sz w:val="20"/>
          <w:szCs w:val="20"/>
        </w:rPr>
        <w:t>of</w:t>
      </w:r>
      <w:r w:rsidRPr="00C71058">
        <w:rPr>
          <w:rFonts w:ascii="Arial" w:hAnsi="Arial" w:cs="Arial"/>
          <w:spacing w:val="1"/>
          <w:sz w:val="20"/>
          <w:szCs w:val="20"/>
        </w:rPr>
        <w:t xml:space="preserve"> </w:t>
      </w:r>
      <w:r w:rsidRPr="00C71058">
        <w:rPr>
          <w:rFonts w:ascii="Arial" w:hAnsi="Arial" w:cs="Arial"/>
          <w:sz w:val="20"/>
          <w:szCs w:val="20"/>
        </w:rPr>
        <w:t>registry</w:t>
      </w:r>
      <w:r w:rsidRPr="00C71058">
        <w:rPr>
          <w:rFonts w:ascii="Arial" w:hAnsi="Arial" w:cs="Arial"/>
          <w:spacing w:val="-2"/>
          <w:sz w:val="20"/>
          <w:szCs w:val="20"/>
        </w:rPr>
        <w:t xml:space="preserve"> </w:t>
      </w:r>
      <w:r w:rsidRPr="00C71058">
        <w:rPr>
          <w:rFonts w:ascii="Arial" w:hAnsi="Arial" w:cs="Arial"/>
          <w:sz w:val="20"/>
          <w:szCs w:val="20"/>
        </w:rPr>
        <w:t>of</w:t>
      </w:r>
      <w:r w:rsidRPr="00C71058">
        <w:rPr>
          <w:rFonts w:ascii="Arial" w:hAnsi="Arial" w:cs="Arial"/>
          <w:spacing w:val="-2"/>
          <w:sz w:val="20"/>
          <w:szCs w:val="20"/>
        </w:rPr>
        <w:t xml:space="preserve"> </w:t>
      </w:r>
      <w:r w:rsidRPr="00C71058">
        <w:rPr>
          <w:rFonts w:ascii="Arial" w:hAnsi="Arial" w:cs="Arial"/>
          <w:sz w:val="20"/>
          <w:szCs w:val="20"/>
        </w:rPr>
        <w:t>that aircraft</w:t>
      </w:r>
      <w:r w:rsidRPr="00C71058">
        <w:rPr>
          <w:rFonts w:ascii="Arial" w:hAnsi="Arial" w:cs="Arial"/>
          <w:spacing w:val="-2"/>
          <w:sz w:val="20"/>
          <w:szCs w:val="20"/>
        </w:rPr>
        <w:t xml:space="preserve"> </w:t>
      </w:r>
      <w:r w:rsidRPr="00C71058">
        <w:rPr>
          <w:rFonts w:ascii="Arial" w:hAnsi="Arial" w:cs="Arial"/>
          <w:sz w:val="20"/>
          <w:szCs w:val="20"/>
        </w:rPr>
        <w:t>within</w:t>
      </w:r>
      <w:r w:rsidRPr="00C71058">
        <w:rPr>
          <w:rFonts w:ascii="Arial" w:hAnsi="Arial" w:cs="Arial"/>
          <w:spacing w:val="-1"/>
          <w:sz w:val="20"/>
          <w:szCs w:val="20"/>
        </w:rPr>
        <w:t xml:space="preserve"> </w:t>
      </w:r>
      <w:r w:rsidRPr="00C71058">
        <w:rPr>
          <w:rFonts w:ascii="Arial" w:hAnsi="Arial" w:cs="Arial"/>
          <w:sz w:val="20"/>
          <w:szCs w:val="20"/>
        </w:rPr>
        <w:t>10</w:t>
      </w:r>
      <w:r w:rsidRPr="00C71058">
        <w:rPr>
          <w:rFonts w:ascii="Arial" w:hAnsi="Arial" w:cs="Arial"/>
          <w:spacing w:val="1"/>
          <w:sz w:val="20"/>
          <w:szCs w:val="20"/>
        </w:rPr>
        <w:t xml:space="preserve"> </w:t>
      </w:r>
      <w:r w:rsidRPr="00C71058">
        <w:rPr>
          <w:rFonts w:ascii="Arial" w:hAnsi="Arial" w:cs="Arial"/>
          <w:sz w:val="20"/>
          <w:szCs w:val="20"/>
        </w:rPr>
        <w:t>days.</w:t>
      </w:r>
    </w:p>
    <w:p w14:paraId="7D17F345" w14:textId="77777777" w:rsidR="007C33E3" w:rsidRPr="00C71058" w:rsidRDefault="007C33E3" w:rsidP="000C1D7E">
      <w:pPr>
        <w:pStyle w:val="ListParagraph"/>
        <w:numPr>
          <w:ilvl w:val="0"/>
          <w:numId w:val="328"/>
        </w:numPr>
        <w:tabs>
          <w:tab w:val="left" w:pos="707"/>
        </w:tabs>
        <w:spacing w:before="121" w:line="276" w:lineRule="auto"/>
        <w:ind w:right="44"/>
        <w:jc w:val="both"/>
        <w:rPr>
          <w:rFonts w:ascii="Arial" w:hAnsi="Arial" w:cs="Arial"/>
          <w:sz w:val="20"/>
          <w:szCs w:val="20"/>
        </w:rPr>
      </w:pPr>
      <w:r w:rsidRPr="00C71058">
        <w:rPr>
          <w:rFonts w:ascii="Arial" w:hAnsi="Arial" w:cs="Arial"/>
          <w:sz w:val="20"/>
          <w:szCs w:val="20"/>
        </w:rPr>
        <w:t>Airworthiness</w:t>
      </w:r>
      <w:r w:rsidRPr="00C71058">
        <w:rPr>
          <w:rFonts w:ascii="Arial" w:hAnsi="Arial" w:cs="Arial"/>
          <w:spacing w:val="-3"/>
          <w:sz w:val="20"/>
          <w:szCs w:val="20"/>
        </w:rPr>
        <w:t xml:space="preserve"> </w:t>
      </w:r>
      <w:r w:rsidRPr="00C71058">
        <w:rPr>
          <w:rFonts w:ascii="Arial" w:hAnsi="Arial" w:cs="Arial"/>
          <w:sz w:val="20"/>
          <w:szCs w:val="20"/>
        </w:rPr>
        <w:t>review</w:t>
      </w:r>
      <w:r w:rsidRPr="00C71058">
        <w:rPr>
          <w:rFonts w:ascii="Arial" w:hAnsi="Arial" w:cs="Arial"/>
          <w:spacing w:val="-1"/>
          <w:sz w:val="20"/>
          <w:szCs w:val="20"/>
        </w:rPr>
        <w:t xml:space="preserve"> </w:t>
      </w:r>
      <w:r w:rsidRPr="00C71058">
        <w:rPr>
          <w:rFonts w:ascii="Arial" w:hAnsi="Arial" w:cs="Arial"/>
          <w:sz w:val="20"/>
          <w:szCs w:val="20"/>
        </w:rPr>
        <w:t>tasks</w:t>
      </w:r>
      <w:r w:rsidRPr="00C71058">
        <w:rPr>
          <w:rFonts w:ascii="Arial" w:hAnsi="Arial" w:cs="Arial"/>
          <w:spacing w:val="-4"/>
          <w:sz w:val="20"/>
          <w:szCs w:val="20"/>
        </w:rPr>
        <w:t xml:space="preserve"> </w:t>
      </w:r>
      <w:r w:rsidRPr="00C71058">
        <w:rPr>
          <w:rFonts w:ascii="Arial" w:hAnsi="Arial" w:cs="Arial"/>
          <w:sz w:val="20"/>
          <w:szCs w:val="20"/>
        </w:rPr>
        <w:t>shall</w:t>
      </w:r>
      <w:r w:rsidRPr="00C71058">
        <w:rPr>
          <w:rFonts w:ascii="Arial" w:hAnsi="Arial" w:cs="Arial"/>
          <w:spacing w:val="-3"/>
          <w:sz w:val="20"/>
          <w:szCs w:val="20"/>
        </w:rPr>
        <w:t xml:space="preserve"> </w:t>
      </w:r>
      <w:r w:rsidRPr="00C71058">
        <w:rPr>
          <w:rFonts w:ascii="Arial" w:hAnsi="Arial" w:cs="Arial"/>
          <w:sz w:val="20"/>
          <w:szCs w:val="20"/>
        </w:rPr>
        <w:t>not</w:t>
      </w:r>
      <w:r w:rsidRPr="00C71058">
        <w:rPr>
          <w:rFonts w:ascii="Arial" w:hAnsi="Arial" w:cs="Arial"/>
          <w:spacing w:val="-2"/>
          <w:sz w:val="20"/>
          <w:szCs w:val="20"/>
        </w:rPr>
        <w:t xml:space="preserve"> </w:t>
      </w:r>
      <w:r w:rsidRPr="00C71058">
        <w:rPr>
          <w:rFonts w:ascii="Arial" w:hAnsi="Arial" w:cs="Arial"/>
          <w:sz w:val="20"/>
          <w:szCs w:val="20"/>
        </w:rPr>
        <w:t>be</w:t>
      </w:r>
      <w:r w:rsidRPr="00C71058">
        <w:rPr>
          <w:rFonts w:ascii="Arial" w:hAnsi="Arial" w:cs="Arial"/>
          <w:spacing w:val="-2"/>
          <w:sz w:val="20"/>
          <w:szCs w:val="20"/>
        </w:rPr>
        <w:t xml:space="preserve"> </w:t>
      </w:r>
      <w:r w:rsidRPr="00C71058">
        <w:rPr>
          <w:rFonts w:ascii="Arial" w:hAnsi="Arial" w:cs="Arial"/>
          <w:sz w:val="20"/>
          <w:szCs w:val="20"/>
        </w:rPr>
        <w:t>subcontracted.</w:t>
      </w:r>
    </w:p>
    <w:p w14:paraId="1ADC9D72" w14:textId="25F2BEB7" w:rsidR="007C33E3" w:rsidRPr="00C71058" w:rsidRDefault="007C33E3" w:rsidP="00C30C93">
      <w:pPr>
        <w:pStyle w:val="ListParagraph"/>
        <w:numPr>
          <w:ilvl w:val="0"/>
          <w:numId w:val="328"/>
        </w:numPr>
        <w:tabs>
          <w:tab w:val="left" w:pos="707"/>
        </w:tabs>
        <w:spacing w:line="276" w:lineRule="auto"/>
        <w:ind w:right="44"/>
        <w:jc w:val="both"/>
        <w:rPr>
          <w:rFonts w:ascii="Arial" w:hAnsi="Arial" w:cs="Arial"/>
          <w:sz w:val="20"/>
          <w:szCs w:val="20"/>
        </w:rPr>
      </w:pPr>
      <w:r w:rsidRPr="00C71058">
        <w:rPr>
          <w:rFonts w:ascii="Arial" w:hAnsi="Arial" w:cs="Arial"/>
          <w:sz w:val="20"/>
          <w:szCs w:val="20"/>
        </w:rPr>
        <w:t>The effectiveness of the AMP may be reviewed in conjunction with the airworthiness review in</w:t>
      </w:r>
      <w:r w:rsidRPr="00C71058">
        <w:rPr>
          <w:rFonts w:ascii="Arial" w:hAnsi="Arial" w:cs="Arial"/>
          <w:spacing w:val="-47"/>
          <w:sz w:val="20"/>
          <w:szCs w:val="20"/>
        </w:rPr>
        <w:t xml:space="preserve"> </w:t>
      </w:r>
      <w:r w:rsidRPr="00C71058">
        <w:rPr>
          <w:rFonts w:ascii="Arial" w:hAnsi="Arial" w:cs="Arial"/>
          <w:sz w:val="20"/>
          <w:szCs w:val="20"/>
        </w:rPr>
        <w:t>accordance with point (c)(9) of point</w:t>
      </w:r>
      <w:r w:rsidRPr="00C71058">
        <w:rPr>
          <w:rFonts w:ascii="Arial" w:hAnsi="Arial" w:cs="Arial"/>
          <w:color w:val="0000FF"/>
          <w:sz w:val="20"/>
          <w:szCs w:val="20"/>
        </w:rPr>
        <w:t xml:space="preserve"> </w:t>
      </w:r>
      <w:r w:rsidRPr="00C71058">
        <w:rPr>
          <w:rFonts w:ascii="Arial" w:hAnsi="Arial" w:cs="Arial"/>
          <w:sz w:val="20"/>
          <w:szCs w:val="20"/>
        </w:rPr>
        <w:t>ML.A.302. This review shall be completed by the person</w:t>
      </w:r>
      <w:r w:rsidRPr="00C71058">
        <w:rPr>
          <w:rFonts w:ascii="Arial" w:hAnsi="Arial" w:cs="Arial"/>
          <w:spacing w:val="1"/>
          <w:sz w:val="20"/>
          <w:szCs w:val="20"/>
        </w:rPr>
        <w:t xml:space="preserve"> </w:t>
      </w:r>
      <w:r w:rsidRPr="00C71058">
        <w:rPr>
          <w:rFonts w:ascii="Arial" w:hAnsi="Arial" w:cs="Arial"/>
          <w:sz w:val="20"/>
          <w:szCs w:val="20"/>
        </w:rPr>
        <w:t>who</w:t>
      </w:r>
      <w:r w:rsidRPr="00C71058">
        <w:rPr>
          <w:rFonts w:ascii="Arial" w:hAnsi="Arial" w:cs="Arial"/>
          <w:spacing w:val="-2"/>
          <w:sz w:val="20"/>
          <w:szCs w:val="20"/>
        </w:rPr>
        <w:t xml:space="preserve"> </w:t>
      </w:r>
      <w:r w:rsidRPr="00C71058">
        <w:rPr>
          <w:rFonts w:ascii="Arial" w:hAnsi="Arial" w:cs="Arial"/>
          <w:sz w:val="20"/>
          <w:szCs w:val="20"/>
        </w:rPr>
        <w:t>performed</w:t>
      </w:r>
      <w:r w:rsidRPr="00C71058">
        <w:rPr>
          <w:rFonts w:ascii="Arial" w:hAnsi="Arial" w:cs="Arial"/>
          <w:spacing w:val="-3"/>
          <w:sz w:val="20"/>
          <w:szCs w:val="20"/>
        </w:rPr>
        <w:t xml:space="preserve"> </w:t>
      </w:r>
      <w:r w:rsidRPr="00C71058">
        <w:rPr>
          <w:rFonts w:ascii="Arial" w:hAnsi="Arial" w:cs="Arial"/>
          <w:sz w:val="20"/>
          <w:szCs w:val="20"/>
        </w:rPr>
        <w:t>the</w:t>
      </w:r>
      <w:r w:rsidRPr="00C71058">
        <w:rPr>
          <w:rFonts w:ascii="Arial" w:hAnsi="Arial" w:cs="Arial"/>
          <w:spacing w:val="-5"/>
          <w:sz w:val="20"/>
          <w:szCs w:val="20"/>
        </w:rPr>
        <w:t xml:space="preserve"> </w:t>
      </w:r>
      <w:r w:rsidRPr="00C71058">
        <w:rPr>
          <w:rFonts w:ascii="Arial" w:hAnsi="Arial" w:cs="Arial"/>
          <w:sz w:val="20"/>
          <w:szCs w:val="20"/>
        </w:rPr>
        <w:t>airworthiness</w:t>
      </w:r>
      <w:r w:rsidRPr="00C71058">
        <w:rPr>
          <w:rFonts w:ascii="Arial" w:hAnsi="Arial" w:cs="Arial"/>
          <w:spacing w:val="-2"/>
          <w:sz w:val="20"/>
          <w:szCs w:val="20"/>
        </w:rPr>
        <w:t xml:space="preserve"> </w:t>
      </w:r>
      <w:r w:rsidRPr="00C71058">
        <w:rPr>
          <w:rFonts w:ascii="Arial" w:hAnsi="Arial" w:cs="Arial"/>
          <w:sz w:val="20"/>
          <w:szCs w:val="20"/>
        </w:rPr>
        <w:t>review.</w:t>
      </w:r>
      <w:r w:rsidRPr="00C71058">
        <w:rPr>
          <w:rFonts w:ascii="Arial" w:hAnsi="Arial" w:cs="Arial"/>
          <w:spacing w:val="-3"/>
          <w:sz w:val="20"/>
          <w:szCs w:val="20"/>
        </w:rPr>
        <w:t xml:space="preserve"> </w:t>
      </w:r>
      <w:r w:rsidRPr="00C71058">
        <w:rPr>
          <w:rFonts w:ascii="Arial" w:hAnsi="Arial" w:cs="Arial"/>
          <w:sz w:val="20"/>
          <w:szCs w:val="20"/>
        </w:rPr>
        <w:t>If</w:t>
      </w:r>
      <w:r w:rsidRPr="00C71058">
        <w:rPr>
          <w:rFonts w:ascii="Arial" w:hAnsi="Arial" w:cs="Arial"/>
          <w:spacing w:val="-4"/>
          <w:sz w:val="20"/>
          <w:szCs w:val="20"/>
        </w:rPr>
        <w:t xml:space="preserve"> </w:t>
      </w:r>
      <w:r w:rsidRPr="00C71058">
        <w:rPr>
          <w:rFonts w:ascii="Arial" w:hAnsi="Arial" w:cs="Arial"/>
          <w:sz w:val="20"/>
          <w:szCs w:val="20"/>
        </w:rPr>
        <w:t>the</w:t>
      </w:r>
      <w:r w:rsidRPr="00C71058">
        <w:rPr>
          <w:rFonts w:ascii="Arial" w:hAnsi="Arial" w:cs="Arial"/>
          <w:spacing w:val="-2"/>
          <w:sz w:val="20"/>
          <w:szCs w:val="20"/>
        </w:rPr>
        <w:t xml:space="preserve"> </w:t>
      </w:r>
      <w:r w:rsidRPr="00C71058">
        <w:rPr>
          <w:rFonts w:ascii="Arial" w:hAnsi="Arial" w:cs="Arial"/>
          <w:sz w:val="20"/>
          <w:szCs w:val="20"/>
        </w:rPr>
        <w:t>review</w:t>
      </w:r>
      <w:r w:rsidRPr="00C71058">
        <w:rPr>
          <w:rFonts w:ascii="Arial" w:hAnsi="Arial" w:cs="Arial"/>
          <w:spacing w:val="-5"/>
          <w:sz w:val="20"/>
          <w:szCs w:val="20"/>
        </w:rPr>
        <w:t xml:space="preserve"> </w:t>
      </w:r>
      <w:r w:rsidRPr="00C71058">
        <w:rPr>
          <w:rFonts w:ascii="Arial" w:hAnsi="Arial" w:cs="Arial"/>
          <w:sz w:val="20"/>
          <w:szCs w:val="20"/>
        </w:rPr>
        <w:t>shows</w:t>
      </w:r>
      <w:r w:rsidRPr="00C71058">
        <w:rPr>
          <w:rFonts w:ascii="Arial" w:hAnsi="Arial" w:cs="Arial"/>
          <w:spacing w:val="-2"/>
          <w:sz w:val="20"/>
          <w:szCs w:val="20"/>
        </w:rPr>
        <w:t xml:space="preserve"> </w:t>
      </w:r>
      <w:r w:rsidRPr="00C71058">
        <w:rPr>
          <w:rFonts w:ascii="Arial" w:hAnsi="Arial" w:cs="Arial"/>
          <w:sz w:val="20"/>
          <w:szCs w:val="20"/>
        </w:rPr>
        <w:t>deficiencies</w:t>
      </w:r>
      <w:r w:rsidRPr="00C71058">
        <w:rPr>
          <w:rFonts w:ascii="Arial" w:hAnsi="Arial" w:cs="Arial"/>
          <w:spacing w:val="-3"/>
          <w:sz w:val="20"/>
          <w:szCs w:val="20"/>
        </w:rPr>
        <w:t xml:space="preserve"> </w:t>
      </w:r>
      <w:r w:rsidRPr="00C71058">
        <w:rPr>
          <w:rFonts w:ascii="Arial" w:hAnsi="Arial" w:cs="Arial"/>
          <w:sz w:val="20"/>
          <w:szCs w:val="20"/>
        </w:rPr>
        <w:t>of</w:t>
      </w:r>
      <w:r w:rsidRPr="00C71058">
        <w:rPr>
          <w:rFonts w:ascii="Arial" w:hAnsi="Arial" w:cs="Arial"/>
          <w:spacing w:val="-6"/>
          <w:sz w:val="20"/>
          <w:szCs w:val="20"/>
        </w:rPr>
        <w:t xml:space="preserve"> </w:t>
      </w:r>
      <w:r w:rsidRPr="00C71058">
        <w:rPr>
          <w:rFonts w:ascii="Arial" w:hAnsi="Arial" w:cs="Arial"/>
          <w:sz w:val="20"/>
          <w:szCs w:val="20"/>
        </w:rPr>
        <w:t>the</w:t>
      </w:r>
      <w:r w:rsidRPr="00C71058">
        <w:rPr>
          <w:rFonts w:ascii="Arial" w:hAnsi="Arial" w:cs="Arial"/>
          <w:spacing w:val="-2"/>
          <w:sz w:val="20"/>
          <w:szCs w:val="20"/>
        </w:rPr>
        <w:t xml:space="preserve"> </w:t>
      </w:r>
      <w:r w:rsidRPr="00C71058">
        <w:rPr>
          <w:rFonts w:ascii="Arial" w:hAnsi="Arial" w:cs="Arial"/>
          <w:sz w:val="20"/>
          <w:szCs w:val="20"/>
        </w:rPr>
        <w:t>aircraft</w:t>
      </w:r>
      <w:r w:rsidRPr="00C71058">
        <w:rPr>
          <w:rFonts w:ascii="Arial" w:hAnsi="Arial" w:cs="Arial"/>
          <w:spacing w:val="-3"/>
          <w:sz w:val="20"/>
          <w:szCs w:val="20"/>
        </w:rPr>
        <w:t xml:space="preserve"> </w:t>
      </w:r>
      <w:r w:rsidRPr="00C71058">
        <w:rPr>
          <w:rFonts w:ascii="Arial" w:hAnsi="Arial" w:cs="Arial"/>
          <w:sz w:val="20"/>
          <w:szCs w:val="20"/>
        </w:rPr>
        <w:t>linked</w:t>
      </w:r>
      <w:r w:rsidRPr="00C71058">
        <w:rPr>
          <w:rFonts w:ascii="Arial" w:hAnsi="Arial" w:cs="Arial"/>
          <w:spacing w:val="-47"/>
          <w:sz w:val="20"/>
          <w:szCs w:val="20"/>
        </w:rPr>
        <w:t xml:space="preserve"> </w:t>
      </w:r>
      <w:r w:rsidRPr="00C71058">
        <w:rPr>
          <w:rFonts w:ascii="Arial" w:hAnsi="Arial" w:cs="Arial"/>
          <w:sz w:val="20"/>
          <w:szCs w:val="20"/>
        </w:rPr>
        <w:t>with</w:t>
      </w:r>
      <w:r w:rsidRPr="00C71058">
        <w:rPr>
          <w:rFonts w:ascii="Arial" w:hAnsi="Arial" w:cs="Arial"/>
          <w:spacing w:val="-8"/>
          <w:sz w:val="20"/>
          <w:szCs w:val="20"/>
        </w:rPr>
        <w:t xml:space="preserve"> </w:t>
      </w:r>
      <w:r w:rsidRPr="00C71058">
        <w:rPr>
          <w:rFonts w:ascii="Arial" w:hAnsi="Arial" w:cs="Arial"/>
          <w:sz w:val="20"/>
          <w:szCs w:val="20"/>
        </w:rPr>
        <w:t>deficiencies</w:t>
      </w:r>
      <w:r w:rsidRPr="00C71058">
        <w:rPr>
          <w:rFonts w:ascii="Arial" w:hAnsi="Arial" w:cs="Arial"/>
          <w:spacing w:val="-7"/>
          <w:sz w:val="20"/>
          <w:szCs w:val="20"/>
        </w:rPr>
        <w:t xml:space="preserve"> </w:t>
      </w:r>
      <w:r w:rsidRPr="00C71058">
        <w:rPr>
          <w:rFonts w:ascii="Arial" w:hAnsi="Arial" w:cs="Arial"/>
          <w:sz w:val="20"/>
          <w:szCs w:val="20"/>
        </w:rPr>
        <w:t>in</w:t>
      </w:r>
      <w:r w:rsidRPr="00C71058">
        <w:rPr>
          <w:rFonts w:ascii="Arial" w:hAnsi="Arial" w:cs="Arial"/>
          <w:spacing w:val="-8"/>
          <w:sz w:val="20"/>
          <w:szCs w:val="20"/>
        </w:rPr>
        <w:t xml:space="preserve"> </w:t>
      </w:r>
      <w:r w:rsidRPr="00C71058">
        <w:rPr>
          <w:rFonts w:ascii="Arial" w:hAnsi="Arial" w:cs="Arial"/>
          <w:sz w:val="20"/>
          <w:szCs w:val="20"/>
        </w:rPr>
        <w:t>the</w:t>
      </w:r>
      <w:r w:rsidRPr="00C71058">
        <w:rPr>
          <w:rFonts w:ascii="Arial" w:hAnsi="Arial" w:cs="Arial"/>
          <w:spacing w:val="-8"/>
          <w:sz w:val="20"/>
          <w:szCs w:val="20"/>
        </w:rPr>
        <w:t xml:space="preserve"> </w:t>
      </w:r>
      <w:r w:rsidRPr="00C71058">
        <w:rPr>
          <w:rFonts w:ascii="Arial" w:hAnsi="Arial" w:cs="Arial"/>
          <w:sz w:val="20"/>
          <w:szCs w:val="20"/>
        </w:rPr>
        <w:t>content</w:t>
      </w:r>
      <w:r w:rsidRPr="00C71058">
        <w:rPr>
          <w:rFonts w:ascii="Arial" w:hAnsi="Arial" w:cs="Arial"/>
          <w:spacing w:val="-7"/>
          <w:sz w:val="20"/>
          <w:szCs w:val="20"/>
        </w:rPr>
        <w:t xml:space="preserve"> </w:t>
      </w:r>
      <w:r w:rsidRPr="00C71058">
        <w:rPr>
          <w:rFonts w:ascii="Arial" w:hAnsi="Arial" w:cs="Arial"/>
          <w:sz w:val="20"/>
          <w:szCs w:val="20"/>
        </w:rPr>
        <w:t>of</w:t>
      </w:r>
      <w:r w:rsidRPr="00C71058">
        <w:rPr>
          <w:rFonts w:ascii="Arial" w:hAnsi="Arial" w:cs="Arial"/>
          <w:spacing w:val="-10"/>
          <w:sz w:val="20"/>
          <w:szCs w:val="20"/>
        </w:rPr>
        <w:t xml:space="preserve"> </w:t>
      </w:r>
      <w:r w:rsidRPr="00C71058">
        <w:rPr>
          <w:rFonts w:ascii="Arial" w:hAnsi="Arial" w:cs="Arial"/>
          <w:sz w:val="20"/>
          <w:szCs w:val="20"/>
        </w:rPr>
        <w:t>the</w:t>
      </w:r>
      <w:r w:rsidRPr="00C71058">
        <w:rPr>
          <w:rFonts w:ascii="Arial" w:hAnsi="Arial" w:cs="Arial"/>
          <w:spacing w:val="-8"/>
          <w:sz w:val="20"/>
          <w:szCs w:val="20"/>
        </w:rPr>
        <w:t xml:space="preserve"> </w:t>
      </w:r>
      <w:r w:rsidRPr="00C71058">
        <w:rPr>
          <w:rFonts w:ascii="Arial" w:hAnsi="Arial" w:cs="Arial"/>
          <w:sz w:val="20"/>
          <w:szCs w:val="20"/>
        </w:rPr>
        <w:t>AMP,</w:t>
      </w:r>
      <w:r w:rsidRPr="00C71058">
        <w:rPr>
          <w:rFonts w:ascii="Arial" w:hAnsi="Arial" w:cs="Arial"/>
          <w:spacing w:val="-7"/>
          <w:sz w:val="20"/>
          <w:szCs w:val="20"/>
        </w:rPr>
        <w:t xml:space="preserve"> </w:t>
      </w:r>
      <w:r w:rsidRPr="00C71058">
        <w:rPr>
          <w:rFonts w:ascii="Arial" w:hAnsi="Arial" w:cs="Arial"/>
          <w:sz w:val="20"/>
          <w:szCs w:val="20"/>
        </w:rPr>
        <w:t>the</w:t>
      </w:r>
      <w:r w:rsidRPr="00C71058">
        <w:rPr>
          <w:rFonts w:ascii="Arial" w:hAnsi="Arial" w:cs="Arial"/>
          <w:spacing w:val="-7"/>
          <w:sz w:val="20"/>
          <w:szCs w:val="20"/>
        </w:rPr>
        <w:t xml:space="preserve"> </w:t>
      </w:r>
      <w:r w:rsidRPr="00C71058">
        <w:rPr>
          <w:rFonts w:ascii="Arial" w:hAnsi="Arial" w:cs="Arial"/>
          <w:sz w:val="20"/>
          <w:szCs w:val="20"/>
        </w:rPr>
        <w:t>AMP</w:t>
      </w:r>
      <w:r w:rsidRPr="00C71058">
        <w:rPr>
          <w:rFonts w:ascii="Arial" w:hAnsi="Arial" w:cs="Arial"/>
          <w:spacing w:val="-7"/>
          <w:sz w:val="20"/>
          <w:szCs w:val="20"/>
        </w:rPr>
        <w:t xml:space="preserve"> </w:t>
      </w:r>
      <w:r w:rsidRPr="00C71058">
        <w:rPr>
          <w:rFonts w:ascii="Arial" w:hAnsi="Arial" w:cs="Arial"/>
          <w:sz w:val="20"/>
          <w:szCs w:val="20"/>
        </w:rPr>
        <w:t>shall</w:t>
      </w:r>
      <w:r w:rsidRPr="00C71058">
        <w:rPr>
          <w:rFonts w:ascii="Arial" w:hAnsi="Arial" w:cs="Arial"/>
          <w:spacing w:val="-8"/>
          <w:sz w:val="20"/>
          <w:szCs w:val="20"/>
        </w:rPr>
        <w:t xml:space="preserve"> </w:t>
      </w:r>
      <w:r w:rsidRPr="00C71058">
        <w:rPr>
          <w:rFonts w:ascii="Arial" w:hAnsi="Arial" w:cs="Arial"/>
          <w:sz w:val="20"/>
          <w:szCs w:val="20"/>
        </w:rPr>
        <w:t>be</w:t>
      </w:r>
      <w:r w:rsidRPr="00C71058">
        <w:rPr>
          <w:rFonts w:ascii="Arial" w:hAnsi="Arial" w:cs="Arial"/>
          <w:spacing w:val="-7"/>
          <w:sz w:val="20"/>
          <w:szCs w:val="20"/>
        </w:rPr>
        <w:t xml:space="preserve"> </w:t>
      </w:r>
      <w:r w:rsidRPr="00C71058">
        <w:rPr>
          <w:rFonts w:ascii="Arial" w:hAnsi="Arial" w:cs="Arial"/>
          <w:sz w:val="20"/>
          <w:szCs w:val="20"/>
        </w:rPr>
        <w:t>amended</w:t>
      </w:r>
      <w:r w:rsidRPr="00C71058">
        <w:rPr>
          <w:rFonts w:ascii="Arial" w:hAnsi="Arial" w:cs="Arial"/>
          <w:spacing w:val="-7"/>
          <w:sz w:val="20"/>
          <w:szCs w:val="20"/>
        </w:rPr>
        <w:t xml:space="preserve"> </w:t>
      </w:r>
      <w:r w:rsidRPr="00C71058">
        <w:rPr>
          <w:rFonts w:ascii="Arial" w:hAnsi="Arial" w:cs="Arial"/>
          <w:sz w:val="20"/>
          <w:szCs w:val="20"/>
        </w:rPr>
        <w:t>accordingly.</w:t>
      </w:r>
      <w:r w:rsidRPr="00C71058">
        <w:rPr>
          <w:rFonts w:ascii="Arial" w:hAnsi="Arial" w:cs="Arial"/>
          <w:spacing w:val="-9"/>
          <w:sz w:val="20"/>
          <w:szCs w:val="20"/>
        </w:rPr>
        <w:t xml:space="preserve"> </w:t>
      </w:r>
      <w:r w:rsidRPr="00C71058">
        <w:rPr>
          <w:rFonts w:ascii="Arial" w:hAnsi="Arial" w:cs="Arial"/>
          <w:sz w:val="20"/>
          <w:szCs w:val="20"/>
        </w:rPr>
        <w:t>The</w:t>
      </w:r>
      <w:r w:rsidRPr="00C71058">
        <w:rPr>
          <w:rFonts w:ascii="Arial" w:hAnsi="Arial" w:cs="Arial"/>
          <w:spacing w:val="-8"/>
          <w:sz w:val="20"/>
          <w:szCs w:val="20"/>
        </w:rPr>
        <w:t xml:space="preserve"> </w:t>
      </w:r>
      <w:r w:rsidRPr="00C71058">
        <w:rPr>
          <w:rFonts w:ascii="Arial" w:hAnsi="Arial" w:cs="Arial"/>
          <w:sz w:val="20"/>
          <w:szCs w:val="20"/>
        </w:rPr>
        <w:t>person</w:t>
      </w:r>
      <w:r w:rsidRPr="00C71058">
        <w:rPr>
          <w:rFonts w:ascii="Arial" w:hAnsi="Arial" w:cs="Arial"/>
          <w:spacing w:val="-47"/>
          <w:sz w:val="20"/>
          <w:szCs w:val="20"/>
        </w:rPr>
        <w:t xml:space="preserve"> </w:t>
      </w:r>
      <w:r w:rsidRPr="00C71058">
        <w:rPr>
          <w:rFonts w:ascii="Arial" w:hAnsi="Arial" w:cs="Arial"/>
          <w:sz w:val="20"/>
          <w:szCs w:val="20"/>
        </w:rPr>
        <w:t xml:space="preserve">performing the review shall inform the </w:t>
      </w:r>
      <w:r w:rsidR="004E22F1">
        <w:rPr>
          <w:rFonts w:ascii="Arial" w:hAnsi="Arial" w:cs="Arial"/>
          <w:sz w:val="20"/>
          <w:szCs w:val="20"/>
        </w:rPr>
        <w:t xml:space="preserve">CAC RA </w:t>
      </w:r>
      <w:r w:rsidRPr="00C71058">
        <w:rPr>
          <w:rFonts w:ascii="Arial" w:hAnsi="Arial" w:cs="Arial"/>
          <w:sz w:val="20"/>
          <w:szCs w:val="20"/>
        </w:rPr>
        <w:t>of registry if</w:t>
      </w:r>
      <w:r w:rsidRPr="00C71058">
        <w:rPr>
          <w:rFonts w:ascii="Arial" w:hAnsi="Arial" w:cs="Arial"/>
          <w:spacing w:val="1"/>
          <w:sz w:val="20"/>
          <w:szCs w:val="20"/>
        </w:rPr>
        <w:t xml:space="preserve"> </w:t>
      </w:r>
      <w:r w:rsidRPr="00C71058">
        <w:rPr>
          <w:rFonts w:ascii="Arial" w:hAnsi="Arial" w:cs="Arial"/>
          <w:sz w:val="20"/>
          <w:szCs w:val="20"/>
        </w:rPr>
        <w:t>he</w:t>
      </w:r>
      <w:r w:rsidRPr="00C71058">
        <w:rPr>
          <w:rFonts w:ascii="Arial" w:hAnsi="Arial" w:cs="Arial"/>
          <w:spacing w:val="-5"/>
          <w:sz w:val="20"/>
          <w:szCs w:val="20"/>
        </w:rPr>
        <w:t xml:space="preserve"> </w:t>
      </w:r>
      <w:r w:rsidRPr="00C71058">
        <w:rPr>
          <w:rFonts w:ascii="Arial" w:hAnsi="Arial" w:cs="Arial"/>
          <w:sz w:val="20"/>
          <w:szCs w:val="20"/>
        </w:rPr>
        <w:t>does</w:t>
      </w:r>
      <w:r w:rsidRPr="00C71058">
        <w:rPr>
          <w:rFonts w:ascii="Arial" w:hAnsi="Arial" w:cs="Arial"/>
          <w:spacing w:val="-4"/>
          <w:sz w:val="20"/>
          <w:szCs w:val="20"/>
        </w:rPr>
        <w:t xml:space="preserve"> </w:t>
      </w:r>
      <w:r w:rsidRPr="00C71058">
        <w:rPr>
          <w:rFonts w:ascii="Arial" w:hAnsi="Arial" w:cs="Arial"/>
          <w:sz w:val="20"/>
          <w:szCs w:val="20"/>
        </w:rPr>
        <w:t>not</w:t>
      </w:r>
      <w:r w:rsidRPr="00C71058">
        <w:rPr>
          <w:rFonts w:ascii="Arial" w:hAnsi="Arial" w:cs="Arial"/>
          <w:spacing w:val="-4"/>
          <w:sz w:val="20"/>
          <w:szCs w:val="20"/>
        </w:rPr>
        <w:t xml:space="preserve"> </w:t>
      </w:r>
      <w:r w:rsidRPr="00C71058">
        <w:rPr>
          <w:rFonts w:ascii="Arial" w:hAnsi="Arial" w:cs="Arial"/>
          <w:sz w:val="20"/>
          <w:szCs w:val="20"/>
        </w:rPr>
        <w:t>agree</w:t>
      </w:r>
      <w:r w:rsidRPr="00C71058">
        <w:rPr>
          <w:rFonts w:ascii="Arial" w:hAnsi="Arial" w:cs="Arial"/>
          <w:spacing w:val="-6"/>
          <w:sz w:val="20"/>
          <w:szCs w:val="20"/>
        </w:rPr>
        <w:t xml:space="preserve"> </w:t>
      </w:r>
      <w:r w:rsidRPr="00C71058">
        <w:rPr>
          <w:rFonts w:ascii="Arial" w:hAnsi="Arial" w:cs="Arial"/>
          <w:sz w:val="20"/>
          <w:szCs w:val="20"/>
        </w:rPr>
        <w:t>with</w:t>
      </w:r>
      <w:r w:rsidRPr="00C71058">
        <w:rPr>
          <w:rFonts w:ascii="Arial" w:hAnsi="Arial" w:cs="Arial"/>
          <w:spacing w:val="-5"/>
          <w:sz w:val="20"/>
          <w:szCs w:val="20"/>
        </w:rPr>
        <w:t xml:space="preserve"> </w:t>
      </w:r>
      <w:r w:rsidRPr="00C71058">
        <w:rPr>
          <w:rFonts w:ascii="Arial" w:hAnsi="Arial" w:cs="Arial"/>
          <w:sz w:val="20"/>
          <w:szCs w:val="20"/>
        </w:rPr>
        <w:t>the</w:t>
      </w:r>
      <w:r w:rsidRPr="00C71058">
        <w:rPr>
          <w:rFonts w:ascii="Arial" w:hAnsi="Arial" w:cs="Arial"/>
          <w:spacing w:val="-8"/>
          <w:sz w:val="20"/>
          <w:szCs w:val="20"/>
        </w:rPr>
        <w:t xml:space="preserve"> </w:t>
      </w:r>
      <w:r w:rsidRPr="00C71058">
        <w:rPr>
          <w:rFonts w:ascii="Arial" w:hAnsi="Arial" w:cs="Arial"/>
          <w:sz w:val="20"/>
          <w:szCs w:val="20"/>
        </w:rPr>
        <w:t>measures</w:t>
      </w:r>
      <w:r w:rsidRPr="00C71058">
        <w:rPr>
          <w:rFonts w:ascii="Arial" w:hAnsi="Arial" w:cs="Arial"/>
          <w:spacing w:val="-4"/>
          <w:sz w:val="20"/>
          <w:szCs w:val="20"/>
        </w:rPr>
        <w:t xml:space="preserve"> </w:t>
      </w:r>
      <w:r w:rsidRPr="00C71058">
        <w:rPr>
          <w:rFonts w:ascii="Arial" w:hAnsi="Arial" w:cs="Arial"/>
          <w:sz w:val="20"/>
          <w:szCs w:val="20"/>
        </w:rPr>
        <w:t>amending</w:t>
      </w:r>
      <w:r w:rsidRPr="00C71058">
        <w:rPr>
          <w:rFonts w:ascii="Arial" w:hAnsi="Arial" w:cs="Arial"/>
          <w:spacing w:val="-5"/>
          <w:sz w:val="20"/>
          <w:szCs w:val="20"/>
        </w:rPr>
        <w:t xml:space="preserve"> </w:t>
      </w:r>
      <w:r w:rsidRPr="00C71058">
        <w:rPr>
          <w:rFonts w:ascii="Arial" w:hAnsi="Arial" w:cs="Arial"/>
          <w:sz w:val="20"/>
          <w:szCs w:val="20"/>
        </w:rPr>
        <w:t>the</w:t>
      </w:r>
      <w:r w:rsidRPr="00C71058">
        <w:rPr>
          <w:rFonts w:ascii="Arial" w:hAnsi="Arial" w:cs="Arial"/>
          <w:spacing w:val="-5"/>
          <w:sz w:val="20"/>
          <w:szCs w:val="20"/>
        </w:rPr>
        <w:t xml:space="preserve"> </w:t>
      </w:r>
      <w:r w:rsidRPr="00C71058">
        <w:rPr>
          <w:rFonts w:ascii="Arial" w:hAnsi="Arial" w:cs="Arial"/>
          <w:sz w:val="20"/>
          <w:szCs w:val="20"/>
        </w:rPr>
        <w:t>AMP</w:t>
      </w:r>
      <w:r w:rsidRPr="00C71058">
        <w:rPr>
          <w:rFonts w:ascii="Arial" w:hAnsi="Arial" w:cs="Arial"/>
          <w:spacing w:val="-3"/>
          <w:sz w:val="20"/>
          <w:szCs w:val="20"/>
        </w:rPr>
        <w:t xml:space="preserve"> </w:t>
      </w:r>
      <w:r w:rsidRPr="00C71058">
        <w:rPr>
          <w:rFonts w:ascii="Arial" w:hAnsi="Arial" w:cs="Arial"/>
          <w:sz w:val="20"/>
          <w:szCs w:val="20"/>
        </w:rPr>
        <w:t>taken</w:t>
      </w:r>
      <w:r w:rsidRPr="00C71058">
        <w:rPr>
          <w:rFonts w:ascii="Arial" w:hAnsi="Arial" w:cs="Arial"/>
          <w:spacing w:val="-5"/>
          <w:sz w:val="20"/>
          <w:szCs w:val="20"/>
        </w:rPr>
        <w:t xml:space="preserve"> </w:t>
      </w:r>
      <w:r w:rsidRPr="00C71058">
        <w:rPr>
          <w:rFonts w:ascii="Arial" w:hAnsi="Arial" w:cs="Arial"/>
          <w:sz w:val="20"/>
          <w:szCs w:val="20"/>
        </w:rPr>
        <w:t>by</w:t>
      </w:r>
      <w:r w:rsidRPr="00C71058">
        <w:rPr>
          <w:rFonts w:ascii="Arial" w:hAnsi="Arial" w:cs="Arial"/>
          <w:spacing w:val="-5"/>
          <w:sz w:val="20"/>
          <w:szCs w:val="20"/>
        </w:rPr>
        <w:t xml:space="preserve"> </w:t>
      </w:r>
      <w:r w:rsidRPr="00C71058">
        <w:rPr>
          <w:rFonts w:ascii="Arial" w:hAnsi="Arial" w:cs="Arial"/>
          <w:sz w:val="20"/>
          <w:szCs w:val="20"/>
        </w:rPr>
        <w:t>the</w:t>
      </w:r>
      <w:r w:rsidRPr="00C71058">
        <w:rPr>
          <w:rFonts w:ascii="Arial" w:hAnsi="Arial" w:cs="Arial"/>
          <w:spacing w:val="-4"/>
          <w:sz w:val="20"/>
          <w:szCs w:val="20"/>
        </w:rPr>
        <w:t xml:space="preserve"> </w:t>
      </w:r>
      <w:r w:rsidRPr="00C71058">
        <w:rPr>
          <w:rFonts w:ascii="Arial" w:hAnsi="Arial" w:cs="Arial"/>
          <w:sz w:val="20"/>
          <w:szCs w:val="20"/>
        </w:rPr>
        <w:t>owner,</w:t>
      </w:r>
      <w:r w:rsidRPr="00C71058">
        <w:rPr>
          <w:rFonts w:ascii="Arial" w:hAnsi="Arial" w:cs="Arial"/>
          <w:spacing w:val="-5"/>
          <w:sz w:val="20"/>
          <w:szCs w:val="20"/>
        </w:rPr>
        <w:t xml:space="preserve"> </w:t>
      </w:r>
      <w:r w:rsidRPr="00C71058">
        <w:rPr>
          <w:rFonts w:ascii="Arial" w:hAnsi="Arial" w:cs="Arial"/>
          <w:sz w:val="20"/>
          <w:szCs w:val="20"/>
        </w:rPr>
        <w:t>CAMO</w:t>
      </w:r>
      <w:r w:rsidRPr="00C71058">
        <w:rPr>
          <w:rFonts w:ascii="Arial" w:hAnsi="Arial" w:cs="Arial"/>
          <w:spacing w:val="-4"/>
          <w:sz w:val="20"/>
          <w:szCs w:val="20"/>
        </w:rPr>
        <w:t xml:space="preserve"> </w:t>
      </w:r>
      <w:r w:rsidRPr="00C71058">
        <w:rPr>
          <w:rFonts w:ascii="Arial" w:hAnsi="Arial" w:cs="Arial"/>
          <w:sz w:val="20"/>
          <w:szCs w:val="20"/>
        </w:rPr>
        <w:t>or</w:t>
      </w:r>
      <w:r w:rsidRPr="00C71058">
        <w:rPr>
          <w:rFonts w:ascii="Arial" w:hAnsi="Arial" w:cs="Arial"/>
          <w:spacing w:val="-5"/>
          <w:sz w:val="20"/>
          <w:szCs w:val="20"/>
        </w:rPr>
        <w:t xml:space="preserve"> </w:t>
      </w:r>
      <w:r w:rsidRPr="00C71058">
        <w:rPr>
          <w:rFonts w:ascii="Arial" w:hAnsi="Arial" w:cs="Arial"/>
          <w:sz w:val="20"/>
          <w:szCs w:val="20"/>
        </w:rPr>
        <w:t>CAO.</w:t>
      </w:r>
      <w:r w:rsidRPr="00C71058">
        <w:rPr>
          <w:rFonts w:ascii="Arial" w:hAnsi="Arial" w:cs="Arial"/>
          <w:spacing w:val="-4"/>
          <w:sz w:val="20"/>
          <w:szCs w:val="20"/>
        </w:rPr>
        <w:t xml:space="preserve"> </w:t>
      </w:r>
      <w:r w:rsidRPr="00C71058">
        <w:rPr>
          <w:rFonts w:ascii="Arial" w:hAnsi="Arial" w:cs="Arial"/>
          <w:sz w:val="20"/>
          <w:szCs w:val="20"/>
        </w:rPr>
        <w:t>In</w:t>
      </w:r>
      <w:r w:rsidRPr="00C71058">
        <w:rPr>
          <w:rFonts w:ascii="Arial" w:hAnsi="Arial" w:cs="Arial"/>
          <w:spacing w:val="-48"/>
          <w:sz w:val="20"/>
          <w:szCs w:val="20"/>
        </w:rPr>
        <w:t xml:space="preserve"> </w:t>
      </w:r>
      <w:r w:rsidRPr="00C71058">
        <w:rPr>
          <w:rFonts w:ascii="Arial" w:hAnsi="Arial" w:cs="Arial"/>
          <w:sz w:val="20"/>
          <w:szCs w:val="20"/>
        </w:rPr>
        <w:t xml:space="preserve">such case the </w:t>
      </w:r>
      <w:r w:rsidR="004E22F1">
        <w:rPr>
          <w:rFonts w:ascii="Arial" w:hAnsi="Arial" w:cs="Arial"/>
          <w:sz w:val="20"/>
          <w:szCs w:val="20"/>
        </w:rPr>
        <w:t xml:space="preserve">CAC RA </w:t>
      </w:r>
      <w:r w:rsidRPr="00C71058">
        <w:rPr>
          <w:rFonts w:ascii="Arial" w:hAnsi="Arial" w:cs="Arial"/>
          <w:sz w:val="20"/>
          <w:szCs w:val="20"/>
        </w:rPr>
        <w:t>shall decide which amendments to the AMP are necessary,</w:t>
      </w:r>
      <w:r w:rsidRPr="00C71058">
        <w:rPr>
          <w:rFonts w:ascii="Arial" w:hAnsi="Arial" w:cs="Arial"/>
          <w:spacing w:val="1"/>
          <w:sz w:val="20"/>
          <w:szCs w:val="20"/>
        </w:rPr>
        <w:t xml:space="preserve"> </w:t>
      </w:r>
      <w:r w:rsidRPr="00C71058">
        <w:rPr>
          <w:rFonts w:ascii="Arial" w:hAnsi="Arial" w:cs="Arial"/>
          <w:sz w:val="20"/>
          <w:szCs w:val="20"/>
        </w:rPr>
        <w:t>raising the corresponding findings defined in point ML.B.903 and, if necessary, reacting in accordance with point ML.B.304.</w:t>
      </w:r>
    </w:p>
    <w:p w14:paraId="1C90F02A" w14:textId="77777777" w:rsidR="006B618F" w:rsidRPr="006B618F" w:rsidRDefault="006B618F" w:rsidP="006B618F">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925" w:name="_Toc153137556"/>
      <w:r w:rsidRPr="006B618F">
        <w:rPr>
          <w:rFonts w:ascii="Arial" w:eastAsia="Times New Roman" w:hAnsi="Arial" w:cs="Times New Roman"/>
          <w:b/>
          <w:color w:val="FFFFFF"/>
          <w:sz w:val="24"/>
        </w:rPr>
        <w:t>AMC1 ML.A.903(h) Airworthiness review</w:t>
      </w:r>
      <w:bookmarkEnd w:id="925"/>
      <w:r w:rsidRPr="006B618F">
        <w:rPr>
          <w:rFonts w:ascii="Arial" w:eastAsia="Times New Roman" w:hAnsi="Arial" w:cs="Times New Roman"/>
          <w:b/>
          <w:color w:val="FFFFFF"/>
          <w:sz w:val="24"/>
        </w:rPr>
        <w:tab/>
      </w:r>
    </w:p>
    <w:p w14:paraId="7F5A3540" w14:textId="77777777" w:rsidR="006B618F" w:rsidRPr="006B618F" w:rsidRDefault="006B618F" w:rsidP="006B618F">
      <w:pPr>
        <w:widowControl/>
        <w:autoSpaceDE/>
        <w:autoSpaceDN/>
        <w:spacing w:before="240" w:after="160" w:line="264" w:lineRule="auto"/>
        <w:jc w:val="both"/>
        <w:rPr>
          <w:rFonts w:ascii="Arial" w:eastAsiaTheme="minorHAnsi" w:hAnsi="Arial" w:cs="Arial"/>
          <w:b/>
          <w:bCs/>
          <w:sz w:val="20"/>
          <w:szCs w:val="20"/>
        </w:rPr>
      </w:pPr>
      <w:r w:rsidRPr="006B618F">
        <w:rPr>
          <w:rFonts w:ascii="Arial" w:eastAsiaTheme="minorHAnsi" w:hAnsi="Arial" w:cs="Arial"/>
          <w:b/>
          <w:bCs/>
          <w:sz w:val="20"/>
          <w:szCs w:val="20"/>
        </w:rPr>
        <w:t>REVIEW OF AMP IN CONJUNCTION WITH AR</w:t>
      </w:r>
    </w:p>
    <w:p w14:paraId="42B9C8B8" w14:textId="278B20E3" w:rsidR="006B618F" w:rsidRPr="006B618F" w:rsidRDefault="006B618F" w:rsidP="006F047C">
      <w:pPr>
        <w:spacing w:before="116"/>
        <w:ind w:right="44"/>
        <w:jc w:val="both"/>
        <w:rPr>
          <w:rFonts w:ascii="Arial" w:hAnsi="Arial" w:cs="Arial"/>
          <w:sz w:val="20"/>
        </w:rPr>
      </w:pPr>
      <w:r w:rsidRPr="006B618F">
        <w:rPr>
          <w:rFonts w:ascii="Arial" w:hAnsi="Arial" w:cs="Arial"/>
          <w:sz w:val="20"/>
        </w:rPr>
        <w:t>This review of the maintenance programme is performed by the person who performed the AR, who</w:t>
      </w:r>
      <w:r w:rsidRPr="006B618F">
        <w:rPr>
          <w:rFonts w:ascii="Arial" w:hAnsi="Arial" w:cs="Arial"/>
          <w:spacing w:val="1"/>
          <w:sz w:val="20"/>
        </w:rPr>
        <w:t xml:space="preserve"> </w:t>
      </w:r>
      <w:r w:rsidRPr="006B618F">
        <w:rPr>
          <w:rFonts w:ascii="Arial" w:hAnsi="Arial" w:cs="Arial"/>
          <w:sz w:val="20"/>
        </w:rPr>
        <w:t>could</w:t>
      </w:r>
      <w:r w:rsidRPr="006B618F">
        <w:rPr>
          <w:rFonts w:ascii="Arial" w:hAnsi="Arial" w:cs="Arial"/>
          <w:spacing w:val="-7"/>
          <w:sz w:val="20"/>
        </w:rPr>
        <w:t xml:space="preserve"> </w:t>
      </w:r>
      <w:r w:rsidRPr="006B618F">
        <w:rPr>
          <w:rFonts w:ascii="Arial" w:hAnsi="Arial" w:cs="Arial"/>
          <w:sz w:val="20"/>
        </w:rPr>
        <w:t>belong</w:t>
      </w:r>
      <w:r w:rsidRPr="006B618F">
        <w:rPr>
          <w:rFonts w:ascii="Arial" w:hAnsi="Arial" w:cs="Arial"/>
          <w:spacing w:val="-6"/>
          <w:sz w:val="20"/>
        </w:rPr>
        <w:t xml:space="preserve"> </w:t>
      </w:r>
      <w:r w:rsidRPr="006B618F">
        <w:rPr>
          <w:rFonts w:ascii="Arial" w:hAnsi="Arial" w:cs="Arial"/>
          <w:sz w:val="20"/>
        </w:rPr>
        <w:t>to</w:t>
      </w:r>
      <w:r w:rsidRPr="006B618F">
        <w:rPr>
          <w:rFonts w:ascii="Arial" w:hAnsi="Arial" w:cs="Arial"/>
          <w:spacing w:val="-4"/>
          <w:sz w:val="20"/>
        </w:rPr>
        <w:t xml:space="preserve"> </w:t>
      </w:r>
      <w:r w:rsidRPr="006B618F">
        <w:rPr>
          <w:rFonts w:ascii="Arial" w:hAnsi="Arial" w:cs="Arial"/>
          <w:sz w:val="20"/>
        </w:rPr>
        <w:t>the</w:t>
      </w:r>
      <w:r w:rsidRPr="006B618F">
        <w:rPr>
          <w:rFonts w:ascii="Arial" w:hAnsi="Arial" w:cs="Arial"/>
          <w:spacing w:val="-5"/>
          <w:sz w:val="20"/>
        </w:rPr>
        <w:t xml:space="preserve"> </w:t>
      </w:r>
      <w:r w:rsidR="004E22F1">
        <w:rPr>
          <w:rFonts w:ascii="Arial" w:hAnsi="Arial" w:cs="Arial"/>
          <w:sz w:val="20"/>
          <w:szCs w:val="20"/>
        </w:rPr>
        <w:t>CAC RA</w:t>
      </w:r>
      <w:r w:rsidRPr="006B618F">
        <w:rPr>
          <w:rFonts w:ascii="Arial" w:hAnsi="Arial" w:cs="Arial"/>
          <w:sz w:val="20"/>
        </w:rPr>
        <w:t>,</w:t>
      </w:r>
      <w:r w:rsidRPr="006B618F">
        <w:rPr>
          <w:rFonts w:ascii="Arial" w:hAnsi="Arial" w:cs="Arial"/>
          <w:spacing w:val="-5"/>
          <w:sz w:val="20"/>
        </w:rPr>
        <w:t xml:space="preserve"> </w:t>
      </w:r>
      <w:r w:rsidRPr="006B618F">
        <w:rPr>
          <w:rFonts w:ascii="Arial" w:hAnsi="Arial" w:cs="Arial"/>
          <w:sz w:val="20"/>
        </w:rPr>
        <w:t>a</w:t>
      </w:r>
      <w:r w:rsidRPr="006B618F">
        <w:rPr>
          <w:rFonts w:ascii="Arial" w:hAnsi="Arial" w:cs="Arial"/>
          <w:spacing w:val="-8"/>
          <w:sz w:val="20"/>
        </w:rPr>
        <w:t xml:space="preserve"> </w:t>
      </w:r>
      <w:r w:rsidRPr="006B618F">
        <w:rPr>
          <w:rFonts w:ascii="Arial" w:hAnsi="Arial" w:cs="Arial"/>
          <w:sz w:val="20"/>
        </w:rPr>
        <w:t>CAMO,</w:t>
      </w:r>
      <w:r w:rsidRPr="006B618F">
        <w:rPr>
          <w:rFonts w:ascii="Arial" w:hAnsi="Arial" w:cs="Arial"/>
          <w:spacing w:val="-5"/>
          <w:sz w:val="20"/>
        </w:rPr>
        <w:t xml:space="preserve"> </w:t>
      </w:r>
      <w:r w:rsidRPr="006B618F">
        <w:rPr>
          <w:rFonts w:ascii="Arial" w:hAnsi="Arial" w:cs="Arial"/>
          <w:sz w:val="20"/>
        </w:rPr>
        <w:t>a</w:t>
      </w:r>
      <w:r w:rsidRPr="006B618F">
        <w:rPr>
          <w:rFonts w:ascii="Arial" w:hAnsi="Arial" w:cs="Arial"/>
          <w:spacing w:val="-7"/>
          <w:sz w:val="20"/>
        </w:rPr>
        <w:t xml:space="preserve"> </w:t>
      </w:r>
      <w:r w:rsidRPr="006B618F">
        <w:rPr>
          <w:rFonts w:ascii="Arial" w:hAnsi="Arial" w:cs="Arial"/>
          <w:sz w:val="20"/>
        </w:rPr>
        <w:t>CAO</w:t>
      </w:r>
      <w:r w:rsidRPr="006B618F">
        <w:rPr>
          <w:rFonts w:ascii="Arial" w:hAnsi="Arial" w:cs="Arial"/>
          <w:spacing w:val="-6"/>
          <w:sz w:val="20"/>
        </w:rPr>
        <w:t xml:space="preserve"> </w:t>
      </w:r>
      <w:r w:rsidRPr="006B618F">
        <w:rPr>
          <w:rFonts w:ascii="Arial" w:hAnsi="Arial" w:cs="Arial"/>
          <w:sz w:val="20"/>
        </w:rPr>
        <w:t>or</w:t>
      </w:r>
      <w:r w:rsidRPr="006B618F">
        <w:rPr>
          <w:rFonts w:ascii="Arial" w:hAnsi="Arial" w:cs="Arial"/>
          <w:spacing w:val="-8"/>
          <w:sz w:val="20"/>
        </w:rPr>
        <w:t xml:space="preserve"> </w:t>
      </w:r>
      <w:r w:rsidRPr="006B618F">
        <w:rPr>
          <w:rFonts w:ascii="Arial" w:hAnsi="Arial" w:cs="Arial"/>
          <w:sz w:val="20"/>
        </w:rPr>
        <w:t>a</w:t>
      </w:r>
      <w:r w:rsidRPr="006B618F">
        <w:rPr>
          <w:rFonts w:ascii="Arial" w:hAnsi="Arial" w:cs="Arial"/>
          <w:spacing w:val="-8"/>
          <w:sz w:val="20"/>
        </w:rPr>
        <w:t xml:space="preserve"> </w:t>
      </w:r>
      <w:r w:rsidRPr="006B618F">
        <w:rPr>
          <w:rFonts w:ascii="Arial" w:hAnsi="Arial" w:cs="Arial"/>
          <w:sz w:val="20"/>
        </w:rPr>
        <w:t>maintenance</w:t>
      </w:r>
      <w:r w:rsidRPr="006B618F">
        <w:rPr>
          <w:rFonts w:ascii="Arial" w:hAnsi="Arial" w:cs="Arial"/>
          <w:spacing w:val="-6"/>
          <w:sz w:val="20"/>
        </w:rPr>
        <w:t xml:space="preserve"> </w:t>
      </w:r>
      <w:r w:rsidRPr="006B618F">
        <w:rPr>
          <w:rFonts w:ascii="Arial" w:hAnsi="Arial" w:cs="Arial"/>
          <w:sz w:val="20"/>
        </w:rPr>
        <w:t>organisation</w:t>
      </w:r>
      <w:r w:rsidRPr="006B618F">
        <w:rPr>
          <w:rFonts w:ascii="Arial" w:hAnsi="Arial" w:cs="Arial"/>
          <w:spacing w:val="-9"/>
          <w:sz w:val="20"/>
        </w:rPr>
        <w:t xml:space="preserve"> </w:t>
      </w:r>
      <w:r w:rsidRPr="006B618F">
        <w:rPr>
          <w:rFonts w:ascii="Arial" w:hAnsi="Arial" w:cs="Arial"/>
          <w:sz w:val="20"/>
        </w:rPr>
        <w:t>or</w:t>
      </w:r>
      <w:r w:rsidRPr="006B618F">
        <w:rPr>
          <w:rFonts w:ascii="Arial" w:hAnsi="Arial" w:cs="Arial"/>
          <w:spacing w:val="-8"/>
          <w:sz w:val="20"/>
        </w:rPr>
        <w:t xml:space="preserve"> </w:t>
      </w:r>
      <w:r w:rsidRPr="006B618F">
        <w:rPr>
          <w:rFonts w:ascii="Arial" w:hAnsi="Arial" w:cs="Arial"/>
          <w:sz w:val="20"/>
        </w:rPr>
        <w:t>could</w:t>
      </w:r>
      <w:r w:rsidRPr="006B618F">
        <w:rPr>
          <w:rFonts w:ascii="Arial" w:hAnsi="Arial" w:cs="Arial"/>
          <w:spacing w:val="-7"/>
          <w:sz w:val="20"/>
        </w:rPr>
        <w:t xml:space="preserve"> </w:t>
      </w:r>
      <w:r w:rsidRPr="006B618F">
        <w:rPr>
          <w:rFonts w:ascii="Arial" w:hAnsi="Arial" w:cs="Arial"/>
          <w:sz w:val="20"/>
        </w:rPr>
        <w:t>also</w:t>
      </w:r>
      <w:r w:rsidRPr="006B618F">
        <w:rPr>
          <w:rFonts w:ascii="Arial" w:hAnsi="Arial" w:cs="Arial"/>
          <w:spacing w:val="-47"/>
          <w:sz w:val="20"/>
        </w:rPr>
        <w:t xml:space="preserve"> </w:t>
      </w:r>
      <w:r w:rsidRPr="006B618F">
        <w:rPr>
          <w:rFonts w:ascii="Arial" w:hAnsi="Arial" w:cs="Arial"/>
          <w:sz w:val="20"/>
        </w:rPr>
        <w:t>be independent certifying</w:t>
      </w:r>
      <w:r w:rsidRPr="006B618F">
        <w:rPr>
          <w:rFonts w:ascii="Arial" w:hAnsi="Arial" w:cs="Arial"/>
          <w:spacing w:val="-2"/>
          <w:sz w:val="20"/>
        </w:rPr>
        <w:t xml:space="preserve"> </w:t>
      </w:r>
      <w:r w:rsidRPr="006B618F">
        <w:rPr>
          <w:rFonts w:ascii="Arial" w:hAnsi="Arial" w:cs="Arial"/>
          <w:sz w:val="20"/>
        </w:rPr>
        <w:t>staff in accordance</w:t>
      </w:r>
      <w:r w:rsidRPr="006B618F">
        <w:rPr>
          <w:rFonts w:ascii="Arial" w:hAnsi="Arial" w:cs="Arial"/>
          <w:spacing w:val="-3"/>
          <w:sz w:val="20"/>
        </w:rPr>
        <w:t xml:space="preserve"> </w:t>
      </w:r>
      <w:r w:rsidRPr="006B618F">
        <w:rPr>
          <w:rFonts w:ascii="Arial" w:hAnsi="Arial" w:cs="Arial"/>
          <w:sz w:val="20"/>
        </w:rPr>
        <w:t>with</w:t>
      </w:r>
      <w:r w:rsidRPr="006B618F">
        <w:rPr>
          <w:rFonts w:ascii="Arial" w:hAnsi="Arial" w:cs="Arial"/>
          <w:spacing w:val="-3"/>
          <w:sz w:val="20"/>
        </w:rPr>
        <w:t xml:space="preserve"> </w:t>
      </w:r>
      <w:r w:rsidRPr="006B618F">
        <w:rPr>
          <w:rFonts w:ascii="Arial" w:hAnsi="Arial" w:cs="Arial"/>
          <w:sz w:val="20"/>
        </w:rPr>
        <w:t>ML.A.901(b)(4) M.A.901(g).</w:t>
      </w:r>
    </w:p>
    <w:p w14:paraId="6C56070B" w14:textId="77777777" w:rsidR="006B618F" w:rsidRPr="006B618F" w:rsidRDefault="006B618F" w:rsidP="006F047C">
      <w:pPr>
        <w:spacing w:before="122"/>
        <w:ind w:right="44"/>
        <w:jc w:val="both"/>
        <w:rPr>
          <w:rFonts w:ascii="Arial" w:hAnsi="Arial" w:cs="Arial"/>
          <w:sz w:val="20"/>
        </w:rPr>
      </w:pPr>
      <w:r w:rsidRPr="006B618F">
        <w:rPr>
          <w:rFonts w:ascii="Arial" w:hAnsi="Arial" w:cs="Arial"/>
          <w:sz w:val="20"/>
        </w:rPr>
        <w:t>This</w:t>
      </w:r>
      <w:r w:rsidRPr="006B618F">
        <w:rPr>
          <w:rFonts w:ascii="Arial" w:hAnsi="Arial" w:cs="Arial"/>
          <w:spacing w:val="-6"/>
          <w:sz w:val="20"/>
        </w:rPr>
        <w:t xml:space="preserve"> </w:t>
      </w:r>
      <w:r w:rsidRPr="006B618F">
        <w:rPr>
          <w:rFonts w:ascii="Arial" w:hAnsi="Arial" w:cs="Arial"/>
          <w:sz w:val="20"/>
        </w:rPr>
        <w:t>person</w:t>
      </w:r>
      <w:r w:rsidRPr="006B618F">
        <w:rPr>
          <w:rFonts w:ascii="Arial" w:hAnsi="Arial" w:cs="Arial"/>
          <w:spacing w:val="-6"/>
          <w:sz w:val="20"/>
        </w:rPr>
        <w:t xml:space="preserve"> </w:t>
      </w:r>
      <w:r w:rsidRPr="006B618F">
        <w:rPr>
          <w:rFonts w:ascii="Arial" w:hAnsi="Arial" w:cs="Arial"/>
          <w:sz w:val="20"/>
        </w:rPr>
        <w:t>is</w:t>
      </w:r>
      <w:r w:rsidRPr="006B618F">
        <w:rPr>
          <w:rFonts w:ascii="Arial" w:hAnsi="Arial" w:cs="Arial"/>
          <w:spacing w:val="-5"/>
          <w:sz w:val="20"/>
        </w:rPr>
        <w:t xml:space="preserve"> </w:t>
      </w:r>
      <w:r w:rsidRPr="006B618F">
        <w:rPr>
          <w:rFonts w:ascii="Arial" w:hAnsi="Arial" w:cs="Arial"/>
          <w:sz w:val="20"/>
        </w:rPr>
        <w:t>not</w:t>
      </w:r>
      <w:r w:rsidRPr="006B618F">
        <w:rPr>
          <w:rFonts w:ascii="Arial" w:hAnsi="Arial" w:cs="Arial"/>
          <w:spacing w:val="-5"/>
          <w:sz w:val="20"/>
        </w:rPr>
        <w:t xml:space="preserve"> </w:t>
      </w:r>
      <w:r w:rsidRPr="006B618F">
        <w:rPr>
          <w:rFonts w:ascii="Arial" w:hAnsi="Arial" w:cs="Arial"/>
          <w:sz w:val="20"/>
        </w:rPr>
        <w:t>responsible</w:t>
      </w:r>
      <w:r w:rsidRPr="006B618F">
        <w:rPr>
          <w:rFonts w:ascii="Arial" w:hAnsi="Arial" w:cs="Arial"/>
          <w:spacing w:val="-4"/>
          <w:sz w:val="20"/>
        </w:rPr>
        <w:t xml:space="preserve"> </w:t>
      </w:r>
      <w:r w:rsidRPr="006B618F">
        <w:rPr>
          <w:rFonts w:ascii="Arial" w:hAnsi="Arial" w:cs="Arial"/>
          <w:sz w:val="20"/>
        </w:rPr>
        <w:t>for</w:t>
      </w:r>
      <w:r w:rsidRPr="006B618F">
        <w:rPr>
          <w:rFonts w:ascii="Arial" w:hAnsi="Arial" w:cs="Arial"/>
          <w:spacing w:val="-6"/>
          <w:sz w:val="20"/>
        </w:rPr>
        <w:t xml:space="preserve"> </w:t>
      </w:r>
      <w:r w:rsidRPr="006B618F">
        <w:rPr>
          <w:rFonts w:ascii="Arial" w:hAnsi="Arial" w:cs="Arial"/>
          <w:sz w:val="20"/>
        </w:rPr>
        <w:t>the</w:t>
      </w:r>
      <w:r w:rsidRPr="006B618F">
        <w:rPr>
          <w:rFonts w:ascii="Arial" w:hAnsi="Arial" w:cs="Arial"/>
          <w:spacing w:val="-5"/>
          <w:sz w:val="20"/>
        </w:rPr>
        <w:t xml:space="preserve"> </w:t>
      </w:r>
      <w:r w:rsidRPr="006B618F">
        <w:rPr>
          <w:rFonts w:ascii="Arial" w:hAnsi="Arial" w:cs="Arial"/>
          <w:sz w:val="20"/>
        </w:rPr>
        <w:t>completeness</w:t>
      </w:r>
      <w:r w:rsidRPr="006B618F">
        <w:rPr>
          <w:rFonts w:ascii="Arial" w:hAnsi="Arial" w:cs="Arial"/>
          <w:spacing w:val="-5"/>
          <w:sz w:val="20"/>
        </w:rPr>
        <w:t xml:space="preserve"> </w:t>
      </w:r>
      <w:r w:rsidRPr="006B618F">
        <w:rPr>
          <w:rFonts w:ascii="Arial" w:hAnsi="Arial" w:cs="Arial"/>
          <w:sz w:val="20"/>
        </w:rPr>
        <w:t>of</w:t>
      </w:r>
      <w:r w:rsidRPr="006B618F">
        <w:rPr>
          <w:rFonts w:ascii="Arial" w:hAnsi="Arial" w:cs="Arial"/>
          <w:spacing w:val="-7"/>
          <w:sz w:val="20"/>
        </w:rPr>
        <w:t xml:space="preserve"> </w:t>
      </w:r>
      <w:r w:rsidRPr="006B618F">
        <w:rPr>
          <w:rFonts w:ascii="Arial" w:hAnsi="Arial" w:cs="Arial"/>
          <w:sz w:val="20"/>
        </w:rPr>
        <w:t>this</w:t>
      </w:r>
      <w:r w:rsidRPr="006B618F">
        <w:rPr>
          <w:rFonts w:ascii="Arial" w:hAnsi="Arial" w:cs="Arial"/>
          <w:spacing w:val="-6"/>
          <w:sz w:val="20"/>
        </w:rPr>
        <w:t xml:space="preserve"> </w:t>
      </w:r>
      <w:r w:rsidRPr="006B618F">
        <w:rPr>
          <w:rFonts w:ascii="Arial" w:hAnsi="Arial" w:cs="Arial"/>
          <w:sz w:val="20"/>
        </w:rPr>
        <w:t>AMP,</w:t>
      </w:r>
      <w:r w:rsidRPr="006B618F">
        <w:rPr>
          <w:rFonts w:ascii="Arial" w:hAnsi="Arial" w:cs="Arial"/>
          <w:spacing w:val="-4"/>
          <w:sz w:val="20"/>
        </w:rPr>
        <w:t xml:space="preserve"> </w:t>
      </w:r>
      <w:r w:rsidRPr="006B618F">
        <w:rPr>
          <w:rFonts w:ascii="Arial" w:hAnsi="Arial" w:cs="Arial"/>
          <w:sz w:val="20"/>
        </w:rPr>
        <w:t>but</w:t>
      </w:r>
      <w:r w:rsidRPr="006B618F">
        <w:rPr>
          <w:rFonts w:ascii="Arial" w:hAnsi="Arial" w:cs="Arial"/>
          <w:spacing w:val="-8"/>
          <w:sz w:val="20"/>
        </w:rPr>
        <w:t xml:space="preserve"> </w:t>
      </w:r>
      <w:r w:rsidRPr="006B618F">
        <w:rPr>
          <w:rFonts w:ascii="Arial" w:hAnsi="Arial" w:cs="Arial"/>
          <w:sz w:val="20"/>
        </w:rPr>
        <w:t>may</w:t>
      </w:r>
      <w:r w:rsidRPr="006B618F">
        <w:rPr>
          <w:rFonts w:ascii="Arial" w:hAnsi="Arial" w:cs="Arial"/>
          <w:spacing w:val="-4"/>
          <w:sz w:val="20"/>
        </w:rPr>
        <w:t xml:space="preserve"> </w:t>
      </w:r>
      <w:r w:rsidRPr="006B618F">
        <w:rPr>
          <w:rFonts w:ascii="Arial" w:hAnsi="Arial" w:cs="Arial"/>
          <w:sz w:val="20"/>
        </w:rPr>
        <w:t>do</w:t>
      </w:r>
      <w:r w:rsidRPr="006B618F">
        <w:rPr>
          <w:rFonts w:ascii="Arial" w:hAnsi="Arial" w:cs="Arial"/>
          <w:spacing w:val="-4"/>
          <w:sz w:val="20"/>
        </w:rPr>
        <w:t xml:space="preserve"> </w:t>
      </w:r>
      <w:r w:rsidRPr="006B618F">
        <w:rPr>
          <w:rFonts w:ascii="Arial" w:hAnsi="Arial" w:cs="Arial"/>
          <w:sz w:val="20"/>
        </w:rPr>
        <w:t>some</w:t>
      </w:r>
      <w:r w:rsidRPr="006B618F">
        <w:rPr>
          <w:rFonts w:ascii="Arial" w:hAnsi="Arial" w:cs="Arial"/>
          <w:spacing w:val="-5"/>
          <w:sz w:val="20"/>
        </w:rPr>
        <w:t xml:space="preserve"> </w:t>
      </w:r>
      <w:r w:rsidRPr="006B618F">
        <w:rPr>
          <w:rFonts w:ascii="Arial" w:hAnsi="Arial" w:cs="Arial"/>
          <w:sz w:val="20"/>
        </w:rPr>
        <w:t>sampling</w:t>
      </w:r>
      <w:r w:rsidRPr="006B618F">
        <w:rPr>
          <w:rFonts w:ascii="Arial" w:hAnsi="Arial" w:cs="Arial"/>
          <w:spacing w:val="-5"/>
          <w:sz w:val="20"/>
        </w:rPr>
        <w:t xml:space="preserve"> </w:t>
      </w:r>
      <w:r w:rsidRPr="006B618F">
        <w:rPr>
          <w:rFonts w:ascii="Arial" w:hAnsi="Arial" w:cs="Arial"/>
          <w:sz w:val="20"/>
        </w:rPr>
        <w:t>as</w:t>
      </w:r>
      <w:r w:rsidRPr="006B618F">
        <w:rPr>
          <w:rFonts w:ascii="Arial" w:hAnsi="Arial" w:cs="Arial"/>
          <w:spacing w:val="-6"/>
          <w:sz w:val="20"/>
        </w:rPr>
        <w:t xml:space="preserve"> </w:t>
      </w:r>
      <w:r w:rsidRPr="006B618F">
        <w:rPr>
          <w:rFonts w:ascii="Arial" w:hAnsi="Arial" w:cs="Arial"/>
          <w:sz w:val="20"/>
        </w:rPr>
        <w:t>part</w:t>
      </w:r>
      <w:r w:rsidRPr="006B618F">
        <w:rPr>
          <w:rFonts w:ascii="Arial" w:hAnsi="Arial" w:cs="Arial"/>
          <w:spacing w:val="-5"/>
          <w:sz w:val="20"/>
        </w:rPr>
        <w:t xml:space="preserve"> </w:t>
      </w:r>
      <w:r w:rsidRPr="006B618F">
        <w:rPr>
          <w:rFonts w:ascii="Arial" w:hAnsi="Arial" w:cs="Arial"/>
          <w:sz w:val="20"/>
        </w:rPr>
        <w:t>of</w:t>
      </w:r>
      <w:r w:rsidRPr="006B618F">
        <w:rPr>
          <w:rFonts w:ascii="Arial" w:hAnsi="Arial" w:cs="Arial"/>
          <w:spacing w:val="-48"/>
          <w:sz w:val="20"/>
        </w:rPr>
        <w:t xml:space="preserve"> </w:t>
      </w:r>
      <w:r w:rsidRPr="006B618F">
        <w:rPr>
          <w:rFonts w:ascii="Arial" w:hAnsi="Arial" w:cs="Arial"/>
          <w:sz w:val="20"/>
        </w:rPr>
        <w:t>the</w:t>
      </w:r>
      <w:r w:rsidRPr="006B618F">
        <w:rPr>
          <w:rFonts w:ascii="Arial" w:hAnsi="Arial" w:cs="Arial"/>
          <w:spacing w:val="-1"/>
          <w:sz w:val="20"/>
        </w:rPr>
        <w:t xml:space="preserve"> </w:t>
      </w:r>
      <w:r w:rsidRPr="006B618F">
        <w:rPr>
          <w:rFonts w:ascii="Arial" w:hAnsi="Arial" w:cs="Arial"/>
          <w:sz w:val="20"/>
        </w:rPr>
        <w:t>investigations and</w:t>
      </w:r>
      <w:r w:rsidRPr="006B618F">
        <w:rPr>
          <w:rFonts w:ascii="Arial" w:hAnsi="Arial" w:cs="Arial"/>
          <w:spacing w:val="-1"/>
          <w:sz w:val="20"/>
        </w:rPr>
        <w:t xml:space="preserve"> </w:t>
      </w:r>
      <w:r w:rsidRPr="006B618F">
        <w:rPr>
          <w:rFonts w:ascii="Arial" w:hAnsi="Arial" w:cs="Arial"/>
          <w:sz w:val="20"/>
        </w:rPr>
        <w:t>the findings discovered during</w:t>
      </w:r>
      <w:r w:rsidRPr="006B618F">
        <w:rPr>
          <w:rFonts w:ascii="Arial" w:hAnsi="Arial" w:cs="Arial"/>
          <w:spacing w:val="-2"/>
          <w:sz w:val="20"/>
        </w:rPr>
        <w:t xml:space="preserve"> </w:t>
      </w:r>
      <w:r w:rsidRPr="006B618F">
        <w:rPr>
          <w:rFonts w:ascii="Arial" w:hAnsi="Arial" w:cs="Arial"/>
          <w:sz w:val="20"/>
        </w:rPr>
        <w:t>the</w:t>
      </w:r>
      <w:r w:rsidRPr="006B618F">
        <w:rPr>
          <w:rFonts w:ascii="Arial" w:hAnsi="Arial" w:cs="Arial"/>
          <w:spacing w:val="1"/>
          <w:sz w:val="20"/>
        </w:rPr>
        <w:t xml:space="preserve"> </w:t>
      </w:r>
      <w:r w:rsidRPr="006B618F">
        <w:rPr>
          <w:rFonts w:ascii="Arial" w:hAnsi="Arial" w:cs="Arial"/>
          <w:sz w:val="20"/>
        </w:rPr>
        <w:t>physical</w:t>
      </w:r>
      <w:r w:rsidRPr="006B618F">
        <w:rPr>
          <w:rFonts w:ascii="Arial" w:hAnsi="Arial" w:cs="Arial"/>
          <w:spacing w:val="-1"/>
          <w:sz w:val="20"/>
        </w:rPr>
        <w:t xml:space="preserve"> </w:t>
      </w:r>
      <w:r w:rsidRPr="006B618F">
        <w:rPr>
          <w:rFonts w:ascii="Arial" w:hAnsi="Arial" w:cs="Arial"/>
          <w:sz w:val="20"/>
        </w:rPr>
        <w:t>review.</w:t>
      </w:r>
    </w:p>
    <w:p w14:paraId="3B5926C9" w14:textId="77777777" w:rsidR="007C33E3" w:rsidRPr="006B618F" w:rsidRDefault="006B618F" w:rsidP="006F047C">
      <w:pPr>
        <w:spacing w:before="120"/>
        <w:ind w:right="44"/>
        <w:jc w:val="both"/>
        <w:rPr>
          <w:rFonts w:ascii="Arial" w:hAnsi="Arial" w:cs="Arial"/>
        </w:rPr>
      </w:pPr>
      <w:r w:rsidRPr="006B618F">
        <w:rPr>
          <w:rFonts w:ascii="Arial" w:hAnsi="Arial" w:cs="Arial"/>
          <w:sz w:val="20"/>
        </w:rPr>
        <w:t>More details</w:t>
      </w:r>
      <w:r w:rsidRPr="006B618F">
        <w:rPr>
          <w:rFonts w:ascii="Arial" w:hAnsi="Arial" w:cs="Arial"/>
          <w:spacing w:val="-3"/>
          <w:sz w:val="20"/>
        </w:rPr>
        <w:t xml:space="preserve"> </w:t>
      </w:r>
      <w:r w:rsidRPr="006B618F">
        <w:rPr>
          <w:rFonts w:ascii="Arial" w:hAnsi="Arial" w:cs="Arial"/>
          <w:sz w:val="20"/>
        </w:rPr>
        <w:t>on</w:t>
      </w:r>
      <w:r w:rsidRPr="006B618F">
        <w:rPr>
          <w:rFonts w:ascii="Arial" w:hAnsi="Arial" w:cs="Arial"/>
          <w:spacing w:val="-2"/>
          <w:sz w:val="20"/>
        </w:rPr>
        <w:t xml:space="preserve"> </w:t>
      </w:r>
      <w:r w:rsidRPr="006B618F">
        <w:rPr>
          <w:rFonts w:ascii="Arial" w:hAnsi="Arial" w:cs="Arial"/>
          <w:sz w:val="20"/>
        </w:rPr>
        <w:t>the</w:t>
      </w:r>
      <w:r w:rsidRPr="006B618F">
        <w:rPr>
          <w:rFonts w:ascii="Arial" w:hAnsi="Arial" w:cs="Arial"/>
          <w:spacing w:val="-3"/>
          <w:sz w:val="20"/>
        </w:rPr>
        <w:t xml:space="preserve"> </w:t>
      </w:r>
      <w:r w:rsidRPr="006B618F">
        <w:rPr>
          <w:rFonts w:ascii="Arial" w:hAnsi="Arial" w:cs="Arial"/>
          <w:sz w:val="20"/>
        </w:rPr>
        <w:t>annual review</w:t>
      </w:r>
      <w:r w:rsidRPr="006B618F">
        <w:rPr>
          <w:rFonts w:ascii="Arial" w:hAnsi="Arial" w:cs="Arial"/>
          <w:spacing w:val="-1"/>
          <w:sz w:val="20"/>
        </w:rPr>
        <w:t xml:space="preserve"> </w:t>
      </w:r>
      <w:r w:rsidRPr="006B618F">
        <w:rPr>
          <w:rFonts w:ascii="Arial" w:hAnsi="Arial" w:cs="Arial"/>
          <w:sz w:val="20"/>
        </w:rPr>
        <w:t>are</w:t>
      </w:r>
      <w:r w:rsidRPr="006B618F">
        <w:rPr>
          <w:rFonts w:ascii="Arial" w:hAnsi="Arial" w:cs="Arial"/>
          <w:spacing w:val="-1"/>
          <w:sz w:val="20"/>
        </w:rPr>
        <w:t xml:space="preserve"> </w:t>
      </w:r>
      <w:r w:rsidRPr="006B618F">
        <w:rPr>
          <w:rFonts w:ascii="Arial" w:hAnsi="Arial" w:cs="Arial"/>
          <w:sz w:val="20"/>
        </w:rPr>
        <w:t>provided</w:t>
      </w:r>
      <w:r w:rsidRPr="006B618F">
        <w:rPr>
          <w:rFonts w:ascii="Arial" w:hAnsi="Arial" w:cs="Arial"/>
          <w:spacing w:val="-4"/>
          <w:sz w:val="20"/>
        </w:rPr>
        <w:t xml:space="preserve"> </w:t>
      </w:r>
      <w:r w:rsidRPr="006B618F">
        <w:rPr>
          <w:rFonts w:ascii="Arial" w:hAnsi="Arial" w:cs="Arial"/>
          <w:sz w:val="20"/>
        </w:rPr>
        <w:t>in AMC1 ML.A.302(c)(9).</w:t>
      </w:r>
    </w:p>
    <w:p w14:paraId="6631B52C" w14:textId="77777777" w:rsidR="006B618F" w:rsidRPr="006B618F" w:rsidRDefault="006B618F" w:rsidP="006B618F">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926" w:name="_Toc153137557"/>
      <w:r w:rsidRPr="006B618F">
        <w:rPr>
          <w:rFonts w:ascii="Arial" w:eastAsia="Times New Roman" w:hAnsi="Arial" w:cs="Times New Roman"/>
          <w:b/>
          <w:iCs/>
          <w:color w:val="FFFFFF"/>
          <w:sz w:val="24"/>
        </w:rPr>
        <w:lastRenderedPageBreak/>
        <w:t>ML.A.904 Qualification of airworthiness review staff</w:t>
      </w:r>
      <w:bookmarkEnd w:id="926"/>
      <w:r w:rsidRPr="006B618F">
        <w:rPr>
          <w:rFonts w:ascii="Arial" w:eastAsia="Times New Roman" w:hAnsi="Arial" w:cs="Times New Roman"/>
          <w:b/>
          <w:iCs/>
          <w:color w:val="FFFFFF"/>
          <w:sz w:val="24"/>
        </w:rPr>
        <w:tab/>
      </w:r>
    </w:p>
    <w:p w14:paraId="1C00561E" w14:textId="0716B529" w:rsidR="006B618F" w:rsidRPr="006B618F" w:rsidRDefault="006B618F" w:rsidP="00427817">
      <w:pPr>
        <w:numPr>
          <w:ilvl w:val="0"/>
          <w:numId w:val="329"/>
        </w:numPr>
        <w:tabs>
          <w:tab w:val="left" w:pos="707"/>
        </w:tabs>
        <w:spacing w:before="123" w:line="237" w:lineRule="auto"/>
        <w:ind w:left="567" w:right="44"/>
        <w:jc w:val="both"/>
        <w:rPr>
          <w:rFonts w:ascii="Arial" w:hAnsi="Arial" w:cs="Arial"/>
          <w:sz w:val="20"/>
        </w:rPr>
      </w:pPr>
      <w:r w:rsidRPr="006B618F">
        <w:rPr>
          <w:rFonts w:ascii="Arial" w:hAnsi="Arial" w:cs="Arial"/>
          <w:sz w:val="20"/>
        </w:rPr>
        <w:t xml:space="preserve">Airworthiness review staff acting on behalf of the </w:t>
      </w:r>
      <w:r w:rsidR="004E22F1">
        <w:rPr>
          <w:rFonts w:ascii="Arial" w:hAnsi="Arial" w:cs="Arial"/>
          <w:sz w:val="20"/>
          <w:szCs w:val="20"/>
        </w:rPr>
        <w:t xml:space="preserve">CAC RA </w:t>
      </w:r>
      <w:r w:rsidRPr="006B618F">
        <w:rPr>
          <w:rFonts w:ascii="Arial" w:hAnsi="Arial" w:cs="Arial"/>
          <w:sz w:val="20"/>
        </w:rPr>
        <w:t>shall be qualified in</w:t>
      </w:r>
      <w:r w:rsidRPr="006B618F">
        <w:rPr>
          <w:rFonts w:ascii="Arial" w:hAnsi="Arial" w:cs="Arial"/>
          <w:spacing w:val="1"/>
          <w:sz w:val="20"/>
        </w:rPr>
        <w:t xml:space="preserve"> </w:t>
      </w:r>
      <w:r w:rsidRPr="006B618F">
        <w:rPr>
          <w:rFonts w:ascii="Arial" w:hAnsi="Arial" w:cs="Arial"/>
          <w:sz w:val="20"/>
        </w:rPr>
        <w:t>accordance with point ML.B.902.</w:t>
      </w:r>
    </w:p>
    <w:p w14:paraId="53F47D69" w14:textId="77777777" w:rsidR="006B618F" w:rsidRPr="006B618F" w:rsidRDefault="006B618F" w:rsidP="00427817">
      <w:pPr>
        <w:numPr>
          <w:ilvl w:val="0"/>
          <w:numId w:val="329"/>
        </w:numPr>
        <w:tabs>
          <w:tab w:val="left" w:pos="707"/>
        </w:tabs>
        <w:spacing w:before="121"/>
        <w:ind w:left="567" w:right="44"/>
        <w:jc w:val="both"/>
        <w:rPr>
          <w:rFonts w:ascii="Arial" w:hAnsi="Arial" w:cs="Arial"/>
          <w:sz w:val="20"/>
        </w:rPr>
      </w:pPr>
      <w:r w:rsidRPr="006B618F">
        <w:rPr>
          <w:rFonts w:ascii="Arial" w:hAnsi="Arial" w:cs="Arial"/>
          <w:sz w:val="20"/>
        </w:rPr>
        <w:t>Airworthiness review staff acting on behalf of an organisation referred to in Subpart F or</w:t>
      </w:r>
      <w:r w:rsidRPr="006B618F">
        <w:rPr>
          <w:rFonts w:ascii="Arial" w:hAnsi="Arial" w:cs="Arial"/>
          <w:spacing w:val="1"/>
          <w:sz w:val="20"/>
        </w:rPr>
        <w:t xml:space="preserve"> </w:t>
      </w:r>
      <w:r w:rsidRPr="006B618F">
        <w:rPr>
          <w:rFonts w:ascii="Arial" w:hAnsi="Arial" w:cs="Arial"/>
          <w:sz w:val="20"/>
        </w:rPr>
        <w:t>Subpart G</w:t>
      </w:r>
      <w:r w:rsidRPr="006B618F">
        <w:rPr>
          <w:rFonts w:ascii="Arial" w:hAnsi="Arial" w:cs="Arial"/>
          <w:spacing w:val="1"/>
          <w:sz w:val="20"/>
        </w:rPr>
        <w:t xml:space="preserve"> </w:t>
      </w:r>
      <w:r w:rsidRPr="006B618F">
        <w:rPr>
          <w:rFonts w:ascii="Arial" w:hAnsi="Arial" w:cs="Arial"/>
          <w:sz w:val="20"/>
        </w:rPr>
        <w:t>of</w:t>
      </w:r>
      <w:r w:rsidRPr="006B618F">
        <w:rPr>
          <w:rFonts w:ascii="Arial" w:hAnsi="Arial" w:cs="Arial"/>
          <w:spacing w:val="1"/>
          <w:sz w:val="20"/>
        </w:rPr>
        <w:t xml:space="preserve"> </w:t>
      </w:r>
      <w:r w:rsidRPr="006B618F">
        <w:rPr>
          <w:rFonts w:ascii="Arial" w:hAnsi="Arial" w:cs="Arial"/>
          <w:sz w:val="20"/>
        </w:rPr>
        <w:t>Annex</w:t>
      </w:r>
      <w:r w:rsidRPr="006B618F">
        <w:rPr>
          <w:rFonts w:ascii="Arial" w:hAnsi="Arial" w:cs="Arial"/>
          <w:spacing w:val="1"/>
          <w:sz w:val="20"/>
        </w:rPr>
        <w:t xml:space="preserve"> </w:t>
      </w:r>
      <w:r w:rsidRPr="006B618F">
        <w:rPr>
          <w:rFonts w:ascii="Arial" w:hAnsi="Arial" w:cs="Arial"/>
          <w:sz w:val="20"/>
        </w:rPr>
        <w:t>I</w:t>
      </w:r>
      <w:r w:rsidRPr="006B618F">
        <w:rPr>
          <w:rFonts w:ascii="Arial" w:hAnsi="Arial" w:cs="Arial"/>
          <w:spacing w:val="1"/>
          <w:sz w:val="20"/>
        </w:rPr>
        <w:t xml:space="preserve"> </w:t>
      </w:r>
      <w:r w:rsidRPr="006B618F">
        <w:rPr>
          <w:rFonts w:ascii="Arial" w:hAnsi="Arial" w:cs="Arial"/>
          <w:sz w:val="20"/>
        </w:rPr>
        <w:t>(Part-M),</w:t>
      </w:r>
      <w:r w:rsidRPr="006B618F">
        <w:rPr>
          <w:rFonts w:ascii="Arial" w:hAnsi="Arial" w:cs="Arial"/>
          <w:spacing w:val="1"/>
          <w:sz w:val="20"/>
        </w:rPr>
        <w:t xml:space="preserve"> </w:t>
      </w:r>
      <w:r w:rsidRPr="006B618F">
        <w:rPr>
          <w:rFonts w:ascii="Arial" w:hAnsi="Arial" w:cs="Arial"/>
          <w:sz w:val="20"/>
        </w:rPr>
        <w:t>Annex</w:t>
      </w:r>
      <w:r w:rsidRPr="006B618F">
        <w:rPr>
          <w:rFonts w:ascii="Arial" w:hAnsi="Arial" w:cs="Arial"/>
          <w:spacing w:val="1"/>
          <w:sz w:val="20"/>
        </w:rPr>
        <w:t xml:space="preserve"> </w:t>
      </w:r>
      <w:r w:rsidRPr="006B618F">
        <w:rPr>
          <w:rFonts w:ascii="Arial" w:hAnsi="Arial" w:cs="Arial"/>
          <w:sz w:val="20"/>
        </w:rPr>
        <w:t>II</w:t>
      </w:r>
      <w:r w:rsidRPr="006B618F">
        <w:rPr>
          <w:rFonts w:ascii="Arial" w:hAnsi="Arial" w:cs="Arial"/>
          <w:spacing w:val="1"/>
          <w:sz w:val="20"/>
        </w:rPr>
        <w:t xml:space="preserve"> </w:t>
      </w:r>
      <w:r w:rsidRPr="006B618F">
        <w:rPr>
          <w:rFonts w:ascii="Arial" w:hAnsi="Arial" w:cs="Arial"/>
          <w:sz w:val="20"/>
        </w:rPr>
        <w:t>(Part-145),</w:t>
      </w:r>
      <w:r w:rsidRPr="006B618F">
        <w:rPr>
          <w:rFonts w:ascii="Arial" w:hAnsi="Arial" w:cs="Arial"/>
          <w:spacing w:val="1"/>
          <w:sz w:val="20"/>
        </w:rPr>
        <w:t xml:space="preserve"> </w:t>
      </w:r>
      <w:r w:rsidRPr="006B618F">
        <w:rPr>
          <w:rFonts w:ascii="Arial" w:hAnsi="Arial" w:cs="Arial"/>
          <w:sz w:val="20"/>
        </w:rPr>
        <w:t>Annex</w:t>
      </w:r>
      <w:r w:rsidRPr="006B618F">
        <w:rPr>
          <w:rFonts w:ascii="Arial" w:hAnsi="Arial" w:cs="Arial"/>
          <w:spacing w:val="1"/>
          <w:sz w:val="20"/>
        </w:rPr>
        <w:t xml:space="preserve"> </w:t>
      </w:r>
      <w:r w:rsidRPr="006B618F">
        <w:rPr>
          <w:rFonts w:ascii="Arial" w:hAnsi="Arial" w:cs="Arial"/>
          <w:sz w:val="20"/>
        </w:rPr>
        <w:t>Vc</w:t>
      </w:r>
      <w:r w:rsidRPr="006B618F">
        <w:rPr>
          <w:rFonts w:ascii="Arial" w:hAnsi="Arial" w:cs="Arial"/>
          <w:spacing w:val="1"/>
          <w:sz w:val="20"/>
        </w:rPr>
        <w:t xml:space="preserve"> </w:t>
      </w:r>
      <w:r w:rsidRPr="006B618F">
        <w:rPr>
          <w:rFonts w:ascii="Arial" w:hAnsi="Arial" w:cs="Arial"/>
          <w:sz w:val="20"/>
        </w:rPr>
        <w:t>(Part-CAMO)</w:t>
      </w:r>
      <w:r w:rsidRPr="006B618F">
        <w:rPr>
          <w:rFonts w:ascii="Arial" w:hAnsi="Arial" w:cs="Arial"/>
          <w:spacing w:val="1"/>
          <w:sz w:val="20"/>
        </w:rPr>
        <w:t xml:space="preserve"> </w:t>
      </w:r>
      <w:r w:rsidRPr="006B618F">
        <w:rPr>
          <w:rFonts w:ascii="Arial" w:hAnsi="Arial" w:cs="Arial"/>
          <w:sz w:val="20"/>
        </w:rPr>
        <w:t>or</w:t>
      </w:r>
      <w:r w:rsidRPr="006B618F">
        <w:rPr>
          <w:rFonts w:ascii="Arial" w:hAnsi="Arial" w:cs="Arial"/>
          <w:spacing w:val="1"/>
          <w:sz w:val="20"/>
        </w:rPr>
        <w:t xml:space="preserve"> </w:t>
      </w:r>
      <w:r w:rsidRPr="006B618F">
        <w:rPr>
          <w:rFonts w:ascii="Arial" w:hAnsi="Arial" w:cs="Arial"/>
          <w:sz w:val="20"/>
        </w:rPr>
        <w:t>Annex</w:t>
      </w:r>
      <w:r w:rsidRPr="006B618F">
        <w:rPr>
          <w:rFonts w:ascii="Arial" w:hAnsi="Arial" w:cs="Arial"/>
          <w:spacing w:val="1"/>
          <w:sz w:val="20"/>
        </w:rPr>
        <w:t xml:space="preserve"> </w:t>
      </w:r>
      <w:r w:rsidRPr="006B618F">
        <w:rPr>
          <w:rFonts w:ascii="Arial" w:hAnsi="Arial" w:cs="Arial"/>
          <w:sz w:val="20"/>
        </w:rPr>
        <w:t>Vd</w:t>
      </w:r>
      <w:r w:rsidRPr="006B618F">
        <w:rPr>
          <w:rFonts w:ascii="Arial" w:hAnsi="Arial" w:cs="Arial"/>
          <w:spacing w:val="1"/>
          <w:sz w:val="20"/>
        </w:rPr>
        <w:t xml:space="preserve"> </w:t>
      </w:r>
      <w:r w:rsidRPr="006B618F">
        <w:rPr>
          <w:rFonts w:ascii="Arial" w:hAnsi="Arial" w:cs="Arial"/>
          <w:sz w:val="20"/>
        </w:rPr>
        <w:t>(Part-CAO) shall be qualified in accordance with Subpart F or Subpart G of Annex I (Part-M),</w:t>
      </w:r>
      <w:r w:rsidRPr="006B618F">
        <w:rPr>
          <w:rFonts w:ascii="Arial" w:hAnsi="Arial" w:cs="Arial"/>
          <w:spacing w:val="1"/>
          <w:sz w:val="20"/>
        </w:rPr>
        <w:t xml:space="preserve"> </w:t>
      </w:r>
      <w:r w:rsidRPr="006B618F">
        <w:rPr>
          <w:rFonts w:ascii="Arial" w:hAnsi="Arial" w:cs="Arial"/>
          <w:sz w:val="20"/>
        </w:rPr>
        <w:t>Annex II</w:t>
      </w:r>
      <w:r w:rsidRPr="006B618F">
        <w:rPr>
          <w:rFonts w:ascii="Arial" w:hAnsi="Arial" w:cs="Arial"/>
          <w:spacing w:val="-1"/>
          <w:sz w:val="20"/>
        </w:rPr>
        <w:t xml:space="preserve"> </w:t>
      </w:r>
      <w:r w:rsidRPr="006B618F">
        <w:rPr>
          <w:rFonts w:ascii="Arial" w:hAnsi="Arial" w:cs="Arial"/>
          <w:sz w:val="20"/>
        </w:rPr>
        <w:t>(Part-145),</w:t>
      </w:r>
      <w:r w:rsidRPr="006B618F">
        <w:rPr>
          <w:rFonts w:ascii="Arial" w:hAnsi="Arial" w:cs="Arial"/>
          <w:spacing w:val="-1"/>
          <w:sz w:val="20"/>
        </w:rPr>
        <w:t xml:space="preserve"> </w:t>
      </w:r>
      <w:r w:rsidRPr="006B618F">
        <w:rPr>
          <w:rFonts w:ascii="Arial" w:hAnsi="Arial" w:cs="Arial"/>
          <w:sz w:val="20"/>
        </w:rPr>
        <w:t>Annex</w:t>
      </w:r>
      <w:r w:rsidRPr="006B618F">
        <w:rPr>
          <w:rFonts w:ascii="Arial" w:hAnsi="Arial" w:cs="Arial"/>
          <w:spacing w:val="-4"/>
          <w:sz w:val="20"/>
        </w:rPr>
        <w:t xml:space="preserve"> </w:t>
      </w:r>
      <w:r w:rsidRPr="006B618F">
        <w:rPr>
          <w:rFonts w:ascii="Arial" w:hAnsi="Arial" w:cs="Arial"/>
          <w:sz w:val="20"/>
        </w:rPr>
        <w:t>Vc</w:t>
      </w:r>
      <w:r w:rsidRPr="006B618F">
        <w:rPr>
          <w:rFonts w:ascii="Arial" w:hAnsi="Arial" w:cs="Arial"/>
          <w:spacing w:val="-1"/>
          <w:sz w:val="20"/>
        </w:rPr>
        <w:t xml:space="preserve"> </w:t>
      </w:r>
      <w:r w:rsidRPr="006B618F">
        <w:rPr>
          <w:rFonts w:ascii="Arial" w:hAnsi="Arial" w:cs="Arial"/>
          <w:sz w:val="20"/>
        </w:rPr>
        <w:t>(Part-CAMO)</w:t>
      </w:r>
      <w:r w:rsidRPr="006B618F">
        <w:rPr>
          <w:rFonts w:ascii="Arial" w:hAnsi="Arial" w:cs="Arial"/>
          <w:spacing w:val="-2"/>
          <w:sz w:val="20"/>
        </w:rPr>
        <w:t xml:space="preserve"> </w:t>
      </w:r>
      <w:r w:rsidRPr="006B618F">
        <w:rPr>
          <w:rFonts w:ascii="Arial" w:hAnsi="Arial" w:cs="Arial"/>
          <w:sz w:val="20"/>
        </w:rPr>
        <w:t>or</w:t>
      </w:r>
      <w:r w:rsidRPr="006B618F">
        <w:rPr>
          <w:rFonts w:ascii="Arial" w:hAnsi="Arial" w:cs="Arial"/>
          <w:spacing w:val="-1"/>
          <w:sz w:val="20"/>
        </w:rPr>
        <w:t xml:space="preserve"> </w:t>
      </w:r>
      <w:r w:rsidRPr="006B618F">
        <w:rPr>
          <w:rFonts w:ascii="Arial" w:hAnsi="Arial" w:cs="Arial"/>
          <w:sz w:val="20"/>
        </w:rPr>
        <w:t>Annex</w:t>
      </w:r>
      <w:r w:rsidRPr="006B618F">
        <w:rPr>
          <w:rFonts w:ascii="Arial" w:hAnsi="Arial" w:cs="Arial"/>
          <w:spacing w:val="-2"/>
          <w:sz w:val="20"/>
        </w:rPr>
        <w:t xml:space="preserve"> </w:t>
      </w:r>
      <w:r w:rsidRPr="006B618F">
        <w:rPr>
          <w:rFonts w:ascii="Arial" w:hAnsi="Arial" w:cs="Arial"/>
          <w:sz w:val="20"/>
        </w:rPr>
        <w:t>Vd</w:t>
      </w:r>
      <w:r w:rsidRPr="006B618F">
        <w:rPr>
          <w:rFonts w:ascii="Arial" w:hAnsi="Arial" w:cs="Arial"/>
          <w:spacing w:val="-2"/>
          <w:sz w:val="20"/>
        </w:rPr>
        <w:t xml:space="preserve"> </w:t>
      </w:r>
      <w:r w:rsidRPr="006B618F">
        <w:rPr>
          <w:rFonts w:ascii="Arial" w:hAnsi="Arial" w:cs="Arial"/>
          <w:sz w:val="20"/>
        </w:rPr>
        <w:t>(Part-CAO),</w:t>
      </w:r>
      <w:r w:rsidRPr="006B618F">
        <w:rPr>
          <w:rFonts w:ascii="Arial" w:hAnsi="Arial" w:cs="Arial"/>
          <w:spacing w:val="1"/>
          <w:sz w:val="20"/>
        </w:rPr>
        <w:t xml:space="preserve"> </w:t>
      </w:r>
      <w:r w:rsidRPr="006B618F">
        <w:rPr>
          <w:rFonts w:ascii="Arial" w:hAnsi="Arial" w:cs="Arial"/>
          <w:sz w:val="20"/>
        </w:rPr>
        <w:t>respectively.</w:t>
      </w:r>
    </w:p>
    <w:p w14:paraId="657C0E0B" w14:textId="77777777" w:rsidR="006B618F" w:rsidRPr="006B618F" w:rsidRDefault="006B618F" w:rsidP="00427817">
      <w:pPr>
        <w:numPr>
          <w:ilvl w:val="0"/>
          <w:numId w:val="329"/>
        </w:numPr>
        <w:tabs>
          <w:tab w:val="left" w:pos="707"/>
        </w:tabs>
        <w:spacing w:before="121"/>
        <w:ind w:left="567" w:right="44"/>
        <w:jc w:val="both"/>
        <w:rPr>
          <w:rFonts w:ascii="Arial" w:hAnsi="Arial" w:cs="Arial"/>
          <w:sz w:val="20"/>
        </w:rPr>
      </w:pPr>
      <w:r w:rsidRPr="006B618F">
        <w:rPr>
          <w:rFonts w:ascii="Arial" w:hAnsi="Arial" w:cs="Arial"/>
          <w:sz w:val="20"/>
        </w:rPr>
        <w:t>Airworthiness</w:t>
      </w:r>
      <w:r w:rsidRPr="006B618F">
        <w:rPr>
          <w:rFonts w:ascii="Arial" w:hAnsi="Arial" w:cs="Arial"/>
          <w:spacing w:val="1"/>
          <w:sz w:val="20"/>
        </w:rPr>
        <w:t xml:space="preserve"> </w:t>
      </w:r>
      <w:r w:rsidRPr="006B618F">
        <w:rPr>
          <w:rFonts w:ascii="Arial" w:hAnsi="Arial" w:cs="Arial"/>
          <w:sz w:val="20"/>
        </w:rPr>
        <w:t>review</w:t>
      </w:r>
      <w:r w:rsidRPr="006B618F">
        <w:rPr>
          <w:rFonts w:ascii="Arial" w:hAnsi="Arial" w:cs="Arial"/>
          <w:spacing w:val="1"/>
          <w:sz w:val="20"/>
        </w:rPr>
        <w:t xml:space="preserve"> </w:t>
      </w:r>
      <w:r w:rsidRPr="006B618F">
        <w:rPr>
          <w:rFonts w:ascii="Arial" w:hAnsi="Arial" w:cs="Arial"/>
          <w:sz w:val="20"/>
        </w:rPr>
        <w:t>staff</w:t>
      </w:r>
      <w:r w:rsidRPr="006B618F">
        <w:rPr>
          <w:rFonts w:ascii="Arial" w:hAnsi="Arial" w:cs="Arial"/>
          <w:spacing w:val="1"/>
          <w:sz w:val="20"/>
        </w:rPr>
        <w:t xml:space="preserve"> </w:t>
      </w:r>
      <w:r w:rsidRPr="006B618F">
        <w:rPr>
          <w:rFonts w:ascii="Arial" w:hAnsi="Arial" w:cs="Arial"/>
          <w:sz w:val="20"/>
        </w:rPr>
        <w:t>acting</w:t>
      </w:r>
      <w:r w:rsidRPr="006B618F">
        <w:rPr>
          <w:rFonts w:ascii="Arial" w:hAnsi="Arial" w:cs="Arial"/>
          <w:spacing w:val="1"/>
          <w:sz w:val="20"/>
        </w:rPr>
        <w:t xml:space="preserve"> </w:t>
      </w:r>
      <w:r w:rsidRPr="006B618F">
        <w:rPr>
          <w:rFonts w:ascii="Arial" w:hAnsi="Arial" w:cs="Arial"/>
          <w:sz w:val="20"/>
        </w:rPr>
        <w:t>on</w:t>
      </w:r>
      <w:r w:rsidRPr="006B618F">
        <w:rPr>
          <w:rFonts w:ascii="Arial" w:hAnsi="Arial" w:cs="Arial"/>
          <w:spacing w:val="1"/>
          <w:sz w:val="20"/>
        </w:rPr>
        <w:t xml:space="preserve"> </w:t>
      </w:r>
      <w:r w:rsidRPr="006B618F">
        <w:rPr>
          <w:rFonts w:ascii="Arial" w:hAnsi="Arial" w:cs="Arial"/>
          <w:sz w:val="20"/>
        </w:rPr>
        <w:t>their</w:t>
      </w:r>
      <w:r w:rsidRPr="006B618F">
        <w:rPr>
          <w:rFonts w:ascii="Arial" w:hAnsi="Arial" w:cs="Arial"/>
          <w:spacing w:val="1"/>
          <w:sz w:val="20"/>
        </w:rPr>
        <w:t xml:space="preserve"> </w:t>
      </w:r>
      <w:r w:rsidRPr="006B618F">
        <w:rPr>
          <w:rFonts w:ascii="Arial" w:hAnsi="Arial" w:cs="Arial"/>
          <w:sz w:val="20"/>
        </w:rPr>
        <w:t>own</w:t>
      </w:r>
      <w:r w:rsidRPr="006B618F">
        <w:rPr>
          <w:rFonts w:ascii="Arial" w:hAnsi="Arial" w:cs="Arial"/>
          <w:spacing w:val="1"/>
          <w:sz w:val="20"/>
        </w:rPr>
        <w:t xml:space="preserve"> </w:t>
      </w:r>
      <w:r w:rsidRPr="006B618F">
        <w:rPr>
          <w:rFonts w:ascii="Arial" w:hAnsi="Arial" w:cs="Arial"/>
          <w:sz w:val="20"/>
        </w:rPr>
        <w:t>behalf,</w:t>
      </w:r>
      <w:r w:rsidRPr="006B618F">
        <w:rPr>
          <w:rFonts w:ascii="Arial" w:hAnsi="Arial" w:cs="Arial"/>
          <w:spacing w:val="1"/>
          <w:sz w:val="20"/>
        </w:rPr>
        <w:t xml:space="preserve"> </w:t>
      </w:r>
      <w:r w:rsidRPr="006B618F">
        <w:rPr>
          <w:rFonts w:ascii="Arial" w:hAnsi="Arial" w:cs="Arial"/>
          <w:sz w:val="20"/>
        </w:rPr>
        <w:t>as</w:t>
      </w:r>
      <w:r w:rsidRPr="006B618F">
        <w:rPr>
          <w:rFonts w:ascii="Arial" w:hAnsi="Arial" w:cs="Arial"/>
          <w:spacing w:val="1"/>
          <w:sz w:val="20"/>
        </w:rPr>
        <w:t xml:space="preserve"> </w:t>
      </w:r>
      <w:r w:rsidRPr="006B618F">
        <w:rPr>
          <w:rFonts w:ascii="Arial" w:hAnsi="Arial" w:cs="Arial"/>
          <w:sz w:val="20"/>
        </w:rPr>
        <w:t>permitted</w:t>
      </w:r>
      <w:r w:rsidRPr="006B618F">
        <w:rPr>
          <w:rFonts w:ascii="Arial" w:hAnsi="Arial" w:cs="Arial"/>
          <w:spacing w:val="1"/>
          <w:sz w:val="20"/>
        </w:rPr>
        <w:t xml:space="preserve"> </w:t>
      </w:r>
      <w:r w:rsidRPr="006B618F">
        <w:rPr>
          <w:rFonts w:ascii="Arial" w:hAnsi="Arial" w:cs="Arial"/>
          <w:sz w:val="20"/>
        </w:rPr>
        <w:t>pursuant</w:t>
      </w:r>
      <w:r w:rsidRPr="006B618F">
        <w:rPr>
          <w:rFonts w:ascii="Arial" w:hAnsi="Arial" w:cs="Arial"/>
          <w:spacing w:val="1"/>
          <w:sz w:val="20"/>
        </w:rPr>
        <w:t xml:space="preserve"> </w:t>
      </w:r>
      <w:r w:rsidRPr="006B618F">
        <w:rPr>
          <w:rFonts w:ascii="Arial" w:hAnsi="Arial" w:cs="Arial"/>
          <w:sz w:val="20"/>
        </w:rPr>
        <w:t>to</w:t>
      </w:r>
      <w:r w:rsidRPr="006B618F">
        <w:rPr>
          <w:rFonts w:ascii="Arial" w:hAnsi="Arial" w:cs="Arial"/>
          <w:spacing w:val="1"/>
          <w:sz w:val="20"/>
        </w:rPr>
        <w:t xml:space="preserve"> </w:t>
      </w:r>
      <w:r w:rsidRPr="006B618F">
        <w:rPr>
          <w:rFonts w:ascii="Arial" w:hAnsi="Arial" w:cs="Arial"/>
          <w:sz w:val="20"/>
        </w:rPr>
        <w:t>point</w:t>
      </w:r>
      <w:r w:rsidRPr="006B618F">
        <w:rPr>
          <w:rFonts w:ascii="Arial" w:hAnsi="Arial" w:cs="Arial"/>
          <w:color w:val="0000FF"/>
          <w:spacing w:val="1"/>
          <w:sz w:val="20"/>
        </w:rPr>
        <w:t xml:space="preserve"> </w:t>
      </w:r>
      <w:hyperlink w:anchor="_bookmark387" w:history="1">
        <w:r w:rsidRPr="006B618F">
          <w:rPr>
            <w:rFonts w:ascii="Arial" w:hAnsi="Arial" w:cs="Arial"/>
            <w:sz w:val="20"/>
          </w:rPr>
          <w:t xml:space="preserve">ML.A.901(b)(4), </w:t>
        </w:r>
      </w:hyperlink>
      <w:r w:rsidRPr="006B618F">
        <w:rPr>
          <w:rFonts w:ascii="Arial" w:hAnsi="Arial" w:cs="Arial"/>
          <w:sz w:val="20"/>
        </w:rPr>
        <w:t>shall:</w:t>
      </w:r>
    </w:p>
    <w:p w14:paraId="6333A139" w14:textId="77777777" w:rsidR="006B618F" w:rsidRPr="006B618F" w:rsidRDefault="006B618F" w:rsidP="00427817">
      <w:pPr>
        <w:numPr>
          <w:ilvl w:val="1"/>
          <w:numId w:val="329"/>
        </w:numPr>
        <w:tabs>
          <w:tab w:val="left" w:pos="1274"/>
        </w:tabs>
        <w:spacing w:before="120"/>
        <w:ind w:left="1134" w:right="44"/>
        <w:jc w:val="both"/>
        <w:rPr>
          <w:rFonts w:ascii="Arial" w:hAnsi="Arial" w:cs="Arial"/>
          <w:sz w:val="20"/>
        </w:rPr>
      </w:pPr>
      <w:r w:rsidRPr="006B618F">
        <w:rPr>
          <w:rFonts w:ascii="Arial" w:hAnsi="Arial" w:cs="Arial"/>
          <w:sz w:val="20"/>
        </w:rPr>
        <w:t>hold a licence issued in accordance with Annex III (Part-66) rated for the corresponding</w:t>
      </w:r>
      <w:r w:rsidRPr="006B618F">
        <w:rPr>
          <w:rFonts w:ascii="Arial" w:hAnsi="Arial" w:cs="Arial"/>
          <w:spacing w:val="1"/>
          <w:sz w:val="20"/>
        </w:rPr>
        <w:t xml:space="preserve"> </w:t>
      </w:r>
      <w:r w:rsidRPr="006B618F">
        <w:rPr>
          <w:rFonts w:ascii="Arial" w:hAnsi="Arial" w:cs="Arial"/>
          <w:sz w:val="20"/>
        </w:rPr>
        <w:t>aircraft</w:t>
      </w:r>
      <w:r w:rsidRPr="006B618F">
        <w:rPr>
          <w:rFonts w:ascii="Arial" w:hAnsi="Arial" w:cs="Arial"/>
          <w:spacing w:val="-5"/>
          <w:sz w:val="20"/>
        </w:rPr>
        <w:t xml:space="preserve"> </w:t>
      </w:r>
      <w:r w:rsidRPr="006B618F">
        <w:rPr>
          <w:rFonts w:ascii="Arial" w:hAnsi="Arial" w:cs="Arial"/>
          <w:sz w:val="20"/>
        </w:rPr>
        <w:t>or,</w:t>
      </w:r>
      <w:r w:rsidRPr="006B618F">
        <w:rPr>
          <w:rFonts w:ascii="Arial" w:hAnsi="Arial" w:cs="Arial"/>
          <w:spacing w:val="-3"/>
          <w:sz w:val="20"/>
        </w:rPr>
        <w:t xml:space="preserve"> </w:t>
      </w:r>
      <w:r w:rsidRPr="006B618F">
        <w:rPr>
          <w:rFonts w:ascii="Arial" w:hAnsi="Arial" w:cs="Arial"/>
          <w:sz w:val="20"/>
        </w:rPr>
        <w:t>if</w:t>
      </w:r>
      <w:r w:rsidRPr="006B618F">
        <w:rPr>
          <w:rFonts w:ascii="Arial" w:hAnsi="Arial" w:cs="Arial"/>
          <w:spacing w:val="-3"/>
          <w:sz w:val="20"/>
        </w:rPr>
        <w:t xml:space="preserve"> </w:t>
      </w:r>
      <w:r w:rsidRPr="006B618F">
        <w:rPr>
          <w:rFonts w:ascii="Arial" w:hAnsi="Arial" w:cs="Arial"/>
          <w:sz w:val="20"/>
        </w:rPr>
        <w:t>Annex</w:t>
      </w:r>
      <w:r w:rsidRPr="006B618F">
        <w:rPr>
          <w:rFonts w:ascii="Arial" w:hAnsi="Arial" w:cs="Arial"/>
          <w:spacing w:val="-3"/>
          <w:sz w:val="20"/>
        </w:rPr>
        <w:t xml:space="preserve"> </w:t>
      </w:r>
      <w:r w:rsidRPr="006B618F">
        <w:rPr>
          <w:rFonts w:ascii="Arial" w:hAnsi="Arial" w:cs="Arial"/>
          <w:sz w:val="20"/>
        </w:rPr>
        <w:t>III</w:t>
      </w:r>
      <w:r w:rsidRPr="006B618F">
        <w:rPr>
          <w:rFonts w:ascii="Arial" w:hAnsi="Arial" w:cs="Arial"/>
          <w:spacing w:val="-3"/>
          <w:sz w:val="20"/>
        </w:rPr>
        <w:t xml:space="preserve"> </w:t>
      </w:r>
      <w:r w:rsidRPr="006B618F">
        <w:rPr>
          <w:rFonts w:ascii="Arial" w:hAnsi="Arial" w:cs="Arial"/>
          <w:sz w:val="20"/>
        </w:rPr>
        <w:t>(Part-66)</w:t>
      </w:r>
      <w:r w:rsidRPr="006B618F">
        <w:rPr>
          <w:rFonts w:ascii="Arial" w:hAnsi="Arial" w:cs="Arial"/>
          <w:spacing w:val="-3"/>
          <w:sz w:val="20"/>
        </w:rPr>
        <w:t xml:space="preserve"> </w:t>
      </w:r>
      <w:r w:rsidRPr="006B618F">
        <w:rPr>
          <w:rFonts w:ascii="Arial" w:hAnsi="Arial" w:cs="Arial"/>
          <w:sz w:val="20"/>
        </w:rPr>
        <w:t>is</w:t>
      </w:r>
      <w:r w:rsidRPr="006B618F">
        <w:rPr>
          <w:rFonts w:ascii="Arial" w:hAnsi="Arial" w:cs="Arial"/>
          <w:spacing w:val="-3"/>
          <w:sz w:val="20"/>
        </w:rPr>
        <w:t xml:space="preserve"> </w:t>
      </w:r>
      <w:r w:rsidRPr="006B618F">
        <w:rPr>
          <w:rFonts w:ascii="Arial" w:hAnsi="Arial" w:cs="Arial"/>
          <w:sz w:val="20"/>
        </w:rPr>
        <w:t>not</w:t>
      </w:r>
      <w:r w:rsidRPr="006B618F">
        <w:rPr>
          <w:rFonts w:ascii="Arial" w:hAnsi="Arial" w:cs="Arial"/>
          <w:spacing w:val="-2"/>
          <w:sz w:val="20"/>
        </w:rPr>
        <w:t xml:space="preserve"> </w:t>
      </w:r>
      <w:r w:rsidRPr="006B618F">
        <w:rPr>
          <w:rFonts w:ascii="Arial" w:hAnsi="Arial" w:cs="Arial"/>
          <w:sz w:val="20"/>
        </w:rPr>
        <w:t>applicable</w:t>
      </w:r>
      <w:r w:rsidRPr="006B618F">
        <w:rPr>
          <w:rFonts w:ascii="Arial" w:hAnsi="Arial" w:cs="Arial"/>
          <w:spacing w:val="-3"/>
          <w:sz w:val="20"/>
        </w:rPr>
        <w:t xml:space="preserve"> </w:t>
      </w:r>
      <w:r w:rsidRPr="006B618F">
        <w:rPr>
          <w:rFonts w:ascii="Arial" w:hAnsi="Arial" w:cs="Arial"/>
          <w:sz w:val="20"/>
        </w:rPr>
        <w:t>to</w:t>
      </w:r>
      <w:r w:rsidRPr="006B618F">
        <w:rPr>
          <w:rFonts w:ascii="Arial" w:hAnsi="Arial" w:cs="Arial"/>
          <w:spacing w:val="-3"/>
          <w:sz w:val="20"/>
        </w:rPr>
        <w:t xml:space="preserve"> </w:t>
      </w:r>
      <w:r w:rsidRPr="006B618F">
        <w:rPr>
          <w:rFonts w:ascii="Arial" w:hAnsi="Arial" w:cs="Arial"/>
          <w:sz w:val="20"/>
        </w:rPr>
        <w:t>the</w:t>
      </w:r>
      <w:r w:rsidRPr="006B618F">
        <w:rPr>
          <w:rFonts w:ascii="Arial" w:hAnsi="Arial" w:cs="Arial"/>
          <w:spacing w:val="-6"/>
          <w:sz w:val="20"/>
        </w:rPr>
        <w:t xml:space="preserve"> </w:t>
      </w:r>
      <w:r w:rsidRPr="006B618F">
        <w:rPr>
          <w:rFonts w:ascii="Arial" w:hAnsi="Arial" w:cs="Arial"/>
          <w:sz w:val="20"/>
        </w:rPr>
        <w:t>particular</w:t>
      </w:r>
      <w:r w:rsidRPr="006B618F">
        <w:rPr>
          <w:rFonts w:ascii="Arial" w:hAnsi="Arial" w:cs="Arial"/>
          <w:spacing w:val="-3"/>
          <w:sz w:val="20"/>
        </w:rPr>
        <w:t xml:space="preserve"> </w:t>
      </w:r>
      <w:r w:rsidRPr="006B618F">
        <w:rPr>
          <w:rFonts w:ascii="Arial" w:hAnsi="Arial" w:cs="Arial"/>
          <w:sz w:val="20"/>
        </w:rPr>
        <w:t>aircraft,</w:t>
      </w:r>
      <w:r w:rsidRPr="006B618F">
        <w:rPr>
          <w:rFonts w:ascii="Arial" w:hAnsi="Arial" w:cs="Arial"/>
          <w:spacing w:val="-3"/>
          <w:sz w:val="20"/>
        </w:rPr>
        <w:t xml:space="preserve"> </w:t>
      </w:r>
      <w:r w:rsidRPr="006B618F">
        <w:rPr>
          <w:rFonts w:ascii="Arial" w:hAnsi="Arial" w:cs="Arial"/>
          <w:sz w:val="20"/>
        </w:rPr>
        <w:t>hold</w:t>
      </w:r>
      <w:r w:rsidRPr="006B618F">
        <w:rPr>
          <w:rFonts w:ascii="Arial" w:hAnsi="Arial" w:cs="Arial"/>
          <w:spacing w:val="-6"/>
          <w:sz w:val="20"/>
        </w:rPr>
        <w:t xml:space="preserve"> </w:t>
      </w:r>
      <w:r w:rsidRPr="006B618F">
        <w:rPr>
          <w:rFonts w:ascii="Arial" w:hAnsi="Arial" w:cs="Arial"/>
          <w:sz w:val="20"/>
        </w:rPr>
        <w:t>a</w:t>
      </w:r>
      <w:r w:rsidRPr="006B618F">
        <w:rPr>
          <w:rFonts w:ascii="Arial" w:hAnsi="Arial" w:cs="Arial"/>
          <w:spacing w:val="-3"/>
          <w:sz w:val="20"/>
        </w:rPr>
        <w:t xml:space="preserve"> </w:t>
      </w:r>
      <w:r w:rsidRPr="006B618F">
        <w:rPr>
          <w:rFonts w:ascii="Arial" w:hAnsi="Arial" w:cs="Arial"/>
          <w:sz w:val="20"/>
        </w:rPr>
        <w:t>national</w:t>
      </w:r>
      <w:r w:rsidRPr="006B618F">
        <w:rPr>
          <w:rFonts w:ascii="Arial" w:hAnsi="Arial" w:cs="Arial"/>
          <w:spacing w:val="-47"/>
          <w:sz w:val="20"/>
        </w:rPr>
        <w:t xml:space="preserve"> </w:t>
      </w:r>
      <w:r w:rsidRPr="006B618F">
        <w:rPr>
          <w:rFonts w:ascii="Arial" w:hAnsi="Arial" w:cs="Arial"/>
          <w:sz w:val="20"/>
        </w:rPr>
        <w:t>certifying-staff</w:t>
      </w:r>
      <w:r w:rsidRPr="006B618F">
        <w:rPr>
          <w:rFonts w:ascii="Arial" w:hAnsi="Arial" w:cs="Arial"/>
          <w:spacing w:val="-1"/>
          <w:sz w:val="20"/>
        </w:rPr>
        <w:t xml:space="preserve"> </w:t>
      </w:r>
      <w:r w:rsidRPr="006B618F">
        <w:rPr>
          <w:rFonts w:ascii="Arial" w:hAnsi="Arial" w:cs="Arial"/>
          <w:sz w:val="20"/>
        </w:rPr>
        <w:t>qualification</w:t>
      </w:r>
      <w:r w:rsidRPr="006B618F">
        <w:rPr>
          <w:rFonts w:ascii="Arial" w:hAnsi="Arial" w:cs="Arial"/>
          <w:spacing w:val="-1"/>
          <w:sz w:val="20"/>
        </w:rPr>
        <w:t xml:space="preserve"> </w:t>
      </w:r>
      <w:r w:rsidRPr="006B618F">
        <w:rPr>
          <w:rFonts w:ascii="Arial" w:hAnsi="Arial" w:cs="Arial"/>
          <w:sz w:val="20"/>
        </w:rPr>
        <w:t>valid</w:t>
      </w:r>
      <w:r w:rsidRPr="006B618F">
        <w:rPr>
          <w:rFonts w:ascii="Arial" w:hAnsi="Arial" w:cs="Arial"/>
          <w:spacing w:val="-1"/>
          <w:sz w:val="20"/>
        </w:rPr>
        <w:t xml:space="preserve"> </w:t>
      </w:r>
      <w:r w:rsidRPr="006B618F">
        <w:rPr>
          <w:rFonts w:ascii="Arial" w:hAnsi="Arial" w:cs="Arial"/>
          <w:sz w:val="20"/>
        </w:rPr>
        <w:t>for that</w:t>
      </w:r>
      <w:r w:rsidRPr="006B618F">
        <w:rPr>
          <w:rFonts w:ascii="Arial" w:hAnsi="Arial" w:cs="Arial"/>
          <w:spacing w:val="-3"/>
          <w:sz w:val="20"/>
        </w:rPr>
        <w:t xml:space="preserve"> </w:t>
      </w:r>
      <w:r w:rsidRPr="006B618F">
        <w:rPr>
          <w:rFonts w:ascii="Arial" w:hAnsi="Arial" w:cs="Arial"/>
          <w:sz w:val="20"/>
        </w:rPr>
        <w:t>aircraft;</w:t>
      </w:r>
      <w:r w:rsidRPr="006B618F">
        <w:rPr>
          <w:rFonts w:ascii="Arial" w:hAnsi="Arial" w:cs="Arial"/>
          <w:spacing w:val="-1"/>
          <w:sz w:val="20"/>
        </w:rPr>
        <w:t xml:space="preserve"> </w:t>
      </w:r>
      <w:r w:rsidRPr="006B618F">
        <w:rPr>
          <w:rFonts w:ascii="Arial" w:hAnsi="Arial" w:cs="Arial"/>
          <w:sz w:val="20"/>
        </w:rPr>
        <w:t>and</w:t>
      </w:r>
    </w:p>
    <w:p w14:paraId="4EBCF0C2" w14:textId="77777777" w:rsidR="006B618F" w:rsidRPr="006B618F" w:rsidRDefault="006B618F" w:rsidP="00427817">
      <w:pPr>
        <w:numPr>
          <w:ilvl w:val="1"/>
          <w:numId w:val="329"/>
        </w:numPr>
        <w:tabs>
          <w:tab w:val="left" w:pos="1274"/>
        </w:tabs>
        <w:spacing w:before="119"/>
        <w:ind w:left="1134" w:right="44" w:hanging="568"/>
        <w:jc w:val="both"/>
        <w:rPr>
          <w:rFonts w:ascii="Arial" w:hAnsi="Arial" w:cs="Arial"/>
          <w:sz w:val="20"/>
        </w:rPr>
      </w:pPr>
      <w:r w:rsidRPr="006B618F">
        <w:rPr>
          <w:rFonts w:ascii="Arial" w:hAnsi="Arial" w:cs="Arial"/>
          <w:sz w:val="20"/>
        </w:rPr>
        <w:t>hold</w:t>
      </w:r>
      <w:r w:rsidRPr="006B618F">
        <w:rPr>
          <w:rFonts w:ascii="Arial" w:hAnsi="Arial" w:cs="Arial"/>
          <w:spacing w:val="-2"/>
          <w:sz w:val="20"/>
        </w:rPr>
        <w:t xml:space="preserve"> </w:t>
      </w:r>
      <w:r w:rsidRPr="006B618F">
        <w:rPr>
          <w:rFonts w:ascii="Arial" w:hAnsi="Arial" w:cs="Arial"/>
          <w:sz w:val="20"/>
        </w:rPr>
        <w:t>an</w:t>
      </w:r>
      <w:r w:rsidRPr="006B618F">
        <w:rPr>
          <w:rFonts w:ascii="Arial" w:hAnsi="Arial" w:cs="Arial"/>
          <w:spacing w:val="-1"/>
          <w:sz w:val="20"/>
        </w:rPr>
        <w:t xml:space="preserve"> </w:t>
      </w:r>
      <w:r w:rsidRPr="006B618F">
        <w:rPr>
          <w:rFonts w:ascii="Arial" w:hAnsi="Arial" w:cs="Arial"/>
          <w:sz w:val="20"/>
        </w:rPr>
        <w:t>authorisation</w:t>
      </w:r>
      <w:r w:rsidRPr="006B618F">
        <w:rPr>
          <w:rFonts w:ascii="Arial" w:hAnsi="Arial" w:cs="Arial"/>
          <w:spacing w:val="-2"/>
          <w:sz w:val="20"/>
        </w:rPr>
        <w:t xml:space="preserve"> </w:t>
      </w:r>
      <w:r w:rsidRPr="006B618F">
        <w:rPr>
          <w:rFonts w:ascii="Arial" w:hAnsi="Arial" w:cs="Arial"/>
          <w:sz w:val="20"/>
        </w:rPr>
        <w:t>issued</w:t>
      </w:r>
      <w:r w:rsidRPr="006B618F">
        <w:rPr>
          <w:rFonts w:ascii="Arial" w:hAnsi="Arial" w:cs="Arial"/>
          <w:spacing w:val="-2"/>
          <w:sz w:val="20"/>
        </w:rPr>
        <w:t xml:space="preserve"> </w:t>
      </w:r>
      <w:r w:rsidRPr="006B618F">
        <w:rPr>
          <w:rFonts w:ascii="Arial" w:hAnsi="Arial" w:cs="Arial"/>
          <w:sz w:val="20"/>
        </w:rPr>
        <w:t>by, alternatively:</w:t>
      </w:r>
    </w:p>
    <w:p w14:paraId="416D0F47" w14:textId="3664597D" w:rsidR="006B618F" w:rsidRPr="006B618F" w:rsidRDefault="006B618F" w:rsidP="00427817">
      <w:pPr>
        <w:numPr>
          <w:ilvl w:val="2"/>
          <w:numId w:val="329"/>
        </w:numPr>
        <w:tabs>
          <w:tab w:val="left" w:pos="1842"/>
        </w:tabs>
        <w:spacing w:before="121"/>
        <w:ind w:left="1703" w:right="44"/>
        <w:jc w:val="both"/>
        <w:rPr>
          <w:rFonts w:ascii="Arial" w:hAnsi="Arial" w:cs="Arial"/>
          <w:sz w:val="20"/>
        </w:rPr>
      </w:pPr>
      <w:r w:rsidRPr="006B618F">
        <w:rPr>
          <w:rFonts w:ascii="Arial" w:hAnsi="Arial" w:cs="Arial"/>
          <w:sz w:val="20"/>
        </w:rPr>
        <w:t>the</w:t>
      </w:r>
      <w:r w:rsidRPr="006B618F">
        <w:rPr>
          <w:rFonts w:ascii="Arial" w:hAnsi="Arial" w:cs="Arial"/>
          <w:spacing w:val="1"/>
          <w:sz w:val="20"/>
        </w:rPr>
        <w:t xml:space="preserve"> </w:t>
      </w:r>
      <w:r w:rsidR="004E22F1">
        <w:rPr>
          <w:rFonts w:ascii="Arial" w:hAnsi="Arial" w:cs="Arial"/>
          <w:sz w:val="20"/>
          <w:szCs w:val="20"/>
        </w:rPr>
        <w:t xml:space="preserve">CAC RA </w:t>
      </w:r>
      <w:r w:rsidRPr="006B618F">
        <w:rPr>
          <w:rFonts w:ascii="Arial" w:hAnsi="Arial" w:cs="Arial"/>
          <w:sz w:val="20"/>
        </w:rPr>
        <w:t>who</w:t>
      </w:r>
      <w:r w:rsidRPr="006B618F">
        <w:rPr>
          <w:rFonts w:ascii="Arial" w:hAnsi="Arial" w:cs="Arial"/>
          <w:spacing w:val="1"/>
          <w:sz w:val="20"/>
        </w:rPr>
        <w:t xml:space="preserve"> </w:t>
      </w:r>
      <w:r w:rsidRPr="006B618F">
        <w:rPr>
          <w:rFonts w:ascii="Arial" w:hAnsi="Arial" w:cs="Arial"/>
          <w:sz w:val="20"/>
        </w:rPr>
        <w:t>issued</w:t>
      </w:r>
      <w:r w:rsidRPr="006B618F">
        <w:rPr>
          <w:rFonts w:ascii="Arial" w:hAnsi="Arial" w:cs="Arial"/>
          <w:spacing w:val="1"/>
          <w:sz w:val="20"/>
        </w:rPr>
        <w:t xml:space="preserve"> </w:t>
      </w:r>
      <w:r w:rsidRPr="006B618F">
        <w:rPr>
          <w:rFonts w:ascii="Arial" w:hAnsi="Arial" w:cs="Arial"/>
          <w:sz w:val="20"/>
        </w:rPr>
        <w:t>the</w:t>
      </w:r>
      <w:r w:rsidRPr="006B618F">
        <w:rPr>
          <w:rFonts w:ascii="Arial" w:hAnsi="Arial" w:cs="Arial"/>
          <w:spacing w:val="1"/>
          <w:sz w:val="20"/>
        </w:rPr>
        <w:t xml:space="preserve"> </w:t>
      </w:r>
      <w:r w:rsidRPr="006B618F">
        <w:rPr>
          <w:rFonts w:ascii="Arial" w:hAnsi="Arial" w:cs="Arial"/>
          <w:sz w:val="20"/>
        </w:rPr>
        <w:t>licence in accordance</w:t>
      </w:r>
      <w:r w:rsidRPr="006B618F">
        <w:rPr>
          <w:rFonts w:ascii="Arial" w:hAnsi="Arial" w:cs="Arial"/>
          <w:spacing w:val="1"/>
          <w:sz w:val="20"/>
        </w:rPr>
        <w:t xml:space="preserve"> </w:t>
      </w:r>
      <w:r w:rsidRPr="006B618F">
        <w:rPr>
          <w:rFonts w:ascii="Arial" w:hAnsi="Arial" w:cs="Arial"/>
          <w:sz w:val="20"/>
        </w:rPr>
        <w:t>with</w:t>
      </w:r>
      <w:r w:rsidRPr="006B618F">
        <w:rPr>
          <w:rFonts w:ascii="Arial" w:hAnsi="Arial" w:cs="Arial"/>
          <w:spacing w:val="1"/>
          <w:sz w:val="20"/>
        </w:rPr>
        <w:t xml:space="preserve"> </w:t>
      </w:r>
      <w:r w:rsidRPr="006B618F">
        <w:rPr>
          <w:rFonts w:ascii="Arial" w:hAnsi="Arial" w:cs="Arial"/>
          <w:sz w:val="20"/>
        </w:rPr>
        <w:t>Annex III</w:t>
      </w:r>
      <w:r w:rsidRPr="006B618F">
        <w:rPr>
          <w:rFonts w:ascii="Arial" w:hAnsi="Arial" w:cs="Arial"/>
          <w:spacing w:val="1"/>
          <w:sz w:val="20"/>
        </w:rPr>
        <w:t xml:space="preserve"> </w:t>
      </w:r>
      <w:r w:rsidRPr="006B618F">
        <w:rPr>
          <w:rFonts w:ascii="Arial" w:hAnsi="Arial" w:cs="Arial"/>
          <w:sz w:val="20"/>
        </w:rPr>
        <w:t>(Part-66);</w:t>
      </w:r>
    </w:p>
    <w:p w14:paraId="0FEFF79B" w14:textId="22DF4174" w:rsidR="006B618F" w:rsidRPr="006B618F" w:rsidRDefault="006B618F" w:rsidP="00427817">
      <w:pPr>
        <w:numPr>
          <w:ilvl w:val="2"/>
          <w:numId w:val="329"/>
        </w:numPr>
        <w:tabs>
          <w:tab w:val="left" w:pos="1842"/>
        </w:tabs>
        <w:spacing w:before="120"/>
        <w:ind w:left="1703" w:right="44"/>
        <w:jc w:val="both"/>
        <w:rPr>
          <w:rFonts w:ascii="Arial" w:hAnsi="Arial" w:cs="Arial"/>
          <w:sz w:val="20"/>
        </w:rPr>
      </w:pPr>
      <w:r w:rsidRPr="006B618F">
        <w:rPr>
          <w:rFonts w:ascii="Arial" w:hAnsi="Arial" w:cs="Arial"/>
          <w:sz w:val="20"/>
        </w:rPr>
        <w:t>if</w:t>
      </w:r>
      <w:r w:rsidRPr="006B618F">
        <w:rPr>
          <w:rFonts w:ascii="Arial" w:hAnsi="Arial" w:cs="Arial"/>
          <w:spacing w:val="-4"/>
          <w:sz w:val="20"/>
        </w:rPr>
        <w:t xml:space="preserve"> </w:t>
      </w:r>
      <w:r w:rsidRPr="006B618F">
        <w:rPr>
          <w:rFonts w:ascii="Arial" w:hAnsi="Arial" w:cs="Arial"/>
          <w:sz w:val="20"/>
        </w:rPr>
        <w:t>Annex</w:t>
      </w:r>
      <w:r w:rsidRPr="006B618F">
        <w:rPr>
          <w:rFonts w:ascii="Arial" w:hAnsi="Arial" w:cs="Arial"/>
          <w:spacing w:val="-3"/>
          <w:sz w:val="20"/>
        </w:rPr>
        <w:t xml:space="preserve"> </w:t>
      </w:r>
      <w:r w:rsidRPr="006B618F">
        <w:rPr>
          <w:rFonts w:ascii="Arial" w:hAnsi="Arial" w:cs="Arial"/>
          <w:sz w:val="20"/>
        </w:rPr>
        <w:t>III</w:t>
      </w:r>
      <w:r w:rsidRPr="006B618F">
        <w:rPr>
          <w:rFonts w:ascii="Arial" w:hAnsi="Arial" w:cs="Arial"/>
          <w:spacing w:val="-4"/>
          <w:sz w:val="20"/>
        </w:rPr>
        <w:t xml:space="preserve"> </w:t>
      </w:r>
      <w:r w:rsidRPr="006B618F">
        <w:rPr>
          <w:rFonts w:ascii="Arial" w:hAnsi="Arial" w:cs="Arial"/>
          <w:sz w:val="20"/>
        </w:rPr>
        <w:t>(Part-66)</w:t>
      </w:r>
      <w:r w:rsidRPr="006B618F">
        <w:rPr>
          <w:rFonts w:ascii="Arial" w:hAnsi="Arial" w:cs="Arial"/>
          <w:spacing w:val="-3"/>
          <w:sz w:val="20"/>
        </w:rPr>
        <w:t xml:space="preserve"> </w:t>
      </w:r>
      <w:r w:rsidRPr="006B618F">
        <w:rPr>
          <w:rFonts w:ascii="Arial" w:hAnsi="Arial" w:cs="Arial"/>
          <w:sz w:val="20"/>
        </w:rPr>
        <w:t>is</w:t>
      </w:r>
      <w:r w:rsidRPr="006B618F">
        <w:rPr>
          <w:rFonts w:ascii="Arial" w:hAnsi="Arial" w:cs="Arial"/>
          <w:spacing w:val="-3"/>
          <w:sz w:val="20"/>
        </w:rPr>
        <w:t xml:space="preserve"> </w:t>
      </w:r>
      <w:r w:rsidRPr="006B618F">
        <w:rPr>
          <w:rFonts w:ascii="Arial" w:hAnsi="Arial" w:cs="Arial"/>
          <w:sz w:val="20"/>
        </w:rPr>
        <w:t>not</w:t>
      </w:r>
      <w:r w:rsidRPr="006B618F">
        <w:rPr>
          <w:rFonts w:ascii="Arial" w:hAnsi="Arial" w:cs="Arial"/>
          <w:spacing w:val="-5"/>
          <w:sz w:val="20"/>
        </w:rPr>
        <w:t xml:space="preserve"> </w:t>
      </w:r>
      <w:r w:rsidRPr="006B618F">
        <w:rPr>
          <w:rFonts w:ascii="Arial" w:hAnsi="Arial" w:cs="Arial"/>
          <w:sz w:val="20"/>
        </w:rPr>
        <w:t>applicable,</w:t>
      </w:r>
      <w:r w:rsidRPr="006B618F">
        <w:rPr>
          <w:rFonts w:ascii="Arial" w:hAnsi="Arial" w:cs="Arial"/>
          <w:spacing w:val="-3"/>
          <w:sz w:val="20"/>
        </w:rPr>
        <w:t xml:space="preserve"> </w:t>
      </w:r>
      <w:r w:rsidRPr="006B618F">
        <w:rPr>
          <w:rFonts w:ascii="Arial" w:hAnsi="Arial" w:cs="Arial"/>
          <w:sz w:val="20"/>
        </w:rPr>
        <w:t>the</w:t>
      </w:r>
      <w:r w:rsidRPr="006B618F">
        <w:rPr>
          <w:rFonts w:ascii="Arial" w:hAnsi="Arial" w:cs="Arial"/>
          <w:spacing w:val="-3"/>
          <w:sz w:val="20"/>
        </w:rPr>
        <w:t xml:space="preserve"> </w:t>
      </w:r>
      <w:r w:rsidR="004E22F1">
        <w:rPr>
          <w:rFonts w:ascii="Arial" w:hAnsi="Arial" w:cs="Arial"/>
          <w:sz w:val="20"/>
          <w:szCs w:val="20"/>
        </w:rPr>
        <w:t xml:space="preserve">CAC RA </w:t>
      </w:r>
      <w:r w:rsidRPr="006B618F">
        <w:rPr>
          <w:rFonts w:ascii="Arial" w:hAnsi="Arial" w:cs="Arial"/>
          <w:sz w:val="20"/>
        </w:rPr>
        <w:t>responsible</w:t>
      </w:r>
      <w:r w:rsidRPr="006B618F">
        <w:rPr>
          <w:rFonts w:ascii="Arial" w:hAnsi="Arial" w:cs="Arial"/>
          <w:spacing w:val="-3"/>
          <w:sz w:val="20"/>
        </w:rPr>
        <w:t xml:space="preserve"> </w:t>
      </w:r>
      <w:r w:rsidRPr="006B618F">
        <w:rPr>
          <w:rFonts w:ascii="Arial" w:hAnsi="Arial" w:cs="Arial"/>
          <w:sz w:val="20"/>
        </w:rPr>
        <w:t>for</w:t>
      </w:r>
      <w:r w:rsidRPr="006B618F">
        <w:rPr>
          <w:rFonts w:ascii="Arial" w:hAnsi="Arial" w:cs="Arial"/>
          <w:spacing w:val="-3"/>
          <w:sz w:val="20"/>
        </w:rPr>
        <w:t xml:space="preserve"> </w:t>
      </w:r>
      <w:r w:rsidRPr="006B618F">
        <w:rPr>
          <w:rFonts w:ascii="Arial" w:hAnsi="Arial" w:cs="Arial"/>
          <w:sz w:val="20"/>
        </w:rPr>
        <w:t>the</w:t>
      </w:r>
      <w:r w:rsidRPr="006B618F">
        <w:rPr>
          <w:rFonts w:ascii="Arial" w:hAnsi="Arial" w:cs="Arial"/>
          <w:spacing w:val="-48"/>
          <w:sz w:val="20"/>
        </w:rPr>
        <w:t xml:space="preserve"> </w:t>
      </w:r>
      <w:r w:rsidRPr="006B618F">
        <w:rPr>
          <w:rFonts w:ascii="Arial" w:hAnsi="Arial" w:cs="Arial"/>
          <w:sz w:val="20"/>
        </w:rPr>
        <w:t>national</w:t>
      </w:r>
      <w:r w:rsidRPr="006B618F">
        <w:rPr>
          <w:rFonts w:ascii="Arial" w:hAnsi="Arial" w:cs="Arial"/>
          <w:spacing w:val="-1"/>
          <w:sz w:val="20"/>
        </w:rPr>
        <w:t xml:space="preserve"> </w:t>
      </w:r>
      <w:r w:rsidRPr="006B618F">
        <w:rPr>
          <w:rFonts w:ascii="Arial" w:hAnsi="Arial" w:cs="Arial"/>
          <w:sz w:val="20"/>
        </w:rPr>
        <w:t>certifying-staff qualification.</w:t>
      </w:r>
    </w:p>
    <w:p w14:paraId="03FA9C80" w14:textId="707FB8F7" w:rsidR="006B618F" w:rsidRPr="006B618F" w:rsidRDefault="006B618F" w:rsidP="00427817">
      <w:pPr>
        <w:numPr>
          <w:ilvl w:val="0"/>
          <w:numId w:val="329"/>
        </w:numPr>
        <w:tabs>
          <w:tab w:val="left" w:pos="707"/>
        </w:tabs>
        <w:spacing w:before="121"/>
        <w:ind w:left="567" w:right="44"/>
        <w:jc w:val="both"/>
        <w:rPr>
          <w:rFonts w:ascii="Arial" w:hAnsi="Arial" w:cs="Arial"/>
          <w:sz w:val="20"/>
        </w:rPr>
      </w:pPr>
      <w:r w:rsidRPr="006B618F">
        <w:rPr>
          <w:rFonts w:ascii="Arial" w:hAnsi="Arial" w:cs="Arial"/>
          <w:sz w:val="20"/>
        </w:rPr>
        <w:t>The</w:t>
      </w:r>
      <w:r w:rsidRPr="006B618F">
        <w:rPr>
          <w:rFonts w:ascii="Arial" w:hAnsi="Arial" w:cs="Arial"/>
          <w:spacing w:val="-4"/>
          <w:sz w:val="20"/>
        </w:rPr>
        <w:t xml:space="preserve"> </w:t>
      </w:r>
      <w:r w:rsidRPr="006B618F">
        <w:rPr>
          <w:rFonts w:ascii="Arial" w:hAnsi="Arial" w:cs="Arial"/>
          <w:sz w:val="20"/>
        </w:rPr>
        <w:t>authorisation</w:t>
      </w:r>
      <w:r w:rsidRPr="006B618F">
        <w:rPr>
          <w:rFonts w:ascii="Arial" w:hAnsi="Arial" w:cs="Arial"/>
          <w:spacing w:val="-5"/>
          <w:sz w:val="20"/>
        </w:rPr>
        <w:t xml:space="preserve"> </w:t>
      </w:r>
      <w:r w:rsidRPr="006B618F">
        <w:rPr>
          <w:rFonts w:ascii="Arial" w:hAnsi="Arial" w:cs="Arial"/>
          <w:sz w:val="20"/>
        </w:rPr>
        <w:t>required</w:t>
      </w:r>
      <w:r w:rsidRPr="006B618F">
        <w:rPr>
          <w:rFonts w:ascii="Arial" w:hAnsi="Arial" w:cs="Arial"/>
          <w:spacing w:val="-6"/>
          <w:sz w:val="20"/>
        </w:rPr>
        <w:t xml:space="preserve"> </w:t>
      </w:r>
      <w:r w:rsidRPr="006B618F">
        <w:rPr>
          <w:rFonts w:ascii="Arial" w:hAnsi="Arial" w:cs="Arial"/>
          <w:sz w:val="20"/>
        </w:rPr>
        <w:t>under</w:t>
      </w:r>
      <w:r w:rsidRPr="006B618F">
        <w:rPr>
          <w:rFonts w:ascii="Arial" w:hAnsi="Arial" w:cs="Arial"/>
          <w:spacing w:val="-4"/>
          <w:sz w:val="20"/>
        </w:rPr>
        <w:t xml:space="preserve"> </w:t>
      </w:r>
      <w:r w:rsidRPr="006B618F">
        <w:rPr>
          <w:rFonts w:ascii="Arial" w:hAnsi="Arial" w:cs="Arial"/>
          <w:sz w:val="20"/>
        </w:rPr>
        <w:t>point</w:t>
      </w:r>
      <w:r w:rsidRPr="006B618F">
        <w:rPr>
          <w:rFonts w:ascii="Arial" w:hAnsi="Arial" w:cs="Arial"/>
          <w:spacing w:val="-5"/>
          <w:sz w:val="20"/>
        </w:rPr>
        <w:t xml:space="preserve"> </w:t>
      </w:r>
      <w:r w:rsidRPr="006B618F">
        <w:rPr>
          <w:rFonts w:ascii="Arial" w:hAnsi="Arial" w:cs="Arial"/>
          <w:sz w:val="20"/>
        </w:rPr>
        <w:t>(c)(2)</w:t>
      </w:r>
      <w:r w:rsidRPr="006B618F">
        <w:rPr>
          <w:rFonts w:ascii="Arial" w:hAnsi="Arial" w:cs="Arial"/>
          <w:spacing w:val="-7"/>
          <w:sz w:val="20"/>
        </w:rPr>
        <w:t xml:space="preserve"> </w:t>
      </w:r>
      <w:r w:rsidRPr="006B618F">
        <w:rPr>
          <w:rFonts w:ascii="Arial" w:hAnsi="Arial" w:cs="Arial"/>
          <w:sz w:val="20"/>
        </w:rPr>
        <w:t>shall</w:t>
      </w:r>
      <w:r w:rsidRPr="006B618F">
        <w:rPr>
          <w:rFonts w:ascii="Arial" w:hAnsi="Arial" w:cs="Arial"/>
          <w:spacing w:val="-6"/>
          <w:sz w:val="20"/>
        </w:rPr>
        <w:t xml:space="preserve"> </w:t>
      </w:r>
      <w:r w:rsidRPr="006B618F">
        <w:rPr>
          <w:rFonts w:ascii="Arial" w:hAnsi="Arial" w:cs="Arial"/>
          <w:sz w:val="20"/>
        </w:rPr>
        <w:t>be</w:t>
      </w:r>
      <w:r w:rsidRPr="006B618F">
        <w:rPr>
          <w:rFonts w:ascii="Arial" w:hAnsi="Arial" w:cs="Arial"/>
          <w:spacing w:val="-4"/>
          <w:sz w:val="20"/>
        </w:rPr>
        <w:t xml:space="preserve"> </w:t>
      </w:r>
      <w:r w:rsidRPr="006B618F">
        <w:rPr>
          <w:rFonts w:ascii="Arial" w:hAnsi="Arial" w:cs="Arial"/>
          <w:sz w:val="20"/>
        </w:rPr>
        <w:t>issued</w:t>
      </w:r>
      <w:r w:rsidRPr="006B618F">
        <w:rPr>
          <w:rFonts w:ascii="Arial" w:hAnsi="Arial" w:cs="Arial"/>
          <w:spacing w:val="-4"/>
          <w:sz w:val="20"/>
        </w:rPr>
        <w:t xml:space="preserve"> </w:t>
      </w:r>
      <w:r w:rsidRPr="006B618F">
        <w:rPr>
          <w:rFonts w:ascii="Arial" w:hAnsi="Arial" w:cs="Arial"/>
          <w:sz w:val="20"/>
        </w:rPr>
        <w:t>by</w:t>
      </w:r>
      <w:r w:rsidRPr="006B618F">
        <w:rPr>
          <w:rFonts w:ascii="Arial" w:hAnsi="Arial" w:cs="Arial"/>
          <w:spacing w:val="-6"/>
          <w:sz w:val="20"/>
        </w:rPr>
        <w:t xml:space="preserve"> </w:t>
      </w:r>
      <w:r w:rsidRPr="006B618F">
        <w:rPr>
          <w:rFonts w:ascii="Arial" w:hAnsi="Arial" w:cs="Arial"/>
          <w:sz w:val="20"/>
        </w:rPr>
        <w:t>the</w:t>
      </w:r>
      <w:r w:rsidRPr="006B618F">
        <w:rPr>
          <w:rFonts w:ascii="Arial" w:hAnsi="Arial" w:cs="Arial"/>
          <w:spacing w:val="-6"/>
          <w:sz w:val="20"/>
        </w:rPr>
        <w:t xml:space="preserve"> </w:t>
      </w:r>
      <w:r w:rsidR="00653959">
        <w:rPr>
          <w:rFonts w:ascii="Arial" w:hAnsi="Arial" w:cs="Arial"/>
          <w:sz w:val="20"/>
          <w:szCs w:val="20"/>
        </w:rPr>
        <w:t>CAC RA</w:t>
      </w:r>
      <w:r w:rsidR="00653959" w:rsidRPr="004A51D5">
        <w:rPr>
          <w:rFonts w:ascii="Arial" w:hAnsi="Arial" w:cs="Arial"/>
          <w:spacing w:val="1"/>
          <w:sz w:val="20"/>
          <w:szCs w:val="20"/>
        </w:rPr>
        <w:t xml:space="preserve"> </w:t>
      </w:r>
      <w:r w:rsidRPr="006B618F">
        <w:rPr>
          <w:rFonts w:ascii="Arial" w:hAnsi="Arial" w:cs="Arial"/>
          <w:sz w:val="20"/>
        </w:rPr>
        <w:t>when:</w:t>
      </w:r>
    </w:p>
    <w:p w14:paraId="40528DE7" w14:textId="156CA1EA" w:rsidR="006B618F" w:rsidRPr="006B618F" w:rsidRDefault="006B618F" w:rsidP="00427817">
      <w:pPr>
        <w:numPr>
          <w:ilvl w:val="1"/>
          <w:numId w:val="329"/>
        </w:numPr>
        <w:tabs>
          <w:tab w:val="left" w:pos="1274"/>
        </w:tabs>
        <w:spacing w:before="120"/>
        <w:ind w:left="1134" w:right="44"/>
        <w:jc w:val="both"/>
        <w:rPr>
          <w:rFonts w:ascii="Arial" w:hAnsi="Arial" w:cs="Arial"/>
          <w:sz w:val="20"/>
        </w:rPr>
      </w:pPr>
      <w:r w:rsidRPr="006B618F">
        <w:rPr>
          <w:rFonts w:ascii="Arial" w:hAnsi="Arial" w:cs="Arial"/>
          <w:sz w:val="20"/>
        </w:rPr>
        <w:t xml:space="preserve">the </w:t>
      </w:r>
      <w:r w:rsidR="004E22F1">
        <w:rPr>
          <w:rFonts w:ascii="Arial" w:hAnsi="Arial" w:cs="Arial"/>
          <w:sz w:val="20"/>
          <w:szCs w:val="20"/>
        </w:rPr>
        <w:t xml:space="preserve">CAC RA </w:t>
      </w:r>
      <w:r w:rsidRPr="006B618F">
        <w:rPr>
          <w:rFonts w:ascii="Arial" w:hAnsi="Arial" w:cs="Arial"/>
          <w:sz w:val="20"/>
        </w:rPr>
        <w:t>has assessed that the person has the knowledge of the parts of</w:t>
      </w:r>
      <w:r w:rsidRPr="006B618F">
        <w:rPr>
          <w:rFonts w:ascii="Arial" w:hAnsi="Arial" w:cs="Arial"/>
          <w:spacing w:val="-47"/>
          <w:sz w:val="20"/>
        </w:rPr>
        <w:t xml:space="preserve"> </w:t>
      </w:r>
      <w:r w:rsidRPr="006B618F">
        <w:rPr>
          <w:rFonts w:ascii="Arial" w:hAnsi="Arial" w:cs="Arial"/>
          <w:sz w:val="20"/>
        </w:rPr>
        <w:t>this</w:t>
      </w:r>
      <w:r w:rsidRPr="006B618F">
        <w:rPr>
          <w:rFonts w:ascii="Arial" w:hAnsi="Arial" w:cs="Arial"/>
          <w:spacing w:val="1"/>
          <w:sz w:val="20"/>
        </w:rPr>
        <w:t xml:space="preserve"> </w:t>
      </w:r>
      <w:r w:rsidRPr="006B618F">
        <w:rPr>
          <w:rFonts w:ascii="Arial" w:hAnsi="Arial" w:cs="Arial"/>
          <w:sz w:val="20"/>
        </w:rPr>
        <w:t>Annex</w:t>
      </w:r>
      <w:r w:rsidRPr="006B618F">
        <w:rPr>
          <w:rFonts w:ascii="Arial" w:hAnsi="Arial" w:cs="Arial"/>
          <w:spacing w:val="1"/>
          <w:sz w:val="20"/>
        </w:rPr>
        <w:t xml:space="preserve"> </w:t>
      </w:r>
      <w:r w:rsidRPr="006B618F">
        <w:rPr>
          <w:rFonts w:ascii="Arial" w:hAnsi="Arial" w:cs="Arial"/>
          <w:sz w:val="20"/>
        </w:rPr>
        <w:t>relevant</w:t>
      </w:r>
      <w:r w:rsidRPr="006B618F">
        <w:rPr>
          <w:rFonts w:ascii="Arial" w:hAnsi="Arial" w:cs="Arial"/>
          <w:spacing w:val="1"/>
          <w:sz w:val="20"/>
        </w:rPr>
        <w:t xml:space="preserve"> </w:t>
      </w:r>
      <w:r w:rsidRPr="006B618F">
        <w:rPr>
          <w:rFonts w:ascii="Arial" w:hAnsi="Arial" w:cs="Arial"/>
          <w:sz w:val="20"/>
        </w:rPr>
        <w:t>to</w:t>
      </w:r>
      <w:r w:rsidRPr="006B618F">
        <w:rPr>
          <w:rFonts w:ascii="Arial" w:hAnsi="Arial" w:cs="Arial"/>
          <w:spacing w:val="1"/>
          <w:sz w:val="20"/>
        </w:rPr>
        <w:t xml:space="preserve"> </w:t>
      </w:r>
      <w:r w:rsidRPr="006B618F">
        <w:rPr>
          <w:rFonts w:ascii="Arial" w:hAnsi="Arial" w:cs="Arial"/>
          <w:sz w:val="20"/>
        </w:rPr>
        <w:t>continuing-airworthiness</w:t>
      </w:r>
      <w:r w:rsidRPr="006B618F">
        <w:rPr>
          <w:rFonts w:ascii="Arial" w:hAnsi="Arial" w:cs="Arial"/>
          <w:spacing w:val="1"/>
          <w:sz w:val="20"/>
        </w:rPr>
        <w:t xml:space="preserve"> </w:t>
      </w:r>
      <w:r w:rsidRPr="006B618F">
        <w:rPr>
          <w:rFonts w:ascii="Arial" w:hAnsi="Arial" w:cs="Arial"/>
          <w:sz w:val="20"/>
        </w:rPr>
        <w:t>management,</w:t>
      </w:r>
      <w:r w:rsidRPr="006B618F">
        <w:rPr>
          <w:rFonts w:ascii="Arial" w:hAnsi="Arial" w:cs="Arial"/>
          <w:spacing w:val="1"/>
          <w:sz w:val="20"/>
        </w:rPr>
        <w:t xml:space="preserve"> </w:t>
      </w:r>
      <w:r w:rsidRPr="006B618F">
        <w:rPr>
          <w:rFonts w:ascii="Arial" w:hAnsi="Arial" w:cs="Arial"/>
          <w:sz w:val="20"/>
        </w:rPr>
        <w:t>performance</w:t>
      </w:r>
      <w:r w:rsidRPr="006B618F">
        <w:rPr>
          <w:rFonts w:ascii="Arial" w:hAnsi="Arial" w:cs="Arial"/>
          <w:spacing w:val="1"/>
          <w:sz w:val="20"/>
        </w:rPr>
        <w:t xml:space="preserve"> </w:t>
      </w:r>
      <w:r w:rsidRPr="006B618F">
        <w:rPr>
          <w:rFonts w:ascii="Arial" w:hAnsi="Arial" w:cs="Arial"/>
          <w:sz w:val="20"/>
        </w:rPr>
        <w:t>of</w:t>
      </w:r>
      <w:r w:rsidRPr="006B618F">
        <w:rPr>
          <w:rFonts w:ascii="Arial" w:hAnsi="Arial" w:cs="Arial"/>
          <w:spacing w:val="1"/>
          <w:sz w:val="20"/>
        </w:rPr>
        <w:t xml:space="preserve"> </w:t>
      </w:r>
      <w:r w:rsidRPr="006B618F">
        <w:rPr>
          <w:rFonts w:ascii="Arial" w:hAnsi="Arial" w:cs="Arial"/>
          <w:sz w:val="20"/>
        </w:rPr>
        <w:t>airworthiness reviews</w:t>
      </w:r>
      <w:r w:rsidRPr="006B618F">
        <w:rPr>
          <w:rFonts w:ascii="Arial" w:hAnsi="Arial" w:cs="Arial"/>
          <w:spacing w:val="1"/>
          <w:sz w:val="20"/>
        </w:rPr>
        <w:t xml:space="preserve"> </w:t>
      </w:r>
      <w:r w:rsidRPr="006B618F">
        <w:rPr>
          <w:rFonts w:ascii="Arial" w:hAnsi="Arial" w:cs="Arial"/>
          <w:sz w:val="20"/>
        </w:rPr>
        <w:t>and</w:t>
      </w:r>
      <w:r w:rsidRPr="006B618F">
        <w:rPr>
          <w:rFonts w:ascii="Arial" w:hAnsi="Arial" w:cs="Arial"/>
          <w:spacing w:val="-1"/>
          <w:sz w:val="20"/>
        </w:rPr>
        <w:t xml:space="preserve"> </w:t>
      </w:r>
      <w:r w:rsidRPr="006B618F">
        <w:rPr>
          <w:rFonts w:ascii="Arial" w:hAnsi="Arial" w:cs="Arial"/>
          <w:sz w:val="20"/>
        </w:rPr>
        <w:t>issuance</w:t>
      </w:r>
      <w:r w:rsidRPr="006B618F">
        <w:rPr>
          <w:rFonts w:ascii="Arial" w:hAnsi="Arial" w:cs="Arial"/>
          <w:spacing w:val="-2"/>
          <w:sz w:val="20"/>
        </w:rPr>
        <w:t xml:space="preserve"> </w:t>
      </w:r>
      <w:r w:rsidRPr="006B618F">
        <w:rPr>
          <w:rFonts w:ascii="Arial" w:hAnsi="Arial" w:cs="Arial"/>
          <w:sz w:val="20"/>
        </w:rPr>
        <w:t>of ARCs;</w:t>
      </w:r>
    </w:p>
    <w:p w14:paraId="3A1AA19F" w14:textId="33076356" w:rsidR="006B618F" w:rsidRPr="006B618F" w:rsidRDefault="006B618F" w:rsidP="00427817">
      <w:pPr>
        <w:numPr>
          <w:ilvl w:val="1"/>
          <w:numId w:val="329"/>
        </w:numPr>
        <w:tabs>
          <w:tab w:val="left" w:pos="1274"/>
        </w:tabs>
        <w:spacing w:before="123" w:line="237" w:lineRule="auto"/>
        <w:ind w:left="1134" w:right="44"/>
        <w:jc w:val="both"/>
        <w:rPr>
          <w:rFonts w:ascii="Arial" w:hAnsi="Arial" w:cs="Arial"/>
          <w:sz w:val="20"/>
        </w:rPr>
      </w:pPr>
      <w:r w:rsidRPr="006B618F">
        <w:rPr>
          <w:rFonts w:ascii="Arial" w:hAnsi="Arial" w:cs="Arial"/>
          <w:sz w:val="20"/>
        </w:rPr>
        <w:t>the</w:t>
      </w:r>
      <w:r w:rsidRPr="006B618F">
        <w:rPr>
          <w:rFonts w:ascii="Arial" w:hAnsi="Arial" w:cs="Arial"/>
          <w:spacing w:val="-7"/>
          <w:sz w:val="20"/>
        </w:rPr>
        <w:t xml:space="preserve"> </w:t>
      </w:r>
      <w:r w:rsidRPr="006B618F">
        <w:rPr>
          <w:rFonts w:ascii="Arial" w:hAnsi="Arial" w:cs="Arial"/>
          <w:sz w:val="20"/>
        </w:rPr>
        <w:t>person</w:t>
      </w:r>
      <w:r w:rsidRPr="006B618F">
        <w:rPr>
          <w:rFonts w:ascii="Arial" w:hAnsi="Arial" w:cs="Arial"/>
          <w:spacing w:val="-7"/>
          <w:sz w:val="20"/>
        </w:rPr>
        <w:t xml:space="preserve"> </w:t>
      </w:r>
      <w:r w:rsidRPr="006B618F">
        <w:rPr>
          <w:rFonts w:ascii="Arial" w:hAnsi="Arial" w:cs="Arial"/>
          <w:sz w:val="20"/>
        </w:rPr>
        <w:t>has</w:t>
      </w:r>
      <w:r w:rsidRPr="006B618F">
        <w:rPr>
          <w:rFonts w:ascii="Arial" w:hAnsi="Arial" w:cs="Arial"/>
          <w:spacing w:val="-8"/>
          <w:sz w:val="20"/>
        </w:rPr>
        <w:t xml:space="preserve"> </w:t>
      </w:r>
      <w:r w:rsidRPr="006B618F">
        <w:rPr>
          <w:rFonts w:ascii="Arial" w:hAnsi="Arial" w:cs="Arial"/>
          <w:sz w:val="20"/>
        </w:rPr>
        <w:t>satisfactorily</w:t>
      </w:r>
      <w:r w:rsidRPr="006B618F">
        <w:rPr>
          <w:rFonts w:ascii="Arial" w:hAnsi="Arial" w:cs="Arial"/>
          <w:spacing w:val="-6"/>
          <w:sz w:val="20"/>
        </w:rPr>
        <w:t xml:space="preserve"> </w:t>
      </w:r>
      <w:r w:rsidRPr="006B618F">
        <w:rPr>
          <w:rFonts w:ascii="Arial" w:hAnsi="Arial" w:cs="Arial"/>
          <w:sz w:val="20"/>
        </w:rPr>
        <w:t>performed</w:t>
      </w:r>
      <w:r w:rsidRPr="006B618F">
        <w:rPr>
          <w:rFonts w:ascii="Arial" w:hAnsi="Arial" w:cs="Arial"/>
          <w:spacing w:val="-6"/>
          <w:sz w:val="20"/>
        </w:rPr>
        <w:t xml:space="preserve"> </w:t>
      </w:r>
      <w:r w:rsidRPr="006B618F">
        <w:rPr>
          <w:rFonts w:ascii="Arial" w:hAnsi="Arial" w:cs="Arial"/>
          <w:sz w:val="20"/>
        </w:rPr>
        <w:t>an</w:t>
      </w:r>
      <w:r w:rsidRPr="006B618F">
        <w:rPr>
          <w:rFonts w:ascii="Arial" w:hAnsi="Arial" w:cs="Arial"/>
          <w:spacing w:val="-10"/>
          <w:sz w:val="20"/>
        </w:rPr>
        <w:t xml:space="preserve"> </w:t>
      </w:r>
      <w:r w:rsidRPr="006B618F">
        <w:rPr>
          <w:rFonts w:ascii="Arial" w:hAnsi="Arial" w:cs="Arial"/>
          <w:sz w:val="20"/>
        </w:rPr>
        <w:t>airworthiness</w:t>
      </w:r>
      <w:r w:rsidRPr="006B618F">
        <w:rPr>
          <w:rFonts w:ascii="Arial" w:hAnsi="Arial" w:cs="Arial"/>
          <w:spacing w:val="-5"/>
          <w:sz w:val="20"/>
        </w:rPr>
        <w:t xml:space="preserve"> </w:t>
      </w:r>
      <w:r w:rsidRPr="006B618F">
        <w:rPr>
          <w:rFonts w:ascii="Arial" w:hAnsi="Arial" w:cs="Arial"/>
          <w:sz w:val="20"/>
        </w:rPr>
        <w:t>review</w:t>
      </w:r>
      <w:r w:rsidRPr="006B618F">
        <w:rPr>
          <w:rFonts w:ascii="Arial" w:hAnsi="Arial" w:cs="Arial"/>
          <w:spacing w:val="-6"/>
          <w:sz w:val="20"/>
        </w:rPr>
        <w:t xml:space="preserve"> </w:t>
      </w:r>
      <w:r w:rsidRPr="006B618F">
        <w:rPr>
          <w:rFonts w:ascii="Arial" w:hAnsi="Arial" w:cs="Arial"/>
          <w:sz w:val="20"/>
        </w:rPr>
        <w:t>under</w:t>
      </w:r>
      <w:r w:rsidRPr="006B618F">
        <w:rPr>
          <w:rFonts w:ascii="Arial" w:hAnsi="Arial" w:cs="Arial"/>
          <w:spacing w:val="-8"/>
          <w:sz w:val="20"/>
        </w:rPr>
        <w:t xml:space="preserve"> </w:t>
      </w:r>
      <w:r w:rsidRPr="006B618F">
        <w:rPr>
          <w:rFonts w:ascii="Arial" w:hAnsi="Arial" w:cs="Arial"/>
          <w:sz w:val="20"/>
        </w:rPr>
        <w:t>the</w:t>
      </w:r>
      <w:r w:rsidRPr="006B618F">
        <w:rPr>
          <w:rFonts w:ascii="Arial" w:hAnsi="Arial" w:cs="Arial"/>
          <w:spacing w:val="-9"/>
          <w:sz w:val="20"/>
        </w:rPr>
        <w:t xml:space="preserve"> </w:t>
      </w:r>
      <w:r w:rsidRPr="006B618F">
        <w:rPr>
          <w:rFonts w:ascii="Arial" w:hAnsi="Arial" w:cs="Arial"/>
          <w:sz w:val="20"/>
        </w:rPr>
        <w:t>supervision</w:t>
      </w:r>
      <w:r w:rsidRPr="006B618F">
        <w:rPr>
          <w:rFonts w:ascii="Arial" w:hAnsi="Arial" w:cs="Arial"/>
          <w:spacing w:val="-9"/>
          <w:sz w:val="20"/>
        </w:rPr>
        <w:t xml:space="preserve"> </w:t>
      </w:r>
      <w:r w:rsidRPr="006B618F">
        <w:rPr>
          <w:rFonts w:ascii="Arial" w:hAnsi="Arial" w:cs="Arial"/>
          <w:sz w:val="20"/>
        </w:rPr>
        <w:t>of</w:t>
      </w:r>
      <w:r w:rsidRPr="006B618F">
        <w:rPr>
          <w:rFonts w:ascii="Arial" w:hAnsi="Arial" w:cs="Arial"/>
          <w:spacing w:val="-48"/>
          <w:sz w:val="20"/>
        </w:rPr>
        <w:t xml:space="preserve"> </w:t>
      </w:r>
      <w:r w:rsidRPr="006B618F">
        <w:rPr>
          <w:rFonts w:ascii="Arial" w:hAnsi="Arial" w:cs="Arial"/>
          <w:sz w:val="20"/>
        </w:rPr>
        <w:t xml:space="preserve">the </w:t>
      </w:r>
      <w:r w:rsidR="004E22F1">
        <w:rPr>
          <w:rFonts w:ascii="Arial" w:hAnsi="Arial" w:cs="Arial"/>
          <w:sz w:val="20"/>
          <w:szCs w:val="20"/>
        </w:rPr>
        <w:t>CAC RA</w:t>
      </w:r>
      <w:r w:rsidRPr="006B618F">
        <w:rPr>
          <w:rFonts w:ascii="Arial" w:hAnsi="Arial" w:cs="Arial"/>
          <w:sz w:val="20"/>
        </w:rPr>
        <w:t>.</w:t>
      </w:r>
    </w:p>
    <w:p w14:paraId="2AB72E46" w14:textId="577BC07A" w:rsidR="006B618F" w:rsidRPr="006B618F" w:rsidRDefault="006B618F" w:rsidP="00427817">
      <w:pPr>
        <w:spacing w:before="121"/>
        <w:ind w:left="567" w:right="44"/>
        <w:jc w:val="both"/>
        <w:rPr>
          <w:rFonts w:ascii="Arial" w:hAnsi="Arial" w:cs="Arial"/>
          <w:sz w:val="20"/>
        </w:rPr>
      </w:pPr>
      <w:r w:rsidRPr="006B618F">
        <w:rPr>
          <w:rFonts w:ascii="Arial" w:hAnsi="Arial" w:cs="Arial"/>
          <w:sz w:val="20"/>
        </w:rPr>
        <w:t>This</w:t>
      </w:r>
      <w:r w:rsidRPr="006B618F">
        <w:rPr>
          <w:rFonts w:ascii="Arial" w:hAnsi="Arial" w:cs="Arial"/>
          <w:spacing w:val="1"/>
          <w:sz w:val="20"/>
        </w:rPr>
        <w:t xml:space="preserve"> </w:t>
      </w:r>
      <w:r w:rsidRPr="006B618F">
        <w:rPr>
          <w:rFonts w:ascii="Arial" w:hAnsi="Arial" w:cs="Arial"/>
          <w:sz w:val="20"/>
        </w:rPr>
        <w:t>authorisation</w:t>
      </w:r>
      <w:r w:rsidRPr="006B618F">
        <w:rPr>
          <w:rFonts w:ascii="Arial" w:hAnsi="Arial" w:cs="Arial"/>
          <w:spacing w:val="1"/>
          <w:sz w:val="20"/>
        </w:rPr>
        <w:t xml:space="preserve"> </w:t>
      </w:r>
      <w:r w:rsidRPr="006B618F">
        <w:rPr>
          <w:rFonts w:ascii="Arial" w:hAnsi="Arial" w:cs="Arial"/>
          <w:sz w:val="20"/>
        </w:rPr>
        <w:t>shall</w:t>
      </w:r>
      <w:r w:rsidRPr="006B618F">
        <w:rPr>
          <w:rFonts w:ascii="Arial" w:hAnsi="Arial" w:cs="Arial"/>
          <w:spacing w:val="1"/>
          <w:sz w:val="20"/>
        </w:rPr>
        <w:t xml:space="preserve"> </w:t>
      </w:r>
      <w:r w:rsidRPr="006B618F">
        <w:rPr>
          <w:rFonts w:ascii="Arial" w:hAnsi="Arial" w:cs="Arial"/>
          <w:sz w:val="20"/>
        </w:rPr>
        <w:t>remain</w:t>
      </w:r>
      <w:r w:rsidRPr="006B618F">
        <w:rPr>
          <w:rFonts w:ascii="Arial" w:hAnsi="Arial" w:cs="Arial"/>
          <w:spacing w:val="1"/>
          <w:sz w:val="20"/>
        </w:rPr>
        <w:t xml:space="preserve"> </w:t>
      </w:r>
      <w:r w:rsidRPr="006B618F">
        <w:rPr>
          <w:rFonts w:ascii="Arial" w:hAnsi="Arial" w:cs="Arial"/>
          <w:sz w:val="20"/>
        </w:rPr>
        <w:t>valid</w:t>
      </w:r>
      <w:r w:rsidRPr="006B618F">
        <w:rPr>
          <w:rFonts w:ascii="Arial" w:hAnsi="Arial" w:cs="Arial"/>
          <w:spacing w:val="1"/>
          <w:sz w:val="20"/>
        </w:rPr>
        <w:t xml:space="preserve"> </w:t>
      </w:r>
      <w:r w:rsidRPr="006B618F">
        <w:rPr>
          <w:rFonts w:ascii="Arial" w:hAnsi="Arial" w:cs="Arial"/>
          <w:sz w:val="20"/>
        </w:rPr>
        <w:t>for</w:t>
      </w:r>
      <w:r w:rsidRPr="006B618F">
        <w:rPr>
          <w:rFonts w:ascii="Arial" w:hAnsi="Arial" w:cs="Arial"/>
          <w:spacing w:val="1"/>
          <w:sz w:val="20"/>
        </w:rPr>
        <w:t xml:space="preserve"> </w:t>
      </w:r>
      <w:r w:rsidRPr="006B618F">
        <w:rPr>
          <w:rFonts w:ascii="Arial" w:hAnsi="Arial" w:cs="Arial"/>
          <w:sz w:val="20"/>
        </w:rPr>
        <w:t>a</w:t>
      </w:r>
      <w:r w:rsidRPr="006B618F">
        <w:rPr>
          <w:rFonts w:ascii="Arial" w:hAnsi="Arial" w:cs="Arial"/>
          <w:spacing w:val="1"/>
          <w:sz w:val="20"/>
        </w:rPr>
        <w:t xml:space="preserve"> </w:t>
      </w:r>
      <w:r w:rsidRPr="006B618F">
        <w:rPr>
          <w:rFonts w:ascii="Arial" w:hAnsi="Arial" w:cs="Arial"/>
          <w:sz w:val="20"/>
        </w:rPr>
        <w:t>duration</w:t>
      </w:r>
      <w:r w:rsidRPr="006B618F">
        <w:rPr>
          <w:rFonts w:ascii="Arial" w:hAnsi="Arial" w:cs="Arial"/>
          <w:spacing w:val="1"/>
          <w:sz w:val="20"/>
        </w:rPr>
        <w:t xml:space="preserve"> </w:t>
      </w:r>
      <w:r w:rsidRPr="006B618F">
        <w:rPr>
          <w:rFonts w:ascii="Arial" w:hAnsi="Arial" w:cs="Arial"/>
          <w:sz w:val="20"/>
        </w:rPr>
        <w:t>of</w:t>
      </w:r>
      <w:r w:rsidRPr="006B618F">
        <w:rPr>
          <w:rFonts w:ascii="Arial" w:hAnsi="Arial" w:cs="Arial"/>
          <w:spacing w:val="1"/>
          <w:sz w:val="20"/>
        </w:rPr>
        <w:t xml:space="preserve"> </w:t>
      </w:r>
      <w:r w:rsidRPr="006B618F">
        <w:rPr>
          <w:rFonts w:ascii="Arial" w:hAnsi="Arial" w:cs="Arial"/>
          <w:sz w:val="20"/>
        </w:rPr>
        <w:t>5 years</w:t>
      </w:r>
      <w:r w:rsidRPr="006B618F">
        <w:rPr>
          <w:rFonts w:ascii="Arial" w:hAnsi="Arial" w:cs="Arial"/>
          <w:spacing w:val="1"/>
          <w:sz w:val="20"/>
        </w:rPr>
        <w:t xml:space="preserve"> </w:t>
      </w:r>
      <w:r w:rsidRPr="006B618F">
        <w:rPr>
          <w:rFonts w:ascii="Arial" w:hAnsi="Arial" w:cs="Arial"/>
          <w:sz w:val="20"/>
        </w:rPr>
        <w:t>as</w:t>
      </w:r>
      <w:r w:rsidRPr="006B618F">
        <w:rPr>
          <w:rFonts w:ascii="Arial" w:hAnsi="Arial" w:cs="Arial"/>
          <w:spacing w:val="1"/>
          <w:sz w:val="20"/>
        </w:rPr>
        <w:t xml:space="preserve"> </w:t>
      </w:r>
      <w:r w:rsidRPr="006B618F">
        <w:rPr>
          <w:rFonts w:ascii="Arial" w:hAnsi="Arial" w:cs="Arial"/>
          <w:sz w:val="20"/>
        </w:rPr>
        <w:t>long</w:t>
      </w:r>
      <w:r w:rsidRPr="006B618F">
        <w:rPr>
          <w:rFonts w:ascii="Arial" w:hAnsi="Arial" w:cs="Arial"/>
          <w:spacing w:val="1"/>
          <w:sz w:val="20"/>
        </w:rPr>
        <w:t xml:space="preserve"> </w:t>
      </w:r>
      <w:r w:rsidRPr="006B618F">
        <w:rPr>
          <w:rFonts w:ascii="Arial" w:hAnsi="Arial" w:cs="Arial"/>
          <w:sz w:val="20"/>
        </w:rPr>
        <w:t>as</w:t>
      </w:r>
      <w:r w:rsidRPr="006B618F">
        <w:rPr>
          <w:rFonts w:ascii="Arial" w:hAnsi="Arial" w:cs="Arial"/>
          <w:spacing w:val="1"/>
          <w:sz w:val="20"/>
        </w:rPr>
        <w:t xml:space="preserve"> </w:t>
      </w:r>
      <w:r w:rsidRPr="006B618F">
        <w:rPr>
          <w:rFonts w:ascii="Arial" w:hAnsi="Arial" w:cs="Arial"/>
          <w:sz w:val="20"/>
        </w:rPr>
        <w:t>the</w:t>
      </w:r>
      <w:r w:rsidRPr="006B618F">
        <w:rPr>
          <w:rFonts w:ascii="Arial" w:hAnsi="Arial" w:cs="Arial"/>
          <w:spacing w:val="1"/>
          <w:sz w:val="20"/>
        </w:rPr>
        <w:t xml:space="preserve"> </w:t>
      </w:r>
      <w:r w:rsidRPr="006B618F">
        <w:rPr>
          <w:rFonts w:ascii="Arial" w:hAnsi="Arial" w:cs="Arial"/>
          <w:sz w:val="20"/>
        </w:rPr>
        <w:t>holder</w:t>
      </w:r>
      <w:r w:rsidRPr="006B618F">
        <w:rPr>
          <w:rFonts w:ascii="Arial" w:hAnsi="Arial" w:cs="Arial"/>
          <w:spacing w:val="1"/>
          <w:sz w:val="20"/>
        </w:rPr>
        <w:t xml:space="preserve"> </w:t>
      </w:r>
      <w:r w:rsidRPr="006B618F">
        <w:rPr>
          <w:rFonts w:ascii="Arial" w:hAnsi="Arial" w:cs="Arial"/>
          <w:sz w:val="20"/>
        </w:rPr>
        <w:t>has</w:t>
      </w:r>
      <w:r w:rsidRPr="006B618F">
        <w:rPr>
          <w:rFonts w:ascii="Arial" w:hAnsi="Arial" w:cs="Arial"/>
          <w:spacing w:val="-47"/>
          <w:sz w:val="20"/>
        </w:rPr>
        <w:t xml:space="preserve"> </w:t>
      </w:r>
      <w:r w:rsidRPr="006B618F">
        <w:rPr>
          <w:rFonts w:ascii="Arial" w:hAnsi="Arial" w:cs="Arial"/>
          <w:sz w:val="20"/>
        </w:rPr>
        <w:t>performed at least 1 airworthiness review every 12-months. If this is not the case, a new</w:t>
      </w:r>
      <w:r w:rsidRPr="006B618F">
        <w:rPr>
          <w:rFonts w:ascii="Arial" w:hAnsi="Arial" w:cs="Arial"/>
          <w:spacing w:val="1"/>
          <w:sz w:val="20"/>
        </w:rPr>
        <w:t xml:space="preserve"> </w:t>
      </w:r>
      <w:r w:rsidRPr="006B618F">
        <w:rPr>
          <w:rFonts w:ascii="Arial" w:hAnsi="Arial" w:cs="Arial"/>
          <w:sz w:val="20"/>
        </w:rPr>
        <w:t xml:space="preserve">airworthiness review shall be satisfactorily performed under the supervision of the </w:t>
      </w:r>
      <w:r w:rsidR="004E22F1">
        <w:rPr>
          <w:rFonts w:ascii="Arial" w:hAnsi="Arial" w:cs="Arial"/>
          <w:sz w:val="20"/>
          <w:szCs w:val="20"/>
        </w:rPr>
        <w:t>CAC RA</w:t>
      </w:r>
      <w:r w:rsidRPr="006B618F">
        <w:rPr>
          <w:rFonts w:ascii="Arial" w:hAnsi="Arial" w:cs="Arial"/>
          <w:sz w:val="20"/>
        </w:rPr>
        <w:t>.</w:t>
      </w:r>
    </w:p>
    <w:p w14:paraId="50770148" w14:textId="77777777" w:rsidR="006B618F" w:rsidRPr="006B618F" w:rsidRDefault="006B618F" w:rsidP="00427817">
      <w:pPr>
        <w:spacing w:before="121"/>
        <w:ind w:left="567" w:right="44"/>
        <w:jc w:val="both"/>
        <w:rPr>
          <w:rFonts w:ascii="Arial" w:hAnsi="Arial" w:cs="Arial"/>
          <w:sz w:val="20"/>
        </w:rPr>
      </w:pPr>
      <w:r w:rsidRPr="006B618F">
        <w:rPr>
          <w:rFonts w:ascii="Arial" w:hAnsi="Arial" w:cs="Arial"/>
          <w:sz w:val="20"/>
        </w:rPr>
        <w:t>Upon expiration of its validity, the authorisation shall be renewed for another 5 years subject</w:t>
      </w:r>
      <w:r w:rsidRPr="006B618F">
        <w:rPr>
          <w:rFonts w:ascii="Arial" w:hAnsi="Arial" w:cs="Arial"/>
          <w:spacing w:val="1"/>
          <w:sz w:val="20"/>
        </w:rPr>
        <w:t xml:space="preserve"> </w:t>
      </w:r>
      <w:r w:rsidRPr="006B618F">
        <w:rPr>
          <w:rFonts w:ascii="Arial" w:hAnsi="Arial" w:cs="Arial"/>
          <w:sz w:val="20"/>
        </w:rPr>
        <w:t>to</w:t>
      </w:r>
      <w:r w:rsidRPr="006B618F">
        <w:rPr>
          <w:rFonts w:ascii="Arial" w:hAnsi="Arial" w:cs="Arial"/>
          <w:spacing w:val="-1"/>
          <w:sz w:val="20"/>
        </w:rPr>
        <w:t xml:space="preserve"> </w:t>
      </w:r>
      <w:r w:rsidRPr="006B618F">
        <w:rPr>
          <w:rFonts w:ascii="Arial" w:hAnsi="Arial" w:cs="Arial"/>
          <w:sz w:val="20"/>
        </w:rPr>
        <w:t>a</w:t>
      </w:r>
      <w:r w:rsidRPr="006B618F">
        <w:rPr>
          <w:rFonts w:ascii="Arial" w:hAnsi="Arial" w:cs="Arial"/>
          <w:spacing w:val="-3"/>
          <w:sz w:val="20"/>
        </w:rPr>
        <w:t xml:space="preserve"> </w:t>
      </w:r>
      <w:r w:rsidRPr="006B618F">
        <w:rPr>
          <w:rFonts w:ascii="Arial" w:hAnsi="Arial" w:cs="Arial"/>
          <w:sz w:val="20"/>
        </w:rPr>
        <w:t>new</w:t>
      </w:r>
      <w:r w:rsidRPr="006B618F">
        <w:rPr>
          <w:rFonts w:ascii="Arial" w:hAnsi="Arial" w:cs="Arial"/>
          <w:spacing w:val="-3"/>
          <w:sz w:val="20"/>
        </w:rPr>
        <w:t xml:space="preserve"> </w:t>
      </w:r>
      <w:r w:rsidRPr="006B618F">
        <w:rPr>
          <w:rFonts w:ascii="Arial" w:hAnsi="Arial" w:cs="Arial"/>
          <w:sz w:val="20"/>
        </w:rPr>
        <w:t>compliance with</w:t>
      </w:r>
      <w:r w:rsidRPr="006B618F">
        <w:rPr>
          <w:rFonts w:ascii="Arial" w:hAnsi="Arial" w:cs="Arial"/>
          <w:spacing w:val="-4"/>
          <w:sz w:val="20"/>
        </w:rPr>
        <w:t xml:space="preserve"> </w:t>
      </w:r>
      <w:r w:rsidRPr="006B618F">
        <w:rPr>
          <w:rFonts w:ascii="Arial" w:hAnsi="Arial" w:cs="Arial"/>
          <w:sz w:val="20"/>
        </w:rPr>
        <w:t>points (d)(1)</w:t>
      </w:r>
      <w:r w:rsidRPr="006B618F">
        <w:rPr>
          <w:rFonts w:ascii="Arial" w:hAnsi="Arial" w:cs="Arial"/>
          <w:spacing w:val="-3"/>
          <w:sz w:val="20"/>
        </w:rPr>
        <w:t xml:space="preserve"> </w:t>
      </w:r>
      <w:r w:rsidRPr="006B618F">
        <w:rPr>
          <w:rFonts w:ascii="Arial" w:hAnsi="Arial" w:cs="Arial"/>
          <w:sz w:val="20"/>
        </w:rPr>
        <w:t>and</w:t>
      </w:r>
      <w:r w:rsidRPr="006B618F">
        <w:rPr>
          <w:rFonts w:ascii="Arial" w:hAnsi="Arial" w:cs="Arial"/>
          <w:spacing w:val="-2"/>
          <w:sz w:val="20"/>
        </w:rPr>
        <w:t xml:space="preserve"> </w:t>
      </w:r>
      <w:r w:rsidRPr="006B618F">
        <w:rPr>
          <w:rFonts w:ascii="Arial" w:hAnsi="Arial" w:cs="Arial"/>
          <w:sz w:val="20"/>
        </w:rPr>
        <w:t>(d)(2).</w:t>
      </w:r>
      <w:r w:rsidRPr="006B618F">
        <w:rPr>
          <w:rFonts w:ascii="Arial" w:hAnsi="Arial" w:cs="Arial"/>
          <w:spacing w:val="-1"/>
          <w:sz w:val="20"/>
        </w:rPr>
        <w:t xml:space="preserve"> </w:t>
      </w:r>
      <w:r w:rsidRPr="006B618F">
        <w:rPr>
          <w:rFonts w:ascii="Arial" w:hAnsi="Arial" w:cs="Arial"/>
          <w:sz w:val="20"/>
        </w:rPr>
        <w:t>There is</w:t>
      </w:r>
      <w:r w:rsidRPr="006B618F">
        <w:rPr>
          <w:rFonts w:ascii="Arial" w:hAnsi="Arial" w:cs="Arial"/>
          <w:spacing w:val="-2"/>
          <w:sz w:val="20"/>
        </w:rPr>
        <w:t xml:space="preserve"> </w:t>
      </w:r>
      <w:r w:rsidRPr="006B618F">
        <w:rPr>
          <w:rFonts w:ascii="Arial" w:hAnsi="Arial" w:cs="Arial"/>
          <w:sz w:val="20"/>
        </w:rPr>
        <w:t>no limit</w:t>
      </w:r>
      <w:r w:rsidRPr="006B618F">
        <w:rPr>
          <w:rFonts w:ascii="Arial" w:hAnsi="Arial" w:cs="Arial"/>
          <w:spacing w:val="-3"/>
          <w:sz w:val="20"/>
        </w:rPr>
        <w:t xml:space="preserve"> </w:t>
      </w:r>
      <w:r w:rsidRPr="006B618F">
        <w:rPr>
          <w:rFonts w:ascii="Arial" w:hAnsi="Arial" w:cs="Arial"/>
          <w:sz w:val="20"/>
        </w:rPr>
        <w:t>to</w:t>
      </w:r>
      <w:r w:rsidRPr="006B618F">
        <w:rPr>
          <w:rFonts w:ascii="Arial" w:hAnsi="Arial" w:cs="Arial"/>
          <w:spacing w:val="-2"/>
          <w:sz w:val="20"/>
        </w:rPr>
        <w:t xml:space="preserve"> </w:t>
      </w:r>
      <w:r w:rsidRPr="006B618F">
        <w:rPr>
          <w:rFonts w:ascii="Arial" w:hAnsi="Arial" w:cs="Arial"/>
          <w:sz w:val="20"/>
        </w:rPr>
        <w:t>the number</w:t>
      </w:r>
      <w:r w:rsidRPr="006B618F">
        <w:rPr>
          <w:rFonts w:ascii="Arial" w:hAnsi="Arial" w:cs="Arial"/>
          <w:spacing w:val="-1"/>
          <w:sz w:val="20"/>
        </w:rPr>
        <w:t xml:space="preserve"> </w:t>
      </w:r>
      <w:r w:rsidRPr="006B618F">
        <w:rPr>
          <w:rFonts w:ascii="Arial" w:hAnsi="Arial" w:cs="Arial"/>
          <w:sz w:val="20"/>
        </w:rPr>
        <w:t>of</w:t>
      </w:r>
      <w:r w:rsidRPr="006B618F">
        <w:rPr>
          <w:rFonts w:ascii="Arial" w:hAnsi="Arial" w:cs="Arial"/>
          <w:spacing w:val="-4"/>
          <w:sz w:val="20"/>
        </w:rPr>
        <w:t xml:space="preserve"> </w:t>
      </w:r>
      <w:r w:rsidRPr="006B618F">
        <w:rPr>
          <w:rFonts w:ascii="Arial" w:hAnsi="Arial" w:cs="Arial"/>
          <w:sz w:val="20"/>
        </w:rPr>
        <w:t>renewals.</w:t>
      </w:r>
    </w:p>
    <w:p w14:paraId="0078F66F" w14:textId="77777777" w:rsidR="006B618F" w:rsidRPr="006B618F" w:rsidRDefault="006B618F" w:rsidP="00427817">
      <w:pPr>
        <w:spacing w:before="121"/>
        <w:ind w:left="567" w:right="44"/>
        <w:jc w:val="both"/>
        <w:rPr>
          <w:rFonts w:ascii="Arial" w:hAnsi="Arial" w:cs="Arial"/>
          <w:sz w:val="20"/>
        </w:rPr>
      </w:pPr>
      <w:r w:rsidRPr="006B618F">
        <w:rPr>
          <w:rFonts w:ascii="Arial" w:hAnsi="Arial" w:cs="Arial"/>
          <w:sz w:val="20"/>
        </w:rPr>
        <w:t>The holder of the authorisation shall keep records of all the airworthiness reviews performed</w:t>
      </w:r>
      <w:r w:rsidRPr="006B618F">
        <w:rPr>
          <w:rFonts w:ascii="Arial" w:hAnsi="Arial" w:cs="Arial"/>
          <w:spacing w:val="1"/>
          <w:sz w:val="20"/>
        </w:rPr>
        <w:t xml:space="preserve"> </w:t>
      </w:r>
      <w:r w:rsidRPr="006B618F">
        <w:rPr>
          <w:rFonts w:ascii="Arial" w:hAnsi="Arial" w:cs="Arial"/>
          <w:sz w:val="20"/>
        </w:rPr>
        <w:t>and shall make them available, upon request, to any competent authority and to any aircraft</w:t>
      </w:r>
      <w:r w:rsidRPr="006B618F">
        <w:rPr>
          <w:rFonts w:ascii="Arial" w:hAnsi="Arial" w:cs="Arial"/>
          <w:spacing w:val="1"/>
          <w:sz w:val="20"/>
        </w:rPr>
        <w:t xml:space="preserve"> </w:t>
      </w:r>
      <w:r w:rsidRPr="006B618F">
        <w:rPr>
          <w:rFonts w:ascii="Arial" w:hAnsi="Arial" w:cs="Arial"/>
          <w:sz w:val="20"/>
        </w:rPr>
        <w:t>owner</w:t>
      </w:r>
      <w:r w:rsidRPr="006B618F">
        <w:rPr>
          <w:rFonts w:ascii="Arial" w:hAnsi="Arial" w:cs="Arial"/>
          <w:spacing w:val="-4"/>
          <w:sz w:val="20"/>
        </w:rPr>
        <w:t xml:space="preserve"> </w:t>
      </w:r>
      <w:r w:rsidRPr="006B618F">
        <w:rPr>
          <w:rFonts w:ascii="Arial" w:hAnsi="Arial" w:cs="Arial"/>
          <w:sz w:val="20"/>
        </w:rPr>
        <w:t>for</w:t>
      </w:r>
      <w:r w:rsidRPr="006B618F">
        <w:rPr>
          <w:rFonts w:ascii="Arial" w:hAnsi="Arial" w:cs="Arial"/>
          <w:spacing w:val="-3"/>
          <w:sz w:val="20"/>
        </w:rPr>
        <w:t xml:space="preserve"> </w:t>
      </w:r>
      <w:r w:rsidRPr="006B618F">
        <w:rPr>
          <w:rFonts w:ascii="Arial" w:hAnsi="Arial" w:cs="Arial"/>
          <w:sz w:val="20"/>
        </w:rPr>
        <w:t>whom</w:t>
      </w:r>
      <w:r w:rsidRPr="006B618F">
        <w:rPr>
          <w:rFonts w:ascii="Arial" w:hAnsi="Arial" w:cs="Arial"/>
          <w:spacing w:val="-2"/>
          <w:sz w:val="20"/>
        </w:rPr>
        <w:t xml:space="preserve"> </w:t>
      </w:r>
      <w:r w:rsidRPr="006B618F">
        <w:rPr>
          <w:rFonts w:ascii="Arial" w:hAnsi="Arial" w:cs="Arial"/>
          <w:sz w:val="20"/>
        </w:rPr>
        <w:t>they are</w:t>
      </w:r>
      <w:r w:rsidRPr="006B618F">
        <w:rPr>
          <w:rFonts w:ascii="Arial" w:hAnsi="Arial" w:cs="Arial"/>
          <w:spacing w:val="-2"/>
          <w:sz w:val="20"/>
        </w:rPr>
        <w:t xml:space="preserve"> </w:t>
      </w:r>
      <w:r w:rsidRPr="006B618F">
        <w:rPr>
          <w:rFonts w:ascii="Arial" w:hAnsi="Arial" w:cs="Arial"/>
          <w:sz w:val="20"/>
        </w:rPr>
        <w:t>performing</w:t>
      </w:r>
      <w:r w:rsidRPr="006B618F">
        <w:rPr>
          <w:rFonts w:ascii="Arial" w:hAnsi="Arial" w:cs="Arial"/>
          <w:spacing w:val="-1"/>
          <w:sz w:val="20"/>
        </w:rPr>
        <w:t xml:space="preserve"> </w:t>
      </w:r>
      <w:r w:rsidRPr="006B618F">
        <w:rPr>
          <w:rFonts w:ascii="Arial" w:hAnsi="Arial" w:cs="Arial"/>
          <w:sz w:val="20"/>
        </w:rPr>
        <w:t>an airworthiness</w:t>
      </w:r>
      <w:r w:rsidRPr="006B618F">
        <w:rPr>
          <w:rFonts w:ascii="Arial" w:hAnsi="Arial" w:cs="Arial"/>
          <w:spacing w:val="-2"/>
          <w:sz w:val="20"/>
        </w:rPr>
        <w:t xml:space="preserve"> </w:t>
      </w:r>
      <w:r w:rsidRPr="006B618F">
        <w:rPr>
          <w:rFonts w:ascii="Arial" w:hAnsi="Arial" w:cs="Arial"/>
          <w:sz w:val="20"/>
        </w:rPr>
        <w:t>review.</w:t>
      </w:r>
    </w:p>
    <w:p w14:paraId="3B92BA8B" w14:textId="4D6434CB" w:rsidR="006B618F" w:rsidRPr="006B618F" w:rsidRDefault="006B618F" w:rsidP="00427817">
      <w:pPr>
        <w:spacing w:before="118"/>
        <w:ind w:left="567" w:right="44"/>
        <w:jc w:val="both"/>
        <w:rPr>
          <w:rFonts w:ascii="Arial" w:hAnsi="Arial" w:cs="Arial"/>
          <w:sz w:val="20"/>
        </w:rPr>
      </w:pPr>
      <w:r w:rsidRPr="006B618F">
        <w:rPr>
          <w:rFonts w:ascii="Arial" w:hAnsi="Arial" w:cs="Arial"/>
          <w:sz w:val="20"/>
        </w:rPr>
        <w:t xml:space="preserve">This authorisation may be revoked by the </w:t>
      </w:r>
      <w:r w:rsidR="004E22F1">
        <w:rPr>
          <w:rFonts w:ascii="Arial" w:hAnsi="Arial" w:cs="Arial"/>
          <w:sz w:val="20"/>
          <w:szCs w:val="20"/>
        </w:rPr>
        <w:t xml:space="preserve">CAC RA </w:t>
      </w:r>
      <w:r w:rsidRPr="006B618F">
        <w:rPr>
          <w:rFonts w:ascii="Arial" w:hAnsi="Arial" w:cs="Arial"/>
          <w:sz w:val="20"/>
        </w:rPr>
        <w:t>at any time if it is not satisfied</w:t>
      </w:r>
      <w:r w:rsidRPr="006B618F">
        <w:rPr>
          <w:rFonts w:ascii="Arial" w:hAnsi="Arial" w:cs="Arial"/>
          <w:spacing w:val="1"/>
          <w:sz w:val="20"/>
        </w:rPr>
        <w:t xml:space="preserve"> </w:t>
      </w:r>
      <w:r w:rsidRPr="006B618F">
        <w:rPr>
          <w:rFonts w:ascii="Arial" w:hAnsi="Arial" w:cs="Arial"/>
          <w:sz w:val="20"/>
        </w:rPr>
        <w:t>with the</w:t>
      </w:r>
      <w:r w:rsidRPr="006B618F">
        <w:rPr>
          <w:rFonts w:ascii="Arial" w:hAnsi="Arial" w:cs="Arial"/>
          <w:spacing w:val="-2"/>
          <w:sz w:val="20"/>
        </w:rPr>
        <w:t xml:space="preserve"> </w:t>
      </w:r>
      <w:r w:rsidRPr="006B618F">
        <w:rPr>
          <w:rFonts w:ascii="Arial" w:hAnsi="Arial" w:cs="Arial"/>
          <w:sz w:val="20"/>
        </w:rPr>
        <w:t>competence</w:t>
      </w:r>
      <w:r w:rsidRPr="006B618F">
        <w:rPr>
          <w:rFonts w:ascii="Arial" w:hAnsi="Arial" w:cs="Arial"/>
          <w:spacing w:val="-2"/>
          <w:sz w:val="20"/>
        </w:rPr>
        <w:t xml:space="preserve"> </w:t>
      </w:r>
      <w:r w:rsidRPr="006B618F">
        <w:rPr>
          <w:rFonts w:ascii="Arial" w:hAnsi="Arial" w:cs="Arial"/>
          <w:sz w:val="20"/>
        </w:rPr>
        <w:t>of the</w:t>
      </w:r>
      <w:r w:rsidRPr="006B618F">
        <w:rPr>
          <w:rFonts w:ascii="Arial" w:hAnsi="Arial" w:cs="Arial"/>
          <w:spacing w:val="1"/>
          <w:sz w:val="20"/>
        </w:rPr>
        <w:t xml:space="preserve"> </w:t>
      </w:r>
      <w:r w:rsidRPr="006B618F">
        <w:rPr>
          <w:rFonts w:ascii="Arial" w:hAnsi="Arial" w:cs="Arial"/>
          <w:sz w:val="20"/>
        </w:rPr>
        <w:t>holder</w:t>
      </w:r>
      <w:r w:rsidRPr="006B618F">
        <w:rPr>
          <w:rFonts w:ascii="Arial" w:hAnsi="Arial" w:cs="Arial"/>
          <w:spacing w:val="-2"/>
          <w:sz w:val="20"/>
        </w:rPr>
        <w:t xml:space="preserve"> </w:t>
      </w:r>
      <w:r w:rsidRPr="006B618F">
        <w:rPr>
          <w:rFonts w:ascii="Arial" w:hAnsi="Arial" w:cs="Arial"/>
          <w:sz w:val="20"/>
        </w:rPr>
        <w:t>or</w:t>
      </w:r>
      <w:r w:rsidRPr="006B618F">
        <w:rPr>
          <w:rFonts w:ascii="Arial" w:hAnsi="Arial" w:cs="Arial"/>
          <w:spacing w:val="-3"/>
          <w:sz w:val="20"/>
        </w:rPr>
        <w:t xml:space="preserve"> </w:t>
      </w:r>
      <w:r w:rsidRPr="006B618F">
        <w:rPr>
          <w:rFonts w:ascii="Arial" w:hAnsi="Arial" w:cs="Arial"/>
          <w:sz w:val="20"/>
        </w:rPr>
        <w:t>with</w:t>
      </w:r>
      <w:r w:rsidRPr="006B618F">
        <w:rPr>
          <w:rFonts w:ascii="Arial" w:hAnsi="Arial" w:cs="Arial"/>
          <w:spacing w:val="-3"/>
          <w:sz w:val="20"/>
        </w:rPr>
        <w:t xml:space="preserve"> </w:t>
      </w:r>
      <w:r w:rsidRPr="006B618F">
        <w:rPr>
          <w:rFonts w:ascii="Arial" w:hAnsi="Arial" w:cs="Arial"/>
          <w:sz w:val="20"/>
        </w:rPr>
        <w:t>the use</w:t>
      </w:r>
      <w:r w:rsidRPr="006B618F">
        <w:rPr>
          <w:rFonts w:ascii="Arial" w:hAnsi="Arial" w:cs="Arial"/>
          <w:spacing w:val="-2"/>
          <w:sz w:val="20"/>
        </w:rPr>
        <w:t xml:space="preserve"> </w:t>
      </w:r>
      <w:r w:rsidRPr="006B618F">
        <w:rPr>
          <w:rFonts w:ascii="Arial" w:hAnsi="Arial" w:cs="Arial"/>
          <w:sz w:val="20"/>
        </w:rPr>
        <w:t>of</w:t>
      </w:r>
      <w:r w:rsidRPr="006B618F">
        <w:rPr>
          <w:rFonts w:ascii="Arial" w:hAnsi="Arial" w:cs="Arial"/>
          <w:spacing w:val="-2"/>
          <w:sz w:val="20"/>
        </w:rPr>
        <w:t xml:space="preserve"> </w:t>
      </w:r>
      <w:r w:rsidRPr="006B618F">
        <w:rPr>
          <w:rFonts w:ascii="Arial" w:hAnsi="Arial" w:cs="Arial"/>
          <w:sz w:val="20"/>
        </w:rPr>
        <w:t>such</w:t>
      </w:r>
      <w:r w:rsidRPr="006B618F">
        <w:rPr>
          <w:rFonts w:ascii="Arial" w:hAnsi="Arial" w:cs="Arial"/>
          <w:spacing w:val="-1"/>
          <w:sz w:val="20"/>
        </w:rPr>
        <w:t xml:space="preserve"> </w:t>
      </w:r>
      <w:r w:rsidRPr="006B618F">
        <w:rPr>
          <w:rFonts w:ascii="Arial" w:hAnsi="Arial" w:cs="Arial"/>
          <w:sz w:val="20"/>
        </w:rPr>
        <w:t>an authorisation.</w:t>
      </w:r>
    </w:p>
    <w:p w14:paraId="070B4583" w14:textId="77777777" w:rsidR="006B618F" w:rsidRPr="006B618F" w:rsidRDefault="006B618F" w:rsidP="006B618F">
      <w:pPr>
        <w:keepNext/>
        <w:keepLines/>
        <w:widowControl/>
        <w:shd w:val="clear" w:color="auto" w:fill="339966"/>
        <w:autoSpaceDE/>
        <w:autoSpaceDN/>
        <w:spacing w:before="160" w:after="120" w:line="259" w:lineRule="auto"/>
        <w:outlineLvl w:val="4"/>
        <w:rPr>
          <w:rFonts w:ascii="Arial" w:eastAsia="Times New Roman" w:hAnsi="Arial" w:cs="Times New Roman"/>
          <w:b/>
          <w:color w:val="FFFFFF"/>
          <w:sz w:val="24"/>
        </w:rPr>
      </w:pPr>
      <w:bookmarkStart w:id="927" w:name="GM1_ML.A.904(c);(d)__Qualification_of_ai"/>
      <w:bookmarkStart w:id="928" w:name="_bookmark393"/>
      <w:bookmarkStart w:id="929" w:name="_Toc153137558"/>
      <w:bookmarkEnd w:id="927"/>
      <w:bookmarkEnd w:id="928"/>
      <w:r w:rsidRPr="006B618F">
        <w:rPr>
          <w:rFonts w:ascii="Arial" w:eastAsia="Times New Roman" w:hAnsi="Arial" w:cs="Times New Roman"/>
          <w:b/>
          <w:color w:val="FFFFFF"/>
          <w:sz w:val="24"/>
        </w:rPr>
        <w:t>GM1 ML.A.904(c);(d) Qualification of airworthiness review staff</w:t>
      </w:r>
      <w:bookmarkEnd w:id="929"/>
    </w:p>
    <w:p w14:paraId="56765774" w14:textId="77777777" w:rsidR="00033A3A" w:rsidRPr="00033A3A" w:rsidRDefault="00033A3A" w:rsidP="00033A3A">
      <w:pPr>
        <w:widowControl/>
        <w:autoSpaceDE/>
        <w:autoSpaceDN/>
        <w:spacing w:before="240" w:after="160" w:line="264" w:lineRule="auto"/>
        <w:jc w:val="both"/>
        <w:rPr>
          <w:rFonts w:ascii="Arial" w:eastAsiaTheme="minorHAnsi" w:hAnsi="Arial" w:cs="Arial"/>
          <w:b/>
          <w:bCs/>
          <w:sz w:val="20"/>
          <w:szCs w:val="20"/>
        </w:rPr>
      </w:pPr>
      <w:r w:rsidRPr="00033A3A">
        <w:rPr>
          <w:rFonts w:ascii="Arial" w:eastAsiaTheme="minorHAnsi" w:hAnsi="Arial" w:cs="Arial"/>
          <w:b/>
          <w:bCs/>
          <w:sz w:val="20"/>
          <w:szCs w:val="20"/>
        </w:rPr>
        <w:t>AR BY INDEPENDENT CERTIFYING STAFF</w:t>
      </w:r>
    </w:p>
    <w:p w14:paraId="1505E512" w14:textId="77777777" w:rsidR="00033A3A" w:rsidRPr="00033A3A" w:rsidRDefault="00033A3A" w:rsidP="00033A3A">
      <w:pPr>
        <w:numPr>
          <w:ilvl w:val="0"/>
          <w:numId w:val="330"/>
        </w:numPr>
        <w:tabs>
          <w:tab w:val="left" w:pos="1273"/>
          <w:tab w:val="left" w:pos="1274"/>
        </w:tabs>
        <w:jc w:val="both"/>
        <w:rPr>
          <w:rFonts w:ascii="Arial" w:hAnsi="Arial" w:cs="Arial"/>
          <w:sz w:val="20"/>
        </w:rPr>
      </w:pPr>
      <w:r w:rsidRPr="00033A3A">
        <w:rPr>
          <w:rFonts w:ascii="Arial" w:hAnsi="Arial" w:cs="Arial"/>
          <w:sz w:val="20"/>
        </w:rPr>
        <w:t>ML.A.904(c) and (d) refer to the independent certifying staff. The terms ‘corresponding aircraft’ or ‘particular aircraft’ mean that the person meets at the time of the AR the certifying staff requirements for the aircraft subject to the AR.</w:t>
      </w:r>
    </w:p>
    <w:p w14:paraId="1E31948B" w14:textId="1F3AD36B" w:rsidR="006B618F" w:rsidRPr="006F527A" w:rsidRDefault="00033A3A" w:rsidP="007C33E3">
      <w:pPr>
        <w:numPr>
          <w:ilvl w:val="0"/>
          <w:numId w:val="330"/>
        </w:numPr>
        <w:tabs>
          <w:tab w:val="left" w:pos="1273"/>
          <w:tab w:val="left" w:pos="1274"/>
        </w:tabs>
        <w:jc w:val="both"/>
        <w:rPr>
          <w:rFonts w:ascii="Arial" w:hAnsi="Arial" w:cs="Arial"/>
          <w:sz w:val="20"/>
        </w:rPr>
      </w:pPr>
      <w:r w:rsidRPr="00033A3A">
        <w:rPr>
          <w:rFonts w:ascii="Arial" w:hAnsi="Arial" w:cs="Arial"/>
          <w:sz w:val="20"/>
        </w:rPr>
        <w:t xml:space="preserve">The authorisation issued to the certifying staff by the </w:t>
      </w:r>
      <w:r w:rsidR="004E22F1">
        <w:rPr>
          <w:rFonts w:ascii="Arial" w:hAnsi="Arial" w:cs="Arial"/>
          <w:sz w:val="20"/>
          <w:szCs w:val="20"/>
        </w:rPr>
        <w:t xml:space="preserve">CAC RA </w:t>
      </w:r>
      <w:r w:rsidRPr="00033A3A">
        <w:rPr>
          <w:rFonts w:ascii="Arial" w:hAnsi="Arial" w:cs="Arial"/>
          <w:sz w:val="20"/>
        </w:rPr>
        <w:t xml:space="preserve">is only granted after assessment of the knowledge required in point (d)(1) and after the satisfactory performance of an AR under supervision of the </w:t>
      </w:r>
      <w:r w:rsidR="004E22F1">
        <w:rPr>
          <w:rFonts w:ascii="Arial" w:hAnsi="Arial" w:cs="Arial"/>
          <w:sz w:val="20"/>
          <w:szCs w:val="20"/>
        </w:rPr>
        <w:t xml:space="preserve">CAC RA </w:t>
      </w:r>
      <w:r w:rsidRPr="00033A3A">
        <w:rPr>
          <w:rFonts w:ascii="Arial" w:hAnsi="Arial" w:cs="Arial"/>
          <w:sz w:val="20"/>
        </w:rPr>
        <w:t>(point (d)(2)).</w:t>
      </w:r>
    </w:p>
    <w:p w14:paraId="6F1C6A64" w14:textId="77777777" w:rsidR="006F527A" w:rsidRPr="006F527A" w:rsidRDefault="006F527A" w:rsidP="006F527A">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930" w:name="ML.A.905_Transfer_of_aircraft_registrati"/>
      <w:bookmarkStart w:id="931" w:name="_bookmark394"/>
      <w:bookmarkStart w:id="932" w:name="_Toc153137559"/>
      <w:bookmarkEnd w:id="930"/>
      <w:bookmarkEnd w:id="931"/>
      <w:r w:rsidRPr="006F527A">
        <w:rPr>
          <w:rFonts w:ascii="Arial" w:eastAsia="Times New Roman" w:hAnsi="Arial" w:cs="Times New Roman"/>
          <w:b/>
          <w:iCs/>
          <w:color w:val="FFFFFF"/>
          <w:sz w:val="24"/>
        </w:rPr>
        <w:t>ML.A.905 Transfer of aircraft registration within the Union</w:t>
      </w:r>
      <w:bookmarkEnd w:id="932"/>
    </w:p>
    <w:p w14:paraId="302A6CA0" w14:textId="77777777" w:rsidR="006F527A" w:rsidRPr="006F527A" w:rsidRDefault="006F527A" w:rsidP="00D4399A">
      <w:pPr>
        <w:numPr>
          <w:ilvl w:val="0"/>
          <w:numId w:val="331"/>
        </w:numPr>
        <w:tabs>
          <w:tab w:val="left" w:pos="707"/>
        </w:tabs>
        <w:spacing w:before="120"/>
        <w:ind w:right="44"/>
        <w:jc w:val="both"/>
        <w:rPr>
          <w:rFonts w:ascii="Arial" w:hAnsi="Arial" w:cs="Arial"/>
          <w:sz w:val="20"/>
        </w:rPr>
      </w:pPr>
      <w:r w:rsidRPr="006F527A">
        <w:rPr>
          <w:rFonts w:ascii="Arial" w:hAnsi="Arial" w:cs="Arial"/>
          <w:sz w:val="20"/>
        </w:rPr>
        <w:t>When</w:t>
      </w:r>
      <w:r w:rsidRPr="006F527A">
        <w:rPr>
          <w:rFonts w:ascii="Arial" w:hAnsi="Arial" w:cs="Arial"/>
          <w:spacing w:val="-3"/>
          <w:sz w:val="20"/>
        </w:rPr>
        <w:t xml:space="preserve"> </w:t>
      </w:r>
      <w:r w:rsidRPr="006F527A">
        <w:rPr>
          <w:rFonts w:ascii="Arial" w:hAnsi="Arial" w:cs="Arial"/>
          <w:sz w:val="20"/>
        </w:rPr>
        <w:t>transferring</w:t>
      </w:r>
      <w:r w:rsidRPr="006F527A">
        <w:rPr>
          <w:rFonts w:ascii="Arial" w:hAnsi="Arial" w:cs="Arial"/>
          <w:spacing w:val="-2"/>
          <w:sz w:val="20"/>
        </w:rPr>
        <w:t xml:space="preserve"> </w:t>
      </w:r>
      <w:r w:rsidRPr="006F527A">
        <w:rPr>
          <w:rFonts w:ascii="Arial" w:hAnsi="Arial" w:cs="Arial"/>
          <w:sz w:val="20"/>
        </w:rPr>
        <w:t>an</w:t>
      </w:r>
      <w:r w:rsidRPr="006F527A">
        <w:rPr>
          <w:rFonts w:ascii="Arial" w:hAnsi="Arial" w:cs="Arial"/>
          <w:spacing w:val="-1"/>
          <w:sz w:val="20"/>
        </w:rPr>
        <w:t xml:space="preserve"> </w:t>
      </w:r>
      <w:r w:rsidRPr="006F527A">
        <w:rPr>
          <w:rFonts w:ascii="Arial" w:hAnsi="Arial" w:cs="Arial"/>
          <w:sz w:val="20"/>
        </w:rPr>
        <w:t>aircraft</w:t>
      </w:r>
      <w:r w:rsidRPr="006F527A">
        <w:rPr>
          <w:rFonts w:ascii="Arial" w:hAnsi="Arial" w:cs="Arial"/>
          <w:spacing w:val="-1"/>
          <w:sz w:val="20"/>
        </w:rPr>
        <w:t xml:space="preserve"> </w:t>
      </w:r>
      <w:r w:rsidRPr="006F527A">
        <w:rPr>
          <w:rFonts w:ascii="Arial" w:hAnsi="Arial" w:cs="Arial"/>
          <w:sz w:val="20"/>
        </w:rPr>
        <w:t>registration</w:t>
      </w:r>
      <w:r w:rsidRPr="006F527A">
        <w:rPr>
          <w:rFonts w:ascii="Arial" w:hAnsi="Arial" w:cs="Arial"/>
          <w:spacing w:val="-5"/>
          <w:sz w:val="20"/>
        </w:rPr>
        <w:t xml:space="preserve"> </w:t>
      </w:r>
      <w:r w:rsidRPr="006F527A">
        <w:rPr>
          <w:rFonts w:ascii="Arial" w:hAnsi="Arial" w:cs="Arial"/>
          <w:sz w:val="20"/>
        </w:rPr>
        <w:t>within</w:t>
      </w:r>
      <w:r w:rsidRPr="006F527A">
        <w:rPr>
          <w:rFonts w:ascii="Arial" w:hAnsi="Arial" w:cs="Arial"/>
          <w:spacing w:val="-2"/>
          <w:sz w:val="20"/>
        </w:rPr>
        <w:t xml:space="preserve"> </w:t>
      </w:r>
      <w:r w:rsidRPr="006F527A">
        <w:rPr>
          <w:rFonts w:ascii="Arial" w:hAnsi="Arial" w:cs="Arial"/>
          <w:sz w:val="20"/>
        </w:rPr>
        <w:t>the</w:t>
      </w:r>
      <w:r w:rsidRPr="006F527A">
        <w:rPr>
          <w:rFonts w:ascii="Arial" w:hAnsi="Arial" w:cs="Arial"/>
          <w:spacing w:val="-3"/>
          <w:sz w:val="20"/>
        </w:rPr>
        <w:t xml:space="preserve"> </w:t>
      </w:r>
      <w:r w:rsidRPr="006F527A">
        <w:rPr>
          <w:rFonts w:ascii="Arial" w:hAnsi="Arial" w:cs="Arial"/>
          <w:sz w:val="20"/>
        </w:rPr>
        <w:t>Union,</w:t>
      </w:r>
      <w:r w:rsidRPr="006F527A">
        <w:rPr>
          <w:rFonts w:ascii="Arial" w:hAnsi="Arial" w:cs="Arial"/>
          <w:spacing w:val="-2"/>
          <w:sz w:val="20"/>
        </w:rPr>
        <w:t xml:space="preserve"> </w:t>
      </w:r>
      <w:r w:rsidRPr="006F527A">
        <w:rPr>
          <w:rFonts w:ascii="Arial" w:hAnsi="Arial" w:cs="Arial"/>
          <w:sz w:val="20"/>
        </w:rPr>
        <w:t>the</w:t>
      </w:r>
      <w:r w:rsidRPr="006F527A">
        <w:rPr>
          <w:rFonts w:ascii="Arial" w:hAnsi="Arial" w:cs="Arial"/>
          <w:spacing w:val="-3"/>
          <w:sz w:val="20"/>
        </w:rPr>
        <w:t xml:space="preserve"> </w:t>
      </w:r>
      <w:r w:rsidRPr="006F527A">
        <w:rPr>
          <w:rFonts w:ascii="Arial" w:hAnsi="Arial" w:cs="Arial"/>
          <w:sz w:val="20"/>
        </w:rPr>
        <w:t>applicant</w:t>
      </w:r>
      <w:r w:rsidRPr="006F527A">
        <w:rPr>
          <w:rFonts w:ascii="Arial" w:hAnsi="Arial" w:cs="Arial"/>
          <w:spacing w:val="-1"/>
          <w:sz w:val="20"/>
        </w:rPr>
        <w:t xml:space="preserve"> </w:t>
      </w:r>
      <w:r w:rsidRPr="006F527A">
        <w:rPr>
          <w:rFonts w:ascii="Arial" w:hAnsi="Arial" w:cs="Arial"/>
          <w:sz w:val="20"/>
        </w:rPr>
        <w:t>shall:</w:t>
      </w:r>
    </w:p>
    <w:p w14:paraId="6695F7FC" w14:textId="77777777" w:rsidR="006F527A" w:rsidRPr="006F527A" w:rsidRDefault="006F527A" w:rsidP="00D4399A">
      <w:pPr>
        <w:numPr>
          <w:ilvl w:val="1"/>
          <w:numId w:val="331"/>
        </w:numPr>
        <w:tabs>
          <w:tab w:val="left" w:pos="1274"/>
        </w:tabs>
        <w:spacing w:before="123" w:line="237" w:lineRule="auto"/>
        <w:ind w:right="44"/>
        <w:jc w:val="both"/>
        <w:rPr>
          <w:rFonts w:ascii="Arial" w:hAnsi="Arial" w:cs="Arial"/>
          <w:sz w:val="20"/>
        </w:rPr>
      </w:pPr>
      <w:r w:rsidRPr="006F527A">
        <w:rPr>
          <w:rFonts w:ascii="Arial" w:hAnsi="Arial" w:cs="Arial"/>
          <w:sz w:val="20"/>
        </w:rPr>
        <w:t>first,</w:t>
      </w:r>
      <w:r w:rsidRPr="006F527A">
        <w:rPr>
          <w:rFonts w:ascii="Arial" w:hAnsi="Arial" w:cs="Arial"/>
          <w:spacing w:val="-5"/>
          <w:sz w:val="20"/>
        </w:rPr>
        <w:t xml:space="preserve"> </w:t>
      </w:r>
      <w:r w:rsidRPr="006F527A">
        <w:rPr>
          <w:rFonts w:ascii="Arial" w:hAnsi="Arial" w:cs="Arial"/>
          <w:sz w:val="20"/>
        </w:rPr>
        <w:t>provide</w:t>
      </w:r>
      <w:r w:rsidRPr="006F527A">
        <w:rPr>
          <w:rFonts w:ascii="Arial" w:hAnsi="Arial" w:cs="Arial"/>
          <w:spacing w:val="-7"/>
          <w:sz w:val="20"/>
        </w:rPr>
        <w:t xml:space="preserve"> </w:t>
      </w:r>
      <w:r w:rsidRPr="006F527A">
        <w:rPr>
          <w:rFonts w:ascii="Arial" w:hAnsi="Arial" w:cs="Arial"/>
          <w:sz w:val="20"/>
        </w:rPr>
        <w:t>the</w:t>
      </w:r>
      <w:r w:rsidRPr="006F527A">
        <w:rPr>
          <w:rFonts w:ascii="Arial" w:hAnsi="Arial" w:cs="Arial"/>
          <w:spacing w:val="-6"/>
          <w:sz w:val="20"/>
        </w:rPr>
        <w:t xml:space="preserve"> </w:t>
      </w:r>
      <w:r w:rsidRPr="006F527A">
        <w:rPr>
          <w:rFonts w:ascii="Arial" w:hAnsi="Arial" w:cs="Arial"/>
          <w:sz w:val="20"/>
        </w:rPr>
        <w:t>former</w:t>
      </w:r>
      <w:r w:rsidRPr="006F527A">
        <w:rPr>
          <w:rFonts w:ascii="Arial" w:hAnsi="Arial" w:cs="Arial"/>
          <w:spacing w:val="-7"/>
          <w:sz w:val="20"/>
        </w:rPr>
        <w:t xml:space="preserve"> </w:t>
      </w:r>
      <w:r w:rsidRPr="006F527A">
        <w:rPr>
          <w:rFonts w:ascii="Arial" w:hAnsi="Arial" w:cs="Arial"/>
          <w:sz w:val="20"/>
        </w:rPr>
        <w:t>Member</w:t>
      </w:r>
      <w:r w:rsidRPr="006F527A">
        <w:rPr>
          <w:rFonts w:ascii="Arial" w:hAnsi="Arial" w:cs="Arial"/>
          <w:spacing w:val="-8"/>
          <w:sz w:val="20"/>
        </w:rPr>
        <w:t xml:space="preserve"> </w:t>
      </w:r>
      <w:r w:rsidRPr="006F527A">
        <w:rPr>
          <w:rFonts w:ascii="Arial" w:hAnsi="Arial" w:cs="Arial"/>
          <w:sz w:val="20"/>
        </w:rPr>
        <w:t>State</w:t>
      </w:r>
      <w:r w:rsidRPr="006F527A">
        <w:rPr>
          <w:rFonts w:ascii="Arial" w:hAnsi="Arial" w:cs="Arial"/>
          <w:spacing w:val="40"/>
          <w:sz w:val="20"/>
        </w:rPr>
        <w:t xml:space="preserve"> </w:t>
      </w:r>
      <w:r w:rsidRPr="006F527A">
        <w:rPr>
          <w:rFonts w:ascii="Arial" w:hAnsi="Arial" w:cs="Arial"/>
          <w:sz w:val="20"/>
        </w:rPr>
        <w:t>with</w:t>
      </w:r>
      <w:r w:rsidRPr="006F527A">
        <w:rPr>
          <w:rFonts w:ascii="Arial" w:hAnsi="Arial" w:cs="Arial"/>
          <w:spacing w:val="-5"/>
          <w:sz w:val="20"/>
        </w:rPr>
        <w:t xml:space="preserve"> </w:t>
      </w:r>
      <w:r w:rsidRPr="006F527A">
        <w:rPr>
          <w:rFonts w:ascii="Arial" w:hAnsi="Arial" w:cs="Arial"/>
          <w:sz w:val="20"/>
        </w:rPr>
        <w:t>the</w:t>
      </w:r>
      <w:r w:rsidRPr="006F527A">
        <w:rPr>
          <w:rFonts w:ascii="Arial" w:hAnsi="Arial" w:cs="Arial"/>
          <w:spacing w:val="-6"/>
          <w:sz w:val="20"/>
        </w:rPr>
        <w:t xml:space="preserve"> </w:t>
      </w:r>
      <w:r w:rsidRPr="006F527A">
        <w:rPr>
          <w:rFonts w:ascii="Arial" w:hAnsi="Arial" w:cs="Arial"/>
          <w:sz w:val="20"/>
        </w:rPr>
        <w:t>name</w:t>
      </w:r>
      <w:r w:rsidRPr="006F527A">
        <w:rPr>
          <w:rFonts w:ascii="Arial" w:hAnsi="Arial" w:cs="Arial"/>
          <w:spacing w:val="-5"/>
          <w:sz w:val="20"/>
        </w:rPr>
        <w:t xml:space="preserve"> </w:t>
      </w:r>
      <w:r w:rsidRPr="006F527A">
        <w:rPr>
          <w:rFonts w:ascii="Arial" w:hAnsi="Arial" w:cs="Arial"/>
          <w:sz w:val="20"/>
        </w:rPr>
        <w:t>of</w:t>
      </w:r>
      <w:r w:rsidRPr="006F527A">
        <w:rPr>
          <w:rFonts w:ascii="Arial" w:hAnsi="Arial" w:cs="Arial"/>
          <w:spacing w:val="-8"/>
          <w:sz w:val="20"/>
        </w:rPr>
        <w:t xml:space="preserve"> </w:t>
      </w:r>
      <w:r w:rsidRPr="006F527A">
        <w:rPr>
          <w:rFonts w:ascii="Arial" w:hAnsi="Arial" w:cs="Arial"/>
          <w:sz w:val="20"/>
        </w:rPr>
        <w:t>the</w:t>
      </w:r>
      <w:r w:rsidRPr="006F527A">
        <w:rPr>
          <w:rFonts w:ascii="Arial" w:hAnsi="Arial" w:cs="Arial"/>
          <w:spacing w:val="-7"/>
          <w:sz w:val="20"/>
        </w:rPr>
        <w:t xml:space="preserve"> </w:t>
      </w:r>
      <w:r w:rsidRPr="006F527A">
        <w:rPr>
          <w:rFonts w:ascii="Arial" w:hAnsi="Arial" w:cs="Arial"/>
          <w:sz w:val="20"/>
        </w:rPr>
        <w:t>Member</w:t>
      </w:r>
      <w:r w:rsidRPr="006F527A">
        <w:rPr>
          <w:rFonts w:ascii="Arial" w:hAnsi="Arial" w:cs="Arial"/>
          <w:spacing w:val="-5"/>
          <w:sz w:val="20"/>
        </w:rPr>
        <w:t xml:space="preserve"> </w:t>
      </w:r>
      <w:r w:rsidRPr="006F527A">
        <w:rPr>
          <w:rFonts w:ascii="Arial" w:hAnsi="Arial" w:cs="Arial"/>
          <w:sz w:val="20"/>
        </w:rPr>
        <w:t>State</w:t>
      </w:r>
      <w:r w:rsidRPr="006F527A">
        <w:rPr>
          <w:rFonts w:ascii="Arial" w:hAnsi="Arial" w:cs="Arial"/>
          <w:spacing w:val="-7"/>
          <w:sz w:val="20"/>
        </w:rPr>
        <w:t xml:space="preserve"> </w:t>
      </w:r>
      <w:r w:rsidRPr="006F527A">
        <w:rPr>
          <w:rFonts w:ascii="Arial" w:hAnsi="Arial" w:cs="Arial"/>
          <w:sz w:val="20"/>
        </w:rPr>
        <w:t>in</w:t>
      </w:r>
      <w:r w:rsidRPr="006F527A">
        <w:rPr>
          <w:rFonts w:ascii="Arial" w:hAnsi="Arial" w:cs="Arial"/>
          <w:spacing w:val="-6"/>
          <w:sz w:val="20"/>
        </w:rPr>
        <w:t xml:space="preserve"> </w:t>
      </w:r>
      <w:r w:rsidRPr="006F527A">
        <w:rPr>
          <w:rFonts w:ascii="Arial" w:hAnsi="Arial" w:cs="Arial"/>
          <w:sz w:val="20"/>
        </w:rPr>
        <w:t>which</w:t>
      </w:r>
      <w:r w:rsidRPr="006F527A">
        <w:rPr>
          <w:rFonts w:ascii="Arial" w:hAnsi="Arial" w:cs="Arial"/>
          <w:spacing w:val="-6"/>
          <w:sz w:val="20"/>
        </w:rPr>
        <w:t xml:space="preserve"> </w:t>
      </w:r>
      <w:r w:rsidRPr="006F527A">
        <w:rPr>
          <w:rFonts w:ascii="Arial" w:hAnsi="Arial" w:cs="Arial"/>
          <w:sz w:val="20"/>
        </w:rPr>
        <w:t>the</w:t>
      </w:r>
      <w:r w:rsidRPr="006F527A">
        <w:rPr>
          <w:rFonts w:ascii="Arial" w:hAnsi="Arial" w:cs="Arial"/>
          <w:spacing w:val="-47"/>
          <w:sz w:val="20"/>
        </w:rPr>
        <w:t xml:space="preserve"> </w:t>
      </w:r>
      <w:r w:rsidRPr="006F527A">
        <w:rPr>
          <w:rFonts w:ascii="Arial" w:hAnsi="Arial" w:cs="Arial"/>
          <w:sz w:val="20"/>
        </w:rPr>
        <w:t>aircraft</w:t>
      </w:r>
      <w:r w:rsidRPr="006F527A">
        <w:rPr>
          <w:rFonts w:ascii="Arial" w:hAnsi="Arial" w:cs="Arial"/>
          <w:spacing w:val="-3"/>
          <w:sz w:val="20"/>
        </w:rPr>
        <w:t xml:space="preserve"> </w:t>
      </w:r>
      <w:r w:rsidRPr="006F527A">
        <w:rPr>
          <w:rFonts w:ascii="Arial" w:hAnsi="Arial" w:cs="Arial"/>
          <w:sz w:val="20"/>
        </w:rPr>
        <w:t>will be</w:t>
      </w:r>
      <w:r w:rsidRPr="006F527A">
        <w:rPr>
          <w:rFonts w:ascii="Arial" w:hAnsi="Arial" w:cs="Arial"/>
          <w:spacing w:val="1"/>
          <w:sz w:val="20"/>
        </w:rPr>
        <w:t xml:space="preserve"> </w:t>
      </w:r>
      <w:r w:rsidRPr="006F527A">
        <w:rPr>
          <w:rFonts w:ascii="Arial" w:hAnsi="Arial" w:cs="Arial"/>
          <w:sz w:val="20"/>
        </w:rPr>
        <w:t>registered;</w:t>
      </w:r>
    </w:p>
    <w:p w14:paraId="225771CA" w14:textId="2C8F7904" w:rsidR="006F527A" w:rsidRPr="006F527A" w:rsidRDefault="006F527A" w:rsidP="00D4399A">
      <w:pPr>
        <w:numPr>
          <w:ilvl w:val="1"/>
          <w:numId w:val="331"/>
        </w:numPr>
        <w:tabs>
          <w:tab w:val="left" w:pos="1274"/>
        </w:tabs>
        <w:spacing w:before="121"/>
        <w:ind w:right="44"/>
        <w:jc w:val="both"/>
        <w:rPr>
          <w:rFonts w:ascii="Arial" w:hAnsi="Arial" w:cs="Arial"/>
          <w:sz w:val="20"/>
        </w:rPr>
      </w:pPr>
      <w:r w:rsidRPr="006F527A">
        <w:rPr>
          <w:rFonts w:ascii="Arial" w:hAnsi="Arial" w:cs="Arial"/>
          <w:spacing w:val="-1"/>
          <w:sz w:val="20"/>
        </w:rPr>
        <w:t>and</w:t>
      </w:r>
      <w:r w:rsidRPr="006F527A">
        <w:rPr>
          <w:rFonts w:ascii="Arial" w:hAnsi="Arial" w:cs="Arial"/>
          <w:spacing w:val="-10"/>
          <w:sz w:val="20"/>
        </w:rPr>
        <w:t xml:space="preserve"> </w:t>
      </w:r>
      <w:r w:rsidRPr="006F527A">
        <w:rPr>
          <w:rFonts w:ascii="Arial" w:hAnsi="Arial" w:cs="Arial"/>
          <w:spacing w:val="-1"/>
          <w:sz w:val="20"/>
        </w:rPr>
        <w:t>subsequently</w:t>
      </w:r>
      <w:r w:rsidRPr="006F527A">
        <w:rPr>
          <w:rFonts w:ascii="Arial" w:hAnsi="Arial" w:cs="Arial"/>
          <w:spacing w:val="-11"/>
          <w:sz w:val="20"/>
        </w:rPr>
        <w:t xml:space="preserve"> </w:t>
      </w:r>
      <w:r w:rsidRPr="006F527A">
        <w:rPr>
          <w:rFonts w:ascii="Arial" w:hAnsi="Arial" w:cs="Arial"/>
          <w:sz w:val="20"/>
        </w:rPr>
        <w:t>apply</w:t>
      </w:r>
      <w:r w:rsidRPr="006F527A">
        <w:rPr>
          <w:rFonts w:ascii="Arial" w:hAnsi="Arial" w:cs="Arial"/>
          <w:spacing w:val="-11"/>
          <w:sz w:val="20"/>
        </w:rPr>
        <w:t xml:space="preserve"> </w:t>
      </w:r>
      <w:r w:rsidRPr="006F527A">
        <w:rPr>
          <w:rFonts w:ascii="Arial" w:hAnsi="Arial" w:cs="Arial"/>
          <w:sz w:val="20"/>
        </w:rPr>
        <w:t>to</w:t>
      </w:r>
      <w:r w:rsidRPr="006F527A">
        <w:rPr>
          <w:rFonts w:ascii="Arial" w:hAnsi="Arial" w:cs="Arial"/>
          <w:spacing w:val="-10"/>
          <w:sz w:val="20"/>
        </w:rPr>
        <w:t xml:space="preserve"> </w:t>
      </w:r>
      <w:r w:rsidRPr="006F527A">
        <w:rPr>
          <w:rFonts w:ascii="Arial" w:hAnsi="Arial" w:cs="Arial"/>
          <w:sz w:val="20"/>
        </w:rPr>
        <w:t>the</w:t>
      </w:r>
      <w:r w:rsidRPr="006F527A">
        <w:rPr>
          <w:rFonts w:ascii="Arial" w:hAnsi="Arial" w:cs="Arial"/>
          <w:spacing w:val="-9"/>
          <w:sz w:val="20"/>
        </w:rPr>
        <w:t xml:space="preserve"> </w:t>
      </w:r>
      <w:r w:rsidRPr="006F527A">
        <w:rPr>
          <w:rFonts w:ascii="Arial" w:hAnsi="Arial" w:cs="Arial"/>
          <w:sz w:val="20"/>
        </w:rPr>
        <w:t>new</w:t>
      </w:r>
      <w:r w:rsidRPr="006F527A">
        <w:rPr>
          <w:rFonts w:ascii="Arial" w:hAnsi="Arial" w:cs="Arial"/>
          <w:spacing w:val="-11"/>
          <w:sz w:val="20"/>
        </w:rPr>
        <w:t xml:space="preserve"> </w:t>
      </w:r>
      <w:r w:rsidRPr="006F527A">
        <w:rPr>
          <w:rFonts w:ascii="Arial" w:hAnsi="Arial" w:cs="Arial"/>
          <w:sz w:val="20"/>
        </w:rPr>
        <w:t>Member</w:t>
      </w:r>
      <w:r w:rsidRPr="006F527A">
        <w:rPr>
          <w:rFonts w:ascii="Arial" w:hAnsi="Arial" w:cs="Arial"/>
          <w:spacing w:val="-9"/>
          <w:sz w:val="20"/>
        </w:rPr>
        <w:t xml:space="preserve"> </w:t>
      </w:r>
      <w:r w:rsidRPr="006F527A">
        <w:rPr>
          <w:rFonts w:ascii="Arial" w:hAnsi="Arial" w:cs="Arial"/>
          <w:sz w:val="20"/>
        </w:rPr>
        <w:t>State</w:t>
      </w:r>
      <w:r w:rsidRPr="006F527A">
        <w:rPr>
          <w:rFonts w:ascii="Arial" w:hAnsi="Arial" w:cs="Arial"/>
          <w:spacing w:val="-11"/>
          <w:sz w:val="20"/>
        </w:rPr>
        <w:t xml:space="preserve"> </w:t>
      </w:r>
      <w:r w:rsidRPr="006F527A">
        <w:rPr>
          <w:rFonts w:ascii="Arial" w:hAnsi="Arial" w:cs="Arial"/>
          <w:sz w:val="20"/>
        </w:rPr>
        <w:t>for</w:t>
      </w:r>
      <w:r w:rsidRPr="006F527A">
        <w:rPr>
          <w:rFonts w:ascii="Arial" w:hAnsi="Arial" w:cs="Arial"/>
          <w:spacing w:val="-12"/>
          <w:sz w:val="20"/>
        </w:rPr>
        <w:t xml:space="preserve"> </w:t>
      </w:r>
      <w:r w:rsidRPr="006F527A">
        <w:rPr>
          <w:rFonts w:ascii="Arial" w:hAnsi="Arial" w:cs="Arial"/>
          <w:sz w:val="20"/>
        </w:rPr>
        <w:t>the</w:t>
      </w:r>
      <w:r w:rsidRPr="006F527A">
        <w:rPr>
          <w:rFonts w:ascii="Arial" w:hAnsi="Arial" w:cs="Arial"/>
          <w:spacing w:val="-9"/>
          <w:sz w:val="20"/>
        </w:rPr>
        <w:t xml:space="preserve"> </w:t>
      </w:r>
      <w:r w:rsidRPr="006F527A">
        <w:rPr>
          <w:rFonts w:ascii="Arial" w:hAnsi="Arial" w:cs="Arial"/>
          <w:sz w:val="20"/>
        </w:rPr>
        <w:t>issuance</w:t>
      </w:r>
      <w:r w:rsidRPr="006F527A">
        <w:rPr>
          <w:rFonts w:ascii="Arial" w:hAnsi="Arial" w:cs="Arial"/>
          <w:spacing w:val="-11"/>
          <w:sz w:val="20"/>
        </w:rPr>
        <w:t xml:space="preserve"> </w:t>
      </w:r>
      <w:r w:rsidRPr="006F527A">
        <w:rPr>
          <w:rFonts w:ascii="Arial" w:hAnsi="Arial" w:cs="Arial"/>
          <w:sz w:val="20"/>
        </w:rPr>
        <w:t>of</w:t>
      </w:r>
      <w:r w:rsidRPr="006F527A">
        <w:rPr>
          <w:rFonts w:ascii="Arial" w:hAnsi="Arial" w:cs="Arial"/>
          <w:spacing w:val="-12"/>
          <w:sz w:val="20"/>
        </w:rPr>
        <w:t xml:space="preserve"> </w:t>
      </w:r>
      <w:r w:rsidRPr="006F527A">
        <w:rPr>
          <w:rFonts w:ascii="Arial" w:hAnsi="Arial" w:cs="Arial"/>
          <w:sz w:val="20"/>
        </w:rPr>
        <w:t>a</w:t>
      </w:r>
      <w:r w:rsidRPr="006F527A">
        <w:rPr>
          <w:rFonts w:ascii="Arial" w:hAnsi="Arial" w:cs="Arial"/>
          <w:spacing w:val="-10"/>
          <w:sz w:val="20"/>
        </w:rPr>
        <w:t xml:space="preserve"> </w:t>
      </w:r>
      <w:r w:rsidRPr="006F527A">
        <w:rPr>
          <w:rFonts w:ascii="Arial" w:hAnsi="Arial" w:cs="Arial"/>
          <w:sz w:val="20"/>
        </w:rPr>
        <w:t>new</w:t>
      </w:r>
      <w:r w:rsidRPr="006F527A">
        <w:rPr>
          <w:rFonts w:ascii="Arial" w:hAnsi="Arial" w:cs="Arial"/>
          <w:spacing w:val="-11"/>
          <w:sz w:val="20"/>
        </w:rPr>
        <w:t xml:space="preserve"> </w:t>
      </w:r>
      <w:r w:rsidRPr="006F527A">
        <w:rPr>
          <w:rFonts w:ascii="Arial" w:hAnsi="Arial" w:cs="Arial"/>
          <w:sz w:val="20"/>
        </w:rPr>
        <w:t>airworthiness</w:t>
      </w:r>
      <w:r w:rsidRPr="006F527A">
        <w:rPr>
          <w:rFonts w:ascii="Arial" w:hAnsi="Arial" w:cs="Arial"/>
          <w:spacing w:val="-47"/>
          <w:sz w:val="20"/>
        </w:rPr>
        <w:t xml:space="preserve"> </w:t>
      </w:r>
      <w:r w:rsidRPr="006F527A">
        <w:rPr>
          <w:rFonts w:ascii="Arial" w:hAnsi="Arial" w:cs="Arial"/>
          <w:sz w:val="20"/>
        </w:rPr>
        <w:t>certificate</w:t>
      </w:r>
      <w:r w:rsidRPr="006F527A">
        <w:rPr>
          <w:rFonts w:ascii="Arial" w:hAnsi="Arial" w:cs="Arial"/>
          <w:spacing w:val="-1"/>
          <w:sz w:val="20"/>
        </w:rPr>
        <w:t xml:space="preserve"> </w:t>
      </w:r>
      <w:r w:rsidRPr="006F527A">
        <w:rPr>
          <w:rFonts w:ascii="Arial" w:hAnsi="Arial" w:cs="Arial"/>
          <w:sz w:val="20"/>
        </w:rPr>
        <w:t>in</w:t>
      </w:r>
      <w:r w:rsidRPr="006F527A">
        <w:rPr>
          <w:rFonts w:ascii="Arial" w:hAnsi="Arial" w:cs="Arial"/>
          <w:spacing w:val="-1"/>
          <w:sz w:val="20"/>
        </w:rPr>
        <w:t xml:space="preserve"> </w:t>
      </w:r>
      <w:r w:rsidRPr="006F527A">
        <w:rPr>
          <w:rFonts w:ascii="Arial" w:hAnsi="Arial" w:cs="Arial"/>
          <w:sz w:val="20"/>
        </w:rPr>
        <w:t>accordance</w:t>
      </w:r>
      <w:r w:rsidRPr="006F527A">
        <w:rPr>
          <w:rFonts w:ascii="Arial" w:hAnsi="Arial" w:cs="Arial"/>
          <w:spacing w:val="-3"/>
          <w:sz w:val="20"/>
        </w:rPr>
        <w:t xml:space="preserve"> </w:t>
      </w:r>
      <w:r w:rsidRPr="006F527A">
        <w:rPr>
          <w:rFonts w:ascii="Arial" w:hAnsi="Arial" w:cs="Arial"/>
          <w:sz w:val="20"/>
        </w:rPr>
        <w:t>with Annex</w:t>
      </w:r>
      <w:r w:rsidRPr="006F527A">
        <w:rPr>
          <w:rFonts w:ascii="Arial" w:hAnsi="Arial" w:cs="Arial"/>
          <w:spacing w:val="-1"/>
          <w:sz w:val="20"/>
        </w:rPr>
        <w:t xml:space="preserve"> </w:t>
      </w:r>
      <w:r w:rsidRPr="006F527A">
        <w:rPr>
          <w:rFonts w:ascii="Arial" w:hAnsi="Arial" w:cs="Arial"/>
          <w:sz w:val="20"/>
        </w:rPr>
        <w:t>I</w:t>
      </w:r>
      <w:r w:rsidRPr="006F527A">
        <w:rPr>
          <w:rFonts w:ascii="Arial" w:hAnsi="Arial" w:cs="Arial"/>
          <w:spacing w:val="-1"/>
          <w:sz w:val="20"/>
        </w:rPr>
        <w:t xml:space="preserve"> </w:t>
      </w:r>
      <w:r w:rsidRPr="006F527A">
        <w:rPr>
          <w:rFonts w:ascii="Arial" w:hAnsi="Arial" w:cs="Arial"/>
          <w:sz w:val="20"/>
        </w:rPr>
        <w:t>(Part-21)</w:t>
      </w:r>
      <w:r w:rsidRPr="006F527A">
        <w:rPr>
          <w:rFonts w:ascii="Arial" w:hAnsi="Arial" w:cs="Arial"/>
          <w:spacing w:val="1"/>
          <w:sz w:val="20"/>
        </w:rPr>
        <w:t xml:space="preserve"> </w:t>
      </w:r>
      <w:r w:rsidRPr="006F527A">
        <w:rPr>
          <w:rFonts w:ascii="Arial" w:hAnsi="Arial" w:cs="Arial"/>
          <w:sz w:val="20"/>
        </w:rPr>
        <w:t xml:space="preserve">to </w:t>
      </w:r>
      <w:hyperlink r:id="rId131" w:history="1">
        <w:r w:rsidR="003D723D">
          <w:rPr>
            <w:rStyle w:val="Hyperlink"/>
            <w:rFonts w:ascii="Arial" w:hAnsi="Arial" w:cs="Arial"/>
            <w:sz w:val="20"/>
          </w:rPr>
          <w:t>the order N 20-N of the Minister of Territorial Administration and Infrastructure of RA, dated 18.11.2022</w:t>
        </w:r>
      </w:hyperlink>
      <w:r w:rsidRPr="003D723D">
        <w:rPr>
          <w:rFonts w:ascii="Arial" w:hAnsi="Arial" w:cs="Arial"/>
          <w:sz w:val="20"/>
        </w:rPr>
        <w:t>.</w:t>
      </w:r>
    </w:p>
    <w:p w14:paraId="0FB513CC" w14:textId="77777777" w:rsidR="006F527A" w:rsidRPr="006F527A" w:rsidRDefault="006F527A" w:rsidP="00D4399A">
      <w:pPr>
        <w:numPr>
          <w:ilvl w:val="0"/>
          <w:numId w:val="331"/>
        </w:numPr>
        <w:tabs>
          <w:tab w:val="left" w:pos="707"/>
        </w:tabs>
        <w:spacing w:before="121"/>
        <w:ind w:right="44"/>
        <w:jc w:val="both"/>
        <w:rPr>
          <w:rFonts w:ascii="Arial" w:hAnsi="Arial" w:cs="Arial"/>
          <w:sz w:val="20"/>
        </w:rPr>
      </w:pPr>
      <w:r w:rsidRPr="006F527A">
        <w:rPr>
          <w:rFonts w:ascii="Arial" w:hAnsi="Arial" w:cs="Arial"/>
          <w:spacing w:val="-1"/>
          <w:sz w:val="20"/>
        </w:rPr>
        <w:t>Notwithstanding</w:t>
      </w:r>
      <w:r w:rsidRPr="006F527A">
        <w:rPr>
          <w:rFonts w:ascii="Arial" w:hAnsi="Arial" w:cs="Arial"/>
          <w:spacing w:val="-13"/>
          <w:sz w:val="20"/>
        </w:rPr>
        <w:t xml:space="preserve"> </w:t>
      </w:r>
      <w:r w:rsidRPr="006F527A">
        <w:rPr>
          <w:rFonts w:ascii="Arial" w:hAnsi="Arial" w:cs="Arial"/>
          <w:sz w:val="20"/>
        </w:rPr>
        <w:t>point</w:t>
      </w:r>
      <w:r w:rsidRPr="006F527A">
        <w:rPr>
          <w:rFonts w:ascii="Arial" w:hAnsi="Arial" w:cs="Arial"/>
          <w:spacing w:val="-11"/>
          <w:sz w:val="20"/>
        </w:rPr>
        <w:t xml:space="preserve"> </w:t>
      </w:r>
      <w:r w:rsidRPr="006F527A">
        <w:rPr>
          <w:rFonts w:ascii="Arial" w:hAnsi="Arial" w:cs="Arial"/>
          <w:sz w:val="20"/>
        </w:rPr>
        <w:t>(a)(3)</w:t>
      </w:r>
      <w:r w:rsidRPr="006F527A">
        <w:rPr>
          <w:rFonts w:ascii="Arial" w:hAnsi="Arial" w:cs="Arial"/>
          <w:spacing w:val="-12"/>
          <w:sz w:val="20"/>
        </w:rPr>
        <w:t xml:space="preserve"> </w:t>
      </w:r>
      <w:r w:rsidRPr="006F527A">
        <w:rPr>
          <w:rFonts w:ascii="Arial" w:hAnsi="Arial" w:cs="Arial"/>
          <w:sz w:val="20"/>
        </w:rPr>
        <w:t>of</w:t>
      </w:r>
      <w:r w:rsidRPr="006F527A">
        <w:rPr>
          <w:rFonts w:ascii="Arial" w:hAnsi="Arial" w:cs="Arial"/>
          <w:spacing w:val="-14"/>
          <w:sz w:val="20"/>
        </w:rPr>
        <w:t xml:space="preserve"> </w:t>
      </w:r>
      <w:r w:rsidRPr="006F527A">
        <w:rPr>
          <w:rFonts w:ascii="Arial" w:hAnsi="Arial" w:cs="Arial"/>
          <w:sz w:val="20"/>
        </w:rPr>
        <w:t xml:space="preserve">point ML.A.902, the former ARC shall remain valid until its expiry date, except when the ARC was issued by independent certifying staff holding a national certifying-staff qualification in accordance with point (b)(4) of point ML.A.901, in which case point </w:t>
      </w:r>
      <w:r w:rsidRPr="006F527A">
        <w:rPr>
          <w:rFonts w:ascii="Arial" w:hAnsi="Arial" w:cs="Arial"/>
          <w:sz w:val="20"/>
        </w:rPr>
        <w:lastRenderedPageBreak/>
        <w:t>ML.A.906 shall apply.</w:t>
      </w:r>
    </w:p>
    <w:p w14:paraId="1A968246" w14:textId="24546927" w:rsidR="00033A3A" w:rsidRPr="00D4399A" w:rsidRDefault="006F527A" w:rsidP="00D4399A">
      <w:pPr>
        <w:numPr>
          <w:ilvl w:val="0"/>
          <w:numId w:val="331"/>
        </w:numPr>
        <w:tabs>
          <w:tab w:val="left" w:pos="707"/>
        </w:tabs>
        <w:spacing w:before="121"/>
        <w:ind w:right="44"/>
        <w:jc w:val="both"/>
        <w:rPr>
          <w:rFonts w:ascii="Arial" w:hAnsi="Arial" w:cs="Arial"/>
          <w:sz w:val="20"/>
        </w:rPr>
      </w:pPr>
      <w:r w:rsidRPr="006F527A">
        <w:rPr>
          <w:rFonts w:ascii="Arial" w:hAnsi="Arial" w:cs="Arial"/>
          <w:sz w:val="20"/>
        </w:rPr>
        <w:t>Notwithstanding points (a) and (b), in those cases where the aircraft was in a non-airworthy</w:t>
      </w:r>
      <w:r w:rsidRPr="006F527A">
        <w:rPr>
          <w:rFonts w:ascii="Arial" w:hAnsi="Arial" w:cs="Arial"/>
          <w:spacing w:val="1"/>
          <w:sz w:val="20"/>
        </w:rPr>
        <w:t xml:space="preserve"> </w:t>
      </w:r>
      <w:r w:rsidRPr="006F527A">
        <w:rPr>
          <w:rFonts w:ascii="Arial" w:hAnsi="Arial" w:cs="Arial"/>
          <w:sz w:val="20"/>
        </w:rPr>
        <w:t>condition in the former Member State or where the airworthiness status of the aircraft cannot be determined using the existing records, point ML.A.906 shall apply.</w:t>
      </w:r>
    </w:p>
    <w:p w14:paraId="1B107E9D" w14:textId="77777777" w:rsidR="00324F6E" w:rsidRPr="00324F6E" w:rsidRDefault="00324F6E" w:rsidP="00324F6E">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933" w:name="_Toc153137560"/>
      <w:r w:rsidRPr="00324F6E">
        <w:rPr>
          <w:rFonts w:ascii="Arial" w:eastAsia="Times New Roman" w:hAnsi="Arial" w:cs="Times New Roman"/>
          <w:b/>
          <w:iCs/>
          <w:color w:val="FFFFFF"/>
          <w:sz w:val="24"/>
        </w:rPr>
        <w:t>ML.A.906 Airworthiness review of aircraft imported into the Union</w:t>
      </w:r>
      <w:bookmarkEnd w:id="933"/>
      <w:r w:rsidRPr="00324F6E">
        <w:rPr>
          <w:rFonts w:ascii="Arial" w:eastAsia="Times New Roman" w:hAnsi="Arial" w:cs="Times New Roman"/>
          <w:b/>
          <w:iCs/>
          <w:color w:val="FFFFFF"/>
          <w:sz w:val="24"/>
        </w:rPr>
        <w:t xml:space="preserve"> </w:t>
      </w:r>
    </w:p>
    <w:p w14:paraId="62D615F0" w14:textId="263CDF1B" w:rsidR="00324F6E" w:rsidRPr="00324F6E" w:rsidRDefault="00324F6E" w:rsidP="00A8735B">
      <w:pPr>
        <w:numPr>
          <w:ilvl w:val="0"/>
          <w:numId w:val="332"/>
        </w:numPr>
        <w:tabs>
          <w:tab w:val="left" w:pos="707"/>
        </w:tabs>
        <w:spacing w:before="118"/>
        <w:ind w:right="44"/>
        <w:jc w:val="both"/>
        <w:rPr>
          <w:rFonts w:ascii="Arial" w:hAnsi="Arial" w:cs="Arial"/>
          <w:sz w:val="20"/>
        </w:rPr>
      </w:pPr>
      <w:r w:rsidRPr="00324F6E">
        <w:rPr>
          <w:rFonts w:ascii="Arial" w:hAnsi="Arial" w:cs="Arial"/>
          <w:sz w:val="20"/>
        </w:rPr>
        <w:t xml:space="preserve">When importing an aircraft from a third country onto a </w:t>
      </w:r>
      <w:r w:rsidR="00BE47FC">
        <w:rPr>
          <w:rFonts w:ascii="Arial" w:hAnsi="Arial" w:cs="Arial"/>
          <w:sz w:val="20"/>
        </w:rPr>
        <w:t xml:space="preserve">the Republic of Armenia </w:t>
      </w:r>
      <w:r w:rsidRPr="00324F6E">
        <w:rPr>
          <w:rFonts w:ascii="Arial" w:hAnsi="Arial" w:cs="Arial"/>
          <w:sz w:val="20"/>
        </w:rPr>
        <w:t>register, the applicant</w:t>
      </w:r>
      <w:r w:rsidRPr="00324F6E">
        <w:rPr>
          <w:rFonts w:ascii="Arial" w:hAnsi="Arial" w:cs="Arial"/>
          <w:spacing w:val="1"/>
          <w:sz w:val="20"/>
        </w:rPr>
        <w:t xml:space="preserve"> </w:t>
      </w:r>
      <w:r w:rsidRPr="00324F6E">
        <w:rPr>
          <w:rFonts w:ascii="Arial" w:hAnsi="Arial" w:cs="Arial"/>
          <w:sz w:val="20"/>
        </w:rPr>
        <w:t>shall:</w:t>
      </w:r>
    </w:p>
    <w:p w14:paraId="4A148E46" w14:textId="6843244A" w:rsidR="00324F6E" w:rsidRPr="003D723D" w:rsidRDefault="00324F6E" w:rsidP="00A8735B">
      <w:pPr>
        <w:numPr>
          <w:ilvl w:val="1"/>
          <w:numId w:val="332"/>
        </w:numPr>
        <w:tabs>
          <w:tab w:val="left" w:pos="1274"/>
        </w:tabs>
        <w:spacing w:before="121"/>
        <w:ind w:right="44"/>
        <w:jc w:val="both"/>
        <w:rPr>
          <w:rFonts w:ascii="Arial" w:hAnsi="Arial" w:cs="Arial"/>
          <w:sz w:val="20"/>
        </w:rPr>
      </w:pPr>
      <w:r w:rsidRPr="003D723D">
        <w:rPr>
          <w:rFonts w:ascii="Arial" w:hAnsi="Arial" w:cs="Arial"/>
          <w:sz w:val="20"/>
        </w:rPr>
        <w:t xml:space="preserve">apply to the </w:t>
      </w:r>
      <w:r w:rsidR="004E22F1">
        <w:rPr>
          <w:rFonts w:ascii="Arial" w:hAnsi="Arial" w:cs="Arial"/>
          <w:sz w:val="20"/>
          <w:szCs w:val="20"/>
        </w:rPr>
        <w:t xml:space="preserve">CAC RA </w:t>
      </w:r>
      <w:r w:rsidR="00BE47FC">
        <w:rPr>
          <w:rFonts w:ascii="Arial" w:hAnsi="Arial" w:cs="Arial"/>
          <w:sz w:val="20"/>
        </w:rPr>
        <w:t xml:space="preserve">Armenia </w:t>
      </w:r>
      <w:r w:rsidRPr="003D723D">
        <w:rPr>
          <w:rFonts w:ascii="Arial" w:hAnsi="Arial" w:cs="Arial"/>
          <w:sz w:val="20"/>
        </w:rPr>
        <w:t>of registry for the issuance of a</w:t>
      </w:r>
      <w:r w:rsidRPr="003D723D">
        <w:rPr>
          <w:rFonts w:ascii="Arial" w:hAnsi="Arial" w:cs="Arial"/>
          <w:spacing w:val="1"/>
          <w:sz w:val="20"/>
        </w:rPr>
        <w:t xml:space="preserve"> </w:t>
      </w:r>
      <w:r w:rsidRPr="003D723D">
        <w:rPr>
          <w:rFonts w:ascii="Arial" w:hAnsi="Arial" w:cs="Arial"/>
          <w:sz w:val="20"/>
        </w:rPr>
        <w:t>new</w:t>
      </w:r>
      <w:r w:rsidRPr="003D723D">
        <w:rPr>
          <w:rFonts w:ascii="Arial" w:hAnsi="Arial" w:cs="Arial"/>
          <w:spacing w:val="1"/>
          <w:sz w:val="20"/>
        </w:rPr>
        <w:t xml:space="preserve"> </w:t>
      </w:r>
      <w:r w:rsidRPr="003D723D">
        <w:rPr>
          <w:rFonts w:ascii="Arial" w:hAnsi="Arial" w:cs="Arial"/>
          <w:sz w:val="20"/>
        </w:rPr>
        <w:t>airworthiness</w:t>
      </w:r>
      <w:r w:rsidRPr="003D723D">
        <w:rPr>
          <w:rFonts w:ascii="Arial" w:hAnsi="Arial" w:cs="Arial"/>
          <w:spacing w:val="1"/>
          <w:sz w:val="20"/>
        </w:rPr>
        <w:t xml:space="preserve"> </w:t>
      </w:r>
      <w:r w:rsidRPr="003D723D">
        <w:rPr>
          <w:rFonts w:ascii="Arial" w:hAnsi="Arial" w:cs="Arial"/>
          <w:sz w:val="20"/>
        </w:rPr>
        <w:t>certificate</w:t>
      </w:r>
      <w:r w:rsidRPr="003D723D">
        <w:rPr>
          <w:rFonts w:ascii="Arial" w:hAnsi="Arial" w:cs="Arial"/>
          <w:spacing w:val="49"/>
          <w:sz w:val="20"/>
        </w:rPr>
        <w:t xml:space="preserve"> </w:t>
      </w:r>
      <w:r w:rsidRPr="003D723D">
        <w:rPr>
          <w:rFonts w:ascii="Arial" w:hAnsi="Arial" w:cs="Arial"/>
          <w:sz w:val="20"/>
        </w:rPr>
        <w:t>in accordance with Annex I (Part-21) to</w:t>
      </w:r>
      <w:r w:rsidRPr="003D723D">
        <w:rPr>
          <w:rFonts w:ascii="Arial" w:hAnsi="Arial" w:cs="Arial"/>
          <w:spacing w:val="50"/>
          <w:sz w:val="20"/>
        </w:rPr>
        <w:t xml:space="preserve"> </w:t>
      </w:r>
      <w:hyperlink r:id="rId132" w:history="1">
        <w:r w:rsidR="003D723D" w:rsidRPr="003D723D">
          <w:rPr>
            <w:rStyle w:val="Hyperlink"/>
            <w:rFonts w:ascii="Arial" w:hAnsi="Arial" w:cs="Arial"/>
            <w:sz w:val="20"/>
          </w:rPr>
          <w:t>the order N 20-N of the Minister of Territorial Administration and Infrastructure of RA, dated 18.11.2022</w:t>
        </w:r>
      </w:hyperlink>
      <w:r w:rsidRPr="003D723D">
        <w:rPr>
          <w:rFonts w:ascii="Arial" w:hAnsi="Arial" w:cs="Arial"/>
          <w:sz w:val="20"/>
        </w:rPr>
        <w:t>;</w:t>
      </w:r>
    </w:p>
    <w:p w14:paraId="11A2F776" w14:textId="77777777" w:rsidR="00324F6E" w:rsidRPr="003D723D" w:rsidRDefault="00324F6E" w:rsidP="00A8735B">
      <w:pPr>
        <w:numPr>
          <w:ilvl w:val="1"/>
          <w:numId w:val="332"/>
        </w:numPr>
        <w:tabs>
          <w:tab w:val="left" w:pos="1274"/>
        </w:tabs>
        <w:spacing w:before="120"/>
        <w:ind w:right="44"/>
        <w:jc w:val="both"/>
        <w:rPr>
          <w:rFonts w:ascii="Arial" w:hAnsi="Arial" w:cs="Arial"/>
          <w:sz w:val="20"/>
        </w:rPr>
      </w:pPr>
      <w:r w:rsidRPr="003D723D">
        <w:rPr>
          <w:rFonts w:ascii="Arial" w:hAnsi="Arial" w:cs="Arial"/>
          <w:sz w:val="20"/>
        </w:rPr>
        <w:t>for aircraft other than new, have an airworthiness review carried out satisfactorily in</w:t>
      </w:r>
      <w:r w:rsidRPr="003D723D">
        <w:rPr>
          <w:rFonts w:ascii="Arial" w:hAnsi="Arial" w:cs="Arial"/>
          <w:spacing w:val="1"/>
          <w:sz w:val="20"/>
        </w:rPr>
        <w:t xml:space="preserve"> </w:t>
      </w:r>
      <w:r w:rsidRPr="003D723D">
        <w:rPr>
          <w:rFonts w:ascii="Arial" w:hAnsi="Arial" w:cs="Arial"/>
          <w:sz w:val="20"/>
        </w:rPr>
        <w:t>accordance with point</w:t>
      </w:r>
      <w:r w:rsidRPr="003D723D">
        <w:rPr>
          <w:rFonts w:ascii="Arial" w:hAnsi="Arial" w:cs="Arial"/>
          <w:color w:val="0000FF"/>
          <w:spacing w:val="-1"/>
          <w:sz w:val="20"/>
        </w:rPr>
        <w:t xml:space="preserve"> </w:t>
      </w:r>
      <w:r w:rsidRPr="003D723D">
        <w:rPr>
          <w:rFonts w:ascii="Arial" w:hAnsi="Arial" w:cs="Arial"/>
          <w:sz w:val="20"/>
        </w:rPr>
        <w:t>ML.A.901;</w:t>
      </w:r>
    </w:p>
    <w:p w14:paraId="33FC3027" w14:textId="77777777" w:rsidR="00324F6E" w:rsidRPr="00324F6E" w:rsidRDefault="00324F6E" w:rsidP="00A8735B">
      <w:pPr>
        <w:numPr>
          <w:ilvl w:val="1"/>
          <w:numId w:val="332"/>
        </w:numPr>
        <w:tabs>
          <w:tab w:val="left" w:pos="1274"/>
        </w:tabs>
        <w:spacing w:before="121"/>
        <w:ind w:right="44" w:hanging="568"/>
        <w:jc w:val="both"/>
        <w:rPr>
          <w:rFonts w:ascii="Arial" w:hAnsi="Arial" w:cs="Arial"/>
          <w:sz w:val="20"/>
        </w:rPr>
      </w:pPr>
      <w:r w:rsidRPr="00324F6E">
        <w:rPr>
          <w:rFonts w:ascii="Arial" w:hAnsi="Arial" w:cs="Arial"/>
          <w:sz w:val="20"/>
        </w:rPr>
        <w:t>have all</w:t>
      </w:r>
      <w:r w:rsidRPr="00324F6E">
        <w:rPr>
          <w:rFonts w:ascii="Arial" w:hAnsi="Arial" w:cs="Arial"/>
          <w:spacing w:val="-3"/>
          <w:sz w:val="20"/>
        </w:rPr>
        <w:t xml:space="preserve"> </w:t>
      </w:r>
      <w:r w:rsidRPr="00324F6E">
        <w:rPr>
          <w:rFonts w:ascii="Arial" w:hAnsi="Arial" w:cs="Arial"/>
          <w:sz w:val="20"/>
        </w:rPr>
        <w:t>maintenance</w:t>
      </w:r>
      <w:r w:rsidRPr="00324F6E">
        <w:rPr>
          <w:rFonts w:ascii="Arial" w:hAnsi="Arial" w:cs="Arial"/>
          <w:spacing w:val="-3"/>
          <w:sz w:val="20"/>
        </w:rPr>
        <w:t xml:space="preserve"> </w:t>
      </w:r>
      <w:r w:rsidRPr="00324F6E">
        <w:rPr>
          <w:rFonts w:ascii="Arial" w:hAnsi="Arial" w:cs="Arial"/>
          <w:sz w:val="20"/>
        </w:rPr>
        <w:t>carried out</w:t>
      </w:r>
      <w:r w:rsidRPr="00324F6E">
        <w:rPr>
          <w:rFonts w:ascii="Arial" w:hAnsi="Arial" w:cs="Arial"/>
          <w:spacing w:val="-3"/>
          <w:sz w:val="20"/>
        </w:rPr>
        <w:t xml:space="preserve"> </w:t>
      </w:r>
      <w:r w:rsidRPr="00324F6E">
        <w:rPr>
          <w:rFonts w:ascii="Arial" w:hAnsi="Arial" w:cs="Arial"/>
          <w:sz w:val="20"/>
        </w:rPr>
        <w:t>to</w:t>
      </w:r>
      <w:r w:rsidRPr="00324F6E">
        <w:rPr>
          <w:rFonts w:ascii="Arial" w:hAnsi="Arial" w:cs="Arial"/>
          <w:spacing w:val="1"/>
          <w:sz w:val="20"/>
        </w:rPr>
        <w:t xml:space="preserve"> </w:t>
      </w:r>
      <w:r w:rsidRPr="00324F6E">
        <w:rPr>
          <w:rFonts w:ascii="Arial" w:hAnsi="Arial" w:cs="Arial"/>
          <w:sz w:val="20"/>
        </w:rPr>
        <w:t>comply</w:t>
      </w:r>
      <w:r w:rsidRPr="00324F6E">
        <w:rPr>
          <w:rFonts w:ascii="Arial" w:hAnsi="Arial" w:cs="Arial"/>
          <w:spacing w:val="-1"/>
          <w:sz w:val="20"/>
        </w:rPr>
        <w:t xml:space="preserve"> </w:t>
      </w:r>
      <w:r w:rsidRPr="00324F6E">
        <w:rPr>
          <w:rFonts w:ascii="Arial" w:hAnsi="Arial" w:cs="Arial"/>
          <w:sz w:val="20"/>
        </w:rPr>
        <w:t>with the</w:t>
      </w:r>
      <w:r w:rsidRPr="00324F6E">
        <w:rPr>
          <w:rFonts w:ascii="Arial" w:hAnsi="Arial" w:cs="Arial"/>
          <w:spacing w:val="-5"/>
          <w:sz w:val="20"/>
        </w:rPr>
        <w:t xml:space="preserve"> </w:t>
      </w:r>
      <w:r w:rsidRPr="00324F6E">
        <w:rPr>
          <w:rFonts w:ascii="Arial" w:hAnsi="Arial" w:cs="Arial"/>
          <w:sz w:val="20"/>
        </w:rPr>
        <w:t>approved</w:t>
      </w:r>
      <w:r w:rsidRPr="00324F6E">
        <w:rPr>
          <w:rFonts w:ascii="Arial" w:hAnsi="Arial" w:cs="Arial"/>
          <w:spacing w:val="-3"/>
          <w:sz w:val="20"/>
        </w:rPr>
        <w:t xml:space="preserve"> </w:t>
      </w:r>
      <w:r w:rsidRPr="00324F6E">
        <w:rPr>
          <w:rFonts w:ascii="Arial" w:hAnsi="Arial" w:cs="Arial"/>
          <w:sz w:val="20"/>
        </w:rPr>
        <w:t>or</w:t>
      </w:r>
      <w:r w:rsidRPr="00324F6E">
        <w:rPr>
          <w:rFonts w:ascii="Arial" w:hAnsi="Arial" w:cs="Arial"/>
          <w:spacing w:val="-3"/>
          <w:sz w:val="20"/>
        </w:rPr>
        <w:t xml:space="preserve"> </w:t>
      </w:r>
      <w:r w:rsidRPr="00324F6E">
        <w:rPr>
          <w:rFonts w:ascii="Arial" w:hAnsi="Arial" w:cs="Arial"/>
          <w:sz w:val="20"/>
        </w:rPr>
        <w:t>declared</w:t>
      </w:r>
      <w:r w:rsidRPr="00324F6E">
        <w:rPr>
          <w:rFonts w:ascii="Arial" w:hAnsi="Arial" w:cs="Arial"/>
          <w:spacing w:val="-5"/>
          <w:sz w:val="20"/>
        </w:rPr>
        <w:t xml:space="preserve"> </w:t>
      </w:r>
      <w:r w:rsidRPr="00324F6E">
        <w:rPr>
          <w:rFonts w:ascii="Arial" w:hAnsi="Arial" w:cs="Arial"/>
          <w:sz w:val="20"/>
        </w:rPr>
        <w:t>AMP.</w:t>
      </w:r>
    </w:p>
    <w:p w14:paraId="6CD00A2D" w14:textId="617C6F0F" w:rsidR="00324F6E" w:rsidRPr="00324F6E" w:rsidRDefault="00324F6E" w:rsidP="00A8735B">
      <w:pPr>
        <w:numPr>
          <w:ilvl w:val="0"/>
          <w:numId w:val="332"/>
        </w:numPr>
        <w:tabs>
          <w:tab w:val="left" w:pos="707"/>
        </w:tabs>
        <w:spacing w:before="121"/>
        <w:ind w:right="44"/>
        <w:jc w:val="both"/>
        <w:rPr>
          <w:rFonts w:ascii="Arial" w:hAnsi="Arial" w:cs="Arial"/>
          <w:sz w:val="20"/>
        </w:rPr>
      </w:pPr>
      <w:r w:rsidRPr="00324F6E">
        <w:rPr>
          <w:rFonts w:ascii="Arial" w:hAnsi="Arial" w:cs="Arial"/>
          <w:sz w:val="20"/>
        </w:rPr>
        <w:t xml:space="preserve">If the aircraft complies with the relevant requirements, the </w:t>
      </w:r>
      <w:r w:rsidR="004E22F1">
        <w:rPr>
          <w:rFonts w:ascii="Arial" w:hAnsi="Arial" w:cs="Arial"/>
          <w:sz w:val="20"/>
          <w:szCs w:val="20"/>
        </w:rPr>
        <w:t>CAC RA</w:t>
      </w:r>
      <w:r w:rsidRPr="00324F6E">
        <w:rPr>
          <w:rFonts w:ascii="Arial" w:hAnsi="Arial" w:cs="Arial"/>
          <w:sz w:val="20"/>
        </w:rPr>
        <w:t>, the CAMO or</w:t>
      </w:r>
      <w:r w:rsidRPr="00324F6E">
        <w:rPr>
          <w:rFonts w:ascii="Arial" w:hAnsi="Arial" w:cs="Arial"/>
          <w:spacing w:val="-47"/>
          <w:sz w:val="20"/>
        </w:rPr>
        <w:t xml:space="preserve"> </w:t>
      </w:r>
      <w:r w:rsidRPr="00324F6E">
        <w:rPr>
          <w:rFonts w:ascii="Arial" w:hAnsi="Arial" w:cs="Arial"/>
          <w:sz w:val="20"/>
        </w:rPr>
        <w:t>CAO,</w:t>
      </w:r>
      <w:r w:rsidRPr="00324F6E">
        <w:rPr>
          <w:rFonts w:ascii="Arial" w:hAnsi="Arial" w:cs="Arial"/>
          <w:spacing w:val="1"/>
          <w:sz w:val="20"/>
        </w:rPr>
        <w:t xml:space="preserve"> </w:t>
      </w:r>
      <w:r w:rsidRPr="00324F6E">
        <w:rPr>
          <w:rFonts w:ascii="Arial" w:hAnsi="Arial" w:cs="Arial"/>
          <w:sz w:val="20"/>
        </w:rPr>
        <w:t>the</w:t>
      </w:r>
      <w:r w:rsidRPr="00324F6E">
        <w:rPr>
          <w:rFonts w:ascii="Arial" w:hAnsi="Arial" w:cs="Arial"/>
          <w:spacing w:val="1"/>
          <w:sz w:val="20"/>
        </w:rPr>
        <w:t xml:space="preserve"> </w:t>
      </w:r>
      <w:r w:rsidRPr="00324F6E">
        <w:rPr>
          <w:rFonts w:ascii="Arial" w:hAnsi="Arial" w:cs="Arial"/>
          <w:sz w:val="20"/>
        </w:rPr>
        <w:t>maintenance</w:t>
      </w:r>
      <w:r w:rsidRPr="00324F6E">
        <w:rPr>
          <w:rFonts w:ascii="Arial" w:hAnsi="Arial" w:cs="Arial"/>
          <w:spacing w:val="1"/>
          <w:sz w:val="20"/>
        </w:rPr>
        <w:t xml:space="preserve"> </w:t>
      </w:r>
      <w:r w:rsidRPr="00324F6E">
        <w:rPr>
          <w:rFonts w:ascii="Arial" w:hAnsi="Arial" w:cs="Arial"/>
          <w:sz w:val="20"/>
        </w:rPr>
        <w:t>organisation</w:t>
      </w:r>
      <w:r w:rsidRPr="00324F6E">
        <w:rPr>
          <w:rFonts w:ascii="Arial" w:hAnsi="Arial" w:cs="Arial"/>
          <w:spacing w:val="1"/>
          <w:sz w:val="20"/>
        </w:rPr>
        <w:t xml:space="preserve"> </w:t>
      </w:r>
      <w:r w:rsidRPr="00324F6E">
        <w:rPr>
          <w:rFonts w:ascii="Arial" w:hAnsi="Arial" w:cs="Arial"/>
          <w:sz w:val="20"/>
        </w:rPr>
        <w:t>or</w:t>
      </w:r>
      <w:r w:rsidRPr="00324F6E">
        <w:rPr>
          <w:rFonts w:ascii="Arial" w:hAnsi="Arial" w:cs="Arial"/>
          <w:spacing w:val="1"/>
          <w:sz w:val="20"/>
        </w:rPr>
        <w:t xml:space="preserve"> </w:t>
      </w:r>
      <w:r w:rsidRPr="00324F6E">
        <w:rPr>
          <w:rFonts w:ascii="Arial" w:hAnsi="Arial" w:cs="Arial"/>
          <w:sz w:val="20"/>
        </w:rPr>
        <w:t>the</w:t>
      </w:r>
      <w:r w:rsidRPr="00324F6E">
        <w:rPr>
          <w:rFonts w:ascii="Arial" w:hAnsi="Arial" w:cs="Arial"/>
          <w:spacing w:val="1"/>
          <w:sz w:val="20"/>
        </w:rPr>
        <w:t xml:space="preserve"> </w:t>
      </w:r>
      <w:r w:rsidRPr="00324F6E">
        <w:rPr>
          <w:rFonts w:ascii="Arial" w:hAnsi="Arial" w:cs="Arial"/>
          <w:sz w:val="20"/>
        </w:rPr>
        <w:t>independent</w:t>
      </w:r>
      <w:r w:rsidRPr="00324F6E">
        <w:rPr>
          <w:rFonts w:ascii="Arial" w:hAnsi="Arial" w:cs="Arial"/>
          <w:spacing w:val="1"/>
          <w:sz w:val="20"/>
        </w:rPr>
        <w:t xml:space="preserve"> </w:t>
      </w:r>
      <w:r w:rsidRPr="00324F6E">
        <w:rPr>
          <w:rFonts w:ascii="Arial" w:hAnsi="Arial" w:cs="Arial"/>
          <w:sz w:val="20"/>
        </w:rPr>
        <w:t>certifying</w:t>
      </w:r>
      <w:r w:rsidRPr="00324F6E">
        <w:rPr>
          <w:rFonts w:ascii="Arial" w:hAnsi="Arial" w:cs="Arial"/>
          <w:spacing w:val="1"/>
          <w:sz w:val="20"/>
        </w:rPr>
        <w:t xml:space="preserve"> </w:t>
      </w:r>
      <w:r w:rsidRPr="00324F6E">
        <w:rPr>
          <w:rFonts w:ascii="Arial" w:hAnsi="Arial" w:cs="Arial"/>
          <w:sz w:val="20"/>
        </w:rPr>
        <w:t>staff</w:t>
      </w:r>
      <w:r w:rsidRPr="00324F6E">
        <w:rPr>
          <w:rFonts w:ascii="Arial" w:hAnsi="Arial" w:cs="Arial"/>
          <w:spacing w:val="1"/>
          <w:sz w:val="20"/>
        </w:rPr>
        <w:t xml:space="preserve"> </w:t>
      </w:r>
      <w:r w:rsidRPr="00324F6E">
        <w:rPr>
          <w:rFonts w:ascii="Arial" w:hAnsi="Arial" w:cs="Arial"/>
          <w:sz w:val="20"/>
        </w:rPr>
        <w:t>performing</w:t>
      </w:r>
      <w:r w:rsidRPr="00324F6E">
        <w:rPr>
          <w:rFonts w:ascii="Arial" w:hAnsi="Arial" w:cs="Arial"/>
          <w:spacing w:val="1"/>
          <w:sz w:val="20"/>
        </w:rPr>
        <w:t xml:space="preserve"> </w:t>
      </w:r>
      <w:r w:rsidRPr="00324F6E">
        <w:rPr>
          <w:rFonts w:ascii="Arial" w:hAnsi="Arial" w:cs="Arial"/>
          <w:sz w:val="20"/>
        </w:rPr>
        <w:t>the</w:t>
      </w:r>
      <w:r w:rsidRPr="00324F6E">
        <w:rPr>
          <w:rFonts w:ascii="Arial" w:hAnsi="Arial" w:cs="Arial"/>
          <w:spacing w:val="1"/>
          <w:sz w:val="20"/>
        </w:rPr>
        <w:t xml:space="preserve"> </w:t>
      </w:r>
      <w:r w:rsidRPr="00324F6E">
        <w:rPr>
          <w:rFonts w:ascii="Arial" w:hAnsi="Arial" w:cs="Arial"/>
          <w:sz w:val="20"/>
        </w:rPr>
        <w:t>airworthiness</w:t>
      </w:r>
      <w:r w:rsidRPr="00324F6E">
        <w:rPr>
          <w:rFonts w:ascii="Arial" w:hAnsi="Arial" w:cs="Arial"/>
          <w:spacing w:val="-7"/>
          <w:sz w:val="20"/>
        </w:rPr>
        <w:t xml:space="preserve"> </w:t>
      </w:r>
      <w:r w:rsidRPr="00324F6E">
        <w:rPr>
          <w:rFonts w:ascii="Arial" w:hAnsi="Arial" w:cs="Arial"/>
          <w:sz w:val="20"/>
        </w:rPr>
        <w:t>review,</w:t>
      </w:r>
      <w:r w:rsidRPr="00324F6E">
        <w:rPr>
          <w:rFonts w:ascii="Arial" w:hAnsi="Arial" w:cs="Arial"/>
          <w:spacing w:val="-7"/>
          <w:sz w:val="20"/>
        </w:rPr>
        <w:t xml:space="preserve"> </w:t>
      </w:r>
      <w:r w:rsidRPr="00324F6E">
        <w:rPr>
          <w:rFonts w:ascii="Arial" w:hAnsi="Arial" w:cs="Arial"/>
          <w:sz w:val="20"/>
        </w:rPr>
        <w:t>as</w:t>
      </w:r>
      <w:r w:rsidRPr="00324F6E">
        <w:rPr>
          <w:rFonts w:ascii="Arial" w:hAnsi="Arial" w:cs="Arial"/>
          <w:spacing w:val="-8"/>
          <w:sz w:val="20"/>
        </w:rPr>
        <w:t xml:space="preserve"> </w:t>
      </w:r>
      <w:r w:rsidRPr="00324F6E">
        <w:rPr>
          <w:rFonts w:ascii="Arial" w:hAnsi="Arial" w:cs="Arial"/>
          <w:sz w:val="20"/>
        </w:rPr>
        <w:t>provided</w:t>
      </w:r>
      <w:r w:rsidRPr="00324F6E">
        <w:rPr>
          <w:rFonts w:ascii="Arial" w:hAnsi="Arial" w:cs="Arial"/>
          <w:spacing w:val="-8"/>
          <w:sz w:val="20"/>
        </w:rPr>
        <w:t xml:space="preserve"> </w:t>
      </w:r>
      <w:r w:rsidRPr="00324F6E">
        <w:rPr>
          <w:rFonts w:ascii="Arial" w:hAnsi="Arial" w:cs="Arial"/>
          <w:sz w:val="20"/>
        </w:rPr>
        <w:t>for</w:t>
      </w:r>
      <w:r w:rsidRPr="00324F6E">
        <w:rPr>
          <w:rFonts w:ascii="Arial" w:hAnsi="Arial" w:cs="Arial"/>
          <w:spacing w:val="-7"/>
          <w:sz w:val="20"/>
        </w:rPr>
        <w:t xml:space="preserve"> </w:t>
      </w:r>
      <w:r w:rsidRPr="00324F6E">
        <w:rPr>
          <w:rFonts w:ascii="Arial" w:hAnsi="Arial" w:cs="Arial"/>
          <w:sz w:val="20"/>
        </w:rPr>
        <w:t>in</w:t>
      </w:r>
      <w:r w:rsidRPr="00324F6E">
        <w:rPr>
          <w:rFonts w:ascii="Arial" w:hAnsi="Arial" w:cs="Arial"/>
          <w:spacing w:val="-9"/>
          <w:sz w:val="20"/>
        </w:rPr>
        <w:t xml:space="preserve"> </w:t>
      </w:r>
      <w:r w:rsidRPr="00324F6E">
        <w:rPr>
          <w:rFonts w:ascii="Arial" w:hAnsi="Arial" w:cs="Arial"/>
          <w:sz w:val="20"/>
        </w:rPr>
        <w:t>point</w:t>
      </w:r>
      <w:r w:rsidRPr="00324F6E">
        <w:rPr>
          <w:rFonts w:ascii="Arial" w:hAnsi="Arial" w:cs="Arial"/>
          <w:spacing w:val="-7"/>
          <w:sz w:val="20"/>
        </w:rPr>
        <w:t xml:space="preserve"> </w:t>
      </w:r>
      <w:r w:rsidRPr="00324F6E">
        <w:rPr>
          <w:rFonts w:ascii="Arial" w:hAnsi="Arial" w:cs="Arial"/>
          <w:sz w:val="20"/>
        </w:rPr>
        <w:t>(b)</w:t>
      </w:r>
      <w:r w:rsidRPr="00324F6E">
        <w:rPr>
          <w:rFonts w:ascii="Arial" w:hAnsi="Arial" w:cs="Arial"/>
          <w:spacing w:val="-8"/>
          <w:sz w:val="20"/>
        </w:rPr>
        <w:t xml:space="preserve"> </w:t>
      </w:r>
      <w:r w:rsidRPr="00324F6E">
        <w:rPr>
          <w:rFonts w:ascii="Arial" w:hAnsi="Arial" w:cs="Arial"/>
          <w:sz w:val="20"/>
        </w:rPr>
        <w:t>of</w:t>
      </w:r>
      <w:r w:rsidRPr="00324F6E">
        <w:rPr>
          <w:rFonts w:ascii="Arial" w:hAnsi="Arial" w:cs="Arial"/>
          <w:spacing w:val="-7"/>
          <w:sz w:val="20"/>
        </w:rPr>
        <w:t xml:space="preserve"> </w:t>
      </w:r>
      <w:r w:rsidRPr="00324F6E">
        <w:rPr>
          <w:rFonts w:ascii="Arial" w:hAnsi="Arial" w:cs="Arial"/>
          <w:sz w:val="20"/>
        </w:rPr>
        <w:t>point</w:t>
      </w:r>
      <w:r w:rsidRPr="00324F6E">
        <w:rPr>
          <w:rFonts w:ascii="Arial" w:hAnsi="Arial" w:cs="Arial"/>
          <w:color w:val="0000FF"/>
          <w:spacing w:val="-7"/>
          <w:sz w:val="20"/>
        </w:rPr>
        <w:t xml:space="preserve"> </w:t>
      </w:r>
      <w:r w:rsidRPr="00324F6E">
        <w:rPr>
          <w:rFonts w:ascii="Arial" w:hAnsi="Arial" w:cs="Arial"/>
          <w:sz w:val="20"/>
        </w:rPr>
        <w:t>ML.A.901, shall</w:t>
      </w:r>
      <w:r w:rsidRPr="00324F6E">
        <w:rPr>
          <w:rFonts w:ascii="Arial" w:hAnsi="Arial" w:cs="Arial"/>
          <w:spacing w:val="-8"/>
          <w:sz w:val="20"/>
        </w:rPr>
        <w:t xml:space="preserve"> </w:t>
      </w:r>
      <w:r w:rsidRPr="00324F6E">
        <w:rPr>
          <w:rFonts w:ascii="Arial" w:hAnsi="Arial" w:cs="Arial"/>
          <w:sz w:val="20"/>
        </w:rPr>
        <w:t>issue</w:t>
      </w:r>
      <w:r w:rsidRPr="00324F6E">
        <w:rPr>
          <w:rFonts w:ascii="Arial" w:hAnsi="Arial" w:cs="Arial"/>
          <w:spacing w:val="-6"/>
          <w:sz w:val="20"/>
        </w:rPr>
        <w:t xml:space="preserve"> </w:t>
      </w:r>
      <w:r w:rsidRPr="00324F6E">
        <w:rPr>
          <w:rFonts w:ascii="Arial" w:hAnsi="Arial" w:cs="Arial"/>
          <w:sz w:val="20"/>
        </w:rPr>
        <w:t>an</w:t>
      </w:r>
      <w:r w:rsidRPr="00324F6E">
        <w:rPr>
          <w:rFonts w:ascii="Arial" w:hAnsi="Arial" w:cs="Arial"/>
          <w:spacing w:val="-9"/>
          <w:sz w:val="20"/>
        </w:rPr>
        <w:t xml:space="preserve"> </w:t>
      </w:r>
      <w:r w:rsidRPr="00324F6E">
        <w:rPr>
          <w:rFonts w:ascii="Arial" w:hAnsi="Arial" w:cs="Arial"/>
          <w:sz w:val="20"/>
        </w:rPr>
        <w:t>ARC</w:t>
      </w:r>
      <w:r w:rsidRPr="00324F6E">
        <w:rPr>
          <w:rFonts w:ascii="Arial" w:hAnsi="Arial" w:cs="Arial"/>
          <w:spacing w:val="-8"/>
          <w:sz w:val="20"/>
        </w:rPr>
        <w:t xml:space="preserve"> </w:t>
      </w:r>
      <w:r w:rsidRPr="00324F6E">
        <w:rPr>
          <w:rFonts w:ascii="Arial" w:hAnsi="Arial" w:cs="Arial"/>
          <w:sz w:val="20"/>
        </w:rPr>
        <w:t>and</w:t>
      </w:r>
      <w:r w:rsidRPr="00324F6E">
        <w:rPr>
          <w:rFonts w:ascii="Arial" w:hAnsi="Arial" w:cs="Arial"/>
          <w:spacing w:val="-9"/>
          <w:sz w:val="20"/>
        </w:rPr>
        <w:t xml:space="preserve"> </w:t>
      </w:r>
      <w:r w:rsidRPr="00324F6E">
        <w:rPr>
          <w:rFonts w:ascii="Arial" w:hAnsi="Arial" w:cs="Arial"/>
          <w:sz w:val="20"/>
        </w:rPr>
        <w:t>shall</w:t>
      </w:r>
      <w:r w:rsidRPr="00324F6E">
        <w:rPr>
          <w:rFonts w:ascii="Arial" w:hAnsi="Arial" w:cs="Arial"/>
          <w:spacing w:val="-47"/>
          <w:sz w:val="20"/>
        </w:rPr>
        <w:t xml:space="preserve"> </w:t>
      </w:r>
      <w:r w:rsidRPr="00324F6E">
        <w:rPr>
          <w:rFonts w:ascii="Arial" w:hAnsi="Arial" w:cs="Arial"/>
          <w:sz w:val="20"/>
        </w:rPr>
        <w:t>submit</w:t>
      </w:r>
      <w:r w:rsidRPr="00324F6E">
        <w:rPr>
          <w:rFonts w:ascii="Arial" w:hAnsi="Arial" w:cs="Arial"/>
          <w:spacing w:val="-1"/>
          <w:sz w:val="20"/>
        </w:rPr>
        <w:t xml:space="preserve"> </w:t>
      </w:r>
      <w:r w:rsidRPr="00324F6E">
        <w:rPr>
          <w:rFonts w:ascii="Arial" w:hAnsi="Arial" w:cs="Arial"/>
          <w:sz w:val="20"/>
        </w:rPr>
        <w:t>a</w:t>
      </w:r>
      <w:r w:rsidRPr="00324F6E">
        <w:rPr>
          <w:rFonts w:ascii="Arial" w:hAnsi="Arial" w:cs="Arial"/>
          <w:spacing w:val="-2"/>
          <w:sz w:val="20"/>
        </w:rPr>
        <w:t xml:space="preserve"> </w:t>
      </w:r>
      <w:r w:rsidRPr="00324F6E">
        <w:rPr>
          <w:rFonts w:ascii="Arial" w:hAnsi="Arial" w:cs="Arial"/>
          <w:sz w:val="20"/>
        </w:rPr>
        <w:t>copy to</w:t>
      </w:r>
      <w:r w:rsidRPr="00324F6E">
        <w:rPr>
          <w:rFonts w:ascii="Arial" w:hAnsi="Arial" w:cs="Arial"/>
          <w:spacing w:val="-1"/>
          <w:sz w:val="20"/>
        </w:rPr>
        <w:t xml:space="preserve"> </w:t>
      </w:r>
      <w:r w:rsidRPr="00324F6E">
        <w:rPr>
          <w:rFonts w:ascii="Arial" w:hAnsi="Arial" w:cs="Arial"/>
          <w:sz w:val="20"/>
        </w:rPr>
        <w:t xml:space="preserve">the </w:t>
      </w:r>
      <w:r w:rsidR="004E22F1">
        <w:rPr>
          <w:rFonts w:ascii="Arial" w:hAnsi="Arial" w:cs="Arial"/>
          <w:sz w:val="20"/>
          <w:szCs w:val="20"/>
        </w:rPr>
        <w:t xml:space="preserve">CAC RA </w:t>
      </w:r>
      <w:r w:rsidRPr="00324F6E">
        <w:rPr>
          <w:rFonts w:ascii="Arial" w:hAnsi="Arial" w:cs="Arial"/>
          <w:sz w:val="20"/>
        </w:rPr>
        <w:t>of</w:t>
      </w:r>
      <w:r w:rsidRPr="00324F6E">
        <w:rPr>
          <w:rFonts w:ascii="Arial" w:hAnsi="Arial" w:cs="Arial"/>
          <w:spacing w:val="-2"/>
          <w:sz w:val="20"/>
        </w:rPr>
        <w:t xml:space="preserve"> </w:t>
      </w:r>
      <w:r w:rsidRPr="00324F6E">
        <w:rPr>
          <w:rFonts w:ascii="Arial" w:hAnsi="Arial" w:cs="Arial"/>
          <w:sz w:val="20"/>
        </w:rPr>
        <w:t>registry.</w:t>
      </w:r>
    </w:p>
    <w:p w14:paraId="04236187" w14:textId="346E60AD" w:rsidR="00324F6E" w:rsidRPr="00324F6E" w:rsidRDefault="00324F6E" w:rsidP="00A8735B">
      <w:pPr>
        <w:pStyle w:val="ListParagraph"/>
        <w:numPr>
          <w:ilvl w:val="0"/>
          <w:numId w:val="332"/>
        </w:numPr>
        <w:tabs>
          <w:tab w:val="left" w:pos="707"/>
        </w:tabs>
        <w:spacing w:before="118"/>
        <w:ind w:right="44"/>
        <w:jc w:val="both"/>
        <w:rPr>
          <w:rFonts w:ascii="Arial" w:hAnsi="Arial" w:cs="Arial"/>
          <w:sz w:val="20"/>
        </w:rPr>
      </w:pPr>
      <w:r w:rsidRPr="00324F6E">
        <w:rPr>
          <w:rFonts w:ascii="Arial" w:hAnsi="Arial" w:cs="Arial"/>
          <w:sz w:val="20"/>
        </w:rPr>
        <w:t xml:space="preserve">The owner shall allow access to the aircraft for inspection by the </w:t>
      </w:r>
      <w:r w:rsidR="004E22F1">
        <w:rPr>
          <w:rFonts w:ascii="Arial" w:hAnsi="Arial" w:cs="Arial"/>
          <w:sz w:val="20"/>
          <w:szCs w:val="20"/>
        </w:rPr>
        <w:t xml:space="preserve">CAC RA </w:t>
      </w:r>
      <w:r w:rsidRPr="00324F6E">
        <w:rPr>
          <w:rFonts w:ascii="Arial" w:hAnsi="Arial" w:cs="Arial"/>
          <w:sz w:val="20"/>
        </w:rPr>
        <w:t>of</w:t>
      </w:r>
      <w:r w:rsidRPr="00324F6E">
        <w:rPr>
          <w:rFonts w:ascii="Arial" w:hAnsi="Arial" w:cs="Arial"/>
          <w:spacing w:val="-2"/>
          <w:sz w:val="20"/>
        </w:rPr>
        <w:t xml:space="preserve"> </w:t>
      </w:r>
      <w:r w:rsidRPr="00324F6E">
        <w:rPr>
          <w:rFonts w:ascii="Arial" w:hAnsi="Arial" w:cs="Arial"/>
          <w:sz w:val="20"/>
        </w:rPr>
        <w:t>registry.</w:t>
      </w:r>
    </w:p>
    <w:p w14:paraId="5C613136" w14:textId="796E1C75" w:rsidR="00324F6E" w:rsidRPr="00324F6E" w:rsidRDefault="00324F6E" w:rsidP="00A8735B">
      <w:pPr>
        <w:pStyle w:val="ListParagraph"/>
        <w:numPr>
          <w:ilvl w:val="0"/>
          <w:numId w:val="332"/>
        </w:numPr>
        <w:tabs>
          <w:tab w:val="left" w:pos="706"/>
          <w:tab w:val="left" w:pos="707"/>
        </w:tabs>
        <w:spacing w:before="57"/>
        <w:ind w:right="44"/>
        <w:jc w:val="both"/>
        <w:rPr>
          <w:rFonts w:ascii="Arial" w:hAnsi="Arial" w:cs="Arial"/>
          <w:sz w:val="20"/>
        </w:rPr>
      </w:pPr>
      <w:r w:rsidRPr="00324F6E">
        <w:rPr>
          <w:rFonts w:ascii="Arial" w:hAnsi="Arial" w:cs="Arial"/>
          <w:sz w:val="20"/>
        </w:rPr>
        <w:t>A</w:t>
      </w:r>
      <w:r w:rsidRPr="00324F6E">
        <w:rPr>
          <w:rFonts w:ascii="Arial" w:hAnsi="Arial" w:cs="Arial"/>
          <w:spacing w:val="-8"/>
          <w:sz w:val="20"/>
        </w:rPr>
        <w:t xml:space="preserve"> </w:t>
      </w:r>
      <w:r w:rsidRPr="00324F6E">
        <w:rPr>
          <w:rFonts w:ascii="Arial" w:hAnsi="Arial" w:cs="Arial"/>
          <w:sz w:val="20"/>
        </w:rPr>
        <w:t>new</w:t>
      </w:r>
      <w:r w:rsidRPr="00324F6E">
        <w:rPr>
          <w:rFonts w:ascii="Arial" w:hAnsi="Arial" w:cs="Arial"/>
          <w:spacing w:val="-9"/>
          <w:sz w:val="20"/>
        </w:rPr>
        <w:t xml:space="preserve"> </w:t>
      </w:r>
      <w:r w:rsidRPr="00324F6E">
        <w:rPr>
          <w:rFonts w:ascii="Arial" w:hAnsi="Arial" w:cs="Arial"/>
          <w:sz w:val="20"/>
        </w:rPr>
        <w:t>airworthiness</w:t>
      </w:r>
      <w:r w:rsidRPr="00324F6E">
        <w:rPr>
          <w:rFonts w:ascii="Arial" w:hAnsi="Arial" w:cs="Arial"/>
          <w:spacing w:val="-9"/>
          <w:sz w:val="20"/>
        </w:rPr>
        <w:t xml:space="preserve"> </w:t>
      </w:r>
      <w:r w:rsidRPr="00324F6E">
        <w:rPr>
          <w:rFonts w:ascii="Arial" w:hAnsi="Arial" w:cs="Arial"/>
          <w:sz w:val="20"/>
        </w:rPr>
        <w:t>certificate</w:t>
      </w:r>
      <w:r w:rsidRPr="00324F6E">
        <w:rPr>
          <w:rFonts w:ascii="Arial" w:hAnsi="Arial" w:cs="Arial"/>
          <w:spacing w:val="-9"/>
          <w:sz w:val="20"/>
        </w:rPr>
        <w:t xml:space="preserve"> </w:t>
      </w:r>
      <w:r w:rsidRPr="00324F6E">
        <w:rPr>
          <w:rFonts w:ascii="Arial" w:hAnsi="Arial" w:cs="Arial"/>
          <w:sz w:val="20"/>
        </w:rPr>
        <w:t>shall</w:t>
      </w:r>
      <w:r w:rsidRPr="00324F6E">
        <w:rPr>
          <w:rFonts w:ascii="Arial" w:hAnsi="Arial" w:cs="Arial"/>
          <w:spacing w:val="-7"/>
          <w:sz w:val="20"/>
        </w:rPr>
        <w:t xml:space="preserve"> </w:t>
      </w:r>
      <w:r w:rsidRPr="00324F6E">
        <w:rPr>
          <w:rFonts w:ascii="Arial" w:hAnsi="Arial" w:cs="Arial"/>
          <w:sz w:val="20"/>
        </w:rPr>
        <w:t>be</w:t>
      </w:r>
      <w:r w:rsidRPr="00324F6E">
        <w:rPr>
          <w:rFonts w:ascii="Arial" w:hAnsi="Arial" w:cs="Arial"/>
          <w:spacing w:val="-10"/>
          <w:sz w:val="20"/>
        </w:rPr>
        <w:t xml:space="preserve"> </w:t>
      </w:r>
      <w:r w:rsidRPr="00324F6E">
        <w:rPr>
          <w:rFonts w:ascii="Arial" w:hAnsi="Arial" w:cs="Arial"/>
          <w:sz w:val="20"/>
        </w:rPr>
        <w:t>issued</w:t>
      </w:r>
      <w:r w:rsidRPr="00324F6E">
        <w:rPr>
          <w:rFonts w:ascii="Arial" w:hAnsi="Arial" w:cs="Arial"/>
          <w:spacing w:val="-10"/>
          <w:sz w:val="20"/>
        </w:rPr>
        <w:t xml:space="preserve"> </w:t>
      </w:r>
      <w:r w:rsidRPr="00324F6E">
        <w:rPr>
          <w:rFonts w:ascii="Arial" w:hAnsi="Arial" w:cs="Arial"/>
          <w:sz w:val="20"/>
        </w:rPr>
        <w:t>by</w:t>
      </w:r>
      <w:r w:rsidRPr="00324F6E">
        <w:rPr>
          <w:rFonts w:ascii="Arial" w:hAnsi="Arial" w:cs="Arial"/>
          <w:spacing w:val="-10"/>
          <w:sz w:val="20"/>
        </w:rPr>
        <w:t xml:space="preserve"> </w:t>
      </w:r>
      <w:r w:rsidRPr="00324F6E">
        <w:rPr>
          <w:rFonts w:ascii="Arial" w:hAnsi="Arial" w:cs="Arial"/>
          <w:sz w:val="20"/>
        </w:rPr>
        <w:t>the</w:t>
      </w:r>
      <w:r w:rsidRPr="00324F6E">
        <w:rPr>
          <w:rFonts w:ascii="Arial" w:hAnsi="Arial" w:cs="Arial"/>
          <w:spacing w:val="-10"/>
          <w:sz w:val="20"/>
        </w:rPr>
        <w:t xml:space="preserve"> </w:t>
      </w:r>
      <w:r w:rsidR="004E22F1">
        <w:rPr>
          <w:rFonts w:ascii="Arial" w:hAnsi="Arial" w:cs="Arial"/>
          <w:sz w:val="20"/>
          <w:szCs w:val="20"/>
        </w:rPr>
        <w:t xml:space="preserve">CAC RA </w:t>
      </w:r>
      <w:r w:rsidRPr="00324F6E">
        <w:rPr>
          <w:rFonts w:ascii="Arial" w:hAnsi="Arial" w:cs="Arial"/>
          <w:sz w:val="20"/>
        </w:rPr>
        <w:t>of</w:t>
      </w:r>
      <w:r w:rsidRPr="00324F6E">
        <w:rPr>
          <w:rFonts w:ascii="Arial" w:hAnsi="Arial" w:cs="Arial"/>
          <w:spacing w:val="-1"/>
          <w:sz w:val="20"/>
        </w:rPr>
        <w:t xml:space="preserve"> </w:t>
      </w:r>
      <w:r w:rsidRPr="00324F6E">
        <w:rPr>
          <w:rFonts w:ascii="Arial" w:hAnsi="Arial" w:cs="Arial"/>
          <w:sz w:val="20"/>
        </w:rPr>
        <w:t>registry if</w:t>
      </w:r>
      <w:r w:rsidRPr="00324F6E">
        <w:rPr>
          <w:rFonts w:ascii="Arial" w:hAnsi="Arial" w:cs="Arial"/>
          <w:spacing w:val="-3"/>
          <w:sz w:val="20"/>
        </w:rPr>
        <w:t xml:space="preserve"> </w:t>
      </w:r>
      <w:r w:rsidRPr="00324F6E">
        <w:rPr>
          <w:rFonts w:ascii="Arial" w:hAnsi="Arial" w:cs="Arial"/>
          <w:sz w:val="20"/>
        </w:rPr>
        <w:t>the</w:t>
      </w:r>
      <w:r w:rsidRPr="00324F6E">
        <w:rPr>
          <w:rFonts w:ascii="Arial" w:hAnsi="Arial" w:cs="Arial"/>
          <w:spacing w:val="-2"/>
          <w:sz w:val="20"/>
        </w:rPr>
        <w:t xml:space="preserve"> </w:t>
      </w:r>
      <w:r w:rsidRPr="00324F6E">
        <w:rPr>
          <w:rFonts w:ascii="Arial" w:hAnsi="Arial" w:cs="Arial"/>
          <w:sz w:val="20"/>
        </w:rPr>
        <w:t>aircraft</w:t>
      </w:r>
      <w:r w:rsidRPr="00324F6E">
        <w:rPr>
          <w:rFonts w:ascii="Arial" w:hAnsi="Arial" w:cs="Arial"/>
          <w:spacing w:val="-4"/>
          <w:sz w:val="20"/>
        </w:rPr>
        <w:t xml:space="preserve"> </w:t>
      </w:r>
      <w:r w:rsidRPr="00324F6E">
        <w:rPr>
          <w:rFonts w:ascii="Arial" w:hAnsi="Arial" w:cs="Arial"/>
          <w:sz w:val="20"/>
        </w:rPr>
        <w:t>complies</w:t>
      </w:r>
      <w:r w:rsidRPr="00324F6E">
        <w:rPr>
          <w:rFonts w:ascii="Arial" w:hAnsi="Arial" w:cs="Arial"/>
          <w:spacing w:val="-1"/>
          <w:sz w:val="20"/>
        </w:rPr>
        <w:t xml:space="preserve"> </w:t>
      </w:r>
      <w:r w:rsidRPr="00324F6E">
        <w:rPr>
          <w:rFonts w:ascii="Arial" w:hAnsi="Arial" w:cs="Arial"/>
          <w:sz w:val="20"/>
        </w:rPr>
        <w:t>with Annex</w:t>
      </w:r>
      <w:r w:rsidRPr="00324F6E">
        <w:rPr>
          <w:rFonts w:ascii="Arial" w:hAnsi="Arial" w:cs="Arial"/>
          <w:spacing w:val="-2"/>
          <w:sz w:val="20"/>
        </w:rPr>
        <w:t xml:space="preserve"> </w:t>
      </w:r>
      <w:r w:rsidRPr="00324F6E">
        <w:rPr>
          <w:rFonts w:ascii="Arial" w:hAnsi="Arial" w:cs="Arial"/>
          <w:sz w:val="20"/>
        </w:rPr>
        <w:t>I (Part-21)</w:t>
      </w:r>
      <w:r w:rsidRPr="00324F6E">
        <w:rPr>
          <w:rFonts w:ascii="Arial" w:hAnsi="Arial" w:cs="Arial"/>
          <w:spacing w:val="-1"/>
          <w:sz w:val="20"/>
        </w:rPr>
        <w:t xml:space="preserve"> </w:t>
      </w:r>
      <w:r w:rsidRPr="00324F6E">
        <w:rPr>
          <w:rFonts w:ascii="Arial" w:hAnsi="Arial" w:cs="Arial"/>
          <w:sz w:val="20"/>
        </w:rPr>
        <w:t>to</w:t>
      </w:r>
      <w:r w:rsidRPr="00324F6E">
        <w:rPr>
          <w:rFonts w:ascii="Arial" w:hAnsi="Arial" w:cs="Arial"/>
          <w:spacing w:val="1"/>
          <w:sz w:val="20"/>
        </w:rPr>
        <w:t xml:space="preserve"> </w:t>
      </w:r>
      <w:hyperlink r:id="rId133" w:history="1">
        <w:r w:rsidR="003D723D">
          <w:rPr>
            <w:rStyle w:val="Hyperlink"/>
            <w:rFonts w:ascii="Arial" w:hAnsi="Arial" w:cs="Arial"/>
            <w:sz w:val="20"/>
          </w:rPr>
          <w:t>the order N 20-N of the Minister of Territorial Administration and Infrastructure of RA, dated 18.11.2022</w:t>
        </w:r>
      </w:hyperlink>
      <w:r w:rsidRPr="00324F6E">
        <w:rPr>
          <w:rFonts w:ascii="Arial" w:hAnsi="Arial" w:cs="Arial"/>
          <w:sz w:val="20"/>
        </w:rPr>
        <w:t>.</w:t>
      </w:r>
    </w:p>
    <w:p w14:paraId="17A9D52A" w14:textId="77777777" w:rsidR="00324F6E" w:rsidRPr="00324F6E" w:rsidRDefault="00324F6E" w:rsidP="00A8735B">
      <w:pPr>
        <w:keepNext/>
        <w:keepLines/>
        <w:widowControl/>
        <w:shd w:val="clear" w:color="auto" w:fill="2F5496"/>
        <w:autoSpaceDE/>
        <w:autoSpaceDN/>
        <w:spacing w:before="280" w:after="240" w:line="259" w:lineRule="auto"/>
        <w:ind w:right="44"/>
        <w:outlineLvl w:val="3"/>
        <w:rPr>
          <w:rFonts w:ascii="Arial" w:eastAsia="Times New Roman" w:hAnsi="Arial" w:cs="Times New Roman"/>
          <w:b/>
          <w:iCs/>
          <w:color w:val="FFFFFF"/>
          <w:sz w:val="24"/>
        </w:rPr>
      </w:pPr>
      <w:bookmarkStart w:id="934" w:name="_Toc153137561"/>
      <w:r w:rsidRPr="00324F6E">
        <w:rPr>
          <w:rFonts w:ascii="Arial" w:eastAsia="Times New Roman" w:hAnsi="Arial" w:cs="Times New Roman"/>
          <w:b/>
          <w:iCs/>
          <w:color w:val="FFFFFF"/>
          <w:sz w:val="24"/>
        </w:rPr>
        <w:t>ML.A.907 Findings</w:t>
      </w:r>
      <w:bookmarkEnd w:id="934"/>
      <w:r w:rsidRPr="00324F6E">
        <w:rPr>
          <w:rFonts w:ascii="Arial" w:eastAsia="Times New Roman" w:hAnsi="Arial" w:cs="Times New Roman"/>
          <w:b/>
          <w:iCs/>
          <w:color w:val="FFFFFF"/>
          <w:sz w:val="24"/>
        </w:rPr>
        <w:tab/>
      </w:r>
    </w:p>
    <w:p w14:paraId="696358FD" w14:textId="77777777" w:rsidR="002D5CEF" w:rsidRPr="002D5CEF" w:rsidRDefault="002D5CEF" w:rsidP="002D5CEF">
      <w:pPr>
        <w:numPr>
          <w:ilvl w:val="0"/>
          <w:numId w:val="333"/>
        </w:numPr>
        <w:tabs>
          <w:tab w:val="left" w:pos="707"/>
        </w:tabs>
        <w:spacing w:before="118"/>
        <w:jc w:val="both"/>
        <w:rPr>
          <w:rFonts w:ascii="Arial" w:hAnsi="Arial" w:cs="Arial"/>
          <w:sz w:val="20"/>
        </w:rPr>
      </w:pPr>
      <w:r w:rsidRPr="002D5CEF">
        <w:rPr>
          <w:rFonts w:ascii="Arial" w:hAnsi="Arial" w:cs="Arial"/>
          <w:sz w:val="20"/>
        </w:rPr>
        <w:t>Findings</w:t>
      </w:r>
      <w:r w:rsidRPr="002D5CEF">
        <w:rPr>
          <w:rFonts w:ascii="Arial" w:hAnsi="Arial" w:cs="Arial"/>
          <w:spacing w:val="-1"/>
          <w:sz w:val="20"/>
        </w:rPr>
        <w:t xml:space="preserve"> </w:t>
      </w:r>
      <w:r w:rsidRPr="002D5CEF">
        <w:rPr>
          <w:rFonts w:ascii="Arial" w:hAnsi="Arial" w:cs="Arial"/>
          <w:sz w:val="20"/>
        </w:rPr>
        <w:t>are</w:t>
      </w:r>
      <w:r w:rsidRPr="002D5CEF">
        <w:rPr>
          <w:rFonts w:ascii="Arial" w:hAnsi="Arial" w:cs="Arial"/>
          <w:spacing w:val="1"/>
          <w:sz w:val="20"/>
        </w:rPr>
        <w:t xml:space="preserve"> </w:t>
      </w:r>
      <w:r w:rsidRPr="002D5CEF">
        <w:rPr>
          <w:rFonts w:ascii="Arial" w:hAnsi="Arial" w:cs="Arial"/>
          <w:sz w:val="20"/>
        </w:rPr>
        <w:t>categorised</w:t>
      </w:r>
      <w:r w:rsidRPr="002D5CEF">
        <w:rPr>
          <w:rFonts w:ascii="Arial" w:hAnsi="Arial" w:cs="Arial"/>
          <w:spacing w:val="-5"/>
          <w:sz w:val="20"/>
        </w:rPr>
        <w:t xml:space="preserve"> </w:t>
      </w:r>
      <w:r w:rsidRPr="002D5CEF">
        <w:rPr>
          <w:rFonts w:ascii="Arial" w:hAnsi="Arial" w:cs="Arial"/>
          <w:sz w:val="20"/>
        </w:rPr>
        <w:t>as</w:t>
      </w:r>
      <w:r w:rsidRPr="002D5CEF">
        <w:rPr>
          <w:rFonts w:ascii="Arial" w:hAnsi="Arial" w:cs="Arial"/>
          <w:spacing w:val="-2"/>
          <w:sz w:val="20"/>
        </w:rPr>
        <w:t xml:space="preserve"> </w:t>
      </w:r>
      <w:r w:rsidRPr="002D5CEF">
        <w:rPr>
          <w:rFonts w:ascii="Arial" w:hAnsi="Arial" w:cs="Arial"/>
          <w:sz w:val="20"/>
        </w:rPr>
        <w:t>follows:</w:t>
      </w:r>
    </w:p>
    <w:p w14:paraId="2359CC9C" w14:textId="77777777" w:rsidR="002D5CEF" w:rsidRPr="002D5CEF" w:rsidRDefault="002D5CEF" w:rsidP="008E4875">
      <w:pPr>
        <w:numPr>
          <w:ilvl w:val="1"/>
          <w:numId w:val="333"/>
        </w:numPr>
        <w:tabs>
          <w:tab w:val="left" w:pos="1274"/>
        </w:tabs>
        <w:spacing w:before="120"/>
        <w:ind w:right="44"/>
        <w:jc w:val="both"/>
        <w:rPr>
          <w:rFonts w:ascii="Arial" w:hAnsi="Arial" w:cs="Arial"/>
          <w:sz w:val="20"/>
        </w:rPr>
      </w:pPr>
      <w:r w:rsidRPr="002D5CEF">
        <w:rPr>
          <w:rFonts w:ascii="Arial" w:hAnsi="Arial" w:cs="Arial"/>
          <w:sz w:val="20"/>
        </w:rPr>
        <w:t>A Level 1 finding is any finding of significant non-compliance with the requirements of</w:t>
      </w:r>
      <w:r w:rsidRPr="002D5CEF">
        <w:rPr>
          <w:rFonts w:ascii="Arial" w:hAnsi="Arial" w:cs="Arial"/>
          <w:spacing w:val="1"/>
          <w:sz w:val="20"/>
        </w:rPr>
        <w:t xml:space="preserve"> </w:t>
      </w:r>
      <w:r w:rsidRPr="002D5CEF">
        <w:rPr>
          <w:rFonts w:ascii="Arial" w:hAnsi="Arial" w:cs="Arial"/>
          <w:sz w:val="20"/>
        </w:rPr>
        <w:t>this</w:t>
      </w:r>
      <w:r w:rsidRPr="002D5CEF">
        <w:rPr>
          <w:rFonts w:ascii="Arial" w:hAnsi="Arial" w:cs="Arial"/>
          <w:spacing w:val="-1"/>
          <w:sz w:val="20"/>
        </w:rPr>
        <w:t xml:space="preserve"> </w:t>
      </w:r>
      <w:r w:rsidRPr="002D5CEF">
        <w:rPr>
          <w:rFonts w:ascii="Arial" w:hAnsi="Arial" w:cs="Arial"/>
          <w:sz w:val="20"/>
        </w:rPr>
        <w:t>Annex</w:t>
      </w:r>
      <w:r w:rsidRPr="002D5CEF">
        <w:rPr>
          <w:rFonts w:ascii="Arial" w:hAnsi="Arial" w:cs="Arial"/>
          <w:spacing w:val="-3"/>
          <w:sz w:val="20"/>
        </w:rPr>
        <w:t xml:space="preserve"> </w:t>
      </w:r>
      <w:r w:rsidRPr="002D5CEF">
        <w:rPr>
          <w:rFonts w:ascii="Arial" w:hAnsi="Arial" w:cs="Arial"/>
          <w:sz w:val="20"/>
        </w:rPr>
        <w:t>which</w:t>
      </w:r>
      <w:r w:rsidRPr="002D5CEF">
        <w:rPr>
          <w:rFonts w:ascii="Arial" w:hAnsi="Arial" w:cs="Arial"/>
          <w:spacing w:val="-2"/>
          <w:sz w:val="20"/>
        </w:rPr>
        <w:t xml:space="preserve"> </w:t>
      </w:r>
      <w:r w:rsidRPr="002D5CEF">
        <w:rPr>
          <w:rFonts w:ascii="Arial" w:hAnsi="Arial" w:cs="Arial"/>
          <w:sz w:val="20"/>
        </w:rPr>
        <w:t>lowers</w:t>
      </w:r>
      <w:r w:rsidRPr="002D5CEF">
        <w:rPr>
          <w:rFonts w:ascii="Arial" w:hAnsi="Arial" w:cs="Arial"/>
          <w:spacing w:val="-4"/>
          <w:sz w:val="20"/>
        </w:rPr>
        <w:t xml:space="preserve"> </w:t>
      </w:r>
      <w:r w:rsidRPr="002D5CEF">
        <w:rPr>
          <w:rFonts w:ascii="Arial" w:hAnsi="Arial" w:cs="Arial"/>
          <w:sz w:val="20"/>
        </w:rPr>
        <w:t>the safety</w:t>
      </w:r>
      <w:r w:rsidRPr="002D5CEF">
        <w:rPr>
          <w:rFonts w:ascii="Arial" w:hAnsi="Arial" w:cs="Arial"/>
          <w:spacing w:val="-2"/>
          <w:sz w:val="20"/>
        </w:rPr>
        <w:t xml:space="preserve"> </w:t>
      </w:r>
      <w:r w:rsidRPr="002D5CEF">
        <w:rPr>
          <w:rFonts w:ascii="Arial" w:hAnsi="Arial" w:cs="Arial"/>
          <w:sz w:val="20"/>
        </w:rPr>
        <w:t>standard</w:t>
      </w:r>
      <w:r w:rsidRPr="002D5CEF">
        <w:rPr>
          <w:rFonts w:ascii="Arial" w:hAnsi="Arial" w:cs="Arial"/>
          <w:spacing w:val="-2"/>
          <w:sz w:val="20"/>
        </w:rPr>
        <w:t xml:space="preserve"> </w:t>
      </w:r>
      <w:r w:rsidRPr="002D5CEF">
        <w:rPr>
          <w:rFonts w:ascii="Arial" w:hAnsi="Arial" w:cs="Arial"/>
          <w:sz w:val="20"/>
        </w:rPr>
        <w:t>and</w:t>
      </w:r>
      <w:r w:rsidRPr="002D5CEF">
        <w:rPr>
          <w:rFonts w:ascii="Arial" w:hAnsi="Arial" w:cs="Arial"/>
          <w:spacing w:val="-1"/>
          <w:sz w:val="20"/>
        </w:rPr>
        <w:t xml:space="preserve"> </w:t>
      </w:r>
      <w:r w:rsidRPr="002D5CEF">
        <w:rPr>
          <w:rFonts w:ascii="Arial" w:hAnsi="Arial" w:cs="Arial"/>
          <w:sz w:val="20"/>
        </w:rPr>
        <w:t>seriously</w:t>
      </w:r>
      <w:r w:rsidRPr="002D5CEF">
        <w:rPr>
          <w:rFonts w:ascii="Arial" w:hAnsi="Arial" w:cs="Arial"/>
          <w:spacing w:val="-1"/>
          <w:sz w:val="20"/>
        </w:rPr>
        <w:t xml:space="preserve"> </w:t>
      </w:r>
      <w:r w:rsidRPr="002D5CEF">
        <w:rPr>
          <w:rFonts w:ascii="Arial" w:hAnsi="Arial" w:cs="Arial"/>
          <w:sz w:val="20"/>
        </w:rPr>
        <w:t>endangers</w:t>
      </w:r>
      <w:r w:rsidRPr="002D5CEF">
        <w:rPr>
          <w:rFonts w:ascii="Arial" w:hAnsi="Arial" w:cs="Arial"/>
          <w:spacing w:val="-1"/>
          <w:sz w:val="20"/>
        </w:rPr>
        <w:t xml:space="preserve"> </w:t>
      </w:r>
      <w:r w:rsidRPr="002D5CEF">
        <w:rPr>
          <w:rFonts w:ascii="Arial" w:hAnsi="Arial" w:cs="Arial"/>
          <w:sz w:val="20"/>
        </w:rPr>
        <w:t>flight</w:t>
      </w:r>
      <w:r w:rsidRPr="002D5CEF">
        <w:rPr>
          <w:rFonts w:ascii="Arial" w:hAnsi="Arial" w:cs="Arial"/>
          <w:spacing w:val="-3"/>
          <w:sz w:val="20"/>
        </w:rPr>
        <w:t xml:space="preserve"> </w:t>
      </w:r>
      <w:r w:rsidRPr="002D5CEF">
        <w:rPr>
          <w:rFonts w:ascii="Arial" w:hAnsi="Arial" w:cs="Arial"/>
          <w:sz w:val="20"/>
        </w:rPr>
        <w:t>safety.</w:t>
      </w:r>
    </w:p>
    <w:p w14:paraId="470B4953" w14:textId="77777777" w:rsidR="002D5CEF" w:rsidRPr="002D5CEF" w:rsidRDefault="002D5CEF" w:rsidP="008E4875">
      <w:pPr>
        <w:numPr>
          <w:ilvl w:val="1"/>
          <w:numId w:val="333"/>
        </w:numPr>
        <w:tabs>
          <w:tab w:val="left" w:pos="1274"/>
        </w:tabs>
        <w:spacing w:before="120"/>
        <w:ind w:right="44"/>
        <w:jc w:val="both"/>
        <w:rPr>
          <w:rFonts w:ascii="Arial" w:hAnsi="Arial" w:cs="Arial"/>
          <w:sz w:val="20"/>
        </w:rPr>
      </w:pPr>
      <w:r w:rsidRPr="002D5CEF">
        <w:rPr>
          <w:rFonts w:ascii="Arial" w:hAnsi="Arial" w:cs="Arial"/>
          <w:sz w:val="20"/>
        </w:rPr>
        <w:t>A Level 2 finding is any finding of non-compliance with the requirements of this Annex</w:t>
      </w:r>
      <w:r w:rsidRPr="002D5CEF">
        <w:rPr>
          <w:rFonts w:ascii="Arial" w:hAnsi="Arial" w:cs="Arial"/>
          <w:spacing w:val="1"/>
          <w:sz w:val="20"/>
        </w:rPr>
        <w:t xml:space="preserve"> </w:t>
      </w:r>
      <w:r w:rsidRPr="002D5CEF">
        <w:rPr>
          <w:rFonts w:ascii="Arial" w:hAnsi="Arial" w:cs="Arial"/>
          <w:sz w:val="20"/>
        </w:rPr>
        <w:t>which</w:t>
      </w:r>
      <w:r w:rsidRPr="002D5CEF">
        <w:rPr>
          <w:rFonts w:ascii="Arial" w:hAnsi="Arial" w:cs="Arial"/>
          <w:spacing w:val="-2"/>
          <w:sz w:val="20"/>
        </w:rPr>
        <w:t xml:space="preserve"> </w:t>
      </w:r>
      <w:r w:rsidRPr="002D5CEF">
        <w:rPr>
          <w:rFonts w:ascii="Arial" w:hAnsi="Arial" w:cs="Arial"/>
          <w:sz w:val="20"/>
        </w:rPr>
        <w:t>may lower</w:t>
      </w:r>
      <w:r w:rsidRPr="002D5CEF">
        <w:rPr>
          <w:rFonts w:ascii="Arial" w:hAnsi="Arial" w:cs="Arial"/>
          <w:spacing w:val="-1"/>
          <w:sz w:val="20"/>
        </w:rPr>
        <w:t xml:space="preserve"> </w:t>
      </w:r>
      <w:r w:rsidRPr="002D5CEF">
        <w:rPr>
          <w:rFonts w:ascii="Arial" w:hAnsi="Arial" w:cs="Arial"/>
          <w:sz w:val="20"/>
        </w:rPr>
        <w:t>the</w:t>
      </w:r>
      <w:r w:rsidRPr="002D5CEF">
        <w:rPr>
          <w:rFonts w:ascii="Arial" w:hAnsi="Arial" w:cs="Arial"/>
          <w:spacing w:val="1"/>
          <w:sz w:val="20"/>
        </w:rPr>
        <w:t xml:space="preserve"> </w:t>
      </w:r>
      <w:r w:rsidRPr="002D5CEF">
        <w:rPr>
          <w:rFonts w:ascii="Arial" w:hAnsi="Arial" w:cs="Arial"/>
          <w:sz w:val="20"/>
        </w:rPr>
        <w:t>safety</w:t>
      </w:r>
      <w:r w:rsidRPr="002D5CEF">
        <w:rPr>
          <w:rFonts w:ascii="Arial" w:hAnsi="Arial" w:cs="Arial"/>
          <w:spacing w:val="-1"/>
          <w:sz w:val="20"/>
        </w:rPr>
        <w:t xml:space="preserve"> </w:t>
      </w:r>
      <w:r w:rsidRPr="002D5CEF">
        <w:rPr>
          <w:rFonts w:ascii="Arial" w:hAnsi="Arial" w:cs="Arial"/>
          <w:sz w:val="20"/>
        </w:rPr>
        <w:t>standard</w:t>
      </w:r>
      <w:r w:rsidRPr="002D5CEF">
        <w:rPr>
          <w:rFonts w:ascii="Arial" w:hAnsi="Arial" w:cs="Arial"/>
          <w:spacing w:val="-1"/>
          <w:sz w:val="20"/>
        </w:rPr>
        <w:t xml:space="preserve"> </w:t>
      </w:r>
      <w:r w:rsidRPr="002D5CEF">
        <w:rPr>
          <w:rFonts w:ascii="Arial" w:hAnsi="Arial" w:cs="Arial"/>
          <w:sz w:val="20"/>
        </w:rPr>
        <w:t>and</w:t>
      </w:r>
      <w:r w:rsidRPr="002D5CEF">
        <w:rPr>
          <w:rFonts w:ascii="Arial" w:hAnsi="Arial" w:cs="Arial"/>
          <w:spacing w:val="-3"/>
          <w:sz w:val="20"/>
        </w:rPr>
        <w:t xml:space="preserve"> </w:t>
      </w:r>
      <w:r w:rsidRPr="002D5CEF">
        <w:rPr>
          <w:rFonts w:ascii="Arial" w:hAnsi="Arial" w:cs="Arial"/>
          <w:sz w:val="20"/>
        </w:rPr>
        <w:t>may</w:t>
      </w:r>
      <w:r w:rsidRPr="002D5CEF">
        <w:rPr>
          <w:rFonts w:ascii="Arial" w:hAnsi="Arial" w:cs="Arial"/>
          <w:spacing w:val="-1"/>
          <w:sz w:val="20"/>
        </w:rPr>
        <w:t xml:space="preserve"> </w:t>
      </w:r>
      <w:r w:rsidRPr="002D5CEF">
        <w:rPr>
          <w:rFonts w:ascii="Arial" w:hAnsi="Arial" w:cs="Arial"/>
          <w:sz w:val="20"/>
        </w:rPr>
        <w:t>endanger flight</w:t>
      </w:r>
      <w:r w:rsidRPr="002D5CEF">
        <w:rPr>
          <w:rFonts w:ascii="Arial" w:hAnsi="Arial" w:cs="Arial"/>
          <w:spacing w:val="-1"/>
          <w:sz w:val="20"/>
        </w:rPr>
        <w:t xml:space="preserve"> </w:t>
      </w:r>
      <w:r w:rsidRPr="002D5CEF">
        <w:rPr>
          <w:rFonts w:ascii="Arial" w:hAnsi="Arial" w:cs="Arial"/>
          <w:sz w:val="20"/>
        </w:rPr>
        <w:t>safety.</w:t>
      </w:r>
    </w:p>
    <w:p w14:paraId="1708C807" w14:textId="1FB0FECB" w:rsidR="002D5CEF" w:rsidRPr="002D5CEF" w:rsidRDefault="002D5CEF" w:rsidP="008E4875">
      <w:pPr>
        <w:numPr>
          <w:ilvl w:val="0"/>
          <w:numId w:val="333"/>
        </w:numPr>
        <w:tabs>
          <w:tab w:val="left" w:pos="707"/>
        </w:tabs>
        <w:spacing w:before="121"/>
        <w:ind w:right="44"/>
        <w:jc w:val="both"/>
        <w:rPr>
          <w:rFonts w:ascii="Arial" w:hAnsi="Arial" w:cs="Arial"/>
          <w:sz w:val="20"/>
        </w:rPr>
      </w:pPr>
      <w:r w:rsidRPr="002D5CEF">
        <w:rPr>
          <w:rFonts w:ascii="Arial" w:hAnsi="Arial" w:cs="Arial"/>
          <w:sz w:val="20"/>
        </w:rPr>
        <w:t xml:space="preserve">After receipt of notification of findings in accordance with point ML.B.903, the person or organisation, having responsibilities pursuant to point ML.A.201, shall define and demonstrate to the </w:t>
      </w:r>
      <w:r w:rsidR="004C5666">
        <w:rPr>
          <w:rFonts w:ascii="Arial" w:hAnsi="Arial" w:cs="Arial"/>
          <w:sz w:val="20"/>
          <w:szCs w:val="20"/>
        </w:rPr>
        <w:t xml:space="preserve">CAC RA </w:t>
      </w:r>
      <w:r w:rsidRPr="002D5CEF">
        <w:rPr>
          <w:rFonts w:ascii="Arial" w:hAnsi="Arial" w:cs="Arial"/>
          <w:sz w:val="20"/>
        </w:rPr>
        <w:t>within a period agreed with this authority a corrective action plan,</w:t>
      </w:r>
      <w:r w:rsidRPr="002D5CEF">
        <w:rPr>
          <w:rFonts w:ascii="Arial" w:hAnsi="Arial" w:cs="Arial"/>
          <w:spacing w:val="-47"/>
          <w:sz w:val="20"/>
        </w:rPr>
        <w:t xml:space="preserve"> </w:t>
      </w:r>
      <w:r w:rsidRPr="002D5CEF">
        <w:rPr>
          <w:rFonts w:ascii="Arial" w:hAnsi="Arial" w:cs="Arial"/>
          <w:sz w:val="20"/>
        </w:rPr>
        <w:t>aimed</w:t>
      </w:r>
      <w:r w:rsidRPr="002D5CEF">
        <w:rPr>
          <w:rFonts w:ascii="Arial" w:hAnsi="Arial" w:cs="Arial"/>
          <w:spacing w:val="-2"/>
          <w:sz w:val="20"/>
        </w:rPr>
        <w:t xml:space="preserve"> </w:t>
      </w:r>
      <w:r w:rsidRPr="002D5CEF">
        <w:rPr>
          <w:rFonts w:ascii="Arial" w:hAnsi="Arial" w:cs="Arial"/>
          <w:sz w:val="20"/>
        </w:rPr>
        <w:t>at preventing</w:t>
      </w:r>
      <w:r w:rsidRPr="002D5CEF">
        <w:rPr>
          <w:rFonts w:ascii="Arial" w:hAnsi="Arial" w:cs="Arial"/>
          <w:spacing w:val="-1"/>
          <w:sz w:val="20"/>
        </w:rPr>
        <w:t xml:space="preserve"> </w:t>
      </w:r>
      <w:r w:rsidRPr="002D5CEF">
        <w:rPr>
          <w:rFonts w:ascii="Arial" w:hAnsi="Arial" w:cs="Arial"/>
          <w:sz w:val="20"/>
        </w:rPr>
        <w:t>reoccurrence</w:t>
      </w:r>
      <w:r w:rsidRPr="002D5CEF">
        <w:rPr>
          <w:rFonts w:ascii="Arial" w:hAnsi="Arial" w:cs="Arial"/>
          <w:spacing w:val="-2"/>
          <w:sz w:val="20"/>
        </w:rPr>
        <w:t xml:space="preserve"> </w:t>
      </w:r>
      <w:r w:rsidRPr="002D5CEF">
        <w:rPr>
          <w:rFonts w:ascii="Arial" w:hAnsi="Arial" w:cs="Arial"/>
          <w:sz w:val="20"/>
        </w:rPr>
        <w:t>of the</w:t>
      </w:r>
      <w:r w:rsidRPr="002D5CEF">
        <w:rPr>
          <w:rFonts w:ascii="Arial" w:hAnsi="Arial" w:cs="Arial"/>
          <w:spacing w:val="1"/>
          <w:sz w:val="20"/>
        </w:rPr>
        <w:t xml:space="preserve"> </w:t>
      </w:r>
      <w:r w:rsidRPr="002D5CEF">
        <w:rPr>
          <w:rFonts w:ascii="Arial" w:hAnsi="Arial" w:cs="Arial"/>
          <w:sz w:val="20"/>
        </w:rPr>
        <w:t>finding</w:t>
      </w:r>
      <w:r w:rsidRPr="002D5CEF">
        <w:rPr>
          <w:rFonts w:ascii="Arial" w:hAnsi="Arial" w:cs="Arial"/>
          <w:spacing w:val="-2"/>
          <w:sz w:val="20"/>
        </w:rPr>
        <w:t xml:space="preserve"> </w:t>
      </w:r>
      <w:r w:rsidRPr="002D5CEF">
        <w:rPr>
          <w:rFonts w:ascii="Arial" w:hAnsi="Arial" w:cs="Arial"/>
          <w:sz w:val="20"/>
        </w:rPr>
        <w:t>and</w:t>
      </w:r>
      <w:r w:rsidRPr="002D5CEF">
        <w:rPr>
          <w:rFonts w:ascii="Arial" w:hAnsi="Arial" w:cs="Arial"/>
          <w:spacing w:val="-1"/>
          <w:sz w:val="20"/>
        </w:rPr>
        <w:t xml:space="preserve"> </w:t>
      </w:r>
      <w:r w:rsidRPr="002D5CEF">
        <w:rPr>
          <w:rFonts w:ascii="Arial" w:hAnsi="Arial" w:cs="Arial"/>
          <w:sz w:val="20"/>
        </w:rPr>
        <w:t>its</w:t>
      </w:r>
      <w:r w:rsidRPr="002D5CEF">
        <w:rPr>
          <w:rFonts w:ascii="Arial" w:hAnsi="Arial" w:cs="Arial"/>
          <w:spacing w:val="1"/>
          <w:sz w:val="20"/>
        </w:rPr>
        <w:t xml:space="preserve"> </w:t>
      </w:r>
      <w:r w:rsidRPr="002D5CEF">
        <w:rPr>
          <w:rFonts w:ascii="Arial" w:hAnsi="Arial" w:cs="Arial"/>
          <w:sz w:val="20"/>
        </w:rPr>
        <w:t>root</w:t>
      </w:r>
      <w:r w:rsidRPr="002D5CEF">
        <w:rPr>
          <w:rFonts w:ascii="Arial" w:hAnsi="Arial" w:cs="Arial"/>
          <w:spacing w:val="-2"/>
          <w:sz w:val="20"/>
        </w:rPr>
        <w:t xml:space="preserve"> </w:t>
      </w:r>
      <w:r w:rsidRPr="002D5CEF">
        <w:rPr>
          <w:rFonts w:ascii="Arial" w:hAnsi="Arial" w:cs="Arial"/>
          <w:sz w:val="20"/>
        </w:rPr>
        <w:t>cause.</w:t>
      </w:r>
    </w:p>
    <w:p w14:paraId="46EE63F9" w14:textId="77777777" w:rsidR="00324F6E" w:rsidRDefault="00324F6E" w:rsidP="007C33E3">
      <w:pPr>
        <w:tabs>
          <w:tab w:val="left" w:pos="1273"/>
          <w:tab w:val="left" w:pos="1274"/>
        </w:tabs>
        <w:jc w:val="both"/>
        <w:rPr>
          <w:rFonts w:ascii="Arial" w:hAnsi="Arial" w:cs="Arial"/>
          <w:sz w:val="18"/>
        </w:rPr>
      </w:pPr>
    </w:p>
    <w:p w14:paraId="427E2079" w14:textId="77777777" w:rsidR="001749F1" w:rsidRDefault="001749F1" w:rsidP="007C33E3">
      <w:pPr>
        <w:tabs>
          <w:tab w:val="left" w:pos="1273"/>
          <w:tab w:val="left" w:pos="1274"/>
        </w:tabs>
        <w:jc w:val="both"/>
        <w:rPr>
          <w:rFonts w:ascii="Arial" w:hAnsi="Arial" w:cs="Arial"/>
          <w:sz w:val="18"/>
        </w:rPr>
      </w:pPr>
    </w:p>
    <w:p w14:paraId="7BB093B3" w14:textId="77777777" w:rsidR="001749F1" w:rsidRDefault="001749F1" w:rsidP="007C33E3">
      <w:pPr>
        <w:tabs>
          <w:tab w:val="left" w:pos="1273"/>
          <w:tab w:val="left" w:pos="1274"/>
        </w:tabs>
        <w:jc w:val="both"/>
        <w:rPr>
          <w:rFonts w:ascii="Arial" w:hAnsi="Arial" w:cs="Arial"/>
          <w:sz w:val="18"/>
        </w:rPr>
      </w:pPr>
    </w:p>
    <w:p w14:paraId="401F40C0" w14:textId="77777777" w:rsidR="001749F1" w:rsidRDefault="001749F1" w:rsidP="007C33E3">
      <w:pPr>
        <w:tabs>
          <w:tab w:val="left" w:pos="1273"/>
          <w:tab w:val="left" w:pos="1274"/>
        </w:tabs>
        <w:jc w:val="both"/>
        <w:rPr>
          <w:rFonts w:ascii="Arial" w:hAnsi="Arial" w:cs="Arial"/>
          <w:sz w:val="18"/>
        </w:rPr>
      </w:pPr>
    </w:p>
    <w:p w14:paraId="0A03D002" w14:textId="77777777" w:rsidR="001749F1" w:rsidRDefault="001749F1" w:rsidP="007C33E3">
      <w:pPr>
        <w:tabs>
          <w:tab w:val="left" w:pos="1273"/>
          <w:tab w:val="left" w:pos="1274"/>
        </w:tabs>
        <w:jc w:val="both"/>
        <w:rPr>
          <w:rFonts w:ascii="Arial" w:hAnsi="Arial" w:cs="Arial"/>
          <w:sz w:val="18"/>
        </w:rPr>
      </w:pPr>
    </w:p>
    <w:p w14:paraId="4F4F906D" w14:textId="77777777" w:rsidR="001749F1" w:rsidRDefault="001749F1" w:rsidP="007C33E3">
      <w:pPr>
        <w:tabs>
          <w:tab w:val="left" w:pos="1273"/>
          <w:tab w:val="left" w:pos="1274"/>
        </w:tabs>
        <w:jc w:val="both"/>
        <w:rPr>
          <w:rFonts w:ascii="Arial" w:hAnsi="Arial" w:cs="Arial"/>
          <w:sz w:val="18"/>
        </w:rPr>
      </w:pPr>
    </w:p>
    <w:p w14:paraId="3A648C2D" w14:textId="77777777" w:rsidR="001749F1" w:rsidRDefault="001749F1" w:rsidP="007C33E3">
      <w:pPr>
        <w:tabs>
          <w:tab w:val="left" w:pos="1273"/>
          <w:tab w:val="left" w:pos="1274"/>
        </w:tabs>
        <w:jc w:val="both"/>
        <w:rPr>
          <w:rFonts w:ascii="Arial" w:hAnsi="Arial" w:cs="Arial"/>
          <w:sz w:val="18"/>
        </w:rPr>
      </w:pPr>
    </w:p>
    <w:p w14:paraId="3E626760" w14:textId="77777777" w:rsidR="001749F1" w:rsidRDefault="001749F1" w:rsidP="007C33E3">
      <w:pPr>
        <w:tabs>
          <w:tab w:val="left" w:pos="1273"/>
          <w:tab w:val="left" w:pos="1274"/>
        </w:tabs>
        <w:jc w:val="both"/>
        <w:rPr>
          <w:rFonts w:ascii="Arial" w:hAnsi="Arial" w:cs="Arial"/>
          <w:sz w:val="18"/>
        </w:rPr>
      </w:pPr>
    </w:p>
    <w:p w14:paraId="60249D39" w14:textId="77777777" w:rsidR="001749F1" w:rsidRDefault="001749F1" w:rsidP="007C33E3">
      <w:pPr>
        <w:tabs>
          <w:tab w:val="left" w:pos="1273"/>
          <w:tab w:val="left" w:pos="1274"/>
        </w:tabs>
        <w:jc w:val="both"/>
        <w:rPr>
          <w:rFonts w:ascii="Arial" w:hAnsi="Arial" w:cs="Arial"/>
          <w:sz w:val="18"/>
        </w:rPr>
      </w:pPr>
    </w:p>
    <w:p w14:paraId="77B07B41" w14:textId="77777777" w:rsidR="001749F1" w:rsidRDefault="001749F1" w:rsidP="007C33E3">
      <w:pPr>
        <w:tabs>
          <w:tab w:val="left" w:pos="1273"/>
          <w:tab w:val="left" w:pos="1274"/>
        </w:tabs>
        <w:jc w:val="both"/>
        <w:rPr>
          <w:rFonts w:ascii="Arial" w:hAnsi="Arial" w:cs="Arial"/>
          <w:sz w:val="18"/>
        </w:rPr>
      </w:pPr>
    </w:p>
    <w:p w14:paraId="48756DDD" w14:textId="77777777" w:rsidR="001749F1" w:rsidRDefault="001749F1" w:rsidP="007C33E3">
      <w:pPr>
        <w:tabs>
          <w:tab w:val="left" w:pos="1273"/>
          <w:tab w:val="left" w:pos="1274"/>
        </w:tabs>
        <w:jc w:val="both"/>
        <w:rPr>
          <w:rFonts w:ascii="Arial" w:hAnsi="Arial" w:cs="Arial"/>
          <w:sz w:val="18"/>
        </w:rPr>
      </w:pPr>
    </w:p>
    <w:p w14:paraId="5C049DDC" w14:textId="77777777" w:rsidR="001749F1" w:rsidRDefault="001749F1" w:rsidP="007C33E3">
      <w:pPr>
        <w:tabs>
          <w:tab w:val="left" w:pos="1273"/>
          <w:tab w:val="left" w:pos="1274"/>
        </w:tabs>
        <w:jc w:val="both"/>
        <w:rPr>
          <w:rFonts w:ascii="Arial" w:hAnsi="Arial" w:cs="Arial"/>
          <w:sz w:val="18"/>
        </w:rPr>
      </w:pPr>
    </w:p>
    <w:p w14:paraId="3828F450" w14:textId="77777777" w:rsidR="001749F1" w:rsidRDefault="001749F1" w:rsidP="007C33E3">
      <w:pPr>
        <w:tabs>
          <w:tab w:val="left" w:pos="1273"/>
          <w:tab w:val="left" w:pos="1274"/>
        </w:tabs>
        <w:jc w:val="both"/>
        <w:rPr>
          <w:rFonts w:ascii="Arial" w:hAnsi="Arial" w:cs="Arial"/>
          <w:sz w:val="18"/>
        </w:rPr>
      </w:pPr>
    </w:p>
    <w:p w14:paraId="1631706A" w14:textId="77777777" w:rsidR="001749F1" w:rsidRDefault="001749F1" w:rsidP="007C33E3">
      <w:pPr>
        <w:tabs>
          <w:tab w:val="left" w:pos="1273"/>
          <w:tab w:val="left" w:pos="1274"/>
        </w:tabs>
        <w:jc w:val="both"/>
        <w:rPr>
          <w:rFonts w:ascii="Arial" w:hAnsi="Arial" w:cs="Arial"/>
          <w:sz w:val="18"/>
        </w:rPr>
      </w:pPr>
    </w:p>
    <w:p w14:paraId="01B253B3" w14:textId="77777777" w:rsidR="001749F1" w:rsidRDefault="001749F1" w:rsidP="007C33E3">
      <w:pPr>
        <w:tabs>
          <w:tab w:val="left" w:pos="1273"/>
          <w:tab w:val="left" w:pos="1274"/>
        </w:tabs>
        <w:jc w:val="both"/>
        <w:rPr>
          <w:rFonts w:ascii="Arial" w:hAnsi="Arial" w:cs="Arial"/>
          <w:sz w:val="18"/>
        </w:rPr>
      </w:pPr>
    </w:p>
    <w:p w14:paraId="3141AE8E" w14:textId="77777777" w:rsidR="001749F1" w:rsidRDefault="001749F1" w:rsidP="007C33E3">
      <w:pPr>
        <w:tabs>
          <w:tab w:val="left" w:pos="1273"/>
          <w:tab w:val="left" w:pos="1274"/>
        </w:tabs>
        <w:jc w:val="both"/>
        <w:rPr>
          <w:rFonts w:ascii="Arial" w:hAnsi="Arial" w:cs="Arial"/>
          <w:sz w:val="18"/>
        </w:rPr>
      </w:pPr>
    </w:p>
    <w:p w14:paraId="3FD23DBA" w14:textId="77777777" w:rsidR="001749F1" w:rsidRDefault="001749F1" w:rsidP="007C33E3">
      <w:pPr>
        <w:tabs>
          <w:tab w:val="left" w:pos="1273"/>
          <w:tab w:val="left" w:pos="1274"/>
        </w:tabs>
        <w:jc w:val="both"/>
        <w:rPr>
          <w:rFonts w:ascii="Arial" w:hAnsi="Arial" w:cs="Arial"/>
          <w:sz w:val="18"/>
        </w:rPr>
      </w:pPr>
    </w:p>
    <w:p w14:paraId="7F96E5A1" w14:textId="77777777" w:rsidR="001749F1" w:rsidRDefault="001749F1" w:rsidP="007C33E3">
      <w:pPr>
        <w:tabs>
          <w:tab w:val="left" w:pos="1273"/>
          <w:tab w:val="left" w:pos="1274"/>
        </w:tabs>
        <w:jc w:val="both"/>
        <w:rPr>
          <w:rFonts w:ascii="Arial" w:hAnsi="Arial" w:cs="Arial"/>
          <w:sz w:val="18"/>
        </w:rPr>
      </w:pPr>
    </w:p>
    <w:p w14:paraId="5AF44241" w14:textId="77777777" w:rsidR="001749F1" w:rsidRDefault="001749F1" w:rsidP="007C33E3">
      <w:pPr>
        <w:tabs>
          <w:tab w:val="left" w:pos="1273"/>
          <w:tab w:val="left" w:pos="1274"/>
        </w:tabs>
        <w:jc w:val="both"/>
        <w:rPr>
          <w:rFonts w:ascii="Arial" w:hAnsi="Arial" w:cs="Arial"/>
          <w:sz w:val="18"/>
        </w:rPr>
      </w:pPr>
    </w:p>
    <w:p w14:paraId="679E9FB0" w14:textId="77777777" w:rsidR="001749F1" w:rsidRDefault="001749F1" w:rsidP="007C33E3">
      <w:pPr>
        <w:tabs>
          <w:tab w:val="left" w:pos="1273"/>
          <w:tab w:val="left" w:pos="1274"/>
        </w:tabs>
        <w:jc w:val="both"/>
        <w:rPr>
          <w:rFonts w:ascii="Arial" w:hAnsi="Arial" w:cs="Arial"/>
          <w:sz w:val="18"/>
        </w:rPr>
      </w:pPr>
    </w:p>
    <w:p w14:paraId="4B61083D" w14:textId="77777777" w:rsidR="001749F1" w:rsidRDefault="001749F1" w:rsidP="007C33E3">
      <w:pPr>
        <w:tabs>
          <w:tab w:val="left" w:pos="1273"/>
          <w:tab w:val="left" w:pos="1274"/>
        </w:tabs>
        <w:jc w:val="both"/>
        <w:rPr>
          <w:rFonts w:ascii="Arial" w:hAnsi="Arial" w:cs="Arial"/>
          <w:sz w:val="18"/>
        </w:rPr>
      </w:pPr>
    </w:p>
    <w:p w14:paraId="6485FC2D" w14:textId="77777777" w:rsidR="001749F1" w:rsidRDefault="001749F1" w:rsidP="007C33E3">
      <w:pPr>
        <w:tabs>
          <w:tab w:val="left" w:pos="1273"/>
          <w:tab w:val="left" w:pos="1274"/>
        </w:tabs>
        <w:jc w:val="both"/>
        <w:rPr>
          <w:rFonts w:ascii="Arial" w:hAnsi="Arial" w:cs="Arial"/>
          <w:sz w:val="18"/>
        </w:rPr>
      </w:pPr>
    </w:p>
    <w:p w14:paraId="03283965" w14:textId="77777777" w:rsidR="001749F1" w:rsidRDefault="001749F1" w:rsidP="007C33E3">
      <w:pPr>
        <w:tabs>
          <w:tab w:val="left" w:pos="1273"/>
          <w:tab w:val="left" w:pos="1274"/>
        </w:tabs>
        <w:jc w:val="both"/>
        <w:rPr>
          <w:rFonts w:ascii="Arial" w:hAnsi="Arial" w:cs="Arial"/>
          <w:sz w:val="18"/>
        </w:rPr>
      </w:pPr>
    </w:p>
    <w:p w14:paraId="72229BE0" w14:textId="77777777" w:rsidR="001749F1" w:rsidRDefault="001749F1" w:rsidP="007C33E3">
      <w:pPr>
        <w:tabs>
          <w:tab w:val="left" w:pos="1273"/>
          <w:tab w:val="left" w:pos="1274"/>
        </w:tabs>
        <w:jc w:val="both"/>
        <w:rPr>
          <w:rFonts w:ascii="Arial" w:hAnsi="Arial" w:cs="Arial"/>
          <w:sz w:val="18"/>
        </w:rPr>
      </w:pPr>
    </w:p>
    <w:p w14:paraId="34C2D171" w14:textId="77777777" w:rsidR="001749F1" w:rsidRDefault="001749F1" w:rsidP="007C33E3">
      <w:pPr>
        <w:tabs>
          <w:tab w:val="left" w:pos="1273"/>
          <w:tab w:val="left" w:pos="1274"/>
        </w:tabs>
        <w:jc w:val="both"/>
        <w:rPr>
          <w:rFonts w:ascii="Arial" w:hAnsi="Arial" w:cs="Arial"/>
          <w:sz w:val="18"/>
        </w:rPr>
      </w:pPr>
    </w:p>
    <w:p w14:paraId="30E9B9A3" w14:textId="77777777" w:rsidR="001749F1" w:rsidRPr="001749F1" w:rsidRDefault="001749F1" w:rsidP="001749F1">
      <w:pPr>
        <w:keepNext/>
        <w:keepLines/>
        <w:spacing w:before="40"/>
        <w:jc w:val="center"/>
        <w:outlineLvl w:val="3"/>
        <w:rPr>
          <w:rFonts w:ascii="Arial" w:eastAsiaTheme="majorEastAsia" w:hAnsi="Arial" w:cs="Arial"/>
          <w:b/>
          <w:iCs/>
          <w:color w:val="2E74B5" w:themeColor="accent1" w:themeShade="BF"/>
          <w:sz w:val="24"/>
          <w:szCs w:val="24"/>
        </w:rPr>
      </w:pPr>
      <w:bookmarkStart w:id="935" w:name="_Toc153137562"/>
      <w:r w:rsidRPr="001749F1">
        <w:rPr>
          <w:rFonts w:ascii="Arial" w:eastAsiaTheme="majorEastAsia" w:hAnsi="Arial" w:cs="Arial"/>
          <w:b/>
          <w:iCs/>
          <w:color w:val="2E74B5" w:themeColor="accent1" w:themeShade="BF"/>
          <w:sz w:val="24"/>
          <w:szCs w:val="24"/>
        </w:rPr>
        <w:lastRenderedPageBreak/>
        <w:t>SECTION B — PROCEDURE FOR COMPETENT AUTHORITIES</w:t>
      </w:r>
      <w:bookmarkEnd w:id="935"/>
    </w:p>
    <w:p w14:paraId="11837709" w14:textId="77777777" w:rsidR="001749F1" w:rsidRPr="001749F1" w:rsidRDefault="001749F1" w:rsidP="001749F1">
      <w:pPr>
        <w:keepNext/>
        <w:keepLines/>
        <w:widowControl/>
        <w:autoSpaceDE/>
        <w:autoSpaceDN/>
        <w:spacing w:before="40" w:line="276" w:lineRule="auto"/>
        <w:jc w:val="center"/>
        <w:outlineLvl w:val="2"/>
        <w:rPr>
          <w:rFonts w:ascii="Arial" w:eastAsiaTheme="majorEastAsia" w:hAnsi="Arial" w:cs="Arial"/>
          <w:b/>
          <w:color w:val="00B0F0"/>
          <w:sz w:val="24"/>
          <w:szCs w:val="24"/>
        </w:rPr>
      </w:pPr>
      <w:r w:rsidRPr="001749F1">
        <w:rPr>
          <w:rFonts w:ascii="Arial" w:eastAsiaTheme="majorEastAsia" w:hAnsi="Arial" w:cs="Arial"/>
          <w:b/>
          <w:color w:val="00B0F0"/>
          <w:sz w:val="24"/>
          <w:szCs w:val="24"/>
        </w:rPr>
        <w:t xml:space="preserve"> </w:t>
      </w:r>
      <w:bookmarkStart w:id="936" w:name="_bookmark398"/>
      <w:bookmarkStart w:id="937" w:name="_Toc153137563"/>
      <w:bookmarkEnd w:id="936"/>
      <w:r w:rsidRPr="001749F1">
        <w:rPr>
          <w:rFonts w:ascii="Arial" w:eastAsiaTheme="majorEastAsia" w:hAnsi="Arial" w:cs="Arial"/>
          <w:b/>
          <w:color w:val="00B0F0"/>
          <w:sz w:val="24"/>
          <w:szCs w:val="24"/>
        </w:rPr>
        <w:t>SUBPART A — GENERAL</w:t>
      </w:r>
      <w:bookmarkEnd w:id="937"/>
    </w:p>
    <w:p w14:paraId="7B7A5F6B" w14:textId="77777777" w:rsidR="001749F1" w:rsidRPr="001749F1" w:rsidRDefault="001749F1" w:rsidP="001749F1">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938" w:name="ML.B.101_Scope"/>
      <w:bookmarkStart w:id="939" w:name="_bookmark399"/>
      <w:bookmarkStart w:id="940" w:name="_Toc153137564"/>
      <w:bookmarkEnd w:id="938"/>
      <w:bookmarkEnd w:id="939"/>
      <w:r w:rsidRPr="001749F1">
        <w:rPr>
          <w:rFonts w:ascii="Arial" w:eastAsia="Times New Roman" w:hAnsi="Arial" w:cs="Times New Roman"/>
          <w:b/>
          <w:iCs/>
          <w:color w:val="FFFFFF"/>
          <w:sz w:val="24"/>
        </w:rPr>
        <w:t>ML.B.101 Scope</w:t>
      </w:r>
      <w:bookmarkEnd w:id="940"/>
    </w:p>
    <w:p w14:paraId="20AB9332" w14:textId="5CA75FBC" w:rsidR="001749F1" w:rsidRPr="001749F1" w:rsidRDefault="001749F1" w:rsidP="001749F1">
      <w:pPr>
        <w:tabs>
          <w:tab w:val="left" w:pos="1273"/>
          <w:tab w:val="left" w:pos="1274"/>
        </w:tabs>
        <w:jc w:val="both"/>
        <w:rPr>
          <w:rFonts w:ascii="Arial" w:hAnsi="Arial" w:cs="Arial"/>
          <w:sz w:val="20"/>
        </w:rPr>
      </w:pPr>
      <w:r w:rsidRPr="001749F1">
        <w:rPr>
          <w:rFonts w:ascii="Arial" w:hAnsi="Arial" w:cs="Arial"/>
          <w:sz w:val="20"/>
        </w:rPr>
        <w:t xml:space="preserve">This Section establishes the administrative requirements to be followed by the </w:t>
      </w:r>
      <w:r w:rsidR="00653959">
        <w:rPr>
          <w:rFonts w:ascii="Arial" w:hAnsi="Arial" w:cs="Arial"/>
          <w:sz w:val="20"/>
          <w:szCs w:val="20"/>
        </w:rPr>
        <w:t>CAC RA</w:t>
      </w:r>
      <w:r w:rsidR="00653959" w:rsidRPr="004A51D5">
        <w:rPr>
          <w:rFonts w:ascii="Arial" w:hAnsi="Arial" w:cs="Arial"/>
          <w:spacing w:val="1"/>
          <w:sz w:val="20"/>
          <w:szCs w:val="20"/>
        </w:rPr>
        <w:t xml:space="preserve"> </w:t>
      </w:r>
      <w:r w:rsidRPr="001749F1">
        <w:rPr>
          <w:rFonts w:ascii="Arial" w:hAnsi="Arial" w:cs="Arial"/>
          <w:sz w:val="20"/>
        </w:rPr>
        <w:t>in charge of the implementation and enforcement of Section A of this Annex.</w:t>
      </w:r>
    </w:p>
    <w:p w14:paraId="713A9A6F" w14:textId="77777777" w:rsidR="001749F1" w:rsidRPr="001749F1" w:rsidRDefault="001749F1" w:rsidP="001749F1">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941" w:name="ML.B.102_Competent_authority"/>
      <w:bookmarkStart w:id="942" w:name="_bookmark400"/>
      <w:bookmarkStart w:id="943" w:name="_Toc153137565"/>
      <w:bookmarkEnd w:id="941"/>
      <w:bookmarkEnd w:id="942"/>
      <w:r w:rsidRPr="001749F1">
        <w:rPr>
          <w:rFonts w:ascii="Arial" w:eastAsia="Times New Roman" w:hAnsi="Arial" w:cs="Times New Roman"/>
          <w:b/>
          <w:iCs/>
          <w:color w:val="FFFFFF"/>
          <w:sz w:val="24"/>
        </w:rPr>
        <w:t>ML.B.102 Competent authority</w:t>
      </w:r>
      <w:bookmarkEnd w:id="943"/>
    </w:p>
    <w:p w14:paraId="70439A25" w14:textId="77777777" w:rsidR="001749F1" w:rsidRPr="001749F1" w:rsidRDefault="001749F1" w:rsidP="001749F1">
      <w:pPr>
        <w:numPr>
          <w:ilvl w:val="0"/>
          <w:numId w:val="334"/>
        </w:numPr>
        <w:tabs>
          <w:tab w:val="left" w:pos="706"/>
          <w:tab w:val="left" w:pos="707"/>
        </w:tabs>
        <w:jc w:val="both"/>
        <w:rPr>
          <w:rFonts w:ascii="Arial" w:hAnsi="Arial" w:cs="Arial"/>
          <w:sz w:val="20"/>
        </w:rPr>
      </w:pPr>
      <w:r w:rsidRPr="001749F1">
        <w:rPr>
          <w:rFonts w:ascii="Arial" w:hAnsi="Arial" w:cs="Arial"/>
          <w:sz w:val="20"/>
        </w:rPr>
        <w:t>General</w:t>
      </w:r>
    </w:p>
    <w:p w14:paraId="6C7D672A" w14:textId="7E9AA463" w:rsidR="001749F1" w:rsidRPr="001749F1" w:rsidRDefault="00BE47FC" w:rsidP="00465027">
      <w:pPr>
        <w:pStyle w:val="BodyText"/>
        <w:spacing w:before="121"/>
        <w:ind w:left="706" w:right="44"/>
        <w:jc w:val="both"/>
        <w:rPr>
          <w:rFonts w:ascii="Arial" w:hAnsi="Arial" w:cs="Arial"/>
          <w:sz w:val="20"/>
        </w:rPr>
      </w:pPr>
      <w:r>
        <w:rPr>
          <w:rFonts w:ascii="Arial" w:hAnsi="Arial" w:cs="Arial"/>
          <w:sz w:val="20"/>
        </w:rPr>
        <w:t xml:space="preserve">The Republic of Armenia </w:t>
      </w:r>
      <w:r w:rsidR="001749F1" w:rsidRPr="001749F1">
        <w:rPr>
          <w:rFonts w:ascii="Arial" w:hAnsi="Arial" w:cs="Arial"/>
          <w:sz w:val="20"/>
        </w:rPr>
        <w:t xml:space="preserve">shall designate </w:t>
      </w:r>
      <w:r w:rsidR="00996D5E">
        <w:rPr>
          <w:rFonts w:ascii="Arial" w:hAnsi="Arial" w:cs="Arial"/>
          <w:sz w:val="20"/>
          <w:szCs w:val="20"/>
        </w:rPr>
        <w:t xml:space="preserve">CAC RA </w:t>
      </w:r>
      <w:r w:rsidR="001749F1" w:rsidRPr="001749F1">
        <w:rPr>
          <w:rFonts w:ascii="Arial" w:hAnsi="Arial" w:cs="Arial"/>
          <w:sz w:val="20"/>
        </w:rPr>
        <w:t>with allocated responsibilities for the</w:t>
      </w:r>
      <w:r w:rsidR="001749F1" w:rsidRPr="001749F1">
        <w:rPr>
          <w:rFonts w:ascii="Arial" w:hAnsi="Arial" w:cs="Arial"/>
          <w:spacing w:val="1"/>
          <w:sz w:val="20"/>
        </w:rPr>
        <w:t xml:space="preserve"> </w:t>
      </w:r>
      <w:r w:rsidR="001749F1" w:rsidRPr="001749F1">
        <w:rPr>
          <w:rFonts w:ascii="Arial" w:hAnsi="Arial" w:cs="Arial"/>
          <w:sz w:val="20"/>
        </w:rPr>
        <w:t>issuance,</w:t>
      </w:r>
      <w:r w:rsidR="001749F1" w:rsidRPr="001749F1">
        <w:rPr>
          <w:rFonts w:ascii="Arial" w:hAnsi="Arial" w:cs="Arial"/>
          <w:spacing w:val="-7"/>
          <w:sz w:val="20"/>
        </w:rPr>
        <w:t xml:space="preserve"> </w:t>
      </w:r>
      <w:r w:rsidR="001749F1" w:rsidRPr="001749F1">
        <w:rPr>
          <w:rFonts w:ascii="Arial" w:hAnsi="Arial" w:cs="Arial"/>
          <w:sz w:val="20"/>
        </w:rPr>
        <w:t>continuation,</w:t>
      </w:r>
      <w:r w:rsidR="001749F1" w:rsidRPr="001749F1">
        <w:rPr>
          <w:rFonts w:ascii="Arial" w:hAnsi="Arial" w:cs="Arial"/>
          <w:spacing w:val="-8"/>
          <w:sz w:val="20"/>
        </w:rPr>
        <w:t xml:space="preserve"> </w:t>
      </w:r>
      <w:r w:rsidR="001749F1" w:rsidRPr="001749F1">
        <w:rPr>
          <w:rFonts w:ascii="Arial" w:hAnsi="Arial" w:cs="Arial"/>
          <w:sz w:val="20"/>
        </w:rPr>
        <w:t>change,</w:t>
      </w:r>
      <w:r w:rsidR="001749F1" w:rsidRPr="001749F1">
        <w:rPr>
          <w:rFonts w:ascii="Arial" w:hAnsi="Arial" w:cs="Arial"/>
          <w:spacing w:val="-6"/>
          <w:sz w:val="20"/>
        </w:rPr>
        <w:t xml:space="preserve"> </w:t>
      </w:r>
      <w:r w:rsidR="001749F1" w:rsidRPr="001749F1">
        <w:rPr>
          <w:rFonts w:ascii="Arial" w:hAnsi="Arial" w:cs="Arial"/>
          <w:sz w:val="20"/>
        </w:rPr>
        <w:t>suspension</w:t>
      </w:r>
      <w:r w:rsidR="001749F1" w:rsidRPr="001749F1">
        <w:rPr>
          <w:rFonts w:ascii="Arial" w:hAnsi="Arial" w:cs="Arial"/>
          <w:spacing w:val="-8"/>
          <w:sz w:val="20"/>
        </w:rPr>
        <w:t xml:space="preserve"> </w:t>
      </w:r>
      <w:r w:rsidR="001749F1" w:rsidRPr="001749F1">
        <w:rPr>
          <w:rFonts w:ascii="Arial" w:hAnsi="Arial" w:cs="Arial"/>
          <w:sz w:val="20"/>
        </w:rPr>
        <w:t>or</w:t>
      </w:r>
      <w:r w:rsidR="001749F1" w:rsidRPr="001749F1">
        <w:rPr>
          <w:rFonts w:ascii="Arial" w:hAnsi="Arial" w:cs="Arial"/>
          <w:spacing w:val="-8"/>
          <w:sz w:val="20"/>
        </w:rPr>
        <w:t xml:space="preserve"> </w:t>
      </w:r>
      <w:r w:rsidR="001749F1" w:rsidRPr="001749F1">
        <w:rPr>
          <w:rFonts w:ascii="Arial" w:hAnsi="Arial" w:cs="Arial"/>
          <w:sz w:val="20"/>
        </w:rPr>
        <w:t>revocation</w:t>
      </w:r>
      <w:r w:rsidR="001749F1" w:rsidRPr="001749F1">
        <w:rPr>
          <w:rFonts w:ascii="Arial" w:hAnsi="Arial" w:cs="Arial"/>
          <w:spacing w:val="-8"/>
          <w:sz w:val="20"/>
        </w:rPr>
        <w:t xml:space="preserve"> </w:t>
      </w:r>
      <w:r w:rsidR="001749F1" w:rsidRPr="001749F1">
        <w:rPr>
          <w:rFonts w:ascii="Arial" w:hAnsi="Arial" w:cs="Arial"/>
          <w:sz w:val="20"/>
        </w:rPr>
        <w:t>of</w:t>
      </w:r>
      <w:r w:rsidR="001749F1" w:rsidRPr="001749F1">
        <w:rPr>
          <w:rFonts w:ascii="Arial" w:hAnsi="Arial" w:cs="Arial"/>
          <w:spacing w:val="-8"/>
          <w:sz w:val="20"/>
        </w:rPr>
        <w:t xml:space="preserve"> </w:t>
      </w:r>
      <w:r w:rsidR="001749F1" w:rsidRPr="001749F1">
        <w:rPr>
          <w:rFonts w:ascii="Arial" w:hAnsi="Arial" w:cs="Arial"/>
          <w:sz w:val="20"/>
        </w:rPr>
        <w:t>certificates</w:t>
      </w:r>
      <w:r w:rsidR="001749F1" w:rsidRPr="001749F1">
        <w:rPr>
          <w:rFonts w:ascii="Arial" w:hAnsi="Arial" w:cs="Arial"/>
          <w:spacing w:val="-7"/>
          <w:sz w:val="20"/>
        </w:rPr>
        <w:t xml:space="preserve"> </w:t>
      </w:r>
      <w:r w:rsidR="001749F1" w:rsidRPr="001749F1">
        <w:rPr>
          <w:rFonts w:ascii="Arial" w:hAnsi="Arial" w:cs="Arial"/>
          <w:sz w:val="20"/>
        </w:rPr>
        <w:t>and</w:t>
      </w:r>
      <w:r w:rsidR="001749F1" w:rsidRPr="001749F1">
        <w:rPr>
          <w:rFonts w:ascii="Arial" w:hAnsi="Arial" w:cs="Arial"/>
          <w:spacing w:val="-8"/>
          <w:sz w:val="20"/>
        </w:rPr>
        <w:t xml:space="preserve"> </w:t>
      </w:r>
      <w:r w:rsidR="001749F1" w:rsidRPr="001749F1">
        <w:rPr>
          <w:rFonts w:ascii="Arial" w:hAnsi="Arial" w:cs="Arial"/>
          <w:sz w:val="20"/>
        </w:rPr>
        <w:t>for</w:t>
      </w:r>
      <w:r w:rsidR="001749F1" w:rsidRPr="001749F1">
        <w:rPr>
          <w:rFonts w:ascii="Arial" w:hAnsi="Arial" w:cs="Arial"/>
          <w:spacing w:val="-8"/>
          <w:sz w:val="20"/>
        </w:rPr>
        <w:t xml:space="preserve"> </w:t>
      </w:r>
      <w:r w:rsidR="001749F1" w:rsidRPr="001749F1">
        <w:rPr>
          <w:rFonts w:ascii="Arial" w:hAnsi="Arial" w:cs="Arial"/>
          <w:sz w:val="20"/>
        </w:rPr>
        <w:t>the</w:t>
      </w:r>
      <w:r w:rsidR="001749F1" w:rsidRPr="001749F1">
        <w:rPr>
          <w:rFonts w:ascii="Arial" w:hAnsi="Arial" w:cs="Arial"/>
          <w:spacing w:val="-7"/>
          <w:sz w:val="20"/>
        </w:rPr>
        <w:t xml:space="preserve"> </w:t>
      </w:r>
      <w:r w:rsidR="001749F1" w:rsidRPr="001749F1">
        <w:rPr>
          <w:rFonts w:ascii="Arial" w:hAnsi="Arial" w:cs="Arial"/>
          <w:sz w:val="20"/>
        </w:rPr>
        <w:t>oversight</w:t>
      </w:r>
      <w:r w:rsidR="001749F1" w:rsidRPr="001749F1">
        <w:rPr>
          <w:rFonts w:ascii="Arial" w:hAnsi="Arial" w:cs="Arial"/>
          <w:spacing w:val="-6"/>
          <w:sz w:val="20"/>
        </w:rPr>
        <w:t xml:space="preserve"> </w:t>
      </w:r>
      <w:r w:rsidR="001749F1" w:rsidRPr="001749F1">
        <w:rPr>
          <w:rFonts w:ascii="Arial" w:hAnsi="Arial" w:cs="Arial"/>
          <w:sz w:val="20"/>
        </w:rPr>
        <w:t>of</w:t>
      </w:r>
      <w:r w:rsidR="001749F1" w:rsidRPr="001749F1">
        <w:rPr>
          <w:rFonts w:ascii="Arial" w:hAnsi="Arial" w:cs="Arial"/>
          <w:spacing w:val="-48"/>
          <w:sz w:val="20"/>
        </w:rPr>
        <w:t xml:space="preserve"> </w:t>
      </w:r>
      <w:r w:rsidR="001749F1" w:rsidRPr="001749F1">
        <w:rPr>
          <w:rFonts w:ascii="Arial" w:hAnsi="Arial" w:cs="Arial"/>
          <w:sz w:val="20"/>
        </w:rPr>
        <w:t>continuing</w:t>
      </w:r>
      <w:r w:rsidR="001749F1" w:rsidRPr="001749F1">
        <w:rPr>
          <w:rFonts w:ascii="Arial" w:hAnsi="Arial" w:cs="Arial"/>
          <w:spacing w:val="-10"/>
          <w:sz w:val="20"/>
        </w:rPr>
        <w:t xml:space="preserve"> </w:t>
      </w:r>
      <w:r w:rsidR="001749F1" w:rsidRPr="001749F1">
        <w:rPr>
          <w:rFonts w:ascii="Arial" w:hAnsi="Arial" w:cs="Arial"/>
          <w:sz w:val="20"/>
        </w:rPr>
        <w:t>airworthiness.</w:t>
      </w:r>
      <w:r w:rsidR="001749F1" w:rsidRPr="001749F1">
        <w:rPr>
          <w:rFonts w:ascii="Arial" w:hAnsi="Arial" w:cs="Arial"/>
          <w:spacing w:val="-11"/>
          <w:sz w:val="20"/>
        </w:rPr>
        <w:t xml:space="preserve"> </w:t>
      </w:r>
      <w:r w:rsidR="001749F1" w:rsidRPr="001749F1">
        <w:rPr>
          <w:rFonts w:ascii="Arial" w:hAnsi="Arial" w:cs="Arial"/>
          <w:sz w:val="20"/>
        </w:rPr>
        <w:t>This</w:t>
      </w:r>
      <w:r w:rsidR="001749F1" w:rsidRPr="001749F1">
        <w:rPr>
          <w:rFonts w:ascii="Arial" w:hAnsi="Arial" w:cs="Arial"/>
          <w:spacing w:val="-8"/>
          <w:sz w:val="20"/>
        </w:rPr>
        <w:t xml:space="preserve"> </w:t>
      </w:r>
      <w:r w:rsidR="00996D5E">
        <w:rPr>
          <w:rFonts w:ascii="Arial" w:hAnsi="Arial" w:cs="Arial"/>
          <w:sz w:val="20"/>
          <w:szCs w:val="20"/>
        </w:rPr>
        <w:t xml:space="preserve">CAC RA </w:t>
      </w:r>
      <w:r w:rsidR="001749F1" w:rsidRPr="001749F1">
        <w:rPr>
          <w:rFonts w:ascii="Arial" w:hAnsi="Arial" w:cs="Arial"/>
          <w:sz w:val="20"/>
        </w:rPr>
        <w:t>shall</w:t>
      </w:r>
      <w:r w:rsidR="001749F1" w:rsidRPr="001749F1">
        <w:rPr>
          <w:rFonts w:ascii="Arial" w:hAnsi="Arial" w:cs="Arial"/>
          <w:spacing w:val="-10"/>
          <w:sz w:val="20"/>
        </w:rPr>
        <w:t xml:space="preserve"> </w:t>
      </w:r>
      <w:r w:rsidR="001749F1" w:rsidRPr="001749F1">
        <w:rPr>
          <w:rFonts w:ascii="Arial" w:hAnsi="Arial" w:cs="Arial"/>
          <w:sz w:val="20"/>
        </w:rPr>
        <w:t>establish</w:t>
      </w:r>
      <w:r w:rsidR="001749F1" w:rsidRPr="001749F1">
        <w:rPr>
          <w:rFonts w:ascii="Arial" w:hAnsi="Arial" w:cs="Arial"/>
          <w:spacing w:val="-10"/>
          <w:sz w:val="20"/>
        </w:rPr>
        <w:t xml:space="preserve"> </w:t>
      </w:r>
      <w:r w:rsidR="001749F1" w:rsidRPr="001749F1">
        <w:rPr>
          <w:rFonts w:ascii="Arial" w:hAnsi="Arial" w:cs="Arial"/>
          <w:sz w:val="20"/>
        </w:rPr>
        <w:t>documented</w:t>
      </w:r>
      <w:r w:rsidR="001749F1" w:rsidRPr="001749F1">
        <w:rPr>
          <w:rFonts w:ascii="Arial" w:hAnsi="Arial" w:cs="Arial"/>
          <w:spacing w:val="-10"/>
          <w:sz w:val="20"/>
        </w:rPr>
        <w:t xml:space="preserve"> </w:t>
      </w:r>
      <w:r w:rsidR="001749F1" w:rsidRPr="001749F1">
        <w:rPr>
          <w:rFonts w:ascii="Arial" w:hAnsi="Arial" w:cs="Arial"/>
          <w:sz w:val="20"/>
        </w:rPr>
        <w:t>procedures</w:t>
      </w:r>
      <w:r w:rsidR="001749F1" w:rsidRPr="001749F1">
        <w:rPr>
          <w:rFonts w:ascii="Arial" w:hAnsi="Arial" w:cs="Arial"/>
          <w:spacing w:val="-9"/>
          <w:sz w:val="20"/>
        </w:rPr>
        <w:t xml:space="preserve"> </w:t>
      </w:r>
      <w:r w:rsidR="001749F1" w:rsidRPr="001749F1">
        <w:rPr>
          <w:rFonts w:ascii="Arial" w:hAnsi="Arial" w:cs="Arial"/>
          <w:sz w:val="20"/>
        </w:rPr>
        <w:t>and</w:t>
      </w:r>
      <w:r w:rsidR="001749F1" w:rsidRPr="001749F1">
        <w:rPr>
          <w:rFonts w:ascii="Arial" w:hAnsi="Arial" w:cs="Arial"/>
          <w:spacing w:val="-47"/>
          <w:sz w:val="20"/>
        </w:rPr>
        <w:t xml:space="preserve"> </w:t>
      </w:r>
      <w:r w:rsidR="001749F1" w:rsidRPr="001749F1">
        <w:rPr>
          <w:rFonts w:ascii="Arial" w:hAnsi="Arial" w:cs="Arial"/>
          <w:sz w:val="20"/>
        </w:rPr>
        <w:t>an</w:t>
      </w:r>
      <w:r w:rsidR="001749F1" w:rsidRPr="001749F1">
        <w:rPr>
          <w:rFonts w:ascii="Arial" w:hAnsi="Arial" w:cs="Arial"/>
          <w:spacing w:val="-2"/>
          <w:sz w:val="20"/>
        </w:rPr>
        <w:t xml:space="preserve"> </w:t>
      </w:r>
      <w:r w:rsidR="001749F1" w:rsidRPr="001749F1">
        <w:rPr>
          <w:rFonts w:ascii="Arial" w:hAnsi="Arial" w:cs="Arial"/>
          <w:sz w:val="20"/>
        </w:rPr>
        <w:t>organisational structure.</w:t>
      </w:r>
    </w:p>
    <w:p w14:paraId="21EB9B7D" w14:textId="77777777" w:rsidR="001749F1" w:rsidRPr="001749F1" w:rsidRDefault="001749F1" w:rsidP="001749F1">
      <w:pPr>
        <w:pStyle w:val="ListParagraph"/>
        <w:numPr>
          <w:ilvl w:val="0"/>
          <w:numId w:val="334"/>
        </w:numPr>
        <w:tabs>
          <w:tab w:val="left" w:pos="707"/>
        </w:tabs>
        <w:spacing w:before="118"/>
        <w:jc w:val="both"/>
        <w:rPr>
          <w:rFonts w:ascii="Arial" w:hAnsi="Arial" w:cs="Arial"/>
          <w:sz w:val="20"/>
        </w:rPr>
      </w:pPr>
      <w:r w:rsidRPr="001749F1">
        <w:rPr>
          <w:rFonts w:ascii="Arial" w:hAnsi="Arial" w:cs="Arial"/>
          <w:sz w:val="20"/>
        </w:rPr>
        <w:t>Resources</w:t>
      </w:r>
    </w:p>
    <w:p w14:paraId="66B8CD2B" w14:textId="77777777" w:rsidR="001749F1" w:rsidRPr="001749F1" w:rsidRDefault="001749F1" w:rsidP="001749F1">
      <w:pPr>
        <w:pStyle w:val="BodyText"/>
        <w:spacing w:before="121"/>
        <w:ind w:left="706"/>
        <w:jc w:val="both"/>
        <w:rPr>
          <w:rFonts w:ascii="Arial" w:hAnsi="Arial" w:cs="Arial"/>
          <w:sz w:val="20"/>
        </w:rPr>
      </w:pPr>
      <w:r w:rsidRPr="001749F1">
        <w:rPr>
          <w:rFonts w:ascii="Arial" w:hAnsi="Arial" w:cs="Arial"/>
          <w:sz w:val="20"/>
        </w:rPr>
        <w:t>The</w:t>
      </w:r>
      <w:r w:rsidRPr="001749F1">
        <w:rPr>
          <w:rFonts w:ascii="Arial" w:hAnsi="Arial" w:cs="Arial"/>
          <w:spacing w:val="-2"/>
          <w:sz w:val="20"/>
        </w:rPr>
        <w:t xml:space="preserve"> </w:t>
      </w:r>
      <w:r w:rsidRPr="001749F1">
        <w:rPr>
          <w:rFonts w:ascii="Arial" w:hAnsi="Arial" w:cs="Arial"/>
          <w:sz w:val="20"/>
        </w:rPr>
        <w:t>number</w:t>
      </w:r>
      <w:r w:rsidRPr="001749F1">
        <w:rPr>
          <w:rFonts w:ascii="Arial" w:hAnsi="Arial" w:cs="Arial"/>
          <w:spacing w:val="-1"/>
          <w:sz w:val="20"/>
        </w:rPr>
        <w:t xml:space="preserve"> </w:t>
      </w:r>
      <w:r w:rsidRPr="001749F1">
        <w:rPr>
          <w:rFonts w:ascii="Arial" w:hAnsi="Arial" w:cs="Arial"/>
          <w:sz w:val="20"/>
        </w:rPr>
        <w:t>of</w:t>
      </w:r>
      <w:r w:rsidRPr="001749F1">
        <w:rPr>
          <w:rFonts w:ascii="Arial" w:hAnsi="Arial" w:cs="Arial"/>
          <w:spacing w:val="-4"/>
          <w:sz w:val="20"/>
        </w:rPr>
        <w:t xml:space="preserve"> </w:t>
      </w:r>
      <w:r w:rsidRPr="001749F1">
        <w:rPr>
          <w:rFonts w:ascii="Arial" w:hAnsi="Arial" w:cs="Arial"/>
          <w:sz w:val="20"/>
        </w:rPr>
        <w:t>staff</w:t>
      </w:r>
      <w:r w:rsidRPr="001749F1">
        <w:rPr>
          <w:rFonts w:ascii="Arial" w:hAnsi="Arial" w:cs="Arial"/>
          <w:spacing w:val="-4"/>
          <w:sz w:val="20"/>
        </w:rPr>
        <w:t xml:space="preserve"> </w:t>
      </w:r>
      <w:r w:rsidRPr="001749F1">
        <w:rPr>
          <w:rFonts w:ascii="Arial" w:hAnsi="Arial" w:cs="Arial"/>
          <w:sz w:val="20"/>
        </w:rPr>
        <w:t>shall</w:t>
      </w:r>
      <w:r w:rsidRPr="001749F1">
        <w:rPr>
          <w:rFonts w:ascii="Arial" w:hAnsi="Arial" w:cs="Arial"/>
          <w:spacing w:val="-2"/>
          <w:sz w:val="20"/>
        </w:rPr>
        <w:t xml:space="preserve"> </w:t>
      </w:r>
      <w:r w:rsidRPr="001749F1">
        <w:rPr>
          <w:rFonts w:ascii="Arial" w:hAnsi="Arial" w:cs="Arial"/>
          <w:sz w:val="20"/>
        </w:rPr>
        <w:t>be appropriate to</w:t>
      </w:r>
      <w:r w:rsidRPr="001749F1">
        <w:rPr>
          <w:rFonts w:ascii="Arial" w:hAnsi="Arial" w:cs="Arial"/>
          <w:spacing w:val="-1"/>
          <w:sz w:val="20"/>
        </w:rPr>
        <w:t xml:space="preserve"> </w:t>
      </w:r>
      <w:r w:rsidRPr="001749F1">
        <w:rPr>
          <w:rFonts w:ascii="Arial" w:hAnsi="Arial" w:cs="Arial"/>
          <w:sz w:val="20"/>
        </w:rPr>
        <w:t>satisfy</w:t>
      </w:r>
      <w:r w:rsidRPr="001749F1">
        <w:rPr>
          <w:rFonts w:ascii="Arial" w:hAnsi="Arial" w:cs="Arial"/>
          <w:spacing w:val="-3"/>
          <w:sz w:val="20"/>
        </w:rPr>
        <w:t xml:space="preserve"> </w:t>
      </w:r>
      <w:r w:rsidRPr="001749F1">
        <w:rPr>
          <w:rFonts w:ascii="Arial" w:hAnsi="Arial" w:cs="Arial"/>
          <w:sz w:val="20"/>
        </w:rPr>
        <w:t>the</w:t>
      </w:r>
      <w:r w:rsidRPr="001749F1">
        <w:rPr>
          <w:rFonts w:ascii="Arial" w:hAnsi="Arial" w:cs="Arial"/>
          <w:spacing w:val="-3"/>
          <w:sz w:val="20"/>
        </w:rPr>
        <w:t xml:space="preserve"> </w:t>
      </w:r>
      <w:r w:rsidRPr="001749F1">
        <w:rPr>
          <w:rFonts w:ascii="Arial" w:hAnsi="Arial" w:cs="Arial"/>
          <w:sz w:val="20"/>
        </w:rPr>
        <w:t>requirements</w:t>
      </w:r>
      <w:r w:rsidRPr="001749F1">
        <w:rPr>
          <w:rFonts w:ascii="Arial" w:hAnsi="Arial" w:cs="Arial"/>
          <w:spacing w:val="-1"/>
          <w:sz w:val="20"/>
        </w:rPr>
        <w:t xml:space="preserve"> </w:t>
      </w:r>
      <w:r w:rsidRPr="001749F1">
        <w:rPr>
          <w:rFonts w:ascii="Arial" w:hAnsi="Arial" w:cs="Arial"/>
          <w:sz w:val="20"/>
        </w:rPr>
        <w:t>detailed</w:t>
      </w:r>
      <w:r w:rsidRPr="001749F1">
        <w:rPr>
          <w:rFonts w:ascii="Arial" w:hAnsi="Arial" w:cs="Arial"/>
          <w:spacing w:val="-2"/>
          <w:sz w:val="20"/>
        </w:rPr>
        <w:t xml:space="preserve"> </w:t>
      </w:r>
      <w:r w:rsidRPr="001749F1">
        <w:rPr>
          <w:rFonts w:ascii="Arial" w:hAnsi="Arial" w:cs="Arial"/>
          <w:sz w:val="20"/>
        </w:rPr>
        <w:t>in</w:t>
      </w:r>
      <w:r w:rsidRPr="001749F1">
        <w:rPr>
          <w:rFonts w:ascii="Arial" w:hAnsi="Arial" w:cs="Arial"/>
          <w:spacing w:val="-5"/>
          <w:sz w:val="20"/>
        </w:rPr>
        <w:t xml:space="preserve"> </w:t>
      </w:r>
      <w:r w:rsidRPr="001749F1">
        <w:rPr>
          <w:rFonts w:ascii="Arial" w:hAnsi="Arial" w:cs="Arial"/>
          <w:sz w:val="20"/>
        </w:rPr>
        <w:t>this</w:t>
      </w:r>
      <w:r w:rsidRPr="001749F1">
        <w:rPr>
          <w:rFonts w:ascii="Arial" w:hAnsi="Arial" w:cs="Arial"/>
          <w:spacing w:val="-1"/>
          <w:sz w:val="20"/>
        </w:rPr>
        <w:t xml:space="preserve"> </w:t>
      </w:r>
      <w:r w:rsidRPr="001749F1">
        <w:rPr>
          <w:rFonts w:ascii="Arial" w:hAnsi="Arial" w:cs="Arial"/>
          <w:sz w:val="20"/>
        </w:rPr>
        <w:t>Section.</w:t>
      </w:r>
    </w:p>
    <w:p w14:paraId="5AA3E4C1" w14:textId="77777777" w:rsidR="001749F1" w:rsidRPr="001749F1" w:rsidRDefault="001749F1" w:rsidP="001749F1">
      <w:pPr>
        <w:pStyle w:val="ListParagraph"/>
        <w:numPr>
          <w:ilvl w:val="0"/>
          <w:numId w:val="334"/>
        </w:numPr>
        <w:tabs>
          <w:tab w:val="left" w:pos="707"/>
        </w:tabs>
        <w:jc w:val="both"/>
        <w:rPr>
          <w:rFonts w:ascii="Arial" w:hAnsi="Arial" w:cs="Arial"/>
          <w:sz w:val="20"/>
        </w:rPr>
      </w:pPr>
      <w:r w:rsidRPr="001749F1">
        <w:rPr>
          <w:rFonts w:ascii="Arial" w:hAnsi="Arial" w:cs="Arial"/>
          <w:sz w:val="20"/>
        </w:rPr>
        <w:t>Qualification</w:t>
      </w:r>
      <w:r w:rsidRPr="001749F1">
        <w:rPr>
          <w:rFonts w:ascii="Arial" w:hAnsi="Arial" w:cs="Arial"/>
          <w:spacing w:val="-5"/>
          <w:sz w:val="20"/>
        </w:rPr>
        <w:t xml:space="preserve"> </w:t>
      </w:r>
      <w:r w:rsidRPr="001749F1">
        <w:rPr>
          <w:rFonts w:ascii="Arial" w:hAnsi="Arial" w:cs="Arial"/>
          <w:sz w:val="20"/>
        </w:rPr>
        <w:t>and</w:t>
      </w:r>
      <w:r w:rsidRPr="001749F1">
        <w:rPr>
          <w:rFonts w:ascii="Arial" w:hAnsi="Arial" w:cs="Arial"/>
          <w:spacing w:val="-2"/>
          <w:sz w:val="20"/>
        </w:rPr>
        <w:t xml:space="preserve"> </w:t>
      </w:r>
      <w:r w:rsidRPr="001749F1">
        <w:rPr>
          <w:rFonts w:ascii="Arial" w:hAnsi="Arial" w:cs="Arial"/>
          <w:sz w:val="20"/>
        </w:rPr>
        <w:t>training</w:t>
      </w:r>
    </w:p>
    <w:p w14:paraId="5C8B9CCC" w14:textId="77777777" w:rsidR="001749F1" w:rsidRPr="001749F1" w:rsidRDefault="001749F1" w:rsidP="00465027">
      <w:pPr>
        <w:pStyle w:val="BodyText"/>
        <w:ind w:left="706" w:right="44"/>
        <w:jc w:val="both"/>
        <w:rPr>
          <w:rFonts w:ascii="Arial" w:hAnsi="Arial" w:cs="Arial"/>
          <w:sz w:val="20"/>
        </w:rPr>
      </w:pPr>
      <w:r w:rsidRPr="001749F1">
        <w:rPr>
          <w:rFonts w:ascii="Arial" w:hAnsi="Arial" w:cs="Arial"/>
          <w:sz w:val="20"/>
        </w:rPr>
        <w:t>All staff involved in activities covered by this Annex shall be appropriately qualified and have</w:t>
      </w:r>
      <w:r w:rsidRPr="001749F1">
        <w:rPr>
          <w:rFonts w:ascii="Arial" w:hAnsi="Arial" w:cs="Arial"/>
          <w:spacing w:val="1"/>
          <w:sz w:val="20"/>
        </w:rPr>
        <w:t xml:space="preserve"> </w:t>
      </w:r>
      <w:r w:rsidRPr="001749F1">
        <w:rPr>
          <w:rFonts w:ascii="Arial" w:hAnsi="Arial" w:cs="Arial"/>
          <w:sz w:val="20"/>
        </w:rPr>
        <w:t>appropriate</w:t>
      </w:r>
      <w:r w:rsidRPr="001749F1">
        <w:rPr>
          <w:rFonts w:ascii="Arial" w:hAnsi="Arial" w:cs="Arial"/>
          <w:spacing w:val="-3"/>
          <w:sz w:val="20"/>
        </w:rPr>
        <w:t xml:space="preserve"> </w:t>
      </w:r>
      <w:r w:rsidRPr="001749F1">
        <w:rPr>
          <w:rFonts w:ascii="Arial" w:hAnsi="Arial" w:cs="Arial"/>
          <w:sz w:val="20"/>
        </w:rPr>
        <w:t>knowledge,</w:t>
      </w:r>
      <w:r w:rsidRPr="001749F1">
        <w:rPr>
          <w:rFonts w:ascii="Arial" w:hAnsi="Arial" w:cs="Arial"/>
          <w:spacing w:val="-3"/>
          <w:sz w:val="20"/>
        </w:rPr>
        <w:t xml:space="preserve"> </w:t>
      </w:r>
      <w:r w:rsidRPr="001749F1">
        <w:rPr>
          <w:rFonts w:ascii="Arial" w:hAnsi="Arial" w:cs="Arial"/>
          <w:sz w:val="20"/>
        </w:rPr>
        <w:t>experience,</w:t>
      </w:r>
      <w:r w:rsidRPr="001749F1">
        <w:rPr>
          <w:rFonts w:ascii="Arial" w:hAnsi="Arial" w:cs="Arial"/>
          <w:spacing w:val="-2"/>
          <w:sz w:val="20"/>
        </w:rPr>
        <w:t xml:space="preserve"> </w:t>
      </w:r>
      <w:r w:rsidRPr="001749F1">
        <w:rPr>
          <w:rFonts w:ascii="Arial" w:hAnsi="Arial" w:cs="Arial"/>
          <w:sz w:val="20"/>
        </w:rPr>
        <w:t>initial</w:t>
      </w:r>
      <w:r w:rsidRPr="001749F1">
        <w:rPr>
          <w:rFonts w:ascii="Arial" w:hAnsi="Arial" w:cs="Arial"/>
          <w:spacing w:val="-4"/>
          <w:sz w:val="20"/>
        </w:rPr>
        <w:t xml:space="preserve"> </w:t>
      </w:r>
      <w:r w:rsidRPr="001749F1">
        <w:rPr>
          <w:rFonts w:ascii="Arial" w:hAnsi="Arial" w:cs="Arial"/>
          <w:sz w:val="20"/>
        </w:rPr>
        <w:t>and</w:t>
      </w:r>
      <w:r w:rsidRPr="001749F1">
        <w:rPr>
          <w:rFonts w:ascii="Arial" w:hAnsi="Arial" w:cs="Arial"/>
          <w:spacing w:val="-2"/>
          <w:sz w:val="20"/>
        </w:rPr>
        <w:t xml:space="preserve"> </w:t>
      </w:r>
      <w:r w:rsidRPr="001749F1">
        <w:rPr>
          <w:rFonts w:ascii="Arial" w:hAnsi="Arial" w:cs="Arial"/>
          <w:sz w:val="20"/>
        </w:rPr>
        <w:t>continuation</w:t>
      </w:r>
      <w:r w:rsidRPr="001749F1">
        <w:rPr>
          <w:rFonts w:ascii="Arial" w:hAnsi="Arial" w:cs="Arial"/>
          <w:spacing w:val="-3"/>
          <w:sz w:val="20"/>
        </w:rPr>
        <w:t xml:space="preserve"> </w:t>
      </w:r>
      <w:r w:rsidRPr="001749F1">
        <w:rPr>
          <w:rFonts w:ascii="Arial" w:hAnsi="Arial" w:cs="Arial"/>
          <w:sz w:val="20"/>
        </w:rPr>
        <w:t>training</w:t>
      </w:r>
      <w:r w:rsidRPr="001749F1">
        <w:rPr>
          <w:rFonts w:ascii="Arial" w:hAnsi="Arial" w:cs="Arial"/>
          <w:spacing w:val="-2"/>
          <w:sz w:val="20"/>
        </w:rPr>
        <w:t xml:space="preserve"> </w:t>
      </w:r>
      <w:r w:rsidRPr="001749F1">
        <w:rPr>
          <w:rFonts w:ascii="Arial" w:hAnsi="Arial" w:cs="Arial"/>
          <w:sz w:val="20"/>
        </w:rPr>
        <w:t>to perform</w:t>
      </w:r>
      <w:r w:rsidRPr="001749F1">
        <w:rPr>
          <w:rFonts w:ascii="Arial" w:hAnsi="Arial" w:cs="Arial"/>
          <w:spacing w:val="-4"/>
          <w:sz w:val="20"/>
        </w:rPr>
        <w:t xml:space="preserve"> </w:t>
      </w:r>
      <w:r w:rsidRPr="001749F1">
        <w:rPr>
          <w:rFonts w:ascii="Arial" w:hAnsi="Arial" w:cs="Arial"/>
          <w:sz w:val="20"/>
        </w:rPr>
        <w:t>their</w:t>
      </w:r>
      <w:r w:rsidRPr="001749F1">
        <w:rPr>
          <w:rFonts w:ascii="Arial" w:hAnsi="Arial" w:cs="Arial"/>
          <w:spacing w:val="-1"/>
          <w:sz w:val="20"/>
        </w:rPr>
        <w:t xml:space="preserve"> </w:t>
      </w:r>
      <w:r w:rsidRPr="001749F1">
        <w:rPr>
          <w:rFonts w:ascii="Arial" w:hAnsi="Arial" w:cs="Arial"/>
          <w:sz w:val="20"/>
        </w:rPr>
        <w:t>allocated</w:t>
      </w:r>
      <w:r w:rsidRPr="001749F1">
        <w:rPr>
          <w:rFonts w:ascii="Arial" w:hAnsi="Arial" w:cs="Arial"/>
          <w:spacing w:val="-47"/>
          <w:sz w:val="20"/>
        </w:rPr>
        <w:t xml:space="preserve"> </w:t>
      </w:r>
      <w:r w:rsidRPr="001749F1">
        <w:rPr>
          <w:rFonts w:ascii="Arial" w:hAnsi="Arial" w:cs="Arial"/>
          <w:sz w:val="20"/>
        </w:rPr>
        <w:t>tasks.</w:t>
      </w:r>
    </w:p>
    <w:p w14:paraId="730B3265" w14:textId="77777777" w:rsidR="001749F1" w:rsidRPr="001749F1" w:rsidRDefault="001749F1" w:rsidP="00FA003C">
      <w:pPr>
        <w:pStyle w:val="ListParagraph"/>
        <w:numPr>
          <w:ilvl w:val="0"/>
          <w:numId w:val="334"/>
        </w:numPr>
        <w:tabs>
          <w:tab w:val="left" w:pos="707"/>
        </w:tabs>
        <w:jc w:val="both"/>
        <w:rPr>
          <w:rFonts w:ascii="Arial" w:hAnsi="Arial" w:cs="Arial"/>
          <w:sz w:val="20"/>
        </w:rPr>
      </w:pPr>
      <w:r w:rsidRPr="001749F1">
        <w:rPr>
          <w:rFonts w:ascii="Arial" w:hAnsi="Arial" w:cs="Arial"/>
          <w:sz w:val="20"/>
        </w:rPr>
        <w:t>Procedures</w:t>
      </w:r>
    </w:p>
    <w:p w14:paraId="0F99494D" w14:textId="181AFA1B" w:rsidR="001749F1" w:rsidRPr="001749F1" w:rsidRDefault="001749F1" w:rsidP="00465027">
      <w:pPr>
        <w:pStyle w:val="BodyText"/>
        <w:ind w:left="706" w:right="44"/>
        <w:jc w:val="both"/>
        <w:rPr>
          <w:rFonts w:ascii="Arial" w:hAnsi="Arial" w:cs="Arial"/>
          <w:sz w:val="20"/>
        </w:rPr>
      </w:pPr>
      <w:r w:rsidRPr="001749F1">
        <w:rPr>
          <w:rFonts w:ascii="Arial" w:hAnsi="Arial" w:cs="Arial"/>
          <w:sz w:val="20"/>
        </w:rPr>
        <w:t xml:space="preserve">The </w:t>
      </w:r>
      <w:r w:rsidR="00996D5E">
        <w:rPr>
          <w:rFonts w:ascii="Arial" w:hAnsi="Arial" w:cs="Arial"/>
          <w:sz w:val="20"/>
          <w:szCs w:val="20"/>
        </w:rPr>
        <w:t xml:space="preserve">CAC RA </w:t>
      </w:r>
      <w:r w:rsidRPr="001749F1">
        <w:rPr>
          <w:rFonts w:ascii="Arial" w:hAnsi="Arial" w:cs="Arial"/>
          <w:sz w:val="20"/>
        </w:rPr>
        <w:t>shall establish procedures detailing how compliance with this Annex</w:t>
      </w:r>
      <w:r w:rsidRPr="00FA003C">
        <w:rPr>
          <w:rFonts w:ascii="Arial" w:hAnsi="Arial" w:cs="Arial"/>
          <w:sz w:val="20"/>
        </w:rPr>
        <w:t xml:space="preserve"> </w:t>
      </w:r>
      <w:r w:rsidRPr="001749F1">
        <w:rPr>
          <w:rFonts w:ascii="Arial" w:hAnsi="Arial" w:cs="Arial"/>
          <w:sz w:val="20"/>
        </w:rPr>
        <w:t>is achieved.</w:t>
      </w:r>
    </w:p>
    <w:p w14:paraId="069DC526" w14:textId="77777777" w:rsidR="001749F1" w:rsidRPr="00FA003C" w:rsidRDefault="001749F1" w:rsidP="00465027">
      <w:pPr>
        <w:pStyle w:val="BodyText"/>
        <w:ind w:left="706" w:right="44"/>
        <w:jc w:val="both"/>
        <w:rPr>
          <w:rFonts w:ascii="Arial" w:hAnsi="Arial" w:cs="Arial"/>
          <w:sz w:val="20"/>
        </w:rPr>
      </w:pPr>
      <w:r w:rsidRPr="001749F1">
        <w:rPr>
          <w:rFonts w:ascii="Arial" w:hAnsi="Arial" w:cs="Arial"/>
          <w:sz w:val="20"/>
        </w:rPr>
        <w:t>The</w:t>
      </w:r>
      <w:r w:rsidRPr="00FA003C">
        <w:rPr>
          <w:rFonts w:ascii="Arial" w:hAnsi="Arial" w:cs="Arial"/>
          <w:sz w:val="20"/>
        </w:rPr>
        <w:t xml:space="preserve"> </w:t>
      </w:r>
      <w:r w:rsidRPr="001749F1">
        <w:rPr>
          <w:rFonts w:ascii="Arial" w:hAnsi="Arial" w:cs="Arial"/>
          <w:sz w:val="20"/>
        </w:rPr>
        <w:t>procedures</w:t>
      </w:r>
      <w:r w:rsidRPr="00FA003C">
        <w:rPr>
          <w:rFonts w:ascii="Arial" w:hAnsi="Arial" w:cs="Arial"/>
          <w:sz w:val="20"/>
        </w:rPr>
        <w:t xml:space="preserve"> </w:t>
      </w:r>
      <w:r w:rsidRPr="001749F1">
        <w:rPr>
          <w:rFonts w:ascii="Arial" w:hAnsi="Arial" w:cs="Arial"/>
          <w:sz w:val="20"/>
        </w:rPr>
        <w:t>shall</w:t>
      </w:r>
      <w:r w:rsidRPr="00FA003C">
        <w:rPr>
          <w:rFonts w:ascii="Arial" w:hAnsi="Arial" w:cs="Arial"/>
          <w:sz w:val="20"/>
        </w:rPr>
        <w:t xml:space="preserve"> </w:t>
      </w:r>
      <w:r w:rsidRPr="001749F1">
        <w:rPr>
          <w:rFonts w:ascii="Arial" w:hAnsi="Arial" w:cs="Arial"/>
          <w:sz w:val="20"/>
        </w:rPr>
        <w:t>be</w:t>
      </w:r>
      <w:r w:rsidRPr="00FA003C">
        <w:rPr>
          <w:rFonts w:ascii="Arial" w:hAnsi="Arial" w:cs="Arial"/>
          <w:sz w:val="20"/>
        </w:rPr>
        <w:t xml:space="preserve"> </w:t>
      </w:r>
      <w:r w:rsidRPr="001749F1">
        <w:rPr>
          <w:rFonts w:ascii="Arial" w:hAnsi="Arial" w:cs="Arial"/>
          <w:sz w:val="20"/>
        </w:rPr>
        <w:t>reviewed</w:t>
      </w:r>
      <w:r w:rsidRPr="00FA003C">
        <w:rPr>
          <w:rFonts w:ascii="Arial" w:hAnsi="Arial" w:cs="Arial"/>
          <w:sz w:val="20"/>
        </w:rPr>
        <w:t xml:space="preserve"> </w:t>
      </w:r>
      <w:r w:rsidRPr="001749F1">
        <w:rPr>
          <w:rFonts w:ascii="Arial" w:hAnsi="Arial" w:cs="Arial"/>
          <w:sz w:val="20"/>
        </w:rPr>
        <w:t>and</w:t>
      </w:r>
      <w:r w:rsidRPr="00FA003C">
        <w:rPr>
          <w:rFonts w:ascii="Arial" w:hAnsi="Arial" w:cs="Arial"/>
          <w:sz w:val="20"/>
        </w:rPr>
        <w:t xml:space="preserve"> </w:t>
      </w:r>
      <w:r w:rsidRPr="001749F1">
        <w:rPr>
          <w:rFonts w:ascii="Arial" w:hAnsi="Arial" w:cs="Arial"/>
          <w:sz w:val="20"/>
        </w:rPr>
        <w:t>amended</w:t>
      </w:r>
      <w:r w:rsidRPr="00FA003C">
        <w:rPr>
          <w:rFonts w:ascii="Arial" w:hAnsi="Arial" w:cs="Arial"/>
          <w:sz w:val="20"/>
        </w:rPr>
        <w:t xml:space="preserve"> </w:t>
      </w:r>
      <w:r w:rsidRPr="001749F1">
        <w:rPr>
          <w:rFonts w:ascii="Arial" w:hAnsi="Arial" w:cs="Arial"/>
          <w:sz w:val="20"/>
        </w:rPr>
        <w:t>to</w:t>
      </w:r>
      <w:r w:rsidRPr="00FA003C">
        <w:rPr>
          <w:rFonts w:ascii="Arial" w:hAnsi="Arial" w:cs="Arial"/>
          <w:sz w:val="20"/>
        </w:rPr>
        <w:t xml:space="preserve"> </w:t>
      </w:r>
      <w:r w:rsidRPr="001749F1">
        <w:rPr>
          <w:rFonts w:ascii="Arial" w:hAnsi="Arial" w:cs="Arial"/>
          <w:sz w:val="20"/>
        </w:rPr>
        <w:t>ensure continued</w:t>
      </w:r>
      <w:r w:rsidRPr="00FA003C">
        <w:rPr>
          <w:rFonts w:ascii="Arial" w:hAnsi="Arial" w:cs="Arial"/>
          <w:sz w:val="20"/>
        </w:rPr>
        <w:t xml:space="preserve"> </w:t>
      </w:r>
      <w:r w:rsidRPr="001749F1">
        <w:rPr>
          <w:rFonts w:ascii="Arial" w:hAnsi="Arial" w:cs="Arial"/>
          <w:sz w:val="20"/>
        </w:rPr>
        <w:t>compliance.</w:t>
      </w:r>
      <w:bookmarkStart w:id="944" w:name="ML.B.104_Record-keeping"/>
      <w:bookmarkStart w:id="945" w:name="_bookmark401"/>
      <w:bookmarkEnd w:id="944"/>
      <w:bookmarkEnd w:id="945"/>
    </w:p>
    <w:p w14:paraId="6DA102CA" w14:textId="77777777" w:rsidR="00FA003C" w:rsidRPr="00FA003C" w:rsidRDefault="00FA003C" w:rsidP="00FA003C">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946" w:name="_Toc153137566"/>
      <w:r w:rsidRPr="00FA003C">
        <w:rPr>
          <w:rFonts w:ascii="Arial" w:eastAsia="Times New Roman" w:hAnsi="Arial" w:cs="Times New Roman"/>
          <w:b/>
          <w:iCs/>
          <w:color w:val="FFFFFF"/>
          <w:sz w:val="24"/>
        </w:rPr>
        <w:t>ML.B.104 Record-keeping</w:t>
      </w:r>
      <w:bookmarkEnd w:id="946"/>
    </w:p>
    <w:p w14:paraId="54F5043B" w14:textId="4F8E3979" w:rsidR="00FA003C" w:rsidRPr="00FA003C" w:rsidRDefault="00FA003C" w:rsidP="00FF27BD">
      <w:pPr>
        <w:numPr>
          <w:ilvl w:val="0"/>
          <w:numId w:val="335"/>
        </w:numPr>
        <w:tabs>
          <w:tab w:val="left" w:pos="707"/>
        </w:tabs>
        <w:spacing w:before="117"/>
        <w:ind w:right="44"/>
        <w:jc w:val="both"/>
        <w:rPr>
          <w:rFonts w:ascii="Arial" w:hAnsi="Arial" w:cs="Arial"/>
          <w:sz w:val="20"/>
        </w:rPr>
      </w:pPr>
      <w:r w:rsidRPr="00FA003C">
        <w:rPr>
          <w:rFonts w:ascii="Arial" w:hAnsi="Arial" w:cs="Arial"/>
          <w:sz w:val="20"/>
        </w:rPr>
        <w:t xml:space="preserve">The </w:t>
      </w:r>
      <w:r w:rsidR="00996D5E">
        <w:rPr>
          <w:rFonts w:ascii="Arial" w:hAnsi="Arial" w:cs="Arial"/>
          <w:sz w:val="20"/>
          <w:szCs w:val="20"/>
        </w:rPr>
        <w:t xml:space="preserve">CAC RA </w:t>
      </w:r>
      <w:r w:rsidRPr="00FA003C">
        <w:rPr>
          <w:rFonts w:ascii="Arial" w:hAnsi="Arial" w:cs="Arial"/>
          <w:sz w:val="20"/>
        </w:rPr>
        <w:t>shall establish a system of</w:t>
      </w:r>
      <w:r w:rsidRPr="00FA003C">
        <w:rPr>
          <w:rFonts w:ascii="Arial" w:hAnsi="Arial" w:cs="Arial"/>
          <w:spacing w:val="1"/>
          <w:sz w:val="20"/>
        </w:rPr>
        <w:t xml:space="preserve"> </w:t>
      </w:r>
      <w:r w:rsidRPr="00FA003C">
        <w:rPr>
          <w:rFonts w:ascii="Arial" w:hAnsi="Arial" w:cs="Arial"/>
          <w:sz w:val="20"/>
        </w:rPr>
        <w:t>record-keeping that allows adequate</w:t>
      </w:r>
      <w:r w:rsidRPr="00FA003C">
        <w:rPr>
          <w:rFonts w:ascii="Arial" w:hAnsi="Arial" w:cs="Arial"/>
          <w:spacing w:val="1"/>
          <w:sz w:val="20"/>
        </w:rPr>
        <w:t xml:space="preserve"> </w:t>
      </w:r>
      <w:r w:rsidRPr="00FA003C">
        <w:rPr>
          <w:rFonts w:ascii="Arial" w:hAnsi="Arial" w:cs="Arial"/>
          <w:sz w:val="20"/>
        </w:rPr>
        <w:t>traceability</w:t>
      </w:r>
      <w:r w:rsidRPr="00FA003C">
        <w:rPr>
          <w:rFonts w:ascii="Arial" w:hAnsi="Arial" w:cs="Arial"/>
          <w:spacing w:val="1"/>
          <w:sz w:val="20"/>
        </w:rPr>
        <w:t xml:space="preserve"> </w:t>
      </w:r>
      <w:r w:rsidRPr="00FA003C">
        <w:rPr>
          <w:rFonts w:ascii="Arial" w:hAnsi="Arial" w:cs="Arial"/>
          <w:sz w:val="20"/>
        </w:rPr>
        <w:t>of</w:t>
      </w:r>
      <w:r w:rsidRPr="00FA003C">
        <w:rPr>
          <w:rFonts w:ascii="Arial" w:hAnsi="Arial" w:cs="Arial"/>
          <w:spacing w:val="1"/>
          <w:sz w:val="20"/>
        </w:rPr>
        <w:t xml:space="preserve"> </w:t>
      </w:r>
      <w:r w:rsidRPr="00FA003C">
        <w:rPr>
          <w:rFonts w:ascii="Arial" w:hAnsi="Arial" w:cs="Arial"/>
          <w:sz w:val="20"/>
        </w:rPr>
        <w:t>the</w:t>
      </w:r>
      <w:r w:rsidRPr="00FA003C">
        <w:rPr>
          <w:rFonts w:ascii="Arial" w:hAnsi="Arial" w:cs="Arial"/>
          <w:spacing w:val="1"/>
          <w:sz w:val="20"/>
        </w:rPr>
        <w:t xml:space="preserve"> </w:t>
      </w:r>
      <w:r w:rsidRPr="00FA003C">
        <w:rPr>
          <w:rFonts w:ascii="Arial" w:hAnsi="Arial" w:cs="Arial"/>
          <w:sz w:val="20"/>
        </w:rPr>
        <w:t>process</w:t>
      </w:r>
      <w:r w:rsidRPr="00FA003C">
        <w:rPr>
          <w:rFonts w:ascii="Arial" w:hAnsi="Arial" w:cs="Arial"/>
          <w:spacing w:val="1"/>
          <w:sz w:val="20"/>
        </w:rPr>
        <w:t xml:space="preserve"> </w:t>
      </w:r>
      <w:r w:rsidRPr="00FA003C">
        <w:rPr>
          <w:rFonts w:ascii="Arial" w:hAnsi="Arial" w:cs="Arial"/>
          <w:sz w:val="20"/>
        </w:rPr>
        <w:t>for</w:t>
      </w:r>
      <w:r w:rsidRPr="00FA003C">
        <w:rPr>
          <w:rFonts w:ascii="Arial" w:hAnsi="Arial" w:cs="Arial"/>
          <w:spacing w:val="1"/>
          <w:sz w:val="20"/>
        </w:rPr>
        <w:t xml:space="preserve"> </w:t>
      </w:r>
      <w:r w:rsidRPr="00FA003C">
        <w:rPr>
          <w:rFonts w:ascii="Arial" w:hAnsi="Arial" w:cs="Arial"/>
          <w:sz w:val="20"/>
        </w:rPr>
        <w:t>issuing,</w:t>
      </w:r>
      <w:r w:rsidRPr="00FA003C">
        <w:rPr>
          <w:rFonts w:ascii="Arial" w:hAnsi="Arial" w:cs="Arial"/>
          <w:spacing w:val="1"/>
          <w:sz w:val="20"/>
        </w:rPr>
        <w:t xml:space="preserve"> </w:t>
      </w:r>
      <w:r w:rsidRPr="00FA003C">
        <w:rPr>
          <w:rFonts w:ascii="Arial" w:hAnsi="Arial" w:cs="Arial"/>
          <w:sz w:val="20"/>
        </w:rPr>
        <w:t>continuing,</w:t>
      </w:r>
      <w:r w:rsidRPr="00FA003C">
        <w:rPr>
          <w:rFonts w:ascii="Arial" w:hAnsi="Arial" w:cs="Arial"/>
          <w:spacing w:val="1"/>
          <w:sz w:val="20"/>
        </w:rPr>
        <w:t xml:space="preserve"> </w:t>
      </w:r>
      <w:r w:rsidRPr="00FA003C">
        <w:rPr>
          <w:rFonts w:ascii="Arial" w:hAnsi="Arial" w:cs="Arial"/>
          <w:sz w:val="20"/>
        </w:rPr>
        <w:t>changing,</w:t>
      </w:r>
      <w:r w:rsidRPr="00FA003C">
        <w:rPr>
          <w:rFonts w:ascii="Arial" w:hAnsi="Arial" w:cs="Arial"/>
          <w:spacing w:val="1"/>
          <w:sz w:val="20"/>
        </w:rPr>
        <w:t xml:space="preserve"> </w:t>
      </w:r>
      <w:r w:rsidRPr="00FA003C">
        <w:rPr>
          <w:rFonts w:ascii="Arial" w:hAnsi="Arial" w:cs="Arial"/>
          <w:sz w:val="20"/>
        </w:rPr>
        <w:t>suspending</w:t>
      </w:r>
      <w:r w:rsidRPr="00FA003C">
        <w:rPr>
          <w:rFonts w:ascii="Arial" w:hAnsi="Arial" w:cs="Arial"/>
          <w:spacing w:val="1"/>
          <w:sz w:val="20"/>
        </w:rPr>
        <w:t xml:space="preserve"> </w:t>
      </w:r>
      <w:r w:rsidRPr="00FA003C">
        <w:rPr>
          <w:rFonts w:ascii="Arial" w:hAnsi="Arial" w:cs="Arial"/>
          <w:sz w:val="20"/>
        </w:rPr>
        <w:t>or</w:t>
      </w:r>
      <w:r w:rsidRPr="00FA003C">
        <w:rPr>
          <w:rFonts w:ascii="Arial" w:hAnsi="Arial" w:cs="Arial"/>
          <w:spacing w:val="1"/>
          <w:sz w:val="20"/>
        </w:rPr>
        <w:t xml:space="preserve"> </w:t>
      </w:r>
      <w:r w:rsidRPr="00FA003C">
        <w:rPr>
          <w:rFonts w:ascii="Arial" w:hAnsi="Arial" w:cs="Arial"/>
          <w:sz w:val="20"/>
        </w:rPr>
        <w:t>revoking</w:t>
      </w:r>
      <w:r w:rsidRPr="00FA003C">
        <w:rPr>
          <w:rFonts w:ascii="Arial" w:hAnsi="Arial" w:cs="Arial"/>
          <w:spacing w:val="1"/>
          <w:sz w:val="20"/>
        </w:rPr>
        <w:t xml:space="preserve"> </w:t>
      </w:r>
      <w:r w:rsidRPr="00FA003C">
        <w:rPr>
          <w:rFonts w:ascii="Arial" w:hAnsi="Arial" w:cs="Arial"/>
          <w:sz w:val="20"/>
        </w:rPr>
        <w:t>each</w:t>
      </w:r>
      <w:r w:rsidRPr="00FA003C">
        <w:rPr>
          <w:rFonts w:ascii="Arial" w:hAnsi="Arial" w:cs="Arial"/>
          <w:spacing w:val="-47"/>
          <w:sz w:val="20"/>
        </w:rPr>
        <w:t xml:space="preserve"> </w:t>
      </w:r>
      <w:r w:rsidRPr="00FA003C">
        <w:rPr>
          <w:rFonts w:ascii="Arial" w:hAnsi="Arial" w:cs="Arial"/>
          <w:sz w:val="20"/>
        </w:rPr>
        <w:t>certificate</w:t>
      </w:r>
      <w:r w:rsidRPr="00FA003C">
        <w:rPr>
          <w:rFonts w:ascii="Arial" w:hAnsi="Arial" w:cs="Arial"/>
          <w:spacing w:val="-1"/>
          <w:sz w:val="20"/>
        </w:rPr>
        <w:t xml:space="preserve"> </w:t>
      </w:r>
      <w:r w:rsidRPr="00FA003C">
        <w:rPr>
          <w:rFonts w:ascii="Arial" w:hAnsi="Arial" w:cs="Arial"/>
          <w:sz w:val="20"/>
        </w:rPr>
        <w:t>and</w:t>
      </w:r>
      <w:r w:rsidRPr="00FA003C">
        <w:rPr>
          <w:rFonts w:ascii="Arial" w:hAnsi="Arial" w:cs="Arial"/>
          <w:spacing w:val="-1"/>
          <w:sz w:val="20"/>
        </w:rPr>
        <w:t xml:space="preserve"> </w:t>
      </w:r>
      <w:r w:rsidRPr="00FA003C">
        <w:rPr>
          <w:rFonts w:ascii="Arial" w:hAnsi="Arial" w:cs="Arial"/>
          <w:sz w:val="20"/>
        </w:rPr>
        <w:t>authorisation.</w:t>
      </w:r>
    </w:p>
    <w:p w14:paraId="56B02738" w14:textId="77777777" w:rsidR="00FA003C" w:rsidRPr="00FA003C" w:rsidRDefault="00FA003C" w:rsidP="00FF27BD">
      <w:pPr>
        <w:numPr>
          <w:ilvl w:val="0"/>
          <w:numId w:val="335"/>
        </w:numPr>
        <w:tabs>
          <w:tab w:val="left" w:pos="707"/>
        </w:tabs>
        <w:spacing w:before="121"/>
        <w:ind w:right="44"/>
        <w:jc w:val="both"/>
        <w:rPr>
          <w:rFonts w:ascii="Arial" w:hAnsi="Arial" w:cs="Arial"/>
          <w:sz w:val="20"/>
        </w:rPr>
      </w:pPr>
      <w:r w:rsidRPr="00FA003C">
        <w:rPr>
          <w:rFonts w:ascii="Arial" w:hAnsi="Arial" w:cs="Arial"/>
          <w:sz w:val="20"/>
        </w:rPr>
        <w:t>The</w:t>
      </w:r>
      <w:r w:rsidRPr="00FA003C">
        <w:rPr>
          <w:rFonts w:ascii="Arial" w:hAnsi="Arial" w:cs="Arial"/>
          <w:spacing w:val="-1"/>
          <w:sz w:val="20"/>
        </w:rPr>
        <w:t xml:space="preserve"> </w:t>
      </w:r>
      <w:r w:rsidRPr="00FA003C">
        <w:rPr>
          <w:rFonts w:ascii="Arial" w:hAnsi="Arial" w:cs="Arial"/>
          <w:sz w:val="20"/>
        </w:rPr>
        <w:t>records for</w:t>
      </w:r>
      <w:r w:rsidRPr="00FA003C">
        <w:rPr>
          <w:rFonts w:ascii="Arial" w:hAnsi="Arial" w:cs="Arial"/>
          <w:spacing w:val="-3"/>
          <w:sz w:val="20"/>
        </w:rPr>
        <w:t xml:space="preserve"> </w:t>
      </w:r>
      <w:r w:rsidRPr="00FA003C">
        <w:rPr>
          <w:rFonts w:ascii="Arial" w:hAnsi="Arial" w:cs="Arial"/>
          <w:sz w:val="20"/>
        </w:rPr>
        <w:t>the</w:t>
      </w:r>
      <w:r w:rsidRPr="00FA003C">
        <w:rPr>
          <w:rFonts w:ascii="Arial" w:hAnsi="Arial" w:cs="Arial"/>
          <w:spacing w:val="-2"/>
          <w:sz w:val="20"/>
        </w:rPr>
        <w:t xml:space="preserve"> </w:t>
      </w:r>
      <w:r w:rsidRPr="00FA003C">
        <w:rPr>
          <w:rFonts w:ascii="Arial" w:hAnsi="Arial" w:cs="Arial"/>
          <w:sz w:val="20"/>
        </w:rPr>
        <w:t>oversight</w:t>
      </w:r>
      <w:r w:rsidRPr="00FA003C">
        <w:rPr>
          <w:rFonts w:ascii="Arial" w:hAnsi="Arial" w:cs="Arial"/>
          <w:spacing w:val="-1"/>
          <w:sz w:val="20"/>
        </w:rPr>
        <w:t xml:space="preserve"> </w:t>
      </w:r>
      <w:r w:rsidRPr="00FA003C">
        <w:rPr>
          <w:rFonts w:ascii="Arial" w:hAnsi="Arial" w:cs="Arial"/>
          <w:sz w:val="20"/>
        </w:rPr>
        <w:t>of</w:t>
      </w:r>
      <w:r w:rsidRPr="00FA003C">
        <w:rPr>
          <w:rFonts w:ascii="Arial" w:hAnsi="Arial" w:cs="Arial"/>
          <w:spacing w:val="-2"/>
          <w:sz w:val="20"/>
        </w:rPr>
        <w:t xml:space="preserve"> </w:t>
      </w:r>
      <w:r w:rsidRPr="00FA003C">
        <w:rPr>
          <w:rFonts w:ascii="Arial" w:hAnsi="Arial" w:cs="Arial"/>
          <w:sz w:val="20"/>
        </w:rPr>
        <w:t>each</w:t>
      </w:r>
      <w:r w:rsidRPr="00FA003C">
        <w:rPr>
          <w:rFonts w:ascii="Arial" w:hAnsi="Arial" w:cs="Arial"/>
          <w:spacing w:val="-1"/>
          <w:sz w:val="20"/>
        </w:rPr>
        <w:t xml:space="preserve"> </w:t>
      </w:r>
      <w:r w:rsidRPr="00FA003C">
        <w:rPr>
          <w:rFonts w:ascii="Arial" w:hAnsi="Arial" w:cs="Arial"/>
          <w:sz w:val="20"/>
        </w:rPr>
        <w:t>aircraft shall</w:t>
      </w:r>
      <w:r w:rsidRPr="00FA003C">
        <w:rPr>
          <w:rFonts w:ascii="Arial" w:hAnsi="Arial" w:cs="Arial"/>
          <w:spacing w:val="-2"/>
          <w:sz w:val="20"/>
        </w:rPr>
        <w:t xml:space="preserve"> </w:t>
      </w:r>
      <w:r w:rsidRPr="00FA003C">
        <w:rPr>
          <w:rFonts w:ascii="Arial" w:hAnsi="Arial" w:cs="Arial"/>
          <w:sz w:val="20"/>
        </w:rPr>
        <w:t>include,</w:t>
      </w:r>
      <w:r w:rsidRPr="00FA003C">
        <w:rPr>
          <w:rFonts w:ascii="Arial" w:hAnsi="Arial" w:cs="Arial"/>
          <w:spacing w:val="1"/>
          <w:sz w:val="20"/>
        </w:rPr>
        <w:t xml:space="preserve"> </w:t>
      </w:r>
      <w:r w:rsidRPr="00FA003C">
        <w:rPr>
          <w:rFonts w:ascii="Arial" w:hAnsi="Arial" w:cs="Arial"/>
          <w:sz w:val="20"/>
        </w:rPr>
        <w:t>as a</w:t>
      </w:r>
      <w:r w:rsidRPr="00FA003C">
        <w:rPr>
          <w:rFonts w:ascii="Arial" w:hAnsi="Arial" w:cs="Arial"/>
          <w:spacing w:val="-3"/>
          <w:sz w:val="20"/>
        </w:rPr>
        <w:t xml:space="preserve"> </w:t>
      </w:r>
      <w:r w:rsidRPr="00FA003C">
        <w:rPr>
          <w:rFonts w:ascii="Arial" w:hAnsi="Arial" w:cs="Arial"/>
          <w:sz w:val="20"/>
        </w:rPr>
        <w:t>minimum,</w:t>
      </w:r>
      <w:r w:rsidRPr="00FA003C">
        <w:rPr>
          <w:rFonts w:ascii="Arial" w:hAnsi="Arial" w:cs="Arial"/>
          <w:spacing w:val="-3"/>
          <w:sz w:val="20"/>
        </w:rPr>
        <w:t xml:space="preserve"> </w:t>
      </w:r>
      <w:r w:rsidRPr="00FA003C">
        <w:rPr>
          <w:rFonts w:ascii="Arial" w:hAnsi="Arial" w:cs="Arial"/>
          <w:sz w:val="20"/>
        </w:rPr>
        <w:t>a</w:t>
      </w:r>
      <w:r w:rsidRPr="00FA003C">
        <w:rPr>
          <w:rFonts w:ascii="Arial" w:hAnsi="Arial" w:cs="Arial"/>
          <w:spacing w:val="-1"/>
          <w:sz w:val="20"/>
        </w:rPr>
        <w:t xml:space="preserve"> </w:t>
      </w:r>
      <w:r w:rsidRPr="00FA003C">
        <w:rPr>
          <w:rFonts w:ascii="Arial" w:hAnsi="Arial" w:cs="Arial"/>
          <w:sz w:val="20"/>
        </w:rPr>
        <w:t>copy</w:t>
      </w:r>
      <w:r w:rsidRPr="00FA003C">
        <w:rPr>
          <w:rFonts w:ascii="Arial" w:hAnsi="Arial" w:cs="Arial"/>
          <w:spacing w:val="-4"/>
          <w:sz w:val="20"/>
        </w:rPr>
        <w:t xml:space="preserve"> </w:t>
      </w:r>
      <w:r w:rsidRPr="00FA003C">
        <w:rPr>
          <w:rFonts w:ascii="Arial" w:hAnsi="Arial" w:cs="Arial"/>
          <w:sz w:val="20"/>
        </w:rPr>
        <w:t>of:</w:t>
      </w:r>
    </w:p>
    <w:p w14:paraId="3EDD7CBD" w14:textId="77777777" w:rsidR="00FA003C" w:rsidRPr="00FA003C" w:rsidRDefault="00FA003C" w:rsidP="00FF27BD">
      <w:pPr>
        <w:numPr>
          <w:ilvl w:val="1"/>
          <w:numId w:val="335"/>
        </w:numPr>
        <w:tabs>
          <w:tab w:val="left" w:pos="1274"/>
        </w:tabs>
        <w:spacing w:before="120"/>
        <w:ind w:right="44" w:hanging="568"/>
        <w:jc w:val="both"/>
        <w:rPr>
          <w:rFonts w:ascii="Arial" w:hAnsi="Arial" w:cs="Arial"/>
          <w:sz w:val="20"/>
        </w:rPr>
      </w:pPr>
      <w:r w:rsidRPr="00FA003C">
        <w:rPr>
          <w:rFonts w:ascii="Arial" w:hAnsi="Arial" w:cs="Arial"/>
          <w:sz w:val="20"/>
        </w:rPr>
        <w:t>the</w:t>
      </w:r>
      <w:r w:rsidRPr="00FA003C">
        <w:rPr>
          <w:rFonts w:ascii="Arial" w:hAnsi="Arial" w:cs="Arial"/>
          <w:spacing w:val="-1"/>
          <w:sz w:val="20"/>
        </w:rPr>
        <w:t xml:space="preserve"> </w:t>
      </w:r>
      <w:r w:rsidRPr="00FA003C">
        <w:rPr>
          <w:rFonts w:ascii="Arial" w:hAnsi="Arial" w:cs="Arial"/>
          <w:sz w:val="20"/>
        </w:rPr>
        <w:t>aircraft</w:t>
      </w:r>
      <w:r w:rsidRPr="00FA003C">
        <w:rPr>
          <w:rFonts w:ascii="Arial" w:hAnsi="Arial" w:cs="Arial"/>
          <w:spacing w:val="-1"/>
          <w:sz w:val="20"/>
        </w:rPr>
        <w:t xml:space="preserve"> </w:t>
      </w:r>
      <w:r w:rsidRPr="00FA003C">
        <w:rPr>
          <w:rFonts w:ascii="Arial" w:hAnsi="Arial" w:cs="Arial"/>
          <w:sz w:val="20"/>
        </w:rPr>
        <w:t>certificate</w:t>
      </w:r>
      <w:r w:rsidRPr="00FA003C">
        <w:rPr>
          <w:rFonts w:ascii="Arial" w:hAnsi="Arial" w:cs="Arial"/>
          <w:spacing w:val="-2"/>
          <w:sz w:val="20"/>
        </w:rPr>
        <w:t xml:space="preserve"> </w:t>
      </w:r>
      <w:r w:rsidRPr="00FA003C">
        <w:rPr>
          <w:rFonts w:ascii="Arial" w:hAnsi="Arial" w:cs="Arial"/>
          <w:sz w:val="20"/>
        </w:rPr>
        <w:t>of</w:t>
      </w:r>
      <w:r w:rsidRPr="00FA003C">
        <w:rPr>
          <w:rFonts w:ascii="Arial" w:hAnsi="Arial" w:cs="Arial"/>
          <w:spacing w:val="-1"/>
          <w:sz w:val="20"/>
        </w:rPr>
        <w:t xml:space="preserve"> </w:t>
      </w:r>
      <w:r w:rsidRPr="00FA003C">
        <w:rPr>
          <w:rFonts w:ascii="Arial" w:hAnsi="Arial" w:cs="Arial"/>
          <w:sz w:val="20"/>
        </w:rPr>
        <w:t>airworthiness;</w:t>
      </w:r>
    </w:p>
    <w:p w14:paraId="52073FFE" w14:textId="77777777" w:rsidR="00FA003C" w:rsidRPr="00FA003C" w:rsidRDefault="00FA003C" w:rsidP="00FF27BD">
      <w:pPr>
        <w:numPr>
          <w:ilvl w:val="1"/>
          <w:numId w:val="335"/>
        </w:numPr>
        <w:tabs>
          <w:tab w:val="left" w:pos="1274"/>
        </w:tabs>
        <w:spacing w:before="121"/>
        <w:ind w:right="44" w:hanging="568"/>
        <w:jc w:val="both"/>
        <w:rPr>
          <w:rFonts w:ascii="Arial" w:hAnsi="Arial" w:cs="Arial"/>
          <w:sz w:val="20"/>
        </w:rPr>
      </w:pPr>
      <w:r w:rsidRPr="00FA003C">
        <w:rPr>
          <w:rFonts w:ascii="Arial" w:hAnsi="Arial" w:cs="Arial"/>
          <w:sz w:val="20"/>
        </w:rPr>
        <w:t>ARCs;</w:t>
      </w:r>
    </w:p>
    <w:p w14:paraId="7B2ECB3C" w14:textId="4832A0A8" w:rsidR="00FA003C" w:rsidRPr="00FA003C" w:rsidRDefault="00FA003C" w:rsidP="00FF27BD">
      <w:pPr>
        <w:numPr>
          <w:ilvl w:val="1"/>
          <w:numId w:val="335"/>
        </w:numPr>
        <w:tabs>
          <w:tab w:val="left" w:pos="1273"/>
          <w:tab w:val="left" w:pos="1274"/>
        </w:tabs>
        <w:spacing w:before="121"/>
        <w:ind w:right="44" w:hanging="568"/>
        <w:jc w:val="both"/>
        <w:rPr>
          <w:rFonts w:ascii="Arial" w:hAnsi="Arial" w:cs="Arial"/>
          <w:sz w:val="20"/>
        </w:rPr>
      </w:pPr>
      <w:r w:rsidRPr="00FA003C">
        <w:rPr>
          <w:rFonts w:ascii="Arial" w:hAnsi="Arial" w:cs="Arial"/>
          <w:sz w:val="20"/>
        </w:rPr>
        <w:t>reports</w:t>
      </w:r>
      <w:r w:rsidRPr="00FA003C">
        <w:rPr>
          <w:rFonts w:ascii="Arial" w:hAnsi="Arial" w:cs="Arial"/>
          <w:spacing w:val="-3"/>
          <w:sz w:val="20"/>
        </w:rPr>
        <w:t xml:space="preserve"> </w:t>
      </w:r>
      <w:r w:rsidRPr="00FA003C">
        <w:rPr>
          <w:rFonts w:ascii="Arial" w:hAnsi="Arial" w:cs="Arial"/>
          <w:sz w:val="20"/>
        </w:rPr>
        <w:t>from</w:t>
      </w:r>
      <w:r w:rsidRPr="00FA003C">
        <w:rPr>
          <w:rFonts w:ascii="Arial" w:hAnsi="Arial" w:cs="Arial"/>
          <w:spacing w:val="-2"/>
          <w:sz w:val="20"/>
        </w:rPr>
        <w:t xml:space="preserve"> </w:t>
      </w:r>
      <w:r w:rsidRPr="00FA003C">
        <w:rPr>
          <w:rFonts w:ascii="Arial" w:hAnsi="Arial" w:cs="Arial"/>
          <w:sz w:val="20"/>
        </w:rPr>
        <w:t>the</w:t>
      </w:r>
      <w:r w:rsidRPr="00FA003C">
        <w:rPr>
          <w:rFonts w:ascii="Arial" w:hAnsi="Arial" w:cs="Arial"/>
          <w:spacing w:val="-1"/>
          <w:sz w:val="20"/>
        </w:rPr>
        <w:t xml:space="preserve"> </w:t>
      </w:r>
      <w:r w:rsidRPr="00FA003C">
        <w:rPr>
          <w:rFonts w:ascii="Arial" w:hAnsi="Arial" w:cs="Arial"/>
          <w:sz w:val="20"/>
        </w:rPr>
        <w:t>airworthiness</w:t>
      </w:r>
      <w:r w:rsidRPr="00FA003C">
        <w:rPr>
          <w:rFonts w:ascii="Arial" w:hAnsi="Arial" w:cs="Arial"/>
          <w:spacing w:val="-1"/>
          <w:sz w:val="20"/>
        </w:rPr>
        <w:t xml:space="preserve"> </w:t>
      </w:r>
      <w:r w:rsidRPr="00FA003C">
        <w:rPr>
          <w:rFonts w:ascii="Arial" w:hAnsi="Arial" w:cs="Arial"/>
          <w:sz w:val="20"/>
        </w:rPr>
        <w:t>reviews carried</w:t>
      </w:r>
      <w:r w:rsidRPr="00FA003C">
        <w:rPr>
          <w:rFonts w:ascii="Arial" w:hAnsi="Arial" w:cs="Arial"/>
          <w:spacing w:val="-3"/>
          <w:sz w:val="20"/>
        </w:rPr>
        <w:t xml:space="preserve"> </w:t>
      </w:r>
      <w:r w:rsidRPr="00FA003C">
        <w:rPr>
          <w:rFonts w:ascii="Arial" w:hAnsi="Arial" w:cs="Arial"/>
          <w:sz w:val="20"/>
        </w:rPr>
        <w:t>out</w:t>
      </w:r>
      <w:r w:rsidRPr="00FA003C">
        <w:rPr>
          <w:rFonts w:ascii="Arial" w:hAnsi="Arial" w:cs="Arial"/>
          <w:spacing w:val="-1"/>
          <w:sz w:val="20"/>
        </w:rPr>
        <w:t xml:space="preserve"> </w:t>
      </w:r>
      <w:r w:rsidRPr="00FA003C">
        <w:rPr>
          <w:rFonts w:ascii="Arial" w:hAnsi="Arial" w:cs="Arial"/>
          <w:sz w:val="20"/>
        </w:rPr>
        <w:t>directly</w:t>
      </w:r>
      <w:r w:rsidRPr="00FA003C">
        <w:rPr>
          <w:rFonts w:ascii="Arial" w:hAnsi="Arial" w:cs="Arial"/>
          <w:spacing w:val="-3"/>
          <w:sz w:val="20"/>
        </w:rPr>
        <w:t xml:space="preserve"> </w:t>
      </w:r>
      <w:r w:rsidRPr="00FA003C">
        <w:rPr>
          <w:rFonts w:ascii="Arial" w:hAnsi="Arial" w:cs="Arial"/>
          <w:sz w:val="20"/>
        </w:rPr>
        <w:t>by</w:t>
      </w:r>
      <w:r w:rsidRPr="00FA003C">
        <w:rPr>
          <w:rFonts w:ascii="Arial" w:hAnsi="Arial" w:cs="Arial"/>
          <w:spacing w:val="-3"/>
          <w:sz w:val="20"/>
        </w:rPr>
        <w:t xml:space="preserve"> </w:t>
      </w:r>
      <w:r w:rsidR="00BE47FC">
        <w:rPr>
          <w:rFonts w:ascii="Arial" w:hAnsi="Arial" w:cs="Arial"/>
          <w:sz w:val="20"/>
        </w:rPr>
        <w:t>the Republic of Armenia</w:t>
      </w:r>
      <w:r w:rsidRPr="00FA003C">
        <w:rPr>
          <w:rFonts w:ascii="Arial" w:hAnsi="Arial" w:cs="Arial"/>
          <w:sz w:val="20"/>
        </w:rPr>
        <w:t>;</w:t>
      </w:r>
    </w:p>
    <w:p w14:paraId="4D37C671" w14:textId="77777777" w:rsidR="00FA003C" w:rsidRPr="00FA003C" w:rsidRDefault="00FA003C" w:rsidP="00FF27BD">
      <w:pPr>
        <w:numPr>
          <w:ilvl w:val="1"/>
          <w:numId w:val="335"/>
        </w:numPr>
        <w:tabs>
          <w:tab w:val="left" w:pos="1273"/>
          <w:tab w:val="left" w:pos="1274"/>
        </w:tabs>
        <w:spacing w:before="120"/>
        <w:ind w:right="44" w:hanging="568"/>
        <w:jc w:val="both"/>
        <w:rPr>
          <w:rFonts w:ascii="Arial" w:hAnsi="Arial" w:cs="Arial"/>
          <w:sz w:val="20"/>
        </w:rPr>
      </w:pPr>
      <w:r w:rsidRPr="00FA003C">
        <w:rPr>
          <w:rFonts w:ascii="Arial" w:hAnsi="Arial" w:cs="Arial"/>
          <w:sz w:val="20"/>
        </w:rPr>
        <w:t>all</w:t>
      </w:r>
      <w:r w:rsidRPr="00FA003C">
        <w:rPr>
          <w:rFonts w:ascii="Arial" w:hAnsi="Arial" w:cs="Arial"/>
          <w:spacing w:val="-3"/>
          <w:sz w:val="20"/>
        </w:rPr>
        <w:t xml:space="preserve"> </w:t>
      </w:r>
      <w:r w:rsidRPr="00FA003C">
        <w:rPr>
          <w:rFonts w:ascii="Arial" w:hAnsi="Arial" w:cs="Arial"/>
          <w:sz w:val="20"/>
        </w:rPr>
        <w:t>relevant</w:t>
      </w:r>
      <w:r w:rsidRPr="00FA003C">
        <w:rPr>
          <w:rFonts w:ascii="Arial" w:hAnsi="Arial" w:cs="Arial"/>
          <w:spacing w:val="-1"/>
          <w:sz w:val="20"/>
        </w:rPr>
        <w:t xml:space="preserve"> </w:t>
      </w:r>
      <w:r w:rsidRPr="00FA003C">
        <w:rPr>
          <w:rFonts w:ascii="Arial" w:hAnsi="Arial" w:cs="Arial"/>
          <w:sz w:val="20"/>
        </w:rPr>
        <w:t>correspondence relating</w:t>
      </w:r>
      <w:r w:rsidRPr="00FA003C">
        <w:rPr>
          <w:rFonts w:ascii="Arial" w:hAnsi="Arial" w:cs="Arial"/>
          <w:spacing w:val="-4"/>
          <w:sz w:val="20"/>
        </w:rPr>
        <w:t xml:space="preserve"> </w:t>
      </w:r>
      <w:r w:rsidRPr="00FA003C">
        <w:rPr>
          <w:rFonts w:ascii="Arial" w:hAnsi="Arial" w:cs="Arial"/>
          <w:sz w:val="20"/>
        </w:rPr>
        <w:t>to</w:t>
      </w:r>
      <w:r w:rsidRPr="00FA003C">
        <w:rPr>
          <w:rFonts w:ascii="Arial" w:hAnsi="Arial" w:cs="Arial"/>
          <w:spacing w:val="-2"/>
          <w:sz w:val="20"/>
        </w:rPr>
        <w:t xml:space="preserve"> </w:t>
      </w:r>
      <w:r w:rsidRPr="00FA003C">
        <w:rPr>
          <w:rFonts w:ascii="Arial" w:hAnsi="Arial" w:cs="Arial"/>
          <w:sz w:val="20"/>
        </w:rPr>
        <w:t>the aircraft;</w:t>
      </w:r>
    </w:p>
    <w:p w14:paraId="6FC4AA73" w14:textId="77777777" w:rsidR="00FA003C" w:rsidRDefault="00FA003C" w:rsidP="00FF27BD">
      <w:pPr>
        <w:numPr>
          <w:ilvl w:val="1"/>
          <w:numId w:val="335"/>
        </w:numPr>
        <w:tabs>
          <w:tab w:val="left" w:pos="1273"/>
          <w:tab w:val="left" w:pos="1274"/>
        </w:tabs>
        <w:spacing w:before="118"/>
        <w:ind w:right="44" w:hanging="568"/>
        <w:jc w:val="both"/>
        <w:rPr>
          <w:rFonts w:ascii="Arial" w:hAnsi="Arial" w:cs="Arial"/>
          <w:sz w:val="20"/>
        </w:rPr>
      </w:pPr>
      <w:r w:rsidRPr="00FA003C">
        <w:rPr>
          <w:rFonts w:ascii="Arial" w:hAnsi="Arial" w:cs="Arial"/>
          <w:sz w:val="20"/>
        </w:rPr>
        <w:t>details</w:t>
      </w:r>
      <w:r w:rsidRPr="00FA003C">
        <w:rPr>
          <w:rFonts w:ascii="Arial" w:hAnsi="Arial" w:cs="Arial"/>
          <w:spacing w:val="-3"/>
          <w:sz w:val="20"/>
        </w:rPr>
        <w:t xml:space="preserve"> </w:t>
      </w:r>
      <w:r w:rsidRPr="00FA003C">
        <w:rPr>
          <w:rFonts w:ascii="Arial" w:hAnsi="Arial" w:cs="Arial"/>
          <w:sz w:val="20"/>
        </w:rPr>
        <w:t>of</w:t>
      </w:r>
      <w:r w:rsidRPr="00FA003C">
        <w:rPr>
          <w:rFonts w:ascii="Arial" w:hAnsi="Arial" w:cs="Arial"/>
          <w:spacing w:val="-1"/>
          <w:sz w:val="20"/>
        </w:rPr>
        <w:t xml:space="preserve"> </w:t>
      </w:r>
      <w:r w:rsidRPr="00FA003C">
        <w:rPr>
          <w:rFonts w:ascii="Arial" w:hAnsi="Arial" w:cs="Arial"/>
          <w:sz w:val="20"/>
        </w:rPr>
        <w:t>any</w:t>
      </w:r>
      <w:r w:rsidRPr="00FA003C">
        <w:rPr>
          <w:rFonts w:ascii="Arial" w:hAnsi="Arial" w:cs="Arial"/>
          <w:spacing w:val="-4"/>
          <w:sz w:val="20"/>
        </w:rPr>
        <w:t xml:space="preserve"> </w:t>
      </w:r>
      <w:r w:rsidRPr="00FA003C">
        <w:rPr>
          <w:rFonts w:ascii="Arial" w:hAnsi="Arial" w:cs="Arial"/>
          <w:sz w:val="20"/>
        </w:rPr>
        <w:t>exemption</w:t>
      </w:r>
      <w:r w:rsidRPr="00FA003C">
        <w:rPr>
          <w:rFonts w:ascii="Arial" w:hAnsi="Arial" w:cs="Arial"/>
          <w:spacing w:val="-2"/>
          <w:sz w:val="20"/>
        </w:rPr>
        <w:t xml:space="preserve"> </w:t>
      </w:r>
      <w:r w:rsidRPr="00FA003C">
        <w:rPr>
          <w:rFonts w:ascii="Arial" w:hAnsi="Arial" w:cs="Arial"/>
          <w:sz w:val="20"/>
        </w:rPr>
        <w:t>and</w:t>
      </w:r>
      <w:r w:rsidRPr="00FA003C">
        <w:rPr>
          <w:rFonts w:ascii="Arial" w:hAnsi="Arial" w:cs="Arial"/>
          <w:spacing w:val="-2"/>
          <w:sz w:val="20"/>
        </w:rPr>
        <w:t xml:space="preserve"> </w:t>
      </w:r>
      <w:r w:rsidRPr="00FA003C">
        <w:rPr>
          <w:rFonts w:ascii="Arial" w:hAnsi="Arial" w:cs="Arial"/>
          <w:sz w:val="20"/>
        </w:rPr>
        <w:t>enforcement</w:t>
      </w:r>
      <w:r w:rsidRPr="00FA003C">
        <w:rPr>
          <w:rFonts w:ascii="Arial" w:hAnsi="Arial" w:cs="Arial"/>
          <w:spacing w:val="-1"/>
          <w:sz w:val="20"/>
        </w:rPr>
        <w:t xml:space="preserve"> </w:t>
      </w:r>
      <w:r w:rsidRPr="00FA003C">
        <w:rPr>
          <w:rFonts w:ascii="Arial" w:hAnsi="Arial" w:cs="Arial"/>
          <w:sz w:val="20"/>
        </w:rPr>
        <w:t>action(s);</w:t>
      </w:r>
    </w:p>
    <w:p w14:paraId="66CBEFF7" w14:textId="369B7648" w:rsidR="00FA003C" w:rsidRPr="00FA003C" w:rsidRDefault="00FA003C" w:rsidP="00FF27BD">
      <w:pPr>
        <w:numPr>
          <w:ilvl w:val="1"/>
          <w:numId w:val="335"/>
        </w:numPr>
        <w:tabs>
          <w:tab w:val="left" w:pos="1273"/>
          <w:tab w:val="left" w:pos="1274"/>
        </w:tabs>
        <w:spacing w:before="118"/>
        <w:ind w:right="44" w:hanging="568"/>
        <w:jc w:val="both"/>
        <w:rPr>
          <w:rFonts w:ascii="Arial" w:hAnsi="Arial" w:cs="Arial"/>
          <w:sz w:val="20"/>
        </w:rPr>
      </w:pPr>
      <w:r w:rsidRPr="00FA003C">
        <w:rPr>
          <w:rFonts w:ascii="Arial" w:hAnsi="Arial" w:cs="Arial"/>
          <w:sz w:val="20"/>
        </w:rPr>
        <w:t>any</w:t>
      </w:r>
      <w:r w:rsidRPr="00FA003C">
        <w:rPr>
          <w:rFonts w:ascii="Arial" w:hAnsi="Arial" w:cs="Arial"/>
          <w:spacing w:val="28"/>
          <w:sz w:val="20"/>
        </w:rPr>
        <w:t xml:space="preserve"> </w:t>
      </w:r>
      <w:r w:rsidRPr="00FA003C">
        <w:rPr>
          <w:rFonts w:ascii="Arial" w:hAnsi="Arial" w:cs="Arial"/>
          <w:sz w:val="20"/>
        </w:rPr>
        <w:t>document</w:t>
      </w:r>
      <w:r w:rsidRPr="00FA003C">
        <w:rPr>
          <w:rFonts w:ascii="Arial" w:hAnsi="Arial" w:cs="Arial"/>
          <w:spacing w:val="28"/>
          <w:sz w:val="20"/>
        </w:rPr>
        <w:t xml:space="preserve"> </w:t>
      </w:r>
      <w:r w:rsidRPr="00FA003C">
        <w:rPr>
          <w:rFonts w:ascii="Arial" w:hAnsi="Arial" w:cs="Arial"/>
          <w:sz w:val="20"/>
        </w:rPr>
        <w:t>approved</w:t>
      </w:r>
      <w:r w:rsidRPr="00FA003C">
        <w:rPr>
          <w:rFonts w:ascii="Arial" w:hAnsi="Arial" w:cs="Arial"/>
          <w:spacing w:val="25"/>
          <w:sz w:val="20"/>
        </w:rPr>
        <w:t xml:space="preserve"> </w:t>
      </w:r>
      <w:r w:rsidRPr="00FA003C">
        <w:rPr>
          <w:rFonts w:ascii="Arial" w:hAnsi="Arial" w:cs="Arial"/>
          <w:sz w:val="20"/>
        </w:rPr>
        <w:t>by</w:t>
      </w:r>
      <w:r w:rsidRPr="00FA003C">
        <w:rPr>
          <w:rFonts w:ascii="Arial" w:hAnsi="Arial" w:cs="Arial"/>
          <w:spacing w:val="28"/>
          <w:sz w:val="20"/>
        </w:rPr>
        <w:t xml:space="preserve"> </w:t>
      </w:r>
      <w:r w:rsidRPr="00FA003C">
        <w:rPr>
          <w:rFonts w:ascii="Arial" w:hAnsi="Arial" w:cs="Arial"/>
          <w:sz w:val="20"/>
        </w:rPr>
        <w:t>the</w:t>
      </w:r>
      <w:r w:rsidRPr="00FA003C">
        <w:rPr>
          <w:rFonts w:ascii="Arial" w:hAnsi="Arial" w:cs="Arial"/>
          <w:spacing w:val="27"/>
          <w:sz w:val="20"/>
        </w:rPr>
        <w:t xml:space="preserve"> </w:t>
      </w:r>
      <w:r w:rsidR="00996D5E">
        <w:rPr>
          <w:rFonts w:ascii="Arial" w:hAnsi="Arial" w:cs="Arial"/>
          <w:sz w:val="20"/>
          <w:szCs w:val="20"/>
        </w:rPr>
        <w:t xml:space="preserve">CAC RA </w:t>
      </w:r>
      <w:r w:rsidRPr="00FA003C">
        <w:rPr>
          <w:rFonts w:ascii="Arial" w:hAnsi="Arial" w:cs="Arial"/>
          <w:sz w:val="20"/>
        </w:rPr>
        <w:t>pursuant</w:t>
      </w:r>
      <w:r w:rsidRPr="00FA003C">
        <w:rPr>
          <w:rFonts w:ascii="Arial" w:hAnsi="Arial" w:cs="Arial"/>
          <w:spacing w:val="28"/>
          <w:sz w:val="20"/>
        </w:rPr>
        <w:t xml:space="preserve"> </w:t>
      </w:r>
      <w:r w:rsidRPr="00FA003C">
        <w:rPr>
          <w:rFonts w:ascii="Arial" w:hAnsi="Arial" w:cs="Arial"/>
          <w:sz w:val="20"/>
        </w:rPr>
        <w:t>to</w:t>
      </w:r>
      <w:r w:rsidRPr="00FA003C">
        <w:rPr>
          <w:rFonts w:ascii="Arial" w:hAnsi="Arial" w:cs="Arial"/>
          <w:spacing w:val="28"/>
          <w:sz w:val="20"/>
        </w:rPr>
        <w:t xml:space="preserve"> </w:t>
      </w:r>
      <w:r w:rsidRPr="00FA003C">
        <w:rPr>
          <w:rFonts w:ascii="Arial" w:hAnsi="Arial" w:cs="Arial"/>
          <w:sz w:val="20"/>
        </w:rPr>
        <w:t>this</w:t>
      </w:r>
      <w:r w:rsidRPr="00FA003C">
        <w:rPr>
          <w:rFonts w:ascii="Arial" w:hAnsi="Arial" w:cs="Arial"/>
          <w:spacing w:val="27"/>
          <w:sz w:val="20"/>
        </w:rPr>
        <w:t xml:space="preserve"> </w:t>
      </w:r>
      <w:r w:rsidRPr="00FA003C">
        <w:rPr>
          <w:rFonts w:ascii="Arial" w:hAnsi="Arial" w:cs="Arial"/>
          <w:sz w:val="20"/>
        </w:rPr>
        <w:t>Annex</w:t>
      </w:r>
      <w:r w:rsidRPr="00FA003C">
        <w:rPr>
          <w:rFonts w:ascii="Arial" w:hAnsi="Arial" w:cs="Arial"/>
          <w:spacing w:val="28"/>
          <w:sz w:val="20"/>
        </w:rPr>
        <w:t xml:space="preserve"> </w:t>
      </w:r>
      <w:r w:rsidRPr="00FA003C">
        <w:rPr>
          <w:rFonts w:ascii="Arial" w:hAnsi="Arial" w:cs="Arial"/>
          <w:sz w:val="20"/>
        </w:rPr>
        <w:t>or</w:t>
      </w:r>
      <w:r w:rsidRPr="00FA003C">
        <w:rPr>
          <w:rFonts w:ascii="Arial" w:hAnsi="Arial" w:cs="Arial"/>
          <w:spacing w:val="-47"/>
          <w:sz w:val="20"/>
        </w:rPr>
        <w:t xml:space="preserve"> </w:t>
      </w:r>
      <w:hyperlink r:id="rId134" w:history="1">
        <w:r w:rsidR="00BE30E8">
          <w:rPr>
            <w:rStyle w:val="Hyperlink"/>
            <w:rFonts w:ascii="Arial" w:hAnsi="Arial" w:cs="Arial"/>
            <w:sz w:val="20"/>
          </w:rPr>
          <w:t>the order N 2-N of the Minister of Territorial Administration and Infrastructure of RA, dated 11.02.2022</w:t>
        </w:r>
      </w:hyperlink>
      <w:r w:rsidRPr="00FA003C">
        <w:rPr>
          <w:rFonts w:ascii="Arial" w:hAnsi="Arial" w:cs="Arial"/>
          <w:sz w:val="20"/>
        </w:rPr>
        <w:t>.</w:t>
      </w:r>
    </w:p>
    <w:p w14:paraId="38C1D00A" w14:textId="77777777" w:rsidR="00FA003C" w:rsidRPr="00FA003C" w:rsidRDefault="00FA003C" w:rsidP="00FF27BD">
      <w:pPr>
        <w:pStyle w:val="ListParagraph"/>
        <w:numPr>
          <w:ilvl w:val="0"/>
          <w:numId w:val="335"/>
        </w:numPr>
        <w:tabs>
          <w:tab w:val="left" w:pos="706"/>
          <w:tab w:val="left" w:pos="707"/>
        </w:tabs>
        <w:spacing w:before="118"/>
        <w:ind w:right="44"/>
        <w:jc w:val="both"/>
        <w:rPr>
          <w:rFonts w:ascii="Arial" w:hAnsi="Arial" w:cs="Arial"/>
          <w:sz w:val="20"/>
        </w:rPr>
      </w:pPr>
      <w:r w:rsidRPr="00FA003C">
        <w:rPr>
          <w:rFonts w:ascii="Arial" w:hAnsi="Arial" w:cs="Arial"/>
          <w:sz w:val="20"/>
        </w:rPr>
        <w:t>The</w:t>
      </w:r>
      <w:r w:rsidRPr="00FA003C">
        <w:rPr>
          <w:rFonts w:ascii="Arial" w:hAnsi="Arial" w:cs="Arial"/>
          <w:spacing w:val="29"/>
          <w:sz w:val="20"/>
        </w:rPr>
        <w:t xml:space="preserve"> </w:t>
      </w:r>
      <w:r w:rsidRPr="00FA003C">
        <w:rPr>
          <w:rFonts w:ascii="Arial" w:hAnsi="Arial" w:cs="Arial"/>
          <w:sz w:val="20"/>
        </w:rPr>
        <w:t>records</w:t>
      </w:r>
      <w:r w:rsidRPr="00FA003C">
        <w:rPr>
          <w:rFonts w:ascii="Arial" w:hAnsi="Arial" w:cs="Arial"/>
          <w:spacing w:val="30"/>
          <w:sz w:val="20"/>
        </w:rPr>
        <w:t xml:space="preserve"> </w:t>
      </w:r>
      <w:r w:rsidRPr="00FA003C">
        <w:rPr>
          <w:rFonts w:ascii="Arial" w:hAnsi="Arial" w:cs="Arial"/>
          <w:sz w:val="20"/>
        </w:rPr>
        <w:t>specified</w:t>
      </w:r>
      <w:r w:rsidRPr="00FA003C">
        <w:rPr>
          <w:rFonts w:ascii="Arial" w:hAnsi="Arial" w:cs="Arial"/>
          <w:spacing w:val="28"/>
          <w:sz w:val="20"/>
        </w:rPr>
        <w:t xml:space="preserve"> </w:t>
      </w:r>
      <w:r w:rsidRPr="00FA003C">
        <w:rPr>
          <w:rFonts w:ascii="Arial" w:hAnsi="Arial" w:cs="Arial"/>
          <w:sz w:val="20"/>
        </w:rPr>
        <w:t>in</w:t>
      </w:r>
      <w:r w:rsidRPr="00FA003C">
        <w:rPr>
          <w:rFonts w:ascii="Arial" w:hAnsi="Arial" w:cs="Arial"/>
          <w:spacing w:val="30"/>
          <w:sz w:val="20"/>
        </w:rPr>
        <w:t xml:space="preserve"> </w:t>
      </w:r>
      <w:r w:rsidRPr="00FA003C">
        <w:rPr>
          <w:rFonts w:ascii="Arial" w:hAnsi="Arial" w:cs="Arial"/>
          <w:sz w:val="20"/>
        </w:rPr>
        <w:t>point</w:t>
      </w:r>
      <w:r w:rsidRPr="00FA003C">
        <w:rPr>
          <w:rFonts w:ascii="Arial" w:hAnsi="Arial" w:cs="Arial"/>
          <w:spacing w:val="28"/>
          <w:sz w:val="20"/>
        </w:rPr>
        <w:t xml:space="preserve"> </w:t>
      </w:r>
      <w:r w:rsidRPr="00FA003C">
        <w:rPr>
          <w:rFonts w:ascii="Arial" w:hAnsi="Arial" w:cs="Arial"/>
          <w:sz w:val="20"/>
        </w:rPr>
        <w:t>(b)</w:t>
      </w:r>
      <w:r w:rsidRPr="00FA003C">
        <w:rPr>
          <w:rFonts w:ascii="Arial" w:hAnsi="Arial" w:cs="Arial"/>
          <w:spacing w:val="28"/>
          <w:sz w:val="20"/>
        </w:rPr>
        <w:t xml:space="preserve"> </w:t>
      </w:r>
      <w:r w:rsidRPr="00FA003C">
        <w:rPr>
          <w:rFonts w:ascii="Arial" w:hAnsi="Arial" w:cs="Arial"/>
          <w:sz w:val="20"/>
        </w:rPr>
        <w:t>shall</w:t>
      </w:r>
      <w:r w:rsidRPr="00FA003C">
        <w:rPr>
          <w:rFonts w:ascii="Arial" w:hAnsi="Arial" w:cs="Arial"/>
          <w:spacing w:val="30"/>
          <w:sz w:val="20"/>
        </w:rPr>
        <w:t xml:space="preserve"> </w:t>
      </w:r>
      <w:r w:rsidRPr="00FA003C">
        <w:rPr>
          <w:rFonts w:ascii="Arial" w:hAnsi="Arial" w:cs="Arial"/>
          <w:sz w:val="20"/>
        </w:rPr>
        <w:t>be</w:t>
      </w:r>
      <w:r w:rsidRPr="00FA003C">
        <w:rPr>
          <w:rFonts w:ascii="Arial" w:hAnsi="Arial" w:cs="Arial"/>
          <w:spacing w:val="29"/>
          <w:sz w:val="20"/>
        </w:rPr>
        <w:t xml:space="preserve"> </w:t>
      </w:r>
      <w:r w:rsidRPr="00FA003C">
        <w:rPr>
          <w:rFonts w:ascii="Arial" w:hAnsi="Arial" w:cs="Arial"/>
          <w:sz w:val="20"/>
        </w:rPr>
        <w:t>retained</w:t>
      </w:r>
      <w:r w:rsidRPr="00FA003C">
        <w:rPr>
          <w:rFonts w:ascii="Arial" w:hAnsi="Arial" w:cs="Arial"/>
          <w:spacing w:val="27"/>
          <w:sz w:val="20"/>
        </w:rPr>
        <w:t xml:space="preserve"> </w:t>
      </w:r>
      <w:r w:rsidRPr="00FA003C">
        <w:rPr>
          <w:rFonts w:ascii="Arial" w:hAnsi="Arial" w:cs="Arial"/>
          <w:sz w:val="20"/>
        </w:rPr>
        <w:t>until</w:t>
      </w:r>
      <w:r w:rsidRPr="00FA003C">
        <w:rPr>
          <w:rFonts w:ascii="Arial" w:hAnsi="Arial" w:cs="Arial"/>
          <w:spacing w:val="30"/>
          <w:sz w:val="20"/>
        </w:rPr>
        <w:t xml:space="preserve"> </w:t>
      </w:r>
      <w:r w:rsidRPr="00FA003C">
        <w:rPr>
          <w:rFonts w:ascii="Arial" w:hAnsi="Arial" w:cs="Arial"/>
          <w:sz w:val="20"/>
        </w:rPr>
        <w:t>2 years</w:t>
      </w:r>
      <w:r w:rsidRPr="00FA003C">
        <w:rPr>
          <w:rFonts w:ascii="Arial" w:hAnsi="Arial" w:cs="Arial"/>
          <w:spacing w:val="30"/>
          <w:sz w:val="20"/>
        </w:rPr>
        <w:t xml:space="preserve"> </w:t>
      </w:r>
      <w:r w:rsidRPr="00FA003C">
        <w:rPr>
          <w:rFonts w:ascii="Arial" w:hAnsi="Arial" w:cs="Arial"/>
          <w:sz w:val="20"/>
        </w:rPr>
        <w:t>after</w:t>
      </w:r>
      <w:r w:rsidRPr="00FA003C">
        <w:rPr>
          <w:rFonts w:ascii="Arial" w:hAnsi="Arial" w:cs="Arial"/>
          <w:spacing w:val="28"/>
          <w:sz w:val="20"/>
        </w:rPr>
        <w:t xml:space="preserve"> </w:t>
      </w:r>
      <w:r w:rsidRPr="00FA003C">
        <w:rPr>
          <w:rFonts w:ascii="Arial" w:hAnsi="Arial" w:cs="Arial"/>
          <w:sz w:val="20"/>
        </w:rPr>
        <w:t>the</w:t>
      </w:r>
      <w:r w:rsidRPr="00FA003C">
        <w:rPr>
          <w:rFonts w:ascii="Arial" w:hAnsi="Arial" w:cs="Arial"/>
          <w:spacing w:val="28"/>
          <w:sz w:val="20"/>
        </w:rPr>
        <w:t xml:space="preserve"> </w:t>
      </w:r>
      <w:r w:rsidRPr="00FA003C">
        <w:rPr>
          <w:rFonts w:ascii="Arial" w:hAnsi="Arial" w:cs="Arial"/>
          <w:sz w:val="20"/>
        </w:rPr>
        <w:t>aircraft</w:t>
      </w:r>
      <w:r w:rsidRPr="00FA003C">
        <w:rPr>
          <w:rFonts w:ascii="Arial" w:hAnsi="Arial" w:cs="Arial"/>
          <w:spacing w:val="29"/>
          <w:sz w:val="20"/>
        </w:rPr>
        <w:t xml:space="preserve"> </w:t>
      </w:r>
      <w:r w:rsidRPr="00FA003C">
        <w:rPr>
          <w:rFonts w:ascii="Arial" w:hAnsi="Arial" w:cs="Arial"/>
          <w:sz w:val="20"/>
        </w:rPr>
        <w:t>has</w:t>
      </w:r>
      <w:r w:rsidRPr="00FA003C">
        <w:rPr>
          <w:rFonts w:ascii="Arial" w:hAnsi="Arial" w:cs="Arial"/>
          <w:spacing w:val="28"/>
          <w:sz w:val="20"/>
        </w:rPr>
        <w:t xml:space="preserve"> </w:t>
      </w:r>
      <w:r w:rsidRPr="00FA003C">
        <w:rPr>
          <w:rFonts w:ascii="Arial" w:hAnsi="Arial" w:cs="Arial"/>
          <w:sz w:val="20"/>
        </w:rPr>
        <w:t>been</w:t>
      </w:r>
      <w:r w:rsidRPr="00FA003C">
        <w:rPr>
          <w:rFonts w:ascii="Arial" w:hAnsi="Arial" w:cs="Arial"/>
          <w:spacing w:val="-47"/>
          <w:sz w:val="20"/>
        </w:rPr>
        <w:t xml:space="preserve"> </w:t>
      </w:r>
      <w:r w:rsidRPr="00FA003C">
        <w:rPr>
          <w:rFonts w:ascii="Arial" w:hAnsi="Arial" w:cs="Arial"/>
          <w:sz w:val="20"/>
        </w:rPr>
        <w:t>permanently</w:t>
      </w:r>
      <w:r w:rsidRPr="00FA003C">
        <w:rPr>
          <w:rFonts w:ascii="Arial" w:hAnsi="Arial" w:cs="Arial"/>
          <w:spacing w:val="-2"/>
          <w:sz w:val="20"/>
        </w:rPr>
        <w:t xml:space="preserve"> </w:t>
      </w:r>
      <w:r w:rsidRPr="00FA003C">
        <w:rPr>
          <w:rFonts w:ascii="Arial" w:hAnsi="Arial" w:cs="Arial"/>
          <w:sz w:val="20"/>
        </w:rPr>
        <w:t>withdrawn from</w:t>
      </w:r>
      <w:r w:rsidRPr="00FA003C">
        <w:rPr>
          <w:rFonts w:ascii="Arial" w:hAnsi="Arial" w:cs="Arial"/>
          <w:spacing w:val="-2"/>
          <w:sz w:val="20"/>
        </w:rPr>
        <w:t xml:space="preserve"> </w:t>
      </w:r>
      <w:r w:rsidRPr="00FA003C">
        <w:rPr>
          <w:rFonts w:ascii="Arial" w:hAnsi="Arial" w:cs="Arial"/>
          <w:sz w:val="20"/>
        </w:rPr>
        <w:t>service.</w:t>
      </w:r>
    </w:p>
    <w:p w14:paraId="7E56EC64" w14:textId="77777777" w:rsidR="001749F1" w:rsidRPr="00FA003C" w:rsidRDefault="00FA003C" w:rsidP="00FF27BD">
      <w:pPr>
        <w:pStyle w:val="ListParagraph"/>
        <w:numPr>
          <w:ilvl w:val="0"/>
          <w:numId w:val="335"/>
        </w:numPr>
        <w:tabs>
          <w:tab w:val="left" w:pos="706"/>
          <w:tab w:val="left" w:pos="707"/>
        </w:tabs>
        <w:ind w:right="44"/>
        <w:jc w:val="both"/>
        <w:rPr>
          <w:rFonts w:ascii="Arial" w:hAnsi="Arial" w:cs="Arial"/>
          <w:sz w:val="20"/>
        </w:rPr>
      </w:pPr>
      <w:r w:rsidRPr="00FA003C">
        <w:rPr>
          <w:rFonts w:ascii="Arial" w:hAnsi="Arial" w:cs="Arial"/>
          <w:sz w:val="20"/>
        </w:rPr>
        <w:t>All</w:t>
      </w:r>
      <w:r w:rsidRPr="00FA003C">
        <w:rPr>
          <w:rFonts w:ascii="Arial" w:hAnsi="Arial" w:cs="Arial"/>
          <w:spacing w:val="10"/>
          <w:sz w:val="20"/>
        </w:rPr>
        <w:t xml:space="preserve"> </w:t>
      </w:r>
      <w:r w:rsidRPr="00FA003C">
        <w:rPr>
          <w:rFonts w:ascii="Arial" w:hAnsi="Arial" w:cs="Arial"/>
          <w:sz w:val="20"/>
        </w:rPr>
        <w:t>records</w:t>
      </w:r>
      <w:r w:rsidRPr="00FA003C">
        <w:rPr>
          <w:rFonts w:ascii="Arial" w:hAnsi="Arial" w:cs="Arial"/>
          <w:spacing w:val="9"/>
          <w:sz w:val="20"/>
        </w:rPr>
        <w:t xml:space="preserve"> </w:t>
      </w:r>
      <w:r w:rsidRPr="00FA003C">
        <w:rPr>
          <w:rFonts w:ascii="Arial" w:hAnsi="Arial" w:cs="Arial"/>
          <w:sz w:val="20"/>
        </w:rPr>
        <w:t>specified</w:t>
      </w:r>
      <w:r w:rsidRPr="00FA003C">
        <w:rPr>
          <w:rFonts w:ascii="Arial" w:hAnsi="Arial" w:cs="Arial"/>
          <w:spacing w:val="8"/>
          <w:sz w:val="20"/>
        </w:rPr>
        <w:t xml:space="preserve"> </w:t>
      </w:r>
      <w:r w:rsidRPr="00FA003C">
        <w:rPr>
          <w:rFonts w:ascii="Arial" w:hAnsi="Arial" w:cs="Arial"/>
          <w:sz w:val="20"/>
        </w:rPr>
        <w:t>in</w:t>
      </w:r>
      <w:r w:rsidRPr="00FA003C">
        <w:rPr>
          <w:rFonts w:ascii="Arial" w:hAnsi="Arial" w:cs="Arial"/>
          <w:spacing w:val="10"/>
          <w:sz w:val="20"/>
        </w:rPr>
        <w:t xml:space="preserve"> </w:t>
      </w:r>
      <w:r w:rsidRPr="00FA003C">
        <w:rPr>
          <w:rFonts w:ascii="Arial" w:hAnsi="Arial" w:cs="Arial"/>
          <w:sz w:val="20"/>
        </w:rPr>
        <w:t>point</w:t>
      </w:r>
      <w:r w:rsidRPr="00FA003C">
        <w:rPr>
          <w:rFonts w:ascii="Arial" w:hAnsi="Arial" w:cs="Arial"/>
          <w:spacing w:val="11"/>
          <w:sz w:val="20"/>
        </w:rPr>
        <w:t xml:space="preserve"> </w:t>
      </w:r>
      <w:r w:rsidRPr="00FA003C">
        <w:rPr>
          <w:rFonts w:ascii="Arial" w:hAnsi="Arial" w:cs="Arial"/>
          <w:sz w:val="20"/>
        </w:rPr>
        <w:t>ML.B.104</w:t>
      </w:r>
      <w:r w:rsidRPr="00FA003C">
        <w:rPr>
          <w:rFonts w:ascii="Arial" w:hAnsi="Arial" w:cs="Arial"/>
          <w:spacing w:val="10"/>
          <w:sz w:val="20"/>
        </w:rPr>
        <w:t xml:space="preserve"> </w:t>
      </w:r>
      <w:r w:rsidRPr="00FA003C">
        <w:rPr>
          <w:rFonts w:ascii="Arial" w:hAnsi="Arial" w:cs="Arial"/>
          <w:sz w:val="20"/>
        </w:rPr>
        <w:t>shall</w:t>
      </w:r>
      <w:r w:rsidRPr="00FA003C">
        <w:rPr>
          <w:rFonts w:ascii="Arial" w:hAnsi="Arial" w:cs="Arial"/>
          <w:spacing w:val="8"/>
          <w:sz w:val="20"/>
        </w:rPr>
        <w:t xml:space="preserve"> </w:t>
      </w:r>
      <w:r w:rsidRPr="00FA003C">
        <w:rPr>
          <w:rFonts w:ascii="Arial" w:hAnsi="Arial" w:cs="Arial"/>
          <w:sz w:val="20"/>
        </w:rPr>
        <w:t>be</w:t>
      </w:r>
      <w:r w:rsidRPr="00FA003C">
        <w:rPr>
          <w:rFonts w:ascii="Arial" w:hAnsi="Arial" w:cs="Arial"/>
          <w:spacing w:val="8"/>
          <w:sz w:val="20"/>
        </w:rPr>
        <w:t xml:space="preserve"> </w:t>
      </w:r>
      <w:r w:rsidRPr="00FA003C">
        <w:rPr>
          <w:rFonts w:ascii="Arial" w:hAnsi="Arial" w:cs="Arial"/>
          <w:sz w:val="20"/>
        </w:rPr>
        <w:t>made</w:t>
      </w:r>
      <w:r w:rsidRPr="00FA003C">
        <w:rPr>
          <w:rFonts w:ascii="Arial" w:hAnsi="Arial" w:cs="Arial"/>
          <w:spacing w:val="9"/>
          <w:sz w:val="20"/>
        </w:rPr>
        <w:t xml:space="preserve"> </w:t>
      </w:r>
      <w:r w:rsidRPr="00FA003C">
        <w:rPr>
          <w:rFonts w:ascii="Arial" w:hAnsi="Arial" w:cs="Arial"/>
          <w:sz w:val="20"/>
        </w:rPr>
        <w:t>available</w:t>
      </w:r>
      <w:r w:rsidRPr="00FA003C">
        <w:rPr>
          <w:rFonts w:ascii="Arial" w:hAnsi="Arial" w:cs="Arial"/>
          <w:spacing w:val="9"/>
          <w:sz w:val="20"/>
        </w:rPr>
        <w:t xml:space="preserve"> </w:t>
      </w:r>
      <w:r w:rsidRPr="00FA003C">
        <w:rPr>
          <w:rFonts w:ascii="Arial" w:hAnsi="Arial" w:cs="Arial"/>
          <w:sz w:val="20"/>
        </w:rPr>
        <w:t>to</w:t>
      </w:r>
      <w:r w:rsidRPr="00FA003C">
        <w:rPr>
          <w:rFonts w:ascii="Arial" w:hAnsi="Arial" w:cs="Arial"/>
          <w:spacing w:val="10"/>
          <w:sz w:val="20"/>
        </w:rPr>
        <w:t xml:space="preserve"> </w:t>
      </w:r>
      <w:r w:rsidRPr="00FA003C">
        <w:rPr>
          <w:rFonts w:ascii="Arial" w:hAnsi="Arial" w:cs="Arial"/>
          <w:sz w:val="20"/>
        </w:rPr>
        <w:t>any</w:t>
      </w:r>
      <w:r w:rsidRPr="00FA003C">
        <w:rPr>
          <w:rFonts w:ascii="Arial" w:hAnsi="Arial" w:cs="Arial"/>
          <w:spacing w:val="7"/>
          <w:sz w:val="20"/>
        </w:rPr>
        <w:t xml:space="preserve"> </w:t>
      </w:r>
      <w:r w:rsidRPr="00FA003C">
        <w:rPr>
          <w:rFonts w:ascii="Arial" w:hAnsi="Arial" w:cs="Arial"/>
          <w:sz w:val="20"/>
        </w:rPr>
        <w:t>other</w:t>
      </w:r>
      <w:r w:rsidRPr="00FA003C">
        <w:rPr>
          <w:rFonts w:ascii="Arial" w:hAnsi="Arial" w:cs="Arial"/>
          <w:spacing w:val="9"/>
          <w:sz w:val="20"/>
        </w:rPr>
        <w:t xml:space="preserve"> </w:t>
      </w:r>
      <w:r w:rsidRPr="00FA003C">
        <w:rPr>
          <w:rFonts w:ascii="Arial" w:hAnsi="Arial" w:cs="Arial"/>
          <w:sz w:val="20"/>
        </w:rPr>
        <w:t>Member</w:t>
      </w:r>
      <w:r w:rsidRPr="00FA003C">
        <w:rPr>
          <w:rFonts w:ascii="Arial" w:hAnsi="Arial" w:cs="Arial"/>
          <w:spacing w:val="9"/>
          <w:sz w:val="20"/>
        </w:rPr>
        <w:t xml:space="preserve"> </w:t>
      </w:r>
      <w:r w:rsidRPr="00FA003C">
        <w:rPr>
          <w:rFonts w:ascii="Arial" w:hAnsi="Arial" w:cs="Arial"/>
          <w:sz w:val="20"/>
        </w:rPr>
        <w:t>State</w:t>
      </w:r>
      <w:r w:rsidRPr="00FA003C">
        <w:rPr>
          <w:rFonts w:ascii="Arial" w:hAnsi="Arial" w:cs="Arial"/>
          <w:spacing w:val="9"/>
          <w:sz w:val="20"/>
        </w:rPr>
        <w:t xml:space="preserve"> </w:t>
      </w:r>
      <w:r w:rsidRPr="00FA003C">
        <w:rPr>
          <w:rFonts w:ascii="Arial" w:hAnsi="Arial" w:cs="Arial"/>
          <w:sz w:val="20"/>
        </w:rPr>
        <w:t>or</w:t>
      </w:r>
      <w:r w:rsidRPr="00FA003C">
        <w:rPr>
          <w:rFonts w:ascii="Arial" w:hAnsi="Arial" w:cs="Arial"/>
          <w:spacing w:val="-47"/>
          <w:sz w:val="20"/>
        </w:rPr>
        <w:t xml:space="preserve"> </w:t>
      </w:r>
      <w:r w:rsidRPr="00FA003C">
        <w:rPr>
          <w:rFonts w:ascii="Arial" w:hAnsi="Arial" w:cs="Arial"/>
          <w:sz w:val="20"/>
        </w:rPr>
        <w:t>the Agency upon</w:t>
      </w:r>
      <w:r w:rsidRPr="00FA003C">
        <w:rPr>
          <w:rFonts w:ascii="Arial" w:hAnsi="Arial" w:cs="Arial"/>
          <w:spacing w:val="-3"/>
          <w:sz w:val="20"/>
        </w:rPr>
        <w:t xml:space="preserve"> </w:t>
      </w:r>
      <w:r w:rsidRPr="00FA003C">
        <w:rPr>
          <w:rFonts w:ascii="Arial" w:hAnsi="Arial" w:cs="Arial"/>
          <w:sz w:val="20"/>
        </w:rPr>
        <w:t>their request</w:t>
      </w:r>
      <w:r>
        <w:rPr>
          <w:rFonts w:ascii="Arial" w:hAnsi="Arial" w:cs="Arial"/>
          <w:sz w:val="20"/>
        </w:rPr>
        <w:t>.</w:t>
      </w:r>
    </w:p>
    <w:p w14:paraId="67B7B395" w14:textId="77777777" w:rsidR="00FA003C" w:rsidRPr="00FA003C" w:rsidRDefault="00FA003C" w:rsidP="00FA003C">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947" w:name="_Toc153137567"/>
      <w:r w:rsidRPr="00FA003C">
        <w:rPr>
          <w:rFonts w:ascii="Arial" w:eastAsia="Times New Roman" w:hAnsi="Arial" w:cs="Times New Roman"/>
          <w:b/>
          <w:iCs/>
          <w:color w:val="FFFFFF"/>
          <w:sz w:val="24"/>
        </w:rPr>
        <w:t>ML.B.105 Mutual exchange of information</w:t>
      </w:r>
      <w:bookmarkEnd w:id="947"/>
      <w:r w:rsidRPr="00FA003C">
        <w:rPr>
          <w:rFonts w:ascii="Arial" w:eastAsia="Times New Roman" w:hAnsi="Arial" w:cs="Times New Roman"/>
          <w:b/>
          <w:iCs/>
          <w:color w:val="FFFFFF"/>
          <w:sz w:val="24"/>
        </w:rPr>
        <w:tab/>
      </w:r>
    </w:p>
    <w:p w14:paraId="0D7153B1" w14:textId="39A3DFE5" w:rsidR="00FA003C" w:rsidRPr="00FA003C" w:rsidRDefault="00FA003C" w:rsidP="009320F2">
      <w:pPr>
        <w:numPr>
          <w:ilvl w:val="0"/>
          <w:numId w:val="336"/>
        </w:numPr>
        <w:tabs>
          <w:tab w:val="left" w:pos="707"/>
        </w:tabs>
        <w:spacing w:before="118"/>
        <w:ind w:right="44"/>
        <w:jc w:val="both"/>
        <w:rPr>
          <w:rFonts w:ascii="Arial" w:hAnsi="Arial" w:cs="Arial"/>
          <w:sz w:val="20"/>
        </w:rPr>
      </w:pPr>
      <w:r w:rsidRPr="00FA003C">
        <w:rPr>
          <w:rFonts w:ascii="Arial" w:hAnsi="Arial" w:cs="Arial"/>
          <w:sz w:val="20"/>
        </w:rPr>
        <w:t xml:space="preserve">In order to contribute to the improvement of aviation safety, the </w:t>
      </w:r>
      <w:r w:rsidR="00996D5E">
        <w:rPr>
          <w:rFonts w:ascii="Arial" w:hAnsi="Arial" w:cs="Arial"/>
          <w:sz w:val="20"/>
          <w:szCs w:val="20"/>
        </w:rPr>
        <w:t xml:space="preserve">CAC RA </w:t>
      </w:r>
      <w:r w:rsidRPr="00FA003C">
        <w:rPr>
          <w:rFonts w:ascii="Arial" w:hAnsi="Arial" w:cs="Arial"/>
          <w:sz w:val="20"/>
        </w:rPr>
        <w:t>shall</w:t>
      </w:r>
      <w:r w:rsidRPr="00FA003C">
        <w:rPr>
          <w:rFonts w:ascii="Arial" w:hAnsi="Arial" w:cs="Arial"/>
          <w:spacing w:val="1"/>
          <w:sz w:val="20"/>
        </w:rPr>
        <w:t xml:space="preserve"> </w:t>
      </w:r>
      <w:r w:rsidRPr="00FA003C">
        <w:rPr>
          <w:rFonts w:ascii="Arial" w:hAnsi="Arial" w:cs="Arial"/>
          <w:sz w:val="20"/>
        </w:rPr>
        <w:t xml:space="preserve">participate in a mutual exchange of all the necessary information in accordance with </w:t>
      </w:r>
      <w:hyperlink r:id="rId135" w:history="1">
        <w:r w:rsidR="005C2A3C" w:rsidRPr="004073D2">
          <w:rPr>
            <w:rStyle w:val="Hyperlink"/>
            <w:rFonts w:ascii="Arial" w:hAnsi="Arial" w:cs="Arial"/>
            <w:sz w:val="20"/>
            <w:szCs w:val="20"/>
          </w:rPr>
          <w:t>Law on Aviation of the Republic of Armenia</w:t>
        </w:r>
      </w:hyperlink>
      <w:r w:rsidRPr="00FA003C">
        <w:rPr>
          <w:rFonts w:ascii="Arial" w:hAnsi="Arial" w:cs="Arial"/>
          <w:sz w:val="20"/>
        </w:rPr>
        <w:t>.</w:t>
      </w:r>
    </w:p>
    <w:p w14:paraId="4E5BDE21" w14:textId="77777777" w:rsidR="00796976" w:rsidRDefault="00FA003C" w:rsidP="009320F2">
      <w:pPr>
        <w:numPr>
          <w:ilvl w:val="0"/>
          <w:numId w:val="336"/>
        </w:numPr>
        <w:tabs>
          <w:tab w:val="left" w:pos="707"/>
        </w:tabs>
        <w:spacing w:before="121"/>
        <w:ind w:right="44"/>
        <w:jc w:val="both"/>
        <w:rPr>
          <w:rFonts w:ascii="Arial" w:hAnsi="Arial" w:cs="Arial"/>
          <w:sz w:val="20"/>
        </w:rPr>
      </w:pPr>
      <w:r w:rsidRPr="00FA003C">
        <w:rPr>
          <w:rFonts w:ascii="Arial" w:hAnsi="Arial" w:cs="Arial"/>
          <w:sz w:val="20"/>
        </w:rPr>
        <w:t xml:space="preserve">Without prejudice to the competences of </w:t>
      </w:r>
      <w:r w:rsidR="002E2D96">
        <w:rPr>
          <w:rFonts w:ascii="Arial" w:hAnsi="Arial" w:cs="Arial"/>
          <w:sz w:val="20"/>
        </w:rPr>
        <w:t>the Republic of Armenia</w:t>
      </w:r>
      <w:r w:rsidRPr="00FA003C">
        <w:rPr>
          <w:rFonts w:ascii="Arial" w:hAnsi="Arial" w:cs="Arial"/>
          <w:sz w:val="20"/>
        </w:rPr>
        <w:t xml:space="preserve">, in the case of a potential </w:t>
      </w:r>
    </w:p>
    <w:p w14:paraId="4FA46ABE" w14:textId="03758429" w:rsidR="00FA003C" w:rsidRPr="00FA003C" w:rsidRDefault="00FA003C" w:rsidP="009320F2">
      <w:pPr>
        <w:numPr>
          <w:ilvl w:val="0"/>
          <w:numId w:val="336"/>
        </w:numPr>
        <w:tabs>
          <w:tab w:val="left" w:pos="707"/>
        </w:tabs>
        <w:spacing w:before="121"/>
        <w:ind w:right="44"/>
        <w:jc w:val="both"/>
        <w:rPr>
          <w:rFonts w:ascii="Arial" w:hAnsi="Arial" w:cs="Arial"/>
          <w:sz w:val="20"/>
        </w:rPr>
      </w:pPr>
      <w:r w:rsidRPr="00FA003C">
        <w:rPr>
          <w:rFonts w:ascii="Arial" w:hAnsi="Arial" w:cs="Arial"/>
          <w:sz w:val="20"/>
        </w:rPr>
        <w:t>safety</w:t>
      </w:r>
      <w:r w:rsidRPr="00FA003C">
        <w:rPr>
          <w:rFonts w:ascii="Arial" w:hAnsi="Arial" w:cs="Arial"/>
          <w:spacing w:val="1"/>
          <w:sz w:val="20"/>
        </w:rPr>
        <w:t xml:space="preserve"> </w:t>
      </w:r>
      <w:r w:rsidRPr="00FA003C">
        <w:rPr>
          <w:rFonts w:ascii="Arial" w:hAnsi="Arial" w:cs="Arial"/>
          <w:sz w:val="20"/>
        </w:rPr>
        <w:t xml:space="preserve">threat involving several Member States, the </w:t>
      </w:r>
      <w:r w:rsidR="00996D5E">
        <w:rPr>
          <w:rFonts w:ascii="Arial" w:hAnsi="Arial" w:cs="Arial"/>
          <w:sz w:val="20"/>
          <w:szCs w:val="20"/>
        </w:rPr>
        <w:t xml:space="preserve">CAC RA </w:t>
      </w:r>
      <w:r w:rsidRPr="00FA003C">
        <w:rPr>
          <w:rFonts w:ascii="Arial" w:hAnsi="Arial" w:cs="Arial"/>
          <w:sz w:val="20"/>
        </w:rPr>
        <w:t>concerned shall assist each</w:t>
      </w:r>
      <w:r w:rsidRPr="00FA003C">
        <w:rPr>
          <w:rFonts w:ascii="Arial" w:hAnsi="Arial" w:cs="Arial"/>
          <w:spacing w:val="-47"/>
          <w:sz w:val="20"/>
        </w:rPr>
        <w:t xml:space="preserve"> </w:t>
      </w:r>
      <w:r w:rsidRPr="00FA003C">
        <w:rPr>
          <w:rFonts w:ascii="Arial" w:hAnsi="Arial" w:cs="Arial"/>
          <w:sz w:val="20"/>
        </w:rPr>
        <w:t>other in</w:t>
      </w:r>
      <w:r w:rsidRPr="00FA003C">
        <w:rPr>
          <w:rFonts w:ascii="Arial" w:hAnsi="Arial" w:cs="Arial"/>
          <w:spacing w:val="-3"/>
          <w:sz w:val="20"/>
        </w:rPr>
        <w:t xml:space="preserve"> </w:t>
      </w:r>
      <w:r w:rsidRPr="00FA003C">
        <w:rPr>
          <w:rFonts w:ascii="Arial" w:hAnsi="Arial" w:cs="Arial"/>
          <w:sz w:val="20"/>
        </w:rPr>
        <w:t>carrying</w:t>
      </w:r>
      <w:r w:rsidRPr="00FA003C">
        <w:rPr>
          <w:rFonts w:ascii="Arial" w:hAnsi="Arial" w:cs="Arial"/>
          <w:spacing w:val="-4"/>
          <w:sz w:val="20"/>
        </w:rPr>
        <w:t xml:space="preserve"> </w:t>
      </w:r>
      <w:r w:rsidRPr="00FA003C">
        <w:rPr>
          <w:rFonts w:ascii="Arial" w:hAnsi="Arial" w:cs="Arial"/>
          <w:sz w:val="20"/>
        </w:rPr>
        <w:t>out</w:t>
      </w:r>
      <w:r w:rsidRPr="00FA003C">
        <w:rPr>
          <w:rFonts w:ascii="Arial" w:hAnsi="Arial" w:cs="Arial"/>
          <w:spacing w:val="-2"/>
          <w:sz w:val="20"/>
        </w:rPr>
        <w:t xml:space="preserve"> </w:t>
      </w:r>
      <w:r w:rsidRPr="00FA003C">
        <w:rPr>
          <w:rFonts w:ascii="Arial" w:hAnsi="Arial" w:cs="Arial"/>
          <w:sz w:val="20"/>
        </w:rPr>
        <w:t>the necessary</w:t>
      </w:r>
      <w:r w:rsidRPr="00FA003C">
        <w:rPr>
          <w:rFonts w:ascii="Arial" w:hAnsi="Arial" w:cs="Arial"/>
          <w:spacing w:val="-2"/>
          <w:sz w:val="20"/>
        </w:rPr>
        <w:t xml:space="preserve"> </w:t>
      </w:r>
      <w:r w:rsidRPr="00FA003C">
        <w:rPr>
          <w:rFonts w:ascii="Arial" w:hAnsi="Arial" w:cs="Arial"/>
          <w:sz w:val="20"/>
        </w:rPr>
        <w:t>oversight action.</w:t>
      </w:r>
    </w:p>
    <w:p w14:paraId="719FD2C3" w14:textId="77777777" w:rsidR="00FA003C" w:rsidRPr="00FA003C" w:rsidRDefault="00FA003C" w:rsidP="00FA003C">
      <w:pPr>
        <w:keepNext/>
        <w:keepLines/>
        <w:widowControl/>
        <w:autoSpaceDE/>
        <w:autoSpaceDN/>
        <w:spacing w:before="40" w:line="276" w:lineRule="auto"/>
        <w:jc w:val="center"/>
        <w:outlineLvl w:val="2"/>
        <w:rPr>
          <w:rFonts w:ascii="Arial" w:eastAsiaTheme="majorEastAsia" w:hAnsi="Arial" w:cs="Arial"/>
          <w:b/>
          <w:color w:val="00B0F0"/>
          <w:sz w:val="24"/>
          <w:szCs w:val="24"/>
        </w:rPr>
      </w:pPr>
      <w:bookmarkStart w:id="948" w:name="_Toc153137568"/>
      <w:r w:rsidRPr="00FA003C">
        <w:rPr>
          <w:rFonts w:ascii="Arial" w:eastAsiaTheme="majorEastAsia" w:hAnsi="Arial" w:cs="Arial"/>
          <w:b/>
          <w:color w:val="00B0F0"/>
          <w:sz w:val="24"/>
          <w:szCs w:val="24"/>
        </w:rPr>
        <w:lastRenderedPageBreak/>
        <w:t>SUBPART B — ACCOUNTABILITY</w:t>
      </w:r>
      <w:bookmarkEnd w:id="948"/>
    </w:p>
    <w:p w14:paraId="1B657795" w14:textId="77777777" w:rsidR="00FA003C" w:rsidRPr="00FA003C" w:rsidRDefault="00FA003C" w:rsidP="00FA003C">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949" w:name="_Toc153137569"/>
      <w:r w:rsidRPr="00FA003C">
        <w:rPr>
          <w:rFonts w:ascii="Arial" w:eastAsia="Times New Roman" w:hAnsi="Arial" w:cs="Times New Roman"/>
          <w:b/>
          <w:iCs/>
          <w:color w:val="FFFFFF"/>
          <w:sz w:val="24"/>
        </w:rPr>
        <w:t>ML.B.201 Responsibilities</w:t>
      </w:r>
      <w:bookmarkEnd w:id="949"/>
      <w:r w:rsidRPr="00FA003C">
        <w:rPr>
          <w:rFonts w:ascii="Arial" w:eastAsia="Times New Roman" w:hAnsi="Arial" w:cs="Times New Roman"/>
          <w:b/>
          <w:iCs/>
          <w:color w:val="FFFFFF"/>
          <w:sz w:val="24"/>
        </w:rPr>
        <w:tab/>
      </w:r>
    </w:p>
    <w:p w14:paraId="1EA9429B" w14:textId="3FEB90F1" w:rsidR="00FA003C" w:rsidRPr="00FA003C" w:rsidRDefault="00FA003C" w:rsidP="006D6106">
      <w:pPr>
        <w:spacing w:before="117" w:line="276" w:lineRule="auto"/>
        <w:ind w:right="44"/>
        <w:jc w:val="both"/>
        <w:rPr>
          <w:rFonts w:ascii="Arial" w:hAnsi="Arial" w:cs="Arial"/>
          <w:sz w:val="20"/>
        </w:rPr>
      </w:pPr>
      <w:r w:rsidRPr="00FA003C">
        <w:rPr>
          <w:rFonts w:ascii="Arial" w:hAnsi="Arial" w:cs="Arial"/>
          <w:sz w:val="20"/>
        </w:rPr>
        <w:t xml:space="preserve">The </w:t>
      </w:r>
      <w:r w:rsidR="00996D5E">
        <w:rPr>
          <w:rFonts w:ascii="Arial" w:hAnsi="Arial" w:cs="Arial"/>
          <w:sz w:val="20"/>
          <w:szCs w:val="20"/>
        </w:rPr>
        <w:t xml:space="preserve">CAC RA </w:t>
      </w:r>
      <w:r w:rsidRPr="00FA003C">
        <w:rPr>
          <w:rFonts w:ascii="Arial" w:hAnsi="Arial" w:cs="Arial"/>
          <w:sz w:val="20"/>
        </w:rPr>
        <w:t>referred to in point (b) of point ML.1 shall be responsible for conducting inspections and investigations in order to verify that the requirements of this Annex are complied</w:t>
      </w:r>
      <w:r w:rsidRPr="00FA003C">
        <w:rPr>
          <w:rFonts w:ascii="Arial" w:hAnsi="Arial" w:cs="Arial"/>
          <w:spacing w:val="1"/>
          <w:sz w:val="20"/>
        </w:rPr>
        <w:t xml:space="preserve"> </w:t>
      </w:r>
      <w:r w:rsidRPr="00FA003C">
        <w:rPr>
          <w:rFonts w:ascii="Arial" w:hAnsi="Arial" w:cs="Arial"/>
          <w:sz w:val="20"/>
        </w:rPr>
        <w:t>with.</w:t>
      </w:r>
    </w:p>
    <w:p w14:paraId="5E6D05FB" w14:textId="77777777" w:rsidR="00FA003C" w:rsidRDefault="00FA003C" w:rsidP="00FA003C">
      <w:pPr>
        <w:tabs>
          <w:tab w:val="left" w:pos="1273"/>
          <w:tab w:val="left" w:pos="1274"/>
        </w:tabs>
        <w:jc w:val="both"/>
        <w:rPr>
          <w:rFonts w:ascii="Arial" w:hAnsi="Arial" w:cs="Arial"/>
          <w:sz w:val="14"/>
        </w:rPr>
      </w:pPr>
    </w:p>
    <w:p w14:paraId="178B4793" w14:textId="77777777" w:rsidR="001D1737" w:rsidRPr="001D1737" w:rsidRDefault="001D1737" w:rsidP="001D1737">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950" w:name="_Toc153137570"/>
      <w:r w:rsidRPr="001D1737">
        <w:rPr>
          <w:rFonts w:ascii="Arial" w:eastAsia="Times New Roman" w:hAnsi="Arial" w:cs="Times New Roman"/>
          <w:b/>
          <w:color w:val="FFFFFF"/>
          <w:sz w:val="24"/>
        </w:rPr>
        <w:t>AMC1 ML.B.201 Responsibilities</w:t>
      </w:r>
      <w:bookmarkEnd w:id="950"/>
      <w:r w:rsidRPr="001D1737">
        <w:rPr>
          <w:rFonts w:ascii="Arial" w:eastAsia="Times New Roman" w:hAnsi="Arial" w:cs="Times New Roman"/>
          <w:b/>
          <w:color w:val="FFFFFF"/>
          <w:sz w:val="24"/>
        </w:rPr>
        <w:tab/>
      </w:r>
    </w:p>
    <w:p w14:paraId="5545A0A0" w14:textId="118F9D8F" w:rsidR="001D1737" w:rsidRPr="001D1737" w:rsidRDefault="001D1737" w:rsidP="001711C0">
      <w:pPr>
        <w:spacing w:before="117" w:line="276" w:lineRule="auto"/>
        <w:ind w:right="44"/>
        <w:jc w:val="both"/>
        <w:rPr>
          <w:rFonts w:ascii="Arial" w:hAnsi="Arial" w:cs="Arial"/>
          <w:sz w:val="20"/>
        </w:rPr>
      </w:pPr>
      <w:r w:rsidRPr="001D1737">
        <w:rPr>
          <w:rFonts w:ascii="Arial" w:hAnsi="Arial" w:cs="Arial"/>
          <w:sz w:val="20"/>
        </w:rPr>
        <w:t xml:space="preserve">Template that can be used by the owner, CAO or CAMO upon request by the </w:t>
      </w:r>
      <w:r w:rsidR="00996D5E">
        <w:rPr>
          <w:rFonts w:ascii="Arial" w:hAnsi="Arial" w:cs="Arial"/>
          <w:sz w:val="20"/>
          <w:szCs w:val="20"/>
        </w:rPr>
        <w:t xml:space="preserve">CAC RA </w:t>
      </w:r>
      <w:r w:rsidRPr="001D1737">
        <w:rPr>
          <w:rFonts w:ascii="Arial" w:hAnsi="Arial" w:cs="Arial"/>
          <w:sz w:val="20"/>
        </w:rPr>
        <w:t>to collect information about the AMP</w:t>
      </w:r>
    </w:p>
    <w:p w14:paraId="6B300C3D" w14:textId="77777777" w:rsidR="008A3AFF" w:rsidRDefault="008A3AFF" w:rsidP="00FA003C">
      <w:pPr>
        <w:tabs>
          <w:tab w:val="left" w:pos="1273"/>
          <w:tab w:val="left" w:pos="1274"/>
        </w:tabs>
        <w:jc w:val="both"/>
        <w:rPr>
          <w:rFonts w:ascii="Arial" w:hAnsi="Arial" w:cs="Arial"/>
          <w:sz w:val="14"/>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2838"/>
        <w:gridCol w:w="1138"/>
        <w:gridCol w:w="1700"/>
        <w:gridCol w:w="2819"/>
      </w:tblGrid>
      <w:tr w:rsidR="00352B79" w:rsidRPr="00276D5E" w14:paraId="4EFF7988" w14:textId="77777777" w:rsidTr="00352B79">
        <w:trPr>
          <w:trHeight w:val="364"/>
        </w:trPr>
        <w:tc>
          <w:tcPr>
            <w:tcW w:w="9057" w:type="dxa"/>
            <w:gridSpan w:val="5"/>
            <w:shd w:val="clear" w:color="auto" w:fill="F2F2F2" w:themeFill="background1" w:themeFillShade="F2"/>
          </w:tcPr>
          <w:p w14:paraId="2D527281" w14:textId="77777777" w:rsidR="00352B79" w:rsidRPr="00352B79" w:rsidRDefault="00352B79" w:rsidP="00352B79">
            <w:pPr>
              <w:pStyle w:val="TableParagraph"/>
              <w:spacing w:before="59"/>
              <w:ind w:left="2286" w:right="2192"/>
              <w:jc w:val="center"/>
              <w:rPr>
                <w:rFonts w:ascii="Arial" w:hAnsi="Arial" w:cs="Arial"/>
                <w:b/>
                <w:sz w:val="18"/>
              </w:rPr>
            </w:pPr>
            <w:r w:rsidRPr="00352B79">
              <w:rPr>
                <w:rFonts w:ascii="Arial" w:hAnsi="Arial" w:cs="Arial"/>
                <w:b/>
                <w:sz w:val="18"/>
              </w:rPr>
              <w:t>Part-ML</w:t>
            </w:r>
            <w:r w:rsidRPr="00352B79">
              <w:rPr>
                <w:rFonts w:ascii="Arial" w:hAnsi="Arial" w:cs="Arial"/>
                <w:b/>
                <w:spacing w:val="-5"/>
                <w:sz w:val="18"/>
              </w:rPr>
              <w:t xml:space="preserve"> </w:t>
            </w:r>
            <w:r w:rsidRPr="00352B79">
              <w:rPr>
                <w:rFonts w:ascii="Arial" w:hAnsi="Arial" w:cs="Arial"/>
                <w:b/>
                <w:sz w:val="18"/>
              </w:rPr>
              <w:t>aircraft</w:t>
            </w:r>
            <w:r w:rsidRPr="00352B79">
              <w:rPr>
                <w:rFonts w:ascii="Arial" w:hAnsi="Arial" w:cs="Arial"/>
                <w:b/>
                <w:spacing w:val="-4"/>
                <w:sz w:val="18"/>
              </w:rPr>
              <w:t xml:space="preserve"> </w:t>
            </w:r>
            <w:r w:rsidRPr="00352B79">
              <w:rPr>
                <w:rFonts w:ascii="Arial" w:hAnsi="Arial" w:cs="Arial"/>
                <w:b/>
                <w:sz w:val="18"/>
              </w:rPr>
              <w:t>maintenance</w:t>
            </w:r>
            <w:r w:rsidRPr="00352B79">
              <w:rPr>
                <w:rFonts w:ascii="Arial" w:hAnsi="Arial" w:cs="Arial"/>
                <w:b/>
                <w:spacing w:val="-4"/>
                <w:sz w:val="18"/>
              </w:rPr>
              <w:t xml:space="preserve"> </w:t>
            </w:r>
            <w:r w:rsidRPr="00352B79">
              <w:rPr>
                <w:rFonts w:ascii="Arial" w:hAnsi="Arial" w:cs="Arial"/>
                <w:b/>
                <w:sz w:val="18"/>
              </w:rPr>
              <w:t>programme</w:t>
            </w:r>
            <w:r w:rsidRPr="00352B79">
              <w:rPr>
                <w:rFonts w:ascii="Arial" w:hAnsi="Arial" w:cs="Arial"/>
                <w:b/>
                <w:spacing w:val="-3"/>
                <w:sz w:val="18"/>
              </w:rPr>
              <w:t xml:space="preserve"> </w:t>
            </w:r>
            <w:r w:rsidRPr="00352B79">
              <w:rPr>
                <w:rFonts w:ascii="Arial" w:hAnsi="Arial" w:cs="Arial"/>
                <w:b/>
                <w:sz w:val="18"/>
              </w:rPr>
              <w:t>(AMP)</w:t>
            </w:r>
          </w:p>
        </w:tc>
      </w:tr>
      <w:tr w:rsidR="00352B79" w:rsidRPr="00276D5E" w14:paraId="502043AF" w14:textId="77777777" w:rsidTr="00352B79">
        <w:trPr>
          <w:trHeight w:val="352"/>
        </w:trPr>
        <w:tc>
          <w:tcPr>
            <w:tcW w:w="9057" w:type="dxa"/>
            <w:gridSpan w:val="5"/>
            <w:shd w:val="clear" w:color="auto" w:fill="F2F2F2" w:themeFill="background1" w:themeFillShade="F2"/>
          </w:tcPr>
          <w:p w14:paraId="39E638DD" w14:textId="77777777" w:rsidR="00352B79" w:rsidRPr="00352B79" w:rsidRDefault="00352B79" w:rsidP="00BC2EBA">
            <w:pPr>
              <w:pStyle w:val="TableParagraph"/>
              <w:spacing w:before="54"/>
              <w:ind w:left="2286" w:right="2285"/>
              <w:jc w:val="center"/>
              <w:rPr>
                <w:rFonts w:ascii="Arial" w:hAnsi="Arial" w:cs="Arial"/>
                <w:b/>
                <w:sz w:val="18"/>
              </w:rPr>
            </w:pPr>
            <w:r w:rsidRPr="00352B79">
              <w:rPr>
                <w:rFonts w:ascii="Arial" w:hAnsi="Arial" w:cs="Arial"/>
                <w:b/>
                <w:sz w:val="18"/>
              </w:rPr>
              <w:t>Aircraft</w:t>
            </w:r>
            <w:r w:rsidRPr="00352B79">
              <w:rPr>
                <w:rFonts w:ascii="Arial" w:hAnsi="Arial" w:cs="Arial"/>
                <w:b/>
                <w:spacing w:val="-5"/>
                <w:sz w:val="18"/>
              </w:rPr>
              <w:t xml:space="preserve"> </w:t>
            </w:r>
            <w:r w:rsidRPr="00352B79">
              <w:rPr>
                <w:rFonts w:ascii="Arial" w:hAnsi="Arial" w:cs="Arial"/>
                <w:b/>
                <w:sz w:val="18"/>
              </w:rPr>
              <w:t>identification</w:t>
            </w:r>
          </w:p>
        </w:tc>
      </w:tr>
      <w:tr w:rsidR="00352B79" w:rsidRPr="00276D5E" w14:paraId="6B476550" w14:textId="77777777" w:rsidTr="00BC2EBA">
        <w:trPr>
          <w:trHeight w:val="419"/>
        </w:trPr>
        <w:tc>
          <w:tcPr>
            <w:tcW w:w="562" w:type="dxa"/>
            <w:vMerge w:val="restart"/>
          </w:tcPr>
          <w:p w14:paraId="00D182C5" w14:textId="77777777" w:rsidR="00352B79" w:rsidRPr="00276D5E" w:rsidRDefault="00352B79" w:rsidP="00BC2EBA">
            <w:pPr>
              <w:pStyle w:val="TableParagraph"/>
              <w:spacing w:before="1"/>
              <w:ind w:left="9"/>
              <w:jc w:val="center"/>
              <w:rPr>
                <w:rFonts w:ascii="Arial" w:hAnsi="Arial" w:cs="Arial"/>
                <w:sz w:val="20"/>
              </w:rPr>
            </w:pPr>
            <w:r w:rsidRPr="00276D5E">
              <w:rPr>
                <w:rFonts w:ascii="Arial" w:hAnsi="Arial" w:cs="Arial"/>
                <w:w w:val="99"/>
                <w:sz w:val="20"/>
              </w:rPr>
              <w:t>1</w:t>
            </w:r>
          </w:p>
        </w:tc>
        <w:tc>
          <w:tcPr>
            <w:tcW w:w="2838" w:type="dxa"/>
          </w:tcPr>
          <w:p w14:paraId="00926C27" w14:textId="77777777" w:rsidR="00352B79" w:rsidRPr="00352B79" w:rsidRDefault="00352B79" w:rsidP="00BC2EBA">
            <w:pPr>
              <w:pStyle w:val="TableParagraph"/>
              <w:spacing w:before="1"/>
              <w:ind w:left="107"/>
              <w:rPr>
                <w:rFonts w:ascii="Arial" w:hAnsi="Arial" w:cs="Arial"/>
                <w:sz w:val="18"/>
              </w:rPr>
            </w:pPr>
            <w:r w:rsidRPr="00352B79">
              <w:rPr>
                <w:rFonts w:ascii="Arial" w:hAnsi="Arial" w:cs="Arial"/>
                <w:sz w:val="18"/>
              </w:rPr>
              <w:t>Registration(s):</w:t>
            </w:r>
          </w:p>
        </w:tc>
        <w:tc>
          <w:tcPr>
            <w:tcW w:w="2838" w:type="dxa"/>
            <w:gridSpan w:val="2"/>
          </w:tcPr>
          <w:p w14:paraId="0C4BCA92" w14:textId="77777777" w:rsidR="00352B79" w:rsidRPr="00352B79" w:rsidRDefault="00352B79" w:rsidP="00BC2EBA">
            <w:pPr>
              <w:pStyle w:val="TableParagraph"/>
              <w:spacing w:before="1"/>
              <w:ind w:left="106"/>
              <w:rPr>
                <w:rFonts w:ascii="Arial" w:hAnsi="Arial" w:cs="Arial"/>
                <w:sz w:val="18"/>
              </w:rPr>
            </w:pPr>
            <w:r w:rsidRPr="00352B79">
              <w:rPr>
                <w:rFonts w:ascii="Arial" w:hAnsi="Arial" w:cs="Arial"/>
                <w:sz w:val="18"/>
              </w:rPr>
              <w:t>Type:</w:t>
            </w:r>
          </w:p>
        </w:tc>
        <w:tc>
          <w:tcPr>
            <w:tcW w:w="2819" w:type="dxa"/>
          </w:tcPr>
          <w:p w14:paraId="52A6FD11" w14:textId="77777777" w:rsidR="00352B79" w:rsidRPr="00352B79" w:rsidRDefault="00352B79" w:rsidP="00BC2EBA">
            <w:pPr>
              <w:pStyle w:val="TableParagraph"/>
              <w:spacing w:before="1"/>
              <w:ind w:left="105"/>
              <w:rPr>
                <w:rFonts w:ascii="Arial" w:hAnsi="Arial" w:cs="Arial"/>
                <w:sz w:val="18"/>
              </w:rPr>
            </w:pPr>
            <w:r w:rsidRPr="00352B79">
              <w:rPr>
                <w:rFonts w:ascii="Arial" w:hAnsi="Arial" w:cs="Arial"/>
                <w:sz w:val="18"/>
              </w:rPr>
              <w:t>Serial</w:t>
            </w:r>
            <w:r w:rsidRPr="00352B79">
              <w:rPr>
                <w:rFonts w:ascii="Arial" w:hAnsi="Arial" w:cs="Arial"/>
                <w:spacing w:val="-4"/>
                <w:sz w:val="18"/>
              </w:rPr>
              <w:t xml:space="preserve"> </w:t>
            </w:r>
            <w:r w:rsidRPr="00352B79">
              <w:rPr>
                <w:rFonts w:ascii="Arial" w:hAnsi="Arial" w:cs="Arial"/>
                <w:sz w:val="18"/>
              </w:rPr>
              <w:t>no(s):</w:t>
            </w:r>
          </w:p>
        </w:tc>
      </w:tr>
      <w:tr w:rsidR="00352B79" w:rsidRPr="00276D5E" w14:paraId="4C6BB7A9" w14:textId="77777777" w:rsidTr="00BC2EBA">
        <w:trPr>
          <w:trHeight w:val="419"/>
        </w:trPr>
        <w:tc>
          <w:tcPr>
            <w:tcW w:w="562" w:type="dxa"/>
            <w:vMerge/>
            <w:tcBorders>
              <w:top w:val="nil"/>
            </w:tcBorders>
          </w:tcPr>
          <w:p w14:paraId="2D06A3A0" w14:textId="77777777" w:rsidR="00352B79" w:rsidRPr="00276D5E" w:rsidRDefault="00352B79" w:rsidP="00BC2EBA">
            <w:pPr>
              <w:rPr>
                <w:rFonts w:ascii="Arial" w:hAnsi="Arial" w:cs="Arial"/>
                <w:sz w:val="2"/>
                <w:szCs w:val="2"/>
              </w:rPr>
            </w:pPr>
          </w:p>
        </w:tc>
        <w:tc>
          <w:tcPr>
            <w:tcW w:w="8495" w:type="dxa"/>
            <w:gridSpan w:val="4"/>
          </w:tcPr>
          <w:p w14:paraId="72C00AD0" w14:textId="77777777" w:rsidR="00352B79" w:rsidRPr="00352B79" w:rsidRDefault="00352B79" w:rsidP="00BC2EBA">
            <w:pPr>
              <w:pStyle w:val="TableParagraph"/>
              <w:spacing w:line="243" w:lineRule="exact"/>
              <w:ind w:left="107"/>
              <w:rPr>
                <w:rFonts w:ascii="Arial" w:hAnsi="Arial" w:cs="Arial"/>
                <w:sz w:val="18"/>
              </w:rPr>
            </w:pPr>
            <w:r w:rsidRPr="00352B79">
              <w:rPr>
                <w:rFonts w:ascii="Arial" w:hAnsi="Arial" w:cs="Arial"/>
                <w:sz w:val="18"/>
              </w:rPr>
              <w:t>Owner:</w:t>
            </w:r>
          </w:p>
        </w:tc>
      </w:tr>
      <w:tr w:rsidR="00352B79" w:rsidRPr="00276D5E" w14:paraId="337ACA05" w14:textId="77777777" w:rsidTr="00352B79">
        <w:trPr>
          <w:trHeight w:val="352"/>
        </w:trPr>
        <w:tc>
          <w:tcPr>
            <w:tcW w:w="9057" w:type="dxa"/>
            <w:gridSpan w:val="5"/>
            <w:shd w:val="clear" w:color="auto" w:fill="F2F2F2" w:themeFill="background1" w:themeFillShade="F2"/>
          </w:tcPr>
          <w:p w14:paraId="5B71B006" w14:textId="77777777" w:rsidR="00352B79" w:rsidRPr="00352B79" w:rsidRDefault="00352B79" w:rsidP="00352B79">
            <w:pPr>
              <w:pStyle w:val="TableParagraph"/>
              <w:spacing w:before="54"/>
              <w:ind w:right="32"/>
              <w:jc w:val="center"/>
              <w:rPr>
                <w:rFonts w:ascii="Arial" w:hAnsi="Arial" w:cs="Arial"/>
                <w:b/>
                <w:sz w:val="18"/>
              </w:rPr>
            </w:pPr>
            <w:r w:rsidRPr="00352B79">
              <w:rPr>
                <w:rFonts w:ascii="Arial" w:hAnsi="Arial" w:cs="Arial"/>
                <w:b/>
                <w:sz w:val="18"/>
              </w:rPr>
              <w:t>Which</w:t>
            </w:r>
            <w:r w:rsidRPr="00352B79">
              <w:rPr>
                <w:rFonts w:ascii="Arial" w:hAnsi="Arial" w:cs="Arial"/>
                <w:b/>
                <w:spacing w:val="-4"/>
                <w:sz w:val="18"/>
              </w:rPr>
              <w:t xml:space="preserve"> </w:t>
            </w:r>
            <w:r w:rsidRPr="00352B79">
              <w:rPr>
                <w:rFonts w:ascii="Arial" w:hAnsi="Arial" w:cs="Arial"/>
                <w:b/>
                <w:sz w:val="18"/>
              </w:rPr>
              <w:t>basis</w:t>
            </w:r>
            <w:r w:rsidRPr="00352B79">
              <w:rPr>
                <w:rFonts w:ascii="Arial" w:hAnsi="Arial" w:cs="Arial"/>
                <w:b/>
                <w:spacing w:val="-4"/>
                <w:sz w:val="18"/>
              </w:rPr>
              <w:t xml:space="preserve"> </w:t>
            </w:r>
            <w:r w:rsidRPr="00352B79">
              <w:rPr>
                <w:rFonts w:ascii="Arial" w:hAnsi="Arial" w:cs="Arial"/>
                <w:b/>
                <w:sz w:val="18"/>
              </w:rPr>
              <w:t>is</w:t>
            </w:r>
            <w:r w:rsidRPr="00352B79">
              <w:rPr>
                <w:rFonts w:ascii="Arial" w:hAnsi="Arial" w:cs="Arial"/>
                <w:b/>
                <w:spacing w:val="-4"/>
                <w:sz w:val="18"/>
              </w:rPr>
              <w:t xml:space="preserve"> </w:t>
            </w:r>
            <w:r w:rsidRPr="00352B79">
              <w:rPr>
                <w:rFonts w:ascii="Arial" w:hAnsi="Arial" w:cs="Arial"/>
                <w:b/>
                <w:sz w:val="18"/>
              </w:rPr>
              <w:t>used</w:t>
            </w:r>
            <w:r w:rsidRPr="00352B79">
              <w:rPr>
                <w:rFonts w:ascii="Arial" w:hAnsi="Arial" w:cs="Arial"/>
                <w:b/>
                <w:spacing w:val="-2"/>
                <w:sz w:val="18"/>
              </w:rPr>
              <w:t xml:space="preserve"> </w:t>
            </w:r>
            <w:r w:rsidRPr="00352B79">
              <w:rPr>
                <w:rFonts w:ascii="Arial" w:hAnsi="Arial" w:cs="Arial"/>
                <w:b/>
                <w:sz w:val="18"/>
              </w:rPr>
              <w:t>for</w:t>
            </w:r>
            <w:r w:rsidRPr="00352B79">
              <w:rPr>
                <w:rFonts w:ascii="Arial" w:hAnsi="Arial" w:cs="Arial"/>
                <w:b/>
                <w:spacing w:val="-3"/>
                <w:sz w:val="18"/>
              </w:rPr>
              <w:t xml:space="preserve"> </w:t>
            </w:r>
            <w:r w:rsidRPr="00352B79">
              <w:rPr>
                <w:rFonts w:ascii="Arial" w:hAnsi="Arial" w:cs="Arial"/>
                <w:b/>
                <w:sz w:val="18"/>
              </w:rPr>
              <w:t>the</w:t>
            </w:r>
            <w:r w:rsidRPr="00352B79">
              <w:rPr>
                <w:rFonts w:ascii="Arial" w:hAnsi="Arial" w:cs="Arial"/>
                <w:b/>
                <w:spacing w:val="-3"/>
                <w:sz w:val="18"/>
              </w:rPr>
              <w:t xml:space="preserve"> </w:t>
            </w:r>
            <w:r w:rsidRPr="00352B79">
              <w:rPr>
                <w:rFonts w:ascii="Arial" w:hAnsi="Arial" w:cs="Arial"/>
                <w:b/>
                <w:sz w:val="18"/>
              </w:rPr>
              <w:t>maintenance</w:t>
            </w:r>
            <w:r w:rsidRPr="00352B79">
              <w:rPr>
                <w:rFonts w:ascii="Arial" w:hAnsi="Arial" w:cs="Arial"/>
                <w:b/>
                <w:spacing w:val="-3"/>
                <w:sz w:val="18"/>
              </w:rPr>
              <w:t xml:space="preserve"> </w:t>
            </w:r>
            <w:r w:rsidRPr="00352B79">
              <w:rPr>
                <w:rFonts w:ascii="Arial" w:hAnsi="Arial" w:cs="Arial"/>
                <w:b/>
                <w:sz w:val="18"/>
              </w:rPr>
              <w:t>programme?</w:t>
            </w:r>
          </w:p>
        </w:tc>
      </w:tr>
      <w:tr w:rsidR="00352B79" w:rsidRPr="00276D5E" w14:paraId="59A140C9" w14:textId="77777777" w:rsidTr="00BC2EBA">
        <w:trPr>
          <w:trHeight w:val="1180"/>
        </w:trPr>
        <w:tc>
          <w:tcPr>
            <w:tcW w:w="562" w:type="dxa"/>
            <w:vMerge w:val="restart"/>
          </w:tcPr>
          <w:p w14:paraId="08A4F49E" w14:textId="77777777" w:rsidR="00352B79" w:rsidRPr="00276D5E" w:rsidRDefault="00352B79" w:rsidP="00BC2EBA">
            <w:pPr>
              <w:pStyle w:val="TableParagraph"/>
              <w:spacing w:line="243" w:lineRule="exact"/>
              <w:ind w:left="9"/>
              <w:jc w:val="center"/>
              <w:rPr>
                <w:rFonts w:ascii="Arial" w:hAnsi="Arial" w:cs="Arial"/>
                <w:sz w:val="20"/>
              </w:rPr>
            </w:pPr>
            <w:r w:rsidRPr="00276D5E">
              <w:rPr>
                <w:rFonts w:ascii="Arial" w:hAnsi="Arial" w:cs="Arial"/>
                <w:w w:val="99"/>
                <w:sz w:val="20"/>
              </w:rPr>
              <w:t>2</w:t>
            </w:r>
          </w:p>
        </w:tc>
        <w:tc>
          <w:tcPr>
            <w:tcW w:w="3976" w:type="dxa"/>
            <w:gridSpan w:val="2"/>
          </w:tcPr>
          <w:p w14:paraId="3B48F9DC" w14:textId="77777777" w:rsidR="00352B79" w:rsidRPr="00352B79" w:rsidRDefault="00352B79" w:rsidP="00BC2EBA">
            <w:pPr>
              <w:pStyle w:val="TableParagraph"/>
              <w:spacing w:before="102"/>
              <w:ind w:left="107"/>
              <w:rPr>
                <w:rFonts w:ascii="Arial" w:hAnsi="Arial" w:cs="Arial"/>
                <w:sz w:val="18"/>
              </w:rPr>
            </w:pPr>
            <w:r w:rsidRPr="00352B79">
              <w:rPr>
                <w:rFonts w:ascii="Arial" w:hAnsi="Arial" w:cs="Arial"/>
                <w:sz w:val="18"/>
              </w:rPr>
              <w:t>Design</w:t>
            </w:r>
            <w:r w:rsidRPr="00352B79">
              <w:rPr>
                <w:rFonts w:ascii="Arial" w:hAnsi="Arial" w:cs="Arial"/>
                <w:spacing w:val="-4"/>
                <w:sz w:val="18"/>
              </w:rPr>
              <w:t xml:space="preserve"> </w:t>
            </w:r>
            <w:r w:rsidRPr="00352B79">
              <w:rPr>
                <w:rFonts w:ascii="Arial" w:hAnsi="Arial" w:cs="Arial"/>
                <w:sz w:val="18"/>
              </w:rPr>
              <w:t>approval</w:t>
            </w:r>
            <w:r w:rsidRPr="00352B79">
              <w:rPr>
                <w:rFonts w:ascii="Arial" w:hAnsi="Arial" w:cs="Arial"/>
                <w:spacing w:val="-3"/>
                <w:sz w:val="18"/>
              </w:rPr>
              <w:t xml:space="preserve"> </w:t>
            </w:r>
            <w:r w:rsidRPr="00352B79">
              <w:rPr>
                <w:rFonts w:ascii="Arial" w:hAnsi="Arial" w:cs="Arial"/>
                <w:sz w:val="18"/>
              </w:rPr>
              <w:t>holder</w:t>
            </w:r>
            <w:r w:rsidRPr="00352B79">
              <w:rPr>
                <w:rFonts w:ascii="Arial" w:hAnsi="Arial" w:cs="Arial"/>
                <w:spacing w:val="-3"/>
                <w:sz w:val="18"/>
              </w:rPr>
              <w:t xml:space="preserve"> </w:t>
            </w:r>
            <w:r w:rsidRPr="00352B79">
              <w:rPr>
                <w:rFonts w:ascii="Arial" w:hAnsi="Arial" w:cs="Arial"/>
                <w:sz w:val="18"/>
              </w:rPr>
              <w:t>(DAH)</w:t>
            </w:r>
            <w:r w:rsidRPr="00352B79">
              <w:rPr>
                <w:rFonts w:ascii="Arial" w:hAnsi="Arial" w:cs="Arial"/>
                <w:spacing w:val="-2"/>
                <w:sz w:val="18"/>
              </w:rPr>
              <w:t xml:space="preserve"> </w:t>
            </w:r>
            <w:r w:rsidRPr="00352B79">
              <w:rPr>
                <w:rFonts w:ascii="Arial" w:hAnsi="Arial" w:cs="Arial"/>
                <w:sz w:val="18"/>
              </w:rPr>
              <w:t>ICA</w:t>
            </w:r>
            <w:r>
              <w:rPr>
                <w:rFonts w:ascii="Arial" w:hAnsi="Arial" w:cs="Arial"/>
                <w:sz w:val="18"/>
              </w:rPr>
              <w:t xml:space="preserve"> </w:t>
            </w:r>
            <w:r w:rsidRPr="00352B79">
              <w:rPr>
                <w:rFonts w:ascii="Arial" w:hAnsi="Arial" w:cs="Arial"/>
                <w:sz w:val="32"/>
              </w:rPr>
              <w:t>□</w:t>
            </w:r>
          </w:p>
          <w:p w14:paraId="79A64A0E" w14:textId="77777777" w:rsidR="00352B79" w:rsidRPr="00352B79" w:rsidRDefault="00352B79" w:rsidP="00BC2EBA">
            <w:pPr>
              <w:pStyle w:val="TableParagraph"/>
              <w:spacing w:before="11"/>
              <w:ind w:left="0"/>
              <w:rPr>
                <w:rFonts w:ascii="Arial" w:hAnsi="Arial" w:cs="Arial"/>
                <w:sz w:val="18"/>
              </w:rPr>
            </w:pPr>
          </w:p>
          <w:p w14:paraId="7B73F2D1" w14:textId="77777777" w:rsidR="00352B79" w:rsidRPr="00352B79" w:rsidRDefault="00352B79" w:rsidP="00BC2EBA">
            <w:pPr>
              <w:pStyle w:val="TableParagraph"/>
              <w:tabs>
                <w:tab w:val="left" w:pos="1242"/>
              </w:tabs>
              <w:ind w:left="107" w:right="296"/>
              <w:rPr>
                <w:rFonts w:ascii="Arial" w:hAnsi="Arial" w:cs="Arial"/>
                <w:sz w:val="18"/>
              </w:rPr>
            </w:pPr>
            <w:r w:rsidRPr="00352B79">
              <w:rPr>
                <w:rFonts w:ascii="Arial" w:hAnsi="Arial" w:cs="Arial"/>
                <w:sz w:val="18"/>
              </w:rPr>
              <w:t>Tasks</w:t>
            </w:r>
            <w:r w:rsidRPr="00352B79">
              <w:rPr>
                <w:rFonts w:ascii="Arial" w:hAnsi="Arial" w:cs="Arial"/>
                <w:spacing w:val="-4"/>
                <w:sz w:val="18"/>
              </w:rPr>
              <w:t xml:space="preserve"> </w:t>
            </w:r>
            <w:r w:rsidRPr="00352B79">
              <w:rPr>
                <w:rFonts w:ascii="Arial" w:hAnsi="Arial" w:cs="Arial"/>
                <w:sz w:val="18"/>
              </w:rPr>
              <w:t>alternative</w:t>
            </w:r>
            <w:r w:rsidRPr="00352B79">
              <w:rPr>
                <w:rFonts w:ascii="Arial" w:hAnsi="Arial" w:cs="Arial"/>
                <w:spacing w:val="-3"/>
                <w:sz w:val="18"/>
              </w:rPr>
              <w:t xml:space="preserve"> </w:t>
            </w:r>
            <w:r w:rsidRPr="00352B79">
              <w:rPr>
                <w:rFonts w:ascii="Arial" w:hAnsi="Arial" w:cs="Arial"/>
                <w:sz w:val="18"/>
              </w:rPr>
              <w:t>to</w:t>
            </w:r>
            <w:r w:rsidRPr="00352B79">
              <w:rPr>
                <w:rFonts w:ascii="Arial" w:hAnsi="Arial" w:cs="Arial"/>
                <w:spacing w:val="-1"/>
                <w:sz w:val="18"/>
              </w:rPr>
              <w:t xml:space="preserve"> </w:t>
            </w:r>
            <w:r w:rsidRPr="00352B79">
              <w:rPr>
                <w:rFonts w:ascii="Arial" w:hAnsi="Arial" w:cs="Arial"/>
                <w:sz w:val="18"/>
              </w:rPr>
              <w:t>ICA</w:t>
            </w:r>
            <w:r w:rsidRPr="00352B79">
              <w:rPr>
                <w:rFonts w:ascii="Arial" w:hAnsi="Arial" w:cs="Arial"/>
                <w:spacing w:val="-4"/>
                <w:sz w:val="18"/>
              </w:rPr>
              <w:t xml:space="preserve"> </w:t>
            </w:r>
            <w:r w:rsidRPr="00352B79">
              <w:rPr>
                <w:rFonts w:ascii="Arial" w:hAnsi="Arial" w:cs="Arial"/>
                <w:sz w:val="18"/>
              </w:rPr>
              <w:t>introduced</w:t>
            </w:r>
            <w:r w:rsidRPr="00352B79">
              <w:rPr>
                <w:rFonts w:ascii="Arial" w:hAnsi="Arial" w:cs="Arial"/>
                <w:spacing w:val="-2"/>
                <w:sz w:val="18"/>
              </w:rPr>
              <w:t xml:space="preserve"> </w:t>
            </w:r>
            <w:r w:rsidRPr="00352B79">
              <w:rPr>
                <w:rFonts w:ascii="Arial" w:hAnsi="Arial" w:cs="Arial"/>
                <w:sz w:val="18"/>
              </w:rPr>
              <w:t>in AMP?</w:t>
            </w:r>
            <w:r w:rsidRPr="00352B79">
              <w:rPr>
                <w:rFonts w:ascii="Arial" w:hAnsi="Arial" w:cs="Arial"/>
                <w:spacing w:val="-42"/>
                <w:sz w:val="18"/>
              </w:rPr>
              <w:t xml:space="preserve"> </w:t>
            </w:r>
            <w:r w:rsidRPr="00352B79">
              <w:rPr>
                <w:rFonts w:ascii="Arial" w:hAnsi="Arial" w:cs="Arial"/>
                <w:sz w:val="18"/>
              </w:rPr>
              <w:t>Yes</w:t>
            </w:r>
            <w:r>
              <w:rPr>
                <w:rFonts w:ascii="Arial" w:hAnsi="Arial" w:cs="Arial"/>
                <w:sz w:val="18"/>
              </w:rPr>
              <w:t xml:space="preserve"> </w:t>
            </w:r>
            <w:r w:rsidRPr="00352B79">
              <w:rPr>
                <w:rFonts w:ascii="Arial" w:hAnsi="Arial" w:cs="Arial"/>
                <w:sz w:val="32"/>
              </w:rPr>
              <w:t>□</w:t>
            </w:r>
            <w:r w:rsidRPr="00352B79">
              <w:rPr>
                <w:rFonts w:ascii="Arial" w:hAnsi="Arial" w:cs="Arial"/>
                <w:sz w:val="18"/>
              </w:rPr>
              <w:tab/>
              <w:t>No</w:t>
            </w:r>
            <w:r>
              <w:rPr>
                <w:rFonts w:ascii="Arial" w:hAnsi="Arial" w:cs="Arial"/>
                <w:sz w:val="18"/>
              </w:rPr>
              <w:t xml:space="preserve"> </w:t>
            </w:r>
            <w:r w:rsidRPr="00352B79">
              <w:rPr>
                <w:rFonts w:ascii="Arial" w:hAnsi="Arial" w:cs="Arial"/>
                <w:sz w:val="32"/>
              </w:rPr>
              <w:t>□</w:t>
            </w:r>
          </w:p>
        </w:tc>
        <w:tc>
          <w:tcPr>
            <w:tcW w:w="4519" w:type="dxa"/>
            <w:gridSpan w:val="2"/>
          </w:tcPr>
          <w:p w14:paraId="2A374652" w14:textId="77777777" w:rsidR="00352B79" w:rsidRPr="00352B79" w:rsidRDefault="00352B79" w:rsidP="00BC2EBA">
            <w:pPr>
              <w:pStyle w:val="TableParagraph"/>
              <w:spacing w:before="102"/>
              <w:ind w:left="106" w:right="104"/>
              <w:rPr>
                <w:rFonts w:ascii="Arial" w:hAnsi="Arial" w:cs="Arial"/>
                <w:sz w:val="18"/>
              </w:rPr>
            </w:pPr>
            <w:r w:rsidRPr="00352B79">
              <w:rPr>
                <w:rFonts w:ascii="Arial" w:hAnsi="Arial" w:cs="Arial"/>
                <w:sz w:val="18"/>
              </w:rPr>
              <w:t>Minimum</w:t>
            </w:r>
            <w:r w:rsidRPr="00352B79">
              <w:rPr>
                <w:rFonts w:ascii="Arial" w:hAnsi="Arial" w:cs="Arial"/>
                <w:spacing w:val="-4"/>
                <w:sz w:val="18"/>
              </w:rPr>
              <w:t xml:space="preserve"> </w:t>
            </w:r>
            <w:r w:rsidRPr="00352B79">
              <w:rPr>
                <w:rFonts w:ascii="Arial" w:hAnsi="Arial" w:cs="Arial"/>
                <w:sz w:val="18"/>
              </w:rPr>
              <w:t>inspection</w:t>
            </w:r>
            <w:r w:rsidRPr="00352B79">
              <w:rPr>
                <w:rFonts w:ascii="Arial" w:hAnsi="Arial" w:cs="Arial"/>
                <w:spacing w:val="-3"/>
                <w:sz w:val="18"/>
              </w:rPr>
              <w:t xml:space="preserve"> </w:t>
            </w:r>
            <w:r w:rsidRPr="00352B79">
              <w:rPr>
                <w:rFonts w:ascii="Arial" w:hAnsi="Arial" w:cs="Arial"/>
                <w:sz w:val="18"/>
              </w:rPr>
              <w:t>programme</w:t>
            </w:r>
            <w:r w:rsidRPr="00352B79">
              <w:rPr>
                <w:rFonts w:ascii="Arial" w:hAnsi="Arial" w:cs="Arial"/>
                <w:spacing w:val="-3"/>
                <w:sz w:val="18"/>
              </w:rPr>
              <w:t xml:space="preserve"> </w:t>
            </w:r>
            <w:r w:rsidRPr="00352B79">
              <w:rPr>
                <w:rFonts w:ascii="Arial" w:hAnsi="Arial" w:cs="Arial"/>
                <w:sz w:val="18"/>
              </w:rPr>
              <w:t>(MIP)</w:t>
            </w:r>
            <w:r w:rsidRPr="00352B79">
              <w:rPr>
                <w:rFonts w:ascii="Arial" w:hAnsi="Arial" w:cs="Arial"/>
                <w:spacing w:val="-4"/>
                <w:sz w:val="18"/>
              </w:rPr>
              <w:t xml:space="preserve"> </w:t>
            </w:r>
            <w:r w:rsidRPr="00352B79">
              <w:rPr>
                <w:rFonts w:ascii="Arial" w:hAnsi="Arial" w:cs="Arial"/>
                <w:sz w:val="18"/>
              </w:rPr>
              <w:t>as</w:t>
            </w:r>
            <w:r w:rsidRPr="00352B79">
              <w:rPr>
                <w:rFonts w:ascii="Arial" w:hAnsi="Arial" w:cs="Arial"/>
                <w:spacing w:val="-5"/>
                <w:sz w:val="18"/>
              </w:rPr>
              <w:t xml:space="preserve"> </w:t>
            </w:r>
            <w:r w:rsidRPr="00352B79">
              <w:rPr>
                <w:rFonts w:ascii="Arial" w:hAnsi="Arial" w:cs="Arial"/>
                <w:sz w:val="18"/>
              </w:rPr>
              <w:t>detailed</w:t>
            </w:r>
            <w:r w:rsidRPr="00352B79">
              <w:rPr>
                <w:rFonts w:ascii="Arial" w:hAnsi="Arial" w:cs="Arial"/>
                <w:spacing w:val="-2"/>
                <w:sz w:val="18"/>
              </w:rPr>
              <w:t xml:space="preserve"> </w:t>
            </w:r>
            <w:r w:rsidRPr="00352B79">
              <w:rPr>
                <w:rFonts w:ascii="Arial" w:hAnsi="Arial" w:cs="Arial"/>
                <w:sz w:val="18"/>
              </w:rPr>
              <w:t>in</w:t>
            </w:r>
            <w:r w:rsidRPr="00352B79">
              <w:rPr>
                <w:rFonts w:ascii="Arial" w:hAnsi="Arial" w:cs="Arial"/>
                <w:spacing w:val="-43"/>
                <w:sz w:val="18"/>
              </w:rPr>
              <w:t xml:space="preserve"> </w:t>
            </w:r>
            <w:r w:rsidRPr="00352B79">
              <w:rPr>
                <w:rFonts w:ascii="Arial" w:hAnsi="Arial" w:cs="Arial"/>
                <w:sz w:val="18"/>
              </w:rPr>
              <w:t>the</w:t>
            </w:r>
            <w:r w:rsidRPr="00352B79">
              <w:rPr>
                <w:rFonts w:ascii="Arial" w:hAnsi="Arial" w:cs="Arial"/>
                <w:spacing w:val="-2"/>
                <w:sz w:val="18"/>
              </w:rPr>
              <w:t xml:space="preserve"> </w:t>
            </w:r>
            <w:r w:rsidRPr="00352B79">
              <w:rPr>
                <w:rFonts w:ascii="Arial" w:hAnsi="Arial" w:cs="Arial"/>
                <w:sz w:val="18"/>
              </w:rPr>
              <w:t>latest</w:t>
            </w:r>
            <w:r w:rsidRPr="00352B79">
              <w:rPr>
                <w:rFonts w:ascii="Arial" w:hAnsi="Arial" w:cs="Arial"/>
                <w:spacing w:val="-1"/>
                <w:sz w:val="18"/>
              </w:rPr>
              <w:t xml:space="preserve"> </w:t>
            </w:r>
            <w:r w:rsidRPr="00352B79">
              <w:rPr>
                <w:rFonts w:ascii="Arial" w:hAnsi="Arial" w:cs="Arial"/>
                <w:sz w:val="18"/>
              </w:rPr>
              <w:t>revision</w:t>
            </w:r>
            <w:r w:rsidRPr="00352B79">
              <w:rPr>
                <w:rFonts w:ascii="Arial" w:hAnsi="Arial" w:cs="Arial"/>
                <w:spacing w:val="1"/>
                <w:sz w:val="18"/>
              </w:rPr>
              <w:t xml:space="preserve"> </w:t>
            </w:r>
            <w:r w:rsidRPr="00352B79">
              <w:rPr>
                <w:rFonts w:ascii="Arial" w:hAnsi="Arial" w:cs="Arial"/>
                <w:sz w:val="18"/>
              </w:rPr>
              <w:t>of</w:t>
            </w:r>
            <w:r w:rsidRPr="00352B79">
              <w:rPr>
                <w:rFonts w:ascii="Arial" w:hAnsi="Arial" w:cs="Arial"/>
                <w:spacing w:val="-3"/>
                <w:sz w:val="18"/>
              </w:rPr>
              <w:t xml:space="preserve"> </w:t>
            </w:r>
            <w:r w:rsidRPr="00352B79">
              <w:rPr>
                <w:rFonts w:ascii="Arial" w:hAnsi="Arial" w:cs="Arial"/>
                <w:sz w:val="18"/>
              </w:rPr>
              <w:t>AMC ML.A.302(d)</w:t>
            </w:r>
            <w:r>
              <w:rPr>
                <w:rFonts w:ascii="Arial" w:hAnsi="Arial" w:cs="Arial"/>
                <w:sz w:val="18"/>
              </w:rPr>
              <w:t xml:space="preserve"> </w:t>
            </w:r>
            <w:r w:rsidRPr="00352B79">
              <w:rPr>
                <w:rFonts w:ascii="Arial" w:hAnsi="Arial" w:cs="Arial"/>
                <w:sz w:val="32"/>
              </w:rPr>
              <w:t>□</w:t>
            </w:r>
          </w:p>
          <w:p w14:paraId="25917E26" w14:textId="3EAB699D" w:rsidR="00352B79" w:rsidRPr="00352B79" w:rsidRDefault="00352B79" w:rsidP="00BC2EBA">
            <w:pPr>
              <w:pStyle w:val="TableParagraph"/>
              <w:spacing w:line="243" w:lineRule="exact"/>
              <w:ind w:left="106"/>
            </w:pPr>
            <w:r w:rsidRPr="00352B79">
              <w:rPr>
                <w:rFonts w:ascii="Arial" w:hAnsi="Arial" w:cs="Arial"/>
                <w:sz w:val="18"/>
              </w:rPr>
              <w:t>Other</w:t>
            </w:r>
            <w:r w:rsidRPr="00352B79">
              <w:rPr>
                <w:rFonts w:ascii="Arial" w:hAnsi="Arial" w:cs="Arial"/>
                <w:spacing w:val="-5"/>
                <w:sz w:val="18"/>
              </w:rPr>
              <w:t xml:space="preserve"> </w:t>
            </w:r>
            <w:r w:rsidRPr="00352B79">
              <w:rPr>
                <w:rFonts w:ascii="Arial" w:hAnsi="Arial" w:cs="Arial"/>
                <w:sz w:val="18"/>
              </w:rPr>
              <w:t>MIP</w:t>
            </w:r>
            <w:r w:rsidRPr="00352B79">
              <w:rPr>
                <w:rFonts w:ascii="Arial" w:hAnsi="Arial" w:cs="Arial"/>
                <w:spacing w:val="-5"/>
                <w:sz w:val="18"/>
              </w:rPr>
              <w:t xml:space="preserve"> </w:t>
            </w:r>
            <w:r w:rsidRPr="00352B79">
              <w:rPr>
                <w:rFonts w:ascii="Arial" w:hAnsi="Arial" w:cs="Arial"/>
                <w:sz w:val="18"/>
              </w:rPr>
              <w:t>complying</w:t>
            </w:r>
            <w:r w:rsidRPr="00352B79">
              <w:rPr>
                <w:rFonts w:ascii="Arial" w:hAnsi="Arial" w:cs="Arial"/>
                <w:spacing w:val="-6"/>
                <w:sz w:val="18"/>
              </w:rPr>
              <w:t xml:space="preserve"> </w:t>
            </w:r>
            <w:r w:rsidRPr="00352B79">
              <w:rPr>
                <w:rFonts w:ascii="Arial" w:hAnsi="Arial" w:cs="Arial"/>
                <w:sz w:val="18"/>
              </w:rPr>
              <w:t>with</w:t>
            </w:r>
            <w:r w:rsidRPr="00352B79">
              <w:rPr>
                <w:rFonts w:ascii="Arial" w:hAnsi="Arial" w:cs="Arial"/>
                <w:spacing w:val="-4"/>
                <w:sz w:val="18"/>
              </w:rPr>
              <w:t xml:space="preserve"> </w:t>
            </w:r>
            <w:r w:rsidRPr="00352B79">
              <w:rPr>
                <w:rFonts w:ascii="Arial" w:hAnsi="Arial" w:cs="Arial"/>
                <w:sz w:val="18"/>
              </w:rPr>
              <w:t>ML.A.302(d)</w:t>
            </w:r>
            <w:r>
              <w:rPr>
                <w:rFonts w:ascii="Arial" w:hAnsi="Arial" w:cs="Arial"/>
                <w:sz w:val="18"/>
              </w:rPr>
              <w:t xml:space="preserve"> </w:t>
            </w:r>
            <w:r w:rsidRPr="00352B79">
              <w:rPr>
                <w:rFonts w:ascii="Arial" w:hAnsi="Arial" w:cs="Arial"/>
                <w:sz w:val="32"/>
              </w:rPr>
              <w:t>□</w:t>
            </w:r>
          </w:p>
        </w:tc>
      </w:tr>
      <w:tr w:rsidR="00352B79" w:rsidRPr="00276D5E" w14:paraId="3F093E33" w14:textId="77777777" w:rsidTr="00BC2EBA">
        <w:trPr>
          <w:trHeight w:val="698"/>
        </w:trPr>
        <w:tc>
          <w:tcPr>
            <w:tcW w:w="562" w:type="dxa"/>
            <w:vMerge/>
            <w:tcBorders>
              <w:top w:val="nil"/>
            </w:tcBorders>
          </w:tcPr>
          <w:p w14:paraId="1A3F35B7" w14:textId="77777777" w:rsidR="00352B79" w:rsidRPr="00276D5E" w:rsidRDefault="00352B79" w:rsidP="00BC2EBA">
            <w:pPr>
              <w:rPr>
                <w:rFonts w:ascii="Arial" w:hAnsi="Arial" w:cs="Arial"/>
                <w:sz w:val="2"/>
                <w:szCs w:val="2"/>
              </w:rPr>
            </w:pPr>
          </w:p>
        </w:tc>
        <w:tc>
          <w:tcPr>
            <w:tcW w:w="8495" w:type="dxa"/>
            <w:gridSpan w:val="4"/>
          </w:tcPr>
          <w:p w14:paraId="05FC6707" w14:textId="77777777" w:rsidR="00352B79" w:rsidRPr="00352B79" w:rsidRDefault="00352B79" w:rsidP="00BC2EBA">
            <w:pPr>
              <w:pStyle w:val="TableParagraph"/>
              <w:tabs>
                <w:tab w:val="left" w:pos="1242"/>
                <w:tab w:val="left" w:pos="2375"/>
              </w:tabs>
              <w:spacing w:before="105"/>
              <w:ind w:left="107" w:right="2193"/>
              <w:rPr>
                <w:rFonts w:ascii="Arial" w:hAnsi="Arial" w:cs="Arial"/>
                <w:sz w:val="18"/>
              </w:rPr>
            </w:pPr>
            <w:r w:rsidRPr="00352B79">
              <w:rPr>
                <w:rFonts w:ascii="Arial" w:hAnsi="Arial" w:cs="Arial"/>
                <w:sz w:val="18"/>
              </w:rPr>
              <w:t>Additional</w:t>
            </w:r>
            <w:r w:rsidRPr="00352B79">
              <w:rPr>
                <w:rFonts w:ascii="Arial" w:hAnsi="Arial" w:cs="Arial"/>
                <w:spacing w:val="-3"/>
                <w:sz w:val="18"/>
              </w:rPr>
              <w:t xml:space="preserve"> </w:t>
            </w:r>
            <w:r w:rsidRPr="00352B79">
              <w:rPr>
                <w:rFonts w:ascii="Arial" w:hAnsi="Arial" w:cs="Arial"/>
                <w:sz w:val="18"/>
              </w:rPr>
              <w:t>maintenance</w:t>
            </w:r>
            <w:r w:rsidRPr="00352B79">
              <w:rPr>
                <w:rFonts w:ascii="Arial" w:hAnsi="Arial" w:cs="Arial"/>
                <w:spacing w:val="-4"/>
                <w:sz w:val="18"/>
              </w:rPr>
              <w:t xml:space="preserve"> </w:t>
            </w:r>
            <w:r w:rsidRPr="00352B79">
              <w:rPr>
                <w:rFonts w:ascii="Arial" w:hAnsi="Arial" w:cs="Arial"/>
                <w:sz w:val="18"/>
              </w:rPr>
              <w:t>requirements</w:t>
            </w:r>
            <w:r w:rsidRPr="00352B79">
              <w:rPr>
                <w:rFonts w:ascii="Arial" w:hAnsi="Arial" w:cs="Arial"/>
                <w:spacing w:val="-4"/>
                <w:sz w:val="18"/>
              </w:rPr>
              <w:t xml:space="preserve"> </w:t>
            </w:r>
            <w:r w:rsidRPr="00352B79">
              <w:rPr>
                <w:rFonts w:ascii="Arial" w:hAnsi="Arial" w:cs="Arial"/>
                <w:sz w:val="18"/>
              </w:rPr>
              <w:t>to</w:t>
            </w:r>
            <w:r w:rsidRPr="00352B79">
              <w:rPr>
                <w:rFonts w:ascii="Arial" w:hAnsi="Arial" w:cs="Arial"/>
                <w:spacing w:val="-2"/>
                <w:sz w:val="18"/>
              </w:rPr>
              <w:t xml:space="preserve"> </w:t>
            </w:r>
            <w:r w:rsidRPr="00352B79">
              <w:rPr>
                <w:rFonts w:ascii="Arial" w:hAnsi="Arial" w:cs="Arial"/>
                <w:sz w:val="18"/>
              </w:rPr>
              <w:t>ICA</w:t>
            </w:r>
            <w:r w:rsidRPr="00352B79">
              <w:rPr>
                <w:rFonts w:ascii="Arial" w:hAnsi="Arial" w:cs="Arial"/>
                <w:spacing w:val="-4"/>
                <w:sz w:val="18"/>
              </w:rPr>
              <w:t xml:space="preserve"> </w:t>
            </w:r>
            <w:r w:rsidRPr="00352B79">
              <w:rPr>
                <w:rFonts w:ascii="Arial" w:hAnsi="Arial" w:cs="Arial"/>
                <w:sz w:val="18"/>
              </w:rPr>
              <w:t>or</w:t>
            </w:r>
            <w:r w:rsidRPr="00352B79">
              <w:rPr>
                <w:rFonts w:ascii="Arial" w:hAnsi="Arial" w:cs="Arial"/>
                <w:spacing w:val="-3"/>
                <w:sz w:val="18"/>
              </w:rPr>
              <w:t xml:space="preserve"> </w:t>
            </w:r>
            <w:r w:rsidRPr="00352B79">
              <w:rPr>
                <w:rFonts w:ascii="Arial" w:hAnsi="Arial" w:cs="Arial"/>
                <w:sz w:val="18"/>
              </w:rPr>
              <w:t>MIP:</w:t>
            </w:r>
            <w:r w:rsidRPr="00352B79">
              <w:rPr>
                <w:rFonts w:ascii="Arial" w:hAnsi="Arial" w:cs="Arial"/>
                <w:spacing w:val="-3"/>
                <w:sz w:val="18"/>
              </w:rPr>
              <w:t xml:space="preserve"> </w:t>
            </w:r>
            <w:r w:rsidRPr="00352B79">
              <w:rPr>
                <w:rFonts w:ascii="Arial" w:hAnsi="Arial" w:cs="Arial"/>
                <w:sz w:val="18"/>
              </w:rPr>
              <w:t>deviations</w:t>
            </w:r>
            <w:r w:rsidRPr="00352B79">
              <w:rPr>
                <w:rFonts w:ascii="Arial" w:hAnsi="Arial" w:cs="Arial"/>
                <w:spacing w:val="-4"/>
                <w:sz w:val="18"/>
              </w:rPr>
              <w:t xml:space="preserve"> </w:t>
            </w:r>
            <w:r w:rsidRPr="00352B79">
              <w:rPr>
                <w:rFonts w:ascii="Arial" w:hAnsi="Arial" w:cs="Arial"/>
                <w:sz w:val="18"/>
              </w:rPr>
              <w:t>introduced?</w:t>
            </w:r>
            <w:r w:rsidRPr="00352B79">
              <w:rPr>
                <w:rFonts w:ascii="Arial" w:hAnsi="Arial" w:cs="Arial"/>
                <w:spacing w:val="-43"/>
                <w:sz w:val="18"/>
              </w:rPr>
              <w:t xml:space="preserve"> </w:t>
            </w:r>
            <w:r w:rsidRPr="00352B79">
              <w:rPr>
                <w:rFonts w:ascii="Arial" w:hAnsi="Arial" w:cs="Arial"/>
                <w:sz w:val="18"/>
              </w:rPr>
              <w:t>Yes</w:t>
            </w:r>
            <w:r>
              <w:rPr>
                <w:rFonts w:ascii="Arial" w:hAnsi="Arial" w:cs="Arial"/>
                <w:sz w:val="18"/>
              </w:rPr>
              <w:t xml:space="preserve"> </w:t>
            </w:r>
            <w:r w:rsidRPr="00352B79">
              <w:rPr>
                <w:rFonts w:ascii="Arial" w:hAnsi="Arial" w:cs="Arial"/>
                <w:sz w:val="32"/>
              </w:rPr>
              <w:t>□</w:t>
            </w:r>
            <w:r w:rsidRPr="00352B79">
              <w:rPr>
                <w:rFonts w:ascii="Arial" w:hAnsi="Arial" w:cs="Arial"/>
                <w:sz w:val="18"/>
              </w:rPr>
              <w:tab/>
              <w:t>No</w:t>
            </w:r>
            <w:r>
              <w:rPr>
                <w:rFonts w:ascii="Arial" w:hAnsi="Arial" w:cs="Arial"/>
                <w:sz w:val="18"/>
              </w:rPr>
              <w:t xml:space="preserve"> </w:t>
            </w:r>
            <w:r w:rsidRPr="00352B79">
              <w:rPr>
                <w:rFonts w:ascii="Arial" w:hAnsi="Arial" w:cs="Arial"/>
                <w:sz w:val="32"/>
              </w:rPr>
              <w:t>□</w:t>
            </w:r>
            <w:r w:rsidRPr="00352B79">
              <w:rPr>
                <w:rFonts w:ascii="Arial" w:hAnsi="Arial" w:cs="Arial"/>
                <w:sz w:val="18"/>
              </w:rPr>
              <w:tab/>
              <w:t>Not</w:t>
            </w:r>
            <w:r w:rsidRPr="00352B79">
              <w:rPr>
                <w:rFonts w:ascii="Arial" w:hAnsi="Arial" w:cs="Arial"/>
                <w:spacing w:val="-1"/>
                <w:sz w:val="18"/>
              </w:rPr>
              <w:t xml:space="preserve"> </w:t>
            </w:r>
            <w:r w:rsidRPr="00352B79">
              <w:rPr>
                <w:rFonts w:ascii="Arial" w:hAnsi="Arial" w:cs="Arial"/>
                <w:sz w:val="18"/>
              </w:rPr>
              <w:t>applicable</w:t>
            </w:r>
            <w:r>
              <w:rPr>
                <w:rFonts w:ascii="Arial" w:hAnsi="Arial" w:cs="Arial"/>
                <w:sz w:val="18"/>
              </w:rPr>
              <w:t xml:space="preserve"> </w:t>
            </w:r>
            <w:r w:rsidRPr="00352B79">
              <w:rPr>
                <w:rFonts w:ascii="Arial" w:hAnsi="Arial" w:cs="Arial"/>
                <w:sz w:val="32"/>
              </w:rPr>
              <w:t>□</w:t>
            </w:r>
          </w:p>
        </w:tc>
      </w:tr>
      <w:tr w:rsidR="00352B79" w:rsidRPr="00276D5E" w14:paraId="10EEE8D0" w14:textId="77777777" w:rsidTr="00352B79">
        <w:trPr>
          <w:trHeight w:val="369"/>
        </w:trPr>
        <w:tc>
          <w:tcPr>
            <w:tcW w:w="9057" w:type="dxa"/>
            <w:gridSpan w:val="5"/>
            <w:shd w:val="clear" w:color="auto" w:fill="F2F2F2" w:themeFill="background1" w:themeFillShade="F2"/>
          </w:tcPr>
          <w:p w14:paraId="60A40F61" w14:textId="77777777" w:rsidR="00352B79" w:rsidRPr="00352B79" w:rsidRDefault="00352B79" w:rsidP="00BC2EBA">
            <w:pPr>
              <w:pStyle w:val="TableParagraph"/>
              <w:spacing w:before="61"/>
              <w:ind w:left="986"/>
              <w:rPr>
                <w:rFonts w:ascii="Arial" w:hAnsi="Arial" w:cs="Arial"/>
                <w:b/>
                <w:sz w:val="18"/>
              </w:rPr>
            </w:pPr>
            <w:r w:rsidRPr="00352B79">
              <w:rPr>
                <w:rFonts w:ascii="Arial" w:hAnsi="Arial" w:cs="Arial"/>
                <w:b/>
                <w:sz w:val="18"/>
              </w:rPr>
              <w:t>Approval/declaration</w:t>
            </w:r>
            <w:r w:rsidRPr="00352B79">
              <w:rPr>
                <w:rFonts w:ascii="Arial" w:hAnsi="Arial" w:cs="Arial"/>
                <w:b/>
                <w:spacing w:val="-3"/>
                <w:sz w:val="18"/>
              </w:rPr>
              <w:t xml:space="preserve"> </w:t>
            </w:r>
            <w:r w:rsidRPr="00352B79">
              <w:rPr>
                <w:rFonts w:ascii="Arial" w:hAnsi="Arial" w:cs="Arial"/>
                <w:b/>
                <w:sz w:val="18"/>
              </w:rPr>
              <w:t>of</w:t>
            </w:r>
            <w:r w:rsidRPr="00352B79">
              <w:rPr>
                <w:rFonts w:ascii="Arial" w:hAnsi="Arial" w:cs="Arial"/>
                <w:b/>
                <w:spacing w:val="-4"/>
                <w:sz w:val="18"/>
              </w:rPr>
              <w:t xml:space="preserve"> </w:t>
            </w:r>
            <w:r w:rsidRPr="00352B79">
              <w:rPr>
                <w:rFonts w:ascii="Arial" w:hAnsi="Arial" w:cs="Arial"/>
                <w:b/>
                <w:sz w:val="18"/>
              </w:rPr>
              <w:t>the</w:t>
            </w:r>
            <w:r w:rsidRPr="00352B79">
              <w:rPr>
                <w:rFonts w:ascii="Arial" w:hAnsi="Arial" w:cs="Arial"/>
                <w:b/>
                <w:spacing w:val="-5"/>
                <w:sz w:val="18"/>
              </w:rPr>
              <w:t xml:space="preserve"> </w:t>
            </w:r>
            <w:r w:rsidRPr="00352B79">
              <w:rPr>
                <w:rFonts w:ascii="Arial" w:hAnsi="Arial" w:cs="Arial"/>
                <w:b/>
                <w:sz w:val="18"/>
              </w:rPr>
              <w:t>maintenance</w:t>
            </w:r>
            <w:r w:rsidRPr="00352B79">
              <w:rPr>
                <w:rFonts w:ascii="Arial" w:hAnsi="Arial" w:cs="Arial"/>
                <w:b/>
                <w:spacing w:val="-4"/>
                <w:sz w:val="18"/>
              </w:rPr>
              <w:t xml:space="preserve"> </w:t>
            </w:r>
            <w:r w:rsidRPr="00352B79">
              <w:rPr>
                <w:rFonts w:ascii="Arial" w:hAnsi="Arial" w:cs="Arial"/>
                <w:b/>
                <w:sz w:val="18"/>
              </w:rPr>
              <w:t>programme</w:t>
            </w:r>
            <w:r w:rsidRPr="00352B79">
              <w:rPr>
                <w:rFonts w:ascii="Arial" w:hAnsi="Arial" w:cs="Arial"/>
                <w:b/>
                <w:spacing w:val="-3"/>
                <w:sz w:val="18"/>
              </w:rPr>
              <w:t xml:space="preserve"> </w:t>
            </w:r>
            <w:r w:rsidRPr="00352B79">
              <w:rPr>
                <w:rFonts w:ascii="Arial" w:hAnsi="Arial" w:cs="Arial"/>
                <w:b/>
                <w:sz w:val="18"/>
              </w:rPr>
              <w:t>(select</w:t>
            </w:r>
            <w:r w:rsidRPr="00352B79">
              <w:rPr>
                <w:rFonts w:ascii="Arial" w:hAnsi="Arial" w:cs="Arial"/>
                <w:b/>
                <w:spacing w:val="-4"/>
                <w:sz w:val="18"/>
              </w:rPr>
              <w:t xml:space="preserve"> </w:t>
            </w:r>
            <w:r w:rsidRPr="00352B79">
              <w:rPr>
                <w:rFonts w:ascii="Arial" w:hAnsi="Arial" w:cs="Arial"/>
                <w:b/>
                <w:sz w:val="18"/>
              </w:rPr>
              <w:t>the</w:t>
            </w:r>
            <w:r w:rsidRPr="00352B79">
              <w:rPr>
                <w:rFonts w:ascii="Arial" w:hAnsi="Arial" w:cs="Arial"/>
                <w:b/>
                <w:spacing w:val="-3"/>
                <w:sz w:val="18"/>
              </w:rPr>
              <w:t xml:space="preserve"> </w:t>
            </w:r>
            <w:r w:rsidRPr="00352B79">
              <w:rPr>
                <w:rFonts w:ascii="Arial" w:hAnsi="Arial" w:cs="Arial"/>
                <w:b/>
                <w:sz w:val="18"/>
              </w:rPr>
              <w:t>appropriate</w:t>
            </w:r>
            <w:r w:rsidRPr="00352B79">
              <w:rPr>
                <w:rFonts w:ascii="Arial" w:hAnsi="Arial" w:cs="Arial"/>
                <w:b/>
                <w:spacing w:val="-3"/>
                <w:sz w:val="18"/>
              </w:rPr>
              <w:t xml:space="preserve"> </w:t>
            </w:r>
            <w:r w:rsidRPr="00352B79">
              <w:rPr>
                <w:rFonts w:ascii="Arial" w:hAnsi="Arial" w:cs="Arial"/>
                <w:b/>
                <w:sz w:val="18"/>
              </w:rPr>
              <w:t>option)</w:t>
            </w:r>
          </w:p>
        </w:tc>
      </w:tr>
      <w:tr w:rsidR="00352B79" w:rsidRPr="00276D5E" w14:paraId="5D195CAE" w14:textId="77777777" w:rsidTr="00BC2EBA">
        <w:trPr>
          <w:trHeight w:val="1182"/>
        </w:trPr>
        <w:tc>
          <w:tcPr>
            <w:tcW w:w="562" w:type="dxa"/>
          </w:tcPr>
          <w:p w14:paraId="38662E9B" w14:textId="77777777" w:rsidR="00352B79" w:rsidRPr="00276D5E" w:rsidRDefault="00352B79" w:rsidP="00BC2EBA">
            <w:pPr>
              <w:pStyle w:val="TableParagraph"/>
              <w:spacing w:line="243" w:lineRule="exact"/>
              <w:ind w:left="9"/>
              <w:jc w:val="center"/>
              <w:rPr>
                <w:rFonts w:ascii="Arial" w:hAnsi="Arial" w:cs="Arial"/>
                <w:sz w:val="20"/>
              </w:rPr>
            </w:pPr>
            <w:r w:rsidRPr="00276D5E">
              <w:rPr>
                <w:rFonts w:ascii="Arial" w:hAnsi="Arial" w:cs="Arial"/>
                <w:w w:val="99"/>
                <w:sz w:val="20"/>
              </w:rPr>
              <w:t>3</w:t>
            </w:r>
          </w:p>
        </w:tc>
        <w:tc>
          <w:tcPr>
            <w:tcW w:w="8495" w:type="dxa"/>
            <w:gridSpan w:val="4"/>
          </w:tcPr>
          <w:p w14:paraId="4316CF3E" w14:textId="7FDA1D75" w:rsidR="00352B79" w:rsidRPr="00352B79" w:rsidRDefault="00352B79" w:rsidP="0071542B">
            <w:pPr>
              <w:pStyle w:val="TableParagraph"/>
              <w:spacing w:before="102"/>
              <w:ind w:left="397" w:right="840"/>
              <w:rPr>
                <w:rFonts w:ascii="Arial" w:hAnsi="Arial" w:cs="Arial"/>
                <w:sz w:val="18"/>
              </w:rPr>
            </w:pPr>
            <w:r w:rsidRPr="00352B79">
              <w:rPr>
                <w:rFonts w:ascii="Arial" w:hAnsi="Arial" w:cs="Arial"/>
                <w:sz w:val="32"/>
              </w:rPr>
              <w:t>□</w:t>
            </w:r>
            <w:r>
              <w:rPr>
                <w:rFonts w:ascii="Arial" w:hAnsi="Arial" w:cs="Arial"/>
                <w:sz w:val="32"/>
              </w:rPr>
              <w:t xml:space="preserve"> </w:t>
            </w:r>
            <w:r w:rsidRPr="00352B79">
              <w:rPr>
                <w:rFonts w:ascii="Arial" w:hAnsi="Arial" w:cs="Arial"/>
                <w:sz w:val="18"/>
              </w:rPr>
              <w:t>AMP</w:t>
            </w:r>
            <w:r w:rsidRPr="00352B79">
              <w:rPr>
                <w:rFonts w:ascii="Arial" w:hAnsi="Arial" w:cs="Arial"/>
                <w:spacing w:val="-3"/>
                <w:sz w:val="18"/>
              </w:rPr>
              <w:t xml:space="preserve"> </w:t>
            </w:r>
            <w:r w:rsidRPr="00352B79">
              <w:rPr>
                <w:rFonts w:ascii="Arial" w:hAnsi="Arial" w:cs="Arial"/>
                <w:sz w:val="18"/>
              </w:rPr>
              <w:t>declared</w:t>
            </w:r>
            <w:r w:rsidRPr="00352B79">
              <w:rPr>
                <w:rFonts w:ascii="Arial" w:hAnsi="Arial" w:cs="Arial"/>
                <w:spacing w:val="-3"/>
                <w:sz w:val="18"/>
              </w:rPr>
              <w:t xml:space="preserve"> </w:t>
            </w:r>
            <w:r w:rsidRPr="00352B79">
              <w:rPr>
                <w:rFonts w:ascii="Arial" w:hAnsi="Arial" w:cs="Arial"/>
                <w:sz w:val="18"/>
              </w:rPr>
              <w:t>by</w:t>
            </w:r>
            <w:r w:rsidRPr="00352B79">
              <w:rPr>
                <w:rFonts w:ascii="Arial" w:hAnsi="Arial" w:cs="Arial"/>
                <w:spacing w:val="-3"/>
                <w:sz w:val="18"/>
              </w:rPr>
              <w:t xml:space="preserve"> </w:t>
            </w:r>
            <w:r w:rsidRPr="00352B79">
              <w:rPr>
                <w:rFonts w:ascii="Arial" w:hAnsi="Arial" w:cs="Arial"/>
                <w:sz w:val="18"/>
              </w:rPr>
              <w:t>the</w:t>
            </w:r>
            <w:r w:rsidRPr="00352B79">
              <w:rPr>
                <w:rFonts w:ascii="Arial" w:hAnsi="Arial" w:cs="Arial"/>
                <w:spacing w:val="-3"/>
                <w:sz w:val="18"/>
              </w:rPr>
              <w:t xml:space="preserve"> </w:t>
            </w:r>
            <w:r w:rsidRPr="00352B79">
              <w:rPr>
                <w:rFonts w:ascii="Arial" w:hAnsi="Arial" w:cs="Arial"/>
                <w:sz w:val="18"/>
              </w:rPr>
              <w:t>owner</w:t>
            </w:r>
            <w:r>
              <w:rPr>
                <w:rFonts w:ascii="Arial" w:hAnsi="Arial" w:cs="Arial"/>
                <w:sz w:val="18"/>
              </w:rPr>
              <w:br/>
            </w:r>
            <w:r>
              <w:rPr>
                <w:rFonts w:ascii="Arial" w:hAnsi="Arial" w:cs="Arial"/>
                <w:spacing w:val="-42"/>
                <w:sz w:val="18"/>
              </w:rPr>
              <w:t xml:space="preserve"> </w:t>
            </w:r>
            <w:r w:rsidRPr="00352B79">
              <w:rPr>
                <w:rFonts w:ascii="Arial" w:hAnsi="Arial" w:cs="Arial"/>
                <w:sz w:val="32"/>
              </w:rPr>
              <w:t>□</w:t>
            </w:r>
            <w:r>
              <w:rPr>
                <w:rFonts w:ascii="Arial" w:hAnsi="Arial" w:cs="Arial"/>
                <w:sz w:val="32"/>
              </w:rPr>
              <w:t xml:space="preserve"> </w:t>
            </w:r>
            <w:r w:rsidRPr="00352B79">
              <w:rPr>
                <w:rFonts w:ascii="Arial" w:hAnsi="Arial" w:cs="Arial"/>
                <w:sz w:val="18"/>
              </w:rPr>
              <w:t>Default</w:t>
            </w:r>
            <w:r w:rsidRPr="00352B79">
              <w:rPr>
                <w:rFonts w:ascii="Arial" w:hAnsi="Arial" w:cs="Arial"/>
                <w:spacing w:val="-4"/>
                <w:sz w:val="18"/>
              </w:rPr>
              <w:t xml:space="preserve"> </w:t>
            </w:r>
            <w:r w:rsidRPr="00352B79">
              <w:rPr>
                <w:rFonts w:ascii="Arial" w:hAnsi="Arial" w:cs="Arial"/>
                <w:sz w:val="18"/>
              </w:rPr>
              <w:t>AMP</w:t>
            </w:r>
            <w:r w:rsidRPr="00352B79">
              <w:rPr>
                <w:rFonts w:ascii="Arial" w:hAnsi="Arial" w:cs="Arial"/>
                <w:spacing w:val="-4"/>
                <w:sz w:val="18"/>
              </w:rPr>
              <w:t xml:space="preserve"> </w:t>
            </w:r>
            <w:r w:rsidRPr="00352B79">
              <w:rPr>
                <w:rFonts w:ascii="Arial" w:hAnsi="Arial" w:cs="Arial"/>
                <w:sz w:val="18"/>
              </w:rPr>
              <w:t>(ML.A.302(e))</w:t>
            </w:r>
            <w:r>
              <w:rPr>
                <w:rFonts w:ascii="Arial" w:hAnsi="Arial" w:cs="Arial"/>
                <w:sz w:val="18"/>
              </w:rPr>
              <w:br/>
            </w:r>
            <w:r w:rsidRPr="00352B79">
              <w:rPr>
                <w:rFonts w:ascii="Arial" w:hAnsi="Arial" w:cs="Arial"/>
                <w:sz w:val="32"/>
              </w:rPr>
              <w:t>□</w:t>
            </w:r>
            <w:r w:rsidR="0071542B">
              <w:rPr>
                <w:rFonts w:ascii="Arial" w:hAnsi="Arial" w:cs="Arial"/>
                <w:sz w:val="32"/>
              </w:rPr>
              <w:t xml:space="preserve"> </w:t>
            </w:r>
            <w:r w:rsidRPr="00352B79">
              <w:rPr>
                <w:rFonts w:ascii="Arial" w:hAnsi="Arial" w:cs="Arial"/>
                <w:sz w:val="18"/>
              </w:rPr>
              <w:t>Approved</w:t>
            </w:r>
            <w:r w:rsidRPr="00352B79">
              <w:rPr>
                <w:rFonts w:ascii="Arial" w:hAnsi="Arial" w:cs="Arial"/>
                <w:spacing w:val="-3"/>
                <w:sz w:val="18"/>
              </w:rPr>
              <w:t xml:space="preserve"> </w:t>
            </w:r>
            <w:r w:rsidRPr="00352B79">
              <w:rPr>
                <w:rFonts w:ascii="Arial" w:hAnsi="Arial" w:cs="Arial"/>
                <w:sz w:val="18"/>
              </w:rPr>
              <w:t>by</w:t>
            </w:r>
            <w:r w:rsidRPr="00352B79">
              <w:rPr>
                <w:rFonts w:ascii="Arial" w:hAnsi="Arial" w:cs="Arial"/>
                <w:spacing w:val="-2"/>
                <w:sz w:val="18"/>
              </w:rPr>
              <w:t xml:space="preserve"> </w:t>
            </w:r>
            <w:r w:rsidRPr="00352B79">
              <w:rPr>
                <w:rFonts w:ascii="Arial" w:hAnsi="Arial" w:cs="Arial"/>
                <w:sz w:val="18"/>
              </w:rPr>
              <w:t>the</w:t>
            </w:r>
            <w:r w:rsidRPr="00352B79">
              <w:rPr>
                <w:rFonts w:ascii="Arial" w:hAnsi="Arial" w:cs="Arial"/>
                <w:spacing w:val="-3"/>
                <w:sz w:val="18"/>
              </w:rPr>
              <w:t xml:space="preserve"> </w:t>
            </w:r>
            <w:r w:rsidRPr="00352B79">
              <w:rPr>
                <w:rFonts w:ascii="Arial" w:hAnsi="Arial" w:cs="Arial"/>
                <w:sz w:val="18"/>
              </w:rPr>
              <w:t>contracted</w:t>
            </w:r>
            <w:r w:rsidRPr="00352B79">
              <w:rPr>
                <w:rFonts w:ascii="Arial" w:hAnsi="Arial" w:cs="Arial"/>
                <w:spacing w:val="-3"/>
                <w:sz w:val="18"/>
              </w:rPr>
              <w:t xml:space="preserve"> </w:t>
            </w:r>
            <w:r w:rsidRPr="00352B79">
              <w:rPr>
                <w:rFonts w:ascii="Arial" w:hAnsi="Arial" w:cs="Arial"/>
                <w:sz w:val="18"/>
              </w:rPr>
              <w:t>CAMO/CAO.</w:t>
            </w:r>
            <w:r>
              <w:rPr>
                <w:rFonts w:ascii="Arial" w:hAnsi="Arial" w:cs="Arial"/>
                <w:spacing w:val="-2"/>
                <w:sz w:val="18"/>
              </w:rPr>
              <w:t xml:space="preserve"> </w:t>
            </w:r>
            <w:r w:rsidRPr="00352B79">
              <w:rPr>
                <w:rFonts w:ascii="Arial" w:hAnsi="Arial" w:cs="Arial"/>
                <w:sz w:val="18"/>
              </w:rPr>
              <w:t>Approval</w:t>
            </w:r>
            <w:r w:rsidRPr="00352B79">
              <w:rPr>
                <w:rFonts w:ascii="Arial" w:hAnsi="Arial" w:cs="Arial"/>
                <w:spacing w:val="-2"/>
                <w:sz w:val="18"/>
              </w:rPr>
              <w:t xml:space="preserve"> </w:t>
            </w:r>
            <w:r w:rsidRPr="00352B79">
              <w:rPr>
                <w:rFonts w:ascii="Arial" w:hAnsi="Arial" w:cs="Arial"/>
                <w:sz w:val="18"/>
              </w:rPr>
              <w:t>reference</w:t>
            </w:r>
            <w:r w:rsidRPr="00352B79">
              <w:rPr>
                <w:rFonts w:ascii="Arial" w:hAnsi="Arial" w:cs="Arial"/>
                <w:spacing w:val="-3"/>
                <w:sz w:val="18"/>
              </w:rPr>
              <w:t xml:space="preserve"> </w:t>
            </w:r>
            <w:r w:rsidRPr="00352B79">
              <w:rPr>
                <w:rFonts w:ascii="Arial" w:hAnsi="Arial" w:cs="Arial"/>
                <w:sz w:val="18"/>
              </w:rPr>
              <w:t>of</w:t>
            </w:r>
            <w:r w:rsidRPr="00352B79">
              <w:rPr>
                <w:rFonts w:ascii="Arial" w:hAnsi="Arial" w:cs="Arial"/>
                <w:spacing w:val="-5"/>
                <w:sz w:val="18"/>
              </w:rPr>
              <w:t xml:space="preserve"> </w:t>
            </w:r>
            <w:r w:rsidRPr="00352B79">
              <w:rPr>
                <w:rFonts w:ascii="Arial" w:hAnsi="Arial" w:cs="Arial"/>
                <w:sz w:val="18"/>
              </w:rPr>
              <w:t>the</w:t>
            </w:r>
            <w:r w:rsidRPr="00352B79">
              <w:rPr>
                <w:rFonts w:ascii="Arial" w:hAnsi="Arial" w:cs="Arial"/>
                <w:spacing w:val="-3"/>
                <w:sz w:val="18"/>
              </w:rPr>
              <w:t xml:space="preserve"> </w:t>
            </w:r>
            <w:r w:rsidRPr="00352B79">
              <w:rPr>
                <w:rFonts w:ascii="Arial" w:hAnsi="Arial" w:cs="Arial"/>
                <w:sz w:val="18"/>
              </w:rPr>
              <w:t>organisation:</w:t>
            </w:r>
          </w:p>
        </w:tc>
      </w:tr>
    </w:tbl>
    <w:p w14:paraId="31057347" w14:textId="77777777" w:rsidR="00BD19CA" w:rsidRDefault="00BD19CA" w:rsidP="00FA003C">
      <w:pPr>
        <w:tabs>
          <w:tab w:val="left" w:pos="1273"/>
          <w:tab w:val="left" w:pos="1274"/>
        </w:tabs>
        <w:jc w:val="both"/>
        <w:rPr>
          <w:rFonts w:ascii="Arial" w:hAnsi="Arial" w:cs="Arial"/>
          <w:sz w:val="14"/>
        </w:rPr>
      </w:pPr>
    </w:p>
    <w:p w14:paraId="39242C22" w14:textId="77777777" w:rsidR="00BC2EBA" w:rsidRDefault="00BC2EBA" w:rsidP="00FA003C">
      <w:pPr>
        <w:tabs>
          <w:tab w:val="left" w:pos="1273"/>
          <w:tab w:val="left" w:pos="1274"/>
        </w:tabs>
        <w:jc w:val="both"/>
        <w:rPr>
          <w:rFonts w:ascii="Arial" w:hAnsi="Arial" w:cs="Arial"/>
          <w:sz w:val="14"/>
        </w:rPr>
      </w:pPr>
    </w:p>
    <w:p w14:paraId="3BBDD6D0" w14:textId="77777777" w:rsidR="00BC2EBA" w:rsidRDefault="00BC2EBA" w:rsidP="00FA003C">
      <w:pPr>
        <w:tabs>
          <w:tab w:val="left" w:pos="1273"/>
          <w:tab w:val="left" w:pos="1274"/>
        </w:tabs>
        <w:jc w:val="both"/>
        <w:rPr>
          <w:rFonts w:ascii="Arial" w:hAnsi="Arial" w:cs="Arial"/>
          <w:sz w:val="14"/>
        </w:rPr>
      </w:pPr>
    </w:p>
    <w:p w14:paraId="7CE6C7D2" w14:textId="77777777" w:rsidR="00BC2EBA" w:rsidRDefault="00BC2EBA" w:rsidP="00FA003C">
      <w:pPr>
        <w:tabs>
          <w:tab w:val="left" w:pos="1273"/>
          <w:tab w:val="left" w:pos="1274"/>
        </w:tabs>
        <w:jc w:val="both"/>
        <w:rPr>
          <w:rFonts w:ascii="Arial" w:hAnsi="Arial" w:cs="Arial"/>
          <w:sz w:val="14"/>
        </w:rPr>
      </w:pPr>
    </w:p>
    <w:p w14:paraId="3C8CB076" w14:textId="77777777" w:rsidR="00BC2EBA" w:rsidRDefault="00BC2EBA" w:rsidP="00FA003C">
      <w:pPr>
        <w:tabs>
          <w:tab w:val="left" w:pos="1273"/>
          <w:tab w:val="left" w:pos="1274"/>
        </w:tabs>
        <w:jc w:val="both"/>
        <w:rPr>
          <w:rFonts w:ascii="Arial" w:hAnsi="Arial" w:cs="Arial"/>
          <w:sz w:val="14"/>
        </w:rPr>
      </w:pPr>
    </w:p>
    <w:p w14:paraId="7C5A6B5E" w14:textId="77777777" w:rsidR="00BC2EBA" w:rsidRDefault="00BC2EBA" w:rsidP="00FA003C">
      <w:pPr>
        <w:tabs>
          <w:tab w:val="left" w:pos="1273"/>
          <w:tab w:val="left" w:pos="1274"/>
        </w:tabs>
        <w:jc w:val="both"/>
        <w:rPr>
          <w:rFonts w:ascii="Arial" w:hAnsi="Arial" w:cs="Arial"/>
          <w:sz w:val="14"/>
        </w:rPr>
      </w:pPr>
    </w:p>
    <w:p w14:paraId="33D5E072" w14:textId="77777777" w:rsidR="00BC2EBA" w:rsidRDefault="00BC2EBA" w:rsidP="00FA003C">
      <w:pPr>
        <w:tabs>
          <w:tab w:val="left" w:pos="1273"/>
          <w:tab w:val="left" w:pos="1274"/>
        </w:tabs>
        <w:jc w:val="both"/>
        <w:rPr>
          <w:rFonts w:ascii="Arial" w:hAnsi="Arial" w:cs="Arial"/>
          <w:sz w:val="14"/>
        </w:rPr>
      </w:pPr>
    </w:p>
    <w:p w14:paraId="2F105373" w14:textId="77777777" w:rsidR="00BC2EBA" w:rsidRDefault="00BC2EBA" w:rsidP="00FA003C">
      <w:pPr>
        <w:tabs>
          <w:tab w:val="left" w:pos="1273"/>
          <w:tab w:val="left" w:pos="1274"/>
        </w:tabs>
        <w:jc w:val="both"/>
        <w:rPr>
          <w:rFonts w:ascii="Arial" w:hAnsi="Arial" w:cs="Arial"/>
          <w:sz w:val="14"/>
        </w:rPr>
      </w:pPr>
    </w:p>
    <w:p w14:paraId="205E3B0C" w14:textId="77777777" w:rsidR="00BC2EBA" w:rsidRDefault="00BC2EBA" w:rsidP="00FA003C">
      <w:pPr>
        <w:tabs>
          <w:tab w:val="left" w:pos="1273"/>
          <w:tab w:val="left" w:pos="1274"/>
        </w:tabs>
        <w:jc w:val="both"/>
        <w:rPr>
          <w:rFonts w:ascii="Arial" w:hAnsi="Arial" w:cs="Arial"/>
          <w:sz w:val="14"/>
        </w:rPr>
      </w:pPr>
    </w:p>
    <w:p w14:paraId="5A0BEDC9" w14:textId="77777777" w:rsidR="00BC2EBA" w:rsidRDefault="00BC2EBA" w:rsidP="00FA003C">
      <w:pPr>
        <w:tabs>
          <w:tab w:val="left" w:pos="1273"/>
          <w:tab w:val="left" w:pos="1274"/>
        </w:tabs>
        <w:jc w:val="both"/>
        <w:rPr>
          <w:rFonts w:ascii="Arial" w:hAnsi="Arial" w:cs="Arial"/>
          <w:sz w:val="14"/>
        </w:rPr>
      </w:pPr>
    </w:p>
    <w:p w14:paraId="16AE1B3A" w14:textId="77777777" w:rsidR="00BC2EBA" w:rsidRDefault="00BC2EBA" w:rsidP="00FA003C">
      <w:pPr>
        <w:tabs>
          <w:tab w:val="left" w:pos="1273"/>
          <w:tab w:val="left" w:pos="1274"/>
        </w:tabs>
        <w:jc w:val="both"/>
        <w:rPr>
          <w:rFonts w:ascii="Arial" w:hAnsi="Arial" w:cs="Arial"/>
          <w:sz w:val="14"/>
        </w:rPr>
      </w:pPr>
    </w:p>
    <w:p w14:paraId="3057466E" w14:textId="77777777" w:rsidR="00BC2EBA" w:rsidRDefault="00BC2EBA" w:rsidP="00FA003C">
      <w:pPr>
        <w:tabs>
          <w:tab w:val="left" w:pos="1273"/>
          <w:tab w:val="left" w:pos="1274"/>
        </w:tabs>
        <w:jc w:val="both"/>
        <w:rPr>
          <w:rFonts w:ascii="Arial" w:hAnsi="Arial" w:cs="Arial"/>
          <w:sz w:val="14"/>
        </w:rPr>
      </w:pPr>
    </w:p>
    <w:p w14:paraId="1F35B2F2" w14:textId="77777777" w:rsidR="00BC2EBA" w:rsidRDefault="00BC2EBA" w:rsidP="00FA003C">
      <w:pPr>
        <w:tabs>
          <w:tab w:val="left" w:pos="1273"/>
          <w:tab w:val="left" w:pos="1274"/>
        </w:tabs>
        <w:jc w:val="both"/>
        <w:rPr>
          <w:rFonts w:ascii="Arial" w:hAnsi="Arial" w:cs="Arial"/>
          <w:sz w:val="14"/>
        </w:rPr>
      </w:pPr>
    </w:p>
    <w:p w14:paraId="6A1E9E3E" w14:textId="77777777" w:rsidR="00BC2EBA" w:rsidRDefault="00BC2EBA" w:rsidP="00FA003C">
      <w:pPr>
        <w:tabs>
          <w:tab w:val="left" w:pos="1273"/>
          <w:tab w:val="left" w:pos="1274"/>
        </w:tabs>
        <w:jc w:val="both"/>
        <w:rPr>
          <w:rFonts w:ascii="Arial" w:hAnsi="Arial" w:cs="Arial"/>
          <w:sz w:val="14"/>
        </w:rPr>
      </w:pPr>
    </w:p>
    <w:p w14:paraId="33A9906F" w14:textId="77777777" w:rsidR="00BC2EBA" w:rsidRDefault="00BC2EBA" w:rsidP="00FA003C">
      <w:pPr>
        <w:tabs>
          <w:tab w:val="left" w:pos="1273"/>
          <w:tab w:val="left" w:pos="1274"/>
        </w:tabs>
        <w:jc w:val="both"/>
        <w:rPr>
          <w:rFonts w:ascii="Arial" w:hAnsi="Arial" w:cs="Arial"/>
          <w:sz w:val="14"/>
        </w:rPr>
      </w:pPr>
    </w:p>
    <w:p w14:paraId="0B16B8FC" w14:textId="77777777" w:rsidR="00BC2EBA" w:rsidRDefault="00BC2EBA" w:rsidP="00FA003C">
      <w:pPr>
        <w:tabs>
          <w:tab w:val="left" w:pos="1273"/>
          <w:tab w:val="left" w:pos="1274"/>
        </w:tabs>
        <w:jc w:val="both"/>
        <w:rPr>
          <w:rFonts w:ascii="Arial" w:hAnsi="Arial" w:cs="Arial"/>
          <w:sz w:val="14"/>
        </w:rPr>
      </w:pPr>
    </w:p>
    <w:p w14:paraId="01C35A0B" w14:textId="77777777" w:rsidR="00BC2EBA" w:rsidRDefault="00BC2EBA" w:rsidP="00FA003C">
      <w:pPr>
        <w:tabs>
          <w:tab w:val="left" w:pos="1273"/>
          <w:tab w:val="left" w:pos="1274"/>
        </w:tabs>
        <w:jc w:val="both"/>
        <w:rPr>
          <w:rFonts w:ascii="Arial" w:hAnsi="Arial" w:cs="Arial"/>
          <w:sz w:val="14"/>
        </w:rPr>
      </w:pPr>
    </w:p>
    <w:p w14:paraId="3E61F7D7" w14:textId="77777777" w:rsidR="00BC2EBA" w:rsidRDefault="00BC2EBA" w:rsidP="00FA003C">
      <w:pPr>
        <w:tabs>
          <w:tab w:val="left" w:pos="1273"/>
          <w:tab w:val="left" w:pos="1274"/>
        </w:tabs>
        <w:jc w:val="both"/>
        <w:rPr>
          <w:rFonts w:ascii="Arial" w:hAnsi="Arial" w:cs="Arial"/>
          <w:sz w:val="14"/>
        </w:rPr>
      </w:pPr>
    </w:p>
    <w:p w14:paraId="4F6DD484" w14:textId="77777777" w:rsidR="00BC2EBA" w:rsidRDefault="00BC2EBA" w:rsidP="00FA003C">
      <w:pPr>
        <w:tabs>
          <w:tab w:val="left" w:pos="1273"/>
          <w:tab w:val="left" w:pos="1274"/>
        </w:tabs>
        <w:jc w:val="both"/>
        <w:rPr>
          <w:rFonts w:ascii="Arial" w:hAnsi="Arial" w:cs="Arial"/>
          <w:sz w:val="14"/>
        </w:rPr>
      </w:pPr>
    </w:p>
    <w:p w14:paraId="437E9B87" w14:textId="77777777" w:rsidR="00BC2EBA" w:rsidRDefault="00BC2EBA" w:rsidP="00FA003C">
      <w:pPr>
        <w:tabs>
          <w:tab w:val="left" w:pos="1273"/>
          <w:tab w:val="left" w:pos="1274"/>
        </w:tabs>
        <w:jc w:val="both"/>
        <w:rPr>
          <w:rFonts w:ascii="Arial" w:hAnsi="Arial" w:cs="Arial"/>
          <w:sz w:val="14"/>
        </w:rPr>
      </w:pPr>
    </w:p>
    <w:p w14:paraId="6B216022" w14:textId="77777777" w:rsidR="00BC2EBA" w:rsidRDefault="00BC2EBA" w:rsidP="00FA003C">
      <w:pPr>
        <w:tabs>
          <w:tab w:val="left" w:pos="1273"/>
          <w:tab w:val="left" w:pos="1274"/>
        </w:tabs>
        <w:jc w:val="both"/>
        <w:rPr>
          <w:rFonts w:ascii="Arial" w:hAnsi="Arial" w:cs="Arial"/>
          <w:sz w:val="14"/>
        </w:rPr>
      </w:pPr>
    </w:p>
    <w:p w14:paraId="7A71ED3D" w14:textId="77777777" w:rsidR="00BC2EBA" w:rsidRDefault="00BC2EBA" w:rsidP="00FA003C">
      <w:pPr>
        <w:tabs>
          <w:tab w:val="left" w:pos="1273"/>
          <w:tab w:val="left" w:pos="1274"/>
        </w:tabs>
        <w:jc w:val="both"/>
        <w:rPr>
          <w:rFonts w:ascii="Arial" w:hAnsi="Arial" w:cs="Arial"/>
          <w:sz w:val="14"/>
        </w:rPr>
      </w:pPr>
    </w:p>
    <w:p w14:paraId="7FA724C8" w14:textId="77777777" w:rsidR="00BC2EBA" w:rsidRDefault="00BC2EBA" w:rsidP="00FA003C">
      <w:pPr>
        <w:tabs>
          <w:tab w:val="left" w:pos="1273"/>
          <w:tab w:val="left" w:pos="1274"/>
        </w:tabs>
        <w:jc w:val="both"/>
        <w:rPr>
          <w:rFonts w:ascii="Arial" w:hAnsi="Arial" w:cs="Arial"/>
          <w:sz w:val="14"/>
        </w:rPr>
      </w:pPr>
    </w:p>
    <w:p w14:paraId="4A3B14F3" w14:textId="77777777" w:rsidR="00BC2EBA" w:rsidRDefault="00BC2EBA" w:rsidP="00FA003C">
      <w:pPr>
        <w:tabs>
          <w:tab w:val="left" w:pos="1273"/>
          <w:tab w:val="left" w:pos="1274"/>
        </w:tabs>
        <w:jc w:val="both"/>
        <w:rPr>
          <w:rFonts w:ascii="Arial" w:hAnsi="Arial" w:cs="Arial"/>
          <w:sz w:val="14"/>
        </w:rPr>
      </w:pPr>
    </w:p>
    <w:p w14:paraId="579F97B3" w14:textId="77777777" w:rsidR="00BC2EBA" w:rsidRDefault="00BC2EBA" w:rsidP="00FA003C">
      <w:pPr>
        <w:tabs>
          <w:tab w:val="left" w:pos="1273"/>
          <w:tab w:val="left" w:pos="1274"/>
        </w:tabs>
        <w:jc w:val="both"/>
        <w:rPr>
          <w:rFonts w:ascii="Arial" w:hAnsi="Arial" w:cs="Arial"/>
          <w:sz w:val="14"/>
        </w:rPr>
      </w:pPr>
    </w:p>
    <w:p w14:paraId="208B9DAC" w14:textId="77777777" w:rsidR="00BC2EBA" w:rsidRDefault="00BC2EBA" w:rsidP="00FA003C">
      <w:pPr>
        <w:tabs>
          <w:tab w:val="left" w:pos="1273"/>
          <w:tab w:val="left" w:pos="1274"/>
        </w:tabs>
        <w:jc w:val="both"/>
        <w:rPr>
          <w:rFonts w:ascii="Arial" w:hAnsi="Arial" w:cs="Arial"/>
          <w:sz w:val="14"/>
        </w:rPr>
      </w:pPr>
    </w:p>
    <w:p w14:paraId="272C9BB0" w14:textId="77777777" w:rsidR="00BC2EBA" w:rsidRDefault="00BC2EBA" w:rsidP="00FA003C">
      <w:pPr>
        <w:tabs>
          <w:tab w:val="left" w:pos="1273"/>
          <w:tab w:val="left" w:pos="1274"/>
        </w:tabs>
        <w:jc w:val="both"/>
        <w:rPr>
          <w:rFonts w:ascii="Arial" w:hAnsi="Arial" w:cs="Arial"/>
          <w:sz w:val="14"/>
        </w:rPr>
      </w:pPr>
    </w:p>
    <w:p w14:paraId="755D7E5C" w14:textId="77777777" w:rsidR="00BC2EBA" w:rsidRDefault="00BC2EBA" w:rsidP="00FA003C">
      <w:pPr>
        <w:tabs>
          <w:tab w:val="left" w:pos="1273"/>
          <w:tab w:val="left" w:pos="1274"/>
        </w:tabs>
        <w:jc w:val="both"/>
        <w:rPr>
          <w:rFonts w:ascii="Arial" w:hAnsi="Arial" w:cs="Arial"/>
          <w:sz w:val="14"/>
        </w:rPr>
      </w:pPr>
    </w:p>
    <w:p w14:paraId="1EC57DF2" w14:textId="77777777" w:rsidR="00BC2EBA" w:rsidRDefault="00BC2EBA" w:rsidP="00FA003C">
      <w:pPr>
        <w:tabs>
          <w:tab w:val="left" w:pos="1273"/>
          <w:tab w:val="left" w:pos="1274"/>
        </w:tabs>
        <w:jc w:val="both"/>
        <w:rPr>
          <w:rFonts w:ascii="Arial" w:hAnsi="Arial" w:cs="Arial"/>
          <w:sz w:val="14"/>
        </w:rPr>
      </w:pPr>
    </w:p>
    <w:p w14:paraId="197D5D65" w14:textId="77777777" w:rsidR="00BC2EBA" w:rsidRDefault="00BC2EBA" w:rsidP="00FA003C">
      <w:pPr>
        <w:tabs>
          <w:tab w:val="left" w:pos="1273"/>
          <w:tab w:val="left" w:pos="1274"/>
        </w:tabs>
        <w:jc w:val="both"/>
        <w:rPr>
          <w:rFonts w:ascii="Arial" w:hAnsi="Arial" w:cs="Arial"/>
          <w:sz w:val="14"/>
        </w:rPr>
      </w:pPr>
    </w:p>
    <w:p w14:paraId="7974B32B" w14:textId="77777777" w:rsidR="00BC2EBA" w:rsidRDefault="00BC2EBA" w:rsidP="00FA003C">
      <w:pPr>
        <w:tabs>
          <w:tab w:val="left" w:pos="1273"/>
          <w:tab w:val="left" w:pos="1274"/>
        </w:tabs>
        <w:jc w:val="both"/>
        <w:rPr>
          <w:rFonts w:ascii="Arial" w:hAnsi="Arial" w:cs="Arial"/>
          <w:sz w:val="14"/>
        </w:rPr>
      </w:pPr>
    </w:p>
    <w:p w14:paraId="0D0A83C4" w14:textId="77777777" w:rsidR="00BC2EBA" w:rsidRDefault="00BC2EBA" w:rsidP="00FA003C">
      <w:pPr>
        <w:tabs>
          <w:tab w:val="left" w:pos="1273"/>
          <w:tab w:val="left" w:pos="1274"/>
        </w:tabs>
        <w:jc w:val="both"/>
        <w:rPr>
          <w:rFonts w:ascii="Arial" w:hAnsi="Arial" w:cs="Arial"/>
          <w:sz w:val="14"/>
        </w:rPr>
      </w:pPr>
    </w:p>
    <w:p w14:paraId="676DB584" w14:textId="77777777" w:rsidR="00BC2EBA" w:rsidRDefault="00BC2EBA" w:rsidP="00FA003C">
      <w:pPr>
        <w:tabs>
          <w:tab w:val="left" w:pos="1273"/>
          <w:tab w:val="left" w:pos="1274"/>
        </w:tabs>
        <w:jc w:val="both"/>
        <w:rPr>
          <w:rFonts w:ascii="Arial" w:hAnsi="Arial" w:cs="Arial"/>
          <w:sz w:val="14"/>
        </w:rPr>
      </w:pPr>
    </w:p>
    <w:p w14:paraId="76D97572" w14:textId="77777777" w:rsidR="00BC2EBA" w:rsidRDefault="00BC2EBA" w:rsidP="00FA003C">
      <w:pPr>
        <w:tabs>
          <w:tab w:val="left" w:pos="1273"/>
          <w:tab w:val="left" w:pos="1274"/>
        </w:tabs>
        <w:jc w:val="both"/>
        <w:rPr>
          <w:rFonts w:ascii="Arial" w:hAnsi="Arial" w:cs="Arial"/>
          <w:sz w:val="14"/>
        </w:rPr>
      </w:pPr>
    </w:p>
    <w:p w14:paraId="0F7B9738" w14:textId="77777777" w:rsidR="00BC2EBA" w:rsidRDefault="00BC2EBA" w:rsidP="00FA003C">
      <w:pPr>
        <w:tabs>
          <w:tab w:val="left" w:pos="1273"/>
          <w:tab w:val="left" w:pos="1274"/>
        </w:tabs>
        <w:jc w:val="both"/>
        <w:rPr>
          <w:rFonts w:ascii="Arial" w:hAnsi="Arial" w:cs="Arial"/>
          <w:sz w:val="14"/>
        </w:rPr>
      </w:pPr>
    </w:p>
    <w:p w14:paraId="1364FC1D" w14:textId="77777777" w:rsidR="00BC2EBA" w:rsidRDefault="00BC2EBA" w:rsidP="00FA003C">
      <w:pPr>
        <w:tabs>
          <w:tab w:val="left" w:pos="1273"/>
          <w:tab w:val="left" w:pos="1274"/>
        </w:tabs>
        <w:jc w:val="both"/>
        <w:rPr>
          <w:rFonts w:ascii="Arial" w:hAnsi="Arial" w:cs="Arial"/>
          <w:sz w:val="14"/>
        </w:rPr>
      </w:pPr>
    </w:p>
    <w:p w14:paraId="2428A3ED" w14:textId="77777777" w:rsidR="00BC2EBA" w:rsidRDefault="00BC2EBA" w:rsidP="00FA003C">
      <w:pPr>
        <w:tabs>
          <w:tab w:val="left" w:pos="1273"/>
          <w:tab w:val="left" w:pos="1274"/>
        </w:tabs>
        <w:jc w:val="both"/>
        <w:rPr>
          <w:rFonts w:ascii="Arial" w:hAnsi="Arial" w:cs="Arial"/>
          <w:sz w:val="14"/>
        </w:rPr>
      </w:pPr>
    </w:p>
    <w:p w14:paraId="46258833" w14:textId="77777777" w:rsidR="00BC2EBA" w:rsidRDefault="00BC2EBA" w:rsidP="00FA003C">
      <w:pPr>
        <w:tabs>
          <w:tab w:val="left" w:pos="1273"/>
          <w:tab w:val="left" w:pos="1274"/>
        </w:tabs>
        <w:jc w:val="both"/>
        <w:rPr>
          <w:rFonts w:ascii="Arial" w:hAnsi="Arial" w:cs="Arial"/>
          <w:sz w:val="14"/>
        </w:rPr>
      </w:pPr>
    </w:p>
    <w:p w14:paraId="28E6E2D9" w14:textId="77777777" w:rsidR="00BC2EBA" w:rsidRDefault="00BC2EBA" w:rsidP="00FA003C">
      <w:pPr>
        <w:tabs>
          <w:tab w:val="left" w:pos="1273"/>
          <w:tab w:val="left" w:pos="1274"/>
        </w:tabs>
        <w:jc w:val="both"/>
        <w:rPr>
          <w:rFonts w:ascii="Arial" w:hAnsi="Arial" w:cs="Arial"/>
          <w:sz w:val="14"/>
        </w:rPr>
      </w:pPr>
    </w:p>
    <w:p w14:paraId="3C995BE6" w14:textId="77777777" w:rsidR="00BC2EBA" w:rsidRDefault="00BC2EBA" w:rsidP="00FA003C">
      <w:pPr>
        <w:tabs>
          <w:tab w:val="left" w:pos="1273"/>
          <w:tab w:val="left" w:pos="1274"/>
        </w:tabs>
        <w:jc w:val="both"/>
        <w:rPr>
          <w:rFonts w:ascii="Arial" w:hAnsi="Arial" w:cs="Arial"/>
          <w:sz w:val="14"/>
        </w:rPr>
      </w:pPr>
    </w:p>
    <w:p w14:paraId="626761D1" w14:textId="77777777" w:rsidR="00BC2EBA" w:rsidRPr="00BC2EBA" w:rsidRDefault="00BC2EBA" w:rsidP="00BC2EBA">
      <w:pPr>
        <w:keepNext/>
        <w:keepLines/>
        <w:widowControl/>
        <w:autoSpaceDE/>
        <w:autoSpaceDN/>
        <w:spacing w:before="40" w:line="276" w:lineRule="auto"/>
        <w:jc w:val="center"/>
        <w:outlineLvl w:val="2"/>
        <w:rPr>
          <w:rFonts w:ascii="Arial" w:eastAsiaTheme="majorEastAsia" w:hAnsi="Arial" w:cs="Arial"/>
          <w:b/>
          <w:color w:val="00B0F0"/>
          <w:sz w:val="24"/>
          <w:szCs w:val="24"/>
        </w:rPr>
      </w:pPr>
      <w:bookmarkStart w:id="951" w:name="_Toc153137571"/>
      <w:r w:rsidRPr="00BC2EBA">
        <w:rPr>
          <w:rFonts w:ascii="Arial" w:eastAsiaTheme="majorEastAsia" w:hAnsi="Arial" w:cs="Arial"/>
          <w:b/>
          <w:color w:val="00B0F0"/>
          <w:sz w:val="24"/>
          <w:szCs w:val="24"/>
        </w:rPr>
        <w:lastRenderedPageBreak/>
        <w:t>SUBPART C — CONTINUING AIRWORTHINESS</w:t>
      </w:r>
      <w:bookmarkEnd w:id="951"/>
    </w:p>
    <w:p w14:paraId="332071E8" w14:textId="77777777" w:rsidR="00BC2EBA" w:rsidRPr="00BC2EBA" w:rsidRDefault="00BC2EBA" w:rsidP="00BC2EBA">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952" w:name="ML.B.302_Exemptions"/>
      <w:bookmarkStart w:id="953" w:name="_bookmark407"/>
      <w:bookmarkStart w:id="954" w:name="_Toc153137572"/>
      <w:bookmarkEnd w:id="952"/>
      <w:bookmarkEnd w:id="953"/>
      <w:r w:rsidRPr="00BC2EBA">
        <w:rPr>
          <w:rFonts w:ascii="Arial" w:eastAsia="Times New Roman" w:hAnsi="Arial" w:cs="Times New Roman"/>
          <w:b/>
          <w:iCs/>
          <w:color w:val="FFFFFF"/>
          <w:sz w:val="24"/>
        </w:rPr>
        <w:t>ML.B.302 Exemptions</w:t>
      </w:r>
      <w:bookmarkEnd w:id="954"/>
    </w:p>
    <w:p w14:paraId="7EBEA918" w14:textId="63A51356" w:rsidR="00BC2EBA" w:rsidRPr="00BC2EBA" w:rsidRDefault="00BC2EBA" w:rsidP="001C253B">
      <w:pPr>
        <w:spacing w:before="117" w:line="276" w:lineRule="auto"/>
        <w:ind w:right="44"/>
        <w:jc w:val="both"/>
        <w:rPr>
          <w:rFonts w:ascii="Arial" w:hAnsi="Arial" w:cs="Arial"/>
          <w:sz w:val="20"/>
        </w:rPr>
      </w:pPr>
      <w:r w:rsidRPr="00BC2EBA">
        <w:rPr>
          <w:rFonts w:ascii="Arial" w:hAnsi="Arial" w:cs="Arial"/>
          <w:sz w:val="20"/>
        </w:rPr>
        <w:t xml:space="preserve">All exemptions granted in accordance with </w:t>
      </w:r>
      <w:hyperlink r:id="rId136" w:history="1">
        <w:r w:rsidR="005C2A3C" w:rsidRPr="004073D2">
          <w:rPr>
            <w:rStyle w:val="Hyperlink"/>
            <w:rFonts w:ascii="Arial" w:hAnsi="Arial" w:cs="Arial"/>
            <w:sz w:val="20"/>
            <w:szCs w:val="20"/>
          </w:rPr>
          <w:t>Law on Aviation of the Republic of Armenia</w:t>
        </w:r>
      </w:hyperlink>
      <w:r w:rsidR="005C2A3C">
        <w:rPr>
          <w:rFonts w:ascii="Arial" w:hAnsi="Arial" w:cs="Arial"/>
          <w:sz w:val="20"/>
          <w:szCs w:val="20"/>
        </w:rPr>
        <w:t xml:space="preserve"> </w:t>
      </w:r>
      <w:r w:rsidRPr="00BC2EBA">
        <w:rPr>
          <w:rFonts w:ascii="Arial" w:hAnsi="Arial" w:cs="Arial"/>
          <w:sz w:val="20"/>
        </w:rPr>
        <w:t xml:space="preserve">shall be recorded and retained by the </w:t>
      </w:r>
      <w:r w:rsidR="00996D5E">
        <w:rPr>
          <w:rFonts w:ascii="Arial" w:hAnsi="Arial" w:cs="Arial"/>
          <w:sz w:val="20"/>
          <w:szCs w:val="20"/>
        </w:rPr>
        <w:t>CAC RA</w:t>
      </w:r>
      <w:r w:rsidRPr="00BC2EBA">
        <w:rPr>
          <w:rFonts w:ascii="Arial" w:hAnsi="Arial" w:cs="Arial"/>
          <w:sz w:val="20"/>
        </w:rPr>
        <w:t>.</w:t>
      </w:r>
    </w:p>
    <w:p w14:paraId="7369F96C" w14:textId="77777777" w:rsidR="00BC2EBA" w:rsidRPr="00BC2EBA" w:rsidRDefault="00BC2EBA" w:rsidP="00BC2EBA">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955" w:name="ML.B.303_Aircraft_continuing-airworthine"/>
      <w:bookmarkStart w:id="956" w:name="_bookmark408"/>
      <w:bookmarkStart w:id="957" w:name="_Toc153137573"/>
      <w:bookmarkEnd w:id="955"/>
      <w:bookmarkEnd w:id="956"/>
      <w:r w:rsidRPr="00BC2EBA">
        <w:rPr>
          <w:rFonts w:ascii="Arial" w:eastAsia="Times New Roman" w:hAnsi="Arial" w:cs="Times New Roman"/>
          <w:b/>
          <w:iCs/>
          <w:color w:val="FFFFFF"/>
          <w:sz w:val="24"/>
        </w:rPr>
        <w:t>ML.B.303 Aircraft continuing-airworthiness monitoring</w:t>
      </w:r>
      <w:bookmarkEnd w:id="957"/>
    </w:p>
    <w:p w14:paraId="4392A03E" w14:textId="6ED507B7" w:rsidR="00BC2EBA" w:rsidRPr="00BC2EBA" w:rsidRDefault="00BC2EBA" w:rsidP="00BC2EBA">
      <w:pPr>
        <w:numPr>
          <w:ilvl w:val="0"/>
          <w:numId w:val="337"/>
        </w:numPr>
        <w:tabs>
          <w:tab w:val="left" w:pos="1273"/>
          <w:tab w:val="left" w:pos="1274"/>
        </w:tabs>
        <w:spacing w:line="276" w:lineRule="auto"/>
        <w:jc w:val="both"/>
        <w:rPr>
          <w:rFonts w:ascii="Arial" w:hAnsi="Arial" w:cs="Arial"/>
          <w:sz w:val="20"/>
        </w:rPr>
      </w:pPr>
      <w:r w:rsidRPr="00BC2EBA">
        <w:rPr>
          <w:rFonts w:ascii="Arial" w:hAnsi="Arial" w:cs="Arial"/>
          <w:sz w:val="20"/>
        </w:rPr>
        <w:t xml:space="preserve">The </w:t>
      </w:r>
      <w:r w:rsidR="00996D5E">
        <w:rPr>
          <w:rFonts w:ascii="Arial" w:hAnsi="Arial" w:cs="Arial"/>
          <w:sz w:val="20"/>
          <w:szCs w:val="20"/>
        </w:rPr>
        <w:t xml:space="preserve">CAC RA </w:t>
      </w:r>
      <w:r w:rsidRPr="00BC2EBA">
        <w:rPr>
          <w:rFonts w:ascii="Arial" w:hAnsi="Arial" w:cs="Arial"/>
          <w:sz w:val="20"/>
        </w:rPr>
        <w:t>shall develop a survey programme following a risk-based approach to monitor the airworthiness status of the fleet of aircraft on its register.</w:t>
      </w:r>
    </w:p>
    <w:p w14:paraId="6B1A35AD" w14:textId="77777777" w:rsidR="00BC2EBA" w:rsidRPr="00BC2EBA" w:rsidRDefault="00BC2EBA" w:rsidP="00BC2EBA">
      <w:pPr>
        <w:numPr>
          <w:ilvl w:val="0"/>
          <w:numId w:val="337"/>
        </w:numPr>
        <w:tabs>
          <w:tab w:val="left" w:pos="1273"/>
          <w:tab w:val="left" w:pos="1274"/>
        </w:tabs>
        <w:spacing w:line="276" w:lineRule="auto"/>
        <w:jc w:val="both"/>
        <w:rPr>
          <w:rFonts w:ascii="Arial" w:hAnsi="Arial" w:cs="Arial"/>
          <w:sz w:val="20"/>
        </w:rPr>
      </w:pPr>
      <w:r w:rsidRPr="00BC2EBA">
        <w:rPr>
          <w:rFonts w:ascii="Arial" w:hAnsi="Arial" w:cs="Arial"/>
          <w:sz w:val="20"/>
        </w:rPr>
        <w:t>A survey programme shall include sample product surveys of aircraft and shall cover all aspects of airworthiness key risk elements.</w:t>
      </w:r>
    </w:p>
    <w:p w14:paraId="678A0ECE" w14:textId="77777777" w:rsidR="00BC2EBA" w:rsidRPr="00BC2EBA" w:rsidRDefault="00BC2EBA" w:rsidP="00BC2EBA">
      <w:pPr>
        <w:numPr>
          <w:ilvl w:val="0"/>
          <w:numId w:val="337"/>
        </w:numPr>
        <w:tabs>
          <w:tab w:val="left" w:pos="1273"/>
          <w:tab w:val="left" w:pos="1274"/>
        </w:tabs>
        <w:spacing w:line="276" w:lineRule="auto"/>
        <w:jc w:val="both"/>
        <w:rPr>
          <w:rFonts w:ascii="Arial" w:hAnsi="Arial" w:cs="Arial"/>
          <w:sz w:val="20"/>
        </w:rPr>
      </w:pPr>
      <w:r w:rsidRPr="00BC2EBA">
        <w:rPr>
          <w:rFonts w:ascii="Arial" w:hAnsi="Arial" w:cs="Arial"/>
          <w:sz w:val="20"/>
        </w:rPr>
        <w:t>A sample product survey shall sample the airworthiness standards achieved, on the basis of the applicable requirements, and identify any findings.</w:t>
      </w:r>
    </w:p>
    <w:p w14:paraId="3666D079" w14:textId="16694B90" w:rsidR="00BC2EBA" w:rsidRPr="00BC2EBA" w:rsidRDefault="00BC2EBA" w:rsidP="00BC2EBA">
      <w:pPr>
        <w:numPr>
          <w:ilvl w:val="0"/>
          <w:numId w:val="337"/>
        </w:numPr>
        <w:tabs>
          <w:tab w:val="left" w:pos="1273"/>
          <w:tab w:val="left" w:pos="1274"/>
        </w:tabs>
        <w:spacing w:line="276" w:lineRule="auto"/>
        <w:jc w:val="both"/>
        <w:rPr>
          <w:rFonts w:ascii="Arial" w:hAnsi="Arial" w:cs="Arial"/>
          <w:sz w:val="20"/>
        </w:rPr>
      </w:pPr>
      <w:r w:rsidRPr="00BC2EBA">
        <w:rPr>
          <w:rFonts w:ascii="Arial" w:hAnsi="Arial" w:cs="Arial"/>
          <w:sz w:val="20"/>
        </w:rPr>
        <w:t xml:space="preserve">Any findings identified shall be categorised in accordance with point ML.B.903 and confirmed in writing to the person or organisation responsible pursuant to point ML.A.201. The </w:t>
      </w:r>
      <w:r w:rsidR="00996D5E">
        <w:rPr>
          <w:rFonts w:ascii="Arial" w:hAnsi="Arial" w:cs="Arial"/>
          <w:sz w:val="20"/>
          <w:szCs w:val="20"/>
        </w:rPr>
        <w:t xml:space="preserve">CAC RA </w:t>
      </w:r>
      <w:r w:rsidRPr="00BC2EBA">
        <w:rPr>
          <w:rFonts w:ascii="Arial" w:hAnsi="Arial" w:cs="Arial"/>
          <w:sz w:val="20"/>
        </w:rPr>
        <w:t>shall have a procedure in place to analyse findings as for their safety significance.</w:t>
      </w:r>
    </w:p>
    <w:p w14:paraId="2158916B" w14:textId="28F50031" w:rsidR="00BC2EBA" w:rsidRPr="00BC2EBA" w:rsidRDefault="00BC2EBA" w:rsidP="00BC2EBA">
      <w:pPr>
        <w:numPr>
          <w:ilvl w:val="0"/>
          <w:numId w:val="337"/>
        </w:numPr>
        <w:tabs>
          <w:tab w:val="left" w:pos="1273"/>
          <w:tab w:val="left" w:pos="1274"/>
        </w:tabs>
        <w:spacing w:line="276" w:lineRule="auto"/>
        <w:jc w:val="both"/>
        <w:rPr>
          <w:rFonts w:ascii="Arial" w:hAnsi="Arial" w:cs="Arial"/>
          <w:sz w:val="20"/>
        </w:rPr>
      </w:pPr>
      <w:r w:rsidRPr="00BC2EBA">
        <w:rPr>
          <w:rFonts w:ascii="Arial" w:hAnsi="Arial" w:cs="Arial"/>
          <w:sz w:val="20"/>
        </w:rPr>
        <w:t xml:space="preserve">The </w:t>
      </w:r>
      <w:r w:rsidR="00996D5E">
        <w:rPr>
          <w:rFonts w:ascii="Arial" w:hAnsi="Arial" w:cs="Arial"/>
          <w:sz w:val="20"/>
          <w:szCs w:val="20"/>
        </w:rPr>
        <w:t xml:space="preserve">CAC RA </w:t>
      </w:r>
      <w:r w:rsidRPr="00BC2EBA">
        <w:rPr>
          <w:rFonts w:ascii="Arial" w:hAnsi="Arial" w:cs="Arial"/>
          <w:sz w:val="20"/>
        </w:rPr>
        <w:t>shall record all findings and closure actions.</w:t>
      </w:r>
    </w:p>
    <w:p w14:paraId="5DCF7915" w14:textId="77777777" w:rsidR="00BC2EBA" w:rsidRPr="00BC2EBA" w:rsidRDefault="00BC2EBA" w:rsidP="00BC2EBA">
      <w:pPr>
        <w:numPr>
          <w:ilvl w:val="0"/>
          <w:numId w:val="337"/>
        </w:numPr>
        <w:tabs>
          <w:tab w:val="left" w:pos="1273"/>
          <w:tab w:val="left" w:pos="1274"/>
        </w:tabs>
        <w:spacing w:line="276" w:lineRule="auto"/>
        <w:jc w:val="both"/>
        <w:rPr>
          <w:rFonts w:ascii="Arial" w:hAnsi="Arial" w:cs="Arial"/>
          <w:sz w:val="20"/>
        </w:rPr>
      </w:pPr>
      <w:r w:rsidRPr="00BC2EBA">
        <w:rPr>
          <w:rFonts w:ascii="Arial" w:hAnsi="Arial" w:cs="Arial"/>
          <w:sz w:val="20"/>
        </w:rPr>
        <w:t>If during aircraft monitoring, evidence is found showing non-compliance with this or other Annexes, the finding shall be dealt with as provided for by the relevant Annex.</w:t>
      </w:r>
    </w:p>
    <w:p w14:paraId="7B64F1D8" w14:textId="0F22F929" w:rsidR="00BC2EBA" w:rsidRPr="00BC2EBA" w:rsidRDefault="00BC2EBA" w:rsidP="00BC2EBA">
      <w:pPr>
        <w:numPr>
          <w:ilvl w:val="0"/>
          <w:numId w:val="337"/>
        </w:numPr>
        <w:tabs>
          <w:tab w:val="left" w:pos="1273"/>
          <w:tab w:val="left" w:pos="1274"/>
        </w:tabs>
        <w:spacing w:line="276" w:lineRule="auto"/>
        <w:jc w:val="both"/>
        <w:rPr>
          <w:rFonts w:ascii="Arial" w:hAnsi="Arial" w:cs="Arial"/>
          <w:sz w:val="20"/>
        </w:rPr>
      </w:pPr>
      <w:r w:rsidRPr="00BC2EBA">
        <w:rPr>
          <w:rFonts w:ascii="Arial" w:hAnsi="Arial" w:cs="Arial"/>
          <w:sz w:val="20"/>
        </w:rPr>
        <w:t xml:space="preserve">If so required to ensure appropriate enforcement action, the </w:t>
      </w:r>
      <w:r w:rsidR="00996D5E">
        <w:rPr>
          <w:rFonts w:ascii="Arial" w:hAnsi="Arial" w:cs="Arial"/>
          <w:sz w:val="20"/>
          <w:szCs w:val="20"/>
        </w:rPr>
        <w:t xml:space="preserve">CAC RA </w:t>
      </w:r>
      <w:r w:rsidRPr="00BC2EBA">
        <w:rPr>
          <w:rFonts w:ascii="Arial" w:hAnsi="Arial" w:cs="Arial"/>
          <w:sz w:val="20"/>
        </w:rPr>
        <w:t>shall exchange information on non-compliances identified in accordance with point (f) with other competent authorities.</w:t>
      </w:r>
    </w:p>
    <w:p w14:paraId="6A9ED5CA" w14:textId="77777777" w:rsidR="00BC2EBA" w:rsidRPr="00BC2EBA" w:rsidRDefault="00BC2EBA" w:rsidP="00BC2EBA">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958" w:name="AMC1_ML.B.303__Aircraft_continuing_airwo"/>
      <w:bookmarkStart w:id="959" w:name="_bookmark409"/>
      <w:bookmarkStart w:id="960" w:name="_Toc153137574"/>
      <w:bookmarkEnd w:id="958"/>
      <w:bookmarkEnd w:id="959"/>
      <w:r w:rsidRPr="00BC2EBA">
        <w:rPr>
          <w:rFonts w:ascii="Arial" w:eastAsia="Times New Roman" w:hAnsi="Arial" w:cs="Times New Roman"/>
          <w:b/>
          <w:color w:val="FFFFFF"/>
          <w:sz w:val="24"/>
        </w:rPr>
        <w:t>AMC1 ML.B.303 Aircraft continuing airworthiness monitoring</w:t>
      </w:r>
      <w:bookmarkEnd w:id="960"/>
    </w:p>
    <w:p w14:paraId="6A7C9CFE" w14:textId="12544BD9" w:rsidR="00BC2EBA" w:rsidRDefault="00BC2EBA" w:rsidP="00FA003C">
      <w:pPr>
        <w:tabs>
          <w:tab w:val="left" w:pos="1273"/>
          <w:tab w:val="left" w:pos="1274"/>
        </w:tabs>
        <w:jc w:val="both"/>
        <w:rPr>
          <w:rFonts w:ascii="Arial" w:hAnsi="Arial" w:cs="Arial"/>
          <w:sz w:val="20"/>
        </w:rPr>
      </w:pPr>
      <w:r w:rsidRPr="00BC2EBA">
        <w:rPr>
          <w:rFonts w:ascii="Arial" w:hAnsi="Arial" w:cs="Arial"/>
          <w:sz w:val="20"/>
        </w:rPr>
        <w:t xml:space="preserve">The </w:t>
      </w:r>
      <w:r w:rsidR="00996D5E">
        <w:rPr>
          <w:rFonts w:ascii="Arial" w:hAnsi="Arial" w:cs="Arial"/>
          <w:sz w:val="20"/>
          <w:szCs w:val="20"/>
        </w:rPr>
        <w:t xml:space="preserve">CAC RA </w:t>
      </w:r>
      <w:r w:rsidRPr="00BC2EBA">
        <w:rPr>
          <w:rFonts w:ascii="Arial" w:hAnsi="Arial" w:cs="Arial"/>
          <w:sz w:val="20"/>
        </w:rPr>
        <w:t>survey programme developed in accordance with Part-M (M.B.303) provides an acceptable basic structure for the survey programme required for Part-ML aircraft.</w:t>
      </w:r>
    </w:p>
    <w:p w14:paraId="499FAAB8" w14:textId="77777777" w:rsidR="00BC2EBA" w:rsidRPr="00BC2EBA" w:rsidRDefault="00BC2EBA" w:rsidP="00BC2EBA">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961" w:name="ML.B.304_Revocation,_suspension_and_limi"/>
      <w:bookmarkStart w:id="962" w:name="_bookmark410"/>
      <w:bookmarkStart w:id="963" w:name="_Toc153137575"/>
      <w:bookmarkEnd w:id="961"/>
      <w:bookmarkEnd w:id="962"/>
      <w:r w:rsidRPr="00BC2EBA">
        <w:rPr>
          <w:rFonts w:ascii="Arial" w:eastAsia="Times New Roman" w:hAnsi="Arial" w:cs="Times New Roman"/>
          <w:b/>
          <w:iCs/>
          <w:color w:val="FFFFFF"/>
          <w:sz w:val="24"/>
        </w:rPr>
        <w:t>ML.B.304 Revocation, suspension and limitation</w:t>
      </w:r>
      <w:bookmarkEnd w:id="963"/>
    </w:p>
    <w:p w14:paraId="0D6524A5" w14:textId="6AD9ACF4" w:rsidR="00BC2EBA" w:rsidRPr="00BC2EBA" w:rsidRDefault="00BC2EBA" w:rsidP="00BC2EBA">
      <w:pPr>
        <w:tabs>
          <w:tab w:val="left" w:pos="1273"/>
          <w:tab w:val="left" w:pos="1274"/>
        </w:tabs>
        <w:spacing w:line="276" w:lineRule="auto"/>
        <w:jc w:val="both"/>
        <w:rPr>
          <w:rFonts w:ascii="Arial" w:hAnsi="Arial" w:cs="Arial"/>
          <w:sz w:val="20"/>
        </w:rPr>
      </w:pPr>
      <w:r w:rsidRPr="00BC2EBA">
        <w:rPr>
          <w:rFonts w:ascii="Arial" w:hAnsi="Arial" w:cs="Arial"/>
          <w:sz w:val="20"/>
        </w:rPr>
        <w:t xml:space="preserve">The </w:t>
      </w:r>
      <w:r w:rsidR="00996D5E">
        <w:rPr>
          <w:rFonts w:ascii="Arial" w:hAnsi="Arial" w:cs="Arial"/>
          <w:sz w:val="20"/>
          <w:szCs w:val="20"/>
        </w:rPr>
        <w:t xml:space="preserve">CAC RA </w:t>
      </w:r>
      <w:r w:rsidRPr="00BC2EBA">
        <w:rPr>
          <w:rFonts w:ascii="Arial" w:hAnsi="Arial" w:cs="Arial"/>
          <w:sz w:val="20"/>
        </w:rPr>
        <w:t>shall:</w:t>
      </w:r>
    </w:p>
    <w:p w14:paraId="7C3B9293" w14:textId="77777777" w:rsidR="00BC2EBA" w:rsidRPr="00BC2EBA" w:rsidRDefault="00BC2EBA" w:rsidP="00BC2EBA">
      <w:pPr>
        <w:numPr>
          <w:ilvl w:val="0"/>
          <w:numId w:val="338"/>
        </w:numPr>
        <w:tabs>
          <w:tab w:val="left" w:pos="1273"/>
          <w:tab w:val="left" w:pos="1274"/>
        </w:tabs>
        <w:spacing w:line="276" w:lineRule="auto"/>
        <w:jc w:val="both"/>
        <w:rPr>
          <w:rFonts w:ascii="Arial" w:hAnsi="Arial" w:cs="Arial"/>
          <w:sz w:val="20"/>
        </w:rPr>
      </w:pPr>
      <w:r w:rsidRPr="00BC2EBA">
        <w:rPr>
          <w:rFonts w:ascii="Arial" w:hAnsi="Arial" w:cs="Arial"/>
          <w:sz w:val="20"/>
        </w:rPr>
        <w:t>suspend an ARC on reasonable grounds in the case of a potential safety threat; or</w:t>
      </w:r>
    </w:p>
    <w:p w14:paraId="1472F9EE" w14:textId="77777777" w:rsidR="00BC2EBA" w:rsidRPr="00BC2EBA" w:rsidRDefault="00BC2EBA" w:rsidP="00BC2EBA">
      <w:pPr>
        <w:numPr>
          <w:ilvl w:val="0"/>
          <w:numId w:val="338"/>
        </w:numPr>
        <w:tabs>
          <w:tab w:val="left" w:pos="1273"/>
          <w:tab w:val="left" w:pos="1274"/>
        </w:tabs>
        <w:spacing w:line="276" w:lineRule="auto"/>
        <w:jc w:val="both"/>
        <w:rPr>
          <w:rFonts w:ascii="Arial" w:hAnsi="Arial" w:cs="Arial"/>
          <w:sz w:val="20"/>
        </w:rPr>
      </w:pPr>
      <w:r w:rsidRPr="00BC2EBA">
        <w:rPr>
          <w:rFonts w:ascii="Arial" w:hAnsi="Arial" w:cs="Arial"/>
          <w:sz w:val="20"/>
        </w:rPr>
        <w:t>suspend or revoke an ARC pursuant to point (a) of point ML.B.903.</w:t>
      </w:r>
    </w:p>
    <w:p w14:paraId="19EAE1ED" w14:textId="6A025567" w:rsidR="00BC2EBA" w:rsidRPr="00BC2EBA" w:rsidRDefault="00BC2EBA" w:rsidP="00BC2EBA">
      <w:pPr>
        <w:tabs>
          <w:tab w:val="left" w:pos="1273"/>
          <w:tab w:val="left" w:pos="1274"/>
        </w:tabs>
        <w:spacing w:line="276" w:lineRule="auto"/>
        <w:jc w:val="both"/>
        <w:rPr>
          <w:rFonts w:ascii="Arial" w:hAnsi="Arial" w:cs="Arial"/>
          <w:sz w:val="20"/>
        </w:rPr>
      </w:pPr>
      <w:r w:rsidRPr="00BC2EBA">
        <w:rPr>
          <w:rFonts w:ascii="Arial" w:hAnsi="Arial" w:cs="Arial"/>
          <w:sz w:val="20"/>
        </w:rPr>
        <w:t xml:space="preserve">The </w:t>
      </w:r>
      <w:r w:rsidR="00996D5E">
        <w:rPr>
          <w:rFonts w:ascii="Arial" w:hAnsi="Arial" w:cs="Arial"/>
          <w:sz w:val="20"/>
          <w:szCs w:val="20"/>
        </w:rPr>
        <w:t xml:space="preserve">CAC RA </w:t>
      </w:r>
      <w:r w:rsidRPr="00BC2EBA">
        <w:rPr>
          <w:rFonts w:ascii="Arial" w:hAnsi="Arial" w:cs="Arial"/>
          <w:sz w:val="20"/>
        </w:rPr>
        <w:t>who issued the airworthiness review authorisation pursuant to point (c) of point ML.A.904 for independent certifying staff shall revoke such authorisation if the holder shows poor performance of the airwo</w:t>
      </w:r>
      <w:r w:rsidR="008401F5" w:rsidRPr="00BC2EBA">
        <w:rPr>
          <w:rFonts w:ascii="Arial" w:hAnsi="Arial" w:cs="Arial"/>
          <w:sz w:val="20"/>
        </w:rPr>
        <w:t>rthine</w:t>
      </w:r>
      <w:r w:rsidRPr="00BC2EBA">
        <w:rPr>
          <w:rFonts w:ascii="Arial" w:hAnsi="Arial" w:cs="Arial"/>
          <w:sz w:val="20"/>
        </w:rPr>
        <w:t>ss review or uses such authorisation in inappropriate manner.</w:t>
      </w:r>
    </w:p>
    <w:p w14:paraId="62E9F8FE" w14:textId="77777777" w:rsidR="00BC2EBA" w:rsidRDefault="00BC2EBA" w:rsidP="00FA003C">
      <w:pPr>
        <w:tabs>
          <w:tab w:val="left" w:pos="1273"/>
          <w:tab w:val="left" w:pos="1274"/>
        </w:tabs>
        <w:jc w:val="both"/>
        <w:rPr>
          <w:rFonts w:ascii="Arial" w:hAnsi="Arial" w:cs="Arial"/>
          <w:sz w:val="20"/>
        </w:rPr>
      </w:pPr>
    </w:p>
    <w:p w14:paraId="45021572" w14:textId="77777777" w:rsidR="004F781C" w:rsidRDefault="004F781C" w:rsidP="00FA003C">
      <w:pPr>
        <w:tabs>
          <w:tab w:val="left" w:pos="1273"/>
          <w:tab w:val="left" w:pos="1274"/>
        </w:tabs>
        <w:jc w:val="both"/>
        <w:rPr>
          <w:rFonts w:ascii="Arial" w:hAnsi="Arial" w:cs="Arial"/>
          <w:sz w:val="20"/>
        </w:rPr>
      </w:pPr>
    </w:p>
    <w:p w14:paraId="7BFD82D6" w14:textId="77777777" w:rsidR="004F781C" w:rsidRDefault="004F781C" w:rsidP="00FA003C">
      <w:pPr>
        <w:tabs>
          <w:tab w:val="left" w:pos="1273"/>
          <w:tab w:val="left" w:pos="1274"/>
        </w:tabs>
        <w:jc w:val="both"/>
        <w:rPr>
          <w:rFonts w:ascii="Arial" w:hAnsi="Arial" w:cs="Arial"/>
          <w:sz w:val="20"/>
        </w:rPr>
      </w:pPr>
    </w:p>
    <w:p w14:paraId="4791566F" w14:textId="77777777" w:rsidR="004F781C" w:rsidRDefault="004F781C" w:rsidP="00FA003C">
      <w:pPr>
        <w:tabs>
          <w:tab w:val="left" w:pos="1273"/>
          <w:tab w:val="left" w:pos="1274"/>
        </w:tabs>
        <w:jc w:val="both"/>
        <w:rPr>
          <w:rFonts w:ascii="Arial" w:hAnsi="Arial" w:cs="Arial"/>
          <w:sz w:val="20"/>
        </w:rPr>
      </w:pPr>
    </w:p>
    <w:p w14:paraId="2DADC28F" w14:textId="77777777" w:rsidR="004F781C" w:rsidRDefault="004F781C" w:rsidP="00FA003C">
      <w:pPr>
        <w:tabs>
          <w:tab w:val="left" w:pos="1273"/>
          <w:tab w:val="left" w:pos="1274"/>
        </w:tabs>
        <w:jc w:val="both"/>
        <w:rPr>
          <w:rFonts w:ascii="Arial" w:hAnsi="Arial" w:cs="Arial"/>
          <w:sz w:val="20"/>
        </w:rPr>
      </w:pPr>
    </w:p>
    <w:p w14:paraId="7E0DA071" w14:textId="77777777" w:rsidR="004F781C" w:rsidRDefault="004F781C" w:rsidP="00FA003C">
      <w:pPr>
        <w:tabs>
          <w:tab w:val="left" w:pos="1273"/>
          <w:tab w:val="left" w:pos="1274"/>
        </w:tabs>
        <w:jc w:val="both"/>
        <w:rPr>
          <w:rFonts w:ascii="Arial" w:hAnsi="Arial" w:cs="Arial"/>
          <w:sz w:val="20"/>
        </w:rPr>
      </w:pPr>
    </w:p>
    <w:p w14:paraId="6BD10D9A" w14:textId="77777777" w:rsidR="004F781C" w:rsidRDefault="004F781C" w:rsidP="00FA003C">
      <w:pPr>
        <w:tabs>
          <w:tab w:val="left" w:pos="1273"/>
          <w:tab w:val="left" w:pos="1274"/>
        </w:tabs>
        <w:jc w:val="both"/>
        <w:rPr>
          <w:rFonts w:ascii="Arial" w:hAnsi="Arial" w:cs="Arial"/>
          <w:sz w:val="20"/>
        </w:rPr>
      </w:pPr>
    </w:p>
    <w:p w14:paraId="4E03C534" w14:textId="77777777" w:rsidR="004F781C" w:rsidRDefault="004F781C" w:rsidP="00FA003C">
      <w:pPr>
        <w:tabs>
          <w:tab w:val="left" w:pos="1273"/>
          <w:tab w:val="left" w:pos="1274"/>
        </w:tabs>
        <w:jc w:val="both"/>
        <w:rPr>
          <w:rFonts w:ascii="Arial" w:hAnsi="Arial" w:cs="Arial"/>
          <w:sz w:val="20"/>
        </w:rPr>
      </w:pPr>
    </w:p>
    <w:p w14:paraId="01B14A44" w14:textId="77777777" w:rsidR="004F781C" w:rsidRDefault="004F781C" w:rsidP="00FA003C">
      <w:pPr>
        <w:tabs>
          <w:tab w:val="left" w:pos="1273"/>
          <w:tab w:val="left" w:pos="1274"/>
        </w:tabs>
        <w:jc w:val="both"/>
        <w:rPr>
          <w:rFonts w:ascii="Arial" w:hAnsi="Arial" w:cs="Arial"/>
          <w:sz w:val="20"/>
        </w:rPr>
      </w:pPr>
    </w:p>
    <w:p w14:paraId="097AB52C" w14:textId="77777777" w:rsidR="004F781C" w:rsidRDefault="004F781C" w:rsidP="00FA003C">
      <w:pPr>
        <w:tabs>
          <w:tab w:val="left" w:pos="1273"/>
          <w:tab w:val="left" w:pos="1274"/>
        </w:tabs>
        <w:jc w:val="both"/>
        <w:rPr>
          <w:rFonts w:ascii="Arial" w:hAnsi="Arial" w:cs="Arial"/>
          <w:sz w:val="20"/>
        </w:rPr>
      </w:pPr>
    </w:p>
    <w:p w14:paraId="438521BE" w14:textId="77777777" w:rsidR="004F781C" w:rsidRDefault="004F781C" w:rsidP="00FA003C">
      <w:pPr>
        <w:tabs>
          <w:tab w:val="left" w:pos="1273"/>
          <w:tab w:val="left" w:pos="1274"/>
        </w:tabs>
        <w:jc w:val="both"/>
        <w:rPr>
          <w:rFonts w:ascii="Arial" w:hAnsi="Arial" w:cs="Arial"/>
          <w:sz w:val="20"/>
        </w:rPr>
      </w:pPr>
    </w:p>
    <w:p w14:paraId="656C4ECD" w14:textId="77777777" w:rsidR="004F781C" w:rsidRDefault="004F781C" w:rsidP="00FA003C">
      <w:pPr>
        <w:tabs>
          <w:tab w:val="left" w:pos="1273"/>
          <w:tab w:val="left" w:pos="1274"/>
        </w:tabs>
        <w:jc w:val="both"/>
        <w:rPr>
          <w:rFonts w:ascii="Arial" w:hAnsi="Arial" w:cs="Arial"/>
          <w:sz w:val="20"/>
        </w:rPr>
      </w:pPr>
    </w:p>
    <w:p w14:paraId="071808C2" w14:textId="77777777" w:rsidR="004F781C" w:rsidRDefault="004F781C" w:rsidP="00FA003C">
      <w:pPr>
        <w:tabs>
          <w:tab w:val="left" w:pos="1273"/>
          <w:tab w:val="left" w:pos="1274"/>
        </w:tabs>
        <w:jc w:val="both"/>
        <w:rPr>
          <w:rFonts w:ascii="Arial" w:hAnsi="Arial" w:cs="Arial"/>
          <w:sz w:val="20"/>
        </w:rPr>
      </w:pPr>
    </w:p>
    <w:p w14:paraId="4014BEBD" w14:textId="77777777" w:rsidR="004F781C" w:rsidRDefault="004F781C" w:rsidP="00FA003C">
      <w:pPr>
        <w:tabs>
          <w:tab w:val="left" w:pos="1273"/>
          <w:tab w:val="left" w:pos="1274"/>
        </w:tabs>
        <w:jc w:val="both"/>
        <w:rPr>
          <w:rFonts w:ascii="Arial" w:hAnsi="Arial" w:cs="Arial"/>
          <w:sz w:val="20"/>
        </w:rPr>
      </w:pPr>
    </w:p>
    <w:p w14:paraId="76E61E57" w14:textId="77777777" w:rsidR="004F781C" w:rsidRDefault="004F781C" w:rsidP="00FA003C">
      <w:pPr>
        <w:tabs>
          <w:tab w:val="left" w:pos="1273"/>
          <w:tab w:val="left" w:pos="1274"/>
        </w:tabs>
        <w:jc w:val="both"/>
        <w:rPr>
          <w:rFonts w:ascii="Arial" w:hAnsi="Arial" w:cs="Arial"/>
          <w:sz w:val="20"/>
        </w:rPr>
      </w:pPr>
    </w:p>
    <w:p w14:paraId="7526ECF5" w14:textId="77777777" w:rsidR="004F781C" w:rsidRDefault="004F781C" w:rsidP="00FA003C">
      <w:pPr>
        <w:tabs>
          <w:tab w:val="left" w:pos="1273"/>
          <w:tab w:val="left" w:pos="1274"/>
        </w:tabs>
        <w:jc w:val="both"/>
        <w:rPr>
          <w:rFonts w:ascii="Arial" w:hAnsi="Arial" w:cs="Arial"/>
          <w:sz w:val="20"/>
        </w:rPr>
      </w:pPr>
    </w:p>
    <w:p w14:paraId="715D6EDC" w14:textId="77777777" w:rsidR="004F781C" w:rsidRDefault="004F781C" w:rsidP="00FA003C">
      <w:pPr>
        <w:tabs>
          <w:tab w:val="left" w:pos="1273"/>
          <w:tab w:val="left" w:pos="1274"/>
        </w:tabs>
        <w:jc w:val="both"/>
        <w:rPr>
          <w:rFonts w:ascii="Arial" w:hAnsi="Arial" w:cs="Arial"/>
          <w:sz w:val="20"/>
        </w:rPr>
      </w:pPr>
    </w:p>
    <w:p w14:paraId="2872D181" w14:textId="77777777" w:rsidR="004F781C" w:rsidRDefault="004F781C" w:rsidP="00FA003C">
      <w:pPr>
        <w:tabs>
          <w:tab w:val="left" w:pos="1273"/>
          <w:tab w:val="left" w:pos="1274"/>
        </w:tabs>
        <w:jc w:val="both"/>
        <w:rPr>
          <w:rFonts w:ascii="Arial" w:hAnsi="Arial" w:cs="Arial"/>
          <w:sz w:val="20"/>
        </w:rPr>
      </w:pPr>
    </w:p>
    <w:p w14:paraId="57DC04C6" w14:textId="77777777" w:rsidR="004F781C" w:rsidRDefault="004F781C" w:rsidP="00FA003C">
      <w:pPr>
        <w:tabs>
          <w:tab w:val="left" w:pos="1273"/>
          <w:tab w:val="left" w:pos="1274"/>
        </w:tabs>
        <w:jc w:val="both"/>
        <w:rPr>
          <w:rFonts w:ascii="Arial" w:hAnsi="Arial" w:cs="Arial"/>
          <w:sz w:val="20"/>
        </w:rPr>
      </w:pPr>
    </w:p>
    <w:p w14:paraId="2EB001A3" w14:textId="77777777" w:rsidR="004F781C" w:rsidRPr="004F781C" w:rsidRDefault="004F781C" w:rsidP="004F781C">
      <w:pPr>
        <w:keepNext/>
        <w:keepLines/>
        <w:widowControl/>
        <w:autoSpaceDE/>
        <w:autoSpaceDN/>
        <w:spacing w:before="40" w:line="276" w:lineRule="auto"/>
        <w:jc w:val="center"/>
        <w:outlineLvl w:val="2"/>
        <w:rPr>
          <w:rFonts w:ascii="Arial" w:eastAsiaTheme="majorEastAsia" w:hAnsi="Arial" w:cs="Arial"/>
          <w:b/>
          <w:color w:val="00B0F0"/>
          <w:sz w:val="24"/>
          <w:szCs w:val="24"/>
        </w:rPr>
      </w:pPr>
      <w:bookmarkStart w:id="964" w:name="_Toc153137576"/>
      <w:r w:rsidRPr="004F781C">
        <w:rPr>
          <w:rFonts w:ascii="Arial" w:eastAsiaTheme="majorEastAsia" w:hAnsi="Arial" w:cs="Arial"/>
          <w:b/>
          <w:color w:val="00B0F0"/>
          <w:sz w:val="24"/>
          <w:szCs w:val="24"/>
        </w:rPr>
        <w:lastRenderedPageBreak/>
        <w:t>SUBPART I — AIRWORTHINESS REVIEW CERTIFICATE (ARC)</w:t>
      </w:r>
      <w:bookmarkEnd w:id="964"/>
    </w:p>
    <w:p w14:paraId="313B9EA9" w14:textId="77777777" w:rsidR="007F5327" w:rsidRPr="007F5327" w:rsidRDefault="007F5327" w:rsidP="007F5327">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965" w:name="ML.B.902_Airworthiness_review_by_the_com"/>
      <w:bookmarkStart w:id="966" w:name="_bookmark412"/>
      <w:bookmarkStart w:id="967" w:name="_Toc153137577"/>
      <w:bookmarkEnd w:id="965"/>
      <w:bookmarkEnd w:id="966"/>
      <w:r w:rsidRPr="007F5327">
        <w:rPr>
          <w:rFonts w:ascii="Arial" w:eastAsia="Times New Roman" w:hAnsi="Arial" w:cs="Times New Roman"/>
          <w:b/>
          <w:iCs/>
          <w:color w:val="FFFFFF"/>
          <w:sz w:val="24"/>
        </w:rPr>
        <w:t>ML.B.902 Airworthiness review by the competent authority</w:t>
      </w:r>
      <w:bookmarkEnd w:id="967"/>
    </w:p>
    <w:p w14:paraId="57428811" w14:textId="78560844" w:rsidR="007F5327" w:rsidRPr="007F5327" w:rsidRDefault="007F5327" w:rsidP="007F5327">
      <w:pPr>
        <w:numPr>
          <w:ilvl w:val="0"/>
          <w:numId w:val="339"/>
        </w:numPr>
        <w:tabs>
          <w:tab w:val="left" w:pos="1273"/>
          <w:tab w:val="left" w:pos="1274"/>
        </w:tabs>
        <w:spacing w:line="276" w:lineRule="auto"/>
        <w:jc w:val="both"/>
        <w:rPr>
          <w:rFonts w:ascii="Arial" w:hAnsi="Arial" w:cs="Arial"/>
          <w:sz w:val="20"/>
        </w:rPr>
      </w:pPr>
      <w:r w:rsidRPr="007F5327">
        <w:rPr>
          <w:rFonts w:ascii="Arial" w:hAnsi="Arial" w:cs="Arial"/>
          <w:sz w:val="20"/>
        </w:rPr>
        <w:t xml:space="preserve">When the </w:t>
      </w:r>
      <w:r w:rsidR="00996D5E">
        <w:rPr>
          <w:rFonts w:ascii="Arial" w:hAnsi="Arial" w:cs="Arial"/>
          <w:sz w:val="20"/>
          <w:szCs w:val="20"/>
        </w:rPr>
        <w:t xml:space="preserve">CAC RA </w:t>
      </w:r>
      <w:r w:rsidRPr="007F5327">
        <w:rPr>
          <w:rFonts w:ascii="Arial" w:hAnsi="Arial" w:cs="Arial"/>
          <w:sz w:val="20"/>
        </w:rPr>
        <w:t xml:space="preserve">out the airworthiness review and issues the ARC set out in Appendix IV to this Annex (EASA Form 15c), the </w:t>
      </w:r>
      <w:r w:rsidR="00996D5E">
        <w:rPr>
          <w:rFonts w:ascii="Arial" w:hAnsi="Arial" w:cs="Arial"/>
          <w:sz w:val="20"/>
          <w:szCs w:val="20"/>
        </w:rPr>
        <w:t xml:space="preserve">CAC RA </w:t>
      </w:r>
      <w:r w:rsidRPr="007F5327">
        <w:rPr>
          <w:rFonts w:ascii="Arial" w:hAnsi="Arial" w:cs="Arial"/>
          <w:sz w:val="20"/>
        </w:rPr>
        <w:t>shall carry out an airworthiness review in accordance with point ML.A.903.</w:t>
      </w:r>
      <w:r w:rsidR="00996D5E">
        <w:rPr>
          <w:rFonts w:ascii="Arial" w:hAnsi="Arial" w:cs="Arial"/>
          <w:sz w:val="20"/>
        </w:rPr>
        <w:t xml:space="preserve"> </w:t>
      </w:r>
    </w:p>
    <w:p w14:paraId="2E6AE9BD" w14:textId="4EC1F252" w:rsidR="007F5327" w:rsidRPr="007F5327" w:rsidRDefault="007F5327" w:rsidP="007F5327">
      <w:pPr>
        <w:numPr>
          <w:ilvl w:val="0"/>
          <w:numId w:val="339"/>
        </w:numPr>
        <w:tabs>
          <w:tab w:val="left" w:pos="1273"/>
          <w:tab w:val="left" w:pos="1274"/>
        </w:tabs>
        <w:spacing w:line="276" w:lineRule="auto"/>
        <w:jc w:val="both"/>
        <w:rPr>
          <w:rFonts w:ascii="Arial" w:hAnsi="Arial" w:cs="Arial"/>
          <w:sz w:val="20"/>
        </w:rPr>
      </w:pPr>
      <w:r w:rsidRPr="007F5327">
        <w:rPr>
          <w:rFonts w:ascii="Arial" w:hAnsi="Arial" w:cs="Arial"/>
          <w:sz w:val="20"/>
        </w:rPr>
        <w:t xml:space="preserve">The </w:t>
      </w:r>
      <w:r w:rsidR="00996D5E">
        <w:rPr>
          <w:rFonts w:ascii="Arial" w:hAnsi="Arial" w:cs="Arial"/>
          <w:sz w:val="20"/>
          <w:szCs w:val="20"/>
        </w:rPr>
        <w:t xml:space="preserve">CAC RA </w:t>
      </w:r>
      <w:r w:rsidRPr="007F5327">
        <w:rPr>
          <w:rFonts w:ascii="Arial" w:hAnsi="Arial" w:cs="Arial"/>
          <w:sz w:val="20"/>
        </w:rPr>
        <w:t>shall have appropriate airworthiness review staff to carry out the airworthiness reviews. These staff shall have acquired all of the following:</w:t>
      </w:r>
    </w:p>
    <w:p w14:paraId="5695D146" w14:textId="77777777" w:rsidR="007F5327" w:rsidRPr="007F5327" w:rsidRDefault="007F5327" w:rsidP="007F5327">
      <w:pPr>
        <w:numPr>
          <w:ilvl w:val="1"/>
          <w:numId w:val="339"/>
        </w:numPr>
        <w:tabs>
          <w:tab w:val="left" w:pos="1274"/>
        </w:tabs>
        <w:spacing w:line="276" w:lineRule="auto"/>
        <w:jc w:val="both"/>
        <w:rPr>
          <w:rFonts w:ascii="Arial" w:hAnsi="Arial" w:cs="Arial"/>
          <w:sz w:val="20"/>
        </w:rPr>
      </w:pPr>
      <w:r w:rsidRPr="007F5327">
        <w:rPr>
          <w:rFonts w:ascii="Arial" w:hAnsi="Arial" w:cs="Arial"/>
          <w:sz w:val="20"/>
        </w:rPr>
        <w:t>at least 3 years of experience in continuing airworthiness;</w:t>
      </w:r>
    </w:p>
    <w:p w14:paraId="4C8A4D8F" w14:textId="7482C3BF" w:rsidR="007F5327" w:rsidRPr="007F5327" w:rsidRDefault="007F5327" w:rsidP="007F5327">
      <w:pPr>
        <w:numPr>
          <w:ilvl w:val="1"/>
          <w:numId w:val="339"/>
        </w:numPr>
        <w:tabs>
          <w:tab w:val="left" w:pos="1274"/>
        </w:tabs>
        <w:spacing w:line="276" w:lineRule="auto"/>
        <w:jc w:val="both"/>
        <w:rPr>
          <w:rFonts w:ascii="Arial" w:hAnsi="Arial" w:cs="Arial"/>
          <w:sz w:val="20"/>
        </w:rPr>
      </w:pPr>
      <w:r w:rsidRPr="007F5327">
        <w:rPr>
          <w:rFonts w:ascii="Arial" w:hAnsi="Arial" w:cs="Arial"/>
          <w:sz w:val="20"/>
        </w:rPr>
        <w:t xml:space="preserve">an appropriate licence in compliance with Annex III (Part-66) or a nationally-recognised maintenance personnel qualification appropriate to the aircraft category (when Article 5(6) of </w:t>
      </w:r>
      <w:hyperlink r:id="rId137" w:history="1">
        <w:r w:rsidR="00550407">
          <w:rPr>
            <w:rStyle w:val="Hyperlink"/>
            <w:rFonts w:ascii="Arial" w:hAnsi="Arial" w:cs="Arial"/>
            <w:sz w:val="20"/>
          </w:rPr>
          <w:t>the order N 10-N of the Minister of Territorial Administration and Infrastructure of RA, dated 01.06.2022</w:t>
        </w:r>
      </w:hyperlink>
      <w:r w:rsidR="00550407">
        <w:rPr>
          <w:rFonts w:ascii="Arial" w:hAnsi="Arial" w:cs="Arial"/>
          <w:sz w:val="20"/>
        </w:rPr>
        <w:t xml:space="preserve"> </w:t>
      </w:r>
      <w:r w:rsidRPr="007F5327">
        <w:rPr>
          <w:rFonts w:ascii="Arial" w:hAnsi="Arial" w:cs="Arial"/>
          <w:sz w:val="20"/>
        </w:rPr>
        <w:t>refers to national rules) or an aeronautical degree or equivalent;</w:t>
      </w:r>
    </w:p>
    <w:p w14:paraId="70CE4CB3" w14:textId="77777777" w:rsidR="007F5327" w:rsidRPr="007F5327" w:rsidRDefault="007F5327" w:rsidP="007F5327">
      <w:pPr>
        <w:numPr>
          <w:ilvl w:val="1"/>
          <w:numId w:val="339"/>
        </w:numPr>
        <w:tabs>
          <w:tab w:val="left" w:pos="1274"/>
        </w:tabs>
        <w:spacing w:line="276" w:lineRule="auto"/>
        <w:jc w:val="both"/>
        <w:rPr>
          <w:rFonts w:ascii="Arial" w:hAnsi="Arial" w:cs="Arial"/>
          <w:sz w:val="20"/>
        </w:rPr>
      </w:pPr>
      <w:r w:rsidRPr="007F5327">
        <w:rPr>
          <w:rFonts w:ascii="Arial" w:hAnsi="Arial" w:cs="Arial"/>
          <w:sz w:val="20"/>
        </w:rPr>
        <w:t>an appropriate a</w:t>
      </w:r>
      <w:r w:rsidR="009B6BA2" w:rsidRPr="007F5327">
        <w:rPr>
          <w:rFonts w:ascii="Arial" w:hAnsi="Arial" w:cs="Arial"/>
          <w:sz w:val="20"/>
        </w:rPr>
        <w:t>eronaut</w:t>
      </w:r>
      <w:r w:rsidRPr="007F5327">
        <w:rPr>
          <w:rFonts w:ascii="Arial" w:hAnsi="Arial" w:cs="Arial"/>
          <w:sz w:val="20"/>
        </w:rPr>
        <w:t>ical-maintenance training;</w:t>
      </w:r>
    </w:p>
    <w:p w14:paraId="3561627E" w14:textId="3CEECAF5" w:rsidR="007F5327" w:rsidRPr="007F5327" w:rsidRDefault="007F5327" w:rsidP="007F5327">
      <w:pPr>
        <w:numPr>
          <w:ilvl w:val="1"/>
          <w:numId w:val="339"/>
        </w:numPr>
        <w:tabs>
          <w:tab w:val="left" w:pos="1274"/>
        </w:tabs>
        <w:spacing w:line="276" w:lineRule="auto"/>
        <w:jc w:val="both"/>
        <w:rPr>
          <w:rFonts w:ascii="Arial" w:hAnsi="Arial" w:cs="Arial"/>
          <w:sz w:val="20"/>
        </w:rPr>
      </w:pPr>
      <w:r w:rsidRPr="007F5327">
        <w:rPr>
          <w:rFonts w:ascii="Arial" w:hAnsi="Arial" w:cs="Arial"/>
          <w:sz w:val="20"/>
        </w:rPr>
        <w:t xml:space="preserve">a position that authorises that person to sign on behalf of the </w:t>
      </w:r>
      <w:r w:rsidR="00996D5E">
        <w:rPr>
          <w:rFonts w:ascii="Arial" w:hAnsi="Arial" w:cs="Arial"/>
          <w:sz w:val="20"/>
          <w:szCs w:val="20"/>
        </w:rPr>
        <w:t>CAC RA</w:t>
      </w:r>
      <w:r w:rsidRPr="007F5327">
        <w:rPr>
          <w:rFonts w:ascii="Arial" w:hAnsi="Arial" w:cs="Arial"/>
          <w:sz w:val="20"/>
        </w:rPr>
        <w:t>.</w:t>
      </w:r>
    </w:p>
    <w:p w14:paraId="740C522A" w14:textId="77777777" w:rsidR="007F5327" w:rsidRPr="007F5327" w:rsidRDefault="007F5327" w:rsidP="007F5327">
      <w:pPr>
        <w:tabs>
          <w:tab w:val="left" w:pos="1273"/>
          <w:tab w:val="left" w:pos="1274"/>
        </w:tabs>
        <w:spacing w:line="276" w:lineRule="auto"/>
        <w:ind w:left="720"/>
        <w:jc w:val="both"/>
        <w:rPr>
          <w:rFonts w:ascii="Arial" w:hAnsi="Arial" w:cs="Arial"/>
          <w:sz w:val="20"/>
        </w:rPr>
      </w:pPr>
      <w:r w:rsidRPr="007F5327">
        <w:rPr>
          <w:rFonts w:ascii="Arial" w:hAnsi="Arial" w:cs="Arial"/>
          <w:sz w:val="20"/>
        </w:rPr>
        <w:t>Notwithstanding points (1) to (4), the requirement of point ML.B.902(b)(2) may be replaced by 4 years of experience in continuing airworthiness, in addition to those already required by point ML.B.902(b)(1).</w:t>
      </w:r>
    </w:p>
    <w:p w14:paraId="17B8FFA9" w14:textId="116FFFC3" w:rsidR="007F5327" w:rsidRPr="007F5327" w:rsidRDefault="007F5327" w:rsidP="007F5327">
      <w:pPr>
        <w:numPr>
          <w:ilvl w:val="0"/>
          <w:numId w:val="339"/>
        </w:numPr>
        <w:tabs>
          <w:tab w:val="left" w:pos="1273"/>
          <w:tab w:val="left" w:pos="1274"/>
        </w:tabs>
        <w:spacing w:line="276" w:lineRule="auto"/>
        <w:jc w:val="both"/>
        <w:rPr>
          <w:rFonts w:ascii="Arial" w:hAnsi="Arial" w:cs="Arial"/>
          <w:sz w:val="20"/>
        </w:rPr>
      </w:pPr>
      <w:r w:rsidRPr="007F5327">
        <w:rPr>
          <w:rFonts w:ascii="Arial" w:hAnsi="Arial" w:cs="Arial"/>
          <w:sz w:val="20"/>
        </w:rPr>
        <w:t xml:space="preserve">The </w:t>
      </w:r>
      <w:r w:rsidR="00996D5E">
        <w:rPr>
          <w:rFonts w:ascii="Arial" w:hAnsi="Arial" w:cs="Arial"/>
          <w:sz w:val="20"/>
          <w:szCs w:val="20"/>
        </w:rPr>
        <w:t xml:space="preserve">CAC RA </w:t>
      </w:r>
      <w:r w:rsidRPr="007F5327">
        <w:rPr>
          <w:rFonts w:ascii="Arial" w:hAnsi="Arial" w:cs="Arial"/>
          <w:sz w:val="20"/>
        </w:rPr>
        <w:t>shall maintain a record of all airworthiness review staff, which shall include details of any appropriate qualification held together with a summary of relevant continuing airworthiness management experience and training.</w:t>
      </w:r>
    </w:p>
    <w:p w14:paraId="2F34A72D" w14:textId="6974BE33" w:rsidR="007F5327" w:rsidRPr="007F5327" w:rsidRDefault="007F5327" w:rsidP="007F5327">
      <w:pPr>
        <w:numPr>
          <w:ilvl w:val="0"/>
          <w:numId w:val="339"/>
        </w:numPr>
        <w:tabs>
          <w:tab w:val="left" w:pos="1273"/>
          <w:tab w:val="left" w:pos="1274"/>
        </w:tabs>
        <w:spacing w:line="276" w:lineRule="auto"/>
        <w:jc w:val="both"/>
        <w:rPr>
          <w:rFonts w:ascii="Arial" w:hAnsi="Arial" w:cs="Arial"/>
          <w:sz w:val="20"/>
        </w:rPr>
      </w:pPr>
      <w:r w:rsidRPr="007F5327">
        <w:rPr>
          <w:rFonts w:ascii="Arial" w:hAnsi="Arial" w:cs="Arial"/>
          <w:sz w:val="20"/>
        </w:rPr>
        <w:t xml:space="preserve">During the performance of the airworthiness review, the </w:t>
      </w:r>
      <w:r w:rsidR="00996D5E">
        <w:rPr>
          <w:rFonts w:ascii="Arial" w:hAnsi="Arial" w:cs="Arial"/>
          <w:sz w:val="20"/>
          <w:szCs w:val="20"/>
        </w:rPr>
        <w:t xml:space="preserve">CAC RA </w:t>
      </w:r>
      <w:r w:rsidRPr="007F5327">
        <w:rPr>
          <w:rFonts w:ascii="Arial" w:hAnsi="Arial" w:cs="Arial"/>
          <w:sz w:val="20"/>
        </w:rPr>
        <w:t>shall have access to the applicable data as specified in points ML.A.305 and ML.A.401.</w:t>
      </w:r>
    </w:p>
    <w:p w14:paraId="11FE2658" w14:textId="77777777" w:rsidR="007F5327" w:rsidRPr="007F5327" w:rsidRDefault="007F5327" w:rsidP="007F5327">
      <w:pPr>
        <w:numPr>
          <w:ilvl w:val="0"/>
          <w:numId w:val="339"/>
        </w:numPr>
        <w:tabs>
          <w:tab w:val="left" w:pos="1273"/>
          <w:tab w:val="left" w:pos="1274"/>
        </w:tabs>
        <w:spacing w:line="276" w:lineRule="auto"/>
        <w:jc w:val="both"/>
        <w:rPr>
          <w:rFonts w:ascii="Arial" w:hAnsi="Arial" w:cs="Arial"/>
          <w:sz w:val="20"/>
        </w:rPr>
      </w:pPr>
      <w:r w:rsidRPr="007F5327">
        <w:rPr>
          <w:rFonts w:ascii="Arial" w:hAnsi="Arial" w:cs="Arial"/>
          <w:sz w:val="20"/>
        </w:rPr>
        <w:t>The staff that carries out the airworthiness review shall issue an airworthiness review certificate (EASA Form 15c), as set out in Appendix IV, after satisfactory completion of the airworthiness review.</w:t>
      </w:r>
    </w:p>
    <w:p w14:paraId="5E11ABE6" w14:textId="07704801" w:rsidR="007F5327" w:rsidRPr="007F5327" w:rsidRDefault="007F5327" w:rsidP="007F5327">
      <w:pPr>
        <w:numPr>
          <w:ilvl w:val="0"/>
          <w:numId w:val="339"/>
        </w:numPr>
        <w:tabs>
          <w:tab w:val="left" w:pos="1273"/>
          <w:tab w:val="left" w:pos="1274"/>
        </w:tabs>
        <w:spacing w:line="276" w:lineRule="auto"/>
        <w:jc w:val="both"/>
        <w:rPr>
          <w:rFonts w:ascii="Arial" w:hAnsi="Arial" w:cs="Arial"/>
          <w:sz w:val="20"/>
        </w:rPr>
      </w:pPr>
      <w:r w:rsidRPr="007F5327">
        <w:rPr>
          <w:rFonts w:ascii="Arial" w:hAnsi="Arial" w:cs="Arial"/>
          <w:sz w:val="20"/>
        </w:rPr>
        <w:t xml:space="preserve">Whenever circumstances reveal the existence of a potential safety threat, the </w:t>
      </w:r>
      <w:r w:rsidR="00996D5E">
        <w:rPr>
          <w:rFonts w:ascii="Arial" w:hAnsi="Arial" w:cs="Arial"/>
          <w:sz w:val="20"/>
          <w:szCs w:val="20"/>
        </w:rPr>
        <w:t xml:space="preserve">CAC RA </w:t>
      </w:r>
      <w:r w:rsidRPr="007F5327">
        <w:rPr>
          <w:rFonts w:ascii="Arial" w:hAnsi="Arial" w:cs="Arial"/>
          <w:sz w:val="20"/>
        </w:rPr>
        <w:t>shall carry out the airworthiness review and issue the ARC itself.</w:t>
      </w:r>
    </w:p>
    <w:p w14:paraId="66FC7DA7" w14:textId="77777777" w:rsidR="008D10FC" w:rsidRPr="008D10FC" w:rsidRDefault="008D10FC" w:rsidP="008D10FC">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968" w:name="ML.B.903_Findings"/>
      <w:bookmarkStart w:id="969" w:name="_bookmark413"/>
      <w:bookmarkStart w:id="970" w:name="_Toc153137578"/>
      <w:bookmarkEnd w:id="968"/>
      <w:bookmarkEnd w:id="969"/>
      <w:r w:rsidRPr="008D10FC">
        <w:rPr>
          <w:rFonts w:ascii="Arial" w:eastAsia="Times New Roman" w:hAnsi="Arial" w:cs="Times New Roman"/>
          <w:b/>
          <w:iCs/>
          <w:color w:val="FFFFFF"/>
          <w:sz w:val="24"/>
        </w:rPr>
        <w:t>ML.B.903 Findings</w:t>
      </w:r>
      <w:bookmarkEnd w:id="970"/>
    </w:p>
    <w:p w14:paraId="7F6D6D78" w14:textId="546D7FB9" w:rsidR="008D10FC" w:rsidRPr="008D10FC" w:rsidRDefault="008D10FC" w:rsidP="008D10FC">
      <w:pPr>
        <w:tabs>
          <w:tab w:val="left" w:pos="1273"/>
          <w:tab w:val="left" w:pos="1274"/>
        </w:tabs>
        <w:spacing w:line="276" w:lineRule="auto"/>
        <w:jc w:val="both"/>
        <w:rPr>
          <w:rFonts w:ascii="Arial" w:hAnsi="Arial" w:cs="Arial"/>
          <w:sz w:val="20"/>
        </w:rPr>
      </w:pPr>
      <w:r w:rsidRPr="008D10FC">
        <w:rPr>
          <w:rFonts w:ascii="Arial" w:hAnsi="Arial" w:cs="Arial"/>
          <w:sz w:val="20"/>
        </w:rPr>
        <w:t xml:space="preserve">If during aircraft surveys or by other means, evidence is found showing non-compliance with requirements of this Annex, the </w:t>
      </w:r>
      <w:r w:rsidR="00996D5E">
        <w:rPr>
          <w:rFonts w:ascii="Arial" w:hAnsi="Arial" w:cs="Arial"/>
          <w:sz w:val="20"/>
          <w:szCs w:val="20"/>
        </w:rPr>
        <w:t xml:space="preserve">CAC RA </w:t>
      </w:r>
      <w:r w:rsidRPr="008D10FC">
        <w:rPr>
          <w:rFonts w:ascii="Arial" w:hAnsi="Arial" w:cs="Arial"/>
          <w:sz w:val="20"/>
        </w:rPr>
        <w:t>shall:</w:t>
      </w:r>
    </w:p>
    <w:p w14:paraId="240D93D3" w14:textId="77777777" w:rsidR="008D10FC" w:rsidRPr="008D10FC" w:rsidRDefault="008D10FC" w:rsidP="008D10FC">
      <w:pPr>
        <w:numPr>
          <w:ilvl w:val="0"/>
          <w:numId w:val="340"/>
        </w:numPr>
        <w:tabs>
          <w:tab w:val="left" w:pos="1273"/>
          <w:tab w:val="left" w:pos="1274"/>
        </w:tabs>
        <w:spacing w:line="276" w:lineRule="auto"/>
        <w:jc w:val="both"/>
        <w:rPr>
          <w:rFonts w:ascii="Arial" w:hAnsi="Arial" w:cs="Arial"/>
          <w:sz w:val="20"/>
        </w:rPr>
      </w:pPr>
      <w:r w:rsidRPr="008D10FC">
        <w:rPr>
          <w:rFonts w:ascii="Arial" w:hAnsi="Arial" w:cs="Arial"/>
          <w:sz w:val="20"/>
        </w:rPr>
        <w:t>for Level 1 findings, require appropriate corrective action to be taken before further flight, and immediately revoke or suspend the ARC; and</w:t>
      </w:r>
    </w:p>
    <w:p w14:paraId="37ECC99D" w14:textId="77777777" w:rsidR="008D10FC" w:rsidRPr="008D10FC" w:rsidRDefault="008D10FC" w:rsidP="008D10FC">
      <w:pPr>
        <w:numPr>
          <w:ilvl w:val="0"/>
          <w:numId w:val="340"/>
        </w:numPr>
        <w:tabs>
          <w:tab w:val="left" w:pos="1273"/>
          <w:tab w:val="left" w:pos="1274"/>
        </w:tabs>
        <w:spacing w:line="276" w:lineRule="auto"/>
        <w:jc w:val="both"/>
        <w:rPr>
          <w:rFonts w:ascii="Arial" w:hAnsi="Arial" w:cs="Arial"/>
          <w:sz w:val="20"/>
        </w:rPr>
      </w:pPr>
      <w:r w:rsidRPr="008D10FC">
        <w:rPr>
          <w:rFonts w:ascii="Arial" w:hAnsi="Arial" w:cs="Arial"/>
          <w:sz w:val="20"/>
        </w:rPr>
        <w:t>for Level 2 findings, impose the corrective action appropriate to the nature of the finding.</w:t>
      </w:r>
    </w:p>
    <w:p w14:paraId="11FF5C36" w14:textId="77777777" w:rsidR="004F781C" w:rsidRDefault="004F781C" w:rsidP="007F5327">
      <w:pPr>
        <w:tabs>
          <w:tab w:val="left" w:pos="1273"/>
          <w:tab w:val="left" w:pos="1274"/>
        </w:tabs>
        <w:spacing w:line="276" w:lineRule="auto"/>
        <w:jc w:val="both"/>
        <w:rPr>
          <w:rFonts w:ascii="Arial" w:hAnsi="Arial" w:cs="Arial"/>
          <w:sz w:val="20"/>
        </w:rPr>
      </w:pPr>
    </w:p>
    <w:p w14:paraId="0C8144BC" w14:textId="77777777" w:rsidR="008D10FC" w:rsidRDefault="008D10FC" w:rsidP="007F5327">
      <w:pPr>
        <w:tabs>
          <w:tab w:val="left" w:pos="1273"/>
          <w:tab w:val="left" w:pos="1274"/>
        </w:tabs>
        <w:spacing w:line="276" w:lineRule="auto"/>
        <w:jc w:val="both"/>
        <w:rPr>
          <w:rFonts w:ascii="Arial" w:hAnsi="Arial" w:cs="Arial"/>
          <w:sz w:val="20"/>
        </w:rPr>
      </w:pPr>
    </w:p>
    <w:p w14:paraId="56368DDA" w14:textId="77777777" w:rsidR="008D10FC" w:rsidRDefault="008D10FC" w:rsidP="007F5327">
      <w:pPr>
        <w:tabs>
          <w:tab w:val="left" w:pos="1273"/>
          <w:tab w:val="left" w:pos="1274"/>
        </w:tabs>
        <w:spacing w:line="276" w:lineRule="auto"/>
        <w:jc w:val="both"/>
        <w:rPr>
          <w:rFonts w:ascii="Arial" w:hAnsi="Arial" w:cs="Arial"/>
          <w:sz w:val="20"/>
        </w:rPr>
      </w:pPr>
    </w:p>
    <w:p w14:paraId="05ECCED2" w14:textId="77777777" w:rsidR="008D10FC" w:rsidRDefault="008D10FC" w:rsidP="007F5327">
      <w:pPr>
        <w:tabs>
          <w:tab w:val="left" w:pos="1273"/>
          <w:tab w:val="left" w:pos="1274"/>
        </w:tabs>
        <w:spacing w:line="276" w:lineRule="auto"/>
        <w:jc w:val="both"/>
        <w:rPr>
          <w:rFonts w:ascii="Arial" w:hAnsi="Arial" w:cs="Arial"/>
          <w:sz w:val="20"/>
        </w:rPr>
      </w:pPr>
    </w:p>
    <w:p w14:paraId="68C713F8" w14:textId="77777777" w:rsidR="008D10FC" w:rsidRDefault="008D10FC" w:rsidP="007F5327">
      <w:pPr>
        <w:tabs>
          <w:tab w:val="left" w:pos="1273"/>
          <w:tab w:val="left" w:pos="1274"/>
        </w:tabs>
        <w:spacing w:line="276" w:lineRule="auto"/>
        <w:jc w:val="both"/>
        <w:rPr>
          <w:rFonts w:ascii="Arial" w:hAnsi="Arial" w:cs="Arial"/>
          <w:sz w:val="20"/>
        </w:rPr>
      </w:pPr>
    </w:p>
    <w:p w14:paraId="38560E73" w14:textId="77777777" w:rsidR="008D10FC" w:rsidRDefault="008D10FC" w:rsidP="007F5327">
      <w:pPr>
        <w:tabs>
          <w:tab w:val="left" w:pos="1273"/>
          <w:tab w:val="left" w:pos="1274"/>
        </w:tabs>
        <w:spacing w:line="276" w:lineRule="auto"/>
        <w:jc w:val="both"/>
        <w:rPr>
          <w:rFonts w:ascii="Arial" w:hAnsi="Arial" w:cs="Arial"/>
          <w:sz w:val="20"/>
        </w:rPr>
      </w:pPr>
    </w:p>
    <w:p w14:paraId="58752732" w14:textId="77777777" w:rsidR="008D10FC" w:rsidRDefault="008D10FC" w:rsidP="007F5327">
      <w:pPr>
        <w:tabs>
          <w:tab w:val="left" w:pos="1273"/>
          <w:tab w:val="left" w:pos="1274"/>
        </w:tabs>
        <w:spacing w:line="276" w:lineRule="auto"/>
        <w:jc w:val="both"/>
        <w:rPr>
          <w:rFonts w:ascii="Arial" w:hAnsi="Arial" w:cs="Arial"/>
          <w:sz w:val="20"/>
        </w:rPr>
      </w:pPr>
    </w:p>
    <w:p w14:paraId="216D85B4" w14:textId="77777777" w:rsidR="008D10FC" w:rsidRDefault="008D10FC" w:rsidP="007F5327">
      <w:pPr>
        <w:tabs>
          <w:tab w:val="left" w:pos="1273"/>
          <w:tab w:val="left" w:pos="1274"/>
        </w:tabs>
        <w:spacing w:line="276" w:lineRule="auto"/>
        <w:jc w:val="both"/>
        <w:rPr>
          <w:rFonts w:ascii="Arial" w:hAnsi="Arial" w:cs="Arial"/>
          <w:sz w:val="20"/>
        </w:rPr>
      </w:pPr>
    </w:p>
    <w:p w14:paraId="01AF0A62" w14:textId="77777777" w:rsidR="008D10FC" w:rsidRDefault="008D10FC" w:rsidP="007F5327">
      <w:pPr>
        <w:tabs>
          <w:tab w:val="left" w:pos="1273"/>
          <w:tab w:val="left" w:pos="1274"/>
        </w:tabs>
        <w:spacing w:line="276" w:lineRule="auto"/>
        <w:jc w:val="both"/>
        <w:rPr>
          <w:rFonts w:ascii="Arial" w:hAnsi="Arial" w:cs="Arial"/>
          <w:sz w:val="20"/>
        </w:rPr>
      </w:pPr>
    </w:p>
    <w:p w14:paraId="332E09B9" w14:textId="77777777" w:rsidR="008D10FC" w:rsidRDefault="008D10FC" w:rsidP="007F5327">
      <w:pPr>
        <w:tabs>
          <w:tab w:val="left" w:pos="1273"/>
          <w:tab w:val="left" w:pos="1274"/>
        </w:tabs>
        <w:spacing w:line="276" w:lineRule="auto"/>
        <w:jc w:val="both"/>
        <w:rPr>
          <w:rFonts w:ascii="Arial" w:hAnsi="Arial" w:cs="Arial"/>
          <w:sz w:val="20"/>
        </w:rPr>
      </w:pPr>
    </w:p>
    <w:p w14:paraId="0837D9ED" w14:textId="77777777" w:rsidR="008D10FC" w:rsidRDefault="008D10FC" w:rsidP="007F5327">
      <w:pPr>
        <w:tabs>
          <w:tab w:val="left" w:pos="1273"/>
          <w:tab w:val="left" w:pos="1274"/>
        </w:tabs>
        <w:spacing w:line="276" w:lineRule="auto"/>
        <w:jc w:val="both"/>
        <w:rPr>
          <w:rFonts w:ascii="Arial" w:hAnsi="Arial" w:cs="Arial"/>
          <w:sz w:val="20"/>
        </w:rPr>
      </w:pPr>
    </w:p>
    <w:p w14:paraId="61B009CD" w14:textId="77777777" w:rsidR="008D10FC" w:rsidRDefault="008D10FC" w:rsidP="007F5327">
      <w:pPr>
        <w:tabs>
          <w:tab w:val="left" w:pos="1273"/>
          <w:tab w:val="left" w:pos="1274"/>
        </w:tabs>
        <w:spacing w:line="276" w:lineRule="auto"/>
        <w:jc w:val="both"/>
        <w:rPr>
          <w:rFonts w:ascii="Arial" w:hAnsi="Arial" w:cs="Arial"/>
          <w:sz w:val="20"/>
        </w:rPr>
      </w:pPr>
    </w:p>
    <w:p w14:paraId="3974D9DC" w14:textId="77777777" w:rsidR="008D10FC" w:rsidRDefault="008D10FC" w:rsidP="007F5327">
      <w:pPr>
        <w:tabs>
          <w:tab w:val="left" w:pos="1273"/>
          <w:tab w:val="left" w:pos="1274"/>
        </w:tabs>
        <w:spacing w:line="276" w:lineRule="auto"/>
        <w:jc w:val="both"/>
        <w:rPr>
          <w:rFonts w:ascii="Arial" w:hAnsi="Arial" w:cs="Arial"/>
          <w:sz w:val="20"/>
        </w:rPr>
      </w:pPr>
    </w:p>
    <w:p w14:paraId="52D6A556" w14:textId="77777777" w:rsidR="008D10FC" w:rsidRDefault="008D10FC" w:rsidP="007F5327">
      <w:pPr>
        <w:tabs>
          <w:tab w:val="left" w:pos="1273"/>
          <w:tab w:val="left" w:pos="1274"/>
        </w:tabs>
        <w:spacing w:line="276" w:lineRule="auto"/>
        <w:jc w:val="both"/>
        <w:rPr>
          <w:rFonts w:ascii="Arial" w:hAnsi="Arial" w:cs="Arial"/>
          <w:sz w:val="20"/>
        </w:rPr>
      </w:pPr>
    </w:p>
    <w:p w14:paraId="0F91BAF9" w14:textId="77777777" w:rsidR="008D10FC" w:rsidRDefault="008D10FC" w:rsidP="007F5327">
      <w:pPr>
        <w:tabs>
          <w:tab w:val="left" w:pos="1273"/>
          <w:tab w:val="left" w:pos="1274"/>
        </w:tabs>
        <w:spacing w:line="276" w:lineRule="auto"/>
        <w:jc w:val="both"/>
        <w:rPr>
          <w:rFonts w:ascii="Arial" w:hAnsi="Arial" w:cs="Arial"/>
          <w:sz w:val="20"/>
        </w:rPr>
      </w:pPr>
    </w:p>
    <w:p w14:paraId="64BE970E" w14:textId="77777777" w:rsidR="008D10FC" w:rsidRDefault="008D10FC" w:rsidP="007F5327">
      <w:pPr>
        <w:tabs>
          <w:tab w:val="left" w:pos="1273"/>
          <w:tab w:val="left" w:pos="1274"/>
        </w:tabs>
        <w:spacing w:line="276" w:lineRule="auto"/>
        <w:jc w:val="both"/>
        <w:rPr>
          <w:rFonts w:ascii="Arial" w:hAnsi="Arial" w:cs="Arial"/>
          <w:sz w:val="20"/>
        </w:rPr>
      </w:pPr>
    </w:p>
    <w:p w14:paraId="7EB5E18D" w14:textId="77777777" w:rsidR="008D10FC" w:rsidRDefault="008D10FC" w:rsidP="007F5327">
      <w:pPr>
        <w:tabs>
          <w:tab w:val="left" w:pos="1273"/>
          <w:tab w:val="left" w:pos="1274"/>
        </w:tabs>
        <w:spacing w:line="276" w:lineRule="auto"/>
        <w:jc w:val="both"/>
        <w:rPr>
          <w:rFonts w:ascii="Arial" w:hAnsi="Arial" w:cs="Arial"/>
          <w:sz w:val="20"/>
        </w:rPr>
      </w:pPr>
    </w:p>
    <w:p w14:paraId="229AECE3" w14:textId="77777777" w:rsidR="008D10FC" w:rsidRDefault="008D10FC" w:rsidP="007F5327">
      <w:pPr>
        <w:tabs>
          <w:tab w:val="left" w:pos="1273"/>
          <w:tab w:val="left" w:pos="1274"/>
        </w:tabs>
        <w:spacing w:line="276" w:lineRule="auto"/>
        <w:jc w:val="both"/>
        <w:rPr>
          <w:rFonts w:ascii="Arial" w:hAnsi="Arial" w:cs="Arial"/>
          <w:sz w:val="20"/>
        </w:rPr>
      </w:pPr>
    </w:p>
    <w:p w14:paraId="2C7E9450" w14:textId="77777777" w:rsidR="008D10FC" w:rsidRPr="008D10FC" w:rsidRDefault="008D10FC" w:rsidP="008D10FC">
      <w:pPr>
        <w:keepNext/>
        <w:keepLines/>
        <w:widowControl/>
        <w:autoSpaceDE/>
        <w:autoSpaceDN/>
        <w:spacing w:before="40" w:line="276" w:lineRule="auto"/>
        <w:jc w:val="center"/>
        <w:outlineLvl w:val="2"/>
        <w:rPr>
          <w:rFonts w:ascii="Arial" w:eastAsiaTheme="majorEastAsia" w:hAnsi="Arial" w:cs="Arial"/>
          <w:b/>
          <w:color w:val="00B0F0"/>
          <w:sz w:val="24"/>
          <w:szCs w:val="24"/>
        </w:rPr>
      </w:pPr>
      <w:bookmarkStart w:id="971" w:name="_Toc153137579"/>
      <w:r w:rsidRPr="008D10FC">
        <w:rPr>
          <w:rFonts w:ascii="Arial" w:eastAsiaTheme="majorEastAsia" w:hAnsi="Arial" w:cs="Arial"/>
          <w:b/>
          <w:color w:val="00B0F0"/>
          <w:sz w:val="24"/>
          <w:szCs w:val="24"/>
        </w:rPr>
        <w:lastRenderedPageBreak/>
        <w:t>APPENDICES TO ANNEX VB (PART-ML)</w:t>
      </w:r>
      <w:bookmarkEnd w:id="971"/>
    </w:p>
    <w:p w14:paraId="0F0C7E5B" w14:textId="77777777" w:rsidR="002C3ADC" w:rsidRPr="002C3ADC" w:rsidRDefault="002C3ADC" w:rsidP="002C3ADC">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972" w:name="_Toc153137580"/>
      <w:r w:rsidRPr="002C3ADC">
        <w:rPr>
          <w:rFonts w:ascii="Arial" w:eastAsia="Times New Roman" w:hAnsi="Arial" w:cs="Times New Roman"/>
          <w:b/>
          <w:iCs/>
          <w:color w:val="FFFFFF"/>
          <w:sz w:val="24"/>
        </w:rPr>
        <w:t>Appendix I — Continuing-airworthiness management contract</w:t>
      </w:r>
      <w:bookmarkEnd w:id="972"/>
      <w:r w:rsidRPr="002C3ADC">
        <w:rPr>
          <w:rFonts w:ascii="Arial" w:eastAsia="Times New Roman" w:hAnsi="Arial" w:cs="Times New Roman"/>
          <w:b/>
          <w:iCs/>
          <w:color w:val="FFFFFF"/>
          <w:sz w:val="24"/>
        </w:rPr>
        <w:tab/>
      </w:r>
    </w:p>
    <w:p w14:paraId="6D5832DC" w14:textId="3F20DA5E" w:rsidR="002C3ADC" w:rsidRPr="002C3ADC" w:rsidRDefault="002C3ADC" w:rsidP="003B5604">
      <w:pPr>
        <w:numPr>
          <w:ilvl w:val="0"/>
          <w:numId w:val="341"/>
        </w:numPr>
        <w:tabs>
          <w:tab w:val="left" w:pos="1273"/>
          <w:tab w:val="left" w:pos="1274"/>
        </w:tabs>
        <w:spacing w:line="276" w:lineRule="auto"/>
        <w:jc w:val="both"/>
        <w:rPr>
          <w:rFonts w:ascii="Arial" w:hAnsi="Arial" w:cs="Arial"/>
          <w:sz w:val="20"/>
          <w:szCs w:val="20"/>
        </w:rPr>
      </w:pPr>
      <w:r w:rsidRPr="002C3ADC">
        <w:rPr>
          <w:rFonts w:ascii="Arial" w:hAnsi="Arial" w:cs="Arial"/>
          <w:sz w:val="20"/>
          <w:szCs w:val="20"/>
        </w:rPr>
        <w:t xml:space="preserve">When an owner contracts in accordance with point ML.A.201 a CAMO or CAO to carry out continuing airworthiness management tasks, upon request by the </w:t>
      </w:r>
      <w:r w:rsidR="00996D5E">
        <w:rPr>
          <w:rFonts w:ascii="Arial" w:hAnsi="Arial" w:cs="Arial"/>
          <w:sz w:val="20"/>
          <w:szCs w:val="20"/>
        </w:rPr>
        <w:t>CAC RA</w:t>
      </w:r>
      <w:r w:rsidRPr="002C3ADC">
        <w:rPr>
          <w:rFonts w:ascii="Arial" w:hAnsi="Arial" w:cs="Arial"/>
          <w:sz w:val="20"/>
          <w:szCs w:val="20"/>
        </w:rPr>
        <w:t xml:space="preserve">, a copy of the contract signed by both parties shall be sent by </w:t>
      </w:r>
      <w:r w:rsidR="00996D5E">
        <w:rPr>
          <w:rFonts w:ascii="Arial" w:hAnsi="Arial" w:cs="Arial"/>
          <w:sz w:val="20"/>
          <w:szCs w:val="20"/>
        </w:rPr>
        <w:t xml:space="preserve">CAC RA </w:t>
      </w:r>
      <w:r w:rsidRPr="002C3ADC">
        <w:rPr>
          <w:rFonts w:ascii="Arial" w:hAnsi="Arial" w:cs="Arial"/>
          <w:sz w:val="20"/>
          <w:szCs w:val="20"/>
        </w:rPr>
        <w:t>of registry.</w:t>
      </w:r>
      <w:r w:rsidR="00996D5E">
        <w:rPr>
          <w:rFonts w:ascii="Arial" w:hAnsi="Arial" w:cs="Arial"/>
          <w:sz w:val="20"/>
          <w:szCs w:val="20"/>
        </w:rPr>
        <w:t xml:space="preserve"> </w:t>
      </w:r>
    </w:p>
    <w:p w14:paraId="6BA41EE6" w14:textId="77777777" w:rsidR="002C3ADC" w:rsidRPr="002C3ADC" w:rsidRDefault="002C3ADC" w:rsidP="003B5604">
      <w:pPr>
        <w:numPr>
          <w:ilvl w:val="0"/>
          <w:numId w:val="341"/>
        </w:numPr>
        <w:tabs>
          <w:tab w:val="left" w:pos="1273"/>
          <w:tab w:val="left" w:pos="1274"/>
        </w:tabs>
        <w:spacing w:line="276" w:lineRule="auto"/>
        <w:jc w:val="both"/>
        <w:rPr>
          <w:rFonts w:ascii="Arial" w:hAnsi="Arial" w:cs="Arial"/>
          <w:sz w:val="20"/>
          <w:szCs w:val="20"/>
        </w:rPr>
      </w:pPr>
      <w:r w:rsidRPr="002C3ADC">
        <w:rPr>
          <w:rFonts w:ascii="Arial" w:hAnsi="Arial" w:cs="Arial"/>
          <w:sz w:val="20"/>
          <w:szCs w:val="20"/>
        </w:rPr>
        <w:t>The contract shall be developed taking into account the requirements of this Annex and shall define the obligations of the signatories in relation to the continuing airworthiness of the aircraft.</w:t>
      </w:r>
    </w:p>
    <w:p w14:paraId="12425CDC" w14:textId="77777777" w:rsidR="002C3ADC" w:rsidRPr="002C3ADC" w:rsidRDefault="002C3ADC" w:rsidP="003B5604">
      <w:pPr>
        <w:numPr>
          <w:ilvl w:val="0"/>
          <w:numId w:val="341"/>
        </w:numPr>
        <w:tabs>
          <w:tab w:val="left" w:pos="1273"/>
          <w:tab w:val="left" w:pos="1274"/>
        </w:tabs>
        <w:spacing w:line="276" w:lineRule="auto"/>
        <w:jc w:val="both"/>
        <w:rPr>
          <w:rFonts w:ascii="Arial" w:hAnsi="Arial" w:cs="Arial"/>
          <w:sz w:val="20"/>
          <w:szCs w:val="20"/>
        </w:rPr>
      </w:pPr>
      <w:r w:rsidRPr="002C3ADC">
        <w:rPr>
          <w:rFonts w:ascii="Arial" w:hAnsi="Arial" w:cs="Arial"/>
          <w:sz w:val="20"/>
          <w:szCs w:val="20"/>
        </w:rPr>
        <w:t>It shall contain, as a minimum the following information:</w:t>
      </w:r>
    </w:p>
    <w:p w14:paraId="16F12EC7" w14:textId="77777777" w:rsidR="002C3ADC" w:rsidRPr="002C3ADC" w:rsidRDefault="002C3ADC" w:rsidP="003B5604">
      <w:pPr>
        <w:numPr>
          <w:ilvl w:val="1"/>
          <w:numId w:val="341"/>
        </w:numPr>
        <w:spacing w:line="276" w:lineRule="auto"/>
        <w:jc w:val="both"/>
        <w:rPr>
          <w:rFonts w:ascii="Arial" w:hAnsi="Arial" w:cs="Arial"/>
          <w:sz w:val="20"/>
          <w:szCs w:val="20"/>
        </w:rPr>
      </w:pPr>
      <w:r w:rsidRPr="002C3ADC">
        <w:rPr>
          <w:rFonts w:ascii="Arial" w:hAnsi="Arial" w:cs="Arial"/>
          <w:sz w:val="20"/>
          <w:szCs w:val="20"/>
        </w:rPr>
        <w:t>the aircraft registration, type and serial number;</w:t>
      </w:r>
    </w:p>
    <w:p w14:paraId="3D9C4D61" w14:textId="77777777" w:rsidR="002C3ADC" w:rsidRPr="002C3ADC" w:rsidRDefault="002C3ADC" w:rsidP="003B5604">
      <w:pPr>
        <w:numPr>
          <w:ilvl w:val="1"/>
          <w:numId w:val="341"/>
        </w:numPr>
        <w:spacing w:line="276" w:lineRule="auto"/>
        <w:jc w:val="both"/>
        <w:rPr>
          <w:rFonts w:ascii="Arial" w:hAnsi="Arial" w:cs="Arial"/>
          <w:sz w:val="20"/>
          <w:szCs w:val="20"/>
        </w:rPr>
      </w:pPr>
      <w:r w:rsidRPr="002C3ADC">
        <w:rPr>
          <w:rFonts w:ascii="Arial" w:hAnsi="Arial" w:cs="Arial"/>
          <w:sz w:val="20"/>
          <w:szCs w:val="20"/>
        </w:rPr>
        <w:t>the aircraft owner’s or registered lessee’s name or company details including the address;</w:t>
      </w:r>
    </w:p>
    <w:p w14:paraId="305147D9" w14:textId="77777777" w:rsidR="002C3ADC" w:rsidRPr="002C3ADC" w:rsidRDefault="002C3ADC" w:rsidP="003B5604">
      <w:pPr>
        <w:numPr>
          <w:ilvl w:val="1"/>
          <w:numId w:val="341"/>
        </w:numPr>
        <w:spacing w:line="276" w:lineRule="auto"/>
        <w:jc w:val="both"/>
        <w:rPr>
          <w:rFonts w:ascii="Arial" w:hAnsi="Arial" w:cs="Arial"/>
          <w:sz w:val="20"/>
          <w:szCs w:val="20"/>
        </w:rPr>
      </w:pPr>
      <w:r w:rsidRPr="002C3ADC">
        <w:rPr>
          <w:rFonts w:ascii="Arial" w:hAnsi="Arial" w:cs="Arial"/>
          <w:sz w:val="20"/>
          <w:szCs w:val="20"/>
        </w:rPr>
        <w:t>details of the contracted CAMO or CAO, including the address;</w:t>
      </w:r>
    </w:p>
    <w:p w14:paraId="393E1FDB" w14:textId="77777777" w:rsidR="002C3ADC" w:rsidRPr="002C3ADC" w:rsidRDefault="002C3ADC" w:rsidP="003B5604">
      <w:pPr>
        <w:numPr>
          <w:ilvl w:val="1"/>
          <w:numId w:val="341"/>
        </w:numPr>
        <w:spacing w:line="276" w:lineRule="auto"/>
        <w:jc w:val="both"/>
        <w:rPr>
          <w:rFonts w:ascii="Arial" w:hAnsi="Arial" w:cs="Arial"/>
          <w:sz w:val="20"/>
          <w:szCs w:val="20"/>
        </w:rPr>
      </w:pPr>
      <w:r w:rsidRPr="002C3ADC">
        <w:rPr>
          <w:rFonts w:ascii="Arial" w:hAnsi="Arial" w:cs="Arial"/>
          <w:sz w:val="20"/>
          <w:szCs w:val="20"/>
        </w:rPr>
        <w:t>the type of operation.</w:t>
      </w:r>
    </w:p>
    <w:p w14:paraId="1F58EE1A" w14:textId="77777777" w:rsidR="002C3ADC" w:rsidRPr="002C3ADC" w:rsidRDefault="002C3ADC" w:rsidP="003B5604">
      <w:pPr>
        <w:numPr>
          <w:ilvl w:val="0"/>
          <w:numId w:val="341"/>
        </w:numPr>
        <w:tabs>
          <w:tab w:val="left" w:pos="1273"/>
          <w:tab w:val="left" w:pos="1274"/>
        </w:tabs>
        <w:spacing w:line="276" w:lineRule="auto"/>
        <w:jc w:val="both"/>
        <w:rPr>
          <w:rFonts w:ascii="Arial" w:hAnsi="Arial" w:cs="Arial"/>
          <w:sz w:val="20"/>
          <w:szCs w:val="20"/>
        </w:rPr>
      </w:pPr>
      <w:r w:rsidRPr="002C3ADC">
        <w:rPr>
          <w:rFonts w:ascii="Arial" w:hAnsi="Arial" w:cs="Arial"/>
          <w:sz w:val="20"/>
          <w:szCs w:val="20"/>
        </w:rPr>
        <w:t>It shall state the following:</w:t>
      </w:r>
    </w:p>
    <w:p w14:paraId="31B3113F" w14:textId="77777777" w:rsidR="002C3ADC" w:rsidRPr="002C3ADC" w:rsidRDefault="002C3ADC" w:rsidP="003B5604">
      <w:pPr>
        <w:tabs>
          <w:tab w:val="left" w:pos="1273"/>
          <w:tab w:val="left" w:pos="1274"/>
        </w:tabs>
        <w:spacing w:line="276" w:lineRule="auto"/>
        <w:ind w:left="706"/>
        <w:jc w:val="both"/>
        <w:rPr>
          <w:rFonts w:ascii="Arial" w:hAnsi="Arial" w:cs="Arial"/>
          <w:sz w:val="20"/>
          <w:szCs w:val="20"/>
        </w:rPr>
      </w:pPr>
      <w:r w:rsidRPr="002C3ADC">
        <w:rPr>
          <w:rFonts w:ascii="Arial" w:hAnsi="Arial" w:cs="Arial"/>
          <w:sz w:val="20"/>
          <w:szCs w:val="20"/>
        </w:rPr>
        <w:t>‘The owner entrusts the CAMO or CAO with the management of the continuing airworthiness of the aircraft, the development and approval of a maintenance programme, and the organisation of the maintenance of the aircraft according to said maintenance programme.</w:t>
      </w:r>
    </w:p>
    <w:p w14:paraId="3DA96166" w14:textId="77777777" w:rsidR="002C3ADC" w:rsidRPr="002C3ADC" w:rsidRDefault="002C3ADC" w:rsidP="003B5604">
      <w:pPr>
        <w:tabs>
          <w:tab w:val="left" w:pos="1273"/>
          <w:tab w:val="left" w:pos="1274"/>
        </w:tabs>
        <w:spacing w:line="276" w:lineRule="auto"/>
        <w:ind w:left="706"/>
        <w:jc w:val="both"/>
        <w:rPr>
          <w:rFonts w:ascii="Arial" w:hAnsi="Arial" w:cs="Arial"/>
          <w:sz w:val="20"/>
          <w:szCs w:val="20"/>
        </w:rPr>
      </w:pPr>
      <w:r w:rsidRPr="002C3ADC">
        <w:rPr>
          <w:rFonts w:ascii="Arial" w:hAnsi="Arial" w:cs="Arial"/>
          <w:sz w:val="20"/>
          <w:szCs w:val="20"/>
        </w:rPr>
        <w:t>According to the present contract, both signatories undertake to follow the respective obligations of this contract.</w:t>
      </w:r>
    </w:p>
    <w:p w14:paraId="260A52C8" w14:textId="77777777" w:rsidR="002C3ADC" w:rsidRPr="002C3ADC" w:rsidRDefault="002C3ADC" w:rsidP="003B5604">
      <w:pPr>
        <w:tabs>
          <w:tab w:val="left" w:pos="1273"/>
          <w:tab w:val="left" w:pos="1274"/>
        </w:tabs>
        <w:spacing w:line="276" w:lineRule="auto"/>
        <w:ind w:left="706"/>
        <w:jc w:val="both"/>
        <w:rPr>
          <w:rFonts w:ascii="Arial" w:hAnsi="Arial" w:cs="Arial"/>
          <w:sz w:val="20"/>
          <w:szCs w:val="20"/>
        </w:rPr>
      </w:pPr>
      <w:r w:rsidRPr="002C3ADC">
        <w:rPr>
          <w:rFonts w:ascii="Arial" w:hAnsi="Arial" w:cs="Arial"/>
          <w:sz w:val="20"/>
          <w:szCs w:val="20"/>
        </w:rPr>
        <w:t>The owner declares, to the best of its knowledge, that all the information given to the CAMO or CAO concerning the continuing airworthiness of the aircraft is and will be accurate, and that the aircraft will not be altered without prior approval of the CAMO or CAO.</w:t>
      </w:r>
    </w:p>
    <w:p w14:paraId="75169C7E" w14:textId="1D1017E3" w:rsidR="002C3ADC" w:rsidRPr="002C3ADC" w:rsidRDefault="002C3ADC" w:rsidP="003B5604">
      <w:pPr>
        <w:tabs>
          <w:tab w:val="left" w:pos="1273"/>
          <w:tab w:val="left" w:pos="1274"/>
        </w:tabs>
        <w:spacing w:line="276" w:lineRule="auto"/>
        <w:ind w:left="706"/>
        <w:jc w:val="both"/>
        <w:rPr>
          <w:rFonts w:ascii="Arial" w:hAnsi="Arial" w:cs="Arial"/>
          <w:sz w:val="20"/>
          <w:szCs w:val="20"/>
        </w:rPr>
      </w:pPr>
      <w:r w:rsidRPr="002C3ADC">
        <w:rPr>
          <w:rFonts w:ascii="Arial" w:hAnsi="Arial" w:cs="Arial"/>
          <w:sz w:val="20"/>
          <w:szCs w:val="20"/>
        </w:rPr>
        <w:t xml:space="preserve">In case of any non-conformity with this contract, by either of the signatories, the contract will become null. In such a case, the owner will retain full responsibility for every task linked to the continuing airworthiness of the aircraft, and the owner will inform the </w:t>
      </w:r>
      <w:r w:rsidR="00996D5E">
        <w:rPr>
          <w:rFonts w:ascii="Arial" w:hAnsi="Arial" w:cs="Arial"/>
          <w:sz w:val="20"/>
          <w:szCs w:val="20"/>
        </w:rPr>
        <w:t xml:space="preserve">CAC RA </w:t>
      </w:r>
      <w:r w:rsidRPr="002C3ADC">
        <w:rPr>
          <w:rFonts w:ascii="Arial" w:hAnsi="Arial" w:cs="Arial"/>
          <w:sz w:val="20"/>
          <w:szCs w:val="20"/>
        </w:rPr>
        <w:t>of registry within 2 weeks about the termination of the contract.’</w:t>
      </w:r>
    </w:p>
    <w:p w14:paraId="7F7E85CE" w14:textId="77777777" w:rsidR="002C3ADC" w:rsidRPr="002C3ADC" w:rsidRDefault="002C3ADC" w:rsidP="003B5604">
      <w:pPr>
        <w:numPr>
          <w:ilvl w:val="0"/>
          <w:numId w:val="341"/>
        </w:numPr>
        <w:tabs>
          <w:tab w:val="left" w:pos="1273"/>
          <w:tab w:val="left" w:pos="1274"/>
        </w:tabs>
        <w:spacing w:line="276" w:lineRule="auto"/>
        <w:jc w:val="both"/>
        <w:rPr>
          <w:rFonts w:ascii="Arial" w:hAnsi="Arial" w:cs="Arial"/>
          <w:sz w:val="20"/>
          <w:szCs w:val="20"/>
        </w:rPr>
      </w:pPr>
      <w:r w:rsidRPr="002C3ADC">
        <w:rPr>
          <w:rFonts w:ascii="Arial" w:hAnsi="Arial" w:cs="Arial"/>
          <w:sz w:val="20"/>
          <w:szCs w:val="20"/>
        </w:rPr>
        <w:t>When an owner contracts a CAMO or CAO in accordance with point ML.A.201, the obligations of each party shall be assigned as follows:</w:t>
      </w:r>
    </w:p>
    <w:p w14:paraId="33E02FBD" w14:textId="77777777" w:rsidR="002C3ADC" w:rsidRPr="002C3ADC" w:rsidRDefault="002C3ADC" w:rsidP="003B5604">
      <w:pPr>
        <w:numPr>
          <w:ilvl w:val="1"/>
          <w:numId w:val="341"/>
        </w:numPr>
        <w:spacing w:line="276" w:lineRule="auto"/>
        <w:jc w:val="both"/>
        <w:rPr>
          <w:rFonts w:ascii="Arial" w:hAnsi="Arial" w:cs="Arial"/>
          <w:iCs/>
          <w:sz w:val="20"/>
          <w:szCs w:val="20"/>
        </w:rPr>
      </w:pPr>
      <w:r w:rsidRPr="002C3ADC">
        <w:rPr>
          <w:rFonts w:ascii="Arial" w:hAnsi="Arial" w:cs="Arial"/>
          <w:iCs/>
          <w:sz w:val="20"/>
          <w:szCs w:val="20"/>
        </w:rPr>
        <w:t>Obligations of CAMO or CAO:</w:t>
      </w:r>
    </w:p>
    <w:p w14:paraId="3A9441E6" w14:textId="77777777" w:rsidR="002C3ADC" w:rsidRPr="002C3ADC" w:rsidRDefault="002C3ADC" w:rsidP="003B5604">
      <w:pPr>
        <w:numPr>
          <w:ilvl w:val="2"/>
          <w:numId w:val="341"/>
        </w:numPr>
        <w:tabs>
          <w:tab w:val="left" w:pos="1273"/>
          <w:tab w:val="left" w:pos="1274"/>
        </w:tabs>
        <w:spacing w:line="276" w:lineRule="auto"/>
        <w:jc w:val="both"/>
        <w:rPr>
          <w:rFonts w:ascii="Arial" w:hAnsi="Arial" w:cs="Arial"/>
          <w:sz w:val="20"/>
          <w:szCs w:val="20"/>
        </w:rPr>
      </w:pPr>
      <w:r w:rsidRPr="002C3ADC">
        <w:rPr>
          <w:rFonts w:ascii="Arial" w:hAnsi="Arial" w:cs="Arial"/>
          <w:sz w:val="20"/>
          <w:szCs w:val="20"/>
        </w:rPr>
        <w:t>have the aircraft type included in its terms of approval;</w:t>
      </w:r>
    </w:p>
    <w:p w14:paraId="64B0DF08" w14:textId="77777777" w:rsidR="002C3ADC" w:rsidRPr="002C3ADC" w:rsidRDefault="002C3ADC" w:rsidP="003B5604">
      <w:pPr>
        <w:numPr>
          <w:ilvl w:val="2"/>
          <w:numId w:val="341"/>
        </w:numPr>
        <w:tabs>
          <w:tab w:val="left" w:pos="1273"/>
          <w:tab w:val="left" w:pos="1274"/>
        </w:tabs>
        <w:spacing w:line="276" w:lineRule="auto"/>
        <w:jc w:val="both"/>
        <w:rPr>
          <w:rFonts w:ascii="Arial" w:hAnsi="Arial" w:cs="Arial"/>
          <w:sz w:val="20"/>
          <w:szCs w:val="20"/>
        </w:rPr>
      </w:pPr>
      <w:r w:rsidRPr="002C3ADC">
        <w:rPr>
          <w:rFonts w:ascii="Arial" w:hAnsi="Arial" w:cs="Arial"/>
          <w:sz w:val="20"/>
          <w:szCs w:val="20"/>
        </w:rPr>
        <w:t>respect all the conditions listed below with regard to maintaining the continuing airworthiness of the aircraft:</w:t>
      </w:r>
    </w:p>
    <w:p w14:paraId="706924DF" w14:textId="77777777" w:rsidR="002C3ADC" w:rsidRPr="002C3ADC" w:rsidRDefault="002C3ADC" w:rsidP="003B5604">
      <w:pPr>
        <w:numPr>
          <w:ilvl w:val="3"/>
          <w:numId w:val="341"/>
        </w:numPr>
        <w:tabs>
          <w:tab w:val="left" w:pos="1273"/>
          <w:tab w:val="left" w:pos="1274"/>
        </w:tabs>
        <w:spacing w:line="276" w:lineRule="auto"/>
        <w:jc w:val="both"/>
        <w:rPr>
          <w:rFonts w:ascii="Arial" w:hAnsi="Arial" w:cs="Arial"/>
          <w:sz w:val="20"/>
          <w:szCs w:val="20"/>
        </w:rPr>
      </w:pPr>
      <w:r w:rsidRPr="002C3ADC">
        <w:rPr>
          <w:rFonts w:ascii="Arial" w:hAnsi="Arial" w:cs="Arial"/>
          <w:sz w:val="20"/>
          <w:szCs w:val="20"/>
        </w:rPr>
        <w:t>develop and approve the AMP for the aircraft;</w:t>
      </w:r>
    </w:p>
    <w:p w14:paraId="0CB87F98" w14:textId="77777777" w:rsidR="002C3ADC" w:rsidRDefault="002C3ADC" w:rsidP="003B5604">
      <w:pPr>
        <w:numPr>
          <w:ilvl w:val="3"/>
          <w:numId w:val="341"/>
        </w:numPr>
        <w:tabs>
          <w:tab w:val="left" w:pos="1273"/>
          <w:tab w:val="left" w:pos="1274"/>
        </w:tabs>
        <w:spacing w:line="276" w:lineRule="auto"/>
        <w:jc w:val="both"/>
        <w:rPr>
          <w:rFonts w:ascii="Arial" w:hAnsi="Arial" w:cs="Arial"/>
          <w:sz w:val="20"/>
          <w:szCs w:val="20"/>
        </w:rPr>
      </w:pPr>
      <w:r w:rsidRPr="002C3ADC">
        <w:rPr>
          <w:rFonts w:ascii="Arial" w:hAnsi="Arial" w:cs="Arial"/>
          <w:sz w:val="20"/>
          <w:szCs w:val="20"/>
        </w:rPr>
        <w:t>once it has been approved, provide the owner with a copy of the AMP, as well as a copy of the justifications for any deviations from the</w:t>
      </w:r>
      <w:r w:rsidRPr="002C3ADC">
        <w:rPr>
          <w:rFonts w:ascii="Arial" w:hAnsi="Arial" w:cs="Arial"/>
          <w:spacing w:val="1"/>
          <w:sz w:val="20"/>
          <w:szCs w:val="20"/>
        </w:rPr>
        <w:t xml:space="preserve"> </w:t>
      </w:r>
      <w:r w:rsidRPr="002C3ADC">
        <w:rPr>
          <w:rFonts w:ascii="Arial" w:hAnsi="Arial" w:cs="Arial"/>
          <w:sz w:val="20"/>
          <w:szCs w:val="20"/>
        </w:rPr>
        <w:t>DAH’s recommendations;</w:t>
      </w:r>
    </w:p>
    <w:p w14:paraId="1D039202" w14:textId="77777777" w:rsidR="002C3ADC" w:rsidRPr="002C3ADC" w:rsidRDefault="002C3ADC" w:rsidP="003B5604">
      <w:pPr>
        <w:numPr>
          <w:ilvl w:val="3"/>
          <w:numId w:val="341"/>
        </w:numPr>
        <w:tabs>
          <w:tab w:val="left" w:pos="1273"/>
          <w:tab w:val="left" w:pos="1274"/>
        </w:tabs>
        <w:spacing w:line="276" w:lineRule="auto"/>
        <w:jc w:val="both"/>
        <w:rPr>
          <w:rFonts w:ascii="Arial" w:hAnsi="Arial" w:cs="Arial"/>
          <w:sz w:val="20"/>
          <w:szCs w:val="20"/>
        </w:rPr>
      </w:pPr>
      <w:r w:rsidRPr="002C3ADC">
        <w:rPr>
          <w:rFonts w:ascii="Arial" w:hAnsi="Arial" w:cs="Arial"/>
          <w:sz w:val="20"/>
          <w:szCs w:val="20"/>
        </w:rPr>
        <w:t>organise</w:t>
      </w:r>
      <w:r w:rsidRPr="002C3ADC">
        <w:rPr>
          <w:rFonts w:ascii="Arial" w:hAnsi="Arial" w:cs="Arial"/>
          <w:spacing w:val="-1"/>
          <w:sz w:val="20"/>
          <w:szCs w:val="20"/>
        </w:rPr>
        <w:t xml:space="preserve"> </w:t>
      </w:r>
      <w:r w:rsidRPr="002C3ADC">
        <w:rPr>
          <w:rFonts w:ascii="Arial" w:hAnsi="Arial" w:cs="Arial"/>
          <w:sz w:val="20"/>
          <w:szCs w:val="20"/>
        </w:rPr>
        <w:t>a</w:t>
      </w:r>
      <w:r w:rsidRPr="002C3ADC">
        <w:rPr>
          <w:rFonts w:ascii="Arial" w:hAnsi="Arial" w:cs="Arial"/>
          <w:spacing w:val="-3"/>
          <w:sz w:val="20"/>
          <w:szCs w:val="20"/>
        </w:rPr>
        <w:t xml:space="preserve"> </w:t>
      </w:r>
      <w:r w:rsidRPr="002C3ADC">
        <w:rPr>
          <w:rFonts w:ascii="Arial" w:hAnsi="Arial" w:cs="Arial"/>
          <w:sz w:val="20"/>
          <w:szCs w:val="20"/>
        </w:rPr>
        <w:t>bridging</w:t>
      </w:r>
      <w:r w:rsidRPr="002C3ADC">
        <w:rPr>
          <w:rFonts w:ascii="Arial" w:hAnsi="Arial" w:cs="Arial"/>
          <w:spacing w:val="-1"/>
          <w:sz w:val="20"/>
          <w:szCs w:val="20"/>
        </w:rPr>
        <w:t xml:space="preserve"> </w:t>
      </w:r>
      <w:r w:rsidRPr="002C3ADC">
        <w:rPr>
          <w:rFonts w:ascii="Arial" w:hAnsi="Arial" w:cs="Arial"/>
          <w:sz w:val="20"/>
          <w:szCs w:val="20"/>
        </w:rPr>
        <w:t>inspection</w:t>
      </w:r>
      <w:r w:rsidRPr="002C3ADC">
        <w:rPr>
          <w:rFonts w:ascii="Arial" w:hAnsi="Arial" w:cs="Arial"/>
          <w:spacing w:val="-2"/>
          <w:sz w:val="20"/>
          <w:szCs w:val="20"/>
        </w:rPr>
        <w:t xml:space="preserve"> </w:t>
      </w:r>
      <w:r w:rsidRPr="002C3ADC">
        <w:rPr>
          <w:rFonts w:ascii="Arial" w:hAnsi="Arial" w:cs="Arial"/>
          <w:sz w:val="20"/>
          <w:szCs w:val="20"/>
        </w:rPr>
        <w:t>using</w:t>
      </w:r>
      <w:r w:rsidRPr="002C3ADC">
        <w:rPr>
          <w:rFonts w:ascii="Arial" w:hAnsi="Arial" w:cs="Arial"/>
          <w:spacing w:val="-1"/>
          <w:sz w:val="20"/>
          <w:szCs w:val="20"/>
        </w:rPr>
        <w:t xml:space="preserve"> </w:t>
      </w:r>
      <w:r w:rsidRPr="002C3ADC">
        <w:rPr>
          <w:rFonts w:ascii="Arial" w:hAnsi="Arial" w:cs="Arial"/>
          <w:sz w:val="20"/>
          <w:szCs w:val="20"/>
        </w:rPr>
        <w:t>the</w:t>
      </w:r>
      <w:r w:rsidRPr="002C3ADC">
        <w:rPr>
          <w:rFonts w:ascii="Arial" w:hAnsi="Arial" w:cs="Arial"/>
          <w:spacing w:val="-3"/>
          <w:sz w:val="20"/>
          <w:szCs w:val="20"/>
        </w:rPr>
        <w:t xml:space="preserve"> </w:t>
      </w:r>
      <w:r w:rsidRPr="002C3ADC">
        <w:rPr>
          <w:rFonts w:ascii="Arial" w:hAnsi="Arial" w:cs="Arial"/>
          <w:sz w:val="20"/>
          <w:szCs w:val="20"/>
        </w:rPr>
        <w:t>aircraft’s</w:t>
      </w:r>
      <w:r w:rsidRPr="002C3ADC">
        <w:rPr>
          <w:rFonts w:ascii="Arial" w:hAnsi="Arial" w:cs="Arial"/>
          <w:spacing w:val="-3"/>
          <w:sz w:val="20"/>
          <w:szCs w:val="20"/>
        </w:rPr>
        <w:t xml:space="preserve"> </w:t>
      </w:r>
      <w:r w:rsidRPr="002C3ADC">
        <w:rPr>
          <w:rFonts w:ascii="Arial" w:hAnsi="Arial" w:cs="Arial"/>
          <w:sz w:val="20"/>
          <w:szCs w:val="20"/>
        </w:rPr>
        <w:t>prior</w:t>
      </w:r>
      <w:r w:rsidRPr="002C3ADC">
        <w:rPr>
          <w:rFonts w:ascii="Arial" w:hAnsi="Arial" w:cs="Arial"/>
          <w:spacing w:val="-3"/>
          <w:sz w:val="20"/>
          <w:szCs w:val="20"/>
        </w:rPr>
        <w:t xml:space="preserve"> </w:t>
      </w:r>
      <w:r w:rsidRPr="002C3ADC">
        <w:rPr>
          <w:rFonts w:ascii="Arial" w:hAnsi="Arial" w:cs="Arial"/>
          <w:sz w:val="20"/>
          <w:szCs w:val="20"/>
        </w:rPr>
        <w:t>AMP;</w:t>
      </w:r>
    </w:p>
    <w:p w14:paraId="2D051B83" w14:textId="77777777" w:rsidR="002C3ADC" w:rsidRPr="002C3ADC" w:rsidRDefault="002C3ADC" w:rsidP="003B5604">
      <w:pPr>
        <w:pStyle w:val="ListParagraph"/>
        <w:numPr>
          <w:ilvl w:val="3"/>
          <w:numId w:val="341"/>
        </w:numPr>
        <w:tabs>
          <w:tab w:val="left" w:pos="2409"/>
        </w:tabs>
        <w:spacing w:before="57"/>
        <w:ind w:right="197"/>
        <w:jc w:val="both"/>
        <w:rPr>
          <w:rFonts w:ascii="Arial" w:hAnsi="Arial" w:cs="Arial"/>
          <w:sz w:val="20"/>
          <w:szCs w:val="20"/>
        </w:rPr>
      </w:pPr>
      <w:r w:rsidRPr="002C3ADC">
        <w:rPr>
          <w:rFonts w:ascii="Arial" w:hAnsi="Arial" w:cs="Arial"/>
          <w:sz w:val="20"/>
          <w:szCs w:val="20"/>
        </w:rPr>
        <w:t>organise that all maintenance is carried out by an approved maintenance</w:t>
      </w:r>
      <w:r w:rsidRPr="002C3ADC">
        <w:rPr>
          <w:rFonts w:ascii="Arial" w:hAnsi="Arial" w:cs="Arial"/>
          <w:spacing w:val="1"/>
          <w:sz w:val="20"/>
          <w:szCs w:val="20"/>
        </w:rPr>
        <w:t xml:space="preserve"> </w:t>
      </w:r>
      <w:r w:rsidRPr="002C3ADC">
        <w:rPr>
          <w:rFonts w:ascii="Arial" w:hAnsi="Arial" w:cs="Arial"/>
          <w:sz w:val="20"/>
          <w:szCs w:val="20"/>
        </w:rPr>
        <w:t>organisation</w:t>
      </w:r>
      <w:r w:rsidRPr="002C3ADC">
        <w:rPr>
          <w:rFonts w:ascii="Arial" w:hAnsi="Arial" w:cs="Arial"/>
          <w:spacing w:val="-2"/>
          <w:sz w:val="20"/>
          <w:szCs w:val="20"/>
        </w:rPr>
        <w:t xml:space="preserve"> </w:t>
      </w:r>
      <w:r w:rsidRPr="002C3ADC">
        <w:rPr>
          <w:rFonts w:ascii="Arial" w:hAnsi="Arial" w:cs="Arial"/>
          <w:sz w:val="20"/>
          <w:szCs w:val="20"/>
        </w:rPr>
        <w:t>or, if permitted,</w:t>
      </w:r>
      <w:r w:rsidRPr="002C3ADC">
        <w:rPr>
          <w:rFonts w:ascii="Arial" w:hAnsi="Arial" w:cs="Arial"/>
          <w:spacing w:val="-1"/>
          <w:sz w:val="20"/>
          <w:szCs w:val="20"/>
        </w:rPr>
        <w:t xml:space="preserve"> </w:t>
      </w:r>
      <w:r w:rsidRPr="002C3ADC">
        <w:rPr>
          <w:rFonts w:ascii="Arial" w:hAnsi="Arial" w:cs="Arial"/>
          <w:sz w:val="20"/>
          <w:szCs w:val="20"/>
        </w:rPr>
        <w:t>by independent</w:t>
      </w:r>
      <w:r w:rsidRPr="002C3ADC">
        <w:rPr>
          <w:rFonts w:ascii="Arial" w:hAnsi="Arial" w:cs="Arial"/>
          <w:spacing w:val="-3"/>
          <w:sz w:val="20"/>
          <w:szCs w:val="20"/>
        </w:rPr>
        <w:t xml:space="preserve"> </w:t>
      </w:r>
      <w:r w:rsidRPr="002C3ADC">
        <w:rPr>
          <w:rFonts w:ascii="Arial" w:hAnsi="Arial" w:cs="Arial"/>
          <w:sz w:val="20"/>
          <w:szCs w:val="20"/>
        </w:rPr>
        <w:t>certifying</w:t>
      </w:r>
      <w:r w:rsidRPr="002C3ADC">
        <w:rPr>
          <w:rFonts w:ascii="Arial" w:hAnsi="Arial" w:cs="Arial"/>
          <w:spacing w:val="-1"/>
          <w:sz w:val="20"/>
          <w:szCs w:val="20"/>
        </w:rPr>
        <w:t xml:space="preserve"> </w:t>
      </w:r>
      <w:r w:rsidRPr="002C3ADC">
        <w:rPr>
          <w:rFonts w:ascii="Arial" w:hAnsi="Arial" w:cs="Arial"/>
          <w:sz w:val="20"/>
          <w:szCs w:val="20"/>
        </w:rPr>
        <w:t>staff;</w:t>
      </w:r>
    </w:p>
    <w:p w14:paraId="37FD40B0" w14:textId="77777777" w:rsidR="002C3ADC" w:rsidRPr="002C3ADC" w:rsidRDefault="002C3ADC" w:rsidP="003B5604">
      <w:pPr>
        <w:pStyle w:val="ListParagraph"/>
        <w:numPr>
          <w:ilvl w:val="3"/>
          <w:numId w:val="341"/>
        </w:numPr>
        <w:tabs>
          <w:tab w:val="left" w:pos="2409"/>
        </w:tabs>
        <w:spacing w:before="118"/>
        <w:jc w:val="both"/>
        <w:rPr>
          <w:rFonts w:ascii="Arial" w:hAnsi="Arial" w:cs="Arial"/>
          <w:sz w:val="20"/>
          <w:szCs w:val="20"/>
        </w:rPr>
      </w:pPr>
      <w:r w:rsidRPr="002C3ADC">
        <w:rPr>
          <w:rFonts w:ascii="Arial" w:hAnsi="Arial" w:cs="Arial"/>
          <w:sz w:val="20"/>
          <w:szCs w:val="20"/>
        </w:rPr>
        <w:t>organise</w:t>
      </w:r>
      <w:r w:rsidRPr="002C3ADC">
        <w:rPr>
          <w:rFonts w:ascii="Arial" w:hAnsi="Arial" w:cs="Arial"/>
          <w:spacing w:val="-2"/>
          <w:sz w:val="20"/>
          <w:szCs w:val="20"/>
        </w:rPr>
        <w:t xml:space="preserve"> </w:t>
      </w:r>
      <w:r w:rsidRPr="002C3ADC">
        <w:rPr>
          <w:rFonts w:ascii="Arial" w:hAnsi="Arial" w:cs="Arial"/>
          <w:sz w:val="20"/>
          <w:szCs w:val="20"/>
        </w:rPr>
        <w:t>that</w:t>
      </w:r>
      <w:r w:rsidRPr="002C3ADC">
        <w:rPr>
          <w:rFonts w:ascii="Arial" w:hAnsi="Arial" w:cs="Arial"/>
          <w:spacing w:val="1"/>
          <w:sz w:val="20"/>
          <w:szCs w:val="20"/>
        </w:rPr>
        <w:t xml:space="preserve"> </w:t>
      </w:r>
      <w:r w:rsidRPr="002C3ADC">
        <w:rPr>
          <w:rFonts w:ascii="Arial" w:hAnsi="Arial" w:cs="Arial"/>
          <w:sz w:val="20"/>
          <w:szCs w:val="20"/>
        </w:rPr>
        <w:t>all applicable</w:t>
      </w:r>
      <w:r w:rsidRPr="002C3ADC">
        <w:rPr>
          <w:rFonts w:ascii="Arial" w:hAnsi="Arial" w:cs="Arial"/>
          <w:spacing w:val="-4"/>
          <w:sz w:val="20"/>
          <w:szCs w:val="20"/>
        </w:rPr>
        <w:t xml:space="preserve"> </w:t>
      </w:r>
      <w:r w:rsidRPr="002C3ADC">
        <w:rPr>
          <w:rFonts w:ascii="Arial" w:hAnsi="Arial" w:cs="Arial"/>
          <w:sz w:val="20"/>
          <w:szCs w:val="20"/>
        </w:rPr>
        <w:t>ADs are</w:t>
      </w:r>
      <w:r w:rsidRPr="002C3ADC">
        <w:rPr>
          <w:rFonts w:ascii="Arial" w:hAnsi="Arial" w:cs="Arial"/>
          <w:spacing w:val="-2"/>
          <w:sz w:val="20"/>
          <w:szCs w:val="20"/>
        </w:rPr>
        <w:t xml:space="preserve"> </w:t>
      </w:r>
      <w:r w:rsidRPr="002C3ADC">
        <w:rPr>
          <w:rFonts w:ascii="Arial" w:hAnsi="Arial" w:cs="Arial"/>
          <w:sz w:val="20"/>
          <w:szCs w:val="20"/>
        </w:rPr>
        <w:t>applied;</w:t>
      </w:r>
    </w:p>
    <w:p w14:paraId="09A78073" w14:textId="77777777" w:rsidR="002C3ADC" w:rsidRPr="002C3ADC" w:rsidRDefault="002C3ADC" w:rsidP="003B5604">
      <w:pPr>
        <w:pStyle w:val="ListParagraph"/>
        <w:numPr>
          <w:ilvl w:val="3"/>
          <w:numId w:val="341"/>
        </w:numPr>
        <w:tabs>
          <w:tab w:val="left" w:pos="2409"/>
        </w:tabs>
        <w:ind w:right="195"/>
        <w:jc w:val="both"/>
        <w:rPr>
          <w:rFonts w:ascii="Arial" w:hAnsi="Arial" w:cs="Arial"/>
          <w:sz w:val="20"/>
          <w:szCs w:val="20"/>
        </w:rPr>
      </w:pPr>
      <w:r w:rsidRPr="002C3ADC">
        <w:rPr>
          <w:rFonts w:ascii="Arial" w:hAnsi="Arial" w:cs="Arial"/>
          <w:sz w:val="20"/>
          <w:szCs w:val="20"/>
        </w:rPr>
        <w:t>organise</w:t>
      </w:r>
      <w:r w:rsidRPr="002C3ADC">
        <w:rPr>
          <w:rFonts w:ascii="Arial" w:hAnsi="Arial" w:cs="Arial"/>
          <w:spacing w:val="1"/>
          <w:sz w:val="20"/>
          <w:szCs w:val="20"/>
        </w:rPr>
        <w:t xml:space="preserve"> </w:t>
      </w:r>
      <w:r w:rsidRPr="002C3ADC">
        <w:rPr>
          <w:rFonts w:ascii="Arial" w:hAnsi="Arial" w:cs="Arial"/>
          <w:sz w:val="20"/>
          <w:szCs w:val="20"/>
        </w:rPr>
        <w:t>that</w:t>
      </w:r>
      <w:r w:rsidRPr="002C3ADC">
        <w:rPr>
          <w:rFonts w:ascii="Arial" w:hAnsi="Arial" w:cs="Arial"/>
          <w:spacing w:val="1"/>
          <w:sz w:val="20"/>
          <w:szCs w:val="20"/>
        </w:rPr>
        <w:t xml:space="preserve"> </w:t>
      </w:r>
      <w:r w:rsidRPr="002C3ADC">
        <w:rPr>
          <w:rFonts w:ascii="Arial" w:hAnsi="Arial" w:cs="Arial"/>
          <w:sz w:val="20"/>
          <w:szCs w:val="20"/>
        </w:rPr>
        <w:t>all</w:t>
      </w:r>
      <w:r w:rsidRPr="002C3ADC">
        <w:rPr>
          <w:rFonts w:ascii="Arial" w:hAnsi="Arial" w:cs="Arial"/>
          <w:spacing w:val="1"/>
          <w:sz w:val="20"/>
          <w:szCs w:val="20"/>
        </w:rPr>
        <w:t xml:space="preserve"> </w:t>
      </w:r>
      <w:r w:rsidRPr="002C3ADC">
        <w:rPr>
          <w:rFonts w:ascii="Arial" w:hAnsi="Arial" w:cs="Arial"/>
          <w:sz w:val="20"/>
          <w:szCs w:val="20"/>
        </w:rPr>
        <w:t>defects</w:t>
      </w:r>
      <w:r w:rsidRPr="002C3ADC">
        <w:rPr>
          <w:rFonts w:ascii="Arial" w:hAnsi="Arial" w:cs="Arial"/>
          <w:spacing w:val="1"/>
          <w:sz w:val="20"/>
          <w:szCs w:val="20"/>
        </w:rPr>
        <w:t xml:space="preserve"> </w:t>
      </w:r>
      <w:r w:rsidRPr="002C3ADC">
        <w:rPr>
          <w:rFonts w:ascii="Arial" w:hAnsi="Arial" w:cs="Arial"/>
          <w:sz w:val="20"/>
          <w:szCs w:val="20"/>
        </w:rPr>
        <w:t>discovered</w:t>
      </w:r>
      <w:r w:rsidRPr="002C3ADC">
        <w:rPr>
          <w:rFonts w:ascii="Arial" w:hAnsi="Arial" w:cs="Arial"/>
          <w:spacing w:val="1"/>
          <w:sz w:val="20"/>
          <w:szCs w:val="20"/>
        </w:rPr>
        <w:t xml:space="preserve"> </w:t>
      </w:r>
      <w:r w:rsidRPr="002C3ADC">
        <w:rPr>
          <w:rFonts w:ascii="Arial" w:hAnsi="Arial" w:cs="Arial"/>
          <w:sz w:val="20"/>
          <w:szCs w:val="20"/>
        </w:rPr>
        <w:t>during</w:t>
      </w:r>
      <w:r w:rsidRPr="002C3ADC">
        <w:rPr>
          <w:rFonts w:ascii="Arial" w:hAnsi="Arial" w:cs="Arial"/>
          <w:spacing w:val="1"/>
          <w:sz w:val="20"/>
          <w:szCs w:val="20"/>
        </w:rPr>
        <w:t xml:space="preserve"> </w:t>
      </w:r>
      <w:r w:rsidRPr="002C3ADC">
        <w:rPr>
          <w:rFonts w:ascii="Arial" w:hAnsi="Arial" w:cs="Arial"/>
          <w:sz w:val="20"/>
          <w:szCs w:val="20"/>
        </w:rPr>
        <w:t>maintenance,</w:t>
      </w:r>
      <w:r w:rsidRPr="002C3ADC">
        <w:rPr>
          <w:rFonts w:ascii="Arial" w:hAnsi="Arial" w:cs="Arial"/>
          <w:spacing w:val="1"/>
          <w:sz w:val="20"/>
          <w:szCs w:val="20"/>
        </w:rPr>
        <w:t xml:space="preserve"> </w:t>
      </w:r>
      <w:r w:rsidRPr="002C3ADC">
        <w:rPr>
          <w:rFonts w:ascii="Arial" w:hAnsi="Arial" w:cs="Arial"/>
          <w:sz w:val="20"/>
          <w:szCs w:val="20"/>
        </w:rPr>
        <w:t>airworthiness</w:t>
      </w:r>
      <w:r w:rsidRPr="002C3ADC">
        <w:rPr>
          <w:rFonts w:ascii="Arial" w:hAnsi="Arial" w:cs="Arial"/>
          <w:spacing w:val="1"/>
          <w:sz w:val="20"/>
          <w:szCs w:val="20"/>
        </w:rPr>
        <w:t xml:space="preserve"> </w:t>
      </w:r>
      <w:r w:rsidRPr="002C3ADC">
        <w:rPr>
          <w:rFonts w:ascii="Arial" w:hAnsi="Arial" w:cs="Arial"/>
          <w:sz w:val="20"/>
          <w:szCs w:val="20"/>
        </w:rPr>
        <w:t>reviews</w:t>
      </w:r>
      <w:r w:rsidRPr="002C3ADC">
        <w:rPr>
          <w:rFonts w:ascii="Arial" w:hAnsi="Arial" w:cs="Arial"/>
          <w:spacing w:val="1"/>
          <w:sz w:val="20"/>
          <w:szCs w:val="20"/>
        </w:rPr>
        <w:t xml:space="preserve"> </w:t>
      </w:r>
      <w:r w:rsidRPr="002C3ADC">
        <w:rPr>
          <w:rFonts w:ascii="Arial" w:hAnsi="Arial" w:cs="Arial"/>
          <w:sz w:val="20"/>
          <w:szCs w:val="20"/>
        </w:rPr>
        <w:t>or</w:t>
      </w:r>
      <w:r w:rsidRPr="002C3ADC">
        <w:rPr>
          <w:rFonts w:ascii="Arial" w:hAnsi="Arial" w:cs="Arial"/>
          <w:spacing w:val="1"/>
          <w:sz w:val="20"/>
          <w:szCs w:val="20"/>
        </w:rPr>
        <w:t xml:space="preserve"> </w:t>
      </w:r>
      <w:r w:rsidRPr="002C3ADC">
        <w:rPr>
          <w:rFonts w:ascii="Arial" w:hAnsi="Arial" w:cs="Arial"/>
          <w:sz w:val="20"/>
          <w:szCs w:val="20"/>
        </w:rPr>
        <w:t>reported</w:t>
      </w:r>
      <w:r w:rsidRPr="002C3ADC">
        <w:rPr>
          <w:rFonts w:ascii="Arial" w:hAnsi="Arial" w:cs="Arial"/>
          <w:spacing w:val="1"/>
          <w:sz w:val="20"/>
          <w:szCs w:val="20"/>
        </w:rPr>
        <w:t xml:space="preserve"> </w:t>
      </w:r>
      <w:r w:rsidRPr="002C3ADC">
        <w:rPr>
          <w:rFonts w:ascii="Arial" w:hAnsi="Arial" w:cs="Arial"/>
          <w:sz w:val="20"/>
          <w:szCs w:val="20"/>
        </w:rPr>
        <w:t>by</w:t>
      </w:r>
      <w:r w:rsidRPr="002C3ADC">
        <w:rPr>
          <w:rFonts w:ascii="Arial" w:hAnsi="Arial" w:cs="Arial"/>
          <w:spacing w:val="1"/>
          <w:sz w:val="20"/>
          <w:szCs w:val="20"/>
        </w:rPr>
        <w:t xml:space="preserve"> </w:t>
      </w:r>
      <w:r w:rsidRPr="002C3ADC">
        <w:rPr>
          <w:rFonts w:ascii="Arial" w:hAnsi="Arial" w:cs="Arial"/>
          <w:sz w:val="20"/>
          <w:szCs w:val="20"/>
        </w:rPr>
        <w:t>the</w:t>
      </w:r>
      <w:r w:rsidRPr="002C3ADC">
        <w:rPr>
          <w:rFonts w:ascii="Arial" w:hAnsi="Arial" w:cs="Arial"/>
          <w:spacing w:val="1"/>
          <w:sz w:val="20"/>
          <w:szCs w:val="20"/>
        </w:rPr>
        <w:t xml:space="preserve"> </w:t>
      </w:r>
      <w:r w:rsidRPr="002C3ADC">
        <w:rPr>
          <w:rFonts w:ascii="Arial" w:hAnsi="Arial" w:cs="Arial"/>
          <w:sz w:val="20"/>
          <w:szCs w:val="20"/>
        </w:rPr>
        <w:t>owner</w:t>
      </w:r>
      <w:r w:rsidRPr="002C3ADC">
        <w:rPr>
          <w:rFonts w:ascii="Arial" w:hAnsi="Arial" w:cs="Arial"/>
          <w:spacing w:val="1"/>
          <w:sz w:val="20"/>
          <w:szCs w:val="20"/>
        </w:rPr>
        <w:t xml:space="preserve"> </w:t>
      </w:r>
      <w:r w:rsidRPr="002C3ADC">
        <w:rPr>
          <w:rFonts w:ascii="Arial" w:hAnsi="Arial" w:cs="Arial"/>
          <w:sz w:val="20"/>
          <w:szCs w:val="20"/>
        </w:rPr>
        <w:t>are</w:t>
      </w:r>
      <w:r w:rsidRPr="002C3ADC">
        <w:rPr>
          <w:rFonts w:ascii="Arial" w:hAnsi="Arial" w:cs="Arial"/>
          <w:spacing w:val="1"/>
          <w:sz w:val="20"/>
          <w:szCs w:val="20"/>
        </w:rPr>
        <w:t xml:space="preserve"> </w:t>
      </w:r>
      <w:r w:rsidRPr="002C3ADC">
        <w:rPr>
          <w:rFonts w:ascii="Arial" w:hAnsi="Arial" w:cs="Arial"/>
          <w:sz w:val="20"/>
          <w:szCs w:val="20"/>
        </w:rPr>
        <w:t>corrected</w:t>
      </w:r>
      <w:r w:rsidRPr="002C3ADC">
        <w:rPr>
          <w:rFonts w:ascii="Arial" w:hAnsi="Arial" w:cs="Arial"/>
          <w:spacing w:val="1"/>
          <w:sz w:val="20"/>
          <w:szCs w:val="20"/>
        </w:rPr>
        <w:t xml:space="preserve"> </w:t>
      </w:r>
      <w:r w:rsidRPr="002C3ADC">
        <w:rPr>
          <w:rFonts w:ascii="Arial" w:hAnsi="Arial" w:cs="Arial"/>
          <w:sz w:val="20"/>
          <w:szCs w:val="20"/>
        </w:rPr>
        <w:t>by</w:t>
      </w:r>
      <w:r w:rsidRPr="002C3ADC">
        <w:rPr>
          <w:rFonts w:ascii="Arial" w:hAnsi="Arial" w:cs="Arial"/>
          <w:spacing w:val="1"/>
          <w:sz w:val="20"/>
          <w:szCs w:val="20"/>
        </w:rPr>
        <w:t xml:space="preserve"> </w:t>
      </w:r>
      <w:r w:rsidRPr="002C3ADC">
        <w:rPr>
          <w:rFonts w:ascii="Arial" w:hAnsi="Arial" w:cs="Arial"/>
          <w:sz w:val="20"/>
          <w:szCs w:val="20"/>
        </w:rPr>
        <w:t>an</w:t>
      </w:r>
      <w:r w:rsidRPr="002C3ADC">
        <w:rPr>
          <w:rFonts w:ascii="Arial" w:hAnsi="Arial" w:cs="Arial"/>
          <w:spacing w:val="1"/>
          <w:sz w:val="20"/>
          <w:szCs w:val="20"/>
        </w:rPr>
        <w:t xml:space="preserve"> </w:t>
      </w:r>
      <w:r w:rsidRPr="002C3ADC">
        <w:rPr>
          <w:rFonts w:ascii="Arial" w:hAnsi="Arial" w:cs="Arial"/>
          <w:sz w:val="20"/>
          <w:szCs w:val="20"/>
        </w:rPr>
        <w:t>approved</w:t>
      </w:r>
      <w:r w:rsidRPr="002C3ADC">
        <w:rPr>
          <w:rFonts w:ascii="Arial" w:hAnsi="Arial" w:cs="Arial"/>
          <w:spacing w:val="1"/>
          <w:sz w:val="20"/>
          <w:szCs w:val="20"/>
        </w:rPr>
        <w:t xml:space="preserve"> </w:t>
      </w:r>
      <w:r w:rsidRPr="002C3ADC">
        <w:rPr>
          <w:rFonts w:ascii="Arial" w:hAnsi="Arial" w:cs="Arial"/>
          <w:sz w:val="20"/>
          <w:szCs w:val="20"/>
        </w:rPr>
        <w:t>maintenance</w:t>
      </w:r>
      <w:r w:rsidRPr="002C3ADC">
        <w:rPr>
          <w:rFonts w:ascii="Arial" w:hAnsi="Arial" w:cs="Arial"/>
          <w:spacing w:val="-3"/>
          <w:sz w:val="20"/>
          <w:szCs w:val="20"/>
        </w:rPr>
        <w:t xml:space="preserve"> </w:t>
      </w:r>
      <w:r w:rsidRPr="002C3ADC">
        <w:rPr>
          <w:rFonts w:ascii="Arial" w:hAnsi="Arial" w:cs="Arial"/>
          <w:sz w:val="20"/>
          <w:szCs w:val="20"/>
        </w:rPr>
        <w:t>organisation</w:t>
      </w:r>
      <w:r w:rsidRPr="002C3ADC">
        <w:rPr>
          <w:rFonts w:ascii="Arial" w:hAnsi="Arial" w:cs="Arial"/>
          <w:spacing w:val="-4"/>
          <w:sz w:val="20"/>
          <w:szCs w:val="20"/>
        </w:rPr>
        <w:t xml:space="preserve"> </w:t>
      </w:r>
      <w:r w:rsidRPr="002C3ADC">
        <w:rPr>
          <w:rFonts w:ascii="Arial" w:hAnsi="Arial" w:cs="Arial"/>
          <w:sz w:val="20"/>
          <w:szCs w:val="20"/>
        </w:rPr>
        <w:t>or,</w:t>
      </w:r>
      <w:r w:rsidRPr="002C3ADC">
        <w:rPr>
          <w:rFonts w:ascii="Arial" w:hAnsi="Arial" w:cs="Arial"/>
          <w:spacing w:val="-1"/>
          <w:sz w:val="20"/>
          <w:szCs w:val="20"/>
        </w:rPr>
        <w:t xml:space="preserve"> </w:t>
      </w:r>
      <w:r w:rsidRPr="002C3ADC">
        <w:rPr>
          <w:rFonts w:ascii="Arial" w:hAnsi="Arial" w:cs="Arial"/>
          <w:sz w:val="20"/>
          <w:szCs w:val="20"/>
        </w:rPr>
        <w:t>if</w:t>
      </w:r>
      <w:r w:rsidRPr="002C3ADC">
        <w:rPr>
          <w:rFonts w:ascii="Arial" w:hAnsi="Arial" w:cs="Arial"/>
          <w:spacing w:val="-1"/>
          <w:sz w:val="20"/>
          <w:szCs w:val="20"/>
        </w:rPr>
        <w:t xml:space="preserve"> </w:t>
      </w:r>
      <w:r w:rsidRPr="002C3ADC">
        <w:rPr>
          <w:rFonts w:ascii="Arial" w:hAnsi="Arial" w:cs="Arial"/>
          <w:sz w:val="20"/>
          <w:szCs w:val="20"/>
        </w:rPr>
        <w:t>permitted,</w:t>
      </w:r>
      <w:r w:rsidRPr="002C3ADC">
        <w:rPr>
          <w:rFonts w:ascii="Arial" w:hAnsi="Arial" w:cs="Arial"/>
          <w:spacing w:val="-3"/>
          <w:sz w:val="20"/>
          <w:szCs w:val="20"/>
        </w:rPr>
        <w:t xml:space="preserve"> </w:t>
      </w:r>
      <w:r w:rsidRPr="002C3ADC">
        <w:rPr>
          <w:rFonts w:ascii="Arial" w:hAnsi="Arial" w:cs="Arial"/>
          <w:sz w:val="20"/>
          <w:szCs w:val="20"/>
        </w:rPr>
        <w:t>by</w:t>
      </w:r>
      <w:r w:rsidRPr="002C3ADC">
        <w:rPr>
          <w:rFonts w:ascii="Arial" w:hAnsi="Arial" w:cs="Arial"/>
          <w:spacing w:val="-1"/>
          <w:sz w:val="20"/>
          <w:szCs w:val="20"/>
        </w:rPr>
        <w:t xml:space="preserve"> </w:t>
      </w:r>
      <w:r w:rsidRPr="002C3ADC">
        <w:rPr>
          <w:rFonts w:ascii="Arial" w:hAnsi="Arial" w:cs="Arial"/>
          <w:sz w:val="20"/>
          <w:szCs w:val="20"/>
        </w:rPr>
        <w:t>independent</w:t>
      </w:r>
      <w:r w:rsidRPr="002C3ADC">
        <w:rPr>
          <w:rFonts w:ascii="Arial" w:hAnsi="Arial" w:cs="Arial"/>
          <w:spacing w:val="-1"/>
          <w:sz w:val="20"/>
          <w:szCs w:val="20"/>
        </w:rPr>
        <w:t xml:space="preserve"> </w:t>
      </w:r>
      <w:r w:rsidRPr="002C3ADC">
        <w:rPr>
          <w:rFonts w:ascii="Arial" w:hAnsi="Arial" w:cs="Arial"/>
          <w:sz w:val="20"/>
          <w:szCs w:val="20"/>
        </w:rPr>
        <w:t>certifying</w:t>
      </w:r>
      <w:r w:rsidRPr="002C3ADC">
        <w:rPr>
          <w:rFonts w:ascii="Arial" w:hAnsi="Arial" w:cs="Arial"/>
          <w:spacing w:val="-2"/>
          <w:sz w:val="20"/>
          <w:szCs w:val="20"/>
        </w:rPr>
        <w:t xml:space="preserve"> </w:t>
      </w:r>
      <w:r w:rsidRPr="002C3ADC">
        <w:rPr>
          <w:rFonts w:ascii="Arial" w:hAnsi="Arial" w:cs="Arial"/>
          <w:sz w:val="20"/>
          <w:szCs w:val="20"/>
        </w:rPr>
        <w:t>staff;</w:t>
      </w:r>
    </w:p>
    <w:p w14:paraId="79F76D74" w14:textId="77777777" w:rsidR="002C3ADC" w:rsidRPr="002C3ADC" w:rsidRDefault="002C3ADC" w:rsidP="003B5604">
      <w:pPr>
        <w:pStyle w:val="ListParagraph"/>
        <w:numPr>
          <w:ilvl w:val="3"/>
          <w:numId w:val="341"/>
        </w:numPr>
        <w:tabs>
          <w:tab w:val="left" w:pos="2409"/>
        </w:tabs>
        <w:spacing w:before="121"/>
        <w:ind w:right="193"/>
        <w:jc w:val="both"/>
        <w:rPr>
          <w:rFonts w:ascii="Arial" w:hAnsi="Arial" w:cs="Arial"/>
          <w:sz w:val="20"/>
          <w:szCs w:val="20"/>
        </w:rPr>
      </w:pPr>
      <w:r w:rsidRPr="002C3ADC">
        <w:rPr>
          <w:rFonts w:ascii="Arial" w:hAnsi="Arial" w:cs="Arial"/>
          <w:sz w:val="20"/>
          <w:szCs w:val="20"/>
        </w:rPr>
        <w:t>coordinate</w:t>
      </w:r>
      <w:r w:rsidRPr="002C3ADC">
        <w:rPr>
          <w:rFonts w:ascii="Arial" w:hAnsi="Arial" w:cs="Arial"/>
          <w:spacing w:val="-8"/>
          <w:sz w:val="20"/>
          <w:szCs w:val="20"/>
        </w:rPr>
        <w:t xml:space="preserve"> </w:t>
      </w:r>
      <w:r w:rsidRPr="002C3ADC">
        <w:rPr>
          <w:rFonts w:ascii="Arial" w:hAnsi="Arial" w:cs="Arial"/>
          <w:sz w:val="20"/>
          <w:szCs w:val="20"/>
        </w:rPr>
        <w:t>scheduled</w:t>
      </w:r>
      <w:r w:rsidRPr="002C3ADC">
        <w:rPr>
          <w:rFonts w:ascii="Arial" w:hAnsi="Arial" w:cs="Arial"/>
          <w:spacing w:val="-10"/>
          <w:sz w:val="20"/>
          <w:szCs w:val="20"/>
        </w:rPr>
        <w:t xml:space="preserve"> </w:t>
      </w:r>
      <w:r w:rsidRPr="002C3ADC">
        <w:rPr>
          <w:rFonts w:ascii="Arial" w:hAnsi="Arial" w:cs="Arial"/>
          <w:sz w:val="20"/>
          <w:szCs w:val="20"/>
        </w:rPr>
        <w:t>maintenance,</w:t>
      </w:r>
      <w:r w:rsidRPr="002C3ADC">
        <w:rPr>
          <w:rFonts w:ascii="Arial" w:hAnsi="Arial" w:cs="Arial"/>
          <w:spacing w:val="-9"/>
          <w:sz w:val="20"/>
          <w:szCs w:val="20"/>
        </w:rPr>
        <w:t xml:space="preserve"> </w:t>
      </w:r>
      <w:r w:rsidRPr="002C3ADC">
        <w:rPr>
          <w:rFonts w:ascii="Arial" w:hAnsi="Arial" w:cs="Arial"/>
          <w:sz w:val="20"/>
          <w:szCs w:val="20"/>
        </w:rPr>
        <w:t>the</w:t>
      </w:r>
      <w:r w:rsidRPr="002C3ADC">
        <w:rPr>
          <w:rFonts w:ascii="Arial" w:hAnsi="Arial" w:cs="Arial"/>
          <w:spacing w:val="-7"/>
          <w:sz w:val="20"/>
          <w:szCs w:val="20"/>
        </w:rPr>
        <w:t xml:space="preserve"> </w:t>
      </w:r>
      <w:r w:rsidRPr="002C3ADC">
        <w:rPr>
          <w:rFonts w:ascii="Arial" w:hAnsi="Arial" w:cs="Arial"/>
          <w:sz w:val="20"/>
          <w:szCs w:val="20"/>
        </w:rPr>
        <w:t>application</w:t>
      </w:r>
      <w:r w:rsidRPr="002C3ADC">
        <w:rPr>
          <w:rFonts w:ascii="Arial" w:hAnsi="Arial" w:cs="Arial"/>
          <w:spacing w:val="-10"/>
          <w:sz w:val="20"/>
          <w:szCs w:val="20"/>
        </w:rPr>
        <w:t xml:space="preserve"> </w:t>
      </w:r>
      <w:r w:rsidRPr="002C3ADC">
        <w:rPr>
          <w:rFonts w:ascii="Arial" w:hAnsi="Arial" w:cs="Arial"/>
          <w:sz w:val="20"/>
          <w:szCs w:val="20"/>
        </w:rPr>
        <w:t>of</w:t>
      </w:r>
      <w:r w:rsidRPr="002C3ADC">
        <w:rPr>
          <w:rFonts w:ascii="Arial" w:hAnsi="Arial" w:cs="Arial"/>
          <w:spacing w:val="-11"/>
          <w:sz w:val="20"/>
          <w:szCs w:val="20"/>
        </w:rPr>
        <w:t xml:space="preserve"> </w:t>
      </w:r>
      <w:r w:rsidRPr="002C3ADC">
        <w:rPr>
          <w:rFonts w:ascii="Arial" w:hAnsi="Arial" w:cs="Arial"/>
          <w:sz w:val="20"/>
          <w:szCs w:val="20"/>
        </w:rPr>
        <w:t>ADs,</w:t>
      </w:r>
      <w:r w:rsidRPr="002C3ADC">
        <w:rPr>
          <w:rFonts w:ascii="Arial" w:hAnsi="Arial" w:cs="Arial"/>
          <w:spacing w:val="-6"/>
          <w:sz w:val="20"/>
          <w:szCs w:val="20"/>
        </w:rPr>
        <w:t xml:space="preserve"> </w:t>
      </w:r>
      <w:r w:rsidRPr="002C3ADC">
        <w:rPr>
          <w:rFonts w:ascii="Arial" w:hAnsi="Arial" w:cs="Arial"/>
          <w:sz w:val="20"/>
          <w:szCs w:val="20"/>
        </w:rPr>
        <w:t>the</w:t>
      </w:r>
      <w:r w:rsidRPr="002C3ADC">
        <w:rPr>
          <w:rFonts w:ascii="Arial" w:hAnsi="Arial" w:cs="Arial"/>
          <w:spacing w:val="-6"/>
          <w:sz w:val="20"/>
          <w:szCs w:val="20"/>
        </w:rPr>
        <w:t xml:space="preserve"> </w:t>
      </w:r>
      <w:r w:rsidRPr="002C3ADC">
        <w:rPr>
          <w:rFonts w:ascii="Arial" w:hAnsi="Arial" w:cs="Arial"/>
          <w:sz w:val="20"/>
          <w:szCs w:val="20"/>
        </w:rPr>
        <w:t>replacement</w:t>
      </w:r>
      <w:r w:rsidRPr="002C3ADC">
        <w:rPr>
          <w:rFonts w:ascii="Arial" w:hAnsi="Arial" w:cs="Arial"/>
          <w:spacing w:val="-47"/>
          <w:sz w:val="20"/>
          <w:szCs w:val="20"/>
        </w:rPr>
        <w:t xml:space="preserve"> </w:t>
      </w:r>
      <w:r w:rsidRPr="002C3ADC">
        <w:rPr>
          <w:rFonts w:ascii="Arial" w:hAnsi="Arial" w:cs="Arial"/>
          <w:sz w:val="20"/>
          <w:szCs w:val="20"/>
        </w:rPr>
        <w:t>of</w:t>
      </w:r>
      <w:r w:rsidRPr="002C3ADC">
        <w:rPr>
          <w:rFonts w:ascii="Arial" w:hAnsi="Arial" w:cs="Arial"/>
          <w:spacing w:val="-1"/>
          <w:sz w:val="20"/>
          <w:szCs w:val="20"/>
        </w:rPr>
        <w:t xml:space="preserve"> </w:t>
      </w:r>
      <w:r w:rsidRPr="002C3ADC">
        <w:rPr>
          <w:rFonts w:ascii="Arial" w:hAnsi="Arial" w:cs="Arial"/>
          <w:sz w:val="20"/>
          <w:szCs w:val="20"/>
        </w:rPr>
        <w:t>service-life-limited</w:t>
      </w:r>
      <w:r w:rsidRPr="002C3ADC">
        <w:rPr>
          <w:rFonts w:ascii="Arial" w:hAnsi="Arial" w:cs="Arial"/>
          <w:spacing w:val="-1"/>
          <w:sz w:val="20"/>
          <w:szCs w:val="20"/>
        </w:rPr>
        <w:t xml:space="preserve"> </w:t>
      </w:r>
      <w:r w:rsidRPr="002C3ADC">
        <w:rPr>
          <w:rFonts w:ascii="Arial" w:hAnsi="Arial" w:cs="Arial"/>
          <w:sz w:val="20"/>
          <w:szCs w:val="20"/>
        </w:rPr>
        <w:t>parts,</w:t>
      </w:r>
      <w:r w:rsidRPr="002C3ADC">
        <w:rPr>
          <w:rFonts w:ascii="Arial" w:hAnsi="Arial" w:cs="Arial"/>
          <w:spacing w:val="-1"/>
          <w:sz w:val="20"/>
          <w:szCs w:val="20"/>
        </w:rPr>
        <w:t xml:space="preserve"> </w:t>
      </w:r>
      <w:r w:rsidRPr="002C3ADC">
        <w:rPr>
          <w:rFonts w:ascii="Arial" w:hAnsi="Arial" w:cs="Arial"/>
          <w:sz w:val="20"/>
          <w:szCs w:val="20"/>
        </w:rPr>
        <w:t>and</w:t>
      </w:r>
      <w:r w:rsidRPr="002C3ADC">
        <w:rPr>
          <w:rFonts w:ascii="Arial" w:hAnsi="Arial" w:cs="Arial"/>
          <w:spacing w:val="-2"/>
          <w:sz w:val="20"/>
          <w:szCs w:val="20"/>
        </w:rPr>
        <w:t xml:space="preserve"> </w:t>
      </w:r>
      <w:r w:rsidRPr="002C3ADC">
        <w:rPr>
          <w:rFonts w:ascii="Arial" w:hAnsi="Arial" w:cs="Arial"/>
          <w:sz w:val="20"/>
          <w:szCs w:val="20"/>
        </w:rPr>
        <w:t>component</w:t>
      </w:r>
      <w:r w:rsidRPr="002C3ADC">
        <w:rPr>
          <w:rFonts w:ascii="Arial" w:hAnsi="Arial" w:cs="Arial"/>
          <w:spacing w:val="-1"/>
          <w:sz w:val="20"/>
          <w:szCs w:val="20"/>
        </w:rPr>
        <w:t xml:space="preserve"> </w:t>
      </w:r>
      <w:r w:rsidRPr="002C3ADC">
        <w:rPr>
          <w:rFonts w:ascii="Arial" w:hAnsi="Arial" w:cs="Arial"/>
          <w:sz w:val="20"/>
          <w:szCs w:val="20"/>
        </w:rPr>
        <w:t>inspection</w:t>
      </w:r>
      <w:r w:rsidRPr="002C3ADC">
        <w:rPr>
          <w:rFonts w:ascii="Arial" w:hAnsi="Arial" w:cs="Arial"/>
          <w:spacing w:val="-2"/>
          <w:sz w:val="20"/>
          <w:szCs w:val="20"/>
        </w:rPr>
        <w:t xml:space="preserve"> </w:t>
      </w:r>
      <w:r w:rsidRPr="002C3ADC">
        <w:rPr>
          <w:rFonts w:ascii="Arial" w:hAnsi="Arial" w:cs="Arial"/>
          <w:sz w:val="20"/>
          <w:szCs w:val="20"/>
        </w:rPr>
        <w:t>requirements;</w:t>
      </w:r>
    </w:p>
    <w:p w14:paraId="242EE564" w14:textId="77777777" w:rsidR="002C3ADC" w:rsidRPr="002C3ADC" w:rsidRDefault="002C3ADC" w:rsidP="003B5604">
      <w:pPr>
        <w:pStyle w:val="ListParagraph"/>
        <w:numPr>
          <w:ilvl w:val="3"/>
          <w:numId w:val="341"/>
        </w:numPr>
        <w:tabs>
          <w:tab w:val="left" w:pos="2409"/>
        </w:tabs>
        <w:ind w:right="200"/>
        <w:jc w:val="both"/>
        <w:rPr>
          <w:rFonts w:ascii="Arial" w:hAnsi="Arial" w:cs="Arial"/>
          <w:sz w:val="20"/>
          <w:szCs w:val="20"/>
        </w:rPr>
      </w:pPr>
      <w:r w:rsidRPr="002C3ADC">
        <w:rPr>
          <w:rFonts w:ascii="Arial" w:hAnsi="Arial" w:cs="Arial"/>
          <w:sz w:val="20"/>
          <w:szCs w:val="20"/>
        </w:rPr>
        <w:t>inform the owner each time the aircraft must be brought to an approved</w:t>
      </w:r>
      <w:r w:rsidRPr="002C3ADC">
        <w:rPr>
          <w:rFonts w:ascii="Arial" w:hAnsi="Arial" w:cs="Arial"/>
          <w:spacing w:val="1"/>
          <w:sz w:val="20"/>
          <w:szCs w:val="20"/>
        </w:rPr>
        <w:t xml:space="preserve"> </w:t>
      </w:r>
      <w:r w:rsidRPr="002C3ADC">
        <w:rPr>
          <w:rFonts w:ascii="Arial" w:hAnsi="Arial" w:cs="Arial"/>
          <w:sz w:val="20"/>
          <w:szCs w:val="20"/>
        </w:rPr>
        <w:t>maintenance</w:t>
      </w:r>
      <w:r w:rsidRPr="002C3ADC">
        <w:rPr>
          <w:rFonts w:ascii="Arial" w:hAnsi="Arial" w:cs="Arial"/>
          <w:spacing w:val="-3"/>
          <w:sz w:val="20"/>
          <w:szCs w:val="20"/>
        </w:rPr>
        <w:t xml:space="preserve"> </w:t>
      </w:r>
      <w:r w:rsidRPr="002C3ADC">
        <w:rPr>
          <w:rFonts w:ascii="Arial" w:hAnsi="Arial" w:cs="Arial"/>
          <w:sz w:val="20"/>
          <w:szCs w:val="20"/>
        </w:rPr>
        <w:t>organisation</w:t>
      </w:r>
      <w:r w:rsidRPr="002C3ADC">
        <w:rPr>
          <w:rFonts w:ascii="Arial" w:hAnsi="Arial" w:cs="Arial"/>
          <w:spacing w:val="-4"/>
          <w:sz w:val="20"/>
          <w:szCs w:val="20"/>
        </w:rPr>
        <w:t xml:space="preserve"> </w:t>
      </w:r>
      <w:r w:rsidRPr="002C3ADC">
        <w:rPr>
          <w:rFonts w:ascii="Arial" w:hAnsi="Arial" w:cs="Arial"/>
          <w:sz w:val="20"/>
          <w:szCs w:val="20"/>
        </w:rPr>
        <w:t>or,</w:t>
      </w:r>
      <w:r w:rsidRPr="002C3ADC">
        <w:rPr>
          <w:rFonts w:ascii="Arial" w:hAnsi="Arial" w:cs="Arial"/>
          <w:spacing w:val="-1"/>
          <w:sz w:val="20"/>
          <w:szCs w:val="20"/>
        </w:rPr>
        <w:t xml:space="preserve"> </w:t>
      </w:r>
      <w:r w:rsidRPr="002C3ADC">
        <w:rPr>
          <w:rFonts w:ascii="Arial" w:hAnsi="Arial" w:cs="Arial"/>
          <w:sz w:val="20"/>
          <w:szCs w:val="20"/>
        </w:rPr>
        <w:t>if</w:t>
      </w:r>
      <w:r w:rsidRPr="002C3ADC">
        <w:rPr>
          <w:rFonts w:ascii="Arial" w:hAnsi="Arial" w:cs="Arial"/>
          <w:spacing w:val="-1"/>
          <w:sz w:val="20"/>
          <w:szCs w:val="20"/>
        </w:rPr>
        <w:t xml:space="preserve"> </w:t>
      </w:r>
      <w:r w:rsidRPr="002C3ADC">
        <w:rPr>
          <w:rFonts w:ascii="Arial" w:hAnsi="Arial" w:cs="Arial"/>
          <w:sz w:val="20"/>
          <w:szCs w:val="20"/>
        </w:rPr>
        <w:t>permitted,</w:t>
      </w:r>
      <w:r w:rsidRPr="002C3ADC">
        <w:rPr>
          <w:rFonts w:ascii="Arial" w:hAnsi="Arial" w:cs="Arial"/>
          <w:spacing w:val="-4"/>
          <w:sz w:val="20"/>
          <w:szCs w:val="20"/>
        </w:rPr>
        <w:t xml:space="preserve"> </w:t>
      </w:r>
      <w:r w:rsidRPr="002C3ADC">
        <w:rPr>
          <w:rFonts w:ascii="Arial" w:hAnsi="Arial" w:cs="Arial"/>
          <w:sz w:val="20"/>
          <w:szCs w:val="20"/>
        </w:rPr>
        <w:t>to independent</w:t>
      </w:r>
      <w:r w:rsidRPr="002C3ADC">
        <w:rPr>
          <w:rFonts w:ascii="Arial" w:hAnsi="Arial" w:cs="Arial"/>
          <w:spacing w:val="-1"/>
          <w:sz w:val="20"/>
          <w:szCs w:val="20"/>
        </w:rPr>
        <w:t xml:space="preserve"> </w:t>
      </w:r>
      <w:r w:rsidRPr="002C3ADC">
        <w:rPr>
          <w:rFonts w:ascii="Arial" w:hAnsi="Arial" w:cs="Arial"/>
          <w:sz w:val="20"/>
          <w:szCs w:val="20"/>
        </w:rPr>
        <w:t>certifying</w:t>
      </w:r>
      <w:r w:rsidRPr="002C3ADC">
        <w:rPr>
          <w:rFonts w:ascii="Arial" w:hAnsi="Arial" w:cs="Arial"/>
          <w:spacing w:val="-3"/>
          <w:sz w:val="20"/>
          <w:szCs w:val="20"/>
        </w:rPr>
        <w:t xml:space="preserve"> </w:t>
      </w:r>
      <w:r w:rsidRPr="002C3ADC">
        <w:rPr>
          <w:rFonts w:ascii="Arial" w:hAnsi="Arial" w:cs="Arial"/>
          <w:sz w:val="20"/>
          <w:szCs w:val="20"/>
        </w:rPr>
        <w:t>staff;</w:t>
      </w:r>
    </w:p>
    <w:p w14:paraId="3622F6AF" w14:textId="77777777" w:rsidR="002C3ADC" w:rsidRPr="002C3ADC" w:rsidRDefault="002C3ADC" w:rsidP="003B5604">
      <w:pPr>
        <w:pStyle w:val="ListParagraph"/>
        <w:numPr>
          <w:ilvl w:val="3"/>
          <w:numId w:val="341"/>
        </w:numPr>
        <w:tabs>
          <w:tab w:val="left" w:pos="2409"/>
        </w:tabs>
        <w:spacing w:before="121"/>
        <w:jc w:val="both"/>
        <w:rPr>
          <w:rFonts w:ascii="Arial" w:hAnsi="Arial" w:cs="Arial"/>
          <w:sz w:val="20"/>
          <w:szCs w:val="20"/>
        </w:rPr>
      </w:pPr>
      <w:r w:rsidRPr="002C3ADC">
        <w:rPr>
          <w:rFonts w:ascii="Arial" w:hAnsi="Arial" w:cs="Arial"/>
          <w:sz w:val="20"/>
          <w:szCs w:val="20"/>
        </w:rPr>
        <w:t>manage and</w:t>
      </w:r>
      <w:r w:rsidRPr="002C3ADC">
        <w:rPr>
          <w:rFonts w:ascii="Arial" w:hAnsi="Arial" w:cs="Arial"/>
          <w:spacing w:val="-2"/>
          <w:sz w:val="20"/>
          <w:szCs w:val="20"/>
        </w:rPr>
        <w:t xml:space="preserve"> </w:t>
      </w:r>
      <w:r w:rsidRPr="002C3ADC">
        <w:rPr>
          <w:rFonts w:ascii="Arial" w:hAnsi="Arial" w:cs="Arial"/>
          <w:sz w:val="20"/>
          <w:szCs w:val="20"/>
        </w:rPr>
        <w:t>archive</w:t>
      </w:r>
      <w:r w:rsidRPr="002C3ADC">
        <w:rPr>
          <w:rFonts w:ascii="Arial" w:hAnsi="Arial" w:cs="Arial"/>
          <w:spacing w:val="-3"/>
          <w:sz w:val="20"/>
          <w:szCs w:val="20"/>
        </w:rPr>
        <w:t xml:space="preserve"> </w:t>
      </w:r>
      <w:r w:rsidRPr="002C3ADC">
        <w:rPr>
          <w:rFonts w:ascii="Arial" w:hAnsi="Arial" w:cs="Arial"/>
          <w:sz w:val="20"/>
          <w:szCs w:val="20"/>
        </w:rPr>
        <w:t>all</w:t>
      </w:r>
      <w:r w:rsidRPr="002C3ADC">
        <w:rPr>
          <w:rFonts w:ascii="Arial" w:hAnsi="Arial" w:cs="Arial"/>
          <w:spacing w:val="-1"/>
          <w:sz w:val="20"/>
          <w:szCs w:val="20"/>
        </w:rPr>
        <w:t xml:space="preserve"> </w:t>
      </w:r>
      <w:r w:rsidRPr="002C3ADC">
        <w:rPr>
          <w:rFonts w:ascii="Arial" w:hAnsi="Arial" w:cs="Arial"/>
          <w:sz w:val="20"/>
          <w:szCs w:val="20"/>
        </w:rPr>
        <w:t>technical</w:t>
      </w:r>
      <w:r w:rsidRPr="002C3ADC">
        <w:rPr>
          <w:rFonts w:ascii="Arial" w:hAnsi="Arial" w:cs="Arial"/>
          <w:spacing w:val="-2"/>
          <w:sz w:val="20"/>
          <w:szCs w:val="20"/>
        </w:rPr>
        <w:t xml:space="preserve"> </w:t>
      </w:r>
      <w:r w:rsidRPr="002C3ADC">
        <w:rPr>
          <w:rFonts w:ascii="Arial" w:hAnsi="Arial" w:cs="Arial"/>
          <w:sz w:val="20"/>
          <w:szCs w:val="20"/>
        </w:rPr>
        <w:t>records;</w:t>
      </w:r>
    </w:p>
    <w:p w14:paraId="765E6ABE" w14:textId="2E98BBDC" w:rsidR="002C3ADC" w:rsidRPr="002C3ADC" w:rsidRDefault="002C3ADC" w:rsidP="003B5604">
      <w:pPr>
        <w:pStyle w:val="ListParagraph"/>
        <w:numPr>
          <w:ilvl w:val="2"/>
          <w:numId w:val="341"/>
        </w:numPr>
        <w:tabs>
          <w:tab w:val="left" w:pos="1842"/>
        </w:tabs>
        <w:spacing w:before="118"/>
        <w:ind w:right="198"/>
        <w:jc w:val="both"/>
        <w:rPr>
          <w:rFonts w:ascii="Arial" w:hAnsi="Arial" w:cs="Arial"/>
          <w:sz w:val="20"/>
          <w:szCs w:val="20"/>
        </w:rPr>
      </w:pPr>
      <w:r w:rsidRPr="002C3ADC">
        <w:rPr>
          <w:rFonts w:ascii="Arial" w:hAnsi="Arial" w:cs="Arial"/>
          <w:sz w:val="20"/>
          <w:szCs w:val="20"/>
        </w:rPr>
        <w:t>organise</w:t>
      </w:r>
      <w:r w:rsidRPr="002C3ADC">
        <w:rPr>
          <w:rFonts w:ascii="Arial" w:hAnsi="Arial" w:cs="Arial"/>
          <w:spacing w:val="-5"/>
          <w:sz w:val="20"/>
          <w:szCs w:val="20"/>
        </w:rPr>
        <w:t xml:space="preserve"> </w:t>
      </w:r>
      <w:r w:rsidRPr="002C3ADC">
        <w:rPr>
          <w:rFonts w:ascii="Arial" w:hAnsi="Arial" w:cs="Arial"/>
          <w:sz w:val="20"/>
          <w:szCs w:val="20"/>
        </w:rPr>
        <w:t>the</w:t>
      </w:r>
      <w:r w:rsidRPr="002C3ADC">
        <w:rPr>
          <w:rFonts w:ascii="Arial" w:hAnsi="Arial" w:cs="Arial"/>
          <w:spacing w:val="-6"/>
          <w:sz w:val="20"/>
          <w:szCs w:val="20"/>
        </w:rPr>
        <w:t xml:space="preserve"> </w:t>
      </w:r>
      <w:r w:rsidRPr="002C3ADC">
        <w:rPr>
          <w:rFonts w:ascii="Arial" w:hAnsi="Arial" w:cs="Arial"/>
          <w:sz w:val="20"/>
          <w:szCs w:val="20"/>
        </w:rPr>
        <w:t>approval</w:t>
      </w:r>
      <w:r w:rsidRPr="002C3ADC">
        <w:rPr>
          <w:rFonts w:ascii="Arial" w:hAnsi="Arial" w:cs="Arial"/>
          <w:spacing w:val="-5"/>
          <w:sz w:val="20"/>
          <w:szCs w:val="20"/>
        </w:rPr>
        <w:t xml:space="preserve"> </w:t>
      </w:r>
      <w:r w:rsidRPr="002C3ADC">
        <w:rPr>
          <w:rFonts w:ascii="Arial" w:hAnsi="Arial" w:cs="Arial"/>
          <w:sz w:val="20"/>
          <w:szCs w:val="20"/>
        </w:rPr>
        <w:t>of</w:t>
      </w:r>
      <w:r w:rsidRPr="002C3ADC">
        <w:rPr>
          <w:rFonts w:ascii="Arial" w:hAnsi="Arial" w:cs="Arial"/>
          <w:spacing w:val="-6"/>
          <w:sz w:val="20"/>
          <w:szCs w:val="20"/>
        </w:rPr>
        <w:t xml:space="preserve"> </w:t>
      </w:r>
      <w:r w:rsidRPr="002C3ADC">
        <w:rPr>
          <w:rFonts w:ascii="Arial" w:hAnsi="Arial" w:cs="Arial"/>
          <w:sz w:val="20"/>
          <w:szCs w:val="20"/>
        </w:rPr>
        <w:t>any</w:t>
      </w:r>
      <w:r w:rsidRPr="002C3ADC">
        <w:rPr>
          <w:rFonts w:ascii="Arial" w:hAnsi="Arial" w:cs="Arial"/>
          <w:spacing w:val="-4"/>
          <w:sz w:val="20"/>
          <w:szCs w:val="20"/>
        </w:rPr>
        <w:t xml:space="preserve"> </w:t>
      </w:r>
      <w:r w:rsidRPr="002C3ADC">
        <w:rPr>
          <w:rFonts w:ascii="Arial" w:hAnsi="Arial" w:cs="Arial"/>
          <w:sz w:val="20"/>
          <w:szCs w:val="20"/>
        </w:rPr>
        <w:t>modification</w:t>
      </w:r>
      <w:r w:rsidRPr="002C3ADC">
        <w:rPr>
          <w:rFonts w:ascii="Arial" w:hAnsi="Arial" w:cs="Arial"/>
          <w:spacing w:val="-4"/>
          <w:sz w:val="20"/>
          <w:szCs w:val="20"/>
        </w:rPr>
        <w:t xml:space="preserve"> </w:t>
      </w:r>
      <w:r w:rsidRPr="002C3ADC">
        <w:rPr>
          <w:rFonts w:ascii="Arial" w:hAnsi="Arial" w:cs="Arial"/>
          <w:sz w:val="20"/>
          <w:szCs w:val="20"/>
        </w:rPr>
        <w:t>to</w:t>
      </w:r>
      <w:r w:rsidRPr="002C3ADC">
        <w:rPr>
          <w:rFonts w:ascii="Arial" w:hAnsi="Arial" w:cs="Arial"/>
          <w:spacing w:val="-4"/>
          <w:sz w:val="20"/>
          <w:szCs w:val="20"/>
        </w:rPr>
        <w:t xml:space="preserve"> </w:t>
      </w:r>
      <w:r w:rsidRPr="002C3ADC">
        <w:rPr>
          <w:rFonts w:ascii="Arial" w:hAnsi="Arial" w:cs="Arial"/>
          <w:sz w:val="20"/>
          <w:szCs w:val="20"/>
        </w:rPr>
        <w:t>the</w:t>
      </w:r>
      <w:r w:rsidRPr="002C3ADC">
        <w:rPr>
          <w:rFonts w:ascii="Arial" w:hAnsi="Arial" w:cs="Arial"/>
          <w:spacing w:val="-5"/>
          <w:sz w:val="20"/>
          <w:szCs w:val="20"/>
        </w:rPr>
        <w:t xml:space="preserve"> </w:t>
      </w:r>
      <w:r w:rsidRPr="002C3ADC">
        <w:rPr>
          <w:rFonts w:ascii="Arial" w:hAnsi="Arial" w:cs="Arial"/>
          <w:sz w:val="20"/>
          <w:szCs w:val="20"/>
        </w:rPr>
        <w:t>aircraft</w:t>
      </w:r>
      <w:r w:rsidRPr="002C3ADC">
        <w:rPr>
          <w:rFonts w:ascii="Arial" w:hAnsi="Arial" w:cs="Arial"/>
          <w:spacing w:val="-3"/>
          <w:sz w:val="20"/>
          <w:szCs w:val="20"/>
        </w:rPr>
        <w:t xml:space="preserve"> </w:t>
      </w:r>
      <w:r w:rsidRPr="002C3ADC">
        <w:rPr>
          <w:rFonts w:ascii="Arial" w:hAnsi="Arial" w:cs="Arial"/>
          <w:sz w:val="20"/>
          <w:szCs w:val="20"/>
        </w:rPr>
        <w:t>in</w:t>
      </w:r>
      <w:r w:rsidRPr="002C3ADC">
        <w:rPr>
          <w:rFonts w:ascii="Arial" w:hAnsi="Arial" w:cs="Arial"/>
          <w:spacing w:val="-3"/>
          <w:sz w:val="20"/>
          <w:szCs w:val="20"/>
        </w:rPr>
        <w:t xml:space="preserve"> </w:t>
      </w:r>
      <w:r w:rsidRPr="002C3ADC">
        <w:rPr>
          <w:rFonts w:ascii="Arial" w:hAnsi="Arial" w:cs="Arial"/>
          <w:sz w:val="20"/>
          <w:szCs w:val="20"/>
        </w:rPr>
        <w:t>accordance</w:t>
      </w:r>
      <w:r w:rsidRPr="002C3ADC">
        <w:rPr>
          <w:rFonts w:ascii="Arial" w:hAnsi="Arial" w:cs="Arial"/>
          <w:spacing w:val="-5"/>
          <w:sz w:val="20"/>
          <w:szCs w:val="20"/>
        </w:rPr>
        <w:t xml:space="preserve"> </w:t>
      </w:r>
      <w:r w:rsidRPr="002C3ADC">
        <w:rPr>
          <w:rFonts w:ascii="Arial" w:hAnsi="Arial" w:cs="Arial"/>
          <w:sz w:val="20"/>
          <w:szCs w:val="20"/>
        </w:rPr>
        <w:t>with</w:t>
      </w:r>
      <w:r w:rsidRPr="002C3ADC">
        <w:rPr>
          <w:rFonts w:ascii="Arial" w:hAnsi="Arial" w:cs="Arial"/>
          <w:spacing w:val="-6"/>
          <w:sz w:val="20"/>
          <w:szCs w:val="20"/>
        </w:rPr>
        <w:t xml:space="preserve"> </w:t>
      </w:r>
      <w:r w:rsidRPr="002C3ADC">
        <w:rPr>
          <w:rFonts w:ascii="Arial" w:hAnsi="Arial" w:cs="Arial"/>
          <w:sz w:val="20"/>
          <w:szCs w:val="20"/>
        </w:rPr>
        <w:t>Annex</w:t>
      </w:r>
      <w:r w:rsidRPr="002C3ADC">
        <w:rPr>
          <w:rFonts w:ascii="Arial" w:hAnsi="Arial" w:cs="Arial"/>
          <w:spacing w:val="-47"/>
          <w:sz w:val="20"/>
          <w:szCs w:val="20"/>
        </w:rPr>
        <w:t xml:space="preserve"> </w:t>
      </w:r>
      <w:r w:rsidRPr="002C3ADC">
        <w:rPr>
          <w:rFonts w:ascii="Arial" w:hAnsi="Arial" w:cs="Arial"/>
          <w:sz w:val="20"/>
          <w:szCs w:val="20"/>
        </w:rPr>
        <w:t>I</w:t>
      </w:r>
      <w:r w:rsidRPr="002C3ADC">
        <w:rPr>
          <w:rFonts w:ascii="Arial" w:hAnsi="Arial" w:cs="Arial"/>
          <w:spacing w:val="-1"/>
          <w:sz w:val="20"/>
          <w:szCs w:val="20"/>
        </w:rPr>
        <w:t xml:space="preserve"> </w:t>
      </w:r>
      <w:r w:rsidRPr="002C3ADC">
        <w:rPr>
          <w:rFonts w:ascii="Arial" w:hAnsi="Arial" w:cs="Arial"/>
          <w:sz w:val="20"/>
          <w:szCs w:val="20"/>
        </w:rPr>
        <w:t>to</w:t>
      </w:r>
      <w:r w:rsidRPr="002C3ADC">
        <w:rPr>
          <w:rFonts w:ascii="Arial" w:hAnsi="Arial" w:cs="Arial"/>
          <w:spacing w:val="-2"/>
          <w:sz w:val="20"/>
          <w:szCs w:val="20"/>
        </w:rPr>
        <w:t xml:space="preserve"> </w:t>
      </w:r>
      <w:hyperlink r:id="rId138" w:history="1">
        <w:r w:rsidR="003D723D">
          <w:rPr>
            <w:rStyle w:val="Hyperlink"/>
            <w:rFonts w:ascii="Arial" w:hAnsi="Arial" w:cs="Arial"/>
            <w:sz w:val="20"/>
          </w:rPr>
          <w:t>the order N 20-N of the Minister of Territorial Administration and Infrastructure of RA, dated 18.11.2022</w:t>
        </w:r>
      </w:hyperlink>
      <w:r w:rsidR="003D723D" w:rsidRPr="002C3ADC">
        <w:rPr>
          <w:rFonts w:ascii="Arial" w:hAnsi="Arial" w:cs="Arial"/>
          <w:sz w:val="20"/>
          <w:szCs w:val="20"/>
        </w:rPr>
        <w:t xml:space="preserve"> </w:t>
      </w:r>
      <w:r w:rsidRPr="002C3ADC">
        <w:rPr>
          <w:rFonts w:ascii="Arial" w:hAnsi="Arial" w:cs="Arial"/>
          <w:sz w:val="20"/>
          <w:szCs w:val="20"/>
        </w:rPr>
        <w:t>(Part-21)</w:t>
      </w:r>
      <w:r w:rsidRPr="002C3ADC">
        <w:rPr>
          <w:rFonts w:ascii="Arial" w:hAnsi="Arial" w:cs="Arial"/>
          <w:spacing w:val="-4"/>
          <w:sz w:val="20"/>
          <w:szCs w:val="20"/>
        </w:rPr>
        <w:t xml:space="preserve"> </w:t>
      </w:r>
      <w:r w:rsidRPr="002C3ADC">
        <w:rPr>
          <w:rFonts w:ascii="Arial" w:hAnsi="Arial" w:cs="Arial"/>
          <w:sz w:val="20"/>
          <w:szCs w:val="20"/>
        </w:rPr>
        <w:t>before</w:t>
      </w:r>
      <w:r w:rsidRPr="002C3ADC">
        <w:rPr>
          <w:rFonts w:ascii="Arial" w:hAnsi="Arial" w:cs="Arial"/>
          <w:spacing w:val="-3"/>
          <w:sz w:val="20"/>
          <w:szCs w:val="20"/>
        </w:rPr>
        <w:t xml:space="preserve"> </w:t>
      </w:r>
      <w:r w:rsidRPr="002C3ADC">
        <w:rPr>
          <w:rFonts w:ascii="Arial" w:hAnsi="Arial" w:cs="Arial"/>
          <w:sz w:val="20"/>
          <w:szCs w:val="20"/>
        </w:rPr>
        <w:t>this</w:t>
      </w:r>
      <w:r w:rsidRPr="002C3ADC">
        <w:rPr>
          <w:rFonts w:ascii="Arial" w:hAnsi="Arial" w:cs="Arial"/>
          <w:spacing w:val="-2"/>
          <w:sz w:val="20"/>
          <w:szCs w:val="20"/>
        </w:rPr>
        <w:t xml:space="preserve"> </w:t>
      </w:r>
      <w:r w:rsidRPr="002C3ADC">
        <w:rPr>
          <w:rFonts w:ascii="Arial" w:hAnsi="Arial" w:cs="Arial"/>
          <w:sz w:val="20"/>
          <w:szCs w:val="20"/>
        </w:rPr>
        <w:t>modification</w:t>
      </w:r>
      <w:r w:rsidRPr="002C3ADC">
        <w:rPr>
          <w:rFonts w:ascii="Arial" w:hAnsi="Arial" w:cs="Arial"/>
          <w:spacing w:val="-5"/>
          <w:sz w:val="20"/>
          <w:szCs w:val="20"/>
        </w:rPr>
        <w:t xml:space="preserve"> </w:t>
      </w:r>
      <w:r w:rsidRPr="002C3ADC">
        <w:rPr>
          <w:rFonts w:ascii="Arial" w:hAnsi="Arial" w:cs="Arial"/>
          <w:sz w:val="20"/>
          <w:szCs w:val="20"/>
        </w:rPr>
        <w:t>is</w:t>
      </w:r>
      <w:r w:rsidRPr="002C3ADC">
        <w:rPr>
          <w:rFonts w:ascii="Arial" w:hAnsi="Arial" w:cs="Arial"/>
          <w:spacing w:val="-1"/>
          <w:sz w:val="20"/>
          <w:szCs w:val="20"/>
        </w:rPr>
        <w:t xml:space="preserve"> </w:t>
      </w:r>
      <w:r w:rsidRPr="002C3ADC">
        <w:rPr>
          <w:rFonts w:ascii="Arial" w:hAnsi="Arial" w:cs="Arial"/>
          <w:sz w:val="20"/>
          <w:szCs w:val="20"/>
        </w:rPr>
        <w:t>embodied;</w:t>
      </w:r>
    </w:p>
    <w:p w14:paraId="1F31ECB1" w14:textId="4E0454A8" w:rsidR="002C3ADC" w:rsidRPr="002C3ADC" w:rsidRDefault="002C3ADC" w:rsidP="003B5604">
      <w:pPr>
        <w:pStyle w:val="ListParagraph"/>
        <w:numPr>
          <w:ilvl w:val="2"/>
          <w:numId w:val="341"/>
        </w:numPr>
        <w:tabs>
          <w:tab w:val="left" w:pos="1842"/>
        </w:tabs>
        <w:spacing w:before="121"/>
        <w:ind w:right="197"/>
        <w:jc w:val="both"/>
        <w:rPr>
          <w:rFonts w:ascii="Arial" w:hAnsi="Arial" w:cs="Arial"/>
          <w:sz w:val="20"/>
          <w:szCs w:val="20"/>
        </w:rPr>
      </w:pPr>
      <w:r w:rsidRPr="002C3ADC">
        <w:rPr>
          <w:rFonts w:ascii="Arial" w:hAnsi="Arial" w:cs="Arial"/>
          <w:sz w:val="20"/>
          <w:szCs w:val="20"/>
        </w:rPr>
        <w:t>organise the approval of any repair to the aircraft in accordance with Annex I to</w:t>
      </w:r>
      <w:r w:rsidRPr="002C3ADC">
        <w:rPr>
          <w:rFonts w:ascii="Arial" w:hAnsi="Arial" w:cs="Arial"/>
          <w:spacing w:val="1"/>
          <w:sz w:val="20"/>
          <w:szCs w:val="20"/>
        </w:rPr>
        <w:t xml:space="preserve"> </w:t>
      </w:r>
      <w:hyperlink r:id="rId139" w:history="1">
        <w:r w:rsidR="003D723D">
          <w:rPr>
            <w:rStyle w:val="Hyperlink"/>
            <w:rFonts w:ascii="Arial" w:hAnsi="Arial" w:cs="Arial"/>
            <w:sz w:val="20"/>
          </w:rPr>
          <w:t xml:space="preserve">the order N 20-N of the Minister of Territorial Administration and Infrastructure of </w:t>
        </w:r>
        <w:r w:rsidR="003D723D">
          <w:rPr>
            <w:rStyle w:val="Hyperlink"/>
            <w:rFonts w:ascii="Arial" w:hAnsi="Arial" w:cs="Arial"/>
            <w:sz w:val="20"/>
          </w:rPr>
          <w:lastRenderedPageBreak/>
          <w:t>RA, dated 18.11.2022</w:t>
        </w:r>
      </w:hyperlink>
      <w:r w:rsidR="003D723D" w:rsidRPr="002C3ADC">
        <w:rPr>
          <w:rFonts w:ascii="Arial" w:hAnsi="Arial" w:cs="Arial"/>
          <w:sz w:val="20"/>
          <w:szCs w:val="20"/>
        </w:rPr>
        <w:t xml:space="preserve"> </w:t>
      </w:r>
      <w:r w:rsidRPr="002C3ADC">
        <w:rPr>
          <w:rFonts w:ascii="Arial" w:hAnsi="Arial" w:cs="Arial"/>
          <w:sz w:val="20"/>
          <w:szCs w:val="20"/>
        </w:rPr>
        <w:t>(Part-21) before</w:t>
      </w:r>
      <w:r w:rsidRPr="002C3ADC">
        <w:rPr>
          <w:rFonts w:ascii="Arial" w:hAnsi="Arial" w:cs="Arial"/>
          <w:spacing w:val="-2"/>
          <w:sz w:val="20"/>
          <w:szCs w:val="20"/>
        </w:rPr>
        <w:t xml:space="preserve"> </w:t>
      </w:r>
      <w:r w:rsidRPr="002C3ADC">
        <w:rPr>
          <w:rFonts w:ascii="Arial" w:hAnsi="Arial" w:cs="Arial"/>
          <w:sz w:val="20"/>
          <w:szCs w:val="20"/>
        </w:rPr>
        <w:t>this</w:t>
      </w:r>
      <w:r w:rsidRPr="002C3ADC">
        <w:rPr>
          <w:rFonts w:ascii="Arial" w:hAnsi="Arial" w:cs="Arial"/>
          <w:spacing w:val="-1"/>
          <w:sz w:val="20"/>
          <w:szCs w:val="20"/>
        </w:rPr>
        <w:t xml:space="preserve"> </w:t>
      </w:r>
      <w:r w:rsidRPr="002C3ADC">
        <w:rPr>
          <w:rFonts w:ascii="Arial" w:hAnsi="Arial" w:cs="Arial"/>
          <w:sz w:val="20"/>
          <w:szCs w:val="20"/>
        </w:rPr>
        <w:t>repair is carried</w:t>
      </w:r>
      <w:r w:rsidRPr="002C3ADC">
        <w:rPr>
          <w:rFonts w:ascii="Arial" w:hAnsi="Arial" w:cs="Arial"/>
          <w:spacing w:val="-3"/>
          <w:sz w:val="20"/>
          <w:szCs w:val="20"/>
        </w:rPr>
        <w:t xml:space="preserve"> </w:t>
      </w:r>
      <w:r w:rsidRPr="002C3ADC">
        <w:rPr>
          <w:rFonts w:ascii="Arial" w:hAnsi="Arial" w:cs="Arial"/>
          <w:sz w:val="20"/>
          <w:szCs w:val="20"/>
        </w:rPr>
        <w:t>out;</w:t>
      </w:r>
    </w:p>
    <w:p w14:paraId="59520AE8" w14:textId="40F06008" w:rsidR="002C3ADC" w:rsidRPr="002C3ADC" w:rsidRDefault="002C3ADC" w:rsidP="003B5604">
      <w:pPr>
        <w:pStyle w:val="ListParagraph"/>
        <w:numPr>
          <w:ilvl w:val="2"/>
          <w:numId w:val="341"/>
        </w:numPr>
        <w:tabs>
          <w:tab w:val="left" w:pos="1842"/>
        </w:tabs>
        <w:ind w:right="194"/>
        <w:jc w:val="both"/>
        <w:rPr>
          <w:rFonts w:ascii="Arial" w:hAnsi="Arial" w:cs="Arial"/>
          <w:sz w:val="20"/>
          <w:szCs w:val="20"/>
        </w:rPr>
      </w:pPr>
      <w:r w:rsidRPr="002C3ADC">
        <w:rPr>
          <w:rFonts w:ascii="Arial" w:hAnsi="Arial" w:cs="Arial"/>
          <w:sz w:val="20"/>
          <w:szCs w:val="20"/>
        </w:rPr>
        <w:t xml:space="preserve">inform </w:t>
      </w:r>
      <w:r w:rsidR="00996D5E">
        <w:rPr>
          <w:rFonts w:ascii="Arial" w:hAnsi="Arial" w:cs="Arial"/>
          <w:sz w:val="20"/>
          <w:szCs w:val="20"/>
        </w:rPr>
        <w:t xml:space="preserve">CAC RA </w:t>
      </w:r>
      <w:r w:rsidRPr="002C3ADC">
        <w:rPr>
          <w:rFonts w:ascii="Arial" w:hAnsi="Arial" w:cs="Arial"/>
          <w:sz w:val="20"/>
          <w:szCs w:val="20"/>
        </w:rPr>
        <w:t>of registry whenever the</w:t>
      </w:r>
      <w:r w:rsidRPr="002C3ADC">
        <w:rPr>
          <w:rFonts w:ascii="Arial" w:hAnsi="Arial" w:cs="Arial"/>
          <w:spacing w:val="1"/>
          <w:sz w:val="20"/>
          <w:szCs w:val="20"/>
        </w:rPr>
        <w:t xml:space="preserve"> </w:t>
      </w:r>
      <w:r w:rsidRPr="002C3ADC">
        <w:rPr>
          <w:rFonts w:ascii="Arial" w:hAnsi="Arial" w:cs="Arial"/>
          <w:sz w:val="20"/>
          <w:szCs w:val="20"/>
        </w:rPr>
        <w:t>aircraft</w:t>
      </w:r>
      <w:r w:rsidRPr="002C3ADC">
        <w:rPr>
          <w:rFonts w:ascii="Arial" w:hAnsi="Arial" w:cs="Arial"/>
          <w:spacing w:val="1"/>
          <w:sz w:val="20"/>
          <w:szCs w:val="20"/>
        </w:rPr>
        <w:t xml:space="preserve"> </w:t>
      </w:r>
      <w:r w:rsidRPr="002C3ADC">
        <w:rPr>
          <w:rFonts w:ascii="Arial" w:hAnsi="Arial" w:cs="Arial"/>
          <w:sz w:val="20"/>
          <w:szCs w:val="20"/>
        </w:rPr>
        <w:t>is</w:t>
      </w:r>
      <w:r w:rsidRPr="002C3ADC">
        <w:rPr>
          <w:rFonts w:ascii="Arial" w:hAnsi="Arial" w:cs="Arial"/>
          <w:spacing w:val="1"/>
          <w:sz w:val="20"/>
          <w:szCs w:val="20"/>
        </w:rPr>
        <w:t xml:space="preserve"> </w:t>
      </w:r>
      <w:r w:rsidRPr="002C3ADC">
        <w:rPr>
          <w:rFonts w:ascii="Arial" w:hAnsi="Arial" w:cs="Arial"/>
          <w:sz w:val="20"/>
          <w:szCs w:val="20"/>
        </w:rPr>
        <w:t>not</w:t>
      </w:r>
      <w:r w:rsidRPr="002C3ADC">
        <w:rPr>
          <w:rFonts w:ascii="Arial" w:hAnsi="Arial" w:cs="Arial"/>
          <w:spacing w:val="1"/>
          <w:sz w:val="20"/>
          <w:szCs w:val="20"/>
        </w:rPr>
        <w:t xml:space="preserve"> </w:t>
      </w:r>
      <w:r w:rsidRPr="002C3ADC">
        <w:rPr>
          <w:rFonts w:ascii="Arial" w:hAnsi="Arial" w:cs="Arial"/>
          <w:sz w:val="20"/>
          <w:szCs w:val="20"/>
        </w:rPr>
        <w:t>presented by</w:t>
      </w:r>
      <w:r w:rsidRPr="002C3ADC">
        <w:rPr>
          <w:rFonts w:ascii="Arial" w:hAnsi="Arial" w:cs="Arial"/>
          <w:spacing w:val="1"/>
          <w:sz w:val="20"/>
          <w:szCs w:val="20"/>
        </w:rPr>
        <w:t xml:space="preserve"> </w:t>
      </w:r>
      <w:r w:rsidRPr="002C3ADC">
        <w:rPr>
          <w:rFonts w:ascii="Arial" w:hAnsi="Arial" w:cs="Arial"/>
          <w:sz w:val="20"/>
          <w:szCs w:val="20"/>
        </w:rPr>
        <w:t>the</w:t>
      </w:r>
      <w:r w:rsidRPr="002C3ADC">
        <w:rPr>
          <w:rFonts w:ascii="Arial" w:hAnsi="Arial" w:cs="Arial"/>
          <w:spacing w:val="1"/>
          <w:sz w:val="20"/>
          <w:szCs w:val="20"/>
        </w:rPr>
        <w:t xml:space="preserve"> </w:t>
      </w:r>
      <w:r w:rsidRPr="002C3ADC">
        <w:rPr>
          <w:rFonts w:ascii="Arial" w:hAnsi="Arial" w:cs="Arial"/>
          <w:sz w:val="20"/>
          <w:szCs w:val="20"/>
        </w:rPr>
        <w:t>owner</w:t>
      </w:r>
      <w:r w:rsidRPr="002C3ADC">
        <w:rPr>
          <w:rFonts w:ascii="Arial" w:hAnsi="Arial" w:cs="Arial"/>
          <w:spacing w:val="1"/>
          <w:sz w:val="20"/>
          <w:szCs w:val="20"/>
        </w:rPr>
        <w:t xml:space="preserve"> </w:t>
      </w:r>
      <w:r w:rsidRPr="002C3ADC">
        <w:rPr>
          <w:rFonts w:ascii="Arial" w:hAnsi="Arial" w:cs="Arial"/>
          <w:sz w:val="20"/>
          <w:szCs w:val="20"/>
        </w:rPr>
        <w:t>for maintenance</w:t>
      </w:r>
      <w:r w:rsidRPr="002C3ADC">
        <w:rPr>
          <w:rFonts w:ascii="Arial" w:hAnsi="Arial" w:cs="Arial"/>
          <w:spacing w:val="1"/>
          <w:sz w:val="20"/>
          <w:szCs w:val="20"/>
        </w:rPr>
        <w:t xml:space="preserve"> </w:t>
      </w:r>
      <w:r w:rsidRPr="002C3ADC">
        <w:rPr>
          <w:rFonts w:ascii="Arial" w:hAnsi="Arial" w:cs="Arial"/>
          <w:sz w:val="20"/>
          <w:szCs w:val="20"/>
        </w:rPr>
        <w:t>as</w:t>
      </w:r>
      <w:r w:rsidRPr="002C3ADC">
        <w:rPr>
          <w:rFonts w:ascii="Arial" w:hAnsi="Arial" w:cs="Arial"/>
          <w:spacing w:val="1"/>
          <w:sz w:val="20"/>
          <w:szCs w:val="20"/>
        </w:rPr>
        <w:t xml:space="preserve"> </w:t>
      </w:r>
      <w:r w:rsidRPr="002C3ADC">
        <w:rPr>
          <w:rFonts w:ascii="Arial" w:hAnsi="Arial" w:cs="Arial"/>
          <w:sz w:val="20"/>
          <w:szCs w:val="20"/>
        </w:rPr>
        <w:t>requested</w:t>
      </w:r>
      <w:r w:rsidRPr="002C3ADC">
        <w:rPr>
          <w:rFonts w:ascii="Arial" w:hAnsi="Arial" w:cs="Arial"/>
          <w:spacing w:val="1"/>
          <w:sz w:val="20"/>
          <w:szCs w:val="20"/>
        </w:rPr>
        <w:t xml:space="preserve"> </w:t>
      </w:r>
      <w:r w:rsidRPr="002C3ADC">
        <w:rPr>
          <w:rFonts w:ascii="Arial" w:hAnsi="Arial" w:cs="Arial"/>
          <w:sz w:val="20"/>
          <w:szCs w:val="20"/>
        </w:rPr>
        <w:t>by</w:t>
      </w:r>
      <w:r w:rsidRPr="002C3ADC">
        <w:rPr>
          <w:rFonts w:ascii="Arial" w:hAnsi="Arial" w:cs="Arial"/>
          <w:spacing w:val="1"/>
          <w:sz w:val="20"/>
          <w:szCs w:val="20"/>
        </w:rPr>
        <w:t xml:space="preserve"> </w:t>
      </w:r>
      <w:r w:rsidRPr="002C3ADC">
        <w:rPr>
          <w:rFonts w:ascii="Arial" w:hAnsi="Arial" w:cs="Arial"/>
          <w:sz w:val="20"/>
          <w:szCs w:val="20"/>
        </w:rPr>
        <w:t>the</w:t>
      </w:r>
      <w:r w:rsidRPr="002C3ADC">
        <w:rPr>
          <w:rFonts w:ascii="Arial" w:hAnsi="Arial" w:cs="Arial"/>
          <w:spacing w:val="1"/>
          <w:sz w:val="20"/>
          <w:szCs w:val="20"/>
        </w:rPr>
        <w:t xml:space="preserve"> </w:t>
      </w:r>
      <w:r w:rsidRPr="002C3ADC">
        <w:rPr>
          <w:rFonts w:ascii="Arial" w:hAnsi="Arial" w:cs="Arial"/>
          <w:sz w:val="20"/>
          <w:szCs w:val="20"/>
        </w:rPr>
        <w:t>contracted</w:t>
      </w:r>
      <w:r w:rsidRPr="002C3ADC">
        <w:rPr>
          <w:rFonts w:ascii="Arial" w:hAnsi="Arial" w:cs="Arial"/>
          <w:spacing w:val="-2"/>
          <w:sz w:val="20"/>
          <w:szCs w:val="20"/>
        </w:rPr>
        <w:t xml:space="preserve"> </w:t>
      </w:r>
      <w:r w:rsidRPr="002C3ADC">
        <w:rPr>
          <w:rFonts w:ascii="Arial" w:hAnsi="Arial" w:cs="Arial"/>
          <w:sz w:val="20"/>
          <w:szCs w:val="20"/>
        </w:rPr>
        <w:t>CAMO</w:t>
      </w:r>
      <w:r w:rsidRPr="002C3ADC">
        <w:rPr>
          <w:rFonts w:ascii="Arial" w:hAnsi="Arial" w:cs="Arial"/>
          <w:spacing w:val="-2"/>
          <w:sz w:val="20"/>
          <w:szCs w:val="20"/>
        </w:rPr>
        <w:t xml:space="preserve"> </w:t>
      </w:r>
      <w:r w:rsidRPr="002C3ADC">
        <w:rPr>
          <w:rFonts w:ascii="Arial" w:hAnsi="Arial" w:cs="Arial"/>
          <w:sz w:val="20"/>
          <w:szCs w:val="20"/>
        </w:rPr>
        <w:t>or</w:t>
      </w:r>
      <w:r w:rsidRPr="002C3ADC">
        <w:rPr>
          <w:rFonts w:ascii="Arial" w:hAnsi="Arial" w:cs="Arial"/>
          <w:spacing w:val="-2"/>
          <w:sz w:val="20"/>
          <w:szCs w:val="20"/>
        </w:rPr>
        <w:t xml:space="preserve"> </w:t>
      </w:r>
      <w:r w:rsidRPr="002C3ADC">
        <w:rPr>
          <w:rFonts w:ascii="Arial" w:hAnsi="Arial" w:cs="Arial"/>
          <w:sz w:val="20"/>
          <w:szCs w:val="20"/>
        </w:rPr>
        <w:t>CAO;</w:t>
      </w:r>
    </w:p>
    <w:p w14:paraId="3B79407F" w14:textId="30D0EF68" w:rsidR="002C3ADC" w:rsidRPr="002C3ADC" w:rsidRDefault="002C3ADC" w:rsidP="003B5604">
      <w:pPr>
        <w:pStyle w:val="ListParagraph"/>
        <w:numPr>
          <w:ilvl w:val="2"/>
          <w:numId w:val="341"/>
        </w:numPr>
        <w:tabs>
          <w:tab w:val="left" w:pos="1841"/>
          <w:tab w:val="left" w:pos="1842"/>
        </w:tabs>
        <w:spacing w:before="121"/>
        <w:ind w:right="197"/>
        <w:jc w:val="both"/>
        <w:rPr>
          <w:rFonts w:ascii="Arial" w:hAnsi="Arial" w:cs="Arial"/>
          <w:sz w:val="20"/>
          <w:szCs w:val="20"/>
        </w:rPr>
      </w:pPr>
      <w:r w:rsidRPr="002C3ADC">
        <w:rPr>
          <w:rFonts w:ascii="Arial" w:hAnsi="Arial" w:cs="Arial"/>
          <w:sz w:val="20"/>
          <w:szCs w:val="20"/>
        </w:rPr>
        <w:t>inform</w:t>
      </w:r>
      <w:r w:rsidRPr="002C3ADC">
        <w:rPr>
          <w:rFonts w:ascii="Arial" w:hAnsi="Arial" w:cs="Arial"/>
          <w:spacing w:val="23"/>
          <w:sz w:val="20"/>
          <w:szCs w:val="20"/>
        </w:rPr>
        <w:t xml:space="preserve"> </w:t>
      </w:r>
      <w:r w:rsidRPr="002C3ADC">
        <w:rPr>
          <w:rFonts w:ascii="Arial" w:hAnsi="Arial" w:cs="Arial"/>
          <w:sz w:val="20"/>
          <w:szCs w:val="20"/>
        </w:rPr>
        <w:t>the</w:t>
      </w:r>
      <w:r w:rsidRPr="002C3ADC">
        <w:rPr>
          <w:rFonts w:ascii="Arial" w:hAnsi="Arial" w:cs="Arial"/>
          <w:spacing w:val="26"/>
          <w:sz w:val="20"/>
          <w:szCs w:val="20"/>
        </w:rPr>
        <w:t xml:space="preserve"> </w:t>
      </w:r>
      <w:r w:rsidR="00996D5E">
        <w:rPr>
          <w:rFonts w:ascii="Arial" w:hAnsi="Arial" w:cs="Arial"/>
          <w:sz w:val="20"/>
          <w:szCs w:val="20"/>
        </w:rPr>
        <w:t xml:space="preserve">CAC RA </w:t>
      </w:r>
      <w:r w:rsidRPr="002C3ADC">
        <w:rPr>
          <w:rFonts w:ascii="Arial" w:hAnsi="Arial" w:cs="Arial"/>
          <w:sz w:val="20"/>
          <w:szCs w:val="20"/>
        </w:rPr>
        <w:t>of</w:t>
      </w:r>
      <w:r w:rsidRPr="002C3ADC">
        <w:rPr>
          <w:rFonts w:ascii="Arial" w:hAnsi="Arial" w:cs="Arial"/>
          <w:spacing w:val="24"/>
          <w:sz w:val="20"/>
          <w:szCs w:val="20"/>
        </w:rPr>
        <w:t xml:space="preserve"> </w:t>
      </w:r>
      <w:r w:rsidRPr="002C3ADC">
        <w:rPr>
          <w:rFonts w:ascii="Arial" w:hAnsi="Arial" w:cs="Arial"/>
          <w:sz w:val="20"/>
          <w:szCs w:val="20"/>
        </w:rPr>
        <w:t>registry</w:t>
      </w:r>
      <w:r w:rsidRPr="002C3ADC">
        <w:rPr>
          <w:rFonts w:ascii="Arial" w:hAnsi="Arial" w:cs="Arial"/>
          <w:spacing w:val="24"/>
          <w:sz w:val="20"/>
          <w:szCs w:val="20"/>
        </w:rPr>
        <w:t xml:space="preserve"> </w:t>
      </w:r>
      <w:r w:rsidRPr="002C3ADC">
        <w:rPr>
          <w:rFonts w:ascii="Arial" w:hAnsi="Arial" w:cs="Arial"/>
          <w:sz w:val="20"/>
          <w:szCs w:val="20"/>
        </w:rPr>
        <w:t>whenever</w:t>
      </w:r>
      <w:r w:rsidRPr="002C3ADC">
        <w:rPr>
          <w:rFonts w:ascii="Arial" w:hAnsi="Arial" w:cs="Arial"/>
          <w:spacing w:val="24"/>
          <w:sz w:val="20"/>
          <w:szCs w:val="20"/>
        </w:rPr>
        <w:t xml:space="preserve"> </w:t>
      </w:r>
      <w:r w:rsidRPr="002C3ADC">
        <w:rPr>
          <w:rFonts w:ascii="Arial" w:hAnsi="Arial" w:cs="Arial"/>
          <w:sz w:val="20"/>
          <w:szCs w:val="20"/>
        </w:rPr>
        <w:t>the</w:t>
      </w:r>
      <w:r w:rsidRPr="002C3ADC">
        <w:rPr>
          <w:rFonts w:ascii="Arial" w:hAnsi="Arial" w:cs="Arial"/>
          <w:spacing w:val="-47"/>
          <w:sz w:val="20"/>
          <w:szCs w:val="20"/>
        </w:rPr>
        <w:t xml:space="preserve"> </w:t>
      </w:r>
      <w:r w:rsidRPr="002C3ADC">
        <w:rPr>
          <w:rFonts w:ascii="Arial" w:hAnsi="Arial" w:cs="Arial"/>
          <w:sz w:val="20"/>
          <w:szCs w:val="20"/>
        </w:rPr>
        <w:t>present</w:t>
      </w:r>
      <w:r w:rsidRPr="002C3ADC">
        <w:rPr>
          <w:rFonts w:ascii="Arial" w:hAnsi="Arial" w:cs="Arial"/>
          <w:spacing w:val="-1"/>
          <w:sz w:val="20"/>
          <w:szCs w:val="20"/>
        </w:rPr>
        <w:t xml:space="preserve"> </w:t>
      </w:r>
      <w:r w:rsidRPr="002C3ADC">
        <w:rPr>
          <w:rFonts w:ascii="Arial" w:hAnsi="Arial" w:cs="Arial"/>
          <w:sz w:val="20"/>
          <w:szCs w:val="20"/>
        </w:rPr>
        <w:t>contract</w:t>
      </w:r>
      <w:r w:rsidRPr="002C3ADC">
        <w:rPr>
          <w:rFonts w:ascii="Arial" w:hAnsi="Arial" w:cs="Arial"/>
          <w:spacing w:val="1"/>
          <w:sz w:val="20"/>
          <w:szCs w:val="20"/>
        </w:rPr>
        <w:t xml:space="preserve"> </w:t>
      </w:r>
      <w:r w:rsidRPr="002C3ADC">
        <w:rPr>
          <w:rFonts w:ascii="Arial" w:hAnsi="Arial" w:cs="Arial"/>
          <w:sz w:val="20"/>
          <w:szCs w:val="20"/>
        </w:rPr>
        <w:t>has not</w:t>
      </w:r>
      <w:r w:rsidRPr="002C3ADC">
        <w:rPr>
          <w:rFonts w:ascii="Arial" w:hAnsi="Arial" w:cs="Arial"/>
          <w:spacing w:val="-2"/>
          <w:sz w:val="20"/>
          <w:szCs w:val="20"/>
        </w:rPr>
        <w:t xml:space="preserve"> </w:t>
      </w:r>
      <w:r w:rsidRPr="002C3ADC">
        <w:rPr>
          <w:rFonts w:ascii="Arial" w:hAnsi="Arial" w:cs="Arial"/>
          <w:sz w:val="20"/>
          <w:szCs w:val="20"/>
        </w:rPr>
        <w:t>been</w:t>
      </w:r>
      <w:r w:rsidRPr="002C3ADC">
        <w:rPr>
          <w:rFonts w:ascii="Arial" w:hAnsi="Arial" w:cs="Arial"/>
          <w:spacing w:val="-1"/>
          <w:sz w:val="20"/>
          <w:szCs w:val="20"/>
        </w:rPr>
        <w:t xml:space="preserve"> </w:t>
      </w:r>
      <w:r w:rsidRPr="002C3ADC">
        <w:rPr>
          <w:rFonts w:ascii="Arial" w:hAnsi="Arial" w:cs="Arial"/>
          <w:sz w:val="20"/>
          <w:szCs w:val="20"/>
        </w:rPr>
        <w:t>respected;</w:t>
      </w:r>
    </w:p>
    <w:p w14:paraId="35AC164A" w14:textId="77777777" w:rsidR="002C3ADC" w:rsidRPr="002C3ADC" w:rsidRDefault="002C3ADC" w:rsidP="003B5604">
      <w:pPr>
        <w:pStyle w:val="ListParagraph"/>
        <w:numPr>
          <w:ilvl w:val="2"/>
          <w:numId w:val="341"/>
        </w:numPr>
        <w:tabs>
          <w:tab w:val="left" w:pos="1841"/>
          <w:tab w:val="left" w:pos="1842"/>
        </w:tabs>
        <w:spacing w:before="123" w:line="237" w:lineRule="auto"/>
        <w:ind w:right="194"/>
        <w:jc w:val="both"/>
        <w:rPr>
          <w:rFonts w:ascii="Arial" w:hAnsi="Arial" w:cs="Arial"/>
          <w:sz w:val="20"/>
          <w:szCs w:val="20"/>
        </w:rPr>
      </w:pPr>
      <w:r w:rsidRPr="002C3ADC">
        <w:rPr>
          <w:rFonts w:ascii="Arial" w:hAnsi="Arial" w:cs="Arial"/>
          <w:sz w:val="20"/>
          <w:szCs w:val="20"/>
        </w:rPr>
        <w:t>ensure</w:t>
      </w:r>
      <w:r w:rsidRPr="002C3ADC">
        <w:rPr>
          <w:rFonts w:ascii="Arial" w:hAnsi="Arial" w:cs="Arial"/>
          <w:spacing w:val="-5"/>
          <w:sz w:val="20"/>
          <w:szCs w:val="20"/>
        </w:rPr>
        <w:t xml:space="preserve"> </w:t>
      </w:r>
      <w:r w:rsidRPr="002C3ADC">
        <w:rPr>
          <w:rFonts w:ascii="Arial" w:hAnsi="Arial" w:cs="Arial"/>
          <w:sz w:val="20"/>
          <w:szCs w:val="20"/>
        </w:rPr>
        <w:t>that</w:t>
      </w:r>
      <w:r w:rsidRPr="002C3ADC">
        <w:rPr>
          <w:rFonts w:ascii="Arial" w:hAnsi="Arial" w:cs="Arial"/>
          <w:spacing w:val="-5"/>
          <w:sz w:val="20"/>
          <w:szCs w:val="20"/>
        </w:rPr>
        <w:t xml:space="preserve"> </w:t>
      </w:r>
      <w:r w:rsidRPr="002C3ADC">
        <w:rPr>
          <w:rFonts w:ascii="Arial" w:hAnsi="Arial" w:cs="Arial"/>
          <w:sz w:val="20"/>
          <w:szCs w:val="20"/>
        </w:rPr>
        <w:t>the</w:t>
      </w:r>
      <w:r w:rsidRPr="002C3ADC">
        <w:rPr>
          <w:rFonts w:ascii="Arial" w:hAnsi="Arial" w:cs="Arial"/>
          <w:spacing w:val="-5"/>
          <w:sz w:val="20"/>
          <w:szCs w:val="20"/>
        </w:rPr>
        <w:t xml:space="preserve"> </w:t>
      </w:r>
      <w:r w:rsidRPr="002C3ADC">
        <w:rPr>
          <w:rFonts w:ascii="Arial" w:hAnsi="Arial" w:cs="Arial"/>
          <w:sz w:val="20"/>
          <w:szCs w:val="20"/>
        </w:rPr>
        <w:t>airworthiness</w:t>
      </w:r>
      <w:r w:rsidRPr="002C3ADC">
        <w:rPr>
          <w:rFonts w:ascii="Arial" w:hAnsi="Arial" w:cs="Arial"/>
          <w:spacing w:val="-4"/>
          <w:sz w:val="20"/>
          <w:szCs w:val="20"/>
        </w:rPr>
        <w:t xml:space="preserve"> </w:t>
      </w:r>
      <w:r w:rsidRPr="002C3ADC">
        <w:rPr>
          <w:rFonts w:ascii="Arial" w:hAnsi="Arial" w:cs="Arial"/>
          <w:sz w:val="20"/>
          <w:szCs w:val="20"/>
        </w:rPr>
        <w:t>review</w:t>
      </w:r>
      <w:r w:rsidRPr="002C3ADC">
        <w:rPr>
          <w:rFonts w:ascii="Arial" w:hAnsi="Arial" w:cs="Arial"/>
          <w:spacing w:val="-7"/>
          <w:sz w:val="20"/>
          <w:szCs w:val="20"/>
        </w:rPr>
        <w:t xml:space="preserve"> </w:t>
      </w:r>
      <w:r w:rsidRPr="002C3ADC">
        <w:rPr>
          <w:rFonts w:ascii="Arial" w:hAnsi="Arial" w:cs="Arial"/>
          <w:sz w:val="20"/>
          <w:szCs w:val="20"/>
        </w:rPr>
        <w:t>of</w:t>
      </w:r>
      <w:r w:rsidRPr="002C3ADC">
        <w:rPr>
          <w:rFonts w:ascii="Arial" w:hAnsi="Arial" w:cs="Arial"/>
          <w:spacing w:val="-8"/>
          <w:sz w:val="20"/>
          <w:szCs w:val="20"/>
        </w:rPr>
        <w:t xml:space="preserve"> </w:t>
      </w:r>
      <w:r w:rsidRPr="002C3ADC">
        <w:rPr>
          <w:rFonts w:ascii="Arial" w:hAnsi="Arial" w:cs="Arial"/>
          <w:sz w:val="20"/>
          <w:szCs w:val="20"/>
        </w:rPr>
        <w:t>the</w:t>
      </w:r>
      <w:r w:rsidRPr="002C3ADC">
        <w:rPr>
          <w:rFonts w:ascii="Arial" w:hAnsi="Arial" w:cs="Arial"/>
          <w:spacing w:val="-7"/>
          <w:sz w:val="20"/>
          <w:szCs w:val="20"/>
        </w:rPr>
        <w:t xml:space="preserve"> </w:t>
      </w:r>
      <w:r w:rsidRPr="002C3ADC">
        <w:rPr>
          <w:rFonts w:ascii="Arial" w:hAnsi="Arial" w:cs="Arial"/>
          <w:sz w:val="20"/>
          <w:szCs w:val="20"/>
        </w:rPr>
        <w:t>aircraft</w:t>
      </w:r>
      <w:r w:rsidRPr="002C3ADC">
        <w:rPr>
          <w:rFonts w:ascii="Arial" w:hAnsi="Arial" w:cs="Arial"/>
          <w:spacing w:val="-8"/>
          <w:sz w:val="20"/>
          <w:szCs w:val="20"/>
        </w:rPr>
        <w:t xml:space="preserve"> </w:t>
      </w:r>
      <w:r w:rsidRPr="002C3ADC">
        <w:rPr>
          <w:rFonts w:ascii="Arial" w:hAnsi="Arial" w:cs="Arial"/>
          <w:sz w:val="20"/>
          <w:szCs w:val="20"/>
        </w:rPr>
        <w:t>is</w:t>
      </w:r>
      <w:r w:rsidRPr="002C3ADC">
        <w:rPr>
          <w:rFonts w:ascii="Arial" w:hAnsi="Arial" w:cs="Arial"/>
          <w:spacing w:val="-7"/>
          <w:sz w:val="20"/>
          <w:szCs w:val="20"/>
        </w:rPr>
        <w:t xml:space="preserve"> </w:t>
      </w:r>
      <w:r w:rsidRPr="002C3ADC">
        <w:rPr>
          <w:rFonts w:ascii="Arial" w:hAnsi="Arial" w:cs="Arial"/>
          <w:sz w:val="20"/>
          <w:szCs w:val="20"/>
        </w:rPr>
        <w:t>carried</w:t>
      </w:r>
      <w:r w:rsidRPr="002C3ADC">
        <w:rPr>
          <w:rFonts w:ascii="Arial" w:hAnsi="Arial" w:cs="Arial"/>
          <w:spacing w:val="-8"/>
          <w:sz w:val="20"/>
          <w:szCs w:val="20"/>
        </w:rPr>
        <w:t xml:space="preserve"> </w:t>
      </w:r>
      <w:r w:rsidRPr="002C3ADC">
        <w:rPr>
          <w:rFonts w:ascii="Arial" w:hAnsi="Arial" w:cs="Arial"/>
          <w:sz w:val="20"/>
          <w:szCs w:val="20"/>
        </w:rPr>
        <w:t>out,</w:t>
      </w:r>
      <w:r w:rsidRPr="002C3ADC">
        <w:rPr>
          <w:rFonts w:ascii="Arial" w:hAnsi="Arial" w:cs="Arial"/>
          <w:spacing w:val="-7"/>
          <w:sz w:val="20"/>
          <w:szCs w:val="20"/>
        </w:rPr>
        <w:t xml:space="preserve"> </w:t>
      </w:r>
      <w:r w:rsidRPr="002C3ADC">
        <w:rPr>
          <w:rFonts w:ascii="Arial" w:hAnsi="Arial" w:cs="Arial"/>
          <w:sz w:val="20"/>
          <w:szCs w:val="20"/>
        </w:rPr>
        <w:t>when</w:t>
      </w:r>
      <w:r w:rsidRPr="002C3ADC">
        <w:rPr>
          <w:rFonts w:ascii="Arial" w:hAnsi="Arial" w:cs="Arial"/>
          <w:spacing w:val="-5"/>
          <w:sz w:val="20"/>
          <w:szCs w:val="20"/>
        </w:rPr>
        <w:t xml:space="preserve"> </w:t>
      </w:r>
      <w:r w:rsidRPr="002C3ADC">
        <w:rPr>
          <w:rFonts w:ascii="Arial" w:hAnsi="Arial" w:cs="Arial"/>
          <w:sz w:val="20"/>
          <w:szCs w:val="20"/>
        </w:rPr>
        <w:t>necessary,</w:t>
      </w:r>
      <w:r w:rsidRPr="002C3ADC">
        <w:rPr>
          <w:rFonts w:ascii="Arial" w:hAnsi="Arial" w:cs="Arial"/>
          <w:spacing w:val="-47"/>
          <w:sz w:val="20"/>
          <w:szCs w:val="20"/>
        </w:rPr>
        <w:t xml:space="preserve"> </w:t>
      </w:r>
      <w:r w:rsidRPr="002C3ADC">
        <w:rPr>
          <w:rFonts w:ascii="Arial" w:hAnsi="Arial" w:cs="Arial"/>
          <w:sz w:val="20"/>
          <w:szCs w:val="20"/>
        </w:rPr>
        <w:t>and</w:t>
      </w:r>
      <w:r w:rsidRPr="002C3ADC">
        <w:rPr>
          <w:rFonts w:ascii="Arial" w:hAnsi="Arial" w:cs="Arial"/>
          <w:spacing w:val="-1"/>
          <w:sz w:val="20"/>
          <w:szCs w:val="20"/>
        </w:rPr>
        <w:t xml:space="preserve"> </w:t>
      </w:r>
      <w:r w:rsidRPr="002C3ADC">
        <w:rPr>
          <w:rFonts w:ascii="Arial" w:hAnsi="Arial" w:cs="Arial"/>
          <w:sz w:val="20"/>
          <w:szCs w:val="20"/>
        </w:rPr>
        <w:t>ensure</w:t>
      </w:r>
      <w:r w:rsidRPr="002C3ADC">
        <w:rPr>
          <w:rFonts w:ascii="Arial" w:hAnsi="Arial" w:cs="Arial"/>
          <w:spacing w:val="1"/>
          <w:sz w:val="20"/>
          <w:szCs w:val="20"/>
        </w:rPr>
        <w:t xml:space="preserve"> </w:t>
      </w:r>
      <w:r w:rsidRPr="002C3ADC">
        <w:rPr>
          <w:rFonts w:ascii="Arial" w:hAnsi="Arial" w:cs="Arial"/>
          <w:sz w:val="20"/>
          <w:szCs w:val="20"/>
        </w:rPr>
        <w:t>that</w:t>
      </w:r>
      <w:r w:rsidRPr="002C3ADC">
        <w:rPr>
          <w:rFonts w:ascii="Arial" w:hAnsi="Arial" w:cs="Arial"/>
          <w:spacing w:val="-3"/>
          <w:sz w:val="20"/>
          <w:szCs w:val="20"/>
        </w:rPr>
        <w:t xml:space="preserve"> </w:t>
      </w:r>
      <w:r w:rsidRPr="002C3ADC">
        <w:rPr>
          <w:rFonts w:ascii="Arial" w:hAnsi="Arial" w:cs="Arial"/>
          <w:sz w:val="20"/>
          <w:szCs w:val="20"/>
        </w:rPr>
        <w:t>the</w:t>
      </w:r>
      <w:r w:rsidRPr="002C3ADC">
        <w:rPr>
          <w:rFonts w:ascii="Arial" w:hAnsi="Arial" w:cs="Arial"/>
          <w:spacing w:val="-2"/>
          <w:sz w:val="20"/>
          <w:szCs w:val="20"/>
        </w:rPr>
        <w:t xml:space="preserve"> </w:t>
      </w:r>
      <w:r w:rsidRPr="002C3ADC">
        <w:rPr>
          <w:rFonts w:ascii="Arial" w:hAnsi="Arial" w:cs="Arial"/>
          <w:sz w:val="20"/>
          <w:szCs w:val="20"/>
        </w:rPr>
        <w:t>ARC is</w:t>
      </w:r>
      <w:r w:rsidRPr="002C3ADC">
        <w:rPr>
          <w:rFonts w:ascii="Arial" w:hAnsi="Arial" w:cs="Arial"/>
          <w:spacing w:val="-2"/>
          <w:sz w:val="20"/>
          <w:szCs w:val="20"/>
        </w:rPr>
        <w:t xml:space="preserve"> </w:t>
      </w:r>
      <w:r w:rsidRPr="002C3ADC">
        <w:rPr>
          <w:rFonts w:ascii="Arial" w:hAnsi="Arial" w:cs="Arial"/>
          <w:sz w:val="20"/>
          <w:szCs w:val="20"/>
        </w:rPr>
        <w:t>issued;</w:t>
      </w:r>
    </w:p>
    <w:p w14:paraId="25DFD9AB" w14:textId="1EB614BD" w:rsidR="002C3ADC" w:rsidRPr="002C3ADC" w:rsidRDefault="002C3ADC" w:rsidP="003B5604">
      <w:pPr>
        <w:pStyle w:val="ListParagraph"/>
        <w:numPr>
          <w:ilvl w:val="2"/>
          <w:numId w:val="341"/>
        </w:numPr>
        <w:tabs>
          <w:tab w:val="left" w:pos="1842"/>
        </w:tabs>
        <w:spacing w:before="121"/>
        <w:ind w:right="196"/>
        <w:jc w:val="both"/>
        <w:rPr>
          <w:rFonts w:ascii="Arial" w:hAnsi="Arial" w:cs="Arial"/>
          <w:sz w:val="20"/>
          <w:szCs w:val="20"/>
        </w:rPr>
      </w:pPr>
      <w:r w:rsidRPr="002C3ADC">
        <w:rPr>
          <w:rFonts w:ascii="Arial" w:hAnsi="Arial" w:cs="Arial"/>
          <w:sz w:val="20"/>
          <w:szCs w:val="20"/>
        </w:rPr>
        <w:t>send</w:t>
      </w:r>
      <w:r w:rsidRPr="002C3ADC">
        <w:rPr>
          <w:rFonts w:ascii="Arial" w:hAnsi="Arial" w:cs="Arial"/>
          <w:spacing w:val="39"/>
          <w:sz w:val="20"/>
          <w:szCs w:val="20"/>
        </w:rPr>
        <w:t xml:space="preserve"> </w:t>
      </w:r>
      <w:r w:rsidRPr="002C3ADC">
        <w:rPr>
          <w:rFonts w:ascii="Arial" w:hAnsi="Arial" w:cs="Arial"/>
          <w:sz w:val="20"/>
          <w:szCs w:val="20"/>
        </w:rPr>
        <w:t>within</w:t>
      </w:r>
      <w:r w:rsidRPr="002C3ADC">
        <w:rPr>
          <w:rFonts w:ascii="Arial" w:hAnsi="Arial" w:cs="Arial"/>
          <w:spacing w:val="40"/>
          <w:sz w:val="20"/>
          <w:szCs w:val="20"/>
        </w:rPr>
        <w:t xml:space="preserve"> </w:t>
      </w:r>
      <w:r w:rsidRPr="002C3ADC">
        <w:rPr>
          <w:rFonts w:ascii="Arial" w:hAnsi="Arial" w:cs="Arial"/>
          <w:sz w:val="20"/>
          <w:szCs w:val="20"/>
        </w:rPr>
        <w:t>10 days</w:t>
      </w:r>
      <w:r w:rsidRPr="002C3ADC">
        <w:rPr>
          <w:rFonts w:ascii="Arial" w:hAnsi="Arial" w:cs="Arial"/>
          <w:spacing w:val="41"/>
          <w:sz w:val="20"/>
          <w:szCs w:val="20"/>
        </w:rPr>
        <w:t xml:space="preserve"> </w:t>
      </w:r>
      <w:r w:rsidRPr="002C3ADC">
        <w:rPr>
          <w:rFonts w:ascii="Arial" w:hAnsi="Arial" w:cs="Arial"/>
          <w:sz w:val="20"/>
          <w:szCs w:val="20"/>
        </w:rPr>
        <w:t>a</w:t>
      </w:r>
      <w:r w:rsidRPr="002C3ADC">
        <w:rPr>
          <w:rFonts w:ascii="Arial" w:hAnsi="Arial" w:cs="Arial"/>
          <w:spacing w:val="37"/>
          <w:sz w:val="20"/>
          <w:szCs w:val="20"/>
        </w:rPr>
        <w:t xml:space="preserve"> </w:t>
      </w:r>
      <w:r w:rsidRPr="002C3ADC">
        <w:rPr>
          <w:rFonts w:ascii="Arial" w:hAnsi="Arial" w:cs="Arial"/>
          <w:sz w:val="20"/>
          <w:szCs w:val="20"/>
        </w:rPr>
        <w:t>copy</w:t>
      </w:r>
      <w:r w:rsidRPr="002C3ADC">
        <w:rPr>
          <w:rFonts w:ascii="Arial" w:hAnsi="Arial" w:cs="Arial"/>
          <w:spacing w:val="42"/>
          <w:sz w:val="20"/>
          <w:szCs w:val="20"/>
        </w:rPr>
        <w:t xml:space="preserve"> </w:t>
      </w:r>
      <w:r w:rsidRPr="002C3ADC">
        <w:rPr>
          <w:rFonts w:ascii="Arial" w:hAnsi="Arial" w:cs="Arial"/>
          <w:sz w:val="20"/>
          <w:szCs w:val="20"/>
        </w:rPr>
        <w:t>of</w:t>
      </w:r>
      <w:r w:rsidRPr="002C3ADC">
        <w:rPr>
          <w:rFonts w:ascii="Arial" w:hAnsi="Arial" w:cs="Arial"/>
          <w:spacing w:val="41"/>
          <w:sz w:val="20"/>
          <w:szCs w:val="20"/>
        </w:rPr>
        <w:t xml:space="preserve"> </w:t>
      </w:r>
      <w:r w:rsidRPr="002C3ADC">
        <w:rPr>
          <w:rFonts w:ascii="Arial" w:hAnsi="Arial" w:cs="Arial"/>
          <w:sz w:val="20"/>
          <w:szCs w:val="20"/>
        </w:rPr>
        <w:t>any</w:t>
      </w:r>
      <w:r w:rsidRPr="002C3ADC">
        <w:rPr>
          <w:rFonts w:ascii="Arial" w:hAnsi="Arial" w:cs="Arial"/>
          <w:spacing w:val="41"/>
          <w:sz w:val="20"/>
          <w:szCs w:val="20"/>
        </w:rPr>
        <w:t xml:space="preserve"> </w:t>
      </w:r>
      <w:r w:rsidRPr="002C3ADC">
        <w:rPr>
          <w:rFonts w:ascii="Arial" w:hAnsi="Arial" w:cs="Arial"/>
          <w:sz w:val="20"/>
          <w:szCs w:val="20"/>
        </w:rPr>
        <w:t>ARC</w:t>
      </w:r>
      <w:r w:rsidRPr="002C3ADC">
        <w:rPr>
          <w:rFonts w:ascii="Arial" w:hAnsi="Arial" w:cs="Arial"/>
          <w:spacing w:val="41"/>
          <w:sz w:val="20"/>
          <w:szCs w:val="20"/>
        </w:rPr>
        <w:t xml:space="preserve"> </w:t>
      </w:r>
      <w:r w:rsidRPr="002C3ADC">
        <w:rPr>
          <w:rFonts w:ascii="Arial" w:hAnsi="Arial" w:cs="Arial"/>
          <w:sz w:val="20"/>
          <w:szCs w:val="20"/>
        </w:rPr>
        <w:t>issued</w:t>
      </w:r>
      <w:r w:rsidRPr="002C3ADC">
        <w:rPr>
          <w:rFonts w:ascii="Arial" w:hAnsi="Arial" w:cs="Arial"/>
          <w:spacing w:val="41"/>
          <w:sz w:val="20"/>
          <w:szCs w:val="20"/>
        </w:rPr>
        <w:t xml:space="preserve"> </w:t>
      </w:r>
      <w:r w:rsidRPr="002C3ADC">
        <w:rPr>
          <w:rFonts w:ascii="Arial" w:hAnsi="Arial" w:cs="Arial"/>
          <w:sz w:val="20"/>
          <w:szCs w:val="20"/>
        </w:rPr>
        <w:t>or</w:t>
      </w:r>
      <w:r w:rsidRPr="002C3ADC">
        <w:rPr>
          <w:rFonts w:ascii="Arial" w:hAnsi="Arial" w:cs="Arial"/>
          <w:spacing w:val="38"/>
          <w:sz w:val="20"/>
          <w:szCs w:val="20"/>
        </w:rPr>
        <w:t xml:space="preserve"> </w:t>
      </w:r>
      <w:r w:rsidRPr="002C3ADC">
        <w:rPr>
          <w:rFonts w:ascii="Arial" w:hAnsi="Arial" w:cs="Arial"/>
          <w:sz w:val="20"/>
          <w:szCs w:val="20"/>
        </w:rPr>
        <w:t>extended</w:t>
      </w:r>
      <w:r w:rsidRPr="002C3ADC">
        <w:rPr>
          <w:rFonts w:ascii="Arial" w:hAnsi="Arial" w:cs="Arial"/>
          <w:spacing w:val="41"/>
          <w:sz w:val="20"/>
          <w:szCs w:val="20"/>
        </w:rPr>
        <w:t xml:space="preserve"> </w:t>
      </w:r>
      <w:r w:rsidRPr="002C3ADC">
        <w:rPr>
          <w:rFonts w:ascii="Arial" w:hAnsi="Arial" w:cs="Arial"/>
          <w:sz w:val="20"/>
          <w:szCs w:val="20"/>
        </w:rPr>
        <w:t>to</w:t>
      </w:r>
      <w:r w:rsidRPr="002C3ADC">
        <w:rPr>
          <w:rFonts w:ascii="Arial" w:hAnsi="Arial" w:cs="Arial"/>
          <w:spacing w:val="42"/>
          <w:sz w:val="20"/>
          <w:szCs w:val="20"/>
        </w:rPr>
        <w:t xml:space="preserve"> </w:t>
      </w:r>
      <w:r w:rsidRPr="002C3ADC">
        <w:rPr>
          <w:rFonts w:ascii="Arial" w:hAnsi="Arial" w:cs="Arial"/>
          <w:sz w:val="20"/>
          <w:szCs w:val="20"/>
        </w:rPr>
        <w:t>the</w:t>
      </w:r>
      <w:r w:rsidRPr="002C3ADC">
        <w:rPr>
          <w:rFonts w:ascii="Arial" w:hAnsi="Arial" w:cs="Arial"/>
          <w:spacing w:val="41"/>
          <w:sz w:val="20"/>
          <w:szCs w:val="20"/>
        </w:rPr>
        <w:t xml:space="preserve"> </w:t>
      </w:r>
      <w:r w:rsidR="00996D5E">
        <w:rPr>
          <w:rFonts w:ascii="Arial" w:hAnsi="Arial" w:cs="Arial"/>
          <w:sz w:val="20"/>
          <w:szCs w:val="20"/>
        </w:rPr>
        <w:t xml:space="preserve">CAC RA </w:t>
      </w:r>
      <w:r w:rsidRPr="002C3ADC">
        <w:rPr>
          <w:rFonts w:ascii="Arial" w:hAnsi="Arial" w:cs="Arial"/>
          <w:sz w:val="20"/>
          <w:szCs w:val="20"/>
        </w:rPr>
        <w:t>of registry;</w:t>
      </w:r>
    </w:p>
    <w:p w14:paraId="17AE4539" w14:textId="77777777" w:rsidR="002C3ADC" w:rsidRPr="002C3ADC" w:rsidRDefault="002C3ADC" w:rsidP="003B5604">
      <w:pPr>
        <w:pStyle w:val="ListParagraph"/>
        <w:numPr>
          <w:ilvl w:val="2"/>
          <w:numId w:val="341"/>
        </w:numPr>
        <w:tabs>
          <w:tab w:val="left" w:pos="1841"/>
          <w:tab w:val="left" w:pos="1842"/>
        </w:tabs>
        <w:spacing w:before="121"/>
        <w:jc w:val="both"/>
        <w:rPr>
          <w:rFonts w:ascii="Arial" w:hAnsi="Arial" w:cs="Arial"/>
          <w:sz w:val="20"/>
          <w:szCs w:val="20"/>
        </w:rPr>
      </w:pPr>
      <w:r w:rsidRPr="002C3ADC">
        <w:rPr>
          <w:rFonts w:ascii="Arial" w:hAnsi="Arial" w:cs="Arial"/>
          <w:sz w:val="20"/>
          <w:szCs w:val="20"/>
        </w:rPr>
        <w:t>carry</w:t>
      </w:r>
      <w:r w:rsidRPr="002C3ADC">
        <w:rPr>
          <w:rFonts w:ascii="Arial" w:hAnsi="Arial" w:cs="Arial"/>
          <w:spacing w:val="-2"/>
          <w:sz w:val="20"/>
          <w:szCs w:val="20"/>
        </w:rPr>
        <w:t xml:space="preserve"> </w:t>
      </w:r>
      <w:r w:rsidRPr="002C3ADC">
        <w:rPr>
          <w:rFonts w:ascii="Arial" w:hAnsi="Arial" w:cs="Arial"/>
          <w:sz w:val="20"/>
          <w:szCs w:val="20"/>
        </w:rPr>
        <w:t>out all</w:t>
      </w:r>
      <w:r w:rsidRPr="002C3ADC">
        <w:rPr>
          <w:rFonts w:ascii="Arial" w:hAnsi="Arial" w:cs="Arial"/>
          <w:spacing w:val="-4"/>
          <w:sz w:val="20"/>
          <w:szCs w:val="20"/>
        </w:rPr>
        <w:t xml:space="preserve"> </w:t>
      </w:r>
      <w:r w:rsidRPr="002C3ADC">
        <w:rPr>
          <w:rFonts w:ascii="Arial" w:hAnsi="Arial" w:cs="Arial"/>
          <w:sz w:val="20"/>
          <w:szCs w:val="20"/>
        </w:rPr>
        <w:t>occurrence</w:t>
      </w:r>
      <w:r w:rsidRPr="002C3ADC">
        <w:rPr>
          <w:rFonts w:ascii="Arial" w:hAnsi="Arial" w:cs="Arial"/>
          <w:spacing w:val="-2"/>
          <w:sz w:val="20"/>
          <w:szCs w:val="20"/>
        </w:rPr>
        <w:t xml:space="preserve"> </w:t>
      </w:r>
      <w:r w:rsidRPr="002C3ADC">
        <w:rPr>
          <w:rFonts w:ascii="Arial" w:hAnsi="Arial" w:cs="Arial"/>
          <w:sz w:val="20"/>
          <w:szCs w:val="20"/>
        </w:rPr>
        <w:t>reporting</w:t>
      </w:r>
      <w:r w:rsidRPr="002C3ADC">
        <w:rPr>
          <w:rFonts w:ascii="Arial" w:hAnsi="Arial" w:cs="Arial"/>
          <w:spacing w:val="-3"/>
          <w:sz w:val="20"/>
          <w:szCs w:val="20"/>
        </w:rPr>
        <w:t xml:space="preserve"> </w:t>
      </w:r>
      <w:r w:rsidRPr="002C3ADC">
        <w:rPr>
          <w:rFonts w:ascii="Arial" w:hAnsi="Arial" w:cs="Arial"/>
          <w:sz w:val="20"/>
          <w:szCs w:val="20"/>
        </w:rPr>
        <w:t>mandated</w:t>
      </w:r>
      <w:r w:rsidRPr="002C3ADC">
        <w:rPr>
          <w:rFonts w:ascii="Arial" w:hAnsi="Arial" w:cs="Arial"/>
          <w:spacing w:val="-1"/>
          <w:sz w:val="20"/>
          <w:szCs w:val="20"/>
        </w:rPr>
        <w:t xml:space="preserve"> </w:t>
      </w:r>
      <w:r w:rsidRPr="002C3ADC">
        <w:rPr>
          <w:rFonts w:ascii="Arial" w:hAnsi="Arial" w:cs="Arial"/>
          <w:sz w:val="20"/>
          <w:szCs w:val="20"/>
        </w:rPr>
        <w:t>by</w:t>
      </w:r>
      <w:r w:rsidRPr="002C3ADC">
        <w:rPr>
          <w:rFonts w:ascii="Arial" w:hAnsi="Arial" w:cs="Arial"/>
          <w:spacing w:val="-1"/>
          <w:sz w:val="20"/>
          <w:szCs w:val="20"/>
        </w:rPr>
        <w:t xml:space="preserve"> </w:t>
      </w:r>
      <w:r w:rsidRPr="002C3ADC">
        <w:rPr>
          <w:rFonts w:ascii="Arial" w:hAnsi="Arial" w:cs="Arial"/>
          <w:sz w:val="20"/>
          <w:szCs w:val="20"/>
        </w:rPr>
        <w:t>applicable regulations;</w:t>
      </w:r>
    </w:p>
    <w:p w14:paraId="13A255DB" w14:textId="0891D39E" w:rsidR="002C3ADC" w:rsidRPr="002C3ADC" w:rsidRDefault="002C3ADC" w:rsidP="003B5604">
      <w:pPr>
        <w:pStyle w:val="ListParagraph"/>
        <w:numPr>
          <w:ilvl w:val="2"/>
          <w:numId w:val="341"/>
        </w:numPr>
        <w:tabs>
          <w:tab w:val="left" w:pos="1841"/>
          <w:tab w:val="left" w:pos="1842"/>
        </w:tabs>
        <w:ind w:right="198"/>
        <w:jc w:val="both"/>
        <w:rPr>
          <w:rFonts w:ascii="Arial" w:hAnsi="Arial" w:cs="Arial"/>
          <w:sz w:val="20"/>
          <w:szCs w:val="20"/>
        </w:rPr>
      </w:pPr>
      <w:r w:rsidRPr="002C3ADC">
        <w:rPr>
          <w:rFonts w:ascii="Arial" w:hAnsi="Arial" w:cs="Arial"/>
          <w:sz w:val="20"/>
          <w:szCs w:val="20"/>
        </w:rPr>
        <w:t>inform</w:t>
      </w:r>
      <w:r w:rsidRPr="002C3ADC">
        <w:rPr>
          <w:rFonts w:ascii="Arial" w:hAnsi="Arial" w:cs="Arial"/>
          <w:spacing w:val="23"/>
          <w:sz w:val="20"/>
          <w:szCs w:val="20"/>
        </w:rPr>
        <w:t xml:space="preserve"> </w:t>
      </w:r>
      <w:r w:rsidRPr="002C3ADC">
        <w:rPr>
          <w:rFonts w:ascii="Arial" w:hAnsi="Arial" w:cs="Arial"/>
          <w:sz w:val="20"/>
          <w:szCs w:val="20"/>
        </w:rPr>
        <w:t>the</w:t>
      </w:r>
      <w:r w:rsidRPr="002C3ADC">
        <w:rPr>
          <w:rFonts w:ascii="Arial" w:hAnsi="Arial" w:cs="Arial"/>
          <w:spacing w:val="26"/>
          <w:sz w:val="20"/>
          <w:szCs w:val="20"/>
        </w:rPr>
        <w:t xml:space="preserve"> </w:t>
      </w:r>
      <w:r w:rsidR="00996D5E">
        <w:rPr>
          <w:rFonts w:ascii="Arial" w:hAnsi="Arial" w:cs="Arial"/>
          <w:sz w:val="20"/>
          <w:szCs w:val="20"/>
        </w:rPr>
        <w:t xml:space="preserve">CAC RA </w:t>
      </w:r>
      <w:r w:rsidRPr="002C3ADC">
        <w:rPr>
          <w:rFonts w:ascii="Arial" w:hAnsi="Arial" w:cs="Arial"/>
          <w:sz w:val="20"/>
          <w:szCs w:val="20"/>
        </w:rPr>
        <w:t>of</w:t>
      </w:r>
      <w:r w:rsidRPr="002C3ADC">
        <w:rPr>
          <w:rFonts w:ascii="Arial" w:hAnsi="Arial" w:cs="Arial"/>
          <w:spacing w:val="25"/>
          <w:sz w:val="20"/>
          <w:szCs w:val="20"/>
        </w:rPr>
        <w:t xml:space="preserve"> </w:t>
      </w:r>
      <w:r w:rsidRPr="002C3ADC">
        <w:rPr>
          <w:rFonts w:ascii="Arial" w:hAnsi="Arial" w:cs="Arial"/>
          <w:sz w:val="20"/>
          <w:szCs w:val="20"/>
        </w:rPr>
        <w:t>registry</w:t>
      </w:r>
      <w:r w:rsidRPr="002C3ADC">
        <w:rPr>
          <w:rFonts w:ascii="Arial" w:hAnsi="Arial" w:cs="Arial"/>
          <w:spacing w:val="23"/>
          <w:sz w:val="20"/>
          <w:szCs w:val="20"/>
        </w:rPr>
        <w:t xml:space="preserve"> </w:t>
      </w:r>
      <w:r w:rsidRPr="002C3ADC">
        <w:rPr>
          <w:rFonts w:ascii="Arial" w:hAnsi="Arial" w:cs="Arial"/>
          <w:sz w:val="20"/>
          <w:szCs w:val="20"/>
        </w:rPr>
        <w:t>whenever</w:t>
      </w:r>
      <w:r w:rsidRPr="002C3ADC">
        <w:rPr>
          <w:rFonts w:ascii="Arial" w:hAnsi="Arial" w:cs="Arial"/>
          <w:spacing w:val="24"/>
          <w:sz w:val="20"/>
          <w:szCs w:val="20"/>
        </w:rPr>
        <w:t xml:space="preserve"> </w:t>
      </w:r>
      <w:r w:rsidRPr="002C3ADC">
        <w:rPr>
          <w:rFonts w:ascii="Arial" w:hAnsi="Arial" w:cs="Arial"/>
          <w:sz w:val="20"/>
          <w:szCs w:val="20"/>
        </w:rPr>
        <w:t>the</w:t>
      </w:r>
      <w:r w:rsidRPr="002C3ADC">
        <w:rPr>
          <w:rFonts w:ascii="Arial" w:hAnsi="Arial" w:cs="Arial"/>
          <w:spacing w:val="-47"/>
          <w:sz w:val="20"/>
          <w:szCs w:val="20"/>
        </w:rPr>
        <w:t xml:space="preserve"> </w:t>
      </w:r>
      <w:r w:rsidRPr="002C3ADC">
        <w:rPr>
          <w:rFonts w:ascii="Arial" w:hAnsi="Arial" w:cs="Arial"/>
          <w:sz w:val="20"/>
          <w:szCs w:val="20"/>
        </w:rPr>
        <w:t>present</w:t>
      </w:r>
      <w:r w:rsidRPr="002C3ADC">
        <w:rPr>
          <w:rFonts w:ascii="Arial" w:hAnsi="Arial" w:cs="Arial"/>
          <w:spacing w:val="-1"/>
          <w:sz w:val="20"/>
          <w:szCs w:val="20"/>
        </w:rPr>
        <w:t xml:space="preserve"> </w:t>
      </w:r>
      <w:r w:rsidRPr="002C3ADC">
        <w:rPr>
          <w:rFonts w:ascii="Arial" w:hAnsi="Arial" w:cs="Arial"/>
          <w:sz w:val="20"/>
          <w:szCs w:val="20"/>
        </w:rPr>
        <w:t>contract</w:t>
      </w:r>
      <w:r w:rsidRPr="002C3ADC">
        <w:rPr>
          <w:rFonts w:ascii="Arial" w:hAnsi="Arial" w:cs="Arial"/>
          <w:spacing w:val="1"/>
          <w:sz w:val="20"/>
          <w:szCs w:val="20"/>
        </w:rPr>
        <w:t xml:space="preserve"> </w:t>
      </w:r>
      <w:r w:rsidRPr="002C3ADC">
        <w:rPr>
          <w:rFonts w:ascii="Arial" w:hAnsi="Arial" w:cs="Arial"/>
          <w:sz w:val="20"/>
          <w:szCs w:val="20"/>
        </w:rPr>
        <w:t>is</w:t>
      </w:r>
      <w:r w:rsidRPr="002C3ADC">
        <w:rPr>
          <w:rFonts w:ascii="Arial" w:hAnsi="Arial" w:cs="Arial"/>
          <w:spacing w:val="-3"/>
          <w:sz w:val="20"/>
          <w:szCs w:val="20"/>
        </w:rPr>
        <w:t xml:space="preserve"> </w:t>
      </w:r>
      <w:r w:rsidRPr="002C3ADC">
        <w:rPr>
          <w:rFonts w:ascii="Arial" w:hAnsi="Arial" w:cs="Arial"/>
          <w:sz w:val="20"/>
          <w:szCs w:val="20"/>
        </w:rPr>
        <w:t>denounced by</w:t>
      </w:r>
      <w:r w:rsidRPr="002C3ADC">
        <w:rPr>
          <w:rFonts w:ascii="Arial" w:hAnsi="Arial" w:cs="Arial"/>
          <w:spacing w:val="-2"/>
          <w:sz w:val="20"/>
          <w:szCs w:val="20"/>
        </w:rPr>
        <w:t xml:space="preserve"> </w:t>
      </w:r>
      <w:r w:rsidRPr="002C3ADC">
        <w:rPr>
          <w:rFonts w:ascii="Arial" w:hAnsi="Arial" w:cs="Arial"/>
          <w:sz w:val="20"/>
          <w:szCs w:val="20"/>
        </w:rPr>
        <w:t>either</w:t>
      </w:r>
      <w:r w:rsidRPr="002C3ADC">
        <w:rPr>
          <w:rFonts w:ascii="Arial" w:hAnsi="Arial" w:cs="Arial"/>
          <w:spacing w:val="-3"/>
          <w:sz w:val="20"/>
          <w:szCs w:val="20"/>
        </w:rPr>
        <w:t xml:space="preserve"> </w:t>
      </w:r>
      <w:r w:rsidRPr="002C3ADC">
        <w:rPr>
          <w:rFonts w:ascii="Arial" w:hAnsi="Arial" w:cs="Arial"/>
          <w:sz w:val="20"/>
          <w:szCs w:val="20"/>
        </w:rPr>
        <w:t>party.</w:t>
      </w:r>
    </w:p>
    <w:p w14:paraId="55C4643C" w14:textId="77777777" w:rsidR="002C3ADC" w:rsidRPr="002C3ADC" w:rsidRDefault="002C3ADC" w:rsidP="003B5604">
      <w:pPr>
        <w:numPr>
          <w:ilvl w:val="1"/>
          <w:numId w:val="341"/>
        </w:numPr>
        <w:spacing w:line="276" w:lineRule="auto"/>
        <w:jc w:val="both"/>
        <w:rPr>
          <w:rFonts w:ascii="Arial" w:hAnsi="Arial" w:cs="Arial"/>
          <w:iCs/>
          <w:sz w:val="20"/>
          <w:szCs w:val="20"/>
        </w:rPr>
      </w:pPr>
      <w:r w:rsidRPr="002C3ADC">
        <w:rPr>
          <w:rFonts w:ascii="Arial" w:hAnsi="Arial" w:cs="Arial"/>
          <w:iCs/>
          <w:sz w:val="20"/>
          <w:szCs w:val="20"/>
        </w:rPr>
        <w:t>Obligations of the owner:</w:t>
      </w:r>
    </w:p>
    <w:p w14:paraId="6A463C0B" w14:textId="77777777" w:rsidR="002C3ADC" w:rsidRPr="002C3ADC" w:rsidRDefault="002C3ADC" w:rsidP="003B5604">
      <w:pPr>
        <w:pStyle w:val="ListParagraph"/>
        <w:numPr>
          <w:ilvl w:val="2"/>
          <w:numId w:val="341"/>
        </w:numPr>
        <w:tabs>
          <w:tab w:val="left" w:pos="1841"/>
          <w:tab w:val="left" w:pos="1842"/>
        </w:tabs>
        <w:jc w:val="both"/>
        <w:rPr>
          <w:rFonts w:ascii="Arial" w:hAnsi="Arial" w:cs="Arial"/>
          <w:sz w:val="20"/>
          <w:szCs w:val="20"/>
        </w:rPr>
      </w:pPr>
      <w:r w:rsidRPr="002C3ADC">
        <w:rPr>
          <w:rFonts w:ascii="Arial" w:hAnsi="Arial" w:cs="Arial"/>
          <w:sz w:val="20"/>
          <w:szCs w:val="20"/>
        </w:rPr>
        <w:t>have</w:t>
      </w:r>
      <w:r w:rsidRPr="002C3ADC">
        <w:rPr>
          <w:rFonts w:ascii="Arial" w:hAnsi="Arial" w:cs="Arial"/>
          <w:spacing w:val="1"/>
          <w:sz w:val="20"/>
          <w:szCs w:val="20"/>
        </w:rPr>
        <w:t xml:space="preserve"> </w:t>
      </w:r>
      <w:r w:rsidRPr="002C3ADC">
        <w:rPr>
          <w:rFonts w:ascii="Arial" w:hAnsi="Arial" w:cs="Arial"/>
          <w:sz w:val="20"/>
          <w:szCs w:val="20"/>
        </w:rPr>
        <w:t>a</w:t>
      </w:r>
      <w:r w:rsidRPr="002C3ADC">
        <w:rPr>
          <w:rFonts w:ascii="Arial" w:hAnsi="Arial" w:cs="Arial"/>
          <w:spacing w:val="-3"/>
          <w:sz w:val="20"/>
          <w:szCs w:val="20"/>
        </w:rPr>
        <w:t xml:space="preserve"> </w:t>
      </w:r>
      <w:r w:rsidRPr="002C3ADC">
        <w:rPr>
          <w:rFonts w:ascii="Arial" w:hAnsi="Arial" w:cs="Arial"/>
          <w:sz w:val="20"/>
          <w:szCs w:val="20"/>
        </w:rPr>
        <w:t>general</w:t>
      </w:r>
      <w:r w:rsidRPr="002C3ADC">
        <w:rPr>
          <w:rFonts w:ascii="Arial" w:hAnsi="Arial" w:cs="Arial"/>
          <w:spacing w:val="-1"/>
          <w:sz w:val="20"/>
          <w:szCs w:val="20"/>
        </w:rPr>
        <w:t xml:space="preserve"> </w:t>
      </w:r>
      <w:r w:rsidRPr="002C3ADC">
        <w:rPr>
          <w:rFonts w:ascii="Arial" w:hAnsi="Arial" w:cs="Arial"/>
          <w:sz w:val="20"/>
          <w:szCs w:val="20"/>
        </w:rPr>
        <w:t>understanding</w:t>
      </w:r>
      <w:r w:rsidRPr="002C3ADC">
        <w:rPr>
          <w:rFonts w:ascii="Arial" w:hAnsi="Arial" w:cs="Arial"/>
          <w:spacing w:val="-1"/>
          <w:sz w:val="20"/>
          <w:szCs w:val="20"/>
        </w:rPr>
        <w:t xml:space="preserve"> </w:t>
      </w:r>
      <w:r w:rsidRPr="002C3ADC">
        <w:rPr>
          <w:rFonts w:ascii="Arial" w:hAnsi="Arial" w:cs="Arial"/>
          <w:sz w:val="20"/>
          <w:szCs w:val="20"/>
        </w:rPr>
        <w:t>of the</w:t>
      </w:r>
      <w:r w:rsidRPr="002C3ADC">
        <w:rPr>
          <w:rFonts w:ascii="Arial" w:hAnsi="Arial" w:cs="Arial"/>
          <w:spacing w:val="-2"/>
          <w:sz w:val="20"/>
          <w:szCs w:val="20"/>
        </w:rPr>
        <w:t xml:space="preserve"> </w:t>
      </w:r>
      <w:r w:rsidRPr="002C3ADC">
        <w:rPr>
          <w:rFonts w:ascii="Arial" w:hAnsi="Arial" w:cs="Arial"/>
          <w:sz w:val="20"/>
          <w:szCs w:val="20"/>
        </w:rPr>
        <w:t>AMP;</w:t>
      </w:r>
    </w:p>
    <w:p w14:paraId="237A6191" w14:textId="77777777" w:rsidR="002C3ADC" w:rsidRPr="002C3ADC" w:rsidRDefault="002C3ADC" w:rsidP="003B5604">
      <w:pPr>
        <w:pStyle w:val="ListParagraph"/>
        <w:numPr>
          <w:ilvl w:val="2"/>
          <w:numId w:val="341"/>
        </w:numPr>
        <w:tabs>
          <w:tab w:val="left" w:pos="1841"/>
          <w:tab w:val="left" w:pos="1842"/>
        </w:tabs>
        <w:jc w:val="both"/>
        <w:rPr>
          <w:rFonts w:ascii="Arial" w:hAnsi="Arial" w:cs="Arial"/>
          <w:sz w:val="20"/>
          <w:szCs w:val="20"/>
        </w:rPr>
      </w:pPr>
      <w:r w:rsidRPr="002C3ADC">
        <w:rPr>
          <w:rFonts w:ascii="Arial" w:hAnsi="Arial" w:cs="Arial"/>
          <w:sz w:val="20"/>
          <w:szCs w:val="20"/>
        </w:rPr>
        <w:t>have a</w:t>
      </w:r>
      <w:r w:rsidRPr="002C3ADC">
        <w:rPr>
          <w:rFonts w:ascii="Arial" w:hAnsi="Arial" w:cs="Arial"/>
          <w:spacing w:val="-3"/>
          <w:sz w:val="20"/>
          <w:szCs w:val="20"/>
        </w:rPr>
        <w:t xml:space="preserve"> </w:t>
      </w:r>
      <w:r w:rsidRPr="002C3ADC">
        <w:rPr>
          <w:rFonts w:ascii="Arial" w:hAnsi="Arial" w:cs="Arial"/>
          <w:sz w:val="20"/>
          <w:szCs w:val="20"/>
        </w:rPr>
        <w:t>general</w:t>
      </w:r>
      <w:r w:rsidRPr="002C3ADC">
        <w:rPr>
          <w:rFonts w:ascii="Arial" w:hAnsi="Arial" w:cs="Arial"/>
          <w:spacing w:val="-2"/>
          <w:sz w:val="20"/>
          <w:szCs w:val="20"/>
        </w:rPr>
        <w:t xml:space="preserve"> </w:t>
      </w:r>
      <w:r w:rsidRPr="002C3ADC">
        <w:rPr>
          <w:rFonts w:ascii="Arial" w:hAnsi="Arial" w:cs="Arial"/>
          <w:sz w:val="20"/>
          <w:szCs w:val="20"/>
        </w:rPr>
        <w:t>understanding</w:t>
      </w:r>
      <w:r w:rsidRPr="002C3ADC">
        <w:rPr>
          <w:rFonts w:ascii="Arial" w:hAnsi="Arial" w:cs="Arial"/>
          <w:spacing w:val="-1"/>
          <w:sz w:val="20"/>
          <w:szCs w:val="20"/>
        </w:rPr>
        <w:t xml:space="preserve"> </w:t>
      </w:r>
      <w:r w:rsidRPr="002C3ADC">
        <w:rPr>
          <w:rFonts w:ascii="Arial" w:hAnsi="Arial" w:cs="Arial"/>
          <w:sz w:val="20"/>
          <w:szCs w:val="20"/>
        </w:rPr>
        <w:t>of</w:t>
      </w:r>
      <w:r w:rsidRPr="002C3ADC">
        <w:rPr>
          <w:rFonts w:ascii="Arial" w:hAnsi="Arial" w:cs="Arial"/>
          <w:spacing w:val="-1"/>
          <w:sz w:val="20"/>
          <w:szCs w:val="20"/>
        </w:rPr>
        <w:t xml:space="preserve"> </w:t>
      </w:r>
      <w:r w:rsidRPr="002C3ADC">
        <w:rPr>
          <w:rFonts w:ascii="Arial" w:hAnsi="Arial" w:cs="Arial"/>
          <w:sz w:val="20"/>
          <w:szCs w:val="20"/>
        </w:rPr>
        <w:t>this</w:t>
      </w:r>
      <w:r w:rsidRPr="002C3ADC">
        <w:rPr>
          <w:rFonts w:ascii="Arial" w:hAnsi="Arial" w:cs="Arial"/>
          <w:spacing w:val="-1"/>
          <w:sz w:val="20"/>
          <w:szCs w:val="20"/>
        </w:rPr>
        <w:t xml:space="preserve"> </w:t>
      </w:r>
      <w:r w:rsidRPr="002C3ADC">
        <w:rPr>
          <w:rFonts w:ascii="Arial" w:hAnsi="Arial" w:cs="Arial"/>
          <w:sz w:val="20"/>
          <w:szCs w:val="20"/>
        </w:rPr>
        <w:t>Annex;</w:t>
      </w:r>
    </w:p>
    <w:p w14:paraId="28FDBCE9" w14:textId="77777777" w:rsidR="002C3ADC" w:rsidRPr="002C3ADC" w:rsidRDefault="002C3ADC" w:rsidP="003B5604">
      <w:pPr>
        <w:pStyle w:val="ListParagraph"/>
        <w:numPr>
          <w:ilvl w:val="2"/>
          <w:numId w:val="341"/>
        </w:numPr>
        <w:tabs>
          <w:tab w:val="left" w:pos="1841"/>
          <w:tab w:val="left" w:pos="1842"/>
        </w:tabs>
        <w:jc w:val="both"/>
        <w:rPr>
          <w:rFonts w:ascii="Arial" w:hAnsi="Arial" w:cs="Arial"/>
          <w:sz w:val="20"/>
          <w:szCs w:val="20"/>
        </w:rPr>
      </w:pPr>
      <w:r w:rsidRPr="002C3ADC">
        <w:rPr>
          <w:rFonts w:ascii="Arial" w:hAnsi="Arial" w:cs="Arial"/>
          <w:sz w:val="20"/>
          <w:szCs w:val="20"/>
        </w:rPr>
        <w:t>present</w:t>
      </w:r>
      <w:r w:rsidRPr="002C3ADC">
        <w:rPr>
          <w:rFonts w:ascii="Arial" w:hAnsi="Arial" w:cs="Arial"/>
          <w:spacing w:val="-2"/>
          <w:sz w:val="20"/>
          <w:szCs w:val="20"/>
        </w:rPr>
        <w:t xml:space="preserve"> </w:t>
      </w:r>
      <w:r w:rsidRPr="002C3ADC">
        <w:rPr>
          <w:rFonts w:ascii="Arial" w:hAnsi="Arial" w:cs="Arial"/>
          <w:sz w:val="20"/>
          <w:szCs w:val="20"/>
        </w:rPr>
        <w:t>the aircraft</w:t>
      </w:r>
      <w:r w:rsidRPr="002C3ADC">
        <w:rPr>
          <w:rFonts w:ascii="Arial" w:hAnsi="Arial" w:cs="Arial"/>
          <w:spacing w:val="-1"/>
          <w:sz w:val="20"/>
          <w:szCs w:val="20"/>
        </w:rPr>
        <w:t xml:space="preserve"> </w:t>
      </w:r>
      <w:r w:rsidRPr="002C3ADC">
        <w:rPr>
          <w:rFonts w:ascii="Arial" w:hAnsi="Arial" w:cs="Arial"/>
          <w:sz w:val="20"/>
          <w:szCs w:val="20"/>
        </w:rPr>
        <w:t>for</w:t>
      </w:r>
      <w:r w:rsidRPr="002C3ADC">
        <w:rPr>
          <w:rFonts w:ascii="Arial" w:hAnsi="Arial" w:cs="Arial"/>
          <w:spacing w:val="-3"/>
          <w:sz w:val="20"/>
          <w:szCs w:val="20"/>
        </w:rPr>
        <w:t xml:space="preserve"> </w:t>
      </w:r>
      <w:r w:rsidRPr="002C3ADC">
        <w:rPr>
          <w:rFonts w:ascii="Arial" w:hAnsi="Arial" w:cs="Arial"/>
          <w:sz w:val="20"/>
          <w:szCs w:val="20"/>
        </w:rPr>
        <w:t>maintenance as</w:t>
      </w:r>
      <w:r w:rsidRPr="002C3ADC">
        <w:rPr>
          <w:rFonts w:ascii="Arial" w:hAnsi="Arial" w:cs="Arial"/>
          <w:spacing w:val="-4"/>
          <w:sz w:val="20"/>
          <w:szCs w:val="20"/>
        </w:rPr>
        <w:t xml:space="preserve"> </w:t>
      </w:r>
      <w:r w:rsidRPr="002C3ADC">
        <w:rPr>
          <w:rFonts w:ascii="Arial" w:hAnsi="Arial" w:cs="Arial"/>
          <w:sz w:val="20"/>
          <w:szCs w:val="20"/>
        </w:rPr>
        <w:t>directed</w:t>
      </w:r>
      <w:r w:rsidRPr="002C3ADC">
        <w:rPr>
          <w:rFonts w:ascii="Arial" w:hAnsi="Arial" w:cs="Arial"/>
          <w:spacing w:val="-2"/>
          <w:sz w:val="20"/>
          <w:szCs w:val="20"/>
        </w:rPr>
        <w:t xml:space="preserve"> </w:t>
      </w:r>
      <w:r w:rsidRPr="002C3ADC">
        <w:rPr>
          <w:rFonts w:ascii="Arial" w:hAnsi="Arial" w:cs="Arial"/>
          <w:sz w:val="20"/>
          <w:szCs w:val="20"/>
        </w:rPr>
        <w:t>by</w:t>
      </w:r>
      <w:r w:rsidRPr="002C3ADC">
        <w:rPr>
          <w:rFonts w:ascii="Arial" w:hAnsi="Arial" w:cs="Arial"/>
          <w:spacing w:val="-4"/>
          <w:sz w:val="20"/>
          <w:szCs w:val="20"/>
        </w:rPr>
        <w:t xml:space="preserve"> </w:t>
      </w:r>
      <w:r w:rsidRPr="002C3ADC">
        <w:rPr>
          <w:rFonts w:ascii="Arial" w:hAnsi="Arial" w:cs="Arial"/>
          <w:sz w:val="20"/>
          <w:szCs w:val="20"/>
        </w:rPr>
        <w:t>the contracted</w:t>
      </w:r>
      <w:r w:rsidRPr="002C3ADC">
        <w:rPr>
          <w:rFonts w:ascii="Arial" w:hAnsi="Arial" w:cs="Arial"/>
          <w:spacing w:val="-1"/>
          <w:sz w:val="20"/>
          <w:szCs w:val="20"/>
        </w:rPr>
        <w:t xml:space="preserve"> </w:t>
      </w:r>
      <w:r w:rsidRPr="002C3ADC">
        <w:rPr>
          <w:rFonts w:ascii="Arial" w:hAnsi="Arial" w:cs="Arial"/>
          <w:sz w:val="20"/>
          <w:szCs w:val="20"/>
        </w:rPr>
        <w:t>CAMO</w:t>
      </w:r>
      <w:r w:rsidRPr="002C3ADC">
        <w:rPr>
          <w:rFonts w:ascii="Arial" w:hAnsi="Arial" w:cs="Arial"/>
          <w:spacing w:val="-3"/>
          <w:sz w:val="20"/>
          <w:szCs w:val="20"/>
        </w:rPr>
        <w:t xml:space="preserve"> </w:t>
      </w:r>
      <w:r w:rsidRPr="002C3ADC">
        <w:rPr>
          <w:rFonts w:ascii="Arial" w:hAnsi="Arial" w:cs="Arial"/>
          <w:sz w:val="20"/>
          <w:szCs w:val="20"/>
        </w:rPr>
        <w:t>or</w:t>
      </w:r>
      <w:r w:rsidRPr="002C3ADC">
        <w:rPr>
          <w:rFonts w:ascii="Arial" w:hAnsi="Arial" w:cs="Arial"/>
          <w:spacing w:val="-1"/>
          <w:sz w:val="20"/>
          <w:szCs w:val="20"/>
        </w:rPr>
        <w:t xml:space="preserve"> </w:t>
      </w:r>
      <w:r w:rsidRPr="002C3ADC">
        <w:rPr>
          <w:rFonts w:ascii="Arial" w:hAnsi="Arial" w:cs="Arial"/>
          <w:sz w:val="20"/>
          <w:szCs w:val="20"/>
        </w:rPr>
        <w:t>CAO;</w:t>
      </w:r>
    </w:p>
    <w:p w14:paraId="29450A31" w14:textId="77777777" w:rsidR="002C3ADC" w:rsidRPr="002C3ADC" w:rsidRDefault="002C3ADC" w:rsidP="003B5604">
      <w:pPr>
        <w:pStyle w:val="ListParagraph"/>
        <w:numPr>
          <w:ilvl w:val="2"/>
          <w:numId w:val="341"/>
        </w:numPr>
        <w:tabs>
          <w:tab w:val="left" w:pos="1841"/>
          <w:tab w:val="left" w:pos="1842"/>
        </w:tabs>
        <w:spacing w:before="118"/>
        <w:jc w:val="both"/>
        <w:rPr>
          <w:rFonts w:ascii="Arial" w:hAnsi="Arial" w:cs="Arial"/>
          <w:sz w:val="20"/>
          <w:szCs w:val="20"/>
        </w:rPr>
      </w:pPr>
      <w:r w:rsidRPr="002C3ADC">
        <w:rPr>
          <w:rFonts w:ascii="Arial" w:hAnsi="Arial" w:cs="Arial"/>
          <w:sz w:val="20"/>
          <w:szCs w:val="20"/>
        </w:rPr>
        <w:t>not</w:t>
      </w:r>
      <w:r w:rsidRPr="002C3ADC">
        <w:rPr>
          <w:rFonts w:ascii="Arial" w:hAnsi="Arial" w:cs="Arial"/>
          <w:spacing w:val="-4"/>
          <w:sz w:val="20"/>
          <w:szCs w:val="20"/>
        </w:rPr>
        <w:t xml:space="preserve"> </w:t>
      </w:r>
      <w:r w:rsidRPr="002C3ADC">
        <w:rPr>
          <w:rFonts w:ascii="Arial" w:hAnsi="Arial" w:cs="Arial"/>
          <w:sz w:val="20"/>
          <w:szCs w:val="20"/>
        </w:rPr>
        <w:t>modify</w:t>
      </w:r>
      <w:r w:rsidRPr="002C3ADC">
        <w:rPr>
          <w:rFonts w:ascii="Arial" w:hAnsi="Arial" w:cs="Arial"/>
          <w:spacing w:val="-1"/>
          <w:sz w:val="20"/>
          <w:szCs w:val="20"/>
        </w:rPr>
        <w:t xml:space="preserve"> </w:t>
      </w:r>
      <w:r w:rsidRPr="002C3ADC">
        <w:rPr>
          <w:rFonts w:ascii="Arial" w:hAnsi="Arial" w:cs="Arial"/>
          <w:sz w:val="20"/>
          <w:szCs w:val="20"/>
        </w:rPr>
        <w:t>the</w:t>
      </w:r>
      <w:r w:rsidRPr="002C3ADC">
        <w:rPr>
          <w:rFonts w:ascii="Arial" w:hAnsi="Arial" w:cs="Arial"/>
          <w:spacing w:val="-1"/>
          <w:sz w:val="20"/>
          <w:szCs w:val="20"/>
        </w:rPr>
        <w:t xml:space="preserve"> </w:t>
      </w:r>
      <w:r w:rsidRPr="002C3ADC">
        <w:rPr>
          <w:rFonts w:ascii="Arial" w:hAnsi="Arial" w:cs="Arial"/>
          <w:sz w:val="20"/>
          <w:szCs w:val="20"/>
        </w:rPr>
        <w:t>aircraft</w:t>
      </w:r>
      <w:r w:rsidRPr="002C3ADC">
        <w:rPr>
          <w:rFonts w:ascii="Arial" w:hAnsi="Arial" w:cs="Arial"/>
          <w:spacing w:val="-1"/>
          <w:sz w:val="20"/>
          <w:szCs w:val="20"/>
        </w:rPr>
        <w:t xml:space="preserve"> </w:t>
      </w:r>
      <w:r w:rsidRPr="002C3ADC">
        <w:rPr>
          <w:rFonts w:ascii="Arial" w:hAnsi="Arial" w:cs="Arial"/>
          <w:sz w:val="20"/>
          <w:szCs w:val="20"/>
        </w:rPr>
        <w:t>without</w:t>
      </w:r>
      <w:r w:rsidRPr="002C3ADC">
        <w:rPr>
          <w:rFonts w:ascii="Arial" w:hAnsi="Arial" w:cs="Arial"/>
          <w:spacing w:val="-1"/>
          <w:sz w:val="20"/>
          <w:szCs w:val="20"/>
        </w:rPr>
        <w:t xml:space="preserve"> </w:t>
      </w:r>
      <w:r w:rsidRPr="002C3ADC">
        <w:rPr>
          <w:rFonts w:ascii="Arial" w:hAnsi="Arial" w:cs="Arial"/>
          <w:sz w:val="20"/>
          <w:szCs w:val="20"/>
        </w:rPr>
        <w:t>first</w:t>
      </w:r>
      <w:r w:rsidRPr="002C3ADC">
        <w:rPr>
          <w:rFonts w:ascii="Arial" w:hAnsi="Arial" w:cs="Arial"/>
          <w:spacing w:val="-4"/>
          <w:sz w:val="20"/>
          <w:szCs w:val="20"/>
        </w:rPr>
        <w:t xml:space="preserve"> </w:t>
      </w:r>
      <w:r w:rsidRPr="002C3ADC">
        <w:rPr>
          <w:rFonts w:ascii="Arial" w:hAnsi="Arial" w:cs="Arial"/>
          <w:sz w:val="20"/>
          <w:szCs w:val="20"/>
        </w:rPr>
        <w:t>consulting</w:t>
      </w:r>
      <w:r w:rsidRPr="002C3ADC">
        <w:rPr>
          <w:rFonts w:ascii="Arial" w:hAnsi="Arial" w:cs="Arial"/>
          <w:spacing w:val="-2"/>
          <w:sz w:val="20"/>
          <w:szCs w:val="20"/>
        </w:rPr>
        <w:t xml:space="preserve"> </w:t>
      </w:r>
      <w:r w:rsidRPr="002C3ADC">
        <w:rPr>
          <w:rFonts w:ascii="Arial" w:hAnsi="Arial" w:cs="Arial"/>
          <w:sz w:val="20"/>
          <w:szCs w:val="20"/>
        </w:rPr>
        <w:t>the</w:t>
      </w:r>
      <w:r w:rsidRPr="002C3ADC">
        <w:rPr>
          <w:rFonts w:ascii="Arial" w:hAnsi="Arial" w:cs="Arial"/>
          <w:spacing w:val="-3"/>
          <w:sz w:val="20"/>
          <w:szCs w:val="20"/>
        </w:rPr>
        <w:t xml:space="preserve"> </w:t>
      </w:r>
      <w:r w:rsidRPr="002C3ADC">
        <w:rPr>
          <w:rFonts w:ascii="Arial" w:hAnsi="Arial" w:cs="Arial"/>
          <w:sz w:val="20"/>
          <w:szCs w:val="20"/>
        </w:rPr>
        <w:t>contracted</w:t>
      </w:r>
      <w:r w:rsidRPr="002C3ADC">
        <w:rPr>
          <w:rFonts w:ascii="Arial" w:hAnsi="Arial" w:cs="Arial"/>
          <w:spacing w:val="-3"/>
          <w:sz w:val="20"/>
          <w:szCs w:val="20"/>
        </w:rPr>
        <w:t xml:space="preserve"> </w:t>
      </w:r>
      <w:r w:rsidRPr="002C3ADC">
        <w:rPr>
          <w:rFonts w:ascii="Arial" w:hAnsi="Arial" w:cs="Arial"/>
          <w:sz w:val="20"/>
          <w:szCs w:val="20"/>
        </w:rPr>
        <w:t>CAMO</w:t>
      </w:r>
      <w:r w:rsidRPr="002C3ADC">
        <w:rPr>
          <w:rFonts w:ascii="Arial" w:hAnsi="Arial" w:cs="Arial"/>
          <w:spacing w:val="-4"/>
          <w:sz w:val="20"/>
          <w:szCs w:val="20"/>
        </w:rPr>
        <w:t xml:space="preserve"> </w:t>
      </w:r>
      <w:r w:rsidRPr="002C3ADC">
        <w:rPr>
          <w:rFonts w:ascii="Arial" w:hAnsi="Arial" w:cs="Arial"/>
          <w:sz w:val="20"/>
          <w:szCs w:val="20"/>
        </w:rPr>
        <w:t>or</w:t>
      </w:r>
      <w:r w:rsidRPr="002C3ADC">
        <w:rPr>
          <w:rFonts w:ascii="Arial" w:hAnsi="Arial" w:cs="Arial"/>
          <w:spacing w:val="-4"/>
          <w:sz w:val="20"/>
          <w:szCs w:val="20"/>
        </w:rPr>
        <w:t xml:space="preserve"> </w:t>
      </w:r>
      <w:r w:rsidRPr="002C3ADC">
        <w:rPr>
          <w:rFonts w:ascii="Arial" w:hAnsi="Arial" w:cs="Arial"/>
          <w:sz w:val="20"/>
          <w:szCs w:val="20"/>
        </w:rPr>
        <w:t>CAO;</w:t>
      </w:r>
    </w:p>
    <w:p w14:paraId="58A4C195" w14:textId="77777777" w:rsidR="002C3ADC" w:rsidRPr="002C3ADC" w:rsidRDefault="002C3ADC" w:rsidP="003B5604">
      <w:pPr>
        <w:pStyle w:val="ListParagraph"/>
        <w:numPr>
          <w:ilvl w:val="2"/>
          <w:numId w:val="341"/>
        </w:numPr>
        <w:tabs>
          <w:tab w:val="left" w:pos="1841"/>
          <w:tab w:val="left" w:pos="1842"/>
        </w:tabs>
        <w:ind w:right="199"/>
        <w:jc w:val="both"/>
        <w:rPr>
          <w:rFonts w:ascii="Arial" w:hAnsi="Arial" w:cs="Arial"/>
          <w:sz w:val="20"/>
          <w:szCs w:val="20"/>
        </w:rPr>
      </w:pPr>
      <w:r w:rsidRPr="002C3ADC">
        <w:rPr>
          <w:rFonts w:ascii="Arial" w:hAnsi="Arial" w:cs="Arial"/>
          <w:sz w:val="20"/>
          <w:szCs w:val="20"/>
        </w:rPr>
        <w:t>inform</w:t>
      </w:r>
      <w:r w:rsidRPr="002C3ADC">
        <w:rPr>
          <w:rFonts w:ascii="Arial" w:hAnsi="Arial" w:cs="Arial"/>
          <w:spacing w:val="5"/>
          <w:sz w:val="20"/>
          <w:szCs w:val="20"/>
        </w:rPr>
        <w:t xml:space="preserve"> </w:t>
      </w:r>
      <w:r w:rsidRPr="002C3ADC">
        <w:rPr>
          <w:rFonts w:ascii="Arial" w:hAnsi="Arial" w:cs="Arial"/>
          <w:sz w:val="20"/>
          <w:szCs w:val="20"/>
        </w:rPr>
        <w:t>the</w:t>
      </w:r>
      <w:r w:rsidRPr="002C3ADC">
        <w:rPr>
          <w:rFonts w:ascii="Arial" w:hAnsi="Arial" w:cs="Arial"/>
          <w:spacing w:val="7"/>
          <w:sz w:val="20"/>
          <w:szCs w:val="20"/>
        </w:rPr>
        <w:t xml:space="preserve"> </w:t>
      </w:r>
      <w:r w:rsidRPr="002C3ADC">
        <w:rPr>
          <w:rFonts w:ascii="Arial" w:hAnsi="Arial" w:cs="Arial"/>
          <w:sz w:val="20"/>
          <w:szCs w:val="20"/>
        </w:rPr>
        <w:t>contracted</w:t>
      </w:r>
      <w:r w:rsidRPr="002C3ADC">
        <w:rPr>
          <w:rFonts w:ascii="Arial" w:hAnsi="Arial" w:cs="Arial"/>
          <w:spacing w:val="3"/>
          <w:sz w:val="20"/>
          <w:szCs w:val="20"/>
        </w:rPr>
        <w:t xml:space="preserve"> </w:t>
      </w:r>
      <w:r w:rsidRPr="002C3ADC">
        <w:rPr>
          <w:rFonts w:ascii="Arial" w:hAnsi="Arial" w:cs="Arial"/>
          <w:sz w:val="20"/>
          <w:szCs w:val="20"/>
        </w:rPr>
        <w:t>CAMO</w:t>
      </w:r>
      <w:r w:rsidRPr="002C3ADC">
        <w:rPr>
          <w:rFonts w:ascii="Arial" w:hAnsi="Arial" w:cs="Arial"/>
          <w:spacing w:val="5"/>
          <w:sz w:val="20"/>
          <w:szCs w:val="20"/>
        </w:rPr>
        <w:t xml:space="preserve"> </w:t>
      </w:r>
      <w:r w:rsidRPr="002C3ADC">
        <w:rPr>
          <w:rFonts w:ascii="Arial" w:hAnsi="Arial" w:cs="Arial"/>
          <w:sz w:val="20"/>
          <w:szCs w:val="20"/>
        </w:rPr>
        <w:t>or</w:t>
      </w:r>
      <w:r w:rsidRPr="002C3ADC">
        <w:rPr>
          <w:rFonts w:ascii="Arial" w:hAnsi="Arial" w:cs="Arial"/>
          <w:spacing w:val="4"/>
          <w:sz w:val="20"/>
          <w:szCs w:val="20"/>
        </w:rPr>
        <w:t xml:space="preserve"> </w:t>
      </w:r>
      <w:r w:rsidRPr="002C3ADC">
        <w:rPr>
          <w:rFonts w:ascii="Arial" w:hAnsi="Arial" w:cs="Arial"/>
          <w:sz w:val="20"/>
          <w:szCs w:val="20"/>
        </w:rPr>
        <w:t>CAO</w:t>
      </w:r>
      <w:r w:rsidRPr="002C3ADC">
        <w:rPr>
          <w:rFonts w:ascii="Arial" w:hAnsi="Arial" w:cs="Arial"/>
          <w:spacing w:val="3"/>
          <w:sz w:val="20"/>
          <w:szCs w:val="20"/>
        </w:rPr>
        <w:t xml:space="preserve"> </w:t>
      </w:r>
      <w:r w:rsidRPr="002C3ADC">
        <w:rPr>
          <w:rFonts w:ascii="Arial" w:hAnsi="Arial" w:cs="Arial"/>
          <w:sz w:val="20"/>
          <w:szCs w:val="20"/>
        </w:rPr>
        <w:t>of</w:t>
      </w:r>
      <w:r w:rsidRPr="002C3ADC">
        <w:rPr>
          <w:rFonts w:ascii="Arial" w:hAnsi="Arial" w:cs="Arial"/>
          <w:spacing w:val="3"/>
          <w:sz w:val="20"/>
          <w:szCs w:val="20"/>
        </w:rPr>
        <w:t xml:space="preserve"> </w:t>
      </w:r>
      <w:r w:rsidRPr="002C3ADC">
        <w:rPr>
          <w:rFonts w:ascii="Arial" w:hAnsi="Arial" w:cs="Arial"/>
          <w:sz w:val="20"/>
          <w:szCs w:val="20"/>
        </w:rPr>
        <w:t>all</w:t>
      </w:r>
      <w:r w:rsidRPr="002C3ADC">
        <w:rPr>
          <w:rFonts w:ascii="Arial" w:hAnsi="Arial" w:cs="Arial"/>
          <w:spacing w:val="3"/>
          <w:sz w:val="20"/>
          <w:szCs w:val="20"/>
        </w:rPr>
        <w:t xml:space="preserve"> </w:t>
      </w:r>
      <w:r w:rsidRPr="002C3ADC">
        <w:rPr>
          <w:rFonts w:ascii="Arial" w:hAnsi="Arial" w:cs="Arial"/>
          <w:sz w:val="20"/>
          <w:szCs w:val="20"/>
        </w:rPr>
        <w:t>maintenance</w:t>
      </w:r>
      <w:r w:rsidRPr="002C3ADC">
        <w:rPr>
          <w:rFonts w:ascii="Arial" w:hAnsi="Arial" w:cs="Arial"/>
          <w:spacing w:val="5"/>
          <w:sz w:val="20"/>
          <w:szCs w:val="20"/>
        </w:rPr>
        <w:t xml:space="preserve"> </w:t>
      </w:r>
      <w:r w:rsidRPr="002C3ADC">
        <w:rPr>
          <w:rFonts w:ascii="Arial" w:hAnsi="Arial" w:cs="Arial"/>
          <w:sz w:val="20"/>
          <w:szCs w:val="20"/>
        </w:rPr>
        <w:t>exceptionally</w:t>
      </w:r>
      <w:r w:rsidRPr="002C3ADC">
        <w:rPr>
          <w:rFonts w:ascii="Arial" w:hAnsi="Arial" w:cs="Arial"/>
          <w:spacing w:val="4"/>
          <w:sz w:val="20"/>
          <w:szCs w:val="20"/>
        </w:rPr>
        <w:t xml:space="preserve"> </w:t>
      </w:r>
      <w:r w:rsidRPr="002C3ADC">
        <w:rPr>
          <w:rFonts w:ascii="Arial" w:hAnsi="Arial" w:cs="Arial"/>
          <w:sz w:val="20"/>
          <w:szCs w:val="20"/>
        </w:rPr>
        <w:t>carried</w:t>
      </w:r>
      <w:r w:rsidRPr="002C3ADC">
        <w:rPr>
          <w:rFonts w:ascii="Arial" w:hAnsi="Arial" w:cs="Arial"/>
          <w:spacing w:val="4"/>
          <w:sz w:val="20"/>
          <w:szCs w:val="20"/>
        </w:rPr>
        <w:t xml:space="preserve"> </w:t>
      </w:r>
      <w:r w:rsidRPr="002C3ADC">
        <w:rPr>
          <w:rFonts w:ascii="Arial" w:hAnsi="Arial" w:cs="Arial"/>
          <w:sz w:val="20"/>
          <w:szCs w:val="20"/>
        </w:rPr>
        <w:t>out</w:t>
      </w:r>
      <w:r w:rsidRPr="002C3ADC">
        <w:rPr>
          <w:rFonts w:ascii="Arial" w:hAnsi="Arial" w:cs="Arial"/>
          <w:spacing w:val="-46"/>
          <w:sz w:val="20"/>
          <w:szCs w:val="20"/>
        </w:rPr>
        <w:t xml:space="preserve"> </w:t>
      </w:r>
      <w:r w:rsidRPr="002C3ADC">
        <w:rPr>
          <w:rFonts w:ascii="Arial" w:hAnsi="Arial" w:cs="Arial"/>
          <w:sz w:val="20"/>
          <w:szCs w:val="20"/>
        </w:rPr>
        <w:t>without</w:t>
      </w:r>
      <w:r w:rsidRPr="002C3ADC">
        <w:rPr>
          <w:rFonts w:ascii="Arial" w:hAnsi="Arial" w:cs="Arial"/>
          <w:spacing w:val="-3"/>
          <w:sz w:val="20"/>
          <w:szCs w:val="20"/>
        </w:rPr>
        <w:t xml:space="preserve"> </w:t>
      </w:r>
      <w:r w:rsidRPr="002C3ADC">
        <w:rPr>
          <w:rFonts w:ascii="Arial" w:hAnsi="Arial" w:cs="Arial"/>
          <w:sz w:val="20"/>
          <w:szCs w:val="20"/>
        </w:rPr>
        <w:t>the</w:t>
      </w:r>
      <w:r w:rsidRPr="002C3ADC">
        <w:rPr>
          <w:rFonts w:ascii="Arial" w:hAnsi="Arial" w:cs="Arial"/>
          <w:spacing w:val="-2"/>
          <w:sz w:val="20"/>
          <w:szCs w:val="20"/>
        </w:rPr>
        <w:t xml:space="preserve"> </w:t>
      </w:r>
      <w:r w:rsidRPr="002C3ADC">
        <w:rPr>
          <w:rFonts w:ascii="Arial" w:hAnsi="Arial" w:cs="Arial"/>
          <w:sz w:val="20"/>
          <w:szCs w:val="20"/>
        </w:rPr>
        <w:t>knowledge</w:t>
      </w:r>
      <w:r w:rsidRPr="002C3ADC">
        <w:rPr>
          <w:rFonts w:ascii="Arial" w:hAnsi="Arial" w:cs="Arial"/>
          <w:spacing w:val="1"/>
          <w:sz w:val="20"/>
          <w:szCs w:val="20"/>
        </w:rPr>
        <w:t xml:space="preserve"> </w:t>
      </w:r>
      <w:r w:rsidRPr="002C3ADC">
        <w:rPr>
          <w:rFonts w:ascii="Arial" w:hAnsi="Arial" w:cs="Arial"/>
          <w:sz w:val="20"/>
          <w:szCs w:val="20"/>
        </w:rPr>
        <w:t>and</w:t>
      </w:r>
      <w:r w:rsidRPr="002C3ADC">
        <w:rPr>
          <w:rFonts w:ascii="Arial" w:hAnsi="Arial" w:cs="Arial"/>
          <w:spacing w:val="-1"/>
          <w:sz w:val="20"/>
          <w:szCs w:val="20"/>
        </w:rPr>
        <w:t xml:space="preserve"> </w:t>
      </w:r>
      <w:r w:rsidRPr="002C3ADC">
        <w:rPr>
          <w:rFonts w:ascii="Arial" w:hAnsi="Arial" w:cs="Arial"/>
          <w:sz w:val="20"/>
          <w:szCs w:val="20"/>
        </w:rPr>
        <w:t>control</w:t>
      </w:r>
      <w:r w:rsidRPr="002C3ADC">
        <w:rPr>
          <w:rFonts w:ascii="Arial" w:hAnsi="Arial" w:cs="Arial"/>
          <w:spacing w:val="-2"/>
          <w:sz w:val="20"/>
          <w:szCs w:val="20"/>
        </w:rPr>
        <w:t xml:space="preserve"> </w:t>
      </w:r>
      <w:r w:rsidRPr="002C3ADC">
        <w:rPr>
          <w:rFonts w:ascii="Arial" w:hAnsi="Arial" w:cs="Arial"/>
          <w:sz w:val="20"/>
          <w:szCs w:val="20"/>
        </w:rPr>
        <w:t>of the</w:t>
      </w:r>
      <w:r w:rsidRPr="002C3ADC">
        <w:rPr>
          <w:rFonts w:ascii="Arial" w:hAnsi="Arial" w:cs="Arial"/>
          <w:spacing w:val="1"/>
          <w:sz w:val="20"/>
          <w:szCs w:val="20"/>
        </w:rPr>
        <w:t xml:space="preserve"> </w:t>
      </w:r>
      <w:r w:rsidRPr="002C3ADC">
        <w:rPr>
          <w:rFonts w:ascii="Arial" w:hAnsi="Arial" w:cs="Arial"/>
          <w:sz w:val="20"/>
          <w:szCs w:val="20"/>
        </w:rPr>
        <w:t>contracted</w:t>
      </w:r>
      <w:r w:rsidRPr="002C3ADC">
        <w:rPr>
          <w:rFonts w:ascii="Arial" w:hAnsi="Arial" w:cs="Arial"/>
          <w:spacing w:val="-4"/>
          <w:sz w:val="20"/>
          <w:szCs w:val="20"/>
        </w:rPr>
        <w:t xml:space="preserve"> </w:t>
      </w:r>
      <w:r w:rsidRPr="002C3ADC">
        <w:rPr>
          <w:rFonts w:ascii="Arial" w:hAnsi="Arial" w:cs="Arial"/>
          <w:sz w:val="20"/>
          <w:szCs w:val="20"/>
        </w:rPr>
        <w:t>CAMO</w:t>
      </w:r>
      <w:r w:rsidRPr="002C3ADC">
        <w:rPr>
          <w:rFonts w:ascii="Arial" w:hAnsi="Arial" w:cs="Arial"/>
          <w:spacing w:val="-2"/>
          <w:sz w:val="20"/>
          <w:szCs w:val="20"/>
        </w:rPr>
        <w:t xml:space="preserve"> </w:t>
      </w:r>
      <w:r w:rsidRPr="002C3ADC">
        <w:rPr>
          <w:rFonts w:ascii="Arial" w:hAnsi="Arial" w:cs="Arial"/>
          <w:sz w:val="20"/>
          <w:szCs w:val="20"/>
        </w:rPr>
        <w:t>or</w:t>
      </w:r>
      <w:r w:rsidRPr="002C3ADC">
        <w:rPr>
          <w:rFonts w:ascii="Arial" w:hAnsi="Arial" w:cs="Arial"/>
          <w:spacing w:val="-3"/>
          <w:sz w:val="20"/>
          <w:szCs w:val="20"/>
        </w:rPr>
        <w:t xml:space="preserve"> </w:t>
      </w:r>
      <w:r w:rsidRPr="002C3ADC">
        <w:rPr>
          <w:rFonts w:ascii="Arial" w:hAnsi="Arial" w:cs="Arial"/>
          <w:sz w:val="20"/>
          <w:szCs w:val="20"/>
        </w:rPr>
        <w:t>CAO;</w:t>
      </w:r>
    </w:p>
    <w:p w14:paraId="43A34B6B" w14:textId="77777777" w:rsidR="002C3ADC" w:rsidRPr="002C3ADC" w:rsidRDefault="002C3ADC" w:rsidP="003B5604">
      <w:pPr>
        <w:pStyle w:val="ListParagraph"/>
        <w:numPr>
          <w:ilvl w:val="2"/>
          <w:numId w:val="341"/>
        </w:numPr>
        <w:tabs>
          <w:tab w:val="left" w:pos="1841"/>
          <w:tab w:val="left" w:pos="1842"/>
        </w:tabs>
        <w:spacing w:before="121"/>
        <w:ind w:right="200"/>
        <w:jc w:val="both"/>
        <w:rPr>
          <w:rFonts w:ascii="Arial" w:hAnsi="Arial" w:cs="Arial"/>
          <w:sz w:val="20"/>
          <w:szCs w:val="20"/>
        </w:rPr>
      </w:pPr>
      <w:r w:rsidRPr="002C3ADC">
        <w:rPr>
          <w:rFonts w:ascii="Arial" w:hAnsi="Arial" w:cs="Arial"/>
          <w:sz w:val="20"/>
          <w:szCs w:val="20"/>
        </w:rPr>
        <w:t>report</w:t>
      </w:r>
      <w:r w:rsidRPr="002C3ADC">
        <w:rPr>
          <w:rFonts w:ascii="Arial" w:hAnsi="Arial" w:cs="Arial"/>
          <w:spacing w:val="33"/>
          <w:sz w:val="20"/>
          <w:szCs w:val="20"/>
        </w:rPr>
        <w:t xml:space="preserve"> </w:t>
      </w:r>
      <w:r w:rsidRPr="002C3ADC">
        <w:rPr>
          <w:rFonts w:ascii="Arial" w:hAnsi="Arial" w:cs="Arial"/>
          <w:sz w:val="20"/>
          <w:szCs w:val="20"/>
        </w:rPr>
        <w:t>to</w:t>
      </w:r>
      <w:r w:rsidRPr="002C3ADC">
        <w:rPr>
          <w:rFonts w:ascii="Arial" w:hAnsi="Arial" w:cs="Arial"/>
          <w:spacing w:val="34"/>
          <w:sz w:val="20"/>
          <w:szCs w:val="20"/>
        </w:rPr>
        <w:t xml:space="preserve"> </w:t>
      </w:r>
      <w:r w:rsidRPr="002C3ADC">
        <w:rPr>
          <w:rFonts w:ascii="Arial" w:hAnsi="Arial" w:cs="Arial"/>
          <w:sz w:val="20"/>
          <w:szCs w:val="20"/>
        </w:rPr>
        <w:t>the</w:t>
      </w:r>
      <w:r w:rsidRPr="002C3ADC">
        <w:rPr>
          <w:rFonts w:ascii="Arial" w:hAnsi="Arial" w:cs="Arial"/>
          <w:spacing w:val="32"/>
          <w:sz w:val="20"/>
          <w:szCs w:val="20"/>
        </w:rPr>
        <w:t xml:space="preserve"> </w:t>
      </w:r>
      <w:r w:rsidRPr="002C3ADC">
        <w:rPr>
          <w:rFonts w:ascii="Arial" w:hAnsi="Arial" w:cs="Arial"/>
          <w:sz w:val="20"/>
          <w:szCs w:val="20"/>
        </w:rPr>
        <w:t>contracted</w:t>
      </w:r>
      <w:r w:rsidRPr="002C3ADC">
        <w:rPr>
          <w:rFonts w:ascii="Arial" w:hAnsi="Arial" w:cs="Arial"/>
          <w:spacing w:val="30"/>
          <w:sz w:val="20"/>
          <w:szCs w:val="20"/>
        </w:rPr>
        <w:t xml:space="preserve"> </w:t>
      </w:r>
      <w:r w:rsidRPr="002C3ADC">
        <w:rPr>
          <w:rFonts w:ascii="Arial" w:hAnsi="Arial" w:cs="Arial"/>
          <w:sz w:val="20"/>
          <w:szCs w:val="20"/>
        </w:rPr>
        <w:t>CAMO</w:t>
      </w:r>
      <w:r w:rsidRPr="002C3ADC">
        <w:rPr>
          <w:rFonts w:ascii="Arial" w:hAnsi="Arial" w:cs="Arial"/>
          <w:spacing w:val="32"/>
          <w:sz w:val="20"/>
          <w:szCs w:val="20"/>
        </w:rPr>
        <w:t xml:space="preserve"> </w:t>
      </w:r>
      <w:r w:rsidRPr="002C3ADC">
        <w:rPr>
          <w:rFonts w:ascii="Arial" w:hAnsi="Arial" w:cs="Arial"/>
          <w:sz w:val="20"/>
          <w:szCs w:val="20"/>
        </w:rPr>
        <w:t>or</w:t>
      </w:r>
      <w:r w:rsidRPr="002C3ADC">
        <w:rPr>
          <w:rFonts w:ascii="Arial" w:hAnsi="Arial" w:cs="Arial"/>
          <w:spacing w:val="33"/>
          <w:sz w:val="20"/>
          <w:szCs w:val="20"/>
        </w:rPr>
        <w:t xml:space="preserve"> </w:t>
      </w:r>
      <w:r w:rsidRPr="002C3ADC">
        <w:rPr>
          <w:rFonts w:ascii="Arial" w:hAnsi="Arial" w:cs="Arial"/>
          <w:sz w:val="20"/>
          <w:szCs w:val="20"/>
        </w:rPr>
        <w:t>CAO</w:t>
      </w:r>
      <w:r w:rsidRPr="002C3ADC">
        <w:rPr>
          <w:rFonts w:ascii="Arial" w:hAnsi="Arial" w:cs="Arial"/>
          <w:spacing w:val="34"/>
          <w:sz w:val="20"/>
          <w:szCs w:val="20"/>
        </w:rPr>
        <w:t xml:space="preserve"> </w:t>
      </w:r>
      <w:r w:rsidRPr="002C3ADC">
        <w:rPr>
          <w:rFonts w:ascii="Arial" w:hAnsi="Arial" w:cs="Arial"/>
          <w:sz w:val="20"/>
          <w:szCs w:val="20"/>
        </w:rPr>
        <w:t>through</w:t>
      </w:r>
      <w:r w:rsidRPr="002C3ADC">
        <w:rPr>
          <w:rFonts w:ascii="Arial" w:hAnsi="Arial" w:cs="Arial"/>
          <w:spacing w:val="32"/>
          <w:sz w:val="20"/>
          <w:szCs w:val="20"/>
        </w:rPr>
        <w:t xml:space="preserve"> </w:t>
      </w:r>
      <w:r w:rsidRPr="002C3ADC">
        <w:rPr>
          <w:rFonts w:ascii="Arial" w:hAnsi="Arial" w:cs="Arial"/>
          <w:sz w:val="20"/>
          <w:szCs w:val="20"/>
        </w:rPr>
        <w:t>the</w:t>
      </w:r>
      <w:r w:rsidRPr="002C3ADC">
        <w:rPr>
          <w:rFonts w:ascii="Arial" w:hAnsi="Arial" w:cs="Arial"/>
          <w:spacing w:val="34"/>
          <w:sz w:val="20"/>
          <w:szCs w:val="20"/>
        </w:rPr>
        <w:t xml:space="preserve"> </w:t>
      </w:r>
      <w:r w:rsidRPr="002C3ADC">
        <w:rPr>
          <w:rFonts w:ascii="Arial" w:hAnsi="Arial" w:cs="Arial"/>
          <w:sz w:val="20"/>
          <w:szCs w:val="20"/>
        </w:rPr>
        <w:t>logbook</w:t>
      </w:r>
      <w:r w:rsidRPr="002C3ADC">
        <w:rPr>
          <w:rFonts w:ascii="Arial" w:hAnsi="Arial" w:cs="Arial"/>
          <w:spacing w:val="33"/>
          <w:sz w:val="20"/>
          <w:szCs w:val="20"/>
        </w:rPr>
        <w:t xml:space="preserve"> </w:t>
      </w:r>
      <w:r w:rsidRPr="002C3ADC">
        <w:rPr>
          <w:rFonts w:ascii="Arial" w:hAnsi="Arial" w:cs="Arial"/>
          <w:sz w:val="20"/>
          <w:szCs w:val="20"/>
        </w:rPr>
        <w:t>all</w:t>
      </w:r>
      <w:r w:rsidRPr="002C3ADC">
        <w:rPr>
          <w:rFonts w:ascii="Arial" w:hAnsi="Arial" w:cs="Arial"/>
          <w:spacing w:val="33"/>
          <w:sz w:val="20"/>
          <w:szCs w:val="20"/>
        </w:rPr>
        <w:t xml:space="preserve"> </w:t>
      </w:r>
      <w:r w:rsidRPr="002C3ADC">
        <w:rPr>
          <w:rFonts w:ascii="Arial" w:hAnsi="Arial" w:cs="Arial"/>
          <w:sz w:val="20"/>
          <w:szCs w:val="20"/>
        </w:rPr>
        <w:t>defects</w:t>
      </w:r>
      <w:r w:rsidRPr="002C3ADC">
        <w:rPr>
          <w:rFonts w:ascii="Arial" w:hAnsi="Arial" w:cs="Arial"/>
          <w:spacing w:val="33"/>
          <w:sz w:val="20"/>
          <w:szCs w:val="20"/>
        </w:rPr>
        <w:t xml:space="preserve"> </w:t>
      </w:r>
      <w:r w:rsidRPr="002C3ADC">
        <w:rPr>
          <w:rFonts w:ascii="Arial" w:hAnsi="Arial" w:cs="Arial"/>
          <w:sz w:val="20"/>
          <w:szCs w:val="20"/>
        </w:rPr>
        <w:t>found</w:t>
      </w:r>
      <w:r w:rsidRPr="002C3ADC">
        <w:rPr>
          <w:rFonts w:ascii="Arial" w:hAnsi="Arial" w:cs="Arial"/>
          <w:spacing w:val="-46"/>
          <w:sz w:val="20"/>
          <w:szCs w:val="20"/>
        </w:rPr>
        <w:t xml:space="preserve"> </w:t>
      </w:r>
      <w:r w:rsidRPr="002C3ADC">
        <w:rPr>
          <w:rFonts w:ascii="Arial" w:hAnsi="Arial" w:cs="Arial"/>
          <w:sz w:val="20"/>
          <w:szCs w:val="20"/>
        </w:rPr>
        <w:t>during</w:t>
      </w:r>
      <w:r w:rsidRPr="002C3ADC">
        <w:rPr>
          <w:rFonts w:ascii="Arial" w:hAnsi="Arial" w:cs="Arial"/>
          <w:spacing w:val="-2"/>
          <w:sz w:val="20"/>
          <w:szCs w:val="20"/>
        </w:rPr>
        <w:t xml:space="preserve"> </w:t>
      </w:r>
      <w:r w:rsidRPr="002C3ADC">
        <w:rPr>
          <w:rFonts w:ascii="Arial" w:hAnsi="Arial" w:cs="Arial"/>
          <w:sz w:val="20"/>
          <w:szCs w:val="20"/>
        </w:rPr>
        <w:t>operations;</w:t>
      </w:r>
    </w:p>
    <w:p w14:paraId="6A911CFD" w14:textId="64C018AB" w:rsidR="002C3ADC" w:rsidRPr="002C3ADC" w:rsidRDefault="002C3ADC" w:rsidP="003B5604">
      <w:pPr>
        <w:pStyle w:val="ListParagraph"/>
        <w:numPr>
          <w:ilvl w:val="2"/>
          <w:numId w:val="341"/>
        </w:numPr>
        <w:tabs>
          <w:tab w:val="left" w:pos="1841"/>
          <w:tab w:val="left" w:pos="1842"/>
        </w:tabs>
        <w:spacing w:before="121"/>
        <w:ind w:right="197"/>
        <w:jc w:val="both"/>
        <w:rPr>
          <w:rFonts w:ascii="Arial" w:hAnsi="Arial" w:cs="Arial"/>
          <w:sz w:val="20"/>
          <w:szCs w:val="20"/>
        </w:rPr>
      </w:pPr>
      <w:r w:rsidRPr="002C3ADC">
        <w:rPr>
          <w:rFonts w:ascii="Arial" w:hAnsi="Arial" w:cs="Arial"/>
          <w:sz w:val="20"/>
          <w:szCs w:val="20"/>
        </w:rPr>
        <w:t>inform</w:t>
      </w:r>
      <w:r w:rsidRPr="002C3ADC">
        <w:rPr>
          <w:rFonts w:ascii="Arial" w:hAnsi="Arial" w:cs="Arial"/>
          <w:spacing w:val="23"/>
          <w:sz w:val="20"/>
          <w:szCs w:val="20"/>
        </w:rPr>
        <w:t xml:space="preserve"> </w:t>
      </w:r>
      <w:r w:rsidRPr="002C3ADC">
        <w:rPr>
          <w:rFonts w:ascii="Arial" w:hAnsi="Arial" w:cs="Arial"/>
          <w:sz w:val="20"/>
          <w:szCs w:val="20"/>
        </w:rPr>
        <w:t>the</w:t>
      </w:r>
      <w:r w:rsidRPr="002C3ADC">
        <w:rPr>
          <w:rFonts w:ascii="Arial" w:hAnsi="Arial" w:cs="Arial"/>
          <w:spacing w:val="26"/>
          <w:sz w:val="20"/>
          <w:szCs w:val="20"/>
        </w:rPr>
        <w:t xml:space="preserve"> </w:t>
      </w:r>
      <w:r w:rsidR="00DE58AA">
        <w:rPr>
          <w:rFonts w:ascii="Arial" w:hAnsi="Arial" w:cs="Arial"/>
          <w:sz w:val="20"/>
          <w:szCs w:val="20"/>
        </w:rPr>
        <w:t xml:space="preserve">CAC RA </w:t>
      </w:r>
      <w:r w:rsidRPr="002C3ADC">
        <w:rPr>
          <w:rFonts w:ascii="Arial" w:hAnsi="Arial" w:cs="Arial"/>
          <w:sz w:val="20"/>
          <w:szCs w:val="20"/>
        </w:rPr>
        <w:t>of</w:t>
      </w:r>
      <w:r w:rsidRPr="002C3ADC">
        <w:rPr>
          <w:rFonts w:ascii="Arial" w:hAnsi="Arial" w:cs="Arial"/>
          <w:spacing w:val="24"/>
          <w:sz w:val="20"/>
          <w:szCs w:val="20"/>
        </w:rPr>
        <w:t xml:space="preserve"> </w:t>
      </w:r>
      <w:r w:rsidRPr="002C3ADC">
        <w:rPr>
          <w:rFonts w:ascii="Arial" w:hAnsi="Arial" w:cs="Arial"/>
          <w:sz w:val="20"/>
          <w:szCs w:val="20"/>
        </w:rPr>
        <w:t>registry</w:t>
      </w:r>
      <w:r w:rsidRPr="002C3ADC">
        <w:rPr>
          <w:rFonts w:ascii="Arial" w:hAnsi="Arial" w:cs="Arial"/>
          <w:spacing w:val="24"/>
          <w:sz w:val="20"/>
          <w:szCs w:val="20"/>
        </w:rPr>
        <w:t xml:space="preserve"> </w:t>
      </w:r>
      <w:r w:rsidRPr="002C3ADC">
        <w:rPr>
          <w:rFonts w:ascii="Arial" w:hAnsi="Arial" w:cs="Arial"/>
          <w:sz w:val="20"/>
          <w:szCs w:val="20"/>
        </w:rPr>
        <w:t>whenever</w:t>
      </w:r>
      <w:r w:rsidRPr="002C3ADC">
        <w:rPr>
          <w:rFonts w:ascii="Arial" w:hAnsi="Arial" w:cs="Arial"/>
          <w:spacing w:val="24"/>
          <w:sz w:val="20"/>
          <w:szCs w:val="20"/>
        </w:rPr>
        <w:t xml:space="preserve"> </w:t>
      </w:r>
      <w:r w:rsidRPr="002C3ADC">
        <w:rPr>
          <w:rFonts w:ascii="Arial" w:hAnsi="Arial" w:cs="Arial"/>
          <w:sz w:val="20"/>
          <w:szCs w:val="20"/>
        </w:rPr>
        <w:t>the</w:t>
      </w:r>
      <w:r w:rsidRPr="002C3ADC">
        <w:rPr>
          <w:rFonts w:ascii="Arial" w:hAnsi="Arial" w:cs="Arial"/>
          <w:spacing w:val="-47"/>
          <w:sz w:val="20"/>
          <w:szCs w:val="20"/>
        </w:rPr>
        <w:t xml:space="preserve"> </w:t>
      </w:r>
      <w:r w:rsidRPr="002C3ADC">
        <w:rPr>
          <w:rFonts w:ascii="Arial" w:hAnsi="Arial" w:cs="Arial"/>
          <w:sz w:val="20"/>
          <w:szCs w:val="20"/>
        </w:rPr>
        <w:t>present</w:t>
      </w:r>
      <w:r w:rsidRPr="002C3ADC">
        <w:rPr>
          <w:rFonts w:ascii="Arial" w:hAnsi="Arial" w:cs="Arial"/>
          <w:spacing w:val="-1"/>
          <w:sz w:val="20"/>
          <w:szCs w:val="20"/>
        </w:rPr>
        <w:t xml:space="preserve"> </w:t>
      </w:r>
      <w:r w:rsidRPr="002C3ADC">
        <w:rPr>
          <w:rFonts w:ascii="Arial" w:hAnsi="Arial" w:cs="Arial"/>
          <w:sz w:val="20"/>
          <w:szCs w:val="20"/>
        </w:rPr>
        <w:t>contract</w:t>
      </w:r>
      <w:r w:rsidRPr="002C3ADC">
        <w:rPr>
          <w:rFonts w:ascii="Arial" w:hAnsi="Arial" w:cs="Arial"/>
          <w:spacing w:val="1"/>
          <w:sz w:val="20"/>
          <w:szCs w:val="20"/>
        </w:rPr>
        <w:t xml:space="preserve"> </w:t>
      </w:r>
      <w:r w:rsidRPr="002C3ADC">
        <w:rPr>
          <w:rFonts w:ascii="Arial" w:hAnsi="Arial" w:cs="Arial"/>
          <w:sz w:val="20"/>
          <w:szCs w:val="20"/>
        </w:rPr>
        <w:t>is</w:t>
      </w:r>
      <w:r w:rsidRPr="002C3ADC">
        <w:rPr>
          <w:rFonts w:ascii="Arial" w:hAnsi="Arial" w:cs="Arial"/>
          <w:spacing w:val="-3"/>
          <w:sz w:val="20"/>
          <w:szCs w:val="20"/>
        </w:rPr>
        <w:t xml:space="preserve"> </w:t>
      </w:r>
      <w:r w:rsidRPr="002C3ADC">
        <w:rPr>
          <w:rFonts w:ascii="Arial" w:hAnsi="Arial" w:cs="Arial"/>
          <w:sz w:val="20"/>
          <w:szCs w:val="20"/>
        </w:rPr>
        <w:t>denounced by</w:t>
      </w:r>
      <w:r w:rsidRPr="002C3ADC">
        <w:rPr>
          <w:rFonts w:ascii="Arial" w:hAnsi="Arial" w:cs="Arial"/>
          <w:spacing w:val="-2"/>
          <w:sz w:val="20"/>
          <w:szCs w:val="20"/>
        </w:rPr>
        <w:t xml:space="preserve"> </w:t>
      </w:r>
      <w:r w:rsidRPr="002C3ADC">
        <w:rPr>
          <w:rFonts w:ascii="Arial" w:hAnsi="Arial" w:cs="Arial"/>
          <w:sz w:val="20"/>
          <w:szCs w:val="20"/>
        </w:rPr>
        <w:t>either</w:t>
      </w:r>
      <w:r w:rsidRPr="002C3ADC">
        <w:rPr>
          <w:rFonts w:ascii="Arial" w:hAnsi="Arial" w:cs="Arial"/>
          <w:spacing w:val="-3"/>
          <w:sz w:val="20"/>
          <w:szCs w:val="20"/>
        </w:rPr>
        <w:t xml:space="preserve"> </w:t>
      </w:r>
      <w:r w:rsidRPr="002C3ADC">
        <w:rPr>
          <w:rFonts w:ascii="Arial" w:hAnsi="Arial" w:cs="Arial"/>
          <w:sz w:val="20"/>
          <w:szCs w:val="20"/>
        </w:rPr>
        <w:t>party;</w:t>
      </w:r>
    </w:p>
    <w:p w14:paraId="5C11FCEF" w14:textId="78174A7F" w:rsidR="002C3ADC" w:rsidRPr="002C3ADC" w:rsidRDefault="002C3ADC" w:rsidP="003B5604">
      <w:pPr>
        <w:pStyle w:val="ListParagraph"/>
        <w:numPr>
          <w:ilvl w:val="2"/>
          <w:numId w:val="341"/>
        </w:numPr>
        <w:tabs>
          <w:tab w:val="left" w:pos="1842"/>
        </w:tabs>
        <w:spacing w:before="57"/>
        <w:ind w:right="199"/>
        <w:jc w:val="both"/>
        <w:rPr>
          <w:rFonts w:ascii="Arial" w:hAnsi="Arial" w:cs="Arial"/>
          <w:sz w:val="20"/>
          <w:szCs w:val="20"/>
        </w:rPr>
      </w:pPr>
      <w:r w:rsidRPr="002C3ADC">
        <w:rPr>
          <w:rFonts w:ascii="Arial" w:hAnsi="Arial" w:cs="Arial"/>
          <w:sz w:val="20"/>
          <w:szCs w:val="20"/>
        </w:rPr>
        <w:t>inform</w:t>
      </w:r>
      <w:r w:rsidRPr="002C3ADC">
        <w:rPr>
          <w:rFonts w:ascii="Arial" w:hAnsi="Arial" w:cs="Arial"/>
          <w:spacing w:val="25"/>
          <w:sz w:val="20"/>
          <w:szCs w:val="20"/>
        </w:rPr>
        <w:t xml:space="preserve"> </w:t>
      </w:r>
      <w:r w:rsidRPr="002C3ADC">
        <w:rPr>
          <w:rFonts w:ascii="Arial" w:hAnsi="Arial" w:cs="Arial"/>
          <w:sz w:val="20"/>
          <w:szCs w:val="20"/>
        </w:rPr>
        <w:t>the</w:t>
      </w:r>
      <w:r w:rsidRPr="002C3ADC">
        <w:rPr>
          <w:rFonts w:ascii="Arial" w:hAnsi="Arial" w:cs="Arial"/>
          <w:spacing w:val="26"/>
          <w:sz w:val="20"/>
          <w:szCs w:val="20"/>
        </w:rPr>
        <w:t xml:space="preserve"> </w:t>
      </w:r>
      <w:r w:rsidR="00DE58AA">
        <w:rPr>
          <w:rFonts w:ascii="Arial" w:hAnsi="Arial" w:cs="Arial"/>
          <w:sz w:val="20"/>
          <w:szCs w:val="20"/>
        </w:rPr>
        <w:t xml:space="preserve">CAC RA </w:t>
      </w:r>
      <w:r w:rsidRPr="002C3ADC">
        <w:rPr>
          <w:rFonts w:ascii="Arial" w:hAnsi="Arial" w:cs="Arial"/>
          <w:sz w:val="20"/>
          <w:szCs w:val="20"/>
        </w:rPr>
        <w:t>of</w:t>
      </w:r>
      <w:r w:rsidRPr="002C3ADC">
        <w:rPr>
          <w:rFonts w:ascii="Arial" w:hAnsi="Arial" w:cs="Arial"/>
          <w:spacing w:val="26"/>
          <w:sz w:val="20"/>
          <w:szCs w:val="20"/>
        </w:rPr>
        <w:t xml:space="preserve"> </w:t>
      </w:r>
      <w:r w:rsidRPr="002C3ADC">
        <w:rPr>
          <w:rFonts w:ascii="Arial" w:hAnsi="Arial" w:cs="Arial"/>
          <w:sz w:val="20"/>
          <w:szCs w:val="20"/>
        </w:rPr>
        <w:t>registry</w:t>
      </w:r>
      <w:r w:rsidRPr="002C3ADC">
        <w:rPr>
          <w:rFonts w:ascii="Arial" w:hAnsi="Arial" w:cs="Arial"/>
          <w:spacing w:val="27"/>
          <w:sz w:val="20"/>
          <w:szCs w:val="20"/>
        </w:rPr>
        <w:t xml:space="preserve"> </w:t>
      </w:r>
      <w:r w:rsidRPr="002C3ADC">
        <w:rPr>
          <w:rFonts w:ascii="Arial" w:hAnsi="Arial" w:cs="Arial"/>
          <w:sz w:val="20"/>
          <w:szCs w:val="20"/>
        </w:rPr>
        <w:t>and</w:t>
      </w:r>
      <w:r w:rsidRPr="002C3ADC">
        <w:rPr>
          <w:rFonts w:ascii="Arial" w:hAnsi="Arial" w:cs="Arial"/>
          <w:spacing w:val="26"/>
          <w:sz w:val="20"/>
          <w:szCs w:val="20"/>
        </w:rPr>
        <w:t xml:space="preserve"> </w:t>
      </w:r>
      <w:r w:rsidRPr="002C3ADC">
        <w:rPr>
          <w:rFonts w:ascii="Arial" w:hAnsi="Arial" w:cs="Arial"/>
          <w:sz w:val="20"/>
          <w:szCs w:val="20"/>
        </w:rPr>
        <w:t>the</w:t>
      </w:r>
      <w:r w:rsidRPr="002C3ADC">
        <w:rPr>
          <w:rFonts w:ascii="Arial" w:hAnsi="Arial" w:cs="Arial"/>
          <w:spacing w:val="-47"/>
          <w:sz w:val="20"/>
          <w:szCs w:val="20"/>
        </w:rPr>
        <w:t xml:space="preserve"> </w:t>
      </w:r>
      <w:r w:rsidRPr="002C3ADC">
        <w:rPr>
          <w:rFonts w:ascii="Arial" w:hAnsi="Arial" w:cs="Arial"/>
          <w:sz w:val="20"/>
          <w:szCs w:val="20"/>
        </w:rPr>
        <w:t>contracted</w:t>
      </w:r>
      <w:r w:rsidRPr="002C3ADC">
        <w:rPr>
          <w:rFonts w:ascii="Arial" w:hAnsi="Arial" w:cs="Arial"/>
          <w:spacing w:val="-2"/>
          <w:sz w:val="20"/>
          <w:szCs w:val="20"/>
        </w:rPr>
        <w:t xml:space="preserve"> </w:t>
      </w:r>
      <w:r w:rsidRPr="002C3ADC">
        <w:rPr>
          <w:rFonts w:ascii="Arial" w:hAnsi="Arial" w:cs="Arial"/>
          <w:sz w:val="20"/>
          <w:szCs w:val="20"/>
        </w:rPr>
        <w:t>CAMO</w:t>
      </w:r>
      <w:r w:rsidRPr="002C3ADC">
        <w:rPr>
          <w:rFonts w:ascii="Arial" w:hAnsi="Arial" w:cs="Arial"/>
          <w:spacing w:val="-2"/>
          <w:sz w:val="20"/>
          <w:szCs w:val="20"/>
        </w:rPr>
        <w:t xml:space="preserve"> </w:t>
      </w:r>
      <w:r w:rsidRPr="002C3ADC">
        <w:rPr>
          <w:rFonts w:ascii="Arial" w:hAnsi="Arial" w:cs="Arial"/>
          <w:sz w:val="20"/>
          <w:szCs w:val="20"/>
        </w:rPr>
        <w:t>or</w:t>
      </w:r>
      <w:r w:rsidRPr="002C3ADC">
        <w:rPr>
          <w:rFonts w:ascii="Arial" w:hAnsi="Arial" w:cs="Arial"/>
          <w:spacing w:val="-2"/>
          <w:sz w:val="20"/>
          <w:szCs w:val="20"/>
        </w:rPr>
        <w:t xml:space="preserve"> </w:t>
      </w:r>
      <w:r w:rsidRPr="002C3ADC">
        <w:rPr>
          <w:rFonts w:ascii="Arial" w:hAnsi="Arial" w:cs="Arial"/>
          <w:sz w:val="20"/>
          <w:szCs w:val="20"/>
        </w:rPr>
        <w:t>CAO</w:t>
      </w:r>
      <w:r w:rsidRPr="002C3ADC">
        <w:rPr>
          <w:rFonts w:ascii="Arial" w:hAnsi="Arial" w:cs="Arial"/>
          <w:spacing w:val="-2"/>
          <w:sz w:val="20"/>
          <w:szCs w:val="20"/>
        </w:rPr>
        <w:t xml:space="preserve"> </w:t>
      </w:r>
      <w:r w:rsidRPr="002C3ADC">
        <w:rPr>
          <w:rFonts w:ascii="Arial" w:hAnsi="Arial" w:cs="Arial"/>
          <w:sz w:val="20"/>
          <w:szCs w:val="20"/>
        </w:rPr>
        <w:t>whenever</w:t>
      </w:r>
      <w:r w:rsidRPr="002C3ADC">
        <w:rPr>
          <w:rFonts w:ascii="Arial" w:hAnsi="Arial" w:cs="Arial"/>
          <w:spacing w:val="-2"/>
          <w:sz w:val="20"/>
          <w:szCs w:val="20"/>
        </w:rPr>
        <w:t xml:space="preserve"> </w:t>
      </w:r>
      <w:r w:rsidRPr="002C3ADC">
        <w:rPr>
          <w:rFonts w:ascii="Arial" w:hAnsi="Arial" w:cs="Arial"/>
          <w:sz w:val="20"/>
          <w:szCs w:val="20"/>
        </w:rPr>
        <w:t>the aircraft is</w:t>
      </w:r>
      <w:r w:rsidRPr="002C3ADC">
        <w:rPr>
          <w:rFonts w:ascii="Arial" w:hAnsi="Arial" w:cs="Arial"/>
          <w:spacing w:val="-2"/>
          <w:sz w:val="20"/>
          <w:szCs w:val="20"/>
        </w:rPr>
        <w:t xml:space="preserve"> </w:t>
      </w:r>
      <w:r w:rsidRPr="002C3ADC">
        <w:rPr>
          <w:rFonts w:ascii="Arial" w:hAnsi="Arial" w:cs="Arial"/>
          <w:sz w:val="20"/>
          <w:szCs w:val="20"/>
        </w:rPr>
        <w:t>sold;</w:t>
      </w:r>
    </w:p>
    <w:p w14:paraId="392153A9" w14:textId="77777777" w:rsidR="002C3ADC" w:rsidRPr="002C3ADC" w:rsidRDefault="002C3ADC" w:rsidP="003B5604">
      <w:pPr>
        <w:pStyle w:val="ListParagraph"/>
        <w:numPr>
          <w:ilvl w:val="2"/>
          <w:numId w:val="341"/>
        </w:numPr>
        <w:tabs>
          <w:tab w:val="left" w:pos="1841"/>
          <w:tab w:val="left" w:pos="1842"/>
        </w:tabs>
        <w:spacing w:before="118"/>
        <w:jc w:val="both"/>
        <w:rPr>
          <w:rFonts w:ascii="Arial" w:hAnsi="Arial" w:cs="Arial"/>
          <w:sz w:val="20"/>
          <w:szCs w:val="20"/>
        </w:rPr>
      </w:pPr>
      <w:r w:rsidRPr="002C3ADC">
        <w:rPr>
          <w:rFonts w:ascii="Arial" w:hAnsi="Arial" w:cs="Arial"/>
          <w:sz w:val="20"/>
          <w:szCs w:val="20"/>
        </w:rPr>
        <w:t>carry</w:t>
      </w:r>
      <w:r w:rsidRPr="002C3ADC">
        <w:rPr>
          <w:rFonts w:ascii="Arial" w:hAnsi="Arial" w:cs="Arial"/>
          <w:spacing w:val="-2"/>
          <w:sz w:val="20"/>
          <w:szCs w:val="20"/>
        </w:rPr>
        <w:t xml:space="preserve"> </w:t>
      </w:r>
      <w:r w:rsidRPr="002C3ADC">
        <w:rPr>
          <w:rFonts w:ascii="Arial" w:hAnsi="Arial" w:cs="Arial"/>
          <w:sz w:val="20"/>
          <w:szCs w:val="20"/>
        </w:rPr>
        <w:t>out all</w:t>
      </w:r>
      <w:r w:rsidRPr="002C3ADC">
        <w:rPr>
          <w:rFonts w:ascii="Arial" w:hAnsi="Arial" w:cs="Arial"/>
          <w:spacing w:val="-4"/>
          <w:sz w:val="20"/>
          <w:szCs w:val="20"/>
        </w:rPr>
        <w:t xml:space="preserve"> </w:t>
      </w:r>
      <w:r w:rsidRPr="002C3ADC">
        <w:rPr>
          <w:rFonts w:ascii="Arial" w:hAnsi="Arial" w:cs="Arial"/>
          <w:sz w:val="20"/>
          <w:szCs w:val="20"/>
        </w:rPr>
        <w:t>occurrence</w:t>
      </w:r>
      <w:r w:rsidRPr="002C3ADC">
        <w:rPr>
          <w:rFonts w:ascii="Arial" w:hAnsi="Arial" w:cs="Arial"/>
          <w:spacing w:val="-2"/>
          <w:sz w:val="20"/>
          <w:szCs w:val="20"/>
        </w:rPr>
        <w:t xml:space="preserve"> </w:t>
      </w:r>
      <w:r w:rsidRPr="002C3ADC">
        <w:rPr>
          <w:rFonts w:ascii="Arial" w:hAnsi="Arial" w:cs="Arial"/>
          <w:sz w:val="20"/>
          <w:szCs w:val="20"/>
        </w:rPr>
        <w:t>reporting</w:t>
      </w:r>
      <w:r w:rsidRPr="002C3ADC">
        <w:rPr>
          <w:rFonts w:ascii="Arial" w:hAnsi="Arial" w:cs="Arial"/>
          <w:spacing w:val="-3"/>
          <w:sz w:val="20"/>
          <w:szCs w:val="20"/>
        </w:rPr>
        <w:t xml:space="preserve"> </w:t>
      </w:r>
      <w:r w:rsidRPr="002C3ADC">
        <w:rPr>
          <w:rFonts w:ascii="Arial" w:hAnsi="Arial" w:cs="Arial"/>
          <w:sz w:val="20"/>
          <w:szCs w:val="20"/>
        </w:rPr>
        <w:t>mandated</w:t>
      </w:r>
      <w:r w:rsidRPr="002C3ADC">
        <w:rPr>
          <w:rFonts w:ascii="Arial" w:hAnsi="Arial" w:cs="Arial"/>
          <w:spacing w:val="-1"/>
          <w:sz w:val="20"/>
          <w:szCs w:val="20"/>
        </w:rPr>
        <w:t xml:space="preserve"> </w:t>
      </w:r>
      <w:r w:rsidRPr="002C3ADC">
        <w:rPr>
          <w:rFonts w:ascii="Arial" w:hAnsi="Arial" w:cs="Arial"/>
          <w:sz w:val="20"/>
          <w:szCs w:val="20"/>
        </w:rPr>
        <w:t>by</w:t>
      </w:r>
      <w:r w:rsidRPr="002C3ADC">
        <w:rPr>
          <w:rFonts w:ascii="Arial" w:hAnsi="Arial" w:cs="Arial"/>
          <w:spacing w:val="-1"/>
          <w:sz w:val="20"/>
          <w:szCs w:val="20"/>
        </w:rPr>
        <w:t xml:space="preserve"> </w:t>
      </w:r>
      <w:r w:rsidRPr="002C3ADC">
        <w:rPr>
          <w:rFonts w:ascii="Arial" w:hAnsi="Arial" w:cs="Arial"/>
          <w:sz w:val="20"/>
          <w:szCs w:val="20"/>
        </w:rPr>
        <w:t>applicable regulations;</w:t>
      </w:r>
    </w:p>
    <w:p w14:paraId="4E935761" w14:textId="77777777" w:rsidR="002C3ADC" w:rsidRPr="002C3ADC" w:rsidRDefault="002C3ADC" w:rsidP="003B5604">
      <w:pPr>
        <w:pStyle w:val="ListParagraph"/>
        <w:numPr>
          <w:ilvl w:val="2"/>
          <w:numId w:val="341"/>
        </w:numPr>
        <w:tabs>
          <w:tab w:val="left" w:pos="1841"/>
          <w:tab w:val="left" w:pos="1842"/>
        </w:tabs>
        <w:ind w:right="195"/>
        <w:jc w:val="both"/>
        <w:rPr>
          <w:rFonts w:ascii="Arial" w:hAnsi="Arial" w:cs="Arial"/>
          <w:sz w:val="20"/>
          <w:szCs w:val="20"/>
        </w:rPr>
      </w:pPr>
      <w:r w:rsidRPr="002C3ADC">
        <w:rPr>
          <w:rFonts w:ascii="Arial" w:hAnsi="Arial" w:cs="Arial"/>
          <w:sz w:val="20"/>
          <w:szCs w:val="20"/>
        </w:rPr>
        <w:t>inform</w:t>
      </w:r>
      <w:r w:rsidRPr="002C3ADC">
        <w:rPr>
          <w:rFonts w:ascii="Arial" w:hAnsi="Arial" w:cs="Arial"/>
          <w:spacing w:val="12"/>
          <w:sz w:val="20"/>
          <w:szCs w:val="20"/>
        </w:rPr>
        <w:t xml:space="preserve"> </w:t>
      </w:r>
      <w:r w:rsidRPr="002C3ADC">
        <w:rPr>
          <w:rFonts w:ascii="Arial" w:hAnsi="Arial" w:cs="Arial"/>
          <w:sz w:val="20"/>
          <w:szCs w:val="20"/>
        </w:rPr>
        <w:t>on</w:t>
      </w:r>
      <w:r w:rsidRPr="002C3ADC">
        <w:rPr>
          <w:rFonts w:ascii="Arial" w:hAnsi="Arial" w:cs="Arial"/>
          <w:spacing w:val="13"/>
          <w:sz w:val="20"/>
          <w:szCs w:val="20"/>
        </w:rPr>
        <w:t xml:space="preserve"> </w:t>
      </w:r>
      <w:r w:rsidRPr="002C3ADC">
        <w:rPr>
          <w:rFonts w:ascii="Arial" w:hAnsi="Arial" w:cs="Arial"/>
          <w:sz w:val="20"/>
          <w:szCs w:val="20"/>
        </w:rPr>
        <w:t>a</w:t>
      </w:r>
      <w:r w:rsidRPr="002C3ADC">
        <w:rPr>
          <w:rFonts w:ascii="Arial" w:hAnsi="Arial" w:cs="Arial"/>
          <w:spacing w:val="14"/>
          <w:sz w:val="20"/>
          <w:szCs w:val="20"/>
        </w:rPr>
        <w:t xml:space="preserve"> </w:t>
      </w:r>
      <w:r w:rsidRPr="002C3ADC">
        <w:rPr>
          <w:rFonts w:ascii="Arial" w:hAnsi="Arial" w:cs="Arial"/>
          <w:sz w:val="20"/>
          <w:szCs w:val="20"/>
        </w:rPr>
        <w:t>regular</w:t>
      </w:r>
      <w:r w:rsidRPr="002C3ADC">
        <w:rPr>
          <w:rFonts w:ascii="Arial" w:hAnsi="Arial" w:cs="Arial"/>
          <w:spacing w:val="13"/>
          <w:sz w:val="20"/>
          <w:szCs w:val="20"/>
        </w:rPr>
        <w:t xml:space="preserve"> </w:t>
      </w:r>
      <w:r w:rsidRPr="002C3ADC">
        <w:rPr>
          <w:rFonts w:ascii="Arial" w:hAnsi="Arial" w:cs="Arial"/>
          <w:sz w:val="20"/>
          <w:szCs w:val="20"/>
        </w:rPr>
        <w:t>basis</w:t>
      </w:r>
      <w:r w:rsidRPr="002C3ADC">
        <w:rPr>
          <w:rFonts w:ascii="Arial" w:hAnsi="Arial" w:cs="Arial"/>
          <w:spacing w:val="13"/>
          <w:sz w:val="20"/>
          <w:szCs w:val="20"/>
        </w:rPr>
        <w:t xml:space="preserve"> </w:t>
      </w:r>
      <w:r w:rsidRPr="002C3ADC">
        <w:rPr>
          <w:rFonts w:ascii="Arial" w:hAnsi="Arial" w:cs="Arial"/>
          <w:sz w:val="20"/>
          <w:szCs w:val="20"/>
        </w:rPr>
        <w:t>the</w:t>
      </w:r>
      <w:r w:rsidRPr="002C3ADC">
        <w:rPr>
          <w:rFonts w:ascii="Arial" w:hAnsi="Arial" w:cs="Arial"/>
          <w:spacing w:val="15"/>
          <w:sz w:val="20"/>
          <w:szCs w:val="20"/>
        </w:rPr>
        <w:t xml:space="preserve"> </w:t>
      </w:r>
      <w:r w:rsidRPr="002C3ADC">
        <w:rPr>
          <w:rFonts w:ascii="Arial" w:hAnsi="Arial" w:cs="Arial"/>
          <w:sz w:val="20"/>
          <w:szCs w:val="20"/>
        </w:rPr>
        <w:t>contracted</w:t>
      </w:r>
      <w:r w:rsidRPr="002C3ADC">
        <w:rPr>
          <w:rFonts w:ascii="Arial" w:hAnsi="Arial" w:cs="Arial"/>
          <w:spacing w:val="13"/>
          <w:sz w:val="20"/>
          <w:szCs w:val="20"/>
        </w:rPr>
        <w:t xml:space="preserve"> </w:t>
      </w:r>
      <w:r w:rsidRPr="002C3ADC">
        <w:rPr>
          <w:rFonts w:ascii="Arial" w:hAnsi="Arial" w:cs="Arial"/>
          <w:sz w:val="20"/>
          <w:szCs w:val="20"/>
        </w:rPr>
        <w:t>CAMO</w:t>
      </w:r>
      <w:r w:rsidRPr="002C3ADC">
        <w:rPr>
          <w:rFonts w:ascii="Arial" w:hAnsi="Arial" w:cs="Arial"/>
          <w:spacing w:val="11"/>
          <w:sz w:val="20"/>
          <w:szCs w:val="20"/>
        </w:rPr>
        <w:t xml:space="preserve"> </w:t>
      </w:r>
      <w:r w:rsidRPr="002C3ADC">
        <w:rPr>
          <w:rFonts w:ascii="Arial" w:hAnsi="Arial" w:cs="Arial"/>
          <w:sz w:val="20"/>
          <w:szCs w:val="20"/>
        </w:rPr>
        <w:t>or</w:t>
      </w:r>
      <w:r w:rsidRPr="002C3ADC">
        <w:rPr>
          <w:rFonts w:ascii="Arial" w:hAnsi="Arial" w:cs="Arial"/>
          <w:spacing w:val="14"/>
          <w:sz w:val="20"/>
          <w:szCs w:val="20"/>
        </w:rPr>
        <w:t xml:space="preserve"> </w:t>
      </w:r>
      <w:r w:rsidRPr="002C3ADC">
        <w:rPr>
          <w:rFonts w:ascii="Arial" w:hAnsi="Arial" w:cs="Arial"/>
          <w:sz w:val="20"/>
          <w:szCs w:val="20"/>
        </w:rPr>
        <w:t>CAO</w:t>
      </w:r>
      <w:r w:rsidRPr="002C3ADC">
        <w:rPr>
          <w:rFonts w:ascii="Arial" w:hAnsi="Arial" w:cs="Arial"/>
          <w:spacing w:val="14"/>
          <w:sz w:val="20"/>
          <w:szCs w:val="20"/>
        </w:rPr>
        <w:t xml:space="preserve"> </w:t>
      </w:r>
      <w:r w:rsidRPr="002C3ADC">
        <w:rPr>
          <w:rFonts w:ascii="Arial" w:hAnsi="Arial" w:cs="Arial"/>
          <w:sz w:val="20"/>
          <w:szCs w:val="20"/>
        </w:rPr>
        <w:t>about</w:t>
      </w:r>
      <w:r w:rsidRPr="002C3ADC">
        <w:rPr>
          <w:rFonts w:ascii="Arial" w:hAnsi="Arial" w:cs="Arial"/>
          <w:spacing w:val="15"/>
          <w:sz w:val="20"/>
          <w:szCs w:val="20"/>
        </w:rPr>
        <w:t xml:space="preserve"> </w:t>
      </w:r>
      <w:r w:rsidRPr="002C3ADC">
        <w:rPr>
          <w:rFonts w:ascii="Arial" w:hAnsi="Arial" w:cs="Arial"/>
          <w:sz w:val="20"/>
          <w:szCs w:val="20"/>
        </w:rPr>
        <w:t>the</w:t>
      </w:r>
      <w:r w:rsidRPr="002C3ADC">
        <w:rPr>
          <w:rFonts w:ascii="Arial" w:hAnsi="Arial" w:cs="Arial"/>
          <w:spacing w:val="13"/>
          <w:sz w:val="20"/>
          <w:szCs w:val="20"/>
        </w:rPr>
        <w:t xml:space="preserve"> </w:t>
      </w:r>
      <w:r w:rsidRPr="002C3ADC">
        <w:rPr>
          <w:rFonts w:ascii="Arial" w:hAnsi="Arial" w:cs="Arial"/>
          <w:sz w:val="20"/>
          <w:szCs w:val="20"/>
        </w:rPr>
        <w:t>aircraft</w:t>
      </w:r>
      <w:r w:rsidRPr="002C3ADC">
        <w:rPr>
          <w:rFonts w:ascii="Arial" w:hAnsi="Arial" w:cs="Arial"/>
          <w:spacing w:val="15"/>
          <w:sz w:val="20"/>
          <w:szCs w:val="20"/>
        </w:rPr>
        <w:t xml:space="preserve"> </w:t>
      </w:r>
      <w:r w:rsidRPr="002C3ADC">
        <w:rPr>
          <w:rFonts w:ascii="Arial" w:hAnsi="Arial" w:cs="Arial"/>
          <w:sz w:val="20"/>
          <w:szCs w:val="20"/>
        </w:rPr>
        <w:t>flying-</w:t>
      </w:r>
      <w:r w:rsidRPr="002C3ADC">
        <w:rPr>
          <w:rFonts w:ascii="Arial" w:hAnsi="Arial" w:cs="Arial"/>
          <w:spacing w:val="-47"/>
          <w:sz w:val="20"/>
          <w:szCs w:val="20"/>
        </w:rPr>
        <w:t xml:space="preserve"> </w:t>
      </w:r>
      <w:r w:rsidRPr="002C3ADC">
        <w:rPr>
          <w:rFonts w:ascii="Arial" w:hAnsi="Arial" w:cs="Arial"/>
          <w:sz w:val="20"/>
          <w:szCs w:val="20"/>
        </w:rPr>
        <w:t>hours</w:t>
      </w:r>
      <w:r w:rsidRPr="002C3ADC">
        <w:rPr>
          <w:rFonts w:ascii="Arial" w:hAnsi="Arial" w:cs="Arial"/>
          <w:spacing w:val="-3"/>
          <w:sz w:val="20"/>
          <w:szCs w:val="20"/>
        </w:rPr>
        <w:t xml:space="preserve"> </w:t>
      </w:r>
      <w:r w:rsidRPr="002C3ADC">
        <w:rPr>
          <w:rFonts w:ascii="Arial" w:hAnsi="Arial" w:cs="Arial"/>
          <w:sz w:val="20"/>
          <w:szCs w:val="20"/>
        </w:rPr>
        <w:t>and</w:t>
      </w:r>
      <w:r w:rsidRPr="002C3ADC">
        <w:rPr>
          <w:rFonts w:ascii="Arial" w:hAnsi="Arial" w:cs="Arial"/>
          <w:spacing w:val="-3"/>
          <w:sz w:val="20"/>
          <w:szCs w:val="20"/>
        </w:rPr>
        <w:t xml:space="preserve"> </w:t>
      </w:r>
      <w:r w:rsidRPr="002C3ADC">
        <w:rPr>
          <w:rFonts w:ascii="Arial" w:hAnsi="Arial" w:cs="Arial"/>
          <w:sz w:val="20"/>
          <w:szCs w:val="20"/>
        </w:rPr>
        <w:t>any</w:t>
      </w:r>
      <w:r w:rsidRPr="002C3ADC">
        <w:rPr>
          <w:rFonts w:ascii="Arial" w:hAnsi="Arial" w:cs="Arial"/>
          <w:spacing w:val="-3"/>
          <w:sz w:val="20"/>
          <w:szCs w:val="20"/>
        </w:rPr>
        <w:t xml:space="preserve"> </w:t>
      </w:r>
      <w:r w:rsidRPr="002C3ADC">
        <w:rPr>
          <w:rFonts w:ascii="Arial" w:hAnsi="Arial" w:cs="Arial"/>
          <w:sz w:val="20"/>
          <w:szCs w:val="20"/>
        </w:rPr>
        <w:t>other</w:t>
      </w:r>
      <w:r w:rsidRPr="002C3ADC">
        <w:rPr>
          <w:rFonts w:ascii="Arial" w:hAnsi="Arial" w:cs="Arial"/>
          <w:spacing w:val="-2"/>
          <w:sz w:val="20"/>
          <w:szCs w:val="20"/>
        </w:rPr>
        <w:t xml:space="preserve"> </w:t>
      </w:r>
      <w:r w:rsidRPr="002C3ADC">
        <w:rPr>
          <w:rFonts w:ascii="Arial" w:hAnsi="Arial" w:cs="Arial"/>
          <w:sz w:val="20"/>
          <w:szCs w:val="20"/>
        </w:rPr>
        <w:t>utilisation</w:t>
      </w:r>
      <w:r w:rsidRPr="002C3ADC">
        <w:rPr>
          <w:rFonts w:ascii="Arial" w:hAnsi="Arial" w:cs="Arial"/>
          <w:spacing w:val="-4"/>
          <w:sz w:val="20"/>
          <w:szCs w:val="20"/>
        </w:rPr>
        <w:t xml:space="preserve"> </w:t>
      </w:r>
      <w:r w:rsidRPr="002C3ADC">
        <w:rPr>
          <w:rFonts w:ascii="Arial" w:hAnsi="Arial" w:cs="Arial"/>
          <w:sz w:val="20"/>
          <w:szCs w:val="20"/>
        </w:rPr>
        <w:t>data,</w:t>
      </w:r>
      <w:r w:rsidRPr="002C3ADC">
        <w:rPr>
          <w:rFonts w:ascii="Arial" w:hAnsi="Arial" w:cs="Arial"/>
          <w:spacing w:val="-2"/>
          <w:sz w:val="20"/>
          <w:szCs w:val="20"/>
        </w:rPr>
        <w:t xml:space="preserve"> </w:t>
      </w:r>
      <w:r w:rsidRPr="002C3ADC">
        <w:rPr>
          <w:rFonts w:ascii="Arial" w:hAnsi="Arial" w:cs="Arial"/>
          <w:sz w:val="20"/>
          <w:szCs w:val="20"/>
        </w:rPr>
        <w:t>as</w:t>
      </w:r>
      <w:r w:rsidRPr="002C3ADC">
        <w:rPr>
          <w:rFonts w:ascii="Arial" w:hAnsi="Arial" w:cs="Arial"/>
          <w:spacing w:val="-5"/>
          <w:sz w:val="20"/>
          <w:szCs w:val="20"/>
        </w:rPr>
        <w:t xml:space="preserve"> </w:t>
      </w:r>
      <w:r w:rsidRPr="002C3ADC">
        <w:rPr>
          <w:rFonts w:ascii="Arial" w:hAnsi="Arial" w:cs="Arial"/>
          <w:sz w:val="20"/>
          <w:szCs w:val="20"/>
        </w:rPr>
        <w:t>agreed</w:t>
      </w:r>
      <w:r w:rsidRPr="002C3ADC">
        <w:rPr>
          <w:rFonts w:ascii="Arial" w:hAnsi="Arial" w:cs="Arial"/>
          <w:spacing w:val="-3"/>
          <w:sz w:val="20"/>
          <w:szCs w:val="20"/>
        </w:rPr>
        <w:t xml:space="preserve"> </w:t>
      </w:r>
      <w:r w:rsidRPr="002C3ADC">
        <w:rPr>
          <w:rFonts w:ascii="Arial" w:hAnsi="Arial" w:cs="Arial"/>
          <w:sz w:val="20"/>
          <w:szCs w:val="20"/>
        </w:rPr>
        <w:t>with</w:t>
      </w:r>
      <w:r w:rsidRPr="002C3ADC">
        <w:rPr>
          <w:rFonts w:ascii="Arial" w:hAnsi="Arial" w:cs="Arial"/>
          <w:spacing w:val="-3"/>
          <w:sz w:val="20"/>
          <w:szCs w:val="20"/>
        </w:rPr>
        <w:t xml:space="preserve"> </w:t>
      </w:r>
      <w:r w:rsidRPr="002C3ADC">
        <w:rPr>
          <w:rFonts w:ascii="Arial" w:hAnsi="Arial" w:cs="Arial"/>
          <w:sz w:val="20"/>
          <w:szCs w:val="20"/>
        </w:rPr>
        <w:t>the</w:t>
      </w:r>
      <w:r w:rsidRPr="002C3ADC">
        <w:rPr>
          <w:rFonts w:ascii="Arial" w:hAnsi="Arial" w:cs="Arial"/>
          <w:spacing w:val="-3"/>
          <w:sz w:val="20"/>
          <w:szCs w:val="20"/>
        </w:rPr>
        <w:t xml:space="preserve"> </w:t>
      </w:r>
      <w:r w:rsidRPr="002C3ADC">
        <w:rPr>
          <w:rFonts w:ascii="Arial" w:hAnsi="Arial" w:cs="Arial"/>
          <w:sz w:val="20"/>
          <w:szCs w:val="20"/>
        </w:rPr>
        <w:t>contracted</w:t>
      </w:r>
      <w:r w:rsidRPr="002C3ADC">
        <w:rPr>
          <w:rFonts w:ascii="Arial" w:hAnsi="Arial" w:cs="Arial"/>
          <w:spacing w:val="-3"/>
          <w:sz w:val="20"/>
          <w:szCs w:val="20"/>
        </w:rPr>
        <w:t xml:space="preserve"> </w:t>
      </w:r>
      <w:r w:rsidRPr="002C3ADC">
        <w:rPr>
          <w:rFonts w:ascii="Arial" w:hAnsi="Arial" w:cs="Arial"/>
          <w:sz w:val="20"/>
          <w:szCs w:val="20"/>
        </w:rPr>
        <w:t>CAMO</w:t>
      </w:r>
      <w:r w:rsidRPr="002C3ADC">
        <w:rPr>
          <w:rFonts w:ascii="Arial" w:hAnsi="Arial" w:cs="Arial"/>
          <w:spacing w:val="-4"/>
          <w:sz w:val="20"/>
          <w:szCs w:val="20"/>
        </w:rPr>
        <w:t xml:space="preserve"> </w:t>
      </w:r>
      <w:r w:rsidRPr="002C3ADC">
        <w:rPr>
          <w:rFonts w:ascii="Arial" w:hAnsi="Arial" w:cs="Arial"/>
          <w:sz w:val="20"/>
          <w:szCs w:val="20"/>
        </w:rPr>
        <w:t>or</w:t>
      </w:r>
      <w:r w:rsidRPr="002C3ADC">
        <w:rPr>
          <w:rFonts w:ascii="Arial" w:hAnsi="Arial" w:cs="Arial"/>
          <w:spacing w:val="-3"/>
          <w:sz w:val="20"/>
          <w:szCs w:val="20"/>
        </w:rPr>
        <w:t xml:space="preserve"> </w:t>
      </w:r>
      <w:r w:rsidRPr="002C3ADC">
        <w:rPr>
          <w:rFonts w:ascii="Arial" w:hAnsi="Arial" w:cs="Arial"/>
          <w:sz w:val="20"/>
          <w:szCs w:val="20"/>
        </w:rPr>
        <w:t>CAO;</w:t>
      </w:r>
    </w:p>
    <w:p w14:paraId="058C0E0A" w14:textId="77777777" w:rsidR="002C3ADC" w:rsidRPr="002C3ADC" w:rsidRDefault="002C3ADC" w:rsidP="003B5604">
      <w:pPr>
        <w:pStyle w:val="ListParagraph"/>
        <w:numPr>
          <w:ilvl w:val="2"/>
          <w:numId w:val="341"/>
        </w:numPr>
        <w:tabs>
          <w:tab w:val="left" w:pos="1841"/>
          <w:tab w:val="left" w:pos="1842"/>
        </w:tabs>
        <w:spacing w:before="121"/>
        <w:ind w:right="192"/>
        <w:jc w:val="both"/>
        <w:rPr>
          <w:rFonts w:ascii="Arial" w:hAnsi="Arial" w:cs="Arial"/>
          <w:sz w:val="20"/>
          <w:szCs w:val="20"/>
        </w:rPr>
      </w:pPr>
      <w:r w:rsidRPr="002C3ADC">
        <w:rPr>
          <w:rFonts w:ascii="Arial" w:hAnsi="Arial" w:cs="Arial"/>
          <w:sz w:val="20"/>
          <w:szCs w:val="20"/>
        </w:rPr>
        <w:t>enter</w:t>
      </w:r>
      <w:r w:rsidRPr="002C3ADC">
        <w:rPr>
          <w:rFonts w:ascii="Arial" w:hAnsi="Arial" w:cs="Arial"/>
          <w:spacing w:val="30"/>
          <w:sz w:val="20"/>
          <w:szCs w:val="20"/>
        </w:rPr>
        <w:t xml:space="preserve"> </w:t>
      </w:r>
      <w:r w:rsidRPr="002C3ADC">
        <w:rPr>
          <w:rFonts w:ascii="Arial" w:hAnsi="Arial" w:cs="Arial"/>
          <w:sz w:val="20"/>
          <w:szCs w:val="20"/>
        </w:rPr>
        <w:t>the</w:t>
      </w:r>
      <w:r w:rsidRPr="002C3ADC">
        <w:rPr>
          <w:rFonts w:ascii="Arial" w:hAnsi="Arial" w:cs="Arial"/>
          <w:spacing w:val="30"/>
          <w:sz w:val="20"/>
          <w:szCs w:val="20"/>
        </w:rPr>
        <w:t xml:space="preserve"> </w:t>
      </w:r>
      <w:r w:rsidRPr="002C3ADC">
        <w:rPr>
          <w:rFonts w:ascii="Arial" w:hAnsi="Arial" w:cs="Arial"/>
          <w:sz w:val="20"/>
          <w:szCs w:val="20"/>
        </w:rPr>
        <w:t>CRS</w:t>
      </w:r>
      <w:r w:rsidRPr="002C3ADC">
        <w:rPr>
          <w:rFonts w:ascii="Arial" w:hAnsi="Arial" w:cs="Arial"/>
          <w:spacing w:val="31"/>
          <w:sz w:val="20"/>
          <w:szCs w:val="20"/>
        </w:rPr>
        <w:t xml:space="preserve"> </w:t>
      </w:r>
      <w:r w:rsidRPr="002C3ADC">
        <w:rPr>
          <w:rFonts w:ascii="Arial" w:hAnsi="Arial" w:cs="Arial"/>
          <w:sz w:val="20"/>
          <w:szCs w:val="20"/>
        </w:rPr>
        <w:t>in</w:t>
      </w:r>
      <w:r w:rsidRPr="002C3ADC">
        <w:rPr>
          <w:rFonts w:ascii="Arial" w:hAnsi="Arial" w:cs="Arial"/>
          <w:spacing w:val="29"/>
          <w:sz w:val="20"/>
          <w:szCs w:val="20"/>
        </w:rPr>
        <w:t xml:space="preserve"> </w:t>
      </w:r>
      <w:r w:rsidRPr="002C3ADC">
        <w:rPr>
          <w:rFonts w:ascii="Arial" w:hAnsi="Arial" w:cs="Arial"/>
          <w:sz w:val="20"/>
          <w:szCs w:val="20"/>
        </w:rPr>
        <w:t>the</w:t>
      </w:r>
      <w:r w:rsidRPr="002C3ADC">
        <w:rPr>
          <w:rFonts w:ascii="Arial" w:hAnsi="Arial" w:cs="Arial"/>
          <w:spacing w:val="30"/>
          <w:sz w:val="20"/>
          <w:szCs w:val="20"/>
        </w:rPr>
        <w:t xml:space="preserve"> </w:t>
      </w:r>
      <w:r w:rsidRPr="002C3ADC">
        <w:rPr>
          <w:rFonts w:ascii="Arial" w:hAnsi="Arial" w:cs="Arial"/>
          <w:sz w:val="20"/>
          <w:szCs w:val="20"/>
        </w:rPr>
        <w:t>logbooks,</w:t>
      </w:r>
      <w:r w:rsidRPr="002C3ADC">
        <w:rPr>
          <w:rFonts w:ascii="Arial" w:hAnsi="Arial" w:cs="Arial"/>
          <w:spacing w:val="32"/>
          <w:sz w:val="20"/>
          <w:szCs w:val="20"/>
        </w:rPr>
        <w:t xml:space="preserve"> </w:t>
      </w:r>
      <w:r w:rsidRPr="002C3ADC">
        <w:rPr>
          <w:rFonts w:ascii="Arial" w:hAnsi="Arial" w:cs="Arial"/>
          <w:sz w:val="20"/>
          <w:szCs w:val="20"/>
        </w:rPr>
        <w:t>as</w:t>
      </w:r>
      <w:r w:rsidRPr="002C3ADC">
        <w:rPr>
          <w:rFonts w:ascii="Arial" w:hAnsi="Arial" w:cs="Arial"/>
          <w:spacing w:val="27"/>
          <w:sz w:val="20"/>
          <w:szCs w:val="20"/>
        </w:rPr>
        <w:t xml:space="preserve"> </w:t>
      </w:r>
      <w:r w:rsidRPr="002C3ADC">
        <w:rPr>
          <w:rFonts w:ascii="Arial" w:hAnsi="Arial" w:cs="Arial"/>
          <w:sz w:val="20"/>
          <w:szCs w:val="20"/>
        </w:rPr>
        <w:t>mentioned</w:t>
      </w:r>
      <w:r w:rsidRPr="002C3ADC">
        <w:rPr>
          <w:rFonts w:ascii="Arial" w:hAnsi="Arial" w:cs="Arial"/>
          <w:spacing w:val="32"/>
          <w:sz w:val="20"/>
          <w:szCs w:val="20"/>
        </w:rPr>
        <w:t xml:space="preserve"> </w:t>
      </w:r>
      <w:r w:rsidRPr="002C3ADC">
        <w:rPr>
          <w:rFonts w:ascii="Arial" w:hAnsi="Arial" w:cs="Arial"/>
          <w:sz w:val="20"/>
          <w:szCs w:val="20"/>
        </w:rPr>
        <w:t>in</w:t>
      </w:r>
      <w:r w:rsidRPr="002C3ADC">
        <w:rPr>
          <w:rFonts w:ascii="Arial" w:hAnsi="Arial" w:cs="Arial"/>
          <w:spacing w:val="29"/>
          <w:sz w:val="20"/>
          <w:szCs w:val="20"/>
        </w:rPr>
        <w:t xml:space="preserve"> </w:t>
      </w:r>
      <w:r w:rsidRPr="002C3ADC">
        <w:rPr>
          <w:rFonts w:ascii="Arial" w:hAnsi="Arial" w:cs="Arial"/>
          <w:sz w:val="20"/>
          <w:szCs w:val="20"/>
        </w:rPr>
        <w:t>point</w:t>
      </w:r>
      <w:r w:rsidRPr="002C3ADC">
        <w:rPr>
          <w:rFonts w:ascii="Arial" w:hAnsi="Arial" w:cs="Arial"/>
          <w:color w:val="0000FF"/>
          <w:spacing w:val="32"/>
          <w:sz w:val="20"/>
          <w:szCs w:val="20"/>
        </w:rPr>
        <w:t xml:space="preserve"> </w:t>
      </w:r>
      <w:r w:rsidRPr="002C3ADC">
        <w:rPr>
          <w:rFonts w:ascii="Arial" w:hAnsi="Arial" w:cs="Arial"/>
          <w:sz w:val="20"/>
          <w:szCs w:val="20"/>
        </w:rPr>
        <w:t>ML.A.803(c),</w:t>
      </w:r>
      <w:r w:rsidRPr="002C3ADC">
        <w:rPr>
          <w:rFonts w:ascii="Arial" w:hAnsi="Arial" w:cs="Arial"/>
          <w:spacing w:val="30"/>
          <w:sz w:val="20"/>
          <w:szCs w:val="20"/>
        </w:rPr>
        <w:t xml:space="preserve"> </w:t>
      </w:r>
      <w:r w:rsidRPr="002C3ADC">
        <w:rPr>
          <w:rFonts w:ascii="Arial" w:hAnsi="Arial" w:cs="Arial"/>
          <w:sz w:val="20"/>
          <w:szCs w:val="20"/>
        </w:rPr>
        <w:t>when</w:t>
      </w:r>
      <w:r w:rsidRPr="002C3ADC">
        <w:rPr>
          <w:rFonts w:ascii="Arial" w:hAnsi="Arial" w:cs="Arial"/>
          <w:spacing w:val="-47"/>
          <w:sz w:val="20"/>
          <w:szCs w:val="20"/>
        </w:rPr>
        <w:t xml:space="preserve"> </w:t>
      </w:r>
      <w:r w:rsidRPr="002C3ADC">
        <w:rPr>
          <w:rFonts w:ascii="Arial" w:hAnsi="Arial" w:cs="Arial"/>
          <w:sz w:val="20"/>
          <w:szCs w:val="20"/>
        </w:rPr>
        <w:t>performing</w:t>
      </w:r>
      <w:r w:rsidRPr="002C3ADC">
        <w:rPr>
          <w:rFonts w:ascii="Arial" w:hAnsi="Arial" w:cs="Arial"/>
          <w:spacing w:val="-2"/>
          <w:sz w:val="20"/>
          <w:szCs w:val="20"/>
        </w:rPr>
        <w:t xml:space="preserve"> </w:t>
      </w:r>
      <w:r w:rsidRPr="002C3ADC">
        <w:rPr>
          <w:rFonts w:ascii="Arial" w:hAnsi="Arial" w:cs="Arial"/>
          <w:sz w:val="20"/>
          <w:szCs w:val="20"/>
        </w:rPr>
        <w:t>pilot-owner</w:t>
      </w:r>
      <w:r w:rsidRPr="002C3ADC">
        <w:rPr>
          <w:rFonts w:ascii="Arial" w:hAnsi="Arial" w:cs="Arial"/>
          <w:spacing w:val="-2"/>
          <w:sz w:val="20"/>
          <w:szCs w:val="20"/>
        </w:rPr>
        <w:t xml:space="preserve"> </w:t>
      </w:r>
      <w:r w:rsidRPr="002C3ADC">
        <w:rPr>
          <w:rFonts w:ascii="Arial" w:hAnsi="Arial" w:cs="Arial"/>
          <w:sz w:val="20"/>
          <w:szCs w:val="20"/>
        </w:rPr>
        <w:t>maintenance;</w:t>
      </w:r>
    </w:p>
    <w:p w14:paraId="69035B64" w14:textId="77777777" w:rsidR="002C3ADC" w:rsidRPr="000537DA" w:rsidRDefault="002C3ADC" w:rsidP="003B5604">
      <w:pPr>
        <w:pStyle w:val="ListParagraph"/>
        <w:numPr>
          <w:ilvl w:val="2"/>
          <w:numId w:val="341"/>
        </w:numPr>
        <w:tabs>
          <w:tab w:val="left" w:pos="1841"/>
          <w:tab w:val="left" w:pos="1842"/>
        </w:tabs>
        <w:ind w:right="195"/>
        <w:jc w:val="both"/>
        <w:rPr>
          <w:rFonts w:ascii="Arial" w:hAnsi="Arial" w:cs="Arial"/>
          <w:sz w:val="20"/>
          <w:szCs w:val="20"/>
        </w:rPr>
      </w:pPr>
      <w:r w:rsidRPr="002C3ADC">
        <w:rPr>
          <w:rFonts w:ascii="Arial" w:hAnsi="Arial" w:cs="Arial"/>
          <w:sz w:val="20"/>
          <w:szCs w:val="20"/>
        </w:rPr>
        <w:t>inform</w:t>
      </w:r>
      <w:r w:rsidRPr="002C3ADC">
        <w:rPr>
          <w:rFonts w:ascii="Arial" w:hAnsi="Arial" w:cs="Arial"/>
          <w:spacing w:val="-5"/>
          <w:sz w:val="20"/>
          <w:szCs w:val="20"/>
        </w:rPr>
        <w:t xml:space="preserve"> </w:t>
      </w:r>
      <w:r w:rsidRPr="002C3ADC">
        <w:rPr>
          <w:rFonts w:ascii="Arial" w:hAnsi="Arial" w:cs="Arial"/>
          <w:sz w:val="20"/>
          <w:szCs w:val="20"/>
        </w:rPr>
        <w:t>the</w:t>
      </w:r>
      <w:r w:rsidRPr="002C3ADC">
        <w:rPr>
          <w:rFonts w:ascii="Arial" w:hAnsi="Arial" w:cs="Arial"/>
          <w:spacing w:val="-3"/>
          <w:sz w:val="20"/>
          <w:szCs w:val="20"/>
        </w:rPr>
        <w:t xml:space="preserve"> </w:t>
      </w:r>
      <w:r w:rsidRPr="002C3ADC">
        <w:rPr>
          <w:rFonts w:ascii="Arial" w:hAnsi="Arial" w:cs="Arial"/>
          <w:sz w:val="20"/>
          <w:szCs w:val="20"/>
        </w:rPr>
        <w:t>contracted</w:t>
      </w:r>
      <w:r w:rsidRPr="002C3ADC">
        <w:rPr>
          <w:rFonts w:ascii="Arial" w:hAnsi="Arial" w:cs="Arial"/>
          <w:spacing w:val="-6"/>
          <w:sz w:val="20"/>
          <w:szCs w:val="20"/>
        </w:rPr>
        <w:t xml:space="preserve"> </w:t>
      </w:r>
      <w:r w:rsidRPr="002C3ADC">
        <w:rPr>
          <w:rFonts w:ascii="Arial" w:hAnsi="Arial" w:cs="Arial"/>
          <w:sz w:val="20"/>
          <w:szCs w:val="20"/>
        </w:rPr>
        <w:t>CAMO</w:t>
      </w:r>
      <w:r w:rsidRPr="002C3ADC">
        <w:rPr>
          <w:rFonts w:ascii="Arial" w:hAnsi="Arial" w:cs="Arial"/>
          <w:spacing w:val="-5"/>
          <w:sz w:val="20"/>
          <w:szCs w:val="20"/>
        </w:rPr>
        <w:t xml:space="preserve"> </w:t>
      </w:r>
      <w:r w:rsidRPr="002C3ADC">
        <w:rPr>
          <w:rFonts w:ascii="Arial" w:hAnsi="Arial" w:cs="Arial"/>
          <w:sz w:val="20"/>
          <w:szCs w:val="20"/>
        </w:rPr>
        <w:t>or</w:t>
      </w:r>
      <w:r w:rsidRPr="002C3ADC">
        <w:rPr>
          <w:rFonts w:ascii="Arial" w:hAnsi="Arial" w:cs="Arial"/>
          <w:spacing w:val="-6"/>
          <w:sz w:val="20"/>
          <w:szCs w:val="20"/>
        </w:rPr>
        <w:t xml:space="preserve"> </w:t>
      </w:r>
      <w:r w:rsidRPr="002C3ADC">
        <w:rPr>
          <w:rFonts w:ascii="Arial" w:hAnsi="Arial" w:cs="Arial"/>
          <w:sz w:val="20"/>
          <w:szCs w:val="20"/>
        </w:rPr>
        <w:t>CAO</w:t>
      </w:r>
      <w:r w:rsidRPr="002C3ADC">
        <w:rPr>
          <w:rFonts w:ascii="Arial" w:hAnsi="Arial" w:cs="Arial"/>
          <w:spacing w:val="-3"/>
          <w:sz w:val="20"/>
          <w:szCs w:val="20"/>
        </w:rPr>
        <w:t xml:space="preserve"> </w:t>
      </w:r>
      <w:r w:rsidRPr="002C3ADC">
        <w:rPr>
          <w:rFonts w:ascii="Arial" w:hAnsi="Arial" w:cs="Arial"/>
          <w:sz w:val="20"/>
          <w:szCs w:val="20"/>
        </w:rPr>
        <w:t>no</w:t>
      </w:r>
      <w:r w:rsidRPr="002C3ADC">
        <w:rPr>
          <w:rFonts w:ascii="Arial" w:hAnsi="Arial" w:cs="Arial"/>
          <w:spacing w:val="-4"/>
          <w:sz w:val="20"/>
          <w:szCs w:val="20"/>
        </w:rPr>
        <w:t xml:space="preserve"> </w:t>
      </w:r>
      <w:r w:rsidRPr="002C3ADC">
        <w:rPr>
          <w:rFonts w:ascii="Arial" w:hAnsi="Arial" w:cs="Arial"/>
          <w:sz w:val="20"/>
          <w:szCs w:val="20"/>
        </w:rPr>
        <w:t>later</w:t>
      </w:r>
      <w:r w:rsidRPr="002C3ADC">
        <w:rPr>
          <w:rFonts w:ascii="Arial" w:hAnsi="Arial" w:cs="Arial"/>
          <w:spacing w:val="-5"/>
          <w:sz w:val="20"/>
          <w:szCs w:val="20"/>
        </w:rPr>
        <w:t xml:space="preserve"> </w:t>
      </w:r>
      <w:r w:rsidRPr="002C3ADC">
        <w:rPr>
          <w:rFonts w:ascii="Arial" w:hAnsi="Arial" w:cs="Arial"/>
          <w:sz w:val="20"/>
          <w:szCs w:val="20"/>
        </w:rPr>
        <w:t>than</w:t>
      </w:r>
      <w:r w:rsidRPr="002C3ADC">
        <w:rPr>
          <w:rFonts w:ascii="Arial" w:hAnsi="Arial" w:cs="Arial"/>
          <w:spacing w:val="-7"/>
          <w:sz w:val="20"/>
          <w:szCs w:val="20"/>
        </w:rPr>
        <w:t xml:space="preserve"> </w:t>
      </w:r>
      <w:r w:rsidRPr="002C3ADC">
        <w:rPr>
          <w:rFonts w:ascii="Arial" w:hAnsi="Arial" w:cs="Arial"/>
          <w:sz w:val="20"/>
          <w:szCs w:val="20"/>
        </w:rPr>
        <w:t>30</w:t>
      </w:r>
      <w:r w:rsidRPr="002C3ADC">
        <w:rPr>
          <w:rFonts w:ascii="Arial" w:hAnsi="Arial" w:cs="Arial"/>
          <w:spacing w:val="2"/>
          <w:sz w:val="20"/>
          <w:szCs w:val="20"/>
        </w:rPr>
        <w:t xml:space="preserve"> </w:t>
      </w:r>
      <w:r w:rsidRPr="002C3ADC">
        <w:rPr>
          <w:rFonts w:ascii="Arial" w:hAnsi="Arial" w:cs="Arial"/>
          <w:sz w:val="20"/>
          <w:szCs w:val="20"/>
        </w:rPr>
        <w:t>days</w:t>
      </w:r>
      <w:r w:rsidRPr="002C3ADC">
        <w:rPr>
          <w:rFonts w:ascii="Arial" w:hAnsi="Arial" w:cs="Arial"/>
          <w:spacing w:val="-5"/>
          <w:sz w:val="20"/>
          <w:szCs w:val="20"/>
        </w:rPr>
        <w:t xml:space="preserve"> </w:t>
      </w:r>
      <w:r w:rsidRPr="002C3ADC">
        <w:rPr>
          <w:rFonts w:ascii="Arial" w:hAnsi="Arial" w:cs="Arial"/>
          <w:sz w:val="20"/>
          <w:szCs w:val="20"/>
        </w:rPr>
        <w:t>after</w:t>
      </w:r>
      <w:r w:rsidRPr="002C3ADC">
        <w:rPr>
          <w:rFonts w:ascii="Arial" w:hAnsi="Arial" w:cs="Arial"/>
          <w:spacing w:val="-5"/>
          <w:sz w:val="20"/>
          <w:szCs w:val="20"/>
        </w:rPr>
        <w:t xml:space="preserve"> </w:t>
      </w:r>
      <w:r w:rsidRPr="002C3ADC">
        <w:rPr>
          <w:rFonts w:ascii="Arial" w:hAnsi="Arial" w:cs="Arial"/>
          <w:sz w:val="20"/>
          <w:szCs w:val="20"/>
        </w:rPr>
        <w:t>completion</w:t>
      </w:r>
      <w:r w:rsidRPr="002C3ADC">
        <w:rPr>
          <w:rFonts w:ascii="Arial" w:hAnsi="Arial" w:cs="Arial"/>
          <w:spacing w:val="-6"/>
          <w:sz w:val="20"/>
          <w:szCs w:val="20"/>
        </w:rPr>
        <w:t xml:space="preserve"> </w:t>
      </w:r>
      <w:r w:rsidRPr="002C3ADC">
        <w:rPr>
          <w:rFonts w:ascii="Arial" w:hAnsi="Arial" w:cs="Arial"/>
          <w:sz w:val="20"/>
          <w:szCs w:val="20"/>
        </w:rPr>
        <w:t>of</w:t>
      </w:r>
      <w:r w:rsidRPr="002C3ADC">
        <w:rPr>
          <w:rFonts w:ascii="Arial" w:hAnsi="Arial" w:cs="Arial"/>
          <w:spacing w:val="-6"/>
          <w:sz w:val="20"/>
          <w:szCs w:val="20"/>
        </w:rPr>
        <w:t xml:space="preserve"> </w:t>
      </w:r>
      <w:r w:rsidRPr="002C3ADC">
        <w:rPr>
          <w:rFonts w:ascii="Arial" w:hAnsi="Arial" w:cs="Arial"/>
          <w:sz w:val="20"/>
          <w:szCs w:val="20"/>
        </w:rPr>
        <w:t>any</w:t>
      </w:r>
      <w:r w:rsidRPr="002C3ADC">
        <w:rPr>
          <w:rFonts w:ascii="Arial" w:hAnsi="Arial" w:cs="Arial"/>
          <w:spacing w:val="-46"/>
          <w:sz w:val="20"/>
          <w:szCs w:val="20"/>
        </w:rPr>
        <w:t xml:space="preserve"> </w:t>
      </w:r>
      <w:r w:rsidRPr="002C3ADC">
        <w:rPr>
          <w:rFonts w:ascii="Arial" w:hAnsi="Arial" w:cs="Arial"/>
          <w:sz w:val="20"/>
          <w:szCs w:val="20"/>
        </w:rPr>
        <w:t>Pilot-owner</w:t>
      </w:r>
      <w:r w:rsidRPr="002C3ADC">
        <w:rPr>
          <w:rFonts w:ascii="Arial" w:hAnsi="Arial" w:cs="Arial"/>
          <w:spacing w:val="-3"/>
          <w:sz w:val="20"/>
          <w:szCs w:val="20"/>
        </w:rPr>
        <w:t xml:space="preserve"> </w:t>
      </w:r>
      <w:r w:rsidRPr="002C3ADC">
        <w:rPr>
          <w:rFonts w:ascii="Arial" w:hAnsi="Arial" w:cs="Arial"/>
          <w:sz w:val="20"/>
          <w:szCs w:val="20"/>
        </w:rPr>
        <w:t>maintenance</w:t>
      </w:r>
      <w:r w:rsidRPr="002C3ADC">
        <w:rPr>
          <w:rFonts w:ascii="Arial" w:hAnsi="Arial" w:cs="Arial"/>
          <w:spacing w:val="1"/>
          <w:sz w:val="20"/>
          <w:szCs w:val="20"/>
        </w:rPr>
        <w:t xml:space="preserve"> </w:t>
      </w:r>
      <w:r w:rsidRPr="002C3ADC">
        <w:rPr>
          <w:rFonts w:ascii="Arial" w:hAnsi="Arial" w:cs="Arial"/>
          <w:sz w:val="20"/>
          <w:szCs w:val="20"/>
        </w:rPr>
        <w:t>task.</w:t>
      </w:r>
    </w:p>
    <w:p w14:paraId="40D5E94A" w14:textId="77777777" w:rsidR="000537DA" w:rsidRPr="000537DA" w:rsidRDefault="000537DA" w:rsidP="000537DA">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973" w:name="_Toc153137581"/>
      <w:r w:rsidRPr="000537DA">
        <w:rPr>
          <w:rFonts w:ascii="Arial" w:eastAsia="Times New Roman" w:hAnsi="Arial" w:cs="Times New Roman"/>
          <w:b/>
          <w:iCs/>
          <w:color w:val="FFFFFF"/>
          <w:sz w:val="24"/>
        </w:rPr>
        <w:t>Appendix II — Limited Pilot-owner maintenance</w:t>
      </w:r>
      <w:bookmarkEnd w:id="973"/>
    </w:p>
    <w:p w14:paraId="69638D2E" w14:textId="77777777" w:rsidR="000537DA" w:rsidRPr="000537DA" w:rsidRDefault="000537DA" w:rsidP="00D206D1">
      <w:pPr>
        <w:spacing w:line="276" w:lineRule="auto"/>
        <w:jc w:val="both"/>
        <w:rPr>
          <w:rFonts w:ascii="Arial" w:eastAsia="Times New Roman" w:hAnsi="Arial" w:cs="Times New Roman"/>
          <w:sz w:val="20"/>
          <w:szCs w:val="20"/>
        </w:rPr>
      </w:pPr>
      <w:r w:rsidRPr="000537DA">
        <w:rPr>
          <w:rFonts w:ascii="Arial" w:eastAsia="Times New Roman" w:hAnsi="Arial" w:cs="Times New Roman"/>
          <w:sz w:val="20"/>
          <w:szCs w:val="20"/>
        </w:rPr>
        <w:t>In addition to the requirements laid down in this Annex, the pilot-owner shall comply with the following basic principles before it carries out any maintenance task:</w:t>
      </w:r>
    </w:p>
    <w:p w14:paraId="2B2BFAA0" w14:textId="77777777" w:rsidR="000537DA" w:rsidRPr="000537DA" w:rsidRDefault="000537DA" w:rsidP="00D206D1">
      <w:pPr>
        <w:numPr>
          <w:ilvl w:val="0"/>
          <w:numId w:val="342"/>
        </w:numPr>
        <w:spacing w:line="276" w:lineRule="auto"/>
        <w:ind w:left="567"/>
        <w:jc w:val="both"/>
        <w:rPr>
          <w:rFonts w:ascii="Arial" w:eastAsia="Times New Roman" w:hAnsi="Arial" w:cs="Times New Roman"/>
          <w:b/>
          <w:bCs/>
          <w:sz w:val="20"/>
          <w:szCs w:val="20"/>
        </w:rPr>
      </w:pPr>
      <w:r w:rsidRPr="000537DA">
        <w:rPr>
          <w:rFonts w:ascii="Arial" w:eastAsia="Times New Roman" w:hAnsi="Arial" w:cs="Times New Roman"/>
          <w:b/>
          <w:bCs/>
          <w:sz w:val="20"/>
          <w:szCs w:val="20"/>
        </w:rPr>
        <w:t>Competence and responsibility</w:t>
      </w:r>
    </w:p>
    <w:p w14:paraId="513A8897" w14:textId="77777777" w:rsidR="000537DA" w:rsidRPr="000537DA" w:rsidRDefault="000537DA" w:rsidP="00D206D1">
      <w:pPr>
        <w:numPr>
          <w:ilvl w:val="1"/>
          <w:numId w:val="342"/>
        </w:numPr>
        <w:spacing w:line="276" w:lineRule="auto"/>
        <w:ind w:left="1134"/>
        <w:jc w:val="both"/>
        <w:rPr>
          <w:rFonts w:ascii="Arial" w:eastAsia="Times New Roman" w:hAnsi="Arial" w:cs="Times New Roman"/>
          <w:sz w:val="20"/>
          <w:szCs w:val="20"/>
        </w:rPr>
      </w:pPr>
      <w:r w:rsidRPr="000537DA">
        <w:rPr>
          <w:rFonts w:ascii="Arial" w:eastAsia="Times New Roman" w:hAnsi="Arial" w:cs="Times New Roman"/>
          <w:sz w:val="20"/>
          <w:szCs w:val="20"/>
        </w:rPr>
        <w:t>The pilot-owner shall always be responsible for any maintenance he performs.</w:t>
      </w:r>
    </w:p>
    <w:p w14:paraId="4D96F919" w14:textId="77777777" w:rsidR="000537DA" w:rsidRPr="000537DA" w:rsidRDefault="000537DA" w:rsidP="00D206D1">
      <w:pPr>
        <w:numPr>
          <w:ilvl w:val="1"/>
          <w:numId w:val="342"/>
        </w:numPr>
        <w:spacing w:line="276" w:lineRule="auto"/>
        <w:ind w:left="1134"/>
        <w:jc w:val="both"/>
        <w:rPr>
          <w:rFonts w:ascii="Arial" w:eastAsia="Times New Roman" w:hAnsi="Arial" w:cs="Times New Roman"/>
          <w:sz w:val="20"/>
          <w:szCs w:val="20"/>
        </w:rPr>
      </w:pPr>
      <w:r w:rsidRPr="000537DA">
        <w:rPr>
          <w:rFonts w:ascii="Arial" w:eastAsia="Times New Roman" w:hAnsi="Arial" w:cs="Times New Roman"/>
          <w:sz w:val="20"/>
          <w:szCs w:val="20"/>
        </w:rPr>
        <w:t>The pilot-owner shall hold satisfactory level of competence to perform the task. It is the responsibility of a pilot-owner to familiarise himself with the standard maintenance practices for his aircraft and with the AMP.</w:t>
      </w:r>
    </w:p>
    <w:p w14:paraId="33DF11AB" w14:textId="77777777" w:rsidR="000537DA" w:rsidRPr="000537DA" w:rsidRDefault="000537DA" w:rsidP="00D206D1">
      <w:pPr>
        <w:numPr>
          <w:ilvl w:val="0"/>
          <w:numId w:val="342"/>
        </w:numPr>
        <w:spacing w:line="276" w:lineRule="auto"/>
        <w:ind w:left="567"/>
        <w:jc w:val="both"/>
        <w:rPr>
          <w:rFonts w:ascii="Arial" w:eastAsia="Times New Roman" w:hAnsi="Arial" w:cs="Times New Roman"/>
          <w:b/>
          <w:bCs/>
          <w:sz w:val="20"/>
          <w:szCs w:val="20"/>
        </w:rPr>
      </w:pPr>
      <w:r w:rsidRPr="000537DA">
        <w:rPr>
          <w:rFonts w:ascii="Arial" w:eastAsia="Times New Roman" w:hAnsi="Arial" w:cs="Times New Roman"/>
          <w:b/>
          <w:bCs/>
          <w:sz w:val="20"/>
          <w:szCs w:val="20"/>
        </w:rPr>
        <w:t>Tasks</w:t>
      </w:r>
    </w:p>
    <w:p w14:paraId="0FB5A1F1" w14:textId="77777777" w:rsidR="000537DA" w:rsidRPr="000537DA" w:rsidRDefault="000537DA" w:rsidP="00D206D1">
      <w:pPr>
        <w:spacing w:line="276" w:lineRule="auto"/>
        <w:ind w:left="581"/>
        <w:jc w:val="both"/>
        <w:rPr>
          <w:rFonts w:ascii="Arial" w:eastAsia="Times New Roman" w:hAnsi="Arial" w:cs="Times New Roman"/>
          <w:sz w:val="20"/>
          <w:szCs w:val="20"/>
        </w:rPr>
      </w:pPr>
      <w:r w:rsidRPr="000537DA">
        <w:rPr>
          <w:rFonts w:ascii="Arial" w:eastAsia="Times New Roman" w:hAnsi="Arial" w:cs="Times New Roman"/>
          <w:sz w:val="20"/>
          <w:szCs w:val="20"/>
        </w:rPr>
        <w:t>The Pilot-owner may carry out simple visual inspections or operations to check the airframe, engines, systems and components for general condition, obvious damage and normal operation.</w:t>
      </w:r>
    </w:p>
    <w:p w14:paraId="461265B4" w14:textId="77777777" w:rsidR="000537DA" w:rsidRPr="000537DA" w:rsidRDefault="000537DA" w:rsidP="00D206D1">
      <w:pPr>
        <w:spacing w:line="276" w:lineRule="auto"/>
        <w:ind w:left="581"/>
        <w:jc w:val="both"/>
        <w:rPr>
          <w:rFonts w:ascii="Arial" w:eastAsia="Times New Roman" w:hAnsi="Arial" w:cs="Times New Roman"/>
          <w:sz w:val="20"/>
          <w:szCs w:val="20"/>
        </w:rPr>
      </w:pPr>
      <w:r w:rsidRPr="000537DA">
        <w:rPr>
          <w:rFonts w:ascii="Arial" w:eastAsia="Times New Roman" w:hAnsi="Arial" w:cs="Times New Roman"/>
          <w:sz w:val="20"/>
          <w:szCs w:val="20"/>
        </w:rPr>
        <w:t>A maintenance task shall not be released by the pilot-owner if any of the following conditions occurs:</w:t>
      </w:r>
    </w:p>
    <w:p w14:paraId="4AD48B59" w14:textId="77777777" w:rsidR="000537DA" w:rsidRPr="000537DA" w:rsidRDefault="000537DA" w:rsidP="00D206D1">
      <w:pPr>
        <w:numPr>
          <w:ilvl w:val="1"/>
          <w:numId w:val="342"/>
        </w:numPr>
        <w:spacing w:line="276" w:lineRule="auto"/>
        <w:ind w:left="1134"/>
        <w:jc w:val="both"/>
        <w:rPr>
          <w:rFonts w:ascii="Arial" w:eastAsia="Times New Roman" w:hAnsi="Arial" w:cs="Times New Roman"/>
          <w:sz w:val="20"/>
          <w:szCs w:val="20"/>
        </w:rPr>
      </w:pPr>
      <w:r w:rsidRPr="000537DA">
        <w:rPr>
          <w:rFonts w:ascii="Arial" w:eastAsia="Times New Roman" w:hAnsi="Arial" w:cs="Times New Roman"/>
          <w:sz w:val="20"/>
          <w:szCs w:val="20"/>
        </w:rPr>
        <w:t>it is a critical maintenance task;</w:t>
      </w:r>
    </w:p>
    <w:p w14:paraId="56F2B0D2" w14:textId="77777777" w:rsidR="000537DA" w:rsidRPr="000537DA" w:rsidRDefault="000537DA" w:rsidP="00D206D1">
      <w:pPr>
        <w:numPr>
          <w:ilvl w:val="1"/>
          <w:numId w:val="342"/>
        </w:numPr>
        <w:spacing w:line="276" w:lineRule="auto"/>
        <w:ind w:left="1134"/>
        <w:jc w:val="both"/>
        <w:rPr>
          <w:rFonts w:ascii="Arial" w:eastAsia="Times New Roman" w:hAnsi="Arial" w:cs="Times New Roman"/>
          <w:sz w:val="20"/>
          <w:szCs w:val="20"/>
        </w:rPr>
      </w:pPr>
      <w:r w:rsidRPr="000537DA">
        <w:rPr>
          <w:rFonts w:ascii="Arial" w:eastAsia="Times New Roman" w:hAnsi="Arial" w:cs="Times New Roman"/>
          <w:sz w:val="20"/>
          <w:szCs w:val="20"/>
        </w:rPr>
        <w:t>it requires the removal of major components o r a major assembly;</w:t>
      </w:r>
    </w:p>
    <w:p w14:paraId="377639D0" w14:textId="77777777" w:rsidR="000537DA" w:rsidRPr="000537DA" w:rsidRDefault="000537DA" w:rsidP="00D206D1">
      <w:pPr>
        <w:numPr>
          <w:ilvl w:val="1"/>
          <w:numId w:val="342"/>
        </w:numPr>
        <w:spacing w:line="276" w:lineRule="auto"/>
        <w:ind w:left="1134"/>
        <w:jc w:val="both"/>
        <w:rPr>
          <w:rFonts w:ascii="Arial" w:eastAsia="Times New Roman" w:hAnsi="Arial" w:cs="Times New Roman"/>
          <w:sz w:val="20"/>
          <w:szCs w:val="20"/>
        </w:rPr>
      </w:pPr>
      <w:r w:rsidRPr="000537DA">
        <w:rPr>
          <w:rFonts w:ascii="Arial" w:eastAsia="Times New Roman" w:hAnsi="Arial" w:cs="Times New Roman"/>
          <w:sz w:val="20"/>
          <w:szCs w:val="20"/>
        </w:rPr>
        <w:t>it is carried out in compliance with an AD or an airworthiness limitation item (ALI) unless specifically allowed in the AD or the ALI;</w:t>
      </w:r>
    </w:p>
    <w:p w14:paraId="4D94AC04" w14:textId="77777777" w:rsidR="000537DA" w:rsidRPr="000537DA" w:rsidRDefault="000537DA" w:rsidP="00D206D1">
      <w:pPr>
        <w:numPr>
          <w:ilvl w:val="1"/>
          <w:numId w:val="342"/>
        </w:numPr>
        <w:spacing w:line="276" w:lineRule="auto"/>
        <w:ind w:left="1134"/>
        <w:jc w:val="both"/>
        <w:rPr>
          <w:rFonts w:ascii="Arial" w:eastAsia="Times New Roman" w:hAnsi="Arial" w:cs="Times New Roman"/>
          <w:sz w:val="20"/>
          <w:szCs w:val="20"/>
        </w:rPr>
      </w:pPr>
      <w:r w:rsidRPr="000537DA">
        <w:rPr>
          <w:rFonts w:ascii="Arial" w:eastAsia="Times New Roman" w:hAnsi="Arial" w:cs="Times New Roman"/>
          <w:sz w:val="20"/>
          <w:szCs w:val="20"/>
        </w:rPr>
        <w:t xml:space="preserve">it requires the use of special tools or calibrated tools (except for torque wrench and crimping </w:t>
      </w:r>
      <w:r w:rsidRPr="000537DA">
        <w:rPr>
          <w:rFonts w:ascii="Arial" w:eastAsia="Times New Roman" w:hAnsi="Arial" w:cs="Times New Roman"/>
          <w:sz w:val="20"/>
          <w:szCs w:val="20"/>
        </w:rPr>
        <w:lastRenderedPageBreak/>
        <w:t>tool);</w:t>
      </w:r>
    </w:p>
    <w:p w14:paraId="5B97EBEB" w14:textId="77777777" w:rsidR="000537DA" w:rsidRPr="000537DA" w:rsidRDefault="000537DA" w:rsidP="00D206D1">
      <w:pPr>
        <w:numPr>
          <w:ilvl w:val="1"/>
          <w:numId w:val="342"/>
        </w:numPr>
        <w:spacing w:line="276" w:lineRule="auto"/>
        <w:ind w:left="1134"/>
        <w:jc w:val="both"/>
        <w:rPr>
          <w:rFonts w:ascii="Arial" w:eastAsia="Times New Roman" w:hAnsi="Arial" w:cs="Times New Roman"/>
          <w:sz w:val="20"/>
          <w:szCs w:val="20"/>
        </w:rPr>
      </w:pPr>
      <w:r w:rsidRPr="000537DA">
        <w:rPr>
          <w:rFonts w:ascii="Arial" w:eastAsia="Times New Roman" w:hAnsi="Arial" w:cs="Times New Roman"/>
          <w:sz w:val="20"/>
          <w:szCs w:val="20"/>
        </w:rPr>
        <w:t>it requires the use of test equipment or special testing (e.g. non-destructive testing (NDT), system tests or operational checks for avionics equipment);</w:t>
      </w:r>
    </w:p>
    <w:p w14:paraId="6E4287BC" w14:textId="77777777" w:rsidR="000537DA" w:rsidRPr="000537DA" w:rsidRDefault="000537DA" w:rsidP="00D206D1">
      <w:pPr>
        <w:numPr>
          <w:ilvl w:val="1"/>
          <w:numId w:val="342"/>
        </w:numPr>
        <w:spacing w:line="276" w:lineRule="auto"/>
        <w:ind w:left="1134"/>
        <w:jc w:val="both"/>
        <w:rPr>
          <w:rFonts w:ascii="Arial" w:eastAsia="Times New Roman" w:hAnsi="Arial" w:cs="Times New Roman"/>
          <w:sz w:val="20"/>
          <w:szCs w:val="20"/>
        </w:rPr>
      </w:pPr>
      <w:r w:rsidRPr="000537DA">
        <w:rPr>
          <w:rFonts w:ascii="Arial" w:eastAsia="Times New Roman" w:hAnsi="Arial" w:cs="Times New Roman"/>
          <w:sz w:val="20"/>
          <w:szCs w:val="20"/>
        </w:rPr>
        <w:t>it is composed of any unscheduled special inspections (e.g. heavy-landing check);</w:t>
      </w:r>
    </w:p>
    <w:p w14:paraId="095E30AF" w14:textId="77777777" w:rsidR="000537DA" w:rsidRPr="000537DA" w:rsidRDefault="000537DA" w:rsidP="00D206D1">
      <w:pPr>
        <w:numPr>
          <w:ilvl w:val="1"/>
          <w:numId w:val="342"/>
        </w:numPr>
        <w:spacing w:line="276" w:lineRule="auto"/>
        <w:ind w:left="1134"/>
        <w:jc w:val="both"/>
        <w:rPr>
          <w:rFonts w:ascii="Arial" w:eastAsia="Times New Roman" w:hAnsi="Arial" w:cs="Times New Roman"/>
          <w:sz w:val="20"/>
          <w:szCs w:val="20"/>
        </w:rPr>
      </w:pPr>
      <w:r w:rsidRPr="000537DA">
        <w:rPr>
          <w:rFonts w:ascii="Arial" w:eastAsia="Times New Roman" w:hAnsi="Arial" w:cs="Times New Roman"/>
          <w:sz w:val="20"/>
          <w:szCs w:val="20"/>
        </w:rPr>
        <w:t>it affects systems essential for the instrumental flight rules (IFR) operations;</w:t>
      </w:r>
    </w:p>
    <w:p w14:paraId="7D7E66F0" w14:textId="77777777" w:rsidR="000537DA" w:rsidRPr="000537DA" w:rsidRDefault="000537DA" w:rsidP="00D206D1">
      <w:pPr>
        <w:numPr>
          <w:ilvl w:val="1"/>
          <w:numId w:val="342"/>
        </w:numPr>
        <w:spacing w:line="276" w:lineRule="auto"/>
        <w:ind w:left="1134"/>
        <w:jc w:val="both"/>
        <w:rPr>
          <w:rFonts w:ascii="Arial" w:eastAsia="Times New Roman" w:hAnsi="Arial" w:cs="Times New Roman"/>
          <w:sz w:val="20"/>
          <w:szCs w:val="20"/>
        </w:rPr>
      </w:pPr>
      <w:r w:rsidRPr="000537DA">
        <w:rPr>
          <w:rFonts w:ascii="Arial" w:eastAsia="Times New Roman" w:hAnsi="Arial" w:cs="Times New Roman"/>
          <w:sz w:val="20"/>
          <w:szCs w:val="20"/>
        </w:rPr>
        <w:t>it is a complex maintenance task in accordance with Appendix III, or it is a component maintenance task in accordance with point (a) or (b) of point ML.A.502;</w:t>
      </w:r>
    </w:p>
    <w:p w14:paraId="753FFC52" w14:textId="77777777" w:rsidR="000537DA" w:rsidRPr="00D206D1" w:rsidRDefault="000537DA" w:rsidP="00D206D1">
      <w:pPr>
        <w:numPr>
          <w:ilvl w:val="1"/>
          <w:numId w:val="342"/>
        </w:numPr>
        <w:spacing w:line="276" w:lineRule="auto"/>
        <w:ind w:left="1134"/>
        <w:jc w:val="both"/>
        <w:rPr>
          <w:rFonts w:ascii="Arial" w:eastAsia="Times New Roman" w:hAnsi="Arial" w:cs="Times New Roman"/>
          <w:sz w:val="20"/>
          <w:szCs w:val="20"/>
        </w:rPr>
      </w:pPr>
      <w:r w:rsidRPr="000537DA">
        <w:rPr>
          <w:rFonts w:ascii="Arial" w:eastAsia="Times New Roman" w:hAnsi="Arial" w:cs="Times New Roman"/>
          <w:sz w:val="20"/>
          <w:szCs w:val="20"/>
        </w:rPr>
        <w:t>it is part of the 100-h/annual check (for those cases the maintenance task is combined with the airworthiness review performed by maintenance organisations or independent certifying staff).</w:t>
      </w:r>
    </w:p>
    <w:p w14:paraId="32BFCECD" w14:textId="77777777" w:rsidR="000537DA" w:rsidRPr="000537DA" w:rsidRDefault="000537DA" w:rsidP="00D206D1">
      <w:pPr>
        <w:tabs>
          <w:tab w:val="left" w:pos="1775"/>
        </w:tabs>
        <w:spacing w:line="276" w:lineRule="auto"/>
        <w:ind w:left="567"/>
        <w:jc w:val="both"/>
        <w:rPr>
          <w:rFonts w:ascii="Arial" w:eastAsia="Times New Roman" w:hAnsi="Arial" w:cs="Times New Roman"/>
          <w:sz w:val="20"/>
          <w:szCs w:val="20"/>
        </w:rPr>
      </w:pPr>
      <w:r w:rsidRPr="000537DA">
        <w:rPr>
          <w:rFonts w:ascii="Arial" w:eastAsia="Times New Roman" w:hAnsi="Arial" w:cs="Times New Roman"/>
          <w:sz w:val="20"/>
          <w:szCs w:val="20"/>
        </w:rPr>
        <w:t>The criteria referred to in points (1) to (9) cannot be overridden by less restrictive instructions issued in accordance with the AMP referred to in point ML.A.302.</w:t>
      </w:r>
    </w:p>
    <w:p w14:paraId="036D4F71" w14:textId="77777777" w:rsidR="000537DA" w:rsidRPr="000537DA" w:rsidRDefault="000537DA" w:rsidP="00D206D1">
      <w:pPr>
        <w:tabs>
          <w:tab w:val="left" w:pos="1775"/>
        </w:tabs>
        <w:spacing w:line="276" w:lineRule="auto"/>
        <w:ind w:left="567"/>
        <w:jc w:val="both"/>
        <w:rPr>
          <w:rFonts w:ascii="Arial" w:eastAsia="Times New Roman" w:hAnsi="Arial" w:cs="Times New Roman"/>
          <w:sz w:val="20"/>
          <w:szCs w:val="20"/>
        </w:rPr>
      </w:pPr>
    </w:p>
    <w:p w14:paraId="138D41AC" w14:textId="77777777" w:rsidR="000537DA" w:rsidRPr="000537DA" w:rsidRDefault="000537DA" w:rsidP="00D206D1">
      <w:pPr>
        <w:tabs>
          <w:tab w:val="left" w:pos="1775"/>
        </w:tabs>
        <w:spacing w:line="276" w:lineRule="auto"/>
        <w:ind w:left="567"/>
        <w:jc w:val="both"/>
        <w:rPr>
          <w:rFonts w:ascii="Arial" w:eastAsia="Times New Roman" w:hAnsi="Arial" w:cs="Times New Roman"/>
          <w:sz w:val="20"/>
          <w:szCs w:val="20"/>
        </w:rPr>
      </w:pPr>
      <w:r w:rsidRPr="000537DA">
        <w:rPr>
          <w:rFonts w:ascii="Arial" w:eastAsia="Times New Roman" w:hAnsi="Arial" w:cs="Times New Roman"/>
          <w:sz w:val="20"/>
          <w:szCs w:val="20"/>
        </w:rPr>
        <w:t>Any task described in the aircraft flight manual (or other operational manuals), for example preparing the aircraft for flight (assembling the sailplane wings, or performing a preflight inspection, or assembling a basket, burner, fuel cylinders and an envelope combination for a balloon, etc.), is not considered a maintenance task and, therefore, does not require a CRS. Nevertheless, the person assembling those parts is responsible for ensuring that those parts are eligible for installation and in a serviceable condition.</w:t>
      </w:r>
    </w:p>
    <w:p w14:paraId="2D1D2FFD" w14:textId="77777777" w:rsidR="000537DA" w:rsidRPr="000537DA" w:rsidRDefault="000537DA" w:rsidP="00D206D1">
      <w:pPr>
        <w:numPr>
          <w:ilvl w:val="0"/>
          <w:numId w:val="342"/>
        </w:numPr>
        <w:tabs>
          <w:tab w:val="left" w:pos="1775"/>
        </w:tabs>
        <w:spacing w:line="276" w:lineRule="auto"/>
        <w:ind w:left="567"/>
        <w:jc w:val="both"/>
        <w:rPr>
          <w:rFonts w:ascii="Arial" w:eastAsia="Times New Roman" w:hAnsi="Arial" w:cs="Times New Roman"/>
          <w:b/>
          <w:bCs/>
          <w:sz w:val="20"/>
          <w:szCs w:val="20"/>
        </w:rPr>
      </w:pPr>
      <w:r w:rsidRPr="000537DA">
        <w:rPr>
          <w:rFonts w:ascii="Arial" w:eastAsia="Times New Roman" w:hAnsi="Arial" w:cs="Times New Roman"/>
          <w:b/>
          <w:bCs/>
          <w:sz w:val="20"/>
          <w:szCs w:val="20"/>
        </w:rPr>
        <w:t>Performance and records of the pilot-owner maintenance tasks</w:t>
      </w:r>
    </w:p>
    <w:p w14:paraId="53C6C1D8" w14:textId="77777777" w:rsidR="000537DA" w:rsidRPr="000537DA" w:rsidRDefault="000537DA" w:rsidP="00D206D1">
      <w:pPr>
        <w:tabs>
          <w:tab w:val="left" w:pos="1775"/>
        </w:tabs>
        <w:spacing w:line="276" w:lineRule="auto"/>
        <w:ind w:left="567"/>
        <w:jc w:val="both"/>
        <w:rPr>
          <w:rFonts w:ascii="Arial" w:eastAsia="Times New Roman" w:hAnsi="Arial" w:cs="Times New Roman"/>
          <w:sz w:val="20"/>
          <w:szCs w:val="20"/>
        </w:rPr>
      </w:pPr>
      <w:r w:rsidRPr="000537DA">
        <w:rPr>
          <w:rFonts w:ascii="Arial" w:eastAsia="Times New Roman" w:hAnsi="Arial" w:cs="Times New Roman"/>
          <w:sz w:val="20"/>
          <w:szCs w:val="20"/>
        </w:rPr>
        <w:t>The maintenance data, as specified in point ML.A.401, must always be available during the conduct of pilot-owner maintenance and must be complied with. Details of the data referred to in the conduct of pilot-owner maintenance must be included in the CRS in accordance with point</w:t>
      </w:r>
      <w:r w:rsidR="00D206D1">
        <w:rPr>
          <w:rFonts w:ascii="Arial" w:eastAsia="Times New Roman" w:hAnsi="Arial" w:cs="Times New Roman"/>
          <w:sz w:val="20"/>
          <w:szCs w:val="20"/>
        </w:rPr>
        <w:t xml:space="preserve"> (d) </w:t>
      </w:r>
      <w:r w:rsidRPr="000537DA">
        <w:rPr>
          <w:rFonts w:ascii="Arial" w:eastAsia="Times New Roman" w:hAnsi="Arial" w:cs="Times New Roman"/>
          <w:sz w:val="20"/>
          <w:szCs w:val="20"/>
        </w:rPr>
        <w:t>of point ML.A.803.</w:t>
      </w:r>
    </w:p>
    <w:p w14:paraId="0B075982" w14:textId="77777777" w:rsidR="000537DA" w:rsidRPr="00F97B24" w:rsidRDefault="000537DA" w:rsidP="00F97B24">
      <w:pPr>
        <w:tabs>
          <w:tab w:val="left" w:pos="1775"/>
        </w:tabs>
        <w:spacing w:line="276" w:lineRule="auto"/>
        <w:ind w:left="567"/>
        <w:jc w:val="both"/>
        <w:rPr>
          <w:rFonts w:ascii="Arial" w:eastAsia="Times New Roman" w:hAnsi="Arial" w:cs="Times New Roman"/>
          <w:sz w:val="20"/>
          <w:szCs w:val="20"/>
        </w:rPr>
      </w:pPr>
      <w:r w:rsidRPr="000537DA">
        <w:rPr>
          <w:rFonts w:ascii="Arial" w:eastAsia="Times New Roman" w:hAnsi="Arial" w:cs="Times New Roman"/>
          <w:sz w:val="20"/>
          <w:szCs w:val="20"/>
        </w:rPr>
        <w:t>The pilot-owner must inform the contracted CAMO or CAO (if such contract exists) about the completion of the pilot-owner maintenance tasks no later than 30 days after completion of these tasks in accordance with point (a) of point ML.A.305.</w:t>
      </w:r>
    </w:p>
    <w:p w14:paraId="34018221" w14:textId="77777777" w:rsidR="0043332B" w:rsidRPr="0043332B" w:rsidRDefault="00F97B24" w:rsidP="0043332B">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974" w:name="AMC1_to_Appendix_II_to_Part-ML_—_Limited"/>
      <w:bookmarkStart w:id="975" w:name="_bookmark417"/>
      <w:bookmarkStart w:id="976" w:name="_Toc153137582"/>
      <w:bookmarkEnd w:id="974"/>
      <w:bookmarkEnd w:id="975"/>
      <w:r w:rsidRPr="00F97B24">
        <w:rPr>
          <w:rFonts w:ascii="Arial" w:eastAsia="Times New Roman" w:hAnsi="Arial" w:cs="Times New Roman"/>
          <w:b/>
          <w:color w:val="FFFFFF"/>
          <w:sz w:val="24"/>
        </w:rPr>
        <w:t>AMC1 to Appendix II to Part-ML — Limited pilot-owner maintenance</w:t>
      </w:r>
      <w:bookmarkEnd w:id="976"/>
    </w:p>
    <w:p w14:paraId="38EA04C7" w14:textId="77777777" w:rsidR="0043332B" w:rsidRPr="0043332B" w:rsidRDefault="0043332B" w:rsidP="007B0343">
      <w:pPr>
        <w:pStyle w:val="ListParagraph"/>
        <w:numPr>
          <w:ilvl w:val="0"/>
          <w:numId w:val="343"/>
        </w:numPr>
        <w:tabs>
          <w:tab w:val="left" w:pos="707"/>
        </w:tabs>
        <w:spacing w:line="360" w:lineRule="auto"/>
        <w:ind w:right="44"/>
        <w:jc w:val="both"/>
        <w:rPr>
          <w:rFonts w:ascii="Arial" w:hAnsi="Arial" w:cs="Arial"/>
          <w:sz w:val="20"/>
        </w:rPr>
      </w:pPr>
      <w:r w:rsidRPr="0043332B">
        <w:rPr>
          <w:rFonts w:ascii="Arial" w:hAnsi="Arial" w:cs="Arial"/>
          <w:sz w:val="20"/>
        </w:rPr>
        <w:t>The</w:t>
      </w:r>
      <w:r w:rsidRPr="0043332B">
        <w:rPr>
          <w:rFonts w:ascii="Arial" w:hAnsi="Arial" w:cs="Arial"/>
          <w:spacing w:val="-4"/>
          <w:sz w:val="20"/>
        </w:rPr>
        <w:t xml:space="preserve"> </w:t>
      </w:r>
      <w:r w:rsidRPr="0043332B">
        <w:rPr>
          <w:rFonts w:ascii="Arial" w:hAnsi="Arial" w:cs="Arial"/>
          <w:sz w:val="20"/>
        </w:rPr>
        <w:t>lists</w:t>
      </w:r>
      <w:r w:rsidRPr="0043332B">
        <w:rPr>
          <w:rFonts w:ascii="Arial" w:hAnsi="Arial" w:cs="Arial"/>
          <w:spacing w:val="-3"/>
          <w:sz w:val="20"/>
        </w:rPr>
        <w:t xml:space="preserve"> </w:t>
      </w:r>
      <w:r w:rsidRPr="0043332B">
        <w:rPr>
          <w:rFonts w:ascii="Arial" w:hAnsi="Arial" w:cs="Arial"/>
          <w:sz w:val="20"/>
        </w:rPr>
        <w:t>below</w:t>
      </w:r>
      <w:r w:rsidRPr="0043332B">
        <w:rPr>
          <w:rFonts w:ascii="Arial" w:hAnsi="Arial" w:cs="Arial"/>
          <w:spacing w:val="-3"/>
          <w:sz w:val="20"/>
        </w:rPr>
        <w:t xml:space="preserve"> </w:t>
      </w:r>
      <w:r w:rsidRPr="0043332B">
        <w:rPr>
          <w:rFonts w:ascii="Arial" w:hAnsi="Arial" w:cs="Arial"/>
          <w:sz w:val="20"/>
        </w:rPr>
        <w:t>specifies</w:t>
      </w:r>
      <w:r w:rsidRPr="0043332B">
        <w:rPr>
          <w:rFonts w:ascii="Arial" w:hAnsi="Arial" w:cs="Arial"/>
          <w:spacing w:val="-3"/>
          <w:sz w:val="20"/>
        </w:rPr>
        <w:t xml:space="preserve"> </w:t>
      </w:r>
      <w:r w:rsidRPr="0043332B">
        <w:rPr>
          <w:rFonts w:ascii="Arial" w:hAnsi="Arial" w:cs="Arial"/>
          <w:sz w:val="20"/>
        </w:rPr>
        <w:t>items</w:t>
      </w:r>
      <w:r w:rsidRPr="0043332B">
        <w:rPr>
          <w:rFonts w:ascii="Arial" w:hAnsi="Arial" w:cs="Arial"/>
          <w:spacing w:val="-3"/>
          <w:sz w:val="20"/>
        </w:rPr>
        <w:t xml:space="preserve"> </w:t>
      </w:r>
      <w:r w:rsidRPr="0043332B">
        <w:rPr>
          <w:rFonts w:ascii="Arial" w:hAnsi="Arial" w:cs="Arial"/>
          <w:sz w:val="20"/>
        </w:rPr>
        <w:t>that</w:t>
      </w:r>
      <w:r w:rsidRPr="0043332B">
        <w:rPr>
          <w:rFonts w:ascii="Arial" w:hAnsi="Arial" w:cs="Arial"/>
          <w:spacing w:val="-5"/>
          <w:sz w:val="20"/>
        </w:rPr>
        <w:t xml:space="preserve"> </w:t>
      </w:r>
      <w:r w:rsidRPr="0043332B">
        <w:rPr>
          <w:rFonts w:ascii="Arial" w:hAnsi="Arial" w:cs="Arial"/>
          <w:sz w:val="20"/>
        </w:rPr>
        <w:t>may</w:t>
      </w:r>
      <w:r w:rsidRPr="0043332B">
        <w:rPr>
          <w:rFonts w:ascii="Arial" w:hAnsi="Arial" w:cs="Arial"/>
          <w:spacing w:val="-4"/>
          <w:sz w:val="20"/>
        </w:rPr>
        <w:t xml:space="preserve"> </w:t>
      </w:r>
      <w:r w:rsidRPr="0043332B">
        <w:rPr>
          <w:rFonts w:ascii="Arial" w:hAnsi="Arial" w:cs="Arial"/>
          <w:sz w:val="20"/>
        </w:rPr>
        <w:t>be</w:t>
      </w:r>
      <w:r w:rsidRPr="0043332B">
        <w:rPr>
          <w:rFonts w:ascii="Arial" w:hAnsi="Arial" w:cs="Arial"/>
          <w:spacing w:val="-5"/>
          <w:sz w:val="20"/>
        </w:rPr>
        <w:t xml:space="preserve"> </w:t>
      </w:r>
      <w:r w:rsidRPr="0043332B">
        <w:rPr>
          <w:rFonts w:ascii="Arial" w:hAnsi="Arial" w:cs="Arial"/>
          <w:sz w:val="20"/>
        </w:rPr>
        <w:t>expected</w:t>
      </w:r>
      <w:r w:rsidRPr="0043332B">
        <w:rPr>
          <w:rFonts w:ascii="Arial" w:hAnsi="Arial" w:cs="Arial"/>
          <w:spacing w:val="-6"/>
          <w:sz w:val="20"/>
        </w:rPr>
        <w:t xml:space="preserve"> </w:t>
      </w:r>
      <w:r w:rsidRPr="0043332B">
        <w:rPr>
          <w:rFonts w:ascii="Arial" w:hAnsi="Arial" w:cs="Arial"/>
          <w:sz w:val="20"/>
        </w:rPr>
        <w:t>to</w:t>
      </w:r>
      <w:r w:rsidRPr="0043332B">
        <w:rPr>
          <w:rFonts w:ascii="Arial" w:hAnsi="Arial" w:cs="Arial"/>
          <w:spacing w:val="-2"/>
          <w:sz w:val="20"/>
        </w:rPr>
        <w:t xml:space="preserve"> </w:t>
      </w:r>
      <w:r w:rsidRPr="0043332B">
        <w:rPr>
          <w:rFonts w:ascii="Arial" w:hAnsi="Arial" w:cs="Arial"/>
          <w:sz w:val="20"/>
        </w:rPr>
        <w:t>be</w:t>
      </w:r>
      <w:r w:rsidRPr="0043332B">
        <w:rPr>
          <w:rFonts w:ascii="Arial" w:hAnsi="Arial" w:cs="Arial"/>
          <w:spacing w:val="-4"/>
          <w:sz w:val="20"/>
        </w:rPr>
        <w:t xml:space="preserve"> </w:t>
      </w:r>
      <w:r w:rsidRPr="0043332B">
        <w:rPr>
          <w:rFonts w:ascii="Arial" w:hAnsi="Arial" w:cs="Arial"/>
          <w:sz w:val="20"/>
        </w:rPr>
        <w:t>completed</w:t>
      </w:r>
      <w:r w:rsidRPr="0043332B">
        <w:rPr>
          <w:rFonts w:ascii="Arial" w:hAnsi="Arial" w:cs="Arial"/>
          <w:spacing w:val="-3"/>
          <w:sz w:val="20"/>
        </w:rPr>
        <w:t xml:space="preserve"> </w:t>
      </w:r>
      <w:r w:rsidRPr="0043332B">
        <w:rPr>
          <w:rFonts w:ascii="Arial" w:hAnsi="Arial" w:cs="Arial"/>
          <w:sz w:val="20"/>
        </w:rPr>
        <w:t>by</w:t>
      </w:r>
      <w:r w:rsidRPr="0043332B">
        <w:rPr>
          <w:rFonts w:ascii="Arial" w:hAnsi="Arial" w:cs="Arial"/>
          <w:spacing w:val="-3"/>
          <w:sz w:val="20"/>
        </w:rPr>
        <w:t xml:space="preserve"> </w:t>
      </w:r>
      <w:r w:rsidRPr="0043332B">
        <w:rPr>
          <w:rFonts w:ascii="Arial" w:hAnsi="Arial" w:cs="Arial"/>
          <w:sz w:val="20"/>
        </w:rPr>
        <w:t>an</w:t>
      </w:r>
      <w:r w:rsidRPr="0043332B">
        <w:rPr>
          <w:rFonts w:ascii="Arial" w:hAnsi="Arial" w:cs="Arial"/>
          <w:spacing w:val="-7"/>
          <w:sz w:val="20"/>
        </w:rPr>
        <w:t xml:space="preserve"> </w:t>
      </w:r>
      <w:r w:rsidRPr="0043332B">
        <w:rPr>
          <w:rFonts w:ascii="Arial" w:hAnsi="Arial" w:cs="Arial"/>
          <w:sz w:val="20"/>
        </w:rPr>
        <w:t>owner</w:t>
      </w:r>
      <w:r w:rsidRPr="0043332B">
        <w:rPr>
          <w:rFonts w:ascii="Arial" w:hAnsi="Arial" w:cs="Arial"/>
          <w:spacing w:val="-3"/>
          <w:sz w:val="20"/>
        </w:rPr>
        <w:t xml:space="preserve"> </w:t>
      </w:r>
      <w:r w:rsidRPr="0043332B">
        <w:rPr>
          <w:rFonts w:ascii="Arial" w:hAnsi="Arial" w:cs="Arial"/>
          <w:sz w:val="20"/>
        </w:rPr>
        <w:t>who</w:t>
      </w:r>
      <w:r w:rsidRPr="0043332B">
        <w:rPr>
          <w:rFonts w:ascii="Arial" w:hAnsi="Arial" w:cs="Arial"/>
          <w:spacing w:val="-2"/>
          <w:sz w:val="20"/>
        </w:rPr>
        <w:t xml:space="preserve"> </w:t>
      </w:r>
      <w:r w:rsidRPr="0043332B">
        <w:rPr>
          <w:rFonts w:ascii="Arial" w:hAnsi="Arial" w:cs="Arial"/>
          <w:sz w:val="20"/>
        </w:rPr>
        <w:t>holds</w:t>
      </w:r>
      <w:r w:rsidRPr="0043332B">
        <w:rPr>
          <w:rFonts w:ascii="Arial" w:hAnsi="Arial" w:cs="Arial"/>
          <w:spacing w:val="-4"/>
          <w:sz w:val="20"/>
        </w:rPr>
        <w:t xml:space="preserve"> </w:t>
      </w:r>
      <w:r w:rsidRPr="0043332B">
        <w:rPr>
          <w:rFonts w:ascii="Arial" w:hAnsi="Arial" w:cs="Arial"/>
          <w:sz w:val="20"/>
        </w:rPr>
        <w:t>a</w:t>
      </w:r>
      <w:r w:rsidRPr="0043332B">
        <w:rPr>
          <w:rFonts w:ascii="Arial" w:hAnsi="Arial" w:cs="Arial"/>
          <w:spacing w:val="-47"/>
          <w:sz w:val="20"/>
        </w:rPr>
        <w:t xml:space="preserve"> </w:t>
      </w:r>
      <w:r w:rsidRPr="0043332B">
        <w:rPr>
          <w:rFonts w:ascii="Arial" w:hAnsi="Arial" w:cs="Arial"/>
          <w:sz w:val="20"/>
        </w:rPr>
        <w:t>current</w:t>
      </w:r>
      <w:r w:rsidRPr="0043332B">
        <w:rPr>
          <w:rFonts w:ascii="Arial" w:hAnsi="Arial" w:cs="Arial"/>
          <w:spacing w:val="-8"/>
          <w:sz w:val="20"/>
        </w:rPr>
        <w:t xml:space="preserve"> </w:t>
      </w:r>
      <w:r w:rsidRPr="0043332B">
        <w:rPr>
          <w:rFonts w:ascii="Arial" w:hAnsi="Arial" w:cs="Arial"/>
          <w:sz w:val="20"/>
        </w:rPr>
        <w:t>and</w:t>
      </w:r>
      <w:r w:rsidRPr="0043332B">
        <w:rPr>
          <w:rFonts w:ascii="Arial" w:hAnsi="Arial" w:cs="Arial"/>
          <w:spacing w:val="-11"/>
          <w:sz w:val="20"/>
        </w:rPr>
        <w:t xml:space="preserve"> </w:t>
      </w:r>
      <w:r w:rsidRPr="0043332B">
        <w:rPr>
          <w:rFonts w:ascii="Arial" w:hAnsi="Arial" w:cs="Arial"/>
          <w:sz w:val="20"/>
        </w:rPr>
        <w:t>valid</w:t>
      </w:r>
      <w:r w:rsidRPr="0043332B">
        <w:rPr>
          <w:rFonts w:ascii="Arial" w:hAnsi="Arial" w:cs="Arial"/>
          <w:spacing w:val="-11"/>
          <w:sz w:val="20"/>
        </w:rPr>
        <w:t xml:space="preserve"> </w:t>
      </w:r>
      <w:r w:rsidRPr="0043332B">
        <w:rPr>
          <w:rFonts w:ascii="Arial" w:hAnsi="Arial" w:cs="Arial"/>
          <w:sz w:val="20"/>
        </w:rPr>
        <w:t>pilot</w:t>
      </w:r>
      <w:r w:rsidRPr="0043332B">
        <w:rPr>
          <w:rFonts w:ascii="Arial" w:hAnsi="Arial" w:cs="Arial"/>
          <w:spacing w:val="-7"/>
          <w:sz w:val="20"/>
        </w:rPr>
        <w:t xml:space="preserve"> </w:t>
      </w:r>
      <w:r w:rsidRPr="0043332B">
        <w:rPr>
          <w:rFonts w:ascii="Arial" w:hAnsi="Arial" w:cs="Arial"/>
          <w:sz w:val="20"/>
        </w:rPr>
        <w:t>licence</w:t>
      </w:r>
      <w:r w:rsidRPr="0043332B">
        <w:rPr>
          <w:rFonts w:ascii="Arial" w:hAnsi="Arial" w:cs="Arial"/>
          <w:spacing w:val="-7"/>
          <w:sz w:val="20"/>
        </w:rPr>
        <w:t xml:space="preserve"> </w:t>
      </w:r>
      <w:r w:rsidRPr="0043332B">
        <w:rPr>
          <w:rFonts w:ascii="Arial" w:hAnsi="Arial" w:cs="Arial"/>
          <w:sz w:val="20"/>
        </w:rPr>
        <w:t>for</w:t>
      </w:r>
      <w:r w:rsidRPr="0043332B">
        <w:rPr>
          <w:rFonts w:ascii="Arial" w:hAnsi="Arial" w:cs="Arial"/>
          <w:spacing w:val="-10"/>
          <w:sz w:val="20"/>
        </w:rPr>
        <w:t xml:space="preserve"> </w:t>
      </w:r>
      <w:r w:rsidRPr="0043332B">
        <w:rPr>
          <w:rFonts w:ascii="Arial" w:hAnsi="Arial" w:cs="Arial"/>
          <w:sz w:val="20"/>
        </w:rPr>
        <w:t>the</w:t>
      </w:r>
      <w:r w:rsidRPr="0043332B">
        <w:rPr>
          <w:rFonts w:ascii="Arial" w:hAnsi="Arial" w:cs="Arial"/>
          <w:spacing w:val="-10"/>
          <w:sz w:val="20"/>
        </w:rPr>
        <w:t xml:space="preserve"> </w:t>
      </w:r>
      <w:r w:rsidRPr="0043332B">
        <w:rPr>
          <w:rFonts w:ascii="Arial" w:hAnsi="Arial" w:cs="Arial"/>
          <w:sz w:val="20"/>
        </w:rPr>
        <w:t>aircraft</w:t>
      </w:r>
      <w:r w:rsidRPr="0043332B">
        <w:rPr>
          <w:rFonts w:ascii="Arial" w:hAnsi="Arial" w:cs="Arial"/>
          <w:spacing w:val="-10"/>
          <w:sz w:val="20"/>
        </w:rPr>
        <w:t xml:space="preserve"> </w:t>
      </w:r>
      <w:r w:rsidRPr="0043332B">
        <w:rPr>
          <w:rFonts w:ascii="Arial" w:hAnsi="Arial" w:cs="Arial"/>
          <w:sz w:val="20"/>
        </w:rPr>
        <w:t>type</w:t>
      </w:r>
      <w:r w:rsidRPr="0043332B">
        <w:rPr>
          <w:rFonts w:ascii="Arial" w:hAnsi="Arial" w:cs="Arial"/>
          <w:spacing w:val="-10"/>
          <w:sz w:val="20"/>
        </w:rPr>
        <w:t xml:space="preserve"> </w:t>
      </w:r>
      <w:r w:rsidRPr="0043332B">
        <w:rPr>
          <w:rFonts w:ascii="Arial" w:hAnsi="Arial" w:cs="Arial"/>
          <w:sz w:val="20"/>
        </w:rPr>
        <w:t>involved</w:t>
      </w:r>
      <w:r w:rsidRPr="0043332B">
        <w:rPr>
          <w:rFonts w:ascii="Arial" w:hAnsi="Arial" w:cs="Arial"/>
          <w:spacing w:val="-9"/>
          <w:sz w:val="20"/>
        </w:rPr>
        <w:t xml:space="preserve"> </w:t>
      </w:r>
      <w:r w:rsidRPr="0043332B">
        <w:rPr>
          <w:rFonts w:ascii="Arial" w:hAnsi="Arial" w:cs="Arial"/>
          <w:sz w:val="20"/>
        </w:rPr>
        <w:t>and</w:t>
      </w:r>
      <w:r w:rsidRPr="0043332B">
        <w:rPr>
          <w:rFonts w:ascii="Arial" w:hAnsi="Arial" w:cs="Arial"/>
          <w:spacing w:val="-9"/>
          <w:sz w:val="20"/>
        </w:rPr>
        <w:t xml:space="preserve"> </w:t>
      </w:r>
      <w:r w:rsidRPr="0043332B">
        <w:rPr>
          <w:rFonts w:ascii="Arial" w:hAnsi="Arial" w:cs="Arial"/>
          <w:sz w:val="20"/>
        </w:rPr>
        <w:t>who</w:t>
      </w:r>
      <w:r w:rsidRPr="0043332B">
        <w:rPr>
          <w:rFonts w:ascii="Arial" w:hAnsi="Arial" w:cs="Arial"/>
          <w:spacing w:val="-9"/>
          <w:sz w:val="20"/>
        </w:rPr>
        <w:t xml:space="preserve"> </w:t>
      </w:r>
      <w:r w:rsidRPr="0043332B">
        <w:rPr>
          <w:rFonts w:ascii="Arial" w:hAnsi="Arial" w:cs="Arial"/>
          <w:sz w:val="20"/>
        </w:rPr>
        <w:t>meets</w:t>
      </w:r>
      <w:r w:rsidRPr="0043332B">
        <w:rPr>
          <w:rFonts w:ascii="Arial" w:hAnsi="Arial" w:cs="Arial"/>
          <w:spacing w:val="-10"/>
          <w:sz w:val="20"/>
        </w:rPr>
        <w:t xml:space="preserve"> </w:t>
      </w:r>
      <w:r w:rsidRPr="0043332B">
        <w:rPr>
          <w:rFonts w:ascii="Arial" w:hAnsi="Arial" w:cs="Arial"/>
          <w:sz w:val="20"/>
        </w:rPr>
        <w:t>the</w:t>
      </w:r>
      <w:r w:rsidRPr="0043332B">
        <w:rPr>
          <w:rFonts w:ascii="Arial" w:hAnsi="Arial" w:cs="Arial"/>
          <w:spacing w:val="-10"/>
          <w:sz w:val="20"/>
        </w:rPr>
        <w:t xml:space="preserve"> </w:t>
      </w:r>
      <w:r w:rsidRPr="0043332B">
        <w:rPr>
          <w:rFonts w:ascii="Arial" w:hAnsi="Arial" w:cs="Arial"/>
          <w:sz w:val="20"/>
        </w:rPr>
        <w:t>competence</w:t>
      </w:r>
      <w:r w:rsidRPr="0043332B">
        <w:rPr>
          <w:rFonts w:ascii="Arial" w:hAnsi="Arial" w:cs="Arial"/>
          <w:spacing w:val="-9"/>
          <w:sz w:val="20"/>
        </w:rPr>
        <w:t xml:space="preserve"> </w:t>
      </w:r>
      <w:r w:rsidRPr="0043332B">
        <w:rPr>
          <w:rFonts w:ascii="Arial" w:hAnsi="Arial" w:cs="Arial"/>
          <w:sz w:val="20"/>
        </w:rPr>
        <w:t>and</w:t>
      </w:r>
      <w:r w:rsidRPr="0043332B">
        <w:rPr>
          <w:rFonts w:ascii="Arial" w:hAnsi="Arial" w:cs="Arial"/>
          <w:spacing w:val="-48"/>
          <w:sz w:val="20"/>
        </w:rPr>
        <w:t xml:space="preserve"> </w:t>
      </w:r>
      <w:r w:rsidRPr="0043332B">
        <w:rPr>
          <w:rFonts w:ascii="Arial" w:hAnsi="Arial" w:cs="Arial"/>
          <w:sz w:val="20"/>
        </w:rPr>
        <w:t>responsibility</w:t>
      </w:r>
      <w:r w:rsidRPr="0043332B">
        <w:rPr>
          <w:rFonts w:ascii="Arial" w:hAnsi="Arial" w:cs="Arial"/>
          <w:spacing w:val="-1"/>
          <w:sz w:val="20"/>
        </w:rPr>
        <w:t xml:space="preserve"> </w:t>
      </w:r>
      <w:r w:rsidRPr="0043332B">
        <w:rPr>
          <w:rFonts w:ascii="Arial" w:hAnsi="Arial" w:cs="Arial"/>
          <w:sz w:val="20"/>
        </w:rPr>
        <w:t>requirements of Appendix</w:t>
      </w:r>
      <w:r w:rsidRPr="0043332B">
        <w:rPr>
          <w:rFonts w:ascii="Arial" w:hAnsi="Arial" w:cs="Arial"/>
          <w:spacing w:val="-3"/>
          <w:sz w:val="20"/>
        </w:rPr>
        <w:t xml:space="preserve"> </w:t>
      </w:r>
      <w:r w:rsidRPr="0043332B">
        <w:rPr>
          <w:rFonts w:ascii="Arial" w:hAnsi="Arial" w:cs="Arial"/>
          <w:sz w:val="20"/>
        </w:rPr>
        <w:t>II to</w:t>
      </w:r>
      <w:r w:rsidRPr="0043332B">
        <w:rPr>
          <w:rFonts w:ascii="Arial" w:hAnsi="Arial" w:cs="Arial"/>
          <w:spacing w:val="-1"/>
          <w:sz w:val="20"/>
        </w:rPr>
        <w:t xml:space="preserve"> </w:t>
      </w:r>
      <w:r w:rsidRPr="0043332B">
        <w:rPr>
          <w:rFonts w:ascii="Arial" w:hAnsi="Arial" w:cs="Arial"/>
          <w:sz w:val="20"/>
        </w:rPr>
        <w:t>Part-ML.</w:t>
      </w:r>
    </w:p>
    <w:p w14:paraId="04C62981" w14:textId="77777777" w:rsidR="0043332B" w:rsidRPr="0043332B" w:rsidRDefault="0043332B" w:rsidP="007B0343">
      <w:pPr>
        <w:pStyle w:val="ListParagraph"/>
        <w:numPr>
          <w:ilvl w:val="0"/>
          <w:numId w:val="343"/>
        </w:numPr>
        <w:tabs>
          <w:tab w:val="left" w:pos="707"/>
        </w:tabs>
        <w:spacing w:before="118" w:line="360" w:lineRule="auto"/>
        <w:ind w:right="44"/>
        <w:jc w:val="both"/>
        <w:rPr>
          <w:rFonts w:ascii="Arial" w:hAnsi="Arial" w:cs="Arial"/>
          <w:sz w:val="20"/>
        </w:rPr>
      </w:pPr>
      <w:r w:rsidRPr="0043332B">
        <w:rPr>
          <w:rFonts w:ascii="Arial" w:hAnsi="Arial" w:cs="Arial"/>
          <w:sz w:val="20"/>
        </w:rPr>
        <w:t>The list of tasks may not address in a detailed manner the specific needs of the various aircraft</w:t>
      </w:r>
      <w:r w:rsidRPr="0043332B">
        <w:rPr>
          <w:rFonts w:ascii="Arial" w:hAnsi="Arial" w:cs="Arial"/>
          <w:spacing w:val="-47"/>
          <w:sz w:val="20"/>
        </w:rPr>
        <w:t xml:space="preserve"> </w:t>
      </w:r>
      <w:r w:rsidRPr="0043332B">
        <w:rPr>
          <w:rFonts w:ascii="Arial" w:hAnsi="Arial" w:cs="Arial"/>
          <w:sz w:val="20"/>
        </w:rPr>
        <w:t>categories.</w:t>
      </w:r>
      <w:r w:rsidRPr="0043332B">
        <w:rPr>
          <w:rFonts w:ascii="Arial" w:hAnsi="Arial" w:cs="Arial"/>
          <w:spacing w:val="1"/>
          <w:sz w:val="20"/>
        </w:rPr>
        <w:t xml:space="preserve"> </w:t>
      </w:r>
      <w:r w:rsidRPr="0043332B">
        <w:rPr>
          <w:rFonts w:ascii="Arial" w:hAnsi="Arial" w:cs="Arial"/>
          <w:sz w:val="20"/>
        </w:rPr>
        <w:t>In addition, the</w:t>
      </w:r>
      <w:r w:rsidRPr="0043332B">
        <w:rPr>
          <w:rFonts w:ascii="Arial" w:hAnsi="Arial" w:cs="Arial"/>
          <w:spacing w:val="1"/>
          <w:sz w:val="20"/>
        </w:rPr>
        <w:t xml:space="preserve"> </w:t>
      </w:r>
      <w:r w:rsidRPr="0043332B">
        <w:rPr>
          <w:rFonts w:ascii="Arial" w:hAnsi="Arial" w:cs="Arial"/>
          <w:sz w:val="20"/>
        </w:rPr>
        <w:t>development of technology</w:t>
      </w:r>
      <w:r w:rsidRPr="0043332B">
        <w:rPr>
          <w:rFonts w:ascii="Arial" w:hAnsi="Arial" w:cs="Arial"/>
          <w:spacing w:val="1"/>
          <w:sz w:val="20"/>
        </w:rPr>
        <w:t xml:space="preserve"> </w:t>
      </w:r>
      <w:r w:rsidRPr="0043332B">
        <w:rPr>
          <w:rFonts w:ascii="Arial" w:hAnsi="Arial" w:cs="Arial"/>
          <w:sz w:val="20"/>
        </w:rPr>
        <w:t>and</w:t>
      </w:r>
      <w:r w:rsidRPr="0043332B">
        <w:rPr>
          <w:rFonts w:ascii="Arial" w:hAnsi="Arial" w:cs="Arial"/>
          <w:spacing w:val="1"/>
          <w:sz w:val="20"/>
        </w:rPr>
        <w:t xml:space="preserve"> </w:t>
      </w:r>
      <w:r w:rsidRPr="0043332B">
        <w:rPr>
          <w:rFonts w:ascii="Arial" w:hAnsi="Arial" w:cs="Arial"/>
          <w:sz w:val="20"/>
        </w:rPr>
        <w:t>the nature of the</w:t>
      </w:r>
      <w:r w:rsidRPr="0043332B">
        <w:rPr>
          <w:rFonts w:ascii="Arial" w:hAnsi="Arial" w:cs="Arial"/>
          <w:spacing w:val="1"/>
          <w:sz w:val="20"/>
        </w:rPr>
        <w:t xml:space="preserve"> </w:t>
      </w:r>
      <w:r w:rsidRPr="0043332B">
        <w:rPr>
          <w:rFonts w:ascii="Arial" w:hAnsi="Arial" w:cs="Arial"/>
          <w:sz w:val="20"/>
        </w:rPr>
        <w:t>operations</w:t>
      </w:r>
      <w:r w:rsidRPr="0043332B">
        <w:rPr>
          <w:rFonts w:ascii="Arial" w:hAnsi="Arial" w:cs="Arial"/>
          <w:spacing w:val="1"/>
          <w:sz w:val="20"/>
        </w:rPr>
        <w:t xml:space="preserve"> </w:t>
      </w:r>
      <w:r w:rsidRPr="0043332B">
        <w:rPr>
          <w:rFonts w:ascii="Arial" w:hAnsi="Arial" w:cs="Arial"/>
          <w:sz w:val="20"/>
        </w:rPr>
        <w:t>undertaken</w:t>
      </w:r>
      <w:r w:rsidRPr="0043332B">
        <w:rPr>
          <w:rFonts w:ascii="Arial" w:hAnsi="Arial" w:cs="Arial"/>
          <w:spacing w:val="-1"/>
          <w:sz w:val="20"/>
        </w:rPr>
        <w:t xml:space="preserve"> </w:t>
      </w:r>
      <w:r w:rsidRPr="0043332B">
        <w:rPr>
          <w:rFonts w:ascii="Arial" w:hAnsi="Arial" w:cs="Arial"/>
          <w:sz w:val="20"/>
        </w:rPr>
        <w:t>by</w:t>
      </w:r>
      <w:r w:rsidRPr="0043332B">
        <w:rPr>
          <w:rFonts w:ascii="Arial" w:hAnsi="Arial" w:cs="Arial"/>
          <w:spacing w:val="-3"/>
          <w:sz w:val="20"/>
        </w:rPr>
        <w:t xml:space="preserve"> </w:t>
      </w:r>
      <w:r w:rsidRPr="0043332B">
        <w:rPr>
          <w:rFonts w:ascii="Arial" w:hAnsi="Arial" w:cs="Arial"/>
          <w:sz w:val="20"/>
        </w:rPr>
        <w:t>these</w:t>
      </w:r>
      <w:r w:rsidRPr="0043332B">
        <w:rPr>
          <w:rFonts w:ascii="Arial" w:hAnsi="Arial" w:cs="Arial"/>
          <w:spacing w:val="1"/>
          <w:sz w:val="20"/>
        </w:rPr>
        <w:t xml:space="preserve"> </w:t>
      </w:r>
      <w:r w:rsidRPr="0043332B">
        <w:rPr>
          <w:rFonts w:ascii="Arial" w:hAnsi="Arial" w:cs="Arial"/>
          <w:sz w:val="20"/>
        </w:rPr>
        <w:t>categories</w:t>
      </w:r>
      <w:r w:rsidRPr="0043332B">
        <w:rPr>
          <w:rFonts w:ascii="Arial" w:hAnsi="Arial" w:cs="Arial"/>
          <w:spacing w:val="-3"/>
          <w:sz w:val="20"/>
        </w:rPr>
        <w:t xml:space="preserve"> </w:t>
      </w:r>
      <w:r w:rsidRPr="0043332B">
        <w:rPr>
          <w:rFonts w:ascii="Arial" w:hAnsi="Arial" w:cs="Arial"/>
          <w:sz w:val="20"/>
        </w:rPr>
        <w:t>of</w:t>
      </w:r>
      <w:r w:rsidRPr="0043332B">
        <w:rPr>
          <w:rFonts w:ascii="Arial" w:hAnsi="Arial" w:cs="Arial"/>
          <w:spacing w:val="-2"/>
          <w:sz w:val="20"/>
        </w:rPr>
        <w:t xml:space="preserve"> </w:t>
      </w:r>
      <w:r w:rsidRPr="0043332B">
        <w:rPr>
          <w:rFonts w:ascii="Arial" w:hAnsi="Arial" w:cs="Arial"/>
          <w:sz w:val="20"/>
        </w:rPr>
        <w:t>aircraft</w:t>
      </w:r>
      <w:r w:rsidRPr="0043332B">
        <w:rPr>
          <w:rFonts w:ascii="Arial" w:hAnsi="Arial" w:cs="Arial"/>
          <w:spacing w:val="-2"/>
          <w:sz w:val="20"/>
        </w:rPr>
        <w:t xml:space="preserve"> </w:t>
      </w:r>
      <w:r w:rsidRPr="0043332B">
        <w:rPr>
          <w:rFonts w:ascii="Arial" w:hAnsi="Arial" w:cs="Arial"/>
          <w:sz w:val="20"/>
        </w:rPr>
        <w:t>may</w:t>
      </w:r>
      <w:r w:rsidRPr="0043332B">
        <w:rPr>
          <w:rFonts w:ascii="Arial" w:hAnsi="Arial" w:cs="Arial"/>
          <w:spacing w:val="-1"/>
          <w:sz w:val="20"/>
        </w:rPr>
        <w:t xml:space="preserve"> </w:t>
      </w:r>
      <w:r w:rsidRPr="0043332B">
        <w:rPr>
          <w:rFonts w:ascii="Arial" w:hAnsi="Arial" w:cs="Arial"/>
          <w:sz w:val="20"/>
        </w:rPr>
        <w:t>not always be adequately</w:t>
      </w:r>
      <w:r w:rsidRPr="0043332B">
        <w:rPr>
          <w:rFonts w:ascii="Arial" w:hAnsi="Arial" w:cs="Arial"/>
          <w:spacing w:val="-2"/>
          <w:sz w:val="20"/>
        </w:rPr>
        <w:t xml:space="preserve"> </w:t>
      </w:r>
      <w:r w:rsidRPr="0043332B">
        <w:rPr>
          <w:rFonts w:ascii="Arial" w:hAnsi="Arial" w:cs="Arial"/>
          <w:sz w:val="20"/>
        </w:rPr>
        <w:t>considered.</w:t>
      </w:r>
    </w:p>
    <w:p w14:paraId="4132D9DC" w14:textId="77777777" w:rsidR="0043332B" w:rsidRPr="0043332B" w:rsidRDefault="0043332B" w:rsidP="007B0343">
      <w:pPr>
        <w:pStyle w:val="ListParagraph"/>
        <w:numPr>
          <w:ilvl w:val="0"/>
          <w:numId w:val="343"/>
        </w:numPr>
        <w:tabs>
          <w:tab w:val="left" w:pos="707"/>
        </w:tabs>
        <w:spacing w:before="121" w:line="360" w:lineRule="auto"/>
        <w:ind w:right="44"/>
        <w:jc w:val="both"/>
        <w:rPr>
          <w:rFonts w:ascii="Arial" w:hAnsi="Arial" w:cs="Arial"/>
          <w:sz w:val="20"/>
        </w:rPr>
      </w:pPr>
      <w:r w:rsidRPr="0043332B">
        <w:rPr>
          <w:rFonts w:ascii="Arial" w:hAnsi="Arial" w:cs="Arial"/>
          <w:sz w:val="20"/>
        </w:rPr>
        <w:t>Any other task meeting the requirements of Appendix II to Part-ML may also be performed by</w:t>
      </w:r>
      <w:r w:rsidRPr="0043332B">
        <w:rPr>
          <w:rFonts w:ascii="Arial" w:hAnsi="Arial" w:cs="Arial"/>
          <w:spacing w:val="1"/>
          <w:sz w:val="20"/>
        </w:rPr>
        <w:t xml:space="preserve"> </w:t>
      </w:r>
      <w:r w:rsidRPr="0043332B">
        <w:rPr>
          <w:rFonts w:ascii="Arial" w:hAnsi="Arial" w:cs="Arial"/>
          <w:sz w:val="20"/>
        </w:rPr>
        <w:t>the</w:t>
      </w:r>
      <w:r w:rsidRPr="0043332B">
        <w:rPr>
          <w:rFonts w:ascii="Arial" w:hAnsi="Arial" w:cs="Arial"/>
          <w:spacing w:val="-1"/>
          <w:sz w:val="20"/>
        </w:rPr>
        <w:t xml:space="preserve"> </w:t>
      </w:r>
      <w:r w:rsidRPr="0043332B">
        <w:rPr>
          <w:rFonts w:ascii="Arial" w:hAnsi="Arial" w:cs="Arial"/>
          <w:sz w:val="20"/>
        </w:rPr>
        <w:t>pilot-owner.</w:t>
      </w:r>
    </w:p>
    <w:p w14:paraId="56DC95E7" w14:textId="77777777" w:rsidR="0043332B" w:rsidRPr="0043332B" w:rsidRDefault="0043332B" w:rsidP="007B0343">
      <w:pPr>
        <w:pStyle w:val="ListParagraph"/>
        <w:numPr>
          <w:ilvl w:val="0"/>
          <w:numId w:val="343"/>
        </w:numPr>
        <w:tabs>
          <w:tab w:val="left" w:pos="707"/>
        </w:tabs>
        <w:spacing w:before="121" w:line="360" w:lineRule="auto"/>
        <w:ind w:right="44"/>
        <w:jc w:val="both"/>
        <w:rPr>
          <w:rFonts w:ascii="Arial" w:hAnsi="Arial" w:cs="Arial"/>
          <w:sz w:val="20"/>
        </w:rPr>
      </w:pPr>
      <w:r w:rsidRPr="0043332B">
        <w:rPr>
          <w:rFonts w:ascii="Arial" w:hAnsi="Arial" w:cs="Arial"/>
          <w:sz w:val="20"/>
        </w:rPr>
        <w:t>Therefore, the following lists are considered to meet the representative scope of limited pilot-</w:t>
      </w:r>
      <w:r w:rsidRPr="0043332B">
        <w:rPr>
          <w:rFonts w:ascii="Arial" w:hAnsi="Arial" w:cs="Arial"/>
          <w:spacing w:val="1"/>
          <w:sz w:val="20"/>
        </w:rPr>
        <w:t xml:space="preserve"> </w:t>
      </w:r>
      <w:r w:rsidRPr="0043332B">
        <w:rPr>
          <w:rFonts w:ascii="Arial" w:hAnsi="Arial" w:cs="Arial"/>
          <w:sz w:val="20"/>
        </w:rPr>
        <w:t>owner</w:t>
      </w:r>
      <w:r w:rsidRPr="0043332B">
        <w:rPr>
          <w:rFonts w:ascii="Arial" w:hAnsi="Arial" w:cs="Arial"/>
          <w:spacing w:val="-4"/>
          <w:sz w:val="20"/>
        </w:rPr>
        <w:t xml:space="preserve"> </w:t>
      </w:r>
      <w:r w:rsidRPr="0043332B">
        <w:rPr>
          <w:rFonts w:ascii="Arial" w:hAnsi="Arial" w:cs="Arial"/>
          <w:sz w:val="20"/>
        </w:rPr>
        <w:t>maintenance</w:t>
      </w:r>
      <w:r w:rsidRPr="0043332B">
        <w:rPr>
          <w:rFonts w:ascii="Arial" w:hAnsi="Arial" w:cs="Arial"/>
          <w:spacing w:val="-2"/>
          <w:sz w:val="20"/>
        </w:rPr>
        <w:t xml:space="preserve"> </w:t>
      </w:r>
      <w:r w:rsidRPr="0043332B">
        <w:rPr>
          <w:rFonts w:ascii="Arial" w:hAnsi="Arial" w:cs="Arial"/>
          <w:sz w:val="20"/>
        </w:rPr>
        <w:t>referred to in</w:t>
      </w:r>
      <w:r w:rsidRPr="0043332B">
        <w:rPr>
          <w:rFonts w:ascii="Arial" w:hAnsi="Arial" w:cs="Arial"/>
          <w:spacing w:val="-1"/>
          <w:sz w:val="20"/>
        </w:rPr>
        <w:t xml:space="preserve"> </w:t>
      </w:r>
      <w:r w:rsidRPr="0043332B">
        <w:rPr>
          <w:rFonts w:ascii="Arial" w:hAnsi="Arial" w:cs="Arial"/>
          <w:sz w:val="20"/>
        </w:rPr>
        <w:t>ML.A.803</w:t>
      </w:r>
      <w:r w:rsidRPr="0043332B">
        <w:rPr>
          <w:rFonts w:ascii="Arial" w:hAnsi="Arial" w:cs="Arial"/>
          <w:spacing w:val="-2"/>
          <w:sz w:val="20"/>
        </w:rPr>
        <w:t xml:space="preserve"> </w:t>
      </w:r>
      <w:r w:rsidRPr="0043332B">
        <w:rPr>
          <w:rFonts w:ascii="Arial" w:hAnsi="Arial" w:cs="Arial"/>
          <w:sz w:val="20"/>
        </w:rPr>
        <w:t>and</w:t>
      </w:r>
      <w:r w:rsidRPr="0043332B">
        <w:rPr>
          <w:rFonts w:ascii="Arial" w:hAnsi="Arial" w:cs="Arial"/>
          <w:spacing w:val="-1"/>
          <w:sz w:val="20"/>
        </w:rPr>
        <w:t xml:space="preserve"> </w:t>
      </w:r>
      <w:r w:rsidRPr="0043332B">
        <w:rPr>
          <w:rFonts w:ascii="Arial" w:hAnsi="Arial" w:cs="Arial"/>
          <w:sz w:val="20"/>
        </w:rPr>
        <w:t>Appendix II</w:t>
      </w:r>
      <w:r w:rsidRPr="0043332B">
        <w:rPr>
          <w:rFonts w:ascii="Arial" w:hAnsi="Arial" w:cs="Arial"/>
          <w:spacing w:val="-1"/>
          <w:sz w:val="20"/>
        </w:rPr>
        <w:t xml:space="preserve"> </w:t>
      </w:r>
      <w:r w:rsidRPr="0043332B">
        <w:rPr>
          <w:rFonts w:ascii="Arial" w:hAnsi="Arial" w:cs="Arial"/>
          <w:sz w:val="20"/>
        </w:rPr>
        <w:t>to</w:t>
      </w:r>
      <w:r w:rsidRPr="0043332B">
        <w:rPr>
          <w:rFonts w:ascii="Arial" w:hAnsi="Arial" w:cs="Arial"/>
          <w:spacing w:val="-1"/>
          <w:sz w:val="20"/>
        </w:rPr>
        <w:t xml:space="preserve"> </w:t>
      </w:r>
      <w:r w:rsidRPr="0043332B">
        <w:rPr>
          <w:rFonts w:ascii="Arial" w:hAnsi="Arial" w:cs="Arial"/>
          <w:sz w:val="20"/>
        </w:rPr>
        <w:t>Part-ML:</w:t>
      </w:r>
    </w:p>
    <w:p w14:paraId="676F959C" w14:textId="77777777" w:rsidR="0043332B" w:rsidRPr="0043332B" w:rsidRDefault="0043332B" w:rsidP="007B0343">
      <w:pPr>
        <w:pStyle w:val="ListParagraph"/>
        <w:numPr>
          <w:ilvl w:val="1"/>
          <w:numId w:val="343"/>
        </w:numPr>
        <w:tabs>
          <w:tab w:val="left" w:pos="1273"/>
          <w:tab w:val="left" w:pos="1274"/>
        </w:tabs>
        <w:spacing w:line="360" w:lineRule="auto"/>
        <w:ind w:right="44" w:hanging="568"/>
        <w:jc w:val="both"/>
        <w:rPr>
          <w:rFonts w:ascii="Arial" w:hAnsi="Arial" w:cs="Arial"/>
          <w:sz w:val="20"/>
        </w:rPr>
      </w:pPr>
      <w:r w:rsidRPr="0043332B">
        <w:rPr>
          <w:rFonts w:ascii="Arial" w:hAnsi="Arial" w:cs="Arial"/>
          <w:sz w:val="20"/>
        </w:rPr>
        <w:t>Part</w:t>
      </w:r>
      <w:r w:rsidRPr="0043332B">
        <w:rPr>
          <w:rFonts w:ascii="Arial" w:hAnsi="Arial" w:cs="Arial"/>
          <w:spacing w:val="-2"/>
          <w:sz w:val="20"/>
        </w:rPr>
        <w:t xml:space="preserve"> </w:t>
      </w:r>
      <w:r w:rsidRPr="0043332B">
        <w:rPr>
          <w:rFonts w:ascii="Arial" w:hAnsi="Arial" w:cs="Arial"/>
          <w:sz w:val="20"/>
        </w:rPr>
        <w:t>A</w:t>
      </w:r>
      <w:r w:rsidRPr="0043332B">
        <w:rPr>
          <w:rFonts w:ascii="Arial" w:hAnsi="Arial" w:cs="Arial"/>
          <w:spacing w:val="-4"/>
          <w:sz w:val="20"/>
        </w:rPr>
        <w:t xml:space="preserve"> </w:t>
      </w:r>
      <w:r w:rsidRPr="0043332B">
        <w:rPr>
          <w:rFonts w:ascii="Arial" w:hAnsi="Arial" w:cs="Arial"/>
          <w:sz w:val="20"/>
        </w:rPr>
        <w:t>applies to aeroplanes;</w:t>
      </w:r>
    </w:p>
    <w:p w14:paraId="3ECB6195" w14:textId="77777777" w:rsidR="0043332B" w:rsidRPr="0043332B" w:rsidRDefault="0043332B" w:rsidP="007B0343">
      <w:pPr>
        <w:pStyle w:val="ListParagraph"/>
        <w:numPr>
          <w:ilvl w:val="1"/>
          <w:numId w:val="343"/>
        </w:numPr>
        <w:tabs>
          <w:tab w:val="left" w:pos="1273"/>
          <w:tab w:val="left" w:pos="1274"/>
        </w:tabs>
        <w:spacing w:before="121" w:line="360" w:lineRule="auto"/>
        <w:ind w:right="44" w:hanging="568"/>
        <w:jc w:val="both"/>
        <w:rPr>
          <w:rFonts w:ascii="Arial" w:hAnsi="Arial" w:cs="Arial"/>
          <w:sz w:val="20"/>
        </w:rPr>
      </w:pPr>
      <w:r w:rsidRPr="0043332B">
        <w:rPr>
          <w:rFonts w:ascii="Arial" w:hAnsi="Arial" w:cs="Arial"/>
          <w:sz w:val="20"/>
        </w:rPr>
        <w:t>Part</w:t>
      </w:r>
      <w:r w:rsidRPr="0043332B">
        <w:rPr>
          <w:rFonts w:ascii="Arial" w:hAnsi="Arial" w:cs="Arial"/>
          <w:spacing w:val="-1"/>
          <w:sz w:val="20"/>
        </w:rPr>
        <w:t xml:space="preserve"> </w:t>
      </w:r>
      <w:r w:rsidRPr="0043332B">
        <w:rPr>
          <w:rFonts w:ascii="Arial" w:hAnsi="Arial" w:cs="Arial"/>
          <w:sz w:val="20"/>
        </w:rPr>
        <w:t>B</w:t>
      </w:r>
      <w:r w:rsidRPr="0043332B">
        <w:rPr>
          <w:rFonts w:ascii="Arial" w:hAnsi="Arial" w:cs="Arial"/>
          <w:spacing w:val="-2"/>
          <w:sz w:val="20"/>
        </w:rPr>
        <w:t xml:space="preserve"> </w:t>
      </w:r>
      <w:r w:rsidRPr="0043332B">
        <w:rPr>
          <w:rFonts w:ascii="Arial" w:hAnsi="Arial" w:cs="Arial"/>
          <w:sz w:val="20"/>
        </w:rPr>
        <w:t>applies</w:t>
      </w:r>
      <w:r w:rsidRPr="0043332B">
        <w:rPr>
          <w:rFonts w:ascii="Arial" w:hAnsi="Arial" w:cs="Arial"/>
          <w:spacing w:val="-1"/>
          <w:sz w:val="20"/>
        </w:rPr>
        <w:t xml:space="preserve"> </w:t>
      </w:r>
      <w:r w:rsidRPr="0043332B">
        <w:rPr>
          <w:rFonts w:ascii="Arial" w:hAnsi="Arial" w:cs="Arial"/>
          <w:sz w:val="20"/>
        </w:rPr>
        <w:t>to</w:t>
      </w:r>
      <w:r w:rsidRPr="0043332B">
        <w:rPr>
          <w:rFonts w:ascii="Arial" w:hAnsi="Arial" w:cs="Arial"/>
          <w:spacing w:val="1"/>
          <w:sz w:val="20"/>
        </w:rPr>
        <w:t xml:space="preserve"> </w:t>
      </w:r>
      <w:r w:rsidRPr="0043332B">
        <w:rPr>
          <w:rFonts w:ascii="Arial" w:hAnsi="Arial" w:cs="Arial"/>
          <w:sz w:val="20"/>
        </w:rPr>
        <w:t>rotorcraft;</w:t>
      </w:r>
    </w:p>
    <w:p w14:paraId="1B6B57CA" w14:textId="77777777" w:rsidR="0043332B" w:rsidRPr="0043332B" w:rsidRDefault="0043332B" w:rsidP="007B0343">
      <w:pPr>
        <w:pStyle w:val="ListParagraph"/>
        <w:numPr>
          <w:ilvl w:val="1"/>
          <w:numId w:val="343"/>
        </w:numPr>
        <w:tabs>
          <w:tab w:val="left" w:pos="1273"/>
          <w:tab w:val="left" w:pos="1274"/>
        </w:tabs>
        <w:spacing w:before="117" w:line="360" w:lineRule="auto"/>
        <w:ind w:right="44" w:hanging="568"/>
        <w:jc w:val="both"/>
        <w:rPr>
          <w:rFonts w:ascii="Arial" w:hAnsi="Arial" w:cs="Arial"/>
          <w:sz w:val="20"/>
        </w:rPr>
      </w:pPr>
      <w:r w:rsidRPr="0043332B">
        <w:rPr>
          <w:rFonts w:ascii="Arial" w:hAnsi="Arial" w:cs="Arial"/>
          <w:sz w:val="20"/>
        </w:rPr>
        <w:t>Part</w:t>
      </w:r>
      <w:r w:rsidRPr="0043332B">
        <w:rPr>
          <w:rFonts w:ascii="Arial" w:hAnsi="Arial" w:cs="Arial"/>
          <w:spacing w:val="-2"/>
          <w:sz w:val="20"/>
        </w:rPr>
        <w:t xml:space="preserve"> </w:t>
      </w:r>
      <w:r w:rsidRPr="0043332B">
        <w:rPr>
          <w:rFonts w:ascii="Arial" w:hAnsi="Arial" w:cs="Arial"/>
          <w:sz w:val="20"/>
        </w:rPr>
        <w:t>C</w:t>
      </w:r>
      <w:r w:rsidRPr="0043332B">
        <w:rPr>
          <w:rFonts w:ascii="Arial" w:hAnsi="Arial" w:cs="Arial"/>
          <w:spacing w:val="-3"/>
          <w:sz w:val="20"/>
        </w:rPr>
        <w:t xml:space="preserve"> </w:t>
      </w:r>
      <w:r w:rsidRPr="0043332B">
        <w:rPr>
          <w:rFonts w:ascii="Arial" w:hAnsi="Arial" w:cs="Arial"/>
          <w:sz w:val="20"/>
        </w:rPr>
        <w:t>applies</w:t>
      </w:r>
      <w:r w:rsidRPr="0043332B">
        <w:rPr>
          <w:rFonts w:ascii="Arial" w:hAnsi="Arial" w:cs="Arial"/>
          <w:spacing w:val="-2"/>
          <w:sz w:val="20"/>
        </w:rPr>
        <w:t xml:space="preserve"> </w:t>
      </w:r>
      <w:r w:rsidRPr="0043332B">
        <w:rPr>
          <w:rFonts w:ascii="Arial" w:hAnsi="Arial" w:cs="Arial"/>
          <w:sz w:val="20"/>
        </w:rPr>
        <w:t>to</w:t>
      </w:r>
      <w:r w:rsidRPr="0043332B">
        <w:rPr>
          <w:rFonts w:ascii="Arial" w:hAnsi="Arial" w:cs="Arial"/>
          <w:spacing w:val="-2"/>
          <w:sz w:val="20"/>
        </w:rPr>
        <w:t xml:space="preserve"> </w:t>
      </w:r>
      <w:r w:rsidRPr="0043332B">
        <w:rPr>
          <w:rFonts w:ascii="Arial" w:hAnsi="Arial" w:cs="Arial"/>
          <w:sz w:val="20"/>
        </w:rPr>
        <w:t>sailplanes</w:t>
      </w:r>
      <w:r w:rsidRPr="0043332B">
        <w:rPr>
          <w:rFonts w:ascii="Arial" w:hAnsi="Arial" w:cs="Arial"/>
          <w:spacing w:val="-2"/>
          <w:sz w:val="20"/>
        </w:rPr>
        <w:t xml:space="preserve"> </w:t>
      </w:r>
      <w:r w:rsidRPr="0043332B">
        <w:rPr>
          <w:rFonts w:ascii="Arial" w:hAnsi="Arial" w:cs="Arial"/>
          <w:sz w:val="20"/>
        </w:rPr>
        <w:t>and</w:t>
      </w:r>
      <w:r w:rsidRPr="0043332B">
        <w:rPr>
          <w:rFonts w:ascii="Arial" w:hAnsi="Arial" w:cs="Arial"/>
          <w:spacing w:val="-3"/>
          <w:sz w:val="20"/>
        </w:rPr>
        <w:t xml:space="preserve"> </w:t>
      </w:r>
      <w:r w:rsidRPr="0043332B">
        <w:rPr>
          <w:rFonts w:ascii="Arial" w:hAnsi="Arial" w:cs="Arial"/>
          <w:sz w:val="20"/>
        </w:rPr>
        <w:t>powered</w:t>
      </w:r>
      <w:r w:rsidRPr="0043332B">
        <w:rPr>
          <w:rFonts w:ascii="Arial" w:hAnsi="Arial" w:cs="Arial"/>
          <w:spacing w:val="-1"/>
          <w:sz w:val="20"/>
        </w:rPr>
        <w:t xml:space="preserve"> </w:t>
      </w:r>
      <w:r w:rsidRPr="0043332B">
        <w:rPr>
          <w:rFonts w:ascii="Arial" w:hAnsi="Arial" w:cs="Arial"/>
          <w:sz w:val="20"/>
        </w:rPr>
        <w:t>sailplanes;</w:t>
      </w:r>
      <w:r w:rsidRPr="0043332B">
        <w:rPr>
          <w:rFonts w:ascii="Arial" w:hAnsi="Arial" w:cs="Arial"/>
          <w:spacing w:val="-1"/>
          <w:sz w:val="20"/>
        </w:rPr>
        <w:t xml:space="preserve"> </w:t>
      </w:r>
      <w:r w:rsidRPr="0043332B">
        <w:rPr>
          <w:rFonts w:ascii="Arial" w:hAnsi="Arial" w:cs="Arial"/>
          <w:sz w:val="20"/>
        </w:rPr>
        <w:t>and</w:t>
      </w:r>
    </w:p>
    <w:p w14:paraId="00139EE1" w14:textId="77777777" w:rsidR="0043332B" w:rsidRPr="0043332B" w:rsidRDefault="0043332B" w:rsidP="007B0343">
      <w:pPr>
        <w:pStyle w:val="ListParagraph"/>
        <w:numPr>
          <w:ilvl w:val="1"/>
          <w:numId w:val="343"/>
        </w:numPr>
        <w:tabs>
          <w:tab w:val="left" w:pos="1273"/>
          <w:tab w:val="left" w:pos="1274"/>
        </w:tabs>
        <w:spacing w:before="121" w:line="360" w:lineRule="auto"/>
        <w:ind w:right="44" w:hanging="568"/>
        <w:jc w:val="both"/>
        <w:rPr>
          <w:rFonts w:ascii="Arial" w:hAnsi="Arial" w:cs="Arial"/>
          <w:sz w:val="20"/>
        </w:rPr>
      </w:pPr>
      <w:r w:rsidRPr="0043332B">
        <w:rPr>
          <w:rFonts w:ascii="Arial" w:hAnsi="Arial" w:cs="Arial"/>
          <w:sz w:val="20"/>
        </w:rPr>
        <w:t>Part</w:t>
      </w:r>
      <w:r w:rsidRPr="0043332B">
        <w:rPr>
          <w:rFonts w:ascii="Arial" w:hAnsi="Arial" w:cs="Arial"/>
          <w:spacing w:val="-3"/>
          <w:sz w:val="20"/>
        </w:rPr>
        <w:t xml:space="preserve"> </w:t>
      </w:r>
      <w:r w:rsidRPr="0043332B">
        <w:rPr>
          <w:rFonts w:ascii="Arial" w:hAnsi="Arial" w:cs="Arial"/>
          <w:sz w:val="20"/>
        </w:rPr>
        <w:t>D applies</w:t>
      </w:r>
      <w:r w:rsidRPr="0043332B">
        <w:rPr>
          <w:rFonts w:ascii="Arial" w:hAnsi="Arial" w:cs="Arial"/>
          <w:spacing w:val="-3"/>
          <w:sz w:val="20"/>
        </w:rPr>
        <w:t xml:space="preserve"> </w:t>
      </w:r>
      <w:r w:rsidRPr="0043332B">
        <w:rPr>
          <w:rFonts w:ascii="Arial" w:hAnsi="Arial" w:cs="Arial"/>
          <w:sz w:val="20"/>
        </w:rPr>
        <w:t>to</w:t>
      </w:r>
      <w:r w:rsidRPr="0043332B">
        <w:rPr>
          <w:rFonts w:ascii="Arial" w:hAnsi="Arial" w:cs="Arial"/>
          <w:spacing w:val="1"/>
          <w:sz w:val="20"/>
        </w:rPr>
        <w:t xml:space="preserve"> </w:t>
      </w:r>
      <w:r w:rsidRPr="0043332B">
        <w:rPr>
          <w:rFonts w:ascii="Arial" w:hAnsi="Arial" w:cs="Arial"/>
          <w:sz w:val="20"/>
        </w:rPr>
        <w:t>balloons</w:t>
      </w:r>
      <w:r w:rsidRPr="0043332B">
        <w:rPr>
          <w:rFonts w:ascii="Arial" w:hAnsi="Arial" w:cs="Arial"/>
          <w:spacing w:val="-1"/>
          <w:sz w:val="20"/>
        </w:rPr>
        <w:t xml:space="preserve"> </w:t>
      </w:r>
      <w:r w:rsidRPr="0043332B">
        <w:rPr>
          <w:rFonts w:ascii="Arial" w:hAnsi="Arial" w:cs="Arial"/>
          <w:sz w:val="20"/>
        </w:rPr>
        <w:t>and</w:t>
      </w:r>
      <w:r w:rsidRPr="0043332B">
        <w:rPr>
          <w:rFonts w:ascii="Arial" w:hAnsi="Arial" w:cs="Arial"/>
          <w:spacing w:val="-2"/>
          <w:sz w:val="20"/>
        </w:rPr>
        <w:t xml:space="preserve"> </w:t>
      </w:r>
      <w:r w:rsidRPr="0043332B">
        <w:rPr>
          <w:rFonts w:ascii="Arial" w:hAnsi="Arial" w:cs="Arial"/>
          <w:sz w:val="20"/>
        </w:rPr>
        <w:t>airships.</w:t>
      </w:r>
    </w:p>
    <w:p w14:paraId="0BC2BD96" w14:textId="77777777" w:rsidR="0043332B" w:rsidRPr="0043332B" w:rsidRDefault="0043332B" w:rsidP="007B0343">
      <w:pPr>
        <w:pStyle w:val="ListParagraph"/>
        <w:numPr>
          <w:ilvl w:val="0"/>
          <w:numId w:val="343"/>
        </w:numPr>
        <w:tabs>
          <w:tab w:val="left" w:pos="1274"/>
        </w:tabs>
        <w:spacing w:line="360" w:lineRule="auto"/>
        <w:ind w:left="1273" w:right="44"/>
        <w:jc w:val="both"/>
        <w:rPr>
          <w:rFonts w:ascii="Arial" w:hAnsi="Arial" w:cs="Arial"/>
          <w:sz w:val="20"/>
        </w:rPr>
      </w:pPr>
      <w:r w:rsidRPr="0043332B">
        <w:rPr>
          <w:rFonts w:ascii="Arial" w:hAnsi="Arial" w:cs="Arial"/>
          <w:sz w:val="20"/>
        </w:rPr>
        <w:t>Inspection</w:t>
      </w:r>
      <w:r w:rsidRPr="0043332B">
        <w:rPr>
          <w:rFonts w:ascii="Arial" w:hAnsi="Arial" w:cs="Arial"/>
          <w:spacing w:val="1"/>
          <w:sz w:val="20"/>
        </w:rPr>
        <w:t xml:space="preserve"> </w:t>
      </w:r>
      <w:r w:rsidRPr="0043332B">
        <w:rPr>
          <w:rFonts w:ascii="Arial" w:hAnsi="Arial" w:cs="Arial"/>
          <w:sz w:val="20"/>
        </w:rPr>
        <w:t>tasks/checks</w:t>
      </w:r>
      <w:r w:rsidRPr="0043332B">
        <w:rPr>
          <w:rFonts w:ascii="Arial" w:hAnsi="Arial" w:cs="Arial"/>
          <w:spacing w:val="1"/>
          <w:sz w:val="20"/>
        </w:rPr>
        <w:t xml:space="preserve"> </w:t>
      </w:r>
      <w:r w:rsidRPr="0043332B">
        <w:rPr>
          <w:rFonts w:ascii="Arial" w:hAnsi="Arial" w:cs="Arial"/>
          <w:sz w:val="20"/>
        </w:rPr>
        <w:t>of</w:t>
      </w:r>
      <w:r w:rsidRPr="0043332B">
        <w:rPr>
          <w:rFonts w:ascii="Arial" w:hAnsi="Arial" w:cs="Arial"/>
          <w:spacing w:val="1"/>
          <w:sz w:val="20"/>
        </w:rPr>
        <w:t xml:space="preserve"> </w:t>
      </w:r>
      <w:r w:rsidRPr="0043332B">
        <w:rPr>
          <w:rFonts w:ascii="Arial" w:hAnsi="Arial" w:cs="Arial"/>
          <w:sz w:val="20"/>
        </w:rPr>
        <w:t>any</w:t>
      </w:r>
      <w:r w:rsidRPr="0043332B">
        <w:rPr>
          <w:rFonts w:ascii="Arial" w:hAnsi="Arial" w:cs="Arial"/>
          <w:spacing w:val="1"/>
          <w:sz w:val="20"/>
        </w:rPr>
        <w:t xml:space="preserve"> </w:t>
      </w:r>
      <w:r w:rsidRPr="0043332B">
        <w:rPr>
          <w:rFonts w:ascii="Arial" w:hAnsi="Arial" w:cs="Arial"/>
          <w:sz w:val="20"/>
        </w:rPr>
        <w:t>periodicity</w:t>
      </w:r>
      <w:r w:rsidRPr="0043332B">
        <w:rPr>
          <w:rFonts w:ascii="Arial" w:hAnsi="Arial" w:cs="Arial"/>
          <w:spacing w:val="1"/>
          <w:sz w:val="20"/>
        </w:rPr>
        <w:t xml:space="preserve"> </w:t>
      </w:r>
      <w:r w:rsidRPr="0043332B">
        <w:rPr>
          <w:rFonts w:ascii="Arial" w:hAnsi="Arial" w:cs="Arial"/>
          <w:sz w:val="20"/>
        </w:rPr>
        <w:t>included</w:t>
      </w:r>
      <w:r w:rsidRPr="0043332B">
        <w:rPr>
          <w:rFonts w:ascii="Arial" w:hAnsi="Arial" w:cs="Arial"/>
          <w:spacing w:val="1"/>
          <w:sz w:val="20"/>
        </w:rPr>
        <w:t xml:space="preserve"> </w:t>
      </w:r>
      <w:r w:rsidRPr="0043332B">
        <w:rPr>
          <w:rFonts w:ascii="Arial" w:hAnsi="Arial" w:cs="Arial"/>
          <w:sz w:val="20"/>
        </w:rPr>
        <w:t>in</w:t>
      </w:r>
      <w:r w:rsidRPr="0043332B">
        <w:rPr>
          <w:rFonts w:ascii="Arial" w:hAnsi="Arial" w:cs="Arial"/>
          <w:spacing w:val="1"/>
          <w:sz w:val="20"/>
        </w:rPr>
        <w:t xml:space="preserve"> </w:t>
      </w:r>
      <w:r w:rsidRPr="0043332B">
        <w:rPr>
          <w:rFonts w:ascii="Arial" w:hAnsi="Arial" w:cs="Arial"/>
          <w:sz w:val="20"/>
        </w:rPr>
        <w:t>an</w:t>
      </w:r>
      <w:r w:rsidRPr="0043332B">
        <w:rPr>
          <w:rFonts w:ascii="Arial" w:hAnsi="Arial" w:cs="Arial"/>
          <w:spacing w:val="1"/>
          <w:sz w:val="20"/>
        </w:rPr>
        <w:t xml:space="preserve"> </w:t>
      </w:r>
      <w:r w:rsidRPr="0043332B">
        <w:rPr>
          <w:rFonts w:ascii="Arial" w:hAnsi="Arial" w:cs="Arial"/>
          <w:sz w:val="20"/>
        </w:rPr>
        <w:t>approved</w:t>
      </w:r>
      <w:r w:rsidRPr="0043332B">
        <w:rPr>
          <w:rFonts w:ascii="Arial" w:hAnsi="Arial" w:cs="Arial"/>
          <w:spacing w:val="1"/>
          <w:sz w:val="20"/>
        </w:rPr>
        <w:t xml:space="preserve"> </w:t>
      </w:r>
      <w:r w:rsidRPr="0043332B">
        <w:rPr>
          <w:rFonts w:ascii="Arial" w:hAnsi="Arial" w:cs="Arial"/>
          <w:sz w:val="20"/>
        </w:rPr>
        <w:t>maintenance</w:t>
      </w:r>
      <w:r w:rsidRPr="0043332B">
        <w:rPr>
          <w:rFonts w:ascii="Arial" w:hAnsi="Arial" w:cs="Arial"/>
          <w:spacing w:val="1"/>
          <w:sz w:val="20"/>
        </w:rPr>
        <w:t xml:space="preserve"> </w:t>
      </w:r>
      <w:r w:rsidRPr="0043332B">
        <w:rPr>
          <w:rFonts w:ascii="Arial" w:hAnsi="Arial" w:cs="Arial"/>
          <w:sz w:val="20"/>
        </w:rPr>
        <w:t>programme can be carried out provided that the specified tasks are compliant with the</w:t>
      </w:r>
      <w:r w:rsidRPr="0043332B">
        <w:rPr>
          <w:rFonts w:ascii="Arial" w:hAnsi="Arial" w:cs="Arial"/>
          <w:spacing w:val="1"/>
          <w:sz w:val="20"/>
        </w:rPr>
        <w:t xml:space="preserve"> </w:t>
      </w:r>
      <w:r w:rsidRPr="0043332B">
        <w:rPr>
          <w:rFonts w:ascii="Arial" w:hAnsi="Arial" w:cs="Arial"/>
          <w:sz w:val="20"/>
        </w:rPr>
        <w:t>basic</w:t>
      </w:r>
      <w:r w:rsidRPr="0043332B">
        <w:rPr>
          <w:rFonts w:ascii="Arial" w:hAnsi="Arial" w:cs="Arial"/>
          <w:spacing w:val="-1"/>
          <w:sz w:val="20"/>
        </w:rPr>
        <w:t xml:space="preserve"> </w:t>
      </w:r>
      <w:r w:rsidRPr="0043332B">
        <w:rPr>
          <w:rFonts w:ascii="Arial" w:hAnsi="Arial" w:cs="Arial"/>
          <w:sz w:val="20"/>
        </w:rPr>
        <w:t>principles</w:t>
      </w:r>
      <w:r w:rsidRPr="0043332B">
        <w:rPr>
          <w:rFonts w:ascii="Arial" w:hAnsi="Arial" w:cs="Arial"/>
          <w:spacing w:val="-2"/>
          <w:sz w:val="20"/>
        </w:rPr>
        <w:t xml:space="preserve"> </w:t>
      </w:r>
      <w:r w:rsidRPr="0043332B">
        <w:rPr>
          <w:rFonts w:ascii="Arial" w:hAnsi="Arial" w:cs="Arial"/>
          <w:sz w:val="20"/>
        </w:rPr>
        <w:t>of Appendix II</w:t>
      </w:r>
      <w:r w:rsidRPr="0043332B">
        <w:rPr>
          <w:rFonts w:ascii="Arial" w:hAnsi="Arial" w:cs="Arial"/>
          <w:spacing w:val="-1"/>
          <w:sz w:val="20"/>
        </w:rPr>
        <w:t xml:space="preserve"> </w:t>
      </w:r>
      <w:r w:rsidRPr="0043332B">
        <w:rPr>
          <w:rFonts w:ascii="Arial" w:hAnsi="Arial" w:cs="Arial"/>
          <w:sz w:val="20"/>
        </w:rPr>
        <w:t>to</w:t>
      </w:r>
      <w:r w:rsidRPr="0043332B">
        <w:rPr>
          <w:rFonts w:ascii="Arial" w:hAnsi="Arial" w:cs="Arial"/>
          <w:spacing w:val="-1"/>
          <w:sz w:val="20"/>
        </w:rPr>
        <w:t xml:space="preserve"> </w:t>
      </w:r>
      <w:r w:rsidRPr="0043332B">
        <w:rPr>
          <w:rFonts w:ascii="Arial" w:hAnsi="Arial" w:cs="Arial"/>
          <w:sz w:val="20"/>
        </w:rPr>
        <w:t>Part-ML.</w:t>
      </w:r>
    </w:p>
    <w:p w14:paraId="48EFDE89" w14:textId="77777777" w:rsidR="0043332B" w:rsidRPr="0043332B" w:rsidRDefault="0043332B" w:rsidP="007B0343">
      <w:pPr>
        <w:pStyle w:val="BodyText"/>
        <w:spacing w:before="121" w:line="360" w:lineRule="auto"/>
        <w:ind w:left="1273" w:right="44"/>
        <w:jc w:val="both"/>
        <w:rPr>
          <w:rFonts w:ascii="Arial" w:hAnsi="Arial" w:cs="Arial"/>
          <w:sz w:val="20"/>
        </w:rPr>
      </w:pPr>
      <w:r w:rsidRPr="0043332B">
        <w:rPr>
          <w:rFonts w:ascii="Arial" w:hAnsi="Arial" w:cs="Arial"/>
          <w:sz w:val="20"/>
        </w:rPr>
        <w:t>The</w:t>
      </w:r>
      <w:r w:rsidRPr="0043332B">
        <w:rPr>
          <w:rFonts w:ascii="Arial" w:hAnsi="Arial" w:cs="Arial"/>
          <w:spacing w:val="-2"/>
          <w:sz w:val="20"/>
        </w:rPr>
        <w:t xml:space="preserve"> </w:t>
      </w:r>
      <w:r w:rsidRPr="0043332B">
        <w:rPr>
          <w:rFonts w:ascii="Arial" w:hAnsi="Arial" w:cs="Arial"/>
          <w:sz w:val="20"/>
        </w:rPr>
        <w:t>content</w:t>
      </w:r>
      <w:r w:rsidRPr="0043332B">
        <w:rPr>
          <w:rFonts w:ascii="Arial" w:hAnsi="Arial" w:cs="Arial"/>
          <w:spacing w:val="-3"/>
          <w:sz w:val="20"/>
        </w:rPr>
        <w:t xml:space="preserve"> </w:t>
      </w:r>
      <w:r w:rsidRPr="0043332B">
        <w:rPr>
          <w:rFonts w:ascii="Arial" w:hAnsi="Arial" w:cs="Arial"/>
          <w:sz w:val="20"/>
        </w:rPr>
        <w:t>of</w:t>
      </w:r>
      <w:r w:rsidRPr="0043332B">
        <w:rPr>
          <w:rFonts w:ascii="Arial" w:hAnsi="Arial" w:cs="Arial"/>
          <w:spacing w:val="-4"/>
          <w:sz w:val="20"/>
        </w:rPr>
        <w:t xml:space="preserve"> </w:t>
      </w:r>
      <w:r w:rsidRPr="0043332B">
        <w:rPr>
          <w:rFonts w:ascii="Arial" w:hAnsi="Arial" w:cs="Arial"/>
          <w:sz w:val="20"/>
        </w:rPr>
        <w:t>periodic</w:t>
      </w:r>
      <w:r w:rsidRPr="0043332B">
        <w:rPr>
          <w:rFonts w:ascii="Arial" w:hAnsi="Arial" w:cs="Arial"/>
          <w:spacing w:val="-1"/>
          <w:sz w:val="20"/>
        </w:rPr>
        <w:t xml:space="preserve"> </w:t>
      </w:r>
      <w:r w:rsidRPr="0043332B">
        <w:rPr>
          <w:rFonts w:ascii="Arial" w:hAnsi="Arial" w:cs="Arial"/>
          <w:sz w:val="20"/>
        </w:rPr>
        <w:t>inspections/checks</w:t>
      </w:r>
      <w:r w:rsidRPr="0043332B">
        <w:rPr>
          <w:rFonts w:ascii="Arial" w:hAnsi="Arial" w:cs="Arial"/>
          <w:spacing w:val="-3"/>
          <w:sz w:val="20"/>
        </w:rPr>
        <w:t xml:space="preserve"> </w:t>
      </w:r>
      <w:r w:rsidRPr="0043332B">
        <w:rPr>
          <w:rFonts w:ascii="Arial" w:hAnsi="Arial" w:cs="Arial"/>
          <w:sz w:val="20"/>
        </w:rPr>
        <w:t>as</w:t>
      </w:r>
      <w:r w:rsidRPr="0043332B">
        <w:rPr>
          <w:rFonts w:ascii="Arial" w:hAnsi="Arial" w:cs="Arial"/>
          <w:spacing w:val="-3"/>
          <w:sz w:val="20"/>
        </w:rPr>
        <w:t xml:space="preserve"> </w:t>
      </w:r>
      <w:r w:rsidRPr="0043332B">
        <w:rPr>
          <w:rFonts w:ascii="Arial" w:hAnsi="Arial" w:cs="Arial"/>
          <w:sz w:val="20"/>
        </w:rPr>
        <w:t>well</w:t>
      </w:r>
      <w:r w:rsidRPr="0043332B">
        <w:rPr>
          <w:rFonts w:ascii="Arial" w:hAnsi="Arial" w:cs="Arial"/>
          <w:spacing w:val="-4"/>
          <w:sz w:val="20"/>
        </w:rPr>
        <w:t xml:space="preserve"> </w:t>
      </w:r>
      <w:r w:rsidRPr="0043332B">
        <w:rPr>
          <w:rFonts w:ascii="Arial" w:hAnsi="Arial" w:cs="Arial"/>
          <w:sz w:val="20"/>
        </w:rPr>
        <w:t>as</w:t>
      </w:r>
      <w:r w:rsidRPr="0043332B">
        <w:rPr>
          <w:rFonts w:ascii="Arial" w:hAnsi="Arial" w:cs="Arial"/>
          <w:spacing w:val="-6"/>
          <w:sz w:val="20"/>
        </w:rPr>
        <w:t xml:space="preserve"> </w:t>
      </w:r>
      <w:r w:rsidRPr="0043332B">
        <w:rPr>
          <w:rFonts w:ascii="Arial" w:hAnsi="Arial" w:cs="Arial"/>
          <w:sz w:val="20"/>
        </w:rPr>
        <w:t>their</w:t>
      </w:r>
      <w:r w:rsidRPr="0043332B">
        <w:rPr>
          <w:rFonts w:ascii="Arial" w:hAnsi="Arial" w:cs="Arial"/>
          <w:spacing w:val="-1"/>
          <w:sz w:val="20"/>
        </w:rPr>
        <w:t xml:space="preserve"> </w:t>
      </w:r>
      <w:r w:rsidRPr="0043332B">
        <w:rPr>
          <w:rFonts w:ascii="Arial" w:hAnsi="Arial" w:cs="Arial"/>
          <w:sz w:val="20"/>
        </w:rPr>
        <w:t>periodicity</w:t>
      </w:r>
      <w:r w:rsidRPr="0043332B">
        <w:rPr>
          <w:rFonts w:ascii="Arial" w:hAnsi="Arial" w:cs="Arial"/>
          <w:spacing w:val="-1"/>
          <w:sz w:val="20"/>
        </w:rPr>
        <w:t xml:space="preserve"> </w:t>
      </w:r>
      <w:r w:rsidRPr="0043332B">
        <w:rPr>
          <w:rFonts w:ascii="Arial" w:hAnsi="Arial" w:cs="Arial"/>
          <w:sz w:val="20"/>
        </w:rPr>
        <w:t>is</w:t>
      </w:r>
      <w:r w:rsidRPr="0043332B">
        <w:rPr>
          <w:rFonts w:ascii="Arial" w:hAnsi="Arial" w:cs="Arial"/>
          <w:spacing w:val="-1"/>
          <w:sz w:val="20"/>
        </w:rPr>
        <w:t xml:space="preserve"> </w:t>
      </w:r>
      <w:r w:rsidRPr="0043332B">
        <w:rPr>
          <w:rFonts w:ascii="Arial" w:hAnsi="Arial" w:cs="Arial"/>
          <w:sz w:val="20"/>
        </w:rPr>
        <w:t>not</w:t>
      </w:r>
      <w:r w:rsidRPr="0043332B">
        <w:rPr>
          <w:rFonts w:ascii="Arial" w:hAnsi="Arial" w:cs="Arial"/>
          <w:spacing w:val="-3"/>
          <w:sz w:val="20"/>
        </w:rPr>
        <w:t xml:space="preserve"> </w:t>
      </w:r>
      <w:r w:rsidRPr="0043332B">
        <w:rPr>
          <w:rFonts w:ascii="Arial" w:hAnsi="Arial" w:cs="Arial"/>
          <w:sz w:val="20"/>
        </w:rPr>
        <w:t>regulated</w:t>
      </w:r>
      <w:r w:rsidRPr="0043332B">
        <w:rPr>
          <w:rFonts w:ascii="Arial" w:hAnsi="Arial" w:cs="Arial"/>
          <w:spacing w:val="-3"/>
          <w:sz w:val="20"/>
        </w:rPr>
        <w:t xml:space="preserve"> </w:t>
      </w:r>
      <w:r w:rsidRPr="0043332B">
        <w:rPr>
          <w:rFonts w:ascii="Arial" w:hAnsi="Arial" w:cs="Arial"/>
          <w:sz w:val="20"/>
        </w:rPr>
        <w:t>or</w:t>
      </w:r>
      <w:r w:rsidRPr="0043332B">
        <w:rPr>
          <w:rFonts w:ascii="Arial" w:hAnsi="Arial" w:cs="Arial"/>
          <w:spacing w:val="-48"/>
          <w:sz w:val="20"/>
        </w:rPr>
        <w:t xml:space="preserve"> </w:t>
      </w:r>
      <w:r w:rsidRPr="0043332B">
        <w:rPr>
          <w:rFonts w:ascii="Arial" w:hAnsi="Arial" w:cs="Arial"/>
          <w:sz w:val="20"/>
        </w:rPr>
        <w:lastRenderedPageBreak/>
        <w:t>standardised in an aviation specification. It is the decision of the DAH to recommend a</w:t>
      </w:r>
      <w:r w:rsidRPr="0043332B">
        <w:rPr>
          <w:rFonts w:ascii="Arial" w:hAnsi="Arial" w:cs="Arial"/>
          <w:spacing w:val="1"/>
          <w:sz w:val="20"/>
        </w:rPr>
        <w:t xml:space="preserve"> </w:t>
      </w:r>
      <w:r w:rsidRPr="0043332B">
        <w:rPr>
          <w:rFonts w:ascii="Arial" w:hAnsi="Arial" w:cs="Arial"/>
          <w:sz w:val="20"/>
        </w:rPr>
        <w:t>schedule</w:t>
      </w:r>
      <w:r w:rsidRPr="0043332B">
        <w:rPr>
          <w:rFonts w:ascii="Arial" w:hAnsi="Arial" w:cs="Arial"/>
          <w:spacing w:val="-1"/>
          <w:sz w:val="20"/>
        </w:rPr>
        <w:t xml:space="preserve"> </w:t>
      </w:r>
      <w:r w:rsidRPr="0043332B">
        <w:rPr>
          <w:rFonts w:ascii="Arial" w:hAnsi="Arial" w:cs="Arial"/>
          <w:sz w:val="20"/>
        </w:rPr>
        <w:t>for each specific</w:t>
      </w:r>
      <w:r w:rsidRPr="0043332B">
        <w:rPr>
          <w:rFonts w:ascii="Arial" w:hAnsi="Arial" w:cs="Arial"/>
          <w:spacing w:val="-3"/>
          <w:sz w:val="20"/>
        </w:rPr>
        <w:t xml:space="preserve"> </w:t>
      </w:r>
      <w:r w:rsidRPr="0043332B">
        <w:rPr>
          <w:rFonts w:ascii="Arial" w:hAnsi="Arial" w:cs="Arial"/>
          <w:sz w:val="20"/>
        </w:rPr>
        <w:t>type</w:t>
      </w:r>
      <w:r w:rsidRPr="0043332B">
        <w:rPr>
          <w:rFonts w:ascii="Arial" w:hAnsi="Arial" w:cs="Arial"/>
          <w:spacing w:val="-2"/>
          <w:sz w:val="20"/>
        </w:rPr>
        <w:t xml:space="preserve"> </w:t>
      </w:r>
      <w:r w:rsidRPr="0043332B">
        <w:rPr>
          <w:rFonts w:ascii="Arial" w:hAnsi="Arial" w:cs="Arial"/>
          <w:sz w:val="20"/>
        </w:rPr>
        <w:t>of inspection/check.</w:t>
      </w:r>
    </w:p>
    <w:p w14:paraId="35391A5C" w14:textId="77777777" w:rsidR="0043332B" w:rsidRPr="0043332B" w:rsidRDefault="0043332B" w:rsidP="007B0343">
      <w:pPr>
        <w:spacing w:line="360" w:lineRule="auto"/>
        <w:ind w:left="1273" w:right="44"/>
        <w:jc w:val="both"/>
        <w:rPr>
          <w:rFonts w:ascii="Arial" w:hAnsi="Arial" w:cs="Arial"/>
          <w:sz w:val="20"/>
        </w:rPr>
      </w:pPr>
      <w:r w:rsidRPr="0043332B">
        <w:rPr>
          <w:rFonts w:ascii="Arial" w:hAnsi="Arial" w:cs="Arial"/>
          <w:sz w:val="20"/>
        </w:rPr>
        <w:t>For an inspection/check with the same periodicity for different aircraft, the content may differ and in some cases, may be critically safety-related and need the use of special tools or knowledge and thus, not qualify for pilot-owner maintenance. Therefore, the maintenance carried out by the pilot-owner should not be generalised to specific inspections such as of a 50-h, 100-h or 6-month periodicity.</w:t>
      </w:r>
    </w:p>
    <w:p w14:paraId="6AB514F5" w14:textId="77777777" w:rsidR="0043332B" w:rsidRPr="0043332B" w:rsidRDefault="0043332B" w:rsidP="007B0343">
      <w:pPr>
        <w:spacing w:line="360" w:lineRule="auto"/>
        <w:ind w:left="1273" w:right="44"/>
        <w:jc w:val="both"/>
        <w:rPr>
          <w:rFonts w:ascii="Arial" w:hAnsi="Arial" w:cs="Arial"/>
          <w:sz w:val="20"/>
        </w:rPr>
      </w:pPr>
      <w:r w:rsidRPr="0043332B">
        <w:rPr>
          <w:rFonts w:ascii="Arial" w:hAnsi="Arial" w:cs="Arial"/>
          <w:sz w:val="20"/>
        </w:rPr>
        <w:t>The inspections to be carried out are limited to those areas and tasks listed in this AMC to Appendix II; this allows flexibility in the development of the maintenance programme and does not limit the inspection to certain specific periodic inspections. A 50-h/6-month periodic inspection for a fixed-wing aeroplane as well as the 1-year inspection for a glider may normally be eligible for pilot-owner maintenance.</w:t>
      </w:r>
    </w:p>
    <w:p w14:paraId="3FF1FD88" w14:textId="77777777" w:rsidR="0043332B" w:rsidRPr="0043332B" w:rsidRDefault="0043332B" w:rsidP="007B0343">
      <w:pPr>
        <w:spacing w:line="360" w:lineRule="auto"/>
        <w:ind w:left="1273" w:right="44"/>
        <w:jc w:val="both"/>
        <w:rPr>
          <w:rFonts w:ascii="Arial" w:hAnsi="Arial" w:cs="Arial"/>
          <w:b/>
          <w:bCs/>
          <w:sz w:val="20"/>
        </w:rPr>
      </w:pPr>
      <w:r w:rsidRPr="0043332B">
        <w:rPr>
          <w:rFonts w:ascii="Arial" w:hAnsi="Arial" w:cs="Arial"/>
          <w:b/>
          <w:bCs/>
          <w:sz w:val="20"/>
        </w:rPr>
        <w:t>TABLES</w:t>
      </w:r>
    </w:p>
    <w:p w14:paraId="41980DEB" w14:textId="77777777" w:rsidR="0043332B" w:rsidRPr="0043332B" w:rsidRDefault="0043332B" w:rsidP="007B0343">
      <w:pPr>
        <w:spacing w:line="360" w:lineRule="auto"/>
        <w:ind w:left="1273" w:right="44"/>
        <w:jc w:val="both"/>
        <w:rPr>
          <w:rFonts w:ascii="Arial" w:hAnsi="Arial" w:cs="Arial"/>
          <w:i/>
          <w:sz w:val="20"/>
        </w:rPr>
      </w:pPr>
      <w:r w:rsidRPr="0043332B">
        <w:rPr>
          <w:rFonts w:ascii="Arial" w:hAnsi="Arial" w:cs="Arial"/>
          <w:i/>
          <w:sz w:val="20"/>
        </w:rPr>
        <w:t>Note: Tasks in Part A or Part B marked with ‘**’ exclude IFR operations following pilot- owner maintenance. For these aircraft to operate under IFR, these tasks should be released by an appropriate certifying staff.</w:t>
      </w:r>
    </w:p>
    <w:p w14:paraId="015ABD1A" w14:textId="77777777" w:rsidR="0043332B" w:rsidRPr="0043332B" w:rsidRDefault="0043332B" w:rsidP="0043332B">
      <w:pPr>
        <w:ind w:left="1273"/>
        <w:jc w:val="both"/>
        <w:rPr>
          <w:rFonts w:ascii="Arial" w:hAnsi="Arial" w:cs="Arial"/>
        </w:rPr>
      </w:pPr>
    </w:p>
    <w:p w14:paraId="111541ED" w14:textId="77777777" w:rsidR="0043332B" w:rsidRPr="00276D5E" w:rsidRDefault="0043332B" w:rsidP="0043332B">
      <w:pPr>
        <w:spacing w:before="1"/>
        <w:ind w:left="1014"/>
        <w:rPr>
          <w:rFonts w:ascii="Arial" w:hAnsi="Arial" w:cs="Arial"/>
          <w:b/>
          <w:sz w:val="20"/>
        </w:rPr>
      </w:pPr>
      <w:r w:rsidRPr="00276D5E">
        <w:rPr>
          <w:rFonts w:ascii="Arial" w:hAnsi="Arial" w:cs="Arial"/>
          <w:b/>
          <w:sz w:val="20"/>
        </w:rPr>
        <w:t>Part</w:t>
      </w:r>
      <w:r w:rsidRPr="00276D5E">
        <w:rPr>
          <w:rFonts w:ascii="Arial" w:hAnsi="Arial" w:cs="Arial"/>
          <w:b/>
          <w:spacing w:val="-3"/>
          <w:sz w:val="20"/>
        </w:rPr>
        <w:t xml:space="preserve"> </w:t>
      </w:r>
      <w:r w:rsidRPr="00276D5E">
        <w:rPr>
          <w:rFonts w:ascii="Arial" w:hAnsi="Arial" w:cs="Arial"/>
          <w:b/>
          <w:sz w:val="20"/>
        </w:rPr>
        <w:t>A</w:t>
      </w:r>
      <w:r w:rsidRPr="00276D5E">
        <w:rPr>
          <w:rFonts w:ascii="Arial" w:hAnsi="Arial" w:cs="Arial"/>
          <w:b/>
          <w:spacing w:val="-3"/>
          <w:sz w:val="20"/>
        </w:rPr>
        <w:t xml:space="preserve"> </w:t>
      </w:r>
      <w:r w:rsidRPr="00276D5E">
        <w:rPr>
          <w:rFonts w:ascii="Arial" w:hAnsi="Arial" w:cs="Arial"/>
          <w:b/>
          <w:sz w:val="20"/>
        </w:rPr>
        <w:t>—</w:t>
      </w:r>
      <w:r w:rsidRPr="00276D5E">
        <w:rPr>
          <w:rFonts w:ascii="Arial" w:hAnsi="Arial" w:cs="Arial"/>
          <w:b/>
          <w:spacing w:val="-2"/>
          <w:sz w:val="20"/>
        </w:rPr>
        <w:t xml:space="preserve"> </w:t>
      </w:r>
      <w:r w:rsidRPr="00276D5E">
        <w:rPr>
          <w:rFonts w:ascii="Arial" w:hAnsi="Arial" w:cs="Arial"/>
          <w:b/>
          <w:sz w:val="20"/>
        </w:rPr>
        <w:t>PILOT-OWNER</w:t>
      </w:r>
      <w:r w:rsidRPr="00276D5E">
        <w:rPr>
          <w:rFonts w:ascii="Arial" w:hAnsi="Arial" w:cs="Arial"/>
          <w:b/>
          <w:spacing w:val="-3"/>
          <w:sz w:val="20"/>
        </w:rPr>
        <w:t xml:space="preserve"> </w:t>
      </w:r>
      <w:r w:rsidRPr="00276D5E">
        <w:rPr>
          <w:rFonts w:ascii="Arial" w:hAnsi="Arial" w:cs="Arial"/>
          <w:b/>
          <w:sz w:val="20"/>
        </w:rPr>
        <w:t>MAINTENANCE</w:t>
      </w:r>
      <w:r w:rsidRPr="00276D5E">
        <w:rPr>
          <w:rFonts w:ascii="Arial" w:hAnsi="Arial" w:cs="Arial"/>
          <w:b/>
          <w:spacing w:val="-4"/>
          <w:sz w:val="20"/>
        </w:rPr>
        <w:t xml:space="preserve"> </w:t>
      </w:r>
      <w:r w:rsidRPr="00276D5E">
        <w:rPr>
          <w:rFonts w:ascii="Arial" w:hAnsi="Arial" w:cs="Arial"/>
          <w:b/>
          <w:sz w:val="20"/>
        </w:rPr>
        <w:t>TASKS</w:t>
      </w:r>
      <w:r w:rsidRPr="00276D5E">
        <w:rPr>
          <w:rFonts w:ascii="Arial" w:hAnsi="Arial" w:cs="Arial"/>
          <w:b/>
          <w:spacing w:val="-4"/>
          <w:sz w:val="20"/>
        </w:rPr>
        <w:t xml:space="preserve"> </w:t>
      </w:r>
      <w:r w:rsidRPr="00276D5E">
        <w:rPr>
          <w:rFonts w:ascii="Arial" w:hAnsi="Arial" w:cs="Arial"/>
          <w:b/>
          <w:sz w:val="20"/>
        </w:rPr>
        <w:t>FOR</w:t>
      </w:r>
      <w:r w:rsidRPr="00276D5E">
        <w:rPr>
          <w:rFonts w:ascii="Arial" w:hAnsi="Arial" w:cs="Arial"/>
          <w:b/>
          <w:spacing w:val="-2"/>
          <w:sz w:val="20"/>
        </w:rPr>
        <w:t xml:space="preserve"> </w:t>
      </w:r>
      <w:r w:rsidRPr="00276D5E">
        <w:rPr>
          <w:rFonts w:ascii="Arial" w:hAnsi="Arial" w:cs="Arial"/>
          <w:b/>
          <w:sz w:val="20"/>
        </w:rPr>
        <w:t>POWERED</w:t>
      </w:r>
      <w:r w:rsidRPr="00276D5E">
        <w:rPr>
          <w:rFonts w:ascii="Arial" w:hAnsi="Arial" w:cs="Arial"/>
          <w:b/>
          <w:spacing w:val="-4"/>
          <w:sz w:val="20"/>
        </w:rPr>
        <w:t xml:space="preserve"> </w:t>
      </w:r>
      <w:r w:rsidRPr="00276D5E">
        <w:rPr>
          <w:rFonts w:ascii="Arial" w:hAnsi="Arial" w:cs="Arial"/>
          <w:b/>
          <w:sz w:val="20"/>
        </w:rPr>
        <w:t>AIRCRAFT</w:t>
      </w:r>
      <w:r w:rsidRPr="00276D5E">
        <w:rPr>
          <w:rFonts w:ascii="Arial" w:hAnsi="Arial" w:cs="Arial"/>
          <w:b/>
          <w:spacing w:val="-3"/>
          <w:sz w:val="20"/>
        </w:rPr>
        <w:t xml:space="preserve"> </w:t>
      </w:r>
      <w:r w:rsidRPr="00276D5E">
        <w:rPr>
          <w:rFonts w:ascii="Arial" w:hAnsi="Arial" w:cs="Arial"/>
          <w:b/>
          <w:sz w:val="20"/>
        </w:rPr>
        <w:t>(AEROPLANES)</w:t>
      </w:r>
    </w:p>
    <w:p w14:paraId="778ECC68" w14:textId="77777777" w:rsidR="00F97B24" w:rsidRDefault="00F97B24" w:rsidP="0043332B">
      <w:pPr>
        <w:rPr>
          <w:rFonts w:ascii="Arial" w:eastAsia="Times New Roman" w:hAnsi="Arial" w:cs="Times New Roman"/>
          <w:b/>
          <w:sz w:val="24"/>
        </w:rPr>
      </w:pPr>
    </w:p>
    <w:tbl>
      <w:tblPr>
        <w:tblStyle w:val="TableGrid31"/>
        <w:tblW w:w="9535" w:type="dxa"/>
        <w:tblLayout w:type="fixed"/>
        <w:tblLook w:val="01E0" w:firstRow="1" w:lastRow="1" w:firstColumn="1" w:lastColumn="1" w:noHBand="0" w:noVBand="0"/>
      </w:tblPr>
      <w:tblGrid>
        <w:gridCol w:w="895"/>
        <w:gridCol w:w="2250"/>
        <w:gridCol w:w="4860"/>
        <w:gridCol w:w="1530"/>
      </w:tblGrid>
      <w:tr w:rsidR="000B61B6" w:rsidRPr="000B61B6" w14:paraId="2A75D3BD" w14:textId="77777777" w:rsidTr="0080379D">
        <w:trPr>
          <w:trHeight w:val="152"/>
        </w:trPr>
        <w:tc>
          <w:tcPr>
            <w:tcW w:w="895" w:type="dxa"/>
            <w:shd w:val="clear" w:color="auto" w:fill="F2F2F2" w:themeFill="background1" w:themeFillShade="F2"/>
          </w:tcPr>
          <w:p w14:paraId="3C4496AC" w14:textId="77777777" w:rsidR="0043332B" w:rsidRPr="000B61B6" w:rsidRDefault="0043332B" w:rsidP="0043332B">
            <w:pPr>
              <w:spacing w:before="1" w:line="222" w:lineRule="exact"/>
              <w:ind w:left="77" w:right="78"/>
              <w:jc w:val="center"/>
              <w:rPr>
                <w:rFonts w:ascii="Arial" w:hAnsi="Arial" w:cs="Arial"/>
                <w:b/>
              </w:rPr>
            </w:pPr>
            <w:r w:rsidRPr="000B61B6">
              <w:rPr>
                <w:rFonts w:ascii="Arial" w:hAnsi="Arial" w:cs="Arial"/>
                <w:b/>
              </w:rPr>
              <w:t>ATA</w:t>
            </w:r>
          </w:p>
        </w:tc>
        <w:tc>
          <w:tcPr>
            <w:tcW w:w="2250" w:type="dxa"/>
            <w:shd w:val="clear" w:color="auto" w:fill="F2F2F2" w:themeFill="background1" w:themeFillShade="F2"/>
          </w:tcPr>
          <w:p w14:paraId="2E552179" w14:textId="77777777" w:rsidR="0043332B" w:rsidRPr="000B61B6" w:rsidRDefault="0043332B" w:rsidP="0043332B">
            <w:pPr>
              <w:spacing w:before="1" w:line="222" w:lineRule="exact"/>
              <w:ind w:left="637" w:right="639"/>
              <w:jc w:val="center"/>
              <w:rPr>
                <w:rFonts w:ascii="Arial" w:hAnsi="Arial" w:cs="Arial"/>
                <w:b/>
              </w:rPr>
            </w:pPr>
            <w:r w:rsidRPr="000B61B6">
              <w:rPr>
                <w:rFonts w:ascii="Arial" w:hAnsi="Arial" w:cs="Arial"/>
                <w:b/>
              </w:rPr>
              <w:t>Area</w:t>
            </w:r>
          </w:p>
        </w:tc>
        <w:tc>
          <w:tcPr>
            <w:tcW w:w="4860" w:type="dxa"/>
            <w:shd w:val="clear" w:color="auto" w:fill="F2F2F2" w:themeFill="background1" w:themeFillShade="F2"/>
          </w:tcPr>
          <w:p w14:paraId="12F1E265" w14:textId="77777777" w:rsidR="0043332B" w:rsidRPr="000B61B6" w:rsidRDefault="0043332B" w:rsidP="000B61B6">
            <w:pPr>
              <w:spacing w:before="1" w:line="222" w:lineRule="exact"/>
              <w:ind w:left="637" w:right="639"/>
              <w:jc w:val="center"/>
              <w:rPr>
                <w:rFonts w:ascii="Arial" w:hAnsi="Arial" w:cs="Arial"/>
                <w:b/>
              </w:rPr>
            </w:pPr>
            <w:r w:rsidRPr="000B61B6">
              <w:rPr>
                <w:rFonts w:ascii="Arial" w:hAnsi="Arial" w:cs="Arial"/>
                <w:b/>
              </w:rPr>
              <w:t>Task</w:t>
            </w:r>
          </w:p>
        </w:tc>
        <w:tc>
          <w:tcPr>
            <w:tcW w:w="1530" w:type="dxa"/>
            <w:shd w:val="clear" w:color="auto" w:fill="F2F2F2" w:themeFill="background1" w:themeFillShade="F2"/>
          </w:tcPr>
          <w:p w14:paraId="64870273" w14:textId="77777777" w:rsidR="0043332B" w:rsidRPr="000B61B6" w:rsidRDefault="0043332B" w:rsidP="0043332B">
            <w:pPr>
              <w:spacing w:before="1" w:line="222" w:lineRule="exact"/>
              <w:ind w:left="86"/>
              <w:rPr>
                <w:rFonts w:ascii="Arial" w:hAnsi="Arial" w:cs="Arial"/>
                <w:b/>
              </w:rPr>
            </w:pPr>
            <w:r w:rsidRPr="000B61B6">
              <w:rPr>
                <w:rFonts w:ascii="Arial" w:hAnsi="Arial" w:cs="Arial"/>
                <w:b/>
              </w:rPr>
              <w:t>Aeroplanes</w:t>
            </w:r>
          </w:p>
        </w:tc>
      </w:tr>
      <w:tr w:rsidR="000B61B6" w:rsidRPr="000B61B6" w14:paraId="7A419247" w14:textId="77777777" w:rsidTr="0080379D">
        <w:trPr>
          <w:trHeight w:val="447"/>
        </w:trPr>
        <w:tc>
          <w:tcPr>
            <w:tcW w:w="895" w:type="dxa"/>
            <w:vMerge w:val="restart"/>
            <w:shd w:val="clear" w:color="auto" w:fill="F2F2F2" w:themeFill="background1" w:themeFillShade="F2"/>
          </w:tcPr>
          <w:p w14:paraId="0548CAF6" w14:textId="77777777" w:rsidR="0043332B" w:rsidRPr="000B61B6" w:rsidRDefault="0043332B" w:rsidP="00093EB0">
            <w:pPr>
              <w:jc w:val="center"/>
              <w:rPr>
                <w:rFonts w:ascii="Arial" w:hAnsi="Arial" w:cs="Arial"/>
                <w:b/>
              </w:rPr>
            </w:pPr>
            <w:r w:rsidRPr="000B61B6">
              <w:rPr>
                <w:rFonts w:ascii="Arial" w:hAnsi="Arial" w:cs="Arial"/>
                <w:b/>
              </w:rPr>
              <w:t>09</w:t>
            </w:r>
          </w:p>
        </w:tc>
        <w:tc>
          <w:tcPr>
            <w:tcW w:w="2250" w:type="dxa"/>
            <w:vMerge w:val="restart"/>
          </w:tcPr>
          <w:p w14:paraId="549EF5EA" w14:textId="77777777" w:rsidR="0043332B" w:rsidRPr="000B61B6" w:rsidRDefault="0043332B" w:rsidP="0043332B">
            <w:pPr>
              <w:ind w:left="85"/>
              <w:rPr>
                <w:rFonts w:ascii="Arial" w:hAnsi="Arial" w:cs="Arial"/>
              </w:rPr>
            </w:pPr>
            <w:r w:rsidRPr="000B61B6">
              <w:rPr>
                <w:rFonts w:ascii="Arial" w:hAnsi="Arial" w:cs="Arial"/>
              </w:rPr>
              <w:t>Towing</w:t>
            </w:r>
          </w:p>
        </w:tc>
        <w:tc>
          <w:tcPr>
            <w:tcW w:w="4860" w:type="dxa"/>
          </w:tcPr>
          <w:p w14:paraId="714CF4D6" w14:textId="77777777" w:rsidR="0043332B" w:rsidRPr="000B61B6" w:rsidRDefault="0043332B" w:rsidP="001F1AC5">
            <w:pPr>
              <w:spacing w:line="240" w:lineRule="atLeast"/>
              <w:ind w:left="84"/>
              <w:jc w:val="both"/>
              <w:rPr>
                <w:rFonts w:ascii="Arial" w:hAnsi="Arial" w:cs="Arial"/>
              </w:rPr>
            </w:pPr>
            <w:r w:rsidRPr="000B61B6">
              <w:rPr>
                <w:rFonts w:ascii="Arial" w:hAnsi="Arial" w:cs="Arial"/>
              </w:rPr>
              <w:t>Tow release unit and tow cable retraction mechanism — cleaning,</w:t>
            </w:r>
            <w:r w:rsidRPr="000B61B6">
              <w:rPr>
                <w:rFonts w:ascii="Arial" w:hAnsi="Arial" w:cs="Arial"/>
                <w:spacing w:val="1"/>
              </w:rPr>
              <w:t xml:space="preserve"> </w:t>
            </w:r>
            <w:r w:rsidRPr="000B61B6">
              <w:rPr>
                <w:rFonts w:ascii="Arial" w:hAnsi="Arial" w:cs="Arial"/>
              </w:rPr>
              <w:t>lubrication</w:t>
            </w:r>
            <w:r w:rsidRPr="000B61B6">
              <w:rPr>
                <w:rFonts w:ascii="Arial" w:hAnsi="Arial" w:cs="Arial"/>
                <w:spacing w:val="-1"/>
              </w:rPr>
              <w:t xml:space="preserve"> </w:t>
            </w:r>
            <w:r w:rsidRPr="000B61B6">
              <w:rPr>
                <w:rFonts w:ascii="Arial" w:hAnsi="Arial" w:cs="Arial"/>
              </w:rPr>
              <w:t>and</w:t>
            </w:r>
            <w:r w:rsidRPr="000B61B6">
              <w:rPr>
                <w:rFonts w:ascii="Arial" w:hAnsi="Arial" w:cs="Arial"/>
                <w:spacing w:val="-1"/>
              </w:rPr>
              <w:t xml:space="preserve"> </w:t>
            </w:r>
            <w:r w:rsidRPr="000B61B6">
              <w:rPr>
                <w:rFonts w:ascii="Arial" w:hAnsi="Arial" w:cs="Arial"/>
              </w:rPr>
              <w:t>tow</w:t>
            </w:r>
            <w:r w:rsidRPr="000B61B6">
              <w:rPr>
                <w:rFonts w:ascii="Arial" w:hAnsi="Arial" w:cs="Arial"/>
                <w:spacing w:val="-2"/>
              </w:rPr>
              <w:t xml:space="preserve"> </w:t>
            </w:r>
            <w:r w:rsidRPr="000B61B6">
              <w:rPr>
                <w:rFonts w:ascii="Arial" w:hAnsi="Arial" w:cs="Arial"/>
              </w:rPr>
              <w:t>cable</w:t>
            </w:r>
            <w:r w:rsidRPr="000B61B6">
              <w:rPr>
                <w:rFonts w:ascii="Arial" w:hAnsi="Arial" w:cs="Arial"/>
                <w:spacing w:val="-3"/>
              </w:rPr>
              <w:t xml:space="preserve"> </w:t>
            </w:r>
            <w:r w:rsidRPr="000B61B6">
              <w:rPr>
                <w:rFonts w:ascii="Arial" w:hAnsi="Arial" w:cs="Arial"/>
              </w:rPr>
              <w:t>replacement</w:t>
            </w:r>
            <w:r w:rsidRPr="000B61B6">
              <w:rPr>
                <w:rFonts w:ascii="Arial" w:hAnsi="Arial" w:cs="Arial"/>
                <w:spacing w:val="-2"/>
              </w:rPr>
              <w:t xml:space="preserve"> </w:t>
            </w:r>
            <w:r w:rsidRPr="000B61B6">
              <w:rPr>
                <w:rFonts w:ascii="Arial" w:hAnsi="Arial" w:cs="Arial"/>
              </w:rPr>
              <w:t>(including</w:t>
            </w:r>
            <w:r w:rsidRPr="000B61B6">
              <w:rPr>
                <w:rFonts w:ascii="Arial" w:hAnsi="Arial" w:cs="Arial"/>
                <w:spacing w:val="-2"/>
              </w:rPr>
              <w:t xml:space="preserve"> </w:t>
            </w:r>
            <w:r w:rsidRPr="000B61B6">
              <w:rPr>
                <w:rFonts w:ascii="Arial" w:hAnsi="Arial" w:cs="Arial"/>
              </w:rPr>
              <w:t>weak</w:t>
            </w:r>
            <w:r w:rsidRPr="000B61B6">
              <w:rPr>
                <w:rFonts w:ascii="Arial" w:hAnsi="Arial" w:cs="Arial"/>
                <w:spacing w:val="-1"/>
              </w:rPr>
              <w:t xml:space="preserve"> </w:t>
            </w:r>
            <w:r w:rsidRPr="000B61B6">
              <w:rPr>
                <w:rFonts w:ascii="Arial" w:hAnsi="Arial" w:cs="Arial"/>
              </w:rPr>
              <w:t>links)</w:t>
            </w:r>
          </w:p>
        </w:tc>
        <w:tc>
          <w:tcPr>
            <w:tcW w:w="1530" w:type="dxa"/>
          </w:tcPr>
          <w:p w14:paraId="3059A5FC" w14:textId="77777777" w:rsidR="0043332B" w:rsidRPr="000B61B6" w:rsidRDefault="0043332B" w:rsidP="0043332B">
            <w:pPr>
              <w:ind w:left="84"/>
              <w:rPr>
                <w:rFonts w:ascii="Arial" w:hAnsi="Arial" w:cs="Arial"/>
              </w:rPr>
            </w:pPr>
            <w:r w:rsidRPr="000B61B6">
              <w:rPr>
                <w:rFonts w:ascii="Arial" w:hAnsi="Arial" w:cs="Arial"/>
              </w:rPr>
              <w:t>Yes</w:t>
            </w:r>
          </w:p>
        </w:tc>
      </w:tr>
      <w:tr w:rsidR="000B61B6" w:rsidRPr="000B61B6" w14:paraId="5645B232" w14:textId="77777777" w:rsidTr="0080379D">
        <w:trPr>
          <w:trHeight w:val="199"/>
        </w:trPr>
        <w:tc>
          <w:tcPr>
            <w:tcW w:w="895" w:type="dxa"/>
            <w:vMerge/>
            <w:shd w:val="clear" w:color="auto" w:fill="F2F2F2" w:themeFill="background1" w:themeFillShade="F2"/>
          </w:tcPr>
          <w:p w14:paraId="4095B6E9" w14:textId="77777777" w:rsidR="0043332B" w:rsidRPr="00093EB0" w:rsidRDefault="0043332B" w:rsidP="00093EB0">
            <w:pPr>
              <w:jc w:val="center"/>
              <w:rPr>
                <w:rFonts w:ascii="Arial" w:hAnsi="Arial" w:cs="Arial"/>
                <w:b/>
              </w:rPr>
            </w:pPr>
          </w:p>
        </w:tc>
        <w:tc>
          <w:tcPr>
            <w:tcW w:w="2250" w:type="dxa"/>
            <w:vMerge/>
          </w:tcPr>
          <w:p w14:paraId="4A96F211" w14:textId="77777777" w:rsidR="0043332B" w:rsidRPr="000B61B6" w:rsidRDefault="0043332B" w:rsidP="0043332B">
            <w:pPr>
              <w:rPr>
                <w:rFonts w:ascii="Arial" w:hAnsi="Arial" w:cs="Arial"/>
                <w:sz w:val="2"/>
                <w:szCs w:val="2"/>
              </w:rPr>
            </w:pPr>
          </w:p>
        </w:tc>
        <w:tc>
          <w:tcPr>
            <w:tcW w:w="4860" w:type="dxa"/>
          </w:tcPr>
          <w:p w14:paraId="1BD165D2" w14:textId="77777777" w:rsidR="0043332B" w:rsidRPr="000B61B6" w:rsidRDefault="0043332B" w:rsidP="001F1AC5">
            <w:pPr>
              <w:spacing w:line="223" w:lineRule="exact"/>
              <w:ind w:left="84"/>
              <w:jc w:val="both"/>
              <w:rPr>
                <w:rFonts w:ascii="Arial" w:hAnsi="Arial" w:cs="Arial"/>
              </w:rPr>
            </w:pPr>
            <w:r w:rsidRPr="000B61B6">
              <w:rPr>
                <w:rFonts w:ascii="Arial" w:hAnsi="Arial" w:cs="Arial"/>
              </w:rPr>
              <w:t>Mirror</w:t>
            </w:r>
            <w:r w:rsidRPr="000B61B6">
              <w:rPr>
                <w:rFonts w:ascii="Arial" w:hAnsi="Arial" w:cs="Arial"/>
                <w:spacing w:val="-1"/>
              </w:rPr>
              <w:t xml:space="preserve"> </w:t>
            </w:r>
            <w:r w:rsidRPr="000B61B6">
              <w:rPr>
                <w:rFonts w:ascii="Arial" w:hAnsi="Arial" w:cs="Arial"/>
              </w:rPr>
              <w:t>—</w:t>
            </w:r>
            <w:r w:rsidRPr="000B61B6">
              <w:rPr>
                <w:rFonts w:ascii="Arial" w:hAnsi="Arial" w:cs="Arial"/>
                <w:spacing w:val="-2"/>
              </w:rPr>
              <w:t xml:space="preserve"> </w:t>
            </w:r>
            <w:r w:rsidRPr="000B61B6">
              <w:rPr>
                <w:rFonts w:ascii="Arial" w:hAnsi="Arial" w:cs="Arial"/>
              </w:rPr>
              <w:t>installation</w:t>
            </w:r>
            <w:r w:rsidRPr="000B61B6">
              <w:rPr>
                <w:rFonts w:ascii="Arial" w:hAnsi="Arial" w:cs="Arial"/>
                <w:spacing w:val="-2"/>
              </w:rPr>
              <w:t xml:space="preserve"> </w:t>
            </w:r>
            <w:r w:rsidRPr="000B61B6">
              <w:rPr>
                <w:rFonts w:ascii="Arial" w:hAnsi="Arial" w:cs="Arial"/>
              </w:rPr>
              <w:t>and</w:t>
            </w:r>
            <w:r w:rsidRPr="000B61B6">
              <w:rPr>
                <w:rFonts w:ascii="Arial" w:hAnsi="Arial" w:cs="Arial"/>
                <w:spacing w:val="-1"/>
              </w:rPr>
              <w:t xml:space="preserve"> </w:t>
            </w:r>
            <w:r w:rsidRPr="000B61B6">
              <w:rPr>
                <w:rFonts w:ascii="Arial" w:hAnsi="Arial" w:cs="Arial"/>
              </w:rPr>
              <w:t>replacement</w:t>
            </w:r>
            <w:r w:rsidRPr="000B61B6">
              <w:rPr>
                <w:rFonts w:ascii="Arial" w:hAnsi="Arial" w:cs="Arial"/>
                <w:spacing w:val="-2"/>
              </w:rPr>
              <w:t xml:space="preserve"> </w:t>
            </w:r>
            <w:r w:rsidRPr="000B61B6">
              <w:rPr>
                <w:rFonts w:ascii="Arial" w:hAnsi="Arial" w:cs="Arial"/>
              </w:rPr>
              <w:t>of</w:t>
            </w:r>
            <w:r w:rsidRPr="000B61B6">
              <w:rPr>
                <w:rFonts w:ascii="Arial" w:hAnsi="Arial" w:cs="Arial"/>
                <w:spacing w:val="-4"/>
              </w:rPr>
              <w:t xml:space="preserve"> </w:t>
            </w:r>
            <w:r w:rsidRPr="000B61B6">
              <w:rPr>
                <w:rFonts w:ascii="Arial" w:hAnsi="Arial" w:cs="Arial"/>
              </w:rPr>
              <w:t>mirrors</w:t>
            </w:r>
          </w:p>
        </w:tc>
        <w:tc>
          <w:tcPr>
            <w:tcW w:w="1530" w:type="dxa"/>
          </w:tcPr>
          <w:p w14:paraId="4B3BF57E" w14:textId="77777777" w:rsidR="0043332B" w:rsidRPr="000B61B6" w:rsidRDefault="0043332B" w:rsidP="0043332B">
            <w:pPr>
              <w:spacing w:line="223" w:lineRule="exact"/>
              <w:ind w:left="84"/>
              <w:rPr>
                <w:rFonts w:ascii="Arial" w:hAnsi="Arial" w:cs="Arial"/>
              </w:rPr>
            </w:pPr>
            <w:r w:rsidRPr="000B61B6">
              <w:rPr>
                <w:rFonts w:ascii="Arial" w:hAnsi="Arial" w:cs="Arial"/>
              </w:rPr>
              <w:t>Yes</w:t>
            </w:r>
          </w:p>
        </w:tc>
      </w:tr>
      <w:tr w:rsidR="000B61B6" w:rsidRPr="000B61B6" w14:paraId="32A16A3B" w14:textId="77777777" w:rsidTr="0080379D">
        <w:trPr>
          <w:trHeight w:val="444"/>
        </w:trPr>
        <w:tc>
          <w:tcPr>
            <w:tcW w:w="895" w:type="dxa"/>
            <w:shd w:val="clear" w:color="auto" w:fill="F2F2F2" w:themeFill="background1" w:themeFillShade="F2"/>
          </w:tcPr>
          <w:p w14:paraId="4AD216AF" w14:textId="77777777" w:rsidR="0043332B" w:rsidRPr="000B61B6" w:rsidRDefault="0043332B" w:rsidP="00093EB0">
            <w:pPr>
              <w:jc w:val="center"/>
              <w:rPr>
                <w:rFonts w:ascii="Arial" w:hAnsi="Arial" w:cs="Arial"/>
                <w:b/>
              </w:rPr>
            </w:pPr>
            <w:r w:rsidRPr="000B61B6">
              <w:rPr>
                <w:rFonts w:ascii="Arial" w:hAnsi="Arial" w:cs="Arial"/>
                <w:b/>
              </w:rPr>
              <w:t>11</w:t>
            </w:r>
          </w:p>
        </w:tc>
        <w:tc>
          <w:tcPr>
            <w:tcW w:w="2250" w:type="dxa"/>
          </w:tcPr>
          <w:p w14:paraId="78BD0E57" w14:textId="77777777" w:rsidR="0043332B" w:rsidRPr="000B61B6" w:rsidRDefault="0043332B" w:rsidP="0043332B">
            <w:pPr>
              <w:ind w:left="85"/>
              <w:rPr>
                <w:rFonts w:ascii="Arial" w:hAnsi="Arial" w:cs="Arial"/>
              </w:rPr>
            </w:pPr>
            <w:r w:rsidRPr="000B61B6">
              <w:rPr>
                <w:rFonts w:ascii="Arial" w:hAnsi="Arial" w:cs="Arial"/>
              </w:rPr>
              <w:t>Placards</w:t>
            </w:r>
          </w:p>
        </w:tc>
        <w:tc>
          <w:tcPr>
            <w:tcW w:w="4860" w:type="dxa"/>
          </w:tcPr>
          <w:p w14:paraId="07DC067C" w14:textId="77777777" w:rsidR="0043332B" w:rsidRPr="000B61B6" w:rsidRDefault="0043332B" w:rsidP="001F1AC5">
            <w:pPr>
              <w:spacing w:line="243" w:lineRule="exact"/>
              <w:ind w:left="84"/>
              <w:jc w:val="both"/>
              <w:rPr>
                <w:rFonts w:ascii="Arial" w:hAnsi="Arial" w:cs="Arial"/>
              </w:rPr>
            </w:pPr>
            <w:r w:rsidRPr="000B61B6">
              <w:rPr>
                <w:rFonts w:ascii="Arial" w:hAnsi="Arial" w:cs="Arial"/>
              </w:rPr>
              <w:t>Placards,</w:t>
            </w:r>
            <w:r w:rsidRPr="000B61B6">
              <w:rPr>
                <w:rFonts w:ascii="Arial" w:hAnsi="Arial" w:cs="Arial"/>
                <w:spacing w:val="-2"/>
              </w:rPr>
              <w:t xml:space="preserve"> </w:t>
            </w:r>
            <w:r w:rsidRPr="000B61B6">
              <w:rPr>
                <w:rFonts w:ascii="Arial" w:hAnsi="Arial" w:cs="Arial"/>
              </w:rPr>
              <w:t>markings</w:t>
            </w:r>
            <w:r w:rsidRPr="000B61B6">
              <w:rPr>
                <w:rFonts w:ascii="Arial" w:hAnsi="Arial" w:cs="Arial"/>
                <w:spacing w:val="-2"/>
              </w:rPr>
              <w:t xml:space="preserve"> </w:t>
            </w:r>
            <w:r w:rsidRPr="000B61B6">
              <w:rPr>
                <w:rFonts w:ascii="Arial" w:hAnsi="Arial" w:cs="Arial"/>
              </w:rPr>
              <w:t>—</w:t>
            </w:r>
            <w:r w:rsidRPr="000B61B6">
              <w:rPr>
                <w:rFonts w:ascii="Arial" w:hAnsi="Arial" w:cs="Arial"/>
                <w:spacing w:val="-1"/>
              </w:rPr>
              <w:t xml:space="preserve"> </w:t>
            </w:r>
            <w:r w:rsidRPr="000B61B6">
              <w:rPr>
                <w:rFonts w:ascii="Arial" w:hAnsi="Arial" w:cs="Arial"/>
              </w:rPr>
              <w:t>installation</w:t>
            </w:r>
            <w:r w:rsidRPr="000B61B6">
              <w:rPr>
                <w:rFonts w:ascii="Arial" w:hAnsi="Arial" w:cs="Arial"/>
                <w:spacing w:val="-1"/>
              </w:rPr>
              <w:t xml:space="preserve"> </w:t>
            </w:r>
            <w:r w:rsidRPr="000B61B6">
              <w:rPr>
                <w:rFonts w:ascii="Arial" w:hAnsi="Arial" w:cs="Arial"/>
              </w:rPr>
              <w:t>and</w:t>
            </w:r>
            <w:r w:rsidRPr="000B61B6">
              <w:rPr>
                <w:rFonts w:ascii="Arial" w:hAnsi="Arial" w:cs="Arial"/>
                <w:spacing w:val="-1"/>
              </w:rPr>
              <w:t xml:space="preserve"> </w:t>
            </w:r>
            <w:r w:rsidRPr="000B61B6">
              <w:rPr>
                <w:rFonts w:ascii="Arial" w:hAnsi="Arial" w:cs="Arial"/>
              </w:rPr>
              <w:t>renewal</w:t>
            </w:r>
            <w:r w:rsidRPr="000B61B6">
              <w:rPr>
                <w:rFonts w:ascii="Arial" w:hAnsi="Arial" w:cs="Arial"/>
                <w:spacing w:val="-2"/>
              </w:rPr>
              <w:t xml:space="preserve"> </w:t>
            </w:r>
            <w:r w:rsidRPr="000B61B6">
              <w:rPr>
                <w:rFonts w:ascii="Arial" w:hAnsi="Arial" w:cs="Arial"/>
              </w:rPr>
              <w:t>of</w:t>
            </w:r>
            <w:r w:rsidRPr="000B61B6">
              <w:rPr>
                <w:rFonts w:ascii="Arial" w:hAnsi="Arial" w:cs="Arial"/>
                <w:spacing w:val="-3"/>
              </w:rPr>
              <w:t xml:space="preserve"> </w:t>
            </w:r>
            <w:r w:rsidRPr="000B61B6">
              <w:rPr>
                <w:rFonts w:ascii="Arial" w:hAnsi="Arial" w:cs="Arial"/>
              </w:rPr>
              <w:t>placards</w:t>
            </w:r>
            <w:r w:rsidRPr="000B61B6">
              <w:rPr>
                <w:rFonts w:ascii="Arial" w:hAnsi="Arial" w:cs="Arial"/>
                <w:spacing w:val="-4"/>
              </w:rPr>
              <w:t xml:space="preserve"> </w:t>
            </w:r>
            <w:r w:rsidR="001F1AC5">
              <w:rPr>
                <w:rFonts w:ascii="Arial" w:hAnsi="Arial" w:cs="Arial"/>
              </w:rPr>
              <w:t xml:space="preserve">and </w:t>
            </w:r>
            <w:r w:rsidRPr="000B61B6">
              <w:rPr>
                <w:rFonts w:ascii="Arial" w:hAnsi="Arial" w:cs="Arial"/>
              </w:rPr>
              <w:t>markings</w:t>
            </w:r>
            <w:r w:rsidRPr="000B61B6">
              <w:rPr>
                <w:rFonts w:ascii="Arial" w:hAnsi="Arial" w:cs="Arial"/>
                <w:spacing w:val="-4"/>
              </w:rPr>
              <w:t xml:space="preserve"> </w:t>
            </w:r>
            <w:r w:rsidRPr="000B61B6">
              <w:rPr>
                <w:rFonts w:ascii="Arial" w:hAnsi="Arial" w:cs="Arial"/>
              </w:rPr>
              <w:t>required</w:t>
            </w:r>
            <w:r w:rsidRPr="000B61B6">
              <w:rPr>
                <w:rFonts w:ascii="Arial" w:hAnsi="Arial" w:cs="Arial"/>
                <w:spacing w:val="-1"/>
              </w:rPr>
              <w:t xml:space="preserve"> </w:t>
            </w:r>
            <w:r w:rsidRPr="000B61B6">
              <w:rPr>
                <w:rFonts w:ascii="Arial" w:hAnsi="Arial" w:cs="Arial"/>
              </w:rPr>
              <w:t>by</w:t>
            </w:r>
            <w:r w:rsidRPr="000B61B6">
              <w:rPr>
                <w:rFonts w:ascii="Arial" w:hAnsi="Arial" w:cs="Arial"/>
                <w:spacing w:val="-1"/>
              </w:rPr>
              <w:t xml:space="preserve"> </w:t>
            </w:r>
            <w:r w:rsidRPr="000B61B6">
              <w:rPr>
                <w:rFonts w:ascii="Arial" w:hAnsi="Arial" w:cs="Arial"/>
              </w:rPr>
              <w:t>the</w:t>
            </w:r>
            <w:r w:rsidRPr="000B61B6">
              <w:rPr>
                <w:rFonts w:ascii="Arial" w:hAnsi="Arial" w:cs="Arial"/>
                <w:spacing w:val="-3"/>
              </w:rPr>
              <w:t xml:space="preserve"> </w:t>
            </w:r>
            <w:r w:rsidRPr="000B61B6">
              <w:rPr>
                <w:rFonts w:ascii="Arial" w:hAnsi="Arial" w:cs="Arial"/>
              </w:rPr>
              <w:t>AFM</w:t>
            </w:r>
            <w:r w:rsidRPr="000B61B6">
              <w:rPr>
                <w:rFonts w:ascii="Arial" w:hAnsi="Arial" w:cs="Arial"/>
                <w:spacing w:val="-1"/>
              </w:rPr>
              <w:t xml:space="preserve"> </w:t>
            </w:r>
            <w:r w:rsidRPr="000B61B6">
              <w:rPr>
                <w:rFonts w:ascii="Arial" w:hAnsi="Arial" w:cs="Arial"/>
              </w:rPr>
              <w:t>and</w:t>
            </w:r>
            <w:r w:rsidRPr="000B61B6">
              <w:rPr>
                <w:rFonts w:ascii="Arial" w:hAnsi="Arial" w:cs="Arial"/>
                <w:spacing w:val="-1"/>
              </w:rPr>
              <w:t xml:space="preserve"> </w:t>
            </w:r>
            <w:r w:rsidRPr="000B61B6">
              <w:rPr>
                <w:rFonts w:ascii="Arial" w:hAnsi="Arial" w:cs="Arial"/>
              </w:rPr>
              <w:t>the</w:t>
            </w:r>
            <w:r w:rsidRPr="000B61B6">
              <w:rPr>
                <w:rFonts w:ascii="Arial" w:hAnsi="Arial" w:cs="Arial"/>
                <w:spacing w:val="-3"/>
              </w:rPr>
              <w:t xml:space="preserve"> </w:t>
            </w:r>
            <w:r w:rsidRPr="000B61B6">
              <w:rPr>
                <w:rFonts w:ascii="Arial" w:hAnsi="Arial" w:cs="Arial"/>
              </w:rPr>
              <w:t>AMM</w:t>
            </w:r>
          </w:p>
        </w:tc>
        <w:tc>
          <w:tcPr>
            <w:tcW w:w="1530" w:type="dxa"/>
          </w:tcPr>
          <w:p w14:paraId="1EF185A9" w14:textId="77777777" w:rsidR="0043332B" w:rsidRPr="000B61B6" w:rsidRDefault="0043332B" w:rsidP="0043332B">
            <w:pPr>
              <w:ind w:left="84"/>
              <w:rPr>
                <w:rFonts w:ascii="Arial" w:hAnsi="Arial" w:cs="Arial"/>
              </w:rPr>
            </w:pPr>
            <w:r w:rsidRPr="000B61B6">
              <w:rPr>
                <w:rFonts w:ascii="Arial" w:hAnsi="Arial" w:cs="Arial"/>
              </w:rPr>
              <w:t>Yes</w:t>
            </w:r>
          </w:p>
        </w:tc>
      </w:tr>
      <w:tr w:rsidR="000B61B6" w:rsidRPr="000B61B6" w14:paraId="383EEE50" w14:textId="77777777" w:rsidTr="0080379D">
        <w:trPr>
          <w:trHeight w:val="689"/>
        </w:trPr>
        <w:tc>
          <w:tcPr>
            <w:tcW w:w="895" w:type="dxa"/>
            <w:shd w:val="clear" w:color="auto" w:fill="F2F2F2" w:themeFill="background1" w:themeFillShade="F2"/>
          </w:tcPr>
          <w:p w14:paraId="757517FF" w14:textId="77777777" w:rsidR="0043332B" w:rsidRPr="000B61B6" w:rsidRDefault="0043332B" w:rsidP="00093EB0">
            <w:pPr>
              <w:jc w:val="center"/>
              <w:rPr>
                <w:rFonts w:ascii="Arial" w:hAnsi="Arial" w:cs="Arial"/>
                <w:b/>
              </w:rPr>
            </w:pPr>
            <w:r w:rsidRPr="000B61B6">
              <w:rPr>
                <w:rFonts w:ascii="Arial" w:hAnsi="Arial" w:cs="Arial"/>
                <w:b/>
              </w:rPr>
              <w:t>12</w:t>
            </w:r>
          </w:p>
        </w:tc>
        <w:tc>
          <w:tcPr>
            <w:tcW w:w="2250" w:type="dxa"/>
          </w:tcPr>
          <w:p w14:paraId="2826852E" w14:textId="77777777" w:rsidR="0043332B" w:rsidRPr="000B61B6" w:rsidRDefault="0043332B" w:rsidP="0043332B">
            <w:pPr>
              <w:ind w:left="85"/>
              <w:rPr>
                <w:rFonts w:ascii="Arial" w:hAnsi="Arial" w:cs="Arial"/>
              </w:rPr>
            </w:pPr>
            <w:r w:rsidRPr="000B61B6">
              <w:rPr>
                <w:rFonts w:ascii="Arial" w:hAnsi="Arial" w:cs="Arial"/>
              </w:rPr>
              <w:t>Servicing</w:t>
            </w:r>
          </w:p>
        </w:tc>
        <w:tc>
          <w:tcPr>
            <w:tcW w:w="4860" w:type="dxa"/>
          </w:tcPr>
          <w:p w14:paraId="68CFECC8" w14:textId="77777777" w:rsidR="0043332B" w:rsidRPr="000B61B6" w:rsidRDefault="0043332B" w:rsidP="001F1AC5">
            <w:pPr>
              <w:ind w:left="84"/>
              <w:jc w:val="both"/>
              <w:rPr>
                <w:rFonts w:ascii="Arial" w:hAnsi="Arial" w:cs="Arial"/>
              </w:rPr>
            </w:pPr>
            <w:r w:rsidRPr="000B61B6">
              <w:rPr>
                <w:rFonts w:ascii="Arial" w:hAnsi="Arial" w:cs="Arial"/>
              </w:rPr>
              <w:t>Those items not requiring a disassembly of other than non-</w:t>
            </w:r>
            <w:r w:rsidRPr="000B61B6">
              <w:rPr>
                <w:rFonts w:ascii="Arial" w:hAnsi="Arial" w:cs="Arial"/>
                <w:spacing w:val="1"/>
              </w:rPr>
              <w:t xml:space="preserve"> </w:t>
            </w:r>
            <w:r w:rsidRPr="000B61B6">
              <w:rPr>
                <w:rFonts w:ascii="Arial" w:hAnsi="Arial" w:cs="Arial"/>
              </w:rPr>
              <w:t>structural</w:t>
            </w:r>
            <w:r w:rsidRPr="000B61B6">
              <w:rPr>
                <w:rFonts w:ascii="Arial" w:hAnsi="Arial" w:cs="Arial"/>
                <w:spacing w:val="-3"/>
              </w:rPr>
              <w:t xml:space="preserve"> </w:t>
            </w:r>
            <w:r w:rsidRPr="000B61B6">
              <w:rPr>
                <w:rFonts w:ascii="Arial" w:hAnsi="Arial" w:cs="Arial"/>
              </w:rPr>
              <w:t>items,</w:t>
            </w:r>
            <w:r w:rsidRPr="000B61B6">
              <w:rPr>
                <w:rFonts w:ascii="Arial" w:hAnsi="Arial" w:cs="Arial"/>
                <w:spacing w:val="-2"/>
              </w:rPr>
              <w:t xml:space="preserve"> </w:t>
            </w:r>
            <w:r w:rsidRPr="000B61B6">
              <w:rPr>
                <w:rFonts w:ascii="Arial" w:hAnsi="Arial" w:cs="Arial"/>
              </w:rPr>
              <w:t>such</w:t>
            </w:r>
            <w:r w:rsidRPr="000B61B6">
              <w:rPr>
                <w:rFonts w:ascii="Arial" w:hAnsi="Arial" w:cs="Arial"/>
                <w:spacing w:val="-3"/>
              </w:rPr>
              <w:t xml:space="preserve"> </w:t>
            </w:r>
            <w:r w:rsidRPr="000B61B6">
              <w:rPr>
                <w:rFonts w:ascii="Arial" w:hAnsi="Arial" w:cs="Arial"/>
              </w:rPr>
              <w:t>as</w:t>
            </w:r>
            <w:r w:rsidRPr="000B61B6">
              <w:rPr>
                <w:rFonts w:ascii="Arial" w:hAnsi="Arial" w:cs="Arial"/>
                <w:spacing w:val="-4"/>
              </w:rPr>
              <w:t xml:space="preserve"> </w:t>
            </w:r>
            <w:r w:rsidRPr="000B61B6">
              <w:rPr>
                <w:rFonts w:ascii="Arial" w:hAnsi="Arial" w:cs="Arial"/>
              </w:rPr>
              <w:t>cover</w:t>
            </w:r>
            <w:r w:rsidRPr="000B61B6">
              <w:rPr>
                <w:rFonts w:ascii="Arial" w:hAnsi="Arial" w:cs="Arial"/>
                <w:spacing w:val="-2"/>
              </w:rPr>
              <w:t xml:space="preserve"> </w:t>
            </w:r>
            <w:r w:rsidRPr="000B61B6">
              <w:rPr>
                <w:rFonts w:ascii="Arial" w:hAnsi="Arial" w:cs="Arial"/>
              </w:rPr>
              <w:t>plates,</w:t>
            </w:r>
            <w:r w:rsidRPr="000B61B6">
              <w:rPr>
                <w:rFonts w:ascii="Arial" w:hAnsi="Arial" w:cs="Arial"/>
                <w:spacing w:val="-3"/>
              </w:rPr>
              <w:t xml:space="preserve"> </w:t>
            </w:r>
            <w:r w:rsidRPr="000B61B6">
              <w:rPr>
                <w:rFonts w:ascii="Arial" w:hAnsi="Arial" w:cs="Arial"/>
              </w:rPr>
              <w:t>cowlings</w:t>
            </w:r>
            <w:r w:rsidRPr="000B61B6">
              <w:rPr>
                <w:rFonts w:ascii="Arial" w:hAnsi="Arial" w:cs="Arial"/>
                <w:spacing w:val="-4"/>
              </w:rPr>
              <w:t xml:space="preserve"> </w:t>
            </w:r>
            <w:r w:rsidRPr="000B61B6">
              <w:rPr>
                <w:rFonts w:ascii="Arial" w:hAnsi="Arial" w:cs="Arial"/>
              </w:rPr>
              <w:t>and</w:t>
            </w:r>
            <w:r w:rsidRPr="000B61B6">
              <w:rPr>
                <w:rFonts w:ascii="Arial" w:hAnsi="Arial" w:cs="Arial"/>
                <w:spacing w:val="-2"/>
              </w:rPr>
              <w:t xml:space="preserve"> </w:t>
            </w:r>
            <w:r w:rsidR="001F1AC5">
              <w:rPr>
                <w:rFonts w:ascii="Arial" w:hAnsi="Arial" w:cs="Arial"/>
              </w:rPr>
              <w:t xml:space="preserve">fairings — </w:t>
            </w:r>
            <w:r w:rsidRPr="000B61B6">
              <w:rPr>
                <w:rFonts w:ascii="Arial" w:hAnsi="Arial" w:cs="Arial"/>
              </w:rPr>
              <w:t>lubrication</w:t>
            </w:r>
          </w:p>
        </w:tc>
        <w:tc>
          <w:tcPr>
            <w:tcW w:w="1530" w:type="dxa"/>
          </w:tcPr>
          <w:p w14:paraId="0BBBA1E8" w14:textId="77777777" w:rsidR="0043332B" w:rsidRPr="000B61B6" w:rsidRDefault="0043332B" w:rsidP="0043332B">
            <w:pPr>
              <w:ind w:left="84"/>
              <w:rPr>
                <w:rFonts w:ascii="Arial" w:hAnsi="Arial" w:cs="Arial"/>
              </w:rPr>
            </w:pPr>
            <w:r w:rsidRPr="000B61B6">
              <w:rPr>
                <w:rFonts w:ascii="Arial" w:hAnsi="Arial" w:cs="Arial"/>
              </w:rPr>
              <w:t>Yes</w:t>
            </w:r>
          </w:p>
        </w:tc>
      </w:tr>
      <w:tr w:rsidR="000B61B6" w:rsidRPr="000B61B6" w14:paraId="76E48AA6" w14:textId="77777777" w:rsidTr="0080379D">
        <w:trPr>
          <w:trHeight w:val="689"/>
        </w:trPr>
        <w:tc>
          <w:tcPr>
            <w:tcW w:w="895" w:type="dxa"/>
            <w:vMerge w:val="restart"/>
            <w:shd w:val="clear" w:color="auto" w:fill="F2F2F2" w:themeFill="background1" w:themeFillShade="F2"/>
          </w:tcPr>
          <w:p w14:paraId="61495345" w14:textId="77777777" w:rsidR="0043332B" w:rsidRPr="000B61B6" w:rsidRDefault="0043332B" w:rsidP="00093EB0">
            <w:pPr>
              <w:jc w:val="center"/>
              <w:rPr>
                <w:rFonts w:ascii="Arial" w:hAnsi="Arial" w:cs="Arial"/>
                <w:b/>
              </w:rPr>
            </w:pPr>
            <w:r w:rsidRPr="000B61B6">
              <w:rPr>
                <w:rFonts w:ascii="Arial" w:hAnsi="Arial" w:cs="Arial"/>
                <w:b/>
              </w:rPr>
              <w:t>20</w:t>
            </w:r>
          </w:p>
        </w:tc>
        <w:tc>
          <w:tcPr>
            <w:tcW w:w="2250" w:type="dxa"/>
            <w:vMerge w:val="restart"/>
          </w:tcPr>
          <w:p w14:paraId="550C6099" w14:textId="77777777" w:rsidR="0043332B" w:rsidRPr="000B61B6" w:rsidRDefault="0043332B" w:rsidP="0043332B">
            <w:pPr>
              <w:ind w:left="85" w:right="178"/>
              <w:rPr>
                <w:rFonts w:ascii="Arial" w:hAnsi="Arial" w:cs="Arial"/>
              </w:rPr>
            </w:pPr>
            <w:r w:rsidRPr="000B61B6">
              <w:rPr>
                <w:rFonts w:ascii="Arial" w:hAnsi="Arial" w:cs="Arial"/>
              </w:rPr>
              <w:t>Standard</w:t>
            </w:r>
            <w:r w:rsidRPr="000B61B6">
              <w:rPr>
                <w:rFonts w:ascii="Arial" w:hAnsi="Arial" w:cs="Arial"/>
                <w:spacing w:val="1"/>
              </w:rPr>
              <w:t xml:space="preserve"> </w:t>
            </w:r>
            <w:r w:rsidRPr="000B61B6">
              <w:rPr>
                <w:rFonts w:ascii="Arial" w:hAnsi="Arial" w:cs="Arial"/>
              </w:rPr>
              <w:t>practices</w:t>
            </w:r>
          </w:p>
        </w:tc>
        <w:tc>
          <w:tcPr>
            <w:tcW w:w="4860" w:type="dxa"/>
          </w:tcPr>
          <w:p w14:paraId="56E2A1F3" w14:textId="77777777" w:rsidR="0043332B" w:rsidRPr="000B61B6" w:rsidRDefault="0043332B" w:rsidP="001F1AC5">
            <w:pPr>
              <w:ind w:left="84"/>
              <w:jc w:val="both"/>
              <w:rPr>
                <w:rFonts w:ascii="Arial" w:hAnsi="Arial" w:cs="Arial"/>
              </w:rPr>
            </w:pPr>
            <w:r w:rsidRPr="000B61B6">
              <w:rPr>
                <w:rFonts w:ascii="Arial" w:hAnsi="Arial" w:cs="Arial"/>
              </w:rPr>
              <w:t>Safety wiring — replacement of defective safety wiring or cotter</w:t>
            </w:r>
            <w:r w:rsidRPr="000B61B6">
              <w:rPr>
                <w:rFonts w:ascii="Arial" w:hAnsi="Arial" w:cs="Arial"/>
                <w:spacing w:val="1"/>
              </w:rPr>
              <w:t xml:space="preserve"> </w:t>
            </w:r>
            <w:r w:rsidRPr="000B61B6">
              <w:rPr>
                <w:rFonts w:ascii="Arial" w:hAnsi="Arial" w:cs="Arial"/>
              </w:rPr>
              <w:t>keys,</w:t>
            </w:r>
            <w:r w:rsidRPr="000B61B6">
              <w:rPr>
                <w:rFonts w:ascii="Arial" w:hAnsi="Arial" w:cs="Arial"/>
                <w:spacing w:val="-3"/>
              </w:rPr>
              <w:t xml:space="preserve"> </w:t>
            </w:r>
            <w:r w:rsidRPr="000B61B6">
              <w:rPr>
                <w:rFonts w:ascii="Arial" w:hAnsi="Arial" w:cs="Arial"/>
              </w:rPr>
              <w:t>excluding</w:t>
            </w:r>
            <w:r w:rsidRPr="000B61B6">
              <w:rPr>
                <w:rFonts w:ascii="Arial" w:hAnsi="Arial" w:cs="Arial"/>
                <w:spacing w:val="-4"/>
              </w:rPr>
              <w:t xml:space="preserve"> </w:t>
            </w:r>
            <w:r w:rsidRPr="000B61B6">
              <w:rPr>
                <w:rFonts w:ascii="Arial" w:hAnsi="Arial" w:cs="Arial"/>
              </w:rPr>
              <w:t>those</w:t>
            </w:r>
            <w:r w:rsidRPr="000B61B6">
              <w:rPr>
                <w:rFonts w:ascii="Arial" w:hAnsi="Arial" w:cs="Arial"/>
                <w:spacing w:val="-3"/>
              </w:rPr>
              <w:t xml:space="preserve"> </w:t>
            </w:r>
            <w:r w:rsidRPr="000B61B6">
              <w:rPr>
                <w:rFonts w:ascii="Arial" w:hAnsi="Arial" w:cs="Arial"/>
              </w:rPr>
              <w:t>in engine</w:t>
            </w:r>
            <w:r w:rsidRPr="000B61B6">
              <w:rPr>
                <w:rFonts w:ascii="Arial" w:hAnsi="Arial" w:cs="Arial"/>
                <w:spacing w:val="-4"/>
              </w:rPr>
              <w:t xml:space="preserve"> </w:t>
            </w:r>
            <w:r w:rsidRPr="000B61B6">
              <w:rPr>
                <w:rFonts w:ascii="Arial" w:hAnsi="Arial" w:cs="Arial"/>
              </w:rPr>
              <w:t>controls,</w:t>
            </w:r>
            <w:r w:rsidRPr="000B61B6">
              <w:rPr>
                <w:rFonts w:ascii="Arial" w:hAnsi="Arial" w:cs="Arial"/>
                <w:spacing w:val="-2"/>
              </w:rPr>
              <w:t xml:space="preserve"> </w:t>
            </w:r>
            <w:r w:rsidRPr="000B61B6">
              <w:rPr>
                <w:rFonts w:ascii="Arial" w:hAnsi="Arial" w:cs="Arial"/>
              </w:rPr>
              <w:t>transmission</w:t>
            </w:r>
            <w:r w:rsidRPr="000B61B6">
              <w:rPr>
                <w:rFonts w:ascii="Arial" w:hAnsi="Arial" w:cs="Arial"/>
                <w:spacing w:val="-2"/>
              </w:rPr>
              <w:t xml:space="preserve"> </w:t>
            </w:r>
            <w:r w:rsidRPr="000B61B6">
              <w:rPr>
                <w:rFonts w:ascii="Arial" w:hAnsi="Arial" w:cs="Arial"/>
              </w:rPr>
              <w:t>controls</w:t>
            </w:r>
            <w:r w:rsidRPr="000B61B6">
              <w:rPr>
                <w:rFonts w:ascii="Arial" w:hAnsi="Arial" w:cs="Arial"/>
                <w:spacing w:val="-5"/>
              </w:rPr>
              <w:t xml:space="preserve"> </w:t>
            </w:r>
            <w:r w:rsidR="001F1AC5">
              <w:rPr>
                <w:rFonts w:ascii="Arial" w:hAnsi="Arial" w:cs="Arial"/>
              </w:rPr>
              <w:t xml:space="preserve">and </w:t>
            </w:r>
            <w:r w:rsidRPr="000B61B6">
              <w:rPr>
                <w:rFonts w:ascii="Arial" w:hAnsi="Arial" w:cs="Arial"/>
              </w:rPr>
              <w:t>flight</w:t>
            </w:r>
            <w:r w:rsidRPr="000B61B6">
              <w:rPr>
                <w:rFonts w:ascii="Arial" w:hAnsi="Arial" w:cs="Arial"/>
                <w:spacing w:val="-3"/>
              </w:rPr>
              <w:t xml:space="preserve"> </w:t>
            </w:r>
            <w:r w:rsidRPr="000B61B6">
              <w:rPr>
                <w:rFonts w:ascii="Arial" w:hAnsi="Arial" w:cs="Arial"/>
              </w:rPr>
              <w:t>control</w:t>
            </w:r>
            <w:r w:rsidRPr="000B61B6">
              <w:rPr>
                <w:rFonts w:ascii="Arial" w:hAnsi="Arial" w:cs="Arial"/>
                <w:spacing w:val="-2"/>
              </w:rPr>
              <w:t xml:space="preserve"> </w:t>
            </w:r>
            <w:r w:rsidRPr="000B61B6">
              <w:rPr>
                <w:rFonts w:ascii="Arial" w:hAnsi="Arial" w:cs="Arial"/>
              </w:rPr>
              <w:t>systems</w:t>
            </w:r>
          </w:p>
        </w:tc>
        <w:tc>
          <w:tcPr>
            <w:tcW w:w="1530" w:type="dxa"/>
          </w:tcPr>
          <w:p w14:paraId="4F6BD559" w14:textId="77777777" w:rsidR="0043332B" w:rsidRPr="000B61B6" w:rsidRDefault="0043332B" w:rsidP="0043332B">
            <w:pPr>
              <w:ind w:left="84"/>
              <w:rPr>
                <w:rFonts w:ascii="Arial" w:hAnsi="Arial" w:cs="Arial"/>
              </w:rPr>
            </w:pPr>
            <w:r w:rsidRPr="000B61B6">
              <w:rPr>
                <w:rFonts w:ascii="Arial" w:hAnsi="Arial" w:cs="Arial"/>
              </w:rPr>
              <w:t>Yes</w:t>
            </w:r>
          </w:p>
        </w:tc>
      </w:tr>
      <w:tr w:rsidR="000B61B6" w:rsidRPr="000B61B6" w14:paraId="0A063E16" w14:textId="77777777" w:rsidTr="0080379D">
        <w:trPr>
          <w:trHeight w:val="689"/>
        </w:trPr>
        <w:tc>
          <w:tcPr>
            <w:tcW w:w="895" w:type="dxa"/>
            <w:vMerge/>
            <w:shd w:val="clear" w:color="auto" w:fill="F2F2F2" w:themeFill="background1" w:themeFillShade="F2"/>
          </w:tcPr>
          <w:p w14:paraId="38A801E9" w14:textId="77777777" w:rsidR="0043332B" w:rsidRPr="00093EB0" w:rsidRDefault="0043332B" w:rsidP="00093EB0">
            <w:pPr>
              <w:jc w:val="center"/>
              <w:rPr>
                <w:rFonts w:ascii="Arial" w:hAnsi="Arial" w:cs="Arial"/>
                <w:b/>
              </w:rPr>
            </w:pPr>
          </w:p>
        </w:tc>
        <w:tc>
          <w:tcPr>
            <w:tcW w:w="2250" w:type="dxa"/>
            <w:vMerge/>
          </w:tcPr>
          <w:p w14:paraId="205E0803" w14:textId="77777777" w:rsidR="0043332B" w:rsidRPr="000B61B6" w:rsidRDefault="0043332B" w:rsidP="0043332B">
            <w:pPr>
              <w:rPr>
                <w:rFonts w:ascii="Arial" w:hAnsi="Arial" w:cs="Arial"/>
                <w:sz w:val="2"/>
                <w:szCs w:val="2"/>
              </w:rPr>
            </w:pPr>
          </w:p>
        </w:tc>
        <w:tc>
          <w:tcPr>
            <w:tcW w:w="4860" w:type="dxa"/>
          </w:tcPr>
          <w:p w14:paraId="52660FB0" w14:textId="77777777" w:rsidR="0043332B" w:rsidRPr="000B61B6" w:rsidRDefault="0043332B" w:rsidP="001F1AC5">
            <w:pPr>
              <w:spacing w:before="1"/>
              <w:ind w:left="84"/>
              <w:jc w:val="both"/>
              <w:rPr>
                <w:rFonts w:ascii="Arial" w:hAnsi="Arial" w:cs="Arial"/>
              </w:rPr>
            </w:pPr>
            <w:r w:rsidRPr="000B61B6">
              <w:rPr>
                <w:rFonts w:ascii="Arial" w:hAnsi="Arial" w:cs="Arial"/>
              </w:rPr>
              <w:t>Simple non-structural standard fasteners — replacement and</w:t>
            </w:r>
            <w:r w:rsidRPr="000B61B6">
              <w:rPr>
                <w:rFonts w:ascii="Arial" w:hAnsi="Arial" w:cs="Arial"/>
                <w:spacing w:val="1"/>
              </w:rPr>
              <w:t xml:space="preserve"> </w:t>
            </w:r>
            <w:r w:rsidRPr="000B61B6">
              <w:rPr>
                <w:rFonts w:ascii="Arial" w:hAnsi="Arial" w:cs="Arial"/>
              </w:rPr>
              <w:t>adjustment,</w:t>
            </w:r>
            <w:r w:rsidRPr="000B61B6">
              <w:rPr>
                <w:rFonts w:ascii="Arial" w:hAnsi="Arial" w:cs="Arial"/>
                <w:spacing w:val="-3"/>
              </w:rPr>
              <w:t xml:space="preserve"> </w:t>
            </w:r>
            <w:r w:rsidRPr="000B61B6">
              <w:rPr>
                <w:rFonts w:ascii="Arial" w:hAnsi="Arial" w:cs="Arial"/>
              </w:rPr>
              <w:t>excluding</w:t>
            </w:r>
            <w:r w:rsidRPr="000B61B6">
              <w:rPr>
                <w:rFonts w:ascii="Arial" w:hAnsi="Arial" w:cs="Arial"/>
                <w:spacing w:val="-3"/>
              </w:rPr>
              <w:t xml:space="preserve"> </w:t>
            </w:r>
            <w:r w:rsidRPr="000B61B6">
              <w:rPr>
                <w:rFonts w:ascii="Arial" w:hAnsi="Arial" w:cs="Arial"/>
              </w:rPr>
              <w:t>the</w:t>
            </w:r>
            <w:r w:rsidRPr="000B61B6">
              <w:rPr>
                <w:rFonts w:ascii="Arial" w:hAnsi="Arial" w:cs="Arial"/>
                <w:spacing w:val="-3"/>
              </w:rPr>
              <w:t xml:space="preserve"> </w:t>
            </w:r>
            <w:r w:rsidRPr="000B61B6">
              <w:rPr>
                <w:rFonts w:ascii="Arial" w:hAnsi="Arial" w:cs="Arial"/>
              </w:rPr>
              <w:t>replacement</w:t>
            </w:r>
            <w:r w:rsidRPr="000B61B6">
              <w:rPr>
                <w:rFonts w:ascii="Arial" w:hAnsi="Arial" w:cs="Arial"/>
                <w:spacing w:val="-2"/>
              </w:rPr>
              <w:t xml:space="preserve"> </w:t>
            </w:r>
            <w:r w:rsidRPr="000B61B6">
              <w:rPr>
                <w:rFonts w:ascii="Arial" w:hAnsi="Arial" w:cs="Arial"/>
              </w:rPr>
              <w:t>of</w:t>
            </w:r>
            <w:r w:rsidRPr="000B61B6">
              <w:rPr>
                <w:rFonts w:ascii="Arial" w:hAnsi="Arial" w:cs="Arial"/>
                <w:spacing w:val="-4"/>
              </w:rPr>
              <w:t xml:space="preserve"> </w:t>
            </w:r>
            <w:r w:rsidRPr="000B61B6">
              <w:rPr>
                <w:rFonts w:ascii="Arial" w:hAnsi="Arial" w:cs="Arial"/>
              </w:rPr>
              <w:t>receptacles</w:t>
            </w:r>
            <w:r w:rsidRPr="000B61B6">
              <w:rPr>
                <w:rFonts w:ascii="Arial" w:hAnsi="Arial" w:cs="Arial"/>
                <w:spacing w:val="-3"/>
              </w:rPr>
              <w:t xml:space="preserve"> </w:t>
            </w:r>
            <w:r w:rsidRPr="000B61B6">
              <w:rPr>
                <w:rFonts w:ascii="Arial" w:hAnsi="Arial" w:cs="Arial"/>
              </w:rPr>
              <w:t>and</w:t>
            </w:r>
            <w:r w:rsidRPr="000B61B6">
              <w:rPr>
                <w:rFonts w:ascii="Arial" w:hAnsi="Arial" w:cs="Arial"/>
                <w:spacing w:val="-3"/>
              </w:rPr>
              <w:t xml:space="preserve"> </w:t>
            </w:r>
            <w:r w:rsidR="001F1AC5">
              <w:rPr>
                <w:rFonts w:ascii="Arial" w:hAnsi="Arial" w:cs="Arial"/>
              </w:rPr>
              <w:t xml:space="preserve">anchor </w:t>
            </w:r>
            <w:r w:rsidRPr="000B61B6">
              <w:rPr>
                <w:rFonts w:ascii="Arial" w:hAnsi="Arial" w:cs="Arial"/>
              </w:rPr>
              <w:t>nuts</w:t>
            </w:r>
            <w:r w:rsidRPr="000B61B6">
              <w:rPr>
                <w:rFonts w:ascii="Arial" w:hAnsi="Arial" w:cs="Arial"/>
                <w:spacing w:val="-4"/>
              </w:rPr>
              <w:t xml:space="preserve"> </w:t>
            </w:r>
            <w:r w:rsidRPr="000B61B6">
              <w:rPr>
                <w:rFonts w:ascii="Arial" w:hAnsi="Arial" w:cs="Arial"/>
              </w:rPr>
              <w:t>requiring</w:t>
            </w:r>
            <w:r w:rsidRPr="000B61B6">
              <w:rPr>
                <w:rFonts w:ascii="Arial" w:hAnsi="Arial" w:cs="Arial"/>
                <w:spacing w:val="-3"/>
              </w:rPr>
              <w:t xml:space="preserve"> </w:t>
            </w:r>
            <w:r w:rsidRPr="000B61B6">
              <w:rPr>
                <w:rFonts w:ascii="Arial" w:hAnsi="Arial" w:cs="Arial"/>
              </w:rPr>
              <w:t>riveting</w:t>
            </w:r>
          </w:p>
        </w:tc>
        <w:tc>
          <w:tcPr>
            <w:tcW w:w="1530" w:type="dxa"/>
          </w:tcPr>
          <w:p w14:paraId="3074C069" w14:textId="77777777" w:rsidR="0043332B" w:rsidRPr="000B61B6" w:rsidRDefault="0043332B" w:rsidP="0043332B">
            <w:pPr>
              <w:spacing w:before="1"/>
              <w:ind w:left="84"/>
              <w:rPr>
                <w:rFonts w:ascii="Arial" w:hAnsi="Arial" w:cs="Arial"/>
              </w:rPr>
            </w:pPr>
            <w:r w:rsidRPr="000B61B6">
              <w:rPr>
                <w:rFonts w:ascii="Arial" w:hAnsi="Arial" w:cs="Arial"/>
              </w:rPr>
              <w:t>Yes</w:t>
            </w:r>
          </w:p>
        </w:tc>
      </w:tr>
      <w:tr w:rsidR="000B61B6" w:rsidRPr="000B61B6" w14:paraId="02394027" w14:textId="77777777" w:rsidTr="0080379D">
        <w:trPr>
          <w:trHeight w:val="200"/>
        </w:trPr>
        <w:tc>
          <w:tcPr>
            <w:tcW w:w="895" w:type="dxa"/>
            <w:shd w:val="clear" w:color="auto" w:fill="F2F2F2" w:themeFill="background1" w:themeFillShade="F2"/>
          </w:tcPr>
          <w:p w14:paraId="2C887F7A" w14:textId="77777777" w:rsidR="0043332B" w:rsidRPr="000B61B6" w:rsidRDefault="0043332B" w:rsidP="00093EB0">
            <w:pPr>
              <w:jc w:val="center"/>
              <w:rPr>
                <w:rFonts w:ascii="Arial" w:hAnsi="Arial" w:cs="Arial"/>
                <w:b/>
              </w:rPr>
            </w:pPr>
            <w:r w:rsidRPr="000B61B6">
              <w:rPr>
                <w:rFonts w:ascii="Arial" w:hAnsi="Arial" w:cs="Arial"/>
                <w:b/>
              </w:rPr>
              <w:t>21</w:t>
            </w:r>
          </w:p>
        </w:tc>
        <w:tc>
          <w:tcPr>
            <w:tcW w:w="2250" w:type="dxa"/>
          </w:tcPr>
          <w:p w14:paraId="0B8F289D" w14:textId="77777777" w:rsidR="0043332B" w:rsidRPr="000B61B6" w:rsidRDefault="0043332B" w:rsidP="0043332B">
            <w:pPr>
              <w:spacing w:line="222" w:lineRule="exact"/>
              <w:ind w:left="85"/>
              <w:rPr>
                <w:rFonts w:ascii="Arial" w:hAnsi="Arial" w:cs="Arial"/>
              </w:rPr>
            </w:pPr>
            <w:r w:rsidRPr="000B61B6">
              <w:rPr>
                <w:rFonts w:ascii="Arial" w:hAnsi="Arial" w:cs="Arial"/>
              </w:rPr>
              <w:t>Air</w:t>
            </w:r>
            <w:r w:rsidRPr="000B61B6">
              <w:rPr>
                <w:rFonts w:ascii="Arial" w:hAnsi="Arial" w:cs="Arial"/>
                <w:spacing w:val="-3"/>
              </w:rPr>
              <w:t xml:space="preserve"> </w:t>
            </w:r>
            <w:r w:rsidRPr="000B61B6">
              <w:rPr>
                <w:rFonts w:ascii="Arial" w:hAnsi="Arial" w:cs="Arial"/>
              </w:rPr>
              <w:t>conditioning</w:t>
            </w:r>
          </w:p>
        </w:tc>
        <w:tc>
          <w:tcPr>
            <w:tcW w:w="4860" w:type="dxa"/>
          </w:tcPr>
          <w:p w14:paraId="0E15D8D8" w14:textId="77777777" w:rsidR="0043332B" w:rsidRPr="000B61B6" w:rsidRDefault="0043332B" w:rsidP="001F1AC5">
            <w:pPr>
              <w:spacing w:line="222" w:lineRule="exact"/>
              <w:ind w:left="84"/>
              <w:jc w:val="both"/>
              <w:rPr>
                <w:rFonts w:ascii="Arial" w:hAnsi="Arial" w:cs="Arial"/>
              </w:rPr>
            </w:pPr>
            <w:r w:rsidRPr="000B61B6">
              <w:rPr>
                <w:rFonts w:ascii="Arial" w:hAnsi="Arial" w:cs="Arial"/>
              </w:rPr>
              <w:t>Replacement</w:t>
            </w:r>
            <w:r w:rsidRPr="000B61B6">
              <w:rPr>
                <w:rFonts w:ascii="Arial" w:hAnsi="Arial" w:cs="Arial"/>
                <w:spacing w:val="-2"/>
              </w:rPr>
              <w:t xml:space="preserve"> </w:t>
            </w:r>
            <w:r w:rsidRPr="000B61B6">
              <w:rPr>
                <w:rFonts w:ascii="Arial" w:hAnsi="Arial" w:cs="Arial"/>
              </w:rPr>
              <w:t>of</w:t>
            </w:r>
            <w:r w:rsidRPr="000B61B6">
              <w:rPr>
                <w:rFonts w:ascii="Arial" w:hAnsi="Arial" w:cs="Arial"/>
                <w:spacing w:val="-4"/>
              </w:rPr>
              <w:t xml:space="preserve"> </w:t>
            </w:r>
            <w:r w:rsidRPr="000B61B6">
              <w:rPr>
                <w:rFonts w:ascii="Arial" w:hAnsi="Arial" w:cs="Arial"/>
              </w:rPr>
              <w:t>flexible</w:t>
            </w:r>
            <w:r w:rsidRPr="000B61B6">
              <w:rPr>
                <w:rFonts w:ascii="Arial" w:hAnsi="Arial" w:cs="Arial"/>
                <w:spacing w:val="-3"/>
              </w:rPr>
              <w:t xml:space="preserve"> </w:t>
            </w:r>
            <w:r w:rsidRPr="000B61B6">
              <w:rPr>
                <w:rFonts w:ascii="Arial" w:hAnsi="Arial" w:cs="Arial"/>
              </w:rPr>
              <w:t>hoses</w:t>
            </w:r>
            <w:r w:rsidRPr="000B61B6">
              <w:rPr>
                <w:rFonts w:ascii="Arial" w:hAnsi="Arial" w:cs="Arial"/>
                <w:spacing w:val="-2"/>
              </w:rPr>
              <w:t xml:space="preserve"> </w:t>
            </w:r>
            <w:r w:rsidRPr="000B61B6">
              <w:rPr>
                <w:rFonts w:ascii="Arial" w:hAnsi="Arial" w:cs="Arial"/>
              </w:rPr>
              <w:t>and</w:t>
            </w:r>
            <w:r w:rsidRPr="000B61B6">
              <w:rPr>
                <w:rFonts w:ascii="Arial" w:hAnsi="Arial" w:cs="Arial"/>
                <w:spacing w:val="-2"/>
              </w:rPr>
              <w:t xml:space="preserve"> </w:t>
            </w:r>
            <w:r w:rsidRPr="000B61B6">
              <w:rPr>
                <w:rFonts w:ascii="Arial" w:hAnsi="Arial" w:cs="Arial"/>
              </w:rPr>
              <w:t>ducts</w:t>
            </w:r>
          </w:p>
        </w:tc>
        <w:tc>
          <w:tcPr>
            <w:tcW w:w="1530" w:type="dxa"/>
          </w:tcPr>
          <w:p w14:paraId="772C86B8" w14:textId="77777777" w:rsidR="0043332B" w:rsidRPr="000B61B6" w:rsidRDefault="0043332B" w:rsidP="0043332B">
            <w:pPr>
              <w:spacing w:line="222" w:lineRule="exact"/>
              <w:ind w:left="84"/>
              <w:rPr>
                <w:rFonts w:ascii="Arial" w:hAnsi="Arial" w:cs="Arial"/>
              </w:rPr>
            </w:pPr>
            <w:r w:rsidRPr="000B61B6">
              <w:rPr>
                <w:rFonts w:ascii="Arial" w:hAnsi="Arial" w:cs="Arial"/>
              </w:rPr>
              <w:t>Yes</w:t>
            </w:r>
          </w:p>
        </w:tc>
      </w:tr>
      <w:tr w:rsidR="000B61B6" w:rsidRPr="000B61B6" w14:paraId="1A90AE0B" w14:textId="77777777" w:rsidTr="0080379D">
        <w:trPr>
          <w:trHeight w:val="689"/>
        </w:trPr>
        <w:tc>
          <w:tcPr>
            <w:tcW w:w="895" w:type="dxa"/>
            <w:shd w:val="clear" w:color="auto" w:fill="F2F2F2" w:themeFill="background1" w:themeFillShade="F2"/>
          </w:tcPr>
          <w:p w14:paraId="695EBCA8" w14:textId="77777777" w:rsidR="0043332B" w:rsidRPr="000B61B6" w:rsidRDefault="0043332B" w:rsidP="00093EB0">
            <w:pPr>
              <w:jc w:val="center"/>
              <w:rPr>
                <w:rFonts w:ascii="Arial" w:hAnsi="Arial" w:cs="Arial"/>
                <w:b/>
              </w:rPr>
            </w:pPr>
            <w:r w:rsidRPr="000B61B6">
              <w:rPr>
                <w:rFonts w:ascii="Arial" w:hAnsi="Arial" w:cs="Arial"/>
                <w:b/>
              </w:rPr>
              <w:t>23</w:t>
            </w:r>
          </w:p>
        </w:tc>
        <w:tc>
          <w:tcPr>
            <w:tcW w:w="2250" w:type="dxa"/>
          </w:tcPr>
          <w:p w14:paraId="7278647A" w14:textId="77777777" w:rsidR="0043332B" w:rsidRPr="000B61B6" w:rsidRDefault="0043332B" w:rsidP="0043332B">
            <w:pPr>
              <w:ind w:left="85"/>
              <w:rPr>
                <w:rFonts w:ascii="Arial" w:hAnsi="Arial" w:cs="Arial"/>
              </w:rPr>
            </w:pPr>
            <w:r w:rsidRPr="000B61B6">
              <w:rPr>
                <w:rFonts w:ascii="Arial" w:hAnsi="Arial" w:cs="Arial"/>
              </w:rPr>
              <w:t>Communication</w:t>
            </w:r>
          </w:p>
        </w:tc>
        <w:tc>
          <w:tcPr>
            <w:tcW w:w="4860" w:type="dxa"/>
          </w:tcPr>
          <w:p w14:paraId="0FB39F4C" w14:textId="77777777" w:rsidR="0043332B" w:rsidRPr="000B61B6" w:rsidRDefault="0043332B" w:rsidP="007010C5">
            <w:pPr>
              <w:spacing w:line="240" w:lineRule="atLeast"/>
              <w:ind w:left="84" w:right="379"/>
              <w:jc w:val="both"/>
              <w:rPr>
                <w:rFonts w:ascii="Arial" w:hAnsi="Arial" w:cs="Arial"/>
              </w:rPr>
            </w:pPr>
            <w:r w:rsidRPr="000B61B6">
              <w:rPr>
                <w:rFonts w:ascii="Arial" w:hAnsi="Arial" w:cs="Arial"/>
              </w:rPr>
              <w:t>Communication devices — remove and replace self-contained,</w:t>
            </w:r>
            <w:r w:rsidRPr="000B61B6">
              <w:rPr>
                <w:rFonts w:ascii="Arial" w:hAnsi="Arial" w:cs="Arial"/>
                <w:spacing w:val="1"/>
              </w:rPr>
              <w:t xml:space="preserve"> </w:t>
            </w:r>
            <w:r w:rsidRPr="000B61B6">
              <w:rPr>
                <w:rFonts w:ascii="Arial" w:hAnsi="Arial" w:cs="Arial"/>
              </w:rPr>
              <w:t>instrument-panel-mounted communication devices with quick-</w:t>
            </w:r>
            <w:r w:rsidRPr="000B61B6">
              <w:rPr>
                <w:rFonts w:ascii="Arial" w:hAnsi="Arial" w:cs="Arial"/>
                <w:spacing w:val="1"/>
              </w:rPr>
              <w:t xml:space="preserve"> </w:t>
            </w:r>
            <w:r w:rsidRPr="000B61B6">
              <w:rPr>
                <w:rFonts w:ascii="Arial" w:hAnsi="Arial" w:cs="Arial"/>
              </w:rPr>
              <w:t>disconnect</w:t>
            </w:r>
            <w:r w:rsidRPr="000B61B6">
              <w:rPr>
                <w:rFonts w:ascii="Arial" w:hAnsi="Arial" w:cs="Arial"/>
                <w:spacing w:val="-1"/>
              </w:rPr>
              <w:t xml:space="preserve"> </w:t>
            </w:r>
            <w:r w:rsidRPr="000B61B6">
              <w:rPr>
                <w:rFonts w:ascii="Arial" w:hAnsi="Arial" w:cs="Arial"/>
              </w:rPr>
              <w:t>connectors, excluding</w:t>
            </w:r>
            <w:r w:rsidRPr="000B61B6">
              <w:rPr>
                <w:rFonts w:ascii="Arial" w:hAnsi="Arial" w:cs="Arial"/>
                <w:spacing w:val="-2"/>
              </w:rPr>
              <w:t xml:space="preserve"> </w:t>
            </w:r>
            <w:r w:rsidRPr="000B61B6">
              <w:rPr>
                <w:rFonts w:ascii="Arial" w:hAnsi="Arial" w:cs="Arial"/>
              </w:rPr>
              <w:t>IFR operations</w:t>
            </w:r>
          </w:p>
        </w:tc>
        <w:tc>
          <w:tcPr>
            <w:tcW w:w="1530" w:type="dxa"/>
          </w:tcPr>
          <w:p w14:paraId="78F2ED90" w14:textId="77777777" w:rsidR="0043332B" w:rsidRPr="000B61B6" w:rsidRDefault="0043332B" w:rsidP="0043332B">
            <w:pPr>
              <w:ind w:left="84"/>
              <w:rPr>
                <w:rFonts w:ascii="Arial" w:hAnsi="Arial" w:cs="Arial"/>
              </w:rPr>
            </w:pPr>
            <w:r w:rsidRPr="000B61B6">
              <w:rPr>
                <w:rFonts w:ascii="Arial" w:hAnsi="Arial" w:cs="Arial"/>
              </w:rPr>
              <w:t>Yes**</w:t>
            </w:r>
          </w:p>
        </w:tc>
      </w:tr>
      <w:tr w:rsidR="000B61B6" w:rsidRPr="000B61B6" w14:paraId="307F0B4B" w14:textId="77777777" w:rsidTr="0080379D">
        <w:trPr>
          <w:trHeight w:val="202"/>
        </w:trPr>
        <w:tc>
          <w:tcPr>
            <w:tcW w:w="895" w:type="dxa"/>
            <w:vMerge w:val="restart"/>
            <w:shd w:val="clear" w:color="auto" w:fill="F2F2F2" w:themeFill="background1" w:themeFillShade="F2"/>
          </w:tcPr>
          <w:p w14:paraId="3B7191DF" w14:textId="77777777" w:rsidR="0043332B" w:rsidRPr="000B61B6" w:rsidRDefault="0043332B" w:rsidP="00093EB0">
            <w:pPr>
              <w:jc w:val="center"/>
              <w:rPr>
                <w:rFonts w:ascii="Arial" w:hAnsi="Arial" w:cs="Arial"/>
                <w:b/>
              </w:rPr>
            </w:pPr>
            <w:r w:rsidRPr="000B61B6">
              <w:rPr>
                <w:rFonts w:ascii="Arial" w:hAnsi="Arial" w:cs="Arial"/>
                <w:b/>
              </w:rPr>
              <w:t>24</w:t>
            </w:r>
          </w:p>
        </w:tc>
        <w:tc>
          <w:tcPr>
            <w:tcW w:w="2250" w:type="dxa"/>
            <w:vMerge w:val="restart"/>
          </w:tcPr>
          <w:p w14:paraId="0EF5E27E" w14:textId="77777777" w:rsidR="0043332B" w:rsidRPr="000B61B6" w:rsidRDefault="0043332B" w:rsidP="0043332B">
            <w:pPr>
              <w:ind w:left="85"/>
              <w:rPr>
                <w:rFonts w:ascii="Arial" w:hAnsi="Arial" w:cs="Arial"/>
              </w:rPr>
            </w:pPr>
            <w:r w:rsidRPr="000B61B6">
              <w:rPr>
                <w:rFonts w:ascii="Arial" w:hAnsi="Arial" w:cs="Arial"/>
              </w:rPr>
              <w:t>Electrical</w:t>
            </w:r>
            <w:r w:rsidRPr="000B61B6">
              <w:rPr>
                <w:rFonts w:ascii="Arial" w:hAnsi="Arial" w:cs="Arial"/>
                <w:spacing w:val="-3"/>
              </w:rPr>
              <w:t xml:space="preserve"> </w:t>
            </w:r>
            <w:r w:rsidRPr="000B61B6">
              <w:rPr>
                <w:rFonts w:ascii="Arial" w:hAnsi="Arial" w:cs="Arial"/>
              </w:rPr>
              <w:t>power</w:t>
            </w:r>
          </w:p>
        </w:tc>
        <w:tc>
          <w:tcPr>
            <w:tcW w:w="4860" w:type="dxa"/>
          </w:tcPr>
          <w:p w14:paraId="09FEC462" w14:textId="77777777" w:rsidR="0043332B" w:rsidRPr="000B61B6" w:rsidRDefault="0043332B" w:rsidP="007010C5">
            <w:pPr>
              <w:spacing w:line="225" w:lineRule="exact"/>
              <w:ind w:left="84"/>
              <w:jc w:val="both"/>
              <w:rPr>
                <w:rFonts w:ascii="Arial" w:hAnsi="Arial" w:cs="Arial"/>
              </w:rPr>
            </w:pPr>
            <w:r w:rsidRPr="000B61B6">
              <w:rPr>
                <w:rFonts w:ascii="Arial" w:hAnsi="Arial" w:cs="Arial"/>
              </w:rPr>
              <w:t>Batteries</w:t>
            </w:r>
            <w:r w:rsidRPr="000B61B6">
              <w:rPr>
                <w:rFonts w:ascii="Arial" w:hAnsi="Arial" w:cs="Arial"/>
                <w:spacing w:val="-3"/>
              </w:rPr>
              <w:t xml:space="preserve"> </w:t>
            </w:r>
            <w:r w:rsidRPr="000B61B6">
              <w:rPr>
                <w:rFonts w:ascii="Arial" w:hAnsi="Arial" w:cs="Arial"/>
              </w:rPr>
              <w:t>—</w:t>
            </w:r>
            <w:r w:rsidRPr="000B61B6">
              <w:rPr>
                <w:rFonts w:ascii="Arial" w:hAnsi="Arial" w:cs="Arial"/>
                <w:spacing w:val="-3"/>
              </w:rPr>
              <w:t xml:space="preserve"> </w:t>
            </w:r>
            <w:r w:rsidRPr="000B61B6">
              <w:rPr>
                <w:rFonts w:ascii="Arial" w:hAnsi="Arial" w:cs="Arial"/>
              </w:rPr>
              <w:t>replacement</w:t>
            </w:r>
            <w:r w:rsidRPr="000B61B6">
              <w:rPr>
                <w:rFonts w:ascii="Arial" w:hAnsi="Arial" w:cs="Arial"/>
                <w:spacing w:val="-2"/>
              </w:rPr>
              <w:t xml:space="preserve"> </w:t>
            </w:r>
            <w:r w:rsidRPr="000B61B6">
              <w:rPr>
                <w:rFonts w:ascii="Arial" w:hAnsi="Arial" w:cs="Arial"/>
              </w:rPr>
              <w:t>and</w:t>
            </w:r>
            <w:r w:rsidRPr="000B61B6">
              <w:rPr>
                <w:rFonts w:ascii="Arial" w:hAnsi="Arial" w:cs="Arial"/>
                <w:spacing w:val="-3"/>
              </w:rPr>
              <w:t xml:space="preserve"> </w:t>
            </w:r>
            <w:r w:rsidRPr="000B61B6">
              <w:rPr>
                <w:rFonts w:ascii="Arial" w:hAnsi="Arial" w:cs="Arial"/>
              </w:rPr>
              <w:t>servicing</w:t>
            </w:r>
          </w:p>
        </w:tc>
        <w:tc>
          <w:tcPr>
            <w:tcW w:w="1530" w:type="dxa"/>
          </w:tcPr>
          <w:p w14:paraId="0DC09775" w14:textId="77777777" w:rsidR="0043332B" w:rsidRPr="000B61B6" w:rsidRDefault="0043332B" w:rsidP="0043332B">
            <w:pPr>
              <w:spacing w:line="225" w:lineRule="exact"/>
              <w:ind w:left="84"/>
              <w:rPr>
                <w:rFonts w:ascii="Arial" w:hAnsi="Arial" w:cs="Arial"/>
              </w:rPr>
            </w:pPr>
            <w:r w:rsidRPr="000B61B6">
              <w:rPr>
                <w:rFonts w:ascii="Arial" w:hAnsi="Arial" w:cs="Arial"/>
              </w:rPr>
              <w:t>Yes</w:t>
            </w:r>
          </w:p>
        </w:tc>
      </w:tr>
      <w:tr w:rsidR="000B61B6" w:rsidRPr="000B61B6" w14:paraId="1EAA1EAA" w14:textId="77777777" w:rsidTr="0080379D">
        <w:trPr>
          <w:trHeight w:val="620"/>
        </w:trPr>
        <w:tc>
          <w:tcPr>
            <w:tcW w:w="895" w:type="dxa"/>
            <w:vMerge/>
            <w:shd w:val="clear" w:color="auto" w:fill="F2F2F2" w:themeFill="background1" w:themeFillShade="F2"/>
          </w:tcPr>
          <w:p w14:paraId="14E10109" w14:textId="77777777" w:rsidR="0043332B" w:rsidRPr="00093EB0" w:rsidRDefault="0043332B" w:rsidP="00093EB0">
            <w:pPr>
              <w:jc w:val="center"/>
              <w:rPr>
                <w:rFonts w:ascii="Arial" w:hAnsi="Arial" w:cs="Arial"/>
                <w:b/>
              </w:rPr>
            </w:pPr>
          </w:p>
        </w:tc>
        <w:tc>
          <w:tcPr>
            <w:tcW w:w="2250" w:type="dxa"/>
            <w:vMerge/>
          </w:tcPr>
          <w:p w14:paraId="16F16002" w14:textId="77777777" w:rsidR="0043332B" w:rsidRPr="000B61B6" w:rsidRDefault="0043332B" w:rsidP="0043332B">
            <w:pPr>
              <w:rPr>
                <w:rFonts w:ascii="Arial" w:hAnsi="Arial" w:cs="Arial"/>
                <w:sz w:val="2"/>
                <w:szCs w:val="2"/>
              </w:rPr>
            </w:pPr>
          </w:p>
        </w:tc>
        <w:tc>
          <w:tcPr>
            <w:tcW w:w="4860" w:type="dxa"/>
          </w:tcPr>
          <w:p w14:paraId="44FCE6DF" w14:textId="77777777" w:rsidR="0043332B" w:rsidRPr="000B61B6" w:rsidRDefault="0043332B" w:rsidP="007010C5">
            <w:pPr>
              <w:ind w:left="84"/>
              <w:jc w:val="both"/>
              <w:rPr>
                <w:rFonts w:ascii="Arial" w:hAnsi="Arial" w:cs="Arial"/>
              </w:rPr>
            </w:pPr>
            <w:r w:rsidRPr="000B61B6">
              <w:rPr>
                <w:rFonts w:ascii="Arial" w:hAnsi="Arial" w:cs="Arial"/>
              </w:rPr>
              <w:t>Wiring — repairing broken circuits in non-critical equipment,</w:t>
            </w:r>
            <w:r w:rsidRPr="000B61B6">
              <w:rPr>
                <w:rFonts w:ascii="Arial" w:hAnsi="Arial" w:cs="Arial"/>
                <w:spacing w:val="1"/>
              </w:rPr>
              <w:t xml:space="preserve"> </w:t>
            </w:r>
            <w:r w:rsidRPr="000B61B6">
              <w:rPr>
                <w:rFonts w:ascii="Arial" w:hAnsi="Arial" w:cs="Arial"/>
              </w:rPr>
              <w:t>excluding ignition system, primary generating system and required</w:t>
            </w:r>
            <w:r w:rsidRPr="000B61B6">
              <w:rPr>
                <w:rFonts w:ascii="Arial" w:hAnsi="Arial" w:cs="Arial"/>
                <w:spacing w:val="-43"/>
              </w:rPr>
              <w:t xml:space="preserve"> </w:t>
            </w:r>
            <w:r w:rsidRPr="000B61B6">
              <w:rPr>
                <w:rFonts w:ascii="Arial" w:hAnsi="Arial" w:cs="Arial"/>
              </w:rPr>
              <w:t>communication,</w:t>
            </w:r>
            <w:r w:rsidRPr="000B61B6">
              <w:rPr>
                <w:rFonts w:ascii="Arial" w:hAnsi="Arial" w:cs="Arial"/>
                <w:spacing w:val="-2"/>
              </w:rPr>
              <w:t xml:space="preserve"> </w:t>
            </w:r>
            <w:r w:rsidRPr="000B61B6">
              <w:rPr>
                <w:rFonts w:ascii="Arial" w:hAnsi="Arial" w:cs="Arial"/>
              </w:rPr>
              <w:t>as well</w:t>
            </w:r>
            <w:r w:rsidRPr="000B61B6">
              <w:rPr>
                <w:rFonts w:ascii="Arial" w:hAnsi="Arial" w:cs="Arial"/>
                <w:spacing w:val="-2"/>
              </w:rPr>
              <w:t xml:space="preserve"> </w:t>
            </w:r>
            <w:r w:rsidRPr="000B61B6">
              <w:rPr>
                <w:rFonts w:ascii="Arial" w:hAnsi="Arial" w:cs="Arial"/>
              </w:rPr>
              <w:t>as</w:t>
            </w:r>
            <w:r w:rsidRPr="000B61B6">
              <w:rPr>
                <w:rFonts w:ascii="Arial" w:hAnsi="Arial" w:cs="Arial"/>
                <w:spacing w:val="-3"/>
              </w:rPr>
              <w:t xml:space="preserve"> </w:t>
            </w:r>
            <w:r w:rsidRPr="000B61B6">
              <w:rPr>
                <w:rFonts w:ascii="Arial" w:hAnsi="Arial" w:cs="Arial"/>
              </w:rPr>
              <w:t>navigation system</w:t>
            </w:r>
            <w:r w:rsidRPr="000B61B6">
              <w:rPr>
                <w:rFonts w:ascii="Arial" w:hAnsi="Arial" w:cs="Arial"/>
                <w:spacing w:val="-3"/>
              </w:rPr>
              <w:t xml:space="preserve"> </w:t>
            </w:r>
            <w:r w:rsidRPr="000B61B6">
              <w:rPr>
                <w:rFonts w:ascii="Arial" w:hAnsi="Arial" w:cs="Arial"/>
              </w:rPr>
              <w:t>and</w:t>
            </w:r>
            <w:r w:rsidRPr="000B61B6">
              <w:rPr>
                <w:rFonts w:ascii="Arial" w:hAnsi="Arial" w:cs="Arial"/>
                <w:spacing w:val="-1"/>
              </w:rPr>
              <w:t xml:space="preserve"> </w:t>
            </w:r>
            <w:r w:rsidRPr="000B61B6">
              <w:rPr>
                <w:rFonts w:ascii="Arial" w:hAnsi="Arial" w:cs="Arial"/>
              </w:rPr>
              <w:t>primary</w:t>
            </w:r>
            <w:r w:rsidRPr="000B61B6">
              <w:rPr>
                <w:rFonts w:ascii="Arial" w:hAnsi="Arial" w:cs="Arial"/>
                <w:spacing w:val="-1"/>
              </w:rPr>
              <w:t xml:space="preserve"> </w:t>
            </w:r>
            <w:r w:rsidRPr="000B61B6">
              <w:rPr>
                <w:rFonts w:ascii="Arial" w:hAnsi="Arial" w:cs="Arial"/>
              </w:rPr>
              <w:t>flight</w:t>
            </w:r>
          </w:p>
          <w:p w14:paraId="3531D10E" w14:textId="77777777" w:rsidR="0043332B" w:rsidRPr="007010C5" w:rsidRDefault="0043332B" w:rsidP="007010C5">
            <w:pPr>
              <w:spacing w:line="222" w:lineRule="exact"/>
              <w:ind w:left="84"/>
              <w:jc w:val="both"/>
              <w:rPr>
                <w:rFonts w:ascii="Arial" w:hAnsi="Arial" w:cs="Arial"/>
              </w:rPr>
            </w:pPr>
            <w:r w:rsidRPr="000B61B6">
              <w:rPr>
                <w:rFonts w:ascii="Arial" w:hAnsi="Arial" w:cs="Arial"/>
              </w:rPr>
              <w:t>instruments</w:t>
            </w:r>
          </w:p>
        </w:tc>
        <w:tc>
          <w:tcPr>
            <w:tcW w:w="1530" w:type="dxa"/>
          </w:tcPr>
          <w:p w14:paraId="532DC9F8" w14:textId="77777777" w:rsidR="0043332B" w:rsidRPr="000B61B6" w:rsidRDefault="0043332B" w:rsidP="0043332B">
            <w:pPr>
              <w:ind w:left="84"/>
              <w:rPr>
                <w:rFonts w:ascii="Arial" w:hAnsi="Arial" w:cs="Arial"/>
              </w:rPr>
            </w:pPr>
            <w:r w:rsidRPr="000B61B6">
              <w:rPr>
                <w:rFonts w:ascii="Arial" w:hAnsi="Arial" w:cs="Arial"/>
              </w:rPr>
              <w:t>Yes</w:t>
            </w:r>
          </w:p>
        </w:tc>
      </w:tr>
      <w:tr w:rsidR="000B61B6" w:rsidRPr="000B61B6" w14:paraId="52E5F306" w14:textId="77777777" w:rsidTr="0080379D">
        <w:trPr>
          <w:trHeight w:val="202"/>
        </w:trPr>
        <w:tc>
          <w:tcPr>
            <w:tcW w:w="895" w:type="dxa"/>
            <w:vMerge/>
            <w:shd w:val="clear" w:color="auto" w:fill="F2F2F2" w:themeFill="background1" w:themeFillShade="F2"/>
          </w:tcPr>
          <w:p w14:paraId="7F6724FD" w14:textId="77777777" w:rsidR="0043332B" w:rsidRPr="00093EB0" w:rsidRDefault="0043332B" w:rsidP="00093EB0">
            <w:pPr>
              <w:jc w:val="center"/>
              <w:rPr>
                <w:rFonts w:ascii="Arial" w:hAnsi="Arial" w:cs="Arial"/>
                <w:b/>
              </w:rPr>
            </w:pPr>
          </w:p>
        </w:tc>
        <w:tc>
          <w:tcPr>
            <w:tcW w:w="2250" w:type="dxa"/>
            <w:vMerge/>
          </w:tcPr>
          <w:p w14:paraId="3302F7D2" w14:textId="77777777" w:rsidR="0043332B" w:rsidRPr="000B61B6" w:rsidRDefault="0043332B" w:rsidP="0043332B">
            <w:pPr>
              <w:rPr>
                <w:rFonts w:ascii="Arial" w:hAnsi="Arial" w:cs="Arial"/>
                <w:sz w:val="2"/>
                <w:szCs w:val="2"/>
              </w:rPr>
            </w:pPr>
          </w:p>
        </w:tc>
        <w:tc>
          <w:tcPr>
            <w:tcW w:w="4860" w:type="dxa"/>
          </w:tcPr>
          <w:p w14:paraId="13E9FB26" w14:textId="77777777" w:rsidR="0043332B" w:rsidRPr="000B61B6" w:rsidRDefault="0043332B" w:rsidP="007010C5">
            <w:pPr>
              <w:spacing w:line="225" w:lineRule="exact"/>
              <w:ind w:left="84"/>
              <w:jc w:val="both"/>
              <w:rPr>
                <w:rFonts w:ascii="Arial" w:hAnsi="Arial" w:cs="Arial"/>
              </w:rPr>
            </w:pPr>
            <w:r w:rsidRPr="000B61B6">
              <w:rPr>
                <w:rFonts w:ascii="Arial" w:hAnsi="Arial" w:cs="Arial"/>
              </w:rPr>
              <w:t>Bonding</w:t>
            </w:r>
            <w:r w:rsidRPr="000B61B6">
              <w:rPr>
                <w:rFonts w:ascii="Arial" w:hAnsi="Arial" w:cs="Arial"/>
                <w:spacing w:val="-1"/>
              </w:rPr>
              <w:t xml:space="preserve"> </w:t>
            </w:r>
            <w:r w:rsidRPr="000B61B6">
              <w:rPr>
                <w:rFonts w:ascii="Arial" w:hAnsi="Arial" w:cs="Arial"/>
              </w:rPr>
              <w:t>—</w:t>
            </w:r>
            <w:r w:rsidRPr="000B61B6">
              <w:rPr>
                <w:rFonts w:ascii="Arial" w:hAnsi="Arial" w:cs="Arial"/>
                <w:spacing w:val="-2"/>
              </w:rPr>
              <w:t xml:space="preserve"> </w:t>
            </w:r>
            <w:r w:rsidRPr="000B61B6">
              <w:rPr>
                <w:rFonts w:ascii="Arial" w:hAnsi="Arial" w:cs="Arial"/>
              </w:rPr>
              <w:t>replacement</w:t>
            </w:r>
            <w:r w:rsidRPr="000B61B6">
              <w:rPr>
                <w:rFonts w:ascii="Arial" w:hAnsi="Arial" w:cs="Arial"/>
                <w:spacing w:val="-1"/>
              </w:rPr>
              <w:t xml:space="preserve"> </w:t>
            </w:r>
            <w:r w:rsidRPr="000B61B6">
              <w:rPr>
                <w:rFonts w:ascii="Arial" w:hAnsi="Arial" w:cs="Arial"/>
              </w:rPr>
              <w:t>of</w:t>
            </w:r>
            <w:r w:rsidRPr="000B61B6">
              <w:rPr>
                <w:rFonts w:ascii="Arial" w:hAnsi="Arial" w:cs="Arial"/>
                <w:spacing w:val="-4"/>
              </w:rPr>
              <w:t xml:space="preserve"> </w:t>
            </w:r>
            <w:r w:rsidRPr="000B61B6">
              <w:rPr>
                <w:rFonts w:ascii="Arial" w:hAnsi="Arial" w:cs="Arial"/>
              </w:rPr>
              <w:t>broken</w:t>
            </w:r>
            <w:r w:rsidRPr="000B61B6">
              <w:rPr>
                <w:rFonts w:ascii="Arial" w:hAnsi="Arial" w:cs="Arial"/>
                <w:spacing w:val="-1"/>
              </w:rPr>
              <w:t xml:space="preserve"> </w:t>
            </w:r>
            <w:r w:rsidRPr="000B61B6">
              <w:rPr>
                <w:rFonts w:ascii="Arial" w:hAnsi="Arial" w:cs="Arial"/>
              </w:rPr>
              <w:t>bonding</w:t>
            </w:r>
            <w:r w:rsidRPr="000B61B6">
              <w:rPr>
                <w:rFonts w:ascii="Arial" w:hAnsi="Arial" w:cs="Arial"/>
                <w:spacing w:val="-3"/>
              </w:rPr>
              <w:t xml:space="preserve"> </w:t>
            </w:r>
            <w:r w:rsidRPr="000B61B6">
              <w:rPr>
                <w:rFonts w:ascii="Arial" w:hAnsi="Arial" w:cs="Arial"/>
              </w:rPr>
              <w:t>cable</w:t>
            </w:r>
          </w:p>
        </w:tc>
        <w:tc>
          <w:tcPr>
            <w:tcW w:w="1530" w:type="dxa"/>
          </w:tcPr>
          <w:p w14:paraId="12549BB4" w14:textId="77777777" w:rsidR="0043332B" w:rsidRPr="000B61B6" w:rsidRDefault="0043332B" w:rsidP="0043332B">
            <w:pPr>
              <w:spacing w:line="225" w:lineRule="exact"/>
              <w:ind w:left="84"/>
              <w:rPr>
                <w:rFonts w:ascii="Arial" w:hAnsi="Arial" w:cs="Arial"/>
              </w:rPr>
            </w:pPr>
            <w:r w:rsidRPr="000B61B6">
              <w:rPr>
                <w:rFonts w:ascii="Arial" w:hAnsi="Arial" w:cs="Arial"/>
              </w:rPr>
              <w:t>Yes</w:t>
            </w:r>
          </w:p>
        </w:tc>
      </w:tr>
      <w:tr w:rsidR="000B61B6" w:rsidRPr="000B61B6" w14:paraId="30FE5292" w14:textId="77777777" w:rsidTr="0080379D">
        <w:trPr>
          <w:trHeight w:val="200"/>
        </w:trPr>
        <w:tc>
          <w:tcPr>
            <w:tcW w:w="895" w:type="dxa"/>
            <w:vMerge/>
            <w:shd w:val="clear" w:color="auto" w:fill="F2F2F2" w:themeFill="background1" w:themeFillShade="F2"/>
          </w:tcPr>
          <w:p w14:paraId="5AA91494" w14:textId="77777777" w:rsidR="0043332B" w:rsidRPr="00093EB0" w:rsidRDefault="0043332B" w:rsidP="00093EB0">
            <w:pPr>
              <w:jc w:val="center"/>
              <w:rPr>
                <w:rFonts w:ascii="Arial" w:hAnsi="Arial" w:cs="Arial"/>
                <w:b/>
              </w:rPr>
            </w:pPr>
          </w:p>
        </w:tc>
        <w:tc>
          <w:tcPr>
            <w:tcW w:w="2250" w:type="dxa"/>
            <w:vMerge/>
          </w:tcPr>
          <w:p w14:paraId="23876515" w14:textId="77777777" w:rsidR="0043332B" w:rsidRPr="000B61B6" w:rsidRDefault="0043332B" w:rsidP="0043332B">
            <w:pPr>
              <w:rPr>
                <w:rFonts w:ascii="Arial" w:hAnsi="Arial" w:cs="Arial"/>
                <w:sz w:val="2"/>
                <w:szCs w:val="2"/>
              </w:rPr>
            </w:pPr>
          </w:p>
        </w:tc>
        <w:tc>
          <w:tcPr>
            <w:tcW w:w="4860" w:type="dxa"/>
          </w:tcPr>
          <w:p w14:paraId="1C3D9F03" w14:textId="77777777" w:rsidR="0043332B" w:rsidRPr="000B61B6" w:rsidRDefault="0043332B" w:rsidP="007010C5">
            <w:pPr>
              <w:spacing w:line="222" w:lineRule="exact"/>
              <w:ind w:left="84"/>
              <w:jc w:val="both"/>
              <w:rPr>
                <w:rFonts w:ascii="Arial" w:hAnsi="Arial" w:cs="Arial"/>
              </w:rPr>
            </w:pPr>
            <w:r w:rsidRPr="000B61B6">
              <w:rPr>
                <w:rFonts w:ascii="Arial" w:hAnsi="Arial" w:cs="Arial"/>
              </w:rPr>
              <w:t>Fuses</w:t>
            </w:r>
            <w:r w:rsidRPr="000B61B6">
              <w:rPr>
                <w:rFonts w:ascii="Arial" w:hAnsi="Arial" w:cs="Arial"/>
                <w:spacing w:val="-2"/>
              </w:rPr>
              <w:t xml:space="preserve"> </w:t>
            </w:r>
            <w:r w:rsidRPr="000B61B6">
              <w:rPr>
                <w:rFonts w:ascii="Arial" w:hAnsi="Arial" w:cs="Arial"/>
              </w:rPr>
              <w:t>—</w:t>
            </w:r>
            <w:r w:rsidRPr="000B61B6">
              <w:rPr>
                <w:rFonts w:ascii="Arial" w:hAnsi="Arial" w:cs="Arial"/>
                <w:spacing w:val="-2"/>
              </w:rPr>
              <w:t xml:space="preserve"> </w:t>
            </w:r>
            <w:r w:rsidRPr="000B61B6">
              <w:rPr>
                <w:rFonts w:ascii="Arial" w:hAnsi="Arial" w:cs="Arial"/>
              </w:rPr>
              <w:t>replacement</w:t>
            </w:r>
            <w:r w:rsidRPr="000B61B6">
              <w:rPr>
                <w:rFonts w:ascii="Arial" w:hAnsi="Arial" w:cs="Arial"/>
                <w:spacing w:val="-2"/>
              </w:rPr>
              <w:t xml:space="preserve"> </w:t>
            </w:r>
            <w:r w:rsidRPr="000B61B6">
              <w:rPr>
                <w:rFonts w:ascii="Arial" w:hAnsi="Arial" w:cs="Arial"/>
              </w:rPr>
              <w:t>using</w:t>
            </w:r>
            <w:r w:rsidRPr="000B61B6">
              <w:rPr>
                <w:rFonts w:ascii="Arial" w:hAnsi="Arial" w:cs="Arial"/>
                <w:spacing w:val="-3"/>
              </w:rPr>
              <w:t xml:space="preserve"> </w:t>
            </w:r>
            <w:r w:rsidRPr="000B61B6">
              <w:rPr>
                <w:rFonts w:ascii="Arial" w:hAnsi="Arial" w:cs="Arial"/>
              </w:rPr>
              <w:t>the</w:t>
            </w:r>
            <w:r w:rsidRPr="000B61B6">
              <w:rPr>
                <w:rFonts w:ascii="Arial" w:hAnsi="Arial" w:cs="Arial"/>
                <w:spacing w:val="-3"/>
              </w:rPr>
              <w:t xml:space="preserve"> </w:t>
            </w:r>
            <w:r w:rsidRPr="000B61B6">
              <w:rPr>
                <w:rFonts w:ascii="Arial" w:hAnsi="Arial" w:cs="Arial"/>
              </w:rPr>
              <w:t>correct</w:t>
            </w:r>
            <w:r w:rsidRPr="000B61B6">
              <w:rPr>
                <w:rFonts w:ascii="Arial" w:hAnsi="Arial" w:cs="Arial"/>
                <w:spacing w:val="-2"/>
              </w:rPr>
              <w:t xml:space="preserve"> </w:t>
            </w:r>
            <w:r w:rsidRPr="000B61B6">
              <w:rPr>
                <w:rFonts w:ascii="Arial" w:hAnsi="Arial" w:cs="Arial"/>
              </w:rPr>
              <w:t>rating</w:t>
            </w:r>
          </w:p>
        </w:tc>
        <w:tc>
          <w:tcPr>
            <w:tcW w:w="1530" w:type="dxa"/>
          </w:tcPr>
          <w:p w14:paraId="0309FB67" w14:textId="77777777" w:rsidR="0043332B" w:rsidRPr="000B61B6" w:rsidRDefault="0043332B" w:rsidP="0043332B">
            <w:pPr>
              <w:spacing w:line="222" w:lineRule="exact"/>
              <w:ind w:left="84"/>
              <w:rPr>
                <w:rFonts w:ascii="Arial" w:hAnsi="Arial" w:cs="Arial"/>
              </w:rPr>
            </w:pPr>
            <w:r w:rsidRPr="000B61B6">
              <w:rPr>
                <w:rFonts w:ascii="Arial" w:hAnsi="Arial" w:cs="Arial"/>
              </w:rPr>
              <w:t>Yes</w:t>
            </w:r>
          </w:p>
        </w:tc>
      </w:tr>
      <w:tr w:rsidR="000B61B6" w:rsidRPr="000B61B6" w14:paraId="4BB4916B" w14:textId="77777777" w:rsidTr="0080379D">
        <w:trPr>
          <w:trHeight w:val="447"/>
        </w:trPr>
        <w:tc>
          <w:tcPr>
            <w:tcW w:w="895" w:type="dxa"/>
            <w:vMerge w:val="restart"/>
            <w:shd w:val="clear" w:color="auto" w:fill="F2F2F2" w:themeFill="background1" w:themeFillShade="F2"/>
          </w:tcPr>
          <w:p w14:paraId="27B26EB4" w14:textId="77777777" w:rsidR="0043332B" w:rsidRPr="000B61B6" w:rsidRDefault="0043332B" w:rsidP="00093EB0">
            <w:pPr>
              <w:jc w:val="center"/>
              <w:rPr>
                <w:rFonts w:ascii="Arial" w:hAnsi="Arial" w:cs="Arial"/>
                <w:b/>
              </w:rPr>
            </w:pPr>
            <w:r w:rsidRPr="000B61B6">
              <w:rPr>
                <w:rFonts w:ascii="Arial" w:hAnsi="Arial" w:cs="Arial"/>
                <w:b/>
              </w:rPr>
              <w:t>25</w:t>
            </w:r>
          </w:p>
        </w:tc>
        <w:tc>
          <w:tcPr>
            <w:tcW w:w="2250" w:type="dxa"/>
            <w:vMerge w:val="restart"/>
          </w:tcPr>
          <w:p w14:paraId="034DBAB3" w14:textId="77777777" w:rsidR="0043332B" w:rsidRPr="000B61B6" w:rsidRDefault="0043332B" w:rsidP="0043332B">
            <w:pPr>
              <w:spacing w:before="1"/>
              <w:ind w:left="85"/>
              <w:rPr>
                <w:rFonts w:ascii="Arial" w:hAnsi="Arial" w:cs="Arial"/>
              </w:rPr>
            </w:pPr>
            <w:r w:rsidRPr="000B61B6">
              <w:rPr>
                <w:rFonts w:ascii="Arial" w:hAnsi="Arial" w:cs="Arial"/>
              </w:rPr>
              <w:t>Equipment</w:t>
            </w:r>
          </w:p>
        </w:tc>
        <w:tc>
          <w:tcPr>
            <w:tcW w:w="4860" w:type="dxa"/>
          </w:tcPr>
          <w:p w14:paraId="58000732" w14:textId="77777777" w:rsidR="0043332B" w:rsidRPr="000B61B6" w:rsidRDefault="0043332B" w:rsidP="007010C5">
            <w:pPr>
              <w:spacing w:line="240" w:lineRule="atLeast"/>
              <w:ind w:left="84" w:right="245"/>
              <w:jc w:val="both"/>
              <w:rPr>
                <w:rFonts w:ascii="Arial" w:hAnsi="Arial" w:cs="Arial"/>
              </w:rPr>
            </w:pPr>
            <w:r w:rsidRPr="000B61B6">
              <w:rPr>
                <w:rFonts w:ascii="Arial" w:hAnsi="Arial" w:cs="Arial"/>
              </w:rPr>
              <w:t>Safety belts — replacement of safety belts and harnesses</w:t>
            </w:r>
            <w:r w:rsidRPr="000B61B6">
              <w:rPr>
                <w:rFonts w:ascii="Arial" w:hAnsi="Arial" w:cs="Arial"/>
                <w:spacing w:val="-43"/>
              </w:rPr>
              <w:t xml:space="preserve"> </w:t>
            </w:r>
            <w:r w:rsidRPr="000B61B6">
              <w:rPr>
                <w:rFonts w:ascii="Arial" w:hAnsi="Arial" w:cs="Arial"/>
              </w:rPr>
              <w:t>excluding</w:t>
            </w:r>
            <w:r w:rsidRPr="000B61B6">
              <w:rPr>
                <w:rFonts w:ascii="Arial" w:hAnsi="Arial" w:cs="Arial"/>
                <w:spacing w:val="-2"/>
              </w:rPr>
              <w:t xml:space="preserve"> </w:t>
            </w:r>
            <w:r w:rsidRPr="000B61B6">
              <w:rPr>
                <w:rFonts w:ascii="Arial" w:hAnsi="Arial" w:cs="Arial"/>
              </w:rPr>
              <w:t>belts fitted with</w:t>
            </w:r>
            <w:r w:rsidRPr="000B61B6">
              <w:rPr>
                <w:rFonts w:ascii="Arial" w:hAnsi="Arial" w:cs="Arial"/>
                <w:spacing w:val="-1"/>
              </w:rPr>
              <w:t xml:space="preserve"> </w:t>
            </w:r>
            <w:r w:rsidRPr="000B61B6">
              <w:rPr>
                <w:rFonts w:ascii="Arial" w:hAnsi="Arial" w:cs="Arial"/>
              </w:rPr>
              <w:t>airbag systems</w:t>
            </w:r>
          </w:p>
        </w:tc>
        <w:tc>
          <w:tcPr>
            <w:tcW w:w="1530" w:type="dxa"/>
          </w:tcPr>
          <w:p w14:paraId="1420DC6A" w14:textId="77777777" w:rsidR="0043332B" w:rsidRPr="000B61B6" w:rsidRDefault="0043332B" w:rsidP="0043332B">
            <w:pPr>
              <w:spacing w:before="1"/>
              <w:ind w:left="84"/>
              <w:rPr>
                <w:rFonts w:ascii="Arial" w:hAnsi="Arial" w:cs="Arial"/>
              </w:rPr>
            </w:pPr>
            <w:r w:rsidRPr="000B61B6">
              <w:rPr>
                <w:rFonts w:ascii="Arial" w:hAnsi="Arial" w:cs="Arial"/>
              </w:rPr>
              <w:t>Yes</w:t>
            </w:r>
          </w:p>
        </w:tc>
      </w:tr>
      <w:tr w:rsidR="000B61B6" w:rsidRPr="000B61B6" w14:paraId="1CB1F98C" w14:textId="77777777" w:rsidTr="0080379D">
        <w:trPr>
          <w:trHeight w:val="444"/>
        </w:trPr>
        <w:tc>
          <w:tcPr>
            <w:tcW w:w="895" w:type="dxa"/>
            <w:vMerge/>
            <w:shd w:val="clear" w:color="auto" w:fill="F2F2F2" w:themeFill="background1" w:themeFillShade="F2"/>
          </w:tcPr>
          <w:p w14:paraId="693B9793" w14:textId="77777777" w:rsidR="0043332B" w:rsidRPr="00093EB0" w:rsidRDefault="0043332B" w:rsidP="00093EB0">
            <w:pPr>
              <w:jc w:val="center"/>
              <w:rPr>
                <w:rFonts w:ascii="Arial" w:hAnsi="Arial" w:cs="Arial"/>
                <w:b/>
              </w:rPr>
            </w:pPr>
          </w:p>
        </w:tc>
        <w:tc>
          <w:tcPr>
            <w:tcW w:w="2250" w:type="dxa"/>
            <w:vMerge/>
          </w:tcPr>
          <w:p w14:paraId="2E32DD36" w14:textId="77777777" w:rsidR="0043332B" w:rsidRPr="000B61B6" w:rsidRDefault="0043332B" w:rsidP="0043332B">
            <w:pPr>
              <w:rPr>
                <w:rFonts w:ascii="Arial" w:hAnsi="Arial" w:cs="Arial"/>
                <w:sz w:val="2"/>
                <w:szCs w:val="2"/>
              </w:rPr>
            </w:pPr>
          </w:p>
        </w:tc>
        <w:tc>
          <w:tcPr>
            <w:tcW w:w="4860" w:type="dxa"/>
          </w:tcPr>
          <w:p w14:paraId="705D2F4A" w14:textId="77777777" w:rsidR="0043332B" w:rsidRPr="000B61B6" w:rsidRDefault="0043332B" w:rsidP="007010C5">
            <w:pPr>
              <w:spacing w:line="242" w:lineRule="exact"/>
              <w:ind w:left="84"/>
              <w:jc w:val="both"/>
              <w:rPr>
                <w:rFonts w:ascii="Arial" w:hAnsi="Arial" w:cs="Arial"/>
              </w:rPr>
            </w:pPr>
            <w:r w:rsidRPr="000B61B6">
              <w:rPr>
                <w:rFonts w:ascii="Arial" w:hAnsi="Arial" w:cs="Arial"/>
              </w:rPr>
              <w:t>Seats</w:t>
            </w:r>
            <w:r w:rsidRPr="000B61B6">
              <w:rPr>
                <w:rFonts w:ascii="Arial" w:hAnsi="Arial" w:cs="Arial"/>
                <w:spacing w:val="-3"/>
              </w:rPr>
              <w:t xml:space="preserve"> </w:t>
            </w:r>
            <w:r w:rsidRPr="000B61B6">
              <w:rPr>
                <w:rFonts w:ascii="Arial" w:hAnsi="Arial" w:cs="Arial"/>
              </w:rPr>
              <w:t>—</w:t>
            </w:r>
            <w:r w:rsidRPr="000B61B6">
              <w:rPr>
                <w:rFonts w:ascii="Arial" w:hAnsi="Arial" w:cs="Arial"/>
                <w:spacing w:val="-2"/>
              </w:rPr>
              <w:t xml:space="preserve"> </w:t>
            </w:r>
            <w:r w:rsidRPr="000B61B6">
              <w:rPr>
                <w:rFonts w:ascii="Arial" w:hAnsi="Arial" w:cs="Arial"/>
              </w:rPr>
              <w:t>replacement</w:t>
            </w:r>
            <w:r w:rsidRPr="000B61B6">
              <w:rPr>
                <w:rFonts w:ascii="Arial" w:hAnsi="Arial" w:cs="Arial"/>
                <w:spacing w:val="-3"/>
              </w:rPr>
              <w:t xml:space="preserve"> </w:t>
            </w:r>
            <w:r w:rsidRPr="000B61B6">
              <w:rPr>
                <w:rFonts w:ascii="Arial" w:hAnsi="Arial" w:cs="Arial"/>
              </w:rPr>
              <w:t>of</w:t>
            </w:r>
            <w:r w:rsidRPr="000B61B6">
              <w:rPr>
                <w:rFonts w:ascii="Arial" w:hAnsi="Arial" w:cs="Arial"/>
                <w:spacing w:val="-1"/>
              </w:rPr>
              <w:t xml:space="preserve"> </w:t>
            </w:r>
            <w:r w:rsidRPr="000B61B6">
              <w:rPr>
                <w:rFonts w:ascii="Arial" w:hAnsi="Arial" w:cs="Arial"/>
              </w:rPr>
              <w:t>seats</w:t>
            </w:r>
            <w:r w:rsidRPr="000B61B6">
              <w:rPr>
                <w:rFonts w:ascii="Arial" w:hAnsi="Arial" w:cs="Arial"/>
                <w:spacing w:val="-2"/>
              </w:rPr>
              <w:t xml:space="preserve"> </w:t>
            </w:r>
            <w:r w:rsidRPr="000B61B6">
              <w:rPr>
                <w:rFonts w:ascii="Arial" w:hAnsi="Arial" w:cs="Arial"/>
              </w:rPr>
              <w:t>or</w:t>
            </w:r>
            <w:r w:rsidRPr="000B61B6">
              <w:rPr>
                <w:rFonts w:ascii="Arial" w:hAnsi="Arial" w:cs="Arial"/>
                <w:spacing w:val="-3"/>
              </w:rPr>
              <w:t xml:space="preserve"> </w:t>
            </w:r>
            <w:r w:rsidRPr="000B61B6">
              <w:rPr>
                <w:rFonts w:ascii="Arial" w:hAnsi="Arial" w:cs="Arial"/>
              </w:rPr>
              <w:t>seat</w:t>
            </w:r>
            <w:r w:rsidRPr="000B61B6">
              <w:rPr>
                <w:rFonts w:ascii="Arial" w:hAnsi="Arial" w:cs="Arial"/>
                <w:spacing w:val="-2"/>
              </w:rPr>
              <w:t xml:space="preserve"> </w:t>
            </w:r>
            <w:r w:rsidRPr="000B61B6">
              <w:rPr>
                <w:rFonts w:ascii="Arial" w:hAnsi="Arial" w:cs="Arial"/>
              </w:rPr>
              <w:t>parts</w:t>
            </w:r>
            <w:r w:rsidRPr="000B61B6">
              <w:rPr>
                <w:rFonts w:ascii="Arial" w:hAnsi="Arial" w:cs="Arial"/>
                <w:spacing w:val="-3"/>
              </w:rPr>
              <w:t xml:space="preserve"> </w:t>
            </w:r>
            <w:r w:rsidRPr="000B61B6">
              <w:rPr>
                <w:rFonts w:ascii="Arial" w:hAnsi="Arial" w:cs="Arial"/>
              </w:rPr>
              <w:t>not</w:t>
            </w:r>
            <w:r w:rsidRPr="000B61B6">
              <w:rPr>
                <w:rFonts w:ascii="Arial" w:hAnsi="Arial" w:cs="Arial"/>
                <w:spacing w:val="-3"/>
              </w:rPr>
              <w:t xml:space="preserve"> </w:t>
            </w:r>
            <w:r w:rsidRPr="000B61B6">
              <w:rPr>
                <w:rFonts w:ascii="Arial" w:hAnsi="Arial" w:cs="Arial"/>
              </w:rPr>
              <w:t>involving</w:t>
            </w:r>
          </w:p>
          <w:p w14:paraId="41EC1F72" w14:textId="77777777" w:rsidR="0043332B" w:rsidRPr="000B61B6" w:rsidRDefault="0043332B" w:rsidP="007010C5">
            <w:pPr>
              <w:spacing w:line="225" w:lineRule="exact"/>
              <w:ind w:left="84"/>
              <w:jc w:val="both"/>
              <w:rPr>
                <w:rFonts w:ascii="Arial" w:hAnsi="Arial" w:cs="Arial"/>
              </w:rPr>
            </w:pPr>
            <w:r w:rsidRPr="000B61B6">
              <w:rPr>
                <w:rFonts w:ascii="Arial" w:hAnsi="Arial" w:cs="Arial"/>
              </w:rPr>
              <w:t>disassembly</w:t>
            </w:r>
            <w:r w:rsidRPr="000B61B6">
              <w:rPr>
                <w:rFonts w:ascii="Arial" w:hAnsi="Arial" w:cs="Arial"/>
                <w:spacing w:val="-3"/>
              </w:rPr>
              <w:t xml:space="preserve"> </w:t>
            </w:r>
            <w:r w:rsidRPr="000B61B6">
              <w:rPr>
                <w:rFonts w:ascii="Arial" w:hAnsi="Arial" w:cs="Arial"/>
              </w:rPr>
              <w:t>of</w:t>
            </w:r>
            <w:r w:rsidRPr="000B61B6">
              <w:rPr>
                <w:rFonts w:ascii="Arial" w:hAnsi="Arial" w:cs="Arial"/>
                <w:spacing w:val="-4"/>
              </w:rPr>
              <w:t xml:space="preserve"> </w:t>
            </w:r>
            <w:r w:rsidRPr="000B61B6">
              <w:rPr>
                <w:rFonts w:ascii="Arial" w:hAnsi="Arial" w:cs="Arial"/>
              </w:rPr>
              <w:t>any</w:t>
            </w:r>
            <w:r w:rsidRPr="000B61B6">
              <w:rPr>
                <w:rFonts w:ascii="Arial" w:hAnsi="Arial" w:cs="Arial"/>
                <w:spacing w:val="-3"/>
              </w:rPr>
              <w:t xml:space="preserve"> </w:t>
            </w:r>
            <w:r w:rsidRPr="000B61B6">
              <w:rPr>
                <w:rFonts w:ascii="Arial" w:hAnsi="Arial" w:cs="Arial"/>
              </w:rPr>
              <w:t>primary</w:t>
            </w:r>
            <w:r w:rsidRPr="000B61B6">
              <w:rPr>
                <w:rFonts w:ascii="Arial" w:hAnsi="Arial" w:cs="Arial"/>
                <w:spacing w:val="-2"/>
              </w:rPr>
              <w:t xml:space="preserve"> </w:t>
            </w:r>
            <w:r w:rsidRPr="000B61B6">
              <w:rPr>
                <w:rFonts w:ascii="Arial" w:hAnsi="Arial" w:cs="Arial"/>
              </w:rPr>
              <w:t>structure</w:t>
            </w:r>
            <w:r w:rsidRPr="000B61B6">
              <w:rPr>
                <w:rFonts w:ascii="Arial" w:hAnsi="Arial" w:cs="Arial"/>
                <w:spacing w:val="-4"/>
              </w:rPr>
              <w:t xml:space="preserve"> </w:t>
            </w:r>
            <w:r w:rsidRPr="000B61B6">
              <w:rPr>
                <w:rFonts w:ascii="Arial" w:hAnsi="Arial" w:cs="Arial"/>
              </w:rPr>
              <w:t>or</w:t>
            </w:r>
            <w:r w:rsidRPr="000B61B6">
              <w:rPr>
                <w:rFonts w:ascii="Arial" w:hAnsi="Arial" w:cs="Arial"/>
                <w:spacing w:val="-2"/>
              </w:rPr>
              <w:t xml:space="preserve"> </w:t>
            </w:r>
            <w:r w:rsidRPr="000B61B6">
              <w:rPr>
                <w:rFonts w:ascii="Arial" w:hAnsi="Arial" w:cs="Arial"/>
              </w:rPr>
              <w:t>control</w:t>
            </w:r>
            <w:r w:rsidRPr="000B61B6">
              <w:rPr>
                <w:rFonts w:ascii="Arial" w:hAnsi="Arial" w:cs="Arial"/>
                <w:spacing w:val="-2"/>
              </w:rPr>
              <w:t xml:space="preserve"> </w:t>
            </w:r>
            <w:r w:rsidRPr="000B61B6">
              <w:rPr>
                <w:rFonts w:ascii="Arial" w:hAnsi="Arial" w:cs="Arial"/>
              </w:rPr>
              <w:t>system</w:t>
            </w:r>
          </w:p>
        </w:tc>
        <w:tc>
          <w:tcPr>
            <w:tcW w:w="1530" w:type="dxa"/>
          </w:tcPr>
          <w:p w14:paraId="1A7F321B" w14:textId="77777777" w:rsidR="0043332B" w:rsidRPr="000B61B6" w:rsidRDefault="0043332B" w:rsidP="0043332B">
            <w:pPr>
              <w:spacing w:line="242" w:lineRule="exact"/>
              <w:ind w:left="84"/>
              <w:rPr>
                <w:rFonts w:ascii="Arial" w:hAnsi="Arial" w:cs="Arial"/>
              </w:rPr>
            </w:pPr>
            <w:r w:rsidRPr="000B61B6">
              <w:rPr>
                <w:rFonts w:ascii="Arial" w:hAnsi="Arial" w:cs="Arial"/>
              </w:rPr>
              <w:t>Yes</w:t>
            </w:r>
          </w:p>
        </w:tc>
      </w:tr>
      <w:tr w:rsidR="000B61B6" w:rsidRPr="000B61B6" w14:paraId="693C1410" w14:textId="77777777" w:rsidTr="0080379D">
        <w:trPr>
          <w:trHeight w:val="690"/>
        </w:trPr>
        <w:tc>
          <w:tcPr>
            <w:tcW w:w="895" w:type="dxa"/>
            <w:vMerge/>
            <w:shd w:val="clear" w:color="auto" w:fill="F2F2F2" w:themeFill="background1" w:themeFillShade="F2"/>
          </w:tcPr>
          <w:p w14:paraId="72BF2B20" w14:textId="77777777" w:rsidR="0043332B" w:rsidRPr="00093EB0" w:rsidRDefault="0043332B" w:rsidP="00093EB0">
            <w:pPr>
              <w:jc w:val="center"/>
              <w:rPr>
                <w:rFonts w:ascii="Arial" w:hAnsi="Arial" w:cs="Arial"/>
                <w:b/>
              </w:rPr>
            </w:pPr>
          </w:p>
        </w:tc>
        <w:tc>
          <w:tcPr>
            <w:tcW w:w="2250" w:type="dxa"/>
            <w:vMerge/>
          </w:tcPr>
          <w:p w14:paraId="2AE65E77" w14:textId="77777777" w:rsidR="0043332B" w:rsidRPr="000B61B6" w:rsidRDefault="0043332B" w:rsidP="0043332B">
            <w:pPr>
              <w:rPr>
                <w:rFonts w:ascii="Arial" w:hAnsi="Arial" w:cs="Arial"/>
                <w:sz w:val="2"/>
                <w:szCs w:val="2"/>
              </w:rPr>
            </w:pPr>
          </w:p>
        </w:tc>
        <w:tc>
          <w:tcPr>
            <w:tcW w:w="4860" w:type="dxa"/>
          </w:tcPr>
          <w:p w14:paraId="62C2CE2D" w14:textId="77777777" w:rsidR="0043332B" w:rsidRPr="000B61B6" w:rsidRDefault="0043332B" w:rsidP="007010C5">
            <w:pPr>
              <w:ind w:left="84" w:right="150"/>
              <w:jc w:val="both"/>
              <w:rPr>
                <w:rFonts w:ascii="Arial" w:hAnsi="Arial" w:cs="Arial"/>
              </w:rPr>
            </w:pPr>
            <w:r w:rsidRPr="000B61B6">
              <w:rPr>
                <w:rFonts w:ascii="Arial" w:hAnsi="Arial" w:cs="Arial"/>
              </w:rPr>
              <w:t>Non-essential instruments and/or equipment — replacement of</w:t>
            </w:r>
            <w:r w:rsidRPr="000B61B6">
              <w:rPr>
                <w:rFonts w:ascii="Arial" w:hAnsi="Arial" w:cs="Arial"/>
                <w:spacing w:val="1"/>
              </w:rPr>
              <w:t xml:space="preserve"> </w:t>
            </w:r>
            <w:r w:rsidRPr="000B61B6">
              <w:rPr>
                <w:rFonts w:ascii="Arial" w:hAnsi="Arial" w:cs="Arial"/>
              </w:rPr>
              <w:t>self-contained,</w:t>
            </w:r>
            <w:r w:rsidRPr="000B61B6">
              <w:rPr>
                <w:rFonts w:ascii="Arial" w:hAnsi="Arial" w:cs="Arial"/>
                <w:spacing w:val="-5"/>
              </w:rPr>
              <w:t xml:space="preserve"> </w:t>
            </w:r>
            <w:r w:rsidRPr="000B61B6">
              <w:rPr>
                <w:rFonts w:ascii="Arial" w:hAnsi="Arial" w:cs="Arial"/>
              </w:rPr>
              <w:t>instrument-panel-mounted</w:t>
            </w:r>
            <w:r w:rsidRPr="000B61B6">
              <w:rPr>
                <w:rFonts w:ascii="Arial" w:hAnsi="Arial" w:cs="Arial"/>
                <w:spacing w:val="-4"/>
              </w:rPr>
              <w:t xml:space="preserve"> </w:t>
            </w:r>
            <w:r w:rsidRPr="000B61B6">
              <w:rPr>
                <w:rFonts w:ascii="Arial" w:hAnsi="Arial" w:cs="Arial"/>
              </w:rPr>
              <w:t>equipment</w:t>
            </w:r>
            <w:r w:rsidRPr="000B61B6">
              <w:rPr>
                <w:rFonts w:ascii="Arial" w:hAnsi="Arial" w:cs="Arial"/>
                <w:spacing w:val="-4"/>
              </w:rPr>
              <w:t xml:space="preserve"> </w:t>
            </w:r>
            <w:r w:rsidRPr="000B61B6">
              <w:rPr>
                <w:rFonts w:ascii="Arial" w:hAnsi="Arial" w:cs="Arial"/>
              </w:rPr>
              <w:t>with</w:t>
            </w:r>
            <w:r w:rsidRPr="000B61B6">
              <w:rPr>
                <w:rFonts w:ascii="Arial" w:hAnsi="Arial" w:cs="Arial"/>
                <w:spacing w:val="-1"/>
              </w:rPr>
              <w:t xml:space="preserve"> </w:t>
            </w:r>
            <w:r w:rsidR="000B61B6" w:rsidRPr="000B61B6">
              <w:rPr>
                <w:rFonts w:ascii="Arial" w:hAnsi="Arial" w:cs="Arial"/>
              </w:rPr>
              <w:t>quick-</w:t>
            </w:r>
            <w:r w:rsidRPr="000B61B6">
              <w:rPr>
                <w:rFonts w:ascii="Arial" w:hAnsi="Arial" w:cs="Arial"/>
              </w:rPr>
              <w:t>disconnect</w:t>
            </w:r>
            <w:r w:rsidRPr="000B61B6">
              <w:rPr>
                <w:rFonts w:ascii="Arial" w:hAnsi="Arial" w:cs="Arial"/>
                <w:spacing w:val="-3"/>
              </w:rPr>
              <w:t xml:space="preserve"> </w:t>
            </w:r>
            <w:r w:rsidRPr="000B61B6">
              <w:rPr>
                <w:rFonts w:ascii="Arial" w:hAnsi="Arial" w:cs="Arial"/>
              </w:rPr>
              <w:t>connectors</w:t>
            </w:r>
          </w:p>
        </w:tc>
        <w:tc>
          <w:tcPr>
            <w:tcW w:w="1530" w:type="dxa"/>
          </w:tcPr>
          <w:p w14:paraId="666C711B" w14:textId="77777777" w:rsidR="0043332B" w:rsidRPr="000B61B6" w:rsidRDefault="0043332B" w:rsidP="0043332B">
            <w:pPr>
              <w:ind w:left="84"/>
              <w:rPr>
                <w:rFonts w:ascii="Arial" w:hAnsi="Arial" w:cs="Arial"/>
              </w:rPr>
            </w:pPr>
            <w:r w:rsidRPr="000B61B6">
              <w:rPr>
                <w:rFonts w:ascii="Arial" w:hAnsi="Arial" w:cs="Arial"/>
              </w:rPr>
              <w:t>Yes</w:t>
            </w:r>
          </w:p>
        </w:tc>
      </w:tr>
      <w:tr w:rsidR="000B61B6" w:rsidRPr="000B61B6" w14:paraId="050A10F6" w14:textId="77777777" w:rsidTr="0080379D">
        <w:trPr>
          <w:trHeight w:val="689"/>
        </w:trPr>
        <w:tc>
          <w:tcPr>
            <w:tcW w:w="895" w:type="dxa"/>
            <w:vMerge w:val="restart"/>
            <w:shd w:val="clear" w:color="auto" w:fill="F2F2F2" w:themeFill="background1" w:themeFillShade="F2"/>
          </w:tcPr>
          <w:p w14:paraId="40DAA24C" w14:textId="77777777" w:rsidR="000B61B6" w:rsidRPr="00093EB0" w:rsidRDefault="000B61B6" w:rsidP="00093EB0">
            <w:pPr>
              <w:jc w:val="center"/>
              <w:rPr>
                <w:rFonts w:ascii="Arial" w:hAnsi="Arial" w:cs="Arial"/>
                <w:b/>
              </w:rPr>
            </w:pPr>
          </w:p>
        </w:tc>
        <w:tc>
          <w:tcPr>
            <w:tcW w:w="2250" w:type="dxa"/>
            <w:vMerge w:val="restart"/>
          </w:tcPr>
          <w:p w14:paraId="1E911A73" w14:textId="77777777" w:rsidR="000B61B6" w:rsidRPr="000B61B6" w:rsidRDefault="000B61B6" w:rsidP="00BE4A83">
            <w:pPr>
              <w:pStyle w:val="TableParagraph"/>
              <w:ind w:left="0"/>
              <w:rPr>
                <w:rFonts w:ascii="Arial" w:hAnsi="Arial" w:cs="Arial"/>
                <w:sz w:val="18"/>
              </w:rPr>
            </w:pPr>
          </w:p>
        </w:tc>
        <w:tc>
          <w:tcPr>
            <w:tcW w:w="4860" w:type="dxa"/>
          </w:tcPr>
          <w:p w14:paraId="3FB06347" w14:textId="77777777" w:rsidR="000B61B6" w:rsidRPr="000B61B6" w:rsidRDefault="000B61B6" w:rsidP="005E6689">
            <w:pPr>
              <w:pStyle w:val="TableParagraph"/>
              <w:ind w:left="84"/>
              <w:jc w:val="both"/>
              <w:rPr>
                <w:rFonts w:ascii="Arial" w:hAnsi="Arial" w:cs="Arial"/>
              </w:rPr>
            </w:pPr>
            <w:r w:rsidRPr="000B61B6">
              <w:rPr>
                <w:rFonts w:ascii="Arial" w:hAnsi="Arial" w:cs="Arial"/>
              </w:rPr>
              <w:t>Oxygen system — replacement of portable oxygen bottles and</w:t>
            </w:r>
            <w:r w:rsidRPr="000B61B6">
              <w:rPr>
                <w:rFonts w:ascii="Arial" w:hAnsi="Arial" w:cs="Arial"/>
                <w:spacing w:val="1"/>
              </w:rPr>
              <w:t xml:space="preserve"> </w:t>
            </w:r>
            <w:r w:rsidRPr="000B61B6">
              <w:rPr>
                <w:rFonts w:ascii="Arial" w:hAnsi="Arial" w:cs="Arial"/>
              </w:rPr>
              <w:t>systems</w:t>
            </w:r>
            <w:r w:rsidRPr="000B61B6">
              <w:rPr>
                <w:rFonts w:ascii="Arial" w:hAnsi="Arial" w:cs="Arial"/>
                <w:spacing w:val="-5"/>
              </w:rPr>
              <w:t xml:space="preserve"> </w:t>
            </w:r>
            <w:r w:rsidRPr="000B61B6">
              <w:rPr>
                <w:rFonts w:ascii="Arial" w:hAnsi="Arial" w:cs="Arial"/>
              </w:rPr>
              <w:t>in</w:t>
            </w:r>
            <w:r w:rsidRPr="000B61B6">
              <w:rPr>
                <w:rFonts w:ascii="Arial" w:hAnsi="Arial" w:cs="Arial"/>
                <w:spacing w:val="-2"/>
              </w:rPr>
              <w:t xml:space="preserve"> </w:t>
            </w:r>
            <w:r w:rsidRPr="000B61B6">
              <w:rPr>
                <w:rFonts w:ascii="Arial" w:hAnsi="Arial" w:cs="Arial"/>
              </w:rPr>
              <w:t>approved</w:t>
            </w:r>
            <w:r w:rsidRPr="000B61B6">
              <w:rPr>
                <w:rFonts w:ascii="Arial" w:hAnsi="Arial" w:cs="Arial"/>
                <w:spacing w:val="-3"/>
              </w:rPr>
              <w:t xml:space="preserve"> </w:t>
            </w:r>
            <w:r w:rsidRPr="000B61B6">
              <w:rPr>
                <w:rFonts w:ascii="Arial" w:hAnsi="Arial" w:cs="Arial"/>
              </w:rPr>
              <w:t>mountings,</w:t>
            </w:r>
            <w:r w:rsidRPr="000B61B6">
              <w:rPr>
                <w:rFonts w:ascii="Arial" w:hAnsi="Arial" w:cs="Arial"/>
                <w:spacing w:val="-3"/>
              </w:rPr>
              <w:t xml:space="preserve"> </w:t>
            </w:r>
            <w:r w:rsidRPr="000B61B6">
              <w:rPr>
                <w:rFonts w:ascii="Arial" w:hAnsi="Arial" w:cs="Arial"/>
              </w:rPr>
              <w:t>excluding</w:t>
            </w:r>
            <w:r w:rsidRPr="000B61B6">
              <w:rPr>
                <w:rFonts w:ascii="Arial" w:hAnsi="Arial" w:cs="Arial"/>
                <w:spacing w:val="-4"/>
              </w:rPr>
              <w:t xml:space="preserve"> </w:t>
            </w:r>
            <w:r w:rsidRPr="000B61B6">
              <w:rPr>
                <w:rFonts w:ascii="Arial" w:hAnsi="Arial" w:cs="Arial"/>
              </w:rPr>
              <w:t>permanently</w:t>
            </w:r>
            <w:r w:rsidRPr="000B61B6">
              <w:rPr>
                <w:rFonts w:ascii="Arial" w:hAnsi="Arial" w:cs="Arial"/>
                <w:spacing w:val="-2"/>
              </w:rPr>
              <w:t xml:space="preserve"> </w:t>
            </w:r>
            <w:r w:rsidR="007010C5">
              <w:rPr>
                <w:rFonts w:ascii="Arial" w:hAnsi="Arial" w:cs="Arial"/>
              </w:rPr>
              <w:t xml:space="preserve">installed </w:t>
            </w:r>
            <w:r w:rsidRPr="000B61B6">
              <w:rPr>
                <w:rFonts w:ascii="Arial" w:hAnsi="Arial" w:cs="Arial"/>
              </w:rPr>
              <w:t>bottles</w:t>
            </w:r>
            <w:r w:rsidRPr="000B61B6">
              <w:rPr>
                <w:rFonts w:ascii="Arial" w:hAnsi="Arial" w:cs="Arial"/>
                <w:spacing w:val="-5"/>
              </w:rPr>
              <w:t xml:space="preserve"> </w:t>
            </w:r>
            <w:r w:rsidRPr="000B61B6">
              <w:rPr>
                <w:rFonts w:ascii="Arial" w:hAnsi="Arial" w:cs="Arial"/>
              </w:rPr>
              <w:t>and</w:t>
            </w:r>
            <w:r w:rsidRPr="000B61B6">
              <w:rPr>
                <w:rFonts w:ascii="Arial" w:hAnsi="Arial" w:cs="Arial"/>
                <w:spacing w:val="-2"/>
              </w:rPr>
              <w:t xml:space="preserve"> </w:t>
            </w:r>
            <w:r w:rsidRPr="000B61B6">
              <w:rPr>
                <w:rFonts w:ascii="Arial" w:hAnsi="Arial" w:cs="Arial"/>
              </w:rPr>
              <w:t>systems</w:t>
            </w:r>
          </w:p>
        </w:tc>
        <w:tc>
          <w:tcPr>
            <w:tcW w:w="1530" w:type="dxa"/>
          </w:tcPr>
          <w:p w14:paraId="6CDD68CA" w14:textId="77777777" w:rsidR="000B61B6" w:rsidRPr="000B61B6" w:rsidRDefault="000B61B6" w:rsidP="00BE4A83">
            <w:pPr>
              <w:pStyle w:val="TableParagraph"/>
              <w:ind w:left="84"/>
              <w:rPr>
                <w:rFonts w:ascii="Arial" w:hAnsi="Arial" w:cs="Arial"/>
              </w:rPr>
            </w:pPr>
            <w:r w:rsidRPr="000B61B6">
              <w:rPr>
                <w:rFonts w:ascii="Arial" w:hAnsi="Arial" w:cs="Arial"/>
              </w:rPr>
              <w:t>Yes</w:t>
            </w:r>
          </w:p>
        </w:tc>
      </w:tr>
      <w:tr w:rsidR="000B61B6" w:rsidRPr="000B61B6" w14:paraId="521F4771" w14:textId="77777777" w:rsidTr="0080379D">
        <w:trPr>
          <w:trHeight w:val="199"/>
        </w:trPr>
        <w:tc>
          <w:tcPr>
            <w:tcW w:w="895" w:type="dxa"/>
            <w:vMerge/>
            <w:shd w:val="clear" w:color="auto" w:fill="F2F2F2" w:themeFill="background1" w:themeFillShade="F2"/>
          </w:tcPr>
          <w:p w14:paraId="6E395F58" w14:textId="77777777" w:rsidR="000B61B6" w:rsidRPr="00093EB0" w:rsidRDefault="000B61B6" w:rsidP="00093EB0">
            <w:pPr>
              <w:jc w:val="center"/>
              <w:rPr>
                <w:rFonts w:ascii="Arial" w:hAnsi="Arial" w:cs="Arial"/>
                <w:b/>
              </w:rPr>
            </w:pPr>
          </w:p>
        </w:tc>
        <w:tc>
          <w:tcPr>
            <w:tcW w:w="2250" w:type="dxa"/>
            <w:vMerge/>
          </w:tcPr>
          <w:p w14:paraId="2A0B92BB" w14:textId="77777777" w:rsidR="000B61B6" w:rsidRPr="000B61B6" w:rsidRDefault="000B61B6" w:rsidP="00BE4A83">
            <w:pPr>
              <w:rPr>
                <w:rFonts w:ascii="Arial" w:hAnsi="Arial" w:cs="Arial"/>
                <w:sz w:val="2"/>
                <w:szCs w:val="2"/>
              </w:rPr>
            </w:pPr>
          </w:p>
        </w:tc>
        <w:tc>
          <w:tcPr>
            <w:tcW w:w="4860" w:type="dxa"/>
          </w:tcPr>
          <w:p w14:paraId="1908C8CF" w14:textId="77777777" w:rsidR="000B61B6" w:rsidRPr="000B61B6" w:rsidRDefault="000B61B6" w:rsidP="005E6689">
            <w:pPr>
              <w:pStyle w:val="TableParagraph"/>
              <w:spacing w:line="222" w:lineRule="exact"/>
              <w:ind w:left="84"/>
              <w:jc w:val="both"/>
              <w:rPr>
                <w:rFonts w:ascii="Arial" w:hAnsi="Arial" w:cs="Arial"/>
              </w:rPr>
            </w:pPr>
            <w:r w:rsidRPr="000B61B6">
              <w:rPr>
                <w:rFonts w:ascii="Arial" w:hAnsi="Arial" w:cs="Arial"/>
              </w:rPr>
              <w:t>Emergency</w:t>
            </w:r>
            <w:r w:rsidRPr="000B61B6">
              <w:rPr>
                <w:rFonts w:ascii="Arial" w:hAnsi="Arial" w:cs="Arial"/>
                <w:spacing w:val="-4"/>
              </w:rPr>
              <w:t xml:space="preserve"> </w:t>
            </w:r>
            <w:r w:rsidRPr="000B61B6">
              <w:rPr>
                <w:rFonts w:ascii="Arial" w:hAnsi="Arial" w:cs="Arial"/>
              </w:rPr>
              <w:t>locator</w:t>
            </w:r>
            <w:r w:rsidRPr="000B61B6">
              <w:rPr>
                <w:rFonts w:ascii="Arial" w:hAnsi="Arial" w:cs="Arial"/>
                <w:spacing w:val="-3"/>
              </w:rPr>
              <w:t xml:space="preserve"> </w:t>
            </w:r>
            <w:r w:rsidRPr="000B61B6">
              <w:rPr>
                <w:rFonts w:ascii="Arial" w:hAnsi="Arial" w:cs="Arial"/>
              </w:rPr>
              <w:t>transmitter</w:t>
            </w:r>
            <w:r w:rsidRPr="000B61B6">
              <w:rPr>
                <w:rFonts w:ascii="Arial" w:hAnsi="Arial" w:cs="Arial"/>
                <w:spacing w:val="-3"/>
              </w:rPr>
              <w:t xml:space="preserve"> </w:t>
            </w:r>
            <w:r w:rsidRPr="000B61B6">
              <w:rPr>
                <w:rFonts w:ascii="Arial" w:hAnsi="Arial" w:cs="Arial"/>
              </w:rPr>
              <w:t>(ELT)</w:t>
            </w:r>
            <w:r w:rsidRPr="000B61B6">
              <w:rPr>
                <w:rFonts w:ascii="Arial" w:hAnsi="Arial" w:cs="Arial"/>
                <w:spacing w:val="-1"/>
              </w:rPr>
              <w:t xml:space="preserve"> </w:t>
            </w:r>
            <w:r w:rsidRPr="000B61B6">
              <w:rPr>
                <w:rFonts w:ascii="Arial" w:hAnsi="Arial" w:cs="Arial"/>
              </w:rPr>
              <w:t>—</w:t>
            </w:r>
            <w:r w:rsidRPr="000B61B6">
              <w:rPr>
                <w:rFonts w:ascii="Arial" w:hAnsi="Arial" w:cs="Arial"/>
                <w:spacing w:val="-3"/>
              </w:rPr>
              <w:t xml:space="preserve"> </w:t>
            </w:r>
            <w:r w:rsidRPr="000B61B6">
              <w:rPr>
                <w:rFonts w:ascii="Arial" w:hAnsi="Arial" w:cs="Arial"/>
              </w:rPr>
              <w:t>removal/reinstallation</w:t>
            </w:r>
          </w:p>
        </w:tc>
        <w:tc>
          <w:tcPr>
            <w:tcW w:w="1530" w:type="dxa"/>
          </w:tcPr>
          <w:p w14:paraId="010C5B82" w14:textId="77777777" w:rsidR="000B61B6" w:rsidRPr="000B61B6" w:rsidRDefault="000B61B6" w:rsidP="00BE4A83">
            <w:pPr>
              <w:pStyle w:val="TableParagraph"/>
              <w:spacing w:line="222" w:lineRule="exact"/>
              <w:ind w:left="84"/>
              <w:rPr>
                <w:rFonts w:ascii="Arial" w:hAnsi="Arial" w:cs="Arial"/>
              </w:rPr>
            </w:pPr>
            <w:r w:rsidRPr="000B61B6">
              <w:rPr>
                <w:rFonts w:ascii="Arial" w:hAnsi="Arial" w:cs="Arial"/>
              </w:rPr>
              <w:t>Yes</w:t>
            </w:r>
          </w:p>
        </w:tc>
      </w:tr>
      <w:tr w:rsidR="000B61B6" w:rsidRPr="000B61B6" w14:paraId="367D0D61" w14:textId="77777777" w:rsidTr="0080379D">
        <w:trPr>
          <w:trHeight w:val="447"/>
        </w:trPr>
        <w:tc>
          <w:tcPr>
            <w:tcW w:w="895" w:type="dxa"/>
            <w:shd w:val="clear" w:color="auto" w:fill="F2F2F2" w:themeFill="background1" w:themeFillShade="F2"/>
          </w:tcPr>
          <w:p w14:paraId="1504A341" w14:textId="77777777" w:rsidR="000B61B6" w:rsidRPr="000B61B6" w:rsidRDefault="000B61B6" w:rsidP="00093EB0">
            <w:pPr>
              <w:jc w:val="center"/>
              <w:rPr>
                <w:rFonts w:ascii="Arial" w:hAnsi="Arial" w:cs="Arial"/>
                <w:b/>
              </w:rPr>
            </w:pPr>
            <w:r w:rsidRPr="000B61B6">
              <w:rPr>
                <w:rFonts w:ascii="Arial" w:hAnsi="Arial" w:cs="Arial"/>
                <w:b/>
              </w:rPr>
              <w:t>27</w:t>
            </w:r>
          </w:p>
        </w:tc>
        <w:tc>
          <w:tcPr>
            <w:tcW w:w="2250" w:type="dxa"/>
          </w:tcPr>
          <w:p w14:paraId="6DF7B473" w14:textId="77777777" w:rsidR="000B61B6" w:rsidRPr="000B61B6" w:rsidRDefault="000B61B6" w:rsidP="00BE4A83">
            <w:pPr>
              <w:pStyle w:val="TableParagraph"/>
              <w:rPr>
                <w:rFonts w:ascii="Arial" w:hAnsi="Arial" w:cs="Arial"/>
              </w:rPr>
            </w:pPr>
            <w:r w:rsidRPr="000B61B6">
              <w:rPr>
                <w:rFonts w:ascii="Arial" w:hAnsi="Arial" w:cs="Arial"/>
              </w:rPr>
              <w:t>Flight</w:t>
            </w:r>
            <w:r w:rsidRPr="000B61B6">
              <w:rPr>
                <w:rFonts w:ascii="Arial" w:hAnsi="Arial" w:cs="Arial"/>
                <w:spacing w:val="-3"/>
              </w:rPr>
              <w:t xml:space="preserve"> </w:t>
            </w:r>
            <w:r w:rsidRPr="000B61B6">
              <w:rPr>
                <w:rFonts w:ascii="Arial" w:hAnsi="Arial" w:cs="Arial"/>
              </w:rPr>
              <w:t>controls</w:t>
            </w:r>
          </w:p>
        </w:tc>
        <w:tc>
          <w:tcPr>
            <w:tcW w:w="4860" w:type="dxa"/>
          </w:tcPr>
          <w:p w14:paraId="52D296B0" w14:textId="77777777" w:rsidR="000B61B6" w:rsidRPr="000B61B6" w:rsidRDefault="000B61B6" w:rsidP="005E6689">
            <w:pPr>
              <w:pStyle w:val="TableParagraph"/>
              <w:spacing w:line="240" w:lineRule="atLeast"/>
              <w:ind w:left="84"/>
              <w:jc w:val="both"/>
              <w:rPr>
                <w:rFonts w:ascii="Arial" w:hAnsi="Arial" w:cs="Arial"/>
              </w:rPr>
            </w:pPr>
            <w:r w:rsidRPr="000B61B6">
              <w:rPr>
                <w:rFonts w:ascii="Arial" w:hAnsi="Arial" w:cs="Arial"/>
              </w:rPr>
              <w:t>Removal or reinstallation of co-pilot control column and rudder</w:t>
            </w:r>
            <w:r w:rsidRPr="000B61B6">
              <w:rPr>
                <w:rFonts w:ascii="Arial" w:hAnsi="Arial" w:cs="Arial"/>
                <w:spacing w:val="1"/>
              </w:rPr>
              <w:t xml:space="preserve"> </w:t>
            </w:r>
            <w:r w:rsidRPr="000B61B6">
              <w:rPr>
                <w:rFonts w:ascii="Arial" w:hAnsi="Arial" w:cs="Arial"/>
              </w:rPr>
              <w:t>pedals</w:t>
            </w:r>
            <w:r w:rsidRPr="000B61B6">
              <w:rPr>
                <w:rFonts w:ascii="Arial" w:hAnsi="Arial" w:cs="Arial"/>
                <w:spacing w:val="-2"/>
              </w:rPr>
              <w:t xml:space="preserve"> </w:t>
            </w:r>
            <w:r w:rsidRPr="000B61B6">
              <w:rPr>
                <w:rFonts w:ascii="Arial" w:hAnsi="Arial" w:cs="Arial"/>
              </w:rPr>
              <w:t>where</w:t>
            </w:r>
            <w:r w:rsidRPr="000B61B6">
              <w:rPr>
                <w:rFonts w:ascii="Arial" w:hAnsi="Arial" w:cs="Arial"/>
                <w:spacing w:val="-2"/>
              </w:rPr>
              <w:t xml:space="preserve"> </w:t>
            </w:r>
            <w:r w:rsidRPr="000B61B6">
              <w:rPr>
                <w:rFonts w:ascii="Arial" w:hAnsi="Arial" w:cs="Arial"/>
              </w:rPr>
              <w:t>design</w:t>
            </w:r>
            <w:r w:rsidRPr="000B61B6">
              <w:rPr>
                <w:rFonts w:ascii="Arial" w:hAnsi="Arial" w:cs="Arial"/>
                <w:spacing w:val="1"/>
              </w:rPr>
              <w:t xml:space="preserve"> </w:t>
            </w:r>
            <w:r w:rsidRPr="000B61B6">
              <w:rPr>
                <w:rFonts w:ascii="Arial" w:hAnsi="Arial" w:cs="Arial"/>
              </w:rPr>
              <w:t>provides for</w:t>
            </w:r>
            <w:r w:rsidRPr="000B61B6">
              <w:rPr>
                <w:rFonts w:ascii="Arial" w:hAnsi="Arial" w:cs="Arial"/>
                <w:spacing w:val="-1"/>
              </w:rPr>
              <w:t xml:space="preserve"> </w:t>
            </w:r>
            <w:r w:rsidRPr="000B61B6">
              <w:rPr>
                <w:rFonts w:ascii="Arial" w:hAnsi="Arial" w:cs="Arial"/>
              </w:rPr>
              <w:t>quick disconnect</w:t>
            </w:r>
          </w:p>
        </w:tc>
        <w:tc>
          <w:tcPr>
            <w:tcW w:w="1530" w:type="dxa"/>
          </w:tcPr>
          <w:p w14:paraId="73EBC1F7" w14:textId="77777777" w:rsidR="000B61B6" w:rsidRPr="000B61B6" w:rsidRDefault="000B61B6" w:rsidP="00BE4A83">
            <w:pPr>
              <w:pStyle w:val="TableParagraph"/>
              <w:ind w:left="84"/>
              <w:rPr>
                <w:rFonts w:ascii="Arial" w:hAnsi="Arial" w:cs="Arial"/>
              </w:rPr>
            </w:pPr>
            <w:r w:rsidRPr="000B61B6">
              <w:rPr>
                <w:rFonts w:ascii="Arial" w:hAnsi="Arial" w:cs="Arial"/>
              </w:rPr>
              <w:t>Yes</w:t>
            </w:r>
          </w:p>
        </w:tc>
      </w:tr>
      <w:tr w:rsidR="000B61B6" w:rsidRPr="000B61B6" w14:paraId="5E614234" w14:textId="77777777" w:rsidTr="0080379D">
        <w:trPr>
          <w:trHeight w:val="199"/>
        </w:trPr>
        <w:tc>
          <w:tcPr>
            <w:tcW w:w="895" w:type="dxa"/>
            <w:shd w:val="clear" w:color="auto" w:fill="F2F2F2" w:themeFill="background1" w:themeFillShade="F2"/>
          </w:tcPr>
          <w:p w14:paraId="76770466" w14:textId="77777777" w:rsidR="000B61B6" w:rsidRPr="000B61B6" w:rsidRDefault="000B61B6" w:rsidP="00093EB0">
            <w:pPr>
              <w:jc w:val="center"/>
              <w:rPr>
                <w:rFonts w:ascii="Arial" w:hAnsi="Arial" w:cs="Arial"/>
                <w:b/>
              </w:rPr>
            </w:pPr>
            <w:r w:rsidRPr="000B61B6">
              <w:rPr>
                <w:rFonts w:ascii="Arial" w:hAnsi="Arial" w:cs="Arial"/>
                <w:b/>
              </w:rPr>
              <w:t>28</w:t>
            </w:r>
          </w:p>
        </w:tc>
        <w:tc>
          <w:tcPr>
            <w:tcW w:w="2250" w:type="dxa"/>
          </w:tcPr>
          <w:p w14:paraId="4EF0A5CE" w14:textId="77777777" w:rsidR="000B61B6" w:rsidRPr="000B61B6" w:rsidRDefault="000B61B6" w:rsidP="00BE4A83">
            <w:pPr>
              <w:pStyle w:val="TableParagraph"/>
              <w:spacing w:line="223" w:lineRule="exact"/>
              <w:rPr>
                <w:rFonts w:ascii="Arial" w:hAnsi="Arial" w:cs="Arial"/>
              </w:rPr>
            </w:pPr>
            <w:r w:rsidRPr="000B61B6">
              <w:rPr>
                <w:rFonts w:ascii="Arial" w:hAnsi="Arial" w:cs="Arial"/>
              </w:rPr>
              <w:t>Fuel</w:t>
            </w:r>
            <w:r w:rsidRPr="000B61B6">
              <w:rPr>
                <w:rFonts w:ascii="Arial" w:hAnsi="Arial" w:cs="Arial"/>
                <w:spacing w:val="-4"/>
              </w:rPr>
              <w:t xml:space="preserve"> </w:t>
            </w:r>
            <w:r w:rsidRPr="000B61B6">
              <w:rPr>
                <w:rFonts w:ascii="Arial" w:hAnsi="Arial" w:cs="Arial"/>
              </w:rPr>
              <w:t>system</w:t>
            </w:r>
          </w:p>
        </w:tc>
        <w:tc>
          <w:tcPr>
            <w:tcW w:w="4860" w:type="dxa"/>
          </w:tcPr>
          <w:p w14:paraId="0115A748" w14:textId="77777777" w:rsidR="000B61B6" w:rsidRPr="000B61B6" w:rsidRDefault="000B61B6" w:rsidP="005E6689">
            <w:pPr>
              <w:pStyle w:val="TableParagraph"/>
              <w:spacing w:line="223" w:lineRule="exact"/>
              <w:ind w:left="84"/>
              <w:jc w:val="both"/>
              <w:rPr>
                <w:rFonts w:ascii="Arial" w:hAnsi="Arial" w:cs="Arial"/>
              </w:rPr>
            </w:pPr>
            <w:r w:rsidRPr="000B61B6">
              <w:rPr>
                <w:rFonts w:ascii="Arial" w:hAnsi="Arial" w:cs="Arial"/>
              </w:rPr>
              <w:t>Fuel</w:t>
            </w:r>
            <w:r w:rsidRPr="000B61B6">
              <w:rPr>
                <w:rFonts w:ascii="Arial" w:hAnsi="Arial" w:cs="Arial"/>
                <w:spacing w:val="-3"/>
              </w:rPr>
              <w:t xml:space="preserve"> </w:t>
            </w:r>
            <w:r w:rsidRPr="000B61B6">
              <w:rPr>
                <w:rFonts w:ascii="Arial" w:hAnsi="Arial" w:cs="Arial"/>
              </w:rPr>
              <w:t>filter</w:t>
            </w:r>
            <w:r w:rsidRPr="000B61B6">
              <w:rPr>
                <w:rFonts w:ascii="Arial" w:hAnsi="Arial" w:cs="Arial"/>
                <w:spacing w:val="-2"/>
              </w:rPr>
              <w:t xml:space="preserve"> </w:t>
            </w:r>
            <w:r w:rsidRPr="000B61B6">
              <w:rPr>
                <w:rFonts w:ascii="Arial" w:hAnsi="Arial" w:cs="Arial"/>
              </w:rPr>
              <w:t>elements</w:t>
            </w:r>
            <w:r w:rsidRPr="000B61B6">
              <w:rPr>
                <w:rFonts w:ascii="Arial" w:hAnsi="Arial" w:cs="Arial"/>
                <w:spacing w:val="-3"/>
              </w:rPr>
              <w:t xml:space="preserve"> </w:t>
            </w:r>
            <w:r w:rsidRPr="000B61B6">
              <w:rPr>
                <w:rFonts w:ascii="Arial" w:hAnsi="Arial" w:cs="Arial"/>
              </w:rPr>
              <w:t>—</w:t>
            </w:r>
            <w:r w:rsidRPr="000B61B6">
              <w:rPr>
                <w:rFonts w:ascii="Arial" w:hAnsi="Arial" w:cs="Arial"/>
                <w:spacing w:val="-3"/>
              </w:rPr>
              <w:t xml:space="preserve"> </w:t>
            </w:r>
            <w:r w:rsidRPr="000B61B6">
              <w:rPr>
                <w:rFonts w:ascii="Arial" w:hAnsi="Arial" w:cs="Arial"/>
              </w:rPr>
              <w:t>cleaning</w:t>
            </w:r>
            <w:r w:rsidRPr="000B61B6">
              <w:rPr>
                <w:rFonts w:ascii="Arial" w:hAnsi="Arial" w:cs="Arial"/>
                <w:spacing w:val="-4"/>
              </w:rPr>
              <w:t xml:space="preserve"> </w:t>
            </w:r>
            <w:r w:rsidRPr="000B61B6">
              <w:rPr>
                <w:rFonts w:ascii="Arial" w:hAnsi="Arial" w:cs="Arial"/>
              </w:rPr>
              <w:t>and/or</w:t>
            </w:r>
            <w:r w:rsidRPr="000B61B6">
              <w:rPr>
                <w:rFonts w:ascii="Arial" w:hAnsi="Arial" w:cs="Arial"/>
                <w:spacing w:val="-3"/>
              </w:rPr>
              <w:t xml:space="preserve"> </w:t>
            </w:r>
            <w:r w:rsidRPr="000B61B6">
              <w:rPr>
                <w:rFonts w:ascii="Arial" w:hAnsi="Arial" w:cs="Arial"/>
              </w:rPr>
              <w:t>replacement</w:t>
            </w:r>
          </w:p>
        </w:tc>
        <w:tc>
          <w:tcPr>
            <w:tcW w:w="1530" w:type="dxa"/>
          </w:tcPr>
          <w:p w14:paraId="36BF27A9" w14:textId="77777777" w:rsidR="000B61B6" w:rsidRPr="000B61B6" w:rsidRDefault="000B61B6" w:rsidP="00BE4A83">
            <w:pPr>
              <w:pStyle w:val="TableParagraph"/>
              <w:spacing w:line="223" w:lineRule="exact"/>
              <w:ind w:left="84"/>
              <w:rPr>
                <w:rFonts w:ascii="Arial" w:hAnsi="Arial" w:cs="Arial"/>
              </w:rPr>
            </w:pPr>
            <w:r w:rsidRPr="000B61B6">
              <w:rPr>
                <w:rFonts w:ascii="Arial" w:hAnsi="Arial" w:cs="Arial"/>
              </w:rPr>
              <w:t>Yes</w:t>
            </w:r>
          </w:p>
        </w:tc>
      </w:tr>
      <w:tr w:rsidR="000B61B6" w:rsidRPr="000B61B6" w14:paraId="3FBE9584" w14:textId="77777777" w:rsidTr="0080379D">
        <w:trPr>
          <w:trHeight w:val="444"/>
        </w:trPr>
        <w:tc>
          <w:tcPr>
            <w:tcW w:w="895" w:type="dxa"/>
            <w:shd w:val="clear" w:color="auto" w:fill="F2F2F2" w:themeFill="background1" w:themeFillShade="F2"/>
          </w:tcPr>
          <w:p w14:paraId="5435B8F4" w14:textId="77777777" w:rsidR="000B61B6" w:rsidRPr="000B61B6" w:rsidRDefault="000B61B6" w:rsidP="00093EB0">
            <w:pPr>
              <w:jc w:val="center"/>
              <w:rPr>
                <w:rFonts w:ascii="Arial" w:hAnsi="Arial" w:cs="Arial"/>
                <w:b/>
              </w:rPr>
            </w:pPr>
            <w:r w:rsidRPr="000B61B6">
              <w:rPr>
                <w:rFonts w:ascii="Arial" w:hAnsi="Arial" w:cs="Arial"/>
                <w:b/>
              </w:rPr>
              <w:t>30</w:t>
            </w:r>
          </w:p>
        </w:tc>
        <w:tc>
          <w:tcPr>
            <w:tcW w:w="2250" w:type="dxa"/>
          </w:tcPr>
          <w:p w14:paraId="2C055058" w14:textId="77777777" w:rsidR="000B61B6" w:rsidRPr="000B61B6" w:rsidRDefault="000B61B6" w:rsidP="00BE4A83">
            <w:pPr>
              <w:pStyle w:val="TableParagraph"/>
              <w:spacing w:line="240" w:lineRule="atLeast"/>
              <w:rPr>
                <w:rFonts w:ascii="Arial" w:hAnsi="Arial" w:cs="Arial"/>
              </w:rPr>
            </w:pPr>
            <w:r w:rsidRPr="000B61B6">
              <w:rPr>
                <w:rFonts w:ascii="Arial" w:hAnsi="Arial" w:cs="Arial"/>
              </w:rPr>
              <w:t>Ice and rain</w:t>
            </w:r>
            <w:r w:rsidRPr="000B61B6">
              <w:rPr>
                <w:rFonts w:ascii="Arial" w:hAnsi="Arial" w:cs="Arial"/>
                <w:spacing w:val="1"/>
              </w:rPr>
              <w:t xml:space="preserve"> </w:t>
            </w:r>
            <w:r w:rsidRPr="000B61B6">
              <w:rPr>
                <w:rFonts w:ascii="Arial" w:hAnsi="Arial" w:cs="Arial"/>
              </w:rPr>
              <w:t>protection</w:t>
            </w:r>
          </w:p>
        </w:tc>
        <w:tc>
          <w:tcPr>
            <w:tcW w:w="4860" w:type="dxa"/>
          </w:tcPr>
          <w:p w14:paraId="62E8026E" w14:textId="77777777" w:rsidR="000B61B6" w:rsidRPr="000B61B6" w:rsidRDefault="000B61B6" w:rsidP="005E6689">
            <w:pPr>
              <w:pStyle w:val="TableParagraph"/>
              <w:ind w:left="84"/>
              <w:jc w:val="both"/>
              <w:rPr>
                <w:rFonts w:ascii="Arial" w:hAnsi="Arial" w:cs="Arial"/>
              </w:rPr>
            </w:pPr>
            <w:r w:rsidRPr="000B61B6">
              <w:rPr>
                <w:rFonts w:ascii="Arial" w:hAnsi="Arial" w:cs="Arial"/>
              </w:rPr>
              <w:t>Windscreen</w:t>
            </w:r>
            <w:r w:rsidRPr="000B61B6">
              <w:rPr>
                <w:rFonts w:ascii="Arial" w:hAnsi="Arial" w:cs="Arial"/>
                <w:spacing w:val="-3"/>
              </w:rPr>
              <w:t xml:space="preserve"> </w:t>
            </w:r>
            <w:r w:rsidRPr="000B61B6">
              <w:rPr>
                <w:rFonts w:ascii="Arial" w:hAnsi="Arial" w:cs="Arial"/>
              </w:rPr>
              <w:t>wiper</w:t>
            </w:r>
            <w:r w:rsidRPr="000B61B6">
              <w:rPr>
                <w:rFonts w:ascii="Arial" w:hAnsi="Arial" w:cs="Arial"/>
                <w:spacing w:val="1"/>
              </w:rPr>
              <w:t xml:space="preserve"> </w:t>
            </w:r>
            <w:r w:rsidRPr="000B61B6">
              <w:rPr>
                <w:rFonts w:ascii="Arial" w:hAnsi="Arial" w:cs="Arial"/>
              </w:rPr>
              <w:t>—</w:t>
            </w:r>
            <w:r w:rsidRPr="000B61B6">
              <w:rPr>
                <w:rFonts w:ascii="Arial" w:hAnsi="Arial" w:cs="Arial"/>
                <w:spacing w:val="-2"/>
              </w:rPr>
              <w:t xml:space="preserve"> </w:t>
            </w:r>
            <w:r w:rsidRPr="000B61B6">
              <w:rPr>
                <w:rFonts w:ascii="Arial" w:hAnsi="Arial" w:cs="Arial"/>
              </w:rPr>
              <w:t>replacement</w:t>
            </w:r>
            <w:r w:rsidRPr="000B61B6">
              <w:rPr>
                <w:rFonts w:ascii="Arial" w:hAnsi="Arial" w:cs="Arial"/>
                <w:spacing w:val="-2"/>
              </w:rPr>
              <w:t xml:space="preserve"> </w:t>
            </w:r>
            <w:r w:rsidRPr="000B61B6">
              <w:rPr>
                <w:rFonts w:ascii="Arial" w:hAnsi="Arial" w:cs="Arial"/>
              </w:rPr>
              <w:t>of</w:t>
            </w:r>
            <w:r w:rsidRPr="000B61B6">
              <w:rPr>
                <w:rFonts w:ascii="Arial" w:hAnsi="Arial" w:cs="Arial"/>
                <w:spacing w:val="-4"/>
              </w:rPr>
              <w:t xml:space="preserve"> </w:t>
            </w:r>
            <w:r w:rsidRPr="000B61B6">
              <w:rPr>
                <w:rFonts w:ascii="Arial" w:hAnsi="Arial" w:cs="Arial"/>
              </w:rPr>
              <w:t>wiper</w:t>
            </w:r>
            <w:r w:rsidRPr="000B61B6">
              <w:rPr>
                <w:rFonts w:ascii="Arial" w:hAnsi="Arial" w:cs="Arial"/>
                <w:spacing w:val="-2"/>
              </w:rPr>
              <w:t xml:space="preserve"> </w:t>
            </w:r>
            <w:r w:rsidRPr="000B61B6">
              <w:rPr>
                <w:rFonts w:ascii="Arial" w:hAnsi="Arial" w:cs="Arial"/>
              </w:rPr>
              <w:t>blade</w:t>
            </w:r>
          </w:p>
        </w:tc>
        <w:tc>
          <w:tcPr>
            <w:tcW w:w="1530" w:type="dxa"/>
          </w:tcPr>
          <w:p w14:paraId="79B21438" w14:textId="77777777" w:rsidR="000B61B6" w:rsidRPr="000B61B6" w:rsidRDefault="000B61B6" w:rsidP="00BE4A83">
            <w:pPr>
              <w:pStyle w:val="TableParagraph"/>
              <w:ind w:left="84"/>
              <w:rPr>
                <w:rFonts w:ascii="Arial" w:hAnsi="Arial" w:cs="Arial"/>
              </w:rPr>
            </w:pPr>
            <w:r w:rsidRPr="000B61B6">
              <w:rPr>
                <w:rFonts w:ascii="Arial" w:hAnsi="Arial" w:cs="Arial"/>
              </w:rPr>
              <w:t>Yes</w:t>
            </w:r>
          </w:p>
        </w:tc>
      </w:tr>
      <w:tr w:rsidR="000B61B6" w:rsidRPr="000B61B6" w14:paraId="30F743C0" w14:textId="77777777" w:rsidTr="0080379D">
        <w:trPr>
          <w:trHeight w:val="688"/>
        </w:trPr>
        <w:tc>
          <w:tcPr>
            <w:tcW w:w="895" w:type="dxa"/>
            <w:vMerge w:val="restart"/>
            <w:shd w:val="clear" w:color="auto" w:fill="F2F2F2" w:themeFill="background1" w:themeFillShade="F2"/>
          </w:tcPr>
          <w:p w14:paraId="0D7AB575" w14:textId="77777777" w:rsidR="000B61B6" w:rsidRPr="000B61B6" w:rsidRDefault="00063798" w:rsidP="00093EB0">
            <w:pPr>
              <w:jc w:val="center"/>
              <w:rPr>
                <w:rFonts w:ascii="Arial" w:hAnsi="Arial" w:cs="Arial"/>
                <w:b/>
              </w:rPr>
            </w:pPr>
            <w:r w:rsidRPr="00093EB0">
              <w:rPr>
                <w:rFonts w:ascii="Arial" w:hAnsi="Arial" w:cs="Arial"/>
                <w:b/>
              </w:rPr>
              <w:t xml:space="preserve"> </w:t>
            </w:r>
            <w:r w:rsidR="000B61B6" w:rsidRPr="000B61B6">
              <w:rPr>
                <w:rFonts w:ascii="Arial" w:hAnsi="Arial" w:cs="Arial"/>
                <w:b/>
              </w:rPr>
              <w:t>31</w:t>
            </w:r>
          </w:p>
        </w:tc>
        <w:tc>
          <w:tcPr>
            <w:tcW w:w="2250" w:type="dxa"/>
            <w:vMerge w:val="restart"/>
          </w:tcPr>
          <w:p w14:paraId="37900E70" w14:textId="77777777" w:rsidR="000B61B6" w:rsidRPr="000B61B6" w:rsidRDefault="000B61B6" w:rsidP="00BE4A83">
            <w:pPr>
              <w:pStyle w:val="TableParagraph"/>
              <w:rPr>
                <w:rFonts w:ascii="Arial" w:hAnsi="Arial" w:cs="Arial"/>
              </w:rPr>
            </w:pPr>
            <w:r w:rsidRPr="000B61B6">
              <w:rPr>
                <w:rFonts w:ascii="Arial" w:hAnsi="Arial" w:cs="Arial"/>
              </w:rPr>
              <w:t>Instruments</w:t>
            </w:r>
          </w:p>
        </w:tc>
        <w:tc>
          <w:tcPr>
            <w:tcW w:w="4860" w:type="dxa"/>
          </w:tcPr>
          <w:p w14:paraId="2C86BCB9" w14:textId="77777777" w:rsidR="000B61B6" w:rsidRPr="000B61B6" w:rsidRDefault="000B61B6" w:rsidP="005E6689">
            <w:pPr>
              <w:pStyle w:val="TableParagraph"/>
              <w:ind w:left="84" w:right="87"/>
              <w:jc w:val="both"/>
              <w:rPr>
                <w:rFonts w:ascii="Arial" w:hAnsi="Arial" w:cs="Arial"/>
              </w:rPr>
            </w:pPr>
            <w:r w:rsidRPr="000B61B6">
              <w:rPr>
                <w:rFonts w:ascii="Arial" w:hAnsi="Arial" w:cs="Arial"/>
              </w:rPr>
              <w:t>Instrument</w:t>
            </w:r>
            <w:r w:rsidRPr="000B61B6">
              <w:rPr>
                <w:rFonts w:ascii="Arial" w:hAnsi="Arial" w:cs="Arial"/>
                <w:spacing w:val="-3"/>
              </w:rPr>
              <w:t xml:space="preserve"> </w:t>
            </w:r>
            <w:r w:rsidRPr="000B61B6">
              <w:rPr>
                <w:rFonts w:ascii="Arial" w:hAnsi="Arial" w:cs="Arial"/>
              </w:rPr>
              <w:t>panel</w:t>
            </w:r>
            <w:r w:rsidRPr="000B61B6">
              <w:rPr>
                <w:rFonts w:ascii="Arial" w:hAnsi="Arial" w:cs="Arial"/>
                <w:spacing w:val="-2"/>
              </w:rPr>
              <w:t xml:space="preserve"> </w:t>
            </w:r>
            <w:r w:rsidRPr="000B61B6">
              <w:rPr>
                <w:rFonts w:ascii="Arial" w:hAnsi="Arial" w:cs="Arial"/>
              </w:rPr>
              <w:t>—</w:t>
            </w:r>
            <w:r w:rsidRPr="000B61B6">
              <w:rPr>
                <w:rFonts w:ascii="Arial" w:hAnsi="Arial" w:cs="Arial"/>
                <w:spacing w:val="-3"/>
              </w:rPr>
              <w:t xml:space="preserve"> </w:t>
            </w:r>
            <w:r w:rsidRPr="000B61B6">
              <w:rPr>
                <w:rFonts w:ascii="Arial" w:hAnsi="Arial" w:cs="Arial"/>
              </w:rPr>
              <w:t>removal</w:t>
            </w:r>
            <w:r w:rsidRPr="000B61B6">
              <w:rPr>
                <w:rFonts w:ascii="Arial" w:hAnsi="Arial" w:cs="Arial"/>
                <w:spacing w:val="-1"/>
              </w:rPr>
              <w:t xml:space="preserve"> </w:t>
            </w:r>
            <w:r w:rsidRPr="000B61B6">
              <w:rPr>
                <w:rFonts w:ascii="Arial" w:hAnsi="Arial" w:cs="Arial"/>
              </w:rPr>
              <w:t>and</w:t>
            </w:r>
            <w:r w:rsidRPr="000B61B6">
              <w:rPr>
                <w:rFonts w:ascii="Arial" w:hAnsi="Arial" w:cs="Arial"/>
                <w:spacing w:val="-3"/>
              </w:rPr>
              <w:t xml:space="preserve"> </w:t>
            </w:r>
            <w:r w:rsidRPr="000B61B6">
              <w:rPr>
                <w:rFonts w:ascii="Arial" w:hAnsi="Arial" w:cs="Arial"/>
              </w:rPr>
              <w:t>reinstallation</w:t>
            </w:r>
            <w:r w:rsidRPr="000B61B6">
              <w:rPr>
                <w:rFonts w:ascii="Arial" w:hAnsi="Arial" w:cs="Arial"/>
                <w:spacing w:val="-1"/>
              </w:rPr>
              <w:t xml:space="preserve"> </w:t>
            </w:r>
            <w:r w:rsidRPr="000B61B6">
              <w:rPr>
                <w:rFonts w:ascii="Arial" w:hAnsi="Arial" w:cs="Arial"/>
              </w:rPr>
              <w:t>provided</w:t>
            </w:r>
            <w:r w:rsidRPr="000B61B6">
              <w:rPr>
                <w:rFonts w:ascii="Arial" w:hAnsi="Arial" w:cs="Arial"/>
                <w:spacing w:val="-3"/>
              </w:rPr>
              <w:t xml:space="preserve"> </w:t>
            </w:r>
            <w:r w:rsidRPr="000B61B6">
              <w:rPr>
                <w:rFonts w:ascii="Arial" w:hAnsi="Arial" w:cs="Arial"/>
              </w:rPr>
              <w:t>that</w:t>
            </w:r>
            <w:r w:rsidRPr="000B61B6">
              <w:rPr>
                <w:rFonts w:ascii="Arial" w:hAnsi="Arial" w:cs="Arial"/>
                <w:spacing w:val="-3"/>
              </w:rPr>
              <w:t xml:space="preserve"> </w:t>
            </w:r>
            <w:r w:rsidRPr="000B61B6">
              <w:rPr>
                <w:rFonts w:ascii="Arial" w:hAnsi="Arial" w:cs="Arial"/>
              </w:rPr>
              <w:t>this</w:t>
            </w:r>
            <w:r w:rsidRPr="000B61B6">
              <w:rPr>
                <w:rFonts w:ascii="Arial" w:hAnsi="Arial" w:cs="Arial"/>
                <w:spacing w:val="-3"/>
              </w:rPr>
              <w:t xml:space="preserve"> </w:t>
            </w:r>
            <w:r w:rsidRPr="000B61B6">
              <w:rPr>
                <w:rFonts w:ascii="Arial" w:hAnsi="Arial" w:cs="Arial"/>
              </w:rPr>
              <w:t>is</w:t>
            </w:r>
            <w:r w:rsidRPr="000B61B6">
              <w:rPr>
                <w:rFonts w:ascii="Arial" w:hAnsi="Arial" w:cs="Arial"/>
                <w:spacing w:val="-42"/>
              </w:rPr>
              <w:t xml:space="preserve"> </w:t>
            </w:r>
            <w:r w:rsidRPr="000B61B6">
              <w:rPr>
                <w:rFonts w:ascii="Arial" w:hAnsi="Arial" w:cs="Arial"/>
              </w:rPr>
              <w:t>a</w:t>
            </w:r>
            <w:r w:rsidRPr="000B61B6">
              <w:rPr>
                <w:rFonts w:ascii="Arial" w:hAnsi="Arial" w:cs="Arial"/>
                <w:spacing w:val="-2"/>
              </w:rPr>
              <w:t xml:space="preserve"> </w:t>
            </w:r>
            <w:r w:rsidRPr="000B61B6">
              <w:rPr>
                <w:rFonts w:ascii="Arial" w:hAnsi="Arial" w:cs="Arial"/>
              </w:rPr>
              <w:t>design</w:t>
            </w:r>
            <w:r w:rsidRPr="000B61B6">
              <w:rPr>
                <w:rFonts w:ascii="Arial" w:hAnsi="Arial" w:cs="Arial"/>
                <w:spacing w:val="-2"/>
              </w:rPr>
              <w:t xml:space="preserve"> </w:t>
            </w:r>
            <w:r w:rsidRPr="000B61B6">
              <w:rPr>
                <w:rFonts w:ascii="Arial" w:hAnsi="Arial" w:cs="Arial"/>
              </w:rPr>
              <w:t>feature</w:t>
            </w:r>
            <w:r w:rsidRPr="000B61B6">
              <w:rPr>
                <w:rFonts w:ascii="Arial" w:hAnsi="Arial" w:cs="Arial"/>
                <w:spacing w:val="-1"/>
              </w:rPr>
              <w:t xml:space="preserve"> </w:t>
            </w:r>
            <w:r w:rsidRPr="000B61B6">
              <w:rPr>
                <w:rFonts w:ascii="Arial" w:hAnsi="Arial" w:cs="Arial"/>
              </w:rPr>
              <w:t>with</w:t>
            </w:r>
            <w:r w:rsidRPr="000B61B6">
              <w:rPr>
                <w:rFonts w:ascii="Arial" w:hAnsi="Arial" w:cs="Arial"/>
                <w:spacing w:val="-2"/>
              </w:rPr>
              <w:t xml:space="preserve"> </w:t>
            </w:r>
            <w:r w:rsidRPr="000B61B6">
              <w:rPr>
                <w:rFonts w:ascii="Arial" w:hAnsi="Arial" w:cs="Arial"/>
              </w:rPr>
              <w:t>quick-disconnect</w:t>
            </w:r>
            <w:r w:rsidRPr="000B61B6">
              <w:rPr>
                <w:rFonts w:ascii="Arial" w:hAnsi="Arial" w:cs="Arial"/>
                <w:spacing w:val="-2"/>
              </w:rPr>
              <w:t xml:space="preserve"> </w:t>
            </w:r>
            <w:r w:rsidRPr="000B61B6">
              <w:rPr>
                <w:rFonts w:ascii="Arial" w:hAnsi="Arial" w:cs="Arial"/>
              </w:rPr>
              <w:t>connectors, excluding</w:t>
            </w:r>
            <w:r w:rsidRPr="000B61B6">
              <w:rPr>
                <w:rFonts w:ascii="Arial" w:hAnsi="Arial" w:cs="Arial"/>
                <w:spacing w:val="-2"/>
              </w:rPr>
              <w:t xml:space="preserve"> </w:t>
            </w:r>
            <w:r w:rsidR="005E6689">
              <w:rPr>
                <w:rFonts w:ascii="Arial" w:hAnsi="Arial" w:cs="Arial"/>
              </w:rPr>
              <w:t xml:space="preserve">IFR </w:t>
            </w:r>
            <w:r w:rsidRPr="000B61B6">
              <w:rPr>
                <w:rFonts w:ascii="Arial" w:hAnsi="Arial" w:cs="Arial"/>
              </w:rPr>
              <w:t>operations</w:t>
            </w:r>
          </w:p>
        </w:tc>
        <w:tc>
          <w:tcPr>
            <w:tcW w:w="1530" w:type="dxa"/>
          </w:tcPr>
          <w:p w14:paraId="4802DD79" w14:textId="77777777" w:rsidR="000B61B6" w:rsidRPr="000B61B6" w:rsidRDefault="000B61B6" w:rsidP="00BE4A83">
            <w:pPr>
              <w:pStyle w:val="TableParagraph"/>
              <w:ind w:left="84"/>
              <w:rPr>
                <w:rFonts w:ascii="Arial" w:hAnsi="Arial" w:cs="Arial"/>
              </w:rPr>
            </w:pPr>
            <w:r w:rsidRPr="000B61B6">
              <w:rPr>
                <w:rFonts w:ascii="Arial" w:hAnsi="Arial" w:cs="Arial"/>
              </w:rPr>
              <w:t>Yes**</w:t>
            </w:r>
          </w:p>
        </w:tc>
      </w:tr>
      <w:tr w:rsidR="000B61B6" w:rsidRPr="000B61B6" w14:paraId="61DCCD2C" w14:textId="77777777" w:rsidTr="0080379D">
        <w:trPr>
          <w:trHeight w:val="445"/>
        </w:trPr>
        <w:tc>
          <w:tcPr>
            <w:tcW w:w="895" w:type="dxa"/>
            <w:vMerge/>
            <w:shd w:val="clear" w:color="auto" w:fill="F2F2F2" w:themeFill="background1" w:themeFillShade="F2"/>
          </w:tcPr>
          <w:p w14:paraId="18EED998" w14:textId="77777777" w:rsidR="000B61B6" w:rsidRPr="00093EB0" w:rsidRDefault="000B61B6" w:rsidP="00093EB0">
            <w:pPr>
              <w:jc w:val="center"/>
              <w:rPr>
                <w:rFonts w:ascii="Arial" w:hAnsi="Arial" w:cs="Arial"/>
                <w:b/>
              </w:rPr>
            </w:pPr>
          </w:p>
        </w:tc>
        <w:tc>
          <w:tcPr>
            <w:tcW w:w="2250" w:type="dxa"/>
            <w:vMerge/>
          </w:tcPr>
          <w:p w14:paraId="1E1E6294" w14:textId="77777777" w:rsidR="000B61B6" w:rsidRPr="000B61B6" w:rsidRDefault="000B61B6" w:rsidP="00BE4A83">
            <w:pPr>
              <w:rPr>
                <w:rFonts w:ascii="Arial" w:hAnsi="Arial" w:cs="Arial"/>
                <w:sz w:val="2"/>
                <w:szCs w:val="2"/>
              </w:rPr>
            </w:pPr>
          </w:p>
        </w:tc>
        <w:tc>
          <w:tcPr>
            <w:tcW w:w="4860" w:type="dxa"/>
          </w:tcPr>
          <w:p w14:paraId="0EB890C0" w14:textId="77777777" w:rsidR="000B61B6" w:rsidRPr="000B61B6" w:rsidRDefault="000B61B6" w:rsidP="005E6689">
            <w:pPr>
              <w:pStyle w:val="TableParagraph"/>
              <w:ind w:left="84"/>
              <w:jc w:val="both"/>
              <w:rPr>
                <w:rFonts w:ascii="Arial" w:hAnsi="Arial" w:cs="Arial"/>
              </w:rPr>
            </w:pPr>
            <w:r w:rsidRPr="000B61B6">
              <w:rPr>
                <w:rFonts w:ascii="Arial" w:hAnsi="Arial" w:cs="Arial"/>
              </w:rPr>
              <w:t>Pitot-static</w:t>
            </w:r>
            <w:r w:rsidRPr="000B61B6">
              <w:rPr>
                <w:rFonts w:ascii="Arial" w:hAnsi="Arial" w:cs="Arial"/>
                <w:spacing w:val="-1"/>
              </w:rPr>
              <w:t xml:space="preserve"> </w:t>
            </w:r>
            <w:r w:rsidRPr="000B61B6">
              <w:rPr>
                <w:rFonts w:ascii="Arial" w:hAnsi="Arial" w:cs="Arial"/>
              </w:rPr>
              <w:t>system</w:t>
            </w:r>
            <w:r w:rsidRPr="000B61B6">
              <w:rPr>
                <w:rFonts w:ascii="Arial" w:hAnsi="Arial" w:cs="Arial"/>
                <w:spacing w:val="-3"/>
              </w:rPr>
              <w:t xml:space="preserve"> </w:t>
            </w:r>
            <w:r w:rsidRPr="000B61B6">
              <w:rPr>
                <w:rFonts w:ascii="Arial" w:hAnsi="Arial" w:cs="Arial"/>
              </w:rPr>
              <w:t>—</w:t>
            </w:r>
            <w:r w:rsidRPr="000B61B6">
              <w:rPr>
                <w:rFonts w:ascii="Arial" w:hAnsi="Arial" w:cs="Arial"/>
                <w:spacing w:val="-1"/>
              </w:rPr>
              <w:t xml:space="preserve"> </w:t>
            </w:r>
            <w:r w:rsidRPr="000B61B6">
              <w:rPr>
                <w:rFonts w:ascii="Arial" w:hAnsi="Arial" w:cs="Arial"/>
              </w:rPr>
              <w:t>simple</w:t>
            </w:r>
            <w:r w:rsidRPr="000B61B6">
              <w:rPr>
                <w:rFonts w:ascii="Arial" w:hAnsi="Arial" w:cs="Arial"/>
                <w:spacing w:val="-3"/>
              </w:rPr>
              <w:t xml:space="preserve"> </w:t>
            </w:r>
            <w:r w:rsidRPr="000B61B6">
              <w:rPr>
                <w:rFonts w:ascii="Arial" w:hAnsi="Arial" w:cs="Arial"/>
              </w:rPr>
              <w:t>sense</w:t>
            </w:r>
            <w:r w:rsidRPr="000B61B6">
              <w:rPr>
                <w:rFonts w:ascii="Arial" w:hAnsi="Arial" w:cs="Arial"/>
                <w:spacing w:val="-4"/>
              </w:rPr>
              <w:t xml:space="preserve"> </w:t>
            </w:r>
            <w:r w:rsidRPr="000B61B6">
              <w:rPr>
                <w:rFonts w:ascii="Arial" w:hAnsi="Arial" w:cs="Arial"/>
              </w:rPr>
              <w:t>and</w:t>
            </w:r>
            <w:r w:rsidRPr="000B61B6">
              <w:rPr>
                <w:rFonts w:ascii="Arial" w:hAnsi="Arial" w:cs="Arial"/>
                <w:spacing w:val="-2"/>
              </w:rPr>
              <w:t xml:space="preserve"> </w:t>
            </w:r>
            <w:r w:rsidRPr="000B61B6">
              <w:rPr>
                <w:rFonts w:ascii="Arial" w:hAnsi="Arial" w:cs="Arial"/>
              </w:rPr>
              <w:t>leak</w:t>
            </w:r>
            <w:r w:rsidRPr="000B61B6">
              <w:rPr>
                <w:rFonts w:ascii="Arial" w:hAnsi="Arial" w:cs="Arial"/>
                <w:spacing w:val="-3"/>
              </w:rPr>
              <w:t xml:space="preserve"> </w:t>
            </w:r>
            <w:r w:rsidRPr="000B61B6">
              <w:rPr>
                <w:rFonts w:ascii="Arial" w:hAnsi="Arial" w:cs="Arial"/>
              </w:rPr>
              <w:t>check,</w:t>
            </w:r>
            <w:r w:rsidRPr="000B61B6">
              <w:rPr>
                <w:rFonts w:ascii="Arial" w:hAnsi="Arial" w:cs="Arial"/>
                <w:spacing w:val="-2"/>
              </w:rPr>
              <w:t xml:space="preserve"> </w:t>
            </w:r>
            <w:r w:rsidRPr="000B61B6">
              <w:rPr>
                <w:rFonts w:ascii="Arial" w:hAnsi="Arial" w:cs="Arial"/>
              </w:rPr>
              <w:t>excluding</w:t>
            </w:r>
            <w:r w:rsidRPr="000B61B6">
              <w:rPr>
                <w:rFonts w:ascii="Arial" w:hAnsi="Arial" w:cs="Arial"/>
                <w:spacing w:val="-4"/>
              </w:rPr>
              <w:t xml:space="preserve"> </w:t>
            </w:r>
            <w:r w:rsidR="005E6689">
              <w:rPr>
                <w:rFonts w:ascii="Arial" w:hAnsi="Arial" w:cs="Arial"/>
              </w:rPr>
              <w:t xml:space="preserve">IFR </w:t>
            </w:r>
            <w:r w:rsidRPr="000B61B6">
              <w:rPr>
                <w:rFonts w:ascii="Arial" w:hAnsi="Arial" w:cs="Arial"/>
              </w:rPr>
              <w:t>operations</w:t>
            </w:r>
          </w:p>
        </w:tc>
        <w:tc>
          <w:tcPr>
            <w:tcW w:w="1530" w:type="dxa"/>
          </w:tcPr>
          <w:p w14:paraId="5995C614" w14:textId="77777777" w:rsidR="000B61B6" w:rsidRPr="000B61B6" w:rsidRDefault="000B61B6" w:rsidP="00BE4A83">
            <w:pPr>
              <w:pStyle w:val="TableParagraph"/>
              <w:ind w:left="84"/>
              <w:rPr>
                <w:rFonts w:ascii="Arial" w:hAnsi="Arial" w:cs="Arial"/>
              </w:rPr>
            </w:pPr>
            <w:r w:rsidRPr="000B61B6">
              <w:rPr>
                <w:rFonts w:ascii="Arial" w:hAnsi="Arial" w:cs="Arial"/>
              </w:rPr>
              <w:t>Yes**</w:t>
            </w:r>
          </w:p>
        </w:tc>
      </w:tr>
      <w:tr w:rsidR="000B61B6" w:rsidRPr="000B61B6" w14:paraId="0D3A1C35" w14:textId="77777777" w:rsidTr="0080379D">
        <w:trPr>
          <w:trHeight w:val="447"/>
        </w:trPr>
        <w:tc>
          <w:tcPr>
            <w:tcW w:w="895" w:type="dxa"/>
            <w:vMerge/>
            <w:shd w:val="clear" w:color="auto" w:fill="F2F2F2" w:themeFill="background1" w:themeFillShade="F2"/>
          </w:tcPr>
          <w:p w14:paraId="6EB7FE01" w14:textId="77777777" w:rsidR="000B61B6" w:rsidRPr="00093EB0" w:rsidRDefault="000B61B6" w:rsidP="00093EB0">
            <w:pPr>
              <w:jc w:val="center"/>
              <w:rPr>
                <w:rFonts w:ascii="Arial" w:hAnsi="Arial" w:cs="Arial"/>
                <w:b/>
              </w:rPr>
            </w:pPr>
          </w:p>
        </w:tc>
        <w:tc>
          <w:tcPr>
            <w:tcW w:w="2250" w:type="dxa"/>
            <w:vMerge/>
          </w:tcPr>
          <w:p w14:paraId="23985138" w14:textId="77777777" w:rsidR="000B61B6" w:rsidRPr="000B61B6" w:rsidRDefault="000B61B6" w:rsidP="00BE4A83">
            <w:pPr>
              <w:rPr>
                <w:rFonts w:ascii="Arial" w:hAnsi="Arial" w:cs="Arial"/>
                <w:sz w:val="2"/>
                <w:szCs w:val="2"/>
              </w:rPr>
            </w:pPr>
          </w:p>
        </w:tc>
        <w:tc>
          <w:tcPr>
            <w:tcW w:w="4860" w:type="dxa"/>
          </w:tcPr>
          <w:p w14:paraId="257097B4" w14:textId="77777777" w:rsidR="000B61B6" w:rsidRPr="000B61B6" w:rsidRDefault="000B61B6" w:rsidP="005E6689">
            <w:pPr>
              <w:pStyle w:val="TableParagraph"/>
              <w:spacing w:line="240" w:lineRule="atLeast"/>
              <w:ind w:left="84" w:right="245"/>
              <w:jc w:val="both"/>
              <w:rPr>
                <w:rFonts w:ascii="Arial" w:hAnsi="Arial" w:cs="Arial"/>
              </w:rPr>
            </w:pPr>
            <w:r w:rsidRPr="000B61B6">
              <w:rPr>
                <w:rFonts w:ascii="Arial" w:hAnsi="Arial" w:cs="Arial"/>
              </w:rPr>
              <w:t>Drainage — drainage of water drainage traps or filters within the</w:t>
            </w:r>
            <w:r w:rsidRPr="000B61B6">
              <w:rPr>
                <w:rFonts w:ascii="Arial" w:hAnsi="Arial" w:cs="Arial"/>
                <w:spacing w:val="1"/>
              </w:rPr>
              <w:t xml:space="preserve"> </w:t>
            </w:r>
            <w:r w:rsidRPr="000B61B6">
              <w:rPr>
                <w:rFonts w:ascii="Arial" w:hAnsi="Arial" w:cs="Arial"/>
              </w:rPr>
              <w:t>pitot-static</w:t>
            </w:r>
            <w:r w:rsidRPr="000B61B6">
              <w:rPr>
                <w:rFonts w:ascii="Arial" w:hAnsi="Arial" w:cs="Arial"/>
                <w:spacing w:val="-2"/>
              </w:rPr>
              <w:t xml:space="preserve"> </w:t>
            </w:r>
            <w:r w:rsidRPr="000B61B6">
              <w:rPr>
                <w:rFonts w:ascii="Arial" w:hAnsi="Arial" w:cs="Arial"/>
              </w:rPr>
              <w:t>system, excluding</w:t>
            </w:r>
            <w:r w:rsidR="005E6689">
              <w:rPr>
                <w:rFonts w:ascii="Arial" w:hAnsi="Arial" w:cs="Arial"/>
                <w:spacing w:val="1"/>
              </w:rPr>
              <w:t xml:space="preserve"> </w:t>
            </w:r>
            <w:r w:rsidRPr="000B61B6">
              <w:rPr>
                <w:rFonts w:ascii="Arial" w:hAnsi="Arial" w:cs="Arial"/>
              </w:rPr>
              <w:t>IFR</w:t>
            </w:r>
            <w:r w:rsidRPr="000B61B6">
              <w:rPr>
                <w:rFonts w:ascii="Arial" w:hAnsi="Arial" w:cs="Arial"/>
                <w:spacing w:val="-1"/>
              </w:rPr>
              <w:t xml:space="preserve"> </w:t>
            </w:r>
            <w:r w:rsidRPr="000B61B6">
              <w:rPr>
                <w:rFonts w:ascii="Arial" w:hAnsi="Arial" w:cs="Arial"/>
              </w:rPr>
              <w:t>operations</w:t>
            </w:r>
          </w:p>
        </w:tc>
        <w:tc>
          <w:tcPr>
            <w:tcW w:w="1530" w:type="dxa"/>
          </w:tcPr>
          <w:p w14:paraId="6B789D5E" w14:textId="77777777" w:rsidR="000B61B6" w:rsidRPr="000B61B6" w:rsidRDefault="000B61B6" w:rsidP="00BE4A83">
            <w:pPr>
              <w:pStyle w:val="TableParagraph"/>
              <w:ind w:left="84"/>
              <w:rPr>
                <w:rFonts w:ascii="Arial" w:hAnsi="Arial" w:cs="Arial"/>
              </w:rPr>
            </w:pPr>
            <w:r w:rsidRPr="000B61B6">
              <w:rPr>
                <w:rFonts w:ascii="Arial" w:hAnsi="Arial" w:cs="Arial"/>
              </w:rPr>
              <w:t>Yes**</w:t>
            </w:r>
          </w:p>
        </w:tc>
      </w:tr>
      <w:tr w:rsidR="000B61B6" w:rsidRPr="000B61B6" w14:paraId="1A36F0C7" w14:textId="77777777" w:rsidTr="0080379D">
        <w:trPr>
          <w:trHeight w:val="444"/>
        </w:trPr>
        <w:tc>
          <w:tcPr>
            <w:tcW w:w="895" w:type="dxa"/>
            <w:vMerge/>
            <w:shd w:val="clear" w:color="auto" w:fill="F2F2F2" w:themeFill="background1" w:themeFillShade="F2"/>
          </w:tcPr>
          <w:p w14:paraId="0958D6E1" w14:textId="77777777" w:rsidR="000B61B6" w:rsidRPr="00093EB0" w:rsidRDefault="000B61B6" w:rsidP="00093EB0">
            <w:pPr>
              <w:jc w:val="center"/>
              <w:rPr>
                <w:rFonts w:ascii="Arial" w:hAnsi="Arial" w:cs="Arial"/>
                <w:b/>
              </w:rPr>
            </w:pPr>
          </w:p>
        </w:tc>
        <w:tc>
          <w:tcPr>
            <w:tcW w:w="2250" w:type="dxa"/>
            <w:vMerge/>
          </w:tcPr>
          <w:p w14:paraId="30381D01" w14:textId="77777777" w:rsidR="000B61B6" w:rsidRPr="000B61B6" w:rsidRDefault="000B61B6" w:rsidP="00BE4A83">
            <w:pPr>
              <w:rPr>
                <w:rFonts w:ascii="Arial" w:hAnsi="Arial" w:cs="Arial"/>
                <w:sz w:val="2"/>
                <w:szCs w:val="2"/>
              </w:rPr>
            </w:pPr>
          </w:p>
        </w:tc>
        <w:tc>
          <w:tcPr>
            <w:tcW w:w="4860" w:type="dxa"/>
          </w:tcPr>
          <w:p w14:paraId="73BD69BB" w14:textId="77777777" w:rsidR="000B61B6" w:rsidRPr="000B61B6" w:rsidRDefault="000B61B6" w:rsidP="005E6689">
            <w:pPr>
              <w:pStyle w:val="TableParagraph"/>
              <w:spacing w:line="242" w:lineRule="exact"/>
              <w:ind w:left="84"/>
              <w:jc w:val="both"/>
              <w:rPr>
                <w:rFonts w:ascii="Arial" w:hAnsi="Arial" w:cs="Arial"/>
              </w:rPr>
            </w:pPr>
            <w:r w:rsidRPr="000B61B6">
              <w:rPr>
                <w:rFonts w:ascii="Arial" w:hAnsi="Arial" w:cs="Arial"/>
              </w:rPr>
              <w:t>Instruments —</w:t>
            </w:r>
            <w:r w:rsidRPr="000B61B6">
              <w:rPr>
                <w:rFonts w:ascii="Arial" w:hAnsi="Arial" w:cs="Arial"/>
                <w:spacing w:val="-1"/>
              </w:rPr>
              <w:t xml:space="preserve"> </w:t>
            </w:r>
            <w:r w:rsidRPr="000B61B6">
              <w:rPr>
                <w:rFonts w:ascii="Arial" w:hAnsi="Arial" w:cs="Arial"/>
              </w:rPr>
              <w:t>checking</w:t>
            </w:r>
            <w:r w:rsidRPr="000B61B6">
              <w:rPr>
                <w:rFonts w:ascii="Arial" w:hAnsi="Arial" w:cs="Arial"/>
                <w:spacing w:val="-3"/>
              </w:rPr>
              <w:t xml:space="preserve"> </w:t>
            </w:r>
            <w:r w:rsidRPr="000B61B6">
              <w:rPr>
                <w:rFonts w:ascii="Arial" w:hAnsi="Arial" w:cs="Arial"/>
              </w:rPr>
              <w:t>of</w:t>
            </w:r>
            <w:r w:rsidRPr="000B61B6">
              <w:rPr>
                <w:rFonts w:ascii="Arial" w:hAnsi="Arial" w:cs="Arial"/>
                <w:spacing w:val="-4"/>
              </w:rPr>
              <w:t xml:space="preserve"> </w:t>
            </w:r>
            <w:r w:rsidRPr="000B61B6">
              <w:rPr>
                <w:rFonts w:ascii="Arial" w:hAnsi="Arial" w:cs="Arial"/>
              </w:rPr>
              <w:t>markings</w:t>
            </w:r>
            <w:r w:rsidRPr="000B61B6">
              <w:rPr>
                <w:rFonts w:ascii="Arial" w:hAnsi="Arial" w:cs="Arial"/>
                <w:spacing w:val="-4"/>
              </w:rPr>
              <w:t xml:space="preserve"> </w:t>
            </w:r>
            <w:r w:rsidRPr="000B61B6">
              <w:rPr>
                <w:rFonts w:ascii="Arial" w:hAnsi="Arial" w:cs="Arial"/>
              </w:rPr>
              <w:t>for</w:t>
            </w:r>
            <w:r w:rsidRPr="000B61B6">
              <w:rPr>
                <w:rFonts w:ascii="Arial" w:hAnsi="Arial" w:cs="Arial"/>
                <w:spacing w:val="-2"/>
              </w:rPr>
              <w:t xml:space="preserve"> </w:t>
            </w:r>
            <w:r w:rsidRPr="000B61B6">
              <w:rPr>
                <w:rFonts w:ascii="Arial" w:hAnsi="Arial" w:cs="Arial"/>
              </w:rPr>
              <w:t>legibility</w:t>
            </w:r>
            <w:r w:rsidRPr="000B61B6">
              <w:rPr>
                <w:rFonts w:ascii="Arial" w:hAnsi="Arial" w:cs="Arial"/>
                <w:spacing w:val="-1"/>
              </w:rPr>
              <w:t xml:space="preserve"> </w:t>
            </w:r>
            <w:r w:rsidRPr="000B61B6">
              <w:rPr>
                <w:rFonts w:ascii="Arial" w:hAnsi="Arial" w:cs="Arial"/>
              </w:rPr>
              <w:t>and</w:t>
            </w:r>
            <w:r w:rsidRPr="000B61B6">
              <w:rPr>
                <w:rFonts w:ascii="Arial" w:hAnsi="Arial" w:cs="Arial"/>
                <w:spacing w:val="-2"/>
              </w:rPr>
              <w:t xml:space="preserve"> </w:t>
            </w:r>
            <w:r w:rsidRPr="000B61B6">
              <w:rPr>
                <w:rFonts w:ascii="Arial" w:hAnsi="Arial" w:cs="Arial"/>
              </w:rPr>
              <w:t>that</w:t>
            </w:r>
            <w:r w:rsidRPr="000B61B6">
              <w:rPr>
                <w:rFonts w:ascii="Arial" w:hAnsi="Arial" w:cs="Arial"/>
                <w:spacing w:val="-2"/>
              </w:rPr>
              <w:t xml:space="preserve"> </w:t>
            </w:r>
            <w:r w:rsidRPr="000B61B6">
              <w:rPr>
                <w:rFonts w:ascii="Arial" w:hAnsi="Arial" w:cs="Arial"/>
              </w:rPr>
              <w:t>t</w:t>
            </w:r>
            <w:r w:rsidR="005E6689">
              <w:rPr>
                <w:rFonts w:ascii="Arial" w:hAnsi="Arial" w:cs="Arial"/>
              </w:rPr>
              <w:t xml:space="preserve">hose </w:t>
            </w:r>
            <w:r w:rsidRPr="000B61B6">
              <w:rPr>
                <w:rFonts w:ascii="Arial" w:hAnsi="Arial" w:cs="Arial"/>
              </w:rPr>
              <w:t>readings</w:t>
            </w:r>
            <w:r w:rsidRPr="000B61B6">
              <w:rPr>
                <w:rFonts w:ascii="Arial" w:hAnsi="Arial" w:cs="Arial"/>
                <w:spacing w:val="-5"/>
              </w:rPr>
              <w:t xml:space="preserve"> </w:t>
            </w:r>
            <w:r w:rsidRPr="000B61B6">
              <w:rPr>
                <w:rFonts w:ascii="Arial" w:hAnsi="Arial" w:cs="Arial"/>
              </w:rPr>
              <w:t>are</w:t>
            </w:r>
            <w:r w:rsidRPr="000B61B6">
              <w:rPr>
                <w:rFonts w:ascii="Arial" w:hAnsi="Arial" w:cs="Arial"/>
                <w:spacing w:val="-3"/>
              </w:rPr>
              <w:t xml:space="preserve"> </w:t>
            </w:r>
            <w:r w:rsidRPr="000B61B6">
              <w:rPr>
                <w:rFonts w:ascii="Arial" w:hAnsi="Arial" w:cs="Arial"/>
              </w:rPr>
              <w:t>consistent</w:t>
            </w:r>
            <w:r w:rsidRPr="000B61B6">
              <w:rPr>
                <w:rFonts w:ascii="Arial" w:hAnsi="Arial" w:cs="Arial"/>
                <w:spacing w:val="-2"/>
              </w:rPr>
              <w:t xml:space="preserve"> </w:t>
            </w:r>
            <w:r w:rsidRPr="000B61B6">
              <w:rPr>
                <w:rFonts w:ascii="Arial" w:hAnsi="Arial" w:cs="Arial"/>
              </w:rPr>
              <w:t>with</w:t>
            </w:r>
            <w:r w:rsidRPr="000B61B6">
              <w:rPr>
                <w:rFonts w:ascii="Arial" w:hAnsi="Arial" w:cs="Arial"/>
                <w:spacing w:val="-3"/>
              </w:rPr>
              <w:t xml:space="preserve"> </w:t>
            </w:r>
            <w:r w:rsidRPr="000B61B6">
              <w:rPr>
                <w:rFonts w:ascii="Arial" w:hAnsi="Arial" w:cs="Arial"/>
              </w:rPr>
              <w:t>ambient</w:t>
            </w:r>
            <w:r w:rsidRPr="000B61B6">
              <w:rPr>
                <w:rFonts w:ascii="Arial" w:hAnsi="Arial" w:cs="Arial"/>
                <w:spacing w:val="-2"/>
              </w:rPr>
              <w:t xml:space="preserve"> </w:t>
            </w:r>
            <w:r w:rsidRPr="000B61B6">
              <w:rPr>
                <w:rFonts w:ascii="Arial" w:hAnsi="Arial" w:cs="Arial"/>
              </w:rPr>
              <w:t>conditions</w:t>
            </w:r>
          </w:p>
        </w:tc>
        <w:tc>
          <w:tcPr>
            <w:tcW w:w="1530" w:type="dxa"/>
          </w:tcPr>
          <w:p w14:paraId="448E17E1" w14:textId="77777777" w:rsidR="000B61B6" w:rsidRPr="000B61B6" w:rsidRDefault="000B61B6" w:rsidP="00BE4A83">
            <w:pPr>
              <w:pStyle w:val="TableParagraph"/>
              <w:spacing w:line="242" w:lineRule="exact"/>
              <w:ind w:left="84"/>
              <w:rPr>
                <w:rFonts w:ascii="Arial" w:hAnsi="Arial" w:cs="Arial"/>
              </w:rPr>
            </w:pPr>
            <w:r w:rsidRPr="000B61B6">
              <w:rPr>
                <w:rFonts w:ascii="Arial" w:hAnsi="Arial" w:cs="Arial"/>
              </w:rPr>
              <w:t>Yes</w:t>
            </w:r>
          </w:p>
        </w:tc>
      </w:tr>
      <w:tr w:rsidR="000B61B6" w:rsidRPr="000B61B6" w14:paraId="2EE84CC8" w14:textId="77777777" w:rsidTr="0080379D">
        <w:trPr>
          <w:trHeight w:val="444"/>
        </w:trPr>
        <w:tc>
          <w:tcPr>
            <w:tcW w:w="895" w:type="dxa"/>
            <w:vMerge w:val="restart"/>
            <w:shd w:val="clear" w:color="auto" w:fill="F2F2F2" w:themeFill="background1" w:themeFillShade="F2"/>
          </w:tcPr>
          <w:p w14:paraId="48BFB432" w14:textId="77777777" w:rsidR="000B61B6" w:rsidRPr="000B61B6" w:rsidRDefault="00063798" w:rsidP="00093EB0">
            <w:pPr>
              <w:jc w:val="center"/>
              <w:rPr>
                <w:rFonts w:ascii="Arial" w:hAnsi="Arial" w:cs="Arial"/>
                <w:b/>
              </w:rPr>
            </w:pPr>
            <w:r w:rsidRPr="00093EB0">
              <w:rPr>
                <w:rFonts w:ascii="Arial" w:hAnsi="Arial" w:cs="Arial"/>
                <w:b/>
              </w:rPr>
              <w:t xml:space="preserve"> </w:t>
            </w:r>
            <w:r w:rsidR="000B61B6" w:rsidRPr="000B61B6">
              <w:rPr>
                <w:rFonts w:ascii="Arial" w:hAnsi="Arial" w:cs="Arial"/>
                <w:b/>
              </w:rPr>
              <w:t>32</w:t>
            </w:r>
          </w:p>
        </w:tc>
        <w:tc>
          <w:tcPr>
            <w:tcW w:w="2250" w:type="dxa"/>
            <w:vMerge w:val="restart"/>
          </w:tcPr>
          <w:p w14:paraId="7D70BAF3" w14:textId="77777777" w:rsidR="000B61B6" w:rsidRPr="000B61B6" w:rsidRDefault="000B61B6" w:rsidP="00BE4A83">
            <w:pPr>
              <w:pStyle w:val="TableParagraph"/>
              <w:rPr>
                <w:rFonts w:ascii="Arial" w:hAnsi="Arial" w:cs="Arial"/>
              </w:rPr>
            </w:pPr>
            <w:r w:rsidRPr="000B61B6">
              <w:rPr>
                <w:rFonts w:ascii="Arial" w:hAnsi="Arial" w:cs="Arial"/>
              </w:rPr>
              <w:t>Landing</w:t>
            </w:r>
            <w:r w:rsidRPr="000B61B6">
              <w:rPr>
                <w:rFonts w:ascii="Arial" w:hAnsi="Arial" w:cs="Arial"/>
                <w:spacing w:val="-4"/>
              </w:rPr>
              <w:t xml:space="preserve"> </w:t>
            </w:r>
            <w:r w:rsidRPr="000B61B6">
              <w:rPr>
                <w:rFonts w:ascii="Arial" w:hAnsi="Arial" w:cs="Arial"/>
              </w:rPr>
              <w:t>gear</w:t>
            </w:r>
          </w:p>
        </w:tc>
        <w:tc>
          <w:tcPr>
            <w:tcW w:w="4860" w:type="dxa"/>
          </w:tcPr>
          <w:p w14:paraId="68C105D8" w14:textId="77777777" w:rsidR="000B61B6" w:rsidRPr="000B61B6" w:rsidRDefault="000B61B6" w:rsidP="005E6689">
            <w:pPr>
              <w:pStyle w:val="TableParagraph"/>
              <w:spacing w:line="243" w:lineRule="exact"/>
              <w:ind w:left="84"/>
              <w:jc w:val="both"/>
              <w:rPr>
                <w:rFonts w:ascii="Arial" w:hAnsi="Arial" w:cs="Arial"/>
              </w:rPr>
            </w:pPr>
            <w:r w:rsidRPr="000B61B6">
              <w:rPr>
                <w:rFonts w:ascii="Arial" w:hAnsi="Arial" w:cs="Arial"/>
              </w:rPr>
              <w:t>Wheels</w:t>
            </w:r>
            <w:r w:rsidRPr="000B61B6">
              <w:rPr>
                <w:rFonts w:ascii="Arial" w:hAnsi="Arial" w:cs="Arial"/>
                <w:spacing w:val="-3"/>
              </w:rPr>
              <w:t xml:space="preserve"> </w:t>
            </w:r>
            <w:r w:rsidRPr="000B61B6">
              <w:rPr>
                <w:rFonts w:ascii="Arial" w:hAnsi="Arial" w:cs="Arial"/>
              </w:rPr>
              <w:t>—</w:t>
            </w:r>
            <w:r w:rsidRPr="000B61B6">
              <w:rPr>
                <w:rFonts w:ascii="Arial" w:hAnsi="Arial" w:cs="Arial"/>
                <w:spacing w:val="-2"/>
              </w:rPr>
              <w:t xml:space="preserve"> </w:t>
            </w:r>
            <w:r w:rsidRPr="000B61B6">
              <w:rPr>
                <w:rFonts w:ascii="Arial" w:hAnsi="Arial" w:cs="Arial"/>
              </w:rPr>
              <w:t>removal,</w:t>
            </w:r>
            <w:r w:rsidRPr="000B61B6">
              <w:rPr>
                <w:rFonts w:ascii="Arial" w:hAnsi="Arial" w:cs="Arial"/>
                <w:spacing w:val="-3"/>
              </w:rPr>
              <w:t xml:space="preserve"> </w:t>
            </w:r>
            <w:r w:rsidRPr="000B61B6">
              <w:rPr>
                <w:rFonts w:ascii="Arial" w:hAnsi="Arial" w:cs="Arial"/>
              </w:rPr>
              <w:t>replacement</w:t>
            </w:r>
            <w:r w:rsidRPr="000B61B6">
              <w:rPr>
                <w:rFonts w:ascii="Arial" w:hAnsi="Arial" w:cs="Arial"/>
                <w:spacing w:val="-2"/>
              </w:rPr>
              <w:t xml:space="preserve"> </w:t>
            </w:r>
            <w:r w:rsidRPr="000B61B6">
              <w:rPr>
                <w:rFonts w:ascii="Arial" w:hAnsi="Arial" w:cs="Arial"/>
              </w:rPr>
              <w:t>and</w:t>
            </w:r>
            <w:r w:rsidRPr="000B61B6">
              <w:rPr>
                <w:rFonts w:ascii="Arial" w:hAnsi="Arial" w:cs="Arial"/>
                <w:spacing w:val="-3"/>
              </w:rPr>
              <w:t xml:space="preserve"> </w:t>
            </w:r>
            <w:r w:rsidRPr="000B61B6">
              <w:rPr>
                <w:rFonts w:ascii="Arial" w:hAnsi="Arial" w:cs="Arial"/>
              </w:rPr>
              <w:t>servicing,</w:t>
            </w:r>
            <w:r w:rsidRPr="000B61B6">
              <w:rPr>
                <w:rFonts w:ascii="Arial" w:hAnsi="Arial" w:cs="Arial"/>
                <w:spacing w:val="-2"/>
              </w:rPr>
              <w:t xml:space="preserve"> </w:t>
            </w:r>
            <w:r w:rsidR="005E6689">
              <w:rPr>
                <w:rFonts w:ascii="Arial" w:hAnsi="Arial" w:cs="Arial"/>
              </w:rPr>
              <w:t xml:space="preserve">including </w:t>
            </w:r>
            <w:r w:rsidRPr="000B61B6">
              <w:rPr>
                <w:rFonts w:ascii="Arial" w:hAnsi="Arial" w:cs="Arial"/>
              </w:rPr>
              <w:t>replacement</w:t>
            </w:r>
            <w:r w:rsidRPr="000B61B6">
              <w:rPr>
                <w:rFonts w:ascii="Arial" w:hAnsi="Arial" w:cs="Arial"/>
                <w:spacing w:val="-2"/>
              </w:rPr>
              <w:t xml:space="preserve"> </w:t>
            </w:r>
            <w:r w:rsidRPr="000B61B6">
              <w:rPr>
                <w:rFonts w:ascii="Arial" w:hAnsi="Arial" w:cs="Arial"/>
              </w:rPr>
              <w:t>of</w:t>
            </w:r>
            <w:r w:rsidRPr="000B61B6">
              <w:rPr>
                <w:rFonts w:ascii="Arial" w:hAnsi="Arial" w:cs="Arial"/>
                <w:spacing w:val="-4"/>
              </w:rPr>
              <w:t xml:space="preserve"> </w:t>
            </w:r>
            <w:r w:rsidRPr="000B61B6">
              <w:rPr>
                <w:rFonts w:ascii="Arial" w:hAnsi="Arial" w:cs="Arial"/>
              </w:rPr>
              <w:t>wheel</w:t>
            </w:r>
            <w:r w:rsidRPr="000B61B6">
              <w:rPr>
                <w:rFonts w:ascii="Arial" w:hAnsi="Arial" w:cs="Arial"/>
                <w:spacing w:val="-2"/>
              </w:rPr>
              <w:t xml:space="preserve"> </w:t>
            </w:r>
            <w:r w:rsidRPr="000B61B6">
              <w:rPr>
                <w:rFonts w:ascii="Arial" w:hAnsi="Arial" w:cs="Arial"/>
              </w:rPr>
              <w:t>bearings</w:t>
            </w:r>
            <w:r w:rsidRPr="000B61B6">
              <w:rPr>
                <w:rFonts w:ascii="Arial" w:hAnsi="Arial" w:cs="Arial"/>
                <w:spacing w:val="-3"/>
              </w:rPr>
              <w:t xml:space="preserve"> </w:t>
            </w:r>
            <w:r w:rsidRPr="000B61B6">
              <w:rPr>
                <w:rFonts w:ascii="Arial" w:hAnsi="Arial" w:cs="Arial"/>
              </w:rPr>
              <w:t>and</w:t>
            </w:r>
            <w:r w:rsidRPr="000B61B6">
              <w:rPr>
                <w:rFonts w:ascii="Arial" w:hAnsi="Arial" w:cs="Arial"/>
                <w:spacing w:val="-2"/>
              </w:rPr>
              <w:t xml:space="preserve"> </w:t>
            </w:r>
            <w:r w:rsidRPr="000B61B6">
              <w:rPr>
                <w:rFonts w:ascii="Arial" w:hAnsi="Arial" w:cs="Arial"/>
              </w:rPr>
              <w:t>lubrication</w:t>
            </w:r>
          </w:p>
        </w:tc>
        <w:tc>
          <w:tcPr>
            <w:tcW w:w="1530" w:type="dxa"/>
          </w:tcPr>
          <w:p w14:paraId="500A1C30" w14:textId="77777777" w:rsidR="000B61B6" w:rsidRPr="000B61B6" w:rsidRDefault="000B61B6" w:rsidP="00BE4A83">
            <w:pPr>
              <w:pStyle w:val="TableParagraph"/>
              <w:ind w:left="84"/>
              <w:rPr>
                <w:rFonts w:ascii="Arial" w:hAnsi="Arial" w:cs="Arial"/>
              </w:rPr>
            </w:pPr>
            <w:r w:rsidRPr="000B61B6">
              <w:rPr>
                <w:rFonts w:ascii="Arial" w:hAnsi="Arial" w:cs="Arial"/>
              </w:rPr>
              <w:t>Yes</w:t>
            </w:r>
          </w:p>
        </w:tc>
      </w:tr>
      <w:tr w:rsidR="000B61B6" w:rsidRPr="000B61B6" w14:paraId="16D647E3" w14:textId="77777777" w:rsidTr="0080379D">
        <w:trPr>
          <w:trHeight w:val="202"/>
        </w:trPr>
        <w:tc>
          <w:tcPr>
            <w:tcW w:w="895" w:type="dxa"/>
            <w:vMerge/>
            <w:shd w:val="clear" w:color="auto" w:fill="F2F2F2" w:themeFill="background1" w:themeFillShade="F2"/>
          </w:tcPr>
          <w:p w14:paraId="20D66B5A" w14:textId="77777777" w:rsidR="000B61B6" w:rsidRPr="00093EB0" w:rsidRDefault="000B61B6" w:rsidP="00093EB0">
            <w:pPr>
              <w:jc w:val="center"/>
              <w:rPr>
                <w:rFonts w:ascii="Arial" w:hAnsi="Arial" w:cs="Arial"/>
                <w:b/>
              </w:rPr>
            </w:pPr>
          </w:p>
        </w:tc>
        <w:tc>
          <w:tcPr>
            <w:tcW w:w="2250" w:type="dxa"/>
            <w:vMerge/>
          </w:tcPr>
          <w:p w14:paraId="5CE1153D" w14:textId="77777777" w:rsidR="000B61B6" w:rsidRPr="000B61B6" w:rsidRDefault="000B61B6" w:rsidP="00BE4A83">
            <w:pPr>
              <w:rPr>
                <w:rFonts w:ascii="Arial" w:hAnsi="Arial" w:cs="Arial"/>
                <w:sz w:val="2"/>
                <w:szCs w:val="2"/>
              </w:rPr>
            </w:pPr>
          </w:p>
        </w:tc>
        <w:tc>
          <w:tcPr>
            <w:tcW w:w="4860" w:type="dxa"/>
          </w:tcPr>
          <w:p w14:paraId="41F8B22E" w14:textId="77777777" w:rsidR="000B61B6" w:rsidRPr="000B61B6" w:rsidRDefault="000B61B6" w:rsidP="005E6689">
            <w:pPr>
              <w:pStyle w:val="TableParagraph"/>
              <w:spacing w:line="225" w:lineRule="exact"/>
              <w:ind w:left="84"/>
              <w:jc w:val="both"/>
              <w:rPr>
                <w:rFonts w:ascii="Arial" w:hAnsi="Arial" w:cs="Arial"/>
              </w:rPr>
            </w:pPr>
            <w:r w:rsidRPr="000B61B6">
              <w:rPr>
                <w:rFonts w:ascii="Arial" w:hAnsi="Arial" w:cs="Arial"/>
              </w:rPr>
              <w:t>Servicing</w:t>
            </w:r>
            <w:r w:rsidRPr="000B61B6">
              <w:rPr>
                <w:rFonts w:ascii="Arial" w:hAnsi="Arial" w:cs="Arial"/>
                <w:spacing w:val="-2"/>
              </w:rPr>
              <w:t xml:space="preserve"> </w:t>
            </w:r>
            <w:r w:rsidRPr="000B61B6">
              <w:rPr>
                <w:rFonts w:ascii="Arial" w:hAnsi="Arial" w:cs="Arial"/>
              </w:rPr>
              <w:t>—</w:t>
            </w:r>
            <w:r w:rsidRPr="000B61B6">
              <w:rPr>
                <w:rFonts w:ascii="Arial" w:hAnsi="Arial" w:cs="Arial"/>
                <w:spacing w:val="-3"/>
              </w:rPr>
              <w:t xml:space="preserve"> </w:t>
            </w:r>
            <w:r w:rsidRPr="000B61B6">
              <w:rPr>
                <w:rFonts w:ascii="Arial" w:hAnsi="Arial" w:cs="Arial"/>
              </w:rPr>
              <w:t>replenishment</w:t>
            </w:r>
            <w:r w:rsidRPr="000B61B6">
              <w:rPr>
                <w:rFonts w:ascii="Arial" w:hAnsi="Arial" w:cs="Arial"/>
                <w:spacing w:val="-3"/>
              </w:rPr>
              <w:t xml:space="preserve"> </w:t>
            </w:r>
            <w:r w:rsidRPr="000B61B6">
              <w:rPr>
                <w:rFonts w:ascii="Arial" w:hAnsi="Arial" w:cs="Arial"/>
              </w:rPr>
              <w:t>of</w:t>
            </w:r>
            <w:r w:rsidRPr="000B61B6">
              <w:rPr>
                <w:rFonts w:ascii="Arial" w:hAnsi="Arial" w:cs="Arial"/>
                <w:spacing w:val="-1"/>
              </w:rPr>
              <w:t xml:space="preserve"> </w:t>
            </w:r>
            <w:r w:rsidRPr="000B61B6">
              <w:rPr>
                <w:rFonts w:ascii="Arial" w:hAnsi="Arial" w:cs="Arial"/>
              </w:rPr>
              <w:t>hydraulic</w:t>
            </w:r>
            <w:r w:rsidRPr="000B61B6">
              <w:rPr>
                <w:rFonts w:ascii="Arial" w:hAnsi="Arial" w:cs="Arial"/>
                <w:spacing w:val="-4"/>
              </w:rPr>
              <w:t xml:space="preserve"> </w:t>
            </w:r>
            <w:r w:rsidRPr="000B61B6">
              <w:rPr>
                <w:rFonts w:ascii="Arial" w:hAnsi="Arial" w:cs="Arial"/>
              </w:rPr>
              <w:t>fluid</w:t>
            </w:r>
          </w:p>
        </w:tc>
        <w:tc>
          <w:tcPr>
            <w:tcW w:w="1530" w:type="dxa"/>
          </w:tcPr>
          <w:p w14:paraId="7CD87390" w14:textId="77777777" w:rsidR="000B61B6" w:rsidRPr="000B61B6" w:rsidRDefault="000B61B6" w:rsidP="00BE4A83">
            <w:pPr>
              <w:pStyle w:val="TableParagraph"/>
              <w:spacing w:line="225" w:lineRule="exact"/>
              <w:ind w:left="84"/>
              <w:rPr>
                <w:rFonts w:ascii="Arial" w:hAnsi="Arial" w:cs="Arial"/>
              </w:rPr>
            </w:pPr>
            <w:r w:rsidRPr="000B61B6">
              <w:rPr>
                <w:rFonts w:ascii="Arial" w:hAnsi="Arial" w:cs="Arial"/>
              </w:rPr>
              <w:t>Yes</w:t>
            </w:r>
          </w:p>
        </w:tc>
      </w:tr>
      <w:tr w:rsidR="000B61B6" w:rsidRPr="000B61B6" w14:paraId="12B3FC3E" w14:textId="77777777" w:rsidTr="0080379D">
        <w:trPr>
          <w:trHeight w:val="199"/>
        </w:trPr>
        <w:tc>
          <w:tcPr>
            <w:tcW w:w="895" w:type="dxa"/>
            <w:vMerge/>
            <w:shd w:val="clear" w:color="auto" w:fill="F2F2F2" w:themeFill="background1" w:themeFillShade="F2"/>
          </w:tcPr>
          <w:p w14:paraId="35908A96" w14:textId="77777777" w:rsidR="000B61B6" w:rsidRPr="00093EB0" w:rsidRDefault="000B61B6" w:rsidP="00093EB0">
            <w:pPr>
              <w:jc w:val="center"/>
              <w:rPr>
                <w:rFonts w:ascii="Arial" w:hAnsi="Arial" w:cs="Arial"/>
                <w:b/>
              </w:rPr>
            </w:pPr>
          </w:p>
        </w:tc>
        <w:tc>
          <w:tcPr>
            <w:tcW w:w="2250" w:type="dxa"/>
            <w:vMerge/>
          </w:tcPr>
          <w:p w14:paraId="05215C09" w14:textId="77777777" w:rsidR="000B61B6" w:rsidRPr="000B61B6" w:rsidRDefault="000B61B6" w:rsidP="00BE4A83">
            <w:pPr>
              <w:rPr>
                <w:rFonts w:ascii="Arial" w:hAnsi="Arial" w:cs="Arial"/>
                <w:sz w:val="2"/>
                <w:szCs w:val="2"/>
              </w:rPr>
            </w:pPr>
          </w:p>
        </w:tc>
        <w:tc>
          <w:tcPr>
            <w:tcW w:w="4860" w:type="dxa"/>
          </w:tcPr>
          <w:p w14:paraId="6BD479F1" w14:textId="77777777" w:rsidR="000B61B6" w:rsidRPr="000B61B6" w:rsidRDefault="000B61B6" w:rsidP="005E6689">
            <w:pPr>
              <w:pStyle w:val="TableParagraph"/>
              <w:spacing w:line="223" w:lineRule="exact"/>
              <w:ind w:left="84"/>
              <w:jc w:val="both"/>
              <w:rPr>
                <w:rFonts w:ascii="Arial" w:hAnsi="Arial" w:cs="Arial"/>
              </w:rPr>
            </w:pPr>
            <w:r w:rsidRPr="000B61B6">
              <w:rPr>
                <w:rFonts w:ascii="Arial" w:hAnsi="Arial" w:cs="Arial"/>
              </w:rPr>
              <w:t>Shock</w:t>
            </w:r>
            <w:r w:rsidRPr="000B61B6">
              <w:rPr>
                <w:rFonts w:ascii="Arial" w:hAnsi="Arial" w:cs="Arial"/>
                <w:spacing w:val="-2"/>
              </w:rPr>
              <w:t xml:space="preserve"> </w:t>
            </w:r>
            <w:r w:rsidRPr="000B61B6">
              <w:rPr>
                <w:rFonts w:ascii="Arial" w:hAnsi="Arial" w:cs="Arial"/>
              </w:rPr>
              <w:t>absorber —</w:t>
            </w:r>
            <w:r w:rsidRPr="000B61B6">
              <w:rPr>
                <w:rFonts w:ascii="Arial" w:hAnsi="Arial" w:cs="Arial"/>
                <w:spacing w:val="-2"/>
              </w:rPr>
              <w:t xml:space="preserve"> </w:t>
            </w:r>
            <w:r w:rsidRPr="000B61B6">
              <w:rPr>
                <w:rFonts w:ascii="Arial" w:hAnsi="Arial" w:cs="Arial"/>
              </w:rPr>
              <w:t>replacement</w:t>
            </w:r>
            <w:r w:rsidRPr="000B61B6">
              <w:rPr>
                <w:rFonts w:ascii="Arial" w:hAnsi="Arial" w:cs="Arial"/>
                <w:spacing w:val="-2"/>
              </w:rPr>
              <w:t xml:space="preserve"> </w:t>
            </w:r>
            <w:r w:rsidRPr="000B61B6">
              <w:rPr>
                <w:rFonts w:ascii="Arial" w:hAnsi="Arial" w:cs="Arial"/>
              </w:rPr>
              <w:t>of</w:t>
            </w:r>
            <w:r w:rsidRPr="000B61B6">
              <w:rPr>
                <w:rFonts w:ascii="Arial" w:hAnsi="Arial" w:cs="Arial"/>
                <w:spacing w:val="-4"/>
              </w:rPr>
              <w:t xml:space="preserve"> </w:t>
            </w:r>
            <w:r w:rsidRPr="000B61B6">
              <w:rPr>
                <w:rFonts w:ascii="Arial" w:hAnsi="Arial" w:cs="Arial"/>
              </w:rPr>
              <w:t>elastic</w:t>
            </w:r>
            <w:r w:rsidRPr="000B61B6">
              <w:rPr>
                <w:rFonts w:ascii="Arial" w:hAnsi="Arial" w:cs="Arial"/>
                <w:spacing w:val="-2"/>
              </w:rPr>
              <w:t xml:space="preserve"> </w:t>
            </w:r>
            <w:r w:rsidRPr="000B61B6">
              <w:rPr>
                <w:rFonts w:ascii="Arial" w:hAnsi="Arial" w:cs="Arial"/>
              </w:rPr>
              <w:t>cords</w:t>
            </w:r>
            <w:r w:rsidRPr="000B61B6">
              <w:rPr>
                <w:rFonts w:ascii="Arial" w:hAnsi="Arial" w:cs="Arial"/>
                <w:spacing w:val="-4"/>
              </w:rPr>
              <w:t xml:space="preserve"> </w:t>
            </w:r>
            <w:r w:rsidRPr="000B61B6">
              <w:rPr>
                <w:rFonts w:ascii="Arial" w:hAnsi="Arial" w:cs="Arial"/>
              </w:rPr>
              <w:t>or</w:t>
            </w:r>
            <w:r w:rsidRPr="000B61B6">
              <w:rPr>
                <w:rFonts w:ascii="Arial" w:hAnsi="Arial" w:cs="Arial"/>
                <w:spacing w:val="-2"/>
              </w:rPr>
              <w:t xml:space="preserve"> </w:t>
            </w:r>
            <w:r w:rsidRPr="000B61B6">
              <w:rPr>
                <w:rFonts w:ascii="Arial" w:hAnsi="Arial" w:cs="Arial"/>
              </w:rPr>
              <w:t>rubber</w:t>
            </w:r>
            <w:r w:rsidRPr="000B61B6">
              <w:rPr>
                <w:rFonts w:ascii="Arial" w:hAnsi="Arial" w:cs="Arial"/>
                <w:spacing w:val="-2"/>
              </w:rPr>
              <w:t xml:space="preserve"> </w:t>
            </w:r>
            <w:r w:rsidRPr="000B61B6">
              <w:rPr>
                <w:rFonts w:ascii="Arial" w:hAnsi="Arial" w:cs="Arial"/>
              </w:rPr>
              <w:t>dampers</w:t>
            </w:r>
          </w:p>
        </w:tc>
        <w:tc>
          <w:tcPr>
            <w:tcW w:w="1530" w:type="dxa"/>
          </w:tcPr>
          <w:p w14:paraId="515706FD" w14:textId="77777777" w:rsidR="000B61B6" w:rsidRPr="000B61B6" w:rsidRDefault="000B61B6" w:rsidP="00BE4A83">
            <w:pPr>
              <w:pStyle w:val="TableParagraph"/>
              <w:spacing w:line="223" w:lineRule="exact"/>
              <w:ind w:left="84"/>
              <w:rPr>
                <w:rFonts w:ascii="Arial" w:hAnsi="Arial" w:cs="Arial"/>
              </w:rPr>
            </w:pPr>
            <w:r w:rsidRPr="000B61B6">
              <w:rPr>
                <w:rFonts w:ascii="Arial" w:hAnsi="Arial" w:cs="Arial"/>
              </w:rPr>
              <w:t>Yes</w:t>
            </w:r>
          </w:p>
        </w:tc>
      </w:tr>
      <w:tr w:rsidR="000B61B6" w:rsidRPr="000B61B6" w14:paraId="7BE85AA7" w14:textId="77777777" w:rsidTr="0080379D">
        <w:trPr>
          <w:trHeight w:val="202"/>
        </w:trPr>
        <w:tc>
          <w:tcPr>
            <w:tcW w:w="895" w:type="dxa"/>
            <w:vMerge/>
            <w:shd w:val="clear" w:color="auto" w:fill="F2F2F2" w:themeFill="background1" w:themeFillShade="F2"/>
          </w:tcPr>
          <w:p w14:paraId="1DE09252" w14:textId="77777777" w:rsidR="000B61B6" w:rsidRPr="00093EB0" w:rsidRDefault="000B61B6" w:rsidP="00093EB0">
            <w:pPr>
              <w:jc w:val="center"/>
              <w:rPr>
                <w:rFonts w:ascii="Arial" w:hAnsi="Arial" w:cs="Arial"/>
                <w:b/>
              </w:rPr>
            </w:pPr>
          </w:p>
        </w:tc>
        <w:tc>
          <w:tcPr>
            <w:tcW w:w="2250" w:type="dxa"/>
            <w:vMerge/>
          </w:tcPr>
          <w:p w14:paraId="4B5A0551" w14:textId="77777777" w:rsidR="000B61B6" w:rsidRPr="000B61B6" w:rsidRDefault="000B61B6" w:rsidP="00BE4A83">
            <w:pPr>
              <w:rPr>
                <w:rFonts w:ascii="Arial" w:hAnsi="Arial" w:cs="Arial"/>
                <w:sz w:val="2"/>
                <w:szCs w:val="2"/>
              </w:rPr>
            </w:pPr>
          </w:p>
        </w:tc>
        <w:tc>
          <w:tcPr>
            <w:tcW w:w="4860" w:type="dxa"/>
          </w:tcPr>
          <w:p w14:paraId="578AD0BC" w14:textId="77777777" w:rsidR="000B61B6" w:rsidRPr="000B61B6" w:rsidRDefault="000B61B6" w:rsidP="005E6689">
            <w:pPr>
              <w:pStyle w:val="TableParagraph"/>
              <w:spacing w:line="225" w:lineRule="exact"/>
              <w:ind w:left="84"/>
              <w:jc w:val="both"/>
              <w:rPr>
                <w:rFonts w:ascii="Arial" w:hAnsi="Arial" w:cs="Arial"/>
              </w:rPr>
            </w:pPr>
            <w:r w:rsidRPr="000B61B6">
              <w:rPr>
                <w:rFonts w:ascii="Arial" w:hAnsi="Arial" w:cs="Arial"/>
              </w:rPr>
              <w:t>Shock</w:t>
            </w:r>
            <w:r w:rsidRPr="000B61B6">
              <w:rPr>
                <w:rFonts w:ascii="Arial" w:hAnsi="Arial" w:cs="Arial"/>
                <w:spacing w:val="-2"/>
              </w:rPr>
              <w:t xml:space="preserve"> </w:t>
            </w:r>
            <w:r w:rsidRPr="000B61B6">
              <w:rPr>
                <w:rFonts w:ascii="Arial" w:hAnsi="Arial" w:cs="Arial"/>
              </w:rPr>
              <w:t>struts</w:t>
            </w:r>
            <w:r w:rsidRPr="000B61B6">
              <w:rPr>
                <w:rFonts w:ascii="Arial" w:hAnsi="Arial" w:cs="Arial"/>
                <w:spacing w:val="-1"/>
              </w:rPr>
              <w:t xml:space="preserve"> </w:t>
            </w:r>
            <w:r w:rsidRPr="000B61B6">
              <w:rPr>
                <w:rFonts w:ascii="Arial" w:hAnsi="Arial" w:cs="Arial"/>
              </w:rPr>
              <w:t>—</w:t>
            </w:r>
            <w:r w:rsidRPr="000B61B6">
              <w:rPr>
                <w:rFonts w:ascii="Arial" w:hAnsi="Arial" w:cs="Arial"/>
                <w:spacing w:val="-2"/>
              </w:rPr>
              <w:t xml:space="preserve"> </w:t>
            </w:r>
            <w:r w:rsidRPr="000B61B6">
              <w:rPr>
                <w:rFonts w:ascii="Arial" w:hAnsi="Arial" w:cs="Arial"/>
              </w:rPr>
              <w:t>replenishment of</w:t>
            </w:r>
            <w:r w:rsidRPr="000B61B6">
              <w:rPr>
                <w:rFonts w:ascii="Arial" w:hAnsi="Arial" w:cs="Arial"/>
                <w:spacing w:val="-3"/>
              </w:rPr>
              <w:t xml:space="preserve"> </w:t>
            </w:r>
            <w:r w:rsidRPr="000B61B6">
              <w:rPr>
                <w:rFonts w:ascii="Arial" w:hAnsi="Arial" w:cs="Arial"/>
              </w:rPr>
              <w:t>oil</w:t>
            </w:r>
            <w:r w:rsidRPr="000B61B6">
              <w:rPr>
                <w:rFonts w:ascii="Arial" w:hAnsi="Arial" w:cs="Arial"/>
                <w:spacing w:val="-2"/>
              </w:rPr>
              <w:t xml:space="preserve"> </w:t>
            </w:r>
            <w:r w:rsidRPr="000B61B6">
              <w:rPr>
                <w:rFonts w:ascii="Arial" w:hAnsi="Arial" w:cs="Arial"/>
              </w:rPr>
              <w:t>or</w:t>
            </w:r>
            <w:r w:rsidRPr="000B61B6">
              <w:rPr>
                <w:rFonts w:ascii="Arial" w:hAnsi="Arial" w:cs="Arial"/>
                <w:spacing w:val="-2"/>
              </w:rPr>
              <w:t xml:space="preserve"> </w:t>
            </w:r>
            <w:r w:rsidRPr="000B61B6">
              <w:rPr>
                <w:rFonts w:ascii="Arial" w:hAnsi="Arial" w:cs="Arial"/>
              </w:rPr>
              <w:t>air</w:t>
            </w:r>
          </w:p>
        </w:tc>
        <w:tc>
          <w:tcPr>
            <w:tcW w:w="1530" w:type="dxa"/>
          </w:tcPr>
          <w:p w14:paraId="0376B41C" w14:textId="77777777" w:rsidR="000B61B6" w:rsidRPr="000B61B6" w:rsidRDefault="000B61B6" w:rsidP="00BE4A83">
            <w:pPr>
              <w:pStyle w:val="TableParagraph"/>
              <w:spacing w:line="225" w:lineRule="exact"/>
              <w:ind w:left="84"/>
              <w:rPr>
                <w:rFonts w:ascii="Arial" w:hAnsi="Arial" w:cs="Arial"/>
              </w:rPr>
            </w:pPr>
            <w:r w:rsidRPr="000B61B6">
              <w:rPr>
                <w:rFonts w:ascii="Arial" w:hAnsi="Arial" w:cs="Arial"/>
              </w:rPr>
              <w:t>Yes</w:t>
            </w:r>
          </w:p>
        </w:tc>
      </w:tr>
      <w:tr w:rsidR="000B61B6" w:rsidRPr="000B61B6" w14:paraId="144BAFA7" w14:textId="77777777" w:rsidTr="0080379D">
        <w:trPr>
          <w:trHeight w:val="199"/>
        </w:trPr>
        <w:tc>
          <w:tcPr>
            <w:tcW w:w="895" w:type="dxa"/>
            <w:vMerge/>
            <w:shd w:val="clear" w:color="auto" w:fill="F2F2F2" w:themeFill="background1" w:themeFillShade="F2"/>
          </w:tcPr>
          <w:p w14:paraId="1BEAB99F" w14:textId="77777777" w:rsidR="000B61B6" w:rsidRPr="00093EB0" w:rsidRDefault="000B61B6" w:rsidP="00093EB0">
            <w:pPr>
              <w:jc w:val="center"/>
              <w:rPr>
                <w:rFonts w:ascii="Arial" w:hAnsi="Arial" w:cs="Arial"/>
                <w:b/>
              </w:rPr>
            </w:pPr>
          </w:p>
        </w:tc>
        <w:tc>
          <w:tcPr>
            <w:tcW w:w="2250" w:type="dxa"/>
            <w:vMerge/>
          </w:tcPr>
          <w:p w14:paraId="16DFD378" w14:textId="77777777" w:rsidR="000B61B6" w:rsidRPr="000B61B6" w:rsidRDefault="000B61B6" w:rsidP="00BE4A83">
            <w:pPr>
              <w:rPr>
                <w:rFonts w:ascii="Arial" w:hAnsi="Arial" w:cs="Arial"/>
                <w:sz w:val="2"/>
                <w:szCs w:val="2"/>
              </w:rPr>
            </w:pPr>
          </w:p>
        </w:tc>
        <w:tc>
          <w:tcPr>
            <w:tcW w:w="4860" w:type="dxa"/>
          </w:tcPr>
          <w:p w14:paraId="23C059BE" w14:textId="77777777" w:rsidR="000B61B6" w:rsidRPr="000B61B6" w:rsidRDefault="000B61B6" w:rsidP="005E6689">
            <w:pPr>
              <w:pStyle w:val="TableParagraph"/>
              <w:spacing w:line="223" w:lineRule="exact"/>
              <w:ind w:left="84"/>
              <w:jc w:val="both"/>
              <w:rPr>
                <w:rFonts w:ascii="Arial" w:hAnsi="Arial" w:cs="Arial"/>
              </w:rPr>
            </w:pPr>
            <w:r w:rsidRPr="000B61B6">
              <w:rPr>
                <w:rFonts w:ascii="Arial" w:hAnsi="Arial" w:cs="Arial"/>
              </w:rPr>
              <w:t>Skis</w:t>
            </w:r>
            <w:r w:rsidRPr="000B61B6">
              <w:rPr>
                <w:rFonts w:ascii="Arial" w:hAnsi="Arial" w:cs="Arial"/>
                <w:spacing w:val="-3"/>
              </w:rPr>
              <w:t xml:space="preserve"> </w:t>
            </w:r>
            <w:r w:rsidRPr="000B61B6">
              <w:rPr>
                <w:rFonts w:ascii="Arial" w:hAnsi="Arial" w:cs="Arial"/>
              </w:rPr>
              <w:t>—</w:t>
            </w:r>
            <w:r w:rsidRPr="000B61B6">
              <w:rPr>
                <w:rFonts w:ascii="Arial" w:hAnsi="Arial" w:cs="Arial"/>
                <w:spacing w:val="-2"/>
              </w:rPr>
              <w:t xml:space="preserve"> </w:t>
            </w:r>
            <w:r w:rsidRPr="000B61B6">
              <w:rPr>
                <w:rFonts w:ascii="Arial" w:hAnsi="Arial" w:cs="Arial"/>
              </w:rPr>
              <w:t>changing</w:t>
            </w:r>
            <w:r w:rsidRPr="000B61B6">
              <w:rPr>
                <w:rFonts w:ascii="Arial" w:hAnsi="Arial" w:cs="Arial"/>
                <w:spacing w:val="-2"/>
              </w:rPr>
              <w:t xml:space="preserve"> </w:t>
            </w:r>
            <w:r w:rsidRPr="000B61B6">
              <w:rPr>
                <w:rFonts w:ascii="Arial" w:hAnsi="Arial" w:cs="Arial"/>
              </w:rPr>
              <w:t>between</w:t>
            </w:r>
            <w:r w:rsidRPr="000B61B6">
              <w:rPr>
                <w:rFonts w:ascii="Arial" w:hAnsi="Arial" w:cs="Arial"/>
                <w:spacing w:val="-2"/>
              </w:rPr>
              <w:t xml:space="preserve"> </w:t>
            </w:r>
            <w:r w:rsidRPr="000B61B6">
              <w:rPr>
                <w:rFonts w:ascii="Arial" w:hAnsi="Arial" w:cs="Arial"/>
              </w:rPr>
              <w:t>wheel</w:t>
            </w:r>
            <w:r w:rsidRPr="000B61B6">
              <w:rPr>
                <w:rFonts w:ascii="Arial" w:hAnsi="Arial" w:cs="Arial"/>
                <w:spacing w:val="-2"/>
              </w:rPr>
              <w:t xml:space="preserve"> </w:t>
            </w:r>
            <w:r w:rsidRPr="000B61B6">
              <w:rPr>
                <w:rFonts w:ascii="Arial" w:hAnsi="Arial" w:cs="Arial"/>
              </w:rPr>
              <w:t>and</w:t>
            </w:r>
            <w:r w:rsidRPr="000B61B6">
              <w:rPr>
                <w:rFonts w:ascii="Arial" w:hAnsi="Arial" w:cs="Arial"/>
                <w:spacing w:val="-2"/>
              </w:rPr>
              <w:t xml:space="preserve"> </w:t>
            </w:r>
            <w:r w:rsidRPr="000B61B6">
              <w:rPr>
                <w:rFonts w:ascii="Arial" w:hAnsi="Arial" w:cs="Arial"/>
              </w:rPr>
              <w:t>ski</w:t>
            </w:r>
            <w:r w:rsidRPr="000B61B6">
              <w:rPr>
                <w:rFonts w:ascii="Arial" w:hAnsi="Arial" w:cs="Arial"/>
                <w:spacing w:val="-3"/>
              </w:rPr>
              <w:t xml:space="preserve"> </w:t>
            </w:r>
            <w:r w:rsidRPr="000B61B6">
              <w:rPr>
                <w:rFonts w:ascii="Arial" w:hAnsi="Arial" w:cs="Arial"/>
              </w:rPr>
              <w:t>landing</w:t>
            </w:r>
            <w:r w:rsidRPr="000B61B6">
              <w:rPr>
                <w:rFonts w:ascii="Arial" w:hAnsi="Arial" w:cs="Arial"/>
                <w:spacing w:val="-3"/>
              </w:rPr>
              <w:t xml:space="preserve"> </w:t>
            </w:r>
            <w:r w:rsidRPr="000B61B6">
              <w:rPr>
                <w:rFonts w:ascii="Arial" w:hAnsi="Arial" w:cs="Arial"/>
              </w:rPr>
              <w:t>gear</w:t>
            </w:r>
          </w:p>
        </w:tc>
        <w:tc>
          <w:tcPr>
            <w:tcW w:w="1530" w:type="dxa"/>
          </w:tcPr>
          <w:p w14:paraId="253F9BE0" w14:textId="77777777" w:rsidR="000B61B6" w:rsidRPr="000B61B6" w:rsidRDefault="000B61B6" w:rsidP="00BE4A83">
            <w:pPr>
              <w:pStyle w:val="TableParagraph"/>
              <w:spacing w:line="223" w:lineRule="exact"/>
              <w:ind w:left="84"/>
              <w:rPr>
                <w:rFonts w:ascii="Arial" w:hAnsi="Arial" w:cs="Arial"/>
              </w:rPr>
            </w:pPr>
            <w:r w:rsidRPr="000B61B6">
              <w:rPr>
                <w:rFonts w:ascii="Arial" w:hAnsi="Arial" w:cs="Arial"/>
              </w:rPr>
              <w:t>Yes</w:t>
            </w:r>
          </w:p>
        </w:tc>
      </w:tr>
      <w:tr w:rsidR="000B61B6" w:rsidRPr="000B61B6" w14:paraId="6C49C3FC" w14:textId="77777777" w:rsidTr="0080379D">
        <w:trPr>
          <w:trHeight w:val="200"/>
        </w:trPr>
        <w:tc>
          <w:tcPr>
            <w:tcW w:w="895" w:type="dxa"/>
            <w:vMerge/>
            <w:shd w:val="clear" w:color="auto" w:fill="F2F2F2" w:themeFill="background1" w:themeFillShade="F2"/>
          </w:tcPr>
          <w:p w14:paraId="369E53E3" w14:textId="77777777" w:rsidR="000B61B6" w:rsidRPr="00093EB0" w:rsidRDefault="000B61B6" w:rsidP="00093EB0">
            <w:pPr>
              <w:jc w:val="center"/>
              <w:rPr>
                <w:rFonts w:ascii="Arial" w:hAnsi="Arial" w:cs="Arial"/>
                <w:b/>
              </w:rPr>
            </w:pPr>
          </w:p>
        </w:tc>
        <w:tc>
          <w:tcPr>
            <w:tcW w:w="2250" w:type="dxa"/>
            <w:vMerge/>
          </w:tcPr>
          <w:p w14:paraId="73050A79" w14:textId="77777777" w:rsidR="000B61B6" w:rsidRPr="000B61B6" w:rsidRDefault="000B61B6" w:rsidP="00BE4A83">
            <w:pPr>
              <w:rPr>
                <w:rFonts w:ascii="Arial" w:hAnsi="Arial" w:cs="Arial"/>
                <w:sz w:val="2"/>
                <w:szCs w:val="2"/>
              </w:rPr>
            </w:pPr>
          </w:p>
        </w:tc>
        <w:tc>
          <w:tcPr>
            <w:tcW w:w="4860" w:type="dxa"/>
          </w:tcPr>
          <w:p w14:paraId="236FAA16" w14:textId="77777777" w:rsidR="000B61B6" w:rsidRPr="000B61B6" w:rsidRDefault="000B61B6" w:rsidP="005E6689">
            <w:pPr>
              <w:pStyle w:val="TableParagraph"/>
              <w:spacing w:line="222" w:lineRule="exact"/>
              <w:ind w:left="84"/>
              <w:jc w:val="both"/>
              <w:rPr>
                <w:rFonts w:ascii="Arial" w:hAnsi="Arial" w:cs="Arial"/>
              </w:rPr>
            </w:pPr>
            <w:r w:rsidRPr="000B61B6">
              <w:rPr>
                <w:rFonts w:ascii="Arial" w:hAnsi="Arial" w:cs="Arial"/>
              </w:rPr>
              <w:t>Landing</w:t>
            </w:r>
            <w:r w:rsidRPr="000B61B6">
              <w:rPr>
                <w:rFonts w:ascii="Arial" w:hAnsi="Arial" w:cs="Arial"/>
                <w:spacing w:val="-3"/>
              </w:rPr>
              <w:t xml:space="preserve"> </w:t>
            </w:r>
            <w:r w:rsidRPr="000B61B6">
              <w:rPr>
                <w:rFonts w:ascii="Arial" w:hAnsi="Arial" w:cs="Arial"/>
              </w:rPr>
              <w:t>skids</w:t>
            </w:r>
            <w:r w:rsidRPr="000B61B6">
              <w:rPr>
                <w:rFonts w:ascii="Arial" w:hAnsi="Arial" w:cs="Arial"/>
                <w:spacing w:val="-2"/>
              </w:rPr>
              <w:t xml:space="preserve"> </w:t>
            </w:r>
            <w:r w:rsidRPr="000B61B6">
              <w:rPr>
                <w:rFonts w:ascii="Arial" w:hAnsi="Arial" w:cs="Arial"/>
              </w:rPr>
              <w:t>—</w:t>
            </w:r>
            <w:r w:rsidRPr="000B61B6">
              <w:rPr>
                <w:rFonts w:ascii="Arial" w:hAnsi="Arial" w:cs="Arial"/>
                <w:spacing w:val="-2"/>
              </w:rPr>
              <w:t xml:space="preserve"> </w:t>
            </w:r>
            <w:r w:rsidRPr="000B61B6">
              <w:rPr>
                <w:rFonts w:ascii="Arial" w:hAnsi="Arial" w:cs="Arial"/>
              </w:rPr>
              <w:t>replacement</w:t>
            </w:r>
            <w:r w:rsidRPr="000B61B6">
              <w:rPr>
                <w:rFonts w:ascii="Arial" w:hAnsi="Arial" w:cs="Arial"/>
                <w:spacing w:val="-1"/>
              </w:rPr>
              <w:t xml:space="preserve"> </w:t>
            </w:r>
            <w:r w:rsidRPr="000B61B6">
              <w:rPr>
                <w:rFonts w:ascii="Arial" w:hAnsi="Arial" w:cs="Arial"/>
              </w:rPr>
              <w:t>of</w:t>
            </w:r>
            <w:r w:rsidRPr="000B61B6">
              <w:rPr>
                <w:rFonts w:ascii="Arial" w:hAnsi="Arial" w:cs="Arial"/>
                <w:spacing w:val="-4"/>
              </w:rPr>
              <w:t xml:space="preserve"> </w:t>
            </w:r>
            <w:r w:rsidRPr="000B61B6">
              <w:rPr>
                <w:rFonts w:ascii="Arial" w:hAnsi="Arial" w:cs="Arial"/>
              </w:rPr>
              <w:t>landing</w:t>
            </w:r>
            <w:r w:rsidRPr="000B61B6">
              <w:rPr>
                <w:rFonts w:ascii="Arial" w:hAnsi="Arial" w:cs="Arial"/>
                <w:spacing w:val="-3"/>
              </w:rPr>
              <w:t xml:space="preserve"> </w:t>
            </w:r>
            <w:r w:rsidRPr="000B61B6">
              <w:rPr>
                <w:rFonts w:ascii="Arial" w:hAnsi="Arial" w:cs="Arial"/>
              </w:rPr>
              <w:t>skids</w:t>
            </w:r>
            <w:r w:rsidRPr="000B61B6">
              <w:rPr>
                <w:rFonts w:ascii="Arial" w:hAnsi="Arial" w:cs="Arial"/>
                <w:spacing w:val="-3"/>
              </w:rPr>
              <w:t xml:space="preserve"> </w:t>
            </w:r>
            <w:r w:rsidRPr="000B61B6">
              <w:rPr>
                <w:rFonts w:ascii="Arial" w:hAnsi="Arial" w:cs="Arial"/>
              </w:rPr>
              <w:t>and</w:t>
            </w:r>
            <w:r w:rsidRPr="000B61B6">
              <w:rPr>
                <w:rFonts w:ascii="Arial" w:hAnsi="Arial" w:cs="Arial"/>
                <w:spacing w:val="-2"/>
              </w:rPr>
              <w:t xml:space="preserve"> </w:t>
            </w:r>
            <w:r w:rsidRPr="000B61B6">
              <w:rPr>
                <w:rFonts w:ascii="Arial" w:hAnsi="Arial" w:cs="Arial"/>
              </w:rPr>
              <w:t>skid</w:t>
            </w:r>
            <w:r w:rsidRPr="000B61B6">
              <w:rPr>
                <w:rFonts w:ascii="Arial" w:hAnsi="Arial" w:cs="Arial"/>
                <w:spacing w:val="-2"/>
              </w:rPr>
              <w:t xml:space="preserve"> </w:t>
            </w:r>
            <w:r w:rsidRPr="000B61B6">
              <w:rPr>
                <w:rFonts w:ascii="Arial" w:hAnsi="Arial" w:cs="Arial"/>
              </w:rPr>
              <w:t>shoes</w:t>
            </w:r>
          </w:p>
        </w:tc>
        <w:tc>
          <w:tcPr>
            <w:tcW w:w="1530" w:type="dxa"/>
          </w:tcPr>
          <w:p w14:paraId="0DDCD7A6" w14:textId="77777777" w:rsidR="000B61B6" w:rsidRPr="000B61B6" w:rsidRDefault="000B61B6" w:rsidP="00BE4A83">
            <w:pPr>
              <w:pStyle w:val="TableParagraph"/>
              <w:spacing w:line="222" w:lineRule="exact"/>
              <w:ind w:left="84"/>
              <w:rPr>
                <w:rFonts w:ascii="Arial" w:hAnsi="Arial" w:cs="Arial"/>
              </w:rPr>
            </w:pPr>
            <w:r w:rsidRPr="000B61B6">
              <w:rPr>
                <w:rFonts w:ascii="Arial" w:hAnsi="Arial" w:cs="Arial"/>
              </w:rPr>
              <w:t>Yes</w:t>
            </w:r>
          </w:p>
        </w:tc>
      </w:tr>
      <w:tr w:rsidR="000B61B6" w:rsidRPr="000B61B6" w14:paraId="5A35EAE3" w14:textId="77777777" w:rsidTr="0080379D">
        <w:trPr>
          <w:trHeight w:val="202"/>
        </w:trPr>
        <w:tc>
          <w:tcPr>
            <w:tcW w:w="895" w:type="dxa"/>
            <w:vMerge/>
            <w:shd w:val="clear" w:color="auto" w:fill="F2F2F2" w:themeFill="background1" w:themeFillShade="F2"/>
          </w:tcPr>
          <w:p w14:paraId="64F07BBA" w14:textId="77777777" w:rsidR="000B61B6" w:rsidRPr="00093EB0" w:rsidRDefault="000B61B6" w:rsidP="00093EB0">
            <w:pPr>
              <w:jc w:val="center"/>
              <w:rPr>
                <w:rFonts w:ascii="Arial" w:hAnsi="Arial" w:cs="Arial"/>
                <w:b/>
              </w:rPr>
            </w:pPr>
          </w:p>
        </w:tc>
        <w:tc>
          <w:tcPr>
            <w:tcW w:w="2250" w:type="dxa"/>
            <w:vMerge/>
          </w:tcPr>
          <w:p w14:paraId="78C77F09" w14:textId="77777777" w:rsidR="000B61B6" w:rsidRPr="000B61B6" w:rsidRDefault="000B61B6" w:rsidP="00BE4A83">
            <w:pPr>
              <w:rPr>
                <w:rFonts w:ascii="Arial" w:hAnsi="Arial" w:cs="Arial"/>
                <w:sz w:val="2"/>
                <w:szCs w:val="2"/>
              </w:rPr>
            </w:pPr>
          </w:p>
        </w:tc>
        <w:tc>
          <w:tcPr>
            <w:tcW w:w="4860" w:type="dxa"/>
          </w:tcPr>
          <w:p w14:paraId="18616EC3" w14:textId="77777777" w:rsidR="000B61B6" w:rsidRPr="000B61B6" w:rsidRDefault="000B61B6" w:rsidP="005E6689">
            <w:pPr>
              <w:pStyle w:val="TableParagraph"/>
              <w:spacing w:line="225" w:lineRule="exact"/>
              <w:ind w:left="84"/>
              <w:jc w:val="both"/>
              <w:rPr>
                <w:rFonts w:ascii="Arial" w:hAnsi="Arial" w:cs="Arial"/>
              </w:rPr>
            </w:pPr>
            <w:r w:rsidRPr="000B61B6">
              <w:rPr>
                <w:rFonts w:ascii="Arial" w:hAnsi="Arial" w:cs="Arial"/>
              </w:rPr>
              <w:t>Wheel</w:t>
            </w:r>
            <w:r w:rsidRPr="000B61B6">
              <w:rPr>
                <w:rFonts w:ascii="Arial" w:hAnsi="Arial" w:cs="Arial"/>
                <w:spacing w:val="-4"/>
              </w:rPr>
              <w:t xml:space="preserve"> </w:t>
            </w:r>
            <w:r w:rsidRPr="000B61B6">
              <w:rPr>
                <w:rFonts w:ascii="Arial" w:hAnsi="Arial" w:cs="Arial"/>
              </w:rPr>
              <w:t>fairings</w:t>
            </w:r>
            <w:r w:rsidRPr="000B61B6">
              <w:rPr>
                <w:rFonts w:ascii="Arial" w:hAnsi="Arial" w:cs="Arial"/>
                <w:spacing w:val="-5"/>
              </w:rPr>
              <w:t xml:space="preserve"> </w:t>
            </w:r>
            <w:r w:rsidRPr="000B61B6">
              <w:rPr>
                <w:rFonts w:ascii="Arial" w:hAnsi="Arial" w:cs="Arial"/>
              </w:rPr>
              <w:t>(spats)</w:t>
            </w:r>
            <w:r w:rsidRPr="000B61B6">
              <w:rPr>
                <w:rFonts w:ascii="Arial" w:hAnsi="Arial" w:cs="Arial"/>
                <w:spacing w:val="1"/>
              </w:rPr>
              <w:t xml:space="preserve"> </w:t>
            </w:r>
            <w:r w:rsidRPr="000B61B6">
              <w:rPr>
                <w:rFonts w:ascii="Arial" w:hAnsi="Arial" w:cs="Arial"/>
              </w:rPr>
              <w:t>—</w:t>
            </w:r>
            <w:r w:rsidRPr="000B61B6">
              <w:rPr>
                <w:rFonts w:ascii="Arial" w:hAnsi="Arial" w:cs="Arial"/>
                <w:spacing w:val="-3"/>
              </w:rPr>
              <w:t xml:space="preserve"> </w:t>
            </w:r>
            <w:r w:rsidRPr="000B61B6">
              <w:rPr>
                <w:rFonts w:ascii="Arial" w:hAnsi="Arial" w:cs="Arial"/>
              </w:rPr>
              <w:t>removal</w:t>
            </w:r>
            <w:r w:rsidRPr="000B61B6">
              <w:rPr>
                <w:rFonts w:ascii="Arial" w:hAnsi="Arial" w:cs="Arial"/>
                <w:spacing w:val="-3"/>
              </w:rPr>
              <w:t xml:space="preserve"> </w:t>
            </w:r>
            <w:r w:rsidRPr="000B61B6">
              <w:rPr>
                <w:rFonts w:ascii="Arial" w:hAnsi="Arial" w:cs="Arial"/>
              </w:rPr>
              <w:t>and</w:t>
            </w:r>
            <w:r w:rsidRPr="000B61B6">
              <w:rPr>
                <w:rFonts w:ascii="Arial" w:hAnsi="Arial" w:cs="Arial"/>
                <w:spacing w:val="-3"/>
              </w:rPr>
              <w:t xml:space="preserve"> </w:t>
            </w:r>
            <w:r w:rsidRPr="000B61B6">
              <w:rPr>
                <w:rFonts w:ascii="Arial" w:hAnsi="Arial" w:cs="Arial"/>
              </w:rPr>
              <w:t>reinstallation</w:t>
            </w:r>
          </w:p>
        </w:tc>
        <w:tc>
          <w:tcPr>
            <w:tcW w:w="1530" w:type="dxa"/>
          </w:tcPr>
          <w:p w14:paraId="6CE2F74B" w14:textId="77777777" w:rsidR="000B61B6" w:rsidRPr="000B61B6" w:rsidRDefault="000B61B6" w:rsidP="00BE4A83">
            <w:pPr>
              <w:pStyle w:val="TableParagraph"/>
              <w:spacing w:line="225" w:lineRule="exact"/>
              <w:ind w:left="84"/>
              <w:rPr>
                <w:rFonts w:ascii="Arial" w:hAnsi="Arial" w:cs="Arial"/>
              </w:rPr>
            </w:pPr>
            <w:r w:rsidRPr="000B61B6">
              <w:rPr>
                <w:rFonts w:ascii="Arial" w:hAnsi="Arial" w:cs="Arial"/>
              </w:rPr>
              <w:t>Yes</w:t>
            </w:r>
          </w:p>
        </w:tc>
      </w:tr>
      <w:tr w:rsidR="000B61B6" w:rsidRPr="000B61B6" w14:paraId="71E5CC24" w14:textId="77777777" w:rsidTr="0080379D">
        <w:trPr>
          <w:trHeight w:val="445"/>
        </w:trPr>
        <w:tc>
          <w:tcPr>
            <w:tcW w:w="895" w:type="dxa"/>
            <w:vMerge/>
            <w:shd w:val="clear" w:color="auto" w:fill="F2F2F2" w:themeFill="background1" w:themeFillShade="F2"/>
          </w:tcPr>
          <w:p w14:paraId="6180DD01" w14:textId="77777777" w:rsidR="000B61B6" w:rsidRPr="00093EB0" w:rsidRDefault="000B61B6" w:rsidP="00093EB0">
            <w:pPr>
              <w:jc w:val="center"/>
              <w:rPr>
                <w:rFonts w:ascii="Arial" w:hAnsi="Arial" w:cs="Arial"/>
                <w:b/>
              </w:rPr>
            </w:pPr>
          </w:p>
        </w:tc>
        <w:tc>
          <w:tcPr>
            <w:tcW w:w="2250" w:type="dxa"/>
            <w:vMerge/>
          </w:tcPr>
          <w:p w14:paraId="27AB67B3" w14:textId="77777777" w:rsidR="000B61B6" w:rsidRPr="000B61B6" w:rsidRDefault="000B61B6" w:rsidP="00BE4A83">
            <w:pPr>
              <w:rPr>
                <w:rFonts w:ascii="Arial" w:hAnsi="Arial" w:cs="Arial"/>
                <w:sz w:val="2"/>
                <w:szCs w:val="2"/>
              </w:rPr>
            </w:pPr>
          </w:p>
        </w:tc>
        <w:tc>
          <w:tcPr>
            <w:tcW w:w="4860" w:type="dxa"/>
          </w:tcPr>
          <w:p w14:paraId="75B60CED" w14:textId="77777777" w:rsidR="000B61B6" w:rsidRPr="000B61B6" w:rsidRDefault="000B61B6" w:rsidP="005E6689">
            <w:pPr>
              <w:pStyle w:val="TableParagraph"/>
              <w:spacing w:line="243" w:lineRule="exact"/>
              <w:ind w:left="84"/>
              <w:jc w:val="both"/>
              <w:rPr>
                <w:rFonts w:ascii="Arial" w:hAnsi="Arial" w:cs="Arial"/>
              </w:rPr>
            </w:pPr>
            <w:r w:rsidRPr="000B61B6">
              <w:rPr>
                <w:rFonts w:ascii="Arial" w:hAnsi="Arial" w:cs="Arial"/>
              </w:rPr>
              <w:t>Mechanical</w:t>
            </w:r>
            <w:r w:rsidRPr="000B61B6">
              <w:rPr>
                <w:rFonts w:ascii="Arial" w:hAnsi="Arial" w:cs="Arial"/>
                <w:spacing w:val="-3"/>
              </w:rPr>
              <w:t xml:space="preserve"> </w:t>
            </w:r>
            <w:r w:rsidRPr="000B61B6">
              <w:rPr>
                <w:rFonts w:ascii="Arial" w:hAnsi="Arial" w:cs="Arial"/>
              </w:rPr>
              <w:t>brakes —</w:t>
            </w:r>
            <w:r w:rsidRPr="000B61B6">
              <w:rPr>
                <w:rFonts w:ascii="Arial" w:hAnsi="Arial" w:cs="Arial"/>
                <w:spacing w:val="-2"/>
              </w:rPr>
              <w:t xml:space="preserve"> </w:t>
            </w:r>
            <w:r w:rsidRPr="000B61B6">
              <w:rPr>
                <w:rFonts w:ascii="Arial" w:hAnsi="Arial" w:cs="Arial"/>
              </w:rPr>
              <w:t>adjustment</w:t>
            </w:r>
            <w:r w:rsidRPr="000B61B6">
              <w:rPr>
                <w:rFonts w:ascii="Arial" w:hAnsi="Arial" w:cs="Arial"/>
                <w:spacing w:val="-3"/>
              </w:rPr>
              <w:t xml:space="preserve"> </w:t>
            </w:r>
            <w:r w:rsidRPr="000B61B6">
              <w:rPr>
                <w:rFonts w:ascii="Arial" w:hAnsi="Arial" w:cs="Arial"/>
              </w:rPr>
              <w:t>of</w:t>
            </w:r>
            <w:r w:rsidRPr="000B61B6">
              <w:rPr>
                <w:rFonts w:ascii="Arial" w:hAnsi="Arial" w:cs="Arial"/>
                <w:spacing w:val="-4"/>
              </w:rPr>
              <w:t xml:space="preserve"> </w:t>
            </w:r>
            <w:r w:rsidRPr="000B61B6">
              <w:rPr>
                <w:rFonts w:ascii="Arial" w:hAnsi="Arial" w:cs="Arial"/>
              </w:rPr>
              <w:t>simple</w:t>
            </w:r>
            <w:r w:rsidRPr="000B61B6">
              <w:rPr>
                <w:rFonts w:ascii="Arial" w:hAnsi="Arial" w:cs="Arial"/>
                <w:spacing w:val="-4"/>
              </w:rPr>
              <w:t xml:space="preserve"> </w:t>
            </w:r>
            <w:r w:rsidR="005E6689">
              <w:rPr>
                <w:rFonts w:ascii="Arial" w:hAnsi="Arial" w:cs="Arial"/>
              </w:rPr>
              <w:t xml:space="preserve">cable-operated </w:t>
            </w:r>
            <w:r w:rsidRPr="000B61B6">
              <w:rPr>
                <w:rFonts w:ascii="Arial" w:hAnsi="Arial" w:cs="Arial"/>
              </w:rPr>
              <w:t>systems</w:t>
            </w:r>
          </w:p>
        </w:tc>
        <w:tc>
          <w:tcPr>
            <w:tcW w:w="1530" w:type="dxa"/>
          </w:tcPr>
          <w:p w14:paraId="641AC433" w14:textId="77777777" w:rsidR="000B61B6" w:rsidRPr="000B61B6" w:rsidRDefault="000B61B6" w:rsidP="00BE4A83">
            <w:pPr>
              <w:pStyle w:val="TableParagraph"/>
              <w:ind w:left="84"/>
              <w:rPr>
                <w:rFonts w:ascii="Arial" w:hAnsi="Arial" w:cs="Arial"/>
              </w:rPr>
            </w:pPr>
            <w:r w:rsidRPr="000B61B6">
              <w:rPr>
                <w:rFonts w:ascii="Arial" w:hAnsi="Arial" w:cs="Arial"/>
              </w:rPr>
              <w:t>Yes</w:t>
            </w:r>
          </w:p>
        </w:tc>
      </w:tr>
      <w:tr w:rsidR="000B61B6" w:rsidRPr="000B61B6" w14:paraId="67EB65FD" w14:textId="77777777" w:rsidTr="0080379D">
        <w:trPr>
          <w:trHeight w:val="202"/>
        </w:trPr>
        <w:tc>
          <w:tcPr>
            <w:tcW w:w="895" w:type="dxa"/>
            <w:vMerge/>
            <w:shd w:val="clear" w:color="auto" w:fill="F2F2F2" w:themeFill="background1" w:themeFillShade="F2"/>
          </w:tcPr>
          <w:p w14:paraId="17D56556" w14:textId="77777777" w:rsidR="000B61B6" w:rsidRPr="00093EB0" w:rsidRDefault="000B61B6" w:rsidP="00093EB0">
            <w:pPr>
              <w:jc w:val="center"/>
              <w:rPr>
                <w:rFonts w:ascii="Arial" w:hAnsi="Arial" w:cs="Arial"/>
                <w:b/>
              </w:rPr>
            </w:pPr>
          </w:p>
        </w:tc>
        <w:tc>
          <w:tcPr>
            <w:tcW w:w="2250" w:type="dxa"/>
            <w:vMerge/>
          </w:tcPr>
          <w:p w14:paraId="709D4937" w14:textId="77777777" w:rsidR="000B61B6" w:rsidRPr="000B61B6" w:rsidRDefault="000B61B6" w:rsidP="00BE4A83">
            <w:pPr>
              <w:rPr>
                <w:rFonts w:ascii="Arial" w:hAnsi="Arial" w:cs="Arial"/>
                <w:sz w:val="2"/>
                <w:szCs w:val="2"/>
              </w:rPr>
            </w:pPr>
          </w:p>
        </w:tc>
        <w:tc>
          <w:tcPr>
            <w:tcW w:w="4860" w:type="dxa"/>
          </w:tcPr>
          <w:p w14:paraId="5D0EACED" w14:textId="77777777" w:rsidR="000B61B6" w:rsidRPr="000B61B6" w:rsidRDefault="000B61B6" w:rsidP="005E6689">
            <w:pPr>
              <w:pStyle w:val="TableParagraph"/>
              <w:spacing w:line="225" w:lineRule="exact"/>
              <w:ind w:left="84"/>
              <w:jc w:val="both"/>
              <w:rPr>
                <w:rFonts w:ascii="Arial" w:hAnsi="Arial" w:cs="Arial"/>
              </w:rPr>
            </w:pPr>
            <w:r w:rsidRPr="000B61B6">
              <w:rPr>
                <w:rFonts w:ascii="Arial" w:hAnsi="Arial" w:cs="Arial"/>
              </w:rPr>
              <w:t>Brake</w:t>
            </w:r>
            <w:r w:rsidRPr="000B61B6">
              <w:rPr>
                <w:rFonts w:ascii="Arial" w:hAnsi="Arial" w:cs="Arial"/>
                <w:spacing w:val="-2"/>
              </w:rPr>
              <w:t xml:space="preserve"> </w:t>
            </w:r>
            <w:r w:rsidRPr="000B61B6">
              <w:rPr>
                <w:rFonts w:ascii="Arial" w:hAnsi="Arial" w:cs="Arial"/>
              </w:rPr>
              <w:t>—</w:t>
            </w:r>
            <w:r w:rsidRPr="000B61B6">
              <w:rPr>
                <w:rFonts w:ascii="Arial" w:hAnsi="Arial" w:cs="Arial"/>
                <w:spacing w:val="-1"/>
              </w:rPr>
              <w:t xml:space="preserve"> </w:t>
            </w:r>
            <w:r w:rsidRPr="000B61B6">
              <w:rPr>
                <w:rFonts w:ascii="Arial" w:hAnsi="Arial" w:cs="Arial"/>
              </w:rPr>
              <w:t>replacement</w:t>
            </w:r>
            <w:r w:rsidRPr="000B61B6">
              <w:rPr>
                <w:rFonts w:ascii="Arial" w:hAnsi="Arial" w:cs="Arial"/>
                <w:spacing w:val="-1"/>
              </w:rPr>
              <w:t xml:space="preserve"> </w:t>
            </w:r>
            <w:r w:rsidRPr="000B61B6">
              <w:rPr>
                <w:rFonts w:ascii="Arial" w:hAnsi="Arial" w:cs="Arial"/>
              </w:rPr>
              <w:t>of</w:t>
            </w:r>
            <w:r w:rsidRPr="000B61B6">
              <w:rPr>
                <w:rFonts w:ascii="Arial" w:hAnsi="Arial" w:cs="Arial"/>
                <w:spacing w:val="-3"/>
              </w:rPr>
              <w:t xml:space="preserve"> </w:t>
            </w:r>
            <w:r w:rsidRPr="000B61B6">
              <w:rPr>
                <w:rFonts w:ascii="Arial" w:hAnsi="Arial" w:cs="Arial"/>
              </w:rPr>
              <w:t>worn</w:t>
            </w:r>
            <w:r w:rsidRPr="000B61B6">
              <w:rPr>
                <w:rFonts w:ascii="Arial" w:hAnsi="Arial" w:cs="Arial"/>
                <w:spacing w:val="1"/>
              </w:rPr>
              <w:t xml:space="preserve"> </w:t>
            </w:r>
            <w:r w:rsidRPr="000B61B6">
              <w:rPr>
                <w:rFonts w:ascii="Arial" w:hAnsi="Arial" w:cs="Arial"/>
              </w:rPr>
              <w:t>brake</w:t>
            </w:r>
            <w:r w:rsidRPr="000B61B6">
              <w:rPr>
                <w:rFonts w:ascii="Arial" w:hAnsi="Arial" w:cs="Arial"/>
                <w:spacing w:val="-2"/>
              </w:rPr>
              <w:t xml:space="preserve"> </w:t>
            </w:r>
            <w:r w:rsidRPr="000B61B6">
              <w:rPr>
                <w:rFonts w:ascii="Arial" w:hAnsi="Arial" w:cs="Arial"/>
              </w:rPr>
              <w:t>pads</w:t>
            </w:r>
          </w:p>
        </w:tc>
        <w:tc>
          <w:tcPr>
            <w:tcW w:w="1530" w:type="dxa"/>
          </w:tcPr>
          <w:p w14:paraId="170CFA4F" w14:textId="77777777" w:rsidR="000B61B6" w:rsidRPr="000B61B6" w:rsidRDefault="000B61B6" w:rsidP="00BE4A83">
            <w:pPr>
              <w:pStyle w:val="TableParagraph"/>
              <w:spacing w:line="225" w:lineRule="exact"/>
              <w:ind w:left="84"/>
              <w:rPr>
                <w:rFonts w:ascii="Arial" w:hAnsi="Arial" w:cs="Arial"/>
              </w:rPr>
            </w:pPr>
            <w:r w:rsidRPr="000B61B6">
              <w:rPr>
                <w:rFonts w:ascii="Arial" w:hAnsi="Arial" w:cs="Arial"/>
              </w:rPr>
              <w:t>Yes</w:t>
            </w:r>
          </w:p>
        </w:tc>
      </w:tr>
      <w:tr w:rsidR="000B61B6" w:rsidRPr="000B61B6" w14:paraId="09DB936A" w14:textId="77777777" w:rsidTr="0080379D">
        <w:trPr>
          <w:trHeight w:val="444"/>
        </w:trPr>
        <w:tc>
          <w:tcPr>
            <w:tcW w:w="895" w:type="dxa"/>
            <w:shd w:val="clear" w:color="auto" w:fill="F2F2F2" w:themeFill="background1" w:themeFillShade="F2"/>
          </w:tcPr>
          <w:p w14:paraId="4CB48B14" w14:textId="77777777" w:rsidR="000B61B6" w:rsidRPr="000B61B6" w:rsidRDefault="000B61B6" w:rsidP="00093EB0">
            <w:pPr>
              <w:jc w:val="center"/>
              <w:rPr>
                <w:rFonts w:ascii="Arial" w:hAnsi="Arial" w:cs="Arial"/>
                <w:b/>
              </w:rPr>
            </w:pPr>
            <w:r w:rsidRPr="000B61B6">
              <w:rPr>
                <w:rFonts w:ascii="Arial" w:hAnsi="Arial" w:cs="Arial"/>
                <w:b/>
              </w:rPr>
              <w:t>33</w:t>
            </w:r>
          </w:p>
        </w:tc>
        <w:tc>
          <w:tcPr>
            <w:tcW w:w="2250" w:type="dxa"/>
          </w:tcPr>
          <w:p w14:paraId="454854E2" w14:textId="77777777" w:rsidR="000B61B6" w:rsidRPr="000B61B6" w:rsidRDefault="000B61B6" w:rsidP="00BE4A83">
            <w:pPr>
              <w:pStyle w:val="TableParagraph"/>
              <w:spacing w:line="242" w:lineRule="exact"/>
              <w:rPr>
                <w:rFonts w:ascii="Arial" w:hAnsi="Arial" w:cs="Arial"/>
              </w:rPr>
            </w:pPr>
            <w:r w:rsidRPr="000B61B6">
              <w:rPr>
                <w:rFonts w:ascii="Arial" w:hAnsi="Arial" w:cs="Arial"/>
              </w:rPr>
              <w:t>Lights</w:t>
            </w:r>
          </w:p>
        </w:tc>
        <w:tc>
          <w:tcPr>
            <w:tcW w:w="4860" w:type="dxa"/>
          </w:tcPr>
          <w:p w14:paraId="02ED3B0C" w14:textId="77777777" w:rsidR="000B61B6" w:rsidRPr="000B61B6" w:rsidRDefault="000B61B6" w:rsidP="00D21D45">
            <w:pPr>
              <w:pStyle w:val="TableParagraph"/>
              <w:spacing w:line="242" w:lineRule="exact"/>
              <w:ind w:left="84"/>
              <w:jc w:val="both"/>
              <w:rPr>
                <w:rFonts w:ascii="Arial" w:hAnsi="Arial" w:cs="Arial"/>
              </w:rPr>
            </w:pPr>
            <w:r w:rsidRPr="000B61B6">
              <w:rPr>
                <w:rFonts w:ascii="Arial" w:hAnsi="Arial" w:cs="Arial"/>
              </w:rPr>
              <w:t>Lights</w:t>
            </w:r>
            <w:r w:rsidRPr="000B61B6">
              <w:rPr>
                <w:rFonts w:ascii="Arial" w:hAnsi="Arial" w:cs="Arial"/>
                <w:spacing w:val="-2"/>
              </w:rPr>
              <w:t xml:space="preserve"> </w:t>
            </w:r>
            <w:r w:rsidRPr="000B61B6">
              <w:rPr>
                <w:rFonts w:ascii="Arial" w:hAnsi="Arial" w:cs="Arial"/>
              </w:rPr>
              <w:t>—</w:t>
            </w:r>
            <w:r w:rsidRPr="000B61B6">
              <w:rPr>
                <w:rFonts w:ascii="Arial" w:hAnsi="Arial" w:cs="Arial"/>
                <w:spacing w:val="-2"/>
              </w:rPr>
              <w:t xml:space="preserve"> </w:t>
            </w:r>
            <w:r w:rsidRPr="000B61B6">
              <w:rPr>
                <w:rFonts w:ascii="Arial" w:hAnsi="Arial" w:cs="Arial"/>
              </w:rPr>
              <w:t>replacement</w:t>
            </w:r>
            <w:r w:rsidRPr="000B61B6">
              <w:rPr>
                <w:rFonts w:ascii="Arial" w:hAnsi="Arial" w:cs="Arial"/>
                <w:spacing w:val="-2"/>
              </w:rPr>
              <w:t xml:space="preserve"> </w:t>
            </w:r>
            <w:r w:rsidRPr="000B61B6">
              <w:rPr>
                <w:rFonts w:ascii="Arial" w:hAnsi="Arial" w:cs="Arial"/>
              </w:rPr>
              <w:t>of</w:t>
            </w:r>
            <w:r w:rsidRPr="000B61B6">
              <w:rPr>
                <w:rFonts w:ascii="Arial" w:hAnsi="Arial" w:cs="Arial"/>
                <w:spacing w:val="-4"/>
              </w:rPr>
              <w:t xml:space="preserve"> </w:t>
            </w:r>
            <w:r w:rsidRPr="000B61B6">
              <w:rPr>
                <w:rFonts w:ascii="Arial" w:hAnsi="Arial" w:cs="Arial"/>
              </w:rPr>
              <w:t>internal</w:t>
            </w:r>
            <w:r w:rsidRPr="000B61B6">
              <w:rPr>
                <w:rFonts w:ascii="Arial" w:hAnsi="Arial" w:cs="Arial"/>
                <w:spacing w:val="-2"/>
              </w:rPr>
              <w:t xml:space="preserve"> </w:t>
            </w:r>
            <w:r w:rsidRPr="000B61B6">
              <w:rPr>
                <w:rFonts w:ascii="Arial" w:hAnsi="Arial" w:cs="Arial"/>
              </w:rPr>
              <w:t>and</w:t>
            </w:r>
            <w:r w:rsidRPr="000B61B6">
              <w:rPr>
                <w:rFonts w:ascii="Arial" w:hAnsi="Arial" w:cs="Arial"/>
                <w:spacing w:val="-2"/>
              </w:rPr>
              <w:t xml:space="preserve"> </w:t>
            </w:r>
            <w:r w:rsidRPr="000B61B6">
              <w:rPr>
                <w:rFonts w:ascii="Arial" w:hAnsi="Arial" w:cs="Arial"/>
              </w:rPr>
              <w:t>external</w:t>
            </w:r>
            <w:r w:rsidRPr="000B61B6">
              <w:rPr>
                <w:rFonts w:ascii="Arial" w:hAnsi="Arial" w:cs="Arial"/>
                <w:spacing w:val="-2"/>
              </w:rPr>
              <w:t xml:space="preserve"> </w:t>
            </w:r>
            <w:r w:rsidRPr="000B61B6">
              <w:rPr>
                <w:rFonts w:ascii="Arial" w:hAnsi="Arial" w:cs="Arial"/>
              </w:rPr>
              <w:t>bulbs,</w:t>
            </w:r>
            <w:r w:rsidRPr="000B61B6">
              <w:rPr>
                <w:rFonts w:ascii="Arial" w:hAnsi="Arial" w:cs="Arial"/>
                <w:spacing w:val="-2"/>
              </w:rPr>
              <w:t xml:space="preserve"> </w:t>
            </w:r>
            <w:r w:rsidR="005E6689">
              <w:rPr>
                <w:rFonts w:ascii="Arial" w:hAnsi="Arial" w:cs="Arial"/>
              </w:rPr>
              <w:t xml:space="preserve">filaments, </w:t>
            </w:r>
            <w:r w:rsidRPr="000B61B6">
              <w:rPr>
                <w:rFonts w:ascii="Arial" w:hAnsi="Arial" w:cs="Arial"/>
              </w:rPr>
              <w:t>reflectors</w:t>
            </w:r>
            <w:r w:rsidRPr="000B61B6">
              <w:rPr>
                <w:rFonts w:ascii="Arial" w:hAnsi="Arial" w:cs="Arial"/>
                <w:spacing w:val="-4"/>
              </w:rPr>
              <w:t xml:space="preserve"> </w:t>
            </w:r>
            <w:r w:rsidRPr="000B61B6">
              <w:rPr>
                <w:rFonts w:ascii="Arial" w:hAnsi="Arial" w:cs="Arial"/>
              </w:rPr>
              <w:t>and</w:t>
            </w:r>
            <w:r w:rsidRPr="000B61B6">
              <w:rPr>
                <w:rFonts w:ascii="Arial" w:hAnsi="Arial" w:cs="Arial"/>
                <w:spacing w:val="-1"/>
              </w:rPr>
              <w:t xml:space="preserve"> </w:t>
            </w:r>
            <w:r w:rsidRPr="000B61B6">
              <w:rPr>
                <w:rFonts w:ascii="Arial" w:hAnsi="Arial" w:cs="Arial"/>
              </w:rPr>
              <w:t>lenses</w:t>
            </w:r>
          </w:p>
        </w:tc>
        <w:tc>
          <w:tcPr>
            <w:tcW w:w="1530" w:type="dxa"/>
          </w:tcPr>
          <w:p w14:paraId="61FEDFC6" w14:textId="77777777" w:rsidR="000B61B6" w:rsidRPr="000B61B6" w:rsidRDefault="000B61B6" w:rsidP="00BE4A83">
            <w:pPr>
              <w:pStyle w:val="TableParagraph"/>
              <w:spacing w:line="242" w:lineRule="exact"/>
              <w:ind w:left="84"/>
              <w:rPr>
                <w:rFonts w:ascii="Arial" w:hAnsi="Arial" w:cs="Arial"/>
              </w:rPr>
            </w:pPr>
            <w:r w:rsidRPr="000B61B6">
              <w:rPr>
                <w:rFonts w:ascii="Arial" w:hAnsi="Arial" w:cs="Arial"/>
              </w:rPr>
              <w:t>Yes</w:t>
            </w:r>
          </w:p>
        </w:tc>
      </w:tr>
      <w:tr w:rsidR="000B61B6" w:rsidRPr="000B61B6" w14:paraId="4C8BA261" w14:textId="77777777" w:rsidTr="0080379D">
        <w:trPr>
          <w:trHeight w:val="689"/>
        </w:trPr>
        <w:tc>
          <w:tcPr>
            <w:tcW w:w="895" w:type="dxa"/>
            <w:vMerge w:val="restart"/>
            <w:shd w:val="clear" w:color="auto" w:fill="F2F2F2" w:themeFill="background1" w:themeFillShade="F2"/>
          </w:tcPr>
          <w:p w14:paraId="47B303E0" w14:textId="77777777" w:rsidR="000B61B6" w:rsidRPr="000B61B6" w:rsidRDefault="00063798" w:rsidP="00093EB0">
            <w:pPr>
              <w:jc w:val="center"/>
              <w:rPr>
                <w:rFonts w:ascii="Arial" w:hAnsi="Arial" w:cs="Arial"/>
                <w:b/>
              </w:rPr>
            </w:pPr>
            <w:r w:rsidRPr="00093EB0">
              <w:rPr>
                <w:rFonts w:ascii="Arial" w:hAnsi="Arial" w:cs="Arial"/>
                <w:b/>
              </w:rPr>
              <w:lastRenderedPageBreak/>
              <w:t xml:space="preserve"> </w:t>
            </w:r>
            <w:r w:rsidR="000B61B6" w:rsidRPr="000B61B6">
              <w:rPr>
                <w:rFonts w:ascii="Arial" w:hAnsi="Arial" w:cs="Arial"/>
                <w:b/>
              </w:rPr>
              <w:t>34</w:t>
            </w:r>
          </w:p>
        </w:tc>
        <w:tc>
          <w:tcPr>
            <w:tcW w:w="2250" w:type="dxa"/>
            <w:vMerge w:val="restart"/>
          </w:tcPr>
          <w:p w14:paraId="39A89552" w14:textId="77777777" w:rsidR="000B61B6" w:rsidRPr="000B61B6" w:rsidRDefault="000B61B6" w:rsidP="00BE4A83">
            <w:pPr>
              <w:pStyle w:val="TableParagraph"/>
              <w:rPr>
                <w:rFonts w:ascii="Arial" w:hAnsi="Arial" w:cs="Arial"/>
              </w:rPr>
            </w:pPr>
            <w:r w:rsidRPr="000B61B6">
              <w:rPr>
                <w:rFonts w:ascii="Arial" w:hAnsi="Arial" w:cs="Arial"/>
              </w:rPr>
              <w:t>Navigation</w:t>
            </w:r>
          </w:p>
        </w:tc>
        <w:tc>
          <w:tcPr>
            <w:tcW w:w="4860" w:type="dxa"/>
          </w:tcPr>
          <w:p w14:paraId="137548AD" w14:textId="77777777" w:rsidR="000B61B6" w:rsidRPr="000B61B6" w:rsidRDefault="000B61B6" w:rsidP="00D21D45">
            <w:pPr>
              <w:pStyle w:val="TableParagraph"/>
              <w:ind w:left="84"/>
              <w:jc w:val="both"/>
              <w:rPr>
                <w:rFonts w:ascii="Arial" w:hAnsi="Arial" w:cs="Arial"/>
              </w:rPr>
            </w:pPr>
            <w:r w:rsidRPr="000B61B6">
              <w:rPr>
                <w:rFonts w:ascii="Arial" w:hAnsi="Arial" w:cs="Arial"/>
              </w:rPr>
              <w:t>Software — updating self-contained, instrument-panel-mounted</w:t>
            </w:r>
            <w:r w:rsidRPr="000B61B6">
              <w:rPr>
                <w:rFonts w:ascii="Arial" w:hAnsi="Arial" w:cs="Arial"/>
                <w:spacing w:val="1"/>
              </w:rPr>
              <w:t xml:space="preserve"> </w:t>
            </w:r>
            <w:r w:rsidRPr="000B61B6">
              <w:rPr>
                <w:rFonts w:ascii="Arial" w:hAnsi="Arial" w:cs="Arial"/>
              </w:rPr>
              <w:t>software,</w:t>
            </w:r>
            <w:r w:rsidRPr="000B61B6">
              <w:rPr>
                <w:rFonts w:ascii="Arial" w:hAnsi="Arial" w:cs="Arial"/>
                <w:spacing w:val="-2"/>
              </w:rPr>
              <w:t xml:space="preserve"> </w:t>
            </w:r>
            <w:r w:rsidRPr="000B61B6">
              <w:rPr>
                <w:rFonts w:ascii="Arial" w:hAnsi="Arial" w:cs="Arial"/>
              </w:rPr>
              <w:t>excluding</w:t>
            </w:r>
            <w:r w:rsidRPr="000B61B6">
              <w:rPr>
                <w:rFonts w:ascii="Arial" w:hAnsi="Arial" w:cs="Arial"/>
                <w:spacing w:val="-2"/>
              </w:rPr>
              <w:t xml:space="preserve"> </w:t>
            </w:r>
            <w:r w:rsidRPr="000B61B6">
              <w:rPr>
                <w:rFonts w:ascii="Arial" w:hAnsi="Arial" w:cs="Arial"/>
              </w:rPr>
              <w:t>automated</w:t>
            </w:r>
            <w:r w:rsidRPr="000B61B6">
              <w:rPr>
                <w:rFonts w:ascii="Arial" w:hAnsi="Arial" w:cs="Arial"/>
                <w:spacing w:val="-1"/>
              </w:rPr>
              <w:t xml:space="preserve"> </w:t>
            </w:r>
            <w:r w:rsidRPr="000B61B6">
              <w:rPr>
                <w:rFonts w:ascii="Arial" w:hAnsi="Arial" w:cs="Arial"/>
              </w:rPr>
              <w:t>flight</w:t>
            </w:r>
            <w:r w:rsidRPr="000B61B6">
              <w:rPr>
                <w:rFonts w:ascii="Arial" w:hAnsi="Arial" w:cs="Arial"/>
                <w:spacing w:val="-1"/>
              </w:rPr>
              <w:t xml:space="preserve"> </w:t>
            </w:r>
            <w:r w:rsidRPr="000B61B6">
              <w:rPr>
                <w:rFonts w:ascii="Arial" w:hAnsi="Arial" w:cs="Arial"/>
              </w:rPr>
              <w:t>control</w:t>
            </w:r>
            <w:r w:rsidRPr="000B61B6">
              <w:rPr>
                <w:rFonts w:ascii="Arial" w:hAnsi="Arial" w:cs="Arial"/>
                <w:spacing w:val="-1"/>
              </w:rPr>
              <w:t xml:space="preserve"> </w:t>
            </w:r>
            <w:r w:rsidRPr="000B61B6">
              <w:rPr>
                <w:rFonts w:ascii="Arial" w:hAnsi="Arial" w:cs="Arial"/>
              </w:rPr>
              <w:t>systems</w:t>
            </w:r>
            <w:r w:rsidRPr="000B61B6">
              <w:rPr>
                <w:rFonts w:ascii="Arial" w:hAnsi="Arial" w:cs="Arial"/>
                <w:spacing w:val="-3"/>
              </w:rPr>
              <w:t xml:space="preserve"> </w:t>
            </w:r>
            <w:r w:rsidR="005E6689">
              <w:rPr>
                <w:rFonts w:ascii="Arial" w:hAnsi="Arial" w:cs="Arial"/>
              </w:rPr>
              <w:t xml:space="preserve">and </w:t>
            </w:r>
            <w:r w:rsidRPr="000B61B6">
              <w:rPr>
                <w:rFonts w:ascii="Arial" w:hAnsi="Arial" w:cs="Arial"/>
              </w:rPr>
              <w:t>transponders</w:t>
            </w:r>
          </w:p>
        </w:tc>
        <w:tc>
          <w:tcPr>
            <w:tcW w:w="1530" w:type="dxa"/>
          </w:tcPr>
          <w:p w14:paraId="1571DF2E" w14:textId="77777777" w:rsidR="000B61B6" w:rsidRPr="000B61B6" w:rsidRDefault="000B61B6" w:rsidP="00BE4A83">
            <w:pPr>
              <w:pStyle w:val="TableParagraph"/>
              <w:ind w:left="84"/>
              <w:rPr>
                <w:rFonts w:ascii="Arial" w:hAnsi="Arial" w:cs="Arial"/>
              </w:rPr>
            </w:pPr>
            <w:r w:rsidRPr="000B61B6">
              <w:rPr>
                <w:rFonts w:ascii="Arial" w:hAnsi="Arial" w:cs="Arial"/>
              </w:rPr>
              <w:t>Yes</w:t>
            </w:r>
          </w:p>
        </w:tc>
      </w:tr>
      <w:tr w:rsidR="000B61B6" w:rsidRPr="000B61B6" w14:paraId="118AF777" w14:textId="77777777" w:rsidTr="0080379D">
        <w:trPr>
          <w:trHeight w:val="1176"/>
        </w:trPr>
        <w:tc>
          <w:tcPr>
            <w:tcW w:w="895" w:type="dxa"/>
            <w:vMerge/>
            <w:shd w:val="clear" w:color="auto" w:fill="F2F2F2" w:themeFill="background1" w:themeFillShade="F2"/>
          </w:tcPr>
          <w:p w14:paraId="23E145B2" w14:textId="77777777" w:rsidR="000B61B6" w:rsidRPr="00093EB0" w:rsidRDefault="000B61B6" w:rsidP="00093EB0">
            <w:pPr>
              <w:jc w:val="center"/>
              <w:rPr>
                <w:rFonts w:ascii="Arial" w:hAnsi="Arial" w:cs="Arial"/>
                <w:b/>
              </w:rPr>
            </w:pPr>
          </w:p>
        </w:tc>
        <w:tc>
          <w:tcPr>
            <w:tcW w:w="2250" w:type="dxa"/>
            <w:vMerge/>
          </w:tcPr>
          <w:p w14:paraId="143B8B11" w14:textId="77777777" w:rsidR="000B61B6" w:rsidRPr="000B61B6" w:rsidRDefault="000B61B6" w:rsidP="00BE4A83">
            <w:pPr>
              <w:rPr>
                <w:rFonts w:ascii="Arial" w:hAnsi="Arial" w:cs="Arial"/>
                <w:sz w:val="2"/>
                <w:szCs w:val="2"/>
              </w:rPr>
            </w:pPr>
          </w:p>
        </w:tc>
        <w:tc>
          <w:tcPr>
            <w:tcW w:w="4860" w:type="dxa"/>
          </w:tcPr>
          <w:p w14:paraId="4B52D701" w14:textId="77777777" w:rsidR="000B61B6" w:rsidRPr="000B61B6" w:rsidRDefault="000B61B6" w:rsidP="00D21D45">
            <w:pPr>
              <w:pStyle w:val="TableParagraph"/>
              <w:ind w:left="84" w:right="155"/>
              <w:jc w:val="both"/>
              <w:rPr>
                <w:rFonts w:ascii="Arial" w:hAnsi="Arial" w:cs="Arial"/>
              </w:rPr>
            </w:pPr>
            <w:r w:rsidRPr="000B61B6">
              <w:rPr>
                <w:rFonts w:ascii="Arial" w:hAnsi="Arial" w:cs="Arial"/>
              </w:rPr>
              <w:t>Navigation devices — removal and replacement of self-contained,</w:t>
            </w:r>
            <w:r w:rsidRPr="000B61B6">
              <w:rPr>
                <w:rFonts w:ascii="Arial" w:hAnsi="Arial" w:cs="Arial"/>
                <w:spacing w:val="1"/>
              </w:rPr>
              <w:t xml:space="preserve"> </w:t>
            </w:r>
            <w:r w:rsidRPr="000B61B6">
              <w:rPr>
                <w:rFonts w:ascii="Arial" w:hAnsi="Arial" w:cs="Arial"/>
              </w:rPr>
              <w:t>instrument-panel-mounted navigation devices with quick-</w:t>
            </w:r>
            <w:r w:rsidRPr="000B61B6">
              <w:rPr>
                <w:rFonts w:ascii="Arial" w:hAnsi="Arial" w:cs="Arial"/>
                <w:spacing w:val="1"/>
              </w:rPr>
              <w:t xml:space="preserve"> </w:t>
            </w:r>
            <w:r w:rsidRPr="000B61B6">
              <w:rPr>
                <w:rFonts w:ascii="Arial" w:hAnsi="Arial" w:cs="Arial"/>
              </w:rPr>
              <w:t>disconnect connectors, excluding automated flight control</w:t>
            </w:r>
            <w:r w:rsidRPr="000B61B6">
              <w:rPr>
                <w:rFonts w:ascii="Arial" w:hAnsi="Arial" w:cs="Arial"/>
                <w:spacing w:val="1"/>
              </w:rPr>
              <w:t xml:space="preserve"> </w:t>
            </w:r>
            <w:r w:rsidRPr="000B61B6">
              <w:rPr>
                <w:rFonts w:ascii="Arial" w:hAnsi="Arial" w:cs="Arial"/>
              </w:rPr>
              <w:t>systems,</w:t>
            </w:r>
            <w:r w:rsidRPr="000B61B6">
              <w:rPr>
                <w:rFonts w:ascii="Arial" w:hAnsi="Arial" w:cs="Arial"/>
                <w:spacing w:val="-2"/>
              </w:rPr>
              <w:t xml:space="preserve"> </w:t>
            </w:r>
            <w:r w:rsidRPr="000B61B6">
              <w:rPr>
                <w:rFonts w:ascii="Arial" w:hAnsi="Arial" w:cs="Arial"/>
              </w:rPr>
              <w:t>transponders,</w:t>
            </w:r>
            <w:r w:rsidRPr="000B61B6">
              <w:rPr>
                <w:rFonts w:ascii="Arial" w:hAnsi="Arial" w:cs="Arial"/>
                <w:spacing w:val="-2"/>
              </w:rPr>
              <w:t xml:space="preserve"> </w:t>
            </w:r>
            <w:r w:rsidRPr="000B61B6">
              <w:rPr>
                <w:rFonts w:ascii="Arial" w:hAnsi="Arial" w:cs="Arial"/>
              </w:rPr>
              <w:t>primary</w:t>
            </w:r>
            <w:r w:rsidRPr="000B61B6">
              <w:rPr>
                <w:rFonts w:ascii="Arial" w:hAnsi="Arial" w:cs="Arial"/>
                <w:spacing w:val="-1"/>
              </w:rPr>
              <w:t xml:space="preserve"> </w:t>
            </w:r>
            <w:r w:rsidRPr="000B61B6">
              <w:rPr>
                <w:rFonts w:ascii="Arial" w:hAnsi="Arial" w:cs="Arial"/>
              </w:rPr>
              <w:t>flight</w:t>
            </w:r>
            <w:r w:rsidRPr="000B61B6">
              <w:rPr>
                <w:rFonts w:ascii="Arial" w:hAnsi="Arial" w:cs="Arial"/>
                <w:spacing w:val="-2"/>
              </w:rPr>
              <w:t xml:space="preserve"> </w:t>
            </w:r>
            <w:r w:rsidRPr="000B61B6">
              <w:rPr>
                <w:rFonts w:ascii="Arial" w:hAnsi="Arial" w:cs="Arial"/>
              </w:rPr>
              <w:t>control</w:t>
            </w:r>
            <w:r w:rsidRPr="000B61B6">
              <w:rPr>
                <w:rFonts w:ascii="Arial" w:hAnsi="Arial" w:cs="Arial"/>
                <w:spacing w:val="-2"/>
              </w:rPr>
              <w:t xml:space="preserve"> </w:t>
            </w:r>
            <w:r w:rsidRPr="000B61B6">
              <w:rPr>
                <w:rFonts w:ascii="Arial" w:hAnsi="Arial" w:cs="Arial"/>
              </w:rPr>
              <w:t>system</w:t>
            </w:r>
            <w:r w:rsidRPr="000B61B6">
              <w:rPr>
                <w:rFonts w:ascii="Arial" w:hAnsi="Arial" w:cs="Arial"/>
                <w:spacing w:val="-2"/>
              </w:rPr>
              <w:t xml:space="preserve"> </w:t>
            </w:r>
            <w:r w:rsidRPr="000B61B6">
              <w:rPr>
                <w:rFonts w:ascii="Arial" w:hAnsi="Arial" w:cs="Arial"/>
              </w:rPr>
              <w:t>and</w:t>
            </w:r>
            <w:r w:rsidRPr="000B61B6">
              <w:rPr>
                <w:rFonts w:ascii="Arial" w:hAnsi="Arial" w:cs="Arial"/>
                <w:spacing w:val="-2"/>
              </w:rPr>
              <w:t xml:space="preserve"> </w:t>
            </w:r>
            <w:r w:rsidR="005E6689">
              <w:rPr>
                <w:rFonts w:ascii="Arial" w:hAnsi="Arial" w:cs="Arial"/>
              </w:rPr>
              <w:t xml:space="preserve">IFR </w:t>
            </w:r>
            <w:r w:rsidRPr="000B61B6">
              <w:rPr>
                <w:rFonts w:ascii="Arial" w:hAnsi="Arial" w:cs="Arial"/>
              </w:rPr>
              <w:t>operations</w:t>
            </w:r>
          </w:p>
        </w:tc>
        <w:tc>
          <w:tcPr>
            <w:tcW w:w="1530" w:type="dxa"/>
          </w:tcPr>
          <w:p w14:paraId="440F144F" w14:textId="77777777" w:rsidR="000B61B6" w:rsidRPr="000B61B6" w:rsidRDefault="000B61B6" w:rsidP="00BE4A83">
            <w:pPr>
              <w:pStyle w:val="TableParagraph"/>
              <w:spacing w:line="242" w:lineRule="exact"/>
              <w:ind w:left="84"/>
              <w:rPr>
                <w:rFonts w:ascii="Arial" w:hAnsi="Arial" w:cs="Arial"/>
              </w:rPr>
            </w:pPr>
            <w:r w:rsidRPr="000B61B6">
              <w:rPr>
                <w:rFonts w:ascii="Arial" w:hAnsi="Arial" w:cs="Arial"/>
              </w:rPr>
              <w:t>Yes**</w:t>
            </w:r>
          </w:p>
        </w:tc>
      </w:tr>
      <w:tr w:rsidR="000B61B6" w:rsidRPr="000B61B6" w14:paraId="6DF5E21C" w14:textId="77777777" w:rsidTr="0080379D">
        <w:trPr>
          <w:trHeight w:val="202"/>
        </w:trPr>
        <w:tc>
          <w:tcPr>
            <w:tcW w:w="895" w:type="dxa"/>
            <w:vMerge/>
            <w:shd w:val="clear" w:color="auto" w:fill="F2F2F2" w:themeFill="background1" w:themeFillShade="F2"/>
          </w:tcPr>
          <w:p w14:paraId="1B443EC3" w14:textId="77777777" w:rsidR="000B61B6" w:rsidRPr="00093EB0" w:rsidRDefault="000B61B6" w:rsidP="00093EB0">
            <w:pPr>
              <w:jc w:val="center"/>
              <w:rPr>
                <w:rFonts w:ascii="Arial" w:hAnsi="Arial" w:cs="Arial"/>
                <w:b/>
              </w:rPr>
            </w:pPr>
          </w:p>
        </w:tc>
        <w:tc>
          <w:tcPr>
            <w:tcW w:w="2250" w:type="dxa"/>
            <w:vMerge/>
          </w:tcPr>
          <w:p w14:paraId="242890F7" w14:textId="77777777" w:rsidR="000B61B6" w:rsidRPr="000B61B6" w:rsidRDefault="000B61B6" w:rsidP="00BE4A83">
            <w:pPr>
              <w:rPr>
                <w:rFonts w:ascii="Arial" w:hAnsi="Arial" w:cs="Arial"/>
                <w:sz w:val="2"/>
                <w:szCs w:val="2"/>
              </w:rPr>
            </w:pPr>
          </w:p>
        </w:tc>
        <w:tc>
          <w:tcPr>
            <w:tcW w:w="4860" w:type="dxa"/>
          </w:tcPr>
          <w:p w14:paraId="434E0A34" w14:textId="77777777" w:rsidR="000B61B6" w:rsidRPr="000B61B6" w:rsidRDefault="000B61B6" w:rsidP="00D21D45">
            <w:pPr>
              <w:pStyle w:val="TableParagraph"/>
              <w:spacing w:line="225" w:lineRule="exact"/>
              <w:ind w:left="84"/>
              <w:jc w:val="both"/>
              <w:rPr>
                <w:rFonts w:ascii="Arial" w:hAnsi="Arial" w:cs="Arial"/>
              </w:rPr>
            </w:pPr>
            <w:r w:rsidRPr="000B61B6">
              <w:rPr>
                <w:rFonts w:ascii="Arial" w:hAnsi="Arial" w:cs="Arial"/>
              </w:rPr>
              <w:t>Self-contained</w:t>
            </w:r>
            <w:r w:rsidRPr="000B61B6">
              <w:rPr>
                <w:rFonts w:ascii="Arial" w:hAnsi="Arial" w:cs="Arial"/>
                <w:spacing w:val="-3"/>
              </w:rPr>
              <w:t xml:space="preserve"> </w:t>
            </w:r>
            <w:r w:rsidRPr="000B61B6">
              <w:rPr>
                <w:rFonts w:ascii="Arial" w:hAnsi="Arial" w:cs="Arial"/>
              </w:rPr>
              <w:t>data</w:t>
            </w:r>
            <w:r w:rsidRPr="000B61B6">
              <w:rPr>
                <w:rFonts w:ascii="Arial" w:hAnsi="Arial" w:cs="Arial"/>
                <w:spacing w:val="-3"/>
              </w:rPr>
              <w:t xml:space="preserve"> </w:t>
            </w:r>
            <w:r w:rsidRPr="000B61B6">
              <w:rPr>
                <w:rFonts w:ascii="Arial" w:hAnsi="Arial" w:cs="Arial"/>
              </w:rPr>
              <w:t>logger</w:t>
            </w:r>
            <w:r w:rsidRPr="000B61B6">
              <w:rPr>
                <w:rFonts w:ascii="Arial" w:hAnsi="Arial" w:cs="Arial"/>
                <w:spacing w:val="-2"/>
              </w:rPr>
              <w:t xml:space="preserve"> </w:t>
            </w:r>
            <w:r w:rsidRPr="000B61B6">
              <w:rPr>
                <w:rFonts w:ascii="Arial" w:hAnsi="Arial" w:cs="Arial"/>
              </w:rPr>
              <w:t>—</w:t>
            </w:r>
            <w:r w:rsidRPr="000B61B6">
              <w:rPr>
                <w:rFonts w:ascii="Arial" w:hAnsi="Arial" w:cs="Arial"/>
                <w:spacing w:val="-3"/>
              </w:rPr>
              <w:t xml:space="preserve"> </w:t>
            </w:r>
            <w:r w:rsidRPr="000B61B6">
              <w:rPr>
                <w:rFonts w:ascii="Arial" w:hAnsi="Arial" w:cs="Arial"/>
              </w:rPr>
              <w:t>installation,</w:t>
            </w:r>
            <w:r w:rsidRPr="000B61B6">
              <w:rPr>
                <w:rFonts w:ascii="Arial" w:hAnsi="Arial" w:cs="Arial"/>
                <w:spacing w:val="-2"/>
              </w:rPr>
              <w:t xml:space="preserve"> </w:t>
            </w:r>
            <w:r w:rsidRPr="000B61B6">
              <w:rPr>
                <w:rFonts w:ascii="Arial" w:hAnsi="Arial" w:cs="Arial"/>
              </w:rPr>
              <w:t>data</w:t>
            </w:r>
            <w:r w:rsidRPr="000B61B6">
              <w:rPr>
                <w:rFonts w:ascii="Arial" w:hAnsi="Arial" w:cs="Arial"/>
                <w:spacing w:val="-3"/>
              </w:rPr>
              <w:t xml:space="preserve"> </w:t>
            </w:r>
            <w:r w:rsidRPr="000B61B6">
              <w:rPr>
                <w:rFonts w:ascii="Arial" w:hAnsi="Arial" w:cs="Arial"/>
              </w:rPr>
              <w:t>restoration</w:t>
            </w:r>
          </w:p>
        </w:tc>
        <w:tc>
          <w:tcPr>
            <w:tcW w:w="1530" w:type="dxa"/>
          </w:tcPr>
          <w:p w14:paraId="23EA48C1" w14:textId="77777777" w:rsidR="000B61B6" w:rsidRPr="000B61B6" w:rsidRDefault="000B61B6" w:rsidP="00BE4A83">
            <w:pPr>
              <w:pStyle w:val="TableParagraph"/>
              <w:spacing w:line="225" w:lineRule="exact"/>
              <w:ind w:left="84"/>
              <w:rPr>
                <w:rFonts w:ascii="Arial" w:hAnsi="Arial" w:cs="Arial"/>
              </w:rPr>
            </w:pPr>
            <w:r w:rsidRPr="000B61B6">
              <w:rPr>
                <w:rFonts w:ascii="Arial" w:hAnsi="Arial" w:cs="Arial"/>
              </w:rPr>
              <w:t>Yes</w:t>
            </w:r>
          </w:p>
        </w:tc>
      </w:tr>
      <w:tr w:rsidR="000B61B6" w:rsidRPr="000B61B6" w14:paraId="4588E46B" w14:textId="77777777" w:rsidTr="0080379D">
        <w:trPr>
          <w:trHeight w:val="690"/>
        </w:trPr>
        <w:tc>
          <w:tcPr>
            <w:tcW w:w="895" w:type="dxa"/>
            <w:vMerge w:val="restart"/>
            <w:shd w:val="clear" w:color="auto" w:fill="F2F2F2" w:themeFill="background1" w:themeFillShade="F2"/>
          </w:tcPr>
          <w:p w14:paraId="0CF04FC0" w14:textId="77777777" w:rsidR="000B61B6" w:rsidRPr="000B61B6" w:rsidRDefault="00063798" w:rsidP="00093EB0">
            <w:pPr>
              <w:jc w:val="center"/>
              <w:rPr>
                <w:rFonts w:ascii="Arial" w:hAnsi="Arial" w:cs="Arial"/>
                <w:b/>
              </w:rPr>
            </w:pPr>
            <w:r w:rsidRPr="00093EB0">
              <w:rPr>
                <w:rFonts w:ascii="Arial" w:hAnsi="Arial" w:cs="Arial"/>
                <w:b/>
              </w:rPr>
              <w:t xml:space="preserve"> </w:t>
            </w:r>
            <w:r w:rsidR="000B61B6" w:rsidRPr="000B61B6">
              <w:rPr>
                <w:rFonts w:ascii="Arial" w:hAnsi="Arial" w:cs="Arial"/>
                <w:b/>
              </w:rPr>
              <w:t>51</w:t>
            </w:r>
          </w:p>
        </w:tc>
        <w:tc>
          <w:tcPr>
            <w:tcW w:w="2250" w:type="dxa"/>
            <w:vMerge w:val="restart"/>
          </w:tcPr>
          <w:p w14:paraId="7A302AB9" w14:textId="77777777" w:rsidR="000B61B6" w:rsidRPr="000B61B6" w:rsidRDefault="000B61B6" w:rsidP="00BE4A83">
            <w:pPr>
              <w:pStyle w:val="TableParagraph"/>
              <w:spacing w:line="242" w:lineRule="exact"/>
              <w:rPr>
                <w:rFonts w:ascii="Arial" w:hAnsi="Arial" w:cs="Arial"/>
              </w:rPr>
            </w:pPr>
            <w:r w:rsidRPr="000B61B6">
              <w:rPr>
                <w:rFonts w:ascii="Arial" w:hAnsi="Arial" w:cs="Arial"/>
              </w:rPr>
              <w:t>Structure</w:t>
            </w:r>
          </w:p>
        </w:tc>
        <w:tc>
          <w:tcPr>
            <w:tcW w:w="4860" w:type="dxa"/>
          </w:tcPr>
          <w:p w14:paraId="24E40155" w14:textId="77777777" w:rsidR="000B61B6" w:rsidRPr="000B61B6" w:rsidRDefault="000B61B6" w:rsidP="00D21D45">
            <w:pPr>
              <w:pStyle w:val="TableParagraph"/>
              <w:spacing w:line="242" w:lineRule="exact"/>
              <w:ind w:left="84"/>
              <w:jc w:val="both"/>
              <w:rPr>
                <w:rFonts w:ascii="Arial" w:hAnsi="Arial" w:cs="Arial"/>
              </w:rPr>
            </w:pPr>
            <w:r w:rsidRPr="000B61B6">
              <w:rPr>
                <w:rFonts w:ascii="Arial" w:hAnsi="Arial" w:cs="Arial"/>
              </w:rPr>
              <w:t>Fabric</w:t>
            </w:r>
            <w:r w:rsidRPr="000B61B6">
              <w:rPr>
                <w:rFonts w:ascii="Arial" w:hAnsi="Arial" w:cs="Arial"/>
                <w:spacing w:val="-3"/>
              </w:rPr>
              <w:t xml:space="preserve"> </w:t>
            </w:r>
            <w:r w:rsidRPr="000B61B6">
              <w:rPr>
                <w:rFonts w:ascii="Arial" w:hAnsi="Arial" w:cs="Arial"/>
              </w:rPr>
              <w:t>patches</w:t>
            </w:r>
            <w:r w:rsidRPr="000B61B6">
              <w:rPr>
                <w:rFonts w:ascii="Arial" w:hAnsi="Arial" w:cs="Arial"/>
                <w:spacing w:val="-2"/>
              </w:rPr>
              <w:t xml:space="preserve"> </w:t>
            </w:r>
            <w:r w:rsidRPr="000B61B6">
              <w:rPr>
                <w:rFonts w:ascii="Arial" w:hAnsi="Arial" w:cs="Arial"/>
              </w:rPr>
              <w:t>— simple</w:t>
            </w:r>
            <w:r w:rsidRPr="000B61B6">
              <w:rPr>
                <w:rFonts w:ascii="Arial" w:hAnsi="Arial" w:cs="Arial"/>
                <w:spacing w:val="-3"/>
              </w:rPr>
              <w:t xml:space="preserve"> </w:t>
            </w:r>
            <w:r w:rsidRPr="000B61B6">
              <w:rPr>
                <w:rFonts w:ascii="Arial" w:hAnsi="Arial" w:cs="Arial"/>
              </w:rPr>
              <w:t>patches</w:t>
            </w:r>
            <w:r w:rsidRPr="000B61B6">
              <w:rPr>
                <w:rFonts w:ascii="Arial" w:hAnsi="Arial" w:cs="Arial"/>
                <w:spacing w:val="-3"/>
              </w:rPr>
              <w:t xml:space="preserve"> </w:t>
            </w:r>
            <w:r w:rsidRPr="000B61B6">
              <w:rPr>
                <w:rFonts w:ascii="Arial" w:hAnsi="Arial" w:cs="Arial"/>
              </w:rPr>
              <w:t>extending</w:t>
            </w:r>
            <w:r w:rsidRPr="000B61B6">
              <w:rPr>
                <w:rFonts w:ascii="Arial" w:hAnsi="Arial" w:cs="Arial"/>
                <w:spacing w:val="-3"/>
              </w:rPr>
              <w:t xml:space="preserve"> </w:t>
            </w:r>
            <w:r w:rsidRPr="000B61B6">
              <w:rPr>
                <w:rFonts w:ascii="Arial" w:hAnsi="Arial" w:cs="Arial"/>
              </w:rPr>
              <w:t>over</w:t>
            </w:r>
            <w:r w:rsidRPr="000B61B6">
              <w:rPr>
                <w:rFonts w:ascii="Arial" w:hAnsi="Arial" w:cs="Arial"/>
                <w:spacing w:val="-2"/>
              </w:rPr>
              <w:t xml:space="preserve"> </w:t>
            </w:r>
            <w:r w:rsidRPr="000B61B6">
              <w:rPr>
                <w:rFonts w:ascii="Arial" w:hAnsi="Arial" w:cs="Arial"/>
              </w:rPr>
              <w:t>no</w:t>
            </w:r>
            <w:r w:rsidRPr="000B61B6">
              <w:rPr>
                <w:rFonts w:ascii="Arial" w:hAnsi="Arial" w:cs="Arial"/>
                <w:spacing w:val="-2"/>
              </w:rPr>
              <w:t xml:space="preserve"> </w:t>
            </w:r>
            <w:r w:rsidRPr="000B61B6">
              <w:rPr>
                <w:rFonts w:ascii="Arial" w:hAnsi="Arial" w:cs="Arial"/>
              </w:rPr>
              <w:t>more</w:t>
            </w:r>
            <w:r w:rsidRPr="000B61B6">
              <w:rPr>
                <w:rFonts w:ascii="Arial" w:hAnsi="Arial" w:cs="Arial"/>
                <w:spacing w:val="-3"/>
              </w:rPr>
              <w:t xml:space="preserve"> </w:t>
            </w:r>
            <w:r w:rsidR="00D21D45">
              <w:rPr>
                <w:rFonts w:ascii="Arial" w:hAnsi="Arial" w:cs="Arial"/>
              </w:rPr>
              <w:t xml:space="preserve">than </w:t>
            </w:r>
            <w:r w:rsidRPr="000B61B6">
              <w:rPr>
                <w:rFonts w:ascii="Arial" w:hAnsi="Arial" w:cs="Arial"/>
              </w:rPr>
              <w:t>one rib, and not requiring rib stitching or removal of structural</w:t>
            </w:r>
            <w:r w:rsidRPr="000B61B6">
              <w:rPr>
                <w:rFonts w:ascii="Arial" w:hAnsi="Arial" w:cs="Arial"/>
                <w:spacing w:val="1"/>
              </w:rPr>
              <w:t xml:space="preserve"> </w:t>
            </w:r>
            <w:r w:rsidRPr="000B61B6">
              <w:rPr>
                <w:rFonts w:ascii="Arial" w:hAnsi="Arial" w:cs="Arial"/>
              </w:rPr>
              <w:t>parts</w:t>
            </w:r>
            <w:r w:rsidRPr="000B61B6">
              <w:rPr>
                <w:rFonts w:ascii="Arial" w:hAnsi="Arial" w:cs="Arial"/>
                <w:spacing w:val="-2"/>
              </w:rPr>
              <w:t xml:space="preserve"> </w:t>
            </w:r>
            <w:r w:rsidRPr="000B61B6">
              <w:rPr>
                <w:rFonts w:ascii="Arial" w:hAnsi="Arial" w:cs="Arial"/>
              </w:rPr>
              <w:t>or control surfaces</w:t>
            </w:r>
          </w:p>
        </w:tc>
        <w:tc>
          <w:tcPr>
            <w:tcW w:w="1530" w:type="dxa"/>
          </w:tcPr>
          <w:p w14:paraId="5A13D2C0" w14:textId="77777777" w:rsidR="000B61B6" w:rsidRPr="000B61B6" w:rsidRDefault="000B61B6" w:rsidP="00BE4A83">
            <w:pPr>
              <w:pStyle w:val="TableParagraph"/>
              <w:spacing w:line="242" w:lineRule="exact"/>
              <w:ind w:left="84"/>
              <w:rPr>
                <w:rFonts w:ascii="Arial" w:hAnsi="Arial" w:cs="Arial"/>
              </w:rPr>
            </w:pPr>
            <w:r w:rsidRPr="000B61B6">
              <w:rPr>
                <w:rFonts w:ascii="Arial" w:hAnsi="Arial" w:cs="Arial"/>
              </w:rPr>
              <w:t>Yes</w:t>
            </w:r>
          </w:p>
        </w:tc>
      </w:tr>
      <w:tr w:rsidR="000B61B6" w:rsidRPr="000B61B6" w14:paraId="60B91140" w14:textId="77777777" w:rsidTr="0080379D">
        <w:trPr>
          <w:trHeight w:val="687"/>
        </w:trPr>
        <w:tc>
          <w:tcPr>
            <w:tcW w:w="895" w:type="dxa"/>
            <w:vMerge/>
            <w:shd w:val="clear" w:color="auto" w:fill="F2F2F2" w:themeFill="background1" w:themeFillShade="F2"/>
          </w:tcPr>
          <w:p w14:paraId="2FAFC074" w14:textId="77777777" w:rsidR="000B61B6" w:rsidRPr="00093EB0" w:rsidRDefault="000B61B6" w:rsidP="00093EB0">
            <w:pPr>
              <w:jc w:val="center"/>
              <w:rPr>
                <w:rFonts w:ascii="Arial" w:hAnsi="Arial" w:cs="Arial"/>
                <w:b/>
              </w:rPr>
            </w:pPr>
          </w:p>
        </w:tc>
        <w:tc>
          <w:tcPr>
            <w:tcW w:w="2250" w:type="dxa"/>
            <w:vMerge/>
          </w:tcPr>
          <w:p w14:paraId="0476E4FB" w14:textId="77777777" w:rsidR="000B61B6" w:rsidRPr="000B61B6" w:rsidRDefault="000B61B6" w:rsidP="00BE4A83">
            <w:pPr>
              <w:rPr>
                <w:rFonts w:ascii="Arial" w:hAnsi="Arial" w:cs="Arial"/>
                <w:sz w:val="2"/>
                <w:szCs w:val="2"/>
              </w:rPr>
            </w:pPr>
          </w:p>
        </w:tc>
        <w:tc>
          <w:tcPr>
            <w:tcW w:w="4860" w:type="dxa"/>
          </w:tcPr>
          <w:p w14:paraId="603B258F" w14:textId="77777777" w:rsidR="000B61B6" w:rsidRPr="000B61B6" w:rsidRDefault="000B61B6" w:rsidP="00D21D45">
            <w:pPr>
              <w:pStyle w:val="TableParagraph"/>
              <w:spacing w:line="242" w:lineRule="exact"/>
              <w:ind w:left="84"/>
              <w:jc w:val="both"/>
              <w:rPr>
                <w:rFonts w:ascii="Arial" w:hAnsi="Arial" w:cs="Arial"/>
              </w:rPr>
            </w:pPr>
            <w:r w:rsidRPr="000B61B6">
              <w:rPr>
                <w:rFonts w:ascii="Arial" w:hAnsi="Arial" w:cs="Arial"/>
              </w:rPr>
              <w:t>Protective</w:t>
            </w:r>
            <w:r w:rsidRPr="000B61B6">
              <w:rPr>
                <w:rFonts w:ascii="Arial" w:hAnsi="Arial" w:cs="Arial"/>
                <w:spacing w:val="-3"/>
              </w:rPr>
              <w:t xml:space="preserve"> </w:t>
            </w:r>
            <w:r w:rsidRPr="000B61B6">
              <w:rPr>
                <w:rFonts w:ascii="Arial" w:hAnsi="Arial" w:cs="Arial"/>
              </w:rPr>
              <w:t>coating</w:t>
            </w:r>
            <w:r w:rsidRPr="000B61B6">
              <w:rPr>
                <w:rFonts w:ascii="Arial" w:hAnsi="Arial" w:cs="Arial"/>
                <w:spacing w:val="-2"/>
              </w:rPr>
              <w:t xml:space="preserve"> </w:t>
            </w:r>
            <w:r w:rsidRPr="000B61B6">
              <w:rPr>
                <w:rFonts w:ascii="Arial" w:hAnsi="Arial" w:cs="Arial"/>
              </w:rPr>
              <w:t>—</w:t>
            </w:r>
            <w:r w:rsidRPr="000B61B6">
              <w:rPr>
                <w:rFonts w:ascii="Arial" w:hAnsi="Arial" w:cs="Arial"/>
                <w:spacing w:val="-2"/>
              </w:rPr>
              <w:t xml:space="preserve"> </w:t>
            </w:r>
            <w:r w:rsidRPr="000B61B6">
              <w:rPr>
                <w:rFonts w:ascii="Arial" w:hAnsi="Arial" w:cs="Arial"/>
              </w:rPr>
              <w:t>application</w:t>
            </w:r>
            <w:r w:rsidRPr="000B61B6">
              <w:rPr>
                <w:rFonts w:ascii="Arial" w:hAnsi="Arial" w:cs="Arial"/>
                <w:spacing w:val="-2"/>
              </w:rPr>
              <w:t xml:space="preserve"> </w:t>
            </w:r>
            <w:r w:rsidRPr="000B61B6">
              <w:rPr>
                <w:rFonts w:ascii="Arial" w:hAnsi="Arial" w:cs="Arial"/>
              </w:rPr>
              <w:t>of</w:t>
            </w:r>
            <w:r w:rsidRPr="000B61B6">
              <w:rPr>
                <w:rFonts w:ascii="Arial" w:hAnsi="Arial" w:cs="Arial"/>
                <w:spacing w:val="-4"/>
              </w:rPr>
              <w:t xml:space="preserve"> </w:t>
            </w:r>
            <w:r w:rsidRPr="000B61B6">
              <w:rPr>
                <w:rFonts w:ascii="Arial" w:hAnsi="Arial" w:cs="Arial"/>
              </w:rPr>
              <w:t>preservative</w:t>
            </w:r>
            <w:r w:rsidRPr="000B61B6">
              <w:rPr>
                <w:rFonts w:ascii="Arial" w:hAnsi="Arial" w:cs="Arial"/>
                <w:spacing w:val="-3"/>
              </w:rPr>
              <w:t xml:space="preserve"> </w:t>
            </w:r>
            <w:r w:rsidRPr="000B61B6">
              <w:rPr>
                <w:rFonts w:ascii="Arial" w:hAnsi="Arial" w:cs="Arial"/>
              </w:rPr>
              <w:t>material</w:t>
            </w:r>
            <w:r w:rsidRPr="000B61B6">
              <w:rPr>
                <w:rFonts w:ascii="Arial" w:hAnsi="Arial" w:cs="Arial"/>
                <w:spacing w:val="-2"/>
              </w:rPr>
              <w:t xml:space="preserve"> </w:t>
            </w:r>
            <w:r w:rsidR="00D21D45">
              <w:rPr>
                <w:rFonts w:ascii="Arial" w:hAnsi="Arial" w:cs="Arial"/>
              </w:rPr>
              <w:t xml:space="preserve">or </w:t>
            </w:r>
            <w:r w:rsidRPr="000B61B6">
              <w:rPr>
                <w:rFonts w:ascii="Arial" w:hAnsi="Arial" w:cs="Arial"/>
              </w:rPr>
              <w:t>coatings where no disassembly of any primary structure or</w:t>
            </w:r>
            <w:r w:rsidRPr="000B61B6">
              <w:rPr>
                <w:rFonts w:ascii="Arial" w:hAnsi="Arial" w:cs="Arial"/>
                <w:spacing w:val="1"/>
              </w:rPr>
              <w:t xml:space="preserve"> </w:t>
            </w:r>
            <w:r w:rsidRPr="000B61B6">
              <w:rPr>
                <w:rFonts w:ascii="Arial" w:hAnsi="Arial" w:cs="Arial"/>
              </w:rPr>
              <w:t>operating</w:t>
            </w:r>
            <w:r w:rsidRPr="000B61B6">
              <w:rPr>
                <w:rFonts w:ascii="Arial" w:hAnsi="Arial" w:cs="Arial"/>
                <w:spacing w:val="-2"/>
              </w:rPr>
              <w:t xml:space="preserve"> </w:t>
            </w:r>
            <w:r w:rsidRPr="000B61B6">
              <w:rPr>
                <w:rFonts w:ascii="Arial" w:hAnsi="Arial" w:cs="Arial"/>
              </w:rPr>
              <w:t>system</w:t>
            </w:r>
            <w:r w:rsidRPr="000B61B6">
              <w:rPr>
                <w:rFonts w:ascii="Arial" w:hAnsi="Arial" w:cs="Arial"/>
                <w:spacing w:val="-1"/>
              </w:rPr>
              <w:t xml:space="preserve"> </w:t>
            </w:r>
            <w:r w:rsidRPr="000B61B6">
              <w:rPr>
                <w:rFonts w:ascii="Arial" w:hAnsi="Arial" w:cs="Arial"/>
              </w:rPr>
              <w:t>is</w:t>
            </w:r>
            <w:r w:rsidRPr="000B61B6">
              <w:rPr>
                <w:rFonts w:ascii="Arial" w:hAnsi="Arial" w:cs="Arial"/>
                <w:spacing w:val="-2"/>
              </w:rPr>
              <w:t xml:space="preserve"> </w:t>
            </w:r>
            <w:r w:rsidRPr="000B61B6">
              <w:rPr>
                <w:rFonts w:ascii="Arial" w:hAnsi="Arial" w:cs="Arial"/>
              </w:rPr>
              <w:t>involved</w:t>
            </w:r>
          </w:p>
        </w:tc>
        <w:tc>
          <w:tcPr>
            <w:tcW w:w="1530" w:type="dxa"/>
          </w:tcPr>
          <w:p w14:paraId="581CB783" w14:textId="77777777" w:rsidR="000B61B6" w:rsidRPr="000B61B6" w:rsidRDefault="000B61B6" w:rsidP="00BE4A83">
            <w:pPr>
              <w:pStyle w:val="TableParagraph"/>
              <w:spacing w:line="242" w:lineRule="exact"/>
              <w:ind w:left="84"/>
              <w:rPr>
                <w:rFonts w:ascii="Arial" w:hAnsi="Arial" w:cs="Arial"/>
              </w:rPr>
            </w:pPr>
            <w:r w:rsidRPr="000B61B6">
              <w:rPr>
                <w:rFonts w:ascii="Arial" w:hAnsi="Arial" w:cs="Arial"/>
              </w:rPr>
              <w:t>Yes</w:t>
            </w:r>
          </w:p>
        </w:tc>
      </w:tr>
      <w:tr w:rsidR="00D21D45" w:rsidRPr="000B61B6" w14:paraId="69567158" w14:textId="77777777" w:rsidTr="0080379D">
        <w:trPr>
          <w:trHeight w:val="447"/>
        </w:trPr>
        <w:tc>
          <w:tcPr>
            <w:tcW w:w="895" w:type="dxa"/>
            <w:vMerge/>
            <w:shd w:val="clear" w:color="auto" w:fill="F2F2F2" w:themeFill="background1" w:themeFillShade="F2"/>
          </w:tcPr>
          <w:p w14:paraId="36D7BD56" w14:textId="77777777" w:rsidR="00D21D45" w:rsidRPr="00093EB0" w:rsidRDefault="00D21D45" w:rsidP="00093EB0">
            <w:pPr>
              <w:jc w:val="center"/>
              <w:rPr>
                <w:rFonts w:ascii="Arial" w:hAnsi="Arial" w:cs="Arial"/>
                <w:b/>
              </w:rPr>
            </w:pPr>
          </w:p>
        </w:tc>
        <w:tc>
          <w:tcPr>
            <w:tcW w:w="2250" w:type="dxa"/>
            <w:vMerge/>
          </w:tcPr>
          <w:p w14:paraId="0D87541A" w14:textId="77777777" w:rsidR="00D21D45" w:rsidRPr="000B61B6" w:rsidRDefault="00D21D45" w:rsidP="00BE4A83">
            <w:pPr>
              <w:rPr>
                <w:rFonts w:ascii="Arial" w:hAnsi="Arial" w:cs="Arial"/>
                <w:sz w:val="2"/>
                <w:szCs w:val="2"/>
              </w:rPr>
            </w:pPr>
          </w:p>
        </w:tc>
        <w:tc>
          <w:tcPr>
            <w:tcW w:w="4860" w:type="dxa"/>
            <w:vMerge w:val="restart"/>
          </w:tcPr>
          <w:p w14:paraId="1BB22457" w14:textId="77777777" w:rsidR="00D21D45" w:rsidRPr="000B61B6" w:rsidRDefault="00D21D45" w:rsidP="00D21D45">
            <w:pPr>
              <w:pStyle w:val="TableParagraph"/>
              <w:ind w:left="84"/>
              <w:jc w:val="both"/>
              <w:rPr>
                <w:rFonts w:ascii="Arial" w:hAnsi="Arial" w:cs="Arial"/>
              </w:rPr>
            </w:pPr>
            <w:r w:rsidRPr="000B61B6">
              <w:rPr>
                <w:rFonts w:ascii="Arial" w:hAnsi="Arial" w:cs="Arial"/>
              </w:rPr>
              <w:t>Surface</w:t>
            </w:r>
            <w:r w:rsidRPr="000B61B6">
              <w:rPr>
                <w:rFonts w:ascii="Arial" w:hAnsi="Arial" w:cs="Arial"/>
                <w:spacing w:val="-4"/>
              </w:rPr>
              <w:t xml:space="preserve"> </w:t>
            </w:r>
            <w:r w:rsidRPr="000B61B6">
              <w:rPr>
                <w:rFonts w:ascii="Arial" w:hAnsi="Arial" w:cs="Arial"/>
              </w:rPr>
              <w:t>finish</w:t>
            </w:r>
            <w:r w:rsidRPr="000B61B6">
              <w:rPr>
                <w:rFonts w:ascii="Arial" w:hAnsi="Arial" w:cs="Arial"/>
                <w:spacing w:val="-1"/>
              </w:rPr>
              <w:t xml:space="preserve"> </w:t>
            </w:r>
            <w:r w:rsidRPr="000B61B6">
              <w:rPr>
                <w:rFonts w:ascii="Arial" w:hAnsi="Arial" w:cs="Arial"/>
              </w:rPr>
              <w:t>— minor</w:t>
            </w:r>
            <w:r w:rsidRPr="000B61B6">
              <w:rPr>
                <w:rFonts w:ascii="Arial" w:hAnsi="Arial" w:cs="Arial"/>
                <w:spacing w:val="-3"/>
              </w:rPr>
              <w:t xml:space="preserve"> </w:t>
            </w:r>
            <w:r w:rsidRPr="000B61B6">
              <w:rPr>
                <w:rFonts w:ascii="Arial" w:hAnsi="Arial" w:cs="Arial"/>
              </w:rPr>
              <w:t>restoration</w:t>
            </w:r>
            <w:r w:rsidRPr="000B61B6">
              <w:rPr>
                <w:rFonts w:ascii="Arial" w:hAnsi="Arial" w:cs="Arial"/>
                <w:spacing w:val="-2"/>
              </w:rPr>
              <w:t xml:space="preserve"> </w:t>
            </w:r>
            <w:r w:rsidRPr="000B61B6">
              <w:rPr>
                <w:rFonts w:ascii="Arial" w:hAnsi="Arial" w:cs="Arial"/>
              </w:rPr>
              <w:t>(where</w:t>
            </w:r>
            <w:r w:rsidRPr="000B61B6">
              <w:rPr>
                <w:rFonts w:ascii="Arial" w:hAnsi="Arial" w:cs="Arial"/>
                <w:spacing w:val="-3"/>
              </w:rPr>
              <w:t xml:space="preserve"> </w:t>
            </w:r>
            <w:r w:rsidRPr="000B61B6">
              <w:rPr>
                <w:rFonts w:ascii="Arial" w:hAnsi="Arial" w:cs="Arial"/>
              </w:rPr>
              <w:t>no</w:t>
            </w:r>
            <w:r w:rsidRPr="000B61B6">
              <w:rPr>
                <w:rFonts w:ascii="Arial" w:hAnsi="Arial" w:cs="Arial"/>
                <w:spacing w:val="-3"/>
              </w:rPr>
              <w:t xml:space="preserve"> </w:t>
            </w:r>
            <w:r w:rsidRPr="000B61B6">
              <w:rPr>
                <w:rFonts w:ascii="Arial" w:hAnsi="Arial" w:cs="Arial"/>
              </w:rPr>
              <w:t>disassembly of</w:t>
            </w:r>
            <w:r w:rsidRPr="000B61B6">
              <w:rPr>
                <w:rFonts w:ascii="Arial" w:hAnsi="Arial" w:cs="Arial"/>
                <w:spacing w:val="-4"/>
              </w:rPr>
              <w:t xml:space="preserve"> </w:t>
            </w:r>
            <w:r>
              <w:rPr>
                <w:rFonts w:ascii="Arial" w:hAnsi="Arial" w:cs="Arial"/>
              </w:rPr>
              <w:t xml:space="preserve">any </w:t>
            </w:r>
            <w:r w:rsidRPr="000B61B6">
              <w:rPr>
                <w:rFonts w:ascii="Arial" w:hAnsi="Arial" w:cs="Arial"/>
              </w:rPr>
              <w:t>primary</w:t>
            </w:r>
            <w:r w:rsidRPr="000B61B6">
              <w:rPr>
                <w:rFonts w:ascii="Arial" w:hAnsi="Arial" w:cs="Arial"/>
                <w:spacing w:val="-3"/>
              </w:rPr>
              <w:t xml:space="preserve"> </w:t>
            </w:r>
            <w:r w:rsidRPr="000B61B6">
              <w:rPr>
                <w:rFonts w:ascii="Arial" w:hAnsi="Arial" w:cs="Arial"/>
              </w:rPr>
              <w:t>structure</w:t>
            </w:r>
            <w:r w:rsidRPr="000B61B6">
              <w:rPr>
                <w:rFonts w:ascii="Arial" w:hAnsi="Arial" w:cs="Arial"/>
                <w:spacing w:val="-3"/>
              </w:rPr>
              <w:t xml:space="preserve"> </w:t>
            </w:r>
            <w:r w:rsidRPr="000B61B6">
              <w:rPr>
                <w:rFonts w:ascii="Arial" w:hAnsi="Arial" w:cs="Arial"/>
              </w:rPr>
              <w:t>or</w:t>
            </w:r>
            <w:r w:rsidRPr="000B61B6">
              <w:rPr>
                <w:rFonts w:ascii="Arial" w:hAnsi="Arial" w:cs="Arial"/>
                <w:spacing w:val="-2"/>
              </w:rPr>
              <w:t xml:space="preserve"> </w:t>
            </w:r>
            <w:r w:rsidRPr="000B61B6">
              <w:rPr>
                <w:rFonts w:ascii="Arial" w:hAnsi="Arial" w:cs="Arial"/>
              </w:rPr>
              <w:t>operating</w:t>
            </w:r>
            <w:r w:rsidRPr="000B61B6">
              <w:rPr>
                <w:rFonts w:ascii="Arial" w:hAnsi="Arial" w:cs="Arial"/>
                <w:spacing w:val="-3"/>
              </w:rPr>
              <w:t xml:space="preserve"> </w:t>
            </w:r>
            <w:r w:rsidRPr="000B61B6">
              <w:rPr>
                <w:rFonts w:ascii="Arial" w:hAnsi="Arial" w:cs="Arial"/>
              </w:rPr>
              <w:t>system</w:t>
            </w:r>
            <w:r w:rsidRPr="000B61B6">
              <w:rPr>
                <w:rFonts w:ascii="Arial" w:hAnsi="Arial" w:cs="Arial"/>
                <w:spacing w:val="-3"/>
              </w:rPr>
              <w:t xml:space="preserve"> </w:t>
            </w:r>
            <w:r w:rsidRPr="000B61B6">
              <w:rPr>
                <w:rFonts w:ascii="Arial" w:hAnsi="Arial" w:cs="Arial"/>
              </w:rPr>
              <w:t>is</w:t>
            </w:r>
            <w:r w:rsidRPr="000B61B6">
              <w:rPr>
                <w:rFonts w:ascii="Arial" w:hAnsi="Arial" w:cs="Arial"/>
                <w:spacing w:val="-4"/>
              </w:rPr>
              <w:t xml:space="preserve"> </w:t>
            </w:r>
            <w:r w:rsidRPr="000B61B6">
              <w:rPr>
                <w:rFonts w:ascii="Arial" w:hAnsi="Arial" w:cs="Arial"/>
              </w:rPr>
              <w:t>involved),</w:t>
            </w:r>
            <w:r w:rsidRPr="000B61B6">
              <w:rPr>
                <w:rFonts w:ascii="Arial" w:hAnsi="Arial" w:cs="Arial"/>
                <w:spacing w:val="-3"/>
              </w:rPr>
              <w:t xml:space="preserve"> </w:t>
            </w:r>
            <w:r w:rsidRPr="000B61B6">
              <w:rPr>
                <w:rFonts w:ascii="Arial" w:hAnsi="Arial" w:cs="Arial"/>
              </w:rPr>
              <w:t>including</w:t>
            </w:r>
            <w:r>
              <w:rPr>
                <w:rFonts w:ascii="Arial" w:hAnsi="Arial" w:cs="Arial"/>
              </w:rPr>
              <w:t xml:space="preserve"> </w:t>
            </w:r>
            <w:r w:rsidRPr="000B61B6">
              <w:rPr>
                <w:rFonts w:ascii="Arial" w:hAnsi="Arial" w:cs="Arial"/>
              </w:rPr>
              <w:t>application of signal coatings or thin foils as well as registration</w:t>
            </w:r>
            <w:r w:rsidRPr="000B61B6">
              <w:rPr>
                <w:rFonts w:ascii="Arial" w:hAnsi="Arial" w:cs="Arial"/>
                <w:spacing w:val="-43"/>
              </w:rPr>
              <w:t xml:space="preserve"> </w:t>
            </w:r>
            <w:r w:rsidRPr="000B61B6">
              <w:rPr>
                <w:rFonts w:ascii="Arial" w:hAnsi="Arial" w:cs="Arial"/>
              </w:rPr>
              <w:t>markings</w:t>
            </w:r>
          </w:p>
        </w:tc>
        <w:tc>
          <w:tcPr>
            <w:tcW w:w="1530" w:type="dxa"/>
          </w:tcPr>
          <w:p w14:paraId="1C28EE9B" w14:textId="77777777" w:rsidR="00D21D45" w:rsidRPr="000B61B6" w:rsidRDefault="00D21D45" w:rsidP="00BE4A83">
            <w:pPr>
              <w:pStyle w:val="TableParagraph"/>
              <w:ind w:left="84"/>
              <w:rPr>
                <w:rFonts w:ascii="Arial" w:hAnsi="Arial" w:cs="Arial"/>
              </w:rPr>
            </w:pPr>
            <w:r w:rsidRPr="000B61B6">
              <w:rPr>
                <w:rFonts w:ascii="Arial" w:hAnsi="Arial" w:cs="Arial"/>
              </w:rPr>
              <w:t>Yes</w:t>
            </w:r>
          </w:p>
        </w:tc>
      </w:tr>
      <w:tr w:rsidR="00D21D45" w:rsidRPr="000B61B6" w14:paraId="5F894027" w14:textId="77777777" w:rsidTr="0080379D">
        <w:trPr>
          <w:trHeight w:val="487"/>
        </w:trPr>
        <w:tc>
          <w:tcPr>
            <w:tcW w:w="895" w:type="dxa"/>
            <w:vMerge w:val="restart"/>
            <w:shd w:val="clear" w:color="auto" w:fill="F2F2F2" w:themeFill="background1" w:themeFillShade="F2"/>
          </w:tcPr>
          <w:p w14:paraId="34473049" w14:textId="77777777" w:rsidR="00D21D45" w:rsidRPr="00093EB0" w:rsidRDefault="00D21D45" w:rsidP="00093EB0">
            <w:pPr>
              <w:jc w:val="center"/>
              <w:rPr>
                <w:rFonts w:ascii="Arial" w:hAnsi="Arial" w:cs="Arial"/>
                <w:b/>
              </w:rPr>
            </w:pPr>
          </w:p>
        </w:tc>
        <w:tc>
          <w:tcPr>
            <w:tcW w:w="2250" w:type="dxa"/>
            <w:vMerge w:val="restart"/>
          </w:tcPr>
          <w:p w14:paraId="2A1428E7" w14:textId="77777777" w:rsidR="00D21D45" w:rsidRPr="000B61B6" w:rsidRDefault="00D21D45" w:rsidP="00BE4A83">
            <w:pPr>
              <w:pStyle w:val="TableParagraph"/>
              <w:ind w:left="0"/>
              <w:rPr>
                <w:rFonts w:ascii="Arial" w:hAnsi="Arial" w:cs="Arial"/>
                <w:sz w:val="18"/>
              </w:rPr>
            </w:pPr>
          </w:p>
        </w:tc>
        <w:tc>
          <w:tcPr>
            <w:tcW w:w="4860" w:type="dxa"/>
            <w:vMerge/>
          </w:tcPr>
          <w:p w14:paraId="6271EB3A" w14:textId="77777777" w:rsidR="00D21D45" w:rsidRPr="000B61B6" w:rsidRDefault="00D21D45" w:rsidP="00D21D45">
            <w:pPr>
              <w:pStyle w:val="TableParagraph"/>
              <w:spacing w:line="240" w:lineRule="atLeast"/>
              <w:ind w:left="84" w:right="371"/>
              <w:jc w:val="both"/>
              <w:rPr>
                <w:rFonts w:ascii="Arial" w:hAnsi="Arial" w:cs="Arial"/>
              </w:rPr>
            </w:pPr>
          </w:p>
        </w:tc>
        <w:tc>
          <w:tcPr>
            <w:tcW w:w="1530" w:type="dxa"/>
          </w:tcPr>
          <w:p w14:paraId="4759EA95" w14:textId="77777777" w:rsidR="00D21D45" w:rsidRPr="000B61B6" w:rsidRDefault="00D21D45" w:rsidP="00BE4A83">
            <w:pPr>
              <w:pStyle w:val="TableParagraph"/>
              <w:ind w:left="0"/>
              <w:rPr>
                <w:rFonts w:ascii="Arial" w:hAnsi="Arial" w:cs="Arial"/>
                <w:sz w:val="18"/>
              </w:rPr>
            </w:pPr>
          </w:p>
        </w:tc>
      </w:tr>
      <w:tr w:rsidR="000B61B6" w:rsidRPr="000B61B6" w14:paraId="376FF164" w14:textId="77777777" w:rsidTr="0080379D">
        <w:trPr>
          <w:trHeight w:val="487"/>
        </w:trPr>
        <w:tc>
          <w:tcPr>
            <w:tcW w:w="895" w:type="dxa"/>
            <w:vMerge/>
            <w:shd w:val="clear" w:color="auto" w:fill="F2F2F2" w:themeFill="background1" w:themeFillShade="F2"/>
          </w:tcPr>
          <w:p w14:paraId="2F6EF2D5" w14:textId="77777777" w:rsidR="000B61B6" w:rsidRPr="00093EB0" w:rsidRDefault="000B61B6" w:rsidP="00093EB0">
            <w:pPr>
              <w:jc w:val="center"/>
              <w:rPr>
                <w:rFonts w:ascii="Arial" w:hAnsi="Arial" w:cs="Arial"/>
                <w:b/>
              </w:rPr>
            </w:pPr>
          </w:p>
        </w:tc>
        <w:tc>
          <w:tcPr>
            <w:tcW w:w="2250" w:type="dxa"/>
            <w:vMerge/>
          </w:tcPr>
          <w:p w14:paraId="4E66A6FA" w14:textId="77777777" w:rsidR="000B61B6" w:rsidRPr="000B61B6" w:rsidRDefault="000B61B6" w:rsidP="00BE4A83">
            <w:pPr>
              <w:rPr>
                <w:rFonts w:ascii="Arial" w:hAnsi="Arial" w:cs="Arial"/>
                <w:sz w:val="2"/>
                <w:szCs w:val="2"/>
              </w:rPr>
            </w:pPr>
          </w:p>
        </w:tc>
        <w:tc>
          <w:tcPr>
            <w:tcW w:w="4860" w:type="dxa"/>
          </w:tcPr>
          <w:p w14:paraId="5320973E" w14:textId="77777777" w:rsidR="000B61B6" w:rsidRPr="000B61B6" w:rsidRDefault="000B61B6" w:rsidP="00D21D45">
            <w:pPr>
              <w:pStyle w:val="TableParagraph"/>
              <w:ind w:left="84"/>
              <w:jc w:val="both"/>
              <w:rPr>
                <w:rFonts w:ascii="Arial" w:hAnsi="Arial" w:cs="Arial"/>
              </w:rPr>
            </w:pPr>
            <w:r w:rsidRPr="000B61B6">
              <w:rPr>
                <w:rFonts w:ascii="Arial" w:hAnsi="Arial" w:cs="Arial"/>
              </w:rPr>
              <w:t>Fairings</w:t>
            </w:r>
            <w:r w:rsidRPr="000B61B6">
              <w:rPr>
                <w:rFonts w:ascii="Arial" w:hAnsi="Arial" w:cs="Arial"/>
                <w:spacing w:val="-3"/>
              </w:rPr>
              <w:t xml:space="preserve"> </w:t>
            </w:r>
            <w:r w:rsidRPr="000B61B6">
              <w:rPr>
                <w:rFonts w:ascii="Arial" w:hAnsi="Arial" w:cs="Arial"/>
              </w:rPr>
              <w:t>— simple</w:t>
            </w:r>
            <w:r w:rsidRPr="000B61B6">
              <w:rPr>
                <w:rFonts w:ascii="Arial" w:hAnsi="Arial" w:cs="Arial"/>
                <w:spacing w:val="-5"/>
              </w:rPr>
              <w:t xml:space="preserve"> </w:t>
            </w:r>
            <w:r w:rsidRPr="000B61B6">
              <w:rPr>
                <w:rFonts w:ascii="Arial" w:hAnsi="Arial" w:cs="Arial"/>
              </w:rPr>
              <w:t>repairs</w:t>
            </w:r>
            <w:r w:rsidRPr="000B61B6">
              <w:rPr>
                <w:rFonts w:ascii="Arial" w:hAnsi="Arial" w:cs="Arial"/>
                <w:spacing w:val="-4"/>
              </w:rPr>
              <w:t xml:space="preserve"> </w:t>
            </w:r>
            <w:r w:rsidRPr="000B61B6">
              <w:rPr>
                <w:rFonts w:ascii="Arial" w:hAnsi="Arial" w:cs="Arial"/>
              </w:rPr>
              <w:t>to</w:t>
            </w:r>
            <w:r w:rsidRPr="000B61B6">
              <w:rPr>
                <w:rFonts w:ascii="Arial" w:hAnsi="Arial" w:cs="Arial"/>
                <w:spacing w:val="-2"/>
              </w:rPr>
              <w:t xml:space="preserve"> </w:t>
            </w:r>
            <w:r w:rsidRPr="000B61B6">
              <w:rPr>
                <w:rFonts w:ascii="Arial" w:hAnsi="Arial" w:cs="Arial"/>
              </w:rPr>
              <w:t>non-structural</w:t>
            </w:r>
            <w:r w:rsidRPr="000B61B6">
              <w:rPr>
                <w:rFonts w:ascii="Arial" w:hAnsi="Arial" w:cs="Arial"/>
                <w:spacing w:val="-3"/>
              </w:rPr>
              <w:t xml:space="preserve"> </w:t>
            </w:r>
            <w:r w:rsidRPr="000B61B6">
              <w:rPr>
                <w:rFonts w:ascii="Arial" w:hAnsi="Arial" w:cs="Arial"/>
              </w:rPr>
              <w:t>fairings</w:t>
            </w:r>
            <w:r w:rsidRPr="000B61B6">
              <w:rPr>
                <w:rFonts w:ascii="Arial" w:hAnsi="Arial" w:cs="Arial"/>
                <w:spacing w:val="-4"/>
              </w:rPr>
              <w:t xml:space="preserve"> </w:t>
            </w:r>
            <w:r w:rsidRPr="000B61B6">
              <w:rPr>
                <w:rFonts w:ascii="Arial" w:hAnsi="Arial" w:cs="Arial"/>
              </w:rPr>
              <w:t>and</w:t>
            </w:r>
            <w:r w:rsidRPr="000B61B6">
              <w:rPr>
                <w:rFonts w:ascii="Arial" w:hAnsi="Arial" w:cs="Arial"/>
                <w:spacing w:val="-2"/>
              </w:rPr>
              <w:t xml:space="preserve"> </w:t>
            </w:r>
            <w:r w:rsidR="00D21D45">
              <w:rPr>
                <w:rFonts w:ascii="Arial" w:hAnsi="Arial" w:cs="Arial"/>
              </w:rPr>
              <w:t xml:space="preserve">cover </w:t>
            </w:r>
            <w:r w:rsidRPr="000B61B6">
              <w:rPr>
                <w:rFonts w:ascii="Arial" w:hAnsi="Arial" w:cs="Arial"/>
              </w:rPr>
              <w:t>plates</w:t>
            </w:r>
            <w:r w:rsidRPr="000B61B6">
              <w:rPr>
                <w:rFonts w:ascii="Arial" w:hAnsi="Arial" w:cs="Arial"/>
                <w:spacing w:val="-4"/>
              </w:rPr>
              <w:t xml:space="preserve"> </w:t>
            </w:r>
            <w:r w:rsidRPr="000B61B6">
              <w:rPr>
                <w:rFonts w:ascii="Arial" w:hAnsi="Arial" w:cs="Arial"/>
              </w:rPr>
              <w:t>that</w:t>
            </w:r>
            <w:r w:rsidRPr="000B61B6">
              <w:rPr>
                <w:rFonts w:ascii="Arial" w:hAnsi="Arial" w:cs="Arial"/>
                <w:spacing w:val="-1"/>
              </w:rPr>
              <w:t xml:space="preserve"> </w:t>
            </w:r>
            <w:r w:rsidRPr="000B61B6">
              <w:rPr>
                <w:rFonts w:ascii="Arial" w:hAnsi="Arial" w:cs="Arial"/>
              </w:rPr>
              <w:t>do</w:t>
            </w:r>
            <w:r w:rsidRPr="000B61B6">
              <w:rPr>
                <w:rFonts w:ascii="Arial" w:hAnsi="Arial" w:cs="Arial"/>
                <w:spacing w:val="-1"/>
              </w:rPr>
              <w:t xml:space="preserve"> </w:t>
            </w:r>
            <w:r w:rsidRPr="000B61B6">
              <w:rPr>
                <w:rFonts w:ascii="Arial" w:hAnsi="Arial" w:cs="Arial"/>
              </w:rPr>
              <w:t>not</w:t>
            </w:r>
            <w:r w:rsidRPr="000B61B6">
              <w:rPr>
                <w:rFonts w:ascii="Arial" w:hAnsi="Arial" w:cs="Arial"/>
                <w:spacing w:val="-1"/>
              </w:rPr>
              <w:t xml:space="preserve"> </w:t>
            </w:r>
            <w:r w:rsidRPr="000B61B6">
              <w:rPr>
                <w:rFonts w:ascii="Arial" w:hAnsi="Arial" w:cs="Arial"/>
              </w:rPr>
              <w:t>change</w:t>
            </w:r>
            <w:r w:rsidRPr="000B61B6">
              <w:rPr>
                <w:rFonts w:ascii="Arial" w:hAnsi="Arial" w:cs="Arial"/>
                <w:spacing w:val="-3"/>
              </w:rPr>
              <w:t xml:space="preserve"> </w:t>
            </w:r>
            <w:r w:rsidRPr="000B61B6">
              <w:rPr>
                <w:rFonts w:ascii="Arial" w:hAnsi="Arial" w:cs="Arial"/>
              </w:rPr>
              <w:t>the</w:t>
            </w:r>
            <w:r w:rsidRPr="000B61B6">
              <w:rPr>
                <w:rFonts w:ascii="Arial" w:hAnsi="Arial" w:cs="Arial"/>
                <w:spacing w:val="-4"/>
              </w:rPr>
              <w:t xml:space="preserve"> </w:t>
            </w:r>
            <w:r w:rsidRPr="000B61B6">
              <w:rPr>
                <w:rFonts w:ascii="Arial" w:hAnsi="Arial" w:cs="Arial"/>
              </w:rPr>
              <w:t>contour</w:t>
            </w:r>
          </w:p>
        </w:tc>
        <w:tc>
          <w:tcPr>
            <w:tcW w:w="1530" w:type="dxa"/>
          </w:tcPr>
          <w:p w14:paraId="2456F7DF" w14:textId="77777777" w:rsidR="000B61B6" w:rsidRPr="000B61B6" w:rsidRDefault="000B61B6" w:rsidP="00BE4A83">
            <w:pPr>
              <w:pStyle w:val="TableParagraph"/>
              <w:ind w:left="84"/>
              <w:rPr>
                <w:rFonts w:ascii="Arial" w:hAnsi="Arial" w:cs="Arial"/>
              </w:rPr>
            </w:pPr>
            <w:r w:rsidRPr="000B61B6">
              <w:rPr>
                <w:rFonts w:ascii="Arial" w:hAnsi="Arial" w:cs="Arial"/>
              </w:rPr>
              <w:t>Yes</w:t>
            </w:r>
          </w:p>
        </w:tc>
      </w:tr>
      <w:tr w:rsidR="000B61B6" w:rsidRPr="000B61B6" w14:paraId="1B0378E2" w14:textId="77777777" w:rsidTr="0080379D">
        <w:trPr>
          <w:trHeight w:val="490"/>
        </w:trPr>
        <w:tc>
          <w:tcPr>
            <w:tcW w:w="895" w:type="dxa"/>
            <w:shd w:val="clear" w:color="auto" w:fill="F2F2F2" w:themeFill="background1" w:themeFillShade="F2"/>
          </w:tcPr>
          <w:p w14:paraId="5C8C58D3" w14:textId="77777777" w:rsidR="000B61B6" w:rsidRPr="000B61B6" w:rsidRDefault="000B61B6" w:rsidP="00093EB0">
            <w:pPr>
              <w:jc w:val="center"/>
              <w:rPr>
                <w:rFonts w:ascii="Arial" w:hAnsi="Arial" w:cs="Arial"/>
                <w:b/>
              </w:rPr>
            </w:pPr>
            <w:r w:rsidRPr="000B61B6">
              <w:rPr>
                <w:rFonts w:ascii="Arial" w:hAnsi="Arial" w:cs="Arial"/>
                <w:b/>
              </w:rPr>
              <w:t>52</w:t>
            </w:r>
          </w:p>
        </w:tc>
        <w:tc>
          <w:tcPr>
            <w:tcW w:w="2250" w:type="dxa"/>
          </w:tcPr>
          <w:p w14:paraId="0F388C25" w14:textId="77777777" w:rsidR="000B61B6" w:rsidRPr="000B61B6" w:rsidRDefault="000B61B6" w:rsidP="00BE4A83">
            <w:pPr>
              <w:pStyle w:val="TableParagraph"/>
              <w:spacing w:line="240" w:lineRule="atLeast"/>
              <w:ind w:right="731"/>
              <w:rPr>
                <w:rFonts w:ascii="Arial" w:hAnsi="Arial" w:cs="Arial"/>
              </w:rPr>
            </w:pPr>
            <w:r w:rsidRPr="000B61B6">
              <w:rPr>
                <w:rFonts w:ascii="Arial" w:hAnsi="Arial" w:cs="Arial"/>
                <w:spacing w:val="-1"/>
              </w:rPr>
              <w:t xml:space="preserve">Doors </w:t>
            </w:r>
            <w:r w:rsidRPr="000B61B6">
              <w:rPr>
                <w:rFonts w:ascii="Arial" w:hAnsi="Arial" w:cs="Arial"/>
              </w:rPr>
              <w:t>and</w:t>
            </w:r>
            <w:r w:rsidRPr="000B61B6">
              <w:rPr>
                <w:rFonts w:ascii="Arial" w:hAnsi="Arial" w:cs="Arial"/>
                <w:spacing w:val="-43"/>
              </w:rPr>
              <w:t xml:space="preserve"> </w:t>
            </w:r>
            <w:r w:rsidRPr="000B61B6">
              <w:rPr>
                <w:rFonts w:ascii="Arial" w:hAnsi="Arial" w:cs="Arial"/>
              </w:rPr>
              <w:t>hatches</w:t>
            </w:r>
          </w:p>
        </w:tc>
        <w:tc>
          <w:tcPr>
            <w:tcW w:w="4860" w:type="dxa"/>
          </w:tcPr>
          <w:p w14:paraId="076513BA" w14:textId="77777777" w:rsidR="000B61B6" w:rsidRPr="000B61B6" w:rsidRDefault="000B61B6" w:rsidP="00D21D45">
            <w:pPr>
              <w:pStyle w:val="TableParagraph"/>
              <w:ind w:left="84"/>
              <w:jc w:val="both"/>
              <w:rPr>
                <w:rFonts w:ascii="Arial" w:hAnsi="Arial" w:cs="Arial"/>
              </w:rPr>
            </w:pPr>
            <w:r w:rsidRPr="000B61B6">
              <w:rPr>
                <w:rFonts w:ascii="Arial" w:hAnsi="Arial" w:cs="Arial"/>
              </w:rPr>
              <w:t>Doors</w:t>
            </w:r>
            <w:r w:rsidRPr="000B61B6">
              <w:rPr>
                <w:rFonts w:ascii="Arial" w:hAnsi="Arial" w:cs="Arial"/>
                <w:spacing w:val="-3"/>
              </w:rPr>
              <w:t xml:space="preserve"> </w:t>
            </w:r>
            <w:r w:rsidRPr="000B61B6">
              <w:rPr>
                <w:rFonts w:ascii="Arial" w:hAnsi="Arial" w:cs="Arial"/>
              </w:rPr>
              <w:t>—</w:t>
            </w:r>
            <w:r w:rsidRPr="000B61B6">
              <w:rPr>
                <w:rFonts w:ascii="Arial" w:hAnsi="Arial" w:cs="Arial"/>
                <w:spacing w:val="-2"/>
              </w:rPr>
              <w:t xml:space="preserve"> </w:t>
            </w:r>
            <w:r w:rsidRPr="000B61B6">
              <w:rPr>
                <w:rFonts w:ascii="Arial" w:hAnsi="Arial" w:cs="Arial"/>
              </w:rPr>
              <w:t>removal</w:t>
            </w:r>
            <w:r w:rsidRPr="000B61B6">
              <w:rPr>
                <w:rFonts w:ascii="Arial" w:hAnsi="Arial" w:cs="Arial"/>
                <w:spacing w:val="-3"/>
              </w:rPr>
              <w:t xml:space="preserve"> </w:t>
            </w:r>
            <w:r w:rsidRPr="000B61B6">
              <w:rPr>
                <w:rFonts w:ascii="Arial" w:hAnsi="Arial" w:cs="Arial"/>
              </w:rPr>
              <w:t>and</w:t>
            </w:r>
            <w:r w:rsidRPr="000B61B6">
              <w:rPr>
                <w:rFonts w:ascii="Arial" w:hAnsi="Arial" w:cs="Arial"/>
                <w:spacing w:val="-2"/>
              </w:rPr>
              <w:t xml:space="preserve"> </w:t>
            </w:r>
            <w:r w:rsidRPr="000B61B6">
              <w:rPr>
                <w:rFonts w:ascii="Arial" w:hAnsi="Arial" w:cs="Arial"/>
              </w:rPr>
              <w:t>reinstallation</w:t>
            </w:r>
          </w:p>
        </w:tc>
        <w:tc>
          <w:tcPr>
            <w:tcW w:w="1530" w:type="dxa"/>
          </w:tcPr>
          <w:p w14:paraId="4BB28775" w14:textId="77777777" w:rsidR="000B61B6" w:rsidRPr="000B61B6" w:rsidRDefault="000B61B6" w:rsidP="00BE4A83">
            <w:pPr>
              <w:pStyle w:val="TableParagraph"/>
              <w:ind w:left="84"/>
              <w:rPr>
                <w:rFonts w:ascii="Arial" w:hAnsi="Arial" w:cs="Arial"/>
              </w:rPr>
            </w:pPr>
            <w:r w:rsidRPr="000B61B6">
              <w:rPr>
                <w:rFonts w:ascii="Arial" w:hAnsi="Arial" w:cs="Arial"/>
              </w:rPr>
              <w:t>Yes</w:t>
            </w:r>
          </w:p>
        </w:tc>
      </w:tr>
      <w:tr w:rsidR="000B61B6" w:rsidRPr="000B61B6" w14:paraId="096F78F6" w14:textId="77777777" w:rsidTr="0080379D">
        <w:trPr>
          <w:trHeight w:val="732"/>
        </w:trPr>
        <w:tc>
          <w:tcPr>
            <w:tcW w:w="895" w:type="dxa"/>
            <w:shd w:val="clear" w:color="auto" w:fill="F2F2F2" w:themeFill="background1" w:themeFillShade="F2"/>
          </w:tcPr>
          <w:p w14:paraId="6F4146B9" w14:textId="77777777" w:rsidR="000B61B6" w:rsidRPr="000B61B6" w:rsidRDefault="000B61B6" w:rsidP="00093EB0">
            <w:pPr>
              <w:jc w:val="center"/>
              <w:rPr>
                <w:rFonts w:ascii="Arial" w:hAnsi="Arial" w:cs="Arial"/>
                <w:b/>
              </w:rPr>
            </w:pPr>
            <w:r w:rsidRPr="000B61B6">
              <w:rPr>
                <w:rFonts w:ascii="Arial" w:hAnsi="Arial" w:cs="Arial"/>
                <w:b/>
              </w:rPr>
              <w:t>53</w:t>
            </w:r>
          </w:p>
        </w:tc>
        <w:tc>
          <w:tcPr>
            <w:tcW w:w="2250" w:type="dxa"/>
          </w:tcPr>
          <w:p w14:paraId="36431221" w14:textId="77777777" w:rsidR="000B61B6" w:rsidRPr="000B61B6" w:rsidRDefault="000B61B6" w:rsidP="00BE4A83">
            <w:pPr>
              <w:pStyle w:val="TableParagraph"/>
              <w:spacing w:line="242" w:lineRule="exact"/>
              <w:rPr>
                <w:rFonts w:ascii="Arial" w:hAnsi="Arial" w:cs="Arial"/>
              </w:rPr>
            </w:pPr>
            <w:r w:rsidRPr="000B61B6">
              <w:rPr>
                <w:rFonts w:ascii="Arial" w:hAnsi="Arial" w:cs="Arial"/>
              </w:rPr>
              <w:t>Fuselage</w:t>
            </w:r>
          </w:p>
        </w:tc>
        <w:tc>
          <w:tcPr>
            <w:tcW w:w="4860" w:type="dxa"/>
          </w:tcPr>
          <w:p w14:paraId="461B5D9F" w14:textId="77777777" w:rsidR="000B61B6" w:rsidRPr="000B61B6" w:rsidRDefault="000B61B6" w:rsidP="00D21D45">
            <w:pPr>
              <w:pStyle w:val="TableParagraph"/>
              <w:spacing w:line="242" w:lineRule="exact"/>
              <w:ind w:left="84"/>
              <w:jc w:val="both"/>
              <w:rPr>
                <w:rFonts w:ascii="Arial" w:hAnsi="Arial" w:cs="Arial"/>
              </w:rPr>
            </w:pPr>
            <w:r w:rsidRPr="000B61B6">
              <w:rPr>
                <w:rFonts w:ascii="Arial" w:hAnsi="Arial" w:cs="Arial"/>
              </w:rPr>
              <w:t>Upholstery,</w:t>
            </w:r>
            <w:r w:rsidRPr="000B61B6">
              <w:rPr>
                <w:rFonts w:ascii="Arial" w:hAnsi="Arial" w:cs="Arial"/>
                <w:spacing w:val="-2"/>
              </w:rPr>
              <w:t xml:space="preserve"> </w:t>
            </w:r>
            <w:r w:rsidRPr="000B61B6">
              <w:rPr>
                <w:rFonts w:ascii="Arial" w:hAnsi="Arial" w:cs="Arial"/>
              </w:rPr>
              <w:t>furnishing</w:t>
            </w:r>
            <w:r w:rsidRPr="000B61B6">
              <w:rPr>
                <w:rFonts w:ascii="Arial" w:hAnsi="Arial" w:cs="Arial"/>
                <w:spacing w:val="2"/>
              </w:rPr>
              <w:t xml:space="preserve"> </w:t>
            </w:r>
            <w:r w:rsidRPr="000B61B6">
              <w:rPr>
                <w:rFonts w:ascii="Arial" w:hAnsi="Arial" w:cs="Arial"/>
              </w:rPr>
              <w:t>—</w:t>
            </w:r>
            <w:r w:rsidRPr="000B61B6">
              <w:rPr>
                <w:rFonts w:ascii="Arial" w:hAnsi="Arial" w:cs="Arial"/>
                <w:spacing w:val="-2"/>
              </w:rPr>
              <w:t xml:space="preserve"> </w:t>
            </w:r>
            <w:r w:rsidRPr="000B61B6">
              <w:rPr>
                <w:rFonts w:ascii="Arial" w:hAnsi="Arial" w:cs="Arial"/>
              </w:rPr>
              <w:t>minor</w:t>
            </w:r>
            <w:r w:rsidRPr="000B61B6">
              <w:rPr>
                <w:rFonts w:ascii="Arial" w:hAnsi="Arial" w:cs="Arial"/>
                <w:spacing w:val="-2"/>
              </w:rPr>
              <w:t xml:space="preserve"> </w:t>
            </w:r>
            <w:r w:rsidRPr="000B61B6">
              <w:rPr>
                <w:rFonts w:ascii="Arial" w:hAnsi="Arial" w:cs="Arial"/>
              </w:rPr>
              <w:t>repairs</w:t>
            </w:r>
            <w:r w:rsidRPr="000B61B6">
              <w:rPr>
                <w:rFonts w:ascii="Arial" w:hAnsi="Arial" w:cs="Arial"/>
                <w:spacing w:val="-3"/>
              </w:rPr>
              <w:t xml:space="preserve"> </w:t>
            </w:r>
            <w:r w:rsidRPr="000B61B6">
              <w:rPr>
                <w:rFonts w:ascii="Arial" w:hAnsi="Arial" w:cs="Arial"/>
              </w:rPr>
              <w:t>that</w:t>
            </w:r>
            <w:r w:rsidRPr="000B61B6">
              <w:rPr>
                <w:rFonts w:ascii="Arial" w:hAnsi="Arial" w:cs="Arial"/>
                <w:spacing w:val="-2"/>
              </w:rPr>
              <w:t xml:space="preserve"> </w:t>
            </w:r>
            <w:r w:rsidRPr="000B61B6">
              <w:rPr>
                <w:rFonts w:ascii="Arial" w:hAnsi="Arial" w:cs="Arial"/>
              </w:rPr>
              <w:t>do</w:t>
            </w:r>
            <w:r w:rsidRPr="000B61B6">
              <w:rPr>
                <w:rFonts w:ascii="Arial" w:hAnsi="Arial" w:cs="Arial"/>
                <w:spacing w:val="-2"/>
              </w:rPr>
              <w:t xml:space="preserve"> </w:t>
            </w:r>
            <w:r w:rsidRPr="000B61B6">
              <w:rPr>
                <w:rFonts w:ascii="Arial" w:hAnsi="Arial" w:cs="Arial"/>
              </w:rPr>
              <w:t>not</w:t>
            </w:r>
            <w:r w:rsidRPr="000B61B6">
              <w:rPr>
                <w:rFonts w:ascii="Arial" w:hAnsi="Arial" w:cs="Arial"/>
                <w:spacing w:val="-1"/>
              </w:rPr>
              <w:t xml:space="preserve"> </w:t>
            </w:r>
            <w:r w:rsidR="00D21D45">
              <w:rPr>
                <w:rFonts w:ascii="Arial" w:hAnsi="Arial" w:cs="Arial"/>
              </w:rPr>
              <w:t xml:space="preserve">require </w:t>
            </w:r>
            <w:r w:rsidRPr="000B61B6">
              <w:rPr>
                <w:rFonts w:ascii="Arial" w:hAnsi="Arial" w:cs="Arial"/>
              </w:rPr>
              <w:t>disassembly</w:t>
            </w:r>
            <w:r w:rsidRPr="000B61B6">
              <w:rPr>
                <w:rFonts w:ascii="Arial" w:hAnsi="Arial" w:cs="Arial"/>
                <w:spacing w:val="-4"/>
              </w:rPr>
              <w:t xml:space="preserve"> </w:t>
            </w:r>
            <w:r w:rsidRPr="000B61B6">
              <w:rPr>
                <w:rFonts w:ascii="Arial" w:hAnsi="Arial" w:cs="Arial"/>
              </w:rPr>
              <w:t>of</w:t>
            </w:r>
            <w:r w:rsidRPr="000B61B6">
              <w:rPr>
                <w:rFonts w:ascii="Arial" w:hAnsi="Arial" w:cs="Arial"/>
                <w:spacing w:val="-5"/>
              </w:rPr>
              <w:t xml:space="preserve"> </w:t>
            </w:r>
            <w:r w:rsidRPr="000B61B6">
              <w:rPr>
                <w:rFonts w:ascii="Arial" w:hAnsi="Arial" w:cs="Arial"/>
              </w:rPr>
              <w:t>primary</w:t>
            </w:r>
            <w:r w:rsidRPr="000B61B6">
              <w:rPr>
                <w:rFonts w:ascii="Arial" w:hAnsi="Arial" w:cs="Arial"/>
                <w:spacing w:val="-3"/>
              </w:rPr>
              <w:t xml:space="preserve"> </w:t>
            </w:r>
            <w:r w:rsidRPr="000B61B6">
              <w:rPr>
                <w:rFonts w:ascii="Arial" w:hAnsi="Arial" w:cs="Arial"/>
              </w:rPr>
              <w:t>structure</w:t>
            </w:r>
            <w:r w:rsidRPr="000B61B6">
              <w:rPr>
                <w:rFonts w:ascii="Arial" w:hAnsi="Arial" w:cs="Arial"/>
                <w:spacing w:val="-4"/>
              </w:rPr>
              <w:t xml:space="preserve"> </w:t>
            </w:r>
            <w:r w:rsidRPr="000B61B6">
              <w:rPr>
                <w:rFonts w:ascii="Arial" w:hAnsi="Arial" w:cs="Arial"/>
              </w:rPr>
              <w:t>or</w:t>
            </w:r>
            <w:r w:rsidRPr="000B61B6">
              <w:rPr>
                <w:rFonts w:ascii="Arial" w:hAnsi="Arial" w:cs="Arial"/>
                <w:spacing w:val="-4"/>
              </w:rPr>
              <w:t xml:space="preserve"> </w:t>
            </w:r>
            <w:r w:rsidRPr="000B61B6">
              <w:rPr>
                <w:rFonts w:ascii="Arial" w:hAnsi="Arial" w:cs="Arial"/>
              </w:rPr>
              <w:t>operating</w:t>
            </w:r>
            <w:r w:rsidRPr="000B61B6">
              <w:rPr>
                <w:rFonts w:ascii="Arial" w:hAnsi="Arial" w:cs="Arial"/>
                <w:spacing w:val="-4"/>
              </w:rPr>
              <w:t xml:space="preserve"> </w:t>
            </w:r>
            <w:r w:rsidRPr="000B61B6">
              <w:rPr>
                <w:rFonts w:ascii="Arial" w:hAnsi="Arial" w:cs="Arial"/>
              </w:rPr>
              <w:t>systems,</w:t>
            </w:r>
            <w:r w:rsidRPr="000B61B6">
              <w:rPr>
                <w:rFonts w:ascii="Arial" w:hAnsi="Arial" w:cs="Arial"/>
                <w:spacing w:val="-3"/>
              </w:rPr>
              <w:t xml:space="preserve"> </w:t>
            </w:r>
            <w:r w:rsidRPr="000B61B6">
              <w:rPr>
                <w:rFonts w:ascii="Arial" w:hAnsi="Arial" w:cs="Arial"/>
              </w:rPr>
              <w:t>or</w:t>
            </w:r>
            <w:r w:rsidRPr="000B61B6">
              <w:rPr>
                <w:rFonts w:ascii="Arial" w:hAnsi="Arial" w:cs="Arial"/>
                <w:spacing w:val="-42"/>
              </w:rPr>
              <w:t xml:space="preserve"> </w:t>
            </w:r>
            <w:r w:rsidRPr="000B61B6">
              <w:rPr>
                <w:rFonts w:ascii="Arial" w:hAnsi="Arial" w:cs="Arial"/>
              </w:rPr>
              <w:t>interfere</w:t>
            </w:r>
            <w:r w:rsidRPr="000B61B6">
              <w:rPr>
                <w:rFonts w:ascii="Arial" w:hAnsi="Arial" w:cs="Arial"/>
                <w:spacing w:val="-2"/>
              </w:rPr>
              <w:t xml:space="preserve"> </w:t>
            </w:r>
            <w:r w:rsidRPr="000B61B6">
              <w:rPr>
                <w:rFonts w:ascii="Arial" w:hAnsi="Arial" w:cs="Arial"/>
              </w:rPr>
              <w:t>with control systems</w:t>
            </w:r>
          </w:p>
        </w:tc>
        <w:tc>
          <w:tcPr>
            <w:tcW w:w="1530" w:type="dxa"/>
          </w:tcPr>
          <w:p w14:paraId="22E36A3D" w14:textId="77777777" w:rsidR="000B61B6" w:rsidRPr="000B61B6" w:rsidRDefault="000B61B6" w:rsidP="00BE4A83">
            <w:pPr>
              <w:pStyle w:val="TableParagraph"/>
              <w:spacing w:line="242" w:lineRule="exact"/>
              <w:ind w:left="84"/>
              <w:rPr>
                <w:rFonts w:ascii="Arial" w:hAnsi="Arial" w:cs="Arial"/>
              </w:rPr>
            </w:pPr>
            <w:r w:rsidRPr="000B61B6">
              <w:rPr>
                <w:rFonts w:ascii="Arial" w:hAnsi="Arial" w:cs="Arial"/>
              </w:rPr>
              <w:t>Yes</w:t>
            </w:r>
          </w:p>
        </w:tc>
      </w:tr>
      <w:tr w:rsidR="000B61B6" w:rsidRPr="000B61B6" w14:paraId="6608E3DF" w14:textId="77777777" w:rsidTr="0080379D">
        <w:trPr>
          <w:trHeight w:val="487"/>
        </w:trPr>
        <w:tc>
          <w:tcPr>
            <w:tcW w:w="895" w:type="dxa"/>
            <w:shd w:val="clear" w:color="auto" w:fill="F2F2F2" w:themeFill="background1" w:themeFillShade="F2"/>
          </w:tcPr>
          <w:p w14:paraId="14801DD5" w14:textId="77777777" w:rsidR="000B61B6" w:rsidRPr="000B61B6" w:rsidRDefault="000B61B6" w:rsidP="00093EB0">
            <w:pPr>
              <w:jc w:val="center"/>
              <w:rPr>
                <w:rFonts w:ascii="Arial" w:hAnsi="Arial" w:cs="Arial"/>
                <w:b/>
              </w:rPr>
            </w:pPr>
            <w:r w:rsidRPr="000B61B6">
              <w:rPr>
                <w:rFonts w:ascii="Arial" w:hAnsi="Arial" w:cs="Arial"/>
                <w:b/>
              </w:rPr>
              <w:t>56</w:t>
            </w:r>
          </w:p>
        </w:tc>
        <w:tc>
          <w:tcPr>
            <w:tcW w:w="2250" w:type="dxa"/>
          </w:tcPr>
          <w:p w14:paraId="12052B28" w14:textId="77777777" w:rsidR="000B61B6" w:rsidRPr="000B61B6" w:rsidRDefault="000B61B6" w:rsidP="00BE4A83">
            <w:pPr>
              <w:pStyle w:val="TableParagraph"/>
              <w:spacing w:line="242" w:lineRule="exact"/>
              <w:rPr>
                <w:rFonts w:ascii="Arial" w:hAnsi="Arial" w:cs="Arial"/>
              </w:rPr>
            </w:pPr>
            <w:r w:rsidRPr="000B61B6">
              <w:rPr>
                <w:rFonts w:ascii="Arial" w:hAnsi="Arial" w:cs="Arial"/>
              </w:rPr>
              <w:t>Windows</w:t>
            </w:r>
          </w:p>
        </w:tc>
        <w:tc>
          <w:tcPr>
            <w:tcW w:w="4860" w:type="dxa"/>
          </w:tcPr>
          <w:p w14:paraId="6B55488A" w14:textId="77777777" w:rsidR="000B61B6" w:rsidRPr="000B61B6" w:rsidRDefault="000B61B6" w:rsidP="00D21D45">
            <w:pPr>
              <w:pStyle w:val="TableParagraph"/>
              <w:spacing w:line="242" w:lineRule="exact"/>
              <w:ind w:left="84"/>
              <w:jc w:val="both"/>
              <w:rPr>
                <w:rFonts w:ascii="Arial" w:hAnsi="Arial" w:cs="Arial"/>
              </w:rPr>
            </w:pPr>
            <w:r w:rsidRPr="000B61B6">
              <w:rPr>
                <w:rFonts w:ascii="Arial" w:hAnsi="Arial" w:cs="Arial"/>
              </w:rPr>
              <w:t>Side</w:t>
            </w:r>
            <w:r w:rsidRPr="000B61B6">
              <w:rPr>
                <w:rFonts w:ascii="Arial" w:hAnsi="Arial" w:cs="Arial"/>
                <w:spacing w:val="-4"/>
              </w:rPr>
              <w:t xml:space="preserve"> </w:t>
            </w:r>
            <w:r w:rsidRPr="000B61B6">
              <w:rPr>
                <w:rFonts w:ascii="Arial" w:hAnsi="Arial" w:cs="Arial"/>
              </w:rPr>
              <w:t>windows</w:t>
            </w:r>
            <w:r w:rsidRPr="000B61B6">
              <w:rPr>
                <w:rFonts w:ascii="Arial" w:hAnsi="Arial" w:cs="Arial"/>
                <w:spacing w:val="-1"/>
              </w:rPr>
              <w:t xml:space="preserve"> </w:t>
            </w:r>
            <w:r w:rsidRPr="000B61B6">
              <w:rPr>
                <w:rFonts w:ascii="Arial" w:hAnsi="Arial" w:cs="Arial"/>
              </w:rPr>
              <w:t>—</w:t>
            </w:r>
            <w:r w:rsidRPr="000B61B6">
              <w:rPr>
                <w:rFonts w:ascii="Arial" w:hAnsi="Arial" w:cs="Arial"/>
                <w:spacing w:val="-3"/>
              </w:rPr>
              <w:t xml:space="preserve"> </w:t>
            </w:r>
            <w:r w:rsidRPr="000B61B6">
              <w:rPr>
                <w:rFonts w:ascii="Arial" w:hAnsi="Arial" w:cs="Arial"/>
              </w:rPr>
              <w:t>replacement if</w:t>
            </w:r>
            <w:r w:rsidRPr="000B61B6">
              <w:rPr>
                <w:rFonts w:ascii="Arial" w:hAnsi="Arial" w:cs="Arial"/>
                <w:spacing w:val="-2"/>
              </w:rPr>
              <w:t xml:space="preserve"> </w:t>
            </w:r>
            <w:r w:rsidRPr="000B61B6">
              <w:rPr>
                <w:rFonts w:ascii="Arial" w:hAnsi="Arial" w:cs="Arial"/>
              </w:rPr>
              <w:t>no</w:t>
            </w:r>
            <w:r w:rsidRPr="000B61B6">
              <w:rPr>
                <w:rFonts w:ascii="Arial" w:hAnsi="Arial" w:cs="Arial"/>
                <w:spacing w:val="-3"/>
              </w:rPr>
              <w:t xml:space="preserve"> </w:t>
            </w:r>
            <w:r w:rsidRPr="000B61B6">
              <w:rPr>
                <w:rFonts w:ascii="Arial" w:hAnsi="Arial" w:cs="Arial"/>
              </w:rPr>
              <w:t>riveting,</w:t>
            </w:r>
            <w:r w:rsidR="00D21D45">
              <w:rPr>
                <w:rFonts w:ascii="Arial" w:hAnsi="Arial" w:cs="Arial"/>
                <w:spacing w:val="-2"/>
              </w:rPr>
              <w:t xml:space="preserve"> </w:t>
            </w:r>
            <w:r w:rsidRPr="000B61B6">
              <w:rPr>
                <w:rFonts w:ascii="Arial" w:hAnsi="Arial" w:cs="Arial"/>
              </w:rPr>
              <w:t>bonding</w:t>
            </w:r>
            <w:r w:rsidRPr="000B61B6">
              <w:rPr>
                <w:rFonts w:ascii="Arial" w:hAnsi="Arial" w:cs="Arial"/>
                <w:spacing w:val="-3"/>
              </w:rPr>
              <w:t xml:space="preserve"> </w:t>
            </w:r>
            <w:r w:rsidRPr="000B61B6">
              <w:rPr>
                <w:rFonts w:ascii="Arial" w:hAnsi="Arial" w:cs="Arial"/>
              </w:rPr>
              <w:t>or</w:t>
            </w:r>
            <w:r w:rsidRPr="000B61B6">
              <w:rPr>
                <w:rFonts w:ascii="Arial" w:hAnsi="Arial" w:cs="Arial"/>
                <w:spacing w:val="-3"/>
              </w:rPr>
              <w:t xml:space="preserve"> </w:t>
            </w:r>
            <w:r w:rsidRPr="000B61B6">
              <w:rPr>
                <w:rFonts w:ascii="Arial" w:hAnsi="Arial" w:cs="Arial"/>
              </w:rPr>
              <w:t>any</w:t>
            </w:r>
            <w:r w:rsidRPr="000B61B6">
              <w:rPr>
                <w:rFonts w:ascii="Arial" w:hAnsi="Arial" w:cs="Arial"/>
                <w:spacing w:val="-4"/>
              </w:rPr>
              <w:t xml:space="preserve"> </w:t>
            </w:r>
            <w:r w:rsidR="00D21D45">
              <w:rPr>
                <w:rFonts w:ascii="Arial" w:hAnsi="Arial" w:cs="Arial"/>
              </w:rPr>
              <w:t xml:space="preserve">special </w:t>
            </w:r>
            <w:r w:rsidRPr="000B61B6">
              <w:rPr>
                <w:rFonts w:ascii="Arial" w:hAnsi="Arial" w:cs="Arial"/>
              </w:rPr>
              <w:t>process</w:t>
            </w:r>
            <w:r w:rsidRPr="000B61B6">
              <w:rPr>
                <w:rFonts w:ascii="Arial" w:hAnsi="Arial" w:cs="Arial"/>
                <w:spacing w:val="-4"/>
              </w:rPr>
              <w:t xml:space="preserve"> </w:t>
            </w:r>
            <w:r w:rsidRPr="000B61B6">
              <w:rPr>
                <w:rFonts w:ascii="Arial" w:hAnsi="Arial" w:cs="Arial"/>
              </w:rPr>
              <w:t>is</w:t>
            </w:r>
            <w:r w:rsidRPr="000B61B6">
              <w:rPr>
                <w:rFonts w:ascii="Arial" w:hAnsi="Arial" w:cs="Arial"/>
                <w:spacing w:val="-3"/>
              </w:rPr>
              <w:t xml:space="preserve"> </w:t>
            </w:r>
            <w:r w:rsidRPr="000B61B6">
              <w:rPr>
                <w:rFonts w:ascii="Arial" w:hAnsi="Arial" w:cs="Arial"/>
              </w:rPr>
              <w:t>required</w:t>
            </w:r>
          </w:p>
        </w:tc>
        <w:tc>
          <w:tcPr>
            <w:tcW w:w="1530" w:type="dxa"/>
          </w:tcPr>
          <w:p w14:paraId="41CCBA03" w14:textId="77777777" w:rsidR="000B61B6" w:rsidRPr="000B61B6" w:rsidRDefault="000B61B6" w:rsidP="00BE4A83">
            <w:pPr>
              <w:pStyle w:val="TableParagraph"/>
              <w:spacing w:line="242" w:lineRule="exact"/>
              <w:ind w:left="84"/>
              <w:rPr>
                <w:rFonts w:ascii="Arial" w:hAnsi="Arial" w:cs="Arial"/>
              </w:rPr>
            </w:pPr>
            <w:r w:rsidRPr="000B61B6">
              <w:rPr>
                <w:rFonts w:ascii="Arial" w:hAnsi="Arial" w:cs="Arial"/>
              </w:rPr>
              <w:t>Yes</w:t>
            </w:r>
          </w:p>
        </w:tc>
      </w:tr>
      <w:tr w:rsidR="000B61B6" w:rsidRPr="000B61B6" w14:paraId="63B0C90F" w14:textId="77777777" w:rsidTr="0080379D">
        <w:trPr>
          <w:trHeight w:val="243"/>
        </w:trPr>
        <w:tc>
          <w:tcPr>
            <w:tcW w:w="895" w:type="dxa"/>
            <w:shd w:val="clear" w:color="auto" w:fill="F2F2F2" w:themeFill="background1" w:themeFillShade="F2"/>
          </w:tcPr>
          <w:p w14:paraId="7E1AD998" w14:textId="77777777" w:rsidR="000B61B6" w:rsidRPr="000B61B6" w:rsidRDefault="000B61B6" w:rsidP="00093EB0">
            <w:pPr>
              <w:jc w:val="center"/>
              <w:rPr>
                <w:rFonts w:ascii="Arial" w:hAnsi="Arial" w:cs="Arial"/>
                <w:b/>
              </w:rPr>
            </w:pPr>
            <w:r w:rsidRPr="000B61B6">
              <w:rPr>
                <w:rFonts w:ascii="Arial" w:hAnsi="Arial" w:cs="Arial"/>
                <w:b/>
              </w:rPr>
              <w:t>61</w:t>
            </w:r>
          </w:p>
        </w:tc>
        <w:tc>
          <w:tcPr>
            <w:tcW w:w="2250" w:type="dxa"/>
          </w:tcPr>
          <w:p w14:paraId="671A9886" w14:textId="77777777" w:rsidR="000B61B6" w:rsidRPr="000B61B6" w:rsidRDefault="000B61B6" w:rsidP="00BE4A83">
            <w:pPr>
              <w:pStyle w:val="TableParagraph"/>
              <w:spacing w:line="222" w:lineRule="exact"/>
              <w:rPr>
                <w:rFonts w:ascii="Arial" w:hAnsi="Arial" w:cs="Arial"/>
              </w:rPr>
            </w:pPr>
            <w:r w:rsidRPr="000B61B6">
              <w:rPr>
                <w:rFonts w:ascii="Arial" w:hAnsi="Arial" w:cs="Arial"/>
              </w:rPr>
              <w:t>Propeller</w:t>
            </w:r>
          </w:p>
        </w:tc>
        <w:tc>
          <w:tcPr>
            <w:tcW w:w="4860" w:type="dxa"/>
          </w:tcPr>
          <w:p w14:paraId="025A33B6" w14:textId="77777777" w:rsidR="000B61B6" w:rsidRPr="000B61B6" w:rsidRDefault="000B61B6" w:rsidP="00D21D45">
            <w:pPr>
              <w:pStyle w:val="TableParagraph"/>
              <w:spacing w:line="222" w:lineRule="exact"/>
              <w:ind w:left="84"/>
              <w:jc w:val="both"/>
              <w:rPr>
                <w:rFonts w:ascii="Arial" w:hAnsi="Arial" w:cs="Arial"/>
              </w:rPr>
            </w:pPr>
            <w:r w:rsidRPr="000B61B6">
              <w:rPr>
                <w:rFonts w:ascii="Arial" w:hAnsi="Arial" w:cs="Arial"/>
              </w:rPr>
              <w:t>Spinner</w:t>
            </w:r>
            <w:r w:rsidRPr="000B61B6">
              <w:rPr>
                <w:rFonts w:ascii="Arial" w:hAnsi="Arial" w:cs="Arial"/>
                <w:spacing w:val="-2"/>
              </w:rPr>
              <w:t xml:space="preserve"> </w:t>
            </w:r>
            <w:r w:rsidRPr="000B61B6">
              <w:rPr>
                <w:rFonts w:ascii="Arial" w:hAnsi="Arial" w:cs="Arial"/>
              </w:rPr>
              <w:t>—</w:t>
            </w:r>
            <w:r w:rsidRPr="000B61B6">
              <w:rPr>
                <w:rFonts w:ascii="Arial" w:hAnsi="Arial" w:cs="Arial"/>
                <w:spacing w:val="-3"/>
              </w:rPr>
              <w:t xml:space="preserve"> </w:t>
            </w:r>
            <w:r w:rsidRPr="000B61B6">
              <w:rPr>
                <w:rFonts w:ascii="Arial" w:hAnsi="Arial" w:cs="Arial"/>
              </w:rPr>
              <w:t>removal</w:t>
            </w:r>
            <w:r w:rsidRPr="000B61B6">
              <w:rPr>
                <w:rFonts w:ascii="Arial" w:hAnsi="Arial" w:cs="Arial"/>
                <w:spacing w:val="-3"/>
              </w:rPr>
              <w:t xml:space="preserve"> </w:t>
            </w:r>
            <w:r w:rsidRPr="000B61B6">
              <w:rPr>
                <w:rFonts w:ascii="Arial" w:hAnsi="Arial" w:cs="Arial"/>
              </w:rPr>
              <w:t>and</w:t>
            </w:r>
            <w:r w:rsidRPr="000B61B6">
              <w:rPr>
                <w:rFonts w:ascii="Arial" w:hAnsi="Arial" w:cs="Arial"/>
                <w:spacing w:val="-3"/>
              </w:rPr>
              <w:t xml:space="preserve"> </w:t>
            </w:r>
            <w:r w:rsidRPr="000B61B6">
              <w:rPr>
                <w:rFonts w:ascii="Arial" w:hAnsi="Arial" w:cs="Arial"/>
              </w:rPr>
              <w:t>reinstallation</w:t>
            </w:r>
          </w:p>
        </w:tc>
        <w:tc>
          <w:tcPr>
            <w:tcW w:w="1530" w:type="dxa"/>
          </w:tcPr>
          <w:p w14:paraId="597E773A" w14:textId="77777777" w:rsidR="000B61B6" w:rsidRPr="000B61B6" w:rsidRDefault="000B61B6" w:rsidP="00BE4A83">
            <w:pPr>
              <w:pStyle w:val="TableParagraph"/>
              <w:spacing w:line="222" w:lineRule="exact"/>
              <w:ind w:left="84"/>
              <w:rPr>
                <w:rFonts w:ascii="Arial" w:hAnsi="Arial" w:cs="Arial"/>
              </w:rPr>
            </w:pPr>
            <w:r w:rsidRPr="000B61B6">
              <w:rPr>
                <w:rFonts w:ascii="Arial" w:hAnsi="Arial" w:cs="Arial"/>
              </w:rPr>
              <w:t>Yes</w:t>
            </w:r>
          </w:p>
        </w:tc>
      </w:tr>
      <w:tr w:rsidR="000B61B6" w:rsidRPr="000B61B6" w14:paraId="7A6469EE" w14:textId="77777777" w:rsidTr="0080379D">
        <w:trPr>
          <w:trHeight w:val="488"/>
        </w:trPr>
        <w:tc>
          <w:tcPr>
            <w:tcW w:w="895" w:type="dxa"/>
            <w:vMerge w:val="restart"/>
            <w:shd w:val="clear" w:color="auto" w:fill="F2F2F2" w:themeFill="background1" w:themeFillShade="F2"/>
          </w:tcPr>
          <w:p w14:paraId="101E1EE4" w14:textId="77777777" w:rsidR="000B61B6" w:rsidRPr="000B61B6" w:rsidRDefault="00063798" w:rsidP="00093EB0">
            <w:pPr>
              <w:jc w:val="center"/>
              <w:rPr>
                <w:rFonts w:ascii="Arial" w:hAnsi="Arial" w:cs="Arial"/>
                <w:b/>
              </w:rPr>
            </w:pPr>
            <w:r w:rsidRPr="00093EB0">
              <w:rPr>
                <w:rFonts w:ascii="Arial" w:hAnsi="Arial" w:cs="Arial"/>
                <w:b/>
              </w:rPr>
              <w:t xml:space="preserve"> </w:t>
            </w:r>
            <w:r w:rsidR="000B61B6" w:rsidRPr="000B61B6">
              <w:rPr>
                <w:rFonts w:ascii="Arial" w:hAnsi="Arial" w:cs="Arial"/>
                <w:b/>
              </w:rPr>
              <w:t>71</w:t>
            </w:r>
          </w:p>
        </w:tc>
        <w:tc>
          <w:tcPr>
            <w:tcW w:w="2250" w:type="dxa"/>
            <w:vMerge w:val="restart"/>
          </w:tcPr>
          <w:p w14:paraId="6E93CD84" w14:textId="77777777" w:rsidR="000B61B6" w:rsidRPr="000B61B6" w:rsidRDefault="000B61B6" w:rsidP="00BE4A83">
            <w:pPr>
              <w:pStyle w:val="TableParagraph"/>
              <w:ind w:right="579"/>
              <w:rPr>
                <w:rFonts w:ascii="Arial" w:hAnsi="Arial" w:cs="Arial"/>
              </w:rPr>
            </w:pPr>
            <w:r w:rsidRPr="000B61B6">
              <w:rPr>
                <w:rFonts w:ascii="Arial" w:hAnsi="Arial" w:cs="Arial"/>
                <w:spacing w:val="-1"/>
              </w:rPr>
              <w:t xml:space="preserve">Power </w:t>
            </w:r>
            <w:r w:rsidRPr="000B61B6">
              <w:rPr>
                <w:rFonts w:ascii="Arial" w:hAnsi="Arial" w:cs="Arial"/>
              </w:rPr>
              <w:t>plant</w:t>
            </w:r>
            <w:r w:rsidRPr="000B61B6">
              <w:rPr>
                <w:rFonts w:ascii="Arial" w:hAnsi="Arial" w:cs="Arial"/>
                <w:spacing w:val="-43"/>
              </w:rPr>
              <w:t xml:space="preserve"> </w:t>
            </w:r>
            <w:r w:rsidRPr="000B61B6">
              <w:rPr>
                <w:rFonts w:ascii="Arial" w:hAnsi="Arial" w:cs="Arial"/>
              </w:rPr>
              <w:t>installation</w:t>
            </w:r>
          </w:p>
        </w:tc>
        <w:tc>
          <w:tcPr>
            <w:tcW w:w="4860" w:type="dxa"/>
          </w:tcPr>
          <w:p w14:paraId="3740461A" w14:textId="77777777" w:rsidR="000B61B6" w:rsidRPr="000B61B6" w:rsidRDefault="000B61B6" w:rsidP="00D21D45">
            <w:pPr>
              <w:pStyle w:val="TableParagraph"/>
              <w:ind w:left="84"/>
              <w:jc w:val="both"/>
              <w:rPr>
                <w:rFonts w:ascii="Arial" w:hAnsi="Arial" w:cs="Arial"/>
              </w:rPr>
            </w:pPr>
            <w:r w:rsidRPr="000B61B6">
              <w:rPr>
                <w:rFonts w:ascii="Arial" w:hAnsi="Arial" w:cs="Arial"/>
              </w:rPr>
              <w:t>Cowling</w:t>
            </w:r>
            <w:r w:rsidRPr="000B61B6">
              <w:rPr>
                <w:rFonts w:ascii="Arial" w:hAnsi="Arial" w:cs="Arial"/>
                <w:spacing w:val="-1"/>
              </w:rPr>
              <w:t xml:space="preserve"> </w:t>
            </w:r>
            <w:r w:rsidRPr="000B61B6">
              <w:rPr>
                <w:rFonts w:ascii="Arial" w:hAnsi="Arial" w:cs="Arial"/>
              </w:rPr>
              <w:t>—</w:t>
            </w:r>
            <w:r w:rsidRPr="000B61B6">
              <w:rPr>
                <w:rFonts w:ascii="Arial" w:hAnsi="Arial" w:cs="Arial"/>
                <w:spacing w:val="-3"/>
              </w:rPr>
              <w:t xml:space="preserve"> </w:t>
            </w:r>
            <w:r w:rsidRPr="000B61B6">
              <w:rPr>
                <w:rFonts w:ascii="Arial" w:hAnsi="Arial" w:cs="Arial"/>
              </w:rPr>
              <w:t>removal</w:t>
            </w:r>
            <w:r w:rsidRPr="000B61B6">
              <w:rPr>
                <w:rFonts w:ascii="Arial" w:hAnsi="Arial" w:cs="Arial"/>
                <w:spacing w:val="-2"/>
              </w:rPr>
              <w:t xml:space="preserve"> </w:t>
            </w:r>
            <w:r w:rsidRPr="000B61B6">
              <w:rPr>
                <w:rFonts w:ascii="Arial" w:hAnsi="Arial" w:cs="Arial"/>
              </w:rPr>
              <w:t>and</w:t>
            </w:r>
            <w:r w:rsidRPr="000B61B6">
              <w:rPr>
                <w:rFonts w:ascii="Arial" w:hAnsi="Arial" w:cs="Arial"/>
                <w:spacing w:val="-3"/>
              </w:rPr>
              <w:t xml:space="preserve"> </w:t>
            </w:r>
            <w:r w:rsidRPr="000B61B6">
              <w:rPr>
                <w:rFonts w:ascii="Arial" w:hAnsi="Arial" w:cs="Arial"/>
              </w:rPr>
              <w:t>reinstallation</w:t>
            </w:r>
            <w:r w:rsidRPr="000B61B6">
              <w:rPr>
                <w:rFonts w:ascii="Arial" w:hAnsi="Arial" w:cs="Arial"/>
                <w:spacing w:val="-3"/>
              </w:rPr>
              <w:t xml:space="preserve"> </w:t>
            </w:r>
            <w:r w:rsidRPr="000B61B6">
              <w:rPr>
                <w:rFonts w:ascii="Arial" w:hAnsi="Arial" w:cs="Arial"/>
              </w:rPr>
              <w:t>not</w:t>
            </w:r>
            <w:r w:rsidRPr="000B61B6">
              <w:rPr>
                <w:rFonts w:ascii="Arial" w:hAnsi="Arial" w:cs="Arial"/>
                <w:spacing w:val="-3"/>
              </w:rPr>
              <w:t xml:space="preserve"> </w:t>
            </w:r>
            <w:r w:rsidRPr="000B61B6">
              <w:rPr>
                <w:rFonts w:ascii="Arial" w:hAnsi="Arial" w:cs="Arial"/>
              </w:rPr>
              <w:t>requiring</w:t>
            </w:r>
            <w:r w:rsidRPr="000B61B6">
              <w:rPr>
                <w:rFonts w:ascii="Arial" w:hAnsi="Arial" w:cs="Arial"/>
                <w:spacing w:val="-4"/>
              </w:rPr>
              <w:t xml:space="preserve"> </w:t>
            </w:r>
            <w:r w:rsidRPr="000B61B6">
              <w:rPr>
                <w:rFonts w:ascii="Arial" w:hAnsi="Arial" w:cs="Arial"/>
              </w:rPr>
              <w:t>removal</w:t>
            </w:r>
            <w:r w:rsidRPr="000B61B6">
              <w:rPr>
                <w:rFonts w:ascii="Arial" w:hAnsi="Arial" w:cs="Arial"/>
                <w:spacing w:val="-1"/>
              </w:rPr>
              <w:t xml:space="preserve"> </w:t>
            </w:r>
            <w:r w:rsidR="00D21D45">
              <w:rPr>
                <w:rFonts w:ascii="Arial" w:hAnsi="Arial" w:cs="Arial"/>
              </w:rPr>
              <w:t xml:space="preserve">of </w:t>
            </w:r>
            <w:r w:rsidRPr="000B61B6">
              <w:rPr>
                <w:rFonts w:ascii="Arial" w:hAnsi="Arial" w:cs="Arial"/>
              </w:rPr>
              <w:t>propeller</w:t>
            </w:r>
            <w:r w:rsidRPr="000B61B6">
              <w:rPr>
                <w:rFonts w:ascii="Arial" w:hAnsi="Arial" w:cs="Arial"/>
                <w:spacing w:val="-3"/>
              </w:rPr>
              <w:t xml:space="preserve"> </w:t>
            </w:r>
            <w:r w:rsidRPr="000B61B6">
              <w:rPr>
                <w:rFonts w:ascii="Arial" w:hAnsi="Arial" w:cs="Arial"/>
              </w:rPr>
              <w:t>or</w:t>
            </w:r>
            <w:r w:rsidRPr="000B61B6">
              <w:rPr>
                <w:rFonts w:ascii="Arial" w:hAnsi="Arial" w:cs="Arial"/>
                <w:spacing w:val="-3"/>
              </w:rPr>
              <w:t xml:space="preserve"> </w:t>
            </w:r>
            <w:r w:rsidRPr="000B61B6">
              <w:rPr>
                <w:rFonts w:ascii="Arial" w:hAnsi="Arial" w:cs="Arial"/>
              </w:rPr>
              <w:t>disconnection</w:t>
            </w:r>
            <w:r w:rsidRPr="000B61B6">
              <w:rPr>
                <w:rFonts w:ascii="Arial" w:hAnsi="Arial" w:cs="Arial"/>
                <w:spacing w:val="-2"/>
              </w:rPr>
              <w:t xml:space="preserve"> </w:t>
            </w:r>
            <w:r w:rsidRPr="000B61B6">
              <w:rPr>
                <w:rFonts w:ascii="Arial" w:hAnsi="Arial" w:cs="Arial"/>
              </w:rPr>
              <w:t>of</w:t>
            </w:r>
            <w:r w:rsidRPr="000B61B6">
              <w:rPr>
                <w:rFonts w:ascii="Arial" w:hAnsi="Arial" w:cs="Arial"/>
                <w:spacing w:val="-4"/>
              </w:rPr>
              <w:t xml:space="preserve"> </w:t>
            </w:r>
            <w:r w:rsidRPr="000B61B6">
              <w:rPr>
                <w:rFonts w:ascii="Arial" w:hAnsi="Arial" w:cs="Arial"/>
              </w:rPr>
              <w:t>flight</w:t>
            </w:r>
            <w:r w:rsidR="00D21D45">
              <w:rPr>
                <w:rFonts w:ascii="Arial" w:hAnsi="Arial" w:cs="Arial"/>
                <w:spacing w:val="-3"/>
              </w:rPr>
              <w:t xml:space="preserve"> </w:t>
            </w:r>
            <w:r w:rsidRPr="000B61B6">
              <w:rPr>
                <w:rFonts w:ascii="Arial" w:hAnsi="Arial" w:cs="Arial"/>
              </w:rPr>
              <w:t>controls</w:t>
            </w:r>
          </w:p>
        </w:tc>
        <w:tc>
          <w:tcPr>
            <w:tcW w:w="1530" w:type="dxa"/>
          </w:tcPr>
          <w:p w14:paraId="37CE24BE" w14:textId="77777777" w:rsidR="000B61B6" w:rsidRPr="000B61B6" w:rsidRDefault="000B61B6" w:rsidP="00BE4A83">
            <w:pPr>
              <w:pStyle w:val="TableParagraph"/>
              <w:ind w:left="84"/>
              <w:rPr>
                <w:rFonts w:ascii="Arial" w:hAnsi="Arial" w:cs="Arial"/>
              </w:rPr>
            </w:pPr>
            <w:r w:rsidRPr="000B61B6">
              <w:rPr>
                <w:rFonts w:ascii="Arial" w:hAnsi="Arial" w:cs="Arial"/>
              </w:rPr>
              <w:t>Yes</w:t>
            </w:r>
          </w:p>
        </w:tc>
      </w:tr>
      <w:tr w:rsidR="000B61B6" w:rsidRPr="000B61B6" w14:paraId="7902ECDB" w14:textId="77777777" w:rsidTr="0080379D">
        <w:trPr>
          <w:trHeight w:val="490"/>
        </w:trPr>
        <w:tc>
          <w:tcPr>
            <w:tcW w:w="895" w:type="dxa"/>
            <w:vMerge/>
            <w:shd w:val="clear" w:color="auto" w:fill="F2F2F2" w:themeFill="background1" w:themeFillShade="F2"/>
          </w:tcPr>
          <w:p w14:paraId="7940D8A7" w14:textId="77777777" w:rsidR="000B61B6" w:rsidRPr="00093EB0" w:rsidRDefault="000B61B6" w:rsidP="00093EB0">
            <w:pPr>
              <w:jc w:val="center"/>
              <w:rPr>
                <w:rFonts w:ascii="Arial" w:hAnsi="Arial" w:cs="Arial"/>
                <w:b/>
              </w:rPr>
            </w:pPr>
          </w:p>
        </w:tc>
        <w:tc>
          <w:tcPr>
            <w:tcW w:w="2250" w:type="dxa"/>
            <w:vMerge/>
          </w:tcPr>
          <w:p w14:paraId="47C46EFC" w14:textId="77777777" w:rsidR="000B61B6" w:rsidRPr="000B61B6" w:rsidRDefault="000B61B6" w:rsidP="00BE4A83">
            <w:pPr>
              <w:rPr>
                <w:rFonts w:ascii="Arial" w:hAnsi="Arial" w:cs="Arial"/>
                <w:sz w:val="2"/>
                <w:szCs w:val="2"/>
              </w:rPr>
            </w:pPr>
          </w:p>
        </w:tc>
        <w:tc>
          <w:tcPr>
            <w:tcW w:w="4860" w:type="dxa"/>
          </w:tcPr>
          <w:p w14:paraId="55E29E2D" w14:textId="77777777" w:rsidR="000B61B6" w:rsidRPr="000B61B6" w:rsidRDefault="000B61B6" w:rsidP="00D21D45">
            <w:pPr>
              <w:pStyle w:val="TableParagraph"/>
              <w:spacing w:line="240" w:lineRule="atLeast"/>
              <w:ind w:left="84" w:right="277"/>
              <w:jc w:val="both"/>
              <w:rPr>
                <w:rFonts w:ascii="Arial" w:hAnsi="Arial" w:cs="Arial"/>
              </w:rPr>
            </w:pPr>
            <w:r w:rsidRPr="000B61B6">
              <w:rPr>
                <w:rFonts w:ascii="Arial" w:hAnsi="Arial" w:cs="Arial"/>
              </w:rPr>
              <w:t>Induction system — inspection and replacement of induction air</w:t>
            </w:r>
            <w:r w:rsidRPr="000B61B6">
              <w:rPr>
                <w:rFonts w:ascii="Arial" w:hAnsi="Arial" w:cs="Arial"/>
                <w:spacing w:val="-43"/>
              </w:rPr>
              <w:t xml:space="preserve"> </w:t>
            </w:r>
            <w:r w:rsidRPr="000B61B6">
              <w:rPr>
                <w:rFonts w:ascii="Arial" w:hAnsi="Arial" w:cs="Arial"/>
              </w:rPr>
              <w:t>filter</w:t>
            </w:r>
          </w:p>
        </w:tc>
        <w:tc>
          <w:tcPr>
            <w:tcW w:w="1530" w:type="dxa"/>
          </w:tcPr>
          <w:p w14:paraId="71DAFC03" w14:textId="77777777" w:rsidR="000B61B6" w:rsidRPr="000B61B6" w:rsidRDefault="000B61B6" w:rsidP="00BE4A83">
            <w:pPr>
              <w:pStyle w:val="TableParagraph"/>
              <w:ind w:left="84"/>
              <w:rPr>
                <w:rFonts w:ascii="Arial" w:hAnsi="Arial" w:cs="Arial"/>
              </w:rPr>
            </w:pPr>
            <w:r w:rsidRPr="000B61B6">
              <w:rPr>
                <w:rFonts w:ascii="Arial" w:hAnsi="Arial" w:cs="Arial"/>
              </w:rPr>
              <w:t>Yes</w:t>
            </w:r>
          </w:p>
        </w:tc>
      </w:tr>
      <w:tr w:rsidR="000B61B6" w:rsidRPr="000B61B6" w14:paraId="2267C92F" w14:textId="77777777" w:rsidTr="0080379D">
        <w:trPr>
          <w:trHeight w:val="732"/>
        </w:trPr>
        <w:tc>
          <w:tcPr>
            <w:tcW w:w="895" w:type="dxa"/>
            <w:shd w:val="clear" w:color="auto" w:fill="F2F2F2" w:themeFill="background1" w:themeFillShade="F2"/>
          </w:tcPr>
          <w:p w14:paraId="004591D0" w14:textId="77777777" w:rsidR="000B61B6" w:rsidRPr="000B61B6" w:rsidRDefault="000B61B6" w:rsidP="00093EB0">
            <w:pPr>
              <w:jc w:val="center"/>
              <w:rPr>
                <w:rFonts w:ascii="Arial" w:hAnsi="Arial" w:cs="Arial"/>
                <w:b/>
              </w:rPr>
            </w:pPr>
            <w:r w:rsidRPr="000B61B6">
              <w:rPr>
                <w:rFonts w:ascii="Arial" w:hAnsi="Arial" w:cs="Arial"/>
                <w:b/>
              </w:rPr>
              <w:t>72</w:t>
            </w:r>
          </w:p>
        </w:tc>
        <w:tc>
          <w:tcPr>
            <w:tcW w:w="2250" w:type="dxa"/>
          </w:tcPr>
          <w:p w14:paraId="07F77C9B" w14:textId="77777777" w:rsidR="000B61B6" w:rsidRPr="000B61B6" w:rsidRDefault="000B61B6" w:rsidP="00BE4A83">
            <w:pPr>
              <w:pStyle w:val="TableParagraph"/>
              <w:rPr>
                <w:rFonts w:ascii="Arial" w:hAnsi="Arial" w:cs="Arial"/>
              </w:rPr>
            </w:pPr>
            <w:r w:rsidRPr="000B61B6">
              <w:rPr>
                <w:rFonts w:ascii="Arial" w:hAnsi="Arial" w:cs="Arial"/>
              </w:rPr>
              <w:t>Engine</w:t>
            </w:r>
          </w:p>
        </w:tc>
        <w:tc>
          <w:tcPr>
            <w:tcW w:w="4860" w:type="dxa"/>
          </w:tcPr>
          <w:p w14:paraId="3C7407F3" w14:textId="77777777" w:rsidR="000B61B6" w:rsidRPr="000B61B6" w:rsidRDefault="000B61B6" w:rsidP="00D21D45">
            <w:pPr>
              <w:pStyle w:val="TableParagraph"/>
              <w:spacing w:line="240" w:lineRule="atLeast"/>
              <w:ind w:left="84" w:right="122"/>
              <w:jc w:val="both"/>
              <w:rPr>
                <w:rFonts w:ascii="Arial" w:hAnsi="Arial" w:cs="Arial"/>
              </w:rPr>
            </w:pPr>
            <w:r w:rsidRPr="000B61B6">
              <w:rPr>
                <w:rFonts w:ascii="Arial" w:hAnsi="Arial" w:cs="Arial"/>
              </w:rPr>
              <w:t>Chip detectors — removal, checking and reinstallation provided</w:t>
            </w:r>
            <w:r w:rsidRPr="000B61B6">
              <w:rPr>
                <w:rFonts w:ascii="Arial" w:hAnsi="Arial" w:cs="Arial"/>
                <w:spacing w:val="1"/>
              </w:rPr>
              <w:t xml:space="preserve"> </w:t>
            </w:r>
            <w:r w:rsidRPr="000B61B6">
              <w:rPr>
                <w:rFonts w:ascii="Arial" w:hAnsi="Arial" w:cs="Arial"/>
              </w:rPr>
              <w:t>that the chip detector is of a non-electrically-indicated self-sealing</w:t>
            </w:r>
            <w:r w:rsidRPr="000B61B6">
              <w:rPr>
                <w:rFonts w:ascii="Arial" w:hAnsi="Arial" w:cs="Arial"/>
                <w:spacing w:val="-44"/>
              </w:rPr>
              <w:t xml:space="preserve"> </w:t>
            </w:r>
            <w:r w:rsidRPr="000B61B6">
              <w:rPr>
                <w:rFonts w:ascii="Arial" w:hAnsi="Arial" w:cs="Arial"/>
              </w:rPr>
              <w:t>type</w:t>
            </w:r>
          </w:p>
        </w:tc>
        <w:tc>
          <w:tcPr>
            <w:tcW w:w="1530" w:type="dxa"/>
          </w:tcPr>
          <w:p w14:paraId="4A61BBA0" w14:textId="77777777" w:rsidR="000B61B6" w:rsidRPr="000B61B6" w:rsidRDefault="000B61B6" w:rsidP="00BE4A83">
            <w:pPr>
              <w:pStyle w:val="TableParagraph"/>
              <w:ind w:left="84"/>
              <w:rPr>
                <w:rFonts w:ascii="Arial" w:hAnsi="Arial" w:cs="Arial"/>
              </w:rPr>
            </w:pPr>
            <w:r w:rsidRPr="000B61B6">
              <w:rPr>
                <w:rFonts w:ascii="Arial" w:hAnsi="Arial" w:cs="Arial"/>
              </w:rPr>
              <w:t>Yes</w:t>
            </w:r>
          </w:p>
        </w:tc>
      </w:tr>
      <w:tr w:rsidR="000B61B6" w:rsidRPr="000B61B6" w14:paraId="22150135" w14:textId="77777777" w:rsidTr="0080379D">
        <w:trPr>
          <w:trHeight w:val="245"/>
        </w:trPr>
        <w:tc>
          <w:tcPr>
            <w:tcW w:w="895" w:type="dxa"/>
            <w:vMerge w:val="restart"/>
            <w:shd w:val="clear" w:color="auto" w:fill="F2F2F2" w:themeFill="background1" w:themeFillShade="F2"/>
          </w:tcPr>
          <w:p w14:paraId="029DE4AC" w14:textId="77777777" w:rsidR="000B61B6" w:rsidRPr="000B61B6" w:rsidRDefault="00063798" w:rsidP="00093EB0">
            <w:pPr>
              <w:jc w:val="center"/>
              <w:rPr>
                <w:rFonts w:ascii="Arial" w:hAnsi="Arial" w:cs="Arial"/>
                <w:b/>
              </w:rPr>
            </w:pPr>
            <w:r w:rsidRPr="00093EB0">
              <w:rPr>
                <w:rFonts w:ascii="Arial" w:hAnsi="Arial" w:cs="Arial"/>
                <w:b/>
              </w:rPr>
              <w:t xml:space="preserve"> </w:t>
            </w:r>
            <w:r w:rsidR="000B61B6" w:rsidRPr="000B61B6">
              <w:rPr>
                <w:rFonts w:ascii="Arial" w:hAnsi="Arial" w:cs="Arial"/>
                <w:b/>
              </w:rPr>
              <w:t>73</w:t>
            </w:r>
          </w:p>
        </w:tc>
        <w:tc>
          <w:tcPr>
            <w:tcW w:w="2250" w:type="dxa"/>
            <w:vMerge w:val="restart"/>
          </w:tcPr>
          <w:p w14:paraId="7E5A50BB" w14:textId="77777777" w:rsidR="000B61B6" w:rsidRPr="000B61B6" w:rsidRDefault="000B61B6" w:rsidP="00BE4A83">
            <w:pPr>
              <w:pStyle w:val="TableParagraph"/>
              <w:rPr>
                <w:rFonts w:ascii="Arial" w:hAnsi="Arial" w:cs="Arial"/>
              </w:rPr>
            </w:pPr>
            <w:r w:rsidRPr="000B61B6">
              <w:rPr>
                <w:rFonts w:ascii="Arial" w:hAnsi="Arial" w:cs="Arial"/>
              </w:rPr>
              <w:t>Engine</w:t>
            </w:r>
            <w:r w:rsidRPr="000B61B6">
              <w:rPr>
                <w:rFonts w:ascii="Arial" w:hAnsi="Arial" w:cs="Arial"/>
                <w:spacing w:val="-4"/>
              </w:rPr>
              <w:t xml:space="preserve"> </w:t>
            </w:r>
            <w:r w:rsidRPr="000B61B6">
              <w:rPr>
                <w:rFonts w:ascii="Arial" w:hAnsi="Arial" w:cs="Arial"/>
              </w:rPr>
              <w:t>fuel</w:t>
            </w:r>
          </w:p>
        </w:tc>
        <w:tc>
          <w:tcPr>
            <w:tcW w:w="4860" w:type="dxa"/>
          </w:tcPr>
          <w:p w14:paraId="69D80341" w14:textId="77777777" w:rsidR="000B61B6" w:rsidRPr="000B61B6" w:rsidRDefault="000B61B6" w:rsidP="00D21D45">
            <w:pPr>
              <w:pStyle w:val="TableParagraph"/>
              <w:spacing w:line="225" w:lineRule="exact"/>
              <w:ind w:left="84"/>
              <w:jc w:val="both"/>
              <w:rPr>
                <w:rFonts w:ascii="Arial" w:hAnsi="Arial" w:cs="Arial"/>
              </w:rPr>
            </w:pPr>
            <w:r w:rsidRPr="000B61B6">
              <w:rPr>
                <w:rFonts w:ascii="Arial" w:hAnsi="Arial" w:cs="Arial"/>
              </w:rPr>
              <w:t>Strainer</w:t>
            </w:r>
            <w:r w:rsidRPr="000B61B6">
              <w:rPr>
                <w:rFonts w:ascii="Arial" w:hAnsi="Arial" w:cs="Arial"/>
                <w:spacing w:val="-3"/>
              </w:rPr>
              <w:t xml:space="preserve"> </w:t>
            </w:r>
            <w:r w:rsidRPr="000B61B6">
              <w:rPr>
                <w:rFonts w:ascii="Arial" w:hAnsi="Arial" w:cs="Arial"/>
              </w:rPr>
              <w:t>or</w:t>
            </w:r>
            <w:r w:rsidRPr="000B61B6">
              <w:rPr>
                <w:rFonts w:ascii="Arial" w:hAnsi="Arial" w:cs="Arial"/>
                <w:spacing w:val="-4"/>
              </w:rPr>
              <w:t xml:space="preserve"> </w:t>
            </w:r>
            <w:r w:rsidRPr="000B61B6">
              <w:rPr>
                <w:rFonts w:ascii="Arial" w:hAnsi="Arial" w:cs="Arial"/>
              </w:rPr>
              <w:t>filter</w:t>
            </w:r>
            <w:r w:rsidRPr="000B61B6">
              <w:rPr>
                <w:rFonts w:ascii="Arial" w:hAnsi="Arial" w:cs="Arial"/>
                <w:spacing w:val="-1"/>
              </w:rPr>
              <w:t xml:space="preserve"> </w:t>
            </w:r>
            <w:r w:rsidRPr="000B61B6">
              <w:rPr>
                <w:rFonts w:ascii="Arial" w:hAnsi="Arial" w:cs="Arial"/>
              </w:rPr>
              <w:t>elements</w:t>
            </w:r>
            <w:r w:rsidRPr="000B61B6">
              <w:rPr>
                <w:rFonts w:ascii="Arial" w:hAnsi="Arial" w:cs="Arial"/>
                <w:spacing w:val="-2"/>
              </w:rPr>
              <w:t xml:space="preserve"> </w:t>
            </w:r>
            <w:r w:rsidRPr="000B61B6">
              <w:rPr>
                <w:rFonts w:ascii="Arial" w:hAnsi="Arial" w:cs="Arial"/>
              </w:rPr>
              <w:t>—</w:t>
            </w:r>
            <w:r w:rsidRPr="000B61B6">
              <w:rPr>
                <w:rFonts w:ascii="Arial" w:hAnsi="Arial" w:cs="Arial"/>
                <w:spacing w:val="-3"/>
              </w:rPr>
              <w:t xml:space="preserve"> </w:t>
            </w:r>
            <w:r w:rsidRPr="000B61B6">
              <w:rPr>
                <w:rFonts w:ascii="Arial" w:hAnsi="Arial" w:cs="Arial"/>
              </w:rPr>
              <w:t>cleaning</w:t>
            </w:r>
            <w:r w:rsidRPr="000B61B6">
              <w:rPr>
                <w:rFonts w:ascii="Arial" w:hAnsi="Arial" w:cs="Arial"/>
                <w:spacing w:val="-4"/>
              </w:rPr>
              <w:t xml:space="preserve"> </w:t>
            </w:r>
            <w:r w:rsidRPr="000B61B6">
              <w:rPr>
                <w:rFonts w:ascii="Arial" w:hAnsi="Arial" w:cs="Arial"/>
              </w:rPr>
              <w:t>and/or</w:t>
            </w:r>
            <w:r w:rsidRPr="000B61B6">
              <w:rPr>
                <w:rFonts w:ascii="Arial" w:hAnsi="Arial" w:cs="Arial"/>
                <w:spacing w:val="-3"/>
              </w:rPr>
              <w:t xml:space="preserve"> </w:t>
            </w:r>
            <w:r w:rsidRPr="000B61B6">
              <w:rPr>
                <w:rFonts w:ascii="Arial" w:hAnsi="Arial" w:cs="Arial"/>
              </w:rPr>
              <w:t>replacement</w:t>
            </w:r>
          </w:p>
        </w:tc>
        <w:tc>
          <w:tcPr>
            <w:tcW w:w="1530" w:type="dxa"/>
          </w:tcPr>
          <w:p w14:paraId="1F01C5FB" w14:textId="77777777" w:rsidR="000B61B6" w:rsidRPr="000B61B6" w:rsidRDefault="000B61B6" w:rsidP="00BE4A83">
            <w:pPr>
              <w:pStyle w:val="TableParagraph"/>
              <w:spacing w:line="225" w:lineRule="exact"/>
              <w:ind w:left="84"/>
              <w:rPr>
                <w:rFonts w:ascii="Arial" w:hAnsi="Arial" w:cs="Arial"/>
              </w:rPr>
            </w:pPr>
            <w:r w:rsidRPr="000B61B6">
              <w:rPr>
                <w:rFonts w:ascii="Arial" w:hAnsi="Arial" w:cs="Arial"/>
              </w:rPr>
              <w:t>Yes</w:t>
            </w:r>
          </w:p>
        </w:tc>
      </w:tr>
      <w:tr w:rsidR="000B61B6" w:rsidRPr="000B61B6" w14:paraId="1A730213" w14:textId="77777777" w:rsidTr="0080379D">
        <w:trPr>
          <w:trHeight w:val="243"/>
        </w:trPr>
        <w:tc>
          <w:tcPr>
            <w:tcW w:w="895" w:type="dxa"/>
            <w:vMerge/>
            <w:shd w:val="clear" w:color="auto" w:fill="F2F2F2" w:themeFill="background1" w:themeFillShade="F2"/>
          </w:tcPr>
          <w:p w14:paraId="1ADC0B9F" w14:textId="77777777" w:rsidR="000B61B6" w:rsidRPr="00093EB0" w:rsidRDefault="000B61B6" w:rsidP="00093EB0">
            <w:pPr>
              <w:jc w:val="center"/>
              <w:rPr>
                <w:rFonts w:ascii="Arial" w:hAnsi="Arial" w:cs="Arial"/>
                <w:b/>
              </w:rPr>
            </w:pPr>
          </w:p>
        </w:tc>
        <w:tc>
          <w:tcPr>
            <w:tcW w:w="2250" w:type="dxa"/>
            <w:vMerge/>
          </w:tcPr>
          <w:p w14:paraId="06B6A38A" w14:textId="77777777" w:rsidR="000B61B6" w:rsidRPr="000B61B6" w:rsidRDefault="000B61B6" w:rsidP="00BE4A83">
            <w:pPr>
              <w:rPr>
                <w:rFonts w:ascii="Arial" w:hAnsi="Arial" w:cs="Arial"/>
                <w:sz w:val="2"/>
                <w:szCs w:val="2"/>
              </w:rPr>
            </w:pPr>
          </w:p>
        </w:tc>
        <w:tc>
          <w:tcPr>
            <w:tcW w:w="4860" w:type="dxa"/>
          </w:tcPr>
          <w:p w14:paraId="27AC9144" w14:textId="77777777" w:rsidR="000B61B6" w:rsidRPr="000B61B6" w:rsidRDefault="000B61B6" w:rsidP="00D21D45">
            <w:pPr>
              <w:pStyle w:val="TableParagraph"/>
              <w:spacing w:line="222" w:lineRule="exact"/>
              <w:ind w:left="84"/>
              <w:jc w:val="both"/>
              <w:rPr>
                <w:rFonts w:ascii="Arial" w:hAnsi="Arial" w:cs="Arial"/>
              </w:rPr>
            </w:pPr>
            <w:r w:rsidRPr="000B61B6">
              <w:rPr>
                <w:rFonts w:ascii="Arial" w:hAnsi="Arial" w:cs="Arial"/>
              </w:rPr>
              <w:t>Fuel</w:t>
            </w:r>
            <w:r w:rsidRPr="000B61B6">
              <w:rPr>
                <w:rFonts w:ascii="Arial" w:hAnsi="Arial" w:cs="Arial"/>
                <w:spacing w:val="-1"/>
              </w:rPr>
              <w:t xml:space="preserve"> </w:t>
            </w:r>
            <w:r w:rsidRPr="000B61B6">
              <w:rPr>
                <w:rFonts w:ascii="Arial" w:hAnsi="Arial" w:cs="Arial"/>
              </w:rPr>
              <w:t>—</w:t>
            </w:r>
            <w:r w:rsidRPr="000B61B6">
              <w:rPr>
                <w:rFonts w:ascii="Arial" w:hAnsi="Arial" w:cs="Arial"/>
                <w:spacing w:val="-2"/>
              </w:rPr>
              <w:t xml:space="preserve"> </w:t>
            </w:r>
            <w:r w:rsidRPr="000B61B6">
              <w:rPr>
                <w:rFonts w:ascii="Arial" w:hAnsi="Arial" w:cs="Arial"/>
              </w:rPr>
              <w:t>mixing</w:t>
            </w:r>
            <w:r w:rsidRPr="000B61B6">
              <w:rPr>
                <w:rFonts w:ascii="Arial" w:hAnsi="Arial" w:cs="Arial"/>
                <w:spacing w:val="-3"/>
              </w:rPr>
              <w:t xml:space="preserve"> </w:t>
            </w:r>
            <w:r w:rsidRPr="000B61B6">
              <w:rPr>
                <w:rFonts w:ascii="Arial" w:hAnsi="Arial" w:cs="Arial"/>
              </w:rPr>
              <w:t>of</w:t>
            </w:r>
            <w:r w:rsidRPr="000B61B6">
              <w:rPr>
                <w:rFonts w:ascii="Arial" w:hAnsi="Arial" w:cs="Arial"/>
                <w:spacing w:val="-4"/>
              </w:rPr>
              <w:t xml:space="preserve"> </w:t>
            </w:r>
            <w:r w:rsidRPr="000B61B6">
              <w:rPr>
                <w:rFonts w:ascii="Arial" w:hAnsi="Arial" w:cs="Arial"/>
              </w:rPr>
              <w:t>required</w:t>
            </w:r>
            <w:r w:rsidRPr="000B61B6">
              <w:rPr>
                <w:rFonts w:ascii="Arial" w:hAnsi="Arial" w:cs="Arial"/>
                <w:spacing w:val="-2"/>
              </w:rPr>
              <w:t xml:space="preserve"> </w:t>
            </w:r>
            <w:r w:rsidRPr="000B61B6">
              <w:rPr>
                <w:rFonts w:ascii="Arial" w:hAnsi="Arial" w:cs="Arial"/>
              </w:rPr>
              <w:t>oil</w:t>
            </w:r>
            <w:r w:rsidRPr="000B61B6">
              <w:rPr>
                <w:rFonts w:ascii="Arial" w:hAnsi="Arial" w:cs="Arial"/>
                <w:spacing w:val="-2"/>
              </w:rPr>
              <w:t xml:space="preserve"> </w:t>
            </w:r>
            <w:r w:rsidRPr="000B61B6">
              <w:rPr>
                <w:rFonts w:ascii="Arial" w:hAnsi="Arial" w:cs="Arial"/>
              </w:rPr>
              <w:t>into</w:t>
            </w:r>
            <w:r w:rsidRPr="000B61B6">
              <w:rPr>
                <w:rFonts w:ascii="Arial" w:hAnsi="Arial" w:cs="Arial"/>
                <w:spacing w:val="-2"/>
              </w:rPr>
              <w:t xml:space="preserve"> </w:t>
            </w:r>
            <w:r w:rsidRPr="000B61B6">
              <w:rPr>
                <w:rFonts w:ascii="Arial" w:hAnsi="Arial" w:cs="Arial"/>
              </w:rPr>
              <w:t>fuel</w:t>
            </w:r>
          </w:p>
        </w:tc>
        <w:tc>
          <w:tcPr>
            <w:tcW w:w="1530" w:type="dxa"/>
          </w:tcPr>
          <w:p w14:paraId="224DB705" w14:textId="77777777" w:rsidR="000B61B6" w:rsidRPr="000B61B6" w:rsidRDefault="000B61B6" w:rsidP="00BE4A83">
            <w:pPr>
              <w:pStyle w:val="TableParagraph"/>
              <w:spacing w:line="222" w:lineRule="exact"/>
              <w:ind w:left="84"/>
              <w:rPr>
                <w:rFonts w:ascii="Arial" w:hAnsi="Arial" w:cs="Arial"/>
              </w:rPr>
            </w:pPr>
            <w:r w:rsidRPr="000B61B6">
              <w:rPr>
                <w:rFonts w:ascii="Arial" w:hAnsi="Arial" w:cs="Arial"/>
              </w:rPr>
              <w:t>Yes</w:t>
            </w:r>
          </w:p>
        </w:tc>
      </w:tr>
      <w:tr w:rsidR="000B61B6" w:rsidRPr="000B61B6" w14:paraId="6C30A3D0" w14:textId="77777777" w:rsidTr="0080379D">
        <w:trPr>
          <w:trHeight w:val="245"/>
        </w:trPr>
        <w:tc>
          <w:tcPr>
            <w:tcW w:w="895" w:type="dxa"/>
            <w:shd w:val="clear" w:color="auto" w:fill="F2F2F2" w:themeFill="background1" w:themeFillShade="F2"/>
          </w:tcPr>
          <w:p w14:paraId="492362C7" w14:textId="77777777" w:rsidR="000B61B6" w:rsidRPr="000B61B6" w:rsidRDefault="000B61B6" w:rsidP="00093EB0">
            <w:pPr>
              <w:jc w:val="center"/>
              <w:rPr>
                <w:rFonts w:ascii="Arial" w:hAnsi="Arial" w:cs="Arial"/>
                <w:b/>
              </w:rPr>
            </w:pPr>
            <w:r w:rsidRPr="000B61B6">
              <w:rPr>
                <w:rFonts w:ascii="Arial" w:hAnsi="Arial" w:cs="Arial"/>
                <w:b/>
              </w:rPr>
              <w:t>74</w:t>
            </w:r>
          </w:p>
        </w:tc>
        <w:tc>
          <w:tcPr>
            <w:tcW w:w="2250" w:type="dxa"/>
          </w:tcPr>
          <w:p w14:paraId="6D9137E5" w14:textId="77777777" w:rsidR="000B61B6" w:rsidRPr="000B61B6" w:rsidRDefault="000B61B6" w:rsidP="00BE4A83">
            <w:pPr>
              <w:pStyle w:val="TableParagraph"/>
              <w:spacing w:line="225" w:lineRule="exact"/>
              <w:rPr>
                <w:rFonts w:ascii="Arial" w:hAnsi="Arial" w:cs="Arial"/>
              </w:rPr>
            </w:pPr>
            <w:r w:rsidRPr="000B61B6">
              <w:rPr>
                <w:rFonts w:ascii="Arial" w:hAnsi="Arial" w:cs="Arial"/>
              </w:rPr>
              <w:t>Ignition</w:t>
            </w:r>
          </w:p>
        </w:tc>
        <w:tc>
          <w:tcPr>
            <w:tcW w:w="4860" w:type="dxa"/>
          </w:tcPr>
          <w:p w14:paraId="771A3098" w14:textId="77777777" w:rsidR="000B61B6" w:rsidRPr="000B61B6" w:rsidRDefault="000B61B6" w:rsidP="00D21D45">
            <w:pPr>
              <w:pStyle w:val="TableParagraph"/>
              <w:spacing w:line="225" w:lineRule="exact"/>
              <w:ind w:left="84"/>
              <w:jc w:val="both"/>
              <w:rPr>
                <w:rFonts w:ascii="Arial" w:hAnsi="Arial" w:cs="Arial"/>
              </w:rPr>
            </w:pPr>
            <w:r w:rsidRPr="000B61B6">
              <w:rPr>
                <w:rFonts w:ascii="Arial" w:hAnsi="Arial" w:cs="Arial"/>
              </w:rPr>
              <w:t>Spark</w:t>
            </w:r>
            <w:r w:rsidRPr="000B61B6">
              <w:rPr>
                <w:rFonts w:ascii="Arial" w:hAnsi="Arial" w:cs="Arial"/>
                <w:spacing w:val="-1"/>
              </w:rPr>
              <w:t xml:space="preserve"> </w:t>
            </w:r>
            <w:r w:rsidRPr="000B61B6">
              <w:rPr>
                <w:rFonts w:ascii="Arial" w:hAnsi="Arial" w:cs="Arial"/>
              </w:rPr>
              <w:t>plugs</w:t>
            </w:r>
            <w:r w:rsidRPr="000B61B6">
              <w:rPr>
                <w:rFonts w:ascii="Arial" w:hAnsi="Arial" w:cs="Arial"/>
                <w:spacing w:val="-4"/>
              </w:rPr>
              <w:t xml:space="preserve"> </w:t>
            </w:r>
            <w:r w:rsidRPr="000B61B6">
              <w:rPr>
                <w:rFonts w:ascii="Arial" w:hAnsi="Arial" w:cs="Arial"/>
              </w:rPr>
              <w:t>—</w:t>
            </w:r>
            <w:r w:rsidRPr="000B61B6">
              <w:rPr>
                <w:rFonts w:ascii="Arial" w:hAnsi="Arial" w:cs="Arial"/>
                <w:spacing w:val="-3"/>
              </w:rPr>
              <w:t xml:space="preserve"> </w:t>
            </w:r>
            <w:r w:rsidRPr="000B61B6">
              <w:rPr>
                <w:rFonts w:ascii="Arial" w:hAnsi="Arial" w:cs="Arial"/>
              </w:rPr>
              <w:t>removal,</w:t>
            </w:r>
            <w:r w:rsidRPr="000B61B6">
              <w:rPr>
                <w:rFonts w:ascii="Arial" w:hAnsi="Arial" w:cs="Arial"/>
                <w:spacing w:val="-3"/>
              </w:rPr>
              <w:t xml:space="preserve"> </w:t>
            </w:r>
            <w:r w:rsidRPr="000B61B6">
              <w:rPr>
                <w:rFonts w:ascii="Arial" w:hAnsi="Arial" w:cs="Arial"/>
              </w:rPr>
              <w:t>cleaning,</w:t>
            </w:r>
            <w:r w:rsidRPr="000B61B6">
              <w:rPr>
                <w:rFonts w:ascii="Arial" w:hAnsi="Arial" w:cs="Arial"/>
                <w:spacing w:val="-3"/>
              </w:rPr>
              <w:t xml:space="preserve"> </w:t>
            </w:r>
            <w:r w:rsidRPr="000B61B6">
              <w:rPr>
                <w:rFonts w:ascii="Arial" w:hAnsi="Arial" w:cs="Arial"/>
              </w:rPr>
              <w:t>adjustment</w:t>
            </w:r>
            <w:r w:rsidRPr="000B61B6">
              <w:rPr>
                <w:rFonts w:ascii="Arial" w:hAnsi="Arial" w:cs="Arial"/>
                <w:spacing w:val="-3"/>
              </w:rPr>
              <w:t xml:space="preserve"> </w:t>
            </w:r>
            <w:r w:rsidRPr="000B61B6">
              <w:rPr>
                <w:rFonts w:ascii="Arial" w:hAnsi="Arial" w:cs="Arial"/>
              </w:rPr>
              <w:t>and</w:t>
            </w:r>
            <w:r w:rsidRPr="000B61B6">
              <w:rPr>
                <w:rFonts w:ascii="Arial" w:hAnsi="Arial" w:cs="Arial"/>
                <w:spacing w:val="-3"/>
              </w:rPr>
              <w:t xml:space="preserve"> </w:t>
            </w:r>
            <w:r w:rsidRPr="000B61B6">
              <w:rPr>
                <w:rFonts w:ascii="Arial" w:hAnsi="Arial" w:cs="Arial"/>
              </w:rPr>
              <w:t>reinstallation</w:t>
            </w:r>
          </w:p>
        </w:tc>
        <w:tc>
          <w:tcPr>
            <w:tcW w:w="1530" w:type="dxa"/>
          </w:tcPr>
          <w:p w14:paraId="42C72058" w14:textId="77777777" w:rsidR="000B61B6" w:rsidRPr="000B61B6" w:rsidRDefault="000B61B6" w:rsidP="00BE4A83">
            <w:pPr>
              <w:pStyle w:val="TableParagraph"/>
              <w:spacing w:line="225" w:lineRule="exact"/>
              <w:ind w:left="84"/>
              <w:rPr>
                <w:rFonts w:ascii="Arial" w:hAnsi="Arial" w:cs="Arial"/>
              </w:rPr>
            </w:pPr>
            <w:r w:rsidRPr="000B61B6">
              <w:rPr>
                <w:rFonts w:ascii="Arial" w:hAnsi="Arial" w:cs="Arial"/>
              </w:rPr>
              <w:t>Yes</w:t>
            </w:r>
          </w:p>
        </w:tc>
      </w:tr>
      <w:tr w:rsidR="000B61B6" w:rsidRPr="000B61B6" w14:paraId="2378A546" w14:textId="77777777" w:rsidTr="0080379D">
        <w:trPr>
          <w:trHeight w:val="243"/>
        </w:trPr>
        <w:tc>
          <w:tcPr>
            <w:tcW w:w="895" w:type="dxa"/>
            <w:shd w:val="clear" w:color="auto" w:fill="F2F2F2" w:themeFill="background1" w:themeFillShade="F2"/>
          </w:tcPr>
          <w:p w14:paraId="21094638" w14:textId="77777777" w:rsidR="000B61B6" w:rsidRPr="000B61B6" w:rsidRDefault="000B61B6" w:rsidP="00093EB0">
            <w:pPr>
              <w:jc w:val="center"/>
              <w:rPr>
                <w:rFonts w:ascii="Arial" w:hAnsi="Arial" w:cs="Arial"/>
                <w:b/>
              </w:rPr>
            </w:pPr>
            <w:r w:rsidRPr="000B61B6">
              <w:rPr>
                <w:rFonts w:ascii="Arial" w:hAnsi="Arial" w:cs="Arial"/>
                <w:b/>
              </w:rPr>
              <w:t>75</w:t>
            </w:r>
          </w:p>
        </w:tc>
        <w:tc>
          <w:tcPr>
            <w:tcW w:w="2250" w:type="dxa"/>
          </w:tcPr>
          <w:p w14:paraId="7BD79C4B" w14:textId="77777777" w:rsidR="000B61B6" w:rsidRPr="000B61B6" w:rsidRDefault="000B61B6" w:rsidP="00BE4A83">
            <w:pPr>
              <w:pStyle w:val="TableParagraph"/>
              <w:spacing w:line="222" w:lineRule="exact"/>
              <w:rPr>
                <w:rFonts w:ascii="Arial" w:hAnsi="Arial" w:cs="Arial"/>
              </w:rPr>
            </w:pPr>
            <w:r w:rsidRPr="000B61B6">
              <w:rPr>
                <w:rFonts w:ascii="Arial" w:hAnsi="Arial" w:cs="Arial"/>
              </w:rPr>
              <w:t>Cooling</w:t>
            </w:r>
          </w:p>
        </w:tc>
        <w:tc>
          <w:tcPr>
            <w:tcW w:w="4860" w:type="dxa"/>
          </w:tcPr>
          <w:p w14:paraId="1993F42A" w14:textId="77777777" w:rsidR="000B61B6" w:rsidRPr="000B61B6" w:rsidRDefault="000B61B6" w:rsidP="00D21D45">
            <w:pPr>
              <w:pStyle w:val="TableParagraph"/>
              <w:spacing w:line="222" w:lineRule="exact"/>
              <w:ind w:left="84"/>
              <w:jc w:val="both"/>
              <w:rPr>
                <w:rFonts w:ascii="Arial" w:hAnsi="Arial" w:cs="Arial"/>
              </w:rPr>
            </w:pPr>
            <w:r w:rsidRPr="000B61B6">
              <w:rPr>
                <w:rFonts w:ascii="Arial" w:hAnsi="Arial" w:cs="Arial"/>
              </w:rPr>
              <w:t>Coolant</w:t>
            </w:r>
            <w:r w:rsidRPr="000B61B6">
              <w:rPr>
                <w:rFonts w:ascii="Arial" w:hAnsi="Arial" w:cs="Arial"/>
                <w:spacing w:val="-2"/>
              </w:rPr>
              <w:t xml:space="preserve"> </w:t>
            </w:r>
            <w:r w:rsidRPr="000B61B6">
              <w:rPr>
                <w:rFonts w:ascii="Arial" w:hAnsi="Arial" w:cs="Arial"/>
              </w:rPr>
              <w:t>—</w:t>
            </w:r>
            <w:r w:rsidRPr="000B61B6">
              <w:rPr>
                <w:rFonts w:ascii="Arial" w:hAnsi="Arial" w:cs="Arial"/>
                <w:spacing w:val="-2"/>
              </w:rPr>
              <w:t xml:space="preserve"> </w:t>
            </w:r>
            <w:r w:rsidRPr="000B61B6">
              <w:rPr>
                <w:rFonts w:ascii="Arial" w:hAnsi="Arial" w:cs="Arial"/>
              </w:rPr>
              <w:t>replenishment</w:t>
            </w:r>
            <w:r w:rsidRPr="000B61B6">
              <w:rPr>
                <w:rFonts w:ascii="Arial" w:hAnsi="Arial" w:cs="Arial"/>
                <w:spacing w:val="-3"/>
              </w:rPr>
              <w:t xml:space="preserve"> </w:t>
            </w:r>
            <w:r w:rsidRPr="000B61B6">
              <w:rPr>
                <w:rFonts w:ascii="Arial" w:hAnsi="Arial" w:cs="Arial"/>
              </w:rPr>
              <w:t>of</w:t>
            </w:r>
            <w:r w:rsidRPr="000B61B6">
              <w:rPr>
                <w:rFonts w:ascii="Arial" w:hAnsi="Arial" w:cs="Arial"/>
                <w:spacing w:val="-4"/>
              </w:rPr>
              <w:t xml:space="preserve"> </w:t>
            </w:r>
            <w:r w:rsidRPr="000B61B6">
              <w:rPr>
                <w:rFonts w:ascii="Arial" w:hAnsi="Arial" w:cs="Arial"/>
              </w:rPr>
              <w:t>coolant</w:t>
            </w:r>
            <w:r w:rsidRPr="000B61B6">
              <w:rPr>
                <w:rFonts w:ascii="Arial" w:hAnsi="Arial" w:cs="Arial"/>
                <w:spacing w:val="-2"/>
              </w:rPr>
              <w:t xml:space="preserve"> </w:t>
            </w:r>
            <w:r w:rsidRPr="000B61B6">
              <w:rPr>
                <w:rFonts w:ascii="Arial" w:hAnsi="Arial" w:cs="Arial"/>
              </w:rPr>
              <w:t>fluid</w:t>
            </w:r>
          </w:p>
        </w:tc>
        <w:tc>
          <w:tcPr>
            <w:tcW w:w="1530" w:type="dxa"/>
          </w:tcPr>
          <w:p w14:paraId="5C0AC01B" w14:textId="77777777" w:rsidR="000B61B6" w:rsidRPr="000B61B6" w:rsidRDefault="000B61B6" w:rsidP="00BE4A83">
            <w:pPr>
              <w:pStyle w:val="TableParagraph"/>
              <w:spacing w:line="222" w:lineRule="exact"/>
              <w:ind w:left="84"/>
              <w:rPr>
                <w:rFonts w:ascii="Arial" w:hAnsi="Arial" w:cs="Arial"/>
              </w:rPr>
            </w:pPr>
            <w:r w:rsidRPr="000B61B6">
              <w:rPr>
                <w:rFonts w:ascii="Arial" w:hAnsi="Arial" w:cs="Arial"/>
              </w:rPr>
              <w:t>Yes</w:t>
            </w:r>
          </w:p>
        </w:tc>
      </w:tr>
      <w:tr w:rsidR="000B61B6" w:rsidRPr="000B61B6" w14:paraId="208AC906" w14:textId="77777777" w:rsidTr="0080379D">
        <w:trPr>
          <w:trHeight w:val="732"/>
        </w:trPr>
        <w:tc>
          <w:tcPr>
            <w:tcW w:w="895" w:type="dxa"/>
            <w:shd w:val="clear" w:color="auto" w:fill="F2F2F2" w:themeFill="background1" w:themeFillShade="F2"/>
          </w:tcPr>
          <w:p w14:paraId="6669439F" w14:textId="77777777" w:rsidR="000B61B6" w:rsidRPr="000B61B6" w:rsidRDefault="000B61B6" w:rsidP="00093EB0">
            <w:pPr>
              <w:jc w:val="center"/>
              <w:rPr>
                <w:rFonts w:ascii="Arial" w:hAnsi="Arial" w:cs="Arial"/>
                <w:b/>
              </w:rPr>
            </w:pPr>
            <w:r w:rsidRPr="000B61B6">
              <w:rPr>
                <w:rFonts w:ascii="Arial" w:hAnsi="Arial" w:cs="Arial"/>
                <w:b/>
              </w:rPr>
              <w:t>77</w:t>
            </w:r>
          </w:p>
        </w:tc>
        <w:tc>
          <w:tcPr>
            <w:tcW w:w="2250" w:type="dxa"/>
          </w:tcPr>
          <w:p w14:paraId="6F5418C1" w14:textId="77777777" w:rsidR="000B61B6" w:rsidRPr="000B61B6" w:rsidRDefault="000B61B6" w:rsidP="00BE4A83">
            <w:pPr>
              <w:pStyle w:val="TableParagraph"/>
              <w:rPr>
                <w:rFonts w:ascii="Arial" w:hAnsi="Arial" w:cs="Arial"/>
              </w:rPr>
            </w:pPr>
            <w:r w:rsidRPr="000B61B6">
              <w:rPr>
                <w:rFonts w:ascii="Arial" w:hAnsi="Arial" w:cs="Arial"/>
                <w:w w:val="95"/>
              </w:rPr>
              <w:t>Engine-indicating</w:t>
            </w:r>
            <w:r w:rsidRPr="000B61B6">
              <w:rPr>
                <w:rFonts w:ascii="Arial" w:hAnsi="Arial" w:cs="Arial"/>
                <w:spacing w:val="1"/>
                <w:w w:val="95"/>
              </w:rPr>
              <w:t xml:space="preserve"> </w:t>
            </w:r>
            <w:r w:rsidRPr="000B61B6">
              <w:rPr>
                <w:rFonts w:ascii="Arial" w:hAnsi="Arial" w:cs="Arial"/>
              </w:rPr>
              <w:t>system</w:t>
            </w:r>
          </w:p>
        </w:tc>
        <w:tc>
          <w:tcPr>
            <w:tcW w:w="4860" w:type="dxa"/>
          </w:tcPr>
          <w:p w14:paraId="084696D5" w14:textId="77777777" w:rsidR="000B61B6" w:rsidRPr="000B61B6" w:rsidRDefault="000B61B6" w:rsidP="00D21D45">
            <w:pPr>
              <w:pStyle w:val="TableParagraph"/>
              <w:ind w:left="84"/>
              <w:jc w:val="both"/>
              <w:rPr>
                <w:rFonts w:ascii="Arial" w:hAnsi="Arial" w:cs="Arial"/>
              </w:rPr>
            </w:pPr>
            <w:r w:rsidRPr="000B61B6">
              <w:rPr>
                <w:rFonts w:ascii="Arial" w:hAnsi="Arial" w:cs="Arial"/>
              </w:rPr>
              <w:t>Engine-indicating system — removal and replacement of self-</w:t>
            </w:r>
            <w:r w:rsidRPr="000B61B6">
              <w:rPr>
                <w:rFonts w:ascii="Arial" w:hAnsi="Arial" w:cs="Arial"/>
                <w:spacing w:val="1"/>
              </w:rPr>
              <w:t xml:space="preserve"> </w:t>
            </w:r>
            <w:r w:rsidRPr="000B61B6">
              <w:rPr>
                <w:rFonts w:ascii="Arial" w:hAnsi="Arial" w:cs="Arial"/>
              </w:rPr>
              <w:t>contained,</w:t>
            </w:r>
            <w:r w:rsidRPr="000B61B6">
              <w:rPr>
                <w:rFonts w:ascii="Arial" w:hAnsi="Arial" w:cs="Arial"/>
                <w:spacing w:val="-3"/>
              </w:rPr>
              <w:t xml:space="preserve"> </w:t>
            </w:r>
            <w:r w:rsidRPr="000B61B6">
              <w:rPr>
                <w:rFonts w:ascii="Arial" w:hAnsi="Arial" w:cs="Arial"/>
              </w:rPr>
              <w:t>instrument-panel-mounted</w:t>
            </w:r>
            <w:r w:rsidRPr="000B61B6">
              <w:rPr>
                <w:rFonts w:ascii="Arial" w:hAnsi="Arial" w:cs="Arial"/>
                <w:spacing w:val="-3"/>
              </w:rPr>
              <w:t xml:space="preserve"> </w:t>
            </w:r>
            <w:r w:rsidRPr="000B61B6">
              <w:rPr>
                <w:rFonts w:ascii="Arial" w:hAnsi="Arial" w:cs="Arial"/>
              </w:rPr>
              <w:t>indicators</w:t>
            </w:r>
            <w:r w:rsidRPr="000B61B6">
              <w:rPr>
                <w:rFonts w:ascii="Arial" w:hAnsi="Arial" w:cs="Arial"/>
                <w:spacing w:val="-5"/>
              </w:rPr>
              <w:t xml:space="preserve"> </w:t>
            </w:r>
            <w:r w:rsidRPr="000B61B6">
              <w:rPr>
                <w:rFonts w:ascii="Arial" w:hAnsi="Arial" w:cs="Arial"/>
              </w:rPr>
              <w:t>that</w:t>
            </w:r>
            <w:r w:rsidRPr="000B61B6">
              <w:rPr>
                <w:rFonts w:ascii="Arial" w:hAnsi="Arial" w:cs="Arial"/>
                <w:spacing w:val="-3"/>
              </w:rPr>
              <w:t xml:space="preserve"> </w:t>
            </w:r>
            <w:r w:rsidRPr="000B61B6">
              <w:rPr>
                <w:rFonts w:ascii="Arial" w:hAnsi="Arial" w:cs="Arial"/>
              </w:rPr>
              <w:t>have</w:t>
            </w:r>
            <w:r w:rsidRPr="000B61B6">
              <w:rPr>
                <w:rFonts w:ascii="Arial" w:hAnsi="Arial" w:cs="Arial"/>
                <w:spacing w:val="-4"/>
              </w:rPr>
              <w:t xml:space="preserve"> </w:t>
            </w:r>
            <w:r w:rsidR="00D21D45">
              <w:rPr>
                <w:rFonts w:ascii="Arial" w:hAnsi="Arial" w:cs="Arial"/>
              </w:rPr>
              <w:t>quick-</w:t>
            </w:r>
            <w:r w:rsidRPr="000B61B6">
              <w:rPr>
                <w:rFonts w:ascii="Arial" w:hAnsi="Arial" w:cs="Arial"/>
              </w:rPr>
              <w:t>release</w:t>
            </w:r>
            <w:r w:rsidRPr="000B61B6">
              <w:rPr>
                <w:rFonts w:ascii="Arial" w:hAnsi="Arial" w:cs="Arial"/>
                <w:spacing w:val="-4"/>
              </w:rPr>
              <w:t xml:space="preserve"> </w:t>
            </w:r>
            <w:r w:rsidRPr="000B61B6">
              <w:rPr>
                <w:rFonts w:ascii="Arial" w:hAnsi="Arial" w:cs="Arial"/>
              </w:rPr>
              <w:t>connectors</w:t>
            </w:r>
            <w:r w:rsidRPr="000B61B6">
              <w:rPr>
                <w:rFonts w:ascii="Arial" w:hAnsi="Arial" w:cs="Arial"/>
                <w:spacing w:val="-5"/>
              </w:rPr>
              <w:t xml:space="preserve"> </w:t>
            </w:r>
            <w:r w:rsidRPr="000B61B6">
              <w:rPr>
                <w:rFonts w:ascii="Arial" w:hAnsi="Arial" w:cs="Arial"/>
              </w:rPr>
              <w:t>and</w:t>
            </w:r>
            <w:r w:rsidRPr="000B61B6">
              <w:rPr>
                <w:rFonts w:ascii="Arial" w:hAnsi="Arial" w:cs="Arial"/>
                <w:spacing w:val="-2"/>
              </w:rPr>
              <w:t xml:space="preserve"> </w:t>
            </w:r>
            <w:r w:rsidRPr="000B61B6">
              <w:rPr>
                <w:rFonts w:ascii="Arial" w:hAnsi="Arial" w:cs="Arial"/>
              </w:rPr>
              <w:t>do</w:t>
            </w:r>
            <w:r w:rsidRPr="000B61B6">
              <w:rPr>
                <w:rFonts w:ascii="Arial" w:hAnsi="Arial" w:cs="Arial"/>
                <w:spacing w:val="-3"/>
              </w:rPr>
              <w:t xml:space="preserve"> </w:t>
            </w:r>
            <w:r w:rsidRPr="000B61B6">
              <w:rPr>
                <w:rFonts w:ascii="Arial" w:hAnsi="Arial" w:cs="Arial"/>
              </w:rPr>
              <w:t>not</w:t>
            </w:r>
            <w:r w:rsidRPr="000B61B6">
              <w:rPr>
                <w:rFonts w:ascii="Arial" w:hAnsi="Arial" w:cs="Arial"/>
                <w:spacing w:val="-2"/>
              </w:rPr>
              <w:t xml:space="preserve"> </w:t>
            </w:r>
            <w:r w:rsidRPr="000B61B6">
              <w:rPr>
                <w:rFonts w:ascii="Arial" w:hAnsi="Arial" w:cs="Arial"/>
              </w:rPr>
              <w:t>employ</w:t>
            </w:r>
            <w:r w:rsidRPr="000B61B6">
              <w:rPr>
                <w:rFonts w:ascii="Arial" w:hAnsi="Arial" w:cs="Arial"/>
                <w:spacing w:val="-2"/>
              </w:rPr>
              <w:t xml:space="preserve"> </w:t>
            </w:r>
            <w:r w:rsidRPr="000B61B6">
              <w:rPr>
                <w:rFonts w:ascii="Arial" w:hAnsi="Arial" w:cs="Arial"/>
              </w:rPr>
              <w:t>direct</w:t>
            </w:r>
            <w:r w:rsidRPr="000B61B6">
              <w:rPr>
                <w:rFonts w:ascii="Arial" w:hAnsi="Arial" w:cs="Arial"/>
                <w:spacing w:val="-3"/>
              </w:rPr>
              <w:t xml:space="preserve"> </w:t>
            </w:r>
            <w:r w:rsidRPr="000B61B6">
              <w:rPr>
                <w:rFonts w:ascii="Arial" w:hAnsi="Arial" w:cs="Arial"/>
              </w:rPr>
              <w:t>reading</w:t>
            </w:r>
            <w:r w:rsidRPr="000B61B6">
              <w:rPr>
                <w:rFonts w:ascii="Arial" w:hAnsi="Arial" w:cs="Arial"/>
                <w:spacing w:val="-3"/>
              </w:rPr>
              <w:t xml:space="preserve"> </w:t>
            </w:r>
            <w:r w:rsidRPr="000B61B6">
              <w:rPr>
                <w:rFonts w:ascii="Arial" w:hAnsi="Arial" w:cs="Arial"/>
              </w:rPr>
              <w:t>connections</w:t>
            </w:r>
          </w:p>
        </w:tc>
        <w:tc>
          <w:tcPr>
            <w:tcW w:w="1530" w:type="dxa"/>
          </w:tcPr>
          <w:p w14:paraId="17152074" w14:textId="77777777" w:rsidR="000B61B6" w:rsidRPr="000B61B6" w:rsidRDefault="000B61B6" w:rsidP="00BE4A83">
            <w:pPr>
              <w:pStyle w:val="TableParagraph"/>
              <w:ind w:left="84"/>
              <w:rPr>
                <w:rFonts w:ascii="Arial" w:hAnsi="Arial" w:cs="Arial"/>
              </w:rPr>
            </w:pPr>
            <w:r w:rsidRPr="000B61B6">
              <w:rPr>
                <w:rFonts w:ascii="Arial" w:hAnsi="Arial" w:cs="Arial"/>
              </w:rPr>
              <w:t>Yes</w:t>
            </w:r>
          </w:p>
        </w:tc>
      </w:tr>
      <w:tr w:rsidR="000B61B6" w:rsidRPr="000B61B6" w14:paraId="2A02B0EB" w14:textId="77777777" w:rsidTr="0080379D">
        <w:trPr>
          <w:trHeight w:val="245"/>
        </w:trPr>
        <w:tc>
          <w:tcPr>
            <w:tcW w:w="895" w:type="dxa"/>
            <w:vMerge w:val="restart"/>
            <w:shd w:val="clear" w:color="auto" w:fill="F2F2F2" w:themeFill="background1" w:themeFillShade="F2"/>
          </w:tcPr>
          <w:p w14:paraId="074EBE94" w14:textId="77777777" w:rsidR="000B61B6" w:rsidRPr="000B61B6" w:rsidRDefault="00063798" w:rsidP="00093EB0">
            <w:pPr>
              <w:jc w:val="center"/>
              <w:rPr>
                <w:rFonts w:ascii="Arial" w:hAnsi="Arial" w:cs="Arial"/>
                <w:b/>
              </w:rPr>
            </w:pPr>
            <w:r w:rsidRPr="00093EB0">
              <w:rPr>
                <w:rFonts w:ascii="Arial" w:hAnsi="Arial" w:cs="Arial"/>
                <w:b/>
              </w:rPr>
              <w:t xml:space="preserve"> </w:t>
            </w:r>
            <w:r w:rsidR="000B61B6" w:rsidRPr="000B61B6">
              <w:rPr>
                <w:rFonts w:ascii="Arial" w:hAnsi="Arial" w:cs="Arial"/>
                <w:b/>
              </w:rPr>
              <w:t>79</w:t>
            </w:r>
          </w:p>
        </w:tc>
        <w:tc>
          <w:tcPr>
            <w:tcW w:w="2250" w:type="dxa"/>
            <w:vMerge w:val="restart"/>
          </w:tcPr>
          <w:p w14:paraId="72F1ED9C" w14:textId="77777777" w:rsidR="000B61B6" w:rsidRPr="000B61B6" w:rsidRDefault="000B61B6" w:rsidP="00BE4A83">
            <w:pPr>
              <w:pStyle w:val="TableParagraph"/>
              <w:rPr>
                <w:rFonts w:ascii="Arial" w:hAnsi="Arial" w:cs="Arial"/>
              </w:rPr>
            </w:pPr>
            <w:r w:rsidRPr="000B61B6">
              <w:rPr>
                <w:rFonts w:ascii="Arial" w:hAnsi="Arial" w:cs="Arial"/>
              </w:rPr>
              <w:t>Oil</w:t>
            </w:r>
            <w:r w:rsidRPr="000B61B6">
              <w:rPr>
                <w:rFonts w:ascii="Arial" w:hAnsi="Arial" w:cs="Arial"/>
                <w:spacing w:val="-4"/>
              </w:rPr>
              <w:t xml:space="preserve"> </w:t>
            </w:r>
            <w:r w:rsidRPr="000B61B6">
              <w:rPr>
                <w:rFonts w:ascii="Arial" w:hAnsi="Arial" w:cs="Arial"/>
              </w:rPr>
              <w:t>system</w:t>
            </w:r>
          </w:p>
        </w:tc>
        <w:tc>
          <w:tcPr>
            <w:tcW w:w="4860" w:type="dxa"/>
          </w:tcPr>
          <w:p w14:paraId="46355C34" w14:textId="77777777" w:rsidR="000B61B6" w:rsidRPr="000B61B6" w:rsidRDefault="000B61B6" w:rsidP="00D21D45">
            <w:pPr>
              <w:pStyle w:val="TableParagraph"/>
              <w:spacing w:line="225" w:lineRule="exact"/>
              <w:ind w:left="84"/>
              <w:jc w:val="both"/>
              <w:rPr>
                <w:rFonts w:ascii="Arial" w:hAnsi="Arial" w:cs="Arial"/>
              </w:rPr>
            </w:pPr>
            <w:r w:rsidRPr="000B61B6">
              <w:rPr>
                <w:rFonts w:ascii="Arial" w:hAnsi="Arial" w:cs="Arial"/>
              </w:rPr>
              <w:t>Strainer</w:t>
            </w:r>
            <w:r w:rsidRPr="000B61B6">
              <w:rPr>
                <w:rFonts w:ascii="Arial" w:hAnsi="Arial" w:cs="Arial"/>
                <w:spacing w:val="-3"/>
              </w:rPr>
              <w:t xml:space="preserve"> </w:t>
            </w:r>
            <w:r w:rsidRPr="000B61B6">
              <w:rPr>
                <w:rFonts w:ascii="Arial" w:hAnsi="Arial" w:cs="Arial"/>
              </w:rPr>
              <w:t>or</w:t>
            </w:r>
            <w:r w:rsidRPr="000B61B6">
              <w:rPr>
                <w:rFonts w:ascii="Arial" w:hAnsi="Arial" w:cs="Arial"/>
                <w:spacing w:val="-4"/>
              </w:rPr>
              <w:t xml:space="preserve"> </w:t>
            </w:r>
            <w:r w:rsidRPr="000B61B6">
              <w:rPr>
                <w:rFonts w:ascii="Arial" w:hAnsi="Arial" w:cs="Arial"/>
              </w:rPr>
              <w:t>filter</w:t>
            </w:r>
            <w:r w:rsidRPr="000B61B6">
              <w:rPr>
                <w:rFonts w:ascii="Arial" w:hAnsi="Arial" w:cs="Arial"/>
                <w:spacing w:val="-1"/>
              </w:rPr>
              <w:t xml:space="preserve"> </w:t>
            </w:r>
            <w:r w:rsidRPr="000B61B6">
              <w:rPr>
                <w:rFonts w:ascii="Arial" w:hAnsi="Arial" w:cs="Arial"/>
              </w:rPr>
              <w:t>elements</w:t>
            </w:r>
            <w:r w:rsidRPr="000B61B6">
              <w:rPr>
                <w:rFonts w:ascii="Arial" w:hAnsi="Arial" w:cs="Arial"/>
                <w:spacing w:val="-2"/>
              </w:rPr>
              <w:t xml:space="preserve"> </w:t>
            </w:r>
            <w:r w:rsidRPr="000B61B6">
              <w:rPr>
                <w:rFonts w:ascii="Arial" w:hAnsi="Arial" w:cs="Arial"/>
              </w:rPr>
              <w:t>—</w:t>
            </w:r>
            <w:r w:rsidRPr="000B61B6">
              <w:rPr>
                <w:rFonts w:ascii="Arial" w:hAnsi="Arial" w:cs="Arial"/>
                <w:spacing w:val="-3"/>
              </w:rPr>
              <w:t xml:space="preserve"> </w:t>
            </w:r>
            <w:r w:rsidRPr="000B61B6">
              <w:rPr>
                <w:rFonts w:ascii="Arial" w:hAnsi="Arial" w:cs="Arial"/>
              </w:rPr>
              <w:t>cleaning</w:t>
            </w:r>
            <w:r w:rsidRPr="000B61B6">
              <w:rPr>
                <w:rFonts w:ascii="Arial" w:hAnsi="Arial" w:cs="Arial"/>
                <w:spacing w:val="-4"/>
              </w:rPr>
              <w:t xml:space="preserve"> </w:t>
            </w:r>
            <w:r w:rsidRPr="000B61B6">
              <w:rPr>
                <w:rFonts w:ascii="Arial" w:hAnsi="Arial" w:cs="Arial"/>
              </w:rPr>
              <w:t>and/or</w:t>
            </w:r>
            <w:r w:rsidRPr="000B61B6">
              <w:rPr>
                <w:rFonts w:ascii="Arial" w:hAnsi="Arial" w:cs="Arial"/>
                <w:spacing w:val="-3"/>
              </w:rPr>
              <w:t xml:space="preserve"> </w:t>
            </w:r>
            <w:r w:rsidRPr="000B61B6">
              <w:rPr>
                <w:rFonts w:ascii="Arial" w:hAnsi="Arial" w:cs="Arial"/>
              </w:rPr>
              <w:t>replacement</w:t>
            </w:r>
          </w:p>
        </w:tc>
        <w:tc>
          <w:tcPr>
            <w:tcW w:w="1530" w:type="dxa"/>
          </w:tcPr>
          <w:p w14:paraId="081F0B57" w14:textId="77777777" w:rsidR="000B61B6" w:rsidRPr="000B61B6" w:rsidRDefault="000B61B6" w:rsidP="00BE4A83">
            <w:pPr>
              <w:pStyle w:val="TableParagraph"/>
              <w:spacing w:line="225" w:lineRule="exact"/>
              <w:ind w:left="84"/>
              <w:rPr>
                <w:rFonts w:ascii="Arial" w:hAnsi="Arial" w:cs="Arial"/>
              </w:rPr>
            </w:pPr>
            <w:r w:rsidRPr="000B61B6">
              <w:rPr>
                <w:rFonts w:ascii="Arial" w:hAnsi="Arial" w:cs="Arial"/>
              </w:rPr>
              <w:t>Yes</w:t>
            </w:r>
          </w:p>
        </w:tc>
      </w:tr>
      <w:tr w:rsidR="000B61B6" w:rsidRPr="000B61B6" w14:paraId="4BC48F63" w14:textId="77777777" w:rsidTr="0080379D">
        <w:trPr>
          <w:trHeight w:val="244"/>
        </w:trPr>
        <w:tc>
          <w:tcPr>
            <w:tcW w:w="895" w:type="dxa"/>
            <w:vMerge/>
            <w:shd w:val="clear" w:color="auto" w:fill="F2F2F2" w:themeFill="background1" w:themeFillShade="F2"/>
          </w:tcPr>
          <w:p w14:paraId="4449F692" w14:textId="77777777" w:rsidR="000B61B6" w:rsidRPr="000B61B6" w:rsidRDefault="000B61B6" w:rsidP="00BE4A83">
            <w:pPr>
              <w:rPr>
                <w:rFonts w:ascii="Arial" w:hAnsi="Arial" w:cs="Arial"/>
                <w:sz w:val="2"/>
                <w:szCs w:val="2"/>
              </w:rPr>
            </w:pPr>
          </w:p>
        </w:tc>
        <w:tc>
          <w:tcPr>
            <w:tcW w:w="2250" w:type="dxa"/>
            <w:vMerge/>
          </w:tcPr>
          <w:p w14:paraId="648518A7" w14:textId="77777777" w:rsidR="000B61B6" w:rsidRPr="000B61B6" w:rsidRDefault="000B61B6" w:rsidP="00BE4A83">
            <w:pPr>
              <w:rPr>
                <w:rFonts w:ascii="Arial" w:hAnsi="Arial" w:cs="Arial"/>
                <w:sz w:val="2"/>
                <w:szCs w:val="2"/>
              </w:rPr>
            </w:pPr>
          </w:p>
        </w:tc>
        <w:tc>
          <w:tcPr>
            <w:tcW w:w="4860" w:type="dxa"/>
          </w:tcPr>
          <w:p w14:paraId="610FA1CC" w14:textId="77777777" w:rsidR="000B61B6" w:rsidRPr="000B61B6" w:rsidRDefault="000B61B6" w:rsidP="00D21D45">
            <w:pPr>
              <w:pStyle w:val="TableParagraph"/>
              <w:spacing w:line="224" w:lineRule="exact"/>
              <w:ind w:left="84"/>
              <w:jc w:val="both"/>
              <w:rPr>
                <w:rFonts w:ascii="Arial" w:hAnsi="Arial" w:cs="Arial"/>
              </w:rPr>
            </w:pPr>
            <w:r w:rsidRPr="000B61B6">
              <w:rPr>
                <w:rFonts w:ascii="Arial" w:hAnsi="Arial" w:cs="Arial"/>
              </w:rPr>
              <w:t>Oil</w:t>
            </w:r>
            <w:r w:rsidRPr="000B61B6">
              <w:rPr>
                <w:rFonts w:ascii="Arial" w:hAnsi="Arial" w:cs="Arial"/>
                <w:spacing w:val="-2"/>
              </w:rPr>
              <w:t xml:space="preserve"> </w:t>
            </w:r>
            <w:r w:rsidRPr="000B61B6">
              <w:rPr>
                <w:rFonts w:ascii="Arial" w:hAnsi="Arial" w:cs="Arial"/>
              </w:rPr>
              <w:t>—</w:t>
            </w:r>
            <w:r w:rsidRPr="000B61B6">
              <w:rPr>
                <w:rFonts w:ascii="Arial" w:hAnsi="Arial" w:cs="Arial"/>
                <w:spacing w:val="-2"/>
              </w:rPr>
              <w:t xml:space="preserve"> </w:t>
            </w:r>
            <w:r w:rsidRPr="000B61B6">
              <w:rPr>
                <w:rFonts w:ascii="Arial" w:hAnsi="Arial" w:cs="Arial"/>
              </w:rPr>
              <w:t>changing</w:t>
            </w:r>
            <w:r w:rsidRPr="000B61B6">
              <w:rPr>
                <w:rFonts w:ascii="Arial" w:hAnsi="Arial" w:cs="Arial"/>
                <w:spacing w:val="-2"/>
              </w:rPr>
              <w:t xml:space="preserve"> </w:t>
            </w:r>
            <w:r w:rsidRPr="000B61B6">
              <w:rPr>
                <w:rFonts w:ascii="Arial" w:hAnsi="Arial" w:cs="Arial"/>
              </w:rPr>
              <w:t>or</w:t>
            </w:r>
            <w:r w:rsidRPr="000B61B6">
              <w:rPr>
                <w:rFonts w:ascii="Arial" w:hAnsi="Arial" w:cs="Arial"/>
                <w:spacing w:val="-2"/>
              </w:rPr>
              <w:t xml:space="preserve"> </w:t>
            </w:r>
            <w:r w:rsidRPr="000B61B6">
              <w:rPr>
                <w:rFonts w:ascii="Arial" w:hAnsi="Arial" w:cs="Arial"/>
              </w:rPr>
              <w:t>replenishment</w:t>
            </w:r>
            <w:r w:rsidRPr="000B61B6">
              <w:rPr>
                <w:rFonts w:ascii="Arial" w:hAnsi="Arial" w:cs="Arial"/>
                <w:spacing w:val="-2"/>
              </w:rPr>
              <w:t xml:space="preserve"> </w:t>
            </w:r>
            <w:r w:rsidRPr="000B61B6">
              <w:rPr>
                <w:rFonts w:ascii="Arial" w:hAnsi="Arial" w:cs="Arial"/>
              </w:rPr>
              <w:t>of</w:t>
            </w:r>
            <w:r w:rsidRPr="000B61B6">
              <w:rPr>
                <w:rFonts w:ascii="Arial" w:hAnsi="Arial" w:cs="Arial"/>
                <w:spacing w:val="-4"/>
              </w:rPr>
              <w:t xml:space="preserve"> </w:t>
            </w:r>
            <w:r w:rsidRPr="000B61B6">
              <w:rPr>
                <w:rFonts w:ascii="Arial" w:hAnsi="Arial" w:cs="Arial"/>
              </w:rPr>
              <w:t>engine</w:t>
            </w:r>
            <w:r w:rsidRPr="000B61B6">
              <w:rPr>
                <w:rFonts w:ascii="Arial" w:hAnsi="Arial" w:cs="Arial"/>
                <w:spacing w:val="-3"/>
              </w:rPr>
              <w:t xml:space="preserve"> </w:t>
            </w:r>
            <w:r w:rsidRPr="000B61B6">
              <w:rPr>
                <w:rFonts w:ascii="Arial" w:hAnsi="Arial" w:cs="Arial"/>
              </w:rPr>
              <w:t>oil</w:t>
            </w:r>
            <w:r w:rsidRPr="000B61B6">
              <w:rPr>
                <w:rFonts w:ascii="Arial" w:hAnsi="Arial" w:cs="Arial"/>
                <w:spacing w:val="-2"/>
              </w:rPr>
              <w:t xml:space="preserve"> </w:t>
            </w:r>
            <w:r w:rsidRPr="000B61B6">
              <w:rPr>
                <w:rFonts w:ascii="Arial" w:hAnsi="Arial" w:cs="Arial"/>
              </w:rPr>
              <w:t>and</w:t>
            </w:r>
            <w:r w:rsidRPr="000B61B6">
              <w:rPr>
                <w:rFonts w:ascii="Arial" w:hAnsi="Arial" w:cs="Arial"/>
                <w:spacing w:val="-2"/>
              </w:rPr>
              <w:t xml:space="preserve"> </w:t>
            </w:r>
            <w:r w:rsidRPr="000B61B6">
              <w:rPr>
                <w:rFonts w:ascii="Arial" w:hAnsi="Arial" w:cs="Arial"/>
              </w:rPr>
              <w:t>gearbox fluid</w:t>
            </w:r>
          </w:p>
        </w:tc>
        <w:tc>
          <w:tcPr>
            <w:tcW w:w="1530" w:type="dxa"/>
          </w:tcPr>
          <w:p w14:paraId="2FBEF4DD" w14:textId="77777777" w:rsidR="000B61B6" w:rsidRPr="000B61B6" w:rsidRDefault="000B61B6" w:rsidP="00BE4A83">
            <w:pPr>
              <w:pStyle w:val="TableParagraph"/>
              <w:spacing w:line="224" w:lineRule="exact"/>
              <w:ind w:left="84"/>
              <w:rPr>
                <w:rFonts w:ascii="Arial" w:hAnsi="Arial" w:cs="Arial"/>
              </w:rPr>
            </w:pPr>
            <w:r w:rsidRPr="000B61B6">
              <w:rPr>
                <w:rFonts w:ascii="Arial" w:hAnsi="Arial" w:cs="Arial"/>
              </w:rPr>
              <w:t>Yes</w:t>
            </w:r>
          </w:p>
        </w:tc>
      </w:tr>
    </w:tbl>
    <w:p w14:paraId="4EBD9F48" w14:textId="77777777" w:rsidR="0043332B" w:rsidRDefault="0043332B" w:rsidP="0043332B">
      <w:pPr>
        <w:rPr>
          <w:rFonts w:ascii="Arial" w:eastAsia="Times New Roman" w:hAnsi="Arial" w:cs="Times New Roman"/>
          <w:b/>
          <w:sz w:val="24"/>
          <w:lang w:val="hy-AM"/>
        </w:rPr>
      </w:pPr>
    </w:p>
    <w:p w14:paraId="5B947096" w14:textId="77777777" w:rsidR="00823845" w:rsidRDefault="00823845" w:rsidP="00823845">
      <w:pPr>
        <w:spacing w:before="1"/>
        <w:ind w:left="1014"/>
        <w:rPr>
          <w:rFonts w:ascii="Arial" w:hAnsi="Arial" w:cs="Arial"/>
          <w:b/>
          <w:sz w:val="20"/>
        </w:rPr>
      </w:pPr>
      <w:r w:rsidRPr="00276D5E">
        <w:rPr>
          <w:rFonts w:ascii="Arial" w:hAnsi="Arial" w:cs="Arial"/>
          <w:b/>
          <w:sz w:val="20"/>
        </w:rPr>
        <w:t>Part</w:t>
      </w:r>
      <w:r w:rsidRPr="00823845">
        <w:rPr>
          <w:rFonts w:ascii="Arial" w:hAnsi="Arial" w:cs="Arial"/>
          <w:b/>
          <w:sz w:val="20"/>
        </w:rPr>
        <w:t xml:space="preserve"> </w:t>
      </w:r>
      <w:r w:rsidRPr="00276D5E">
        <w:rPr>
          <w:rFonts w:ascii="Arial" w:hAnsi="Arial" w:cs="Arial"/>
          <w:b/>
          <w:sz w:val="20"/>
        </w:rPr>
        <w:t>B</w:t>
      </w:r>
      <w:r w:rsidRPr="00823845">
        <w:rPr>
          <w:rFonts w:ascii="Arial" w:hAnsi="Arial" w:cs="Arial"/>
          <w:b/>
          <w:sz w:val="20"/>
        </w:rPr>
        <w:t xml:space="preserve"> </w:t>
      </w:r>
      <w:r w:rsidRPr="00276D5E">
        <w:rPr>
          <w:rFonts w:ascii="Arial" w:hAnsi="Arial" w:cs="Arial"/>
          <w:b/>
          <w:sz w:val="20"/>
        </w:rPr>
        <w:t>—</w:t>
      </w:r>
      <w:r w:rsidRPr="00823845">
        <w:rPr>
          <w:rFonts w:ascii="Arial" w:hAnsi="Arial" w:cs="Arial"/>
          <w:b/>
          <w:sz w:val="20"/>
        </w:rPr>
        <w:t xml:space="preserve"> </w:t>
      </w:r>
      <w:r w:rsidRPr="00276D5E">
        <w:rPr>
          <w:rFonts w:ascii="Arial" w:hAnsi="Arial" w:cs="Arial"/>
          <w:b/>
          <w:sz w:val="20"/>
        </w:rPr>
        <w:t>PILOT-OWNER</w:t>
      </w:r>
      <w:r w:rsidRPr="00823845">
        <w:rPr>
          <w:rFonts w:ascii="Arial" w:hAnsi="Arial" w:cs="Arial"/>
          <w:b/>
          <w:sz w:val="20"/>
        </w:rPr>
        <w:t xml:space="preserve"> </w:t>
      </w:r>
      <w:r w:rsidRPr="00276D5E">
        <w:rPr>
          <w:rFonts w:ascii="Arial" w:hAnsi="Arial" w:cs="Arial"/>
          <w:b/>
          <w:sz w:val="20"/>
        </w:rPr>
        <w:t>MAINTENANCE</w:t>
      </w:r>
      <w:r w:rsidRPr="00823845">
        <w:rPr>
          <w:rFonts w:ascii="Arial" w:hAnsi="Arial" w:cs="Arial"/>
          <w:b/>
          <w:sz w:val="20"/>
        </w:rPr>
        <w:t xml:space="preserve"> </w:t>
      </w:r>
      <w:r w:rsidRPr="00276D5E">
        <w:rPr>
          <w:rFonts w:ascii="Arial" w:hAnsi="Arial" w:cs="Arial"/>
          <w:b/>
          <w:sz w:val="20"/>
        </w:rPr>
        <w:t>TASKS</w:t>
      </w:r>
      <w:r w:rsidRPr="00823845">
        <w:rPr>
          <w:rFonts w:ascii="Arial" w:hAnsi="Arial" w:cs="Arial"/>
          <w:b/>
          <w:sz w:val="20"/>
        </w:rPr>
        <w:t xml:space="preserve"> </w:t>
      </w:r>
      <w:r w:rsidRPr="00276D5E">
        <w:rPr>
          <w:rFonts w:ascii="Arial" w:hAnsi="Arial" w:cs="Arial"/>
          <w:b/>
          <w:sz w:val="20"/>
        </w:rPr>
        <w:t>FOR</w:t>
      </w:r>
      <w:r w:rsidRPr="00823845">
        <w:rPr>
          <w:rFonts w:ascii="Arial" w:hAnsi="Arial" w:cs="Arial"/>
          <w:b/>
          <w:sz w:val="20"/>
        </w:rPr>
        <w:t xml:space="preserve"> </w:t>
      </w:r>
      <w:r w:rsidRPr="00276D5E">
        <w:rPr>
          <w:rFonts w:ascii="Arial" w:hAnsi="Arial" w:cs="Arial"/>
          <w:b/>
          <w:sz w:val="20"/>
        </w:rPr>
        <w:t>ROTORCRAFT</w:t>
      </w:r>
    </w:p>
    <w:p w14:paraId="68B005C1" w14:textId="77777777" w:rsidR="00823845" w:rsidRDefault="00823845" w:rsidP="00823845">
      <w:pPr>
        <w:spacing w:before="1"/>
        <w:rPr>
          <w:rFonts w:ascii="Arial" w:hAnsi="Arial" w:cs="Arial"/>
          <w:b/>
          <w:sz w:val="20"/>
        </w:rPr>
      </w:pPr>
    </w:p>
    <w:tbl>
      <w:tblPr>
        <w:tblStyle w:val="TableGrid31"/>
        <w:tblW w:w="9535" w:type="dxa"/>
        <w:tblLayout w:type="fixed"/>
        <w:tblLook w:val="01E0" w:firstRow="1" w:lastRow="1" w:firstColumn="1" w:lastColumn="1" w:noHBand="0" w:noVBand="0"/>
      </w:tblPr>
      <w:tblGrid>
        <w:gridCol w:w="895"/>
        <w:gridCol w:w="2250"/>
        <w:gridCol w:w="4860"/>
        <w:gridCol w:w="1530"/>
      </w:tblGrid>
      <w:tr w:rsidR="00336111" w:rsidRPr="00C04B4C" w14:paraId="71DB5AEA" w14:textId="77777777" w:rsidTr="0080379D">
        <w:trPr>
          <w:trHeight w:val="246"/>
        </w:trPr>
        <w:tc>
          <w:tcPr>
            <w:tcW w:w="895" w:type="dxa"/>
            <w:shd w:val="clear" w:color="auto" w:fill="F2F2F2" w:themeFill="background1" w:themeFillShade="F2"/>
          </w:tcPr>
          <w:p w14:paraId="43D9A018" w14:textId="77777777" w:rsidR="00C04B4C" w:rsidRPr="00C04B4C" w:rsidRDefault="00C04B4C" w:rsidP="00C04B4C">
            <w:pPr>
              <w:spacing w:before="1" w:line="225" w:lineRule="exact"/>
              <w:ind w:left="66" w:right="67"/>
              <w:jc w:val="center"/>
              <w:rPr>
                <w:rFonts w:ascii="Arial" w:hAnsi="Arial" w:cs="Arial"/>
                <w:b/>
              </w:rPr>
            </w:pPr>
            <w:r w:rsidRPr="00C04B4C">
              <w:rPr>
                <w:rFonts w:ascii="Arial" w:hAnsi="Arial" w:cs="Arial"/>
                <w:b/>
              </w:rPr>
              <w:t>ATA</w:t>
            </w:r>
          </w:p>
        </w:tc>
        <w:tc>
          <w:tcPr>
            <w:tcW w:w="2250" w:type="dxa"/>
            <w:shd w:val="clear" w:color="auto" w:fill="F2F2F2" w:themeFill="background1" w:themeFillShade="F2"/>
          </w:tcPr>
          <w:p w14:paraId="0EDF908A" w14:textId="77777777" w:rsidR="00C04B4C" w:rsidRPr="00C04B4C" w:rsidRDefault="00C04B4C" w:rsidP="00C04B4C">
            <w:pPr>
              <w:spacing w:before="1" w:line="225" w:lineRule="exact"/>
              <w:ind w:left="99"/>
              <w:rPr>
                <w:rFonts w:ascii="Arial" w:hAnsi="Arial" w:cs="Arial"/>
                <w:b/>
              </w:rPr>
            </w:pPr>
            <w:r w:rsidRPr="00C04B4C">
              <w:rPr>
                <w:rFonts w:ascii="Arial" w:hAnsi="Arial" w:cs="Arial"/>
                <w:b/>
              </w:rPr>
              <w:t>Area</w:t>
            </w:r>
          </w:p>
        </w:tc>
        <w:tc>
          <w:tcPr>
            <w:tcW w:w="4860" w:type="dxa"/>
            <w:shd w:val="clear" w:color="auto" w:fill="F2F2F2" w:themeFill="background1" w:themeFillShade="F2"/>
          </w:tcPr>
          <w:p w14:paraId="31B8AD1D" w14:textId="77777777" w:rsidR="00C04B4C" w:rsidRPr="00C04B4C" w:rsidRDefault="00C04B4C" w:rsidP="00C04B4C">
            <w:pPr>
              <w:spacing w:before="1" w:line="225" w:lineRule="exact"/>
              <w:ind w:left="84"/>
              <w:rPr>
                <w:rFonts w:ascii="Arial" w:hAnsi="Arial" w:cs="Arial"/>
                <w:b/>
              </w:rPr>
            </w:pPr>
            <w:r w:rsidRPr="00C04B4C">
              <w:rPr>
                <w:rFonts w:ascii="Arial" w:hAnsi="Arial" w:cs="Arial"/>
                <w:b/>
              </w:rPr>
              <w:t>Task</w:t>
            </w:r>
          </w:p>
        </w:tc>
        <w:tc>
          <w:tcPr>
            <w:tcW w:w="1530" w:type="dxa"/>
            <w:shd w:val="clear" w:color="auto" w:fill="F2F2F2" w:themeFill="background1" w:themeFillShade="F2"/>
          </w:tcPr>
          <w:p w14:paraId="14D6071B" w14:textId="77777777" w:rsidR="00C04B4C" w:rsidRPr="00C04B4C" w:rsidRDefault="00C04B4C" w:rsidP="00C04B4C">
            <w:pPr>
              <w:spacing w:before="1" w:line="225" w:lineRule="exact"/>
              <w:ind w:left="84"/>
              <w:rPr>
                <w:rFonts w:ascii="Arial" w:hAnsi="Arial" w:cs="Arial"/>
                <w:b/>
              </w:rPr>
            </w:pPr>
            <w:r w:rsidRPr="00C04B4C">
              <w:rPr>
                <w:rFonts w:ascii="Arial" w:hAnsi="Arial" w:cs="Arial"/>
                <w:b/>
              </w:rPr>
              <w:t>Rotorcraft</w:t>
            </w:r>
          </w:p>
        </w:tc>
      </w:tr>
      <w:tr w:rsidR="00336111" w:rsidRPr="00C04B4C" w14:paraId="1F395BD2" w14:textId="77777777" w:rsidTr="0080379D">
        <w:trPr>
          <w:trHeight w:val="487"/>
        </w:trPr>
        <w:tc>
          <w:tcPr>
            <w:tcW w:w="895" w:type="dxa"/>
            <w:shd w:val="clear" w:color="auto" w:fill="F2F2F2" w:themeFill="background1" w:themeFillShade="F2"/>
          </w:tcPr>
          <w:p w14:paraId="073BC77C" w14:textId="77777777" w:rsidR="00C04B4C" w:rsidRPr="00C04B4C" w:rsidRDefault="00C04B4C" w:rsidP="0038563B">
            <w:pPr>
              <w:jc w:val="center"/>
              <w:rPr>
                <w:rFonts w:ascii="Arial" w:hAnsi="Arial" w:cs="Arial"/>
                <w:b/>
              </w:rPr>
            </w:pPr>
            <w:r w:rsidRPr="00C04B4C">
              <w:rPr>
                <w:rFonts w:ascii="Arial" w:hAnsi="Arial" w:cs="Arial"/>
                <w:b/>
              </w:rPr>
              <w:t>11</w:t>
            </w:r>
          </w:p>
        </w:tc>
        <w:tc>
          <w:tcPr>
            <w:tcW w:w="2250" w:type="dxa"/>
          </w:tcPr>
          <w:p w14:paraId="1B6098EC" w14:textId="77777777" w:rsidR="00C04B4C" w:rsidRPr="00C04B4C" w:rsidRDefault="00C04B4C" w:rsidP="00C04B4C">
            <w:pPr>
              <w:spacing w:line="242" w:lineRule="exact"/>
              <w:ind w:left="99"/>
              <w:rPr>
                <w:rFonts w:ascii="Arial" w:hAnsi="Arial" w:cs="Arial"/>
              </w:rPr>
            </w:pPr>
            <w:r w:rsidRPr="00C04B4C">
              <w:rPr>
                <w:rFonts w:ascii="Arial" w:hAnsi="Arial" w:cs="Arial"/>
              </w:rPr>
              <w:t>Placards</w:t>
            </w:r>
          </w:p>
        </w:tc>
        <w:tc>
          <w:tcPr>
            <w:tcW w:w="4860" w:type="dxa"/>
          </w:tcPr>
          <w:p w14:paraId="63D7440A" w14:textId="77777777" w:rsidR="00C04B4C" w:rsidRPr="00C04B4C" w:rsidRDefault="00C04B4C" w:rsidP="0038563B">
            <w:pPr>
              <w:spacing w:line="242" w:lineRule="exact"/>
              <w:ind w:left="84"/>
              <w:jc w:val="both"/>
              <w:rPr>
                <w:rFonts w:ascii="Arial" w:hAnsi="Arial" w:cs="Arial"/>
              </w:rPr>
            </w:pPr>
            <w:r w:rsidRPr="00C04B4C">
              <w:rPr>
                <w:rFonts w:ascii="Arial" w:hAnsi="Arial" w:cs="Arial"/>
              </w:rPr>
              <w:t>Placards,</w:t>
            </w:r>
            <w:r w:rsidRPr="00C04B4C">
              <w:rPr>
                <w:rFonts w:ascii="Arial" w:hAnsi="Arial" w:cs="Arial"/>
                <w:spacing w:val="-2"/>
              </w:rPr>
              <w:t xml:space="preserve"> </w:t>
            </w:r>
            <w:r w:rsidRPr="00C04B4C">
              <w:rPr>
                <w:rFonts w:ascii="Arial" w:hAnsi="Arial" w:cs="Arial"/>
              </w:rPr>
              <w:t>markings</w:t>
            </w:r>
            <w:r w:rsidRPr="00C04B4C">
              <w:rPr>
                <w:rFonts w:ascii="Arial" w:hAnsi="Arial" w:cs="Arial"/>
                <w:spacing w:val="-2"/>
              </w:rPr>
              <w:t xml:space="preserve"> </w:t>
            </w:r>
            <w:r w:rsidRPr="00C04B4C">
              <w:rPr>
                <w:rFonts w:ascii="Arial" w:hAnsi="Arial" w:cs="Arial"/>
              </w:rPr>
              <w:t>—</w:t>
            </w:r>
            <w:r w:rsidRPr="00C04B4C">
              <w:rPr>
                <w:rFonts w:ascii="Arial" w:hAnsi="Arial" w:cs="Arial"/>
                <w:spacing w:val="-1"/>
              </w:rPr>
              <w:t xml:space="preserve"> </w:t>
            </w:r>
            <w:r w:rsidRPr="00C04B4C">
              <w:rPr>
                <w:rFonts w:ascii="Arial" w:hAnsi="Arial" w:cs="Arial"/>
              </w:rPr>
              <w:t>installation</w:t>
            </w:r>
            <w:r w:rsidRPr="00C04B4C">
              <w:rPr>
                <w:rFonts w:ascii="Arial" w:hAnsi="Arial" w:cs="Arial"/>
                <w:spacing w:val="-1"/>
              </w:rPr>
              <w:t xml:space="preserve"> </w:t>
            </w:r>
            <w:r w:rsidRPr="00C04B4C">
              <w:rPr>
                <w:rFonts w:ascii="Arial" w:hAnsi="Arial" w:cs="Arial"/>
              </w:rPr>
              <w:t>and</w:t>
            </w:r>
            <w:r w:rsidRPr="00C04B4C">
              <w:rPr>
                <w:rFonts w:ascii="Arial" w:hAnsi="Arial" w:cs="Arial"/>
                <w:spacing w:val="-1"/>
              </w:rPr>
              <w:t xml:space="preserve"> </w:t>
            </w:r>
            <w:r w:rsidRPr="00C04B4C">
              <w:rPr>
                <w:rFonts w:ascii="Arial" w:hAnsi="Arial" w:cs="Arial"/>
              </w:rPr>
              <w:t>renewal</w:t>
            </w:r>
            <w:r w:rsidRPr="00C04B4C">
              <w:rPr>
                <w:rFonts w:ascii="Arial" w:hAnsi="Arial" w:cs="Arial"/>
                <w:spacing w:val="-2"/>
              </w:rPr>
              <w:t xml:space="preserve"> </w:t>
            </w:r>
            <w:r w:rsidRPr="00C04B4C">
              <w:rPr>
                <w:rFonts w:ascii="Arial" w:hAnsi="Arial" w:cs="Arial"/>
              </w:rPr>
              <w:t>of</w:t>
            </w:r>
            <w:r w:rsidRPr="00C04B4C">
              <w:rPr>
                <w:rFonts w:ascii="Arial" w:hAnsi="Arial" w:cs="Arial"/>
                <w:spacing w:val="-3"/>
              </w:rPr>
              <w:t xml:space="preserve"> </w:t>
            </w:r>
            <w:r w:rsidRPr="00C04B4C">
              <w:rPr>
                <w:rFonts w:ascii="Arial" w:hAnsi="Arial" w:cs="Arial"/>
              </w:rPr>
              <w:t>placards</w:t>
            </w:r>
            <w:r w:rsidRPr="00C04B4C">
              <w:rPr>
                <w:rFonts w:ascii="Arial" w:hAnsi="Arial" w:cs="Arial"/>
                <w:spacing w:val="-4"/>
              </w:rPr>
              <w:t xml:space="preserve"> </w:t>
            </w:r>
            <w:r w:rsidR="0038563B">
              <w:rPr>
                <w:rFonts w:ascii="Arial" w:hAnsi="Arial" w:cs="Arial"/>
              </w:rPr>
              <w:t xml:space="preserve">and </w:t>
            </w:r>
            <w:r w:rsidRPr="00C04B4C">
              <w:rPr>
                <w:rFonts w:ascii="Arial" w:hAnsi="Arial" w:cs="Arial"/>
              </w:rPr>
              <w:t>markings</w:t>
            </w:r>
            <w:r w:rsidRPr="00C04B4C">
              <w:rPr>
                <w:rFonts w:ascii="Arial" w:hAnsi="Arial" w:cs="Arial"/>
                <w:spacing w:val="-4"/>
              </w:rPr>
              <w:t xml:space="preserve"> </w:t>
            </w:r>
            <w:r w:rsidRPr="00C04B4C">
              <w:rPr>
                <w:rFonts w:ascii="Arial" w:hAnsi="Arial" w:cs="Arial"/>
              </w:rPr>
              <w:t>required</w:t>
            </w:r>
            <w:r w:rsidRPr="00C04B4C">
              <w:rPr>
                <w:rFonts w:ascii="Arial" w:hAnsi="Arial" w:cs="Arial"/>
                <w:spacing w:val="-1"/>
              </w:rPr>
              <w:t xml:space="preserve"> </w:t>
            </w:r>
            <w:r w:rsidRPr="00C04B4C">
              <w:rPr>
                <w:rFonts w:ascii="Arial" w:hAnsi="Arial" w:cs="Arial"/>
              </w:rPr>
              <w:t>by</w:t>
            </w:r>
            <w:r w:rsidRPr="00C04B4C">
              <w:rPr>
                <w:rFonts w:ascii="Arial" w:hAnsi="Arial" w:cs="Arial"/>
                <w:spacing w:val="-1"/>
              </w:rPr>
              <w:t xml:space="preserve"> </w:t>
            </w:r>
            <w:r w:rsidRPr="00C04B4C">
              <w:rPr>
                <w:rFonts w:ascii="Arial" w:hAnsi="Arial" w:cs="Arial"/>
              </w:rPr>
              <w:t>the</w:t>
            </w:r>
            <w:r w:rsidRPr="00C04B4C">
              <w:rPr>
                <w:rFonts w:ascii="Arial" w:hAnsi="Arial" w:cs="Arial"/>
                <w:spacing w:val="-3"/>
              </w:rPr>
              <w:t xml:space="preserve"> </w:t>
            </w:r>
            <w:r w:rsidRPr="00C04B4C">
              <w:rPr>
                <w:rFonts w:ascii="Arial" w:hAnsi="Arial" w:cs="Arial"/>
              </w:rPr>
              <w:t>AFM</w:t>
            </w:r>
            <w:r w:rsidRPr="00C04B4C">
              <w:rPr>
                <w:rFonts w:ascii="Arial" w:hAnsi="Arial" w:cs="Arial"/>
                <w:spacing w:val="-1"/>
              </w:rPr>
              <w:t xml:space="preserve"> </w:t>
            </w:r>
            <w:r w:rsidRPr="00C04B4C">
              <w:rPr>
                <w:rFonts w:ascii="Arial" w:hAnsi="Arial" w:cs="Arial"/>
              </w:rPr>
              <w:t>and</w:t>
            </w:r>
            <w:r w:rsidRPr="00C04B4C">
              <w:rPr>
                <w:rFonts w:ascii="Arial" w:hAnsi="Arial" w:cs="Arial"/>
                <w:spacing w:val="-1"/>
              </w:rPr>
              <w:t xml:space="preserve"> </w:t>
            </w:r>
            <w:r w:rsidRPr="00C04B4C">
              <w:rPr>
                <w:rFonts w:ascii="Arial" w:hAnsi="Arial" w:cs="Arial"/>
              </w:rPr>
              <w:t>the</w:t>
            </w:r>
            <w:r w:rsidRPr="00C04B4C">
              <w:rPr>
                <w:rFonts w:ascii="Arial" w:hAnsi="Arial" w:cs="Arial"/>
                <w:spacing w:val="-3"/>
              </w:rPr>
              <w:t xml:space="preserve"> </w:t>
            </w:r>
            <w:r w:rsidRPr="00C04B4C">
              <w:rPr>
                <w:rFonts w:ascii="Arial" w:hAnsi="Arial" w:cs="Arial"/>
              </w:rPr>
              <w:t>AMM</w:t>
            </w:r>
          </w:p>
        </w:tc>
        <w:tc>
          <w:tcPr>
            <w:tcW w:w="1530" w:type="dxa"/>
          </w:tcPr>
          <w:p w14:paraId="545A1736" w14:textId="77777777" w:rsidR="00C04B4C" w:rsidRPr="00C04B4C" w:rsidRDefault="00C04B4C" w:rsidP="00C04B4C">
            <w:pPr>
              <w:spacing w:line="242" w:lineRule="exact"/>
              <w:ind w:left="84"/>
              <w:rPr>
                <w:rFonts w:ascii="Arial" w:hAnsi="Arial" w:cs="Arial"/>
              </w:rPr>
            </w:pPr>
            <w:r w:rsidRPr="00C04B4C">
              <w:rPr>
                <w:rFonts w:ascii="Arial" w:hAnsi="Arial" w:cs="Arial"/>
              </w:rPr>
              <w:t>Yes</w:t>
            </w:r>
          </w:p>
        </w:tc>
      </w:tr>
      <w:tr w:rsidR="00336111" w:rsidRPr="00C04B4C" w14:paraId="5C8410EC" w14:textId="77777777" w:rsidTr="0080379D">
        <w:trPr>
          <w:trHeight w:val="242"/>
        </w:trPr>
        <w:tc>
          <w:tcPr>
            <w:tcW w:w="895" w:type="dxa"/>
            <w:vMerge w:val="restart"/>
            <w:shd w:val="clear" w:color="auto" w:fill="F2F2F2" w:themeFill="background1" w:themeFillShade="F2"/>
          </w:tcPr>
          <w:p w14:paraId="76843BA9" w14:textId="77777777" w:rsidR="00C04B4C" w:rsidRPr="00C04B4C" w:rsidRDefault="00C04B4C" w:rsidP="00602DB9">
            <w:pPr>
              <w:jc w:val="center"/>
              <w:rPr>
                <w:rFonts w:ascii="Arial" w:hAnsi="Arial" w:cs="Arial"/>
                <w:b/>
              </w:rPr>
            </w:pPr>
            <w:r w:rsidRPr="00C04B4C">
              <w:rPr>
                <w:rFonts w:ascii="Arial" w:hAnsi="Arial" w:cs="Arial"/>
                <w:b/>
              </w:rPr>
              <w:t>12</w:t>
            </w:r>
          </w:p>
        </w:tc>
        <w:tc>
          <w:tcPr>
            <w:tcW w:w="2250" w:type="dxa"/>
            <w:vMerge w:val="restart"/>
          </w:tcPr>
          <w:p w14:paraId="49F1C153" w14:textId="77777777" w:rsidR="00C04B4C" w:rsidRPr="00C04B4C" w:rsidRDefault="00C04B4C" w:rsidP="00C04B4C">
            <w:pPr>
              <w:ind w:left="99"/>
              <w:rPr>
                <w:rFonts w:ascii="Arial" w:hAnsi="Arial" w:cs="Arial"/>
              </w:rPr>
            </w:pPr>
            <w:r w:rsidRPr="00C04B4C">
              <w:rPr>
                <w:rFonts w:ascii="Arial" w:hAnsi="Arial" w:cs="Arial"/>
              </w:rPr>
              <w:t>Servicing</w:t>
            </w:r>
          </w:p>
        </w:tc>
        <w:tc>
          <w:tcPr>
            <w:tcW w:w="4860" w:type="dxa"/>
          </w:tcPr>
          <w:p w14:paraId="5A925B9A" w14:textId="77777777" w:rsidR="00C04B4C" w:rsidRPr="00C04B4C" w:rsidRDefault="00C04B4C" w:rsidP="0038563B">
            <w:pPr>
              <w:spacing w:line="222" w:lineRule="exact"/>
              <w:ind w:left="84"/>
              <w:jc w:val="both"/>
              <w:rPr>
                <w:rFonts w:ascii="Arial" w:hAnsi="Arial" w:cs="Arial"/>
              </w:rPr>
            </w:pPr>
            <w:r w:rsidRPr="00C04B4C">
              <w:rPr>
                <w:rFonts w:ascii="Arial" w:hAnsi="Arial" w:cs="Arial"/>
              </w:rPr>
              <w:t>Fuel,</w:t>
            </w:r>
            <w:r w:rsidRPr="00C04B4C">
              <w:rPr>
                <w:rFonts w:ascii="Arial" w:hAnsi="Arial" w:cs="Arial"/>
                <w:spacing w:val="-4"/>
              </w:rPr>
              <w:t xml:space="preserve"> </w:t>
            </w:r>
            <w:r w:rsidRPr="00C04B4C">
              <w:rPr>
                <w:rFonts w:ascii="Arial" w:hAnsi="Arial" w:cs="Arial"/>
              </w:rPr>
              <w:t>oil,</w:t>
            </w:r>
            <w:r w:rsidRPr="00C04B4C">
              <w:rPr>
                <w:rFonts w:ascii="Arial" w:hAnsi="Arial" w:cs="Arial"/>
                <w:spacing w:val="-3"/>
              </w:rPr>
              <w:t xml:space="preserve"> </w:t>
            </w:r>
            <w:r w:rsidRPr="00C04B4C">
              <w:rPr>
                <w:rFonts w:ascii="Arial" w:hAnsi="Arial" w:cs="Arial"/>
              </w:rPr>
              <w:t>hydraulic,</w:t>
            </w:r>
            <w:r w:rsidRPr="00C04B4C">
              <w:rPr>
                <w:rFonts w:ascii="Arial" w:hAnsi="Arial" w:cs="Arial"/>
                <w:spacing w:val="-3"/>
              </w:rPr>
              <w:t xml:space="preserve"> </w:t>
            </w:r>
            <w:r w:rsidRPr="00C04B4C">
              <w:rPr>
                <w:rFonts w:ascii="Arial" w:hAnsi="Arial" w:cs="Arial"/>
              </w:rPr>
              <w:t>de-iced</w:t>
            </w:r>
            <w:r w:rsidRPr="00C04B4C">
              <w:rPr>
                <w:rFonts w:ascii="Arial" w:hAnsi="Arial" w:cs="Arial"/>
                <w:spacing w:val="-3"/>
              </w:rPr>
              <w:t xml:space="preserve"> </w:t>
            </w:r>
            <w:r w:rsidRPr="00C04B4C">
              <w:rPr>
                <w:rFonts w:ascii="Arial" w:hAnsi="Arial" w:cs="Arial"/>
              </w:rPr>
              <w:t>and</w:t>
            </w:r>
            <w:r w:rsidRPr="00C04B4C">
              <w:rPr>
                <w:rFonts w:ascii="Arial" w:hAnsi="Arial" w:cs="Arial"/>
                <w:spacing w:val="-4"/>
              </w:rPr>
              <w:t xml:space="preserve"> </w:t>
            </w:r>
            <w:r w:rsidRPr="00C04B4C">
              <w:rPr>
                <w:rFonts w:ascii="Arial" w:hAnsi="Arial" w:cs="Arial"/>
              </w:rPr>
              <w:t>windshield</w:t>
            </w:r>
            <w:r w:rsidRPr="00C04B4C">
              <w:rPr>
                <w:rFonts w:ascii="Arial" w:hAnsi="Arial" w:cs="Arial"/>
                <w:spacing w:val="-3"/>
              </w:rPr>
              <w:t xml:space="preserve"> </w:t>
            </w:r>
            <w:r w:rsidRPr="00C04B4C">
              <w:rPr>
                <w:rFonts w:ascii="Arial" w:hAnsi="Arial" w:cs="Arial"/>
              </w:rPr>
              <w:t>liquid</w:t>
            </w:r>
            <w:r w:rsidRPr="00C04B4C">
              <w:rPr>
                <w:rFonts w:ascii="Arial" w:hAnsi="Arial" w:cs="Arial"/>
                <w:spacing w:val="-3"/>
              </w:rPr>
              <w:t xml:space="preserve"> </w:t>
            </w:r>
            <w:r w:rsidRPr="00C04B4C">
              <w:rPr>
                <w:rFonts w:ascii="Arial" w:hAnsi="Arial" w:cs="Arial"/>
              </w:rPr>
              <w:t>replenishment</w:t>
            </w:r>
          </w:p>
        </w:tc>
        <w:tc>
          <w:tcPr>
            <w:tcW w:w="1530" w:type="dxa"/>
          </w:tcPr>
          <w:p w14:paraId="3BD1039A" w14:textId="77777777" w:rsidR="00C04B4C" w:rsidRPr="00C04B4C" w:rsidRDefault="00C04B4C" w:rsidP="00C04B4C">
            <w:pPr>
              <w:spacing w:line="222" w:lineRule="exact"/>
              <w:ind w:left="84"/>
              <w:rPr>
                <w:rFonts w:ascii="Arial" w:hAnsi="Arial" w:cs="Arial"/>
              </w:rPr>
            </w:pPr>
            <w:r w:rsidRPr="00C04B4C">
              <w:rPr>
                <w:rFonts w:ascii="Arial" w:hAnsi="Arial" w:cs="Arial"/>
              </w:rPr>
              <w:t>Yes</w:t>
            </w:r>
          </w:p>
        </w:tc>
      </w:tr>
      <w:tr w:rsidR="00336111" w:rsidRPr="00C04B4C" w14:paraId="116C55EF" w14:textId="77777777" w:rsidTr="0080379D">
        <w:trPr>
          <w:trHeight w:val="732"/>
        </w:trPr>
        <w:tc>
          <w:tcPr>
            <w:tcW w:w="895" w:type="dxa"/>
            <w:vMerge/>
            <w:shd w:val="clear" w:color="auto" w:fill="F2F2F2" w:themeFill="background1" w:themeFillShade="F2"/>
          </w:tcPr>
          <w:p w14:paraId="518A0FBD" w14:textId="77777777" w:rsidR="00C04B4C" w:rsidRPr="0038563B" w:rsidRDefault="00C04B4C" w:rsidP="00602DB9">
            <w:pPr>
              <w:jc w:val="center"/>
              <w:rPr>
                <w:rFonts w:ascii="Arial" w:hAnsi="Arial" w:cs="Arial"/>
                <w:b/>
              </w:rPr>
            </w:pPr>
          </w:p>
        </w:tc>
        <w:tc>
          <w:tcPr>
            <w:tcW w:w="2250" w:type="dxa"/>
            <w:vMerge/>
          </w:tcPr>
          <w:p w14:paraId="388AB5FA" w14:textId="77777777" w:rsidR="00C04B4C" w:rsidRPr="00C04B4C" w:rsidRDefault="00C04B4C" w:rsidP="00C04B4C">
            <w:pPr>
              <w:rPr>
                <w:rFonts w:ascii="Arial" w:hAnsi="Arial" w:cs="Arial"/>
                <w:sz w:val="2"/>
                <w:szCs w:val="2"/>
              </w:rPr>
            </w:pPr>
          </w:p>
        </w:tc>
        <w:tc>
          <w:tcPr>
            <w:tcW w:w="4860" w:type="dxa"/>
          </w:tcPr>
          <w:p w14:paraId="3C741C60" w14:textId="77777777" w:rsidR="00C04B4C" w:rsidRPr="00C04B4C" w:rsidRDefault="00C04B4C" w:rsidP="0038563B">
            <w:pPr>
              <w:spacing w:line="240" w:lineRule="atLeast"/>
              <w:ind w:left="84" w:right="474"/>
              <w:jc w:val="both"/>
              <w:rPr>
                <w:rFonts w:ascii="Arial" w:hAnsi="Arial" w:cs="Arial"/>
              </w:rPr>
            </w:pPr>
            <w:r w:rsidRPr="00C04B4C">
              <w:rPr>
                <w:rFonts w:ascii="Arial" w:hAnsi="Arial" w:cs="Arial"/>
              </w:rPr>
              <w:t>Those items not requiring a disassembly of other than non-</w:t>
            </w:r>
            <w:r w:rsidRPr="00C04B4C">
              <w:rPr>
                <w:rFonts w:ascii="Arial" w:hAnsi="Arial" w:cs="Arial"/>
                <w:spacing w:val="1"/>
              </w:rPr>
              <w:t xml:space="preserve"> </w:t>
            </w:r>
            <w:r w:rsidRPr="00C04B4C">
              <w:rPr>
                <w:rFonts w:ascii="Arial" w:hAnsi="Arial" w:cs="Arial"/>
              </w:rPr>
              <w:t>structural items, such as cover plates, cowlings and fairings —</w:t>
            </w:r>
            <w:r w:rsidRPr="00C04B4C">
              <w:rPr>
                <w:rFonts w:ascii="Arial" w:hAnsi="Arial" w:cs="Arial"/>
                <w:spacing w:val="-44"/>
              </w:rPr>
              <w:t xml:space="preserve"> </w:t>
            </w:r>
            <w:r w:rsidRPr="00C04B4C">
              <w:rPr>
                <w:rFonts w:ascii="Arial" w:hAnsi="Arial" w:cs="Arial"/>
              </w:rPr>
              <w:t>lubrication</w:t>
            </w:r>
          </w:p>
        </w:tc>
        <w:tc>
          <w:tcPr>
            <w:tcW w:w="1530" w:type="dxa"/>
          </w:tcPr>
          <w:p w14:paraId="4D715F93" w14:textId="77777777" w:rsidR="00C04B4C" w:rsidRPr="00C04B4C" w:rsidRDefault="00C04B4C" w:rsidP="00C04B4C">
            <w:pPr>
              <w:ind w:left="84"/>
              <w:rPr>
                <w:rFonts w:ascii="Arial" w:hAnsi="Arial" w:cs="Arial"/>
              </w:rPr>
            </w:pPr>
            <w:r w:rsidRPr="00C04B4C">
              <w:rPr>
                <w:rFonts w:ascii="Arial" w:hAnsi="Arial" w:cs="Arial"/>
              </w:rPr>
              <w:t>Yes</w:t>
            </w:r>
          </w:p>
        </w:tc>
      </w:tr>
      <w:tr w:rsidR="00336111" w:rsidRPr="00C04B4C" w14:paraId="742A5F45" w14:textId="77777777" w:rsidTr="0080379D">
        <w:trPr>
          <w:trHeight w:val="733"/>
        </w:trPr>
        <w:tc>
          <w:tcPr>
            <w:tcW w:w="895" w:type="dxa"/>
            <w:vMerge w:val="restart"/>
            <w:shd w:val="clear" w:color="auto" w:fill="F2F2F2" w:themeFill="background1" w:themeFillShade="F2"/>
          </w:tcPr>
          <w:p w14:paraId="042968E7" w14:textId="77777777" w:rsidR="00C04B4C" w:rsidRPr="00C04B4C" w:rsidRDefault="00C04B4C" w:rsidP="00602DB9">
            <w:pPr>
              <w:jc w:val="center"/>
              <w:rPr>
                <w:rFonts w:ascii="Arial" w:hAnsi="Arial" w:cs="Arial"/>
                <w:b/>
              </w:rPr>
            </w:pPr>
            <w:r w:rsidRPr="00C04B4C">
              <w:rPr>
                <w:rFonts w:ascii="Arial" w:hAnsi="Arial" w:cs="Arial"/>
                <w:b/>
              </w:rPr>
              <w:t>20</w:t>
            </w:r>
          </w:p>
        </w:tc>
        <w:tc>
          <w:tcPr>
            <w:tcW w:w="2250" w:type="dxa"/>
            <w:vMerge w:val="restart"/>
          </w:tcPr>
          <w:p w14:paraId="43AA0670" w14:textId="77777777" w:rsidR="00C04B4C" w:rsidRPr="00C04B4C" w:rsidRDefault="00C04B4C" w:rsidP="00C04B4C">
            <w:pPr>
              <w:ind w:left="99" w:right="809"/>
              <w:rPr>
                <w:rFonts w:ascii="Arial" w:hAnsi="Arial" w:cs="Arial"/>
              </w:rPr>
            </w:pPr>
            <w:r w:rsidRPr="00C04B4C">
              <w:rPr>
                <w:rFonts w:ascii="Arial" w:hAnsi="Arial" w:cs="Arial"/>
              </w:rPr>
              <w:t>Standard</w:t>
            </w:r>
            <w:r w:rsidRPr="00C04B4C">
              <w:rPr>
                <w:rFonts w:ascii="Arial" w:hAnsi="Arial" w:cs="Arial"/>
                <w:spacing w:val="-44"/>
              </w:rPr>
              <w:t xml:space="preserve"> </w:t>
            </w:r>
            <w:r w:rsidRPr="00C04B4C">
              <w:rPr>
                <w:rFonts w:ascii="Arial" w:hAnsi="Arial" w:cs="Arial"/>
              </w:rPr>
              <w:t>practices</w:t>
            </w:r>
          </w:p>
        </w:tc>
        <w:tc>
          <w:tcPr>
            <w:tcW w:w="4860" w:type="dxa"/>
          </w:tcPr>
          <w:p w14:paraId="6CC5CA15" w14:textId="77777777" w:rsidR="00C04B4C" w:rsidRPr="00C04B4C" w:rsidRDefault="00C04B4C" w:rsidP="0038563B">
            <w:pPr>
              <w:ind w:left="84"/>
              <w:jc w:val="both"/>
              <w:rPr>
                <w:rFonts w:ascii="Arial" w:hAnsi="Arial" w:cs="Arial"/>
              </w:rPr>
            </w:pPr>
            <w:r w:rsidRPr="00C04B4C">
              <w:rPr>
                <w:rFonts w:ascii="Arial" w:hAnsi="Arial" w:cs="Arial"/>
              </w:rPr>
              <w:t>Safety wiring — replacement of defective safety wiring or cotter</w:t>
            </w:r>
            <w:r w:rsidRPr="00C04B4C">
              <w:rPr>
                <w:rFonts w:ascii="Arial" w:hAnsi="Arial" w:cs="Arial"/>
                <w:spacing w:val="1"/>
              </w:rPr>
              <w:t xml:space="preserve"> </w:t>
            </w:r>
            <w:r w:rsidRPr="00C04B4C">
              <w:rPr>
                <w:rFonts w:ascii="Arial" w:hAnsi="Arial" w:cs="Arial"/>
              </w:rPr>
              <w:t>keys,</w:t>
            </w:r>
            <w:r w:rsidRPr="00C04B4C">
              <w:rPr>
                <w:rFonts w:ascii="Arial" w:hAnsi="Arial" w:cs="Arial"/>
                <w:spacing w:val="-3"/>
              </w:rPr>
              <w:t xml:space="preserve"> </w:t>
            </w:r>
            <w:r w:rsidRPr="00C04B4C">
              <w:rPr>
                <w:rFonts w:ascii="Arial" w:hAnsi="Arial" w:cs="Arial"/>
              </w:rPr>
              <w:t>excluding</w:t>
            </w:r>
            <w:r w:rsidRPr="00C04B4C">
              <w:rPr>
                <w:rFonts w:ascii="Arial" w:hAnsi="Arial" w:cs="Arial"/>
                <w:spacing w:val="-4"/>
              </w:rPr>
              <w:t xml:space="preserve"> </w:t>
            </w:r>
            <w:r w:rsidRPr="00C04B4C">
              <w:rPr>
                <w:rFonts w:ascii="Arial" w:hAnsi="Arial" w:cs="Arial"/>
              </w:rPr>
              <w:t>those</w:t>
            </w:r>
            <w:r w:rsidRPr="00C04B4C">
              <w:rPr>
                <w:rFonts w:ascii="Arial" w:hAnsi="Arial" w:cs="Arial"/>
                <w:spacing w:val="-4"/>
              </w:rPr>
              <w:t xml:space="preserve"> </w:t>
            </w:r>
            <w:r w:rsidRPr="00C04B4C">
              <w:rPr>
                <w:rFonts w:ascii="Arial" w:hAnsi="Arial" w:cs="Arial"/>
              </w:rPr>
              <w:t>in</w:t>
            </w:r>
            <w:r w:rsidRPr="00C04B4C">
              <w:rPr>
                <w:rFonts w:ascii="Arial" w:hAnsi="Arial" w:cs="Arial"/>
                <w:spacing w:val="2"/>
              </w:rPr>
              <w:t xml:space="preserve"> </w:t>
            </w:r>
            <w:r w:rsidRPr="00C04B4C">
              <w:rPr>
                <w:rFonts w:ascii="Arial" w:hAnsi="Arial" w:cs="Arial"/>
              </w:rPr>
              <w:t>engine</w:t>
            </w:r>
            <w:r w:rsidRPr="00C04B4C">
              <w:rPr>
                <w:rFonts w:ascii="Arial" w:hAnsi="Arial" w:cs="Arial"/>
                <w:spacing w:val="-4"/>
              </w:rPr>
              <w:t xml:space="preserve"> </w:t>
            </w:r>
            <w:r w:rsidRPr="00C04B4C">
              <w:rPr>
                <w:rFonts w:ascii="Arial" w:hAnsi="Arial" w:cs="Arial"/>
              </w:rPr>
              <w:t>controls,</w:t>
            </w:r>
            <w:r w:rsidRPr="00C04B4C">
              <w:rPr>
                <w:rFonts w:ascii="Arial" w:hAnsi="Arial" w:cs="Arial"/>
                <w:spacing w:val="-3"/>
              </w:rPr>
              <w:t xml:space="preserve"> </w:t>
            </w:r>
            <w:r w:rsidRPr="00C04B4C">
              <w:rPr>
                <w:rFonts w:ascii="Arial" w:hAnsi="Arial" w:cs="Arial"/>
              </w:rPr>
              <w:t>transmission</w:t>
            </w:r>
            <w:r w:rsidRPr="00C04B4C">
              <w:rPr>
                <w:rFonts w:ascii="Arial" w:hAnsi="Arial" w:cs="Arial"/>
                <w:spacing w:val="-2"/>
              </w:rPr>
              <w:t xml:space="preserve"> </w:t>
            </w:r>
            <w:r w:rsidRPr="00C04B4C">
              <w:rPr>
                <w:rFonts w:ascii="Arial" w:hAnsi="Arial" w:cs="Arial"/>
              </w:rPr>
              <w:t>controls</w:t>
            </w:r>
            <w:r w:rsidRPr="00C04B4C">
              <w:rPr>
                <w:rFonts w:ascii="Arial" w:hAnsi="Arial" w:cs="Arial"/>
                <w:spacing w:val="-5"/>
              </w:rPr>
              <w:t xml:space="preserve"> </w:t>
            </w:r>
            <w:r w:rsidR="0038563B">
              <w:rPr>
                <w:rFonts w:ascii="Arial" w:hAnsi="Arial" w:cs="Arial"/>
              </w:rPr>
              <w:t xml:space="preserve">and </w:t>
            </w:r>
            <w:r w:rsidRPr="00C04B4C">
              <w:rPr>
                <w:rFonts w:ascii="Arial" w:hAnsi="Arial" w:cs="Arial"/>
              </w:rPr>
              <w:t>flight</w:t>
            </w:r>
            <w:r w:rsidRPr="00C04B4C">
              <w:rPr>
                <w:rFonts w:ascii="Arial" w:hAnsi="Arial" w:cs="Arial"/>
                <w:spacing w:val="-3"/>
              </w:rPr>
              <w:t xml:space="preserve"> </w:t>
            </w:r>
            <w:r w:rsidRPr="00C04B4C">
              <w:rPr>
                <w:rFonts w:ascii="Arial" w:hAnsi="Arial" w:cs="Arial"/>
              </w:rPr>
              <w:t>control</w:t>
            </w:r>
            <w:r w:rsidRPr="00C04B4C">
              <w:rPr>
                <w:rFonts w:ascii="Arial" w:hAnsi="Arial" w:cs="Arial"/>
                <w:spacing w:val="-2"/>
              </w:rPr>
              <w:t xml:space="preserve"> </w:t>
            </w:r>
            <w:r w:rsidRPr="00C04B4C">
              <w:rPr>
                <w:rFonts w:ascii="Arial" w:hAnsi="Arial" w:cs="Arial"/>
              </w:rPr>
              <w:t>systems</w:t>
            </w:r>
          </w:p>
        </w:tc>
        <w:tc>
          <w:tcPr>
            <w:tcW w:w="1530" w:type="dxa"/>
          </w:tcPr>
          <w:p w14:paraId="7AE667D5" w14:textId="77777777" w:rsidR="00C04B4C" w:rsidRPr="00C04B4C" w:rsidRDefault="00C04B4C" w:rsidP="00C04B4C">
            <w:pPr>
              <w:ind w:left="84"/>
              <w:rPr>
                <w:rFonts w:ascii="Arial" w:hAnsi="Arial" w:cs="Arial"/>
              </w:rPr>
            </w:pPr>
            <w:r w:rsidRPr="00C04B4C">
              <w:rPr>
                <w:rFonts w:ascii="Arial" w:hAnsi="Arial" w:cs="Arial"/>
              </w:rPr>
              <w:t>Yes</w:t>
            </w:r>
          </w:p>
        </w:tc>
      </w:tr>
      <w:tr w:rsidR="00336111" w:rsidRPr="00C04B4C" w14:paraId="06AD01BE" w14:textId="77777777" w:rsidTr="0080379D">
        <w:trPr>
          <w:trHeight w:val="732"/>
        </w:trPr>
        <w:tc>
          <w:tcPr>
            <w:tcW w:w="895" w:type="dxa"/>
            <w:vMerge/>
            <w:shd w:val="clear" w:color="auto" w:fill="F2F2F2" w:themeFill="background1" w:themeFillShade="F2"/>
          </w:tcPr>
          <w:p w14:paraId="1895D4E0" w14:textId="77777777" w:rsidR="00C04B4C" w:rsidRPr="0038563B" w:rsidRDefault="00C04B4C" w:rsidP="00602DB9">
            <w:pPr>
              <w:jc w:val="center"/>
              <w:rPr>
                <w:rFonts w:ascii="Arial" w:hAnsi="Arial" w:cs="Arial"/>
                <w:b/>
              </w:rPr>
            </w:pPr>
          </w:p>
        </w:tc>
        <w:tc>
          <w:tcPr>
            <w:tcW w:w="2250" w:type="dxa"/>
            <w:vMerge/>
          </w:tcPr>
          <w:p w14:paraId="47146420" w14:textId="77777777" w:rsidR="00C04B4C" w:rsidRPr="00C04B4C" w:rsidRDefault="00C04B4C" w:rsidP="00C04B4C">
            <w:pPr>
              <w:rPr>
                <w:rFonts w:ascii="Arial" w:hAnsi="Arial" w:cs="Arial"/>
                <w:sz w:val="2"/>
                <w:szCs w:val="2"/>
              </w:rPr>
            </w:pPr>
          </w:p>
        </w:tc>
        <w:tc>
          <w:tcPr>
            <w:tcW w:w="4860" w:type="dxa"/>
          </w:tcPr>
          <w:p w14:paraId="7451F5CA" w14:textId="77777777" w:rsidR="00C04B4C" w:rsidRPr="00C04B4C" w:rsidRDefault="00C04B4C" w:rsidP="0038563B">
            <w:pPr>
              <w:ind w:left="84" w:right="371"/>
              <w:jc w:val="both"/>
              <w:rPr>
                <w:rFonts w:ascii="Arial" w:hAnsi="Arial" w:cs="Arial"/>
              </w:rPr>
            </w:pPr>
            <w:r w:rsidRPr="00C04B4C">
              <w:rPr>
                <w:rFonts w:ascii="Arial" w:hAnsi="Arial" w:cs="Arial"/>
              </w:rPr>
              <w:t>Simple</w:t>
            </w:r>
            <w:r w:rsidRPr="00C04B4C">
              <w:rPr>
                <w:rFonts w:ascii="Arial" w:hAnsi="Arial" w:cs="Arial"/>
                <w:spacing w:val="-6"/>
              </w:rPr>
              <w:t xml:space="preserve"> </w:t>
            </w:r>
            <w:r w:rsidRPr="00C04B4C">
              <w:rPr>
                <w:rFonts w:ascii="Arial" w:hAnsi="Arial" w:cs="Arial"/>
              </w:rPr>
              <w:t>non-structural</w:t>
            </w:r>
            <w:r w:rsidRPr="00C04B4C">
              <w:rPr>
                <w:rFonts w:ascii="Arial" w:hAnsi="Arial" w:cs="Arial"/>
                <w:spacing w:val="-3"/>
              </w:rPr>
              <w:t xml:space="preserve"> </w:t>
            </w:r>
            <w:r w:rsidRPr="00C04B4C">
              <w:rPr>
                <w:rFonts w:ascii="Arial" w:hAnsi="Arial" w:cs="Arial"/>
              </w:rPr>
              <w:t>standard</w:t>
            </w:r>
            <w:r w:rsidRPr="00C04B4C">
              <w:rPr>
                <w:rFonts w:ascii="Arial" w:hAnsi="Arial" w:cs="Arial"/>
                <w:spacing w:val="-3"/>
              </w:rPr>
              <w:t xml:space="preserve"> </w:t>
            </w:r>
            <w:r w:rsidRPr="00C04B4C">
              <w:rPr>
                <w:rFonts w:ascii="Arial" w:hAnsi="Arial" w:cs="Arial"/>
              </w:rPr>
              <w:t>fasteners</w:t>
            </w:r>
            <w:r w:rsidRPr="00C04B4C">
              <w:rPr>
                <w:rFonts w:ascii="Arial" w:hAnsi="Arial" w:cs="Arial"/>
                <w:spacing w:val="-2"/>
              </w:rPr>
              <w:t xml:space="preserve"> </w:t>
            </w:r>
            <w:r w:rsidRPr="00C04B4C">
              <w:rPr>
                <w:rFonts w:ascii="Arial" w:hAnsi="Arial" w:cs="Arial"/>
              </w:rPr>
              <w:t>—</w:t>
            </w:r>
            <w:r w:rsidRPr="00C04B4C">
              <w:rPr>
                <w:rFonts w:ascii="Arial" w:hAnsi="Arial" w:cs="Arial"/>
                <w:spacing w:val="-3"/>
              </w:rPr>
              <w:t xml:space="preserve"> </w:t>
            </w:r>
            <w:r w:rsidRPr="00C04B4C">
              <w:rPr>
                <w:rFonts w:ascii="Arial" w:hAnsi="Arial" w:cs="Arial"/>
              </w:rPr>
              <w:t>replacement</w:t>
            </w:r>
            <w:r w:rsidRPr="00C04B4C">
              <w:rPr>
                <w:rFonts w:ascii="Arial" w:hAnsi="Arial" w:cs="Arial"/>
                <w:spacing w:val="-4"/>
              </w:rPr>
              <w:t xml:space="preserve"> </w:t>
            </w:r>
            <w:r w:rsidRPr="00C04B4C">
              <w:rPr>
                <w:rFonts w:ascii="Arial" w:hAnsi="Arial" w:cs="Arial"/>
              </w:rPr>
              <w:t>and</w:t>
            </w:r>
            <w:r w:rsidRPr="00C04B4C">
              <w:rPr>
                <w:rFonts w:ascii="Arial" w:hAnsi="Arial" w:cs="Arial"/>
                <w:spacing w:val="-42"/>
              </w:rPr>
              <w:t xml:space="preserve"> </w:t>
            </w:r>
            <w:r w:rsidRPr="00C04B4C">
              <w:rPr>
                <w:rFonts w:ascii="Arial" w:hAnsi="Arial" w:cs="Arial"/>
              </w:rPr>
              <w:t>adjustment,</w:t>
            </w:r>
            <w:r w:rsidRPr="00C04B4C">
              <w:rPr>
                <w:rFonts w:ascii="Arial" w:hAnsi="Arial" w:cs="Arial"/>
                <w:spacing w:val="-2"/>
              </w:rPr>
              <w:t xml:space="preserve"> </w:t>
            </w:r>
            <w:r w:rsidRPr="00C04B4C">
              <w:rPr>
                <w:rFonts w:ascii="Arial" w:hAnsi="Arial" w:cs="Arial"/>
              </w:rPr>
              <w:t>excluding</w:t>
            </w:r>
            <w:r w:rsidRPr="00C04B4C">
              <w:rPr>
                <w:rFonts w:ascii="Arial" w:hAnsi="Arial" w:cs="Arial"/>
                <w:spacing w:val="-2"/>
              </w:rPr>
              <w:t xml:space="preserve"> </w:t>
            </w:r>
            <w:r w:rsidRPr="00C04B4C">
              <w:rPr>
                <w:rFonts w:ascii="Arial" w:hAnsi="Arial" w:cs="Arial"/>
              </w:rPr>
              <w:t>latches</w:t>
            </w:r>
            <w:r w:rsidRPr="00C04B4C">
              <w:rPr>
                <w:rFonts w:ascii="Arial" w:hAnsi="Arial" w:cs="Arial"/>
                <w:spacing w:val="-1"/>
              </w:rPr>
              <w:t xml:space="preserve"> </w:t>
            </w:r>
            <w:r w:rsidRPr="00C04B4C">
              <w:rPr>
                <w:rFonts w:ascii="Arial" w:hAnsi="Arial" w:cs="Arial"/>
              </w:rPr>
              <w:t>as</w:t>
            </w:r>
            <w:r w:rsidRPr="00C04B4C">
              <w:rPr>
                <w:rFonts w:ascii="Arial" w:hAnsi="Arial" w:cs="Arial"/>
                <w:spacing w:val="-4"/>
              </w:rPr>
              <w:t xml:space="preserve"> </w:t>
            </w:r>
            <w:r w:rsidRPr="00C04B4C">
              <w:rPr>
                <w:rFonts w:ascii="Arial" w:hAnsi="Arial" w:cs="Arial"/>
              </w:rPr>
              <w:t>well</w:t>
            </w:r>
            <w:r w:rsidRPr="00C04B4C">
              <w:rPr>
                <w:rFonts w:ascii="Arial" w:hAnsi="Arial" w:cs="Arial"/>
                <w:spacing w:val="-1"/>
              </w:rPr>
              <w:t xml:space="preserve"> </w:t>
            </w:r>
            <w:r w:rsidRPr="00C04B4C">
              <w:rPr>
                <w:rFonts w:ascii="Arial" w:hAnsi="Arial" w:cs="Arial"/>
              </w:rPr>
              <w:t>as</w:t>
            </w:r>
            <w:r w:rsidRPr="00C04B4C">
              <w:rPr>
                <w:rFonts w:ascii="Arial" w:hAnsi="Arial" w:cs="Arial"/>
                <w:spacing w:val="-3"/>
              </w:rPr>
              <w:t xml:space="preserve"> </w:t>
            </w:r>
            <w:r w:rsidRPr="00C04B4C">
              <w:rPr>
                <w:rFonts w:ascii="Arial" w:hAnsi="Arial" w:cs="Arial"/>
              </w:rPr>
              <w:t>the</w:t>
            </w:r>
            <w:r w:rsidRPr="00C04B4C">
              <w:rPr>
                <w:rFonts w:ascii="Arial" w:hAnsi="Arial" w:cs="Arial"/>
                <w:spacing w:val="-2"/>
              </w:rPr>
              <w:t xml:space="preserve"> </w:t>
            </w:r>
            <w:r w:rsidRPr="00C04B4C">
              <w:rPr>
                <w:rFonts w:ascii="Arial" w:hAnsi="Arial" w:cs="Arial"/>
              </w:rPr>
              <w:t>replacement</w:t>
            </w:r>
            <w:r w:rsidRPr="00C04B4C">
              <w:rPr>
                <w:rFonts w:ascii="Arial" w:hAnsi="Arial" w:cs="Arial"/>
                <w:spacing w:val="-2"/>
              </w:rPr>
              <w:t xml:space="preserve"> </w:t>
            </w:r>
            <w:r w:rsidR="0038563B">
              <w:rPr>
                <w:rFonts w:ascii="Arial" w:hAnsi="Arial" w:cs="Arial"/>
              </w:rPr>
              <w:t xml:space="preserve">of </w:t>
            </w:r>
            <w:r w:rsidRPr="00C04B4C">
              <w:rPr>
                <w:rFonts w:ascii="Arial" w:hAnsi="Arial" w:cs="Arial"/>
              </w:rPr>
              <w:t>receptacles</w:t>
            </w:r>
            <w:r w:rsidRPr="00C04B4C">
              <w:rPr>
                <w:rFonts w:ascii="Arial" w:hAnsi="Arial" w:cs="Arial"/>
                <w:spacing w:val="-5"/>
              </w:rPr>
              <w:t xml:space="preserve"> </w:t>
            </w:r>
            <w:r w:rsidRPr="00C04B4C">
              <w:rPr>
                <w:rFonts w:ascii="Arial" w:hAnsi="Arial" w:cs="Arial"/>
              </w:rPr>
              <w:t>and</w:t>
            </w:r>
            <w:r w:rsidRPr="00C04B4C">
              <w:rPr>
                <w:rFonts w:ascii="Arial" w:hAnsi="Arial" w:cs="Arial"/>
                <w:spacing w:val="-2"/>
              </w:rPr>
              <w:t xml:space="preserve"> </w:t>
            </w:r>
            <w:r w:rsidRPr="00C04B4C">
              <w:rPr>
                <w:rFonts w:ascii="Arial" w:hAnsi="Arial" w:cs="Arial"/>
              </w:rPr>
              <w:t>anchor</w:t>
            </w:r>
            <w:r w:rsidRPr="00C04B4C">
              <w:rPr>
                <w:rFonts w:ascii="Arial" w:hAnsi="Arial" w:cs="Arial"/>
                <w:spacing w:val="-2"/>
              </w:rPr>
              <w:t xml:space="preserve"> </w:t>
            </w:r>
            <w:r w:rsidRPr="00C04B4C">
              <w:rPr>
                <w:rFonts w:ascii="Arial" w:hAnsi="Arial" w:cs="Arial"/>
              </w:rPr>
              <w:t>nuts</w:t>
            </w:r>
            <w:r w:rsidRPr="00C04B4C">
              <w:rPr>
                <w:rFonts w:ascii="Arial" w:hAnsi="Arial" w:cs="Arial"/>
                <w:spacing w:val="-4"/>
              </w:rPr>
              <w:t xml:space="preserve"> </w:t>
            </w:r>
            <w:r w:rsidRPr="00C04B4C">
              <w:rPr>
                <w:rFonts w:ascii="Arial" w:hAnsi="Arial" w:cs="Arial"/>
              </w:rPr>
              <w:t>requiring</w:t>
            </w:r>
            <w:r w:rsidRPr="00C04B4C">
              <w:rPr>
                <w:rFonts w:ascii="Arial" w:hAnsi="Arial" w:cs="Arial"/>
                <w:spacing w:val="-3"/>
              </w:rPr>
              <w:t xml:space="preserve"> </w:t>
            </w:r>
            <w:r w:rsidRPr="00C04B4C">
              <w:rPr>
                <w:rFonts w:ascii="Arial" w:hAnsi="Arial" w:cs="Arial"/>
              </w:rPr>
              <w:t>riveting</w:t>
            </w:r>
          </w:p>
        </w:tc>
        <w:tc>
          <w:tcPr>
            <w:tcW w:w="1530" w:type="dxa"/>
          </w:tcPr>
          <w:p w14:paraId="074F423E" w14:textId="77777777" w:rsidR="00C04B4C" w:rsidRPr="00C04B4C" w:rsidRDefault="00C04B4C" w:rsidP="00C04B4C">
            <w:pPr>
              <w:ind w:left="84"/>
              <w:rPr>
                <w:rFonts w:ascii="Arial" w:hAnsi="Arial" w:cs="Arial"/>
              </w:rPr>
            </w:pPr>
            <w:r w:rsidRPr="00C04B4C">
              <w:rPr>
                <w:rFonts w:ascii="Arial" w:hAnsi="Arial" w:cs="Arial"/>
              </w:rPr>
              <w:t>Yes</w:t>
            </w:r>
          </w:p>
        </w:tc>
      </w:tr>
      <w:tr w:rsidR="00336111" w:rsidRPr="00C04B4C" w14:paraId="658B86D7" w14:textId="77777777" w:rsidTr="0080379D">
        <w:trPr>
          <w:trHeight w:val="246"/>
        </w:trPr>
        <w:tc>
          <w:tcPr>
            <w:tcW w:w="895" w:type="dxa"/>
            <w:shd w:val="clear" w:color="auto" w:fill="F2F2F2" w:themeFill="background1" w:themeFillShade="F2"/>
          </w:tcPr>
          <w:p w14:paraId="362898DC" w14:textId="77777777" w:rsidR="00C04B4C" w:rsidRPr="00C04B4C" w:rsidRDefault="00C04B4C" w:rsidP="00602DB9">
            <w:pPr>
              <w:jc w:val="center"/>
              <w:rPr>
                <w:rFonts w:ascii="Arial" w:hAnsi="Arial" w:cs="Arial"/>
                <w:b/>
              </w:rPr>
            </w:pPr>
            <w:r w:rsidRPr="00C04B4C">
              <w:rPr>
                <w:rFonts w:ascii="Arial" w:hAnsi="Arial" w:cs="Arial"/>
                <w:b/>
              </w:rPr>
              <w:t>21</w:t>
            </w:r>
          </w:p>
        </w:tc>
        <w:tc>
          <w:tcPr>
            <w:tcW w:w="2250" w:type="dxa"/>
          </w:tcPr>
          <w:p w14:paraId="4E7D0AA9" w14:textId="77777777" w:rsidR="00C04B4C" w:rsidRPr="00C04B4C" w:rsidRDefault="00C04B4C" w:rsidP="00C04B4C">
            <w:pPr>
              <w:spacing w:line="226" w:lineRule="exact"/>
              <w:ind w:left="99"/>
              <w:rPr>
                <w:rFonts w:ascii="Arial" w:hAnsi="Arial" w:cs="Arial"/>
              </w:rPr>
            </w:pPr>
            <w:r w:rsidRPr="00C04B4C">
              <w:rPr>
                <w:rFonts w:ascii="Arial" w:hAnsi="Arial" w:cs="Arial"/>
              </w:rPr>
              <w:t>Air</w:t>
            </w:r>
            <w:r w:rsidRPr="00C04B4C">
              <w:rPr>
                <w:rFonts w:ascii="Arial" w:hAnsi="Arial" w:cs="Arial"/>
                <w:spacing w:val="-3"/>
              </w:rPr>
              <w:t xml:space="preserve"> </w:t>
            </w:r>
            <w:r w:rsidRPr="00C04B4C">
              <w:rPr>
                <w:rFonts w:ascii="Arial" w:hAnsi="Arial" w:cs="Arial"/>
              </w:rPr>
              <w:t>conditioning</w:t>
            </w:r>
          </w:p>
        </w:tc>
        <w:tc>
          <w:tcPr>
            <w:tcW w:w="4860" w:type="dxa"/>
          </w:tcPr>
          <w:p w14:paraId="2E0ECDF6" w14:textId="77777777" w:rsidR="00C04B4C" w:rsidRPr="00C04B4C" w:rsidRDefault="00C04B4C" w:rsidP="0038563B">
            <w:pPr>
              <w:spacing w:line="226" w:lineRule="exact"/>
              <w:ind w:left="84"/>
              <w:jc w:val="both"/>
              <w:rPr>
                <w:rFonts w:ascii="Arial" w:hAnsi="Arial" w:cs="Arial"/>
              </w:rPr>
            </w:pPr>
            <w:r w:rsidRPr="00C04B4C">
              <w:rPr>
                <w:rFonts w:ascii="Arial" w:hAnsi="Arial" w:cs="Arial"/>
              </w:rPr>
              <w:t>Replacement</w:t>
            </w:r>
            <w:r w:rsidRPr="00C04B4C">
              <w:rPr>
                <w:rFonts w:ascii="Arial" w:hAnsi="Arial" w:cs="Arial"/>
                <w:spacing w:val="-2"/>
              </w:rPr>
              <w:t xml:space="preserve"> </w:t>
            </w:r>
            <w:r w:rsidRPr="00C04B4C">
              <w:rPr>
                <w:rFonts w:ascii="Arial" w:hAnsi="Arial" w:cs="Arial"/>
              </w:rPr>
              <w:t>of</w:t>
            </w:r>
            <w:r w:rsidRPr="00C04B4C">
              <w:rPr>
                <w:rFonts w:ascii="Arial" w:hAnsi="Arial" w:cs="Arial"/>
                <w:spacing w:val="-4"/>
              </w:rPr>
              <w:t xml:space="preserve"> </w:t>
            </w:r>
            <w:r w:rsidRPr="00C04B4C">
              <w:rPr>
                <w:rFonts w:ascii="Arial" w:hAnsi="Arial" w:cs="Arial"/>
              </w:rPr>
              <w:t>flexible</w:t>
            </w:r>
            <w:r w:rsidRPr="00C04B4C">
              <w:rPr>
                <w:rFonts w:ascii="Arial" w:hAnsi="Arial" w:cs="Arial"/>
                <w:spacing w:val="-3"/>
              </w:rPr>
              <w:t xml:space="preserve"> </w:t>
            </w:r>
            <w:r w:rsidRPr="00C04B4C">
              <w:rPr>
                <w:rFonts w:ascii="Arial" w:hAnsi="Arial" w:cs="Arial"/>
              </w:rPr>
              <w:t>hoses</w:t>
            </w:r>
            <w:r w:rsidRPr="00C04B4C">
              <w:rPr>
                <w:rFonts w:ascii="Arial" w:hAnsi="Arial" w:cs="Arial"/>
                <w:spacing w:val="-2"/>
              </w:rPr>
              <w:t xml:space="preserve"> </w:t>
            </w:r>
            <w:r w:rsidRPr="00C04B4C">
              <w:rPr>
                <w:rFonts w:ascii="Arial" w:hAnsi="Arial" w:cs="Arial"/>
              </w:rPr>
              <w:t>and</w:t>
            </w:r>
            <w:r w:rsidRPr="00C04B4C">
              <w:rPr>
                <w:rFonts w:ascii="Arial" w:hAnsi="Arial" w:cs="Arial"/>
                <w:spacing w:val="-2"/>
              </w:rPr>
              <w:t xml:space="preserve"> </w:t>
            </w:r>
            <w:r w:rsidRPr="00C04B4C">
              <w:rPr>
                <w:rFonts w:ascii="Arial" w:hAnsi="Arial" w:cs="Arial"/>
              </w:rPr>
              <w:t>ducts</w:t>
            </w:r>
          </w:p>
        </w:tc>
        <w:tc>
          <w:tcPr>
            <w:tcW w:w="1530" w:type="dxa"/>
          </w:tcPr>
          <w:p w14:paraId="090024AC" w14:textId="77777777" w:rsidR="00C04B4C" w:rsidRPr="00C04B4C" w:rsidRDefault="00C04B4C" w:rsidP="00C04B4C">
            <w:pPr>
              <w:spacing w:line="226" w:lineRule="exact"/>
              <w:ind w:left="84"/>
              <w:rPr>
                <w:rFonts w:ascii="Arial" w:hAnsi="Arial" w:cs="Arial"/>
              </w:rPr>
            </w:pPr>
            <w:r w:rsidRPr="00C04B4C">
              <w:rPr>
                <w:rFonts w:ascii="Arial" w:hAnsi="Arial" w:cs="Arial"/>
              </w:rPr>
              <w:t>Yes</w:t>
            </w:r>
          </w:p>
        </w:tc>
      </w:tr>
      <w:tr w:rsidR="00336111" w:rsidRPr="00336111" w14:paraId="711035A2" w14:textId="77777777" w:rsidTr="0080379D">
        <w:trPr>
          <w:trHeight w:val="689"/>
        </w:trPr>
        <w:tc>
          <w:tcPr>
            <w:tcW w:w="895" w:type="dxa"/>
            <w:shd w:val="clear" w:color="auto" w:fill="F2F2F2" w:themeFill="background1" w:themeFillShade="F2"/>
          </w:tcPr>
          <w:p w14:paraId="34C0D453" w14:textId="77777777" w:rsidR="00C04B4C" w:rsidRPr="00336111" w:rsidRDefault="00C04B4C" w:rsidP="00602DB9">
            <w:pPr>
              <w:jc w:val="center"/>
              <w:rPr>
                <w:rFonts w:ascii="Arial" w:hAnsi="Arial" w:cs="Arial"/>
                <w:b/>
              </w:rPr>
            </w:pPr>
            <w:r w:rsidRPr="00336111">
              <w:rPr>
                <w:rFonts w:ascii="Arial" w:hAnsi="Arial" w:cs="Arial"/>
                <w:b/>
              </w:rPr>
              <w:t>23</w:t>
            </w:r>
          </w:p>
        </w:tc>
        <w:tc>
          <w:tcPr>
            <w:tcW w:w="2250" w:type="dxa"/>
          </w:tcPr>
          <w:p w14:paraId="649E5568" w14:textId="77777777" w:rsidR="00C04B4C" w:rsidRPr="00336111" w:rsidRDefault="00C04B4C" w:rsidP="00BE4A83">
            <w:pPr>
              <w:pStyle w:val="TableParagraph"/>
              <w:rPr>
                <w:rFonts w:ascii="Arial" w:hAnsi="Arial" w:cs="Arial"/>
              </w:rPr>
            </w:pPr>
            <w:r w:rsidRPr="00336111">
              <w:rPr>
                <w:rFonts w:ascii="Arial" w:hAnsi="Arial" w:cs="Arial"/>
              </w:rPr>
              <w:t>Communication</w:t>
            </w:r>
          </w:p>
        </w:tc>
        <w:tc>
          <w:tcPr>
            <w:tcW w:w="4860" w:type="dxa"/>
          </w:tcPr>
          <w:p w14:paraId="293F6E25" w14:textId="77777777" w:rsidR="00C04B4C" w:rsidRPr="00336111" w:rsidRDefault="00C04B4C" w:rsidP="0038563B">
            <w:pPr>
              <w:pStyle w:val="TableParagraph"/>
              <w:jc w:val="both"/>
              <w:rPr>
                <w:rFonts w:ascii="Arial" w:hAnsi="Arial" w:cs="Arial"/>
              </w:rPr>
            </w:pPr>
            <w:r w:rsidRPr="00336111">
              <w:rPr>
                <w:rFonts w:ascii="Arial" w:hAnsi="Arial" w:cs="Arial"/>
              </w:rPr>
              <w:t>Communication devices — removal and replacement of self-</w:t>
            </w:r>
            <w:r w:rsidRPr="00336111">
              <w:rPr>
                <w:rFonts w:ascii="Arial" w:hAnsi="Arial" w:cs="Arial"/>
                <w:spacing w:val="1"/>
              </w:rPr>
              <w:t xml:space="preserve"> </w:t>
            </w:r>
            <w:r w:rsidRPr="00336111">
              <w:rPr>
                <w:rFonts w:ascii="Arial" w:hAnsi="Arial" w:cs="Arial"/>
              </w:rPr>
              <w:t>contained,</w:t>
            </w:r>
            <w:r w:rsidRPr="00336111">
              <w:rPr>
                <w:rFonts w:ascii="Arial" w:hAnsi="Arial" w:cs="Arial"/>
                <w:spacing w:val="-5"/>
              </w:rPr>
              <w:t xml:space="preserve"> </w:t>
            </w:r>
            <w:r w:rsidRPr="00336111">
              <w:rPr>
                <w:rFonts w:ascii="Arial" w:hAnsi="Arial" w:cs="Arial"/>
              </w:rPr>
              <w:t>instrument-panel-mounted</w:t>
            </w:r>
            <w:r w:rsidRPr="00336111">
              <w:rPr>
                <w:rFonts w:ascii="Arial" w:hAnsi="Arial" w:cs="Arial"/>
                <w:spacing w:val="-4"/>
              </w:rPr>
              <w:t xml:space="preserve"> </w:t>
            </w:r>
            <w:r w:rsidRPr="00336111">
              <w:rPr>
                <w:rFonts w:ascii="Arial" w:hAnsi="Arial" w:cs="Arial"/>
              </w:rPr>
              <w:t>communication</w:t>
            </w:r>
            <w:r w:rsidRPr="00336111">
              <w:rPr>
                <w:rFonts w:ascii="Arial" w:hAnsi="Arial" w:cs="Arial"/>
                <w:spacing w:val="-5"/>
              </w:rPr>
              <w:t xml:space="preserve"> </w:t>
            </w:r>
            <w:r w:rsidRPr="00336111">
              <w:rPr>
                <w:rFonts w:ascii="Arial" w:hAnsi="Arial" w:cs="Arial"/>
              </w:rPr>
              <w:t>devices</w:t>
            </w:r>
            <w:r w:rsidR="0038563B">
              <w:rPr>
                <w:rFonts w:ascii="Arial" w:hAnsi="Arial" w:cs="Arial"/>
              </w:rPr>
              <w:t xml:space="preserve"> </w:t>
            </w:r>
            <w:r w:rsidRPr="00336111">
              <w:rPr>
                <w:rFonts w:ascii="Arial" w:hAnsi="Arial" w:cs="Arial"/>
              </w:rPr>
              <w:t>with</w:t>
            </w:r>
            <w:r w:rsidRPr="00336111">
              <w:rPr>
                <w:rFonts w:ascii="Arial" w:hAnsi="Arial" w:cs="Arial"/>
                <w:spacing w:val="-3"/>
              </w:rPr>
              <w:t xml:space="preserve"> </w:t>
            </w:r>
            <w:r w:rsidRPr="00336111">
              <w:rPr>
                <w:rFonts w:ascii="Arial" w:hAnsi="Arial" w:cs="Arial"/>
              </w:rPr>
              <w:t>quick-disconnect</w:t>
            </w:r>
            <w:r w:rsidRPr="00336111">
              <w:rPr>
                <w:rFonts w:ascii="Arial" w:hAnsi="Arial" w:cs="Arial"/>
                <w:spacing w:val="-2"/>
              </w:rPr>
              <w:t xml:space="preserve"> </w:t>
            </w:r>
            <w:r w:rsidRPr="00336111">
              <w:rPr>
                <w:rFonts w:ascii="Arial" w:hAnsi="Arial" w:cs="Arial"/>
              </w:rPr>
              <w:t>connectors,</w:t>
            </w:r>
            <w:r w:rsidRPr="00336111">
              <w:rPr>
                <w:rFonts w:ascii="Arial" w:hAnsi="Arial" w:cs="Arial"/>
                <w:spacing w:val="-2"/>
              </w:rPr>
              <w:t xml:space="preserve"> </w:t>
            </w:r>
            <w:r w:rsidRPr="00336111">
              <w:rPr>
                <w:rFonts w:ascii="Arial" w:hAnsi="Arial" w:cs="Arial"/>
              </w:rPr>
              <w:t>excluding</w:t>
            </w:r>
            <w:r w:rsidRPr="00336111">
              <w:rPr>
                <w:rFonts w:ascii="Arial" w:hAnsi="Arial" w:cs="Arial"/>
                <w:spacing w:val="-3"/>
              </w:rPr>
              <w:t xml:space="preserve"> </w:t>
            </w:r>
            <w:r w:rsidRPr="00336111">
              <w:rPr>
                <w:rFonts w:ascii="Arial" w:hAnsi="Arial" w:cs="Arial"/>
              </w:rPr>
              <w:t>IFR</w:t>
            </w:r>
            <w:r w:rsidR="0038563B">
              <w:rPr>
                <w:rFonts w:ascii="Arial" w:hAnsi="Arial" w:cs="Arial"/>
                <w:spacing w:val="-3"/>
              </w:rPr>
              <w:t xml:space="preserve"> </w:t>
            </w:r>
            <w:r w:rsidRPr="00336111">
              <w:rPr>
                <w:rFonts w:ascii="Arial" w:hAnsi="Arial" w:cs="Arial"/>
              </w:rPr>
              <w:t>operations</w:t>
            </w:r>
          </w:p>
        </w:tc>
        <w:tc>
          <w:tcPr>
            <w:tcW w:w="1530" w:type="dxa"/>
          </w:tcPr>
          <w:p w14:paraId="0171427C" w14:textId="77777777" w:rsidR="00C04B4C" w:rsidRPr="00336111" w:rsidRDefault="00C04B4C" w:rsidP="00BE4A83">
            <w:pPr>
              <w:pStyle w:val="TableParagraph"/>
              <w:ind w:left="86"/>
              <w:rPr>
                <w:rFonts w:ascii="Arial" w:hAnsi="Arial" w:cs="Arial"/>
              </w:rPr>
            </w:pPr>
            <w:r w:rsidRPr="00336111">
              <w:rPr>
                <w:rFonts w:ascii="Arial" w:hAnsi="Arial" w:cs="Arial"/>
              </w:rPr>
              <w:t>Yes**</w:t>
            </w:r>
          </w:p>
        </w:tc>
      </w:tr>
      <w:tr w:rsidR="00336111" w:rsidRPr="00336111" w14:paraId="0E8B3E62" w14:textId="77777777" w:rsidTr="0080379D">
        <w:trPr>
          <w:trHeight w:val="444"/>
        </w:trPr>
        <w:tc>
          <w:tcPr>
            <w:tcW w:w="895" w:type="dxa"/>
            <w:vMerge w:val="restart"/>
            <w:shd w:val="clear" w:color="auto" w:fill="F2F2F2" w:themeFill="background1" w:themeFillShade="F2"/>
          </w:tcPr>
          <w:p w14:paraId="15E6769A" w14:textId="77777777" w:rsidR="00C04B4C" w:rsidRPr="00336111" w:rsidRDefault="00C04B4C" w:rsidP="00602DB9">
            <w:pPr>
              <w:jc w:val="center"/>
              <w:rPr>
                <w:rFonts w:ascii="Arial" w:hAnsi="Arial" w:cs="Arial"/>
                <w:b/>
              </w:rPr>
            </w:pPr>
            <w:r w:rsidRPr="00336111">
              <w:rPr>
                <w:rFonts w:ascii="Arial" w:hAnsi="Arial" w:cs="Arial"/>
                <w:b/>
              </w:rPr>
              <w:t>24</w:t>
            </w:r>
          </w:p>
        </w:tc>
        <w:tc>
          <w:tcPr>
            <w:tcW w:w="2250" w:type="dxa"/>
            <w:vMerge w:val="restart"/>
          </w:tcPr>
          <w:p w14:paraId="45609C6E" w14:textId="77777777" w:rsidR="00C04B4C" w:rsidRPr="00336111" w:rsidRDefault="00C04B4C" w:rsidP="00BE4A83">
            <w:pPr>
              <w:pStyle w:val="TableParagraph"/>
              <w:rPr>
                <w:rFonts w:ascii="Arial" w:hAnsi="Arial" w:cs="Arial"/>
              </w:rPr>
            </w:pPr>
            <w:r w:rsidRPr="00336111">
              <w:rPr>
                <w:rFonts w:ascii="Arial" w:hAnsi="Arial" w:cs="Arial"/>
              </w:rPr>
              <w:t>Electrical</w:t>
            </w:r>
            <w:r w:rsidRPr="00336111">
              <w:rPr>
                <w:rFonts w:ascii="Arial" w:hAnsi="Arial" w:cs="Arial"/>
                <w:spacing w:val="-3"/>
              </w:rPr>
              <w:t xml:space="preserve"> </w:t>
            </w:r>
            <w:r w:rsidRPr="00336111">
              <w:rPr>
                <w:rFonts w:ascii="Arial" w:hAnsi="Arial" w:cs="Arial"/>
              </w:rPr>
              <w:t>power</w:t>
            </w:r>
          </w:p>
        </w:tc>
        <w:tc>
          <w:tcPr>
            <w:tcW w:w="4860" w:type="dxa"/>
          </w:tcPr>
          <w:p w14:paraId="265E016D" w14:textId="77777777" w:rsidR="00C04B4C" w:rsidRPr="00336111" w:rsidRDefault="00C04B4C" w:rsidP="0038563B">
            <w:pPr>
              <w:pStyle w:val="TableParagraph"/>
              <w:spacing w:line="243" w:lineRule="exact"/>
              <w:jc w:val="both"/>
              <w:rPr>
                <w:rFonts w:ascii="Arial" w:hAnsi="Arial" w:cs="Arial"/>
              </w:rPr>
            </w:pPr>
            <w:r w:rsidRPr="00336111">
              <w:rPr>
                <w:rFonts w:ascii="Arial" w:hAnsi="Arial" w:cs="Arial"/>
              </w:rPr>
              <w:t>Batteries</w:t>
            </w:r>
            <w:r w:rsidRPr="00336111">
              <w:rPr>
                <w:rFonts w:ascii="Arial" w:hAnsi="Arial" w:cs="Arial"/>
                <w:spacing w:val="-2"/>
              </w:rPr>
              <w:t xml:space="preserve"> </w:t>
            </w:r>
            <w:r w:rsidRPr="00336111">
              <w:rPr>
                <w:rFonts w:ascii="Arial" w:hAnsi="Arial" w:cs="Arial"/>
              </w:rPr>
              <w:t>—</w:t>
            </w:r>
            <w:r w:rsidRPr="00336111">
              <w:rPr>
                <w:rFonts w:ascii="Arial" w:hAnsi="Arial" w:cs="Arial"/>
                <w:spacing w:val="-2"/>
              </w:rPr>
              <w:t xml:space="preserve"> </w:t>
            </w:r>
            <w:r w:rsidRPr="00336111">
              <w:rPr>
                <w:rFonts w:ascii="Arial" w:hAnsi="Arial" w:cs="Arial"/>
              </w:rPr>
              <w:t>replacement</w:t>
            </w:r>
            <w:r w:rsidRPr="00336111">
              <w:rPr>
                <w:rFonts w:ascii="Arial" w:hAnsi="Arial" w:cs="Arial"/>
                <w:spacing w:val="-1"/>
              </w:rPr>
              <w:t xml:space="preserve"> </w:t>
            </w:r>
            <w:r w:rsidRPr="00336111">
              <w:rPr>
                <w:rFonts w:ascii="Arial" w:hAnsi="Arial" w:cs="Arial"/>
              </w:rPr>
              <w:t>and</w:t>
            </w:r>
            <w:r w:rsidRPr="00336111">
              <w:rPr>
                <w:rFonts w:ascii="Arial" w:hAnsi="Arial" w:cs="Arial"/>
                <w:spacing w:val="-2"/>
              </w:rPr>
              <w:t xml:space="preserve"> </w:t>
            </w:r>
            <w:r w:rsidRPr="00336111">
              <w:rPr>
                <w:rFonts w:ascii="Arial" w:hAnsi="Arial" w:cs="Arial"/>
              </w:rPr>
              <w:t>servicing,</w:t>
            </w:r>
            <w:r w:rsidRPr="00336111">
              <w:rPr>
                <w:rFonts w:ascii="Arial" w:hAnsi="Arial" w:cs="Arial"/>
                <w:spacing w:val="-2"/>
              </w:rPr>
              <w:t xml:space="preserve"> </w:t>
            </w:r>
            <w:r w:rsidRPr="00336111">
              <w:rPr>
                <w:rFonts w:ascii="Arial" w:hAnsi="Arial" w:cs="Arial"/>
              </w:rPr>
              <w:t>excluding</w:t>
            </w:r>
            <w:r w:rsidRPr="00336111">
              <w:rPr>
                <w:rFonts w:ascii="Arial" w:hAnsi="Arial" w:cs="Arial"/>
                <w:spacing w:val="-2"/>
              </w:rPr>
              <w:t xml:space="preserve"> </w:t>
            </w:r>
            <w:r w:rsidRPr="00336111">
              <w:rPr>
                <w:rFonts w:ascii="Arial" w:hAnsi="Arial" w:cs="Arial"/>
              </w:rPr>
              <w:t>servicing</w:t>
            </w:r>
            <w:r w:rsidRPr="00336111">
              <w:rPr>
                <w:rFonts w:ascii="Arial" w:hAnsi="Arial" w:cs="Arial"/>
                <w:spacing w:val="-2"/>
              </w:rPr>
              <w:t xml:space="preserve"> </w:t>
            </w:r>
            <w:r w:rsidRPr="00336111">
              <w:rPr>
                <w:rFonts w:ascii="Arial" w:hAnsi="Arial" w:cs="Arial"/>
              </w:rPr>
              <w:t>of</w:t>
            </w:r>
            <w:r w:rsidRPr="00336111">
              <w:rPr>
                <w:rFonts w:ascii="Arial" w:hAnsi="Arial" w:cs="Arial"/>
                <w:spacing w:val="-4"/>
              </w:rPr>
              <w:t xml:space="preserve"> </w:t>
            </w:r>
            <w:r w:rsidR="0038563B">
              <w:rPr>
                <w:rFonts w:ascii="Arial" w:hAnsi="Arial" w:cs="Arial"/>
              </w:rPr>
              <w:t>Ni-</w:t>
            </w:r>
            <w:r w:rsidRPr="00336111">
              <w:rPr>
                <w:rFonts w:ascii="Arial" w:hAnsi="Arial" w:cs="Arial"/>
              </w:rPr>
              <w:t>Cd</w:t>
            </w:r>
            <w:r w:rsidRPr="00336111">
              <w:rPr>
                <w:rFonts w:ascii="Arial" w:hAnsi="Arial" w:cs="Arial"/>
                <w:spacing w:val="-2"/>
              </w:rPr>
              <w:t xml:space="preserve"> </w:t>
            </w:r>
            <w:r w:rsidRPr="00336111">
              <w:rPr>
                <w:rFonts w:ascii="Arial" w:hAnsi="Arial" w:cs="Arial"/>
              </w:rPr>
              <w:t>batteries</w:t>
            </w:r>
            <w:r w:rsidRPr="00336111">
              <w:rPr>
                <w:rFonts w:ascii="Arial" w:hAnsi="Arial" w:cs="Arial"/>
                <w:spacing w:val="-4"/>
              </w:rPr>
              <w:t xml:space="preserve"> </w:t>
            </w:r>
            <w:r w:rsidRPr="00336111">
              <w:rPr>
                <w:rFonts w:ascii="Arial" w:hAnsi="Arial" w:cs="Arial"/>
              </w:rPr>
              <w:t>and</w:t>
            </w:r>
            <w:r w:rsidRPr="00336111">
              <w:rPr>
                <w:rFonts w:ascii="Arial" w:hAnsi="Arial" w:cs="Arial"/>
                <w:spacing w:val="-2"/>
              </w:rPr>
              <w:t xml:space="preserve"> </w:t>
            </w:r>
            <w:r w:rsidRPr="00336111">
              <w:rPr>
                <w:rFonts w:ascii="Arial" w:hAnsi="Arial" w:cs="Arial"/>
              </w:rPr>
              <w:t>IFR</w:t>
            </w:r>
            <w:r w:rsidRPr="00336111">
              <w:rPr>
                <w:rFonts w:ascii="Arial" w:hAnsi="Arial" w:cs="Arial"/>
                <w:spacing w:val="-3"/>
              </w:rPr>
              <w:t xml:space="preserve"> </w:t>
            </w:r>
            <w:r w:rsidRPr="00336111">
              <w:rPr>
                <w:rFonts w:ascii="Arial" w:hAnsi="Arial" w:cs="Arial"/>
              </w:rPr>
              <w:t>operations</w:t>
            </w:r>
          </w:p>
        </w:tc>
        <w:tc>
          <w:tcPr>
            <w:tcW w:w="1530" w:type="dxa"/>
          </w:tcPr>
          <w:p w14:paraId="7F6987CA" w14:textId="77777777" w:rsidR="00C04B4C" w:rsidRPr="00336111" w:rsidRDefault="00C04B4C" w:rsidP="00BE4A83">
            <w:pPr>
              <w:pStyle w:val="TableParagraph"/>
              <w:ind w:left="86"/>
              <w:rPr>
                <w:rFonts w:ascii="Arial" w:hAnsi="Arial" w:cs="Arial"/>
              </w:rPr>
            </w:pPr>
            <w:r w:rsidRPr="00336111">
              <w:rPr>
                <w:rFonts w:ascii="Arial" w:hAnsi="Arial" w:cs="Arial"/>
              </w:rPr>
              <w:t>Yes**</w:t>
            </w:r>
          </w:p>
        </w:tc>
      </w:tr>
      <w:tr w:rsidR="00336111" w:rsidRPr="00336111" w14:paraId="4869CB40" w14:textId="77777777" w:rsidTr="0080379D">
        <w:trPr>
          <w:trHeight w:val="689"/>
        </w:trPr>
        <w:tc>
          <w:tcPr>
            <w:tcW w:w="895" w:type="dxa"/>
            <w:vMerge/>
            <w:shd w:val="clear" w:color="auto" w:fill="F2F2F2" w:themeFill="background1" w:themeFillShade="F2"/>
          </w:tcPr>
          <w:p w14:paraId="0EE4DB98" w14:textId="77777777" w:rsidR="00C04B4C" w:rsidRPr="0038563B" w:rsidRDefault="00C04B4C" w:rsidP="00602DB9">
            <w:pPr>
              <w:jc w:val="center"/>
              <w:rPr>
                <w:rFonts w:ascii="Arial" w:hAnsi="Arial" w:cs="Arial"/>
                <w:b/>
              </w:rPr>
            </w:pPr>
          </w:p>
        </w:tc>
        <w:tc>
          <w:tcPr>
            <w:tcW w:w="2250" w:type="dxa"/>
            <w:vMerge/>
          </w:tcPr>
          <w:p w14:paraId="7CC90D36" w14:textId="77777777" w:rsidR="00C04B4C" w:rsidRPr="00336111" w:rsidRDefault="00C04B4C" w:rsidP="00BE4A83">
            <w:pPr>
              <w:rPr>
                <w:rFonts w:ascii="Arial" w:hAnsi="Arial" w:cs="Arial"/>
                <w:sz w:val="2"/>
                <w:szCs w:val="2"/>
              </w:rPr>
            </w:pPr>
          </w:p>
        </w:tc>
        <w:tc>
          <w:tcPr>
            <w:tcW w:w="4860" w:type="dxa"/>
          </w:tcPr>
          <w:p w14:paraId="480CDD42" w14:textId="77777777" w:rsidR="00C04B4C" w:rsidRPr="00336111" w:rsidRDefault="00C04B4C" w:rsidP="0038563B">
            <w:pPr>
              <w:pStyle w:val="TableParagraph"/>
              <w:jc w:val="both"/>
              <w:rPr>
                <w:rFonts w:ascii="Arial" w:hAnsi="Arial" w:cs="Arial"/>
              </w:rPr>
            </w:pPr>
            <w:r w:rsidRPr="00336111">
              <w:rPr>
                <w:rFonts w:ascii="Arial" w:hAnsi="Arial" w:cs="Arial"/>
              </w:rPr>
              <w:t>Wiring — repairing broken circuits in non-critical equipment,</w:t>
            </w:r>
            <w:r w:rsidRPr="00336111">
              <w:rPr>
                <w:rFonts w:ascii="Arial" w:hAnsi="Arial" w:cs="Arial"/>
                <w:spacing w:val="1"/>
              </w:rPr>
              <w:t xml:space="preserve"> </w:t>
            </w:r>
            <w:r w:rsidRPr="00336111">
              <w:rPr>
                <w:rFonts w:ascii="Arial" w:hAnsi="Arial" w:cs="Arial"/>
              </w:rPr>
              <w:t>excluding</w:t>
            </w:r>
            <w:r w:rsidRPr="00336111">
              <w:rPr>
                <w:rFonts w:ascii="Arial" w:hAnsi="Arial" w:cs="Arial"/>
                <w:spacing w:val="-5"/>
              </w:rPr>
              <w:t xml:space="preserve"> </w:t>
            </w:r>
            <w:r w:rsidRPr="00336111">
              <w:rPr>
                <w:rFonts w:ascii="Arial" w:hAnsi="Arial" w:cs="Arial"/>
              </w:rPr>
              <w:t>ignition</w:t>
            </w:r>
            <w:r w:rsidRPr="00336111">
              <w:rPr>
                <w:rFonts w:ascii="Arial" w:hAnsi="Arial" w:cs="Arial"/>
                <w:spacing w:val="-3"/>
              </w:rPr>
              <w:t xml:space="preserve"> </w:t>
            </w:r>
            <w:r w:rsidRPr="00336111">
              <w:rPr>
                <w:rFonts w:ascii="Arial" w:hAnsi="Arial" w:cs="Arial"/>
              </w:rPr>
              <w:t>system,</w:t>
            </w:r>
            <w:r w:rsidRPr="00336111">
              <w:rPr>
                <w:rFonts w:ascii="Arial" w:hAnsi="Arial" w:cs="Arial"/>
                <w:spacing w:val="-4"/>
              </w:rPr>
              <w:t xml:space="preserve"> </w:t>
            </w:r>
            <w:r w:rsidRPr="00336111">
              <w:rPr>
                <w:rFonts w:ascii="Arial" w:hAnsi="Arial" w:cs="Arial"/>
              </w:rPr>
              <w:t>primary</w:t>
            </w:r>
            <w:r w:rsidRPr="00336111">
              <w:rPr>
                <w:rFonts w:ascii="Arial" w:hAnsi="Arial" w:cs="Arial"/>
                <w:spacing w:val="-3"/>
              </w:rPr>
              <w:t xml:space="preserve"> </w:t>
            </w:r>
            <w:r w:rsidRPr="00336111">
              <w:rPr>
                <w:rFonts w:ascii="Arial" w:hAnsi="Arial" w:cs="Arial"/>
              </w:rPr>
              <w:t>generating</w:t>
            </w:r>
            <w:r w:rsidRPr="00336111">
              <w:rPr>
                <w:rFonts w:ascii="Arial" w:hAnsi="Arial" w:cs="Arial"/>
                <w:spacing w:val="-2"/>
              </w:rPr>
              <w:t xml:space="preserve"> </w:t>
            </w:r>
            <w:r w:rsidRPr="00336111">
              <w:rPr>
                <w:rFonts w:ascii="Arial" w:hAnsi="Arial" w:cs="Arial"/>
              </w:rPr>
              <w:t>system</w:t>
            </w:r>
            <w:r w:rsidRPr="00336111">
              <w:rPr>
                <w:rFonts w:ascii="Arial" w:hAnsi="Arial" w:cs="Arial"/>
                <w:spacing w:val="-4"/>
              </w:rPr>
              <w:t xml:space="preserve"> </w:t>
            </w:r>
            <w:r w:rsidRPr="00336111">
              <w:rPr>
                <w:rFonts w:ascii="Arial" w:hAnsi="Arial" w:cs="Arial"/>
              </w:rPr>
              <w:t>and</w:t>
            </w:r>
            <w:r w:rsidRPr="00336111">
              <w:rPr>
                <w:rFonts w:ascii="Arial" w:hAnsi="Arial" w:cs="Arial"/>
                <w:spacing w:val="-3"/>
              </w:rPr>
              <w:t xml:space="preserve"> </w:t>
            </w:r>
            <w:r w:rsidRPr="00336111">
              <w:rPr>
                <w:rFonts w:ascii="Arial" w:hAnsi="Arial" w:cs="Arial"/>
              </w:rPr>
              <w:t>required</w:t>
            </w:r>
          </w:p>
          <w:p w14:paraId="30910492" w14:textId="77777777" w:rsidR="00C04B4C" w:rsidRPr="00336111" w:rsidRDefault="00C04B4C" w:rsidP="0038563B">
            <w:pPr>
              <w:pStyle w:val="TableParagraph"/>
              <w:spacing w:line="224" w:lineRule="exact"/>
              <w:jc w:val="both"/>
              <w:rPr>
                <w:rFonts w:ascii="Arial" w:hAnsi="Arial" w:cs="Arial"/>
              </w:rPr>
            </w:pPr>
            <w:r w:rsidRPr="00336111">
              <w:rPr>
                <w:rFonts w:ascii="Arial" w:hAnsi="Arial" w:cs="Arial"/>
              </w:rPr>
              <w:t>communication,</w:t>
            </w:r>
            <w:r w:rsidRPr="00336111">
              <w:rPr>
                <w:rFonts w:ascii="Arial" w:hAnsi="Arial" w:cs="Arial"/>
                <w:spacing w:val="-4"/>
              </w:rPr>
              <w:t xml:space="preserve"> </w:t>
            </w:r>
            <w:r w:rsidRPr="00336111">
              <w:rPr>
                <w:rFonts w:ascii="Arial" w:hAnsi="Arial" w:cs="Arial"/>
              </w:rPr>
              <w:t>navigation</w:t>
            </w:r>
            <w:r w:rsidRPr="00336111">
              <w:rPr>
                <w:rFonts w:ascii="Arial" w:hAnsi="Arial" w:cs="Arial"/>
                <w:spacing w:val="-2"/>
              </w:rPr>
              <w:t xml:space="preserve"> </w:t>
            </w:r>
            <w:r w:rsidRPr="00336111">
              <w:rPr>
                <w:rFonts w:ascii="Arial" w:hAnsi="Arial" w:cs="Arial"/>
              </w:rPr>
              <w:t>system</w:t>
            </w:r>
            <w:r w:rsidRPr="00336111">
              <w:rPr>
                <w:rFonts w:ascii="Arial" w:hAnsi="Arial" w:cs="Arial"/>
                <w:spacing w:val="-4"/>
              </w:rPr>
              <w:t xml:space="preserve"> </w:t>
            </w:r>
            <w:r w:rsidRPr="00336111">
              <w:rPr>
                <w:rFonts w:ascii="Arial" w:hAnsi="Arial" w:cs="Arial"/>
              </w:rPr>
              <w:t>and</w:t>
            </w:r>
            <w:r w:rsidRPr="00336111">
              <w:rPr>
                <w:rFonts w:ascii="Arial" w:hAnsi="Arial" w:cs="Arial"/>
                <w:spacing w:val="-4"/>
              </w:rPr>
              <w:t xml:space="preserve"> </w:t>
            </w:r>
            <w:r w:rsidRPr="00336111">
              <w:rPr>
                <w:rFonts w:ascii="Arial" w:hAnsi="Arial" w:cs="Arial"/>
              </w:rPr>
              <w:t>primary</w:t>
            </w:r>
            <w:r w:rsidR="0038563B">
              <w:rPr>
                <w:rFonts w:ascii="Arial" w:hAnsi="Arial" w:cs="Arial"/>
                <w:spacing w:val="-3"/>
              </w:rPr>
              <w:t xml:space="preserve"> </w:t>
            </w:r>
            <w:r w:rsidRPr="00336111">
              <w:rPr>
                <w:rFonts w:ascii="Arial" w:hAnsi="Arial" w:cs="Arial"/>
              </w:rPr>
              <w:t>flight</w:t>
            </w:r>
            <w:r w:rsidRPr="00336111">
              <w:rPr>
                <w:rFonts w:ascii="Arial" w:hAnsi="Arial" w:cs="Arial"/>
                <w:spacing w:val="-3"/>
              </w:rPr>
              <w:t xml:space="preserve"> </w:t>
            </w:r>
            <w:r w:rsidRPr="00336111">
              <w:rPr>
                <w:rFonts w:ascii="Arial" w:hAnsi="Arial" w:cs="Arial"/>
              </w:rPr>
              <w:t>instruments</w:t>
            </w:r>
          </w:p>
        </w:tc>
        <w:tc>
          <w:tcPr>
            <w:tcW w:w="1530" w:type="dxa"/>
          </w:tcPr>
          <w:p w14:paraId="4669157A" w14:textId="77777777" w:rsidR="00C04B4C" w:rsidRPr="00336111" w:rsidRDefault="00C04B4C" w:rsidP="00BE4A83">
            <w:pPr>
              <w:pStyle w:val="TableParagraph"/>
              <w:ind w:left="86"/>
              <w:rPr>
                <w:rFonts w:ascii="Arial" w:hAnsi="Arial" w:cs="Arial"/>
              </w:rPr>
            </w:pPr>
            <w:r w:rsidRPr="00336111">
              <w:rPr>
                <w:rFonts w:ascii="Arial" w:hAnsi="Arial" w:cs="Arial"/>
              </w:rPr>
              <w:t>Yes</w:t>
            </w:r>
          </w:p>
        </w:tc>
      </w:tr>
      <w:tr w:rsidR="00336111" w:rsidRPr="00336111" w14:paraId="2C99F7DC" w14:textId="77777777" w:rsidTr="0080379D">
        <w:trPr>
          <w:trHeight w:val="444"/>
        </w:trPr>
        <w:tc>
          <w:tcPr>
            <w:tcW w:w="895" w:type="dxa"/>
            <w:vMerge/>
            <w:shd w:val="clear" w:color="auto" w:fill="F2F2F2" w:themeFill="background1" w:themeFillShade="F2"/>
          </w:tcPr>
          <w:p w14:paraId="1DA73F9A" w14:textId="77777777" w:rsidR="00C04B4C" w:rsidRPr="0038563B" w:rsidRDefault="00C04B4C" w:rsidP="00602DB9">
            <w:pPr>
              <w:jc w:val="center"/>
              <w:rPr>
                <w:rFonts w:ascii="Arial" w:hAnsi="Arial" w:cs="Arial"/>
                <w:b/>
              </w:rPr>
            </w:pPr>
          </w:p>
        </w:tc>
        <w:tc>
          <w:tcPr>
            <w:tcW w:w="2250" w:type="dxa"/>
            <w:vMerge/>
          </w:tcPr>
          <w:p w14:paraId="343FB942" w14:textId="77777777" w:rsidR="00C04B4C" w:rsidRPr="00336111" w:rsidRDefault="00C04B4C" w:rsidP="00BE4A83">
            <w:pPr>
              <w:rPr>
                <w:rFonts w:ascii="Arial" w:hAnsi="Arial" w:cs="Arial"/>
                <w:sz w:val="2"/>
                <w:szCs w:val="2"/>
              </w:rPr>
            </w:pPr>
          </w:p>
        </w:tc>
        <w:tc>
          <w:tcPr>
            <w:tcW w:w="4860" w:type="dxa"/>
          </w:tcPr>
          <w:p w14:paraId="0BB2E94E" w14:textId="77777777" w:rsidR="00C04B4C" w:rsidRPr="00336111" w:rsidRDefault="00C04B4C" w:rsidP="0038563B">
            <w:pPr>
              <w:pStyle w:val="TableParagraph"/>
              <w:spacing w:line="240" w:lineRule="atLeast"/>
              <w:ind w:right="148"/>
              <w:jc w:val="both"/>
              <w:rPr>
                <w:rFonts w:ascii="Arial" w:hAnsi="Arial" w:cs="Arial"/>
              </w:rPr>
            </w:pPr>
            <w:r w:rsidRPr="00336111">
              <w:rPr>
                <w:rFonts w:ascii="Arial" w:hAnsi="Arial" w:cs="Arial"/>
              </w:rPr>
              <w:t>Bonding — replacement of broken bonding cable, excluding</w:t>
            </w:r>
            <w:r w:rsidRPr="00336111">
              <w:rPr>
                <w:rFonts w:ascii="Arial" w:hAnsi="Arial" w:cs="Arial"/>
                <w:spacing w:val="1"/>
              </w:rPr>
              <w:t xml:space="preserve"> </w:t>
            </w:r>
            <w:r w:rsidRPr="00336111">
              <w:rPr>
                <w:rFonts w:ascii="Arial" w:hAnsi="Arial" w:cs="Arial"/>
              </w:rPr>
              <w:t>bonding</w:t>
            </w:r>
            <w:r w:rsidRPr="00336111">
              <w:rPr>
                <w:rFonts w:ascii="Arial" w:hAnsi="Arial" w:cs="Arial"/>
                <w:spacing w:val="-2"/>
              </w:rPr>
              <w:t xml:space="preserve"> </w:t>
            </w:r>
            <w:r w:rsidRPr="00336111">
              <w:rPr>
                <w:rFonts w:ascii="Arial" w:hAnsi="Arial" w:cs="Arial"/>
              </w:rPr>
              <w:t>of</w:t>
            </w:r>
            <w:r w:rsidRPr="00336111">
              <w:rPr>
                <w:rFonts w:ascii="Arial" w:hAnsi="Arial" w:cs="Arial"/>
                <w:spacing w:val="-2"/>
              </w:rPr>
              <w:t xml:space="preserve"> </w:t>
            </w:r>
            <w:r w:rsidRPr="00336111">
              <w:rPr>
                <w:rFonts w:ascii="Arial" w:hAnsi="Arial" w:cs="Arial"/>
              </w:rPr>
              <w:t>rotating</w:t>
            </w:r>
            <w:r w:rsidRPr="00336111">
              <w:rPr>
                <w:rFonts w:ascii="Arial" w:hAnsi="Arial" w:cs="Arial"/>
                <w:spacing w:val="-1"/>
              </w:rPr>
              <w:t xml:space="preserve"> </w:t>
            </w:r>
            <w:r w:rsidRPr="00336111">
              <w:rPr>
                <w:rFonts w:ascii="Arial" w:hAnsi="Arial" w:cs="Arial"/>
              </w:rPr>
              <w:t>parts</w:t>
            </w:r>
            <w:r w:rsidRPr="00336111">
              <w:rPr>
                <w:rFonts w:ascii="Arial" w:hAnsi="Arial" w:cs="Arial"/>
                <w:spacing w:val="-2"/>
              </w:rPr>
              <w:t xml:space="preserve"> </w:t>
            </w:r>
            <w:r w:rsidRPr="00336111">
              <w:rPr>
                <w:rFonts w:ascii="Arial" w:hAnsi="Arial" w:cs="Arial"/>
              </w:rPr>
              <w:t>and</w:t>
            </w:r>
            <w:r w:rsidRPr="00336111">
              <w:rPr>
                <w:rFonts w:ascii="Arial" w:hAnsi="Arial" w:cs="Arial"/>
                <w:spacing w:val="-2"/>
              </w:rPr>
              <w:t xml:space="preserve"> </w:t>
            </w:r>
            <w:r w:rsidRPr="00336111">
              <w:rPr>
                <w:rFonts w:ascii="Arial" w:hAnsi="Arial" w:cs="Arial"/>
              </w:rPr>
              <w:t>flying</w:t>
            </w:r>
            <w:r w:rsidRPr="00336111">
              <w:rPr>
                <w:rFonts w:ascii="Arial" w:hAnsi="Arial" w:cs="Arial"/>
                <w:spacing w:val="-1"/>
              </w:rPr>
              <w:t xml:space="preserve"> </w:t>
            </w:r>
            <w:r w:rsidRPr="00336111">
              <w:rPr>
                <w:rFonts w:ascii="Arial" w:hAnsi="Arial" w:cs="Arial"/>
              </w:rPr>
              <w:t>controls</w:t>
            </w:r>
          </w:p>
        </w:tc>
        <w:tc>
          <w:tcPr>
            <w:tcW w:w="1530" w:type="dxa"/>
          </w:tcPr>
          <w:p w14:paraId="69ACFE05" w14:textId="77777777" w:rsidR="00C04B4C" w:rsidRPr="00336111" w:rsidRDefault="00C04B4C" w:rsidP="00BE4A83">
            <w:pPr>
              <w:pStyle w:val="TableParagraph"/>
              <w:ind w:left="86"/>
              <w:rPr>
                <w:rFonts w:ascii="Arial" w:hAnsi="Arial" w:cs="Arial"/>
              </w:rPr>
            </w:pPr>
            <w:r w:rsidRPr="00336111">
              <w:rPr>
                <w:rFonts w:ascii="Arial" w:hAnsi="Arial" w:cs="Arial"/>
              </w:rPr>
              <w:t>Yes</w:t>
            </w:r>
          </w:p>
        </w:tc>
      </w:tr>
      <w:tr w:rsidR="00336111" w:rsidRPr="00336111" w14:paraId="2D45CE51" w14:textId="77777777" w:rsidTr="0080379D">
        <w:trPr>
          <w:trHeight w:val="201"/>
        </w:trPr>
        <w:tc>
          <w:tcPr>
            <w:tcW w:w="895" w:type="dxa"/>
            <w:vMerge/>
            <w:shd w:val="clear" w:color="auto" w:fill="F2F2F2" w:themeFill="background1" w:themeFillShade="F2"/>
          </w:tcPr>
          <w:p w14:paraId="29C677EF" w14:textId="77777777" w:rsidR="00C04B4C" w:rsidRPr="0038563B" w:rsidRDefault="00C04B4C" w:rsidP="00602DB9">
            <w:pPr>
              <w:jc w:val="center"/>
              <w:rPr>
                <w:rFonts w:ascii="Arial" w:hAnsi="Arial" w:cs="Arial"/>
                <w:b/>
              </w:rPr>
            </w:pPr>
          </w:p>
        </w:tc>
        <w:tc>
          <w:tcPr>
            <w:tcW w:w="2250" w:type="dxa"/>
            <w:vMerge/>
          </w:tcPr>
          <w:p w14:paraId="3DF3CA77" w14:textId="77777777" w:rsidR="00C04B4C" w:rsidRPr="00336111" w:rsidRDefault="00C04B4C" w:rsidP="00BE4A83">
            <w:pPr>
              <w:rPr>
                <w:rFonts w:ascii="Arial" w:hAnsi="Arial" w:cs="Arial"/>
                <w:sz w:val="2"/>
                <w:szCs w:val="2"/>
              </w:rPr>
            </w:pPr>
          </w:p>
        </w:tc>
        <w:tc>
          <w:tcPr>
            <w:tcW w:w="4860" w:type="dxa"/>
          </w:tcPr>
          <w:p w14:paraId="4CAB0B60" w14:textId="77777777" w:rsidR="00C04B4C" w:rsidRPr="00336111" w:rsidRDefault="00C04B4C" w:rsidP="0038563B">
            <w:pPr>
              <w:pStyle w:val="TableParagraph"/>
              <w:spacing w:line="225" w:lineRule="exact"/>
              <w:jc w:val="both"/>
              <w:rPr>
                <w:rFonts w:ascii="Arial" w:hAnsi="Arial" w:cs="Arial"/>
              </w:rPr>
            </w:pPr>
            <w:r w:rsidRPr="00336111">
              <w:rPr>
                <w:rFonts w:ascii="Arial" w:hAnsi="Arial" w:cs="Arial"/>
              </w:rPr>
              <w:t>Fuses</w:t>
            </w:r>
            <w:r w:rsidRPr="00336111">
              <w:rPr>
                <w:rFonts w:ascii="Arial" w:hAnsi="Arial" w:cs="Arial"/>
                <w:spacing w:val="-2"/>
              </w:rPr>
              <w:t xml:space="preserve"> </w:t>
            </w:r>
            <w:r w:rsidRPr="00336111">
              <w:rPr>
                <w:rFonts w:ascii="Arial" w:hAnsi="Arial" w:cs="Arial"/>
              </w:rPr>
              <w:t>—</w:t>
            </w:r>
            <w:r w:rsidRPr="00336111">
              <w:rPr>
                <w:rFonts w:ascii="Arial" w:hAnsi="Arial" w:cs="Arial"/>
                <w:spacing w:val="-2"/>
              </w:rPr>
              <w:t xml:space="preserve"> </w:t>
            </w:r>
            <w:r w:rsidRPr="00336111">
              <w:rPr>
                <w:rFonts w:ascii="Arial" w:hAnsi="Arial" w:cs="Arial"/>
              </w:rPr>
              <w:t>replacement</w:t>
            </w:r>
            <w:r w:rsidRPr="00336111">
              <w:rPr>
                <w:rFonts w:ascii="Arial" w:hAnsi="Arial" w:cs="Arial"/>
                <w:spacing w:val="-2"/>
              </w:rPr>
              <w:t xml:space="preserve"> </w:t>
            </w:r>
            <w:r w:rsidRPr="00336111">
              <w:rPr>
                <w:rFonts w:ascii="Arial" w:hAnsi="Arial" w:cs="Arial"/>
              </w:rPr>
              <w:t>using</w:t>
            </w:r>
            <w:r w:rsidRPr="00336111">
              <w:rPr>
                <w:rFonts w:ascii="Arial" w:hAnsi="Arial" w:cs="Arial"/>
                <w:spacing w:val="-3"/>
              </w:rPr>
              <w:t xml:space="preserve"> </w:t>
            </w:r>
            <w:r w:rsidRPr="00336111">
              <w:rPr>
                <w:rFonts w:ascii="Arial" w:hAnsi="Arial" w:cs="Arial"/>
              </w:rPr>
              <w:t>the</w:t>
            </w:r>
            <w:r w:rsidRPr="00336111">
              <w:rPr>
                <w:rFonts w:ascii="Arial" w:hAnsi="Arial" w:cs="Arial"/>
                <w:spacing w:val="-3"/>
              </w:rPr>
              <w:t xml:space="preserve"> </w:t>
            </w:r>
            <w:r w:rsidRPr="00336111">
              <w:rPr>
                <w:rFonts w:ascii="Arial" w:hAnsi="Arial" w:cs="Arial"/>
              </w:rPr>
              <w:t>correct</w:t>
            </w:r>
            <w:r w:rsidRPr="00336111">
              <w:rPr>
                <w:rFonts w:ascii="Arial" w:hAnsi="Arial" w:cs="Arial"/>
                <w:spacing w:val="-2"/>
              </w:rPr>
              <w:t xml:space="preserve"> </w:t>
            </w:r>
            <w:r w:rsidRPr="00336111">
              <w:rPr>
                <w:rFonts w:ascii="Arial" w:hAnsi="Arial" w:cs="Arial"/>
              </w:rPr>
              <w:t>rating</w:t>
            </w:r>
          </w:p>
        </w:tc>
        <w:tc>
          <w:tcPr>
            <w:tcW w:w="1530" w:type="dxa"/>
          </w:tcPr>
          <w:p w14:paraId="58E03B0A" w14:textId="77777777" w:rsidR="00C04B4C" w:rsidRPr="00336111" w:rsidRDefault="00C04B4C" w:rsidP="00BE4A83">
            <w:pPr>
              <w:pStyle w:val="TableParagraph"/>
              <w:spacing w:line="225" w:lineRule="exact"/>
              <w:ind w:left="86"/>
              <w:rPr>
                <w:rFonts w:ascii="Arial" w:hAnsi="Arial" w:cs="Arial"/>
              </w:rPr>
            </w:pPr>
            <w:r w:rsidRPr="00336111">
              <w:rPr>
                <w:rFonts w:ascii="Arial" w:hAnsi="Arial" w:cs="Arial"/>
              </w:rPr>
              <w:t>Yes</w:t>
            </w:r>
          </w:p>
        </w:tc>
      </w:tr>
      <w:tr w:rsidR="00336111" w:rsidRPr="00336111" w14:paraId="109B8B79" w14:textId="77777777" w:rsidTr="0080379D">
        <w:trPr>
          <w:trHeight w:val="444"/>
        </w:trPr>
        <w:tc>
          <w:tcPr>
            <w:tcW w:w="895" w:type="dxa"/>
            <w:vMerge w:val="restart"/>
            <w:shd w:val="clear" w:color="auto" w:fill="F2F2F2" w:themeFill="background1" w:themeFillShade="F2"/>
          </w:tcPr>
          <w:p w14:paraId="6A08D18A" w14:textId="77777777" w:rsidR="00C04B4C" w:rsidRPr="00336111" w:rsidRDefault="00C04B4C" w:rsidP="00602DB9">
            <w:pPr>
              <w:jc w:val="center"/>
              <w:rPr>
                <w:rFonts w:ascii="Arial" w:hAnsi="Arial" w:cs="Arial"/>
                <w:b/>
              </w:rPr>
            </w:pPr>
            <w:r w:rsidRPr="00336111">
              <w:rPr>
                <w:rFonts w:ascii="Arial" w:hAnsi="Arial" w:cs="Arial"/>
                <w:b/>
              </w:rPr>
              <w:t>25</w:t>
            </w:r>
          </w:p>
        </w:tc>
        <w:tc>
          <w:tcPr>
            <w:tcW w:w="2250" w:type="dxa"/>
            <w:vMerge w:val="restart"/>
          </w:tcPr>
          <w:p w14:paraId="6F5B8C59" w14:textId="77777777" w:rsidR="00C04B4C" w:rsidRPr="00336111" w:rsidRDefault="00C04B4C" w:rsidP="00BE4A83">
            <w:pPr>
              <w:pStyle w:val="TableParagraph"/>
              <w:rPr>
                <w:rFonts w:ascii="Arial" w:hAnsi="Arial" w:cs="Arial"/>
              </w:rPr>
            </w:pPr>
            <w:r w:rsidRPr="00336111">
              <w:rPr>
                <w:rFonts w:ascii="Arial" w:hAnsi="Arial" w:cs="Arial"/>
              </w:rPr>
              <w:t>Equipment</w:t>
            </w:r>
          </w:p>
        </w:tc>
        <w:tc>
          <w:tcPr>
            <w:tcW w:w="4860" w:type="dxa"/>
          </w:tcPr>
          <w:p w14:paraId="26241DC8" w14:textId="77777777" w:rsidR="00C04B4C" w:rsidRPr="00336111" w:rsidRDefault="00C04B4C" w:rsidP="0038563B">
            <w:pPr>
              <w:pStyle w:val="TableParagraph"/>
              <w:spacing w:line="243" w:lineRule="exact"/>
              <w:jc w:val="both"/>
              <w:rPr>
                <w:rFonts w:ascii="Arial" w:hAnsi="Arial" w:cs="Arial"/>
              </w:rPr>
            </w:pPr>
            <w:r w:rsidRPr="00336111">
              <w:rPr>
                <w:rFonts w:ascii="Arial" w:hAnsi="Arial" w:cs="Arial"/>
              </w:rPr>
              <w:t>Safety</w:t>
            </w:r>
            <w:r w:rsidRPr="00336111">
              <w:rPr>
                <w:rFonts w:ascii="Arial" w:hAnsi="Arial" w:cs="Arial"/>
                <w:spacing w:val="-2"/>
              </w:rPr>
              <w:t xml:space="preserve"> </w:t>
            </w:r>
            <w:r w:rsidRPr="00336111">
              <w:rPr>
                <w:rFonts w:ascii="Arial" w:hAnsi="Arial" w:cs="Arial"/>
              </w:rPr>
              <w:t>belts —</w:t>
            </w:r>
            <w:r w:rsidRPr="00336111">
              <w:rPr>
                <w:rFonts w:ascii="Arial" w:hAnsi="Arial" w:cs="Arial"/>
                <w:spacing w:val="-3"/>
              </w:rPr>
              <w:t xml:space="preserve"> </w:t>
            </w:r>
            <w:r w:rsidRPr="00336111">
              <w:rPr>
                <w:rFonts w:ascii="Arial" w:hAnsi="Arial" w:cs="Arial"/>
              </w:rPr>
              <w:t>replacement</w:t>
            </w:r>
            <w:r w:rsidRPr="00336111">
              <w:rPr>
                <w:rFonts w:ascii="Arial" w:hAnsi="Arial" w:cs="Arial"/>
                <w:spacing w:val="-3"/>
              </w:rPr>
              <w:t xml:space="preserve"> </w:t>
            </w:r>
            <w:r w:rsidRPr="00336111">
              <w:rPr>
                <w:rFonts w:ascii="Arial" w:hAnsi="Arial" w:cs="Arial"/>
              </w:rPr>
              <w:t>of</w:t>
            </w:r>
            <w:r w:rsidRPr="00336111">
              <w:rPr>
                <w:rFonts w:ascii="Arial" w:hAnsi="Arial" w:cs="Arial"/>
                <w:spacing w:val="-5"/>
              </w:rPr>
              <w:t xml:space="preserve"> </w:t>
            </w:r>
            <w:r w:rsidRPr="00336111">
              <w:rPr>
                <w:rFonts w:ascii="Arial" w:hAnsi="Arial" w:cs="Arial"/>
              </w:rPr>
              <w:t>safety</w:t>
            </w:r>
            <w:r w:rsidRPr="00336111">
              <w:rPr>
                <w:rFonts w:ascii="Arial" w:hAnsi="Arial" w:cs="Arial"/>
                <w:spacing w:val="-2"/>
              </w:rPr>
              <w:t xml:space="preserve"> </w:t>
            </w:r>
            <w:r w:rsidRPr="00336111">
              <w:rPr>
                <w:rFonts w:ascii="Arial" w:hAnsi="Arial" w:cs="Arial"/>
              </w:rPr>
              <w:t>belts</w:t>
            </w:r>
            <w:r w:rsidRPr="00336111">
              <w:rPr>
                <w:rFonts w:ascii="Arial" w:hAnsi="Arial" w:cs="Arial"/>
                <w:spacing w:val="-4"/>
              </w:rPr>
              <w:t xml:space="preserve"> </w:t>
            </w:r>
            <w:r w:rsidRPr="00336111">
              <w:rPr>
                <w:rFonts w:ascii="Arial" w:hAnsi="Arial" w:cs="Arial"/>
              </w:rPr>
              <w:t>and</w:t>
            </w:r>
            <w:r w:rsidRPr="00336111">
              <w:rPr>
                <w:rFonts w:ascii="Arial" w:hAnsi="Arial" w:cs="Arial"/>
                <w:spacing w:val="-3"/>
              </w:rPr>
              <w:t xml:space="preserve"> </w:t>
            </w:r>
            <w:r w:rsidR="0038563B">
              <w:rPr>
                <w:rFonts w:ascii="Arial" w:hAnsi="Arial" w:cs="Arial"/>
              </w:rPr>
              <w:t xml:space="preserve">harnesses, </w:t>
            </w:r>
            <w:r w:rsidRPr="00336111">
              <w:rPr>
                <w:rFonts w:ascii="Arial" w:hAnsi="Arial" w:cs="Arial"/>
              </w:rPr>
              <w:t>excluding</w:t>
            </w:r>
            <w:r w:rsidRPr="00336111">
              <w:rPr>
                <w:rFonts w:ascii="Arial" w:hAnsi="Arial" w:cs="Arial"/>
                <w:spacing w:val="-4"/>
              </w:rPr>
              <w:t xml:space="preserve"> </w:t>
            </w:r>
            <w:r w:rsidRPr="00336111">
              <w:rPr>
                <w:rFonts w:ascii="Arial" w:hAnsi="Arial" w:cs="Arial"/>
              </w:rPr>
              <w:t>belts</w:t>
            </w:r>
            <w:r w:rsidRPr="00336111">
              <w:rPr>
                <w:rFonts w:ascii="Arial" w:hAnsi="Arial" w:cs="Arial"/>
                <w:spacing w:val="-3"/>
              </w:rPr>
              <w:t xml:space="preserve"> </w:t>
            </w:r>
            <w:r w:rsidRPr="00336111">
              <w:rPr>
                <w:rFonts w:ascii="Arial" w:hAnsi="Arial" w:cs="Arial"/>
              </w:rPr>
              <w:t>fitted</w:t>
            </w:r>
            <w:r w:rsidRPr="00336111">
              <w:rPr>
                <w:rFonts w:ascii="Arial" w:hAnsi="Arial" w:cs="Arial"/>
                <w:spacing w:val="-3"/>
              </w:rPr>
              <w:t xml:space="preserve"> </w:t>
            </w:r>
            <w:r w:rsidRPr="00336111">
              <w:rPr>
                <w:rFonts w:ascii="Arial" w:hAnsi="Arial" w:cs="Arial"/>
              </w:rPr>
              <w:t>with</w:t>
            </w:r>
            <w:r w:rsidRPr="00336111">
              <w:rPr>
                <w:rFonts w:ascii="Arial" w:hAnsi="Arial" w:cs="Arial"/>
                <w:spacing w:val="-3"/>
              </w:rPr>
              <w:t xml:space="preserve"> </w:t>
            </w:r>
            <w:r w:rsidRPr="00336111">
              <w:rPr>
                <w:rFonts w:ascii="Arial" w:hAnsi="Arial" w:cs="Arial"/>
              </w:rPr>
              <w:t>airbag</w:t>
            </w:r>
            <w:r w:rsidRPr="00336111">
              <w:rPr>
                <w:rFonts w:ascii="Arial" w:hAnsi="Arial" w:cs="Arial"/>
                <w:spacing w:val="-3"/>
              </w:rPr>
              <w:t xml:space="preserve"> </w:t>
            </w:r>
            <w:r w:rsidRPr="00336111">
              <w:rPr>
                <w:rFonts w:ascii="Arial" w:hAnsi="Arial" w:cs="Arial"/>
              </w:rPr>
              <w:t>systems</w:t>
            </w:r>
          </w:p>
        </w:tc>
        <w:tc>
          <w:tcPr>
            <w:tcW w:w="1530" w:type="dxa"/>
          </w:tcPr>
          <w:p w14:paraId="5297476A" w14:textId="77777777" w:rsidR="00C04B4C" w:rsidRPr="00336111" w:rsidRDefault="00C04B4C" w:rsidP="00BE4A83">
            <w:pPr>
              <w:pStyle w:val="TableParagraph"/>
              <w:ind w:left="86"/>
              <w:rPr>
                <w:rFonts w:ascii="Arial" w:hAnsi="Arial" w:cs="Arial"/>
              </w:rPr>
            </w:pPr>
            <w:r w:rsidRPr="00336111">
              <w:rPr>
                <w:rFonts w:ascii="Arial" w:hAnsi="Arial" w:cs="Arial"/>
              </w:rPr>
              <w:t>Yes</w:t>
            </w:r>
          </w:p>
        </w:tc>
      </w:tr>
      <w:tr w:rsidR="00336111" w:rsidRPr="00336111" w14:paraId="1A33FE42" w14:textId="77777777" w:rsidTr="0080379D">
        <w:trPr>
          <w:trHeight w:val="690"/>
        </w:trPr>
        <w:tc>
          <w:tcPr>
            <w:tcW w:w="895" w:type="dxa"/>
            <w:vMerge/>
            <w:shd w:val="clear" w:color="auto" w:fill="F2F2F2" w:themeFill="background1" w:themeFillShade="F2"/>
          </w:tcPr>
          <w:p w14:paraId="3A424BE4" w14:textId="77777777" w:rsidR="00C04B4C" w:rsidRPr="0038563B" w:rsidRDefault="00C04B4C" w:rsidP="00602DB9">
            <w:pPr>
              <w:jc w:val="center"/>
              <w:rPr>
                <w:rFonts w:ascii="Arial" w:hAnsi="Arial" w:cs="Arial"/>
                <w:b/>
              </w:rPr>
            </w:pPr>
          </w:p>
        </w:tc>
        <w:tc>
          <w:tcPr>
            <w:tcW w:w="2250" w:type="dxa"/>
            <w:vMerge/>
          </w:tcPr>
          <w:p w14:paraId="1C6646BE" w14:textId="77777777" w:rsidR="00C04B4C" w:rsidRPr="00336111" w:rsidRDefault="00C04B4C" w:rsidP="00BE4A83">
            <w:pPr>
              <w:rPr>
                <w:rFonts w:ascii="Arial" w:hAnsi="Arial" w:cs="Arial"/>
                <w:sz w:val="2"/>
                <w:szCs w:val="2"/>
              </w:rPr>
            </w:pPr>
          </w:p>
        </w:tc>
        <w:tc>
          <w:tcPr>
            <w:tcW w:w="4860" w:type="dxa"/>
          </w:tcPr>
          <w:p w14:paraId="1AB4A37E" w14:textId="77777777" w:rsidR="00C04B4C" w:rsidRPr="00336111" w:rsidRDefault="00C04B4C" w:rsidP="0038563B">
            <w:pPr>
              <w:pStyle w:val="TableParagraph"/>
              <w:spacing w:before="1"/>
              <w:ind w:right="148"/>
              <w:jc w:val="both"/>
              <w:rPr>
                <w:rFonts w:ascii="Arial" w:hAnsi="Arial" w:cs="Arial"/>
              </w:rPr>
            </w:pPr>
            <w:r w:rsidRPr="00336111">
              <w:rPr>
                <w:rFonts w:ascii="Arial" w:hAnsi="Arial" w:cs="Arial"/>
              </w:rPr>
              <w:t>Seats — replacement of seats or seat parts not involving</w:t>
            </w:r>
            <w:r w:rsidRPr="00336111">
              <w:rPr>
                <w:rFonts w:ascii="Arial" w:hAnsi="Arial" w:cs="Arial"/>
                <w:spacing w:val="1"/>
              </w:rPr>
              <w:t xml:space="preserve"> </w:t>
            </w:r>
            <w:r w:rsidRPr="00336111">
              <w:rPr>
                <w:rFonts w:ascii="Arial" w:hAnsi="Arial" w:cs="Arial"/>
              </w:rPr>
              <w:t>disassembly</w:t>
            </w:r>
            <w:r w:rsidRPr="00336111">
              <w:rPr>
                <w:rFonts w:ascii="Arial" w:hAnsi="Arial" w:cs="Arial"/>
                <w:spacing w:val="-3"/>
              </w:rPr>
              <w:t xml:space="preserve"> </w:t>
            </w:r>
            <w:r w:rsidRPr="00336111">
              <w:rPr>
                <w:rFonts w:ascii="Arial" w:hAnsi="Arial" w:cs="Arial"/>
              </w:rPr>
              <w:t>of</w:t>
            </w:r>
            <w:r w:rsidRPr="00336111">
              <w:rPr>
                <w:rFonts w:ascii="Arial" w:hAnsi="Arial" w:cs="Arial"/>
                <w:spacing w:val="-4"/>
              </w:rPr>
              <w:t xml:space="preserve"> </w:t>
            </w:r>
            <w:r w:rsidRPr="00336111">
              <w:rPr>
                <w:rFonts w:ascii="Arial" w:hAnsi="Arial" w:cs="Arial"/>
              </w:rPr>
              <w:t>any</w:t>
            </w:r>
            <w:r w:rsidRPr="00336111">
              <w:rPr>
                <w:rFonts w:ascii="Arial" w:hAnsi="Arial" w:cs="Arial"/>
                <w:spacing w:val="-3"/>
              </w:rPr>
              <w:t xml:space="preserve"> </w:t>
            </w:r>
            <w:r w:rsidRPr="00336111">
              <w:rPr>
                <w:rFonts w:ascii="Arial" w:hAnsi="Arial" w:cs="Arial"/>
              </w:rPr>
              <w:t>primary</w:t>
            </w:r>
            <w:r w:rsidRPr="00336111">
              <w:rPr>
                <w:rFonts w:ascii="Arial" w:hAnsi="Arial" w:cs="Arial"/>
                <w:spacing w:val="-2"/>
              </w:rPr>
              <w:t xml:space="preserve"> </w:t>
            </w:r>
            <w:r w:rsidRPr="00336111">
              <w:rPr>
                <w:rFonts w:ascii="Arial" w:hAnsi="Arial" w:cs="Arial"/>
              </w:rPr>
              <w:t>structure</w:t>
            </w:r>
            <w:r w:rsidRPr="00336111">
              <w:rPr>
                <w:rFonts w:ascii="Arial" w:hAnsi="Arial" w:cs="Arial"/>
                <w:spacing w:val="-4"/>
              </w:rPr>
              <w:t xml:space="preserve"> </w:t>
            </w:r>
            <w:r w:rsidRPr="00336111">
              <w:rPr>
                <w:rFonts w:ascii="Arial" w:hAnsi="Arial" w:cs="Arial"/>
              </w:rPr>
              <w:t>or</w:t>
            </w:r>
            <w:r w:rsidRPr="00336111">
              <w:rPr>
                <w:rFonts w:ascii="Arial" w:hAnsi="Arial" w:cs="Arial"/>
                <w:spacing w:val="-2"/>
              </w:rPr>
              <w:t xml:space="preserve"> </w:t>
            </w:r>
            <w:r w:rsidRPr="00336111">
              <w:rPr>
                <w:rFonts w:ascii="Arial" w:hAnsi="Arial" w:cs="Arial"/>
              </w:rPr>
              <w:t>control</w:t>
            </w:r>
            <w:r w:rsidRPr="00336111">
              <w:rPr>
                <w:rFonts w:ascii="Arial" w:hAnsi="Arial" w:cs="Arial"/>
                <w:spacing w:val="-3"/>
              </w:rPr>
              <w:t xml:space="preserve"> </w:t>
            </w:r>
            <w:r w:rsidRPr="00336111">
              <w:rPr>
                <w:rFonts w:ascii="Arial" w:hAnsi="Arial" w:cs="Arial"/>
              </w:rPr>
              <w:t>system,</w:t>
            </w:r>
            <w:r w:rsidRPr="00336111">
              <w:rPr>
                <w:rFonts w:ascii="Arial" w:hAnsi="Arial" w:cs="Arial"/>
                <w:spacing w:val="-2"/>
              </w:rPr>
              <w:t xml:space="preserve"> </w:t>
            </w:r>
            <w:r w:rsidR="0038563B">
              <w:rPr>
                <w:rFonts w:ascii="Arial" w:hAnsi="Arial" w:cs="Arial"/>
              </w:rPr>
              <w:t xml:space="preserve">excluding </w:t>
            </w:r>
            <w:r w:rsidRPr="00336111">
              <w:rPr>
                <w:rFonts w:ascii="Arial" w:hAnsi="Arial" w:cs="Arial"/>
              </w:rPr>
              <w:t>flight</w:t>
            </w:r>
            <w:r w:rsidRPr="00336111">
              <w:rPr>
                <w:rFonts w:ascii="Arial" w:hAnsi="Arial" w:cs="Arial"/>
                <w:spacing w:val="-2"/>
              </w:rPr>
              <w:t xml:space="preserve"> </w:t>
            </w:r>
            <w:r w:rsidRPr="00336111">
              <w:rPr>
                <w:rFonts w:ascii="Arial" w:hAnsi="Arial" w:cs="Arial"/>
              </w:rPr>
              <w:t>crew</w:t>
            </w:r>
            <w:r w:rsidRPr="00336111">
              <w:rPr>
                <w:rFonts w:ascii="Arial" w:hAnsi="Arial" w:cs="Arial"/>
                <w:spacing w:val="-3"/>
              </w:rPr>
              <w:t xml:space="preserve"> </w:t>
            </w:r>
            <w:r w:rsidRPr="00336111">
              <w:rPr>
                <w:rFonts w:ascii="Arial" w:hAnsi="Arial" w:cs="Arial"/>
              </w:rPr>
              <w:t>seats</w:t>
            </w:r>
          </w:p>
        </w:tc>
        <w:tc>
          <w:tcPr>
            <w:tcW w:w="1530" w:type="dxa"/>
          </w:tcPr>
          <w:p w14:paraId="1EF0E2A8" w14:textId="77777777" w:rsidR="00C04B4C" w:rsidRPr="00336111" w:rsidRDefault="00C04B4C" w:rsidP="00BE4A83">
            <w:pPr>
              <w:pStyle w:val="TableParagraph"/>
              <w:spacing w:before="1"/>
              <w:ind w:left="86"/>
              <w:rPr>
                <w:rFonts w:ascii="Arial" w:hAnsi="Arial" w:cs="Arial"/>
              </w:rPr>
            </w:pPr>
            <w:r w:rsidRPr="00336111">
              <w:rPr>
                <w:rFonts w:ascii="Arial" w:hAnsi="Arial" w:cs="Arial"/>
              </w:rPr>
              <w:t>Yes</w:t>
            </w:r>
          </w:p>
        </w:tc>
      </w:tr>
      <w:tr w:rsidR="00336111" w:rsidRPr="00336111" w14:paraId="35C768AE" w14:textId="77777777" w:rsidTr="0080379D">
        <w:trPr>
          <w:trHeight w:val="444"/>
        </w:trPr>
        <w:tc>
          <w:tcPr>
            <w:tcW w:w="895" w:type="dxa"/>
            <w:vMerge/>
            <w:shd w:val="clear" w:color="auto" w:fill="F2F2F2" w:themeFill="background1" w:themeFillShade="F2"/>
          </w:tcPr>
          <w:p w14:paraId="57ADD86E" w14:textId="77777777" w:rsidR="00C04B4C" w:rsidRPr="0038563B" w:rsidRDefault="00C04B4C" w:rsidP="00602DB9">
            <w:pPr>
              <w:jc w:val="center"/>
              <w:rPr>
                <w:rFonts w:ascii="Arial" w:hAnsi="Arial" w:cs="Arial"/>
                <w:b/>
              </w:rPr>
            </w:pPr>
          </w:p>
        </w:tc>
        <w:tc>
          <w:tcPr>
            <w:tcW w:w="2250" w:type="dxa"/>
            <w:vMerge/>
          </w:tcPr>
          <w:p w14:paraId="4354E57A" w14:textId="77777777" w:rsidR="00C04B4C" w:rsidRPr="00336111" w:rsidRDefault="00C04B4C" w:rsidP="00BE4A83">
            <w:pPr>
              <w:rPr>
                <w:rFonts w:ascii="Arial" w:hAnsi="Arial" w:cs="Arial"/>
                <w:sz w:val="2"/>
                <w:szCs w:val="2"/>
              </w:rPr>
            </w:pPr>
          </w:p>
        </w:tc>
        <w:tc>
          <w:tcPr>
            <w:tcW w:w="4860" w:type="dxa"/>
          </w:tcPr>
          <w:p w14:paraId="2AF45A47" w14:textId="77777777" w:rsidR="00C04B4C" w:rsidRPr="00336111" w:rsidRDefault="00C04B4C" w:rsidP="0038563B">
            <w:pPr>
              <w:pStyle w:val="TableParagraph"/>
              <w:spacing w:line="243" w:lineRule="exact"/>
              <w:jc w:val="both"/>
              <w:rPr>
                <w:rFonts w:ascii="Arial" w:hAnsi="Arial" w:cs="Arial"/>
              </w:rPr>
            </w:pPr>
            <w:r w:rsidRPr="00336111">
              <w:rPr>
                <w:rFonts w:ascii="Arial" w:hAnsi="Arial" w:cs="Arial"/>
              </w:rPr>
              <w:t>Removal/installation</w:t>
            </w:r>
            <w:r w:rsidRPr="00336111">
              <w:rPr>
                <w:rFonts w:ascii="Arial" w:hAnsi="Arial" w:cs="Arial"/>
                <w:spacing w:val="-3"/>
              </w:rPr>
              <w:t xml:space="preserve"> </w:t>
            </w:r>
            <w:r w:rsidRPr="00336111">
              <w:rPr>
                <w:rFonts w:ascii="Arial" w:hAnsi="Arial" w:cs="Arial"/>
              </w:rPr>
              <w:t>of</w:t>
            </w:r>
            <w:r w:rsidRPr="00336111">
              <w:rPr>
                <w:rFonts w:ascii="Arial" w:hAnsi="Arial" w:cs="Arial"/>
                <w:spacing w:val="-4"/>
              </w:rPr>
              <w:t xml:space="preserve"> </w:t>
            </w:r>
            <w:r w:rsidRPr="00336111">
              <w:rPr>
                <w:rFonts w:ascii="Arial" w:hAnsi="Arial" w:cs="Arial"/>
              </w:rPr>
              <w:t>emergency</w:t>
            </w:r>
            <w:r w:rsidRPr="00336111">
              <w:rPr>
                <w:rFonts w:ascii="Arial" w:hAnsi="Arial" w:cs="Arial"/>
                <w:spacing w:val="-2"/>
              </w:rPr>
              <w:t xml:space="preserve"> </w:t>
            </w:r>
            <w:r w:rsidRPr="00336111">
              <w:rPr>
                <w:rFonts w:ascii="Arial" w:hAnsi="Arial" w:cs="Arial"/>
              </w:rPr>
              <w:t>flotation</w:t>
            </w:r>
            <w:r w:rsidRPr="00336111">
              <w:rPr>
                <w:rFonts w:ascii="Arial" w:hAnsi="Arial" w:cs="Arial"/>
                <w:spacing w:val="-1"/>
              </w:rPr>
              <w:t xml:space="preserve"> </w:t>
            </w:r>
            <w:r w:rsidRPr="00336111">
              <w:rPr>
                <w:rFonts w:ascii="Arial" w:hAnsi="Arial" w:cs="Arial"/>
              </w:rPr>
              <w:t>gears</w:t>
            </w:r>
            <w:r w:rsidRPr="00336111">
              <w:rPr>
                <w:rFonts w:ascii="Arial" w:hAnsi="Arial" w:cs="Arial"/>
                <w:spacing w:val="-4"/>
              </w:rPr>
              <w:t xml:space="preserve"> </w:t>
            </w:r>
            <w:r w:rsidRPr="00336111">
              <w:rPr>
                <w:rFonts w:ascii="Arial" w:hAnsi="Arial" w:cs="Arial"/>
              </w:rPr>
              <w:t>with</w:t>
            </w:r>
            <w:r w:rsidRPr="00336111">
              <w:rPr>
                <w:rFonts w:ascii="Arial" w:hAnsi="Arial" w:cs="Arial"/>
                <w:spacing w:val="-2"/>
              </w:rPr>
              <w:t xml:space="preserve"> </w:t>
            </w:r>
            <w:r w:rsidR="0038563B">
              <w:rPr>
                <w:rFonts w:ascii="Arial" w:hAnsi="Arial" w:cs="Arial"/>
              </w:rPr>
              <w:t>quick-</w:t>
            </w:r>
            <w:r w:rsidRPr="00336111">
              <w:rPr>
                <w:rFonts w:ascii="Arial" w:hAnsi="Arial" w:cs="Arial"/>
              </w:rPr>
              <w:t>disconnect</w:t>
            </w:r>
            <w:r w:rsidRPr="00336111">
              <w:rPr>
                <w:rFonts w:ascii="Arial" w:hAnsi="Arial" w:cs="Arial"/>
                <w:spacing w:val="-3"/>
              </w:rPr>
              <w:t xml:space="preserve"> </w:t>
            </w:r>
            <w:r w:rsidRPr="00336111">
              <w:rPr>
                <w:rFonts w:ascii="Arial" w:hAnsi="Arial" w:cs="Arial"/>
              </w:rPr>
              <w:t>connectors</w:t>
            </w:r>
          </w:p>
        </w:tc>
        <w:tc>
          <w:tcPr>
            <w:tcW w:w="1530" w:type="dxa"/>
          </w:tcPr>
          <w:p w14:paraId="7B383147" w14:textId="77777777" w:rsidR="00C04B4C" w:rsidRPr="00336111" w:rsidRDefault="00C04B4C" w:rsidP="00BE4A83">
            <w:pPr>
              <w:pStyle w:val="TableParagraph"/>
              <w:ind w:left="86"/>
              <w:rPr>
                <w:rFonts w:ascii="Arial" w:hAnsi="Arial" w:cs="Arial"/>
              </w:rPr>
            </w:pPr>
            <w:r w:rsidRPr="00336111">
              <w:rPr>
                <w:rFonts w:ascii="Arial" w:hAnsi="Arial" w:cs="Arial"/>
              </w:rPr>
              <w:t>Yes</w:t>
            </w:r>
          </w:p>
        </w:tc>
      </w:tr>
      <w:tr w:rsidR="00336111" w:rsidRPr="00336111" w14:paraId="0297F015" w14:textId="77777777" w:rsidTr="0080379D">
        <w:trPr>
          <w:trHeight w:val="689"/>
        </w:trPr>
        <w:tc>
          <w:tcPr>
            <w:tcW w:w="895" w:type="dxa"/>
            <w:vMerge/>
            <w:shd w:val="clear" w:color="auto" w:fill="F2F2F2" w:themeFill="background1" w:themeFillShade="F2"/>
          </w:tcPr>
          <w:p w14:paraId="3E07A6AA" w14:textId="77777777" w:rsidR="00C04B4C" w:rsidRPr="0038563B" w:rsidRDefault="00C04B4C" w:rsidP="00602DB9">
            <w:pPr>
              <w:jc w:val="center"/>
              <w:rPr>
                <w:rFonts w:ascii="Arial" w:hAnsi="Arial" w:cs="Arial"/>
                <w:b/>
              </w:rPr>
            </w:pPr>
          </w:p>
        </w:tc>
        <w:tc>
          <w:tcPr>
            <w:tcW w:w="2250" w:type="dxa"/>
            <w:vMerge/>
          </w:tcPr>
          <w:p w14:paraId="46919E3A" w14:textId="77777777" w:rsidR="00C04B4C" w:rsidRPr="00336111" w:rsidRDefault="00C04B4C" w:rsidP="00BE4A83">
            <w:pPr>
              <w:rPr>
                <w:rFonts w:ascii="Arial" w:hAnsi="Arial" w:cs="Arial"/>
                <w:sz w:val="2"/>
                <w:szCs w:val="2"/>
              </w:rPr>
            </w:pPr>
          </w:p>
        </w:tc>
        <w:tc>
          <w:tcPr>
            <w:tcW w:w="4860" w:type="dxa"/>
          </w:tcPr>
          <w:p w14:paraId="5B6FE212" w14:textId="77777777" w:rsidR="00C04B4C" w:rsidRPr="00336111" w:rsidRDefault="00C04B4C" w:rsidP="0038563B">
            <w:pPr>
              <w:pStyle w:val="TableParagraph"/>
              <w:ind w:right="148"/>
              <w:jc w:val="both"/>
              <w:rPr>
                <w:rFonts w:ascii="Arial" w:hAnsi="Arial" w:cs="Arial"/>
              </w:rPr>
            </w:pPr>
            <w:r w:rsidRPr="00336111">
              <w:rPr>
                <w:rFonts w:ascii="Arial" w:hAnsi="Arial" w:cs="Arial"/>
              </w:rPr>
              <w:t>Non-essential instruments and/or equipment — replacement of</w:t>
            </w:r>
            <w:r w:rsidRPr="00336111">
              <w:rPr>
                <w:rFonts w:ascii="Arial" w:hAnsi="Arial" w:cs="Arial"/>
                <w:spacing w:val="1"/>
              </w:rPr>
              <w:t xml:space="preserve"> </w:t>
            </w:r>
            <w:r w:rsidRPr="00336111">
              <w:rPr>
                <w:rFonts w:ascii="Arial" w:hAnsi="Arial" w:cs="Arial"/>
              </w:rPr>
              <w:t>self-contained,</w:t>
            </w:r>
            <w:r w:rsidRPr="00336111">
              <w:rPr>
                <w:rFonts w:ascii="Arial" w:hAnsi="Arial" w:cs="Arial"/>
                <w:spacing w:val="-5"/>
              </w:rPr>
              <w:t xml:space="preserve"> </w:t>
            </w:r>
            <w:r w:rsidRPr="00336111">
              <w:rPr>
                <w:rFonts w:ascii="Arial" w:hAnsi="Arial" w:cs="Arial"/>
              </w:rPr>
              <w:t>instrument-panel-mounted</w:t>
            </w:r>
            <w:r w:rsidRPr="00336111">
              <w:rPr>
                <w:rFonts w:ascii="Arial" w:hAnsi="Arial" w:cs="Arial"/>
                <w:spacing w:val="-4"/>
              </w:rPr>
              <w:t xml:space="preserve"> </w:t>
            </w:r>
            <w:r w:rsidRPr="00336111">
              <w:rPr>
                <w:rFonts w:ascii="Arial" w:hAnsi="Arial" w:cs="Arial"/>
              </w:rPr>
              <w:t>equipment</w:t>
            </w:r>
            <w:r w:rsidRPr="00336111">
              <w:rPr>
                <w:rFonts w:ascii="Arial" w:hAnsi="Arial" w:cs="Arial"/>
                <w:spacing w:val="-4"/>
              </w:rPr>
              <w:t xml:space="preserve"> </w:t>
            </w:r>
            <w:r w:rsidRPr="00336111">
              <w:rPr>
                <w:rFonts w:ascii="Arial" w:hAnsi="Arial" w:cs="Arial"/>
              </w:rPr>
              <w:t>with</w:t>
            </w:r>
            <w:r w:rsidRPr="00336111">
              <w:rPr>
                <w:rFonts w:ascii="Arial" w:hAnsi="Arial" w:cs="Arial"/>
                <w:spacing w:val="-1"/>
              </w:rPr>
              <w:t xml:space="preserve"> </w:t>
            </w:r>
            <w:r w:rsidRPr="00336111">
              <w:rPr>
                <w:rFonts w:ascii="Arial" w:hAnsi="Arial" w:cs="Arial"/>
              </w:rPr>
              <w:t>quick-</w:t>
            </w:r>
          </w:p>
          <w:p w14:paraId="6E40C5EC" w14:textId="77777777" w:rsidR="00C04B4C" w:rsidRPr="00336111" w:rsidRDefault="00C04B4C" w:rsidP="0038563B">
            <w:pPr>
              <w:pStyle w:val="TableParagraph"/>
              <w:spacing w:line="224" w:lineRule="exact"/>
              <w:jc w:val="both"/>
              <w:rPr>
                <w:rFonts w:ascii="Arial" w:hAnsi="Arial" w:cs="Arial"/>
              </w:rPr>
            </w:pPr>
            <w:r w:rsidRPr="00336111">
              <w:rPr>
                <w:rFonts w:ascii="Arial" w:hAnsi="Arial" w:cs="Arial"/>
              </w:rPr>
              <w:t>disconnect</w:t>
            </w:r>
            <w:r w:rsidRPr="00336111">
              <w:rPr>
                <w:rFonts w:ascii="Arial" w:hAnsi="Arial" w:cs="Arial"/>
                <w:spacing w:val="-3"/>
              </w:rPr>
              <w:t xml:space="preserve"> </w:t>
            </w:r>
            <w:r w:rsidRPr="00336111">
              <w:rPr>
                <w:rFonts w:ascii="Arial" w:hAnsi="Arial" w:cs="Arial"/>
              </w:rPr>
              <w:t>connectors</w:t>
            </w:r>
          </w:p>
        </w:tc>
        <w:tc>
          <w:tcPr>
            <w:tcW w:w="1530" w:type="dxa"/>
          </w:tcPr>
          <w:p w14:paraId="45F5D277" w14:textId="77777777" w:rsidR="00C04B4C" w:rsidRPr="00336111" w:rsidRDefault="00C04B4C" w:rsidP="00BE4A83">
            <w:pPr>
              <w:pStyle w:val="TableParagraph"/>
              <w:ind w:left="86"/>
              <w:rPr>
                <w:rFonts w:ascii="Arial" w:hAnsi="Arial" w:cs="Arial"/>
              </w:rPr>
            </w:pPr>
            <w:r w:rsidRPr="00336111">
              <w:rPr>
                <w:rFonts w:ascii="Arial" w:hAnsi="Arial" w:cs="Arial"/>
              </w:rPr>
              <w:t>Yes</w:t>
            </w:r>
          </w:p>
        </w:tc>
      </w:tr>
      <w:tr w:rsidR="00336111" w:rsidRPr="00336111" w14:paraId="09B46255" w14:textId="77777777" w:rsidTr="0080379D">
        <w:trPr>
          <w:trHeight w:val="202"/>
        </w:trPr>
        <w:tc>
          <w:tcPr>
            <w:tcW w:w="895" w:type="dxa"/>
            <w:vMerge/>
            <w:shd w:val="clear" w:color="auto" w:fill="F2F2F2" w:themeFill="background1" w:themeFillShade="F2"/>
          </w:tcPr>
          <w:p w14:paraId="19E208BC" w14:textId="77777777" w:rsidR="00C04B4C" w:rsidRPr="0038563B" w:rsidRDefault="00C04B4C" w:rsidP="00602DB9">
            <w:pPr>
              <w:jc w:val="center"/>
              <w:rPr>
                <w:rFonts w:ascii="Arial" w:hAnsi="Arial" w:cs="Arial"/>
                <w:b/>
              </w:rPr>
            </w:pPr>
          </w:p>
        </w:tc>
        <w:tc>
          <w:tcPr>
            <w:tcW w:w="2250" w:type="dxa"/>
            <w:vMerge/>
          </w:tcPr>
          <w:p w14:paraId="0F75C322" w14:textId="77777777" w:rsidR="00C04B4C" w:rsidRPr="00336111" w:rsidRDefault="00C04B4C" w:rsidP="00BE4A83">
            <w:pPr>
              <w:rPr>
                <w:rFonts w:ascii="Arial" w:hAnsi="Arial" w:cs="Arial"/>
                <w:sz w:val="2"/>
                <w:szCs w:val="2"/>
              </w:rPr>
            </w:pPr>
          </w:p>
        </w:tc>
        <w:tc>
          <w:tcPr>
            <w:tcW w:w="4860" w:type="dxa"/>
          </w:tcPr>
          <w:p w14:paraId="33CBA7A0" w14:textId="77777777" w:rsidR="00C04B4C" w:rsidRPr="00336111" w:rsidRDefault="00C04B4C" w:rsidP="0038563B">
            <w:pPr>
              <w:pStyle w:val="TableParagraph"/>
              <w:spacing w:line="225" w:lineRule="exact"/>
              <w:jc w:val="both"/>
              <w:rPr>
                <w:rFonts w:ascii="Arial" w:hAnsi="Arial" w:cs="Arial"/>
              </w:rPr>
            </w:pPr>
            <w:r w:rsidRPr="00336111">
              <w:rPr>
                <w:rFonts w:ascii="Arial" w:hAnsi="Arial" w:cs="Arial"/>
              </w:rPr>
              <w:t>ELT</w:t>
            </w:r>
            <w:r w:rsidRPr="00336111">
              <w:rPr>
                <w:rFonts w:ascii="Arial" w:hAnsi="Arial" w:cs="Arial"/>
                <w:spacing w:val="-4"/>
              </w:rPr>
              <w:t xml:space="preserve"> </w:t>
            </w:r>
            <w:r w:rsidRPr="00336111">
              <w:rPr>
                <w:rFonts w:ascii="Arial" w:hAnsi="Arial" w:cs="Arial"/>
              </w:rPr>
              <w:t>—</w:t>
            </w:r>
            <w:r w:rsidRPr="00336111">
              <w:rPr>
                <w:rFonts w:ascii="Arial" w:hAnsi="Arial" w:cs="Arial"/>
                <w:spacing w:val="-3"/>
              </w:rPr>
              <w:t xml:space="preserve"> </w:t>
            </w:r>
            <w:r w:rsidRPr="00336111">
              <w:rPr>
                <w:rFonts w:ascii="Arial" w:hAnsi="Arial" w:cs="Arial"/>
              </w:rPr>
              <w:t>removal/reinstallation</w:t>
            </w:r>
          </w:p>
        </w:tc>
        <w:tc>
          <w:tcPr>
            <w:tcW w:w="1530" w:type="dxa"/>
          </w:tcPr>
          <w:p w14:paraId="26EA686A" w14:textId="77777777" w:rsidR="00C04B4C" w:rsidRPr="00336111" w:rsidRDefault="00C04B4C" w:rsidP="00BE4A83">
            <w:pPr>
              <w:pStyle w:val="TableParagraph"/>
              <w:spacing w:line="225" w:lineRule="exact"/>
              <w:ind w:left="86"/>
              <w:rPr>
                <w:rFonts w:ascii="Arial" w:hAnsi="Arial" w:cs="Arial"/>
              </w:rPr>
            </w:pPr>
            <w:r w:rsidRPr="00336111">
              <w:rPr>
                <w:rFonts w:ascii="Arial" w:hAnsi="Arial" w:cs="Arial"/>
              </w:rPr>
              <w:t>Yes</w:t>
            </w:r>
          </w:p>
        </w:tc>
      </w:tr>
      <w:tr w:rsidR="00336111" w:rsidRPr="00336111" w14:paraId="316F5EC3" w14:textId="77777777" w:rsidTr="0080379D">
        <w:trPr>
          <w:trHeight w:val="459"/>
        </w:trPr>
        <w:tc>
          <w:tcPr>
            <w:tcW w:w="895" w:type="dxa"/>
            <w:shd w:val="clear" w:color="auto" w:fill="F2F2F2" w:themeFill="background1" w:themeFillShade="F2"/>
          </w:tcPr>
          <w:p w14:paraId="682D16B7" w14:textId="77777777" w:rsidR="00C04B4C" w:rsidRPr="00336111" w:rsidRDefault="00C04B4C" w:rsidP="00602DB9">
            <w:pPr>
              <w:jc w:val="center"/>
              <w:rPr>
                <w:rFonts w:ascii="Arial" w:hAnsi="Arial" w:cs="Arial"/>
                <w:b/>
              </w:rPr>
            </w:pPr>
            <w:r w:rsidRPr="00336111">
              <w:rPr>
                <w:rFonts w:ascii="Arial" w:hAnsi="Arial" w:cs="Arial"/>
                <w:b/>
              </w:rPr>
              <w:t>30</w:t>
            </w:r>
          </w:p>
        </w:tc>
        <w:tc>
          <w:tcPr>
            <w:tcW w:w="2250" w:type="dxa"/>
          </w:tcPr>
          <w:p w14:paraId="24CD6165" w14:textId="77777777" w:rsidR="00C04B4C" w:rsidRPr="00336111" w:rsidRDefault="00C04B4C" w:rsidP="00BE4A83">
            <w:pPr>
              <w:pStyle w:val="TableParagraph"/>
              <w:spacing w:line="242" w:lineRule="exact"/>
              <w:rPr>
                <w:rFonts w:ascii="Arial" w:hAnsi="Arial" w:cs="Arial"/>
              </w:rPr>
            </w:pPr>
            <w:r w:rsidRPr="00336111">
              <w:rPr>
                <w:rFonts w:ascii="Arial" w:hAnsi="Arial" w:cs="Arial"/>
              </w:rPr>
              <w:t>Protection</w:t>
            </w:r>
            <w:r w:rsidRPr="00336111">
              <w:rPr>
                <w:rFonts w:ascii="Arial" w:hAnsi="Arial" w:cs="Arial"/>
                <w:spacing w:val="-3"/>
              </w:rPr>
              <w:t xml:space="preserve"> </w:t>
            </w:r>
            <w:r w:rsidRPr="00336111">
              <w:rPr>
                <w:rFonts w:ascii="Arial" w:hAnsi="Arial" w:cs="Arial"/>
              </w:rPr>
              <w:t>from</w:t>
            </w:r>
          </w:p>
          <w:p w14:paraId="761E1D48" w14:textId="77777777" w:rsidR="00C04B4C" w:rsidRPr="00336111" w:rsidRDefault="00C04B4C" w:rsidP="00BE4A83">
            <w:pPr>
              <w:pStyle w:val="TableParagraph"/>
              <w:spacing w:line="239" w:lineRule="exact"/>
              <w:rPr>
                <w:rFonts w:ascii="Arial" w:hAnsi="Arial" w:cs="Arial"/>
              </w:rPr>
            </w:pPr>
            <w:r w:rsidRPr="00336111">
              <w:rPr>
                <w:rFonts w:ascii="Arial" w:hAnsi="Arial" w:cs="Arial"/>
              </w:rPr>
              <w:t>ice</w:t>
            </w:r>
            <w:r w:rsidRPr="00336111">
              <w:rPr>
                <w:rFonts w:ascii="Arial" w:hAnsi="Arial" w:cs="Arial"/>
                <w:spacing w:val="-3"/>
              </w:rPr>
              <w:t xml:space="preserve"> </w:t>
            </w:r>
            <w:r w:rsidRPr="00336111">
              <w:rPr>
                <w:rFonts w:ascii="Arial" w:hAnsi="Arial" w:cs="Arial"/>
              </w:rPr>
              <w:t>and</w:t>
            </w:r>
            <w:r w:rsidRPr="00336111">
              <w:rPr>
                <w:rFonts w:ascii="Arial" w:hAnsi="Arial" w:cs="Arial"/>
                <w:spacing w:val="-1"/>
              </w:rPr>
              <w:t xml:space="preserve"> </w:t>
            </w:r>
            <w:r w:rsidRPr="00336111">
              <w:rPr>
                <w:rFonts w:ascii="Arial" w:hAnsi="Arial" w:cs="Arial"/>
              </w:rPr>
              <w:t>rain</w:t>
            </w:r>
          </w:p>
        </w:tc>
        <w:tc>
          <w:tcPr>
            <w:tcW w:w="4860" w:type="dxa"/>
          </w:tcPr>
          <w:p w14:paraId="7C5638D5" w14:textId="77777777" w:rsidR="00C04B4C" w:rsidRPr="00336111" w:rsidRDefault="00C04B4C" w:rsidP="0038563B">
            <w:pPr>
              <w:pStyle w:val="TableParagraph"/>
              <w:spacing w:line="242" w:lineRule="exact"/>
              <w:jc w:val="both"/>
              <w:rPr>
                <w:rFonts w:ascii="Arial" w:hAnsi="Arial" w:cs="Arial"/>
              </w:rPr>
            </w:pPr>
            <w:r w:rsidRPr="00336111">
              <w:rPr>
                <w:rFonts w:ascii="Arial" w:hAnsi="Arial" w:cs="Arial"/>
              </w:rPr>
              <w:t>Windshield</w:t>
            </w:r>
            <w:r w:rsidRPr="00336111">
              <w:rPr>
                <w:rFonts w:ascii="Arial" w:hAnsi="Arial" w:cs="Arial"/>
                <w:spacing w:val="-4"/>
              </w:rPr>
              <w:t xml:space="preserve"> </w:t>
            </w:r>
            <w:r w:rsidRPr="00336111">
              <w:rPr>
                <w:rFonts w:ascii="Arial" w:hAnsi="Arial" w:cs="Arial"/>
              </w:rPr>
              <w:t>wiper</w:t>
            </w:r>
            <w:r w:rsidRPr="00336111">
              <w:rPr>
                <w:rFonts w:ascii="Arial" w:hAnsi="Arial" w:cs="Arial"/>
                <w:spacing w:val="-3"/>
              </w:rPr>
              <w:t xml:space="preserve"> </w:t>
            </w:r>
            <w:r w:rsidRPr="00336111">
              <w:rPr>
                <w:rFonts w:ascii="Arial" w:hAnsi="Arial" w:cs="Arial"/>
              </w:rPr>
              <w:t>replacement</w:t>
            </w:r>
          </w:p>
        </w:tc>
        <w:tc>
          <w:tcPr>
            <w:tcW w:w="1530" w:type="dxa"/>
          </w:tcPr>
          <w:p w14:paraId="12CF2FF4" w14:textId="77777777" w:rsidR="00C04B4C" w:rsidRPr="00336111" w:rsidRDefault="00C04B4C" w:rsidP="00BE4A83">
            <w:pPr>
              <w:pStyle w:val="TableParagraph"/>
              <w:spacing w:line="242" w:lineRule="exact"/>
              <w:ind w:left="86"/>
              <w:rPr>
                <w:rFonts w:ascii="Arial" w:hAnsi="Arial" w:cs="Arial"/>
              </w:rPr>
            </w:pPr>
            <w:r w:rsidRPr="00336111">
              <w:rPr>
                <w:rFonts w:ascii="Arial" w:hAnsi="Arial" w:cs="Arial"/>
              </w:rPr>
              <w:t>Yes</w:t>
            </w:r>
          </w:p>
        </w:tc>
      </w:tr>
      <w:tr w:rsidR="00336111" w:rsidRPr="00336111" w14:paraId="128C4C3D" w14:textId="77777777" w:rsidTr="0080379D">
        <w:trPr>
          <w:trHeight w:val="689"/>
        </w:trPr>
        <w:tc>
          <w:tcPr>
            <w:tcW w:w="895" w:type="dxa"/>
            <w:vMerge w:val="restart"/>
            <w:shd w:val="clear" w:color="auto" w:fill="F2F2F2" w:themeFill="background1" w:themeFillShade="F2"/>
          </w:tcPr>
          <w:p w14:paraId="18931E62" w14:textId="77777777" w:rsidR="00C04B4C" w:rsidRPr="00336111" w:rsidRDefault="00C04B4C" w:rsidP="00602DB9">
            <w:pPr>
              <w:jc w:val="center"/>
              <w:rPr>
                <w:rFonts w:ascii="Arial" w:hAnsi="Arial" w:cs="Arial"/>
                <w:b/>
              </w:rPr>
            </w:pPr>
            <w:r w:rsidRPr="00336111">
              <w:rPr>
                <w:rFonts w:ascii="Arial" w:hAnsi="Arial" w:cs="Arial"/>
                <w:b/>
              </w:rPr>
              <w:t>31</w:t>
            </w:r>
          </w:p>
        </w:tc>
        <w:tc>
          <w:tcPr>
            <w:tcW w:w="2250" w:type="dxa"/>
            <w:vMerge w:val="restart"/>
          </w:tcPr>
          <w:p w14:paraId="5F014A46" w14:textId="77777777" w:rsidR="00C04B4C" w:rsidRPr="00336111" w:rsidRDefault="00C04B4C" w:rsidP="00BE4A83">
            <w:pPr>
              <w:pStyle w:val="TableParagraph"/>
              <w:rPr>
                <w:rFonts w:ascii="Arial" w:hAnsi="Arial" w:cs="Arial"/>
              </w:rPr>
            </w:pPr>
            <w:r w:rsidRPr="00336111">
              <w:rPr>
                <w:rFonts w:ascii="Arial" w:hAnsi="Arial" w:cs="Arial"/>
              </w:rPr>
              <w:t>Instruments</w:t>
            </w:r>
          </w:p>
        </w:tc>
        <w:tc>
          <w:tcPr>
            <w:tcW w:w="4860" w:type="dxa"/>
          </w:tcPr>
          <w:p w14:paraId="4F8B53DE" w14:textId="77777777" w:rsidR="00C04B4C" w:rsidRPr="00336111" w:rsidRDefault="00C04B4C" w:rsidP="0038563B">
            <w:pPr>
              <w:pStyle w:val="TableParagraph"/>
              <w:ind w:right="191"/>
              <w:jc w:val="both"/>
              <w:rPr>
                <w:rFonts w:ascii="Arial" w:hAnsi="Arial" w:cs="Arial"/>
              </w:rPr>
            </w:pPr>
            <w:r w:rsidRPr="00336111">
              <w:rPr>
                <w:rFonts w:ascii="Arial" w:hAnsi="Arial" w:cs="Arial"/>
              </w:rPr>
              <w:t>Instrument panel — removal and reinstallation provided that it is</w:t>
            </w:r>
            <w:r w:rsidRPr="00336111">
              <w:rPr>
                <w:rFonts w:ascii="Arial" w:hAnsi="Arial" w:cs="Arial"/>
                <w:spacing w:val="1"/>
              </w:rPr>
              <w:t xml:space="preserve"> </w:t>
            </w:r>
            <w:r w:rsidRPr="00336111">
              <w:rPr>
                <w:rFonts w:ascii="Arial" w:hAnsi="Arial" w:cs="Arial"/>
              </w:rPr>
              <w:t>a</w:t>
            </w:r>
            <w:r w:rsidRPr="00336111">
              <w:rPr>
                <w:rFonts w:ascii="Arial" w:hAnsi="Arial" w:cs="Arial"/>
                <w:spacing w:val="-2"/>
              </w:rPr>
              <w:t xml:space="preserve"> </w:t>
            </w:r>
            <w:r w:rsidRPr="00336111">
              <w:rPr>
                <w:rFonts w:ascii="Arial" w:hAnsi="Arial" w:cs="Arial"/>
              </w:rPr>
              <w:t>design</w:t>
            </w:r>
            <w:r w:rsidRPr="00336111">
              <w:rPr>
                <w:rFonts w:ascii="Arial" w:hAnsi="Arial" w:cs="Arial"/>
                <w:spacing w:val="-1"/>
              </w:rPr>
              <w:t xml:space="preserve"> </w:t>
            </w:r>
            <w:r w:rsidRPr="00336111">
              <w:rPr>
                <w:rFonts w:ascii="Arial" w:hAnsi="Arial" w:cs="Arial"/>
              </w:rPr>
              <w:t>feature</w:t>
            </w:r>
            <w:r w:rsidRPr="00336111">
              <w:rPr>
                <w:rFonts w:ascii="Arial" w:hAnsi="Arial" w:cs="Arial"/>
                <w:spacing w:val="-3"/>
              </w:rPr>
              <w:t xml:space="preserve"> </w:t>
            </w:r>
            <w:r w:rsidRPr="00336111">
              <w:rPr>
                <w:rFonts w:ascii="Arial" w:hAnsi="Arial" w:cs="Arial"/>
              </w:rPr>
              <w:t>with</w:t>
            </w:r>
            <w:r w:rsidRPr="00336111">
              <w:rPr>
                <w:rFonts w:ascii="Arial" w:hAnsi="Arial" w:cs="Arial"/>
                <w:spacing w:val="-2"/>
              </w:rPr>
              <w:t xml:space="preserve"> </w:t>
            </w:r>
            <w:r w:rsidRPr="00336111">
              <w:rPr>
                <w:rFonts w:ascii="Arial" w:hAnsi="Arial" w:cs="Arial"/>
              </w:rPr>
              <w:t>quick-disconnect</w:t>
            </w:r>
            <w:r w:rsidRPr="00336111">
              <w:rPr>
                <w:rFonts w:ascii="Arial" w:hAnsi="Arial" w:cs="Arial"/>
                <w:spacing w:val="-1"/>
              </w:rPr>
              <w:t xml:space="preserve"> </w:t>
            </w:r>
            <w:r w:rsidRPr="00336111">
              <w:rPr>
                <w:rFonts w:ascii="Arial" w:hAnsi="Arial" w:cs="Arial"/>
              </w:rPr>
              <w:t>connectors,</w:t>
            </w:r>
            <w:r w:rsidRPr="00336111">
              <w:rPr>
                <w:rFonts w:ascii="Arial" w:hAnsi="Arial" w:cs="Arial"/>
                <w:spacing w:val="-2"/>
              </w:rPr>
              <w:t xml:space="preserve"> </w:t>
            </w:r>
            <w:r w:rsidRPr="00336111">
              <w:rPr>
                <w:rFonts w:ascii="Arial" w:hAnsi="Arial" w:cs="Arial"/>
              </w:rPr>
              <w:t>excluding</w:t>
            </w:r>
            <w:r w:rsidRPr="00336111">
              <w:rPr>
                <w:rFonts w:ascii="Arial" w:hAnsi="Arial" w:cs="Arial"/>
                <w:spacing w:val="-3"/>
              </w:rPr>
              <w:t xml:space="preserve"> </w:t>
            </w:r>
            <w:r w:rsidR="0038563B">
              <w:rPr>
                <w:rFonts w:ascii="Arial" w:hAnsi="Arial" w:cs="Arial"/>
              </w:rPr>
              <w:t xml:space="preserve">IFR </w:t>
            </w:r>
            <w:r w:rsidRPr="00336111">
              <w:rPr>
                <w:rFonts w:ascii="Arial" w:hAnsi="Arial" w:cs="Arial"/>
              </w:rPr>
              <w:t>operations</w:t>
            </w:r>
          </w:p>
        </w:tc>
        <w:tc>
          <w:tcPr>
            <w:tcW w:w="1530" w:type="dxa"/>
          </w:tcPr>
          <w:p w14:paraId="2F1D4FD4" w14:textId="77777777" w:rsidR="00C04B4C" w:rsidRPr="00336111" w:rsidRDefault="00C04B4C" w:rsidP="00BE4A83">
            <w:pPr>
              <w:pStyle w:val="TableParagraph"/>
              <w:ind w:left="86"/>
              <w:rPr>
                <w:rFonts w:ascii="Arial" w:hAnsi="Arial" w:cs="Arial"/>
              </w:rPr>
            </w:pPr>
            <w:r w:rsidRPr="00336111">
              <w:rPr>
                <w:rFonts w:ascii="Arial" w:hAnsi="Arial" w:cs="Arial"/>
              </w:rPr>
              <w:t>Yes**</w:t>
            </w:r>
          </w:p>
        </w:tc>
      </w:tr>
      <w:tr w:rsidR="00336111" w:rsidRPr="00336111" w14:paraId="1D44F6C5" w14:textId="77777777" w:rsidTr="0080379D">
        <w:trPr>
          <w:trHeight w:val="445"/>
        </w:trPr>
        <w:tc>
          <w:tcPr>
            <w:tcW w:w="895" w:type="dxa"/>
            <w:vMerge/>
            <w:shd w:val="clear" w:color="auto" w:fill="F2F2F2" w:themeFill="background1" w:themeFillShade="F2"/>
          </w:tcPr>
          <w:p w14:paraId="2B5579EE" w14:textId="77777777" w:rsidR="00C04B4C" w:rsidRPr="0038563B" w:rsidRDefault="00C04B4C" w:rsidP="00602DB9">
            <w:pPr>
              <w:jc w:val="center"/>
              <w:rPr>
                <w:rFonts w:ascii="Arial" w:hAnsi="Arial" w:cs="Arial"/>
                <w:b/>
              </w:rPr>
            </w:pPr>
          </w:p>
        </w:tc>
        <w:tc>
          <w:tcPr>
            <w:tcW w:w="2250" w:type="dxa"/>
            <w:vMerge/>
          </w:tcPr>
          <w:p w14:paraId="09337B07" w14:textId="77777777" w:rsidR="00C04B4C" w:rsidRPr="00336111" w:rsidRDefault="00C04B4C" w:rsidP="00BE4A83">
            <w:pPr>
              <w:rPr>
                <w:rFonts w:ascii="Arial" w:hAnsi="Arial" w:cs="Arial"/>
                <w:sz w:val="2"/>
                <w:szCs w:val="2"/>
              </w:rPr>
            </w:pPr>
          </w:p>
        </w:tc>
        <w:tc>
          <w:tcPr>
            <w:tcW w:w="4860" w:type="dxa"/>
          </w:tcPr>
          <w:p w14:paraId="17036DAC" w14:textId="77777777" w:rsidR="00C04B4C" w:rsidRPr="00336111" w:rsidRDefault="00C04B4C" w:rsidP="0038563B">
            <w:pPr>
              <w:pStyle w:val="TableParagraph"/>
              <w:spacing w:before="1" w:line="243" w:lineRule="exact"/>
              <w:jc w:val="both"/>
              <w:rPr>
                <w:rFonts w:ascii="Arial" w:hAnsi="Arial" w:cs="Arial"/>
              </w:rPr>
            </w:pPr>
            <w:r w:rsidRPr="00336111">
              <w:rPr>
                <w:rFonts w:ascii="Arial" w:hAnsi="Arial" w:cs="Arial"/>
              </w:rPr>
              <w:t>Pitot-static</w:t>
            </w:r>
            <w:r w:rsidRPr="00336111">
              <w:rPr>
                <w:rFonts w:ascii="Arial" w:hAnsi="Arial" w:cs="Arial"/>
                <w:spacing w:val="-1"/>
              </w:rPr>
              <w:t xml:space="preserve"> </w:t>
            </w:r>
            <w:r w:rsidRPr="00336111">
              <w:rPr>
                <w:rFonts w:ascii="Arial" w:hAnsi="Arial" w:cs="Arial"/>
              </w:rPr>
              <w:t>system</w:t>
            </w:r>
            <w:r w:rsidRPr="00336111">
              <w:rPr>
                <w:rFonts w:ascii="Arial" w:hAnsi="Arial" w:cs="Arial"/>
                <w:spacing w:val="-3"/>
              </w:rPr>
              <w:t xml:space="preserve"> </w:t>
            </w:r>
            <w:r w:rsidRPr="00336111">
              <w:rPr>
                <w:rFonts w:ascii="Arial" w:hAnsi="Arial" w:cs="Arial"/>
              </w:rPr>
              <w:t>—</w:t>
            </w:r>
            <w:r w:rsidRPr="00336111">
              <w:rPr>
                <w:rFonts w:ascii="Arial" w:hAnsi="Arial" w:cs="Arial"/>
                <w:spacing w:val="-1"/>
              </w:rPr>
              <w:t xml:space="preserve"> </w:t>
            </w:r>
            <w:r w:rsidRPr="00336111">
              <w:rPr>
                <w:rFonts w:ascii="Arial" w:hAnsi="Arial" w:cs="Arial"/>
              </w:rPr>
              <w:t>simple</w:t>
            </w:r>
            <w:r w:rsidRPr="00336111">
              <w:rPr>
                <w:rFonts w:ascii="Arial" w:hAnsi="Arial" w:cs="Arial"/>
                <w:spacing w:val="-3"/>
              </w:rPr>
              <w:t xml:space="preserve"> </w:t>
            </w:r>
            <w:r w:rsidRPr="00336111">
              <w:rPr>
                <w:rFonts w:ascii="Arial" w:hAnsi="Arial" w:cs="Arial"/>
              </w:rPr>
              <w:t>sense</w:t>
            </w:r>
            <w:r w:rsidRPr="00336111">
              <w:rPr>
                <w:rFonts w:ascii="Arial" w:hAnsi="Arial" w:cs="Arial"/>
                <w:spacing w:val="-4"/>
              </w:rPr>
              <w:t xml:space="preserve"> </w:t>
            </w:r>
            <w:r w:rsidRPr="00336111">
              <w:rPr>
                <w:rFonts w:ascii="Arial" w:hAnsi="Arial" w:cs="Arial"/>
              </w:rPr>
              <w:t>and</w:t>
            </w:r>
            <w:r w:rsidRPr="00336111">
              <w:rPr>
                <w:rFonts w:ascii="Arial" w:hAnsi="Arial" w:cs="Arial"/>
                <w:spacing w:val="-3"/>
              </w:rPr>
              <w:t xml:space="preserve"> </w:t>
            </w:r>
            <w:r w:rsidRPr="00336111">
              <w:rPr>
                <w:rFonts w:ascii="Arial" w:hAnsi="Arial" w:cs="Arial"/>
              </w:rPr>
              <w:t>leak</w:t>
            </w:r>
            <w:r w:rsidRPr="00336111">
              <w:rPr>
                <w:rFonts w:ascii="Arial" w:hAnsi="Arial" w:cs="Arial"/>
                <w:spacing w:val="-2"/>
              </w:rPr>
              <w:t xml:space="preserve"> </w:t>
            </w:r>
            <w:r w:rsidRPr="00336111">
              <w:rPr>
                <w:rFonts w:ascii="Arial" w:hAnsi="Arial" w:cs="Arial"/>
              </w:rPr>
              <w:t>check,</w:t>
            </w:r>
            <w:r w:rsidRPr="00336111">
              <w:rPr>
                <w:rFonts w:ascii="Arial" w:hAnsi="Arial" w:cs="Arial"/>
                <w:spacing w:val="-3"/>
              </w:rPr>
              <w:t xml:space="preserve"> </w:t>
            </w:r>
            <w:r w:rsidRPr="00336111">
              <w:rPr>
                <w:rFonts w:ascii="Arial" w:hAnsi="Arial" w:cs="Arial"/>
              </w:rPr>
              <w:t>excluding</w:t>
            </w:r>
            <w:r w:rsidRPr="00336111">
              <w:rPr>
                <w:rFonts w:ascii="Arial" w:hAnsi="Arial" w:cs="Arial"/>
                <w:spacing w:val="-4"/>
              </w:rPr>
              <w:t xml:space="preserve"> </w:t>
            </w:r>
            <w:r w:rsidR="0038563B">
              <w:rPr>
                <w:rFonts w:ascii="Arial" w:hAnsi="Arial" w:cs="Arial"/>
              </w:rPr>
              <w:t xml:space="preserve">IFR </w:t>
            </w:r>
            <w:r w:rsidRPr="00336111">
              <w:rPr>
                <w:rFonts w:ascii="Arial" w:hAnsi="Arial" w:cs="Arial"/>
              </w:rPr>
              <w:t>operations</w:t>
            </w:r>
          </w:p>
        </w:tc>
        <w:tc>
          <w:tcPr>
            <w:tcW w:w="1530" w:type="dxa"/>
          </w:tcPr>
          <w:p w14:paraId="799326D0" w14:textId="77777777" w:rsidR="00C04B4C" w:rsidRPr="00336111" w:rsidRDefault="00C04B4C" w:rsidP="00BE4A83">
            <w:pPr>
              <w:pStyle w:val="TableParagraph"/>
              <w:spacing w:before="1"/>
              <w:ind w:left="86"/>
              <w:rPr>
                <w:rFonts w:ascii="Arial" w:hAnsi="Arial" w:cs="Arial"/>
              </w:rPr>
            </w:pPr>
            <w:r w:rsidRPr="00336111">
              <w:rPr>
                <w:rFonts w:ascii="Arial" w:hAnsi="Arial" w:cs="Arial"/>
              </w:rPr>
              <w:t>Yes**</w:t>
            </w:r>
          </w:p>
        </w:tc>
      </w:tr>
      <w:tr w:rsidR="00336111" w:rsidRPr="00336111" w14:paraId="380E565A" w14:textId="77777777" w:rsidTr="0080379D">
        <w:trPr>
          <w:trHeight w:val="444"/>
        </w:trPr>
        <w:tc>
          <w:tcPr>
            <w:tcW w:w="895" w:type="dxa"/>
            <w:vMerge/>
            <w:shd w:val="clear" w:color="auto" w:fill="F2F2F2" w:themeFill="background1" w:themeFillShade="F2"/>
          </w:tcPr>
          <w:p w14:paraId="79BBAB1F" w14:textId="77777777" w:rsidR="00C04B4C" w:rsidRPr="0038563B" w:rsidRDefault="00C04B4C" w:rsidP="00602DB9">
            <w:pPr>
              <w:jc w:val="center"/>
              <w:rPr>
                <w:rFonts w:ascii="Arial" w:hAnsi="Arial" w:cs="Arial"/>
                <w:b/>
              </w:rPr>
            </w:pPr>
          </w:p>
        </w:tc>
        <w:tc>
          <w:tcPr>
            <w:tcW w:w="2250" w:type="dxa"/>
            <w:vMerge/>
          </w:tcPr>
          <w:p w14:paraId="2FA0B003" w14:textId="77777777" w:rsidR="00C04B4C" w:rsidRPr="00336111" w:rsidRDefault="00C04B4C" w:rsidP="00BE4A83">
            <w:pPr>
              <w:rPr>
                <w:rFonts w:ascii="Arial" w:hAnsi="Arial" w:cs="Arial"/>
                <w:sz w:val="2"/>
                <w:szCs w:val="2"/>
              </w:rPr>
            </w:pPr>
          </w:p>
        </w:tc>
        <w:tc>
          <w:tcPr>
            <w:tcW w:w="4860" w:type="dxa"/>
          </w:tcPr>
          <w:p w14:paraId="428D1E5C" w14:textId="77777777" w:rsidR="00C04B4C" w:rsidRPr="00336111" w:rsidRDefault="00C04B4C" w:rsidP="0038563B">
            <w:pPr>
              <w:pStyle w:val="TableParagraph"/>
              <w:spacing w:line="243" w:lineRule="exact"/>
              <w:jc w:val="both"/>
              <w:rPr>
                <w:rFonts w:ascii="Arial" w:hAnsi="Arial" w:cs="Arial"/>
              </w:rPr>
            </w:pPr>
            <w:r w:rsidRPr="00336111">
              <w:rPr>
                <w:rFonts w:ascii="Arial" w:hAnsi="Arial" w:cs="Arial"/>
              </w:rPr>
              <w:t>Drainage</w:t>
            </w:r>
            <w:r w:rsidRPr="00336111">
              <w:rPr>
                <w:rFonts w:ascii="Arial" w:hAnsi="Arial" w:cs="Arial"/>
                <w:spacing w:val="-1"/>
              </w:rPr>
              <w:t xml:space="preserve"> </w:t>
            </w:r>
            <w:r w:rsidRPr="00336111">
              <w:rPr>
                <w:rFonts w:ascii="Arial" w:hAnsi="Arial" w:cs="Arial"/>
              </w:rPr>
              <w:t>—</w:t>
            </w:r>
            <w:r w:rsidRPr="00336111">
              <w:rPr>
                <w:rFonts w:ascii="Arial" w:hAnsi="Arial" w:cs="Arial"/>
                <w:spacing w:val="-2"/>
              </w:rPr>
              <w:t xml:space="preserve"> </w:t>
            </w:r>
            <w:r w:rsidRPr="00336111">
              <w:rPr>
                <w:rFonts w:ascii="Arial" w:hAnsi="Arial" w:cs="Arial"/>
              </w:rPr>
              <w:t>drainage</w:t>
            </w:r>
            <w:r w:rsidRPr="00336111">
              <w:rPr>
                <w:rFonts w:ascii="Arial" w:hAnsi="Arial" w:cs="Arial"/>
                <w:spacing w:val="-3"/>
              </w:rPr>
              <w:t xml:space="preserve"> </w:t>
            </w:r>
            <w:r w:rsidRPr="00336111">
              <w:rPr>
                <w:rFonts w:ascii="Arial" w:hAnsi="Arial" w:cs="Arial"/>
              </w:rPr>
              <w:t>of</w:t>
            </w:r>
            <w:r w:rsidRPr="00336111">
              <w:rPr>
                <w:rFonts w:ascii="Arial" w:hAnsi="Arial" w:cs="Arial"/>
                <w:spacing w:val="-1"/>
              </w:rPr>
              <w:t xml:space="preserve"> </w:t>
            </w:r>
            <w:r w:rsidRPr="00336111">
              <w:rPr>
                <w:rFonts w:ascii="Arial" w:hAnsi="Arial" w:cs="Arial"/>
              </w:rPr>
              <w:t>water drainage</w:t>
            </w:r>
            <w:r w:rsidRPr="00336111">
              <w:rPr>
                <w:rFonts w:ascii="Arial" w:hAnsi="Arial" w:cs="Arial"/>
                <w:spacing w:val="-3"/>
              </w:rPr>
              <w:t xml:space="preserve"> </w:t>
            </w:r>
            <w:r w:rsidRPr="00336111">
              <w:rPr>
                <w:rFonts w:ascii="Arial" w:hAnsi="Arial" w:cs="Arial"/>
              </w:rPr>
              <w:t>traps</w:t>
            </w:r>
            <w:r w:rsidRPr="00336111">
              <w:rPr>
                <w:rFonts w:ascii="Arial" w:hAnsi="Arial" w:cs="Arial"/>
                <w:spacing w:val="-4"/>
              </w:rPr>
              <w:t xml:space="preserve"> </w:t>
            </w:r>
            <w:r w:rsidRPr="00336111">
              <w:rPr>
                <w:rFonts w:ascii="Arial" w:hAnsi="Arial" w:cs="Arial"/>
              </w:rPr>
              <w:t>or</w:t>
            </w:r>
            <w:r w:rsidR="0038563B">
              <w:rPr>
                <w:rFonts w:ascii="Arial" w:hAnsi="Arial" w:cs="Arial"/>
                <w:spacing w:val="-1"/>
              </w:rPr>
              <w:t xml:space="preserve"> </w:t>
            </w:r>
            <w:r w:rsidRPr="00336111">
              <w:rPr>
                <w:rFonts w:ascii="Arial" w:hAnsi="Arial" w:cs="Arial"/>
              </w:rPr>
              <w:t>filters</w:t>
            </w:r>
            <w:r w:rsidRPr="00336111">
              <w:rPr>
                <w:rFonts w:ascii="Arial" w:hAnsi="Arial" w:cs="Arial"/>
                <w:spacing w:val="-4"/>
              </w:rPr>
              <w:t xml:space="preserve"> </w:t>
            </w:r>
            <w:r w:rsidRPr="00336111">
              <w:rPr>
                <w:rFonts w:ascii="Arial" w:hAnsi="Arial" w:cs="Arial"/>
              </w:rPr>
              <w:t>within</w:t>
            </w:r>
            <w:r w:rsidRPr="00336111">
              <w:rPr>
                <w:rFonts w:ascii="Arial" w:hAnsi="Arial" w:cs="Arial"/>
                <w:spacing w:val="-2"/>
              </w:rPr>
              <w:t xml:space="preserve"> </w:t>
            </w:r>
            <w:r w:rsidRPr="00336111">
              <w:rPr>
                <w:rFonts w:ascii="Arial" w:hAnsi="Arial" w:cs="Arial"/>
              </w:rPr>
              <w:t>the</w:t>
            </w:r>
            <w:r w:rsidR="0038563B">
              <w:rPr>
                <w:rFonts w:ascii="Arial" w:hAnsi="Arial" w:cs="Arial"/>
              </w:rPr>
              <w:t xml:space="preserve"> </w:t>
            </w:r>
            <w:r w:rsidRPr="00336111">
              <w:rPr>
                <w:rFonts w:ascii="Arial" w:hAnsi="Arial" w:cs="Arial"/>
              </w:rPr>
              <w:t>pitot-static</w:t>
            </w:r>
            <w:r w:rsidRPr="00336111">
              <w:rPr>
                <w:rFonts w:ascii="Arial" w:hAnsi="Arial" w:cs="Arial"/>
                <w:spacing w:val="-4"/>
              </w:rPr>
              <w:t xml:space="preserve"> </w:t>
            </w:r>
            <w:r w:rsidRPr="00336111">
              <w:rPr>
                <w:rFonts w:ascii="Arial" w:hAnsi="Arial" w:cs="Arial"/>
              </w:rPr>
              <w:t>system,</w:t>
            </w:r>
            <w:r w:rsidRPr="00336111">
              <w:rPr>
                <w:rFonts w:ascii="Arial" w:hAnsi="Arial" w:cs="Arial"/>
                <w:spacing w:val="-4"/>
              </w:rPr>
              <w:t xml:space="preserve"> </w:t>
            </w:r>
            <w:r w:rsidRPr="00336111">
              <w:rPr>
                <w:rFonts w:ascii="Arial" w:hAnsi="Arial" w:cs="Arial"/>
              </w:rPr>
              <w:t>excluding</w:t>
            </w:r>
            <w:r w:rsidRPr="00336111">
              <w:rPr>
                <w:rFonts w:ascii="Arial" w:hAnsi="Arial" w:cs="Arial"/>
                <w:spacing w:val="-1"/>
              </w:rPr>
              <w:t xml:space="preserve"> </w:t>
            </w:r>
            <w:r w:rsidRPr="00336111">
              <w:rPr>
                <w:rFonts w:ascii="Arial" w:hAnsi="Arial" w:cs="Arial"/>
              </w:rPr>
              <w:t>IFR</w:t>
            </w:r>
            <w:r w:rsidRPr="00336111">
              <w:rPr>
                <w:rFonts w:ascii="Arial" w:hAnsi="Arial" w:cs="Arial"/>
                <w:spacing w:val="-4"/>
              </w:rPr>
              <w:t xml:space="preserve"> </w:t>
            </w:r>
            <w:r w:rsidRPr="00336111">
              <w:rPr>
                <w:rFonts w:ascii="Arial" w:hAnsi="Arial" w:cs="Arial"/>
              </w:rPr>
              <w:t>operations</w:t>
            </w:r>
          </w:p>
        </w:tc>
        <w:tc>
          <w:tcPr>
            <w:tcW w:w="1530" w:type="dxa"/>
          </w:tcPr>
          <w:p w14:paraId="3AD27CE6" w14:textId="77777777" w:rsidR="00C04B4C" w:rsidRPr="00336111" w:rsidRDefault="00C04B4C" w:rsidP="00BE4A83">
            <w:pPr>
              <w:pStyle w:val="TableParagraph"/>
              <w:ind w:left="86"/>
              <w:rPr>
                <w:rFonts w:ascii="Arial" w:hAnsi="Arial" w:cs="Arial"/>
              </w:rPr>
            </w:pPr>
            <w:r w:rsidRPr="00336111">
              <w:rPr>
                <w:rFonts w:ascii="Arial" w:hAnsi="Arial" w:cs="Arial"/>
              </w:rPr>
              <w:t>Yes**</w:t>
            </w:r>
          </w:p>
        </w:tc>
      </w:tr>
      <w:tr w:rsidR="00336111" w:rsidRPr="00336111" w14:paraId="5958064D" w14:textId="77777777" w:rsidTr="0080379D">
        <w:trPr>
          <w:trHeight w:val="444"/>
        </w:trPr>
        <w:tc>
          <w:tcPr>
            <w:tcW w:w="895" w:type="dxa"/>
            <w:vMerge/>
            <w:shd w:val="clear" w:color="auto" w:fill="F2F2F2" w:themeFill="background1" w:themeFillShade="F2"/>
          </w:tcPr>
          <w:p w14:paraId="19138986" w14:textId="77777777" w:rsidR="00C04B4C" w:rsidRPr="0038563B" w:rsidRDefault="00C04B4C" w:rsidP="00602DB9">
            <w:pPr>
              <w:jc w:val="center"/>
              <w:rPr>
                <w:rFonts w:ascii="Arial" w:hAnsi="Arial" w:cs="Arial"/>
                <w:b/>
              </w:rPr>
            </w:pPr>
          </w:p>
        </w:tc>
        <w:tc>
          <w:tcPr>
            <w:tcW w:w="2250" w:type="dxa"/>
            <w:vMerge/>
          </w:tcPr>
          <w:p w14:paraId="1D8F9074" w14:textId="77777777" w:rsidR="00C04B4C" w:rsidRPr="00336111" w:rsidRDefault="00C04B4C" w:rsidP="00BE4A83">
            <w:pPr>
              <w:rPr>
                <w:rFonts w:ascii="Arial" w:hAnsi="Arial" w:cs="Arial"/>
                <w:sz w:val="2"/>
                <w:szCs w:val="2"/>
              </w:rPr>
            </w:pPr>
          </w:p>
        </w:tc>
        <w:tc>
          <w:tcPr>
            <w:tcW w:w="4860" w:type="dxa"/>
          </w:tcPr>
          <w:p w14:paraId="27A58384" w14:textId="77777777" w:rsidR="00C04B4C" w:rsidRPr="00336111" w:rsidRDefault="00C04B4C" w:rsidP="0038563B">
            <w:pPr>
              <w:pStyle w:val="TableParagraph"/>
              <w:spacing w:line="240" w:lineRule="atLeast"/>
              <w:jc w:val="both"/>
              <w:rPr>
                <w:rFonts w:ascii="Arial" w:hAnsi="Arial" w:cs="Arial"/>
              </w:rPr>
            </w:pPr>
            <w:r w:rsidRPr="00336111">
              <w:rPr>
                <w:rFonts w:ascii="Arial" w:hAnsi="Arial" w:cs="Arial"/>
              </w:rPr>
              <w:t>Instruments — checking of markings for legibility and that those</w:t>
            </w:r>
            <w:r w:rsidRPr="00336111">
              <w:rPr>
                <w:rFonts w:ascii="Arial" w:hAnsi="Arial" w:cs="Arial"/>
                <w:spacing w:val="-43"/>
              </w:rPr>
              <w:t xml:space="preserve"> </w:t>
            </w:r>
            <w:r w:rsidRPr="00336111">
              <w:rPr>
                <w:rFonts w:ascii="Arial" w:hAnsi="Arial" w:cs="Arial"/>
              </w:rPr>
              <w:t>readings</w:t>
            </w:r>
            <w:r w:rsidRPr="00336111">
              <w:rPr>
                <w:rFonts w:ascii="Arial" w:hAnsi="Arial" w:cs="Arial"/>
                <w:spacing w:val="-2"/>
              </w:rPr>
              <w:t xml:space="preserve"> </w:t>
            </w:r>
            <w:r w:rsidRPr="00336111">
              <w:rPr>
                <w:rFonts w:ascii="Arial" w:hAnsi="Arial" w:cs="Arial"/>
              </w:rPr>
              <w:t>are</w:t>
            </w:r>
            <w:r w:rsidRPr="00336111">
              <w:rPr>
                <w:rFonts w:ascii="Arial" w:hAnsi="Arial" w:cs="Arial"/>
                <w:spacing w:val="-1"/>
              </w:rPr>
              <w:t xml:space="preserve"> </w:t>
            </w:r>
            <w:r w:rsidRPr="00336111">
              <w:rPr>
                <w:rFonts w:ascii="Arial" w:hAnsi="Arial" w:cs="Arial"/>
              </w:rPr>
              <w:t>consistent</w:t>
            </w:r>
            <w:r w:rsidRPr="00336111">
              <w:rPr>
                <w:rFonts w:ascii="Arial" w:hAnsi="Arial" w:cs="Arial"/>
                <w:spacing w:val="-1"/>
              </w:rPr>
              <w:t xml:space="preserve"> </w:t>
            </w:r>
            <w:r w:rsidRPr="00336111">
              <w:rPr>
                <w:rFonts w:ascii="Arial" w:hAnsi="Arial" w:cs="Arial"/>
              </w:rPr>
              <w:t>with ambient</w:t>
            </w:r>
            <w:r w:rsidRPr="00336111">
              <w:rPr>
                <w:rFonts w:ascii="Arial" w:hAnsi="Arial" w:cs="Arial"/>
                <w:spacing w:val="-1"/>
              </w:rPr>
              <w:t xml:space="preserve"> </w:t>
            </w:r>
            <w:r w:rsidRPr="00336111">
              <w:rPr>
                <w:rFonts w:ascii="Arial" w:hAnsi="Arial" w:cs="Arial"/>
              </w:rPr>
              <w:t>conditions</w:t>
            </w:r>
          </w:p>
        </w:tc>
        <w:tc>
          <w:tcPr>
            <w:tcW w:w="1530" w:type="dxa"/>
          </w:tcPr>
          <w:p w14:paraId="13B31C79" w14:textId="77777777" w:rsidR="00C04B4C" w:rsidRPr="00336111" w:rsidRDefault="00C04B4C" w:rsidP="00BE4A83">
            <w:pPr>
              <w:pStyle w:val="TableParagraph"/>
              <w:ind w:left="86"/>
              <w:rPr>
                <w:rFonts w:ascii="Arial" w:hAnsi="Arial" w:cs="Arial"/>
              </w:rPr>
            </w:pPr>
            <w:r w:rsidRPr="00336111">
              <w:rPr>
                <w:rFonts w:ascii="Arial" w:hAnsi="Arial" w:cs="Arial"/>
              </w:rPr>
              <w:t>Yes</w:t>
            </w:r>
          </w:p>
        </w:tc>
      </w:tr>
      <w:tr w:rsidR="00336111" w:rsidRPr="00336111" w14:paraId="3F4BC9AF" w14:textId="77777777" w:rsidTr="0080379D">
        <w:trPr>
          <w:trHeight w:val="446"/>
        </w:trPr>
        <w:tc>
          <w:tcPr>
            <w:tcW w:w="895" w:type="dxa"/>
            <w:vMerge w:val="restart"/>
            <w:shd w:val="clear" w:color="auto" w:fill="F2F2F2" w:themeFill="background1" w:themeFillShade="F2"/>
          </w:tcPr>
          <w:p w14:paraId="20F6A898" w14:textId="77777777" w:rsidR="00C04B4C" w:rsidRPr="00336111" w:rsidRDefault="00C04B4C" w:rsidP="00602DB9">
            <w:pPr>
              <w:jc w:val="center"/>
              <w:rPr>
                <w:rFonts w:ascii="Arial" w:hAnsi="Arial" w:cs="Arial"/>
                <w:b/>
              </w:rPr>
            </w:pPr>
            <w:r w:rsidRPr="00336111">
              <w:rPr>
                <w:rFonts w:ascii="Arial" w:hAnsi="Arial" w:cs="Arial"/>
                <w:b/>
              </w:rPr>
              <w:t>32</w:t>
            </w:r>
          </w:p>
        </w:tc>
        <w:tc>
          <w:tcPr>
            <w:tcW w:w="2250" w:type="dxa"/>
            <w:vMerge w:val="restart"/>
          </w:tcPr>
          <w:p w14:paraId="31AE82EC" w14:textId="77777777" w:rsidR="00C04B4C" w:rsidRPr="00336111" w:rsidRDefault="00C04B4C" w:rsidP="00BE4A83">
            <w:pPr>
              <w:pStyle w:val="TableParagraph"/>
              <w:rPr>
                <w:rFonts w:ascii="Arial" w:hAnsi="Arial" w:cs="Arial"/>
              </w:rPr>
            </w:pPr>
            <w:r w:rsidRPr="00336111">
              <w:rPr>
                <w:rFonts w:ascii="Arial" w:hAnsi="Arial" w:cs="Arial"/>
              </w:rPr>
              <w:t>Landing</w:t>
            </w:r>
            <w:r w:rsidRPr="00336111">
              <w:rPr>
                <w:rFonts w:ascii="Arial" w:hAnsi="Arial" w:cs="Arial"/>
                <w:spacing w:val="-4"/>
              </w:rPr>
              <w:t xml:space="preserve"> </w:t>
            </w:r>
            <w:r w:rsidRPr="00336111">
              <w:rPr>
                <w:rFonts w:ascii="Arial" w:hAnsi="Arial" w:cs="Arial"/>
              </w:rPr>
              <w:t>gear</w:t>
            </w:r>
          </w:p>
        </w:tc>
        <w:tc>
          <w:tcPr>
            <w:tcW w:w="4860" w:type="dxa"/>
          </w:tcPr>
          <w:p w14:paraId="0EE157F4" w14:textId="77777777" w:rsidR="00C04B4C" w:rsidRPr="00336111" w:rsidRDefault="00C04B4C" w:rsidP="0038563B">
            <w:pPr>
              <w:pStyle w:val="TableParagraph"/>
              <w:jc w:val="both"/>
              <w:rPr>
                <w:rFonts w:ascii="Arial" w:hAnsi="Arial" w:cs="Arial"/>
              </w:rPr>
            </w:pPr>
            <w:r w:rsidRPr="00336111">
              <w:rPr>
                <w:rFonts w:ascii="Arial" w:hAnsi="Arial" w:cs="Arial"/>
              </w:rPr>
              <w:t>Wheels</w:t>
            </w:r>
            <w:r w:rsidRPr="00336111">
              <w:rPr>
                <w:rFonts w:ascii="Arial" w:hAnsi="Arial" w:cs="Arial"/>
                <w:spacing w:val="-3"/>
              </w:rPr>
              <w:t xml:space="preserve"> </w:t>
            </w:r>
            <w:r w:rsidRPr="00336111">
              <w:rPr>
                <w:rFonts w:ascii="Arial" w:hAnsi="Arial" w:cs="Arial"/>
              </w:rPr>
              <w:t>—</w:t>
            </w:r>
            <w:r w:rsidRPr="00336111">
              <w:rPr>
                <w:rFonts w:ascii="Arial" w:hAnsi="Arial" w:cs="Arial"/>
                <w:spacing w:val="-2"/>
              </w:rPr>
              <w:t xml:space="preserve"> </w:t>
            </w:r>
            <w:r w:rsidRPr="00336111">
              <w:rPr>
                <w:rFonts w:ascii="Arial" w:hAnsi="Arial" w:cs="Arial"/>
              </w:rPr>
              <w:t>removal,</w:t>
            </w:r>
            <w:r w:rsidRPr="00336111">
              <w:rPr>
                <w:rFonts w:ascii="Arial" w:hAnsi="Arial" w:cs="Arial"/>
                <w:spacing w:val="-3"/>
              </w:rPr>
              <w:t xml:space="preserve"> </w:t>
            </w:r>
            <w:r w:rsidRPr="00336111">
              <w:rPr>
                <w:rFonts w:ascii="Arial" w:hAnsi="Arial" w:cs="Arial"/>
              </w:rPr>
              <w:t>replacement</w:t>
            </w:r>
            <w:r w:rsidRPr="00336111">
              <w:rPr>
                <w:rFonts w:ascii="Arial" w:hAnsi="Arial" w:cs="Arial"/>
                <w:spacing w:val="-2"/>
              </w:rPr>
              <w:t xml:space="preserve"> </w:t>
            </w:r>
            <w:r w:rsidRPr="00336111">
              <w:rPr>
                <w:rFonts w:ascii="Arial" w:hAnsi="Arial" w:cs="Arial"/>
              </w:rPr>
              <w:t>and</w:t>
            </w:r>
            <w:r w:rsidRPr="00336111">
              <w:rPr>
                <w:rFonts w:ascii="Arial" w:hAnsi="Arial" w:cs="Arial"/>
                <w:spacing w:val="-3"/>
              </w:rPr>
              <w:t xml:space="preserve"> </w:t>
            </w:r>
            <w:r w:rsidRPr="00336111">
              <w:rPr>
                <w:rFonts w:ascii="Arial" w:hAnsi="Arial" w:cs="Arial"/>
              </w:rPr>
              <w:t>servicing,</w:t>
            </w:r>
            <w:r w:rsidRPr="00336111">
              <w:rPr>
                <w:rFonts w:ascii="Arial" w:hAnsi="Arial" w:cs="Arial"/>
                <w:spacing w:val="-2"/>
              </w:rPr>
              <w:t xml:space="preserve"> </w:t>
            </w:r>
            <w:r w:rsidR="0038563B">
              <w:rPr>
                <w:rFonts w:ascii="Arial" w:hAnsi="Arial" w:cs="Arial"/>
              </w:rPr>
              <w:t xml:space="preserve">including </w:t>
            </w:r>
            <w:r w:rsidRPr="00336111">
              <w:rPr>
                <w:rFonts w:ascii="Arial" w:hAnsi="Arial" w:cs="Arial"/>
              </w:rPr>
              <w:t>replacement</w:t>
            </w:r>
            <w:r w:rsidRPr="00336111">
              <w:rPr>
                <w:rFonts w:ascii="Arial" w:hAnsi="Arial" w:cs="Arial"/>
                <w:spacing w:val="-2"/>
              </w:rPr>
              <w:t xml:space="preserve"> </w:t>
            </w:r>
            <w:r w:rsidRPr="00336111">
              <w:rPr>
                <w:rFonts w:ascii="Arial" w:hAnsi="Arial" w:cs="Arial"/>
              </w:rPr>
              <w:t>of</w:t>
            </w:r>
            <w:r w:rsidRPr="00336111">
              <w:rPr>
                <w:rFonts w:ascii="Arial" w:hAnsi="Arial" w:cs="Arial"/>
                <w:spacing w:val="-4"/>
              </w:rPr>
              <w:t xml:space="preserve"> </w:t>
            </w:r>
            <w:r w:rsidRPr="00336111">
              <w:rPr>
                <w:rFonts w:ascii="Arial" w:hAnsi="Arial" w:cs="Arial"/>
              </w:rPr>
              <w:t>wheel</w:t>
            </w:r>
            <w:r w:rsidRPr="00336111">
              <w:rPr>
                <w:rFonts w:ascii="Arial" w:hAnsi="Arial" w:cs="Arial"/>
                <w:spacing w:val="-2"/>
              </w:rPr>
              <w:t xml:space="preserve"> </w:t>
            </w:r>
            <w:r w:rsidRPr="00336111">
              <w:rPr>
                <w:rFonts w:ascii="Arial" w:hAnsi="Arial" w:cs="Arial"/>
              </w:rPr>
              <w:t>bearings</w:t>
            </w:r>
            <w:r w:rsidRPr="00336111">
              <w:rPr>
                <w:rFonts w:ascii="Arial" w:hAnsi="Arial" w:cs="Arial"/>
                <w:spacing w:val="-3"/>
              </w:rPr>
              <w:t xml:space="preserve"> </w:t>
            </w:r>
            <w:r w:rsidRPr="00336111">
              <w:rPr>
                <w:rFonts w:ascii="Arial" w:hAnsi="Arial" w:cs="Arial"/>
              </w:rPr>
              <w:t>and</w:t>
            </w:r>
            <w:r w:rsidRPr="00336111">
              <w:rPr>
                <w:rFonts w:ascii="Arial" w:hAnsi="Arial" w:cs="Arial"/>
                <w:spacing w:val="-2"/>
              </w:rPr>
              <w:t xml:space="preserve"> </w:t>
            </w:r>
            <w:r w:rsidRPr="00336111">
              <w:rPr>
                <w:rFonts w:ascii="Arial" w:hAnsi="Arial" w:cs="Arial"/>
              </w:rPr>
              <w:t>lubrication</w:t>
            </w:r>
          </w:p>
        </w:tc>
        <w:tc>
          <w:tcPr>
            <w:tcW w:w="1530" w:type="dxa"/>
          </w:tcPr>
          <w:p w14:paraId="75F7D24D" w14:textId="77777777" w:rsidR="00C04B4C" w:rsidRPr="00336111" w:rsidRDefault="00C04B4C" w:rsidP="00BE4A83">
            <w:pPr>
              <w:pStyle w:val="TableParagraph"/>
              <w:ind w:left="86"/>
              <w:rPr>
                <w:rFonts w:ascii="Arial" w:hAnsi="Arial" w:cs="Arial"/>
              </w:rPr>
            </w:pPr>
            <w:r w:rsidRPr="00336111">
              <w:rPr>
                <w:rFonts w:ascii="Arial" w:hAnsi="Arial" w:cs="Arial"/>
              </w:rPr>
              <w:t>Yes</w:t>
            </w:r>
          </w:p>
        </w:tc>
      </w:tr>
      <w:tr w:rsidR="00336111" w:rsidRPr="00336111" w14:paraId="38AAAF22" w14:textId="77777777" w:rsidTr="0080379D">
        <w:trPr>
          <w:trHeight w:val="200"/>
        </w:trPr>
        <w:tc>
          <w:tcPr>
            <w:tcW w:w="895" w:type="dxa"/>
            <w:vMerge/>
            <w:shd w:val="clear" w:color="auto" w:fill="F2F2F2" w:themeFill="background1" w:themeFillShade="F2"/>
          </w:tcPr>
          <w:p w14:paraId="59852633" w14:textId="77777777" w:rsidR="00C04B4C" w:rsidRPr="0038563B" w:rsidRDefault="00C04B4C" w:rsidP="00602DB9">
            <w:pPr>
              <w:jc w:val="center"/>
              <w:rPr>
                <w:rFonts w:ascii="Arial" w:hAnsi="Arial" w:cs="Arial"/>
                <w:b/>
              </w:rPr>
            </w:pPr>
          </w:p>
        </w:tc>
        <w:tc>
          <w:tcPr>
            <w:tcW w:w="2250" w:type="dxa"/>
            <w:vMerge/>
          </w:tcPr>
          <w:p w14:paraId="64175462" w14:textId="77777777" w:rsidR="00C04B4C" w:rsidRPr="00336111" w:rsidRDefault="00C04B4C" w:rsidP="00BE4A83">
            <w:pPr>
              <w:rPr>
                <w:rFonts w:ascii="Arial" w:hAnsi="Arial" w:cs="Arial"/>
                <w:sz w:val="2"/>
                <w:szCs w:val="2"/>
              </w:rPr>
            </w:pPr>
          </w:p>
        </w:tc>
        <w:tc>
          <w:tcPr>
            <w:tcW w:w="4860" w:type="dxa"/>
          </w:tcPr>
          <w:p w14:paraId="6E0D15FB" w14:textId="77777777" w:rsidR="00C04B4C" w:rsidRPr="00336111" w:rsidRDefault="00C04B4C" w:rsidP="0038563B">
            <w:pPr>
              <w:pStyle w:val="TableParagraph"/>
              <w:spacing w:line="223" w:lineRule="exact"/>
              <w:jc w:val="both"/>
              <w:rPr>
                <w:rFonts w:ascii="Arial" w:hAnsi="Arial" w:cs="Arial"/>
              </w:rPr>
            </w:pPr>
            <w:r w:rsidRPr="00336111">
              <w:rPr>
                <w:rFonts w:ascii="Arial" w:hAnsi="Arial" w:cs="Arial"/>
              </w:rPr>
              <w:t>Replacement</w:t>
            </w:r>
            <w:r w:rsidRPr="00336111">
              <w:rPr>
                <w:rFonts w:ascii="Arial" w:hAnsi="Arial" w:cs="Arial"/>
                <w:spacing w:val="-4"/>
              </w:rPr>
              <w:t xml:space="preserve"> </w:t>
            </w:r>
            <w:r w:rsidRPr="00336111">
              <w:rPr>
                <w:rFonts w:ascii="Arial" w:hAnsi="Arial" w:cs="Arial"/>
              </w:rPr>
              <w:t>of</w:t>
            </w:r>
            <w:r w:rsidRPr="00336111">
              <w:rPr>
                <w:rFonts w:ascii="Arial" w:hAnsi="Arial" w:cs="Arial"/>
                <w:spacing w:val="-2"/>
              </w:rPr>
              <w:t xml:space="preserve"> </w:t>
            </w:r>
            <w:r w:rsidRPr="00336111">
              <w:rPr>
                <w:rFonts w:ascii="Arial" w:hAnsi="Arial" w:cs="Arial"/>
              </w:rPr>
              <w:t>skid</w:t>
            </w:r>
            <w:r w:rsidRPr="00336111">
              <w:rPr>
                <w:rFonts w:ascii="Arial" w:hAnsi="Arial" w:cs="Arial"/>
                <w:spacing w:val="-2"/>
              </w:rPr>
              <w:t xml:space="preserve"> </w:t>
            </w:r>
            <w:r w:rsidRPr="00336111">
              <w:rPr>
                <w:rFonts w:ascii="Arial" w:hAnsi="Arial" w:cs="Arial"/>
              </w:rPr>
              <w:t>wear</w:t>
            </w:r>
            <w:r w:rsidRPr="00336111">
              <w:rPr>
                <w:rFonts w:ascii="Arial" w:hAnsi="Arial" w:cs="Arial"/>
                <w:spacing w:val="-1"/>
              </w:rPr>
              <w:t xml:space="preserve"> </w:t>
            </w:r>
            <w:r w:rsidRPr="00336111">
              <w:rPr>
                <w:rFonts w:ascii="Arial" w:hAnsi="Arial" w:cs="Arial"/>
              </w:rPr>
              <w:t>shoes</w:t>
            </w:r>
          </w:p>
        </w:tc>
        <w:tc>
          <w:tcPr>
            <w:tcW w:w="1530" w:type="dxa"/>
          </w:tcPr>
          <w:p w14:paraId="07112AFC" w14:textId="77777777" w:rsidR="00C04B4C" w:rsidRPr="00336111" w:rsidRDefault="00C04B4C" w:rsidP="00BE4A83">
            <w:pPr>
              <w:pStyle w:val="TableParagraph"/>
              <w:spacing w:line="223" w:lineRule="exact"/>
              <w:ind w:left="86"/>
              <w:rPr>
                <w:rFonts w:ascii="Arial" w:hAnsi="Arial" w:cs="Arial"/>
              </w:rPr>
            </w:pPr>
            <w:r w:rsidRPr="00336111">
              <w:rPr>
                <w:rFonts w:ascii="Arial" w:hAnsi="Arial" w:cs="Arial"/>
              </w:rPr>
              <w:t>Yes</w:t>
            </w:r>
          </w:p>
        </w:tc>
      </w:tr>
      <w:tr w:rsidR="00336111" w:rsidRPr="00336111" w14:paraId="26A327E9" w14:textId="77777777" w:rsidTr="0080379D">
        <w:trPr>
          <w:trHeight w:val="202"/>
        </w:trPr>
        <w:tc>
          <w:tcPr>
            <w:tcW w:w="895" w:type="dxa"/>
            <w:vMerge/>
            <w:shd w:val="clear" w:color="auto" w:fill="F2F2F2" w:themeFill="background1" w:themeFillShade="F2"/>
          </w:tcPr>
          <w:p w14:paraId="070D7DED" w14:textId="77777777" w:rsidR="00C04B4C" w:rsidRPr="0038563B" w:rsidRDefault="00C04B4C" w:rsidP="00602DB9">
            <w:pPr>
              <w:jc w:val="center"/>
              <w:rPr>
                <w:rFonts w:ascii="Arial" w:hAnsi="Arial" w:cs="Arial"/>
                <w:b/>
              </w:rPr>
            </w:pPr>
          </w:p>
        </w:tc>
        <w:tc>
          <w:tcPr>
            <w:tcW w:w="2250" w:type="dxa"/>
            <w:vMerge/>
          </w:tcPr>
          <w:p w14:paraId="2BA4A705" w14:textId="77777777" w:rsidR="00C04B4C" w:rsidRPr="00336111" w:rsidRDefault="00C04B4C" w:rsidP="00BE4A83">
            <w:pPr>
              <w:rPr>
                <w:rFonts w:ascii="Arial" w:hAnsi="Arial" w:cs="Arial"/>
                <w:sz w:val="2"/>
                <w:szCs w:val="2"/>
              </w:rPr>
            </w:pPr>
          </w:p>
        </w:tc>
        <w:tc>
          <w:tcPr>
            <w:tcW w:w="4860" w:type="dxa"/>
          </w:tcPr>
          <w:p w14:paraId="66A82DF3" w14:textId="77777777" w:rsidR="00C04B4C" w:rsidRPr="00336111" w:rsidRDefault="00C04B4C" w:rsidP="0038563B">
            <w:pPr>
              <w:pStyle w:val="TableParagraph"/>
              <w:spacing w:line="225" w:lineRule="exact"/>
              <w:jc w:val="both"/>
              <w:rPr>
                <w:rFonts w:ascii="Arial" w:hAnsi="Arial" w:cs="Arial"/>
              </w:rPr>
            </w:pPr>
            <w:r w:rsidRPr="00336111">
              <w:rPr>
                <w:rFonts w:ascii="Arial" w:hAnsi="Arial" w:cs="Arial"/>
              </w:rPr>
              <w:t>Fitting</w:t>
            </w:r>
            <w:r w:rsidRPr="00336111">
              <w:rPr>
                <w:rFonts w:ascii="Arial" w:hAnsi="Arial" w:cs="Arial"/>
                <w:spacing w:val="-4"/>
              </w:rPr>
              <w:t xml:space="preserve"> </w:t>
            </w:r>
            <w:r w:rsidRPr="00336111">
              <w:rPr>
                <w:rFonts w:ascii="Arial" w:hAnsi="Arial" w:cs="Arial"/>
              </w:rPr>
              <w:t>and</w:t>
            </w:r>
            <w:r w:rsidRPr="00336111">
              <w:rPr>
                <w:rFonts w:ascii="Arial" w:hAnsi="Arial" w:cs="Arial"/>
                <w:spacing w:val="-2"/>
              </w:rPr>
              <w:t xml:space="preserve"> </w:t>
            </w:r>
            <w:r w:rsidRPr="00336111">
              <w:rPr>
                <w:rFonts w:ascii="Arial" w:hAnsi="Arial" w:cs="Arial"/>
              </w:rPr>
              <w:t>removal</w:t>
            </w:r>
            <w:r w:rsidRPr="00336111">
              <w:rPr>
                <w:rFonts w:ascii="Arial" w:hAnsi="Arial" w:cs="Arial"/>
                <w:spacing w:val="-2"/>
              </w:rPr>
              <w:t xml:space="preserve"> </w:t>
            </w:r>
            <w:r w:rsidRPr="00336111">
              <w:rPr>
                <w:rFonts w:ascii="Arial" w:hAnsi="Arial" w:cs="Arial"/>
              </w:rPr>
              <w:t>of</w:t>
            </w:r>
            <w:r w:rsidRPr="00336111">
              <w:rPr>
                <w:rFonts w:ascii="Arial" w:hAnsi="Arial" w:cs="Arial"/>
                <w:spacing w:val="-4"/>
              </w:rPr>
              <w:t xml:space="preserve"> </w:t>
            </w:r>
            <w:r w:rsidRPr="00336111">
              <w:rPr>
                <w:rFonts w:ascii="Arial" w:hAnsi="Arial" w:cs="Arial"/>
              </w:rPr>
              <w:t>snow</w:t>
            </w:r>
            <w:r w:rsidRPr="00336111">
              <w:rPr>
                <w:rFonts w:ascii="Arial" w:hAnsi="Arial" w:cs="Arial"/>
                <w:spacing w:val="-3"/>
              </w:rPr>
              <w:t xml:space="preserve"> </w:t>
            </w:r>
            <w:r w:rsidRPr="00336111">
              <w:rPr>
                <w:rFonts w:ascii="Arial" w:hAnsi="Arial" w:cs="Arial"/>
              </w:rPr>
              <w:t>landing</w:t>
            </w:r>
            <w:r w:rsidRPr="00336111">
              <w:rPr>
                <w:rFonts w:ascii="Arial" w:hAnsi="Arial" w:cs="Arial"/>
                <w:spacing w:val="-4"/>
              </w:rPr>
              <w:t xml:space="preserve"> </w:t>
            </w:r>
            <w:r w:rsidRPr="00336111">
              <w:rPr>
                <w:rFonts w:ascii="Arial" w:hAnsi="Arial" w:cs="Arial"/>
              </w:rPr>
              <w:t>pads</w:t>
            </w:r>
          </w:p>
        </w:tc>
        <w:tc>
          <w:tcPr>
            <w:tcW w:w="1530" w:type="dxa"/>
          </w:tcPr>
          <w:p w14:paraId="5CF7B9E3" w14:textId="77777777" w:rsidR="00C04B4C" w:rsidRPr="00336111" w:rsidRDefault="00C04B4C" w:rsidP="00BE4A83">
            <w:pPr>
              <w:pStyle w:val="TableParagraph"/>
              <w:spacing w:line="225" w:lineRule="exact"/>
              <w:ind w:left="86"/>
              <w:rPr>
                <w:rFonts w:ascii="Arial" w:hAnsi="Arial" w:cs="Arial"/>
              </w:rPr>
            </w:pPr>
            <w:r w:rsidRPr="00336111">
              <w:rPr>
                <w:rFonts w:ascii="Arial" w:hAnsi="Arial" w:cs="Arial"/>
              </w:rPr>
              <w:t>Yes</w:t>
            </w:r>
          </w:p>
        </w:tc>
      </w:tr>
      <w:tr w:rsidR="00336111" w:rsidRPr="00336111" w14:paraId="1762DB5C" w14:textId="77777777" w:rsidTr="0080379D">
        <w:trPr>
          <w:trHeight w:val="199"/>
        </w:trPr>
        <w:tc>
          <w:tcPr>
            <w:tcW w:w="895" w:type="dxa"/>
            <w:vMerge/>
            <w:shd w:val="clear" w:color="auto" w:fill="F2F2F2" w:themeFill="background1" w:themeFillShade="F2"/>
          </w:tcPr>
          <w:p w14:paraId="5C3EE571" w14:textId="77777777" w:rsidR="00C04B4C" w:rsidRPr="0038563B" w:rsidRDefault="00C04B4C" w:rsidP="00602DB9">
            <w:pPr>
              <w:jc w:val="center"/>
              <w:rPr>
                <w:rFonts w:ascii="Arial" w:hAnsi="Arial" w:cs="Arial"/>
                <w:b/>
              </w:rPr>
            </w:pPr>
          </w:p>
        </w:tc>
        <w:tc>
          <w:tcPr>
            <w:tcW w:w="2250" w:type="dxa"/>
            <w:vMerge/>
          </w:tcPr>
          <w:p w14:paraId="73F50B0C" w14:textId="77777777" w:rsidR="00C04B4C" w:rsidRPr="00336111" w:rsidRDefault="00C04B4C" w:rsidP="00BE4A83">
            <w:pPr>
              <w:rPr>
                <w:rFonts w:ascii="Arial" w:hAnsi="Arial" w:cs="Arial"/>
                <w:sz w:val="2"/>
                <w:szCs w:val="2"/>
              </w:rPr>
            </w:pPr>
          </w:p>
        </w:tc>
        <w:tc>
          <w:tcPr>
            <w:tcW w:w="4860" w:type="dxa"/>
          </w:tcPr>
          <w:p w14:paraId="1AB5B3E3" w14:textId="77777777" w:rsidR="00C04B4C" w:rsidRPr="00336111" w:rsidRDefault="00C04B4C" w:rsidP="0038563B">
            <w:pPr>
              <w:pStyle w:val="TableParagraph"/>
              <w:spacing w:line="223" w:lineRule="exact"/>
              <w:jc w:val="both"/>
              <w:rPr>
                <w:rFonts w:ascii="Arial" w:hAnsi="Arial" w:cs="Arial"/>
              </w:rPr>
            </w:pPr>
            <w:r w:rsidRPr="00336111">
              <w:rPr>
                <w:rFonts w:ascii="Arial" w:hAnsi="Arial" w:cs="Arial"/>
              </w:rPr>
              <w:t>Servicing</w:t>
            </w:r>
            <w:r w:rsidRPr="00336111">
              <w:rPr>
                <w:rFonts w:ascii="Arial" w:hAnsi="Arial" w:cs="Arial"/>
                <w:spacing w:val="-3"/>
              </w:rPr>
              <w:t xml:space="preserve"> </w:t>
            </w:r>
            <w:r w:rsidRPr="00336111">
              <w:rPr>
                <w:rFonts w:ascii="Arial" w:hAnsi="Arial" w:cs="Arial"/>
              </w:rPr>
              <w:t>—</w:t>
            </w:r>
            <w:r w:rsidRPr="00336111">
              <w:rPr>
                <w:rFonts w:ascii="Arial" w:hAnsi="Arial" w:cs="Arial"/>
                <w:spacing w:val="-3"/>
              </w:rPr>
              <w:t xml:space="preserve"> </w:t>
            </w:r>
            <w:r w:rsidRPr="00336111">
              <w:rPr>
                <w:rFonts w:ascii="Arial" w:hAnsi="Arial" w:cs="Arial"/>
              </w:rPr>
              <w:t>replenishment</w:t>
            </w:r>
            <w:r w:rsidRPr="00336111">
              <w:rPr>
                <w:rFonts w:ascii="Arial" w:hAnsi="Arial" w:cs="Arial"/>
                <w:spacing w:val="-3"/>
              </w:rPr>
              <w:t xml:space="preserve"> </w:t>
            </w:r>
            <w:r w:rsidRPr="00336111">
              <w:rPr>
                <w:rFonts w:ascii="Arial" w:hAnsi="Arial" w:cs="Arial"/>
              </w:rPr>
              <w:t>of</w:t>
            </w:r>
            <w:r w:rsidRPr="00336111">
              <w:rPr>
                <w:rFonts w:ascii="Arial" w:hAnsi="Arial" w:cs="Arial"/>
                <w:spacing w:val="-2"/>
              </w:rPr>
              <w:t xml:space="preserve"> </w:t>
            </w:r>
            <w:r w:rsidRPr="00336111">
              <w:rPr>
                <w:rFonts w:ascii="Arial" w:hAnsi="Arial" w:cs="Arial"/>
              </w:rPr>
              <w:t>hydraulic</w:t>
            </w:r>
            <w:r w:rsidRPr="00336111">
              <w:rPr>
                <w:rFonts w:ascii="Arial" w:hAnsi="Arial" w:cs="Arial"/>
                <w:spacing w:val="-4"/>
              </w:rPr>
              <w:t xml:space="preserve"> </w:t>
            </w:r>
            <w:r w:rsidRPr="00336111">
              <w:rPr>
                <w:rFonts w:ascii="Arial" w:hAnsi="Arial" w:cs="Arial"/>
              </w:rPr>
              <w:t>fluid</w:t>
            </w:r>
          </w:p>
        </w:tc>
        <w:tc>
          <w:tcPr>
            <w:tcW w:w="1530" w:type="dxa"/>
          </w:tcPr>
          <w:p w14:paraId="47C2CDED" w14:textId="77777777" w:rsidR="00C04B4C" w:rsidRPr="00336111" w:rsidRDefault="00C04B4C" w:rsidP="00BE4A83">
            <w:pPr>
              <w:pStyle w:val="TableParagraph"/>
              <w:spacing w:line="223" w:lineRule="exact"/>
              <w:ind w:left="86"/>
              <w:rPr>
                <w:rFonts w:ascii="Arial" w:hAnsi="Arial" w:cs="Arial"/>
              </w:rPr>
            </w:pPr>
            <w:r w:rsidRPr="00336111">
              <w:rPr>
                <w:rFonts w:ascii="Arial" w:hAnsi="Arial" w:cs="Arial"/>
              </w:rPr>
              <w:t>Yes</w:t>
            </w:r>
          </w:p>
        </w:tc>
      </w:tr>
      <w:tr w:rsidR="00336111" w:rsidRPr="00336111" w14:paraId="50669CAC" w14:textId="77777777" w:rsidTr="0080379D">
        <w:trPr>
          <w:trHeight w:val="200"/>
        </w:trPr>
        <w:tc>
          <w:tcPr>
            <w:tcW w:w="895" w:type="dxa"/>
            <w:vMerge/>
            <w:shd w:val="clear" w:color="auto" w:fill="F2F2F2" w:themeFill="background1" w:themeFillShade="F2"/>
          </w:tcPr>
          <w:p w14:paraId="46861F3B" w14:textId="77777777" w:rsidR="00C04B4C" w:rsidRPr="0038563B" w:rsidRDefault="00C04B4C" w:rsidP="00602DB9">
            <w:pPr>
              <w:jc w:val="center"/>
              <w:rPr>
                <w:rFonts w:ascii="Arial" w:hAnsi="Arial" w:cs="Arial"/>
                <w:b/>
              </w:rPr>
            </w:pPr>
          </w:p>
        </w:tc>
        <w:tc>
          <w:tcPr>
            <w:tcW w:w="2250" w:type="dxa"/>
            <w:vMerge/>
          </w:tcPr>
          <w:p w14:paraId="2268E6DD" w14:textId="77777777" w:rsidR="00C04B4C" w:rsidRPr="00336111" w:rsidRDefault="00C04B4C" w:rsidP="00BE4A83">
            <w:pPr>
              <w:rPr>
                <w:rFonts w:ascii="Arial" w:hAnsi="Arial" w:cs="Arial"/>
                <w:sz w:val="2"/>
                <w:szCs w:val="2"/>
              </w:rPr>
            </w:pPr>
          </w:p>
        </w:tc>
        <w:tc>
          <w:tcPr>
            <w:tcW w:w="4860" w:type="dxa"/>
          </w:tcPr>
          <w:p w14:paraId="2D6D6A41" w14:textId="77777777" w:rsidR="00C04B4C" w:rsidRPr="00336111" w:rsidRDefault="00C04B4C" w:rsidP="0038563B">
            <w:pPr>
              <w:pStyle w:val="TableParagraph"/>
              <w:spacing w:line="222" w:lineRule="exact"/>
              <w:jc w:val="both"/>
              <w:rPr>
                <w:rFonts w:ascii="Arial" w:hAnsi="Arial" w:cs="Arial"/>
              </w:rPr>
            </w:pPr>
            <w:r w:rsidRPr="00336111">
              <w:rPr>
                <w:rFonts w:ascii="Arial" w:hAnsi="Arial" w:cs="Arial"/>
              </w:rPr>
              <w:t>Brake</w:t>
            </w:r>
            <w:r w:rsidRPr="00336111">
              <w:rPr>
                <w:rFonts w:ascii="Arial" w:hAnsi="Arial" w:cs="Arial"/>
                <w:spacing w:val="-2"/>
              </w:rPr>
              <w:t xml:space="preserve"> </w:t>
            </w:r>
            <w:r w:rsidRPr="00336111">
              <w:rPr>
                <w:rFonts w:ascii="Arial" w:hAnsi="Arial" w:cs="Arial"/>
              </w:rPr>
              <w:t>—</w:t>
            </w:r>
            <w:r w:rsidRPr="00336111">
              <w:rPr>
                <w:rFonts w:ascii="Arial" w:hAnsi="Arial" w:cs="Arial"/>
                <w:spacing w:val="-1"/>
              </w:rPr>
              <w:t xml:space="preserve"> </w:t>
            </w:r>
            <w:r w:rsidRPr="00336111">
              <w:rPr>
                <w:rFonts w:ascii="Arial" w:hAnsi="Arial" w:cs="Arial"/>
              </w:rPr>
              <w:t>replacement</w:t>
            </w:r>
            <w:r w:rsidRPr="00336111">
              <w:rPr>
                <w:rFonts w:ascii="Arial" w:hAnsi="Arial" w:cs="Arial"/>
                <w:spacing w:val="-1"/>
              </w:rPr>
              <w:t xml:space="preserve"> </w:t>
            </w:r>
            <w:r w:rsidRPr="00336111">
              <w:rPr>
                <w:rFonts w:ascii="Arial" w:hAnsi="Arial" w:cs="Arial"/>
              </w:rPr>
              <w:t>of</w:t>
            </w:r>
            <w:r w:rsidRPr="00336111">
              <w:rPr>
                <w:rFonts w:ascii="Arial" w:hAnsi="Arial" w:cs="Arial"/>
                <w:spacing w:val="-3"/>
              </w:rPr>
              <w:t xml:space="preserve"> </w:t>
            </w:r>
            <w:r w:rsidRPr="00336111">
              <w:rPr>
                <w:rFonts w:ascii="Arial" w:hAnsi="Arial" w:cs="Arial"/>
              </w:rPr>
              <w:t>worn</w:t>
            </w:r>
            <w:r w:rsidRPr="00336111">
              <w:rPr>
                <w:rFonts w:ascii="Arial" w:hAnsi="Arial" w:cs="Arial"/>
                <w:spacing w:val="1"/>
              </w:rPr>
              <w:t xml:space="preserve"> </w:t>
            </w:r>
            <w:r w:rsidRPr="00336111">
              <w:rPr>
                <w:rFonts w:ascii="Arial" w:hAnsi="Arial" w:cs="Arial"/>
              </w:rPr>
              <w:t>brake</w:t>
            </w:r>
            <w:r w:rsidRPr="00336111">
              <w:rPr>
                <w:rFonts w:ascii="Arial" w:hAnsi="Arial" w:cs="Arial"/>
                <w:spacing w:val="-2"/>
              </w:rPr>
              <w:t xml:space="preserve"> </w:t>
            </w:r>
            <w:r w:rsidRPr="00336111">
              <w:rPr>
                <w:rFonts w:ascii="Arial" w:hAnsi="Arial" w:cs="Arial"/>
              </w:rPr>
              <w:t>pads</w:t>
            </w:r>
          </w:p>
        </w:tc>
        <w:tc>
          <w:tcPr>
            <w:tcW w:w="1530" w:type="dxa"/>
          </w:tcPr>
          <w:p w14:paraId="5991FB68" w14:textId="77777777" w:rsidR="00C04B4C" w:rsidRPr="00336111" w:rsidRDefault="00C04B4C" w:rsidP="00BE4A83">
            <w:pPr>
              <w:pStyle w:val="TableParagraph"/>
              <w:spacing w:line="222" w:lineRule="exact"/>
              <w:ind w:left="86"/>
              <w:rPr>
                <w:rFonts w:ascii="Arial" w:hAnsi="Arial" w:cs="Arial"/>
              </w:rPr>
            </w:pPr>
            <w:r w:rsidRPr="00336111">
              <w:rPr>
                <w:rFonts w:ascii="Arial" w:hAnsi="Arial" w:cs="Arial"/>
              </w:rPr>
              <w:t>Yes</w:t>
            </w:r>
          </w:p>
        </w:tc>
      </w:tr>
      <w:tr w:rsidR="00336111" w:rsidRPr="00336111" w14:paraId="7D8E8673" w14:textId="77777777" w:rsidTr="0080379D">
        <w:trPr>
          <w:trHeight w:val="447"/>
        </w:trPr>
        <w:tc>
          <w:tcPr>
            <w:tcW w:w="895" w:type="dxa"/>
            <w:shd w:val="clear" w:color="auto" w:fill="F2F2F2" w:themeFill="background1" w:themeFillShade="F2"/>
          </w:tcPr>
          <w:p w14:paraId="0B954ECD" w14:textId="77777777" w:rsidR="00C04B4C" w:rsidRPr="00336111" w:rsidRDefault="00C04B4C" w:rsidP="00602DB9">
            <w:pPr>
              <w:jc w:val="center"/>
              <w:rPr>
                <w:rFonts w:ascii="Arial" w:hAnsi="Arial" w:cs="Arial"/>
                <w:b/>
              </w:rPr>
            </w:pPr>
            <w:r w:rsidRPr="00336111">
              <w:rPr>
                <w:rFonts w:ascii="Arial" w:hAnsi="Arial" w:cs="Arial"/>
                <w:b/>
              </w:rPr>
              <w:t>33</w:t>
            </w:r>
          </w:p>
        </w:tc>
        <w:tc>
          <w:tcPr>
            <w:tcW w:w="2250" w:type="dxa"/>
          </w:tcPr>
          <w:p w14:paraId="79FCB98E" w14:textId="77777777" w:rsidR="00C04B4C" w:rsidRPr="00336111" w:rsidRDefault="00C04B4C" w:rsidP="00BE4A83">
            <w:pPr>
              <w:pStyle w:val="TableParagraph"/>
              <w:rPr>
                <w:rFonts w:ascii="Arial" w:hAnsi="Arial" w:cs="Arial"/>
              </w:rPr>
            </w:pPr>
            <w:r w:rsidRPr="00336111">
              <w:rPr>
                <w:rFonts w:ascii="Arial" w:hAnsi="Arial" w:cs="Arial"/>
              </w:rPr>
              <w:t>Lights</w:t>
            </w:r>
          </w:p>
        </w:tc>
        <w:tc>
          <w:tcPr>
            <w:tcW w:w="4860" w:type="dxa"/>
          </w:tcPr>
          <w:p w14:paraId="6F67676E" w14:textId="77777777" w:rsidR="00C04B4C" w:rsidRPr="00336111" w:rsidRDefault="00C04B4C" w:rsidP="0038563B">
            <w:pPr>
              <w:pStyle w:val="TableParagraph"/>
              <w:spacing w:line="240" w:lineRule="atLeast"/>
              <w:jc w:val="both"/>
              <w:rPr>
                <w:rFonts w:ascii="Arial" w:hAnsi="Arial" w:cs="Arial"/>
              </w:rPr>
            </w:pPr>
            <w:r w:rsidRPr="00336111">
              <w:rPr>
                <w:rFonts w:ascii="Arial" w:hAnsi="Arial" w:cs="Arial"/>
              </w:rPr>
              <w:t>Lights — replacement of internal and external bulbs, filaments,</w:t>
            </w:r>
            <w:r w:rsidRPr="00336111">
              <w:rPr>
                <w:rFonts w:ascii="Arial" w:hAnsi="Arial" w:cs="Arial"/>
                <w:spacing w:val="-43"/>
              </w:rPr>
              <w:t xml:space="preserve"> </w:t>
            </w:r>
            <w:r w:rsidRPr="00336111">
              <w:rPr>
                <w:rFonts w:ascii="Arial" w:hAnsi="Arial" w:cs="Arial"/>
              </w:rPr>
              <w:t>reflectors</w:t>
            </w:r>
            <w:r w:rsidRPr="00336111">
              <w:rPr>
                <w:rFonts w:ascii="Arial" w:hAnsi="Arial" w:cs="Arial"/>
                <w:spacing w:val="-3"/>
              </w:rPr>
              <w:t xml:space="preserve"> </w:t>
            </w:r>
            <w:r w:rsidRPr="00336111">
              <w:rPr>
                <w:rFonts w:ascii="Arial" w:hAnsi="Arial" w:cs="Arial"/>
              </w:rPr>
              <w:t>and lenses</w:t>
            </w:r>
          </w:p>
        </w:tc>
        <w:tc>
          <w:tcPr>
            <w:tcW w:w="1530" w:type="dxa"/>
          </w:tcPr>
          <w:p w14:paraId="6CF7E80F" w14:textId="77777777" w:rsidR="00C04B4C" w:rsidRPr="00336111" w:rsidRDefault="00C04B4C" w:rsidP="00BE4A83">
            <w:pPr>
              <w:pStyle w:val="TableParagraph"/>
              <w:ind w:left="86"/>
              <w:rPr>
                <w:rFonts w:ascii="Arial" w:hAnsi="Arial" w:cs="Arial"/>
              </w:rPr>
            </w:pPr>
            <w:r w:rsidRPr="00336111">
              <w:rPr>
                <w:rFonts w:ascii="Arial" w:hAnsi="Arial" w:cs="Arial"/>
              </w:rPr>
              <w:t>Yes</w:t>
            </w:r>
          </w:p>
        </w:tc>
      </w:tr>
      <w:tr w:rsidR="00336111" w:rsidRPr="00336111" w14:paraId="63F927AE" w14:textId="77777777" w:rsidTr="0080379D">
        <w:trPr>
          <w:trHeight w:val="690"/>
        </w:trPr>
        <w:tc>
          <w:tcPr>
            <w:tcW w:w="895" w:type="dxa"/>
            <w:vMerge w:val="restart"/>
            <w:shd w:val="clear" w:color="auto" w:fill="F2F2F2" w:themeFill="background1" w:themeFillShade="F2"/>
          </w:tcPr>
          <w:p w14:paraId="5FC8E57B" w14:textId="77777777" w:rsidR="00C04B4C" w:rsidRPr="00336111" w:rsidRDefault="00C04B4C" w:rsidP="00602DB9">
            <w:pPr>
              <w:jc w:val="center"/>
              <w:rPr>
                <w:rFonts w:ascii="Arial" w:hAnsi="Arial" w:cs="Arial"/>
                <w:b/>
              </w:rPr>
            </w:pPr>
            <w:r w:rsidRPr="00336111">
              <w:rPr>
                <w:rFonts w:ascii="Arial" w:hAnsi="Arial" w:cs="Arial"/>
                <w:b/>
              </w:rPr>
              <w:t>34</w:t>
            </w:r>
          </w:p>
        </w:tc>
        <w:tc>
          <w:tcPr>
            <w:tcW w:w="2250" w:type="dxa"/>
            <w:vMerge w:val="restart"/>
          </w:tcPr>
          <w:p w14:paraId="39189BB1" w14:textId="77777777" w:rsidR="00C04B4C" w:rsidRPr="00336111" w:rsidRDefault="00C04B4C" w:rsidP="00BE4A83">
            <w:pPr>
              <w:pStyle w:val="TableParagraph"/>
              <w:spacing w:line="243" w:lineRule="exact"/>
              <w:rPr>
                <w:rFonts w:ascii="Arial" w:hAnsi="Arial" w:cs="Arial"/>
              </w:rPr>
            </w:pPr>
            <w:r w:rsidRPr="00336111">
              <w:rPr>
                <w:rFonts w:ascii="Arial" w:hAnsi="Arial" w:cs="Arial"/>
              </w:rPr>
              <w:t>Navigation</w:t>
            </w:r>
          </w:p>
        </w:tc>
        <w:tc>
          <w:tcPr>
            <w:tcW w:w="4860" w:type="dxa"/>
          </w:tcPr>
          <w:p w14:paraId="0019A062" w14:textId="77777777" w:rsidR="00C04B4C" w:rsidRPr="00336111" w:rsidRDefault="00C04B4C" w:rsidP="0038563B">
            <w:pPr>
              <w:pStyle w:val="TableParagraph"/>
              <w:spacing w:line="243" w:lineRule="exact"/>
              <w:jc w:val="both"/>
              <w:rPr>
                <w:rFonts w:ascii="Arial" w:hAnsi="Arial" w:cs="Arial"/>
              </w:rPr>
            </w:pPr>
            <w:r w:rsidRPr="00336111">
              <w:rPr>
                <w:rFonts w:ascii="Arial" w:hAnsi="Arial" w:cs="Arial"/>
              </w:rPr>
              <w:t>Software</w:t>
            </w:r>
            <w:r w:rsidRPr="00336111">
              <w:rPr>
                <w:rFonts w:ascii="Arial" w:hAnsi="Arial" w:cs="Arial"/>
                <w:spacing w:val="-3"/>
              </w:rPr>
              <w:t xml:space="preserve"> </w:t>
            </w:r>
            <w:r w:rsidRPr="00336111">
              <w:rPr>
                <w:rFonts w:ascii="Arial" w:hAnsi="Arial" w:cs="Arial"/>
              </w:rPr>
              <w:t>—</w:t>
            </w:r>
            <w:r w:rsidRPr="00336111">
              <w:rPr>
                <w:rFonts w:ascii="Arial" w:hAnsi="Arial" w:cs="Arial"/>
                <w:spacing w:val="-3"/>
              </w:rPr>
              <w:t xml:space="preserve"> </w:t>
            </w:r>
            <w:r w:rsidRPr="00336111">
              <w:rPr>
                <w:rFonts w:ascii="Arial" w:hAnsi="Arial" w:cs="Arial"/>
              </w:rPr>
              <w:t>updating</w:t>
            </w:r>
            <w:r w:rsidRPr="00336111">
              <w:rPr>
                <w:rFonts w:ascii="Arial" w:hAnsi="Arial" w:cs="Arial"/>
                <w:spacing w:val="-4"/>
              </w:rPr>
              <w:t xml:space="preserve"> </w:t>
            </w:r>
            <w:r w:rsidRPr="00336111">
              <w:rPr>
                <w:rFonts w:ascii="Arial" w:hAnsi="Arial" w:cs="Arial"/>
              </w:rPr>
              <w:t>of</w:t>
            </w:r>
            <w:r w:rsidRPr="00336111">
              <w:rPr>
                <w:rFonts w:ascii="Arial" w:hAnsi="Arial" w:cs="Arial"/>
                <w:spacing w:val="-5"/>
              </w:rPr>
              <w:t xml:space="preserve"> </w:t>
            </w:r>
            <w:r w:rsidRPr="00336111">
              <w:rPr>
                <w:rFonts w:ascii="Arial" w:hAnsi="Arial" w:cs="Arial"/>
              </w:rPr>
              <w:t>self-contained,</w:t>
            </w:r>
            <w:r w:rsidRPr="00336111">
              <w:rPr>
                <w:rFonts w:ascii="Arial" w:hAnsi="Arial" w:cs="Arial"/>
                <w:spacing w:val="-4"/>
              </w:rPr>
              <w:t xml:space="preserve"> </w:t>
            </w:r>
            <w:r w:rsidR="0038563B">
              <w:rPr>
                <w:rFonts w:ascii="Arial" w:hAnsi="Arial" w:cs="Arial"/>
              </w:rPr>
              <w:t>instrument-panel-</w:t>
            </w:r>
            <w:r w:rsidRPr="00336111">
              <w:rPr>
                <w:rFonts w:ascii="Arial" w:hAnsi="Arial" w:cs="Arial"/>
              </w:rPr>
              <w:t>mounted software, excluding automated flight control systems</w:t>
            </w:r>
            <w:r w:rsidRPr="00336111">
              <w:rPr>
                <w:rFonts w:ascii="Arial" w:hAnsi="Arial" w:cs="Arial"/>
                <w:spacing w:val="-43"/>
              </w:rPr>
              <w:t xml:space="preserve"> </w:t>
            </w:r>
            <w:r w:rsidRPr="00336111">
              <w:rPr>
                <w:rFonts w:ascii="Arial" w:hAnsi="Arial" w:cs="Arial"/>
              </w:rPr>
              <w:t>and</w:t>
            </w:r>
            <w:r w:rsidRPr="00336111">
              <w:rPr>
                <w:rFonts w:ascii="Arial" w:hAnsi="Arial" w:cs="Arial"/>
                <w:spacing w:val="-1"/>
              </w:rPr>
              <w:t xml:space="preserve"> </w:t>
            </w:r>
            <w:r w:rsidRPr="00336111">
              <w:rPr>
                <w:rFonts w:ascii="Arial" w:hAnsi="Arial" w:cs="Arial"/>
              </w:rPr>
              <w:t>transponders</w:t>
            </w:r>
          </w:p>
        </w:tc>
        <w:tc>
          <w:tcPr>
            <w:tcW w:w="1530" w:type="dxa"/>
          </w:tcPr>
          <w:p w14:paraId="722A8339" w14:textId="77777777" w:rsidR="00C04B4C" w:rsidRPr="00336111" w:rsidRDefault="00C04B4C" w:rsidP="00BE4A83">
            <w:pPr>
              <w:pStyle w:val="TableParagraph"/>
              <w:spacing w:line="243" w:lineRule="exact"/>
              <w:ind w:left="86"/>
              <w:rPr>
                <w:rFonts w:ascii="Arial" w:hAnsi="Arial" w:cs="Arial"/>
              </w:rPr>
            </w:pPr>
            <w:r w:rsidRPr="00336111">
              <w:rPr>
                <w:rFonts w:ascii="Arial" w:hAnsi="Arial" w:cs="Arial"/>
              </w:rPr>
              <w:t>Yes</w:t>
            </w:r>
          </w:p>
        </w:tc>
      </w:tr>
      <w:tr w:rsidR="00336111" w:rsidRPr="00336111" w14:paraId="1FA26168" w14:textId="77777777" w:rsidTr="0080379D">
        <w:trPr>
          <w:trHeight w:val="1177"/>
        </w:trPr>
        <w:tc>
          <w:tcPr>
            <w:tcW w:w="895" w:type="dxa"/>
            <w:vMerge/>
            <w:shd w:val="clear" w:color="auto" w:fill="F2F2F2" w:themeFill="background1" w:themeFillShade="F2"/>
          </w:tcPr>
          <w:p w14:paraId="68741D25" w14:textId="77777777" w:rsidR="00C04B4C" w:rsidRPr="0038563B" w:rsidRDefault="00C04B4C" w:rsidP="00602DB9">
            <w:pPr>
              <w:jc w:val="center"/>
              <w:rPr>
                <w:rFonts w:ascii="Arial" w:hAnsi="Arial" w:cs="Arial"/>
                <w:b/>
              </w:rPr>
            </w:pPr>
          </w:p>
        </w:tc>
        <w:tc>
          <w:tcPr>
            <w:tcW w:w="2250" w:type="dxa"/>
            <w:vMerge/>
          </w:tcPr>
          <w:p w14:paraId="498EF39A" w14:textId="77777777" w:rsidR="00C04B4C" w:rsidRPr="00336111" w:rsidRDefault="00C04B4C" w:rsidP="00BE4A83">
            <w:pPr>
              <w:rPr>
                <w:rFonts w:ascii="Arial" w:hAnsi="Arial" w:cs="Arial"/>
                <w:sz w:val="2"/>
                <w:szCs w:val="2"/>
              </w:rPr>
            </w:pPr>
          </w:p>
        </w:tc>
        <w:tc>
          <w:tcPr>
            <w:tcW w:w="4860" w:type="dxa"/>
          </w:tcPr>
          <w:p w14:paraId="0C2428A6" w14:textId="77777777" w:rsidR="00C04B4C" w:rsidRPr="00336111" w:rsidRDefault="00C04B4C" w:rsidP="0038563B">
            <w:pPr>
              <w:pStyle w:val="TableParagraph"/>
              <w:ind w:right="153"/>
              <w:jc w:val="both"/>
              <w:rPr>
                <w:rFonts w:ascii="Arial" w:hAnsi="Arial" w:cs="Arial"/>
              </w:rPr>
            </w:pPr>
            <w:r w:rsidRPr="00336111">
              <w:rPr>
                <w:rFonts w:ascii="Arial" w:hAnsi="Arial" w:cs="Arial"/>
              </w:rPr>
              <w:t>Navigation devices — removal and replacement of self-contained,</w:t>
            </w:r>
            <w:r w:rsidRPr="00336111">
              <w:rPr>
                <w:rFonts w:ascii="Arial" w:hAnsi="Arial" w:cs="Arial"/>
                <w:spacing w:val="1"/>
              </w:rPr>
              <w:t xml:space="preserve"> </w:t>
            </w:r>
            <w:r w:rsidRPr="00336111">
              <w:rPr>
                <w:rFonts w:ascii="Arial" w:hAnsi="Arial" w:cs="Arial"/>
              </w:rPr>
              <w:t>instrument-panel-mounted navigation devices with quick-</w:t>
            </w:r>
            <w:r w:rsidRPr="00336111">
              <w:rPr>
                <w:rFonts w:ascii="Arial" w:hAnsi="Arial" w:cs="Arial"/>
                <w:spacing w:val="1"/>
              </w:rPr>
              <w:t xml:space="preserve"> </w:t>
            </w:r>
            <w:r w:rsidRPr="00336111">
              <w:rPr>
                <w:rFonts w:ascii="Arial" w:hAnsi="Arial" w:cs="Arial"/>
              </w:rPr>
              <w:t>disconnect connectors, excluding automated flight control</w:t>
            </w:r>
            <w:r w:rsidRPr="00336111">
              <w:rPr>
                <w:rFonts w:ascii="Arial" w:hAnsi="Arial" w:cs="Arial"/>
                <w:spacing w:val="1"/>
              </w:rPr>
              <w:t xml:space="preserve"> </w:t>
            </w:r>
            <w:r w:rsidRPr="00336111">
              <w:rPr>
                <w:rFonts w:ascii="Arial" w:hAnsi="Arial" w:cs="Arial"/>
              </w:rPr>
              <w:t>systems,</w:t>
            </w:r>
            <w:r w:rsidRPr="00336111">
              <w:rPr>
                <w:rFonts w:ascii="Arial" w:hAnsi="Arial" w:cs="Arial"/>
                <w:spacing w:val="-2"/>
              </w:rPr>
              <w:t xml:space="preserve"> </w:t>
            </w:r>
            <w:r w:rsidRPr="00336111">
              <w:rPr>
                <w:rFonts w:ascii="Arial" w:hAnsi="Arial" w:cs="Arial"/>
              </w:rPr>
              <w:t>transponders,</w:t>
            </w:r>
            <w:r w:rsidRPr="00336111">
              <w:rPr>
                <w:rFonts w:ascii="Arial" w:hAnsi="Arial" w:cs="Arial"/>
                <w:spacing w:val="-2"/>
              </w:rPr>
              <w:t xml:space="preserve"> </w:t>
            </w:r>
            <w:r w:rsidRPr="00336111">
              <w:rPr>
                <w:rFonts w:ascii="Arial" w:hAnsi="Arial" w:cs="Arial"/>
              </w:rPr>
              <w:t>primary</w:t>
            </w:r>
            <w:r w:rsidRPr="00336111">
              <w:rPr>
                <w:rFonts w:ascii="Arial" w:hAnsi="Arial" w:cs="Arial"/>
                <w:spacing w:val="-1"/>
              </w:rPr>
              <w:t xml:space="preserve"> </w:t>
            </w:r>
            <w:r w:rsidRPr="00336111">
              <w:rPr>
                <w:rFonts w:ascii="Arial" w:hAnsi="Arial" w:cs="Arial"/>
              </w:rPr>
              <w:t>flight</w:t>
            </w:r>
            <w:r w:rsidRPr="00336111">
              <w:rPr>
                <w:rFonts w:ascii="Arial" w:hAnsi="Arial" w:cs="Arial"/>
                <w:spacing w:val="-2"/>
              </w:rPr>
              <w:t xml:space="preserve"> </w:t>
            </w:r>
            <w:r w:rsidRPr="00336111">
              <w:rPr>
                <w:rFonts w:ascii="Arial" w:hAnsi="Arial" w:cs="Arial"/>
              </w:rPr>
              <w:t>control</w:t>
            </w:r>
            <w:r w:rsidRPr="00336111">
              <w:rPr>
                <w:rFonts w:ascii="Arial" w:hAnsi="Arial" w:cs="Arial"/>
                <w:spacing w:val="-2"/>
              </w:rPr>
              <w:t xml:space="preserve"> </w:t>
            </w:r>
            <w:r w:rsidRPr="00336111">
              <w:rPr>
                <w:rFonts w:ascii="Arial" w:hAnsi="Arial" w:cs="Arial"/>
              </w:rPr>
              <w:t>system</w:t>
            </w:r>
            <w:r w:rsidRPr="00336111">
              <w:rPr>
                <w:rFonts w:ascii="Arial" w:hAnsi="Arial" w:cs="Arial"/>
                <w:spacing w:val="-2"/>
              </w:rPr>
              <w:t xml:space="preserve"> </w:t>
            </w:r>
            <w:r w:rsidRPr="00336111">
              <w:rPr>
                <w:rFonts w:ascii="Arial" w:hAnsi="Arial" w:cs="Arial"/>
              </w:rPr>
              <w:t>and</w:t>
            </w:r>
            <w:r w:rsidRPr="00336111">
              <w:rPr>
                <w:rFonts w:ascii="Arial" w:hAnsi="Arial" w:cs="Arial"/>
                <w:spacing w:val="-2"/>
              </w:rPr>
              <w:t xml:space="preserve"> </w:t>
            </w:r>
            <w:r w:rsidR="0038563B">
              <w:rPr>
                <w:rFonts w:ascii="Arial" w:hAnsi="Arial" w:cs="Arial"/>
              </w:rPr>
              <w:t xml:space="preserve">IFR </w:t>
            </w:r>
            <w:r w:rsidRPr="00336111">
              <w:rPr>
                <w:rFonts w:ascii="Arial" w:hAnsi="Arial" w:cs="Arial"/>
              </w:rPr>
              <w:t>operations</w:t>
            </w:r>
          </w:p>
        </w:tc>
        <w:tc>
          <w:tcPr>
            <w:tcW w:w="1530" w:type="dxa"/>
          </w:tcPr>
          <w:p w14:paraId="623829A4" w14:textId="77777777" w:rsidR="00C04B4C" w:rsidRPr="00336111" w:rsidRDefault="00C04B4C" w:rsidP="00BE4A83">
            <w:pPr>
              <w:pStyle w:val="TableParagraph"/>
              <w:spacing w:line="242" w:lineRule="exact"/>
              <w:ind w:left="86"/>
              <w:rPr>
                <w:rFonts w:ascii="Arial" w:hAnsi="Arial" w:cs="Arial"/>
              </w:rPr>
            </w:pPr>
            <w:r w:rsidRPr="00336111">
              <w:rPr>
                <w:rFonts w:ascii="Arial" w:hAnsi="Arial" w:cs="Arial"/>
              </w:rPr>
              <w:t>Yes**</w:t>
            </w:r>
          </w:p>
        </w:tc>
      </w:tr>
      <w:tr w:rsidR="00336111" w:rsidRPr="00336111" w14:paraId="1AC71B5B" w14:textId="77777777" w:rsidTr="0080379D">
        <w:trPr>
          <w:trHeight w:val="202"/>
        </w:trPr>
        <w:tc>
          <w:tcPr>
            <w:tcW w:w="895" w:type="dxa"/>
            <w:shd w:val="clear" w:color="auto" w:fill="F2F2F2" w:themeFill="background1" w:themeFillShade="F2"/>
          </w:tcPr>
          <w:p w14:paraId="337F8AAE" w14:textId="77777777" w:rsidR="00C04B4C" w:rsidRPr="00602DB9" w:rsidRDefault="00C04B4C" w:rsidP="00602DB9">
            <w:pPr>
              <w:jc w:val="center"/>
              <w:rPr>
                <w:rFonts w:ascii="Arial" w:hAnsi="Arial" w:cs="Arial"/>
                <w:b/>
              </w:rPr>
            </w:pPr>
          </w:p>
        </w:tc>
        <w:tc>
          <w:tcPr>
            <w:tcW w:w="2250" w:type="dxa"/>
          </w:tcPr>
          <w:p w14:paraId="3EF7FC05" w14:textId="77777777" w:rsidR="00C04B4C" w:rsidRPr="00336111" w:rsidRDefault="00C04B4C" w:rsidP="00BE4A83">
            <w:pPr>
              <w:pStyle w:val="TableParagraph"/>
              <w:ind w:left="0"/>
              <w:rPr>
                <w:rFonts w:ascii="Arial" w:hAnsi="Arial" w:cs="Arial"/>
                <w:sz w:val="16"/>
              </w:rPr>
            </w:pPr>
          </w:p>
        </w:tc>
        <w:tc>
          <w:tcPr>
            <w:tcW w:w="4860" w:type="dxa"/>
          </w:tcPr>
          <w:p w14:paraId="4A8C183E" w14:textId="77777777" w:rsidR="00C04B4C" w:rsidRPr="00336111" w:rsidRDefault="00C04B4C" w:rsidP="0038563B">
            <w:pPr>
              <w:pStyle w:val="TableParagraph"/>
              <w:spacing w:line="225" w:lineRule="exact"/>
              <w:jc w:val="both"/>
              <w:rPr>
                <w:rFonts w:ascii="Arial" w:hAnsi="Arial" w:cs="Arial"/>
              </w:rPr>
            </w:pPr>
            <w:r w:rsidRPr="00336111">
              <w:rPr>
                <w:rFonts w:ascii="Arial" w:hAnsi="Arial" w:cs="Arial"/>
              </w:rPr>
              <w:t>Self-contained</w:t>
            </w:r>
            <w:r w:rsidRPr="00336111">
              <w:rPr>
                <w:rFonts w:ascii="Arial" w:hAnsi="Arial" w:cs="Arial"/>
                <w:spacing w:val="-3"/>
              </w:rPr>
              <w:t xml:space="preserve"> </w:t>
            </w:r>
            <w:r w:rsidRPr="00336111">
              <w:rPr>
                <w:rFonts w:ascii="Arial" w:hAnsi="Arial" w:cs="Arial"/>
              </w:rPr>
              <w:t>data</w:t>
            </w:r>
            <w:r w:rsidRPr="00336111">
              <w:rPr>
                <w:rFonts w:ascii="Arial" w:hAnsi="Arial" w:cs="Arial"/>
                <w:spacing w:val="-3"/>
              </w:rPr>
              <w:t xml:space="preserve"> </w:t>
            </w:r>
            <w:r w:rsidRPr="00336111">
              <w:rPr>
                <w:rFonts w:ascii="Arial" w:hAnsi="Arial" w:cs="Arial"/>
              </w:rPr>
              <w:t>logger</w:t>
            </w:r>
            <w:r w:rsidRPr="00336111">
              <w:rPr>
                <w:rFonts w:ascii="Arial" w:hAnsi="Arial" w:cs="Arial"/>
                <w:spacing w:val="-2"/>
              </w:rPr>
              <w:t xml:space="preserve"> </w:t>
            </w:r>
            <w:r w:rsidRPr="00336111">
              <w:rPr>
                <w:rFonts w:ascii="Arial" w:hAnsi="Arial" w:cs="Arial"/>
              </w:rPr>
              <w:t>—</w:t>
            </w:r>
            <w:r w:rsidRPr="00336111">
              <w:rPr>
                <w:rFonts w:ascii="Arial" w:hAnsi="Arial" w:cs="Arial"/>
                <w:spacing w:val="-3"/>
              </w:rPr>
              <w:t xml:space="preserve"> </w:t>
            </w:r>
            <w:r w:rsidRPr="00336111">
              <w:rPr>
                <w:rFonts w:ascii="Arial" w:hAnsi="Arial" w:cs="Arial"/>
              </w:rPr>
              <w:t>installation,</w:t>
            </w:r>
            <w:r w:rsidRPr="00336111">
              <w:rPr>
                <w:rFonts w:ascii="Arial" w:hAnsi="Arial" w:cs="Arial"/>
                <w:spacing w:val="-2"/>
              </w:rPr>
              <w:t xml:space="preserve"> </w:t>
            </w:r>
            <w:r w:rsidRPr="00336111">
              <w:rPr>
                <w:rFonts w:ascii="Arial" w:hAnsi="Arial" w:cs="Arial"/>
              </w:rPr>
              <w:t>data</w:t>
            </w:r>
            <w:r w:rsidRPr="00336111">
              <w:rPr>
                <w:rFonts w:ascii="Arial" w:hAnsi="Arial" w:cs="Arial"/>
                <w:spacing w:val="-3"/>
              </w:rPr>
              <w:t xml:space="preserve"> </w:t>
            </w:r>
            <w:r w:rsidRPr="00336111">
              <w:rPr>
                <w:rFonts w:ascii="Arial" w:hAnsi="Arial" w:cs="Arial"/>
              </w:rPr>
              <w:t>restoration</w:t>
            </w:r>
          </w:p>
        </w:tc>
        <w:tc>
          <w:tcPr>
            <w:tcW w:w="1530" w:type="dxa"/>
          </w:tcPr>
          <w:p w14:paraId="7B8AE6D9" w14:textId="77777777" w:rsidR="00C04B4C" w:rsidRPr="00336111" w:rsidRDefault="00C04B4C" w:rsidP="00BE4A83">
            <w:pPr>
              <w:pStyle w:val="TableParagraph"/>
              <w:spacing w:line="225" w:lineRule="exact"/>
              <w:ind w:left="86"/>
              <w:rPr>
                <w:rFonts w:ascii="Arial" w:hAnsi="Arial" w:cs="Arial"/>
              </w:rPr>
            </w:pPr>
            <w:r w:rsidRPr="00336111">
              <w:rPr>
                <w:rFonts w:ascii="Arial" w:hAnsi="Arial" w:cs="Arial"/>
              </w:rPr>
              <w:t>Yes</w:t>
            </w:r>
          </w:p>
        </w:tc>
      </w:tr>
      <w:tr w:rsidR="00336111" w:rsidRPr="00336111" w14:paraId="0459E1B2" w14:textId="77777777" w:rsidTr="0080379D">
        <w:trPr>
          <w:trHeight w:val="687"/>
        </w:trPr>
        <w:tc>
          <w:tcPr>
            <w:tcW w:w="895" w:type="dxa"/>
            <w:vMerge w:val="restart"/>
            <w:shd w:val="clear" w:color="auto" w:fill="F2F2F2" w:themeFill="background1" w:themeFillShade="F2"/>
          </w:tcPr>
          <w:p w14:paraId="637123BC" w14:textId="77777777" w:rsidR="00C04B4C" w:rsidRPr="00336111" w:rsidRDefault="00C04B4C" w:rsidP="00602DB9">
            <w:pPr>
              <w:jc w:val="center"/>
              <w:rPr>
                <w:rFonts w:ascii="Arial" w:hAnsi="Arial" w:cs="Arial"/>
                <w:b/>
              </w:rPr>
            </w:pPr>
            <w:r w:rsidRPr="00336111">
              <w:rPr>
                <w:rFonts w:ascii="Arial" w:hAnsi="Arial" w:cs="Arial"/>
                <w:b/>
              </w:rPr>
              <w:t>51</w:t>
            </w:r>
          </w:p>
        </w:tc>
        <w:tc>
          <w:tcPr>
            <w:tcW w:w="2250" w:type="dxa"/>
            <w:vMerge w:val="restart"/>
          </w:tcPr>
          <w:p w14:paraId="0674CD8D" w14:textId="77777777" w:rsidR="00C04B4C" w:rsidRPr="00336111" w:rsidRDefault="00C04B4C" w:rsidP="00BE4A83">
            <w:pPr>
              <w:pStyle w:val="TableParagraph"/>
              <w:spacing w:line="242" w:lineRule="exact"/>
              <w:rPr>
                <w:rFonts w:ascii="Arial" w:hAnsi="Arial" w:cs="Arial"/>
              </w:rPr>
            </w:pPr>
            <w:r w:rsidRPr="00336111">
              <w:rPr>
                <w:rFonts w:ascii="Arial" w:hAnsi="Arial" w:cs="Arial"/>
              </w:rPr>
              <w:t>Structure</w:t>
            </w:r>
          </w:p>
        </w:tc>
        <w:tc>
          <w:tcPr>
            <w:tcW w:w="4860" w:type="dxa"/>
          </w:tcPr>
          <w:p w14:paraId="49FE3D10" w14:textId="77777777" w:rsidR="00C04B4C" w:rsidRPr="00336111" w:rsidRDefault="00C04B4C" w:rsidP="0038563B">
            <w:pPr>
              <w:pStyle w:val="TableParagraph"/>
              <w:ind w:right="148"/>
              <w:jc w:val="both"/>
              <w:rPr>
                <w:rFonts w:ascii="Arial" w:hAnsi="Arial" w:cs="Arial"/>
              </w:rPr>
            </w:pPr>
            <w:r w:rsidRPr="00336111">
              <w:rPr>
                <w:rFonts w:ascii="Arial" w:hAnsi="Arial" w:cs="Arial"/>
              </w:rPr>
              <w:t>Protective coating — application of preservative material or</w:t>
            </w:r>
            <w:r w:rsidRPr="00336111">
              <w:rPr>
                <w:rFonts w:ascii="Arial" w:hAnsi="Arial" w:cs="Arial"/>
                <w:spacing w:val="-43"/>
              </w:rPr>
              <w:t xml:space="preserve"> </w:t>
            </w:r>
            <w:r w:rsidRPr="00336111">
              <w:rPr>
                <w:rFonts w:ascii="Arial" w:hAnsi="Arial" w:cs="Arial"/>
              </w:rPr>
              <w:t>coatings</w:t>
            </w:r>
            <w:r w:rsidRPr="00336111">
              <w:rPr>
                <w:rFonts w:ascii="Arial" w:hAnsi="Arial" w:cs="Arial"/>
                <w:spacing w:val="-4"/>
              </w:rPr>
              <w:t xml:space="preserve"> </w:t>
            </w:r>
            <w:r w:rsidRPr="00336111">
              <w:rPr>
                <w:rFonts w:ascii="Arial" w:hAnsi="Arial" w:cs="Arial"/>
              </w:rPr>
              <w:t>where</w:t>
            </w:r>
            <w:r w:rsidRPr="00336111">
              <w:rPr>
                <w:rFonts w:ascii="Arial" w:hAnsi="Arial" w:cs="Arial"/>
                <w:spacing w:val="-2"/>
              </w:rPr>
              <w:t xml:space="preserve"> </w:t>
            </w:r>
            <w:r w:rsidRPr="00336111">
              <w:rPr>
                <w:rFonts w:ascii="Arial" w:hAnsi="Arial" w:cs="Arial"/>
              </w:rPr>
              <w:t>no</w:t>
            </w:r>
            <w:r w:rsidRPr="00336111">
              <w:rPr>
                <w:rFonts w:ascii="Arial" w:hAnsi="Arial" w:cs="Arial"/>
                <w:spacing w:val="-1"/>
              </w:rPr>
              <w:t xml:space="preserve"> </w:t>
            </w:r>
            <w:r w:rsidRPr="00336111">
              <w:rPr>
                <w:rFonts w:ascii="Arial" w:hAnsi="Arial" w:cs="Arial"/>
              </w:rPr>
              <w:t>disassembly</w:t>
            </w:r>
            <w:r w:rsidRPr="00336111">
              <w:rPr>
                <w:rFonts w:ascii="Arial" w:hAnsi="Arial" w:cs="Arial"/>
                <w:spacing w:val="-1"/>
              </w:rPr>
              <w:t xml:space="preserve"> </w:t>
            </w:r>
            <w:r w:rsidRPr="00336111">
              <w:rPr>
                <w:rFonts w:ascii="Arial" w:hAnsi="Arial" w:cs="Arial"/>
              </w:rPr>
              <w:t>of</w:t>
            </w:r>
            <w:r w:rsidRPr="00336111">
              <w:rPr>
                <w:rFonts w:ascii="Arial" w:hAnsi="Arial" w:cs="Arial"/>
                <w:spacing w:val="-3"/>
              </w:rPr>
              <w:t xml:space="preserve"> </w:t>
            </w:r>
            <w:r w:rsidRPr="00336111">
              <w:rPr>
                <w:rFonts w:ascii="Arial" w:hAnsi="Arial" w:cs="Arial"/>
              </w:rPr>
              <w:t>any</w:t>
            </w:r>
            <w:r w:rsidRPr="00336111">
              <w:rPr>
                <w:rFonts w:ascii="Arial" w:hAnsi="Arial" w:cs="Arial"/>
                <w:spacing w:val="-1"/>
              </w:rPr>
              <w:t xml:space="preserve"> </w:t>
            </w:r>
            <w:r w:rsidRPr="00336111">
              <w:rPr>
                <w:rFonts w:ascii="Arial" w:hAnsi="Arial" w:cs="Arial"/>
              </w:rPr>
              <w:t>primary</w:t>
            </w:r>
            <w:r w:rsidRPr="00336111">
              <w:rPr>
                <w:rFonts w:ascii="Arial" w:hAnsi="Arial" w:cs="Arial"/>
                <w:spacing w:val="-2"/>
              </w:rPr>
              <w:t xml:space="preserve"> </w:t>
            </w:r>
            <w:r w:rsidRPr="00336111">
              <w:rPr>
                <w:rFonts w:ascii="Arial" w:hAnsi="Arial" w:cs="Arial"/>
              </w:rPr>
              <w:t>structure</w:t>
            </w:r>
            <w:r w:rsidRPr="00336111">
              <w:rPr>
                <w:rFonts w:ascii="Arial" w:hAnsi="Arial" w:cs="Arial"/>
                <w:spacing w:val="-2"/>
              </w:rPr>
              <w:t xml:space="preserve"> </w:t>
            </w:r>
            <w:r w:rsidR="0038563B">
              <w:rPr>
                <w:rFonts w:ascii="Arial" w:hAnsi="Arial" w:cs="Arial"/>
              </w:rPr>
              <w:t xml:space="preserve">or </w:t>
            </w:r>
            <w:r w:rsidRPr="00336111">
              <w:rPr>
                <w:rFonts w:ascii="Arial" w:hAnsi="Arial" w:cs="Arial"/>
              </w:rPr>
              <w:t>operating</w:t>
            </w:r>
            <w:r w:rsidRPr="00336111">
              <w:rPr>
                <w:rFonts w:ascii="Arial" w:hAnsi="Arial" w:cs="Arial"/>
                <w:spacing w:val="-4"/>
              </w:rPr>
              <w:t xml:space="preserve"> </w:t>
            </w:r>
            <w:r w:rsidRPr="00336111">
              <w:rPr>
                <w:rFonts w:ascii="Arial" w:hAnsi="Arial" w:cs="Arial"/>
              </w:rPr>
              <w:t>system</w:t>
            </w:r>
            <w:r w:rsidRPr="00336111">
              <w:rPr>
                <w:rFonts w:ascii="Arial" w:hAnsi="Arial" w:cs="Arial"/>
                <w:spacing w:val="-3"/>
              </w:rPr>
              <w:t xml:space="preserve"> </w:t>
            </w:r>
            <w:r w:rsidRPr="00336111">
              <w:rPr>
                <w:rFonts w:ascii="Arial" w:hAnsi="Arial" w:cs="Arial"/>
              </w:rPr>
              <w:t>is</w:t>
            </w:r>
            <w:r w:rsidRPr="00336111">
              <w:rPr>
                <w:rFonts w:ascii="Arial" w:hAnsi="Arial" w:cs="Arial"/>
                <w:spacing w:val="-5"/>
              </w:rPr>
              <w:t xml:space="preserve"> </w:t>
            </w:r>
            <w:r w:rsidRPr="00336111">
              <w:rPr>
                <w:rFonts w:ascii="Arial" w:hAnsi="Arial" w:cs="Arial"/>
              </w:rPr>
              <w:t>involved</w:t>
            </w:r>
          </w:p>
        </w:tc>
        <w:tc>
          <w:tcPr>
            <w:tcW w:w="1530" w:type="dxa"/>
          </w:tcPr>
          <w:p w14:paraId="39797A69" w14:textId="77777777" w:rsidR="00C04B4C" w:rsidRPr="00336111" w:rsidRDefault="00C04B4C" w:rsidP="00BE4A83">
            <w:pPr>
              <w:pStyle w:val="TableParagraph"/>
              <w:spacing w:line="242" w:lineRule="exact"/>
              <w:ind w:left="86"/>
              <w:rPr>
                <w:rFonts w:ascii="Arial" w:hAnsi="Arial" w:cs="Arial"/>
              </w:rPr>
            </w:pPr>
            <w:r w:rsidRPr="00336111">
              <w:rPr>
                <w:rFonts w:ascii="Arial" w:hAnsi="Arial" w:cs="Arial"/>
              </w:rPr>
              <w:t>Yes</w:t>
            </w:r>
          </w:p>
        </w:tc>
      </w:tr>
      <w:tr w:rsidR="00336111" w:rsidRPr="00336111" w14:paraId="52AED529" w14:textId="77777777" w:rsidTr="0080379D">
        <w:trPr>
          <w:trHeight w:val="934"/>
        </w:trPr>
        <w:tc>
          <w:tcPr>
            <w:tcW w:w="895" w:type="dxa"/>
            <w:vMerge/>
            <w:shd w:val="clear" w:color="auto" w:fill="F2F2F2" w:themeFill="background1" w:themeFillShade="F2"/>
          </w:tcPr>
          <w:p w14:paraId="07340B16" w14:textId="77777777" w:rsidR="00C04B4C" w:rsidRPr="0038563B" w:rsidRDefault="00C04B4C" w:rsidP="00602DB9">
            <w:pPr>
              <w:jc w:val="center"/>
              <w:rPr>
                <w:rFonts w:ascii="Arial" w:hAnsi="Arial" w:cs="Arial"/>
                <w:b/>
              </w:rPr>
            </w:pPr>
          </w:p>
        </w:tc>
        <w:tc>
          <w:tcPr>
            <w:tcW w:w="2250" w:type="dxa"/>
            <w:vMerge/>
          </w:tcPr>
          <w:p w14:paraId="7299FEEA" w14:textId="77777777" w:rsidR="00C04B4C" w:rsidRPr="00336111" w:rsidRDefault="00C04B4C" w:rsidP="00BE4A83">
            <w:pPr>
              <w:rPr>
                <w:rFonts w:ascii="Arial" w:hAnsi="Arial" w:cs="Arial"/>
                <w:sz w:val="2"/>
                <w:szCs w:val="2"/>
              </w:rPr>
            </w:pPr>
          </w:p>
        </w:tc>
        <w:tc>
          <w:tcPr>
            <w:tcW w:w="4860" w:type="dxa"/>
          </w:tcPr>
          <w:p w14:paraId="18D5527E" w14:textId="77777777" w:rsidR="00C04B4C" w:rsidRPr="00336111" w:rsidRDefault="00C04B4C" w:rsidP="0038563B">
            <w:pPr>
              <w:pStyle w:val="TableParagraph"/>
              <w:jc w:val="both"/>
              <w:rPr>
                <w:rFonts w:ascii="Arial" w:hAnsi="Arial" w:cs="Arial"/>
              </w:rPr>
            </w:pPr>
            <w:r w:rsidRPr="00336111">
              <w:rPr>
                <w:rFonts w:ascii="Arial" w:hAnsi="Arial" w:cs="Arial"/>
              </w:rPr>
              <w:t>Surface finish — minor restoration (where no disassembly of any</w:t>
            </w:r>
            <w:r w:rsidRPr="00336111">
              <w:rPr>
                <w:rFonts w:ascii="Arial" w:hAnsi="Arial" w:cs="Arial"/>
                <w:spacing w:val="1"/>
              </w:rPr>
              <w:t xml:space="preserve"> </w:t>
            </w:r>
            <w:r w:rsidRPr="00336111">
              <w:rPr>
                <w:rFonts w:ascii="Arial" w:hAnsi="Arial" w:cs="Arial"/>
              </w:rPr>
              <w:t>primary structure or operating system is involved, excluding</w:t>
            </w:r>
            <w:r w:rsidRPr="00336111">
              <w:rPr>
                <w:rFonts w:ascii="Arial" w:hAnsi="Arial" w:cs="Arial"/>
                <w:spacing w:val="1"/>
              </w:rPr>
              <w:t xml:space="preserve"> </w:t>
            </w:r>
            <w:r w:rsidRPr="00336111">
              <w:rPr>
                <w:rFonts w:ascii="Arial" w:hAnsi="Arial" w:cs="Arial"/>
              </w:rPr>
              <w:t>intervention</w:t>
            </w:r>
            <w:r w:rsidRPr="00336111">
              <w:rPr>
                <w:rFonts w:ascii="Arial" w:hAnsi="Arial" w:cs="Arial"/>
                <w:spacing w:val="-2"/>
              </w:rPr>
              <w:t xml:space="preserve"> </w:t>
            </w:r>
            <w:r w:rsidRPr="00336111">
              <w:rPr>
                <w:rFonts w:ascii="Arial" w:hAnsi="Arial" w:cs="Arial"/>
              </w:rPr>
              <w:t>on</w:t>
            </w:r>
            <w:r w:rsidRPr="00336111">
              <w:rPr>
                <w:rFonts w:ascii="Arial" w:hAnsi="Arial" w:cs="Arial"/>
                <w:spacing w:val="-1"/>
              </w:rPr>
              <w:t xml:space="preserve"> </w:t>
            </w:r>
            <w:r w:rsidRPr="00336111">
              <w:rPr>
                <w:rFonts w:ascii="Arial" w:hAnsi="Arial" w:cs="Arial"/>
              </w:rPr>
              <w:t>main</w:t>
            </w:r>
            <w:r w:rsidRPr="00336111">
              <w:rPr>
                <w:rFonts w:ascii="Arial" w:hAnsi="Arial" w:cs="Arial"/>
                <w:spacing w:val="-1"/>
              </w:rPr>
              <w:t xml:space="preserve"> </w:t>
            </w:r>
            <w:r w:rsidRPr="00336111">
              <w:rPr>
                <w:rFonts w:ascii="Arial" w:hAnsi="Arial" w:cs="Arial"/>
              </w:rPr>
              <w:t>and</w:t>
            </w:r>
            <w:r w:rsidRPr="00336111">
              <w:rPr>
                <w:rFonts w:ascii="Arial" w:hAnsi="Arial" w:cs="Arial"/>
                <w:spacing w:val="-1"/>
              </w:rPr>
              <w:t xml:space="preserve"> </w:t>
            </w:r>
            <w:r w:rsidRPr="00336111">
              <w:rPr>
                <w:rFonts w:ascii="Arial" w:hAnsi="Arial" w:cs="Arial"/>
              </w:rPr>
              <w:t>tail</w:t>
            </w:r>
            <w:r w:rsidRPr="00336111">
              <w:rPr>
                <w:rFonts w:ascii="Arial" w:hAnsi="Arial" w:cs="Arial"/>
                <w:spacing w:val="-1"/>
              </w:rPr>
              <w:t xml:space="preserve"> </w:t>
            </w:r>
            <w:r w:rsidRPr="00336111">
              <w:rPr>
                <w:rFonts w:ascii="Arial" w:hAnsi="Arial" w:cs="Arial"/>
              </w:rPr>
              <w:t>rotors),</w:t>
            </w:r>
            <w:r w:rsidRPr="00336111">
              <w:rPr>
                <w:rFonts w:ascii="Arial" w:hAnsi="Arial" w:cs="Arial"/>
                <w:spacing w:val="-1"/>
              </w:rPr>
              <w:t xml:space="preserve"> </w:t>
            </w:r>
            <w:r w:rsidRPr="00336111">
              <w:rPr>
                <w:rFonts w:ascii="Arial" w:hAnsi="Arial" w:cs="Arial"/>
              </w:rPr>
              <w:t>including</w:t>
            </w:r>
            <w:r w:rsidRPr="00336111">
              <w:rPr>
                <w:rFonts w:ascii="Arial" w:hAnsi="Arial" w:cs="Arial"/>
                <w:spacing w:val="-2"/>
              </w:rPr>
              <w:t xml:space="preserve"> </w:t>
            </w:r>
            <w:r w:rsidRPr="00336111">
              <w:rPr>
                <w:rFonts w:ascii="Arial" w:hAnsi="Arial" w:cs="Arial"/>
              </w:rPr>
              <w:t>application</w:t>
            </w:r>
            <w:r w:rsidRPr="00336111">
              <w:rPr>
                <w:rFonts w:ascii="Arial" w:hAnsi="Arial" w:cs="Arial"/>
                <w:spacing w:val="-2"/>
              </w:rPr>
              <w:t xml:space="preserve"> </w:t>
            </w:r>
            <w:r w:rsidRPr="00336111">
              <w:rPr>
                <w:rFonts w:ascii="Arial" w:hAnsi="Arial" w:cs="Arial"/>
              </w:rPr>
              <w:t>of</w:t>
            </w:r>
            <w:r w:rsidR="0038563B">
              <w:rPr>
                <w:rFonts w:ascii="Arial" w:hAnsi="Arial" w:cs="Arial"/>
              </w:rPr>
              <w:t xml:space="preserve"> </w:t>
            </w:r>
            <w:r w:rsidRPr="00336111">
              <w:rPr>
                <w:rFonts w:ascii="Arial" w:hAnsi="Arial" w:cs="Arial"/>
              </w:rPr>
              <w:t>signal</w:t>
            </w:r>
            <w:r w:rsidRPr="00336111">
              <w:rPr>
                <w:rFonts w:ascii="Arial" w:hAnsi="Arial" w:cs="Arial"/>
                <w:spacing w:val="-2"/>
              </w:rPr>
              <w:t xml:space="preserve"> </w:t>
            </w:r>
            <w:r w:rsidRPr="00336111">
              <w:rPr>
                <w:rFonts w:ascii="Arial" w:hAnsi="Arial" w:cs="Arial"/>
              </w:rPr>
              <w:t>coatings</w:t>
            </w:r>
            <w:r w:rsidRPr="00336111">
              <w:rPr>
                <w:rFonts w:ascii="Arial" w:hAnsi="Arial" w:cs="Arial"/>
                <w:spacing w:val="-4"/>
              </w:rPr>
              <w:t xml:space="preserve"> </w:t>
            </w:r>
            <w:r w:rsidRPr="00336111">
              <w:rPr>
                <w:rFonts w:ascii="Arial" w:hAnsi="Arial" w:cs="Arial"/>
              </w:rPr>
              <w:t>or</w:t>
            </w:r>
            <w:r w:rsidRPr="00336111">
              <w:rPr>
                <w:rFonts w:ascii="Arial" w:hAnsi="Arial" w:cs="Arial"/>
                <w:spacing w:val="-1"/>
              </w:rPr>
              <w:t xml:space="preserve"> </w:t>
            </w:r>
            <w:r w:rsidRPr="00336111">
              <w:rPr>
                <w:rFonts w:ascii="Arial" w:hAnsi="Arial" w:cs="Arial"/>
              </w:rPr>
              <w:t>thin</w:t>
            </w:r>
            <w:r w:rsidRPr="00336111">
              <w:rPr>
                <w:rFonts w:ascii="Arial" w:hAnsi="Arial" w:cs="Arial"/>
                <w:spacing w:val="-2"/>
              </w:rPr>
              <w:t xml:space="preserve"> </w:t>
            </w:r>
            <w:r w:rsidRPr="00336111">
              <w:rPr>
                <w:rFonts w:ascii="Arial" w:hAnsi="Arial" w:cs="Arial"/>
              </w:rPr>
              <w:t>foils</w:t>
            </w:r>
            <w:r w:rsidRPr="00336111">
              <w:rPr>
                <w:rFonts w:ascii="Arial" w:hAnsi="Arial" w:cs="Arial"/>
                <w:spacing w:val="-3"/>
              </w:rPr>
              <w:t xml:space="preserve"> </w:t>
            </w:r>
            <w:r w:rsidRPr="00336111">
              <w:rPr>
                <w:rFonts w:ascii="Arial" w:hAnsi="Arial" w:cs="Arial"/>
              </w:rPr>
              <w:t>as</w:t>
            </w:r>
            <w:r w:rsidRPr="00336111">
              <w:rPr>
                <w:rFonts w:ascii="Arial" w:hAnsi="Arial" w:cs="Arial"/>
                <w:spacing w:val="-1"/>
              </w:rPr>
              <w:t xml:space="preserve"> </w:t>
            </w:r>
            <w:r w:rsidRPr="00336111">
              <w:rPr>
                <w:rFonts w:ascii="Arial" w:hAnsi="Arial" w:cs="Arial"/>
              </w:rPr>
              <w:t>well</w:t>
            </w:r>
            <w:r w:rsidRPr="00336111">
              <w:rPr>
                <w:rFonts w:ascii="Arial" w:hAnsi="Arial" w:cs="Arial"/>
                <w:spacing w:val="-1"/>
              </w:rPr>
              <w:t xml:space="preserve"> </w:t>
            </w:r>
            <w:r w:rsidRPr="00336111">
              <w:rPr>
                <w:rFonts w:ascii="Arial" w:hAnsi="Arial" w:cs="Arial"/>
              </w:rPr>
              <w:t>as</w:t>
            </w:r>
            <w:r w:rsidRPr="00336111">
              <w:rPr>
                <w:rFonts w:ascii="Arial" w:hAnsi="Arial" w:cs="Arial"/>
                <w:spacing w:val="-4"/>
              </w:rPr>
              <w:t xml:space="preserve"> </w:t>
            </w:r>
            <w:r w:rsidRPr="00336111">
              <w:rPr>
                <w:rFonts w:ascii="Arial" w:hAnsi="Arial" w:cs="Arial"/>
              </w:rPr>
              <w:t>registration</w:t>
            </w:r>
            <w:r w:rsidR="0038563B">
              <w:rPr>
                <w:rFonts w:ascii="Arial" w:hAnsi="Arial" w:cs="Arial"/>
                <w:spacing w:val="-2"/>
              </w:rPr>
              <w:t xml:space="preserve"> </w:t>
            </w:r>
            <w:r w:rsidRPr="00336111">
              <w:rPr>
                <w:rFonts w:ascii="Arial" w:hAnsi="Arial" w:cs="Arial"/>
              </w:rPr>
              <w:t>markings</w:t>
            </w:r>
          </w:p>
        </w:tc>
        <w:tc>
          <w:tcPr>
            <w:tcW w:w="1530" w:type="dxa"/>
          </w:tcPr>
          <w:p w14:paraId="4ACA6C70" w14:textId="77777777" w:rsidR="00C04B4C" w:rsidRPr="00336111" w:rsidRDefault="00C04B4C" w:rsidP="00BE4A83">
            <w:pPr>
              <w:pStyle w:val="TableParagraph"/>
              <w:ind w:left="86"/>
              <w:rPr>
                <w:rFonts w:ascii="Arial" w:hAnsi="Arial" w:cs="Arial"/>
              </w:rPr>
            </w:pPr>
            <w:r w:rsidRPr="00336111">
              <w:rPr>
                <w:rFonts w:ascii="Arial" w:hAnsi="Arial" w:cs="Arial"/>
              </w:rPr>
              <w:t>Yes</w:t>
            </w:r>
          </w:p>
        </w:tc>
      </w:tr>
      <w:tr w:rsidR="00336111" w:rsidRPr="00336111" w14:paraId="017E70AF" w14:textId="77777777" w:rsidTr="0080379D">
        <w:trPr>
          <w:trHeight w:val="444"/>
        </w:trPr>
        <w:tc>
          <w:tcPr>
            <w:tcW w:w="895" w:type="dxa"/>
            <w:vMerge/>
            <w:shd w:val="clear" w:color="auto" w:fill="F2F2F2" w:themeFill="background1" w:themeFillShade="F2"/>
          </w:tcPr>
          <w:p w14:paraId="183462E2" w14:textId="77777777" w:rsidR="00C04B4C" w:rsidRPr="0038563B" w:rsidRDefault="00C04B4C" w:rsidP="00602DB9">
            <w:pPr>
              <w:jc w:val="center"/>
              <w:rPr>
                <w:rFonts w:ascii="Arial" w:hAnsi="Arial" w:cs="Arial"/>
                <w:b/>
              </w:rPr>
            </w:pPr>
          </w:p>
        </w:tc>
        <w:tc>
          <w:tcPr>
            <w:tcW w:w="2250" w:type="dxa"/>
            <w:vMerge/>
          </w:tcPr>
          <w:p w14:paraId="2CC23B8A" w14:textId="77777777" w:rsidR="00C04B4C" w:rsidRPr="00336111" w:rsidRDefault="00C04B4C" w:rsidP="00BE4A83">
            <w:pPr>
              <w:rPr>
                <w:rFonts w:ascii="Arial" w:hAnsi="Arial" w:cs="Arial"/>
                <w:sz w:val="2"/>
                <w:szCs w:val="2"/>
              </w:rPr>
            </w:pPr>
          </w:p>
        </w:tc>
        <w:tc>
          <w:tcPr>
            <w:tcW w:w="4860" w:type="dxa"/>
          </w:tcPr>
          <w:p w14:paraId="3272E2E4" w14:textId="77777777" w:rsidR="00C04B4C" w:rsidRPr="00336111" w:rsidRDefault="00C04B4C" w:rsidP="0038563B">
            <w:pPr>
              <w:pStyle w:val="TableParagraph"/>
              <w:spacing w:line="240" w:lineRule="atLeast"/>
              <w:ind w:right="148"/>
              <w:jc w:val="both"/>
              <w:rPr>
                <w:rFonts w:ascii="Arial" w:hAnsi="Arial" w:cs="Arial"/>
              </w:rPr>
            </w:pPr>
            <w:r w:rsidRPr="00336111">
              <w:rPr>
                <w:rFonts w:ascii="Arial" w:hAnsi="Arial" w:cs="Arial"/>
              </w:rPr>
              <w:t>Fairings — simple repairs to non-structural fairings and cover</w:t>
            </w:r>
            <w:r w:rsidRPr="00336111">
              <w:rPr>
                <w:rFonts w:ascii="Arial" w:hAnsi="Arial" w:cs="Arial"/>
                <w:spacing w:val="1"/>
              </w:rPr>
              <w:t xml:space="preserve"> </w:t>
            </w:r>
            <w:r w:rsidRPr="00336111">
              <w:rPr>
                <w:rFonts w:ascii="Arial" w:hAnsi="Arial" w:cs="Arial"/>
              </w:rPr>
              <w:t>plates</w:t>
            </w:r>
            <w:r w:rsidRPr="00336111">
              <w:rPr>
                <w:rFonts w:ascii="Arial" w:hAnsi="Arial" w:cs="Arial"/>
                <w:spacing w:val="-3"/>
              </w:rPr>
              <w:t xml:space="preserve"> </w:t>
            </w:r>
            <w:r w:rsidRPr="00336111">
              <w:rPr>
                <w:rFonts w:ascii="Arial" w:hAnsi="Arial" w:cs="Arial"/>
              </w:rPr>
              <w:t>that do not change</w:t>
            </w:r>
            <w:r w:rsidRPr="00336111">
              <w:rPr>
                <w:rFonts w:ascii="Arial" w:hAnsi="Arial" w:cs="Arial"/>
                <w:spacing w:val="-2"/>
              </w:rPr>
              <w:t xml:space="preserve"> </w:t>
            </w:r>
            <w:r w:rsidRPr="00336111">
              <w:rPr>
                <w:rFonts w:ascii="Arial" w:hAnsi="Arial" w:cs="Arial"/>
              </w:rPr>
              <w:t>the</w:t>
            </w:r>
            <w:r w:rsidRPr="00336111">
              <w:rPr>
                <w:rFonts w:ascii="Arial" w:hAnsi="Arial" w:cs="Arial"/>
                <w:spacing w:val="-3"/>
              </w:rPr>
              <w:t xml:space="preserve"> </w:t>
            </w:r>
            <w:r w:rsidRPr="00336111">
              <w:rPr>
                <w:rFonts w:ascii="Arial" w:hAnsi="Arial" w:cs="Arial"/>
              </w:rPr>
              <w:t>contour</w:t>
            </w:r>
          </w:p>
        </w:tc>
        <w:tc>
          <w:tcPr>
            <w:tcW w:w="1530" w:type="dxa"/>
          </w:tcPr>
          <w:p w14:paraId="7C7722C9" w14:textId="77777777" w:rsidR="00C04B4C" w:rsidRPr="00336111" w:rsidRDefault="00C04B4C" w:rsidP="00BE4A83">
            <w:pPr>
              <w:pStyle w:val="TableParagraph"/>
              <w:ind w:left="86"/>
              <w:rPr>
                <w:rFonts w:ascii="Arial" w:hAnsi="Arial" w:cs="Arial"/>
              </w:rPr>
            </w:pPr>
            <w:r w:rsidRPr="00336111">
              <w:rPr>
                <w:rFonts w:ascii="Arial" w:hAnsi="Arial" w:cs="Arial"/>
              </w:rPr>
              <w:t>Yes</w:t>
            </w:r>
          </w:p>
        </w:tc>
      </w:tr>
      <w:tr w:rsidR="00336111" w:rsidRPr="00336111" w14:paraId="2F626015" w14:textId="77777777" w:rsidTr="0080379D">
        <w:trPr>
          <w:trHeight w:val="201"/>
        </w:trPr>
        <w:tc>
          <w:tcPr>
            <w:tcW w:w="895" w:type="dxa"/>
            <w:shd w:val="clear" w:color="auto" w:fill="F2F2F2" w:themeFill="background1" w:themeFillShade="F2"/>
          </w:tcPr>
          <w:p w14:paraId="6AB5A032" w14:textId="77777777" w:rsidR="00C04B4C" w:rsidRPr="00336111" w:rsidRDefault="00C04B4C" w:rsidP="00602DB9">
            <w:pPr>
              <w:jc w:val="center"/>
              <w:rPr>
                <w:rFonts w:ascii="Arial" w:hAnsi="Arial" w:cs="Arial"/>
                <w:b/>
              </w:rPr>
            </w:pPr>
            <w:r w:rsidRPr="00336111">
              <w:rPr>
                <w:rFonts w:ascii="Arial" w:hAnsi="Arial" w:cs="Arial"/>
                <w:b/>
              </w:rPr>
              <w:t>52</w:t>
            </w:r>
          </w:p>
        </w:tc>
        <w:tc>
          <w:tcPr>
            <w:tcW w:w="2250" w:type="dxa"/>
          </w:tcPr>
          <w:p w14:paraId="54CF87F7" w14:textId="77777777" w:rsidR="00C04B4C" w:rsidRPr="00336111" w:rsidRDefault="00C04B4C" w:rsidP="00BE4A83">
            <w:pPr>
              <w:pStyle w:val="TableParagraph"/>
              <w:spacing w:line="225" w:lineRule="exact"/>
              <w:rPr>
                <w:rFonts w:ascii="Arial" w:hAnsi="Arial" w:cs="Arial"/>
              </w:rPr>
            </w:pPr>
            <w:r w:rsidRPr="00336111">
              <w:rPr>
                <w:rFonts w:ascii="Arial" w:hAnsi="Arial" w:cs="Arial"/>
              </w:rPr>
              <w:t>Doors</w:t>
            </w:r>
          </w:p>
        </w:tc>
        <w:tc>
          <w:tcPr>
            <w:tcW w:w="4860" w:type="dxa"/>
          </w:tcPr>
          <w:p w14:paraId="389FDFF4" w14:textId="77777777" w:rsidR="00C04B4C" w:rsidRPr="00336111" w:rsidRDefault="00C04B4C" w:rsidP="0038563B">
            <w:pPr>
              <w:pStyle w:val="TableParagraph"/>
              <w:spacing w:line="225" w:lineRule="exact"/>
              <w:jc w:val="both"/>
              <w:rPr>
                <w:rFonts w:ascii="Arial" w:hAnsi="Arial" w:cs="Arial"/>
              </w:rPr>
            </w:pPr>
            <w:r w:rsidRPr="00336111">
              <w:rPr>
                <w:rFonts w:ascii="Arial" w:hAnsi="Arial" w:cs="Arial"/>
              </w:rPr>
              <w:t>Doors</w:t>
            </w:r>
            <w:r w:rsidRPr="00336111">
              <w:rPr>
                <w:rFonts w:ascii="Arial" w:hAnsi="Arial" w:cs="Arial"/>
                <w:spacing w:val="-3"/>
              </w:rPr>
              <w:t xml:space="preserve"> </w:t>
            </w:r>
            <w:r w:rsidRPr="00336111">
              <w:rPr>
                <w:rFonts w:ascii="Arial" w:hAnsi="Arial" w:cs="Arial"/>
              </w:rPr>
              <w:t>—</w:t>
            </w:r>
            <w:r w:rsidRPr="00336111">
              <w:rPr>
                <w:rFonts w:ascii="Arial" w:hAnsi="Arial" w:cs="Arial"/>
                <w:spacing w:val="-2"/>
              </w:rPr>
              <w:t xml:space="preserve"> </w:t>
            </w:r>
            <w:r w:rsidRPr="00336111">
              <w:rPr>
                <w:rFonts w:ascii="Arial" w:hAnsi="Arial" w:cs="Arial"/>
              </w:rPr>
              <w:t>removal</w:t>
            </w:r>
            <w:r w:rsidRPr="00336111">
              <w:rPr>
                <w:rFonts w:ascii="Arial" w:hAnsi="Arial" w:cs="Arial"/>
                <w:spacing w:val="-3"/>
              </w:rPr>
              <w:t xml:space="preserve"> </w:t>
            </w:r>
            <w:r w:rsidRPr="00336111">
              <w:rPr>
                <w:rFonts w:ascii="Arial" w:hAnsi="Arial" w:cs="Arial"/>
              </w:rPr>
              <w:t>and</w:t>
            </w:r>
            <w:r w:rsidRPr="00336111">
              <w:rPr>
                <w:rFonts w:ascii="Arial" w:hAnsi="Arial" w:cs="Arial"/>
                <w:spacing w:val="-2"/>
              </w:rPr>
              <w:t xml:space="preserve"> </w:t>
            </w:r>
            <w:r w:rsidRPr="00336111">
              <w:rPr>
                <w:rFonts w:ascii="Arial" w:hAnsi="Arial" w:cs="Arial"/>
              </w:rPr>
              <w:t>reinstallation</w:t>
            </w:r>
          </w:p>
        </w:tc>
        <w:tc>
          <w:tcPr>
            <w:tcW w:w="1530" w:type="dxa"/>
          </w:tcPr>
          <w:p w14:paraId="685F6995" w14:textId="77777777" w:rsidR="00C04B4C" w:rsidRPr="00336111" w:rsidRDefault="00C04B4C" w:rsidP="00BE4A83">
            <w:pPr>
              <w:pStyle w:val="TableParagraph"/>
              <w:spacing w:line="225" w:lineRule="exact"/>
              <w:ind w:left="86"/>
              <w:rPr>
                <w:rFonts w:ascii="Arial" w:hAnsi="Arial" w:cs="Arial"/>
              </w:rPr>
            </w:pPr>
            <w:r w:rsidRPr="00336111">
              <w:rPr>
                <w:rFonts w:ascii="Arial" w:hAnsi="Arial" w:cs="Arial"/>
              </w:rPr>
              <w:t>Yes</w:t>
            </w:r>
          </w:p>
        </w:tc>
      </w:tr>
      <w:tr w:rsidR="00336111" w:rsidRPr="00336111" w14:paraId="4AC8A13A" w14:textId="77777777" w:rsidTr="0080379D">
        <w:trPr>
          <w:trHeight w:val="690"/>
        </w:trPr>
        <w:tc>
          <w:tcPr>
            <w:tcW w:w="895" w:type="dxa"/>
            <w:shd w:val="clear" w:color="auto" w:fill="F2F2F2" w:themeFill="background1" w:themeFillShade="F2"/>
          </w:tcPr>
          <w:p w14:paraId="6C0CCF22" w14:textId="77777777" w:rsidR="00C04B4C" w:rsidRPr="00336111" w:rsidRDefault="00C04B4C" w:rsidP="00602DB9">
            <w:pPr>
              <w:jc w:val="center"/>
              <w:rPr>
                <w:rFonts w:ascii="Arial" w:hAnsi="Arial" w:cs="Arial"/>
                <w:b/>
              </w:rPr>
            </w:pPr>
            <w:r w:rsidRPr="00336111">
              <w:rPr>
                <w:rFonts w:ascii="Arial" w:hAnsi="Arial" w:cs="Arial"/>
                <w:b/>
              </w:rPr>
              <w:t>53</w:t>
            </w:r>
          </w:p>
        </w:tc>
        <w:tc>
          <w:tcPr>
            <w:tcW w:w="2250" w:type="dxa"/>
          </w:tcPr>
          <w:p w14:paraId="42732C75" w14:textId="77777777" w:rsidR="00C04B4C" w:rsidRPr="00336111" w:rsidRDefault="00C04B4C" w:rsidP="00BE4A83">
            <w:pPr>
              <w:pStyle w:val="TableParagraph"/>
              <w:rPr>
                <w:rFonts w:ascii="Arial" w:hAnsi="Arial" w:cs="Arial"/>
              </w:rPr>
            </w:pPr>
            <w:r w:rsidRPr="00336111">
              <w:rPr>
                <w:rFonts w:ascii="Arial" w:hAnsi="Arial" w:cs="Arial"/>
              </w:rPr>
              <w:t>Fuselage</w:t>
            </w:r>
          </w:p>
        </w:tc>
        <w:tc>
          <w:tcPr>
            <w:tcW w:w="4860" w:type="dxa"/>
          </w:tcPr>
          <w:p w14:paraId="577D6DED" w14:textId="77777777" w:rsidR="00C04B4C" w:rsidRPr="00336111" w:rsidRDefault="00C04B4C" w:rsidP="0038563B">
            <w:pPr>
              <w:pStyle w:val="TableParagraph"/>
              <w:jc w:val="both"/>
              <w:rPr>
                <w:rFonts w:ascii="Arial" w:hAnsi="Arial" w:cs="Arial"/>
              </w:rPr>
            </w:pPr>
            <w:r w:rsidRPr="00336111">
              <w:rPr>
                <w:rFonts w:ascii="Arial" w:hAnsi="Arial" w:cs="Arial"/>
              </w:rPr>
              <w:t>Upholstery, furnishing — minor repairs that do not require</w:t>
            </w:r>
            <w:r w:rsidRPr="00336111">
              <w:rPr>
                <w:rFonts w:ascii="Arial" w:hAnsi="Arial" w:cs="Arial"/>
                <w:spacing w:val="1"/>
              </w:rPr>
              <w:t xml:space="preserve"> </w:t>
            </w:r>
            <w:r w:rsidRPr="00336111">
              <w:rPr>
                <w:rFonts w:ascii="Arial" w:hAnsi="Arial" w:cs="Arial"/>
              </w:rPr>
              <w:t>disassembly</w:t>
            </w:r>
            <w:r w:rsidRPr="00336111">
              <w:rPr>
                <w:rFonts w:ascii="Arial" w:hAnsi="Arial" w:cs="Arial"/>
                <w:spacing w:val="-3"/>
              </w:rPr>
              <w:t xml:space="preserve"> </w:t>
            </w:r>
            <w:r w:rsidRPr="00336111">
              <w:rPr>
                <w:rFonts w:ascii="Arial" w:hAnsi="Arial" w:cs="Arial"/>
              </w:rPr>
              <w:t>of</w:t>
            </w:r>
            <w:r w:rsidRPr="00336111">
              <w:rPr>
                <w:rFonts w:ascii="Arial" w:hAnsi="Arial" w:cs="Arial"/>
                <w:spacing w:val="-4"/>
              </w:rPr>
              <w:t xml:space="preserve"> </w:t>
            </w:r>
            <w:r w:rsidRPr="00336111">
              <w:rPr>
                <w:rFonts w:ascii="Arial" w:hAnsi="Arial" w:cs="Arial"/>
              </w:rPr>
              <w:t>primary</w:t>
            </w:r>
            <w:r w:rsidRPr="00336111">
              <w:rPr>
                <w:rFonts w:ascii="Arial" w:hAnsi="Arial" w:cs="Arial"/>
                <w:spacing w:val="-2"/>
              </w:rPr>
              <w:t xml:space="preserve"> </w:t>
            </w:r>
            <w:r w:rsidRPr="00336111">
              <w:rPr>
                <w:rFonts w:ascii="Arial" w:hAnsi="Arial" w:cs="Arial"/>
              </w:rPr>
              <w:t>structure</w:t>
            </w:r>
            <w:r w:rsidRPr="00336111">
              <w:rPr>
                <w:rFonts w:ascii="Arial" w:hAnsi="Arial" w:cs="Arial"/>
                <w:spacing w:val="-4"/>
              </w:rPr>
              <w:t xml:space="preserve"> </w:t>
            </w:r>
            <w:r w:rsidRPr="00336111">
              <w:rPr>
                <w:rFonts w:ascii="Arial" w:hAnsi="Arial" w:cs="Arial"/>
              </w:rPr>
              <w:t>or</w:t>
            </w:r>
            <w:r w:rsidRPr="00336111">
              <w:rPr>
                <w:rFonts w:ascii="Arial" w:hAnsi="Arial" w:cs="Arial"/>
                <w:spacing w:val="-2"/>
              </w:rPr>
              <w:t xml:space="preserve"> </w:t>
            </w:r>
            <w:r w:rsidRPr="00336111">
              <w:rPr>
                <w:rFonts w:ascii="Arial" w:hAnsi="Arial" w:cs="Arial"/>
              </w:rPr>
              <w:t>operating</w:t>
            </w:r>
            <w:r w:rsidRPr="00336111">
              <w:rPr>
                <w:rFonts w:ascii="Arial" w:hAnsi="Arial" w:cs="Arial"/>
                <w:spacing w:val="-3"/>
              </w:rPr>
              <w:t xml:space="preserve"> </w:t>
            </w:r>
            <w:r w:rsidRPr="00336111">
              <w:rPr>
                <w:rFonts w:ascii="Arial" w:hAnsi="Arial" w:cs="Arial"/>
              </w:rPr>
              <w:t>systems,</w:t>
            </w:r>
            <w:r w:rsidRPr="00336111">
              <w:rPr>
                <w:rFonts w:ascii="Arial" w:hAnsi="Arial" w:cs="Arial"/>
                <w:spacing w:val="-3"/>
              </w:rPr>
              <w:t xml:space="preserve"> </w:t>
            </w:r>
            <w:r w:rsidR="0038563B">
              <w:rPr>
                <w:rFonts w:ascii="Arial" w:hAnsi="Arial" w:cs="Arial"/>
              </w:rPr>
              <w:t xml:space="preserve">or </w:t>
            </w:r>
            <w:r w:rsidRPr="00336111">
              <w:rPr>
                <w:rFonts w:ascii="Arial" w:hAnsi="Arial" w:cs="Arial"/>
              </w:rPr>
              <w:t>interfere</w:t>
            </w:r>
            <w:r w:rsidRPr="00336111">
              <w:rPr>
                <w:rFonts w:ascii="Arial" w:hAnsi="Arial" w:cs="Arial"/>
                <w:spacing w:val="-3"/>
              </w:rPr>
              <w:t xml:space="preserve"> </w:t>
            </w:r>
            <w:r w:rsidRPr="00336111">
              <w:rPr>
                <w:rFonts w:ascii="Arial" w:hAnsi="Arial" w:cs="Arial"/>
              </w:rPr>
              <w:t>with</w:t>
            </w:r>
            <w:r w:rsidRPr="00336111">
              <w:rPr>
                <w:rFonts w:ascii="Arial" w:hAnsi="Arial" w:cs="Arial"/>
                <w:spacing w:val="-2"/>
              </w:rPr>
              <w:t xml:space="preserve"> </w:t>
            </w:r>
            <w:r w:rsidRPr="00336111">
              <w:rPr>
                <w:rFonts w:ascii="Arial" w:hAnsi="Arial" w:cs="Arial"/>
              </w:rPr>
              <w:t>control</w:t>
            </w:r>
            <w:r w:rsidRPr="00336111">
              <w:rPr>
                <w:rFonts w:ascii="Arial" w:hAnsi="Arial" w:cs="Arial"/>
                <w:spacing w:val="-2"/>
              </w:rPr>
              <w:t xml:space="preserve"> </w:t>
            </w:r>
            <w:r w:rsidRPr="00336111">
              <w:rPr>
                <w:rFonts w:ascii="Arial" w:hAnsi="Arial" w:cs="Arial"/>
              </w:rPr>
              <w:t>systems</w:t>
            </w:r>
          </w:p>
        </w:tc>
        <w:tc>
          <w:tcPr>
            <w:tcW w:w="1530" w:type="dxa"/>
          </w:tcPr>
          <w:p w14:paraId="01EF0CBF" w14:textId="77777777" w:rsidR="00C04B4C" w:rsidRPr="00336111" w:rsidRDefault="00C04B4C" w:rsidP="00BE4A83">
            <w:pPr>
              <w:pStyle w:val="TableParagraph"/>
              <w:ind w:left="86"/>
              <w:rPr>
                <w:rFonts w:ascii="Arial" w:hAnsi="Arial" w:cs="Arial"/>
              </w:rPr>
            </w:pPr>
            <w:r w:rsidRPr="00336111">
              <w:rPr>
                <w:rFonts w:ascii="Arial" w:hAnsi="Arial" w:cs="Arial"/>
              </w:rPr>
              <w:t>Yes</w:t>
            </w:r>
          </w:p>
        </w:tc>
      </w:tr>
      <w:tr w:rsidR="00336111" w:rsidRPr="00336111" w14:paraId="6C96C0E1" w14:textId="77777777" w:rsidTr="0080379D">
        <w:trPr>
          <w:trHeight w:val="444"/>
        </w:trPr>
        <w:tc>
          <w:tcPr>
            <w:tcW w:w="895" w:type="dxa"/>
            <w:shd w:val="clear" w:color="auto" w:fill="F2F2F2" w:themeFill="background1" w:themeFillShade="F2"/>
          </w:tcPr>
          <w:p w14:paraId="0DDDFD80" w14:textId="77777777" w:rsidR="00C04B4C" w:rsidRPr="00336111" w:rsidRDefault="00C04B4C" w:rsidP="00602DB9">
            <w:pPr>
              <w:jc w:val="center"/>
              <w:rPr>
                <w:rFonts w:ascii="Arial" w:hAnsi="Arial" w:cs="Arial"/>
                <w:b/>
              </w:rPr>
            </w:pPr>
            <w:r w:rsidRPr="00336111">
              <w:rPr>
                <w:rFonts w:ascii="Arial" w:hAnsi="Arial" w:cs="Arial"/>
                <w:b/>
              </w:rPr>
              <w:t>56</w:t>
            </w:r>
          </w:p>
        </w:tc>
        <w:tc>
          <w:tcPr>
            <w:tcW w:w="2250" w:type="dxa"/>
          </w:tcPr>
          <w:p w14:paraId="1852D04C" w14:textId="77777777" w:rsidR="00C04B4C" w:rsidRPr="00336111" w:rsidRDefault="00C04B4C" w:rsidP="00BE4A83">
            <w:pPr>
              <w:pStyle w:val="TableParagraph"/>
              <w:spacing w:line="242" w:lineRule="exact"/>
              <w:rPr>
                <w:rFonts w:ascii="Arial" w:hAnsi="Arial" w:cs="Arial"/>
              </w:rPr>
            </w:pPr>
            <w:r w:rsidRPr="00336111">
              <w:rPr>
                <w:rFonts w:ascii="Arial" w:hAnsi="Arial" w:cs="Arial"/>
              </w:rPr>
              <w:t>Windows</w:t>
            </w:r>
          </w:p>
        </w:tc>
        <w:tc>
          <w:tcPr>
            <w:tcW w:w="4860" w:type="dxa"/>
          </w:tcPr>
          <w:p w14:paraId="3C0DC150" w14:textId="77777777" w:rsidR="00C04B4C" w:rsidRPr="00336111" w:rsidRDefault="00C04B4C" w:rsidP="0038563B">
            <w:pPr>
              <w:pStyle w:val="TableParagraph"/>
              <w:spacing w:line="242" w:lineRule="exact"/>
              <w:jc w:val="both"/>
              <w:rPr>
                <w:rFonts w:ascii="Arial" w:hAnsi="Arial" w:cs="Arial"/>
              </w:rPr>
            </w:pPr>
            <w:r w:rsidRPr="00336111">
              <w:rPr>
                <w:rFonts w:ascii="Arial" w:hAnsi="Arial" w:cs="Arial"/>
              </w:rPr>
              <w:t>Side</w:t>
            </w:r>
            <w:r w:rsidRPr="00336111">
              <w:rPr>
                <w:rFonts w:ascii="Arial" w:hAnsi="Arial" w:cs="Arial"/>
                <w:spacing w:val="-4"/>
              </w:rPr>
              <w:t xml:space="preserve"> </w:t>
            </w:r>
            <w:r w:rsidRPr="00336111">
              <w:rPr>
                <w:rFonts w:ascii="Arial" w:hAnsi="Arial" w:cs="Arial"/>
              </w:rPr>
              <w:t>windows</w:t>
            </w:r>
            <w:r w:rsidRPr="00336111">
              <w:rPr>
                <w:rFonts w:ascii="Arial" w:hAnsi="Arial" w:cs="Arial"/>
                <w:spacing w:val="-1"/>
              </w:rPr>
              <w:t xml:space="preserve"> </w:t>
            </w:r>
            <w:r w:rsidRPr="00336111">
              <w:rPr>
                <w:rFonts w:ascii="Arial" w:hAnsi="Arial" w:cs="Arial"/>
              </w:rPr>
              <w:t>—</w:t>
            </w:r>
            <w:r w:rsidRPr="00336111">
              <w:rPr>
                <w:rFonts w:ascii="Arial" w:hAnsi="Arial" w:cs="Arial"/>
                <w:spacing w:val="-3"/>
              </w:rPr>
              <w:t xml:space="preserve"> </w:t>
            </w:r>
            <w:r w:rsidRPr="00336111">
              <w:rPr>
                <w:rFonts w:ascii="Arial" w:hAnsi="Arial" w:cs="Arial"/>
              </w:rPr>
              <w:t>replacement if</w:t>
            </w:r>
            <w:r w:rsidRPr="00336111">
              <w:rPr>
                <w:rFonts w:ascii="Arial" w:hAnsi="Arial" w:cs="Arial"/>
                <w:spacing w:val="-2"/>
              </w:rPr>
              <w:t xml:space="preserve"> </w:t>
            </w:r>
            <w:r w:rsidRPr="00336111">
              <w:rPr>
                <w:rFonts w:ascii="Arial" w:hAnsi="Arial" w:cs="Arial"/>
              </w:rPr>
              <w:t>no</w:t>
            </w:r>
            <w:r w:rsidRPr="00336111">
              <w:rPr>
                <w:rFonts w:ascii="Arial" w:hAnsi="Arial" w:cs="Arial"/>
                <w:spacing w:val="-3"/>
              </w:rPr>
              <w:t xml:space="preserve"> </w:t>
            </w:r>
            <w:r w:rsidRPr="00336111">
              <w:rPr>
                <w:rFonts w:ascii="Arial" w:hAnsi="Arial" w:cs="Arial"/>
              </w:rPr>
              <w:t>riveting,</w:t>
            </w:r>
            <w:r w:rsidRPr="00336111">
              <w:rPr>
                <w:rFonts w:ascii="Arial" w:hAnsi="Arial" w:cs="Arial"/>
                <w:spacing w:val="-2"/>
              </w:rPr>
              <w:t xml:space="preserve"> </w:t>
            </w:r>
            <w:r w:rsidRPr="00336111">
              <w:rPr>
                <w:rFonts w:ascii="Arial" w:hAnsi="Arial" w:cs="Arial"/>
              </w:rPr>
              <w:t>bonding</w:t>
            </w:r>
            <w:r w:rsidRPr="00336111">
              <w:rPr>
                <w:rFonts w:ascii="Arial" w:hAnsi="Arial" w:cs="Arial"/>
                <w:spacing w:val="-3"/>
              </w:rPr>
              <w:t xml:space="preserve"> </w:t>
            </w:r>
            <w:r w:rsidRPr="00336111">
              <w:rPr>
                <w:rFonts w:ascii="Arial" w:hAnsi="Arial" w:cs="Arial"/>
              </w:rPr>
              <w:t>or</w:t>
            </w:r>
            <w:r w:rsidRPr="00336111">
              <w:rPr>
                <w:rFonts w:ascii="Arial" w:hAnsi="Arial" w:cs="Arial"/>
                <w:spacing w:val="-3"/>
              </w:rPr>
              <w:t xml:space="preserve"> </w:t>
            </w:r>
            <w:r w:rsidRPr="00336111">
              <w:rPr>
                <w:rFonts w:ascii="Arial" w:hAnsi="Arial" w:cs="Arial"/>
              </w:rPr>
              <w:t>any</w:t>
            </w:r>
            <w:r w:rsidRPr="00336111">
              <w:rPr>
                <w:rFonts w:ascii="Arial" w:hAnsi="Arial" w:cs="Arial"/>
                <w:spacing w:val="-4"/>
              </w:rPr>
              <w:t xml:space="preserve"> </w:t>
            </w:r>
            <w:r w:rsidR="0038563B">
              <w:rPr>
                <w:rFonts w:ascii="Arial" w:hAnsi="Arial" w:cs="Arial"/>
              </w:rPr>
              <w:t xml:space="preserve">special </w:t>
            </w:r>
            <w:r w:rsidRPr="00336111">
              <w:rPr>
                <w:rFonts w:ascii="Arial" w:hAnsi="Arial" w:cs="Arial"/>
              </w:rPr>
              <w:t>process</w:t>
            </w:r>
            <w:r w:rsidRPr="00336111">
              <w:rPr>
                <w:rFonts w:ascii="Arial" w:hAnsi="Arial" w:cs="Arial"/>
                <w:spacing w:val="-4"/>
              </w:rPr>
              <w:t xml:space="preserve"> </w:t>
            </w:r>
            <w:r w:rsidRPr="00336111">
              <w:rPr>
                <w:rFonts w:ascii="Arial" w:hAnsi="Arial" w:cs="Arial"/>
              </w:rPr>
              <w:t>is</w:t>
            </w:r>
            <w:r w:rsidRPr="00336111">
              <w:rPr>
                <w:rFonts w:ascii="Arial" w:hAnsi="Arial" w:cs="Arial"/>
                <w:spacing w:val="-3"/>
              </w:rPr>
              <w:t xml:space="preserve"> </w:t>
            </w:r>
            <w:r w:rsidRPr="00336111">
              <w:rPr>
                <w:rFonts w:ascii="Arial" w:hAnsi="Arial" w:cs="Arial"/>
              </w:rPr>
              <w:t>required</w:t>
            </w:r>
          </w:p>
        </w:tc>
        <w:tc>
          <w:tcPr>
            <w:tcW w:w="1530" w:type="dxa"/>
          </w:tcPr>
          <w:p w14:paraId="76BDDB66" w14:textId="77777777" w:rsidR="00C04B4C" w:rsidRPr="00336111" w:rsidRDefault="00C04B4C" w:rsidP="00BE4A83">
            <w:pPr>
              <w:pStyle w:val="TableParagraph"/>
              <w:spacing w:line="242" w:lineRule="exact"/>
              <w:ind w:left="86"/>
              <w:rPr>
                <w:rFonts w:ascii="Arial" w:hAnsi="Arial" w:cs="Arial"/>
              </w:rPr>
            </w:pPr>
            <w:r w:rsidRPr="00336111">
              <w:rPr>
                <w:rFonts w:ascii="Arial" w:hAnsi="Arial" w:cs="Arial"/>
              </w:rPr>
              <w:t>Yes</w:t>
            </w:r>
          </w:p>
        </w:tc>
      </w:tr>
      <w:tr w:rsidR="00336111" w:rsidRPr="00336111" w14:paraId="2640A8C3" w14:textId="77777777" w:rsidTr="0080379D">
        <w:trPr>
          <w:trHeight w:val="934"/>
        </w:trPr>
        <w:tc>
          <w:tcPr>
            <w:tcW w:w="895" w:type="dxa"/>
            <w:shd w:val="clear" w:color="auto" w:fill="F2F2F2" w:themeFill="background1" w:themeFillShade="F2"/>
          </w:tcPr>
          <w:p w14:paraId="6E725612" w14:textId="77777777" w:rsidR="00C04B4C" w:rsidRPr="00336111" w:rsidRDefault="00C04B4C" w:rsidP="00602DB9">
            <w:pPr>
              <w:jc w:val="center"/>
              <w:rPr>
                <w:rFonts w:ascii="Arial" w:hAnsi="Arial" w:cs="Arial"/>
                <w:b/>
              </w:rPr>
            </w:pPr>
            <w:r w:rsidRPr="00336111">
              <w:rPr>
                <w:rFonts w:ascii="Arial" w:hAnsi="Arial" w:cs="Arial"/>
                <w:b/>
              </w:rPr>
              <w:t>62</w:t>
            </w:r>
          </w:p>
        </w:tc>
        <w:tc>
          <w:tcPr>
            <w:tcW w:w="2250" w:type="dxa"/>
          </w:tcPr>
          <w:p w14:paraId="335CE4C1" w14:textId="77777777" w:rsidR="00C04B4C" w:rsidRPr="00336111" w:rsidRDefault="00C04B4C" w:rsidP="00BE4A83">
            <w:pPr>
              <w:pStyle w:val="TableParagraph"/>
              <w:rPr>
                <w:rFonts w:ascii="Arial" w:hAnsi="Arial" w:cs="Arial"/>
              </w:rPr>
            </w:pPr>
            <w:r w:rsidRPr="00336111">
              <w:rPr>
                <w:rFonts w:ascii="Arial" w:hAnsi="Arial" w:cs="Arial"/>
              </w:rPr>
              <w:t>Main</w:t>
            </w:r>
            <w:r w:rsidRPr="00336111">
              <w:rPr>
                <w:rFonts w:ascii="Arial" w:hAnsi="Arial" w:cs="Arial"/>
                <w:spacing w:val="-2"/>
              </w:rPr>
              <w:t xml:space="preserve"> </w:t>
            </w:r>
            <w:r w:rsidRPr="00336111">
              <w:rPr>
                <w:rFonts w:ascii="Arial" w:hAnsi="Arial" w:cs="Arial"/>
              </w:rPr>
              <w:t>rotor</w:t>
            </w:r>
          </w:p>
        </w:tc>
        <w:tc>
          <w:tcPr>
            <w:tcW w:w="4860" w:type="dxa"/>
          </w:tcPr>
          <w:p w14:paraId="0DC08F77" w14:textId="77777777" w:rsidR="00C04B4C" w:rsidRPr="00336111" w:rsidRDefault="00C04B4C" w:rsidP="0038563B">
            <w:pPr>
              <w:pStyle w:val="TableParagraph"/>
              <w:ind w:right="174"/>
              <w:jc w:val="both"/>
              <w:rPr>
                <w:rFonts w:ascii="Arial" w:hAnsi="Arial" w:cs="Arial"/>
              </w:rPr>
            </w:pPr>
            <w:r w:rsidRPr="00336111">
              <w:rPr>
                <w:rFonts w:ascii="Arial" w:hAnsi="Arial" w:cs="Arial"/>
              </w:rPr>
              <w:t>Removal/installation of main-rotor blades (designed for removal</w:t>
            </w:r>
            <w:r w:rsidRPr="00336111">
              <w:rPr>
                <w:rFonts w:ascii="Arial" w:hAnsi="Arial" w:cs="Arial"/>
                <w:spacing w:val="1"/>
              </w:rPr>
              <w:t xml:space="preserve"> </w:t>
            </w:r>
            <w:r w:rsidRPr="00336111">
              <w:rPr>
                <w:rFonts w:ascii="Arial" w:hAnsi="Arial" w:cs="Arial"/>
              </w:rPr>
              <w:t>where special tools are not required, excluding tail-rotor blades),</w:t>
            </w:r>
            <w:r w:rsidRPr="00336111">
              <w:rPr>
                <w:rFonts w:ascii="Arial" w:hAnsi="Arial" w:cs="Arial"/>
                <w:spacing w:val="1"/>
              </w:rPr>
              <w:t xml:space="preserve"> </w:t>
            </w:r>
            <w:r w:rsidRPr="00336111">
              <w:rPr>
                <w:rFonts w:ascii="Arial" w:hAnsi="Arial" w:cs="Arial"/>
              </w:rPr>
              <w:t>limited</w:t>
            </w:r>
            <w:r w:rsidRPr="00336111">
              <w:rPr>
                <w:rFonts w:ascii="Arial" w:hAnsi="Arial" w:cs="Arial"/>
                <w:spacing w:val="-3"/>
              </w:rPr>
              <w:t xml:space="preserve"> </w:t>
            </w:r>
            <w:r w:rsidRPr="00336111">
              <w:rPr>
                <w:rFonts w:ascii="Arial" w:hAnsi="Arial" w:cs="Arial"/>
              </w:rPr>
              <w:t>to</w:t>
            </w:r>
            <w:r w:rsidRPr="00336111">
              <w:rPr>
                <w:rFonts w:ascii="Arial" w:hAnsi="Arial" w:cs="Arial"/>
                <w:spacing w:val="-2"/>
              </w:rPr>
              <w:t xml:space="preserve"> </w:t>
            </w:r>
            <w:r w:rsidRPr="00336111">
              <w:rPr>
                <w:rFonts w:ascii="Arial" w:hAnsi="Arial" w:cs="Arial"/>
              </w:rPr>
              <w:t>reinstallation</w:t>
            </w:r>
            <w:r w:rsidRPr="00336111">
              <w:rPr>
                <w:rFonts w:ascii="Arial" w:hAnsi="Arial" w:cs="Arial"/>
                <w:spacing w:val="-1"/>
              </w:rPr>
              <w:t xml:space="preserve"> </w:t>
            </w:r>
            <w:r w:rsidRPr="00336111">
              <w:rPr>
                <w:rFonts w:ascii="Arial" w:hAnsi="Arial" w:cs="Arial"/>
              </w:rPr>
              <w:t>of</w:t>
            </w:r>
            <w:r w:rsidRPr="00336111">
              <w:rPr>
                <w:rFonts w:ascii="Arial" w:hAnsi="Arial" w:cs="Arial"/>
                <w:spacing w:val="-4"/>
              </w:rPr>
              <w:t xml:space="preserve"> </w:t>
            </w:r>
            <w:r w:rsidRPr="00336111">
              <w:rPr>
                <w:rFonts w:ascii="Arial" w:hAnsi="Arial" w:cs="Arial"/>
              </w:rPr>
              <w:t>the</w:t>
            </w:r>
            <w:r w:rsidRPr="00336111">
              <w:rPr>
                <w:rFonts w:ascii="Arial" w:hAnsi="Arial" w:cs="Arial"/>
                <w:spacing w:val="-2"/>
              </w:rPr>
              <w:t xml:space="preserve"> </w:t>
            </w:r>
            <w:r w:rsidRPr="00336111">
              <w:rPr>
                <w:rFonts w:ascii="Arial" w:hAnsi="Arial" w:cs="Arial"/>
              </w:rPr>
              <w:t>same</w:t>
            </w:r>
            <w:r w:rsidRPr="00336111">
              <w:rPr>
                <w:rFonts w:ascii="Arial" w:hAnsi="Arial" w:cs="Arial"/>
                <w:spacing w:val="-3"/>
              </w:rPr>
              <w:t xml:space="preserve"> </w:t>
            </w:r>
            <w:r w:rsidRPr="00336111">
              <w:rPr>
                <w:rFonts w:ascii="Arial" w:hAnsi="Arial" w:cs="Arial"/>
              </w:rPr>
              <w:t>blades</w:t>
            </w:r>
            <w:r w:rsidRPr="00336111">
              <w:rPr>
                <w:rFonts w:ascii="Arial" w:hAnsi="Arial" w:cs="Arial"/>
                <w:spacing w:val="-4"/>
              </w:rPr>
              <w:t xml:space="preserve"> </w:t>
            </w:r>
            <w:r w:rsidRPr="00336111">
              <w:rPr>
                <w:rFonts w:ascii="Arial" w:hAnsi="Arial" w:cs="Arial"/>
              </w:rPr>
              <w:t>previously</w:t>
            </w:r>
            <w:r w:rsidRPr="00336111">
              <w:rPr>
                <w:rFonts w:ascii="Arial" w:hAnsi="Arial" w:cs="Arial"/>
                <w:spacing w:val="-2"/>
              </w:rPr>
              <w:t xml:space="preserve"> </w:t>
            </w:r>
            <w:r w:rsidRPr="00336111">
              <w:rPr>
                <w:rFonts w:ascii="Arial" w:hAnsi="Arial" w:cs="Arial"/>
              </w:rPr>
              <w:t>removed</w:t>
            </w:r>
            <w:r w:rsidRPr="00336111">
              <w:rPr>
                <w:rFonts w:ascii="Arial" w:hAnsi="Arial" w:cs="Arial"/>
                <w:spacing w:val="-3"/>
              </w:rPr>
              <w:t xml:space="preserve"> </w:t>
            </w:r>
            <w:r w:rsidR="0038563B">
              <w:rPr>
                <w:rFonts w:ascii="Arial" w:hAnsi="Arial" w:cs="Arial"/>
              </w:rPr>
              <w:t xml:space="preserve">in </w:t>
            </w:r>
            <w:r w:rsidRPr="00336111">
              <w:rPr>
                <w:rFonts w:ascii="Arial" w:hAnsi="Arial" w:cs="Arial"/>
              </w:rPr>
              <w:t>the</w:t>
            </w:r>
            <w:r w:rsidRPr="00336111">
              <w:rPr>
                <w:rFonts w:ascii="Arial" w:hAnsi="Arial" w:cs="Arial"/>
                <w:spacing w:val="-3"/>
              </w:rPr>
              <w:t xml:space="preserve"> </w:t>
            </w:r>
            <w:r w:rsidRPr="00336111">
              <w:rPr>
                <w:rFonts w:ascii="Arial" w:hAnsi="Arial" w:cs="Arial"/>
              </w:rPr>
              <w:t>original</w:t>
            </w:r>
            <w:r w:rsidRPr="00336111">
              <w:rPr>
                <w:rFonts w:ascii="Arial" w:hAnsi="Arial" w:cs="Arial"/>
                <w:spacing w:val="-2"/>
              </w:rPr>
              <w:t xml:space="preserve"> </w:t>
            </w:r>
            <w:r w:rsidRPr="00336111">
              <w:rPr>
                <w:rFonts w:ascii="Arial" w:hAnsi="Arial" w:cs="Arial"/>
              </w:rPr>
              <w:t>position</w:t>
            </w:r>
          </w:p>
        </w:tc>
        <w:tc>
          <w:tcPr>
            <w:tcW w:w="1530" w:type="dxa"/>
          </w:tcPr>
          <w:p w14:paraId="2F4C896B" w14:textId="77777777" w:rsidR="00C04B4C" w:rsidRPr="00336111" w:rsidRDefault="00C04B4C" w:rsidP="00BE4A83">
            <w:pPr>
              <w:pStyle w:val="TableParagraph"/>
              <w:ind w:left="86"/>
              <w:rPr>
                <w:rFonts w:ascii="Arial" w:hAnsi="Arial" w:cs="Arial"/>
              </w:rPr>
            </w:pPr>
            <w:r w:rsidRPr="00336111">
              <w:rPr>
                <w:rFonts w:ascii="Arial" w:hAnsi="Arial" w:cs="Arial"/>
              </w:rPr>
              <w:t>Yes</w:t>
            </w:r>
          </w:p>
        </w:tc>
      </w:tr>
      <w:tr w:rsidR="00336111" w:rsidRPr="00336111" w14:paraId="5517CB2E" w14:textId="77777777" w:rsidTr="0080379D">
        <w:trPr>
          <w:trHeight w:val="689"/>
        </w:trPr>
        <w:tc>
          <w:tcPr>
            <w:tcW w:w="895" w:type="dxa"/>
            <w:shd w:val="clear" w:color="auto" w:fill="F2F2F2" w:themeFill="background1" w:themeFillShade="F2"/>
          </w:tcPr>
          <w:p w14:paraId="199700FB" w14:textId="77777777" w:rsidR="00C04B4C" w:rsidRPr="00336111" w:rsidRDefault="00C04B4C" w:rsidP="00602DB9">
            <w:pPr>
              <w:jc w:val="center"/>
              <w:rPr>
                <w:rFonts w:ascii="Arial" w:hAnsi="Arial" w:cs="Arial"/>
                <w:b/>
              </w:rPr>
            </w:pPr>
            <w:r w:rsidRPr="00336111">
              <w:rPr>
                <w:rFonts w:ascii="Arial" w:hAnsi="Arial" w:cs="Arial"/>
                <w:b/>
              </w:rPr>
              <w:t>63</w:t>
            </w:r>
          </w:p>
          <w:p w14:paraId="510D633E" w14:textId="77777777" w:rsidR="00C04B4C" w:rsidRPr="00336111" w:rsidRDefault="00C04B4C" w:rsidP="00602DB9">
            <w:pPr>
              <w:jc w:val="center"/>
              <w:rPr>
                <w:rFonts w:ascii="Arial" w:hAnsi="Arial" w:cs="Arial"/>
                <w:b/>
              </w:rPr>
            </w:pPr>
            <w:r w:rsidRPr="00336111">
              <w:rPr>
                <w:rFonts w:ascii="Arial" w:hAnsi="Arial" w:cs="Arial"/>
                <w:b/>
              </w:rPr>
              <w:t>65</w:t>
            </w:r>
          </w:p>
        </w:tc>
        <w:tc>
          <w:tcPr>
            <w:tcW w:w="2250" w:type="dxa"/>
          </w:tcPr>
          <w:p w14:paraId="09A514FF" w14:textId="77777777" w:rsidR="00C04B4C" w:rsidRPr="00336111" w:rsidRDefault="00C04B4C" w:rsidP="00BE4A83">
            <w:pPr>
              <w:pStyle w:val="TableParagraph"/>
              <w:spacing w:line="242" w:lineRule="exact"/>
              <w:rPr>
                <w:rFonts w:ascii="Arial" w:hAnsi="Arial" w:cs="Arial"/>
              </w:rPr>
            </w:pPr>
            <w:r w:rsidRPr="00336111">
              <w:rPr>
                <w:rFonts w:ascii="Arial" w:hAnsi="Arial" w:cs="Arial"/>
              </w:rPr>
              <w:t>Transmission</w:t>
            </w:r>
          </w:p>
        </w:tc>
        <w:tc>
          <w:tcPr>
            <w:tcW w:w="4860" w:type="dxa"/>
          </w:tcPr>
          <w:p w14:paraId="1D233B74" w14:textId="77777777" w:rsidR="00C04B4C" w:rsidRPr="00336111" w:rsidRDefault="00C04B4C" w:rsidP="0038563B">
            <w:pPr>
              <w:pStyle w:val="TableParagraph"/>
              <w:ind w:right="148"/>
              <w:jc w:val="both"/>
              <w:rPr>
                <w:rFonts w:ascii="Arial" w:hAnsi="Arial" w:cs="Arial"/>
              </w:rPr>
            </w:pPr>
            <w:r w:rsidRPr="00336111">
              <w:rPr>
                <w:rFonts w:ascii="Arial" w:hAnsi="Arial" w:cs="Arial"/>
              </w:rPr>
              <w:t>Chip detectors — removal, checking and replacement provided</w:t>
            </w:r>
            <w:r w:rsidRPr="00336111">
              <w:rPr>
                <w:rFonts w:ascii="Arial" w:hAnsi="Arial" w:cs="Arial"/>
                <w:spacing w:val="1"/>
              </w:rPr>
              <w:t xml:space="preserve"> </w:t>
            </w:r>
            <w:r w:rsidRPr="00336111">
              <w:rPr>
                <w:rFonts w:ascii="Arial" w:hAnsi="Arial" w:cs="Arial"/>
              </w:rPr>
              <w:t>that</w:t>
            </w:r>
            <w:r w:rsidRPr="00336111">
              <w:rPr>
                <w:rFonts w:ascii="Arial" w:hAnsi="Arial" w:cs="Arial"/>
                <w:spacing w:val="-2"/>
              </w:rPr>
              <w:t xml:space="preserve"> </w:t>
            </w:r>
            <w:r w:rsidRPr="00336111">
              <w:rPr>
                <w:rFonts w:ascii="Arial" w:hAnsi="Arial" w:cs="Arial"/>
              </w:rPr>
              <w:t>the</w:t>
            </w:r>
            <w:r w:rsidRPr="00336111">
              <w:rPr>
                <w:rFonts w:ascii="Arial" w:hAnsi="Arial" w:cs="Arial"/>
                <w:spacing w:val="-2"/>
              </w:rPr>
              <w:t xml:space="preserve"> </w:t>
            </w:r>
            <w:r w:rsidRPr="00336111">
              <w:rPr>
                <w:rFonts w:ascii="Arial" w:hAnsi="Arial" w:cs="Arial"/>
              </w:rPr>
              <w:t>chip</w:t>
            </w:r>
            <w:r w:rsidRPr="00336111">
              <w:rPr>
                <w:rFonts w:ascii="Arial" w:hAnsi="Arial" w:cs="Arial"/>
                <w:spacing w:val="-2"/>
              </w:rPr>
              <w:t xml:space="preserve"> </w:t>
            </w:r>
            <w:r w:rsidRPr="00336111">
              <w:rPr>
                <w:rFonts w:ascii="Arial" w:hAnsi="Arial" w:cs="Arial"/>
              </w:rPr>
              <w:t>detector</w:t>
            </w:r>
            <w:r w:rsidRPr="00336111">
              <w:rPr>
                <w:rFonts w:ascii="Arial" w:hAnsi="Arial" w:cs="Arial"/>
                <w:spacing w:val="-1"/>
              </w:rPr>
              <w:t xml:space="preserve"> </w:t>
            </w:r>
            <w:r w:rsidRPr="00336111">
              <w:rPr>
                <w:rFonts w:ascii="Arial" w:hAnsi="Arial" w:cs="Arial"/>
              </w:rPr>
              <w:t>is</w:t>
            </w:r>
            <w:r w:rsidRPr="00336111">
              <w:rPr>
                <w:rFonts w:ascii="Arial" w:hAnsi="Arial" w:cs="Arial"/>
                <w:spacing w:val="-4"/>
              </w:rPr>
              <w:t xml:space="preserve"> </w:t>
            </w:r>
            <w:r w:rsidRPr="00336111">
              <w:rPr>
                <w:rFonts w:ascii="Arial" w:hAnsi="Arial" w:cs="Arial"/>
              </w:rPr>
              <w:t>of</w:t>
            </w:r>
            <w:r w:rsidRPr="00336111">
              <w:rPr>
                <w:rFonts w:ascii="Arial" w:hAnsi="Arial" w:cs="Arial"/>
                <w:spacing w:val="-3"/>
              </w:rPr>
              <w:t xml:space="preserve"> </w:t>
            </w:r>
            <w:r w:rsidRPr="00336111">
              <w:rPr>
                <w:rFonts w:ascii="Arial" w:hAnsi="Arial" w:cs="Arial"/>
              </w:rPr>
              <w:t>a</w:t>
            </w:r>
            <w:r w:rsidRPr="00336111">
              <w:rPr>
                <w:rFonts w:ascii="Arial" w:hAnsi="Arial" w:cs="Arial"/>
                <w:spacing w:val="-2"/>
              </w:rPr>
              <w:t xml:space="preserve"> </w:t>
            </w:r>
            <w:r w:rsidRPr="00336111">
              <w:rPr>
                <w:rFonts w:ascii="Arial" w:hAnsi="Arial" w:cs="Arial"/>
              </w:rPr>
              <w:t>non-electrically-indicated</w:t>
            </w:r>
            <w:r w:rsidRPr="00336111">
              <w:rPr>
                <w:rFonts w:ascii="Arial" w:hAnsi="Arial" w:cs="Arial"/>
                <w:spacing w:val="-1"/>
              </w:rPr>
              <w:t xml:space="preserve"> </w:t>
            </w:r>
            <w:r w:rsidR="0038563B">
              <w:rPr>
                <w:rFonts w:ascii="Arial" w:hAnsi="Arial" w:cs="Arial"/>
              </w:rPr>
              <w:t xml:space="preserve">self-sealing </w:t>
            </w:r>
            <w:r w:rsidRPr="00336111">
              <w:rPr>
                <w:rFonts w:ascii="Arial" w:hAnsi="Arial" w:cs="Arial"/>
              </w:rPr>
              <w:t>type</w:t>
            </w:r>
          </w:p>
        </w:tc>
        <w:tc>
          <w:tcPr>
            <w:tcW w:w="1530" w:type="dxa"/>
          </w:tcPr>
          <w:p w14:paraId="6BAC892F" w14:textId="77777777" w:rsidR="00C04B4C" w:rsidRPr="00336111" w:rsidRDefault="00C04B4C" w:rsidP="00BE4A83">
            <w:pPr>
              <w:pStyle w:val="TableParagraph"/>
              <w:spacing w:line="242" w:lineRule="exact"/>
              <w:ind w:left="86"/>
              <w:rPr>
                <w:rFonts w:ascii="Arial" w:hAnsi="Arial" w:cs="Arial"/>
              </w:rPr>
            </w:pPr>
            <w:r w:rsidRPr="00336111">
              <w:rPr>
                <w:rFonts w:ascii="Arial" w:hAnsi="Arial" w:cs="Arial"/>
              </w:rPr>
              <w:t>Yes</w:t>
            </w:r>
          </w:p>
        </w:tc>
      </w:tr>
      <w:tr w:rsidR="00336111" w:rsidRPr="00336111" w14:paraId="0414FC78" w14:textId="77777777" w:rsidTr="0080379D">
        <w:trPr>
          <w:trHeight w:val="444"/>
        </w:trPr>
        <w:tc>
          <w:tcPr>
            <w:tcW w:w="895" w:type="dxa"/>
            <w:shd w:val="clear" w:color="auto" w:fill="F2F2F2" w:themeFill="background1" w:themeFillShade="F2"/>
          </w:tcPr>
          <w:p w14:paraId="0CDA8E56" w14:textId="77777777" w:rsidR="00C04B4C" w:rsidRPr="00336111" w:rsidRDefault="00C04B4C" w:rsidP="00602DB9">
            <w:pPr>
              <w:jc w:val="center"/>
              <w:rPr>
                <w:rFonts w:ascii="Arial" w:hAnsi="Arial" w:cs="Arial"/>
                <w:b/>
              </w:rPr>
            </w:pPr>
            <w:r w:rsidRPr="00336111">
              <w:rPr>
                <w:rFonts w:ascii="Arial" w:hAnsi="Arial" w:cs="Arial"/>
                <w:b/>
              </w:rPr>
              <w:t>67</w:t>
            </w:r>
          </w:p>
        </w:tc>
        <w:tc>
          <w:tcPr>
            <w:tcW w:w="2250" w:type="dxa"/>
          </w:tcPr>
          <w:p w14:paraId="37933EED" w14:textId="77777777" w:rsidR="00C04B4C" w:rsidRPr="00336111" w:rsidRDefault="00C04B4C" w:rsidP="00BE4A83">
            <w:pPr>
              <w:pStyle w:val="TableParagraph"/>
              <w:spacing w:line="242" w:lineRule="exact"/>
              <w:rPr>
                <w:rFonts w:ascii="Arial" w:hAnsi="Arial" w:cs="Arial"/>
              </w:rPr>
            </w:pPr>
            <w:r w:rsidRPr="00336111">
              <w:rPr>
                <w:rFonts w:ascii="Arial" w:hAnsi="Arial" w:cs="Arial"/>
              </w:rPr>
              <w:t>Flight</w:t>
            </w:r>
            <w:r w:rsidRPr="00336111">
              <w:rPr>
                <w:rFonts w:ascii="Arial" w:hAnsi="Arial" w:cs="Arial"/>
                <w:spacing w:val="-3"/>
              </w:rPr>
              <w:t xml:space="preserve"> </w:t>
            </w:r>
            <w:r w:rsidRPr="00336111">
              <w:rPr>
                <w:rFonts w:ascii="Arial" w:hAnsi="Arial" w:cs="Arial"/>
              </w:rPr>
              <w:t>control</w:t>
            </w:r>
          </w:p>
        </w:tc>
        <w:tc>
          <w:tcPr>
            <w:tcW w:w="4860" w:type="dxa"/>
          </w:tcPr>
          <w:p w14:paraId="26E1E117" w14:textId="77777777" w:rsidR="00C04B4C" w:rsidRPr="00336111" w:rsidRDefault="00C04B4C" w:rsidP="0038563B">
            <w:pPr>
              <w:pStyle w:val="TableParagraph"/>
              <w:spacing w:line="242" w:lineRule="exact"/>
              <w:jc w:val="both"/>
              <w:rPr>
                <w:rFonts w:ascii="Arial" w:hAnsi="Arial" w:cs="Arial"/>
              </w:rPr>
            </w:pPr>
            <w:r w:rsidRPr="00336111">
              <w:rPr>
                <w:rFonts w:ascii="Arial" w:hAnsi="Arial" w:cs="Arial"/>
              </w:rPr>
              <w:t>Removal</w:t>
            </w:r>
            <w:r w:rsidRPr="00336111">
              <w:rPr>
                <w:rFonts w:ascii="Arial" w:hAnsi="Arial" w:cs="Arial"/>
                <w:spacing w:val="-2"/>
              </w:rPr>
              <w:t xml:space="preserve"> </w:t>
            </w:r>
            <w:r w:rsidRPr="00336111">
              <w:rPr>
                <w:rFonts w:ascii="Arial" w:hAnsi="Arial" w:cs="Arial"/>
              </w:rPr>
              <w:t>or</w:t>
            </w:r>
            <w:r w:rsidRPr="00336111">
              <w:rPr>
                <w:rFonts w:ascii="Arial" w:hAnsi="Arial" w:cs="Arial"/>
                <w:spacing w:val="-2"/>
              </w:rPr>
              <w:t xml:space="preserve"> </w:t>
            </w:r>
            <w:r w:rsidRPr="00336111">
              <w:rPr>
                <w:rFonts w:ascii="Arial" w:hAnsi="Arial" w:cs="Arial"/>
              </w:rPr>
              <w:t>reinstallation</w:t>
            </w:r>
            <w:r w:rsidRPr="00336111">
              <w:rPr>
                <w:rFonts w:ascii="Arial" w:hAnsi="Arial" w:cs="Arial"/>
                <w:spacing w:val="-1"/>
              </w:rPr>
              <w:t xml:space="preserve"> </w:t>
            </w:r>
            <w:r w:rsidRPr="00336111">
              <w:rPr>
                <w:rFonts w:ascii="Arial" w:hAnsi="Arial" w:cs="Arial"/>
              </w:rPr>
              <w:t>of</w:t>
            </w:r>
            <w:r w:rsidRPr="00336111">
              <w:rPr>
                <w:rFonts w:ascii="Arial" w:hAnsi="Arial" w:cs="Arial"/>
                <w:spacing w:val="-4"/>
              </w:rPr>
              <w:t xml:space="preserve"> </w:t>
            </w:r>
            <w:r w:rsidRPr="00336111">
              <w:rPr>
                <w:rFonts w:ascii="Arial" w:hAnsi="Arial" w:cs="Arial"/>
              </w:rPr>
              <w:t>co-pilot</w:t>
            </w:r>
            <w:r w:rsidRPr="00336111">
              <w:rPr>
                <w:rFonts w:ascii="Arial" w:hAnsi="Arial" w:cs="Arial"/>
                <w:spacing w:val="-1"/>
              </w:rPr>
              <w:t xml:space="preserve"> </w:t>
            </w:r>
            <w:r w:rsidRPr="00336111">
              <w:rPr>
                <w:rFonts w:ascii="Arial" w:hAnsi="Arial" w:cs="Arial"/>
              </w:rPr>
              <w:t>cyclic</w:t>
            </w:r>
            <w:r w:rsidRPr="00336111">
              <w:rPr>
                <w:rFonts w:ascii="Arial" w:hAnsi="Arial" w:cs="Arial"/>
                <w:spacing w:val="-3"/>
              </w:rPr>
              <w:t xml:space="preserve"> </w:t>
            </w:r>
            <w:r w:rsidRPr="00336111">
              <w:rPr>
                <w:rFonts w:ascii="Arial" w:hAnsi="Arial" w:cs="Arial"/>
              </w:rPr>
              <w:t>and</w:t>
            </w:r>
            <w:r w:rsidRPr="00336111">
              <w:rPr>
                <w:rFonts w:ascii="Arial" w:hAnsi="Arial" w:cs="Arial"/>
                <w:spacing w:val="-2"/>
              </w:rPr>
              <w:t xml:space="preserve"> </w:t>
            </w:r>
            <w:r w:rsidRPr="00336111">
              <w:rPr>
                <w:rFonts w:ascii="Arial" w:hAnsi="Arial" w:cs="Arial"/>
              </w:rPr>
              <w:t>collective</w:t>
            </w:r>
            <w:r w:rsidRPr="00336111">
              <w:rPr>
                <w:rFonts w:ascii="Arial" w:hAnsi="Arial" w:cs="Arial"/>
                <w:spacing w:val="-3"/>
              </w:rPr>
              <w:t xml:space="preserve"> </w:t>
            </w:r>
            <w:r w:rsidR="0038563B">
              <w:rPr>
                <w:rFonts w:ascii="Arial" w:hAnsi="Arial" w:cs="Arial"/>
              </w:rPr>
              <w:t xml:space="preserve">controls </w:t>
            </w:r>
            <w:r w:rsidRPr="00336111">
              <w:rPr>
                <w:rFonts w:ascii="Arial" w:hAnsi="Arial" w:cs="Arial"/>
              </w:rPr>
              <w:t>and</w:t>
            </w:r>
            <w:r w:rsidRPr="00336111">
              <w:rPr>
                <w:rFonts w:ascii="Arial" w:hAnsi="Arial" w:cs="Arial"/>
                <w:spacing w:val="-3"/>
              </w:rPr>
              <w:t xml:space="preserve"> </w:t>
            </w:r>
            <w:r w:rsidRPr="00336111">
              <w:rPr>
                <w:rFonts w:ascii="Arial" w:hAnsi="Arial" w:cs="Arial"/>
              </w:rPr>
              <w:t>yaw</w:t>
            </w:r>
            <w:r w:rsidRPr="00336111">
              <w:rPr>
                <w:rFonts w:ascii="Arial" w:hAnsi="Arial" w:cs="Arial"/>
                <w:spacing w:val="-3"/>
              </w:rPr>
              <w:t xml:space="preserve"> </w:t>
            </w:r>
            <w:r w:rsidRPr="00336111">
              <w:rPr>
                <w:rFonts w:ascii="Arial" w:hAnsi="Arial" w:cs="Arial"/>
              </w:rPr>
              <w:t>pedals</w:t>
            </w:r>
            <w:r w:rsidRPr="00336111">
              <w:rPr>
                <w:rFonts w:ascii="Arial" w:hAnsi="Arial" w:cs="Arial"/>
                <w:spacing w:val="-3"/>
              </w:rPr>
              <w:t xml:space="preserve"> </w:t>
            </w:r>
            <w:r w:rsidRPr="00336111">
              <w:rPr>
                <w:rFonts w:ascii="Arial" w:hAnsi="Arial" w:cs="Arial"/>
              </w:rPr>
              <w:t>where</w:t>
            </w:r>
            <w:r w:rsidRPr="00336111">
              <w:rPr>
                <w:rFonts w:ascii="Arial" w:hAnsi="Arial" w:cs="Arial"/>
                <w:spacing w:val="-3"/>
              </w:rPr>
              <w:t xml:space="preserve"> </w:t>
            </w:r>
            <w:r w:rsidRPr="00336111">
              <w:rPr>
                <w:rFonts w:ascii="Arial" w:hAnsi="Arial" w:cs="Arial"/>
              </w:rPr>
              <w:t>design</w:t>
            </w:r>
            <w:r w:rsidRPr="00336111">
              <w:rPr>
                <w:rFonts w:ascii="Arial" w:hAnsi="Arial" w:cs="Arial"/>
                <w:spacing w:val="1"/>
              </w:rPr>
              <w:t xml:space="preserve"> </w:t>
            </w:r>
            <w:r w:rsidRPr="00336111">
              <w:rPr>
                <w:rFonts w:ascii="Arial" w:hAnsi="Arial" w:cs="Arial"/>
              </w:rPr>
              <w:t>provides</w:t>
            </w:r>
            <w:r w:rsidRPr="00336111">
              <w:rPr>
                <w:rFonts w:ascii="Arial" w:hAnsi="Arial" w:cs="Arial"/>
                <w:spacing w:val="-1"/>
              </w:rPr>
              <w:t xml:space="preserve"> </w:t>
            </w:r>
            <w:r w:rsidRPr="00336111">
              <w:rPr>
                <w:rFonts w:ascii="Arial" w:hAnsi="Arial" w:cs="Arial"/>
              </w:rPr>
              <w:t>for</w:t>
            </w:r>
            <w:r w:rsidRPr="00336111">
              <w:rPr>
                <w:rFonts w:ascii="Arial" w:hAnsi="Arial" w:cs="Arial"/>
                <w:spacing w:val="-2"/>
              </w:rPr>
              <w:t xml:space="preserve"> </w:t>
            </w:r>
            <w:r w:rsidRPr="00336111">
              <w:rPr>
                <w:rFonts w:ascii="Arial" w:hAnsi="Arial" w:cs="Arial"/>
              </w:rPr>
              <w:t>quick</w:t>
            </w:r>
            <w:r w:rsidRPr="00336111">
              <w:rPr>
                <w:rFonts w:ascii="Arial" w:hAnsi="Arial" w:cs="Arial"/>
                <w:spacing w:val="-2"/>
              </w:rPr>
              <w:t xml:space="preserve"> </w:t>
            </w:r>
            <w:r w:rsidRPr="00336111">
              <w:rPr>
                <w:rFonts w:ascii="Arial" w:hAnsi="Arial" w:cs="Arial"/>
              </w:rPr>
              <w:t>disconnect</w:t>
            </w:r>
          </w:p>
        </w:tc>
        <w:tc>
          <w:tcPr>
            <w:tcW w:w="1530" w:type="dxa"/>
          </w:tcPr>
          <w:p w14:paraId="428504C6" w14:textId="77777777" w:rsidR="00C04B4C" w:rsidRPr="00336111" w:rsidRDefault="00C04B4C" w:rsidP="00BE4A83">
            <w:pPr>
              <w:pStyle w:val="TableParagraph"/>
              <w:spacing w:line="242" w:lineRule="exact"/>
              <w:ind w:left="86"/>
              <w:rPr>
                <w:rFonts w:ascii="Arial" w:hAnsi="Arial" w:cs="Arial"/>
              </w:rPr>
            </w:pPr>
            <w:r w:rsidRPr="00336111">
              <w:rPr>
                <w:rFonts w:ascii="Arial" w:hAnsi="Arial" w:cs="Arial"/>
              </w:rPr>
              <w:t>Yes</w:t>
            </w:r>
          </w:p>
        </w:tc>
      </w:tr>
      <w:tr w:rsidR="00336111" w:rsidRPr="00336111" w14:paraId="2B13820C" w14:textId="77777777" w:rsidTr="0080379D">
        <w:trPr>
          <w:trHeight w:val="444"/>
        </w:trPr>
        <w:tc>
          <w:tcPr>
            <w:tcW w:w="895" w:type="dxa"/>
            <w:shd w:val="clear" w:color="auto" w:fill="F2F2F2" w:themeFill="background1" w:themeFillShade="F2"/>
          </w:tcPr>
          <w:p w14:paraId="34264795" w14:textId="77777777" w:rsidR="00C04B4C" w:rsidRPr="00336111" w:rsidRDefault="00C04B4C" w:rsidP="00602DB9">
            <w:pPr>
              <w:jc w:val="center"/>
              <w:rPr>
                <w:rFonts w:ascii="Arial" w:hAnsi="Arial" w:cs="Arial"/>
                <w:b/>
              </w:rPr>
            </w:pPr>
            <w:r w:rsidRPr="00336111">
              <w:rPr>
                <w:rFonts w:ascii="Arial" w:hAnsi="Arial" w:cs="Arial"/>
                <w:b/>
              </w:rPr>
              <w:lastRenderedPageBreak/>
              <w:t>71</w:t>
            </w:r>
          </w:p>
        </w:tc>
        <w:tc>
          <w:tcPr>
            <w:tcW w:w="2250" w:type="dxa"/>
          </w:tcPr>
          <w:p w14:paraId="3B94FD9D" w14:textId="77777777" w:rsidR="00C04B4C" w:rsidRPr="00336111" w:rsidRDefault="00C04B4C" w:rsidP="00BE4A83">
            <w:pPr>
              <w:pStyle w:val="TableParagraph"/>
              <w:spacing w:line="242" w:lineRule="exact"/>
              <w:rPr>
                <w:rFonts w:ascii="Arial" w:hAnsi="Arial" w:cs="Arial"/>
              </w:rPr>
            </w:pPr>
            <w:r w:rsidRPr="00336111">
              <w:rPr>
                <w:rFonts w:ascii="Arial" w:hAnsi="Arial" w:cs="Arial"/>
              </w:rPr>
              <w:t>Power</w:t>
            </w:r>
            <w:r w:rsidRPr="00336111">
              <w:rPr>
                <w:rFonts w:ascii="Arial" w:hAnsi="Arial" w:cs="Arial"/>
                <w:spacing w:val="-2"/>
              </w:rPr>
              <w:t xml:space="preserve"> </w:t>
            </w:r>
            <w:r w:rsidRPr="00336111">
              <w:rPr>
                <w:rFonts w:ascii="Arial" w:hAnsi="Arial" w:cs="Arial"/>
              </w:rPr>
              <w:t>plant</w:t>
            </w:r>
          </w:p>
          <w:p w14:paraId="5DD24BBF" w14:textId="77777777" w:rsidR="00C04B4C" w:rsidRPr="00336111" w:rsidRDefault="00C04B4C" w:rsidP="00BE4A83">
            <w:pPr>
              <w:pStyle w:val="TableParagraph"/>
              <w:spacing w:line="225" w:lineRule="exact"/>
              <w:rPr>
                <w:rFonts w:ascii="Arial" w:hAnsi="Arial" w:cs="Arial"/>
              </w:rPr>
            </w:pPr>
            <w:r w:rsidRPr="00336111">
              <w:rPr>
                <w:rFonts w:ascii="Arial" w:hAnsi="Arial" w:cs="Arial"/>
              </w:rPr>
              <w:t>installation</w:t>
            </w:r>
          </w:p>
        </w:tc>
        <w:tc>
          <w:tcPr>
            <w:tcW w:w="4860" w:type="dxa"/>
          </w:tcPr>
          <w:p w14:paraId="67B0C4D0" w14:textId="77777777" w:rsidR="00C04B4C" w:rsidRPr="00336111" w:rsidRDefault="00C04B4C" w:rsidP="0038563B">
            <w:pPr>
              <w:pStyle w:val="TableParagraph"/>
              <w:spacing w:line="242" w:lineRule="exact"/>
              <w:jc w:val="both"/>
              <w:rPr>
                <w:rFonts w:ascii="Arial" w:hAnsi="Arial" w:cs="Arial"/>
              </w:rPr>
            </w:pPr>
            <w:r w:rsidRPr="00336111">
              <w:rPr>
                <w:rFonts w:ascii="Arial" w:hAnsi="Arial" w:cs="Arial"/>
              </w:rPr>
              <w:t>Cowlings</w:t>
            </w:r>
            <w:r w:rsidRPr="00336111">
              <w:rPr>
                <w:rFonts w:ascii="Arial" w:hAnsi="Arial" w:cs="Arial"/>
                <w:spacing w:val="-4"/>
              </w:rPr>
              <w:t xml:space="preserve"> </w:t>
            </w:r>
            <w:r w:rsidRPr="00336111">
              <w:rPr>
                <w:rFonts w:ascii="Arial" w:hAnsi="Arial" w:cs="Arial"/>
              </w:rPr>
              <w:t>—</w:t>
            </w:r>
            <w:r w:rsidRPr="00336111">
              <w:rPr>
                <w:rFonts w:ascii="Arial" w:hAnsi="Arial" w:cs="Arial"/>
                <w:spacing w:val="-2"/>
              </w:rPr>
              <w:t xml:space="preserve"> </w:t>
            </w:r>
            <w:r w:rsidRPr="00336111">
              <w:rPr>
                <w:rFonts w:ascii="Arial" w:hAnsi="Arial" w:cs="Arial"/>
              </w:rPr>
              <w:t>removal</w:t>
            </w:r>
            <w:r w:rsidRPr="00336111">
              <w:rPr>
                <w:rFonts w:ascii="Arial" w:hAnsi="Arial" w:cs="Arial"/>
                <w:spacing w:val="-2"/>
              </w:rPr>
              <w:t xml:space="preserve"> </w:t>
            </w:r>
            <w:r w:rsidRPr="00336111">
              <w:rPr>
                <w:rFonts w:ascii="Arial" w:hAnsi="Arial" w:cs="Arial"/>
              </w:rPr>
              <w:t>and</w:t>
            </w:r>
            <w:r w:rsidRPr="00336111">
              <w:rPr>
                <w:rFonts w:ascii="Arial" w:hAnsi="Arial" w:cs="Arial"/>
                <w:spacing w:val="-3"/>
              </w:rPr>
              <w:t xml:space="preserve"> </w:t>
            </w:r>
            <w:r w:rsidRPr="00336111">
              <w:rPr>
                <w:rFonts w:ascii="Arial" w:hAnsi="Arial" w:cs="Arial"/>
              </w:rPr>
              <w:t>refitment</w:t>
            </w:r>
          </w:p>
        </w:tc>
        <w:tc>
          <w:tcPr>
            <w:tcW w:w="1530" w:type="dxa"/>
          </w:tcPr>
          <w:p w14:paraId="037B4505" w14:textId="77777777" w:rsidR="00C04B4C" w:rsidRPr="00336111" w:rsidRDefault="00C04B4C" w:rsidP="00BE4A83">
            <w:pPr>
              <w:pStyle w:val="TableParagraph"/>
              <w:spacing w:line="242" w:lineRule="exact"/>
              <w:ind w:left="86"/>
              <w:rPr>
                <w:rFonts w:ascii="Arial" w:hAnsi="Arial" w:cs="Arial"/>
              </w:rPr>
            </w:pPr>
            <w:r w:rsidRPr="00336111">
              <w:rPr>
                <w:rFonts w:ascii="Arial" w:hAnsi="Arial" w:cs="Arial"/>
              </w:rPr>
              <w:t>Yes</w:t>
            </w:r>
          </w:p>
        </w:tc>
      </w:tr>
      <w:tr w:rsidR="00336111" w:rsidRPr="00336111" w14:paraId="0D92AB40" w14:textId="77777777" w:rsidTr="0080379D">
        <w:trPr>
          <w:trHeight w:val="689"/>
        </w:trPr>
        <w:tc>
          <w:tcPr>
            <w:tcW w:w="895" w:type="dxa"/>
            <w:shd w:val="clear" w:color="auto" w:fill="F2F2F2" w:themeFill="background1" w:themeFillShade="F2"/>
          </w:tcPr>
          <w:p w14:paraId="2670C6CD" w14:textId="77777777" w:rsidR="00C04B4C" w:rsidRPr="00336111" w:rsidRDefault="00C04B4C" w:rsidP="00602DB9">
            <w:pPr>
              <w:jc w:val="center"/>
              <w:rPr>
                <w:rFonts w:ascii="Arial" w:hAnsi="Arial" w:cs="Arial"/>
                <w:b/>
              </w:rPr>
            </w:pPr>
            <w:r w:rsidRPr="00336111">
              <w:rPr>
                <w:rFonts w:ascii="Arial" w:hAnsi="Arial" w:cs="Arial"/>
                <w:b/>
              </w:rPr>
              <w:t>72</w:t>
            </w:r>
          </w:p>
        </w:tc>
        <w:tc>
          <w:tcPr>
            <w:tcW w:w="2250" w:type="dxa"/>
          </w:tcPr>
          <w:p w14:paraId="4F87620A" w14:textId="77777777" w:rsidR="00C04B4C" w:rsidRPr="00336111" w:rsidRDefault="00C04B4C" w:rsidP="00BE4A83">
            <w:pPr>
              <w:pStyle w:val="TableParagraph"/>
              <w:rPr>
                <w:rFonts w:ascii="Arial" w:hAnsi="Arial" w:cs="Arial"/>
              </w:rPr>
            </w:pPr>
            <w:r w:rsidRPr="00336111">
              <w:rPr>
                <w:rFonts w:ascii="Arial" w:hAnsi="Arial" w:cs="Arial"/>
              </w:rPr>
              <w:t>Engine</w:t>
            </w:r>
          </w:p>
        </w:tc>
        <w:tc>
          <w:tcPr>
            <w:tcW w:w="4860" w:type="dxa"/>
          </w:tcPr>
          <w:p w14:paraId="17C902FC" w14:textId="77777777" w:rsidR="00C04B4C" w:rsidRPr="00336111" w:rsidRDefault="00C04B4C" w:rsidP="0038563B">
            <w:pPr>
              <w:pStyle w:val="TableParagraph"/>
              <w:ind w:right="148"/>
              <w:jc w:val="both"/>
              <w:rPr>
                <w:rFonts w:ascii="Arial" w:hAnsi="Arial" w:cs="Arial"/>
              </w:rPr>
            </w:pPr>
            <w:r w:rsidRPr="00336111">
              <w:rPr>
                <w:rFonts w:ascii="Arial" w:hAnsi="Arial" w:cs="Arial"/>
              </w:rPr>
              <w:t>Chip de</w:t>
            </w:r>
            <w:r w:rsidR="0038563B">
              <w:rPr>
                <w:rFonts w:ascii="Arial" w:hAnsi="Arial" w:cs="Arial"/>
              </w:rPr>
              <w:t xml:space="preserve">tectors — removal, checking and </w:t>
            </w:r>
            <w:r w:rsidRPr="00336111">
              <w:rPr>
                <w:rFonts w:ascii="Arial" w:hAnsi="Arial" w:cs="Arial"/>
              </w:rPr>
              <w:t>reinstallation provided</w:t>
            </w:r>
            <w:r w:rsidRPr="00336111">
              <w:rPr>
                <w:rFonts w:ascii="Arial" w:hAnsi="Arial" w:cs="Arial"/>
                <w:spacing w:val="1"/>
              </w:rPr>
              <w:t xml:space="preserve"> </w:t>
            </w:r>
            <w:r w:rsidRPr="00336111">
              <w:rPr>
                <w:rFonts w:ascii="Arial" w:hAnsi="Arial" w:cs="Arial"/>
              </w:rPr>
              <w:t>that</w:t>
            </w:r>
            <w:r w:rsidRPr="00336111">
              <w:rPr>
                <w:rFonts w:ascii="Arial" w:hAnsi="Arial" w:cs="Arial"/>
                <w:spacing w:val="-2"/>
              </w:rPr>
              <w:t xml:space="preserve"> </w:t>
            </w:r>
            <w:r w:rsidRPr="00336111">
              <w:rPr>
                <w:rFonts w:ascii="Arial" w:hAnsi="Arial" w:cs="Arial"/>
              </w:rPr>
              <w:t>the</w:t>
            </w:r>
            <w:r w:rsidRPr="00336111">
              <w:rPr>
                <w:rFonts w:ascii="Arial" w:hAnsi="Arial" w:cs="Arial"/>
                <w:spacing w:val="-2"/>
              </w:rPr>
              <w:t xml:space="preserve"> </w:t>
            </w:r>
            <w:r w:rsidRPr="00336111">
              <w:rPr>
                <w:rFonts w:ascii="Arial" w:hAnsi="Arial" w:cs="Arial"/>
              </w:rPr>
              <w:t>chip</w:t>
            </w:r>
            <w:r w:rsidRPr="00336111">
              <w:rPr>
                <w:rFonts w:ascii="Arial" w:hAnsi="Arial" w:cs="Arial"/>
                <w:spacing w:val="-2"/>
              </w:rPr>
              <w:t xml:space="preserve"> </w:t>
            </w:r>
            <w:r w:rsidRPr="00336111">
              <w:rPr>
                <w:rFonts w:ascii="Arial" w:hAnsi="Arial" w:cs="Arial"/>
              </w:rPr>
              <w:t>detector</w:t>
            </w:r>
            <w:r w:rsidRPr="00336111">
              <w:rPr>
                <w:rFonts w:ascii="Arial" w:hAnsi="Arial" w:cs="Arial"/>
                <w:spacing w:val="-1"/>
              </w:rPr>
              <w:t xml:space="preserve"> </w:t>
            </w:r>
            <w:r w:rsidRPr="00336111">
              <w:rPr>
                <w:rFonts w:ascii="Arial" w:hAnsi="Arial" w:cs="Arial"/>
              </w:rPr>
              <w:t>is</w:t>
            </w:r>
            <w:r w:rsidRPr="00336111">
              <w:rPr>
                <w:rFonts w:ascii="Arial" w:hAnsi="Arial" w:cs="Arial"/>
                <w:spacing w:val="-4"/>
              </w:rPr>
              <w:t xml:space="preserve"> </w:t>
            </w:r>
            <w:r w:rsidRPr="00336111">
              <w:rPr>
                <w:rFonts w:ascii="Arial" w:hAnsi="Arial" w:cs="Arial"/>
              </w:rPr>
              <w:t>of</w:t>
            </w:r>
            <w:r w:rsidRPr="00336111">
              <w:rPr>
                <w:rFonts w:ascii="Arial" w:hAnsi="Arial" w:cs="Arial"/>
                <w:spacing w:val="-3"/>
              </w:rPr>
              <w:t xml:space="preserve"> </w:t>
            </w:r>
            <w:r w:rsidRPr="00336111">
              <w:rPr>
                <w:rFonts w:ascii="Arial" w:hAnsi="Arial" w:cs="Arial"/>
              </w:rPr>
              <w:t>a</w:t>
            </w:r>
            <w:r w:rsidRPr="00336111">
              <w:rPr>
                <w:rFonts w:ascii="Arial" w:hAnsi="Arial" w:cs="Arial"/>
                <w:spacing w:val="-2"/>
              </w:rPr>
              <w:t xml:space="preserve"> </w:t>
            </w:r>
            <w:r w:rsidRPr="00336111">
              <w:rPr>
                <w:rFonts w:ascii="Arial" w:hAnsi="Arial" w:cs="Arial"/>
              </w:rPr>
              <w:t>non-electrically-indicated</w:t>
            </w:r>
            <w:r w:rsidRPr="00336111">
              <w:rPr>
                <w:rFonts w:ascii="Arial" w:hAnsi="Arial" w:cs="Arial"/>
                <w:spacing w:val="-1"/>
              </w:rPr>
              <w:t xml:space="preserve"> </w:t>
            </w:r>
            <w:r w:rsidR="0038563B">
              <w:rPr>
                <w:rFonts w:ascii="Arial" w:hAnsi="Arial" w:cs="Arial"/>
              </w:rPr>
              <w:t xml:space="preserve">self-sealing </w:t>
            </w:r>
            <w:r w:rsidRPr="00336111">
              <w:rPr>
                <w:rFonts w:ascii="Arial" w:hAnsi="Arial" w:cs="Arial"/>
              </w:rPr>
              <w:t>type</w:t>
            </w:r>
          </w:p>
        </w:tc>
        <w:tc>
          <w:tcPr>
            <w:tcW w:w="1530" w:type="dxa"/>
          </w:tcPr>
          <w:p w14:paraId="15843FDD" w14:textId="77777777" w:rsidR="00C04B4C" w:rsidRPr="00336111" w:rsidRDefault="00C04B4C" w:rsidP="00BE4A83">
            <w:pPr>
              <w:pStyle w:val="TableParagraph"/>
              <w:ind w:left="86"/>
              <w:rPr>
                <w:rFonts w:ascii="Arial" w:hAnsi="Arial" w:cs="Arial"/>
              </w:rPr>
            </w:pPr>
            <w:r w:rsidRPr="00336111">
              <w:rPr>
                <w:rFonts w:ascii="Arial" w:hAnsi="Arial" w:cs="Arial"/>
              </w:rPr>
              <w:t>Yes</w:t>
            </w:r>
          </w:p>
        </w:tc>
      </w:tr>
      <w:tr w:rsidR="00336111" w:rsidRPr="00336111" w14:paraId="1FBB506B" w14:textId="77777777" w:rsidTr="0080379D">
        <w:trPr>
          <w:trHeight w:val="444"/>
        </w:trPr>
        <w:tc>
          <w:tcPr>
            <w:tcW w:w="895" w:type="dxa"/>
            <w:vMerge w:val="restart"/>
            <w:shd w:val="clear" w:color="auto" w:fill="F2F2F2" w:themeFill="background1" w:themeFillShade="F2"/>
          </w:tcPr>
          <w:p w14:paraId="4EC05EEF" w14:textId="77777777" w:rsidR="00C04B4C" w:rsidRPr="00336111" w:rsidRDefault="00C04B4C" w:rsidP="00602DB9">
            <w:pPr>
              <w:jc w:val="center"/>
              <w:rPr>
                <w:rFonts w:ascii="Arial" w:hAnsi="Arial" w:cs="Arial"/>
                <w:b/>
              </w:rPr>
            </w:pPr>
            <w:r w:rsidRPr="00336111">
              <w:rPr>
                <w:rFonts w:ascii="Arial" w:hAnsi="Arial" w:cs="Arial"/>
                <w:b/>
              </w:rPr>
              <w:t>79</w:t>
            </w:r>
          </w:p>
        </w:tc>
        <w:tc>
          <w:tcPr>
            <w:tcW w:w="2250" w:type="dxa"/>
            <w:vMerge w:val="restart"/>
          </w:tcPr>
          <w:p w14:paraId="4506E8DD" w14:textId="77777777" w:rsidR="00C04B4C" w:rsidRPr="00336111" w:rsidRDefault="00C04B4C" w:rsidP="00BE4A83">
            <w:pPr>
              <w:pStyle w:val="TableParagraph"/>
              <w:rPr>
                <w:rFonts w:ascii="Arial" w:hAnsi="Arial" w:cs="Arial"/>
              </w:rPr>
            </w:pPr>
            <w:r w:rsidRPr="00336111">
              <w:rPr>
                <w:rFonts w:ascii="Arial" w:hAnsi="Arial" w:cs="Arial"/>
              </w:rPr>
              <w:t>Oil</w:t>
            </w:r>
            <w:r w:rsidRPr="00336111">
              <w:rPr>
                <w:rFonts w:ascii="Arial" w:hAnsi="Arial" w:cs="Arial"/>
                <w:spacing w:val="-4"/>
              </w:rPr>
              <w:t xml:space="preserve"> </w:t>
            </w:r>
            <w:r w:rsidRPr="00336111">
              <w:rPr>
                <w:rFonts w:ascii="Arial" w:hAnsi="Arial" w:cs="Arial"/>
              </w:rPr>
              <w:t>system</w:t>
            </w:r>
          </w:p>
        </w:tc>
        <w:tc>
          <w:tcPr>
            <w:tcW w:w="4860" w:type="dxa"/>
          </w:tcPr>
          <w:p w14:paraId="352051A9" w14:textId="77777777" w:rsidR="00C04B4C" w:rsidRPr="00336111" w:rsidRDefault="00C04B4C" w:rsidP="0038563B">
            <w:pPr>
              <w:pStyle w:val="TableParagraph"/>
              <w:spacing w:line="243" w:lineRule="exact"/>
              <w:jc w:val="both"/>
              <w:rPr>
                <w:rFonts w:ascii="Arial" w:hAnsi="Arial" w:cs="Arial"/>
              </w:rPr>
            </w:pPr>
            <w:r w:rsidRPr="00336111">
              <w:rPr>
                <w:rFonts w:ascii="Arial" w:hAnsi="Arial" w:cs="Arial"/>
              </w:rPr>
              <w:t>Filter</w:t>
            </w:r>
            <w:r w:rsidRPr="00336111">
              <w:rPr>
                <w:rFonts w:ascii="Arial" w:hAnsi="Arial" w:cs="Arial"/>
                <w:spacing w:val="-4"/>
              </w:rPr>
              <w:t xml:space="preserve"> </w:t>
            </w:r>
            <w:r w:rsidRPr="00336111">
              <w:rPr>
                <w:rFonts w:ascii="Arial" w:hAnsi="Arial" w:cs="Arial"/>
              </w:rPr>
              <w:t>elements</w:t>
            </w:r>
            <w:r w:rsidRPr="00336111">
              <w:rPr>
                <w:rFonts w:ascii="Arial" w:hAnsi="Arial" w:cs="Arial"/>
                <w:spacing w:val="1"/>
              </w:rPr>
              <w:t xml:space="preserve"> </w:t>
            </w:r>
            <w:r w:rsidRPr="00336111">
              <w:rPr>
                <w:rFonts w:ascii="Arial" w:hAnsi="Arial" w:cs="Arial"/>
              </w:rPr>
              <w:t>—</w:t>
            </w:r>
            <w:r w:rsidRPr="00336111">
              <w:rPr>
                <w:rFonts w:ascii="Arial" w:hAnsi="Arial" w:cs="Arial"/>
                <w:spacing w:val="-3"/>
              </w:rPr>
              <w:t xml:space="preserve"> </w:t>
            </w:r>
            <w:r w:rsidRPr="00336111">
              <w:rPr>
                <w:rFonts w:ascii="Arial" w:hAnsi="Arial" w:cs="Arial"/>
              </w:rPr>
              <w:t>replacement,</w:t>
            </w:r>
            <w:r w:rsidRPr="00336111">
              <w:rPr>
                <w:rFonts w:ascii="Arial" w:hAnsi="Arial" w:cs="Arial"/>
                <w:spacing w:val="-2"/>
              </w:rPr>
              <w:t xml:space="preserve"> </w:t>
            </w:r>
            <w:r w:rsidRPr="00336111">
              <w:rPr>
                <w:rFonts w:ascii="Arial" w:hAnsi="Arial" w:cs="Arial"/>
              </w:rPr>
              <w:t>provided</w:t>
            </w:r>
            <w:r w:rsidRPr="00336111">
              <w:rPr>
                <w:rFonts w:ascii="Arial" w:hAnsi="Arial" w:cs="Arial"/>
                <w:spacing w:val="-3"/>
              </w:rPr>
              <w:t xml:space="preserve"> </w:t>
            </w:r>
            <w:r w:rsidRPr="00336111">
              <w:rPr>
                <w:rFonts w:ascii="Arial" w:hAnsi="Arial" w:cs="Arial"/>
              </w:rPr>
              <w:t>that</w:t>
            </w:r>
            <w:r w:rsidRPr="00336111">
              <w:rPr>
                <w:rFonts w:ascii="Arial" w:hAnsi="Arial" w:cs="Arial"/>
                <w:spacing w:val="-2"/>
              </w:rPr>
              <w:t xml:space="preserve"> </w:t>
            </w:r>
            <w:r w:rsidRPr="00336111">
              <w:rPr>
                <w:rFonts w:ascii="Arial" w:hAnsi="Arial" w:cs="Arial"/>
              </w:rPr>
              <w:t>the</w:t>
            </w:r>
            <w:r w:rsidRPr="00336111">
              <w:rPr>
                <w:rFonts w:ascii="Arial" w:hAnsi="Arial" w:cs="Arial"/>
                <w:spacing w:val="-3"/>
              </w:rPr>
              <w:t xml:space="preserve"> </w:t>
            </w:r>
            <w:r w:rsidRPr="00336111">
              <w:rPr>
                <w:rFonts w:ascii="Arial" w:hAnsi="Arial" w:cs="Arial"/>
              </w:rPr>
              <w:t>element</w:t>
            </w:r>
            <w:r w:rsidRPr="00336111">
              <w:rPr>
                <w:rFonts w:ascii="Arial" w:hAnsi="Arial" w:cs="Arial"/>
                <w:spacing w:val="-3"/>
              </w:rPr>
              <w:t xml:space="preserve"> </w:t>
            </w:r>
            <w:r w:rsidRPr="00336111">
              <w:rPr>
                <w:rFonts w:ascii="Arial" w:hAnsi="Arial" w:cs="Arial"/>
              </w:rPr>
              <w:t>is</w:t>
            </w:r>
            <w:r w:rsidRPr="00336111">
              <w:rPr>
                <w:rFonts w:ascii="Arial" w:hAnsi="Arial" w:cs="Arial"/>
                <w:spacing w:val="-4"/>
              </w:rPr>
              <w:t xml:space="preserve"> </w:t>
            </w:r>
            <w:r w:rsidR="0038563B">
              <w:rPr>
                <w:rFonts w:ascii="Arial" w:hAnsi="Arial" w:cs="Arial"/>
              </w:rPr>
              <w:t xml:space="preserve">of </w:t>
            </w:r>
            <w:r w:rsidRPr="00336111">
              <w:rPr>
                <w:rFonts w:ascii="Arial" w:hAnsi="Arial" w:cs="Arial"/>
              </w:rPr>
              <w:t>the</w:t>
            </w:r>
            <w:r w:rsidRPr="00336111">
              <w:rPr>
                <w:rFonts w:ascii="Arial" w:hAnsi="Arial" w:cs="Arial"/>
                <w:spacing w:val="-4"/>
              </w:rPr>
              <w:t xml:space="preserve"> </w:t>
            </w:r>
            <w:r w:rsidRPr="00336111">
              <w:rPr>
                <w:rFonts w:ascii="Arial" w:hAnsi="Arial" w:cs="Arial"/>
              </w:rPr>
              <w:t>‘spin</w:t>
            </w:r>
            <w:r w:rsidRPr="00336111">
              <w:rPr>
                <w:rFonts w:ascii="Arial" w:hAnsi="Arial" w:cs="Arial"/>
                <w:spacing w:val="-3"/>
              </w:rPr>
              <w:t xml:space="preserve"> </w:t>
            </w:r>
            <w:r w:rsidRPr="00336111">
              <w:rPr>
                <w:rFonts w:ascii="Arial" w:hAnsi="Arial" w:cs="Arial"/>
              </w:rPr>
              <w:t>on/off’</w:t>
            </w:r>
            <w:r w:rsidRPr="00336111">
              <w:rPr>
                <w:rFonts w:ascii="Arial" w:hAnsi="Arial" w:cs="Arial"/>
                <w:spacing w:val="-2"/>
              </w:rPr>
              <w:t xml:space="preserve"> </w:t>
            </w:r>
            <w:r w:rsidRPr="00336111">
              <w:rPr>
                <w:rFonts w:ascii="Arial" w:hAnsi="Arial" w:cs="Arial"/>
              </w:rPr>
              <w:t>type</w:t>
            </w:r>
          </w:p>
        </w:tc>
        <w:tc>
          <w:tcPr>
            <w:tcW w:w="1530" w:type="dxa"/>
          </w:tcPr>
          <w:p w14:paraId="33E97F09" w14:textId="77777777" w:rsidR="00C04B4C" w:rsidRPr="00336111" w:rsidRDefault="00C04B4C" w:rsidP="00BE4A83">
            <w:pPr>
              <w:pStyle w:val="TableParagraph"/>
              <w:ind w:left="86"/>
              <w:rPr>
                <w:rFonts w:ascii="Arial" w:hAnsi="Arial" w:cs="Arial"/>
              </w:rPr>
            </w:pPr>
            <w:r w:rsidRPr="00336111">
              <w:rPr>
                <w:rFonts w:ascii="Arial" w:hAnsi="Arial" w:cs="Arial"/>
              </w:rPr>
              <w:t>Yes</w:t>
            </w:r>
          </w:p>
        </w:tc>
      </w:tr>
      <w:tr w:rsidR="00336111" w:rsidRPr="00336111" w14:paraId="63F9C9ED" w14:textId="77777777" w:rsidTr="0080379D">
        <w:trPr>
          <w:trHeight w:val="203"/>
        </w:trPr>
        <w:tc>
          <w:tcPr>
            <w:tcW w:w="895" w:type="dxa"/>
            <w:vMerge/>
            <w:shd w:val="clear" w:color="auto" w:fill="F2F2F2" w:themeFill="background1" w:themeFillShade="F2"/>
          </w:tcPr>
          <w:p w14:paraId="7008CBAB" w14:textId="77777777" w:rsidR="00C04B4C" w:rsidRPr="00336111" w:rsidRDefault="00C04B4C" w:rsidP="00BE4A83">
            <w:pPr>
              <w:rPr>
                <w:rFonts w:ascii="Arial" w:hAnsi="Arial" w:cs="Arial"/>
                <w:sz w:val="2"/>
                <w:szCs w:val="2"/>
              </w:rPr>
            </w:pPr>
          </w:p>
        </w:tc>
        <w:tc>
          <w:tcPr>
            <w:tcW w:w="2250" w:type="dxa"/>
            <w:vMerge/>
          </w:tcPr>
          <w:p w14:paraId="1C7A652C" w14:textId="77777777" w:rsidR="00C04B4C" w:rsidRPr="00336111" w:rsidRDefault="00C04B4C" w:rsidP="00BE4A83">
            <w:pPr>
              <w:rPr>
                <w:rFonts w:ascii="Arial" w:hAnsi="Arial" w:cs="Arial"/>
                <w:sz w:val="2"/>
                <w:szCs w:val="2"/>
              </w:rPr>
            </w:pPr>
          </w:p>
        </w:tc>
        <w:tc>
          <w:tcPr>
            <w:tcW w:w="4860" w:type="dxa"/>
          </w:tcPr>
          <w:p w14:paraId="1E87FAD0" w14:textId="77777777" w:rsidR="00C04B4C" w:rsidRPr="00336111" w:rsidRDefault="00C04B4C" w:rsidP="0038563B">
            <w:pPr>
              <w:pStyle w:val="TableParagraph"/>
              <w:spacing w:line="226" w:lineRule="exact"/>
              <w:jc w:val="both"/>
              <w:rPr>
                <w:rFonts w:ascii="Arial" w:hAnsi="Arial" w:cs="Arial"/>
              </w:rPr>
            </w:pPr>
            <w:r w:rsidRPr="00336111">
              <w:rPr>
                <w:rFonts w:ascii="Arial" w:hAnsi="Arial" w:cs="Arial"/>
              </w:rPr>
              <w:t>Oil</w:t>
            </w:r>
            <w:r w:rsidRPr="00336111">
              <w:rPr>
                <w:rFonts w:ascii="Arial" w:hAnsi="Arial" w:cs="Arial"/>
                <w:spacing w:val="-2"/>
              </w:rPr>
              <w:t xml:space="preserve"> </w:t>
            </w:r>
            <w:r w:rsidRPr="00336111">
              <w:rPr>
                <w:rFonts w:ascii="Arial" w:hAnsi="Arial" w:cs="Arial"/>
              </w:rPr>
              <w:t>—</w:t>
            </w:r>
            <w:r w:rsidRPr="00336111">
              <w:rPr>
                <w:rFonts w:ascii="Arial" w:hAnsi="Arial" w:cs="Arial"/>
                <w:spacing w:val="-2"/>
              </w:rPr>
              <w:t xml:space="preserve"> </w:t>
            </w:r>
            <w:r w:rsidRPr="00336111">
              <w:rPr>
                <w:rFonts w:ascii="Arial" w:hAnsi="Arial" w:cs="Arial"/>
              </w:rPr>
              <w:t>changing</w:t>
            </w:r>
            <w:r w:rsidRPr="00336111">
              <w:rPr>
                <w:rFonts w:ascii="Arial" w:hAnsi="Arial" w:cs="Arial"/>
                <w:spacing w:val="-2"/>
              </w:rPr>
              <w:t xml:space="preserve"> </w:t>
            </w:r>
            <w:r w:rsidRPr="00336111">
              <w:rPr>
                <w:rFonts w:ascii="Arial" w:hAnsi="Arial" w:cs="Arial"/>
              </w:rPr>
              <w:t>or</w:t>
            </w:r>
            <w:r w:rsidRPr="00336111">
              <w:rPr>
                <w:rFonts w:ascii="Arial" w:hAnsi="Arial" w:cs="Arial"/>
                <w:spacing w:val="-2"/>
              </w:rPr>
              <w:t xml:space="preserve"> </w:t>
            </w:r>
            <w:r w:rsidRPr="00336111">
              <w:rPr>
                <w:rFonts w:ascii="Arial" w:hAnsi="Arial" w:cs="Arial"/>
              </w:rPr>
              <w:t>replenishment</w:t>
            </w:r>
            <w:r w:rsidRPr="00336111">
              <w:rPr>
                <w:rFonts w:ascii="Arial" w:hAnsi="Arial" w:cs="Arial"/>
                <w:spacing w:val="-2"/>
              </w:rPr>
              <w:t xml:space="preserve"> </w:t>
            </w:r>
            <w:r w:rsidRPr="00336111">
              <w:rPr>
                <w:rFonts w:ascii="Arial" w:hAnsi="Arial" w:cs="Arial"/>
              </w:rPr>
              <w:t>of</w:t>
            </w:r>
            <w:r w:rsidRPr="00336111">
              <w:rPr>
                <w:rFonts w:ascii="Arial" w:hAnsi="Arial" w:cs="Arial"/>
                <w:spacing w:val="-4"/>
              </w:rPr>
              <w:t xml:space="preserve"> </w:t>
            </w:r>
            <w:r w:rsidRPr="00336111">
              <w:rPr>
                <w:rFonts w:ascii="Arial" w:hAnsi="Arial" w:cs="Arial"/>
              </w:rPr>
              <w:t>engine</w:t>
            </w:r>
            <w:r w:rsidRPr="00336111">
              <w:rPr>
                <w:rFonts w:ascii="Arial" w:hAnsi="Arial" w:cs="Arial"/>
                <w:spacing w:val="-3"/>
              </w:rPr>
              <w:t xml:space="preserve"> </w:t>
            </w:r>
            <w:r w:rsidRPr="00336111">
              <w:rPr>
                <w:rFonts w:ascii="Arial" w:hAnsi="Arial" w:cs="Arial"/>
              </w:rPr>
              <w:t>oil</w:t>
            </w:r>
          </w:p>
        </w:tc>
        <w:tc>
          <w:tcPr>
            <w:tcW w:w="1530" w:type="dxa"/>
          </w:tcPr>
          <w:p w14:paraId="61ADCF62" w14:textId="77777777" w:rsidR="00C04B4C" w:rsidRPr="00336111" w:rsidRDefault="00C04B4C" w:rsidP="00BE4A83">
            <w:pPr>
              <w:pStyle w:val="TableParagraph"/>
              <w:spacing w:line="226" w:lineRule="exact"/>
              <w:ind w:left="86"/>
              <w:rPr>
                <w:rFonts w:ascii="Arial" w:hAnsi="Arial" w:cs="Arial"/>
              </w:rPr>
            </w:pPr>
            <w:r w:rsidRPr="00336111">
              <w:rPr>
                <w:rFonts w:ascii="Arial" w:hAnsi="Arial" w:cs="Arial"/>
              </w:rPr>
              <w:t>Yes</w:t>
            </w:r>
          </w:p>
        </w:tc>
      </w:tr>
    </w:tbl>
    <w:p w14:paraId="00C47573" w14:textId="77777777" w:rsidR="00823845" w:rsidRDefault="00823845" w:rsidP="00823845">
      <w:pPr>
        <w:spacing w:before="1"/>
        <w:rPr>
          <w:rFonts w:ascii="Arial" w:hAnsi="Arial" w:cs="Arial"/>
          <w:b/>
          <w:sz w:val="20"/>
        </w:rPr>
      </w:pPr>
    </w:p>
    <w:p w14:paraId="75670C73" w14:textId="55B68194" w:rsidR="00341083" w:rsidRDefault="00341083" w:rsidP="00823845">
      <w:pPr>
        <w:spacing w:before="1"/>
        <w:rPr>
          <w:rFonts w:ascii="Arial" w:hAnsi="Arial" w:cs="Arial"/>
          <w:b/>
          <w:sz w:val="20"/>
        </w:rPr>
      </w:pPr>
    </w:p>
    <w:p w14:paraId="5595E26E" w14:textId="4EA1805C" w:rsidR="00C3671F" w:rsidRDefault="00C3671F" w:rsidP="00823845">
      <w:pPr>
        <w:spacing w:before="1"/>
        <w:rPr>
          <w:rFonts w:ascii="Arial" w:hAnsi="Arial" w:cs="Arial"/>
          <w:b/>
          <w:sz w:val="20"/>
        </w:rPr>
      </w:pPr>
    </w:p>
    <w:p w14:paraId="24C63AA4" w14:textId="6CB9C067" w:rsidR="00C3671F" w:rsidRDefault="00C3671F" w:rsidP="00823845">
      <w:pPr>
        <w:spacing w:before="1"/>
        <w:rPr>
          <w:rFonts w:ascii="Arial" w:hAnsi="Arial" w:cs="Arial"/>
          <w:b/>
          <w:sz w:val="20"/>
        </w:rPr>
      </w:pPr>
    </w:p>
    <w:p w14:paraId="2D17261B" w14:textId="4B840BF4" w:rsidR="00C3671F" w:rsidRDefault="00C3671F" w:rsidP="00823845">
      <w:pPr>
        <w:spacing w:before="1"/>
        <w:rPr>
          <w:rFonts w:ascii="Arial" w:hAnsi="Arial" w:cs="Arial"/>
          <w:b/>
          <w:sz w:val="20"/>
        </w:rPr>
      </w:pPr>
    </w:p>
    <w:p w14:paraId="23CB64E9" w14:textId="45CBE9E2" w:rsidR="00C3671F" w:rsidRDefault="00C3671F" w:rsidP="00823845">
      <w:pPr>
        <w:spacing w:before="1"/>
        <w:rPr>
          <w:rFonts w:ascii="Arial" w:hAnsi="Arial" w:cs="Arial"/>
          <w:b/>
          <w:sz w:val="20"/>
        </w:rPr>
      </w:pPr>
    </w:p>
    <w:p w14:paraId="3AD84E1B" w14:textId="3CE1CB90" w:rsidR="00C3671F" w:rsidRDefault="00C3671F" w:rsidP="00823845">
      <w:pPr>
        <w:spacing w:before="1"/>
        <w:rPr>
          <w:rFonts w:ascii="Arial" w:hAnsi="Arial" w:cs="Arial"/>
          <w:b/>
          <w:sz w:val="20"/>
        </w:rPr>
      </w:pPr>
    </w:p>
    <w:p w14:paraId="3D4B3279" w14:textId="173434E7" w:rsidR="00C3671F" w:rsidRDefault="00C3671F" w:rsidP="00823845">
      <w:pPr>
        <w:spacing w:before="1"/>
        <w:rPr>
          <w:rFonts w:ascii="Arial" w:hAnsi="Arial" w:cs="Arial"/>
          <w:b/>
          <w:sz w:val="20"/>
        </w:rPr>
      </w:pPr>
    </w:p>
    <w:p w14:paraId="48DE5098" w14:textId="04FE0F4C" w:rsidR="00C3671F" w:rsidRDefault="00C3671F" w:rsidP="00823845">
      <w:pPr>
        <w:spacing w:before="1"/>
        <w:rPr>
          <w:rFonts w:ascii="Arial" w:hAnsi="Arial" w:cs="Arial"/>
          <w:b/>
          <w:sz w:val="20"/>
        </w:rPr>
      </w:pPr>
    </w:p>
    <w:p w14:paraId="219D88D0" w14:textId="4E5150DA" w:rsidR="00C3671F" w:rsidRDefault="00C3671F" w:rsidP="00823845">
      <w:pPr>
        <w:spacing w:before="1"/>
        <w:rPr>
          <w:rFonts w:ascii="Arial" w:hAnsi="Arial" w:cs="Arial"/>
          <w:b/>
          <w:sz w:val="20"/>
        </w:rPr>
      </w:pPr>
    </w:p>
    <w:p w14:paraId="209795C9" w14:textId="76797721" w:rsidR="00C3671F" w:rsidRDefault="00C3671F" w:rsidP="00823845">
      <w:pPr>
        <w:spacing w:before="1"/>
        <w:rPr>
          <w:rFonts w:ascii="Arial" w:hAnsi="Arial" w:cs="Arial"/>
          <w:b/>
          <w:sz w:val="20"/>
        </w:rPr>
      </w:pPr>
    </w:p>
    <w:p w14:paraId="2CDC2DF1" w14:textId="0DCDE65B" w:rsidR="00C3671F" w:rsidRDefault="00C3671F" w:rsidP="00823845">
      <w:pPr>
        <w:spacing w:before="1"/>
        <w:rPr>
          <w:rFonts w:ascii="Arial" w:hAnsi="Arial" w:cs="Arial"/>
          <w:b/>
          <w:sz w:val="20"/>
        </w:rPr>
      </w:pPr>
    </w:p>
    <w:p w14:paraId="2F0AE8F5" w14:textId="77777777" w:rsidR="00C3671F" w:rsidRDefault="00C3671F" w:rsidP="00823845">
      <w:pPr>
        <w:spacing w:before="1"/>
        <w:rPr>
          <w:rFonts w:ascii="Arial" w:hAnsi="Arial" w:cs="Arial"/>
          <w:b/>
          <w:sz w:val="20"/>
        </w:rPr>
      </w:pPr>
    </w:p>
    <w:p w14:paraId="0D559789" w14:textId="77777777" w:rsidR="00341083" w:rsidRDefault="00341083" w:rsidP="00823845">
      <w:pPr>
        <w:spacing w:before="1"/>
        <w:rPr>
          <w:rFonts w:ascii="Arial" w:hAnsi="Arial" w:cs="Arial"/>
          <w:b/>
          <w:sz w:val="20"/>
        </w:rPr>
      </w:pPr>
    </w:p>
    <w:p w14:paraId="27A30AB5" w14:textId="77777777" w:rsidR="00341083" w:rsidRDefault="00341083" w:rsidP="00823845">
      <w:pPr>
        <w:spacing w:before="1"/>
        <w:rPr>
          <w:rFonts w:ascii="Arial" w:hAnsi="Arial" w:cs="Arial"/>
          <w:b/>
          <w:sz w:val="20"/>
        </w:rPr>
      </w:pPr>
    </w:p>
    <w:p w14:paraId="34DE947A" w14:textId="77777777" w:rsidR="00341083" w:rsidRDefault="00341083" w:rsidP="00823845">
      <w:pPr>
        <w:spacing w:before="1"/>
        <w:rPr>
          <w:rFonts w:ascii="Arial" w:hAnsi="Arial" w:cs="Arial"/>
          <w:b/>
          <w:sz w:val="20"/>
        </w:rPr>
      </w:pPr>
    </w:p>
    <w:p w14:paraId="59F2D42D" w14:textId="77777777" w:rsidR="00341083" w:rsidRDefault="00341083" w:rsidP="00823845">
      <w:pPr>
        <w:spacing w:before="1"/>
        <w:rPr>
          <w:rFonts w:ascii="Arial" w:hAnsi="Arial" w:cs="Arial"/>
          <w:b/>
          <w:sz w:val="20"/>
        </w:rPr>
      </w:pPr>
    </w:p>
    <w:p w14:paraId="53C2A39B" w14:textId="77777777" w:rsidR="00341083" w:rsidRDefault="00341083" w:rsidP="00823845">
      <w:pPr>
        <w:spacing w:before="1"/>
        <w:rPr>
          <w:rFonts w:ascii="Arial" w:hAnsi="Arial" w:cs="Arial"/>
          <w:b/>
          <w:sz w:val="20"/>
        </w:rPr>
      </w:pPr>
    </w:p>
    <w:p w14:paraId="6D0B424E" w14:textId="77777777" w:rsidR="00341083" w:rsidRDefault="00341083" w:rsidP="00823845">
      <w:pPr>
        <w:spacing w:before="1"/>
        <w:rPr>
          <w:rFonts w:ascii="Arial" w:hAnsi="Arial" w:cs="Arial"/>
          <w:b/>
          <w:sz w:val="20"/>
        </w:rPr>
      </w:pPr>
    </w:p>
    <w:p w14:paraId="63FB91BC" w14:textId="77777777" w:rsidR="00341083" w:rsidRDefault="00341083" w:rsidP="00823845">
      <w:pPr>
        <w:spacing w:before="1"/>
        <w:rPr>
          <w:rFonts w:ascii="Arial" w:hAnsi="Arial" w:cs="Arial"/>
          <w:b/>
          <w:sz w:val="20"/>
        </w:rPr>
      </w:pPr>
    </w:p>
    <w:p w14:paraId="4512CC9D" w14:textId="77777777" w:rsidR="00341083" w:rsidRDefault="00341083" w:rsidP="00823845">
      <w:pPr>
        <w:spacing w:before="1"/>
        <w:rPr>
          <w:rFonts w:ascii="Arial" w:hAnsi="Arial" w:cs="Arial"/>
          <w:b/>
          <w:sz w:val="20"/>
        </w:rPr>
      </w:pPr>
    </w:p>
    <w:p w14:paraId="7D406B6A" w14:textId="77777777" w:rsidR="00341083" w:rsidRDefault="00341083" w:rsidP="00823845">
      <w:pPr>
        <w:spacing w:before="1"/>
        <w:rPr>
          <w:rFonts w:ascii="Arial" w:hAnsi="Arial" w:cs="Arial"/>
          <w:b/>
          <w:sz w:val="20"/>
        </w:rPr>
      </w:pPr>
    </w:p>
    <w:p w14:paraId="2B65AD2E" w14:textId="77777777" w:rsidR="00341083" w:rsidRDefault="00341083" w:rsidP="00823845">
      <w:pPr>
        <w:spacing w:before="1"/>
        <w:rPr>
          <w:rFonts w:ascii="Arial" w:hAnsi="Arial" w:cs="Arial"/>
          <w:b/>
          <w:sz w:val="20"/>
        </w:rPr>
      </w:pPr>
    </w:p>
    <w:p w14:paraId="76B1984C" w14:textId="77777777" w:rsidR="00341083" w:rsidRDefault="00341083" w:rsidP="00823845">
      <w:pPr>
        <w:spacing w:before="1"/>
        <w:rPr>
          <w:rFonts w:ascii="Arial" w:hAnsi="Arial" w:cs="Arial"/>
          <w:b/>
          <w:sz w:val="20"/>
        </w:rPr>
      </w:pPr>
    </w:p>
    <w:p w14:paraId="162C8C9B" w14:textId="77777777" w:rsidR="00341083" w:rsidRDefault="00341083" w:rsidP="00823845">
      <w:pPr>
        <w:spacing w:before="1"/>
        <w:rPr>
          <w:rFonts w:ascii="Arial" w:hAnsi="Arial" w:cs="Arial"/>
          <w:b/>
          <w:sz w:val="20"/>
        </w:rPr>
      </w:pPr>
    </w:p>
    <w:p w14:paraId="461AC67D" w14:textId="77777777" w:rsidR="00341083" w:rsidRDefault="00341083" w:rsidP="00823845">
      <w:pPr>
        <w:spacing w:before="1"/>
        <w:rPr>
          <w:rFonts w:ascii="Arial" w:hAnsi="Arial" w:cs="Arial"/>
          <w:b/>
          <w:sz w:val="20"/>
        </w:rPr>
      </w:pPr>
    </w:p>
    <w:p w14:paraId="0C3D7B63" w14:textId="77777777" w:rsidR="00341083" w:rsidRDefault="00341083" w:rsidP="00823845">
      <w:pPr>
        <w:spacing w:before="1"/>
        <w:rPr>
          <w:rFonts w:ascii="Arial" w:hAnsi="Arial" w:cs="Arial"/>
          <w:b/>
          <w:sz w:val="20"/>
        </w:rPr>
      </w:pPr>
    </w:p>
    <w:p w14:paraId="2DB32D81" w14:textId="1A9F7890" w:rsidR="00341083" w:rsidRDefault="00341083" w:rsidP="00823845">
      <w:pPr>
        <w:spacing w:before="1"/>
        <w:rPr>
          <w:rFonts w:ascii="Arial" w:hAnsi="Arial" w:cs="Arial"/>
          <w:b/>
          <w:sz w:val="20"/>
        </w:rPr>
      </w:pPr>
    </w:p>
    <w:p w14:paraId="72E0E4F5" w14:textId="38BC7122" w:rsidR="00B8585D" w:rsidRDefault="00B8585D" w:rsidP="00823845">
      <w:pPr>
        <w:spacing w:before="1"/>
        <w:rPr>
          <w:rFonts w:ascii="Arial" w:hAnsi="Arial" w:cs="Arial"/>
          <w:b/>
          <w:sz w:val="20"/>
        </w:rPr>
      </w:pPr>
    </w:p>
    <w:p w14:paraId="304CEF02" w14:textId="1279E869" w:rsidR="00B8585D" w:rsidRDefault="00B8585D" w:rsidP="00823845">
      <w:pPr>
        <w:spacing w:before="1"/>
        <w:rPr>
          <w:rFonts w:ascii="Arial" w:hAnsi="Arial" w:cs="Arial"/>
          <w:b/>
          <w:sz w:val="20"/>
        </w:rPr>
      </w:pPr>
    </w:p>
    <w:p w14:paraId="69D5BEF6" w14:textId="480BD3C2" w:rsidR="00B8585D" w:rsidRDefault="00B8585D" w:rsidP="00823845">
      <w:pPr>
        <w:spacing w:before="1"/>
        <w:rPr>
          <w:rFonts w:ascii="Arial" w:hAnsi="Arial" w:cs="Arial"/>
          <w:b/>
          <w:sz w:val="20"/>
        </w:rPr>
      </w:pPr>
    </w:p>
    <w:p w14:paraId="08C7A501" w14:textId="6E11BD93" w:rsidR="00B8585D" w:rsidRDefault="00B8585D" w:rsidP="00823845">
      <w:pPr>
        <w:spacing w:before="1"/>
        <w:rPr>
          <w:rFonts w:ascii="Arial" w:hAnsi="Arial" w:cs="Arial"/>
          <w:b/>
          <w:sz w:val="20"/>
        </w:rPr>
      </w:pPr>
    </w:p>
    <w:p w14:paraId="39A2A2AB" w14:textId="2F47541C" w:rsidR="00B8585D" w:rsidRDefault="00B8585D" w:rsidP="00823845">
      <w:pPr>
        <w:spacing w:before="1"/>
        <w:rPr>
          <w:rFonts w:ascii="Arial" w:hAnsi="Arial" w:cs="Arial"/>
          <w:b/>
          <w:sz w:val="20"/>
        </w:rPr>
      </w:pPr>
    </w:p>
    <w:p w14:paraId="5E7295C7" w14:textId="68DB29BD" w:rsidR="00B8585D" w:rsidRDefault="00B8585D" w:rsidP="00823845">
      <w:pPr>
        <w:spacing w:before="1"/>
        <w:rPr>
          <w:rFonts w:ascii="Arial" w:hAnsi="Arial" w:cs="Arial"/>
          <w:b/>
          <w:sz w:val="20"/>
        </w:rPr>
      </w:pPr>
    </w:p>
    <w:p w14:paraId="3ADD1B51" w14:textId="4F6DBC3B" w:rsidR="003B53E3" w:rsidRDefault="003B53E3" w:rsidP="00823845">
      <w:pPr>
        <w:spacing w:before="1"/>
        <w:rPr>
          <w:rFonts w:ascii="Arial" w:hAnsi="Arial" w:cs="Arial"/>
          <w:b/>
          <w:sz w:val="20"/>
        </w:rPr>
      </w:pPr>
    </w:p>
    <w:p w14:paraId="3FDAFA0D" w14:textId="4EB79DA9" w:rsidR="003B53E3" w:rsidRDefault="003B53E3" w:rsidP="00823845">
      <w:pPr>
        <w:spacing w:before="1"/>
        <w:rPr>
          <w:rFonts w:ascii="Arial" w:hAnsi="Arial" w:cs="Arial"/>
          <w:b/>
          <w:sz w:val="20"/>
        </w:rPr>
      </w:pPr>
    </w:p>
    <w:p w14:paraId="75284D89" w14:textId="26336540" w:rsidR="003B53E3" w:rsidRDefault="003B53E3" w:rsidP="00823845">
      <w:pPr>
        <w:spacing w:before="1"/>
        <w:rPr>
          <w:rFonts w:ascii="Arial" w:hAnsi="Arial" w:cs="Arial"/>
          <w:b/>
          <w:sz w:val="20"/>
        </w:rPr>
      </w:pPr>
    </w:p>
    <w:p w14:paraId="1CC0120F" w14:textId="0F8179B5" w:rsidR="003B53E3" w:rsidRDefault="003B53E3" w:rsidP="00823845">
      <w:pPr>
        <w:spacing w:before="1"/>
        <w:rPr>
          <w:rFonts w:ascii="Arial" w:hAnsi="Arial" w:cs="Arial"/>
          <w:b/>
          <w:sz w:val="20"/>
        </w:rPr>
      </w:pPr>
    </w:p>
    <w:p w14:paraId="7526C754" w14:textId="6BB9D2A8" w:rsidR="003B53E3" w:rsidRDefault="003B53E3" w:rsidP="00823845">
      <w:pPr>
        <w:spacing w:before="1"/>
        <w:rPr>
          <w:rFonts w:ascii="Arial" w:hAnsi="Arial" w:cs="Arial"/>
          <w:b/>
          <w:sz w:val="20"/>
        </w:rPr>
      </w:pPr>
    </w:p>
    <w:p w14:paraId="52D35BA9" w14:textId="11703A24" w:rsidR="003B53E3" w:rsidRDefault="003B53E3" w:rsidP="00823845">
      <w:pPr>
        <w:spacing w:before="1"/>
        <w:rPr>
          <w:rFonts w:ascii="Arial" w:hAnsi="Arial" w:cs="Arial"/>
          <w:b/>
          <w:sz w:val="20"/>
        </w:rPr>
      </w:pPr>
    </w:p>
    <w:p w14:paraId="19731F18" w14:textId="707C8F0B" w:rsidR="003B53E3" w:rsidRDefault="003B53E3" w:rsidP="00823845">
      <w:pPr>
        <w:spacing w:before="1"/>
        <w:rPr>
          <w:rFonts w:ascii="Arial" w:hAnsi="Arial" w:cs="Arial"/>
          <w:b/>
          <w:sz w:val="20"/>
        </w:rPr>
      </w:pPr>
    </w:p>
    <w:p w14:paraId="75888317" w14:textId="111A115A" w:rsidR="003B53E3" w:rsidRDefault="003B53E3" w:rsidP="00823845">
      <w:pPr>
        <w:spacing w:before="1"/>
        <w:rPr>
          <w:rFonts w:ascii="Arial" w:hAnsi="Arial" w:cs="Arial"/>
          <w:b/>
          <w:sz w:val="20"/>
        </w:rPr>
      </w:pPr>
    </w:p>
    <w:p w14:paraId="3018773F" w14:textId="35A385A7" w:rsidR="003B53E3" w:rsidRDefault="003B53E3" w:rsidP="00823845">
      <w:pPr>
        <w:spacing w:before="1"/>
        <w:rPr>
          <w:rFonts w:ascii="Arial" w:hAnsi="Arial" w:cs="Arial"/>
          <w:b/>
          <w:sz w:val="20"/>
        </w:rPr>
      </w:pPr>
    </w:p>
    <w:p w14:paraId="5D4B225F" w14:textId="26727406" w:rsidR="003B53E3" w:rsidRDefault="003B53E3" w:rsidP="00823845">
      <w:pPr>
        <w:spacing w:before="1"/>
        <w:rPr>
          <w:rFonts w:ascii="Arial" w:hAnsi="Arial" w:cs="Arial"/>
          <w:b/>
          <w:sz w:val="20"/>
        </w:rPr>
      </w:pPr>
    </w:p>
    <w:p w14:paraId="0FD9D809" w14:textId="33417A2E" w:rsidR="003B53E3" w:rsidRDefault="003B53E3" w:rsidP="00823845">
      <w:pPr>
        <w:spacing w:before="1"/>
        <w:rPr>
          <w:rFonts w:ascii="Arial" w:hAnsi="Arial" w:cs="Arial"/>
          <w:b/>
          <w:sz w:val="20"/>
        </w:rPr>
      </w:pPr>
    </w:p>
    <w:p w14:paraId="71F9174A" w14:textId="7BFF7740" w:rsidR="003B53E3" w:rsidRDefault="003B53E3" w:rsidP="00823845">
      <w:pPr>
        <w:spacing w:before="1"/>
        <w:rPr>
          <w:rFonts w:ascii="Arial" w:hAnsi="Arial" w:cs="Arial"/>
          <w:b/>
          <w:sz w:val="20"/>
        </w:rPr>
      </w:pPr>
    </w:p>
    <w:p w14:paraId="128EDEBE" w14:textId="0E03E8AE" w:rsidR="003B53E3" w:rsidRDefault="003B53E3" w:rsidP="00823845">
      <w:pPr>
        <w:spacing w:before="1"/>
        <w:rPr>
          <w:rFonts w:ascii="Arial" w:hAnsi="Arial" w:cs="Arial"/>
          <w:b/>
          <w:sz w:val="20"/>
        </w:rPr>
      </w:pPr>
    </w:p>
    <w:p w14:paraId="470223E4" w14:textId="77777777" w:rsidR="003B53E3" w:rsidRDefault="003B53E3" w:rsidP="00823845">
      <w:pPr>
        <w:spacing w:before="1"/>
        <w:rPr>
          <w:rFonts w:ascii="Arial" w:hAnsi="Arial" w:cs="Arial"/>
          <w:b/>
          <w:sz w:val="20"/>
        </w:rPr>
      </w:pPr>
    </w:p>
    <w:p w14:paraId="4DE56B9B" w14:textId="77777777" w:rsidR="00341083" w:rsidRDefault="00341083" w:rsidP="00823845">
      <w:pPr>
        <w:spacing w:before="1"/>
        <w:rPr>
          <w:rFonts w:ascii="Arial" w:hAnsi="Arial" w:cs="Arial"/>
          <w:b/>
          <w:sz w:val="20"/>
        </w:rPr>
      </w:pPr>
    </w:p>
    <w:p w14:paraId="755DE68F" w14:textId="77777777" w:rsidR="00341083" w:rsidRDefault="00341083" w:rsidP="00823845">
      <w:pPr>
        <w:spacing w:before="1"/>
        <w:rPr>
          <w:rFonts w:ascii="Arial" w:hAnsi="Arial" w:cs="Arial"/>
          <w:b/>
          <w:sz w:val="20"/>
        </w:rPr>
      </w:pPr>
    </w:p>
    <w:p w14:paraId="2E62E034" w14:textId="77777777" w:rsidR="00341083" w:rsidRDefault="00341083" w:rsidP="00823845">
      <w:pPr>
        <w:spacing w:before="1"/>
        <w:rPr>
          <w:rFonts w:ascii="Arial" w:hAnsi="Arial" w:cs="Arial"/>
          <w:b/>
          <w:sz w:val="20"/>
        </w:rPr>
      </w:pPr>
    </w:p>
    <w:p w14:paraId="2240063B" w14:textId="77777777" w:rsidR="00341083" w:rsidRPr="00341083" w:rsidRDefault="00341083" w:rsidP="00341083">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977" w:name="Appendix_III_—_Complex_maintenance_tasks"/>
      <w:bookmarkStart w:id="978" w:name="_bookmark418"/>
      <w:bookmarkStart w:id="979" w:name="_Toc153137583"/>
      <w:bookmarkEnd w:id="977"/>
      <w:bookmarkEnd w:id="978"/>
      <w:r w:rsidRPr="00341083">
        <w:rPr>
          <w:rFonts w:ascii="Arial" w:eastAsia="Times New Roman" w:hAnsi="Arial" w:cs="Times New Roman"/>
          <w:b/>
          <w:iCs/>
          <w:color w:val="FFFFFF"/>
          <w:sz w:val="24"/>
        </w:rPr>
        <w:lastRenderedPageBreak/>
        <w:t>Appendix III — Complex maintenance tasks not to be released by the Pilot-owner</w:t>
      </w:r>
      <w:bookmarkEnd w:id="979"/>
    </w:p>
    <w:p w14:paraId="0D3BC906" w14:textId="77777777" w:rsidR="00B472E5" w:rsidRPr="00B472E5" w:rsidRDefault="00B472E5" w:rsidP="00B472E5">
      <w:pPr>
        <w:spacing w:before="117"/>
        <w:ind w:right="192"/>
        <w:jc w:val="both"/>
        <w:rPr>
          <w:rFonts w:ascii="Arial" w:hAnsi="Arial" w:cs="Arial"/>
          <w:sz w:val="20"/>
        </w:rPr>
      </w:pPr>
      <w:r w:rsidRPr="00B472E5">
        <w:rPr>
          <w:rFonts w:ascii="Arial" w:hAnsi="Arial" w:cs="Arial"/>
          <w:sz w:val="20"/>
        </w:rPr>
        <w:t>All of the following constitutes the complex maintenance tasks which, according to Appendix II, shall</w:t>
      </w:r>
      <w:r w:rsidRPr="00B472E5">
        <w:rPr>
          <w:rFonts w:ascii="Arial" w:hAnsi="Arial" w:cs="Arial"/>
          <w:spacing w:val="1"/>
          <w:sz w:val="20"/>
        </w:rPr>
        <w:t xml:space="preserve"> </w:t>
      </w:r>
      <w:r w:rsidRPr="00B472E5">
        <w:rPr>
          <w:rFonts w:ascii="Arial" w:hAnsi="Arial" w:cs="Arial"/>
          <w:sz w:val="20"/>
        </w:rPr>
        <w:t>not</w:t>
      </w:r>
      <w:r w:rsidRPr="00B472E5">
        <w:rPr>
          <w:rFonts w:ascii="Arial" w:hAnsi="Arial" w:cs="Arial"/>
          <w:spacing w:val="1"/>
          <w:sz w:val="20"/>
        </w:rPr>
        <w:t xml:space="preserve"> </w:t>
      </w:r>
      <w:r w:rsidRPr="00B472E5">
        <w:rPr>
          <w:rFonts w:ascii="Arial" w:hAnsi="Arial" w:cs="Arial"/>
          <w:sz w:val="20"/>
        </w:rPr>
        <w:t>be</w:t>
      </w:r>
      <w:r w:rsidRPr="00B472E5">
        <w:rPr>
          <w:rFonts w:ascii="Arial" w:hAnsi="Arial" w:cs="Arial"/>
          <w:spacing w:val="1"/>
          <w:sz w:val="20"/>
        </w:rPr>
        <w:t xml:space="preserve"> </w:t>
      </w:r>
      <w:r w:rsidRPr="00B472E5">
        <w:rPr>
          <w:rFonts w:ascii="Arial" w:hAnsi="Arial" w:cs="Arial"/>
          <w:sz w:val="20"/>
        </w:rPr>
        <w:t>carried</w:t>
      </w:r>
      <w:r w:rsidRPr="00B472E5">
        <w:rPr>
          <w:rFonts w:ascii="Arial" w:hAnsi="Arial" w:cs="Arial"/>
          <w:spacing w:val="1"/>
          <w:sz w:val="20"/>
        </w:rPr>
        <w:t xml:space="preserve"> </w:t>
      </w:r>
      <w:r w:rsidRPr="00B472E5">
        <w:rPr>
          <w:rFonts w:ascii="Arial" w:hAnsi="Arial" w:cs="Arial"/>
          <w:sz w:val="20"/>
        </w:rPr>
        <w:t>out</w:t>
      </w:r>
      <w:r w:rsidRPr="00B472E5">
        <w:rPr>
          <w:rFonts w:ascii="Arial" w:hAnsi="Arial" w:cs="Arial"/>
          <w:spacing w:val="1"/>
          <w:sz w:val="20"/>
        </w:rPr>
        <w:t xml:space="preserve"> </w:t>
      </w:r>
      <w:r w:rsidRPr="00B472E5">
        <w:rPr>
          <w:rFonts w:ascii="Arial" w:hAnsi="Arial" w:cs="Arial"/>
          <w:sz w:val="20"/>
        </w:rPr>
        <w:t>by</w:t>
      </w:r>
      <w:r w:rsidRPr="00B472E5">
        <w:rPr>
          <w:rFonts w:ascii="Arial" w:hAnsi="Arial" w:cs="Arial"/>
          <w:spacing w:val="1"/>
          <w:sz w:val="20"/>
        </w:rPr>
        <w:t xml:space="preserve"> </w:t>
      </w:r>
      <w:r w:rsidRPr="00B472E5">
        <w:rPr>
          <w:rFonts w:ascii="Arial" w:hAnsi="Arial" w:cs="Arial"/>
          <w:sz w:val="20"/>
        </w:rPr>
        <w:t>the</w:t>
      </w:r>
      <w:r w:rsidRPr="00B472E5">
        <w:rPr>
          <w:rFonts w:ascii="Arial" w:hAnsi="Arial" w:cs="Arial"/>
          <w:spacing w:val="1"/>
          <w:sz w:val="20"/>
        </w:rPr>
        <w:t xml:space="preserve"> </w:t>
      </w:r>
      <w:r w:rsidRPr="00B472E5">
        <w:rPr>
          <w:rFonts w:ascii="Arial" w:hAnsi="Arial" w:cs="Arial"/>
          <w:sz w:val="20"/>
        </w:rPr>
        <w:t>pilot-owner.</w:t>
      </w:r>
      <w:r w:rsidRPr="00B472E5">
        <w:rPr>
          <w:rFonts w:ascii="Arial" w:hAnsi="Arial" w:cs="Arial"/>
          <w:spacing w:val="1"/>
          <w:sz w:val="20"/>
        </w:rPr>
        <w:t xml:space="preserve"> </w:t>
      </w:r>
      <w:r w:rsidRPr="00B472E5">
        <w:rPr>
          <w:rFonts w:ascii="Arial" w:hAnsi="Arial" w:cs="Arial"/>
          <w:sz w:val="20"/>
        </w:rPr>
        <w:t>Those</w:t>
      </w:r>
      <w:r w:rsidRPr="00B472E5">
        <w:rPr>
          <w:rFonts w:ascii="Arial" w:hAnsi="Arial" w:cs="Arial"/>
          <w:spacing w:val="1"/>
          <w:sz w:val="20"/>
        </w:rPr>
        <w:t xml:space="preserve"> </w:t>
      </w:r>
      <w:r w:rsidRPr="00B472E5">
        <w:rPr>
          <w:rFonts w:ascii="Arial" w:hAnsi="Arial" w:cs="Arial"/>
          <w:sz w:val="20"/>
        </w:rPr>
        <w:t>tasks</w:t>
      </w:r>
      <w:r w:rsidRPr="00B472E5">
        <w:rPr>
          <w:rFonts w:ascii="Arial" w:hAnsi="Arial" w:cs="Arial"/>
          <w:spacing w:val="1"/>
          <w:sz w:val="20"/>
        </w:rPr>
        <w:t xml:space="preserve"> </w:t>
      </w:r>
      <w:r w:rsidRPr="00B472E5">
        <w:rPr>
          <w:rFonts w:ascii="Arial" w:hAnsi="Arial" w:cs="Arial"/>
          <w:sz w:val="20"/>
        </w:rPr>
        <w:t>shall</w:t>
      </w:r>
      <w:r w:rsidRPr="00B472E5">
        <w:rPr>
          <w:rFonts w:ascii="Arial" w:hAnsi="Arial" w:cs="Arial"/>
          <w:spacing w:val="1"/>
          <w:sz w:val="20"/>
        </w:rPr>
        <w:t xml:space="preserve"> </w:t>
      </w:r>
      <w:r w:rsidRPr="00B472E5">
        <w:rPr>
          <w:rFonts w:ascii="Arial" w:hAnsi="Arial" w:cs="Arial"/>
          <w:sz w:val="20"/>
        </w:rPr>
        <w:t>be</w:t>
      </w:r>
      <w:r w:rsidRPr="00B472E5">
        <w:rPr>
          <w:rFonts w:ascii="Arial" w:hAnsi="Arial" w:cs="Arial"/>
          <w:spacing w:val="1"/>
          <w:sz w:val="20"/>
        </w:rPr>
        <w:t xml:space="preserve"> </w:t>
      </w:r>
      <w:r w:rsidRPr="00B472E5">
        <w:rPr>
          <w:rFonts w:ascii="Arial" w:hAnsi="Arial" w:cs="Arial"/>
          <w:sz w:val="20"/>
        </w:rPr>
        <w:t>released</w:t>
      </w:r>
      <w:r w:rsidRPr="00B472E5">
        <w:rPr>
          <w:rFonts w:ascii="Arial" w:hAnsi="Arial" w:cs="Arial"/>
          <w:spacing w:val="1"/>
          <w:sz w:val="20"/>
        </w:rPr>
        <w:t xml:space="preserve"> </w:t>
      </w:r>
      <w:r w:rsidRPr="00B472E5">
        <w:rPr>
          <w:rFonts w:ascii="Arial" w:hAnsi="Arial" w:cs="Arial"/>
          <w:sz w:val="20"/>
        </w:rPr>
        <w:t>either</w:t>
      </w:r>
      <w:r w:rsidRPr="00B472E5">
        <w:rPr>
          <w:rFonts w:ascii="Arial" w:hAnsi="Arial" w:cs="Arial"/>
          <w:spacing w:val="1"/>
          <w:sz w:val="20"/>
        </w:rPr>
        <w:t xml:space="preserve"> </w:t>
      </w:r>
      <w:r w:rsidRPr="00B472E5">
        <w:rPr>
          <w:rFonts w:ascii="Arial" w:hAnsi="Arial" w:cs="Arial"/>
          <w:sz w:val="20"/>
        </w:rPr>
        <w:t>by</w:t>
      </w:r>
      <w:r w:rsidRPr="00B472E5">
        <w:rPr>
          <w:rFonts w:ascii="Arial" w:hAnsi="Arial" w:cs="Arial"/>
          <w:spacing w:val="1"/>
          <w:sz w:val="20"/>
        </w:rPr>
        <w:t xml:space="preserve"> </w:t>
      </w:r>
      <w:r w:rsidRPr="00B472E5">
        <w:rPr>
          <w:rFonts w:ascii="Arial" w:hAnsi="Arial" w:cs="Arial"/>
          <w:sz w:val="20"/>
        </w:rPr>
        <w:t>an</w:t>
      </w:r>
      <w:r w:rsidRPr="00B472E5">
        <w:rPr>
          <w:rFonts w:ascii="Arial" w:hAnsi="Arial" w:cs="Arial"/>
          <w:spacing w:val="1"/>
          <w:sz w:val="20"/>
        </w:rPr>
        <w:t xml:space="preserve"> </w:t>
      </w:r>
      <w:r w:rsidRPr="00B472E5">
        <w:rPr>
          <w:rFonts w:ascii="Arial" w:hAnsi="Arial" w:cs="Arial"/>
          <w:sz w:val="20"/>
        </w:rPr>
        <w:t>approved</w:t>
      </w:r>
      <w:r w:rsidRPr="00B472E5">
        <w:rPr>
          <w:rFonts w:ascii="Arial" w:hAnsi="Arial" w:cs="Arial"/>
          <w:spacing w:val="1"/>
          <w:sz w:val="20"/>
        </w:rPr>
        <w:t xml:space="preserve"> </w:t>
      </w:r>
      <w:r w:rsidRPr="00B472E5">
        <w:rPr>
          <w:rFonts w:ascii="Arial" w:hAnsi="Arial" w:cs="Arial"/>
          <w:sz w:val="20"/>
        </w:rPr>
        <w:t>maintenance</w:t>
      </w:r>
      <w:r w:rsidRPr="00B472E5">
        <w:rPr>
          <w:rFonts w:ascii="Arial" w:hAnsi="Arial" w:cs="Arial"/>
          <w:spacing w:val="-3"/>
          <w:sz w:val="20"/>
        </w:rPr>
        <w:t xml:space="preserve"> </w:t>
      </w:r>
      <w:r w:rsidRPr="00B472E5">
        <w:rPr>
          <w:rFonts w:ascii="Arial" w:hAnsi="Arial" w:cs="Arial"/>
          <w:sz w:val="20"/>
        </w:rPr>
        <w:t>organisation</w:t>
      </w:r>
      <w:r w:rsidRPr="00B472E5">
        <w:rPr>
          <w:rFonts w:ascii="Arial" w:hAnsi="Arial" w:cs="Arial"/>
          <w:spacing w:val="-3"/>
          <w:sz w:val="20"/>
        </w:rPr>
        <w:t xml:space="preserve"> </w:t>
      </w:r>
      <w:r w:rsidRPr="00B472E5">
        <w:rPr>
          <w:rFonts w:ascii="Arial" w:hAnsi="Arial" w:cs="Arial"/>
          <w:sz w:val="20"/>
        </w:rPr>
        <w:t>or by</w:t>
      </w:r>
      <w:r w:rsidRPr="00B472E5">
        <w:rPr>
          <w:rFonts w:ascii="Arial" w:hAnsi="Arial" w:cs="Arial"/>
          <w:spacing w:val="-3"/>
          <w:sz w:val="20"/>
        </w:rPr>
        <w:t xml:space="preserve"> </w:t>
      </w:r>
      <w:r w:rsidRPr="00B472E5">
        <w:rPr>
          <w:rFonts w:ascii="Arial" w:hAnsi="Arial" w:cs="Arial"/>
          <w:sz w:val="20"/>
        </w:rPr>
        <w:t>independent</w:t>
      </w:r>
      <w:r w:rsidRPr="00B472E5">
        <w:rPr>
          <w:rFonts w:ascii="Arial" w:hAnsi="Arial" w:cs="Arial"/>
          <w:spacing w:val="-2"/>
          <w:sz w:val="20"/>
        </w:rPr>
        <w:t xml:space="preserve"> </w:t>
      </w:r>
      <w:r w:rsidRPr="00B472E5">
        <w:rPr>
          <w:rFonts w:ascii="Arial" w:hAnsi="Arial" w:cs="Arial"/>
          <w:sz w:val="20"/>
        </w:rPr>
        <w:t>certifying</w:t>
      </w:r>
      <w:r w:rsidRPr="00B472E5">
        <w:rPr>
          <w:rFonts w:ascii="Arial" w:hAnsi="Arial" w:cs="Arial"/>
          <w:spacing w:val="-1"/>
          <w:sz w:val="20"/>
        </w:rPr>
        <w:t xml:space="preserve"> </w:t>
      </w:r>
      <w:r w:rsidRPr="00B472E5">
        <w:rPr>
          <w:rFonts w:ascii="Arial" w:hAnsi="Arial" w:cs="Arial"/>
          <w:sz w:val="20"/>
        </w:rPr>
        <w:t>staff:</w:t>
      </w:r>
    </w:p>
    <w:p w14:paraId="499B9883" w14:textId="77777777" w:rsidR="00B472E5" w:rsidRPr="00B472E5" w:rsidRDefault="00B472E5" w:rsidP="00B472E5">
      <w:pPr>
        <w:numPr>
          <w:ilvl w:val="0"/>
          <w:numId w:val="344"/>
        </w:numPr>
        <w:tabs>
          <w:tab w:val="left" w:pos="707"/>
        </w:tabs>
        <w:spacing w:before="121"/>
        <w:ind w:right="196"/>
        <w:jc w:val="both"/>
        <w:rPr>
          <w:rFonts w:ascii="Arial" w:hAnsi="Arial" w:cs="Arial"/>
          <w:sz w:val="20"/>
        </w:rPr>
      </w:pPr>
      <w:r w:rsidRPr="00B472E5">
        <w:rPr>
          <w:rFonts w:ascii="Arial" w:hAnsi="Arial" w:cs="Arial"/>
          <w:sz w:val="20"/>
        </w:rPr>
        <w:t>the modification, repair or replacement by riveting, bonding, laminating, or welding of any of</w:t>
      </w:r>
      <w:r w:rsidRPr="00B472E5">
        <w:rPr>
          <w:rFonts w:ascii="Arial" w:hAnsi="Arial" w:cs="Arial"/>
          <w:spacing w:val="1"/>
          <w:sz w:val="20"/>
        </w:rPr>
        <w:t xml:space="preserve"> </w:t>
      </w:r>
      <w:r w:rsidRPr="00B472E5">
        <w:rPr>
          <w:rFonts w:ascii="Arial" w:hAnsi="Arial" w:cs="Arial"/>
          <w:sz w:val="20"/>
        </w:rPr>
        <w:t>the</w:t>
      </w:r>
      <w:r w:rsidRPr="00B472E5">
        <w:rPr>
          <w:rFonts w:ascii="Arial" w:hAnsi="Arial" w:cs="Arial"/>
          <w:spacing w:val="-1"/>
          <w:sz w:val="20"/>
        </w:rPr>
        <w:t xml:space="preserve"> </w:t>
      </w:r>
      <w:r w:rsidRPr="00B472E5">
        <w:rPr>
          <w:rFonts w:ascii="Arial" w:hAnsi="Arial" w:cs="Arial"/>
          <w:sz w:val="20"/>
        </w:rPr>
        <w:t>following</w:t>
      </w:r>
      <w:r w:rsidRPr="00B472E5">
        <w:rPr>
          <w:rFonts w:ascii="Arial" w:hAnsi="Arial" w:cs="Arial"/>
          <w:spacing w:val="-2"/>
          <w:sz w:val="20"/>
        </w:rPr>
        <w:t xml:space="preserve"> </w:t>
      </w:r>
      <w:r w:rsidRPr="00B472E5">
        <w:rPr>
          <w:rFonts w:ascii="Arial" w:hAnsi="Arial" w:cs="Arial"/>
          <w:sz w:val="20"/>
        </w:rPr>
        <w:t>airframe</w:t>
      </w:r>
      <w:r w:rsidRPr="00B472E5">
        <w:rPr>
          <w:rFonts w:ascii="Arial" w:hAnsi="Arial" w:cs="Arial"/>
          <w:spacing w:val="1"/>
          <w:sz w:val="20"/>
        </w:rPr>
        <w:t xml:space="preserve"> </w:t>
      </w:r>
      <w:r w:rsidRPr="00B472E5">
        <w:rPr>
          <w:rFonts w:ascii="Arial" w:hAnsi="Arial" w:cs="Arial"/>
          <w:sz w:val="20"/>
        </w:rPr>
        <w:t>parts:</w:t>
      </w:r>
    </w:p>
    <w:p w14:paraId="7136AF4E" w14:textId="77777777" w:rsidR="00B472E5" w:rsidRPr="00B472E5" w:rsidRDefault="00B472E5" w:rsidP="00B472E5">
      <w:pPr>
        <w:numPr>
          <w:ilvl w:val="1"/>
          <w:numId w:val="344"/>
        </w:numPr>
        <w:tabs>
          <w:tab w:val="left" w:pos="1273"/>
          <w:tab w:val="left" w:pos="1274"/>
        </w:tabs>
        <w:spacing w:before="121"/>
        <w:ind w:hanging="568"/>
        <w:jc w:val="both"/>
        <w:rPr>
          <w:rFonts w:ascii="Arial" w:hAnsi="Arial" w:cs="Arial"/>
          <w:sz w:val="20"/>
        </w:rPr>
      </w:pPr>
      <w:r w:rsidRPr="00B472E5">
        <w:rPr>
          <w:rFonts w:ascii="Arial" w:hAnsi="Arial" w:cs="Arial"/>
          <w:sz w:val="20"/>
        </w:rPr>
        <w:t>a</w:t>
      </w:r>
      <w:r w:rsidRPr="00B472E5">
        <w:rPr>
          <w:rFonts w:ascii="Arial" w:hAnsi="Arial" w:cs="Arial"/>
          <w:spacing w:val="-2"/>
          <w:sz w:val="20"/>
        </w:rPr>
        <w:t xml:space="preserve"> </w:t>
      </w:r>
      <w:r w:rsidRPr="00B472E5">
        <w:rPr>
          <w:rFonts w:ascii="Arial" w:hAnsi="Arial" w:cs="Arial"/>
          <w:sz w:val="20"/>
        </w:rPr>
        <w:t>box</w:t>
      </w:r>
      <w:r w:rsidRPr="00B472E5">
        <w:rPr>
          <w:rFonts w:ascii="Arial" w:hAnsi="Arial" w:cs="Arial"/>
          <w:spacing w:val="-1"/>
          <w:sz w:val="20"/>
        </w:rPr>
        <w:t xml:space="preserve"> </w:t>
      </w:r>
      <w:r w:rsidRPr="00B472E5">
        <w:rPr>
          <w:rFonts w:ascii="Arial" w:hAnsi="Arial" w:cs="Arial"/>
          <w:sz w:val="20"/>
        </w:rPr>
        <w:t>beam;</w:t>
      </w:r>
    </w:p>
    <w:p w14:paraId="59F03BBF" w14:textId="77777777" w:rsidR="00B472E5" w:rsidRPr="00B472E5" w:rsidRDefault="00B472E5" w:rsidP="00B472E5">
      <w:pPr>
        <w:numPr>
          <w:ilvl w:val="1"/>
          <w:numId w:val="344"/>
        </w:numPr>
        <w:tabs>
          <w:tab w:val="left" w:pos="1273"/>
          <w:tab w:val="left" w:pos="1274"/>
        </w:tabs>
        <w:spacing w:before="120"/>
        <w:ind w:hanging="568"/>
        <w:jc w:val="both"/>
        <w:rPr>
          <w:rFonts w:ascii="Arial" w:hAnsi="Arial" w:cs="Arial"/>
          <w:sz w:val="20"/>
        </w:rPr>
      </w:pPr>
      <w:r w:rsidRPr="00B472E5">
        <w:rPr>
          <w:rFonts w:ascii="Arial" w:hAnsi="Arial" w:cs="Arial"/>
          <w:sz w:val="20"/>
        </w:rPr>
        <w:t>a wing</w:t>
      </w:r>
      <w:r w:rsidRPr="00B472E5">
        <w:rPr>
          <w:rFonts w:ascii="Arial" w:hAnsi="Arial" w:cs="Arial"/>
          <w:spacing w:val="-1"/>
          <w:sz w:val="20"/>
        </w:rPr>
        <w:t xml:space="preserve"> </w:t>
      </w:r>
      <w:r w:rsidRPr="00B472E5">
        <w:rPr>
          <w:rFonts w:ascii="Arial" w:hAnsi="Arial" w:cs="Arial"/>
          <w:sz w:val="20"/>
        </w:rPr>
        <w:t>stringer</w:t>
      </w:r>
      <w:r w:rsidRPr="00B472E5">
        <w:rPr>
          <w:rFonts w:ascii="Arial" w:hAnsi="Arial" w:cs="Arial"/>
          <w:spacing w:val="-2"/>
          <w:sz w:val="20"/>
        </w:rPr>
        <w:t xml:space="preserve"> </w:t>
      </w:r>
      <w:r w:rsidRPr="00B472E5">
        <w:rPr>
          <w:rFonts w:ascii="Arial" w:hAnsi="Arial" w:cs="Arial"/>
          <w:sz w:val="20"/>
        </w:rPr>
        <w:t>or</w:t>
      </w:r>
      <w:r w:rsidRPr="00B472E5">
        <w:rPr>
          <w:rFonts w:ascii="Arial" w:hAnsi="Arial" w:cs="Arial"/>
          <w:spacing w:val="-3"/>
          <w:sz w:val="20"/>
        </w:rPr>
        <w:t xml:space="preserve"> </w:t>
      </w:r>
      <w:r w:rsidRPr="00B472E5">
        <w:rPr>
          <w:rFonts w:ascii="Arial" w:hAnsi="Arial" w:cs="Arial"/>
          <w:sz w:val="20"/>
        </w:rPr>
        <w:t>chord</w:t>
      </w:r>
      <w:r w:rsidRPr="00B472E5">
        <w:rPr>
          <w:rFonts w:ascii="Arial" w:hAnsi="Arial" w:cs="Arial"/>
          <w:spacing w:val="-3"/>
          <w:sz w:val="20"/>
        </w:rPr>
        <w:t xml:space="preserve"> </w:t>
      </w:r>
      <w:r w:rsidRPr="00B472E5">
        <w:rPr>
          <w:rFonts w:ascii="Arial" w:hAnsi="Arial" w:cs="Arial"/>
          <w:sz w:val="20"/>
        </w:rPr>
        <w:t>member;</w:t>
      </w:r>
    </w:p>
    <w:p w14:paraId="7030E454" w14:textId="77777777" w:rsidR="00B472E5" w:rsidRPr="00B472E5" w:rsidRDefault="00B472E5" w:rsidP="00B472E5">
      <w:pPr>
        <w:numPr>
          <w:ilvl w:val="1"/>
          <w:numId w:val="344"/>
        </w:numPr>
        <w:tabs>
          <w:tab w:val="left" w:pos="1273"/>
          <w:tab w:val="left" w:pos="1274"/>
        </w:tabs>
        <w:spacing w:before="120"/>
        <w:ind w:hanging="568"/>
        <w:jc w:val="both"/>
        <w:rPr>
          <w:rFonts w:ascii="Arial" w:hAnsi="Arial" w:cs="Arial"/>
          <w:sz w:val="20"/>
        </w:rPr>
      </w:pPr>
      <w:r w:rsidRPr="00B472E5">
        <w:rPr>
          <w:rFonts w:ascii="Arial" w:hAnsi="Arial" w:cs="Arial"/>
          <w:sz w:val="20"/>
        </w:rPr>
        <w:t>a</w:t>
      </w:r>
      <w:r w:rsidRPr="00B472E5">
        <w:rPr>
          <w:rFonts w:ascii="Arial" w:hAnsi="Arial" w:cs="Arial"/>
          <w:spacing w:val="-1"/>
          <w:sz w:val="20"/>
        </w:rPr>
        <w:t xml:space="preserve"> </w:t>
      </w:r>
      <w:r w:rsidRPr="00B472E5">
        <w:rPr>
          <w:rFonts w:ascii="Arial" w:hAnsi="Arial" w:cs="Arial"/>
          <w:sz w:val="20"/>
        </w:rPr>
        <w:t>spar;</w:t>
      </w:r>
    </w:p>
    <w:p w14:paraId="1EB45178" w14:textId="77777777" w:rsidR="00B472E5" w:rsidRPr="00B472E5" w:rsidRDefault="00B472E5" w:rsidP="00B472E5">
      <w:pPr>
        <w:numPr>
          <w:ilvl w:val="1"/>
          <w:numId w:val="344"/>
        </w:numPr>
        <w:tabs>
          <w:tab w:val="left" w:pos="1273"/>
          <w:tab w:val="left" w:pos="1274"/>
        </w:tabs>
        <w:spacing w:before="121"/>
        <w:ind w:hanging="568"/>
        <w:jc w:val="both"/>
        <w:rPr>
          <w:rFonts w:ascii="Arial" w:hAnsi="Arial" w:cs="Arial"/>
          <w:sz w:val="20"/>
        </w:rPr>
      </w:pPr>
      <w:r w:rsidRPr="00B472E5">
        <w:rPr>
          <w:rFonts w:ascii="Arial" w:hAnsi="Arial" w:cs="Arial"/>
          <w:sz w:val="20"/>
        </w:rPr>
        <w:t>a</w:t>
      </w:r>
      <w:r w:rsidRPr="00B472E5">
        <w:rPr>
          <w:rFonts w:ascii="Arial" w:hAnsi="Arial" w:cs="Arial"/>
          <w:spacing w:val="-2"/>
          <w:sz w:val="20"/>
        </w:rPr>
        <w:t xml:space="preserve"> </w:t>
      </w:r>
      <w:r w:rsidRPr="00B472E5">
        <w:rPr>
          <w:rFonts w:ascii="Arial" w:hAnsi="Arial" w:cs="Arial"/>
          <w:sz w:val="20"/>
        </w:rPr>
        <w:t>spar</w:t>
      </w:r>
      <w:r w:rsidRPr="00B472E5">
        <w:rPr>
          <w:rFonts w:ascii="Arial" w:hAnsi="Arial" w:cs="Arial"/>
          <w:spacing w:val="-2"/>
          <w:sz w:val="20"/>
        </w:rPr>
        <w:t xml:space="preserve"> </w:t>
      </w:r>
      <w:r w:rsidRPr="00B472E5">
        <w:rPr>
          <w:rFonts w:ascii="Arial" w:hAnsi="Arial" w:cs="Arial"/>
          <w:sz w:val="20"/>
        </w:rPr>
        <w:t>flange;</w:t>
      </w:r>
    </w:p>
    <w:p w14:paraId="06A63241" w14:textId="77777777" w:rsidR="00B472E5" w:rsidRPr="00B472E5" w:rsidRDefault="00B472E5" w:rsidP="00B472E5">
      <w:pPr>
        <w:numPr>
          <w:ilvl w:val="1"/>
          <w:numId w:val="344"/>
        </w:numPr>
        <w:tabs>
          <w:tab w:val="left" w:pos="1273"/>
          <w:tab w:val="left" w:pos="1274"/>
        </w:tabs>
        <w:spacing w:before="118"/>
        <w:ind w:hanging="568"/>
        <w:jc w:val="both"/>
        <w:rPr>
          <w:rFonts w:ascii="Arial" w:hAnsi="Arial" w:cs="Arial"/>
          <w:sz w:val="20"/>
        </w:rPr>
      </w:pPr>
      <w:r w:rsidRPr="00B472E5">
        <w:rPr>
          <w:rFonts w:ascii="Arial" w:hAnsi="Arial" w:cs="Arial"/>
          <w:sz w:val="20"/>
        </w:rPr>
        <w:t>a</w:t>
      </w:r>
      <w:r w:rsidRPr="00B472E5">
        <w:rPr>
          <w:rFonts w:ascii="Arial" w:hAnsi="Arial" w:cs="Arial"/>
          <w:spacing w:val="-2"/>
          <w:sz w:val="20"/>
        </w:rPr>
        <w:t xml:space="preserve"> </w:t>
      </w:r>
      <w:r w:rsidRPr="00B472E5">
        <w:rPr>
          <w:rFonts w:ascii="Arial" w:hAnsi="Arial" w:cs="Arial"/>
          <w:sz w:val="20"/>
        </w:rPr>
        <w:t>member</w:t>
      </w:r>
      <w:r w:rsidRPr="00B472E5">
        <w:rPr>
          <w:rFonts w:ascii="Arial" w:hAnsi="Arial" w:cs="Arial"/>
          <w:spacing w:val="-1"/>
          <w:sz w:val="20"/>
        </w:rPr>
        <w:t xml:space="preserve"> </w:t>
      </w:r>
      <w:r w:rsidRPr="00B472E5">
        <w:rPr>
          <w:rFonts w:ascii="Arial" w:hAnsi="Arial" w:cs="Arial"/>
          <w:sz w:val="20"/>
        </w:rPr>
        <w:t>of</w:t>
      </w:r>
      <w:r w:rsidRPr="00B472E5">
        <w:rPr>
          <w:rFonts w:ascii="Arial" w:hAnsi="Arial" w:cs="Arial"/>
          <w:spacing w:val="-1"/>
          <w:sz w:val="20"/>
        </w:rPr>
        <w:t xml:space="preserve"> </w:t>
      </w:r>
      <w:r w:rsidRPr="00B472E5">
        <w:rPr>
          <w:rFonts w:ascii="Arial" w:hAnsi="Arial" w:cs="Arial"/>
          <w:sz w:val="20"/>
        </w:rPr>
        <w:t>a</w:t>
      </w:r>
      <w:r w:rsidRPr="00B472E5">
        <w:rPr>
          <w:rFonts w:ascii="Arial" w:hAnsi="Arial" w:cs="Arial"/>
          <w:spacing w:val="-1"/>
          <w:sz w:val="20"/>
        </w:rPr>
        <w:t xml:space="preserve"> </w:t>
      </w:r>
      <w:r w:rsidRPr="00B472E5">
        <w:rPr>
          <w:rFonts w:ascii="Arial" w:hAnsi="Arial" w:cs="Arial"/>
          <w:sz w:val="20"/>
        </w:rPr>
        <w:t>truss</w:t>
      </w:r>
      <w:r w:rsidRPr="00B472E5">
        <w:rPr>
          <w:rFonts w:ascii="Arial" w:hAnsi="Arial" w:cs="Arial"/>
          <w:spacing w:val="-1"/>
          <w:sz w:val="20"/>
        </w:rPr>
        <w:t xml:space="preserve"> </w:t>
      </w:r>
      <w:r w:rsidRPr="00B472E5">
        <w:rPr>
          <w:rFonts w:ascii="Arial" w:hAnsi="Arial" w:cs="Arial"/>
          <w:sz w:val="20"/>
        </w:rPr>
        <w:t>type beam;</w:t>
      </w:r>
    </w:p>
    <w:p w14:paraId="30E289EF" w14:textId="77777777" w:rsidR="00B472E5" w:rsidRPr="00B472E5" w:rsidRDefault="00B472E5" w:rsidP="00B472E5">
      <w:pPr>
        <w:numPr>
          <w:ilvl w:val="1"/>
          <w:numId w:val="344"/>
        </w:numPr>
        <w:tabs>
          <w:tab w:val="left" w:pos="1273"/>
          <w:tab w:val="left" w:pos="1274"/>
        </w:tabs>
        <w:spacing w:before="120"/>
        <w:ind w:hanging="568"/>
        <w:jc w:val="both"/>
        <w:rPr>
          <w:rFonts w:ascii="Arial" w:hAnsi="Arial" w:cs="Arial"/>
          <w:sz w:val="20"/>
        </w:rPr>
      </w:pPr>
      <w:r w:rsidRPr="00B472E5">
        <w:rPr>
          <w:rFonts w:ascii="Arial" w:hAnsi="Arial" w:cs="Arial"/>
          <w:sz w:val="20"/>
        </w:rPr>
        <w:t>the</w:t>
      </w:r>
      <w:r w:rsidRPr="00B472E5">
        <w:rPr>
          <w:rFonts w:ascii="Arial" w:hAnsi="Arial" w:cs="Arial"/>
          <w:spacing w:val="-1"/>
          <w:sz w:val="20"/>
        </w:rPr>
        <w:t xml:space="preserve"> </w:t>
      </w:r>
      <w:r w:rsidRPr="00B472E5">
        <w:rPr>
          <w:rFonts w:ascii="Arial" w:hAnsi="Arial" w:cs="Arial"/>
          <w:sz w:val="20"/>
        </w:rPr>
        <w:t>web of</w:t>
      </w:r>
      <w:r w:rsidRPr="00B472E5">
        <w:rPr>
          <w:rFonts w:ascii="Arial" w:hAnsi="Arial" w:cs="Arial"/>
          <w:spacing w:val="-3"/>
          <w:sz w:val="20"/>
        </w:rPr>
        <w:t xml:space="preserve"> </w:t>
      </w:r>
      <w:r w:rsidRPr="00B472E5">
        <w:rPr>
          <w:rFonts w:ascii="Arial" w:hAnsi="Arial" w:cs="Arial"/>
          <w:sz w:val="20"/>
        </w:rPr>
        <w:t>a</w:t>
      </w:r>
      <w:r w:rsidRPr="00B472E5">
        <w:rPr>
          <w:rFonts w:ascii="Arial" w:hAnsi="Arial" w:cs="Arial"/>
          <w:spacing w:val="-1"/>
          <w:sz w:val="20"/>
        </w:rPr>
        <w:t xml:space="preserve"> </w:t>
      </w:r>
      <w:r w:rsidRPr="00B472E5">
        <w:rPr>
          <w:rFonts w:ascii="Arial" w:hAnsi="Arial" w:cs="Arial"/>
          <w:sz w:val="20"/>
        </w:rPr>
        <w:t>beam;</w:t>
      </w:r>
    </w:p>
    <w:p w14:paraId="7DD250A4" w14:textId="77777777" w:rsidR="00B472E5" w:rsidRPr="00B472E5" w:rsidRDefault="00B472E5" w:rsidP="00B472E5">
      <w:pPr>
        <w:numPr>
          <w:ilvl w:val="1"/>
          <w:numId w:val="344"/>
        </w:numPr>
        <w:tabs>
          <w:tab w:val="left" w:pos="1273"/>
          <w:tab w:val="left" w:pos="1274"/>
        </w:tabs>
        <w:spacing w:before="120"/>
        <w:ind w:hanging="568"/>
        <w:jc w:val="both"/>
        <w:rPr>
          <w:rFonts w:ascii="Arial" w:hAnsi="Arial" w:cs="Arial"/>
          <w:sz w:val="20"/>
        </w:rPr>
      </w:pPr>
      <w:r w:rsidRPr="00B472E5">
        <w:rPr>
          <w:rFonts w:ascii="Arial" w:hAnsi="Arial" w:cs="Arial"/>
          <w:sz w:val="20"/>
        </w:rPr>
        <w:t>a</w:t>
      </w:r>
      <w:r w:rsidRPr="00B472E5">
        <w:rPr>
          <w:rFonts w:ascii="Arial" w:hAnsi="Arial" w:cs="Arial"/>
          <w:spacing w:val="-1"/>
          <w:sz w:val="20"/>
        </w:rPr>
        <w:t xml:space="preserve"> </w:t>
      </w:r>
      <w:r w:rsidRPr="00B472E5">
        <w:rPr>
          <w:rFonts w:ascii="Arial" w:hAnsi="Arial" w:cs="Arial"/>
          <w:sz w:val="20"/>
        </w:rPr>
        <w:t>keel</w:t>
      </w:r>
      <w:r w:rsidRPr="00B472E5">
        <w:rPr>
          <w:rFonts w:ascii="Arial" w:hAnsi="Arial" w:cs="Arial"/>
          <w:spacing w:val="-3"/>
          <w:sz w:val="20"/>
        </w:rPr>
        <w:t xml:space="preserve"> </w:t>
      </w:r>
      <w:r w:rsidRPr="00B472E5">
        <w:rPr>
          <w:rFonts w:ascii="Arial" w:hAnsi="Arial" w:cs="Arial"/>
          <w:sz w:val="20"/>
        </w:rPr>
        <w:t>or</w:t>
      </w:r>
      <w:r w:rsidRPr="00B472E5">
        <w:rPr>
          <w:rFonts w:ascii="Arial" w:hAnsi="Arial" w:cs="Arial"/>
          <w:spacing w:val="-3"/>
          <w:sz w:val="20"/>
        </w:rPr>
        <w:t xml:space="preserve"> </w:t>
      </w:r>
      <w:r w:rsidRPr="00B472E5">
        <w:rPr>
          <w:rFonts w:ascii="Arial" w:hAnsi="Arial" w:cs="Arial"/>
          <w:sz w:val="20"/>
        </w:rPr>
        <w:t>chine</w:t>
      </w:r>
      <w:r w:rsidRPr="00B472E5">
        <w:rPr>
          <w:rFonts w:ascii="Arial" w:hAnsi="Arial" w:cs="Arial"/>
          <w:spacing w:val="-3"/>
          <w:sz w:val="20"/>
        </w:rPr>
        <w:t xml:space="preserve"> </w:t>
      </w:r>
      <w:r w:rsidRPr="00B472E5">
        <w:rPr>
          <w:rFonts w:ascii="Arial" w:hAnsi="Arial" w:cs="Arial"/>
          <w:sz w:val="20"/>
        </w:rPr>
        <w:t>member</w:t>
      </w:r>
      <w:r w:rsidRPr="00B472E5">
        <w:rPr>
          <w:rFonts w:ascii="Arial" w:hAnsi="Arial" w:cs="Arial"/>
          <w:spacing w:val="-2"/>
          <w:sz w:val="20"/>
        </w:rPr>
        <w:t xml:space="preserve"> </w:t>
      </w:r>
      <w:r w:rsidRPr="00B472E5">
        <w:rPr>
          <w:rFonts w:ascii="Arial" w:hAnsi="Arial" w:cs="Arial"/>
          <w:sz w:val="20"/>
        </w:rPr>
        <w:t>of</w:t>
      </w:r>
      <w:r w:rsidRPr="00B472E5">
        <w:rPr>
          <w:rFonts w:ascii="Arial" w:hAnsi="Arial" w:cs="Arial"/>
          <w:spacing w:val="-5"/>
          <w:sz w:val="20"/>
        </w:rPr>
        <w:t xml:space="preserve"> </w:t>
      </w:r>
      <w:r w:rsidRPr="00B472E5">
        <w:rPr>
          <w:rFonts w:ascii="Arial" w:hAnsi="Arial" w:cs="Arial"/>
          <w:sz w:val="20"/>
        </w:rPr>
        <w:t>a flying</w:t>
      </w:r>
      <w:r w:rsidRPr="00B472E5">
        <w:rPr>
          <w:rFonts w:ascii="Arial" w:hAnsi="Arial" w:cs="Arial"/>
          <w:spacing w:val="-3"/>
          <w:sz w:val="20"/>
        </w:rPr>
        <w:t xml:space="preserve"> </w:t>
      </w:r>
      <w:r w:rsidRPr="00B472E5">
        <w:rPr>
          <w:rFonts w:ascii="Arial" w:hAnsi="Arial" w:cs="Arial"/>
          <w:sz w:val="20"/>
        </w:rPr>
        <w:t>boat hull</w:t>
      </w:r>
      <w:r w:rsidRPr="00B472E5">
        <w:rPr>
          <w:rFonts w:ascii="Arial" w:hAnsi="Arial" w:cs="Arial"/>
          <w:spacing w:val="-1"/>
          <w:sz w:val="20"/>
        </w:rPr>
        <w:t xml:space="preserve"> </w:t>
      </w:r>
      <w:r w:rsidRPr="00B472E5">
        <w:rPr>
          <w:rFonts w:ascii="Arial" w:hAnsi="Arial" w:cs="Arial"/>
          <w:sz w:val="20"/>
        </w:rPr>
        <w:t>or</w:t>
      </w:r>
      <w:r w:rsidRPr="00B472E5">
        <w:rPr>
          <w:rFonts w:ascii="Arial" w:hAnsi="Arial" w:cs="Arial"/>
          <w:spacing w:val="-3"/>
          <w:sz w:val="20"/>
        </w:rPr>
        <w:t xml:space="preserve"> </w:t>
      </w:r>
      <w:r w:rsidRPr="00B472E5">
        <w:rPr>
          <w:rFonts w:ascii="Arial" w:hAnsi="Arial" w:cs="Arial"/>
          <w:sz w:val="20"/>
        </w:rPr>
        <w:t>a</w:t>
      </w:r>
      <w:r w:rsidRPr="00B472E5">
        <w:rPr>
          <w:rFonts w:ascii="Arial" w:hAnsi="Arial" w:cs="Arial"/>
          <w:spacing w:val="-1"/>
          <w:sz w:val="20"/>
        </w:rPr>
        <w:t xml:space="preserve"> </w:t>
      </w:r>
      <w:r w:rsidRPr="00B472E5">
        <w:rPr>
          <w:rFonts w:ascii="Arial" w:hAnsi="Arial" w:cs="Arial"/>
          <w:sz w:val="20"/>
        </w:rPr>
        <w:t>float;</w:t>
      </w:r>
    </w:p>
    <w:p w14:paraId="086C93F9" w14:textId="77777777" w:rsidR="00B472E5" w:rsidRPr="00B472E5" w:rsidRDefault="00B472E5" w:rsidP="00B472E5">
      <w:pPr>
        <w:numPr>
          <w:ilvl w:val="1"/>
          <w:numId w:val="344"/>
        </w:numPr>
        <w:tabs>
          <w:tab w:val="left" w:pos="1273"/>
          <w:tab w:val="left" w:pos="1274"/>
        </w:tabs>
        <w:spacing w:before="121"/>
        <w:ind w:hanging="568"/>
        <w:jc w:val="both"/>
        <w:rPr>
          <w:rFonts w:ascii="Arial" w:hAnsi="Arial" w:cs="Arial"/>
          <w:sz w:val="20"/>
        </w:rPr>
      </w:pPr>
      <w:r w:rsidRPr="00B472E5">
        <w:rPr>
          <w:rFonts w:ascii="Arial" w:hAnsi="Arial" w:cs="Arial"/>
          <w:sz w:val="20"/>
        </w:rPr>
        <w:t>a</w:t>
      </w:r>
      <w:r w:rsidRPr="00B472E5">
        <w:rPr>
          <w:rFonts w:ascii="Arial" w:hAnsi="Arial" w:cs="Arial"/>
          <w:spacing w:val="-2"/>
          <w:sz w:val="20"/>
        </w:rPr>
        <w:t xml:space="preserve"> </w:t>
      </w:r>
      <w:r w:rsidRPr="00B472E5">
        <w:rPr>
          <w:rFonts w:ascii="Arial" w:hAnsi="Arial" w:cs="Arial"/>
          <w:sz w:val="20"/>
        </w:rPr>
        <w:t>corrugated</w:t>
      </w:r>
      <w:r w:rsidRPr="00B472E5">
        <w:rPr>
          <w:rFonts w:ascii="Arial" w:hAnsi="Arial" w:cs="Arial"/>
          <w:spacing w:val="-1"/>
          <w:sz w:val="20"/>
        </w:rPr>
        <w:t xml:space="preserve"> </w:t>
      </w:r>
      <w:r w:rsidRPr="00B472E5">
        <w:rPr>
          <w:rFonts w:ascii="Arial" w:hAnsi="Arial" w:cs="Arial"/>
          <w:sz w:val="20"/>
        </w:rPr>
        <w:t>sheet</w:t>
      </w:r>
      <w:r w:rsidRPr="00B472E5">
        <w:rPr>
          <w:rFonts w:ascii="Arial" w:hAnsi="Arial" w:cs="Arial"/>
          <w:spacing w:val="-1"/>
          <w:sz w:val="20"/>
        </w:rPr>
        <w:t xml:space="preserve"> </w:t>
      </w:r>
      <w:r w:rsidRPr="00B472E5">
        <w:rPr>
          <w:rFonts w:ascii="Arial" w:hAnsi="Arial" w:cs="Arial"/>
          <w:sz w:val="20"/>
        </w:rPr>
        <w:t>compression</w:t>
      </w:r>
      <w:r w:rsidRPr="00B472E5">
        <w:rPr>
          <w:rFonts w:ascii="Arial" w:hAnsi="Arial" w:cs="Arial"/>
          <w:spacing w:val="-4"/>
          <w:sz w:val="20"/>
        </w:rPr>
        <w:t xml:space="preserve"> </w:t>
      </w:r>
      <w:r w:rsidRPr="00B472E5">
        <w:rPr>
          <w:rFonts w:ascii="Arial" w:hAnsi="Arial" w:cs="Arial"/>
          <w:sz w:val="20"/>
        </w:rPr>
        <w:t>member</w:t>
      </w:r>
      <w:r w:rsidRPr="00B472E5">
        <w:rPr>
          <w:rFonts w:ascii="Arial" w:hAnsi="Arial" w:cs="Arial"/>
          <w:spacing w:val="-1"/>
          <w:sz w:val="20"/>
        </w:rPr>
        <w:t xml:space="preserve"> </w:t>
      </w:r>
      <w:r w:rsidRPr="00B472E5">
        <w:rPr>
          <w:rFonts w:ascii="Arial" w:hAnsi="Arial" w:cs="Arial"/>
          <w:sz w:val="20"/>
        </w:rPr>
        <w:t>in</w:t>
      </w:r>
      <w:r w:rsidRPr="00B472E5">
        <w:rPr>
          <w:rFonts w:ascii="Arial" w:hAnsi="Arial" w:cs="Arial"/>
          <w:spacing w:val="-5"/>
          <w:sz w:val="20"/>
        </w:rPr>
        <w:t xml:space="preserve"> </w:t>
      </w:r>
      <w:r w:rsidRPr="00B472E5">
        <w:rPr>
          <w:rFonts w:ascii="Arial" w:hAnsi="Arial" w:cs="Arial"/>
          <w:sz w:val="20"/>
        </w:rPr>
        <w:t>a</w:t>
      </w:r>
      <w:r w:rsidRPr="00B472E5">
        <w:rPr>
          <w:rFonts w:ascii="Arial" w:hAnsi="Arial" w:cs="Arial"/>
          <w:spacing w:val="-1"/>
          <w:sz w:val="20"/>
        </w:rPr>
        <w:t xml:space="preserve"> </w:t>
      </w:r>
      <w:r w:rsidRPr="00B472E5">
        <w:rPr>
          <w:rFonts w:ascii="Arial" w:hAnsi="Arial" w:cs="Arial"/>
          <w:sz w:val="20"/>
        </w:rPr>
        <w:t>wing</w:t>
      </w:r>
      <w:r w:rsidRPr="00B472E5">
        <w:rPr>
          <w:rFonts w:ascii="Arial" w:hAnsi="Arial" w:cs="Arial"/>
          <w:spacing w:val="-2"/>
          <w:sz w:val="20"/>
        </w:rPr>
        <w:t xml:space="preserve"> </w:t>
      </w:r>
      <w:r w:rsidRPr="00B472E5">
        <w:rPr>
          <w:rFonts w:ascii="Arial" w:hAnsi="Arial" w:cs="Arial"/>
          <w:sz w:val="20"/>
        </w:rPr>
        <w:t>or</w:t>
      </w:r>
      <w:r w:rsidRPr="00B472E5">
        <w:rPr>
          <w:rFonts w:ascii="Arial" w:hAnsi="Arial" w:cs="Arial"/>
          <w:spacing w:val="-3"/>
          <w:sz w:val="20"/>
        </w:rPr>
        <w:t xml:space="preserve"> </w:t>
      </w:r>
      <w:r w:rsidRPr="00B472E5">
        <w:rPr>
          <w:rFonts w:ascii="Arial" w:hAnsi="Arial" w:cs="Arial"/>
          <w:sz w:val="20"/>
        </w:rPr>
        <w:t>tail</w:t>
      </w:r>
      <w:r w:rsidRPr="00B472E5">
        <w:rPr>
          <w:rFonts w:ascii="Arial" w:hAnsi="Arial" w:cs="Arial"/>
          <w:spacing w:val="-1"/>
          <w:sz w:val="20"/>
        </w:rPr>
        <w:t xml:space="preserve"> </w:t>
      </w:r>
      <w:r w:rsidRPr="00B472E5">
        <w:rPr>
          <w:rFonts w:ascii="Arial" w:hAnsi="Arial" w:cs="Arial"/>
          <w:sz w:val="20"/>
        </w:rPr>
        <w:t>surface;</w:t>
      </w:r>
    </w:p>
    <w:p w14:paraId="48757C9E" w14:textId="77777777" w:rsidR="00B472E5" w:rsidRPr="00B472E5" w:rsidRDefault="00B472E5" w:rsidP="00B472E5">
      <w:pPr>
        <w:numPr>
          <w:ilvl w:val="1"/>
          <w:numId w:val="344"/>
        </w:numPr>
        <w:tabs>
          <w:tab w:val="left" w:pos="1273"/>
          <w:tab w:val="left" w:pos="1274"/>
        </w:tabs>
        <w:spacing w:before="120"/>
        <w:ind w:hanging="568"/>
        <w:jc w:val="both"/>
        <w:rPr>
          <w:rFonts w:ascii="Arial" w:hAnsi="Arial" w:cs="Arial"/>
          <w:sz w:val="20"/>
        </w:rPr>
      </w:pPr>
      <w:r w:rsidRPr="00B472E5">
        <w:rPr>
          <w:rFonts w:ascii="Arial" w:hAnsi="Arial" w:cs="Arial"/>
          <w:sz w:val="20"/>
        </w:rPr>
        <w:t>a wing</w:t>
      </w:r>
      <w:r w:rsidRPr="00B472E5">
        <w:rPr>
          <w:rFonts w:ascii="Arial" w:hAnsi="Arial" w:cs="Arial"/>
          <w:spacing w:val="-2"/>
          <w:sz w:val="20"/>
        </w:rPr>
        <w:t xml:space="preserve"> </w:t>
      </w:r>
      <w:r w:rsidRPr="00B472E5">
        <w:rPr>
          <w:rFonts w:ascii="Arial" w:hAnsi="Arial" w:cs="Arial"/>
          <w:sz w:val="20"/>
        </w:rPr>
        <w:t>main</w:t>
      </w:r>
      <w:r w:rsidRPr="00B472E5">
        <w:rPr>
          <w:rFonts w:ascii="Arial" w:hAnsi="Arial" w:cs="Arial"/>
          <w:spacing w:val="-2"/>
          <w:sz w:val="20"/>
        </w:rPr>
        <w:t xml:space="preserve"> </w:t>
      </w:r>
      <w:r w:rsidRPr="00B472E5">
        <w:rPr>
          <w:rFonts w:ascii="Arial" w:hAnsi="Arial" w:cs="Arial"/>
          <w:sz w:val="20"/>
        </w:rPr>
        <w:t>rib;</w:t>
      </w:r>
    </w:p>
    <w:p w14:paraId="5E3A85F9" w14:textId="77777777" w:rsidR="00B472E5" w:rsidRPr="00B472E5" w:rsidRDefault="00B472E5" w:rsidP="00B472E5">
      <w:pPr>
        <w:numPr>
          <w:ilvl w:val="1"/>
          <w:numId w:val="344"/>
        </w:numPr>
        <w:tabs>
          <w:tab w:val="left" w:pos="1273"/>
          <w:tab w:val="left" w:pos="1274"/>
        </w:tabs>
        <w:spacing w:before="120"/>
        <w:ind w:hanging="568"/>
        <w:jc w:val="both"/>
        <w:rPr>
          <w:rFonts w:ascii="Arial" w:hAnsi="Arial" w:cs="Arial"/>
          <w:sz w:val="20"/>
        </w:rPr>
      </w:pPr>
      <w:r w:rsidRPr="00B472E5">
        <w:rPr>
          <w:rFonts w:ascii="Arial" w:hAnsi="Arial" w:cs="Arial"/>
          <w:sz w:val="20"/>
        </w:rPr>
        <w:t>a</w:t>
      </w:r>
      <w:r w:rsidRPr="00B472E5">
        <w:rPr>
          <w:rFonts w:ascii="Arial" w:hAnsi="Arial" w:cs="Arial"/>
          <w:spacing w:val="-1"/>
          <w:sz w:val="20"/>
        </w:rPr>
        <w:t xml:space="preserve"> </w:t>
      </w:r>
      <w:r w:rsidRPr="00B472E5">
        <w:rPr>
          <w:rFonts w:ascii="Arial" w:hAnsi="Arial" w:cs="Arial"/>
          <w:sz w:val="20"/>
        </w:rPr>
        <w:t>wing</w:t>
      </w:r>
      <w:r w:rsidRPr="00B472E5">
        <w:rPr>
          <w:rFonts w:ascii="Arial" w:hAnsi="Arial" w:cs="Arial"/>
          <w:spacing w:val="-2"/>
          <w:sz w:val="20"/>
        </w:rPr>
        <w:t xml:space="preserve"> </w:t>
      </w:r>
      <w:r w:rsidRPr="00B472E5">
        <w:rPr>
          <w:rFonts w:ascii="Arial" w:hAnsi="Arial" w:cs="Arial"/>
          <w:sz w:val="20"/>
        </w:rPr>
        <w:t>or</w:t>
      </w:r>
      <w:r w:rsidRPr="00B472E5">
        <w:rPr>
          <w:rFonts w:ascii="Arial" w:hAnsi="Arial" w:cs="Arial"/>
          <w:spacing w:val="-3"/>
          <w:sz w:val="20"/>
        </w:rPr>
        <w:t xml:space="preserve"> </w:t>
      </w:r>
      <w:r w:rsidRPr="00B472E5">
        <w:rPr>
          <w:rFonts w:ascii="Arial" w:hAnsi="Arial" w:cs="Arial"/>
          <w:sz w:val="20"/>
        </w:rPr>
        <w:t>tail</w:t>
      </w:r>
      <w:r w:rsidRPr="00B472E5">
        <w:rPr>
          <w:rFonts w:ascii="Arial" w:hAnsi="Arial" w:cs="Arial"/>
          <w:spacing w:val="-2"/>
          <w:sz w:val="20"/>
        </w:rPr>
        <w:t xml:space="preserve"> </w:t>
      </w:r>
      <w:r w:rsidRPr="00B472E5">
        <w:rPr>
          <w:rFonts w:ascii="Arial" w:hAnsi="Arial" w:cs="Arial"/>
          <w:sz w:val="20"/>
        </w:rPr>
        <w:t>surface</w:t>
      </w:r>
      <w:r w:rsidRPr="00B472E5">
        <w:rPr>
          <w:rFonts w:ascii="Arial" w:hAnsi="Arial" w:cs="Arial"/>
          <w:spacing w:val="1"/>
          <w:sz w:val="20"/>
        </w:rPr>
        <w:t xml:space="preserve"> </w:t>
      </w:r>
      <w:r w:rsidRPr="00B472E5">
        <w:rPr>
          <w:rFonts w:ascii="Arial" w:hAnsi="Arial" w:cs="Arial"/>
          <w:sz w:val="20"/>
        </w:rPr>
        <w:t>brace</w:t>
      </w:r>
      <w:r w:rsidRPr="00B472E5">
        <w:rPr>
          <w:rFonts w:ascii="Arial" w:hAnsi="Arial" w:cs="Arial"/>
          <w:spacing w:val="-3"/>
          <w:sz w:val="20"/>
        </w:rPr>
        <w:t xml:space="preserve"> </w:t>
      </w:r>
      <w:r w:rsidRPr="00B472E5">
        <w:rPr>
          <w:rFonts w:ascii="Arial" w:hAnsi="Arial" w:cs="Arial"/>
          <w:sz w:val="20"/>
        </w:rPr>
        <w:t>strut;</w:t>
      </w:r>
    </w:p>
    <w:p w14:paraId="063293BA" w14:textId="77777777" w:rsidR="00B472E5" w:rsidRPr="00B472E5" w:rsidRDefault="00B472E5" w:rsidP="00B472E5">
      <w:pPr>
        <w:numPr>
          <w:ilvl w:val="1"/>
          <w:numId w:val="344"/>
        </w:numPr>
        <w:tabs>
          <w:tab w:val="left" w:pos="1273"/>
          <w:tab w:val="left" w:pos="1274"/>
        </w:tabs>
        <w:spacing w:before="120"/>
        <w:ind w:hanging="568"/>
        <w:jc w:val="both"/>
        <w:rPr>
          <w:rFonts w:ascii="Arial" w:hAnsi="Arial" w:cs="Arial"/>
          <w:sz w:val="20"/>
        </w:rPr>
      </w:pPr>
      <w:r w:rsidRPr="00B472E5">
        <w:rPr>
          <w:rFonts w:ascii="Arial" w:hAnsi="Arial" w:cs="Arial"/>
          <w:sz w:val="20"/>
        </w:rPr>
        <w:t>an</w:t>
      </w:r>
      <w:r w:rsidRPr="00B472E5">
        <w:rPr>
          <w:rFonts w:ascii="Arial" w:hAnsi="Arial" w:cs="Arial"/>
          <w:spacing w:val="-2"/>
          <w:sz w:val="20"/>
        </w:rPr>
        <w:t xml:space="preserve"> </w:t>
      </w:r>
      <w:r w:rsidRPr="00B472E5">
        <w:rPr>
          <w:rFonts w:ascii="Arial" w:hAnsi="Arial" w:cs="Arial"/>
          <w:sz w:val="20"/>
        </w:rPr>
        <w:t>engine mount;</w:t>
      </w:r>
    </w:p>
    <w:p w14:paraId="5D59FA1F" w14:textId="77777777" w:rsidR="00B472E5" w:rsidRPr="00B472E5" w:rsidRDefault="00B472E5" w:rsidP="00B472E5">
      <w:pPr>
        <w:numPr>
          <w:ilvl w:val="1"/>
          <w:numId w:val="344"/>
        </w:numPr>
        <w:tabs>
          <w:tab w:val="left" w:pos="1273"/>
          <w:tab w:val="left" w:pos="1274"/>
        </w:tabs>
        <w:spacing w:before="121"/>
        <w:ind w:hanging="568"/>
        <w:jc w:val="both"/>
        <w:rPr>
          <w:rFonts w:ascii="Arial" w:hAnsi="Arial" w:cs="Arial"/>
          <w:sz w:val="20"/>
        </w:rPr>
      </w:pPr>
      <w:r w:rsidRPr="00B472E5">
        <w:rPr>
          <w:rFonts w:ascii="Arial" w:hAnsi="Arial" w:cs="Arial"/>
          <w:sz w:val="20"/>
        </w:rPr>
        <w:t>a</w:t>
      </w:r>
      <w:r w:rsidRPr="00B472E5">
        <w:rPr>
          <w:rFonts w:ascii="Arial" w:hAnsi="Arial" w:cs="Arial"/>
          <w:spacing w:val="-3"/>
          <w:sz w:val="20"/>
        </w:rPr>
        <w:t xml:space="preserve"> </w:t>
      </w:r>
      <w:r w:rsidRPr="00B472E5">
        <w:rPr>
          <w:rFonts w:ascii="Arial" w:hAnsi="Arial" w:cs="Arial"/>
          <w:sz w:val="20"/>
        </w:rPr>
        <w:t>fuselage</w:t>
      </w:r>
      <w:r w:rsidRPr="00B472E5">
        <w:rPr>
          <w:rFonts w:ascii="Arial" w:hAnsi="Arial" w:cs="Arial"/>
          <w:spacing w:val="-1"/>
          <w:sz w:val="20"/>
        </w:rPr>
        <w:t xml:space="preserve"> </w:t>
      </w:r>
      <w:r w:rsidRPr="00B472E5">
        <w:rPr>
          <w:rFonts w:ascii="Arial" w:hAnsi="Arial" w:cs="Arial"/>
          <w:sz w:val="20"/>
        </w:rPr>
        <w:t>longeron</w:t>
      </w:r>
      <w:r w:rsidRPr="00B472E5">
        <w:rPr>
          <w:rFonts w:ascii="Arial" w:hAnsi="Arial" w:cs="Arial"/>
          <w:spacing w:val="-4"/>
          <w:sz w:val="20"/>
        </w:rPr>
        <w:t xml:space="preserve"> </w:t>
      </w:r>
      <w:r w:rsidRPr="00B472E5">
        <w:rPr>
          <w:rFonts w:ascii="Arial" w:hAnsi="Arial" w:cs="Arial"/>
          <w:sz w:val="20"/>
        </w:rPr>
        <w:t>or</w:t>
      </w:r>
      <w:r w:rsidRPr="00B472E5">
        <w:rPr>
          <w:rFonts w:ascii="Arial" w:hAnsi="Arial" w:cs="Arial"/>
          <w:spacing w:val="-2"/>
          <w:sz w:val="20"/>
        </w:rPr>
        <w:t xml:space="preserve"> </w:t>
      </w:r>
      <w:r w:rsidRPr="00B472E5">
        <w:rPr>
          <w:rFonts w:ascii="Arial" w:hAnsi="Arial" w:cs="Arial"/>
          <w:sz w:val="20"/>
        </w:rPr>
        <w:t>frame;</w:t>
      </w:r>
    </w:p>
    <w:p w14:paraId="5FDD4FE6" w14:textId="77777777" w:rsidR="00B472E5" w:rsidRPr="00B472E5" w:rsidRDefault="00B472E5" w:rsidP="00B472E5">
      <w:pPr>
        <w:numPr>
          <w:ilvl w:val="1"/>
          <w:numId w:val="344"/>
        </w:numPr>
        <w:tabs>
          <w:tab w:val="left" w:pos="1273"/>
          <w:tab w:val="left" w:pos="1274"/>
        </w:tabs>
        <w:spacing w:before="120"/>
        <w:ind w:hanging="568"/>
        <w:jc w:val="both"/>
        <w:rPr>
          <w:rFonts w:ascii="Arial" w:hAnsi="Arial" w:cs="Arial"/>
          <w:sz w:val="20"/>
        </w:rPr>
      </w:pPr>
      <w:r w:rsidRPr="00B472E5">
        <w:rPr>
          <w:rFonts w:ascii="Arial" w:hAnsi="Arial" w:cs="Arial"/>
          <w:sz w:val="20"/>
        </w:rPr>
        <w:t>a</w:t>
      </w:r>
      <w:r w:rsidRPr="00B472E5">
        <w:rPr>
          <w:rFonts w:ascii="Arial" w:hAnsi="Arial" w:cs="Arial"/>
          <w:spacing w:val="-1"/>
          <w:sz w:val="20"/>
        </w:rPr>
        <w:t xml:space="preserve"> </w:t>
      </w:r>
      <w:r w:rsidRPr="00B472E5">
        <w:rPr>
          <w:rFonts w:ascii="Arial" w:hAnsi="Arial" w:cs="Arial"/>
          <w:sz w:val="20"/>
        </w:rPr>
        <w:t>member</w:t>
      </w:r>
      <w:r w:rsidRPr="00B472E5">
        <w:rPr>
          <w:rFonts w:ascii="Arial" w:hAnsi="Arial" w:cs="Arial"/>
          <w:spacing w:val="-1"/>
          <w:sz w:val="20"/>
        </w:rPr>
        <w:t xml:space="preserve"> </w:t>
      </w:r>
      <w:r w:rsidRPr="00B472E5">
        <w:rPr>
          <w:rFonts w:ascii="Arial" w:hAnsi="Arial" w:cs="Arial"/>
          <w:sz w:val="20"/>
        </w:rPr>
        <w:t>of</w:t>
      </w:r>
      <w:r w:rsidRPr="00B472E5">
        <w:rPr>
          <w:rFonts w:ascii="Arial" w:hAnsi="Arial" w:cs="Arial"/>
          <w:spacing w:val="-1"/>
          <w:sz w:val="20"/>
        </w:rPr>
        <w:t xml:space="preserve"> </w:t>
      </w:r>
      <w:r w:rsidRPr="00B472E5">
        <w:rPr>
          <w:rFonts w:ascii="Arial" w:hAnsi="Arial" w:cs="Arial"/>
          <w:sz w:val="20"/>
        </w:rPr>
        <w:t>a</w:t>
      </w:r>
      <w:r w:rsidRPr="00B472E5">
        <w:rPr>
          <w:rFonts w:ascii="Arial" w:hAnsi="Arial" w:cs="Arial"/>
          <w:spacing w:val="-1"/>
          <w:sz w:val="20"/>
        </w:rPr>
        <w:t xml:space="preserve"> </w:t>
      </w:r>
      <w:r w:rsidRPr="00B472E5">
        <w:rPr>
          <w:rFonts w:ascii="Arial" w:hAnsi="Arial" w:cs="Arial"/>
          <w:sz w:val="20"/>
        </w:rPr>
        <w:t>side</w:t>
      </w:r>
      <w:r w:rsidRPr="00B472E5">
        <w:rPr>
          <w:rFonts w:ascii="Arial" w:hAnsi="Arial" w:cs="Arial"/>
          <w:spacing w:val="-2"/>
          <w:sz w:val="20"/>
        </w:rPr>
        <w:t xml:space="preserve"> </w:t>
      </w:r>
      <w:r w:rsidRPr="00B472E5">
        <w:rPr>
          <w:rFonts w:ascii="Arial" w:hAnsi="Arial" w:cs="Arial"/>
          <w:sz w:val="20"/>
        </w:rPr>
        <w:t>truss,</w:t>
      </w:r>
      <w:r w:rsidRPr="00B472E5">
        <w:rPr>
          <w:rFonts w:ascii="Arial" w:hAnsi="Arial" w:cs="Arial"/>
          <w:spacing w:val="-4"/>
          <w:sz w:val="20"/>
        </w:rPr>
        <w:t xml:space="preserve"> </w:t>
      </w:r>
      <w:r w:rsidRPr="00B472E5">
        <w:rPr>
          <w:rFonts w:ascii="Arial" w:hAnsi="Arial" w:cs="Arial"/>
          <w:sz w:val="20"/>
        </w:rPr>
        <w:t>horizontal</w:t>
      </w:r>
      <w:r w:rsidRPr="00B472E5">
        <w:rPr>
          <w:rFonts w:ascii="Arial" w:hAnsi="Arial" w:cs="Arial"/>
          <w:spacing w:val="-4"/>
          <w:sz w:val="20"/>
        </w:rPr>
        <w:t xml:space="preserve"> </w:t>
      </w:r>
      <w:r w:rsidRPr="00B472E5">
        <w:rPr>
          <w:rFonts w:ascii="Arial" w:hAnsi="Arial" w:cs="Arial"/>
          <w:sz w:val="20"/>
        </w:rPr>
        <w:t>truss</w:t>
      </w:r>
      <w:r w:rsidRPr="00B472E5">
        <w:rPr>
          <w:rFonts w:ascii="Arial" w:hAnsi="Arial" w:cs="Arial"/>
          <w:spacing w:val="-2"/>
          <w:sz w:val="20"/>
        </w:rPr>
        <w:t xml:space="preserve"> </w:t>
      </w:r>
      <w:r w:rsidRPr="00B472E5">
        <w:rPr>
          <w:rFonts w:ascii="Arial" w:hAnsi="Arial" w:cs="Arial"/>
          <w:sz w:val="20"/>
        </w:rPr>
        <w:t>or</w:t>
      </w:r>
      <w:r w:rsidRPr="00B472E5">
        <w:rPr>
          <w:rFonts w:ascii="Arial" w:hAnsi="Arial" w:cs="Arial"/>
          <w:spacing w:val="-1"/>
          <w:sz w:val="20"/>
        </w:rPr>
        <w:t xml:space="preserve"> </w:t>
      </w:r>
      <w:r w:rsidRPr="00B472E5">
        <w:rPr>
          <w:rFonts w:ascii="Arial" w:hAnsi="Arial" w:cs="Arial"/>
          <w:sz w:val="20"/>
        </w:rPr>
        <w:t>bulkhead;</w:t>
      </w:r>
    </w:p>
    <w:p w14:paraId="484F2630" w14:textId="77777777" w:rsidR="00B472E5" w:rsidRPr="00B472E5" w:rsidRDefault="00B472E5" w:rsidP="00B472E5">
      <w:pPr>
        <w:numPr>
          <w:ilvl w:val="1"/>
          <w:numId w:val="344"/>
        </w:numPr>
        <w:tabs>
          <w:tab w:val="left" w:pos="1273"/>
          <w:tab w:val="left" w:pos="1274"/>
        </w:tabs>
        <w:spacing w:before="118"/>
        <w:ind w:hanging="568"/>
        <w:jc w:val="both"/>
        <w:rPr>
          <w:rFonts w:ascii="Arial" w:hAnsi="Arial" w:cs="Arial"/>
          <w:sz w:val="20"/>
        </w:rPr>
      </w:pPr>
      <w:r w:rsidRPr="00B472E5">
        <w:rPr>
          <w:rFonts w:ascii="Arial" w:hAnsi="Arial" w:cs="Arial"/>
          <w:sz w:val="20"/>
        </w:rPr>
        <w:t>a</w:t>
      </w:r>
      <w:r w:rsidRPr="00B472E5">
        <w:rPr>
          <w:rFonts w:ascii="Arial" w:hAnsi="Arial" w:cs="Arial"/>
          <w:spacing w:val="-1"/>
          <w:sz w:val="20"/>
        </w:rPr>
        <w:t xml:space="preserve"> </w:t>
      </w:r>
      <w:r w:rsidRPr="00B472E5">
        <w:rPr>
          <w:rFonts w:ascii="Arial" w:hAnsi="Arial" w:cs="Arial"/>
          <w:sz w:val="20"/>
        </w:rPr>
        <w:t>seat</w:t>
      </w:r>
      <w:r w:rsidRPr="00B472E5">
        <w:rPr>
          <w:rFonts w:ascii="Arial" w:hAnsi="Arial" w:cs="Arial"/>
          <w:spacing w:val="-4"/>
          <w:sz w:val="20"/>
        </w:rPr>
        <w:t xml:space="preserve"> </w:t>
      </w:r>
      <w:r w:rsidRPr="00B472E5">
        <w:rPr>
          <w:rFonts w:ascii="Arial" w:hAnsi="Arial" w:cs="Arial"/>
          <w:sz w:val="20"/>
        </w:rPr>
        <w:t>support</w:t>
      </w:r>
      <w:r w:rsidRPr="00B472E5">
        <w:rPr>
          <w:rFonts w:ascii="Arial" w:hAnsi="Arial" w:cs="Arial"/>
          <w:spacing w:val="-1"/>
          <w:sz w:val="20"/>
        </w:rPr>
        <w:t xml:space="preserve"> </w:t>
      </w:r>
      <w:r w:rsidRPr="00B472E5">
        <w:rPr>
          <w:rFonts w:ascii="Arial" w:hAnsi="Arial" w:cs="Arial"/>
          <w:sz w:val="20"/>
        </w:rPr>
        <w:t>brace</w:t>
      </w:r>
      <w:r w:rsidRPr="00B472E5">
        <w:rPr>
          <w:rFonts w:ascii="Arial" w:hAnsi="Arial" w:cs="Arial"/>
          <w:spacing w:val="-2"/>
          <w:sz w:val="20"/>
        </w:rPr>
        <w:t xml:space="preserve"> </w:t>
      </w:r>
      <w:r w:rsidRPr="00B472E5">
        <w:rPr>
          <w:rFonts w:ascii="Arial" w:hAnsi="Arial" w:cs="Arial"/>
          <w:sz w:val="20"/>
        </w:rPr>
        <w:t>or</w:t>
      </w:r>
      <w:r w:rsidRPr="00B472E5">
        <w:rPr>
          <w:rFonts w:ascii="Arial" w:hAnsi="Arial" w:cs="Arial"/>
          <w:spacing w:val="-1"/>
          <w:sz w:val="20"/>
        </w:rPr>
        <w:t xml:space="preserve"> </w:t>
      </w:r>
      <w:r w:rsidRPr="00B472E5">
        <w:rPr>
          <w:rFonts w:ascii="Arial" w:hAnsi="Arial" w:cs="Arial"/>
          <w:sz w:val="20"/>
        </w:rPr>
        <w:t>bracket;</w:t>
      </w:r>
    </w:p>
    <w:p w14:paraId="1F78CE0A" w14:textId="77777777" w:rsidR="00B472E5" w:rsidRPr="00B472E5" w:rsidRDefault="00B472E5" w:rsidP="00B472E5">
      <w:pPr>
        <w:numPr>
          <w:ilvl w:val="1"/>
          <w:numId w:val="344"/>
        </w:numPr>
        <w:tabs>
          <w:tab w:val="left" w:pos="1273"/>
          <w:tab w:val="left" w:pos="1274"/>
        </w:tabs>
        <w:spacing w:before="120"/>
        <w:ind w:hanging="568"/>
        <w:jc w:val="both"/>
        <w:rPr>
          <w:rFonts w:ascii="Arial" w:hAnsi="Arial" w:cs="Arial"/>
          <w:sz w:val="20"/>
        </w:rPr>
      </w:pPr>
      <w:r w:rsidRPr="00B472E5">
        <w:rPr>
          <w:rFonts w:ascii="Arial" w:hAnsi="Arial" w:cs="Arial"/>
          <w:sz w:val="20"/>
        </w:rPr>
        <w:t>a</w:t>
      </w:r>
      <w:r w:rsidRPr="00B472E5">
        <w:rPr>
          <w:rFonts w:ascii="Arial" w:hAnsi="Arial" w:cs="Arial"/>
          <w:spacing w:val="-1"/>
          <w:sz w:val="20"/>
        </w:rPr>
        <w:t xml:space="preserve"> </w:t>
      </w:r>
      <w:r w:rsidRPr="00B472E5">
        <w:rPr>
          <w:rFonts w:ascii="Arial" w:hAnsi="Arial" w:cs="Arial"/>
          <w:sz w:val="20"/>
        </w:rPr>
        <w:t>seat</w:t>
      </w:r>
      <w:r w:rsidRPr="00B472E5">
        <w:rPr>
          <w:rFonts w:ascii="Arial" w:hAnsi="Arial" w:cs="Arial"/>
          <w:spacing w:val="-4"/>
          <w:sz w:val="20"/>
        </w:rPr>
        <w:t xml:space="preserve"> </w:t>
      </w:r>
      <w:r w:rsidRPr="00B472E5">
        <w:rPr>
          <w:rFonts w:ascii="Arial" w:hAnsi="Arial" w:cs="Arial"/>
          <w:sz w:val="20"/>
        </w:rPr>
        <w:t>rail</w:t>
      </w:r>
      <w:r w:rsidRPr="00B472E5">
        <w:rPr>
          <w:rFonts w:ascii="Arial" w:hAnsi="Arial" w:cs="Arial"/>
          <w:spacing w:val="-1"/>
          <w:sz w:val="20"/>
        </w:rPr>
        <w:t xml:space="preserve"> </w:t>
      </w:r>
      <w:r w:rsidRPr="00B472E5">
        <w:rPr>
          <w:rFonts w:ascii="Arial" w:hAnsi="Arial" w:cs="Arial"/>
          <w:sz w:val="20"/>
        </w:rPr>
        <w:t>replacement;</w:t>
      </w:r>
    </w:p>
    <w:p w14:paraId="78851DDC" w14:textId="77777777" w:rsidR="00B472E5" w:rsidRPr="00B472E5" w:rsidRDefault="00B472E5" w:rsidP="00B472E5">
      <w:pPr>
        <w:numPr>
          <w:ilvl w:val="1"/>
          <w:numId w:val="344"/>
        </w:numPr>
        <w:tabs>
          <w:tab w:val="left" w:pos="1273"/>
          <w:tab w:val="left" w:pos="1274"/>
        </w:tabs>
        <w:spacing w:before="121"/>
        <w:ind w:hanging="568"/>
        <w:jc w:val="both"/>
        <w:rPr>
          <w:rFonts w:ascii="Arial" w:hAnsi="Arial" w:cs="Arial"/>
          <w:sz w:val="20"/>
        </w:rPr>
      </w:pPr>
      <w:r w:rsidRPr="00B472E5">
        <w:rPr>
          <w:rFonts w:ascii="Arial" w:hAnsi="Arial" w:cs="Arial"/>
          <w:sz w:val="20"/>
        </w:rPr>
        <w:t>a</w:t>
      </w:r>
      <w:r w:rsidRPr="00B472E5">
        <w:rPr>
          <w:rFonts w:ascii="Arial" w:hAnsi="Arial" w:cs="Arial"/>
          <w:spacing w:val="-2"/>
          <w:sz w:val="20"/>
        </w:rPr>
        <w:t xml:space="preserve"> </w:t>
      </w:r>
      <w:r w:rsidRPr="00B472E5">
        <w:rPr>
          <w:rFonts w:ascii="Arial" w:hAnsi="Arial" w:cs="Arial"/>
          <w:sz w:val="20"/>
        </w:rPr>
        <w:t>landing-gear</w:t>
      </w:r>
      <w:r w:rsidRPr="00B472E5">
        <w:rPr>
          <w:rFonts w:ascii="Arial" w:hAnsi="Arial" w:cs="Arial"/>
          <w:spacing w:val="-1"/>
          <w:sz w:val="20"/>
        </w:rPr>
        <w:t xml:space="preserve"> </w:t>
      </w:r>
      <w:r w:rsidRPr="00B472E5">
        <w:rPr>
          <w:rFonts w:ascii="Arial" w:hAnsi="Arial" w:cs="Arial"/>
          <w:sz w:val="20"/>
        </w:rPr>
        <w:t>strut</w:t>
      </w:r>
      <w:r w:rsidRPr="00B472E5">
        <w:rPr>
          <w:rFonts w:ascii="Arial" w:hAnsi="Arial" w:cs="Arial"/>
          <w:spacing w:val="-4"/>
          <w:sz w:val="20"/>
        </w:rPr>
        <w:t xml:space="preserve"> </w:t>
      </w:r>
      <w:r w:rsidRPr="00B472E5">
        <w:rPr>
          <w:rFonts w:ascii="Arial" w:hAnsi="Arial" w:cs="Arial"/>
          <w:sz w:val="20"/>
        </w:rPr>
        <w:t>or</w:t>
      </w:r>
      <w:r w:rsidRPr="00B472E5">
        <w:rPr>
          <w:rFonts w:ascii="Arial" w:hAnsi="Arial" w:cs="Arial"/>
          <w:spacing w:val="-1"/>
          <w:sz w:val="20"/>
        </w:rPr>
        <w:t xml:space="preserve"> </w:t>
      </w:r>
      <w:r w:rsidRPr="00B472E5">
        <w:rPr>
          <w:rFonts w:ascii="Arial" w:hAnsi="Arial" w:cs="Arial"/>
          <w:sz w:val="20"/>
        </w:rPr>
        <w:t>brace</w:t>
      </w:r>
      <w:r w:rsidRPr="00B472E5">
        <w:rPr>
          <w:rFonts w:ascii="Arial" w:hAnsi="Arial" w:cs="Arial"/>
          <w:spacing w:val="-1"/>
          <w:sz w:val="20"/>
        </w:rPr>
        <w:t xml:space="preserve"> </w:t>
      </w:r>
      <w:r w:rsidRPr="00B472E5">
        <w:rPr>
          <w:rFonts w:ascii="Arial" w:hAnsi="Arial" w:cs="Arial"/>
          <w:sz w:val="20"/>
        </w:rPr>
        <w:t>strut;</w:t>
      </w:r>
    </w:p>
    <w:p w14:paraId="25D78506" w14:textId="77777777" w:rsidR="00B472E5" w:rsidRPr="00B472E5" w:rsidRDefault="00B472E5" w:rsidP="00B472E5">
      <w:pPr>
        <w:numPr>
          <w:ilvl w:val="1"/>
          <w:numId w:val="344"/>
        </w:numPr>
        <w:tabs>
          <w:tab w:val="left" w:pos="1273"/>
          <w:tab w:val="left" w:pos="1274"/>
        </w:tabs>
        <w:spacing w:before="120"/>
        <w:ind w:hanging="568"/>
        <w:jc w:val="both"/>
        <w:rPr>
          <w:rFonts w:ascii="Arial" w:hAnsi="Arial" w:cs="Arial"/>
          <w:sz w:val="20"/>
        </w:rPr>
      </w:pPr>
      <w:r w:rsidRPr="00B472E5">
        <w:rPr>
          <w:rFonts w:ascii="Arial" w:hAnsi="Arial" w:cs="Arial"/>
          <w:sz w:val="20"/>
        </w:rPr>
        <w:t>an</w:t>
      </w:r>
      <w:r w:rsidRPr="00B472E5">
        <w:rPr>
          <w:rFonts w:ascii="Arial" w:hAnsi="Arial" w:cs="Arial"/>
          <w:spacing w:val="-1"/>
          <w:sz w:val="20"/>
        </w:rPr>
        <w:t xml:space="preserve"> </w:t>
      </w:r>
      <w:r w:rsidRPr="00B472E5">
        <w:rPr>
          <w:rFonts w:ascii="Arial" w:hAnsi="Arial" w:cs="Arial"/>
          <w:sz w:val="20"/>
        </w:rPr>
        <w:t>axle;</w:t>
      </w:r>
    </w:p>
    <w:p w14:paraId="5816F3A5" w14:textId="77777777" w:rsidR="00B472E5" w:rsidRPr="00B472E5" w:rsidRDefault="00B472E5" w:rsidP="00B472E5">
      <w:pPr>
        <w:numPr>
          <w:ilvl w:val="1"/>
          <w:numId w:val="344"/>
        </w:numPr>
        <w:tabs>
          <w:tab w:val="left" w:pos="1273"/>
          <w:tab w:val="left" w:pos="1274"/>
        </w:tabs>
        <w:spacing w:before="120"/>
        <w:ind w:hanging="568"/>
        <w:jc w:val="both"/>
        <w:rPr>
          <w:rFonts w:ascii="Arial" w:hAnsi="Arial" w:cs="Arial"/>
          <w:sz w:val="20"/>
        </w:rPr>
      </w:pPr>
      <w:r w:rsidRPr="00B472E5">
        <w:rPr>
          <w:rFonts w:ascii="Arial" w:hAnsi="Arial" w:cs="Arial"/>
          <w:sz w:val="20"/>
        </w:rPr>
        <w:t>a</w:t>
      </w:r>
      <w:r w:rsidRPr="00B472E5">
        <w:rPr>
          <w:rFonts w:ascii="Arial" w:hAnsi="Arial" w:cs="Arial"/>
          <w:spacing w:val="-1"/>
          <w:sz w:val="20"/>
        </w:rPr>
        <w:t xml:space="preserve"> </w:t>
      </w:r>
      <w:r w:rsidRPr="00B472E5">
        <w:rPr>
          <w:rFonts w:ascii="Arial" w:hAnsi="Arial" w:cs="Arial"/>
          <w:sz w:val="20"/>
        </w:rPr>
        <w:t>wheel; and</w:t>
      </w:r>
    </w:p>
    <w:p w14:paraId="038DF130" w14:textId="77777777" w:rsidR="00B472E5" w:rsidRPr="00B472E5" w:rsidRDefault="00B472E5" w:rsidP="00B472E5">
      <w:pPr>
        <w:numPr>
          <w:ilvl w:val="1"/>
          <w:numId w:val="344"/>
        </w:numPr>
        <w:tabs>
          <w:tab w:val="left" w:pos="1273"/>
          <w:tab w:val="left" w:pos="1274"/>
        </w:tabs>
        <w:spacing w:before="120"/>
        <w:ind w:hanging="568"/>
        <w:jc w:val="both"/>
        <w:rPr>
          <w:rFonts w:ascii="Arial" w:hAnsi="Arial" w:cs="Arial"/>
          <w:sz w:val="20"/>
        </w:rPr>
      </w:pPr>
      <w:r w:rsidRPr="00B472E5">
        <w:rPr>
          <w:rFonts w:ascii="Arial" w:hAnsi="Arial" w:cs="Arial"/>
          <w:sz w:val="20"/>
        </w:rPr>
        <w:t>a</w:t>
      </w:r>
      <w:r w:rsidRPr="00B472E5">
        <w:rPr>
          <w:rFonts w:ascii="Arial" w:hAnsi="Arial" w:cs="Arial"/>
          <w:spacing w:val="-2"/>
          <w:sz w:val="20"/>
        </w:rPr>
        <w:t xml:space="preserve"> </w:t>
      </w:r>
      <w:r w:rsidRPr="00B472E5">
        <w:rPr>
          <w:rFonts w:ascii="Arial" w:hAnsi="Arial" w:cs="Arial"/>
          <w:sz w:val="20"/>
        </w:rPr>
        <w:t>ski</w:t>
      </w:r>
      <w:r w:rsidRPr="00B472E5">
        <w:rPr>
          <w:rFonts w:ascii="Arial" w:hAnsi="Arial" w:cs="Arial"/>
          <w:spacing w:val="-3"/>
          <w:sz w:val="20"/>
        </w:rPr>
        <w:t xml:space="preserve"> </w:t>
      </w:r>
      <w:r w:rsidRPr="00B472E5">
        <w:rPr>
          <w:rFonts w:ascii="Arial" w:hAnsi="Arial" w:cs="Arial"/>
          <w:sz w:val="20"/>
        </w:rPr>
        <w:t>or</w:t>
      </w:r>
      <w:r w:rsidRPr="00B472E5">
        <w:rPr>
          <w:rFonts w:ascii="Arial" w:hAnsi="Arial" w:cs="Arial"/>
          <w:spacing w:val="-1"/>
          <w:sz w:val="20"/>
        </w:rPr>
        <w:t xml:space="preserve"> </w:t>
      </w:r>
      <w:r w:rsidRPr="00B472E5">
        <w:rPr>
          <w:rFonts w:ascii="Arial" w:hAnsi="Arial" w:cs="Arial"/>
          <w:sz w:val="20"/>
        </w:rPr>
        <w:t>ski</w:t>
      </w:r>
      <w:r w:rsidRPr="00B472E5">
        <w:rPr>
          <w:rFonts w:ascii="Arial" w:hAnsi="Arial" w:cs="Arial"/>
          <w:spacing w:val="-1"/>
          <w:sz w:val="20"/>
        </w:rPr>
        <w:t xml:space="preserve"> </w:t>
      </w:r>
      <w:r w:rsidRPr="00B472E5">
        <w:rPr>
          <w:rFonts w:ascii="Arial" w:hAnsi="Arial" w:cs="Arial"/>
          <w:sz w:val="20"/>
        </w:rPr>
        <w:t>pedestal,</w:t>
      </w:r>
      <w:r w:rsidRPr="00B472E5">
        <w:rPr>
          <w:rFonts w:ascii="Arial" w:hAnsi="Arial" w:cs="Arial"/>
          <w:spacing w:val="-1"/>
          <w:sz w:val="20"/>
        </w:rPr>
        <w:t xml:space="preserve"> </w:t>
      </w:r>
      <w:r w:rsidRPr="00B472E5">
        <w:rPr>
          <w:rFonts w:ascii="Arial" w:hAnsi="Arial" w:cs="Arial"/>
          <w:sz w:val="20"/>
        </w:rPr>
        <w:t>excluding</w:t>
      </w:r>
      <w:r w:rsidRPr="00B472E5">
        <w:rPr>
          <w:rFonts w:ascii="Arial" w:hAnsi="Arial" w:cs="Arial"/>
          <w:spacing w:val="-2"/>
          <w:sz w:val="20"/>
        </w:rPr>
        <w:t xml:space="preserve"> </w:t>
      </w:r>
      <w:r w:rsidRPr="00B472E5">
        <w:rPr>
          <w:rFonts w:ascii="Arial" w:hAnsi="Arial" w:cs="Arial"/>
          <w:sz w:val="20"/>
        </w:rPr>
        <w:t>the replacement</w:t>
      </w:r>
      <w:r w:rsidRPr="00B472E5">
        <w:rPr>
          <w:rFonts w:ascii="Arial" w:hAnsi="Arial" w:cs="Arial"/>
          <w:spacing w:val="-3"/>
          <w:sz w:val="20"/>
        </w:rPr>
        <w:t xml:space="preserve"> </w:t>
      </w:r>
      <w:r w:rsidRPr="00B472E5">
        <w:rPr>
          <w:rFonts w:ascii="Arial" w:hAnsi="Arial" w:cs="Arial"/>
          <w:sz w:val="20"/>
        </w:rPr>
        <w:t>of</w:t>
      </w:r>
      <w:r w:rsidRPr="00B472E5">
        <w:rPr>
          <w:rFonts w:ascii="Arial" w:hAnsi="Arial" w:cs="Arial"/>
          <w:spacing w:val="-1"/>
          <w:sz w:val="20"/>
        </w:rPr>
        <w:t xml:space="preserve"> </w:t>
      </w:r>
      <w:r w:rsidRPr="00B472E5">
        <w:rPr>
          <w:rFonts w:ascii="Arial" w:hAnsi="Arial" w:cs="Arial"/>
          <w:sz w:val="20"/>
        </w:rPr>
        <w:t>a</w:t>
      </w:r>
      <w:r w:rsidRPr="00B472E5">
        <w:rPr>
          <w:rFonts w:ascii="Arial" w:hAnsi="Arial" w:cs="Arial"/>
          <w:spacing w:val="-4"/>
          <w:sz w:val="20"/>
        </w:rPr>
        <w:t xml:space="preserve"> </w:t>
      </w:r>
      <w:r w:rsidRPr="00B472E5">
        <w:rPr>
          <w:rFonts w:ascii="Arial" w:hAnsi="Arial" w:cs="Arial"/>
          <w:sz w:val="20"/>
        </w:rPr>
        <w:t>low-friction</w:t>
      </w:r>
      <w:r w:rsidRPr="00B472E5">
        <w:rPr>
          <w:rFonts w:ascii="Arial" w:hAnsi="Arial" w:cs="Arial"/>
          <w:spacing w:val="-2"/>
          <w:sz w:val="20"/>
        </w:rPr>
        <w:t xml:space="preserve"> </w:t>
      </w:r>
      <w:r w:rsidRPr="00B472E5">
        <w:rPr>
          <w:rFonts w:ascii="Arial" w:hAnsi="Arial" w:cs="Arial"/>
          <w:sz w:val="20"/>
        </w:rPr>
        <w:t>coating;</w:t>
      </w:r>
    </w:p>
    <w:p w14:paraId="776A75A8" w14:textId="77777777" w:rsidR="00B472E5" w:rsidRPr="00B472E5" w:rsidRDefault="00B472E5" w:rsidP="00B472E5">
      <w:pPr>
        <w:numPr>
          <w:ilvl w:val="0"/>
          <w:numId w:val="344"/>
        </w:numPr>
        <w:tabs>
          <w:tab w:val="left" w:pos="706"/>
          <w:tab w:val="left" w:pos="707"/>
        </w:tabs>
        <w:spacing w:before="121"/>
        <w:jc w:val="both"/>
        <w:rPr>
          <w:rFonts w:ascii="Arial" w:hAnsi="Arial" w:cs="Arial"/>
          <w:sz w:val="20"/>
        </w:rPr>
      </w:pPr>
      <w:r w:rsidRPr="00B472E5">
        <w:rPr>
          <w:rFonts w:ascii="Arial" w:hAnsi="Arial" w:cs="Arial"/>
          <w:sz w:val="20"/>
        </w:rPr>
        <w:t>the</w:t>
      </w:r>
      <w:r w:rsidRPr="00B472E5">
        <w:rPr>
          <w:rFonts w:ascii="Arial" w:hAnsi="Arial" w:cs="Arial"/>
          <w:spacing w:val="-3"/>
          <w:sz w:val="20"/>
        </w:rPr>
        <w:t xml:space="preserve"> </w:t>
      </w:r>
      <w:r w:rsidRPr="00B472E5">
        <w:rPr>
          <w:rFonts w:ascii="Arial" w:hAnsi="Arial" w:cs="Arial"/>
          <w:sz w:val="20"/>
        </w:rPr>
        <w:t>modification</w:t>
      </w:r>
      <w:r w:rsidRPr="00B472E5">
        <w:rPr>
          <w:rFonts w:ascii="Arial" w:hAnsi="Arial" w:cs="Arial"/>
          <w:spacing w:val="-3"/>
          <w:sz w:val="20"/>
        </w:rPr>
        <w:t xml:space="preserve"> </w:t>
      </w:r>
      <w:r w:rsidRPr="00B472E5">
        <w:rPr>
          <w:rFonts w:ascii="Arial" w:hAnsi="Arial" w:cs="Arial"/>
          <w:sz w:val="20"/>
        </w:rPr>
        <w:t>or repair</w:t>
      </w:r>
      <w:r w:rsidRPr="00B472E5">
        <w:rPr>
          <w:rFonts w:ascii="Arial" w:hAnsi="Arial" w:cs="Arial"/>
          <w:spacing w:val="-2"/>
          <w:sz w:val="20"/>
        </w:rPr>
        <w:t xml:space="preserve"> </w:t>
      </w:r>
      <w:r w:rsidRPr="00B472E5">
        <w:rPr>
          <w:rFonts w:ascii="Arial" w:hAnsi="Arial" w:cs="Arial"/>
          <w:sz w:val="20"/>
        </w:rPr>
        <w:t>of any</w:t>
      </w:r>
      <w:r w:rsidRPr="00B472E5">
        <w:rPr>
          <w:rFonts w:ascii="Arial" w:hAnsi="Arial" w:cs="Arial"/>
          <w:spacing w:val="-3"/>
          <w:sz w:val="20"/>
        </w:rPr>
        <w:t xml:space="preserve"> </w:t>
      </w:r>
      <w:r w:rsidRPr="00B472E5">
        <w:rPr>
          <w:rFonts w:ascii="Arial" w:hAnsi="Arial" w:cs="Arial"/>
          <w:sz w:val="20"/>
        </w:rPr>
        <w:t>of</w:t>
      </w:r>
      <w:r w:rsidRPr="00B472E5">
        <w:rPr>
          <w:rFonts w:ascii="Arial" w:hAnsi="Arial" w:cs="Arial"/>
          <w:spacing w:val="-3"/>
          <w:sz w:val="20"/>
        </w:rPr>
        <w:t xml:space="preserve"> </w:t>
      </w:r>
      <w:r w:rsidRPr="00B472E5">
        <w:rPr>
          <w:rFonts w:ascii="Arial" w:hAnsi="Arial" w:cs="Arial"/>
          <w:sz w:val="20"/>
        </w:rPr>
        <w:t>the</w:t>
      </w:r>
      <w:r w:rsidRPr="00B472E5">
        <w:rPr>
          <w:rFonts w:ascii="Arial" w:hAnsi="Arial" w:cs="Arial"/>
          <w:spacing w:val="1"/>
          <w:sz w:val="20"/>
        </w:rPr>
        <w:t xml:space="preserve"> </w:t>
      </w:r>
      <w:r w:rsidRPr="00B472E5">
        <w:rPr>
          <w:rFonts w:ascii="Arial" w:hAnsi="Arial" w:cs="Arial"/>
          <w:sz w:val="20"/>
        </w:rPr>
        <w:t>following</w:t>
      </w:r>
      <w:r w:rsidRPr="00B472E5">
        <w:rPr>
          <w:rFonts w:ascii="Arial" w:hAnsi="Arial" w:cs="Arial"/>
          <w:spacing w:val="-2"/>
          <w:sz w:val="20"/>
        </w:rPr>
        <w:t xml:space="preserve"> </w:t>
      </w:r>
      <w:r w:rsidRPr="00B472E5">
        <w:rPr>
          <w:rFonts w:ascii="Arial" w:hAnsi="Arial" w:cs="Arial"/>
          <w:sz w:val="20"/>
        </w:rPr>
        <w:t>parts:</w:t>
      </w:r>
    </w:p>
    <w:p w14:paraId="4A30A937" w14:textId="77777777" w:rsidR="00B472E5" w:rsidRPr="00B472E5" w:rsidRDefault="00B472E5" w:rsidP="00B472E5">
      <w:pPr>
        <w:numPr>
          <w:ilvl w:val="1"/>
          <w:numId w:val="344"/>
        </w:numPr>
        <w:tabs>
          <w:tab w:val="left" w:pos="1273"/>
          <w:tab w:val="left" w:pos="1274"/>
        </w:tabs>
        <w:spacing w:before="120"/>
        <w:ind w:right="195"/>
        <w:jc w:val="both"/>
        <w:rPr>
          <w:rFonts w:ascii="Arial" w:hAnsi="Arial" w:cs="Arial"/>
          <w:sz w:val="20"/>
        </w:rPr>
      </w:pPr>
      <w:r w:rsidRPr="00B472E5">
        <w:rPr>
          <w:rFonts w:ascii="Arial" w:hAnsi="Arial" w:cs="Arial"/>
          <w:sz w:val="20"/>
        </w:rPr>
        <w:t>aircraft</w:t>
      </w:r>
      <w:r w:rsidRPr="00B472E5">
        <w:rPr>
          <w:rFonts w:ascii="Arial" w:hAnsi="Arial" w:cs="Arial"/>
          <w:spacing w:val="-2"/>
          <w:sz w:val="20"/>
        </w:rPr>
        <w:t xml:space="preserve"> </w:t>
      </w:r>
      <w:r w:rsidRPr="00B472E5">
        <w:rPr>
          <w:rFonts w:ascii="Arial" w:hAnsi="Arial" w:cs="Arial"/>
          <w:sz w:val="20"/>
        </w:rPr>
        <w:t>skin</w:t>
      </w:r>
      <w:r w:rsidRPr="00B472E5">
        <w:rPr>
          <w:rFonts w:ascii="Arial" w:hAnsi="Arial" w:cs="Arial"/>
          <w:spacing w:val="-3"/>
          <w:sz w:val="20"/>
        </w:rPr>
        <w:t xml:space="preserve"> </w:t>
      </w:r>
      <w:r w:rsidRPr="00B472E5">
        <w:rPr>
          <w:rFonts w:ascii="Arial" w:hAnsi="Arial" w:cs="Arial"/>
          <w:sz w:val="20"/>
        </w:rPr>
        <w:t>or</w:t>
      </w:r>
      <w:r w:rsidRPr="00B472E5">
        <w:rPr>
          <w:rFonts w:ascii="Arial" w:hAnsi="Arial" w:cs="Arial"/>
          <w:spacing w:val="-3"/>
          <w:sz w:val="20"/>
        </w:rPr>
        <w:t xml:space="preserve"> </w:t>
      </w:r>
      <w:r w:rsidRPr="00B472E5">
        <w:rPr>
          <w:rFonts w:ascii="Arial" w:hAnsi="Arial" w:cs="Arial"/>
          <w:sz w:val="20"/>
        </w:rPr>
        <w:t>the</w:t>
      </w:r>
      <w:r w:rsidRPr="00B472E5">
        <w:rPr>
          <w:rFonts w:ascii="Arial" w:hAnsi="Arial" w:cs="Arial"/>
          <w:spacing w:val="-2"/>
          <w:sz w:val="20"/>
        </w:rPr>
        <w:t xml:space="preserve"> </w:t>
      </w:r>
      <w:r w:rsidRPr="00B472E5">
        <w:rPr>
          <w:rFonts w:ascii="Arial" w:hAnsi="Arial" w:cs="Arial"/>
          <w:sz w:val="20"/>
        </w:rPr>
        <w:t>skin</w:t>
      </w:r>
      <w:r w:rsidRPr="00B472E5">
        <w:rPr>
          <w:rFonts w:ascii="Arial" w:hAnsi="Arial" w:cs="Arial"/>
          <w:spacing w:val="-2"/>
          <w:sz w:val="20"/>
        </w:rPr>
        <w:t xml:space="preserve"> </w:t>
      </w:r>
      <w:r w:rsidRPr="00B472E5">
        <w:rPr>
          <w:rFonts w:ascii="Arial" w:hAnsi="Arial" w:cs="Arial"/>
          <w:sz w:val="20"/>
        </w:rPr>
        <w:t>of</w:t>
      </w:r>
      <w:r w:rsidRPr="00B472E5">
        <w:rPr>
          <w:rFonts w:ascii="Arial" w:hAnsi="Arial" w:cs="Arial"/>
          <w:spacing w:val="-3"/>
          <w:sz w:val="20"/>
        </w:rPr>
        <w:t xml:space="preserve"> </w:t>
      </w:r>
      <w:r w:rsidRPr="00B472E5">
        <w:rPr>
          <w:rFonts w:ascii="Arial" w:hAnsi="Arial" w:cs="Arial"/>
          <w:sz w:val="20"/>
        </w:rPr>
        <w:t>an</w:t>
      </w:r>
      <w:r w:rsidRPr="00B472E5">
        <w:rPr>
          <w:rFonts w:ascii="Arial" w:hAnsi="Arial" w:cs="Arial"/>
          <w:spacing w:val="-1"/>
          <w:sz w:val="20"/>
        </w:rPr>
        <w:t xml:space="preserve"> </w:t>
      </w:r>
      <w:r w:rsidRPr="00B472E5">
        <w:rPr>
          <w:rFonts w:ascii="Arial" w:hAnsi="Arial" w:cs="Arial"/>
          <w:sz w:val="20"/>
        </w:rPr>
        <w:t>aircraft</w:t>
      </w:r>
      <w:r w:rsidRPr="00B472E5">
        <w:rPr>
          <w:rFonts w:ascii="Arial" w:hAnsi="Arial" w:cs="Arial"/>
          <w:spacing w:val="-2"/>
          <w:sz w:val="20"/>
        </w:rPr>
        <w:t xml:space="preserve"> </w:t>
      </w:r>
      <w:r w:rsidRPr="00B472E5">
        <w:rPr>
          <w:rFonts w:ascii="Arial" w:hAnsi="Arial" w:cs="Arial"/>
          <w:sz w:val="20"/>
        </w:rPr>
        <w:t>float</w:t>
      </w:r>
      <w:r w:rsidRPr="00B472E5">
        <w:rPr>
          <w:rFonts w:ascii="Arial" w:hAnsi="Arial" w:cs="Arial"/>
          <w:spacing w:val="-3"/>
          <w:sz w:val="20"/>
        </w:rPr>
        <w:t xml:space="preserve"> </w:t>
      </w:r>
      <w:r w:rsidRPr="00B472E5">
        <w:rPr>
          <w:rFonts w:ascii="Arial" w:hAnsi="Arial" w:cs="Arial"/>
          <w:sz w:val="20"/>
        </w:rPr>
        <w:t>if</w:t>
      </w:r>
      <w:r w:rsidRPr="00B472E5">
        <w:rPr>
          <w:rFonts w:ascii="Arial" w:hAnsi="Arial" w:cs="Arial"/>
          <w:spacing w:val="-3"/>
          <w:sz w:val="20"/>
        </w:rPr>
        <w:t xml:space="preserve"> </w:t>
      </w:r>
      <w:r w:rsidRPr="00B472E5">
        <w:rPr>
          <w:rFonts w:ascii="Arial" w:hAnsi="Arial" w:cs="Arial"/>
          <w:sz w:val="20"/>
        </w:rPr>
        <w:t>the</w:t>
      </w:r>
      <w:r w:rsidRPr="00B472E5">
        <w:rPr>
          <w:rFonts w:ascii="Arial" w:hAnsi="Arial" w:cs="Arial"/>
          <w:spacing w:val="-2"/>
          <w:sz w:val="20"/>
        </w:rPr>
        <w:t xml:space="preserve"> </w:t>
      </w:r>
      <w:r w:rsidRPr="00B472E5">
        <w:rPr>
          <w:rFonts w:ascii="Arial" w:hAnsi="Arial" w:cs="Arial"/>
          <w:sz w:val="20"/>
        </w:rPr>
        <w:t>work</w:t>
      </w:r>
      <w:r w:rsidRPr="00B472E5">
        <w:rPr>
          <w:rFonts w:ascii="Arial" w:hAnsi="Arial" w:cs="Arial"/>
          <w:spacing w:val="-3"/>
          <w:sz w:val="20"/>
        </w:rPr>
        <w:t xml:space="preserve"> </w:t>
      </w:r>
      <w:r w:rsidRPr="00B472E5">
        <w:rPr>
          <w:rFonts w:ascii="Arial" w:hAnsi="Arial" w:cs="Arial"/>
          <w:sz w:val="20"/>
        </w:rPr>
        <w:t>requires</w:t>
      </w:r>
      <w:r w:rsidRPr="00B472E5">
        <w:rPr>
          <w:rFonts w:ascii="Arial" w:hAnsi="Arial" w:cs="Arial"/>
          <w:spacing w:val="-2"/>
          <w:sz w:val="20"/>
        </w:rPr>
        <w:t xml:space="preserve"> </w:t>
      </w:r>
      <w:r w:rsidRPr="00B472E5">
        <w:rPr>
          <w:rFonts w:ascii="Arial" w:hAnsi="Arial" w:cs="Arial"/>
          <w:sz w:val="20"/>
        </w:rPr>
        <w:t>the</w:t>
      </w:r>
      <w:r w:rsidRPr="00B472E5">
        <w:rPr>
          <w:rFonts w:ascii="Arial" w:hAnsi="Arial" w:cs="Arial"/>
          <w:spacing w:val="-3"/>
          <w:sz w:val="20"/>
        </w:rPr>
        <w:t xml:space="preserve"> </w:t>
      </w:r>
      <w:r w:rsidRPr="00B472E5">
        <w:rPr>
          <w:rFonts w:ascii="Arial" w:hAnsi="Arial" w:cs="Arial"/>
          <w:sz w:val="20"/>
        </w:rPr>
        <w:t>use</w:t>
      </w:r>
      <w:r w:rsidRPr="00B472E5">
        <w:rPr>
          <w:rFonts w:ascii="Arial" w:hAnsi="Arial" w:cs="Arial"/>
          <w:spacing w:val="-3"/>
          <w:sz w:val="20"/>
        </w:rPr>
        <w:t xml:space="preserve"> </w:t>
      </w:r>
      <w:r w:rsidRPr="00B472E5">
        <w:rPr>
          <w:rFonts w:ascii="Arial" w:hAnsi="Arial" w:cs="Arial"/>
          <w:sz w:val="20"/>
        </w:rPr>
        <w:t>of</w:t>
      </w:r>
      <w:r w:rsidRPr="00B472E5">
        <w:rPr>
          <w:rFonts w:ascii="Arial" w:hAnsi="Arial" w:cs="Arial"/>
          <w:spacing w:val="-3"/>
          <w:sz w:val="20"/>
        </w:rPr>
        <w:t xml:space="preserve"> </w:t>
      </w:r>
      <w:r w:rsidRPr="00B472E5">
        <w:rPr>
          <w:rFonts w:ascii="Arial" w:hAnsi="Arial" w:cs="Arial"/>
          <w:sz w:val="20"/>
        </w:rPr>
        <w:t>a</w:t>
      </w:r>
      <w:r w:rsidRPr="00B472E5">
        <w:rPr>
          <w:rFonts w:ascii="Arial" w:hAnsi="Arial" w:cs="Arial"/>
          <w:spacing w:val="-2"/>
          <w:sz w:val="20"/>
        </w:rPr>
        <w:t xml:space="preserve"> </w:t>
      </w:r>
      <w:r w:rsidRPr="00B472E5">
        <w:rPr>
          <w:rFonts w:ascii="Arial" w:hAnsi="Arial" w:cs="Arial"/>
          <w:sz w:val="20"/>
        </w:rPr>
        <w:t>support, jig</w:t>
      </w:r>
      <w:r w:rsidRPr="00B472E5">
        <w:rPr>
          <w:rFonts w:ascii="Arial" w:hAnsi="Arial" w:cs="Arial"/>
          <w:spacing w:val="-4"/>
          <w:sz w:val="20"/>
        </w:rPr>
        <w:t xml:space="preserve"> </w:t>
      </w:r>
      <w:r w:rsidRPr="00B472E5">
        <w:rPr>
          <w:rFonts w:ascii="Arial" w:hAnsi="Arial" w:cs="Arial"/>
          <w:sz w:val="20"/>
        </w:rPr>
        <w:t>or</w:t>
      </w:r>
      <w:r w:rsidRPr="00B472E5">
        <w:rPr>
          <w:rFonts w:ascii="Arial" w:hAnsi="Arial" w:cs="Arial"/>
          <w:spacing w:val="-47"/>
          <w:sz w:val="20"/>
        </w:rPr>
        <w:t xml:space="preserve"> </w:t>
      </w:r>
      <w:r w:rsidRPr="00B472E5">
        <w:rPr>
          <w:rFonts w:ascii="Arial" w:hAnsi="Arial" w:cs="Arial"/>
          <w:sz w:val="20"/>
        </w:rPr>
        <w:t>fixture;</w:t>
      </w:r>
    </w:p>
    <w:p w14:paraId="47D86E22" w14:textId="77777777" w:rsidR="00B472E5" w:rsidRPr="00B472E5" w:rsidRDefault="00B472E5" w:rsidP="00B472E5">
      <w:pPr>
        <w:numPr>
          <w:ilvl w:val="1"/>
          <w:numId w:val="344"/>
        </w:numPr>
        <w:tabs>
          <w:tab w:val="left" w:pos="1273"/>
          <w:tab w:val="left" w:pos="1274"/>
        </w:tabs>
        <w:spacing w:before="120"/>
        <w:ind w:right="198"/>
        <w:jc w:val="both"/>
        <w:rPr>
          <w:rFonts w:ascii="Arial" w:hAnsi="Arial" w:cs="Arial"/>
          <w:sz w:val="20"/>
        </w:rPr>
      </w:pPr>
      <w:r w:rsidRPr="00B472E5">
        <w:rPr>
          <w:rFonts w:ascii="Arial" w:hAnsi="Arial" w:cs="Arial"/>
          <w:sz w:val="20"/>
        </w:rPr>
        <w:t>aircraft</w:t>
      </w:r>
      <w:r w:rsidRPr="00B472E5">
        <w:rPr>
          <w:rFonts w:ascii="Arial" w:hAnsi="Arial" w:cs="Arial"/>
          <w:spacing w:val="19"/>
          <w:sz w:val="20"/>
        </w:rPr>
        <w:t xml:space="preserve"> </w:t>
      </w:r>
      <w:r w:rsidRPr="00B472E5">
        <w:rPr>
          <w:rFonts w:ascii="Arial" w:hAnsi="Arial" w:cs="Arial"/>
          <w:sz w:val="20"/>
        </w:rPr>
        <w:t>skin</w:t>
      </w:r>
      <w:r w:rsidRPr="00B472E5">
        <w:rPr>
          <w:rFonts w:ascii="Arial" w:hAnsi="Arial" w:cs="Arial"/>
          <w:spacing w:val="18"/>
          <w:sz w:val="20"/>
        </w:rPr>
        <w:t xml:space="preserve"> </w:t>
      </w:r>
      <w:r w:rsidRPr="00B472E5">
        <w:rPr>
          <w:rFonts w:ascii="Arial" w:hAnsi="Arial" w:cs="Arial"/>
          <w:sz w:val="20"/>
        </w:rPr>
        <w:t>that</w:t>
      </w:r>
      <w:r w:rsidRPr="00B472E5">
        <w:rPr>
          <w:rFonts w:ascii="Arial" w:hAnsi="Arial" w:cs="Arial"/>
          <w:spacing w:val="19"/>
          <w:sz w:val="20"/>
        </w:rPr>
        <w:t xml:space="preserve"> </w:t>
      </w:r>
      <w:r w:rsidRPr="00B472E5">
        <w:rPr>
          <w:rFonts w:ascii="Arial" w:hAnsi="Arial" w:cs="Arial"/>
          <w:sz w:val="20"/>
        </w:rPr>
        <w:t>is</w:t>
      </w:r>
      <w:r w:rsidRPr="00B472E5">
        <w:rPr>
          <w:rFonts w:ascii="Arial" w:hAnsi="Arial" w:cs="Arial"/>
          <w:spacing w:val="19"/>
          <w:sz w:val="20"/>
        </w:rPr>
        <w:t xml:space="preserve"> </w:t>
      </w:r>
      <w:r w:rsidRPr="00B472E5">
        <w:rPr>
          <w:rFonts w:ascii="Arial" w:hAnsi="Arial" w:cs="Arial"/>
          <w:sz w:val="20"/>
        </w:rPr>
        <w:t>subject</w:t>
      </w:r>
      <w:r w:rsidRPr="00B472E5">
        <w:rPr>
          <w:rFonts w:ascii="Arial" w:hAnsi="Arial" w:cs="Arial"/>
          <w:spacing w:val="18"/>
          <w:sz w:val="20"/>
        </w:rPr>
        <w:t xml:space="preserve"> </w:t>
      </w:r>
      <w:r w:rsidRPr="00B472E5">
        <w:rPr>
          <w:rFonts w:ascii="Arial" w:hAnsi="Arial" w:cs="Arial"/>
          <w:sz w:val="20"/>
        </w:rPr>
        <w:t>to</w:t>
      </w:r>
      <w:r w:rsidRPr="00B472E5">
        <w:rPr>
          <w:rFonts w:ascii="Arial" w:hAnsi="Arial" w:cs="Arial"/>
          <w:spacing w:val="21"/>
          <w:sz w:val="20"/>
        </w:rPr>
        <w:t xml:space="preserve"> </w:t>
      </w:r>
      <w:r w:rsidRPr="00B472E5">
        <w:rPr>
          <w:rFonts w:ascii="Arial" w:hAnsi="Arial" w:cs="Arial"/>
          <w:sz w:val="20"/>
        </w:rPr>
        <w:t>pressurisation</w:t>
      </w:r>
      <w:r w:rsidRPr="00B472E5">
        <w:rPr>
          <w:rFonts w:ascii="Arial" w:hAnsi="Arial" w:cs="Arial"/>
          <w:spacing w:val="18"/>
          <w:sz w:val="20"/>
        </w:rPr>
        <w:t xml:space="preserve"> </w:t>
      </w:r>
      <w:r w:rsidRPr="00B472E5">
        <w:rPr>
          <w:rFonts w:ascii="Arial" w:hAnsi="Arial" w:cs="Arial"/>
          <w:sz w:val="20"/>
        </w:rPr>
        <w:t>loads</w:t>
      </w:r>
      <w:r w:rsidRPr="00B472E5">
        <w:rPr>
          <w:rFonts w:ascii="Arial" w:hAnsi="Arial" w:cs="Arial"/>
          <w:spacing w:val="19"/>
          <w:sz w:val="20"/>
        </w:rPr>
        <w:t xml:space="preserve"> </w:t>
      </w:r>
      <w:r w:rsidRPr="00B472E5">
        <w:rPr>
          <w:rFonts w:ascii="Arial" w:hAnsi="Arial" w:cs="Arial"/>
          <w:sz w:val="20"/>
        </w:rPr>
        <w:t>if</w:t>
      </w:r>
      <w:r w:rsidRPr="00B472E5">
        <w:rPr>
          <w:rFonts w:ascii="Arial" w:hAnsi="Arial" w:cs="Arial"/>
          <w:spacing w:val="16"/>
          <w:sz w:val="20"/>
        </w:rPr>
        <w:t xml:space="preserve"> </w:t>
      </w:r>
      <w:r w:rsidRPr="00B472E5">
        <w:rPr>
          <w:rFonts w:ascii="Arial" w:hAnsi="Arial" w:cs="Arial"/>
          <w:sz w:val="20"/>
        </w:rPr>
        <w:t>the</w:t>
      </w:r>
      <w:r w:rsidRPr="00B472E5">
        <w:rPr>
          <w:rFonts w:ascii="Arial" w:hAnsi="Arial" w:cs="Arial"/>
          <w:spacing w:val="19"/>
          <w:sz w:val="20"/>
        </w:rPr>
        <w:t xml:space="preserve"> </w:t>
      </w:r>
      <w:r w:rsidRPr="00B472E5">
        <w:rPr>
          <w:rFonts w:ascii="Arial" w:hAnsi="Arial" w:cs="Arial"/>
          <w:sz w:val="20"/>
        </w:rPr>
        <w:t>damage</w:t>
      </w:r>
      <w:r w:rsidRPr="00B472E5">
        <w:rPr>
          <w:rFonts w:ascii="Arial" w:hAnsi="Arial" w:cs="Arial"/>
          <w:spacing w:val="17"/>
          <w:sz w:val="20"/>
        </w:rPr>
        <w:t xml:space="preserve"> </w:t>
      </w:r>
      <w:r w:rsidRPr="00B472E5">
        <w:rPr>
          <w:rFonts w:ascii="Arial" w:hAnsi="Arial" w:cs="Arial"/>
          <w:sz w:val="20"/>
        </w:rPr>
        <w:t>to</w:t>
      </w:r>
      <w:r w:rsidRPr="00B472E5">
        <w:rPr>
          <w:rFonts w:ascii="Arial" w:hAnsi="Arial" w:cs="Arial"/>
          <w:spacing w:val="18"/>
          <w:sz w:val="20"/>
        </w:rPr>
        <w:t xml:space="preserve"> </w:t>
      </w:r>
      <w:r w:rsidRPr="00B472E5">
        <w:rPr>
          <w:rFonts w:ascii="Arial" w:hAnsi="Arial" w:cs="Arial"/>
          <w:sz w:val="20"/>
        </w:rPr>
        <w:t>the</w:t>
      </w:r>
      <w:r w:rsidRPr="00B472E5">
        <w:rPr>
          <w:rFonts w:ascii="Arial" w:hAnsi="Arial" w:cs="Arial"/>
          <w:spacing w:val="19"/>
          <w:sz w:val="20"/>
        </w:rPr>
        <w:t xml:space="preserve"> </w:t>
      </w:r>
      <w:r w:rsidRPr="00B472E5">
        <w:rPr>
          <w:rFonts w:ascii="Arial" w:hAnsi="Arial" w:cs="Arial"/>
          <w:sz w:val="20"/>
        </w:rPr>
        <w:t>skin</w:t>
      </w:r>
      <w:r w:rsidRPr="00B472E5">
        <w:rPr>
          <w:rFonts w:ascii="Arial" w:hAnsi="Arial" w:cs="Arial"/>
          <w:spacing w:val="16"/>
          <w:sz w:val="20"/>
        </w:rPr>
        <w:t xml:space="preserve"> </w:t>
      </w:r>
      <w:r w:rsidRPr="00B472E5">
        <w:rPr>
          <w:rFonts w:ascii="Arial" w:hAnsi="Arial" w:cs="Arial"/>
          <w:sz w:val="20"/>
        </w:rPr>
        <w:t>measures</w:t>
      </w:r>
      <w:r w:rsidRPr="00B472E5">
        <w:rPr>
          <w:rFonts w:ascii="Arial" w:hAnsi="Arial" w:cs="Arial"/>
          <w:spacing w:val="-47"/>
          <w:sz w:val="20"/>
        </w:rPr>
        <w:t xml:space="preserve"> </w:t>
      </w:r>
      <w:r w:rsidRPr="00B472E5">
        <w:rPr>
          <w:rFonts w:ascii="Arial" w:hAnsi="Arial" w:cs="Arial"/>
          <w:sz w:val="20"/>
        </w:rPr>
        <w:t>more than</w:t>
      </w:r>
      <w:r w:rsidRPr="00B472E5">
        <w:rPr>
          <w:rFonts w:ascii="Arial" w:hAnsi="Arial" w:cs="Arial"/>
          <w:spacing w:val="-3"/>
          <w:sz w:val="20"/>
        </w:rPr>
        <w:t xml:space="preserve"> </w:t>
      </w:r>
      <w:r w:rsidRPr="00B472E5">
        <w:rPr>
          <w:rFonts w:ascii="Arial" w:hAnsi="Arial" w:cs="Arial"/>
          <w:sz w:val="20"/>
        </w:rPr>
        <w:t>15</w:t>
      </w:r>
      <w:r w:rsidRPr="00B472E5">
        <w:rPr>
          <w:rFonts w:ascii="Arial" w:hAnsi="Arial" w:cs="Arial"/>
          <w:spacing w:val="1"/>
          <w:sz w:val="20"/>
        </w:rPr>
        <w:t xml:space="preserve"> </w:t>
      </w:r>
      <w:r w:rsidRPr="00B472E5">
        <w:rPr>
          <w:rFonts w:ascii="Arial" w:hAnsi="Arial" w:cs="Arial"/>
          <w:sz w:val="20"/>
        </w:rPr>
        <w:t>cm</w:t>
      </w:r>
      <w:r w:rsidRPr="00B472E5">
        <w:rPr>
          <w:rFonts w:ascii="Arial" w:hAnsi="Arial" w:cs="Arial"/>
          <w:spacing w:val="1"/>
          <w:sz w:val="20"/>
        </w:rPr>
        <w:t xml:space="preserve"> </w:t>
      </w:r>
      <w:r w:rsidRPr="00B472E5">
        <w:rPr>
          <w:rFonts w:ascii="Arial" w:hAnsi="Arial" w:cs="Arial"/>
          <w:sz w:val="20"/>
        </w:rPr>
        <w:t>(6</w:t>
      </w:r>
      <w:r w:rsidRPr="00B472E5">
        <w:rPr>
          <w:rFonts w:ascii="Arial" w:hAnsi="Arial" w:cs="Arial"/>
          <w:spacing w:val="2"/>
          <w:sz w:val="20"/>
        </w:rPr>
        <w:t xml:space="preserve"> </w:t>
      </w:r>
      <w:r w:rsidRPr="00B472E5">
        <w:rPr>
          <w:rFonts w:ascii="Arial" w:hAnsi="Arial" w:cs="Arial"/>
          <w:sz w:val="20"/>
        </w:rPr>
        <w:t>in.)</w:t>
      </w:r>
      <w:r w:rsidRPr="00B472E5">
        <w:rPr>
          <w:rFonts w:ascii="Arial" w:hAnsi="Arial" w:cs="Arial"/>
          <w:spacing w:val="-1"/>
          <w:sz w:val="20"/>
        </w:rPr>
        <w:t xml:space="preserve"> </w:t>
      </w:r>
      <w:r w:rsidRPr="00B472E5">
        <w:rPr>
          <w:rFonts w:ascii="Arial" w:hAnsi="Arial" w:cs="Arial"/>
          <w:sz w:val="20"/>
        </w:rPr>
        <w:t>in</w:t>
      </w:r>
      <w:r w:rsidRPr="00B472E5">
        <w:rPr>
          <w:rFonts w:ascii="Arial" w:hAnsi="Arial" w:cs="Arial"/>
          <w:spacing w:val="-3"/>
          <w:sz w:val="20"/>
        </w:rPr>
        <w:t xml:space="preserve"> </w:t>
      </w:r>
      <w:r w:rsidRPr="00B472E5">
        <w:rPr>
          <w:rFonts w:ascii="Arial" w:hAnsi="Arial" w:cs="Arial"/>
          <w:sz w:val="20"/>
        </w:rPr>
        <w:t>any direction;</w:t>
      </w:r>
    </w:p>
    <w:p w14:paraId="5505EF4F" w14:textId="77777777" w:rsidR="00B472E5" w:rsidRPr="00B472E5" w:rsidRDefault="00B472E5" w:rsidP="00B472E5">
      <w:pPr>
        <w:numPr>
          <w:ilvl w:val="1"/>
          <w:numId w:val="344"/>
        </w:numPr>
        <w:tabs>
          <w:tab w:val="left" w:pos="1273"/>
          <w:tab w:val="left" w:pos="1274"/>
        </w:tabs>
        <w:spacing w:before="119"/>
        <w:ind w:right="195"/>
        <w:jc w:val="both"/>
        <w:rPr>
          <w:rFonts w:ascii="Arial" w:hAnsi="Arial" w:cs="Arial"/>
          <w:sz w:val="20"/>
        </w:rPr>
      </w:pPr>
      <w:r w:rsidRPr="00B472E5">
        <w:rPr>
          <w:rFonts w:ascii="Arial" w:hAnsi="Arial" w:cs="Arial"/>
          <w:sz w:val="20"/>
        </w:rPr>
        <w:t>a</w:t>
      </w:r>
      <w:r w:rsidRPr="00B472E5">
        <w:rPr>
          <w:rFonts w:ascii="Arial" w:hAnsi="Arial" w:cs="Arial"/>
          <w:spacing w:val="12"/>
          <w:sz w:val="20"/>
        </w:rPr>
        <w:t xml:space="preserve"> </w:t>
      </w:r>
      <w:r w:rsidRPr="00B472E5">
        <w:rPr>
          <w:rFonts w:ascii="Arial" w:hAnsi="Arial" w:cs="Arial"/>
          <w:sz w:val="20"/>
        </w:rPr>
        <w:t>load-bearing</w:t>
      </w:r>
      <w:r w:rsidRPr="00B472E5">
        <w:rPr>
          <w:rFonts w:ascii="Arial" w:hAnsi="Arial" w:cs="Arial"/>
          <w:spacing w:val="12"/>
          <w:sz w:val="20"/>
        </w:rPr>
        <w:t xml:space="preserve"> </w:t>
      </w:r>
      <w:r w:rsidRPr="00B472E5">
        <w:rPr>
          <w:rFonts w:ascii="Arial" w:hAnsi="Arial" w:cs="Arial"/>
          <w:sz w:val="20"/>
        </w:rPr>
        <w:t>part</w:t>
      </w:r>
      <w:r w:rsidRPr="00B472E5">
        <w:rPr>
          <w:rFonts w:ascii="Arial" w:hAnsi="Arial" w:cs="Arial"/>
          <w:spacing w:val="10"/>
          <w:sz w:val="20"/>
        </w:rPr>
        <w:t xml:space="preserve"> </w:t>
      </w:r>
      <w:r w:rsidRPr="00B472E5">
        <w:rPr>
          <w:rFonts w:ascii="Arial" w:hAnsi="Arial" w:cs="Arial"/>
          <w:sz w:val="20"/>
        </w:rPr>
        <w:t>of</w:t>
      </w:r>
      <w:r w:rsidRPr="00B472E5">
        <w:rPr>
          <w:rFonts w:ascii="Arial" w:hAnsi="Arial" w:cs="Arial"/>
          <w:spacing w:val="10"/>
          <w:sz w:val="20"/>
        </w:rPr>
        <w:t xml:space="preserve"> </w:t>
      </w:r>
      <w:r w:rsidRPr="00B472E5">
        <w:rPr>
          <w:rFonts w:ascii="Arial" w:hAnsi="Arial" w:cs="Arial"/>
          <w:sz w:val="20"/>
        </w:rPr>
        <w:t>a</w:t>
      </w:r>
      <w:r w:rsidRPr="00B472E5">
        <w:rPr>
          <w:rFonts w:ascii="Arial" w:hAnsi="Arial" w:cs="Arial"/>
          <w:spacing w:val="8"/>
          <w:sz w:val="20"/>
        </w:rPr>
        <w:t xml:space="preserve"> </w:t>
      </w:r>
      <w:r w:rsidRPr="00B472E5">
        <w:rPr>
          <w:rFonts w:ascii="Arial" w:hAnsi="Arial" w:cs="Arial"/>
          <w:sz w:val="20"/>
        </w:rPr>
        <w:t>control</w:t>
      </w:r>
      <w:r w:rsidRPr="00B472E5">
        <w:rPr>
          <w:rFonts w:ascii="Arial" w:hAnsi="Arial" w:cs="Arial"/>
          <w:spacing w:val="12"/>
          <w:sz w:val="20"/>
        </w:rPr>
        <w:t xml:space="preserve"> </w:t>
      </w:r>
      <w:r w:rsidRPr="00B472E5">
        <w:rPr>
          <w:rFonts w:ascii="Arial" w:hAnsi="Arial" w:cs="Arial"/>
          <w:sz w:val="20"/>
        </w:rPr>
        <w:t>system,</w:t>
      </w:r>
      <w:r w:rsidRPr="00B472E5">
        <w:rPr>
          <w:rFonts w:ascii="Arial" w:hAnsi="Arial" w:cs="Arial"/>
          <w:spacing w:val="13"/>
          <w:sz w:val="20"/>
        </w:rPr>
        <w:t xml:space="preserve"> </w:t>
      </w:r>
      <w:r w:rsidRPr="00B472E5">
        <w:rPr>
          <w:rFonts w:ascii="Arial" w:hAnsi="Arial" w:cs="Arial"/>
          <w:sz w:val="20"/>
        </w:rPr>
        <w:t>including</w:t>
      </w:r>
      <w:r w:rsidRPr="00B472E5">
        <w:rPr>
          <w:rFonts w:ascii="Arial" w:hAnsi="Arial" w:cs="Arial"/>
          <w:spacing w:val="10"/>
          <w:sz w:val="20"/>
        </w:rPr>
        <w:t xml:space="preserve"> </w:t>
      </w:r>
      <w:r w:rsidRPr="00B472E5">
        <w:rPr>
          <w:rFonts w:ascii="Arial" w:hAnsi="Arial" w:cs="Arial"/>
          <w:sz w:val="20"/>
        </w:rPr>
        <w:t>a</w:t>
      </w:r>
      <w:r w:rsidRPr="00B472E5">
        <w:rPr>
          <w:rFonts w:ascii="Arial" w:hAnsi="Arial" w:cs="Arial"/>
          <w:spacing w:val="10"/>
          <w:sz w:val="20"/>
        </w:rPr>
        <w:t xml:space="preserve"> </w:t>
      </w:r>
      <w:r w:rsidRPr="00B472E5">
        <w:rPr>
          <w:rFonts w:ascii="Arial" w:hAnsi="Arial" w:cs="Arial"/>
          <w:sz w:val="20"/>
        </w:rPr>
        <w:t>control</w:t>
      </w:r>
      <w:r w:rsidRPr="00B472E5">
        <w:rPr>
          <w:rFonts w:ascii="Arial" w:hAnsi="Arial" w:cs="Arial"/>
          <w:spacing w:val="10"/>
          <w:sz w:val="20"/>
        </w:rPr>
        <w:t xml:space="preserve"> </w:t>
      </w:r>
      <w:r w:rsidRPr="00B472E5">
        <w:rPr>
          <w:rFonts w:ascii="Arial" w:hAnsi="Arial" w:cs="Arial"/>
          <w:sz w:val="20"/>
        </w:rPr>
        <w:t>column,</w:t>
      </w:r>
      <w:r w:rsidRPr="00B472E5">
        <w:rPr>
          <w:rFonts w:ascii="Arial" w:hAnsi="Arial" w:cs="Arial"/>
          <w:spacing w:val="10"/>
          <w:sz w:val="20"/>
        </w:rPr>
        <w:t xml:space="preserve"> </w:t>
      </w:r>
      <w:r w:rsidRPr="00B472E5">
        <w:rPr>
          <w:rFonts w:ascii="Arial" w:hAnsi="Arial" w:cs="Arial"/>
          <w:sz w:val="20"/>
        </w:rPr>
        <w:t>pedal,</w:t>
      </w:r>
      <w:r w:rsidRPr="00B472E5">
        <w:rPr>
          <w:rFonts w:ascii="Arial" w:hAnsi="Arial" w:cs="Arial"/>
          <w:spacing w:val="13"/>
          <w:sz w:val="20"/>
        </w:rPr>
        <w:t xml:space="preserve"> </w:t>
      </w:r>
      <w:r w:rsidRPr="00B472E5">
        <w:rPr>
          <w:rFonts w:ascii="Arial" w:hAnsi="Arial" w:cs="Arial"/>
          <w:sz w:val="20"/>
        </w:rPr>
        <w:t>shaft,</w:t>
      </w:r>
      <w:r w:rsidRPr="00B472E5">
        <w:rPr>
          <w:rFonts w:ascii="Arial" w:hAnsi="Arial" w:cs="Arial"/>
          <w:spacing w:val="-47"/>
          <w:sz w:val="20"/>
        </w:rPr>
        <w:t xml:space="preserve"> </w:t>
      </w:r>
      <w:r w:rsidRPr="00B472E5">
        <w:rPr>
          <w:rFonts w:ascii="Arial" w:hAnsi="Arial" w:cs="Arial"/>
          <w:sz w:val="20"/>
        </w:rPr>
        <w:t>quadrant,</w:t>
      </w:r>
      <w:r w:rsidRPr="00B472E5">
        <w:rPr>
          <w:rFonts w:ascii="Arial" w:hAnsi="Arial" w:cs="Arial"/>
          <w:spacing w:val="-5"/>
          <w:sz w:val="20"/>
        </w:rPr>
        <w:t xml:space="preserve"> </w:t>
      </w:r>
      <w:r w:rsidRPr="00B472E5">
        <w:rPr>
          <w:rFonts w:ascii="Arial" w:hAnsi="Arial" w:cs="Arial"/>
          <w:sz w:val="20"/>
        </w:rPr>
        <w:t>bell</w:t>
      </w:r>
      <w:r w:rsidRPr="00B472E5">
        <w:rPr>
          <w:rFonts w:ascii="Arial" w:hAnsi="Arial" w:cs="Arial"/>
          <w:spacing w:val="-6"/>
          <w:sz w:val="20"/>
        </w:rPr>
        <w:t xml:space="preserve"> </w:t>
      </w:r>
      <w:r w:rsidRPr="00B472E5">
        <w:rPr>
          <w:rFonts w:ascii="Arial" w:hAnsi="Arial" w:cs="Arial"/>
          <w:sz w:val="20"/>
        </w:rPr>
        <w:t>crank,</w:t>
      </w:r>
      <w:r w:rsidRPr="00B472E5">
        <w:rPr>
          <w:rFonts w:ascii="Arial" w:hAnsi="Arial" w:cs="Arial"/>
          <w:spacing w:val="-6"/>
          <w:sz w:val="20"/>
        </w:rPr>
        <w:t xml:space="preserve"> </w:t>
      </w:r>
      <w:r w:rsidRPr="00B472E5">
        <w:rPr>
          <w:rFonts w:ascii="Arial" w:hAnsi="Arial" w:cs="Arial"/>
          <w:sz w:val="20"/>
        </w:rPr>
        <w:t>torque</w:t>
      </w:r>
      <w:r w:rsidRPr="00B472E5">
        <w:rPr>
          <w:rFonts w:ascii="Arial" w:hAnsi="Arial" w:cs="Arial"/>
          <w:spacing w:val="-5"/>
          <w:sz w:val="20"/>
        </w:rPr>
        <w:t xml:space="preserve"> </w:t>
      </w:r>
      <w:r w:rsidRPr="00B472E5">
        <w:rPr>
          <w:rFonts w:ascii="Arial" w:hAnsi="Arial" w:cs="Arial"/>
          <w:sz w:val="20"/>
        </w:rPr>
        <w:t>tube,</w:t>
      </w:r>
      <w:r w:rsidRPr="00B472E5">
        <w:rPr>
          <w:rFonts w:ascii="Arial" w:hAnsi="Arial" w:cs="Arial"/>
          <w:spacing w:val="-7"/>
          <w:sz w:val="20"/>
        </w:rPr>
        <w:t xml:space="preserve"> </w:t>
      </w:r>
      <w:r w:rsidRPr="00B472E5">
        <w:rPr>
          <w:rFonts w:ascii="Arial" w:hAnsi="Arial" w:cs="Arial"/>
          <w:sz w:val="20"/>
        </w:rPr>
        <w:t>control</w:t>
      </w:r>
      <w:r w:rsidRPr="00B472E5">
        <w:rPr>
          <w:rFonts w:ascii="Arial" w:hAnsi="Arial" w:cs="Arial"/>
          <w:spacing w:val="-5"/>
          <w:sz w:val="20"/>
        </w:rPr>
        <w:t xml:space="preserve"> </w:t>
      </w:r>
      <w:r w:rsidRPr="00B472E5">
        <w:rPr>
          <w:rFonts w:ascii="Arial" w:hAnsi="Arial" w:cs="Arial"/>
          <w:sz w:val="20"/>
        </w:rPr>
        <w:t>horn</w:t>
      </w:r>
      <w:r w:rsidRPr="00B472E5">
        <w:rPr>
          <w:rFonts w:ascii="Arial" w:hAnsi="Arial" w:cs="Arial"/>
          <w:spacing w:val="-6"/>
          <w:sz w:val="20"/>
        </w:rPr>
        <w:t xml:space="preserve"> </w:t>
      </w:r>
      <w:r w:rsidRPr="00B472E5">
        <w:rPr>
          <w:rFonts w:ascii="Arial" w:hAnsi="Arial" w:cs="Arial"/>
          <w:sz w:val="20"/>
        </w:rPr>
        <w:t>and</w:t>
      </w:r>
      <w:r w:rsidRPr="00B472E5">
        <w:rPr>
          <w:rFonts w:ascii="Arial" w:hAnsi="Arial" w:cs="Arial"/>
          <w:spacing w:val="-5"/>
          <w:sz w:val="20"/>
        </w:rPr>
        <w:t xml:space="preserve"> </w:t>
      </w:r>
      <w:r w:rsidRPr="00B472E5">
        <w:rPr>
          <w:rFonts w:ascii="Arial" w:hAnsi="Arial" w:cs="Arial"/>
          <w:sz w:val="20"/>
        </w:rPr>
        <w:t>forged</w:t>
      </w:r>
      <w:r w:rsidRPr="00B472E5">
        <w:rPr>
          <w:rFonts w:ascii="Arial" w:hAnsi="Arial" w:cs="Arial"/>
          <w:spacing w:val="-6"/>
          <w:sz w:val="20"/>
        </w:rPr>
        <w:t xml:space="preserve"> </w:t>
      </w:r>
      <w:r w:rsidRPr="00B472E5">
        <w:rPr>
          <w:rFonts w:ascii="Arial" w:hAnsi="Arial" w:cs="Arial"/>
          <w:sz w:val="20"/>
        </w:rPr>
        <w:t>or</w:t>
      </w:r>
      <w:r w:rsidRPr="00B472E5">
        <w:rPr>
          <w:rFonts w:ascii="Arial" w:hAnsi="Arial" w:cs="Arial"/>
          <w:spacing w:val="-8"/>
          <w:sz w:val="20"/>
        </w:rPr>
        <w:t xml:space="preserve"> </w:t>
      </w:r>
      <w:r w:rsidRPr="00B472E5">
        <w:rPr>
          <w:rFonts w:ascii="Arial" w:hAnsi="Arial" w:cs="Arial"/>
          <w:sz w:val="20"/>
        </w:rPr>
        <w:t>cast</w:t>
      </w:r>
      <w:r w:rsidRPr="00B472E5">
        <w:rPr>
          <w:rFonts w:ascii="Arial" w:hAnsi="Arial" w:cs="Arial"/>
          <w:spacing w:val="-6"/>
          <w:sz w:val="20"/>
        </w:rPr>
        <w:t xml:space="preserve"> </w:t>
      </w:r>
      <w:r w:rsidRPr="00B472E5">
        <w:rPr>
          <w:rFonts w:ascii="Arial" w:hAnsi="Arial" w:cs="Arial"/>
          <w:sz w:val="20"/>
        </w:rPr>
        <w:t>bracket,</w:t>
      </w:r>
      <w:r w:rsidRPr="00B472E5">
        <w:rPr>
          <w:rFonts w:ascii="Arial" w:hAnsi="Arial" w:cs="Arial"/>
          <w:spacing w:val="-5"/>
          <w:sz w:val="20"/>
        </w:rPr>
        <w:t xml:space="preserve"> </w:t>
      </w:r>
      <w:r w:rsidRPr="00B472E5">
        <w:rPr>
          <w:rFonts w:ascii="Arial" w:hAnsi="Arial" w:cs="Arial"/>
          <w:sz w:val="20"/>
        </w:rPr>
        <w:t>but</w:t>
      </w:r>
      <w:r w:rsidRPr="00B472E5">
        <w:rPr>
          <w:rFonts w:ascii="Arial" w:hAnsi="Arial" w:cs="Arial"/>
          <w:spacing w:val="-7"/>
          <w:sz w:val="20"/>
        </w:rPr>
        <w:t xml:space="preserve"> </w:t>
      </w:r>
      <w:r w:rsidRPr="00B472E5">
        <w:rPr>
          <w:rFonts w:ascii="Arial" w:hAnsi="Arial" w:cs="Arial"/>
          <w:sz w:val="20"/>
        </w:rPr>
        <w:t>excluding:</w:t>
      </w:r>
    </w:p>
    <w:p w14:paraId="5FBA852F" w14:textId="77777777" w:rsidR="00B472E5" w:rsidRPr="00B472E5" w:rsidRDefault="00B472E5" w:rsidP="00B472E5">
      <w:pPr>
        <w:numPr>
          <w:ilvl w:val="2"/>
          <w:numId w:val="344"/>
        </w:numPr>
        <w:tabs>
          <w:tab w:val="left" w:pos="1841"/>
          <w:tab w:val="left" w:pos="1842"/>
        </w:tabs>
        <w:spacing w:before="120"/>
        <w:jc w:val="both"/>
        <w:rPr>
          <w:rFonts w:ascii="Arial" w:hAnsi="Arial" w:cs="Arial"/>
          <w:sz w:val="20"/>
        </w:rPr>
      </w:pPr>
      <w:r w:rsidRPr="00B472E5">
        <w:rPr>
          <w:rFonts w:ascii="Arial" w:hAnsi="Arial" w:cs="Arial"/>
          <w:sz w:val="20"/>
        </w:rPr>
        <w:t>the swaging</w:t>
      </w:r>
      <w:r w:rsidRPr="00B472E5">
        <w:rPr>
          <w:rFonts w:ascii="Arial" w:hAnsi="Arial" w:cs="Arial"/>
          <w:spacing w:val="-3"/>
          <w:sz w:val="20"/>
        </w:rPr>
        <w:t xml:space="preserve"> </w:t>
      </w:r>
      <w:r w:rsidRPr="00B472E5">
        <w:rPr>
          <w:rFonts w:ascii="Arial" w:hAnsi="Arial" w:cs="Arial"/>
          <w:sz w:val="20"/>
        </w:rPr>
        <w:t>of a</w:t>
      </w:r>
      <w:r w:rsidRPr="00B472E5">
        <w:rPr>
          <w:rFonts w:ascii="Arial" w:hAnsi="Arial" w:cs="Arial"/>
          <w:spacing w:val="-3"/>
          <w:sz w:val="20"/>
        </w:rPr>
        <w:t xml:space="preserve"> </w:t>
      </w:r>
      <w:r w:rsidRPr="00B472E5">
        <w:rPr>
          <w:rFonts w:ascii="Arial" w:hAnsi="Arial" w:cs="Arial"/>
          <w:sz w:val="20"/>
        </w:rPr>
        <w:t>repair</w:t>
      </w:r>
      <w:r w:rsidRPr="00B472E5">
        <w:rPr>
          <w:rFonts w:ascii="Arial" w:hAnsi="Arial" w:cs="Arial"/>
          <w:spacing w:val="-1"/>
          <w:sz w:val="20"/>
        </w:rPr>
        <w:t xml:space="preserve"> </w:t>
      </w:r>
      <w:r w:rsidRPr="00B472E5">
        <w:rPr>
          <w:rFonts w:ascii="Arial" w:hAnsi="Arial" w:cs="Arial"/>
          <w:sz w:val="20"/>
        </w:rPr>
        <w:t>splice</w:t>
      </w:r>
      <w:r w:rsidRPr="00B472E5">
        <w:rPr>
          <w:rFonts w:ascii="Arial" w:hAnsi="Arial" w:cs="Arial"/>
          <w:spacing w:val="-2"/>
          <w:sz w:val="20"/>
        </w:rPr>
        <w:t xml:space="preserve"> </w:t>
      </w:r>
      <w:r w:rsidRPr="00B472E5">
        <w:rPr>
          <w:rFonts w:ascii="Arial" w:hAnsi="Arial" w:cs="Arial"/>
          <w:sz w:val="20"/>
        </w:rPr>
        <w:t>or cable</w:t>
      </w:r>
      <w:r w:rsidRPr="00B472E5">
        <w:rPr>
          <w:rFonts w:ascii="Arial" w:hAnsi="Arial" w:cs="Arial"/>
          <w:spacing w:val="-2"/>
          <w:sz w:val="20"/>
        </w:rPr>
        <w:t xml:space="preserve"> </w:t>
      </w:r>
      <w:r w:rsidRPr="00B472E5">
        <w:rPr>
          <w:rFonts w:ascii="Arial" w:hAnsi="Arial" w:cs="Arial"/>
          <w:sz w:val="20"/>
        </w:rPr>
        <w:t>fitting;</w:t>
      </w:r>
      <w:r w:rsidRPr="00B472E5">
        <w:rPr>
          <w:rFonts w:ascii="Arial" w:hAnsi="Arial" w:cs="Arial"/>
          <w:spacing w:val="-2"/>
          <w:sz w:val="20"/>
        </w:rPr>
        <w:t xml:space="preserve"> </w:t>
      </w:r>
      <w:r w:rsidRPr="00B472E5">
        <w:rPr>
          <w:rFonts w:ascii="Arial" w:hAnsi="Arial" w:cs="Arial"/>
          <w:sz w:val="20"/>
        </w:rPr>
        <w:t>and</w:t>
      </w:r>
    </w:p>
    <w:p w14:paraId="119453F6" w14:textId="77777777" w:rsidR="00B472E5" w:rsidRPr="00B472E5" w:rsidRDefault="00B472E5" w:rsidP="00B472E5">
      <w:pPr>
        <w:numPr>
          <w:ilvl w:val="2"/>
          <w:numId w:val="344"/>
        </w:numPr>
        <w:tabs>
          <w:tab w:val="left" w:pos="1841"/>
          <w:tab w:val="left" w:pos="1842"/>
        </w:tabs>
        <w:spacing w:before="121"/>
        <w:jc w:val="both"/>
        <w:rPr>
          <w:rFonts w:ascii="Arial" w:hAnsi="Arial" w:cs="Arial"/>
          <w:sz w:val="20"/>
        </w:rPr>
      </w:pPr>
      <w:r w:rsidRPr="00B472E5">
        <w:rPr>
          <w:rFonts w:ascii="Arial" w:hAnsi="Arial" w:cs="Arial"/>
          <w:sz w:val="20"/>
        </w:rPr>
        <w:t>the</w:t>
      </w:r>
      <w:r w:rsidRPr="00B472E5">
        <w:rPr>
          <w:rFonts w:ascii="Arial" w:hAnsi="Arial" w:cs="Arial"/>
          <w:spacing w:val="-1"/>
          <w:sz w:val="20"/>
        </w:rPr>
        <w:t xml:space="preserve"> </w:t>
      </w:r>
      <w:r w:rsidRPr="00B472E5">
        <w:rPr>
          <w:rFonts w:ascii="Arial" w:hAnsi="Arial" w:cs="Arial"/>
          <w:sz w:val="20"/>
        </w:rPr>
        <w:t>replacement</w:t>
      </w:r>
      <w:r w:rsidRPr="00B472E5">
        <w:rPr>
          <w:rFonts w:ascii="Arial" w:hAnsi="Arial" w:cs="Arial"/>
          <w:spacing w:val="-2"/>
          <w:sz w:val="20"/>
        </w:rPr>
        <w:t xml:space="preserve"> </w:t>
      </w:r>
      <w:r w:rsidRPr="00B472E5">
        <w:rPr>
          <w:rFonts w:ascii="Arial" w:hAnsi="Arial" w:cs="Arial"/>
          <w:sz w:val="20"/>
        </w:rPr>
        <w:t>of a</w:t>
      </w:r>
      <w:r w:rsidRPr="00B472E5">
        <w:rPr>
          <w:rFonts w:ascii="Arial" w:hAnsi="Arial" w:cs="Arial"/>
          <w:spacing w:val="-4"/>
          <w:sz w:val="20"/>
        </w:rPr>
        <w:t xml:space="preserve"> </w:t>
      </w:r>
      <w:r w:rsidRPr="00B472E5">
        <w:rPr>
          <w:rFonts w:ascii="Arial" w:hAnsi="Arial" w:cs="Arial"/>
          <w:sz w:val="20"/>
        </w:rPr>
        <w:t>push-pull</w:t>
      </w:r>
      <w:r w:rsidRPr="00B472E5">
        <w:rPr>
          <w:rFonts w:ascii="Arial" w:hAnsi="Arial" w:cs="Arial"/>
          <w:spacing w:val="-1"/>
          <w:sz w:val="20"/>
        </w:rPr>
        <w:t xml:space="preserve"> </w:t>
      </w:r>
      <w:r w:rsidRPr="00B472E5">
        <w:rPr>
          <w:rFonts w:ascii="Arial" w:hAnsi="Arial" w:cs="Arial"/>
          <w:sz w:val="20"/>
        </w:rPr>
        <w:t>tube</w:t>
      </w:r>
      <w:r w:rsidRPr="00B472E5">
        <w:rPr>
          <w:rFonts w:ascii="Arial" w:hAnsi="Arial" w:cs="Arial"/>
          <w:spacing w:val="1"/>
          <w:sz w:val="20"/>
        </w:rPr>
        <w:t xml:space="preserve"> </w:t>
      </w:r>
      <w:r w:rsidRPr="00B472E5">
        <w:rPr>
          <w:rFonts w:ascii="Arial" w:hAnsi="Arial" w:cs="Arial"/>
          <w:sz w:val="20"/>
        </w:rPr>
        <w:t>end</w:t>
      </w:r>
      <w:r w:rsidRPr="00B472E5">
        <w:rPr>
          <w:rFonts w:ascii="Arial" w:hAnsi="Arial" w:cs="Arial"/>
          <w:spacing w:val="-1"/>
          <w:sz w:val="20"/>
        </w:rPr>
        <w:t xml:space="preserve"> </w:t>
      </w:r>
      <w:r w:rsidRPr="00B472E5">
        <w:rPr>
          <w:rFonts w:ascii="Arial" w:hAnsi="Arial" w:cs="Arial"/>
          <w:sz w:val="20"/>
        </w:rPr>
        <w:t>fitting</w:t>
      </w:r>
      <w:r w:rsidRPr="00B472E5">
        <w:rPr>
          <w:rFonts w:ascii="Arial" w:hAnsi="Arial" w:cs="Arial"/>
          <w:spacing w:val="-4"/>
          <w:sz w:val="20"/>
        </w:rPr>
        <w:t xml:space="preserve"> </w:t>
      </w:r>
      <w:r w:rsidRPr="00B472E5">
        <w:rPr>
          <w:rFonts w:ascii="Arial" w:hAnsi="Arial" w:cs="Arial"/>
          <w:sz w:val="20"/>
        </w:rPr>
        <w:t>that is</w:t>
      </w:r>
      <w:r w:rsidRPr="00B472E5">
        <w:rPr>
          <w:rFonts w:ascii="Arial" w:hAnsi="Arial" w:cs="Arial"/>
          <w:spacing w:val="-2"/>
          <w:sz w:val="20"/>
        </w:rPr>
        <w:t xml:space="preserve"> </w:t>
      </w:r>
      <w:r w:rsidRPr="00B472E5">
        <w:rPr>
          <w:rFonts w:ascii="Arial" w:hAnsi="Arial" w:cs="Arial"/>
          <w:sz w:val="20"/>
        </w:rPr>
        <w:t>attached</w:t>
      </w:r>
      <w:r w:rsidRPr="00B472E5">
        <w:rPr>
          <w:rFonts w:ascii="Arial" w:hAnsi="Arial" w:cs="Arial"/>
          <w:spacing w:val="-1"/>
          <w:sz w:val="20"/>
        </w:rPr>
        <w:t xml:space="preserve"> </w:t>
      </w:r>
      <w:r w:rsidRPr="00B472E5">
        <w:rPr>
          <w:rFonts w:ascii="Arial" w:hAnsi="Arial" w:cs="Arial"/>
          <w:sz w:val="20"/>
        </w:rPr>
        <w:t>by riveting;</w:t>
      </w:r>
    </w:p>
    <w:p w14:paraId="0265CFD3" w14:textId="77777777" w:rsidR="00B472E5" w:rsidRPr="00B472E5" w:rsidRDefault="00B472E5" w:rsidP="00B472E5">
      <w:pPr>
        <w:pStyle w:val="ListParagraph"/>
        <w:numPr>
          <w:ilvl w:val="1"/>
          <w:numId w:val="344"/>
        </w:numPr>
        <w:tabs>
          <w:tab w:val="left" w:pos="1274"/>
        </w:tabs>
        <w:spacing w:before="57"/>
        <w:ind w:right="198"/>
        <w:jc w:val="both"/>
        <w:rPr>
          <w:rFonts w:ascii="Arial" w:hAnsi="Arial" w:cs="Arial"/>
          <w:sz w:val="20"/>
        </w:rPr>
      </w:pPr>
      <w:r w:rsidRPr="00B472E5">
        <w:rPr>
          <w:rFonts w:ascii="Arial" w:hAnsi="Arial" w:cs="Arial"/>
          <w:sz w:val="20"/>
        </w:rPr>
        <w:t>any other structure not listed in point (a) that a manufacturer has identified as primary</w:t>
      </w:r>
      <w:r w:rsidRPr="00B472E5">
        <w:rPr>
          <w:rFonts w:ascii="Arial" w:hAnsi="Arial" w:cs="Arial"/>
          <w:spacing w:val="1"/>
          <w:sz w:val="20"/>
        </w:rPr>
        <w:t xml:space="preserve"> </w:t>
      </w:r>
      <w:r w:rsidRPr="00B472E5">
        <w:rPr>
          <w:rFonts w:ascii="Arial" w:hAnsi="Arial" w:cs="Arial"/>
          <w:sz w:val="20"/>
        </w:rPr>
        <w:t>structure</w:t>
      </w:r>
      <w:r w:rsidRPr="00B472E5">
        <w:rPr>
          <w:rFonts w:ascii="Arial" w:hAnsi="Arial" w:cs="Arial"/>
          <w:spacing w:val="1"/>
          <w:sz w:val="20"/>
        </w:rPr>
        <w:t xml:space="preserve"> </w:t>
      </w:r>
      <w:r w:rsidRPr="00B472E5">
        <w:rPr>
          <w:rFonts w:ascii="Arial" w:hAnsi="Arial" w:cs="Arial"/>
          <w:sz w:val="20"/>
        </w:rPr>
        <w:t>in</w:t>
      </w:r>
      <w:r w:rsidRPr="00B472E5">
        <w:rPr>
          <w:rFonts w:ascii="Arial" w:hAnsi="Arial" w:cs="Arial"/>
          <w:spacing w:val="1"/>
          <w:sz w:val="20"/>
        </w:rPr>
        <w:t xml:space="preserve"> </w:t>
      </w:r>
      <w:r w:rsidRPr="00B472E5">
        <w:rPr>
          <w:rFonts w:ascii="Arial" w:hAnsi="Arial" w:cs="Arial"/>
          <w:sz w:val="20"/>
        </w:rPr>
        <w:t>their</w:t>
      </w:r>
      <w:r w:rsidRPr="00B472E5">
        <w:rPr>
          <w:rFonts w:ascii="Arial" w:hAnsi="Arial" w:cs="Arial"/>
          <w:spacing w:val="1"/>
          <w:sz w:val="20"/>
        </w:rPr>
        <w:t xml:space="preserve"> </w:t>
      </w:r>
      <w:r w:rsidRPr="00B472E5">
        <w:rPr>
          <w:rFonts w:ascii="Arial" w:hAnsi="Arial" w:cs="Arial"/>
          <w:sz w:val="20"/>
        </w:rPr>
        <w:t>maintenance</w:t>
      </w:r>
      <w:r w:rsidRPr="00B472E5">
        <w:rPr>
          <w:rFonts w:ascii="Arial" w:hAnsi="Arial" w:cs="Arial"/>
          <w:spacing w:val="1"/>
          <w:sz w:val="20"/>
        </w:rPr>
        <w:t xml:space="preserve"> </w:t>
      </w:r>
      <w:r w:rsidRPr="00B472E5">
        <w:rPr>
          <w:rFonts w:ascii="Arial" w:hAnsi="Arial" w:cs="Arial"/>
          <w:sz w:val="20"/>
        </w:rPr>
        <w:t>manual,</w:t>
      </w:r>
      <w:r w:rsidRPr="00B472E5">
        <w:rPr>
          <w:rFonts w:ascii="Arial" w:hAnsi="Arial" w:cs="Arial"/>
          <w:spacing w:val="1"/>
          <w:sz w:val="20"/>
        </w:rPr>
        <w:t xml:space="preserve"> </w:t>
      </w:r>
      <w:r w:rsidRPr="00B472E5">
        <w:rPr>
          <w:rFonts w:ascii="Arial" w:hAnsi="Arial" w:cs="Arial"/>
          <w:sz w:val="20"/>
        </w:rPr>
        <w:t>structural</w:t>
      </w:r>
      <w:r w:rsidRPr="00B472E5">
        <w:rPr>
          <w:rFonts w:ascii="Arial" w:hAnsi="Arial" w:cs="Arial"/>
          <w:spacing w:val="1"/>
          <w:sz w:val="20"/>
        </w:rPr>
        <w:t xml:space="preserve"> </w:t>
      </w:r>
      <w:r w:rsidRPr="00B472E5">
        <w:rPr>
          <w:rFonts w:ascii="Arial" w:hAnsi="Arial" w:cs="Arial"/>
          <w:sz w:val="20"/>
        </w:rPr>
        <w:t>repair</w:t>
      </w:r>
      <w:r w:rsidRPr="00B472E5">
        <w:rPr>
          <w:rFonts w:ascii="Arial" w:hAnsi="Arial" w:cs="Arial"/>
          <w:spacing w:val="1"/>
          <w:sz w:val="20"/>
        </w:rPr>
        <w:t xml:space="preserve"> </w:t>
      </w:r>
      <w:r w:rsidRPr="00B472E5">
        <w:rPr>
          <w:rFonts w:ascii="Arial" w:hAnsi="Arial" w:cs="Arial"/>
          <w:sz w:val="20"/>
        </w:rPr>
        <w:t>manual</w:t>
      </w:r>
      <w:r w:rsidRPr="00B472E5">
        <w:rPr>
          <w:rFonts w:ascii="Arial" w:hAnsi="Arial" w:cs="Arial"/>
          <w:spacing w:val="1"/>
          <w:sz w:val="20"/>
        </w:rPr>
        <w:t xml:space="preserve"> </w:t>
      </w:r>
      <w:r w:rsidRPr="00B472E5">
        <w:rPr>
          <w:rFonts w:ascii="Arial" w:hAnsi="Arial" w:cs="Arial"/>
          <w:sz w:val="20"/>
        </w:rPr>
        <w:t>or</w:t>
      </w:r>
      <w:r w:rsidRPr="00B472E5">
        <w:rPr>
          <w:rFonts w:ascii="Arial" w:hAnsi="Arial" w:cs="Arial"/>
          <w:spacing w:val="1"/>
          <w:sz w:val="20"/>
        </w:rPr>
        <w:t xml:space="preserve"> </w:t>
      </w:r>
      <w:r w:rsidRPr="00B472E5">
        <w:rPr>
          <w:rFonts w:ascii="Arial" w:hAnsi="Arial" w:cs="Arial"/>
          <w:sz w:val="20"/>
        </w:rPr>
        <w:t>instructions</w:t>
      </w:r>
      <w:r w:rsidRPr="00B472E5">
        <w:rPr>
          <w:rFonts w:ascii="Arial" w:hAnsi="Arial" w:cs="Arial"/>
          <w:spacing w:val="1"/>
          <w:sz w:val="20"/>
        </w:rPr>
        <w:t xml:space="preserve"> </w:t>
      </w:r>
      <w:r w:rsidRPr="00B472E5">
        <w:rPr>
          <w:rFonts w:ascii="Arial" w:hAnsi="Arial" w:cs="Arial"/>
          <w:sz w:val="20"/>
        </w:rPr>
        <w:t>for</w:t>
      </w:r>
      <w:r w:rsidRPr="00B472E5">
        <w:rPr>
          <w:rFonts w:ascii="Arial" w:hAnsi="Arial" w:cs="Arial"/>
          <w:spacing w:val="-47"/>
          <w:sz w:val="20"/>
        </w:rPr>
        <w:t xml:space="preserve"> </w:t>
      </w:r>
      <w:r w:rsidRPr="00B472E5">
        <w:rPr>
          <w:rFonts w:ascii="Arial" w:hAnsi="Arial" w:cs="Arial"/>
          <w:sz w:val="20"/>
        </w:rPr>
        <w:t>continuing</w:t>
      </w:r>
      <w:r w:rsidRPr="00B472E5">
        <w:rPr>
          <w:rFonts w:ascii="Arial" w:hAnsi="Arial" w:cs="Arial"/>
          <w:spacing w:val="-1"/>
          <w:sz w:val="20"/>
        </w:rPr>
        <w:t xml:space="preserve"> </w:t>
      </w:r>
      <w:r w:rsidRPr="00B472E5">
        <w:rPr>
          <w:rFonts w:ascii="Arial" w:hAnsi="Arial" w:cs="Arial"/>
          <w:sz w:val="20"/>
        </w:rPr>
        <w:t>airworthiness;</w:t>
      </w:r>
    </w:p>
    <w:p w14:paraId="16E281C2" w14:textId="77777777" w:rsidR="00B472E5" w:rsidRPr="00B472E5" w:rsidRDefault="00B472E5" w:rsidP="00B472E5">
      <w:pPr>
        <w:pStyle w:val="ListParagraph"/>
        <w:numPr>
          <w:ilvl w:val="0"/>
          <w:numId w:val="344"/>
        </w:numPr>
        <w:tabs>
          <w:tab w:val="left" w:pos="707"/>
        </w:tabs>
        <w:spacing w:before="118"/>
        <w:jc w:val="both"/>
        <w:rPr>
          <w:rFonts w:ascii="Arial" w:hAnsi="Arial" w:cs="Arial"/>
          <w:sz w:val="20"/>
        </w:rPr>
      </w:pPr>
      <w:r w:rsidRPr="00B472E5">
        <w:rPr>
          <w:rFonts w:ascii="Arial" w:hAnsi="Arial" w:cs="Arial"/>
          <w:sz w:val="20"/>
        </w:rPr>
        <w:t>the</w:t>
      </w:r>
      <w:r w:rsidRPr="00B472E5">
        <w:rPr>
          <w:rFonts w:ascii="Arial" w:hAnsi="Arial" w:cs="Arial"/>
          <w:spacing w:val="-1"/>
          <w:sz w:val="20"/>
        </w:rPr>
        <w:t xml:space="preserve"> </w:t>
      </w:r>
      <w:r w:rsidRPr="00B472E5">
        <w:rPr>
          <w:rFonts w:ascii="Arial" w:hAnsi="Arial" w:cs="Arial"/>
          <w:sz w:val="20"/>
        </w:rPr>
        <w:t>performance</w:t>
      </w:r>
      <w:r w:rsidRPr="00B472E5">
        <w:rPr>
          <w:rFonts w:ascii="Arial" w:hAnsi="Arial" w:cs="Arial"/>
          <w:spacing w:val="-2"/>
          <w:sz w:val="20"/>
        </w:rPr>
        <w:t xml:space="preserve"> </w:t>
      </w:r>
      <w:r w:rsidRPr="00B472E5">
        <w:rPr>
          <w:rFonts w:ascii="Arial" w:hAnsi="Arial" w:cs="Arial"/>
          <w:sz w:val="20"/>
        </w:rPr>
        <w:t>of all</w:t>
      </w:r>
      <w:r w:rsidRPr="00B472E5">
        <w:rPr>
          <w:rFonts w:ascii="Arial" w:hAnsi="Arial" w:cs="Arial"/>
          <w:spacing w:val="-3"/>
          <w:sz w:val="20"/>
        </w:rPr>
        <w:t xml:space="preserve"> </w:t>
      </w:r>
      <w:r w:rsidRPr="00B472E5">
        <w:rPr>
          <w:rFonts w:ascii="Arial" w:hAnsi="Arial" w:cs="Arial"/>
          <w:sz w:val="20"/>
        </w:rPr>
        <w:t>of</w:t>
      </w:r>
      <w:r w:rsidRPr="00B472E5">
        <w:rPr>
          <w:rFonts w:ascii="Arial" w:hAnsi="Arial" w:cs="Arial"/>
          <w:spacing w:val="-2"/>
          <w:sz w:val="20"/>
        </w:rPr>
        <w:t xml:space="preserve"> </w:t>
      </w:r>
      <w:r w:rsidRPr="00B472E5">
        <w:rPr>
          <w:rFonts w:ascii="Arial" w:hAnsi="Arial" w:cs="Arial"/>
          <w:sz w:val="20"/>
        </w:rPr>
        <w:t>the</w:t>
      </w:r>
      <w:r w:rsidRPr="00B472E5">
        <w:rPr>
          <w:rFonts w:ascii="Arial" w:hAnsi="Arial" w:cs="Arial"/>
          <w:spacing w:val="1"/>
          <w:sz w:val="20"/>
        </w:rPr>
        <w:t xml:space="preserve"> </w:t>
      </w:r>
      <w:r w:rsidRPr="00B472E5">
        <w:rPr>
          <w:rFonts w:ascii="Arial" w:hAnsi="Arial" w:cs="Arial"/>
          <w:sz w:val="20"/>
        </w:rPr>
        <w:t>following</w:t>
      </w:r>
      <w:r w:rsidRPr="00B472E5">
        <w:rPr>
          <w:rFonts w:ascii="Arial" w:hAnsi="Arial" w:cs="Arial"/>
          <w:spacing w:val="-4"/>
          <w:sz w:val="20"/>
        </w:rPr>
        <w:t xml:space="preserve"> </w:t>
      </w:r>
      <w:r w:rsidRPr="00B472E5">
        <w:rPr>
          <w:rFonts w:ascii="Arial" w:hAnsi="Arial" w:cs="Arial"/>
          <w:sz w:val="20"/>
        </w:rPr>
        <w:t>maintenance</w:t>
      </w:r>
      <w:r w:rsidRPr="00B472E5">
        <w:rPr>
          <w:rFonts w:ascii="Arial" w:hAnsi="Arial" w:cs="Arial"/>
          <w:spacing w:val="-2"/>
          <w:sz w:val="20"/>
        </w:rPr>
        <w:t xml:space="preserve"> </w:t>
      </w:r>
      <w:r w:rsidRPr="00B472E5">
        <w:rPr>
          <w:rFonts w:ascii="Arial" w:hAnsi="Arial" w:cs="Arial"/>
          <w:sz w:val="20"/>
        </w:rPr>
        <w:t>on</w:t>
      </w:r>
      <w:r w:rsidRPr="00B472E5">
        <w:rPr>
          <w:rFonts w:ascii="Arial" w:hAnsi="Arial" w:cs="Arial"/>
          <w:spacing w:val="-1"/>
          <w:sz w:val="20"/>
        </w:rPr>
        <w:t xml:space="preserve"> </w:t>
      </w:r>
      <w:r w:rsidRPr="00B472E5">
        <w:rPr>
          <w:rFonts w:ascii="Arial" w:hAnsi="Arial" w:cs="Arial"/>
          <w:sz w:val="20"/>
        </w:rPr>
        <w:t>a</w:t>
      </w:r>
      <w:r w:rsidRPr="00B472E5">
        <w:rPr>
          <w:rFonts w:ascii="Arial" w:hAnsi="Arial" w:cs="Arial"/>
          <w:spacing w:val="-1"/>
          <w:sz w:val="20"/>
        </w:rPr>
        <w:t xml:space="preserve"> </w:t>
      </w:r>
      <w:r w:rsidRPr="00B472E5">
        <w:rPr>
          <w:rFonts w:ascii="Arial" w:hAnsi="Arial" w:cs="Arial"/>
          <w:sz w:val="20"/>
        </w:rPr>
        <w:t>piston</w:t>
      </w:r>
      <w:r w:rsidRPr="00B472E5">
        <w:rPr>
          <w:rFonts w:ascii="Arial" w:hAnsi="Arial" w:cs="Arial"/>
          <w:spacing w:val="-3"/>
          <w:sz w:val="20"/>
        </w:rPr>
        <w:t xml:space="preserve"> </w:t>
      </w:r>
      <w:r w:rsidRPr="00B472E5">
        <w:rPr>
          <w:rFonts w:ascii="Arial" w:hAnsi="Arial" w:cs="Arial"/>
          <w:sz w:val="20"/>
        </w:rPr>
        <w:t>engine:</w:t>
      </w:r>
    </w:p>
    <w:p w14:paraId="0A98BA7C" w14:textId="77777777" w:rsidR="00B472E5" w:rsidRPr="00B472E5" w:rsidRDefault="00B472E5" w:rsidP="00B472E5">
      <w:pPr>
        <w:pStyle w:val="ListParagraph"/>
        <w:numPr>
          <w:ilvl w:val="1"/>
          <w:numId w:val="344"/>
        </w:numPr>
        <w:tabs>
          <w:tab w:val="left" w:pos="1274"/>
        </w:tabs>
        <w:ind w:hanging="568"/>
        <w:jc w:val="both"/>
        <w:rPr>
          <w:rFonts w:ascii="Arial" w:hAnsi="Arial" w:cs="Arial"/>
          <w:sz w:val="20"/>
        </w:rPr>
      </w:pPr>
      <w:r w:rsidRPr="00B472E5">
        <w:rPr>
          <w:rFonts w:ascii="Arial" w:hAnsi="Arial" w:cs="Arial"/>
          <w:sz w:val="20"/>
        </w:rPr>
        <w:t>dismantling</w:t>
      </w:r>
      <w:r w:rsidRPr="00B472E5">
        <w:rPr>
          <w:rFonts w:ascii="Arial" w:hAnsi="Arial" w:cs="Arial"/>
          <w:spacing w:val="-3"/>
          <w:sz w:val="20"/>
        </w:rPr>
        <w:t xml:space="preserve"> </w:t>
      </w:r>
      <w:r w:rsidRPr="00B472E5">
        <w:rPr>
          <w:rFonts w:ascii="Arial" w:hAnsi="Arial" w:cs="Arial"/>
          <w:sz w:val="20"/>
        </w:rPr>
        <w:t>and</w:t>
      </w:r>
      <w:r w:rsidRPr="00B472E5">
        <w:rPr>
          <w:rFonts w:ascii="Arial" w:hAnsi="Arial" w:cs="Arial"/>
          <w:spacing w:val="-2"/>
          <w:sz w:val="20"/>
        </w:rPr>
        <w:t xml:space="preserve"> </w:t>
      </w:r>
      <w:r w:rsidRPr="00B472E5">
        <w:rPr>
          <w:rFonts w:ascii="Arial" w:hAnsi="Arial" w:cs="Arial"/>
          <w:sz w:val="20"/>
        </w:rPr>
        <w:t>subsequent</w:t>
      </w:r>
      <w:r w:rsidRPr="00B472E5">
        <w:rPr>
          <w:rFonts w:ascii="Arial" w:hAnsi="Arial" w:cs="Arial"/>
          <w:spacing w:val="-1"/>
          <w:sz w:val="20"/>
        </w:rPr>
        <w:t xml:space="preserve"> </w:t>
      </w:r>
      <w:r w:rsidRPr="00B472E5">
        <w:rPr>
          <w:rFonts w:ascii="Arial" w:hAnsi="Arial" w:cs="Arial"/>
          <w:sz w:val="20"/>
        </w:rPr>
        <w:t>reassembling</w:t>
      </w:r>
      <w:r w:rsidRPr="00B472E5">
        <w:rPr>
          <w:rFonts w:ascii="Arial" w:hAnsi="Arial" w:cs="Arial"/>
          <w:spacing w:val="-2"/>
          <w:sz w:val="20"/>
        </w:rPr>
        <w:t xml:space="preserve"> </w:t>
      </w:r>
      <w:r w:rsidRPr="00B472E5">
        <w:rPr>
          <w:rFonts w:ascii="Arial" w:hAnsi="Arial" w:cs="Arial"/>
          <w:sz w:val="20"/>
        </w:rPr>
        <w:t>of</w:t>
      </w:r>
      <w:r w:rsidRPr="00B472E5">
        <w:rPr>
          <w:rFonts w:ascii="Arial" w:hAnsi="Arial" w:cs="Arial"/>
          <w:spacing w:val="-1"/>
          <w:sz w:val="20"/>
        </w:rPr>
        <w:t xml:space="preserve"> </w:t>
      </w:r>
      <w:r w:rsidRPr="00B472E5">
        <w:rPr>
          <w:rFonts w:ascii="Arial" w:hAnsi="Arial" w:cs="Arial"/>
          <w:sz w:val="20"/>
        </w:rPr>
        <w:t>a</w:t>
      </w:r>
      <w:r w:rsidRPr="00B472E5">
        <w:rPr>
          <w:rFonts w:ascii="Arial" w:hAnsi="Arial" w:cs="Arial"/>
          <w:spacing w:val="-4"/>
          <w:sz w:val="20"/>
        </w:rPr>
        <w:t xml:space="preserve"> </w:t>
      </w:r>
      <w:r w:rsidRPr="00B472E5">
        <w:rPr>
          <w:rFonts w:ascii="Arial" w:hAnsi="Arial" w:cs="Arial"/>
          <w:sz w:val="20"/>
        </w:rPr>
        <w:t>piston</w:t>
      </w:r>
      <w:r w:rsidRPr="00B472E5">
        <w:rPr>
          <w:rFonts w:ascii="Arial" w:hAnsi="Arial" w:cs="Arial"/>
          <w:spacing w:val="-6"/>
          <w:sz w:val="20"/>
        </w:rPr>
        <w:t xml:space="preserve"> </w:t>
      </w:r>
      <w:r w:rsidRPr="00B472E5">
        <w:rPr>
          <w:rFonts w:ascii="Arial" w:hAnsi="Arial" w:cs="Arial"/>
          <w:sz w:val="20"/>
        </w:rPr>
        <w:t>engine other</w:t>
      </w:r>
      <w:r w:rsidRPr="00B472E5">
        <w:rPr>
          <w:rFonts w:ascii="Arial" w:hAnsi="Arial" w:cs="Arial"/>
          <w:spacing w:val="-1"/>
          <w:sz w:val="20"/>
        </w:rPr>
        <w:t xml:space="preserve"> </w:t>
      </w:r>
      <w:r w:rsidRPr="00B472E5">
        <w:rPr>
          <w:rFonts w:ascii="Arial" w:hAnsi="Arial" w:cs="Arial"/>
          <w:sz w:val="20"/>
        </w:rPr>
        <w:t>than:</w:t>
      </w:r>
    </w:p>
    <w:p w14:paraId="2036EAB6" w14:textId="77777777" w:rsidR="00B472E5" w:rsidRPr="00B472E5" w:rsidRDefault="00B472E5" w:rsidP="00B472E5">
      <w:pPr>
        <w:pStyle w:val="ListParagraph"/>
        <w:numPr>
          <w:ilvl w:val="2"/>
          <w:numId w:val="344"/>
        </w:numPr>
        <w:tabs>
          <w:tab w:val="left" w:pos="1842"/>
        </w:tabs>
        <w:spacing w:before="121"/>
        <w:jc w:val="both"/>
        <w:rPr>
          <w:rFonts w:ascii="Arial" w:hAnsi="Arial" w:cs="Arial"/>
          <w:sz w:val="20"/>
        </w:rPr>
      </w:pPr>
      <w:r w:rsidRPr="00B472E5">
        <w:rPr>
          <w:rFonts w:ascii="Arial" w:hAnsi="Arial" w:cs="Arial"/>
          <w:sz w:val="20"/>
        </w:rPr>
        <w:t>to</w:t>
      </w:r>
      <w:r w:rsidRPr="00B472E5">
        <w:rPr>
          <w:rFonts w:ascii="Arial" w:hAnsi="Arial" w:cs="Arial"/>
          <w:spacing w:val="-2"/>
          <w:sz w:val="20"/>
        </w:rPr>
        <w:t xml:space="preserve"> </w:t>
      </w:r>
      <w:r w:rsidRPr="00B472E5">
        <w:rPr>
          <w:rFonts w:ascii="Arial" w:hAnsi="Arial" w:cs="Arial"/>
          <w:sz w:val="20"/>
        </w:rPr>
        <w:t>obtain</w:t>
      </w:r>
      <w:r w:rsidRPr="00B472E5">
        <w:rPr>
          <w:rFonts w:ascii="Arial" w:hAnsi="Arial" w:cs="Arial"/>
          <w:spacing w:val="-2"/>
          <w:sz w:val="20"/>
        </w:rPr>
        <w:t xml:space="preserve"> </w:t>
      </w:r>
      <w:r w:rsidRPr="00B472E5">
        <w:rPr>
          <w:rFonts w:ascii="Arial" w:hAnsi="Arial" w:cs="Arial"/>
          <w:sz w:val="20"/>
        </w:rPr>
        <w:t>access</w:t>
      </w:r>
      <w:r w:rsidRPr="00B472E5">
        <w:rPr>
          <w:rFonts w:ascii="Arial" w:hAnsi="Arial" w:cs="Arial"/>
          <w:spacing w:val="-4"/>
          <w:sz w:val="20"/>
        </w:rPr>
        <w:t xml:space="preserve"> </w:t>
      </w:r>
      <w:r w:rsidRPr="00B472E5">
        <w:rPr>
          <w:rFonts w:ascii="Arial" w:hAnsi="Arial" w:cs="Arial"/>
          <w:sz w:val="20"/>
        </w:rPr>
        <w:t>to the</w:t>
      </w:r>
      <w:r w:rsidRPr="00B472E5">
        <w:rPr>
          <w:rFonts w:ascii="Arial" w:hAnsi="Arial" w:cs="Arial"/>
          <w:spacing w:val="-3"/>
          <w:sz w:val="20"/>
        </w:rPr>
        <w:t xml:space="preserve"> </w:t>
      </w:r>
      <w:r w:rsidRPr="00B472E5">
        <w:rPr>
          <w:rFonts w:ascii="Arial" w:hAnsi="Arial" w:cs="Arial"/>
          <w:sz w:val="20"/>
        </w:rPr>
        <w:t>piston/cylinder assemblies;</w:t>
      </w:r>
      <w:r w:rsidRPr="00B472E5">
        <w:rPr>
          <w:rFonts w:ascii="Arial" w:hAnsi="Arial" w:cs="Arial"/>
          <w:spacing w:val="-2"/>
          <w:sz w:val="20"/>
        </w:rPr>
        <w:t xml:space="preserve"> </w:t>
      </w:r>
      <w:r w:rsidRPr="00B472E5">
        <w:rPr>
          <w:rFonts w:ascii="Arial" w:hAnsi="Arial" w:cs="Arial"/>
          <w:sz w:val="20"/>
        </w:rPr>
        <w:t>or</w:t>
      </w:r>
    </w:p>
    <w:p w14:paraId="75D6FC6A" w14:textId="77777777" w:rsidR="00B472E5" w:rsidRPr="00B472E5" w:rsidRDefault="00B472E5" w:rsidP="00B472E5">
      <w:pPr>
        <w:pStyle w:val="ListParagraph"/>
        <w:numPr>
          <w:ilvl w:val="2"/>
          <w:numId w:val="344"/>
        </w:numPr>
        <w:tabs>
          <w:tab w:val="left" w:pos="1842"/>
        </w:tabs>
        <w:ind w:right="196"/>
        <w:jc w:val="both"/>
        <w:rPr>
          <w:rFonts w:ascii="Arial" w:hAnsi="Arial" w:cs="Arial"/>
          <w:sz w:val="20"/>
        </w:rPr>
      </w:pPr>
      <w:r w:rsidRPr="00B472E5">
        <w:rPr>
          <w:rFonts w:ascii="Arial" w:hAnsi="Arial" w:cs="Arial"/>
          <w:sz w:val="20"/>
        </w:rPr>
        <w:t>to</w:t>
      </w:r>
      <w:r w:rsidRPr="00B472E5">
        <w:rPr>
          <w:rFonts w:ascii="Arial" w:hAnsi="Arial" w:cs="Arial"/>
          <w:spacing w:val="-5"/>
          <w:sz w:val="20"/>
        </w:rPr>
        <w:t xml:space="preserve"> </w:t>
      </w:r>
      <w:r w:rsidRPr="00B472E5">
        <w:rPr>
          <w:rFonts w:ascii="Arial" w:hAnsi="Arial" w:cs="Arial"/>
          <w:sz w:val="20"/>
        </w:rPr>
        <w:t>remove</w:t>
      </w:r>
      <w:r w:rsidRPr="00B472E5">
        <w:rPr>
          <w:rFonts w:ascii="Arial" w:hAnsi="Arial" w:cs="Arial"/>
          <w:spacing w:val="-5"/>
          <w:sz w:val="20"/>
        </w:rPr>
        <w:t xml:space="preserve"> </w:t>
      </w:r>
      <w:r w:rsidRPr="00B472E5">
        <w:rPr>
          <w:rFonts w:ascii="Arial" w:hAnsi="Arial" w:cs="Arial"/>
          <w:sz w:val="20"/>
        </w:rPr>
        <w:t>the</w:t>
      </w:r>
      <w:r w:rsidRPr="00B472E5">
        <w:rPr>
          <w:rFonts w:ascii="Arial" w:hAnsi="Arial" w:cs="Arial"/>
          <w:spacing w:val="-8"/>
          <w:sz w:val="20"/>
        </w:rPr>
        <w:t xml:space="preserve"> </w:t>
      </w:r>
      <w:r w:rsidRPr="00B472E5">
        <w:rPr>
          <w:rFonts w:ascii="Arial" w:hAnsi="Arial" w:cs="Arial"/>
          <w:sz w:val="20"/>
        </w:rPr>
        <w:t>rear</w:t>
      </w:r>
      <w:r w:rsidRPr="00B472E5">
        <w:rPr>
          <w:rFonts w:ascii="Arial" w:hAnsi="Arial" w:cs="Arial"/>
          <w:spacing w:val="-7"/>
          <w:sz w:val="20"/>
        </w:rPr>
        <w:t xml:space="preserve"> </w:t>
      </w:r>
      <w:r w:rsidRPr="00B472E5">
        <w:rPr>
          <w:rFonts w:ascii="Arial" w:hAnsi="Arial" w:cs="Arial"/>
          <w:sz w:val="20"/>
        </w:rPr>
        <w:t>accessory</w:t>
      </w:r>
      <w:r w:rsidRPr="00B472E5">
        <w:rPr>
          <w:rFonts w:ascii="Arial" w:hAnsi="Arial" w:cs="Arial"/>
          <w:spacing w:val="-5"/>
          <w:sz w:val="20"/>
        </w:rPr>
        <w:t xml:space="preserve"> </w:t>
      </w:r>
      <w:r w:rsidRPr="00B472E5">
        <w:rPr>
          <w:rFonts w:ascii="Arial" w:hAnsi="Arial" w:cs="Arial"/>
          <w:sz w:val="20"/>
        </w:rPr>
        <w:t>cover</w:t>
      </w:r>
      <w:r w:rsidRPr="00B472E5">
        <w:rPr>
          <w:rFonts w:ascii="Arial" w:hAnsi="Arial" w:cs="Arial"/>
          <w:spacing w:val="-5"/>
          <w:sz w:val="20"/>
        </w:rPr>
        <w:t xml:space="preserve"> </w:t>
      </w:r>
      <w:r w:rsidRPr="00B472E5">
        <w:rPr>
          <w:rFonts w:ascii="Arial" w:hAnsi="Arial" w:cs="Arial"/>
          <w:sz w:val="20"/>
        </w:rPr>
        <w:t>to</w:t>
      </w:r>
      <w:r w:rsidRPr="00B472E5">
        <w:rPr>
          <w:rFonts w:ascii="Arial" w:hAnsi="Arial" w:cs="Arial"/>
          <w:spacing w:val="-5"/>
          <w:sz w:val="20"/>
        </w:rPr>
        <w:t xml:space="preserve"> </w:t>
      </w:r>
      <w:r w:rsidRPr="00B472E5">
        <w:rPr>
          <w:rFonts w:ascii="Arial" w:hAnsi="Arial" w:cs="Arial"/>
          <w:sz w:val="20"/>
        </w:rPr>
        <w:t>inspect</w:t>
      </w:r>
      <w:r w:rsidRPr="00B472E5">
        <w:rPr>
          <w:rFonts w:ascii="Arial" w:hAnsi="Arial" w:cs="Arial"/>
          <w:spacing w:val="-8"/>
          <w:sz w:val="20"/>
        </w:rPr>
        <w:t xml:space="preserve"> </w:t>
      </w:r>
      <w:r w:rsidRPr="00B472E5">
        <w:rPr>
          <w:rFonts w:ascii="Arial" w:hAnsi="Arial" w:cs="Arial"/>
          <w:sz w:val="20"/>
        </w:rPr>
        <w:t>and/or</w:t>
      </w:r>
      <w:r w:rsidRPr="00B472E5">
        <w:rPr>
          <w:rFonts w:ascii="Arial" w:hAnsi="Arial" w:cs="Arial"/>
          <w:spacing w:val="-8"/>
          <w:sz w:val="20"/>
        </w:rPr>
        <w:t xml:space="preserve"> </w:t>
      </w:r>
      <w:r w:rsidRPr="00B472E5">
        <w:rPr>
          <w:rFonts w:ascii="Arial" w:hAnsi="Arial" w:cs="Arial"/>
          <w:sz w:val="20"/>
        </w:rPr>
        <w:t>replace</w:t>
      </w:r>
      <w:r w:rsidRPr="00B472E5">
        <w:rPr>
          <w:rFonts w:ascii="Arial" w:hAnsi="Arial" w:cs="Arial"/>
          <w:spacing w:val="-8"/>
          <w:sz w:val="20"/>
        </w:rPr>
        <w:t xml:space="preserve"> </w:t>
      </w:r>
      <w:r w:rsidRPr="00B472E5">
        <w:rPr>
          <w:rFonts w:ascii="Arial" w:hAnsi="Arial" w:cs="Arial"/>
          <w:sz w:val="20"/>
        </w:rPr>
        <w:t>oil</w:t>
      </w:r>
      <w:r w:rsidRPr="00B472E5">
        <w:rPr>
          <w:rFonts w:ascii="Arial" w:hAnsi="Arial" w:cs="Arial"/>
          <w:spacing w:val="-7"/>
          <w:sz w:val="20"/>
        </w:rPr>
        <w:t xml:space="preserve"> </w:t>
      </w:r>
      <w:r w:rsidRPr="00B472E5">
        <w:rPr>
          <w:rFonts w:ascii="Arial" w:hAnsi="Arial" w:cs="Arial"/>
          <w:sz w:val="20"/>
        </w:rPr>
        <w:t>pump</w:t>
      </w:r>
      <w:r w:rsidRPr="00B472E5">
        <w:rPr>
          <w:rFonts w:ascii="Arial" w:hAnsi="Arial" w:cs="Arial"/>
          <w:spacing w:val="-5"/>
          <w:sz w:val="20"/>
        </w:rPr>
        <w:t xml:space="preserve"> </w:t>
      </w:r>
      <w:r w:rsidRPr="00B472E5">
        <w:rPr>
          <w:rFonts w:ascii="Arial" w:hAnsi="Arial" w:cs="Arial"/>
          <w:sz w:val="20"/>
        </w:rPr>
        <w:t>assemblies,</w:t>
      </w:r>
      <w:r w:rsidRPr="00B472E5">
        <w:rPr>
          <w:rFonts w:ascii="Arial" w:hAnsi="Arial" w:cs="Arial"/>
          <w:spacing w:val="-47"/>
          <w:sz w:val="20"/>
        </w:rPr>
        <w:t xml:space="preserve"> </w:t>
      </w:r>
      <w:r w:rsidRPr="00B472E5">
        <w:rPr>
          <w:rFonts w:ascii="Arial" w:hAnsi="Arial" w:cs="Arial"/>
          <w:sz w:val="20"/>
        </w:rPr>
        <w:t>where</w:t>
      </w:r>
      <w:r w:rsidRPr="00B472E5">
        <w:rPr>
          <w:rFonts w:ascii="Arial" w:hAnsi="Arial" w:cs="Arial"/>
          <w:spacing w:val="-3"/>
          <w:sz w:val="20"/>
        </w:rPr>
        <w:t xml:space="preserve"> </w:t>
      </w:r>
      <w:r w:rsidRPr="00B472E5">
        <w:rPr>
          <w:rFonts w:ascii="Arial" w:hAnsi="Arial" w:cs="Arial"/>
          <w:sz w:val="20"/>
        </w:rPr>
        <w:t>such</w:t>
      </w:r>
      <w:r w:rsidRPr="00B472E5">
        <w:rPr>
          <w:rFonts w:ascii="Arial" w:hAnsi="Arial" w:cs="Arial"/>
          <w:spacing w:val="-2"/>
          <w:sz w:val="20"/>
        </w:rPr>
        <w:t xml:space="preserve"> </w:t>
      </w:r>
      <w:r w:rsidRPr="00B472E5">
        <w:rPr>
          <w:rFonts w:ascii="Arial" w:hAnsi="Arial" w:cs="Arial"/>
          <w:sz w:val="20"/>
        </w:rPr>
        <w:t>work</w:t>
      </w:r>
      <w:r w:rsidRPr="00B472E5">
        <w:rPr>
          <w:rFonts w:ascii="Arial" w:hAnsi="Arial" w:cs="Arial"/>
          <w:spacing w:val="-1"/>
          <w:sz w:val="20"/>
        </w:rPr>
        <w:t xml:space="preserve"> </w:t>
      </w:r>
      <w:r w:rsidRPr="00B472E5">
        <w:rPr>
          <w:rFonts w:ascii="Arial" w:hAnsi="Arial" w:cs="Arial"/>
          <w:sz w:val="20"/>
        </w:rPr>
        <w:t>does not</w:t>
      </w:r>
      <w:r w:rsidRPr="00B472E5">
        <w:rPr>
          <w:rFonts w:ascii="Arial" w:hAnsi="Arial" w:cs="Arial"/>
          <w:spacing w:val="-3"/>
          <w:sz w:val="20"/>
        </w:rPr>
        <w:t xml:space="preserve"> </w:t>
      </w:r>
      <w:r w:rsidRPr="00B472E5">
        <w:rPr>
          <w:rFonts w:ascii="Arial" w:hAnsi="Arial" w:cs="Arial"/>
          <w:sz w:val="20"/>
        </w:rPr>
        <w:t>involve</w:t>
      </w:r>
      <w:r w:rsidRPr="00B472E5">
        <w:rPr>
          <w:rFonts w:ascii="Arial" w:hAnsi="Arial" w:cs="Arial"/>
          <w:spacing w:val="-3"/>
          <w:sz w:val="20"/>
        </w:rPr>
        <w:t xml:space="preserve"> </w:t>
      </w:r>
      <w:r w:rsidRPr="00B472E5">
        <w:rPr>
          <w:rFonts w:ascii="Arial" w:hAnsi="Arial" w:cs="Arial"/>
          <w:sz w:val="20"/>
        </w:rPr>
        <w:t>the</w:t>
      </w:r>
      <w:r w:rsidRPr="00B472E5">
        <w:rPr>
          <w:rFonts w:ascii="Arial" w:hAnsi="Arial" w:cs="Arial"/>
          <w:spacing w:val="-1"/>
          <w:sz w:val="20"/>
        </w:rPr>
        <w:t xml:space="preserve"> </w:t>
      </w:r>
      <w:r w:rsidRPr="00B472E5">
        <w:rPr>
          <w:rFonts w:ascii="Arial" w:hAnsi="Arial" w:cs="Arial"/>
          <w:sz w:val="20"/>
        </w:rPr>
        <w:t>removal and</w:t>
      </w:r>
      <w:r w:rsidRPr="00B472E5">
        <w:rPr>
          <w:rFonts w:ascii="Arial" w:hAnsi="Arial" w:cs="Arial"/>
          <w:spacing w:val="-2"/>
          <w:sz w:val="20"/>
        </w:rPr>
        <w:t xml:space="preserve"> </w:t>
      </w:r>
      <w:r w:rsidRPr="00B472E5">
        <w:rPr>
          <w:rFonts w:ascii="Arial" w:hAnsi="Arial" w:cs="Arial"/>
          <w:sz w:val="20"/>
        </w:rPr>
        <w:t>refitment</w:t>
      </w:r>
      <w:r w:rsidRPr="00B472E5">
        <w:rPr>
          <w:rFonts w:ascii="Arial" w:hAnsi="Arial" w:cs="Arial"/>
          <w:spacing w:val="-1"/>
          <w:sz w:val="20"/>
        </w:rPr>
        <w:t xml:space="preserve"> </w:t>
      </w:r>
      <w:r w:rsidRPr="00B472E5">
        <w:rPr>
          <w:rFonts w:ascii="Arial" w:hAnsi="Arial" w:cs="Arial"/>
          <w:sz w:val="20"/>
        </w:rPr>
        <w:t>of</w:t>
      </w:r>
      <w:r w:rsidRPr="00B472E5">
        <w:rPr>
          <w:rFonts w:ascii="Arial" w:hAnsi="Arial" w:cs="Arial"/>
          <w:spacing w:val="-1"/>
          <w:sz w:val="20"/>
        </w:rPr>
        <w:t xml:space="preserve"> </w:t>
      </w:r>
      <w:r w:rsidRPr="00B472E5">
        <w:rPr>
          <w:rFonts w:ascii="Arial" w:hAnsi="Arial" w:cs="Arial"/>
          <w:sz w:val="20"/>
        </w:rPr>
        <w:t>internal gears;</w:t>
      </w:r>
    </w:p>
    <w:p w14:paraId="539E6678" w14:textId="77777777" w:rsidR="00B472E5" w:rsidRPr="00B472E5" w:rsidRDefault="00B472E5" w:rsidP="00B472E5">
      <w:pPr>
        <w:pStyle w:val="ListParagraph"/>
        <w:numPr>
          <w:ilvl w:val="1"/>
          <w:numId w:val="344"/>
        </w:numPr>
        <w:tabs>
          <w:tab w:val="left" w:pos="1274"/>
        </w:tabs>
        <w:ind w:hanging="568"/>
        <w:jc w:val="both"/>
        <w:rPr>
          <w:rFonts w:ascii="Arial" w:hAnsi="Arial" w:cs="Arial"/>
          <w:sz w:val="20"/>
        </w:rPr>
      </w:pPr>
      <w:r w:rsidRPr="00B472E5">
        <w:rPr>
          <w:rFonts w:ascii="Arial" w:hAnsi="Arial" w:cs="Arial"/>
          <w:sz w:val="20"/>
        </w:rPr>
        <w:t>dismantling</w:t>
      </w:r>
      <w:r w:rsidRPr="00B472E5">
        <w:rPr>
          <w:rFonts w:ascii="Arial" w:hAnsi="Arial" w:cs="Arial"/>
          <w:spacing w:val="-2"/>
          <w:sz w:val="20"/>
        </w:rPr>
        <w:t xml:space="preserve"> </w:t>
      </w:r>
      <w:r w:rsidRPr="00B472E5">
        <w:rPr>
          <w:rFonts w:ascii="Arial" w:hAnsi="Arial" w:cs="Arial"/>
          <w:sz w:val="20"/>
        </w:rPr>
        <w:t>and</w:t>
      </w:r>
      <w:r w:rsidRPr="00B472E5">
        <w:rPr>
          <w:rFonts w:ascii="Arial" w:hAnsi="Arial" w:cs="Arial"/>
          <w:spacing w:val="-2"/>
          <w:sz w:val="20"/>
        </w:rPr>
        <w:t xml:space="preserve"> </w:t>
      </w:r>
      <w:r w:rsidRPr="00B472E5">
        <w:rPr>
          <w:rFonts w:ascii="Arial" w:hAnsi="Arial" w:cs="Arial"/>
          <w:sz w:val="20"/>
        </w:rPr>
        <w:t>subsequent</w:t>
      </w:r>
      <w:r w:rsidRPr="00B472E5">
        <w:rPr>
          <w:rFonts w:ascii="Arial" w:hAnsi="Arial" w:cs="Arial"/>
          <w:spacing w:val="-1"/>
          <w:sz w:val="20"/>
        </w:rPr>
        <w:t xml:space="preserve"> </w:t>
      </w:r>
      <w:r w:rsidRPr="00B472E5">
        <w:rPr>
          <w:rFonts w:ascii="Arial" w:hAnsi="Arial" w:cs="Arial"/>
          <w:sz w:val="20"/>
        </w:rPr>
        <w:t>reassembling</w:t>
      </w:r>
      <w:r w:rsidRPr="00B472E5">
        <w:rPr>
          <w:rFonts w:ascii="Arial" w:hAnsi="Arial" w:cs="Arial"/>
          <w:spacing w:val="-2"/>
          <w:sz w:val="20"/>
        </w:rPr>
        <w:t xml:space="preserve"> </w:t>
      </w:r>
      <w:r w:rsidRPr="00B472E5">
        <w:rPr>
          <w:rFonts w:ascii="Arial" w:hAnsi="Arial" w:cs="Arial"/>
          <w:sz w:val="20"/>
        </w:rPr>
        <w:t>of</w:t>
      </w:r>
      <w:r w:rsidRPr="00B472E5">
        <w:rPr>
          <w:rFonts w:ascii="Arial" w:hAnsi="Arial" w:cs="Arial"/>
          <w:spacing w:val="-1"/>
          <w:sz w:val="20"/>
        </w:rPr>
        <w:t xml:space="preserve"> </w:t>
      </w:r>
      <w:r w:rsidRPr="00B472E5">
        <w:rPr>
          <w:rFonts w:ascii="Arial" w:hAnsi="Arial" w:cs="Arial"/>
          <w:sz w:val="20"/>
        </w:rPr>
        <w:t>reduction</w:t>
      </w:r>
      <w:r w:rsidRPr="00B472E5">
        <w:rPr>
          <w:rFonts w:ascii="Arial" w:hAnsi="Arial" w:cs="Arial"/>
          <w:spacing w:val="-2"/>
          <w:sz w:val="20"/>
        </w:rPr>
        <w:t xml:space="preserve"> </w:t>
      </w:r>
      <w:r w:rsidRPr="00B472E5">
        <w:rPr>
          <w:rFonts w:ascii="Arial" w:hAnsi="Arial" w:cs="Arial"/>
          <w:sz w:val="20"/>
        </w:rPr>
        <w:t>gears;</w:t>
      </w:r>
    </w:p>
    <w:p w14:paraId="7ECDDC16" w14:textId="77777777" w:rsidR="00B472E5" w:rsidRPr="00B472E5" w:rsidRDefault="00B472E5" w:rsidP="00B472E5">
      <w:pPr>
        <w:pStyle w:val="ListParagraph"/>
        <w:numPr>
          <w:ilvl w:val="1"/>
          <w:numId w:val="344"/>
        </w:numPr>
        <w:tabs>
          <w:tab w:val="left" w:pos="1274"/>
        </w:tabs>
        <w:spacing w:before="121"/>
        <w:ind w:right="193"/>
        <w:jc w:val="both"/>
        <w:rPr>
          <w:rFonts w:ascii="Arial" w:hAnsi="Arial" w:cs="Arial"/>
          <w:sz w:val="20"/>
        </w:rPr>
      </w:pPr>
      <w:r w:rsidRPr="00B472E5">
        <w:rPr>
          <w:rFonts w:ascii="Arial" w:hAnsi="Arial" w:cs="Arial"/>
          <w:sz w:val="20"/>
        </w:rPr>
        <w:t>welding</w:t>
      </w:r>
      <w:r w:rsidRPr="00B472E5">
        <w:rPr>
          <w:rFonts w:ascii="Arial" w:hAnsi="Arial" w:cs="Arial"/>
          <w:spacing w:val="-4"/>
          <w:sz w:val="20"/>
        </w:rPr>
        <w:t xml:space="preserve"> </w:t>
      </w:r>
      <w:r w:rsidRPr="00B472E5">
        <w:rPr>
          <w:rFonts w:ascii="Arial" w:hAnsi="Arial" w:cs="Arial"/>
          <w:sz w:val="20"/>
        </w:rPr>
        <w:t>and</w:t>
      </w:r>
      <w:r w:rsidRPr="00B472E5">
        <w:rPr>
          <w:rFonts w:ascii="Arial" w:hAnsi="Arial" w:cs="Arial"/>
          <w:spacing w:val="-3"/>
          <w:sz w:val="20"/>
        </w:rPr>
        <w:t xml:space="preserve"> </w:t>
      </w:r>
      <w:r w:rsidRPr="00B472E5">
        <w:rPr>
          <w:rFonts w:ascii="Arial" w:hAnsi="Arial" w:cs="Arial"/>
          <w:sz w:val="20"/>
        </w:rPr>
        <w:t>brazing</w:t>
      </w:r>
      <w:r w:rsidRPr="00B472E5">
        <w:rPr>
          <w:rFonts w:ascii="Arial" w:hAnsi="Arial" w:cs="Arial"/>
          <w:spacing w:val="-3"/>
          <w:sz w:val="20"/>
        </w:rPr>
        <w:t xml:space="preserve"> </w:t>
      </w:r>
      <w:r w:rsidRPr="00B472E5">
        <w:rPr>
          <w:rFonts w:ascii="Arial" w:hAnsi="Arial" w:cs="Arial"/>
          <w:sz w:val="20"/>
        </w:rPr>
        <w:t>of</w:t>
      </w:r>
      <w:r w:rsidRPr="00B472E5">
        <w:rPr>
          <w:rFonts w:ascii="Arial" w:hAnsi="Arial" w:cs="Arial"/>
          <w:spacing w:val="-3"/>
          <w:sz w:val="20"/>
        </w:rPr>
        <w:t xml:space="preserve"> </w:t>
      </w:r>
      <w:r w:rsidRPr="00B472E5">
        <w:rPr>
          <w:rFonts w:ascii="Arial" w:hAnsi="Arial" w:cs="Arial"/>
          <w:sz w:val="20"/>
        </w:rPr>
        <w:t>joints,</w:t>
      </w:r>
      <w:r w:rsidRPr="00B472E5">
        <w:rPr>
          <w:rFonts w:ascii="Arial" w:hAnsi="Arial" w:cs="Arial"/>
          <w:spacing w:val="-2"/>
          <w:sz w:val="20"/>
        </w:rPr>
        <w:t xml:space="preserve"> </w:t>
      </w:r>
      <w:r w:rsidRPr="00B472E5">
        <w:rPr>
          <w:rFonts w:ascii="Arial" w:hAnsi="Arial" w:cs="Arial"/>
          <w:sz w:val="20"/>
        </w:rPr>
        <w:t>other-than-minor</w:t>
      </w:r>
      <w:r w:rsidRPr="00B472E5">
        <w:rPr>
          <w:rFonts w:ascii="Arial" w:hAnsi="Arial" w:cs="Arial"/>
          <w:spacing w:val="-2"/>
          <w:sz w:val="20"/>
        </w:rPr>
        <w:t xml:space="preserve"> </w:t>
      </w:r>
      <w:r w:rsidRPr="00B472E5">
        <w:rPr>
          <w:rFonts w:ascii="Arial" w:hAnsi="Arial" w:cs="Arial"/>
          <w:sz w:val="20"/>
        </w:rPr>
        <w:t>weld</w:t>
      </w:r>
      <w:r w:rsidRPr="00B472E5">
        <w:rPr>
          <w:rFonts w:ascii="Arial" w:hAnsi="Arial" w:cs="Arial"/>
          <w:spacing w:val="-3"/>
          <w:sz w:val="20"/>
        </w:rPr>
        <w:t xml:space="preserve"> </w:t>
      </w:r>
      <w:r w:rsidRPr="00B472E5">
        <w:rPr>
          <w:rFonts w:ascii="Arial" w:hAnsi="Arial" w:cs="Arial"/>
          <w:sz w:val="20"/>
        </w:rPr>
        <w:t>repairs</w:t>
      </w:r>
      <w:r w:rsidRPr="00B472E5">
        <w:rPr>
          <w:rFonts w:ascii="Arial" w:hAnsi="Arial" w:cs="Arial"/>
          <w:spacing w:val="-4"/>
          <w:sz w:val="20"/>
        </w:rPr>
        <w:t xml:space="preserve"> </w:t>
      </w:r>
      <w:r w:rsidRPr="00B472E5">
        <w:rPr>
          <w:rFonts w:ascii="Arial" w:hAnsi="Arial" w:cs="Arial"/>
          <w:sz w:val="20"/>
        </w:rPr>
        <w:t>to</w:t>
      </w:r>
      <w:r w:rsidRPr="00B472E5">
        <w:rPr>
          <w:rFonts w:ascii="Arial" w:hAnsi="Arial" w:cs="Arial"/>
          <w:spacing w:val="-3"/>
          <w:sz w:val="20"/>
        </w:rPr>
        <w:t xml:space="preserve"> </w:t>
      </w:r>
      <w:r w:rsidRPr="00B472E5">
        <w:rPr>
          <w:rFonts w:ascii="Arial" w:hAnsi="Arial" w:cs="Arial"/>
          <w:sz w:val="20"/>
        </w:rPr>
        <w:t>exhaust</w:t>
      </w:r>
      <w:r w:rsidRPr="00B472E5">
        <w:rPr>
          <w:rFonts w:ascii="Arial" w:hAnsi="Arial" w:cs="Arial"/>
          <w:spacing w:val="-2"/>
          <w:sz w:val="20"/>
        </w:rPr>
        <w:t xml:space="preserve"> </w:t>
      </w:r>
      <w:r w:rsidRPr="00B472E5">
        <w:rPr>
          <w:rFonts w:ascii="Arial" w:hAnsi="Arial" w:cs="Arial"/>
          <w:sz w:val="20"/>
        </w:rPr>
        <w:t>units</w:t>
      </w:r>
      <w:r w:rsidRPr="00B472E5">
        <w:rPr>
          <w:rFonts w:ascii="Arial" w:hAnsi="Arial" w:cs="Arial"/>
          <w:spacing w:val="-2"/>
          <w:sz w:val="20"/>
        </w:rPr>
        <w:t xml:space="preserve"> </w:t>
      </w:r>
      <w:r w:rsidRPr="00B472E5">
        <w:rPr>
          <w:rFonts w:ascii="Arial" w:hAnsi="Arial" w:cs="Arial"/>
          <w:sz w:val="20"/>
        </w:rPr>
        <w:t>carried</w:t>
      </w:r>
      <w:r w:rsidRPr="00B472E5">
        <w:rPr>
          <w:rFonts w:ascii="Arial" w:hAnsi="Arial" w:cs="Arial"/>
          <w:spacing w:val="-4"/>
          <w:sz w:val="20"/>
        </w:rPr>
        <w:t xml:space="preserve"> </w:t>
      </w:r>
      <w:r w:rsidRPr="00B472E5">
        <w:rPr>
          <w:rFonts w:ascii="Arial" w:hAnsi="Arial" w:cs="Arial"/>
          <w:sz w:val="20"/>
        </w:rPr>
        <w:t>out</w:t>
      </w:r>
      <w:r w:rsidRPr="00B472E5">
        <w:rPr>
          <w:rFonts w:ascii="Arial" w:hAnsi="Arial" w:cs="Arial"/>
          <w:spacing w:val="-47"/>
          <w:sz w:val="20"/>
        </w:rPr>
        <w:t xml:space="preserve"> </w:t>
      </w:r>
      <w:r w:rsidRPr="00B472E5">
        <w:rPr>
          <w:rFonts w:ascii="Arial" w:hAnsi="Arial" w:cs="Arial"/>
          <w:sz w:val="20"/>
        </w:rPr>
        <w:lastRenderedPageBreak/>
        <w:t>by</w:t>
      </w:r>
      <w:r w:rsidRPr="00B472E5">
        <w:rPr>
          <w:rFonts w:ascii="Arial" w:hAnsi="Arial" w:cs="Arial"/>
          <w:spacing w:val="-1"/>
          <w:sz w:val="20"/>
        </w:rPr>
        <w:t xml:space="preserve"> </w:t>
      </w:r>
      <w:r w:rsidRPr="00B472E5">
        <w:rPr>
          <w:rFonts w:ascii="Arial" w:hAnsi="Arial" w:cs="Arial"/>
          <w:sz w:val="20"/>
        </w:rPr>
        <w:t>a</w:t>
      </w:r>
      <w:r w:rsidRPr="00B472E5">
        <w:rPr>
          <w:rFonts w:ascii="Arial" w:hAnsi="Arial" w:cs="Arial"/>
          <w:spacing w:val="-1"/>
          <w:sz w:val="20"/>
        </w:rPr>
        <w:t xml:space="preserve"> </w:t>
      </w:r>
      <w:r w:rsidRPr="00B472E5">
        <w:rPr>
          <w:rFonts w:ascii="Arial" w:hAnsi="Arial" w:cs="Arial"/>
          <w:sz w:val="20"/>
        </w:rPr>
        <w:t>suitably approved</w:t>
      </w:r>
      <w:r w:rsidRPr="00B472E5">
        <w:rPr>
          <w:rFonts w:ascii="Arial" w:hAnsi="Arial" w:cs="Arial"/>
          <w:spacing w:val="-3"/>
          <w:sz w:val="20"/>
        </w:rPr>
        <w:t xml:space="preserve"> </w:t>
      </w:r>
      <w:r w:rsidRPr="00B472E5">
        <w:rPr>
          <w:rFonts w:ascii="Arial" w:hAnsi="Arial" w:cs="Arial"/>
          <w:sz w:val="20"/>
        </w:rPr>
        <w:t>or authorised</w:t>
      </w:r>
      <w:r w:rsidRPr="00B472E5">
        <w:rPr>
          <w:rFonts w:ascii="Arial" w:hAnsi="Arial" w:cs="Arial"/>
          <w:spacing w:val="-4"/>
          <w:sz w:val="20"/>
        </w:rPr>
        <w:t xml:space="preserve"> </w:t>
      </w:r>
      <w:r w:rsidRPr="00B472E5">
        <w:rPr>
          <w:rFonts w:ascii="Arial" w:hAnsi="Arial" w:cs="Arial"/>
          <w:sz w:val="20"/>
        </w:rPr>
        <w:t>welder</w:t>
      </w:r>
      <w:r w:rsidRPr="00B472E5">
        <w:rPr>
          <w:rFonts w:ascii="Arial" w:hAnsi="Arial" w:cs="Arial"/>
          <w:spacing w:val="-2"/>
          <w:sz w:val="20"/>
        </w:rPr>
        <w:t xml:space="preserve"> </w:t>
      </w:r>
      <w:r w:rsidRPr="00B472E5">
        <w:rPr>
          <w:rFonts w:ascii="Arial" w:hAnsi="Arial" w:cs="Arial"/>
          <w:sz w:val="20"/>
        </w:rPr>
        <w:t>but</w:t>
      </w:r>
      <w:r w:rsidRPr="00B472E5">
        <w:rPr>
          <w:rFonts w:ascii="Arial" w:hAnsi="Arial" w:cs="Arial"/>
          <w:spacing w:val="-1"/>
          <w:sz w:val="20"/>
        </w:rPr>
        <w:t xml:space="preserve"> </w:t>
      </w:r>
      <w:r w:rsidRPr="00B472E5">
        <w:rPr>
          <w:rFonts w:ascii="Arial" w:hAnsi="Arial" w:cs="Arial"/>
          <w:sz w:val="20"/>
        </w:rPr>
        <w:t>excluding</w:t>
      </w:r>
      <w:r w:rsidRPr="00B472E5">
        <w:rPr>
          <w:rFonts w:ascii="Arial" w:hAnsi="Arial" w:cs="Arial"/>
          <w:spacing w:val="-2"/>
          <w:sz w:val="20"/>
        </w:rPr>
        <w:t xml:space="preserve"> </w:t>
      </w:r>
      <w:r w:rsidRPr="00B472E5">
        <w:rPr>
          <w:rFonts w:ascii="Arial" w:hAnsi="Arial" w:cs="Arial"/>
          <w:sz w:val="20"/>
        </w:rPr>
        <w:t>component</w:t>
      </w:r>
      <w:r w:rsidRPr="00B472E5">
        <w:rPr>
          <w:rFonts w:ascii="Arial" w:hAnsi="Arial" w:cs="Arial"/>
          <w:spacing w:val="-2"/>
          <w:sz w:val="20"/>
        </w:rPr>
        <w:t xml:space="preserve"> </w:t>
      </w:r>
      <w:r w:rsidRPr="00B472E5">
        <w:rPr>
          <w:rFonts w:ascii="Arial" w:hAnsi="Arial" w:cs="Arial"/>
          <w:sz w:val="20"/>
        </w:rPr>
        <w:t>replacement;</w:t>
      </w:r>
    </w:p>
    <w:p w14:paraId="3A8137AC" w14:textId="77777777" w:rsidR="00B472E5" w:rsidRPr="00B472E5" w:rsidRDefault="00B472E5" w:rsidP="00B472E5">
      <w:pPr>
        <w:pStyle w:val="ListParagraph"/>
        <w:numPr>
          <w:ilvl w:val="1"/>
          <w:numId w:val="344"/>
        </w:numPr>
        <w:tabs>
          <w:tab w:val="left" w:pos="1274"/>
        </w:tabs>
        <w:spacing w:before="118"/>
        <w:ind w:right="194"/>
        <w:jc w:val="both"/>
        <w:rPr>
          <w:rFonts w:ascii="Arial" w:hAnsi="Arial" w:cs="Arial"/>
          <w:sz w:val="20"/>
        </w:rPr>
      </w:pPr>
      <w:r w:rsidRPr="00B472E5">
        <w:rPr>
          <w:rFonts w:ascii="Arial" w:hAnsi="Arial" w:cs="Arial"/>
          <w:sz w:val="20"/>
        </w:rPr>
        <w:t>the</w:t>
      </w:r>
      <w:r w:rsidRPr="00B472E5">
        <w:rPr>
          <w:rFonts w:ascii="Arial" w:hAnsi="Arial" w:cs="Arial"/>
          <w:spacing w:val="-7"/>
          <w:sz w:val="20"/>
        </w:rPr>
        <w:t xml:space="preserve"> </w:t>
      </w:r>
      <w:r w:rsidRPr="00B472E5">
        <w:rPr>
          <w:rFonts w:ascii="Arial" w:hAnsi="Arial" w:cs="Arial"/>
          <w:sz w:val="20"/>
        </w:rPr>
        <w:t>disturbing</w:t>
      </w:r>
      <w:r w:rsidRPr="00B472E5">
        <w:rPr>
          <w:rFonts w:ascii="Arial" w:hAnsi="Arial" w:cs="Arial"/>
          <w:spacing w:val="-8"/>
          <w:sz w:val="20"/>
        </w:rPr>
        <w:t xml:space="preserve"> </w:t>
      </w:r>
      <w:r w:rsidRPr="00B472E5">
        <w:rPr>
          <w:rFonts w:ascii="Arial" w:hAnsi="Arial" w:cs="Arial"/>
          <w:sz w:val="20"/>
        </w:rPr>
        <w:t>of</w:t>
      </w:r>
      <w:r w:rsidRPr="00B472E5">
        <w:rPr>
          <w:rFonts w:ascii="Arial" w:hAnsi="Arial" w:cs="Arial"/>
          <w:spacing w:val="-7"/>
          <w:sz w:val="20"/>
        </w:rPr>
        <w:t xml:space="preserve"> </w:t>
      </w:r>
      <w:r w:rsidRPr="00B472E5">
        <w:rPr>
          <w:rFonts w:ascii="Arial" w:hAnsi="Arial" w:cs="Arial"/>
          <w:sz w:val="20"/>
        </w:rPr>
        <w:t>individual</w:t>
      </w:r>
      <w:r w:rsidRPr="00B472E5">
        <w:rPr>
          <w:rFonts w:ascii="Arial" w:hAnsi="Arial" w:cs="Arial"/>
          <w:spacing w:val="-10"/>
          <w:sz w:val="20"/>
        </w:rPr>
        <w:t xml:space="preserve"> </w:t>
      </w:r>
      <w:r w:rsidRPr="00B472E5">
        <w:rPr>
          <w:rFonts w:ascii="Arial" w:hAnsi="Arial" w:cs="Arial"/>
          <w:sz w:val="20"/>
        </w:rPr>
        <w:t>parts</w:t>
      </w:r>
      <w:r w:rsidRPr="00B472E5">
        <w:rPr>
          <w:rFonts w:ascii="Arial" w:hAnsi="Arial" w:cs="Arial"/>
          <w:spacing w:val="-7"/>
          <w:sz w:val="20"/>
        </w:rPr>
        <w:t xml:space="preserve"> </w:t>
      </w:r>
      <w:r w:rsidRPr="00B472E5">
        <w:rPr>
          <w:rFonts w:ascii="Arial" w:hAnsi="Arial" w:cs="Arial"/>
          <w:sz w:val="20"/>
        </w:rPr>
        <w:t>of</w:t>
      </w:r>
      <w:r w:rsidRPr="00B472E5">
        <w:rPr>
          <w:rFonts w:ascii="Arial" w:hAnsi="Arial" w:cs="Arial"/>
          <w:spacing w:val="-7"/>
          <w:sz w:val="20"/>
        </w:rPr>
        <w:t xml:space="preserve"> </w:t>
      </w:r>
      <w:r w:rsidRPr="00B472E5">
        <w:rPr>
          <w:rFonts w:ascii="Arial" w:hAnsi="Arial" w:cs="Arial"/>
          <w:sz w:val="20"/>
        </w:rPr>
        <w:t>units</w:t>
      </w:r>
      <w:r w:rsidRPr="00B472E5">
        <w:rPr>
          <w:rFonts w:ascii="Arial" w:hAnsi="Arial" w:cs="Arial"/>
          <w:spacing w:val="-9"/>
          <w:sz w:val="20"/>
        </w:rPr>
        <w:t xml:space="preserve"> </w:t>
      </w:r>
      <w:r w:rsidRPr="00B472E5">
        <w:rPr>
          <w:rFonts w:ascii="Arial" w:hAnsi="Arial" w:cs="Arial"/>
          <w:sz w:val="20"/>
        </w:rPr>
        <w:t>which</w:t>
      </w:r>
      <w:r w:rsidRPr="00B472E5">
        <w:rPr>
          <w:rFonts w:ascii="Arial" w:hAnsi="Arial" w:cs="Arial"/>
          <w:spacing w:val="-8"/>
          <w:sz w:val="20"/>
        </w:rPr>
        <w:t xml:space="preserve"> </w:t>
      </w:r>
      <w:r w:rsidRPr="00B472E5">
        <w:rPr>
          <w:rFonts w:ascii="Arial" w:hAnsi="Arial" w:cs="Arial"/>
          <w:sz w:val="20"/>
        </w:rPr>
        <w:t>are</w:t>
      </w:r>
      <w:r w:rsidRPr="00B472E5">
        <w:rPr>
          <w:rFonts w:ascii="Arial" w:hAnsi="Arial" w:cs="Arial"/>
          <w:spacing w:val="-7"/>
          <w:sz w:val="20"/>
        </w:rPr>
        <w:t xml:space="preserve"> </w:t>
      </w:r>
      <w:r w:rsidRPr="00B472E5">
        <w:rPr>
          <w:rFonts w:ascii="Arial" w:hAnsi="Arial" w:cs="Arial"/>
          <w:sz w:val="20"/>
        </w:rPr>
        <w:t>supplied</w:t>
      </w:r>
      <w:r w:rsidRPr="00B472E5">
        <w:rPr>
          <w:rFonts w:ascii="Arial" w:hAnsi="Arial" w:cs="Arial"/>
          <w:spacing w:val="-7"/>
          <w:sz w:val="20"/>
        </w:rPr>
        <w:t xml:space="preserve"> </w:t>
      </w:r>
      <w:r w:rsidRPr="00B472E5">
        <w:rPr>
          <w:rFonts w:ascii="Arial" w:hAnsi="Arial" w:cs="Arial"/>
          <w:sz w:val="20"/>
        </w:rPr>
        <w:t>as</w:t>
      </w:r>
      <w:r w:rsidRPr="00B472E5">
        <w:rPr>
          <w:rFonts w:ascii="Arial" w:hAnsi="Arial" w:cs="Arial"/>
          <w:spacing w:val="-7"/>
          <w:sz w:val="20"/>
        </w:rPr>
        <w:t xml:space="preserve"> </w:t>
      </w:r>
      <w:r w:rsidRPr="00B472E5">
        <w:rPr>
          <w:rFonts w:ascii="Arial" w:hAnsi="Arial" w:cs="Arial"/>
          <w:sz w:val="20"/>
        </w:rPr>
        <w:t>bench-tested</w:t>
      </w:r>
      <w:r w:rsidRPr="00B472E5">
        <w:rPr>
          <w:rFonts w:ascii="Arial" w:hAnsi="Arial" w:cs="Arial"/>
          <w:spacing w:val="-8"/>
          <w:sz w:val="20"/>
        </w:rPr>
        <w:t xml:space="preserve"> </w:t>
      </w:r>
      <w:r w:rsidRPr="00B472E5">
        <w:rPr>
          <w:rFonts w:ascii="Arial" w:hAnsi="Arial" w:cs="Arial"/>
          <w:sz w:val="20"/>
        </w:rPr>
        <w:t>units</w:t>
      </w:r>
      <w:r w:rsidRPr="00B472E5">
        <w:rPr>
          <w:rFonts w:ascii="Arial" w:hAnsi="Arial" w:cs="Arial"/>
          <w:spacing w:val="-9"/>
          <w:sz w:val="20"/>
        </w:rPr>
        <w:t xml:space="preserve"> </w:t>
      </w:r>
      <w:r w:rsidRPr="00B472E5">
        <w:rPr>
          <w:rFonts w:ascii="Arial" w:hAnsi="Arial" w:cs="Arial"/>
          <w:sz w:val="20"/>
        </w:rPr>
        <w:t>except</w:t>
      </w:r>
      <w:r w:rsidRPr="00B472E5">
        <w:rPr>
          <w:rFonts w:ascii="Arial" w:hAnsi="Arial" w:cs="Arial"/>
          <w:spacing w:val="-47"/>
          <w:sz w:val="20"/>
        </w:rPr>
        <w:t xml:space="preserve"> </w:t>
      </w:r>
      <w:r w:rsidRPr="00B472E5">
        <w:rPr>
          <w:rFonts w:ascii="Arial" w:hAnsi="Arial" w:cs="Arial"/>
          <w:sz w:val="20"/>
        </w:rPr>
        <w:t>for</w:t>
      </w:r>
      <w:r w:rsidRPr="00B472E5">
        <w:rPr>
          <w:rFonts w:ascii="Arial" w:hAnsi="Arial" w:cs="Arial"/>
          <w:spacing w:val="-11"/>
          <w:sz w:val="20"/>
        </w:rPr>
        <w:t xml:space="preserve"> </w:t>
      </w:r>
      <w:r w:rsidRPr="00B472E5">
        <w:rPr>
          <w:rFonts w:ascii="Arial" w:hAnsi="Arial" w:cs="Arial"/>
          <w:sz w:val="20"/>
        </w:rPr>
        <w:t>the</w:t>
      </w:r>
      <w:r w:rsidRPr="00B472E5">
        <w:rPr>
          <w:rFonts w:ascii="Arial" w:hAnsi="Arial" w:cs="Arial"/>
          <w:spacing w:val="-8"/>
          <w:sz w:val="20"/>
        </w:rPr>
        <w:t xml:space="preserve"> </w:t>
      </w:r>
      <w:r w:rsidRPr="00B472E5">
        <w:rPr>
          <w:rFonts w:ascii="Arial" w:hAnsi="Arial" w:cs="Arial"/>
          <w:sz w:val="20"/>
        </w:rPr>
        <w:t>replacement</w:t>
      </w:r>
      <w:r w:rsidRPr="00B472E5">
        <w:rPr>
          <w:rFonts w:ascii="Arial" w:hAnsi="Arial" w:cs="Arial"/>
          <w:spacing w:val="-10"/>
          <w:sz w:val="20"/>
        </w:rPr>
        <w:t xml:space="preserve"> </w:t>
      </w:r>
      <w:r w:rsidRPr="00B472E5">
        <w:rPr>
          <w:rFonts w:ascii="Arial" w:hAnsi="Arial" w:cs="Arial"/>
          <w:sz w:val="20"/>
        </w:rPr>
        <w:t>or</w:t>
      </w:r>
      <w:r w:rsidRPr="00B472E5">
        <w:rPr>
          <w:rFonts w:ascii="Arial" w:hAnsi="Arial" w:cs="Arial"/>
          <w:spacing w:val="-11"/>
          <w:sz w:val="20"/>
        </w:rPr>
        <w:t xml:space="preserve"> </w:t>
      </w:r>
      <w:r w:rsidRPr="00B472E5">
        <w:rPr>
          <w:rFonts w:ascii="Arial" w:hAnsi="Arial" w:cs="Arial"/>
          <w:sz w:val="20"/>
        </w:rPr>
        <w:t>adjustment</w:t>
      </w:r>
      <w:r w:rsidRPr="00B472E5">
        <w:rPr>
          <w:rFonts w:ascii="Arial" w:hAnsi="Arial" w:cs="Arial"/>
          <w:spacing w:val="-10"/>
          <w:sz w:val="20"/>
        </w:rPr>
        <w:t xml:space="preserve"> </w:t>
      </w:r>
      <w:r w:rsidRPr="00B472E5">
        <w:rPr>
          <w:rFonts w:ascii="Arial" w:hAnsi="Arial" w:cs="Arial"/>
          <w:sz w:val="20"/>
        </w:rPr>
        <w:t>of</w:t>
      </w:r>
      <w:r w:rsidRPr="00B472E5">
        <w:rPr>
          <w:rFonts w:ascii="Arial" w:hAnsi="Arial" w:cs="Arial"/>
          <w:spacing w:val="-11"/>
          <w:sz w:val="20"/>
        </w:rPr>
        <w:t xml:space="preserve"> </w:t>
      </w:r>
      <w:r w:rsidRPr="00B472E5">
        <w:rPr>
          <w:rFonts w:ascii="Arial" w:hAnsi="Arial" w:cs="Arial"/>
          <w:sz w:val="20"/>
        </w:rPr>
        <w:t>items</w:t>
      </w:r>
      <w:r w:rsidRPr="00B472E5">
        <w:rPr>
          <w:rFonts w:ascii="Arial" w:hAnsi="Arial" w:cs="Arial"/>
          <w:spacing w:val="-10"/>
          <w:sz w:val="20"/>
        </w:rPr>
        <w:t xml:space="preserve"> </w:t>
      </w:r>
      <w:r w:rsidRPr="00B472E5">
        <w:rPr>
          <w:rFonts w:ascii="Arial" w:hAnsi="Arial" w:cs="Arial"/>
          <w:sz w:val="20"/>
        </w:rPr>
        <w:t>normally</w:t>
      </w:r>
      <w:r w:rsidRPr="00B472E5">
        <w:rPr>
          <w:rFonts w:ascii="Arial" w:hAnsi="Arial" w:cs="Arial"/>
          <w:spacing w:val="-7"/>
          <w:sz w:val="20"/>
        </w:rPr>
        <w:t xml:space="preserve"> </w:t>
      </w:r>
      <w:r w:rsidRPr="00B472E5">
        <w:rPr>
          <w:rFonts w:ascii="Arial" w:hAnsi="Arial" w:cs="Arial"/>
          <w:sz w:val="20"/>
        </w:rPr>
        <w:t>replaceable</w:t>
      </w:r>
      <w:r w:rsidRPr="00B472E5">
        <w:rPr>
          <w:rFonts w:ascii="Arial" w:hAnsi="Arial" w:cs="Arial"/>
          <w:spacing w:val="-10"/>
          <w:sz w:val="20"/>
        </w:rPr>
        <w:t xml:space="preserve"> </w:t>
      </w:r>
      <w:r w:rsidRPr="00B472E5">
        <w:rPr>
          <w:rFonts w:ascii="Arial" w:hAnsi="Arial" w:cs="Arial"/>
          <w:sz w:val="20"/>
        </w:rPr>
        <w:t>or</w:t>
      </w:r>
      <w:r w:rsidRPr="00B472E5">
        <w:rPr>
          <w:rFonts w:ascii="Arial" w:hAnsi="Arial" w:cs="Arial"/>
          <w:spacing w:val="-11"/>
          <w:sz w:val="20"/>
        </w:rPr>
        <w:t xml:space="preserve"> </w:t>
      </w:r>
      <w:r w:rsidRPr="00B472E5">
        <w:rPr>
          <w:rFonts w:ascii="Arial" w:hAnsi="Arial" w:cs="Arial"/>
          <w:sz w:val="20"/>
        </w:rPr>
        <w:t>adjustable</w:t>
      </w:r>
      <w:r w:rsidRPr="00B472E5">
        <w:rPr>
          <w:rFonts w:ascii="Arial" w:hAnsi="Arial" w:cs="Arial"/>
          <w:spacing w:val="-10"/>
          <w:sz w:val="20"/>
        </w:rPr>
        <w:t xml:space="preserve"> </w:t>
      </w:r>
      <w:r w:rsidRPr="00B472E5">
        <w:rPr>
          <w:rFonts w:ascii="Arial" w:hAnsi="Arial" w:cs="Arial"/>
          <w:sz w:val="20"/>
        </w:rPr>
        <w:t>in</w:t>
      </w:r>
      <w:r w:rsidRPr="00B472E5">
        <w:rPr>
          <w:rFonts w:ascii="Arial" w:hAnsi="Arial" w:cs="Arial"/>
          <w:spacing w:val="-9"/>
          <w:sz w:val="20"/>
        </w:rPr>
        <w:t xml:space="preserve"> </w:t>
      </w:r>
      <w:r w:rsidRPr="00B472E5">
        <w:rPr>
          <w:rFonts w:ascii="Arial" w:hAnsi="Arial" w:cs="Arial"/>
          <w:sz w:val="20"/>
        </w:rPr>
        <w:t>service;</w:t>
      </w:r>
    </w:p>
    <w:p w14:paraId="0A4188BF" w14:textId="77777777" w:rsidR="00B472E5" w:rsidRPr="00B472E5" w:rsidRDefault="00B472E5" w:rsidP="00B472E5">
      <w:pPr>
        <w:pStyle w:val="ListParagraph"/>
        <w:numPr>
          <w:ilvl w:val="0"/>
          <w:numId w:val="344"/>
        </w:numPr>
        <w:tabs>
          <w:tab w:val="left" w:pos="707"/>
        </w:tabs>
        <w:spacing w:before="121"/>
        <w:jc w:val="both"/>
        <w:rPr>
          <w:rFonts w:ascii="Arial" w:hAnsi="Arial" w:cs="Arial"/>
          <w:sz w:val="20"/>
        </w:rPr>
      </w:pPr>
      <w:r w:rsidRPr="00B472E5">
        <w:rPr>
          <w:rFonts w:ascii="Arial" w:hAnsi="Arial" w:cs="Arial"/>
          <w:sz w:val="20"/>
        </w:rPr>
        <w:t>the</w:t>
      </w:r>
      <w:r w:rsidRPr="00B472E5">
        <w:rPr>
          <w:rFonts w:ascii="Arial" w:hAnsi="Arial" w:cs="Arial"/>
          <w:spacing w:val="-1"/>
          <w:sz w:val="20"/>
        </w:rPr>
        <w:t xml:space="preserve"> </w:t>
      </w:r>
      <w:r w:rsidRPr="00B472E5">
        <w:rPr>
          <w:rFonts w:ascii="Arial" w:hAnsi="Arial" w:cs="Arial"/>
          <w:sz w:val="20"/>
        </w:rPr>
        <w:t>balancing</w:t>
      </w:r>
      <w:r w:rsidRPr="00B472E5">
        <w:rPr>
          <w:rFonts w:ascii="Arial" w:hAnsi="Arial" w:cs="Arial"/>
          <w:spacing w:val="-2"/>
          <w:sz w:val="20"/>
        </w:rPr>
        <w:t xml:space="preserve"> </w:t>
      </w:r>
      <w:r w:rsidRPr="00B472E5">
        <w:rPr>
          <w:rFonts w:ascii="Arial" w:hAnsi="Arial" w:cs="Arial"/>
          <w:sz w:val="20"/>
        </w:rPr>
        <w:t>of</w:t>
      </w:r>
      <w:r w:rsidRPr="00B472E5">
        <w:rPr>
          <w:rFonts w:ascii="Arial" w:hAnsi="Arial" w:cs="Arial"/>
          <w:spacing w:val="-3"/>
          <w:sz w:val="20"/>
        </w:rPr>
        <w:t xml:space="preserve"> </w:t>
      </w:r>
      <w:r w:rsidRPr="00B472E5">
        <w:rPr>
          <w:rFonts w:ascii="Arial" w:hAnsi="Arial" w:cs="Arial"/>
          <w:sz w:val="20"/>
        </w:rPr>
        <w:t>a</w:t>
      </w:r>
      <w:r w:rsidRPr="00B472E5">
        <w:rPr>
          <w:rFonts w:ascii="Arial" w:hAnsi="Arial" w:cs="Arial"/>
          <w:spacing w:val="-1"/>
          <w:sz w:val="20"/>
        </w:rPr>
        <w:t xml:space="preserve"> </w:t>
      </w:r>
      <w:r w:rsidRPr="00B472E5">
        <w:rPr>
          <w:rFonts w:ascii="Arial" w:hAnsi="Arial" w:cs="Arial"/>
          <w:sz w:val="20"/>
        </w:rPr>
        <w:t>propeller,</w:t>
      </w:r>
      <w:r w:rsidRPr="00B472E5">
        <w:rPr>
          <w:rFonts w:ascii="Arial" w:hAnsi="Arial" w:cs="Arial"/>
          <w:spacing w:val="-1"/>
          <w:sz w:val="20"/>
        </w:rPr>
        <w:t xml:space="preserve"> </w:t>
      </w:r>
      <w:r w:rsidRPr="00B472E5">
        <w:rPr>
          <w:rFonts w:ascii="Arial" w:hAnsi="Arial" w:cs="Arial"/>
          <w:sz w:val="20"/>
        </w:rPr>
        <w:t>except:</w:t>
      </w:r>
    </w:p>
    <w:p w14:paraId="0F27B0E6" w14:textId="77777777" w:rsidR="00B472E5" w:rsidRPr="00B472E5" w:rsidRDefault="00B472E5" w:rsidP="00B472E5">
      <w:pPr>
        <w:pStyle w:val="ListParagraph"/>
        <w:numPr>
          <w:ilvl w:val="1"/>
          <w:numId w:val="344"/>
        </w:numPr>
        <w:tabs>
          <w:tab w:val="left" w:pos="1274"/>
        </w:tabs>
        <w:ind w:hanging="568"/>
        <w:jc w:val="both"/>
        <w:rPr>
          <w:rFonts w:ascii="Arial" w:hAnsi="Arial" w:cs="Arial"/>
          <w:sz w:val="20"/>
        </w:rPr>
      </w:pPr>
      <w:r w:rsidRPr="00B472E5">
        <w:rPr>
          <w:rFonts w:ascii="Arial" w:hAnsi="Arial" w:cs="Arial"/>
          <w:sz w:val="20"/>
        </w:rPr>
        <w:t>for</w:t>
      </w:r>
      <w:r w:rsidRPr="00B472E5">
        <w:rPr>
          <w:rFonts w:ascii="Arial" w:hAnsi="Arial" w:cs="Arial"/>
          <w:spacing w:val="-1"/>
          <w:sz w:val="20"/>
        </w:rPr>
        <w:t xml:space="preserve"> </w:t>
      </w:r>
      <w:r w:rsidRPr="00B472E5">
        <w:rPr>
          <w:rFonts w:ascii="Arial" w:hAnsi="Arial" w:cs="Arial"/>
          <w:sz w:val="20"/>
        </w:rPr>
        <w:t>the certification</w:t>
      </w:r>
      <w:r w:rsidRPr="00B472E5">
        <w:rPr>
          <w:rFonts w:ascii="Arial" w:hAnsi="Arial" w:cs="Arial"/>
          <w:spacing w:val="-3"/>
          <w:sz w:val="20"/>
        </w:rPr>
        <w:t xml:space="preserve"> </w:t>
      </w:r>
      <w:r w:rsidRPr="00B472E5">
        <w:rPr>
          <w:rFonts w:ascii="Arial" w:hAnsi="Arial" w:cs="Arial"/>
          <w:sz w:val="20"/>
        </w:rPr>
        <w:t>of</w:t>
      </w:r>
      <w:r w:rsidRPr="00B472E5">
        <w:rPr>
          <w:rFonts w:ascii="Arial" w:hAnsi="Arial" w:cs="Arial"/>
          <w:spacing w:val="-1"/>
          <w:sz w:val="20"/>
        </w:rPr>
        <w:t xml:space="preserve"> </w:t>
      </w:r>
      <w:r w:rsidRPr="00B472E5">
        <w:rPr>
          <w:rFonts w:ascii="Arial" w:hAnsi="Arial" w:cs="Arial"/>
          <w:sz w:val="20"/>
        </w:rPr>
        <w:t>static balancing</w:t>
      </w:r>
      <w:r w:rsidRPr="00B472E5">
        <w:rPr>
          <w:rFonts w:ascii="Arial" w:hAnsi="Arial" w:cs="Arial"/>
          <w:spacing w:val="-2"/>
          <w:sz w:val="20"/>
        </w:rPr>
        <w:t xml:space="preserve"> </w:t>
      </w:r>
      <w:r w:rsidRPr="00B472E5">
        <w:rPr>
          <w:rFonts w:ascii="Arial" w:hAnsi="Arial" w:cs="Arial"/>
          <w:sz w:val="20"/>
        </w:rPr>
        <w:t>where required</w:t>
      </w:r>
      <w:r w:rsidRPr="00B472E5">
        <w:rPr>
          <w:rFonts w:ascii="Arial" w:hAnsi="Arial" w:cs="Arial"/>
          <w:spacing w:val="-4"/>
          <w:sz w:val="20"/>
        </w:rPr>
        <w:t xml:space="preserve"> </w:t>
      </w:r>
      <w:r w:rsidRPr="00B472E5">
        <w:rPr>
          <w:rFonts w:ascii="Arial" w:hAnsi="Arial" w:cs="Arial"/>
          <w:sz w:val="20"/>
        </w:rPr>
        <w:t>by</w:t>
      </w:r>
      <w:r w:rsidRPr="00B472E5">
        <w:rPr>
          <w:rFonts w:ascii="Arial" w:hAnsi="Arial" w:cs="Arial"/>
          <w:spacing w:val="-1"/>
          <w:sz w:val="20"/>
        </w:rPr>
        <w:t xml:space="preserve"> </w:t>
      </w:r>
      <w:r w:rsidRPr="00B472E5">
        <w:rPr>
          <w:rFonts w:ascii="Arial" w:hAnsi="Arial" w:cs="Arial"/>
          <w:sz w:val="20"/>
        </w:rPr>
        <w:t>the</w:t>
      </w:r>
      <w:r w:rsidRPr="00B472E5">
        <w:rPr>
          <w:rFonts w:ascii="Arial" w:hAnsi="Arial" w:cs="Arial"/>
          <w:spacing w:val="-3"/>
          <w:sz w:val="20"/>
        </w:rPr>
        <w:t xml:space="preserve"> </w:t>
      </w:r>
      <w:r w:rsidRPr="00B472E5">
        <w:rPr>
          <w:rFonts w:ascii="Arial" w:hAnsi="Arial" w:cs="Arial"/>
          <w:sz w:val="20"/>
        </w:rPr>
        <w:t>maintenance</w:t>
      </w:r>
      <w:r w:rsidRPr="00B472E5">
        <w:rPr>
          <w:rFonts w:ascii="Arial" w:hAnsi="Arial" w:cs="Arial"/>
          <w:spacing w:val="-3"/>
          <w:sz w:val="20"/>
        </w:rPr>
        <w:t xml:space="preserve"> </w:t>
      </w:r>
      <w:r w:rsidRPr="00B472E5">
        <w:rPr>
          <w:rFonts w:ascii="Arial" w:hAnsi="Arial" w:cs="Arial"/>
          <w:sz w:val="20"/>
        </w:rPr>
        <w:t>manual; and</w:t>
      </w:r>
    </w:p>
    <w:p w14:paraId="00BA3329" w14:textId="77777777" w:rsidR="00B472E5" w:rsidRPr="00B472E5" w:rsidRDefault="00B472E5" w:rsidP="00B472E5">
      <w:pPr>
        <w:pStyle w:val="ListParagraph"/>
        <w:numPr>
          <w:ilvl w:val="1"/>
          <w:numId w:val="344"/>
        </w:numPr>
        <w:tabs>
          <w:tab w:val="left" w:pos="1274"/>
        </w:tabs>
        <w:ind w:right="196"/>
        <w:jc w:val="both"/>
        <w:rPr>
          <w:rFonts w:ascii="Arial" w:hAnsi="Arial" w:cs="Arial"/>
          <w:sz w:val="20"/>
        </w:rPr>
      </w:pPr>
      <w:r w:rsidRPr="00B472E5">
        <w:rPr>
          <w:rFonts w:ascii="Arial" w:hAnsi="Arial" w:cs="Arial"/>
          <w:sz w:val="20"/>
        </w:rPr>
        <w:t>dynamic balancing on installed propellers using electronic balancing equipment where</w:t>
      </w:r>
      <w:r w:rsidRPr="00B472E5">
        <w:rPr>
          <w:rFonts w:ascii="Arial" w:hAnsi="Arial" w:cs="Arial"/>
          <w:spacing w:val="1"/>
          <w:sz w:val="20"/>
        </w:rPr>
        <w:t xml:space="preserve"> </w:t>
      </w:r>
      <w:r w:rsidRPr="00B472E5">
        <w:rPr>
          <w:rFonts w:ascii="Arial" w:hAnsi="Arial" w:cs="Arial"/>
          <w:sz w:val="20"/>
        </w:rPr>
        <w:t>permitted</w:t>
      </w:r>
      <w:r w:rsidRPr="00B472E5">
        <w:rPr>
          <w:rFonts w:ascii="Arial" w:hAnsi="Arial" w:cs="Arial"/>
          <w:spacing w:val="-2"/>
          <w:sz w:val="20"/>
        </w:rPr>
        <w:t xml:space="preserve"> </w:t>
      </w:r>
      <w:r w:rsidRPr="00B472E5">
        <w:rPr>
          <w:rFonts w:ascii="Arial" w:hAnsi="Arial" w:cs="Arial"/>
          <w:sz w:val="20"/>
        </w:rPr>
        <w:t>by</w:t>
      </w:r>
      <w:r w:rsidRPr="00B472E5">
        <w:rPr>
          <w:rFonts w:ascii="Arial" w:hAnsi="Arial" w:cs="Arial"/>
          <w:spacing w:val="-2"/>
          <w:sz w:val="20"/>
        </w:rPr>
        <w:t xml:space="preserve"> </w:t>
      </w:r>
      <w:r w:rsidRPr="00B472E5">
        <w:rPr>
          <w:rFonts w:ascii="Arial" w:hAnsi="Arial" w:cs="Arial"/>
          <w:sz w:val="20"/>
        </w:rPr>
        <w:t>the</w:t>
      </w:r>
      <w:r w:rsidRPr="00B472E5">
        <w:rPr>
          <w:rFonts w:ascii="Arial" w:hAnsi="Arial" w:cs="Arial"/>
          <w:spacing w:val="-2"/>
          <w:sz w:val="20"/>
        </w:rPr>
        <w:t xml:space="preserve"> </w:t>
      </w:r>
      <w:r w:rsidRPr="00B472E5">
        <w:rPr>
          <w:rFonts w:ascii="Arial" w:hAnsi="Arial" w:cs="Arial"/>
          <w:sz w:val="20"/>
        </w:rPr>
        <w:t>maintenance</w:t>
      </w:r>
      <w:r w:rsidRPr="00B472E5">
        <w:rPr>
          <w:rFonts w:ascii="Arial" w:hAnsi="Arial" w:cs="Arial"/>
          <w:spacing w:val="-1"/>
          <w:sz w:val="20"/>
        </w:rPr>
        <w:t xml:space="preserve"> </w:t>
      </w:r>
      <w:r w:rsidRPr="00B472E5">
        <w:rPr>
          <w:rFonts w:ascii="Arial" w:hAnsi="Arial" w:cs="Arial"/>
          <w:sz w:val="20"/>
        </w:rPr>
        <w:t>manual or</w:t>
      </w:r>
      <w:r w:rsidRPr="00B472E5">
        <w:rPr>
          <w:rFonts w:ascii="Arial" w:hAnsi="Arial" w:cs="Arial"/>
          <w:spacing w:val="-3"/>
          <w:sz w:val="20"/>
        </w:rPr>
        <w:t xml:space="preserve"> </w:t>
      </w:r>
      <w:r w:rsidRPr="00B472E5">
        <w:rPr>
          <w:rFonts w:ascii="Arial" w:hAnsi="Arial" w:cs="Arial"/>
          <w:sz w:val="20"/>
        </w:rPr>
        <w:t>other approved</w:t>
      </w:r>
      <w:r w:rsidRPr="00B472E5">
        <w:rPr>
          <w:rFonts w:ascii="Arial" w:hAnsi="Arial" w:cs="Arial"/>
          <w:spacing w:val="-1"/>
          <w:sz w:val="20"/>
        </w:rPr>
        <w:t xml:space="preserve"> </w:t>
      </w:r>
      <w:r w:rsidRPr="00B472E5">
        <w:rPr>
          <w:rFonts w:ascii="Arial" w:hAnsi="Arial" w:cs="Arial"/>
          <w:sz w:val="20"/>
        </w:rPr>
        <w:t>airworthiness</w:t>
      </w:r>
      <w:r w:rsidRPr="00B472E5">
        <w:rPr>
          <w:rFonts w:ascii="Arial" w:hAnsi="Arial" w:cs="Arial"/>
          <w:spacing w:val="1"/>
          <w:sz w:val="20"/>
        </w:rPr>
        <w:t xml:space="preserve"> </w:t>
      </w:r>
      <w:r w:rsidRPr="00B472E5">
        <w:rPr>
          <w:rFonts w:ascii="Arial" w:hAnsi="Arial" w:cs="Arial"/>
          <w:sz w:val="20"/>
        </w:rPr>
        <w:t>data;</w:t>
      </w:r>
    </w:p>
    <w:p w14:paraId="024969F0" w14:textId="77777777" w:rsidR="00B472E5" w:rsidRPr="00B472E5" w:rsidRDefault="00B472E5" w:rsidP="00B472E5">
      <w:pPr>
        <w:pStyle w:val="ListParagraph"/>
        <w:numPr>
          <w:ilvl w:val="0"/>
          <w:numId w:val="344"/>
        </w:numPr>
        <w:tabs>
          <w:tab w:val="left" w:pos="707"/>
        </w:tabs>
        <w:spacing w:before="121"/>
        <w:jc w:val="both"/>
        <w:rPr>
          <w:rFonts w:ascii="Arial" w:hAnsi="Arial" w:cs="Arial"/>
          <w:sz w:val="20"/>
        </w:rPr>
      </w:pPr>
      <w:r w:rsidRPr="00B472E5">
        <w:rPr>
          <w:rFonts w:ascii="Arial" w:hAnsi="Arial" w:cs="Arial"/>
          <w:sz w:val="20"/>
        </w:rPr>
        <w:t>any</w:t>
      </w:r>
      <w:r w:rsidRPr="00B472E5">
        <w:rPr>
          <w:rFonts w:ascii="Arial" w:hAnsi="Arial" w:cs="Arial"/>
          <w:spacing w:val="-1"/>
          <w:sz w:val="20"/>
        </w:rPr>
        <w:t xml:space="preserve"> </w:t>
      </w:r>
      <w:r w:rsidRPr="00B472E5">
        <w:rPr>
          <w:rFonts w:ascii="Arial" w:hAnsi="Arial" w:cs="Arial"/>
          <w:sz w:val="20"/>
        </w:rPr>
        <w:t>additional</w:t>
      </w:r>
      <w:r w:rsidRPr="00B472E5">
        <w:rPr>
          <w:rFonts w:ascii="Arial" w:hAnsi="Arial" w:cs="Arial"/>
          <w:spacing w:val="-3"/>
          <w:sz w:val="20"/>
        </w:rPr>
        <w:t xml:space="preserve"> </w:t>
      </w:r>
      <w:r w:rsidRPr="00B472E5">
        <w:rPr>
          <w:rFonts w:ascii="Arial" w:hAnsi="Arial" w:cs="Arial"/>
          <w:sz w:val="20"/>
        </w:rPr>
        <w:t>task</w:t>
      </w:r>
      <w:r w:rsidRPr="00B472E5">
        <w:rPr>
          <w:rFonts w:ascii="Arial" w:hAnsi="Arial" w:cs="Arial"/>
          <w:spacing w:val="-3"/>
          <w:sz w:val="20"/>
        </w:rPr>
        <w:t xml:space="preserve"> </w:t>
      </w:r>
      <w:r w:rsidRPr="00B472E5">
        <w:rPr>
          <w:rFonts w:ascii="Arial" w:hAnsi="Arial" w:cs="Arial"/>
          <w:sz w:val="20"/>
        </w:rPr>
        <w:t>that requires:</w:t>
      </w:r>
    </w:p>
    <w:p w14:paraId="5571DEF3" w14:textId="77777777" w:rsidR="00B472E5" w:rsidRPr="00B472E5" w:rsidRDefault="00B472E5" w:rsidP="00B472E5">
      <w:pPr>
        <w:pStyle w:val="ListParagraph"/>
        <w:numPr>
          <w:ilvl w:val="1"/>
          <w:numId w:val="344"/>
        </w:numPr>
        <w:tabs>
          <w:tab w:val="left" w:pos="1274"/>
        </w:tabs>
        <w:ind w:hanging="568"/>
        <w:jc w:val="both"/>
        <w:rPr>
          <w:rFonts w:ascii="Arial" w:hAnsi="Arial" w:cs="Arial"/>
          <w:sz w:val="20"/>
        </w:rPr>
      </w:pPr>
      <w:r w:rsidRPr="00B472E5">
        <w:rPr>
          <w:rFonts w:ascii="Arial" w:hAnsi="Arial" w:cs="Arial"/>
          <w:sz w:val="20"/>
        </w:rPr>
        <w:t>specialised</w:t>
      </w:r>
      <w:r w:rsidRPr="00B472E5">
        <w:rPr>
          <w:rFonts w:ascii="Arial" w:hAnsi="Arial" w:cs="Arial"/>
          <w:spacing w:val="-5"/>
          <w:sz w:val="20"/>
        </w:rPr>
        <w:t xml:space="preserve"> </w:t>
      </w:r>
      <w:r w:rsidRPr="00B472E5">
        <w:rPr>
          <w:rFonts w:ascii="Arial" w:hAnsi="Arial" w:cs="Arial"/>
          <w:sz w:val="20"/>
        </w:rPr>
        <w:t>tooling,</w:t>
      </w:r>
      <w:r w:rsidRPr="00B472E5">
        <w:rPr>
          <w:rFonts w:ascii="Arial" w:hAnsi="Arial" w:cs="Arial"/>
          <w:spacing w:val="-1"/>
          <w:sz w:val="20"/>
        </w:rPr>
        <w:t xml:space="preserve"> </w:t>
      </w:r>
      <w:r w:rsidRPr="00B472E5">
        <w:rPr>
          <w:rFonts w:ascii="Arial" w:hAnsi="Arial" w:cs="Arial"/>
          <w:sz w:val="20"/>
        </w:rPr>
        <w:t>equipment</w:t>
      </w:r>
      <w:r w:rsidRPr="00B472E5">
        <w:rPr>
          <w:rFonts w:ascii="Arial" w:hAnsi="Arial" w:cs="Arial"/>
          <w:spacing w:val="-1"/>
          <w:sz w:val="20"/>
        </w:rPr>
        <w:t xml:space="preserve"> </w:t>
      </w:r>
      <w:r w:rsidRPr="00B472E5">
        <w:rPr>
          <w:rFonts w:ascii="Arial" w:hAnsi="Arial" w:cs="Arial"/>
          <w:sz w:val="20"/>
        </w:rPr>
        <w:t>or</w:t>
      </w:r>
      <w:r w:rsidRPr="00B472E5">
        <w:rPr>
          <w:rFonts w:ascii="Arial" w:hAnsi="Arial" w:cs="Arial"/>
          <w:spacing w:val="-4"/>
          <w:sz w:val="20"/>
        </w:rPr>
        <w:t xml:space="preserve"> </w:t>
      </w:r>
      <w:r w:rsidRPr="00B472E5">
        <w:rPr>
          <w:rFonts w:ascii="Arial" w:hAnsi="Arial" w:cs="Arial"/>
          <w:sz w:val="20"/>
        </w:rPr>
        <w:t>facilities;</w:t>
      </w:r>
      <w:r w:rsidRPr="00B472E5">
        <w:rPr>
          <w:rFonts w:ascii="Arial" w:hAnsi="Arial" w:cs="Arial"/>
          <w:spacing w:val="-3"/>
          <w:sz w:val="20"/>
        </w:rPr>
        <w:t xml:space="preserve"> </w:t>
      </w:r>
      <w:r w:rsidRPr="00B472E5">
        <w:rPr>
          <w:rFonts w:ascii="Arial" w:hAnsi="Arial" w:cs="Arial"/>
          <w:sz w:val="20"/>
        </w:rPr>
        <w:t>or</w:t>
      </w:r>
    </w:p>
    <w:p w14:paraId="0C82EF8D" w14:textId="77777777" w:rsidR="00B472E5" w:rsidRPr="00B472E5" w:rsidRDefault="00B472E5" w:rsidP="00B472E5">
      <w:pPr>
        <w:pStyle w:val="ListParagraph"/>
        <w:numPr>
          <w:ilvl w:val="1"/>
          <w:numId w:val="344"/>
        </w:numPr>
        <w:tabs>
          <w:tab w:val="left" w:pos="1274"/>
        </w:tabs>
        <w:ind w:right="197"/>
        <w:jc w:val="both"/>
        <w:rPr>
          <w:rFonts w:ascii="Arial" w:hAnsi="Arial" w:cs="Arial"/>
          <w:sz w:val="20"/>
        </w:rPr>
      </w:pPr>
      <w:r w:rsidRPr="00B472E5">
        <w:rPr>
          <w:rFonts w:ascii="Arial" w:hAnsi="Arial" w:cs="Arial"/>
          <w:sz w:val="20"/>
        </w:rPr>
        <w:t>significant coordination procedures because of the extensive duration of the tasks and</w:t>
      </w:r>
      <w:r w:rsidRPr="00B472E5">
        <w:rPr>
          <w:rFonts w:ascii="Arial" w:hAnsi="Arial" w:cs="Arial"/>
          <w:spacing w:val="1"/>
          <w:sz w:val="20"/>
        </w:rPr>
        <w:t xml:space="preserve"> </w:t>
      </w:r>
      <w:r w:rsidRPr="00B472E5">
        <w:rPr>
          <w:rFonts w:ascii="Arial" w:hAnsi="Arial" w:cs="Arial"/>
          <w:sz w:val="20"/>
        </w:rPr>
        <w:t>the involvement</w:t>
      </w:r>
      <w:r w:rsidRPr="00B472E5">
        <w:rPr>
          <w:rFonts w:ascii="Arial" w:hAnsi="Arial" w:cs="Arial"/>
          <w:spacing w:val="-2"/>
          <w:sz w:val="20"/>
        </w:rPr>
        <w:t xml:space="preserve"> </w:t>
      </w:r>
      <w:r w:rsidRPr="00B472E5">
        <w:rPr>
          <w:rFonts w:ascii="Arial" w:hAnsi="Arial" w:cs="Arial"/>
          <w:sz w:val="20"/>
        </w:rPr>
        <w:t>of several</w:t>
      </w:r>
      <w:r w:rsidRPr="00B472E5">
        <w:rPr>
          <w:rFonts w:ascii="Arial" w:hAnsi="Arial" w:cs="Arial"/>
          <w:spacing w:val="-2"/>
          <w:sz w:val="20"/>
        </w:rPr>
        <w:t xml:space="preserve"> </w:t>
      </w:r>
      <w:r w:rsidRPr="00B472E5">
        <w:rPr>
          <w:rFonts w:ascii="Arial" w:hAnsi="Arial" w:cs="Arial"/>
          <w:sz w:val="20"/>
        </w:rPr>
        <w:t>persons.</w:t>
      </w:r>
    </w:p>
    <w:p w14:paraId="162CA23B" w14:textId="77777777" w:rsidR="00341083" w:rsidRDefault="00341083" w:rsidP="00823845">
      <w:pPr>
        <w:spacing w:before="1"/>
        <w:rPr>
          <w:rFonts w:ascii="Arial" w:hAnsi="Arial" w:cs="Arial"/>
          <w:b/>
          <w:sz w:val="20"/>
        </w:rPr>
      </w:pPr>
    </w:p>
    <w:p w14:paraId="49587924" w14:textId="77777777" w:rsidR="005D0782" w:rsidRDefault="005D0782" w:rsidP="00823845">
      <w:pPr>
        <w:spacing w:before="1"/>
        <w:rPr>
          <w:rFonts w:ascii="Arial" w:hAnsi="Arial" w:cs="Arial"/>
          <w:b/>
          <w:sz w:val="20"/>
        </w:rPr>
      </w:pPr>
    </w:p>
    <w:p w14:paraId="622C2D66" w14:textId="77777777" w:rsidR="005D0782" w:rsidRDefault="005D0782" w:rsidP="00823845">
      <w:pPr>
        <w:spacing w:before="1"/>
        <w:rPr>
          <w:rFonts w:ascii="Arial" w:hAnsi="Arial" w:cs="Arial"/>
          <w:b/>
          <w:sz w:val="20"/>
        </w:rPr>
      </w:pPr>
    </w:p>
    <w:p w14:paraId="53D67B4B" w14:textId="77777777" w:rsidR="005D0782" w:rsidRDefault="005D0782" w:rsidP="00823845">
      <w:pPr>
        <w:spacing w:before="1"/>
        <w:rPr>
          <w:rFonts w:ascii="Arial" w:hAnsi="Arial" w:cs="Arial"/>
          <w:b/>
          <w:sz w:val="20"/>
        </w:rPr>
      </w:pPr>
    </w:p>
    <w:p w14:paraId="6644D2E5" w14:textId="77777777" w:rsidR="005D0782" w:rsidRDefault="005D0782" w:rsidP="00823845">
      <w:pPr>
        <w:spacing w:before="1"/>
        <w:rPr>
          <w:rFonts w:ascii="Arial" w:hAnsi="Arial" w:cs="Arial"/>
          <w:b/>
          <w:sz w:val="20"/>
        </w:rPr>
      </w:pPr>
    </w:p>
    <w:p w14:paraId="795B958C" w14:textId="77777777" w:rsidR="005D0782" w:rsidRDefault="005D0782" w:rsidP="00823845">
      <w:pPr>
        <w:spacing w:before="1"/>
        <w:rPr>
          <w:rFonts w:ascii="Arial" w:hAnsi="Arial" w:cs="Arial"/>
          <w:b/>
          <w:sz w:val="20"/>
        </w:rPr>
      </w:pPr>
    </w:p>
    <w:p w14:paraId="49850D73" w14:textId="77777777" w:rsidR="005D0782" w:rsidRDefault="005D0782" w:rsidP="00823845">
      <w:pPr>
        <w:spacing w:before="1"/>
        <w:rPr>
          <w:rFonts w:ascii="Arial" w:hAnsi="Arial" w:cs="Arial"/>
          <w:b/>
          <w:sz w:val="20"/>
        </w:rPr>
      </w:pPr>
    </w:p>
    <w:p w14:paraId="1061DCB5" w14:textId="77777777" w:rsidR="005D0782" w:rsidRDefault="005D0782" w:rsidP="00823845">
      <w:pPr>
        <w:spacing w:before="1"/>
        <w:rPr>
          <w:rFonts w:ascii="Arial" w:hAnsi="Arial" w:cs="Arial"/>
          <w:b/>
          <w:sz w:val="20"/>
        </w:rPr>
      </w:pPr>
    </w:p>
    <w:p w14:paraId="155CBCC3" w14:textId="77777777" w:rsidR="005D0782" w:rsidRDefault="005D0782" w:rsidP="00823845">
      <w:pPr>
        <w:spacing w:before="1"/>
        <w:rPr>
          <w:rFonts w:ascii="Arial" w:hAnsi="Arial" w:cs="Arial"/>
          <w:b/>
          <w:sz w:val="20"/>
        </w:rPr>
      </w:pPr>
    </w:p>
    <w:p w14:paraId="21C23060" w14:textId="77777777" w:rsidR="005D0782" w:rsidRDefault="005D0782" w:rsidP="00823845">
      <w:pPr>
        <w:spacing w:before="1"/>
        <w:rPr>
          <w:rFonts w:ascii="Arial" w:hAnsi="Arial" w:cs="Arial"/>
          <w:b/>
          <w:sz w:val="20"/>
        </w:rPr>
      </w:pPr>
    </w:p>
    <w:p w14:paraId="31C69ACF" w14:textId="77777777" w:rsidR="005D0782" w:rsidRDefault="005D0782" w:rsidP="00823845">
      <w:pPr>
        <w:spacing w:before="1"/>
        <w:rPr>
          <w:rFonts w:ascii="Arial" w:hAnsi="Arial" w:cs="Arial"/>
          <w:b/>
          <w:sz w:val="20"/>
        </w:rPr>
      </w:pPr>
    </w:p>
    <w:p w14:paraId="2B2DB910" w14:textId="77777777" w:rsidR="005D0782" w:rsidRDefault="005D0782" w:rsidP="00823845">
      <w:pPr>
        <w:spacing w:before="1"/>
        <w:rPr>
          <w:rFonts w:ascii="Arial" w:hAnsi="Arial" w:cs="Arial"/>
          <w:b/>
          <w:sz w:val="20"/>
        </w:rPr>
      </w:pPr>
    </w:p>
    <w:p w14:paraId="142167B1" w14:textId="77777777" w:rsidR="005D0782" w:rsidRDefault="005D0782" w:rsidP="00823845">
      <w:pPr>
        <w:spacing w:before="1"/>
        <w:rPr>
          <w:rFonts w:ascii="Arial" w:hAnsi="Arial" w:cs="Arial"/>
          <w:b/>
          <w:sz w:val="20"/>
        </w:rPr>
      </w:pPr>
    </w:p>
    <w:p w14:paraId="6093B2B6" w14:textId="77777777" w:rsidR="005D0782" w:rsidRDefault="005D0782" w:rsidP="00823845">
      <w:pPr>
        <w:spacing w:before="1"/>
        <w:rPr>
          <w:rFonts w:ascii="Arial" w:hAnsi="Arial" w:cs="Arial"/>
          <w:b/>
          <w:sz w:val="20"/>
        </w:rPr>
      </w:pPr>
    </w:p>
    <w:p w14:paraId="1D3BDFEA" w14:textId="77777777" w:rsidR="005D0782" w:rsidRDefault="005D0782" w:rsidP="00823845">
      <w:pPr>
        <w:spacing w:before="1"/>
        <w:rPr>
          <w:rFonts w:ascii="Arial" w:hAnsi="Arial" w:cs="Arial"/>
          <w:b/>
          <w:sz w:val="20"/>
        </w:rPr>
      </w:pPr>
    </w:p>
    <w:p w14:paraId="1D09C7C9" w14:textId="77777777" w:rsidR="005D0782" w:rsidRDefault="005D0782" w:rsidP="00823845">
      <w:pPr>
        <w:spacing w:before="1"/>
        <w:rPr>
          <w:rFonts w:ascii="Arial" w:hAnsi="Arial" w:cs="Arial"/>
          <w:b/>
          <w:sz w:val="20"/>
        </w:rPr>
      </w:pPr>
    </w:p>
    <w:p w14:paraId="1B423134" w14:textId="77777777" w:rsidR="005D0782" w:rsidRDefault="005D0782" w:rsidP="00823845">
      <w:pPr>
        <w:spacing w:before="1"/>
        <w:rPr>
          <w:rFonts w:ascii="Arial" w:hAnsi="Arial" w:cs="Arial"/>
          <w:b/>
          <w:sz w:val="20"/>
        </w:rPr>
      </w:pPr>
    </w:p>
    <w:p w14:paraId="556660CB" w14:textId="77777777" w:rsidR="005D0782" w:rsidRDefault="005D0782" w:rsidP="00823845">
      <w:pPr>
        <w:spacing w:before="1"/>
        <w:rPr>
          <w:rFonts w:ascii="Arial" w:hAnsi="Arial" w:cs="Arial"/>
          <w:b/>
          <w:sz w:val="20"/>
        </w:rPr>
      </w:pPr>
    </w:p>
    <w:p w14:paraId="539C41D5" w14:textId="77777777" w:rsidR="005D0782" w:rsidRDefault="005D0782" w:rsidP="00823845">
      <w:pPr>
        <w:spacing w:before="1"/>
        <w:rPr>
          <w:rFonts w:ascii="Arial" w:hAnsi="Arial" w:cs="Arial"/>
          <w:b/>
          <w:sz w:val="20"/>
        </w:rPr>
      </w:pPr>
    </w:p>
    <w:p w14:paraId="2C966C69" w14:textId="77777777" w:rsidR="005D0782" w:rsidRDefault="005D0782" w:rsidP="00823845">
      <w:pPr>
        <w:spacing w:before="1"/>
        <w:rPr>
          <w:rFonts w:ascii="Arial" w:hAnsi="Arial" w:cs="Arial"/>
          <w:b/>
          <w:sz w:val="20"/>
        </w:rPr>
      </w:pPr>
    </w:p>
    <w:p w14:paraId="21C9BE6E" w14:textId="77777777" w:rsidR="005D0782" w:rsidRDefault="005D0782" w:rsidP="00823845">
      <w:pPr>
        <w:spacing w:before="1"/>
        <w:rPr>
          <w:rFonts w:ascii="Arial" w:hAnsi="Arial" w:cs="Arial"/>
          <w:b/>
          <w:sz w:val="20"/>
        </w:rPr>
      </w:pPr>
    </w:p>
    <w:p w14:paraId="539B43F9" w14:textId="77777777" w:rsidR="005D0782" w:rsidRDefault="005D0782" w:rsidP="00823845">
      <w:pPr>
        <w:spacing w:before="1"/>
        <w:rPr>
          <w:rFonts w:ascii="Arial" w:hAnsi="Arial" w:cs="Arial"/>
          <w:b/>
          <w:sz w:val="20"/>
        </w:rPr>
      </w:pPr>
    </w:p>
    <w:p w14:paraId="068B8246" w14:textId="77777777" w:rsidR="005D0782" w:rsidRDefault="005D0782" w:rsidP="00823845">
      <w:pPr>
        <w:spacing w:before="1"/>
        <w:rPr>
          <w:rFonts w:ascii="Arial" w:hAnsi="Arial" w:cs="Arial"/>
          <w:b/>
          <w:sz w:val="20"/>
        </w:rPr>
      </w:pPr>
    </w:p>
    <w:p w14:paraId="3111709A" w14:textId="77777777" w:rsidR="005D0782" w:rsidRDefault="005D0782" w:rsidP="00823845">
      <w:pPr>
        <w:spacing w:before="1"/>
        <w:rPr>
          <w:rFonts w:ascii="Arial" w:hAnsi="Arial" w:cs="Arial"/>
          <w:b/>
          <w:sz w:val="20"/>
        </w:rPr>
      </w:pPr>
    </w:p>
    <w:p w14:paraId="05198E21" w14:textId="77777777" w:rsidR="005D0782" w:rsidRDefault="005D0782" w:rsidP="00823845">
      <w:pPr>
        <w:spacing w:before="1"/>
        <w:rPr>
          <w:rFonts w:ascii="Arial" w:hAnsi="Arial" w:cs="Arial"/>
          <w:b/>
          <w:sz w:val="20"/>
        </w:rPr>
      </w:pPr>
    </w:p>
    <w:p w14:paraId="406E34B9" w14:textId="77777777" w:rsidR="005D0782" w:rsidRDefault="005D0782" w:rsidP="00823845">
      <w:pPr>
        <w:spacing w:before="1"/>
        <w:rPr>
          <w:rFonts w:ascii="Arial" w:hAnsi="Arial" w:cs="Arial"/>
          <w:b/>
          <w:sz w:val="20"/>
        </w:rPr>
      </w:pPr>
    </w:p>
    <w:p w14:paraId="5EE9618A" w14:textId="77777777" w:rsidR="005D0782" w:rsidRDefault="005D0782" w:rsidP="00823845">
      <w:pPr>
        <w:spacing w:before="1"/>
        <w:rPr>
          <w:rFonts w:ascii="Arial" w:hAnsi="Arial" w:cs="Arial"/>
          <w:b/>
          <w:sz w:val="20"/>
        </w:rPr>
      </w:pPr>
    </w:p>
    <w:p w14:paraId="3A4FDE26" w14:textId="77777777" w:rsidR="005D0782" w:rsidRDefault="005D0782" w:rsidP="00823845">
      <w:pPr>
        <w:spacing w:before="1"/>
        <w:rPr>
          <w:rFonts w:ascii="Arial" w:hAnsi="Arial" w:cs="Arial"/>
          <w:b/>
          <w:sz w:val="20"/>
        </w:rPr>
      </w:pPr>
    </w:p>
    <w:p w14:paraId="250A2AAD" w14:textId="77777777" w:rsidR="005D0782" w:rsidRDefault="005D0782" w:rsidP="00823845">
      <w:pPr>
        <w:spacing w:before="1"/>
        <w:rPr>
          <w:rFonts w:ascii="Arial" w:hAnsi="Arial" w:cs="Arial"/>
          <w:b/>
          <w:sz w:val="20"/>
        </w:rPr>
      </w:pPr>
    </w:p>
    <w:p w14:paraId="121404A5" w14:textId="77777777" w:rsidR="005D0782" w:rsidRDefault="005D0782" w:rsidP="00823845">
      <w:pPr>
        <w:spacing w:before="1"/>
        <w:rPr>
          <w:rFonts w:ascii="Arial" w:hAnsi="Arial" w:cs="Arial"/>
          <w:b/>
          <w:sz w:val="20"/>
        </w:rPr>
      </w:pPr>
    </w:p>
    <w:p w14:paraId="2502E098" w14:textId="77777777" w:rsidR="005D0782" w:rsidRDefault="005D0782" w:rsidP="00823845">
      <w:pPr>
        <w:spacing w:before="1"/>
        <w:rPr>
          <w:rFonts w:ascii="Arial" w:hAnsi="Arial" w:cs="Arial"/>
          <w:b/>
          <w:sz w:val="20"/>
        </w:rPr>
      </w:pPr>
    </w:p>
    <w:p w14:paraId="7A6EF8F6" w14:textId="77777777" w:rsidR="005D0782" w:rsidRDefault="005D0782" w:rsidP="00823845">
      <w:pPr>
        <w:spacing w:before="1"/>
        <w:rPr>
          <w:rFonts w:ascii="Arial" w:hAnsi="Arial" w:cs="Arial"/>
          <w:b/>
          <w:sz w:val="20"/>
        </w:rPr>
      </w:pPr>
    </w:p>
    <w:p w14:paraId="0E51FC17" w14:textId="77777777" w:rsidR="005D0782" w:rsidRDefault="005D0782" w:rsidP="00823845">
      <w:pPr>
        <w:spacing w:before="1"/>
        <w:rPr>
          <w:rFonts w:ascii="Arial" w:hAnsi="Arial" w:cs="Arial"/>
          <w:b/>
          <w:sz w:val="20"/>
        </w:rPr>
      </w:pPr>
    </w:p>
    <w:p w14:paraId="7A40C89B" w14:textId="77777777" w:rsidR="005D0782" w:rsidRDefault="005D0782" w:rsidP="00823845">
      <w:pPr>
        <w:spacing w:before="1"/>
        <w:rPr>
          <w:rFonts w:ascii="Arial" w:hAnsi="Arial" w:cs="Arial"/>
          <w:b/>
          <w:sz w:val="20"/>
        </w:rPr>
      </w:pPr>
    </w:p>
    <w:p w14:paraId="225CE2BD" w14:textId="77777777" w:rsidR="005D0782" w:rsidRDefault="005D0782" w:rsidP="00823845">
      <w:pPr>
        <w:spacing w:before="1"/>
        <w:rPr>
          <w:rFonts w:ascii="Arial" w:hAnsi="Arial" w:cs="Arial"/>
          <w:b/>
          <w:sz w:val="20"/>
        </w:rPr>
      </w:pPr>
    </w:p>
    <w:p w14:paraId="60732D06" w14:textId="77777777" w:rsidR="005D0782" w:rsidRDefault="005D0782" w:rsidP="00823845">
      <w:pPr>
        <w:spacing w:before="1"/>
        <w:rPr>
          <w:rFonts w:ascii="Arial" w:hAnsi="Arial" w:cs="Arial"/>
          <w:b/>
          <w:sz w:val="20"/>
        </w:rPr>
      </w:pPr>
    </w:p>
    <w:p w14:paraId="3D931A25" w14:textId="77777777" w:rsidR="005D0782" w:rsidRDefault="005D0782" w:rsidP="00823845">
      <w:pPr>
        <w:spacing w:before="1"/>
        <w:rPr>
          <w:rFonts w:ascii="Arial" w:hAnsi="Arial" w:cs="Arial"/>
          <w:b/>
          <w:sz w:val="20"/>
        </w:rPr>
      </w:pPr>
    </w:p>
    <w:p w14:paraId="4F5EC48C" w14:textId="77777777" w:rsidR="005D0782" w:rsidRDefault="005D0782" w:rsidP="00823845">
      <w:pPr>
        <w:spacing w:before="1"/>
        <w:rPr>
          <w:rFonts w:ascii="Arial" w:hAnsi="Arial" w:cs="Arial"/>
          <w:b/>
          <w:sz w:val="20"/>
        </w:rPr>
      </w:pPr>
    </w:p>
    <w:p w14:paraId="01A7172A" w14:textId="77777777" w:rsidR="005D0782" w:rsidRDefault="005D0782" w:rsidP="00823845">
      <w:pPr>
        <w:spacing w:before="1"/>
        <w:rPr>
          <w:rFonts w:ascii="Arial" w:hAnsi="Arial" w:cs="Arial"/>
          <w:b/>
          <w:sz w:val="20"/>
        </w:rPr>
      </w:pPr>
    </w:p>
    <w:p w14:paraId="023053BE" w14:textId="77777777" w:rsidR="005D0782" w:rsidRDefault="005D0782" w:rsidP="00823845">
      <w:pPr>
        <w:spacing w:before="1"/>
        <w:rPr>
          <w:rFonts w:ascii="Arial" w:hAnsi="Arial" w:cs="Arial"/>
          <w:b/>
          <w:sz w:val="20"/>
        </w:rPr>
      </w:pPr>
    </w:p>
    <w:p w14:paraId="13095D52" w14:textId="77777777" w:rsidR="005D0782" w:rsidRDefault="005D0782" w:rsidP="00823845">
      <w:pPr>
        <w:spacing w:before="1"/>
        <w:rPr>
          <w:rFonts w:ascii="Arial" w:hAnsi="Arial" w:cs="Arial"/>
          <w:b/>
          <w:sz w:val="20"/>
        </w:rPr>
      </w:pPr>
    </w:p>
    <w:p w14:paraId="694DC1BA" w14:textId="77777777" w:rsidR="005D0782" w:rsidRDefault="005D0782" w:rsidP="00823845">
      <w:pPr>
        <w:spacing w:before="1"/>
        <w:rPr>
          <w:rFonts w:ascii="Arial" w:hAnsi="Arial" w:cs="Arial"/>
          <w:b/>
          <w:sz w:val="20"/>
        </w:rPr>
      </w:pPr>
    </w:p>
    <w:p w14:paraId="670DF132" w14:textId="77777777" w:rsidR="005D0782" w:rsidRDefault="005D0782" w:rsidP="00823845">
      <w:pPr>
        <w:spacing w:before="1"/>
        <w:rPr>
          <w:rFonts w:ascii="Arial" w:hAnsi="Arial" w:cs="Arial"/>
          <w:b/>
          <w:sz w:val="20"/>
        </w:rPr>
      </w:pPr>
    </w:p>
    <w:p w14:paraId="1CEAED9F" w14:textId="77777777" w:rsidR="005D0782" w:rsidRDefault="005D0782" w:rsidP="00823845">
      <w:pPr>
        <w:spacing w:before="1"/>
        <w:rPr>
          <w:rFonts w:ascii="Arial" w:hAnsi="Arial" w:cs="Arial"/>
          <w:b/>
          <w:sz w:val="20"/>
        </w:rPr>
      </w:pPr>
    </w:p>
    <w:p w14:paraId="7BAABA29" w14:textId="77777777" w:rsidR="005D0782" w:rsidRDefault="005D0782" w:rsidP="00823845">
      <w:pPr>
        <w:spacing w:before="1"/>
        <w:rPr>
          <w:rFonts w:ascii="Arial" w:hAnsi="Arial" w:cs="Arial"/>
          <w:b/>
          <w:sz w:val="20"/>
        </w:rPr>
      </w:pPr>
    </w:p>
    <w:p w14:paraId="5FB4A915" w14:textId="77777777" w:rsidR="005D0782" w:rsidRDefault="005D0782" w:rsidP="00823845">
      <w:pPr>
        <w:spacing w:before="1"/>
        <w:rPr>
          <w:rFonts w:ascii="Arial" w:hAnsi="Arial" w:cs="Arial"/>
          <w:b/>
          <w:sz w:val="20"/>
        </w:rPr>
      </w:pPr>
    </w:p>
    <w:p w14:paraId="30C783F0" w14:textId="77777777" w:rsidR="005D0782" w:rsidRDefault="005D0782" w:rsidP="00823845">
      <w:pPr>
        <w:spacing w:before="1"/>
        <w:rPr>
          <w:rFonts w:ascii="Arial" w:hAnsi="Arial" w:cs="Arial"/>
          <w:b/>
          <w:sz w:val="20"/>
        </w:rPr>
      </w:pPr>
    </w:p>
    <w:p w14:paraId="711D6AF2" w14:textId="77777777" w:rsidR="005D0782" w:rsidRDefault="005D0782" w:rsidP="00823845">
      <w:pPr>
        <w:spacing w:before="1"/>
        <w:rPr>
          <w:rFonts w:ascii="Arial" w:hAnsi="Arial" w:cs="Arial"/>
          <w:b/>
          <w:sz w:val="20"/>
        </w:rPr>
      </w:pPr>
    </w:p>
    <w:p w14:paraId="109CC12D" w14:textId="77777777" w:rsidR="005D0782" w:rsidRDefault="005D0782" w:rsidP="00823845">
      <w:pPr>
        <w:spacing w:before="1"/>
        <w:rPr>
          <w:rFonts w:ascii="Arial" w:hAnsi="Arial" w:cs="Arial"/>
          <w:b/>
          <w:sz w:val="20"/>
        </w:rPr>
      </w:pPr>
    </w:p>
    <w:p w14:paraId="68AB872E" w14:textId="77777777" w:rsidR="005D0782" w:rsidRDefault="005D0782" w:rsidP="00823845">
      <w:pPr>
        <w:spacing w:before="1"/>
        <w:rPr>
          <w:rFonts w:ascii="Arial" w:hAnsi="Arial" w:cs="Arial"/>
          <w:b/>
          <w:sz w:val="20"/>
        </w:rPr>
      </w:pPr>
    </w:p>
    <w:p w14:paraId="176DD385" w14:textId="77777777" w:rsidR="009D6879" w:rsidRPr="009D6879" w:rsidRDefault="009D6879" w:rsidP="009D6879">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980" w:name="_Toc153137584"/>
      <w:r w:rsidRPr="009D6879">
        <w:rPr>
          <w:rFonts w:ascii="Arial" w:eastAsia="Times New Roman" w:hAnsi="Arial" w:cs="Times New Roman"/>
          <w:b/>
          <w:iCs/>
          <w:color w:val="FFFFFF"/>
          <w:sz w:val="24"/>
        </w:rPr>
        <w:lastRenderedPageBreak/>
        <w:t>Appendix IV — Airworthiness review certificate (EASA Form 15c)</w:t>
      </w:r>
      <w:bookmarkEnd w:id="980"/>
      <w:r w:rsidRPr="009D6879">
        <w:rPr>
          <w:rFonts w:ascii="Arial" w:eastAsia="Times New Roman" w:hAnsi="Arial" w:cs="Times New Roman"/>
          <w:b/>
          <w:iCs/>
          <w:color w:val="FFFFFF"/>
          <w:sz w:val="24"/>
        </w:rPr>
        <w:tab/>
      </w:r>
    </w:p>
    <w:p w14:paraId="6B5846B1" w14:textId="1272688F" w:rsidR="009D6879" w:rsidRPr="009D6879" w:rsidRDefault="009D6879" w:rsidP="009D6879">
      <w:pPr>
        <w:tabs>
          <w:tab w:val="left" w:pos="90"/>
        </w:tabs>
        <w:spacing w:before="120"/>
        <w:ind w:left="131" w:right="195" w:hanging="41"/>
        <w:jc w:val="both"/>
        <w:rPr>
          <w:rFonts w:ascii="Arial" w:hAnsi="Arial" w:cs="Arial"/>
          <w:i/>
          <w:sz w:val="20"/>
        </w:rPr>
      </w:pPr>
      <w:r>
        <w:rPr>
          <w:rFonts w:ascii="Arial" w:hAnsi="Arial" w:cs="Arial"/>
          <w:i/>
          <w:sz w:val="20"/>
        </w:rPr>
        <w:t xml:space="preserve"> </w:t>
      </w:r>
      <w:r w:rsidRPr="009D6879">
        <w:rPr>
          <w:rFonts w:ascii="Arial" w:hAnsi="Arial" w:cs="Arial"/>
          <w:i/>
          <w:sz w:val="20"/>
        </w:rPr>
        <w:t>NOTE: persons and organisations performing the airworthiness review in combination with the 100-h/annual inspection may use the reverse side of this form in order to issue the CRS referred to</w:t>
      </w:r>
      <w:r w:rsidRPr="009D6879">
        <w:rPr>
          <w:rFonts w:ascii="Arial" w:hAnsi="Arial" w:cs="Arial"/>
          <w:i/>
          <w:spacing w:val="1"/>
          <w:sz w:val="20"/>
        </w:rPr>
        <w:t xml:space="preserve"> </w:t>
      </w:r>
      <w:r w:rsidRPr="009D6879">
        <w:rPr>
          <w:rFonts w:ascii="Arial" w:hAnsi="Arial" w:cs="Arial"/>
          <w:i/>
          <w:sz w:val="20"/>
        </w:rPr>
        <w:t>in</w:t>
      </w:r>
      <w:r>
        <w:rPr>
          <w:rFonts w:ascii="Arial" w:hAnsi="Arial" w:cs="Arial"/>
          <w:i/>
          <w:spacing w:val="-2"/>
          <w:sz w:val="20"/>
        </w:rPr>
        <w:t xml:space="preserve"> </w:t>
      </w:r>
      <w:r w:rsidRPr="009D6879">
        <w:rPr>
          <w:rFonts w:ascii="Arial" w:hAnsi="Arial" w:cs="Arial"/>
          <w:i/>
          <w:sz w:val="20"/>
        </w:rPr>
        <w:t>point</w:t>
      </w:r>
      <w:r w:rsidRPr="009D6879">
        <w:rPr>
          <w:rFonts w:ascii="Arial" w:hAnsi="Arial" w:cs="Arial"/>
          <w:i/>
          <w:spacing w:val="-2"/>
          <w:sz w:val="20"/>
        </w:rPr>
        <w:t xml:space="preserve"> </w:t>
      </w:r>
      <w:r w:rsidRPr="00C73993">
        <w:rPr>
          <w:rFonts w:ascii="Arial" w:hAnsi="Arial" w:cs="Arial"/>
          <w:i/>
          <w:sz w:val="20"/>
        </w:rPr>
        <w:t>ML.A.801</w:t>
      </w:r>
      <w:r w:rsidRPr="009D6879">
        <w:rPr>
          <w:rFonts w:ascii="Arial" w:hAnsi="Arial" w:cs="Arial"/>
          <w:i/>
          <w:color w:val="0000FF"/>
          <w:sz w:val="20"/>
        </w:rPr>
        <w:t xml:space="preserve"> </w:t>
      </w:r>
      <w:r w:rsidRPr="009D6879">
        <w:rPr>
          <w:rFonts w:ascii="Arial" w:hAnsi="Arial" w:cs="Arial"/>
          <w:i/>
          <w:sz w:val="20"/>
        </w:rPr>
        <w:t>corresponding</w:t>
      </w:r>
      <w:r w:rsidRPr="009D6879">
        <w:rPr>
          <w:rFonts w:ascii="Arial" w:hAnsi="Arial" w:cs="Arial"/>
          <w:i/>
          <w:spacing w:val="-2"/>
          <w:sz w:val="20"/>
        </w:rPr>
        <w:t xml:space="preserve"> </w:t>
      </w:r>
      <w:r w:rsidRPr="009D6879">
        <w:rPr>
          <w:rFonts w:ascii="Arial" w:hAnsi="Arial" w:cs="Arial"/>
          <w:i/>
          <w:sz w:val="20"/>
        </w:rPr>
        <w:t>to</w:t>
      </w:r>
      <w:r w:rsidRPr="009D6879">
        <w:rPr>
          <w:rFonts w:ascii="Arial" w:hAnsi="Arial" w:cs="Arial"/>
          <w:i/>
          <w:spacing w:val="1"/>
          <w:sz w:val="20"/>
        </w:rPr>
        <w:t xml:space="preserve"> </w:t>
      </w:r>
      <w:r w:rsidRPr="009D6879">
        <w:rPr>
          <w:rFonts w:ascii="Arial" w:hAnsi="Arial" w:cs="Arial"/>
          <w:i/>
          <w:sz w:val="20"/>
        </w:rPr>
        <w:t>the</w:t>
      </w:r>
      <w:r w:rsidRPr="009D6879">
        <w:rPr>
          <w:rFonts w:ascii="Arial" w:hAnsi="Arial" w:cs="Arial"/>
          <w:i/>
          <w:spacing w:val="-2"/>
          <w:sz w:val="20"/>
        </w:rPr>
        <w:t xml:space="preserve"> </w:t>
      </w:r>
      <w:r w:rsidRPr="009D6879">
        <w:rPr>
          <w:rFonts w:ascii="Arial" w:hAnsi="Arial" w:cs="Arial"/>
          <w:i/>
          <w:sz w:val="20"/>
        </w:rPr>
        <w:t>100-h/annual inspection.</w:t>
      </w:r>
    </w:p>
    <w:p w14:paraId="349CE90A" w14:textId="77777777" w:rsidR="005D0782" w:rsidRDefault="005D0782" w:rsidP="00823845">
      <w:pPr>
        <w:spacing w:before="1"/>
        <w:rPr>
          <w:rFonts w:ascii="Arial" w:hAnsi="Arial" w:cs="Arial"/>
          <w:b/>
          <w:sz w:val="20"/>
        </w:rPr>
      </w:pPr>
    </w:p>
    <w:p w14:paraId="02A4FE7A" w14:textId="77777777" w:rsidR="00D2333E" w:rsidRPr="00D2333E" w:rsidRDefault="00030750" w:rsidP="00D2333E">
      <w:pPr>
        <w:spacing w:before="11"/>
        <w:rPr>
          <w:rFonts w:ascii="Arial" w:hAnsi="Arial" w:cs="Arial"/>
          <w:sz w:val="24"/>
        </w:rPr>
      </w:pPr>
      <w:r w:rsidRPr="00D2333E">
        <w:rPr>
          <w:rFonts w:ascii="Arial" w:hAnsi="Arial" w:cs="Arial"/>
          <w:noProof/>
          <w:sz w:val="18"/>
        </w:rPr>
        <mc:AlternateContent>
          <mc:Choice Requires="wps">
            <w:drawing>
              <wp:anchor distT="0" distB="0" distL="114300" distR="114300" simplePos="0" relativeHeight="251675648" behindDoc="1" locked="0" layoutInCell="1" allowOverlap="1" wp14:anchorId="6D79040B" wp14:editId="569D048B">
                <wp:simplePos x="0" y="0"/>
                <wp:positionH relativeFrom="page">
                  <wp:posOffset>914400</wp:posOffset>
                </wp:positionH>
                <wp:positionV relativeFrom="paragraph">
                  <wp:posOffset>60793</wp:posOffset>
                </wp:positionV>
                <wp:extent cx="5746750" cy="6965343"/>
                <wp:effectExtent l="0" t="0" r="6350" b="6985"/>
                <wp:wrapNone/>
                <wp:docPr id="12"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46750" cy="6965343"/>
                        </a:xfrm>
                        <a:custGeom>
                          <a:avLst/>
                          <a:gdLst>
                            <a:gd name="T0" fmla="+- 0 1450 1440"/>
                            <a:gd name="T1" fmla="*/ T0 w 9050"/>
                            <a:gd name="T2" fmla="+- 0 -185 -195"/>
                            <a:gd name="T3" fmla="*/ -185 h 10540"/>
                            <a:gd name="T4" fmla="+- 0 1440 1440"/>
                            <a:gd name="T5" fmla="*/ T4 w 9050"/>
                            <a:gd name="T6" fmla="+- 0 -185 -195"/>
                            <a:gd name="T7" fmla="*/ -185 h 10540"/>
                            <a:gd name="T8" fmla="+- 0 1440 1440"/>
                            <a:gd name="T9" fmla="*/ T8 w 9050"/>
                            <a:gd name="T10" fmla="+- 0 10336 -195"/>
                            <a:gd name="T11" fmla="*/ 10336 h 10540"/>
                            <a:gd name="T12" fmla="+- 0 1450 1440"/>
                            <a:gd name="T13" fmla="*/ T12 w 9050"/>
                            <a:gd name="T14" fmla="+- 0 10336 -195"/>
                            <a:gd name="T15" fmla="*/ 10336 h 10540"/>
                            <a:gd name="T16" fmla="+- 0 1450 1440"/>
                            <a:gd name="T17" fmla="*/ T16 w 9050"/>
                            <a:gd name="T18" fmla="+- 0 -185 -195"/>
                            <a:gd name="T19" fmla="*/ -185 h 10540"/>
                            <a:gd name="T20" fmla="+- 0 10480 1440"/>
                            <a:gd name="T21" fmla="*/ T20 w 9050"/>
                            <a:gd name="T22" fmla="+- 0 10336 -195"/>
                            <a:gd name="T23" fmla="*/ 10336 h 10540"/>
                            <a:gd name="T24" fmla="+- 0 1450 1440"/>
                            <a:gd name="T25" fmla="*/ T24 w 9050"/>
                            <a:gd name="T26" fmla="+- 0 10336 -195"/>
                            <a:gd name="T27" fmla="*/ 10336 h 10540"/>
                            <a:gd name="T28" fmla="+- 0 1440 1440"/>
                            <a:gd name="T29" fmla="*/ T28 w 9050"/>
                            <a:gd name="T30" fmla="+- 0 10336 -195"/>
                            <a:gd name="T31" fmla="*/ 10336 h 10540"/>
                            <a:gd name="T32" fmla="+- 0 1440 1440"/>
                            <a:gd name="T33" fmla="*/ T32 w 9050"/>
                            <a:gd name="T34" fmla="+- 0 10345 -195"/>
                            <a:gd name="T35" fmla="*/ 10345 h 10540"/>
                            <a:gd name="T36" fmla="+- 0 1450 1440"/>
                            <a:gd name="T37" fmla="*/ T36 w 9050"/>
                            <a:gd name="T38" fmla="+- 0 10345 -195"/>
                            <a:gd name="T39" fmla="*/ 10345 h 10540"/>
                            <a:gd name="T40" fmla="+- 0 10480 1440"/>
                            <a:gd name="T41" fmla="*/ T40 w 9050"/>
                            <a:gd name="T42" fmla="+- 0 10345 -195"/>
                            <a:gd name="T43" fmla="*/ 10345 h 10540"/>
                            <a:gd name="T44" fmla="+- 0 10480 1440"/>
                            <a:gd name="T45" fmla="*/ T44 w 9050"/>
                            <a:gd name="T46" fmla="+- 0 10336 -195"/>
                            <a:gd name="T47" fmla="*/ 10336 h 10540"/>
                            <a:gd name="T48" fmla="+- 0 10480 1440"/>
                            <a:gd name="T49" fmla="*/ T48 w 9050"/>
                            <a:gd name="T50" fmla="+- 0 -195 -195"/>
                            <a:gd name="T51" fmla="*/ -195 h 10540"/>
                            <a:gd name="T52" fmla="+- 0 1450 1440"/>
                            <a:gd name="T53" fmla="*/ T52 w 9050"/>
                            <a:gd name="T54" fmla="+- 0 -195 -195"/>
                            <a:gd name="T55" fmla="*/ -195 h 10540"/>
                            <a:gd name="T56" fmla="+- 0 1440 1440"/>
                            <a:gd name="T57" fmla="*/ T56 w 9050"/>
                            <a:gd name="T58" fmla="+- 0 -195 -195"/>
                            <a:gd name="T59" fmla="*/ -195 h 10540"/>
                            <a:gd name="T60" fmla="+- 0 1440 1440"/>
                            <a:gd name="T61" fmla="*/ T60 w 9050"/>
                            <a:gd name="T62" fmla="+- 0 -185 -195"/>
                            <a:gd name="T63" fmla="*/ -185 h 10540"/>
                            <a:gd name="T64" fmla="+- 0 1450 1440"/>
                            <a:gd name="T65" fmla="*/ T64 w 9050"/>
                            <a:gd name="T66" fmla="+- 0 -185 -195"/>
                            <a:gd name="T67" fmla="*/ -185 h 10540"/>
                            <a:gd name="T68" fmla="+- 0 10480 1440"/>
                            <a:gd name="T69" fmla="*/ T68 w 9050"/>
                            <a:gd name="T70" fmla="+- 0 -185 -195"/>
                            <a:gd name="T71" fmla="*/ -185 h 10540"/>
                            <a:gd name="T72" fmla="+- 0 10480 1440"/>
                            <a:gd name="T73" fmla="*/ T72 w 9050"/>
                            <a:gd name="T74" fmla="+- 0 -195 -195"/>
                            <a:gd name="T75" fmla="*/ -195 h 10540"/>
                            <a:gd name="T76" fmla="+- 0 10490 1440"/>
                            <a:gd name="T77" fmla="*/ T76 w 9050"/>
                            <a:gd name="T78" fmla="+- 0 10336 -195"/>
                            <a:gd name="T79" fmla="*/ 10336 h 10540"/>
                            <a:gd name="T80" fmla="+- 0 10480 1440"/>
                            <a:gd name="T81" fmla="*/ T80 w 9050"/>
                            <a:gd name="T82" fmla="+- 0 10336 -195"/>
                            <a:gd name="T83" fmla="*/ 10336 h 10540"/>
                            <a:gd name="T84" fmla="+- 0 10480 1440"/>
                            <a:gd name="T85" fmla="*/ T84 w 9050"/>
                            <a:gd name="T86" fmla="+- 0 10345 -195"/>
                            <a:gd name="T87" fmla="*/ 10345 h 10540"/>
                            <a:gd name="T88" fmla="+- 0 10490 1440"/>
                            <a:gd name="T89" fmla="*/ T88 w 9050"/>
                            <a:gd name="T90" fmla="+- 0 10345 -195"/>
                            <a:gd name="T91" fmla="*/ 10345 h 10540"/>
                            <a:gd name="T92" fmla="+- 0 10490 1440"/>
                            <a:gd name="T93" fmla="*/ T92 w 9050"/>
                            <a:gd name="T94" fmla="+- 0 10336 -195"/>
                            <a:gd name="T95" fmla="*/ 10336 h 10540"/>
                            <a:gd name="T96" fmla="+- 0 10490 1440"/>
                            <a:gd name="T97" fmla="*/ T96 w 9050"/>
                            <a:gd name="T98" fmla="+- 0 -185 -195"/>
                            <a:gd name="T99" fmla="*/ -185 h 10540"/>
                            <a:gd name="T100" fmla="+- 0 10480 1440"/>
                            <a:gd name="T101" fmla="*/ T100 w 9050"/>
                            <a:gd name="T102" fmla="+- 0 -185 -195"/>
                            <a:gd name="T103" fmla="*/ -185 h 10540"/>
                            <a:gd name="T104" fmla="+- 0 10480 1440"/>
                            <a:gd name="T105" fmla="*/ T104 w 9050"/>
                            <a:gd name="T106" fmla="+- 0 10336 -195"/>
                            <a:gd name="T107" fmla="*/ 10336 h 10540"/>
                            <a:gd name="T108" fmla="+- 0 10490 1440"/>
                            <a:gd name="T109" fmla="*/ T108 w 9050"/>
                            <a:gd name="T110" fmla="+- 0 10336 -195"/>
                            <a:gd name="T111" fmla="*/ 10336 h 10540"/>
                            <a:gd name="T112" fmla="+- 0 10490 1440"/>
                            <a:gd name="T113" fmla="*/ T112 w 9050"/>
                            <a:gd name="T114" fmla="+- 0 -185 -195"/>
                            <a:gd name="T115" fmla="*/ -185 h 10540"/>
                            <a:gd name="T116" fmla="+- 0 10490 1440"/>
                            <a:gd name="T117" fmla="*/ T116 w 9050"/>
                            <a:gd name="T118" fmla="+- 0 -195 -195"/>
                            <a:gd name="T119" fmla="*/ -195 h 10540"/>
                            <a:gd name="T120" fmla="+- 0 10480 1440"/>
                            <a:gd name="T121" fmla="*/ T120 w 9050"/>
                            <a:gd name="T122" fmla="+- 0 -195 -195"/>
                            <a:gd name="T123" fmla="*/ -195 h 10540"/>
                            <a:gd name="T124" fmla="+- 0 10480 1440"/>
                            <a:gd name="T125" fmla="*/ T124 w 9050"/>
                            <a:gd name="T126" fmla="+- 0 -185 -195"/>
                            <a:gd name="T127" fmla="*/ -185 h 10540"/>
                            <a:gd name="T128" fmla="+- 0 10490 1440"/>
                            <a:gd name="T129" fmla="*/ T128 w 9050"/>
                            <a:gd name="T130" fmla="+- 0 -185 -195"/>
                            <a:gd name="T131" fmla="*/ -185 h 10540"/>
                            <a:gd name="T132" fmla="+- 0 10490 1440"/>
                            <a:gd name="T133" fmla="*/ T132 w 9050"/>
                            <a:gd name="T134" fmla="+- 0 -195 -195"/>
                            <a:gd name="T135" fmla="*/ -195 h 10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9050" h="10540">
                              <a:moveTo>
                                <a:pt x="10" y="10"/>
                              </a:moveTo>
                              <a:lnTo>
                                <a:pt x="0" y="10"/>
                              </a:lnTo>
                              <a:lnTo>
                                <a:pt x="0" y="10531"/>
                              </a:lnTo>
                              <a:lnTo>
                                <a:pt x="10" y="10531"/>
                              </a:lnTo>
                              <a:lnTo>
                                <a:pt x="10" y="10"/>
                              </a:lnTo>
                              <a:close/>
                              <a:moveTo>
                                <a:pt x="9040" y="10531"/>
                              </a:moveTo>
                              <a:lnTo>
                                <a:pt x="10" y="10531"/>
                              </a:lnTo>
                              <a:lnTo>
                                <a:pt x="0" y="10531"/>
                              </a:lnTo>
                              <a:lnTo>
                                <a:pt x="0" y="10540"/>
                              </a:lnTo>
                              <a:lnTo>
                                <a:pt x="10" y="10540"/>
                              </a:lnTo>
                              <a:lnTo>
                                <a:pt x="9040" y="10540"/>
                              </a:lnTo>
                              <a:lnTo>
                                <a:pt x="9040" y="10531"/>
                              </a:lnTo>
                              <a:close/>
                              <a:moveTo>
                                <a:pt x="9040" y="0"/>
                              </a:moveTo>
                              <a:lnTo>
                                <a:pt x="10" y="0"/>
                              </a:lnTo>
                              <a:lnTo>
                                <a:pt x="0" y="0"/>
                              </a:lnTo>
                              <a:lnTo>
                                <a:pt x="0" y="10"/>
                              </a:lnTo>
                              <a:lnTo>
                                <a:pt x="10" y="10"/>
                              </a:lnTo>
                              <a:lnTo>
                                <a:pt x="9040" y="10"/>
                              </a:lnTo>
                              <a:lnTo>
                                <a:pt x="9040" y="0"/>
                              </a:lnTo>
                              <a:close/>
                              <a:moveTo>
                                <a:pt x="9050" y="10531"/>
                              </a:moveTo>
                              <a:lnTo>
                                <a:pt x="9040" y="10531"/>
                              </a:lnTo>
                              <a:lnTo>
                                <a:pt x="9040" y="10540"/>
                              </a:lnTo>
                              <a:lnTo>
                                <a:pt x="9050" y="10540"/>
                              </a:lnTo>
                              <a:lnTo>
                                <a:pt x="9050" y="10531"/>
                              </a:lnTo>
                              <a:close/>
                              <a:moveTo>
                                <a:pt x="9050" y="10"/>
                              </a:moveTo>
                              <a:lnTo>
                                <a:pt x="9040" y="10"/>
                              </a:lnTo>
                              <a:lnTo>
                                <a:pt x="9040" y="10531"/>
                              </a:lnTo>
                              <a:lnTo>
                                <a:pt x="9050" y="10531"/>
                              </a:lnTo>
                              <a:lnTo>
                                <a:pt x="9050" y="10"/>
                              </a:lnTo>
                              <a:close/>
                              <a:moveTo>
                                <a:pt x="9050" y="0"/>
                              </a:moveTo>
                              <a:lnTo>
                                <a:pt x="9040" y="0"/>
                              </a:lnTo>
                              <a:lnTo>
                                <a:pt x="9040" y="10"/>
                              </a:lnTo>
                              <a:lnTo>
                                <a:pt x="9050" y="10"/>
                              </a:lnTo>
                              <a:lnTo>
                                <a:pt x="905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46EDD16" id="Freeform 12" o:spid="_x0000_s1026" style="position:absolute;margin-left:1in;margin-top:4.8pt;width:452.5pt;height:548.4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50,1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" path="m10,10l,10,,10531r10,l10,10xm9040,10531r-9030,l,10531r,9l10,10540r9030,l9040,10531xm9040,l10,,,,,10r10,l9040,10r,-10xm9050,10531r-10,l9040,10540r10,l9050,10531xm9050,10r-10,l9040,10531r10,l9050,10xm9050,r-10,l9040,10r10,l9050,xe" fillcolor="black" stroked="f">
                <v:path arrowok="t" o:connecttype="custom" o:connectlocs="6350,-122257;0,-122257;0,6830530;6350,6830530;6350,-122257;5740400,6830530;6350,6830530;0,6830530;0,6836478;6350,6836478;5740400,6836478;5740400,6830530;5740400,-128865;6350,-128865;0,-128865;0,-122257;6350,-122257;5740400,-122257;5740400,-128865;5746750,6830530;5740400,6830530;5740400,6836478;5746750,6836478;5746750,6830530;5746750,-122257;5740400,-122257;5740400,6830530;5746750,6830530;5746750,-122257;5746750,-128865;5740400,-128865;5740400,-122257;5746750,-122257;5746750,-128865" o:connectangles="0,0,0,0,0,0,0,0,0,0,0,0,0,0,0,0,0,0,0,0,0,0,0,0,0,0,0,0,0,0,0,0,0,0"/>
                <w10:wrap anchorx="page"/>
              </v:shape>
            </w:pict>
          </mc:Fallback>
        </mc:AlternateContent>
      </w:r>
    </w:p>
    <w:p w14:paraId="0EC339A2" w14:textId="77777777" w:rsidR="00D2333E" w:rsidRPr="00030750" w:rsidRDefault="00D2333E" w:rsidP="00030750">
      <w:pPr>
        <w:spacing w:before="59"/>
        <w:ind w:left="291" w:right="-64"/>
        <w:jc w:val="center"/>
        <w:rPr>
          <w:rFonts w:ascii="Arial" w:hAnsi="Arial" w:cs="Arial"/>
          <w:b/>
          <w:sz w:val="18"/>
        </w:rPr>
      </w:pPr>
      <w:r w:rsidRPr="00030750">
        <w:rPr>
          <w:rFonts w:ascii="Arial" w:hAnsi="Arial" w:cs="Arial"/>
          <w:b/>
          <w:sz w:val="18"/>
        </w:rPr>
        <w:t>AIRWORTHINESS</w:t>
      </w:r>
      <w:r w:rsidRPr="00030750">
        <w:rPr>
          <w:rFonts w:ascii="Arial" w:hAnsi="Arial" w:cs="Arial"/>
          <w:b/>
          <w:spacing w:val="-4"/>
          <w:sz w:val="18"/>
        </w:rPr>
        <w:t xml:space="preserve"> </w:t>
      </w:r>
      <w:r w:rsidRPr="00030750">
        <w:rPr>
          <w:rFonts w:ascii="Arial" w:hAnsi="Arial" w:cs="Arial"/>
          <w:b/>
          <w:sz w:val="18"/>
        </w:rPr>
        <w:t>REVIEW</w:t>
      </w:r>
      <w:r w:rsidRPr="00030750">
        <w:rPr>
          <w:rFonts w:ascii="Arial" w:hAnsi="Arial" w:cs="Arial"/>
          <w:b/>
          <w:spacing w:val="-3"/>
          <w:sz w:val="18"/>
        </w:rPr>
        <w:t xml:space="preserve"> </w:t>
      </w:r>
      <w:r w:rsidRPr="00030750">
        <w:rPr>
          <w:rFonts w:ascii="Arial" w:hAnsi="Arial" w:cs="Arial"/>
          <w:b/>
          <w:sz w:val="18"/>
        </w:rPr>
        <w:t>CERTIFICATE</w:t>
      </w:r>
      <w:r w:rsidRPr="00030750">
        <w:rPr>
          <w:rFonts w:ascii="Arial" w:hAnsi="Arial" w:cs="Arial"/>
          <w:b/>
          <w:spacing w:val="-4"/>
          <w:sz w:val="18"/>
        </w:rPr>
        <w:t xml:space="preserve"> </w:t>
      </w:r>
      <w:r w:rsidRPr="00030750">
        <w:rPr>
          <w:rFonts w:ascii="Arial" w:hAnsi="Arial" w:cs="Arial"/>
          <w:b/>
          <w:sz w:val="18"/>
        </w:rPr>
        <w:t>(ARC)</w:t>
      </w:r>
      <w:r w:rsidRPr="00030750">
        <w:rPr>
          <w:rFonts w:ascii="Arial" w:hAnsi="Arial" w:cs="Arial"/>
          <w:b/>
          <w:spacing w:val="-2"/>
          <w:sz w:val="18"/>
        </w:rPr>
        <w:t xml:space="preserve"> </w:t>
      </w:r>
      <w:r w:rsidRPr="00030750">
        <w:rPr>
          <w:rFonts w:ascii="Arial" w:hAnsi="Arial" w:cs="Arial"/>
          <w:b/>
          <w:sz w:val="18"/>
        </w:rPr>
        <w:t>(for</w:t>
      </w:r>
      <w:r w:rsidRPr="00030750">
        <w:rPr>
          <w:rFonts w:ascii="Arial" w:hAnsi="Arial" w:cs="Arial"/>
          <w:b/>
          <w:spacing w:val="-1"/>
          <w:sz w:val="18"/>
        </w:rPr>
        <w:t xml:space="preserve"> </w:t>
      </w:r>
      <w:r w:rsidRPr="00030750">
        <w:rPr>
          <w:rFonts w:ascii="Arial" w:hAnsi="Arial" w:cs="Arial"/>
          <w:b/>
          <w:sz w:val="18"/>
        </w:rPr>
        <w:t>aircraft</w:t>
      </w:r>
      <w:r w:rsidRPr="00030750">
        <w:rPr>
          <w:rFonts w:ascii="Arial" w:hAnsi="Arial" w:cs="Arial"/>
          <w:b/>
          <w:spacing w:val="-4"/>
          <w:sz w:val="18"/>
        </w:rPr>
        <w:t xml:space="preserve"> </w:t>
      </w:r>
      <w:r w:rsidRPr="00030750">
        <w:rPr>
          <w:rFonts w:ascii="Arial" w:hAnsi="Arial" w:cs="Arial"/>
          <w:b/>
          <w:sz w:val="18"/>
        </w:rPr>
        <w:t>complying</w:t>
      </w:r>
      <w:r w:rsidRPr="00030750">
        <w:rPr>
          <w:rFonts w:ascii="Arial" w:hAnsi="Arial" w:cs="Arial"/>
          <w:b/>
          <w:spacing w:val="-4"/>
          <w:sz w:val="18"/>
        </w:rPr>
        <w:t xml:space="preserve"> </w:t>
      </w:r>
      <w:r w:rsidRPr="00030750">
        <w:rPr>
          <w:rFonts w:ascii="Arial" w:hAnsi="Arial" w:cs="Arial"/>
          <w:b/>
          <w:sz w:val="18"/>
        </w:rPr>
        <w:t>with</w:t>
      </w:r>
      <w:r w:rsidRPr="00030750">
        <w:rPr>
          <w:rFonts w:ascii="Arial" w:hAnsi="Arial" w:cs="Arial"/>
          <w:b/>
          <w:spacing w:val="-1"/>
          <w:sz w:val="18"/>
        </w:rPr>
        <w:t xml:space="preserve"> </w:t>
      </w:r>
      <w:r w:rsidRPr="00030750">
        <w:rPr>
          <w:rFonts w:ascii="Arial" w:hAnsi="Arial" w:cs="Arial"/>
          <w:b/>
          <w:sz w:val="18"/>
        </w:rPr>
        <w:t>Annex</w:t>
      </w:r>
      <w:r w:rsidRPr="00030750">
        <w:rPr>
          <w:rFonts w:ascii="Arial" w:hAnsi="Arial" w:cs="Arial"/>
          <w:b/>
          <w:spacing w:val="-3"/>
          <w:sz w:val="18"/>
        </w:rPr>
        <w:t xml:space="preserve"> </w:t>
      </w:r>
      <w:r w:rsidRPr="00030750">
        <w:rPr>
          <w:rFonts w:ascii="Arial" w:hAnsi="Arial" w:cs="Arial"/>
          <w:b/>
          <w:sz w:val="18"/>
        </w:rPr>
        <w:t>Vb</w:t>
      </w:r>
      <w:r w:rsidRPr="00030750">
        <w:rPr>
          <w:rFonts w:ascii="Arial" w:hAnsi="Arial" w:cs="Arial"/>
          <w:b/>
          <w:spacing w:val="-2"/>
          <w:sz w:val="18"/>
        </w:rPr>
        <w:t xml:space="preserve"> </w:t>
      </w:r>
      <w:r w:rsidRPr="00030750">
        <w:rPr>
          <w:rFonts w:ascii="Arial" w:hAnsi="Arial" w:cs="Arial"/>
          <w:b/>
          <w:sz w:val="18"/>
        </w:rPr>
        <w:t>(Part-ML)</w:t>
      </w:r>
    </w:p>
    <w:p w14:paraId="7286AEE1" w14:textId="77777777" w:rsidR="00D2333E" w:rsidRPr="00030750" w:rsidRDefault="00D2333E" w:rsidP="00030750">
      <w:pPr>
        <w:spacing w:before="121"/>
        <w:ind w:left="882" w:right="-64"/>
        <w:jc w:val="center"/>
        <w:rPr>
          <w:rFonts w:ascii="Arial" w:hAnsi="Arial" w:cs="Arial"/>
          <w:sz w:val="18"/>
        </w:rPr>
      </w:pPr>
      <w:r w:rsidRPr="00030750">
        <w:rPr>
          <w:rFonts w:ascii="Arial" w:hAnsi="Arial" w:cs="Arial"/>
          <w:sz w:val="18"/>
        </w:rPr>
        <w:t>ARC</w:t>
      </w:r>
      <w:r w:rsidRPr="00030750">
        <w:rPr>
          <w:rFonts w:ascii="Arial" w:hAnsi="Arial" w:cs="Arial"/>
          <w:spacing w:val="-4"/>
          <w:sz w:val="18"/>
        </w:rPr>
        <w:t xml:space="preserve"> </w:t>
      </w:r>
      <w:r w:rsidRPr="00030750">
        <w:rPr>
          <w:rFonts w:ascii="Arial" w:hAnsi="Arial" w:cs="Arial"/>
          <w:sz w:val="18"/>
        </w:rPr>
        <w:t>reference:</w:t>
      </w:r>
      <w:r w:rsidRPr="00030750">
        <w:rPr>
          <w:rFonts w:ascii="Arial" w:hAnsi="Arial" w:cs="Arial"/>
          <w:spacing w:val="-2"/>
          <w:sz w:val="18"/>
        </w:rPr>
        <w:t xml:space="preserve"> </w:t>
      </w:r>
      <w:r w:rsidRPr="00030750">
        <w:rPr>
          <w:rFonts w:ascii="Arial" w:hAnsi="Arial" w:cs="Arial"/>
          <w:sz w:val="18"/>
        </w:rPr>
        <w:t>………..</w:t>
      </w:r>
    </w:p>
    <w:p w14:paraId="33EFD2F8" w14:textId="0B2659CE" w:rsidR="00D2333E" w:rsidRPr="00030750" w:rsidRDefault="00D2333E" w:rsidP="00030750">
      <w:pPr>
        <w:spacing w:before="121"/>
        <w:ind w:left="882" w:right="-64"/>
        <w:jc w:val="center"/>
        <w:rPr>
          <w:rFonts w:ascii="Arial" w:hAnsi="Arial" w:cs="Arial"/>
          <w:sz w:val="18"/>
        </w:rPr>
      </w:pPr>
      <w:r w:rsidRPr="00030750">
        <w:rPr>
          <w:rFonts w:ascii="Arial" w:hAnsi="Arial" w:cs="Arial"/>
          <w:sz w:val="18"/>
        </w:rPr>
        <w:t>Pursuant</w:t>
      </w:r>
      <w:r w:rsidRPr="00030750">
        <w:rPr>
          <w:rFonts w:ascii="Arial" w:hAnsi="Arial" w:cs="Arial"/>
          <w:spacing w:val="-3"/>
          <w:sz w:val="18"/>
        </w:rPr>
        <w:t xml:space="preserve"> </w:t>
      </w:r>
      <w:r w:rsidRPr="00030750">
        <w:rPr>
          <w:rFonts w:ascii="Arial" w:hAnsi="Arial" w:cs="Arial"/>
          <w:sz w:val="18"/>
        </w:rPr>
        <w:t>to</w:t>
      </w:r>
      <w:r w:rsidRPr="00030750">
        <w:rPr>
          <w:rFonts w:ascii="Arial" w:hAnsi="Arial" w:cs="Arial"/>
          <w:spacing w:val="-2"/>
          <w:sz w:val="18"/>
        </w:rPr>
        <w:t xml:space="preserve"> </w:t>
      </w:r>
      <w:hyperlink r:id="rId140" w:history="1">
        <w:r w:rsidR="005C2A3C" w:rsidRPr="005C2A3C">
          <w:rPr>
            <w:rStyle w:val="Hyperlink"/>
            <w:rFonts w:ascii="Arial" w:hAnsi="Arial" w:cs="Arial"/>
            <w:sz w:val="18"/>
            <w:szCs w:val="18"/>
          </w:rPr>
          <w:t>Law on Aviation of the Republic of Armenia</w:t>
        </w:r>
      </w:hyperlink>
      <w:r w:rsidRPr="005C2A3C">
        <w:rPr>
          <w:rFonts w:ascii="Arial" w:hAnsi="Arial" w:cs="Arial"/>
          <w:sz w:val="18"/>
          <w:szCs w:val="18"/>
        </w:rPr>
        <w:t>:</w:t>
      </w:r>
    </w:p>
    <w:p w14:paraId="127D36DC" w14:textId="77777777" w:rsidR="00D2333E" w:rsidRPr="00030750" w:rsidRDefault="00D2333E" w:rsidP="00030750">
      <w:pPr>
        <w:spacing w:before="8"/>
        <w:ind w:right="-64"/>
        <w:jc w:val="center"/>
        <w:rPr>
          <w:rFonts w:ascii="Arial" w:hAnsi="Arial" w:cs="Arial"/>
          <w:sz w:val="28"/>
        </w:rPr>
      </w:pPr>
    </w:p>
    <w:p w14:paraId="68AE4354" w14:textId="77777777" w:rsidR="00D2333E" w:rsidRPr="00030750" w:rsidRDefault="00D2333E" w:rsidP="00030750">
      <w:pPr>
        <w:spacing w:before="1"/>
        <w:ind w:left="882" w:right="-64"/>
        <w:jc w:val="center"/>
        <w:rPr>
          <w:rFonts w:ascii="Arial" w:hAnsi="Arial" w:cs="Arial"/>
          <w:sz w:val="18"/>
        </w:rPr>
      </w:pPr>
      <w:r w:rsidRPr="00030750">
        <w:rPr>
          <w:rFonts w:ascii="Arial" w:hAnsi="Arial" w:cs="Arial"/>
          <w:sz w:val="18"/>
        </w:rPr>
        <w:t>[NAME</w:t>
      </w:r>
      <w:r w:rsidRPr="00030750">
        <w:rPr>
          <w:rFonts w:ascii="Arial" w:hAnsi="Arial" w:cs="Arial"/>
          <w:spacing w:val="-3"/>
          <w:sz w:val="18"/>
        </w:rPr>
        <w:t xml:space="preserve"> </w:t>
      </w:r>
      <w:r w:rsidRPr="00030750">
        <w:rPr>
          <w:rFonts w:ascii="Arial" w:hAnsi="Arial" w:cs="Arial"/>
          <w:sz w:val="18"/>
        </w:rPr>
        <w:t>OF</w:t>
      </w:r>
      <w:r w:rsidRPr="00030750">
        <w:rPr>
          <w:rFonts w:ascii="Arial" w:hAnsi="Arial" w:cs="Arial"/>
          <w:spacing w:val="-4"/>
          <w:sz w:val="18"/>
        </w:rPr>
        <w:t xml:space="preserve"> </w:t>
      </w:r>
      <w:r w:rsidRPr="00030750">
        <w:rPr>
          <w:rFonts w:ascii="Arial" w:hAnsi="Arial" w:cs="Arial"/>
          <w:sz w:val="18"/>
        </w:rPr>
        <w:t>THE</w:t>
      </w:r>
      <w:r w:rsidRPr="00030750">
        <w:rPr>
          <w:rFonts w:ascii="Arial" w:hAnsi="Arial" w:cs="Arial"/>
          <w:spacing w:val="-3"/>
          <w:sz w:val="18"/>
        </w:rPr>
        <w:t xml:space="preserve"> </w:t>
      </w:r>
      <w:r w:rsidRPr="00030750">
        <w:rPr>
          <w:rFonts w:ascii="Arial" w:hAnsi="Arial" w:cs="Arial"/>
          <w:sz w:val="18"/>
        </w:rPr>
        <w:t>COMPETENT</w:t>
      </w:r>
      <w:r w:rsidRPr="00030750">
        <w:rPr>
          <w:rFonts w:ascii="Arial" w:hAnsi="Arial" w:cs="Arial"/>
          <w:spacing w:val="-4"/>
          <w:sz w:val="18"/>
        </w:rPr>
        <w:t xml:space="preserve"> </w:t>
      </w:r>
      <w:r w:rsidRPr="00030750">
        <w:rPr>
          <w:rFonts w:ascii="Arial" w:hAnsi="Arial" w:cs="Arial"/>
          <w:sz w:val="18"/>
        </w:rPr>
        <w:t>AUTHORITY]</w:t>
      </w:r>
    </w:p>
    <w:p w14:paraId="0059CA35" w14:textId="77777777" w:rsidR="00D2333E" w:rsidRPr="00030750" w:rsidRDefault="00D2333E" w:rsidP="00030750">
      <w:pPr>
        <w:spacing w:before="99"/>
        <w:ind w:left="882" w:right="-64"/>
        <w:jc w:val="center"/>
        <w:rPr>
          <w:rFonts w:ascii="Arial" w:hAnsi="Arial" w:cs="Arial"/>
          <w:sz w:val="18"/>
        </w:rPr>
      </w:pPr>
      <w:r w:rsidRPr="00030750">
        <w:rPr>
          <w:rFonts w:ascii="Arial" w:hAnsi="Arial" w:cs="Arial"/>
          <w:sz w:val="18"/>
        </w:rPr>
        <w:t>or</w:t>
      </w:r>
    </w:p>
    <w:p w14:paraId="0FAEFAD2" w14:textId="77777777" w:rsidR="00D2333E" w:rsidRPr="00030750" w:rsidRDefault="00D2333E" w:rsidP="00030750">
      <w:pPr>
        <w:spacing w:before="102"/>
        <w:ind w:left="882" w:right="-64"/>
        <w:jc w:val="center"/>
        <w:rPr>
          <w:rFonts w:ascii="Arial" w:hAnsi="Arial" w:cs="Arial"/>
          <w:sz w:val="18"/>
        </w:rPr>
      </w:pPr>
      <w:r w:rsidRPr="00030750">
        <w:rPr>
          <w:rFonts w:ascii="Arial" w:hAnsi="Arial" w:cs="Arial"/>
          <w:sz w:val="18"/>
        </w:rPr>
        <w:t>[NAME</w:t>
      </w:r>
      <w:r w:rsidRPr="00030750">
        <w:rPr>
          <w:rFonts w:ascii="Arial" w:hAnsi="Arial" w:cs="Arial"/>
          <w:spacing w:val="-3"/>
          <w:sz w:val="18"/>
        </w:rPr>
        <w:t xml:space="preserve"> </w:t>
      </w:r>
      <w:r w:rsidRPr="00030750">
        <w:rPr>
          <w:rFonts w:ascii="Arial" w:hAnsi="Arial" w:cs="Arial"/>
          <w:sz w:val="18"/>
        </w:rPr>
        <w:t>OF</w:t>
      </w:r>
      <w:r w:rsidRPr="00030750">
        <w:rPr>
          <w:rFonts w:ascii="Arial" w:hAnsi="Arial" w:cs="Arial"/>
          <w:spacing w:val="-4"/>
          <w:sz w:val="18"/>
        </w:rPr>
        <w:t xml:space="preserve"> </w:t>
      </w:r>
      <w:r w:rsidRPr="00030750">
        <w:rPr>
          <w:rFonts w:ascii="Arial" w:hAnsi="Arial" w:cs="Arial"/>
          <w:sz w:val="18"/>
        </w:rPr>
        <w:t>APPROVED</w:t>
      </w:r>
      <w:r w:rsidRPr="00030750">
        <w:rPr>
          <w:rFonts w:ascii="Arial" w:hAnsi="Arial" w:cs="Arial"/>
          <w:spacing w:val="-2"/>
          <w:sz w:val="18"/>
        </w:rPr>
        <w:t xml:space="preserve"> </w:t>
      </w:r>
      <w:r w:rsidRPr="00030750">
        <w:rPr>
          <w:rFonts w:ascii="Arial" w:hAnsi="Arial" w:cs="Arial"/>
          <w:sz w:val="18"/>
        </w:rPr>
        <w:t>ORGANISATION,</w:t>
      </w:r>
      <w:r w:rsidRPr="00030750">
        <w:rPr>
          <w:rFonts w:ascii="Arial" w:hAnsi="Arial" w:cs="Arial"/>
          <w:spacing w:val="-3"/>
          <w:sz w:val="18"/>
        </w:rPr>
        <w:t xml:space="preserve"> </w:t>
      </w:r>
      <w:r w:rsidRPr="00030750">
        <w:rPr>
          <w:rFonts w:ascii="Arial" w:hAnsi="Arial" w:cs="Arial"/>
          <w:sz w:val="18"/>
        </w:rPr>
        <w:t>ADDRESS</w:t>
      </w:r>
      <w:r w:rsidRPr="00030750">
        <w:rPr>
          <w:rFonts w:ascii="Arial" w:hAnsi="Arial" w:cs="Arial"/>
          <w:spacing w:val="-4"/>
          <w:sz w:val="18"/>
        </w:rPr>
        <w:t xml:space="preserve"> </w:t>
      </w:r>
      <w:r w:rsidRPr="00030750">
        <w:rPr>
          <w:rFonts w:ascii="Arial" w:hAnsi="Arial" w:cs="Arial"/>
          <w:sz w:val="18"/>
        </w:rPr>
        <w:t>and</w:t>
      </w:r>
      <w:r w:rsidRPr="00030750">
        <w:rPr>
          <w:rFonts w:ascii="Arial" w:hAnsi="Arial" w:cs="Arial"/>
          <w:spacing w:val="-2"/>
          <w:sz w:val="18"/>
        </w:rPr>
        <w:t xml:space="preserve"> </w:t>
      </w:r>
      <w:r w:rsidRPr="00030750">
        <w:rPr>
          <w:rFonts w:ascii="Arial" w:hAnsi="Arial" w:cs="Arial"/>
          <w:sz w:val="18"/>
        </w:rPr>
        <w:t>APPROVAL</w:t>
      </w:r>
      <w:r w:rsidRPr="00030750">
        <w:rPr>
          <w:rFonts w:ascii="Arial" w:hAnsi="Arial" w:cs="Arial"/>
          <w:spacing w:val="-3"/>
          <w:sz w:val="18"/>
        </w:rPr>
        <w:t xml:space="preserve"> </w:t>
      </w:r>
      <w:r w:rsidRPr="00030750">
        <w:rPr>
          <w:rFonts w:ascii="Arial" w:hAnsi="Arial" w:cs="Arial"/>
          <w:sz w:val="18"/>
        </w:rPr>
        <w:t>REFERENCE]</w:t>
      </w:r>
    </w:p>
    <w:p w14:paraId="46D8FA2B" w14:textId="77777777" w:rsidR="00D2333E" w:rsidRPr="00030750" w:rsidRDefault="00D2333E" w:rsidP="00030750">
      <w:pPr>
        <w:spacing w:before="99"/>
        <w:ind w:left="882" w:right="-64"/>
        <w:jc w:val="center"/>
        <w:rPr>
          <w:rFonts w:ascii="Arial" w:hAnsi="Arial" w:cs="Arial"/>
          <w:sz w:val="18"/>
        </w:rPr>
      </w:pPr>
      <w:r w:rsidRPr="00030750">
        <w:rPr>
          <w:rFonts w:ascii="Arial" w:hAnsi="Arial" w:cs="Arial"/>
          <w:sz w:val="18"/>
        </w:rPr>
        <w:t>or</w:t>
      </w:r>
    </w:p>
    <w:p w14:paraId="0D022E74" w14:textId="77777777" w:rsidR="00D2333E" w:rsidRPr="00030750" w:rsidRDefault="00D2333E" w:rsidP="00030750">
      <w:pPr>
        <w:spacing w:before="101"/>
        <w:ind w:left="296" w:right="-64"/>
        <w:jc w:val="center"/>
        <w:rPr>
          <w:rFonts w:ascii="Arial" w:hAnsi="Arial" w:cs="Arial"/>
          <w:sz w:val="18"/>
        </w:rPr>
      </w:pPr>
      <w:r w:rsidRPr="00030750">
        <w:rPr>
          <w:rFonts w:ascii="Arial" w:hAnsi="Arial" w:cs="Arial"/>
          <w:sz w:val="18"/>
        </w:rPr>
        <w:t>[FULL</w:t>
      </w:r>
      <w:r w:rsidRPr="00030750">
        <w:rPr>
          <w:rFonts w:ascii="Arial" w:hAnsi="Arial" w:cs="Arial"/>
          <w:spacing w:val="-3"/>
          <w:sz w:val="18"/>
        </w:rPr>
        <w:t xml:space="preserve"> </w:t>
      </w:r>
      <w:r w:rsidRPr="00030750">
        <w:rPr>
          <w:rFonts w:ascii="Arial" w:hAnsi="Arial" w:cs="Arial"/>
          <w:sz w:val="18"/>
        </w:rPr>
        <w:t>NAME</w:t>
      </w:r>
      <w:r w:rsidRPr="00030750">
        <w:rPr>
          <w:rFonts w:ascii="Arial" w:hAnsi="Arial" w:cs="Arial"/>
          <w:spacing w:val="-2"/>
          <w:sz w:val="18"/>
        </w:rPr>
        <w:t xml:space="preserve"> </w:t>
      </w:r>
      <w:r w:rsidRPr="00030750">
        <w:rPr>
          <w:rFonts w:ascii="Arial" w:hAnsi="Arial" w:cs="Arial"/>
          <w:sz w:val="18"/>
        </w:rPr>
        <w:t>OF</w:t>
      </w:r>
      <w:r w:rsidRPr="00030750">
        <w:rPr>
          <w:rFonts w:ascii="Arial" w:hAnsi="Arial" w:cs="Arial"/>
          <w:spacing w:val="-3"/>
          <w:sz w:val="18"/>
        </w:rPr>
        <w:t xml:space="preserve"> </w:t>
      </w:r>
      <w:r w:rsidRPr="00030750">
        <w:rPr>
          <w:rFonts w:ascii="Arial" w:hAnsi="Arial" w:cs="Arial"/>
          <w:sz w:val="18"/>
        </w:rPr>
        <w:t>THE</w:t>
      </w:r>
      <w:r w:rsidRPr="00030750">
        <w:rPr>
          <w:rFonts w:ascii="Arial" w:hAnsi="Arial" w:cs="Arial"/>
          <w:spacing w:val="-2"/>
          <w:sz w:val="18"/>
        </w:rPr>
        <w:t xml:space="preserve"> </w:t>
      </w:r>
      <w:r w:rsidRPr="00030750">
        <w:rPr>
          <w:rFonts w:ascii="Arial" w:hAnsi="Arial" w:cs="Arial"/>
          <w:sz w:val="18"/>
        </w:rPr>
        <w:t>CERTIFYING</w:t>
      </w:r>
      <w:r w:rsidRPr="00030750">
        <w:rPr>
          <w:rFonts w:ascii="Arial" w:hAnsi="Arial" w:cs="Arial"/>
          <w:spacing w:val="-3"/>
          <w:sz w:val="18"/>
        </w:rPr>
        <w:t xml:space="preserve"> </w:t>
      </w:r>
      <w:r w:rsidRPr="00030750">
        <w:rPr>
          <w:rFonts w:ascii="Arial" w:hAnsi="Arial" w:cs="Arial"/>
          <w:sz w:val="18"/>
        </w:rPr>
        <w:t>STAFF</w:t>
      </w:r>
      <w:r w:rsidRPr="00030750">
        <w:rPr>
          <w:rFonts w:ascii="Arial" w:hAnsi="Arial" w:cs="Arial"/>
          <w:spacing w:val="-3"/>
          <w:sz w:val="18"/>
        </w:rPr>
        <w:t xml:space="preserve"> </w:t>
      </w:r>
      <w:r w:rsidRPr="00030750">
        <w:rPr>
          <w:rFonts w:ascii="Arial" w:hAnsi="Arial" w:cs="Arial"/>
          <w:sz w:val="18"/>
        </w:rPr>
        <w:t>AND</w:t>
      </w:r>
      <w:r w:rsidRPr="00030750">
        <w:rPr>
          <w:rFonts w:ascii="Arial" w:hAnsi="Arial" w:cs="Arial"/>
          <w:spacing w:val="-3"/>
          <w:sz w:val="18"/>
        </w:rPr>
        <w:t xml:space="preserve"> </w:t>
      </w:r>
      <w:r w:rsidRPr="00030750">
        <w:rPr>
          <w:rFonts w:ascii="Arial" w:hAnsi="Arial" w:cs="Arial"/>
          <w:sz w:val="18"/>
        </w:rPr>
        <w:t>PART-66</w:t>
      </w:r>
      <w:r w:rsidRPr="00030750">
        <w:rPr>
          <w:rFonts w:ascii="Arial" w:hAnsi="Arial" w:cs="Arial"/>
          <w:spacing w:val="-3"/>
          <w:sz w:val="18"/>
        </w:rPr>
        <w:t xml:space="preserve"> </w:t>
      </w:r>
      <w:r w:rsidRPr="00030750">
        <w:rPr>
          <w:rFonts w:ascii="Arial" w:hAnsi="Arial" w:cs="Arial"/>
          <w:sz w:val="18"/>
        </w:rPr>
        <w:t>LICENCE</w:t>
      </w:r>
      <w:r w:rsidRPr="00030750">
        <w:rPr>
          <w:rFonts w:ascii="Arial" w:hAnsi="Arial" w:cs="Arial"/>
          <w:spacing w:val="-2"/>
          <w:sz w:val="18"/>
        </w:rPr>
        <w:t xml:space="preserve"> </w:t>
      </w:r>
      <w:r w:rsidRPr="00030750">
        <w:rPr>
          <w:rFonts w:ascii="Arial" w:hAnsi="Arial" w:cs="Arial"/>
          <w:sz w:val="18"/>
        </w:rPr>
        <w:t>NUMBER</w:t>
      </w:r>
      <w:r w:rsidRPr="00030750">
        <w:rPr>
          <w:rFonts w:ascii="Arial" w:hAnsi="Arial" w:cs="Arial"/>
          <w:spacing w:val="-3"/>
          <w:sz w:val="18"/>
        </w:rPr>
        <w:t xml:space="preserve"> </w:t>
      </w:r>
      <w:r w:rsidRPr="00030750">
        <w:rPr>
          <w:rFonts w:ascii="Arial" w:hAnsi="Arial" w:cs="Arial"/>
          <w:sz w:val="18"/>
        </w:rPr>
        <w:t>(OR</w:t>
      </w:r>
      <w:r w:rsidRPr="00030750">
        <w:rPr>
          <w:rFonts w:ascii="Arial" w:hAnsi="Arial" w:cs="Arial"/>
          <w:spacing w:val="-2"/>
          <w:sz w:val="18"/>
        </w:rPr>
        <w:t xml:space="preserve"> </w:t>
      </w:r>
      <w:r w:rsidRPr="00030750">
        <w:rPr>
          <w:rFonts w:ascii="Arial" w:hAnsi="Arial" w:cs="Arial"/>
          <w:sz w:val="18"/>
        </w:rPr>
        <w:t>NATIONAL</w:t>
      </w:r>
      <w:r w:rsidRPr="00030750">
        <w:rPr>
          <w:rFonts w:ascii="Arial" w:hAnsi="Arial" w:cs="Arial"/>
          <w:spacing w:val="-2"/>
          <w:sz w:val="18"/>
        </w:rPr>
        <w:t xml:space="preserve"> </w:t>
      </w:r>
      <w:r w:rsidRPr="00030750">
        <w:rPr>
          <w:rFonts w:ascii="Arial" w:hAnsi="Arial" w:cs="Arial"/>
          <w:sz w:val="18"/>
        </w:rPr>
        <w:t>EQUIVALENT)]</w:t>
      </w:r>
    </w:p>
    <w:p w14:paraId="27BCD43C" w14:textId="77777777" w:rsidR="00D2333E" w:rsidRPr="00030750" w:rsidRDefault="00D2333E" w:rsidP="00030750">
      <w:pPr>
        <w:spacing w:before="101"/>
        <w:ind w:left="296" w:right="-64"/>
        <w:jc w:val="center"/>
        <w:rPr>
          <w:rFonts w:ascii="Arial" w:hAnsi="Arial" w:cs="Arial"/>
          <w:sz w:val="18"/>
        </w:rPr>
      </w:pPr>
    </w:p>
    <w:p w14:paraId="1226CF33" w14:textId="77777777" w:rsidR="00D2333E" w:rsidRPr="00030750" w:rsidRDefault="00D2333E" w:rsidP="00030750">
      <w:pPr>
        <w:spacing w:before="2"/>
        <w:ind w:right="-64"/>
        <w:rPr>
          <w:rFonts w:ascii="Arial" w:hAnsi="Arial" w:cs="Arial"/>
          <w:sz w:val="24"/>
        </w:rPr>
      </w:pPr>
    </w:p>
    <w:p w14:paraId="75E7A35A" w14:textId="56556833" w:rsidR="00D2333E" w:rsidRPr="00030750" w:rsidRDefault="00D2333E" w:rsidP="00805C12">
      <w:pPr>
        <w:spacing w:line="276" w:lineRule="auto"/>
        <w:ind w:left="253" w:right="44"/>
        <w:rPr>
          <w:rFonts w:ascii="Arial" w:hAnsi="Arial" w:cs="Arial"/>
          <w:sz w:val="18"/>
        </w:rPr>
      </w:pPr>
      <w:r w:rsidRPr="00030750">
        <w:rPr>
          <w:rFonts w:ascii="Arial" w:hAnsi="Arial" w:cs="Arial"/>
          <w:sz w:val="18"/>
        </w:rPr>
        <w:t>hereby</w:t>
      </w:r>
      <w:r w:rsidRPr="00030750">
        <w:rPr>
          <w:rFonts w:ascii="Arial" w:hAnsi="Arial" w:cs="Arial"/>
          <w:spacing w:val="23"/>
          <w:sz w:val="18"/>
        </w:rPr>
        <w:t xml:space="preserve"> </w:t>
      </w:r>
      <w:r w:rsidRPr="00030750">
        <w:rPr>
          <w:rFonts w:ascii="Arial" w:hAnsi="Arial" w:cs="Arial"/>
          <w:sz w:val="18"/>
        </w:rPr>
        <w:t>certifies</w:t>
      </w:r>
      <w:r w:rsidRPr="00030750">
        <w:rPr>
          <w:rFonts w:ascii="Arial" w:hAnsi="Arial" w:cs="Arial"/>
          <w:spacing w:val="21"/>
          <w:sz w:val="18"/>
        </w:rPr>
        <w:t xml:space="preserve"> </w:t>
      </w:r>
      <w:r w:rsidRPr="00030750">
        <w:rPr>
          <w:rFonts w:ascii="Arial" w:hAnsi="Arial" w:cs="Arial"/>
          <w:sz w:val="18"/>
        </w:rPr>
        <w:t>that</w:t>
      </w:r>
      <w:r w:rsidRPr="00030750">
        <w:rPr>
          <w:rFonts w:ascii="Arial" w:hAnsi="Arial" w:cs="Arial"/>
          <w:spacing w:val="23"/>
          <w:sz w:val="18"/>
        </w:rPr>
        <w:t xml:space="preserve"> </w:t>
      </w:r>
      <w:r w:rsidRPr="00030750">
        <w:rPr>
          <w:rFonts w:ascii="Arial" w:hAnsi="Arial" w:cs="Arial"/>
          <w:sz w:val="18"/>
        </w:rPr>
        <w:t>it</w:t>
      </w:r>
      <w:r w:rsidRPr="00030750">
        <w:rPr>
          <w:rFonts w:ascii="Arial" w:hAnsi="Arial" w:cs="Arial"/>
          <w:spacing w:val="22"/>
          <w:sz w:val="18"/>
        </w:rPr>
        <w:t xml:space="preserve"> </w:t>
      </w:r>
      <w:r w:rsidRPr="00030750">
        <w:rPr>
          <w:rFonts w:ascii="Arial" w:hAnsi="Arial" w:cs="Arial"/>
          <w:sz w:val="18"/>
        </w:rPr>
        <w:t>has</w:t>
      </w:r>
      <w:r w:rsidRPr="00030750">
        <w:rPr>
          <w:rFonts w:ascii="Arial" w:hAnsi="Arial" w:cs="Arial"/>
          <w:spacing w:val="63"/>
          <w:sz w:val="18"/>
        </w:rPr>
        <w:t xml:space="preserve"> </w:t>
      </w:r>
      <w:r w:rsidRPr="00030750">
        <w:rPr>
          <w:rFonts w:ascii="Arial" w:hAnsi="Arial" w:cs="Arial"/>
          <w:sz w:val="18"/>
        </w:rPr>
        <w:t>performed</w:t>
      </w:r>
      <w:r w:rsidRPr="00030750">
        <w:rPr>
          <w:rFonts w:ascii="Arial" w:hAnsi="Arial" w:cs="Arial"/>
          <w:spacing w:val="68"/>
          <w:sz w:val="18"/>
        </w:rPr>
        <w:t xml:space="preserve"> </w:t>
      </w:r>
      <w:r w:rsidRPr="00030750">
        <w:rPr>
          <w:rFonts w:ascii="Arial" w:hAnsi="Arial" w:cs="Arial"/>
          <w:sz w:val="18"/>
        </w:rPr>
        <w:t>an</w:t>
      </w:r>
      <w:r w:rsidRPr="00030750">
        <w:rPr>
          <w:rFonts w:ascii="Arial" w:hAnsi="Arial" w:cs="Arial"/>
          <w:spacing w:val="67"/>
          <w:sz w:val="18"/>
        </w:rPr>
        <w:t xml:space="preserve"> </w:t>
      </w:r>
      <w:r w:rsidRPr="00030750">
        <w:rPr>
          <w:rFonts w:ascii="Arial" w:hAnsi="Arial" w:cs="Arial"/>
          <w:sz w:val="18"/>
        </w:rPr>
        <w:t>airworthiness</w:t>
      </w:r>
      <w:r w:rsidRPr="00030750">
        <w:rPr>
          <w:rFonts w:ascii="Arial" w:hAnsi="Arial" w:cs="Arial"/>
          <w:spacing w:val="66"/>
          <w:sz w:val="18"/>
        </w:rPr>
        <w:t xml:space="preserve"> </w:t>
      </w:r>
      <w:r w:rsidRPr="00030750">
        <w:rPr>
          <w:rFonts w:ascii="Arial" w:hAnsi="Arial" w:cs="Arial"/>
          <w:sz w:val="18"/>
        </w:rPr>
        <w:t>review</w:t>
      </w:r>
      <w:r w:rsidRPr="00030750">
        <w:rPr>
          <w:rFonts w:ascii="Arial" w:hAnsi="Arial" w:cs="Arial"/>
          <w:spacing w:val="65"/>
          <w:sz w:val="18"/>
        </w:rPr>
        <w:t xml:space="preserve"> </w:t>
      </w:r>
      <w:r w:rsidRPr="00030750">
        <w:rPr>
          <w:rFonts w:ascii="Arial" w:hAnsi="Arial" w:cs="Arial"/>
          <w:sz w:val="18"/>
        </w:rPr>
        <w:t>in</w:t>
      </w:r>
      <w:r w:rsidRPr="00030750">
        <w:rPr>
          <w:rFonts w:ascii="Arial" w:hAnsi="Arial" w:cs="Arial"/>
          <w:spacing w:val="68"/>
          <w:sz w:val="18"/>
        </w:rPr>
        <w:t xml:space="preserve"> </w:t>
      </w:r>
      <w:r w:rsidRPr="00030750">
        <w:rPr>
          <w:rFonts w:ascii="Arial" w:hAnsi="Arial" w:cs="Arial"/>
          <w:sz w:val="18"/>
        </w:rPr>
        <w:t>accordance</w:t>
      </w:r>
      <w:r w:rsidRPr="00030750">
        <w:rPr>
          <w:rFonts w:ascii="Arial" w:hAnsi="Arial" w:cs="Arial"/>
          <w:spacing w:val="66"/>
          <w:sz w:val="18"/>
        </w:rPr>
        <w:t xml:space="preserve"> </w:t>
      </w:r>
      <w:r w:rsidRPr="00030750">
        <w:rPr>
          <w:rFonts w:ascii="Arial" w:hAnsi="Arial" w:cs="Arial"/>
          <w:sz w:val="18"/>
        </w:rPr>
        <w:t>with</w:t>
      </w:r>
      <w:r w:rsidRPr="00030750">
        <w:rPr>
          <w:rFonts w:ascii="Arial" w:hAnsi="Arial" w:cs="Arial"/>
          <w:spacing w:val="67"/>
          <w:sz w:val="18"/>
        </w:rPr>
        <w:t xml:space="preserve"> </w:t>
      </w:r>
      <w:hyperlink r:id="rId141" w:history="1">
        <w:r w:rsidR="001255B4" w:rsidRPr="00805C12">
          <w:rPr>
            <w:rStyle w:val="Hyperlink"/>
            <w:rFonts w:ascii="Arial" w:hAnsi="Arial" w:cs="Arial"/>
            <w:sz w:val="18"/>
            <w:szCs w:val="18"/>
          </w:rPr>
          <w:t>the order N 10-N of the Minister of Territorial Administration and Infrastructure of RA, dated 01.06.2022</w:t>
        </w:r>
      </w:hyperlink>
      <w:r w:rsidR="001255B4" w:rsidRPr="00805C12">
        <w:rPr>
          <w:rFonts w:ascii="Arial" w:hAnsi="Arial" w:cs="Arial"/>
          <w:sz w:val="18"/>
          <w:szCs w:val="18"/>
        </w:rPr>
        <w:t xml:space="preserve"> </w:t>
      </w:r>
      <w:r w:rsidRPr="00030750">
        <w:rPr>
          <w:rFonts w:ascii="Arial" w:hAnsi="Arial" w:cs="Arial"/>
          <w:sz w:val="18"/>
        </w:rPr>
        <w:t>on the</w:t>
      </w:r>
      <w:r w:rsidRPr="00030750">
        <w:rPr>
          <w:rFonts w:ascii="Arial" w:hAnsi="Arial" w:cs="Arial"/>
          <w:spacing w:val="-1"/>
          <w:sz w:val="18"/>
        </w:rPr>
        <w:t xml:space="preserve"> </w:t>
      </w:r>
      <w:r w:rsidRPr="00030750">
        <w:rPr>
          <w:rFonts w:ascii="Arial" w:hAnsi="Arial" w:cs="Arial"/>
          <w:sz w:val="18"/>
        </w:rPr>
        <w:t>following aircraft:</w:t>
      </w:r>
    </w:p>
    <w:p w14:paraId="5272AD01" w14:textId="77777777" w:rsidR="00D2333E" w:rsidRPr="00030750" w:rsidRDefault="00D2333E" w:rsidP="00030750">
      <w:pPr>
        <w:spacing w:before="119" w:line="276" w:lineRule="auto"/>
        <w:ind w:left="253" w:right="-64"/>
        <w:rPr>
          <w:rFonts w:ascii="Arial" w:hAnsi="Arial" w:cs="Arial"/>
          <w:sz w:val="18"/>
        </w:rPr>
      </w:pPr>
      <w:r w:rsidRPr="00030750">
        <w:rPr>
          <w:rFonts w:ascii="Arial" w:hAnsi="Arial" w:cs="Arial"/>
          <w:sz w:val="18"/>
        </w:rPr>
        <w:t>Aircraft</w:t>
      </w:r>
      <w:r w:rsidRPr="00030750">
        <w:rPr>
          <w:rFonts w:ascii="Arial" w:hAnsi="Arial" w:cs="Arial"/>
          <w:spacing w:val="-8"/>
          <w:sz w:val="18"/>
        </w:rPr>
        <w:t xml:space="preserve"> </w:t>
      </w:r>
      <w:r w:rsidRPr="00030750">
        <w:rPr>
          <w:rFonts w:ascii="Arial" w:hAnsi="Arial" w:cs="Arial"/>
          <w:sz w:val="18"/>
        </w:rPr>
        <w:t>manufacturer:</w:t>
      </w:r>
      <w:r w:rsidRPr="00030750">
        <w:rPr>
          <w:rFonts w:ascii="Arial" w:hAnsi="Arial" w:cs="Arial"/>
          <w:spacing w:val="-8"/>
          <w:sz w:val="18"/>
        </w:rPr>
        <w:t xml:space="preserve"> </w:t>
      </w:r>
      <w:r w:rsidRPr="00030750">
        <w:rPr>
          <w:rFonts w:ascii="Arial" w:hAnsi="Arial" w:cs="Arial"/>
          <w:sz w:val="18"/>
        </w:rPr>
        <w:t>………………………………………………Manufacturer’s</w:t>
      </w:r>
      <w:r w:rsidRPr="00030750">
        <w:rPr>
          <w:rFonts w:ascii="Arial" w:hAnsi="Arial" w:cs="Arial"/>
          <w:spacing w:val="-8"/>
          <w:sz w:val="18"/>
        </w:rPr>
        <w:t xml:space="preserve"> </w:t>
      </w:r>
      <w:r w:rsidRPr="00030750">
        <w:rPr>
          <w:rFonts w:ascii="Arial" w:hAnsi="Arial" w:cs="Arial"/>
          <w:sz w:val="18"/>
        </w:rPr>
        <w:t>designation:</w:t>
      </w:r>
      <w:r w:rsidRPr="00030750">
        <w:rPr>
          <w:rFonts w:ascii="Arial" w:hAnsi="Arial" w:cs="Arial"/>
          <w:spacing w:val="-6"/>
          <w:sz w:val="18"/>
        </w:rPr>
        <w:t xml:space="preserve"> </w:t>
      </w:r>
      <w:r w:rsidR="00030750">
        <w:rPr>
          <w:rFonts w:ascii="Arial" w:hAnsi="Arial" w:cs="Arial"/>
          <w:sz w:val="18"/>
        </w:rPr>
        <w:t>…………………</w:t>
      </w:r>
    </w:p>
    <w:p w14:paraId="1463DC34" w14:textId="77777777" w:rsidR="00D2333E" w:rsidRPr="00030750" w:rsidRDefault="00D2333E" w:rsidP="00030750">
      <w:pPr>
        <w:spacing w:before="121" w:line="276" w:lineRule="auto"/>
        <w:ind w:left="253" w:right="-64"/>
        <w:rPr>
          <w:rFonts w:ascii="Arial" w:hAnsi="Arial" w:cs="Arial"/>
          <w:sz w:val="18"/>
        </w:rPr>
      </w:pPr>
      <w:r w:rsidRPr="00030750">
        <w:rPr>
          <w:rFonts w:ascii="Arial" w:hAnsi="Arial" w:cs="Arial"/>
          <w:sz w:val="18"/>
        </w:rPr>
        <w:t>Aircraft</w:t>
      </w:r>
      <w:r w:rsidRPr="00030750">
        <w:rPr>
          <w:rFonts w:ascii="Arial" w:hAnsi="Arial" w:cs="Arial"/>
          <w:spacing w:val="-7"/>
          <w:sz w:val="18"/>
        </w:rPr>
        <w:t xml:space="preserve"> </w:t>
      </w:r>
      <w:r w:rsidRPr="00030750">
        <w:rPr>
          <w:rFonts w:ascii="Arial" w:hAnsi="Arial" w:cs="Arial"/>
          <w:sz w:val="18"/>
        </w:rPr>
        <w:t>registration:</w:t>
      </w:r>
      <w:r w:rsidRPr="00030750">
        <w:rPr>
          <w:rFonts w:ascii="Arial" w:hAnsi="Arial" w:cs="Arial"/>
          <w:spacing w:val="-4"/>
          <w:sz w:val="18"/>
        </w:rPr>
        <w:t xml:space="preserve"> </w:t>
      </w:r>
      <w:r w:rsidRPr="00030750">
        <w:rPr>
          <w:rFonts w:ascii="Arial" w:hAnsi="Arial" w:cs="Arial"/>
          <w:sz w:val="18"/>
        </w:rPr>
        <w:t>…………………………………………………Aircraft</w:t>
      </w:r>
      <w:r w:rsidRPr="00030750">
        <w:rPr>
          <w:rFonts w:ascii="Arial" w:hAnsi="Arial" w:cs="Arial"/>
          <w:spacing w:val="-6"/>
          <w:sz w:val="18"/>
        </w:rPr>
        <w:t xml:space="preserve"> </w:t>
      </w:r>
      <w:r w:rsidRPr="00030750">
        <w:rPr>
          <w:rFonts w:ascii="Arial" w:hAnsi="Arial" w:cs="Arial"/>
          <w:sz w:val="18"/>
        </w:rPr>
        <w:t>serial</w:t>
      </w:r>
      <w:r w:rsidRPr="00030750">
        <w:rPr>
          <w:rFonts w:ascii="Arial" w:hAnsi="Arial" w:cs="Arial"/>
          <w:spacing w:val="-7"/>
          <w:sz w:val="18"/>
        </w:rPr>
        <w:t xml:space="preserve"> </w:t>
      </w:r>
      <w:r w:rsidRPr="00030750">
        <w:rPr>
          <w:rFonts w:ascii="Arial" w:hAnsi="Arial" w:cs="Arial"/>
          <w:sz w:val="18"/>
        </w:rPr>
        <w:t>number:</w:t>
      </w:r>
      <w:r w:rsidRPr="00030750">
        <w:rPr>
          <w:rFonts w:ascii="Arial" w:hAnsi="Arial" w:cs="Arial"/>
          <w:spacing w:val="-7"/>
          <w:sz w:val="18"/>
        </w:rPr>
        <w:t xml:space="preserve"> </w:t>
      </w:r>
      <w:r w:rsidR="00030750">
        <w:rPr>
          <w:rFonts w:ascii="Arial" w:hAnsi="Arial" w:cs="Arial"/>
          <w:sz w:val="18"/>
        </w:rPr>
        <w:t>………………………</w:t>
      </w:r>
    </w:p>
    <w:p w14:paraId="56036C63" w14:textId="77777777" w:rsidR="00D2333E" w:rsidRPr="00030750" w:rsidRDefault="00D2333E" w:rsidP="00030750">
      <w:pPr>
        <w:spacing w:before="121" w:line="276" w:lineRule="auto"/>
        <w:ind w:left="253" w:right="-64"/>
        <w:rPr>
          <w:rFonts w:ascii="Arial" w:hAnsi="Arial" w:cs="Arial"/>
          <w:sz w:val="18"/>
        </w:rPr>
      </w:pPr>
      <w:r w:rsidRPr="00030750">
        <w:rPr>
          <w:rFonts w:ascii="Arial" w:hAnsi="Arial" w:cs="Arial"/>
          <w:sz w:val="18"/>
        </w:rPr>
        <w:t>and</w:t>
      </w:r>
      <w:r w:rsidRPr="00030750">
        <w:rPr>
          <w:rFonts w:ascii="Arial" w:hAnsi="Arial" w:cs="Arial"/>
          <w:spacing w:val="-2"/>
          <w:sz w:val="18"/>
        </w:rPr>
        <w:t xml:space="preserve"> </w:t>
      </w:r>
      <w:r w:rsidRPr="00030750">
        <w:rPr>
          <w:rFonts w:ascii="Arial" w:hAnsi="Arial" w:cs="Arial"/>
          <w:sz w:val="18"/>
        </w:rPr>
        <w:t>this</w:t>
      </w:r>
      <w:r w:rsidRPr="00030750">
        <w:rPr>
          <w:rFonts w:ascii="Arial" w:hAnsi="Arial" w:cs="Arial"/>
          <w:spacing w:val="-3"/>
          <w:sz w:val="18"/>
        </w:rPr>
        <w:t xml:space="preserve"> </w:t>
      </w:r>
      <w:r w:rsidRPr="00030750">
        <w:rPr>
          <w:rFonts w:ascii="Arial" w:hAnsi="Arial" w:cs="Arial"/>
          <w:sz w:val="18"/>
        </w:rPr>
        <w:t>aircraft</w:t>
      </w:r>
      <w:r w:rsidRPr="00030750">
        <w:rPr>
          <w:rFonts w:ascii="Arial" w:hAnsi="Arial" w:cs="Arial"/>
          <w:spacing w:val="-2"/>
          <w:sz w:val="18"/>
        </w:rPr>
        <w:t xml:space="preserve"> </w:t>
      </w:r>
      <w:r w:rsidRPr="00030750">
        <w:rPr>
          <w:rFonts w:ascii="Arial" w:hAnsi="Arial" w:cs="Arial"/>
          <w:sz w:val="18"/>
        </w:rPr>
        <w:t>is</w:t>
      </w:r>
      <w:r w:rsidRPr="00030750">
        <w:rPr>
          <w:rFonts w:ascii="Arial" w:hAnsi="Arial" w:cs="Arial"/>
          <w:spacing w:val="-2"/>
          <w:sz w:val="18"/>
        </w:rPr>
        <w:t xml:space="preserve"> </w:t>
      </w:r>
      <w:r w:rsidRPr="00030750">
        <w:rPr>
          <w:rFonts w:ascii="Arial" w:hAnsi="Arial" w:cs="Arial"/>
          <w:sz w:val="18"/>
        </w:rPr>
        <w:t>considered</w:t>
      </w:r>
      <w:r w:rsidRPr="00030750">
        <w:rPr>
          <w:rFonts w:ascii="Arial" w:hAnsi="Arial" w:cs="Arial"/>
          <w:spacing w:val="1"/>
          <w:sz w:val="18"/>
        </w:rPr>
        <w:t xml:space="preserve"> </w:t>
      </w:r>
      <w:r w:rsidRPr="00030750">
        <w:rPr>
          <w:rFonts w:ascii="Arial" w:hAnsi="Arial" w:cs="Arial"/>
          <w:sz w:val="18"/>
        </w:rPr>
        <w:t>airworthy</w:t>
      </w:r>
      <w:r w:rsidRPr="00030750">
        <w:rPr>
          <w:rFonts w:ascii="Arial" w:hAnsi="Arial" w:cs="Arial"/>
          <w:spacing w:val="-1"/>
          <w:sz w:val="18"/>
        </w:rPr>
        <w:t xml:space="preserve"> </w:t>
      </w:r>
      <w:r w:rsidRPr="00030750">
        <w:rPr>
          <w:rFonts w:ascii="Arial" w:hAnsi="Arial" w:cs="Arial"/>
          <w:sz w:val="18"/>
        </w:rPr>
        <w:t>at</w:t>
      </w:r>
      <w:r w:rsidRPr="00030750">
        <w:rPr>
          <w:rFonts w:ascii="Arial" w:hAnsi="Arial" w:cs="Arial"/>
          <w:spacing w:val="-2"/>
          <w:sz w:val="18"/>
        </w:rPr>
        <w:t xml:space="preserve"> </w:t>
      </w:r>
      <w:r w:rsidRPr="00030750">
        <w:rPr>
          <w:rFonts w:ascii="Arial" w:hAnsi="Arial" w:cs="Arial"/>
          <w:sz w:val="18"/>
        </w:rPr>
        <w:t>the</w:t>
      </w:r>
      <w:r w:rsidRPr="00030750">
        <w:rPr>
          <w:rFonts w:ascii="Arial" w:hAnsi="Arial" w:cs="Arial"/>
          <w:spacing w:val="-2"/>
          <w:sz w:val="18"/>
        </w:rPr>
        <w:t xml:space="preserve"> </w:t>
      </w:r>
      <w:r w:rsidRPr="00030750">
        <w:rPr>
          <w:rFonts w:ascii="Arial" w:hAnsi="Arial" w:cs="Arial"/>
          <w:sz w:val="18"/>
        </w:rPr>
        <w:t>time</w:t>
      </w:r>
      <w:r w:rsidRPr="00030750">
        <w:rPr>
          <w:rFonts w:ascii="Arial" w:hAnsi="Arial" w:cs="Arial"/>
          <w:spacing w:val="-3"/>
          <w:sz w:val="18"/>
        </w:rPr>
        <w:t xml:space="preserve"> </w:t>
      </w:r>
      <w:r w:rsidRPr="00030750">
        <w:rPr>
          <w:rFonts w:ascii="Arial" w:hAnsi="Arial" w:cs="Arial"/>
          <w:sz w:val="18"/>
        </w:rPr>
        <w:t>of</w:t>
      </w:r>
      <w:r w:rsidRPr="00030750">
        <w:rPr>
          <w:rFonts w:ascii="Arial" w:hAnsi="Arial" w:cs="Arial"/>
          <w:spacing w:val="-3"/>
          <w:sz w:val="18"/>
        </w:rPr>
        <w:t xml:space="preserve"> </w:t>
      </w:r>
      <w:r w:rsidRPr="00030750">
        <w:rPr>
          <w:rFonts w:ascii="Arial" w:hAnsi="Arial" w:cs="Arial"/>
          <w:sz w:val="18"/>
        </w:rPr>
        <w:t>the</w:t>
      </w:r>
      <w:r w:rsidRPr="00030750">
        <w:rPr>
          <w:rFonts w:ascii="Arial" w:hAnsi="Arial" w:cs="Arial"/>
          <w:spacing w:val="-3"/>
          <w:sz w:val="18"/>
        </w:rPr>
        <w:t xml:space="preserve"> </w:t>
      </w:r>
      <w:r w:rsidRPr="00030750">
        <w:rPr>
          <w:rFonts w:ascii="Arial" w:hAnsi="Arial" w:cs="Arial"/>
          <w:sz w:val="18"/>
        </w:rPr>
        <w:t>review.</w:t>
      </w:r>
    </w:p>
    <w:p w14:paraId="5C620654" w14:textId="77777777" w:rsidR="00D2333E" w:rsidRPr="00030750" w:rsidRDefault="00D2333E" w:rsidP="00030750">
      <w:pPr>
        <w:spacing w:before="118" w:line="276" w:lineRule="auto"/>
        <w:ind w:left="253" w:right="-64"/>
        <w:rPr>
          <w:rFonts w:ascii="Arial" w:hAnsi="Arial" w:cs="Arial"/>
          <w:sz w:val="18"/>
        </w:rPr>
      </w:pPr>
      <w:r w:rsidRPr="00030750">
        <w:rPr>
          <w:rFonts w:ascii="Arial" w:hAnsi="Arial" w:cs="Arial"/>
          <w:sz w:val="18"/>
        </w:rPr>
        <w:t>Date</w:t>
      </w:r>
      <w:r w:rsidRPr="00030750">
        <w:rPr>
          <w:rFonts w:ascii="Arial" w:hAnsi="Arial" w:cs="Arial"/>
          <w:spacing w:val="-11"/>
          <w:sz w:val="18"/>
        </w:rPr>
        <w:t xml:space="preserve"> </w:t>
      </w:r>
      <w:r w:rsidRPr="00030750">
        <w:rPr>
          <w:rFonts w:ascii="Arial" w:hAnsi="Arial" w:cs="Arial"/>
          <w:sz w:val="18"/>
        </w:rPr>
        <w:t>of</w:t>
      </w:r>
      <w:r w:rsidRPr="00030750">
        <w:rPr>
          <w:rFonts w:ascii="Arial" w:hAnsi="Arial" w:cs="Arial"/>
          <w:spacing w:val="-11"/>
          <w:sz w:val="18"/>
        </w:rPr>
        <w:t xml:space="preserve"> </w:t>
      </w:r>
      <w:r w:rsidRPr="00030750">
        <w:rPr>
          <w:rFonts w:ascii="Arial" w:hAnsi="Arial" w:cs="Arial"/>
          <w:sz w:val="18"/>
        </w:rPr>
        <w:t>issue:</w:t>
      </w:r>
      <w:r w:rsidRPr="00030750">
        <w:rPr>
          <w:rFonts w:ascii="Arial" w:hAnsi="Arial" w:cs="Arial"/>
          <w:spacing w:val="-10"/>
          <w:sz w:val="18"/>
        </w:rPr>
        <w:t xml:space="preserve"> </w:t>
      </w:r>
      <w:r w:rsidRPr="00030750">
        <w:rPr>
          <w:rFonts w:ascii="Arial" w:hAnsi="Arial" w:cs="Arial"/>
          <w:sz w:val="18"/>
        </w:rPr>
        <w:t>..................................................................</w:t>
      </w:r>
      <w:r w:rsidRPr="00030750">
        <w:rPr>
          <w:rFonts w:ascii="Arial" w:hAnsi="Arial" w:cs="Arial"/>
          <w:spacing w:val="-9"/>
          <w:sz w:val="18"/>
        </w:rPr>
        <w:t xml:space="preserve"> </w:t>
      </w:r>
      <w:r w:rsidRPr="00030750">
        <w:rPr>
          <w:rFonts w:ascii="Arial" w:hAnsi="Arial" w:cs="Arial"/>
          <w:sz w:val="18"/>
        </w:rPr>
        <w:t>Date</w:t>
      </w:r>
      <w:r w:rsidRPr="00030750">
        <w:rPr>
          <w:rFonts w:ascii="Arial" w:hAnsi="Arial" w:cs="Arial"/>
          <w:spacing w:val="-10"/>
          <w:sz w:val="18"/>
        </w:rPr>
        <w:t xml:space="preserve"> </w:t>
      </w:r>
      <w:r w:rsidRPr="00030750">
        <w:rPr>
          <w:rFonts w:ascii="Arial" w:hAnsi="Arial" w:cs="Arial"/>
          <w:sz w:val="18"/>
        </w:rPr>
        <w:t>of</w:t>
      </w:r>
      <w:r w:rsidRPr="00030750">
        <w:rPr>
          <w:rFonts w:ascii="Arial" w:hAnsi="Arial" w:cs="Arial"/>
          <w:spacing w:val="-11"/>
          <w:sz w:val="18"/>
        </w:rPr>
        <w:t xml:space="preserve"> </w:t>
      </w:r>
      <w:r w:rsidRPr="00030750">
        <w:rPr>
          <w:rFonts w:ascii="Arial" w:hAnsi="Arial" w:cs="Arial"/>
          <w:sz w:val="18"/>
        </w:rPr>
        <w:t>expiry:</w:t>
      </w:r>
      <w:r w:rsidRPr="00030750">
        <w:rPr>
          <w:rFonts w:ascii="Arial" w:hAnsi="Arial" w:cs="Arial"/>
          <w:spacing w:val="-10"/>
          <w:sz w:val="18"/>
        </w:rPr>
        <w:t xml:space="preserve"> </w:t>
      </w:r>
      <w:r w:rsidR="00030750">
        <w:rPr>
          <w:rFonts w:ascii="Arial" w:hAnsi="Arial" w:cs="Arial"/>
          <w:sz w:val="18"/>
        </w:rPr>
        <w:t>………………………………………</w:t>
      </w:r>
    </w:p>
    <w:p w14:paraId="3799A1BA" w14:textId="77777777" w:rsidR="00D2333E" w:rsidRPr="00030750" w:rsidRDefault="00D2333E" w:rsidP="00030750">
      <w:pPr>
        <w:spacing w:before="120" w:line="276" w:lineRule="auto"/>
        <w:ind w:left="253" w:right="-64"/>
        <w:rPr>
          <w:rFonts w:ascii="Arial" w:hAnsi="Arial" w:cs="Arial"/>
          <w:sz w:val="18"/>
        </w:rPr>
      </w:pPr>
      <w:r w:rsidRPr="00030750">
        <w:rPr>
          <w:rFonts w:ascii="Arial" w:hAnsi="Arial" w:cs="Arial"/>
          <w:sz w:val="18"/>
        </w:rPr>
        <w:t>Airframe</w:t>
      </w:r>
      <w:r w:rsidRPr="00030750">
        <w:rPr>
          <w:rFonts w:ascii="Arial" w:hAnsi="Arial" w:cs="Arial"/>
          <w:spacing w:val="-5"/>
          <w:sz w:val="18"/>
        </w:rPr>
        <w:t xml:space="preserve"> </w:t>
      </w:r>
      <w:r w:rsidRPr="00030750">
        <w:rPr>
          <w:rFonts w:ascii="Arial" w:hAnsi="Arial" w:cs="Arial"/>
          <w:sz w:val="18"/>
        </w:rPr>
        <w:t>flight</w:t>
      </w:r>
      <w:r w:rsidRPr="00030750">
        <w:rPr>
          <w:rFonts w:ascii="Arial" w:hAnsi="Arial" w:cs="Arial"/>
          <w:spacing w:val="-4"/>
          <w:sz w:val="18"/>
        </w:rPr>
        <w:t xml:space="preserve"> </w:t>
      </w:r>
      <w:r w:rsidRPr="00030750">
        <w:rPr>
          <w:rFonts w:ascii="Arial" w:hAnsi="Arial" w:cs="Arial"/>
          <w:sz w:val="18"/>
        </w:rPr>
        <w:t>hours</w:t>
      </w:r>
      <w:r w:rsidRPr="00030750">
        <w:rPr>
          <w:rFonts w:ascii="Arial" w:hAnsi="Arial" w:cs="Arial"/>
          <w:spacing w:val="-5"/>
          <w:sz w:val="18"/>
        </w:rPr>
        <w:t xml:space="preserve"> </w:t>
      </w:r>
      <w:r w:rsidRPr="00030750">
        <w:rPr>
          <w:rFonts w:ascii="Arial" w:hAnsi="Arial" w:cs="Arial"/>
          <w:sz w:val="18"/>
        </w:rPr>
        <w:t>(FH)</w:t>
      </w:r>
      <w:r w:rsidRPr="00030750">
        <w:rPr>
          <w:rFonts w:ascii="Arial" w:hAnsi="Arial" w:cs="Arial"/>
          <w:spacing w:val="-5"/>
          <w:sz w:val="18"/>
        </w:rPr>
        <w:t xml:space="preserve"> </w:t>
      </w:r>
      <w:r w:rsidRPr="00030750">
        <w:rPr>
          <w:rFonts w:ascii="Arial" w:hAnsi="Arial" w:cs="Arial"/>
          <w:sz w:val="18"/>
        </w:rPr>
        <w:t>at</w:t>
      </w:r>
      <w:r w:rsidRPr="00030750">
        <w:rPr>
          <w:rFonts w:ascii="Arial" w:hAnsi="Arial" w:cs="Arial"/>
          <w:spacing w:val="-4"/>
          <w:sz w:val="18"/>
        </w:rPr>
        <w:t xml:space="preserve"> </w:t>
      </w:r>
      <w:r w:rsidRPr="00030750">
        <w:rPr>
          <w:rFonts w:ascii="Arial" w:hAnsi="Arial" w:cs="Arial"/>
          <w:sz w:val="18"/>
        </w:rPr>
        <w:t>date</w:t>
      </w:r>
      <w:r w:rsidRPr="00030750">
        <w:rPr>
          <w:rFonts w:ascii="Arial" w:hAnsi="Arial" w:cs="Arial"/>
          <w:spacing w:val="-4"/>
          <w:sz w:val="18"/>
        </w:rPr>
        <w:t xml:space="preserve"> </w:t>
      </w:r>
      <w:r w:rsidRPr="00030750">
        <w:rPr>
          <w:rFonts w:ascii="Arial" w:hAnsi="Arial" w:cs="Arial"/>
          <w:sz w:val="18"/>
        </w:rPr>
        <w:t>of</w:t>
      </w:r>
      <w:r w:rsidRPr="00030750">
        <w:rPr>
          <w:rFonts w:ascii="Arial" w:hAnsi="Arial" w:cs="Arial"/>
          <w:spacing w:val="-6"/>
          <w:sz w:val="18"/>
        </w:rPr>
        <w:t xml:space="preserve"> </w:t>
      </w:r>
      <w:r w:rsidRPr="00030750">
        <w:rPr>
          <w:rFonts w:ascii="Arial" w:hAnsi="Arial" w:cs="Arial"/>
          <w:sz w:val="18"/>
        </w:rPr>
        <w:t>review</w:t>
      </w:r>
      <w:r w:rsidRPr="00030750">
        <w:rPr>
          <w:rFonts w:ascii="Arial" w:hAnsi="Arial" w:cs="Arial"/>
          <w:spacing w:val="-1"/>
          <w:sz w:val="18"/>
        </w:rPr>
        <w:t xml:space="preserve"> </w:t>
      </w:r>
      <w:r w:rsidRPr="00030750">
        <w:rPr>
          <w:rFonts w:ascii="Arial" w:hAnsi="Arial" w:cs="Arial"/>
          <w:sz w:val="18"/>
        </w:rPr>
        <w:t>(*):</w:t>
      </w:r>
      <w:r w:rsidRPr="00030750">
        <w:rPr>
          <w:rFonts w:ascii="Arial" w:hAnsi="Arial" w:cs="Arial"/>
          <w:spacing w:val="-6"/>
          <w:sz w:val="18"/>
        </w:rPr>
        <w:t xml:space="preserve"> </w:t>
      </w:r>
      <w:r w:rsidR="00030750">
        <w:rPr>
          <w:rFonts w:ascii="Arial" w:hAnsi="Arial" w:cs="Arial"/>
          <w:sz w:val="18"/>
        </w:rPr>
        <w:t>……………………………………………………………………</w:t>
      </w:r>
    </w:p>
    <w:p w14:paraId="1BDE34EA" w14:textId="77777777" w:rsidR="00D2333E" w:rsidRPr="00030750" w:rsidRDefault="00D2333E" w:rsidP="00030750">
      <w:pPr>
        <w:spacing w:before="122" w:line="276" w:lineRule="auto"/>
        <w:ind w:left="253" w:right="-64"/>
        <w:rPr>
          <w:rFonts w:ascii="Arial" w:hAnsi="Arial" w:cs="Arial"/>
          <w:sz w:val="18"/>
        </w:rPr>
      </w:pPr>
      <w:r w:rsidRPr="00030750">
        <w:rPr>
          <w:rFonts w:ascii="Arial" w:hAnsi="Arial" w:cs="Arial"/>
          <w:spacing w:val="-1"/>
          <w:sz w:val="18"/>
        </w:rPr>
        <w:t>Signed:</w:t>
      </w:r>
      <w:r w:rsidRPr="00030750">
        <w:rPr>
          <w:rFonts w:ascii="Arial" w:hAnsi="Arial" w:cs="Arial"/>
          <w:spacing w:val="-3"/>
          <w:sz w:val="18"/>
        </w:rPr>
        <w:t xml:space="preserve"> </w:t>
      </w:r>
      <w:r w:rsidRPr="00030750">
        <w:rPr>
          <w:rFonts w:ascii="Arial" w:hAnsi="Arial" w:cs="Arial"/>
          <w:spacing w:val="-1"/>
          <w:sz w:val="18"/>
        </w:rPr>
        <w:t>...........................................................................</w:t>
      </w:r>
      <w:r w:rsidRPr="00030750">
        <w:rPr>
          <w:rFonts w:ascii="Arial" w:hAnsi="Arial" w:cs="Arial"/>
          <w:spacing w:val="-2"/>
          <w:sz w:val="18"/>
        </w:rPr>
        <w:t xml:space="preserve"> </w:t>
      </w:r>
      <w:r w:rsidRPr="00030750">
        <w:rPr>
          <w:rFonts w:ascii="Arial" w:hAnsi="Arial" w:cs="Arial"/>
          <w:sz w:val="18"/>
        </w:rPr>
        <w:t>Authorisation</w:t>
      </w:r>
      <w:r w:rsidRPr="00030750">
        <w:rPr>
          <w:rFonts w:ascii="Arial" w:hAnsi="Arial" w:cs="Arial"/>
          <w:spacing w:val="-1"/>
          <w:sz w:val="18"/>
        </w:rPr>
        <w:t xml:space="preserve"> </w:t>
      </w:r>
      <w:r w:rsidRPr="00030750">
        <w:rPr>
          <w:rFonts w:ascii="Arial" w:hAnsi="Arial" w:cs="Arial"/>
          <w:sz w:val="18"/>
        </w:rPr>
        <w:t>No</w:t>
      </w:r>
      <w:r w:rsidRPr="00030750">
        <w:rPr>
          <w:rFonts w:ascii="Arial" w:hAnsi="Arial" w:cs="Arial"/>
          <w:spacing w:val="6"/>
          <w:sz w:val="18"/>
        </w:rPr>
        <w:t xml:space="preserve"> </w:t>
      </w:r>
      <w:r w:rsidRPr="00030750">
        <w:rPr>
          <w:rFonts w:ascii="Arial" w:hAnsi="Arial" w:cs="Arial"/>
          <w:sz w:val="18"/>
        </w:rPr>
        <w:t>(if</w:t>
      </w:r>
      <w:r w:rsidRPr="00030750">
        <w:rPr>
          <w:rFonts w:ascii="Arial" w:hAnsi="Arial" w:cs="Arial"/>
          <w:spacing w:val="-4"/>
          <w:sz w:val="18"/>
        </w:rPr>
        <w:t xml:space="preserve"> </w:t>
      </w:r>
      <w:r w:rsidRPr="00030750">
        <w:rPr>
          <w:rFonts w:ascii="Arial" w:hAnsi="Arial" w:cs="Arial"/>
          <w:sz w:val="18"/>
        </w:rPr>
        <w:t>applicable): …….......................</w:t>
      </w:r>
    </w:p>
    <w:p w14:paraId="36A0AE67" w14:textId="77777777" w:rsidR="00D2333E" w:rsidRPr="00030750" w:rsidRDefault="00D2333E" w:rsidP="00030750">
      <w:pPr>
        <w:spacing w:before="6" w:line="276" w:lineRule="auto"/>
        <w:ind w:right="-64"/>
        <w:rPr>
          <w:rFonts w:ascii="Arial" w:hAnsi="Arial" w:cs="Arial"/>
          <w:sz w:val="18"/>
          <w:szCs w:val="16"/>
        </w:rPr>
      </w:pPr>
    </w:p>
    <w:p w14:paraId="4D4F8480" w14:textId="77777777" w:rsidR="00D2333E" w:rsidRPr="00030750" w:rsidRDefault="00D2333E" w:rsidP="00030750">
      <w:pPr>
        <w:spacing w:before="6" w:line="276" w:lineRule="auto"/>
        <w:ind w:right="-64"/>
        <w:rPr>
          <w:rFonts w:ascii="Arial" w:hAnsi="Arial" w:cs="Arial"/>
          <w:sz w:val="18"/>
          <w:szCs w:val="16"/>
        </w:rPr>
      </w:pPr>
    </w:p>
    <w:p w14:paraId="7E9B0F98" w14:textId="77777777" w:rsidR="001D071F" w:rsidRPr="00030750" w:rsidRDefault="00D2333E" w:rsidP="00030750">
      <w:pPr>
        <w:spacing w:before="120" w:line="276" w:lineRule="auto"/>
        <w:ind w:left="253" w:right="-64"/>
        <w:rPr>
          <w:rFonts w:ascii="Arial" w:hAnsi="Arial" w:cs="Arial"/>
          <w:spacing w:val="-1"/>
          <w:sz w:val="18"/>
          <w:szCs w:val="16"/>
        </w:rPr>
      </w:pPr>
      <w:r w:rsidRPr="00030750">
        <w:rPr>
          <w:rFonts w:ascii="Arial" w:hAnsi="Arial" w:cs="Arial"/>
          <w:spacing w:val="-1"/>
          <w:sz w:val="18"/>
          <w:szCs w:val="16"/>
        </w:rPr>
        <w:t xml:space="preserve">1st Extension: the aircraft complies with the conditions of point ML.A.901(c) of Annex Vb (Part-ML) </w:t>
      </w:r>
    </w:p>
    <w:p w14:paraId="1DB2260B" w14:textId="77777777" w:rsidR="00D2333E" w:rsidRPr="00030750" w:rsidRDefault="00D2333E" w:rsidP="00030750">
      <w:pPr>
        <w:spacing w:before="120" w:line="276" w:lineRule="auto"/>
        <w:ind w:left="253" w:right="-64"/>
        <w:rPr>
          <w:rFonts w:ascii="Arial" w:hAnsi="Arial" w:cs="Arial"/>
          <w:spacing w:val="-1"/>
          <w:sz w:val="18"/>
          <w:szCs w:val="16"/>
        </w:rPr>
      </w:pPr>
      <w:r w:rsidRPr="00030750">
        <w:rPr>
          <w:rFonts w:ascii="Arial" w:hAnsi="Arial" w:cs="Arial"/>
          <w:spacing w:val="-1"/>
          <w:sz w:val="18"/>
          <w:szCs w:val="16"/>
        </w:rPr>
        <w:t xml:space="preserve">Date of issue: .................................................................. Date of </w:t>
      </w:r>
      <w:r w:rsidR="00030750">
        <w:rPr>
          <w:rFonts w:ascii="Arial" w:hAnsi="Arial" w:cs="Arial"/>
          <w:spacing w:val="-1"/>
          <w:sz w:val="18"/>
          <w:szCs w:val="16"/>
        </w:rPr>
        <w:t>expiry: ………………………………………</w:t>
      </w:r>
    </w:p>
    <w:p w14:paraId="566A3628" w14:textId="77777777" w:rsidR="00D2333E" w:rsidRPr="00030750" w:rsidRDefault="00D2333E" w:rsidP="00030750">
      <w:pPr>
        <w:spacing w:before="120" w:line="276" w:lineRule="auto"/>
        <w:ind w:left="253" w:right="-64"/>
        <w:rPr>
          <w:rFonts w:ascii="Arial" w:hAnsi="Arial" w:cs="Arial"/>
          <w:spacing w:val="-1"/>
          <w:sz w:val="18"/>
          <w:szCs w:val="16"/>
        </w:rPr>
      </w:pPr>
      <w:r w:rsidRPr="00030750">
        <w:rPr>
          <w:rFonts w:ascii="Arial" w:hAnsi="Arial" w:cs="Arial"/>
          <w:spacing w:val="-1"/>
          <w:sz w:val="18"/>
          <w:szCs w:val="16"/>
        </w:rPr>
        <w:t xml:space="preserve">Airframe flight Hours (FH) at date of issue (*): </w:t>
      </w:r>
      <w:r w:rsidR="00030750">
        <w:rPr>
          <w:rFonts w:ascii="Arial" w:hAnsi="Arial" w:cs="Arial"/>
          <w:spacing w:val="-1"/>
          <w:sz w:val="18"/>
          <w:szCs w:val="16"/>
        </w:rPr>
        <w:t>……………………………………………………………………</w:t>
      </w:r>
    </w:p>
    <w:p w14:paraId="43AC8548" w14:textId="77777777" w:rsidR="00D2333E" w:rsidRPr="00030750" w:rsidRDefault="00D2333E" w:rsidP="00030750">
      <w:pPr>
        <w:spacing w:before="120" w:line="276" w:lineRule="auto"/>
        <w:ind w:left="253" w:right="-64"/>
        <w:rPr>
          <w:rFonts w:ascii="Arial" w:hAnsi="Arial" w:cs="Arial"/>
          <w:sz w:val="18"/>
          <w:szCs w:val="16"/>
        </w:rPr>
      </w:pPr>
      <w:r w:rsidRPr="00030750">
        <w:rPr>
          <w:rFonts w:ascii="Arial" w:hAnsi="Arial" w:cs="Arial"/>
          <w:spacing w:val="-1"/>
          <w:sz w:val="18"/>
          <w:szCs w:val="16"/>
        </w:rPr>
        <w:t>Signed:</w:t>
      </w:r>
      <w:r w:rsidRPr="00030750">
        <w:rPr>
          <w:rFonts w:ascii="Arial" w:hAnsi="Arial" w:cs="Arial"/>
          <w:spacing w:val="-2"/>
          <w:sz w:val="18"/>
          <w:szCs w:val="16"/>
        </w:rPr>
        <w:t xml:space="preserve"> </w:t>
      </w:r>
      <w:r w:rsidRPr="00030750">
        <w:rPr>
          <w:rFonts w:ascii="Arial" w:hAnsi="Arial" w:cs="Arial"/>
          <w:spacing w:val="-1"/>
          <w:sz w:val="18"/>
          <w:szCs w:val="16"/>
        </w:rPr>
        <w:t xml:space="preserve">.............................................………………………….. </w:t>
      </w:r>
      <w:r w:rsidRPr="00030750">
        <w:rPr>
          <w:rFonts w:ascii="Arial" w:hAnsi="Arial" w:cs="Arial"/>
          <w:sz w:val="18"/>
          <w:szCs w:val="16"/>
        </w:rPr>
        <w:t>Authorisation No:</w:t>
      </w:r>
      <w:r w:rsidRPr="00030750">
        <w:rPr>
          <w:rFonts w:ascii="Arial" w:hAnsi="Arial" w:cs="Arial"/>
          <w:spacing w:val="-1"/>
          <w:sz w:val="18"/>
          <w:szCs w:val="16"/>
        </w:rPr>
        <w:t xml:space="preserve"> </w:t>
      </w:r>
      <w:r w:rsidR="00030750">
        <w:rPr>
          <w:rFonts w:ascii="Arial" w:hAnsi="Arial" w:cs="Arial"/>
          <w:spacing w:val="-1"/>
          <w:sz w:val="18"/>
          <w:szCs w:val="16"/>
        </w:rPr>
        <w:t>……………………………..</w:t>
      </w:r>
    </w:p>
    <w:p w14:paraId="4C81F273" w14:textId="77777777" w:rsidR="00D2333E" w:rsidRPr="00030750" w:rsidRDefault="00D2333E" w:rsidP="00030750">
      <w:pPr>
        <w:spacing w:before="119" w:line="276" w:lineRule="auto"/>
        <w:ind w:left="253" w:right="-64"/>
        <w:rPr>
          <w:rFonts w:ascii="Arial" w:hAnsi="Arial" w:cs="Arial"/>
          <w:sz w:val="18"/>
          <w:szCs w:val="16"/>
        </w:rPr>
      </w:pPr>
      <w:r w:rsidRPr="00030750">
        <w:rPr>
          <w:rFonts w:ascii="Arial" w:hAnsi="Arial" w:cs="Arial"/>
          <w:spacing w:val="-1"/>
          <w:sz w:val="18"/>
          <w:szCs w:val="16"/>
        </w:rPr>
        <w:t>Company</w:t>
      </w:r>
      <w:r w:rsidRPr="00030750">
        <w:rPr>
          <w:rFonts w:ascii="Arial" w:hAnsi="Arial" w:cs="Arial"/>
          <w:sz w:val="18"/>
          <w:szCs w:val="16"/>
        </w:rPr>
        <w:t xml:space="preserve"> </w:t>
      </w:r>
      <w:r w:rsidRPr="00030750">
        <w:rPr>
          <w:rFonts w:ascii="Arial" w:hAnsi="Arial" w:cs="Arial"/>
          <w:spacing w:val="-1"/>
          <w:sz w:val="18"/>
          <w:szCs w:val="16"/>
        </w:rPr>
        <w:t>name:</w:t>
      </w:r>
      <w:r w:rsidRPr="00030750">
        <w:rPr>
          <w:rFonts w:ascii="Arial" w:hAnsi="Arial" w:cs="Arial"/>
          <w:sz w:val="18"/>
          <w:szCs w:val="16"/>
        </w:rPr>
        <w:t xml:space="preserve"> </w:t>
      </w:r>
      <w:r w:rsidRPr="00030750">
        <w:rPr>
          <w:rFonts w:ascii="Arial" w:hAnsi="Arial" w:cs="Arial"/>
          <w:spacing w:val="-1"/>
          <w:sz w:val="18"/>
          <w:szCs w:val="16"/>
        </w:rPr>
        <w:t>...........................................................</w:t>
      </w:r>
      <w:r w:rsidRPr="00030750">
        <w:rPr>
          <w:rFonts w:ascii="Arial" w:hAnsi="Arial" w:cs="Arial"/>
          <w:spacing w:val="3"/>
          <w:sz w:val="18"/>
          <w:szCs w:val="16"/>
        </w:rPr>
        <w:t xml:space="preserve"> </w:t>
      </w:r>
      <w:r w:rsidRPr="00030750">
        <w:rPr>
          <w:rFonts w:ascii="Arial" w:hAnsi="Arial" w:cs="Arial"/>
          <w:sz w:val="18"/>
          <w:szCs w:val="16"/>
        </w:rPr>
        <w:t>Approval</w:t>
      </w:r>
      <w:r w:rsidRPr="00030750">
        <w:rPr>
          <w:rFonts w:ascii="Arial" w:hAnsi="Arial" w:cs="Arial"/>
          <w:spacing w:val="1"/>
          <w:sz w:val="18"/>
          <w:szCs w:val="16"/>
        </w:rPr>
        <w:t xml:space="preserve"> </w:t>
      </w:r>
      <w:r w:rsidRPr="00030750">
        <w:rPr>
          <w:rFonts w:ascii="Arial" w:hAnsi="Arial" w:cs="Arial"/>
          <w:sz w:val="18"/>
          <w:szCs w:val="16"/>
        </w:rPr>
        <w:t>reference:</w:t>
      </w:r>
      <w:r w:rsidRPr="00030750">
        <w:rPr>
          <w:rFonts w:ascii="Arial" w:hAnsi="Arial" w:cs="Arial"/>
          <w:spacing w:val="3"/>
          <w:sz w:val="18"/>
          <w:szCs w:val="16"/>
        </w:rPr>
        <w:t xml:space="preserve"> </w:t>
      </w:r>
      <w:r w:rsidR="00030750">
        <w:rPr>
          <w:rFonts w:ascii="Arial" w:hAnsi="Arial" w:cs="Arial"/>
          <w:sz w:val="18"/>
          <w:szCs w:val="16"/>
        </w:rPr>
        <w:t>…………………………………</w:t>
      </w:r>
    </w:p>
    <w:p w14:paraId="303EF0B5" w14:textId="77777777" w:rsidR="00D2333E" w:rsidRPr="00030750" w:rsidRDefault="00D2333E" w:rsidP="00030750">
      <w:pPr>
        <w:spacing w:before="119" w:line="276" w:lineRule="auto"/>
        <w:ind w:left="253" w:right="-64"/>
        <w:rPr>
          <w:rFonts w:ascii="Arial" w:hAnsi="Arial" w:cs="Arial"/>
          <w:sz w:val="18"/>
          <w:szCs w:val="16"/>
        </w:rPr>
      </w:pPr>
    </w:p>
    <w:p w14:paraId="79A51BCE" w14:textId="77777777" w:rsidR="00D2333E" w:rsidRPr="00030750" w:rsidRDefault="00D2333E" w:rsidP="00030750">
      <w:pPr>
        <w:spacing w:before="120" w:line="276" w:lineRule="auto"/>
        <w:ind w:left="253" w:right="-64"/>
        <w:rPr>
          <w:rFonts w:ascii="Arial" w:hAnsi="Arial" w:cs="Arial"/>
          <w:spacing w:val="-1"/>
          <w:sz w:val="18"/>
          <w:szCs w:val="16"/>
        </w:rPr>
      </w:pPr>
      <w:r w:rsidRPr="00030750">
        <w:rPr>
          <w:rFonts w:ascii="Arial" w:hAnsi="Arial" w:cs="Arial"/>
          <w:spacing w:val="-1"/>
          <w:sz w:val="18"/>
          <w:szCs w:val="16"/>
        </w:rPr>
        <w:t xml:space="preserve">2nd Extension: the aircraft complies with the conditions of point ML.A.901(c) of Annex Vb (Part-ML) </w:t>
      </w:r>
    </w:p>
    <w:p w14:paraId="4E2895B0" w14:textId="77777777" w:rsidR="00D2333E" w:rsidRPr="00030750" w:rsidRDefault="00D2333E" w:rsidP="00030750">
      <w:pPr>
        <w:spacing w:before="120" w:line="276" w:lineRule="auto"/>
        <w:ind w:left="253" w:right="-64"/>
        <w:rPr>
          <w:rFonts w:ascii="Arial" w:hAnsi="Arial" w:cs="Arial"/>
          <w:spacing w:val="-1"/>
          <w:sz w:val="18"/>
          <w:szCs w:val="16"/>
        </w:rPr>
      </w:pPr>
      <w:r w:rsidRPr="00030750">
        <w:rPr>
          <w:rFonts w:ascii="Arial" w:hAnsi="Arial" w:cs="Arial"/>
          <w:spacing w:val="-1"/>
          <w:sz w:val="18"/>
          <w:szCs w:val="16"/>
        </w:rPr>
        <w:t xml:space="preserve">Date of issue: .................................................................. Date of expiry: </w:t>
      </w:r>
      <w:r w:rsidR="00030750">
        <w:rPr>
          <w:rFonts w:ascii="Arial" w:hAnsi="Arial" w:cs="Arial"/>
          <w:spacing w:val="-1"/>
          <w:sz w:val="18"/>
          <w:szCs w:val="16"/>
        </w:rPr>
        <w:t>………………………………………</w:t>
      </w:r>
    </w:p>
    <w:p w14:paraId="0603517D" w14:textId="77777777" w:rsidR="00D2333E" w:rsidRPr="00030750" w:rsidRDefault="00D2333E" w:rsidP="00030750">
      <w:pPr>
        <w:spacing w:before="120" w:line="276" w:lineRule="auto"/>
        <w:ind w:left="253" w:right="-64"/>
        <w:rPr>
          <w:rFonts w:ascii="Arial" w:hAnsi="Arial" w:cs="Arial"/>
          <w:spacing w:val="-1"/>
          <w:sz w:val="18"/>
          <w:szCs w:val="16"/>
        </w:rPr>
      </w:pPr>
      <w:r w:rsidRPr="00030750">
        <w:rPr>
          <w:rFonts w:ascii="Arial" w:hAnsi="Arial" w:cs="Arial"/>
          <w:spacing w:val="-1"/>
          <w:sz w:val="18"/>
          <w:szCs w:val="16"/>
        </w:rPr>
        <w:t>Airframe flight hours (FH) at date of issue (*): ……………………………………………………………</w:t>
      </w:r>
      <w:r w:rsidR="00030750">
        <w:rPr>
          <w:rFonts w:ascii="Arial" w:hAnsi="Arial" w:cs="Arial"/>
          <w:spacing w:val="-1"/>
          <w:sz w:val="18"/>
          <w:szCs w:val="16"/>
        </w:rPr>
        <w:t>………</w:t>
      </w:r>
    </w:p>
    <w:p w14:paraId="4859E600" w14:textId="77777777" w:rsidR="00D2333E" w:rsidRPr="00030750" w:rsidRDefault="00D2333E" w:rsidP="00030750">
      <w:pPr>
        <w:spacing w:before="119" w:line="276" w:lineRule="auto"/>
        <w:ind w:left="253" w:right="-64"/>
        <w:rPr>
          <w:rFonts w:ascii="Arial" w:hAnsi="Arial" w:cs="Arial"/>
          <w:sz w:val="18"/>
          <w:szCs w:val="16"/>
        </w:rPr>
      </w:pPr>
      <w:r w:rsidRPr="00030750">
        <w:rPr>
          <w:rFonts w:ascii="Arial" w:hAnsi="Arial" w:cs="Arial"/>
          <w:spacing w:val="-1"/>
          <w:sz w:val="18"/>
          <w:szCs w:val="16"/>
        </w:rPr>
        <w:t>Signed:</w:t>
      </w:r>
      <w:r w:rsidRPr="00030750">
        <w:rPr>
          <w:rFonts w:ascii="Arial" w:hAnsi="Arial" w:cs="Arial"/>
          <w:spacing w:val="-2"/>
          <w:sz w:val="18"/>
          <w:szCs w:val="16"/>
        </w:rPr>
        <w:t xml:space="preserve"> </w:t>
      </w:r>
      <w:r w:rsidRPr="00030750">
        <w:rPr>
          <w:rFonts w:ascii="Arial" w:hAnsi="Arial" w:cs="Arial"/>
          <w:spacing w:val="-1"/>
          <w:sz w:val="18"/>
          <w:szCs w:val="16"/>
        </w:rPr>
        <w:t>............................................................................</w:t>
      </w:r>
      <w:r w:rsidRPr="00030750">
        <w:rPr>
          <w:rFonts w:ascii="Arial" w:hAnsi="Arial" w:cs="Arial"/>
          <w:sz w:val="18"/>
          <w:szCs w:val="16"/>
        </w:rPr>
        <w:t xml:space="preserve"> Authorisation No:</w:t>
      </w:r>
      <w:r w:rsidRPr="00030750">
        <w:rPr>
          <w:rFonts w:ascii="Arial" w:hAnsi="Arial" w:cs="Arial"/>
          <w:spacing w:val="-1"/>
          <w:sz w:val="18"/>
          <w:szCs w:val="16"/>
        </w:rPr>
        <w:t xml:space="preserve"> </w:t>
      </w:r>
      <w:r w:rsidRPr="00030750">
        <w:rPr>
          <w:rFonts w:ascii="Arial" w:hAnsi="Arial" w:cs="Arial"/>
          <w:sz w:val="18"/>
          <w:szCs w:val="16"/>
        </w:rPr>
        <w:t>………</w:t>
      </w:r>
      <w:r w:rsidR="00030750">
        <w:rPr>
          <w:rFonts w:ascii="Arial" w:hAnsi="Arial" w:cs="Arial"/>
          <w:sz w:val="18"/>
          <w:szCs w:val="16"/>
        </w:rPr>
        <w:t>………….....................…</w:t>
      </w:r>
    </w:p>
    <w:p w14:paraId="3BD973AE" w14:textId="77777777" w:rsidR="005D0782" w:rsidRPr="00030750" w:rsidRDefault="00D2333E" w:rsidP="00030750">
      <w:pPr>
        <w:spacing w:before="119" w:line="276" w:lineRule="auto"/>
        <w:ind w:left="253" w:right="-64"/>
        <w:rPr>
          <w:rFonts w:ascii="Arial" w:hAnsi="Arial" w:cs="Arial"/>
          <w:sz w:val="18"/>
          <w:szCs w:val="16"/>
        </w:rPr>
      </w:pPr>
      <w:r w:rsidRPr="00030750">
        <w:rPr>
          <w:rFonts w:ascii="Arial" w:hAnsi="Arial" w:cs="Arial"/>
          <w:sz w:val="18"/>
          <w:szCs w:val="16"/>
        </w:rPr>
        <w:t>Company</w:t>
      </w:r>
      <w:r w:rsidRPr="00030750">
        <w:rPr>
          <w:rFonts w:ascii="Arial" w:hAnsi="Arial" w:cs="Arial"/>
          <w:spacing w:val="-10"/>
          <w:sz w:val="18"/>
          <w:szCs w:val="16"/>
        </w:rPr>
        <w:t xml:space="preserve"> </w:t>
      </w:r>
      <w:r w:rsidRPr="00030750">
        <w:rPr>
          <w:rFonts w:ascii="Arial" w:hAnsi="Arial" w:cs="Arial"/>
          <w:sz w:val="18"/>
          <w:szCs w:val="16"/>
        </w:rPr>
        <w:t>name:</w:t>
      </w:r>
      <w:r w:rsidRPr="00030750">
        <w:rPr>
          <w:rFonts w:ascii="Arial" w:hAnsi="Arial" w:cs="Arial"/>
          <w:spacing w:val="-11"/>
          <w:sz w:val="18"/>
          <w:szCs w:val="16"/>
        </w:rPr>
        <w:t xml:space="preserve"> </w:t>
      </w:r>
      <w:r w:rsidRPr="00030750">
        <w:rPr>
          <w:rFonts w:ascii="Arial" w:hAnsi="Arial" w:cs="Arial"/>
          <w:sz w:val="18"/>
          <w:szCs w:val="16"/>
        </w:rPr>
        <w:t>.............................................................</w:t>
      </w:r>
      <w:r w:rsidRPr="00030750">
        <w:rPr>
          <w:rFonts w:ascii="Arial" w:hAnsi="Arial" w:cs="Arial"/>
          <w:spacing w:val="-10"/>
          <w:sz w:val="18"/>
          <w:szCs w:val="16"/>
        </w:rPr>
        <w:t xml:space="preserve"> </w:t>
      </w:r>
      <w:r w:rsidRPr="00030750">
        <w:rPr>
          <w:rFonts w:ascii="Arial" w:hAnsi="Arial" w:cs="Arial"/>
          <w:sz w:val="18"/>
          <w:szCs w:val="16"/>
        </w:rPr>
        <w:t>Approval</w:t>
      </w:r>
      <w:r w:rsidRPr="00030750">
        <w:rPr>
          <w:rFonts w:ascii="Arial" w:hAnsi="Arial" w:cs="Arial"/>
          <w:spacing w:val="-9"/>
          <w:sz w:val="18"/>
          <w:szCs w:val="16"/>
        </w:rPr>
        <w:t xml:space="preserve"> </w:t>
      </w:r>
      <w:r w:rsidRPr="00030750">
        <w:rPr>
          <w:rFonts w:ascii="Arial" w:hAnsi="Arial" w:cs="Arial"/>
          <w:sz w:val="18"/>
          <w:szCs w:val="16"/>
        </w:rPr>
        <w:t>reference: …………………....</w:t>
      </w:r>
      <w:r w:rsidR="00030750">
        <w:rPr>
          <w:rFonts w:ascii="Arial" w:hAnsi="Arial" w:cs="Arial"/>
          <w:sz w:val="18"/>
          <w:szCs w:val="16"/>
        </w:rPr>
        <w:t>.................</w:t>
      </w:r>
    </w:p>
    <w:p w14:paraId="2037A059" w14:textId="77777777" w:rsidR="005D0782" w:rsidRDefault="005D0782" w:rsidP="00030750">
      <w:pPr>
        <w:rPr>
          <w:rFonts w:ascii="Arial" w:hAnsi="Arial" w:cs="Arial"/>
          <w:sz w:val="20"/>
        </w:rPr>
      </w:pPr>
    </w:p>
    <w:p w14:paraId="110F2A69" w14:textId="77777777" w:rsidR="00030750" w:rsidRPr="00030750" w:rsidRDefault="00030750" w:rsidP="00030750">
      <w:pPr>
        <w:tabs>
          <w:tab w:val="left" w:pos="706"/>
        </w:tabs>
        <w:spacing w:before="130"/>
        <w:ind w:left="140"/>
        <w:rPr>
          <w:rFonts w:ascii="Arial" w:hAnsi="Arial" w:cs="Arial"/>
          <w:sz w:val="20"/>
          <w:szCs w:val="20"/>
        </w:rPr>
      </w:pPr>
      <w:r>
        <w:rPr>
          <w:rFonts w:ascii="Arial" w:hAnsi="Arial" w:cs="Arial"/>
          <w:sz w:val="20"/>
          <w:szCs w:val="20"/>
        </w:rPr>
        <w:t xml:space="preserve">(*) </w:t>
      </w:r>
      <w:r w:rsidRPr="00030750">
        <w:rPr>
          <w:rFonts w:ascii="Arial" w:hAnsi="Arial" w:cs="Arial"/>
          <w:sz w:val="20"/>
          <w:szCs w:val="20"/>
        </w:rPr>
        <w:t>except</w:t>
      </w:r>
      <w:r w:rsidRPr="00030750">
        <w:rPr>
          <w:rFonts w:ascii="Arial" w:hAnsi="Arial" w:cs="Arial"/>
          <w:spacing w:val="-4"/>
          <w:sz w:val="20"/>
          <w:szCs w:val="20"/>
        </w:rPr>
        <w:t xml:space="preserve"> </w:t>
      </w:r>
      <w:r w:rsidRPr="00030750">
        <w:rPr>
          <w:rFonts w:ascii="Arial" w:hAnsi="Arial" w:cs="Arial"/>
          <w:sz w:val="20"/>
          <w:szCs w:val="20"/>
        </w:rPr>
        <w:t>for</w:t>
      </w:r>
      <w:r w:rsidRPr="00030750">
        <w:rPr>
          <w:rFonts w:ascii="Arial" w:hAnsi="Arial" w:cs="Arial"/>
          <w:spacing w:val="-3"/>
          <w:sz w:val="20"/>
          <w:szCs w:val="20"/>
        </w:rPr>
        <w:t xml:space="preserve"> </w:t>
      </w:r>
      <w:r w:rsidRPr="00030750">
        <w:rPr>
          <w:rFonts w:ascii="Arial" w:hAnsi="Arial" w:cs="Arial"/>
          <w:sz w:val="20"/>
          <w:szCs w:val="20"/>
        </w:rPr>
        <w:t>balloons</w:t>
      </w:r>
      <w:r w:rsidRPr="00030750">
        <w:rPr>
          <w:rFonts w:ascii="Arial" w:hAnsi="Arial" w:cs="Arial"/>
          <w:spacing w:val="-3"/>
          <w:sz w:val="20"/>
          <w:szCs w:val="20"/>
        </w:rPr>
        <w:t xml:space="preserve"> </w:t>
      </w:r>
      <w:r w:rsidRPr="00030750">
        <w:rPr>
          <w:rFonts w:ascii="Arial" w:hAnsi="Arial" w:cs="Arial"/>
          <w:sz w:val="20"/>
          <w:szCs w:val="20"/>
        </w:rPr>
        <w:t>and</w:t>
      </w:r>
      <w:r w:rsidRPr="00030750">
        <w:rPr>
          <w:rFonts w:ascii="Arial" w:hAnsi="Arial" w:cs="Arial"/>
          <w:spacing w:val="-2"/>
          <w:sz w:val="20"/>
          <w:szCs w:val="20"/>
        </w:rPr>
        <w:t xml:space="preserve"> </w:t>
      </w:r>
      <w:r w:rsidRPr="00030750">
        <w:rPr>
          <w:rFonts w:ascii="Arial" w:hAnsi="Arial" w:cs="Arial"/>
          <w:sz w:val="20"/>
          <w:szCs w:val="20"/>
        </w:rPr>
        <w:t>airships</w:t>
      </w:r>
    </w:p>
    <w:p w14:paraId="5A8B3B08" w14:textId="6E8B14E4" w:rsidR="002B7537" w:rsidRPr="002B7537" w:rsidRDefault="00030750" w:rsidP="002B7537">
      <w:pPr>
        <w:spacing w:before="119"/>
        <w:ind w:left="140"/>
        <w:rPr>
          <w:rFonts w:ascii="Arial" w:hAnsi="Arial" w:cs="Arial"/>
          <w:b/>
          <w:i/>
          <w:sz w:val="20"/>
          <w:szCs w:val="20"/>
        </w:rPr>
        <w:sectPr w:rsidR="002B7537" w:rsidRPr="002B7537" w:rsidSect="008304B0">
          <w:headerReference w:type="default" r:id="rId142"/>
          <w:pgSz w:w="11906" w:h="16838" w:code="9"/>
          <w:pgMar w:top="450" w:right="1440" w:bottom="540" w:left="1350" w:header="407" w:footer="0" w:gutter="0"/>
          <w:cols w:space="720"/>
          <w:docGrid w:linePitch="360"/>
        </w:sectPr>
      </w:pPr>
      <w:r w:rsidRPr="00E9237F">
        <w:rPr>
          <w:rFonts w:ascii="Arial" w:hAnsi="Arial" w:cs="Arial"/>
          <w:b/>
          <w:i/>
          <w:spacing w:val="-2"/>
          <w:sz w:val="20"/>
          <w:szCs w:val="20"/>
        </w:rPr>
        <w:t xml:space="preserve"> </w:t>
      </w:r>
      <w:r w:rsidRPr="00E9237F">
        <w:rPr>
          <w:rFonts w:ascii="Arial" w:hAnsi="Arial" w:cs="Arial"/>
          <w:b/>
          <w:i/>
          <w:sz w:val="20"/>
          <w:szCs w:val="20"/>
        </w:rPr>
        <w:t>Form</w:t>
      </w:r>
      <w:r w:rsidRPr="00E9237F">
        <w:rPr>
          <w:rFonts w:ascii="Arial" w:hAnsi="Arial" w:cs="Arial"/>
          <w:b/>
          <w:i/>
          <w:spacing w:val="-2"/>
          <w:sz w:val="20"/>
          <w:szCs w:val="20"/>
        </w:rPr>
        <w:t xml:space="preserve"> </w:t>
      </w:r>
      <w:r w:rsidRPr="00E9237F">
        <w:rPr>
          <w:rFonts w:ascii="Arial" w:hAnsi="Arial" w:cs="Arial"/>
          <w:b/>
          <w:i/>
          <w:sz w:val="20"/>
          <w:szCs w:val="20"/>
        </w:rPr>
        <w:t>15c</w:t>
      </w:r>
      <w:r w:rsidRPr="00E9237F">
        <w:rPr>
          <w:rFonts w:ascii="Arial" w:hAnsi="Arial" w:cs="Arial"/>
          <w:b/>
          <w:i/>
          <w:spacing w:val="-1"/>
          <w:sz w:val="20"/>
          <w:szCs w:val="20"/>
        </w:rPr>
        <w:t xml:space="preserve"> </w:t>
      </w:r>
      <w:r w:rsidRPr="00E9237F">
        <w:rPr>
          <w:rFonts w:ascii="Arial" w:hAnsi="Arial" w:cs="Arial"/>
          <w:b/>
          <w:i/>
          <w:sz w:val="20"/>
          <w:szCs w:val="20"/>
        </w:rPr>
        <w:t>Issue 3</w:t>
      </w:r>
    </w:p>
    <w:p w14:paraId="605C0A8D" w14:textId="77777777" w:rsidR="00F4288E" w:rsidRPr="00F4288E" w:rsidRDefault="00F4288E" w:rsidP="00F4288E">
      <w:pPr>
        <w:pStyle w:val="Heading1"/>
        <w:spacing w:line="276" w:lineRule="auto"/>
        <w:jc w:val="center"/>
        <w:rPr>
          <w:rFonts w:ascii="Arial" w:hAnsi="Arial" w:cs="Arial"/>
          <w:b/>
          <w:color w:val="1F4E79" w:themeColor="accent1" w:themeShade="80"/>
        </w:rPr>
      </w:pPr>
      <w:bookmarkStart w:id="981" w:name="_Toc153137585"/>
      <w:r w:rsidRPr="00F4288E">
        <w:rPr>
          <w:rFonts w:ascii="Arial" w:hAnsi="Arial" w:cs="Arial"/>
          <w:b/>
          <w:color w:val="1F4E79" w:themeColor="accent1" w:themeShade="80"/>
        </w:rPr>
        <w:lastRenderedPageBreak/>
        <w:t>CHAPTER 3 — INITIAL AIRWORTHINESS</w:t>
      </w:r>
      <w:bookmarkEnd w:id="981"/>
    </w:p>
    <w:p w14:paraId="460DB5CA" w14:textId="0328CB37" w:rsidR="00F4288E" w:rsidRPr="00F4288E" w:rsidRDefault="00F4288E" w:rsidP="00F4288E">
      <w:pPr>
        <w:pStyle w:val="BodyText"/>
        <w:spacing w:before="117"/>
        <w:ind w:left="140"/>
        <w:rPr>
          <w:rFonts w:ascii="Arial" w:hAnsi="Arial" w:cs="Arial"/>
          <w:sz w:val="20"/>
          <w:szCs w:val="20"/>
        </w:rPr>
      </w:pPr>
      <w:r w:rsidRPr="00F4288E">
        <w:rPr>
          <w:rFonts w:ascii="Arial" w:hAnsi="Arial" w:cs="Arial"/>
          <w:sz w:val="20"/>
          <w:szCs w:val="20"/>
        </w:rPr>
        <w:t>As</w:t>
      </w:r>
      <w:r w:rsidRPr="00F4288E">
        <w:rPr>
          <w:rFonts w:ascii="Arial" w:hAnsi="Arial" w:cs="Arial"/>
          <w:spacing w:val="1"/>
          <w:sz w:val="20"/>
          <w:szCs w:val="20"/>
        </w:rPr>
        <w:t xml:space="preserve"> </w:t>
      </w:r>
      <w:r w:rsidRPr="00F4288E">
        <w:rPr>
          <w:rFonts w:ascii="Arial" w:hAnsi="Arial" w:cs="Arial"/>
          <w:sz w:val="20"/>
          <w:szCs w:val="20"/>
        </w:rPr>
        <w:t>regards</w:t>
      </w:r>
      <w:r w:rsidRPr="00F4288E">
        <w:rPr>
          <w:rFonts w:ascii="Arial" w:hAnsi="Arial" w:cs="Arial"/>
          <w:spacing w:val="1"/>
          <w:sz w:val="20"/>
          <w:szCs w:val="20"/>
        </w:rPr>
        <w:t xml:space="preserve"> </w:t>
      </w:r>
      <w:r w:rsidRPr="00F4288E">
        <w:rPr>
          <w:rFonts w:ascii="Arial" w:hAnsi="Arial" w:cs="Arial"/>
          <w:sz w:val="20"/>
          <w:szCs w:val="20"/>
        </w:rPr>
        <w:t>Part-21,</w:t>
      </w:r>
      <w:r w:rsidRPr="00F4288E">
        <w:rPr>
          <w:rFonts w:ascii="Arial" w:hAnsi="Arial" w:cs="Arial"/>
          <w:spacing w:val="1"/>
          <w:sz w:val="20"/>
          <w:szCs w:val="20"/>
        </w:rPr>
        <w:t xml:space="preserve"> </w:t>
      </w:r>
      <w:r w:rsidRPr="00F4288E">
        <w:rPr>
          <w:rFonts w:ascii="Arial" w:hAnsi="Arial" w:cs="Arial"/>
          <w:sz w:val="20"/>
          <w:szCs w:val="20"/>
        </w:rPr>
        <w:t>please</w:t>
      </w:r>
      <w:r w:rsidRPr="00F4288E">
        <w:rPr>
          <w:rFonts w:ascii="Arial" w:hAnsi="Arial" w:cs="Arial"/>
          <w:spacing w:val="1"/>
          <w:sz w:val="20"/>
          <w:szCs w:val="20"/>
        </w:rPr>
        <w:t xml:space="preserve"> </w:t>
      </w:r>
      <w:r w:rsidRPr="00F4288E">
        <w:rPr>
          <w:rFonts w:ascii="Arial" w:hAnsi="Arial" w:cs="Arial"/>
          <w:sz w:val="20"/>
          <w:szCs w:val="20"/>
        </w:rPr>
        <w:t>refer</w:t>
      </w:r>
      <w:r w:rsidRPr="00F4288E">
        <w:rPr>
          <w:rFonts w:ascii="Arial" w:hAnsi="Arial" w:cs="Arial"/>
          <w:spacing w:val="1"/>
          <w:sz w:val="20"/>
          <w:szCs w:val="20"/>
        </w:rPr>
        <w:t xml:space="preserve"> </w:t>
      </w:r>
      <w:r w:rsidRPr="00F4288E">
        <w:rPr>
          <w:rFonts w:ascii="Arial" w:hAnsi="Arial" w:cs="Arial"/>
          <w:sz w:val="20"/>
          <w:szCs w:val="20"/>
        </w:rPr>
        <w:t>to</w:t>
      </w:r>
      <w:r w:rsidRPr="00F4288E">
        <w:rPr>
          <w:rFonts w:ascii="Arial" w:hAnsi="Arial" w:cs="Arial"/>
          <w:spacing w:val="1"/>
          <w:sz w:val="20"/>
          <w:szCs w:val="20"/>
        </w:rPr>
        <w:t xml:space="preserve"> </w:t>
      </w:r>
      <w:r w:rsidRPr="00F4288E">
        <w:rPr>
          <w:rFonts w:ascii="Arial" w:hAnsi="Arial" w:cs="Arial"/>
          <w:sz w:val="20"/>
          <w:szCs w:val="20"/>
        </w:rPr>
        <w:t>the</w:t>
      </w:r>
      <w:r w:rsidRPr="00F4288E">
        <w:rPr>
          <w:rFonts w:ascii="Arial" w:hAnsi="Arial" w:cs="Arial"/>
          <w:spacing w:val="1"/>
          <w:sz w:val="20"/>
          <w:szCs w:val="20"/>
        </w:rPr>
        <w:t xml:space="preserve"> </w:t>
      </w:r>
      <w:hyperlink r:id="rId143" w:history="1">
        <w:r w:rsidR="00CF634E">
          <w:rPr>
            <w:rStyle w:val="Hyperlink"/>
            <w:rFonts w:ascii="Arial" w:hAnsi="Arial" w:cs="Arial"/>
            <w:sz w:val="20"/>
          </w:rPr>
          <w:t>the order N 20-N of the Minister of Territorial Administration and Infrastructure of RA, dated 18.11.2022</w:t>
        </w:r>
      </w:hyperlink>
    </w:p>
    <w:p w14:paraId="1703D5CF" w14:textId="77777777" w:rsidR="00F4288E" w:rsidRPr="00F4288E" w:rsidRDefault="00F4288E" w:rsidP="00F4288E">
      <w:pPr>
        <w:pStyle w:val="BodyText"/>
        <w:spacing w:before="0"/>
        <w:rPr>
          <w:rFonts w:ascii="Arial" w:hAnsi="Arial" w:cs="Arial"/>
          <w:sz w:val="20"/>
          <w:szCs w:val="20"/>
        </w:rPr>
      </w:pPr>
    </w:p>
    <w:p w14:paraId="092E2E5C" w14:textId="77777777" w:rsidR="00F4288E" w:rsidRPr="00F4288E" w:rsidRDefault="00F4288E" w:rsidP="00F4288E">
      <w:pPr>
        <w:pStyle w:val="BodyText"/>
        <w:spacing w:before="0"/>
        <w:rPr>
          <w:rFonts w:ascii="Arial" w:hAnsi="Arial" w:cs="Arial"/>
          <w:sz w:val="20"/>
          <w:szCs w:val="20"/>
        </w:rPr>
      </w:pPr>
    </w:p>
    <w:p w14:paraId="4BB52FD3" w14:textId="77777777" w:rsidR="00F4288E" w:rsidRPr="00F4288E" w:rsidRDefault="00F4288E" w:rsidP="00F4288E">
      <w:pPr>
        <w:pStyle w:val="BodyText"/>
        <w:spacing w:before="6"/>
        <w:rPr>
          <w:rFonts w:ascii="Arial" w:hAnsi="Arial" w:cs="Arial"/>
          <w:sz w:val="20"/>
          <w:szCs w:val="20"/>
        </w:rPr>
      </w:pPr>
    </w:p>
    <w:p w14:paraId="00F89888" w14:textId="77777777" w:rsidR="00F4288E" w:rsidRDefault="00F4288E" w:rsidP="00F4288E">
      <w:pPr>
        <w:keepNext/>
        <w:keepLines/>
        <w:widowControl/>
        <w:autoSpaceDE/>
        <w:autoSpaceDN/>
        <w:spacing w:before="40" w:line="259" w:lineRule="auto"/>
        <w:jc w:val="center"/>
        <w:outlineLvl w:val="2"/>
        <w:rPr>
          <w:rFonts w:ascii="Arial" w:eastAsiaTheme="majorEastAsia" w:hAnsi="Arial" w:cs="Arial"/>
          <w:b/>
          <w:color w:val="00B0F0"/>
          <w:sz w:val="24"/>
          <w:szCs w:val="24"/>
        </w:rPr>
      </w:pPr>
      <w:bookmarkStart w:id="982" w:name="CS-31GB_(Initial_issue)"/>
      <w:bookmarkStart w:id="983" w:name="_bookmark421"/>
      <w:bookmarkStart w:id="984" w:name="_Toc153137586"/>
      <w:bookmarkEnd w:id="982"/>
      <w:bookmarkEnd w:id="983"/>
      <w:r w:rsidRPr="00F4288E">
        <w:rPr>
          <w:rFonts w:ascii="Arial" w:eastAsiaTheme="majorEastAsia" w:hAnsi="Arial" w:cs="Arial"/>
          <w:b/>
          <w:color w:val="00B0F0"/>
          <w:sz w:val="24"/>
          <w:szCs w:val="24"/>
        </w:rPr>
        <w:t>CS-31GB (INITIAL ISSUE)</w:t>
      </w:r>
      <w:bookmarkEnd w:id="984"/>
      <w:r w:rsidRPr="00F4288E">
        <w:rPr>
          <w:rFonts w:ascii="Arial" w:eastAsiaTheme="majorEastAsia" w:hAnsi="Arial" w:cs="Arial"/>
          <w:b/>
          <w:color w:val="00B0F0"/>
          <w:sz w:val="24"/>
          <w:szCs w:val="24"/>
        </w:rPr>
        <w:t xml:space="preserve"> </w:t>
      </w:r>
      <w:bookmarkStart w:id="985" w:name="_bookmark422"/>
      <w:bookmarkEnd w:id="985"/>
    </w:p>
    <w:p w14:paraId="5C005BF1" w14:textId="77777777" w:rsidR="00F4288E" w:rsidRPr="00F4288E" w:rsidRDefault="00F4288E" w:rsidP="00F4288E">
      <w:pPr>
        <w:pStyle w:val="BodyText"/>
        <w:jc w:val="center"/>
        <w:rPr>
          <w:rFonts w:ascii="Arial" w:hAnsi="Arial" w:cs="Arial"/>
          <w:b/>
          <w:color w:val="002060"/>
          <w:sz w:val="24"/>
        </w:rPr>
      </w:pPr>
      <w:r w:rsidRPr="00F4288E">
        <w:rPr>
          <w:rFonts w:ascii="Arial" w:hAnsi="Arial" w:cs="Arial"/>
          <w:b/>
          <w:color w:val="002060"/>
          <w:sz w:val="24"/>
        </w:rPr>
        <w:t>INCORPORATED AMENDMENTS</w:t>
      </w:r>
    </w:p>
    <w:p w14:paraId="14D411C8" w14:textId="77777777" w:rsidR="00F4288E" w:rsidRDefault="00F4288E" w:rsidP="00F4288E">
      <w:pPr>
        <w:pStyle w:val="BodyText"/>
        <w:jc w:val="center"/>
        <w:rPr>
          <w:rFonts w:ascii="Arial" w:hAnsi="Arial" w:cs="Arial"/>
          <w:b/>
          <w:color w:val="00B0F0"/>
          <w:sz w:val="24"/>
        </w:rPr>
      </w:pPr>
      <w:r w:rsidRPr="00F4288E">
        <w:rPr>
          <w:rFonts w:ascii="Arial" w:hAnsi="Arial" w:cs="Arial"/>
          <w:b/>
          <w:color w:val="00B0F0"/>
          <w:sz w:val="24"/>
        </w:rPr>
        <w:t>CS/AMC (ED DECISIONS)</w:t>
      </w:r>
    </w:p>
    <w:p w14:paraId="26BAF3CF" w14:textId="77777777" w:rsidR="00985DE9" w:rsidRPr="00F4288E" w:rsidRDefault="00985DE9" w:rsidP="00F4288E">
      <w:pPr>
        <w:pStyle w:val="BodyText"/>
        <w:jc w:val="center"/>
        <w:rPr>
          <w:rFonts w:ascii="Arial" w:hAnsi="Arial" w:cs="Arial"/>
          <w:b/>
          <w:color w:val="00B0F0"/>
          <w:sz w:val="24"/>
        </w:rPr>
      </w:pPr>
    </w:p>
    <w:tbl>
      <w:tblPr>
        <w:tblStyle w:val="TableGrid31"/>
        <w:tblW w:w="0" w:type="auto"/>
        <w:tblLayout w:type="fixed"/>
        <w:tblLook w:val="01E0" w:firstRow="1" w:lastRow="1" w:firstColumn="1" w:lastColumn="1" w:noHBand="0" w:noVBand="0"/>
      </w:tblPr>
      <w:tblGrid>
        <w:gridCol w:w="3142"/>
        <w:gridCol w:w="2792"/>
        <w:gridCol w:w="3140"/>
      </w:tblGrid>
      <w:tr w:rsidR="00985DE9" w:rsidRPr="00985DE9" w14:paraId="43636611" w14:textId="77777777" w:rsidTr="000F5D9A">
        <w:trPr>
          <w:trHeight w:val="445"/>
        </w:trPr>
        <w:tc>
          <w:tcPr>
            <w:tcW w:w="3142" w:type="dxa"/>
            <w:shd w:val="clear" w:color="auto" w:fill="F2F2F2" w:themeFill="background1" w:themeFillShade="F2"/>
          </w:tcPr>
          <w:p w14:paraId="6D2810FB" w14:textId="77777777" w:rsidR="00F4288E" w:rsidRPr="00985DE9" w:rsidRDefault="00F4288E" w:rsidP="00C20B70">
            <w:pPr>
              <w:pStyle w:val="TableParagraph"/>
              <w:spacing w:before="121"/>
              <w:ind w:left="88"/>
              <w:rPr>
                <w:rFonts w:ascii="Arial" w:hAnsi="Arial" w:cs="Arial"/>
                <w:b/>
              </w:rPr>
            </w:pPr>
            <w:r w:rsidRPr="00985DE9">
              <w:rPr>
                <w:rFonts w:ascii="Arial" w:hAnsi="Arial" w:cs="Arial"/>
                <w:b/>
              </w:rPr>
              <w:t>Incorporated</w:t>
            </w:r>
            <w:r w:rsidRPr="00985DE9">
              <w:rPr>
                <w:rFonts w:ascii="Arial" w:hAnsi="Arial" w:cs="Arial"/>
                <w:b/>
                <w:spacing w:val="-4"/>
              </w:rPr>
              <w:t xml:space="preserve"> </w:t>
            </w:r>
            <w:r w:rsidRPr="00985DE9">
              <w:rPr>
                <w:rFonts w:ascii="Arial" w:hAnsi="Arial" w:cs="Arial"/>
                <w:b/>
              </w:rPr>
              <w:t>ED</w:t>
            </w:r>
            <w:r w:rsidRPr="00985DE9">
              <w:rPr>
                <w:rFonts w:ascii="Arial" w:hAnsi="Arial" w:cs="Arial"/>
                <w:b/>
                <w:spacing w:val="-5"/>
              </w:rPr>
              <w:t xml:space="preserve"> </w:t>
            </w:r>
            <w:r w:rsidRPr="00985DE9">
              <w:rPr>
                <w:rFonts w:ascii="Arial" w:hAnsi="Arial" w:cs="Arial"/>
                <w:b/>
              </w:rPr>
              <w:t>Decision</w:t>
            </w:r>
          </w:p>
        </w:tc>
        <w:tc>
          <w:tcPr>
            <w:tcW w:w="2792" w:type="dxa"/>
            <w:shd w:val="clear" w:color="auto" w:fill="F2F2F2" w:themeFill="background1" w:themeFillShade="F2"/>
          </w:tcPr>
          <w:p w14:paraId="352063A5" w14:textId="77777777" w:rsidR="00F4288E" w:rsidRPr="00985DE9" w:rsidRDefault="00F4288E" w:rsidP="00C20B70">
            <w:pPr>
              <w:pStyle w:val="TableParagraph"/>
              <w:spacing w:line="243" w:lineRule="exact"/>
              <w:rPr>
                <w:rFonts w:ascii="Arial" w:hAnsi="Arial" w:cs="Arial"/>
                <w:b/>
              </w:rPr>
            </w:pPr>
            <w:r w:rsidRPr="00985DE9">
              <w:rPr>
                <w:rFonts w:ascii="Arial" w:hAnsi="Arial" w:cs="Arial"/>
                <w:b/>
              </w:rPr>
              <w:t>CS/AMC</w:t>
            </w:r>
            <w:r w:rsidRPr="00985DE9">
              <w:rPr>
                <w:rFonts w:ascii="Arial" w:hAnsi="Arial" w:cs="Arial"/>
                <w:b/>
                <w:spacing w:val="-2"/>
              </w:rPr>
              <w:t xml:space="preserve"> </w:t>
            </w:r>
            <w:r w:rsidRPr="00985DE9">
              <w:rPr>
                <w:rFonts w:ascii="Arial" w:hAnsi="Arial" w:cs="Arial"/>
                <w:b/>
              </w:rPr>
              <w:t>Issue</w:t>
            </w:r>
            <w:r w:rsidRPr="00985DE9">
              <w:rPr>
                <w:rFonts w:ascii="Arial" w:hAnsi="Arial" w:cs="Arial"/>
                <w:b/>
                <w:spacing w:val="-3"/>
              </w:rPr>
              <w:t xml:space="preserve"> </w:t>
            </w:r>
            <w:r w:rsidRPr="00985DE9">
              <w:rPr>
                <w:rFonts w:ascii="Arial" w:hAnsi="Arial" w:cs="Arial"/>
                <w:b/>
              </w:rPr>
              <w:t>No,</w:t>
            </w:r>
          </w:p>
          <w:p w14:paraId="369B9186" w14:textId="77777777" w:rsidR="00F4288E" w:rsidRPr="00985DE9" w:rsidRDefault="00F4288E" w:rsidP="00C20B70">
            <w:pPr>
              <w:pStyle w:val="TableParagraph"/>
              <w:spacing w:line="225" w:lineRule="exact"/>
              <w:rPr>
                <w:rFonts w:ascii="Arial" w:hAnsi="Arial" w:cs="Arial"/>
                <w:b/>
              </w:rPr>
            </w:pPr>
            <w:r w:rsidRPr="00985DE9">
              <w:rPr>
                <w:rFonts w:ascii="Arial" w:hAnsi="Arial" w:cs="Arial"/>
                <w:b/>
              </w:rPr>
              <w:t>Amendment</w:t>
            </w:r>
            <w:r w:rsidRPr="00985DE9">
              <w:rPr>
                <w:rFonts w:ascii="Arial" w:hAnsi="Arial" w:cs="Arial"/>
                <w:b/>
                <w:spacing w:val="-3"/>
              </w:rPr>
              <w:t xml:space="preserve"> </w:t>
            </w:r>
            <w:r w:rsidRPr="00985DE9">
              <w:rPr>
                <w:rFonts w:ascii="Arial" w:hAnsi="Arial" w:cs="Arial"/>
                <w:b/>
              </w:rPr>
              <w:t>No</w:t>
            </w:r>
          </w:p>
        </w:tc>
        <w:tc>
          <w:tcPr>
            <w:tcW w:w="3140" w:type="dxa"/>
            <w:shd w:val="clear" w:color="auto" w:fill="F2F2F2" w:themeFill="background1" w:themeFillShade="F2"/>
          </w:tcPr>
          <w:p w14:paraId="092AA0B1" w14:textId="77777777" w:rsidR="00F4288E" w:rsidRPr="00985DE9" w:rsidRDefault="00F4288E" w:rsidP="00C20B70">
            <w:pPr>
              <w:pStyle w:val="TableParagraph"/>
              <w:spacing w:before="121"/>
              <w:rPr>
                <w:rFonts w:ascii="Arial" w:hAnsi="Arial" w:cs="Arial"/>
                <w:b/>
              </w:rPr>
            </w:pPr>
            <w:r w:rsidRPr="00985DE9">
              <w:rPr>
                <w:rFonts w:ascii="Arial" w:hAnsi="Arial" w:cs="Arial"/>
                <w:b/>
              </w:rPr>
              <w:t>Applicability</w:t>
            </w:r>
            <w:r w:rsidRPr="00985DE9">
              <w:rPr>
                <w:rFonts w:ascii="Arial" w:hAnsi="Arial" w:cs="Arial"/>
                <w:b/>
                <w:spacing w:val="-5"/>
              </w:rPr>
              <w:t xml:space="preserve"> </w:t>
            </w:r>
            <w:r w:rsidRPr="00985DE9">
              <w:rPr>
                <w:rFonts w:ascii="Arial" w:hAnsi="Arial" w:cs="Arial"/>
                <w:b/>
              </w:rPr>
              <w:t>date</w:t>
            </w:r>
          </w:p>
        </w:tc>
      </w:tr>
      <w:tr w:rsidR="00985DE9" w:rsidRPr="00985DE9" w14:paraId="20F9A3AE" w14:textId="77777777" w:rsidTr="000F5D9A">
        <w:trPr>
          <w:trHeight w:val="229"/>
        </w:trPr>
        <w:tc>
          <w:tcPr>
            <w:tcW w:w="3142" w:type="dxa"/>
          </w:tcPr>
          <w:p w14:paraId="574F63C1" w14:textId="77777777" w:rsidR="00F4288E" w:rsidRPr="00761C94" w:rsidRDefault="00F4288E" w:rsidP="00C20B70">
            <w:pPr>
              <w:pStyle w:val="TableParagraph"/>
              <w:ind w:left="88"/>
              <w:rPr>
                <w:rFonts w:ascii="Arial" w:hAnsi="Arial" w:cs="Arial"/>
              </w:rPr>
            </w:pPr>
            <w:r w:rsidRPr="00761C94">
              <w:rPr>
                <w:rFonts w:ascii="Arial" w:hAnsi="Arial" w:cs="Arial"/>
                <w:u w:val="single" w:color="0000FF"/>
              </w:rPr>
              <w:t>ED</w:t>
            </w:r>
            <w:r w:rsidRPr="00761C94">
              <w:rPr>
                <w:rFonts w:ascii="Arial" w:hAnsi="Arial" w:cs="Arial"/>
                <w:spacing w:val="-4"/>
                <w:u w:val="single" w:color="0000FF"/>
              </w:rPr>
              <w:t xml:space="preserve"> </w:t>
            </w:r>
            <w:r w:rsidRPr="00761C94">
              <w:rPr>
                <w:rFonts w:ascii="Arial" w:hAnsi="Arial" w:cs="Arial"/>
                <w:u w:val="single" w:color="0000FF"/>
              </w:rPr>
              <w:t>Decision</w:t>
            </w:r>
            <w:r w:rsidRPr="00761C94">
              <w:rPr>
                <w:rFonts w:ascii="Arial" w:hAnsi="Arial" w:cs="Arial"/>
                <w:spacing w:val="-1"/>
                <w:u w:val="single" w:color="0000FF"/>
              </w:rPr>
              <w:t xml:space="preserve"> </w:t>
            </w:r>
            <w:r w:rsidRPr="00761C94">
              <w:rPr>
                <w:rFonts w:ascii="Arial" w:hAnsi="Arial" w:cs="Arial"/>
                <w:u w:val="single" w:color="0000FF"/>
              </w:rPr>
              <w:t>2011/012/R</w:t>
            </w:r>
          </w:p>
        </w:tc>
        <w:tc>
          <w:tcPr>
            <w:tcW w:w="2792" w:type="dxa"/>
          </w:tcPr>
          <w:p w14:paraId="1BB2CB31" w14:textId="77777777" w:rsidR="00F4288E" w:rsidRPr="00985DE9" w:rsidRDefault="00F4288E" w:rsidP="00C20B70">
            <w:pPr>
              <w:pStyle w:val="TableParagraph"/>
              <w:rPr>
                <w:rFonts w:ascii="Arial" w:hAnsi="Arial" w:cs="Arial"/>
              </w:rPr>
            </w:pPr>
            <w:r w:rsidRPr="00985DE9">
              <w:rPr>
                <w:rFonts w:ascii="Arial" w:hAnsi="Arial" w:cs="Arial"/>
              </w:rPr>
              <w:t>CS-31GB/</w:t>
            </w:r>
            <w:r w:rsidRPr="00985DE9">
              <w:rPr>
                <w:rFonts w:ascii="Arial" w:hAnsi="Arial" w:cs="Arial"/>
                <w:spacing w:val="-3"/>
              </w:rPr>
              <w:t xml:space="preserve"> </w:t>
            </w:r>
            <w:r w:rsidRPr="00985DE9">
              <w:rPr>
                <w:rFonts w:ascii="Arial" w:hAnsi="Arial" w:cs="Arial"/>
              </w:rPr>
              <w:t>Initial</w:t>
            </w:r>
            <w:r w:rsidRPr="00985DE9">
              <w:rPr>
                <w:rFonts w:ascii="Arial" w:hAnsi="Arial" w:cs="Arial"/>
                <w:spacing w:val="-2"/>
              </w:rPr>
              <w:t xml:space="preserve"> </w:t>
            </w:r>
            <w:r w:rsidRPr="00985DE9">
              <w:rPr>
                <w:rFonts w:ascii="Arial" w:hAnsi="Arial" w:cs="Arial"/>
              </w:rPr>
              <w:t>issue</w:t>
            </w:r>
          </w:p>
        </w:tc>
        <w:tc>
          <w:tcPr>
            <w:tcW w:w="3140" w:type="dxa"/>
          </w:tcPr>
          <w:p w14:paraId="3529D5BE" w14:textId="77777777" w:rsidR="00F4288E" w:rsidRPr="00985DE9" w:rsidRDefault="00F4288E" w:rsidP="00C20B70">
            <w:pPr>
              <w:pStyle w:val="TableParagraph"/>
              <w:rPr>
                <w:rFonts w:ascii="Arial" w:hAnsi="Arial" w:cs="Arial"/>
              </w:rPr>
            </w:pPr>
            <w:r w:rsidRPr="00985DE9">
              <w:rPr>
                <w:rFonts w:ascii="Arial" w:hAnsi="Arial" w:cs="Arial"/>
              </w:rPr>
              <w:t>12/12/2011</w:t>
            </w:r>
          </w:p>
        </w:tc>
      </w:tr>
    </w:tbl>
    <w:p w14:paraId="240912E5" w14:textId="77777777" w:rsidR="00F4288E" w:rsidRPr="00F4288E" w:rsidRDefault="00F4288E" w:rsidP="00F4288E">
      <w:pPr>
        <w:pStyle w:val="BodyText"/>
        <w:spacing w:before="1"/>
        <w:rPr>
          <w:rFonts w:ascii="Arial" w:hAnsi="Arial" w:cs="Arial"/>
          <w:b/>
          <w:sz w:val="20"/>
          <w:szCs w:val="20"/>
        </w:rPr>
      </w:pPr>
    </w:p>
    <w:p w14:paraId="0B269603" w14:textId="77777777" w:rsidR="00F4288E" w:rsidRPr="00F4288E" w:rsidRDefault="00F4288E" w:rsidP="00985DE9">
      <w:pPr>
        <w:rPr>
          <w:rFonts w:ascii="Arial" w:hAnsi="Arial" w:cs="Arial"/>
          <w:i/>
          <w:sz w:val="20"/>
          <w:szCs w:val="20"/>
        </w:rPr>
      </w:pPr>
      <w:r w:rsidRPr="00F4288E">
        <w:rPr>
          <w:rFonts w:ascii="Arial" w:hAnsi="Arial" w:cs="Arial"/>
          <w:i/>
          <w:sz w:val="20"/>
          <w:szCs w:val="20"/>
        </w:rPr>
        <w:t>Note:</w:t>
      </w:r>
      <w:r w:rsidRPr="00F4288E">
        <w:rPr>
          <w:rFonts w:ascii="Arial" w:hAnsi="Arial" w:cs="Arial"/>
          <w:i/>
          <w:spacing w:val="-2"/>
          <w:sz w:val="20"/>
          <w:szCs w:val="20"/>
        </w:rPr>
        <w:t xml:space="preserve"> </w:t>
      </w:r>
      <w:r w:rsidRPr="00F4288E">
        <w:rPr>
          <w:rFonts w:ascii="Arial" w:hAnsi="Arial" w:cs="Arial"/>
          <w:i/>
          <w:sz w:val="20"/>
          <w:szCs w:val="20"/>
        </w:rPr>
        <w:t>To</w:t>
      </w:r>
      <w:r w:rsidRPr="00F4288E">
        <w:rPr>
          <w:rFonts w:ascii="Arial" w:hAnsi="Arial" w:cs="Arial"/>
          <w:i/>
          <w:spacing w:val="-4"/>
          <w:sz w:val="20"/>
          <w:szCs w:val="20"/>
        </w:rPr>
        <w:t xml:space="preserve"> </w:t>
      </w:r>
      <w:r w:rsidRPr="00F4288E">
        <w:rPr>
          <w:rFonts w:ascii="Arial" w:hAnsi="Arial" w:cs="Arial"/>
          <w:i/>
          <w:sz w:val="20"/>
          <w:szCs w:val="20"/>
        </w:rPr>
        <w:t>access</w:t>
      </w:r>
      <w:r w:rsidRPr="00F4288E">
        <w:rPr>
          <w:rFonts w:ascii="Arial" w:hAnsi="Arial" w:cs="Arial"/>
          <w:i/>
          <w:spacing w:val="-3"/>
          <w:sz w:val="20"/>
          <w:szCs w:val="20"/>
        </w:rPr>
        <w:t xml:space="preserve"> </w:t>
      </w:r>
      <w:r w:rsidRPr="00F4288E">
        <w:rPr>
          <w:rFonts w:ascii="Arial" w:hAnsi="Arial" w:cs="Arial"/>
          <w:i/>
          <w:sz w:val="20"/>
          <w:szCs w:val="20"/>
        </w:rPr>
        <w:t>the</w:t>
      </w:r>
      <w:r w:rsidRPr="00F4288E">
        <w:rPr>
          <w:rFonts w:ascii="Arial" w:hAnsi="Arial" w:cs="Arial"/>
          <w:i/>
          <w:spacing w:val="-2"/>
          <w:sz w:val="20"/>
          <w:szCs w:val="20"/>
        </w:rPr>
        <w:t xml:space="preserve"> </w:t>
      </w:r>
      <w:r w:rsidRPr="00F4288E">
        <w:rPr>
          <w:rFonts w:ascii="Arial" w:hAnsi="Arial" w:cs="Arial"/>
          <w:i/>
          <w:sz w:val="20"/>
          <w:szCs w:val="20"/>
        </w:rPr>
        <w:t>official</w:t>
      </w:r>
      <w:r w:rsidRPr="00F4288E">
        <w:rPr>
          <w:rFonts w:ascii="Arial" w:hAnsi="Arial" w:cs="Arial"/>
          <w:i/>
          <w:spacing w:val="-2"/>
          <w:sz w:val="20"/>
          <w:szCs w:val="20"/>
        </w:rPr>
        <w:t xml:space="preserve"> </w:t>
      </w:r>
      <w:r w:rsidRPr="00F4288E">
        <w:rPr>
          <w:rFonts w:ascii="Arial" w:hAnsi="Arial" w:cs="Arial"/>
          <w:i/>
          <w:sz w:val="20"/>
          <w:szCs w:val="20"/>
        </w:rPr>
        <w:t>versions,</w:t>
      </w:r>
      <w:r w:rsidRPr="00F4288E">
        <w:rPr>
          <w:rFonts w:ascii="Arial" w:hAnsi="Arial" w:cs="Arial"/>
          <w:i/>
          <w:spacing w:val="-4"/>
          <w:sz w:val="20"/>
          <w:szCs w:val="20"/>
        </w:rPr>
        <w:t xml:space="preserve"> </w:t>
      </w:r>
      <w:r w:rsidRPr="00F4288E">
        <w:rPr>
          <w:rFonts w:ascii="Arial" w:hAnsi="Arial" w:cs="Arial"/>
          <w:i/>
          <w:sz w:val="20"/>
          <w:szCs w:val="20"/>
        </w:rPr>
        <w:t>please</w:t>
      </w:r>
      <w:r w:rsidRPr="00F4288E">
        <w:rPr>
          <w:rFonts w:ascii="Arial" w:hAnsi="Arial" w:cs="Arial"/>
          <w:i/>
          <w:spacing w:val="-1"/>
          <w:sz w:val="20"/>
          <w:szCs w:val="20"/>
        </w:rPr>
        <w:t xml:space="preserve"> </w:t>
      </w:r>
      <w:r w:rsidRPr="00F4288E">
        <w:rPr>
          <w:rFonts w:ascii="Arial" w:hAnsi="Arial" w:cs="Arial"/>
          <w:i/>
          <w:sz w:val="20"/>
          <w:szCs w:val="20"/>
        </w:rPr>
        <w:t>click</w:t>
      </w:r>
      <w:r w:rsidRPr="00F4288E">
        <w:rPr>
          <w:rFonts w:ascii="Arial" w:hAnsi="Arial" w:cs="Arial"/>
          <w:i/>
          <w:spacing w:val="-3"/>
          <w:sz w:val="20"/>
          <w:szCs w:val="20"/>
        </w:rPr>
        <w:t xml:space="preserve"> </w:t>
      </w:r>
      <w:r w:rsidRPr="00F4288E">
        <w:rPr>
          <w:rFonts w:ascii="Arial" w:hAnsi="Arial" w:cs="Arial"/>
          <w:i/>
          <w:sz w:val="20"/>
          <w:szCs w:val="20"/>
        </w:rPr>
        <w:t>on</w:t>
      </w:r>
      <w:r w:rsidRPr="00F4288E">
        <w:rPr>
          <w:rFonts w:ascii="Arial" w:hAnsi="Arial" w:cs="Arial"/>
          <w:i/>
          <w:spacing w:val="-1"/>
          <w:sz w:val="20"/>
          <w:szCs w:val="20"/>
        </w:rPr>
        <w:t xml:space="preserve"> </w:t>
      </w:r>
      <w:r w:rsidRPr="00F4288E">
        <w:rPr>
          <w:rFonts w:ascii="Arial" w:hAnsi="Arial" w:cs="Arial"/>
          <w:i/>
          <w:sz w:val="20"/>
          <w:szCs w:val="20"/>
        </w:rPr>
        <w:t>the</w:t>
      </w:r>
      <w:r w:rsidRPr="00F4288E">
        <w:rPr>
          <w:rFonts w:ascii="Arial" w:hAnsi="Arial" w:cs="Arial"/>
          <w:i/>
          <w:spacing w:val="-3"/>
          <w:sz w:val="20"/>
          <w:szCs w:val="20"/>
        </w:rPr>
        <w:t xml:space="preserve"> </w:t>
      </w:r>
      <w:r w:rsidRPr="00F4288E">
        <w:rPr>
          <w:rFonts w:ascii="Arial" w:hAnsi="Arial" w:cs="Arial"/>
          <w:i/>
          <w:sz w:val="20"/>
          <w:szCs w:val="20"/>
        </w:rPr>
        <w:t>hyperlinks</w:t>
      </w:r>
      <w:r w:rsidRPr="00F4288E">
        <w:rPr>
          <w:rFonts w:ascii="Arial" w:hAnsi="Arial" w:cs="Arial"/>
          <w:i/>
          <w:spacing w:val="-4"/>
          <w:sz w:val="20"/>
          <w:szCs w:val="20"/>
        </w:rPr>
        <w:t xml:space="preserve"> </w:t>
      </w:r>
      <w:r w:rsidRPr="00F4288E">
        <w:rPr>
          <w:rFonts w:ascii="Arial" w:hAnsi="Arial" w:cs="Arial"/>
          <w:i/>
          <w:sz w:val="20"/>
          <w:szCs w:val="20"/>
        </w:rPr>
        <w:t>provided</w:t>
      </w:r>
      <w:r w:rsidRPr="00F4288E">
        <w:rPr>
          <w:rFonts w:ascii="Arial" w:hAnsi="Arial" w:cs="Arial"/>
          <w:i/>
          <w:spacing w:val="-1"/>
          <w:sz w:val="20"/>
          <w:szCs w:val="20"/>
        </w:rPr>
        <w:t xml:space="preserve"> </w:t>
      </w:r>
      <w:r w:rsidRPr="00F4288E">
        <w:rPr>
          <w:rFonts w:ascii="Arial" w:hAnsi="Arial" w:cs="Arial"/>
          <w:i/>
          <w:sz w:val="20"/>
          <w:szCs w:val="20"/>
        </w:rPr>
        <w:t>above.</w:t>
      </w:r>
    </w:p>
    <w:p w14:paraId="6255BB1E" w14:textId="77777777" w:rsidR="00030750" w:rsidRDefault="00030750" w:rsidP="00030750">
      <w:pPr>
        <w:rPr>
          <w:rFonts w:ascii="Arial" w:hAnsi="Arial" w:cs="Arial"/>
          <w:sz w:val="20"/>
        </w:rPr>
      </w:pPr>
    </w:p>
    <w:p w14:paraId="0DF8596D" w14:textId="77777777" w:rsidR="00476B24" w:rsidRDefault="00476B24" w:rsidP="00030750">
      <w:pPr>
        <w:rPr>
          <w:rFonts w:ascii="Arial" w:hAnsi="Arial" w:cs="Arial"/>
          <w:sz w:val="20"/>
        </w:rPr>
      </w:pPr>
    </w:p>
    <w:p w14:paraId="0B8B50D1" w14:textId="77777777" w:rsidR="00476B24" w:rsidRDefault="00476B24" w:rsidP="00030750">
      <w:pPr>
        <w:rPr>
          <w:rFonts w:ascii="Arial" w:hAnsi="Arial" w:cs="Arial"/>
          <w:sz w:val="20"/>
        </w:rPr>
      </w:pPr>
    </w:p>
    <w:p w14:paraId="7AA80776" w14:textId="77777777" w:rsidR="00476B24" w:rsidRDefault="00476B24" w:rsidP="00030750">
      <w:pPr>
        <w:rPr>
          <w:rFonts w:ascii="Arial" w:hAnsi="Arial" w:cs="Arial"/>
          <w:sz w:val="20"/>
        </w:rPr>
      </w:pPr>
    </w:p>
    <w:p w14:paraId="1B333A26" w14:textId="77777777" w:rsidR="00476B24" w:rsidRDefault="00476B24" w:rsidP="00030750">
      <w:pPr>
        <w:rPr>
          <w:rFonts w:ascii="Arial" w:hAnsi="Arial" w:cs="Arial"/>
          <w:sz w:val="20"/>
        </w:rPr>
      </w:pPr>
    </w:p>
    <w:p w14:paraId="174A7616" w14:textId="77777777" w:rsidR="00F371B5" w:rsidRDefault="00F371B5" w:rsidP="00030750">
      <w:pPr>
        <w:rPr>
          <w:rFonts w:ascii="Arial" w:hAnsi="Arial" w:cs="Arial"/>
          <w:sz w:val="20"/>
        </w:rPr>
      </w:pPr>
    </w:p>
    <w:p w14:paraId="1EA0D8E6" w14:textId="77777777" w:rsidR="00F371B5" w:rsidRDefault="00F371B5" w:rsidP="00030750">
      <w:pPr>
        <w:rPr>
          <w:rFonts w:ascii="Arial" w:hAnsi="Arial" w:cs="Arial"/>
          <w:sz w:val="20"/>
        </w:rPr>
      </w:pPr>
    </w:p>
    <w:p w14:paraId="1BADBE28" w14:textId="77777777" w:rsidR="00F371B5" w:rsidRDefault="00F371B5" w:rsidP="00030750">
      <w:pPr>
        <w:rPr>
          <w:rFonts w:ascii="Arial" w:hAnsi="Arial" w:cs="Arial"/>
          <w:sz w:val="20"/>
        </w:rPr>
      </w:pPr>
    </w:p>
    <w:p w14:paraId="7364CCC2" w14:textId="77777777" w:rsidR="00F371B5" w:rsidRDefault="00F371B5" w:rsidP="00030750">
      <w:pPr>
        <w:rPr>
          <w:rFonts w:ascii="Arial" w:hAnsi="Arial" w:cs="Arial"/>
          <w:sz w:val="20"/>
        </w:rPr>
      </w:pPr>
    </w:p>
    <w:p w14:paraId="7D103292" w14:textId="77777777" w:rsidR="00F371B5" w:rsidRDefault="00F371B5" w:rsidP="00030750">
      <w:pPr>
        <w:rPr>
          <w:rFonts w:ascii="Arial" w:hAnsi="Arial" w:cs="Arial"/>
          <w:sz w:val="20"/>
        </w:rPr>
      </w:pPr>
    </w:p>
    <w:p w14:paraId="7171143B" w14:textId="77777777" w:rsidR="00F371B5" w:rsidRDefault="00F371B5" w:rsidP="00030750">
      <w:pPr>
        <w:rPr>
          <w:rFonts w:ascii="Arial" w:hAnsi="Arial" w:cs="Arial"/>
          <w:sz w:val="20"/>
        </w:rPr>
      </w:pPr>
    </w:p>
    <w:p w14:paraId="1A220BC1" w14:textId="77777777" w:rsidR="00476B24" w:rsidRDefault="00476B24" w:rsidP="00030750">
      <w:pPr>
        <w:rPr>
          <w:rFonts w:ascii="Arial" w:hAnsi="Arial" w:cs="Arial"/>
          <w:sz w:val="20"/>
        </w:rPr>
      </w:pPr>
    </w:p>
    <w:p w14:paraId="2729A961" w14:textId="77777777" w:rsidR="00476B24" w:rsidRDefault="00476B24" w:rsidP="00030750">
      <w:pPr>
        <w:rPr>
          <w:rFonts w:ascii="Arial" w:hAnsi="Arial" w:cs="Arial"/>
          <w:sz w:val="20"/>
        </w:rPr>
      </w:pPr>
    </w:p>
    <w:p w14:paraId="0453C5E9" w14:textId="77777777" w:rsidR="00476B24" w:rsidRDefault="00476B24" w:rsidP="00030750">
      <w:pPr>
        <w:rPr>
          <w:rFonts w:ascii="Arial" w:hAnsi="Arial" w:cs="Arial"/>
          <w:sz w:val="20"/>
        </w:rPr>
      </w:pPr>
    </w:p>
    <w:p w14:paraId="1CDC1CB1" w14:textId="77777777" w:rsidR="00476B24" w:rsidRDefault="00476B24" w:rsidP="00030750">
      <w:pPr>
        <w:rPr>
          <w:rFonts w:ascii="Arial" w:hAnsi="Arial" w:cs="Arial"/>
          <w:sz w:val="20"/>
        </w:rPr>
      </w:pPr>
    </w:p>
    <w:p w14:paraId="434569BF" w14:textId="77777777" w:rsidR="00476B24" w:rsidRDefault="00476B24" w:rsidP="00030750">
      <w:pPr>
        <w:rPr>
          <w:rFonts w:ascii="Arial" w:hAnsi="Arial" w:cs="Arial"/>
          <w:sz w:val="20"/>
        </w:rPr>
      </w:pPr>
    </w:p>
    <w:p w14:paraId="58F6AE1C" w14:textId="77777777" w:rsidR="00476B24" w:rsidRDefault="00476B24" w:rsidP="00030750">
      <w:pPr>
        <w:rPr>
          <w:rFonts w:ascii="Arial" w:hAnsi="Arial" w:cs="Arial"/>
          <w:sz w:val="20"/>
        </w:rPr>
      </w:pPr>
    </w:p>
    <w:p w14:paraId="0A824D54" w14:textId="77777777" w:rsidR="00476B24" w:rsidRDefault="00476B24" w:rsidP="00030750">
      <w:pPr>
        <w:rPr>
          <w:rFonts w:ascii="Arial" w:hAnsi="Arial" w:cs="Arial"/>
          <w:sz w:val="20"/>
        </w:rPr>
      </w:pPr>
    </w:p>
    <w:p w14:paraId="43DD4B3C" w14:textId="77777777" w:rsidR="00476B24" w:rsidRDefault="00476B24" w:rsidP="00030750">
      <w:pPr>
        <w:rPr>
          <w:rFonts w:ascii="Arial" w:hAnsi="Arial" w:cs="Arial"/>
          <w:sz w:val="20"/>
        </w:rPr>
      </w:pPr>
    </w:p>
    <w:p w14:paraId="1B9C0DB9" w14:textId="77777777" w:rsidR="00476B24" w:rsidRDefault="00476B24" w:rsidP="00030750">
      <w:pPr>
        <w:rPr>
          <w:rFonts w:ascii="Arial" w:hAnsi="Arial" w:cs="Arial"/>
          <w:sz w:val="20"/>
        </w:rPr>
      </w:pPr>
    </w:p>
    <w:p w14:paraId="4CC72C47" w14:textId="77777777" w:rsidR="00476B24" w:rsidRDefault="00476B24" w:rsidP="00030750">
      <w:pPr>
        <w:rPr>
          <w:rFonts w:ascii="Arial" w:hAnsi="Arial" w:cs="Arial"/>
          <w:sz w:val="20"/>
        </w:rPr>
      </w:pPr>
    </w:p>
    <w:p w14:paraId="0FFA70DE" w14:textId="77777777" w:rsidR="00476B24" w:rsidRDefault="00476B24" w:rsidP="00030750">
      <w:pPr>
        <w:rPr>
          <w:rFonts w:ascii="Arial" w:hAnsi="Arial" w:cs="Arial"/>
          <w:sz w:val="20"/>
        </w:rPr>
      </w:pPr>
    </w:p>
    <w:p w14:paraId="15C8BCA8" w14:textId="77777777" w:rsidR="00476B24" w:rsidRDefault="00476B24" w:rsidP="00030750">
      <w:pPr>
        <w:rPr>
          <w:rFonts w:ascii="Arial" w:hAnsi="Arial" w:cs="Arial"/>
          <w:sz w:val="20"/>
        </w:rPr>
      </w:pPr>
    </w:p>
    <w:p w14:paraId="50FA41DC" w14:textId="77777777" w:rsidR="00476B24" w:rsidRDefault="00476B24" w:rsidP="00030750">
      <w:pPr>
        <w:rPr>
          <w:rFonts w:ascii="Arial" w:hAnsi="Arial" w:cs="Arial"/>
          <w:sz w:val="20"/>
        </w:rPr>
      </w:pPr>
    </w:p>
    <w:p w14:paraId="2BBD840B" w14:textId="77777777" w:rsidR="00476B24" w:rsidRDefault="00476B24" w:rsidP="00030750">
      <w:pPr>
        <w:rPr>
          <w:rFonts w:ascii="Arial" w:hAnsi="Arial" w:cs="Arial"/>
          <w:sz w:val="20"/>
        </w:rPr>
      </w:pPr>
    </w:p>
    <w:p w14:paraId="207F5BC9" w14:textId="77777777" w:rsidR="00476B24" w:rsidRDefault="00476B24" w:rsidP="00030750">
      <w:pPr>
        <w:rPr>
          <w:rFonts w:ascii="Arial" w:hAnsi="Arial" w:cs="Arial"/>
          <w:sz w:val="20"/>
        </w:rPr>
      </w:pPr>
    </w:p>
    <w:p w14:paraId="50F0F3ED" w14:textId="77777777" w:rsidR="00476B24" w:rsidRDefault="00476B24" w:rsidP="00030750">
      <w:pPr>
        <w:rPr>
          <w:rFonts w:ascii="Arial" w:hAnsi="Arial" w:cs="Arial"/>
          <w:sz w:val="20"/>
        </w:rPr>
      </w:pPr>
    </w:p>
    <w:p w14:paraId="46CAB6FF" w14:textId="77777777" w:rsidR="00476B24" w:rsidRDefault="00476B24" w:rsidP="00030750">
      <w:pPr>
        <w:rPr>
          <w:rFonts w:ascii="Arial" w:hAnsi="Arial" w:cs="Arial"/>
          <w:sz w:val="20"/>
        </w:rPr>
      </w:pPr>
    </w:p>
    <w:p w14:paraId="69DB1DB1" w14:textId="77777777" w:rsidR="00476B24" w:rsidRDefault="00476B24" w:rsidP="00030750">
      <w:pPr>
        <w:rPr>
          <w:rFonts w:ascii="Arial" w:hAnsi="Arial" w:cs="Arial"/>
          <w:sz w:val="20"/>
        </w:rPr>
      </w:pPr>
    </w:p>
    <w:p w14:paraId="160EECF7" w14:textId="77777777" w:rsidR="00476B24" w:rsidRDefault="00476B24" w:rsidP="00030750">
      <w:pPr>
        <w:rPr>
          <w:rFonts w:ascii="Arial" w:hAnsi="Arial" w:cs="Arial"/>
          <w:sz w:val="20"/>
        </w:rPr>
      </w:pPr>
    </w:p>
    <w:p w14:paraId="55A57527" w14:textId="77777777" w:rsidR="00476B24" w:rsidRDefault="00476B24" w:rsidP="00030750">
      <w:pPr>
        <w:rPr>
          <w:rFonts w:ascii="Arial" w:hAnsi="Arial" w:cs="Arial"/>
          <w:sz w:val="20"/>
        </w:rPr>
      </w:pPr>
    </w:p>
    <w:p w14:paraId="478C4690" w14:textId="77777777" w:rsidR="00476B24" w:rsidRDefault="00476B24" w:rsidP="00030750">
      <w:pPr>
        <w:rPr>
          <w:rFonts w:ascii="Arial" w:hAnsi="Arial" w:cs="Arial"/>
          <w:sz w:val="20"/>
        </w:rPr>
      </w:pPr>
    </w:p>
    <w:p w14:paraId="6B7BE3A4" w14:textId="77777777" w:rsidR="00476B24" w:rsidRDefault="00476B24" w:rsidP="00030750">
      <w:pPr>
        <w:rPr>
          <w:rFonts w:ascii="Arial" w:hAnsi="Arial" w:cs="Arial"/>
          <w:sz w:val="20"/>
        </w:rPr>
      </w:pPr>
    </w:p>
    <w:p w14:paraId="0AD908E9" w14:textId="77777777" w:rsidR="00476B24" w:rsidRDefault="00476B24" w:rsidP="00030750">
      <w:pPr>
        <w:rPr>
          <w:rFonts w:ascii="Arial" w:hAnsi="Arial" w:cs="Arial"/>
          <w:sz w:val="20"/>
        </w:rPr>
      </w:pPr>
    </w:p>
    <w:p w14:paraId="43378FB6" w14:textId="77777777" w:rsidR="00476B24" w:rsidRDefault="00476B24" w:rsidP="00030750">
      <w:pPr>
        <w:rPr>
          <w:rFonts w:ascii="Arial" w:hAnsi="Arial" w:cs="Arial"/>
          <w:sz w:val="20"/>
        </w:rPr>
      </w:pPr>
    </w:p>
    <w:p w14:paraId="45911461" w14:textId="77777777" w:rsidR="00476B24" w:rsidRDefault="00476B24" w:rsidP="00030750">
      <w:pPr>
        <w:rPr>
          <w:rFonts w:ascii="Arial" w:hAnsi="Arial" w:cs="Arial"/>
          <w:sz w:val="20"/>
        </w:rPr>
      </w:pPr>
    </w:p>
    <w:p w14:paraId="69C7B037" w14:textId="77777777" w:rsidR="00476B24" w:rsidRDefault="00476B24" w:rsidP="00030750">
      <w:pPr>
        <w:rPr>
          <w:rFonts w:ascii="Arial" w:hAnsi="Arial" w:cs="Arial"/>
          <w:sz w:val="20"/>
        </w:rPr>
      </w:pPr>
    </w:p>
    <w:p w14:paraId="2CC02C29" w14:textId="77777777" w:rsidR="00476B24" w:rsidRDefault="00476B24" w:rsidP="00030750">
      <w:pPr>
        <w:rPr>
          <w:rFonts w:ascii="Arial" w:hAnsi="Arial" w:cs="Arial"/>
          <w:sz w:val="20"/>
        </w:rPr>
      </w:pPr>
    </w:p>
    <w:p w14:paraId="636AF63C" w14:textId="77777777" w:rsidR="00476B24" w:rsidRDefault="00476B24" w:rsidP="00030750">
      <w:pPr>
        <w:rPr>
          <w:rFonts w:ascii="Arial" w:hAnsi="Arial" w:cs="Arial"/>
          <w:sz w:val="20"/>
        </w:rPr>
      </w:pPr>
    </w:p>
    <w:p w14:paraId="197557BB" w14:textId="77777777" w:rsidR="00476B24" w:rsidRDefault="00476B24" w:rsidP="00030750">
      <w:pPr>
        <w:rPr>
          <w:rFonts w:ascii="Arial" w:hAnsi="Arial" w:cs="Arial"/>
          <w:sz w:val="20"/>
        </w:rPr>
      </w:pPr>
    </w:p>
    <w:p w14:paraId="45B3650B" w14:textId="77777777" w:rsidR="00476B24" w:rsidRDefault="00476B24" w:rsidP="00030750">
      <w:pPr>
        <w:rPr>
          <w:rFonts w:ascii="Arial" w:hAnsi="Arial" w:cs="Arial"/>
          <w:sz w:val="20"/>
        </w:rPr>
      </w:pPr>
    </w:p>
    <w:p w14:paraId="0E38351C" w14:textId="77777777" w:rsidR="00476B24" w:rsidRDefault="00476B24" w:rsidP="00030750">
      <w:pPr>
        <w:rPr>
          <w:rFonts w:ascii="Arial" w:hAnsi="Arial" w:cs="Arial"/>
          <w:sz w:val="20"/>
        </w:rPr>
      </w:pPr>
    </w:p>
    <w:p w14:paraId="1D5A2C0B" w14:textId="77777777" w:rsidR="00476B24" w:rsidRDefault="00476B24" w:rsidP="00030750">
      <w:pPr>
        <w:rPr>
          <w:rFonts w:ascii="Arial" w:hAnsi="Arial" w:cs="Arial"/>
          <w:sz w:val="20"/>
        </w:rPr>
      </w:pPr>
    </w:p>
    <w:p w14:paraId="275876AB" w14:textId="77777777" w:rsidR="00476B24" w:rsidRDefault="00476B24" w:rsidP="00030750">
      <w:pPr>
        <w:rPr>
          <w:rFonts w:ascii="Arial" w:hAnsi="Arial" w:cs="Arial"/>
          <w:sz w:val="20"/>
        </w:rPr>
      </w:pPr>
    </w:p>
    <w:p w14:paraId="07CD3B57" w14:textId="77777777" w:rsidR="00476B24" w:rsidRDefault="00476B24" w:rsidP="00030750">
      <w:pPr>
        <w:rPr>
          <w:rFonts w:ascii="Arial" w:hAnsi="Arial" w:cs="Arial"/>
          <w:sz w:val="20"/>
        </w:rPr>
      </w:pPr>
    </w:p>
    <w:p w14:paraId="676A3B70" w14:textId="77777777" w:rsidR="00F371B5" w:rsidRDefault="00F371B5" w:rsidP="00F371B5">
      <w:pPr>
        <w:keepNext/>
        <w:keepLines/>
        <w:widowControl/>
        <w:autoSpaceDE/>
        <w:autoSpaceDN/>
        <w:spacing w:before="40" w:line="259" w:lineRule="auto"/>
        <w:jc w:val="center"/>
        <w:outlineLvl w:val="2"/>
        <w:rPr>
          <w:rFonts w:ascii="Arial" w:eastAsiaTheme="majorEastAsia" w:hAnsi="Arial" w:cs="Arial"/>
          <w:b/>
          <w:color w:val="00B0F0"/>
          <w:sz w:val="24"/>
          <w:szCs w:val="24"/>
        </w:rPr>
      </w:pPr>
      <w:bookmarkStart w:id="986" w:name="_Toc153137587"/>
      <w:r w:rsidRPr="00F371B5">
        <w:rPr>
          <w:rFonts w:ascii="Arial" w:eastAsiaTheme="majorEastAsia" w:hAnsi="Arial" w:cs="Arial"/>
          <w:b/>
          <w:color w:val="00B0F0"/>
          <w:sz w:val="24"/>
          <w:szCs w:val="24"/>
        </w:rPr>
        <w:t>SUBPART A — GENERAL</w:t>
      </w:r>
      <w:bookmarkEnd w:id="986"/>
    </w:p>
    <w:p w14:paraId="717738C9" w14:textId="77777777" w:rsidR="00F371B5" w:rsidRPr="00F371B5" w:rsidRDefault="00F371B5" w:rsidP="00F371B5">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987" w:name="CS_31GB.1_Applicability"/>
      <w:bookmarkStart w:id="988" w:name="_bookmark424"/>
      <w:bookmarkStart w:id="989" w:name="_Toc153137588"/>
      <w:bookmarkEnd w:id="987"/>
      <w:bookmarkEnd w:id="988"/>
      <w:r w:rsidRPr="00F371B5">
        <w:rPr>
          <w:rFonts w:ascii="Arial" w:eastAsia="Times New Roman" w:hAnsi="Arial" w:cs="Times New Roman"/>
          <w:b/>
          <w:iCs/>
          <w:color w:val="FFFFFF"/>
          <w:sz w:val="24"/>
        </w:rPr>
        <w:t>CS 31GB.1 Applicability</w:t>
      </w:r>
      <w:bookmarkEnd w:id="989"/>
    </w:p>
    <w:p w14:paraId="05CA75F4" w14:textId="77777777" w:rsidR="00476B24" w:rsidRDefault="00F371B5" w:rsidP="00F371B5">
      <w:pPr>
        <w:spacing w:line="276" w:lineRule="auto"/>
        <w:jc w:val="both"/>
        <w:rPr>
          <w:rFonts w:ascii="Arial" w:hAnsi="Arial" w:cs="Arial"/>
          <w:sz w:val="20"/>
        </w:rPr>
      </w:pPr>
      <w:r w:rsidRPr="00F371B5">
        <w:rPr>
          <w:rFonts w:ascii="Arial" w:hAnsi="Arial" w:cs="Arial"/>
          <w:sz w:val="20"/>
        </w:rPr>
        <w:t>These Certification Specifications (SCs) are applicable to manned free balloons that derive their lift from gas being lighter than air.</w:t>
      </w:r>
    </w:p>
    <w:p w14:paraId="431BB9BA" w14:textId="77777777" w:rsidR="00F371B5" w:rsidRPr="001D4E55" w:rsidRDefault="00F371B5" w:rsidP="001D4E55">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990" w:name="CS_31GB.2_Definitions"/>
      <w:bookmarkStart w:id="991" w:name="_bookmark425"/>
      <w:bookmarkStart w:id="992" w:name="_Toc153137589"/>
      <w:bookmarkEnd w:id="990"/>
      <w:bookmarkEnd w:id="991"/>
      <w:r w:rsidRPr="00F371B5">
        <w:rPr>
          <w:rFonts w:ascii="Arial" w:eastAsia="Times New Roman" w:hAnsi="Arial" w:cs="Times New Roman"/>
          <w:b/>
          <w:iCs/>
          <w:color w:val="FFFFFF"/>
          <w:sz w:val="24"/>
        </w:rPr>
        <w:t>CS 31GB.2 Definitions</w:t>
      </w:r>
      <w:bookmarkEnd w:id="992"/>
    </w:p>
    <w:p w14:paraId="19B0F53B" w14:textId="77777777" w:rsidR="001D4E55" w:rsidRPr="001D4E55" w:rsidRDefault="001D4E55" w:rsidP="001D4E55">
      <w:pPr>
        <w:spacing w:line="276" w:lineRule="auto"/>
        <w:jc w:val="both"/>
        <w:rPr>
          <w:rFonts w:ascii="Arial" w:hAnsi="Arial" w:cs="Arial"/>
          <w:sz w:val="20"/>
        </w:rPr>
      </w:pPr>
      <w:r w:rsidRPr="001D4E55">
        <w:rPr>
          <w:rFonts w:ascii="Arial" w:hAnsi="Arial" w:cs="Arial"/>
          <w:sz w:val="20"/>
        </w:rPr>
        <w:t>Definition of terms used:</w:t>
      </w:r>
    </w:p>
    <w:p w14:paraId="34BC980C" w14:textId="77777777" w:rsidR="001D4E55" w:rsidRPr="001D4E55" w:rsidRDefault="001D4E55" w:rsidP="001D4E55">
      <w:pPr>
        <w:numPr>
          <w:ilvl w:val="0"/>
          <w:numId w:val="345"/>
        </w:numPr>
        <w:spacing w:line="276" w:lineRule="auto"/>
        <w:jc w:val="both"/>
        <w:rPr>
          <w:rFonts w:ascii="Arial" w:hAnsi="Arial" w:cs="Arial"/>
          <w:sz w:val="20"/>
        </w:rPr>
      </w:pPr>
      <w:r w:rsidRPr="001D4E55">
        <w:rPr>
          <w:rFonts w:ascii="Arial" w:hAnsi="Arial" w:cs="Arial"/>
          <w:sz w:val="20"/>
        </w:rPr>
        <w:t>The ‘envelope’ contains the medium which provides the lift.</w:t>
      </w:r>
    </w:p>
    <w:p w14:paraId="4221E65E" w14:textId="77777777" w:rsidR="001D4E55" w:rsidRPr="001D4E55" w:rsidRDefault="001D4E55" w:rsidP="001D4E55">
      <w:pPr>
        <w:numPr>
          <w:ilvl w:val="0"/>
          <w:numId w:val="345"/>
        </w:numPr>
        <w:spacing w:line="276" w:lineRule="auto"/>
        <w:jc w:val="both"/>
        <w:rPr>
          <w:rFonts w:ascii="Arial" w:hAnsi="Arial" w:cs="Arial"/>
          <w:sz w:val="20"/>
        </w:rPr>
      </w:pPr>
      <w:r w:rsidRPr="001D4E55">
        <w:rPr>
          <w:rFonts w:ascii="Arial" w:hAnsi="Arial" w:cs="Arial"/>
          <w:sz w:val="20"/>
        </w:rPr>
        <w:t>A ‘basket’ is the basket, seat frame or other means suspended beneath the envelope provided for the carriage of the balloon occupants.</w:t>
      </w:r>
    </w:p>
    <w:p w14:paraId="298F6E1B" w14:textId="77777777" w:rsidR="001D4E55" w:rsidRPr="001D4E55" w:rsidRDefault="001D4E55" w:rsidP="001D4E55">
      <w:pPr>
        <w:numPr>
          <w:ilvl w:val="0"/>
          <w:numId w:val="345"/>
        </w:numPr>
        <w:spacing w:line="276" w:lineRule="auto"/>
        <w:jc w:val="both"/>
        <w:rPr>
          <w:rFonts w:ascii="Arial" w:hAnsi="Arial" w:cs="Arial"/>
          <w:sz w:val="20"/>
        </w:rPr>
      </w:pPr>
      <w:r w:rsidRPr="001D4E55">
        <w:rPr>
          <w:rFonts w:ascii="Arial" w:hAnsi="Arial" w:cs="Arial"/>
          <w:sz w:val="20"/>
        </w:rPr>
        <w:t>‘Disposable ballast’ is the amount of ballast required to be available for flight path management.</w:t>
      </w:r>
    </w:p>
    <w:p w14:paraId="7E7FBFFF" w14:textId="77777777" w:rsidR="001D4E55" w:rsidRPr="001D4E55" w:rsidRDefault="001D4E55" w:rsidP="001D4E55">
      <w:pPr>
        <w:numPr>
          <w:ilvl w:val="0"/>
          <w:numId w:val="345"/>
        </w:numPr>
        <w:spacing w:line="276" w:lineRule="auto"/>
        <w:jc w:val="both"/>
        <w:rPr>
          <w:rFonts w:ascii="Arial" w:hAnsi="Arial" w:cs="Arial"/>
          <w:sz w:val="20"/>
        </w:rPr>
      </w:pPr>
      <w:r w:rsidRPr="001D4E55">
        <w:rPr>
          <w:rFonts w:ascii="Arial" w:hAnsi="Arial" w:cs="Arial"/>
          <w:sz w:val="20"/>
        </w:rPr>
        <w:t>‘Tethered flight’ is the temporary restraint of a free balloon whilst in flight for the purposes of conducting an entire flight at a single location.</w:t>
      </w:r>
    </w:p>
    <w:p w14:paraId="05F590B4" w14:textId="77777777" w:rsidR="001D4E55" w:rsidRPr="001D4E55" w:rsidRDefault="001D4E55" w:rsidP="001D4E55">
      <w:pPr>
        <w:numPr>
          <w:ilvl w:val="0"/>
          <w:numId w:val="345"/>
        </w:numPr>
        <w:spacing w:line="276" w:lineRule="auto"/>
        <w:jc w:val="both"/>
        <w:rPr>
          <w:rFonts w:ascii="Arial" w:hAnsi="Arial" w:cs="Arial"/>
          <w:sz w:val="20"/>
        </w:rPr>
      </w:pPr>
      <w:r w:rsidRPr="001D4E55">
        <w:rPr>
          <w:rFonts w:ascii="Arial" w:hAnsi="Arial" w:cs="Arial"/>
          <w:sz w:val="20"/>
        </w:rPr>
        <w:t>‘Launch restraint’ is the temporary restraint of a free balloon for the purpose of initiating a free flight.</w:t>
      </w:r>
    </w:p>
    <w:p w14:paraId="38BCEEA1" w14:textId="77777777" w:rsidR="00476B24" w:rsidRDefault="00476B24" w:rsidP="00030750">
      <w:pPr>
        <w:rPr>
          <w:rFonts w:ascii="Arial" w:hAnsi="Arial" w:cs="Arial"/>
          <w:sz w:val="20"/>
        </w:rPr>
      </w:pPr>
    </w:p>
    <w:p w14:paraId="431B7AE4" w14:textId="77777777" w:rsidR="00476B24" w:rsidRDefault="00476B24" w:rsidP="00030750">
      <w:pPr>
        <w:rPr>
          <w:rFonts w:ascii="Arial" w:hAnsi="Arial" w:cs="Arial"/>
          <w:sz w:val="20"/>
        </w:rPr>
      </w:pPr>
    </w:p>
    <w:p w14:paraId="104665F5" w14:textId="77777777" w:rsidR="00476B24" w:rsidRDefault="00476B24" w:rsidP="00030750">
      <w:pPr>
        <w:rPr>
          <w:rFonts w:ascii="Arial" w:hAnsi="Arial" w:cs="Arial"/>
          <w:sz w:val="20"/>
        </w:rPr>
      </w:pPr>
    </w:p>
    <w:p w14:paraId="77C21568" w14:textId="77777777" w:rsidR="00476B24" w:rsidRDefault="00476B24" w:rsidP="00030750">
      <w:pPr>
        <w:rPr>
          <w:rFonts w:ascii="Arial" w:hAnsi="Arial" w:cs="Arial"/>
          <w:sz w:val="20"/>
        </w:rPr>
      </w:pPr>
    </w:p>
    <w:p w14:paraId="6BBC39D4" w14:textId="77777777" w:rsidR="001D4E55" w:rsidRDefault="001D4E55" w:rsidP="00030750">
      <w:pPr>
        <w:rPr>
          <w:rFonts w:ascii="Arial" w:hAnsi="Arial" w:cs="Arial"/>
          <w:sz w:val="20"/>
        </w:rPr>
      </w:pPr>
    </w:p>
    <w:p w14:paraId="2F036E61" w14:textId="77777777" w:rsidR="001D4E55" w:rsidRDefault="001D4E55" w:rsidP="00030750">
      <w:pPr>
        <w:rPr>
          <w:rFonts w:ascii="Arial" w:hAnsi="Arial" w:cs="Arial"/>
          <w:sz w:val="20"/>
        </w:rPr>
      </w:pPr>
    </w:p>
    <w:p w14:paraId="31AE5C86" w14:textId="77777777" w:rsidR="001D4E55" w:rsidRDefault="001D4E55" w:rsidP="00030750">
      <w:pPr>
        <w:rPr>
          <w:rFonts w:ascii="Arial" w:hAnsi="Arial" w:cs="Arial"/>
          <w:sz w:val="20"/>
        </w:rPr>
      </w:pPr>
    </w:p>
    <w:p w14:paraId="09205FFE" w14:textId="77777777" w:rsidR="001D4E55" w:rsidRDefault="001D4E55" w:rsidP="00030750">
      <w:pPr>
        <w:rPr>
          <w:rFonts w:ascii="Arial" w:hAnsi="Arial" w:cs="Arial"/>
          <w:sz w:val="20"/>
        </w:rPr>
      </w:pPr>
    </w:p>
    <w:p w14:paraId="3A0F488C" w14:textId="77777777" w:rsidR="001D4E55" w:rsidRDefault="001D4E55" w:rsidP="00030750">
      <w:pPr>
        <w:rPr>
          <w:rFonts w:ascii="Arial" w:hAnsi="Arial" w:cs="Arial"/>
          <w:sz w:val="20"/>
        </w:rPr>
      </w:pPr>
    </w:p>
    <w:p w14:paraId="775F0251" w14:textId="77777777" w:rsidR="001D4E55" w:rsidRDefault="001D4E55" w:rsidP="00030750">
      <w:pPr>
        <w:rPr>
          <w:rFonts w:ascii="Arial" w:hAnsi="Arial" w:cs="Arial"/>
          <w:sz w:val="20"/>
        </w:rPr>
      </w:pPr>
    </w:p>
    <w:p w14:paraId="12E8C701" w14:textId="77777777" w:rsidR="001D4E55" w:rsidRDefault="001D4E55" w:rsidP="00030750">
      <w:pPr>
        <w:rPr>
          <w:rFonts w:ascii="Arial" w:hAnsi="Arial" w:cs="Arial"/>
          <w:sz w:val="20"/>
        </w:rPr>
      </w:pPr>
    </w:p>
    <w:p w14:paraId="0727224C" w14:textId="77777777" w:rsidR="001D4E55" w:rsidRDefault="001D4E55" w:rsidP="00030750">
      <w:pPr>
        <w:rPr>
          <w:rFonts w:ascii="Arial" w:hAnsi="Arial" w:cs="Arial"/>
          <w:sz w:val="20"/>
        </w:rPr>
      </w:pPr>
    </w:p>
    <w:p w14:paraId="035B622E" w14:textId="77777777" w:rsidR="001D4E55" w:rsidRDefault="001D4E55" w:rsidP="00030750">
      <w:pPr>
        <w:rPr>
          <w:rFonts w:ascii="Arial" w:hAnsi="Arial" w:cs="Arial"/>
          <w:sz w:val="20"/>
        </w:rPr>
      </w:pPr>
    </w:p>
    <w:p w14:paraId="63D22466" w14:textId="77777777" w:rsidR="001D4E55" w:rsidRDefault="001D4E55" w:rsidP="00030750">
      <w:pPr>
        <w:rPr>
          <w:rFonts w:ascii="Arial" w:hAnsi="Arial" w:cs="Arial"/>
          <w:sz w:val="20"/>
        </w:rPr>
      </w:pPr>
    </w:p>
    <w:p w14:paraId="0FCB44E9" w14:textId="77777777" w:rsidR="001D4E55" w:rsidRDefault="001D4E55" w:rsidP="00030750">
      <w:pPr>
        <w:rPr>
          <w:rFonts w:ascii="Arial" w:hAnsi="Arial" w:cs="Arial"/>
          <w:sz w:val="20"/>
        </w:rPr>
      </w:pPr>
    </w:p>
    <w:p w14:paraId="041F48AF" w14:textId="77777777" w:rsidR="001D4E55" w:rsidRDefault="001D4E55" w:rsidP="00030750">
      <w:pPr>
        <w:rPr>
          <w:rFonts w:ascii="Arial" w:hAnsi="Arial" w:cs="Arial"/>
          <w:sz w:val="20"/>
        </w:rPr>
      </w:pPr>
    </w:p>
    <w:p w14:paraId="3F34113B" w14:textId="77777777" w:rsidR="001D4E55" w:rsidRDefault="001D4E55" w:rsidP="00030750">
      <w:pPr>
        <w:rPr>
          <w:rFonts w:ascii="Arial" w:hAnsi="Arial" w:cs="Arial"/>
          <w:sz w:val="20"/>
        </w:rPr>
      </w:pPr>
    </w:p>
    <w:p w14:paraId="4B85CBFD" w14:textId="77777777" w:rsidR="001D4E55" w:rsidRDefault="001D4E55" w:rsidP="00030750">
      <w:pPr>
        <w:rPr>
          <w:rFonts w:ascii="Arial" w:hAnsi="Arial" w:cs="Arial"/>
          <w:sz w:val="20"/>
        </w:rPr>
      </w:pPr>
    </w:p>
    <w:p w14:paraId="66EF94A8" w14:textId="77777777" w:rsidR="001D4E55" w:rsidRDefault="001D4E55" w:rsidP="00030750">
      <w:pPr>
        <w:rPr>
          <w:rFonts w:ascii="Arial" w:hAnsi="Arial" w:cs="Arial"/>
          <w:sz w:val="20"/>
        </w:rPr>
      </w:pPr>
    </w:p>
    <w:p w14:paraId="1026D284" w14:textId="77777777" w:rsidR="001D4E55" w:rsidRDefault="001D4E55" w:rsidP="00030750">
      <w:pPr>
        <w:rPr>
          <w:rFonts w:ascii="Arial" w:hAnsi="Arial" w:cs="Arial"/>
          <w:sz w:val="20"/>
        </w:rPr>
      </w:pPr>
    </w:p>
    <w:p w14:paraId="3C66D17E" w14:textId="77777777" w:rsidR="001D4E55" w:rsidRDefault="001D4E55" w:rsidP="00030750">
      <w:pPr>
        <w:rPr>
          <w:rFonts w:ascii="Arial" w:hAnsi="Arial" w:cs="Arial"/>
          <w:sz w:val="20"/>
        </w:rPr>
      </w:pPr>
    </w:p>
    <w:p w14:paraId="4F7FA9D0" w14:textId="77777777" w:rsidR="001D4E55" w:rsidRDefault="001D4E55" w:rsidP="00030750">
      <w:pPr>
        <w:rPr>
          <w:rFonts w:ascii="Arial" w:hAnsi="Arial" w:cs="Arial"/>
          <w:sz w:val="20"/>
        </w:rPr>
      </w:pPr>
    </w:p>
    <w:p w14:paraId="6FA25EA3" w14:textId="77777777" w:rsidR="001D4E55" w:rsidRDefault="001D4E55" w:rsidP="00030750">
      <w:pPr>
        <w:rPr>
          <w:rFonts w:ascii="Arial" w:hAnsi="Arial" w:cs="Arial"/>
          <w:sz w:val="20"/>
        </w:rPr>
      </w:pPr>
    </w:p>
    <w:p w14:paraId="43157765" w14:textId="77777777" w:rsidR="001D4E55" w:rsidRDefault="001D4E55" w:rsidP="00030750">
      <w:pPr>
        <w:rPr>
          <w:rFonts w:ascii="Arial" w:hAnsi="Arial" w:cs="Arial"/>
          <w:sz w:val="20"/>
        </w:rPr>
      </w:pPr>
    </w:p>
    <w:p w14:paraId="299231FD" w14:textId="77777777" w:rsidR="001D4E55" w:rsidRDefault="001D4E55" w:rsidP="00030750">
      <w:pPr>
        <w:rPr>
          <w:rFonts w:ascii="Arial" w:hAnsi="Arial" w:cs="Arial"/>
          <w:sz w:val="20"/>
        </w:rPr>
      </w:pPr>
    </w:p>
    <w:p w14:paraId="689477A5" w14:textId="77777777" w:rsidR="001D4E55" w:rsidRDefault="001D4E55" w:rsidP="00030750">
      <w:pPr>
        <w:rPr>
          <w:rFonts w:ascii="Arial" w:hAnsi="Arial" w:cs="Arial"/>
          <w:sz w:val="20"/>
        </w:rPr>
      </w:pPr>
    </w:p>
    <w:p w14:paraId="22BEF2C0" w14:textId="77777777" w:rsidR="001D4E55" w:rsidRDefault="001D4E55" w:rsidP="00030750">
      <w:pPr>
        <w:rPr>
          <w:rFonts w:ascii="Arial" w:hAnsi="Arial" w:cs="Arial"/>
          <w:sz w:val="20"/>
        </w:rPr>
      </w:pPr>
    </w:p>
    <w:p w14:paraId="12736241" w14:textId="77777777" w:rsidR="001D4E55" w:rsidRDefault="001D4E55" w:rsidP="00030750">
      <w:pPr>
        <w:rPr>
          <w:rFonts w:ascii="Arial" w:hAnsi="Arial" w:cs="Arial"/>
          <w:sz w:val="20"/>
        </w:rPr>
      </w:pPr>
    </w:p>
    <w:p w14:paraId="6F8D1B6C" w14:textId="77777777" w:rsidR="001D4E55" w:rsidRDefault="001D4E55" w:rsidP="00030750">
      <w:pPr>
        <w:rPr>
          <w:rFonts w:ascii="Arial" w:hAnsi="Arial" w:cs="Arial"/>
          <w:sz w:val="20"/>
        </w:rPr>
      </w:pPr>
    </w:p>
    <w:p w14:paraId="1361E6D6" w14:textId="77777777" w:rsidR="001D4E55" w:rsidRDefault="001D4E55" w:rsidP="00030750">
      <w:pPr>
        <w:rPr>
          <w:rFonts w:ascii="Arial" w:hAnsi="Arial" w:cs="Arial"/>
          <w:sz w:val="20"/>
        </w:rPr>
      </w:pPr>
    </w:p>
    <w:p w14:paraId="2DE16919" w14:textId="77777777" w:rsidR="001D4E55" w:rsidRDefault="001D4E55" w:rsidP="00030750">
      <w:pPr>
        <w:rPr>
          <w:rFonts w:ascii="Arial" w:hAnsi="Arial" w:cs="Arial"/>
          <w:sz w:val="20"/>
        </w:rPr>
      </w:pPr>
    </w:p>
    <w:p w14:paraId="3B89B741" w14:textId="77777777" w:rsidR="001D4E55" w:rsidRDefault="001D4E55" w:rsidP="00030750">
      <w:pPr>
        <w:rPr>
          <w:rFonts w:ascii="Arial" w:hAnsi="Arial" w:cs="Arial"/>
          <w:sz w:val="20"/>
        </w:rPr>
      </w:pPr>
    </w:p>
    <w:p w14:paraId="2D4803EB" w14:textId="77777777" w:rsidR="001D4E55" w:rsidRDefault="001D4E55" w:rsidP="00030750">
      <w:pPr>
        <w:rPr>
          <w:rFonts w:ascii="Arial" w:hAnsi="Arial" w:cs="Arial"/>
          <w:sz w:val="20"/>
        </w:rPr>
      </w:pPr>
    </w:p>
    <w:p w14:paraId="3ECB16E7" w14:textId="77777777" w:rsidR="001D4E55" w:rsidRDefault="001D4E55" w:rsidP="00030750">
      <w:pPr>
        <w:rPr>
          <w:rFonts w:ascii="Arial" w:hAnsi="Arial" w:cs="Arial"/>
          <w:sz w:val="20"/>
        </w:rPr>
      </w:pPr>
    </w:p>
    <w:p w14:paraId="103A6F2B" w14:textId="77777777" w:rsidR="001D4E55" w:rsidRDefault="001D4E55" w:rsidP="00030750">
      <w:pPr>
        <w:rPr>
          <w:rFonts w:ascii="Arial" w:hAnsi="Arial" w:cs="Arial"/>
          <w:sz w:val="20"/>
        </w:rPr>
      </w:pPr>
    </w:p>
    <w:p w14:paraId="2CC77088" w14:textId="77777777" w:rsidR="001D4E55" w:rsidRDefault="001D4E55" w:rsidP="00030750">
      <w:pPr>
        <w:rPr>
          <w:rFonts w:ascii="Arial" w:hAnsi="Arial" w:cs="Arial"/>
          <w:sz w:val="20"/>
        </w:rPr>
      </w:pPr>
    </w:p>
    <w:p w14:paraId="7A34D5D0" w14:textId="77777777" w:rsidR="001D4E55" w:rsidRDefault="001D4E55" w:rsidP="00030750">
      <w:pPr>
        <w:rPr>
          <w:rFonts w:ascii="Arial" w:hAnsi="Arial" w:cs="Arial"/>
          <w:sz w:val="20"/>
        </w:rPr>
      </w:pPr>
    </w:p>
    <w:p w14:paraId="57FB868B" w14:textId="77777777" w:rsidR="001D4E55" w:rsidRDefault="001D4E55" w:rsidP="00030750">
      <w:pPr>
        <w:rPr>
          <w:rFonts w:ascii="Arial" w:hAnsi="Arial" w:cs="Arial"/>
          <w:sz w:val="20"/>
        </w:rPr>
      </w:pPr>
    </w:p>
    <w:p w14:paraId="6765779B" w14:textId="77777777" w:rsidR="001D4E55" w:rsidRDefault="001D4E55" w:rsidP="00030750">
      <w:pPr>
        <w:rPr>
          <w:rFonts w:ascii="Arial" w:hAnsi="Arial" w:cs="Arial"/>
          <w:sz w:val="20"/>
        </w:rPr>
      </w:pPr>
    </w:p>
    <w:p w14:paraId="3AAA71D7" w14:textId="77777777" w:rsidR="001D4E55" w:rsidRDefault="001D4E55" w:rsidP="00030750">
      <w:pPr>
        <w:rPr>
          <w:rFonts w:ascii="Arial" w:hAnsi="Arial" w:cs="Arial"/>
          <w:sz w:val="20"/>
        </w:rPr>
      </w:pPr>
    </w:p>
    <w:p w14:paraId="37DE1A99" w14:textId="77777777" w:rsidR="001D4E55" w:rsidRDefault="001D4E55" w:rsidP="00030750">
      <w:pPr>
        <w:rPr>
          <w:rFonts w:ascii="Arial" w:hAnsi="Arial" w:cs="Arial"/>
          <w:sz w:val="20"/>
        </w:rPr>
      </w:pPr>
    </w:p>
    <w:p w14:paraId="5EAF4316" w14:textId="77777777" w:rsidR="001D4E55" w:rsidRDefault="001D4E55" w:rsidP="00030750">
      <w:pPr>
        <w:rPr>
          <w:rFonts w:ascii="Arial" w:hAnsi="Arial" w:cs="Arial"/>
          <w:sz w:val="20"/>
        </w:rPr>
      </w:pPr>
    </w:p>
    <w:p w14:paraId="04AD853A" w14:textId="77777777" w:rsidR="001D4E55" w:rsidRDefault="001D4E55" w:rsidP="00030750">
      <w:pPr>
        <w:rPr>
          <w:rFonts w:ascii="Arial" w:hAnsi="Arial" w:cs="Arial"/>
          <w:sz w:val="20"/>
        </w:rPr>
      </w:pPr>
    </w:p>
    <w:p w14:paraId="0FDCBA92" w14:textId="77777777" w:rsidR="00617440" w:rsidRPr="00617440" w:rsidRDefault="00617440" w:rsidP="00617440">
      <w:pPr>
        <w:keepNext/>
        <w:keepLines/>
        <w:widowControl/>
        <w:autoSpaceDE/>
        <w:autoSpaceDN/>
        <w:spacing w:before="40" w:line="259" w:lineRule="auto"/>
        <w:jc w:val="center"/>
        <w:outlineLvl w:val="2"/>
        <w:rPr>
          <w:rFonts w:ascii="Arial" w:eastAsiaTheme="majorEastAsia" w:hAnsi="Arial" w:cs="Arial"/>
          <w:b/>
          <w:color w:val="00B0F0"/>
          <w:sz w:val="24"/>
          <w:szCs w:val="24"/>
        </w:rPr>
      </w:pPr>
      <w:bookmarkStart w:id="993" w:name="_Toc153137590"/>
      <w:r w:rsidRPr="00617440">
        <w:rPr>
          <w:rFonts w:ascii="Arial" w:eastAsiaTheme="majorEastAsia" w:hAnsi="Arial" w:cs="Arial"/>
          <w:b/>
          <w:color w:val="00B0F0"/>
          <w:sz w:val="24"/>
          <w:szCs w:val="24"/>
        </w:rPr>
        <w:lastRenderedPageBreak/>
        <w:t>SUBPART B — FLIGHT</w:t>
      </w:r>
      <w:bookmarkEnd w:id="993"/>
    </w:p>
    <w:p w14:paraId="21EE24DE" w14:textId="77777777" w:rsidR="00617440" w:rsidRPr="00617440" w:rsidRDefault="00617440" w:rsidP="00617440">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994" w:name="CS_31GB.12_Proof_of_compliance"/>
      <w:bookmarkStart w:id="995" w:name="_bookmark427"/>
      <w:bookmarkStart w:id="996" w:name="_Toc153137591"/>
      <w:bookmarkEnd w:id="994"/>
      <w:bookmarkEnd w:id="995"/>
      <w:r w:rsidRPr="00617440">
        <w:rPr>
          <w:rFonts w:ascii="Arial" w:eastAsia="Times New Roman" w:hAnsi="Arial" w:cs="Times New Roman"/>
          <w:b/>
          <w:iCs/>
          <w:color w:val="FFFFFF"/>
          <w:sz w:val="24"/>
        </w:rPr>
        <w:t>CS 31GB.12 Proof of compliance</w:t>
      </w:r>
      <w:bookmarkEnd w:id="996"/>
    </w:p>
    <w:p w14:paraId="48092A78" w14:textId="77777777" w:rsidR="00617440" w:rsidRPr="00617440" w:rsidRDefault="00617440" w:rsidP="000F5D9A">
      <w:pPr>
        <w:spacing w:line="276" w:lineRule="auto"/>
        <w:jc w:val="both"/>
        <w:rPr>
          <w:rFonts w:ascii="Arial" w:hAnsi="Arial" w:cs="Arial"/>
          <w:sz w:val="20"/>
        </w:rPr>
      </w:pPr>
      <w:r w:rsidRPr="00617440">
        <w:rPr>
          <w:rFonts w:ascii="Arial" w:hAnsi="Arial" w:cs="Arial"/>
          <w:sz w:val="20"/>
        </w:rPr>
        <w:t>Each requirement of this Subpart must be met at each mass within the range of loading conditions for which certification is requested. This must be shown by:</w:t>
      </w:r>
    </w:p>
    <w:p w14:paraId="22AF24EC" w14:textId="77777777" w:rsidR="00617440" w:rsidRPr="00617440" w:rsidRDefault="00617440" w:rsidP="000F5D9A">
      <w:pPr>
        <w:numPr>
          <w:ilvl w:val="0"/>
          <w:numId w:val="346"/>
        </w:numPr>
        <w:spacing w:line="276" w:lineRule="auto"/>
        <w:jc w:val="both"/>
        <w:rPr>
          <w:rFonts w:ascii="Arial" w:hAnsi="Arial" w:cs="Arial"/>
          <w:sz w:val="20"/>
        </w:rPr>
      </w:pPr>
      <w:r w:rsidRPr="00617440">
        <w:rPr>
          <w:rFonts w:ascii="Arial" w:hAnsi="Arial" w:cs="Arial"/>
          <w:sz w:val="20"/>
        </w:rPr>
        <w:t>tests upon a balloon of the type for which certification is requested or by calculations based on, and equal in accuracy to, the results of testing; and</w:t>
      </w:r>
    </w:p>
    <w:p w14:paraId="342837B8" w14:textId="77777777" w:rsidR="001D4E55" w:rsidRPr="00617440" w:rsidRDefault="00617440" w:rsidP="000F5D9A">
      <w:pPr>
        <w:numPr>
          <w:ilvl w:val="0"/>
          <w:numId w:val="346"/>
        </w:numPr>
        <w:spacing w:line="276" w:lineRule="auto"/>
        <w:jc w:val="both"/>
        <w:rPr>
          <w:rFonts w:ascii="Arial" w:hAnsi="Arial" w:cs="Arial"/>
          <w:sz w:val="20"/>
        </w:rPr>
      </w:pPr>
      <w:r w:rsidRPr="00617440">
        <w:rPr>
          <w:rFonts w:ascii="Arial" w:hAnsi="Arial" w:cs="Arial"/>
          <w:sz w:val="20"/>
        </w:rPr>
        <w:t>systematic investigation of each mass if compliance cannot be reasonably inferred from the masses investigated.</w:t>
      </w:r>
    </w:p>
    <w:p w14:paraId="05EE5A59" w14:textId="77777777" w:rsidR="00617440" w:rsidRPr="00617440" w:rsidRDefault="00617440" w:rsidP="00617440">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997" w:name="CS_31GB.14_Mass_limits"/>
      <w:bookmarkStart w:id="998" w:name="_bookmark428"/>
      <w:bookmarkStart w:id="999" w:name="_Toc153137592"/>
      <w:bookmarkEnd w:id="997"/>
      <w:bookmarkEnd w:id="998"/>
      <w:r w:rsidRPr="00617440">
        <w:rPr>
          <w:rFonts w:ascii="Arial" w:eastAsia="Times New Roman" w:hAnsi="Arial" w:cs="Times New Roman"/>
          <w:b/>
          <w:iCs/>
          <w:color w:val="FFFFFF"/>
          <w:sz w:val="24"/>
        </w:rPr>
        <w:t>CS 31GB.14 Mass limits</w:t>
      </w:r>
      <w:bookmarkEnd w:id="999"/>
    </w:p>
    <w:p w14:paraId="240CCD45" w14:textId="77777777" w:rsidR="00617440" w:rsidRPr="00617440" w:rsidRDefault="00617440" w:rsidP="00617440">
      <w:pPr>
        <w:spacing w:line="276" w:lineRule="auto"/>
        <w:jc w:val="both"/>
        <w:rPr>
          <w:rFonts w:ascii="Arial" w:hAnsi="Arial" w:cs="Arial"/>
          <w:sz w:val="20"/>
        </w:rPr>
      </w:pPr>
      <w:r w:rsidRPr="00617440">
        <w:rPr>
          <w:rFonts w:ascii="Arial" w:hAnsi="Arial" w:cs="Arial"/>
          <w:sz w:val="20"/>
        </w:rPr>
        <w:t>The range of masses over which the balloon may be safely operated must be established and at least consists of:</w:t>
      </w:r>
    </w:p>
    <w:p w14:paraId="1A2B87BE" w14:textId="77777777" w:rsidR="00617440" w:rsidRPr="00617440" w:rsidRDefault="00617440" w:rsidP="00617440">
      <w:pPr>
        <w:numPr>
          <w:ilvl w:val="0"/>
          <w:numId w:val="347"/>
        </w:numPr>
        <w:spacing w:line="276" w:lineRule="auto"/>
        <w:jc w:val="both"/>
        <w:rPr>
          <w:rFonts w:ascii="Arial" w:hAnsi="Arial" w:cs="Arial"/>
          <w:sz w:val="20"/>
        </w:rPr>
      </w:pPr>
      <w:r w:rsidRPr="00617440">
        <w:rPr>
          <w:rFonts w:ascii="Arial" w:hAnsi="Arial" w:cs="Arial"/>
          <w:sz w:val="20"/>
        </w:rPr>
        <w:t>maximum mass</w:t>
      </w:r>
    </w:p>
    <w:p w14:paraId="130335EE" w14:textId="77777777" w:rsidR="00617440" w:rsidRPr="00617440" w:rsidRDefault="00617440" w:rsidP="00617440">
      <w:pPr>
        <w:spacing w:line="276" w:lineRule="auto"/>
        <w:ind w:left="706"/>
        <w:jc w:val="both"/>
        <w:rPr>
          <w:rFonts w:ascii="Arial" w:hAnsi="Arial" w:cs="Arial"/>
          <w:sz w:val="20"/>
        </w:rPr>
      </w:pPr>
      <w:r w:rsidRPr="00617440">
        <w:rPr>
          <w:rFonts w:ascii="Arial" w:hAnsi="Arial" w:cs="Arial"/>
          <w:sz w:val="20"/>
        </w:rPr>
        <w:t>The maximum mass is the highest mass at which compliance with each applicable requirement of CS-31GB is shown. The maximum mass must be established so that it is not more than the least of:</w:t>
      </w:r>
    </w:p>
    <w:p w14:paraId="7D389DE2" w14:textId="77777777" w:rsidR="00617440" w:rsidRPr="00617440" w:rsidRDefault="00617440" w:rsidP="00617440">
      <w:pPr>
        <w:numPr>
          <w:ilvl w:val="1"/>
          <w:numId w:val="347"/>
        </w:numPr>
        <w:spacing w:line="276" w:lineRule="auto"/>
        <w:jc w:val="both"/>
        <w:rPr>
          <w:rFonts w:ascii="Arial" w:hAnsi="Arial" w:cs="Arial"/>
          <w:sz w:val="20"/>
        </w:rPr>
      </w:pPr>
      <w:r w:rsidRPr="00617440">
        <w:rPr>
          <w:rFonts w:ascii="Arial" w:hAnsi="Arial" w:cs="Arial"/>
          <w:sz w:val="20"/>
        </w:rPr>
        <w:t>the maximum mass selected for the product;</w:t>
      </w:r>
    </w:p>
    <w:p w14:paraId="000DF0AD" w14:textId="77777777" w:rsidR="00617440" w:rsidRPr="00617440" w:rsidRDefault="00617440" w:rsidP="00617440">
      <w:pPr>
        <w:numPr>
          <w:ilvl w:val="1"/>
          <w:numId w:val="347"/>
        </w:numPr>
        <w:spacing w:line="276" w:lineRule="auto"/>
        <w:jc w:val="both"/>
        <w:rPr>
          <w:rFonts w:ascii="Arial" w:hAnsi="Arial" w:cs="Arial"/>
          <w:sz w:val="20"/>
        </w:rPr>
      </w:pPr>
      <w:r w:rsidRPr="00617440">
        <w:rPr>
          <w:rFonts w:ascii="Arial" w:hAnsi="Arial" w:cs="Arial"/>
          <w:sz w:val="20"/>
        </w:rPr>
        <w:t>the design maximum mass, which is the highest mass at which each structural loading condition is shown; or</w:t>
      </w:r>
    </w:p>
    <w:p w14:paraId="31D6BCD8" w14:textId="77777777" w:rsidR="00617440" w:rsidRPr="00617440" w:rsidRDefault="00617440" w:rsidP="00617440">
      <w:pPr>
        <w:numPr>
          <w:ilvl w:val="1"/>
          <w:numId w:val="347"/>
        </w:numPr>
        <w:spacing w:line="276" w:lineRule="auto"/>
        <w:jc w:val="both"/>
        <w:rPr>
          <w:rFonts w:ascii="Arial" w:hAnsi="Arial" w:cs="Arial"/>
          <w:sz w:val="20"/>
        </w:rPr>
      </w:pPr>
      <w:r w:rsidRPr="00617440">
        <w:rPr>
          <w:rFonts w:ascii="Arial" w:hAnsi="Arial" w:cs="Arial"/>
          <w:sz w:val="20"/>
        </w:rPr>
        <w:t>the maximum mass at which compliance with each applicable flight requirement is shown.</w:t>
      </w:r>
    </w:p>
    <w:p w14:paraId="16177374" w14:textId="77777777" w:rsidR="00617440" w:rsidRPr="00617440" w:rsidRDefault="00617440" w:rsidP="00617440">
      <w:pPr>
        <w:numPr>
          <w:ilvl w:val="0"/>
          <w:numId w:val="347"/>
        </w:numPr>
        <w:spacing w:line="276" w:lineRule="auto"/>
        <w:jc w:val="both"/>
        <w:rPr>
          <w:rFonts w:ascii="Arial" w:hAnsi="Arial" w:cs="Arial"/>
          <w:sz w:val="20"/>
        </w:rPr>
      </w:pPr>
      <w:r w:rsidRPr="00617440">
        <w:rPr>
          <w:rFonts w:ascii="Arial" w:hAnsi="Arial" w:cs="Arial"/>
          <w:sz w:val="20"/>
        </w:rPr>
        <w:t>minimum mass</w:t>
      </w:r>
    </w:p>
    <w:p w14:paraId="1CB4E71C" w14:textId="77777777" w:rsidR="00617440" w:rsidRPr="00617440" w:rsidRDefault="00617440" w:rsidP="00617440">
      <w:pPr>
        <w:spacing w:line="276" w:lineRule="auto"/>
        <w:ind w:left="706"/>
        <w:jc w:val="both"/>
        <w:rPr>
          <w:rFonts w:ascii="Arial" w:hAnsi="Arial" w:cs="Arial"/>
          <w:sz w:val="20"/>
        </w:rPr>
      </w:pPr>
      <w:r w:rsidRPr="00617440">
        <w:rPr>
          <w:rFonts w:ascii="Arial" w:hAnsi="Arial" w:cs="Arial"/>
          <w:sz w:val="20"/>
        </w:rPr>
        <w:t>The minimum mass is the lowest mass at which compliance with each applicable flight requirement is shown.</w:t>
      </w:r>
    </w:p>
    <w:p w14:paraId="6312D8F6" w14:textId="77777777" w:rsidR="00617440" w:rsidRPr="00617440" w:rsidRDefault="00617440" w:rsidP="00617440">
      <w:pPr>
        <w:spacing w:line="276" w:lineRule="auto"/>
        <w:ind w:left="706"/>
        <w:jc w:val="both"/>
        <w:rPr>
          <w:rFonts w:ascii="Arial" w:hAnsi="Arial" w:cs="Arial"/>
          <w:sz w:val="20"/>
        </w:rPr>
      </w:pPr>
      <w:r w:rsidRPr="00617440">
        <w:rPr>
          <w:rFonts w:ascii="Arial" w:hAnsi="Arial" w:cs="Arial"/>
          <w:sz w:val="20"/>
        </w:rPr>
        <w:t>Mass limitation information related to safe operation of the balloon must be included in the Flight Manual. (See CS 31GB.81(b)(2))</w:t>
      </w:r>
    </w:p>
    <w:p w14:paraId="651A539F" w14:textId="77777777" w:rsidR="000F54C2" w:rsidRPr="000F54C2" w:rsidRDefault="000F54C2" w:rsidP="000F54C2">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1000" w:name="AMC_31GB.14(a)_Mass_limits"/>
      <w:bookmarkStart w:id="1001" w:name="_bookmark429"/>
      <w:bookmarkStart w:id="1002" w:name="_Toc153137593"/>
      <w:bookmarkEnd w:id="1000"/>
      <w:bookmarkEnd w:id="1001"/>
      <w:r w:rsidRPr="000F54C2">
        <w:rPr>
          <w:rFonts w:ascii="Arial" w:eastAsia="Times New Roman" w:hAnsi="Arial" w:cs="Times New Roman"/>
          <w:b/>
          <w:color w:val="FFFFFF"/>
          <w:sz w:val="24"/>
        </w:rPr>
        <w:t>AMC 31GB.14(a) Mass limits</w:t>
      </w:r>
      <w:bookmarkEnd w:id="1002"/>
    </w:p>
    <w:p w14:paraId="3E06D713" w14:textId="77777777" w:rsidR="000F54C2" w:rsidRPr="000F54C2" w:rsidRDefault="000F54C2" w:rsidP="000F54C2">
      <w:pPr>
        <w:spacing w:line="276" w:lineRule="auto"/>
        <w:jc w:val="both"/>
        <w:rPr>
          <w:rFonts w:ascii="Arial" w:hAnsi="Arial" w:cs="Arial"/>
          <w:sz w:val="20"/>
        </w:rPr>
      </w:pPr>
      <w:r w:rsidRPr="000F54C2">
        <w:rPr>
          <w:rFonts w:ascii="Arial" w:hAnsi="Arial" w:cs="Arial"/>
          <w:sz w:val="20"/>
        </w:rPr>
        <w:t>The maximum mass corresponds to the maximum buoyancy. The lift-producing medium is not part of the maximum mass.</w:t>
      </w:r>
    </w:p>
    <w:p w14:paraId="2775C55A" w14:textId="77777777" w:rsidR="000F54C2" w:rsidRPr="000F54C2" w:rsidRDefault="000F54C2" w:rsidP="000F54C2">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1003" w:name="AMC_31GB.14(b)_Minimum_mass"/>
      <w:bookmarkStart w:id="1004" w:name="_bookmark430"/>
      <w:bookmarkStart w:id="1005" w:name="_Toc153137594"/>
      <w:bookmarkEnd w:id="1003"/>
      <w:bookmarkEnd w:id="1004"/>
      <w:r w:rsidRPr="000F54C2">
        <w:rPr>
          <w:rFonts w:ascii="Arial" w:eastAsia="Times New Roman" w:hAnsi="Arial" w:cs="Times New Roman"/>
          <w:b/>
          <w:color w:val="FFFFFF"/>
          <w:sz w:val="24"/>
        </w:rPr>
        <w:t>AMC 31GB.14(b) Minimum mass</w:t>
      </w:r>
      <w:bookmarkEnd w:id="1005"/>
    </w:p>
    <w:p w14:paraId="6C20D22D" w14:textId="77777777" w:rsidR="000F54C2" w:rsidRPr="000F54C2" w:rsidRDefault="000F54C2" w:rsidP="000F54C2">
      <w:pPr>
        <w:spacing w:line="276" w:lineRule="auto"/>
        <w:jc w:val="both"/>
        <w:rPr>
          <w:rFonts w:ascii="Arial" w:hAnsi="Arial" w:cs="Arial"/>
          <w:sz w:val="20"/>
        </w:rPr>
      </w:pPr>
      <w:r w:rsidRPr="000F54C2">
        <w:rPr>
          <w:rFonts w:ascii="Arial" w:hAnsi="Arial" w:cs="Arial"/>
          <w:sz w:val="20"/>
        </w:rPr>
        <w:t>Minimum mass. The determination of the minimum mass should take into consideration that the controllability of the balloon might be affected by a low internal pressure at low mass.</w:t>
      </w:r>
    </w:p>
    <w:p w14:paraId="422C094D" w14:textId="77777777" w:rsidR="000F54C2" w:rsidRPr="000F54C2" w:rsidRDefault="000F54C2" w:rsidP="000F54C2">
      <w:pPr>
        <w:spacing w:line="276" w:lineRule="auto"/>
        <w:jc w:val="both"/>
        <w:rPr>
          <w:rFonts w:ascii="Arial" w:hAnsi="Arial" w:cs="Arial"/>
          <w:sz w:val="20"/>
        </w:rPr>
      </w:pPr>
      <w:r w:rsidRPr="000F54C2">
        <w:rPr>
          <w:rFonts w:ascii="Arial" w:hAnsi="Arial" w:cs="Arial"/>
          <w:sz w:val="20"/>
        </w:rPr>
        <w:t>At least the following should be demonstrated:</w:t>
      </w:r>
    </w:p>
    <w:p w14:paraId="2E6D99AD" w14:textId="77777777" w:rsidR="000F54C2" w:rsidRPr="000F54C2" w:rsidRDefault="000F54C2" w:rsidP="000F54C2">
      <w:pPr>
        <w:spacing w:line="276" w:lineRule="auto"/>
        <w:jc w:val="both"/>
        <w:rPr>
          <w:rFonts w:ascii="Arial" w:hAnsi="Arial" w:cs="Arial"/>
          <w:sz w:val="20"/>
        </w:rPr>
      </w:pPr>
      <w:r w:rsidRPr="000F54C2">
        <w:rPr>
          <w:rFonts w:ascii="Arial" w:hAnsi="Arial" w:cs="Arial"/>
          <w:sz w:val="20"/>
        </w:rPr>
        <w:t>In landing configuration with minimum crew, untaut condition and already disposed minimum ballast, all controls (e.g. parachute, valve, rip panel, control lines, etc.) should have a positive performance and function easily and smoothly.</w:t>
      </w:r>
    </w:p>
    <w:p w14:paraId="3DAD5F5C" w14:textId="77777777" w:rsidR="000F54C2" w:rsidRPr="000F54C2" w:rsidRDefault="000F54C2" w:rsidP="000F54C2">
      <w:pPr>
        <w:spacing w:line="276" w:lineRule="auto"/>
        <w:jc w:val="both"/>
        <w:rPr>
          <w:rFonts w:ascii="Arial" w:hAnsi="Arial" w:cs="Arial"/>
          <w:i/>
          <w:sz w:val="20"/>
        </w:rPr>
      </w:pPr>
      <w:r w:rsidRPr="000F54C2">
        <w:rPr>
          <w:rFonts w:ascii="Arial" w:hAnsi="Arial" w:cs="Arial"/>
          <w:i/>
          <w:sz w:val="20"/>
        </w:rPr>
        <w:t>Note: An untaut condition is a flight with a ‘slack’ envelope and open appendix.</w:t>
      </w:r>
    </w:p>
    <w:p w14:paraId="3F301A46" w14:textId="77777777" w:rsidR="00337F8C" w:rsidRPr="00337F8C" w:rsidRDefault="00337F8C" w:rsidP="00337F8C">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1006" w:name="CS_31GB.16_Empty_mass"/>
      <w:bookmarkStart w:id="1007" w:name="_bookmark431"/>
      <w:bookmarkStart w:id="1008" w:name="_Toc153137595"/>
      <w:bookmarkEnd w:id="1006"/>
      <w:bookmarkEnd w:id="1007"/>
      <w:r w:rsidRPr="00337F8C">
        <w:rPr>
          <w:rFonts w:ascii="Arial" w:eastAsia="Times New Roman" w:hAnsi="Arial" w:cs="Times New Roman"/>
          <w:b/>
          <w:iCs/>
          <w:color w:val="FFFFFF"/>
          <w:sz w:val="24"/>
        </w:rPr>
        <w:t>CS 31GB.16 Empty mass</w:t>
      </w:r>
      <w:bookmarkEnd w:id="1008"/>
    </w:p>
    <w:p w14:paraId="336CBEB4" w14:textId="77777777" w:rsidR="00337F8C" w:rsidRPr="00337F8C" w:rsidRDefault="00337F8C" w:rsidP="00337F8C">
      <w:pPr>
        <w:spacing w:line="276" w:lineRule="auto"/>
        <w:jc w:val="both"/>
        <w:rPr>
          <w:rFonts w:ascii="Arial" w:hAnsi="Arial" w:cs="Arial"/>
          <w:sz w:val="20"/>
        </w:rPr>
      </w:pPr>
      <w:r w:rsidRPr="00337F8C">
        <w:rPr>
          <w:rFonts w:ascii="Arial" w:hAnsi="Arial" w:cs="Arial"/>
          <w:sz w:val="20"/>
        </w:rPr>
        <w:t>The empty mass must be determined by weighing the balloon with installed equipment but without lifting gas.</w:t>
      </w:r>
    </w:p>
    <w:p w14:paraId="6DDCDFF9" w14:textId="77777777" w:rsidR="00337F8C" w:rsidRPr="00337F8C" w:rsidRDefault="00337F8C" w:rsidP="00337F8C">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1009" w:name="AMC_31GB.16_Empty_mass"/>
      <w:bookmarkStart w:id="1010" w:name="_bookmark432"/>
      <w:bookmarkStart w:id="1011" w:name="_Toc153137596"/>
      <w:bookmarkEnd w:id="1009"/>
      <w:bookmarkEnd w:id="1010"/>
      <w:r w:rsidRPr="00337F8C">
        <w:rPr>
          <w:rFonts w:ascii="Arial" w:eastAsia="Times New Roman" w:hAnsi="Arial" w:cs="Times New Roman"/>
          <w:b/>
          <w:color w:val="FFFFFF"/>
          <w:sz w:val="24"/>
        </w:rPr>
        <w:t>AMC 31GB.16 Empty mass</w:t>
      </w:r>
      <w:bookmarkEnd w:id="1011"/>
    </w:p>
    <w:p w14:paraId="4D893277" w14:textId="77777777" w:rsidR="00337F8C" w:rsidRPr="00337F8C" w:rsidRDefault="00337F8C" w:rsidP="00337F8C">
      <w:pPr>
        <w:spacing w:line="276" w:lineRule="auto"/>
        <w:jc w:val="both"/>
        <w:rPr>
          <w:rFonts w:ascii="Arial" w:hAnsi="Arial" w:cs="Arial"/>
          <w:sz w:val="20"/>
        </w:rPr>
      </w:pPr>
      <w:r w:rsidRPr="00337F8C">
        <w:rPr>
          <w:rFonts w:ascii="Arial" w:hAnsi="Arial" w:cs="Arial"/>
          <w:sz w:val="20"/>
        </w:rPr>
        <w:t>The equipment and configuration that are included in the empty mass need to be specified. Refer also to AMC 31GB.81(b)(2).</w:t>
      </w:r>
    </w:p>
    <w:p w14:paraId="2361E55C" w14:textId="77777777" w:rsidR="0062664B" w:rsidRPr="0062664B" w:rsidRDefault="0062664B" w:rsidP="0062664B">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1012" w:name="CS_31GB.17_Performance:_climb"/>
      <w:bookmarkStart w:id="1013" w:name="_bookmark433"/>
      <w:bookmarkStart w:id="1014" w:name="_Toc153137597"/>
      <w:bookmarkEnd w:id="1012"/>
      <w:bookmarkEnd w:id="1013"/>
      <w:r w:rsidRPr="0062664B">
        <w:rPr>
          <w:rFonts w:ascii="Arial" w:eastAsia="Times New Roman" w:hAnsi="Arial" w:cs="Times New Roman"/>
          <w:b/>
          <w:iCs/>
          <w:color w:val="FFFFFF"/>
          <w:sz w:val="24"/>
        </w:rPr>
        <w:t>CS 31GB.17 Performance: climb</w:t>
      </w:r>
      <w:bookmarkEnd w:id="1014"/>
    </w:p>
    <w:p w14:paraId="7DA8C3FF" w14:textId="77777777" w:rsidR="0062664B" w:rsidRDefault="0062664B" w:rsidP="0062664B">
      <w:pPr>
        <w:spacing w:line="276" w:lineRule="auto"/>
        <w:jc w:val="both"/>
        <w:rPr>
          <w:rFonts w:ascii="Arial" w:hAnsi="Arial" w:cs="Arial"/>
          <w:sz w:val="20"/>
        </w:rPr>
      </w:pPr>
      <w:r w:rsidRPr="0062664B">
        <w:rPr>
          <w:rFonts w:ascii="Arial" w:hAnsi="Arial" w:cs="Arial"/>
          <w:sz w:val="20"/>
        </w:rPr>
        <w:t>The balloon at maximum mass must be capable of climbing at least 90 metres in the first minute from a start in equilibrium at ground level.</w:t>
      </w:r>
    </w:p>
    <w:p w14:paraId="4E741C13" w14:textId="77777777" w:rsidR="0062664B" w:rsidRDefault="0062664B" w:rsidP="0062664B">
      <w:pPr>
        <w:spacing w:line="276" w:lineRule="auto"/>
        <w:jc w:val="both"/>
        <w:rPr>
          <w:rFonts w:ascii="Arial" w:hAnsi="Arial" w:cs="Arial"/>
          <w:sz w:val="20"/>
        </w:rPr>
      </w:pPr>
    </w:p>
    <w:p w14:paraId="5765EA47" w14:textId="77777777" w:rsidR="0062664B" w:rsidRPr="0062664B" w:rsidRDefault="0062664B" w:rsidP="0062664B">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1015" w:name="AMC_31GB.17_Performance:_climb"/>
      <w:bookmarkStart w:id="1016" w:name="_bookmark434"/>
      <w:bookmarkStart w:id="1017" w:name="_Toc153137598"/>
      <w:bookmarkEnd w:id="1015"/>
      <w:bookmarkEnd w:id="1016"/>
      <w:r w:rsidRPr="0062664B">
        <w:rPr>
          <w:rFonts w:ascii="Arial" w:eastAsia="Times New Roman" w:hAnsi="Arial" w:cs="Times New Roman"/>
          <w:b/>
          <w:color w:val="FFFFFF"/>
          <w:sz w:val="24"/>
        </w:rPr>
        <w:lastRenderedPageBreak/>
        <w:t>AMC 31GB.17 Performance: climb</w:t>
      </w:r>
      <w:bookmarkEnd w:id="1017"/>
    </w:p>
    <w:p w14:paraId="7BD99CC7" w14:textId="77777777" w:rsidR="0062664B" w:rsidRPr="0062664B" w:rsidRDefault="0062664B" w:rsidP="0062664B">
      <w:pPr>
        <w:spacing w:line="276" w:lineRule="auto"/>
        <w:jc w:val="both"/>
        <w:rPr>
          <w:rFonts w:ascii="Arial" w:hAnsi="Arial" w:cs="Arial"/>
          <w:sz w:val="20"/>
        </w:rPr>
      </w:pPr>
      <w:r w:rsidRPr="0062664B">
        <w:rPr>
          <w:rFonts w:ascii="Arial" w:hAnsi="Arial" w:cs="Arial"/>
          <w:sz w:val="20"/>
        </w:rPr>
        <w:t>The climb performance should be demonstrated by a test. The fully inflated balloon to maximum pressure appropriate to the conditions of the test should start from equilibrium at ground level. The climb performance should be met without excessive jettisoning of ballast.</w:t>
      </w:r>
    </w:p>
    <w:p w14:paraId="66606937" w14:textId="77777777" w:rsidR="0062664B" w:rsidRPr="0062664B" w:rsidRDefault="0062664B" w:rsidP="0062664B">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1018" w:name="CS_31GB.20_Controllability"/>
      <w:bookmarkStart w:id="1019" w:name="_bookmark435"/>
      <w:bookmarkStart w:id="1020" w:name="_Toc153137599"/>
      <w:bookmarkEnd w:id="1018"/>
      <w:bookmarkEnd w:id="1019"/>
      <w:r w:rsidRPr="0062664B">
        <w:rPr>
          <w:rFonts w:ascii="Arial" w:eastAsia="Times New Roman" w:hAnsi="Arial" w:cs="Times New Roman"/>
          <w:b/>
          <w:iCs/>
          <w:color w:val="FFFFFF"/>
          <w:sz w:val="24"/>
        </w:rPr>
        <w:t>CS 31GB.20 Controllability</w:t>
      </w:r>
      <w:bookmarkEnd w:id="1020"/>
    </w:p>
    <w:p w14:paraId="1BB1449D" w14:textId="77777777" w:rsidR="0062664B" w:rsidRPr="0062664B" w:rsidRDefault="0062664B" w:rsidP="0062664B">
      <w:pPr>
        <w:spacing w:line="276" w:lineRule="auto"/>
        <w:jc w:val="both"/>
        <w:rPr>
          <w:rFonts w:ascii="Arial" w:hAnsi="Arial" w:cs="Arial"/>
          <w:sz w:val="20"/>
        </w:rPr>
      </w:pPr>
      <w:r w:rsidRPr="0062664B">
        <w:rPr>
          <w:rFonts w:ascii="Arial" w:hAnsi="Arial" w:cs="Arial"/>
          <w:sz w:val="20"/>
        </w:rPr>
        <w:t>The balloon must be safely controllable and manoeuvrable without requiring exceptional piloting skill. Associated operational limitations must be established and included in the Flight Manual. (See CS 31GB.81(b)(2)).</w:t>
      </w:r>
    </w:p>
    <w:p w14:paraId="7AA20882" w14:textId="77777777" w:rsidR="00617440" w:rsidRDefault="00617440" w:rsidP="00030750">
      <w:pPr>
        <w:rPr>
          <w:rFonts w:ascii="Arial" w:hAnsi="Arial" w:cs="Arial"/>
          <w:sz w:val="20"/>
        </w:rPr>
      </w:pPr>
    </w:p>
    <w:p w14:paraId="352D5C63" w14:textId="77777777" w:rsidR="00973F78" w:rsidRDefault="00973F78" w:rsidP="00030750">
      <w:pPr>
        <w:rPr>
          <w:rFonts w:ascii="Arial" w:hAnsi="Arial" w:cs="Arial"/>
          <w:sz w:val="20"/>
        </w:rPr>
      </w:pPr>
    </w:p>
    <w:p w14:paraId="283E10DE" w14:textId="77777777" w:rsidR="00973F78" w:rsidRDefault="00973F78" w:rsidP="00030750">
      <w:pPr>
        <w:rPr>
          <w:rFonts w:ascii="Arial" w:hAnsi="Arial" w:cs="Arial"/>
          <w:sz w:val="20"/>
        </w:rPr>
      </w:pPr>
    </w:p>
    <w:p w14:paraId="7019D263" w14:textId="77777777" w:rsidR="00973F78" w:rsidRDefault="00973F78" w:rsidP="00030750">
      <w:pPr>
        <w:rPr>
          <w:rFonts w:ascii="Arial" w:hAnsi="Arial" w:cs="Arial"/>
          <w:sz w:val="20"/>
        </w:rPr>
      </w:pPr>
    </w:p>
    <w:p w14:paraId="29A91395" w14:textId="77777777" w:rsidR="00973F78" w:rsidRDefault="00973F78" w:rsidP="00030750">
      <w:pPr>
        <w:rPr>
          <w:rFonts w:ascii="Arial" w:hAnsi="Arial" w:cs="Arial"/>
          <w:sz w:val="20"/>
        </w:rPr>
      </w:pPr>
    </w:p>
    <w:p w14:paraId="5660F918" w14:textId="77777777" w:rsidR="00973F78" w:rsidRDefault="00973F78" w:rsidP="00030750">
      <w:pPr>
        <w:rPr>
          <w:rFonts w:ascii="Arial" w:hAnsi="Arial" w:cs="Arial"/>
          <w:sz w:val="20"/>
        </w:rPr>
      </w:pPr>
    </w:p>
    <w:p w14:paraId="6140EFE0" w14:textId="77777777" w:rsidR="00973F78" w:rsidRDefault="00973F78" w:rsidP="00030750">
      <w:pPr>
        <w:rPr>
          <w:rFonts w:ascii="Arial" w:hAnsi="Arial" w:cs="Arial"/>
          <w:sz w:val="20"/>
        </w:rPr>
      </w:pPr>
    </w:p>
    <w:p w14:paraId="133F3C45" w14:textId="77777777" w:rsidR="00973F78" w:rsidRDefault="00973F78" w:rsidP="00030750">
      <w:pPr>
        <w:rPr>
          <w:rFonts w:ascii="Arial" w:hAnsi="Arial" w:cs="Arial"/>
          <w:sz w:val="20"/>
        </w:rPr>
      </w:pPr>
    </w:p>
    <w:p w14:paraId="7BF7D903" w14:textId="77777777" w:rsidR="00973F78" w:rsidRDefault="00973F78" w:rsidP="00030750">
      <w:pPr>
        <w:rPr>
          <w:rFonts w:ascii="Arial" w:hAnsi="Arial" w:cs="Arial"/>
          <w:sz w:val="20"/>
        </w:rPr>
      </w:pPr>
    </w:p>
    <w:p w14:paraId="6E4D3FE6" w14:textId="77777777" w:rsidR="00973F78" w:rsidRDefault="00973F78" w:rsidP="00030750">
      <w:pPr>
        <w:rPr>
          <w:rFonts w:ascii="Arial" w:hAnsi="Arial" w:cs="Arial"/>
          <w:sz w:val="20"/>
        </w:rPr>
      </w:pPr>
    </w:p>
    <w:p w14:paraId="2499457B" w14:textId="77777777" w:rsidR="00973F78" w:rsidRDefault="00973F78" w:rsidP="00030750">
      <w:pPr>
        <w:rPr>
          <w:rFonts w:ascii="Arial" w:hAnsi="Arial" w:cs="Arial"/>
          <w:sz w:val="20"/>
        </w:rPr>
      </w:pPr>
    </w:p>
    <w:p w14:paraId="270B3AF4" w14:textId="77777777" w:rsidR="00973F78" w:rsidRDefault="00973F78" w:rsidP="00030750">
      <w:pPr>
        <w:rPr>
          <w:rFonts w:ascii="Arial" w:hAnsi="Arial" w:cs="Arial"/>
          <w:sz w:val="20"/>
        </w:rPr>
      </w:pPr>
    </w:p>
    <w:p w14:paraId="74E1701D" w14:textId="77777777" w:rsidR="00973F78" w:rsidRDefault="00973F78" w:rsidP="00030750">
      <w:pPr>
        <w:rPr>
          <w:rFonts w:ascii="Arial" w:hAnsi="Arial" w:cs="Arial"/>
          <w:sz w:val="20"/>
        </w:rPr>
      </w:pPr>
    </w:p>
    <w:p w14:paraId="079701B3" w14:textId="77777777" w:rsidR="00973F78" w:rsidRDefault="00973F78" w:rsidP="00030750">
      <w:pPr>
        <w:rPr>
          <w:rFonts w:ascii="Arial" w:hAnsi="Arial" w:cs="Arial"/>
          <w:sz w:val="20"/>
        </w:rPr>
      </w:pPr>
    </w:p>
    <w:p w14:paraId="4728D890" w14:textId="77777777" w:rsidR="00973F78" w:rsidRDefault="00973F78" w:rsidP="00030750">
      <w:pPr>
        <w:rPr>
          <w:rFonts w:ascii="Arial" w:hAnsi="Arial" w:cs="Arial"/>
          <w:sz w:val="20"/>
        </w:rPr>
      </w:pPr>
    </w:p>
    <w:p w14:paraId="0508F06C" w14:textId="77777777" w:rsidR="00973F78" w:rsidRDefault="00973F78" w:rsidP="00030750">
      <w:pPr>
        <w:rPr>
          <w:rFonts w:ascii="Arial" w:hAnsi="Arial" w:cs="Arial"/>
          <w:sz w:val="20"/>
        </w:rPr>
      </w:pPr>
    </w:p>
    <w:p w14:paraId="42FC061F" w14:textId="77777777" w:rsidR="00973F78" w:rsidRDefault="00973F78" w:rsidP="00030750">
      <w:pPr>
        <w:rPr>
          <w:rFonts w:ascii="Arial" w:hAnsi="Arial" w:cs="Arial"/>
          <w:sz w:val="20"/>
        </w:rPr>
      </w:pPr>
    </w:p>
    <w:p w14:paraId="5983B784" w14:textId="77777777" w:rsidR="00973F78" w:rsidRDefault="00973F78" w:rsidP="00030750">
      <w:pPr>
        <w:rPr>
          <w:rFonts w:ascii="Arial" w:hAnsi="Arial" w:cs="Arial"/>
          <w:sz w:val="20"/>
        </w:rPr>
      </w:pPr>
    </w:p>
    <w:p w14:paraId="2D241E24" w14:textId="77777777" w:rsidR="00973F78" w:rsidRDefault="00973F78" w:rsidP="00030750">
      <w:pPr>
        <w:rPr>
          <w:rFonts w:ascii="Arial" w:hAnsi="Arial" w:cs="Arial"/>
          <w:sz w:val="20"/>
        </w:rPr>
      </w:pPr>
    </w:p>
    <w:p w14:paraId="5DA52717" w14:textId="77777777" w:rsidR="00973F78" w:rsidRDefault="00973F78" w:rsidP="00030750">
      <w:pPr>
        <w:rPr>
          <w:rFonts w:ascii="Arial" w:hAnsi="Arial" w:cs="Arial"/>
          <w:sz w:val="20"/>
        </w:rPr>
      </w:pPr>
    </w:p>
    <w:p w14:paraId="23D9794B" w14:textId="77777777" w:rsidR="00973F78" w:rsidRDefault="00973F78" w:rsidP="00030750">
      <w:pPr>
        <w:rPr>
          <w:rFonts w:ascii="Arial" w:hAnsi="Arial" w:cs="Arial"/>
          <w:sz w:val="20"/>
        </w:rPr>
      </w:pPr>
    </w:p>
    <w:p w14:paraId="690F0736" w14:textId="77777777" w:rsidR="00973F78" w:rsidRDefault="00973F78" w:rsidP="00030750">
      <w:pPr>
        <w:rPr>
          <w:rFonts w:ascii="Arial" w:hAnsi="Arial" w:cs="Arial"/>
          <w:sz w:val="20"/>
        </w:rPr>
      </w:pPr>
    </w:p>
    <w:p w14:paraId="0094A213" w14:textId="77777777" w:rsidR="00973F78" w:rsidRDefault="00973F78" w:rsidP="00030750">
      <w:pPr>
        <w:rPr>
          <w:rFonts w:ascii="Arial" w:hAnsi="Arial" w:cs="Arial"/>
          <w:sz w:val="20"/>
        </w:rPr>
      </w:pPr>
    </w:p>
    <w:p w14:paraId="611A6541" w14:textId="77777777" w:rsidR="00973F78" w:rsidRDefault="00973F78" w:rsidP="00030750">
      <w:pPr>
        <w:rPr>
          <w:rFonts w:ascii="Arial" w:hAnsi="Arial" w:cs="Arial"/>
          <w:sz w:val="20"/>
        </w:rPr>
      </w:pPr>
    </w:p>
    <w:p w14:paraId="4CAB4ADA" w14:textId="77777777" w:rsidR="00973F78" w:rsidRDefault="00973F78" w:rsidP="00030750">
      <w:pPr>
        <w:rPr>
          <w:rFonts w:ascii="Arial" w:hAnsi="Arial" w:cs="Arial"/>
          <w:sz w:val="20"/>
        </w:rPr>
      </w:pPr>
    </w:p>
    <w:p w14:paraId="62636323" w14:textId="77777777" w:rsidR="00973F78" w:rsidRDefault="00973F78" w:rsidP="00030750">
      <w:pPr>
        <w:rPr>
          <w:rFonts w:ascii="Arial" w:hAnsi="Arial" w:cs="Arial"/>
          <w:sz w:val="20"/>
        </w:rPr>
      </w:pPr>
    </w:p>
    <w:p w14:paraId="19DF1CAB" w14:textId="77777777" w:rsidR="00973F78" w:rsidRDefault="00973F78" w:rsidP="00030750">
      <w:pPr>
        <w:rPr>
          <w:rFonts w:ascii="Arial" w:hAnsi="Arial" w:cs="Arial"/>
          <w:sz w:val="20"/>
        </w:rPr>
      </w:pPr>
    </w:p>
    <w:p w14:paraId="1F5B95A1" w14:textId="77777777" w:rsidR="00973F78" w:rsidRDefault="00973F78" w:rsidP="00030750">
      <w:pPr>
        <w:rPr>
          <w:rFonts w:ascii="Arial" w:hAnsi="Arial" w:cs="Arial"/>
          <w:sz w:val="20"/>
        </w:rPr>
      </w:pPr>
    </w:p>
    <w:p w14:paraId="1787FC3C" w14:textId="77777777" w:rsidR="00973F78" w:rsidRDefault="00973F78" w:rsidP="00030750">
      <w:pPr>
        <w:rPr>
          <w:rFonts w:ascii="Arial" w:hAnsi="Arial" w:cs="Arial"/>
          <w:sz w:val="20"/>
        </w:rPr>
      </w:pPr>
    </w:p>
    <w:p w14:paraId="56E44CDB" w14:textId="77777777" w:rsidR="00973F78" w:rsidRDefault="00973F78" w:rsidP="00030750">
      <w:pPr>
        <w:rPr>
          <w:rFonts w:ascii="Arial" w:hAnsi="Arial" w:cs="Arial"/>
          <w:sz w:val="20"/>
        </w:rPr>
      </w:pPr>
    </w:p>
    <w:p w14:paraId="0F655D34" w14:textId="77777777" w:rsidR="00973F78" w:rsidRDefault="00973F78" w:rsidP="00030750">
      <w:pPr>
        <w:rPr>
          <w:rFonts w:ascii="Arial" w:hAnsi="Arial" w:cs="Arial"/>
          <w:sz w:val="20"/>
        </w:rPr>
      </w:pPr>
    </w:p>
    <w:p w14:paraId="3EB56018" w14:textId="77777777" w:rsidR="00973F78" w:rsidRDefault="00973F78" w:rsidP="00030750">
      <w:pPr>
        <w:rPr>
          <w:rFonts w:ascii="Arial" w:hAnsi="Arial" w:cs="Arial"/>
          <w:sz w:val="20"/>
        </w:rPr>
      </w:pPr>
    </w:p>
    <w:p w14:paraId="4F344824" w14:textId="77777777" w:rsidR="00973F78" w:rsidRDefault="00973F78" w:rsidP="00030750">
      <w:pPr>
        <w:rPr>
          <w:rFonts w:ascii="Arial" w:hAnsi="Arial" w:cs="Arial"/>
          <w:sz w:val="20"/>
        </w:rPr>
      </w:pPr>
    </w:p>
    <w:p w14:paraId="23C07B99" w14:textId="77777777" w:rsidR="00973F78" w:rsidRDefault="00973F78" w:rsidP="00030750">
      <w:pPr>
        <w:rPr>
          <w:rFonts w:ascii="Arial" w:hAnsi="Arial" w:cs="Arial"/>
          <w:sz w:val="20"/>
        </w:rPr>
      </w:pPr>
    </w:p>
    <w:p w14:paraId="2A52735A" w14:textId="77777777" w:rsidR="00973F78" w:rsidRDefault="00973F78" w:rsidP="00030750">
      <w:pPr>
        <w:rPr>
          <w:rFonts w:ascii="Arial" w:hAnsi="Arial" w:cs="Arial"/>
          <w:sz w:val="20"/>
        </w:rPr>
      </w:pPr>
    </w:p>
    <w:p w14:paraId="38200436" w14:textId="77777777" w:rsidR="00973F78" w:rsidRDefault="00973F78" w:rsidP="00030750">
      <w:pPr>
        <w:rPr>
          <w:rFonts w:ascii="Arial" w:hAnsi="Arial" w:cs="Arial"/>
          <w:sz w:val="20"/>
        </w:rPr>
      </w:pPr>
    </w:p>
    <w:p w14:paraId="3F4E4E27" w14:textId="77777777" w:rsidR="00973F78" w:rsidRDefault="00973F78" w:rsidP="00030750">
      <w:pPr>
        <w:rPr>
          <w:rFonts w:ascii="Arial" w:hAnsi="Arial" w:cs="Arial"/>
          <w:sz w:val="20"/>
        </w:rPr>
      </w:pPr>
    </w:p>
    <w:p w14:paraId="3A191366" w14:textId="77777777" w:rsidR="00973F78" w:rsidRDefault="00973F78" w:rsidP="00030750">
      <w:pPr>
        <w:rPr>
          <w:rFonts w:ascii="Arial" w:hAnsi="Arial" w:cs="Arial"/>
          <w:sz w:val="20"/>
        </w:rPr>
      </w:pPr>
    </w:p>
    <w:p w14:paraId="6F09F2BD" w14:textId="77777777" w:rsidR="00973F78" w:rsidRDefault="00973F78" w:rsidP="00030750">
      <w:pPr>
        <w:rPr>
          <w:rFonts w:ascii="Arial" w:hAnsi="Arial" w:cs="Arial"/>
          <w:sz w:val="20"/>
        </w:rPr>
      </w:pPr>
    </w:p>
    <w:p w14:paraId="6BB22FD3" w14:textId="77777777" w:rsidR="00973F78" w:rsidRDefault="00973F78" w:rsidP="00030750">
      <w:pPr>
        <w:rPr>
          <w:rFonts w:ascii="Arial" w:hAnsi="Arial" w:cs="Arial"/>
          <w:sz w:val="20"/>
        </w:rPr>
      </w:pPr>
    </w:p>
    <w:p w14:paraId="2DE19289" w14:textId="77777777" w:rsidR="00973F78" w:rsidRDefault="00973F78" w:rsidP="00030750">
      <w:pPr>
        <w:rPr>
          <w:rFonts w:ascii="Arial" w:hAnsi="Arial" w:cs="Arial"/>
          <w:sz w:val="20"/>
        </w:rPr>
      </w:pPr>
    </w:p>
    <w:p w14:paraId="41BF665D" w14:textId="77777777" w:rsidR="00973F78" w:rsidRDefault="00973F78" w:rsidP="00030750">
      <w:pPr>
        <w:rPr>
          <w:rFonts w:ascii="Arial" w:hAnsi="Arial" w:cs="Arial"/>
          <w:sz w:val="20"/>
        </w:rPr>
      </w:pPr>
    </w:p>
    <w:p w14:paraId="66C6DA65" w14:textId="77777777" w:rsidR="00973F78" w:rsidRDefault="00973F78" w:rsidP="00030750">
      <w:pPr>
        <w:rPr>
          <w:rFonts w:ascii="Arial" w:hAnsi="Arial" w:cs="Arial"/>
          <w:sz w:val="20"/>
        </w:rPr>
      </w:pPr>
    </w:p>
    <w:p w14:paraId="75B54202" w14:textId="77777777" w:rsidR="00973F78" w:rsidRDefault="00973F78" w:rsidP="00030750">
      <w:pPr>
        <w:rPr>
          <w:rFonts w:ascii="Arial" w:hAnsi="Arial" w:cs="Arial"/>
          <w:sz w:val="20"/>
        </w:rPr>
      </w:pPr>
    </w:p>
    <w:p w14:paraId="45B24774" w14:textId="77777777" w:rsidR="00973F78" w:rsidRDefault="00973F78" w:rsidP="00030750">
      <w:pPr>
        <w:rPr>
          <w:rFonts w:ascii="Arial" w:hAnsi="Arial" w:cs="Arial"/>
          <w:sz w:val="20"/>
        </w:rPr>
      </w:pPr>
    </w:p>
    <w:p w14:paraId="636C0960" w14:textId="77777777" w:rsidR="00973F78" w:rsidRDefault="00973F78" w:rsidP="00030750">
      <w:pPr>
        <w:rPr>
          <w:rFonts w:ascii="Arial" w:hAnsi="Arial" w:cs="Arial"/>
          <w:sz w:val="20"/>
        </w:rPr>
      </w:pPr>
    </w:p>
    <w:p w14:paraId="42B098B8" w14:textId="77777777" w:rsidR="00973F78" w:rsidRDefault="00973F78" w:rsidP="00030750">
      <w:pPr>
        <w:rPr>
          <w:rFonts w:ascii="Arial" w:hAnsi="Arial" w:cs="Arial"/>
          <w:sz w:val="20"/>
        </w:rPr>
      </w:pPr>
    </w:p>
    <w:p w14:paraId="0BDF9374" w14:textId="77777777" w:rsidR="00973F78" w:rsidRDefault="00973F78" w:rsidP="00030750">
      <w:pPr>
        <w:rPr>
          <w:rFonts w:ascii="Arial" w:hAnsi="Arial" w:cs="Arial"/>
          <w:sz w:val="20"/>
        </w:rPr>
      </w:pPr>
    </w:p>
    <w:p w14:paraId="1B287CFE" w14:textId="77777777" w:rsidR="00973F78" w:rsidRDefault="00973F78" w:rsidP="00030750">
      <w:pPr>
        <w:rPr>
          <w:rFonts w:ascii="Arial" w:hAnsi="Arial" w:cs="Arial"/>
          <w:sz w:val="20"/>
        </w:rPr>
      </w:pPr>
    </w:p>
    <w:p w14:paraId="7B4FEA6C" w14:textId="77777777" w:rsidR="00973F78" w:rsidRDefault="00973F78" w:rsidP="00030750">
      <w:pPr>
        <w:rPr>
          <w:rFonts w:ascii="Arial" w:hAnsi="Arial" w:cs="Arial"/>
          <w:sz w:val="20"/>
        </w:rPr>
      </w:pPr>
    </w:p>
    <w:p w14:paraId="43E11C62" w14:textId="77777777" w:rsidR="00973F78" w:rsidRDefault="00973F78" w:rsidP="00030750">
      <w:pPr>
        <w:rPr>
          <w:rFonts w:ascii="Arial" w:hAnsi="Arial" w:cs="Arial"/>
          <w:sz w:val="20"/>
        </w:rPr>
      </w:pPr>
    </w:p>
    <w:p w14:paraId="2E0AABDA" w14:textId="77777777" w:rsidR="00973F78" w:rsidRDefault="00973F78" w:rsidP="00030750">
      <w:pPr>
        <w:rPr>
          <w:rFonts w:ascii="Arial" w:hAnsi="Arial" w:cs="Arial"/>
          <w:sz w:val="20"/>
        </w:rPr>
      </w:pPr>
    </w:p>
    <w:p w14:paraId="6A6F9246" w14:textId="77777777" w:rsidR="00973F78" w:rsidRDefault="00973F78" w:rsidP="00030750">
      <w:pPr>
        <w:rPr>
          <w:rFonts w:ascii="Arial" w:hAnsi="Arial" w:cs="Arial"/>
          <w:sz w:val="20"/>
        </w:rPr>
      </w:pPr>
    </w:p>
    <w:p w14:paraId="554B7D97" w14:textId="77777777" w:rsidR="00973F78" w:rsidRPr="00973F78" w:rsidRDefault="00973F78" w:rsidP="00973F78">
      <w:pPr>
        <w:keepNext/>
        <w:keepLines/>
        <w:widowControl/>
        <w:autoSpaceDE/>
        <w:autoSpaceDN/>
        <w:spacing w:before="40" w:line="259" w:lineRule="auto"/>
        <w:jc w:val="center"/>
        <w:outlineLvl w:val="2"/>
        <w:rPr>
          <w:rFonts w:ascii="Arial" w:eastAsiaTheme="majorEastAsia" w:hAnsi="Arial" w:cs="Arial"/>
          <w:b/>
          <w:color w:val="00B0F0"/>
          <w:sz w:val="24"/>
          <w:szCs w:val="24"/>
        </w:rPr>
      </w:pPr>
      <w:bookmarkStart w:id="1021" w:name="_Toc153137600"/>
      <w:r w:rsidRPr="00973F78">
        <w:rPr>
          <w:rFonts w:ascii="Arial" w:eastAsiaTheme="majorEastAsia" w:hAnsi="Arial" w:cs="Arial"/>
          <w:b/>
          <w:color w:val="00B0F0"/>
          <w:sz w:val="24"/>
          <w:szCs w:val="24"/>
        </w:rPr>
        <w:lastRenderedPageBreak/>
        <w:t>SUBPART C — STRUCTURE</w:t>
      </w:r>
      <w:bookmarkEnd w:id="1021"/>
    </w:p>
    <w:p w14:paraId="4C1DF4DA" w14:textId="77777777" w:rsidR="00273075" w:rsidRPr="00273075" w:rsidRDefault="00273075" w:rsidP="00273075">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1022" w:name="CS_31GB.21_Loads"/>
      <w:bookmarkStart w:id="1023" w:name="_bookmark437"/>
      <w:bookmarkStart w:id="1024" w:name="_Toc153137601"/>
      <w:bookmarkEnd w:id="1022"/>
      <w:bookmarkEnd w:id="1023"/>
      <w:r w:rsidRPr="00273075">
        <w:rPr>
          <w:rFonts w:ascii="Arial" w:eastAsia="Times New Roman" w:hAnsi="Arial" w:cs="Times New Roman"/>
          <w:b/>
          <w:iCs/>
          <w:color w:val="FFFFFF"/>
          <w:sz w:val="24"/>
        </w:rPr>
        <w:t>CS 31GB.21 Loads</w:t>
      </w:r>
      <w:bookmarkEnd w:id="1024"/>
    </w:p>
    <w:p w14:paraId="344737B9" w14:textId="77777777" w:rsidR="00273075" w:rsidRPr="00273075" w:rsidRDefault="00273075" w:rsidP="00273075">
      <w:pPr>
        <w:spacing w:line="276" w:lineRule="auto"/>
        <w:jc w:val="both"/>
        <w:rPr>
          <w:rFonts w:ascii="Arial" w:hAnsi="Arial" w:cs="Arial"/>
          <w:sz w:val="20"/>
        </w:rPr>
      </w:pPr>
      <w:r w:rsidRPr="00273075">
        <w:rPr>
          <w:rFonts w:ascii="Arial" w:hAnsi="Arial" w:cs="Arial"/>
          <w:sz w:val="20"/>
        </w:rPr>
        <w:t>Strength requirements are specified in terms of:</w:t>
      </w:r>
    </w:p>
    <w:p w14:paraId="2B317698" w14:textId="77777777" w:rsidR="00273075" w:rsidRPr="00273075" w:rsidRDefault="00273075" w:rsidP="00273075">
      <w:pPr>
        <w:numPr>
          <w:ilvl w:val="0"/>
          <w:numId w:val="348"/>
        </w:numPr>
        <w:spacing w:line="276" w:lineRule="auto"/>
        <w:jc w:val="both"/>
        <w:rPr>
          <w:rFonts w:ascii="Arial" w:hAnsi="Arial" w:cs="Arial"/>
          <w:sz w:val="20"/>
        </w:rPr>
      </w:pPr>
      <w:r w:rsidRPr="00273075">
        <w:rPr>
          <w:rFonts w:ascii="Arial" w:hAnsi="Arial" w:cs="Arial"/>
          <w:sz w:val="20"/>
        </w:rPr>
        <w:t>limit loads that are the maximum loads to be expected in service, taking into account the load factors of CS 31GB.23; and</w:t>
      </w:r>
    </w:p>
    <w:p w14:paraId="239F7C83" w14:textId="77777777" w:rsidR="00973F78" w:rsidRPr="00290628" w:rsidRDefault="00273075" w:rsidP="00030750">
      <w:pPr>
        <w:numPr>
          <w:ilvl w:val="0"/>
          <w:numId w:val="348"/>
        </w:numPr>
        <w:spacing w:line="276" w:lineRule="auto"/>
        <w:jc w:val="both"/>
        <w:rPr>
          <w:rFonts w:ascii="Arial" w:hAnsi="Arial" w:cs="Arial"/>
          <w:sz w:val="20"/>
        </w:rPr>
      </w:pPr>
      <w:r w:rsidRPr="00273075">
        <w:rPr>
          <w:rFonts w:ascii="Arial" w:hAnsi="Arial" w:cs="Arial"/>
          <w:sz w:val="20"/>
        </w:rPr>
        <w:t>ultimate loads that are limit loads multiplied by factors of safety of CS 31GB.25.</w:t>
      </w:r>
    </w:p>
    <w:p w14:paraId="38787885" w14:textId="77777777" w:rsidR="00290628" w:rsidRPr="00290628" w:rsidRDefault="00290628" w:rsidP="00290628">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1025" w:name="CS_31GB.23_Load_factor"/>
      <w:bookmarkStart w:id="1026" w:name="_bookmark438"/>
      <w:bookmarkStart w:id="1027" w:name="_Toc153137602"/>
      <w:bookmarkEnd w:id="1025"/>
      <w:bookmarkEnd w:id="1026"/>
      <w:r w:rsidRPr="00290628">
        <w:rPr>
          <w:rFonts w:ascii="Arial" w:eastAsia="Times New Roman" w:hAnsi="Arial" w:cs="Times New Roman"/>
          <w:b/>
          <w:iCs/>
          <w:color w:val="FFFFFF"/>
          <w:sz w:val="24"/>
        </w:rPr>
        <w:t>CS 31GB.23 Load factor</w:t>
      </w:r>
      <w:bookmarkEnd w:id="1027"/>
    </w:p>
    <w:p w14:paraId="00B4525F" w14:textId="77777777" w:rsidR="00290628" w:rsidRPr="00290628" w:rsidRDefault="00290628" w:rsidP="00290628">
      <w:pPr>
        <w:rPr>
          <w:rFonts w:ascii="Arial" w:hAnsi="Arial" w:cs="Arial"/>
          <w:sz w:val="20"/>
        </w:rPr>
      </w:pPr>
      <w:r w:rsidRPr="00290628">
        <w:rPr>
          <w:rFonts w:ascii="Arial" w:hAnsi="Arial" w:cs="Arial"/>
          <w:sz w:val="20"/>
        </w:rPr>
        <w:t>Flight load factor. In determining limit loads, the load factor must be at least 1·4.</w:t>
      </w:r>
    </w:p>
    <w:p w14:paraId="20C8C800" w14:textId="77777777" w:rsidR="00290628" w:rsidRPr="00290628" w:rsidRDefault="00290628" w:rsidP="00290628">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1028" w:name="CS_31GB.25_Factors_of_safety"/>
      <w:bookmarkStart w:id="1029" w:name="_bookmark439"/>
      <w:bookmarkStart w:id="1030" w:name="_Toc153137603"/>
      <w:bookmarkEnd w:id="1028"/>
      <w:bookmarkEnd w:id="1029"/>
      <w:r w:rsidRPr="00290628">
        <w:rPr>
          <w:rFonts w:ascii="Arial" w:eastAsia="Times New Roman" w:hAnsi="Arial" w:cs="Times New Roman"/>
          <w:b/>
          <w:iCs/>
          <w:color w:val="FFFFFF"/>
          <w:sz w:val="24"/>
        </w:rPr>
        <w:t>CS 31GB.25 Factors of safety</w:t>
      </w:r>
      <w:bookmarkEnd w:id="1030"/>
    </w:p>
    <w:p w14:paraId="51AD7866" w14:textId="77777777" w:rsidR="00290628" w:rsidRDefault="00290628" w:rsidP="00290628">
      <w:pPr>
        <w:numPr>
          <w:ilvl w:val="0"/>
          <w:numId w:val="349"/>
        </w:numPr>
        <w:jc w:val="both"/>
        <w:rPr>
          <w:rFonts w:ascii="Arial" w:hAnsi="Arial" w:cs="Arial"/>
          <w:sz w:val="20"/>
        </w:rPr>
      </w:pPr>
      <w:r w:rsidRPr="00290628">
        <w:rPr>
          <w:rFonts w:ascii="Arial" w:hAnsi="Arial" w:cs="Arial"/>
          <w:sz w:val="20"/>
        </w:rPr>
        <w:t>A factor of safety must be used in the balloon design as provided in the table.</w:t>
      </w:r>
    </w:p>
    <w:p w14:paraId="06F0C294" w14:textId="77777777" w:rsidR="00290628" w:rsidRPr="00290628" w:rsidRDefault="00290628" w:rsidP="00290628">
      <w:pPr>
        <w:ind w:left="706"/>
        <w:rPr>
          <w:rFonts w:ascii="Arial" w:hAnsi="Arial" w:cs="Arial"/>
          <w:sz w:val="20"/>
        </w:rPr>
      </w:pPr>
    </w:p>
    <w:tbl>
      <w:tblPr>
        <w:tblStyle w:val="TableGrid31"/>
        <w:tblW w:w="0" w:type="auto"/>
        <w:tblInd w:w="359" w:type="dxa"/>
        <w:tblLayout w:type="fixed"/>
        <w:tblLook w:val="01E0" w:firstRow="1" w:lastRow="1" w:firstColumn="1" w:lastColumn="1" w:noHBand="0" w:noVBand="0"/>
      </w:tblPr>
      <w:tblGrid>
        <w:gridCol w:w="4881"/>
        <w:gridCol w:w="3595"/>
      </w:tblGrid>
      <w:tr w:rsidR="00290628" w:rsidRPr="00290628" w14:paraId="2C8DB1EA" w14:textId="77777777" w:rsidTr="00E3354C">
        <w:trPr>
          <w:trHeight w:val="200"/>
        </w:trPr>
        <w:tc>
          <w:tcPr>
            <w:tcW w:w="4881" w:type="dxa"/>
            <w:shd w:val="clear" w:color="auto" w:fill="F2F2F2" w:themeFill="background1" w:themeFillShade="F2"/>
          </w:tcPr>
          <w:p w14:paraId="5D655792" w14:textId="77777777" w:rsidR="00290628" w:rsidRPr="00290628" w:rsidRDefault="00290628" w:rsidP="00290628">
            <w:pPr>
              <w:rPr>
                <w:rFonts w:ascii="Arial" w:hAnsi="Arial" w:cs="Arial"/>
              </w:rPr>
            </w:pPr>
          </w:p>
        </w:tc>
        <w:tc>
          <w:tcPr>
            <w:tcW w:w="3595" w:type="dxa"/>
            <w:shd w:val="clear" w:color="auto" w:fill="F2F2F2" w:themeFill="background1" w:themeFillShade="F2"/>
          </w:tcPr>
          <w:p w14:paraId="13DD5189" w14:textId="77777777" w:rsidR="00290628" w:rsidRPr="00290628" w:rsidRDefault="00290628" w:rsidP="00290628">
            <w:pPr>
              <w:rPr>
                <w:rFonts w:ascii="Arial" w:hAnsi="Arial" w:cs="Arial"/>
                <w:b/>
              </w:rPr>
            </w:pPr>
            <w:r w:rsidRPr="00290628">
              <w:rPr>
                <w:rFonts w:ascii="Arial" w:hAnsi="Arial" w:cs="Arial"/>
                <w:b/>
              </w:rPr>
              <w:t>Safety factor</w:t>
            </w:r>
          </w:p>
        </w:tc>
      </w:tr>
      <w:tr w:rsidR="00290628" w:rsidRPr="00290628" w14:paraId="29C426FD" w14:textId="77777777" w:rsidTr="00EB4713">
        <w:trPr>
          <w:trHeight w:val="202"/>
        </w:trPr>
        <w:tc>
          <w:tcPr>
            <w:tcW w:w="4881" w:type="dxa"/>
            <w:shd w:val="clear" w:color="auto" w:fill="F2F2F2" w:themeFill="background1" w:themeFillShade="F2"/>
          </w:tcPr>
          <w:p w14:paraId="52EF19E0" w14:textId="77777777" w:rsidR="00290628" w:rsidRPr="00290628" w:rsidRDefault="00290628" w:rsidP="00290628">
            <w:pPr>
              <w:rPr>
                <w:rFonts w:ascii="Arial" w:hAnsi="Arial" w:cs="Arial"/>
                <w:b/>
              </w:rPr>
            </w:pPr>
            <w:r w:rsidRPr="00290628">
              <w:rPr>
                <w:rFonts w:ascii="Arial" w:hAnsi="Arial" w:cs="Arial"/>
                <w:b/>
              </w:rPr>
              <w:t>Envelope</w:t>
            </w:r>
          </w:p>
        </w:tc>
        <w:tc>
          <w:tcPr>
            <w:tcW w:w="3595" w:type="dxa"/>
          </w:tcPr>
          <w:p w14:paraId="39C0853C" w14:textId="77777777" w:rsidR="00290628" w:rsidRPr="00290628" w:rsidRDefault="00290628" w:rsidP="00290628">
            <w:pPr>
              <w:rPr>
                <w:rFonts w:ascii="Arial" w:hAnsi="Arial" w:cs="Arial"/>
              </w:rPr>
            </w:pPr>
            <w:r w:rsidRPr="00290628">
              <w:rPr>
                <w:rFonts w:ascii="Arial" w:hAnsi="Arial" w:cs="Arial"/>
              </w:rPr>
              <w:t>5·00</w:t>
            </w:r>
          </w:p>
        </w:tc>
      </w:tr>
      <w:tr w:rsidR="00290628" w:rsidRPr="00290628" w14:paraId="408B7A53" w14:textId="77777777" w:rsidTr="00EB4713">
        <w:trPr>
          <w:trHeight w:val="199"/>
        </w:trPr>
        <w:tc>
          <w:tcPr>
            <w:tcW w:w="4881" w:type="dxa"/>
            <w:shd w:val="clear" w:color="auto" w:fill="F2F2F2" w:themeFill="background1" w:themeFillShade="F2"/>
          </w:tcPr>
          <w:p w14:paraId="651889BB" w14:textId="77777777" w:rsidR="00290628" w:rsidRPr="00290628" w:rsidRDefault="00290628" w:rsidP="00E3354C">
            <w:pPr>
              <w:ind w:right="-111"/>
              <w:rPr>
                <w:rFonts w:ascii="Arial" w:hAnsi="Arial" w:cs="Arial"/>
                <w:b/>
              </w:rPr>
            </w:pPr>
            <w:r w:rsidRPr="00290628">
              <w:rPr>
                <w:rFonts w:ascii="Arial" w:hAnsi="Arial" w:cs="Arial"/>
                <w:b/>
              </w:rPr>
              <w:t>Suspension components (fibrous or non-metallic)</w:t>
            </w:r>
          </w:p>
        </w:tc>
        <w:tc>
          <w:tcPr>
            <w:tcW w:w="3595" w:type="dxa"/>
          </w:tcPr>
          <w:p w14:paraId="7968B242" w14:textId="77777777" w:rsidR="00290628" w:rsidRPr="00290628" w:rsidRDefault="00290628" w:rsidP="00290628">
            <w:pPr>
              <w:rPr>
                <w:rFonts w:ascii="Arial" w:hAnsi="Arial" w:cs="Arial"/>
              </w:rPr>
            </w:pPr>
            <w:r w:rsidRPr="00290628">
              <w:rPr>
                <w:rFonts w:ascii="Arial" w:hAnsi="Arial" w:cs="Arial"/>
              </w:rPr>
              <w:t>2·25</w:t>
            </w:r>
          </w:p>
        </w:tc>
      </w:tr>
      <w:tr w:rsidR="00290628" w:rsidRPr="00290628" w14:paraId="6A72C08B" w14:textId="77777777" w:rsidTr="00EB4713">
        <w:trPr>
          <w:trHeight w:val="202"/>
        </w:trPr>
        <w:tc>
          <w:tcPr>
            <w:tcW w:w="4881" w:type="dxa"/>
            <w:shd w:val="clear" w:color="auto" w:fill="F2F2F2" w:themeFill="background1" w:themeFillShade="F2"/>
          </w:tcPr>
          <w:p w14:paraId="41E08ECE" w14:textId="77777777" w:rsidR="00290628" w:rsidRPr="00290628" w:rsidRDefault="00290628" w:rsidP="00290628">
            <w:pPr>
              <w:rPr>
                <w:rFonts w:ascii="Arial" w:hAnsi="Arial" w:cs="Arial"/>
                <w:b/>
              </w:rPr>
            </w:pPr>
            <w:r w:rsidRPr="00290628">
              <w:rPr>
                <w:rFonts w:ascii="Arial" w:hAnsi="Arial" w:cs="Arial"/>
                <w:b/>
              </w:rPr>
              <w:t>Suspension components (metallic)</w:t>
            </w:r>
          </w:p>
        </w:tc>
        <w:tc>
          <w:tcPr>
            <w:tcW w:w="3595" w:type="dxa"/>
          </w:tcPr>
          <w:p w14:paraId="5ED347B4" w14:textId="77777777" w:rsidR="00290628" w:rsidRPr="00290628" w:rsidRDefault="00290628" w:rsidP="00290628">
            <w:pPr>
              <w:rPr>
                <w:rFonts w:ascii="Arial" w:hAnsi="Arial" w:cs="Arial"/>
              </w:rPr>
            </w:pPr>
            <w:r w:rsidRPr="00290628">
              <w:rPr>
                <w:rFonts w:ascii="Arial" w:hAnsi="Arial" w:cs="Arial"/>
              </w:rPr>
              <w:t>1·50</w:t>
            </w:r>
          </w:p>
        </w:tc>
      </w:tr>
      <w:tr w:rsidR="00290628" w:rsidRPr="00290628" w14:paraId="0B30E7A0" w14:textId="77777777" w:rsidTr="00EB4713">
        <w:trPr>
          <w:trHeight w:val="200"/>
        </w:trPr>
        <w:tc>
          <w:tcPr>
            <w:tcW w:w="4881" w:type="dxa"/>
            <w:shd w:val="clear" w:color="auto" w:fill="F2F2F2" w:themeFill="background1" w:themeFillShade="F2"/>
          </w:tcPr>
          <w:p w14:paraId="4F5193E0" w14:textId="77777777" w:rsidR="00290628" w:rsidRPr="00290628" w:rsidRDefault="00290628" w:rsidP="00290628">
            <w:pPr>
              <w:rPr>
                <w:rFonts w:ascii="Arial" w:hAnsi="Arial" w:cs="Arial"/>
                <w:b/>
              </w:rPr>
            </w:pPr>
            <w:r w:rsidRPr="00290628">
              <w:rPr>
                <w:rFonts w:ascii="Arial" w:hAnsi="Arial" w:cs="Arial"/>
                <w:b/>
              </w:rPr>
              <w:t>Other</w:t>
            </w:r>
          </w:p>
        </w:tc>
        <w:tc>
          <w:tcPr>
            <w:tcW w:w="3595" w:type="dxa"/>
          </w:tcPr>
          <w:p w14:paraId="07A2CA20" w14:textId="77777777" w:rsidR="00290628" w:rsidRPr="00290628" w:rsidRDefault="00290628" w:rsidP="00290628">
            <w:pPr>
              <w:rPr>
                <w:rFonts w:ascii="Arial" w:hAnsi="Arial" w:cs="Arial"/>
              </w:rPr>
            </w:pPr>
            <w:r w:rsidRPr="00290628">
              <w:rPr>
                <w:rFonts w:ascii="Arial" w:hAnsi="Arial" w:cs="Arial"/>
              </w:rPr>
              <w:t>1·50</w:t>
            </w:r>
          </w:p>
        </w:tc>
      </w:tr>
    </w:tbl>
    <w:p w14:paraId="6E3288DD" w14:textId="77777777" w:rsidR="00290628" w:rsidRDefault="00290628" w:rsidP="00290628">
      <w:pPr>
        <w:ind w:left="706"/>
        <w:rPr>
          <w:rFonts w:ascii="Arial" w:hAnsi="Arial" w:cs="Arial"/>
          <w:sz w:val="20"/>
        </w:rPr>
      </w:pPr>
    </w:p>
    <w:p w14:paraId="23B978C7" w14:textId="77777777" w:rsidR="00290628" w:rsidRPr="00290628" w:rsidRDefault="00290628" w:rsidP="00290628">
      <w:pPr>
        <w:numPr>
          <w:ilvl w:val="0"/>
          <w:numId w:val="349"/>
        </w:numPr>
        <w:spacing w:line="276" w:lineRule="auto"/>
        <w:jc w:val="both"/>
        <w:rPr>
          <w:rFonts w:ascii="Arial" w:hAnsi="Arial" w:cs="Arial"/>
          <w:sz w:val="20"/>
        </w:rPr>
      </w:pPr>
      <w:r w:rsidRPr="00290628">
        <w:rPr>
          <w:rFonts w:ascii="Arial" w:hAnsi="Arial" w:cs="Arial"/>
          <w:sz w:val="20"/>
        </w:rPr>
        <w:t>The primary attachments of the envelope to the basket must be designed so that any single failure will not jeopardise safety of flight.</w:t>
      </w:r>
    </w:p>
    <w:p w14:paraId="1D5B32C0" w14:textId="77777777" w:rsidR="00290628" w:rsidRPr="00290628" w:rsidRDefault="00290628" w:rsidP="00290628">
      <w:pPr>
        <w:numPr>
          <w:ilvl w:val="0"/>
          <w:numId w:val="349"/>
        </w:numPr>
        <w:spacing w:line="276" w:lineRule="auto"/>
        <w:jc w:val="both"/>
        <w:rPr>
          <w:rFonts w:ascii="Arial" w:hAnsi="Arial" w:cs="Arial"/>
          <w:sz w:val="20"/>
        </w:rPr>
      </w:pPr>
      <w:r w:rsidRPr="00290628">
        <w:rPr>
          <w:rFonts w:ascii="Arial" w:hAnsi="Arial" w:cs="Arial"/>
          <w:sz w:val="20"/>
        </w:rPr>
        <w:t>For design purposes, an occupant mass of at least 77 kg must be assumed.</w:t>
      </w:r>
    </w:p>
    <w:p w14:paraId="4EB6BC07" w14:textId="77777777" w:rsidR="00290628" w:rsidRDefault="00290628" w:rsidP="00030750">
      <w:pPr>
        <w:rPr>
          <w:rFonts w:ascii="Arial" w:hAnsi="Arial" w:cs="Arial"/>
          <w:sz w:val="20"/>
        </w:rPr>
      </w:pPr>
    </w:p>
    <w:p w14:paraId="53582EEF" w14:textId="77777777" w:rsidR="00DE2653" w:rsidRPr="00DE2653" w:rsidRDefault="00DE2653" w:rsidP="00DE2653">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1031" w:name="_Toc153137604"/>
      <w:r w:rsidRPr="00DE2653">
        <w:rPr>
          <w:rFonts w:ascii="Arial" w:eastAsia="Times New Roman" w:hAnsi="Arial" w:cs="Times New Roman"/>
          <w:b/>
          <w:color w:val="FFFFFF"/>
          <w:sz w:val="24"/>
        </w:rPr>
        <w:t>AMC 31GB.25 Factors of safety</w:t>
      </w:r>
      <w:bookmarkEnd w:id="1031"/>
      <w:r w:rsidRPr="00DE2653">
        <w:rPr>
          <w:rFonts w:ascii="Arial" w:eastAsia="Times New Roman" w:hAnsi="Arial" w:cs="Times New Roman"/>
          <w:b/>
          <w:color w:val="FFFFFF"/>
          <w:sz w:val="24"/>
        </w:rPr>
        <w:tab/>
      </w:r>
    </w:p>
    <w:p w14:paraId="790D7138" w14:textId="77777777" w:rsidR="00DE2653" w:rsidRDefault="00DE2653" w:rsidP="00DE2653">
      <w:pPr>
        <w:spacing w:line="276" w:lineRule="auto"/>
        <w:jc w:val="both"/>
        <w:rPr>
          <w:rFonts w:ascii="Arial" w:hAnsi="Arial" w:cs="Arial"/>
          <w:sz w:val="20"/>
        </w:rPr>
      </w:pPr>
      <w:r w:rsidRPr="00DE2653">
        <w:rPr>
          <w:rFonts w:ascii="Arial" w:hAnsi="Arial" w:cs="Arial"/>
          <w:sz w:val="20"/>
        </w:rPr>
        <w:t>The term ‘envelope’ here includes the integral vertical and horizontal load tapes as well as the envelope fabric(s). It should be noted that the suspension system pick-up points (sometimes known as ‘turnbacks’) at the envelope should be regarded as part of the suspension system, rather than the envelope, as far as 31GB.25 is concerned.</w:t>
      </w:r>
    </w:p>
    <w:p w14:paraId="13BD6EDA" w14:textId="77777777" w:rsidR="00DE2653" w:rsidRPr="00DE2653" w:rsidRDefault="00DE2653" w:rsidP="00DE2653">
      <w:pPr>
        <w:spacing w:line="276" w:lineRule="auto"/>
        <w:jc w:val="both"/>
        <w:rPr>
          <w:rFonts w:ascii="Arial" w:hAnsi="Arial" w:cs="Arial"/>
          <w:sz w:val="20"/>
        </w:rPr>
      </w:pPr>
      <w:r w:rsidRPr="00DE2653">
        <w:rPr>
          <w:rFonts w:ascii="Arial" w:hAnsi="Arial" w:cs="Arial"/>
          <w:sz w:val="20"/>
        </w:rPr>
        <w:t>‘Suspension components’ here are those parts of the balloon that carry the load between the lift force of the envelope and the weight force of the basket.</w:t>
      </w:r>
    </w:p>
    <w:p w14:paraId="65525E43" w14:textId="77777777" w:rsidR="00DE2653" w:rsidRPr="00DE2653" w:rsidRDefault="00DE2653" w:rsidP="00DE2653">
      <w:pPr>
        <w:spacing w:line="276" w:lineRule="auto"/>
        <w:jc w:val="both"/>
        <w:rPr>
          <w:rFonts w:ascii="Arial" w:hAnsi="Arial" w:cs="Arial"/>
          <w:sz w:val="20"/>
        </w:rPr>
      </w:pPr>
      <w:r w:rsidRPr="00DE2653">
        <w:rPr>
          <w:rFonts w:ascii="Arial" w:hAnsi="Arial" w:cs="Arial"/>
          <w:sz w:val="20"/>
        </w:rPr>
        <w:t>A net around the envelope taking these loads or suspension system pick-up points should be considered as part of the suspension system.</w:t>
      </w:r>
    </w:p>
    <w:p w14:paraId="23F70B9B" w14:textId="77777777" w:rsidR="00DE2653" w:rsidRPr="00DE2653" w:rsidRDefault="00DE2653" w:rsidP="00DE2653">
      <w:pPr>
        <w:spacing w:line="276" w:lineRule="auto"/>
        <w:jc w:val="both"/>
        <w:rPr>
          <w:rFonts w:ascii="Arial" w:hAnsi="Arial" w:cs="Arial"/>
          <w:sz w:val="20"/>
        </w:rPr>
      </w:pPr>
      <w:r w:rsidRPr="00DE2653">
        <w:rPr>
          <w:rFonts w:ascii="Arial" w:hAnsi="Arial" w:cs="Arial"/>
          <w:sz w:val="20"/>
        </w:rPr>
        <w:t>The individual structural elements in the suspension system should be dimensioned and configured or duplicated so that failure or absence of one structural element does not cause any uncontrollable operating condition. The factors of safety apply to all parts of the load bearing path (e.g. joints, splices, knots, terminals, etc.).</w:t>
      </w:r>
    </w:p>
    <w:p w14:paraId="5784F5ED" w14:textId="77777777" w:rsidR="00DE2653" w:rsidRPr="00DE2653" w:rsidRDefault="00DE2653" w:rsidP="00DE2653">
      <w:pPr>
        <w:spacing w:line="276" w:lineRule="auto"/>
        <w:jc w:val="both"/>
        <w:rPr>
          <w:rFonts w:ascii="Arial" w:hAnsi="Arial" w:cs="Arial"/>
          <w:sz w:val="20"/>
        </w:rPr>
      </w:pPr>
      <w:r w:rsidRPr="00DE2653">
        <w:rPr>
          <w:rFonts w:ascii="Arial" w:hAnsi="Arial" w:cs="Arial"/>
          <w:sz w:val="20"/>
        </w:rPr>
        <w:t>The post-single failure case only needs to be justified with the application of limit loads.</w:t>
      </w:r>
    </w:p>
    <w:p w14:paraId="22DB5CEA" w14:textId="77777777" w:rsidR="006177B3" w:rsidRPr="006177B3" w:rsidRDefault="006177B3" w:rsidP="006177B3">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1032" w:name="CS_31GB.27_Strength_and_proof_of_strengt"/>
      <w:bookmarkStart w:id="1033" w:name="_bookmark441"/>
      <w:bookmarkStart w:id="1034" w:name="_Toc153137605"/>
      <w:bookmarkEnd w:id="1032"/>
      <w:bookmarkEnd w:id="1033"/>
      <w:r w:rsidRPr="006177B3">
        <w:rPr>
          <w:rFonts w:ascii="Arial" w:eastAsia="Times New Roman" w:hAnsi="Arial" w:cs="Times New Roman"/>
          <w:b/>
          <w:iCs/>
          <w:color w:val="FFFFFF"/>
          <w:sz w:val="24"/>
        </w:rPr>
        <w:t>CS 31GB.27 Strength and proof of strength</w:t>
      </w:r>
      <w:bookmarkEnd w:id="1034"/>
    </w:p>
    <w:p w14:paraId="5488525A" w14:textId="77777777" w:rsidR="006177B3" w:rsidRPr="006177B3" w:rsidRDefault="006177B3" w:rsidP="00A801A9">
      <w:pPr>
        <w:numPr>
          <w:ilvl w:val="0"/>
          <w:numId w:val="350"/>
        </w:numPr>
        <w:spacing w:line="276" w:lineRule="auto"/>
        <w:jc w:val="both"/>
        <w:rPr>
          <w:rFonts w:ascii="Arial" w:hAnsi="Arial" w:cs="Arial"/>
          <w:sz w:val="20"/>
        </w:rPr>
      </w:pPr>
      <w:r w:rsidRPr="006177B3">
        <w:rPr>
          <w:rFonts w:ascii="Arial" w:hAnsi="Arial" w:cs="Arial"/>
          <w:sz w:val="20"/>
        </w:rPr>
        <w:t>The structure must be able to support limit loads without permanent deformations or other detrimental effects.</w:t>
      </w:r>
    </w:p>
    <w:p w14:paraId="0CCC1C44" w14:textId="77777777" w:rsidR="006177B3" w:rsidRPr="006177B3" w:rsidRDefault="006177B3" w:rsidP="00A801A9">
      <w:pPr>
        <w:numPr>
          <w:ilvl w:val="0"/>
          <w:numId w:val="350"/>
        </w:numPr>
        <w:spacing w:line="276" w:lineRule="auto"/>
        <w:jc w:val="both"/>
        <w:rPr>
          <w:rFonts w:ascii="Arial" w:hAnsi="Arial" w:cs="Arial"/>
          <w:sz w:val="20"/>
        </w:rPr>
      </w:pPr>
      <w:r w:rsidRPr="006177B3">
        <w:rPr>
          <w:rFonts w:ascii="Arial" w:hAnsi="Arial" w:cs="Arial"/>
          <w:sz w:val="20"/>
        </w:rPr>
        <w:t>The structure must be able to withstand ultimate loads for at least 3 seconds without failure.</w:t>
      </w:r>
    </w:p>
    <w:p w14:paraId="0D6520D1" w14:textId="77777777" w:rsidR="006177B3" w:rsidRPr="006177B3" w:rsidRDefault="006177B3" w:rsidP="00A801A9">
      <w:pPr>
        <w:numPr>
          <w:ilvl w:val="0"/>
          <w:numId w:val="350"/>
        </w:numPr>
        <w:spacing w:line="276" w:lineRule="auto"/>
        <w:jc w:val="both"/>
        <w:rPr>
          <w:rFonts w:ascii="Arial" w:hAnsi="Arial" w:cs="Arial"/>
          <w:sz w:val="20"/>
        </w:rPr>
      </w:pPr>
      <w:r w:rsidRPr="006177B3">
        <w:rPr>
          <w:rFonts w:ascii="Arial" w:hAnsi="Arial" w:cs="Arial"/>
          <w:sz w:val="20"/>
        </w:rPr>
        <w:t>Proof of strength of the envelope material and other critical design features must be tested.</w:t>
      </w:r>
    </w:p>
    <w:p w14:paraId="7BA8A9AB" w14:textId="77777777" w:rsidR="006177B3" w:rsidRPr="006177B3" w:rsidRDefault="006177B3" w:rsidP="00A801A9">
      <w:pPr>
        <w:numPr>
          <w:ilvl w:val="0"/>
          <w:numId w:val="350"/>
        </w:numPr>
        <w:spacing w:line="276" w:lineRule="auto"/>
        <w:jc w:val="both"/>
        <w:rPr>
          <w:rFonts w:ascii="Arial" w:hAnsi="Arial" w:cs="Arial"/>
          <w:sz w:val="20"/>
        </w:rPr>
      </w:pPr>
      <w:r w:rsidRPr="006177B3">
        <w:rPr>
          <w:rFonts w:ascii="Arial" w:hAnsi="Arial" w:cs="Arial"/>
          <w:sz w:val="20"/>
        </w:rPr>
        <w:t>The basket must be of a generally robust design and afford the occupants adequate protection during a hard or fast landing. There must be no design feature that by reasonably envisaged distortion or failure would be likely to cause serious injury to the occupants.</w:t>
      </w:r>
    </w:p>
    <w:p w14:paraId="10820AB9" w14:textId="77777777" w:rsidR="006177B3" w:rsidRPr="006177B3" w:rsidRDefault="006177B3" w:rsidP="00A801A9">
      <w:pPr>
        <w:numPr>
          <w:ilvl w:val="0"/>
          <w:numId w:val="350"/>
        </w:numPr>
        <w:spacing w:line="276" w:lineRule="auto"/>
        <w:jc w:val="both"/>
        <w:rPr>
          <w:rFonts w:ascii="Arial" w:hAnsi="Arial" w:cs="Arial"/>
          <w:sz w:val="20"/>
        </w:rPr>
      </w:pPr>
      <w:r w:rsidRPr="006177B3">
        <w:rPr>
          <w:rFonts w:ascii="Arial" w:hAnsi="Arial" w:cs="Arial"/>
          <w:sz w:val="20"/>
        </w:rPr>
        <w:t xml:space="preserve">Each item of mass that could cause an unsafe condition if it broke loose must be restrained under all loads up to the ultimate loads specified in this paragraph. The local attachments in the load path between the restrains and the structure should be designed to withstand 1.33 times </w:t>
      </w:r>
      <w:r w:rsidRPr="006177B3">
        <w:rPr>
          <w:rFonts w:ascii="Arial" w:hAnsi="Arial" w:cs="Arial"/>
          <w:sz w:val="20"/>
        </w:rPr>
        <w:lastRenderedPageBreak/>
        <w:t>the specified ultimate loads</w:t>
      </w:r>
    </w:p>
    <w:p w14:paraId="67E20996" w14:textId="77777777" w:rsidR="006177B3" w:rsidRPr="006177B3" w:rsidRDefault="006177B3" w:rsidP="006177B3">
      <w:pPr>
        <w:spacing w:line="276" w:lineRule="auto"/>
        <w:ind w:left="706"/>
        <w:jc w:val="both"/>
        <w:rPr>
          <w:rFonts w:ascii="Arial" w:hAnsi="Arial" w:cs="Arial"/>
          <w:sz w:val="20"/>
        </w:rPr>
      </w:pPr>
      <w:r w:rsidRPr="006177B3">
        <w:rPr>
          <w:rFonts w:ascii="Arial" w:hAnsi="Arial" w:cs="Arial"/>
          <w:sz w:val="20"/>
        </w:rPr>
        <w:t>Horizontal 6 g,</w:t>
      </w:r>
    </w:p>
    <w:p w14:paraId="6596AA0A" w14:textId="77777777" w:rsidR="006177B3" w:rsidRPr="006177B3" w:rsidRDefault="006177B3" w:rsidP="006177B3">
      <w:pPr>
        <w:spacing w:line="276" w:lineRule="auto"/>
        <w:ind w:left="706"/>
        <w:jc w:val="both"/>
        <w:rPr>
          <w:rFonts w:ascii="Arial" w:hAnsi="Arial" w:cs="Arial"/>
          <w:sz w:val="20"/>
        </w:rPr>
      </w:pPr>
      <w:r w:rsidRPr="006177B3">
        <w:rPr>
          <w:rFonts w:ascii="Arial" w:hAnsi="Arial" w:cs="Arial"/>
          <w:sz w:val="20"/>
        </w:rPr>
        <w:t>Downward 6 g,</w:t>
      </w:r>
    </w:p>
    <w:p w14:paraId="600626B6" w14:textId="77777777" w:rsidR="006177B3" w:rsidRPr="006177B3" w:rsidRDefault="006177B3" w:rsidP="006177B3">
      <w:pPr>
        <w:spacing w:line="276" w:lineRule="auto"/>
        <w:ind w:left="706"/>
        <w:jc w:val="both"/>
        <w:rPr>
          <w:rFonts w:ascii="Arial" w:hAnsi="Arial" w:cs="Arial"/>
          <w:sz w:val="20"/>
        </w:rPr>
      </w:pPr>
      <w:r w:rsidRPr="006177B3">
        <w:rPr>
          <w:rFonts w:ascii="Arial" w:hAnsi="Arial" w:cs="Arial"/>
          <w:sz w:val="20"/>
        </w:rPr>
        <w:t>Upward 2 g.</w:t>
      </w:r>
    </w:p>
    <w:p w14:paraId="6707EF3A" w14:textId="77777777" w:rsidR="006177B3" w:rsidRPr="006177B3" w:rsidRDefault="006177B3" w:rsidP="00A801A9">
      <w:pPr>
        <w:numPr>
          <w:ilvl w:val="0"/>
          <w:numId w:val="350"/>
        </w:numPr>
        <w:spacing w:line="276" w:lineRule="auto"/>
        <w:jc w:val="both"/>
        <w:rPr>
          <w:rFonts w:ascii="Arial" w:hAnsi="Arial" w:cs="Arial"/>
          <w:sz w:val="20"/>
        </w:rPr>
      </w:pPr>
      <w:r w:rsidRPr="006177B3">
        <w:rPr>
          <w:rFonts w:ascii="Arial" w:hAnsi="Arial" w:cs="Arial"/>
          <w:sz w:val="20"/>
        </w:rPr>
        <w:t>The design and strength of components must also consider the effects of recurrent and other loads experienced during transportation, ground handling and rigging.</w:t>
      </w:r>
    </w:p>
    <w:p w14:paraId="3B344B61" w14:textId="5F9EB00F" w:rsidR="00DE2653" w:rsidRPr="00EB4713" w:rsidRDefault="006177B3" w:rsidP="00030750">
      <w:pPr>
        <w:numPr>
          <w:ilvl w:val="0"/>
          <w:numId w:val="350"/>
        </w:numPr>
        <w:spacing w:line="276" w:lineRule="auto"/>
        <w:jc w:val="both"/>
        <w:rPr>
          <w:rFonts w:ascii="Arial" w:hAnsi="Arial" w:cs="Arial"/>
          <w:sz w:val="20"/>
        </w:rPr>
      </w:pPr>
      <w:r w:rsidRPr="006177B3">
        <w:rPr>
          <w:rFonts w:ascii="Arial" w:hAnsi="Arial" w:cs="Arial"/>
          <w:sz w:val="20"/>
        </w:rPr>
        <w:t>The effect of temperature and other operating characteristics that may affect strength of the balloon must be accounted for.</w:t>
      </w:r>
    </w:p>
    <w:p w14:paraId="603C9CD5" w14:textId="77777777" w:rsidR="00433CCB" w:rsidRPr="00433CCB" w:rsidRDefault="00433CCB" w:rsidP="00433CCB">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1035" w:name="AMC_31GB.27_Strength_and_proof_of_streng"/>
      <w:bookmarkStart w:id="1036" w:name="_bookmark442"/>
      <w:bookmarkStart w:id="1037" w:name="_Toc153137606"/>
      <w:bookmarkEnd w:id="1035"/>
      <w:bookmarkEnd w:id="1036"/>
      <w:r w:rsidRPr="00433CCB">
        <w:rPr>
          <w:rFonts w:ascii="Arial" w:eastAsia="Times New Roman" w:hAnsi="Arial" w:cs="Times New Roman"/>
          <w:b/>
          <w:color w:val="FFFFFF"/>
          <w:sz w:val="24"/>
        </w:rPr>
        <w:t>AMC 31GB.27 Strength and proof of strength</w:t>
      </w:r>
      <w:bookmarkEnd w:id="1037"/>
    </w:p>
    <w:p w14:paraId="105973FE" w14:textId="77777777" w:rsidR="00433CCB" w:rsidRPr="00433CCB" w:rsidRDefault="00433CCB" w:rsidP="00433CCB">
      <w:pPr>
        <w:spacing w:line="276" w:lineRule="auto"/>
        <w:jc w:val="both"/>
        <w:rPr>
          <w:rFonts w:ascii="Arial" w:hAnsi="Arial" w:cs="Arial"/>
          <w:sz w:val="20"/>
        </w:rPr>
      </w:pPr>
      <w:r w:rsidRPr="00433CCB">
        <w:rPr>
          <w:rFonts w:ascii="Arial" w:hAnsi="Arial" w:cs="Arial"/>
          <w:sz w:val="20"/>
        </w:rPr>
        <w:t>Proof of compliance with the strength requirements must cover the balloon’s entire operating range. Proof by calculation only can be accepted for designs where it has been demonstrated by experience that such calculation gives reliable results. Load tests need to be performed in all other cases.</w:t>
      </w:r>
    </w:p>
    <w:p w14:paraId="52C39E3B" w14:textId="77777777" w:rsidR="00433CCB" w:rsidRPr="00433CCB" w:rsidRDefault="00433CCB" w:rsidP="00433CCB">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1038" w:name="AMC_31GB.27(c)_Strength_and_proof_of_str"/>
      <w:bookmarkStart w:id="1039" w:name="_bookmark443"/>
      <w:bookmarkStart w:id="1040" w:name="_Toc153137607"/>
      <w:bookmarkEnd w:id="1038"/>
      <w:bookmarkEnd w:id="1039"/>
      <w:r w:rsidRPr="00433CCB">
        <w:rPr>
          <w:rFonts w:ascii="Arial" w:eastAsia="Times New Roman" w:hAnsi="Arial" w:cs="Times New Roman"/>
          <w:b/>
          <w:color w:val="FFFFFF"/>
          <w:sz w:val="24"/>
        </w:rPr>
        <w:t>AMC 31GB.27(c) Strength and proof of strength</w:t>
      </w:r>
      <w:bookmarkEnd w:id="1040"/>
    </w:p>
    <w:p w14:paraId="359A17CC" w14:textId="77777777" w:rsidR="00746123" w:rsidRDefault="00433CCB" w:rsidP="00433CCB">
      <w:pPr>
        <w:spacing w:line="276" w:lineRule="auto"/>
        <w:jc w:val="both"/>
        <w:rPr>
          <w:rFonts w:ascii="Arial" w:hAnsi="Arial" w:cs="Arial"/>
          <w:sz w:val="20"/>
        </w:rPr>
      </w:pPr>
      <w:r w:rsidRPr="00433CCB">
        <w:rPr>
          <w:rFonts w:ascii="Arial" w:hAnsi="Arial" w:cs="Arial"/>
          <w:sz w:val="20"/>
        </w:rPr>
        <w:t>The envelope tests may be performed on representative portions of the envelope provided the dimensions of these portions are sufficiently large to include critical design features and details such as critical seams, joints, load-attachment points, net mesh, etc. Also refer to CS 31GB.44 for specific tear propagation requirements.</w:t>
      </w:r>
    </w:p>
    <w:p w14:paraId="738FC932" w14:textId="77777777" w:rsidR="00433CCB" w:rsidRPr="00433CCB" w:rsidRDefault="00433CCB" w:rsidP="00433CCB">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1041" w:name="AMC_31GB.27(d)_Strength_and_proof_of_str"/>
      <w:bookmarkStart w:id="1042" w:name="_bookmark444"/>
      <w:bookmarkStart w:id="1043" w:name="_Toc153137608"/>
      <w:bookmarkEnd w:id="1041"/>
      <w:bookmarkEnd w:id="1042"/>
      <w:r w:rsidRPr="00433CCB">
        <w:rPr>
          <w:rFonts w:ascii="Arial" w:eastAsia="Times New Roman" w:hAnsi="Arial" w:cs="Times New Roman"/>
          <w:b/>
          <w:color w:val="FFFFFF"/>
          <w:sz w:val="24"/>
        </w:rPr>
        <w:t>AMC 31GB.27(d) Strength and proof of strength</w:t>
      </w:r>
      <w:bookmarkEnd w:id="1043"/>
    </w:p>
    <w:p w14:paraId="6E266611" w14:textId="77777777" w:rsidR="00433CCB" w:rsidRPr="00433CCB" w:rsidRDefault="00433CCB" w:rsidP="00433CCB">
      <w:pPr>
        <w:spacing w:line="276" w:lineRule="auto"/>
        <w:jc w:val="both"/>
        <w:rPr>
          <w:rFonts w:ascii="Arial" w:hAnsi="Arial" w:cs="Arial"/>
          <w:sz w:val="20"/>
        </w:rPr>
      </w:pPr>
      <w:r w:rsidRPr="00433CCB">
        <w:rPr>
          <w:rFonts w:ascii="Arial" w:hAnsi="Arial" w:cs="Arial"/>
          <w:sz w:val="20"/>
        </w:rPr>
        <w:t>A drop test needs to be performed if it is not possible to make use of an existing proven basket of the same or similar design (in terms of construction method, size, layout, etc.) for a balloon of the size that is the subject of the application. In the absence of an alternative test proposal, this test must be performed at the maximum design mass of the basket in a manner that simulates the effects of gravity that occur as realistically as possible. The basket is</w:t>
      </w:r>
      <w:r>
        <w:rPr>
          <w:rFonts w:ascii="Arial" w:hAnsi="Arial" w:cs="Arial"/>
          <w:sz w:val="20"/>
        </w:rPr>
        <w:t xml:space="preserve"> </w:t>
      </w:r>
      <w:r w:rsidRPr="00433CCB">
        <w:rPr>
          <w:rFonts w:ascii="Arial" w:hAnsi="Arial" w:cs="Arial"/>
          <w:sz w:val="20"/>
        </w:rPr>
        <w:t>dropped onto a horizontal concrete surface from a</w:t>
      </w:r>
      <w:r>
        <w:rPr>
          <w:rFonts w:ascii="Arial" w:hAnsi="Arial" w:cs="Arial"/>
          <w:sz w:val="20"/>
        </w:rPr>
        <w:t xml:space="preserve"> </w:t>
      </w:r>
      <w:r w:rsidRPr="00433CCB">
        <w:rPr>
          <w:rFonts w:ascii="Arial" w:hAnsi="Arial" w:cs="Arial"/>
          <w:sz w:val="20"/>
        </w:rPr>
        <w:t>height of 1 m at 0°, 15° and 30°. The drop test should not result in deformation or fractures which, by their nature, could lead to the serious injury of occupants.</w:t>
      </w:r>
    </w:p>
    <w:p w14:paraId="52269163" w14:textId="77777777" w:rsidR="00433CCB" w:rsidRPr="00612EC5" w:rsidRDefault="00433CCB" w:rsidP="00433CCB">
      <w:pPr>
        <w:spacing w:line="276" w:lineRule="auto"/>
        <w:jc w:val="both"/>
        <w:rPr>
          <w:rFonts w:ascii="Arial" w:hAnsi="Arial" w:cs="Arial"/>
          <w:i/>
          <w:sz w:val="20"/>
        </w:rPr>
      </w:pPr>
      <w:r w:rsidRPr="00612EC5">
        <w:rPr>
          <w:rFonts w:ascii="Arial" w:hAnsi="Arial" w:cs="Arial"/>
          <w:i/>
          <w:sz w:val="20"/>
        </w:rPr>
        <w:t>Note: It has been shown by a number of decades of in-service experience that the traditional reinforced woven wicker and willow basket design offers a combination of resilience and impact resistance that can contribute considerably to the protection of occupants. The structure is also able to absorb considerable kinetic energy during impact on the ground or against obstacles.</w:t>
      </w:r>
    </w:p>
    <w:p w14:paraId="2CA45C81" w14:textId="77777777" w:rsidR="00433CCB" w:rsidRPr="00433CCB" w:rsidRDefault="00433CCB" w:rsidP="00433CCB">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1044" w:name="AMC_31GB.27(e)_Strength_and_proof_of_str"/>
      <w:bookmarkStart w:id="1045" w:name="_bookmark445"/>
      <w:bookmarkStart w:id="1046" w:name="_Toc153137609"/>
      <w:bookmarkEnd w:id="1044"/>
      <w:bookmarkEnd w:id="1045"/>
      <w:r w:rsidRPr="00433CCB">
        <w:rPr>
          <w:rFonts w:ascii="Arial" w:eastAsia="Times New Roman" w:hAnsi="Arial" w:cs="Times New Roman"/>
          <w:b/>
          <w:color w:val="FFFFFF"/>
          <w:sz w:val="24"/>
        </w:rPr>
        <w:t>AMC 31GB.27(e) Strength and proof of strength</w:t>
      </w:r>
      <w:bookmarkEnd w:id="1046"/>
    </w:p>
    <w:p w14:paraId="387D9D07" w14:textId="77777777" w:rsidR="00433CCB" w:rsidRPr="00433CCB" w:rsidRDefault="00433CCB" w:rsidP="00433CCB">
      <w:pPr>
        <w:spacing w:line="276" w:lineRule="auto"/>
        <w:jc w:val="both"/>
        <w:rPr>
          <w:rFonts w:ascii="Arial" w:hAnsi="Arial" w:cs="Arial"/>
          <w:sz w:val="20"/>
        </w:rPr>
      </w:pPr>
      <w:r w:rsidRPr="00433CCB">
        <w:rPr>
          <w:rFonts w:ascii="Arial" w:hAnsi="Arial" w:cs="Arial"/>
          <w:sz w:val="20"/>
        </w:rPr>
        <w:t>Items of mass (e.g. batteries or equipment) inside the basket or attached to the suspension system near or above the occupants should be considered because of their risk to the occupants.</w:t>
      </w:r>
      <w:r>
        <w:rPr>
          <w:rFonts w:ascii="Arial" w:hAnsi="Arial" w:cs="Arial"/>
          <w:sz w:val="20"/>
        </w:rPr>
        <w:br/>
      </w:r>
      <w:r w:rsidRPr="00433CCB">
        <w:rPr>
          <w:rFonts w:ascii="Arial" w:hAnsi="Arial" w:cs="Arial"/>
          <w:sz w:val="20"/>
        </w:rPr>
        <w:t>Items of mass that do not cause a risk to the occupants during a hard or fast landing, but could become detached from the balloon (e.g. ballast attached to the outside of the basket), should be considered because of the potential loss of mass.</w:t>
      </w:r>
    </w:p>
    <w:p w14:paraId="45FDD90E" w14:textId="77777777" w:rsidR="00433CCB" w:rsidRPr="00433CCB" w:rsidRDefault="00433CCB" w:rsidP="00433CCB">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1047" w:name="AMC_31GB.27(f)_Strength_and_proof_of_str"/>
      <w:bookmarkStart w:id="1048" w:name="_bookmark446"/>
      <w:bookmarkStart w:id="1049" w:name="_Toc153137610"/>
      <w:bookmarkEnd w:id="1047"/>
      <w:bookmarkEnd w:id="1048"/>
      <w:r w:rsidRPr="00433CCB">
        <w:rPr>
          <w:rFonts w:ascii="Arial" w:eastAsia="Times New Roman" w:hAnsi="Arial" w:cs="Times New Roman"/>
          <w:b/>
          <w:color w:val="FFFFFF"/>
          <w:sz w:val="24"/>
        </w:rPr>
        <w:t>AMC 31GB.27(f) Strength and proof of strength</w:t>
      </w:r>
      <w:bookmarkEnd w:id="1049"/>
    </w:p>
    <w:p w14:paraId="367CBAD0" w14:textId="77777777" w:rsidR="00433CCB" w:rsidRPr="00433CCB" w:rsidRDefault="00433CCB" w:rsidP="00433CCB">
      <w:pPr>
        <w:jc w:val="both"/>
        <w:rPr>
          <w:rFonts w:ascii="Arial" w:hAnsi="Arial" w:cs="Arial"/>
          <w:sz w:val="20"/>
        </w:rPr>
      </w:pPr>
      <w:r w:rsidRPr="00433CCB">
        <w:rPr>
          <w:rFonts w:ascii="Arial" w:hAnsi="Arial" w:cs="Arial"/>
          <w:sz w:val="20"/>
        </w:rPr>
        <w:t>The strength requirements need to include consideration of loads during transport, ground handling and rigging. The loads need to be determined and the parts and components need to be designed in accordance with their designated use and dimensioned such as not to fail under recurrent loads.</w:t>
      </w:r>
    </w:p>
    <w:p w14:paraId="6A179766" w14:textId="77777777" w:rsidR="004E1CD8" w:rsidRPr="004E1CD8" w:rsidRDefault="004E1CD8" w:rsidP="004E1CD8">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1050" w:name="CS_31GB.28_Tethered_flight_loads"/>
      <w:bookmarkStart w:id="1051" w:name="_bookmark447"/>
      <w:bookmarkStart w:id="1052" w:name="_Toc153137611"/>
      <w:bookmarkEnd w:id="1050"/>
      <w:bookmarkEnd w:id="1051"/>
      <w:r w:rsidRPr="004E1CD8">
        <w:rPr>
          <w:rFonts w:ascii="Arial" w:eastAsia="Times New Roman" w:hAnsi="Arial" w:cs="Times New Roman"/>
          <w:b/>
          <w:iCs/>
          <w:color w:val="FFFFFF"/>
          <w:sz w:val="24"/>
        </w:rPr>
        <w:t>CS 31GB.28 Tethered flight loads</w:t>
      </w:r>
      <w:bookmarkEnd w:id="1052"/>
    </w:p>
    <w:p w14:paraId="26181C17" w14:textId="77777777" w:rsidR="004E1CD8" w:rsidRPr="004E1CD8" w:rsidRDefault="004E1CD8" w:rsidP="00A801A9">
      <w:pPr>
        <w:numPr>
          <w:ilvl w:val="0"/>
          <w:numId w:val="351"/>
        </w:numPr>
        <w:spacing w:line="276" w:lineRule="auto"/>
        <w:jc w:val="both"/>
        <w:rPr>
          <w:rFonts w:ascii="Arial" w:hAnsi="Arial" w:cs="Arial"/>
          <w:sz w:val="20"/>
        </w:rPr>
      </w:pPr>
      <w:r w:rsidRPr="004E1CD8">
        <w:rPr>
          <w:rFonts w:ascii="Arial" w:hAnsi="Arial" w:cs="Arial"/>
          <w:sz w:val="20"/>
        </w:rPr>
        <w:t>The effects of the loads associated with tethered flight on the balloon’s components and any additional equipment (if required) must be considered in the design.</w:t>
      </w:r>
    </w:p>
    <w:p w14:paraId="05FA77C0" w14:textId="77777777" w:rsidR="004E1CD8" w:rsidRPr="004E1CD8" w:rsidRDefault="004E1CD8" w:rsidP="00A801A9">
      <w:pPr>
        <w:numPr>
          <w:ilvl w:val="0"/>
          <w:numId w:val="351"/>
        </w:numPr>
        <w:spacing w:line="276" w:lineRule="auto"/>
        <w:jc w:val="both"/>
        <w:rPr>
          <w:rFonts w:ascii="Arial" w:hAnsi="Arial" w:cs="Arial"/>
          <w:sz w:val="20"/>
        </w:rPr>
      </w:pPr>
      <w:r w:rsidRPr="004E1CD8">
        <w:rPr>
          <w:rFonts w:ascii="Arial" w:hAnsi="Arial" w:cs="Arial"/>
          <w:sz w:val="20"/>
        </w:rPr>
        <w:t>The tethered restraint system must be designed so that any single failure will not jeopardise the safety of the occupants, the balloon and or third parties.</w:t>
      </w:r>
    </w:p>
    <w:p w14:paraId="74D0A89C" w14:textId="77777777" w:rsidR="004E1CD8" w:rsidRPr="004E1CD8" w:rsidRDefault="004E1CD8" w:rsidP="00A801A9">
      <w:pPr>
        <w:numPr>
          <w:ilvl w:val="0"/>
          <w:numId w:val="351"/>
        </w:numPr>
        <w:spacing w:line="276" w:lineRule="auto"/>
        <w:jc w:val="both"/>
        <w:rPr>
          <w:rFonts w:ascii="Arial" w:hAnsi="Arial" w:cs="Arial"/>
          <w:sz w:val="20"/>
        </w:rPr>
      </w:pPr>
      <w:r w:rsidRPr="004E1CD8">
        <w:rPr>
          <w:rFonts w:ascii="Arial" w:hAnsi="Arial" w:cs="Arial"/>
          <w:sz w:val="20"/>
        </w:rPr>
        <w:t>Operational limitations, associated to tethered flight, must be established and recorded in the Flight Manual. (See CS 31GB.81(b)(2))</w:t>
      </w:r>
    </w:p>
    <w:p w14:paraId="03E15ACB" w14:textId="77777777" w:rsidR="00433CCB" w:rsidRDefault="00433CCB" w:rsidP="00433CCB">
      <w:pPr>
        <w:rPr>
          <w:rFonts w:ascii="Arial" w:hAnsi="Arial" w:cs="Arial"/>
          <w:sz w:val="20"/>
        </w:rPr>
      </w:pPr>
    </w:p>
    <w:p w14:paraId="7764C36F" w14:textId="77777777" w:rsidR="00794675" w:rsidRPr="00794675" w:rsidRDefault="00794675" w:rsidP="00794675">
      <w:pPr>
        <w:keepNext/>
        <w:keepLines/>
        <w:widowControl/>
        <w:shd w:val="clear" w:color="auto" w:fill="ED7D31"/>
        <w:autoSpaceDE/>
        <w:autoSpaceDN/>
        <w:spacing w:before="160" w:after="120" w:line="259" w:lineRule="auto"/>
        <w:outlineLvl w:val="4"/>
        <w:rPr>
          <w:rFonts w:ascii="Arial" w:eastAsia="Times New Roman" w:hAnsi="Arial" w:cs="Times New Roman"/>
          <w:b/>
          <w:color w:val="FFFFFF"/>
          <w:sz w:val="24"/>
        </w:rPr>
      </w:pPr>
      <w:bookmarkStart w:id="1053" w:name="AMC_31GB.28(a)_Tethered_Flight_Loads"/>
      <w:bookmarkStart w:id="1054" w:name="_bookmark448"/>
      <w:bookmarkStart w:id="1055" w:name="_Toc153137612"/>
      <w:bookmarkEnd w:id="1053"/>
      <w:bookmarkEnd w:id="1054"/>
      <w:r w:rsidRPr="00794675">
        <w:rPr>
          <w:rFonts w:ascii="Arial" w:eastAsia="Times New Roman" w:hAnsi="Arial" w:cs="Times New Roman"/>
          <w:b/>
          <w:color w:val="FFFFFF"/>
          <w:sz w:val="24"/>
        </w:rPr>
        <w:lastRenderedPageBreak/>
        <w:t>AMC 31GB.28(a) Tethered Flight Loads</w:t>
      </w:r>
      <w:bookmarkEnd w:id="1055"/>
    </w:p>
    <w:p w14:paraId="6FAA612C" w14:textId="77777777" w:rsidR="00794675" w:rsidRPr="00794675" w:rsidRDefault="00794675" w:rsidP="00794675">
      <w:pPr>
        <w:spacing w:line="276" w:lineRule="auto"/>
        <w:jc w:val="both"/>
        <w:rPr>
          <w:rFonts w:ascii="Arial" w:hAnsi="Arial" w:cs="Arial"/>
          <w:sz w:val="20"/>
        </w:rPr>
      </w:pPr>
      <w:r w:rsidRPr="00794675">
        <w:rPr>
          <w:rFonts w:ascii="Arial" w:hAnsi="Arial" w:cs="Arial"/>
          <w:sz w:val="20"/>
        </w:rPr>
        <w:t>Due to the complexity of tethered flight loading, a simple analysis using configurations based on industry best practice (e.g. restraints/tether lines in a ‘flat tripod’ configuration with upwind and downwind v-bridles) can be used to determine the suitability of a design.</w:t>
      </w:r>
    </w:p>
    <w:p w14:paraId="765ECBE5" w14:textId="77777777" w:rsidR="00794675" w:rsidRPr="00794675" w:rsidRDefault="00794675" w:rsidP="00794675">
      <w:pPr>
        <w:spacing w:line="276" w:lineRule="auto"/>
        <w:jc w:val="both"/>
        <w:rPr>
          <w:rFonts w:ascii="Arial" w:hAnsi="Arial" w:cs="Arial"/>
          <w:sz w:val="20"/>
        </w:rPr>
      </w:pPr>
      <w:r w:rsidRPr="00794675">
        <w:rPr>
          <w:rFonts w:ascii="Arial" w:hAnsi="Arial" w:cs="Arial"/>
          <w:sz w:val="20"/>
        </w:rPr>
        <w:t>The structure needs to be designed so that stress concentrations beyond the limit of fatigue are avoided in areas where normal operation may produce varying stress.</w:t>
      </w:r>
    </w:p>
    <w:p w14:paraId="2DC0F439" w14:textId="77777777" w:rsidR="007D5AC0" w:rsidRPr="00612EC5" w:rsidRDefault="00794675" w:rsidP="000A6434">
      <w:pPr>
        <w:spacing w:line="276" w:lineRule="auto"/>
        <w:jc w:val="both"/>
        <w:rPr>
          <w:rFonts w:ascii="Arial" w:hAnsi="Arial" w:cs="Arial"/>
          <w:i/>
          <w:sz w:val="20"/>
        </w:rPr>
      </w:pPr>
      <w:r w:rsidRPr="00612EC5">
        <w:rPr>
          <w:rFonts w:ascii="Arial" w:hAnsi="Arial" w:cs="Arial"/>
          <w:i/>
          <w:sz w:val="20"/>
        </w:rPr>
        <w:t>Note: The greatest danger during tethering is if any element of the tethering equipment should fail with insufficient positive buoyancy for safe free flight. For this reason, a single point/single element tethering should not be considered.</w:t>
      </w:r>
    </w:p>
    <w:p w14:paraId="5E65F510" w14:textId="77777777" w:rsidR="000A6434" w:rsidRPr="000A6434" w:rsidRDefault="000A6434" w:rsidP="000A6434">
      <w:pPr>
        <w:keepNext/>
        <w:keepLines/>
        <w:widowControl/>
        <w:shd w:val="clear" w:color="auto" w:fill="2F5496"/>
        <w:autoSpaceDE/>
        <w:autoSpaceDN/>
        <w:spacing w:before="280" w:after="240" w:line="259" w:lineRule="auto"/>
        <w:outlineLvl w:val="3"/>
        <w:rPr>
          <w:rFonts w:ascii="Arial" w:eastAsia="Times New Roman" w:hAnsi="Arial" w:cs="Times New Roman"/>
          <w:b/>
          <w:iCs/>
          <w:color w:val="FFFFFF"/>
          <w:sz w:val="24"/>
        </w:rPr>
      </w:pPr>
      <w:bookmarkStart w:id="1056" w:name="_Toc153137613"/>
      <w:r w:rsidRPr="000A6434">
        <w:rPr>
          <w:rFonts w:ascii="Arial" w:eastAsia="Times New Roman" w:hAnsi="Arial" w:cs="Times New Roman"/>
          <w:b/>
          <w:iCs/>
          <w:color w:val="FFFFFF"/>
          <w:sz w:val="24"/>
        </w:rPr>
        <w:t>CS 31GB.30 Restraint harness</w:t>
      </w:r>
      <w:bookmarkEnd w:id="1056"/>
      <w:r w:rsidRPr="000A6434">
        <w:rPr>
          <w:rFonts w:ascii="Arial" w:eastAsia="Times New Roman" w:hAnsi="Arial" w:cs="Times New Roman"/>
          <w:b/>
          <w:iCs/>
          <w:color w:val="FFFFFF"/>
          <w:sz w:val="24"/>
        </w:rPr>
        <w:tab/>
      </w:r>
    </w:p>
    <w:p w14:paraId="08775629" w14:textId="77777777" w:rsidR="000A6434" w:rsidRPr="000A6434" w:rsidRDefault="000A6434" w:rsidP="00C20B70">
      <w:pPr>
        <w:numPr>
          <w:ilvl w:val="0"/>
          <w:numId w:val="352"/>
        </w:numPr>
        <w:jc w:val="both"/>
        <w:rPr>
          <w:rFonts w:ascii="Arial" w:hAnsi="Arial" w:cs="Arial"/>
          <w:sz w:val="20"/>
        </w:rPr>
      </w:pPr>
      <w:r w:rsidRPr="000A6434">
        <w:rPr>
          <w:rFonts w:ascii="Arial" w:hAnsi="Arial" w:cs="Arial"/>
          <w:sz w:val="20"/>
        </w:rPr>
        <w:t>When an occupant restraint harness is installed, the harness must not fail when subjected to loads resulting from the occupant mass submitted to the following acceleration (See Figure 1):</w:t>
      </w:r>
    </w:p>
    <w:p w14:paraId="65311339" w14:textId="77777777" w:rsidR="000A6434" w:rsidRPr="000A6434" w:rsidRDefault="000A6434" w:rsidP="00C20B70">
      <w:pPr>
        <w:numPr>
          <w:ilvl w:val="1"/>
          <w:numId w:val="352"/>
        </w:numPr>
        <w:jc w:val="both"/>
        <w:rPr>
          <w:rFonts w:ascii="Arial" w:hAnsi="Arial" w:cs="Arial"/>
          <w:sz w:val="20"/>
        </w:rPr>
      </w:pPr>
      <w:r w:rsidRPr="000A6434">
        <w:rPr>
          <w:rFonts w:ascii="Arial" w:hAnsi="Arial" w:cs="Arial"/>
          <w:sz w:val="20"/>
        </w:rPr>
        <w:t>2·0g Upwards</w:t>
      </w:r>
    </w:p>
    <w:p w14:paraId="26BB519E" w14:textId="77777777" w:rsidR="000A6434" w:rsidRPr="00C20B70" w:rsidRDefault="00C20B70" w:rsidP="00C20B70">
      <w:pPr>
        <w:numPr>
          <w:ilvl w:val="1"/>
          <w:numId w:val="352"/>
        </w:numPr>
        <w:jc w:val="both"/>
        <w:rPr>
          <w:rFonts w:ascii="Arial" w:hAnsi="Arial" w:cs="Arial"/>
          <w:sz w:val="20"/>
        </w:rPr>
      </w:pPr>
      <w:r w:rsidRPr="000A6434">
        <w:rPr>
          <w:rFonts w:ascii="Arial" w:hAnsi="Arial" w:cs="Arial"/>
          <w:noProof/>
          <w:sz w:val="20"/>
        </w:rPr>
        <w:drawing>
          <wp:anchor distT="0" distB="0" distL="114300" distR="114300" simplePos="0" relativeHeight="251676672" behindDoc="0" locked="0" layoutInCell="1" allowOverlap="1" wp14:anchorId="60C42DB9" wp14:editId="611AFB41">
            <wp:simplePos x="0" y="0"/>
            <wp:positionH relativeFrom="column">
              <wp:posOffset>552450</wp:posOffset>
            </wp:positionH>
            <wp:positionV relativeFrom="paragraph">
              <wp:posOffset>220980</wp:posOffset>
            </wp:positionV>
            <wp:extent cx="4913630" cy="2162175"/>
            <wp:effectExtent l="0" t="0" r="1270" b="9525"/>
            <wp:wrapTopAndBottom/>
            <wp:docPr id="3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4.jpeg"/>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4913630" cy="2162175"/>
                    </a:xfrm>
                    <a:prstGeom prst="rect">
                      <a:avLst/>
                    </a:prstGeom>
                  </pic:spPr>
                </pic:pic>
              </a:graphicData>
            </a:graphic>
            <wp14:sizeRelH relativeFrom="margin">
              <wp14:pctWidth>0</wp14:pctWidth>
            </wp14:sizeRelH>
            <wp14:sizeRelV relativeFrom="margin">
              <wp14:pctHeight>0</wp14:pctHeight>
            </wp14:sizeRelV>
          </wp:anchor>
        </w:drawing>
      </w:r>
      <w:r w:rsidR="000A6434" w:rsidRPr="000A6434">
        <w:rPr>
          <w:rFonts w:ascii="Arial" w:hAnsi="Arial" w:cs="Arial"/>
          <w:sz w:val="20"/>
        </w:rPr>
        <w:t>3·0g Horizontally in all directions.</w:t>
      </w:r>
    </w:p>
    <w:p w14:paraId="7B36E10D" w14:textId="77777777" w:rsidR="000A6434" w:rsidRPr="000A6434" w:rsidRDefault="00C20B70" w:rsidP="00C20B70">
      <w:pPr>
        <w:ind w:firstLine="720"/>
        <w:jc w:val="both"/>
        <w:rPr>
          <w:rFonts w:ascii="Arial" w:hAnsi="Arial" w:cs="Arial"/>
          <w:b/>
          <w:i/>
          <w:sz w:val="20"/>
        </w:rPr>
      </w:pPr>
      <w:r>
        <w:rPr>
          <w:rFonts w:ascii="Arial" w:hAnsi="Arial" w:cs="Arial"/>
          <w:b/>
          <w:i/>
          <w:sz w:val="20"/>
        </w:rPr>
        <w:t xml:space="preserve">  </w:t>
      </w:r>
      <w:r w:rsidR="000A6434" w:rsidRPr="000A6434">
        <w:rPr>
          <w:rFonts w:ascii="Arial" w:hAnsi="Arial" w:cs="Arial"/>
          <w:b/>
          <w:i/>
          <w:sz w:val="20"/>
        </w:rPr>
        <w:t>Figure 1: Restraint harness loads</w:t>
      </w:r>
    </w:p>
    <w:p w14:paraId="0364BAF2" w14:textId="77777777" w:rsidR="000A6434" w:rsidRDefault="000A6434" w:rsidP="00C20B70">
      <w:pPr>
        <w:jc w:val="both"/>
        <w:rPr>
          <w:rFonts w:ascii="Arial" w:hAnsi="Arial" w:cs="Arial"/>
          <w:sz w:val="20"/>
        </w:rPr>
      </w:pPr>
    </w:p>
    <w:p w14:paraId="4A6475E8" w14:textId="77777777" w:rsidR="000A6434" w:rsidRPr="000A6434" w:rsidRDefault="00C20B70" w:rsidP="00C20B70">
      <w:pPr>
        <w:jc w:val="both"/>
        <w:rPr>
          <w:rFonts w:ascii="Arial" w:hAnsi="Arial" w:cs="Arial"/>
          <w:sz w:val="20"/>
        </w:rPr>
      </w:pPr>
      <w:r>
        <w:rPr>
          <w:rFonts w:ascii="Arial" w:hAnsi="Arial" w:cs="Arial"/>
          <w:sz w:val="20"/>
        </w:rPr>
        <w:t xml:space="preserve">             </w:t>
      </w:r>
      <w:r w:rsidR="000A6434" w:rsidRPr="000A6434">
        <w:rPr>
          <w:rFonts w:ascii="Arial" w:hAnsi="Arial" w:cs="Arial"/>
          <w:sz w:val="20"/>
        </w:rPr>
        <w:t>An occupant mass of at least 86 kg must be assumed for the purposes of this paragraph.</w:t>
      </w:r>
    </w:p>
    <w:p w14:paraId="0B0C34A1" w14:textId="77777777" w:rsidR="000A6434" w:rsidRPr="000A6434" w:rsidRDefault="000A6434" w:rsidP="00C20B70">
      <w:pPr>
        <w:numPr>
          <w:ilvl w:val="0"/>
          <w:numId w:val="352"/>
        </w:numPr>
        <w:jc w:val="both"/>
        <w:rPr>
          <w:rFonts w:ascii="Arial" w:hAnsi="Arial" w:cs="Arial"/>
          <w:sz w:val="20"/>
        </w:rPr>
      </w:pPr>
      <w:r w:rsidRPr="000A6434">
        <w:rPr>
          <w:rFonts w:ascii="Arial" w:hAnsi="Arial" w:cs="Arial"/>
          <w:sz w:val="20"/>
        </w:rPr>
        <w:t xml:space="preserve">Local attachments in the load path between the safety belt or harness and the main structure of the basket, restraining the occupant, must be shown to be able to withstand the loads prescribed in </w:t>
      </w:r>
      <w:r w:rsidRPr="00C20B70">
        <w:rPr>
          <w:rFonts w:ascii="Arial" w:hAnsi="Arial" w:cs="Arial"/>
          <w:sz w:val="20"/>
        </w:rPr>
        <w:t xml:space="preserve">CS 31GB.30(a) </w:t>
      </w:r>
      <w:r w:rsidRPr="000A6434">
        <w:rPr>
          <w:rFonts w:ascii="Arial" w:hAnsi="Arial" w:cs="Arial"/>
          <w:sz w:val="20"/>
        </w:rPr>
        <w:t>multiplied by a fitting factor of 1·33.</w:t>
      </w:r>
    </w:p>
    <w:p w14:paraId="6E4BB4D1" w14:textId="77777777" w:rsidR="000A6434" w:rsidRDefault="000A6434" w:rsidP="00433CCB">
      <w:pPr>
        <w:rPr>
          <w:rFonts w:ascii="Arial" w:hAnsi="Arial" w:cs="Arial"/>
          <w:sz w:val="20"/>
        </w:rPr>
      </w:pPr>
    </w:p>
    <w:p w14:paraId="696495D5" w14:textId="77777777" w:rsidR="00C20B70" w:rsidRDefault="00C20B70" w:rsidP="00433CCB">
      <w:pPr>
        <w:rPr>
          <w:rFonts w:ascii="Arial" w:hAnsi="Arial" w:cs="Arial"/>
          <w:sz w:val="20"/>
        </w:rPr>
      </w:pPr>
    </w:p>
    <w:p w14:paraId="52D4F966" w14:textId="77777777" w:rsidR="00C20B70" w:rsidRDefault="00C20B70" w:rsidP="00433CCB">
      <w:pPr>
        <w:rPr>
          <w:rFonts w:ascii="Arial" w:hAnsi="Arial" w:cs="Arial"/>
          <w:sz w:val="20"/>
        </w:rPr>
      </w:pPr>
    </w:p>
    <w:p w14:paraId="4F70A2E8" w14:textId="77777777" w:rsidR="00C20B70" w:rsidRDefault="00C20B70" w:rsidP="00433CCB">
      <w:pPr>
        <w:rPr>
          <w:rFonts w:ascii="Arial" w:hAnsi="Arial" w:cs="Arial"/>
          <w:sz w:val="20"/>
        </w:rPr>
      </w:pPr>
    </w:p>
    <w:p w14:paraId="2F268ADB" w14:textId="77777777" w:rsidR="00C20B70" w:rsidRDefault="00C20B70" w:rsidP="00433CCB">
      <w:pPr>
        <w:rPr>
          <w:rFonts w:ascii="Arial" w:hAnsi="Arial" w:cs="Arial"/>
          <w:sz w:val="20"/>
        </w:rPr>
      </w:pPr>
    </w:p>
    <w:p w14:paraId="74A9AE99" w14:textId="77777777" w:rsidR="00C20B70" w:rsidRDefault="00C20B70" w:rsidP="00433CCB">
      <w:pPr>
        <w:rPr>
          <w:rFonts w:ascii="Arial" w:hAnsi="Arial" w:cs="Arial"/>
          <w:sz w:val="20"/>
        </w:rPr>
      </w:pPr>
    </w:p>
    <w:p w14:paraId="2C9C28E2" w14:textId="77777777" w:rsidR="00C20B70" w:rsidRDefault="00C20B70" w:rsidP="00433CCB">
      <w:pPr>
        <w:rPr>
          <w:rFonts w:ascii="Arial" w:hAnsi="Arial" w:cs="Arial"/>
          <w:sz w:val="20"/>
        </w:rPr>
      </w:pPr>
    </w:p>
    <w:p w14:paraId="7DD91EF8" w14:textId="77777777" w:rsidR="00C20B70" w:rsidRDefault="00C20B70" w:rsidP="00433CCB">
      <w:pPr>
        <w:rPr>
          <w:rFonts w:ascii="Arial" w:hAnsi="Arial" w:cs="Arial"/>
          <w:sz w:val="20"/>
        </w:rPr>
      </w:pPr>
    </w:p>
    <w:p w14:paraId="0D860B21" w14:textId="77777777" w:rsidR="00C20B70" w:rsidRDefault="00C20B70" w:rsidP="00433CCB">
      <w:pPr>
        <w:rPr>
          <w:rFonts w:ascii="Arial" w:hAnsi="Arial" w:cs="Arial"/>
          <w:sz w:val="20"/>
        </w:rPr>
      </w:pPr>
    </w:p>
    <w:p w14:paraId="6A65AE5A" w14:textId="77777777" w:rsidR="00C20B70" w:rsidRDefault="00C20B70" w:rsidP="00433CCB">
      <w:pPr>
        <w:rPr>
          <w:rFonts w:ascii="Arial" w:hAnsi="Arial" w:cs="Arial"/>
          <w:sz w:val="20"/>
        </w:rPr>
      </w:pPr>
    </w:p>
    <w:p w14:paraId="59DEA9D4" w14:textId="77777777" w:rsidR="00C20B70" w:rsidRDefault="00C20B70" w:rsidP="00433CCB">
      <w:pPr>
        <w:rPr>
          <w:rFonts w:ascii="Arial" w:hAnsi="Arial" w:cs="Arial"/>
          <w:sz w:val="20"/>
        </w:rPr>
      </w:pPr>
    </w:p>
    <w:p w14:paraId="4E2622E0" w14:textId="77777777" w:rsidR="00C20B70" w:rsidRDefault="00C20B70" w:rsidP="00433CCB">
      <w:pPr>
        <w:rPr>
          <w:rFonts w:ascii="Arial" w:hAnsi="Arial" w:cs="Arial"/>
          <w:sz w:val="20"/>
        </w:rPr>
      </w:pPr>
    </w:p>
    <w:p w14:paraId="2814C4B1" w14:textId="77777777" w:rsidR="00C20B70" w:rsidRDefault="00C20B70" w:rsidP="00433CCB">
      <w:pPr>
        <w:rPr>
          <w:rFonts w:ascii="Arial" w:hAnsi="Arial" w:cs="Arial"/>
          <w:sz w:val="20"/>
        </w:rPr>
      </w:pPr>
    </w:p>
    <w:p w14:paraId="3FCA818F" w14:textId="77777777" w:rsidR="00C20B70" w:rsidRDefault="00C20B70" w:rsidP="00433CCB">
      <w:pPr>
        <w:rPr>
          <w:rFonts w:ascii="Arial" w:hAnsi="Arial" w:cs="Arial"/>
          <w:sz w:val="20"/>
        </w:rPr>
      </w:pPr>
    </w:p>
    <w:p w14:paraId="56D91AD2" w14:textId="77777777" w:rsidR="00C20B70" w:rsidRDefault="00C20B70" w:rsidP="00433CCB">
      <w:pPr>
        <w:rPr>
          <w:rFonts w:ascii="Arial" w:hAnsi="Arial" w:cs="Arial"/>
          <w:sz w:val="20"/>
        </w:rPr>
      </w:pPr>
    </w:p>
    <w:p w14:paraId="61E6DC41" w14:textId="77777777" w:rsidR="00C20B70" w:rsidRDefault="00C20B70" w:rsidP="00433CCB">
      <w:pPr>
        <w:rPr>
          <w:rFonts w:ascii="Arial" w:hAnsi="Arial" w:cs="Arial"/>
          <w:sz w:val="20"/>
        </w:rPr>
      </w:pPr>
    </w:p>
    <w:p w14:paraId="709C8E04" w14:textId="77777777" w:rsidR="00C20B70" w:rsidRDefault="00C20B70" w:rsidP="00433CCB">
      <w:pPr>
        <w:rPr>
          <w:rFonts w:ascii="Arial" w:hAnsi="Arial" w:cs="Arial"/>
          <w:sz w:val="20"/>
        </w:rPr>
      </w:pPr>
    </w:p>
    <w:p w14:paraId="41011894" w14:textId="77777777" w:rsidR="00C20B70" w:rsidRDefault="00C20B70" w:rsidP="00433CCB">
      <w:pPr>
        <w:rPr>
          <w:rFonts w:ascii="Arial" w:hAnsi="Arial" w:cs="Arial"/>
          <w:sz w:val="20"/>
        </w:rPr>
      </w:pPr>
    </w:p>
    <w:p w14:paraId="6218B99C" w14:textId="77777777" w:rsidR="00C20B70" w:rsidRDefault="00C20B70" w:rsidP="00433CCB">
      <w:pPr>
        <w:rPr>
          <w:rFonts w:ascii="Arial" w:hAnsi="Arial" w:cs="Arial"/>
          <w:sz w:val="20"/>
        </w:rPr>
      </w:pPr>
    </w:p>
    <w:p w14:paraId="69957953" w14:textId="77777777" w:rsidR="00C20B70" w:rsidRDefault="00C20B70" w:rsidP="00433CCB">
      <w:pPr>
        <w:rPr>
          <w:rFonts w:ascii="Arial" w:hAnsi="Arial" w:cs="Arial"/>
          <w:sz w:val="20"/>
        </w:rPr>
      </w:pPr>
    </w:p>
    <w:p w14:paraId="265C5552" w14:textId="77777777" w:rsidR="00C20B70" w:rsidRDefault="00C20B70" w:rsidP="00433CCB">
      <w:pPr>
        <w:rPr>
          <w:rFonts w:ascii="Arial" w:hAnsi="Arial" w:cs="Arial"/>
          <w:sz w:val="20"/>
        </w:rPr>
      </w:pPr>
    </w:p>
    <w:p w14:paraId="3F420168" w14:textId="77777777" w:rsidR="00C20B70" w:rsidRDefault="00C20B70" w:rsidP="00433CCB">
      <w:pPr>
        <w:rPr>
          <w:rFonts w:ascii="Arial" w:hAnsi="Arial" w:cs="Arial"/>
          <w:sz w:val="20"/>
        </w:rPr>
      </w:pPr>
    </w:p>
    <w:p w14:paraId="623CCBB8" w14:textId="77777777" w:rsidR="00C20B70" w:rsidRDefault="00C20B70" w:rsidP="00433CCB">
      <w:pPr>
        <w:rPr>
          <w:rFonts w:ascii="Arial" w:hAnsi="Arial" w:cs="Arial"/>
          <w:sz w:val="20"/>
        </w:rPr>
      </w:pPr>
    </w:p>
    <w:p w14:paraId="516042FC" w14:textId="77777777" w:rsidR="00C20B70" w:rsidRDefault="00C20B70" w:rsidP="00433CCB">
      <w:pPr>
        <w:rPr>
          <w:rFonts w:ascii="Arial" w:hAnsi="Arial" w:cs="Arial"/>
          <w:sz w:val="20"/>
        </w:rPr>
      </w:pPr>
    </w:p>
    <w:p w14:paraId="74F6A206" w14:textId="77777777" w:rsidR="00C20B70" w:rsidRDefault="00C20B70" w:rsidP="00433CCB">
      <w:pPr>
        <w:rPr>
          <w:rFonts w:ascii="Arial" w:hAnsi="Arial" w:cs="Arial"/>
          <w:sz w:val="20"/>
        </w:rPr>
      </w:pPr>
    </w:p>
    <w:p w14:paraId="34B2B046" w14:textId="77777777" w:rsidR="00C20B70" w:rsidRPr="00C20B70" w:rsidRDefault="00C20B70" w:rsidP="00C20B70">
      <w:pPr>
        <w:keepNext/>
        <w:keepLines/>
        <w:widowControl/>
        <w:autoSpaceDE/>
        <w:autoSpaceDN/>
        <w:spacing w:before="40" w:line="259" w:lineRule="auto"/>
        <w:jc w:val="center"/>
        <w:outlineLvl w:val="2"/>
        <w:rPr>
          <w:rFonts w:ascii="Arial" w:eastAsiaTheme="majorEastAsia" w:hAnsi="Arial" w:cs="Arial"/>
          <w:b/>
          <w:color w:val="00B0F0"/>
          <w:sz w:val="24"/>
          <w:szCs w:val="24"/>
        </w:rPr>
      </w:pPr>
      <w:bookmarkStart w:id="1057" w:name="_Toc153137614"/>
      <w:r w:rsidRPr="00C20B70">
        <w:rPr>
          <w:rFonts w:ascii="Arial" w:eastAsiaTheme="majorEastAsia" w:hAnsi="Arial" w:cs="Arial"/>
          <w:b/>
          <w:color w:val="00B0F0"/>
          <w:sz w:val="24"/>
          <w:szCs w:val="24"/>
        </w:rPr>
        <w:lastRenderedPageBreak/>
        <w:t>SUBPART D — DESIGN AND CONSTRUCTION</w:t>
      </w:r>
      <w:bookmarkEnd w:id="1057"/>
    </w:p>
    <w:p w14:paraId="46213D14" w14:textId="77777777" w:rsidR="00C20B70" w:rsidRPr="00C20B70" w:rsidRDefault="00C20B70" w:rsidP="00C20B70">
      <w:pPr>
        <w:keepNext/>
        <w:keepLines/>
        <w:widowControl/>
        <w:shd w:val="clear" w:color="auto" w:fill="2F5496"/>
        <w:autoSpaceDE/>
        <w:autoSpaceDN/>
        <w:spacing w:before="280" w:after="240" w:line="276" w:lineRule="auto"/>
        <w:outlineLvl w:val="3"/>
        <w:rPr>
          <w:rFonts w:ascii="Arial" w:eastAsia="Times New Roman" w:hAnsi="Arial" w:cs="Times New Roman"/>
          <w:b/>
          <w:iCs/>
          <w:color w:val="FFFFFF"/>
          <w:sz w:val="24"/>
        </w:rPr>
      </w:pPr>
      <w:bookmarkStart w:id="1058" w:name="CS_31GB.31_General"/>
      <w:bookmarkStart w:id="1059" w:name="_bookmark451"/>
      <w:bookmarkStart w:id="1060" w:name="_Toc153137615"/>
      <w:bookmarkEnd w:id="1058"/>
      <w:bookmarkEnd w:id="1059"/>
      <w:r w:rsidRPr="00C20B70">
        <w:rPr>
          <w:rFonts w:ascii="Arial" w:eastAsia="Times New Roman" w:hAnsi="Arial" w:cs="Times New Roman"/>
          <w:b/>
          <w:iCs/>
          <w:color w:val="FFFFFF"/>
          <w:sz w:val="24"/>
        </w:rPr>
        <w:t>CS 31GB.31 General</w:t>
      </w:r>
      <w:bookmarkEnd w:id="1060"/>
    </w:p>
    <w:p w14:paraId="04310555" w14:textId="77777777" w:rsidR="00C20B70" w:rsidRPr="00C20B70" w:rsidRDefault="00C20B70" w:rsidP="00C20B70">
      <w:pPr>
        <w:spacing w:line="276" w:lineRule="auto"/>
        <w:jc w:val="both"/>
        <w:rPr>
          <w:rFonts w:ascii="Arial" w:hAnsi="Arial" w:cs="Arial"/>
          <w:sz w:val="20"/>
        </w:rPr>
      </w:pPr>
      <w:r w:rsidRPr="00C20B70">
        <w:rPr>
          <w:rFonts w:ascii="Arial" w:hAnsi="Arial" w:cs="Arial"/>
          <w:sz w:val="20"/>
        </w:rPr>
        <w:t>The suitability of each design detail or part that bears on safety must be established by tests or analysis.</w:t>
      </w:r>
    </w:p>
    <w:p w14:paraId="67A631EB" w14:textId="77777777" w:rsidR="00C20B70" w:rsidRPr="00C20B70" w:rsidRDefault="00C20B70" w:rsidP="00C20B70">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061" w:name="CS_31GB.33_Materials"/>
      <w:bookmarkStart w:id="1062" w:name="_bookmark452"/>
      <w:bookmarkStart w:id="1063" w:name="_Toc153137616"/>
      <w:bookmarkEnd w:id="1061"/>
      <w:bookmarkEnd w:id="1062"/>
      <w:r w:rsidRPr="00C20B70">
        <w:rPr>
          <w:rFonts w:ascii="Arial" w:eastAsia="Times New Roman" w:hAnsi="Arial" w:cs="Times New Roman"/>
          <w:b/>
          <w:iCs/>
          <w:color w:val="FFFFFF"/>
          <w:sz w:val="24"/>
        </w:rPr>
        <w:t>CS 31GB.33 Materials</w:t>
      </w:r>
      <w:bookmarkEnd w:id="1063"/>
    </w:p>
    <w:p w14:paraId="6DD5EC5E" w14:textId="77777777" w:rsidR="00C20B70" w:rsidRPr="00C20B70" w:rsidRDefault="00C20B70" w:rsidP="00C20B70">
      <w:pPr>
        <w:spacing w:line="276" w:lineRule="auto"/>
        <w:jc w:val="both"/>
        <w:rPr>
          <w:rFonts w:ascii="Arial" w:hAnsi="Arial" w:cs="Arial"/>
          <w:sz w:val="20"/>
        </w:rPr>
      </w:pPr>
      <w:r w:rsidRPr="00C20B70">
        <w:rPr>
          <w:rFonts w:ascii="Arial" w:hAnsi="Arial" w:cs="Arial"/>
          <w:sz w:val="20"/>
        </w:rPr>
        <w:t>The suitability and durability of materials used for parts, the failure of which could adversely affect safety, must:</w:t>
      </w:r>
    </w:p>
    <w:p w14:paraId="42D9D6D9" w14:textId="77777777" w:rsidR="00C20B70" w:rsidRPr="00C20B70" w:rsidRDefault="00C20B70" w:rsidP="00C20B70">
      <w:pPr>
        <w:numPr>
          <w:ilvl w:val="0"/>
          <w:numId w:val="353"/>
        </w:numPr>
        <w:spacing w:line="276" w:lineRule="auto"/>
        <w:jc w:val="both"/>
        <w:rPr>
          <w:rFonts w:ascii="Arial" w:hAnsi="Arial" w:cs="Arial"/>
          <w:sz w:val="20"/>
        </w:rPr>
      </w:pPr>
      <w:r w:rsidRPr="00C20B70">
        <w:rPr>
          <w:rFonts w:ascii="Arial" w:hAnsi="Arial" w:cs="Arial"/>
          <w:sz w:val="20"/>
        </w:rPr>
        <w:t>be established by experience or tests; and</w:t>
      </w:r>
    </w:p>
    <w:p w14:paraId="3A1410AF" w14:textId="77777777" w:rsidR="00C20B70" w:rsidRPr="00C20B70" w:rsidRDefault="00C20B70" w:rsidP="00C20B70">
      <w:pPr>
        <w:numPr>
          <w:ilvl w:val="0"/>
          <w:numId w:val="353"/>
        </w:numPr>
        <w:spacing w:line="276" w:lineRule="auto"/>
        <w:jc w:val="both"/>
        <w:rPr>
          <w:rFonts w:ascii="Arial" w:hAnsi="Arial" w:cs="Arial"/>
          <w:sz w:val="20"/>
        </w:rPr>
      </w:pPr>
      <w:r w:rsidRPr="00C20B70">
        <w:rPr>
          <w:rFonts w:ascii="Arial" w:hAnsi="Arial" w:cs="Arial"/>
          <w:sz w:val="20"/>
        </w:rPr>
        <w:t>meet approved specifications that ensure that the materials have the strength and other properties assumed in the design data.</w:t>
      </w:r>
    </w:p>
    <w:p w14:paraId="2ED0D8DA" w14:textId="77777777" w:rsidR="00C20B70" w:rsidRPr="00C20B70" w:rsidRDefault="00C20B70" w:rsidP="00C20B70">
      <w:pPr>
        <w:keepNext/>
        <w:keepLines/>
        <w:widowControl/>
        <w:shd w:val="clear" w:color="auto" w:fill="ED7D31"/>
        <w:autoSpaceDE/>
        <w:autoSpaceDN/>
        <w:spacing w:before="160" w:after="120" w:line="276" w:lineRule="auto"/>
        <w:outlineLvl w:val="4"/>
        <w:rPr>
          <w:rFonts w:ascii="Arial" w:eastAsia="Times New Roman" w:hAnsi="Arial" w:cs="Times New Roman"/>
          <w:b/>
          <w:color w:val="FFFFFF"/>
          <w:sz w:val="24"/>
        </w:rPr>
      </w:pPr>
      <w:bookmarkStart w:id="1064" w:name="AMC_31GB.33(b)_Materials"/>
      <w:bookmarkStart w:id="1065" w:name="_bookmark453"/>
      <w:bookmarkStart w:id="1066" w:name="_Toc153137617"/>
      <w:bookmarkEnd w:id="1064"/>
      <w:bookmarkEnd w:id="1065"/>
      <w:r w:rsidRPr="00C20B70">
        <w:rPr>
          <w:rFonts w:ascii="Arial" w:eastAsia="Times New Roman" w:hAnsi="Arial" w:cs="Times New Roman"/>
          <w:b/>
          <w:color w:val="FFFFFF"/>
          <w:sz w:val="24"/>
        </w:rPr>
        <w:t>AMC 31GB.33(b) Materials</w:t>
      </w:r>
      <w:bookmarkEnd w:id="1066"/>
    </w:p>
    <w:p w14:paraId="1D1BDD6B" w14:textId="77777777" w:rsidR="00C20B70" w:rsidRPr="00C20B70" w:rsidRDefault="00C20B70" w:rsidP="00C20B70">
      <w:pPr>
        <w:spacing w:line="276" w:lineRule="auto"/>
        <w:jc w:val="both"/>
        <w:rPr>
          <w:rFonts w:ascii="Arial" w:hAnsi="Arial" w:cs="Arial"/>
          <w:sz w:val="20"/>
        </w:rPr>
      </w:pPr>
      <w:r w:rsidRPr="00C20B70">
        <w:rPr>
          <w:rFonts w:ascii="Arial" w:hAnsi="Arial" w:cs="Arial"/>
          <w:sz w:val="20"/>
        </w:rPr>
        <w:t>Approved specifications here should be taken as being those produced by the applicant or those meeting internationally recognised standards as defined applicable in the type design data. Material specifications should be those contained in documents accepted either specifically by the Agency or by having been prepared by an organisation or person which the Agency accepts has the necessary capabilities. In defining design properties, these material specification values should be modified and/or extended as necessary by the constructor to take account of manufacturing practices (for example method of construction, forming, machining and subsequent heat treatment). Also the effects of environmental conditions, such as temperature and humidity expected in service, need to be taken into account.</w:t>
      </w:r>
    </w:p>
    <w:p w14:paraId="510A0A84" w14:textId="77777777" w:rsidR="00E15BC1" w:rsidRPr="00E15BC1" w:rsidRDefault="00E15BC1" w:rsidP="00E15BC1">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067" w:name="CS_31GB.35_Fabrication_methods"/>
      <w:bookmarkStart w:id="1068" w:name="_bookmark454"/>
      <w:bookmarkStart w:id="1069" w:name="_Toc153137618"/>
      <w:bookmarkEnd w:id="1067"/>
      <w:bookmarkEnd w:id="1068"/>
      <w:r w:rsidRPr="00E15BC1">
        <w:rPr>
          <w:rFonts w:ascii="Arial" w:eastAsia="Times New Roman" w:hAnsi="Arial" w:cs="Times New Roman"/>
          <w:b/>
          <w:iCs/>
          <w:color w:val="FFFFFF"/>
          <w:sz w:val="24"/>
        </w:rPr>
        <w:t>CS 31GB.35 Fabrication methods</w:t>
      </w:r>
      <w:bookmarkEnd w:id="1069"/>
    </w:p>
    <w:p w14:paraId="09425016" w14:textId="77777777" w:rsidR="00E15BC1" w:rsidRPr="00E15BC1" w:rsidRDefault="00E15BC1" w:rsidP="0034593E">
      <w:pPr>
        <w:spacing w:line="276" w:lineRule="auto"/>
        <w:jc w:val="both"/>
        <w:rPr>
          <w:rFonts w:ascii="Arial" w:hAnsi="Arial" w:cs="Arial"/>
          <w:sz w:val="20"/>
        </w:rPr>
      </w:pPr>
      <w:r w:rsidRPr="00E15BC1">
        <w:rPr>
          <w:rFonts w:ascii="Arial" w:hAnsi="Arial" w:cs="Arial"/>
          <w:sz w:val="20"/>
        </w:rPr>
        <w:t>The methods of fabrication used must produce a consistently sound structure. If a fabrication process requires close control to reach this objective, the process must be performed in accordance with an approved process specification.</w:t>
      </w:r>
    </w:p>
    <w:p w14:paraId="5006FF35" w14:textId="77777777" w:rsidR="00E15BC1" w:rsidRPr="00E15BC1" w:rsidRDefault="00E15BC1" w:rsidP="00E15BC1">
      <w:pPr>
        <w:keepNext/>
        <w:keepLines/>
        <w:widowControl/>
        <w:shd w:val="clear" w:color="auto" w:fill="ED7D31"/>
        <w:autoSpaceDE/>
        <w:autoSpaceDN/>
        <w:spacing w:before="160" w:after="120" w:line="276" w:lineRule="auto"/>
        <w:outlineLvl w:val="4"/>
        <w:rPr>
          <w:rFonts w:ascii="Arial" w:eastAsia="Times New Roman" w:hAnsi="Arial" w:cs="Times New Roman"/>
          <w:b/>
          <w:color w:val="FFFFFF"/>
          <w:sz w:val="24"/>
        </w:rPr>
      </w:pPr>
      <w:bookmarkStart w:id="1070" w:name="AMC_31GB.35_Fabrication_methods"/>
      <w:bookmarkStart w:id="1071" w:name="_bookmark455"/>
      <w:bookmarkStart w:id="1072" w:name="_Toc153137619"/>
      <w:bookmarkEnd w:id="1070"/>
      <w:bookmarkEnd w:id="1071"/>
      <w:r w:rsidRPr="00E15BC1">
        <w:rPr>
          <w:rFonts w:ascii="Arial" w:eastAsia="Times New Roman" w:hAnsi="Arial" w:cs="Times New Roman"/>
          <w:b/>
          <w:color w:val="FFFFFF"/>
          <w:sz w:val="24"/>
        </w:rPr>
        <w:t>AMC 31GB.35 Fabrication methods</w:t>
      </w:r>
      <w:bookmarkEnd w:id="1072"/>
    </w:p>
    <w:p w14:paraId="37797C55" w14:textId="77777777" w:rsidR="00E15BC1" w:rsidRPr="00E15BC1" w:rsidRDefault="00E15BC1" w:rsidP="0034593E">
      <w:pPr>
        <w:spacing w:line="276" w:lineRule="auto"/>
        <w:jc w:val="both"/>
        <w:rPr>
          <w:rFonts w:ascii="Arial" w:hAnsi="Arial" w:cs="Arial"/>
          <w:sz w:val="20"/>
        </w:rPr>
      </w:pPr>
      <w:r w:rsidRPr="00E15BC1">
        <w:rPr>
          <w:rFonts w:ascii="Arial" w:hAnsi="Arial" w:cs="Arial"/>
          <w:sz w:val="20"/>
        </w:rPr>
        <w:t>Approved fabrication methods here should be taken as being those produced by the applicant or those meeting internationally recognised standards as defined in the applicable type design data. Fabrication methods should be those contained in documents accepted either specifically by the Agency or by having been prepared by an organisation or person which the Agency accepts has the necessary capabilities.</w:t>
      </w:r>
    </w:p>
    <w:p w14:paraId="4AA387D1" w14:textId="77777777" w:rsidR="0034593E" w:rsidRPr="0034593E" w:rsidRDefault="0034593E" w:rsidP="0034593E">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073" w:name="CS_31GB.37_Fasteners"/>
      <w:bookmarkStart w:id="1074" w:name="_bookmark456"/>
      <w:bookmarkStart w:id="1075" w:name="_Toc153137620"/>
      <w:bookmarkEnd w:id="1073"/>
      <w:bookmarkEnd w:id="1074"/>
      <w:r w:rsidRPr="0034593E">
        <w:rPr>
          <w:rFonts w:ascii="Arial" w:eastAsia="Times New Roman" w:hAnsi="Arial" w:cs="Times New Roman"/>
          <w:b/>
          <w:iCs/>
          <w:color w:val="FFFFFF"/>
          <w:sz w:val="24"/>
        </w:rPr>
        <w:t>CS 31GB.37 Fasteners</w:t>
      </w:r>
      <w:bookmarkEnd w:id="1075"/>
    </w:p>
    <w:p w14:paraId="7E9E4CF1" w14:textId="77777777" w:rsidR="0034593E" w:rsidRPr="0034593E" w:rsidRDefault="0034593E" w:rsidP="0034593E">
      <w:pPr>
        <w:numPr>
          <w:ilvl w:val="0"/>
          <w:numId w:val="354"/>
        </w:numPr>
        <w:spacing w:line="276" w:lineRule="auto"/>
        <w:jc w:val="both"/>
        <w:rPr>
          <w:rFonts w:ascii="Arial" w:hAnsi="Arial" w:cs="Arial"/>
          <w:sz w:val="20"/>
        </w:rPr>
      </w:pPr>
      <w:r w:rsidRPr="0034593E">
        <w:rPr>
          <w:rFonts w:ascii="Arial" w:hAnsi="Arial" w:cs="Arial"/>
          <w:sz w:val="20"/>
        </w:rPr>
        <w:t>Fasteners (e.g. bolts, pins, screws, karabiners) used in the structure must conform to approved specifications.</w:t>
      </w:r>
    </w:p>
    <w:p w14:paraId="19FAA899" w14:textId="77777777" w:rsidR="0034593E" w:rsidRPr="0034593E" w:rsidRDefault="0034593E" w:rsidP="0034593E">
      <w:pPr>
        <w:numPr>
          <w:ilvl w:val="0"/>
          <w:numId w:val="354"/>
        </w:numPr>
        <w:jc w:val="both"/>
        <w:rPr>
          <w:rFonts w:ascii="Arial" w:hAnsi="Arial" w:cs="Arial"/>
          <w:sz w:val="20"/>
        </w:rPr>
      </w:pPr>
      <w:r w:rsidRPr="0034593E">
        <w:rPr>
          <w:rFonts w:ascii="Arial" w:hAnsi="Arial" w:cs="Arial"/>
          <w:sz w:val="20"/>
        </w:rPr>
        <w:t>Locking methods must be established and documented.</w:t>
      </w:r>
    </w:p>
    <w:p w14:paraId="4022B08D" w14:textId="77777777" w:rsidR="0034593E" w:rsidRPr="0034593E" w:rsidRDefault="0034593E" w:rsidP="0034593E">
      <w:pPr>
        <w:numPr>
          <w:ilvl w:val="0"/>
          <w:numId w:val="354"/>
        </w:numPr>
        <w:jc w:val="both"/>
        <w:rPr>
          <w:rFonts w:ascii="Arial" w:hAnsi="Arial" w:cs="Arial"/>
          <w:sz w:val="20"/>
        </w:rPr>
      </w:pPr>
      <w:r w:rsidRPr="0034593E">
        <w:rPr>
          <w:rFonts w:ascii="Arial" w:hAnsi="Arial" w:cs="Arial"/>
          <w:sz w:val="20"/>
        </w:rPr>
        <w:t>Unless a joint is free from relative movement, secondary locking means must be used.</w:t>
      </w:r>
    </w:p>
    <w:p w14:paraId="0DDBE931" w14:textId="77777777" w:rsidR="0034593E" w:rsidRPr="0034593E" w:rsidRDefault="0034593E" w:rsidP="0034593E">
      <w:pPr>
        <w:numPr>
          <w:ilvl w:val="0"/>
          <w:numId w:val="354"/>
        </w:numPr>
        <w:jc w:val="both"/>
        <w:rPr>
          <w:rFonts w:ascii="Arial" w:hAnsi="Arial" w:cs="Arial"/>
          <w:sz w:val="20"/>
        </w:rPr>
      </w:pPr>
      <w:r w:rsidRPr="0034593E">
        <w:rPr>
          <w:rFonts w:ascii="Arial" w:hAnsi="Arial" w:cs="Arial"/>
          <w:sz w:val="20"/>
        </w:rPr>
        <w:t>Self-locking nuts may not be used on bolts that are subject to rotation in service.</w:t>
      </w:r>
    </w:p>
    <w:p w14:paraId="488DB9B8" w14:textId="77777777" w:rsidR="0034593E" w:rsidRPr="0034593E" w:rsidRDefault="0034593E" w:rsidP="0034593E">
      <w:pPr>
        <w:keepNext/>
        <w:keepLines/>
        <w:widowControl/>
        <w:shd w:val="clear" w:color="auto" w:fill="ED7D31"/>
        <w:autoSpaceDE/>
        <w:autoSpaceDN/>
        <w:spacing w:before="160" w:after="120" w:line="276" w:lineRule="auto"/>
        <w:outlineLvl w:val="4"/>
        <w:rPr>
          <w:rFonts w:ascii="Arial" w:eastAsia="Times New Roman" w:hAnsi="Arial" w:cs="Times New Roman"/>
          <w:b/>
          <w:color w:val="FFFFFF"/>
          <w:sz w:val="24"/>
        </w:rPr>
      </w:pPr>
      <w:bookmarkStart w:id="1076" w:name="AMC_31GB.37(a)_Fasteners"/>
      <w:bookmarkStart w:id="1077" w:name="_bookmark457"/>
      <w:bookmarkStart w:id="1078" w:name="_Toc153137621"/>
      <w:bookmarkEnd w:id="1076"/>
      <w:bookmarkEnd w:id="1077"/>
      <w:r w:rsidRPr="0034593E">
        <w:rPr>
          <w:rFonts w:ascii="Arial" w:eastAsia="Times New Roman" w:hAnsi="Arial" w:cs="Times New Roman"/>
          <w:b/>
          <w:color w:val="FFFFFF"/>
          <w:sz w:val="24"/>
        </w:rPr>
        <w:t>AMC 31GB.37(a) Fasteners</w:t>
      </w:r>
      <w:bookmarkEnd w:id="1078"/>
    </w:p>
    <w:p w14:paraId="001A952D" w14:textId="77777777" w:rsidR="0034593E" w:rsidRPr="0034593E" w:rsidRDefault="0034593E" w:rsidP="0034593E">
      <w:pPr>
        <w:spacing w:line="276" w:lineRule="auto"/>
        <w:jc w:val="both"/>
        <w:rPr>
          <w:rFonts w:ascii="Arial" w:hAnsi="Arial" w:cs="Arial"/>
          <w:sz w:val="20"/>
        </w:rPr>
      </w:pPr>
      <w:r w:rsidRPr="0034593E">
        <w:rPr>
          <w:rFonts w:ascii="Arial" w:hAnsi="Arial" w:cs="Arial"/>
          <w:sz w:val="20"/>
        </w:rPr>
        <w:t>Approved specifications in the sense of these requirements are the standards described in the AMC 31GB.33(b).</w:t>
      </w:r>
    </w:p>
    <w:p w14:paraId="16D97DD9" w14:textId="77777777" w:rsidR="00FF11D4" w:rsidRPr="00FF11D4" w:rsidRDefault="00FF11D4" w:rsidP="00FF11D4">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079" w:name="CS_31GB.39_Protection_of_parts"/>
      <w:bookmarkStart w:id="1080" w:name="_bookmark458"/>
      <w:bookmarkStart w:id="1081" w:name="_Toc153137622"/>
      <w:bookmarkEnd w:id="1079"/>
      <w:bookmarkEnd w:id="1080"/>
      <w:r w:rsidRPr="00FF11D4">
        <w:rPr>
          <w:rFonts w:ascii="Arial" w:eastAsia="Times New Roman" w:hAnsi="Arial" w:cs="Times New Roman"/>
          <w:b/>
          <w:iCs/>
          <w:color w:val="FFFFFF"/>
          <w:sz w:val="24"/>
        </w:rPr>
        <w:t>CS 31GB.39 Protection of parts</w:t>
      </w:r>
      <w:bookmarkEnd w:id="1081"/>
    </w:p>
    <w:p w14:paraId="30BD9E8A" w14:textId="77777777" w:rsidR="00FF11D4" w:rsidRPr="00FF11D4" w:rsidRDefault="00FF11D4" w:rsidP="00EC2AA3">
      <w:pPr>
        <w:spacing w:line="276" w:lineRule="auto"/>
        <w:jc w:val="both"/>
        <w:rPr>
          <w:rFonts w:ascii="Arial" w:hAnsi="Arial" w:cs="Arial"/>
          <w:sz w:val="20"/>
        </w:rPr>
      </w:pPr>
      <w:r w:rsidRPr="00FF11D4">
        <w:rPr>
          <w:rFonts w:ascii="Arial" w:hAnsi="Arial" w:cs="Arial"/>
          <w:sz w:val="20"/>
        </w:rPr>
        <w:t>Parts, the failure of which could adversely affect safety, must be suitably protected against deterioration or loss of strength in service due to weathering, corrosion, heat, abrasion, ground handling, ground transport, flight conditions or other causes.</w:t>
      </w:r>
    </w:p>
    <w:p w14:paraId="7577D885" w14:textId="77777777" w:rsidR="00FF11D4" w:rsidRDefault="00FF11D4" w:rsidP="00433CCB">
      <w:pPr>
        <w:rPr>
          <w:rFonts w:ascii="Arial" w:hAnsi="Arial" w:cs="Arial"/>
          <w:sz w:val="20"/>
        </w:rPr>
      </w:pPr>
    </w:p>
    <w:p w14:paraId="11BA682C" w14:textId="77777777" w:rsidR="00FF11D4" w:rsidRPr="00FF11D4" w:rsidRDefault="00FF11D4" w:rsidP="00DA71D9">
      <w:pPr>
        <w:keepNext/>
        <w:keepLines/>
        <w:widowControl/>
        <w:shd w:val="clear" w:color="auto" w:fill="ED7D31"/>
        <w:autoSpaceDE/>
        <w:autoSpaceDN/>
        <w:spacing w:before="160" w:after="120" w:line="276" w:lineRule="auto"/>
        <w:outlineLvl w:val="4"/>
        <w:rPr>
          <w:rFonts w:ascii="Arial" w:eastAsia="Times New Roman" w:hAnsi="Arial" w:cs="Times New Roman"/>
          <w:b/>
          <w:color w:val="FFFFFF"/>
          <w:sz w:val="24"/>
        </w:rPr>
      </w:pPr>
      <w:bookmarkStart w:id="1082" w:name="AMC_31GB.39_Protection_of_parts"/>
      <w:bookmarkStart w:id="1083" w:name="_bookmark459"/>
      <w:bookmarkStart w:id="1084" w:name="_Toc153137623"/>
      <w:bookmarkEnd w:id="1082"/>
      <w:bookmarkEnd w:id="1083"/>
      <w:r w:rsidRPr="00FF11D4">
        <w:rPr>
          <w:rFonts w:ascii="Arial" w:eastAsia="Times New Roman" w:hAnsi="Arial" w:cs="Times New Roman"/>
          <w:b/>
          <w:color w:val="FFFFFF"/>
          <w:sz w:val="24"/>
        </w:rPr>
        <w:lastRenderedPageBreak/>
        <w:t>AMC 31GB.39 Protection of parts</w:t>
      </w:r>
      <w:bookmarkEnd w:id="1084"/>
    </w:p>
    <w:p w14:paraId="373B0B38" w14:textId="77777777" w:rsidR="00FF11D4" w:rsidRPr="00FF11D4" w:rsidRDefault="00FF11D4" w:rsidP="00DA71D9">
      <w:pPr>
        <w:spacing w:line="276" w:lineRule="auto"/>
        <w:jc w:val="both"/>
        <w:rPr>
          <w:rFonts w:ascii="Arial" w:hAnsi="Arial" w:cs="Arial"/>
          <w:sz w:val="20"/>
        </w:rPr>
      </w:pPr>
      <w:r w:rsidRPr="00FF11D4">
        <w:rPr>
          <w:rFonts w:ascii="Arial" w:hAnsi="Arial" w:cs="Arial"/>
          <w:sz w:val="20"/>
        </w:rPr>
        <w:t>Suspension system cables and components manufactured from stainless steels (corrosion resistant steels) are considered compliant with this requirement.</w:t>
      </w:r>
    </w:p>
    <w:p w14:paraId="6F2A35C3" w14:textId="77777777" w:rsidR="00FF11D4" w:rsidRDefault="00FF11D4" w:rsidP="00DA71D9">
      <w:pPr>
        <w:spacing w:line="276" w:lineRule="auto"/>
        <w:jc w:val="both"/>
        <w:rPr>
          <w:rFonts w:ascii="Arial" w:hAnsi="Arial" w:cs="Arial"/>
          <w:sz w:val="20"/>
        </w:rPr>
      </w:pPr>
      <w:r w:rsidRPr="00FF11D4">
        <w:rPr>
          <w:rFonts w:ascii="Arial" w:hAnsi="Arial" w:cs="Arial"/>
          <w:sz w:val="20"/>
        </w:rPr>
        <w:t>To ensure the suitable protection of parts against deterioration or loss of strength, it is permissible to rely on instructions for continued airworthiness (e.g. recommended inspections or mandatory replacement of parts) (see also CS 31GB.82).</w:t>
      </w:r>
    </w:p>
    <w:p w14:paraId="415D728D" w14:textId="77777777" w:rsidR="00EC2AA3" w:rsidRPr="00EC2AA3" w:rsidRDefault="00EC2AA3" w:rsidP="00DA71D9">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085" w:name="CS_31GB.41_Inspection_provisions"/>
      <w:bookmarkStart w:id="1086" w:name="_bookmark460"/>
      <w:bookmarkStart w:id="1087" w:name="_Toc153137624"/>
      <w:bookmarkEnd w:id="1085"/>
      <w:bookmarkEnd w:id="1086"/>
      <w:r w:rsidRPr="00EC2AA3">
        <w:rPr>
          <w:rFonts w:ascii="Arial" w:eastAsia="Times New Roman" w:hAnsi="Arial" w:cs="Times New Roman"/>
          <w:b/>
          <w:iCs/>
          <w:color w:val="FFFFFF"/>
          <w:sz w:val="24"/>
        </w:rPr>
        <w:t>CS 31GB.41 Inspection provisions</w:t>
      </w:r>
      <w:bookmarkEnd w:id="1087"/>
    </w:p>
    <w:p w14:paraId="390056AD" w14:textId="77777777" w:rsidR="00EC2AA3" w:rsidRPr="00EC2AA3" w:rsidRDefault="00EC2AA3" w:rsidP="00DA71D9">
      <w:pPr>
        <w:spacing w:line="276" w:lineRule="auto"/>
        <w:jc w:val="both"/>
        <w:rPr>
          <w:rFonts w:ascii="Arial" w:hAnsi="Arial" w:cs="Arial"/>
          <w:sz w:val="20"/>
        </w:rPr>
      </w:pPr>
      <w:r w:rsidRPr="00EC2AA3">
        <w:rPr>
          <w:rFonts w:ascii="Arial" w:hAnsi="Arial" w:cs="Arial"/>
          <w:sz w:val="20"/>
        </w:rPr>
        <w:t>There must be a means to allow close examination of each part that requires repeated inspection and adjustment.</w:t>
      </w:r>
    </w:p>
    <w:p w14:paraId="5D0A0150" w14:textId="77777777" w:rsidR="00EC2AA3" w:rsidRPr="00EC2AA3" w:rsidRDefault="00EC2AA3" w:rsidP="00DA71D9">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088" w:name="CS_31GB.43_Fitting_factor"/>
      <w:bookmarkStart w:id="1089" w:name="_bookmark461"/>
      <w:bookmarkStart w:id="1090" w:name="_Toc153137625"/>
      <w:bookmarkEnd w:id="1088"/>
      <w:bookmarkEnd w:id="1089"/>
      <w:r w:rsidRPr="00EC2AA3">
        <w:rPr>
          <w:rFonts w:ascii="Arial" w:eastAsia="Times New Roman" w:hAnsi="Arial" w:cs="Times New Roman"/>
          <w:b/>
          <w:iCs/>
          <w:color w:val="FFFFFF"/>
          <w:sz w:val="24"/>
        </w:rPr>
        <w:t>CS 31GB.43 Fitting factor</w:t>
      </w:r>
      <w:bookmarkEnd w:id="1090"/>
    </w:p>
    <w:p w14:paraId="63E14B6D" w14:textId="77777777" w:rsidR="00EC2AA3" w:rsidRPr="00EC2AA3" w:rsidRDefault="00EC2AA3" w:rsidP="00DA71D9">
      <w:pPr>
        <w:numPr>
          <w:ilvl w:val="0"/>
          <w:numId w:val="355"/>
        </w:numPr>
        <w:spacing w:line="276" w:lineRule="auto"/>
        <w:jc w:val="both"/>
        <w:rPr>
          <w:rFonts w:ascii="Arial" w:hAnsi="Arial" w:cs="Arial"/>
          <w:sz w:val="20"/>
        </w:rPr>
      </w:pPr>
      <w:r w:rsidRPr="00EC2AA3">
        <w:rPr>
          <w:rFonts w:ascii="Arial" w:hAnsi="Arial" w:cs="Arial"/>
          <w:sz w:val="20"/>
        </w:rPr>
        <w:t>A fitting factor of at least 1·15 must be used in the analysis of each fitting if the strength is not proven by limit and ultimate load tests that simulate the actual stress conditions in the fitting and surrounding structure. This factor applies to all parts of the fitting, the means of attachment, and the bearing on the structural elements joined.</w:t>
      </w:r>
    </w:p>
    <w:p w14:paraId="55178DFB" w14:textId="77777777" w:rsidR="00EC2AA3" w:rsidRPr="00EC2AA3" w:rsidRDefault="00EC2AA3" w:rsidP="00DA71D9">
      <w:pPr>
        <w:numPr>
          <w:ilvl w:val="0"/>
          <w:numId w:val="355"/>
        </w:numPr>
        <w:spacing w:line="276" w:lineRule="auto"/>
        <w:jc w:val="both"/>
        <w:rPr>
          <w:rFonts w:ascii="Arial" w:hAnsi="Arial" w:cs="Arial"/>
          <w:sz w:val="20"/>
        </w:rPr>
      </w:pPr>
      <w:r w:rsidRPr="00EC2AA3">
        <w:rPr>
          <w:rFonts w:ascii="Arial" w:hAnsi="Arial" w:cs="Arial"/>
          <w:sz w:val="20"/>
        </w:rPr>
        <w:t>Each part with an integral fitting must be treated as a fitting up to the point where the section properties become typical of the member.</w:t>
      </w:r>
    </w:p>
    <w:p w14:paraId="03AEB9EB" w14:textId="77777777" w:rsidR="00EC2AA3" w:rsidRPr="00EC2AA3" w:rsidRDefault="00EC2AA3" w:rsidP="00DA71D9">
      <w:pPr>
        <w:numPr>
          <w:ilvl w:val="0"/>
          <w:numId w:val="355"/>
        </w:numPr>
        <w:spacing w:line="276" w:lineRule="auto"/>
        <w:jc w:val="both"/>
        <w:rPr>
          <w:rFonts w:ascii="Arial" w:hAnsi="Arial" w:cs="Arial"/>
          <w:sz w:val="20"/>
        </w:rPr>
      </w:pPr>
      <w:r w:rsidRPr="00EC2AA3">
        <w:rPr>
          <w:rFonts w:ascii="Arial" w:hAnsi="Arial" w:cs="Arial"/>
          <w:sz w:val="20"/>
        </w:rPr>
        <w:t>The fitting factor need not be used if the joint design is made in accordance with approved practices and the safety of which is based on comprehensive test data.</w:t>
      </w:r>
    </w:p>
    <w:p w14:paraId="611F16C7" w14:textId="77777777" w:rsidR="00DA71D9" w:rsidRPr="00DA71D9" w:rsidRDefault="00DA71D9" w:rsidP="00DA71D9">
      <w:pPr>
        <w:keepNext/>
        <w:keepLines/>
        <w:widowControl/>
        <w:shd w:val="clear" w:color="auto" w:fill="ED7D31"/>
        <w:autoSpaceDE/>
        <w:autoSpaceDN/>
        <w:spacing w:before="160" w:after="120" w:line="276" w:lineRule="auto"/>
        <w:outlineLvl w:val="4"/>
        <w:rPr>
          <w:rFonts w:ascii="Arial" w:eastAsia="Times New Roman" w:hAnsi="Arial" w:cs="Times New Roman"/>
          <w:b/>
          <w:color w:val="FFFFFF"/>
          <w:sz w:val="24"/>
        </w:rPr>
      </w:pPr>
      <w:bookmarkStart w:id="1091" w:name="AMC_31GB.43(c)_Fitting_factors"/>
      <w:bookmarkStart w:id="1092" w:name="_bookmark462"/>
      <w:bookmarkStart w:id="1093" w:name="_Toc153137626"/>
      <w:bookmarkEnd w:id="1091"/>
      <w:bookmarkEnd w:id="1092"/>
      <w:r w:rsidRPr="00DA71D9">
        <w:rPr>
          <w:rFonts w:ascii="Arial" w:eastAsia="Times New Roman" w:hAnsi="Arial" w:cs="Times New Roman"/>
          <w:b/>
          <w:color w:val="FFFFFF"/>
          <w:sz w:val="24"/>
        </w:rPr>
        <w:t>AMC 31GB.43(c) Fitting factors</w:t>
      </w:r>
      <w:bookmarkEnd w:id="1093"/>
    </w:p>
    <w:p w14:paraId="00B9C928" w14:textId="77777777" w:rsidR="00DA71D9" w:rsidRPr="00DA71D9" w:rsidRDefault="00DA71D9" w:rsidP="00DA71D9">
      <w:pPr>
        <w:spacing w:line="276" w:lineRule="auto"/>
        <w:jc w:val="both"/>
        <w:rPr>
          <w:rFonts w:ascii="Arial" w:hAnsi="Arial" w:cs="Arial"/>
          <w:sz w:val="20"/>
        </w:rPr>
      </w:pPr>
      <w:r w:rsidRPr="00DA71D9">
        <w:rPr>
          <w:rFonts w:ascii="Arial" w:hAnsi="Arial" w:cs="Arial"/>
          <w:sz w:val="20"/>
        </w:rPr>
        <w:t>Approved practices here should be taken as being those produced by the applicant or those meeting internationally recognised standards as defined in the applicable type design data. Approved practices should be those contained in documents accepted either specifically by the Agency or by having been prepared by an organisation or person which the Agency accepts has the necessary capabilities.</w:t>
      </w:r>
    </w:p>
    <w:p w14:paraId="7266B67B" w14:textId="77777777" w:rsidR="00DA71D9" w:rsidRPr="00DA71D9" w:rsidRDefault="00DA71D9" w:rsidP="00DA71D9">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094" w:name="CS_31GB.44_Protection_of_envelope_agains"/>
      <w:bookmarkStart w:id="1095" w:name="_bookmark463"/>
      <w:bookmarkStart w:id="1096" w:name="_Toc153137627"/>
      <w:bookmarkEnd w:id="1094"/>
      <w:bookmarkEnd w:id="1095"/>
      <w:r w:rsidRPr="00DA71D9">
        <w:rPr>
          <w:rFonts w:ascii="Arial" w:eastAsia="Times New Roman" w:hAnsi="Arial" w:cs="Times New Roman"/>
          <w:b/>
          <w:iCs/>
          <w:color w:val="FFFFFF"/>
          <w:sz w:val="24"/>
        </w:rPr>
        <w:t>CS 31GB.44 Protection of envelope against tearing</w:t>
      </w:r>
      <w:bookmarkEnd w:id="1096"/>
    </w:p>
    <w:p w14:paraId="69737A4D" w14:textId="77777777" w:rsidR="00DA71D9" w:rsidRPr="00DA71D9" w:rsidRDefault="00DA71D9" w:rsidP="00DA71D9">
      <w:pPr>
        <w:spacing w:line="276" w:lineRule="auto"/>
        <w:jc w:val="both"/>
        <w:rPr>
          <w:rFonts w:ascii="Arial" w:hAnsi="Arial" w:cs="Arial"/>
          <w:sz w:val="20"/>
        </w:rPr>
      </w:pPr>
      <w:r w:rsidRPr="00DA71D9">
        <w:rPr>
          <w:rFonts w:ascii="Arial" w:hAnsi="Arial" w:cs="Arial"/>
          <w:sz w:val="20"/>
        </w:rPr>
        <w:t>The design of the envelope must be such that, while supporting limit load, local damage will not grow to an extent that results in uncontrolled flight or landing.</w:t>
      </w:r>
    </w:p>
    <w:p w14:paraId="0E27DDD4" w14:textId="77777777" w:rsidR="00E45F21" w:rsidRPr="00E45F21" w:rsidRDefault="00E45F21" w:rsidP="00E45F21">
      <w:pPr>
        <w:keepNext/>
        <w:keepLines/>
        <w:widowControl/>
        <w:shd w:val="clear" w:color="auto" w:fill="ED7D31"/>
        <w:autoSpaceDE/>
        <w:autoSpaceDN/>
        <w:spacing w:before="160" w:after="120" w:line="276" w:lineRule="auto"/>
        <w:outlineLvl w:val="4"/>
        <w:rPr>
          <w:rFonts w:ascii="Arial" w:eastAsia="Times New Roman" w:hAnsi="Arial" w:cs="Times New Roman"/>
          <w:b/>
          <w:color w:val="FFFFFF"/>
          <w:sz w:val="24"/>
        </w:rPr>
      </w:pPr>
      <w:bookmarkStart w:id="1097" w:name="AMC_31GB.44_Protection_of_the_envelope_a"/>
      <w:bookmarkStart w:id="1098" w:name="_bookmark464"/>
      <w:bookmarkStart w:id="1099" w:name="_Toc153137628"/>
      <w:bookmarkEnd w:id="1097"/>
      <w:bookmarkEnd w:id="1098"/>
      <w:r w:rsidRPr="00E45F21">
        <w:rPr>
          <w:rFonts w:ascii="Arial" w:eastAsia="Times New Roman" w:hAnsi="Arial" w:cs="Times New Roman"/>
          <w:b/>
          <w:color w:val="FFFFFF"/>
          <w:sz w:val="24"/>
        </w:rPr>
        <w:t>AMC 31GB.44 Protection of the envelope against tearing</w:t>
      </w:r>
      <w:bookmarkEnd w:id="1099"/>
    </w:p>
    <w:p w14:paraId="2A75B92D" w14:textId="77777777" w:rsidR="00E45F21" w:rsidRPr="00E45F21" w:rsidRDefault="00E45F21" w:rsidP="00E45F21">
      <w:pPr>
        <w:spacing w:line="276" w:lineRule="auto"/>
        <w:jc w:val="both"/>
        <w:rPr>
          <w:rFonts w:ascii="Arial" w:hAnsi="Arial" w:cs="Arial"/>
          <w:sz w:val="20"/>
        </w:rPr>
      </w:pPr>
      <w:r w:rsidRPr="00E45F21">
        <w:rPr>
          <w:rFonts w:ascii="Arial" w:hAnsi="Arial" w:cs="Arial"/>
          <w:sz w:val="20"/>
        </w:rPr>
        <w:t>Demonstration of sufficient rip-stopping capability of the envelope material.</w:t>
      </w:r>
    </w:p>
    <w:p w14:paraId="014DBECE" w14:textId="77777777" w:rsidR="00E45F21" w:rsidRPr="00E45F21" w:rsidRDefault="00E45F21" w:rsidP="00E45F21">
      <w:pPr>
        <w:spacing w:line="276" w:lineRule="auto"/>
        <w:jc w:val="both"/>
        <w:rPr>
          <w:rFonts w:ascii="Arial" w:hAnsi="Arial" w:cs="Arial"/>
          <w:sz w:val="20"/>
        </w:rPr>
      </w:pPr>
      <w:r w:rsidRPr="00E45F21">
        <w:rPr>
          <w:rFonts w:ascii="Arial" w:hAnsi="Arial" w:cs="Arial"/>
          <w:sz w:val="20"/>
        </w:rPr>
        <w:t>The objective of this demonstration is to show that the envelope material is sufficiently damage resistant. It therefore needs to be determined at what tear size the envelope material would continue to tear under the maximum tension and conditions (temperature) experienced in normal operation. In this AMC this tear size is called the critical damage.</w:t>
      </w:r>
    </w:p>
    <w:p w14:paraId="1E9D94F1" w14:textId="77777777" w:rsidR="00E45F21" w:rsidRPr="00E45F21" w:rsidRDefault="00E45F21" w:rsidP="00E45F21">
      <w:pPr>
        <w:spacing w:line="276" w:lineRule="auto"/>
        <w:jc w:val="both"/>
        <w:rPr>
          <w:rFonts w:ascii="Arial" w:hAnsi="Arial" w:cs="Arial"/>
          <w:sz w:val="20"/>
        </w:rPr>
      </w:pPr>
      <w:r w:rsidRPr="00E45F21">
        <w:rPr>
          <w:rFonts w:ascii="Arial" w:hAnsi="Arial" w:cs="Arial"/>
          <w:sz w:val="20"/>
        </w:rPr>
        <w:t>In order to establish that the determined damage resistance is sufficient, the critical damage should be reviewed in relation to local damage foreseeable in normal operation.</w:t>
      </w:r>
    </w:p>
    <w:p w14:paraId="1E67AC8F" w14:textId="77777777" w:rsidR="00E45F21" w:rsidRPr="00E45F21" w:rsidRDefault="00E45F21" w:rsidP="00E45F21">
      <w:pPr>
        <w:spacing w:line="276" w:lineRule="auto"/>
        <w:jc w:val="both"/>
        <w:rPr>
          <w:rFonts w:ascii="Arial" w:hAnsi="Arial" w:cs="Arial"/>
          <w:sz w:val="20"/>
        </w:rPr>
      </w:pPr>
      <w:r w:rsidRPr="00E45F21">
        <w:rPr>
          <w:rFonts w:ascii="Arial" w:hAnsi="Arial" w:cs="Arial"/>
          <w:sz w:val="20"/>
        </w:rPr>
        <w:t>The local damages to be considered are:</w:t>
      </w:r>
    </w:p>
    <w:p w14:paraId="0A53A21D" w14:textId="77777777" w:rsidR="00E45F21" w:rsidRPr="00E45F21" w:rsidRDefault="00E45F21" w:rsidP="00E45F21">
      <w:pPr>
        <w:numPr>
          <w:ilvl w:val="0"/>
          <w:numId w:val="294"/>
        </w:numPr>
        <w:spacing w:line="276" w:lineRule="auto"/>
        <w:jc w:val="both"/>
        <w:rPr>
          <w:rFonts w:ascii="Arial" w:hAnsi="Arial" w:cs="Arial"/>
          <w:sz w:val="20"/>
        </w:rPr>
      </w:pPr>
      <w:r w:rsidRPr="00E45F21">
        <w:rPr>
          <w:rFonts w:ascii="Arial" w:hAnsi="Arial" w:cs="Arial"/>
          <w:sz w:val="20"/>
        </w:rPr>
        <w:t>existing damage that may be undetected during pre-flight inspection, and</w:t>
      </w:r>
    </w:p>
    <w:p w14:paraId="457ED830" w14:textId="77777777" w:rsidR="00E45F21" w:rsidRPr="00E45F21" w:rsidRDefault="00E45F21" w:rsidP="00E45F21">
      <w:pPr>
        <w:numPr>
          <w:ilvl w:val="0"/>
          <w:numId w:val="294"/>
        </w:numPr>
        <w:spacing w:line="276" w:lineRule="auto"/>
        <w:jc w:val="both"/>
        <w:rPr>
          <w:rFonts w:ascii="Arial" w:hAnsi="Arial" w:cs="Arial"/>
          <w:sz w:val="20"/>
        </w:rPr>
      </w:pPr>
      <w:r w:rsidRPr="00E45F21">
        <w:rPr>
          <w:rFonts w:ascii="Arial" w:hAnsi="Arial" w:cs="Arial"/>
          <w:sz w:val="20"/>
        </w:rPr>
        <w:t>limited damage, inflicted during flight where the size of the damage in itself would not result in a catastrophic failure (e.g. a limited damage caused by hitting a branch or other basket during take off).</w:t>
      </w:r>
    </w:p>
    <w:p w14:paraId="2E387AA0" w14:textId="77777777" w:rsidR="00E45F21" w:rsidRPr="00E45F21" w:rsidRDefault="00E45F21" w:rsidP="00E45F21">
      <w:pPr>
        <w:spacing w:line="276" w:lineRule="auto"/>
        <w:jc w:val="both"/>
        <w:rPr>
          <w:rFonts w:ascii="Arial" w:hAnsi="Arial" w:cs="Arial"/>
          <w:sz w:val="20"/>
        </w:rPr>
      </w:pPr>
      <w:r w:rsidRPr="00E45F21">
        <w:rPr>
          <w:rFonts w:ascii="Arial" w:hAnsi="Arial" w:cs="Arial"/>
          <w:sz w:val="20"/>
        </w:rPr>
        <w:t>The resistance of envelope fabric to damage propagation should be determined by a test.</w:t>
      </w:r>
    </w:p>
    <w:p w14:paraId="47C50B5D" w14:textId="77777777" w:rsidR="00E45F21" w:rsidRPr="00E45F21" w:rsidRDefault="00E45F21" w:rsidP="00E45F21">
      <w:pPr>
        <w:spacing w:line="276" w:lineRule="auto"/>
        <w:jc w:val="both"/>
        <w:rPr>
          <w:rFonts w:ascii="Arial" w:hAnsi="Arial" w:cs="Arial"/>
          <w:sz w:val="20"/>
        </w:rPr>
      </w:pPr>
      <w:r w:rsidRPr="00E45F21">
        <w:rPr>
          <w:rFonts w:ascii="Arial" w:hAnsi="Arial" w:cs="Arial"/>
          <w:sz w:val="20"/>
        </w:rPr>
        <w:t>Determine the critical damage to the envelope fabric at the maximum tension experienced in service. Critical damage is the maximum damage at which growth does not occur.</w:t>
      </w:r>
    </w:p>
    <w:p w14:paraId="6D51D450" w14:textId="77777777" w:rsidR="00E45F21" w:rsidRPr="00E45F21" w:rsidRDefault="00E45F21" w:rsidP="00E45F21">
      <w:pPr>
        <w:spacing w:line="276" w:lineRule="auto"/>
        <w:jc w:val="both"/>
        <w:rPr>
          <w:rFonts w:ascii="Arial" w:hAnsi="Arial" w:cs="Arial"/>
          <w:sz w:val="20"/>
        </w:rPr>
      </w:pPr>
      <w:r w:rsidRPr="00E45F21">
        <w:rPr>
          <w:rFonts w:ascii="Arial" w:hAnsi="Arial" w:cs="Arial"/>
          <w:sz w:val="20"/>
        </w:rPr>
        <w:t>Damages to be considered are:</w:t>
      </w:r>
    </w:p>
    <w:p w14:paraId="774ADF9E" w14:textId="77777777" w:rsidR="00E45F21" w:rsidRPr="00E45F21" w:rsidRDefault="00E45F21" w:rsidP="00E45F21">
      <w:pPr>
        <w:numPr>
          <w:ilvl w:val="0"/>
          <w:numId w:val="294"/>
        </w:numPr>
        <w:spacing w:line="276" w:lineRule="auto"/>
        <w:jc w:val="both"/>
        <w:rPr>
          <w:rFonts w:ascii="Arial" w:hAnsi="Arial" w:cs="Arial"/>
          <w:sz w:val="20"/>
        </w:rPr>
      </w:pPr>
      <w:r w:rsidRPr="00E45F21">
        <w:rPr>
          <w:rFonts w:ascii="Arial" w:hAnsi="Arial" w:cs="Arial"/>
          <w:sz w:val="20"/>
        </w:rPr>
        <w:t>a slit in the most unfavourable direction;</w:t>
      </w:r>
    </w:p>
    <w:p w14:paraId="0E71B998" w14:textId="77777777" w:rsidR="00E45F21" w:rsidRPr="00E45F21" w:rsidRDefault="00E45F21" w:rsidP="00E45F21">
      <w:pPr>
        <w:numPr>
          <w:ilvl w:val="0"/>
          <w:numId w:val="294"/>
        </w:numPr>
        <w:spacing w:line="276" w:lineRule="auto"/>
        <w:jc w:val="both"/>
        <w:rPr>
          <w:rFonts w:ascii="Arial" w:hAnsi="Arial" w:cs="Arial"/>
          <w:sz w:val="20"/>
        </w:rPr>
      </w:pPr>
      <w:r w:rsidRPr="00E45F21">
        <w:rPr>
          <w:rFonts w:ascii="Arial" w:hAnsi="Arial" w:cs="Arial"/>
          <w:sz w:val="20"/>
        </w:rPr>
        <w:t xml:space="preserve">a crosswise slit in the most unfavourable directions. </w:t>
      </w:r>
      <w:r w:rsidRPr="00E45F21">
        <w:rPr>
          <w:rFonts w:ascii="Arial" w:hAnsi="Arial" w:cs="Arial"/>
          <w:sz w:val="20"/>
          <w:u w:val="single"/>
        </w:rPr>
        <w:t>Test requirements</w:t>
      </w:r>
    </w:p>
    <w:p w14:paraId="3BE9C62C" w14:textId="77777777" w:rsidR="00E45F21" w:rsidRPr="00E45F21" w:rsidRDefault="00E45F21" w:rsidP="00E45F21">
      <w:pPr>
        <w:spacing w:line="276" w:lineRule="auto"/>
        <w:jc w:val="both"/>
        <w:rPr>
          <w:rFonts w:ascii="Arial" w:hAnsi="Arial" w:cs="Arial"/>
          <w:sz w:val="20"/>
        </w:rPr>
      </w:pPr>
      <w:r w:rsidRPr="00E45F21">
        <w:rPr>
          <w:rFonts w:ascii="Arial" w:hAnsi="Arial" w:cs="Arial"/>
          <w:sz w:val="20"/>
        </w:rPr>
        <w:t>The envelope fabric should be tested at maximum tension experienced in service. The effects of temperature on the material properties must be taken into account.</w:t>
      </w:r>
    </w:p>
    <w:p w14:paraId="12646A8B" w14:textId="77777777" w:rsidR="00E45F21" w:rsidRPr="00E45F21" w:rsidRDefault="00E45F21" w:rsidP="00E45F21">
      <w:pPr>
        <w:spacing w:line="276" w:lineRule="auto"/>
        <w:jc w:val="both"/>
        <w:rPr>
          <w:rFonts w:ascii="Arial" w:hAnsi="Arial" w:cs="Arial"/>
          <w:sz w:val="20"/>
        </w:rPr>
      </w:pPr>
      <w:r w:rsidRPr="00E45F21">
        <w:rPr>
          <w:rFonts w:ascii="Arial" w:hAnsi="Arial" w:cs="Arial"/>
          <w:sz w:val="20"/>
        </w:rPr>
        <w:lastRenderedPageBreak/>
        <w:t xml:space="preserve">The tension in the test area of the specimen of the fabric should be equal to the maximum tension experienced in service and the test </w:t>
      </w:r>
      <w:r w:rsidRPr="00E45F21">
        <w:rPr>
          <w:rFonts w:ascii="Arial" w:hAnsi="Arial" w:cs="Arial"/>
          <w:sz w:val="20"/>
          <w:u w:val="single"/>
        </w:rPr>
        <w:t>method</w:t>
      </w:r>
      <w:r w:rsidRPr="00E45F21">
        <w:rPr>
          <w:rFonts w:ascii="Arial" w:hAnsi="Arial" w:cs="Arial"/>
          <w:sz w:val="20"/>
        </w:rPr>
        <w:t xml:space="preserve"> should not create unacceptable tension re-distributions in the test area when the test is conducted.</w:t>
      </w:r>
    </w:p>
    <w:p w14:paraId="315800D5" w14:textId="77777777" w:rsidR="00E45F21" w:rsidRPr="00E45F21" w:rsidRDefault="00E45F21" w:rsidP="00E45F21">
      <w:pPr>
        <w:spacing w:line="276" w:lineRule="auto"/>
        <w:jc w:val="both"/>
        <w:rPr>
          <w:rFonts w:ascii="Arial" w:hAnsi="Arial" w:cs="Arial"/>
          <w:sz w:val="20"/>
        </w:rPr>
      </w:pPr>
      <w:r w:rsidRPr="00E45F21">
        <w:rPr>
          <w:rFonts w:ascii="Arial" w:hAnsi="Arial" w:cs="Arial"/>
          <w:sz w:val="20"/>
        </w:rPr>
        <w:t>A step-wise increase of the damage (e.g. a cut with a sharp knife) should be used to determine the critical damage size.</w:t>
      </w:r>
    </w:p>
    <w:p w14:paraId="1824B6E9" w14:textId="77777777" w:rsidR="00E45F21" w:rsidRPr="00E45F21" w:rsidRDefault="00E45F21" w:rsidP="00E45F21">
      <w:pPr>
        <w:spacing w:line="276" w:lineRule="auto"/>
        <w:jc w:val="both"/>
        <w:rPr>
          <w:rFonts w:ascii="Arial" w:hAnsi="Arial" w:cs="Arial"/>
          <w:sz w:val="20"/>
        </w:rPr>
      </w:pPr>
      <w:r w:rsidRPr="00E45F21">
        <w:rPr>
          <w:rFonts w:ascii="Arial" w:hAnsi="Arial" w:cs="Arial"/>
          <w:sz w:val="20"/>
        </w:rPr>
        <w:t>Between the step-wise increase of the damage, enough time should be permitted for the tension re- distribution at the damage location.</w:t>
      </w:r>
    </w:p>
    <w:p w14:paraId="5389BFB7" w14:textId="77777777" w:rsidR="00E45F21" w:rsidRPr="00E45F21" w:rsidRDefault="00E45F21" w:rsidP="00E45F21">
      <w:pPr>
        <w:spacing w:line="276" w:lineRule="auto"/>
        <w:jc w:val="both"/>
        <w:rPr>
          <w:rFonts w:ascii="Arial" w:hAnsi="Arial" w:cs="Arial"/>
          <w:sz w:val="20"/>
        </w:rPr>
      </w:pPr>
      <w:r w:rsidRPr="00E45F21">
        <w:rPr>
          <w:rFonts w:ascii="Arial" w:hAnsi="Arial" w:cs="Arial"/>
          <w:noProof/>
          <w:sz w:val="20"/>
        </w:rPr>
        <w:drawing>
          <wp:anchor distT="0" distB="0" distL="0" distR="0" simplePos="0" relativeHeight="251678720" behindDoc="0" locked="0" layoutInCell="1" allowOverlap="1" wp14:anchorId="6325DFC7" wp14:editId="3F06B61A">
            <wp:simplePos x="0" y="0"/>
            <wp:positionH relativeFrom="page">
              <wp:posOffset>914400</wp:posOffset>
            </wp:positionH>
            <wp:positionV relativeFrom="paragraph">
              <wp:posOffset>324023</wp:posOffset>
            </wp:positionV>
            <wp:extent cx="5656373" cy="3260216"/>
            <wp:effectExtent l="0" t="0" r="0" b="0"/>
            <wp:wrapTopAndBottom/>
            <wp:docPr id="3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5.jpeg"/>
                    <pic:cNvPicPr/>
                  </pic:nvPicPr>
                  <pic:blipFill>
                    <a:blip r:embed="rId145" cstate="print"/>
                    <a:stretch>
                      <a:fillRect/>
                    </a:stretch>
                  </pic:blipFill>
                  <pic:spPr>
                    <a:xfrm>
                      <a:off x="0" y="0"/>
                      <a:ext cx="5656373" cy="3260216"/>
                    </a:xfrm>
                    <a:prstGeom prst="rect">
                      <a:avLst/>
                    </a:prstGeom>
                  </pic:spPr>
                </pic:pic>
              </a:graphicData>
            </a:graphic>
          </wp:anchor>
        </w:drawing>
      </w:r>
      <w:r w:rsidRPr="00E45F21">
        <w:rPr>
          <w:rFonts w:ascii="Arial" w:hAnsi="Arial" w:cs="Arial"/>
          <w:sz w:val="20"/>
        </w:rPr>
        <w:t>The critical damage length of the material should be recorded.</w:t>
      </w:r>
    </w:p>
    <w:p w14:paraId="668CBCB9" w14:textId="77777777" w:rsidR="00E45F21" w:rsidRPr="00E45F21" w:rsidRDefault="00E45F21" w:rsidP="00E45F21">
      <w:pPr>
        <w:spacing w:line="276" w:lineRule="auto"/>
        <w:jc w:val="both"/>
        <w:rPr>
          <w:rFonts w:ascii="Arial" w:hAnsi="Arial" w:cs="Arial"/>
          <w:b/>
          <w:i/>
          <w:sz w:val="20"/>
        </w:rPr>
      </w:pPr>
      <w:r w:rsidRPr="00E45F21">
        <w:rPr>
          <w:rFonts w:ascii="Arial" w:hAnsi="Arial" w:cs="Arial"/>
          <w:b/>
          <w:i/>
          <w:sz w:val="20"/>
        </w:rPr>
        <w:t>Examples of a circular or 2-directional test set-up</w:t>
      </w:r>
    </w:p>
    <w:p w14:paraId="4030FEF7" w14:textId="77777777" w:rsidR="00E45F21" w:rsidRPr="00E45F21" w:rsidRDefault="00E45F21" w:rsidP="00E45F21">
      <w:pPr>
        <w:spacing w:line="276" w:lineRule="auto"/>
        <w:jc w:val="both"/>
        <w:rPr>
          <w:rFonts w:ascii="Arial" w:hAnsi="Arial" w:cs="Arial"/>
          <w:sz w:val="20"/>
        </w:rPr>
      </w:pPr>
      <w:r w:rsidRPr="00E45F21">
        <w:rPr>
          <w:rFonts w:ascii="Arial" w:hAnsi="Arial" w:cs="Arial"/>
          <w:sz w:val="20"/>
          <w:u w:val="single"/>
        </w:rPr>
        <w:t>Pre-flight inspection requirements</w:t>
      </w:r>
    </w:p>
    <w:p w14:paraId="32B229F1" w14:textId="77777777" w:rsidR="00E45F21" w:rsidRPr="00E45F21" w:rsidRDefault="00E45F21" w:rsidP="00E45F21">
      <w:pPr>
        <w:spacing w:line="276" w:lineRule="auto"/>
        <w:jc w:val="both"/>
        <w:rPr>
          <w:rFonts w:ascii="Arial" w:hAnsi="Arial" w:cs="Arial"/>
          <w:sz w:val="20"/>
        </w:rPr>
      </w:pPr>
      <w:r w:rsidRPr="00E45F21">
        <w:rPr>
          <w:rFonts w:ascii="Arial" w:hAnsi="Arial" w:cs="Arial"/>
          <w:sz w:val="20"/>
        </w:rPr>
        <w:t>The design of the envelope and pre-flight inspection method should be such that a damage length considerably smaller than the critical damage length will be discovered during a pre-flight inspection. The impact of aging and operating circumstances should be considered when establishing the margin between critical damage and detectable damage. (Refer to CS 31GB.27(g))</w:t>
      </w:r>
    </w:p>
    <w:p w14:paraId="77FFBEB7" w14:textId="77777777" w:rsidR="00E45F21" w:rsidRPr="00E45F21" w:rsidRDefault="00E45F21" w:rsidP="00E45F21">
      <w:pPr>
        <w:spacing w:line="276" w:lineRule="auto"/>
        <w:jc w:val="both"/>
        <w:rPr>
          <w:rFonts w:ascii="Arial" w:hAnsi="Arial" w:cs="Arial"/>
          <w:sz w:val="20"/>
        </w:rPr>
      </w:pPr>
      <w:r w:rsidRPr="00E45F21">
        <w:rPr>
          <w:rFonts w:ascii="Arial" w:hAnsi="Arial" w:cs="Arial"/>
          <w:sz w:val="20"/>
        </w:rPr>
        <w:t>Design features that could possibly hinder discovery of damage during a pre-flight inspection should be avoided or taken into consideration when the detectable damage size is determined.</w:t>
      </w:r>
    </w:p>
    <w:p w14:paraId="29446D37" w14:textId="77777777" w:rsidR="00E45F21" w:rsidRPr="00E45F21" w:rsidRDefault="00E45F21" w:rsidP="00E45F21">
      <w:pPr>
        <w:spacing w:line="276" w:lineRule="auto"/>
        <w:jc w:val="both"/>
        <w:rPr>
          <w:rFonts w:ascii="Arial" w:hAnsi="Arial" w:cs="Arial"/>
          <w:i/>
          <w:sz w:val="20"/>
        </w:rPr>
      </w:pPr>
      <w:r w:rsidRPr="00E45F21">
        <w:rPr>
          <w:rFonts w:ascii="Arial" w:hAnsi="Arial" w:cs="Arial"/>
          <w:i/>
          <w:sz w:val="20"/>
        </w:rPr>
        <w:t>Note 1: It is assumed that an envelope damage exceeding 5 cm will be detected before flight due to the loss of gas.</w:t>
      </w:r>
    </w:p>
    <w:p w14:paraId="411E9ED6" w14:textId="77777777" w:rsidR="00E45F21" w:rsidRPr="00E45F21" w:rsidRDefault="00E45F21" w:rsidP="00E45F21">
      <w:pPr>
        <w:spacing w:line="276" w:lineRule="auto"/>
        <w:jc w:val="both"/>
        <w:rPr>
          <w:rFonts w:ascii="Arial" w:hAnsi="Arial" w:cs="Arial"/>
          <w:i/>
          <w:sz w:val="20"/>
        </w:rPr>
      </w:pPr>
      <w:r w:rsidRPr="00E45F21">
        <w:rPr>
          <w:rFonts w:ascii="Arial" w:hAnsi="Arial" w:cs="Arial"/>
          <w:i/>
          <w:sz w:val="20"/>
        </w:rPr>
        <w:t>Note 2: The critical damage is a design property that should not be confused with acceptable damage as provided in the flight manual.</w:t>
      </w:r>
    </w:p>
    <w:p w14:paraId="4EC05900" w14:textId="77777777" w:rsidR="00E3417B" w:rsidRPr="00E3417B" w:rsidRDefault="00E3417B" w:rsidP="00E3417B">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100" w:name="_Toc153137629"/>
      <w:r w:rsidRPr="00E3417B">
        <w:rPr>
          <w:rFonts w:ascii="Arial" w:eastAsia="Times New Roman" w:hAnsi="Arial" w:cs="Times New Roman"/>
          <w:b/>
          <w:iCs/>
          <w:color w:val="FFFFFF"/>
          <w:sz w:val="24"/>
        </w:rPr>
        <w:t>CS 31GB.49 Control systems</w:t>
      </w:r>
      <w:bookmarkEnd w:id="1100"/>
      <w:r w:rsidRPr="00E3417B">
        <w:rPr>
          <w:rFonts w:ascii="Arial" w:eastAsia="Times New Roman" w:hAnsi="Arial" w:cs="Times New Roman"/>
          <w:b/>
          <w:iCs/>
          <w:color w:val="FFFFFF"/>
          <w:sz w:val="24"/>
        </w:rPr>
        <w:tab/>
      </w:r>
    </w:p>
    <w:p w14:paraId="442325FF" w14:textId="77777777" w:rsidR="00E3417B" w:rsidRPr="00E3417B" w:rsidRDefault="00E3417B" w:rsidP="00E3417B">
      <w:pPr>
        <w:numPr>
          <w:ilvl w:val="0"/>
          <w:numId w:val="356"/>
        </w:numPr>
        <w:spacing w:line="276" w:lineRule="auto"/>
        <w:jc w:val="both"/>
        <w:rPr>
          <w:rFonts w:ascii="Arial" w:hAnsi="Arial" w:cs="Arial"/>
          <w:sz w:val="20"/>
        </w:rPr>
      </w:pPr>
      <w:r w:rsidRPr="00E3417B">
        <w:rPr>
          <w:rFonts w:ascii="Arial" w:hAnsi="Arial" w:cs="Arial"/>
          <w:sz w:val="20"/>
        </w:rPr>
        <w:t>Each control must operate easily, smoothly, and positively enough to allow proper performance of its functions. Controls must be so arranged and identified to prevent confusion and inadvertent operation.</w:t>
      </w:r>
    </w:p>
    <w:p w14:paraId="13758F0A" w14:textId="77777777" w:rsidR="00E3417B" w:rsidRPr="00E3417B" w:rsidRDefault="00E3417B" w:rsidP="00E3417B">
      <w:pPr>
        <w:numPr>
          <w:ilvl w:val="0"/>
          <w:numId w:val="356"/>
        </w:numPr>
        <w:spacing w:line="276" w:lineRule="auto"/>
        <w:jc w:val="both"/>
        <w:rPr>
          <w:rFonts w:ascii="Arial" w:hAnsi="Arial" w:cs="Arial"/>
          <w:sz w:val="20"/>
        </w:rPr>
      </w:pPr>
      <w:r w:rsidRPr="00E3417B">
        <w:rPr>
          <w:rFonts w:ascii="Arial" w:hAnsi="Arial" w:cs="Arial"/>
          <w:sz w:val="20"/>
        </w:rPr>
        <w:t>Each control system and operating device must be designed and installed in a manner that will prevent jamming, chafing, or unintended interference from passengers or loose items of equipment. The elements of the control system must have design features or must be distinctly and permanently marked to minimise the possibility of incorrect assembly that could result in malfunctioning of the control system.</w:t>
      </w:r>
    </w:p>
    <w:p w14:paraId="1FFD3F96" w14:textId="77777777" w:rsidR="00E3417B" w:rsidRPr="00E3417B" w:rsidRDefault="00E3417B" w:rsidP="00E3417B">
      <w:pPr>
        <w:numPr>
          <w:ilvl w:val="0"/>
          <w:numId w:val="356"/>
        </w:numPr>
        <w:spacing w:line="276" w:lineRule="auto"/>
        <w:jc w:val="both"/>
        <w:rPr>
          <w:rFonts w:ascii="Arial" w:hAnsi="Arial" w:cs="Arial"/>
          <w:sz w:val="20"/>
        </w:rPr>
      </w:pPr>
      <w:r w:rsidRPr="00E3417B">
        <w:rPr>
          <w:rFonts w:ascii="Arial" w:hAnsi="Arial" w:cs="Arial"/>
          <w:sz w:val="20"/>
        </w:rPr>
        <w:t>The envelope must be protected against bursting using a valve or appendix.</w:t>
      </w:r>
    </w:p>
    <w:p w14:paraId="517D25DF" w14:textId="77777777" w:rsidR="00E3417B" w:rsidRDefault="00E3417B" w:rsidP="00E3417B">
      <w:pPr>
        <w:numPr>
          <w:ilvl w:val="0"/>
          <w:numId w:val="356"/>
        </w:numPr>
        <w:spacing w:line="276" w:lineRule="auto"/>
        <w:jc w:val="both"/>
        <w:rPr>
          <w:rFonts w:ascii="Arial" w:hAnsi="Arial" w:cs="Arial"/>
          <w:sz w:val="20"/>
        </w:rPr>
      </w:pPr>
      <w:r w:rsidRPr="00E3417B">
        <w:rPr>
          <w:rFonts w:ascii="Arial" w:hAnsi="Arial" w:cs="Arial"/>
          <w:sz w:val="20"/>
        </w:rPr>
        <w:t>There must be a valve to control the flight of the balloon. Proof of its reliable operation must be provided.</w:t>
      </w:r>
    </w:p>
    <w:p w14:paraId="4922C7AF" w14:textId="77777777" w:rsidR="007D677B" w:rsidRDefault="007D677B" w:rsidP="007D677B">
      <w:pPr>
        <w:spacing w:line="276" w:lineRule="auto"/>
        <w:jc w:val="both"/>
        <w:rPr>
          <w:rFonts w:ascii="Arial" w:hAnsi="Arial" w:cs="Arial"/>
          <w:sz w:val="20"/>
        </w:rPr>
      </w:pPr>
    </w:p>
    <w:p w14:paraId="56535F16" w14:textId="77777777" w:rsidR="007D677B" w:rsidRDefault="007D677B" w:rsidP="007D677B">
      <w:pPr>
        <w:spacing w:line="276" w:lineRule="auto"/>
        <w:jc w:val="both"/>
        <w:rPr>
          <w:rFonts w:ascii="Arial" w:hAnsi="Arial" w:cs="Arial"/>
          <w:sz w:val="20"/>
        </w:rPr>
      </w:pPr>
    </w:p>
    <w:p w14:paraId="5773B904" w14:textId="77777777" w:rsidR="007D677B" w:rsidRDefault="007D677B" w:rsidP="007D677B">
      <w:pPr>
        <w:spacing w:line="276" w:lineRule="auto"/>
        <w:jc w:val="both"/>
        <w:rPr>
          <w:rFonts w:ascii="Arial" w:hAnsi="Arial" w:cs="Arial"/>
          <w:sz w:val="20"/>
        </w:rPr>
      </w:pPr>
    </w:p>
    <w:p w14:paraId="0D8DA91F" w14:textId="77777777" w:rsidR="00714002" w:rsidRPr="00714002" w:rsidRDefault="00714002" w:rsidP="00714002">
      <w:pPr>
        <w:keepNext/>
        <w:keepLines/>
        <w:widowControl/>
        <w:shd w:val="clear" w:color="auto" w:fill="ED7D31"/>
        <w:autoSpaceDE/>
        <w:autoSpaceDN/>
        <w:spacing w:before="160" w:after="120" w:line="276" w:lineRule="auto"/>
        <w:outlineLvl w:val="4"/>
        <w:rPr>
          <w:rFonts w:ascii="Arial" w:eastAsia="Times New Roman" w:hAnsi="Arial" w:cs="Times New Roman"/>
          <w:b/>
          <w:color w:val="FFFFFF"/>
          <w:sz w:val="24"/>
        </w:rPr>
      </w:pPr>
      <w:bookmarkStart w:id="1101" w:name="AMC_31GB.49(c)_Control_systems"/>
      <w:bookmarkStart w:id="1102" w:name="_bookmark466"/>
      <w:bookmarkStart w:id="1103" w:name="_Toc153137630"/>
      <w:bookmarkEnd w:id="1101"/>
      <w:bookmarkEnd w:id="1102"/>
      <w:r w:rsidRPr="00714002">
        <w:rPr>
          <w:rFonts w:ascii="Arial" w:eastAsia="Times New Roman" w:hAnsi="Arial" w:cs="Times New Roman"/>
          <w:b/>
          <w:color w:val="FFFFFF"/>
          <w:sz w:val="24"/>
        </w:rPr>
        <w:lastRenderedPageBreak/>
        <w:t>AMC 31GB.49(c) Control systems</w:t>
      </w:r>
      <w:bookmarkEnd w:id="1103"/>
    </w:p>
    <w:p w14:paraId="0E9DB580" w14:textId="77777777" w:rsidR="007D677B" w:rsidRPr="00E3417B" w:rsidRDefault="00714002" w:rsidP="007D677B">
      <w:pPr>
        <w:spacing w:line="276" w:lineRule="auto"/>
        <w:jc w:val="both"/>
        <w:rPr>
          <w:rFonts w:ascii="Arial" w:hAnsi="Arial" w:cs="Arial"/>
          <w:sz w:val="20"/>
        </w:rPr>
      </w:pPr>
      <w:r w:rsidRPr="00714002">
        <w:rPr>
          <w:rFonts w:ascii="Arial" w:hAnsi="Arial" w:cs="Arial"/>
          <w:sz w:val="20"/>
        </w:rPr>
        <w:t>The envelope is protected against bursting when it is equipped with an appendix or valve that can automatically release gas at the rate of at least 3% of the total volume per minute at the balloon’s maximum operating pressure. The appendix or valve should be designed to prevent possible blockage during flight due to e.g. freezing, jamming or a reduction of the outflow opening due to deflection of the envelope and/or the outflow opening.</w:t>
      </w:r>
    </w:p>
    <w:p w14:paraId="53489B8F" w14:textId="77777777" w:rsidR="001D3E6B" w:rsidRPr="001D3E6B" w:rsidRDefault="001D3E6B" w:rsidP="001D3E6B">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104" w:name="CS_31GB.51_Disposable_ballast"/>
      <w:bookmarkStart w:id="1105" w:name="_bookmark467"/>
      <w:bookmarkStart w:id="1106" w:name="_Toc153137631"/>
      <w:bookmarkEnd w:id="1104"/>
      <w:bookmarkEnd w:id="1105"/>
      <w:r w:rsidRPr="001D3E6B">
        <w:rPr>
          <w:rFonts w:ascii="Arial" w:eastAsia="Times New Roman" w:hAnsi="Arial" w:cs="Times New Roman"/>
          <w:b/>
          <w:iCs/>
          <w:color w:val="FFFFFF"/>
          <w:sz w:val="24"/>
        </w:rPr>
        <w:t>CS 31GB.51 Disposable ballast</w:t>
      </w:r>
      <w:bookmarkEnd w:id="1106"/>
    </w:p>
    <w:p w14:paraId="23848F4C" w14:textId="77777777" w:rsidR="001D3E6B" w:rsidRPr="001D3E6B" w:rsidRDefault="001D3E6B" w:rsidP="00AB16A5">
      <w:pPr>
        <w:numPr>
          <w:ilvl w:val="0"/>
          <w:numId w:val="357"/>
        </w:numPr>
        <w:jc w:val="both"/>
        <w:rPr>
          <w:rFonts w:ascii="Arial" w:hAnsi="Arial" w:cs="Arial"/>
          <w:sz w:val="20"/>
        </w:rPr>
      </w:pPr>
      <w:r w:rsidRPr="001D3E6B">
        <w:rPr>
          <w:rFonts w:ascii="Arial" w:hAnsi="Arial" w:cs="Arial"/>
          <w:sz w:val="20"/>
        </w:rPr>
        <w:t>Disposable ballast must have means for safe storage and release. (See also CS 31GB.27(e))</w:t>
      </w:r>
    </w:p>
    <w:p w14:paraId="2F7A21FD" w14:textId="77777777" w:rsidR="001D3E6B" w:rsidRPr="001D3E6B" w:rsidRDefault="001D3E6B" w:rsidP="00AB16A5">
      <w:pPr>
        <w:numPr>
          <w:ilvl w:val="0"/>
          <w:numId w:val="357"/>
        </w:numPr>
        <w:jc w:val="both"/>
        <w:rPr>
          <w:rFonts w:ascii="Arial" w:hAnsi="Arial" w:cs="Arial"/>
          <w:sz w:val="20"/>
        </w:rPr>
      </w:pPr>
      <w:r w:rsidRPr="001D3E6B">
        <w:rPr>
          <w:rFonts w:ascii="Arial" w:hAnsi="Arial" w:cs="Arial"/>
          <w:sz w:val="20"/>
        </w:rPr>
        <w:t>A minimum amount of ballast must be defined and reserved for the final landing which is sufficient (when jettisoned) to reduce the speed of descent to an acceptable value. The minimum ballast must be provided in the Flight Manual. (See CS 31GB.81(b)(2))</w:t>
      </w:r>
    </w:p>
    <w:p w14:paraId="7B76B668" w14:textId="77777777" w:rsidR="005C2384" w:rsidRPr="005C2384" w:rsidRDefault="005C2384" w:rsidP="005C2384">
      <w:pPr>
        <w:keepNext/>
        <w:keepLines/>
        <w:widowControl/>
        <w:shd w:val="clear" w:color="auto" w:fill="ED7D31"/>
        <w:autoSpaceDE/>
        <w:autoSpaceDN/>
        <w:spacing w:before="160" w:after="120" w:line="276" w:lineRule="auto"/>
        <w:outlineLvl w:val="4"/>
        <w:rPr>
          <w:rFonts w:ascii="Arial" w:eastAsia="Times New Roman" w:hAnsi="Arial" w:cs="Times New Roman"/>
          <w:b/>
          <w:color w:val="FFFFFF"/>
          <w:sz w:val="24"/>
        </w:rPr>
      </w:pPr>
      <w:bookmarkStart w:id="1107" w:name="AMC_31GB.51_Disposable_Ballast"/>
      <w:bookmarkStart w:id="1108" w:name="_bookmark468"/>
      <w:bookmarkStart w:id="1109" w:name="_Toc153137632"/>
      <w:bookmarkEnd w:id="1107"/>
      <w:bookmarkEnd w:id="1108"/>
      <w:r w:rsidRPr="005C2384">
        <w:rPr>
          <w:rFonts w:ascii="Arial" w:eastAsia="Times New Roman" w:hAnsi="Arial" w:cs="Times New Roman"/>
          <w:b/>
          <w:color w:val="FFFFFF"/>
          <w:sz w:val="24"/>
        </w:rPr>
        <w:t>AMC 31GB.51 Disposable Ballast</w:t>
      </w:r>
      <w:bookmarkEnd w:id="1109"/>
    </w:p>
    <w:p w14:paraId="1440A946" w14:textId="77777777" w:rsidR="005C2384" w:rsidRPr="005C2384" w:rsidRDefault="005C2384" w:rsidP="005C2384">
      <w:pPr>
        <w:spacing w:line="276" w:lineRule="auto"/>
        <w:jc w:val="both"/>
        <w:rPr>
          <w:rFonts w:ascii="Arial" w:hAnsi="Arial" w:cs="Arial"/>
          <w:sz w:val="20"/>
        </w:rPr>
      </w:pPr>
      <w:r w:rsidRPr="005C2384">
        <w:rPr>
          <w:rFonts w:ascii="Arial" w:hAnsi="Arial" w:cs="Arial"/>
          <w:sz w:val="20"/>
        </w:rPr>
        <w:t>Ballast material should be easily transferred, disposed of and dissipated. Means need to be provided to prevent freezing and/or blocking the release of the ballast material. The material should not pollute the environment.</w:t>
      </w:r>
    </w:p>
    <w:p w14:paraId="0FAA8EB7" w14:textId="77777777" w:rsidR="005C2384" w:rsidRPr="005C2384" w:rsidRDefault="005C2384" w:rsidP="005C2384">
      <w:pPr>
        <w:spacing w:line="276" w:lineRule="auto"/>
        <w:jc w:val="both"/>
        <w:rPr>
          <w:rFonts w:ascii="Arial" w:hAnsi="Arial" w:cs="Arial"/>
          <w:sz w:val="20"/>
        </w:rPr>
      </w:pPr>
      <w:r w:rsidRPr="005C2384">
        <w:rPr>
          <w:rFonts w:ascii="Arial" w:hAnsi="Arial" w:cs="Arial"/>
          <w:sz w:val="20"/>
        </w:rPr>
        <w:t>Dry sand is a well-proven material and is considered as suitable in the sense of this paragraph and this AMC.</w:t>
      </w:r>
    </w:p>
    <w:p w14:paraId="1D31C35F" w14:textId="77777777" w:rsidR="005C2384" w:rsidRPr="005C2384" w:rsidRDefault="005C2384" w:rsidP="005C2384">
      <w:pPr>
        <w:spacing w:line="276" w:lineRule="auto"/>
        <w:jc w:val="both"/>
        <w:rPr>
          <w:rFonts w:ascii="Arial" w:hAnsi="Arial" w:cs="Arial"/>
          <w:sz w:val="20"/>
        </w:rPr>
      </w:pPr>
      <w:r w:rsidRPr="005C2384">
        <w:rPr>
          <w:rFonts w:ascii="Arial" w:hAnsi="Arial" w:cs="Arial"/>
          <w:sz w:val="20"/>
        </w:rPr>
        <w:t>The disposable ballast may be necessary for the pilot to perform the flight path management. The pre- take-off decision on the amount of disposable ballast should be left to the pilot as it is dependent on the flight task, the weather, etc.</w:t>
      </w:r>
    </w:p>
    <w:p w14:paraId="1920D287" w14:textId="77777777" w:rsidR="005C2384" w:rsidRPr="005C2384" w:rsidRDefault="005C2384" w:rsidP="005C2384">
      <w:pPr>
        <w:spacing w:line="276" w:lineRule="auto"/>
        <w:jc w:val="both"/>
        <w:rPr>
          <w:rFonts w:ascii="Arial" w:hAnsi="Arial" w:cs="Arial"/>
          <w:sz w:val="20"/>
        </w:rPr>
      </w:pPr>
      <w:r w:rsidRPr="005C2384">
        <w:rPr>
          <w:rFonts w:ascii="Arial" w:hAnsi="Arial" w:cs="Arial"/>
          <w:sz w:val="20"/>
        </w:rPr>
        <w:t>A minimum ballast quantity is considered sufficient if, when jettisoned, it stops a descent speed of 4 m/s.</w:t>
      </w:r>
    </w:p>
    <w:p w14:paraId="1B3955AB" w14:textId="77777777" w:rsidR="005C2384" w:rsidRPr="005C2384" w:rsidRDefault="005C2384" w:rsidP="005C2384">
      <w:pPr>
        <w:spacing w:line="276" w:lineRule="auto"/>
        <w:jc w:val="both"/>
        <w:rPr>
          <w:rFonts w:ascii="Arial" w:hAnsi="Arial" w:cs="Arial"/>
          <w:i/>
          <w:sz w:val="20"/>
        </w:rPr>
      </w:pPr>
      <w:r w:rsidRPr="005C2384">
        <w:rPr>
          <w:rFonts w:ascii="Arial" w:hAnsi="Arial" w:cs="Arial"/>
          <w:i/>
          <w:sz w:val="20"/>
          <w:u w:val="single"/>
        </w:rPr>
        <w:t>Note</w:t>
      </w:r>
      <w:r w:rsidRPr="005C2384">
        <w:rPr>
          <w:rFonts w:ascii="Arial" w:hAnsi="Arial" w:cs="Arial"/>
          <w:i/>
          <w:sz w:val="20"/>
        </w:rPr>
        <w:t>: The shape and drag of the envelope can have an effect on minimum descent speed, resulting in a minimum descent speed above 4 m/s.</w:t>
      </w:r>
    </w:p>
    <w:p w14:paraId="019845AF" w14:textId="77777777" w:rsidR="005C2384" w:rsidRPr="005C2384" w:rsidRDefault="005C2384" w:rsidP="005C2384">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110" w:name="CS_31GB.53_Drag_rope"/>
      <w:bookmarkStart w:id="1111" w:name="_bookmark469"/>
      <w:bookmarkStart w:id="1112" w:name="_Toc153137633"/>
      <w:bookmarkEnd w:id="1110"/>
      <w:bookmarkEnd w:id="1111"/>
      <w:r w:rsidRPr="005C2384">
        <w:rPr>
          <w:rFonts w:ascii="Arial" w:eastAsia="Times New Roman" w:hAnsi="Arial" w:cs="Times New Roman"/>
          <w:b/>
          <w:iCs/>
          <w:color w:val="FFFFFF"/>
          <w:sz w:val="24"/>
        </w:rPr>
        <w:t>CS 31GB.53 Drag rope</w:t>
      </w:r>
      <w:bookmarkEnd w:id="1112"/>
    </w:p>
    <w:p w14:paraId="49B605C4" w14:textId="77777777" w:rsidR="005C2384" w:rsidRPr="005C2384" w:rsidRDefault="005C2384" w:rsidP="005C2384">
      <w:pPr>
        <w:spacing w:line="276" w:lineRule="auto"/>
        <w:jc w:val="both"/>
        <w:rPr>
          <w:rFonts w:ascii="Arial" w:hAnsi="Arial" w:cs="Arial"/>
          <w:sz w:val="20"/>
        </w:rPr>
      </w:pPr>
      <w:r w:rsidRPr="005C2384">
        <w:rPr>
          <w:rFonts w:ascii="Arial" w:hAnsi="Arial" w:cs="Arial"/>
          <w:sz w:val="20"/>
        </w:rPr>
        <w:t>If a drag rope is used, the end that is released overboard must be stiffened to preclude the probability of the rope becoming entangled with trees, wires, or other objects on the ground.</w:t>
      </w:r>
    </w:p>
    <w:p w14:paraId="67081D13" w14:textId="77777777" w:rsidR="005C2384" w:rsidRPr="005C2384" w:rsidRDefault="005C2384" w:rsidP="005C2384">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113" w:name="CS_31GB.55_Rapid_deflation_means"/>
      <w:bookmarkStart w:id="1114" w:name="_bookmark470"/>
      <w:bookmarkStart w:id="1115" w:name="_Toc153137634"/>
      <w:bookmarkEnd w:id="1113"/>
      <w:bookmarkEnd w:id="1114"/>
      <w:r w:rsidRPr="005C2384">
        <w:rPr>
          <w:rFonts w:ascii="Arial" w:eastAsia="Times New Roman" w:hAnsi="Arial" w:cs="Times New Roman"/>
          <w:b/>
          <w:iCs/>
          <w:color w:val="FFFFFF"/>
          <w:sz w:val="24"/>
        </w:rPr>
        <w:t>CS 31GB.55 Rapid deflation means</w:t>
      </w:r>
      <w:bookmarkEnd w:id="1115"/>
    </w:p>
    <w:p w14:paraId="3D504449" w14:textId="77777777" w:rsidR="005C2384" w:rsidRPr="005C2384" w:rsidRDefault="005C2384" w:rsidP="00AB16A5">
      <w:pPr>
        <w:numPr>
          <w:ilvl w:val="0"/>
          <w:numId w:val="358"/>
        </w:numPr>
        <w:spacing w:line="276" w:lineRule="auto"/>
        <w:jc w:val="both"/>
        <w:rPr>
          <w:rFonts w:ascii="Arial" w:hAnsi="Arial" w:cs="Arial"/>
          <w:sz w:val="20"/>
        </w:rPr>
      </w:pPr>
      <w:r w:rsidRPr="005C2384">
        <w:rPr>
          <w:rFonts w:ascii="Arial" w:hAnsi="Arial" w:cs="Arial"/>
          <w:sz w:val="20"/>
        </w:rPr>
        <w:t>The envelope must have means to allow for rapid deflation after landing. The system must be designed to minimise the possibility of inadvertent operation. If a system other than a manual system is used, the reliability of the system used must be substantiated.</w:t>
      </w:r>
    </w:p>
    <w:p w14:paraId="4B586AF4" w14:textId="77777777" w:rsidR="005C2384" w:rsidRPr="005C2384" w:rsidRDefault="005C2384" w:rsidP="00AB16A5">
      <w:pPr>
        <w:numPr>
          <w:ilvl w:val="0"/>
          <w:numId w:val="358"/>
        </w:numPr>
        <w:spacing w:line="276" w:lineRule="auto"/>
        <w:jc w:val="both"/>
        <w:rPr>
          <w:rFonts w:ascii="Arial" w:hAnsi="Arial" w:cs="Arial"/>
          <w:sz w:val="20"/>
        </w:rPr>
      </w:pPr>
      <w:r w:rsidRPr="005C2384">
        <w:rPr>
          <w:rFonts w:ascii="Arial" w:hAnsi="Arial" w:cs="Arial"/>
          <w:sz w:val="20"/>
        </w:rPr>
        <w:t>If a balloon is equipped with a lateral rapid deflation means, a device must be installed to align the balloon during landing in order to turn the rapid deflation means into its designated position.</w:t>
      </w:r>
    </w:p>
    <w:p w14:paraId="1A0BE297" w14:textId="77777777" w:rsidR="00241C2E" w:rsidRPr="00241C2E" w:rsidRDefault="00241C2E" w:rsidP="00241C2E">
      <w:pPr>
        <w:keepNext/>
        <w:keepLines/>
        <w:widowControl/>
        <w:shd w:val="clear" w:color="auto" w:fill="ED7D31"/>
        <w:autoSpaceDE/>
        <w:autoSpaceDN/>
        <w:spacing w:before="160" w:after="120" w:line="276" w:lineRule="auto"/>
        <w:outlineLvl w:val="4"/>
        <w:rPr>
          <w:rFonts w:ascii="Arial" w:eastAsia="Times New Roman" w:hAnsi="Arial" w:cs="Times New Roman"/>
          <w:b/>
          <w:color w:val="FFFFFF"/>
          <w:sz w:val="24"/>
        </w:rPr>
      </w:pPr>
      <w:bookmarkStart w:id="1116" w:name="AMC_31GB.55(a)_Rapid_deflation_means"/>
      <w:bookmarkStart w:id="1117" w:name="_bookmark471"/>
      <w:bookmarkStart w:id="1118" w:name="_Toc153137635"/>
      <w:bookmarkEnd w:id="1116"/>
      <w:bookmarkEnd w:id="1117"/>
      <w:r w:rsidRPr="00241C2E">
        <w:rPr>
          <w:rFonts w:ascii="Arial" w:eastAsia="Times New Roman" w:hAnsi="Arial" w:cs="Times New Roman"/>
          <w:b/>
          <w:color w:val="FFFFFF"/>
          <w:sz w:val="24"/>
        </w:rPr>
        <w:t>AMC 31GB.55(a) Rapid deflation means</w:t>
      </w:r>
      <w:bookmarkEnd w:id="1118"/>
    </w:p>
    <w:p w14:paraId="55008D6D" w14:textId="77777777" w:rsidR="00241C2E" w:rsidRPr="00241C2E" w:rsidRDefault="00241C2E" w:rsidP="00241C2E">
      <w:pPr>
        <w:spacing w:line="276" w:lineRule="auto"/>
        <w:jc w:val="both"/>
        <w:rPr>
          <w:rFonts w:ascii="Arial" w:hAnsi="Arial" w:cs="Arial"/>
          <w:sz w:val="20"/>
        </w:rPr>
      </w:pPr>
      <w:r w:rsidRPr="00241C2E">
        <w:rPr>
          <w:rFonts w:ascii="Arial" w:hAnsi="Arial" w:cs="Arial"/>
          <w:sz w:val="20"/>
        </w:rPr>
        <w:t>A deflation is considered as ‘rapid’ if after a touchdown the balloon envelope is adequately prevented from ‘sailing’ and being dragged too much over the ground by the wind.</w:t>
      </w:r>
    </w:p>
    <w:p w14:paraId="113E6EE2" w14:textId="77777777" w:rsidR="00241C2E" w:rsidRPr="00241C2E" w:rsidRDefault="00241C2E" w:rsidP="00241C2E">
      <w:pPr>
        <w:keepNext/>
        <w:keepLines/>
        <w:widowControl/>
        <w:shd w:val="clear" w:color="auto" w:fill="ED7D31"/>
        <w:autoSpaceDE/>
        <w:autoSpaceDN/>
        <w:spacing w:before="160" w:after="120" w:line="276" w:lineRule="auto"/>
        <w:outlineLvl w:val="4"/>
        <w:rPr>
          <w:rFonts w:ascii="Arial" w:eastAsia="Times New Roman" w:hAnsi="Arial" w:cs="Times New Roman"/>
          <w:b/>
          <w:color w:val="FFFFFF"/>
          <w:sz w:val="24"/>
        </w:rPr>
      </w:pPr>
      <w:bookmarkStart w:id="1119" w:name="AMC_31GB.55(b)_Rapid_deflation_means"/>
      <w:bookmarkStart w:id="1120" w:name="_bookmark472"/>
      <w:bookmarkStart w:id="1121" w:name="_Toc153137636"/>
      <w:bookmarkEnd w:id="1119"/>
      <w:bookmarkEnd w:id="1120"/>
      <w:r w:rsidRPr="00241C2E">
        <w:rPr>
          <w:rFonts w:ascii="Arial" w:eastAsia="Times New Roman" w:hAnsi="Arial" w:cs="Times New Roman"/>
          <w:b/>
          <w:color w:val="FFFFFF"/>
          <w:sz w:val="24"/>
        </w:rPr>
        <w:t>AMC 31GB.55(b) Rapid deflation means</w:t>
      </w:r>
      <w:bookmarkEnd w:id="1121"/>
    </w:p>
    <w:p w14:paraId="2330973D" w14:textId="77777777" w:rsidR="00241C2E" w:rsidRPr="00241C2E" w:rsidRDefault="00241C2E" w:rsidP="00241C2E">
      <w:pPr>
        <w:spacing w:line="276" w:lineRule="auto"/>
        <w:jc w:val="both"/>
        <w:rPr>
          <w:rFonts w:ascii="Arial" w:hAnsi="Arial" w:cs="Arial"/>
          <w:sz w:val="20"/>
        </w:rPr>
      </w:pPr>
      <w:r w:rsidRPr="00241C2E">
        <w:rPr>
          <w:rFonts w:ascii="Arial" w:hAnsi="Arial" w:cs="Arial"/>
          <w:sz w:val="20"/>
        </w:rPr>
        <w:t>The installation of a drag rope is considered as a suitable device to align the balloon during landing in the sense of this subparagraph.</w:t>
      </w:r>
    </w:p>
    <w:p w14:paraId="1A26CF69" w14:textId="77777777" w:rsidR="00241C2E" w:rsidRPr="00241C2E" w:rsidRDefault="00241C2E" w:rsidP="00241C2E">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122" w:name="CS_31GB.57_Control_cords"/>
      <w:bookmarkStart w:id="1123" w:name="_bookmark473"/>
      <w:bookmarkStart w:id="1124" w:name="_Toc153137637"/>
      <w:bookmarkEnd w:id="1122"/>
      <w:bookmarkEnd w:id="1123"/>
      <w:r w:rsidRPr="00241C2E">
        <w:rPr>
          <w:rFonts w:ascii="Arial" w:eastAsia="Times New Roman" w:hAnsi="Arial" w:cs="Times New Roman"/>
          <w:b/>
          <w:iCs/>
          <w:color w:val="FFFFFF"/>
          <w:sz w:val="24"/>
        </w:rPr>
        <w:t>CS 31GB.57 Control cords</w:t>
      </w:r>
      <w:bookmarkEnd w:id="1124"/>
    </w:p>
    <w:p w14:paraId="5DEFB739" w14:textId="77777777" w:rsidR="00241C2E" w:rsidRPr="00241C2E" w:rsidRDefault="00241C2E" w:rsidP="00AB16A5">
      <w:pPr>
        <w:numPr>
          <w:ilvl w:val="0"/>
          <w:numId w:val="359"/>
        </w:numPr>
        <w:jc w:val="both"/>
        <w:rPr>
          <w:rFonts w:ascii="Arial" w:hAnsi="Arial" w:cs="Arial"/>
          <w:sz w:val="20"/>
          <w:szCs w:val="20"/>
        </w:rPr>
      </w:pPr>
      <w:r w:rsidRPr="00241C2E">
        <w:rPr>
          <w:rFonts w:ascii="Arial" w:hAnsi="Arial" w:cs="Arial"/>
          <w:sz w:val="20"/>
          <w:szCs w:val="20"/>
        </w:rPr>
        <w:t>General</w:t>
      </w:r>
    </w:p>
    <w:p w14:paraId="5054FBDE" w14:textId="77777777" w:rsidR="00241C2E" w:rsidRPr="00241C2E" w:rsidRDefault="00241C2E" w:rsidP="00AB16A5">
      <w:pPr>
        <w:pStyle w:val="ListParagraph"/>
        <w:numPr>
          <w:ilvl w:val="1"/>
          <w:numId w:val="359"/>
        </w:numPr>
        <w:tabs>
          <w:tab w:val="left" w:pos="1273"/>
          <w:tab w:val="left" w:pos="1274"/>
        </w:tabs>
        <w:ind w:right="198"/>
        <w:jc w:val="both"/>
        <w:rPr>
          <w:rFonts w:ascii="Arial" w:hAnsi="Arial" w:cs="Arial"/>
          <w:sz w:val="20"/>
          <w:szCs w:val="20"/>
        </w:rPr>
      </w:pPr>
      <w:r w:rsidRPr="00241C2E">
        <w:rPr>
          <w:rFonts w:ascii="Arial" w:hAnsi="Arial" w:cs="Arial"/>
          <w:sz w:val="20"/>
          <w:szCs w:val="20"/>
        </w:rPr>
        <w:t>All</w:t>
      </w:r>
      <w:r w:rsidRPr="00241C2E">
        <w:rPr>
          <w:rFonts w:ascii="Arial" w:hAnsi="Arial" w:cs="Arial"/>
          <w:spacing w:val="41"/>
          <w:sz w:val="20"/>
          <w:szCs w:val="20"/>
        </w:rPr>
        <w:t xml:space="preserve"> </w:t>
      </w:r>
      <w:r w:rsidRPr="00241C2E">
        <w:rPr>
          <w:rFonts w:ascii="Arial" w:hAnsi="Arial" w:cs="Arial"/>
          <w:sz w:val="20"/>
          <w:szCs w:val="20"/>
        </w:rPr>
        <w:t>control</w:t>
      </w:r>
      <w:r w:rsidRPr="00241C2E">
        <w:rPr>
          <w:rFonts w:ascii="Arial" w:hAnsi="Arial" w:cs="Arial"/>
          <w:spacing w:val="39"/>
          <w:sz w:val="20"/>
          <w:szCs w:val="20"/>
        </w:rPr>
        <w:t xml:space="preserve"> </w:t>
      </w:r>
      <w:r w:rsidRPr="00241C2E">
        <w:rPr>
          <w:rFonts w:ascii="Arial" w:hAnsi="Arial" w:cs="Arial"/>
          <w:sz w:val="20"/>
          <w:szCs w:val="20"/>
        </w:rPr>
        <w:t>cords</w:t>
      </w:r>
      <w:r w:rsidRPr="00241C2E">
        <w:rPr>
          <w:rFonts w:ascii="Arial" w:hAnsi="Arial" w:cs="Arial"/>
          <w:spacing w:val="39"/>
          <w:sz w:val="20"/>
          <w:szCs w:val="20"/>
        </w:rPr>
        <w:t xml:space="preserve"> </w:t>
      </w:r>
      <w:r w:rsidRPr="00241C2E">
        <w:rPr>
          <w:rFonts w:ascii="Arial" w:hAnsi="Arial" w:cs="Arial"/>
          <w:sz w:val="20"/>
          <w:szCs w:val="20"/>
        </w:rPr>
        <w:t>used</w:t>
      </w:r>
      <w:r w:rsidRPr="00241C2E">
        <w:rPr>
          <w:rFonts w:ascii="Arial" w:hAnsi="Arial" w:cs="Arial"/>
          <w:spacing w:val="39"/>
          <w:sz w:val="20"/>
          <w:szCs w:val="20"/>
        </w:rPr>
        <w:t xml:space="preserve"> </w:t>
      </w:r>
      <w:r w:rsidRPr="00241C2E">
        <w:rPr>
          <w:rFonts w:ascii="Arial" w:hAnsi="Arial" w:cs="Arial"/>
          <w:sz w:val="20"/>
          <w:szCs w:val="20"/>
        </w:rPr>
        <w:t>for</w:t>
      </w:r>
      <w:r w:rsidRPr="00241C2E">
        <w:rPr>
          <w:rFonts w:ascii="Arial" w:hAnsi="Arial" w:cs="Arial"/>
          <w:spacing w:val="40"/>
          <w:sz w:val="20"/>
          <w:szCs w:val="20"/>
        </w:rPr>
        <w:t xml:space="preserve"> </w:t>
      </w:r>
      <w:r w:rsidRPr="00241C2E">
        <w:rPr>
          <w:rFonts w:ascii="Arial" w:hAnsi="Arial" w:cs="Arial"/>
          <w:sz w:val="20"/>
          <w:szCs w:val="20"/>
        </w:rPr>
        <w:t>flight</w:t>
      </w:r>
      <w:r w:rsidRPr="00241C2E">
        <w:rPr>
          <w:rFonts w:ascii="Arial" w:hAnsi="Arial" w:cs="Arial"/>
          <w:spacing w:val="39"/>
          <w:sz w:val="20"/>
          <w:szCs w:val="20"/>
        </w:rPr>
        <w:t xml:space="preserve"> </w:t>
      </w:r>
      <w:r w:rsidRPr="00241C2E">
        <w:rPr>
          <w:rFonts w:ascii="Arial" w:hAnsi="Arial" w:cs="Arial"/>
          <w:sz w:val="20"/>
          <w:szCs w:val="20"/>
        </w:rPr>
        <w:t>control</w:t>
      </w:r>
      <w:r w:rsidRPr="00241C2E">
        <w:rPr>
          <w:rFonts w:ascii="Arial" w:hAnsi="Arial" w:cs="Arial"/>
          <w:spacing w:val="39"/>
          <w:sz w:val="20"/>
          <w:szCs w:val="20"/>
        </w:rPr>
        <w:t xml:space="preserve"> </w:t>
      </w:r>
      <w:r w:rsidRPr="00241C2E">
        <w:rPr>
          <w:rFonts w:ascii="Arial" w:hAnsi="Arial" w:cs="Arial"/>
          <w:sz w:val="20"/>
          <w:szCs w:val="20"/>
        </w:rPr>
        <w:t>must</w:t>
      </w:r>
      <w:r w:rsidRPr="00241C2E">
        <w:rPr>
          <w:rFonts w:ascii="Arial" w:hAnsi="Arial" w:cs="Arial"/>
          <w:spacing w:val="42"/>
          <w:sz w:val="20"/>
          <w:szCs w:val="20"/>
        </w:rPr>
        <w:t xml:space="preserve"> </w:t>
      </w:r>
      <w:r w:rsidRPr="00241C2E">
        <w:rPr>
          <w:rFonts w:ascii="Arial" w:hAnsi="Arial" w:cs="Arial"/>
          <w:sz w:val="20"/>
          <w:szCs w:val="20"/>
        </w:rPr>
        <w:t>be</w:t>
      </w:r>
      <w:r w:rsidRPr="00241C2E">
        <w:rPr>
          <w:rFonts w:ascii="Arial" w:hAnsi="Arial" w:cs="Arial"/>
          <w:spacing w:val="42"/>
          <w:sz w:val="20"/>
          <w:szCs w:val="20"/>
        </w:rPr>
        <w:t xml:space="preserve"> </w:t>
      </w:r>
      <w:r w:rsidRPr="00241C2E">
        <w:rPr>
          <w:rFonts w:ascii="Arial" w:hAnsi="Arial" w:cs="Arial"/>
          <w:sz w:val="20"/>
          <w:szCs w:val="20"/>
        </w:rPr>
        <w:t>designed</w:t>
      </w:r>
      <w:r w:rsidRPr="00241C2E">
        <w:rPr>
          <w:rFonts w:ascii="Arial" w:hAnsi="Arial" w:cs="Arial"/>
          <w:spacing w:val="41"/>
          <w:sz w:val="20"/>
          <w:szCs w:val="20"/>
        </w:rPr>
        <w:t xml:space="preserve"> </w:t>
      </w:r>
      <w:r w:rsidRPr="00241C2E">
        <w:rPr>
          <w:rFonts w:ascii="Arial" w:hAnsi="Arial" w:cs="Arial"/>
          <w:sz w:val="20"/>
          <w:szCs w:val="20"/>
        </w:rPr>
        <w:t>and</w:t>
      </w:r>
      <w:r w:rsidRPr="00241C2E">
        <w:rPr>
          <w:rFonts w:ascii="Arial" w:hAnsi="Arial" w:cs="Arial"/>
          <w:spacing w:val="39"/>
          <w:sz w:val="20"/>
          <w:szCs w:val="20"/>
        </w:rPr>
        <w:t xml:space="preserve"> </w:t>
      </w:r>
      <w:r w:rsidRPr="00241C2E">
        <w:rPr>
          <w:rFonts w:ascii="Arial" w:hAnsi="Arial" w:cs="Arial"/>
          <w:sz w:val="20"/>
          <w:szCs w:val="20"/>
        </w:rPr>
        <w:t>installed</w:t>
      </w:r>
      <w:r w:rsidRPr="00241C2E">
        <w:rPr>
          <w:rFonts w:ascii="Arial" w:hAnsi="Arial" w:cs="Arial"/>
          <w:spacing w:val="38"/>
          <w:sz w:val="20"/>
          <w:szCs w:val="20"/>
        </w:rPr>
        <w:t xml:space="preserve"> </w:t>
      </w:r>
      <w:r w:rsidRPr="00241C2E">
        <w:rPr>
          <w:rFonts w:ascii="Arial" w:hAnsi="Arial" w:cs="Arial"/>
          <w:sz w:val="20"/>
          <w:szCs w:val="20"/>
        </w:rPr>
        <w:t>to</w:t>
      </w:r>
      <w:r w:rsidRPr="00241C2E">
        <w:rPr>
          <w:rFonts w:ascii="Arial" w:hAnsi="Arial" w:cs="Arial"/>
          <w:spacing w:val="40"/>
          <w:sz w:val="20"/>
          <w:szCs w:val="20"/>
        </w:rPr>
        <w:t xml:space="preserve"> </w:t>
      </w:r>
      <w:r w:rsidRPr="00241C2E">
        <w:rPr>
          <w:rFonts w:ascii="Arial" w:hAnsi="Arial" w:cs="Arial"/>
          <w:sz w:val="20"/>
          <w:szCs w:val="20"/>
        </w:rPr>
        <w:t>preclude</w:t>
      </w:r>
      <w:r w:rsidRPr="00241C2E">
        <w:rPr>
          <w:rFonts w:ascii="Arial" w:hAnsi="Arial" w:cs="Arial"/>
          <w:spacing w:val="-47"/>
          <w:sz w:val="20"/>
          <w:szCs w:val="20"/>
        </w:rPr>
        <w:t xml:space="preserve"> </w:t>
      </w:r>
      <w:r w:rsidRPr="00241C2E">
        <w:rPr>
          <w:rFonts w:ascii="Arial" w:hAnsi="Arial" w:cs="Arial"/>
          <w:sz w:val="20"/>
          <w:szCs w:val="20"/>
        </w:rPr>
        <w:t>entanglement.</w:t>
      </w:r>
    </w:p>
    <w:p w14:paraId="674F5EA5" w14:textId="77777777" w:rsidR="00241C2E" w:rsidRPr="00241C2E" w:rsidRDefault="00241C2E" w:rsidP="00AB16A5">
      <w:pPr>
        <w:pStyle w:val="ListParagraph"/>
        <w:numPr>
          <w:ilvl w:val="1"/>
          <w:numId w:val="359"/>
        </w:numPr>
        <w:tabs>
          <w:tab w:val="left" w:pos="1273"/>
          <w:tab w:val="left" w:pos="1274"/>
        </w:tabs>
        <w:spacing w:before="121"/>
        <w:ind w:right="198"/>
        <w:jc w:val="both"/>
        <w:rPr>
          <w:rFonts w:ascii="Arial" w:hAnsi="Arial" w:cs="Arial"/>
          <w:sz w:val="20"/>
          <w:szCs w:val="20"/>
        </w:rPr>
      </w:pPr>
      <w:r w:rsidRPr="00241C2E">
        <w:rPr>
          <w:rFonts w:ascii="Arial" w:hAnsi="Arial" w:cs="Arial"/>
          <w:sz w:val="20"/>
          <w:szCs w:val="20"/>
        </w:rPr>
        <w:t>The function of control cords should be identified to the pilot and marked in accordance</w:t>
      </w:r>
      <w:r w:rsidRPr="00241C2E">
        <w:rPr>
          <w:rFonts w:ascii="Arial" w:hAnsi="Arial" w:cs="Arial"/>
          <w:spacing w:val="-47"/>
          <w:sz w:val="20"/>
          <w:szCs w:val="20"/>
        </w:rPr>
        <w:t xml:space="preserve"> </w:t>
      </w:r>
      <w:r w:rsidRPr="00241C2E">
        <w:rPr>
          <w:rFonts w:ascii="Arial" w:hAnsi="Arial" w:cs="Arial"/>
          <w:sz w:val="20"/>
          <w:szCs w:val="20"/>
        </w:rPr>
        <w:t>with</w:t>
      </w:r>
      <w:r w:rsidRPr="00241C2E">
        <w:rPr>
          <w:rFonts w:ascii="Arial" w:hAnsi="Arial" w:cs="Arial"/>
          <w:spacing w:val="-1"/>
          <w:sz w:val="20"/>
          <w:szCs w:val="20"/>
        </w:rPr>
        <w:t xml:space="preserve"> </w:t>
      </w:r>
      <w:r w:rsidRPr="00241C2E">
        <w:rPr>
          <w:rFonts w:ascii="Arial" w:hAnsi="Arial" w:cs="Arial"/>
          <w:sz w:val="20"/>
          <w:szCs w:val="20"/>
        </w:rPr>
        <w:t>paragraph</w:t>
      </w:r>
      <w:r w:rsidRPr="00241C2E">
        <w:rPr>
          <w:rFonts w:ascii="Arial" w:hAnsi="Arial" w:cs="Arial"/>
          <w:spacing w:val="-1"/>
          <w:sz w:val="20"/>
          <w:szCs w:val="20"/>
        </w:rPr>
        <w:t xml:space="preserve"> </w:t>
      </w:r>
      <w:r w:rsidRPr="00241C2E">
        <w:rPr>
          <w:rFonts w:ascii="Arial" w:hAnsi="Arial" w:cs="Arial"/>
          <w:sz w:val="20"/>
          <w:szCs w:val="20"/>
        </w:rPr>
        <w:t>(b),</w:t>
      </w:r>
      <w:r w:rsidRPr="00241C2E">
        <w:rPr>
          <w:rFonts w:ascii="Arial" w:hAnsi="Arial" w:cs="Arial"/>
          <w:spacing w:val="-2"/>
          <w:sz w:val="20"/>
          <w:szCs w:val="20"/>
        </w:rPr>
        <w:t xml:space="preserve"> </w:t>
      </w:r>
      <w:r w:rsidRPr="00241C2E">
        <w:rPr>
          <w:rFonts w:ascii="Arial" w:hAnsi="Arial" w:cs="Arial"/>
          <w:sz w:val="20"/>
          <w:szCs w:val="20"/>
        </w:rPr>
        <w:t>(c) and</w:t>
      </w:r>
      <w:r w:rsidRPr="00241C2E">
        <w:rPr>
          <w:rFonts w:ascii="Arial" w:hAnsi="Arial" w:cs="Arial"/>
          <w:spacing w:val="-3"/>
          <w:sz w:val="20"/>
          <w:szCs w:val="20"/>
        </w:rPr>
        <w:t xml:space="preserve"> </w:t>
      </w:r>
      <w:r w:rsidRPr="00241C2E">
        <w:rPr>
          <w:rFonts w:ascii="Arial" w:hAnsi="Arial" w:cs="Arial"/>
          <w:sz w:val="20"/>
          <w:szCs w:val="20"/>
        </w:rPr>
        <w:t>(d) if applicable.</w:t>
      </w:r>
    </w:p>
    <w:p w14:paraId="6AEEC877" w14:textId="77777777" w:rsidR="00241C2E" w:rsidRPr="00241C2E" w:rsidRDefault="00241C2E" w:rsidP="00AB16A5">
      <w:pPr>
        <w:pStyle w:val="ListParagraph"/>
        <w:numPr>
          <w:ilvl w:val="1"/>
          <w:numId w:val="359"/>
        </w:numPr>
        <w:tabs>
          <w:tab w:val="left" w:pos="1273"/>
          <w:tab w:val="left" w:pos="1274"/>
        </w:tabs>
        <w:spacing w:before="121"/>
        <w:ind w:hanging="568"/>
        <w:jc w:val="both"/>
        <w:rPr>
          <w:rFonts w:ascii="Arial" w:hAnsi="Arial" w:cs="Arial"/>
          <w:sz w:val="20"/>
          <w:szCs w:val="20"/>
        </w:rPr>
      </w:pPr>
      <w:r w:rsidRPr="00241C2E">
        <w:rPr>
          <w:rFonts w:ascii="Arial" w:hAnsi="Arial" w:cs="Arial"/>
          <w:sz w:val="20"/>
          <w:szCs w:val="20"/>
        </w:rPr>
        <w:lastRenderedPageBreak/>
        <w:t>The</w:t>
      </w:r>
      <w:r w:rsidRPr="00241C2E">
        <w:rPr>
          <w:rFonts w:ascii="Arial" w:hAnsi="Arial" w:cs="Arial"/>
          <w:spacing w:val="-3"/>
          <w:sz w:val="20"/>
          <w:szCs w:val="20"/>
        </w:rPr>
        <w:t xml:space="preserve"> </w:t>
      </w:r>
      <w:r w:rsidRPr="00241C2E">
        <w:rPr>
          <w:rFonts w:ascii="Arial" w:hAnsi="Arial" w:cs="Arial"/>
          <w:sz w:val="20"/>
          <w:szCs w:val="20"/>
        </w:rPr>
        <w:t>maximum</w:t>
      </w:r>
      <w:r w:rsidRPr="00241C2E">
        <w:rPr>
          <w:rFonts w:ascii="Arial" w:hAnsi="Arial" w:cs="Arial"/>
          <w:spacing w:val="-2"/>
          <w:sz w:val="20"/>
          <w:szCs w:val="20"/>
        </w:rPr>
        <w:t xml:space="preserve"> </w:t>
      </w:r>
      <w:r w:rsidRPr="00241C2E">
        <w:rPr>
          <w:rFonts w:ascii="Arial" w:hAnsi="Arial" w:cs="Arial"/>
          <w:sz w:val="20"/>
          <w:szCs w:val="20"/>
        </w:rPr>
        <w:t>force</w:t>
      </w:r>
      <w:r w:rsidRPr="00241C2E">
        <w:rPr>
          <w:rFonts w:ascii="Arial" w:hAnsi="Arial" w:cs="Arial"/>
          <w:spacing w:val="1"/>
          <w:sz w:val="20"/>
          <w:szCs w:val="20"/>
        </w:rPr>
        <w:t xml:space="preserve"> </w:t>
      </w:r>
      <w:r w:rsidRPr="00241C2E">
        <w:rPr>
          <w:rFonts w:ascii="Arial" w:hAnsi="Arial" w:cs="Arial"/>
          <w:sz w:val="20"/>
          <w:szCs w:val="20"/>
        </w:rPr>
        <w:t>required</w:t>
      </w:r>
      <w:r w:rsidRPr="00241C2E">
        <w:rPr>
          <w:rFonts w:ascii="Arial" w:hAnsi="Arial" w:cs="Arial"/>
          <w:spacing w:val="-1"/>
          <w:sz w:val="20"/>
          <w:szCs w:val="20"/>
        </w:rPr>
        <w:t xml:space="preserve"> </w:t>
      </w:r>
      <w:r w:rsidRPr="00241C2E">
        <w:rPr>
          <w:rFonts w:ascii="Arial" w:hAnsi="Arial" w:cs="Arial"/>
          <w:sz w:val="20"/>
          <w:szCs w:val="20"/>
        </w:rPr>
        <w:t>for</w:t>
      </w:r>
      <w:r w:rsidRPr="00241C2E">
        <w:rPr>
          <w:rFonts w:ascii="Arial" w:hAnsi="Arial" w:cs="Arial"/>
          <w:spacing w:val="-2"/>
          <w:sz w:val="20"/>
          <w:szCs w:val="20"/>
        </w:rPr>
        <w:t xml:space="preserve"> </w:t>
      </w:r>
      <w:r w:rsidRPr="00241C2E">
        <w:rPr>
          <w:rFonts w:ascii="Arial" w:hAnsi="Arial" w:cs="Arial"/>
          <w:sz w:val="20"/>
          <w:szCs w:val="20"/>
        </w:rPr>
        <w:t>their</w:t>
      </w:r>
      <w:r w:rsidRPr="00241C2E">
        <w:rPr>
          <w:rFonts w:ascii="Arial" w:hAnsi="Arial" w:cs="Arial"/>
          <w:spacing w:val="-3"/>
          <w:sz w:val="20"/>
          <w:szCs w:val="20"/>
        </w:rPr>
        <w:t xml:space="preserve"> </w:t>
      </w:r>
      <w:r w:rsidRPr="00241C2E">
        <w:rPr>
          <w:rFonts w:ascii="Arial" w:hAnsi="Arial" w:cs="Arial"/>
          <w:sz w:val="20"/>
          <w:szCs w:val="20"/>
        </w:rPr>
        <w:t>operation</w:t>
      </w:r>
      <w:r w:rsidRPr="00241C2E">
        <w:rPr>
          <w:rFonts w:ascii="Arial" w:hAnsi="Arial" w:cs="Arial"/>
          <w:spacing w:val="-3"/>
          <w:sz w:val="20"/>
          <w:szCs w:val="20"/>
        </w:rPr>
        <w:t xml:space="preserve"> </w:t>
      </w:r>
      <w:r w:rsidRPr="00241C2E">
        <w:rPr>
          <w:rFonts w:ascii="Arial" w:hAnsi="Arial" w:cs="Arial"/>
          <w:sz w:val="20"/>
          <w:szCs w:val="20"/>
        </w:rPr>
        <w:t>must</w:t>
      </w:r>
      <w:r w:rsidRPr="00241C2E">
        <w:rPr>
          <w:rFonts w:ascii="Arial" w:hAnsi="Arial" w:cs="Arial"/>
          <w:spacing w:val="-2"/>
          <w:sz w:val="20"/>
          <w:szCs w:val="20"/>
        </w:rPr>
        <w:t xml:space="preserve"> </w:t>
      </w:r>
      <w:r w:rsidRPr="00241C2E">
        <w:rPr>
          <w:rFonts w:ascii="Arial" w:hAnsi="Arial" w:cs="Arial"/>
          <w:sz w:val="20"/>
          <w:szCs w:val="20"/>
        </w:rPr>
        <w:t>not</w:t>
      </w:r>
      <w:r w:rsidRPr="00241C2E">
        <w:rPr>
          <w:rFonts w:ascii="Arial" w:hAnsi="Arial" w:cs="Arial"/>
          <w:spacing w:val="-2"/>
          <w:sz w:val="20"/>
          <w:szCs w:val="20"/>
        </w:rPr>
        <w:t xml:space="preserve"> </w:t>
      </w:r>
      <w:r w:rsidRPr="00241C2E">
        <w:rPr>
          <w:rFonts w:ascii="Arial" w:hAnsi="Arial" w:cs="Arial"/>
          <w:sz w:val="20"/>
          <w:szCs w:val="20"/>
        </w:rPr>
        <w:t>exceed</w:t>
      </w:r>
      <w:r w:rsidRPr="00241C2E">
        <w:rPr>
          <w:rFonts w:ascii="Arial" w:hAnsi="Arial" w:cs="Arial"/>
          <w:spacing w:val="-4"/>
          <w:sz w:val="20"/>
          <w:szCs w:val="20"/>
        </w:rPr>
        <w:t xml:space="preserve"> </w:t>
      </w:r>
      <w:r w:rsidRPr="00241C2E">
        <w:rPr>
          <w:rFonts w:ascii="Arial" w:hAnsi="Arial" w:cs="Arial"/>
          <w:sz w:val="20"/>
          <w:szCs w:val="20"/>
        </w:rPr>
        <w:t>340 N.</w:t>
      </w:r>
    </w:p>
    <w:p w14:paraId="658D65FA" w14:textId="77777777" w:rsidR="00241C2E" w:rsidRPr="00241C2E" w:rsidRDefault="00241C2E" w:rsidP="00AB16A5">
      <w:pPr>
        <w:pStyle w:val="ListParagraph"/>
        <w:numPr>
          <w:ilvl w:val="1"/>
          <w:numId w:val="359"/>
        </w:numPr>
        <w:tabs>
          <w:tab w:val="left" w:pos="1273"/>
          <w:tab w:val="left" w:pos="1274"/>
        </w:tabs>
        <w:ind w:right="197"/>
        <w:jc w:val="both"/>
        <w:rPr>
          <w:rFonts w:ascii="Arial" w:hAnsi="Arial" w:cs="Arial"/>
          <w:sz w:val="20"/>
          <w:szCs w:val="20"/>
        </w:rPr>
      </w:pPr>
      <w:r w:rsidRPr="00241C2E">
        <w:rPr>
          <w:rFonts w:ascii="Arial" w:hAnsi="Arial" w:cs="Arial"/>
          <w:sz w:val="20"/>
          <w:szCs w:val="20"/>
        </w:rPr>
        <w:t>All</w:t>
      </w:r>
      <w:r w:rsidRPr="00241C2E">
        <w:rPr>
          <w:rFonts w:ascii="Arial" w:hAnsi="Arial" w:cs="Arial"/>
          <w:spacing w:val="6"/>
          <w:sz w:val="20"/>
          <w:szCs w:val="20"/>
        </w:rPr>
        <w:t xml:space="preserve"> </w:t>
      </w:r>
      <w:r w:rsidRPr="00241C2E">
        <w:rPr>
          <w:rFonts w:ascii="Arial" w:hAnsi="Arial" w:cs="Arial"/>
          <w:sz w:val="20"/>
          <w:szCs w:val="20"/>
        </w:rPr>
        <w:t>control</w:t>
      </w:r>
      <w:r w:rsidRPr="00241C2E">
        <w:rPr>
          <w:rFonts w:ascii="Arial" w:hAnsi="Arial" w:cs="Arial"/>
          <w:spacing w:val="7"/>
          <w:sz w:val="20"/>
          <w:szCs w:val="20"/>
        </w:rPr>
        <w:t xml:space="preserve"> </w:t>
      </w:r>
      <w:r w:rsidRPr="00241C2E">
        <w:rPr>
          <w:rFonts w:ascii="Arial" w:hAnsi="Arial" w:cs="Arial"/>
          <w:sz w:val="20"/>
          <w:szCs w:val="20"/>
        </w:rPr>
        <w:t>cords</w:t>
      </w:r>
      <w:r w:rsidRPr="00241C2E">
        <w:rPr>
          <w:rFonts w:ascii="Arial" w:hAnsi="Arial" w:cs="Arial"/>
          <w:spacing w:val="7"/>
          <w:sz w:val="20"/>
          <w:szCs w:val="20"/>
        </w:rPr>
        <w:t xml:space="preserve"> </w:t>
      </w:r>
      <w:r w:rsidRPr="00241C2E">
        <w:rPr>
          <w:rFonts w:ascii="Arial" w:hAnsi="Arial" w:cs="Arial"/>
          <w:sz w:val="20"/>
          <w:szCs w:val="20"/>
        </w:rPr>
        <w:t>used</w:t>
      </w:r>
      <w:r w:rsidRPr="00241C2E">
        <w:rPr>
          <w:rFonts w:ascii="Arial" w:hAnsi="Arial" w:cs="Arial"/>
          <w:spacing w:val="7"/>
          <w:sz w:val="20"/>
          <w:szCs w:val="20"/>
        </w:rPr>
        <w:t xml:space="preserve"> </w:t>
      </w:r>
      <w:r w:rsidRPr="00241C2E">
        <w:rPr>
          <w:rFonts w:ascii="Arial" w:hAnsi="Arial" w:cs="Arial"/>
          <w:sz w:val="20"/>
          <w:szCs w:val="20"/>
        </w:rPr>
        <w:t>for</w:t>
      </w:r>
      <w:r w:rsidRPr="00241C2E">
        <w:rPr>
          <w:rFonts w:ascii="Arial" w:hAnsi="Arial" w:cs="Arial"/>
          <w:spacing w:val="7"/>
          <w:sz w:val="20"/>
          <w:szCs w:val="20"/>
        </w:rPr>
        <w:t xml:space="preserve"> </w:t>
      </w:r>
      <w:r w:rsidRPr="00241C2E">
        <w:rPr>
          <w:rFonts w:ascii="Arial" w:hAnsi="Arial" w:cs="Arial"/>
          <w:sz w:val="20"/>
          <w:szCs w:val="20"/>
        </w:rPr>
        <w:t>flight</w:t>
      </w:r>
      <w:r w:rsidRPr="00241C2E">
        <w:rPr>
          <w:rFonts w:ascii="Arial" w:hAnsi="Arial" w:cs="Arial"/>
          <w:spacing w:val="8"/>
          <w:sz w:val="20"/>
          <w:szCs w:val="20"/>
        </w:rPr>
        <w:t xml:space="preserve"> </w:t>
      </w:r>
      <w:r w:rsidRPr="00241C2E">
        <w:rPr>
          <w:rFonts w:ascii="Arial" w:hAnsi="Arial" w:cs="Arial"/>
          <w:sz w:val="20"/>
          <w:szCs w:val="20"/>
        </w:rPr>
        <w:t>control</w:t>
      </w:r>
      <w:r w:rsidRPr="00241C2E">
        <w:rPr>
          <w:rFonts w:ascii="Arial" w:hAnsi="Arial" w:cs="Arial"/>
          <w:spacing w:val="5"/>
          <w:sz w:val="20"/>
          <w:szCs w:val="20"/>
        </w:rPr>
        <w:t xml:space="preserve"> </w:t>
      </w:r>
      <w:r w:rsidRPr="00241C2E">
        <w:rPr>
          <w:rFonts w:ascii="Arial" w:hAnsi="Arial" w:cs="Arial"/>
          <w:sz w:val="20"/>
          <w:szCs w:val="20"/>
        </w:rPr>
        <w:t>must</w:t>
      </w:r>
      <w:r w:rsidRPr="00241C2E">
        <w:rPr>
          <w:rFonts w:ascii="Arial" w:hAnsi="Arial" w:cs="Arial"/>
          <w:spacing w:val="8"/>
          <w:sz w:val="20"/>
          <w:szCs w:val="20"/>
        </w:rPr>
        <w:t xml:space="preserve"> </w:t>
      </w:r>
      <w:r w:rsidRPr="00241C2E">
        <w:rPr>
          <w:rFonts w:ascii="Arial" w:hAnsi="Arial" w:cs="Arial"/>
          <w:sz w:val="20"/>
          <w:szCs w:val="20"/>
        </w:rPr>
        <w:t>be</w:t>
      </w:r>
      <w:r w:rsidRPr="00241C2E">
        <w:rPr>
          <w:rFonts w:ascii="Arial" w:hAnsi="Arial" w:cs="Arial"/>
          <w:spacing w:val="8"/>
          <w:sz w:val="20"/>
          <w:szCs w:val="20"/>
        </w:rPr>
        <w:t xml:space="preserve"> </w:t>
      </w:r>
      <w:r w:rsidRPr="00241C2E">
        <w:rPr>
          <w:rFonts w:ascii="Arial" w:hAnsi="Arial" w:cs="Arial"/>
          <w:sz w:val="20"/>
          <w:szCs w:val="20"/>
        </w:rPr>
        <w:t>long</w:t>
      </w:r>
      <w:r w:rsidRPr="00241C2E">
        <w:rPr>
          <w:rFonts w:ascii="Arial" w:hAnsi="Arial" w:cs="Arial"/>
          <w:spacing w:val="6"/>
          <w:sz w:val="20"/>
          <w:szCs w:val="20"/>
        </w:rPr>
        <w:t xml:space="preserve"> </w:t>
      </w:r>
      <w:r w:rsidRPr="00241C2E">
        <w:rPr>
          <w:rFonts w:ascii="Arial" w:hAnsi="Arial" w:cs="Arial"/>
          <w:sz w:val="20"/>
          <w:szCs w:val="20"/>
        </w:rPr>
        <w:t>enough</w:t>
      </w:r>
      <w:r w:rsidRPr="00241C2E">
        <w:rPr>
          <w:rFonts w:ascii="Arial" w:hAnsi="Arial" w:cs="Arial"/>
          <w:spacing w:val="6"/>
          <w:sz w:val="20"/>
          <w:szCs w:val="20"/>
        </w:rPr>
        <w:t xml:space="preserve"> </w:t>
      </w:r>
      <w:r w:rsidRPr="00241C2E">
        <w:rPr>
          <w:rFonts w:ascii="Arial" w:hAnsi="Arial" w:cs="Arial"/>
          <w:sz w:val="20"/>
          <w:szCs w:val="20"/>
        </w:rPr>
        <w:t>to</w:t>
      </w:r>
      <w:r w:rsidRPr="00241C2E">
        <w:rPr>
          <w:rFonts w:ascii="Arial" w:hAnsi="Arial" w:cs="Arial"/>
          <w:spacing w:val="9"/>
          <w:sz w:val="20"/>
          <w:szCs w:val="20"/>
        </w:rPr>
        <w:t xml:space="preserve"> </w:t>
      </w:r>
      <w:r w:rsidRPr="00241C2E">
        <w:rPr>
          <w:rFonts w:ascii="Arial" w:hAnsi="Arial" w:cs="Arial"/>
          <w:sz w:val="20"/>
          <w:szCs w:val="20"/>
        </w:rPr>
        <w:t>allow</w:t>
      </w:r>
      <w:r w:rsidRPr="00241C2E">
        <w:rPr>
          <w:rFonts w:ascii="Arial" w:hAnsi="Arial" w:cs="Arial"/>
          <w:spacing w:val="8"/>
          <w:sz w:val="20"/>
          <w:szCs w:val="20"/>
        </w:rPr>
        <w:t xml:space="preserve"> </w:t>
      </w:r>
      <w:r w:rsidRPr="00241C2E">
        <w:rPr>
          <w:rFonts w:ascii="Arial" w:hAnsi="Arial" w:cs="Arial"/>
          <w:sz w:val="20"/>
          <w:szCs w:val="20"/>
        </w:rPr>
        <w:t>for</w:t>
      </w:r>
      <w:r w:rsidRPr="00241C2E">
        <w:rPr>
          <w:rFonts w:ascii="Arial" w:hAnsi="Arial" w:cs="Arial"/>
          <w:spacing w:val="7"/>
          <w:sz w:val="20"/>
          <w:szCs w:val="20"/>
        </w:rPr>
        <w:t xml:space="preserve"> </w:t>
      </w:r>
      <w:r w:rsidRPr="00241C2E">
        <w:rPr>
          <w:rFonts w:ascii="Arial" w:hAnsi="Arial" w:cs="Arial"/>
          <w:sz w:val="20"/>
          <w:szCs w:val="20"/>
        </w:rPr>
        <w:t>an</w:t>
      </w:r>
      <w:r w:rsidRPr="00241C2E">
        <w:rPr>
          <w:rFonts w:ascii="Arial" w:hAnsi="Arial" w:cs="Arial"/>
          <w:spacing w:val="6"/>
          <w:sz w:val="20"/>
          <w:szCs w:val="20"/>
        </w:rPr>
        <w:t xml:space="preserve"> </w:t>
      </w:r>
      <w:r w:rsidRPr="00241C2E">
        <w:rPr>
          <w:rFonts w:ascii="Arial" w:hAnsi="Arial" w:cs="Arial"/>
          <w:sz w:val="20"/>
          <w:szCs w:val="20"/>
        </w:rPr>
        <w:t>increase</w:t>
      </w:r>
      <w:r w:rsidRPr="00241C2E">
        <w:rPr>
          <w:rFonts w:ascii="Arial" w:hAnsi="Arial" w:cs="Arial"/>
          <w:spacing w:val="7"/>
          <w:sz w:val="20"/>
          <w:szCs w:val="20"/>
        </w:rPr>
        <w:t xml:space="preserve"> </w:t>
      </w:r>
      <w:r w:rsidRPr="00241C2E">
        <w:rPr>
          <w:rFonts w:ascii="Arial" w:hAnsi="Arial" w:cs="Arial"/>
          <w:sz w:val="20"/>
          <w:szCs w:val="20"/>
        </w:rPr>
        <w:t>of</w:t>
      </w:r>
      <w:r w:rsidRPr="00241C2E">
        <w:rPr>
          <w:rFonts w:ascii="Arial" w:hAnsi="Arial" w:cs="Arial"/>
          <w:spacing w:val="-47"/>
          <w:sz w:val="20"/>
          <w:szCs w:val="20"/>
        </w:rPr>
        <w:t xml:space="preserve"> </w:t>
      </w:r>
      <w:r w:rsidRPr="00241C2E">
        <w:rPr>
          <w:rFonts w:ascii="Arial" w:hAnsi="Arial" w:cs="Arial"/>
          <w:sz w:val="20"/>
          <w:szCs w:val="20"/>
        </w:rPr>
        <w:t>at least 10%</w:t>
      </w:r>
      <w:r w:rsidRPr="00241C2E">
        <w:rPr>
          <w:rFonts w:ascii="Arial" w:hAnsi="Arial" w:cs="Arial"/>
          <w:spacing w:val="-2"/>
          <w:sz w:val="20"/>
          <w:szCs w:val="20"/>
        </w:rPr>
        <w:t xml:space="preserve"> </w:t>
      </w:r>
      <w:r w:rsidRPr="00241C2E">
        <w:rPr>
          <w:rFonts w:ascii="Arial" w:hAnsi="Arial" w:cs="Arial"/>
          <w:sz w:val="20"/>
          <w:szCs w:val="20"/>
        </w:rPr>
        <w:t>in the</w:t>
      </w:r>
      <w:r w:rsidRPr="00241C2E">
        <w:rPr>
          <w:rFonts w:ascii="Arial" w:hAnsi="Arial" w:cs="Arial"/>
          <w:spacing w:val="-2"/>
          <w:sz w:val="20"/>
          <w:szCs w:val="20"/>
        </w:rPr>
        <w:t xml:space="preserve"> </w:t>
      </w:r>
      <w:r w:rsidRPr="00241C2E">
        <w:rPr>
          <w:rFonts w:ascii="Arial" w:hAnsi="Arial" w:cs="Arial"/>
          <w:sz w:val="20"/>
          <w:szCs w:val="20"/>
        </w:rPr>
        <w:t>vertical</w:t>
      </w:r>
      <w:r w:rsidRPr="00241C2E">
        <w:rPr>
          <w:rFonts w:ascii="Arial" w:hAnsi="Arial" w:cs="Arial"/>
          <w:spacing w:val="-3"/>
          <w:sz w:val="20"/>
          <w:szCs w:val="20"/>
        </w:rPr>
        <w:t xml:space="preserve"> </w:t>
      </w:r>
      <w:r w:rsidRPr="00241C2E">
        <w:rPr>
          <w:rFonts w:ascii="Arial" w:hAnsi="Arial" w:cs="Arial"/>
          <w:sz w:val="20"/>
          <w:szCs w:val="20"/>
        </w:rPr>
        <w:t>dimension</w:t>
      </w:r>
      <w:r w:rsidRPr="00241C2E">
        <w:rPr>
          <w:rFonts w:ascii="Arial" w:hAnsi="Arial" w:cs="Arial"/>
          <w:spacing w:val="-1"/>
          <w:sz w:val="20"/>
          <w:szCs w:val="20"/>
        </w:rPr>
        <w:t xml:space="preserve"> </w:t>
      </w:r>
      <w:r w:rsidRPr="00241C2E">
        <w:rPr>
          <w:rFonts w:ascii="Arial" w:hAnsi="Arial" w:cs="Arial"/>
          <w:sz w:val="20"/>
          <w:szCs w:val="20"/>
        </w:rPr>
        <w:t>of</w:t>
      </w:r>
      <w:r w:rsidRPr="00241C2E">
        <w:rPr>
          <w:rFonts w:ascii="Arial" w:hAnsi="Arial" w:cs="Arial"/>
          <w:spacing w:val="-3"/>
          <w:sz w:val="20"/>
          <w:szCs w:val="20"/>
        </w:rPr>
        <w:t xml:space="preserve"> </w:t>
      </w:r>
      <w:r w:rsidRPr="00241C2E">
        <w:rPr>
          <w:rFonts w:ascii="Arial" w:hAnsi="Arial" w:cs="Arial"/>
          <w:sz w:val="20"/>
          <w:szCs w:val="20"/>
        </w:rPr>
        <w:t>the</w:t>
      </w:r>
      <w:r w:rsidRPr="00241C2E">
        <w:rPr>
          <w:rFonts w:ascii="Arial" w:hAnsi="Arial" w:cs="Arial"/>
          <w:spacing w:val="-2"/>
          <w:sz w:val="20"/>
          <w:szCs w:val="20"/>
        </w:rPr>
        <w:t xml:space="preserve"> </w:t>
      </w:r>
      <w:r w:rsidRPr="00241C2E">
        <w:rPr>
          <w:rFonts w:ascii="Arial" w:hAnsi="Arial" w:cs="Arial"/>
          <w:sz w:val="20"/>
          <w:szCs w:val="20"/>
        </w:rPr>
        <w:t>envelope.</w:t>
      </w:r>
    </w:p>
    <w:p w14:paraId="7C8E259F" w14:textId="77777777" w:rsidR="00241C2E" w:rsidRPr="00241C2E" w:rsidRDefault="00241C2E" w:rsidP="00AB16A5">
      <w:pPr>
        <w:pStyle w:val="ListParagraph"/>
        <w:numPr>
          <w:ilvl w:val="0"/>
          <w:numId w:val="359"/>
        </w:numPr>
        <w:tabs>
          <w:tab w:val="left" w:pos="706"/>
          <w:tab w:val="left" w:pos="707"/>
        </w:tabs>
        <w:jc w:val="both"/>
        <w:rPr>
          <w:rFonts w:ascii="Arial" w:hAnsi="Arial" w:cs="Arial"/>
          <w:sz w:val="20"/>
          <w:szCs w:val="20"/>
        </w:rPr>
      </w:pPr>
      <w:r w:rsidRPr="00241C2E">
        <w:rPr>
          <w:rFonts w:ascii="Arial" w:hAnsi="Arial" w:cs="Arial"/>
          <w:sz w:val="20"/>
          <w:szCs w:val="20"/>
        </w:rPr>
        <w:t>Arming</w:t>
      </w:r>
      <w:r w:rsidRPr="00241C2E">
        <w:rPr>
          <w:rFonts w:ascii="Arial" w:hAnsi="Arial" w:cs="Arial"/>
          <w:spacing w:val="-1"/>
          <w:sz w:val="20"/>
          <w:szCs w:val="20"/>
        </w:rPr>
        <w:t xml:space="preserve"> </w:t>
      </w:r>
      <w:r w:rsidRPr="00241C2E">
        <w:rPr>
          <w:rFonts w:ascii="Arial" w:hAnsi="Arial" w:cs="Arial"/>
          <w:sz w:val="20"/>
          <w:szCs w:val="20"/>
        </w:rPr>
        <w:t>cords</w:t>
      </w:r>
    </w:p>
    <w:p w14:paraId="744643FD" w14:textId="77777777" w:rsidR="00241C2E" w:rsidRPr="00241C2E" w:rsidRDefault="00241C2E" w:rsidP="00241C2E">
      <w:pPr>
        <w:pStyle w:val="BodyText"/>
        <w:spacing w:before="123" w:line="237" w:lineRule="auto"/>
        <w:ind w:left="706"/>
        <w:jc w:val="both"/>
        <w:rPr>
          <w:rFonts w:ascii="Arial" w:hAnsi="Arial" w:cs="Arial"/>
          <w:sz w:val="20"/>
          <w:szCs w:val="20"/>
        </w:rPr>
      </w:pPr>
      <w:r w:rsidRPr="00241C2E">
        <w:rPr>
          <w:rFonts w:ascii="Arial" w:hAnsi="Arial" w:cs="Arial"/>
          <w:sz w:val="20"/>
          <w:szCs w:val="20"/>
        </w:rPr>
        <w:t>If</w:t>
      </w:r>
      <w:r w:rsidRPr="00241C2E">
        <w:rPr>
          <w:rFonts w:ascii="Arial" w:hAnsi="Arial" w:cs="Arial"/>
          <w:spacing w:val="-5"/>
          <w:sz w:val="20"/>
          <w:szCs w:val="20"/>
        </w:rPr>
        <w:t xml:space="preserve"> </w:t>
      </w:r>
      <w:r w:rsidRPr="00241C2E">
        <w:rPr>
          <w:rFonts w:ascii="Arial" w:hAnsi="Arial" w:cs="Arial"/>
          <w:sz w:val="20"/>
          <w:szCs w:val="20"/>
        </w:rPr>
        <w:t>an</w:t>
      </w:r>
      <w:r w:rsidRPr="00241C2E">
        <w:rPr>
          <w:rFonts w:ascii="Arial" w:hAnsi="Arial" w:cs="Arial"/>
          <w:spacing w:val="-5"/>
          <w:sz w:val="20"/>
          <w:szCs w:val="20"/>
        </w:rPr>
        <w:t xml:space="preserve"> </w:t>
      </w:r>
      <w:r w:rsidRPr="00241C2E">
        <w:rPr>
          <w:rFonts w:ascii="Arial" w:hAnsi="Arial" w:cs="Arial"/>
          <w:sz w:val="20"/>
          <w:szCs w:val="20"/>
        </w:rPr>
        <w:t>arming</w:t>
      </w:r>
      <w:r w:rsidRPr="00241C2E">
        <w:rPr>
          <w:rFonts w:ascii="Arial" w:hAnsi="Arial" w:cs="Arial"/>
          <w:spacing w:val="-5"/>
          <w:sz w:val="20"/>
          <w:szCs w:val="20"/>
        </w:rPr>
        <w:t xml:space="preserve"> </w:t>
      </w:r>
      <w:r w:rsidRPr="00241C2E">
        <w:rPr>
          <w:rFonts w:ascii="Arial" w:hAnsi="Arial" w:cs="Arial"/>
          <w:sz w:val="20"/>
          <w:szCs w:val="20"/>
        </w:rPr>
        <w:t>device</w:t>
      </w:r>
      <w:r w:rsidRPr="00241C2E">
        <w:rPr>
          <w:rFonts w:ascii="Arial" w:hAnsi="Arial" w:cs="Arial"/>
          <w:spacing w:val="-4"/>
          <w:sz w:val="20"/>
          <w:szCs w:val="20"/>
        </w:rPr>
        <w:t xml:space="preserve"> </w:t>
      </w:r>
      <w:r w:rsidRPr="00241C2E">
        <w:rPr>
          <w:rFonts w:ascii="Arial" w:hAnsi="Arial" w:cs="Arial"/>
          <w:sz w:val="20"/>
          <w:szCs w:val="20"/>
        </w:rPr>
        <w:t>is</w:t>
      </w:r>
      <w:r w:rsidRPr="00241C2E">
        <w:rPr>
          <w:rFonts w:ascii="Arial" w:hAnsi="Arial" w:cs="Arial"/>
          <w:spacing w:val="-4"/>
          <w:sz w:val="20"/>
          <w:szCs w:val="20"/>
        </w:rPr>
        <w:t xml:space="preserve"> </w:t>
      </w:r>
      <w:r w:rsidRPr="00241C2E">
        <w:rPr>
          <w:rFonts w:ascii="Arial" w:hAnsi="Arial" w:cs="Arial"/>
          <w:sz w:val="20"/>
          <w:szCs w:val="20"/>
        </w:rPr>
        <w:t>employed</w:t>
      </w:r>
      <w:r w:rsidRPr="00241C2E">
        <w:rPr>
          <w:rFonts w:ascii="Arial" w:hAnsi="Arial" w:cs="Arial"/>
          <w:spacing w:val="-3"/>
          <w:sz w:val="20"/>
          <w:szCs w:val="20"/>
        </w:rPr>
        <w:t xml:space="preserve"> </w:t>
      </w:r>
      <w:r w:rsidRPr="00241C2E">
        <w:rPr>
          <w:rFonts w:ascii="Arial" w:hAnsi="Arial" w:cs="Arial"/>
          <w:sz w:val="20"/>
          <w:szCs w:val="20"/>
        </w:rPr>
        <w:t>to</w:t>
      </w:r>
      <w:r w:rsidRPr="00241C2E">
        <w:rPr>
          <w:rFonts w:ascii="Arial" w:hAnsi="Arial" w:cs="Arial"/>
          <w:spacing w:val="-3"/>
          <w:sz w:val="20"/>
          <w:szCs w:val="20"/>
        </w:rPr>
        <w:t xml:space="preserve"> </w:t>
      </w:r>
      <w:r w:rsidRPr="00241C2E">
        <w:rPr>
          <w:rFonts w:ascii="Arial" w:hAnsi="Arial" w:cs="Arial"/>
          <w:sz w:val="20"/>
          <w:szCs w:val="20"/>
        </w:rPr>
        <w:t>prevent</w:t>
      </w:r>
      <w:r w:rsidRPr="00241C2E">
        <w:rPr>
          <w:rFonts w:ascii="Arial" w:hAnsi="Arial" w:cs="Arial"/>
          <w:spacing w:val="-4"/>
          <w:sz w:val="20"/>
          <w:szCs w:val="20"/>
        </w:rPr>
        <w:t xml:space="preserve"> </w:t>
      </w:r>
      <w:r w:rsidRPr="00241C2E">
        <w:rPr>
          <w:rFonts w:ascii="Arial" w:hAnsi="Arial" w:cs="Arial"/>
          <w:sz w:val="20"/>
          <w:szCs w:val="20"/>
        </w:rPr>
        <w:t>inadvertent</w:t>
      </w:r>
      <w:r w:rsidRPr="00241C2E">
        <w:rPr>
          <w:rFonts w:ascii="Arial" w:hAnsi="Arial" w:cs="Arial"/>
          <w:spacing w:val="-4"/>
          <w:sz w:val="20"/>
          <w:szCs w:val="20"/>
        </w:rPr>
        <w:t xml:space="preserve"> </w:t>
      </w:r>
      <w:r w:rsidRPr="00241C2E">
        <w:rPr>
          <w:rFonts w:ascii="Arial" w:hAnsi="Arial" w:cs="Arial"/>
          <w:sz w:val="20"/>
          <w:szCs w:val="20"/>
        </w:rPr>
        <w:t>operation</w:t>
      </w:r>
      <w:r w:rsidRPr="00241C2E">
        <w:rPr>
          <w:rFonts w:ascii="Arial" w:hAnsi="Arial" w:cs="Arial"/>
          <w:spacing w:val="-7"/>
          <w:sz w:val="20"/>
          <w:szCs w:val="20"/>
        </w:rPr>
        <w:t xml:space="preserve"> </w:t>
      </w:r>
      <w:r w:rsidRPr="00241C2E">
        <w:rPr>
          <w:rFonts w:ascii="Arial" w:hAnsi="Arial" w:cs="Arial"/>
          <w:sz w:val="20"/>
          <w:szCs w:val="20"/>
        </w:rPr>
        <w:t>of</w:t>
      </w:r>
      <w:r w:rsidRPr="00241C2E">
        <w:rPr>
          <w:rFonts w:ascii="Arial" w:hAnsi="Arial" w:cs="Arial"/>
          <w:spacing w:val="-3"/>
          <w:sz w:val="20"/>
          <w:szCs w:val="20"/>
        </w:rPr>
        <w:t xml:space="preserve"> </w:t>
      </w:r>
      <w:r w:rsidRPr="00241C2E">
        <w:rPr>
          <w:rFonts w:ascii="Arial" w:hAnsi="Arial" w:cs="Arial"/>
          <w:sz w:val="20"/>
          <w:szCs w:val="20"/>
        </w:rPr>
        <w:t>an</w:t>
      </w:r>
      <w:r w:rsidRPr="00241C2E">
        <w:rPr>
          <w:rFonts w:ascii="Arial" w:hAnsi="Arial" w:cs="Arial"/>
          <w:spacing w:val="-5"/>
          <w:sz w:val="20"/>
          <w:szCs w:val="20"/>
        </w:rPr>
        <w:t xml:space="preserve"> </w:t>
      </w:r>
      <w:r w:rsidRPr="00241C2E">
        <w:rPr>
          <w:rFonts w:ascii="Arial" w:hAnsi="Arial" w:cs="Arial"/>
          <w:sz w:val="20"/>
          <w:szCs w:val="20"/>
        </w:rPr>
        <w:t>irreversible</w:t>
      </w:r>
      <w:r w:rsidRPr="00241C2E">
        <w:rPr>
          <w:rFonts w:ascii="Arial" w:hAnsi="Arial" w:cs="Arial"/>
          <w:spacing w:val="-4"/>
          <w:sz w:val="20"/>
          <w:szCs w:val="20"/>
        </w:rPr>
        <w:t xml:space="preserve"> </w:t>
      </w:r>
      <w:r w:rsidRPr="00241C2E">
        <w:rPr>
          <w:rFonts w:ascii="Arial" w:hAnsi="Arial" w:cs="Arial"/>
          <w:sz w:val="20"/>
          <w:szCs w:val="20"/>
        </w:rPr>
        <w:t>control,</w:t>
      </w:r>
      <w:r w:rsidRPr="00241C2E">
        <w:rPr>
          <w:rFonts w:ascii="Arial" w:hAnsi="Arial" w:cs="Arial"/>
          <w:spacing w:val="-4"/>
          <w:sz w:val="20"/>
          <w:szCs w:val="20"/>
        </w:rPr>
        <w:t xml:space="preserve"> </w:t>
      </w:r>
      <w:r w:rsidRPr="00241C2E">
        <w:rPr>
          <w:rFonts w:ascii="Arial" w:hAnsi="Arial" w:cs="Arial"/>
          <w:sz w:val="20"/>
          <w:szCs w:val="20"/>
        </w:rPr>
        <w:t>the</w:t>
      </w:r>
      <w:r w:rsidRPr="00241C2E">
        <w:rPr>
          <w:rFonts w:ascii="Arial" w:hAnsi="Arial" w:cs="Arial"/>
          <w:spacing w:val="-47"/>
          <w:sz w:val="20"/>
          <w:szCs w:val="20"/>
        </w:rPr>
        <w:t xml:space="preserve"> </w:t>
      </w:r>
      <w:r w:rsidRPr="00241C2E">
        <w:rPr>
          <w:rFonts w:ascii="Arial" w:hAnsi="Arial" w:cs="Arial"/>
          <w:sz w:val="20"/>
          <w:szCs w:val="20"/>
        </w:rPr>
        <w:t>part</w:t>
      </w:r>
      <w:r w:rsidRPr="00241C2E">
        <w:rPr>
          <w:rFonts w:ascii="Arial" w:hAnsi="Arial" w:cs="Arial"/>
          <w:spacing w:val="-1"/>
          <w:sz w:val="20"/>
          <w:szCs w:val="20"/>
        </w:rPr>
        <w:t xml:space="preserve"> </w:t>
      </w:r>
      <w:r w:rsidRPr="00241C2E">
        <w:rPr>
          <w:rFonts w:ascii="Arial" w:hAnsi="Arial" w:cs="Arial"/>
          <w:sz w:val="20"/>
          <w:szCs w:val="20"/>
        </w:rPr>
        <w:t>of</w:t>
      </w:r>
      <w:r w:rsidRPr="00241C2E">
        <w:rPr>
          <w:rFonts w:ascii="Arial" w:hAnsi="Arial" w:cs="Arial"/>
          <w:spacing w:val="-3"/>
          <w:sz w:val="20"/>
          <w:szCs w:val="20"/>
        </w:rPr>
        <w:t xml:space="preserve"> </w:t>
      </w:r>
      <w:r w:rsidRPr="00241C2E">
        <w:rPr>
          <w:rFonts w:ascii="Arial" w:hAnsi="Arial" w:cs="Arial"/>
          <w:sz w:val="20"/>
          <w:szCs w:val="20"/>
        </w:rPr>
        <w:t>the</w:t>
      </w:r>
      <w:r w:rsidRPr="00241C2E">
        <w:rPr>
          <w:rFonts w:ascii="Arial" w:hAnsi="Arial" w:cs="Arial"/>
          <w:spacing w:val="-2"/>
          <w:sz w:val="20"/>
          <w:szCs w:val="20"/>
        </w:rPr>
        <w:t xml:space="preserve"> </w:t>
      </w:r>
      <w:r w:rsidRPr="00241C2E">
        <w:rPr>
          <w:rFonts w:ascii="Arial" w:hAnsi="Arial" w:cs="Arial"/>
          <w:sz w:val="20"/>
          <w:szCs w:val="20"/>
        </w:rPr>
        <w:t>cord</w:t>
      </w:r>
      <w:r w:rsidRPr="00241C2E">
        <w:rPr>
          <w:rFonts w:ascii="Arial" w:hAnsi="Arial" w:cs="Arial"/>
          <w:spacing w:val="-4"/>
          <w:sz w:val="20"/>
          <w:szCs w:val="20"/>
        </w:rPr>
        <w:t xml:space="preserve"> </w:t>
      </w:r>
      <w:r w:rsidRPr="00241C2E">
        <w:rPr>
          <w:rFonts w:ascii="Arial" w:hAnsi="Arial" w:cs="Arial"/>
          <w:sz w:val="20"/>
          <w:szCs w:val="20"/>
        </w:rPr>
        <w:t>to</w:t>
      </w:r>
      <w:r w:rsidRPr="00241C2E">
        <w:rPr>
          <w:rFonts w:ascii="Arial" w:hAnsi="Arial" w:cs="Arial"/>
          <w:spacing w:val="-1"/>
          <w:sz w:val="20"/>
          <w:szCs w:val="20"/>
        </w:rPr>
        <w:t xml:space="preserve"> </w:t>
      </w:r>
      <w:r w:rsidRPr="00241C2E">
        <w:rPr>
          <w:rFonts w:ascii="Arial" w:hAnsi="Arial" w:cs="Arial"/>
          <w:sz w:val="20"/>
          <w:szCs w:val="20"/>
        </w:rPr>
        <w:t>be</w:t>
      </w:r>
      <w:r w:rsidRPr="00241C2E">
        <w:rPr>
          <w:rFonts w:ascii="Arial" w:hAnsi="Arial" w:cs="Arial"/>
          <w:spacing w:val="-1"/>
          <w:sz w:val="20"/>
          <w:szCs w:val="20"/>
        </w:rPr>
        <w:t xml:space="preserve"> </w:t>
      </w:r>
      <w:r w:rsidRPr="00241C2E">
        <w:rPr>
          <w:rFonts w:ascii="Arial" w:hAnsi="Arial" w:cs="Arial"/>
          <w:sz w:val="20"/>
          <w:szCs w:val="20"/>
        </w:rPr>
        <w:t>handled</w:t>
      </w:r>
      <w:r w:rsidRPr="00241C2E">
        <w:rPr>
          <w:rFonts w:ascii="Arial" w:hAnsi="Arial" w:cs="Arial"/>
          <w:spacing w:val="-1"/>
          <w:sz w:val="20"/>
          <w:szCs w:val="20"/>
        </w:rPr>
        <w:t xml:space="preserve"> </w:t>
      </w:r>
      <w:r w:rsidRPr="00241C2E">
        <w:rPr>
          <w:rFonts w:ascii="Arial" w:hAnsi="Arial" w:cs="Arial"/>
          <w:sz w:val="20"/>
          <w:szCs w:val="20"/>
        </w:rPr>
        <w:t>by</w:t>
      </w:r>
      <w:r w:rsidRPr="00241C2E">
        <w:rPr>
          <w:rFonts w:ascii="Arial" w:hAnsi="Arial" w:cs="Arial"/>
          <w:spacing w:val="-1"/>
          <w:sz w:val="20"/>
          <w:szCs w:val="20"/>
        </w:rPr>
        <w:t xml:space="preserve"> </w:t>
      </w:r>
      <w:r w:rsidRPr="00241C2E">
        <w:rPr>
          <w:rFonts w:ascii="Arial" w:hAnsi="Arial" w:cs="Arial"/>
          <w:sz w:val="20"/>
          <w:szCs w:val="20"/>
        </w:rPr>
        <w:t>the</w:t>
      </w:r>
      <w:r w:rsidRPr="00241C2E">
        <w:rPr>
          <w:rFonts w:ascii="Arial" w:hAnsi="Arial" w:cs="Arial"/>
          <w:spacing w:val="1"/>
          <w:sz w:val="20"/>
          <w:szCs w:val="20"/>
        </w:rPr>
        <w:t xml:space="preserve"> </w:t>
      </w:r>
      <w:r w:rsidRPr="00241C2E">
        <w:rPr>
          <w:rFonts w:ascii="Arial" w:hAnsi="Arial" w:cs="Arial"/>
          <w:sz w:val="20"/>
          <w:szCs w:val="20"/>
        </w:rPr>
        <w:t>pilot</w:t>
      </w:r>
      <w:r w:rsidRPr="00241C2E">
        <w:rPr>
          <w:rFonts w:ascii="Arial" w:hAnsi="Arial" w:cs="Arial"/>
          <w:spacing w:val="-3"/>
          <w:sz w:val="20"/>
          <w:szCs w:val="20"/>
        </w:rPr>
        <w:t xml:space="preserve"> </w:t>
      </w:r>
      <w:r w:rsidRPr="00241C2E">
        <w:rPr>
          <w:rFonts w:ascii="Arial" w:hAnsi="Arial" w:cs="Arial"/>
          <w:sz w:val="20"/>
          <w:szCs w:val="20"/>
        </w:rPr>
        <w:t>must</w:t>
      </w:r>
      <w:r w:rsidRPr="00241C2E">
        <w:rPr>
          <w:rFonts w:ascii="Arial" w:hAnsi="Arial" w:cs="Arial"/>
          <w:spacing w:val="1"/>
          <w:sz w:val="20"/>
          <w:szCs w:val="20"/>
        </w:rPr>
        <w:t xml:space="preserve"> </w:t>
      </w:r>
      <w:r w:rsidRPr="00241C2E">
        <w:rPr>
          <w:rFonts w:ascii="Arial" w:hAnsi="Arial" w:cs="Arial"/>
          <w:sz w:val="20"/>
          <w:szCs w:val="20"/>
        </w:rPr>
        <w:t>be</w:t>
      </w:r>
      <w:r w:rsidRPr="00241C2E">
        <w:rPr>
          <w:rFonts w:ascii="Arial" w:hAnsi="Arial" w:cs="Arial"/>
          <w:spacing w:val="-3"/>
          <w:sz w:val="20"/>
          <w:szCs w:val="20"/>
        </w:rPr>
        <w:t xml:space="preserve"> </w:t>
      </w:r>
      <w:r w:rsidRPr="00241C2E">
        <w:rPr>
          <w:rFonts w:ascii="Arial" w:hAnsi="Arial" w:cs="Arial"/>
          <w:sz w:val="20"/>
          <w:szCs w:val="20"/>
        </w:rPr>
        <w:t>coloured with</w:t>
      </w:r>
      <w:r w:rsidRPr="00241C2E">
        <w:rPr>
          <w:rFonts w:ascii="Arial" w:hAnsi="Arial" w:cs="Arial"/>
          <w:spacing w:val="-1"/>
          <w:sz w:val="20"/>
          <w:szCs w:val="20"/>
        </w:rPr>
        <w:t xml:space="preserve"> </w:t>
      </w:r>
      <w:r w:rsidRPr="00241C2E">
        <w:rPr>
          <w:rFonts w:ascii="Arial" w:hAnsi="Arial" w:cs="Arial"/>
          <w:sz w:val="20"/>
          <w:szCs w:val="20"/>
        </w:rPr>
        <w:t>yellow</w:t>
      </w:r>
      <w:r w:rsidRPr="00241C2E">
        <w:rPr>
          <w:rFonts w:ascii="Arial" w:hAnsi="Arial" w:cs="Arial"/>
          <w:spacing w:val="1"/>
          <w:sz w:val="20"/>
          <w:szCs w:val="20"/>
        </w:rPr>
        <w:t xml:space="preserve"> </w:t>
      </w:r>
      <w:r w:rsidRPr="00241C2E">
        <w:rPr>
          <w:rFonts w:ascii="Arial" w:hAnsi="Arial" w:cs="Arial"/>
          <w:sz w:val="20"/>
          <w:szCs w:val="20"/>
        </w:rPr>
        <w:t>and</w:t>
      </w:r>
      <w:r w:rsidRPr="00241C2E">
        <w:rPr>
          <w:rFonts w:ascii="Arial" w:hAnsi="Arial" w:cs="Arial"/>
          <w:spacing w:val="-2"/>
          <w:sz w:val="20"/>
          <w:szCs w:val="20"/>
        </w:rPr>
        <w:t xml:space="preserve"> </w:t>
      </w:r>
      <w:r w:rsidRPr="00241C2E">
        <w:rPr>
          <w:rFonts w:ascii="Arial" w:hAnsi="Arial" w:cs="Arial"/>
          <w:sz w:val="20"/>
          <w:szCs w:val="20"/>
        </w:rPr>
        <w:t>black</w:t>
      </w:r>
      <w:r w:rsidRPr="00241C2E">
        <w:rPr>
          <w:rFonts w:ascii="Arial" w:hAnsi="Arial" w:cs="Arial"/>
          <w:spacing w:val="1"/>
          <w:sz w:val="20"/>
          <w:szCs w:val="20"/>
        </w:rPr>
        <w:t xml:space="preserve"> </w:t>
      </w:r>
      <w:r w:rsidRPr="00241C2E">
        <w:rPr>
          <w:rFonts w:ascii="Arial" w:hAnsi="Arial" w:cs="Arial"/>
          <w:sz w:val="20"/>
          <w:szCs w:val="20"/>
        </w:rPr>
        <w:t>bands.</w:t>
      </w:r>
    </w:p>
    <w:p w14:paraId="46AB2B3C" w14:textId="77777777" w:rsidR="00241C2E" w:rsidRPr="00241C2E" w:rsidRDefault="00241C2E" w:rsidP="00AB16A5">
      <w:pPr>
        <w:pStyle w:val="ListParagraph"/>
        <w:numPr>
          <w:ilvl w:val="0"/>
          <w:numId w:val="359"/>
        </w:numPr>
        <w:tabs>
          <w:tab w:val="left" w:pos="706"/>
          <w:tab w:val="left" w:pos="707"/>
        </w:tabs>
        <w:spacing w:before="121"/>
        <w:jc w:val="both"/>
        <w:rPr>
          <w:rFonts w:ascii="Arial" w:hAnsi="Arial" w:cs="Arial"/>
          <w:sz w:val="20"/>
          <w:szCs w:val="20"/>
        </w:rPr>
      </w:pPr>
      <w:r w:rsidRPr="00241C2E">
        <w:rPr>
          <w:rFonts w:ascii="Arial" w:hAnsi="Arial" w:cs="Arial"/>
          <w:sz w:val="20"/>
          <w:szCs w:val="20"/>
        </w:rPr>
        <w:t>Venting</w:t>
      </w:r>
      <w:r w:rsidRPr="00241C2E">
        <w:rPr>
          <w:rFonts w:ascii="Arial" w:hAnsi="Arial" w:cs="Arial"/>
          <w:spacing w:val="-1"/>
          <w:sz w:val="20"/>
          <w:szCs w:val="20"/>
        </w:rPr>
        <w:t xml:space="preserve"> </w:t>
      </w:r>
      <w:r w:rsidRPr="00241C2E">
        <w:rPr>
          <w:rFonts w:ascii="Arial" w:hAnsi="Arial" w:cs="Arial"/>
          <w:sz w:val="20"/>
          <w:szCs w:val="20"/>
        </w:rPr>
        <w:t>cords</w:t>
      </w:r>
    </w:p>
    <w:p w14:paraId="2FA66D0C" w14:textId="77777777" w:rsidR="00241C2E" w:rsidRPr="00241C2E" w:rsidRDefault="00241C2E" w:rsidP="00AB16A5">
      <w:pPr>
        <w:pStyle w:val="ListParagraph"/>
        <w:numPr>
          <w:ilvl w:val="1"/>
          <w:numId w:val="359"/>
        </w:numPr>
        <w:tabs>
          <w:tab w:val="left" w:pos="1274"/>
        </w:tabs>
        <w:ind w:right="196"/>
        <w:jc w:val="both"/>
        <w:rPr>
          <w:rFonts w:ascii="Arial" w:hAnsi="Arial" w:cs="Arial"/>
          <w:sz w:val="20"/>
          <w:szCs w:val="20"/>
        </w:rPr>
      </w:pPr>
      <w:r w:rsidRPr="00241C2E">
        <w:rPr>
          <w:rFonts w:ascii="Arial" w:hAnsi="Arial" w:cs="Arial"/>
          <w:sz w:val="20"/>
          <w:szCs w:val="20"/>
        </w:rPr>
        <w:t>If a venting cord is used to allow controlled release of the lifting gas and the vent can be</w:t>
      </w:r>
      <w:r w:rsidRPr="00241C2E">
        <w:rPr>
          <w:rFonts w:ascii="Arial" w:hAnsi="Arial" w:cs="Arial"/>
          <w:spacing w:val="1"/>
          <w:sz w:val="20"/>
          <w:szCs w:val="20"/>
        </w:rPr>
        <w:t xml:space="preserve"> </w:t>
      </w:r>
      <w:r w:rsidRPr="00241C2E">
        <w:rPr>
          <w:rFonts w:ascii="Arial" w:hAnsi="Arial" w:cs="Arial"/>
          <w:sz w:val="20"/>
          <w:szCs w:val="20"/>
        </w:rPr>
        <w:t>resealed in flight, the part of the cord to be handled by the pilot must be coloured with</w:t>
      </w:r>
      <w:r w:rsidRPr="00241C2E">
        <w:rPr>
          <w:rFonts w:ascii="Arial" w:hAnsi="Arial" w:cs="Arial"/>
          <w:spacing w:val="1"/>
          <w:sz w:val="20"/>
          <w:szCs w:val="20"/>
        </w:rPr>
        <w:t xml:space="preserve"> </w:t>
      </w:r>
      <w:r w:rsidRPr="00241C2E">
        <w:rPr>
          <w:rFonts w:ascii="Arial" w:hAnsi="Arial" w:cs="Arial"/>
          <w:sz w:val="20"/>
          <w:szCs w:val="20"/>
        </w:rPr>
        <w:t>red</w:t>
      </w:r>
      <w:r w:rsidRPr="00241C2E">
        <w:rPr>
          <w:rFonts w:ascii="Arial" w:hAnsi="Arial" w:cs="Arial"/>
          <w:spacing w:val="-1"/>
          <w:sz w:val="20"/>
          <w:szCs w:val="20"/>
        </w:rPr>
        <w:t xml:space="preserve"> </w:t>
      </w:r>
      <w:r w:rsidRPr="00241C2E">
        <w:rPr>
          <w:rFonts w:ascii="Arial" w:hAnsi="Arial" w:cs="Arial"/>
          <w:sz w:val="20"/>
          <w:szCs w:val="20"/>
        </w:rPr>
        <w:t>and</w:t>
      </w:r>
      <w:r w:rsidRPr="00241C2E">
        <w:rPr>
          <w:rFonts w:ascii="Arial" w:hAnsi="Arial" w:cs="Arial"/>
          <w:spacing w:val="-1"/>
          <w:sz w:val="20"/>
          <w:szCs w:val="20"/>
        </w:rPr>
        <w:t xml:space="preserve"> </w:t>
      </w:r>
      <w:r w:rsidRPr="00241C2E">
        <w:rPr>
          <w:rFonts w:ascii="Arial" w:hAnsi="Arial" w:cs="Arial"/>
          <w:sz w:val="20"/>
          <w:szCs w:val="20"/>
        </w:rPr>
        <w:t>white</w:t>
      </w:r>
      <w:r w:rsidRPr="00241C2E">
        <w:rPr>
          <w:rFonts w:ascii="Arial" w:hAnsi="Arial" w:cs="Arial"/>
          <w:spacing w:val="1"/>
          <w:sz w:val="20"/>
          <w:szCs w:val="20"/>
        </w:rPr>
        <w:t xml:space="preserve"> </w:t>
      </w:r>
      <w:r w:rsidRPr="00241C2E">
        <w:rPr>
          <w:rFonts w:ascii="Arial" w:hAnsi="Arial" w:cs="Arial"/>
          <w:sz w:val="20"/>
          <w:szCs w:val="20"/>
        </w:rPr>
        <w:t>bands.</w:t>
      </w:r>
    </w:p>
    <w:p w14:paraId="1EB22D71" w14:textId="77777777" w:rsidR="00241C2E" w:rsidRPr="00241C2E" w:rsidRDefault="00241C2E" w:rsidP="00AB16A5">
      <w:pPr>
        <w:pStyle w:val="ListParagraph"/>
        <w:numPr>
          <w:ilvl w:val="1"/>
          <w:numId w:val="359"/>
        </w:numPr>
        <w:tabs>
          <w:tab w:val="left" w:pos="1274"/>
        </w:tabs>
        <w:spacing w:before="122"/>
        <w:ind w:right="196"/>
        <w:jc w:val="both"/>
        <w:rPr>
          <w:rFonts w:ascii="Arial" w:hAnsi="Arial" w:cs="Arial"/>
          <w:sz w:val="20"/>
          <w:szCs w:val="20"/>
        </w:rPr>
      </w:pPr>
      <w:r w:rsidRPr="00241C2E">
        <w:rPr>
          <w:rFonts w:ascii="Arial" w:hAnsi="Arial" w:cs="Arial"/>
          <w:sz w:val="20"/>
          <w:szCs w:val="20"/>
        </w:rPr>
        <w:t>If a further cord is required to reseal any vent, the part of the cord handled by the pilot</w:t>
      </w:r>
      <w:r w:rsidRPr="00241C2E">
        <w:rPr>
          <w:rFonts w:ascii="Arial" w:hAnsi="Arial" w:cs="Arial"/>
          <w:spacing w:val="1"/>
          <w:sz w:val="20"/>
          <w:szCs w:val="20"/>
        </w:rPr>
        <w:t xml:space="preserve"> </w:t>
      </w:r>
      <w:r w:rsidRPr="00241C2E">
        <w:rPr>
          <w:rFonts w:ascii="Arial" w:hAnsi="Arial" w:cs="Arial"/>
          <w:sz w:val="20"/>
          <w:szCs w:val="20"/>
        </w:rPr>
        <w:t>must be</w:t>
      </w:r>
      <w:r w:rsidRPr="00241C2E">
        <w:rPr>
          <w:rFonts w:ascii="Arial" w:hAnsi="Arial" w:cs="Arial"/>
          <w:spacing w:val="1"/>
          <w:sz w:val="20"/>
          <w:szCs w:val="20"/>
        </w:rPr>
        <w:t xml:space="preserve"> </w:t>
      </w:r>
      <w:r w:rsidRPr="00241C2E">
        <w:rPr>
          <w:rFonts w:ascii="Arial" w:hAnsi="Arial" w:cs="Arial"/>
          <w:sz w:val="20"/>
          <w:szCs w:val="20"/>
        </w:rPr>
        <w:t>coloured white.</w:t>
      </w:r>
    </w:p>
    <w:p w14:paraId="348617DA" w14:textId="77777777" w:rsidR="00241C2E" w:rsidRPr="00241C2E" w:rsidRDefault="00241C2E" w:rsidP="00AB16A5">
      <w:pPr>
        <w:pStyle w:val="ListParagraph"/>
        <w:numPr>
          <w:ilvl w:val="0"/>
          <w:numId w:val="359"/>
        </w:numPr>
        <w:tabs>
          <w:tab w:val="left" w:pos="707"/>
        </w:tabs>
        <w:jc w:val="both"/>
        <w:rPr>
          <w:rFonts w:ascii="Arial" w:hAnsi="Arial" w:cs="Arial"/>
          <w:sz w:val="20"/>
          <w:szCs w:val="20"/>
        </w:rPr>
      </w:pPr>
      <w:r w:rsidRPr="00241C2E">
        <w:rPr>
          <w:rFonts w:ascii="Arial" w:hAnsi="Arial" w:cs="Arial"/>
          <w:sz w:val="20"/>
          <w:szCs w:val="20"/>
        </w:rPr>
        <w:t>Rapid</w:t>
      </w:r>
      <w:r w:rsidRPr="00241C2E">
        <w:rPr>
          <w:rFonts w:ascii="Arial" w:hAnsi="Arial" w:cs="Arial"/>
          <w:spacing w:val="-2"/>
          <w:sz w:val="20"/>
          <w:szCs w:val="20"/>
        </w:rPr>
        <w:t xml:space="preserve"> </w:t>
      </w:r>
      <w:r w:rsidRPr="00241C2E">
        <w:rPr>
          <w:rFonts w:ascii="Arial" w:hAnsi="Arial" w:cs="Arial"/>
          <w:sz w:val="20"/>
          <w:szCs w:val="20"/>
        </w:rPr>
        <w:t>or</w:t>
      </w:r>
      <w:r w:rsidRPr="00241C2E">
        <w:rPr>
          <w:rFonts w:ascii="Arial" w:hAnsi="Arial" w:cs="Arial"/>
          <w:spacing w:val="-3"/>
          <w:sz w:val="20"/>
          <w:szCs w:val="20"/>
        </w:rPr>
        <w:t xml:space="preserve"> </w:t>
      </w:r>
      <w:r w:rsidRPr="00241C2E">
        <w:rPr>
          <w:rFonts w:ascii="Arial" w:hAnsi="Arial" w:cs="Arial"/>
          <w:sz w:val="20"/>
          <w:szCs w:val="20"/>
        </w:rPr>
        <w:t>emergency</w:t>
      </w:r>
      <w:r w:rsidRPr="00241C2E">
        <w:rPr>
          <w:rFonts w:ascii="Arial" w:hAnsi="Arial" w:cs="Arial"/>
          <w:spacing w:val="-1"/>
          <w:sz w:val="20"/>
          <w:szCs w:val="20"/>
        </w:rPr>
        <w:t xml:space="preserve"> </w:t>
      </w:r>
      <w:r w:rsidRPr="00241C2E">
        <w:rPr>
          <w:rFonts w:ascii="Arial" w:hAnsi="Arial" w:cs="Arial"/>
          <w:sz w:val="20"/>
          <w:szCs w:val="20"/>
        </w:rPr>
        <w:t>deflation</w:t>
      </w:r>
      <w:r w:rsidRPr="00241C2E">
        <w:rPr>
          <w:rFonts w:ascii="Arial" w:hAnsi="Arial" w:cs="Arial"/>
          <w:spacing w:val="-1"/>
          <w:sz w:val="20"/>
          <w:szCs w:val="20"/>
        </w:rPr>
        <w:t xml:space="preserve"> </w:t>
      </w:r>
      <w:r w:rsidRPr="00241C2E">
        <w:rPr>
          <w:rFonts w:ascii="Arial" w:hAnsi="Arial" w:cs="Arial"/>
          <w:sz w:val="20"/>
          <w:szCs w:val="20"/>
        </w:rPr>
        <w:t>cords</w:t>
      </w:r>
    </w:p>
    <w:p w14:paraId="174DCAD5" w14:textId="77777777" w:rsidR="00EC2AA3" w:rsidRPr="00241C2E" w:rsidRDefault="00241C2E" w:rsidP="00AB16A5">
      <w:pPr>
        <w:pStyle w:val="ListParagraph"/>
        <w:numPr>
          <w:ilvl w:val="1"/>
          <w:numId w:val="359"/>
        </w:numPr>
        <w:tabs>
          <w:tab w:val="left" w:pos="1274"/>
        </w:tabs>
        <w:ind w:right="195"/>
        <w:jc w:val="both"/>
        <w:rPr>
          <w:rFonts w:ascii="Arial" w:hAnsi="Arial" w:cs="Arial"/>
          <w:sz w:val="20"/>
          <w:szCs w:val="20"/>
        </w:rPr>
      </w:pPr>
      <w:r w:rsidRPr="00241C2E">
        <w:rPr>
          <w:rFonts w:ascii="Arial" w:hAnsi="Arial" w:cs="Arial"/>
          <w:sz w:val="20"/>
          <w:szCs w:val="20"/>
        </w:rPr>
        <w:t>If a cord is used for rapid or emergency deflation of the envelope and the device cannot be resealed in flight, the part of the cord to be handled by the pilot must be coloured</w:t>
      </w:r>
      <w:r w:rsidRPr="00241C2E">
        <w:rPr>
          <w:rFonts w:ascii="Arial" w:hAnsi="Arial" w:cs="Arial"/>
          <w:spacing w:val="-7"/>
          <w:sz w:val="20"/>
          <w:szCs w:val="20"/>
        </w:rPr>
        <w:t xml:space="preserve"> </w:t>
      </w:r>
      <w:r w:rsidRPr="00241C2E">
        <w:rPr>
          <w:rFonts w:ascii="Arial" w:hAnsi="Arial" w:cs="Arial"/>
          <w:sz w:val="20"/>
          <w:szCs w:val="20"/>
        </w:rPr>
        <w:t>red.</w:t>
      </w:r>
    </w:p>
    <w:p w14:paraId="1E6B0F8B" w14:textId="77777777" w:rsidR="00241C2E" w:rsidRPr="00241C2E" w:rsidRDefault="00241C2E" w:rsidP="00AB16A5">
      <w:pPr>
        <w:pStyle w:val="ListParagraph"/>
        <w:numPr>
          <w:ilvl w:val="1"/>
          <w:numId w:val="359"/>
        </w:numPr>
        <w:tabs>
          <w:tab w:val="left" w:pos="1273"/>
          <w:tab w:val="left" w:pos="1274"/>
        </w:tabs>
        <w:spacing w:before="57"/>
        <w:ind w:right="197"/>
        <w:jc w:val="both"/>
        <w:rPr>
          <w:rFonts w:ascii="Arial" w:hAnsi="Arial" w:cs="Arial"/>
          <w:sz w:val="20"/>
          <w:szCs w:val="20"/>
        </w:rPr>
      </w:pPr>
      <w:r w:rsidRPr="00241C2E">
        <w:rPr>
          <w:rFonts w:ascii="Arial" w:hAnsi="Arial" w:cs="Arial"/>
          <w:sz w:val="20"/>
          <w:szCs w:val="20"/>
        </w:rPr>
        <w:t>In</w:t>
      </w:r>
      <w:r w:rsidRPr="00241C2E">
        <w:rPr>
          <w:rFonts w:ascii="Arial" w:hAnsi="Arial" w:cs="Arial"/>
          <w:spacing w:val="1"/>
          <w:sz w:val="20"/>
          <w:szCs w:val="20"/>
        </w:rPr>
        <w:t xml:space="preserve"> </w:t>
      </w:r>
      <w:r w:rsidRPr="00241C2E">
        <w:rPr>
          <w:rFonts w:ascii="Arial" w:hAnsi="Arial" w:cs="Arial"/>
          <w:sz w:val="20"/>
          <w:szCs w:val="20"/>
        </w:rPr>
        <w:t>addition</w:t>
      </w:r>
      <w:r w:rsidRPr="00241C2E">
        <w:rPr>
          <w:rFonts w:ascii="Arial" w:hAnsi="Arial" w:cs="Arial"/>
          <w:spacing w:val="1"/>
          <w:sz w:val="20"/>
          <w:szCs w:val="20"/>
        </w:rPr>
        <w:t xml:space="preserve"> </w:t>
      </w:r>
      <w:r w:rsidRPr="00241C2E">
        <w:rPr>
          <w:rFonts w:ascii="Arial" w:hAnsi="Arial" w:cs="Arial"/>
          <w:sz w:val="20"/>
          <w:szCs w:val="20"/>
        </w:rPr>
        <w:t>to</w:t>
      </w:r>
      <w:r w:rsidRPr="00241C2E">
        <w:rPr>
          <w:rFonts w:ascii="Arial" w:hAnsi="Arial" w:cs="Arial"/>
          <w:spacing w:val="1"/>
          <w:sz w:val="20"/>
          <w:szCs w:val="20"/>
        </w:rPr>
        <w:t xml:space="preserve"> </w:t>
      </w:r>
      <w:r w:rsidRPr="00241C2E">
        <w:rPr>
          <w:rFonts w:ascii="Arial" w:hAnsi="Arial" w:cs="Arial"/>
          <w:sz w:val="20"/>
          <w:szCs w:val="20"/>
        </w:rPr>
        <w:t>the</w:t>
      </w:r>
      <w:r w:rsidRPr="00241C2E">
        <w:rPr>
          <w:rFonts w:ascii="Arial" w:hAnsi="Arial" w:cs="Arial"/>
          <w:spacing w:val="1"/>
          <w:sz w:val="20"/>
          <w:szCs w:val="20"/>
        </w:rPr>
        <w:t xml:space="preserve"> </w:t>
      </w:r>
      <w:r w:rsidRPr="00241C2E">
        <w:rPr>
          <w:rFonts w:ascii="Arial" w:hAnsi="Arial" w:cs="Arial"/>
          <w:sz w:val="20"/>
          <w:szCs w:val="20"/>
        </w:rPr>
        <w:t>force</w:t>
      </w:r>
      <w:r w:rsidRPr="00241C2E">
        <w:rPr>
          <w:rFonts w:ascii="Arial" w:hAnsi="Arial" w:cs="Arial"/>
          <w:spacing w:val="1"/>
          <w:sz w:val="20"/>
          <w:szCs w:val="20"/>
        </w:rPr>
        <w:t xml:space="preserve"> </w:t>
      </w:r>
      <w:r w:rsidRPr="00241C2E">
        <w:rPr>
          <w:rFonts w:ascii="Arial" w:hAnsi="Arial" w:cs="Arial"/>
          <w:sz w:val="20"/>
          <w:szCs w:val="20"/>
        </w:rPr>
        <w:t>requirement</w:t>
      </w:r>
      <w:r w:rsidRPr="00241C2E">
        <w:rPr>
          <w:rFonts w:ascii="Arial" w:hAnsi="Arial" w:cs="Arial"/>
          <w:spacing w:val="1"/>
          <w:sz w:val="20"/>
          <w:szCs w:val="20"/>
        </w:rPr>
        <w:t xml:space="preserve"> </w:t>
      </w:r>
      <w:r w:rsidRPr="00241C2E">
        <w:rPr>
          <w:rFonts w:ascii="Arial" w:hAnsi="Arial" w:cs="Arial"/>
          <w:sz w:val="20"/>
          <w:szCs w:val="20"/>
        </w:rPr>
        <w:t>of 31GB.57(a)(3)</w:t>
      </w:r>
      <w:r w:rsidRPr="00241C2E">
        <w:rPr>
          <w:rFonts w:ascii="Arial" w:hAnsi="Arial" w:cs="Arial"/>
          <w:spacing w:val="1"/>
          <w:sz w:val="20"/>
          <w:szCs w:val="20"/>
        </w:rPr>
        <w:t xml:space="preserve"> </w:t>
      </w:r>
      <w:r w:rsidRPr="00241C2E">
        <w:rPr>
          <w:rFonts w:ascii="Arial" w:hAnsi="Arial" w:cs="Arial"/>
          <w:sz w:val="20"/>
          <w:szCs w:val="20"/>
        </w:rPr>
        <w:t>above,</w:t>
      </w:r>
      <w:r w:rsidRPr="00241C2E">
        <w:rPr>
          <w:rFonts w:ascii="Arial" w:hAnsi="Arial" w:cs="Arial"/>
          <w:spacing w:val="1"/>
          <w:sz w:val="20"/>
          <w:szCs w:val="20"/>
        </w:rPr>
        <w:t xml:space="preserve"> </w:t>
      </w:r>
      <w:r w:rsidRPr="00241C2E">
        <w:rPr>
          <w:rFonts w:ascii="Arial" w:hAnsi="Arial" w:cs="Arial"/>
          <w:sz w:val="20"/>
          <w:szCs w:val="20"/>
        </w:rPr>
        <w:t>the</w:t>
      </w:r>
      <w:r w:rsidRPr="00241C2E">
        <w:rPr>
          <w:rFonts w:ascii="Arial" w:hAnsi="Arial" w:cs="Arial"/>
          <w:spacing w:val="1"/>
          <w:sz w:val="20"/>
          <w:szCs w:val="20"/>
        </w:rPr>
        <w:t xml:space="preserve"> </w:t>
      </w:r>
      <w:r w:rsidRPr="00241C2E">
        <w:rPr>
          <w:rFonts w:ascii="Arial" w:hAnsi="Arial" w:cs="Arial"/>
          <w:sz w:val="20"/>
          <w:szCs w:val="20"/>
        </w:rPr>
        <w:t>force</w:t>
      </w:r>
      <w:r w:rsidRPr="00241C2E">
        <w:rPr>
          <w:rFonts w:ascii="Arial" w:hAnsi="Arial" w:cs="Arial"/>
          <w:spacing w:val="1"/>
          <w:sz w:val="20"/>
          <w:szCs w:val="20"/>
        </w:rPr>
        <w:t xml:space="preserve"> </w:t>
      </w:r>
      <w:r w:rsidRPr="00241C2E">
        <w:rPr>
          <w:rFonts w:ascii="Arial" w:hAnsi="Arial" w:cs="Arial"/>
          <w:sz w:val="20"/>
          <w:szCs w:val="20"/>
        </w:rPr>
        <w:t>required</w:t>
      </w:r>
      <w:r w:rsidRPr="00241C2E">
        <w:rPr>
          <w:rFonts w:ascii="Arial" w:hAnsi="Arial" w:cs="Arial"/>
          <w:spacing w:val="1"/>
          <w:sz w:val="20"/>
          <w:szCs w:val="20"/>
        </w:rPr>
        <w:t xml:space="preserve"> </w:t>
      </w:r>
      <w:r w:rsidRPr="00241C2E">
        <w:rPr>
          <w:rFonts w:ascii="Arial" w:hAnsi="Arial" w:cs="Arial"/>
          <w:sz w:val="20"/>
          <w:szCs w:val="20"/>
        </w:rPr>
        <w:t>to</w:t>
      </w:r>
      <w:r w:rsidRPr="00241C2E">
        <w:rPr>
          <w:rFonts w:ascii="Arial" w:hAnsi="Arial" w:cs="Arial"/>
          <w:spacing w:val="-47"/>
          <w:sz w:val="20"/>
          <w:szCs w:val="20"/>
        </w:rPr>
        <w:t xml:space="preserve"> </w:t>
      </w:r>
      <w:r w:rsidRPr="00241C2E">
        <w:rPr>
          <w:rFonts w:ascii="Arial" w:hAnsi="Arial" w:cs="Arial"/>
          <w:sz w:val="20"/>
          <w:szCs w:val="20"/>
        </w:rPr>
        <w:t>operate an</w:t>
      </w:r>
      <w:r w:rsidRPr="00241C2E">
        <w:rPr>
          <w:rFonts w:ascii="Arial" w:hAnsi="Arial" w:cs="Arial"/>
          <w:spacing w:val="-3"/>
          <w:sz w:val="20"/>
          <w:szCs w:val="20"/>
        </w:rPr>
        <w:t xml:space="preserve"> </w:t>
      </w:r>
      <w:r w:rsidRPr="00241C2E">
        <w:rPr>
          <w:rFonts w:ascii="Arial" w:hAnsi="Arial" w:cs="Arial"/>
          <w:sz w:val="20"/>
          <w:szCs w:val="20"/>
        </w:rPr>
        <w:t>emergency deflation</w:t>
      </w:r>
      <w:r w:rsidRPr="00241C2E">
        <w:rPr>
          <w:rFonts w:ascii="Arial" w:hAnsi="Arial" w:cs="Arial"/>
          <w:spacing w:val="-1"/>
          <w:sz w:val="20"/>
          <w:szCs w:val="20"/>
        </w:rPr>
        <w:t xml:space="preserve"> </w:t>
      </w:r>
      <w:r w:rsidRPr="00241C2E">
        <w:rPr>
          <w:rFonts w:ascii="Arial" w:hAnsi="Arial" w:cs="Arial"/>
          <w:sz w:val="20"/>
          <w:szCs w:val="20"/>
        </w:rPr>
        <w:t>cord</w:t>
      </w:r>
      <w:r w:rsidRPr="00241C2E">
        <w:rPr>
          <w:rFonts w:ascii="Arial" w:hAnsi="Arial" w:cs="Arial"/>
          <w:spacing w:val="-3"/>
          <w:sz w:val="20"/>
          <w:szCs w:val="20"/>
        </w:rPr>
        <w:t xml:space="preserve"> </w:t>
      </w:r>
      <w:r w:rsidRPr="00241C2E">
        <w:rPr>
          <w:rFonts w:ascii="Arial" w:hAnsi="Arial" w:cs="Arial"/>
          <w:sz w:val="20"/>
          <w:szCs w:val="20"/>
        </w:rPr>
        <w:t>must</w:t>
      </w:r>
      <w:r w:rsidRPr="00241C2E">
        <w:rPr>
          <w:rFonts w:ascii="Arial" w:hAnsi="Arial" w:cs="Arial"/>
          <w:spacing w:val="1"/>
          <w:sz w:val="20"/>
          <w:szCs w:val="20"/>
        </w:rPr>
        <w:t xml:space="preserve"> </w:t>
      </w:r>
      <w:r w:rsidRPr="00241C2E">
        <w:rPr>
          <w:rFonts w:ascii="Arial" w:hAnsi="Arial" w:cs="Arial"/>
          <w:sz w:val="20"/>
          <w:szCs w:val="20"/>
        </w:rPr>
        <w:t>not be less</w:t>
      </w:r>
      <w:r w:rsidRPr="00241C2E">
        <w:rPr>
          <w:rFonts w:ascii="Arial" w:hAnsi="Arial" w:cs="Arial"/>
          <w:spacing w:val="-3"/>
          <w:sz w:val="20"/>
          <w:szCs w:val="20"/>
        </w:rPr>
        <w:t xml:space="preserve"> </w:t>
      </w:r>
      <w:r w:rsidRPr="00241C2E">
        <w:rPr>
          <w:rFonts w:ascii="Arial" w:hAnsi="Arial" w:cs="Arial"/>
          <w:sz w:val="20"/>
          <w:szCs w:val="20"/>
        </w:rPr>
        <w:t>than</w:t>
      </w:r>
      <w:r w:rsidRPr="00241C2E">
        <w:rPr>
          <w:rFonts w:ascii="Arial" w:hAnsi="Arial" w:cs="Arial"/>
          <w:spacing w:val="-1"/>
          <w:sz w:val="20"/>
          <w:szCs w:val="20"/>
        </w:rPr>
        <w:t xml:space="preserve"> </w:t>
      </w:r>
      <w:r w:rsidRPr="00241C2E">
        <w:rPr>
          <w:rFonts w:ascii="Arial" w:hAnsi="Arial" w:cs="Arial"/>
          <w:sz w:val="20"/>
          <w:szCs w:val="20"/>
        </w:rPr>
        <w:t>110 N.</w:t>
      </w:r>
    </w:p>
    <w:p w14:paraId="0C4009E3" w14:textId="77777777" w:rsidR="009B2DD4" w:rsidRPr="009B2DD4" w:rsidRDefault="009B2DD4" w:rsidP="009B2DD4">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125" w:name="CS_31GB.59_Baskets"/>
      <w:bookmarkStart w:id="1126" w:name="_bookmark474"/>
      <w:bookmarkStart w:id="1127" w:name="_Toc153137638"/>
      <w:bookmarkEnd w:id="1125"/>
      <w:bookmarkEnd w:id="1126"/>
      <w:r w:rsidRPr="009B2DD4">
        <w:rPr>
          <w:rFonts w:ascii="Arial" w:eastAsia="Times New Roman" w:hAnsi="Arial" w:cs="Times New Roman"/>
          <w:b/>
          <w:iCs/>
          <w:color w:val="FFFFFF"/>
          <w:sz w:val="24"/>
        </w:rPr>
        <w:t>CS 31GB.59 Baskets</w:t>
      </w:r>
      <w:bookmarkEnd w:id="1127"/>
    </w:p>
    <w:p w14:paraId="0FC7FA65" w14:textId="77777777" w:rsidR="009B2DD4" w:rsidRPr="009B2DD4" w:rsidRDefault="009B2DD4" w:rsidP="00AB16A5">
      <w:pPr>
        <w:numPr>
          <w:ilvl w:val="0"/>
          <w:numId w:val="360"/>
        </w:numPr>
        <w:tabs>
          <w:tab w:val="left" w:pos="706"/>
          <w:tab w:val="left" w:pos="707"/>
        </w:tabs>
        <w:spacing w:before="117" w:line="276" w:lineRule="auto"/>
        <w:jc w:val="both"/>
        <w:rPr>
          <w:rFonts w:ascii="Arial" w:hAnsi="Arial" w:cs="Arial"/>
          <w:sz w:val="20"/>
        </w:rPr>
      </w:pPr>
      <w:r w:rsidRPr="009B2DD4">
        <w:rPr>
          <w:rFonts w:ascii="Arial" w:hAnsi="Arial" w:cs="Arial"/>
          <w:sz w:val="20"/>
        </w:rPr>
        <w:t>The</w:t>
      </w:r>
      <w:r w:rsidRPr="009B2DD4">
        <w:rPr>
          <w:rFonts w:ascii="Arial" w:hAnsi="Arial" w:cs="Arial"/>
          <w:spacing w:val="-2"/>
          <w:sz w:val="20"/>
        </w:rPr>
        <w:t xml:space="preserve"> </w:t>
      </w:r>
      <w:r w:rsidRPr="009B2DD4">
        <w:rPr>
          <w:rFonts w:ascii="Arial" w:hAnsi="Arial" w:cs="Arial"/>
          <w:sz w:val="20"/>
        </w:rPr>
        <w:t>basket</w:t>
      </w:r>
      <w:r w:rsidRPr="009B2DD4">
        <w:rPr>
          <w:rFonts w:ascii="Arial" w:hAnsi="Arial" w:cs="Arial"/>
          <w:spacing w:val="-3"/>
          <w:sz w:val="20"/>
        </w:rPr>
        <w:t xml:space="preserve"> </w:t>
      </w:r>
      <w:r w:rsidRPr="009B2DD4">
        <w:rPr>
          <w:rFonts w:ascii="Arial" w:hAnsi="Arial" w:cs="Arial"/>
          <w:sz w:val="20"/>
        </w:rPr>
        <w:t>may</w:t>
      </w:r>
      <w:r w:rsidRPr="009B2DD4">
        <w:rPr>
          <w:rFonts w:ascii="Arial" w:hAnsi="Arial" w:cs="Arial"/>
          <w:spacing w:val="-2"/>
          <w:sz w:val="20"/>
        </w:rPr>
        <w:t xml:space="preserve"> </w:t>
      </w:r>
      <w:r w:rsidRPr="009B2DD4">
        <w:rPr>
          <w:rFonts w:ascii="Arial" w:hAnsi="Arial" w:cs="Arial"/>
          <w:sz w:val="20"/>
        </w:rPr>
        <w:t>not</w:t>
      </w:r>
      <w:r w:rsidRPr="009B2DD4">
        <w:rPr>
          <w:rFonts w:ascii="Arial" w:hAnsi="Arial" w:cs="Arial"/>
          <w:spacing w:val="-1"/>
          <w:sz w:val="20"/>
        </w:rPr>
        <w:t xml:space="preserve"> </w:t>
      </w:r>
      <w:r w:rsidRPr="009B2DD4">
        <w:rPr>
          <w:rFonts w:ascii="Arial" w:hAnsi="Arial" w:cs="Arial"/>
          <w:sz w:val="20"/>
        </w:rPr>
        <w:t>rotate</w:t>
      </w:r>
      <w:r w:rsidRPr="009B2DD4">
        <w:rPr>
          <w:rFonts w:ascii="Arial" w:hAnsi="Arial" w:cs="Arial"/>
          <w:spacing w:val="-3"/>
          <w:sz w:val="20"/>
        </w:rPr>
        <w:t xml:space="preserve"> </w:t>
      </w:r>
      <w:r w:rsidRPr="009B2DD4">
        <w:rPr>
          <w:rFonts w:ascii="Arial" w:hAnsi="Arial" w:cs="Arial"/>
          <w:sz w:val="20"/>
        </w:rPr>
        <w:t>independently</w:t>
      </w:r>
      <w:r w:rsidRPr="009B2DD4">
        <w:rPr>
          <w:rFonts w:ascii="Arial" w:hAnsi="Arial" w:cs="Arial"/>
          <w:spacing w:val="-3"/>
          <w:sz w:val="20"/>
        </w:rPr>
        <w:t xml:space="preserve"> </w:t>
      </w:r>
      <w:r w:rsidRPr="009B2DD4">
        <w:rPr>
          <w:rFonts w:ascii="Arial" w:hAnsi="Arial" w:cs="Arial"/>
          <w:sz w:val="20"/>
        </w:rPr>
        <w:t>of</w:t>
      </w:r>
      <w:r w:rsidRPr="009B2DD4">
        <w:rPr>
          <w:rFonts w:ascii="Arial" w:hAnsi="Arial" w:cs="Arial"/>
          <w:spacing w:val="-1"/>
          <w:sz w:val="20"/>
        </w:rPr>
        <w:t xml:space="preserve"> </w:t>
      </w:r>
      <w:r w:rsidRPr="009B2DD4">
        <w:rPr>
          <w:rFonts w:ascii="Arial" w:hAnsi="Arial" w:cs="Arial"/>
          <w:sz w:val="20"/>
        </w:rPr>
        <w:t>the envelope</w:t>
      </w:r>
      <w:r w:rsidRPr="009B2DD4">
        <w:rPr>
          <w:rFonts w:ascii="Arial" w:hAnsi="Arial" w:cs="Arial"/>
          <w:spacing w:val="-1"/>
          <w:sz w:val="20"/>
        </w:rPr>
        <w:t xml:space="preserve"> </w:t>
      </w:r>
      <w:r w:rsidRPr="009B2DD4">
        <w:rPr>
          <w:rFonts w:ascii="Arial" w:hAnsi="Arial" w:cs="Arial"/>
          <w:sz w:val="20"/>
        </w:rPr>
        <w:t>unless:</w:t>
      </w:r>
    </w:p>
    <w:p w14:paraId="05DDBFA0" w14:textId="77777777" w:rsidR="009B2DD4" w:rsidRPr="009B2DD4" w:rsidRDefault="009B2DD4" w:rsidP="00AB16A5">
      <w:pPr>
        <w:numPr>
          <w:ilvl w:val="1"/>
          <w:numId w:val="360"/>
        </w:numPr>
        <w:tabs>
          <w:tab w:val="left" w:pos="1273"/>
          <w:tab w:val="left" w:pos="1274"/>
        </w:tabs>
        <w:spacing w:before="121" w:line="276" w:lineRule="auto"/>
        <w:ind w:hanging="568"/>
        <w:jc w:val="both"/>
        <w:rPr>
          <w:rFonts w:ascii="Arial" w:hAnsi="Arial" w:cs="Arial"/>
          <w:sz w:val="20"/>
        </w:rPr>
      </w:pPr>
      <w:r w:rsidRPr="009B2DD4">
        <w:rPr>
          <w:rFonts w:ascii="Arial" w:hAnsi="Arial" w:cs="Arial"/>
          <w:sz w:val="20"/>
        </w:rPr>
        <w:t>the</w:t>
      </w:r>
      <w:r w:rsidRPr="009B2DD4">
        <w:rPr>
          <w:rFonts w:ascii="Arial" w:hAnsi="Arial" w:cs="Arial"/>
          <w:spacing w:val="-1"/>
          <w:sz w:val="20"/>
        </w:rPr>
        <w:t xml:space="preserve"> </w:t>
      </w:r>
      <w:r w:rsidRPr="009B2DD4">
        <w:rPr>
          <w:rFonts w:ascii="Arial" w:hAnsi="Arial" w:cs="Arial"/>
          <w:sz w:val="20"/>
        </w:rPr>
        <w:t>rotation</w:t>
      </w:r>
      <w:r w:rsidRPr="009B2DD4">
        <w:rPr>
          <w:rFonts w:ascii="Arial" w:hAnsi="Arial" w:cs="Arial"/>
          <w:spacing w:val="-1"/>
          <w:sz w:val="20"/>
        </w:rPr>
        <w:t xml:space="preserve"> </w:t>
      </w:r>
      <w:r w:rsidRPr="009B2DD4">
        <w:rPr>
          <w:rFonts w:ascii="Arial" w:hAnsi="Arial" w:cs="Arial"/>
          <w:sz w:val="20"/>
        </w:rPr>
        <w:t>is under</w:t>
      </w:r>
      <w:r w:rsidRPr="009B2DD4">
        <w:rPr>
          <w:rFonts w:ascii="Arial" w:hAnsi="Arial" w:cs="Arial"/>
          <w:spacing w:val="-2"/>
          <w:sz w:val="20"/>
        </w:rPr>
        <w:t xml:space="preserve"> </w:t>
      </w:r>
      <w:r w:rsidRPr="009B2DD4">
        <w:rPr>
          <w:rFonts w:ascii="Arial" w:hAnsi="Arial" w:cs="Arial"/>
          <w:sz w:val="20"/>
        </w:rPr>
        <w:t>control</w:t>
      </w:r>
      <w:r w:rsidRPr="009B2DD4">
        <w:rPr>
          <w:rFonts w:ascii="Arial" w:hAnsi="Arial" w:cs="Arial"/>
          <w:spacing w:val="-2"/>
          <w:sz w:val="20"/>
        </w:rPr>
        <w:t xml:space="preserve"> </w:t>
      </w:r>
      <w:r w:rsidRPr="009B2DD4">
        <w:rPr>
          <w:rFonts w:ascii="Arial" w:hAnsi="Arial" w:cs="Arial"/>
          <w:sz w:val="20"/>
        </w:rPr>
        <w:t>of the</w:t>
      </w:r>
      <w:r w:rsidRPr="009B2DD4">
        <w:rPr>
          <w:rFonts w:ascii="Arial" w:hAnsi="Arial" w:cs="Arial"/>
          <w:spacing w:val="-2"/>
          <w:sz w:val="20"/>
        </w:rPr>
        <w:t xml:space="preserve"> </w:t>
      </w:r>
      <w:r w:rsidRPr="009B2DD4">
        <w:rPr>
          <w:rFonts w:ascii="Arial" w:hAnsi="Arial" w:cs="Arial"/>
          <w:sz w:val="20"/>
        </w:rPr>
        <w:t>pilot; and</w:t>
      </w:r>
    </w:p>
    <w:p w14:paraId="270D02D1" w14:textId="77777777" w:rsidR="009B2DD4" w:rsidRPr="009B2DD4" w:rsidRDefault="009B2DD4" w:rsidP="00AB16A5">
      <w:pPr>
        <w:numPr>
          <w:ilvl w:val="1"/>
          <w:numId w:val="360"/>
        </w:numPr>
        <w:tabs>
          <w:tab w:val="left" w:pos="1273"/>
          <w:tab w:val="left" w:pos="1274"/>
        </w:tabs>
        <w:spacing w:before="120" w:line="276" w:lineRule="auto"/>
        <w:ind w:hanging="568"/>
        <w:jc w:val="both"/>
        <w:rPr>
          <w:rFonts w:ascii="Arial" w:hAnsi="Arial" w:cs="Arial"/>
          <w:sz w:val="20"/>
        </w:rPr>
      </w:pPr>
      <w:r w:rsidRPr="009B2DD4">
        <w:rPr>
          <w:rFonts w:ascii="Arial" w:hAnsi="Arial" w:cs="Arial"/>
          <w:sz w:val="20"/>
        </w:rPr>
        <w:t>entanglement</w:t>
      </w:r>
      <w:r w:rsidRPr="009B2DD4">
        <w:rPr>
          <w:rFonts w:ascii="Arial" w:hAnsi="Arial" w:cs="Arial"/>
          <w:spacing w:val="-2"/>
          <w:sz w:val="20"/>
        </w:rPr>
        <w:t xml:space="preserve"> </w:t>
      </w:r>
      <w:r w:rsidRPr="009B2DD4">
        <w:rPr>
          <w:rFonts w:ascii="Arial" w:hAnsi="Arial" w:cs="Arial"/>
          <w:sz w:val="20"/>
        </w:rPr>
        <w:t>of</w:t>
      </w:r>
      <w:r w:rsidRPr="009B2DD4">
        <w:rPr>
          <w:rFonts w:ascii="Arial" w:hAnsi="Arial" w:cs="Arial"/>
          <w:spacing w:val="-3"/>
          <w:sz w:val="20"/>
        </w:rPr>
        <w:t xml:space="preserve"> </w:t>
      </w:r>
      <w:r w:rsidRPr="009B2DD4">
        <w:rPr>
          <w:rFonts w:ascii="Arial" w:hAnsi="Arial" w:cs="Arial"/>
          <w:sz w:val="20"/>
        </w:rPr>
        <w:t>operating</w:t>
      </w:r>
      <w:r w:rsidRPr="009B2DD4">
        <w:rPr>
          <w:rFonts w:ascii="Arial" w:hAnsi="Arial" w:cs="Arial"/>
          <w:spacing w:val="-3"/>
          <w:sz w:val="20"/>
        </w:rPr>
        <w:t xml:space="preserve"> </w:t>
      </w:r>
      <w:r w:rsidRPr="009B2DD4">
        <w:rPr>
          <w:rFonts w:ascii="Arial" w:hAnsi="Arial" w:cs="Arial"/>
          <w:sz w:val="20"/>
        </w:rPr>
        <w:t>lines</w:t>
      </w:r>
      <w:r w:rsidRPr="009B2DD4">
        <w:rPr>
          <w:rFonts w:ascii="Arial" w:hAnsi="Arial" w:cs="Arial"/>
          <w:spacing w:val="1"/>
          <w:sz w:val="20"/>
        </w:rPr>
        <w:t xml:space="preserve"> </w:t>
      </w:r>
      <w:r w:rsidRPr="009B2DD4">
        <w:rPr>
          <w:rFonts w:ascii="Arial" w:hAnsi="Arial" w:cs="Arial"/>
          <w:sz w:val="20"/>
        </w:rPr>
        <w:t>is</w:t>
      </w:r>
      <w:r w:rsidRPr="009B2DD4">
        <w:rPr>
          <w:rFonts w:ascii="Arial" w:hAnsi="Arial" w:cs="Arial"/>
          <w:spacing w:val="1"/>
          <w:sz w:val="20"/>
        </w:rPr>
        <w:t xml:space="preserve"> </w:t>
      </w:r>
      <w:r w:rsidRPr="009B2DD4">
        <w:rPr>
          <w:rFonts w:ascii="Arial" w:hAnsi="Arial" w:cs="Arial"/>
          <w:sz w:val="20"/>
        </w:rPr>
        <w:t>prevented.</w:t>
      </w:r>
    </w:p>
    <w:p w14:paraId="3931CD6A" w14:textId="77777777" w:rsidR="009B2DD4" w:rsidRPr="009B2DD4" w:rsidRDefault="009B2DD4" w:rsidP="00AB16A5">
      <w:pPr>
        <w:numPr>
          <w:ilvl w:val="0"/>
          <w:numId w:val="360"/>
        </w:numPr>
        <w:tabs>
          <w:tab w:val="left" w:pos="706"/>
          <w:tab w:val="left" w:pos="707"/>
        </w:tabs>
        <w:spacing w:before="120" w:line="276" w:lineRule="auto"/>
        <w:jc w:val="both"/>
        <w:rPr>
          <w:rFonts w:ascii="Arial" w:hAnsi="Arial" w:cs="Arial"/>
          <w:sz w:val="20"/>
        </w:rPr>
      </w:pPr>
      <w:r w:rsidRPr="009B2DD4">
        <w:rPr>
          <w:rFonts w:ascii="Arial" w:hAnsi="Arial" w:cs="Arial"/>
          <w:sz w:val="20"/>
        </w:rPr>
        <w:t>Each</w:t>
      </w:r>
      <w:r w:rsidRPr="009B2DD4">
        <w:rPr>
          <w:rFonts w:ascii="Arial" w:hAnsi="Arial" w:cs="Arial"/>
          <w:spacing w:val="-9"/>
          <w:sz w:val="20"/>
        </w:rPr>
        <w:t xml:space="preserve"> </w:t>
      </w:r>
      <w:r w:rsidRPr="009B2DD4">
        <w:rPr>
          <w:rFonts w:ascii="Arial" w:hAnsi="Arial" w:cs="Arial"/>
          <w:sz w:val="20"/>
        </w:rPr>
        <w:t>projecting</w:t>
      </w:r>
      <w:r w:rsidRPr="009B2DD4">
        <w:rPr>
          <w:rFonts w:ascii="Arial" w:hAnsi="Arial" w:cs="Arial"/>
          <w:spacing w:val="-9"/>
          <w:sz w:val="20"/>
        </w:rPr>
        <w:t xml:space="preserve"> </w:t>
      </w:r>
      <w:r w:rsidRPr="009B2DD4">
        <w:rPr>
          <w:rFonts w:ascii="Arial" w:hAnsi="Arial" w:cs="Arial"/>
          <w:sz w:val="20"/>
        </w:rPr>
        <w:t>object</w:t>
      </w:r>
      <w:r w:rsidRPr="009B2DD4">
        <w:rPr>
          <w:rFonts w:ascii="Arial" w:hAnsi="Arial" w:cs="Arial"/>
          <w:spacing w:val="-9"/>
          <w:sz w:val="20"/>
        </w:rPr>
        <w:t xml:space="preserve"> </w:t>
      </w:r>
      <w:r w:rsidRPr="009B2DD4">
        <w:rPr>
          <w:rFonts w:ascii="Arial" w:hAnsi="Arial" w:cs="Arial"/>
          <w:sz w:val="20"/>
        </w:rPr>
        <w:t>on</w:t>
      </w:r>
      <w:r w:rsidRPr="009B2DD4">
        <w:rPr>
          <w:rFonts w:ascii="Arial" w:hAnsi="Arial" w:cs="Arial"/>
          <w:spacing w:val="-8"/>
          <w:sz w:val="20"/>
        </w:rPr>
        <w:t xml:space="preserve"> </w:t>
      </w:r>
      <w:r w:rsidRPr="009B2DD4">
        <w:rPr>
          <w:rFonts w:ascii="Arial" w:hAnsi="Arial" w:cs="Arial"/>
          <w:sz w:val="20"/>
        </w:rPr>
        <w:t>the</w:t>
      </w:r>
      <w:r w:rsidRPr="009B2DD4">
        <w:rPr>
          <w:rFonts w:ascii="Arial" w:hAnsi="Arial" w:cs="Arial"/>
          <w:spacing w:val="-7"/>
          <w:sz w:val="20"/>
        </w:rPr>
        <w:t xml:space="preserve"> </w:t>
      </w:r>
      <w:r w:rsidRPr="009B2DD4">
        <w:rPr>
          <w:rFonts w:ascii="Arial" w:hAnsi="Arial" w:cs="Arial"/>
          <w:sz w:val="20"/>
        </w:rPr>
        <w:t>basket,</w:t>
      </w:r>
      <w:r w:rsidRPr="009B2DD4">
        <w:rPr>
          <w:rFonts w:ascii="Arial" w:hAnsi="Arial" w:cs="Arial"/>
          <w:spacing w:val="-10"/>
          <w:sz w:val="20"/>
        </w:rPr>
        <w:t xml:space="preserve"> </w:t>
      </w:r>
      <w:r w:rsidRPr="009B2DD4">
        <w:rPr>
          <w:rFonts w:ascii="Arial" w:hAnsi="Arial" w:cs="Arial"/>
          <w:sz w:val="20"/>
        </w:rPr>
        <w:t>that</w:t>
      </w:r>
      <w:r w:rsidRPr="009B2DD4">
        <w:rPr>
          <w:rFonts w:ascii="Arial" w:hAnsi="Arial" w:cs="Arial"/>
          <w:spacing w:val="-7"/>
          <w:sz w:val="20"/>
        </w:rPr>
        <w:t xml:space="preserve"> </w:t>
      </w:r>
      <w:r w:rsidRPr="009B2DD4">
        <w:rPr>
          <w:rFonts w:ascii="Arial" w:hAnsi="Arial" w:cs="Arial"/>
          <w:sz w:val="20"/>
        </w:rPr>
        <w:t>could</w:t>
      </w:r>
      <w:r w:rsidRPr="009B2DD4">
        <w:rPr>
          <w:rFonts w:ascii="Arial" w:hAnsi="Arial" w:cs="Arial"/>
          <w:spacing w:val="-9"/>
          <w:sz w:val="20"/>
        </w:rPr>
        <w:t xml:space="preserve"> </w:t>
      </w:r>
      <w:r w:rsidRPr="009B2DD4">
        <w:rPr>
          <w:rFonts w:ascii="Arial" w:hAnsi="Arial" w:cs="Arial"/>
          <w:sz w:val="20"/>
        </w:rPr>
        <w:t>cause</w:t>
      </w:r>
      <w:r w:rsidRPr="009B2DD4">
        <w:rPr>
          <w:rFonts w:ascii="Arial" w:hAnsi="Arial" w:cs="Arial"/>
          <w:spacing w:val="-9"/>
          <w:sz w:val="20"/>
        </w:rPr>
        <w:t xml:space="preserve"> </w:t>
      </w:r>
      <w:r w:rsidRPr="009B2DD4">
        <w:rPr>
          <w:rFonts w:ascii="Arial" w:hAnsi="Arial" w:cs="Arial"/>
          <w:sz w:val="20"/>
        </w:rPr>
        <w:t>injury</w:t>
      </w:r>
      <w:r w:rsidRPr="009B2DD4">
        <w:rPr>
          <w:rFonts w:ascii="Arial" w:hAnsi="Arial" w:cs="Arial"/>
          <w:spacing w:val="-7"/>
          <w:sz w:val="20"/>
        </w:rPr>
        <w:t xml:space="preserve"> </w:t>
      </w:r>
      <w:r w:rsidRPr="009B2DD4">
        <w:rPr>
          <w:rFonts w:ascii="Arial" w:hAnsi="Arial" w:cs="Arial"/>
          <w:sz w:val="20"/>
        </w:rPr>
        <w:t>to</w:t>
      </w:r>
      <w:r w:rsidRPr="009B2DD4">
        <w:rPr>
          <w:rFonts w:ascii="Arial" w:hAnsi="Arial" w:cs="Arial"/>
          <w:spacing w:val="-5"/>
          <w:sz w:val="20"/>
        </w:rPr>
        <w:t xml:space="preserve"> </w:t>
      </w:r>
      <w:r w:rsidRPr="009B2DD4">
        <w:rPr>
          <w:rFonts w:ascii="Arial" w:hAnsi="Arial" w:cs="Arial"/>
          <w:sz w:val="20"/>
        </w:rPr>
        <w:t>the</w:t>
      </w:r>
      <w:r w:rsidRPr="009B2DD4">
        <w:rPr>
          <w:rFonts w:ascii="Arial" w:hAnsi="Arial" w:cs="Arial"/>
          <w:spacing w:val="-7"/>
          <w:sz w:val="20"/>
        </w:rPr>
        <w:t xml:space="preserve"> </w:t>
      </w:r>
      <w:r w:rsidRPr="009B2DD4">
        <w:rPr>
          <w:rFonts w:ascii="Arial" w:hAnsi="Arial" w:cs="Arial"/>
          <w:sz w:val="20"/>
        </w:rPr>
        <w:t>occupants,</w:t>
      </w:r>
      <w:r w:rsidRPr="009B2DD4">
        <w:rPr>
          <w:rFonts w:ascii="Arial" w:hAnsi="Arial" w:cs="Arial"/>
          <w:spacing w:val="-9"/>
          <w:sz w:val="20"/>
        </w:rPr>
        <w:t xml:space="preserve"> </w:t>
      </w:r>
      <w:r w:rsidRPr="009B2DD4">
        <w:rPr>
          <w:rFonts w:ascii="Arial" w:hAnsi="Arial" w:cs="Arial"/>
          <w:sz w:val="20"/>
        </w:rPr>
        <w:t>must</w:t>
      </w:r>
      <w:r w:rsidRPr="009B2DD4">
        <w:rPr>
          <w:rFonts w:ascii="Arial" w:hAnsi="Arial" w:cs="Arial"/>
          <w:spacing w:val="-8"/>
          <w:sz w:val="20"/>
        </w:rPr>
        <w:t xml:space="preserve"> </w:t>
      </w:r>
      <w:r w:rsidRPr="009B2DD4">
        <w:rPr>
          <w:rFonts w:ascii="Arial" w:hAnsi="Arial" w:cs="Arial"/>
          <w:sz w:val="20"/>
        </w:rPr>
        <w:t>be</w:t>
      </w:r>
      <w:r w:rsidRPr="009B2DD4">
        <w:rPr>
          <w:rFonts w:ascii="Arial" w:hAnsi="Arial" w:cs="Arial"/>
          <w:spacing w:val="-6"/>
          <w:sz w:val="20"/>
        </w:rPr>
        <w:t xml:space="preserve"> </w:t>
      </w:r>
      <w:r w:rsidRPr="009B2DD4">
        <w:rPr>
          <w:rFonts w:ascii="Arial" w:hAnsi="Arial" w:cs="Arial"/>
          <w:sz w:val="20"/>
        </w:rPr>
        <w:t>padded.</w:t>
      </w:r>
    </w:p>
    <w:p w14:paraId="46A22BE8" w14:textId="77777777" w:rsidR="009B2DD4" w:rsidRPr="009B2DD4" w:rsidRDefault="009B2DD4" w:rsidP="00AB16A5">
      <w:pPr>
        <w:numPr>
          <w:ilvl w:val="0"/>
          <w:numId w:val="360"/>
        </w:numPr>
        <w:tabs>
          <w:tab w:val="left" w:pos="706"/>
          <w:tab w:val="left" w:pos="707"/>
        </w:tabs>
        <w:spacing w:before="120" w:line="276" w:lineRule="auto"/>
        <w:jc w:val="both"/>
        <w:rPr>
          <w:rFonts w:ascii="Arial" w:hAnsi="Arial" w:cs="Arial"/>
          <w:sz w:val="20"/>
        </w:rPr>
      </w:pPr>
      <w:r w:rsidRPr="009B2DD4">
        <w:rPr>
          <w:rFonts w:ascii="Arial" w:hAnsi="Arial" w:cs="Arial"/>
          <w:sz w:val="20"/>
        </w:rPr>
        <w:t>Occupants</w:t>
      </w:r>
      <w:r w:rsidRPr="009B2DD4">
        <w:rPr>
          <w:rFonts w:ascii="Arial" w:hAnsi="Arial" w:cs="Arial"/>
          <w:spacing w:val="-4"/>
          <w:sz w:val="20"/>
        </w:rPr>
        <w:t xml:space="preserve"> </w:t>
      </w:r>
      <w:r w:rsidRPr="009B2DD4">
        <w:rPr>
          <w:rFonts w:ascii="Arial" w:hAnsi="Arial" w:cs="Arial"/>
          <w:sz w:val="20"/>
        </w:rPr>
        <w:t>of</w:t>
      </w:r>
      <w:r w:rsidRPr="009B2DD4">
        <w:rPr>
          <w:rFonts w:ascii="Arial" w:hAnsi="Arial" w:cs="Arial"/>
          <w:spacing w:val="-1"/>
          <w:sz w:val="20"/>
        </w:rPr>
        <w:t xml:space="preserve"> </w:t>
      </w:r>
      <w:r w:rsidRPr="009B2DD4">
        <w:rPr>
          <w:rFonts w:ascii="Arial" w:hAnsi="Arial" w:cs="Arial"/>
          <w:sz w:val="20"/>
        </w:rPr>
        <w:t>a</w:t>
      </w:r>
      <w:r w:rsidRPr="009B2DD4">
        <w:rPr>
          <w:rFonts w:ascii="Arial" w:hAnsi="Arial" w:cs="Arial"/>
          <w:spacing w:val="-1"/>
          <w:sz w:val="20"/>
        </w:rPr>
        <w:t xml:space="preserve"> </w:t>
      </w:r>
      <w:r w:rsidRPr="009B2DD4">
        <w:rPr>
          <w:rFonts w:ascii="Arial" w:hAnsi="Arial" w:cs="Arial"/>
          <w:sz w:val="20"/>
        </w:rPr>
        <w:t>basket</w:t>
      </w:r>
      <w:r w:rsidRPr="009B2DD4">
        <w:rPr>
          <w:rFonts w:ascii="Arial" w:hAnsi="Arial" w:cs="Arial"/>
          <w:spacing w:val="-5"/>
          <w:sz w:val="20"/>
        </w:rPr>
        <w:t xml:space="preserve"> </w:t>
      </w:r>
      <w:r w:rsidRPr="009B2DD4">
        <w:rPr>
          <w:rFonts w:ascii="Arial" w:hAnsi="Arial" w:cs="Arial"/>
          <w:sz w:val="20"/>
        </w:rPr>
        <w:t>must be protected</w:t>
      </w:r>
      <w:r w:rsidRPr="009B2DD4">
        <w:rPr>
          <w:rFonts w:ascii="Arial" w:hAnsi="Arial" w:cs="Arial"/>
          <w:spacing w:val="-2"/>
          <w:sz w:val="20"/>
        </w:rPr>
        <w:t xml:space="preserve"> </w:t>
      </w:r>
      <w:r w:rsidRPr="009B2DD4">
        <w:rPr>
          <w:rFonts w:ascii="Arial" w:hAnsi="Arial" w:cs="Arial"/>
          <w:sz w:val="20"/>
        </w:rPr>
        <w:t>during</w:t>
      </w:r>
      <w:r w:rsidRPr="009B2DD4">
        <w:rPr>
          <w:rFonts w:ascii="Arial" w:hAnsi="Arial" w:cs="Arial"/>
          <w:spacing w:val="-2"/>
          <w:sz w:val="20"/>
        </w:rPr>
        <w:t xml:space="preserve"> </w:t>
      </w:r>
      <w:r w:rsidRPr="009B2DD4">
        <w:rPr>
          <w:rFonts w:ascii="Arial" w:hAnsi="Arial" w:cs="Arial"/>
          <w:sz w:val="20"/>
        </w:rPr>
        <w:t>hard</w:t>
      </w:r>
      <w:r w:rsidRPr="009B2DD4">
        <w:rPr>
          <w:rFonts w:ascii="Arial" w:hAnsi="Arial" w:cs="Arial"/>
          <w:spacing w:val="-5"/>
          <w:sz w:val="20"/>
        </w:rPr>
        <w:t xml:space="preserve"> </w:t>
      </w:r>
      <w:r w:rsidRPr="009B2DD4">
        <w:rPr>
          <w:rFonts w:ascii="Arial" w:hAnsi="Arial" w:cs="Arial"/>
          <w:sz w:val="20"/>
        </w:rPr>
        <w:t>or</w:t>
      </w:r>
      <w:r w:rsidRPr="009B2DD4">
        <w:rPr>
          <w:rFonts w:ascii="Arial" w:hAnsi="Arial" w:cs="Arial"/>
          <w:spacing w:val="-2"/>
          <w:sz w:val="20"/>
        </w:rPr>
        <w:t xml:space="preserve"> </w:t>
      </w:r>
      <w:r w:rsidRPr="009B2DD4">
        <w:rPr>
          <w:rFonts w:ascii="Arial" w:hAnsi="Arial" w:cs="Arial"/>
          <w:sz w:val="20"/>
        </w:rPr>
        <w:t>fast</w:t>
      </w:r>
      <w:r w:rsidRPr="009B2DD4">
        <w:rPr>
          <w:rFonts w:ascii="Arial" w:hAnsi="Arial" w:cs="Arial"/>
          <w:spacing w:val="-1"/>
          <w:sz w:val="20"/>
        </w:rPr>
        <w:t xml:space="preserve"> </w:t>
      </w:r>
      <w:r w:rsidRPr="009B2DD4">
        <w:rPr>
          <w:rFonts w:ascii="Arial" w:hAnsi="Arial" w:cs="Arial"/>
          <w:sz w:val="20"/>
        </w:rPr>
        <w:t>landings</w:t>
      </w:r>
      <w:r w:rsidRPr="009B2DD4">
        <w:rPr>
          <w:rFonts w:ascii="Arial" w:hAnsi="Arial" w:cs="Arial"/>
          <w:spacing w:val="-1"/>
          <w:sz w:val="20"/>
        </w:rPr>
        <w:t xml:space="preserve"> </w:t>
      </w:r>
      <w:r w:rsidRPr="009B2DD4">
        <w:rPr>
          <w:rFonts w:ascii="Arial" w:hAnsi="Arial" w:cs="Arial"/>
          <w:sz w:val="20"/>
        </w:rPr>
        <w:t>against:</w:t>
      </w:r>
    </w:p>
    <w:p w14:paraId="567B394C" w14:textId="77777777" w:rsidR="009B2DD4" w:rsidRPr="009B2DD4" w:rsidRDefault="009B2DD4" w:rsidP="00AB16A5">
      <w:pPr>
        <w:numPr>
          <w:ilvl w:val="1"/>
          <w:numId w:val="360"/>
        </w:numPr>
        <w:tabs>
          <w:tab w:val="left" w:pos="1273"/>
          <w:tab w:val="left" w:pos="1274"/>
        </w:tabs>
        <w:spacing w:before="121" w:line="276" w:lineRule="auto"/>
        <w:ind w:hanging="568"/>
        <w:jc w:val="both"/>
        <w:rPr>
          <w:rFonts w:ascii="Arial" w:hAnsi="Arial" w:cs="Arial"/>
          <w:sz w:val="20"/>
        </w:rPr>
      </w:pPr>
      <w:r w:rsidRPr="009B2DD4">
        <w:rPr>
          <w:rFonts w:ascii="Arial" w:hAnsi="Arial" w:cs="Arial"/>
          <w:sz w:val="20"/>
        </w:rPr>
        <w:t>falling</w:t>
      </w:r>
      <w:r w:rsidRPr="009B2DD4">
        <w:rPr>
          <w:rFonts w:ascii="Arial" w:hAnsi="Arial" w:cs="Arial"/>
          <w:spacing w:val="-3"/>
          <w:sz w:val="20"/>
        </w:rPr>
        <w:t xml:space="preserve"> </w:t>
      </w:r>
      <w:r w:rsidRPr="009B2DD4">
        <w:rPr>
          <w:rFonts w:ascii="Arial" w:hAnsi="Arial" w:cs="Arial"/>
          <w:sz w:val="20"/>
        </w:rPr>
        <w:t>from</w:t>
      </w:r>
      <w:r w:rsidRPr="009B2DD4">
        <w:rPr>
          <w:rFonts w:ascii="Arial" w:hAnsi="Arial" w:cs="Arial"/>
          <w:spacing w:val="-4"/>
          <w:sz w:val="20"/>
        </w:rPr>
        <w:t xml:space="preserve"> </w:t>
      </w:r>
      <w:r w:rsidRPr="009B2DD4">
        <w:rPr>
          <w:rFonts w:ascii="Arial" w:hAnsi="Arial" w:cs="Arial"/>
          <w:sz w:val="20"/>
        </w:rPr>
        <w:t>the</w:t>
      </w:r>
      <w:r w:rsidRPr="009B2DD4">
        <w:rPr>
          <w:rFonts w:ascii="Arial" w:hAnsi="Arial" w:cs="Arial"/>
          <w:spacing w:val="-3"/>
          <w:sz w:val="20"/>
        </w:rPr>
        <w:t xml:space="preserve"> </w:t>
      </w:r>
      <w:r w:rsidRPr="009B2DD4">
        <w:rPr>
          <w:rFonts w:ascii="Arial" w:hAnsi="Arial" w:cs="Arial"/>
          <w:sz w:val="20"/>
        </w:rPr>
        <w:t>basket;</w:t>
      </w:r>
    </w:p>
    <w:p w14:paraId="50520687" w14:textId="77777777" w:rsidR="009B2DD4" w:rsidRPr="009B2DD4" w:rsidRDefault="009B2DD4" w:rsidP="00AB16A5">
      <w:pPr>
        <w:numPr>
          <w:ilvl w:val="1"/>
          <w:numId w:val="360"/>
        </w:numPr>
        <w:tabs>
          <w:tab w:val="left" w:pos="1273"/>
          <w:tab w:val="left" w:pos="1274"/>
        </w:tabs>
        <w:spacing w:before="121" w:line="276" w:lineRule="auto"/>
        <w:ind w:hanging="568"/>
        <w:jc w:val="both"/>
        <w:rPr>
          <w:rFonts w:ascii="Arial" w:hAnsi="Arial" w:cs="Arial"/>
          <w:sz w:val="20"/>
        </w:rPr>
      </w:pPr>
      <w:r w:rsidRPr="009B2DD4">
        <w:rPr>
          <w:rFonts w:ascii="Arial" w:hAnsi="Arial" w:cs="Arial"/>
          <w:sz w:val="20"/>
        </w:rPr>
        <w:t>serious</w:t>
      </w:r>
      <w:r w:rsidRPr="009B2DD4">
        <w:rPr>
          <w:rFonts w:ascii="Arial" w:hAnsi="Arial" w:cs="Arial"/>
          <w:spacing w:val="-3"/>
          <w:sz w:val="20"/>
        </w:rPr>
        <w:t xml:space="preserve"> </w:t>
      </w:r>
      <w:r w:rsidRPr="009B2DD4">
        <w:rPr>
          <w:rFonts w:ascii="Arial" w:hAnsi="Arial" w:cs="Arial"/>
          <w:sz w:val="20"/>
        </w:rPr>
        <w:t>injuries.</w:t>
      </w:r>
    </w:p>
    <w:p w14:paraId="75D154C9" w14:textId="77777777" w:rsidR="009B2DD4" w:rsidRPr="009B2DD4" w:rsidRDefault="009B2DD4" w:rsidP="00AB16A5">
      <w:pPr>
        <w:numPr>
          <w:ilvl w:val="0"/>
          <w:numId w:val="360"/>
        </w:numPr>
        <w:tabs>
          <w:tab w:val="left" w:pos="706"/>
          <w:tab w:val="left" w:pos="707"/>
        </w:tabs>
        <w:spacing w:before="120" w:line="276" w:lineRule="auto"/>
        <w:ind w:right="193"/>
        <w:jc w:val="both"/>
        <w:rPr>
          <w:rFonts w:ascii="Arial" w:hAnsi="Arial" w:cs="Arial"/>
          <w:sz w:val="20"/>
        </w:rPr>
      </w:pPr>
      <w:r w:rsidRPr="009B2DD4">
        <w:rPr>
          <w:rFonts w:ascii="Arial" w:hAnsi="Arial" w:cs="Arial"/>
          <w:spacing w:val="-1"/>
          <w:sz w:val="20"/>
        </w:rPr>
        <w:t>When</w:t>
      </w:r>
      <w:r w:rsidRPr="009B2DD4">
        <w:rPr>
          <w:rFonts w:ascii="Arial" w:hAnsi="Arial" w:cs="Arial"/>
          <w:spacing w:val="-12"/>
          <w:sz w:val="20"/>
        </w:rPr>
        <w:t xml:space="preserve"> </w:t>
      </w:r>
      <w:r w:rsidRPr="009B2DD4">
        <w:rPr>
          <w:rFonts w:ascii="Arial" w:hAnsi="Arial" w:cs="Arial"/>
          <w:sz w:val="20"/>
        </w:rPr>
        <w:t>more</w:t>
      </w:r>
      <w:r w:rsidRPr="009B2DD4">
        <w:rPr>
          <w:rFonts w:ascii="Arial" w:hAnsi="Arial" w:cs="Arial"/>
          <w:spacing w:val="-11"/>
          <w:sz w:val="20"/>
        </w:rPr>
        <w:t xml:space="preserve"> </w:t>
      </w:r>
      <w:r w:rsidRPr="009B2DD4">
        <w:rPr>
          <w:rFonts w:ascii="Arial" w:hAnsi="Arial" w:cs="Arial"/>
          <w:sz w:val="20"/>
        </w:rPr>
        <w:t>than</w:t>
      </w:r>
      <w:r w:rsidRPr="009B2DD4">
        <w:rPr>
          <w:rFonts w:ascii="Arial" w:hAnsi="Arial" w:cs="Arial"/>
          <w:spacing w:val="-13"/>
          <w:sz w:val="20"/>
        </w:rPr>
        <w:t xml:space="preserve"> </w:t>
      </w:r>
      <w:r w:rsidRPr="009B2DD4">
        <w:rPr>
          <w:rFonts w:ascii="Arial" w:hAnsi="Arial" w:cs="Arial"/>
          <w:sz w:val="20"/>
        </w:rPr>
        <w:t>six</w:t>
      </w:r>
      <w:r w:rsidRPr="009B2DD4">
        <w:rPr>
          <w:rFonts w:ascii="Arial" w:hAnsi="Arial" w:cs="Arial"/>
          <w:spacing w:val="-14"/>
          <w:sz w:val="20"/>
        </w:rPr>
        <w:t xml:space="preserve"> </w:t>
      </w:r>
      <w:r w:rsidRPr="009B2DD4">
        <w:rPr>
          <w:rFonts w:ascii="Arial" w:hAnsi="Arial" w:cs="Arial"/>
          <w:sz w:val="20"/>
        </w:rPr>
        <w:t>occupants</w:t>
      </w:r>
      <w:r w:rsidRPr="009B2DD4">
        <w:rPr>
          <w:rFonts w:ascii="Arial" w:hAnsi="Arial" w:cs="Arial"/>
          <w:spacing w:val="-11"/>
          <w:sz w:val="20"/>
        </w:rPr>
        <w:t xml:space="preserve"> </w:t>
      </w:r>
      <w:r w:rsidRPr="009B2DD4">
        <w:rPr>
          <w:rFonts w:ascii="Arial" w:hAnsi="Arial" w:cs="Arial"/>
          <w:sz w:val="20"/>
        </w:rPr>
        <w:t>are</w:t>
      </w:r>
      <w:r w:rsidRPr="009B2DD4">
        <w:rPr>
          <w:rFonts w:ascii="Arial" w:hAnsi="Arial" w:cs="Arial"/>
          <w:spacing w:val="-12"/>
          <w:sz w:val="20"/>
        </w:rPr>
        <w:t xml:space="preserve"> </w:t>
      </w:r>
      <w:r w:rsidRPr="009B2DD4">
        <w:rPr>
          <w:rFonts w:ascii="Arial" w:hAnsi="Arial" w:cs="Arial"/>
          <w:sz w:val="20"/>
        </w:rPr>
        <w:t>carried,</w:t>
      </w:r>
      <w:r w:rsidRPr="009B2DD4">
        <w:rPr>
          <w:rFonts w:ascii="Arial" w:hAnsi="Arial" w:cs="Arial"/>
          <w:spacing w:val="-12"/>
          <w:sz w:val="20"/>
        </w:rPr>
        <w:t xml:space="preserve"> </w:t>
      </w:r>
      <w:r w:rsidRPr="009B2DD4">
        <w:rPr>
          <w:rFonts w:ascii="Arial" w:hAnsi="Arial" w:cs="Arial"/>
          <w:sz w:val="20"/>
        </w:rPr>
        <w:t>the</w:t>
      </w:r>
      <w:r w:rsidRPr="009B2DD4">
        <w:rPr>
          <w:rFonts w:ascii="Arial" w:hAnsi="Arial" w:cs="Arial"/>
          <w:spacing w:val="-11"/>
          <w:sz w:val="20"/>
        </w:rPr>
        <w:t xml:space="preserve"> </w:t>
      </w:r>
      <w:r w:rsidRPr="009B2DD4">
        <w:rPr>
          <w:rFonts w:ascii="Arial" w:hAnsi="Arial" w:cs="Arial"/>
          <w:sz w:val="20"/>
        </w:rPr>
        <w:t>basket</w:t>
      </w:r>
      <w:r w:rsidRPr="009B2DD4">
        <w:rPr>
          <w:rFonts w:ascii="Arial" w:hAnsi="Arial" w:cs="Arial"/>
          <w:spacing w:val="-13"/>
          <w:sz w:val="20"/>
        </w:rPr>
        <w:t xml:space="preserve"> </w:t>
      </w:r>
      <w:r w:rsidRPr="009B2DD4">
        <w:rPr>
          <w:rFonts w:ascii="Arial" w:hAnsi="Arial" w:cs="Arial"/>
          <w:sz w:val="20"/>
        </w:rPr>
        <w:t>must</w:t>
      </w:r>
      <w:r w:rsidRPr="009B2DD4">
        <w:rPr>
          <w:rFonts w:ascii="Arial" w:hAnsi="Arial" w:cs="Arial"/>
          <w:spacing w:val="-11"/>
          <w:sz w:val="20"/>
        </w:rPr>
        <w:t xml:space="preserve"> </w:t>
      </w:r>
      <w:r w:rsidRPr="009B2DD4">
        <w:rPr>
          <w:rFonts w:ascii="Arial" w:hAnsi="Arial" w:cs="Arial"/>
          <w:sz w:val="20"/>
        </w:rPr>
        <w:t>be</w:t>
      </w:r>
      <w:r w:rsidRPr="009B2DD4">
        <w:rPr>
          <w:rFonts w:ascii="Arial" w:hAnsi="Arial" w:cs="Arial"/>
          <w:spacing w:val="-11"/>
          <w:sz w:val="20"/>
        </w:rPr>
        <w:t xml:space="preserve"> </w:t>
      </w:r>
      <w:r w:rsidRPr="009B2DD4">
        <w:rPr>
          <w:rFonts w:ascii="Arial" w:hAnsi="Arial" w:cs="Arial"/>
          <w:sz w:val="20"/>
        </w:rPr>
        <w:t>divided</w:t>
      </w:r>
      <w:r w:rsidRPr="009B2DD4">
        <w:rPr>
          <w:rFonts w:ascii="Arial" w:hAnsi="Arial" w:cs="Arial"/>
          <w:spacing w:val="-12"/>
          <w:sz w:val="20"/>
        </w:rPr>
        <w:t xml:space="preserve"> </w:t>
      </w:r>
      <w:r w:rsidRPr="009B2DD4">
        <w:rPr>
          <w:rFonts w:ascii="Arial" w:hAnsi="Arial" w:cs="Arial"/>
          <w:sz w:val="20"/>
        </w:rPr>
        <w:t>into</w:t>
      </w:r>
      <w:r w:rsidRPr="009B2DD4">
        <w:rPr>
          <w:rFonts w:ascii="Arial" w:hAnsi="Arial" w:cs="Arial"/>
          <w:spacing w:val="-10"/>
          <w:sz w:val="20"/>
        </w:rPr>
        <w:t xml:space="preserve"> </w:t>
      </w:r>
      <w:r w:rsidRPr="009B2DD4">
        <w:rPr>
          <w:rFonts w:ascii="Arial" w:hAnsi="Arial" w:cs="Arial"/>
          <w:sz w:val="20"/>
        </w:rPr>
        <w:t>compartments,</w:t>
      </w:r>
      <w:r w:rsidRPr="009B2DD4">
        <w:rPr>
          <w:rFonts w:ascii="Arial" w:hAnsi="Arial" w:cs="Arial"/>
          <w:spacing w:val="-11"/>
          <w:sz w:val="20"/>
        </w:rPr>
        <w:t xml:space="preserve"> </w:t>
      </w:r>
      <w:r w:rsidRPr="009B2DD4">
        <w:rPr>
          <w:rFonts w:ascii="Arial" w:hAnsi="Arial" w:cs="Arial"/>
          <w:sz w:val="20"/>
        </w:rPr>
        <w:t>each</w:t>
      </w:r>
      <w:r w:rsidRPr="009B2DD4">
        <w:rPr>
          <w:rFonts w:ascii="Arial" w:hAnsi="Arial" w:cs="Arial"/>
          <w:spacing w:val="-46"/>
          <w:sz w:val="20"/>
        </w:rPr>
        <w:t xml:space="preserve"> </w:t>
      </w:r>
      <w:r w:rsidRPr="009B2DD4">
        <w:rPr>
          <w:rFonts w:ascii="Arial" w:hAnsi="Arial" w:cs="Arial"/>
          <w:sz w:val="20"/>
        </w:rPr>
        <w:t>containing</w:t>
      </w:r>
      <w:r w:rsidRPr="009B2DD4">
        <w:rPr>
          <w:rFonts w:ascii="Arial" w:hAnsi="Arial" w:cs="Arial"/>
          <w:spacing w:val="-2"/>
          <w:sz w:val="20"/>
        </w:rPr>
        <w:t xml:space="preserve"> </w:t>
      </w:r>
      <w:r w:rsidRPr="009B2DD4">
        <w:rPr>
          <w:rFonts w:ascii="Arial" w:hAnsi="Arial" w:cs="Arial"/>
          <w:sz w:val="20"/>
        </w:rPr>
        <w:t>not</w:t>
      </w:r>
      <w:r w:rsidRPr="009B2DD4">
        <w:rPr>
          <w:rFonts w:ascii="Arial" w:hAnsi="Arial" w:cs="Arial"/>
          <w:spacing w:val="-2"/>
          <w:sz w:val="20"/>
        </w:rPr>
        <w:t xml:space="preserve"> </w:t>
      </w:r>
      <w:r w:rsidRPr="009B2DD4">
        <w:rPr>
          <w:rFonts w:ascii="Arial" w:hAnsi="Arial" w:cs="Arial"/>
          <w:sz w:val="20"/>
        </w:rPr>
        <w:t>more</w:t>
      </w:r>
      <w:r w:rsidRPr="009B2DD4">
        <w:rPr>
          <w:rFonts w:ascii="Arial" w:hAnsi="Arial" w:cs="Arial"/>
          <w:spacing w:val="1"/>
          <w:sz w:val="20"/>
        </w:rPr>
        <w:t xml:space="preserve"> </w:t>
      </w:r>
      <w:r w:rsidRPr="009B2DD4">
        <w:rPr>
          <w:rFonts w:ascii="Arial" w:hAnsi="Arial" w:cs="Arial"/>
          <w:sz w:val="20"/>
        </w:rPr>
        <w:t>than</w:t>
      </w:r>
      <w:r w:rsidRPr="009B2DD4">
        <w:rPr>
          <w:rFonts w:ascii="Arial" w:hAnsi="Arial" w:cs="Arial"/>
          <w:spacing w:val="-1"/>
          <w:sz w:val="20"/>
        </w:rPr>
        <w:t xml:space="preserve"> </w:t>
      </w:r>
      <w:r w:rsidRPr="009B2DD4">
        <w:rPr>
          <w:rFonts w:ascii="Arial" w:hAnsi="Arial" w:cs="Arial"/>
          <w:sz w:val="20"/>
        </w:rPr>
        <w:t>six occupants.</w:t>
      </w:r>
    </w:p>
    <w:p w14:paraId="7AAEAADC" w14:textId="77777777" w:rsidR="009B2DD4" w:rsidRPr="009B2DD4" w:rsidRDefault="009B2DD4" w:rsidP="00AB16A5">
      <w:pPr>
        <w:numPr>
          <w:ilvl w:val="0"/>
          <w:numId w:val="360"/>
        </w:numPr>
        <w:tabs>
          <w:tab w:val="left" w:pos="706"/>
          <w:tab w:val="left" w:pos="707"/>
        </w:tabs>
        <w:spacing w:before="118" w:line="276" w:lineRule="auto"/>
        <w:ind w:right="198"/>
        <w:jc w:val="both"/>
        <w:rPr>
          <w:rFonts w:ascii="Arial" w:hAnsi="Arial" w:cs="Arial"/>
          <w:sz w:val="20"/>
        </w:rPr>
      </w:pPr>
      <w:r w:rsidRPr="009B2DD4">
        <w:rPr>
          <w:rFonts w:ascii="Arial" w:hAnsi="Arial" w:cs="Arial"/>
          <w:sz w:val="20"/>
        </w:rPr>
        <w:t>Where</w:t>
      </w:r>
      <w:r w:rsidRPr="009B2DD4">
        <w:rPr>
          <w:rFonts w:ascii="Arial" w:hAnsi="Arial" w:cs="Arial"/>
          <w:spacing w:val="5"/>
          <w:sz w:val="20"/>
        </w:rPr>
        <w:t xml:space="preserve"> </w:t>
      </w:r>
      <w:r w:rsidRPr="009B2DD4">
        <w:rPr>
          <w:rFonts w:ascii="Arial" w:hAnsi="Arial" w:cs="Arial"/>
          <w:sz w:val="20"/>
        </w:rPr>
        <w:t>basket</w:t>
      </w:r>
      <w:r w:rsidRPr="009B2DD4">
        <w:rPr>
          <w:rFonts w:ascii="Arial" w:hAnsi="Arial" w:cs="Arial"/>
          <w:spacing w:val="6"/>
          <w:sz w:val="20"/>
        </w:rPr>
        <w:t xml:space="preserve"> </w:t>
      </w:r>
      <w:r w:rsidRPr="009B2DD4">
        <w:rPr>
          <w:rFonts w:ascii="Arial" w:hAnsi="Arial" w:cs="Arial"/>
          <w:sz w:val="20"/>
        </w:rPr>
        <w:t>proportions</w:t>
      </w:r>
      <w:r w:rsidRPr="009B2DD4">
        <w:rPr>
          <w:rFonts w:ascii="Arial" w:hAnsi="Arial" w:cs="Arial"/>
          <w:spacing w:val="2"/>
          <w:sz w:val="20"/>
        </w:rPr>
        <w:t xml:space="preserve"> </w:t>
      </w:r>
      <w:r w:rsidRPr="009B2DD4">
        <w:rPr>
          <w:rFonts w:ascii="Arial" w:hAnsi="Arial" w:cs="Arial"/>
          <w:sz w:val="20"/>
        </w:rPr>
        <w:t>and</w:t>
      </w:r>
      <w:r w:rsidRPr="009B2DD4">
        <w:rPr>
          <w:rFonts w:ascii="Arial" w:hAnsi="Arial" w:cs="Arial"/>
          <w:spacing w:val="4"/>
          <w:sz w:val="20"/>
        </w:rPr>
        <w:t xml:space="preserve"> </w:t>
      </w:r>
      <w:r w:rsidRPr="009B2DD4">
        <w:rPr>
          <w:rFonts w:ascii="Arial" w:hAnsi="Arial" w:cs="Arial"/>
          <w:sz w:val="20"/>
        </w:rPr>
        <w:t>compartmentation</w:t>
      </w:r>
      <w:r w:rsidRPr="009B2DD4">
        <w:rPr>
          <w:rFonts w:ascii="Arial" w:hAnsi="Arial" w:cs="Arial"/>
          <w:spacing w:val="4"/>
          <w:sz w:val="20"/>
        </w:rPr>
        <w:t xml:space="preserve"> </w:t>
      </w:r>
      <w:r w:rsidRPr="009B2DD4">
        <w:rPr>
          <w:rFonts w:ascii="Arial" w:hAnsi="Arial" w:cs="Arial"/>
          <w:sz w:val="20"/>
        </w:rPr>
        <w:t>are</w:t>
      </w:r>
      <w:r w:rsidRPr="009B2DD4">
        <w:rPr>
          <w:rFonts w:ascii="Arial" w:hAnsi="Arial" w:cs="Arial"/>
          <w:spacing w:val="2"/>
          <w:sz w:val="20"/>
        </w:rPr>
        <w:t xml:space="preserve"> </w:t>
      </w:r>
      <w:r w:rsidRPr="009B2DD4">
        <w:rPr>
          <w:rFonts w:ascii="Arial" w:hAnsi="Arial" w:cs="Arial"/>
          <w:sz w:val="20"/>
        </w:rPr>
        <w:t>such</w:t>
      </w:r>
      <w:r w:rsidRPr="009B2DD4">
        <w:rPr>
          <w:rFonts w:ascii="Arial" w:hAnsi="Arial" w:cs="Arial"/>
          <w:spacing w:val="4"/>
          <w:sz w:val="20"/>
        </w:rPr>
        <w:t xml:space="preserve"> </w:t>
      </w:r>
      <w:r w:rsidRPr="009B2DD4">
        <w:rPr>
          <w:rFonts w:ascii="Arial" w:hAnsi="Arial" w:cs="Arial"/>
          <w:sz w:val="20"/>
        </w:rPr>
        <w:t>that</w:t>
      </w:r>
      <w:r w:rsidRPr="009B2DD4">
        <w:rPr>
          <w:rFonts w:ascii="Arial" w:hAnsi="Arial" w:cs="Arial"/>
          <w:spacing w:val="5"/>
          <w:sz w:val="20"/>
        </w:rPr>
        <w:t xml:space="preserve"> </w:t>
      </w:r>
      <w:r w:rsidRPr="009B2DD4">
        <w:rPr>
          <w:rFonts w:ascii="Arial" w:hAnsi="Arial" w:cs="Arial"/>
          <w:sz w:val="20"/>
        </w:rPr>
        <w:t>more</w:t>
      </w:r>
      <w:r w:rsidRPr="009B2DD4">
        <w:rPr>
          <w:rFonts w:ascii="Arial" w:hAnsi="Arial" w:cs="Arial"/>
          <w:spacing w:val="5"/>
          <w:sz w:val="20"/>
        </w:rPr>
        <w:t xml:space="preserve"> </w:t>
      </w:r>
      <w:r w:rsidRPr="009B2DD4">
        <w:rPr>
          <w:rFonts w:ascii="Arial" w:hAnsi="Arial" w:cs="Arial"/>
          <w:sz w:val="20"/>
        </w:rPr>
        <w:t>than</w:t>
      </w:r>
      <w:r w:rsidRPr="009B2DD4">
        <w:rPr>
          <w:rFonts w:ascii="Arial" w:hAnsi="Arial" w:cs="Arial"/>
          <w:spacing w:val="4"/>
          <w:sz w:val="20"/>
        </w:rPr>
        <w:t xml:space="preserve"> </w:t>
      </w:r>
      <w:r w:rsidRPr="009B2DD4">
        <w:rPr>
          <w:rFonts w:ascii="Arial" w:hAnsi="Arial" w:cs="Arial"/>
          <w:sz w:val="20"/>
        </w:rPr>
        <w:t>one</w:t>
      </w:r>
      <w:r w:rsidRPr="009B2DD4">
        <w:rPr>
          <w:rFonts w:ascii="Arial" w:hAnsi="Arial" w:cs="Arial"/>
          <w:spacing w:val="5"/>
          <w:sz w:val="20"/>
        </w:rPr>
        <w:t xml:space="preserve"> </w:t>
      </w:r>
      <w:r w:rsidRPr="009B2DD4">
        <w:rPr>
          <w:rFonts w:ascii="Arial" w:hAnsi="Arial" w:cs="Arial"/>
          <w:sz w:val="20"/>
        </w:rPr>
        <w:t>occupant</w:t>
      </w:r>
      <w:r w:rsidRPr="009B2DD4">
        <w:rPr>
          <w:rFonts w:ascii="Arial" w:hAnsi="Arial" w:cs="Arial"/>
          <w:spacing w:val="3"/>
          <w:sz w:val="20"/>
        </w:rPr>
        <w:t xml:space="preserve"> </w:t>
      </w:r>
      <w:r w:rsidRPr="009B2DD4">
        <w:rPr>
          <w:rFonts w:ascii="Arial" w:hAnsi="Arial" w:cs="Arial"/>
          <w:sz w:val="20"/>
        </w:rPr>
        <w:t>may</w:t>
      </w:r>
      <w:r w:rsidRPr="009B2DD4">
        <w:rPr>
          <w:rFonts w:ascii="Arial" w:hAnsi="Arial" w:cs="Arial"/>
          <w:spacing w:val="-47"/>
          <w:sz w:val="20"/>
        </w:rPr>
        <w:t xml:space="preserve"> </w:t>
      </w:r>
      <w:r w:rsidRPr="009B2DD4">
        <w:rPr>
          <w:rFonts w:ascii="Arial" w:hAnsi="Arial" w:cs="Arial"/>
          <w:sz w:val="20"/>
        </w:rPr>
        <w:t>fall</w:t>
      </w:r>
      <w:r w:rsidRPr="009B2DD4">
        <w:rPr>
          <w:rFonts w:ascii="Arial" w:hAnsi="Arial" w:cs="Arial"/>
          <w:spacing w:val="-1"/>
          <w:sz w:val="20"/>
        </w:rPr>
        <w:t xml:space="preserve"> </w:t>
      </w:r>
      <w:r w:rsidRPr="009B2DD4">
        <w:rPr>
          <w:rFonts w:ascii="Arial" w:hAnsi="Arial" w:cs="Arial"/>
          <w:sz w:val="20"/>
        </w:rPr>
        <w:t>on</w:t>
      </w:r>
      <w:r w:rsidRPr="009B2DD4">
        <w:rPr>
          <w:rFonts w:ascii="Arial" w:hAnsi="Arial" w:cs="Arial"/>
          <w:spacing w:val="-1"/>
          <w:sz w:val="20"/>
        </w:rPr>
        <w:t xml:space="preserve"> </w:t>
      </w:r>
      <w:r w:rsidRPr="009B2DD4">
        <w:rPr>
          <w:rFonts w:ascii="Arial" w:hAnsi="Arial" w:cs="Arial"/>
          <w:sz w:val="20"/>
        </w:rPr>
        <w:t>top</w:t>
      </w:r>
      <w:r w:rsidRPr="009B2DD4">
        <w:rPr>
          <w:rFonts w:ascii="Arial" w:hAnsi="Arial" w:cs="Arial"/>
          <w:spacing w:val="-4"/>
          <w:sz w:val="20"/>
        </w:rPr>
        <w:t xml:space="preserve"> </w:t>
      </w:r>
      <w:r w:rsidRPr="009B2DD4">
        <w:rPr>
          <w:rFonts w:ascii="Arial" w:hAnsi="Arial" w:cs="Arial"/>
          <w:sz w:val="20"/>
        </w:rPr>
        <w:t>of another</w:t>
      </w:r>
      <w:r w:rsidRPr="009B2DD4">
        <w:rPr>
          <w:rFonts w:ascii="Arial" w:hAnsi="Arial" w:cs="Arial"/>
          <w:spacing w:val="-1"/>
          <w:sz w:val="20"/>
        </w:rPr>
        <w:t xml:space="preserve"> </w:t>
      </w:r>
      <w:r w:rsidRPr="009B2DD4">
        <w:rPr>
          <w:rFonts w:ascii="Arial" w:hAnsi="Arial" w:cs="Arial"/>
          <w:sz w:val="20"/>
        </w:rPr>
        <w:t>during</w:t>
      </w:r>
      <w:r w:rsidRPr="009B2DD4">
        <w:rPr>
          <w:rFonts w:ascii="Arial" w:hAnsi="Arial" w:cs="Arial"/>
          <w:spacing w:val="-1"/>
          <w:sz w:val="20"/>
        </w:rPr>
        <w:t xml:space="preserve"> </w:t>
      </w:r>
      <w:r w:rsidRPr="009B2DD4">
        <w:rPr>
          <w:rFonts w:ascii="Arial" w:hAnsi="Arial" w:cs="Arial"/>
          <w:sz w:val="20"/>
        </w:rPr>
        <w:t>landing,</w:t>
      </w:r>
      <w:r w:rsidRPr="009B2DD4">
        <w:rPr>
          <w:rFonts w:ascii="Arial" w:hAnsi="Arial" w:cs="Arial"/>
          <w:spacing w:val="-1"/>
          <w:sz w:val="20"/>
        </w:rPr>
        <w:t xml:space="preserve"> </w:t>
      </w:r>
      <w:r w:rsidRPr="009B2DD4">
        <w:rPr>
          <w:rFonts w:ascii="Arial" w:hAnsi="Arial" w:cs="Arial"/>
          <w:sz w:val="20"/>
        </w:rPr>
        <w:t>there</w:t>
      </w:r>
      <w:r w:rsidRPr="009B2DD4">
        <w:rPr>
          <w:rFonts w:ascii="Arial" w:hAnsi="Arial" w:cs="Arial"/>
          <w:spacing w:val="-1"/>
          <w:sz w:val="20"/>
        </w:rPr>
        <w:t xml:space="preserve"> </w:t>
      </w:r>
      <w:r w:rsidRPr="009B2DD4">
        <w:rPr>
          <w:rFonts w:ascii="Arial" w:hAnsi="Arial" w:cs="Arial"/>
          <w:sz w:val="20"/>
        </w:rPr>
        <w:t>must be</w:t>
      </w:r>
      <w:r w:rsidRPr="009B2DD4">
        <w:rPr>
          <w:rFonts w:ascii="Arial" w:hAnsi="Arial" w:cs="Arial"/>
          <w:spacing w:val="-2"/>
          <w:sz w:val="20"/>
        </w:rPr>
        <w:t xml:space="preserve"> </w:t>
      </w:r>
      <w:r w:rsidRPr="009B2DD4">
        <w:rPr>
          <w:rFonts w:ascii="Arial" w:hAnsi="Arial" w:cs="Arial"/>
          <w:sz w:val="20"/>
        </w:rPr>
        <w:t>means to</w:t>
      </w:r>
      <w:r w:rsidRPr="009B2DD4">
        <w:rPr>
          <w:rFonts w:ascii="Arial" w:hAnsi="Arial" w:cs="Arial"/>
          <w:spacing w:val="-2"/>
          <w:sz w:val="20"/>
        </w:rPr>
        <w:t xml:space="preserve"> </w:t>
      </w:r>
      <w:r w:rsidRPr="009B2DD4">
        <w:rPr>
          <w:rFonts w:ascii="Arial" w:hAnsi="Arial" w:cs="Arial"/>
          <w:sz w:val="20"/>
        </w:rPr>
        <w:t>minimise</w:t>
      </w:r>
      <w:r w:rsidRPr="009B2DD4">
        <w:rPr>
          <w:rFonts w:ascii="Arial" w:hAnsi="Arial" w:cs="Arial"/>
          <w:spacing w:val="1"/>
          <w:sz w:val="20"/>
        </w:rPr>
        <w:t xml:space="preserve"> </w:t>
      </w:r>
      <w:r w:rsidRPr="009B2DD4">
        <w:rPr>
          <w:rFonts w:ascii="Arial" w:hAnsi="Arial" w:cs="Arial"/>
          <w:sz w:val="20"/>
        </w:rPr>
        <w:t>this</w:t>
      </w:r>
      <w:r w:rsidRPr="009B2DD4">
        <w:rPr>
          <w:rFonts w:ascii="Arial" w:hAnsi="Arial" w:cs="Arial"/>
          <w:spacing w:val="-4"/>
          <w:sz w:val="20"/>
        </w:rPr>
        <w:t xml:space="preserve"> </w:t>
      </w:r>
      <w:r w:rsidRPr="009B2DD4">
        <w:rPr>
          <w:rFonts w:ascii="Arial" w:hAnsi="Arial" w:cs="Arial"/>
          <w:sz w:val="20"/>
        </w:rPr>
        <w:t>possibility.</w:t>
      </w:r>
    </w:p>
    <w:p w14:paraId="19DDC644" w14:textId="77777777" w:rsidR="009B2DD4" w:rsidRPr="009B2DD4" w:rsidRDefault="009B2DD4" w:rsidP="00AB16A5">
      <w:pPr>
        <w:numPr>
          <w:ilvl w:val="0"/>
          <w:numId w:val="360"/>
        </w:numPr>
        <w:tabs>
          <w:tab w:val="left" w:pos="706"/>
          <w:tab w:val="left" w:pos="707"/>
        </w:tabs>
        <w:spacing w:before="120" w:line="276" w:lineRule="auto"/>
        <w:ind w:right="198"/>
        <w:jc w:val="both"/>
        <w:rPr>
          <w:rFonts w:ascii="Arial" w:hAnsi="Arial" w:cs="Arial"/>
          <w:sz w:val="20"/>
        </w:rPr>
      </w:pPr>
      <w:r w:rsidRPr="009B2DD4">
        <w:rPr>
          <w:rFonts w:ascii="Arial" w:hAnsi="Arial" w:cs="Arial"/>
          <w:sz w:val="20"/>
        </w:rPr>
        <w:t>Reasonable</w:t>
      </w:r>
      <w:r w:rsidRPr="009B2DD4">
        <w:rPr>
          <w:rFonts w:ascii="Arial" w:hAnsi="Arial" w:cs="Arial"/>
          <w:spacing w:val="8"/>
          <w:sz w:val="20"/>
        </w:rPr>
        <w:t xml:space="preserve"> </w:t>
      </w:r>
      <w:r w:rsidRPr="009B2DD4">
        <w:rPr>
          <w:rFonts w:ascii="Arial" w:hAnsi="Arial" w:cs="Arial"/>
          <w:sz w:val="20"/>
        </w:rPr>
        <w:t>space</w:t>
      </w:r>
      <w:r w:rsidRPr="009B2DD4">
        <w:rPr>
          <w:rFonts w:ascii="Arial" w:hAnsi="Arial" w:cs="Arial"/>
          <w:spacing w:val="7"/>
          <w:sz w:val="20"/>
        </w:rPr>
        <w:t xml:space="preserve"> </w:t>
      </w:r>
      <w:r w:rsidRPr="009B2DD4">
        <w:rPr>
          <w:rFonts w:ascii="Arial" w:hAnsi="Arial" w:cs="Arial"/>
          <w:sz w:val="20"/>
        </w:rPr>
        <w:t>must</w:t>
      </w:r>
      <w:r w:rsidRPr="009B2DD4">
        <w:rPr>
          <w:rFonts w:ascii="Arial" w:hAnsi="Arial" w:cs="Arial"/>
          <w:spacing w:val="9"/>
          <w:sz w:val="20"/>
        </w:rPr>
        <w:t xml:space="preserve"> </w:t>
      </w:r>
      <w:r w:rsidRPr="009B2DD4">
        <w:rPr>
          <w:rFonts w:ascii="Arial" w:hAnsi="Arial" w:cs="Arial"/>
          <w:sz w:val="20"/>
        </w:rPr>
        <w:t>be</w:t>
      </w:r>
      <w:r w:rsidRPr="009B2DD4">
        <w:rPr>
          <w:rFonts w:ascii="Arial" w:hAnsi="Arial" w:cs="Arial"/>
          <w:spacing w:val="7"/>
          <w:sz w:val="20"/>
        </w:rPr>
        <w:t xml:space="preserve"> </w:t>
      </w:r>
      <w:r w:rsidRPr="009B2DD4">
        <w:rPr>
          <w:rFonts w:ascii="Arial" w:hAnsi="Arial" w:cs="Arial"/>
          <w:sz w:val="20"/>
        </w:rPr>
        <w:t>provided</w:t>
      </w:r>
      <w:r w:rsidRPr="009B2DD4">
        <w:rPr>
          <w:rFonts w:ascii="Arial" w:hAnsi="Arial" w:cs="Arial"/>
          <w:spacing w:val="6"/>
          <w:sz w:val="20"/>
        </w:rPr>
        <w:t xml:space="preserve"> </w:t>
      </w:r>
      <w:r w:rsidRPr="009B2DD4">
        <w:rPr>
          <w:rFonts w:ascii="Arial" w:hAnsi="Arial" w:cs="Arial"/>
          <w:sz w:val="20"/>
        </w:rPr>
        <w:t>for</w:t>
      </w:r>
      <w:r w:rsidRPr="009B2DD4">
        <w:rPr>
          <w:rFonts w:ascii="Arial" w:hAnsi="Arial" w:cs="Arial"/>
          <w:spacing w:val="9"/>
          <w:sz w:val="20"/>
        </w:rPr>
        <w:t xml:space="preserve"> </w:t>
      </w:r>
      <w:r w:rsidRPr="009B2DD4">
        <w:rPr>
          <w:rFonts w:ascii="Arial" w:hAnsi="Arial" w:cs="Arial"/>
          <w:sz w:val="20"/>
        </w:rPr>
        <w:t>all</w:t>
      </w:r>
      <w:r w:rsidRPr="009B2DD4">
        <w:rPr>
          <w:rFonts w:ascii="Arial" w:hAnsi="Arial" w:cs="Arial"/>
          <w:spacing w:val="3"/>
          <w:sz w:val="20"/>
        </w:rPr>
        <w:t xml:space="preserve"> </w:t>
      </w:r>
      <w:r w:rsidRPr="009B2DD4">
        <w:rPr>
          <w:rFonts w:ascii="Arial" w:hAnsi="Arial" w:cs="Arial"/>
          <w:sz w:val="20"/>
        </w:rPr>
        <w:t>occupants,</w:t>
      </w:r>
      <w:r w:rsidRPr="009B2DD4">
        <w:rPr>
          <w:rFonts w:ascii="Arial" w:hAnsi="Arial" w:cs="Arial"/>
          <w:spacing w:val="7"/>
          <w:sz w:val="20"/>
        </w:rPr>
        <w:t xml:space="preserve"> </w:t>
      </w:r>
      <w:r w:rsidRPr="009B2DD4">
        <w:rPr>
          <w:rFonts w:ascii="Arial" w:hAnsi="Arial" w:cs="Arial"/>
          <w:sz w:val="20"/>
        </w:rPr>
        <w:t>with</w:t>
      </w:r>
      <w:r w:rsidRPr="009B2DD4">
        <w:rPr>
          <w:rFonts w:ascii="Arial" w:hAnsi="Arial" w:cs="Arial"/>
          <w:spacing w:val="6"/>
          <w:sz w:val="20"/>
        </w:rPr>
        <w:t xml:space="preserve"> </w:t>
      </w:r>
      <w:r w:rsidRPr="009B2DD4">
        <w:rPr>
          <w:rFonts w:ascii="Arial" w:hAnsi="Arial" w:cs="Arial"/>
          <w:sz w:val="20"/>
        </w:rPr>
        <w:t>regard</w:t>
      </w:r>
      <w:r w:rsidRPr="009B2DD4">
        <w:rPr>
          <w:rFonts w:ascii="Arial" w:hAnsi="Arial" w:cs="Arial"/>
          <w:spacing w:val="5"/>
          <w:sz w:val="20"/>
        </w:rPr>
        <w:t xml:space="preserve"> </w:t>
      </w:r>
      <w:r w:rsidRPr="009B2DD4">
        <w:rPr>
          <w:rFonts w:ascii="Arial" w:hAnsi="Arial" w:cs="Arial"/>
          <w:sz w:val="20"/>
        </w:rPr>
        <w:t>to</w:t>
      </w:r>
      <w:r w:rsidRPr="009B2DD4">
        <w:rPr>
          <w:rFonts w:ascii="Arial" w:hAnsi="Arial" w:cs="Arial"/>
          <w:spacing w:val="10"/>
          <w:sz w:val="20"/>
        </w:rPr>
        <w:t xml:space="preserve"> </w:t>
      </w:r>
      <w:r w:rsidRPr="009B2DD4">
        <w:rPr>
          <w:rFonts w:ascii="Arial" w:hAnsi="Arial" w:cs="Arial"/>
          <w:sz w:val="20"/>
        </w:rPr>
        <w:t>both</w:t>
      </w:r>
      <w:r w:rsidRPr="009B2DD4">
        <w:rPr>
          <w:rFonts w:ascii="Arial" w:hAnsi="Arial" w:cs="Arial"/>
          <w:spacing w:val="6"/>
          <w:sz w:val="20"/>
        </w:rPr>
        <w:t xml:space="preserve"> </w:t>
      </w:r>
      <w:r w:rsidRPr="009B2DD4">
        <w:rPr>
          <w:rFonts w:ascii="Arial" w:hAnsi="Arial" w:cs="Arial"/>
          <w:sz w:val="20"/>
        </w:rPr>
        <w:t>comfort</w:t>
      </w:r>
      <w:r w:rsidRPr="009B2DD4">
        <w:rPr>
          <w:rFonts w:ascii="Arial" w:hAnsi="Arial" w:cs="Arial"/>
          <w:spacing w:val="9"/>
          <w:sz w:val="20"/>
        </w:rPr>
        <w:t xml:space="preserve"> </w:t>
      </w:r>
      <w:r w:rsidRPr="009B2DD4">
        <w:rPr>
          <w:rFonts w:ascii="Arial" w:hAnsi="Arial" w:cs="Arial"/>
          <w:sz w:val="20"/>
        </w:rPr>
        <w:t>during</w:t>
      </w:r>
      <w:r w:rsidRPr="009B2DD4">
        <w:rPr>
          <w:rFonts w:ascii="Arial" w:hAnsi="Arial" w:cs="Arial"/>
          <w:spacing w:val="8"/>
          <w:sz w:val="20"/>
        </w:rPr>
        <w:t xml:space="preserve"> </w:t>
      </w:r>
      <w:r w:rsidRPr="009B2DD4">
        <w:rPr>
          <w:rFonts w:ascii="Arial" w:hAnsi="Arial" w:cs="Arial"/>
          <w:sz w:val="20"/>
        </w:rPr>
        <w:t>the</w:t>
      </w:r>
      <w:r w:rsidRPr="009B2DD4">
        <w:rPr>
          <w:rFonts w:ascii="Arial" w:hAnsi="Arial" w:cs="Arial"/>
          <w:spacing w:val="-47"/>
          <w:sz w:val="20"/>
        </w:rPr>
        <w:t xml:space="preserve"> </w:t>
      </w:r>
      <w:r w:rsidRPr="009B2DD4">
        <w:rPr>
          <w:rFonts w:ascii="Arial" w:hAnsi="Arial" w:cs="Arial"/>
          <w:sz w:val="20"/>
        </w:rPr>
        <w:t>flight</w:t>
      </w:r>
      <w:r w:rsidRPr="009B2DD4">
        <w:rPr>
          <w:rFonts w:ascii="Arial" w:hAnsi="Arial" w:cs="Arial"/>
          <w:spacing w:val="-1"/>
          <w:sz w:val="20"/>
        </w:rPr>
        <w:t xml:space="preserve"> </w:t>
      </w:r>
      <w:r w:rsidRPr="009B2DD4">
        <w:rPr>
          <w:rFonts w:ascii="Arial" w:hAnsi="Arial" w:cs="Arial"/>
          <w:sz w:val="20"/>
        </w:rPr>
        <w:t>and to</w:t>
      </w:r>
      <w:r w:rsidRPr="009B2DD4">
        <w:rPr>
          <w:rFonts w:ascii="Arial" w:hAnsi="Arial" w:cs="Arial"/>
          <w:spacing w:val="-1"/>
          <w:sz w:val="20"/>
        </w:rPr>
        <w:t xml:space="preserve"> </w:t>
      </w:r>
      <w:r w:rsidRPr="009B2DD4">
        <w:rPr>
          <w:rFonts w:ascii="Arial" w:hAnsi="Arial" w:cs="Arial"/>
          <w:sz w:val="20"/>
        </w:rPr>
        <w:t>safety during</w:t>
      </w:r>
      <w:r w:rsidRPr="009B2DD4">
        <w:rPr>
          <w:rFonts w:ascii="Arial" w:hAnsi="Arial" w:cs="Arial"/>
          <w:spacing w:val="-1"/>
          <w:sz w:val="20"/>
        </w:rPr>
        <w:t xml:space="preserve"> </w:t>
      </w:r>
      <w:r w:rsidRPr="009B2DD4">
        <w:rPr>
          <w:rFonts w:ascii="Arial" w:hAnsi="Arial" w:cs="Arial"/>
          <w:sz w:val="20"/>
        </w:rPr>
        <w:t>the</w:t>
      </w:r>
      <w:r w:rsidRPr="009B2DD4">
        <w:rPr>
          <w:rFonts w:ascii="Arial" w:hAnsi="Arial" w:cs="Arial"/>
          <w:spacing w:val="1"/>
          <w:sz w:val="20"/>
        </w:rPr>
        <w:t xml:space="preserve"> </w:t>
      </w:r>
      <w:r w:rsidRPr="009B2DD4">
        <w:rPr>
          <w:rFonts w:ascii="Arial" w:hAnsi="Arial" w:cs="Arial"/>
          <w:sz w:val="20"/>
        </w:rPr>
        <w:t>landing.</w:t>
      </w:r>
    </w:p>
    <w:p w14:paraId="6C0BDA6B" w14:textId="77777777" w:rsidR="009B2DD4" w:rsidRPr="009B2DD4" w:rsidRDefault="009B2DD4" w:rsidP="00AB16A5">
      <w:pPr>
        <w:numPr>
          <w:ilvl w:val="0"/>
          <w:numId w:val="360"/>
        </w:numPr>
        <w:tabs>
          <w:tab w:val="left" w:pos="706"/>
          <w:tab w:val="left" w:pos="707"/>
        </w:tabs>
        <w:spacing w:before="121" w:line="276" w:lineRule="auto"/>
        <w:jc w:val="both"/>
        <w:rPr>
          <w:rFonts w:ascii="Arial" w:hAnsi="Arial" w:cs="Arial"/>
          <w:sz w:val="20"/>
        </w:rPr>
      </w:pPr>
      <w:r w:rsidRPr="009B2DD4">
        <w:rPr>
          <w:rFonts w:ascii="Arial" w:hAnsi="Arial" w:cs="Arial"/>
          <w:sz w:val="20"/>
        </w:rPr>
        <w:t>The</w:t>
      </w:r>
      <w:r w:rsidRPr="009B2DD4">
        <w:rPr>
          <w:rFonts w:ascii="Arial" w:hAnsi="Arial" w:cs="Arial"/>
          <w:spacing w:val="-2"/>
          <w:sz w:val="20"/>
        </w:rPr>
        <w:t xml:space="preserve"> </w:t>
      </w:r>
      <w:r w:rsidRPr="009B2DD4">
        <w:rPr>
          <w:rFonts w:ascii="Arial" w:hAnsi="Arial" w:cs="Arial"/>
          <w:sz w:val="20"/>
        </w:rPr>
        <w:t>space for</w:t>
      </w:r>
      <w:r w:rsidRPr="009B2DD4">
        <w:rPr>
          <w:rFonts w:ascii="Arial" w:hAnsi="Arial" w:cs="Arial"/>
          <w:spacing w:val="-2"/>
          <w:sz w:val="20"/>
        </w:rPr>
        <w:t xml:space="preserve"> </w:t>
      </w:r>
      <w:r w:rsidRPr="009B2DD4">
        <w:rPr>
          <w:rFonts w:ascii="Arial" w:hAnsi="Arial" w:cs="Arial"/>
          <w:sz w:val="20"/>
        </w:rPr>
        <w:t>the</w:t>
      </w:r>
      <w:r w:rsidRPr="009B2DD4">
        <w:rPr>
          <w:rFonts w:ascii="Arial" w:hAnsi="Arial" w:cs="Arial"/>
          <w:spacing w:val="-3"/>
          <w:sz w:val="20"/>
        </w:rPr>
        <w:t xml:space="preserve"> </w:t>
      </w:r>
      <w:r w:rsidRPr="009B2DD4">
        <w:rPr>
          <w:rFonts w:ascii="Arial" w:hAnsi="Arial" w:cs="Arial"/>
          <w:sz w:val="20"/>
        </w:rPr>
        <w:t>pilot</w:t>
      </w:r>
      <w:r w:rsidRPr="009B2DD4">
        <w:rPr>
          <w:rFonts w:ascii="Arial" w:hAnsi="Arial" w:cs="Arial"/>
          <w:spacing w:val="-3"/>
          <w:sz w:val="20"/>
        </w:rPr>
        <w:t xml:space="preserve"> </w:t>
      </w:r>
      <w:r w:rsidRPr="009B2DD4">
        <w:rPr>
          <w:rFonts w:ascii="Arial" w:hAnsi="Arial" w:cs="Arial"/>
          <w:sz w:val="20"/>
        </w:rPr>
        <w:t>must</w:t>
      </w:r>
      <w:r w:rsidRPr="009B2DD4">
        <w:rPr>
          <w:rFonts w:ascii="Arial" w:hAnsi="Arial" w:cs="Arial"/>
          <w:spacing w:val="-2"/>
          <w:sz w:val="20"/>
        </w:rPr>
        <w:t xml:space="preserve"> </w:t>
      </w:r>
      <w:r w:rsidRPr="009B2DD4">
        <w:rPr>
          <w:rFonts w:ascii="Arial" w:hAnsi="Arial" w:cs="Arial"/>
          <w:sz w:val="20"/>
        </w:rPr>
        <w:t>provide unobstructed</w:t>
      </w:r>
      <w:r w:rsidRPr="009B2DD4">
        <w:rPr>
          <w:rFonts w:ascii="Arial" w:hAnsi="Arial" w:cs="Arial"/>
          <w:spacing w:val="-1"/>
          <w:sz w:val="20"/>
        </w:rPr>
        <w:t xml:space="preserve"> </w:t>
      </w:r>
      <w:r w:rsidRPr="009B2DD4">
        <w:rPr>
          <w:rFonts w:ascii="Arial" w:hAnsi="Arial" w:cs="Arial"/>
          <w:sz w:val="20"/>
        </w:rPr>
        <w:t>operation</w:t>
      </w:r>
      <w:r w:rsidRPr="009B2DD4">
        <w:rPr>
          <w:rFonts w:ascii="Arial" w:hAnsi="Arial" w:cs="Arial"/>
          <w:spacing w:val="-3"/>
          <w:sz w:val="20"/>
        </w:rPr>
        <w:t xml:space="preserve"> </w:t>
      </w:r>
      <w:r w:rsidRPr="009B2DD4">
        <w:rPr>
          <w:rFonts w:ascii="Arial" w:hAnsi="Arial" w:cs="Arial"/>
          <w:sz w:val="20"/>
        </w:rPr>
        <w:t>in</w:t>
      </w:r>
      <w:r w:rsidRPr="009B2DD4">
        <w:rPr>
          <w:rFonts w:ascii="Arial" w:hAnsi="Arial" w:cs="Arial"/>
          <w:spacing w:val="-1"/>
          <w:sz w:val="20"/>
        </w:rPr>
        <w:t xml:space="preserve"> </w:t>
      </w:r>
      <w:r w:rsidRPr="009B2DD4">
        <w:rPr>
          <w:rFonts w:ascii="Arial" w:hAnsi="Arial" w:cs="Arial"/>
          <w:sz w:val="20"/>
        </w:rPr>
        <w:t>all</w:t>
      </w:r>
      <w:r w:rsidRPr="009B2DD4">
        <w:rPr>
          <w:rFonts w:ascii="Arial" w:hAnsi="Arial" w:cs="Arial"/>
          <w:spacing w:val="-5"/>
          <w:sz w:val="20"/>
        </w:rPr>
        <w:t xml:space="preserve"> </w:t>
      </w:r>
      <w:r w:rsidRPr="009B2DD4">
        <w:rPr>
          <w:rFonts w:ascii="Arial" w:hAnsi="Arial" w:cs="Arial"/>
          <w:sz w:val="20"/>
        </w:rPr>
        <w:t>flight</w:t>
      </w:r>
      <w:r w:rsidRPr="009B2DD4">
        <w:rPr>
          <w:rFonts w:ascii="Arial" w:hAnsi="Arial" w:cs="Arial"/>
          <w:spacing w:val="-2"/>
          <w:sz w:val="20"/>
        </w:rPr>
        <w:t xml:space="preserve"> </w:t>
      </w:r>
      <w:r w:rsidRPr="009B2DD4">
        <w:rPr>
          <w:rFonts w:ascii="Arial" w:hAnsi="Arial" w:cs="Arial"/>
          <w:sz w:val="20"/>
        </w:rPr>
        <w:t>phases.</w:t>
      </w:r>
    </w:p>
    <w:p w14:paraId="1DC73229" w14:textId="77777777" w:rsidR="009B2DD4" w:rsidRPr="009B2DD4" w:rsidRDefault="009B2DD4" w:rsidP="00AB16A5">
      <w:pPr>
        <w:numPr>
          <w:ilvl w:val="0"/>
          <w:numId w:val="360"/>
        </w:numPr>
        <w:tabs>
          <w:tab w:val="left" w:pos="706"/>
          <w:tab w:val="left" w:pos="707"/>
        </w:tabs>
        <w:spacing w:before="120" w:line="276" w:lineRule="auto"/>
        <w:jc w:val="both"/>
        <w:rPr>
          <w:rFonts w:ascii="Arial" w:hAnsi="Arial" w:cs="Arial"/>
          <w:sz w:val="20"/>
        </w:rPr>
      </w:pPr>
      <w:r w:rsidRPr="009B2DD4">
        <w:rPr>
          <w:rFonts w:ascii="Arial" w:hAnsi="Arial" w:cs="Arial"/>
          <w:sz w:val="20"/>
        </w:rPr>
        <w:t>There</w:t>
      </w:r>
      <w:r w:rsidRPr="009B2DD4">
        <w:rPr>
          <w:rFonts w:ascii="Arial" w:hAnsi="Arial" w:cs="Arial"/>
          <w:spacing w:val="-3"/>
          <w:sz w:val="20"/>
        </w:rPr>
        <w:t xml:space="preserve"> </w:t>
      </w:r>
      <w:r w:rsidRPr="009B2DD4">
        <w:rPr>
          <w:rFonts w:ascii="Arial" w:hAnsi="Arial" w:cs="Arial"/>
          <w:sz w:val="20"/>
        </w:rPr>
        <w:t>must</w:t>
      </w:r>
      <w:r w:rsidRPr="009B2DD4">
        <w:rPr>
          <w:rFonts w:ascii="Arial" w:hAnsi="Arial" w:cs="Arial"/>
          <w:spacing w:val="-3"/>
          <w:sz w:val="20"/>
        </w:rPr>
        <w:t xml:space="preserve"> </w:t>
      </w:r>
      <w:r w:rsidRPr="009B2DD4">
        <w:rPr>
          <w:rFonts w:ascii="Arial" w:hAnsi="Arial" w:cs="Arial"/>
          <w:sz w:val="20"/>
        </w:rPr>
        <w:t>be hand</w:t>
      </w:r>
      <w:r w:rsidRPr="009B2DD4">
        <w:rPr>
          <w:rFonts w:ascii="Arial" w:hAnsi="Arial" w:cs="Arial"/>
          <w:spacing w:val="-2"/>
          <w:sz w:val="20"/>
        </w:rPr>
        <w:t xml:space="preserve"> </w:t>
      </w:r>
      <w:r w:rsidRPr="009B2DD4">
        <w:rPr>
          <w:rFonts w:ascii="Arial" w:hAnsi="Arial" w:cs="Arial"/>
          <w:sz w:val="20"/>
        </w:rPr>
        <w:t>holds</w:t>
      </w:r>
      <w:r w:rsidRPr="009B2DD4">
        <w:rPr>
          <w:rFonts w:ascii="Arial" w:hAnsi="Arial" w:cs="Arial"/>
          <w:spacing w:val="-3"/>
          <w:sz w:val="20"/>
        </w:rPr>
        <w:t xml:space="preserve"> </w:t>
      </w:r>
      <w:r w:rsidRPr="009B2DD4">
        <w:rPr>
          <w:rFonts w:ascii="Arial" w:hAnsi="Arial" w:cs="Arial"/>
          <w:sz w:val="20"/>
        </w:rPr>
        <w:t>for</w:t>
      </w:r>
      <w:r w:rsidRPr="009B2DD4">
        <w:rPr>
          <w:rFonts w:ascii="Arial" w:hAnsi="Arial" w:cs="Arial"/>
          <w:spacing w:val="-1"/>
          <w:sz w:val="20"/>
        </w:rPr>
        <w:t xml:space="preserve"> </w:t>
      </w:r>
      <w:r w:rsidRPr="009B2DD4">
        <w:rPr>
          <w:rFonts w:ascii="Arial" w:hAnsi="Arial" w:cs="Arial"/>
          <w:sz w:val="20"/>
        </w:rPr>
        <w:t>each</w:t>
      </w:r>
      <w:r w:rsidRPr="009B2DD4">
        <w:rPr>
          <w:rFonts w:ascii="Arial" w:hAnsi="Arial" w:cs="Arial"/>
          <w:spacing w:val="-1"/>
          <w:sz w:val="20"/>
        </w:rPr>
        <w:t xml:space="preserve"> </w:t>
      </w:r>
      <w:r w:rsidRPr="009B2DD4">
        <w:rPr>
          <w:rFonts w:ascii="Arial" w:hAnsi="Arial" w:cs="Arial"/>
          <w:sz w:val="20"/>
        </w:rPr>
        <w:t>occupant.</w:t>
      </w:r>
    </w:p>
    <w:p w14:paraId="7DDC08F6" w14:textId="77777777" w:rsidR="009B2DD4" w:rsidRPr="009B2DD4" w:rsidRDefault="009B2DD4" w:rsidP="00AB16A5">
      <w:pPr>
        <w:numPr>
          <w:ilvl w:val="0"/>
          <w:numId w:val="360"/>
        </w:numPr>
        <w:tabs>
          <w:tab w:val="left" w:pos="706"/>
          <w:tab w:val="left" w:pos="707"/>
        </w:tabs>
        <w:spacing w:before="120" w:line="276" w:lineRule="auto"/>
        <w:jc w:val="both"/>
        <w:rPr>
          <w:rFonts w:ascii="Arial" w:hAnsi="Arial" w:cs="Arial"/>
          <w:sz w:val="20"/>
        </w:rPr>
      </w:pPr>
      <w:r w:rsidRPr="009B2DD4">
        <w:rPr>
          <w:rFonts w:ascii="Arial" w:hAnsi="Arial" w:cs="Arial"/>
          <w:sz w:val="20"/>
        </w:rPr>
        <w:t>Means</w:t>
      </w:r>
      <w:r w:rsidRPr="009B2DD4">
        <w:rPr>
          <w:rFonts w:ascii="Arial" w:hAnsi="Arial" w:cs="Arial"/>
          <w:spacing w:val="-3"/>
          <w:sz w:val="20"/>
        </w:rPr>
        <w:t xml:space="preserve"> </w:t>
      </w:r>
      <w:r w:rsidRPr="009B2DD4">
        <w:rPr>
          <w:rFonts w:ascii="Arial" w:hAnsi="Arial" w:cs="Arial"/>
          <w:sz w:val="20"/>
        </w:rPr>
        <w:t>must</w:t>
      </w:r>
      <w:r w:rsidRPr="009B2DD4">
        <w:rPr>
          <w:rFonts w:ascii="Arial" w:hAnsi="Arial" w:cs="Arial"/>
          <w:spacing w:val="-2"/>
          <w:sz w:val="20"/>
        </w:rPr>
        <w:t xml:space="preserve"> </w:t>
      </w:r>
      <w:r w:rsidRPr="009B2DD4">
        <w:rPr>
          <w:rFonts w:ascii="Arial" w:hAnsi="Arial" w:cs="Arial"/>
          <w:sz w:val="20"/>
        </w:rPr>
        <w:t>be</w:t>
      </w:r>
      <w:r w:rsidRPr="009B2DD4">
        <w:rPr>
          <w:rFonts w:ascii="Arial" w:hAnsi="Arial" w:cs="Arial"/>
          <w:spacing w:val="-1"/>
          <w:sz w:val="20"/>
        </w:rPr>
        <w:t xml:space="preserve"> </w:t>
      </w:r>
      <w:r w:rsidRPr="009B2DD4">
        <w:rPr>
          <w:rFonts w:ascii="Arial" w:hAnsi="Arial" w:cs="Arial"/>
          <w:sz w:val="20"/>
        </w:rPr>
        <w:t>provided</w:t>
      </w:r>
      <w:r w:rsidRPr="009B2DD4">
        <w:rPr>
          <w:rFonts w:ascii="Arial" w:hAnsi="Arial" w:cs="Arial"/>
          <w:spacing w:val="-3"/>
          <w:sz w:val="20"/>
        </w:rPr>
        <w:t xml:space="preserve"> </w:t>
      </w:r>
      <w:r w:rsidRPr="009B2DD4">
        <w:rPr>
          <w:rFonts w:ascii="Arial" w:hAnsi="Arial" w:cs="Arial"/>
          <w:sz w:val="20"/>
        </w:rPr>
        <w:t>to allow</w:t>
      </w:r>
      <w:r w:rsidRPr="009B2DD4">
        <w:rPr>
          <w:rFonts w:ascii="Arial" w:hAnsi="Arial" w:cs="Arial"/>
          <w:spacing w:val="1"/>
          <w:sz w:val="20"/>
        </w:rPr>
        <w:t xml:space="preserve"> </w:t>
      </w:r>
      <w:r w:rsidRPr="009B2DD4">
        <w:rPr>
          <w:rFonts w:ascii="Arial" w:hAnsi="Arial" w:cs="Arial"/>
          <w:sz w:val="20"/>
        </w:rPr>
        <w:t>drainage</w:t>
      </w:r>
      <w:r w:rsidRPr="009B2DD4">
        <w:rPr>
          <w:rFonts w:ascii="Arial" w:hAnsi="Arial" w:cs="Arial"/>
          <w:spacing w:val="-2"/>
          <w:sz w:val="20"/>
        </w:rPr>
        <w:t xml:space="preserve"> </w:t>
      </w:r>
      <w:r w:rsidRPr="009B2DD4">
        <w:rPr>
          <w:rFonts w:ascii="Arial" w:hAnsi="Arial" w:cs="Arial"/>
          <w:sz w:val="20"/>
        </w:rPr>
        <w:t>of</w:t>
      </w:r>
      <w:r w:rsidRPr="009B2DD4">
        <w:rPr>
          <w:rFonts w:ascii="Arial" w:hAnsi="Arial" w:cs="Arial"/>
          <w:spacing w:val="-4"/>
          <w:sz w:val="20"/>
        </w:rPr>
        <w:t xml:space="preserve"> </w:t>
      </w:r>
      <w:r w:rsidRPr="009B2DD4">
        <w:rPr>
          <w:rFonts w:ascii="Arial" w:hAnsi="Arial" w:cs="Arial"/>
          <w:sz w:val="20"/>
        </w:rPr>
        <w:t>vapour</w:t>
      </w:r>
      <w:r w:rsidRPr="009B2DD4">
        <w:rPr>
          <w:rFonts w:ascii="Arial" w:hAnsi="Arial" w:cs="Arial"/>
          <w:spacing w:val="-2"/>
          <w:sz w:val="20"/>
        </w:rPr>
        <w:t xml:space="preserve"> </w:t>
      </w:r>
      <w:r w:rsidRPr="009B2DD4">
        <w:rPr>
          <w:rFonts w:ascii="Arial" w:hAnsi="Arial" w:cs="Arial"/>
          <w:sz w:val="20"/>
        </w:rPr>
        <w:t>or</w:t>
      </w:r>
      <w:r w:rsidRPr="009B2DD4">
        <w:rPr>
          <w:rFonts w:ascii="Arial" w:hAnsi="Arial" w:cs="Arial"/>
          <w:spacing w:val="-1"/>
          <w:sz w:val="20"/>
        </w:rPr>
        <w:t xml:space="preserve"> </w:t>
      </w:r>
      <w:r w:rsidRPr="009B2DD4">
        <w:rPr>
          <w:rFonts w:ascii="Arial" w:hAnsi="Arial" w:cs="Arial"/>
          <w:sz w:val="20"/>
        </w:rPr>
        <w:t>liquid</w:t>
      </w:r>
      <w:r w:rsidRPr="009B2DD4">
        <w:rPr>
          <w:rFonts w:ascii="Arial" w:hAnsi="Arial" w:cs="Arial"/>
          <w:spacing w:val="-1"/>
          <w:sz w:val="20"/>
        </w:rPr>
        <w:t xml:space="preserve"> </w:t>
      </w:r>
      <w:r w:rsidRPr="009B2DD4">
        <w:rPr>
          <w:rFonts w:ascii="Arial" w:hAnsi="Arial" w:cs="Arial"/>
          <w:sz w:val="20"/>
        </w:rPr>
        <w:t>from</w:t>
      </w:r>
      <w:r w:rsidRPr="009B2DD4">
        <w:rPr>
          <w:rFonts w:ascii="Arial" w:hAnsi="Arial" w:cs="Arial"/>
          <w:spacing w:val="-2"/>
          <w:sz w:val="20"/>
        </w:rPr>
        <w:t xml:space="preserve"> </w:t>
      </w:r>
      <w:r w:rsidRPr="009B2DD4">
        <w:rPr>
          <w:rFonts w:ascii="Arial" w:hAnsi="Arial" w:cs="Arial"/>
          <w:sz w:val="20"/>
        </w:rPr>
        <w:t>the bottom</w:t>
      </w:r>
      <w:r w:rsidRPr="009B2DD4">
        <w:rPr>
          <w:rFonts w:ascii="Arial" w:hAnsi="Arial" w:cs="Arial"/>
          <w:spacing w:val="-1"/>
          <w:sz w:val="20"/>
        </w:rPr>
        <w:t xml:space="preserve"> </w:t>
      </w:r>
      <w:r w:rsidRPr="009B2DD4">
        <w:rPr>
          <w:rFonts w:ascii="Arial" w:hAnsi="Arial" w:cs="Arial"/>
          <w:sz w:val="20"/>
        </w:rPr>
        <w:t>of</w:t>
      </w:r>
      <w:r w:rsidRPr="009B2DD4">
        <w:rPr>
          <w:rFonts w:ascii="Arial" w:hAnsi="Arial" w:cs="Arial"/>
          <w:spacing w:val="-1"/>
          <w:sz w:val="20"/>
        </w:rPr>
        <w:t xml:space="preserve"> </w:t>
      </w:r>
      <w:r w:rsidRPr="009B2DD4">
        <w:rPr>
          <w:rFonts w:ascii="Arial" w:hAnsi="Arial" w:cs="Arial"/>
          <w:sz w:val="20"/>
        </w:rPr>
        <w:t>the</w:t>
      </w:r>
      <w:r w:rsidRPr="009B2DD4">
        <w:rPr>
          <w:rFonts w:ascii="Arial" w:hAnsi="Arial" w:cs="Arial"/>
          <w:spacing w:val="-2"/>
          <w:sz w:val="20"/>
        </w:rPr>
        <w:t xml:space="preserve"> </w:t>
      </w:r>
      <w:r w:rsidRPr="009B2DD4">
        <w:rPr>
          <w:rFonts w:ascii="Arial" w:hAnsi="Arial" w:cs="Arial"/>
          <w:sz w:val="20"/>
        </w:rPr>
        <w:t>basket.</w:t>
      </w:r>
    </w:p>
    <w:p w14:paraId="7D50BCCD" w14:textId="77777777" w:rsidR="009B2DD4" w:rsidRPr="009B2DD4" w:rsidRDefault="009B2DD4" w:rsidP="00AB16A5">
      <w:pPr>
        <w:numPr>
          <w:ilvl w:val="0"/>
          <w:numId w:val="360"/>
        </w:numPr>
        <w:tabs>
          <w:tab w:val="left" w:pos="706"/>
          <w:tab w:val="left" w:pos="707"/>
        </w:tabs>
        <w:spacing w:before="121" w:line="276" w:lineRule="auto"/>
        <w:ind w:right="196"/>
        <w:jc w:val="both"/>
        <w:rPr>
          <w:rFonts w:ascii="Arial" w:hAnsi="Arial" w:cs="Arial"/>
          <w:sz w:val="20"/>
        </w:rPr>
      </w:pPr>
      <w:r w:rsidRPr="009B2DD4">
        <w:rPr>
          <w:rFonts w:ascii="Arial" w:hAnsi="Arial" w:cs="Arial"/>
          <w:sz w:val="20"/>
        </w:rPr>
        <w:t>The</w:t>
      </w:r>
      <w:r w:rsidRPr="009B2DD4">
        <w:rPr>
          <w:rFonts w:ascii="Arial" w:hAnsi="Arial" w:cs="Arial"/>
          <w:spacing w:val="1"/>
          <w:sz w:val="20"/>
        </w:rPr>
        <w:t xml:space="preserve"> </w:t>
      </w:r>
      <w:r w:rsidRPr="009B2DD4">
        <w:rPr>
          <w:rFonts w:ascii="Arial" w:hAnsi="Arial" w:cs="Arial"/>
          <w:sz w:val="20"/>
        </w:rPr>
        <w:t>load-bearing</w:t>
      </w:r>
      <w:r w:rsidRPr="009B2DD4">
        <w:rPr>
          <w:rFonts w:ascii="Arial" w:hAnsi="Arial" w:cs="Arial"/>
          <w:spacing w:val="1"/>
          <w:sz w:val="20"/>
        </w:rPr>
        <w:t xml:space="preserve"> </w:t>
      </w:r>
      <w:r w:rsidRPr="009B2DD4">
        <w:rPr>
          <w:rFonts w:ascii="Arial" w:hAnsi="Arial" w:cs="Arial"/>
          <w:sz w:val="20"/>
        </w:rPr>
        <w:t>parts (e.g.</w:t>
      </w:r>
      <w:r w:rsidRPr="009B2DD4">
        <w:rPr>
          <w:rFonts w:ascii="Arial" w:hAnsi="Arial" w:cs="Arial"/>
          <w:spacing w:val="1"/>
          <w:sz w:val="20"/>
        </w:rPr>
        <w:t xml:space="preserve"> </w:t>
      </w:r>
      <w:r w:rsidRPr="009B2DD4">
        <w:rPr>
          <w:rFonts w:ascii="Arial" w:hAnsi="Arial" w:cs="Arial"/>
          <w:sz w:val="20"/>
        </w:rPr>
        <w:t>ropes</w:t>
      </w:r>
      <w:r w:rsidRPr="009B2DD4">
        <w:rPr>
          <w:rFonts w:ascii="Arial" w:hAnsi="Arial" w:cs="Arial"/>
          <w:spacing w:val="1"/>
          <w:sz w:val="20"/>
        </w:rPr>
        <w:t xml:space="preserve"> </w:t>
      </w:r>
      <w:r w:rsidRPr="009B2DD4">
        <w:rPr>
          <w:rFonts w:ascii="Arial" w:hAnsi="Arial" w:cs="Arial"/>
          <w:sz w:val="20"/>
        </w:rPr>
        <w:t>or cables)</w:t>
      </w:r>
      <w:r w:rsidRPr="009B2DD4">
        <w:rPr>
          <w:rFonts w:ascii="Arial" w:hAnsi="Arial" w:cs="Arial"/>
          <w:spacing w:val="1"/>
          <w:sz w:val="20"/>
        </w:rPr>
        <w:t xml:space="preserve"> </w:t>
      </w:r>
      <w:r w:rsidRPr="009B2DD4">
        <w:rPr>
          <w:rFonts w:ascii="Arial" w:hAnsi="Arial" w:cs="Arial"/>
          <w:sz w:val="20"/>
        </w:rPr>
        <w:t>of</w:t>
      </w:r>
      <w:r w:rsidRPr="009B2DD4">
        <w:rPr>
          <w:rFonts w:ascii="Arial" w:hAnsi="Arial" w:cs="Arial"/>
          <w:spacing w:val="1"/>
          <w:sz w:val="20"/>
        </w:rPr>
        <w:t xml:space="preserve"> </w:t>
      </w:r>
      <w:r w:rsidRPr="009B2DD4">
        <w:rPr>
          <w:rFonts w:ascii="Arial" w:hAnsi="Arial" w:cs="Arial"/>
          <w:sz w:val="20"/>
        </w:rPr>
        <w:t>the suspension</w:t>
      </w:r>
      <w:r w:rsidRPr="009B2DD4">
        <w:rPr>
          <w:rFonts w:ascii="Arial" w:hAnsi="Arial" w:cs="Arial"/>
          <w:spacing w:val="1"/>
          <w:sz w:val="20"/>
        </w:rPr>
        <w:t xml:space="preserve"> </w:t>
      </w:r>
      <w:r w:rsidRPr="009B2DD4">
        <w:rPr>
          <w:rFonts w:ascii="Arial" w:hAnsi="Arial" w:cs="Arial"/>
          <w:sz w:val="20"/>
        </w:rPr>
        <w:t>system</w:t>
      </w:r>
      <w:r w:rsidRPr="009B2DD4">
        <w:rPr>
          <w:rFonts w:ascii="Arial" w:hAnsi="Arial" w:cs="Arial"/>
          <w:spacing w:val="1"/>
          <w:sz w:val="20"/>
        </w:rPr>
        <w:t xml:space="preserve"> </w:t>
      </w:r>
      <w:r w:rsidRPr="009B2DD4">
        <w:rPr>
          <w:rFonts w:ascii="Arial" w:hAnsi="Arial" w:cs="Arial"/>
          <w:sz w:val="20"/>
        </w:rPr>
        <w:t>must</w:t>
      </w:r>
      <w:r w:rsidRPr="009B2DD4">
        <w:rPr>
          <w:rFonts w:ascii="Arial" w:hAnsi="Arial" w:cs="Arial"/>
          <w:spacing w:val="1"/>
          <w:sz w:val="20"/>
        </w:rPr>
        <w:t xml:space="preserve"> </w:t>
      </w:r>
      <w:r w:rsidRPr="009B2DD4">
        <w:rPr>
          <w:rFonts w:ascii="Arial" w:hAnsi="Arial" w:cs="Arial"/>
          <w:sz w:val="20"/>
        </w:rPr>
        <w:t>be</w:t>
      </w:r>
      <w:r w:rsidRPr="009B2DD4">
        <w:rPr>
          <w:rFonts w:ascii="Arial" w:hAnsi="Arial" w:cs="Arial"/>
          <w:spacing w:val="1"/>
          <w:sz w:val="20"/>
        </w:rPr>
        <w:t xml:space="preserve"> </w:t>
      </w:r>
      <w:r w:rsidRPr="009B2DD4">
        <w:rPr>
          <w:rFonts w:ascii="Arial" w:hAnsi="Arial" w:cs="Arial"/>
          <w:sz w:val="20"/>
        </w:rPr>
        <w:t>protected</w:t>
      </w:r>
      <w:r w:rsidRPr="009B2DD4">
        <w:rPr>
          <w:rFonts w:ascii="Arial" w:hAnsi="Arial" w:cs="Arial"/>
          <w:spacing w:val="-47"/>
          <w:sz w:val="20"/>
        </w:rPr>
        <w:t xml:space="preserve"> </w:t>
      </w:r>
      <w:r w:rsidRPr="009B2DD4">
        <w:rPr>
          <w:rFonts w:ascii="Arial" w:hAnsi="Arial" w:cs="Arial"/>
          <w:sz w:val="20"/>
        </w:rPr>
        <w:t>against damage</w:t>
      </w:r>
      <w:r w:rsidRPr="009B2DD4">
        <w:rPr>
          <w:rFonts w:ascii="Arial" w:hAnsi="Arial" w:cs="Arial"/>
          <w:spacing w:val="1"/>
          <w:sz w:val="20"/>
        </w:rPr>
        <w:t xml:space="preserve"> </w:t>
      </w:r>
      <w:r w:rsidRPr="009B2DD4">
        <w:rPr>
          <w:rFonts w:ascii="Arial" w:hAnsi="Arial" w:cs="Arial"/>
          <w:sz w:val="20"/>
        </w:rPr>
        <w:t>in</w:t>
      </w:r>
      <w:r w:rsidRPr="009B2DD4">
        <w:rPr>
          <w:rFonts w:ascii="Arial" w:hAnsi="Arial" w:cs="Arial"/>
          <w:spacing w:val="-1"/>
          <w:sz w:val="20"/>
        </w:rPr>
        <w:t xml:space="preserve"> </w:t>
      </w:r>
      <w:r w:rsidRPr="009B2DD4">
        <w:rPr>
          <w:rFonts w:ascii="Arial" w:hAnsi="Arial" w:cs="Arial"/>
          <w:sz w:val="20"/>
        </w:rPr>
        <w:t>normal</w:t>
      </w:r>
      <w:r w:rsidRPr="009B2DD4">
        <w:rPr>
          <w:rFonts w:ascii="Arial" w:hAnsi="Arial" w:cs="Arial"/>
          <w:spacing w:val="-3"/>
          <w:sz w:val="20"/>
        </w:rPr>
        <w:t xml:space="preserve"> </w:t>
      </w:r>
      <w:r w:rsidRPr="009B2DD4">
        <w:rPr>
          <w:rFonts w:ascii="Arial" w:hAnsi="Arial" w:cs="Arial"/>
          <w:sz w:val="20"/>
        </w:rPr>
        <w:t>service.</w:t>
      </w:r>
    </w:p>
    <w:p w14:paraId="1D67F2FF" w14:textId="77777777" w:rsidR="009B2DD4" w:rsidRPr="009B2DD4" w:rsidRDefault="009B2DD4" w:rsidP="00AB16A5">
      <w:pPr>
        <w:numPr>
          <w:ilvl w:val="0"/>
          <w:numId w:val="360"/>
        </w:numPr>
        <w:tabs>
          <w:tab w:val="left" w:pos="706"/>
          <w:tab w:val="left" w:pos="707"/>
        </w:tabs>
        <w:spacing w:before="120" w:line="276" w:lineRule="auto"/>
        <w:jc w:val="both"/>
        <w:rPr>
          <w:rFonts w:ascii="Arial" w:hAnsi="Arial" w:cs="Arial"/>
          <w:sz w:val="20"/>
        </w:rPr>
      </w:pPr>
      <w:r w:rsidRPr="009B2DD4">
        <w:rPr>
          <w:rFonts w:ascii="Arial" w:hAnsi="Arial" w:cs="Arial"/>
          <w:sz w:val="20"/>
        </w:rPr>
        <w:t>The</w:t>
      </w:r>
      <w:r w:rsidRPr="009B2DD4">
        <w:rPr>
          <w:rFonts w:ascii="Arial" w:hAnsi="Arial" w:cs="Arial"/>
          <w:spacing w:val="-3"/>
          <w:sz w:val="20"/>
        </w:rPr>
        <w:t xml:space="preserve"> </w:t>
      </w:r>
      <w:r w:rsidRPr="009B2DD4">
        <w:rPr>
          <w:rFonts w:ascii="Arial" w:hAnsi="Arial" w:cs="Arial"/>
          <w:sz w:val="20"/>
        </w:rPr>
        <w:t>basket</w:t>
      </w:r>
      <w:r w:rsidRPr="009B2DD4">
        <w:rPr>
          <w:rFonts w:ascii="Arial" w:hAnsi="Arial" w:cs="Arial"/>
          <w:spacing w:val="-2"/>
          <w:sz w:val="20"/>
        </w:rPr>
        <w:t xml:space="preserve"> </w:t>
      </w:r>
      <w:r w:rsidRPr="009B2DD4">
        <w:rPr>
          <w:rFonts w:ascii="Arial" w:hAnsi="Arial" w:cs="Arial"/>
          <w:sz w:val="20"/>
        </w:rPr>
        <w:t>floor</w:t>
      </w:r>
      <w:r w:rsidRPr="009B2DD4">
        <w:rPr>
          <w:rFonts w:ascii="Arial" w:hAnsi="Arial" w:cs="Arial"/>
          <w:spacing w:val="-4"/>
          <w:sz w:val="20"/>
        </w:rPr>
        <w:t xml:space="preserve"> </w:t>
      </w:r>
      <w:r w:rsidRPr="009B2DD4">
        <w:rPr>
          <w:rFonts w:ascii="Arial" w:hAnsi="Arial" w:cs="Arial"/>
          <w:sz w:val="20"/>
        </w:rPr>
        <w:t>must</w:t>
      </w:r>
      <w:r w:rsidRPr="009B2DD4">
        <w:rPr>
          <w:rFonts w:ascii="Arial" w:hAnsi="Arial" w:cs="Arial"/>
          <w:spacing w:val="-1"/>
          <w:sz w:val="20"/>
        </w:rPr>
        <w:t xml:space="preserve"> </w:t>
      </w:r>
      <w:r w:rsidRPr="009B2DD4">
        <w:rPr>
          <w:rFonts w:ascii="Arial" w:hAnsi="Arial" w:cs="Arial"/>
          <w:sz w:val="20"/>
        </w:rPr>
        <w:t>not</w:t>
      </w:r>
      <w:r w:rsidRPr="009B2DD4">
        <w:rPr>
          <w:rFonts w:ascii="Arial" w:hAnsi="Arial" w:cs="Arial"/>
          <w:spacing w:val="-4"/>
          <w:sz w:val="20"/>
        </w:rPr>
        <w:t xml:space="preserve"> </w:t>
      </w:r>
      <w:r w:rsidRPr="009B2DD4">
        <w:rPr>
          <w:rFonts w:ascii="Arial" w:hAnsi="Arial" w:cs="Arial"/>
          <w:sz w:val="20"/>
        </w:rPr>
        <w:t>project</w:t>
      </w:r>
      <w:r w:rsidRPr="009B2DD4">
        <w:rPr>
          <w:rFonts w:ascii="Arial" w:hAnsi="Arial" w:cs="Arial"/>
          <w:spacing w:val="-2"/>
          <w:sz w:val="20"/>
        </w:rPr>
        <w:t xml:space="preserve"> </w:t>
      </w:r>
      <w:r w:rsidRPr="009B2DD4">
        <w:rPr>
          <w:rFonts w:ascii="Arial" w:hAnsi="Arial" w:cs="Arial"/>
          <w:sz w:val="20"/>
        </w:rPr>
        <w:t>beyond</w:t>
      </w:r>
      <w:r w:rsidRPr="009B2DD4">
        <w:rPr>
          <w:rFonts w:ascii="Arial" w:hAnsi="Arial" w:cs="Arial"/>
          <w:spacing w:val="-3"/>
          <w:sz w:val="20"/>
        </w:rPr>
        <w:t xml:space="preserve"> </w:t>
      </w:r>
      <w:r w:rsidRPr="009B2DD4">
        <w:rPr>
          <w:rFonts w:ascii="Arial" w:hAnsi="Arial" w:cs="Arial"/>
          <w:sz w:val="20"/>
        </w:rPr>
        <w:t>the</w:t>
      </w:r>
      <w:r w:rsidRPr="009B2DD4">
        <w:rPr>
          <w:rFonts w:ascii="Arial" w:hAnsi="Arial" w:cs="Arial"/>
          <w:spacing w:val="-2"/>
          <w:sz w:val="20"/>
        </w:rPr>
        <w:t xml:space="preserve"> </w:t>
      </w:r>
      <w:r w:rsidRPr="009B2DD4">
        <w:rPr>
          <w:rFonts w:ascii="Arial" w:hAnsi="Arial" w:cs="Arial"/>
          <w:sz w:val="20"/>
        </w:rPr>
        <w:t>sidewalls.</w:t>
      </w:r>
    </w:p>
    <w:p w14:paraId="37E1D11E" w14:textId="77777777" w:rsidR="009B2DD4" w:rsidRPr="009B2DD4" w:rsidRDefault="009B2DD4" w:rsidP="00AB16A5">
      <w:pPr>
        <w:numPr>
          <w:ilvl w:val="0"/>
          <w:numId w:val="360"/>
        </w:numPr>
        <w:tabs>
          <w:tab w:val="left" w:pos="706"/>
          <w:tab w:val="left" w:pos="707"/>
        </w:tabs>
        <w:spacing w:before="118" w:line="276" w:lineRule="auto"/>
        <w:ind w:right="196"/>
        <w:jc w:val="both"/>
        <w:rPr>
          <w:rFonts w:ascii="Arial" w:hAnsi="Arial" w:cs="Arial"/>
          <w:sz w:val="20"/>
        </w:rPr>
      </w:pPr>
      <w:r w:rsidRPr="009B2DD4">
        <w:rPr>
          <w:rFonts w:ascii="Arial" w:hAnsi="Arial" w:cs="Arial"/>
          <w:sz w:val="20"/>
        </w:rPr>
        <w:t>Limitations</w:t>
      </w:r>
      <w:r w:rsidRPr="009B2DD4">
        <w:rPr>
          <w:rFonts w:ascii="Arial" w:hAnsi="Arial" w:cs="Arial"/>
          <w:spacing w:val="13"/>
          <w:sz w:val="20"/>
        </w:rPr>
        <w:t xml:space="preserve"> </w:t>
      </w:r>
      <w:r w:rsidRPr="009B2DD4">
        <w:rPr>
          <w:rFonts w:ascii="Arial" w:hAnsi="Arial" w:cs="Arial"/>
          <w:sz w:val="20"/>
        </w:rPr>
        <w:t>on</w:t>
      </w:r>
      <w:r w:rsidRPr="009B2DD4">
        <w:rPr>
          <w:rFonts w:ascii="Arial" w:hAnsi="Arial" w:cs="Arial"/>
          <w:spacing w:val="15"/>
          <w:sz w:val="20"/>
        </w:rPr>
        <w:t xml:space="preserve"> </w:t>
      </w:r>
      <w:r w:rsidRPr="009B2DD4">
        <w:rPr>
          <w:rFonts w:ascii="Arial" w:hAnsi="Arial" w:cs="Arial"/>
          <w:sz w:val="20"/>
        </w:rPr>
        <w:t>the</w:t>
      </w:r>
      <w:r w:rsidRPr="009B2DD4">
        <w:rPr>
          <w:rFonts w:ascii="Arial" w:hAnsi="Arial" w:cs="Arial"/>
          <w:spacing w:val="17"/>
          <w:sz w:val="20"/>
        </w:rPr>
        <w:t xml:space="preserve"> </w:t>
      </w:r>
      <w:r w:rsidRPr="009B2DD4">
        <w:rPr>
          <w:rFonts w:ascii="Arial" w:hAnsi="Arial" w:cs="Arial"/>
          <w:sz w:val="20"/>
        </w:rPr>
        <w:t>occupancy</w:t>
      </w:r>
      <w:r w:rsidRPr="009B2DD4">
        <w:rPr>
          <w:rFonts w:ascii="Arial" w:hAnsi="Arial" w:cs="Arial"/>
          <w:spacing w:val="19"/>
          <w:sz w:val="20"/>
        </w:rPr>
        <w:t xml:space="preserve"> </w:t>
      </w:r>
      <w:r w:rsidRPr="009B2DD4">
        <w:rPr>
          <w:rFonts w:ascii="Arial" w:hAnsi="Arial" w:cs="Arial"/>
          <w:sz w:val="20"/>
        </w:rPr>
        <w:t>and</w:t>
      </w:r>
      <w:r w:rsidRPr="009B2DD4">
        <w:rPr>
          <w:rFonts w:ascii="Arial" w:hAnsi="Arial" w:cs="Arial"/>
          <w:spacing w:val="15"/>
          <w:sz w:val="20"/>
        </w:rPr>
        <w:t xml:space="preserve"> </w:t>
      </w:r>
      <w:r w:rsidRPr="009B2DD4">
        <w:rPr>
          <w:rFonts w:ascii="Arial" w:hAnsi="Arial" w:cs="Arial"/>
          <w:sz w:val="20"/>
        </w:rPr>
        <w:t>configuration</w:t>
      </w:r>
      <w:r w:rsidRPr="009B2DD4">
        <w:rPr>
          <w:rFonts w:ascii="Arial" w:hAnsi="Arial" w:cs="Arial"/>
          <w:spacing w:val="13"/>
          <w:sz w:val="20"/>
        </w:rPr>
        <w:t xml:space="preserve"> </w:t>
      </w:r>
      <w:r w:rsidRPr="009B2DD4">
        <w:rPr>
          <w:rFonts w:ascii="Arial" w:hAnsi="Arial" w:cs="Arial"/>
          <w:sz w:val="20"/>
        </w:rPr>
        <w:t>of</w:t>
      </w:r>
      <w:r w:rsidRPr="009B2DD4">
        <w:rPr>
          <w:rFonts w:ascii="Arial" w:hAnsi="Arial" w:cs="Arial"/>
          <w:spacing w:val="16"/>
          <w:sz w:val="20"/>
        </w:rPr>
        <w:t xml:space="preserve"> </w:t>
      </w:r>
      <w:r w:rsidRPr="009B2DD4">
        <w:rPr>
          <w:rFonts w:ascii="Arial" w:hAnsi="Arial" w:cs="Arial"/>
          <w:sz w:val="20"/>
        </w:rPr>
        <w:t>the</w:t>
      </w:r>
      <w:r w:rsidRPr="009B2DD4">
        <w:rPr>
          <w:rFonts w:ascii="Arial" w:hAnsi="Arial" w:cs="Arial"/>
          <w:spacing w:val="19"/>
          <w:sz w:val="20"/>
        </w:rPr>
        <w:t xml:space="preserve"> </w:t>
      </w:r>
      <w:r w:rsidRPr="009B2DD4">
        <w:rPr>
          <w:rFonts w:ascii="Arial" w:hAnsi="Arial" w:cs="Arial"/>
          <w:sz w:val="20"/>
        </w:rPr>
        <w:t>basket</w:t>
      </w:r>
      <w:r w:rsidRPr="009B2DD4">
        <w:rPr>
          <w:rFonts w:ascii="Arial" w:hAnsi="Arial" w:cs="Arial"/>
          <w:spacing w:val="15"/>
          <w:sz w:val="20"/>
        </w:rPr>
        <w:t xml:space="preserve"> </w:t>
      </w:r>
      <w:r w:rsidRPr="009B2DD4">
        <w:rPr>
          <w:rFonts w:ascii="Arial" w:hAnsi="Arial" w:cs="Arial"/>
          <w:sz w:val="20"/>
        </w:rPr>
        <w:t>must</w:t>
      </w:r>
      <w:r w:rsidRPr="009B2DD4">
        <w:rPr>
          <w:rFonts w:ascii="Arial" w:hAnsi="Arial" w:cs="Arial"/>
          <w:spacing w:val="16"/>
          <w:sz w:val="20"/>
        </w:rPr>
        <w:t xml:space="preserve"> </w:t>
      </w:r>
      <w:r w:rsidRPr="009B2DD4">
        <w:rPr>
          <w:rFonts w:ascii="Arial" w:hAnsi="Arial" w:cs="Arial"/>
          <w:sz w:val="20"/>
        </w:rPr>
        <w:t>be</w:t>
      </w:r>
      <w:r w:rsidRPr="009B2DD4">
        <w:rPr>
          <w:rFonts w:ascii="Arial" w:hAnsi="Arial" w:cs="Arial"/>
          <w:spacing w:val="16"/>
          <w:sz w:val="20"/>
        </w:rPr>
        <w:t xml:space="preserve"> </w:t>
      </w:r>
      <w:r w:rsidRPr="009B2DD4">
        <w:rPr>
          <w:rFonts w:ascii="Arial" w:hAnsi="Arial" w:cs="Arial"/>
          <w:sz w:val="20"/>
        </w:rPr>
        <w:t>provided</w:t>
      </w:r>
      <w:r w:rsidRPr="009B2DD4">
        <w:rPr>
          <w:rFonts w:ascii="Arial" w:hAnsi="Arial" w:cs="Arial"/>
          <w:spacing w:val="18"/>
          <w:sz w:val="20"/>
        </w:rPr>
        <w:t xml:space="preserve"> </w:t>
      </w:r>
      <w:r w:rsidRPr="009B2DD4">
        <w:rPr>
          <w:rFonts w:ascii="Arial" w:hAnsi="Arial" w:cs="Arial"/>
          <w:sz w:val="20"/>
        </w:rPr>
        <w:t>in</w:t>
      </w:r>
      <w:r w:rsidRPr="009B2DD4">
        <w:rPr>
          <w:rFonts w:ascii="Arial" w:hAnsi="Arial" w:cs="Arial"/>
          <w:spacing w:val="17"/>
          <w:sz w:val="20"/>
        </w:rPr>
        <w:t xml:space="preserve"> </w:t>
      </w:r>
      <w:r w:rsidRPr="009B2DD4">
        <w:rPr>
          <w:rFonts w:ascii="Arial" w:hAnsi="Arial" w:cs="Arial"/>
          <w:sz w:val="20"/>
        </w:rPr>
        <w:t>the</w:t>
      </w:r>
      <w:r w:rsidRPr="009B2DD4">
        <w:rPr>
          <w:rFonts w:ascii="Arial" w:hAnsi="Arial" w:cs="Arial"/>
          <w:spacing w:val="19"/>
          <w:sz w:val="20"/>
        </w:rPr>
        <w:t xml:space="preserve"> </w:t>
      </w:r>
      <w:r w:rsidRPr="009B2DD4">
        <w:rPr>
          <w:rFonts w:ascii="Arial" w:hAnsi="Arial" w:cs="Arial"/>
          <w:sz w:val="20"/>
        </w:rPr>
        <w:t>Flight</w:t>
      </w:r>
      <w:r w:rsidRPr="009B2DD4">
        <w:rPr>
          <w:rFonts w:ascii="Arial" w:hAnsi="Arial" w:cs="Arial"/>
          <w:spacing w:val="-47"/>
          <w:sz w:val="20"/>
        </w:rPr>
        <w:t xml:space="preserve"> </w:t>
      </w:r>
      <w:r w:rsidRPr="009B2DD4">
        <w:rPr>
          <w:rFonts w:ascii="Arial" w:hAnsi="Arial" w:cs="Arial"/>
          <w:sz w:val="20"/>
        </w:rPr>
        <w:t>Manual.</w:t>
      </w:r>
      <w:r w:rsidRPr="009B2DD4">
        <w:rPr>
          <w:rFonts w:ascii="Arial" w:hAnsi="Arial" w:cs="Arial"/>
          <w:spacing w:val="-2"/>
          <w:sz w:val="20"/>
        </w:rPr>
        <w:t xml:space="preserve"> </w:t>
      </w:r>
      <w:r w:rsidRPr="009B2DD4">
        <w:rPr>
          <w:rFonts w:ascii="Arial" w:hAnsi="Arial" w:cs="Arial"/>
          <w:sz w:val="20"/>
        </w:rPr>
        <w:t>(See</w:t>
      </w:r>
      <w:r w:rsidRPr="009B2DD4">
        <w:rPr>
          <w:rFonts w:ascii="Arial" w:hAnsi="Arial" w:cs="Arial"/>
          <w:color w:val="0000FF"/>
          <w:spacing w:val="-2"/>
          <w:sz w:val="20"/>
        </w:rPr>
        <w:t xml:space="preserve"> </w:t>
      </w:r>
      <w:r w:rsidRPr="009B2DD4">
        <w:rPr>
          <w:rFonts w:ascii="Arial" w:hAnsi="Arial" w:cs="Arial"/>
          <w:sz w:val="20"/>
        </w:rPr>
        <w:t>CS 31GB.81).</w:t>
      </w:r>
    </w:p>
    <w:p w14:paraId="6D203361" w14:textId="77777777" w:rsidR="00F4080B" w:rsidRPr="00F4080B" w:rsidRDefault="00F4080B" w:rsidP="00F4080B">
      <w:pPr>
        <w:keepNext/>
        <w:keepLines/>
        <w:widowControl/>
        <w:shd w:val="clear" w:color="auto" w:fill="ED7D31"/>
        <w:autoSpaceDE/>
        <w:autoSpaceDN/>
        <w:spacing w:before="160" w:after="120" w:line="276" w:lineRule="auto"/>
        <w:outlineLvl w:val="4"/>
        <w:rPr>
          <w:rFonts w:ascii="Arial" w:eastAsia="Times New Roman" w:hAnsi="Arial" w:cs="Times New Roman"/>
          <w:b/>
          <w:color w:val="FFFFFF"/>
          <w:sz w:val="24"/>
        </w:rPr>
      </w:pPr>
      <w:bookmarkStart w:id="1128" w:name="AMC_31GB.59(a)_Baskets"/>
      <w:bookmarkStart w:id="1129" w:name="_bookmark475"/>
      <w:bookmarkStart w:id="1130" w:name="_Toc153137639"/>
      <w:bookmarkEnd w:id="1128"/>
      <w:bookmarkEnd w:id="1129"/>
      <w:r w:rsidRPr="00F4080B">
        <w:rPr>
          <w:rFonts w:ascii="Arial" w:eastAsia="Times New Roman" w:hAnsi="Arial" w:cs="Times New Roman"/>
          <w:b/>
          <w:color w:val="FFFFFF"/>
          <w:sz w:val="24"/>
        </w:rPr>
        <w:t>AMC 31GB.59(a) Baskets</w:t>
      </w:r>
      <w:bookmarkEnd w:id="1130"/>
    </w:p>
    <w:p w14:paraId="075FF505" w14:textId="77777777" w:rsidR="00F4080B" w:rsidRPr="00F4080B" w:rsidRDefault="00F4080B" w:rsidP="00973DE4">
      <w:pPr>
        <w:tabs>
          <w:tab w:val="left" w:pos="1274"/>
        </w:tabs>
        <w:spacing w:line="276" w:lineRule="auto"/>
        <w:ind w:right="44"/>
        <w:jc w:val="both"/>
        <w:rPr>
          <w:rFonts w:ascii="Arial" w:hAnsi="Arial" w:cs="Arial"/>
          <w:sz w:val="20"/>
        </w:rPr>
      </w:pPr>
      <w:r w:rsidRPr="00F4080B">
        <w:rPr>
          <w:rFonts w:ascii="Arial" w:hAnsi="Arial" w:cs="Arial"/>
          <w:sz w:val="20"/>
        </w:rPr>
        <w:t>The purpose of this subparagraph is to prevent entanglement of operating lines due to uncontrolled rotation.</w:t>
      </w:r>
    </w:p>
    <w:p w14:paraId="07478022" w14:textId="77777777" w:rsidR="00F4080B" w:rsidRPr="00F4080B" w:rsidRDefault="00F4080B" w:rsidP="00973DE4">
      <w:pPr>
        <w:tabs>
          <w:tab w:val="left" w:pos="1274"/>
        </w:tabs>
        <w:spacing w:line="276" w:lineRule="auto"/>
        <w:ind w:right="44"/>
        <w:jc w:val="both"/>
        <w:rPr>
          <w:rFonts w:ascii="Arial" w:hAnsi="Arial" w:cs="Arial"/>
          <w:sz w:val="20"/>
        </w:rPr>
      </w:pPr>
      <w:r w:rsidRPr="00F4080B">
        <w:rPr>
          <w:rFonts w:ascii="Arial" w:hAnsi="Arial" w:cs="Arial"/>
          <w:sz w:val="20"/>
        </w:rPr>
        <w:t>It should be noted that uncontrolled rotation may also occur during landings with basket tip-over if the plan view of the basket floor is circular or more than hexagonal.</w:t>
      </w:r>
    </w:p>
    <w:p w14:paraId="5D0B5E7C" w14:textId="77777777" w:rsidR="00F4080B" w:rsidRPr="00F4080B" w:rsidRDefault="00F4080B" w:rsidP="00F4080B">
      <w:pPr>
        <w:keepNext/>
        <w:keepLines/>
        <w:widowControl/>
        <w:shd w:val="clear" w:color="auto" w:fill="ED7D31"/>
        <w:autoSpaceDE/>
        <w:autoSpaceDN/>
        <w:spacing w:before="160" w:after="120" w:line="276" w:lineRule="auto"/>
        <w:outlineLvl w:val="4"/>
        <w:rPr>
          <w:rFonts w:ascii="Arial" w:eastAsia="Times New Roman" w:hAnsi="Arial" w:cs="Times New Roman"/>
          <w:b/>
          <w:color w:val="FFFFFF"/>
          <w:sz w:val="24"/>
        </w:rPr>
      </w:pPr>
      <w:bookmarkStart w:id="1131" w:name="AMC_31GB.59(c)_Baskets"/>
      <w:bookmarkStart w:id="1132" w:name="_bookmark476"/>
      <w:bookmarkStart w:id="1133" w:name="_Toc153137640"/>
      <w:bookmarkEnd w:id="1131"/>
      <w:bookmarkEnd w:id="1132"/>
      <w:r w:rsidRPr="00F4080B">
        <w:rPr>
          <w:rFonts w:ascii="Arial" w:eastAsia="Times New Roman" w:hAnsi="Arial" w:cs="Times New Roman"/>
          <w:b/>
          <w:color w:val="FFFFFF"/>
          <w:sz w:val="24"/>
        </w:rPr>
        <w:lastRenderedPageBreak/>
        <w:t>AMC 31GB.59(c) Baskets</w:t>
      </w:r>
      <w:bookmarkEnd w:id="1133"/>
    </w:p>
    <w:p w14:paraId="1834957D" w14:textId="77777777" w:rsidR="00F4080B" w:rsidRPr="00F4080B" w:rsidRDefault="00F4080B" w:rsidP="00F4080B">
      <w:pPr>
        <w:tabs>
          <w:tab w:val="left" w:pos="1274"/>
        </w:tabs>
        <w:spacing w:line="276" w:lineRule="auto"/>
        <w:ind w:right="196"/>
        <w:jc w:val="both"/>
        <w:rPr>
          <w:rFonts w:ascii="Arial" w:hAnsi="Arial" w:cs="Arial"/>
          <w:sz w:val="20"/>
        </w:rPr>
      </w:pPr>
      <w:r w:rsidRPr="00F4080B">
        <w:rPr>
          <w:rFonts w:ascii="Arial" w:hAnsi="Arial" w:cs="Arial"/>
          <w:sz w:val="20"/>
        </w:rPr>
        <w:t>An internal height of the basket of 1·10 m, protecting the occupants carried from falling from the basket, is considered compliant to this requirement.</w:t>
      </w:r>
    </w:p>
    <w:p w14:paraId="3457991A" w14:textId="77777777" w:rsidR="00F4080B" w:rsidRPr="00F4080B" w:rsidRDefault="00F4080B" w:rsidP="00F4080B">
      <w:pPr>
        <w:keepNext/>
        <w:keepLines/>
        <w:widowControl/>
        <w:shd w:val="clear" w:color="auto" w:fill="ED7D31"/>
        <w:autoSpaceDE/>
        <w:autoSpaceDN/>
        <w:spacing w:before="160" w:after="120" w:line="276" w:lineRule="auto"/>
        <w:outlineLvl w:val="4"/>
        <w:rPr>
          <w:rFonts w:ascii="Arial" w:eastAsia="Times New Roman" w:hAnsi="Arial" w:cs="Times New Roman"/>
          <w:b/>
          <w:color w:val="FFFFFF"/>
          <w:sz w:val="24"/>
        </w:rPr>
      </w:pPr>
      <w:bookmarkStart w:id="1134" w:name="AMC_31GB.59(e)_Baskets"/>
      <w:bookmarkStart w:id="1135" w:name="_bookmark477"/>
      <w:bookmarkStart w:id="1136" w:name="_Toc153137641"/>
      <w:bookmarkEnd w:id="1134"/>
      <w:bookmarkEnd w:id="1135"/>
      <w:r w:rsidRPr="00F4080B">
        <w:rPr>
          <w:rFonts w:ascii="Arial" w:eastAsia="Times New Roman" w:hAnsi="Arial" w:cs="Times New Roman"/>
          <w:b/>
          <w:color w:val="FFFFFF"/>
          <w:sz w:val="24"/>
        </w:rPr>
        <w:t>AMC 31GB.59(e) Baskets</w:t>
      </w:r>
      <w:bookmarkEnd w:id="1136"/>
    </w:p>
    <w:p w14:paraId="1F99593B" w14:textId="77777777" w:rsidR="00F4080B" w:rsidRPr="00F4080B" w:rsidRDefault="00F4080B" w:rsidP="00973DE4">
      <w:pPr>
        <w:tabs>
          <w:tab w:val="left" w:pos="1274"/>
        </w:tabs>
        <w:spacing w:line="276" w:lineRule="auto"/>
        <w:ind w:right="44"/>
        <w:jc w:val="both"/>
        <w:rPr>
          <w:rFonts w:ascii="Arial" w:hAnsi="Arial" w:cs="Arial"/>
          <w:sz w:val="20"/>
        </w:rPr>
      </w:pPr>
      <w:r w:rsidRPr="00F4080B">
        <w:rPr>
          <w:rFonts w:ascii="Arial" w:hAnsi="Arial" w:cs="Arial"/>
          <w:sz w:val="20"/>
        </w:rPr>
        <w:t>Alignment of the basket for landing using a drag rope or an equivalent feature and Flight Manual instructions specifying that the basket should be aligned to land on one of its longer sides can be used to show compliance to this requirement. No more than two occupants may be positioned in the landing direction without means to prevent them from falling on top of each other.</w:t>
      </w:r>
    </w:p>
    <w:p w14:paraId="5900FDA8" w14:textId="77777777" w:rsidR="00F4080B" w:rsidRPr="00F4080B" w:rsidRDefault="00F4080B" w:rsidP="00F4080B">
      <w:pPr>
        <w:keepNext/>
        <w:keepLines/>
        <w:widowControl/>
        <w:shd w:val="clear" w:color="auto" w:fill="ED7D31"/>
        <w:autoSpaceDE/>
        <w:autoSpaceDN/>
        <w:spacing w:before="160" w:after="120" w:line="276" w:lineRule="auto"/>
        <w:outlineLvl w:val="4"/>
        <w:rPr>
          <w:rFonts w:ascii="Arial" w:eastAsia="Times New Roman" w:hAnsi="Arial" w:cs="Times New Roman"/>
          <w:b/>
          <w:color w:val="FFFFFF"/>
          <w:sz w:val="24"/>
        </w:rPr>
      </w:pPr>
      <w:bookmarkStart w:id="1137" w:name="AMC_31GB.59(f)_Baskets"/>
      <w:bookmarkStart w:id="1138" w:name="_bookmark478"/>
      <w:bookmarkStart w:id="1139" w:name="_Toc153137642"/>
      <w:bookmarkEnd w:id="1137"/>
      <w:bookmarkEnd w:id="1138"/>
      <w:r w:rsidRPr="00F4080B">
        <w:rPr>
          <w:rFonts w:ascii="Arial" w:eastAsia="Times New Roman" w:hAnsi="Arial" w:cs="Times New Roman"/>
          <w:b/>
          <w:color w:val="FFFFFF"/>
          <w:sz w:val="24"/>
        </w:rPr>
        <w:t>AMC 31GB.59(f) Baskets</w:t>
      </w:r>
      <w:bookmarkEnd w:id="1139"/>
    </w:p>
    <w:p w14:paraId="160FEBFA" w14:textId="77777777" w:rsidR="00F4080B" w:rsidRPr="003E452A" w:rsidRDefault="00F4080B" w:rsidP="00973DE4">
      <w:pPr>
        <w:tabs>
          <w:tab w:val="left" w:pos="1274"/>
        </w:tabs>
        <w:spacing w:line="276" w:lineRule="auto"/>
        <w:ind w:right="44"/>
        <w:jc w:val="both"/>
        <w:rPr>
          <w:rFonts w:ascii="Arial" w:hAnsi="Arial" w:cs="Arial"/>
          <w:sz w:val="20"/>
        </w:rPr>
      </w:pPr>
      <w:r w:rsidRPr="00F4080B">
        <w:rPr>
          <w:rFonts w:ascii="Arial" w:hAnsi="Arial" w:cs="Arial"/>
          <w:sz w:val="20"/>
        </w:rPr>
        <w:t>Unless otherwise justified on safety grounds, a minimum figure of between 0·25 m² and 0·3 m² plan area should be used for each standing occupant, with proper account being taken of the specified size, number and position of equipment when applying this figure. There needs to be enough space provided for passengers to take a brace position for landing. The Agency should be consulted in cases where a basket’s shape or compartmentation makes the measurement of this figure subjective.</w:t>
      </w:r>
    </w:p>
    <w:p w14:paraId="7BDC9668" w14:textId="77777777" w:rsidR="003E452A" w:rsidRPr="003E452A" w:rsidRDefault="003E452A" w:rsidP="003E452A">
      <w:pPr>
        <w:keepNext/>
        <w:keepLines/>
        <w:widowControl/>
        <w:shd w:val="clear" w:color="auto" w:fill="ED7D31"/>
        <w:autoSpaceDE/>
        <w:autoSpaceDN/>
        <w:spacing w:before="160" w:after="120" w:line="276" w:lineRule="auto"/>
        <w:outlineLvl w:val="4"/>
        <w:rPr>
          <w:rFonts w:ascii="Arial" w:eastAsia="Times New Roman" w:hAnsi="Arial" w:cs="Times New Roman"/>
          <w:b/>
          <w:color w:val="FFFFFF"/>
          <w:sz w:val="24"/>
        </w:rPr>
      </w:pPr>
      <w:bookmarkStart w:id="1140" w:name="AMC_31GB.59(h)_Baskets"/>
      <w:bookmarkStart w:id="1141" w:name="_bookmark479"/>
      <w:bookmarkStart w:id="1142" w:name="_Toc153137643"/>
      <w:bookmarkEnd w:id="1140"/>
      <w:bookmarkEnd w:id="1141"/>
      <w:r w:rsidRPr="003E452A">
        <w:rPr>
          <w:rFonts w:ascii="Arial" w:eastAsia="Times New Roman" w:hAnsi="Arial" w:cs="Times New Roman"/>
          <w:b/>
          <w:color w:val="FFFFFF"/>
          <w:sz w:val="24"/>
        </w:rPr>
        <w:t>AMC 31GB.59(h) Baskets</w:t>
      </w:r>
      <w:bookmarkEnd w:id="1142"/>
    </w:p>
    <w:p w14:paraId="588303A6" w14:textId="77777777" w:rsidR="00241C2E" w:rsidRPr="003E452A" w:rsidRDefault="003E452A" w:rsidP="00973DE4">
      <w:pPr>
        <w:tabs>
          <w:tab w:val="left" w:pos="1274"/>
        </w:tabs>
        <w:spacing w:line="276" w:lineRule="auto"/>
        <w:ind w:right="44"/>
        <w:jc w:val="both"/>
        <w:rPr>
          <w:rFonts w:ascii="Arial" w:hAnsi="Arial" w:cs="Arial"/>
          <w:sz w:val="20"/>
        </w:rPr>
      </w:pPr>
      <w:r w:rsidRPr="003E452A">
        <w:rPr>
          <w:rFonts w:ascii="Arial" w:hAnsi="Arial" w:cs="Arial"/>
          <w:sz w:val="20"/>
        </w:rPr>
        <w:t>Handholds need to be provided as an obvious means for the occupants to safely hold on to during a landing. The location or design of the handholds need to provide protection of the hands from impact during a landing.</w:t>
      </w:r>
    </w:p>
    <w:p w14:paraId="352FD87D" w14:textId="77777777" w:rsidR="003E452A" w:rsidRPr="003E452A" w:rsidRDefault="003E452A" w:rsidP="003E452A">
      <w:pPr>
        <w:keepNext/>
        <w:keepLines/>
        <w:widowControl/>
        <w:shd w:val="clear" w:color="auto" w:fill="ED7D31"/>
        <w:autoSpaceDE/>
        <w:autoSpaceDN/>
        <w:spacing w:before="160" w:after="120" w:line="276" w:lineRule="auto"/>
        <w:outlineLvl w:val="4"/>
        <w:rPr>
          <w:rFonts w:ascii="Arial" w:eastAsia="Times New Roman" w:hAnsi="Arial" w:cs="Times New Roman"/>
          <w:b/>
          <w:color w:val="FFFFFF"/>
          <w:sz w:val="24"/>
        </w:rPr>
      </w:pPr>
      <w:bookmarkStart w:id="1143" w:name="AMC_31GB.59(l)_Baskets"/>
      <w:bookmarkStart w:id="1144" w:name="_bookmark480"/>
      <w:bookmarkStart w:id="1145" w:name="_Toc153137644"/>
      <w:bookmarkEnd w:id="1143"/>
      <w:bookmarkEnd w:id="1144"/>
      <w:r w:rsidRPr="003E452A">
        <w:rPr>
          <w:rFonts w:ascii="Arial" w:eastAsia="Times New Roman" w:hAnsi="Arial" w:cs="Times New Roman"/>
          <w:b/>
          <w:color w:val="FFFFFF"/>
          <w:sz w:val="24"/>
        </w:rPr>
        <w:t>AMC 31GB.59(l) Baskets</w:t>
      </w:r>
      <w:bookmarkEnd w:id="1145"/>
    </w:p>
    <w:p w14:paraId="0790FD71" w14:textId="77777777" w:rsidR="003E452A" w:rsidRPr="003E452A" w:rsidRDefault="003E452A" w:rsidP="00973DE4">
      <w:pPr>
        <w:tabs>
          <w:tab w:val="left" w:pos="1274"/>
        </w:tabs>
        <w:spacing w:line="276" w:lineRule="auto"/>
        <w:ind w:right="44"/>
        <w:jc w:val="both"/>
        <w:rPr>
          <w:rFonts w:ascii="Arial" w:hAnsi="Arial" w:cs="Arial"/>
          <w:sz w:val="20"/>
        </w:rPr>
      </w:pPr>
      <w:r w:rsidRPr="003E452A">
        <w:rPr>
          <w:rFonts w:ascii="Arial" w:hAnsi="Arial" w:cs="Arial"/>
          <w:sz w:val="20"/>
        </w:rPr>
        <w:t>These limitations should state, for each permissible model of basket or other means provided for the occupants, the maximum permitted occupancy in relation to specified sizes, numbers and positions of equipment items.</w:t>
      </w:r>
    </w:p>
    <w:p w14:paraId="60579D35" w14:textId="77777777" w:rsidR="00435AFB" w:rsidRPr="00435AFB" w:rsidRDefault="00435AFB" w:rsidP="00435AFB">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146" w:name="CS_31GB.61_Electrostatic_discharge"/>
      <w:bookmarkStart w:id="1147" w:name="_bookmark481"/>
      <w:bookmarkStart w:id="1148" w:name="_Toc153137645"/>
      <w:bookmarkEnd w:id="1146"/>
      <w:bookmarkEnd w:id="1147"/>
      <w:r w:rsidRPr="00435AFB">
        <w:rPr>
          <w:rFonts w:ascii="Arial" w:eastAsia="Times New Roman" w:hAnsi="Arial" w:cs="Times New Roman"/>
          <w:b/>
          <w:iCs/>
          <w:color w:val="FFFFFF"/>
          <w:sz w:val="24"/>
        </w:rPr>
        <w:t>CS 31GB.61 Electrostatic discharge</w:t>
      </w:r>
      <w:bookmarkEnd w:id="1148"/>
    </w:p>
    <w:p w14:paraId="1C36ED32" w14:textId="77777777" w:rsidR="00FC4BAB" w:rsidRPr="00435AFB" w:rsidRDefault="00435AFB" w:rsidP="00435AFB">
      <w:pPr>
        <w:tabs>
          <w:tab w:val="left" w:pos="1274"/>
        </w:tabs>
        <w:spacing w:line="276" w:lineRule="auto"/>
        <w:ind w:right="196"/>
        <w:jc w:val="both"/>
        <w:rPr>
          <w:rFonts w:ascii="Arial" w:hAnsi="Arial" w:cs="Arial"/>
          <w:sz w:val="20"/>
        </w:rPr>
      </w:pPr>
      <w:r w:rsidRPr="00435AFB">
        <w:rPr>
          <w:rFonts w:ascii="Arial" w:hAnsi="Arial" w:cs="Arial"/>
          <w:sz w:val="20"/>
        </w:rPr>
        <w:t>There must be appropriate electrostatic discharge means in the design of each balloon whose lift- producing medium contains a flammable gas to ensure that the effects of electrostatic discharge will not create a hazard.</w:t>
      </w:r>
    </w:p>
    <w:p w14:paraId="02366312" w14:textId="77777777" w:rsidR="00435AFB" w:rsidRPr="00435AFB" w:rsidRDefault="00435AFB" w:rsidP="00435AFB">
      <w:pPr>
        <w:keepNext/>
        <w:keepLines/>
        <w:widowControl/>
        <w:shd w:val="clear" w:color="auto" w:fill="ED7D31"/>
        <w:autoSpaceDE/>
        <w:autoSpaceDN/>
        <w:spacing w:before="160" w:after="120" w:line="276" w:lineRule="auto"/>
        <w:outlineLvl w:val="4"/>
        <w:rPr>
          <w:rFonts w:ascii="Arial" w:eastAsia="Times New Roman" w:hAnsi="Arial" w:cs="Times New Roman"/>
          <w:b/>
          <w:color w:val="FFFFFF"/>
          <w:sz w:val="24"/>
        </w:rPr>
      </w:pPr>
      <w:bookmarkStart w:id="1149" w:name="AMC_31GB.61_Electrostatic_discharge"/>
      <w:bookmarkStart w:id="1150" w:name="_bookmark482"/>
      <w:bookmarkStart w:id="1151" w:name="_Toc153137646"/>
      <w:bookmarkEnd w:id="1149"/>
      <w:bookmarkEnd w:id="1150"/>
      <w:r w:rsidRPr="00435AFB">
        <w:rPr>
          <w:rFonts w:ascii="Arial" w:eastAsia="Times New Roman" w:hAnsi="Arial" w:cs="Times New Roman"/>
          <w:b/>
          <w:color w:val="FFFFFF"/>
          <w:sz w:val="24"/>
        </w:rPr>
        <w:t>AMC 31GB.61 Electrostatic discharge</w:t>
      </w:r>
      <w:bookmarkEnd w:id="1151"/>
    </w:p>
    <w:p w14:paraId="7B835D16" w14:textId="77777777" w:rsidR="00CC1475" w:rsidRPr="00CC1475" w:rsidRDefault="00CC1475" w:rsidP="00973DE4">
      <w:pPr>
        <w:tabs>
          <w:tab w:val="left" w:pos="1274"/>
        </w:tabs>
        <w:spacing w:line="276" w:lineRule="auto"/>
        <w:ind w:right="44"/>
        <w:jc w:val="both"/>
        <w:rPr>
          <w:rFonts w:ascii="Arial" w:hAnsi="Arial" w:cs="Arial"/>
          <w:sz w:val="20"/>
          <w:szCs w:val="20"/>
        </w:rPr>
      </w:pPr>
      <w:r w:rsidRPr="00CC1475">
        <w:rPr>
          <w:rFonts w:ascii="Arial" w:hAnsi="Arial" w:cs="Arial"/>
          <w:sz w:val="20"/>
          <w:szCs w:val="20"/>
        </w:rPr>
        <w:t>Appropriate electrostatic discharge means are met when compliance with all of the following requirements is demonstrated.</w:t>
      </w:r>
    </w:p>
    <w:p w14:paraId="799713FF" w14:textId="77777777" w:rsidR="00FC4BAB" w:rsidRPr="00CC1475" w:rsidRDefault="00FC4BAB" w:rsidP="00973DE4">
      <w:pPr>
        <w:tabs>
          <w:tab w:val="left" w:pos="1274"/>
        </w:tabs>
        <w:spacing w:line="276" w:lineRule="auto"/>
        <w:ind w:right="44"/>
        <w:jc w:val="both"/>
        <w:rPr>
          <w:rFonts w:ascii="Arial" w:hAnsi="Arial" w:cs="Arial"/>
          <w:sz w:val="20"/>
          <w:szCs w:val="20"/>
        </w:rPr>
      </w:pPr>
    </w:p>
    <w:p w14:paraId="33E709E9" w14:textId="77777777" w:rsidR="00CC1475" w:rsidRPr="00CC1475" w:rsidRDefault="00CC1475" w:rsidP="00973DE4">
      <w:pPr>
        <w:numPr>
          <w:ilvl w:val="0"/>
          <w:numId w:val="361"/>
        </w:numPr>
        <w:tabs>
          <w:tab w:val="left" w:pos="1274"/>
        </w:tabs>
        <w:spacing w:line="276" w:lineRule="auto"/>
        <w:ind w:right="44"/>
        <w:jc w:val="both"/>
        <w:rPr>
          <w:rFonts w:ascii="Arial" w:hAnsi="Arial" w:cs="Arial"/>
          <w:sz w:val="20"/>
          <w:szCs w:val="20"/>
        </w:rPr>
      </w:pPr>
      <w:r w:rsidRPr="00CC1475">
        <w:rPr>
          <w:rFonts w:ascii="Arial" w:hAnsi="Arial" w:cs="Arial"/>
          <w:sz w:val="20"/>
          <w:szCs w:val="20"/>
        </w:rPr>
        <w:t>The surface resistance on the inside of the balloon envelope after 24-hour storage at a relative air humidity of less than 50% must be value 10</w:t>
      </w:r>
      <w:r w:rsidRPr="00CC1475">
        <w:rPr>
          <w:rFonts w:ascii="Arial" w:hAnsi="Arial" w:cs="Arial"/>
          <w:sz w:val="20"/>
          <w:szCs w:val="20"/>
          <w:vertAlign w:val="superscript"/>
        </w:rPr>
        <w:t>9</w:t>
      </w:r>
      <w:r w:rsidRPr="00CC1475">
        <w:rPr>
          <w:rFonts w:ascii="Arial" w:hAnsi="Arial" w:cs="Arial"/>
          <w:sz w:val="20"/>
          <w:szCs w:val="20"/>
        </w:rPr>
        <w:t xml:space="preserve"> Ω or lower. The values are to be determined using approved measuring methods.</w:t>
      </w:r>
    </w:p>
    <w:p w14:paraId="4173F541" w14:textId="77777777" w:rsidR="00FC4BAB" w:rsidRPr="00CC1475" w:rsidRDefault="00CC1475" w:rsidP="00973DE4">
      <w:pPr>
        <w:numPr>
          <w:ilvl w:val="0"/>
          <w:numId w:val="361"/>
        </w:numPr>
        <w:tabs>
          <w:tab w:val="left" w:pos="1274"/>
        </w:tabs>
        <w:spacing w:line="276" w:lineRule="auto"/>
        <w:ind w:right="44"/>
        <w:jc w:val="both"/>
        <w:rPr>
          <w:rFonts w:ascii="Arial" w:hAnsi="Arial" w:cs="Arial"/>
          <w:sz w:val="20"/>
          <w:szCs w:val="20"/>
        </w:rPr>
      </w:pPr>
      <w:r w:rsidRPr="00CC1475">
        <w:rPr>
          <w:rFonts w:ascii="Arial" w:hAnsi="Arial" w:cs="Arial"/>
          <w:sz w:val="20"/>
          <w:szCs w:val="20"/>
        </w:rPr>
        <w:t>The respective layer of a non-conductive material (surface resistance in excess of 10</w:t>
      </w:r>
      <w:r w:rsidRPr="00CC1475">
        <w:rPr>
          <w:rFonts w:ascii="Arial" w:hAnsi="Arial" w:cs="Arial"/>
          <w:sz w:val="20"/>
          <w:szCs w:val="20"/>
          <w:vertAlign w:val="superscript"/>
        </w:rPr>
        <w:t>9</w:t>
      </w:r>
      <w:r w:rsidRPr="00CC1475">
        <w:rPr>
          <w:rFonts w:ascii="Arial" w:hAnsi="Arial" w:cs="Arial"/>
          <w:sz w:val="20"/>
          <w:szCs w:val="20"/>
        </w:rPr>
        <w:t xml:space="preserve"> Ω) must not be thicker than 0.3 mm unless it is enclosed by conductive layers.</w:t>
      </w:r>
    </w:p>
    <w:p w14:paraId="18948EA4" w14:textId="77777777" w:rsidR="00CC1475" w:rsidRPr="00CC1475" w:rsidRDefault="00CC1475" w:rsidP="00973DE4">
      <w:pPr>
        <w:numPr>
          <w:ilvl w:val="0"/>
          <w:numId w:val="361"/>
        </w:numPr>
        <w:tabs>
          <w:tab w:val="left" w:pos="1274"/>
        </w:tabs>
        <w:spacing w:line="276" w:lineRule="auto"/>
        <w:ind w:right="44"/>
        <w:jc w:val="both"/>
        <w:rPr>
          <w:rFonts w:ascii="Arial" w:hAnsi="Arial" w:cs="Arial"/>
          <w:sz w:val="20"/>
          <w:szCs w:val="20"/>
        </w:rPr>
      </w:pPr>
      <w:r w:rsidRPr="00CC1475">
        <w:rPr>
          <w:rFonts w:ascii="Arial" w:hAnsi="Arial" w:cs="Arial"/>
          <w:sz w:val="20"/>
          <w:szCs w:val="20"/>
        </w:rPr>
        <w:t>The balloon envelope and all other conductive parts of the balloon (surface resistance less than 10</w:t>
      </w:r>
      <w:r w:rsidRPr="00CC1475">
        <w:rPr>
          <w:rFonts w:ascii="Arial" w:hAnsi="Arial" w:cs="Arial"/>
          <w:sz w:val="20"/>
          <w:szCs w:val="20"/>
          <w:vertAlign w:val="superscript"/>
        </w:rPr>
        <w:t>9</w:t>
      </w:r>
      <w:r w:rsidRPr="00CC1475">
        <w:rPr>
          <w:rFonts w:ascii="Arial" w:hAnsi="Arial" w:cs="Arial"/>
          <w:sz w:val="20"/>
          <w:szCs w:val="20"/>
        </w:rPr>
        <w:t xml:space="preserve"> Ω) must be conductively connected to each other (resistance of connection less than 10</w:t>
      </w:r>
      <w:r w:rsidRPr="00CC1475">
        <w:rPr>
          <w:rFonts w:ascii="Arial" w:hAnsi="Arial" w:cs="Arial"/>
          <w:sz w:val="20"/>
          <w:szCs w:val="20"/>
          <w:vertAlign w:val="superscript"/>
        </w:rPr>
        <w:t>6</w:t>
      </w:r>
      <w:r w:rsidRPr="00CC1475">
        <w:rPr>
          <w:rFonts w:ascii="Arial" w:hAnsi="Arial" w:cs="Arial"/>
          <w:sz w:val="20"/>
          <w:szCs w:val="20"/>
        </w:rPr>
        <w:t xml:space="preserve"> Ω). This requirement also applies to the joints between the panels and reinforcements.</w:t>
      </w:r>
    </w:p>
    <w:p w14:paraId="1630DCC2" w14:textId="77777777" w:rsidR="00CC1475" w:rsidRPr="00CC1475" w:rsidRDefault="00CC1475" w:rsidP="00973DE4">
      <w:pPr>
        <w:numPr>
          <w:ilvl w:val="0"/>
          <w:numId w:val="361"/>
        </w:numPr>
        <w:tabs>
          <w:tab w:val="left" w:pos="1274"/>
        </w:tabs>
        <w:spacing w:line="276" w:lineRule="auto"/>
        <w:ind w:right="44"/>
        <w:jc w:val="both"/>
        <w:rPr>
          <w:rFonts w:ascii="Arial" w:hAnsi="Arial" w:cs="Arial"/>
          <w:sz w:val="20"/>
          <w:szCs w:val="20"/>
        </w:rPr>
      </w:pPr>
      <w:r w:rsidRPr="00CC1475">
        <w:rPr>
          <w:rFonts w:ascii="Arial" w:hAnsi="Arial" w:cs="Arial"/>
          <w:sz w:val="20"/>
          <w:szCs w:val="20"/>
        </w:rPr>
        <w:t>There must be at least three independent discharge paths for the safe balance of the electrostatic charges from the inside of the envelope running to the bottom end of the basket.</w:t>
      </w:r>
    </w:p>
    <w:p w14:paraId="6B91B446" w14:textId="77777777" w:rsidR="00CC1475" w:rsidRPr="00CC1475" w:rsidRDefault="00CC1475" w:rsidP="00973DE4">
      <w:pPr>
        <w:numPr>
          <w:ilvl w:val="0"/>
          <w:numId w:val="361"/>
        </w:numPr>
        <w:tabs>
          <w:tab w:val="left" w:pos="1274"/>
        </w:tabs>
        <w:spacing w:line="276" w:lineRule="auto"/>
        <w:ind w:right="44"/>
        <w:jc w:val="both"/>
        <w:rPr>
          <w:rFonts w:ascii="Arial" w:hAnsi="Arial" w:cs="Arial"/>
          <w:sz w:val="20"/>
          <w:szCs w:val="20"/>
        </w:rPr>
      </w:pPr>
      <w:r w:rsidRPr="00CC1475">
        <w:rPr>
          <w:rFonts w:ascii="Arial" w:hAnsi="Arial" w:cs="Arial"/>
          <w:sz w:val="20"/>
          <w:szCs w:val="20"/>
        </w:rPr>
        <w:t>The discharge paths should run on the conductive side of the envelope from top to bottom and then further down to the ground. This requirement applies to the case when the balloon is in contact with earth’s surface.</w:t>
      </w:r>
    </w:p>
    <w:p w14:paraId="4FBDCB4E" w14:textId="77777777" w:rsidR="00CC1475" w:rsidRPr="00CC1475" w:rsidRDefault="00CC1475" w:rsidP="00973DE4">
      <w:pPr>
        <w:numPr>
          <w:ilvl w:val="0"/>
          <w:numId w:val="361"/>
        </w:numPr>
        <w:tabs>
          <w:tab w:val="left" w:pos="1274"/>
        </w:tabs>
        <w:spacing w:line="276" w:lineRule="auto"/>
        <w:ind w:right="44"/>
        <w:jc w:val="both"/>
        <w:rPr>
          <w:rFonts w:ascii="Arial" w:hAnsi="Arial" w:cs="Arial"/>
          <w:sz w:val="20"/>
          <w:szCs w:val="20"/>
        </w:rPr>
      </w:pPr>
      <w:r w:rsidRPr="00CC1475">
        <w:rPr>
          <w:rFonts w:ascii="Arial" w:hAnsi="Arial" w:cs="Arial"/>
          <w:sz w:val="20"/>
          <w:szCs w:val="20"/>
        </w:rPr>
        <w:t>Each discharge path under (d) must be of different kind or design to the other.</w:t>
      </w:r>
    </w:p>
    <w:p w14:paraId="3F2D3C23" w14:textId="77777777" w:rsidR="00CC1475" w:rsidRPr="00CC1475" w:rsidRDefault="00CC1475" w:rsidP="00973DE4">
      <w:pPr>
        <w:numPr>
          <w:ilvl w:val="0"/>
          <w:numId w:val="361"/>
        </w:numPr>
        <w:tabs>
          <w:tab w:val="left" w:pos="1274"/>
        </w:tabs>
        <w:spacing w:line="276" w:lineRule="auto"/>
        <w:ind w:right="44"/>
        <w:jc w:val="both"/>
        <w:rPr>
          <w:rFonts w:ascii="Arial" w:hAnsi="Arial" w:cs="Arial"/>
          <w:sz w:val="20"/>
          <w:szCs w:val="20"/>
        </w:rPr>
      </w:pPr>
      <w:r w:rsidRPr="00CC1475">
        <w:rPr>
          <w:rFonts w:ascii="Arial" w:hAnsi="Arial" w:cs="Arial"/>
          <w:sz w:val="20"/>
          <w:szCs w:val="20"/>
        </w:rPr>
        <w:t>Periodic maintenance checks of the surface resistance and discharge paths should be included in the instructions for continued airworthiness.</w:t>
      </w:r>
    </w:p>
    <w:p w14:paraId="4568EB86" w14:textId="77777777" w:rsidR="00CC1475" w:rsidRPr="00CC1475" w:rsidRDefault="00CC1475" w:rsidP="00973DE4">
      <w:pPr>
        <w:tabs>
          <w:tab w:val="left" w:pos="1274"/>
        </w:tabs>
        <w:spacing w:line="276" w:lineRule="auto"/>
        <w:ind w:right="44"/>
        <w:jc w:val="both"/>
        <w:rPr>
          <w:rFonts w:ascii="Arial" w:hAnsi="Arial" w:cs="Arial"/>
          <w:i/>
          <w:sz w:val="20"/>
          <w:szCs w:val="20"/>
        </w:rPr>
      </w:pPr>
      <w:r w:rsidRPr="00CC1475">
        <w:rPr>
          <w:rFonts w:ascii="Arial" w:hAnsi="Arial" w:cs="Arial"/>
          <w:i/>
          <w:sz w:val="20"/>
          <w:szCs w:val="20"/>
          <w:u w:val="single"/>
        </w:rPr>
        <w:t>Note</w:t>
      </w:r>
      <w:r w:rsidRPr="00CC1475">
        <w:rPr>
          <w:rFonts w:ascii="Arial" w:hAnsi="Arial" w:cs="Arial"/>
          <w:i/>
          <w:sz w:val="20"/>
          <w:szCs w:val="20"/>
        </w:rPr>
        <w:t>: More detailed information can be found in:</w:t>
      </w:r>
    </w:p>
    <w:p w14:paraId="6520413B" w14:textId="77777777" w:rsidR="00CC1475" w:rsidRPr="00CC1475" w:rsidRDefault="00CC1475" w:rsidP="00973DE4">
      <w:pPr>
        <w:tabs>
          <w:tab w:val="left" w:pos="1274"/>
        </w:tabs>
        <w:spacing w:line="276" w:lineRule="auto"/>
        <w:ind w:right="44"/>
        <w:jc w:val="both"/>
        <w:rPr>
          <w:rFonts w:ascii="Arial" w:hAnsi="Arial" w:cs="Arial"/>
          <w:i/>
          <w:sz w:val="20"/>
          <w:szCs w:val="20"/>
        </w:rPr>
      </w:pPr>
      <w:r w:rsidRPr="00CC1475">
        <w:rPr>
          <w:rFonts w:ascii="Arial" w:hAnsi="Arial" w:cs="Arial"/>
          <w:i/>
          <w:sz w:val="20"/>
          <w:szCs w:val="20"/>
        </w:rPr>
        <w:t xml:space="preserve">EN 61340-5-1&amp;2:2007 Protection of electronic devices from electrostatic phenomena – General </w:t>
      </w:r>
      <w:r w:rsidRPr="00CC1475">
        <w:rPr>
          <w:rFonts w:ascii="Arial" w:hAnsi="Arial" w:cs="Arial"/>
          <w:i/>
          <w:sz w:val="20"/>
          <w:szCs w:val="20"/>
        </w:rPr>
        <w:lastRenderedPageBreak/>
        <w:t>Requirements &amp; User guide</w:t>
      </w:r>
    </w:p>
    <w:p w14:paraId="21734E33" w14:textId="77777777" w:rsidR="00FC4BAB" w:rsidRPr="007A413E" w:rsidRDefault="00CC1475" w:rsidP="00973DE4">
      <w:pPr>
        <w:tabs>
          <w:tab w:val="left" w:pos="1274"/>
        </w:tabs>
        <w:spacing w:line="276" w:lineRule="auto"/>
        <w:ind w:right="44"/>
        <w:jc w:val="both"/>
        <w:rPr>
          <w:rFonts w:ascii="Arial" w:hAnsi="Arial" w:cs="Arial"/>
          <w:i/>
          <w:sz w:val="20"/>
          <w:szCs w:val="20"/>
        </w:rPr>
      </w:pPr>
      <w:r w:rsidRPr="00CC1475">
        <w:rPr>
          <w:rFonts w:ascii="Arial" w:hAnsi="Arial" w:cs="Arial"/>
          <w:i/>
          <w:sz w:val="20"/>
          <w:szCs w:val="20"/>
        </w:rPr>
        <w:t>IEC 60093 Methods of Test for Volume Resistivity and Surface Resistivity of Solid Electrical Insulating Materials</w:t>
      </w:r>
    </w:p>
    <w:p w14:paraId="5F8BC53B" w14:textId="77777777" w:rsidR="007A413E" w:rsidRPr="007A413E" w:rsidRDefault="007A413E" w:rsidP="007A413E">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152" w:name="CS_31GB.63_Occupant_restraint"/>
      <w:bookmarkStart w:id="1153" w:name="_bookmark483"/>
      <w:bookmarkStart w:id="1154" w:name="_Toc153137647"/>
      <w:bookmarkEnd w:id="1152"/>
      <w:bookmarkEnd w:id="1153"/>
      <w:r w:rsidRPr="007A413E">
        <w:rPr>
          <w:rFonts w:ascii="Arial" w:eastAsia="Times New Roman" w:hAnsi="Arial" w:cs="Times New Roman"/>
          <w:b/>
          <w:iCs/>
          <w:color w:val="FFFFFF"/>
          <w:sz w:val="24"/>
        </w:rPr>
        <w:t>CS 31GB.63 Occupant restraint</w:t>
      </w:r>
      <w:bookmarkEnd w:id="1154"/>
    </w:p>
    <w:p w14:paraId="101A45F3" w14:textId="77777777" w:rsidR="007A413E" w:rsidRPr="007A413E" w:rsidRDefault="007A413E" w:rsidP="00973DE4">
      <w:pPr>
        <w:numPr>
          <w:ilvl w:val="0"/>
          <w:numId w:val="362"/>
        </w:numPr>
        <w:tabs>
          <w:tab w:val="left" w:pos="707"/>
        </w:tabs>
        <w:spacing w:before="117" w:line="276" w:lineRule="auto"/>
        <w:ind w:right="44"/>
        <w:jc w:val="both"/>
        <w:rPr>
          <w:rFonts w:ascii="Arial" w:hAnsi="Arial" w:cs="Arial"/>
          <w:sz w:val="20"/>
        </w:rPr>
      </w:pPr>
      <w:r w:rsidRPr="007A413E">
        <w:rPr>
          <w:rFonts w:ascii="Arial" w:hAnsi="Arial" w:cs="Arial"/>
          <w:sz w:val="20"/>
        </w:rPr>
        <w:t>There must be a restraining means for all occupants, which can take the form of hand holds. (See CS 31GB.59(h))</w:t>
      </w:r>
    </w:p>
    <w:p w14:paraId="5AFA22C3" w14:textId="77777777" w:rsidR="007A413E" w:rsidRPr="007A413E" w:rsidRDefault="007A413E" w:rsidP="00973DE4">
      <w:pPr>
        <w:numPr>
          <w:ilvl w:val="0"/>
          <w:numId w:val="362"/>
        </w:numPr>
        <w:tabs>
          <w:tab w:val="left" w:pos="707"/>
        </w:tabs>
        <w:spacing w:before="121" w:line="276" w:lineRule="auto"/>
        <w:ind w:right="44"/>
        <w:jc w:val="both"/>
        <w:rPr>
          <w:rFonts w:ascii="Arial" w:hAnsi="Arial" w:cs="Arial"/>
          <w:sz w:val="20"/>
        </w:rPr>
      </w:pPr>
      <w:r w:rsidRPr="007A413E">
        <w:rPr>
          <w:rFonts w:ascii="Arial" w:hAnsi="Arial" w:cs="Arial"/>
          <w:sz w:val="20"/>
        </w:rPr>
        <w:t>For baskets having a separate pilot compartment, there must be a suitable restraint for the pilot which must meet the strength requirements of CS 31GB.30. Additionally, the restraint must be</w:t>
      </w:r>
      <w:r w:rsidRPr="007A413E">
        <w:rPr>
          <w:rFonts w:ascii="Arial" w:hAnsi="Arial" w:cs="Arial"/>
          <w:spacing w:val="-47"/>
          <w:sz w:val="20"/>
        </w:rPr>
        <w:t xml:space="preserve"> </w:t>
      </w:r>
      <w:r w:rsidRPr="007A413E">
        <w:rPr>
          <w:rFonts w:ascii="Arial" w:hAnsi="Arial" w:cs="Arial"/>
          <w:sz w:val="20"/>
        </w:rPr>
        <w:t>designed</w:t>
      </w:r>
      <w:r w:rsidRPr="007A413E">
        <w:rPr>
          <w:rFonts w:ascii="Arial" w:hAnsi="Arial" w:cs="Arial"/>
          <w:spacing w:val="-1"/>
          <w:sz w:val="20"/>
        </w:rPr>
        <w:t xml:space="preserve"> </w:t>
      </w:r>
      <w:r w:rsidRPr="007A413E">
        <w:rPr>
          <w:rFonts w:ascii="Arial" w:hAnsi="Arial" w:cs="Arial"/>
          <w:sz w:val="20"/>
        </w:rPr>
        <w:t>so</w:t>
      </w:r>
      <w:r w:rsidRPr="007A413E">
        <w:rPr>
          <w:rFonts w:ascii="Arial" w:hAnsi="Arial" w:cs="Arial"/>
          <w:spacing w:val="-1"/>
          <w:sz w:val="20"/>
        </w:rPr>
        <w:t xml:space="preserve"> </w:t>
      </w:r>
      <w:r w:rsidRPr="007A413E">
        <w:rPr>
          <w:rFonts w:ascii="Arial" w:hAnsi="Arial" w:cs="Arial"/>
          <w:sz w:val="20"/>
        </w:rPr>
        <w:t>that:</w:t>
      </w:r>
    </w:p>
    <w:p w14:paraId="4914887A" w14:textId="77777777" w:rsidR="007A413E" w:rsidRPr="007A413E" w:rsidRDefault="007A413E" w:rsidP="00973DE4">
      <w:pPr>
        <w:numPr>
          <w:ilvl w:val="1"/>
          <w:numId w:val="362"/>
        </w:numPr>
        <w:tabs>
          <w:tab w:val="left" w:pos="1274"/>
        </w:tabs>
        <w:spacing w:before="119" w:line="276" w:lineRule="auto"/>
        <w:ind w:right="44"/>
        <w:jc w:val="both"/>
        <w:rPr>
          <w:rFonts w:ascii="Arial" w:hAnsi="Arial" w:cs="Arial"/>
          <w:sz w:val="20"/>
        </w:rPr>
      </w:pPr>
      <w:r w:rsidRPr="007A413E">
        <w:rPr>
          <w:rFonts w:ascii="Arial" w:hAnsi="Arial" w:cs="Arial"/>
          <w:sz w:val="20"/>
        </w:rPr>
        <w:t>the</w:t>
      </w:r>
      <w:r w:rsidRPr="007A413E">
        <w:rPr>
          <w:rFonts w:ascii="Arial" w:hAnsi="Arial" w:cs="Arial"/>
          <w:spacing w:val="18"/>
          <w:sz w:val="20"/>
        </w:rPr>
        <w:t xml:space="preserve"> </w:t>
      </w:r>
      <w:r w:rsidRPr="007A413E">
        <w:rPr>
          <w:rFonts w:ascii="Arial" w:hAnsi="Arial" w:cs="Arial"/>
          <w:sz w:val="20"/>
        </w:rPr>
        <w:t>pilot</w:t>
      </w:r>
      <w:r w:rsidRPr="007A413E">
        <w:rPr>
          <w:rFonts w:ascii="Arial" w:hAnsi="Arial" w:cs="Arial"/>
          <w:spacing w:val="16"/>
          <w:sz w:val="20"/>
        </w:rPr>
        <w:t xml:space="preserve"> </w:t>
      </w:r>
      <w:r w:rsidRPr="007A413E">
        <w:rPr>
          <w:rFonts w:ascii="Arial" w:hAnsi="Arial" w:cs="Arial"/>
          <w:sz w:val="20"/>
        </w:rPr>
        <w:t>can</w:t>
      </w:r>
      <w:r w:rsidRPr="007A413E">
        <w:rPr>
          <w:rFonts w:ascii="Arial" w:hAnsi="Arial" w:cs="Arial"/>
          <w:spacing w:val="17"/>
          <w:sz w:val="20"/>
        </w:rPr>
        <w:t xml:space="preserve"> </w:t>
      </w:r>
      <w:r w:rsidRPr="007A413E">
        <w:rPr>
          <w:rFonts w:ascii="Arial" w:hAnsi="Arial" w:cs="Arial"/>
          <w:sz w:val="20"/>
        </w:rPr>
        <w:t>reach</w:t>
      </w:r>
      <w:r w:rsidRPr="007A413E">
        <w:rPr>
          <w:rFonts w:ascii="Arial" w:hAnsi="Arial" w:cs="Arial"/>
          <w:spacing w:val="17"/>
          <w:sz w:val="20"/>
        </w:rPr>
        <w:t xml:space="preserve"> </w:t>
      </w:r>
      <w:r w:rsidRPr="007A413E">
        <w:rPr>
          <w:rFonts w:ascii="Arial" w:hAnsi="Arial" w:cs="Arial"/>
          <w:sz w:val="20"/>
        </w:rPr>
        <w:t>all</w:t>
      </w:r>
      <w:r w:rsidRPr="007A413E">
        <w:rPr>
          <w:rFonts w:ascii="Arial" w:hAnsi="Arial" w:cs="Arial"/>
          <w:spacing w:val="17"/>
          <w:sz w:val="20"/>
        </w:rPr>
        <w:t xml:space="preserve"> </w:t>
      </w:r>
      <w:r w:rsidRPr="007A413E">
        <w:rPr>
          <w:rFonts w:ascii="Arial" w:hAnsi="Arial" w:cs="Arial"/>
          <w:sz w:val="20"/>
        </w:rPr>
        <w:t>the</w:t>
      </w:r>
      <w:r w:rsidRPr="007A413E">
        <w:rPr>
          <w:rFonts w:ascii="Arial" w:hAnsi="Arial" w:cs="Arial"/>
          <w:spacing w:val="17"/>
          <w:sz w:val="20"/>
        </w:rPr>
        <w:t xml:space="preserve"> </w:t>
      </w:r>
      <w:r w:rsidRPr="007A413E">
        <w:rPr>
          <w:rFonts w:ascii="Arial" w:hAnsi="Arial" w:cs="Arial"/>
          <w:sz w:val="20"/>
        </w:rPr>
        <w:t>necessary</w:t>
      </w:r>
      <w:r w:rsidRPr="007A413E">
        <w:rPr>
          <w:rFonts w:ascii="Arial" w:hAnsi="Arial" w:cs="Arial"/>
          <w:spacing w:val="19"/>
          <w:sz w:val="20"/>
        </w:rPr>
        <w:t xml:space="preserve"> </w:t>
      </w:r>
      <w:r w:rsidRPr="007A413E">
        <w:rPr>
          <w:rFonts w:ascii="Arial" w:hAnsi="Arial" w:cs="Arial"/>
          <w:sz w:val="20"/>
        </w:rPr>
        <w:t>controls</w:t>
      </w:r>
      <w:r w:rsidRPr="007A413E">
        <w:rPr>
          <w:rFonts w:ascii="Arial" w:hAnsi="Arial" w:cs="Arial"/>
          <w:spacing w:val="18"/>
          <w:sz w:val="20"/>
        </w:rPr>
        <w:t xml:space="preserve"> </w:t>
      </w:r>
      <w:r w:rsidRPr="007A413E">
        <w:rPr>
          <w:rFonts w:ascii="Arial" w:hAnsi="Arial" w:cs="Arial"/>
          <w:sz w:val="20"/>
        </w:rPr>
        <w:t>when</w:t>
      </w:r>
      <w:r w:rsidRPr="007A413E">
        <w:rPr>
          <w:rFonts w:ascii="Arial" w:hAnsi="Arial" w:cs="Arial"/>
          <w:spacing w:val="18"/>
          <w:sz w:val="20"/>
        </w:rPr>
        <w:t xml:space="preserve"> </w:t>
      </w:r>
      <w:r w:rsidRPr="007A413E">
        <w:rPr>
          <w:rFonts w:ascii="Arial" w:hAnsi="Arial" w:cs="Arial"/>
          <w:sz w:val="20"/>
        </w:rPr>
        <w:t>the</w:t>
      </w:r>
      <w:r w:rsidRPr="007A413E">
        <w:rPr>
          <w:rFonts w:ascii="Arial" w:hAnsi="Arial" w:cs="Arial"/>
          <w:spacing w:val="19"/>
          <w:sz w:val="20"/>
        </w:rPr>
        <w:t xml:space="preserve"> </w:t>
      </w:r>
      <w:r w:rsidRPr="007A413E">
        <w:rPr>
          <w:rFonts w:ascii="Arial" w:hAnsi="Arial" w:cs="Arial"/>
          <w:sz w:val="20"/>
        </w:rPr>
        <w:t>restraint</w:t>
      </w:r>
      <w:r w:rsidRPr="007A413E">
        <w:rPr>
          <w:rFonts w:ascii="Arial" w:hAnsi="Arial" w:cs="Arial"/>
          <w:spacing w:val="20"/>
          <w:sz w:val="20"/>
        </w:rPr>
        <w:t xml:space="preserve"> </w:t>
      </w:r>
      <w:r w:rsidRPr="007A413E">
        <w:rPr>
          <w:rFonts w:ascii="Arial" w:hAnsi="Arial" w:cs="Arial"/>
          <w:sz w:val="20"/>
        </w:rPr>
        <w:t>is</w:t>
      </w:r>
      <w:r w:rsidRPr="007A413E">
        <w:rPr>
          <w:rFonts w:ascii="Arial" w:hAnsi="Arial" w:cs="Arial"/>
          <w:spacing w:val="18"/>
          <w:sz w:val="20"/>
        </w:rPr>
        <w:t xml:space="preserve"> </w:t>
      </w:r>
      <w:r w:rsidRPr="007A413E">
        <w:rPr>
          <w:rFonts w:ascii="Arial" w:hAnsi="Arial" w:cs="Arial"/>
          <w:sz w:val="20"/>
        </w:rPr>
        <w:t>correctly</w:t>
      </w:r>
      <w:r w:rsidRPr="007A413E">
        <w:rPr>
          <w:rFonts w:ascii="Arial" w:hAnsi="Arial" w:cs="Arial"/>
          <w:spacing w:val="17"/>
          <w:sz w:val="20"/>
        </w:rPr>
        <w:t xml:space="preserve"> </w:t>
      </w:r>
      <w:r w:rsidRPr="007A413E">
        <w:rPr>
          <w:rFonts w:ascii="Arial" w:hAnsi="Arial" w:cs="Arial"/>
          <w:sz w:val="20"/>
        </w:rPr>
        <w:t>worn</w:t>
      </w:r>
      <w:r w:rsidRPr="007A413E">
        <w:rPr>
          <w:rFonts w:ascii="Arial" w:hAnsi="Arial" w:cs="Arial"/>
          <w:spacing w:val="17"/>
          <w:sz w:val="20"/>
        </w:rPr>
        <w:t xml:space="preserve"> </w:t>
      </w:r>
      <w:r w:rsidRPr="007A413E">
        <w:rPr>
          <w:rFonts w:ascii="Arial" w:hAnsi="Arial" w:cs="Arial"/>
          <w:sz w:val="20"/>
        </w:rPr>
        <w:t>and</w:t>
      </w:r>
      <w:r w:rsidRPr="007A413E">
        <w:rPr>
          <w:rFonts w:ascii="Arial" w:hAnsi="Arial" w:cs="Arial"/>
          <w:spacing w:val="-47"/>
          <w:sz w:val="20"/>
        </w:rPr>
        <w:t xml:space="preserve"> </w:t>
      </w:r>
      <w:r w:rsidRPr="007A413E">
        <w:rPr>
          <w:rFonts w:ascii="Arial" w:hAnsi="Arial" w:cs="Arial"/>
          <w:sz w:val="20"/>
        </w:rPr>
        <w:t>adjusted;</w:t>
      </w:r>
    </w:p>
    <w:p w14:paraId="33C490E7" w14:textId="77777777" w:rsidR="007A413E" w:rsidRPr="007A413E" w:rsidRDefault="007A413E" w:rsidP="00973DE4">
      <w:pPr>
        <w:numPr>
          <w:ilvl w:val="1"/>
          <w:numId w:val="362"/>
        </w:numPr>
        <w:tabs>
          <w:tab w:val="left" w:pos="1274"/>
        </w:tabs>
        <w:spacing w:before="120" w:line="276" w:lineRule="auto"/>
        <w:ind w:right="44" w:hanging="568"/>
        <w:jc w:val="both"/>
        <w:rPr>
          <w:rFonts w:ascii="Arial" w:hAnsi="Arial" w:cs="Arial"/>
          <w:sz w:val="20"/>
        </w:rPr>
      </w:pPr>
      <w:r w:rsidRPr="007A413E">
        <w:rPr>
          <w:rFonts w:ascii="Arial" w:hAnsi="Arial" w:cs="Arial"/>
          <w:sz w:val="20"/>
        </w:rPr>
        <w:t>there is</w:t>
      </w:r>
      <w:r w:rsidRPr="007A413E">
        <w:rPr>
          <w:rFonts w:ascii="Arial" w:hAnsi="Arial" w:cs="Arial"/>
          <w:spacing w:val="-3"/>
          <w:sz w:val="20"/>
        </w:rPr>
        <w:t xml:space="preserve"> </w:t>
      </w:r>
      <w:r w:rsidRPr="007A413E">
        <w:rPr>
          <w:rFonts w:ascii="Arial" w:hAnsi="Arial" w:cs="Arial"/>
          <w:sz w:val="20"/>
        </w:rPr>
        <w:t>a</w:t>
      </w:r>
      <w:r w:rsidRPr="007A413E">
        <w:rPr>
          <w:rFonts w:ascii="Arial" w:hAnsi="Arial" w:cs="Arial"/>
          <w:spacing w:val="-2"/>
          <w:sz w:val="20"/>
        </w:rPr>
        <w:t xml:space="preserve"> </w:t>
      </w:r>
      <w:r w:rsidRPr="007A413E">
        <w:rPr>
          <w:rFonts w:ascii="Arial" w:hAnsi="Arial" w:cs="Arial"/>
          <w:sz w:val="20"/>
        </w:rPr>
        <w:t>method</w:t>
      </w:r>
      <w:r w:rsidRPr="007A413E">
        <w:rPr>
          <w:rFonts w:ascii="Arial" w:hAnsi="Arial" w:cs="Arial"/>
          <w:spacing w:val="-3"/>
          <w:sz w:val="20"/>
        </w:rPr>
        <w:t xml:space="preserve"> </w:t>
      </w:r>
      <w:r w:rsidRPr="007A413E">
        <w:rPr>
          <w:rFonts w:ascii="Arial" w:hAnsi="Arial" w:cs="Arial"/>
          <w:sz w:val="20"/>
        </w:rPr>
        <w:t>of quick</w:t>
      </w:r>
      <w:r w:rsidRPr="007A413E">
        <w:rPr>
          <w:rFonts w:ascii="Arial" w:hAnsi="Arial" w:cs="Arial"/>
          <w:spacing w:val="-2"/>
          <w:sz w:val="20"/>
        </w:rPr>
        <w:t xml:space="preserve"> </w:t>
      </w:r>
      <w:r w:rsidRPr="007A413E">
        <w:rPr>
          <w:rFonts w:ascii="Arial" w:hAnsi="Arial" w:cs="Arial"/>
          <w:sz w:val="20"/>
        </w:rPr>
        <w:t>release</w:t>
      </w:r>
      <w:r w:rsidRPr="007A413E">
        <w:rPr>
          <w:rFonts w:ascii="Arial" w:hAnsi="Arial" w:cs="Arial"/>
          <w:spacing w:val="-1"/>
          <w:sz w:val="20"/>
        </w:rPr>
        <w:t xml:space="preserve"> </w:t>
      </w:r>
      <w:r w:rsidRPr="007A413E">
        <w:rPr>
          <w:rFonts w:ascii="Arial" w:hAnsi="Arial" w:cs="Arial"/>
          <w:sz w:val="20"/>
        </w:rPr>
        <w:t>that is simple and</w:t>
      </w:r>
      <w:r w:rsidRPr="007A413E">
        <w:rPr>
          <w:rFonts w:ascii="Arial" w:hAnsi="Arial" w:cs="Arial"/>
          <w:spacing w:val="-3"/>
          <w:sz w:val="20"/>
        </w:rPr>
        <w:t xml:space="preserve"> </w:t>
      </w:r>
      <w:r w:rsidRPr="007A413E">
        <w:rPr>
          <w:rFonts w:ascii="Arial" w:hAnsi="Arial" w:cs="Arial"/>
          <w:sz w:val="20"/>
        </w:rPr>
        <w:t>obvious;</w:t>
      </w:r>
      <w:r w:rsidRPr="007A413E">
        <w:rPr>
          <w:rFonts w:ascii="Arial" w:hAnsi="Arial" w:cs="Arial"/>
          <w:spacing w:val="-1"/>
          <w:sz w:val="20"/>
        </w:rPr>
        <w:t xml:space="preserve"> </w:t>
      </w:r>
      <w:r w:rsidRPr="007A413E">
        <w:rPr>
          <w:rFonts w:ascii="Arial" w:hAnsi="Arial" w:cs="Arial"/>
          <w:sz w:val="20"/>
        </w:rPr>
        <w:t>and</w:t>
      </w:r>
    </w:p>
    <w:p w14:paraId="16F7CCEE" w14:textId="77777777" w:rsidR="00FC4BAB" w:rsidRPr="00266492" w:rsidRDefault="007A413E" w:rsidP="00973DE4">
      <w:pPr>
        <w:numPr>
          <w:ilvl w:val="1"/>
          <w:numId w:val="362"/>
        </w:numPr>
        <w:tabs>
          <w:tab w:val="left" w:pos="1274"/>
        </w:tabs>
        <w:spacing w:before="120" w:line="276" w:lineRule="auto"/>
        <w:ind w:right="44" w:hanging="568"/>
        <w:jc w:val="both"/>
        <w:rPr>
          <w:rFonts w:ascii="Arial" w:hAnsi="Arial" w:cs="Arial"/>
          <w:sz w:val="20"/>
        </w:rPr>
      </w:pPr>
      <w:r w:rsidRPr="007A413E">
        <w:rPr>
          <w:rFonts w:ascii="Arial" w:hAnsi="Arial" w:cs="Arial"/>
          <w:sz w:val="20"/>
        </w:rPr>
        <w:t>the</w:t>
      </w:r>
      <w:r w:rsidRPr="007A413E">
        <w:rPr>
          <w:rFonts w:ascii="Arial" w:hAnsi="Arial" w:cs="Arial"/>
          <w:spacing w:val="-2"/>
          <w:sz w:val="20"/>
        </w:rPr>
        <w:t xml:space="preserve"> </w:t>
      </w:r>
      <w:r w:rsidRPr="007A413E">
        <w:rPr>
          <w:rFonts w:ascii="Arial" w:hAnsi="Arial" w:cs="Arial"/>
          <w:sz w:val="20"/>
        </w:rPr>
        <w:t>possibility</w:t>
      </w:r>
      <w:r w:rsidRPr="007A413E">
        <w:rPr>
          <w:rFonts w:ascii="Arial" w:hAnsi="Arial" w:cs="Arial"/>
          <w:spacing w:val="-3"/>
          <w:sz w:val="20"/>
        </w:rPr>
        <w:t xml:space="preserve"> </w:t>
      </w:r>
      <w:r w:rsidRPr="007A413E">
        <w:rPr>
          <w:rFonts w:ascii="Arial" w:hAnsi="Arial" w:cs="Arial"/>
          <w:sz w:val="20"/>
        </w:rPr>
        <w:t>of</w:t>
      </w:r>
      <w:r w:rsidRPr="007A413E">
        <w:rPr>
          <w:rFonts w:ascii="Arial" w:hAnsi="Arial" w:cs="Arial"/>
          <w:spacing w:val="-1"/>
          <w:sz w:val="20"/>
        </w:rPr>
        <w:t xml:space="preserve"> </w:t>
      </w:r>
      <w:r w:rsidRPr="007A413E">
        <w:rPr>
          <w:rFonts w:ascii="Arial" w:hAnsi="Arial" w:cs="Arial"/>
          <w:sz w:val="20"/>
        </w:rPr>
        <w:t>inadvertent</w:t>
      </w:r>
      <w:r w:rsidRPr="007A413E">
        <w:rPr>
          <w:rFonts w:ascii="Arial" w:hAnsi="Arial" w:cs="Arial"/>
          <w:spacing w:val="-2"/>
          <w:sz w:val="20"/>
        </w:rPr>
        <w:t xml:space="preserve"> </w:t>
      </w:r>
      <w:r w:rsidRPr="007A413E">
        <w:rPr>
          <w:rFonts w:ascii="Arial" w:hAnsi="Arial" w:cs="Arial"/>
          <w:sz w:val="20"/>
        </w:rPr>
        <w:t>release is</w:t>
      </w:r>
      <w:r w:rsidRPr="007A413E">
        <w:rPr>
          <w:rFonts w:ascii="Arial" w:hAnsi="Arial" w:cs="Arial"/>
          <w:spacing w:val="-3"/>
          <w:sz w:val="20"/>
        </w:rPr>
        <w:t xml:space="preserve"> </w:t>
      </w:r>
      <w:r w:rsidRPr="007A413E">
        <w:rPr>
          <w:rFonts w:ascii="Arial" w:hAnsi="Arial" w:cs="Arial"/>
          <w:sz w:val="20"/>
        </w:rPr>
        <w:t>minimised.</w:t>
      </w:r>
    </w:p>
    <w:p w14:paraId="3B7D863A" w14:textId="77777777" w:rsidR="00266492" w:rsidRPr="00266492" w:rsidRDefault="00266492" w:rsidP="0026649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155" w:name="CS_31GB.67_Tethered_flight"/>
      <w:bookmarkStart w:id="1156" w:name="_bookmark484"/>
      <w:bookmarkStart w:id="1157" w:name="_Toc153137648"/>
      <w:bookmarkEnd w:id="1155"/>
      <w:bookmarkEnd w:id="1156"/>
      <w:r w:rsidRPr="00266492">
        <w:rPr>
          <w:rFonts w:ascii="Arial" w:eastAsia="Times New Roman" w:hAnsi="Arial" w:cs="Times New Roman"/>
          <w:b/>
          <w:iCs/>
          <w:color w:val="FFFFFF"/>
          <w:sz w:val="24"/>
        </w:rPr>
        <w:t>CS 31GB.67 Tethered flight</w:t>
      </w:r>
      <w:bookmarkEnd w:id="1157"/>
    </w:p>
    <w:p w14:paraId="599328A6" w14:textId="77777777" w:rsidR="00266492" w:rsidRPr="0010139D" w:rsidRDefault="00266492" w:rsidP="00973DE4">
      <w:pPr>
        <w:tabs>
          <w:tab w:val="left" w:pos="1274"/>
        </w:tabs>
        <w:spacing w:line="276" w:lineRule="auto"/>
        <w:ind w:right="44"/>
        <w:jc w:val="both"/>
        <w:rPr>
          <w:rFonts w:ascii="Arial" w:hAnsi="Arial" w:cs="Arial"/>
          <w:sz w:val="20"/>
          <w:szCs w:val="20"/>
        </w:rPr>
      </w:pPr>
      <w:r w:rsidRPr="0010139D">
        <w:rPr>
          <w:rFonts w:ascii="Arial" w:hAnsi="Arial" w:cs="Arial"/>
          <w:sz w:val="20"/>
          <w:szCs w:val="20"/>
        </w:rPr>
        <w:t>The pilot must be provided with an indication that any applicable limitations for tethered flight are being, or have been reached.</w:t>
      </w:r>
    </w:p>
    <w:p w14:paraId="7D8B5060" w14:textId="77777777" w:rsidR="00266492" w:rsidRPr="00266492" w:rsidRDefault="00266492" w:rsidP="00266492">
      <w:pPr>
        <w:keepNext/>
        <w:keepLines/>
        <w:widowControl/>
        <w:shd w:val="clear" w:color="auto" w:fill="ED7D31"/>
        <w:autoSpaceDE/>
        <w:autoSpaceDN/>
        <w:spacing w:before="160" w:after="120" w:line="276" w:lineRule="auto"/>
        <w:outlineLvl w:val="4"/>
        <w:rPr>
          <w:rFonts w:ascii="Arial" w:eastAsia="Times New Roman" w:hAnsi="Arial" w:cs="Times New Roman"/>
          <w:b/>
          <w:color w:val="FFFFFF"/>
          <w:sz w:val="24"/>
        </w:rPr>
      </w:pPr>
      <w:bookmarkStart w:id="1158" w:name="AMC_31GB.67_Tethered_flight"/>
      <w:bookmarkStart w:id="1159" w:name="_bookmark485"/>
      <w:bookmarkStart w:id="1160" w:name="_Toc153137649"/>
      <w:bookmarkEnd w:id="1158"/>
      <w:bookmarkEnd w:id="1159"/>
      <w:r w:rsidRPr="00266492">
        <w:rPr>
          <w:rFonts w:ascii="Arial" w:eastAsia="Times New Roman" w:hAnsi="Arial" w:cs="Times New Roman"/>
          <w:b/>
          <w:color w:val="FFFFFF"/>
          <w:sz w:val="24"/>
        </w:rPr>
        <w:t>AMC 31GB.67 Tethered flight</w:t>
      </w:r>
      <w:bookmarkEnd w:id="1160"/>
    </w:p>
    <w:p w14:paraId="64977E8A" w14:textId="77777777" w:rsidR="00266492" w:rsidRPr="0010139D" w:rsidRDefault="00266492" w:rsidP="0010139D">
      <w:pPr>
        <w:tabs>
          <w:tab w:val="left" w:pos="1274"/>
        </w:tabs>
        <w:spacing w:line="276" w:lineRule="auto"/>
        <w:ind w:right="26"/>
        <w:jc w:val="both"/>
        <w:rPr>
          <w:rFonts w:ascii="Arial" w:hAnsi="Arial" w:cs="Arial"/>
          <w:sz w:val="20"/>
          <w:szCs w:val="20"/>
        </w:rPr>
      </w:pPr>
      <w:r w:rsidRPr="0010139D">
        <w:rPr>
          <w:rFonts w:ascii="Arial" w:hAnsi="Arial" w:cs="Arial"/>
          <w:sz w:val="20"/>
          <w:szCs w:val="20"/>
        </w:rPr>
        <w:t>The inclusion of an appropriate device or instrument (rated ‘weak link’, hand held anemometer, windsock, etc.) to provide the pilot with an attention-getting indication of the balloon’s tethering limitation, is considered compliant with CS 31GB.67.</w:t>
      </w:r>
    </w:p>
    <w:p w14:paraId="22DE6427" w14:textId="77777777" w:rsidR="00F40863" w:rsidRDefault="00F40863" w:rsidP="00266492">
      <w:pPr>
        <w:tabs>
          <w:tab w:val="left" w:pos="1274"/>
        </w:tabs>
        <w:spacing w:line="276" w:lineRule="auto"/>
        <w:ind w:right="196"/>
        <w:jc w:val="both"/>
        <w:rPr>
          <w:rFonts w:ascii="Arial" w:hAnsi="Arial" w:cs="Arial"/>
          <w:sz w:val="20"/>
        </w:rPr>
      </w:pPr>
    </w:p>
    <w:p w14:paraId="48B4F4D9" w14:textId="77777777" w:rsidR="00F40863" w:rsidRDefault="00F40863" w:rsidP="00266492">
      <w:pPr>
        <w:tabs>
          <w:tab w:val="left" w:pos="1274"/>
        </w:tabs>
        <w:spacing w:line="276" w:lineRule="auto"/>
        <w:ind w:right="196"/>
        <w:jc w:val="both"/>
        <w:rPr>
          <w:rFonts w:ascii="Arial" w:hAnsi="Arial" w:cs="Arial"/>
          <w:sz w:val="20"/>
        </w:rPr>
      </w:pPr>
    </w:p>
    <w:p w14:paraId="61220A03" w14:textId="77777777" w:rsidR="00F40863" w:rsidRDefault="00F40863" w:rsidP="00266492">
      <w:pPr>
        <w:tabs>
          <w:tab w:val="left" w:pos="1274"/>
        </w:tabs>
        <w:spacing w:line="276" w:lineRule="auto"/>
        <w:ind w:right="196"/>
        <w:jc w:val="both"/>
        <w:rPr>
          <w:rFonts w:ascii="Arial" w:hAnsi="Arial" w:cs="Arial"/>
          <w:sz w:val="20"/>
        </w:rPr>
      </w:pPr>
    </w:p>
    <w:p w14:paraId="71E7057B" w14:textId="77777777" w:rsidR="00F40863" w:rsidRDefault="00F40863" w:rsidP="00266492">
      <w:pPr>
        <w:tabs>
          <w:tab w:val="left" w:pos="1274"/>
        </w:tabs>
        <w:spacing w:line="276" w:lineRule="auto"/>
        <w:ind w:right="196"/>
        <w:jc w:val="both"/>
        <w:rPr>
          <w:rFonts w:ascii="Arial" w:hAnsi="Arial" w:cs="Arial"/>
          <w:sz w:val="20"/>
        </w:rPr>
      </w:pPr>
    </w:p>
    <w:p w14:paraId="46CA2B35" w14:textId="77777777" w:rsidR="00F40863" w:rsidRDefault="00F40863" w:rsidP="00266492">
      <w:pPr>
        <w:tabs>
          <w:tab w:val="left" w:pos="1274"/>
        </w:tabs>
        <w:spacing w:line="276" w:lineRule="auto"/>
        <w:ind w:right="196"/>
        <w:jc w:val="both"/>
        <w:rPr>
          <w:rFonts w:ascii="Arial" w:hAnsi="Arial" w:cs="Arial"/>
          <w:sz w:val="20"/>
        </w:rPr>
      </w:pPr>
    </w:p>
    <w:p w14:paraId="54E85CE8" w14:textId="77777777" w:rsidR="00F40863" w:rsidRDefault="00F40863" w:rsidP="00266492">
      <w:pPr>
        <w:tabs>
          <w:tab w:val="left" w:pos="1274"/>
        </w:tabs>
        <w:spacing w:line="276" w:lineRule="auto"/>
        <w:ind w:right="196"/>
        <w:jc w:val="both"/>
        <w:rPr>
          <w:rFonts w:ascii="Arial" w:hAnsi="Arial" w:cs="Arial"/>
          <w:sz w:val="20"/>
        </w:rPr>
      </w:pPr>
    </w:p>
    <w:p w14:paraId="71410326" w14:textId="77777777" w:rsidR="00F40863" w:rsidRDefault="00F40863" w:rsidP="00266492">
      <w:pPr>
        <w:tabs>
          <w:tab w:val="left" w:pos="1274"/>
        </w:tabs>
        <w:spacing w:line="276" w:lineRule="auto"/>
        <w:ind w:right="196"/>
        <w:jc w:val="both"/>
        <w:rPr>
          <w:rFonts w:ascii="Arial" w:hAnsi="Arial" w:cs="Arial"/>
          <w:sz w:val="20"/>
        </w:rPr>
      </w:pPr>
    </w:p>
    <w:p w14:paraId="6622C4F5" w14:textId="77777777" w:rsidR="00F40863" w:rsidRDefault="00F40863" w:rsidP="00266492">
      <w:pPr>
        <w:tabs>
          <w:tab w:val="left" w:pos="1274"/>
        </w:tabs>
        <w:spacing w:line="276" w:lineRule="auto"/>
        <w:ind w:right="196"/>
        <w:jc w:val="both"/>
        <w:rPr>
          <w:rFonts w:ascii="Arial" w:hAnsi="Arial" w:cs="Arial"/>
          <w:sz w:val="20"/>
        </w:rPr>
      </w:pPr>
    </w:p>
    <w:p w14:paraId="5EEAEA75" w14:textId="77777777" w:rsidR="00F40863" w:rsidRDefault="00F40863" w:rsidP="00266492">
      <w:pPr>
        <w:tabs>
          <w:tab w:val="left" w:pos="1274"/>
        </w:tabs>
        <w:spacing w:line="276" w:lineRule="auto"/>
        <w:ind w:right="196"/>
        <w:jc w:val="both"/>
        <w:rPr>
          <w:rFonts w:ascii="Arial" w:hAnsi="Arial" w:cs="Arial"/>
          <w:sz w:val="20"/>
        </w:rPr>
      </w:pPr>
    </w:p>
    <w:p w14:paraId="75316337" w14:textId="77777777" w:rsidR="00F40863" w:rsidRDefault="00F40863" w:rsidP="00266492">
      <w:pPr>
        <w:tabs>
          <w:tab w:val="left" w:pos="1274"/>
        </w:tabs>
        <w:spacing w:line="276" w:lineRule="auto"/>
        <w:ind w:right="196"/>
        <w:jc w:val="both"/>
        <w:rPr>
          <w:rFonts w:ascii="Arial" w:hAnsi="Arial" w:cs="Arial"/>
          <w:sz w:val="20"/>
        </w:rPr>
      </w:pPr>
    </w:p>
    <w:p w14:paraId="02B83796" w14:textId="77777777" w:rsidR="00F40863" w:rsidRDefault="00F40863" w:rsidP="00266492">
      <w:pPr>
        <w:tabs>
          <w:tab w:val="left" w:pos="1274"/>
        </w:tabs>
        <w:spacing w:line="276" w:lineRule="auto"/>
        <w:ind w:right="196"/>
        <w:jc w:val="both"/>
        <w:rPr>
          <w:rFonts w:ascii="Arial" w:hAnsi="Arial" w:cs="Arial"/>
          <w:sz w:val="20"/>
        </w:rPr>
      </w:pPr>
    </w:p>
    <w:p w14:paraId="703919AE" w14:textId="77777777" w:rsidR="00F40863" w:rsidRDefault="00F40863" w:rsidP="00266492">
      <w:pPr>
        <w:tabs>
          <w:tab w:val="left" w:pos="1274"/>
        </w:tabs>
        <w:spacing w:line="276" w:lineRule="auto"/>
        <w:ind w:right="196"/>
        <w:jc w:val="both"/>
        <w:rPr>
          <w:rFonts w:ascii="Arial" w:hAnsi="Arial" w:cs="Arial"/>
          <w:sz w:val="20"/>
        </w:rPr>
      </w:pPr>
    </w:p>
    <w:p w14:paraId="599B1E26" w14:textId="77777777" w:rsidR="00F40863" w:rsidRDefault="00F40863" w:rsidP="00266492">
      <w:pPr>
        <w:tabs>
          <w:tab w:val="left" w:pos="1274"/>
        </w:tabs>
        <w:spacing w:line="276" w:lineRule="auto"/>
        <w:ind w:right="196"/>
        <w:jc w:val="both"/>
        <w:rPr>
          <w:rFonts w:ascii="Arial" w:hAnsi="Arial" w:cs="Arial"/>
          <w:sz w:val="20"/>
        </w:rPr>
      </w:pPr>
    </w:p>
    <w:p w14:paraId="2EE084FA" w14:textId="77777777" w:rsidR="00F40863" w:rsidRDefault="00F40863" w:rsidP="00266492">
      <w:pPr>
        <w:tabs>
          <w:tab w:val="left" w:pos="1274"/>
        </w:tabs>
        <w:spacing w:line="276" w:lineRule="auto"/>
        <w:ind w:right="196"/>
        <w:jc w:val="both"/>
        <w:rPr>
          <w:rFonts w:ascii="Arial" w:hAnsi="Arial" w:cs="Arial"/>
          <w:sz w:val="20"/>
        </w:rPr>
      </w:pPr>
    </w:p>
    <w:p w14:paraId="765A373F" w14:textId="77777777" w:rsidR="00F40863" w:rsidRDefault="00F40863" w:rsidP="00266492">
      <w:pPr>
        <w:tabs>
          <w:tab w:val="left" w:pos="1274"/>
        </w:tabs>
        <w:spacing w:line="276" w:lineRule="auto"/>
        <w:ind w:right="196"/>
        <w:jc w:val="both"/>
        <w:rPr>
          <w:rFonts w:ascii="Arial" w:hAnsi="Arial" w:cs="Arial"/>
          <w:sz w:val="20"/>
        </w:rPr>
      </w:pPr>
    </w:p>
    <w:p w14:paraId="7E065036" w14:textId="77777777" w:rsidR="00F40863" w:rsidRDefault="00F40863" w:rsidP="00266492">
      <w:pPr>
        <w:tabs>
          <w:tab w:val="left" w:pos="1274"/>
        </w:tabs>
        <w:spacing w:line="276" w:lineRule="auto"/>
        <w:ind w:right="196"/>
        <w:jc w:val="both"/>
        <w:rPr>
          <w:rFonts w:ascii="Arial" w:hAnsi="Arial" w:cs="Arial"/>
          <w:sz w:val="20"/>
        </w:rPr>
      </w:pPr>
    </w:p>
    <w:p w14:paraId="53403036" w14:textId="77777777" w:rsidR="00F40863" w:rsidRDefault="00F40863" w:rsidP="00266492">
      <w:pPr>
        <w:tabs>
          <w:tab w:val="left" w:pos="1274"/>
        </w:tabs>
        <w:spacing w:line="276" w:lineRule="auto"/>
        <w:ind w:right="196"/>
        <w:jc w:val="both"/>
        <w:rPr>
          <w:rFonts w:ascii="Arial" w:hAnsi="Arial" w:cs="Arial"/>
          <w:sz w:val="20"/>
        </w:rPr>
      </w:pPr>
    </w:p>
    <w:p w14:paraId="6086668D" w14:textId="77777777" w:rsidR="00F40863" w:rsidRDefault="00F40863" w:rsidP="00266492">
      <w:pPr>
        <w:tabs>
          <w:tab w:val="left" w:pos="1274"/>
        </w:tabs>
        <w:spacing w:line="276" w:lineRule="auto"/>
        <w:ind w:right="196"/>
        <w:jc w:val="both"/>
        <w:rPr>
          <w:rFonts w:ascii="Arial" w:hAnsi="Arial" w:cs="Arial"/>
          <w:sz w:val="20"/>
        </w:rPr>
      </w:pPr>
    </w:p>
    <w:p w14:paraId="1F190E62" w14:textId="77777777" w:rsidR="00F40863" w:rsidRDefault="00F40863" w:rsidP="00266492">
      <w:pPr>
        <w:tabs>
          <w:tab w:val="left" w:pos="1274"/>
        </w:tabs>
        <w:spacing w:line="276" w:lineRule="auto"/>
        <w:ind w:right="196"/>
        <w:jc w:val="both"/>
        <w:rPr>
          <w:rFonts w:ascii="Arial" w:hAnsi="Arial" w:cs="Arial"/>
          <w:sz w:val="20"/>
        </w:rPr>
      </w:pPr>
    </w:p>
    <w:p w14:paraId="1F49934E" w14:textId="77777777" w:rsidR="00F40863" w:rsidRDefault="00F40863" w:rsidP="00266492">
      <w:pPr>
        <w:tabs>
          <w:tab w:val="left" w:pos="1274"/>
        </w:tabs>
        <w:spacing w:line="276" w:lineRule="auto"/>
        <w:ind w:right="196"/>
        <w:jc w:val="both"/>
        <w:rPr>
          <w:rFonts w:ascii="Arial" w:hAnsi="Arial" w:cs="Arial"/>
          <w:sz w:val="20"/>
        </w:rPr>
      </w:pPr>
    </w:p>
    <w:p w14:paraId="64A4D8AC" w14:textId="77777777" w:rsidR="00F40863" w:rsidRDefault="00F40863" w:rsidP="00266492">
      <w:pPr>
        <w:tabs>
          <w:tab w:val="left" w:pos="1274"/>
        </w:tabs>
        <w:spacing w:line="276" w:lineRule="auto"/>
        <w:ind w:right="196"/>
        <w:jc w:val="both"/>
        <w:rPr>
          <w:rFonts w:ascii="Arial" w:hAnsi="Arial" w:cs="Arial"/>
          <w:sz w:val="20"/>
        </w:rPr>
      </w:pPr>
    </w:p>
    <w:p w14:paraId="23192750" w14:textId="77777777" w:rsidR="00F40863" w:rsidRDefault="00F40863" w:rsidP="00266492">
      <w:pPr>
        <w:tabs>
          <w:tab w:val="left" w:pos="1274"/>
        </w:tabs>
        <w:spacing w:line="276" w:lineRule="auto"/>
        <w:ind w:right="196"/>
        <w:jc w:val="both"/>
        <w:rPr>
          <w:rFonts w:ascii="Arial" w:hAnsi="Arial" w:cs="Arial"/>
          <w:sz w:val="20"/>
        </w:rPr>
      </w:pPr>
    </w:p>
    <w:p w14:paraId="1705DFF6" w14:textId="77777777" w:rsidR="00F40863" w:rsidRDefault="00F40863" w:rsidP="00266492">
      <w:pPr>
        <w:tabs>
          <w:tab w:val="left" w:pos="1274"/>
        </w:tabs>
        <w:spacing w:line="276" w:lineRule="auto"/>
        <w:ind w:right="196"/>
        <w:jc w:val="both"/>
        <w:rPr>
          <w:rFonts w:ascii="Arial" w:hAnsi="Arial" w:cs="Arial"/>
          <w:sz w:val="20"/>
        </w:rPr>
      </w:pPr>
    </w:p>
    <w:p w14:paraId="576DA72C" w14:textId="77777777" w:rsidR="00F40863" w:rsidRDefault="00F40863" w:rsidP="00266492">
      <w:pPr>
        <w:tabs>
          <w:tab w:val="left" w:pos="1274"/>
        </w:tabs>
        <w:spacing w:line="276" w:lineRule="auto"/>
        <w:ind w:right="196"/>
        <w:jc w:val="both"/>
        <w:rPr>
          <w:rFonts w:ascii="Arial" w:hAnsi="Arial" w:cs="Arial"/>
          <w:sz w:val="20"/>
        </w:rPr>
      </w:pPr>
    </w:p>
    <w:p w14:paraId="24B335C7" w14:textId="77777777" w:rsidR="00F40863" w:rsidRDefault="00F40863" w:rsidP="00266492">
      <w:pPr>
        <w:tabs>
          <w:tab w:val="left" w:pos="1274"/>
        </w:tabs>
        <w:spacing w:line="276" w:lineRule="auto"/>
        <w:ind w:right="196"/>
        <w:jc w:val="both"/>
        <w:rPr>
          <w:rFonts w:ascii="Arial" w:hAnsi="Arial" w:cs="Arial"/>
          <w:sz w:val="20"/>
        </w:rPr>
      </w:pPr>
    </w:p>
    <w:p w14:paraId="0A22D143" w14:textId="77777777" w:rsidR="00F40863" w:rsidRDefault="00F40863" w:rsidP="00266492">
      <w:pPr>
        <w:tabs>
          <w:tab w:val="left" w:pos="1274"/>
        </w:tabs>
        <w:spacing w:line="276" w:lineRule="auto"/>
        <w:ind w:right="196"/>
        <w:jc w:val="both"/>
        <w:rPr>
          <w:rFonts w:ascii="Arial" w:hAnsi="Arial" w:cs="Arial"/>
          <w:sz w:val="20"/>
        </w:rPr>
      </w:pPr>
    </w:p>
    <w:p w14:paraId="74C2B321" w14:textId="77777777" w:rsidR="00F40863" w:rsidRDefault="00F40863" w:rsidP="00266492">
      <w:pPr>
        <w:tabs>
          <w:tab w:val="left" w:pos="1274"/>
        </w:tabs>
        <w:spacing w:line="276" w:lineRule="auto"/>
        <w:ind w:right="196"/>
        <w:jc w:val="both"/>
        <w:rPr>
          <w:rFonts w:ascii="Arial" w:hAnsi="Arial" w:cs="Arial"/>
          <w:sz w:val="20"/>
        </w:rPr>
      </w:pPr>
    </w:p>
    <w:p w14:paraId="6C5EF73D" w14:textId="77777777" w:rsidR="00F40863" w:rsidRDefault="00F40863" w:rsidP="00266492">
      <w:pPr>
        <w:tabs>
          <w:tab w:val="left" w:pos="1274"/>
        </w:tabs>
        <w:spacing w:line="276" w:lineRule="auto"/>
        <w:ind w:right="196"/>
        <w:jc w:val="both"/>
        <w:rPr>
          <w:rFonts w:ascii="Arial" w:hAnsi="Arial" w:cs="Arial"/>
          <w:sz w:val="20"/>
        </w:rPr>
      </w:pPr>
    </w:p>
    <w:p w14:paraId="1BA3A71E" w14:textId="602FA3B3" w:rsidR="00977BDA" w:rsidRDefault="00F40863" w:rsidP="00977BDA">
      <w:pPr>
        <w:keepNext/>
        <w:keepLines/>
        <w:widowControl/>
        <w:autoSpaceDE/>
        <w:autoSpaceDN/>
        <w:spacing w:before="40" w:line="259" w:lineRule="auto"/>
        <w:jc w:val="center"/>
        <w:outlineLvl w:val="2"/>
        <w:rPr>
          <w:rFonts w:ascii="Arial" w:eastAsiaTheme="majorEastAsia" w:hAnsi="Arial" w:cs="Arial"/>
          <w:b/>
          <w:color w:val="00B0F0"/>
          <w:sz w:val="24"/>
          <w:szCs w:val="24"/>
        </w:rPr>
      </w:pPr>
      <w:bookmarkStart w:id="1161" w:name="_Toc153137650"/>
      <w:r w:rsidRPr="00F40863">
        <w:rPr>
          <w:rFonts w:ascii="Arial" w:eastAsiaTheme="majorEastAsia" w:hAnsi="Arial" w:cs="Arial"/>
          <w:b/>
          <w:color w:val="00B0F0"/>
          <w:sz w:val="24"/>
          <w:szCs w:val="24"/>
        </w:rPr>
        <w:lastRenderedPageBreak/>
        <w:t>(SUBPART E — NOT APPLICABLE)</w:t>
      </w:r>
      <w:bookmarkEnd w:id="1161"/>
    </w:p>
    <w:p w14:paraId="1EA801D7" w14:textId="60C10FD8" w:rsidR="00977BDA" w:rsidRDefault="00977BDA" w:rsidP="00977BDA">
      <w:pPr>
        <w:pStyle w:val="BodyText"/>
      </w:pPr>
    </w:p>
    <w:p w14:paraId="6989C348" w14:textId="79348D06" w:rsidR="00977BDA" w:rsidRDefault="00977BDA" w:rsidP="00977BDA">
      <w:pPr>
        <w:pStyle w:val="BodyText"/>
      </w:pPr>
    </w:p>
    <w:p w14:paraId="70132945" w14:textId="0E7A0D0B" w:rsidR="00977BDA" w:rsidRDefault="00977BDA" w:rsidP="00977BDA">
      <w:pPr>
        <w:pStyle w:val="BodyText"/>
      </w:pPr>
    </w:p>
    <w:p w14:paraId="7B532281" w14:textId="4CC12B5B" w:rsidR="00977BDA" w:rsidRDefault="00977BDA" w:rsidP="00977BDA">
      <w:pPr>
        <w:pStyle w:val="BodyText"/>
      </w:pPr>
    </w:p>
    <w:p w14:paraId="29A91B73" w14:textId="770E95DF" w:rsidR="00977BDA" w:rsidRDefault="00977BDA" w:rsidP="00977BDA">
      <w:pPr>
        <w:pStyle w:val="BodyText"/>
      </w:pPr>
    </w:p>
    <w:p w14:paraId="05989343" w14:textId="6953CD9F" w:rsidR="00977BDA" w:rsidRDefault="00977BDA" w:rsidP="00977BDA">
      <w:pPr>
        <w:pStyle w:val="BodyText"/>
      </w:pPr>
    </w:p>
    <w:p w14:paraId="4F044D7D" w14:textId="580EE5D8" w:rsidR="00977BDA" w:rsidRDefault="00977BDA" w:rsidP="00977BDA">
      <w:pPr>
        <w:pStyle w:val="BodyText"/>
      </w:pPr>
    </w:p>
    <w:p w14:paraId="4E9468EF" w14:textId="40F87121" w:rsidR="00977BDA" w:rsidRDefault="00977BDA" w:rsidP="00977BDA">
      <w:pPr>
        <w:pStyle w:val="BodyText"/>
      </w:pPr>
    </w:p>
    <w:p w14:paraId="1618DC5A" w14:textId="6FCDD145" w:rsidR="00977BDA" w:rsidRDefault="00977BDA" w:rsidP="00977BDA">
      <w:pPr>
        <w:pStyle w:val="BodyText"/>
      </w:pPr>
    </w:p>
    <w:p w14:paraId="45E22A1E" w14:textId="5750F5F6" w:rsidR="00977BDA" w:rsidRDefault="00977BDA" w:rsidP="00977BDA">
      <w:pPr>
        <w:pStyle w:val="BodyText"/>
      </w:pPr>
    </w:p>
    <w:p w14:paraId="57F8D2A8" w14:textId="39DBD45D" w:rsidR="00977BDA" w:rsidRDefault="00977BDA" w:rsidP="00977BDA">
      <w:pPr>
        <w:pStyle w:val="BodyText"/>
      </w:pPr>
    </w:p>
    <w:p w14:paraId="416EBDF7" w14:textId="778EC558" w:rsidR="00977BDA" w:rsidRDefault="00977BDA" w:rsidP="00977BDA">
      <w:pPr>
        <w:pStyle w:val="BodyText"/>
      </w:pPr>
    </w:p>
    <w:p w14:paraId="3B35BA34" w14:textId="6E3C1262" w:rsidR="00977BDA" w:rsidRDefault="00977BDA" w:rsidP="00977BDA">
      <w:pPr>
        <w:pStyle w:val="BodyText"/>
      </w:pPr>
    </w:p>
    <w:p w14:paraId="119A1AC9" w14:textId="11000292" w:rsidR="00977BDA" w:rsidRDefault="00977BDA" w:rsidP="00977BDA">
      <w:pPr>
        <w:pStyle w:val="BodyText"/>
      </w:pPr>
    </w:p>
    <w:p w14:paraId="486F6751" w14:textId="6028974B" w:rsidR="00977BDA" w:rsidRDefault="00977BDA" w:rsidP="00977BDA">
      <w:pPr>
        <w:pStyle w:val="BodyText"/>
      </w:pPr>
    </w:p>
    <w:p w14:paraId="1040FB9B" w14:textId="1790EFC9" w:rsidR="00977BDA" w:rsidRDefault="00977BDA" w:rsidP="00977BDA">
      <w:pPr>
        <w:pStyle w:val="BodyText"/>
      </w:pPr>
    </w:p>
    <w:p w14:paraId="2E4BA486" w14:textId="07BF9C73" w:rsidR="00977BDA" w:rsidRDefault="00977BDA" w:rsidP="00977BDA">
      <w:pPr>
        <w:pStyle w:val="BodyText"/>
      </w:pPr>
    </w:p>
    <w:p w14:paraId="5CE19495" w14:textId="44EB29D3" w:rsidR="00977BDA" w:rsidRDefault="00977BDA" w:rsidP="00977BDA">
      <w:pPr>
        <w:pStyle w:val="BodyText"/>
      </w:pPr>
    </w:p>
    <w:p w14:paraId="0CB055ED" w14:textId="0867DA96" w:rsidR="00977BDA" w:rsidRDefault="00977BDA" w:rsidP="00977BDA">
      <w:pPr>
        <w:pStyle w:val="BodyText"/>
      </w:pPr>
    </w:p>
    <w:p w14:paraId="13395C4D" w14:textId="21128183" w:rsidR="00977BDA" w:rsidRDefault="00977BDA" w:rsidP="00977BDA">
      <w:pPr>
        <w:pStyle w:val="BodyText"/>
      </w:pPr>
    </w:p>
    <w:p w14:paraId="5DFF3716" w14:textId="78427B84" w:rsidR="00977BDA" w:rsidRDefault="00977BDA" w:rsidP="00977BDA">
      <w:pPr>
        <w:pStyle w:val="BodyText"/>
      </w:pPr>
    </w:p>
    <w:p w14:paraId="2989634D" w14:textId="13799D6F" w:rsidR="00977BDA" w:rsidRDefault="00977BDA" w:rsidP="00977BDA">
      <w:pPr>
        <w:pStyle w:val="BodyText"/>
      </w:pPr>
    </w:p>
    <w:p w14:paraId="3B995E0D" w14:textId="70381B93" w:rsidR="00977BDA" w:rsidRDefault="00977BDA" w:rsidP="00977BDA">
      <w:pPr>
        <w:pStyle w:val="BodyText"/>
      </w:pPr>
    </w:p>
    <w:p w14:paraId="3386C55F" w14:textId="4CEFDFE2" w:rsidR="00977BDA" w:rsidRDefault="00977BDA" w:rsidP="00977BDA">
      <w:pPr>
        <w:pStyle w:val="BodyText"/>
      </w:pPr>
    </w:p>
    <w:p w14:paraId="296CB194" w14:textId="5BB900F6" w:rsidR="00977BDA" w:rsidRDefault="00977BDA" w:rsidP="00977BDA">
      <w:pPr>
        <w:pStyle w:val="BodyText"/>
      </w:pPr>
    </w:p>
    <w:p w14:paraId="6366BB66" w14:textId="3BB0C311" w:rsidR="00977BDA" w:rsidRDefault="00977BDA" w:rsidP="00977BDA">
      <w:pPr>
        <w:pStyle w:val="BodyText"/>
      </w:pPr>
    </w:p>
    <w:p w14:paraId="07383081" w14:textId="3D753AD1" w:rsidR="00977BDA" w:rsidRDefault="00977BDA" w:rsidP="00977BDA">
      <w:pPr>
        <w:pStyle w:val="BodyText"/>
      </w:pPr>
    </w:p>
    <w:p w14:paraId="555E3C57" w14:textId="7B279C93" w:rsidR="00977BDA" w:rsidRDefault="00977BDA" w:rsidP="00977BDA">
      <w:pPr>
        <w:pStyle w:val="BodyText"/>
      </w:pPr>
    </w:p>
    <w:p w14:paraId="39AE9BB4" w14:textId="2390E519" w:rsidR="00977BDA" w:rsidRDefault="00977BDA" w:rsidP="00977BDA">
      <w:pPr>
        <w:pStyle w:val="BodyText"/>
      </w:pPr>
    </w:p>
    <w:p w14:paraId="08B1AE47" w14:textId="23EAF264" w:rsidR="00977BDA" w:rsidRDefault="00977BDA" w:rsidP="00977BDA">
      <w:pPr>
        <w:pStyle w:val="BodyText"/>
      </w:pPr>
    </w:p>
    <w:p w14:paraId="0761AD37" w14:textId="7E3D5123" w:rsidR="00977BDA" w:rsidRDefault="00977BDA" w:rsidP="00977BDA">
      <w:pPr>
        <w:pStyle w:val="BodyText"/>
      </w:pPr>
    </w:p>
    <w:p w14:paraId="115EA673" w14:textId="45D12452" w:rsidR="00977BDA" w:rsidRDefault="00977BDA" w:rsidP="00977BDA">
      <w:pPr>
        <w:pStyle w:val="BodyText"/>
      </w:pPr>
    </w:p>
    <w:p w14:paraId="036B2CC4" w14:textId="3234AC58" w:rsidR="00977BDA" w:rsidRDefault="00977BDA" w:rsidP="00977BDA">
      <w:pPr>
        <w:pStyle w:val="BodyText"/>
      </w:pPr>
    </w:p>
    <w:p w14:paraId="29C483A3" w14:textId="4D857AC3" w:rsidR="00977BDA" w:rsidRDefault="00977BDA" w:rsidP="00977BDA">
      <w:pPr>
        <w:pStyle w:val="BodyText"/>
      </w:pPr>
    </w:p>
    <w:p w14:paraId="14C36FFF" w14:textId="7A13719D" w:rsidR="00977BDA" w:rsidRDefault="00977BDA" w:rsidP="00977BDA">
      <w:pPr>
        <w:pStyle w:val="BodyText"/>
      </w:pPr>
    </w:p>
    <w:p w14:paraId="56FA8B8B" w14:textId="46DADB29" w:rsidR="00977BDA" w:rsidRDefault="00977BDA" w:rsidP="00977BDA">
      <w:pPr>
        <w:pStyle w:val="BodyText"/>
      </w:pPr>
    </w:p>
    <w:p w14:paraId="551698F9" w14:textId="2F03DEB0" w:rsidR="00977BDA" w:rsidRDefault="00977BDA" w:rsidP="00977BDA">
      <w:pPr>
        <w:pStyle w:val="BodyText"/>
      </w:pPr>
    </w:p>
    <w:p w14:paraId="4282DA88" w14:textId="3FB6244B" w:rsidR="00977BDA" w:rsidRDefault="00977BDA" w:rsidP="00977BDA">
      <w:pPr>
        <w:pStyle w:val="BodyText"/>
      </w:pPr>
    </w:p>
    <w:p w14:paraId="3B16E0E9" w14:textId="21309015" w:rsidR="00977BDA" w:rsidRPr="00977BDA" w:rsidRDefault="00977BDA" w:rsidP="00977BDA">
      <w:pPr>
        <w:keepNext/>
        <w:keepLines/>
        <w:widowControl/>
        <w:autoSpaceDE/>
        <w:autoSpaceDN/>
        <w:spacing w:before="40" w:line="259" w:lineRule="auto"/>
        <w:jc w:val="center"/>
        <w:outlineLvl w:val="2"/>
        <w:rPr>
          <w:rFonts w:ascii="Arial" w:eastAsiaTheme="majorEastAsia" w:hAnsi="Arial" w:cs="Arial"/>
          <w:b/>
          <w:color w:val="00B0F0"/>
          <w:sz w:val="24"/>
          <w:szCs w:val="24"/>
        </w:rPr>
      </w:pPr>
      <w:bookmarkStart w:id="1162" w:name="_Toc153137651"/>
      <w:r w:rsidRPr="00F40863">
        <w:rPr>
          <w:rFonts w:ascii="Arial" w:eastAsiaTheme="majorEastAsia" w:hAnsi="Arial" w:cs="Arial"/>
          <w:b/>
          <w:color w:val="00B0F0"/>
          <w:sz w:val="24"/>
          <w:szCs w:val="24"/>
        </w:rPr>
        <w:lastRenderedPageBreak/>
        <w:t xml:space="preserve">SUBPART </w:t>
      </w:r>
      <w:r>
        <w:rPr>
          <w:rFonts w:ascii="Arial" w:eastAsiaTheme="majorEastAsia" w:hAnsi="Arial" w:cs="Arial"/>
          <w:b/>
          <w:color w:val="00B0F0"/>
          <w:sz w:val="24"/>
          <w:szCs w:val="24"/>
        </w:rPr>
        <w:t>F</w:t>
      </w:r>
      <w:r w:rsidRPr="00F40863">
        <w:rPr>
          <w:rFonts w:ascii="Arial" w:eastAsiaTheme="majorEastAsia" w:hAnsi="Arial" w:cs="Arial"/>
          <w:b/>
          <w:color w:val="00B0F0"/>
          <w:sz w:val="24"/>
          <w:szCs w:val="24"/>
        </w:rPr>
        <w:t xml:space="preserve"> — </w:t>
      </w:r>
      <w:r w:rsidRPr="00977BDA">
        <w:rPr>
          <w:rFonts w:ascii="Arial" w:eastAsiaTheme="majorEastAsia" w:hAnsi="Arial" w:cs="Arial"/>
          <w:b/>
          <w:bCs/>
          <w:color w:val="00B0F0"/>
          <w:sz w:val="24"/>
          <w:szCs w:val="24"/>
        </w:rPr>
        <w:t>EQUIPMENT</w:t>
      </w:r>
      <w:bookmarkEnd w:id="1162"/>
    </w:p>
    <w:p w14:paraId="37CA8023" w14:textId="77777777" w:rsidR="006A7C3C" w:rsidRPr="006A7C3C" w:rsidRDefault="006A7C3C" w:rsidP="006A7C3C">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163" w:name="CS_31GB.71_Function_and_installation"/>
      <w:bookmarkStart w:id="1164" w:name="_bookmark488"/>
      <w:bookmarkStart w:id="1165" w:name="_Toc153137652"/>
      <w:bookmarkEnd w:id="1163"/>
      <w:bookmarkEnd w:id="1164"/>
      <w:r w:rsidRPr="006A7C3C">
        <w:rPr>
          <w:rFonts w:ascii="Arial" w:eastAsia="Times New Roman" w:hAnsi="Arial" w:cs="Times New Roman"/>
          <w:b/>
          <w:iCs/>
          <w:color w:val="FFFFFF"/>
          <w:sz w:val="24"/>
        </w:rPr>
        <w:t>CS 31GB.71 Function and installation</w:t>
      </w:r>
      <w:bookmarkEnd w:id="1165"/>
    </w:p>
    <w:p w14:paraId="6EA2860B" w14:textId="77777777" w:rsidR="006A7C3C" w:rsidRPr="006A7C3C" w:rsidRDefault="006A7C3C" w:rsidP="00AB16A5">
      <w:pPr>
        <w:numPr>
          <w:ilvl w:val="0"/>
          <w:numId w:val="363"/>
        </w:numPr>
        <w:tabs>
          <w:tab w:val="left" w:pos="707"/>
        </w:tabs>
        <w:spacing w:before="117"/>
        <w:jc w:val="both"/>
        <w:rPr>
          <w:rFonts w:ascii="Arial" w:hAnsi="Arial" w:cs="Arial"/>
          <w:sz w:val="20"/>
        </w:rPr>
      </w:pPr>
      <w:r w:rsidRPr="006A7C3C">
        <w:rPr>
          <w:rFonts w:ascii="Arial" w:hAnsi="Arial" w:cs="Arial"/>
          <w:sz w:val="20"/>
        </w:rPr>
        <w:t>Each</w:t>
      </w:r>
      <w:r w:rsidRPr="006A7C3C">
        <w:rPr>
          <w:rFonts w:ascii="Arial" w:hAnsi="Arial" w:cs="Arial"/>
          <w:spacing w:val="-2"/>
          <w:sz w:val="20"/>
        </w:rPr>
        <w:t xml:space="preserve"> </w:t>
      </w:r>
      <w:r w:rsidRPr="006A7C3C">
        <w:rPr>
          <w:rFonts w:ascii="Arial" w:hAnsi="Arial" w:cs="Arial"/>
          <w:sz w:val="20"/>
        </w:rPr>
        <w:t>item</w:t>
      </w:r>
      <w:r w:rsidRPr="006A7C3C">
        <w:rPr>
          <w:rFonts w:ascii="Arial" w:hAnsi="Arial" w:cs="Arial"/>
          <w:spacing w:val="-2"/>
          <w:sz w:val="20"/>
        </w:rPr>
        <w:t xml:space="preserve"> </w:t>
      </w:r>
      <w:r w:rsidRPr="006A7C3C">
        <w:rPr>
          <w:rFonts w:ascii="Arial" w:hAnsi="Arial" w:cs="Arial"/>
          <w:sz w:val="20"/>
        </w:rPr>
        <w:t>of</w:t>
      </w:r>
      <w:r w:rsidRPr="006A7C3C">
        <w:rPr>
          <w:rFonts w:ascii="Arial" w:hAnsi="Arial" w:cs="Arial"/>
          <w:spacing w:val="-1"/>
          <w:sz w:val="20"/>
        </w:rPr>
        <w:t xml:space="preserve"> </w:t>
      </w:r>
      <w:r w:rsidRPr="006A7C3C">
        <w:rPr>
          <w:rFonts w:ascii="Arial" w:hAnsi="Arial" w:cs="Arial"/>
          <w:sz w:val="20"/>
        </w:rPr>
        <w:t>required</w:t>
      </w:r>
      <w:r w:rsidRPr="006A7C3C">
        <w:rPr>
          <w:rFonts w:ascii="Arial" w:hAnsi="Arial" w:cs="Arial"/>
          <w:spacing w:val="-2"/>
          <w:sz w:val="20"/>
        </w:rPr>
        <w:t xml:space="preserve"> </w:t>
      </w:r>
      <w:r w:rsidRPr="006A7C3C">
        <w:rPr>
          <w:rFonts w:ascii="Arial" w:hAnsi="Arial" w:cs="Arial"/>
          <w:sz w:val="20"/>
        </w:rPr>
        <w:t>equipment</w:t>
      </w:r>
      <w:r w:rsidRPr="006A7C3C">
        <w:rPr>
          <w:rFonts w:ascii="Arial" w:hAnsi="Arial" w:cs="Arial"/>
          <w:spacing w:val="-3"/>
          <w:sz w:val="20"/>
        </w:rPr>
        <w:t xml:space="preserve"> </w:t>
      </w:r>
      <w:r w:rsidRPr="006A7C3C">
        <w:rPr>
          <w:rFonts w:ascii="Arial" w:hAnsi="Arial" w:cs="Arial"/>
          <w:sz w:val="20"/>
        </w:rPr>
        <w:t>must:</w:t>
      </w:r>
    </w:p>
    <w:p w14:paraId="6BFD5133" w14:textId="77777777" w:rsidR="006A7C3C" w:rsidRPr="006A7C3C" w:rsidRDefault="006A7C3C" w:rsidP="00AB16A5">
      <w:pPr>
        <w:numPr>
          <w:ilvl w:val="1"/>
          <w:numId w:val="363"/>
        </w:numPr>
        <w:tabs>
          <w:tab w:val="left" w:pos="1274"/>
        </w:tabs>
        <w:spacing w:before="121"/>
        <w:ind w:hanging="568"/>
        <w:jc w:val="both"/>
        <w:rPr>
          <w:rFonts w:ascii="Arial" w:hAnsi="Arial" w:cs="Arial"/>
          <w:sz w:val="20"/>
        </w:rPr>
      </w:pPr>
      <w:r w:rsidRPr="006A7C3C">
        <w:rPr>
          <w:rFonts w:ascii="Arial" w:hAnsi="Arial" w:cs="Arial"/>
          <w:sz w:val="20"/>
        </w:rPr>
        <w:t>be of</w:t>
      </w:r>
      <w:r w:rsidRPr="006A7C3C">
        <w:rPr>
          <w:rFonts w:ascii="Arial" w:hAnsi="Arial" w:cs="Arial"/>
          <w:spacing w:val="-3"/>
          <w:sz w:val="20"/>
        </w:rPr>
        <w:t xml:space="preserve"> </w:t>
      </w:r>
      <w:r w:rsidRPr="006A7C3C">
        <w:rPr>
          <w:rFonts w:ascii="Arial" w:hAnsi="Arial" w:cs="Arial"/>
          <w:sz w:val="20"/>
        </w:rPr>
        <w:t>a</w:t>
      </w:r>
      <w:r w:rsidRPr="006A7C3C">
        <w:rPr>
          <w:rFonts w:ascii="Arial" w:hAnsi="Arial" w:cs="Arial"/>
          <w:spacing w:val="-1"/>
          <w:sz w:val="20"/>
        </w:rPr>
        <w:t xml:space="preserve"> </w:t>
      </w:r>
      <w:r w:rsidRPr="006A7C3C">
        <w:rPr>
          <w:rFonts w:ascii="Arial" w:hAnsi="Arial" w:cs="Arial"/>
          <w:sz w:val="20"/>
        </w:rPr>
        <w:t>kind</w:t>
      </w:r>
      <w:r w:rsidRPr="006A7C3C">
        <w:rPr>
          <w:rFonts w:ascii="Arial" w:hAnsi="Arial" w:cs="Arial"/>
          <w:spacing w:val="-1"/>
          <w:sz w:val="20"/>
        </w:rPr>
        <w:t xml:space="preserve"> </w:t>
      </w:r>
      <w:r w:rsidRPr="006A7C3C">
        <w:rPr>
          <w:rFonts w:ascii="Arial" w:hAnsi="Arial" w:cs="Arial"/>
          <w:sz w:val="20"/>
        </w:rPr>
        <w:t>and</w:t>
      </w:r>
      <w:r w:rsidRPr="006A7C3C">
        <w:rPr>
          <w:rFonts w:ascii="Arial" w:hAnsi="Arial" w:cs="Arial"/>
          <w:spacing w:val="-2"/>
          <w:sz w:val="20"/>
        </w:rPr>
        <w:t xml:space="preserve"> </w:t>
      </w:r>
      <w:r w:rsidRPr="006A7C3C">
        <w:rPr>
          <w:rFonts w:ascii="Arial" w:hAnsi="Arial" w:cs="Arial"/>
          <w:sz w:val="20"/>
        </w:rPr>
        <w:t>design</w:t>
      </w:r>
      <w:r w:rsidRPr="006A7C3C">
        <w:rPr>
          <w:rFonts w:ascii="Arial" w:hAnsi="Arial" w:cs="Arial"/>
          <w:spacing w:val="-2"/>
          <w:sz w:val="20"/>
        </w:rPr>
        <w:t xml:space="preserve"> </w:t>
      </w:r>
      <w:r w:rsidRPr="006A7C3C">
        <w:rPr>
          <w:rFonts w:ascii="Arial" w:hAnsi="Arial" w:cs="Arial"/>
          <w:sz w:val="20"/>
        </w:rPr>
        <w:t>appropriate</w:t>
      </w:r>
      <w:r w:rsidRPr="006A7C3C">
        <w:rPr>
          <w:rFonts w:ascii="Arial" w:hAnsi="Arial" w:cs="Arial"/>
          <w:spacing w:val="-2"/>
          <w:sz w:val="20"/>
        </w:rPr>
        <w:t xml:space="preserve"> </w:t>
      </w:r>
      <w:r w:rsidRPr="006A7C3C">
        <w:rPr>
          <w:rFonts w:ascii="Arial" w:hAnsi="Arial" w:cs="Arial"/>
          <w:sz w:val="20"/>
        </w:rPr>
        <w:t>to its intended</w:t>
      </w:r>
      <w:r w:rsidRPr="006A7C3C">
        <w:rPr>
          <w:rFonts w:ascii="Arial" w:hAnsi="Arial" w:cs="Arial"/>
          <w:spacing w:val="-1"/>
          <w:sz w:val="20"/>
        </w:rPr>
        <w:t xml:space="preserve"> </w:t>
      </w:r>
      <w:r w:rsidRPr="006A7C3C">
        <w:rPr>
          <w:rFonts w:ascii="Arial" w:hAnsi="Arial" w:cs="Arial"/>
          <w:sz w:val="20"/>
        </w:rPr>
        <w:t>function;</w:t>
      </w:r>
    </w:p>
    <w:p w14:paraId="7020FF72" w14:textId="77777777" w:rsidR="006A7C3C" w:rsidRPr="006A7C3C" w:rsidRDefault="006A7C3C" w:rsidP="00AB16A5">
      <w:pPr>
        <w:numPr>
          <w:ilvl w:val="1"/>
          <w:numId w:val="363"/>
        </w:numPr>
        <w:tabs>
          <w:tab w:val="left" w:pos="1274"/>
        </w:tabs>
        <w:spacing w:before="120"/>
        <w:ind w:right="200"/>
        <w:jc w:val="both"/>
        <w:rPr>
          <w:rFonts w:ascii="Arial" w:hAnsi="Arial" w:cs="Arial"/>
          <w:sz w:val="20"/>
        </w:rPr>
      </w:pPr>
      <w:r w:rsidRPr="006A7C3C">
        <w:rPr>
          <w:rFonts w:ascii="Arial" w:hAnsi="Arial" w:cs="Arial"/>
          <w:sz w:val="20"/>
        </w:rPr>
        <w:t>be</w:t>
      </w:r>
      <w:r w:rsidRPr="006A7C3C">
        <w:rPr>
          <w:rFonts w:ascii="Arial" w:hAnsi="Arial" w:cs="Arial"/>
          <w:spacing w:val="9"/>
          <w:sz w:val="20"/>
        </w:rPr>
        <w:t xml:space="preserve"> </w:t>
      </w:r>
      <w:r w:rsidRPr="006A7C3C">
        <w:rPr>
          <w:rFonts w:ascii="Arial" w:hAnsi="Arial" w:cs="Arial"/>
          <w:sz w:val="20"/>
        </w:rPr>
        <w:t>labelled</w:t>
      </w:r>
      <w:r w:rsidRPr="006A7C3C">
        <w:rPr>
          <w:rFonts w:ascii="Arial" w:hAnsi="Arial" w:cs="Arial"/>
          <w:spacing w:val="6"/>
          <w:sz w:val="20"/>
        </w:rPr>
        <w:t xml:space="preserve"> </w:t>
      </w:r>
      <w:r w:rsidRPr="006A7C3C">
        <w:rPr>
          <w:rFonts w:ascii="Arial" w:hAnsi="Arial" w:cs="Arial"/>
          <w:sz w:val="20"/>
        </w:rPr>
        <w:t>or</w:t>
      </w:r>
      <w:r w:rsidRPr="006A7C3C">
        <w:rPr>
          <w:rFonts w:ascii="Arial" w:hAnsi="Arial" w:cs="Arial"/>
          <w:spacing w:val="7"/>
          <w:sz w:val="20"/>
        </w:rPr>
        <w:t xml:space="preserve"> </w:t>
      </w:r>
      <w:r w:rsidRPr="006A7C3C">
        <w:rPr>
          <w:rFonts w:ascii="Arial" w:hAnsi="Arial" w:cs="Arial"/>
          <w:sz w:val="20"/>
        </w:rPr>
        <w:t>marked</w:t>
      </w:r>
      <w:r w:rsidRPr="006A7C3C">
        <w:rPr>
          <w:rFonts w:ascii="Arial" w:hAnsi="Arial" w:cs="Arial"/>
          <w:spacing w:val="5"/>
          <w:sz w:val="20"/>
        </w:rPr>
        <w:t xml:space="preserve"> </w:t>
      </w:r>
      <w:r w:rsidRPr="006A7C3C">
        <w:rPr>
          <w:rFonts w:ascii="Arial" w:hAnsi="Arial" w:cs="Arial"/>
          <w:sz w:val="20"/>
        </w:rPr>
        <w:t>to</w:t>
      </w:r>
      <w:r w:rsidRPr="006A7C3C">
        <w:rPr>
          <w:rFonts w:ascii="Arial" w:hAnsi="Arial" w:cs="Arial"/>
          <w:spacing w:val="8"/>
          <w:sz w:val="20"/>
        </w:rPr>
        <w:t xml:space="preserve"> </w:t>
      </w:r>
      <w:r w:rsidRPr="006A7C3C">
        <w:rPr>
          <w:rFonts w:ascii="Arial" w:hAnsi="Arial" w:cs="Arial"/>
          <w:sz w:val="20"/>
        </w:rPr>
        <w:t>identify</w:t>
      </w:r>
      <w:r w:rsidRPr="006A7C3C">
        <w:rPr>
          <w:rFonts w:ascii="Arial" w:hAnsi="Arial" w:cs="Arial"/>
          <w:spacing w:val="9"/>
          <w:sz w:val="20"/>
        </w:rPr>
        <w:t xml:space="preserve"> </w:t>
      </w:r>
      <w:r w:rsidRPr="006A7C3C">
        <w:rPr>
          <w:rFonts w:ascii="Arial" w:hAnsi="Arial" w:cs="Arial"/>
          <w:sz w:val="20"/>
        </w:rPr>
        <w:t>its</w:t>
      </w:r>
      <w:r w:rsidRPr="006A7C3C">
        <w:rPr>
          <w:rFonts w:ascii="Arial" w:hAnsi="Arial" w:cs="Arial"/>
          <w:spacing w:val="10"/>
          <w:sz w:val="20"/>
        </w:rPr>
        <w:t xml:space="preserve"> </w:t>
      </w:r>
      <w:r w:rsidRPr="006A7C3C">
        <w:rPr>
          <w:rFonts w:ascii="Arial" w:hAnsi="Arial" w:cs="Arial"/>
          <w:sz w:val="20"/>
        </w:rPr>
        <w:t>function</w:t>
      </w:r>
      <w:r w:rsidRPr="006A7C3C">
        <w:rPr>
          <w:rFonts w:ascii="Arial" w:hAnsi="Arial" w:cs="Arial"/>
          <w:spacing w:val="5"/>
          <w:sz w:val="20"/>
        </w:rPr>
        <w:t xml:space="preserve"> </w:t>
      </w:r>
      <w:r w:rsidRPr="006A7C3C">
        <w:rPr>
          <w:rFonts w:ascii="Arial" w:hAnsi="Arial" w:cs="Arial"/>
          <w:sz w:val="20"/>
        </w:rPr>
        <w:t>or</w:t>
      </w:r>
      <w:r w:rsidRPr="006A7C3C">
        <w:rPr>
          <w:rFonts w:ascii="Arial" w:hAnsi="Arial" w:cs="Arial"/>
          <w:spacing w:val="6"/>
          <w:sz w:val="20"/>
        </w:rPr>
        <w:t xml:space="preserve"> </w:t>
      </w:r>
      <w:r w:rsidRPr="006A7C3C">
        <w:rPr>
          <w:rFonts w:ascii="Arial" w:hAnsi="Arial" w:cs="Arial"/>
          <w:sz w:val="20"/>
        </w:rPr>
        <w:t>operating</w:t>
      </w:r>
      <w:r w:rsidRPr="006A7C3C">
        <w:rPr>
          <w:rFonts w:ascii="Arial" w:hAnsi="Arial" w:cs="Arial"/>
          <w:spacing w:val="9"/>
          <w:sz w:val="20"/>
        </w:rPr>
        <w:t xml:space="preserve"> </w:t>
      </w:r>
      <w:r w:rsidRPr="006A7C3C">
        <w:rPr>
          <w:rFonts w:ascii="Arial" w:hAnsi="Arial" w:cs="Arial"/>
          <w:sz w:val="20"/>
        </w:rPr>
        <w:t>limitations,</w:t>
      </w:r>
      <w:r w:rsidRPr="006A7C3C">
        <w:rPr>
          <w:rFonts w:ascii="Arial" w:hAnsi="Arial" w:cs="Arial"/>
          <w:spacing w:val="6"/>
          <w:sz w:val="20"/>
        </w:rPr>
        <w:t xml:space="preserve"> </w:t>
      </w:r>
      <w:r w:rsidRPr="006A7C3C">
        <w:rPr>
          <w:rFonts w:ascii="Arial" w:hAnsi="Arial" w:cs="Arial"/>
          <w:sz w:val="20"/>
        </w:rPr>
        <w:t>or</w:t>
      </w:r>
      <w:r w:rsidRPr="006A7C3C">
        <w:rPr>
          <w:rFonts w:ascii="Arial" w:hAnsi="Arial" w:cs="Arial"/>
          <w:spacing w:val="9"/>
          <w:sz w:val="20"/>
        </w:rPr>
        <w:t xml:space="preserve"> </w:t>
      </w:r>
      <w:r w:rsidRPr="006A7C3C">
        <w:rPr>
          <w:rFonts w:ascii="Arial" w:hAnsi="Arial" w:cs="Arial"/>
          <w:sz w:val="20"/>
        </w:rPr>
        <w:t>any</w:t>
      </w:r>
      <w:r w:rsidRPr="006A7C3C">
        <w:rPr>
          <w:rFonts w:ascii="Arial" w:hAnsi="Arial" w:cs="Arial"/>
          <w:spacing w:val="8"/>
          <w:sz w:val="20"/>
        </w:rPr>
        <w:t xml:space="preserve"> </w:t>
      </w:r>
      <w:r w:rsidRPr="006A7C3C">
        <w:rPr>
          <w:rFonts w:ascii="Arial" w:hAnsi="Arial" w:cs="Arial"/>
          <w:sz w:val="20"/>
        </w:rPr>
        <w:t>applicable</w:t>
      </w:r>
      <w:r w:rsidRPr="006A7C3C">
        <w:rPr>
          <w:rFonts w:ascii="Arial" w:hAnsi="Arial" w:cs="Arial"/>
          <w:spacing w:val="-47"/>
          <w:sz w:val="20"/>
        </w:rPr>
        <w:t xml:space="preserve"> </w:t>
      </w:r>
      <w:r w:rsidRPr="006A7C3C">
        <w:rPr>
          <w:rFonts w:ascii="Arial" w:hAnsi="Arial" w:cs="Arial"/>
          <w:sz w:val="20"/>
        </w:rPr>
        <w:t>combination</w:t>
      </w:r>
      <w:r w:rsidRPr="006A7C3C">
        <w:rPr>
          <w:rFonts w:ascii="Arial" w:hAnsi="Arial" w:cs="Arial"/>
          <w:spacing w:val="-3"/>
          <w:sz w:val="20"/>
        </w:rPr>
        <w:t xml:space="preserve"> </w:t>
      </w:r>
      <w:r w:rsidRPr="006A7C3C">
        <w:rPr>
          <w:rFonts w:ascii="Arial" w:hAnsi="Arial" w:cs="Arial"/>
          <w:sz w:val="20"/>
        </w:rPr>
        <w:t>of</w:t>
      </w:r>
      <w:r w:rsidRPr="006A7C3C">
        <w:rPr>
          <w:rFonts w:ascii="Arial" w:hAnsi="Arial" w:cs="Arial"/>
          <w:spacing w:val="-2"/>
          <w:sz w:val="20"/>
        </w:rPr>
        <w:t xml:space="preserve"> </w:t>
      </w:r>
      <w:r w:rsidRPr="006A7C3C">
        <w:rPr>
          <w:rFonts w:ascii="Arial" w:hAnsi="Arial" w:cs="Arial"/>
          <w:sz w:val="20"/>
        </w:rPr>
        <w:t>these</w:t>
      </w:r>
      <w:r w:rsidRPr="006A7C3C">
        <w:rPr>
          <w:rFonts w:ascii="Arial" w:hAnsi="Arial" w:cs="Arial"/>
          <w:spacing w:val="-2"/>
          <w:sz w:val="20"/>
        </w:rPr>
        <w:t xml:space="preserve"> </w:t>
      </w:r>
      <w:r w:rsidRPr="006A7C3C">
        <w:rPr>
          <w:rFonts w:ascii="Arial" w:hAnsi="Arial" w:cs="Arial"/>
          <w:sz w:val="20"/>
        </w:rPr>
        <w:t>factors;</w:t>
      </w:r>
    </w:p>
    <w:p w14:paraId="3CF4A43D" w14:textId="77777777" w:rsidR="006A7C3C" w:rsidRPr="006A7C3C" w:rsidRDefault="006A7C3C" w:rsidP="00AB16A5">
      <w:pPr>
        <w:numPr>
          <w:ilvl w:val="1"/>
          <w:numId w:val="363"/>
        </w:numPr>
        <w:tabs>
          <w:tab w:val="left" w:pos="1274"/>
        </w:tabs>
        <w:spacing w:before="120"/>
        <w:ind w:hanging="568"/>
        <w:jc w:val="both"/>
        <w:rPr>
          <w:rFonts w:ascii="Arial" w:hAnsi="Arial" w:cs="Arial"/>
          <w:sz w:val="20"/>
        </w:rPr>
      </w:pPr>
      <w:r w:rsidRPr="006A7C3C">
        <w:rPr>
          <w:rFonts w:ascii="Arial" w:hAnsi="Arial" w:cs="Arial"/>
          <w:sz w:val="20"/>
        </w:rPr>
        <w:t>be installed</w:t>
      </w:r>
      <w:r w:rsidRPr="006A7C3C">
        <w:rPr>
          <w:rFonts w:ascii="Arial" w:hAnsi="Arial" w:cs="Arial"/>
          <w:spacing w:val="-2"/>
          <w:sz w:val="20"/>
        </w:rPr>
        <w:t xml:space="preserve"> </w:t>
      </w:r>
      <w:r w:rsidRPr="006A7C3C">
        <w:rPr>
          <w:rFonts w:ascii="Arial" w:hAnsi="Arial" w:cs="Arial"/>
          <w:sz w:val="20"/>
        </w:rPr>
        <w:t>according</w:t>
      </w:r>
      <w:r w:rsidRPr="006A7C3C">
        <w:rPr>
          <w:rFonts w:ascii="Arial" w:hAnsi="Arial" w:cs="Arial"/>
          <w:spacing w:val="-4"/>
          <w:sz w:val="20"/>
        </w:rPr>
        <w:t xml:space="preserve"> </w:t>
      </w:r>
      <w:r w:rsidRPr="006A7C3C">
        <w:rPr>
          <w:rFonts w:ascii="Arial" w:hAnsi="Arial" w:cs="Arial"/>
          <w:sz w:val="20"/>
        </w:rPr>
        <w:t>to limitations specified</w:t>
      </w:r>
      <w:r w:rsidRPr="006A7C3C">
        <w:rPr>
          <w:rFonts w:ascii="Arial" w:hAnsi="Arial" w:cs="Arial"/>
          <w:spacing w:val="-1"/>
          <w:sz w:val="20"/>
        </w:rPr>
        <w:t xml:space="preserve"> </w:t>
      </w:r>
      <w:r w:rsidRPr="006A7C3C">
        <w:rPr>
          <w:rFonts w:ascii="Arial" w:hAnsi="Arial" w:cs="Arial"/>
          <w:sz w:val="20"/>
        </w:rPr>
        <w:t>for</w:t>
      </w:r>
      <w:r w:rsidRPr="006A7C3C">
        <w:rPr>
          <w:rFonts w:ascii="Arial" w:hAnsi="Arial" w:cs="Arial"/>
          <w:spacing w:val="-3"/>
          <w:sz w:val="20"/>
        </w:rPr>
        <w:t xml:space="preserve"> </w:t>
      </w:r>
      <w:r w:rsidRPr="006A7C3C">
        <w:rPr>
          <w:rFonts w:ascii="Arial" w:hAnsi="Arial" w:cs="Arial"/>
          <w:sz w:val="20"/>
        </w:rPr>
        <w:t>that</w:t>
      </w:r>
      <w:r w:rsidRPr="006A7C3C">
        <w:rPr>
          <w:rFonts w:ascii="Arial" w:hAnsi="Arial" w:cs="Arial"/>
          <w:spacing w:val="-4"/>
          <w:sz w:val="20"/>
        </w:rPr>
        <w:t xml:space="preserve"> </w:t>
      </w:r>
      <w:r w:rsidRPr="006A7C3C">
        <w:rPr>
          <w:rFonts w:ascii="Arial" w:hAnsi="Arial" w:cs="Arial"/>
          <w:sz w:val="20"/>
        </w:rPr>
        <w:t>equipment; and</w:t>
      </w:r>
    </w:p>
    <w:p w14:paraId="104D7A53" w14:textId="77777777" w:rsidR="006A7C3C" w:rsidRPr="006A7C3C" w:rsidRDefault="006A7C3C" w:rsidP="00AB16A5">
      <w:pPr>
        <w:numPr>
          <w:ilvl w:val="1"/>
          <w:numId w:val="363"/>
        </w:numPr>
        <w:tabs>
          <w:tab w:val="left" w:pos="1274"/>
        </w:tabs>
        <w:spacing w:before="121"/>
        <w:ind w:hanging="568"/>
        <w:jc w:val="both"/>
        <w:rPr>
          <w:rFonts w:ascii="Arial" w:hAnsi="Arial" w:cs="Arial"/>
          <w:sz w:val="20"/>
        </w:rPr>
      </w:pPr>
      <w:r w:rsidRPr="006A7C3C">
        <w:rPr>
          <w:rFonts w:ascii="Arial" w:hAnsi="Arial" w:cs="Arial"/>
          <w:sz w:val="20"/>
        </w:rPr>
        <w:t>function</w:t>
      </w:r>
      <w:r w:rsidRPr="006A7C3C">
        <w:rPr>
          <w:rFonts w:ascii="Arial" w:hAnsi="Arial" w:cs="Arial"/>
          <w:spacing w:val="-2"/>
          <w:sz w:val="20"/>
        </w:rPr>
        <w:t xml:space="preserve"> </w:t>
      </w:r>
      <w:r w:rsidRPr="006A7C3C">
        <w:rPr>
          <w:rFonts w:ascii="Arial" w:hAnsi="Arial" w:cs="Arial"/>
          <w:sz w:val="20"/>
        </w:rPr>
        <w:t>properly</w:t>
      </w:r>
      <w:r w:rsidRPr="006A7C3C">
        <w:rPr>
          <w:rFonts w:ascii="Arial" w:hAnsi="Arial" w:cs="Arial"/>
          <w:spacing w:val="-2"/>
          <w:sz w:val="20"/>
        </w:rPr>
        <w:t xml:space="preserve"> </w:t>
      </w:r>
      <w:r w:rsidRPr="006A7C3C">
        <w:rPr>
          <w:rFonts w:ascii="Arial" w:hAnsi="Arial" w:cs="Arial"/>
          <w:sz w:val="20"/>
        </w:rPr>
        <w:t>when installed.</w:t>
      </w:r>
    </w:p>
    <w:p w14:paraId="075A848B" w14:textId="77777777" w:rsidR="00F40863" w:rsidRPr="00956BB8" w:rsidRDefault="006A7C3C" w:rsidP="00AB16A5">
      <w:pPr>
        <w:numPr>
          <w:ilvl w:val="0"/>
          <w:numId w:val="363"/>
        </w:numPr>
        <w:tabs>
          <w:tab w:val="left" w:pos="707"/>
        </w:tabs>
        <w:spacing w:before="121"/>
        <w:ind w:right="199"/>
        <w:jc w:val="both"/>
        <w:rPr>
          <w:rFonts w:ascii="Arial" w:hAnsi="Arial" w:cs="Arial"/>
          <w:sz w:val="20"/>
        </w:rPr>
      </w:pPr>
      <w:r w:rsidRPr="006A7C3C">
        <w:rPr>
          <w:rFonts w:ascii="Arial" w:hAnsi="Arial" w:cs="Arial"/>
          <w:sz w:val="20"/>
        </w:rPr>
        <w:t>Instruments</w:t>
      </w:r>
      <w:r w:rsidRPr="006A7C3C">
        <w:rPr>
          <w:rFonts w:ascii="Arial" w:hAnsi="Arial" w:cs="Arial"/>
          <w:spacing w:val="4"/>
          <w:sz w:val="20"/>
        </w:rPr>
        <w:t xml:space="preserve"> </w:t>
      </w:r>
      <w:r w:rsidRPr="006A7C3C">
        <w:rPr>
          <w:rFonts w:ascii="Arial" w:hAnsi="Arial" w:cs="Arial"/>
          <w:sz w:val="20"/>
        </w:rPr>
        <w:t>and</w:t>
      </w:r>
      <w:r w:rsidRPr="006A7C3C">
        <w:rPr>
          <w:rFonts w:ascii="Arial" w:hAnsi="Arial" w:cs="Arial"/>
          <w:spacing w:val="5"/>
          <w:sz w:val="20"/>
        </w:rPr>
        <w:t xml:space="preserve"> </w:t>
      </w:r>
      <w:r w:rsidRPr="006A7C3C">
        <w:rPr>
          <w:rFonts w:ascii="Arial" w:hAnsi="Arial" w:cs="Arial"/>
          <w:sz w:val="20"/>
        </w:rPr>
        <w:t>other</w:t>
      </w:r>
      <w:r w:rsidRPr="006A7C3C">
        <w:rPr>
          <w:rFonts w:ascii="Arial" w:hAnsi="Arial" w:cs="Arial"/>
          <w:spacing w:val="8"/>
          <w:sz w:val="20"/>
        </w:rPr>
        <w:t xml:space="preserve"> </w:t>
      </w:r>
      <w:r w:rsidRPr="006A7C3C">
        <w:rPr>
          <w:rFonts w:ascii="Arial" w:hAnsi="Arial" w:cs="Arial"/>
          <w:sz w:val="20"/>
        </w:rPr>
        <w:t>equipment</w:t>
      </w:r>
      <w:r w:rsidRPr="006A7C3C">
        <w:rPr>
          <w:rFonts w:ascii="Arial" w:hAnsi="Arial" w:cs="Arial"/>
          <w:spacing w:val="4"/>
          <w:sz w:val="20"/>
        </w:rPr>
        <w:t xml:space="preserve"> </w:t>
      </w:r>
      <w:r w:rsidRPr="006A7C3C">
        <w:rPr>
          <w:rFonts w:ascii="Arial" w:hAnsi="Arial" w:cs="Arial"/>
          <w:sz w:val="20"/>
        </w:rPr>
        <w:t>may</w:t>
      </w:r>
      <w:r w:rsidRPr="006A7C3C">
        <w:rPr>
          <w:rFonts w:ascii="Arial" w:hAnsi="Arial" w:cs="Arial"/>
          <w:spacing w:val="8"/>
          <w:sz w:val="20"/>
        </w:rPr>
        <w:t xml:space="preserve"> </w:t>
      </w:r>
      <w:r w:rsidRPr="006A7C3C">
        <w:rPr>
          <w:rFonts w:ascii="Arial" w:hAnsi="Arial" w:cs="Arial"/>
          <w:sz w:val="20"/>
        </w:rPr>
        <w:t>not</w:t>
      </w:r>
      <w:r w:rsidRPr="006A7C3C">
        <w:rPr>
          <w:rFonts w:ascii="Arial" w:hAnsi="Arial" w:cs="Arial"/>
          <w:spacing w:val="7"/>
          <w:sz w:val="20"/>
        </w:rPr>
        <w:t xml:space="preserve"> </w:t>
      </w:r>
      <w:r w:rsidRPr="006A7C3C">
        <w:rPr>
          <w:rFonts w:ascii="Arial" w:hAnsi="Arial" w:cs="Arial"/>
          <w:sz w:val="20"/>
        </w:rPr>
        <w:t>in</w:t>
      </w:r>
      <w:r w:rsidRPr="006A7C3C">
        <w:rPr>
          <w:rFonts w:ascii="Arial" w:hAnsi="Arial" w:cs="Arial"/>
          <w:spacing w:val="4"/>
          <w:sz w:val="20"/>
        </w:rPr>
        <w:t xml:space="preserve"> </w:t>
      </w:r>
      <w:r w:rsidRPr="006A7C3C">
        <w:rPr>
          <w:rFonts w:ascii="Arial" w:hAnsi="Arial" w:cs="Arial"/>
          <w:sz w:val="20"/>
        </w:rPr>
        <w:t>themselves,</w:t>
      </w:r>
      <w:r w:rsidRPr="006A7C3C">
        <w:rPr>
          <w:rFonts w:ascii="Arial" w:hAnsi="Arial" w:cs="Arial"/>
          <w:spacing w:val="4"/>
          <w:sz w:val="20"/>
        </w:rPr>
        <w:t xml:space="preserve"> </w:t>
      </w:r>
      <w:r w:rsidRPr="006A7C3C">
        <w:rPr>
          <w:rFonts w:ascii="Arial" w:hAnsi="Arial" w:cs="Arial"/>
          <w:sz w:val="20"/>
        </w:rPr>
        <w:t>or</w:t>
      </w:r>
      <w:r w:rsidRPr="006A7C3C">
        <w:rPr>
          <w:rFonts w:ascii="Arial" w:hAnsi="Arial" w:cs="Arial"/>
          <w:spacing w:val="7"/>
          <w:sz w:val="20"/>
        </w:rPr>
        <w:t xml:space="preserve"> </w:t>
      </w:r>
      <w:r w:rsidRPr="006A7C3C">
        <w:rPr>
          <w:rFonts w:ascii="Arial" w:hAnsi="Arial" w:cs="Arial"/>
          <w:sz w:val="20"/>
        </w:rPr>
        <w:t>by</w:t>
      </w:r>
      <w:r w:rsidRPr="006A7C3C">
        <w:rPr>
          <w:rFonts w:ascii="Arial" w:hAnsi="Arial" w:cs="Arial"/>
          <w:spacing w:val="4"/>
          <w:sz w:val="20"/>
        </w:rPr>
        <w:t xml:space="preserve"> </w:t>
      </w:r>
      <w:r w:rsidRPr="006A7C3C">
        <w:rPr>
          <w:rFonts w:ascii="Arial" w:hAnsi="Arial" w:cs="Arial"/>
          <w:sz w:val="20"/>
        </w:rPr>
        <w:t>their</w:t>
      </w:r>
      <w:r w:rsidRPr="006A7C3C">
        <w:rPr>
          <w:rFonts w:ascii="Arial" w:hAnsi="Arial" w:cs="Arial"/>
          <w:spacing w:val="6"/>
          <w:sz w:val="20"/>
        </w:rPr>
        <w:t xml:space="preserve"> </w:t>
      </w:r>
      <w:r w:rsidRPr="006A7C3C">
        <w:rPr>
          <w:rFonts w:ascii="Arial" w:hAnsi="Arial" w:cs="Arial"/>
          <w:sz w:val="20"/>
        </w:rPr>
        <w:t>effect</w:t>
      </w:r>
      <w:r w:rsidRPr="006A7C3C">
        <w:rPr>
          <w:rFonts w:ascii="Arial" w:hAnsi="Arial" w:cs="Arial"/>
          <w:spacing w:val="8"/>
          <w:sz w:val="20"/>
        </w:rPr>
        <w:t xml:space="preserve"> </w:t>
      </w:r>
      <w:r w:rsidRPr="006A7C3C">
        <w:rPr>
          <w:rFonts w:ascii="Arial" w:hAnsi="Arial" w:cs="Arial"/>
          <w:sz w:val="20"/>
        </w:rPr>
        <w:t>upon</w:t>
      </w:r>
      <w:r w:rsidRPr="006A7C3C">
        <w:rPr>
          <w:rFonts w:ascii="Arial" w:hAnsi="Arial" w:cs="Arial"/>
          <w:spacing w:val="3"/>
          <w:sz w:val="20"/>
        </w:rPr>
        <w:t xml:space="preserve"> </w:t>
      </w:r>
      <w:r w:rsidRPr="006A7C3C">
        <w:rPr>
          <w:rFonts w:ascii="Arial" w:hAnsi="Arial" w:cs="Arial"/>
          <w:sz w:val="20"/>
        </w:rPr>
        <w:t>the</w:t>
      </w:r>
      <w:r w:rsidRPr="006A7C3C">
        <w:rPr>
          <w:rFonts w:ascii="Arial" w:hAnsi="Arial" w:cs="Arial"/>
          <w:spacing w:val="7"/>
          <w:sz w:val="20"/>
        </w:rPr>
        <w:t xml:space="preserve"> </w:t>
      </w:r>
      <w:r w:rsidRPr="006A7C3C">
        <w:rPr>
          <w:rFonts w:ascii="Arial" w:hAnsi="Arial" w:cs="Arial"/>
          <w:sz w:val="20"/>
        </w:rPr>
        <w:t>balloon,</w:t>
      </w:r>
      <w:r w:rsidRPr="006A7C3C">
        <w:rPr>
          <w:rFonts w:ascii="Arial" w:hAnsi="Arial" w:cs="Arial"/>
          <w:spacing w:val="-47"/>
          <w:sz w:val="20"/>
        </w:rPr>
        <w:t xml:space="preserve"> </w:t>
      </w:r>
      <w:r w:rsidRPr="006A7C3C">
        <w:rPr>
          <w:rFonts w:ascii="Arial" w:hAnsi="Arial" w:cs="Arial"/>
          <w:sz w:val="20"/>
        </w:rPr>
        <w:t>constitute</w:t>
      </w:r>
      <w:r w:rsidRPr="006A7C3C">
        <w:rPr>
          <w:rFonts w:ascii="Arial" w:hAnsi="Arial" w:cs="Arial"/>
          <w:spacing w:val="-1"/>
          <w:sz w:val="20"/>
        </w:rPr>
        <w:t xml:space="preserve"> </w:t>
      </w:r>
      <w:r w:rsidRPr="006A7C3C">
        <w:rPr>
          <w:rFonts w:ascii="Arial" w:hAnsi="Arial" w:cs="Arial"/>
          <w:sz w:val="20"/>
        </w:rPr>
        <w:t>a</w:t>
      </w:r>
      <w:r w:rsidRPr="006A7C3C">
        <w:rPr>
          <w:rFonts w:ascii="Arial" w:hAnsi="Arial" w:cs="Arial"/>
          <w:spacing w:val="-2"/>
          <w:sz w:val="20"/>
        </w:rPr>
        <w:t xml:space="preserve"> </w:t>
      </w:r>
      <w:r w:rsidRPr="006A7C3C">
        <w:rPr>
          <w:rFonts w:ascii="Arial" w:hAnsi="Arial" w:cs="Arial"/>
          <w:sz w:val="20"/>
        </w:rPr>
        <w:t>hazard</w:t>
      </w:r>
      <w:r w:rsidRPr="006A7C3C">
        <w:rPr>
          <w:rFonts w:ascii="Arial" w:hAnsi="Arial" w:cs="Arial"/>
          <w:spacing w:val="-1"/>
          <w:sz w:val="20"/>
        </w:rPr>
        <w:t xml:space="preserve"> </w:t>
      </w:r>
      <w:r w:rsidRPr="006A7C3C">
        <w:rPr>
          <w:rFonts w:ascii="Arial" w:hAnsi="Arial" w:cs="Arial"/>
          <w:sz w:val="20"/>
        </w:rPr>
        <w:t>to</w:t>
      </w:r>
      <w:r w:rsidRPr="006A7C3C">
        <w:rPr>
          <w:rFonts w:ascii="Arial" w:hAnsi="Arial" w:cs="Arial"/>
          <w:spacing w:val="-2"/>
          <w:sz w:val="20"/>
        </w:rPr>
        <w:t xml:space="preserve"> </w:t>
      </w:r>
      <w:r w:rsidRPr="006A7C3C">
        <w:rPr>
          <w:rFonts w:ascii="Arial" w:hAnsi="Arial" w:cs="Arial"/>
          <w:sz w:val="20"/>
        </w:rPr>
        <w:t>safe</w:t>
      </w:r>
      <w:r w:rsidRPr="006A7C3C">
        <w:rPr>
          <w:rFonts w:ascii="Arial" w:hAnsi="Arial" w:cs="Arial"/>
          <w:spacing w:val="-4"/>
          <w:sz w:val="20"/>
        </w:rPr>
        <w:t xml:space="preserve"> </w:t>
      </w:r>
      <w:r w:rsidRPr="006A7C3C">
        <w:rPr>
          <w:rFonts w:ascii="Arial" w:hAnsi="Arial" w:cs="Arial"/>
          <w:sz w:val="20"/>
        </w:rPr>
        <w:t>operation.</w:t>
      </w:r>
      <w:r w:rsidRPr="006A7C3C">
        <w:rPr>
          <w:rFonts w:ascii="Arial" w:hAnsi="Arial" w:cs="Arial"/>
          <w:spacing w:val="-2"/>
          <w:sz w:val="20"/>
        </w:rPr>
        <w:t xml:space="preserve"> </w:t>
      </w:r>
      <w:r w:rsidRPr="006A7C3C">
        <w:rPr>
          <w:rFonts w:ascii="Arial" w:hAnsi="Arial" w:cs="Arial"/>
          <w:sz w:val="20"/>
        </w:rPr>
        <w:t>(See</w:t>
      </w:r>
      <w:r w:rsidRPr="006A7C3C">
        <w:rPr>
          <w:rFonts w:ascii="Arial" w:hAnsi="Arial" w:cs="Arial"/>
          <w:spacing w:val="1"/>
          <w:sz w:val="20"/>
        </w:rPr>
        <w:t xml:space="preserve"> </w:t>
      </w:r>
      <w:r w:rsidRPr="006A7C3C">
        <w:rPr>
          <w:rFonts w:ascii="Arial" w:hAnsi="Arial" w:cs="Arial"/>
          <w:sz w:val="20"/>
        </w:rPr>
        <w:t>also</w:t>
      </w:r>
      <w:r w:rsidRPr="006A7C3C">
        <w:rPr>
          <w:rFonts w:ascii="Arial" w:hAnsi="Arial" w:cs="Arial"/>
          <w:color w:val="0000FF"/>
          <w:spacing w:val="3"/>
          <w:sz w:val="20"/>
        </w:rPr>
        <w:t xml:space="preserve"> </w:t>
      </w:r>
      <w:r w:rsidRPr="006A7C3C">
        <w:rPr>
          <w:rFonts w:ascii="Arial" w:hAnsi="Arial" w:cs="Arial"/>
          <w:sz w:val="20"/>
        </w:rPr>
        <w:t>CS 31GB.27(e))</w:t>
      </w:r>
    </w:p>
    <w:p w14:paraId="369B796D" w14:textId="77777777" w:rsidR="00F40863" w:rsidRPr="00956BB8" w:rsidRDefault="00956BB8" w:rsidP="00956BB8">
      <w:pPr>
        <w:keepNext/>
        <w:keepLines/>
        <w:widowControl/>
        <w:shd w:val="clear" w:color="auto" w:fill="ED7D31"/>
        <w:autoSpaceDE/>
        <w:autoSpaceDN/>
        <w:spacing w:before="160" w:after="120" w:line="276" w:lineRule="auto"/>
        <w:outlineLvl w:val="4"/>
        <w:rPr>
          <w:rFonts w:ascii="Arial" w:eastAsia="Times New Roman" w:hAnsi="Arial" w:cs="Times New Roman"/>
          <w:b/>
          <w:color w:val="FFFFFF"/>
          <w:sz w:val="24"/>
        </w:rPr>
      </w:pPr>
      <w:bookmarkStart w:id="1166" w:name="AMC_31GB.71(a)(4)_Function_and_installat"/>
      <w:bookmarkStart w:id="1167" w:name="_bookmark489"/>
      <w:bookmarkStart w:id="1168" w:name="_Toc153137653"/>
      <w:bookmarkEnd w:id="1166"/>
      <w:bookmarkEnd w:id="1167"/>
      <w:r w:rsidRPr="00956BB8">
        <w:rPr>
          <w:rFonts w:ascii="Arial" w:eastAsia="Times New Roman" w:hAnsi="Arial" w:cs="Times New Roman"/>
          <w:b/>
          <w:color w:val="FFFFFF"/>
          <w:sz w:val="24"/>
        </w:rPr>
        <w:t>AMC 31GB.71(a)(4) Function and installation</w:t>
      </w:r>
      <w:bookmarkEnd w:id="1168"/>
    </w:p>
    <w:p w14:paraId="058E1588" w14:textId="77777777" w:rsidR="00956BB8" w:rsidRPr="00956BB8" w:rsidRDefault="00956BB8" w:rsidP="0010139D">
      <w:pPr>
        <w:spacing w:before="117" w:line="276" w:lineRule="auto"/>
        <w:ind w:right="26"/>
        <w:jc w:val="both"/>
        <w:rPr>
          <w:rFonts w:ascii="Arial" w:hAnsi="Arial" w:cs="Arial"/>
          <w:sz w:val="20"/>
        </w:rPr>
      </w:pPr>
      <w:r w:rsidRPr="00956BB8">
        <w:rPr>
          <w:rFonts w:ascii="Arial" w:hAnsi="Arial" w:cs="Arial"/>
          <w:spacing w:val="-1"/>
          <w:sz w:val="20"/>
        </w:rPr>
        <w:t>The</w:t>
      </w:r>
      <w:r w:rsidRPr="00956BB8">
        <w:rPr>
          <w:rFonts w:ascii="Arial" w:hAnsi="Arial" w:cs="Arial"/>
          <w:spacing w:val="-9"/>
          <w:sz w:val="20"/>
        </w:rPr>
        <w:t xml:space="preserve"> </w:t>
      </w:r>
      <w:r w:rsidRPr="00956BB8">
        <w:rPr>
          <w:rFonts w:ascii="Arial" w:hAnsi="Arial" w:cs="Arial"/>
          <w:sz w:val="20"/>
        </w:rPr>
        <w:t>correct</w:t>
      </w:r>
      <w:r w:rsidRPr="00956BB8">
        <w:rPr>
          <w:rFonts w:ascii="Arial" w:hAnsi="Arial" w:cs="Arial"/>
          <w:spacing w:val="-9"/>
          <w:sz w:val="20"/>
        </w:rPr>
        <w:t xml:space="preserve"> </w:t>
      </w:r>
      <w:r w:rsidRPr="00956BB8">
        <w:rPr>
          <w:rFonts w:ascii="Arial" w:hAnsi="Arial" w:cs="Arial"/>
          <w:sz w:val="20"/>
        </w:rPr>
        <w:t>functioning</w:t>
      </w:r>
      <w:r w:rsidRPr="00956BB8">
        <w:rPr>
          <w:rFonts w:ascii="Arial" w:hAnsi="Arial" w:cs="Arial"/>
          <w:spacing w:val="-10"/>
          <w:sz w:val="20"/>
        </w:rPr>
        <w:t xml:space="preserve"> </w:t>
      </w:r>
      <w:r w:rsidRPr="00956BB8">
        <w:rPr>
          <w:rFonts w:ascii="Arial" w:hAnsi="Arial" w:cs="Arial"/>
          <w:sz w:val="20"/>
        </w:rPr>
        <w:t>should</w:t>
      </w:r>
      <w:r w:rsidRPr="00956BB8">
        <w:rPr>
          <w:rFonts w:ascii="Arial" w:hAnsi="Arial" w:cs="Arial"/>
          <w:spacing w:val="-9"/>
          <w:sz w:val="20"/>
        </w:rPr>
        <w:t xml:space="preserve"> </w:t>
      </w:r>
      <w:r w:rsidRPr="00956BB8">
        <w:rPr>
          <w:rFonts w:ascii="Arial" w:hAnsi="Arial" w:cs="Arial"/>
          <w:sz w:val="20"/>
        </w:rPr>
        <w:t>not</w:t>
      </w:r>
      <w:r w:rsidRPr="00956BB8">
        <w:rPr>
          <w:rFonts w:ascii="Arial" w:hAnsi="Arial" w:cs="Arial"/>
          <w:spacing w:val="-10"/>
          <w:sz w:val="20"/>
        </w:rPr>
        <w:t xml:space="preserve"> </w:t>
      </w:r>
      <w:r w:rsidRPr="00956BB8">
        <w:rPr>
          <w:rFonts w:ascii="Arial" w:hAnsi="Arial" w:cs="Arial"/>
          <w:sz w:val="20"/>
        </w:rPr>
        <w:t>be</w:t>
      </w:r>
      <w:r w:rsidRPr="00956BB8">
        <w:rPr>
          <w:rFonts w:ascii="Arial" w:hAnsi="Arial" w:cs="Arial"/>
          <w:spacing w:val="-11"/>
          <w:sz w:val="20"/>
        </w:rPr>
        <w:t xml:space="preserve"> </w:t>
      </w:r>
      <w:r w:rsidRPr="00956BB8">
        <w:rPr>
          <w:rFonts w:ascii="Arial" w:hAnsi="Arial" w:cs="Arial"/>
          <w:sz w:val="20"/>
        </w:rPr>
        <w:t>impaired</w:t>
      </w:r>
      <w:r w:rsidRPr="00956BB8">
        <w:rPr>
          <w:rFonts w:ascii="Arial" w:hAnsi="Arial" w:cs="Arial"/>
          <w:spacing w:val="-8"/>
          <w:sz w:val="20"/>
        </w:rPr>
        <w:t xml:space="preserve"> </w:t>
      </w:r>
      <w:r w:rsidRPr="00956BB8">
        <w:rPr>
          <w:rFonts w:ascii="Arial" w:hAnsi="Arial" w:cs="Arial"/>
          <w:sz w:val="20"/>
        </w:rPr>
        <w:t>by</w:t>
      </w:r>
      <w:r w:rsidRPr="00956BB8">
        <w:rPr>
          <w:rFonts w:ascii="Arial" w:hAnsi="Arial" w:cs="Arial"/>
          <w:spacing w:val="-12"/>
          <w:sz w:val="20"/>
        </w:rPr>
        <w:t xml:space="preserve"> </w:t>
      </w:r>
      <w:r w:rsidRPr="00956BB8">
        <w:rPr>
          <w:rFonts w:ascii="Arial" w:hAnsi="Arial" w:cs="Arial"/>
          <w:sz w:val="20"/>
        </w:rPr>
        <w:t>operational</w:t>
      </w:r>
      <w:r w:rsidRPr="00956BB8">
        <w:rPr>
          <w:rFonts w:ascii="Arial" w:hAnsi="Arial" w:cs="Arial"/>
          <w:spacing w:val="-12"/>
          <w:sz w:val="20"/>
        </w:rPr>
        <w:t xml:space="preserve"> </w:t>
      </w:r>
      <w:r w:rsidRPr="00956BB8">
        <w:rPr>
          <w:rFonts w:ascii="Arial" w:hAnsi="Arial" w:cs="Arial"/>
          <w:sz w:val="20"/>
        </w:rPr>
        <w:t>circumstances</w:t>
      </w:r>
      <w:r w:rsidRPr="00956BB8">
        <w:rPr>
          <w:rFonts w:ascii="Arial" w:hAnsi="Arial" w:cs="Arial"/>
          <w:spacing w:val="-10"/>
          <w:sz w:val="20"/>
        </w:rPr>
        <w:t xml:space="preserve"> </w:t>
      </w:r>
      <w:r w:rsidRPr="00956BB8">
        <w:rPr>
          <w:rFonts w:ascii="Arial" w:hAnsi="Arial" w:cs="Arial"/>
          <w:sz w:val="20"/>
        </w:rPr>
        <w:t>such</w:t>
      </w:r>
      <w:r w:rsidRPr="00956BB8">
        <w:rPr>
          <w:rFonts w:ascii="Arial" w:hAnsi="Arial" w:cs="Arial"/>
          <w:spacing w:val="-12"/>
          <w:sz w:val="20"/>
        </w:rPr>
        <w:t xml:space="preserve"> </w:t>
      </w:r>
      <w:r w:rsidRPr="00956BB8">
        <w:rPr>
          <w:rFonts w:ascii="Arial" w:hAnsi="Arial" w:cs="Arial"/>
          <w:sz w:val="20"/>
        </w:rPr>
        <w:t>as</w:t>
      </w:r>
      <w:r w:rsidRPr="00956BB8">
        <w:rPr>
          <w:rFonts w:ascii="Arial" w:hAnsi="Arial" w:cs="Arial"/>
          <w:spacing w:val="-9"/>
          <w:sz w:val="20"/>
        </w:rPr>
        <w:t xml:space="preserve"> </w:t>
      </w:r>
      <w:r w:rsidRPr="00956BB8">
        <w:rPr>
          <w:rFonts w:ascii="Arial" w:hAnsi="Arial" w:cs="Arial"/>
          <w:sz w:val="20"/>
        </w:rPr>
        <w:t>icing,</w:t>
      </w:r>
      <w:r w:rsidRPr="00956BB8">
        <w:rPr>
          <w:rFonts w:ascii="Arial" w:hAnsi="Arial" w:cs="Arial"/>
          <w:spacing w:val="-8"/>
          <w:sz w:val="20"/>
        </w:rPr>
        <w:t xml:space="preserve"> </w:t>
      </w:r>
      <w:r w:rsidRPr="00956BB8">
        <w:rPr>
          <w:rFonts w:ascii="Arial" w:hAnsi="Arial" w:cs="Arial"/>
          <w:sz w:val="20"/>
        </w:rPr>
        <w:t>heavy</w:t>
      </w:r>
      <w:r w:rsidRPr="00956BB8">
        <w:rPr>
          <w:rFonts w:ascii="Arial" w:hAnsi="Arial" w:cs="Arial"/>
          <w:spacing w:val="-9"/>
          <w:sz w:val="20"/>
        </w:rPr>
        <w:t xml:space="preserve"> </w:t>
      </w:r>
      <w:r w:rsidRPr="00956BB8">
        <w:rPr>
          <w:rFonts w:ascii="Arial" w:hAnsi="Arial" w:cs="Arial"/>
          <w:sz w:val="20"/>
        </w:rPr>
        <w:t>rain,</w:t>
      </w:r>
      <w:r w:rsidRPr="00956BB8">
        <w:rPr>
          <w:rFonts w:ascii="Arial" w:hAnsi="Arial" w:cs="Arial"/>
          <w:spacing w:val="-48"/>
          <w:sz w:val="20"/>
        </w:rPr>
        <w:t xml:space="preserve"> </w:t>
      </w:r>
      <w:r w:rsidRPr="00956BB8">
        <w:rPr>
          <w:rFonts w:ascii="Arial" w:hAnsi="Arial" w:cs="Arial"/>
          <w:sz w:val="20"/>
        </w:rPr>
        <w:t>high humidity or low and high temperatures. The equipment, systems, and installations need to be</w:t>
      </w:r>
      <w:r w:rsidRPr="00956BB8">
        <w:rPr>
          <w:rFonts w:ascii="Arial" w:hAnsi="Arial" w:cs="Arial"/>
          <w:spacing w:val="1"/>
          <w:sz w:val="20"/>
        </w:rPr>
        <w:t xml:space="preserve"> </w:t>
      </w:r>
      <w:r w:rsidRPr="00956BB8">
        <w:rPr>
          <w:rFonts w:ascii="Arial" w:hAnsi="Arial" w:cs="Arial"/>
          <w:sz w:val="20"/>
        </w:rPr>
        <w:t>designed to prevent hazards to the balloon in the event of a probable malfunction or failure of that</w:t>
      </w:r>
      <w:r w:rsidRPr="00956BB8">
        <w:rPr>
          <w:rFonts w:ascii="Arial" w:hAnsi="Arial" w:cs="Arial"/>
          <w:spacing w:val="1"/>
          <w:sz w:val="20"/>
        </w:rPr>
        <w:t xml:space="preserve"> </w:t>
      </w:r>
      <w:r w:rsidRPr="00956BB8">
        <w:rPr>
          <w:rFonts w:ascii="Arial" w:hAnsi="Arial" w:cs="Arial"/>
          <w:sz w:val="20"/>
        </w:rPr>
        <w:t>equipment.</w:t>
      </w:r>
    </w:p>
    <w:p w14:paraId="36DCA819" w14:textId="77777777" w:rsidR="00956BB8" w:rsidRPr="00956BB8" w:rsidRDefault="00956BB8" w:rsidP="0010139D">
      <w:pPr>
        <w:spacing w:before="121" w:line="276" w:lineRule="auto"/>
        <w:ind w:right="26"/>
        <w:jc w:val="both"/>
        <w:rPr>
          <w:rFonts w:ascii="Arial" w:hAnsi="Arial" w:cs="Arial"/>
          <w:sz w:val="20"/>
        </w:rPr>
      </w:pPr>
      <w:r w:rsidRPr="00956BB8">
        <w:rPr>
          <w:rFonts w:ascii="Arial" w:hAnsi="Arial" w:cs="Arial"/>
          <w:sz w:val="20"/>
        </w:rPr>
        <w:t>When</w:t>
      </w:r>
      <w:r w:rsidRPr="00956BB8">
        <w:rPr>
          <w:rFonts w:ascii="Arial" w:hAnsi="Arial" w:cs="Arial"/>
          <w:spacing w:val="-6"/>
          <w:sz w:val="20"/>
        </w:rPr>
        <w:t xml:space="preserve"> </w:t>
      </w:r>
      <w:r w:rsidRPr="00956BB8">
        <w:rPr>
          <w:rFonts w:ascii="Arial" w:hAnsi="Arial" w:cs="Arial"/>
          <w:sz w:val="20"/>
        </w:rPr>
        <w:t>ATC</w:t>
      </w:r>
      <w:r w:rsidRPr="00956BB8">
        <w:rPr>
          <w:rFonts w:ascii="Arial" w:hAnsi="Arial" w:cs="Arial"/>
          <w:spacing w:val="-6"/>
          <w:sz w:val="20"/>
        </w:rPr>
        <w:t xml:space="preserve"> </w:t>
      </w:r>
      <w:r w:rsidRPr="00956BB8">
        <w:rPr>
          <w:rFonts w:ascii="Arial" w:hAnsi="Arial" w:cs="Arial"/>
          <w:sz w:val="20"/>
        </w:rPr>
        <w:t>equipment</w:t>
      </w:r>
      <w:r w:rsidRPr="00956BB8">
        <w:rPr>
          <w:rFonts w:ascii="Arial" w:hAnsi="Arial" w:cs="Arial"/>
          <w:spacing w:val="-5"/>
          <w:sz w:val="20"/>
        </w:rPr>
        <w:t xml:space="preserve"> </w:t>
      </w:r>
      <w:r w:rsidRPr="00956BB8">
        <w:rPr>
          <w:rFonts w:ascii="Arial" w:hAnsi="Arial" w:cs="Arial"/>
          <w:sz w:val="20"/>
        </w:rPr>
        <w:t>and/or</w:t>
      </w:r>
      <w:r w:rsidRPr="00956BB8">
        <w:rPr>
          <w:rFonts w:ascii="Arial" w:hAnsi="Arial" w:cs="Arial"/>
          <w:spacing w:val="-6"/>
          <w:sz w:val="20"/>
        </w:rPr>
        <w:t xml:space="preserve"> </w:t>
      </w:r>
      <w:r w:rsidRPr="00956BB8">
        <w:rPr>
          <w:rFonts w:ascii="Arial" w:hAnsi="Arial" w:cs="Arial"/>
          <w:sz w:val="20"/>
        </w:rPr>
        <w:t>positioning</w:t>
      </w:r>
      <w:r w:rsidRPr="00956BB8">
        <w:rPr>
          <w:rFonts w:ascii="Arial" w:hAnsi="Arial" w:cs="Arial"/>
          <w:spacing w:val="-6"/>
          <w:sz w:val="20"/>
        </w:rPr>
        <w:t xml:space="preserve"> </w:t>
      </w:r>
      <w:r w:rsidRPr="00956BB8">
        <w:rPr>
          <w:rFonts w:ascii="Arial" w:hAnsi="Arial" w:cs="Arial"/>
          <w:sz w:val="20"/>
        </w:rPr>
        <w:t>lights</w:t>
      </w:r>
      <w:r w:rsidRPr="00956BB8">
        <w:rPr>
          <w:rFonts w:ascii="Arial" w:hAnsi="Arial" w:cs="Arial"/>
          <w:spacing w:val="-4"/>
          <w:sz w:val="20"/>
        </w:rPr>
        <w:t xml:space="preserve"> </w:t>
      </w:r>
      <w:r w:rsidRPr="00956BB8">
        <w:rPr>
          <w:rFonts w:ascii="Arial" w:hAnsi="Arial" w:cs="Arial"/>
          <w:sz w:val="20"/>
        </w:rPr>
        <w:t>as</w:t>
      </w:r>
      <w:r w:rsidRPr="00956BB8">
        <w:rPr>
          <w:rFonts w:ascii="Arial" w:hAnsi="Arial" w:cs="Arial"/>
          <w:spacing w:val="-6"/>
          <w:sz w:val="20"/>
        </w:rPr>
        <w:t xml:space="preserve"> </w:t>
      </w:r>
      <w:r w:rsidRPr="00956BB8">
        <w:rPr>
          <w:rFonts w:ascii="Arial" w:hAnsi="Arial" w:cs="Arial"/>
          <w:sz w:val="20"/>
        </w:rPr>
        <w:t>possibly</w:t>
      </w:r>
      <w:r w:rsidRPr="00956BB8">
        <w:rPr>
          <w:rFonts w:ascii="Arial" w:hAnsi="Arial" w:cs="Arial"/>
          <w:spacing w:val="-5"/>
          <w:sz w:val="20"/>
        </w:rPr>
        <w:t xml:space="preserve"> </w:t>
      </w:r>
      <w:r w:rsidRPr="00956BB8">
        <w:rPr>
          <w:rFonts w:ascii="Arial" w:hAnsi="Arial" w:cs="Arial"/>
          <w:sz w:val="20"/>
        </w:rPr>
        <w:t>required</w:t>
      </w:r>
      <w:r w:rsidRPr="00956BB8">
        <w:rPr>
          <w:rFonts w:ascii="Arial" w:hAnsi="Arial" w:cs="Arial"/>
          <w:spacing w:val="-6"/>
          <w:sz w:val="20"/>
        </w:rPr>
        <w:t xml:space="preserve"> </w:t>
      </w:r>
      <w:r w:rsidRPr="00956BB8">
        <w:rPr>
          <w:rFonts w:ascii="Arial" w:hAnsi="Arial" w:cs="Arial"/>
          <w:sz w:val="20"/>
        </w:rPr>
        <w:t>by</w:t>
      </w:r>
      <w:r w:rsidRPr="00956BB8">
        <w:rPr>
          <w:rFonts w:ascii="Arial" w:hAnsi="Arial" w:cs="Arial"/>
          <w:spacing w:val="-5"/>
          <w:sz w:val="20"/>
        </w:rPr>
        <w:t xml:space="preserve"> </w:t>
      </w:r>
      <w:r w:rsidRPr="00956BB8">
        <w:rPr>
          <w:rFonts w:ascii="Arial" w:hAnsi="Arial" w:cs="Arial"/>
          <w:sz w:val="20"/>
        </w:rPr>
        <w:t>operational</w:t>
      </w:r>
      <w:r w:rsidRPr="00956BB8">
        <w:rPr>
          <w:rFonts w:ascii="Arial" w:hAnsi="Arial" w:cs="Arial"/>
          <w:spacing w:val="-6"/>
          <w:sz w:val="20"/>
        </w:rPr>
        <w:t xml:space="preserve"> </w:t>
      </w:r>
      <w:r w:rsidRPr="00956BB8">
        <w:rPr>
          <w:rFonts w:ascii="Arial" w:hAnsi="Arial" w:cs="Arial"/>
          <w:sz w:val="20"/>
        </w:rPr>
        <w:t>rules</w:t>
      </w:r>
      <w:r w:rsidRPr="00956BB8">
        <w:rPr>
          <w:rFonts w:ascii="Arial" w:hAnsi="Arial" w:cs="Arial"/>
          <w:spacing w:val="-4"/>
          <w:sz w:val="20"/>
        </w:rPr>
        <w:t xml:space="preserve"> </w:t>
      </w:r>
      <w:r w:rsidRPr="00956BB8">
        <w:rPr>
          <w:rFonts w:ascii="Arial" w:hAnsi="Arial" w:cs="Arial"/>
          <w:sz w:val="20"/>
        </w:rPr>
        <w:t>are</w:t>
      </w:r>
      <w:r w:rsidRPr="00956BB8">
        <w:rPr>
          <w:rFonts w:ascii="Arial" w:hAnsi="Arial" w:cs="Arial"/>
          <w:spacing w:val="-6"/>
          <w:sz w:val="20"/>
        </w:rPr>
        <w:t xml:space="preserve"> </w:t>
      </w:r>
      <w:r w:rsidRPr="00956BB8">
        <w:rPr>
          <w:rFonts w:ascii="Arial" w:hAnsi="Arial" w:cs="Arial"/>
          <w:sz w:val="20"/>
        </w:rPr>
        <w:t>installed,</w:t>
      </w:r>
      <w:r w:rsidRPr="00956BB8">
        <w:rPr>
          <w:rFonts w:ascii="Arial" w:hAnsi="Arial" w:cs="Arial"/>
          <w:spacing w:val="-48"/>
          <w:sz w:val="20"/>
        </w:rPr>
        <w:t xml:space="preserve"> </w:t>
      </w:r>
      <w:r w:rsidRPr="00956BB8">
        <w:rPr>
          <w:rFonts w:ascii="Arial" w:hAnsi="Arial" w:cs="Arial"/>
          <w:sz w:val="20"/>
        </w:rPr>
        <w:t>it should be shown that the electrical system is such that the operation of this equipment is not</w:t>
      </w:r>
      <w:r w:rsidRPr="00956BB8">
        <w:rPr>
          <w:rFonts w:ascii="Arial" w:hAnsi="Arial" w:cs="Arial"/>
          <w:spacing w:val="1"/>
          <w:sz w:val="20"/>
        </w:rPr>
        <w:t xml:space="preserve"> </w:t>
      </w:r>
      <w:r w:rsidRPr="00956BB8">
        <w:rPr>
          <w:rFonts w:ascii="Arial" w:hAnsi="Arial" w:cs="Arial"/>
          <w:sz w:val="20"/>
        </w:rPr>
        <w:t>adversely</w:t>
      </w:r>
      <w:r w:rsidRPr="00956BB8">
        <w:rPr>
          <w:rFonts w:ascii="Arial" w:hAnsi="Arial" w:cs="Arial"/>
          <w:spacing w:val="-1"/>
          <w:sz w:val="20"/>
        </w:rPr>
        <w:t xml:space="preserve"> </w:t>
      </w:r>
      <w:r w:rsidRPr="00956BB8">
        <w:rPr>
          <w:rFonts w:ascii="Arial" w:hAnsi="Arial" w:cs="Arial"/>
          <w:sz w:val="20"/>
        </w:rPr>
        <w:t>affected.</w:t>
      </w:r>
    </w:p>
    <w:p w14:paraId="4A298892" w14:textId="77777777" w:rsidR="00BD577F" w:rsidRPr="00BD577F" w:rsidRDefault="00BD577F" w:rsidP="00BD577F">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169" w:name="CS_31GB.72_Miscellaneous_equipment"/>
      <w:bookmarkStart w:id="1170" w:name="_bookmark490"/>
      <w:bookmarkStart w:id="1171" w:name="_Toc153137654"/>
      <w:bookmarkEnd w:id="1169"/>
      <w:bookmarkEnd w:id="1170"/>
      <w:r w:rsidRPr="00BD577F">
        <w:rPr>
          <w:rFonts w:ascii="Arial" w:eastAsia="Times New Roman" w:hAnsi="Arial" w:cs="Times New Roman"/>
          <w:b/>
          <w:iCs/>
          <w:color w:val="FFFFFF"/>
          <w:sz w:val="24"/>
        </w:rPr>
        <w:t>CS 31GB.72 Miscellaneous equipment</w:t>
      </w:r>
      <w:bookmarkEnd w:id="1171"/>
    </w:p>
    <w:p w14:paraId="36691970" w14:textId="77777777" w:rsidR="00BD577F" w:rsidRPr="00BD577F" w:rsidRDefault="00BD577F" w:rsidP="00BD577F">
      <w:pPr>
        <w:spacing w:before="121" w:line="276" w:lineRule="auto"/>
        <w:ind w:right="192"/>
        <w:jc w:val="both"/>
        <w:rPr>
          <w:rFonts w:ascii="Arial" w:hAnsi="Arial" w:cs="Arial"/>
          <w:sz w:val="20"/>
        </w:rPr>
      </w:pPr>
      <w:r w:rsidRPr="00BD577F">
        <w:rPr>
          <w:rFonts w:ascii="Arial" w:hAnsi="Arial" w:cs="Arial"/>
          <w:sz w:val="20"/>
        </w:rPr>
        <w:t>Each balloon must be equipped with a rate of climb/descent indicator (variometer).</w:t>
      </w:r>
    </w:p>
    <w:p w14:paraId="7901B3B4" w14:textId="77777777" w:rsidR="00F40863" w:rsidRDefault="00F40863" w:rsidP="009B2DD4">
      <w:pPr>
        <w:tabs>
          <w:tab w:val="left" w:pos="1274"/>
        </w:tabs>
        <w:ind w:right="196"/>
        <w:jc w:val="both"/>
        <w:rPr>
          <w:rFonts w:ascii="Arial" w:hAnsi="Arial" w:cs="Arial"/>
        </w:rPr>
      </w:pPr>
    </w:p>
    <w:p w14:paraId="5157EE4F" w14:textId="77777777" w:rsidR="00F40863" w:rsidRDefault="00F40863" w:rsidP="009B2DD4">
      <w:pPr>
        <w:tabs>
          <w:tab w:val="left" w:pos="1274"/>
        </w:tabs>
        <w:ind w:right="196"/>
        <w:jc w:val="both"/>
        <w:rPr>
          <w:rFonts w:ascii="Arial" w:hAnsi="Arial" w:cs="Arial"/>
        </w:rPr>
      </w:pPr>
    </w:p>
    <w:p w14:paraId="355E3886" w14:textId="77777777" w:rsidR="00F40863" w:rsidRDefault="00F40863" w:rsidP="009B2DD4">
      <w:pPr>
        <w:tabs>
          <w:tab w:val="left" w:pos="1274"/>
        </w:tabs>
        <w:ind w:right="196"/>
        <w:jc w:val="both"/>
        <w:rPr>
          <w:rFonts w:ascii="Arial" w:hAnsi="Arial" w:cs="Arial"/>
        </w:rPr>
      </w:pPr>
    </w:p>
    <w:p w14:paraId="7AAB2EC3" w14:textId="77777777" w:rsidR="00F40863" w:rsidRDefault="00F40863" w:rsidP="009B2DD4">
      <w:pPr>
        <w:tabs>
          <w:tab w:val="left" w:pos="1274"/>
        </w:tabs>
        <w:ind w:right="196"/>
        <w:jc w:val="both"/>
        <w:rPr>
          <w:rFonts w:ascii="Arial" w:hAnsi="Arial" w:cs="Arial"/>
        </w:rPr>
      </w:pPr>
    </w:p>
    <w:p w14:paraId="142DF6FD" w14:textId="77777777" w:rsidR="00F40863" w:rsidRDefault="00F40863" w:rsidP="009B2DD4">
      <w:pPr>
        <w:tabs>
          <w:tab w:val="left" w:pos="1274"/>
        </w:tabs>
        <w:ind w:right="196"/>
        <w:jc w:val="both"/>
        <w:rPr>
          <w:rFonts w:ascii="Arial" w:hAnsi="Arial" w:cs="Arial"/>
        </w:rPr>
      </w:pPr>
    </w:p>
    <w:p w14:paraId="4268FD09" w14:textId="77777777" w:rsidR="00BD577F" w:rsidRDefault="00BD577F" w:rsidP="009B2DD4">
      <w:pPr>
        <w:tabs>
          <w:tab w:val="left" w:pos="1274"/>
        </w:tabs>
        <w:ind w:right="196"/>
        <w:jc w:val="both"/>
        <w:rPr>
          <w:rFonts w:ascii="Arial" w:hAnsi="Arial" w:cs="Arial"/>
        </w:rPr>
      </w:pPr>
    </w:p>
    <w:p w14:paraId="50C013CA" w14:textId="77777777" w:rsidR="00BD577F" w:rsidRDefault="00BD577F" w:rsidP="009B2DD4">
      <w:pPr>
        <w:tabs>
          <w:tab w:val="left" w:pos="1274"/>
        </w:tabs>
        <w:ind w:right="196"/>
        <w:jc w:val="both"/>
        <w:rPr>
          <w:rFonts w:ascii="Arial" w:hAnsi="Arial" w:cs="Arial"/>
        </w:rPr>
      </w:pPr>
    </w:p>
    <w:p w14:paraId="73C41E32" w14:textId="77777777" w:rsidR="00BD577F" w:rsidRDefault="00BD577F" w:rsidP="009B2DD4">
      <w:pPr>
        <w:tabs>
          <w:tab w:val="left" w:pos="1274"/>
        </w:tabs>
        <w:ind w:right="196"/>
        <w:jc w:val="both"/>
        <w:rPr>
          <w:rFonts w:ascii="Arial" w:hAnsi="Arial" w:cs="Arial"/>
        </w:rPr>
      </w:pPr>
    </w:p>
    <w:p w14:paraId="45C760FF" w14:textId="77777777" w:rsidR="00BD577F" w:rsidRDefault="00BD577F" w:rsidP="009B2DD4">
      <w:pPr>
        <w:tabs>
          <w:tab w:val="left" w:pos="1274"/>
        </w:tabs>
        <w:ind w:right="196"/>
        <w:jc w:val="both"/>
        <w:rPr>
          <w:rFonts w:ascii="Arial" w:hAnsi="Arial" w:cs="Arial"/>
        </w:rPr>
      </w:pPr>
    </w:p>
    <w:p w14:paraId="0CE0E1CB" w14:textId="77777777" w:rsidR="00BD577F" w:rsidRDefault="00BD577F" w:rsidP="009B2DD4">
      <w:pPr>
        <w:tabs>
          <w:tab w:val="left" w:pos="1274"/>
        </w:tabs>
        <w:ind w:right="196"/>
        <w:jc w:val="both"/>
        <w:rPr>
          <w:rFonts w:ascii="Arial" w:hAnsi="Arial" w:cs="Arial"/>
        </w:rPr>
      </w:pPr>
    </w:p>
    <w:p w14:paraId="2A42E357" w14:textId="77777777" w:rsidR="00BD577F" w:rsidRDefault="00BD577F" w:rsidP="009B2DD4">
      <w:pPr>
        <w:tabs>
          <w:tab w:val="left" w:pos="1274"/>
        </w:tabs>
        <w:ind w:right="196"/>
        <w:jc w:val="both"/>
        <w:rPr>
          <w:rFonts w:ascii="Arial" w:hAnsi="Arial" w:cs="Arial"/>
        </w:rPr>
      </w:pPr>
    </w:p>
    <w:p w14:paraId="63185C17" w14:textId="77777777" w:rsidR="00BD577F" w:rsidRDefault="00BD577F" w:rsidP="009B2DD4">
      <w:pPr>
        <w:tabs>
          <w:tab w:val="left" w:pos="1274"/>
        </w:tabs>
        <w:ind w:right="196"/>
        <w:jc w:val="both"/>
        <w:rPr>
          <w:rFonts w:ascii="Arial" w:hAnsi="Arial" w:cs="Arial"/>
        </w:rPr>
      </w:pPr>
    </w:p>
    <w:p w14:paraId="3891D63E" w14:textId="77777777" w:rsidR="00BD577F" w:rsidRDefault="00BD577F" w:rsidP="009B2DD4">
      <w:pPr>
        <w:tabs>
          <w:tab w:val="left" w:pos="1274"/>
        </w:tabs>
        <w:ind w:right="196"/>
        <w:jc w:val="both"/>
        <w:rPr>
          <w:rFonts w:ascii="Arial" w:hAnsi="Arial" w:cs="Arial"/>
        </w:rPr>
      </w:pPr>
    </w:p>
    <w:p w14:paraId="4DD4D3FA" w14:textId="77777777" w:rsidR="00BD577F" w:rsidRDefault="00BD577F" w:rsidP="009B2DD4">
      <w:pPr>
        <w:tabs>
          <w:tab w:val="left" w:pos="1274"/>
        </w:tabs>
        <w:ind w:right="196"/>
        <w:jc w:val="both"/>
        <w:rPr>
          <w:rFonts w:ascii="Arial" w:hAnsi="Arial" w:cs="Arial"/>
        </w:rPr>
      </w:pPr>
    </w:p>
    <w:p w14:paraId="78D4F449" w14:textId="77777777" w:rsidR="00BD577F" w:rsidRDefault="00BD577F" w:rsidP="009B2DD4">
      <w:pPr>
        <w:tabs>
          <w:tab w:val="left" w:pos="1274"/>
        </w:tabs>
        <w:ind w:right="196"/>
        <w:jc w:val="both"/>
        <w:rPr>
          <w:rFonts w:ascii="Arial" w:hAnsi="Arial" w:cs="Arial"/>
        </w:rPr>
      </w:pPr>
    </w:p>
    <w:p w14:paraId="1CAC85E3" w14:textId="77777777" w:rsidR="00BD577F" w:rsidRDefault="00BD577F" w:rsidP="009B2DD4">
      <w:pPr>
        <w:tabs>
          <w:tab w:val="left" w:pos="1274"/>
        </w:tabs>
        <w:ind w:right="196"/>
        <w:jc w:val="both"/>
        <w:rPr>
          <w:rFonts w:ascii="Arial" w:hAnsi="Arial" w:cs="Arial"/>
        </w:rPr>
      </w:pPr>
    </w:p>
    <w:p w14:paraId="21992890" w14:textId="77777777" w:rsidR="00BD577F" w:rsidRDefault="00BD577F" w:rsidP="009B2DD4">
      <w:pPr>
        <w:tabs>
          <w:tab w:val="left" w:pos="1274"/>
        </w:tabs>
        <w:ind w:right="196"/>
        <w:jc w:val="both"/>
        <w:rPr>
          <w:rFonts w:ascii="Arial" w:hAnsi="Arial" w:cs="Arial"/>
        </w:rPr>
      </w:pPr>
    </w:p>
    <w:p w14:paraId="0BB5E0A7" w14:textId="77777777" w:rsidR="00BD577F" w:rsidRDefault="00BD577F" w:rsidP="009B2DD4">
      <w:pPr>
        <w:tabs>
          <w:tab w:val="left" w:pos="1274"/>
        </w:tabs>
        <w:ind w:right="196"/>
        <w:jc w:val="both"/>
        <w:rPr>
          <w:rFonts w:ascii="Arial" w:hAnsi="Arial" w:cs="Arial"/>
        </w:rPr>
      </w:pPr>
    </w:p>
    <w:p w14:paraId="5B780CF4" w14:textId="77777777" w:rsidR="00BD577F" w:rsidRDefault="00BD577F" w:rsidP="009B2DD4">
      <w:pPr>
        <w:tabs>
          <w:tab w:val="left" w:pos="1274"/>
        </w:tabs>
        <w:ind w:right="196"/>
        <w:jc w:val="both"/>
        <w:rPr>
          <w:rFonts w:ascii="Arial" w:hAnsi="Arial" w:cs="Arial"/>
        </w:rPr>
      </w:pPr>
    </w:p>
    <w:p w14:paraId="2795E5E0" w14:textId="77777777" w:rsidR="00BD577F" w:rsidRDefault="00BD577F" w:rsidP="009B2DD4">
      <w:pPr>
        <w:tabs>
          <w:tab w:val="left" w:pos="1274"/>
        </w:tabs>
        <w:ind w:right="196"/>
        <w:jc w:val="both"/>
        <w:rPr>
          <w:rFonts w:ascii="Arial" w:hAnsi="Arial" w:cs="Arial"/>
        </w:rPr>
      </w:pPr>
    </w:p>
    <w:p w14:paraId="3CA0982B" w14:textId="77777777" w:rsidR="00BD577F" w:rsidRDefault="00BD577F" w:rsidP="009B2DD4">
      <w:pPr>
        <w:tabs>
          <w:tab w:val="left" w:pos="1274"/>
        </w:tabs>
        <w:ind w:right="196"/>
        <w:jc w:val="both"/>
        <w:rPr>
          <w:rFonts w:ascii="Arial" w:hAnsi="Arial" w:cs="Arial"/>
        </w:rPr>
      </w:pPr>
    </w:p>
    <w:p w14:paraId="77FA82A2" w14:textId="77777777" w:rsidR="00BD577F" w:rsidRDefault="00BD577F" w:rsidP="009B2DD4">
      <w:pPr>
        <w:tabs>
          <w:tab w:val="left" w:pos="1274"/>
        </w:tabs>
        <w:ind w:right="196"/>
        <w:jc w:val="both"/>
        <w:rPr>
          <w:rFonts w:ascii="Arial" w:hAnsi="Arial" w:cs="Arial"/>
        </w:rPr>
      </w:pPr>
    </w:p>
    <w:p w14:paraId="607278F6" w14:textId="77777777" w:rsidR="00BD577F" w:rsidRDefault="00BD577F" w:rsidP="009B2DD4">
      <w:pPr>
        <w:tabs>
          <w:tab w:val="left" w:pos="1274"/>
        </w:tabs>
        <w:ind w:right="196"/>
        <w:jc w:val="both"/>
        <w:rPr>
          <w:rFonts w:ascii="Arial" w:hAnsi="Arial" w:cs="Arial"/>
        </w:rPr>
      </w:pPr>
    </w:p>
    <w:p w14:paraId="229755CD" w14:textId="77777777" w:rsidR="00BD577F" w:rsidRDefault="00BD577F" w:rsidP="009B2DD4">
      <w:pPr>
        <w:tabs>
          <w:tab w:val="left" w:pos="1274"/>
        </w:tabs>
        <w:ind w:right="196"/>
        <w:jc w:val="both"/>
        <w:rPr>
          <w:rFonts w:ascii="Arial" w:hAnsi="Arial" w:cs="Arial"/>
        </w:rPr>
      </w:pPr>
    </w:p>
    <w:p w14:paraId="22C36A8C" w14:textId="77777777" w:rsidR="00BD577F" w:rsidRDefault="00BD577F" w:rsidP="009B2DD4">
      <w:pPr>
        <w:tabs>
          <w:tab w:val="left" w:pos="1274"/>
        </w:tabs>
        <w:ind w:right="196"/>
        <w:jc w:val="both"/>
        <w:rPr>
          <w:rFonts w:ascii="Arial" w:hAnsi="Arial" w:cs="Arial"/>
        </w:rPr>
      </w:pPr>
    </w:p>
    <w:p w14:paraId="3DDB44DE" w14:textId="77777777" w:rsidR="00BD577F" w:rsidRDefault="00BD577F" w:rsidP="009B2DD4">
      <w:pPr>
        <w:tabs>
          <w:tab w:val="left" w:pos="1274"/>
        </w:tabs>
        <w:ind w:right="196"/>
        <w:jc w:val="both"/>
        <w:rPr>
          <w:rFonts w:ascii="Arial" w:hAnsi="Arial" w:cs="Arial"/>
        </w:rPr>
      </w:pPr>
    </w:p>
    <w:p w14:paraId="1FEDC17B" w14:textId="77777777" w:rsidR="007710A0" w:rsidRDefault="007710A0" w:rsidP="009B2DD4">
      <w:pPr>
        <w:tabs>
          <w:tab w:val="left" w:pos="1274"/>
        </w:tabs>
        <w:ind w:right="196"/>
        <w:jc w:val="both"/>
        <w:rPr>
          <w:rFonts w:ascii="Arial" w:hAnsi="Arial" w:cs="Arial"/>
        </w:rPr>
      </w:pPr>
    </w:p>
    <w:p w14:paraId="7F24546F" w14:textId="77777777" w:rsidR="007710A0" w:rsidRDefault="007710A0" w:rsidP="009B2DD4">
      <w:pPr>
        <w:tabs>
          <w:tab w:val="left" w:pos="1274"/>
        </w:tabs>
        <w:ind w:right="196"/>
        <w:jc w:val="both"/>
        <w:rPr>
          <w:rFonts w:ascii="Arial" w:hAnsi="Arial" w:cs="Arial"/>
        </w:rPr>
      </w:pPr>
    </w:p>
    <w:p w14:paraId="2FC834D7" w14:textId="77777777" w:rsidR="007710A0" w:rsidRDefault="007710A0" w:rsidP="009B2DD4">
      <w:pPr>
        <w:tabs>
          <w:tab w:val="left" w:pos="1274"/>
        </w:tabs>
        <w:ind w:right="196"/>
        <w:jc w:val="both"/>
        <w:rPr>
          <w:rFonts w:ascii="Arial" w:hAnsi="Arial" w:cs="Arial"/>
        </w:rPr>
      </w:pPr>
    </w:p>
    <w:p w14:paraId="2E9FE22A" w14:textId="77777777" w:rsidR="007710A0" w:rsidRDefault="007710A0" w:rsidP="009B2DD4">
      <w:pPr>
        <w:tabs>
          <w:tab w:val="left" w:pos="1274"/>
        </w:tabs>
        <w:ind w:right="196"/>
        <w:jc w:val="both"/>
        <w:rPr>
          <w:rFonts w:ascii="Arial" w:hAnsi="Arial" w:cs="Arial"/>
        </w:rPr>
      </w:pPr>
    </w:p>
    <w:p w14:paraId="46B438BA" w14:textId="77777777" w:rsidR="007710A0" w:rsidRPr="007710A0" w:rsidRDefault="007710A0" w:rsidP="007710A0">
      <w:pPr>
        <w:keepNext/>
        <w:keepLines/>
        <w:widowControl/>
        <w:autoSpaceDE/>
        <w:autoSpaceDN/>
        <w:spacing w:before="40" w:line="259" w:lineRule="auto"/>
        <w:jc w:val="center"/>
        <w:outlineLvl w:val="2"/>
        <w:rPr>
          <w:rFonts w:ascii="Arial" w:eastAsiaTheme="majorEastAsia" w:hAnsi="Arial" w:cs="Arial"/>
          <w:b/>
          <w:color w:val="00B0F0"/>
          <w:sz w:val="24"/>
          <w:szCs w:val="24"/>
        </w:rPr>
      </w:pPr>
      <w:bookmarkStart w:id="1172" w:name="_Toc153137655"/>
      <w:r w:rsidRPr="007710A0">
        <w:rPr>
          <w:rFonts w:ascii="Arial" w:eastAsiaTheme="majorEastAsia" w:hAnsi="Arial" w:cs="Arial"/>
          <w:b/>
          <w:color w:val="00B0F0"/>
          <w:sz w:val="24"/>
          <w:szCs w:val="24"/>
        </w:rPr>
        <w:lastRenderedPageBreak/>
        <w:t>SUBPART G — OPERATING LIMITATIONS AND INFORMATION</w:t>
      </w:r>
      <w:bookmarkEnd w:id="1172"/>
    </w:p>
    <w:p w14:paraId="0AF11EC0" w14:textId="77777777" w:rsidR="00F40863" w:rsidRPr="007710A0" w:rsidRDefault="007710A0" w:rsidP="007710A0">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173" w:name="CS_31GB.81_Operating_instructions"/>
      <w:bookmarkStart w:id="1174" w:name="_bookmark492"/>
      <w:bookmarkStart w:id="1175" w:name="_Toc153137656"/>
      <w:bookmarkEnd w:id="1173"/>
      <w:bookmarkEnd w:id="1174"/>
      <w:r w:rsidRPr="007710A0">
        <w:rPr>
          <w:rFonts w:ascii="Arial" w:eastAsia="Times New Roman" w:hAnsi="Arial" w:cs="Times New Roman"/>
          <w:b/>
          <w:iCs/>
          <w:color w:val="FFFFFF"/>
          <w:sz w:val="24"/>
        </w:rPr>
        <w:t>CS 31GB.81 Operating instructions</w:t>
      </w:r>
      <w:bookmarkEnd w:id="1175"/>
    </w:p>
    <w:p w14:paraId="5F3563CB" w14:textId="77777777" w:rsidR="007710A0" w:rsidRPr="007710A0" w:rsidRDefault="007710A0" w:rsidP="00AB16A5">
      <w:pPr>
        <w:numPr>
          <w:ilvl w:val="0"/>
          <w:numId w:val="364"/>
        </w:numPr>
        <w:tabs>
          <w:tab w:val="left" w:pos="707"/>
        </w:tabs>
        <w:spacing w:before="117" w:line="276" w:lineRule="auto"/>
        <w:jc w:val="both"/>
        <w:rPr>
          <w:rFonts w:ascii="Arial" w:hAnsi="Arial" w:cs="Arial"/>
          <w:sz w:val="20"/>
        </w:rPr>
      </w:pPr>
      <w:r w:rsidRPr="007710A0">
        <w:rPr>
          <w:rFonts w:ascii="Arial" w:hAnsi="Arial" w:cs="Arial"/>
          <w:sz w:val="20"/>
        </w:rPr>
        <w:t>Operating</w:t>
      </w:r>
      <w:r w:rsidRPr="007710A0">
        <w:rPr>
          <w:rFonts w:ascii="Arial" w:hAnsi="Arial" w:cs="Arial"/>
          <w:spacing w:val="-3"/>
          <w:sz w:val="20"/>
        </w:rPr>
        <w:t xml:space="preserve"> </w:t>
      </w:r>
      <w:r w:rsidRPr="007710A0">
        <w:rPr>
          <w:rFonts w:ascii="Arial" w:hAnsi="Arial" w:cs="Arial"/>
          <w:sz w:val="20"/>
        </w:rPr>
        <w:t>instructions</w:t>
      </w:r>
      <w:r w:rsidRPr="007710A0">
        <w:rPr>
          <w:rFonts w:ascii="Arial" w:hAnsi="Arial" w:cs="Arial"/>
          <w:spacing w:val="-3"/>
          <w:sz w:val="20"/>
        </w:rPr>
        <w:t xml:space="preserve"> </w:t>
      </w:r>
      <w:r w:rsidRPr="007710A0">
        <w:rPr>
          <w:rFonts w:ascii="Arial" w:hAnsi="Arial" w:cs="Arial"/>
          <w:sz w:val="20"/>
        </w:rPr>
        <w:t>must</w:t>
      </w:r>
      <w:r w:rsidRPr="007710A0">
        <w:rPr>
          <w:rFonts w:ascii="Arial" w:hAnsi="Arial" w:cs="Arial"/>
          <w:spacing w:val="-1"/>
          <w:sz w:val="20"/>
        </w:rPr>
        <w:t xml:space="preserve"> </w:t>
      </w:r>
      <w:r w:rsidRPr="007710A0">
        <w:rPr>
          <w:rFonts w:ascii="Arial" w:hAnsi="Arial" w:cs="Arial"/>
          <w:sz w:val="20"/>
        </w:rPr>
        <w:t>be furnished</w:t>
      </w:r>
      <w:r w:rsidRPr="007710A0">
        <w:rPr>
          <w:rFonts w:ascii="Arial" w:hAnsi="Arial" w:cs="Arial"/>
          <w:spacing w:val="-1"/>
          <w:sz w:val="20"/>
        </w:rPr>
        <w:t xml:space="preserve"> </w:t>
      </w:r>
      <w:r w:rsidRPr="007710A0">
        <w:rPr>
          <w:rFonts w:ascii="Arial" w:hAnsi="Arial" w:cs="Arial"/>
          <w:sz w:val="20"/>
        </w:rPr>
        <w:t>in</w:t>
      </w:r>
      <w:r w:rsidRPr="007710A0">
        <w:rPr>
          <w:rFonts w:ascii="Arial" w:hAnsi="Arial" w:cs="Arial"/>
          <w:spacing w:val="-2"/>
          <w:sz w:val="20"/>
        </w:rPr>
        <w:t xml:space="preserve"> </w:t>
      </w:r>
      <w:r w:rsidRPr="007710A0">
        <w:rPr>
          <w:rFonts w:ascii="Arial" w:hAnsi="Arial" w:cs="Arial"/>
          <w:sz w:val="20"/>
        </w:rPr>
        <w:t>a</w:t>
      </w:r>
      <w:r w:rsidRPr="007710A0">
        <w:rPr>
          <w:rFonts w:ascii="Arial" w:hAnsi="Arial" w:cs="Arial"/>
          <w:spacing w:val="-4"/>
          <w:sz w:val="20"/>
        </w:rPr>
        <w:t xml:space="preserve"> </w:t>
      </w:r>
      <w:r w:rsidRPr="007710A0">
        <w:rPr>
          <w:rFonts w:ascii="Arial" w:hAnsi="Arial" w:cs="Arial"/>
          <w:sz w:val="20"/>
        </w:rPr>
        <w:t>Flight</w:t>
      </w:r>
      <w:r w:rsidRPr="007710A0">
        <w:rPr>
          <w:rFonts w:ascii="Arial" w:hAnsi="Arial" w:cs="Arial"/>
          <w:spacing w:val="-1"/>
          <w:sz w:val="20"/>
        </w:rPr>
        <w:t xml:space="preserve"> </w:t>
      </w:r>
      <w:r w:rsidRPr="007710A0">
        <w:rPr>
          <w:rFonts w:ascii="Arial" w:hAnsi="Arial" w:cs="Arial"/>
          <w:sz w:val="20"/>
        </w:rPr>
        <w:t>Manual</w:t>
      </w:r>
      <w:r w:rsidRPr="007710A0">
        <w:rPr>
          <w:rFonts w:ascii="Arial" w:hAnsi="Arial" w:cs="Arial"/>
          <w:spacing w:val="-1"/>
          <w:sz w:val="20"/>
        </w:rPr>
        <w:t xml:space="preserve"> </w:t>
      </w:r>
      <w:r w:rsidRPr="007710A0">
        <w:rPr>
          <w:rFonts w:ascii="Arial" w:hAnsi="Arial" w:cs="Arial"/>
          <w:sz w:val="20"/>
        </w:rPr>
        <w:t>with</w:t>
      </w:r>
      <w:r w:rsidRPr="007710A0">
        <w:rPr>
          <w:rFonts w:ascii="Arial" w:hAnsi="Arial" w:cs="Arial"/>
          <w:spacing w:val="-1"/>
          <w:sz w:val="20"/>
        </w:rPr>
        <w:t xml:space="preserve"> </w:t>
      </w:r>
      <w:r w:rsidRPr="007710A0">
        <w:rPr>
          <w:rFonts w:ascii="Arial" w:hAnsi="Arial" w:cs="Arial"/>
          <w:sz w:val="20"/>
        </w:rPr>
        <w:t>each</w:t>
      </w:r>
      <w:r w:rsidRPr="007710A0">
        <w:rPr>
          <w:rFonts w:ascii="Arial" w:hAnsi="Arial" w:cs="Arial"/>
          <w:spacing w:val="-1"/>
          <w:sz w:val="20"/>
        </w:rPr>
        <w:t xml:space="preserve"> </w:t>
      </w:r>
      <w:r w:rsidRPr="007710A0">
        <w:rPr>
          <w:rFonts w:ascii="Arial" w:hAnsi="Arial" w:cs="Arial"/>
          <w:sz w:val="20"/>
        </w:rPr>
        <w:t>balloon.</w:t>
      </w:r>
    </w:p>
    <w:p w14:paraId="1E425DDB" w14:textId="77777777" w:rsidR="007710A0" w:rsidRPr="007710A0" w:rsidRDefault="007710A0" w:rsidP="00AB16A5">
      <w:pPr>
        <w:numPr>
          <w:ilvl w:val="0"/>
          <w:numId w:val="364"/>
        </w:numPr>
        <w:tabs>
          <w:tab w:val="left" w:pos="707"/>
        </w:tabs>
        <w:spacing w:before="121" w:line="276" w:lineRule="auto"/>
        <w:jc w:val="both"/>
        <w:rPr>
          <w:rFonts w:ascii="Arial" w:hAnsi="Arial" w:cs="Arial"/>
          <w:sz w:val="20"/>
        </w:rPr>
      </w:pPr>
      <w:r w:rsidRPr="007710A0">
        <w:rPr>
          <w:rFonts w:ascii="Arial" w:hAnsi="Arial" w:cs="Arial"/>
          <w:sz w:val="20"/>
        </w:rPr>
        <w:t>The</w:t>
      </w:r>
      <w:r w:rsidRPr="007710A0">
        <w:rPr>
          <w:rFonts w:ascii="Arial" w:hAnsi="Arial" w:cs="Arial"/>
          <w:spacing w:val="-3"/>
          <w:sz w:val="20"/>
        </w:rPr>
        <w:t xml:space="preserve"> </w:t>
      </w:r>
      <w:r w:rsidRPr="007710A0">
        <w:rPr>
          <w:rFonts w:ascii="Arial" w:hAnsi="Arial" w:cs="Arial"/>
          <w:sz w:val="20"/>
        </w:rPr>
        <w:t>Flight</w:t>
      </w:r>
      <w:r w:rsidRPr="007710A0">
        <w:rPr>
          <w:rFonts w:ascii="Arial" w:hAnsi="Arial" w:cs="Arial"/>
          <w:spacing w:val="-2"/>
          <w:sz w:val="20"/>
        </w:rPr>
        <w:t xml:space="preserve"> </w:t>
      </w:r>
      <w:r w:rsidRPr="007710A0">
        <w:rPr>
          <w:rFonts w:ascii="Arial" w:hAnsi="Arial" w:cs="Arial"/>
          <w:sz w:val="20"/>
        </w:rPr>
        <w:t>Manual</w:t>
      </w:r>
      <w:r w:rsidRPr="007710A0">
        <w:rPr>
          <w:rFonts w:ascii="Arial" w:hAnsi="Arial" w:cs="Arial"/>
          <w:spacing w:val="-2"/>
          <w:sz w:val="20"/>
        </w:rPr>
        <w:t xml:space="preserve"> </w:t>
      </w:r>
      <w:r w:rsidRPr="007710A0">
        <w:rPr>
          <w:rFonts w:ascii="Arial" w:hAnsi="Arial" w:cs="Arial"/>
          <w:sz w:val="20"/>
        </w:rPr>
        <w:t>must</w:t>
      </w:r>
      <w:r w:rsidRPr="007710A0">
        <w:rPr>
          <w:rFonts w:ascii="Arial" w:hAnsi="Arial" w:cs="Arial"/>
          <w:spacing w:val="-2"/>
          <w:sz w:val="20"/>
        </w:rPr>
        <w:t xml:space="preserve"> </w:t>
      </w:r>
      <w:r w:rsidRPr="007710A0">
        <w:rPr>
          <w:rFonts w:ascii="Arial" w:hAnsi="Arial" w:cs="Arial"/>
          <w:sz w:val="20"/>
        </w:rPr>
        <w:t>contain:</w:t>
      </w:r>
    </w:p>
    <w:p w14:paraId="73175EBE" w14:textId="77777777" w:rsidR="007710A0" w:rsidRPr="007710A0" w:rsidRDefault="007710A0" w:rsidP="00AB16A5">
      <w:pPr>
        <w:numPr>
          <w:ilvl w:val="1"/>
          <w:numId w:val="364"/>
        </w:numPr>
        <w:tabs>
          <w:tab w:val="left" w:pos="1274"/>
        </w:tabs>
        <w:spacing w:before="120" w:line="276" w:lineRule="auto"/>
        <w:ind w:hanging="568"/>
        <w:jc w:val="both"/>
        <w:rPr>
          <w:rFonts w:ascii="Arial" w:hAnsi="Arial" w:cs="Arial"/>
          <w:sz w:val="20"/>
        </w:rPr>
      </w:pPr>
      <w:r w:rsidRPr="007710A0">
        <w:rPr>
          <w:rFonts w:ascii="Arial" w:hAnsi="Arial" w:cs="Arial"/>
          <w:sz w:val="20"/>
        </w:rPr>
        <w:t>a</w:t>
      </w:r>
      <w:r w:rsidRPr="007710A0">
        <w:rPr>
          <w:rFonts w:ascii="Arial" w:hAnsi="Arial" w:cs="Arial"/>
          <w:spacing w:val="-2"/>
          <w:sz w:val="20"/>
        </w:rPr>
        <w:t xml:space="preserve"> </w:t>
      </w:r>
      <w:r w:rsidRPr="007710A0">
        <w:rPr>
          <w:rFonts w:ascii="Arial" w:hAnsi="Arial" w:cs="Arial"/>
          <w:sz w:val="20"/>
        </w:rPr>
        <w:t>description</w:t>
      </w:r>
      <w:r w:rsidRPr="007710A0">
        <w:rPr>
          <w:rFonts w:ascii="Arial" w:hAnsi="Arial" w:cs="Arial"/>
          <w:spacing w:val="-3"/>
          <w:sz w:val="20"/>
        </w:rPr>
        <w:t xml:space="preserve"> </w:t>
      </w:r>
      <w:r w:rsidRPr="007710A0">
        <w:rPr>
          <w:rFonts w:ascii="Arial" w:hAnsi="Arial" w:cs="Arial"/>
          <w:sz w:val="20"/>
        </w:rPr>
        <w:t>of</w:t>
      </w:r>
      <w:r w:rsidRPr="007710A0">
        <w:rPr>
          <w:rFonts w:ascii="Arial" w:hAnsi="Arial" w:cs="Arial"/>
          <w:spacing w:val="-2"/>
          <w:sz w:val="20"/>
        </w:rPr>
        <w:t xml:space="preserve"> </w:t>
      </w:r>
      <w:r w:rsidRPr="007710A0">
        <w:rPr>
          <w:rFonts w:ascii="Arial" w:hAnsi="Arial" w:cs="Arial"/>
          <w:sz w:val="20"/>
        </w:rPr>
        <w:t>the</w:t>
      </w:r>
      <w:r w:rsidRPr="007710A0">
        <w:rPr>
          <w:rFonts w:ascii="Arial" w:hAnsi="Arial" w:cs="Arial"/>
          <w:spacing w:val="-4"/>
          <w:sz w:val="20"/>
        </w:rPr>
        <w:t xml:space="preserve"> </w:t>
      </w:r>
      <w:r w:rsidRPr="007710A0">
        <w:rPr>
          <w:rFonts w:ascii="Arial" w:hAnsi="Arial" w:cs="Arial"/>
          <w:sz w:val="20"/>
        </w:rPr>
        <w:t>balloon</w:t>
      </w:r>
      <w:r w:rsidRPr="007710A0">
        <w:rPr>
          <w:rFonts w:ascii="Arial" w:hAnsi="Arial" w:cs="Arial"/>
          <w:spacing w:val="-3"/>
          <w:sz w:val="20"/>
        </w:rPr>
        <w:t xml:space="preserve"> </w:t>
      </w:r>
      <w:r w:rsidRPr="007710A0">
        <w:rPr>
          <w:rFonts w:ascii="Arial" w:hAnsi="Arial" w:cs="Arial"/>
          <w:sz w:val="20"/>
        </w:rPr>
        <w:t>and</w:t>
      </w:r>
      <w:r w:rsidRPr="007710A0">
        <w:rPr>
          <w:rFonts w:ascii="Arial" w:hAnsi="Arial" w:cs="Arial"/>
          <w:spacing w:val="-3"/>
          <w:sz w:val="20"/>
        </w:rPr>
        <w:t xml:space="preserve"> </w:t>
      </w:r>
      <w:r w:rsidRPr="007710A0">
        <w:rPr>
          <w:rFonts w:ascii="Arial" w:hAnsi="Arial" w:cs="Arial"/>
          <w:sz w:val="20"/>
        </w:rPr>
        <w:t>its</w:t>
      </w:r>
      <w:r w:rsidRPr="007710A0">
        <w:rPr>
          <w:rFonts w:ascii="Arial" w:hAnsi="Arial" w:cs="Arial"/>
          <w:spacing w:val="-1"/>
          <w:sz w:val="20"/>
        </w:rPr>
        <w:t xml:space="preserve"> </w:t>
      </w:r>
      <w:r w:rsidRPr="007710A0">
        <w:rPr>
          <w:rFonts w:ascii="Arial" w:hAnsi="Arial" w:cs="Arial"/>
          <w:sz w:val="20"/>
        </w:rPr>
        <w:t>technical</w:t>
      </w:r>
      <w:r w:rsidRPr="007710A0">
        <w:rPr>
          <w:rFonts w:ascii="Arial" w:hAnsi="Arial" w:cs="Arial"/>
          <w:spacing w:val="-3"/>
          <w:sz w:val="20"/>
        </w:rPr>
        <w:t xml:space="preserve"> </w:t>
      </w:r>
      <w:r w:rsidRPr="007710A0">
        <w:rPr>
          <w:rFonts w:ascii="Arial" w:hAnsi="Arial" w:cs="Arial"/>
          <w:sz w:val="20"/>
        </w:rPr>
        <w:t>equipment</w:t>
      </w:r>
      <w:r w:rsidRPr="007710A0">
        <w:rPr>
          <w:rFonts w:ascii="Arial" w:hAnsi="Arial" w:cs="Arial"/>
          <w:spacing w:val="-1"/>
          <w:sz w:val="20"/>
        </w:rPr>
        <w:t xml:space="preserve"> </w:t>
      </w:r>
      <w:r w:rsidRPr="007710A0">
        <w:rPr>
          <w:rFonts w:ascii="Arial" w:hAnsi="Arial" w:cs="Arial"/>
          <w:sz w:val="20"/>
        </w:rPr>
        <w:t>with</w:t>
      </w:r>
      <w:r w:rsidRPr="007710A0">
        <w:rPr>
          <w:rFonts w:ascii="Arial" w:hAnsi="Arial" w:cs="Arial"/>
          <w:spacing w:val="-2"/>
          <w:sz w:val="20"/>
        </w:rPr>
        <w:t xml:space="preserve"> </w:t>
      </w:r>
      <w:r w:rsidRPr="007710A0">
        <w:rPr>
          <w:rFonts w:ascii="Arial" w:hAnsi="Arial" w:cs="Arial"/>
          <w:sz w:val="20"/>
        </w:rPr>
        <w:t>explanatory</w:t>
      </w:r>
      <w:r w:rsidRPr="007710A0">
        <w:rPr>
          <w:rFonts w:ascii="Arial" w:hAnsi="Arial" w:cs="Arial"/>
          <w:spacing w:val="-2"/>
          <w:sz w:val="20"/>
        </w:rPr>
        <w:t xml:space="preserve"> </w:t>
      </w:r>
      <w:r w:rsidRPr="007710A0">
        <w:rPr>
          <w:rFonts w:ascii="Arial" w:hAnsi="Arial" w:cs="Arial"/>
          <w:sz w:val="20"/>
        </w:rPr>
        <w:t>sketches;</w:t>
      </w:r>
    </w:p>
    <w:p w14:paraId="629A841A" w14:textId="77777777" w:rsidR="007710A0" w:rsidRPr="007710A0" w:rsidRDefault="007710A0" w:rsidP="00B30DE9">
      <w:pPr>
        <w:numPr>
          <w:ilvl w:val="1"/>
          <w:numId w:val="364"/>
        </w:numPr>
        <w:tabs>
          <w:tab w:val="left" w:pos="1274"/>
        </w:tabs>
        <w:spacing w:before="120" w:line="276" w:lineRule="auto"/>
        <w:ind w:right="44"/>
        <w:jc w:val="both"/>
        <w:rPr>
          <w:rFonts w:ascii="Arial" w:hAnsi="Arial" w:cs="Arial"/>
          <w:sz w:val="20"/>
        </w:rPr>
      </w:pPr>
      <w:r w:rsidRPr="007710A0">
        <w:rPr>
          <w:rFonts w:ascii="Arial" w:hAnsi="Arial" w:cs="Arial"/>
          <w:sz w:val="20"/>
        </w:rPr>
        <w:t>operating</w:t>
      </w:r>
      <w:r w:rsidRPr="007710A0">
        <w:rPr>
          <w:rFonts w:ascii="Arial" w:hAnsi="Arial" w:cs="Arial"/>
          <w:spacing w:val="1"/>
          <w:sz w:val="20"/>
        </w:rPr>
        <w:t xml:space="preserve"> </w:t>
      </w:r>
      <w:r w:rsidRPr="007710A0">
        <w:rPr>
          <w:rFonts w:ascii="Arial" w:hAnsi="Arial" w:cs="Arial"/>
          <w:sz w:val="20"/>
        </w:rPr>
        <w:t>limitations,</w:t>
      </w:r>
      <w:r w:rsidRPr="007710A0">
        <w:rPr>
          <w:rFonts w:ascii="Arial" w:hAnsi="Arial" w:cs="Arial"/>
          <w:spacing w:val="1"/>
          <w:sz w:val="20"/>
        </w:rPr>
        <w:t xml:space="preserve"> </w:t>
      </w:r>
      <w:r w:rsidRPr="007710A0">
        <w:rPr>
          <w:rFonts w:ascii="Arial" w:hAnsi="Arial" w:cs="Arial"/>
          <w:sz w:val="20"/>
        </w:rPr>
        <w:t>normal</w:t>
      </w:r>
      <w:r w:rsidRPr="007710A0">
        <w:rPr>
          <w:rFonts w:ascii="Arial" w:hAnsi="Arial" w:cs="Arial"/>
          <w:spacing w:val="1"/>
          <w:sz w:val="20"/>
        </w:rPr>
        <w:t xml:space="preserve"> </w:t>
      </w:r>
      <w:r w:rsidRPr="007710A0">
        <w:rPr>
          <w:rFonts w:ascii="Arial" w:hAnsi="Arial" w:cs="Arial"/>
          <w:sz w:val="20"/>
        </w:rPr>
        <w:t>procedures</w:t>
      </w:r>
      <w:r w:rsidRPr="007710A0">
        <w:rPr>
          <w:rFonts w:ascii="Arial" w:hAnsi="Arial" w:cs="Arial"/>
          <w:spacing w:val="1"/>
          <w:sz w:val="20"/>
        </w:rPr>
        <w:t xml:space="preserve"> </w:t>
      </w:r>
      <w:r w:rsidRPr="007710A0">
        <w:rPr>
          <w:rFonts w:ascii="Arial" w:hAnsi="Arial" w:cs="Arial"/>
          <w:sz w:val="20"/>
        </w:rPr>
        <w:t>(including</w:t>
      </w:r>
      <w:r w:rsidRPr="007710A0">
        <w:rPr>
          <w:rFonts w:ascii="Arial" w:hAnsi="Arial" w:cs="Arial"/>
          <w:spacing w:val="1"/>
          <w:sz w:val="20"/>
        </w:rPr>
        <w:t xml:space="preserve"> </w:t>
      </w:r>
      <w:r w:rsidRPr="007710A0">
        <w:rPr>
          <w:rFonts w:ascii="Arial" w:hAnsi="Arial" w:cs="Arial"/>
          <w:sz w:val="20"/>
        </w:rPr>
        <w:t>rigging,</w:t>
      </w:r>
      <w:r w:rsidRPr="007710A0">
        <w:rPr>
          <w:rFonts w:ascii="Arial" w:hAnsi="Arial" w:cs="Arial"/>
          <w:spacing w:val="1"/>
          <w:sz w:val="20"/>
        </w:rPr>
        <w:t xml:space="preserve"> </w:t>
      </w:r>
      <w:r w:rsidRPr="007710A0">
        <w:rPr>
          <w:rFonts w:ascii="Arial" w:hAnsi="Arial" w:cs="Arial"/>
          <w:sz w:val="20"/>
        </w:rPr>
        <w:t>inflation,</w:t>
      </w:r>
      <w:r w:rsidRPr="007710A0">
        <w:rPr>
          <w:rFonts w:ascii="Arial" w:hAnsi="Arial" w:cs="Arial"/>
          <w:spacing w:val="1"/>
          <w:sz w:val="20"/>
        </w:rPr>
        <w:t xml:space="preserve"> </w:t>
      </w:r>
      <w:r w:rsidRPr="007710A0">
        <w:rPr>
          <w:rFonts w:ascii="Arial" w:hAnsi="Arial" w:cs="Arial"/>
          <w:sz w:val="20"/>
        </w:rPr>
        <w:t>deflation</w:t>
      </w:r>
      <w:r w:rsidRPr="007710A0">
        <w:rPr>
          <w:rFonts w:ascii="Arial" w:hAnsi="Arial" w:cs="Arial"/>
          <w:spacing w:val="1"/>
          <w:sz w:val="20"/>
        </w:rPr>
        <w:t xml:space="preserve"> </w:t>
      </w:r>
      <w:r w:rsidRPr="007710A0">
        <w:rPr>
          <w:rFonts w:ascii="Arial" w:hAnsi="Arial" w:cs="Arial"/>
          <w:sz w:val="20"/>
        </w:rPr>
        <w:t>and</w:t>
      </w:r>
      <w:r w:rsidRPr="007710A0">
        <w:rPr>
          <w:rFonts w:ascii="Arial" w:hAnsi="Arial" w:cs="Arial"/>
          <w:spacing w:val="1"/>
          <w:sz w:val="20"/>
        </w:rPr>
        <w:t xml:space="preserve"> </w:t>
      </w:r>
      <w:r w:rsidRPr="007710A0">
        <w:rPr>
          <w:rFonts w:ascii="Arial" w:hAnsi="Arial" w:cs="Arial"/>
          <w:sz w:val="20"/>
        </w:rPr>
        <w:t>tethered flight (if applicable)), emergency procedures, and other relevant information</w:t>
      </w:r>
      <w:r w:rsidRPr="007710A0">
        <w:rPr>
          <w:rFonts w:ascii="Arial" w:hAnsi="Arial" w:cs="Arial"/>
          <w:spacing w:val="1"/>
          <w:sz w:val="20"/>
        </w:rPr>
        <w:t xml:space="preserve"> </w:t>
      </w:r>
      <w:r w:rsidRPr="007710A0">
        <w:rPr>
          <w:rFonts w:ascii="Arial" w:hAnsi="Arial" w:cs="Arial"/>
          <w:sz w:val="20"/>
        </w:rPr>
        <w:t>specific to the balloon’s operating characteristics and necessary for safe operation. This</w:t>
      </w:r>
      <w:r w:rsidRPr="007710A0">
        <w:rPr>
          <w:rFonts w:ascii="Arial" w:hAnsi="Arial" w:cs="Arial"/>
          <w:spacing w:val="1"/>
          <w:sz w:val="20"/>
        </w:rPr>
        <w:t xml:space="preserve"> </w:t>
      </w:r>
      <w:r w:rsidRPr="007710A0">
        <w:rPr>
          <w:rFonts w:ascii="Arial" w:hAnsi="Arial" w:cs="Arial"/>
          <w:sz w:val="20"/>
        </w:rPr>
        <w:t>section</w:t>
      </w:r>
      <w:r w:rsidRPr="007710A0">
        <w:rPr>
          <w:rFonts w:ascii="Arial" w:hAnsi="Arial" w:cs="Arial"/>
          <w:spacing w:val="-1"/>
          <w:sz w:val="20"/>
        </w:rPr>
        <w:t xml:space="preserve"> </w:t>
      </w:r>
      <w:r w:rsidRPr="007710A0">
        <w:rPr>
          <w:rFonts w:ascii="Arial" w:hAnsi="Arial" w:cs="Arial"/>
          <w:sz w:val="20"/>
        </w:rPr>
        <w:t>of</w:t>
      </w:r>
      <w:r w:rsidRPr="007710A0">
        <w:rPr>
          <w:rFonts w:ascii="Arial" w:hAnsi="Arial" w:cs="Arial"/>
          <w:spacing w:val="-4"/>
          <w:sz w:val="20"/>
        </w:rPr>
        <w:t xml:space="preserve"> </w:t>
      </w:r>
      <w:r w:rsidRPr="007710A0">
        <w:rPr>
          <w:rFonts w:ascii="Arial" w:hAnsi="Arial" w:cs="Arial"/>
          <w:sz w:val="20"/>
        </w:rPr>
        <w:t>the</w:t>
      </w:r>
      <w:r w:rsidRPr="007710A0">
        <w:rPr>
          <w:rFonts w:ascii="Arial" w:hAnsi="Arial" w:cs="Arial"/>
          <w:spacing w:val="-2"/>
          <w:sz w:val="20"/>
        </w:rPr>
        <w:t xml:space="preserve"> </w:t>
      </w:r>
      <w:r w:rsidRPr="007710A0">
        <w:rPr>
          <w:rFonts w:ascii="Arial" w:hAnsi="Arial" w:cs="Arial"/>
          <w:sz w:val="20"/>
        </w:rPr>
        <w:t>manual requires approval;</w:t>
      </w:r>
    </w:p>
    <w:p w14:paraId="5CCAB4A2" w14:textId="77777777" w:rsidR="007710A0" w:rsidRPr="007710A0" w:rsidRDefault="007710A0" w:rsidP="00AB16A5">
      <w:pPr>
        <w:numPr>
          <w:ilvl w:val="1"/>
          <w:numId w:val="364"/>
        </w:numPr>
        <w:tabs>
          <w:tab w:val="left" w:pos="1274"/>
        </w:tabs>
        <w:spacing w:before="122" w:line="276" w:lineRule="auto"/>
        <w:ind w:hanging="568"/>
        <w:jc w:val="both"/>
        <w:rPr>
          <w:rFonts w:ascii="Arial" w:hAnsi="Arial" w:cs="Arial"/>
          <w:sz w:val="20"/>
        </w:rPr>
      </w:pPr>
      <w:r w:rsidRPr="007710A0">
        <w:rPr>
          <w:rFonts w:ascii="Arial" w:hAnsi="Arial" w:cs="Arial"/>
          <w:sz w:val="20"/>
        </w:rPr>
        <w:t>specification</w:t>
      </w:r>
      <w:r w:rsidRPr="007710A0">
        <w:rPr>
          <w:rFonts w:ascii="Arial" w:hAnsi="Arial" w:cs="Arial"/>
          <w:spacing w:val="-5"/>
          <w:sz w:val="20"/>
        </w:rPr>
        <w:t xml:space="preserve"> </w:t>
      </w:r>
      <w:r w:rsidRPr="007710A0">
        <w:rPr>
          <w:rFonts w:ascii="Arial" w:hAnsi="Arial" w:cs="Arial"/>
          <w:sz w:val="20"/>
        </w:rPr>
        <w:t>of</w:t>
      </w:r>
      <w:r w:rsidRPr="007710A0">
        <w:rPr>
          <w:rFonts w:ascii="Arial" w:hAnsi="Arial" w:cs="Arial"/>
          <w:spacing w:val="-1"/>
          <w:sz w:val="20"/>
        </w:rPr>
        <w:t xml:space="preserve"> </w:t>
      </w:r>
      <w:r w:rsidRPr="007710A0">
        <w:rPr>
          <w:rFonts w:ascii="Arial" w:hAnsi="Arial" w:cs="Arial"/>
          <w:sz w:val="20"/>
        </w:rPr>
        <w:t>the</w:t>
      </w:r>
      <w:r w:rsidRPr="007710A0">
        <w:rPr>
          <w:rFonts w:ascii="Arial" w:hAnsi="Arial" w:cs="Arial"/>
          <w:spacing w:val="-4"/>
          <w:sz w:val="20"/>
        </w:rPr>
        <w:t xml:space="preserve"> </w:t>
      </w:r>
      <w:r w:rsidRPr="007710A0">
        <w:rPr>
          <w:rFonts w:ascii="Arial" w:hAnsi="Arial" w:cs="Arial"/>
          <w:sz w:val="20"/>
        </w:rPr>
        <w:t>permissible</w:t>
      </w:r>
      <w:r w:rsidRPr="007710A0">
        <w:rPr>
          <w:rFonts w:ascii="Arial" w:hAnsi="Arial" w:cs="Arial"/>
          <w:spacing w:val="-1"/>
          <w:sz w:val="20"/>
        </w:rPr>
        <w:t xml:space="preserve"> </w:t>
      </w:r>
      <w:r w:rsidRPr="007710A0">
        <w:rPr>
          <w:rFonts w:ascii="Arial" w:hAnsi="Arial" w:cs="Arial"/>
          <w:sz w:val="20"/>
        </w:rPr>
        <w:t>lifting</w:t>
      </w:r>
      <w:r w:rsidRPr="007710A0">
        <w:rPr>
          <w:rFonts w:ascii="Arial" w:hAnsi="Arial" w:cs="Arial"/>
          <w:spacing w:val="-3"/>
          <w:sz w:val="20"/>
        </w:rPr>
        <w:t xml:space="preserve"> </w:t>
      </w:r>
      <w:r w:rsidRPr="007710A0">
        <w:rPr>
          <w:rFonts w:ascii="Arial" w:hAnsi="Arial" w:cs="Arial"/>
          <w:sz w:val="20"/>
        </w:rPr>
        <w:t>gas;</w:t>
      </w:r>
    </w:p>
    <w:p w14:paraId="678086DD" w14:textId="77777777" w:rsidR="007710A0" w:rsidRPr="007710A0" w:rsidRDefault="007710A0" w:rsidP="00AB16A5">
      <w:pPr>
        <w:numPr>
          <w:ilvl w:val="1"/>
          <w:numId w:val="364"/>
        </w:numPr>
        <w:tabs>
          <w:tab w:val="left" w:pos="1274"/>
        </w:tabs>
        <w:spacing w:before="120" w:line="276" w:lineRule="auto"/>
        <w:ind w:hanging="568"/>
        <w:jc w:val="both"/>
        <w:rPr>
          <w:rFonts w:ascii="Arial" w:hAnsi="Arial" w:cs="Arial"/>
          <w:sz w:val="20"/>
        </w:rPr>
      </w:pPr>
      <w:r w:rsidRPr="007710A0">
        <w:rPr>
          <w:rFonts w:ascii="Arial" w:hAnsi="Arial" w:cs="Arial"/>
          <w:sz w:val="20"/>
        </w:rPr>
        <w:t>information</w:t>
      </w:r>
      <w:r w:rsidRPr="007710A0">
        <w:rPr>
          <w:rFonts w:ascii="Arial" w:hAnsi="Arial" w:cs="Arial"/>
          <w:spacing w:val="-3"/>
          <w:sz w:val="20"/>
        </w:rPr>
        <w:t xml:space="preserve"> </w:t>
      </w:r>
      <w:r w:rsidRPr="007710A0">
        <w:rPr>
          <w:rFonts w:ascii="Arial" w:hAnsi="Arial" w:cs="Arial"/>
          <w:sz w:val="20"/>
        </w:rPr>
        <w:t>for</w:t>
      </w:r>
      <w:r w:rsidRPr="007710A0">
        <w:rPr>
          <w:rFonts w:ascii="Arial" w:hAnsi="Arial" w:cs="Arial"/>
          <w:spacing w:val="-2"/>
          <w:sz w:val="20"/>
        </w:rPr>
        <w:t xml:space="preserve"> </w:t>
      </w:r>
      <w:r w:rsidRPr="007710A0">
        <w:rPr>
          <w:rFonts w:ascii="Arial" w:hAnsi="Arial" w:cs="Arial"/>
          <w:sz w:val="20"/>
        </w:rPr>
        <w:t>ground</w:t>
      </w:r>
      <w:r w:rsidRPr="007710A0">
        <w:rPr>
          <w:rFonts w:ascii="Arial" w:hAnsi="Arial" w:cs="Arial"/>
          <w:spacing w:val="-3"/>
          <w:sz w:val="20"/>
        </w:rPr>
        <w:t xml:space="preserve"> </w:t>
      </w:r>
      <w:r w:rsidRPr="007710A0">
        <w:rPr>
          <w:rFonts w:ascii="Arial" w:hAnsi="Arial" w:cs="Arial"/>
          <w:sz w:val="20"/>
        </w:rPr>
        <w:t>handling,</w:t>
      </w:r>
      <w:r w:rsidRPr="007710A0">
        <w:rPr>
          <w:rFonts w:ascii="Arial" w:hAnsi="Arial" w:cs="Arial"/>
          <w:spacing w:val="-1"/>
          <w:sz w:val="20"/>
        </w:rPr>
        <w:t xml:space="preserve"> </w:t>
      </w:r>
      <w:r w:rsidRPr="007710A0">
        <w:rPr>
          <w:rFonts w:ascii="Arial" w:hAnsi="Arial" w:cs="Arial"/>
          <w:sz w:val="20"/>
        </w:rPr>
        <w:t>transport</w:t>
      </w:r>
      <w:r w:rsidRPr="007710A0">
        <w:rPr>
          <w:rFonts w:ascii="Arial" w:hAnsi="Arial" w:cs="Arial"/>
          <w:spacing w:val="-2"/>
          <w:sz w:val="20"/>
        </w:rPr>
        <w:t xml:space="preserve"> </w:t>
      </w:r>
      <w:r w:rsidRPr="007710A0">
        <w:rPr>
          <w:rFonts w:ascii="Arial" w:hAnsi="Arial" w:cs="Arial"/>
          <w:sz w:val="20"/>
        </w:rPr>
        <w:t>and</w:t>
      </w:r>
      <w:r w:rsidRPr="007710A0">
        <w:rPr>
          <w:rFonts w:ascii="Arial" w:hAnsi="Arial" w:cs="Arial"/>
          <w:spacing w:val="-5"/>
          <w:sz w:val="20"/>
        </w:rPr>
        <w:t xml:space="preserve"> </w:t>
      </w:r>
      <w:r w:rsidRPr="007710A0">
        <w:rPr>
          <w:rFonts w:ascii="Arial" w:hAnsi="Arial" w:cs="Arial"/>
          <w:sz w:val="20"/>
        </w:rPr>
        <w:t>storage.</w:t>
      </w:r>
    </w:p>
    <w:p w14:paraId="48C2A839" w14:textId="77777777" w:rsidR="00F40863" w:rsidRPr="002163E5" w:rsidRDefault="007710A0" w:rsidP="00B30DE9">
      <w:pPr>
        <w:numPr>
          <w:ilvl w:val="0"/>
          <w:numId w:val="364"/>
        </w:numPr>
        <w:tabs>
          <w:tab w:val="left" w:pos="707"/>
        </w:tabs>
        <w:spacing w:before="118" w:line="276" w:lineRule="auto"/>
        <w:ind w:right="44"/>
        <w:jc w:val="both"/>
        <w:rPr>
          <w:rFonts w:ascii="Arial" w:hAnsi="Arial" w:cs="Arial"/>
          <w:sz w:val="20"/>
        </w:rPr>
      </w:pPr>
      <w:r w:rsidRPr="007710A0">
        <w:rPr>
          <w:rFonts w:ascii="Arial" w:hAnsi="Arial" w:cs="Arial"/>
          <w:sz w:val="20"/>
        </w:rPr>
        <w:t>The operating limitations, normal and emergency procedures, and other relevant information</w:t>
      </w:r>
      <w:r w:rsidRPr="007710A0">
        <w:rPr>
          <w:rFonts w:ascii="Arial" w:hAnsi="Arial" w:cs="Arial"/>
          <w:spacing w:val="1"/>
          <w:sz w:val="20"/>
        </w:rPr>
        <w:t xml:space="preserve"> </w:t>
      </w:r>
      <w:r w:rsidRPr="007710A0">
        <w:rPr>
          <w:rFonts w:ascii="Arial" w:hAnsi="Arial" w:cs="Arial"/>
          <w:sz w:val="20"/>
        </w:rPr>
        <w:t>specific to the balloon’s operating characteristics and necessary for safe operation must be</w:t>
      </w:r>
      <w:r w:rsidRPr="007710A0">
        <w:rPr>
          <w:rFonts w:ascii="Arial" w:hAnsi="Arial" w:cs="Arial"/>
          <w:spacing w:val="1"/>
          <w:sz w:val="20"/>
        </w:rPr>
        <w:t xml:space="preserve"> </w:t>
      </w:r>
      <w:r w:rsidRPr="007710A0">
        <w:rPr>
          <w:rFonts w:ascii="Arial" w:hAnsi="Arial" w:cs="Arial"/>
          <w:sz w:val="20"/>
        </w:rPr>
        <w:t>provided</w:t>
      </w:r>
      <w:r w:rsidRPr="007710A0">
        <w:rPr>
          <w:rFonts w:ascii="Arial" w:hAnsi="Arial" w:cs="Arial"/>
          <w:spacing w:val="-2"/>
          <w:sz w:val="20"/>
        </w:rPr>
        <w:t xml:space="preserve"> </w:t>
      </w:r>
      <w:r w:rsidRPr="007710A0">
        <w:rPr>
          <w:rFonts w:ascii="Arial" w:hAnsi="Arial" w:cs="Arial"/>
          <w:sz w:val="20"/>
        </w:rPr>
        <w:t>to</w:t>
      </w:r>
      <w:r w:rsidRPr="007710A0">
        <w:rPr>
          <w:rFonts w:ascii="Arial" w:hAnsi="Arial" w:cs="Arial"/>
          <w:spacing w:val="-1"/>
          <w:sz w:val="20"/>
        </w:rPr>
        <w:t xml:space="preserve"> </w:t>
      </w:r>
      <w:r w:rsidRPr="007710A0">
        <w:rPr>
          <w:rFonts w:ascii="Arial" w:hAnsi="Arial" w:cs="Arial"/>
          <w:sz w:val="20"/>
        </w:rPr>
        <w:t>the</w:t>
      </w:r>
      <w:r w:rsidRPr="007710A0">
        <w:rPr>
          <w:rFonts w:ascii="Arial" w:hAnsi="Arial" w:cs="Arial"/>
          <w:spacing w:val="1"/>
          <w:sz w:val="20"/>
        </w:rPr>
        <w:t xml:space="preserve"> </w:t>
      </w:r>
      <w:r w:rsidRPr="007710A0">
        <w:rPr>
          <w:rFonts w:ascii="Arial" w:hAnsi="Arial" w:cs="Arial"/>
          <w:sz w:val="20"/>
        </w:rPr>
        <w:t>pilot.</w:t>
      </w:r>
    </w:p>
    <w:p w14:paraId="6EBC67AC" w14:textId="77777777" w:rsidR="00F40863" w:rsidRPr="0010139D" w:rsidRDefault="002163E5" w:rsidP="0010139D">
      <w:pPr>
        <w:keepNext/>
        <w:keepLines/>
        <w:widowControl/>
        <w:shd w:val="clear" w:color="auto" w:fill="ED7D31"/>
        <w:autoSpaceDE/>
        <w:autoSpaceDN/>
        <w:spacing w:before="160" w:after="120" w:line="276" w:lineRule="auto"/>
        <w:outlineLvl w:val="4"/>
        <w:rPr>
          <w:rFonts w:ascii="Arial" w:eastAsia="Times New Roman" w:hAnsi="Arial" w:cs="Times New Roman"/>
          <w:b/>
          <w:color w:val="FFFFFF"/>
          <w:sz w:val="24"/>
        </w:rPr>
      </w:pPr>
      <w:bookmarkStart w:id="1176" w:name="AMC_31GB.81_Operating_instructions"/>
      <w:bookmarkStart w:id="1177" w:name="_bookmark493"/>
      <w:bookmarkStart w:id="1178" w:name="_Toc153137657"/>
      <w:bookmarkEnd w:id="1176"/>
      <w:bookmarkEnd w:id="1177"/>
      <w:r w:rsidRPr="002163E5">
        <w:rPr>
          <w:rFonts w:ascii="Arial" w:eastAsia="Times New Roman" w:hAnsi="Arial" w:cs="Times New Roman"/>
          <w:b/>
          <w:color w:val="FFFFFF"/>
          <w:sz w:val="24"/>
        </w:rPr>
        <w:t>AMC 31GB.81 Operating instructions</w:t>
      </w:r>
      <w:bookmarkEnd w:id="1178"/>
    </w:p>
    <w:p w14:paraId="4CE230F0" w14:textId="77777777" w:rsidR="002163E5" w:rsidRPr="002163E5" w:rsidRDefault="002163E5" w:rsidP="00AB16A5">
      <w:pPr>
        <w:numPr>
          <w:ilvl w:val="0"/>
          <w:numId w:val="365"/>
        </w:numPr>
        <w:tabs>
          <w:tab w:val="left" w:pos="707"/>
        </w:tabs>
        <w:spacing w:before="117" w:line="276" w:lineRule="auto"/>
        <w:jc w:val="both"/>
        <w:rPr>
          <w:rFonts w:ascii="Arial" w:hAnsi="Arial" w:cs="Arial"/>
          <w:sz w:val="20"/>
        </w:rPr>
      </w:pPr>
      <w:r w:rsidRPr="002163E5">
        <w:rPr>
          <w:rFonts w:ascii="Arial" w:hAnsi="Arial" w:cs="Arial"/>
          <w:sz w:val="20"/>
        </w:rPr>
        <w:t>It is recommended that the Specimen Flight Manual of CS-22 (AMC 22.1581) be used as guidance in the creation of a Balloon Flight Manual.</w:t>
      </w:r>
    </w:p>
    <w:p w14:paraId="1C7C3FFB" w14:textId="77777777" w:rsidR="002163E5" w:rsidRPr="002163E5" w:rsidRDefault="002163E5" w:rsidP="00AB16A5">
      <w:pPr>
        <w:numPr>
          <w:ilvl w:val="0"/>
          <w:numId w:val="365"/>
        </w:numPr>
        <w:tabs>
          <w:tab w:val="left" w:pos="707"/>
        </w:tabs>
        <w:spacing w:before="117" w:line="276" w:lineRule="auto"/>
        <w:jc w:val="both"/>
        <w:rPr>
          <w:rFonts w:ascii="Arial" w:hAnsi="Arial" w:cs="Arial"/>
          <w:sz w:val="20"/>
        </w:rPr>
      </w:pPr>
      <w:r w:rsidRPr="002163E5">
        <w:rPr>
          <w:rFonts w:ascii="Arial" w:hAnsi="Arial" w:cs="Arial"/>
          <w:sz w:val="20"/>
        </w:rPr>
        <w:t>Each part of the Flight Manual that is required to be approved needs to be segregated, identified and clearly distinguished from each unapproved part of that manual.</w:t>
      </w:r>
    </w:p>
    <w:p w14:paraId="65AF3D06" w14:textId="77777777" w:rsidR="002163E5" w:rsidRPr="002163E5" w:rsidRDefault="002163E5" w:rsidP="00AB16A5">
      <w:pPr>
        <w:numPr>
          <w:ilvl w:val="0"/>
          <w:numId w:val="365"/>
        </w:numPr>
        <w:tabs>
          <w:tab w:val="left" w:pos="707"/>
        </w:tabs>
        <w:spacing w:before="117" w:line="276" w:lineRule="auto"/>
        <w:jc w:val="both"/>
        <w:rPr>
          <w:rFonts w:ascii="Arial" w:hAnsi="Arial" w:cs="Arial"/>
          <w:sz w:val="20"/>
        </w:rPr>
      </w:pPr>
      <w:r w:rsidRPr="002163E5">
        <w:rPr>
          <w:rFonts w:ascii="Arial" w:hAnsi="Arial" w:cs="Arial"/>
          <w:sz w:val="20"/>
        </w:rPr>
        <w:t>A comprehensive list of approved basket and envelope configurations needs to be provided for each balloon model to enable operators, inspectors, etc. to easily establish an item’s acceptability.</w:t>
      </w:r>
    </w:p>
    <w:p w14:paraId="0EC4FBE7" w14:textId="77777777" w:rsidR="002163E5" w:rsidRPr="002163E5" w:rsidRDefault="002163E5" w:rsidP="00AB16A5">
      <w:pPr>
        <w:numPr>
          <w:ilvl w:val="0"/>
          <w:numId w:val="365"/>
        </w:numPr>
        <w:tabs>
          <w:tab w:val="left" w:pos="707"/>
        </w:tabs>
        <w:spacing w:before="117" w:line="276" w:lineRule="auto"/>
        <w:jc w:val="both"/>
        <w:rPr>
          <w:rFonts w:ascii="Arial" w:hAnsi="Arial" w:cs="Arial"/>
          <w:sz w:val="20"/>
        </w:rPr>
      </w:pPr>
      <w:r w:rsidRPr="002163E5">
        <w:rPr>
          <w:rFonts w:ascii="Arial" w:hAnsi="Arial" w:cs="Arial"/>
          <w:sz w:val="20"/>
        </w:rPr>
        <w:t>If applicable, the operating limitations, normal and emergency procedures need to include procedures and limitations for tethered flight. These procedures and limitations need to include:</w:t>
      </w:r>
    </w:p>
    <w:p w14:paraId="360095E6" w14:textId="77777777" w:rsidR="002163E5" w:rsidRPr="002163E5" w:rsidRDefault="002163E5" w:rsidP="00AB16A5">
      <w:pPr>
        <w:numPr>
          <w:ilvl w:val="1"/>
          <w:numId w:val="364"/>
        </w:numPr>
        <w:tabs>
          <w:tab w:val="left" w:pos="1274"/>
        </w:tabs>
        <w:spacing w:before="120" w:line="276" w:lineRule="auto"/>
        <w:ind w:hanging="568"/>
        <w:jc w:val="both"/>
        <w:rPr>
          <w:rFonts w:ascii="Arial" w:hAnsi="Arial" w:cs="Arial"/>
          <w:sz w:val="20"/>
        </w:rPr>
      </w:pPr>
      <w:r w:rsidRPr="002163E5">
        <w:rPr>
          <w:rFonts w:ascii="Arial" w:hAnsi="Arial" w:cs="Arial"/>
          <w:sz w:val="20"/>
        </w:rPr>
        <w:t>site selection, layout and assembly,</w:t>
      </w:r>
    </w:p>
    <w:p w14:paraId="4F836F3F" w14:textId="77777777" w:rsidR="002163E5" w:rsidRPr="002163E5" w:rsidRDefault="002163E5" w:rsidP="00AB16A5">
      <w:pPr>
        <w:numPr>
          <w:ilvl w:val="1"/>
          <w:numId w:val="364"/>
        </w:numPr>
        <w:tabs>
          <w:tab w:val="left" w:pos="1274"/>
        </w:tabs>
        <w:spacing w:before="120" w:line="276" w:lineRule="auto"/>
        <w:ind w:hanging="568"/>
        <w:jc w:val="both"/>
        <w:rPr>
          <w:rFonts w:ascii="Arial" w:hAnsi="Arial" w:cs="Arial"/>
          <w:sz w:val="20"/>
        </w:rPr>
      </w:pPr>
      <w:r w:rsidRPr="002163E5">
        <w:rPr>
          <w:rFonts w:ascii="Arial" w:hAnsi="Arial" w:cs="Arial"/>
          <w:sz w:val="20"/>
        </w:rPr>
        <w:t>the maximum wind speed and meteorological conditions for tethered operation,</w:t>
      </w:r>
    </w:p>
    <w:p w14:paraId="004FA3CD" w14:textId="77777777" w:rsidR="002163E5" w:rsidRPr="002163E5" w:rsidRDefault="002163E5" w:rsidP="00AB16A5">
      <w:pPr>
        <w:numPr>
          <w:ilvl w:val="1"/>
          <w:numId w:val="364"/>
        </w:numPr>
        <w:tabs>
          <w:tab w:val="left" w:pos="1274"/>
        </w:tabs>
        <w:spacing w:before="120" w:line="276" w:lineRule="auto"/>
        <w:ind w:hanging="568"/>
        <w:jc w:val="both"/>
        <w:rPr>
          <w:rFonts w:ascii="Arial" w:hAnsi="Arial" w:cs="Arial"/>
          <w:sz w:val="20"/>
        </w:rPr>
      </w:pPr>
      <w:r w:rsidRPr="002163E5">
        <w:rPr>
          <w:rFonts w:ascii="Arial" w:hAnsi="Arial" w:cs="Arial"/>
          <w:sz w:val="20"/>
        </w:rPr>
        <w:t>the MTOM (if different from free flight),</w:t>
      </w:r>
    </w:p>
    <w:p w14:paraId="0A4B8FC5" w14:textId="77777777" w:rsidR="002163E5" w:rsidRPr="002163E5" w:rsidRDefault="002163E5" w:rsidP="00AB16A5">
      <w:pPr>
        <w:numPr>
          <w:ilvl w:val="1"/>
          <w:numId w:val="364"/>
        </w:numPr>
        <w:tabs>
          <w:tab w:val="left" w:pos="1274"/>
        </w:tabs>
        <w:spacing w:before="120" w:line="276" w:lineRule="auto"/>
        <w:ind w:hanging="568"/>
        <w:jc w:val="both"/>
        <w:rPr>
          <w:rFonts w:ascii="Arial" w:hAnsi="Arial" w:cs="Arial"/>
          <w:sz w:val="20"/>
        </w:rPr>
      </w:pPr>
      <w:r w:rsidRPr="002163E5">
        <w:rPr>
          <w:rFonts w:ascii="Arial" w:hAnsi="Arial" w:cs="Arial"/>
          <w:sz w:val="20"/>
        </w:rPr>
        <w:t>the maximum height of the tether,</w:t>
      </w:r>
    </w:p>
    <w:p w14:paraId="0FD73710" w14:textId="77777777" w:rsidR="002163E5" w:rsidRPr="002163E5" w:rsidRDefault="002163E5" w:rsidP="00AB16A5">
      <w:pPr>
        <w:numPr>
          <w:ilvl w:val="1"/>
          <w:numId w:val="364"/>
        </w:numPr>
        <w:tabs>
          <w:tab w:val="left" w:pos="1274"/>
        </w:tabs>
        <w:spacing w:before="120" w:line="276" w:lineRule="auto"/>
        <w:ind w:hanging="568"/>
        <w:jc w:val="both"/>
        <w:rPr>
          <w:rFonts w:ascii="Arial" w:hAnsi="Arial" w:cs="Arial"/>
          <w:sz w:val="20"/>
        </w:rPr>
      </w:pPr>
      <w:r w:rsidRPr="002163E5">
        <w:rPr>
          <w:rFonts w:ascii="Arial" w:hAnsi="Arial" w:cs="Arial"/>
          <w:sz w:val="20"/>
        </w:rPr>
        <w:t>the minimum strength of ropes, rigging, etc.,</w:t>
      </w:r>
    </w:p>
    <w:p w14:paraId="4E680F09" w14:textId="77777777" w:rsidR="002163E5" w:rsidRPr="002163E5" w:rsidRDefault="002163E5" w:rsidP="00AB16A5">
      <w:pPr>
        <w:numPr>
          <w:ilvl w:val="1"/>
          <w:numId w:val="364"/>
        </w:numPr>
        <w:tabs>
          <w:tab w:val="left" w:pos="1274"/>
        </w:tabs>
        <w:spacing w:before="120" w:line="276" w:lineRule="auto"/>
        <w:ind w:hanging="568"/>
        <w:jc w:val="both"/>
        <w:rPr>
          <w:rFonts w:ascii="Arial" w:hAnsi="Arial" w:cs="Arial"/>
          <w:sz w:val="20"/>
        </w:rPr>
      </w:pPr>
      <w:r w:rsidRPr="002163E5">
        <w:rPr>
          <w:rFonts w:ascii="Arial" w:hAnsi="Arial" w:cs="Arial"/>
          <w:sz w:val="20"/>
        </w:rPr>
        <w:t>limitations on occupancy (if applicable).</w:t>
      </w:r>
    </w:p>
    <w:p w14:paraId="091599A3" w14:textId="77777777" w:rsidR="0010139D" w:rsidRPr="0010139D" w:rsidRDefault="0010139D" w:rsidP="0010139D">
      <w:pPr>
        <w:keepNext/>
        <w:keepLines/>
        <w:widowControl/>
        <w:shd w:val="clear" w:color="auto" w:fill="ED7D31"/>
        <w:autoSpaceDE/>
        <w:autoSpaceDN/>
        <w:spacing w:before="160" w:after="120" w:line="276" w:lineRule="auto"/>
        <w:outlineLvl w:val="4"/>
        <w:rPr>
          <w:rFonts w:ascii="Arial" w:eastAsia="Times New Roman" w:hAnsi="Arial" w:cs="Times New Roman"/>
          <w:b/>
          <w:color w:val="FFFFFF"/>
          <w:sz w:val="24"/>
        </w:rPr>
      </w:pPr>
      <w:bookmarkStart w:id="1179" w:name="AMC_31GB.81(b)(2)_Operating_instructions"/>
      <w:bookmarkStart w:id="1180" w:name="_bookmark494"/>
      <w:bookmarkStart w:id="1181" w:name="_Toc153137658"/>
      <w:bookmarkEnd w:id="1179"/>
      <w:bookmarkEnd w:id="1180"/>
      <w:r w:rsidRPr="0010139D">
        <w:rPr>
          <w:rFonts w:ascii="Arial" w:eastAsia="Times New Roman" w:hAnsi="Arial" w:cs="Times New Roman"/>
          <w:b/>
          <w:color w:val="FFFFFF"/>
          <w:sz w:val="24"/>
        </w:rPr>
        <w:t>AMC 31GB.81(b)(2) Operating instructions</w:t>
      </w:r>
      <w:bookmarkEnd w:id="1181"/>
    </w:p>
    <w:p w14:paraId="1CB3B76B" w14:textId="77777777" w:rsidR="0010139D" w:rsidRPr="0010139D" w:rsidRDefault="0010139D" w:rsidP="00B61A09">
      <w:pPr>
        <w:spacing w:before="117" w:line="276" w:lineRule="auto"/>
        <w:ind w:right="26"/>
        <w:jc w:val="both"/>
        <w:rPr>
          <w:rFonts w:ascii="Arial" w:hAnsi="Arial" w:cs="Arial"/>
          <w:spacing w:val="-1"/>
          <w:sz w:val="20"/>
        </w:rPr>
      </w:pPr>
      <w:r w:rsidRPr="0010139D">
        <w:rPr>
          <w:rFonts w:ascii="Arial" w:hAnsi="Arial" w:cs="Arial"/>
          <w:spacing w:val="-1"/>
          <w:sz w:val="20"/>
        </w:rPr>
        <w:t>The operating procedures should contain instructions necessary for the safe operation of the balloon. In particular, mitigating measures for risks of that specific type of balloon should be included. Examples are safety instructions for flying, filling or deflating envelopes using a flammable or poisonous gas as lifting gas.</w:t>
      </w:r>
    </w:p>
    <w:p w14:paraId="35903600" w14:textId="77777777" w:rsidR="00F40863" w:rsidRPr="00B61A09" w:rsidRDefault="0010139D" w:rsidP="00B61A09">
      <w:pPr>
        <w:spacing w:before="117" w:line="276" w:lineRule="auto"/>
        <w:ind w:right="26"/>
        <w:jc w:val="both"/>
        <w:rPr>
          <w:rFonts w:ascii="Arial" w:hAnsi="Arial" w:cs="Arial"/>
          <w:spacing w:val="-1"/>
          <w:sz w:val="20"/>
        </w:rPr>
      </w:pPr>
      <w:r w:rsidRPr="0010139D">
        <w:rPr>
          <w:rFonts w:ascii="Arial" w:hAnsi="Arial" w:cs="Arial"/>
          <w:spacing w:val="-1"/>
          <w:sz w:val="20"/>
        </w:rPr>
        <w:t>Operating procedures need to provide empty mass information required by CS 31GB.16 in an unambiguous manner that will allow the verification of the balloon’s mass limitations before flight.</w:t>
      </w:r>
    </w:p>
    <w:p w14:paraId="78746554" w14:textId="77777777" w:rsidR="00B61A09" w:rsidRPr="00B61A09" w:rsidRDefault="00B61A09" w:rsidP="00B61A09">
      <w:pPr>
        <w:keepNext/>
        <w:keepLines/>
        <w:widowControl/>
        <w:shd w:val="clear" w:color="auto" w:fill="ED7D31"/>
        <w:autoSpaceDE/>
        <w:autoSpaceDN/>
        <w:spacing w:before="160" w:after="120" w:line="276" w:lineRule="auto"/>
        <w:outlineLvl w:val="4"/>
        <w:rPr>
          <w:rFonts w:ascii="Arial" w:eastAsia="Times New Roman" w:hAnsi="Arial" w:cs="Times New Roman"/>
          <w:b/>
          <w:color w:val="FFFFFF"/>
          <w:sz w:val="24"/>
        </w:rPr>
      </w:pPr>
      <w:bookmarkStart w:id="1182" w:name="AMC_31GB.81(c)_Operating_instructions"/>
      <w:bookmarkStart w:id="1183" w:name="_bookmark495"/>
      <w:bookmarkStart w:id="1184" w:name="_Toc153137659"/>
      <w:bookmarkEnd w:id="1182"/>
      <w:bookmarkEnd w:id="1183"/>
      <w:r w:rsidRPr="00B61A09">
        <w:rPr>
          <w:rFonts w:ascii="Arial" w:eastAsia="Times New Roman" w:hAnsi="Arial" w:cs="Times New Roman"/>
          <w:b/>
          <w:color w:val="FFFFFF"/>
          <w:sz w:val="24"/>
        </w:rPr>
        <w:t>AMC 31GB.81(c) Operating instructions</w:t>
      </w:r>
      <w:bookmarkEnd w:id="1184"/>
    </w:p>
    <w:p w14:paraId="246044B9" w14:textId="77777777" w:rsidR="00B61A09" w:rsidRPr="00B61A09" w:rsidRDefault="00B61A09" w:rsidP="00B61A09">
      <w:pPr>
        <w:tabs>
          <w:tab w:val="left" w:pos="1274"/>
        </w:tabs>
        <w:spacing w:line="276" w:lineRule="auto"/>
        <w:ind w:right="26"/>
        <w:jc w:val="both"/>
        <w:rPr>
          <w:rFonts w:ascii="Arial" w:hAnsi="Arial" w:cs="Arial"/>
          <w:sz w:val="20"/>
        </w:rPr>
      </w:pPr>
      <w:r w:rsidRPr="00B61A09">
        <w:rPr>
          <w:rFonts w:ascii="Arial" w:hAnsi="Arial" w:cs="Arial"/>
          <w:sz w:val="20"/>
        </w:rPr>
        <w:t>The operating limitations, normal and emergency procedures need to be available to the pilot during operation by providing the specific sections of the flight manual or by other means (e.g. placards, quick reference cards) that effectively accomplish the purpose.</w:t>
      </w:r>
    </w:p>
    <w:p w14:paraId="1C3934C4" w14:textId="77777777" w:rsidR="00B61A09" w:rsidRDefault="00B61A09" w:rsidP="009B2DD4">
      <w:pPr>
        <w:tabs>
          <w:tab w:val="left" w:pos="1274"/>
        </w:tabs>
        <w:ind w:right="196"/>
        <w:jc w:val="both"/>
        <w:rPr>
          <w:rFonts w:ascii="Arial" w:hAnsi="Arial" w:cs="Arial"/>
        </w:rPr>
      </w:pPr>
    </w:p>
    <w:p w14:paraId="59AA0896" w14:textId="77777777" w:rsidR="00F40863" w:rsidRDefault="00F40863" w:rsidP="009B2DD4">
      <w:pPr>
        <w:tabs>
          <w:tab w:val="left" w:pos="1274"/>
        </w:tabs>
        <w:ind w:right="196"/>
        <w:jc w:val="both"/>
        <w:rPr>
          <w:rFonts w:ascii="Arial" w:hAnsi="Arial" w:cs="Arial"/>
        </w:rPr>
      </w:pPr>
    </w:p>
    <w:p w14:paraId="6B1843F9" w14:textId="77777777" w:rsidR="001D2568" w:rsidRPr="001D2568" w:rsidRDefault="001D2568" w:rsidP="001D2568">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185" w:name="CS_31GB.82_Instructions_for_continued_ai"/>
      <w:bookmarkStart w:id="1186" w:name="_bookmark496"/>
      <w:bookmarkStart w:id="1187" w:name="_Toc153137660"/>
      <w:bookmarkEnd w:id="1185"/>
      <w:bookmarkEnd w:id="1186"/>
      <w:r w:rsidRPr="001D2568">
        <w:rPr>
          <w:rFonts w:ascii="Arial" w:eastAsia="Times New Roman" w:hAnsi="Arial" w:cs="Times New Roman"/>
          <w:b/>
          <w:iCs/>
          <w:color w:val="FFFFFF"/>
          <w:sz w:val="24"/>
        </w:rPr>
        <w:lastRenderedPageBreak/>
        <w:t>CS 31GB.82 Instructions for continued airworthiness</w:t>
      </w:r>
      <w:bookmarkEnd w:id="1187"/>
    </w:p>
    <w:p w14:paraId="1CF48D5D" w14:textId="77777777" w:rsidR="001D2568" w:rsidRPr="001D2568" w:rsidRDefault="001D2568" w:rsidP="00AB16A5">
      <w:pPr>
        <w:numPr>
          <w:ilvl w:val="0"/>
          <w:numId w:val="366"/>
        </w:numPr>
        <w:tabs>
          <w:tab w:val="left" w:pos="707"/>
        </w:tabs>
        <w:spacing w:before="117" w:line="276" w:lineRule="auto"/>
        <w:jc w:val="both"/>
        <w:rPr>
          <w:rFonts w:ascii="Arial" w:hAnsi="Arial" w:cs="Arial"/>
          <w:sz w:val="20"/>
        </w:rPr>
      </w:pPr>
      <w:r w:rsidRPr="001D2568">
        <w:rPr>
          <w:rFonts w:ascii="Arial" w:hAnsi="Arial" w:cs="Arial"/>
          <w:sz w:val="20"/>
        </w:rPr>
        <w:t>The instructions for Continued Airworthiness must include information essential to the Continued Airworthiness of all parts and appliances of the balloon as required by CS-31GB.</w:t>
      </w:r>
    </w:p>
    <w:p w14:paraId="6CDFDD75" w14:textId="77777777" w:rsidR="001D2568" w:rsidRPr="001D2568" w:rsidRDefault="001D2568" w:rsidP="00AB16A5">
      <w:pPr>
        <w:numPr>
          <w:ilvl w:val="0"/>
          <w:numId w:val="366"/>
        </w:numPr>
        <w:tabs>
          <w:tab w:val="left" w:pos="707"/>
        </w:tabs>
        <w:spacing w:before="117" w:line="276" w:lineRule="auto"/>
        <w:jc w:val="both"/>
        <w:rPr>
          <w:rFonts w:ascii="Arial" w:hAnsi="Arial" w:cs="Arial"/>
          <w:sz w:val="20"/>
        </w:rPr>
      </w:pPr>
      <w:r w:rsidRPr="001D2568">
        <w:rPr>
          <w:rFonts w:ascii="Arial" w:hAnsi="Arial" w:cs="Arial"/>
          <w:sz w:val="20"/>
        </w:rPr>
        <w:t>The instructions for Continued Airworthiness must be in the form of a manual or manuals as appropriate for the quantity of data provided.</w:t>
      </w:r>
    </w:p>
    <w:p w14:paraId="633FC5F1" w14:textId="77777777" w:rsidR="001D2568" w:rsidRPr="001D2568" w:rsidRDefault="001D2568" w:rsidP="00AB16A5">
      <w:pPr>
        <w:numPr>
          <w:ilvl w:val="0"/>
          <w:numId w:val="366"/>
        </w:numPr>
        <w:tabs>
          <w:tab w:val="left" w:pos="707"/>
        </w:tabs>
        <w:spacing w:before="117" w:line="276" w:lineRule="auto"/>
        <w:jc w:val="both"/>
        <w:rPr>
          <w:rFonts w:ascii="Arial" w:hAnsi="Arial" w:cs="Arial"/>
          <w:sz w:val="20"/>
        </w:rPr>
      </w:pPr>
      <w:r w:rsidRPr="001D2568">
        <w:rPr>
          <w:rFonts w:ascii="Arial" w:hAnsi="Arial" w:cs="Arial"/>
          <w:sz w:val="20"/>
        </w:rPr>
        <w:t>The format of the manual or manuals must provide for a practical arrangement.</w:t>
      </w:r>
    </w:p>
    <w:p w14:paraId="209992E2" w14:textId="77777777" w:rsidR="001D2568" w:rsidRPr="001D2568" w:rsidRDefault="001D2568" w:rsidP="00AB16A5">
      <w:pPr>
        <w:numPr>
          <w:ilvl w:val="0"/>
          <w:numId w:val="366"/>
        </w:numPr>
        <w:tabs>
          <w:tab w:val="left" w:pos="707"/>
        </w:tabs>
        <w:spacing w:before="117" w:line="276" w:lineRule="auto"/>
        <w:jc w:val="both"/>
        <w:rPr>
          <w:rFonts w:ascii="Arial" w:hAnsi="Arial" w:cs="Arial"/>
          <w:sz w:val="20"/>
        </w:rPr>
      </w:pPr>
      <w:r w:rsidRPr="001D2568">
        <w:rPr>
          <w:rFonts w:ascii="Arial" w:hAnsi="Arial" w:cs="Arial"/>
          <w:sz w:val="20"/>
        </w:rPr>
        <w:t>The instructions for Continued Airworthiness must cover:</w:t>
      </w:r>
    </w:p>
    <w:p w14:paraId="3EA4A3E5" w14:textId="77777777" w:rsidR="001D2568" w:rsidRPr="001D2568" w:rsidRDefault="001D2568" w:rsidP="00AB16A5">
      <w:pPr>
        <w:numPr>
          <w:ilvl w:val="0"/>
          <w:numId w:val="367"/>
        </w:numPr>
        <w:tabs>
          <w:tab w:val="left" w:pos="1274"/>
        </w:tabs>
        <w:spacing w:before="120" w:line="276" w:lineRule="auto"/>
        <w:jc w:val="both"/>
        <w:rPr>
          <w:rFonts w:ascii="Arial" w:hAnsi="Arial" w:cs="Arial"/>
          <w:sz w:val="20"/>
        </w:rPr>
      </w:pPr>
      <w:r w:rsidRPr="001D2568">
        <w:rPr>
          <w:rFonts w:ascii="Arial" w:hAnsi="Arial" w:cs="Arial"/>
          <w:sz w:val="20"/>
        </w:rPr>
        <w:t>detailed description of the balloon and its components, systems and installations;</w:t>
      </w:r>
    </w:p>
    <w:p w14:paraId="4D306015" w14:textId="77777777" w:rsidR="001D2568" w:rsidRPr="001D2568" w:rsidRDefault="001D2568" w:rsidP="00AB16A5">
      <w:pPr>
        <w:numPr>
          <w:ilvl w:val="0"/>
          <w:numId w:val="367"/>
        </w:numPr>
        <w:tabs>
          <w:tab w:val="left" w:pos="1274"/>
        </w:tabs>
        <w:spacing w:before="120" w:line="276" w:lineRule="auto"/>
        <w:jc w:val="both"/>
        <w:rPr>
          <w:rFonts w:ascii="Arial" w:hAnsi="Arial" w:cs="Arial"/>
          <w:sz w:val="20"/>
        </w:rPr>
      </w:pPr>
      <w:r w:rsidRPr="001D2568">
        <w:rPr>
          <w:rFonts w:ascii="Arial" w:hAnsi="Arial" w:cs="Arial"/>
          <w:sz w:val="20"/>
        </w:rPr>
        <w:t>handling instructions;</w:t>
      </w:r>
    </w:p>
    <w:p w14:paraId="53E2E1F1" w14:textId="77777777" w:rsidR="001D2568" w:rsidRPr="001D2568" w:rsidRDefault="001D2568" w:rsidP="00AB16A5">
      <w:pPr>
        <w:numPr>
          <w:ilvl w:val="0"/>
          <w:numId w:val="367"/>
        </w:numPr>
        <w:tabs>
          <w:tab w:val="left" w:pos="1274"/>
        </w:tabs>
        <w:spacing w:before="120" w:line="276" w:lineRule="auto"/>
        <w:jc w:val="both"/>
        <w:rPr>
          <w:rFonts w:ascii="Arial" w:hAnsi="Arial" w:cs="Arial"/>
          <w:sz w:val="20"/>
        </w:rPr>
      </w:pPr>
      <w:r w:rsidRPr="001D2568">
        <w:rPr>
          <w:rFonts w:ascii="Arial" w:hAnsi="Arial" w:cs="Arial"/>
          <w:sz w:val="20"/>
        </w:rPr>
        <w:t>basic control and operating information describing how the balloon’s components, systems and installations operate;</w:t>
      </w:r>
    </w:p>
    <w:p w14:paraId="4202ABFF" w14:textId="77777777" w:rsidR="001D2568" w:rsidRPr="001D2568" w:rsidRDefault="001D2568" w:rsidP="00AB16A5">
      <w:pPr>
        <w:numPr>
          <w:ilvl w:val="0"/>
          <w:numId w:val="367"/>
        </w:numPr>
        <w:tabs>
          <w:tab w:val="left" w:pos="1274"/>
        </w:tabs>
        <w:spacing w:before="120" w:line="276" w:lineRule="auto"/>
        <w:jc w:val="both"/>
        <w:rPr>
          <w:rFonts w:ascii="Arial" w:hAnsi="Arial" w:cs="Arial"/>
          <w:sz w:val="20"/>
        </w:rPr>
      </w:pPr>
      <w:r w:rsidRPr="001D2568">
        <w:rPr>
          <w:rFonts w:ascii="Arial" w:hAnsi="Arial" w:cs="Arial"/>
          <w:sz w:val="20"/>
        </w:rPr>
        <w:t>servicing information;</w:t>
      </w:r>
    </w:p>
    <w:p w14:paraId="7B8D407B" w14:textId="77777777" w:rsidR="001D2568" w:rsidRPr="001D2568" w:rsidRDefault="001D2568" w:rsidP="00AB16A5">
      <w:pPr>
        <w:numPr>
          <w:ilvl w:val="0"/>
          <w:numId w:val="367"/>
        </w:numPr>
        <w:tabs>
          <w:tab w:val="left" w:pos="1274"/>
        </w:tabs>
        <w:spacing w:before="120" w:line="276" w:lineRule="auto"/>
        <w:jc w:val="both"/>
        <w:rPr>
          <w:rFonts w:ascii="Arial" w:hAnsi="Arial" w:cs="Arial"/>
          <w:sz w:val="20"/>
        </w:rPr>
      </w:pPr>
      <w:r w:rsidRPr="001D2568">
        <w:rPr>
          <w:rFonts w:ascii="Arial" w:hAnsi="Arial" w:cs="Arial"/>
          <w:sz w:val="20"/>
        </w:rPr>
        <w:t>a maintenance schedule against which the balloon must be inspected and maintained;</w:t>
      </w:r>
    </w:p>
    <w:p w14:paraId="74EFAFA2" w14:textId="77777777" w:rsidR="001D2568" w:rsidRPr="001D2568" w:rsidRDefault="001D2568" w:rsidP="00AB16A5">
      <w:pPr>
        <w:numPr>
          <w:ilvl w:val="0"/>
          <w:numId w:val="367"/>
        </w:numPr>
        <w:tabs>
          <w:tab w:val="left" w:pos="1274"/>
        </w:tabs>
        <w:spacing w:before="120" w:line="276" w:lineRule="auto"/>
        <w:jc w:val="both"/>
        <w:rPr>
          <w:rFonts w:ascii="Arial" w:hAnsi="Arial" w:cs="Arial"/>
          <w:sz w:val="20"/>
        </w:rPr>
      </w:pPr>
      <w:r w:rsidRPr="001D2568">
        <w:rPr>
          <w:rFonts w:ascii="Arial" w:hAnsi="Arial" w:cs="Arial"/>
          <w:sz w:val="20"/>
        </w:rPr>
        <w:t>maintenance and inspection instructions;</w:t>
      </w:r>
    </w:p>
    <w:p w14:paraId="2A31CAEC" w14:textId="77777777" w:rsidR="001D2568" w:rsidRPr="001D2568" w:rsidRDefault="001D2568" w:rsidP="00AB16A5">
      <w:pPr>
        <w:numPr>
          <w:ilvl w:val="0"/>
          <w:numId w:val="367"/>
        </w:numPr>
        <w:tabs>
          <w:tab w:val="left" w:pos="1274"/>
        </w:tabs>
        <w:spacing w:before="120" w:line="276" w:lineRule="auto"/>
        <w:jc w:val="both"/>
        <w:rPr>
          <w:rFonts w:ascii="Arial" w:hAnsi="Arial" w:cs="Arial"/>
          <w:sz w:val="20"/>
        </w:rPr>
      </w:pPr>
      <w:r w:rsidRPr="001D2568">
        <w:rPr>
          <w:rFonts w:ascii="Arial" w:hAnsi="Arial" w:cs="Arial"/>
          <w:sz w:val="20"/>
        </w:rPr>
        <w:t>repair instructions;</w:t>
      </w:r>
    </w:p>
    <w:p w14:paraId="534276F5" w14:textId="77777777" w:rsidR="001D2568" w:rsidRPr="001D2568" w:rsidRDefault="001D2568" w:rsidP="00AB16A5">
      <w:pPr>
        <w:numPr>
          <w:ilvl w:val="0"/>
          <w:numId w:val="367"/>
        </w:numPr>
        <w:tabs>
          <w:tab w:val="left" w:pos="1274"/>
        </w:tabs>
        <w:spacing w:before="120" w:line="276" w:lineRule="auto"/>
        <w:jc w:val="both"/>
        <w:rPr>
          <w:rFonts w:ascii="Arial" w:hAnsi="Arial" w:cs="Arial"/>
          <w:sz w:val="20"/>
        </w:rPr>
      </w:pPr>
      <w:r w:rsidRPr="001D2568">
        <w:rPr>
          <w:rFonts w:ascii="Arial" w:hAnsi="Arial" w:cs="Arial"/>
          <w:sz w:val="20"/>
        </w:rPr>
        <w:t>trouble-shooting information;</w:t>
      </w:r>
    </w:p>
    <w:p w14:paraId="37DA69D3" w14:textId="77777777" w:rsidR="001D2568" w:rsidRPr="001D2568" w:rsidRDefault="001D2568" w:rsidP="00AB16A5">
      <w:pPr>
        <w:numPr>
          <w:ilvl w:val="0"/>
          <w:numId w:val="367"/>
        </w:numPr>
        <w:tabs>
          <w:tab w:val="left" w:pos="1274"/>
        </w:tabs>
        <w:spacing w:before="120" w:line="276" w:lineRule="auto"/>
        <w:jc w:val="both"/>
        <w:rPr>
          <w:rFonts w:ascii="Arial" w:hAnsi="Arial" w:cs="Arial"/>
          <w:sz w:val="20"/>
        </w:rPr>
      </w:pPr>
      <w:r w:rsidRPr="001D2568">
        <w:rPr>
          <w:rFonts w:ascii="Arial" w:hAnsi="Arial" w:cs="Arial"/>
          <w:sz w:val="20"/>
        </w:rPr>
        <w:t>airworthiness limitations that set forth each mandatory replacement time, inspection interval and related inspection procedure. This section of the manual requires approval.</w:t>
      </w:r>
    </w:p>
    <w:p w14:paraId="511A8ECE" w14:textId="77777777" w:rsidR="00BD304B" w:rsidRPr="00BD304B" w:rsidRDefault="00BD304B" w:rsidP="00BD304B">
      <w:pPr>
        <w:keepNext/>
        <w:keepLines/>
        <w:widowControl/>
        <w:shd w:val="clear" w:color="auto" w:fill="ED7D31"/>
        <w:autoSpaceDE/>
        <w:autoSpaceDN/>
        <w:spacing w:before="160" w:after="120" w:line="276" w:lineRule="auto"/>
        <w:outlineLvl w:val="4"/>
        <w:rPr>
          <w:rFonts w:ascii="Arial" w:eastAsia="Times New Roman" w:hAnsi="Arial" w:cs="Times New Roman"/>
          <w:b/>
          <w:color w:val="FFFFFF"/>
          <w:sz w:val="24"/>
        </w:rPr>
      </w:pPr>
      <w:bookmarkStart w:id="1188" w:name="_Toc153137661"/>
      <w:r w:rsidRPr="00BD304B">
        <w:rPr>
          <w:rFonts w:ascii="Arial" w:eastAsia="Times New Roman" w:hAnsi="Arial" w:cs="Times New Roman"/>
          <w:b/>
          <w:color w:val="FFFFFF"/>
          <w:sz w:val="24"/>
        </w:rPr>
        <w:t>AMC 31GB.82 Instructions for continued airworthiness</w:t>
      </w:r>
      <w:bookmarkEnd w:id="1188"/>
      <w:r w:rsidRPr="00BD304B">
        <w:rPr>
          <w:rFonts w:ascii="Arial" w:eastAsia="Times New Roman" w:hAnsi="Arial" w:cs="Times New Roman"/>
          <w:b/>
          <w:color w:val="FFFFFF"/>
          <w:sz w:val="24"/>
        </w:rPr>
        <w:tab/>
      </w:r>
    </w:p>
    <w:p w14:paraId="02E555CC" w14:textId="77777777" w:rsidR="00BD304B" w:rsidRPr="00BD304B" w:rsidRDefault="00BD304B" w:rsidP="00BD304B">
      <w:pPr>
        <w:tabs>
          <w:tab w:val="left" w:pos="1274"/>
        </w:tabs>
        <w:spacing w:line="276" w:lineRule="auto"/>
        <w:ind w:right="26"/>
        <w:jc w:val="both"/>
        <w:rPr>
          <w:rFonts w:ascii="Arial" w:hAnsi="Arial" w:cs="Arial"/>
          <w:sz w:val="20"/>
        </w:rPr>
      </w:pPr>
      <w:r w:rsidRPr="00BD304B">
        <w:rPr>
          <w:rFonts w:ascii="Arial" w:hAnsi="Arial" w:cs="Arial"/>
          <w:sz w:val="20"/>
        </w:rPr>
        <w:t>The paragraph numbering of this AMC relates to the paragraph numbering of CS 31GB.82</w:t>
      </w:r>
    </w:p>
    <w:p w14:paraId="3319283C" w14:textId="77777777" w:rsidR="00BD304B" w:rsidRPr="00BD304B" w:rsidRDefault="00BD304B" w:rsidP="00BD304B">
      <w:pPr>
        <w:numPr>
          <w:ilvl w:val="0"/>
          <w:numId w:val="368"/>
        </w:numPr>
        <w:tabs>
          <w:tab w:val="left" w:pos="707"/>
        </w:tabs>
        <w:spacing w:before="118"/>
        <w:ind w:left="704" w:right="26"/>
        <w:jc w:val="both"/>
        <w:rPr>
          <w:rFonts w:ascii="Arial" w:hAnsi="Arial" w:cs="Arial"/>
          <w:sz w:val="20"/>
        </w:rPr>
      </w:pPr>
      <w:r w:rsidRPr="00BD304B">
        <w:rPr>
          <w:rFonts w:ascii="Arial" w:hAnsi="Arial" w:cs="Arial"/>
          <w:sz w:val="20"/>
        </w:rPr>
        <w:t>If instructions for continued airworthiness are not supplied by the manufacturer or designer of</w:t>
      </w:r>
      <w:r w:rsidRPr="00BD304B">
        <w:rPr>
          <w:rFonts w:ascii="Arial" w:hAnsi="Arial" w:cs="Arial"/>
          <w:spacing w:val="-47"/>
          <w:sz w:val="20"/>
        </w:rPr>
        <w:t xml:space="preserve"> </w:t>
      </w:r>
      <w:r w:rsidRPr="00BD304B">
        <w:rPr>
          <w:rFonts w:ascii="Arial" w:hAnsi="Arial" w:cs="Arial"/>
          <w:sz w:val="20"/>
        </w:rPr>
        <w:t>parts and appliances installed in the balloon, the instructions for continued airworthiness for</w:t>
      </w:r>
      <w:r w:rsidRPr="00BD304B">
        <w:rPr>
          <w:rFonts w:ascii="Arial" w:hAnsi="Arial" w:cs="Arial"/>
          <w:spacing w:val="1"/>
          <w:sz w:val="20"/>
        </w:rPr>
        <w:t xml:space="preserve"> </w:t>
      </w:r>
      <w:r w:rsidRPr="00BD304B">
        <w:rPr>
          <w:rFonts w:ascii="Arial" w:hAnsi="Arial" w:cs="Arial"/>
          <w:sz w:val="20"/>
        </w:rPr>
        <w:t>the balloon need to include the information essential to the continued airworthiness of the</w:t>
      </w:r>
      <w:r w:rsidRPr="00BD304B">
        <w:rPr>
          <w:rFonts w:ascii="Arial" w:hAnsi="Arial" w:cs="Arial"/>
          <w:spacing w:val="1"/>
          <w:sz w:val="20"/>
        </w:rPr>
        <w:t xml:space="preserve"> </w:t>
      </w:r>
      <w:r w:rsidRPr="00BD304B">
        <w:rPr>
          <w:rFonts w:ascii="Arial" w:hAnsi="Arial" w:cs="Arial"/>
          <w:sz w:val="20"/>
        </w:rPr>
        <w:t>balloon.</w:t>
      </w:r>
    </w:p>
    <w:p w14:paraId="67295752" w14:textId="77777777" w:rsidR="00BD304B" w:rsidRPr="00BD304B" w:rsidRDefault="00BD304B" w:rsidP="00BD304B">
      <w:pPr>
        <w:spacing w:before="121"/>
        <w:ind w:left="704" w:right="26"/>
        <w:jc w:val="both"/>
        <w:rPr>
          <w:rFonts w:ascii="Arial" w:hAnsi="Arial" w:cs="Arial"/>
          <w:sz w:val="20"/>
        </w:rPr>
      </w:pPr>
      <w:r w:rsidRPr="00BD304B">
        <w:rPr>
          <w:rFonts w:ascii="Arial" w:hAnsi="Arial" w:cs="Arial"/>
          <w:sz w:val="20"/>
        </w:rPr>
        <w:t>If</w:t>
      </w:r>
      <w:r w:rsidRPr="00BD304B">
        <w:rPr>
          <w:rFonts w:ascii="Arial" w:hAnsi="Arial" w:cs="Arial"/>
          <w:spacing w:val="1"/>
          <w:sz w:val="20"/>
        </w:rPr>
        <w:t xml:space="preserve"> </w:t>
      </w:r>
      <w:r w:rsidRPr="00BD304B">
        <w:rPr>
          <w:rFonts w:ascii="Arial" w:hAnsi="Arial" w:cs="Arial"/>
          <w:sz w:val="20"/>
        </w:rPr>
        <w:t>manuals</w:t>
      </w:r>
      <w:r w:rsidRPr="00BD304B">
        <w:rPr>
          <w:rFonts w:ascii="Arial" w:hAnsi="Arial" w:cs="Arial"/>
          <w:spacing w:val="1"/>
          <w:sz w:val="20"/>
        </w:rPr>
        <w:t xml:space="preserve"> </w:t>
      </w:r>
      <w:r w:rsidRPr="00BD304B">
        <w:rPr>
          <w:rFonts w:ascii="Arial" w:hAnsi="Arial" w:cs="Arial"/>
          <w:sz w:val="20"/>
        </w:rPr>
        <w:t>from</w:t>
      </w:r>
      <w:r w:rsidRPr="00BD304B">
        <w:rPr>
          <w:rFonts w:ascii="Arial" w:hAnsi="Arial" w:cs="Arial"/>
          <w:spacing w:val="1"/>
          <w:sz w:val="20"/>
        </w:rPr>
        <w:t xml:space="preserve"> </w:t>
      </w:r>
      <w:r w:rsidRPr="00BD304B">
        <w:rPr>
          <w:rFonts w:ascii="Arial" w:hAnsi="Arial" w:cs="Arial"/>
          <w:sz w:val="20"/>
        </w:rPr>
        <w:t>different</w:t>
      </w:r>
      <w:r w:rsidRPr="00BD304B">
        <w:rPr>
          <w:rFonts w:ascii="Arial" w:hAnsi="Arial" w:cs="Arial"/>
          <w:spacing w:val="1"/>
          <w:sz w:val="20"/>
        </w:rPr>
        <w:t xml:space="preserve"> </w:t>
      </w:r>
      <w:r w:rsidRPr="00BD304B">
        <w:rPr>
          <w:rFonts w:ascii="Arial" w:hAnsi="Arial" w:cs="Arial"/>
          <w:sz w:val="20"/>
        </w:rPr>
        <w:t>manufacturers</w:t>
      </w:r>
      <w:r w:rsidRPr="00BD304B">
        <w:rPr>
          <w:rFonts w:ascii="Arial" w:hAnsi="Arial" w:cs="Arial"/>
          <w:spacing w:val="1"/>
          <w:sz w:val="20"/>
        </w:rPr>
        <w:t xml:space="preserve"> </w:t>
      </w:r>
      <w:r w:rsidRPr="00BD304B">
        <w:rPr>
          <w:rFonts w:ascii="Arial" w:hAnsi="Arial" w:cs="Arial"/>
          <w:sz w:val="20"/>
        </w:rPr>
        <w:t>are</w:t>
      </w:r>
      <w:r w:rsidRPr="00BD304B">
        <w:rPr>
          <w:rFonts w:ascii="Arial" w:hAnsi="Arial" w:cs="Arial"/>
          <w:spacing w:val="1"/>
          <w:sz w:val="20"/>
        </w:rPr>
        <w:t xml:space="preserve"> </w:t>
      </w:r>
      <w:r w:rsidRPr="00BD304B">
        <w:rPr>
          <w:rFonts w:ascii="Arial" w:hAnsi="Arial" w:cs="Arial"/>
          <w:sz w:val="20"/>
        </w:rPr>
        <w:t>used,</w:t>
      </w:r>
      <w:r w:rsidRPr="00BD304B">
        <w:rPr>
          <w:rFonts w:ascii="Arial" w:hAnsi="Arial" w:cs="Arial"/>
          <w:spacing w:val="1"/>
          <w:sz w:val="20"/>
        </w:rPr>
        <w:t xml:space="preserve"> </w:t>
      </w:r>
      <w:r w:rsidRPr="00BD304B">
        <w:rPr>
          <w:rFonts w:ascii="Arial" w:hAnsi="Arial" w:cs="Arial"/>
          <w:sz w:val="20"/>
        </w:rPr>
        <w:t>they</w:t>
      </w:r>
      <w:r w:rsidRPr="00BD304B">
        <w:rPr>
          <w:rFonts w:ascii="Arial" w:hAnsi="Arial" w:cs="Arial"/>
          <w:spacing w:val="1"/>
          <w:sz w:val="20"/>
        </w:rPr>
        <w:t xml:space="preserve"> </w:t>
      </w:r>
      <w:r w:rsidRPr="00BD304B">
        <w:rPr>
          <w:rFonts w:ascii="Arial" w:hAnsi="Arial" w:cs="Arial"/>
          <w:sz w:val="20"/>
        </w:rPr>
        <w:t>need</w:t>
      </w:r>
      <w:r w:rsidRPr="00BD304B">
        <w:rPr>
          <w:rFonts w:ascii="Arial" w:hAnsi="Arial" w:cs="Arial"/>
          <w:spacing w:val="1"/>
          <w:sz w:val="20"/>
        </w:rPr>
        <w:t xml:space="preserve"> </w:t>
      </w:r>
      <w:r w:rsidRPr="00BD304B">
        <w:rPr>
          <w:rFonts w:ascii="Arial" w:hAnsi="Arial" w:cs="Arial"/>
          <w:sz w:val="20"/>
        </w:rPr>
        <w:t>to</w:t>
      </w:r>
      <w:r w:rsidRPr="00BD304B">
        <w:rPr>
          <w:rFonts w:ascii="Arial" w:hAnsi="Arial" w:cs="Arial"/>
          <w:spacing w:val="1"/>
          <w:sz w:val="20"/>
        </w:rPr>
        <w:t xml:space="preserve"> </w:t>
      </w:r>
      <w:r w:rsidRPr="00BD304B">
        <w:rPr>
          <w:rFonts w:ascii="Arial" w:hAnsi="Arial" w:cs="Arial"/>
          <w:sz w:val="20"/>
        </w:rPr>
        <w:t>provide</w:t>
      </w:r>
      <w:r w:rsidRPr="00BD304B">
        <w:rPr>
          <w:rFonts w:ascii="Arial" w:hAnsi="Arial" w:cs="Arial"/>
          <w:spacing w:val="1"/>
          <w:sz w:val="20"/>
        </w:rPr>
        <w:t xml:space="preserve"> </w:t>
      </w:r>
      <w:r w:rsidRPr="00BD304B">
        <w:rPr>
          <w:rFonts w:ascii="Arial" w:hAnsi="Arial" w:cs="Arial"/>
          <w:sz w:val="20"/>
        </w:rPr>
        <w:t>a</w:t>
      </w:r>
      <w:r w:rsidRPr="00BD304B">
        <w:rPr>
          <w:rFonts w:ascii="Arial" w:hAnsi="Arial" w:cs="Arial"/>
          <w:spacing w:val="1"/>
          <w:sz w:val="20"/>
        </w:rPr>
        <w:t xml:space="preserve"> </w:t>
      </w:r>
      <w:r w:rsidRPr="00BD304B">
        <w:rPr>
          <w:rFonts w:ascii="Arial" w:hAnsi="Arial" w:cs="Arial"/>
          <w:sz w:val="20"/>
        </w:rPr>
        <w:t>practical</w:t>
      </w:r>
      <w:r w:rsidRPr="00BD304B">
        <w:rPr>
          <w:rFonts w:ascii="Arial" w:hAnsi="Arial" w:cs="Arial"/>
          <w:spacing w:val="1"/>
          <w:sz w:val="20"/>
        </w:rPr>
        <w:t xml:space="preserve"> </w:t>
      </w:r>
      <w:r w:rsidRPr="00BD304B">
        <w:rPr>
          <w:rFonts w:ascii="Arial" w:hAnsi="Arial" w:cs="Arial"/>
          <w:sz w:val="20"/>
        </w:rPr>
        <w:t>arrangement.</w:t>
      </w:r>
    </w:p>
    <w:p w14:paraId="3807C73F" w14:textId="77777777" w:rsidR="00BD304B" w:rsidRPr="00BD304B" w:rsidRDefault="00BD304B" w:rsidP="00BD304B">
      <w:pPr>
        <w:spacing w:before="121"/>
        <w:ind w:left="138" w:right="26"/>
        <w:jc w:val="both"/>
        <w:rPr>
          <w:rFonts w:ascii="Arial" w:hAnsi="Arial" w:cs="Arial"/>
          <w:sz w:val="20"/>
        </w:rPr>
      </w:pPr>
      <w:r w:rsidRPr="00BD304B">
        <w:rPr>
          <w:rFonts w:ascii="Arial" w:hAnsi="Arial" w:cs="Arial"/>
          <w:sz w:val="20"/>
        </w:rPr>
        <w:t>(d)(1)</w:t>
      </w:r>
      <w:r w:rsidRPr="00BD304B">
        <w:rPr>
          <w:rFonts w:ascii="Arial" w:hAnsi="Arial" w:cs="Arial"/>
          <w:spacing w:val="18"/>
          <w:sz w:val="20"/>
        </w:rPr>
        <w:t xml:space="preserve"> </w:t>
      </w:r>
      <w:r w:rsidRPr="00BD304B">
        <w:rPr>
          <w:rFonts w:ascii="Arial" w:hAnsi="Arial" w:cs="Arial"/>
          <w:sz w:val="20"/>
        </w:rPr>
        <w:t>The</w:t>
      </w:r>
      <w:r w:rsidRPr="00BD304B">
        <w:rPr>
          <w:rFonts w:ascii="Arial" w:hAnsi="Arial" w:cs="Arial"/>
          <w:spacing w:val="-1"/>
          <w:sz w:val="20"/>
        </w:rPr>
        <w:t xml:space="preserve"> </w:t>
      </w:r>
      <w:r w:rsidRPr="00BD304B">
        <w:rPr>
          <w:rFonts w:ascii="Arial" w:hAnsi="Arial" w:cs="Arial"/>
          <w:sz w:val="20"/>
        </w:rPr>
        <w:t>detailed</w:t>
      </w:r>
      <w:r w:rsidRPr="00BD304B">
        <w:rPr>
          <w:rFonts w:ascii="Arial" w:hAnsi="Arial" w:cs="Arial"/>
          <w:spacing w:val="-2"/>
          <w:sz w:val="20"/>
        </w:rPr>
        <w:t xml:space="preserve"> </w:t>
      </w:r>
      <w:r w:rsidRPr="00BD304B">
        <w:rPr>
          <w:rFonts w:ascii="Arial" w:hAnsi="Arial" w:cs="Arial"/>
          <w:sz w:val="20"/>
        </w:rPr>
        <w:t>description</w:t>
      </w:r>
      <w:r w:rsidRPr="00BD304B">
        <w:rPr>
          <w:rFonts w:ascii="Arial" w:hAnsi="Arial" w:cs="Arial"/>
          <w:spacing w:val="-4"/>
          <w:sz w:val="20"/>
        </w:rPr>
        <w:t xml:space="preserve"> </w:t>
      </w:r>
      <w:r w:rsidRPr="00BD304B">
        <w:rPr>
          <w:rFonts w:ascii="Arial" w:hAnsi="Arial" w:cs="Arial"/>
          <w:sz w:val="20"/>
        </w:rPr>
        <w:t>of</w:t>
      </w:r>
      <w:r w:rsidRPr="00BD304B">
        <w:rPr>
          <w:rFonts w:ascii="Arial" w:hAnsi="Arial" w:cs="Arial"/>
          <w:spacing w:val="-3"/>
          <w:sz w:val="20"/>
        </w:rPr>
        <w:t xml:space="preserve"> </w:t>
      </w:r>
      <w:r w:rsidRPr="00BD304B">
        <w:rPr>
          <w:rFonts w:ascii="Arial" w:hAnsi="Arial" w:cs="Arial"/>
          <w:sz w:val="20"/>
        </w:rPr>
        <w:t>the</w:t>
      </w:r>
      <w:r w:rsidRPr="00BD304B">
        <w:rPr>
          <w:rFonts w:ascii="Arial" w:hAnsi="Arial" w:cs="Arial"/>
          <w:spacing w:val="-1"/>
          <w:sz w:val="20"/>
        </w:rPr>
        <w:t xml:space="preserve"> </w:t>
      </w:r>
      <w:r w:rsidRPr="00BD304B">
        <w:rPr>
          <w:rFonts w:ascii="Arial" w:hAnsi="Arial" w:cs="Arial"/>
          <w:sz w:val="20"/>
        </w:rPr>
        <w:t>balloon</w:t>
      </w:r>
      <w:r w:rsidRPr="00BD304B">
        <w:rPr>
          <w:rFonts w:ascii="Arial" w:hAnsi="Arial" w:cs="Arial"/>
          <w:spacing w:val="-2"/>
          <w:sz w:val="20"/>
        </w:rPr>
        <w:t xml:space="preserve"> </w:t>
      </w:r>
      <w:r w:rsidRPr="00BD304B">
        <w:rPr>
          <w:rFonts w:ascii="Arial" w:hAnsi="Arial" w:cs="Arial"/>
          <w:sz w:val="20"/>
        </w:rPr>
        <w:t>and</w:t>
      </w:r>
      <w:r w:rsidRPr="00BD304B">
        <w:rPr>
          <w:rFonts w:ascii="Arial" w:hAnsi="Arial" w:cs="Arial"/>
          <w:spacing w:val="-3"/>
          <w:sz w:val="20"/>
        </w:rPr>
        <w:t xml:space="preserve"> </w:t>
      </w:r>
      <w:r w:rsidRPr="00BD304B">
        <w:rPr>
          <w:rFonts w:ascii="Arial" w:hAnsi="Arial" w:cs="Arial"/>
          <w:sz w:val="20"/>
        </w:rPr>
        <w:t>its</w:t>
      </w:r>
      <w:r w:rsidRPr="00BD304B">
        <w:rPr>
          <w:rFonts w:ascii="Arial" w:hAnsi="Arial" w:cs="Arial"/>
          <w:spacing w:val="-3"/>
          <w:sz w:val="20"/>
        </w:rPr>
        <w:t xml:space="preserve"> </w:t>
      </w:r>
      <w:r w:rsidRPr="00BD304B">
        <w:rPr>
          <w:rFonts w:ascii="Arial" w:hAnsi="Arial" w:cs="Arial"/>
          <w:sz w:val="20"/>
        </w:rPr>
        <w:t>components</w:t>
      </w:r>
      <w:r w:rsidRPr="00BD304B">
        <w:rPr>
          <w:rFonts w:ascii="Arial" w:hAnsi="Arial" w:cs="Arial"/>
          <w:spacing w:val="-1"/>
          <w:sz w:val="20"/>
        </w:rPr>
        <w:t xml:space="preserve"> </w:t>
      </w:r>
      <w:r w:rsidRPr="00BD304B">
        <w:rPr>
          <w:rFonts w:ascii="Arial" w:hAnsi="Arial" w:cs="Arial"/>
          <w:sz w:val="20"/>
        </w:rPr>
        <w:t>needs</w:t>
      </w:r>
      <w:r w:rsidRPr="00BD304B">
        <w:rPr>
          <w:rFonts w:ascii="Arial" w:hAnsi="Arial" w:cs="Arial"/>
          <w:spacing w:val="-1"/>
          <w:sz w:val="20"/>
        </w:rPr>
        <w:t xml:space="preserve"> </w:t>
      </w:r>
      <w:r w:rsidRPr="00BD304B">
        <w:rPr>
          <w:rFonts w:ascii="Arial" w:hAnsi="Arial" w:cs="Arial"/>
          <w:sz w:val="20"/>
        </w:rPr>
        <w:t>to include</w:t>
      </w:r>
      <w:r w:rsidRPr="00BD304B">
        <w:rPr>
          <w:rFonts w:ascii="Arial" w:hAnsi="Arial" w:cs="Arial"/>
          <w:spacing w:val="-1"/>
          <w:sz w:val="20"/>
        </w:rPr>
        <w:t xml:space="preserve"> </w:t>
      </w:r>
      <w:r w:rsidRPr="00BD304B">
        <w:rPr>
          <w:rFonts w:ascii="Arial" w:hAnsi="Arial" w:cs="Arial"/>
          <w:sz w:val="20"/>
        </w:rPr>
        <w:t>for</w:t>
      </w:r>
      <w:r w:rsidRPr="00BD304B">
        <w:rPr>
          <w:rFonts w:ascii="Arial" w:hAnsi="Arial" w:cs="Arial"/>
          <w:spacing w:val="-3"/>
          <w:sz w:val="20"/>
        </w:rPr>
        <w:t xml:space="preserve"> </w:t>
      </w:r>
      <w:r w:rsidRPr="00BD304B">
        <w:rPr>
          <w:rFonts w:ascii="Arial" w:hAnsi="Arial" w:cs="Arial"/>
          <w:sz w:val="20"/>
        </w:rPr>
        <w:t>each</w:t>
      </w:r>
      <w:r w:rsidRPr="00BD304B">
        <w:rPr>
          <w:rFonts w:ascii="Arial" w:hAnsi="Arial" w:cs="Arial"/>
          <w:spacing w:val="-2"/>
          <w:sz w:val="20"/>
        </w:rPr>
        <w:t xml:space="preserve"> </w:t>
      </w:r>
      <w:r w:rsidRPr="00BD304B">
        <w:rPr>
          <w:rFonts w:ascii="Arial" w:hAnsi="Arial" w:cs="Arial"/>
          <w:sz w:val="20"/>
        </w:rPr>
        <w:t>balloon:</w:t>
      </w:r>
    </w:p>
    <w:p w14:paraId="1D73894A" w14:textId="77777777" w:rsidR="00BD304B" w:rsidRPr="00BD304B" w:rsidRDefault="00BD304B" w:rsidP="00BD304B">
      <w:pPr>
        <w:numPr>
          <w:ilvl w:val="1"/>
          <w:numId w:val="368"/>
        </w:numPr>
        <w:tabs>
          <w:tab w:val="left" w:pos="1274"/>
        </w:tabs>
        <w:spacing w:before="120"/>
        <w:ind w:left="1271" w:right="26" w:hanging="568"/>
        <w:jc w:val="both"/>
        <w:rPr>
          <w:rFonts w:ascii="Arial" w:hAnsi="Arial" w:cs="Arial"/>
          <w:sz w:val="20"/>
        </w:rPr>
      </w:pPr>
      <w:r w:rsidRPr="00BD304B">
        <w:rPr>
          <w:rFonts w:ascii="Arial" w:hAnsi="Arial" w:cs="Arial"/>
          <w:sz w:val="20"/>
        </w:rPr>
        <w:t>a</w:t>
      </w:r>
      <w:r w:rsidRPr="00BD304B">
        <w:rPr>
          <w:rFonts w:ascii="Arial" w:hAnsi="Arial" w:cs="Arial"/>
          <w:spacing w:val="-3"/>
          <w:sz w:val="20"/>
        </w:rPr>
        <w:t xml:space="preserve"> </w:t>
      </w:r>
      <w:r w:rsidRPr="00BD304B">
        <w:rPr>
          <w:rFonts w:ascii="Arial" w:hAnsi="Arial" w:cs="Arial"/>
          <w:sz w:val="20"/>
        </w:rPr>
        <w:t>description</w:t>
      </w:r>
      <w:r w:rsidRPr="00BD304B">
        <w:rPr>
          <w:rFonts w:ascii="Arial" w:hAnsi="Arial" w:cs="Arial"/>
          <w:spacing w:val="-3"/>
          <w:sz w:val="20"/>
        </w:rPr>
        <w:t xml:space="preserve"> </w:t>
      </w:r>
      <w:r w:rsidRPr="00BD304B">
        <w:rPr>
          <w:rFonts w:ascii="Arial" w:hAnsi="Arial" w:cs="Arial"/>
          <w:sz w:val="20"/>
        </w:rPr>
        <w:t>of</w:t>
      </w:r>
      <w:r w:rsidRPr="00BD304B">
        <w:rPr>
          <w:rFonts w:ascii="Arial" w:hAnsi="Arial" w:cs="Arial"/>
          <w:spacing w:val="-3"/>
          <w:sz w:val="20"/>
        </w:rPr>
        <w:t xml:space="preserve"> </w:t>
      </w:r>
      <w:r w:rsidRPr="00BD304B">
        <w:rPr>
          <w:rFonts w:ascii="Arial" w:hAnsi="Arial" w:cs="Arial"/>
          <w:sz w:val="20"/>
        </w:rPr>
        <w:t>the</w:t>
      </w:r>
      <w:r w:rsidRPr="00BD304B">
        <w:rPr>
          <w:rFonts w:ascii="Arial" w:hAnsi="Arial" w:cs="Arial"/>
          <w:spacing w:val="-4"/>
          <w:sz w:val="20"/>
        </w:rPr>
        <w:t xml:space="preserve"> </w:t>
      </w:r>
      <w:r w:rsidRPr="00BD304B">
        <w:rPr>
          <w:rFonts w:ascii="Arial" w:hAnsi="Arial" w:cs="Arial"/>
          <w:sz w:val="20"/>
        </w:rPr>
        <w:t>systems</w:t>
      </w:r>
      <w:r w:rsidRPr="00BD304B">
        <w:rPr>
          <w:rFonts w:ascii="Arial" w:hAnsi="Arial" w:cs="Arial"/>
          <w:spacing w:val="-2"/>
          <w:sz w:val="20"/>
        </w:rPr>
        <w:t xml:space="preserve"> </w:t>
      </w:r>
      <w:r w:rsidRPr="00BD304B">
        <w:rPr>
          <w:rFonts w:ascii="Arial" w:hAnsi="Arial" w:cs="Arial"/>
          <w:sz w:val="20"/>
        </w:rPr>
        <w:t>including</w:t>
      </w:r>
      <w:r w:rsidRPr="00BD304B">
        <w:rPr>
          <w:rFonts w:ascii="Arial" w:hAnsi="Arial" w:cs="Arial"/>
          <w:spacing w:val="-4"/>
          <w:sz w:val="20"/>
        </w:rPr>
        <w:t xml:space="preserve"> </w:t>
      </w:r>
      <w:r w:rsidRPr="00BD304B">
        <w:rPr>
          <w:rFonts w:ascii="Arial" w:hAnsi="Arial" w:cs="Arial"/>
          <w:sz w:val="20"/>
        </w:rPr>
        <w:t>the</w:t>
      </w:r>
      <w:r w:rsidRPr="00BD304B">
        <w:rPr>
          <w:rFonts w:ascii="Arial" w:hAnsi="Arial" w:cs="Arial"/>
          <w:spacing w:val="-1"/>
          <w:sz w:val="20"/>
        </w:rPr>
        <w:t xml:space="preserve"> </w:t>
      </w:r>
      <w:r w:rsidRPr="00BD304B">
        <w:rPr>
          <w:rFonts w:ascii="Arial" w:hAnsi="Arial" w:cs="Arial"/>
          <w:sz w:val="20"/>
        </w:rPr>
        <w:t>assembly</w:t>
      </w:r>
      <w:r w:rsidRPr="00BD304B">
        <w:rPr>
          <w:rFonts w:ascii="Arial" w:hAnsi="Arial" w:cs="Arial"/>
          <w:spacing w:val="-2"/>
          <w:sz w:val="20"/>
        </w:rPr>
        <w:t xml:space="preserve"> </w:t>
      </w:r>
      <w:r w:rsidRPr="00BD304B">
        <w:rPr>
          <w:rFonts w:ascii="Arial" w:hAnsi="Arial" w:cs="Arial"/>
          <w:sz w:val="20"/>
        </w:rPr>
        <w:t>and</w:t>
      </w:r>
      <w:r w:rsidRPr="00BD304B">
        <w:rPr>
          <w:rFonts w:ascii="Arial" w:hAnsi="Arial" w:cs="Arial"/>
          <w:spacing w:val="-4"/>
          <w:sz w:val="20"/>
        </w:rPr>
        <w:t xml:space="preserve"> </w:t>
      </w:r>
      <w:r w:rsidRPr="00BD304B">
        <w:rPr>
          <w:rFonts w:ascii="Arial" w:hAnsi="Arial" w:cs="Arial"/>
          <w:sz w:val="20"/>
        </w:rPr>
        <w:t>disassembly</w:t>
      </w:r>
      <w:r w:rsidRPr="00BD304B">
        <w:rPr>
          <w:rFonts w:ascii="Arial" w:hAnsi="Arial" w:cs="Arial"/>
          <w:spacing w:val="2"/>
          <w:sz w:val="20"/>
        </w:rPr>
        <w:t xml:space="preserve"> </w:t>
      </w:r>
      <w:r w:rsidRPr="00BD304B">
        <w:rPr>
          <w:rFonts w:ascii="Arial" w:hAnsi="Arial" w:cs="Arial"/>
          <w:sz w:val="20"/>
        </w:rPr>
        <w:t>instructions;</w:t>
      </w:r>
    </w:p>
    <w:p w14:paraId="7466A7B5" w14:textId="77777777" w:rsidR="00BD304B" w:rsidRPr="00BD304B" w:rsidRDefault="00BD304B" w:rsidP="00BD304B">
      <w:pPr>
        <w:numPr>
          <w:ilvl w:val="1"/>
          <w:numId w:val="368"/>
        </w:numPr>
        <w:tabs>
          <w:tab w:val="left" w:pos="1274"/>
        </w:tabs>
        <w:spacing w:before="121"/>
        <w:ind w:left="1271" w:right="26"/>
        <w:jc w:val="both"/>
        <w:rPr>
          <w:rFonts w:ascii="Arial" w:hAnsi="Arial" w:cs="Arial"/>
          <w:sz w:val="20"/>
        </w:rPr>
      </w:pPr>
      <w:r w:rsidRPr="00BD304B">
        <w:rPr>
          <w:rFonts w:ascii="Arial" w:hAnsi="Arial" w:cs="Arial"/>
          <w:sz w:val="20"/>
        </w:rPr>
        <w:t>a parts list covering all construction and equipment components and the assemblies.</w:t>
      </w:r>
      <w:r w:rsidRPr="00BD304B">
        <w:rPr>
          <w:rFonts w:ascii="Arial" w:hAnsi="Arial" w:cs="Arial"/>
          <w:spacing w:val="1"/>
          <w:sz w:val="20"/>
        </w:rPr>
        <w:t xml:space="preserve"> </w:t>
      </w:r>
      <w:r w:rsidRPr="00BD304B">
        <w:rPr>
          <w:rFonts w:ascii="Arial" w:hAnsi="Arial" w:cs="Arial"/>
          <w:sz w:val="20"/>
        </w:rPr>
        <w:t>Where applicable, individual parts need to be numbered so that they can be related to</w:t>
      </w:r>
      <w:r w:rsidRPr="00BD304B">
        <w:rPr>
          <w:rFonts w:ascii="Arial" w:hAnsi="Arial" w:cs="Arial"/>
          <w:spacing w:val="1"/>
          <w:sz w:val="20"/>
        </w:rPr>
        <w:t xml:space="preserve"> </w:t>
      </w:r>
      <w:r w:rsidRPr="00BD304B">
        <w:rPr>
          <w:rFonts w:ascii="Arial" w:hAnsi="Arial" w:cs="Arial"/>
          <w:sz w:val="20"/>
        </w:rPr>
        <w:t>the different assemblies and that their number corresponds to the type plate of the</w:t>
      </w:r>
      <w:r w:rsidRPr="00BD304B">
        <w:rPr>
          <w:rFonts w:ascii="Arial" w:hAnsi="Arial" w:cs="Arial"/>
          <w:spacing w:val="1"/>
          <w:sz w:val="20"/>
        </w:rPr>
        <w:t xml:space="preserve"> </w:t>
      </w:r>
      <w:r w:rsidRPr="00BD304B">
        <w:rPr>
          <w:rFonts w:ascii="Arial" w:hAnsi="Arial" w:cs="Arial"/>
          <w:sz w:val="20"/>
        </w:rPr>
        <w:t>assembly;</w:t>
      </w:r>
    </w:p>
    <w:p w14:paraId="213CC411" w14:textId="77777777" w:rsidR="00BD304B" w:rsidRPr="00BD304B" w:rsidRDefault="00BD304B" w:rsidP="00BD304B">
      <w:pPr>
        <w:numPr>
          <w:ilvl w:val="1"/>
          <w:numId w:val="368"/>
        </w:numPr>
        <w:tabs>
          <w:tab w:val="left" w:pos="1274"/>
        </w:tabs>
        <w:spacing w:before="118"/>
        <w:ind w:left="1271" w:right="26" w:hanging="568"/>
        <w:jc w:val="both"/>
        <w:rPr>
          <w:rFonts w:ascii="Arial" w:hAnsi="Arial" w:cs="Arial"/>
          <w:sz w:val="20"/>
        </w:rPr>
      </w:pPr>
      <w:r w:rsidRPr="00BD304B">
        <w:rPr>
          <w:rFonts w:ascii="Arial" w:hAnsi="Arial" w:cs="Arial"/>
          <w:sz w:val="20"/>
        </w:rPr>
        <w:t>a</w:t>
      </w:r>
      <w:r w:rsidRPr="00BD304B">
        <w:rPr>
          <w:rFonts w:ascii="Arial" w:hAnsi="Arial" w:cs="Arial"/>
          <w:spacing w:val="-2"/>
          <w:sz w:val="20"/>
        </w:rPr>
        <w:t xml:space="preserve"> </w:t>
      </w:r>
      <w:r w:rsidRPr="00BD304B">
        <w:rPr>
          <w:rFonts w:ascii="Arial" w:hAnsi="Arial" w:cs="Arial"/>
          <w:sz w:val="20"/>
        </w:rPr>
        <w:t>summary</w:t>
      </w:r>
      <w:r w:rsidRPr="00BD304B">
        <w:rPr>
          <w:rFonts w:ascii="Arial" w:hAnsi="Arial" w:cs="Arial"/>
          <w:spacing w:val="-1"/>
          <w:sz w:val="20"/>
        </w:rPr>
        <w:t xml:space="preserve"> </w:t>
      </w:r>
      <w:r w:rsidRPr="00BD304B">
        <w:rPr>
          <w:rFonts w:ascii="Arial" w:hAnsi="Arial" w:cs="Arial"/>
          <w:sz w:val="20"/>
        </w:rPr>
        <w:t>of</w:t>
      </w:r>
      <w:r w:rsidRPr="00BD304B">
        <w:rPr>
          <w:rFonts w:ascii="Arial" w:hAnsi="Arial" w:cs="Arial"/>
          <w:spacing w:val="-4"/>
          <w:sz w:val="20"/>
        </w:rPr>
        <w:t xml:space="preserve"> </w:t>
      </w:r>
      <w:r w:rsidRPr="00BD304B">
        <w:rPr>
          <w:rFonts w:ascii="Arial" w:hAnsi="Arial" w:cs="Arial"/>
          <w:sz w:val="20"/>
        </w:rPr>
        <w:t>the</w:t>
      </w:r>
      <w:r w:rsidRPr="00BD304B">
        <w:rPr>
          <w:rFonts w:ascii="Arial" w:hAnsi="Arial" w:cs="Arial"/>
          <w:spacing w:val="-4"/>
          <w:sz w:val="20"/>
        </w:rPr>
        <w:t xml:space="preserve"> </w:t>
      </w:r>
      <w:r w:rsidRPr="00BD304B">
        <w:rPr>
          <w:rFonts w:ascii="Arial" w:hAnsi="Arial" w:cs="Arial"/>
          <w:sz w:val="20"/>
        </w:rPr>
        <w:t>materials</w:t>
      </w:r>
      <w:r w:rsidRPr="00BD304B">
        <w:rPr>
          <w:rFonts w:ascii="Arial" w:hAnsi="Arial" w:cs="Arial"/>
          <w:spacing w:val="-4"/>
          <w:sz w:val="20"/>
        </w:rPr>
        <w:t xml:space="preserve"> </w:t>
      </w:r>
      <w:r w:rsidRPr="00BD304B">
        <w:rPr>
          <w:rFonts w:ascii="Arial" w:hAnsi="Arial" w:cs="Arial"/>
          <w:sz w:val="20"/>
        </w:rPr>
        <w:t>and</w:t>
      </w:r>
      <w:r w:rsidRPr="00BD304B">
        <w:rPr>
          <w:rFonts w:ascii="Arial" w:hAnsi="Arial" w:cs="Arial"/>
          <w:spacing w:val="-2"/>
          <w:sz w:val="20"/>
        </w:rPr>
        <w:t xml:space="preserve"> </w:t>
      </w:r>
      <w:r w:rsidRPr="00BD304B">
        <w:rPr>
          <w:rFonts w:ascii="Arial" w:hAnsi="Arial" w:cs="Arial"/>
          <w:sz w:val="20"/>
        </w:rPr>
        <w:t>consumables</w:t>
      </w:r>
      <w:r w:rsidRPr="00BD304B">
        <w:rPr>
          <w:rFonts w:ascii="Arial" w:hAnsi="Arial" w:cs="Arial"/>
          <w:spacing w:val="-1"/>
          <w:sz w:val="20"/>
        </w:rPr>
        <w:t xml:space="preserve"> </w:t>
      </w:r>
      <w:r w:rsidRPr="00BD304B">
        <w:rPr>
          <w:rFonts w:ascii="Arial" w:hAnsi="Arial" w:cs="Arial"/>
          <w:sz w:val="20"/>
        </w:rPr>
        <w:t>used</w:t>
      </w:r>
      <w:r w:rsidRPr="00BD304B">
        <w:rPr>
          <w:rFonts w:ascii="Arial" w:hAnsi="Arial" w:cs="Arial"/>
          <w:spacing w:val="-2"/>
          <w:sz w:val="20"/>
        </w:rPr>
        <w:t xml:space="preserve"> </w:t>
      </w:r>
      <w:r w:rsidRPr="00BD304B">
        <w:rPr>
          <w:rFonts w:ascii="Arial" w:hAnsi="Arial" w:cs="Arial"/>
          <w:sz w:val="20"/>
        </w:rPr>
        <w:t>with</w:t>
      </w:r>
      <w:r w:rsidRPr="00BD304B">
        <w:rPr>
          <w:rFonts w:ascii="Arial" w:hAnsi="Arial" w:cs="Arial"/>
          <w:spacing w:val="-2"/>
          <w:sz w:val="20"/>
        </w:rPr>
        <w:t xml:space="preserve"> </w:t>
      </w:r>
      <w:r w:rsidRPr="00BD304B">
        <w:rPr>
          <w:rFonts w:ascii="Arial" w:hAnsi="Arial" w:cs="Arial"/>
          <w:sz w:val="20"/>
        </w:rPr>
        <w:t>procurement</w:t>
      </w:r>
      <w:r w:rsidRPr="00BD304B">
        <w:rPr>
          <w:rFonts w:ascii="Arial" w:hAnsi="Arial" w:cs="Arial"/>
          <w:spacing w:val="-3"/>
          <w:sz w:val="20"/>
        </w:rPr>
        <w:t xml:space="preserve"> </w:t>
      </w:r>
      <w:r w:rsidRPr="00BD304B">
        <w:rPr>
          <w:rFonts w:ascii="Arial" w:hAnsi="Arial" w:cs="Arial"/>
          <w:sz w:val="20"/>
        </w:rPr>
        <w:t>details.</w:t>
      </w:r>
    </w:p>
    <w:p w14:paraId="333A76A6" w14:textId="77777777" w:rsidR="00BD304B" w:rsidRPr="00BD304B" w:rsidRDefault="00BD304B" w:rsidP="00BD304B">
      <w:pPr>
        <w:spacing w:before="121"/>
        <w:ind w:left="704" w:right="26" w:hanging="567"/>
        <w:jc w:val="both"/>
        <w:rPr>
          <w:rFonts w:ascii="Arial" w:hAnsi="Arial" w:cs="Arial"/>
          <w:sz w:val="20"/>
        </w:rPr>
      </w:pPr>
      <w:r w:rsidRPr="00BD304B">
        <w:rPr>
          <w:rFonts w:ascii="Arial" w:hAnsi="Arial" w:cs="Arial"/>
          <w:sz w:val="20"/>
        </w:rPr>
        <w:t>(d)(5) If applicable, the maintenance schedule may include instructions for continued airworthiness</w:t>
      </w:r>
      <w:r w:rsidRPr="00BD304B">
        <w:rPr>
          <w:rFonts w:ascii="Arial" w:hAnsi="Arial" w:cs="Arial"/>
          <w:spacing w:val="1"/>
          <w:sz w:val="20"/>
        </w:rPr>
        <w:t xml:space="preserve"> </w:t>
      </w:r>
      <w:r w:rsidRPr="00BD304B">
        <w:rPr>
          <w:rFonts w:ascii="Arial" w:hAnsi="Arial" w:cs="Arial"/>
          <w:sz w:val="20"/>
        </w:rPr>
        <w:t>(e.g. recommended inspections or mandatory replacement of parts) to ensure the suitable</w:t>
      </w:r>
      <w:r w:rsidRPr="00BD304B">
        <w:rPr>
          <w:rFonts w:ascii="Arial" w:hAnsi="Arial" w:cs="Arial"/>
          <w:spacing w:val="1"/>
          <w:sz w:val="20"/>
        </w:rPr>
        <w:t xml:space="preserve"> </w:t>
      </w:r>
      <w:r w:rsidRPr="00BD304B">
        <w:rPr>
          <w:rFonts w:ascii="Arial" w:hAnsi="Arial" w:cs="Arial"/>
          <w:sz w:val="20"/>
        </w:rPr>
        <w:t>protection of parts against deterioration or loss of strength, objective pass or fail criteria, e.g.</w:t>
      </w:r>
      <w:r w:rsidRPr="00BD304B">
        <w:rPr>
          <w:rFonts w:ascii="Arial" w:hAnsi="Arial" w:cs="Arial"/>
          <w:spacing w:val="1"/>
          <w:sz w:val="20"/>
        </w:rPr>
        <w:t xml:space="preserve"> </w:t>
      </w:r>
      <w:r w:rsidRPr="00BD304B">
        <w:rPr>
          <w:rFonts w:ascii="Arial" w:hAnsi="Arial" w:cs="Arial"/>
          <w:sz w:val="20"/>
        </w:rPr>
        <w:t>applicable</w:t>
      </w:r>
      <w:r w:rsidRPr="00BD304B">
        <w:rPr>
          <w:rFonts w:ascii="Arial" w:hAnsi="Arial" w:cs="Arial"/>
          <w:spacing w:val="-1"/>
          <w:sz w:val="20"/>
        </w:rPr>
        <w:t xml:space="preserve"> </w:t>
      </w:r>
      <w:r w:rsidRPr="00BD304B">
        <w:rPr>
          <w:rFonts w:ascii="Arial" w:hAnsi="Arial" w:cs="Arial"/>
          <w:sz w:val="20"/>
        </w:rPr>
        <w:t>wear</w:t>
      </w:r>
      <w:r w:rsidRPr="00BD304B">
        <w:rPr>
          <w:rFonts w:ascii="Arial" w:hAnsi="Arial" w:cs="Arial"/>
          <w:spacing w:val="-3"/>
          <w:sz w:val="20"/>
        </w:rPr>
        <w:t xml:space="preserve"> </w:t>
      </w:r>
      <w:r w:rsidRPr="00BD304B">
        <w:rPr>
          <w:rFonts w:ascii="Arial" w:hAnsi="Arial" w:cs="Arial"/>
          <w:sz w:val="20"/>
        </w:rPr>
        <w:t>tolerances</w:t>
      </w:r>
      <w:r w:rsidRPr="00BD304B">
        <w:rPr>
          <w:rFonts w:ascii="Arial" w:hAnsi="Arial" w:cs="Arial"/>
          <w:spacing w:val="-1"/>
          <w:sz w:val="20"/>
        </w:rPr>
        <w:t xml:space="preserve"> </w:t>
      </w:r>
      <w:r w:rsidRPr="00BD304B">
        <w:rPr>
          <w:rFonts w:ascii="Arial" w:hAnsi="Arial" w:cs="Arial"/>
          <w:sz w:val="20"/>
        </w:rPr>
        <w:t>need</w:t>
      </w:r>
      <w:r w:rsidRPr="00BD304B">
        <w:rPr>
          <w:rFonts w:ascii="Arial" w:hAnsi="Arial" w:cs="Arial"/>
          <w:spacing w:val="-1"/>
          <w:sz w:val="20"/>
        </w:rPr>
        <w:t xml:space="preserve"> </w:t>
      </w:r>
      <w:r w:rsidRPr="00BD304B">
        <w:rPr>
          <w:rFonts w:ascii="Arial" w:hAnsi="Arial" w:cs="Arial"/>
          <w:sz w:val="20"/>
        </w:rPr>
        <w:t>to</w:t>
      </w:r>
      <w:r w:rsidRPr="00BD304B">
        <w:rPr>
          <w:rFonts w:ascii="Arial" w:hAnsi="Arial" w:cs="Arial"/>
          <w:spacing w:val="1"/>
          <w:sz w:val="20"/>
        </w:rPr>
        <w:t xml:space="preserve"> </w:t>
      </w:r>
      <w:r w:rsidRPr="00BD304B">
        <w:rPr>
          <w:rFonts w:ascii="Arial" w:hAnsi="Arial" w:cs="Arial"/>
          <w:sz w:val="20"/>
        </w:rPr>
        <w:t>be provided.</w:t>
      </w:r>
    </w:p>
    <w:p w14:paraId="64E69A2A" w14:textId="77777777" w:rsidR="00BD304B" w:rsidRPr="00BD304B" w:rsidRDefault="00BD304B" w:rsidP="00BD304B">
      <w:pPr>
        <w:spacing w:before="121"/>
        <w:ind w:left="704" w:right="26" w:hanging="567"/>
        <w:jc w:val="both"/>
        <w:rPr>
          <w:rFonts w:ascii="Arial" w:hAnsi="Arial" w:cs="Arial"/>
          <w:sz w:val="20"/>
        </w:rPr>
      </w:pPr>
      <w:r w:rsidRPr="00BD304B">
        <w:rPr>
          <w:rFonts w:ascii="Arial" w:hAnsi="Arial" w:cs="Arial"/>
          <w:sz w:val="20"/>
        </w:rPr>
        <w:t>(d)(6) The maintenance and inspection instructions need to provide information for removal and</w:t>
      </w:r>
      <w:r w:rsidRPr="00BD304B">
        <w:rPr>
          <w:rFonts w:ascii="Arial" w:hAnsi="Arial" w:cs="Arial"/>
          <w:spacing w:val="1"/>
          <w:sz w:val="20"/>
        </w:rPr>
        <w:t xml:space="preserve"> </w:t>
      </w:r>
      <w:r w:rsidRPr="00BD304B">
        <w:rPr>
          <w:rFonts w:ascii="Arial" w:hAnsi="Arial" w:cs="Arial"/>
          <w:sz w:val="20"/>
        </w:rPr>
        <w:t>installation,</w:t>
      </w:r>
      <w:r w:rsidRPr="00BD304B">
        <w:rPr>
          <w:rFonts w:ascii="Arial" w:hAnsi="Arial" w:cs="Arial"/>
          <w:spacing w:val="1"/>
          <w:sz w:val="20"/>
        </w:rPr>
        <w:t xml:space="preserve"> </w:t>
      </w:r>
      <w:r w:rsidRPr="00BD304B">
        <w:rPr>
          <w:rFonts w:ascii="Arial" w:hAnsi="Arial" w:cs="Arial"/>
          <w:sz w:val="20"/>
        </w:rPr>
        <w:t>cleaning,</w:t>
      </w:r>
      <w:r w:rsidRPr="00BD304B">
        <w:rPr>
          <w:rFonts w:ascii="Arial" w:hAnsi="Arial" w:cs="Arial"/>
          <w:spacing w:val="1"/>
          <w:sz w:val="20"/>
        </w:rPr>
        <w:t xml:space="preserve"> </w:t>
      </w:r>
      <w:r w:rsidRPr="00BD304B">
        <w:rPr>
          <w:rFonts w:ascii="Arial" w:hAnsi="Arial" w:cs="Arial"/>
          <w:sz w:val="20"/>
        </w:rPr>
        <w:t>inspecting,</w:t>
      </w:r>
      <w:r w:rsidRPr="00BD304B">
        <w:rPr>
          <w:rFonts w:ascii="Arial" w:hAnsi="Arial" w:cs="Arial"/>
          <w:spacing w:val="1"/>
          <w:sz w:val="20"/>
        </w:rPr>
        <w:t xml:space="preserve"> </w:t>
      </w:r>
      <w:r w:rsidRPr="00BD304B">
        <w:rPr>
          <w:rFonts w:ascii="Arial" w:hAnsi="Arial" w:cs="Arial"/>
          <w:sz w:val="20"/>
        </w:rPr>
        <w:t>adjusting,</w:t>
      </w:r>
      <w:r w:rsidRPr="00BD304B">
        <w:rPr>
          <w:rFonts w:ascii="Arial" w:hAnsi="Arial" w:cs="Arial"/>
          <w:spacing w:val="1"/>
          <w:sz w:val="20"/>
        </w:rPr>
        <w:t xml:space="preserve"> </w:t>
      </w:r>
      <w:r w:rsidRPr="00BD304B">
        <w:rPr>
          <w:rFonts w:ascii="Arial" w:hAnsi="Arial" w:cs="Arial"/>
          <w:sz w:val="20"/>
        </w:rPr>
        <w:t>testing</w:t>
      </w:r>
      <w:r w:rsidRPr="00BD304B">
        <w:rPr>
          <w:rFonts w:ascii="Arial" w:hAnsi="Arial" w:cs="Arial"/>
          <w:spacing w:val="1"/>
          <w:sz w:val="20"/>
        </w:rPr>
        <w:t xml:space="preserve"> </w:t>
      </w:r>
      <w:r w:rsidRPr="00BD304B">
        <w:rPr>
          <w:rFonts w:ascii="Arial" w:hAnsi="Arial" w:cs="Arial"/>
          <w:sz w:val="20"/>
        </w:rPr>
        <w:t>and</w:t>
      </w:r>
      <w:r w:rsidRPr="00BD304B">
        <w:rPr>
          <w:rFonts w:ascii="Arial" w:hAnsi="Arial" w:cs="Arial"/>
          <w:spacing w:val="1"/>
          <w:sz w:val="20"/>
        </w:rPr>
        <w:t xml:space="preserve"> </w:t>
      </w:r>
      <w:r w:rsidRPr="00BD304B">
        <w:rPr>
          <w:rFonts w:ascii="Arial" w:hAnsi="Arial" w:cs="Arial"/>
          <w:sz w:val="20"/>
        </w:rPr>
        <w:t>lubrication</w:t>
      </w:r>
      <w:r w:rsidRPr="00BD304B">
        <w:rPr>
          <w:rFonts w:ascii="Arial" w:hAnsi="Arial" w:cs="Arial"/>
          <w:spacing w:val="1"/>
          <w:sz w:val="20"/>
        </w:rPr>
        <w:t xml:space="preserve"> </w:t>
      </w:r>
      <w:r w:rsidRPr="00BD304B">
        <w:rPr>
          <w:rFonts w:ascii="Arial" w:hAnsi="Arial" w:cs="Arial"/>
          <w:sz w:val="20"/>
        </w:rPr>
        <w:t>of</w:t>
      </w:r>
      <w:r w:rsidRPr="00BD304B">
        <w:rPr>
          <w:rFonts w:ascii="Arial" w:hAnsi="Arial" w:cs="Arial"/>
          <w:spacing w:val="1"/>
          <w:sz w:val="20"/>
        </w:rPr>
        <w:t xml:space="preserve"> </w:t>
      </w:r>
      <w:r w:rsidRPr="00BD304B">
        <w:rPr>
          <w:rFonts w:ascii="Arial" w:hAnsi="Arial" w:cs="Arial"/>
          <w:sz w:val="20"/>
        </w:rPr>
        <w:t>systems,</w:t>
      </w:r>
      <w:r w:rsidRPr="00BD304B">
        <w:rPr>
          <w:rFonts w:ascii="Arial" w:hAnsi="Arial" w:cs="Arial"/>
          <w:spacing w:val="1"/>
          <w:sz w:val="20"/>
        </w:rPr>
        <w:t xml:space="preserve"> </w:t>
      </w:r>
      <w:r w:rsidRPr="00BD304B">
        <w:rPr>
          <w:rFonts w:ascii="Arial" w:hAnsi="Arial" w:cs="Arial"/>
          <w:sz w:val="20"/>
        </w:rPr>
        <w:t>parts</w:t>
      </w:r>
      <w:r w:rsidRPr="00BD304B">
        <w:rPr>
          <w:rFonts w:ascii="Arial" w:hAnsi="Arial" w:cs="Arial"/>
          <w:spacing w:val="1"/>
          <w:sz w:val="20"/>
        </w:rPr>
        <w:t xml:space="preserve"> </w:t>
      </w:r>
      <w:r w:rsidRPr="00BD304B">
        <w:rPr>
          <w:rFonts w:ascii="Arial" w:hAnsi="Arial" w:cs="Arial"/>
          <w:sz w:val="20"/>
        </w:rPr>
        <w:t>and</w:t>
      </w:r>
      <w:r w:rsidRPr="00BD304B">
        <w:rPr>
          <w:rFonts w:ascii="Arial" w:hAnsi="Arial" w:cs="Arial"/>
          <w:spacing w:val="1"/>
          <w:sz w:val="20"/>
        </w:rPr>
        <w:t xml:space="preserve"> </w:t>
      </w:r>
      <w:r w:rsidRPr="00BD304B">
        <w:rPr>
          <w:rFonts w:ascii="Arial" w:hAnsi="Arial" w:cs="Arial"/>
          <w:sz w:val="20"/>
        </w:rPr>
        <w:t>appliances of the balloon as required for continued airworthiness. Reference may be made to</w:t>
      </w:r>
      <w:r w:rsidRPr="00BD304B">
        <w:rPr>
          <w:rFonts w:ascii="Arial" w:hAnsi="Arial" w:cs="Arial"/>
          <w:spacing w:val="1"/>
          <w:sz w:val="20"/>
        </w:rPr>
        <w:t xml:space="preserve"> </w:t>
      </w:r>
      <w:r w:rsidRPr="00BD304B">
        <w:rPr>
          <w:rFonts w:ascii="Arial" w:hAnsi="Arial" w:cs="Arial"/>
          <w:sz w:val="20"/>
        </w:rPr>
        <w:t>information from an accessory, instrument or equipment manufacturer as the source of this</w:t>
      </w:r>
      <w:r w:rsidRPr="00BD304B">
        <w:rPr>
          <w:rFonts w:ascii="Arial" w:hAnsi="Arial" w:cs="Arial"/>
          <w:spacing w:val="1"/>
          <w:sz w:val="20"/>
        </w:rPr>
        <w:t xml:space="preserve"> </w:t>
      </w:r>
      <w:r w:rsidRPr="00BD304B">
        <w:rPr>
          <w:rFonts w:ascii="Arial" w:hAnsi="Arial" w:cs="Arial"/>
          <w:sz w:val="20"/>
        </w:rPr>
        <w:t>information</w:t>
      </w:r>
      <w:r w:rsidRPr="00BD304B">
        <w:rPr>
          <w:rFonts w:ascii="Arial" w:hAnsi="Arial" w:cs="Arial"/>
          <w:spacing w:val="-9"/>
          <w:sz w:val="20"/>
        </w:rPr>
        <w:t xml:space="preserve"> </w:t>
      </w:r>
      <w:r w:rsidRPr="00BD304B">
        <w:rPr>
          <w:rFonts w:ascii="Arial" w:hAnsi="Arial" w:cs="Arial"/>
          <w:sz w:val="20"/>
        </w:rPr>
        <w:t>if</w:t>
      </w:r>
      <w:r w:rsidRPr="00BD304B">
        <w:rPr>
          <w:rFonts w:ascii="Arial" w:hAnsi="Arial" w:cs="Arial"/>
          <w:spacing w:val="-8"/>
          <w:sz w:val="20"/>
        </w:rPr>
        <w:t xml:space="preserve"> </w:t>
      </w:r>
      <w:r w:rsidRPr="00BD304B">
        <w:rPr>
          <w:rFonts w:ascii="Arial" w:hAnsi="Arial" w:cs="Arial"/>
          <w:sz w:val="20"/>
        </w:rPr>
        <w:t>it</w:t>
      </w:r>
      <w:r w:rsidRPr="00BD304B">
        <w:rPr>
          <w:rFonts w:ascii="Arial" w:hAnsi="Arial" w:cs="Arial"/>
          <w:spacing w:val="-8"/>
          <w:sz w:val="20"/>
        </w:rPr>
        <w:t xml:space="preserve"> </w:t>
      </w:r>
      <w:r w:rsidRPr="00BD304B">
        <w:rPr>
          <w:rFonts w:ascii="Arial" w:hAnsi="Arial" w:cs="Arial"/>
          <w:sz w:val="20"/>
        </w:rPr>
        <w:t>is</w:t>
      </w:r>
      <w:r w:rsidRPr="00BD304B">
        <w:rPr>
          <w:rFonts w:ascii="Arial" w:hAnsi="Arial" w:cs="Arial"/>
          <w:spacing w:val="-8"/>
          <w:sz w:val="20"/>
        </w:rPr>
        <w:t xml:space="preserve"> </w:t>
      </w:r>
      <w:r w:rsidRPr="00BD304B">
        <w:rPr>
          <w:rFonts w:ascii="Arial" w:hAnsi="Arial" w:cs="Arial"/>
          <w:sz w:val="20"/>
        </w:rPr>
        <w:t>shown</w:t>
      </w:r>
      <w:r w:rsidRPr="00BD304B">
        <w:rPr>
          <w:rFonts w:ascii="Arial" w:hAnsi="Arial" w:cs="Arial"/>
          <w:spacing w:val="-7"/>
          <w:sz w:val="20"/>
        </w:rPr>
        <w:t xml:space="preserve"> </w:t>
      </w:r>
      <w:r w:rsidRPr="00BD304B">
        <w:rPr>
          <w:rFonts w:ascii="Arial" w:hAnsi="Arial" w:cs="Arial"/>
          <w:sz w:val="20"/>
        </w:rPr>
        <w:t>that</w:t>
      </w:r>
      <w:r w:rsidRPr="00BD304B">
        <w:rPr>
          <w:rFonts w:ascii="Arial" w:hAnsi="Arial" w:cs="Arial"/>
          <w:spacing w:val="-8"/>
          <w:sz w:val="20"/>
        </w:rPr>
        <w:t xml:space="preserve"> </w:t>
      </w:r>
      <w:r w:rsidRPr="00BD304B">
        <w:rPr>
          <w:rFonts w:ascii="Arial" w:hAnsi="Arial" w:cs="Arial"/>
          <w:sz w:val="20"/>
        </w:rPr>
        <w:t>the</w:t>
      </w:r>
      <w:r w:rsidRPr="00BD304B">
        <w:rPr>
          <w:rFonts w:ascii="Arial" w:hAnsi="Arial" w:cs="Arial"/>
          <w:spacing w:val="-8"/>
          <w:sz w:val="20"/>
        </w:rPr>
        <w:t xml:space="preserve"> </w:t>
      </w:r>
      <w:r w:rsidRPr="00BD304B">
        <w:rPr>
          <w:rFonts w:ascii="Arial" w:hAnsi="Arial" w:cs="Arial"/>
          <w:sz w:val="20"/>
        </w:rPr>
        <w:t>item</w:t>
      </w:r>
      <w:r w:rsidRPr="00BD304B">
        <w:rPr>
          <w:rFonts w:ascii="Arial" w:hAnsi="Arial" w:cs="Arial"/>
          <w:spacing w:val="-7"/>
          <w:sz w:val="20"/>
        </w:rPr>
        <w:t xml:space="preserve"> </w:t>
      </w:r>
      <w:r w:rsidRPr="00BD304B">
        <w:rPr>
          <w:rFonts w:ascii="Arial" w:hAnsi="Arial" w:cs="Arial"/>
          <w:sz w:val="20"/>
        </w:rPr>
        <w:t>has</w:t>
      </w:r>
      <w:r w:rsidRPr="00BD304B">
        <w:rPr>
          <w:rFonts w:ascii="Arial" w:hAnsi="Arial" w:cs="Arial"/>
          <w:spacing w:val="-8"/>
          <w:sz w:val="20"/>
        </w:rPr>
        <w:t xml:space="preserve"> </w:t>
      </w:r>
      <w:r w:rsidRPr="00BD304B">
        <w:rPr>
          <w:rFonts w:ascii="Arial" w:hAnsi="Arial" w:cs="Arial"/>
          <w:sz w:val="20"/>
        </w:rPr>
        <w:t>an</w:t>
      </w:r>
      <w:r w:rsidRPr="00BD304B">
        <w:rPr>
          <w:rFonts w:ascii="Arial" w:hAnsi="Arial" w:cs="Arial"/>
          <w:spacing w:val="-8"/>
          <w:sz w:val="20"/>
        </w:rPr>
        <w:t xml:space="preserve"> </w:t>
      </w:r>
      <w:r w:rsidRPr="00BD304B">
        <w:rPr>
          <w:rFonts w:ascii="Arial" w:hAnsi="Arial" w:cs="Arial"/>
          <w:sz w:val="20"/>
        </w:rPr>
        <w:t>exceptionally</w:t>
      </w:r>
      <w:r w:rsidRPr="00BD304B">
        <w:rPr>
          <w:rFonts w:ascii="Arial" w:hAnsi="Arial" w:cs="Arial"/>
          <w:spacing w:val="-7"/>
          <w:sz w:val="20"/>
        </w:rPr>
        <w:t xml:space="preserve"> </w:t>
      </w:r>
      <w:r w:rsidRPr="00BD304B">
        <w:rPr>
          <w:rFonts w:ascii="Arial" w:hAnsi="Arial" w:cs="Arial"/>
          <w:sz w:val="20"/>
        </w:rPr>
        <w:t>high</w:t>
      </w:r>
      <w:r w:rsidRPr="00BD304B">
        <w:rPr>
          <w:rFonts w:ascii="Arial" w:hAnsi="Arial" w:cs="Arial"/>
          <w:spacing w:val="-9"/>
          <w:sz w:val="20"/>
        </w:rPr>
        <w:t xml:space="preserve"> </w:t>
      </w:r>
      <w:r w:rsidRPr="00BD304B">
        <w:rPr>
          <w:rFonts w:ascii="Arial" w:hAnsi="Arial" w:cs="Arial"/>
          <w:sz w:val="20"/>
        </w:rPr>
        <w:t>degree</w:t>
      </w:r>
      <w:r w:rsidRPr="00BD304B">
        <w:rPr>
          <w:rFonts w:ascii="Arial" w:hAnsi="Arial" w:cs="Arial"/>
          <w:spacing w:val="-8"/>
          <w:sz w:val="20"/>
        </w:rPr>
        <w:t xml:space="preserve"> </w:t>
      </w:r>
      <w:r w:rsidRPr="00BD304B">
        <w:rPr>
          <w:rFonts w:ascii="Arial" w:hAnsi="Arial" w:cs="Arial"/>
          <w:sz w:val="20"/>
        </w:rPr>
        <w:t>of</w:t>
      </w:r>
      <w:r w:rsidRPr="00BD304B">
        <w:rPr>
          <w:rFonts w:ascii="Arial" w:hAnsi="Arial" w:cs="Arial"/>
          <w:spacing w:val="-8"/>
          <w:sz w:val="20"/>
        </w:rPr>
        <w:t xml:space="preserve"> </w:t>
      </w:r>
      <w:r w:rsidRPr="00BD304B">
        <w:rPr>
          <w:rFonts w:ascii="Arial" w:hAnsi="Arial" w:cs="Arial"/>
          <w:sz w:val="20"/>
        </w:rPr>
        <w:t>complexity</w:t>
      </w:r>
      <w:r w:rsidRPr="00BD304B">
        <w:rPr>
          <w:rFonts w:ascii="Arial" w:hAnsi="Arial" w:cs="Arial"/>
          <w:spacing w:val="-6"/>
          <w:sz w:val="20"/>
        </w:rPr>
        <w:t xml:space="preserve"> </w:t>
      </w:r>
      <w:r w:rsidRPr="00BD304B">
        <w:rPr>
          <w:rFonts w:ascii="Arial" w:hAnsi="Arial" w:cs="Arial"/>
          <w:sz w:val="20"/>
        </w:rPr>
        <w:t>requiring</w:t>
      </w:r>
      <w:r w:rsidRPr="00BD304B">
        <w:rPr>
          <w:rFonts w:ascii="Arial" w:hAnsi="Arial" w:cs="Arial"/>
          <w:spacing w:val="-48"/>
          <w:sz w:val="20"/>
        </w:rPr>
        <w:t xml:space="preserve"> </w:t>
      </w:r>
      <w:r w:rsidRPr="00BD304B">
        <w:rPr>
          <w:rFonts w:ascii="Arial" w:hAnsi="Arial" w:cs="Arial"/>
          <w:sz w:val="20"/>
        </w:rPr>
        <w:t>specialised</w:t>
      </w:r>
      <w:r w:rsidRPr="00BD304B">
        <w:rPr>
          <w:rFonts w:ascii="Arial" w:hAnsi="Arial" w:cs="Arial"/>
          <w:spacing w:val="-4"/>
          <w:sz w:val="20"/>
        </w:rPr>
        <w:t xml:space="preserve"> </w:t>
      </w:r>
      <w:r w:rsidRPr="00BD304B">
        <w:rPr>
          <w:rFonts w:ascii="Arial" w:hAnsi="Arial" w:cs="Arial"/>
          <w:sz w:val="20"/>
        </w:rPr>
        <w:t>maintenance</w:t>
      </w:r>
      <w:r w:rsidRPr="00BD304B">
        <w:rPr>
          <w:rFonts w:ascii="Arial" w:hAnsi="Arial" w:cs="Arial"/>
          <w:spacing w:val="-2"/>
          <w:sz w:val="20"/>
        </w:rPr>
        <w:t xml:space="preserve"> </w:t>
      </w:r>
      <w:r w:rsidRPr="00BD304B">
        <w:rPr>
          <w:rFonts w:ascii="Arial" w:hAnsi="Arial" w:cs="Arial"/>
          <w:sz w:val="20"/>
        </w:rPr>
        <w:t>techniques,</w:t>
      </w:r>
      <w:r w:rsidRPr="00BD304B">
        <w:rPr>
          <w:rFonts w:ascii="Arial" w:hAnsi="Arial" w:cs="Arial"/>
          <w:spacing w:val="1"/>
          <w:sz w:val="20"/>
        </w:rPr>
        <w:t xml:space="preserve"> </w:t>
      </w:r>
      <w:r w:rsidRPr="00BD304B">
        <w:rPr>
          <w:rFonts w:ascii="Arial" w:hAnsi="Arial" w:cs="Arial"/>
          <w:sz w:val="20"/>
        </w:rPr>
        <w:t>test equipment</w:t>
      </w:r>
      <w:r w:rsidRPr="00BD304B">
        <w:rPr>
          <w:rFonts w:ascii="Arial" w:hAnsi="Arial" w:cs="Arial"/>
          <w:spacing w:val="-3"/>
          <w:sz w:val="20"/>
        </w:rPr>
        <w:t xml:space="preserve"> </w:t>
      </w:r>
      <w:r w:rsidRPr="00BD304B">
        <w:rPr>
          <w:rFonts w:ascii="Arial" w:hAnsi="Arial" w:cs="Arial"/>
          <w:sz w:val="20"/>
        </w:rPr>
        <w:t>or expertise.</w:t>
      </w:r>
    </w:p>
    <w:p w14:paraId="44CD41CB" w14:textId="2917520C" w:rsidR="00725016" w:rsidRPr="00725016" w:rsidRDefault="00BD304B" w:rsidP="00725016">
      <w:pPr>
        <w:spacing w:before="119"/>
        <w:ind w:left="704" w:right="26" w:hanging="567"/>
        <w:jc w:val="both"/>
        <w:rPr>
          <w:rFonts w:ascii="Arial" w:hAnsi="Arial" w:cs="Arial"/>
          <w:sz w:val="20"/>
        </w:rPr>
        <w:sectPr w:rsidR="00725016" w:rsidRPr="00725016" w:rsidSect="008304B0">
          <w:headerReference w:type="default" r:id="rId146"/>
          <w:pgSz w:w="11906" w:h="16838" w:code="9"/>
          <w:pgMar w:top="450" w:right="1440" w:bottom="540" w:left="1350" w:header="407" w:footer="0" w:gutter="0"/>
          <w:cols w:space="720"/>
          <w:docGrid w:linePitch="360"/>
        </w:sectPr>
      </w:pPr>
      <w:r w:rsidRPr="00BD304B">
        <w:rPr>
          <w:rFonts w:ascii="Arial" w:hAnsi="Arial" w:cs="Arial"/>
          <w:spacing w:val="-1"/>
          <w:sz w:val="20"/>
        </w:rPr>
        <w:t>(d)(9)</w:t>
      </w:r>
      <w:r w:rsidRPr="00BD304B">
        <w:rPr>
          <w:rFonts w:ascii="Arial" w:hAnsi="Arial" w:cs="Arial"/>
          <w:spacing w:val="19"/>
          <w:sz w:val="20"/>
        </w:rPr>
        <w:t xml:space="preserve"> </w:t>
      </w:r>
      <w:r w:rsidRPr="00BD304B">
        <w:rPr>
          <w:rFonts w:ascii="Arial" w:hAnsi="Arial" w:cs="Arial"/>
          <w:spacing w:val="-1"/>
          <w:sz w:val="20"/>
        </w:rPr>
        <w:t>If</w:t>
      </w:r>
      <w:r w:rsidRPr="00BD304B">
        <w:rPr>
          <w:rFonts w:ascii="Arial" w:hAnsi="Arial" w:cs="Arial"/>
          <w:spacing w:val="-9"/>
          <w:sz w:val="20"/>
        </w:rPr>
        <w:t xml:space="preserve"> </w:t>
      </w:r>
      <w:r w:rsidRPr="00BD304B">
        <w:rPr>
          <w:rFonts w:ascii="Arial" w:hAnsi="Arial" w:cs="Arial"/>
          <w:sz w:val="20"/>
        </w:rPr>
        <w:t>the</w:t>
      </w:r>
      <w:r w:rsidRPr="00BD304B">
        <w:rPr>
          <w:rFonts w:ascii="Arial" w:hAnsi="Arial" w:cs="Arial"/>
          <w:spacing w:val="-9"/>
          <w:sz w:val="20"/>
        </w:rPr>
        <w:t xml:space="preserve"> </w:t>
      </w:r>
      <w:r w:rsidRPr="00BD304B">
        <w:rPr>
          <w:rFonts w:ascii="Arial" w:hAnsi="Arial" w:cs="Arial"/>
          <w:sz w:val="20"/>
        </w:rPr>
        <w:t>instructions</w:t>
      </w:r>
      <w:r w:rsidRPr="00BD304B">
        <w:rPr>
          <w:rFonts w:ascii="Arial" w:hAnsi="Arial" w:cs="Arial"/>
          <w:spacing w:val="-10"/>
          <w:sz w:val="20"/>
        </w:rPr>
        <w:t xml:space="preserve"> </w:t>
      </w:r>
      <w:r w:rsidRPr="00BD304B">
        <w:rPr>
          <w:rFonts w:ascii="Arial" w:hAnsi="Arial" w:cs="Arial"/>
          <w:sz w:val="20"/>
        </w:rPr>
        <w:t>for</w:t>
      </w:r>
      <w:r w:rsidRPr="00BD304B">
        <w:rPr>
          <w:rFonts w:ascii="Arial" w:hAnsi="Arial" w:cs="Arial"/>
          <w:spacing w:val="-10"/>
          <w:sz w:val="20"/>
        </w:rPr>
        <w:t xml:space="preserve"> </w:t>
      </w:r>
      <w:r w:rsidRPr="00BD304B">
        <w:rPr>
          <w:rFonts w:ascii="Arial" w:hAnsi="Arial" w:cs="Arial"/>
          <w:sz w:val="20"/>
        </w:rPr>
        <w:t>continued</w:t>
      </w:r>
      <w:r w:rsidRPr="00BD304B">
        <w:rPr>
          <w:rFonts w:ascii="Arial" w:hAnsi="Arial" w:cs="Arial"/>
          <w:spacing w:val="-8"/>
          <w:sz w:val="20"/>
        </w:rPr>
        <w:t xml:space="preserve"> </w:t>
      </w:r>
      <w:r w:rsidRPr="00BD304B">
        <w:rPr>
          <w:rFonts w:ascii="Arial" w:hAnsi="Arial" w:cs="Arial"/>
          <w:sz w:val="20"/>
        </w:rPr>
        <w:t>airworthiness</w:t>
      </w:r>
      <w:r w:rsidRPr="00BD304B">
        <w:rPr>
          <w:rFonts w:ascii="Arial" w:hAnsi="Arial" w:cs="Arial"/>
          <w:spacing w:val="-9"/>
          <w:sz w:val="20"/>
        </w:rPr>
        <w:t xml:space="preserve"> </w:t>
      </w:r>
      <w:r w:rsidRPr="00BD304B">
        <w:rPr>
          <w:rFonts w:ascii="Arial" w:hAnsi="Arial" w:cs="Arial"/>
          <w:sz w:val="20"/>
        </w:rPr>
        <w:t>consist</w:t>
      </w:r>
      <w:r w:rsidRPr="00BD304B">
        <w:rPr>
          <w:rFonts w:ascii="Arial" w:hAnsi="Arial" w:cs="Arial"/>
          <w:spacing w:val="-12"/>
          <w:sz w:val="20"/>
        </w:rPr>
        <w:t xml:space="preserve"> </w:t>
      </w:r>
      <w:r w:rsidRPr="00BD304B">
        <w:rPr>
          <w:rFonts w:ascii="Arial" w:hAnsi="Arial" w:cs="Arial"/>
          <w:sz w:val="20"/>
        </w:rPr>
        <w:t>of</w:t>
      </w:r>
      <w:r w:rsidRPr="00BD304B">
        <w:rPr>
          <w:rFonts w:ascii="Arial" w:hAnsi="Arial" w:cs="Arial"/>
          <w:spacing w:val="-11"/>
          <w:sz w:val="20"/>
        </w:rPr>
        <w:t xml:space="preserve"> </w:t>
      </w:r>
      <w:r w:rsidRPr="00BD304B">
        <w:rPr>
          <w:rFonts w:ascii="Arial" w:hAnsi="Arial" w:cs="Arial"/>
          <w:sz w:val="20"/>
        </w:rPr>
        <w:t>multiple</w:t>
      </w:r>
      <w:r w:rsidRPr="00BD304B">
        <w:rPr>
          <w:rFonts w:ascii="Arial" w:hAnsi="Arial" w:cs="Arial"/>
          <w:spacing w:val="-9"/>
          <w:sz w:val="20"/>
        </w:rPr>
        <w:t xml:space="preserve"> </w:t>
      </w:r>
      <w:r w:rsidRPr="00BD304B">
        <w:rPr>
          <w:rFonts w:ascii="Arial" w:hAnsi="Arial" w:cs="Arial"/>
          <w:sz w:val="20"/>
        </w:rPr>
        <w:t>documents,</w:t>
      </w:r>
      <w:r w:rsidRPr="00BD304B">
        <w:rPr>
          <w:rFonts w:ascii="Arial" w:hAnsi="Arial" w:cs="Arial"/>
          <w:spacing w:val="-10"/>
          <w:sz w:val="20"/>
        </w:rPr>
        <w:t xml:space="preserve"> </w:t>
      </w:r>
      <w:r w:rsidRPr="00BD304B">
        <w:rPr>
          <w:rFonts w:ascii="Arial" w:hAnsi="Arial" w:cs="Arial"/>
          <w:sz w:val="20"/>
        </w:rPr>
        <w:t>the</w:t>
      </w:r>
      <w:r w:rsidRPr="00BD304B">
        <w:rPr>
          <w:rFonts w:ascii="Arial" w:hAnsi="Arial" w:cs="Arial"/>
          <w:spacing w:val="-12"/>
          <w:sz w:val="20"/>
        </w:rPr>
        <w:t xml:space="preserve"> </w:t>
      </w:r>
      <w:r w:rsidRPr="00BD304B">
        <w:rPr>
          <w:rFonts w:ascii="Arial" w:hAnsi="Arial" w:cs="Arial"/>
          <w:sz w:val="20"/>
        </w:rPr>
        <w:t>Airworthiness</w:t>
      </w:r>
      <w:r w:rsidRPr="00BD304B">
        <w:rPr>
          <w:rFonts w:ascii="Arial" w:hAnsi="Arial" w:cs="Arial"/>
          <w:spacing w:val="-47"/>
          <w:sz w:val="20"/>
        </w:rPr>
        <w:t xml:space="preserve"> </w:t>
      </w:r>
      <w:r w:rsidRPr="00BD304B">
        <w:rPr>
          <w:rFonts w:ascii="Arial" w:hAnsi="Arial" w:cs="Arial"/>
          <w:sz w:val="20"/>
        </w:rPr>
        <w:t>Limitations</w:t>
      </w:r>
      <w:r w:rsidRPr="00BD304B">
        <w:rPr>
          <w:rFonts w:ascii="Arial" w:hAnsi="Arial" w:cs="Arial"/>
          <w:spacing w:val="-4"/>
          <w:sz w:val="20"/>
        </w:rPr>
        <w:t xml:space="preserve"> </w:t>
      </w:r>
      <w:r w:rsidRPr="00BD304B">
        <w:rPr>
          <w:rFonts w:ascii="Arial" w:hAnsi="Arial" w:cs="Arial"/>
          <w:sz w:val="20"/>
        </w:rPr>
        <w:t>section</w:t>
      </w:r>
      <w:r w:rsidRPr="00BD304B">
        <w:rPr>
          <w:rFonts w:ascii="Arial" w:hAnsi="Arial" w:cs="Arial"/>
          <w:spacing w:val="-1"/>
          <w:sz w:val="20"/>
        </w:rPr>
        <w:t xml:space="preserve"> </w:t>
      </w:r>
      <w:r w:rsidRPr="00BD304B">
        <w:rPr>
          <w:rFonts w:ascii="Arial" w:hAnsi="Arial" w:cs="Arial"/>
          <w:sz w:val="20"/>
        </w:rPr>
        <w:t>need</w:t>
      </w:r>
      <w:r w:rsidRPr="00BD304B">
        <w:rPr>
          <w:rFonts w:ascii="Arial" w:hAnsi="Arial" w:cs="Arial"/>
          <w:spacing w:val="-1"/>
          <w:sz w:val="20"/>
        </w:rPr>
        <w:t xml:space="preserve"> </w:t>
      </w:r>
      <w:r w:rsidRPr="00BD304B">
        <w:rPr>
          <w:rFonts w:ascii="Arial" w:hAnsi="Arial" w:cs="Arial"/>
          <w:sz w:val="20"/>
        </w:rPr>
        <w:t>to</w:t>
      </w:r>
      <w:r w:rsidRPr="00BD304B">
        <w:rPr>
          <w:rFonts w:ascii="Arial" w:hAnsi="Arial" w:cs="Arial"/>
          <w:spacing w:val="-2"/>
          <w:sz w:val="20"/>
        </w:rPr>
        <w:t xml:space="preserve"> </w:t>
      </w:r>
      <w:r w:rsidRPr="00BD304B">
        <w:rPr>
          <w:rFonts w:ascii="Arial" w:hAnsi="Arial" w:cs="Arial"/>
          <w:sz w:val="20"/>
        </w:rPr>
        <w:t>be included in</w:t>
      </w:r>
      <w:r w:rsidRPr="00BD304B">
        <w:rPr>
          <w:rFonts w:ascii="Arial" w:hAnsi="Arial" w:cs="Arial"/>
          <w:spacing w:val="-1"/>
          <w:sz w:val="20"/>
        </w:rPr>
        <w:t xml:space="preserve"> </w:t>
      </w:r>
      <w:r w:rsidRPr="00BD304B">
        <w:rPr>
          <w:rFonts w:ascii="Arial" w:hAnsi="Arial" w:cs="Arial"/>
          <w:sz w:val="20"/>
        </w:rPr>
        <w:t>the principal manual</w:t>
      </w:r>
      <w:r w:rsidR="00725016">
        <w:rPr>
          <w:rFonts w:ascii="Arial" w:hAnsi="Arial" w:cs="Arial"/>
          <w:sz w:val="20"/>
        </w:rPr>
        <w:t>.</w:t>
      </w:r>
    </w:p>
    <w:p w14:paraId="6464F7C5" w14:textId="77777777" w:rsidR="00F40863" w:rsidRDefault="00F40863" w:rsidP="009B2DD4">
      <w:pPr>
        <w:tabs>
          <w:tab w:val="left" w:pos="1274"/>
        </w:tabs>
        <w:ind w:right="196"/>
        <w:jc w:val="both"/>
        <w:rPr>
          <w:rFonts w:ascii="Arial" w:hAnsi="Arial" w:cs="Arial"/>
        </w:rPr>
      </w:pPr>
    </w:p>
    <w:p w14:paraId="10822426" w14:textId="77777777" w:rsidR="009C6236" w:rsidRDefault="009C6236" w:rsidP="009C6236">
      <w:pPr>
        <w:keepNext/>
        <w:keepLines/>
        <w:widowControl/>
        <w:autoSpaceDE/>
        <w:autoSpaceDN/>
        <w:spacing w:before="40" w:line="259" w:lineRule="auto"/>
        <w:jc w:val="center"/>
        <w:outlineLvl w:val="2"/>
        <w:rPr>
          <w:rFonts w:ascii="Arial" w:eastAsiaTheme="majorEastAsia" w:hAnsi="Arial" w:cs="Arial"/>
          <w:b/>
          <w:color w:val="00B0F0"/>
          <w:sz w:val="24"/>
          <w:szCs w:val="24"/>
        </w:rPr>
      </w:pPr>
      <w:bookmarkStart w:id="1189" w:name="_Toc153137662"/>
      <w:r w:rsidRPr="009C6236">
        <w:rPr>
          <w:rFonts w:ascii="Arial" w:eastAsiaTheme="majorEastAsia" w:hAnsi="Arial" w:cs="Arial"/>
          <w:b/>
          <w:color w:val="00B0F0"/>
          <w:sz w:val="24"/>
          <w:szCs w:val="24"/>
        </w:rPr>
        <w:t>CS-31HB (AMENDMENT 1)</w:t>
      </w:r>
      <w:bookmarkEnd w:id="1189"/>
      <w:r w:rsidRPr="009C6236">
        <w:rPr>
          <w:rFonts w:ascii="Arial" w:eastAsiaTheme="majorEastAsia" w:hAnsi="Arial" w:cs="Arial"/>
          <w:b/>
          <w:color w:val="00B0F0"/>
          <w:sz w:val="24"/>
          <w:szCs w:val="24"/>
        </w:rPr>
        <w:t xml:space="preserve"> </w:t>
      </w:r>
      <w:bookmarkStart w:id="1190" w:name="_bookmark499"/>
      <w:bookmarkEnd w:id="1190"/>
    </w:p>
    <w:p w14:paraId="6BB188A3" w14:textId="77777777" w:rsidR="009C6236" w:rsidRPr="009C6236" w:rsidRDefault="009C6236" w:rsidP="009C6236">
      <w:pPr>
        <w:pStyle w:val="BodyText"/>
        <w:jc w:val="center"/>
        <w:rPr>
          <w:rFonts w:ascii="Arial" w:hAnsi="Arial" w:cs="Arial"/>
          <w:b/>
          <w:color w:val="002060"/>
          <w:sz w:val="24"/>
        </w:rPr>
      </w:pPr>
      <w:r w:rsidRPr="009C6236">
        <w:rPr>
          <w:rFonts w:ascii="Arial" w:hAnsi="Arial" w:cs="Arial"/>
          <w:b/>
          <w:color w:val="002060"/>
          <w:sz w:val="24"/>
        </w:rPr>
        <w:t xml:space="preserve">INCORPORATED AMENDMENTS </w:t>
      </w:r>
    </w:p>
    <w:p w14:paraId="14D3D652" w14:textId="77777777" w:rsidR="009C6236" w:rsidRPr="009C6236" w:rsidRDefault="009C6236" w:rsidP="009C6236">
      <w:pPr>
        <w:pStyle w:val="BodyText"/>
        <w:jc w:val="center"/>
        <w:rPr>
          <w:rFonts w:ascii="Arial" w:hAnsi="Arial" w:cs="Arial"/>
          <w:b/>
          <w:color w:val="00B0F0"/>
          <w:sz w:val="24"/>
        </w:rPr>
      </w:pPr>
      <w:r w:rsidRPr="009C6236">
        <w:rPr>
          <w:rFonts w:ascii="Arial" w:hAnsi="Arial" w:cs="Arial"/>
          <w:b/>
          <w:color w:val="00B0F0"/>
          <w:sz w:val="24"/>
        </w:rPr>
        <w:t>CS/AMC (ED DECISIONS)</w:t>
      </w:r>
    </w:p>
    <w:p w14:paraId="1DD1BA12" w14:textId="77777777" w:rsidR="009C6236" w:rsidRDefault="009C6236" w:rsidP="009B2DD4">
      <w:pPr>
        <w:tabs>
          <w:tab w:val="left" w:pos="1274"/>
        </w:tabs>
        <w:ind w:right="196"/>
        <w:jc w:val="both"/>
        <w:rPr>
          <w:rFonts w:ascii="Arial" w:hAnsi="Arial" w:cs="Arial"/>
        </w:rPr>
      </w:pPr>
    </w:p>
    <w:tbl>
      <w:tblPr>
        <w:tblStyle w:val="TableGrid31"/>
        <w:tblW w:w="0" w:type="auto"/>
        <w:tblLayout w:type="fixed"/>
        <w:tblLook w:val="01E0" w:firstRow="1" w:lastRow="1" w:firstColumn="1" w:lastColumn="1" w:noHBand="0" w:noVBand="0"/>
      </w:tblPr>
      <w:tblGrid>
        <w:gridCol w:w="3142"/>
        <w:gridCol w:w="2792"/>
        <w:gridCol w:w="3140"/>
      </w:tblGrid>
      <w:tr w:rsidR="00FA37EF" w:rsidRPr="00FA37EF" w14:paraId="03E01475" w14:textId="77777777" w:rsidTr="00D861D9">
        <w:trPr>
          <w:trHeight w:val="445"/>
        </w:trPr>
        <w:tc>
          <w:tcPr>
            <w:tcW w:w="3142" w:type="dxa"/>
            <w:shd w:val="clear" w:color="auto" w:fill="F2F2F2" w:themeFill="background1" w:themeFillShade="F2"/>
            <w:hideMark/>
          </w:tcPr>
          <w:p w14:paraId="11DBF373" w14:textId="77777777" w:rsidR="00FA37EF" w:rsidRPr="00FA37EF" w:rsidRDefault="00FA37EF">
            <w:pPr>
              <w:pStyle w:val="TableParagraph"/>
              <w:spacing w:before="121"/>
              <w:ind w:left="88"/>
              <w:rPr>
                <w:rFonts w:ascii="Arial" w:hAnsi="Arial" w:cs="Arial"/>
                <w:b/>
              </w:rPr>
            </w:pPr>
            <w:r w:rsidRPr="00FA37EF">
              <w:rPr>
                <w:rFonts w:ascii="Arial" w:hAnsi="Arial" w:cs="Arial"/>
                <w:b/>
              </w:rPr>
              <w:t>Incorporated ED Decision</w:t>
            </w:r>
          </w:p>
        </w:tc>
        <w:tc>
          <w:tcPr>
            <w:tcW w:w="2792" w:type="dxa"/>
            <w:shd w:val="clear" w:color="auto" w:fill="F2F2F2" w:themeFill="background1" w:themeFillShade="F2"/>
            <w:hideMark/>
          </w:tcPr>
          <w:p w14:paraId="3E172B04" w14:textId="77777777" w:rsidR="00FA37EF" w:rsidRPr="00FA37EF" w:rsidRDefault="00FA37EF">
            <w:pPr>
              <w:pStyle w:val="TableParagraph"/>
              <w:spacing w:line="243" w:lineRule="exact"/>
              <w:rPr>
                <w:rFonts w:ascii="Arial" w:hAnsi="Arial" w:cs="Arial"/>
                <w:b/>
              </w:rPr>
            </w:pPr>
            <w:r w:rsidRPr="00FA37EF">
              <w:rPr>
                <w:rFonts w:ascii="Arial" w:hAnsi="Arial" w:cs="Arial"/>
                <w:b/>
              </w:rPr>
              <w:t>CS/AMC Issue No,</w:t>
            </w:r>
          </w:p>
          <w:p w14:paraId="19DA00B0" w14:textId="77777777" w:rsidR="00FA37EF" w:rsidRPr="00FA37EF" w:rsidRDefault="00FA37EF">
            <w:pPr>
              <w:pStyle w:val="TableParagraph"/>
              <w:spacing w:line="225" w:lineRule="exact"/>
              <w:rPr>
                <w:rFonts w:ascii="Arial" w:hAnsi="Arial" w:cs="Arial"/>
                <w:b/>
              </w:rPr>
            </w:pPr>
            <w:r w:rsidRPr="00FA37EF">
              <w:rPr>
                <w:rFonts w:ascii="Arial" w:hAnsi="Arial" w:cs="Arial"/>
                <w:b/>
              </w:rPr>
              <w:t>Amendment No</w:t>
            </w:r>
          </w:p>
        </w:tc>
        <w:tc>
          <w:tcPr>
            <w:tcW w:w="3140" w:type="dxa"/>
            <w:shd w:val="clear" w:color="auto" w:fill="F2F2F2" w:themeFill="background1" w:themeFillShade="F2"/>
            <w:hideMark/>
          </w:tcPr>
          <w:p w14:paraId="5B59174F" w14:textId="77777777" w:rsidR="00FA37EF" w:rsidRPr="00FA37EF" w:rsidRDefault="00FA37EF">
            <w:pPr>
              <w:pStyle w:val="TableParagraph"/>
              <w:spacing w:before="121"/>
              <w:rPr>
                <w:rFonts w:ascii="Arial" w:hAnsi="Arial" w:cs="Arial"/>
                <w:b/>
              </w:rPr>
            </w:pPr>
            <w:r w:rsidRPr="00FA37EF">
              <w:rPr>
                <w:rFonts w:ascii="Arial" w:hAnsi="Arial" w:cs="Arial"/>
                <w:b/>
              </w:rPr>
              <w:t>Applicability date</w:t>
            </w:r>
          </w:p>
        </w:tc>
      </w:tr>
      <w:tr w:rsidR="00FA37EF" w:rsidRPr="00FA37EF" w14:paraId="29E65D46" w14:textId="77777777" w:rsidTr="00D861D9">
        <w:trPr>
          <w:trHeight w:val="229"/>
        </w:trPr>
        <w:tc>
          <w:tcPr>
            <w:tcW w:w="3142" w:type="dxa"/>
            <w:hideMark/>
          </w:tcPr>
          <w:p w14:paraId="467D8F6A" w14:textId="2CA464AF" w:rsidR="00FA37EF" w:rsidRPr="00761C94" w:rsidRDefault="00FA37EF">
            <w:pPr>
              <w:pStyle w:val="TableParagraph"/>
              <w:spacing w:line="242" w:lineRule="exact"/>
              <w:ind w:left="88"/>
              <w:rPr>
                <w:rFonts w:ascii="Arial" w:hAnsi="Arial" w:cs="Arial"/>
              </w:rPr>
            </w:pPr>
            <w:r w:rsidRPr="00761C94">
              <w:rPr>
                <w:rFonts w:ascii="Arial" w:hAnsi="Arial" w:cs="Arial"/>
              </w:rPr>
              <w:t>ED</w:t>
            </w:r>
            <w:r w:rsidRPr="00761C94">
              <w:rPr>
                <w:rFonts w:ascii="Arial" w:hAnsi="Arial" w:cs="Arial"/>
                <w:spacing w:val="-4"/>
              </w:rPr>
              <w:t xml:space="preserve"> </w:t>
            </w:r>
            <w:r w:rsidRPr="00761C94">
              <w:rPr>
                <w:rFonts w:ascii="Arial" w:hAnsi="Arial" w:cs="Arial"/>
              </w:rPr>
              <w:t>Decision</w:t>
            </w:r>
            <w:r w:rsidRPr="00761C94">
              <w:rPr>
                <w:rFonts w:ascii="Arial" w:hAnsi="Arial" w:cs="Arial"/>
                <w:spacing w:val="-1"/>
              </w:rPr>
              <w:t xml:space="preserve"> </w:t>
            </w:r>
            <w:r w:rsidRPr="00761C94">
              <w:rPr>
                <w:rFonts w:ascii="Arial" w:hAnsi="Arial" w:cs="Arial"/>
              </w:rPr>
              <w:t>2011/013/R</w:t>
            </w:r>
          </w:p>
        </w:tc>
        <w:tc>
          <w:tcPr>
            <w:tcW w:w="2792" w:type="dxa"/>
            <w:hideMark/>
          </w:tcPr>
          <w:p w14:paraId="59F3B737" w14:textId="77777777" w:rsidR="00FA37EF" w:rsidRPr="00FA37EF" w:rsidRDefault="00FA37EF">
            <w:pPr>
              <w:pStyle w:val="TableParagraph"/>
              <w:spacing w:line="242" w:lineRule="exact"/>
              <w:rPr>
                <w:rFonts w:ascii="Arial" w:hAnsi="Arial" w:cs="Arial"/>
              </w:rPr>
            </w:pPr>
            <w:r w:rsidRPr="00FA37EF">
              <w:rPr>
                <w:rFonts w:ascii="Arial" w:hAnsi="Arial" w:cs="Arial"/>
              </w:rPr>
              <w:t>CS-31HB/</w:t>
            </w:r>
            <w:r w:rsidRPr="00FA37EF">
              <w:rPr>
                <w:rFonts w:ascii="Arial" w:hAnsi="Arial" w:cs="Arial"/>
                <w:spacing w:val="-4"/>
              </w:rPr>
              <w:t xml:space="preserve"> </w:t>
            </w:r>
            <w:r w:rsidRPr="00FA37EF">
              <w:rPr>
                <w:rFonts w:ascii="Arial" w:hAnsi="Arial" w:cs="Arial"/>
              </w:rPr>
              <w:t>Amendment</w:t>
            </w:r>
            <w:r w:rsidRPr="00FA37EF">
              <w:rPr>
                <w:rFonts w:ascii="Arial" w:hAnsi="Arial" w:cs="Arial"/>
                <w:spacing w:val="-3"/>
              </w:rPr>
              <w:t xml:space="preserve"> </w:t>
            </w:r>
            <w:r w:rsidRPr="00FA37EF">
              <w:rPr>
                <w:rFonts w:ascii="Arial" w:hAnsi="Arial" w:cs="Arial"/>
              </w:rPr>
              <w:t>1</w:t>
            </w:r>
          </w:p>
        </w:tc>
        <w:tc>
          <w:tcPr>
            <w:tcW w:w="3140" w:type="dxa"/>
            <w:hideMark/>
          </w:tcPr>
          <w:p w14:paraId="75C88D6C" w14:textId="77777777" w:rsidR="00FA37EF" w:rsidRPr="00FA37EF" w:rsidRDefault="00FA37EF">
            <w:pPr>
              <w:pStyle w:val="TableParagraph"/>
              <w:spacing w:line="242" w:lineRule="exact"/>
              <w:rPr>
                <w:rFonts w:ascii="Arial" w:hAnsi="Arial" w:cs="Arial"/>
              </w:rPr>
            </w:pPr>
            <w:r w:rsidRPr="00FA37EF">
              <w:rPr>
                <w:rFonts w:ascii="Arial" w:hAnsi="Arial" w:cs="Arial"/>
              </w:rPr>
              <w:t>12/12/2011</w:t>
            </w:r>
          </w:p>
        </w:tc>
      </w:tr>
    </w:tbl>
    <w:p w14:paraId="059515C8" w14:textId="77777777" w:rsidR="00F40863" w:rsidRDefault="00F40863" w:rsidP="009B2DD4">
      <w:pPr>
        <w:tabs>
          <w:tab w:val="left" w:pos="1274"/>
        </w:tabs>
        <w:ind w:right="196"/>
        <w:jc w:val="both"/>
        <w:rPr>
          <w:rFonts w:ascii="Arial" w:hAnsi="Arial" w:cs="Arial"/>
        </w:rPr>
      </w:pPr>
    </w:p>
    <w:p w14:paraId="43715AD8" w14:textId="77777777" w:rsidR="00165954" w:rsidRPr="00165954" w:rsidRDefault="00165954" w:rsidP="00165954">
      <w:pPr>
        <w:rPr>
          <w:rFonts w:ascii="Arial" w:hAnsi="Arial" w:cs="Arial"/>
          <w:i/>
          <w:sz w:val="20"/>
        </w:rPr>
      </w:pPr>
      <w:r w:rsidRPr="00165954">
        <w:rPr>
          <w:rFonts w:ascii="Arial" w:hAnsi="Arial" w:cs="Arial"/>
          <w:i/>
          <w:sz w:val="20"/>
        </w:rPr>
        <w:t>Note:</w:t>
      </w:r>
      <w:r w:rsidRPr="00165954">
        <w:rPr>
          <w:rFonts w:ascii="Arial" w:hAnsi="Arial" w:cs="Arial"/>
          <w:i/>
          <w:spacing w:val="-2"/>
          <w:sz w:val="20"/>
        </w:rPr>
        <w:t xml:space="preserve"> </w:t>
      </w:r>
      <w:r w:rsidRPr="00165954">
        <w:rPr>
          <w:rFonts w:ascii="Arial" w:hAnsi="Arial" w:cs="Arial"/>
          <w:i/>
          <w:sz w:val="20"/>
        </w:rPr>
        <w:t>To</w:t>
      </w:r>
      <w:r w:rsidRPr="00165954">
        <w:rPr>
          <w:rFonts w:ascii="Arial" w:hAnsi="Arial" w:cs="Arial"/>
          <w:i/>
          <w:spacing w:val="-4"/>
          <w:sz w:val="20"/>
        </w:rPr>
        <w:t xml:space="preserve"> </w:t>
      </w:r>
      <w:r w:rsidRPr="00165954">
        <w:rPr>
          <w:rFonts w:ascii="Arial" w:hAnsi="Arial" w:cs="Arial"/>
          <w:i/>
          <w:sz w:val="20"/>
        </w:rPr>
        <w:t>access</w:t>
      </w:r>
      <w:r w:rsidRPr="00165954">
        <w:rPr>
          <w:rFonts w:ascii="Arial" w:hAnsi="Arial" w:cs="Arial"/>
          <w:i/>
          <w:spacing w:val="-3"/>
          <w:sz w:val="20"/>
        </w:rPr>
        <w:t xml:space="preserve"> </w:t>
      </w:r>
      <w:r w:rsidRPr="00165954">
        <w:rPr>
          <w:rFonts w:ascii="Arial" w:hAnsi="Arial" w:cs="Arial"/>
          <w:i/>
          <w:sz w:val="20"/>
        </w:rPr>
        <w:t>the</w:t>
      </w:r>
      <w:r w:rsidRPr="00165954">
        <w:rPr>
          <w:rFonts w:ascii="Arial" w:hAnsi="Arial" w:cs="Arial"/>
          <w:i/>
          <w:spacing w:val="-2"/>
          <w:sz w:val="20"/>
        </w:rPr>
        <w:t xml:space="preserve"> </w:t>
      </w:r>
      <w:r w:rsidRPr="00165954">
        <w:rPr>
          <w:rFonts w:ascii="Arial" w:hAnsi="Arial" w:cs="Arial"/>
          <w:i/>
          <w:sz w:val="20"/>
        </w:rPr>
        <w:t>official</w:t>
      </w:r>
      <w:r w:rsidRPr="00165954">
        <w:rPr>
          <w:rFonts w:ascii="Arial" w:hAnsi="Arial" w:cs="Arial"/>
          <w:i/>
          <w:spacing w:val="-2"/>
          <w:sz w:val="20"/>
        </w:rPr>
        <w:t xml:space="preserve"> </w:t>
      </w:r>
      <w:r w:rsidRPr="00165954">
        <w:rPr>
          <w:rFonts w:ascii="Arial" w:hAnsi="Arial" w:cs="Arial"/>
          <w:i/>
          <w:sz w:val="20"/>
        </w:rPr>
        <w:t>versions,</w:t>
      </w:r>
      <w:r w:rsidRPr="00165954">
        <w:rPr>
          <w:rFonts w:ascii="Arial" w:hAnsi="Arial" w:cs="Arial"/>
          <w:i/>
          <w:spacing w:val="-4"/>
          <w:sz w:val="20"/>
        </w:rPr>
        <w:t xml:space="preserve"> </w:t>
      </w:r>
      <w:r w:rsidRPr="00165954">
        <w:rPr>
          <w:rFonts w:ascii="Arial" w:hAnsi="Arial" w:cs="Arial"/>
          <w:i/>
          <w:sz w:val="20"/>
        </w:rPr>
        <w:t>please</w:t>
      </w:r>
      <w:r w:rsidRPr="00165954">
        <w:rPr>
          <w:rFonts w:ascii="Arial" w:hAnsi="Arial" w:cs="Arial"/>
          <w:i/>
          <w:spacing w:val="-1"/>
          <w:sz w:val="20"/>
        </w:rPr>
        <w:t xml:space="preserve"> </w:t>
      </w:r>
      <w:r w:rsidRPr="00165954">
        <w:rPr>
          <w:rFonts w:ascii="Arial" w:hAnsi="Arial" w:cs="Arial"/>
          <w:i/>
          <w:sz w:val="20"/>
        </w:rPr>
        <w:t>click</w:t>
      </w:r>
      <w:r w:rsidRPr="00165954">
        <w:rPr>
          <w:rFonts w:ascii="Arial" w:hAnsi="Arial" w:cs="Arial"/>
          <w:i/>
          <w:spacing w:val="-3"/>
          <w:sz w:val="20"/>
        </w:rPr>
        <w:t xml:space="preserve"> </w:t>
      </w:r>
      <w:r w:rsidRPr="00165954">
        <w:rPr>
          <w:rFonts w:ascii="Arial" w:hAnsi="Arial" w:cs="Arial"/>
          <w:i/>
          <w:sz w:val="20"/>
        </w:rPr>
        <w:t>on</w:t>
      </w:r>
      <w:r w:rsidRPr="00165954">
        <w:rPr>
          <w:rFonts w:ascii="Arial" w:hAnsi="Arial" w:cs="Arial"/>
          <w:i/>
          <w:spacing w:val="-1"/>
          <w:sz w:val="20"/>
        </w:rPr>
        <w:t xml:space="preserve"> </w:t>
      </w:r>
      <w:r w:rsidRPr="00165954">
        <w:rPr>
          <w:rFonts w:ascii="Arial" w:hAnsi="Arial" w:cs="Arial"/>
          <w:i/>
          <w:sz w:val="20"/>
        </w:rPr>
        <w:t>the</w:t>
      </w:r>
      <w:r w:rsidRPr="00165954">
        <w:rPr>
          <w:rFonts w:ascii="Arial" w:hAnsi="Arial" w:cs="Arial"/>
          <w:i/>
          <w:spacing w:val="-3"/>
          <w:sz w:val="20"/>
        </w:rPr>
        <w:t xml:space="preserve"> </w:t>
      </w:r>
      <w:r w:rsidRPr="00165954">
        <w:rPr>
          <w:rFonts w:ascii="Arial" w:hAnsi="Arial" w:cs="Arial"/>
          <w:i/>
          <w:sz w:val="20"/>
        </w:rPr>
        <w:t>hyperlinks</w:t>
      </w:r>
      <w:r w:rsidRPr="00165954">
        <w:rPr>
          <w:rFonts w:ascii="Arial" w:hAnsi="Arial" w:cs="Arial"/>
          <w:i/>
          <w:spacing w:val="-4"/>
          <w:sz w:val="20"/>
        </w:rPr>
        <w:t xml:space="preserve"> </w:t>
      </w:r>
      <w:r w:rsidRPr="00165954">
        <w:rPr>
          <w:rFonts w:ascii="Arial" w:hAnsi="Arial" w:cs="Arial"/>
          <w:i/>
          <w:sz w:val="20"/>
        </w:rPr>
        <w:t>provided</w:t>
      </w:r>
      <w:r w:rsidRPr="00165954">
        <w:rPr>
          <w:rFonts w:ascii="Arial" w:hAnsi="Arial" w:cs="Arial"/>
          <w:i/>
          <w:spacing w:val="-1"/>
          <w:sz w:val="20"/>
        </w:rPr>
        <w:t xml:space="preserve"> </w:t>
      </w:r>
      <w:r w:rsidRPr="00165954">
        <w:rPr>
          <w:rFonts w:ascii="Arial" w:hAnsi="Arial" w:cs="Arial"/>
          <w:i/>
          <w:sz w:val="20"/>
        </w:rPr>
        <w:t>above.</w:t>
      </w:r>
    </w:p>
    <w:p w14:paraId="6EB6EB5B" w14:textId="77777777" w:rsidR="00F40863" w:rsidRDefault="00F40863" w:rsidP="009B2DD4">
      <w:pPr>
        <w:tabs>
          <w:tab w:val="left" w:pos="1274"/>
        </w:tabs>
        <w:ind w:right="196"/>
        <w:jc w:val="both"/>
        <w:rPr>
          <w:rFonts w:ascii="Arial" w:hAnsi="Arial" w:cs="Arial"/>
        </w:rPr>
      </w:pPr>
    </w:p>
    <w:p w14:paraId="7A6FE88F" w14:textId="77777777" w:rsidR="00F40863" w:rsidRDefault="00F40863" w:rsidP="009B2DD4">
      <w:pPr>
        <w:tabs>
          <w:tab w:val="left" w:pos="1274"/>
        </w:tabs>
        <w:ind w:right="196"/>
        <w:jc w:val="both"/>
        <w:rPr>
          <w:rFonts w:ascii="Arial" w:hAnsi="Arial" w:cs="Arial"/>
        </w:rPr>
      </w:pPr>
    </w:p>
    <w:p w14:paraId="3239A25F" w14:textId="77777777" w:rsidR="00F40863" w:rsidRDefault="00F40863" w:rsidP="009B2DD4">
      <w:pPr>
        <w:tabs>
          <w:tab w:val="left" w:pos="1274"/>
        </w:tabs>
        <w:ind w:right="196"/>
        <w:jc w:val="both"/>
        <w:rPr>
          <w:rFonts w:ascii="Arial" w:hAnsi="Arial" w:cs="Arial"/>
        </w:rPr>
      </w:pPr>
    </w:p>
    <w:p w14:paraId="6816EA0E" w14:textId="77777777" w:rsidR="00F40863" w:rsidRDefault="00F40863" w:rsidP="009B2DD4">
      <w:pPr>
        <w:tabs>
          <w:tab w:val="left" w:pos="1274"/>
        </w:tabs>
        <w:ind w:right="196"/>
        <w:jc w:val="both"/>
        <w:rPr>
          <w:rFonts w:ascii="Arial" w:hAnsi="Arial" w:cs="Arial"/>
        </w:rPr>
      </w:pPr>
    </w:p>
    <w:p w14:paraId="521E093B" w14:textId="77777777" w:rsidR="00F40863" w:rsidRDefault="00F40863" w:rsidP="009B2DD4">
      <w:pPr>
        <w:tabs>
          <w:tab w:val="left" w:pos="1274"/>
        </w:tabs>
        <w:ind w:right="196"/>
        <w:jc w:val="both"/>
        <w:rPr>
          <w:rFonts w:ascii="Arial" w:hAnsi="Arial" w:cs="Arial"/>
        </w:rPr>
      </w:pPr>
    </w:p>
    <w:p w14:paraId="6554F6B8" w14:textId="77777777" w:rsidR="00F40863" w:rsidRDefault="00F40863" w:rsidP="009B2DD4">
      <w:pPr>
        <w:tabs>
          <w:tab w:val="left" w:pos="1274"/>
        </w:tabs>
        <w:ind w:right="196"/>
        <w:jc w:val="both"/>
        <w:rPr>
          <w:rFonts w:ascii="Arial" w:hAnsi="Arial" w:cs="Arial"/>
        </w:rPr>
      </w:pPr>
    </w:p>
    <w:p w14:paraId="0789EC54" w14:textId="77777777" w:rsidR="00F40863" w:rsidRDefault="00F40863" w:rsidP="009B2DD4">
      <w:pPr>
        <w:tabs>
          <w:tab w:val="left" w:pos="1274"/>
        </w:tabs>
        <w:ind w:right="196"/>
        <w:jc w:val="both"/>
        <w:rPr>
          <w:rFonts w:ascii="Arial" w:hAnsi="Arial" w:cs="Arial"/>
        </w:rPr>
      </w:pPr>
    </w:p>
    <w:p w14:paraId="513C132E" w14:textId="77777777" w:rsidR="00F40863" w:rsidRDefault="00F40863" w:rsidP="009B2DD4">
      <w:pPr>
        <w:tabs>
          <w:tab w:val="left" w:pos="1274"/>
        </w:tabs>
        <w:ind w:right="196"/>
        <w:jc w:val="both"/>
        <w:rPr>
          <w:rFonts w:ascii="Arial" w:hAnsi="Arial" w:cs="Arial"/>
        </w:rPr>
      </w:pPr>
    </w:p>
    <w:p w14:paraId="08B89C30" w14:textId="77777777" w:rsidR="00F40863" w:rsidRDefault="00F40863" w:rsidP="009B2DD4">
      <w:pPr>
        <w:tabs>
          <w:tab w:val="left" w:pos="1274"/>
        </w:tabs>
        <w:ind w:right="196"/>
        <w:jc w:val="both"/>
        <w:rPr>
          <w:rFonts w:ascii="Arial" w:hAnsi="Arial" w:cs="Arial"/>
        </w:rPr>
      </w:pPr>
    </w:p>
    <w:p w14:paraId="2D4C9410" w14:textId="77777777" w:rsidR="00F40863" w:rsidRDefault="00F40863" w:rsidP="009B2DD4">
      <w:pPr>
        <w:tabs>
          <w:tab w:val="left" w:pos="1274"/>
        </w:tabs>
        <w:ind w:right="196"/>
        <w:jc w:val="both"/>
        <w:rPr>
          <w:rFonts w:ascii="Arial" w:hAnsi="Arial" w:cs="Arial"/>
        </w:rPr>
      </w:pPr>
    </w:p>
    <w:p w14:paraId="6DD8ED3F" w14:textId="77777777" w:rsidR="00F40863" w:rsidRDefault="00F40863" w:rsidP="009B2DD4">
      <w:pPr>
        <w:tabs>
          <w:tab w:val="left" w:pos="1274"/>
        </w:tabs>
        <w:ind w:right="196"/>
        <w:jc w:val="both"/>
        <w:rPr>
          <w:rFonts w:ascii="Arial" w:hAnsi="Arial" w:cs="Arial"/>
        </w:rPr>
      </w:pPr>
    </w:p>
    <w:p w14:paraId="36127602" w14:textId="77777777" w:rsidR="003B5EC1" w:rsidRDefault="003B5EC1" w:rsidP="009B2DD4">
      <w:pPr>
        <w:tabs>
          <w:tab w:val="left" w:pos="1274"/>
        </w:tabs>
        <w:ind w:right="196"/>
        <w:jc w:val="both"/>
        <w:rPr>
          <w:rFonts w:ascii="Arial" w:hAnsi="Arial" w:cs="Arial"/>
        </w:rPr>
      </w:pPr>
    </w:p>
    <w:p w14:paraId="7D4608C2" w14:textId="77777777" w:rsidR="003B5EC1" w:rsidRDefault="003B5EC1" w:rsidP="009B2DD4">
      <w:pPr>
        <w:tabs>
          <w:tab w:val="left" w:pos="1274"/>
        </w:tabs>
        <w:ind w:right="196"/>
        <w:jc w:val="both"/>
        <w:rPr>
          <w:rFonts w:ascii="Arial" w:hAnsi="Arial" w:cs="Arial"/>
        </w:rPr>
      </w:pPr>
    </w:p>
    <w:p w14:paraId="02CAF91C" w14:textId="77777777" w:rsidR="003B5EC1" w:rsidRDefault="003B5EC1" w:rsidP="009B2DD4">
      <w:pPr>
        <w:tabs>
          <w:tab w:val="left" w:pos="1274"/>
        </w:tabs>
        <w:ind w:right="196"/>
        <w:jc w:val="both"/>
        <w:rPr>
          <w:rFonts w:ascii="Arial" w:hAnsi="Arial" w:cs="Arial"/>
        </w:rPr>
      </w:pPr>
    </w:p>
    <w:p w14:paraId="3FC359C0" w14:textId="77777777" w:rsidR="003B5EC1" w:rsidRDefault="003B5EC1" w:rsidP="009B2DD4">
      <w:pPr>
        <w:tabs>
          <w:tab w:val="left" w:pos="1274"/>
        </w:tabs>
        <w:ind w:right="196"/>
        <w:jc w:val="both"/>
        <w:rPr>
          <w:rFonts w:ascii="Arial" w:hAnsi="Arial" w:cs="Arial"/>
        </w:rPr>
      </w:pPr>
    </w:p>
    <w:p w14:paraId="4456E588" w14:textId="77777777" w:rsidR="003B5EC1" w:rsidRDefault="003B5EC1" w:rsidP="009B2DD4">
      <w:pPr>
        <w:tabs>
          <w:tab w:val="left" w:pos="1274"/>
        </w:tabs>
        <w:ind w:right="196"/>
        <w:jc w:val="both"/>
        <w:rPr>
          <w:rFonts w:ascii="Arial" w:hAnsi="Arial" w:cs="Arial"/>
        </w:rPr>
      </w:pPr>
    </w:p>
    <w:p w14:paraId="54B06786" w14:textId="77777777" w:rsidR="003B5EC1" w:rsidRDefault="003B5EC1" w:rsidP="009B2DD4">
      <w:pPr>
        <w:tabs>
          <w:tab w:val="left" w:pos="1274"/>
        </w:tabs>
        <w:ind w:right="196"/>
        <w:jc w:val="both"/>
        <w:rPr>
          <w:rFonts w:ascii="Arial" w:hAnsi="Arial" w:cs="Arial"/>
        </w:rPr>
      </w:pPr>
    </w:p>
    <w:p w14:paraId="0E8066B6" w14:textId="77777777" w:rsidR="003B5EC1" w:rsidRDefault="003B5EC1" w:rsidP="009B2DD4">
      <w:pPr>
        <w:tabs>
          <w:tab w:val="left" w:pos="1274"/>
        </w:tabs>
        <w:ind w:right="196"/>
        <w:jc w:val="both"/>
        <w:rPr>
          <w:rFonts w:ascii="Arial" w:hAnsi="Arial" w:cs="Arial"/>
        </w:rPr>
      </w:pPr>
    </w:p>
    <w:p w14:paraId="6EF0FE39" w14:textId="77777777" w:rsidR="003B5EC1" w:rsidRDefault="003B5EC1" w:rsidP="009B2DD4">
      <w:pPr>
        <w:tabs>
          <w:tab w:val="left" w:pos="1274"/>
        </w:tabs>
        <w:ind w:right="196"/>
        <w:jc w:val="both"/>
        <w:rPr>
          <w:rFonts w:ascii="Arial" w:hAnsi="Arial" w:cs="Arial"/>
        </w:rPr>
      </w:pPr>
    </w:p>
    <w:p w14:paraId="2E55D40F" w14:textId="77777777" w:rsidR="003B5EC1" w:rsidRDefault="003B5EC1" w:rsidP="009B2DD4">
      <w:pPr>
        <w:tabs>
          <w:tab w:val="left" w:pos="1274"/>
        </w:tabs>
        <w:ind w:right="196"/>
        <w:jc w:val="both"/>
        <w:rPr>
          <w:rFonts w:ascii="Arial" w:hAnsi="Arial" w:cs="Arial"/>
        </w:rPr>
      </w:pPr>
    </w:p>
    <w:p w14:paraId="2DB506F6" w14:textId="77777777" w:rsidR="003B5EC1" w:rsidRDefault="003B5EC1" w:rsidP="009B2DD4">
      <w:pPr>
        <w:tabs>
          <w:tab w:val="left" w:pos="1274"/>
        </w:tabs>
        <w:ind w:right="196"/>
        <w:jc w:val="both"/>
        <w:rPr>
          <w:rFonts w:ascii="Arial" w:hAnsi="Arial" w:cs="Arial"/>
        </w:rPr>
      </w:pPr>
    </w:p>
    <w:p w14:paraId="14D8D819" w14:textId="77777777" w:rsidR="003B5EC1" w:rsidRDefault="003B5EC1" w:rsidP="009B2DD4">
      <w:pPr>
        <w:tabs>
          <w:tab w:val="left" w:pos="1274"/>
        </w:tabs>
        <w:ind w:right="196"/>
        <w:jc w:val="both"/>
        <w:rPr>
          <w:rFonts w:ascii="Arial" w:hAnsi="Arial" w:cs="Arial"/>
        </w:rPr>
      </w:pPr>
    </w:p>
    <w:p w14:paraId="5DE6EA8E" w14:textId="77777777" w:rsidR="003B5EC1" w:rsidRDefault="003B5EC1" w:rsidP="009B2DD4">
      <w:pPr>
        <w:tabs>
          <w:tab w:val="left" w:pos="1274"/>
        </w:tabs>
        <w:ind w:right="196"/>
        <w:jc w:val="both"/>
        <w:rPr>
          <w:rFonts w:ascii="Arial" w:hAnsi="Arial" w:cs="Arial"/>
        </w:rPr>
      </w:pPr>
    </w:p>
    <w:p w14:paraId="7EC1419E" w14:textId="77777777" w:rsidR="003B5EC1" w:rsidRDefault="003B5EC1" w:rsidP="009B2DD4">
      <w:pPr>
        <w:tabs>
          <w:tab w:val="left" w:pos="1274"/>
        </w:tabs>
        <w:ind w:right="196"/>
        <w:jc w:val="both"/>
        <w:rPr>
          <w:rFonts w:ascii="Arial" w:hAnsi="Arial" w:cs="Arial"/>
        </w:rPr>
      </w:pPr>
    </w:p>
    <w:p w14:paraId="56FF4A26" w14:textId="77777777" w:rsidR="003B5EC1" w:rsidRDefault="003B5EC1" w:rsidP="009B2DD4">
      <w:pPr>
        <w:tabs>
          <w:tab w:val="left" w:pos="1274"/>
        </w:tabs>
        <w:ind w:right="196"/>
        <w:jc w:val="both"/>
        <w:rPr>
          <w:rFonts w:ascii="Arial" w:hAnsi="Arial" w:cs="Arial"/>
        </w:rPr>
      </w:pPr>
    </w:p>
    <w:p w14:paraId="1ACC8878" w14:textId="77777777" w:rsidR="003B5EC1" w:rsidRDefault="003B5EC1" w:rsidP="009B2DD4">
      <w:pPr>
        <w:tabs>
          <w:tab w:val="left" w:pos="1274"/>
        </w:tabs>
        <w:ind w:right="196"/>
        <w:jc w:val="both"/>
        <w:rPr>
          <w:rFonts w:ascii="Arial" w:hAnsi="Arial" w:cs="Arial"/>
        </w:rPr>
      </w:pPr>
    </w:p>
    <w:p w14:paraId="339C3651" w14:textId="77777777" w:rsidR="003B5EC1" w:rsidRDefault="003B5EC1" w:rsidP="009B2DD4">
      <w:pPr>
        <w:tabs>
          <w:tab w:val="left" w:pos="1274"/>
        </w:tabs>
        <w:ind w:right="196"/>
        <w:jc w:val="both"/>
        <w:rPr>
          <w:rFonts w:ascii="Arial" w:hAnsi="Arial" w:cs="Arial"/>
        </w:rPr>
      </w:pPr>
    </w:p>
    <w:p w14:paraId="0ADC8949" w14:textId="77777777" w:rsidR="003B5EC1" w:rsidRDefault="003B5EC1" w:rsidP="009B2DD4">
      <w:pPr>
        <w:tabs>
          <w:tab w:val="left" w:pos="1274"/>
        </w:tabs>
        <w:ind w:right="196"/>
        <w:jc w:val="both"/>
        <w:rPr>
          <w:rFonts w:ascii="Arial" w:hAnsi="Arial" w:cs="Arial"/>
        </w:rPr>
      </w:pPr>
    </w:p>
    <w:p w14:paraId="498B706A" w14:textId="77777777" w:rsidR="003B5EC1" w:rsidRDefault="003B5EC1" w:rsidP="009B2DD4">
      <w:pPr>
        <w:tabs>
          <w:tab w:val="left" w:pos="1274"/>
        </w:tabs>
        <w:ind w:right="196"/>
        <w:jc w:val="both"/>
        <w:rPr>
          <w:rFonts w:ascii="Arial" w:hAnsi="Arial" w:cs="Arial"/>
        </w:rPr>
      </w:pPr>
    </w:p>
    <w:p w14:paraId="05646382" w14:textId="77777777" w:rsidR="003B5EC1" w:rsidRDefault="003B5EC1" w:rsidP="009B2DD4">
      <w:pPr>
        <w:tabs>
          <w:tab w:val="left" w:pos="1274"/>
        </w:tabs>
        <w:ind w:right="196"/>
        <w:jc w:val="both"/>
        <w:rPr>
          <w:rFonts w:ascii="Arial" w:hAnsi="Arial" w:cs="Arial"/>
        </w:rPr>
      </w:pPr>
    </w:p>
    <w:p w14:paraId="774A3343" w14:textId="77777777" w:rsidR="003B5EC1" w:rsidRDefault="003B5EC1" w:rsidP="009B2DD4">
      <w:pPr>
        <w:tabs>
          <w:tab w:val="left" w:pos="1274"/>
        </w:tabs>
        <w:ind w:right="196"/>
        <w:jc w:val="both"/>
        <w:rPr>
          <w:rFonts w:ascii="Arial" w:hAnsi="Arial" w:cs="Arial"/>
        </w:rPr>
      </w:pPr>
    </w:p>
    <w:p w14:paraId="749D84A7" w14:textId="77777777" w:rsidR="003B5EC1" w:rsidRDefault="003B5EC1" w:rsidP="009B2DD4">
      <w:pPr>
        <w:tabs>
          <w:tab w:val="left" w:pos="1274"/>
        </w:tabs>
        <w:ind w:right="196"/>
        <w:jc w:val="both"/>
        <w:rPr>
          <w:rFonts w:ascii="Arial" w:hAnsi="Arial" w:cs="Arial"/>
        </w:rPr>
      </w:pPr>
    </w:p>
    <w:p w14:paraId="59F6E97C" w14:textId="77777777" w:rsidR="003B5EC1" w:rsidRDefault="003B5EC1" w:rsidP="009B2DD4">
      <w:pPr>
        <w:tabs>
          <w:tab w:val="left" w:pos="1274"/>
        </w:tabs>
        <w:ind w:right="196"/>
        <w:jc w:val="both"/>
        <w:rPr>
          <w:rFonts w:ascii="Arial" w:hAnsi="Arial" w:cs="Arial"/>
        </w:rPr>
      </w:pPr>
    </w:p>
    <w:p w14:paraId="70682CC2" w14:textId="77777777" w:rsidR="003B5EC1" w:rsidRDefault="003B5EC1" w:rsidP="009B2DD4">
      <w:pPr>
        <w:tabs>
          <w:tab w:val="left" w:pos="1274"/>
        </w:tabs>
        <w:ind w:right="196"/>
        <w:jc w:val="both"/>
        <w:rPr>
          <w:rFonts w:ascii="Arial" w:hAnsi="Arial" w:cs="Arial"/>
        </w:rPr>
      </w:pPr>
    </w:p>
    <w:p w14:paraId="678A1233" w14:textId="77777777" w:rsidR="003B5EC1" w:rsidRDefault="003B5EC1" w:rsidP="009B2DD4">
      <w:pPr>
        <w:tabs>
          <w:tab w:val="left" w:pos="1274"/>
        </w:tabs>
        <w:ind w:right="196"/>
        <w:jc w:val="both"/>
        <w:rPr>
          <w:rFonts w:ascii="Arial" w:hAnsi="Arial" w:cs="Arial"/>
        </w:rPr>
      </w:pPr>
    </w:p>
    <w:p w14:paraId="36E914F5" w14:textId="77777777" w:rsidR="003B5EC1" w:rsidRDefault="003B5EC1" w:rsidP="009B2DD4">
      <w:pPr>
        <w:tabs>
          <w:tab w:val="left" w:pos="1274"/>
        </w:tabs>
        <w:ind w:right="196"/>
        <w:jc w:val="both"/>
        <w:rPr>
          <w:rFonts w:ascii="Arial" w:hAnsi="Arial" w:cs="Arial"/>
        </w:rPr>
      </w:pPr>
    </w:p>
    <w:p w14:paraId="26D5BA18" w14:textId="77777777" w:rsidR="003B5EC1" w:rsidRDefault="003B5EC1" w:rsidP="009B2DD4">
      <w:pPr>
        <w:tabs>
          <w:tab w:val="left" w:pos="1274"/>
        </w:tabs>
        <w:ind w:right="196"/>
        <w:jc w:val="both"/>
        <w:rPr>
          <w:rFonts w:ascii="Arial" w:hAnsi="Arial" w:cs="Arial"/>
        </w:rPr>
      </w:pPr>
    </w:p>
    <w:p w14:paraId="7051024F" w14:textId="77777777" w:rsidR="003B5EC1" w:rsidRDefault="003B5EC1" w:rsidP="009B2DD4">
      <w:pPr>
        <w:tabs>
          <w:tab w:val="left" w:pos="1274"/>
        </w:tabs>
        <w:ind w:right="196"/>
        <w:jc w:val="both"/>
        <w:rPr>
          <w:rFonts w:ascii="Arial" w:hAnsi="Arial" w:cs="Arial"/>
        </w:rPr>
      </w:pPr>
    </w:p>
    <w:p w14:paraId="6ED27780" w14:textId="77777777" w:rsidR="003B5EC1" w:rsidRDefault="003B5EC1" w:rsidP="009B2DD4">
      <w:pPr>
        <w:tabs>
          <w:tab w:val="left" w:pos="1274"/>
        </w:tabs>
        <w:ind w:right="196"/>
        <w:jc w:val="both"/>
        <w:rPr>
          <w:rFonts w:ascii="Arial" w:hAnsi="Arial" w:cs="Arial"/>
        </w:rPr>
      </w:pPr>
    </w:p>
    <w:p w14:paraId="1B3F4B6F" w14:textId="77777777" w:rsidR="003B5EC1" w:rsidRDefault="003B5EC1" w:rsidP="009B2DD4">
      <w:pPr>
        <w:tabs>
          <w:tab w:val="left" w:pos="1274"/>
        </w:tabs>
        <w:ind w:right="196"/>
        <w:jc w:val="both"/>
        <w:rPr>
          <w:rFonts w:ascii="Arial" w:hAnsi="Arial" w:cs="Arial"/>
        </w:rPr>
      </w:pPr>
    </w:p>
    <w:p w14:paraId="663DA462" w14:textId="77777777" w:rsidR="003B5EC1" w:rsidRDefault="003B5EC1" w:rsidP="009B2DD4">
      <w:pPr>
        <w:tabs>
          <w:tab w:val="left" w:pos="1274"/>
        </w:tabs>
        <w:ind w:right="196"/>
        <w:jc w:val="both"/>
        <w:rPr>
          <w:rFonts w:ascii="Arial" w:hAnsi="Arial" w:cs="Arial"/>
        </w:rPr>
      </w:pPr>
    </w:p>
    <w:p w14:paraId="65D8333E" w14:textId="77777777" w:rsidR="003B5EC1" w:rsidRDefault="003B5EC1" w:rsidP="009B2DD4">
      <w:pPr>
        <w:tabs>
          <w:tab w:val="left" w:pos="1274"/>
        </w:tabs>
        <w:ind w:right="196"/>
        <w:jc w:val="both"/>
        <w:rPr>
          <w:rFonts w:ascii="Arial" w:hAnsi="Arial" w:cs="Arial"/>
        </w:rPr>
      </w:pPr>
    </w:p>
    <w:p w14:paraId="3232C417" w14:textId="77777777" w:rsidR="003B5EC1" w:rsidRDefault="003B5EC1" w:rsidP="009B2DD4">
      <w:pPr>
        <w:tabs>
          <w:tab w:val="left" w:pos="1274"/>
        </w:tabs>
        <w:ind w:right="196"/>
        <w:jc w:val="both"/>
        <w:rPr>
          <w:rFonts w:ascii="Arial" w:hAnsi="Arial" w:cs="Arial"/>
        </w:rPr>
      </w:pPr>
    </w:p>
    <w:p w14:paraId="609975C7" w14:textId="77777777" w:rsidR="003B5EC1" w:rsidRDefault="003B5EC1" w:rsidP="009B2DD4">
      <w:pPr>
        <w:tabs>
          <w:tab w:val="left" w:pos="1274"/>
        </w:tabs>
        <w:ind w:right="196"/>
        <w:jc w:val="both"/>
        <w:rPr>
          <w:rFonts w:ascii="Arial" w:hAnsi="Arial" w:cs="Arial"/>
        </w:rPr>
      </w:pPr>
    </w:p>
    <w:p w14:paraId="7A4841CF" w14:textId="77777777" w:rsidR="003B5EC1" w:rsidRDefault="003B5EC1" w:rsidP="009B2DD4">
      <w:pPr>
        <w:tabs>
          <w:tab w:val="left" w:pos="1274"/>
        </w:tabs>
        <w:ind w:right="196"/>
        <w:jc w:val="both"/>
        <w:rPr>
          <w:rFonts w:ascii="Arial" w:hAnsi="Arial" w:cs="Arial"/>
        </w:rPr>
      </w:pPr>
    </w:p>
    <w:p w14:paraId="5C1A408A" w14:textId="77777777" w:rsidR="003B5EC1" w:rsidRDefault="003B5EC1" w:rsidP="009B2DD4">
      <w:pPr>
        <w:tabs>
          <w:tab w:val="left" w:pos="1274"/>
        </w:tabs>
        <w:ind w:right="196"/>
        <w:jc w:val="both"/>
        <w:rPr>
          <w:rFonts w:ascii="Arial" w:hAnsi="Arial" w:cs="Arial"/>
        </w:rPr>
      </w:pPr>
    </w:p>
    <w:p w14:paraId="762AE4F7" w14:textId="77777777" w:rsidR="003B5EC1" w:rsidRDefault="003B5EC1" w:rsidP="003F35AB">
      <w:pPr>
        <w:tabs>
          <w:tab w:val="left" w:pos="1274"/>
          <w:tab w:val="left" w:pos="8910"/>
        </w:tabs>
        <w:ind w:right="26"/>
        <w:jc w:val="both"/>
        <w:rPr>
          <w:rFonts w:ascii="Arial" w:hAnsi="Arial" w:cs="Arial"/>
        </w:rPr>
      </w:pPr>
    </w:p>
    <w:p w14:paraId="669EDB14" w14:textId="77777777" w:rsidR="00F40863" w:rsidRPr="003F35AB" w:rsidRDefault="003F35AB" w:rsidP="003F35AB">
      <w:pPr>
        <w:keepNext/>
        <w:keepLines/>
        <w:widowControl/>
        <w:autoSpaceDE/>
        <w:autoSpaceDN/>
        <w:spacing w:before="40" w:line="259" w:lineRule="auto"/>
        <w:jc w:val="center"/>
        <w:outlineLvl w:val="2"/>
        <w:rPr>
          <w:rFonts w:ascii="Arial" w:eastAsiaTheme="majorEastAsia" w:hAnsi="Arial" w:cs="Arial"/>
          <w:b/>
          <w:color w:val="00B0F0"/>
          <w:sz w:val="24"/>
          <w:szCs w:val="24"/>
        </w:rPr>
      </w:pPr>
      <w:bookmarkStart w:id="1191" w:name="_Toc153137663"/>
      <w:r w:rsidRPr="003F35AB">
        <w:rPr>
          <w:rFonts w:ascii="Arial" w:eastAsiaTheme="majorEastAsia" w:hAnsi="Arial" w:cs="Arial"/>
          <w:b/>
          <w:color w:val="00B0F0"/>
          <w:sz w:val="24"/>
          <w:szCs w:val="24"/>
        </w:rPr>
        <w:t>SUBPART A – GENERAL</w:t>
      </w:r>
      <w:bookmarkEnd w:id="1191"/>
    </w:p>
    <w:p w14:paraId="77477823" w14:textId="77777777" w:rsidR="00F40863" w:rsidRPr="003F35AB" w:rsidRDefault="003F35AB" w:rsidP="003F35AB">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192" w:name="CS_31HB.1_Applicability"/>
      <w:bookmarkStart w:id="1193" w:name="_bookmark501"/>
      <w:bookmarkStart w:id="1194" w:name="_Toc153137664"/>
      <w:bookmarkEnd w:id="1192"/>
      <w:bookmarkEnd w:id="1193"/>
      <w:r w:rsidRPr="003F35AB">
        <w:rPr>
          <w:rFonts w:ascii="Arial" w:eastAsia="Times New Roman" w:hAnsi="Arial" w:cs="Times New Roman"/>
          <w:b/>
          <w:iCs/>
          <w:color w:val="FFFFFF"/>
          <w:sz w:val="24"/>
        </w:rPr>
        <w:t>CS 31HB.1 Applicability</w:t>
      </w:r>
      <w:bookmarkEnd w:id="1194"/>
    </w:p>
    <w:p w14:paraId="0BD8C9CF" w14:textId="77777777" w:rsidR="003F35AB" w:rsidRPr="003F35AB" w:rsidRDefault="003F35AB" w:rsidP="003F35AB">
      <w:pPr>
        <w:tabs>
          <w:tab w:val="left" w:pos="1274"/>
        </w:tabs>
        <w:spacing w:line="276" w:lineRule="auto"/>
        <w:ind w:right="26"/>
        <w:jc w:val="both"/>
        <w:rPr>
          <w:rFonts w:ascii="Arial" w:hAnsi="Arial" w:cs="Arial"/>
          <w:sz w:val="20"/>
        </w:rPr>
      </w:pPr>
      <w:r w:rsidRPr="003F35AB">
        <w:rPr>
          <w:rFonts w:ascii="Arial" w:hAnsi="Arial" w:cs="Arial"/>
          <w:sz w:val="20"/>
        </w:rPr>
        <w:t>These Certification Specifications (CSs) are applicable to manned free balloons that derive their lift from:</w:t>
      </w:r>
    </w:p>
    <w:p w14:paraId="16C2BDAE" w14:textId="77777777" w:rsidR="003F35AB" w:rsidRPr="003F35AB" w:rsidRDefault="003F35AB" w:rsidP="00A56A31">
      <w:pPr>
        <w:numPr>
          <w:ilvl w:val="0"/>
          <w:numId w:val="369"/>
        </w:numPr>
        <w:tabs>
          <w:tab w:val="left" w:pos="707"/>
        </w:tabs>
        <w:spacing w:before="117" w:line="276" w:lineRule="auto"/>
        <w:jc w:val="both"/>
        <w:rPr>
          <w:rFonts w:ascii="Arial" w:hAnsi="Arial" w:cs="Arial"/>
          <w:sz w:val="20"/>
        </w:rPr>
      </w:pPr>
      <w:r w:rsidRPr="003F35AB">
        <w:rPr>
          <w:rFonts w:ascii="Arial" w:hAnsi="Arial" w:cs="Arial"/>
          <w:sz w:val="20"/>
        </w:rPr>
        <w:t>heated air (Hot Air Balloons)</w:t>
      </w:r>
    </w:p>
    <w:p w14:paraId="47F36785" w14:textId="77777777" w:rsidR="003F35AB" w:rsidRPr="003F35AB" w:rsidRDefault="003F35AB" w:rsidP="00A56A31">
      <w:pPr>
        <w:numPr>
          <w:ilvl w:val="0"/>
          <w:numId w:val="369"/>
        </w:numPr>
        <w:tabs>
          <w:tab w:val="left" w:pos="707"/>
        </w:tabs>
        <w:spacing w:before="117" w:line="276" w:lineRule="auto"/>
        <w:jc w:val="both"/>
        <w:rPr>
          <w:rFonts w:ascii="Arial" w:hAnsi="Arial" w:cs="Arial"/>
          <w:sz w:val="20"/>
        </w:rPr>
      </w:pPr>
      <w:r w:rsidRPr="003F35AB">
        <w:rPr>
          <w:rFonts w:ascii="Arial" w:hAnsi="Arial" w:cs="Arial"/>
          <w:sz w:val="20"/>
        </w:rPr>
        <w:t>a combination of heated air and a non flammable gas being lighter than air (Mixed Balloons, also called Rozière).</w:t>
      </w:r>
    </w:p>
    <w:p w14:paraId="5DC117FA" w14:textId="77777777" w:rsidR="00BE4C53" w:rsidRPr="00BE4C53" w:rsidRDefault="00BE4C53" w:rsidP="00BE4C53">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195" w:name="CS_31HB.2_Definitions"/>
      <w:bookmarkStart w:id="1196" w:name="_bookmark502"/>
      <w:bookmarkStart w:id="1197" w:name="_Toc153137665"/>
      <w:bookmarkEnd w:id="1195"/>
      <w:bookmarkEnd w:id="1196"/>
      <w:r w:rsidRPr="00BE4C53">
        <w:rPr>
          <w:rFonts w:ascii="Arial" w:eastAsia="Times New Roman" w:hAnsi="Arial" w:cs="Times New Roman"/>
          <w:b/>
          <w:iCs/>
          <w:color w:val="FFFFFF"/>
          <w:sz w:val="24"/>
        </w:rPr>
        <w:t>CS 31HB.2 Definitions</w:t>
      </w:r>
      <w:bookmarkEnd w:id="1197"/>
    </w:p>
    <w:p w14:paraId="53C1C3EF" w14:textId="77777777" w:rsidR="00BE4C53" w:rsidRPr="00BE4C53" w:rsidRDefault="00BE4C53" w:rsidP="00BE4C53">
      <w:pPr>
        <w:tabs>
          <w:tab w:val="left" w:pos="1274"/>
        </w:tabs>
        <w:spacing w:line="276" w:lineRule="auto"/>
        <w:ind w:right="196"/>
        <w:jc w:val="both"/>
        <w:rPr>
          <w:rFonts w:ascii="Arial" w:hAnsi="Arial" w:cs="Arial"/>
          <w:sz w:val="20"/>
        </w:rPr>
      </w:pPr>
      <w:r w:rsidRPr="00BE4C53">
        <w:rPr>
          <w:rFonts w:ascii="Arial" w:hAnsi="Arial" w:cs="Arial"/>
          <w:sz w:val="20"/>
        </w:rPr>
        <w:t>Definition of terms used:</w:t>
      </w:r>
    </w:p>
    <w:p w14:paraId="4B869A2A" w14:textId="77777777" w:rsidR="00BE4C53" w:rsidRPr="00BE4C53" w:rsidRDefault="00BE4C53" w:rsidP="00A56A31">
      <w:pPr>
        <w:numPr>
          <w:ilvl w:val="0"/>
          <w:numId w:val="370"/>
        </w:numPr>
        <w:tabs>
          <w:tab w:val="left" w:pos="707"/>
        </w:tabs>
        <w:spacing w:before="117" w:line="276" w:lineRule="auto"/>
        <w:jc w:val="both"/>
        <w:rPr>
          <w:rFonts w:ascii="Arial" w:hAnsi="Arial" w:cs="Arial"/>
          <w:sz w:val="20"/>
        </w:rPr>
      </w:pPr>
      <w:r w:rsidRPr="00BE4C53">
        <w:rPr>
          <w:rFonts w:ascii="Arial" w:hAnsi="Arial" w:cs="Arial"/>
          <w:sz w:val="20"/>
        </w:rPr>
        <w:t>The 'envelope' contains the medium which provides the lift.</w:t>
      </w:r>
    </w:p>
    <w:p w14:paraId="05D51E25" w14:textId="77777777" w:rsidR="00BE4C53" w:rsidRPr="00BE4C53" w:rsidRDefault="00BE4C53" w:rsidP="00A56A31">
      <w:pPr>
        <w:numPr>
          <w:ilvl w:val="0"/>
          <w:numId w:val="370"/>
        </w:numPr>
        <w:tabs>
          <w:tab w:val="left" w:pos="707"/>
        </w:tabs>
        <w:spacing w:before="117" w:line="276" w:lineRule="auto"/>
        <w:jc w:val="both"/>
        <w:rPr>
          <w:rFonts w:ascii="Arial" w:hAnsi="Arial" w:cs="Arial"/>
          <w:sz w:val="20"/>
        </w:rPr>
      </w:pPr>
      <w:r w:rsidRPr="00BE4C53">
        <w:rPr>
          <w:rFonts w:ascii="Arial" w:hAnsi="Arial" w:cs="Arial"/>
          <w:sz w:val="20"/>
        </w:rPr>
        <w:t>A 'basket' is the basket, seat frame or other means suspended beneath the envelope for the carriage of the balloon occupants.</w:t>
      </w:r>
    </w:p>
    <w:p w14:paraId="5BF21F99" w14:textId="77777777" w:rsidR="00BE4C53" w:rsidRPr="00BE4C53" w:rsidRDefault="00BE4C53" w:rsidP="00A56A31">
      <w:pPr>
        <w:numPr>
          <w:ilvl w:val="0"/>
          <w:numId w:val="370"/>
        </w:numPr>
        <w:tabs>
          <w:tab w:val="left" w:pos="707"/>
        </w:tabs>
        <w:spacing w:before="117" w:line="276" w:lineRule="auto"/>
        <w:jc w:val="both"/>
        <w:rPr>
          <w:rFonts w:ascii="Arial" w:hAnsi="Arial" w:cs="Arial"/>
          <w:sz w:val="20"/>
        </w:rPr>
      </w:pPr>
      <w:r w:rsidRPr="00BE4C53">
        <w:rPr>
          <w:rFonts w:ascii="Arial" w:hAnsi="Arial" w:cs="Arial"/>
          <w:sz w:val="20"/>
        </w:rPr>
        <w:t>A 'Heater System' is the system used to heat the air to provide the lifting means of the balloon. The system includes the heat source (e.g. burner), controls, fuel lines, fuel cells, regulator, control valves and other related elements.</w:t>
      </w:r>
    </w:p>
    <w:p w14:paraId="72B30639" w14:textId="77777777" w:rsidR="00BE4C53" w:rsidRPr="00BE4C53" w:rsidRDefault="00BE4C53" w:rsidP="00A56A31">
      <w:pPr>
        <w:numPr>
          <w:ilvl w:val="0"/>
          <w:numId w:val="370"/>
        </w:numPr>
        <w:tabs>
          <w:tab w:val="left" w:pos="707"/>
        </w:tabs>
        <w:spacing w:before="117" w:line="276" w:lineRule="auto"/>
        <w:jc w:val="both"/>
        <w:rPr>
          <w:rFonts w:ascii="Arial" w:hAnsi="Arial" w:cs="Arial"/>
          <w:sz w:val="20"/>
        </w:rPr>
      </w:pPr>
      <w:r w:rsidRPr="00BE4C53">
        <w:rPr>
          <w:rFonts w:ascii="Arial" w:hAnsi="Arial" w:cs="Arial"/>
          <w:sz w:val="20"/>
        </w:rPr>
        <w:t>'Disposable Ballast' is the amount of ballast required to be available for flight path management.</w:t>
      </w:r>
    </w:p>
    <w:p w14:paraId="5902AA26" w14:textId="77777777" w:rsidR="00BE4C53" w:rsidRPr="00BE4C53" w:rsidRDefault="00BE4C53" w:rsidP="00A56A31">
      <w:pPr>
        <w:numPr>
          <w:ilvl w:val="0"/>
          <w:numId w:val="370"/>
        </w:numPr>
        <w:tabs>
          <w:tab w:val="left" w:pos="707"/>
        </w:tabs>
        <w:spacing w:before="117" w:line="276" w:lineRule="auto"/>
        <w:jc w:val="both"/>
        <w:rPr>
          <w:rFonts w:ascii="Arial" w:hAnsi="Arial" w:cs="Arial"/>
          <w:sz w:val="20"/>
        </w:rPr>
      </w:pPr>
      <w:r w:rsidRPr="00BE4C53">
        <w:rPr>
          <w:rFonts w:ascii="Arial" w:hAnsi="Arial" w:cs="Arial"/>
          <w:sz w:val="20"/>
        </w:rPr>
        <w:t>'Tethered Flight' is the temporary restraint of a free balloon whilst in flight for the purposes of conducting an entire flight at a single location.</w:t>
      </w:r>
    </w:p>
    <w:p w14:paraId="56464DF1" w14:textId="77777777" w:rsidR="00BE4C53" w:rsidRPr="00BE4C53" w:rsidRDefault="00BE4C53" w:rsidP="00A56A31">
      <w:pPr>
        <w:numPr>
          <w:ilvl w:val="0"/>
          <w:numId w:val="370"/>
        </w:numPr>
        <w:tabs>
          <w:tab w:val="left" w:pos="707"/>
        </w:tabs>
        <w:spacing w:before="117" w:line="276" w:lineRule="auto"/>
        <w:jc w:val="both"/>
        <w:rPr>
          <w:rFonts w:ascii="Arial" w:hAnsi="Arial" w:cs="Arial"/>
          <w:sz w:val="20"/>
        </w:rPr>
      </w:pPr>
      <w:r w:rsidRPr="00BE4C53">
        <w:rPr>
          <w:rFonts w:ascii="Arial" w:hAnsi="Arial" w:cs="Arial"/>
          <w:sz w:val="20"/>
        </w:rPr>
        <w:t>'Launch Restraint' is the temporary restraint of a free balloon for the purpose of initiating a free flight.</w:t>
      </w:r>
    </w:p>
    <w:p w14:paraId="5A8EFBFC" w14:textId="77777777" w:rsidR="00F40863" w:rsidRDefault="00F40863" w:rsidP="009B2DD4">
      <w:pPr>
        <w:tabs>
          <w:tab w:val="left" w:pos="1274"/>
        </w:tabs>
        <w:ind w:right="196"/>
        <w:jc w:val="both"/>
        <w:rPr>
          <w:rFonts w:ascii="Arial" w:hAnsi="Arial" w:cs="Arial"/>
        </w:rPr>
      </w:pPr>
    </w:p>
    <w:p w14:paraId="3A65E8A2" w14:textId="77777777" w:rsidR="00F40863" w:rsidRDefault="00F40863" w:rsidP="009B2DD4">
      <w:pPr>
        <w:tabs>
          <w:tab w:val="left" w:pos="1274"/>
        </w:tabs>
        <w:ind w:right="196"/>
        <w:jc w:val="both"/>
        <w:rPr>
          <w:rFonts w:ascii="Arial" w:hAnsi="Arial" w:cs="Arial"/>
        </w:rPr>
      </w:pPr>
    </w:p>
    <w:p w14:paraId="729A72E1" w14:textId="77777777" w:rsidR="00F40863" w:rsidRDefault="00F40863" w:rsidP="009B2DD4">
      <w:pPr>
        <w:tabs>
          <w:tab w:val="left" w:pos="1274"/>
        </w:tabs>
        <w:ind w:right="196"/>
        <w:jc w:val="both"/>
        <w:rPr>
          <w:rFonts w:ascii="Arial" w:hAnsi="Arial" w:cs="Arial"/>
        </w:rPr>
      </w:pPr>
    </w:p>
    <w:p w14:paraId="2A360E63" w14:textId="77777777" w:rsidR="00F40863" w:rsidRDefault="00F40863" w:rsidP="009B2DD4">
      <w:pPr>
        <w:tabs>
          <w:tab w:val="left" w:pos="1274"/>
        </w:tabs>
        <w:ind w:right="196"/>
        <w:jc w:val="both"/>
        <w:rPr>
          <w:rFonts w:ascii="Arial" w:hAnsi="Arial" w:cs="Arial"/>
        </w:rPr>
      </w:pPr>
    </w:p>
    <w:p w14:paraId="76D2AE20" w14:textId="77777777" w:rsidR="00F40863" w:rsidRDefault="00F40863" w:rsidP="009B2DD4">
      <w:pPr>
        <w:tabs>
          <w:tab w:val="left" w:pos="1274"/>
        </w:tabs>
        <w:ind w:right="196"/>
        <w:jc w:val="both"/>
        <w:rPr>
          <w:rFonts w:ascii="Arial" w:hAnsi="Arial" w:cs="Arial"/>
        </w:rPr>
      </w:pPr>
    </w:p>
    <w:p w14:paraId="0B6EEA61" w14:textId="77777777" w:rsidR="00F40863" w:rsidRDefault="00F40863" w:rsidP="009B2DD4">
      <w:pPr>
        <w:tabs>
          <w:tab w:val="left" w:pos="1274"/>
        </w:tabs>
        <w:ind w:right="196"/>
        <w:jc w:val="both"/>
        <w:rPr>
          <w:rFonts w:ascii="Arial" w:hAnsi="Arial" w:cs="Arial"/>
        </w:rPr>
      </w:pPr>
    </w:p>
    <w:p w14:paraId="39223C51" w14:textId="77777777" w:rsidR="00F40863" w:rsidRDefault="00F40863" w:rsidP="009B2DD4">
      <w:pPr>
        <w:tabs>
          <w:tab w:val="left" w:pos="1274"/>
        </w:tabs>
        <w:ind w:right="196"/>
        <w:jc w:val="both"/>
        <w:rPr>
          <w:rFonts w:ascii="Arial" w:hAnsi="Arial" w:cs="Arial"/>
        </w:rPr>
      </w:pPr>
    </w:p>
    <w:p w14:paraId="7170C84A" w14:textId="77777777" w:rsidR="00F40863" w:rsidRDefault="00F40863" w:rsidP="009B2DD4">
      <w:pPr>
        <w:tabs>
          <w:tab w:val="left" w:pos="1274"/>
        </w:tabs>
        <w:ind w:right="196"/>
        <w:jc w:val="both"/>
        <w:rPr>
          <w:rFonts w:ascii="Arial" w:hAnsi="Arial" w:cs="Arial"/>
        </w:rPr>
      </w:pPr>
    </w:p>
    <w:p w14:paraId="0EC0A90F" w14:textId="77777777" w:rsidR="00F40863" w:rsidRDefault="00F40863" w:rsidP="009B2DD4">
      <w:pPr>
        <w:tabs>
          <w:tab w:val="left" w:pos="1274"/>
        </w:tabs>
        <w:ind w:right="196"/>
        <w:jc w:val="both"/>
        <w:rPr>
          <w:rFonts w:ascii="Arial" w:hAnsi="Arial" w:cs="Arial"/>
        </w:rPr>
      </w:pPr>
    </w:p>
    <w:p w14:paraId="102266C4" w14:textId="77777777" w:rsidR="00F40863" w:rsidRDefault="00F40863" w:rsidP="009B2DD4">
      <w:pPr>
        <w:tabs>
          <w:tab w:val="left" w:pos="1274"/>
        </w:tabs>
        <w:ind w:right="196"/>
        <w:jc w:val="both"/>
        <w:rPr>
          <w:rFonts w:ascii="Arial" w:hAnsi="Arial" w:cs="Arial"/>
        </w:rPr>
      </w:pPr>
    </w:p>
    <w:p w14:paraId="12CD172B" w14:textId="77777777" w:rsidR="00F40863" w:rsidRDefault="00F40863" w:rsidP="009B2DD4">
      <w:pPr>
        <w:tabs>
          <w:tab w:val="left" w:pos="1274"/>
        </w:tabs>
        <w:ind w:right="196"/>
        <w:jc w:val="both"/>
        <w:rPr>
          <w:rFonts w:ascii="Arial" w:hAnsi="Arial" w:cs="Arial"/>
        </w:rPr>
      </w:pPr>
    </w:p>
    <w:p w14:paraId="60FE754E" w14:textId="77777777" w:rsidR="00F40863" w:rsidRDefault="00F40863" w:rsidP="009B2DD4">
      <w:pPr>
        <w:tabs>
          <w:tab w:val="left" w:pos="1274"/>
        </w:tabs>
        <w:ind w:right="196"/>
        <w:jc w:val="both"/>
        <w:rPr>
          <w:rFonts w:ascii="Arial" w:hAnsi="Arial" w:cs="Arial"/>
        </w:rPr>
      </w:pPr>
    </w:p>
    <w:p w14:paraId="1CE72361" w14:textId="77777777" w:rsidR="00F40863" w:rsidRDefault="00F40863" w:rsidP="009B2DD4">
      <w:pPr>
        <w:tabs>
          <w:tab w:val="left" w:pos="1274"/>
        </w:tabs>
        <w:ind w:right="196"/>
        <w:jc w:val="both"/>
        <w:rPr>
          <w:rFonts w:ascii="Arial" w:hAnsi="Arial" w:cs="Arial"/>
        </w:rPr>
      </w:pPr>
    </w:p>
    <w:p w14:paraId="6A45053F" w14:textId="77777777" w:rsidR="00F40863" w:rsidRDefault="00F40863" w:rsidP="009B2DD4">
      <w:pPr>
        <w:tabs>
          <w:tab w:val="left" w:pos="1274"/>
        </w:tabs>
        <w:ind w:right="196"/>
        <w:jc w:val="both"/>
        <w:rPr>
          <w:rFonts w:ascii="Arial" w:hAnsi="Arial" w:cs="Arial"/>
        </w:rPr>
      </w:pPr>
    </w:p>
    <w:p w14:paraId="74E726E3" w14:textId="77777777" w:rsidR="00F40863" w:rsidRDefault="00F40863" w:rsidP="009B2DD4">
      <w:pPr>
        <w:tabs>
          <w:tab w:val="left" w:pos="1274"/>
        </w:tabs>
        <w:ind w:right="196"/>
        <w:jc w:val="both"/>
        <w:rPr>
          <w:rFonts w:ascii="Arial" w:hAnsi="Arial" w:cs="Arial"/>
        </w:rPr>
      </w:pPr>
    </w:p>
    <w:p w14:paraId="62CBCCF9" w14:textId="77777777" w:rsidR="00F40863" w:rsidRDefault="00F40863" w:rsidP="009B2DD4">
      <w:pPr>
        <w:tabs>
          <w:tab w:val="left" w:pos="1274"/>
        </w:tabs>
        <w:ind w:right="196"/>
        <w:jc w:val="both"/>
        <w:rPr>
          <w:rFonts w:ascii="Arial" w:hAnsi="Arial" w:cs="Arial"/>
        </w:rPr>
      </w:pPr>
    </w:p>
    <w:p w14:paraId="3F8345B2" w14:textId="77777777" w:rsidR="00F40863" w:rsidRDefault="00F40863" w:rsidP="009B2DD4">
      <w:pPr>
        <w:tabs>
          <w:tab w:val="left" w:pos="1274"/>
        </w:tabs>
        <w:ind w:right="196"/>
        <w:jc w:val="both"/>
        <w:rPr>
          <w:rFonts w:ascii="Arial" w:hAnsi="Arial" w:cs="Arial"/>
        </w:rPr>
      </w:pPr>
    </w:p>
    <w:p w14:paraId="2A15A451" w14:textId="77777777" w:rsidR="00F40863" w:rsidRDefault="00F40863" w:rsidP="009B2DD4">
      <w:pPr>
        <w:tabs>
          <w:tab w:val="left" w:pos="1274"/>
        </w:tabs>
        <w:ind w:right="196"/>
        <w:jc w:val="both"/>
        <w:rPr>
          <w:rFonts w:ascii="Arial" w:hAnsi="Arial" w:cs="Arial"/>
        </w:rPr>
      </w:pPr>
    </w:p>
    <w:p w14:paraId="1B4D8B6C" w14:textId="77777777" w:rsidR="00AB31E4" w:rsidRDefault="00AB31E4" w:rsidP="009B2DD4">
      <w:pPr>
        <w:tabs>
          <w:tab w:val="left" w:pos="1274"/>
        </w:tabs>
        <w:ind w:right="196"/>
        <w:jc w:val="both"/>
        <w:rPr>
          <w:rFonts w:ascii="Arial" w:hAnsi="Arial" w:cs="Arial"/>
        </w:rPr>
      </w:pPr>
    </w:p>
    <w:p w14:paraId="08EA7977" w14:textId="77777777" w:rsidR="00AB31E4" w:rsidRDefault="00AB31E4" w:rsidP="009B2DD4">
      <w:pPr>
        <w:tabs>
          <w:tab w:val="left" w:pos="1274"/>
        </w:tabs>
        <w:ind w:right="196"/>
        <w:jc w:val="both"/>
        <w:rPr>
          <w:rFonts w:ascii="Arial" w:hAnsi="Arial" w:cs="Arial"/>
        </w:rPr>
      </w:pPr>
    </w:p>
    <w:p w14:paraId="26428BCB" w14:textId="77777777" w:rsidR="00AB31E4" w:rsidRDefault="00AB31E4" w:rsidP="009B2DD4">
      <w:pPr>
        <w:tabs>
          <w:tab w:val="left" w:pos="1274"/>
        </w:tabs>
        <w:ind w:right="196"/>
        <w:jc w:val="both"/>
        <w:rPr>
          <w:rFonts w:ascii="Arial" w:hAnsi="Arial" w:cs="Arial"/>
        </w:rPr>
      </w:pPr>
    </w:p>
    <w:p w14:paraId="61F9C21C" w14:textId="77777777" w:rsidR="00AB31E4" w:rsidRDefault="00AB31E4" w:rsidP="009B2DD4">
      <w:pPr>
        <w:tabs>
          <w:tab w:val="left" w:pos="1274"/>
        </w:tabs>
        <w:ind w:right="196"/>
        <w:jc w:val="both"/>
        <w:rPr>
          <w:rFonts w:ascii="Arial" w:hAnsi="Arial" w:cs="Arial"/>
        </w:rPr>
      </w:pPr>
    </w:p>
    <w:p w14:paraId="4598A46F" w14:textId="77777777" w:rsidR="00AB31E4" w:rsidRDefault="00AB31E4" w:rsidP="009B2DD4">
      <w:pPr>
        <w:tabs>
          <w:tab w:val="left" w:pos="1274"/>
        </w:tabs>
        <w:ind w:right="196"/>
        <w:jc w:val="both"/>
        <w:rPr>
          <w:rFonts w:ascii="Arial" w:hAnsi="Arial" w:cs="Arial"/>
        </w:rPr>
      </w:pPr>
    </w:p>
    <w:p w14:paraId="0BE8FE42" w14:textId="77777777" w:rsidR="00AB31E4" w:rsidRDefault="00AB31E4" w:rsidP="009B2DD4">
      <w:pPr>
        <w:tabs>
          <w:tab w:val="left" w:pos="1274"/>
        </w:tabs>
        <w:ind w:right="196"/>
        <w:jc w:val="both"/>
        <w:rPr>
          <w:rFonts w:ascii="Arial" w:hAnsi="Arial" w:cs="Arial"/>
        </w:rPr>
      </w:pPr>
    </w:p>
    <w:p w14:paraId="046EEBD8" w14:textId="77777777" w:rsidR="00AB31E4" w:rsidRDefault="00AB31E4" w:rsidP="009B2DD4">
      <w:pPr>
        <w:tabs>
          <w:tab w:val="left" w:pos="1274"/>
        </w:tabs>
        <w:ind w:right="196"/>
        <w:jc w:val="both"/>
        <w:rPr>
          <w:rFonts w:ascii="Arial" w:hAnsi="Arial" w:cs="Arial"/>
        </w:rPr>
      </w:pPr>
    </w:p>
    <w:p w14:paraId="2E5A63FC" w14:textId="77777777" w:rsidR="00AB31E4" w:rsidRDefault="00AB31E4" w:rsidP="009B2DD4">
      <w:pPr>
        <w:tabs>
          <w:tab w:val="left" w:pos="1274"/>
        </w:tabs>
        <w:ind w:right="196"/>
        <w:jc w:val="both"/>
        <w:rPr>
          <w:rFonts w:ascii="Arial" w:hAnsi="Arial" w:cs="Arial"/>
        </w:rPr>
      </w:pPr>
    </w:p>
    <w:p w14:paraId="1B124D40" w14:textId="77777777" w:rsidR="00AB31E4" w:rsidRDefault="00AB31E4" w:rsidP="009B2DD4">
      <w:pPr>
        <w:tabs>
          <w:tab w:val="left" w:pos="1274"/>
        </w:tabs>
        <w:ind w:right="196"/>
        <w:jc w:val="both"/>
        <w:rPr>
          <w:rFonts w:ascii="Arial" w:hAnsi="Arial" w:cs="Arial"/>
        </w:rPr>
      </w:pPr>
    </w:p>
    <w:p w14:paraId="282A5782" w14:textId="77777777" w:rsidR="00AB31E4" w:rsidRPr="00AB31E4" w:rsidRDefault="00AB31E4" w:rsidP="00AB31E4">
      <w:pPr>
        <w:keepNext/>
        <w:keepLines/>
        <w:widowControl/>
        <w:autoSpaceDE/>
        <w:autoSpaceDN/>
        <w:spacing w:before="40" w:line="259" w:lineRule="auto"/>
        <w:jc w:val="center"/>
        <w:outlineLvl w:val="2"/>
        <w:rPr>
          <w:rFonts w:ascii="Arial" w:eastAsiaTheme="majorEastAsia" w:hAnsi="Arial" w:cs="Arial"/>
          <w:b/>
          <w:color w:val="00B0F0"/>
          <w:sz w:val="24"/>
          <w:szCs w:val="24"/>
        </w:rPr>
      </w:pPr>
      <w:bookmarkStart w:id="1198" w:name="_Toc153137666"/>
      <w:r w:rsidRPr="00AB31E4">
        <w:rPr>
          <w:rFonts w:ascii="Arial" w:eastAsiaTheme="majorEastAsia" w:hAnsi="Arial" w:cs="Arial"/>
          <w:b/>
          <w:color w:val="00B0F0"/>
          <w:sz w:val="24"/>
          <w:szCs w:val="24"/>
        </w:rPr>
        <w:lastRenderedPageBreak/>
        <w:t>SUBPART B – FLIGHT</w:t>
      </w:r>
      <w:bookmarkEnd w:id="1198"/>
    </w:p>
    <w:p w14:paraId="7B6BE619" w14:textId="77777777" w:rsidR="00AB31E4" w:rsidRPr="00AB31E4" w:rsidRDefault="00AB31E4" w:rsidP="00AB31E4">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199" w:name="CS_31HB.12_Proof_of_compliance"/>
      <w:bookmarkStart w:id="1200" w:name="_bookmark504"/>
      <w:bookmarkStart w:id="1201" w:name="_Toc153137667"/>
      <w:bookmarkEnd w:id="1199"/>
      <w:bookmarkEnd w:id="1200"/>
      <w:r w:rsidRPr="00AB31E4">
        <w:rPr>
          <w:rFonts w:ascii="Arial" w:eastAsia="Times New Roman" w:hAnsi="Arial" w:cs="Times New Roman"/>
          <w:b/>
          <w:iCs/>
          <w:color w:val="FFFFFF"/>
          <w:sz w:val="24"/>
        </w:rPr>
        <w:t>CS 31HB.12 Proof of compliance</w:t>
      </w:r>
      <w:bookmarkEnd w:id="1201"/>
    </w:p>
    <w:p w14:paraId="75673F0C" w14:textId="77777777" w:rsidR="003A3066" w:rsidRPr="003A3066" w:rsidRDefault="003A3066" w:rsidP="003A3066">
      <w:pPr>
        <w:tabs>
          <w:tab w:val="left" w:pos="1274"/>
        </w:tabs>
        <w:spacing w:line="276" w:lineRule="auto"/>
        <w:ind w:right="26"/>
        <w:jc w:val="both"/>
        <w:rPr>
          <w:rFonts w:ascii="Arial" w:hAnsi="Arial" w:cs="Arial"/>
          <w:sz w:val="20"/>
        </w:rPr>
      </w:pPr>
      <w:r w:rsidRPr="003A3066">
        <w:rPr>
          <w:rFonts w:ascii="Arial" w:hAnsi="Arial" w:cs="Arial"/>
          <w:sz w:val="20"/>
        </w:rPr>
        <w:t>Each requirement of this Subpart must be met at each mass within the range of loading conditions for which certification is requested. This must be shown by:</w:t>
      </w:r>
    </w:p>
    <w:p w14:paraId="14EA93D7" w14:textId="77777777" w:rsidR="003A3066" w:rsidRPr="003A3066" w:rsidRDefault="003A3066" w:rsidP="00A56A31">
      <w:pPr>
        <w:numPr>
          <w:ilvl w:val="0"/>
          <w:numId w:val="371"/>
        </w:numPr>
        <w:tabs>
          <w:tab w:val="left" w:pos="1274"/>
        </w:tabs>
        <w:spacing w:line="276" w:lineRule="auto"/>
        <w:ind w:right="26"/>
        <w:jc w:val="both"/>
        <w:rPr>
          <w:rFonts w:ascii="Arial" w:hAnsi="Arial" w:cs="Arial"/>
          <w:sz w:val="20"/>
        </w:rPr>
      </w:pPr>
      <w:r w:rsidRPr="003A3066">
        <w:rPr>
          <w:rFonts w:ascii="Arial" w:hAnsi="Arial" w:cs="Arial"/>
          <w:sz w:val="20"/>
        </w:rPr>
        <w:t>Tests upon a balloon of the type for which certification is requested or by calculations based on, and equal in accuracy to, the results of testing; and</w:t>
      </w:r>
    </w:p>
    <w:p w14:paraId="063668EA" w14:textId="77777777" w:rsidR="003A3066" w:rsidRPr="003A3066" w:rsidRDefault="003A3066" w:rsidP="00A56A31">
      <w:pPr>
        <w:numPr>
          <w:ilvl w:val="0"/>
          <w:numId w:val="371"/>
        </w:numPr>
        <w:tabs>
          <w:tab w:val="left" w:pos="1274"/>
        </w:tabs>
        <w:spacing w:line="276" w:lineRule="auto"/>
        <w:ind w:right="26"/>
        <w:jc w:val="both"/>
        <w:rPr>
          <w:rFonts w:ascii="Arial" w:hAnsi="Arial" w:cs="Arial"/>
          <w:sz w:val="20"/>
        </w:rPr>
      </w:pPr>
      <w:r w:rsidRPr="003A3066">
        <w:rPr>
          <w:rFonts w:ascii="Arial" w:hAnsi="Arial" w:cs="Arial"/>
          <w:sz w:val="20"/>
        </w:rPr>
        <w:t>Systematic investigation of each mass if compliance cannot be reasonably inferred from the masses investigated.</w:t>
      </w:r>
    </w:p>
    <w:p w14:paraId="70638942" w14:textId="77777777" w:rsidR="000A3A45" w:rsidRPr="000A3A45" w:rsidRDefault="000A3A45" w:rsidP="000A3A45">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202" w:name="CS_31HB.14_Mass_limits"/>
      <w:bookmarkStart w:id="1203" w:name="_bookmark505"/>
      <w:bookmarkStart w:id="1204" w:name="_Toc153137668"/>
      <w:bookmarkEnd w:id="1202"/>
      <w:bookmarkEnd w:id="1203"/>
      <w:r w:rsidRPr="000A3A45">
        <w:rPr>
          <w:rFonts w:ascii="Arial" w:eastAsia="Times New Roman" w:hAnsi="Arial" w:cs="Times New Roman"/>
          <w:b/>
          <w:iCs/>
          <w:color w:val="FFFFFF"/>
          <w:sz w:val="24"/>
        </w:rPr>
        <w:t>CS 31HB.14 Mass limits</w:t>
      </w:r>
      <w:bookmarkEnd w:id="1204"/>
    </w:p>
    <w:p w14:paraId="3595A848" w14:textId="77777777" w:rsidR="000A3A45" w:rsidRPr="000A3A45" w:rsidRDefault="000A3A45" w:rsidP="000A3A45">
      <w:pPr>
        <w:tabs>
          <w:tab w:val="left" w:pos="1274"/>
        </w:tabs>
        <w:spacing w:line="276" w:lineRule="auto"/>
        <w:ind w:right="26"/>
        <w:jc w:val="both"/>
        <w:rPr>
          <w:rFonts w:ascii="Arial" w:hAnsi="Arial" w:cs="Arial"/>
          <w:sz w:val="20"/>
          <w:szCs w:val="20"/>
        </w:rPr>
      </w:pPr>
      <w:r w:rsidRPr="000A3A45">
        <w:rPr>
          <w:rFonts w:ascii="Arial" w:hAnsi="Arial" w:cs="Arial"/>
          <w:sz w:val="20"/>
          <w:szCs w:val="20"/>
        </w:rPr>
        <w:t>The range of masses over which the balloon may be safely operated must be established and at least consists of:</w:t>
      </w:r>
    </w:p>
    <w:p w14:paraId="49659D02" w14:textId="77777777" w:rsidR="000A3A45" w:rsidRPr="000A3A45" w:rsidRDefault="000A3A45" w:rsidP="00A56A31">
      <w:pPr>
        <w:numPr>
          <w:ilvl w:val="0"/>
          <w:numId w:val="372"/>
        </w:numPr>
        <w:tabs>
          <w:tab w:val="left" w:pos="1274"/>
        </w:tabs>
        <w:spacing w:line="276" w:lineRule="auto"/>
        <w:ind w:right="26"/>
        <w:jc w:val="both"/>
        <w:rPr>
          <w:rFonts w:ascii="Arial" w:hAnsi="Arial" w:cs="Arial"/>
          <w:sz w:val="20"/>
          <w:szCs w:val="20"/>
        </w:rPr>
      </w:pPr>
      <w:r w:rsidRPr="000A3A45">
        <w:rPr>
          <w:rFonts w:ascii="Arial" w:hAnsi="Arial" w:cs="Arial"/>
          <w:sz w:val="20"/>
          <w:szCs w:val="20"/>
        </w:rPr>
        <w:t>Maximum mass.</w:t>
      </w:r>
    </w:p>
    <w:p w14:paraId="5A45412C" w14:textId="77777777" w:rsidR="000A3A45" w:rsidRPr="000A3A45" w:rsidRDefault="000A3A45" w:rsidP="000A3A45">
      <w:pPr>
        <w:pStyle w:val="BodyText"/>
        <w:tabs>
          <w:tab w:val="left" w:pos="8910"/>
        </w:tabs>
        <w:ind w:left="705" w:right="26"/>
        <w:jc w:val="both"/>
        <w:rPr>
          <w:rFonts w:ascii="Arial" w:hAnsi="Arial" w:cs="Arial"/>
          <w:sz w:val="20"/>
          <w:szCs w:val="20"/>
        </w:rPr>
      </w:pPr>
      <w:r w:rsidRPr="000A3A45">
        <w:rPr>
          <w:rFonts w:ascii="Arial" w:hAnsi="Arial" w:cs="Arial"/>
          <w:sz w:val="20"/>
          <w:szCs w:val="20"/>
        </w:rPr>
        <w:t>The maximum mass is the highest mass at which compliance with each applicable requirement</w:t>
      </w:r>
      <w:r w:rsidRPr="000A3A45">
        <w:rPr>
          <w:rFonts w:ascii="Arial" w:hAnsi="Arial" w:cs="Arial"/>
          <w:spacing w:val="-47"/>
          <w:sz w:val="20"/>
          <w:szCs w:val="20"/>
        </w:rPr>
        <w:t xml:space="preserve"> </w:t>
      </w:r>
      <w:r w:rsidRPr="000A3A45">
        <w:rPr>
          <w:rFonts w:ascii="Arial" w:hAnsi="Arial" w:cs="Arial"/>
          <w:sz w:val="20"/>
          <w:szCs w:val="20"/>
        </w:rPr>
        <w:t>of CS-31HB is shown. The maximum mass must be established so that it is not more than the</w:t>
      </w:r>
      <w:r w:rsidRPr="000A3A45">
        <w:rPr>
          <w:rFonts w:ascii="Arial" w:hAnsi="Arial" w:cs="Arial"/>
          <w:spacing w:val="1"/>
          <w:sz w:val="20"/>
          <w:szCs w:val="20"/>
        </w:rPr>
        <w:t xml:space="preserve"> </w:t>
      </w:r>
      <w:r w:rsidRPr="000A3A45">
        <w:rPr>
          <w:rFonts w:ascii="Arial" w:hAnsi="Arial" w:cs="Arial"/>
          <w:sz w:val="20"/>
          <w:szCs w:val="20"/>
        </w:rPr>
        <w:t>least</w:t>
      </w:r>
      <w:r w:rsidRPr="000A3A45">
        <w:rPr>
          <w:rFonts w:ascii="Arial" w:hAnsi="Arial" w:cs="Arial"/>
          <w:spacing w:val="-3"/>
          <w:sz w:val="20"/>
          <w:szCs w:val="20"/>
        </w:rPr>
        <w:t xml:space="preserve"> </w:t>
      </w:r>
      <w:r w:rsidRPr="000A3A45">
        <w:rPr>
          <w:rFonts w:ascii="Arial" w:hAnsi="Arial" w:cs="Arial"/>
          <w:sz w:val="20"/>
          <w:szCs w:val="20"/>
        </w:rPr>
        <w:t>of:</w:t>
      </w:r>
      <w:r w:rsidRPr="000A3A45">
        <w:rPr>
          <w:rFonts w:ascii="Arial" w:hAnsi="Arial" w:cs="Arial"/>
          <w:spacing w:val="-2"/>
          <w:sz w:val="20"/>
          <w:szCs w:val="20"/>
        </w:rPr>
        <w:t xml:space="preserve"> </w:t>
      </w:r>
      <w:r w:rsidRPr="000A3A45">
        <w:rPr>
          <w:rFonts w:ascii="Arial" w:hAnsi="Arial" w:cs="Arial"/>
          <w:sz w:val="20"/>
          <w:szCs w:val="20"/>
        </w:rPr>
        <w:t>(See</w:t>
      </w:r>
      <w:r w:rsidRPr="000A3A45">
        <w:rPr>
          <w:rFonts w:ascii="Arial" w:hAnsi="Arial" w:cs="Arial"/>
          <w:spacing w:val="-2"/>
          <w:sz w:val="20"/>
          <w:szCs w:val="20"/>
        </w:rPr>
        <w:t xml:space="preserve"> </w:t>
      </w:r>
      <w:r w:rsidRPr="000A3A45">
        <w:rPr>
          <w:rFonts w:ascii="Arial" w:hAnsi="Arial" w:cs="Arial"/>
          <w:sz w:val="20"/>
          <w:szCs w:val="20"/>
        </w:rPr>
        <w:t>AMC</w:t>
      </w:r>
      <w:r w:rsidRPr="000A3A45">
        <w:rPr>
          <w:rFonts w:ascii="Arial" w:hAnsi="Arial" w:cs="Arial"/>
          <w:spacing w:val="-2"/>
          <w:sz w:val="20"/>
          <w:szCs w:val="20"/>
        </w:rPr>
        <w:t xml:space="preserve"> </w:t>
      </w:r>
      <w:r w:rsidRPr="000A3A45">
        <w:rPr>
          <w:rFonts w:ascii="Arial" w:hAnsi="Arial" w:cs="Arial"/>
          <w:sz w:val="20"/>
          <w:szCs w:val="20"/>
        </w:rPr>
        <w:t>31HB.14(a))</w:t>
      </w:r>
    </w:p>
    <w:p w14:paraId="2DE220F5" w14:textId="77777777" w:rsidR="000A3A45" w:rsidRPr="000A3A45" w:rsidRDefault="000A3A45" w:rsidP="00A56A31">
      <w:pPr>
        <w:numPr>
          <w:ilvl w:val="0"/>
          <w:numId w:val="373"/>
        </w:numPr>
        <w:tabs>
          <w:tab w:val="left" w:pos="1274"/>
        </w:tabs>
        <w:spacing w:before="120" w:line="276" w:lineRule="auto"/>
        <w:jc w:val="both"/>
        <w:rPr>
          <w:rFonts w:ascii="Arial" w:hAnsi="Arial" w:cs="Arial"/>
          <w:sz w:val="20"/>
        </w:rPr>
      </w:pPr>
      <w:r w:rsidRPr="000A3A45">
        <w:rPr>
          <w:rFonts w:ascii="Arial" w:hAnsi="Arial" w:cs="Arial"/>
          <w:sz w:val="20"/>
        </w:rPr>
        <w:t>The maximum mass selected for the product;</w:t>
      </w:r>
    </w:p>
    <w:p w14:paraId="57172707" w14:textId="77777777" w:rsidR="000A3A45" w:rsidRPr="000A3A45" w:rsidRDefault="000A3A45" w:rsidP="00A56A31">
      <w:pPr>
        <w:numPr>
          <w:ilvl w:val="0"/>
          <w:numId w:val="373"/>
        </w:numPr>
        <w:tabs>
          <w:tab w:val="left" w:pos="1274"/>
        </w:tabs>
        <w:spacing w:before="120" w:line="276" w:lineRule="auto"/>
        <w:jc w:val="both"/>
        <w:rPr>
          <w:rFonts w:ascii="Arial" w:hAnsi="Arial" w:cs="Arial"/>
          <w:sz w:val="20"/>
        </w:rPr>
      </w:pPr>
      <w:r w:rsidRPr="000A3A45">
        <w:rPr>
          <w:rFonts w:ascii="Arial" w:hAnsi="Arial" w:cs="Arial"/>
          <w:sz w:val="20"/>
        </w:rPr>
        <w:t>The design maximum mass, which is the highest mass at which each structural loading condition is shown; or</w:t>
      </w:r>
    </w:p>
    <w:p w14:paraId="2E411115" w14:textId="77777777" w:rsidR="000A3A45" w:rsidRPr="000A3A45" w:rsidRDefault="000A3A45" w:rsidP="00A56A31">
      <w:pPr>
        <w:numPr>
          <w:ilvl w:val="0"/>
          <w:numId w:val="373"/>
        </w:numPr>
        <w:tabs>
          <w:tab w:val="left" w:pos="1274"/>
        </w:tabs>
        <w:spacing w:before="120" w:line="276" w:lineRule="auto"/>
        <w:jc w:val="both"/>
        <w:rPr>
          <w:rFonts w:ascii="Arial" w:hAnsi="Arial" w:cs="Arial"/>
          <w:sz w:val="20"/>
        </w:rPr>
      </w:pPr>
      <w:r w:rsidRPr="000A3A45">
        <w:rPr>
          <w:rFonts w:ascii="Arial" w:hAnsi="Arial" w:cs="Arial"/>
          <w:sz w:val="20"/>
        </w:rPr>
        <w:t>The maximum mass at which compliance with each applicable flight requirement is shown.</w:t>
      </w:r>
    </w:p>
    <w:p w14:paraId="11392ECB" w14:textId="77777777" w:rsidR="000A3A45" w:rsidRPr="000A3A45" w:rsidRDefault="000A3A45" w:rsidP="00A56A31">
      <w:pPr>
        <w:numPr>
          <w:ilvl w:val="0"/>
          <w:numId w:val="372"/>
        </w:numPr>
        <w:tabs>
          <w:tab w:val="left" w:pos="1274"/>
        </w:tabs>
        <w:spacing w:line="276" w:lineRule="auto"/>
        <w:ind w:right="26"/>
        <w:jc w:val="both"/>
        <w:rPr>
          <w:rFonts w:ascii="Arial" w:hAnsi="Arial" w:cs="Arial"/>
          <w:sz w:val="20"/>
          <w:szCs w:val="20"/>
        </w:rPr>
      </w:pPr>
      <w:r w:rsidRPr="000A3A45">
        <w:rPr>
          <w:rFonts w:ascii="Arial" w:hAnsi="Arial" w:cs="Arial"/>
          <w:sz w:val="20"/>
          <w:szCs w:val="20"/>
        </w:rPr>
        <w:t>Minimum mass.</w:t>
      </w:r>
    </w:p>
    <w:p w14:paraId="59C4E541" w14:textId="77777777" w:rsidR="000A3A45" w:rsidRPr="000A3A45" w:rsidRDefault="000A3A45" w:rsidP="000A3A45">
      <w:pPr>
        <w:pStyle w:val="BodyText"/>
        <w:spacing w:before="117"/>
        <w:ind w:left="705" w:right="26"/>
        <w:jc w:val="both"/>
        <w:rPr>
          <w:rFonts w:ascii="Arial" w:hAnsi="Arial" w:cs="Arial"/>
          <w:sz w:val="20"/>
          <w:szCs w:val="20"/>
        </w:rPr>
      </w:pPr>
      <w:r w:rsidRPr="000A3A45">
        <w:rPr>
          <w:rFonts w:ascii="Arial" w:hAnsi="Arial" w:cs="Arial"/>
          <w:sz w:val="20"/>
          <w:szCs w:val="20"/>
        </w:rPr>
        <w:t>The</w:t>
      </w:r>
      <w:r w:rsidRPr="000A3A45">
        <w:rPr>
          <w:rFonts w:ascii="Arial" w:hAnsi="Arial" w:cs="Arial"/>
          <w:spacing w:val="1"/>
          <w:sz w:val="20"/>
          <w:szCs w:val="20"/>
        </w:rPr>
        <w:t xml:space="preserve"> </w:t>
      </w:r>
      <w:r w:rsidRPr="000A3A45">
        <w:rPr>
          <w:rFonts w:ascii="Arial" w:hAnsi="Arial" w:cs="Arial"/>
          <w:sz w:val="20"/>
          <w:szCs w:val="20"/>
        </w:rPr>
        <w:t>minimum</w:t>
      </w:r>
      <w:r w:rsidRPr="000A3A45">
        <w:rPr>
          <w:rFonts w:ascii="Arial" w:hAnsi="Arial" w:cs="Arial"/>
          <w:spacing w:val="1"/>
          <w:sz w:val="20"/>
          <w:szCs w:val="20"/>
        </w:rPr>
        <w:t xml:space="preserve"> </w:t>
      </w:r>
      <w:r w:rsidRPr="000A3A45">
        <w:rPr>
          <w:rFonts w:ascii="Arial" w:hAnsi="Arial" w:cs="Arial"/>
          <w:sz w:val="20"/>
          <w:szCs w:val="20"/>
        </w:rPr>
        <w:t>mass</w:t>
      </w:r>
      <w:r w:rsidRPr="000A3A45">
        <w:rPr>
          <w:rFonts w:ascii="Arial" w:hAnsi="Arial" w:cs="Arial"/>
          <w:spacing w:val="1"/>
          <w:sz w:val="20"/>
          <w:szCs w:val="20"/>
        </w:rPr>
        <w:t xml:space="preserve"> </w:t>
      </w:r>
      <w:r w:rsidRPr="000A3A45">
        <w:rPr>
          <w:rFonts w:ascii="Arial" w:hAnsi="Arial" w:cs="Arial"/>
          <w:sz w:val="20"/>
          <w:szCs w:val="20"/>
        </w:rPr>
        <w:t>is</w:t>
      </w:r>
      <w:r w:rsidRPr="000A3A45">
        <w:rPr>
          <w:rFonts w:ascii="Arial" w:hAnsi="Arial" w:cs="Arial"/>
          <w:spacing w:val="1"/>
          <w:sz w:val="20"/>
          <w:szCs w:val="20"/>
        </w:rPr>
        <w:t xml:space="preserve"> </w:t>
      </w:r>
      <w:r w:rsidRPr="000A3A45">
        <w:rPr>
          <w:rFonts w:ascii="Arial" w:hAnsi="Arial" w:cs="Arial"/>
          <w:sz w:val="20"/>
          <w:szCs w:val="20"/>
        </w:rPr>
        <w:t>the</w:t>
      </w:r>
      <w:r w:rsidRPr="000A3A45">
        <w:rPr>
          <w:rFonts w:ascii="Arial" w:hAnsi="Arial" w:cs="Arial"/>
          <w:spacing w:val="1"/>
          <w:sz w:val="20"/>
          <w:szCs w:val="20"/>
        </w:rPr>
        <w:t xml:space="preserve"> </w:t>
      </w:r>
      <w:r w:rsidRPr="000A3A45">
        <w:rPr>
          <w:rFonts w:ascii="Arial" w:hAnsi="Arial" w:cs="Arial"/>
          <w:sz w:val="20"/>
          <w:szCs w:val="20"/>
        </w:rPr>
        <w:t>lowest</w:t>
      </w:r>
      <w:r w:rsidRPr="000A3A45">
        <w:rPr>
          <w:rFonts w:ascii="Arial" w:hAnsi="Arial" w:cs="Arial"/>
          <w:spacing w:val="1"/>
          <w:sz w:val="20"/>
          <w:szCs w:val="20"/>
        </w:rPr>
        <w:t xml:space="preserve"> </w:t>
      </w:r>
      <w:r w:rsidRPr="000A3A45">
        <w:rPr>
          <w:rFonts w:ascii="Arial" w:hAnsi="Arial" w:cs="Arial"/>
          <w:sz w:val="20"/>
          <w:szCs w:val="20"/>
        </w:rPr>
        <w:t>mass</w:t>
      </w:r>
      <w:r w:rsidRPr="000A3A45">
        <w:rPr>
          <w:rFonts w:ascii="Arial" w:hAnsi="Arial" w:cs="Arial"/>
          <w:spacing w:val="1"/>
          <w:sz w:val="20"/>
          <w:szCs w:val="20"/>
        </w:rPr>
        <w:t xml:space="preserve"> </w:t>
      </w:r>
      <w:r w:rsidRPr="000A3A45">
        <w:rPr>
          <w:rFonts w:ascii="Arial" w:hAnsi="Arial" w:cs="Arial"/>
          <w:sz w:val="20"/>
          <w:szCs w:val="20"/>
        </w:rPr>
        <w:t>at</w:t>
      </w:r>
      <w:r w:rsidRPr="000A3A45">
        <w:rPr>
          <w:rFonts w:ascii="Arial" w:hAnsi="Arial" w:cs="Arial"/>
          <w:spacing w:val="1"/>
          <w:sz w:val="20"/>
          <w:szCs w:val="20"/>
        </w:rPr>
        <w:t xml:space="preserve"> </w:t>
      </w:r>
      <w:r w:rsidRPr="000A3A45">
        <w:rPr>
          <w:rFonts w:ascii="Arial" w:hAnsi="Arial" w:cs="Arial"/>
          <w:sz w:val="20"/>
          <w:szCs w:val="20"/>
        </w:rPr>
        <w:t>which</w:t>
      </w:r>
      <w:r w:rsidRPr="000A3A45">
        <w:rPr>
          <w:rFonts w:ascii="Arial" w:hAnsi="Arial" w:cs="Arial"/>
          <w:spacing w:val="1"/>
          <w:sz w:val="20"/>
          <w:szCs w:val="20"/>
        </w:rPr>
        <w:t xml:space="preserve"> </w:t>
      </w:r>
      <w:r w:rsidRPr="000A3A45">
        <w:rPr>
          <w:rFonts w:ascii="Arial" w:hAnsi="Arial" w:cs="Arial"/>
          <w:sz w:val="20"/>
          <w:szCs w:val="20"/>
        </w:rPr>
        <w:t>compliance</w:t>
      </w:r>
      <w:r w:rsidRPr="000A3A45">
        <w:rPr>
          <w:rFonts w:ascii="Arial" w:hAnsi="Arial" w:cs="Arial"/>
          <w:spacing w:val="1"/>
          <w:sz w:val="20"/>
          <w:szCs w:val="20"/>
        </w:rPr>
        <w:t xml:space="preserve"> </w:t>
      </w:r>
      <w:r w:rsidRPr="000A3A45">
        <w:rPr>
          <w:rFonts w:ascii="Arial" w:hAnsi="Arial" w:cs="Arial"/>
          <w:sz w:val="20"/>
          <w:szCs w:val="20"/>
        </w:rPr>
        <w:t>with</w:t>
      </w:r>
      <w:r w:rsidRPr="000A3A45">
        <w:rPr>
          <w:rFonts w:ascii="Arial" w:hAnsi="Arial" w:cs="Arial"/>
          <w:spacing w:val="1"/>
          <w:sz w:val="20"/>
          <w:szCs w:val="20"/>
        </w:rPr>
        <w:t xml:space="preserve"> </w:t>
      </w:r>
      <w:r w:rsidRPr="000A3A45">
        <w:rPr>
          <w:rFonts w:ascii="Arial" w:hAnsi="Arial" w:cs="Arial"/>
          <w:sz w:val="20"/>
          <w:szCs w:val="20"/>
        </w:rPr>
        <w:t>each</w:t>
      </w:r>
      <w:r w:rsidRPr="000A3A45">
        <w:rPr>
          <w:rFonts w:ascii="Arial" w:hAnsi="Arial" w:cs="Arial"/>
          <w:spacing w:val="1"/>
          <w:sz w:val="20"/>
          <w:szCs w:val="20"/>
        </w:rPr>
        <w:t xml:space="preserve"> </w:t>
      </w:r>
      <w:r w:rsidRPr="000A3A45">
        <w:rPr>
          <w:rFonts w:ascii="Arial" w:hAnsi="Arial" w:cs="Arial"/>
          <w:sz w:val="20"/>
          <w:szCs w:val="20"/>
        </w:rPr>
        <w:t>applicable</w:t>
      </w:r>
      <w:r w:rsidRPr="000A3A45">
        <w:rPr>
          <w:rFonts w:ascii="Arial" w:hAnsi="Arial" w:cs="Arial"/>
          <w:spacing w:val="1"/>
          <w:sz w:val="20"/>
          <w:szCs w:val="20"/>
        </w:rPr>
        <w:t xml:space="preserve"> </w:t>
      </w:r>
      <w:r w:rsidRPr="000A3A45">
        <w:rPr>
          <w:rFonts w:ascii="Arial" w:hAnsi="Arial" w:cs="Arial"/>
          <w:sz w:val="20"/>
          <w:szCs w:val="20"/>
        </w:rPr>
        <w:t>flight</w:t>
      </w:r>
      <w:r w:rsidRPr="000A3A45">
        <w:rPr>
          <w:rFonts w:ascii="Arial" w:hAnsi="Arial" w:cs="Arial"/>
          <w:spacing w:val="1"/>
          <w:sz w:val="20"/>
          <w:szCs w:val="20"/>
        </w:rPr>
        <w:t xml:space="preserve"> </w:t>
      </w:r>
      <w:r w:rsidRPr="000A3A45">
        <w:rPr>
          <w:rFonts w:ascii="Arial" w:hAnsi="Arial" w:cs="Arial"/>
          <w:sz w:val="20"/>
          <w:szCs w:val="20"/>
        </w:rPr>
        <w:t>requirement</w:t>
      </w:r>
      <w:r w:rsidRPr="000A3A45">
        <w:rPr>
          <w:rFonts w:ascii="Arial" w:hAnsi="Arial" w:cs="Arial"/>
          <w:spacing w:val="-1"/>
          <w:sz w:val="20"/>
          <w:szCs w:val="20"/>
        </w:rPr>
        <w:t xml:space="preserve"> </w:t>
      </w:r>
      <w:r w:rsidRPr="000A3A45">
        <w:rPr>
          <w:rFonts w:ascii="Arial" w:hAnsi="Arial" w:cs="Arial"/>
          <w:sz w:val="20"/>
          <w:szCs w:val="20"/>
        </w:rPr>
        <w:t>is</w:t>
      </w:r>
      <w:r w:rsidRPr="000A3A45">
        <w:rPr>
          <w:rFonts w:ascii="Arial" w:hAnsi="Arial" w:cs="Arial"/>
          <w:spacing w:val="-2"/>
          <w:sz w:val="20"/>
          <w:szCs w:val="20"/>
        </w:rPr>
        <w:t xml:space="preserve"> </w:t>
      </w:r>
      <w:r w:rsidRPr="000A3A45">
        <w:rPr>
          <w:rFonts w:ascii="Arial" w:hAnsi="Arial" w:cs="Arial"/>
          <w:sz w:val="20"/>
          <w:szCs w:val="20"/>
        </w:rPr>
        <w:t>shown. (See</w:t>
      </w:r>
      <w:r w:rsidRPr="000A3A45">
        <w:rPr>
          <w:rFonts w:ascii="Arial" w:hAnsi="Arial" w:cs="Arial"/>
          <w:spacing w:val="-3"/>
          <w:sz w:val="20"/>
          <w:szCs w:val="20"/>
        </w:rPr>
        <w:t xml:space="preserve"> </w:t>
      </w:r>
      <w:r w:rsidRPr="000A3A45">
        <w:rPr>
          <w:rFonts w:ascii="Arial" w:hAnsi="Arial" w:cs="Arial"/>
          <w:sz w:val="20"/>
          <w:szCs w:val="20"/>
        </w:rPr>
        <w:t>AMC</w:t>
      </w:r>
      <w:r w:rsidRPr="000A3A45">
        <w:rPr>
          <w:rFonts w:ascii="Arial" w:hAnsi="Arial" w:cs="Arial"/>
          <w:spacing w:val="-2"/>
          <w:sz w:val="20"/>
          <w:szCs w:val="20"/>
        </w:rPr>
        <w:t xml:space="preserve"> </w:t>
      </w:r>
      <w:r w:rsidRPr="000A3A45">
        <w:rPr>
          <w:rFonts w:ascii="Arial" w:hAnsi="Arial" w:cs="Arial"/>
          <w:sz w:val="20"/>
          <w:szCs w:val="20"/>
        </w:rPr>
        <w:t>31HB.14(b))</w:t>
      </w:r>
    </w:p>
    <w:p w14:paraId="719BE1B3" w14:textId="77777777" w:rsidR="000A3A45" w:rsidRPr="000A3A45" w:rsidRDefault="000A3A45" w:rsidP="000A3A45">
      <w:pPr>
        <w:pStyle w:val="BodyText"/>
        <w:spacing w:before="121"/>
        <w:ind w:left="705" w:right="26"/>
        <w:jc w:val="both"/>
        <w:rPr>
          <w:rFonts w:ascii="Arial" w:hAnsi="Arial" w:cs="Arial"/>
          <w:sz w:val="20"/>
          <w:szCs w:val="20"/>
        </w:rPr>
      </w:pPr>
      <w:r w:rsidRPr="000A3A45">
        <w:rPr>
          <w:rFonts w:ascii="Arial" w:hAnsi="Arial" w:cs="Arial"/>
          <w:sz w:val="20"/>
          <w:szCs w:val="20"/>
        </w:rPr>
        <w:t>Mass limitations between which the balloon may be safely operated must be included in the</w:t>
      </w:r>
      <w:r w:rsidRPr="000A3A45">
        <w:rPr>
          <w:rFonts w:ascii="Arial" w:hAnsi="Arial" w:cs="Arial"/>
          <w:spacing w:val="1"/>
          <w:sz w:val="20"/>
          <w:szCs w:val="20"/>
        </w:rPr>
        <w:t xml:space="preserve"> </w:t>
      </w:r>
      <w:r w:rsidRPr="000A3A45">
        <w:rPr>
          <w:rFonts w:ascii="Arial" w:hAnsi="Arial" w:cs="Arial"/>
          <w:sz w:val="20"/>
          <w:szCs w:val="20"/>
        </w:rPr>
        <w:t>Flight</w:t>
      </w:r>
      <w:r w:rsidRPr="000A3A45">
        <w:rPr>
          <w:rFonts w:ascii="Arial" w:hAnsi="Arial" w:cs="Arial"/>
          <w:spacing w:val="-1"/>
          <w:sz w:val="20"/>
          <w:szCs w:val="20"/>
        </w:rPr>
        <w:t xml:space="preserve"> </w:t>
      </w:r>
      <w:r w:rsidRPr="000A3A45">
        <w:rPr>
          <w:rFonts w:ascii="Arial" w:hAnsi="Arial" w:cs="Arial"/>
          <w:sz w:val="20"/>
          <w:szCs w:val="20"/>
        </w:rPr>
        <w:t>Manual.</w:t>
      </w:r>
      <w:r w:rsidRPr="000A3A45">
        <w:rPr>
          <w:rFonts w:ascii="Arial" w:hAnsi="Arial" w:cs="Arial"/>
          <w:spacing w:val="-1"/>
          <w:sz w:val="20"/>
          <w:szCs w:val="20"/>
        </w:rPr>
        <w:t xml:space="preserve"> </w:t>
      </w:r>
      <w:r w:rsidRPr="000A3A45">
        <w:rPr>
          <w:rFonts w:ascii="Arial" w:hAnsi="Arial" w:cs="Arial"/>
          <w:sz w:val="20"/>
          <w:szCs w:val="20"/>
        </w:rPr>
        <w:t>(See</w:t>
      </w:r>
      <w:r w:rsidRPr="000A3A45">
        <w:rPr>
          <w:rFonts w:ascii="Arial" w:hAnsi="Arial" w:cs="Arial"/>
          <w:spacing w:val="-1"/>
          <w:sz w:val="20"/>
          <w:szCs w:val="20"/>
        </w:rPr>
        <w:t xml:space="preserve"> </w:t>
      </w:r>
      <w:r w:rsidRPr="000A3A45">
        <w:rPr>
          <w:rFonts w:ascii="Arial" w:hAnsi="Arial" w:cs="Arial"/>
          <w:sz w:val="20"/>
          <w:szCs w:val="20"/>
        </w:rPr>
        <w:t>CS</w:t>
      </w:r>
      <w:r w:rsidRPr="000A3A45">
        <w:rPr>
          <w:rFonts w:ascii="Arial" w:hAnsi="Arial" w:cs="Arial"/>
          <w:spacing w:val="-3"/>
          <w:sz w:val="20"/>
          <w:szCs w:val="20"/>
        </w:rPr>
        <w:t xml:space="preserve"> </w:t>
      </w:r>
      <w:r w:rsidRPr="000A3A45">
        <w:rPr>
          <w:rFonts w:ascii="Arial" w:hAnsi="Arial" w:cs="Arial"/>
          <w:sz w:val="20"/>
          <w:szCs w:val="20"/>
        </w:rPr>
        <w:t>31HB.81(b)(2))</w:t>
      </w:r>
    </w:p>
    <w:p w14:paraId="042E903C" w14:textId="77777777" w:rsidR="000A3A45" w:rsidRDefault="000A3A45" w:rsidP="009B2DD4">
      <w:pPr>
        <w:tabs>
          <w:tab w:val="left" w:pos="1274"/>
        </w:tabs>
        <w:ind w:right="196"/>
        <w:jc w:val="both"/>
        <w:rPr>
          <w:rFonts w:ascii="Arial" w:hAnsi="Arial" w:cs="Arial"/>
        </w:rPr>
      </w:pPr>
    </w:p>
    <w:p w14:paraId="095FF92F" w14:textId="77777777" w:rsidR="00376E50" w:rsidRPr="00376E50" w:rsidRDefault="00376E50" w:rsidP="00376E50">
      <w:pPr>
        <w:keepNext/>
        <w:keepLines/>
        <w:widowControl/>
        <w:shd w:val="clear" w:color="auto" w:fill="ED7D31"/>
        <w:autoSpaceDE/>
        <w:autoSpaceDN/>
        <w:spacing w:before="160" w:after="120" w:line="276" w:lineRule="auto"/>
        <w:outlineLvl w:val="4"/>
        <w:rPr>
          <w:rFonts w:ascii="Arial" w:eastAsia="Times New Roman" w:hAnsi="Arial" w:cs="Times New Roman"/>
          <w:b/>
          <w:color w:val="FFFFFF"/>
          <w:sz w:val="24"/>
        </w:rPr>
      </w:pPr>
      <w:bookmarkStart w:id="1205" w:name="AMC_31HB.14(a)_Mass_limits"/>
      <w:bookmarkStart w:id="1206" w:name="_bookmark506"/>
      <w:bookmarkStart w:id="1207" w:name="_Toc153137669"/>
      <w:bookmarkEnd w:id="1205"/>
      <w:bookmarkEnd w:id="1206"/>
      <w:r w:rsidRPr="00376E50">
        <w:rPr>
          <w:rFonts w:ascii="Arial" w:eastAsia="Times New Roman" w:hAnsi="Arial" w:cs="Times New Roman"/>
          <w:b/>
          <w:color w:val="FFFFFF"/>
          <w:sz w:val="24"/>
        </w:rPr>
        <w:t>AMC 31HB.14(a) Mass limits</w:t>
      </w:r>
      <w:bookmarkEnd w:id="1207"/>
    </w:p>
    <w:p w14:paraId="41E73A12" w14:textId="77777777" w:rsidR="00AB31E4" w:rsidRDefault="00376E50" w:rsidP="00BC06CD">
      <w:pPr>
        <w:spacing w:line="276" w:lineRule="auto"/>
        <w:jc w:val="both"/>
        <w:rPr>
          <w:rFonts w:ascii="Arial" w:hAnsi="Arial" w:cs="Arial"/>
          <w:sz w:val="20"/>
        </w:rPr>
      </w:pPr>
      <w:r w:rsidRPr="00376E50">
        <w:rPr>
          <w:rFonts w:ascii="Arial" w:hAnsi="Arial" w:cs="Arial"/>
          <w:sz w:val="20"/>
        </w:rPr>
        <w:t>The maximum mass corresponds to the maximum buoyancy. The lift-producing medium is not part of the maximum mass.</w:t>
      </w:r>
    </w:p>
    <w:p w14:paraId="5EAB8EA4" w14:textId="77777777" w:rsidR="00376E50" w:rsidRPr="00376E50" w:rsidRDefault="00376E50" w:rsidP="00BC06CD">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208" w:name="AMC_31HB.14(b)_Mass_limits"/>
      <w:bookmarkStart w:id="1209" w:name="_bookmark507"/>
      <w:bookmarkStart w:id="1210" w:name="_Toc153137670"/>
      <w:bookmarkEnd w:id="1208"/>
      <w:bookmarkEnd w:id="1209"/>
      <w:r w:rsidRPr="00376E50">
        <w:rPr>
          <w:rFonts w:ascii="Arial" w:eastAsia="Times New Roman" w:hAnsi="Arial" w:cs="Times New Roman"/>
          <w:b/>
          <w:color w:val="FFFFFF"/>
          <w:sz w:val="24"/>
        </w:rPr>
        <w:t>AMC 31HB.14(b) Mass limits</w:t>
      </w:r>
      <w:bookmarkEnd w:id="1210"/>
    </w:p>
    <w:p w14:paraId="768C1C11" w14:textId="77777777" w:rsidR="00376E50" w:rsidRPr="00376E50" w:rsidRDefault="00376E50" w:rsidP="00BC06CD">
      <w:pPr>
        <w:spacing w:line="276" w:lineRule="auto"/>
        <w:ind w:right="-64"/>
        <w:jc w:val="both"/>
        <w:rPr>
          <w:rFonts w:ascii="Arial" w:hAnsi="Arial" w:cs="Arial"/>
          <w:sz w:val="20"/>
        </w:rPr>
      </w:pPr>
      <w:r w:rsidRPr="00376E50">
        <w:rPr>
          <w:rFonts w:ascii="Arial" w:hAnsi="Arial" w:cs="Arial"/>
          <w:sz w:val="20"/>
        </w:rPr>
        <w:t>Minimum mass: In arriving at this figure, especially with larger balloons, attention should be paid to the ability to properly operate the balloon, in terms of both its heating and venting, with the reduced</w:t>
      </w:r>
      <w:r>
        <w:rPr>
          <w:rFonts w:ascii="Arial" w:hAnsi="Arial" w:cs="Arial"/>
          <w:sz w:val="20"/>
        </w:rPr>
        <w:t xml:space="preserve"> </w:t>
      </w:r>
      <w:r w:rsidRPr="00376E50">
        <w:rPr>
          <w:rFonts w:ascii="Arial" w:hAnsi="Arial" w:cs="Arial"/>
          <w:sz w:val="20"/>
        </w:rPr>
        <w:t>envelope rigidity associated with low mass operation.</w:t>
      </w:r>
    </w:p>
    <w:p w14:paraId="781DA6FE" w14:textId="77777777" w:rsidR="007257D0" w:rsidRPr="007257D0" w:rsidRDefault="007257D0" w:rsidP="00BC06CD">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211" w:name="CS_31HB.16_Empty_mass"/>
      <w:bookmarkStart w:id="1212" w:name="_bookmark508"/>
      <w:bookmarkStart w:id="1213" w:name="_Toc153137671"/>
      <w:bookmarkEnd w:id="1211"/>
      <w:bookmarkEnd w:id="1212"/>
      <w:r w:rsidRPr="007257D0">
        <w:rPr>
          <w:rFonts w:ascii="Arial" w:eastAsia="Times New Roman" w:hAnsi="Arial" w:cs="Times New Roman"/>
          <w:b/>
          <w:iCs/>
          <w:color w:val="FFFFFF"/>
          <w:sz w:val="24"/>
        </w:rPr>
        <w:t>CS 31HB.16 Empty mass</w:t>
      </w:r>
      <w:bookmarkEnd w:id="1213"/>
    </w:p>
    <w:p w14:paraId="249C50FE" w14:textId="77777777" w:rsidR="00376E50" w:rsidRDefault="007257D0" w:rsidP="00BC06CD">
      <w:pPr>
        <w:spacing w:line="276" w:lineRule="auto"/>
        <w:jc w:val="both"/>
        <w:rPr>
          <w:rFonts w:ascii="Arial" w:hAnsi="Arial" w:cs="Arial"/>
          <w:sz w:val="20"/>
        </w:rPr>
      </w:pPr>
      <w:r w:rsidRPr="007257D0">
        <w:rPr>
          <w:rFonts w:ascii="Arial" w:hAnsi="Arial" w:cs="Arial"/>
          <w:sz w:val="20"/>
        </w:rPr>
        <w:t>The empty mass must be determined by weighing the balloon with installed equipment but without lifting gas. (See AMC 31HB.16)</w:t>
      </w:r>
    </w:p>
    <w:p w14:paraId="1BDBD759" w14:textId="77777777" w:rsidR="000830FA" w:rsidRPr="000830FA" w:rsidRDefault="000830FA" w:rsidP="00BC06CD">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214" w:name="AMC_31HB.16_Empty_mass"/>
      <w:bookmarkStart w:id="1215" w:name="_bookmark509"/>
      <w:bookmarkStart w:id="1216" w:name="_Toc153137672"/>
      <w:bookmarkEnd w:id="1214"/>
      <w:bookmarkEnd w:id="1215"/>
      <w:r w:rsidRPr="000830FA">
        <w:rPr>
          <w:rFonts w:ascii="Arial" w:eastAsia="Times New Roman" w:hAnsi="Arial" w:cs="Times New Roman"/>
          <w:b/>
          <w:color w:val="FFFFFF"/>
          <w:sz w:val="24"/>
        </w:rPr>
        <w:t>AMC 31HB.16 Empty mass</w:t>
      </w:r>
      <w:bookmarkEnd w:id="1216"/>
    </w:p>
    <w:p w14:paraId="5BE13836" w14:textId="77777777" w:rsidR="000830FA" w:rsidRDefault="000830FA" w:rsidP="00BC06CD">
      <w:pPr>
        <w:spacing w:line="276" w:lineRule="auto"/>
        <w:jc w:val="both"/>
        <w:rPr>
          <w:rFonts w:ascii="Arial" w:hAnsi="Arial" w:cs="Arial"/>
          <w:sz w:val="20"/>
        </w:rPr>
      </w:pPr>
      <w:r w:rsidRPr="000830FA">
        <w:rPr>
          <w:rFonts w:ascii="Arial" w:hAnsi="Arial" w:cs="Arial"/>
          <w:sz w:val="20"/>
        </w:rPr>
        <w:t>The equipment and configuration that is included in the empty mass should be specified. Refer also to AMC 31HB.81(b)(2).</w:t>
      </w:r>
    </w:p>
    <w:p w14:paraId="6A366960" w14:textId="77777777" w:rsidR="00BB115F" w:rsidRPr="00BB115F" w:rsidRDefault="00BB115F" w:rsidP="00BC06CD">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217" w:name="CS_31HB.17_Performance:_climb"/>
      <w:bookmarkStart w:id="1218" w:name="_bookmark510"/>
      <w:bookmarkStart w:id="1219" w:name="_Toc153137673"/>
      <w:bookmarkEnd w:id="1217"/>
      <w:bookmarkEnd w:id="1218"/>
      <w:r w:rsidRPr="00BB115F">
        <w:rPr>
          <w:rFonts w:ascii="Arial" w:eastAsia="Times New Roman" w:hAnsi="Arial" w:cs="Times New Roman"/>
          <w:b/>
          <w:iCs/>
          <w:color w:val="FFFFFF"/>
          <w:sz w:val="24"/>
        </w:rPr>
        <w:t>CS 31HB.17 Performance: climb</w:t>
      </w:r>
      <w:bookmarkEnd w:id="1219"/>
    </w:p>
    <w:p w14:paraId="44756815" w14:textId="77777777" w:rsidR="00BB115F" w:rsidRDefault="00BB115F" w:rsidP="00BC06CD">
      <w:pPr>
        <w:spacing w:line="276" w:lineRule="auto"/>
        <w:jc w:val="both"/>
        <w:rPr>
          <w:rFonts w:ascii="Arial" w:hAnsi="Arial" w:cs="Arial"/>
          <w:sz w:val="20"/>
        </w:rPr>
      </w:pPr>
      <w:r w:rsidRPr="00BB115F">
        <w:rPr>
          <w:rFonts w:ascii="Arial" w:hAnsi="Arial" w:cs="Arial"/>
          <w:sz w:val="20"/>
        </w:rPr>
        <w:t xml:space="preserve">The balloon must be capable of climbing at least 90 metres in the first minute from a start in equilibrium at ground level. Compliance must be shown at the maximum mass appropriate to the conditions of the </w:t>
      </w:r>
      <w:r w:rsidRPr="00BB115F">
        <w:rPr>
          <w:rFonts w:ascii="Arial" w:hAnsi="Arial" w:cs="Arial"/>
          <w:sz w:val="20"/>
        </w:rPr>
        <w:lastRenderedPageBreak/>
        <w:t>test. (See AMC 31HB.17)</w:t>
      </w:r>
    </w:p>
    <w:p w14:paraId="6726D028" w14:textId="77777777" w:rsidR="00BB115F" w:rsidRPr="00BB115F" w:rsidRDefault="00BB115F" w:rsidP="00BC06CD">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220" w:name="AMC_31HB.17_Performance:_climb"/>
      <w:bookmarkStart w:id="1221" w:name="_bookmark511"/>
      <w:bookmarkStart w:id="1222" w:name="_Toc153137674"/>
      <w:bookmarkEnd w:id="1220"/>
      <w:bookmarkEnd w:id="1221"/>
      <w:r w:rsidRPr="00BB115F">
        <w:rPr>
          <w:rFonts w:ascii="Arial" w:eastAsia="Times New Roman" w:hAnsi="Arial" w:cs="Times New Roman"/>
          <w:b/>
          <w:color w:val="FFFFFF"/>
          <w:sz w:val="24"/>
        </w:rPr>
        <w:t>AMC 31HB.17 Performance: climb</w:t>
      </w:r>
      <w:bookmarkEnd w:id="1222"/>
    </w:p>
    <w:p w14:paraId="570C8943" w14:textId="77777777" w:rsidR="00BB115F" w:rsidRPr="00BB115F" w:rsidRDefault="00BB115F" w:rsidP="00BC06CD">
      <w:pPr>
        <w:spacing w:line="276" w:lineRule="auto"/>
        <w:jc w:val="both"/>
        <w:rPr>
          <w:rFonts w:ascii="Arial" w:hAnsi="Arial" w:cs="Arial"/>
          <w:sz w:val="20"/>
        </w:rPr>
      </w:pPr>
      <w:r w:rsidRPr="00BB115F">
        <w:rPr>
          <w:rFonts w:ascii="Arial" w:hAnsi="Arial" w:cs="Arial"/>
          <w:sz w:val="20"/>
        </w:rPr>
        <w:t>"Conditions of the test" here refers to the combination of launch field elevation (launch altitude) and corresponding ambient air temperature. The test should be conducted at minimum specified burner fuel pressure.</w:t>
      </w:r>
    </w:p>
    <w:p w14:paraId="16FABD6A" w14:textId="77777777" w:rsidR="00BB115F" w:rsidRPr="00BB115F" w:rsidRDefault="00BB115F" w:rsidP="00BB115F">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223" w:name="CS_31HB.20_Controllability"/>
      <w:bookmarkStart w:id="1224" w:name="_bookmark512"/>
      <w:bookmarkStart w:id="1225" w:name="_Toc153137675"/>
      <w:bookmarkEnd w:id="1223"/>
      <w:bookmarkEnd w:id="1224"/>
      <w:r w:rsidRPr="00BB115F">
        <w:rPr>
          <w:rFonts w:ascii="Arial" w:eastAsia="Times New Roman" w:hAnsi="Arial" w:cs="Times New Roman"/>
          <w:b/>
          <w:iCs/>
          <w:color w:val="FFFFFF"/>
          <w:sz w:val="24"/>
        </w:rPr>
        <w:t>CS 31HB.20 Controllability</w:t>
      </w:r>
      <w:bookmarkEnd w:id="1225"/>
    </w:p>
    <w:p w14:paraId="2C413877" w14:textId="77777777" w:rsidR="00BB115F" w:rsidRPr="00BB115F" w:rsidRDefault="00BB115F" w:rsidP="00BC06CD">
      <w:pPr>
        <w:spacing w:line="276" w:lineRule="auto"/>
        <w:jc w:val="both"/>
        <w:rPr>
          <w:rFonts w:ascii="Arial" w:hAnsi="Arial" w:cs="Arial"/>
          <w:sz w:val="20"/>
        </w:rPr>
      </w:pPr>
      <w:r w:rsidRPr="00BB115F">
        <w:rPr>
          <w:rFonts w:ascii="Arial" w:hAnsi="Arial" w:cs="Arial"/>
          <w:sz w:val="20"/>
        </w:rPr>
        <w:t>The balloon must be safely controllable and manoeuvrable without requiring exceptional piloting skill. Associated operational limitations must be established and included in the Flight Manual. (See CS 31HB.81(b)(2))</w:t>
      </w:r>
    </w:p>
    <w:p w14:paraId="5D200678" w14:textId="77777777" w:rsidR="00BB115F" w:rsidRDefault="00BB115F" w:rsidP="00376E50">
      <w:pPr>
        <w:rPr>
          <w:rFonts w:ascii="Arial" w:hAnsi="Arial" w:cs="Arial"/>
          <w:sz w:val="20"/>
        </w:rPr>
      </w:pPr>
    </w:p>
    <w:p w14:paraId="30A5103F" w14:textId="77777777" w:rsidR="00A10AC2" w:rsidRDefault="00A10AC2" w:rsidP="00376E50">
      <w:pPr>
        <w:rPr>
          <w:rFonts w:ascii="Arial" w:hAnsi="Arial" w:cs="Arial"/>
          <w:sz w:val="20"/>
        </w:rPr>
      </w:pPr>
    </w:p>
    <w:p w14:paraId="476D14E2" w14:textId="77777777" w:rsidR="00A10AC2" w:rsidRDefault="00A10AC2" w:rsidP="00376E50">
      <w:pPr>
        <w:rPr>
          <w:rFonts w:ascii="Arial" w:hAnsi="Arial" w:cs="Arial"/>
          <w:sz w:val="20"/>
        </w:rPr>
      </w:pPr>
    </w:p>
    <w:p w14:paraId="3EC6ED54" w14:textId="77777777" w:rsidR="00A10AC2" w:rsidRDefault="00A10AC2" w:rsidP="00376E50">
      <w:pPr>
        <w:rPr>
          <w:rFonts w:ascii="Arial" w:hAnsi="Arial" w:cs="Arial"/>
          <w:sz w:val="20"/>
        </w:rPr>
      </w:pPr>
    </w:p>
    <w:p w14:paraId="708B9770" w14:textId="77777777" w:rsidR="00A10AC2" w:rsidRDefault="00A10AC2" w:rsidP="00376E50">
      <w:pPr>
        <w:rPr>
          <w:rFonts w:ascii="Arial" w:hAnsi="Arial" w:cs="Arial"/>
          <w:sz w:val="20"/>
        </w:rPr>
      </w:pPr>
    </w:p>
    <w:p w14:paraId="363DA16B" w14:textId="77777777" w:rsidR="00A10AC2" w:rsidRDefault="00A10AC2" w:rsidP="00376E50">
      <w:pPr>
        <w:rPr>
          <w:rFonts w:ascii="Arial" w:hAnsi="Arial" w:cs="Arial"/>
          <w:sz w:val="20"/>
        </w:rPr>
      </w:pPr>
    </w:p>
    <w:p w14:paraId="756657EA" w14:textId="77777777" w:rsidR="00A10AC2" w:rsidRDefault="00A10AC2" w:rsidP="00376E50">
      <w:pPr>
        <w:rPr>
          <w:rFonts w:ascii="Arial" w:hAnsi="Arial" w:cs="Arial"/>
          <w:sz w:val="20"/>
        </w:rPr>
      </w:pPr>
    </w:p>
    <w:p w14:paraId="7247A83C" w14:textId="77777777" w:rsidR="00A10AC2" w:rsidRDefault="00A10AC2" w:rsidP="00376E50">
      <w:pPr>
        <w:rPr>
          <w:rFonts w:ascii="Arial" w:hAnsi="Arial" w:cs="Arial"/>
          <w:sz w:val="20"/>
        </w:rPr>
      </w:pPr>
    </w:p>
    <w:p w14:paraId="420E0C4B" w14:textId="77777777" w:rsidR="00A10AC2" w:rsidRDefault="00A10AC2" w:rsidP="00376E50">
      <w:pPr>
        <w:rPr>
          <w:rFonts w:ascii="Arial" w:hAnsi="Arial" w:cs="Arial"/>
          <w:sz w:val="20"/>
        </w:rPr>
      </w:pPr>
    </w:p>
    <w:p w14:paraId="2FFA74E2" w14:textId="77777777" w:rsidR="00A10AC2" w:rsidRDefault="00A10AC2" w:rsidP="00376E50">
      <w:pPr>
        <w:rPr>
          <w:rFonts w:ascii="Arial" w:hAnsi="Arial" w:cs="Arial"/>
          <w:sz w:val="20"/>
        </w:rPr>
      </w:pPr>
    </w:p>
    <w:p w14:paraId="3662E190" w14:textId="77777777" w:rsidR="00A10AC2" w:rsidRDefault="00A10AC2" w:rsidP="00376E50">
      <w:pPr>
        <w:rPr>
          <w:rFonts w:ascii="Arial" w:hAnsi="Arial" w:cs="Arial"/>
          <w:sz w:val="20"/>
        </w:rPr>
      </w:pPr>
    </w:p>
    <w:p w14:paraId="0A741487" w14:textId="77777777" w:rsidR="00A10AC2" w:rsidRDefault="00A10AC2" w:rsidP="00376E50">
      <w:pPr>
        <w:rPr>
          <w:rFonts w:ascii="Arial" w:hAnsi="Arial" w:cs="Arial"/>
          <w:sz w:val="20"/>
        </w:rPr>
      </w:pPr>
    </w:p>
    <w:p w14:paraId="22442FE6" w14:textId="77777777" w:rsidR="00A10AC2" w:rsidRDefault="00A10AC2" w:rsidP="00376E50">
      <w:pPr>
        <w:rPr>
          <w:rFonts w:ascii="Arial" w:hAnsi="Arial" w:cs="Arial"/>
          <w:sz w:val="20"/>
        </w:rPr>
      </w:pPr>
    </w:p>
    <w:p w14:paraId="2CEE4E84" w14:textId="77777777" w:rsidR="00A10AC2" w:rsidRDefault="00A10AC2" w:rsidP="00376E50">
      <w:pPr>
        <w:rPr>
          <w:rFonts w:ascii="Arial" w:hAnsi="Arial" w:cs="Arial"/>
          <w:sz w:val="20"/>
        </w:rPr>
      </w:pPr>
    </w:p>
    <w:p w14:paraId="4D46EE20" w14:textId="77777777" w:rsidR="00A10AC2" w:rsidRDefault="00A10AC2" w:rsidP="00376E50">
      <w:pPr>
        <w:rPr>
          <w:rFonts w:ascii="Arial" w:hAnsi="Arial" w:cs="Arial"/>
          <w:sz w:val="20"/>
        </w:rPr>
      </w:pPr>
    </w:p>
    <w:p w14:paraId="352A291A" w14:textId="77777777" w:rsidR="00A10AC2" w:rsidRDefault="00A10AC2" w:rsidP="00376E50">
      <w:pPr>
        <w:rPr>
          <w:rFonts w:ascii="Arial" w:hAnsi="Arial" w:cs="Arial"/>
          <w:sz w:val="20"/>
        </w:rPr>
      </w:pPr>
    </w:p>
    <w:p w14:paraId="2D779E5E" w14:textId="77777777" w:rsidR="00A10AC2" w:rsidRDefault="00A10AC2" w:rsidP="00376E50">
      <w:pPr>
        <w:rPr>
          <w:rFonts w:ascii="Arial" w:hAnsi="Arial" w:cs="Arial"/>
          <w:sz w:val="20"/>
        </w:rPr>
      </w:pPr>
    </w:p>
    <w:p w14:paraId="61034068" w14:textId="77777777" w:rsidR="00A10AC2" w:rsidRDefault="00A10AC2" w:rsidP="00376E50">
      <w:pPr>
        <w:rPr>
          <w:rFonts w:ascii="Arial" w:hAnsi="Arial" w:cs="Arial"/>
          <w:sz w:val="20"/>
        </w:rPr>
      </w:pPr>
    </w:p>
    <w:p w14:paraId="54CAC1D4" w14:textId="77777777" w:rsidR="00A10AC2" w:rsidRDefault="00A10AC2" w:rsidP="00376E50">
      <w:pPr>
        <w:rPr>
          <w:rFonts w:ascii="Arial" w:hAnsi="Arial" w:cs="Arial"/>
          <w:sz w:val="20"/>
        </w:rPr>
      </w:pPr>
    </w:p>
    <w:p w14:paraId="017AB903" w14:textId="77777777" w:rsidR="00A10AC2" w:rsidRDefault="00A10AC2" w:rsidP="00376E50">
      <w:pPr>
        <w:rPr>
          <w:rFonts w:ascii="Arial" w:hAnsi="Arial" w:cs="Arial"/>
          <w:sz w:val="20"/>
        </w:rPr>
      </w:pPr>
    </w:p>
    <w:p w14:paraId="5C185725" w14:textId="77777777" w:rsidR="00A10AC2" w:rsidRDefault="00A10AC2" w:rsidP="00376E50">
      <w:pPr>
        <w:rPr>
          <w:rFonts w:ascii="Arial" w:hAnsi="Arial" w:cs="Arial"/>
          <w:sz w:val="20"/>
        </w:rPr>
      </w:pPr>
    </w:p>
    <w:p w14:paraId="2CD402FB" w14:textId="77777777" w:rsidR="00A10AC2" w:rsidRDefault="00A10AC2" w:rsidP="00376E50">
      <w:pPr>
        <w:rPr>
          <w:rFonts w:ascii="Arial" w:hAnsi="Arial" w:cs="Arial"/>
          <w:sz w:val="20"/>
        </w:rPr>
      </w:pPr>
    </w:p>
    <w:p w14:paraId="5C8322A3" w14:textId="77777777" w:rsidR="00A10AC2" w:rsidRDefault="00A10AC2" w:rsidP="00376E50">
      <w:pPr>
        <w:rPr>
          <w:rFonts w:ascii="Arial" w:hAnsi="Arial" w:cs="Arial"/>
          <w:sz w:val="20"/>
        </w:rPr>
      </w:pPr>
    </w:p>
    <w:p w14:paraId="2DD49DAF" w14:textId="77777777" w:rsidR="00A10AC2" w:rsidRDefault="00A10AC2" w:rsidP="00376E50">
      <w:pPr>
        <w:rPr>
          <w:rFonts w:ascii="Arial" w:hAnsi="Arial" w:cs="Arial"/>
          <w:sz w:val="20"/>
        </w:rPr>
      </w:pPr>
    </w:p>
    <w:p w14:paraId="50B20D94" w14:textId="77777777" w:rsidR="00A10AC2" w:rsidRDefault="00A10AC2" w:rsidP="00376E50">
      <w:pPr>
        <w:rPr>
          <w:rFonts w:ascii="Arial" w:hAnsi="Arial" w:cs="Arial"/>
          <w:sz w:val="20"/>
        </w:rPr>
      </w:pPr>
    </w:p>
    <w:p w14:paraId="59BFB9C9" w14:textId="77777777" w:rsidR="00A10AC2" w:rsidRDefault="00A10AC2" w:rsidP="00376E50">
      <w:pPr>
        <w:rPr>
          <w:rFonts w:ascii="Arial" w:hAnsi="Arial" w:cs="Arial"/>
          <w:sz w:val="20"/>
        </w:rPr>
      </w:pPr>
    </w:p>
    <w:p w14:paraId="2B4737C0" w14:textId="77777777" w:rsidR="00A10AC2" w:rsidRDefault="00A10AC2" w:rsidP="00376E50">
      <w:pPr>
        <w:rPr>
          <w:rFonts w:ascii="Arial" w:hAnsi="Arial" w:cs="Arial"/>
          <w:sz w:val="20"/>
        </w:rPr>
      </w:pPr>
    </w:p>
    <w:p w14:paraId="66329185" w14:textId="77777777" w:rsidR="00A10AC2" w:rsidRDefault="00A10AC2" w:rsidP="00376E50">
      <w:pPr>
        <w:rPr>
          <w:rFonts w:ascii="Arial" w:hAnsi="Arial" w:cs="Arial"/>
          <w:sz w:val="20"/>
        </w:rPr>
      </w:pPr>
    </w:p>
    <w:p w14:paraId="3D05942D" w14:textId="77777777" w:rsidR="00A10AC2" w:rsidRDefault="00A10AC2" w:rsidP="00376E50">
      <w:pPr>
        <w:rPr>
          <w:rFonts w:ascii="Arial" w:hAnsi="Arial" w:cs="Arial"/>
          <w:sz w:val="20"/>
        </w:rPr>
      </w:pPr>
    </w:p>
    <w:p w14:paraId="1A125BAA" w14:textId="77777777" w:rsidR="00A10AC2" w:rsidRDefault="00A10AC2" w:rsidP="00376E50">
      <w:pPr>
        <w:rPr>
          <w:rFonts w:ascii="Arial" w:hAnsi="Arial" w:cs="Arial"/>
          <w:sz w:val="20"/>
        </w:rPr>
      </w:pPr>
    </w:p>
    <w:p w14:paraId="4D535004" w14:textId="77777777" w:rsidR="00A10AC2" w:rsidRDefault="00A10AC2" w:rsidP="00376E50">
      <w:pPr>
        <w:rPr>
          <w:rFonts w:ascii="Arial" w:hAnsi="Arial" w:cs="Arial"/>
          <w:sz w:val="20"/>
        </w:rPr>
      </w:pPr>
    </w:p>
    <w:p w14:paraId="10317954" w14:textId="77777777" w:rsidR="00A10AC2" w:rsidRDefault="00A10AC2" w:rsidP="00376E50">
      <w:pPr>
        <w:rPr>
          <w:rFonts w:ascii="Arial" w:hAnsi="Arial" w:cs="Arial"/>
          <w:sz w:val="20"/>
        </w:rPr>
      </w:pPr>
    </w:p>
    <w:p w14:paraId="5508571E" w14:textId="77777777" w:rsidR="00A10AC2" w:rsidRDefault="00A10AC2" w:rsidP="00376E50">
      <w:pPr>
        <w:rPr>
          <w:rFonts w:ascii="Arial" w:hAnsi="Arial" w:cs="Arial"/>
          <w:sz w:val="20"/>
        </w:rPr>
      </w:pPr>
    </w:p>
    <w:p w14:paraId="3C02FE4E" w14:textId="77777777" w:rsidR="00A10AC2" w:rsidRDefault="00A10AC2" w:rsidP="00376E50">
      <w:pPr>
        <w:rPr>
          <w:rFonts w:ascii="Arial" w:hAnsi="Arial" w:cs="Arial"/>
          <w:sz w:val="20"/>
        </w:rPr>
      </w:pPr>
    </w:p>
    <w:p w14:paraId="59E2B919" w14:textId="77777777" w:rsidR="00A10AC2" w:rsidRDefault="00A10AC2" w:rsidP="00376E50">
      <w:pPr>
        <w:rPr>
          <w:rFonts w:ascii="Arial" w:hAnsi="Arial" w:cs="Arial"/>
          <w:sz w:val="20"/>
        </w:rPr>
      </w:pPr>
    </w:p>
    <w:p w14:paraId="69E3C7DA" w14:textId="77777777" w:rsidR="00A10AC2" w:rsidRDefault="00A10AC2" w:rsidP="00376E50">
      <w:pPr>
        <w:rPr>
          <w:rFonts w:ascii="Arial" w:hAnsi="Arial" w:cs="Arial"/>
          <w:sz w:val="20"/>
        </w:rPr>
      </w:pPr>
    </w:p>
    <w:p w14:paraId="6276D2E1" w14:textId="77777777" w:rsidR="00A10AC2" w:rsidRDefault="00A10AC2" w:rsidP="00376E50">
      <w:pPr>
        <w:rPr>
          <w:rFonts w:ascii="Arial" w:hAnsi="Arial" w:cs="Arial"/>
          <w:sz w:val="20"/>
        </w:rPr>
      </w:pPr>
    </w:p>
    <w:p w14:paraId="0384F608" w14:textId="77777777" w:rsidR="00A10AC2" w:rsidRDefault="00A10AC2" w:rsidP="00376E50">
      <w:pPr>
        <w:rPr>
          <w:rFonts w:ascii="Arial" w:hAnsi="Arial" w:cs="Arial"/>
          <w:sz w:val="20"/>
        </w:rPr>
      </w:pPr>
    </w:p>
    <w:p w14:paraId="1EDF40CA" w14:textId="77777777" w:rsidR="00A10AC2" w:rsidRDefault="00A10AC2" w:rsidP="00376E50">
      <w:pPr>
        <w:rPr>
          <w:rFonts w:ascii="Arial" w:hAnsi="Arial" w:cs="Arial"/>
          <w:sz w:val="20"/>
        </w:rPr>
      </w:pPr>
    </w:p>
    <w:p w14:paraId="75C53B7A" w14:textId="77777777" w:rsidR="00A10AC2" w:rsidRDefault="00A10AC2" w:rsidP="00376E50">
      <w:pPr>
        <w:rPr>
          <w:rFonts w:ascii="Arial" w:hAnsi="Arial" w:cs="Arial"/>
          <w:sz w:val="20"/>
        </w:rPr>
      </w:pPr>
    </w:p>
    <w:p w14:paraId="2A87BD12" w14:textId="77777777" w:rsidR="00A10AC2" w:rsidRDefault="00A10AC2" w:rsidP="00376E50">
      <w:pPr>
        <w:rPr>
          <w:rFonts w:ascii="Arial" w:hAnsi="Arial" w:cs="Arial"/>
          <w:sz w:val="20"/>
        </w:rPr>
      </w:pPr>
    </w:p>
    <w:p w14:paraId="346D17DB" w14:textId="77777777" w:rsidR="00A10AC2" w:rsidRDefault="00A10AC2" w:rsidP="00376E50">
      <w:pPr>
        <w:rPr>
          <w:rFonts w:ascii="Arial" w:hAnsi="Arial" w:cs="Arial"/>
          <w:sz w:val="20"/>
        </w:rPr>
      </w:pPr>
    </w:p>
    <w:p w14:paraId="58390EDD" w14:textId="77777777" w:rsidR="00A10AC2" w:rsidRDefault="00A10AC2" w:rsidP="00376E50">
      <w:pPr>
        <w:rPr>
          <w:rFonts w:ascii="Arial" w:hAnsi="Arial" w:cs="Arial"/>
          <w:sz w:val="20"/>
        </w:rPr>
      </w:pPr>
    </w:p>
    <w:p w14:paraId="1FFC1A1D" w14:textId="77777777" w:rsidR="00A10AC2" w:rsidRDefault="00A10AC2" w:rsidP="00376E50">
      <w:pPr>
        <w:rPr>
          <w:rFonts w:ascii="Arial" w:hAnsi="Arial" w:cs="Arial"/>
          <w:sz w:val="20"/>
        </w:rPr>
      </w:pPr>
    </w:p>
    <w:p w14:paraId="25829E9B" w14:textId="77777777" w:rsidR="00A10AC2" w:rsidRDefault="00A10AC2" w:rsidP="00376E50">
      <w:pPr>
        <w:rPr>
          <w:rFonts w:ascii="Arial" w:hAnsi="Arial" w:cs="Arial"/>
          <w:sz w:val="20"/>
        </w:rPr>
      </w:pPr>
    </w:p>
    <w:p w14:paraId="1F0B7282" w14:textId="77777777" w:rsidR="00A10AC2" w:rsidRDefault="00A10AC2" w:rsidP="00376E50">
      <w:pPr>
        <w:rPr>
          <w:rFonts w:ascii="Arial" w:hAnsi="Arial" w:cs="Arial"/>
          <w:sz w:val="20"/>
        </w:rPr>
      </w:pPr>
    </w:p>
    <w:p w14:paraId="1534A2AC" w14:textId="77777777" w:rsidR="00A10AC2" w:rsidRDefault="00A10AC2" w:rsidP="00376E50">
      <w:pPr>
        <w:rPr>
          <w:rFonts w:ascii="Arial" w:hAnsi="Arial" w:cs="Arial"/>
          <w:sz w:val="20"/>
        </w:rPr>
      </w:pPr>
    </w:p>
    <w:p w14:paraId="1F5151DD" w14:textId="77777777" w:rsidR="00A10AC2" w:rsidRDefault="00A10AC2" w:rsidP="00376E50">
      <w:pPr>
        <w:rPr>
          <w:rFonts w:ascii="Arial" w:hAnsi="Arial" w:cs="Arial"/>
          <w:sz w:val="20"/>
        </w:rPr>
      </w:pPr>
    </w:p>
    <w:p w14:paraId="0DBE59AA" w14:textId="77777777" w:rsidR="00A10AC2" w:rsidRDefault="00A10AC2" w:rsidP="00376E50">
      <w:pPr>
        <w:rPr>
          <w:rFonts w:ascii="Arial" w:hAnsi="Arial" w:cs="Arial"/>
          <w:sz w:val="20"/>
        </w:rPr>
      </w:pPr>
    </w:p>
    <w:p w14:paraId="3154065E" w14:textId="77777777" w:rsidR="00A10AC2" w:rsidRDefault="00A10AC2" w:rsidP="00376E50">
      <w:pPr>
        <w:rPr>
          <w:rFonts w:ascii="Arial" w:hAnsi="Arial" w:cs="Arial"/>
          <w:sz w:val="20"/>
        </w:rPr>
      </w:pPr>
    </w:p>
    <w:p w14:paraId="7F8516F1" w14:textId="77777777" w:rsidR="009138D1" w:rsidRPr="009138D1" w:rsidRDefault="009138D1" w:rsidP="009138D1">
      <w:pPr>
        <w:keepNext/>
        <w:keepLines/>
        <w:widowControl/>
        <w:autoSpaceDE/>
        <w:autoSpaceDN/>
        <w:spacing w:before="40" w:line="259" w:lineRule="auto"/>
        <w:jc w:val="center"/>
        <w:outlineLvl w:val="2"/>
        <w:rPr>
          <w:rFonts w:ascii="Arial" w:eastAsiaTheme="majorEastAsia" w:hAnsi="Arial" w:cs="Arial"/>
          <w:b/>
          <w:color w:val="00B0F0"/>
          <w:sz w:val="24"/>
          <w:szCs w:val="24"/>
        </w:rPr>
      </w:pPr>
      <w:bookmarkStart w:id="1226" w:name="_Toc153137676"/>
      <w:r w:rsidRPr="009138D1">
        <w:rPr>
          <w:rFonts w:ascii="Arial" w:eastAsiaTheme="majorEastAsia" w:hAnsi="Arial" w:cs="Arial"/>
          <w:b/>
          <w:color w:val="00B0F0"/>
          <w:sz w:val="24"/>
          <w:szCs w:val="24"/>
        </w:rPr>
        <w:lastRenderedPageBreak/>
        <w:t>SUBPART C – STRUCTURE</w:t>
      </w:r>
      <w:bookmarkEnd w:id="1226"/>
    </w:p>
    <w:p w14:paraId="2FCE10BD" w14:textId="77777777" w:rsidR="00E80F82" w:rsidRPr="00E80F82" w:rsidRDefault="00E80F82" w:rsidP="00E80F8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227" w:name="CS_31HB.21_Loads"/>
      <w:bookmarkStart w:id="1228" w:name="_bookmark514"/>
      <w:bookmarkStart w:id="1229" w:name="_Toc153137677"/>
      <w:bookmarkEnd w:id="1227"/>
      <w:bookmarkEnd w:id="1228"/>
      <w:r w:rsidRPr="00E80F82">
        <w:rPr>
          <w:rFonts w:ascii="Arial" w:eastAsia="Times New Roman" w:hAnsi="Arial" w:cs="Times New Roman"/>
          <w:b/>
          <w:iCs/>
          <w:color w:val="FFFFFF"/>
          <w:sz w:val="24"/>
        </w:rPr>
        <w:t>CS 31HB.21 Loads</w:t>
      </w:r>
      <w:bookmarkEnd w:id="1229"/>
    </w:p>
    <w:p w14:paraId="0F64FFCD" w14:textId="77777777" w:rsidR="00E80F82" w:rsidRPr="00E80F82" w:rsidRDefault="00E80F82" w:rsidP="00CB4344">
      <w:pPr>
        <w:spacing w:line="276" w:lineRule="auto"/>
        <w:jc w:val="both"/>
        <w:rPr>
          <w:rFonts w:ascii="Arial" w:hAnsi="Arial" w:cs="Arial"/>
          <w:sz w:val="20"/>
          <w:szCs w:val="20"/>
        </w:rPr>
      </w:pPr>
      <w:r w:rsidRPr="00E80F82">
        <w:rPr>
          <w:rFonts w:ascii="Arial" w:hAnsi="Arial" w:cs="Arial"/>
          <w:sz w:val="20"/>
          <w:szCs w:val="20"/>
        </w:rPr>
        <w:t>Strength requirements are specified in terms of:</w:t>
      </w:r>
    </w:p>
    <w:p w14:paraId="30B6067C" w14:textId="77777777" w:rsidR="00E80F82" w:rsidRPr="00E80F82" w:rsidRDefault="00E80F82" w:rsidP="00A56A31">
      <w:pPr>
        <w:pStyle w:val="ListParagraph"/>
        <w:numPr>
          <w:ilvl w:val="0"/>
          <w:numId w:val="374"/>
        </w:numPr>
        <w:tabs>
          <w:tab w:val="left" w:pos="707"/>
        </w:tabs>
        <w:spacing w:line="276" w:lineRule="auto"/>
        <w:ind w:right="26"/>
        <w:jc w:val="both"/>
        <w:rPr>
          <w:rFonts w:ascii="Arial" w:hAnsi="Arial" w:cs="Arial"/>
          <w:sz w:val="20"/>
          <w:szCs w:val="20"/>
        </w:rPr>
      </w:pPr>
      <w:r w:rsidRPr="00E80F82">
        <w:rPr>
          <w:rFonts w:ascii="Arial" w:hAnsi="Arial" w:cs="Arial"/>
          <w:sz w:val="20"/>
          <w:szCs w:val="20"/>
        </w:rPr>
        <w:t>limit</w:t>
      </w:r>
      <w:r w:rsidRPr="00E80F82">
        <w:rPr>
          <w:rFonts w:ascii="Arial" w:hAnsi="Arial" w:cs="Arial"/>
          <w:spacing w:val="4"/>
          <w:sz w:val="20"/>
          <w:szCs w:val="20"/>
        </w:rPr>
        <w:t xml:space="preserve"> </w:t>
      </w:r>
      <w:r w:rsidRPr="00E80F82">
        <w:rPr>
          <w:rFonts w:ascii="Arial" w:hAnsi="Arial" w:cs="Arial"/>
          <w:sz w:val="20"/>
          <w:szCs w:val="20"/>
        </w:rPr>
        <w:t>loads</w:t>
      </w:r>
      <w:r w:rsidRPr="00E80F82">
        <w:rPr>
          <w:rFonts w:ascii="Arial" w:hAnsi="Arial" w:cs="Arial"/>
          <w:spacing w:val="4"/>
          <w:sz w:val="20"/>
          <w:szCs w:val="20"/>
        </w:rPr>
        <w:t xml:space="preserve"> </w:t>
      </w:r>
      <w:r w:rsidRPr="00E80F82">
        <w:rPr>
          <w:rFonts w:ascii="Arial" w:hAnsi="Arial" w:cs="Arial"/>
          <w:sz w:val="20"/>
          <w:szCs w:val="20"/>
        </w:rPr>
        <w:t>that</w:t>
      </w:r>
      <w:r w:rsidRPr="00E80F82">
        <w:rPr>
          <w:rFonts w:ascii="Arial" w:hAnsi="Arial" w:cs="Arial"/>
          <w:spacing w:val="4"/>
          <w:sz w:val="20"/>
          <w:szCs w:val="20"/>
        </w:rPr>
        <w:t xml:space="preserve"> </w:t>
      </w:r>
      <w:r w:rsidRPr="00E80F82">
        <w:rPr>
          <w:rFonts w:ascii="Arial" w:hAnsi="Arial" w:cs="Arial"/>
          <w:sz w:val="20"/>
          <w:szCs w:val="20"/>
        </w:rPr>
        <w:t>are</w:t>
      </w:r>
      <w:r w:rsidRPr="00E80F82">
        <w:rPr>
          <w:rFonts w:ascii="Arial" w:hAnsi="Arial" w:cs="Arial"/>
          <w:spacing w:val="1"/>
          <w:sz w:val="20"/>
          <w:szCs w:val="20"/>
        </w:rPr>
        <w:t xml:space="preserve"> </w:t>
      </w:r>
      <w:r w:rsidRPr="00E80F82">
        <w:rPr>
          <w:rFonts w:ascii="Arial" w:hAnsi="Arial" w:cs="Arial"/>
          <w:sz w:val="20"/>
          <w:szCs w:val="20"/>
        </w:rPr>
        <w:t>the</w:t>
      </w:r>
      <w:r w:rsidRPr="00E80F82">
        <w:rPr>
          <w:rFonts w:ascii="Arial" w:hAnsi="Arial" w:cs="Arial"/>
          <w:spacing w:val="2"/>
          <w:sz w:val="20"/>
          <w:szCs w:val="20"/>
        </w:rPr>
        <w:t xml:space="preserve"> </w:t>
      </w:r>
      <w:r w:rsidRPr="00E80F82">
        <w:rPr>
          <w:rFonts w:ascii="Arial" w:hAnsi="Arial" w:cs="Arial"/>
          <w:sz w:val="20"/>
          <w:szCs w:val="20"/>
        </w:rPr>
        <w:t>maximum</w:t>
      </w:r>
      <w:r w:rsidRPr="00E80F82">
        <w:rPr>
          <w:rFonts w:ascii="Arial" w:hAnsi="Arial" w:cs="Arial"/>
          <w:spacing w:val="5"/>
          <w:sz w:val="20"/>
          <w:szCs w:val="20"/>
        </w:rPr>
        <w:t xml:space="preserve"> </w:t>
      </w:r>
      <w:r w:rsidRPr="00E80F82">
        <w:rPr>
          <w:rFonts w:ascii="Arial" w:hAnsi="Arial" w:cs="Arial"/>
          <w:sz w:val="20"/>
          <w:szCs w:val="20"/>
        </w:rPr>
        <w:t>loads</w:t>
      </w:r>
      <w:r w:rsidRPr="00E80F82">
        <w:rPr>
          <w:rFonts w:ascii="Arial" w:hAnsi="Arial" w:cs="Arial"/>
          <w:spacing w:val="4"/>
          <w:sz w:val="20"/>
          <w:szCs w:val="20"/>
        </w:rPr>
        <w:t xml:space="preserve"> </w:t>
      </w:r>
      <w:r w:rsidRPr="00E80F82">
        <w:rPr>
          <w:rFonts w:ascii="Arial" w:hAnsi="Arial" w:cs="Arial"/>
          <w:sz w:val="20"/>
          <w:szCs w:val="20"/>
        </w:rPr>
        <w:t>to</w:t>
      </w:r>
      <w:r w:rsidRPr="00E80F82">
        <w:rPr>
          <w:rFonts w:ascii="Arial" w:hAnsi="Arial" w:cs="Arial"/>
          <w:spacing w:val="6"/>
          <w:sz w:val="20"/>
          <w:szCs w:val="20"/>
        </w:rPr>
        <w:t xml:space="preserve"> </w:t>
      </w:r>
      <w:r w:rsidRPr="00E80F82">
        <w:rPr>
          <w:rFonts w:ascii="Arial" w:hAnsi="Arial" w:cs="Arial"/>
          <w:sz w:val="20"/>
          <w:szCs w:val="20"/>
        </w:rPr>
        <w:t>be</w:t>
      </w:r>
      <w:r w:rsidRPr="00E80F82">
        <w:rPr>
          <w:rFonts w:ascii="Arial" w:hAnsi="Arial" w:cs="Arial"/>
          <w:spacing w:val="2"/>
          <w:sz w:val="20"/>
          <w:szCs w:val="20"/>
        </w:rPr>
        <w:t xml:space="preserve"> </w:t>
      </w:r>
      <w:r w:rsidRPr="00E80F82">
        <w:rPr>
          <w:rFonts w:ascii="Arial" w:hAnsi="Arial" w:cs="Arial"/>
          <w:sz w:val="20"/>
          <w:szCs w:val="20"/>
        </w:rPr>
        <w:t>expected</w:t>
      </w:r>
      <w:r w:rsidRPr="00E80F82">
        <w:rPr>
          <w:rFonts w:ascii="Arial" w:hAnsi="Arial" w:cs="Arial"/>
          <w:spacing w:val="3"/>
          <w:sz w:val="20"/>
          <w:szCs w:val="20"/>
        </w:rPr>
        <w:t xml:space="preserve"> </w:t>
      </w:r>
      <w:r w:rsidRPr="00E80F82">
        <w:rPr>
          <w:rFonts w:ascii="Arial" w:hAnsi="Arial" w:cs="Arial"/>
          <w:sz w:val="20"/>
          <w:szCs w:val="20"/>
        </w:rPr>
        <w:t>in</w:t>
      </w:r>
      <w:r w:rsidRPr="00E80F82">
        <w:rPr>
          <w:rFonts w:ascii="Arial" w:hAnsi="Arial" w:cs="Arial"/>
          <w:spacing w:val="3"/>
          <w:sz w:val="20"/>
          <w:szCs w:val="20"/>
        </w:rPr>
        <w:t xml:space="preserve"> </w:t>
      </w:r>
      <w:r w:rsidRPr="00E80F82">
        <w:rPr>
          <w:rFonts w:ascii="Arial" w:hAnsi="Arial" w:cs="Arial"/>
          <w:sz w:val="20"/>
          <w:szCs w:val="20"/>
        </w:rPr>
        <w:t>service,</w:t>
      </w:r>
      <w:r w:rsidRPr="00E80F82">
        <w:rPr>
          <w:rFonts w:ascii="Arial" w:hAnsi="Arial" w:cs="Arial"/>
          <w:spacing w:val="2"/>
          <w:sz w:val="20"/>
          <w:szCs w:val="20"/>
        </w:rPr>
        <w:t xml:space="preserve"> </w:t>
      </w:r>
      <w:r w:rsidRPr="00E80F82">
        <w:rPr>
          <w:rFonts w:ascii="Arial" w:hAnsi="Arial" w:cs="Arial"/>
          <w:sz w:val="20"/>
          <w:szCs w:val="20"/>
        </w:rPr>
        <w:t>taking</w:t>
      </w:r>
      <w:r w:rsidRPr="00E80F82">
        <w:rPr>
          <w:rFonts w:ascii="Arial" w:hAnsi="Arial" w:cs="Arial"/>
          <w:spacing w:val="2"/>
          <w:sz w:val="20"/>
          <w:szCs w:val="20"/>
        </w:rPr>
        <w:t xml:space="preserve"> </w:t>
      </w:r>
      <w:r w:rsidRPr="00E80F82">
        <w:rPr>
          <w:rFonts w:ascii="Arial" w:hAnsi="Arial" w:cs="Arial"/>
          <w:sz w:val="20"/>
          <w:szCs w:val="20"/>
        </w:rPr>
        <w:t>into</w:t>
      </w:r>
      <w:r w:rsidRPr="00E80F82">
        <w:rPr>
          <w:rFonts w:ascii="Arial" w:hAnsi="Arial" w:cs="Arial"/>
          <w:spacing w:val="5"/>
          <w:sz w:val="20"/>
          <w:szCs w:val="20"/>
        </w:rPr>
        <w:t xml:space="preserve"> </w:t>
      </w:r>
      <w:r w:rsidRPr="00E80F82">
        <w:rPr>
          <w:rFonts w:ascii="Arial" w:hAnsi="Arial" w:cs="Arial"/>
          <w:sz w:val="20"/>
          <w:szCs w:val="20"/>
        </w:rPr>
        <w:t>account</w:t>
      </w:r>
      <w:r w:rsidRPr="00E80F82">
        <w:rPr>
          <w:rFonts w:ascii="Arial" w:hAnsi="Arial" w:cs="Arial"/>
          <w:spacing w:val="4"/>
          <w:sz w:val="20"/>
          <w:szCs w:val="20"/>
        </w:rPr>
        <w:t xml:space="preserve"> </w:t>
      </w:r>
      <w:r w:rsidRPr="00E80F82">
        <w:rPr>
          <w:rFonts w:ascii="Arial" w:hAnsi="Arial" w:cs="Arial"/>
          <w:sz w:val="20"/>
          <w:szCs w:val="20"/>
        </w:rPr>
        <w:t>the</w:t>
      </w:r>
      <w:r w:rsidRPr="00E80F82">
        <w:rPr>
          <w:rFonts w:ascii="Arial" w:hAnsi="Arial" w:cs="Arial"/>
          <w:spacing w:val="3"/>
          <w:sz w:val="20"/>
          <w:szCs w:val="20"/>
        </w:rPr>
        <w:t xml:space="preserve"> </w:t>
      </w:r>
      <w:r w:rsidRPr="00E80F82">
        <w:rPr>
          <w:rFonts w:ascii="Arial" w:hAnsi="Arial" w:cs="Arial"/>
          <w:sz w:val="20"/>
          <w:szCs w:val="20"/>
        </w:rPr>
        <w:t>load</w:t>
      </w:r>
      <w:r w:rsidRPr="00E80F82">
        <w:rPr>
          <w:rFonts w:ascii="Arial" w:hAnsi="Arial" w:cs="Arial"/>
          <w:spacing w:val="-47"/>
          <w:sz w:val="20"/>
          <w:szCs w:val="20"/>
        </w:rPr>
        <w:t xml:space="preserve"> </w:t>
      </w:r>
      <w:r w:rsidRPr="00E80F82">
        <w:rPr>
          <w:rFonts w:ascii="Arial" w:hAnsi="Arial" w:cs="Arial"/>
          <w:sz w:val="20"/>
          <w:szCs w:val="20"/>
        </w:rPr>
        <w:t>factors</w:t>
      </w:r>
      <w:r w:rsidRPr="00E80F82">
        <w:rPr>
          <w:rFonts w:ascii="Arial" w:hAnsi="Arial" w:cs="Arial"/>
          <w:spacing w:val="-3"/>
          <w:sz w:val="20"/>
          <w:szCs w:val="20"/>
        </w:rPr>
        <w:t xml:space="preserve"> </w:t>
      </w:r>
      <w:r w:rsidRPr="00E80F82">
        <w:rPr>
          <w:rFonts w:ascii="Arial" w:hAnsi="Arial" w:cs="Arial"/>
          <w:sz w:val="20"/>
          <w:szCs w:val="20"/>
        </w:rPr>
        <w:t>of</w:t>
      </w:r>
      <w:r w:rsidRPr="00E80F82">
        <w:rPr>
          <w:rFonts w:ascii="Arial" w:hAnsi="Arial" w:cs="Arial"/>
          <w:color w:val="0000FF"/>
          <w:spacing w:val="-2"/>
          <w:sz w:val="20"/>
          <w:szCs w:val="20"/>
        </w:rPr>
        <w:t xml:space="preserve"> </w:t>
      </w:r>
      <w:r w:rsidRPr="00E80F82">
        <w:rPr>
          <w:rFonts w:ascii="Arial" w:hAnsi="Arial" w:cs="Arial"/>
          <w:sz w:val="20"/>
          <w:szCs w:val="20"/>
        </w:rPr>
        <w:t>CS</w:t>
      </w:r>
      <w:r w:rsidRPr="00E80F82">
        <w:rPr>
          <w:rFonts w:ascii="Arial" w:hAnsi="Arial" w:cs="Arial"/>
          <w:spacing w:val="-3"/>
          <w:sz w:val="20"/>
          <w:szCs w:val="20"/>
        </w:rPr>
        <w:t xml:space="preserve"> </w:t>
      </w:r>
      <w:r w:rsidRPr="00E80F82">
        <w:rPr>
          <w:rFonts w:ascii="Arial" w:hAnsi="Arial" w:cs="Arial"/>
          <w:sz w:val="20"/>
          <w:szCs w:val="20"/>
        </w:rPr>
        <w:t>31HB.23</w:t>
      </w:r>
      <w:r w:rsidRPr="00E80F82">
        <w:rPr>
          <w:rFonts w:ascii="Arial" w:hAnsi="Arial" w:cs="Arial"/>
          <w:spacing w:val="2"/>
          <w:sz w:val="20"/>
          <w:szCs w:val="20"/>
        </w:rPr>
        <w:t xml:space="preserve"> </w:t>
      </w:r>
      <w:r w:rsidRPr="00E80F82">
        <w:rPr>
          <w:rFonts w:ascii="Arial" w:hAnsi="Arial" w:cs="Arial"/>
          <w:sz w:val="20"/>
          <w:szCs w:val="20"/>
        </w:rPr>
        <w:t>and</w:t>
      </w:r>
    </w:p>
    <w:p w14:paraId="52238090" w14:textId="77777777" w:rsidR="00A10AC2" w:rsidRPr="00BC06CD" w:rsidRDefault="00E80F82" w:rsidP="00A56A31">
      <w:pPr>
        <w:pStyle w:val="ListParagraph"/>
        <w:numPr>
          <w:ilvl w:val="0"/>
          <w:numId w:val="374"/>
        </w:numPr>
        <w:tabs>
          <w:tab w:val="left" w:pos="707"/>
        </w:tabs>
        <w:spacing w:before="121" w:line="276" w:lineRule="auto"/>
        <w:jc w:val="both"/>
        <w:rPr>
          <w:rFonts w:ascii="Arial" w:hAnsi="Arial" w:cs="Arial"/>
          <w:sz w:val="20"/>
          <w:szCs w:val="20"/>
        </w:rPr>
      </w:pPr>
      <w:r w:rsidRPr="00E80F82">
        <w:rPr>
          <w:rFonts w:ascii="Arial" w:hAnsi="Arial" w:cs="Arial"/>
          <w:sz w:val="20"/>
          <w:szCs w:val="20"/>
        </w:rPr>
        <w:t>ultimate loads</w:t>
      </w:r>
      <w:r w:rsidRPr="00E80F82">
        <w:rPr>
          <w:rFonts w:ascii="Arial" w:hAnsi="Arial" w:cs="Arial"/>
          <w:spacing w:val="-1"/>
          <w:sz w:val="20"/>
          <w:szCs w:val="20"/>
        </w:rPr>
        <w:t xml:space="preserve"> </w:t>
      </w:r>
      <w:r w:rsidRPr="00E80F82">
        <w:rPr>
          <w:rFonts w:ascii="Arial" w:hAnsi="Arial" w:cs="Arial"/>
          <w:sz w:val="20"/>
          <w:szCs w:val="20"/>
        </w:rPr>
        <w:t>that</w:t>
      </w:r>
      <w:r w:rsidRPr="00E80F82">
        <w:rPr>
          <w:rFonts w:ascii="Arial" w:hAnsi="Arial" w:cs="Arial"/>
          <w:spacing w:val="-4"/>
          <w:sz w:val="20"/>
          <w:szCs w:val="20"/>
        </w:rPr>
        <w:t xml:space="preserve"> </w:t>
      </w:r>
      <w:r w:rsidRPr="00E80F82">
        <w:rPr>
          <w:rFonts w:ascii="Arial" w:hAnsi="Arial" w:cs="Arial"/>
          <w:sz w:val="20"/>
          <w:szCs w:val="20"/>
        </w:rPr>
        <w:t>are</w:t>
      </w:r>
      <w:r w:rsidRPr="00E80F82">
        <w:rPr>
          <w:rFonts w:ascii="Arial" w:hAnsi="Arial" w:cs="Arial"/>
          <w:spacing w:val="1"/>
          <w:sz w:val="20"/>
          <w:szCs w:val="20"/>
        </w:rPr>
        <w:t xml:space="preserve"> </w:t>
      </w:r>
      <w:r w:rsidRPr="00E80F82">
        <w:rPr>
          <w:rFonts w:ascii="Arial" w:hAnsi="Arial" w:cs="Arial"/>
          <w:sz w:val="20"/>
          <w:szCs w:val="20"/>
        </w:rPr>
        <w:t>limit</w:t>
      </w:r>
      <w:r w:rsidRPr="00E80F82">
        <w:rPr>
          <w:rFonts w:ascii="Arial" w:hAnsi="Arial" w:cs="Arial"/>
          <w:spacing w:val="-1"/>
          <w:sz w:val="20"/>
          <w:szCs w:val="20"/>
        </w:rPr>
        <w:t xml:space="preserve"> </w:t>
      </w:r>
      <w:r w:rsidRPr="00E80F82">
        <w:rPr>
          <w:rFonts w:ascii="Arial" w:hAnsi="Arial" w:cs="Arial"/>
          <w:sz w:val="20"/>
          <w:szCs w:val="20"/>
        </w:rPr>
        <w:t>loads</w:t>
      </w:r>
      <w:r w:rsidRPr="00E80F82">
        <w:rPr>
          <w:rFonts w:ascii="Arial" w:hAnsi="Arial" w:cs="Arial"/>
          <w:spacing w:val="-4"/>
          <w:sz w:val="20"/>
          <w:szCs w:val="20"/>
        </w:rPr>
        <w:t xml:space="preserve"> </w:t>
      </w:r>
      <w:r w:rsidRPr="00E80F82">
        <w:rPr>
          <w:rFonts w:ascii="Arial" w:hAnsi="Arial" w:cs="Arial"/>
          <w:sz w:val="20"/>
          <w:szCs w:val="20"/>
        </w:rPr>
        <w:t>multiplied</w:t>
      </w:r>
      <w:r w:rsidRPr="00E80F82">
        <w:rPr>
          <w:rFonts w:ascii="Arial" w:hAnsi="Arial" w:cs="Arial"/>
          <w:spacing w:val="-4"/>
          <w:sz w:val="20"/>
          <w:szCs w:val="20"/>
        </w:rPr>
        <w:t xml:space="preserve"> </w:t>
      </w:r>
      <w:r w:rsidRPr="00E80F82">
        <w:rPr>
          <w:rFonts w:ascii="Arial" w:hAnsi="Arial" w:cs="Arial"/>
          <w:sz w:val="20"/>
          <w:szCs w:val="20"/>
        </w:rPr>
        <w:t>by factors</w:t>
      </w:r>
      <w:r w:rsidRPr="00E80F82">
        <w:rPr>
          <w:rFonts w:ascii="Arial" w:hAnsi="Arial" w:cs="Arial"/>
          <w:spacing w:val="-1"/>
          <w:sz w:val="20"/>
          <w:szCs w:val="20"/>
        </w:rPr>
        <w:t xml:space="preserve"> </w:t>
      </w:r>
      <w:r w:rsidRPr="00E80F82">
        <w:rPr>
          <w:rFonts w:ascii="Arial" w:hAnsi="Arial" w:cs="Arial"/>
          <w:sz w:val="20"/>
          <w:szCs w:val="20"/>
        </w:rPr>
        <w:t>of</w:t>
      </w:r>
      <w:r w:rsidRPr="00E80F82">
        <w:rPr>
          <w:rFonts w:ascii="Arial" w:hAnsi="Arial" w:cs="Arial"/>
          <w:spacing w:val="-3"/>
          <w:sz w:val="20"/>
          <w:szCs w:val="20"/>
        </w:rPr>
        <w:t xml:space="preserve"> </w:t>
      </w:r>
      <w:r w:rsidRPr="00E80F82">
        <w:rPr>
          <w:rFonts w:ascii="Arial" w:hAnsi="Arial" w:cs="Arial"/>
          <w:sz w:val="20"/>
          <w:szCs w:val="20"/>
        </w:rPr>
        <w:t>safety</w:t>
      </w:r>
      <w:r w:rsidRPr="00E80F82">
        <w:rPr>
          <w:rFonts w:ascii="Arial" w:hAnsi="Arial" w:cs="Arial"/>
          <w:spacing w:val="-2"/>
          <w:sz w:val="20"/>
          <w:szCs w:val="20"/>
        </w:rPr>
        <w:t xml:space="preserve"> </w:t>
      </w:r>
      <w:r w:rsidRPr="00E80F82">
        <w:rPr>
          <w:rFonts w:ascii="Arial" w:hAnsi="Arial" w:cs="Arial"/>
          <w:sz w:val="20"/>
          <w:szCs w:val="20"/>
        </w:rPr>
        <w:t>of</w:t>
      </w:r>
      <w:r w:rsidRPr="00E80F82">
        <w:rPr>
          <w:rFonts w:ascii="Arial" w:hAnsi="Arial" w:cs="Arial"/>
          <w:color w:val="0000FF"/>
          <w:spacing w:val="2"/>
          <w:sz w:val="20"/>
          <w:szCs w:val="20"/>
        </w:rPr>
        <w:t xml:space="preserve"> </w:t>
      </w:r>
      <w:r w:rsidRPr="00E80F82">
        <w:rPr>
          <w:rFonts w:ascii="Arial" w:hAnsi="Arial" w:cs="Arial"/>
          <w:sz w:val="20"/>
          <w:szCs w:val="20"/>
        </w:rPr>
        <w:t>CS</w:t>
      </w:r>
      <w:r w:rsidRPr="00E80F82">
        <w:rPr>
          <w:rFonts w:ascii="Arial" w:hAnsi="Arial" w:cs="Arial"/>
          <w:spacing w:val="-4"/>
          <w:sz w:val="20"/>
          <w:szCs w:val="20"/>
        </w:rPr>
        <w:t xml:space="preserve"> </w:t>
      </w:r>
      <w:r w:rsidRPr="00E80F82">
        <w:rPr>
          <w:rFonts w:ascii="Arial" w:hAnsi="Arial" w:cs="Arial"/>
          <w:sz w:val="20"/>
          <w:szCs w:val="20"/>
        </w:rPr>
        <w:t>31HB.25.</w:t>
      </w:r>
    </w:p>
    <w:p w14:paraId="3707F306" w14:textId="77777777" w:rsidR="00BC06CD" w:rsidRPr="00BC06CD" w:rsidRDefault="00BC06CD" w:rsidP="00CB4344">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230" w:name="CS_31HB.23_Load_factors"/>
      <w:bookmarkStart w:id="1231" w:name="_bookmark515"/>
      <w:bookmarkStart w:id="1232" w:name="_Toc153137678"/>
      <w:bookmarkEnd w:id="1230"/>
      <w:bookmarkEnd w:id="1231"/>
      <w:r w:rsidRPr="00BC06CD">
        <w:rPr>
          <w:rFonts w:ascii="Arial" w:eastAsia="Times New Roman" w:hAnsi="Arial" w:cs="Times New Roman"/>
          <w:b/>
          <w:iCs/>
          <w:color w:val="FFFFFF"/>
          <w:sz w:val="24"/>
        </w:rPr>
        <w:t>CS 31HB.23 Load factors</w:t>
      </w:r>
      <w:bookmarkEnd w:id="1232"/>
    </w:p>
    <w:p w14:paraId="4702F76F" w14:textId="77777777" w:rsidR="00BC06CD" w:rsidRPr="00BC06CD" w:rsidRDefault="00BC06CD" w:rsidP="00A56A31">
      <w:pPr>
        <w:numPr>
          <w:ilvl w:val="0"/>
          <w:numId w:val="375"/>
        </w:numPr>
        <w:spacing w:line="276" w:lineRule="auto"/>
        <w:jc w:val="both"/>
        <w:rPr>
          <w:rFonts w:ascii="Arial" w:hAnsi="Arial" w:cs="Arial"/>
          <w:sz w:val="20"/>
        </w:rPr>
      </w:pPr>
      <w:r w:rsidRPr="00BC06CD">
        <w:rPr>
          <w:rFonts w:ascii="Arial" w:hAnsi="Arial" w:cs="Arial"/>
          <w:sz w:val="20"/>
        </w:rPr>
        <w:t>Flight load factor. In determining limit loads, the limit load factor must be at least 1·4, except for (b).</w:t>
      </w:r>
    </w:p>
    <w:p w14:paraId="57DB3763" w14:textId="77777777" w:rsidR="00BC06CD" w:rsidRPr="00BC06CD" w:rsidRDefault="00BC06CD" w:rsidP="00A56A31">
      <w:pPr>
        <w:numPr>
          <w:ilvl w:val="0"/>
          <w:numId w:val="375"/>
        </w:numPr>
        <w:spacing w:line="276" w:lineRule="auto"/>
        <w:jc w:val="both"/>
        <w:rPr>
          <w:rFonts w:ascii="Arial" w:hAnsi="Arial" w:cs="Arial"/>
          <w:sz w:val="20"/>
        </w:rPr>
      </w:pPr>
      <w:r w:rsidRPr="00BC06CD">
        <w:rPr>
          <w:rFonts w:ascii="Arial" w:hAnsi="Arial" w:cs="Arial"/>
          <w:sz w:val="20"/>
        </w:rPr>
        <w:t>Landing load factor. For all parts belonging to the balloon’s suspension system, including the envelope to suspension system pick up points, limit load must be determined using a limit load factor of at least 3·0.</w:t>
      </w:r>
    </w:p>
    <w:p w14:paraId="0FE8B78C" w14:textId="77777777" w:rsidR="00C80CBD" w:rsidRPr="000B69C7" w:rsidRDefault="00C80CBD" w:rsidP="00C80CBD">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0"/>
          <w:szCs w:val="20"/>
        </w:rPr>
      </w:pPr>
      <w:bookmarkStart w:id="1233" w:name="CS_31HB.25_Factors_of_safety"/>
      <w:bookmarkStart w:id="1234" w:name="_bookmark516"/>
      <w:bookmarkStart w:id="1235" w:name="_Toc153137679"/>
      <w:bookmarkEnd w:id="1233"/>
      <w:bookmarkEnd w:id="1234"/>
      <w:r w:rsidRPr="00C80CBD">
        <w:rPr>
          <w:rFonts w:ascii="Arial" w:eastAsia="Times New Roman" w:hAnsi="Arial" w:cs="Times New Roman"/>
          <w:b/>
          <w:iCs/>
          <w:color w:val="FFFFFF"/>
          <w:sz w:val="24"/>
        </w:rPr>
        <w:t xml:space="preserve">CS </w:t>
      </w:r>
      <w:r w:rsidRPr="000B69C7">
        <w:rPr>
          <w:rFonts w:ascii="Arial" w:eastAsia="Times New Roman" w:hAnsi="Arial" w:cs="Times New Roman"/>
          <w:b/>
          <w:iCs/>
          <w:color w:val="FFFFFF"/>
          <w:sz w:val="20"/>
          <w:szCs w:val="20"/>
        </w:rPr>
        <w:t>31HB.25 Factors of safety</w:t>
      </w:r>
      <w:bookmarkEnd w:id="1235"/>
    </w:p>
    <w:p w14:paraId="6DD61C85" w14:textId="77777777" w:rsidR="00C80CBD" w:rsidRPr="000B69C7" w:rsidRDefault="00C80CBD" w:rsidP="00A56A31">
      <w:pPr>
        <w:numPr>
          <w:ilvl w:val="0"/>
          <w:numId w:val="376"/>
        </w:numPr>
        <w:rPr>
          <w:rFonts w:ascii="Arial" w:hAnsi="Arial" w:cs="Arial"/>
          <w:sz w:val="20"/>
          <w:szCs w:val="20"/>
        </w:rPr>
      </w:pPr>
      <w:r w:rsidRPr="000B69C7">
        <w:rPr>
          <w:rFonts w:ascii="Arial" w:hAnsi="Arial" w:cs="Arial"/>
          <w:sz w:val="20"/>
          <w:szCs w:val="20"/>
        </w:rPr>
        <w:t>A factor of safety must be used in the balloon design as provided in the table.</w:t>
      </w:r>
    </w:p>
    <w:p w14:paraId="4A111007" w14:textId="77777777" w:rsidR="00C80CBD" w:rsidRPr="000B69C7" w:rsidRDefault="00C80CBD" w:rsidP="00C80CBD">
      <w:pPr>
        <w:ind w:left="706"/>
        <w:rPr>
          <w:rFonts w:ascii="Arial" w:hAnsi="Arial" w:cs="Arial"/>
          <w:sz w:val="20"/>
          <w:szCs w:val="20"/>
        </w:rPr>
      </w:pPr>
    </w:p>
    <w:tbl>
      <w:tblPr>
        <w:tblStyle w:val="TableGrid31"/>
        <w:tblW w:w="0" w:type="auto"/>
        <w:tblInd w:w="392" w:type="dxa"/>
        <w:tblLayout w:type="fixed"/>
        <w:tblLook w:val="01E0" w:firstRow="1" w:lastRow="1" w:firstColumn="1" w:lastColumn="1" w:noHBand="0" w:noVBand="0"/>
      </w:tblPr>
      <w:tblGrid>
        <w:gridCol w:w="5005"/>
        <w:gridCol w:w="3397"/>
      </w:tblGrid>
      <w:tr w:rsidR="00C80CBD" w:rsidRPr="000B69C7" w14:paraId="5D6435B3" w14:textId="77777777" w:rsidTr="00137C40">
        <w:trPr>
          <w:trHeight w:val="203"/>
        </w:trPr>
        <w:tc>
          <w:tcPr>
            <w:tcW w:w="5005" w:type="dxa"/>
            <w:shd w:val="clear" w:color="auto" w:fill="F2F2F2" w:themeFill="background1" w:themeFillShade="F2"/>
          </w:tcPr>
          <w:p w14:paraId="0BA0C42C" w14:textId="77777777" w:rsidR="00C80CBD" w:rsidRPr="000B69C7" w:rsidRDefault="00C80CBD">
            <w:pPr>
              <w:pStyle w:val="TableParagraph"/>
              <w:ind w:left="0"/>
              <w:rPr>
                <w:rFonts w:ascii="Arial" w:hAnsi="Arial" w:cs="Arial"/>
              </w:rPr>
            </w:pPr>
          </w:p>
        </w:tc>
        <w:tc>
          <w:tcPr>
            <w:tcW w:w="3397" w:type="dxa"/>
            <w:shd w:val="clear" w:color="auto" w:fill="F2F2F2" w:themeFill="background1" w:themeFillShade="F2"/>
            <w:hideMark/>
          </w:tcPr>
          <w:p w14:paraId="3192877B" w14:textId="77777777" w:rsidR="00C80CBD" w:rsidRPr="000B69C7" w:rsidRDefault="00082B56" w:rsidP="00082B56">
            <w:pPr>
              <w:pStyle w:val="TableParagraph"/>
              <w:tabs>
                <w:tab w:val="left" w:pos="0"/>
              </w:tabs>
              <w:spacing w:before="1" w:line="225" w:lineRule="exact"/>
              <w:ind w:left="1460" w:right="597" w:hanging="848"/>
              <w:jc w:val="center"/>
              <w:rPr>
                <w:rFonts w:ascii="Arial" w:hAnsi="Arial" w:cs="Arial"/>
                <w:b/>
              </w:rPr>
            </w:pPr>
            <w:r w:rsidRPr="000B69C7">
              <w:rPr>
                <w:rFonts w:ascii="Arial" w:hAnsi="Arial" w:cs="Arial"/>
                <w:b/>
              </w:rPr>
              <w:t xml:space="preserve">   </w:t>
            </w:r>
            <w:r w:rsidR="00C80CBD" w:rsidRPr="000B69C7">
              <w:rPr>
                <w:rFonts w:ascii="Arial" w:hAnsi="Arial" w:cs="Arial"/>
                <w:b/>
              </w:rPr>
              <w:t>Safety</w:t>
            </w:r>
            <w:r w:rsidR="00C80CBD" w:rsidRPr="000B69C7">
              <w:rPr>
                <w:rFonts w:ascii="Arial" w:hAnsi="Arial" w:cs="Arial"/>
                <w:b/>
                <w:spacing w:val="-3"/>
              </w:rPr>
              <w:t xml:space="preserve"> </w:t>
            </w:r>
            <w:r w:rsidR="00C80CBD" w:rsidRPr="000B69C7">
              <w:rPr>
                <w:rFonts w:ascii="Arial" w:hAnsi="Arial" w:cs="Arial"/>
                <w:b/>
              </w:rPr>
              <w:t>factor</w:t>
            </w:r>
          </w:p>
        </w:tc>
      </w:tr>
      <w:tr w:rsidR="00C80CBD" w:rsidRPr="000B69C7" w14:paraId="0930DC85" w14:textId="77777777" w:rsidTr="00137C40">
        <w:trPr>
          <w:trHeight w:val="199"/>
        </w:trPr>
        <w:tc>
          <w:tcPr>
            <w:tcW w:w="5005" w:type="dxa"/>
            <w:shd w:val="clear" w:color="auto" w:fill="F2F2F2" w:themeFill="background1" w:themeFillShade="F2"/>
            <w:hideMark/>
          </w:tcPr>
          <w:p w14:paraId="686D00D2" w14:textId="77777777" w:rsidR="00C80CBD" w:rsidRPr="000B69C7" w:rsidRDefault="00C80CBD">
            <w:pPr>
              <w:pStyle w:val="TableParagraph"/>
              <w:spacing w:line="223" w:lineRule="exact"/>
              <w:ind w:left="86"/>
              <w:rPr>
                <w:rFonts w:ascii="Arial" w:hAnsi="Arial" w:cs="Arial"/>
                <w:b/>
              </w:rPr>
            </w:pPr>
            <w:r w:rsidRPr="000B69C7">
              <w:rPr>
                <w:rFonts w:ascii="Arial" w:hAnsi="Arial" w:cs="Arial"/>
                <w:b/>
              </w:rPr>
              <w:t>Envelope</w:t>
            </w:r>
          </w:p>
        </w:tc>
        <w:tc>
          <w:tcPr>
            <w:tcW w:w="3397" w:type="dxa"/>
            <w:hideMark/>
          </w:tcPr>
          <w:p w14:paraId="38C56E9A" w14:textId="77777777" w:rsidR="00C80CBD" w:rsidRPr="000B69C7" w:rsidRDefault="00C80CBD" w:rsidP="00082B56">
            <w:pPr>
              <w:pStyle w:val="TableParagraph"/>
              <w:spacing w:line="223" w:lineRule="exact"/>
              <w:ind w:left="1459" w:right="417" w:hanging="937"/>
              <w:jc w:val="center"/>
              <w:rPr>
                <w:rFonts w:ascii="Arial" w:hAnsi="Arial" w:cs="Arial"/>
              </w:rPr>
            </w:pPr>
            <w:r w:rsidRPr="000B69C7">
              <w:rPr>
                <w:rFonts w:ascii="Arial" w:hAnsi="Arial" w:cs="Arial"/>
              </w:rPr>
              <w:t>5.00</w:t>
            </w:r>
          </w:p>
        </w:tc>
      </w:tr>
      <w:tr w:rsidR="00C80CBD" w:rsidRPr="000B69C7" w14:paraId="20D752DC" w14:textId="77777777" w:rsidTr="00137C40">
        <w:trPr>
          <w:trHeight w:val="202"/>
        </w:trPr>
        <w:tc>
          <w:tcPr>
            <w:tcW w:w="5005" w:type="dxa"/>
            <w:shd w:val="clear" w:color="auto" w:fill="F2F2F2" w:themeFill="background1" w:themeFillShade="F2"/>
            <w:hideMark/>
          </w:tcPr>
          <w:p w14:paraId="3288943D" w14:textId="77777777" w:rsidR="00C80CBD" w:rsidRPr="000B69C7" w:rsidRDefault="00C80CBD" w:rsidP="00082B56">
            <w:pPr>
              <w:pStyle w:val="TableParagraph"/>
              <w:spacing w:line="225" w:lineRule="exact"/>
              <w:ind w:left="86" w:right="-647"/>
              <w:rPr>
                <w:rFonts w:ascii="Arial" w:hAnsi="Arial" w:cs="Arial"/>
                <w:b/>
              </w:rPr>
            </w:pPr>
            <w:r w:rsidRPr="000B69C7">
              <w:rPr>
                <w:rFonts w:ascii="Arial" w:hAnsi="Arial" w:cs="Arial"/>
                <w:b/>
              </w:rPr>
              <w:t>Suspension</w:t>
            </w:r>
            <w:r w:rsidRPr="000B69C7">
              <w:rPr>
                <w:rFonts w:ascii="Arial" w:hAnsi="Arial" w:cs="Arial"/>
                <w:b/>
                <w:spacing w:val="-5"/>
              </w:rPr>
              <w:t xml:space="preserve"> </w:t>
            </w:r>
            <w:r w:rsidRPr="000B69C7">
              <w:rPr>
                <w:rFonts w:ascii="Arial" w:hAnsi="Arial" w:cs="Arial"/>
                <w:b/>
              </w:rPr>
              <w:t>components</w:t>
            </w:r>
            <w:r w:rsidRPr="000B69C7">
              <w:rPr>
                <w:rFonts w:ascii="Arial" w:hAnsi="Arial" w:cs="Arial"/>
                <w:b/>
                <w:spacing w:val="-4"/>
              </w:rPr>
              <w:t xml:space="preserve"> </w:t>
            </w:r>
            <w:r w:rsidRPr="000B69C7">
              <w:rPr>
                <w:rFonts w:ascii="Arial" w:hAnsi="Arial" w:cs="Arial"/>
                <w:b/>
              </w:rPr>
              <w:t>(fibrous</w:t>
            </w:r>
            <w:r w:rsidRPr="000B69C7">
              <w:rPr>
                <w:rFonts w:ascii="Arial" w:hAnsi="Arial" w:cs="Arial"/>
                <w:b/>
                <w:spacing w:val="-5"/>
              </w:rPr>
              <w:t xml:space="preserve"> </w:t>
            </w:r>
            <w:r w:rsidRPr="000B69C7">
              <w:rPr>
                <w:rFonts w:ascii="Arial" w:hAnsi="Arial" w:cs="Arial"/>
                <w:b/>
              </w:rPr>
              <w:t>or</w:t>
            </w:r>
            <w:r w:rsidRPr="000B69C7">
              <w:rPr>
                <w:rFonts w:ascii="Arial" w:hAnsi="Arial" w:cs="Arial"/>
                <w:b/>
                <w:spacing w:val="-4"/>
              </w:rPr>
              <w:t xml:space="preserve"> </w:t>
            </w:r>
            <w:r w:rsidRPr="000B69C7">
              <w:rPr>
                <w:rFonts w:ascii="Arial" w:hAnsi="Arial" w:cs="Arial"/>
                <w:b/>
              </w:rPr>
              <w:t>non-metallic)</w:t>
            </w:r>
          </w:p>
        </w:tc>
        <w:tc>
          <w:tcPr>
            <w:tcW w:w="3397" w:type="dxa"/>
            <w:hideMark/>
          </w:tcPr>
          <w:p w14:paraId="3CABAB4C" w14:textId="77777777" w:rsidR="00C80CBD" w:rsidRPr="000B69C7" w:rsidRDefault="00C80CBD" w:rsidP="00082B56">
            <w:pPr>
              <w:pStyle w:val="TableParagraph"/>
              <w:spacing w:line="225" w:lineRule="exact"/>
              <w:ind w:left="1459" w:right="417" w:hanging="937"/>
              <w:jc w:val="center"/>
              <w:rPr>
                <w:rFonts w:ascii="Arial" w:hAnsi="Arial" w:cs="Arial"/>
              </w:rPr>
            </w:pPr>
            <w:r w:rsidRPr="000B69C7">
              <w:rPr>
                <w:rFonts w:ascii="Arial" w:hAnsi="Arial" w:cs="Arial"/>
              </w:rPr>
              <w:t>2.25</w:t>
            </w:r>
          </w:p>
        </w:tc>
      </w:tr>
      <w:tr w:rsidR="00C80CBD" w:rsidRPr="000B69C7" w14:paraId="2B3CC7F8" w14:textId="77777777" w:rsidTr="00137C40">
        <w:trPr>
          <w:trHeight w:val="200"/>
        </w:trPr>
        <w:tc>
          <w:tcPr>
            <w:tcW w:w="5005" w:type="dxa"/>
            <w:shd w:val="clear" w:color="auto" w:fill="F2F2F2" w:themeFill="background1" w:themeFillShade="F2"/>
            <w:hideMark/>
          </w:tcPr>
          <w:p w14:paraId="7F928A00" w14:textId="77777777" w:rsidR="00C80CBD" w:rsidRPr="000B69C7" w:rsidRDefault="00C80CBD">
            <w:pPr>
              <w:pStyle w:val="TableParagraph"/>
              <w:spacing w:line="223" w:lineRule="exact"/>
              <w:ind w:left="86"/>
              <w:rPr>
                <w:rFonts w:ascii="Arial" w:hAnsi="Arial" w:cs="Arial"/>
                <w:b/>
              </w:rPr>
            </w:pPr>
            <w:r w:rsidRPr="000B69C7">
              <w:rPr>
                <w:rFonts w:ascii="Arial" w:hAnsi="Arial" w:cs="Arial"/>
                <w:b/>
              </w:rPr>
              <w:t>Suspension</w:t>
            </w:r>
            <w:r w:rsidRPr="000B69C7">
              <w:rPr>
                <w:rFonts w:ascii="Arial" w:hAnsi="Arial" w:cs="Arial"/>
                <w:b/>
                <w:spacing w:val="-6"/>
              </w:rPr>
              <w:t xml:space="preserve"> </w:t>
            </w:r>
            <w:r w:rsidRPr="000B69C7">
              <w:rPr>
                <w:rFonts w:ascii="Arial" w:hAnsi="Arial" w:cs="Arial"/>
                <w:b/>
              </w:rPr>
              <w:t>components</w:t>
            </w:r>
            <w:r w:rsidRPr="000B69C7">
              <w:rPr>
                <w:rFonts w:ascii="Arial" w:hAnsi="Arial" w:cs="Arial"/>
                <w:b/>
                <w:spacing w:val="-5"/>
              </w:rPr>
              <w:t xml:space="preserve"> </w:t>
            </w:r>
            <w:r w:rsidRPr="000B69C7">
              <w:rPr>
                <w:rFonts w:ascii="Arial" w:hAnsi="Arial" w:cs="Arial"/>
                <w:b/>
              </w:rPr>
              <w:t>(metallic)</w:t>
            </w:r>
          </w:p>
        </w:tc>
        <w:tc>
          <w:tcPr>
            <w:tcW w:w="3397" w:type="dxa"/>
            <w:hideMark/>
          </w:tcPr>
          <w:p w14:paraId="33C5182A" w14:textId="77777777" w:rsidR="00C80CBD" w:rsidRPr="000B69C7" w:rsidRDefault="00C80CBD" w:rsidP="00082B56">
            <w:pPr>
              <w:pStyle w:val="TableParagraph"/>
              <w:spacing w:line="223" w:lineRule="exact"/>
              <w:ind w:left="1459" w:right="417" w:hanging="937"/>
              <w:jc w:val="center"/>
              <w:rPr>
                <w:rFonts w:ascii="Arial" w:hAnsi="Arial" w:cs="Arial"/>
              </w:rPr>
            </w:pPr>
            <w:r w:rsidRPr="000B69C7">
              <w:rPr>
                <w:rFonts w:ascii="Arial" w:hAnsi="Arial" w:cs="Arial"/>
              </w:rPr>
              <w:t>1.50</w:t>
            </w:r>
          </w:p>
        </w:tc>
      </w:tr>
      <w:tr w:rsidR="00C80CBD" w:rsidRPr="000B69C7" w14:paraId="00A3BBEA" w14:textId="77777777" w:rsidTr="00137C40">
        <w:trPr>
          <w:trHeight w:val="85"/>
        </w:trPr>
        <w:tc>
          <w:tcPr>
            <w:tcW w:w="5005" w:type="dxa"/>
            <w:shd w:val="clear" w:color="auto" w:fill="F2F2F2" w:themeFill="background1" w:themeFillShade="F2"/>
            <w:hideMark/>
          </w:tcPr>
          <w:p w14:paraId="55D03E39" w14:textId="77777777" w:rsidR="00C80CBD" w:rsidRPr="000B69C7" w:rsidRDefault="00C80CBD">
            <w:pPr>
              <w:pStyle w:val="TableParagraph"/>
              <w:spacing w:line="226" w:lineRule="exact"/>
              <w:ind w:left="86"/>
              <w:rPr>
                <w:rFonts w:ascii="Arial" w:hAnsi="Arial" w:cs="Arial"/>
                <w:b/>
              </w:rPr>
            </w:pPr>
            <w:r w:rsidRPr="000B69C7">
              <w:rPr>
                <w:rFonts w:ascii="Arial" w:hAnsi="Arial" w:cs="Arial"/>
                <w:b/>
              </w:rPr>
              <w:t>Other</w:t>
            </w:r>
          </w:p>
        </w:tc>
        <w:tc>
          <w:tcPr>
            <w:tcW w:w="3397" w:type="dxa"/>
            <w:hideMark/>
          </w:tcPr>
          <w:p w14:paraId="30EFF556" w14:textId="77777777" w:rsidR="00C80CBD" w:rsidRPr="000B69C7" w:rsidRDefault="00C80CBD" w:rsidP="00082B56">
            <w:pPr>
              <w:pStyle w:val="TableParagraph"/>
              <w:spacing w:line="226" w:lineRule="exact"/>
              <w:ind w:left="1459" w:right="417" w:hanging="937"/>
              <w:jc w:val="center"/>
              <w:rPr>
                <w:rFonts w:ascii="Arial" w:hAnsi="Arial" w:cs="Arial"/>
              </w:rPr>
            </w:pPr>
            <w:r w:rsidRPr="000B69C7">
              <w:rPr>
                <w:rFonts w:ascii="Arial" w:hAnsi="Arial" w:cs="Arial"/>
              </w:rPr>
              <w:t>1.50</w:t>
            </w:r>
          </w:p>
        </w:tc>
      </w:tr>
    </w:tbl>
    <w:p w14:paraId="246CA10E" w14:textId="77777777" w:rsidR="00BC06CD" w:rsidRPr="000B69C7" w:rsidRDefault="00BC06CD" w:rsidP="00376E50">
      <w:pPr>
        <w:rPr>
          <w:rFonts w:ascii="Arial" w:hAnsi="Arial" w:cs="Arial"/>
          <w:sz w:val="20"/>
          <w:szCs w:val="20"/>
        </w:rPr>
      </w:pPr>
    </w:p>
    <w:p w14:paraId="766B4D88" w14:textId="77777777" w:rsidR="000B69C7" w:rsidRPr="000B69C7" w:rsidRDefault="000B69C7" w:rsidP="00A56A31">
      <w:pPr>
        <w:numPr>
          <w:ilvl w:val="0"/>
          <w:numId w:val="376"/>
        </w:numPr>
        <w:tabs>
          <w:tab w:val="left" w:pos="707"/>
        </w:tabs>
        <w:spacing w:before="56"/>
        <w:ind w:right="26"/>
        <w:jc w:val="both"/>
        <w:rPr>
          <w:rFonts w:ascii="Arial" w:hAnsi="Arial" w:cs="Arial"/>
          <w:sz w:val="20"/>
          <w:szCs w:val="20"/>
        </w:rPr>
      </w:pPr>
      <w:r w:rsidRPr="000B69C7">
        <w:rPr>
          <w:rFonts w:ascii="Arial" w:hAnsi="Arial" w:cs="Arial"/>
          <w:spacing w:val="-1"/>
          <w:sz w:val="20"/>
          <w:szCs w:val="20"/>
        </w:rPr>
        <w:t>A</w:t>
      </w:r>
      <w:r w:rsidRPr="000B69C7">
        <w:rPr>
          <w:rFonts w:ascii="Arial" w:hAnsi="Arial" w:cs="Arial"/>
          <w:spacing w:val="-11"/>
          <w:sz w:val="20"/>
          <w:szCs w:val="20"/>
        </w:rPr>
        <w:t xml:space="preserve"> </w:t>
      </w:r>
      <w:r w:rsidRPr="000B69C7">
        <w:rPr>
          <w:rFonts w:ascii="Arial" w:hAnsi="Arial" w:cs="Arial"/>
          <w:spacing w:val="-1"/>
          <w:sz w:val="20"/>
          <w:szCs w:val="20"/>
        </w:rPr>
        <w:t>reduced</w:t>
      </w:r>
      <w:r w:rsidRPr="000B69C7">
        <w:rPr>
          <w:rFonts w:ascii="Arial" w:hAnsi="Arial" w:cs="Arial"/>
          <w:spacing w:val="-10"/>
          <w:sz w:val="20"/>
          <w:szCs w:val="20"/>
        </w:rPr>
        <w:t xml:space="preserve"> </w:t>
      </w:r>
      <w:r w:rsidRPr="000B69C7">
        <w:rPr>
          <w:rFonts w:ascii="Arial" w:hAnsi="Arial" w:cs="Arial"/>
          <w:sz w:val="20"/>
          <w:szCs w:val="20"/>
        </w:rPr>
        <w:t>factor</w:t>
      </w:r>
      <w:r w:rsidRPr="000B69C7">
        <w:rPr>
          <w:rFonts w:ascii="Arial" w:hAnsi="Arial" w:cs="Arial"/>
          <w:spacing w:val="-12"/>
          <w:sz w:val="20"/>
          <w:szCs w:val="20"/>
        </w:rPr>
        <w:t xml:space="preserve"> </w:t>
      </w:r>
      <w:r w:rsidRPr="000B69C7">
        <w:rPr>
          <w:rFonts w:ascii="Arial" w:hAnsi="Arial" w:cs="Arial"/>
          <w:sz w:val="20"/>
          <w:szCs w:val="20"/>
        </w:rPr>
        <w:t>of</w:t>
      </w:r>
      <w:r w:rsidRPr="000B69C7">
        <w:rPr>
          <w:rFonts w:ascii="Arial" w:hAnsi="Arial" w:cs="Arial"/>
          <w:spacing w:val="-11"/>
          <w:sz w:val="20"/>
          <w:szCs w:val="20"/>
        </w:rPr>
        <w:t xml:space="preserve"> </w:t>
      </w:r>
      <w:r w:rsidRPr="000B69C7">
        <w:rPr>
          <w:rFonts w:ascii="Arial" w:hAnsi="Arial" w:cs="Arial"/>
          <w:sz w:val="20"/>
          <w:szCs w:val="20"/>
        </w:rPr>
        <w:t>2</w:t>
      </w:r>
      <w:r w:rsidRPr="000B69C7">
        <w:rPr>
          <w:rFonts w:ascii="Arial" w:hAnsi="Arial" w:cs="Arial"/>
          <w:spacing w:val="-11"/>
          <w:sz w:val="20"/>
          <w:szCs w:val="20"/>
        </w:rPr>
        <w:t xml:space="preserve"> </w:t>
      </w:r>
      <w:r w:rsidRPr="000B69C7">
        <w:rPr>
          <w:rFonts w:ascii="Arial" w:hAnsi="Arial" w:cs="Arial"/>
          <w:sz w:val="20"/>
          <w:szCs w:val="20"/>
        </w:rPr>
        <w:t>or</w:t>
      </w:r>
      <w:r w:rsidRPr="000B69C7">
        <w:rPr>
          <w:rFonts w:ascii="Arial" w:hAnsi="Arial" w:cs="Arial"/>
          <w:spacing w:val="-12"/>
          <w:sz w:val="20"/>
          <w:szCs w:val="20"/>
        </w:rPr>
        <w:t xml:space="preserve"> </w:t>
      </w:r>
      <w:r w:rsidRPr="000B69C7">
        <w:rPr>
          <w:rFonts w:ascii="Arial" w:hAnsi="Arial" w:cs="Arial"/>
          <w:sz w:val="20"/>
          <w:szCs w:val="20"/>
        </w:rPr>
        <w:t>more</w:t>
      </w:r>
      <w:r w:rsidRPr="000B69C7">
        <w:rPr>
          <w:rFonts w:ascii="Arial" w:hAnsi="Arial" w:cs="Arial"/>
          <w:spacing w:val="-10"/>
          <w:sz w:val="20"/>
          <w:szCs w:val="20"/>
        </w:rPr>
        <w:t xml:space="preserve"> </w:t>
      </w:r>
      <w:r w:rsidRPr="000B69C7">
        <w:rPr>
          <w:rFonts w:ascii="Arial" w:hAnsi="Arial" w:cs="Arial"/>
          <w:sz w:val="20"/>
          <w:szCs w:val="20"/>
        </w:rPr>
        <w:t>may</w:t>
      </w:r>
      <w:r w:rsidRPr="000B69C7">
        <w:rPr>
          <w:rFonts w:ascii="Arial" w:hAnsi="Arial" w:cs="Arial"/>
          <w:spacing w:val="-9"/>
          <w:sz w:val="20"/>
          <w:szCs w:val="20"/>
        </w:rPr>
        <w:t xml:space="preserve"> </w:t>
      </w:r>
      <w:r w:rsidRPr="000B69C7">
        <w:rPr>
          <w:rFonts w:ascii="Arial" w:hAnsi="Arial" w:cs="Arial"/>
          <w:sz w:val="20"/>
          <w:szCs w:val="20"/>
        </w:rPr>
        <w:t>be</w:t>
      </w:r>
      <w:r w:rsidRPr="000B69C7">
        <w:rPr>
          <w:rFonts w:ascii="Arial" w:hAnsi="Arial" w:cs="Arial"/>
          <w:spacing w:val="-9"/>
          <w:sz w:val="20"/>
          <w:szCs w:val="20"/>
        </w:rPr>
        <w:t xml:space="preserve"> </w:t>
      </w:r>
      <w:r w:rsidRPr="000B69C7">
        <w:rPr>
          <w:rFonts w:ascii="Arial" w:hAnsi="Arial" w:cs="Arial"/>
          <w:sz w:val="20"/>
          <w:szCs w:val="20"/>
        </w:rPr>
        <w:t>used</w:t>
      </w:r>
      <w:r w:rsidRPr="000B69C7">
        <w:rPr>
          <w:rFonts w:ascii="Arial" w:hAnsi="Arial" w:cs="Arial"/>
          <w:spacing w:val="-9"/>
          <w:sz w:val="20"/>
          <w:szCs w:val="20"/>
        </w:rPr>
        <w:t xml:space="preserve"> </w:t>
      </w:r>
      <w:r w:rsidRPr="000B69C7">
        <w:rPr>
          <w:rFonts w:ascii="Arial" w:hAnsi="Arial" w:cs="Arial"/>
          <w:sz w:val="20"/>
          <w:szCs w:val="20"/>
        </w:rPr>
        <w:t>in</w:t>
      </w:r>
      <w:r w:rsidRPr="000B69C7">
        <w:rPr>
          <w:rFonts w:ascii="Arial" w:hAnsi="Arial" w:cs="Arial"/>
          <w:spacing w:val="-11"/>
          <w:sz w:val="20"/>
          <w:szCs w:val="20"/>
        </w:rPr>
        <w:t xml:space="preserve"> </w:t>
      </w:r>
      <w:r w:rsidRPr="000B69C7">
        <w:rPr>
          <w:rFonts w:ascii="Arial" w:hAnsi="Arial" w:cs="Arial"/>
          <w:sz w:val="20"/>
          <w:szCs w:val="20"/>
        </w:rPr>
        <w:t>the</w:t>
      </w:r>
      <w:r w:rsidRPr="000B69C7">
        <w:rPr>
          <w:rFonts w:ascii="Arial" w:hAnsi="Arial" w:cs="Arial"/>
          <w:spacing w:val="-9"/>
          <w:sz w:val="20"/>
          <w:szCs w:val="20"/>
        </w:rPr>
        <w:t xml:space="preserve"> </w:t>
      </w:r>
      <w:r w:rsidRPr="000B69C7">
        <w:rPr>
          <w:rFonts w:ascii="Arial" w:hAnsi="Arial" w:cs="Arial"/>
          <w:sz w:val="20"/>
          <w:szCs w:val="20"/>
        </w:rPr>
        <w:t>envelope</w:t>
      </w:r>
      <w:r w:rsidRPr="000B69C7">
        <w:rPr>
          <w:rFonts w:ascii="Arial" w:hAnsi="Arial" w:cs="Arial"/>
          <w:spacing w:val="-9"/>
          <w:sz w:val="20"/>
          <w:szCs w:val="20"/>
        </w:rPr>
        <w:t xml:space="preserve"> </w:t>
      </w:r>
      <w:r w:rsidRPr="000B69C7">
        <w:rPr>
          <w:rFonts w:ascii="Arial" w:hAnsi="Arial" w:cs="Arial"/>
          <w:sz w:val="20"/>
          <w:szCs w:val="20"/>
        </w:rPr>
        <w:t>design</w:t>
      </w:r>
      <w:r w:rsidRPr="000B69C7">
        <w:rPr>
          <w:rFonts w:ascii="Arial" w:hAnsi="Arial" w:cs="Arial"/>
          <w:spacing w:val="-11"/>
          <w:sz w:val="20"/>
          <w:szCs w:val="20"/>
        </w:rPr>
        <w:t xml:space="preserve"> </w:t>
      </w:r>
      <w:r w:rsidRPr="000B69C7">
        <w:rPr>
          <w:rFonts w:ascii="Arial" w:hAnsi="Arial" w:cs="Arial"/>
          <w:sz w:val="20"/>
          <w:szCs w:val="20"/>
        </w:rPr>
        <w:t>if</w:t>
      </w:r>
      <w:r w:rsidRPr="000B69C7">
        <w:rPr>
          <w:rFonts w:ascii="Arial" w:hAnsi="Arial" w:cs="Arial"/>
          <w:spacing w:val="-10"/>
          <w:sz w:val="20"/>
          <w:szCs w:val="20"/>
        </w:rPr>
        <w:t xml:space="preserve"> </w:t>
      </w:r>
      <w:r w:rsidRPr="000B69C7">
        <w:rPr>
          <w:rFonts w:ascii="Arial" w:hAnsi="Arial" w:cs="Arial"/>
          <w:sz w:val="20"/>
          <w:szCs w:val="20"/>
        </w:rPr>
        <w:t>it</w:t>
      </w:r>
      <w:r w:rsidRPr="000B69C7">
        <w:rPr>
          <w:rFonts w:ascii="Arial" w:hAnsi="Arial" w:cs="Arial"/>
          <w:spacing w:val="-9"/>
          <w:sz w:val="20"/>
          <w:szCs w:val="20"/>
        </w:rPr>
        <w:t xml:space="preserve"> </w:t>
      </w:r>
      <w:r w:rsidRPr="000B69C7">
        <w:rPr>
          <w:rFonts w:ascii="Arial" w:hAnsi="Arial" w:cs="Arial"/>
          <w:sz w:val="20"/>
          <w:szCs w:val="20"/>
        </w:rPr>
        <w:t>is</w:t>
      </w:r>
      <w:r w:rsidRPr="000B69C7">
        <w:rPr>
          <w:rFonts w:ascii="Arial" w:hAnsi="Arial" w:cs="Arial"/>
          <w:spacing w:val="-9"/>
          <w:sz w:val="20"/>
          <w:szCs w:val="20"/>
        </w:rPr>
        <w:t xml:space="preserve"> </w:t>
      </w:r>
      <w:r w:rsidRPr="000B69C7">
        <w:rPr>
          <w:rFonts w:ascii="Arial" w:hAnsi="Arial" w:cs="Arial"/>
          <w:sz w:val="20"/>
          <w:szCs w:val="20"/>
        </w:rPr>
        <w:t>shown</w:t>
      </w:r>
      <w:r w:rsidRPr="000B69C7">
        <w:rPr>
          <w:rFonts w:ascii="Arial" w:hAnsi="Arial" w:cs="Arial"/>
          <w:spacing w:val="-11"/>
          <w:sz w:val="20"/>
          <w:szCs w:val="20"/>
        </w:rPr>
        <w:t xml:space="preserve"> </w:t>
      </w:r>
      <w:r w:rsidRPr="000B69C7">
        <w:rPr>
          <w:rFonts w:ascii="Arial" w:hAnsi="Arial" w:cs="Arial"/>
          <w:sz w:val="20"/>
          <w:szCs w:val="20"/>
        </w:rPr>
        <w:t>that</w:t>
      </w:r>
      <w:r w:rsidRPr="000B69C7">
        <w:rPr>
          <w:rFonts w:ascii="Arial" w:hAnsi="Arial" w:cs="Arial"/>
          <w:spacing w:val="-9"/>
          <w:sz w:val="20"/>
          <w:szCs w:val="20"/>
        </w:rPr>
        <w:t xml:space="preserve"> </w:t>
      </w:r>
      <w:r w:rsidRPr="000B69C7">
        <w:rPr>
          <w:rFonts w:ascii="Arial" w:hAnsi="Arial" w:cs="Arial"/>
          <w:sz w:val="20"/>
          <w:szCs w:val="20"/>
        </w:rPr>
        <w:t>the</w:t>
      </w:r>
      <w:r w:rsidRPr="000B69C7">
        <w:rPr>
          <w:rFonts w:ascii="Arial" w:hAnsi="Arial" w:cs="Arial"/>
          <w:spacing w:val="-9"/>
          <w:sz w:val="20"/>
          <w:szCs w:val="20"/>
        </w:rPr>
        <w:t xml:space="preserve"> </w:t>
      </w:r>
      <w:r w:rsidRPr="000B69C7">
        <w:rPr>
          <w:rFonts w:ascii="Arial" w:hAnsi="Arial" w:cs="Arial"/>
          <w:sz w:val="20"/>
          <w:szCs w:val="20"/>
        </w:rPr>
        <w:t>selected</w:t>
      </w:r>
      <w:r w:rsidRPr="000B69C7">
        <w:rPr>
          <w:rFonts w:ascii="Arial" w:hAnsi="Arial" w:cs="Arial"/>
          <w:spacing w:val="-48"/>
          <w:sz w:val="20"/>
          <w:szCs w:val="20"/>
        </w:rPr>
        <w:t xml:space="preserve"> </w:t>
      </w:r>
      <w:r w:rsidRPr="000B69C7">
        <w:rPr>
          <w:rFonts w:ascii="Arial" w:hAnsi="Arial" w:cs="Arial"/>
          <w:sz w:val="20"/>
          <w:szCs w:val="20"/>
        </w:rPr>
        <w:t>factor</w:t>
      </w:r>
      <w:r w:rsidRPr="000B69C7">
        <w:rPr>
          <w:rFonts w:ascii="Arial" w:hAnsi="Arial" w:cs="Arial"/>
          <w:spacing w:val="-6"/>
          <w:sz w:val="20"/>
          <w:szCs w:val="20"/>
        </w:rPr>
        <w:t xml:space="preserve"> </w:t>
      </w:r>
      <w:r w:rsidRPr="000B69C7">
        <w:rPr>
          <w:rFonts w:ascii="Arial" w:hAnsi="Arial" w:cs="Arial"/>
          <w:sz w:val="20"/>
          <w:szCs w:val="20"/>
        </w:rPr>
        <w:t>will</w:t>
      </w:r>
      <w:r w:rsidRPr="000B69C7">
        <w:rPr>
          <w:rFonts w:ascii="Arial" w:hAnsi="Arial" w:cs="Arial"/>
          <w:spacing w:val="-6"/>
          <w:sz w:val="20"/>
          <w:szCs w:val="20"/>
        </w:rPr>
        <w:t xml:space="preserve"> </w:t>
      </w:r>
      <w:r w:rsidRPr="000B69C7">
        <w:rPr>
          <w:rFonts w:ascii="Arial" w:hAnsi="Arial" w:cs="Arial"/>
          <w:sz w:val="20"/>
          <w:szCs w:val="20"/>
        </w:rPr>
        <w:t>preclude</w:t>
      </w:r>
      <w:r w:rsidRPr="000B69C7">
        <w:rPr>
          <w:rFonts w:ascii="Arial" w:hAnsi="Arial" w:cs="Arial"/>
          <w:spacing w:val="-5"/>
          <w:sz w:val="20"/>
          <w:szCs w:val="20"/>
        </w:rPr>
        <w:t xml:space="preserve"> </w:t>
      </w:r>
      <w:r w:rsidRPr="000B69C7">
        <w:rPr>
          <w:rFonts w:ascii="Arial" w:hAnsi="Arial" w:cs="Arial"/>
          <w:sz w:val="20"/>
          <w:szCs w:val="20"/>
        </w:rPr>
        <w:t>failure</w:t>
      </w:r>
      <w:r w:rsidRPr="000B69C7">
        <w:rPr>
          <w:rFonts w:ascii="Arial" w:hAnsi="Arial" w:cs="Arial"/>
          <w:spacing w:val="-8"/>
          <w:sz w:val="20"/>
          <w:szCs w:val="20"/>
        </w:rPr>
        <w:t xml:space="preserve"> </w:t>
      </w:r>
      <w:r w:rsidRPr="000B69C7">
        <w:rPr>
          <w:rFonts w:ascii="Arial" w:hAnsi="Arial" w:cs="Arial"/>
          <w:sz w:val="20"/>
          <w:szCs w:val="20"/>
        </w:rPr>
        <w:t>due</w:t>
      </w:r>
      <w:r w:rsidRPr="000B69C7">
        <w:rPr>
          <w:rFonts w:ascii="Arial" w:hAnsi="Arial" w:cs="Arial"/>
          <w:spacing w:val="-2"/>
          <w:sz w:val="20"/>
          <w:szCs w:val="20"/>
        </w:rPr>
        <w:t xml:space="preserve"> </w:t>
      </w:r>
      <w:r w:rsidRPr="000B69C7">
        <w:rPr>
          <w:rFonts w:ascii="Arial" w:hAnsi="Arial" w:cs="Arial"/>
          <w:sz w:val="20"/>
          <w:szCs w:val="20"/>
        </w:rPr>
        <w:t>to</w:t>
      </w:r>
      <w:r w:rsidRPr="000B69C7">
        <w:rPr>
          <w:rFonts w:ascii="Arial" w:hAnsi="Arial" w:cs="Arial"/>
          <w:spacing w:val="-2"/>
          <w:sz w:val="20"/>
          <w:szCs w:val="20"/>
        </w:rPr>
        <w:t xml:space="preserve"> </w:t>
      </w:r>
      <w:r w:rsidRPr="000B69C7">
        <w:rPr>
          <w:rFonts w:ascii="Arial" w:hAnsi="Arial" w:cs="Arial"/>
          <w:sz w:val="20"/>
          <w:szCs w:val="20"/>
        </w:rPr>
        <w:t>creep</w:t>
      </w:r>
      <w:r w:rsidRPr="000B69C7">
        <w:rPr>
          <w:rFonts w:ascii="Arial" w:hAnsi="Arial" w:cs="Arial"/>
          <w:spacing w:val="-6"/>
          <w:sz w:val="20"/>
          <w:szCs w:val="20"/>
        </w:rPr>
        <w:t xml:space="preserve"> </w:t>
      </w:r>
      <w:r w:rsidRPr="000B69C7">
        <w:rPr>
          <w:rFonts w:ascii="Arial" w:hAnsi="Arial" w:cs="Arial"/>
          <w:sz w:val="20"/>
          <w:szCs w:val="20"/>
        </w:rPr>
        <w:t>or</w:t>
      </w:r>
      <w:r w:rsidRPr="000B69C7">
        <w:rPr>
          <w:rFonts w:ascii="Arial" w:hAnsi="Arial" w:cs="Arial"/>
          <w:spacing w:val="-6"/>
          <w:sz w:val="20"/>
          <w:szCs w:val="20"/>
        </w:rPr>
        <w:t xml:space="preserve"> </w:t>
      </w:r>
      <w:r w:rsidRPr="000B69C7">
        <w:rPr>
          <w:rFonts w:ascii="Arial" w:hAnsi="Arial" w:cs="Arial"/>
          <w:sz w:val="20"/>
          <w:szCs w:val="20"/>
        </w:rPr>
        <w:t>instantaneous</w:t>
      </w:r>
      <w:r w:rsidRPr="000B69C7">
        <w:rPr>
          <w:rFonts w:ascii="Arial" w:hAnsi="Arial" w:cs="Arial"/>
          <w:spacing w:val="-3"/>
          <w:sz w:val="20"/>
          <w:szCs w:val="20"/>
        </w:rPr>
        <w:t xml:space="preserve"> </w:t>
      </w:r>
      <w:r w:rsidRPr="000B69C7">
        <w:rPr>
          <w:rFonts w:ascii="Arial" w:hAnsi="Arial" w:cs="Arial"/>
          <w:sz w:val="20"/>
          <w:szCs w:val="20"/>
        </w:rPr>
        <w:t>rupture</w:t>
      </w:r>
      <w:r w:rsidRPr="000B69C7">
        <w:rPr>
          <w:rFonts w:ascii="Arial" w:hAnsi="Arial" w:cs="Arial"/>
          <w:spacing w:val="-6"/>
          <w:sz w:val="20"/>
          <w:szCs w:val="20"/>
        </w:rPr>
        <w:t xml:space="preserve"> </w:t>
      </w:r>
      <w:r w:rsidRPr="000B69C7">
        <w:rPr>
          <w:rFonts w:ascii="Arial" w:hAnsi="Arial" w:cs="Arial"/>
          <w:sz w:val="20"/>
          <w:szCs w:val="20"/>
        </w:rPr>
        <w:t>from</w:t>
      </w:r>
      <w:r w:rsidRPr="000B69C7">
        <w:rPr>
          <w:rFonts w:ascii="Arial" w:hAnsi="Arial" w:cs="Arial"/>
          <w:spacing w:val="-4"/>
          <w:sz w:val="20"/>
          <w:szCs w:val="20"/>
        </w:rPr>
        <w:t xml:space="preserve"> </w:t>
      </w:r>
      <w:r w:rsidRPr="000B69C7">
        <w:rPr>
          <w:rFonts w:ascii="Arial" w:hAnsi="Arial" w:cs="Arial"/>
          <w:sz w:val="20"/>
          <w:szCs w:val="20"/>
        </w:rPr>
        <w:t>lack</w:t>
      </w:r>
      <w:r w:rsidRPr="000B69C7">
        <w:rPr>
          <w:rFonts w:ascii="Arial" w:hAnsi="Arial" w:cs="Arial"/>
          <w:spacing w:val="-5"/>
          <w:sz w:val="20"/>
          <w:szCs w:val="20"/>
        </w:rPr>
        <w:t xml:space="preserve"> </w:t>
      </w:r>
      <w:r w:rsidRPr="000B69C7">
        <w:rPr>
          <w:rFonts w:ascii="Arial" w:hAnsi="Arial" w:cs="Arial"/>
          <w:sz w:val="20"/>
          <w:szCs w:val="20"/>
        </w:rPr>
        <w:t>of</w:t>
      </w:r>
      <w:r w:rsidRPr="000B69C7">
        <w:rPr>
          <w:rFonts w:ascii="Arial" w:hAnsi="Arial" w:cs="Arial"/>
          <w:spacing w:val="-3"/>
          <w:sz w:val="20"/>
          <w:szCs w:val="20"/>
        </w:rPr>
        <w:t xml:space="preserve"> </w:t>
      </w:r>
      <w:r w:rsidRPr="000B69C7">
        <w:rPr>
          <w:rFonts w:ascii="Arial" w:hAnsi="Arial" w:cs="Arial"/>
          <w:sz w:val="20"/>
          <w:szCs w:val="20"/>
        </w:rPr>
        <w:t>rip</w:t>
      </w:r>
      <w:r w:rsidRPr="000B69C7">
        <w:rPr>
          <w:rFonts w:ascii="Arial" w:hAnsi="Arial" w:cs="Arial"/>
          <w:spacing w:val="-7"/>
          <w:sz w:val="20"/>
          <w:szCs w:val="20"/>
        </w:rPr>
        <w:t xml:space="preserve"> </w:t>
      </w:r>
      <w:r w:rsidRPr="000B69C7">
        <w:rPr>
          <w:rFonts w:ascii="Arial" w:hAnsi="Arial" w:cs="Arial"/>
          <w:sz w:val="20"/>
          <w:szCs w:val="20"/>
        </w:rPr>
        <w:t>stoppers.</w:t>
      </w:r>
      <w:r w:rsidRPr="000B69C7">
        <w:rPr>
          <w:rFonts w:ascii="Arial" w:hAnsi="Arial" w:cs="Arial"/>
          <w:spacing w:val="-6"/>
          <w:sz w:val="20"/>
          <w:szCs w:val="20"/>
        </w:rPr>
        <w:t xml:space="preserve"> </w:t>
      </w:r>
      <w:r w:rsidRPr="000B69C7">
        <w:rPr>
          <w:rFonts w:ascii="Arial" w:hAnsi="Arial" w:cs="Arial"/>
          <w:sz w:val="20"/>
          <w:szCs w:val="20"/>
        </w:rPr>
        <w:t>The</w:t>
      </w:r>
      <w:r w:rsidRPr="000B69C7">
        <w:rPr>
          <w:rFonts w:ascii="Arial" w:hAnsi="Arial" w:cs="Arial"/>
          <w:spacing w:val="-47"/>
          <w:sz w:val="20"/>
          <w:szCs w:val="20"/>
        </w:rPr>
        <w:t xml:space="preserve"> </w:t>
      </w:r>
      <w:r w:rsidRPr="000B69C7">
        <w:rPr>
          <w:rFonts w:ascii="Arial" w:hAnsi="Arial" w:cs="Arial"/>
          <w:sz w:val="20"/>
          <w:szCs w:val="20"/>
        </w:rPr>
        <w:t>selected factor must be applied to the more critical of the maximum operating pressure or</w:t>
      </w:r>
      <w:r w:rsidRPr="000B69C7">
        <w:rPr>
          <w:rFonts w:ascii="Arial" w:hAnsi="Arial" w:cs="Arial"/>
          <w:spacing w:val="1"/>
          <w:sz w:val="20"/>
          <w:szCs w:val="20"/>
        </w:rPr>
        <w:t xml:space="preserve"> </w:t>
      </w:r>
      <w:r w:rsidRPr="000B69C7">
        <w:rPr>
          <w:rFonts w:ascii="Arial" w:hAnsi="Arial" w:cs="Arial"/>
          <w:sz w:val="20"/>
          <w:szCs w:val="20"/>
        </w:rPr>
        <w:t>envelope stress.</w:t>
      </w:r>
    </w:p>
    <w:p w14:paraId="0D8A4FA3" w14:textId="77777777" w:rsidR="000B69C7" w:rsidRPr="000B69C7" w:rsidRDefault="000B69C7" w:rsidP="00A56A31">
      <w:pPr>
        <w:numPr>
          <w:ilvl w:val="0"/>
          <w:numId w:val="376"/>
        </w:numPr>
        <w:tabs>
          <w:tab w:val="left" w:pos="707"/>
          <w:tab w:val="left" w:pos="8910"/>
        </w:tabs>
        <w:spacing w:before="121"/>
        <w:ind w:right="201"/>
        <w:jc w:val="both"/>
        <w:rPr>
          <w:rFonts w:ascii="Arial" w:hAnsi="Arial" w:cs="Arial"/>
          <w:sz w:val="20"/>
          <w:szCs w:val="20"/>
        </w:rPr>
      </w:pPr>
      <w:r w:rsidRPr="000B69C7">
        <w:rPr>
          <w:rFonts w:ascii="Arial" w:hAnsi="Arial" w:cs="Arial"/>
          <w:sz w:val="20"/>
          <w:szCs w:val="20"/>
        </w:rPr>
        <w:t>The primary attachments of the envelope to the basket must be designed so that any single</w:t>
      </w:r>
      <w:r w:rsidRPr="000B69C7">
        <w:rPr>
          <w:rFonts w:ascii="Arial" w:hAnsi="Arial" w:cs="Arial"/>
          <w:spacing w:val="1"/>
          <w:sz w:val="20"/>
          <w:szCs w:val="20"/>
        </w:rPr>
        <w:t xml:space="preserve"> </w:t>
      </w:r>
      <w:r w:rsidRPr="000B69C7">
        <w:rPr>
          <w:rFonts w:ascii="Arial" w:hAnsi="Arial" w:cs="Arial"/>
          <w:sz w:val="20"/>
          <w:szCs w:val="20"/>
        </w:rPr>
        <w:t>failure</w:t>
      </w:r>
      <w:r w:rsidRPr="000B69C7">
        <w:rPr>
          <w:rFonts w:ascii="Arial" w:hAnsi="Arial" w:cs="Arial"/>
          <w:spacing w:val="-1"/>
          <w:sz w:val="20"/>
          <w:szCs w:val="20"/>
        </w:rPr>
        <w:t xml:space="preserve"> </w:t>
      </w:r>
      <w:r w:rsidRPr="000B69C7">
        <w:rPr>
          <w:rFonts w:ascii="Arial" w:hAnsi="Arial" w:cs="Arial"/>
          <w:sz w:val="20"/>
          <w:szCs w:val="20"/>
        </w:rPr>
        <w:t>will not jeopardise</w:t>
      </w:r>
      <w:r w:rsidRPr="000B69C7">
        <w:rPr>
          <w:rFonts w:ascii="Arial" w:hAnsi="Arial" w:cs="Arial"/>
          <w:spacing w:val="1"/>
          <w:sz w:val="20"/>
          <w:szCs w:val="20"/>
        </w:rPr>
        <w:t xml:space="preserve"> </w:t>
      </w:r>
      <w:r w:rsidRPr="000B69C7">
        <w:rPr>
          <w:rFonts w:ascii="Arial" w:hAnsi="Arial" w:cs="Arial"/>
          <w:sz w:val="20"/>
          <w:szCs w:val="20"/>
        </w:rPr>
        <w:t>safety</w:t>
      </w:r>
      <w:r w:rsidRPr="000B69C7">
        <w:rPr>
          <w:rFonts w:ascii="Arial" w:hAnsi="Arial" w:cs="Arial"/>
          <w:spacing w:val="-1"/>
          <w:sz w:val="20"/>
          <w:szCs w:val="20"/>
        </w:rPr>
        <w:t xml:space="preserve"> </w:t>
      </w:r>
      <w:r w:rsidRPr="000B69C7">
        <w:rPr>
          <w:rFonts w:ascii="Arial" w:hAnsi="Arial" w:cs="Arial"/>
          <w:sz w:val="20"/>
          <w:szCs w:val="20"/>
        </w:rPr>
        <w:t>of</w:t>
      </w:r>
      <w:r w:rsidRPr="000B69C7">
        <w:rPr>
          <w:rFonts w:ascii="Arial" w:hAnsi="Arial" w:cs="Arial"/>
          <w:spacing w:val="-3"/>
          <w:sz w:val="20"/>
          <w:szCs w:val="20"/>
        </w:rPr>
        <w:t xml:space="preserve"> </w:t>
      </w:r>
      <w:r w:rsidRPr="000B69C7">
        <w:rPr>
          <w:rFonts w:ascii="Arial" w:hAnsi="Arial" w:cs="Arial"/>
          <w:sz w:val="20"/>
          <w:szCs w:val="20"/>
        </w:rPr>
        <w:t>flight.</w:t>
      </w:r>
    </w:p>
    <w:p w14:paraId="0E1DC768" w14:textId="77777777" w:rsidR="000B69C7" w:rsidRPr="000B69C7" w:rsidRDefault="000B69C7" w:rsidP="00A56A31">
      <w:pPr>
        <w:numPr>
          <w:ilvl w:val="0"/>
          <w:numId w:val="376"/>
        </w:numPr>
        <w:tabs>
          <w:tab w:val="left" w:pos="707"/>
          <w:tab w:val="left" w:pos="8910"/>
        </w:tabs>
        <w:spacing w:before="118"/>
        <w:jc w:val="both"/>
        <w:rPr>
          <w:rFonts w:ascii="Arial" w:hAnsi="Arial" w:cs="Arial"/>
          <w:sz w:val="20"/>
          <w:szCs w:val="20"/>
        </w:rPr>
      </w:pPr>
      <w:r w:rsidRPr="000B69C7">
        <w:rPr>
          <w:rFonts w:ascii="Arial" w:hAnsi="Arial" w:cs="Arial"/>
          <w:sz w:val="20"/>
          <w:szCs w:val="20"/>
        </w:rPr>
        <w:t>For</w:t>
      </w:r>
      <w:r w:rsidRPr="000B69C7">
        <w:rPr>
          <w:rFonts w:ascii="Arial" w:hAnsi="Arial" w:cs="Arial"/>
          <w:spacing w:val="-1"/>
          <w:sz w:val="20"/>
          <w:szCs w:val="20"/>
        </w:rPr>
        <w:t xml:space="preserve"> </w:t>
      </w:r>
      <w:r w:rsidRPr="000B69C7">
        <w:rPr>
          <w:rFonts w:ascii="Arial" w:hAnsi="Arial" w:cs="Arial"/>
          <w:sz w:val="20"/>
          <w:szCs w:val="20"/>
        </w:rPr>
        <w:t>design</w:t>
      </w:r>
      <w:r w:rsidRPr="000B69C7">
        <w:rPr>
          <w:rFonts w:ascii="Arial" w:hAnsi="Arial" w:cs="Arial"/>
          <w:spacing w:val="-2"/>
          <w:sz w:val="20"/>
          <w:szCs w:val="20"/>
        </w:rPr>
        <w:t xml:space="preserve"> </w:t>
      </w:r>
      <w:r w:rsidRPr="000B69C7">
        <w:rPr>
          <w:rFonts w:ascii="Arial" w:hAnsi="Arial" w:cs="Arial"/>
          <w:sz w:val="20"/>
          <w:szCs w:val="20"/>
        </w:rPr>
        <w:t>purposes,</w:t>
      </w:r>
      <w:r w:rsidRPr="000B69C7">
        <w:rPr>
          <w:rFonts w:ascii="Arial" w:hAnsi="Arial" w:cs="Arial"/>
          <w:spacing w:val="-2"/>
          <w:sz w:val="20"/>
          <w:szCs w:val="20"/>
        </w:rPr>
        <w:t xml:space="preserve"> </w:t>
      </w:r>
      <w:r w:rsidRPr="000B69C7">
        <w:rPr>
          <w:rFonts w:ascii="Arial" w:hAnsi="Arial" w:cs="Arial"/>
          <w:sz w:val="20"/>
          <w:szCs w:val="20"/>
        </w:rPr>
        <w:t>an</w:t>
      </w:r>
      <w:r w:rsidRPr="000B69C7">
        <w:rPr>
          <w:rFonts w:ascii="Arial" w:hAnsi="Arial" w:cs="Arial"/>
          <w:spacing w:val="-2"/>
          <w:sz w:val="20"/>
          <w:szCs w:val="20"/>
        </w:rPr>
        <w:t xml:space="preserve"> </w:t>
      </w:r>
      <w:r w:rsidRPr="000B69C7">
        <w:rPr>
          <w:rFonts w:ascii="Arial" w:hAnsi="Arial" w:cs="Arial"/>
          <w:sz w:val="20"/>
          <w:szCs w:val="20"/>
        </w:rPr>
        <w:t>occupant</w:t>
      </w:r>
      <w:r w:rsidRPr="000B69C7">
        <w:rPr>
          <w:rFonts w:ascii="Arial" w:hAnsi="Arial" w:cs="Arial"/>
          <w:spacing w:val="-1"/>
          <w:sz w:val="20"/>
          <w:szCs w:val="20"/>
        </w:rPr>
        <w:t xml:space="preserve"> </w:t>
      </w:r>
      <w:r w:rsidRPr="000B69C7">
        <w:rPr>
          <w:rFonts w:ascii="Arial" w:hAnsi="Arial" w:cs="Arial"/>
          <w:sz w:val="20"/>
          <w:szCs w:val="20"/>
        </w:rPr>
        <w:t>mass</w:t>
      </w:r>
      <w:r w:rsidRPr="000B69C7">
        <w:rPr>
          <w:rFonts w:ascii="Arial" w:hAnsi="Arial" w:cs="Arial"/>
          <w:spacing w:val="-1"/>
          <w:sz w:val="20"/>
          <w:szCs w:val="20"/>
        </w:rPr>
        <w:t xml:space="preserve"> </w:t>
      </w:r>
      <w:r w:rsidRPr="000B69C7">
        <w:rPr>
          <w:rFonts w:ascii="Arial" w:hAnsi="Arial" w:cs="Arial"/>
          <w:sz w:val="20"/>
          <w:szCs w:val="20"/>
        </w:rPr>
        <w:t>of</w:t>
      </w:r>
      <w:r w:rsidRPr="000B69C7">
        <w:rPr>
          <w:rFonts w:ascii="Arial" w:hAnsi="Arial" w:cs="Arial"/>
          <w:spacing w:val="-4"/>
          <w:sz w:val="20"/>
          <w:szCs w:val="20"/>
        </w:rPr>
        <w:t xml:space="preserve"> </w:t>
      </w:r>
      <w:r w:rsidRPr="000B69C7">
        <w:rPr>
          <w:rFonts w:ascii="Arial" w:hAnsi="Arial" w:cs="Arial"/>
          <w:sz w:val="20"/>
          <w:szCs w:val="20"/>
        </w:rPr>
        <w:t>at</w:t>
      </w:r>
      <w:r w:rsidRPr="000B69C7">
        <w:rPr>
          <w:rFonts w:ascii="Arial" w:hAnsi="Arial" w:cs="Arial"/>
          <w:spacing w:val="-1"/>
          <w:sz w:val="20"/>
          <w:szCs w:val="20"/>
        </w:rPr>
        <w:t xml:space="preserve"> </w:t>
      </w:r>
      <w:r w:rsidRPr="000B69C7">
        <w:rPr>
          <w:rFonts w:ascii="Arial" w:hAnsi="Arial" w:cs="Arial"/>
          <w:sz w:val="20"/>
          <w:szCs w:val="20"/>
        </w:rPr>
        <w:t>least</w:t>
      </w:r>
      <w:r w:rsidRPr="000B69C7">
        <w:rPr>
          <w:rFonts w:ascii="Arial" w:hAnsi="Arial" w:cs="Arial"/>
          <w:spacing w:val="-3"/>
          <w:sz w:val="20"/>
          <w:szCs w:val="20"/>
        </w:rPr>
        <w:t xml:space="preserve"> </w:t>
      </w:r>
      <w:r w:rsidRPr="000B69C7">
        <w:rPr>
          <w:rFonts w:ascii="Arial" w:hAnsi="Arial" w:cs="Arial"/>
          <w:sz w:val="20"/>
          <w:szCs w:val="20"/>
        </w:rPr>
        <w:t>77</w:t>
      </w:r>
      <w:r w:rsidRPr="000B69C7">
        <w:rPr>
          <w:rFonts w:ascii="Arial" w:hAnsi="Arial" w:cs="Arial"/>
          <w:spacing w:val="-1"/>
          <w:sz w:val="20"/>
          <w:szCs w:val="20"/>
        </w:rPr>
        <w:t xml:space="preserve"> </w:t>
      </w:r>
      <w:r w:rsidRPr="000B69C7">
        <w:rPr>
          <w:rFonts w:ascii="Arial" w:hAnsi="Arial" w:cs="Arial"/>
          <w:sz w:val="20"/>
          <w:szCs w:val="20"/>
        </w:rPr>
        <w:t>kg</w:t>
      </w:r>
      <w:r w:rsidRPr="000B69C7">
        <w:rPr>
          <w:rFonts w:ascii="Arial" w:hAnsi="Arial" w:cs="Arial"/>
          <w:spacing w:val="-2"/>
          <w:sz w:val="20"/>
          <w:szCs w:val="20"/>
        </w:rPr>
        <w:t xml:space="preserve"> </w:t>
      </w:r>
      <w:r w:rsidRPr="000B69C7">
        <w:rPr>
          <w:rFonts w:ascii="Arial" w:hAnsi="Arial" w:cs="Arial"/>
          <w:sz w:val="20"/>
          <w:szCs w:val="20"/>
        </w:rPr>
        <w:t>must</w:t>
      </w:r>
      <w:r w:rsidRPr="000B69C7">
        <w:rPr>
          <w:rFonts w:ascii="Arial" w:hAnsi="Arial" w:cs="Arial"/>
          <w:spacing w:val="-2"/>
          <w:sz w:val="20"/>
          <w:szCs w:val="20"/>
        </w:rPr>
        <w:t xml:space="preserve"> </w:t>
      </w:r>
      <w:r w:rsidRPr="000B69C7">
        <w:rPr>
          <w:rFonts w:ascii="Arial" w:hAnsi="Arial" w:cs="Arial"/>
          <w:sz w:val="20"/>
          <w:szCs w:val="20"/>
        </w:rPr>
        <w:t>be</w:t>
      </w:r>
      <w:r w:rsidRPr="000B69C7">
        <w:rPr>
          <w:rFonts w:ascii="Arial" w:hAnsi="Arial" w:cs="Arial"/>
          <w:spacing w:val="-1"/>
          <w:sz w:val="20"/>
          <w:szCs w:val="20"/>
        </w:rPr>
        <w:t xml:space="preserve"> </w:t>
      </w:r>
      <w:r w:rsidRPr="000B69C7">
        <w:rPr>
          <w:rFonts w:ascii="Arial" w:hAnsi="Arial" w:cs="Arial"/>
          <w:sz w:val="20"/>
          <w:szCs w:val="20"/>
        </w:rPr>
        <w:t>assumed.</w:t>
      </w:r>
    </w:p>
    <w:p w14:paraId="317C99C7" w14:textId="77777777" w:rsidR="000B69C7" w:rsidRDefault="000B69C7" w:rsidP="00376E50">
      <w:pPr>
        <w:rPr>
          <w:rFonts w:ascii="Arial" w:hAnsi="Arial" w:cs="Arial"/>
          <w:sz w:val="20"/>
        </w:rPr>
      </w:pPr>
    </w:p>
    <w:p w14:paraId="142444CE" w14:textId="77777777" w:rsidR="003A2109" w:rsidRPr="003B1408" w:rsidRDefault="003A2109" w:rsidP="003B1408">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236" w:name="_Toc153137680"/>
      <w:r w:rsidRPr="003B1408">
        <w:rPr>
          <w:rFonts w:ascii="Arial" w:eastAsia="Times New Roman" w:hAnsi="Arial" w:cs="Times New Roman"/>
          <w:b/>
          <w:color w:val="FFFFFF"/>
          <w:sz w:val="24"/>
        </w:rPr>
        <w:t>AMC 31HB.25 Factors of safety</w:t>
      </w:r>
      <w:bookmarkEnd w:id="1236"/>
      <w:r w:rsidRPr="003B1408">
        <w:rPr>
          <w:rFonts w:ascii="Arial" w:eastAsia="Times New Roman" w:hAnsi="Arial" w:cs="Times New Roman"/>
          <w:b/>
          <w:color w:val="FFFFFF"/>
          <w:sz w:val="24"/>
        </w:rPr>
        <w:tab/>
      </w:r>
    </w:p>
    <w:p w14:paraId="4E7060B0" w14:textId="77777777" w:rsidR="00903E23" w:rsidRPr="00903E23" w:rsidRDefault="00903E23" w:rsidP="00903E23">
      <w:pPr>
        <w:spacing w:line="276" w:lineRule="auto"/>
        <w:jc w:val="both"/>
        <w:rPr>
          <w:rFonts w:ascii="Arial" w:hAnsi="Arial" w:cs="Arial"/>
          <w:sz w:val="20"/>
          <w:szCs w:val="20"/>
        </w:rPr>
      </w:pPr>
      <w:r w:rsidRPr="00903E23">
        <w:rPr>
          <w:rFonts w:ascii="Arial" w:hAnsi="Arial" w:cs="Arial"/>
          <w:sz w:val="20"/>
          <w:szCs w:val="20"/>
        </w:rPr>
        <w:t>The term "envelope" here includes the integral vertical and horizontal load tapes as well as the envelope fabric(s). It should be noted that the envelope to suspension system pick-up points (sometimes known as ‘turnbacks’) should be regarded as part of the suspension system, rather than the envelope, as far as CS 31HB.25 is concerned.</w:t>
      </w:r>
    </w:p>
    <w:p w14:paraId="483A0F36" w14:textId="77777777" w:rsidR="00903E23" w:rsidRPr="00903E23" w:rsidRDefault="00903E23" w:rsidP="00903E23">
      <w:pPr>
        <w:spacing w:line="276" w:lineRule="auto"/>
        <w:jc w:val="both"/>
        <w:rPr>
          <w:rFonts w:ascii="Arial" w:hAnsi="Arial" w:cs="Arial"/>
          <w:sz w:val="20"/>
          <w:szCs w:val="20"/>
        </w:rPr>
      </w:pPr>
      <w:r w:rsidRPr="00903E23">
        <w:rPr>
          <w:rFonts w:ascii="Arial" w:hAnsi="Arial" w:cs="Arial"/>
          <w:sz w:val="20"/>
          <w:szCs w:val="20"/>
        </w:rPr>
        <w:t>"Suspension components" here are those components, from the base of the envelope down, upon which form the primary load paths of the trapeze, basket or other means provided for the occupants.</w:t>
      </w:r>
    </w:p>
    <w:p w14:paraId="76666B32" w14:textId="77777777" w:rsidR="00903E23" w:rsidRPr="00903E23" w:rsidRDefault="00903E23" w:rsidP="00903E23">
      <w:pPr>
        <w:spacing w:line="276" w:lineRule="auto"/>
        <w:jc w:val="both"/>
        <w:rPr>
          <w:rFonts w:ascii="Arial" w:hAnsi="Arial" w:cs="Arial"/>
          <w:sz w:val="20"/>
          <w:szCs w:val="20"/>
        </w:rPr>
      </w:pPr>
      <w:r w:rsidRPr="00903E23">
        <w:rPr>
          <w:rFonts w:ascii="Arial" w:hAnsi="Arial" w:cs="Arial"/>
          <w:sz w:val="20"/>
          <w:szCs w:val="20"/>
        </w:rPr>
        <w:t>The individual structural elements in the suspension system should be dimensioned and configured or duplicated so that failure of one structural element (single failure) does not cause any uncontrollable operating condition. The factors of safety apply to all parts of the load bearing path (e.g. joints, splices, knots, terminals etc).</w:t>
      </w:r>
    </w:p>
    <w:p w14:paraId="522B6289" w14:textId="77777777" w:rsidR="00903E23" w:rsidRPr="00903E23" w:rsidRDefault="00903E23" w:rsidP="00903E23">
      <w:pPr>
        <w:spacing w:line="276" w:lineRule="auto"/>
        <w:jc w:val="both"/>
        <w:rPr>
          <w:rFonts w:ascii="Arial" w:hAnsi="Arial" w:cs="Arial"/>
          <w:sz w:val="20"/>
          <w:szCs w:val="20"/>
        </w:rPr>
      </w:pPr>
      <w:r w:rsidRPr="00903E23">
        <w:rPr>
          <w:rFonts w:ascii="Arial" w:hAnsi="Arial" w:cs="Arial"/>
          <w:sz w:val="20"/>
          <w:szCs w:val="20"/>
        </w:rPr>
        <w:t>The post-single failure case should be justified with the application of limit loads.</w:t>
      </w:r>
    </w:p>
    <w:p w14:paraId="15EBCC23" w14:textId="77777777" w:rsidR="003A2109" w:rsidRDefault="003A2109" w:rsidP="00376E50">
      <w:pPr>
        <w:rPr>
          <w:rFonts w:ascii="Arial" w:hAnsi="Arial" w:cs="Arial"/>
          <w:sz w:val="20"/>
        </w:rPr>
      </w:pPr>
    </w:p>
    <w:p w14:paraId="12031C6E" w14:textId="77777777" w:rsidR="00260AFD" w:rsidRDefault="00260AFD" w:rsidP="00376E50">
      <w:pPr>
        <w:rPr>
          <w:rFonts w:ascii="Arial" w:hAnsi="Arial" w:cs="Arial"/>
          <w:sz w:val="20"/>
        </w:rPr>
      </w:pPr>
    </w:p>
    <w:p w14:paraId="1F867593" w14:textId="77777777" w:rsidR="00260AFD" w:rsidRDefault="00260AFD" w:rsidP="00376E50">
      <w:pPr>
        <w:rPr>
          <w:rFonts w:ascii="Arial" w:hAnsi="Arial" w:cs="Arial"/>
          <w:sz w:val="20"/>
        </w:rPr>
      </w:pPr>
    </w:p>
    <w:p w14:paraId="04595116" w14:textId="77777777" w:rsidR="00260AFD" w:rsidRPr="00260AFD" w:rsidRDefault="00260AFD" w:rsidP="00260AFD">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237" w:name="CS_31HB.27_Strength_and_proof_of_strengt"/>
      <w:bookmarkStart w:id="1238" w:name="_bookmark518"/>
      <w:bookmarkStart w:id="1239" w:name="_Toc153137681"/>
      <w:bookmarkEnd w:id="1237"/>
      <w:bookmarkEnd w:id="1238"/>
      <w:r w:rsidRPr="00260AFD">
        <w:rPr>
          <w:rFonts w:ascii="Arial" w:eastAsia="Times New Roman" w:hAnsi="Arial" w:cs="Times New Roman"/>
          <w:b/>
          <w:iCs/>
          <w:color w:val="FFFFFF"/>
          <w:sz w:val="24"/>
        </w:rPr>
        <w:lastRenderedPageBreak/>
        <w:t>CS 31HB.27 Strength and proof of strength</w:t>
      </w:r>
      <w:bookmarkEnd w:id="1239"/>
    </w:p>
    <w:p w14:paraId="718873CF" w14:textId="77777777" w:rsidR="00260AFD" w:rsidRPr="00260AFD" w:rsidRDefault="00260AFD" w:rsidP="00A56A31">
      <w:pPr>
        <w:pStyle w:val="ListParagraph"/>
        <w:numPr>
          <w:ilvl w:val="0"/>
          <w:numId w:val="377"/>
        </w:numPr>
        <w:tabs>
          <w:tab w:val="left" w:pos="707"/>
        </w:tabs>
        <w:spacing w:line="276" w:lineRule="auto"/>
        <w:ind w:right="26"/>
        <w:jc w:val="both"/>
        <w:rPr>
          <w:rFonts w:ascii="Arial" w:hAnsi="Arial" w:cs="Arial"/>
          <w:sz w:val="20"/>
          <w:szCs w:val="20"/>
        </w:rPr>
      </w:pPr>
      <w:r w:rsidRPr="00260AFD">
        <w:rPr>
          <w:rFonts w:ascii="Arial" w:hAnsi="Arial" w:cs="Arial"/>
          <w:sz w:val="20"/>
          <w:szCs w:val="20"/>
        </w:rPr>
        <w:t>The structure must be able to support limit loads without permanent deformations or other detrimental effects.</w:t>
      </w:r>
    </w:p>
    <w:p w14:paraId="1ACFBC98" w14:textId="77777777" w:rsidR="00260AFD" w:rsidRPr="00260AFD" w:rsidRDefault="00260AFD" w:rsidP="00A56A31">
      <w:pPr>
        <w:pStyle w:val="ListParagraph"/>
        <w:numPr>
          <w:ilvl w:val="0"/>
          <w:numId w:val="377"/>
        </w:numPr>
        <w:tabs>
          <w:tab w:val="left" w:pos="707"/>
        </w:tabs>
        <w:spacing w:line="276" w:lineRule="auto"/>
        <w:ind w:right="26"/>
        <w:jc w:val="both"/>
        <w:rPr>
          <w:rFonts w:ascii="Arial" w:hAnsi="Arial" w:cs="Arial"/>
          <w:sz w:val="20"/>
          <w:szCs w:val="20"/>
        </w:rPr>
      </w:pPr>
      <w:r w:rsidRPr="00260AFD">
        <w:rPr>
          <w:rFonts w:ascii="Arial" w:hAnsi="Arial" w:cs="Arial"/>
          <w:sz w:val="20"/>
          <w:szCs w:val="20"/>
        </w:rPr>
        <w:t>The structure must be able to withstand ultimate loads for at least 3 seconds without failure.</w:t>
      </w:r>
    </w:p>
    <w:p w14:paraId="2E82D861" w14:textId="77777777" w:rsidR="00260AFD" w:rsidRPr="00260AFD" w:rsidRDefault="00260AFD" w:rsidP="00A56A31">
      <w:pPr>
        <w:pStyle w:val="ListParagraph"/>
        <w:numPr>
          <w:ilvl w:val="0"/>
          <w:numId w:val="377"/>
        </w:numPr>
        <w:tabs>
          <w:tab w:val="left" w:pos="707"/>
        </w:tabs>
        <w:spacing w:line="276" w:lineRule="auto"/>
        <w:ind w:right="26"/>
        <w:jc w:val="both"/>
        <w:rPr>
          <w:rFonts w:ascii="Arial" w:hAnsi="Arial" w:cs="Arial"/>
          <w:sz w:val="20"/>
          <w:szCs w:val="20"/>
        </w:rPr>
      </w:pPr>
      <w:r w:rsidRPr="00260AFD">
        <w:rPr>
          <w:rFonts w:ascii="Arial" w:hAnsi="Arial" w:cs="Arial"/>
          <w:sz w:val="20"/>
          <w:szCs w:val="20"/>
        </w:rPr>
        <w:t>For the balloon envelope, proof of strength must also make allowance for tear growth after damage of the envelope in order to prevent propagation of a tear to a hazardous size. (See AMC 31HB.27(c))</w:t>
      </w:r>
    </w:p>
    <w:p w14:paraId="6CB3CDD0" w14:textId="77777777" w:rsidR="00260AFD" w:rsidRPr="00260AFD" w:rsidRDefault="00260AFD" w:rsidP="00A56A31">
      <w:pPr>
        <w:pStyle w:val="ListParagraph"/>
        <w:numPr>
          <w:ilvl w:val="0"/>
          <w:numId w:val="377"/>
        </w:numPr>
        <w:tabs>
          <w:tab w:val="left" w:pos="707"/>
        </w:tabs>
        <w:spacing w:line="276" w:lineRule="auto"/>
        <w:ind w:right="26"/>
        <w:jc w:val="both"/>
        <w:rPr>
          <w:rFonts w:ascii="Arial" w:hAnsi="Arial" w:cs="Arial"/>
          <w:sz w:val="20"/>
          <w:szCs w:val="20"/>
        </w:rPr>
      </w:pPr>
      <w:r w:rsidRPr="00260AFD">
        <w:rPr>
          <w:rFonts w:ascii="Arial" w:hAnsi="Arial" w:cs="Arial"/>
          <w:sz w:val="20"/>
          <w:szCs w:val="20"/>
        </w:rPr>
        <w:t>The basket must be of a generally robust design and afford the occupants adequate protection during a hard or fast landing. There must be no design feature that by reasonably envisaged distortion or failure would be likely to cause serious injury   to   the   occupants.   (See AMC 31HB.27(d))</w:t>
      </w:r>
    </w:p>
    <w:p w14:paraId="48EB96D4" w14:textId="77777777" w:rsidR="00260AFD" w:rsidRPr="00260AFD" w:rsidRDefault="00260AFD" w:rsidP="00A56A31">
      <w:pPr>
        <w:pStyle w:val="ListParagraph"/>
        <w:numPr>
          <w:ilvl w:val="0"/>
          <w:numId w:val="377"/>
        </w:numPr>
        <w:tabs>
          <w:tab w:val="left" w:pos="707"/>
        </w:tabs>
        <w:spacing w:line="276" w:lineRule="auto"/>
        <w:ind w:right="26"/>
        <w:jc w:val="both"/>
        <w:rPr>
          <w:rFonts w:ascii="Arial" w:hAnsi="Arial" w:cs="Arial"/>
          <w:sz w:val="20"/>
          <w:szCs w:val="20"/>
        </w:rPr>
      </w:pPr>
      <w:r w:rsidRPr="00260AFD">
        <w:rPr>
          <w:rFonts w:ascii="Arial" w:hAnsi="Arial" w:cs="Arial"/>
          <w:sz w:val="20"/>
          <w:szCs w:val="20"/>
        </w:rPr>
        <w:t>The design and strength of components (particularly the burner frame/load frame) must also consider the effects of recurrent and other loads experienced during ground handling and transportation. (See AMC 31HB.27(e))</w:t>
      </w:r>
    </w:p>
    <w:p w14:paraId="11061D02" w14:textId="77777777" w:rsidR="00260AFD" w:rsidRPr="00260AFD" w:rsidRDefault="00260AFD" w:rsidP="00A56A31">
      <w:pPr>
        <w:pStyle w:val="ListParagraph"/>
        <w:numPr>
          <w:ilvl w:val="0"/>
          <w:numId w:val="377"/>
        </w:numPr>
        <w:tabs>
          <w:tab w:val="left" w:pos="707"/>
        </w:tabs>
        <w:spacing w:line="276" w:lineRule="auto"/>
        <w:ind w:right="26"/>
        <w:jc w:val="both"/>
        <w:rPr>
          <w:rFonts w:ascii="Arial" w:hAnsi="Arial" w:cs="Arial"/>
          <w:sz w:val="20"/>
          <w:szCs w:val="20"/>
        </w:rPr>
      </w:pPr>
      <w:r w:rsidRPr="00260AFD">
        <w:rPr>
          <w:rFonts w:ascii="Arial" w:hAnsi="Arial" w:cs="Arial"/>
          <w:sz w:val="20"/>
          <w:szCs w:val="20"/>
        </w:rPr>
        <w:t>The effect of temperature and other operating characteristics that may affect strength of the balloon must be accounted for.</w:t>
      </w:r>
    </w:p>
    <w:p w14:paraId="32938EF9" w14:textId="77777777" w:rsidR="00260AFD" w:rsidRPr="00260AFD" w:rsidRDefault="00260AFD" w:rsidP="00A56A31">
      <w:pPr>
        <w:pStyle w:val="ListParagraph"/>
        <w:numPr>
          <w:ilvl w:val="0"/>
          <w:numId w:val="377"/>
        </w:numPr>
        <w:tabs>
          <w:tab w:val="left" w:pos="707"/>
        </w:tabs>
        <w:spacing w:line="276" w:lineRule="auto"/>
        <w:ind w:right="26"/>
        <w:jc w:val="both"/>
        <w:rPr>
          <w:rFonts w:ascii="Arial" w:hAnsi="Arial" w:cs="Arial"/>
          <w:sz w:val="20"/>
          <w:szCs w:val="20"/>
        </w:rPr>
      </w:pPr>
      <w:r w:rsidRPr="00260AFD">
        <w:rPr>
          <w:rFonts w:ascii="Arial" w:hAnsi="Arial" w:cs="Arial"/>
          <w:sz w:val="20"/>
          <w:szCs w:val="20"/>
        </w:rPr>
        <w:t>Each item of mass that could cause an unsafe condition if it broke loose must be restrained under all loads up to the ultimate loads specified in this paragraph. The local attachments in the load path between the restrains and the structure should be designed to withstand 1.33 times the specified ultimate loads (See AMC 31HB.27(g)):</w:t>
      </w:r>
    </w:p>
    <w:p w14:paraId="61E0B79A" w14:textId="77777777" w:rsidR="00260AFD" w:rsidRPr="00260AFD" w:rsidRDefault="00260AFD" w:rsidP="00A56A31">
      <w:pPr>
        <w:pStyle w:val="ListParagraph"/>
        <w:numPr>
          <w:ilvl w:val="0"/>
          <w:numId w:val="377"/>
        </w:numPr>
        <w:tabs>
          <w:tab w:val="left" w:pos="707"/>
        </w:tabs>
        <w:spacing w:line="276" w:lineRule="auto"/>
        <w:ind w:right="26"/>
        <w:jc w:val="both"/>
        <w:rPr>
          <w:rFonts w:ascii="Arial" w:hAnsi="Arial" w:cs="Arial"/>
          <w:sz w:val="20"/>
          <w:szCs w:val="20"/>
        </w:rPr>
      </w:pPr>
      <w:r w:rsidRPr="00260AFD">
        <w:rPr>
          <w:rFonts w:ascii="Arial" w:hAnsi="Arial" w:cs="Arial"/>
          <w:sz w:val="20"/>
          <w:szCs w:val="20"/>
        </w:rPr>
        <w:t>Horizontal 6.0g,</w:t>
      </w:r>
    </w:p>
    <w:p w14:paraId="04F08449" w14:textId="77777777" w:rsidR="00260AFD" w:rsidRPr="00260AFD" w:rsidRDefault="00260AFD" w:rsidP="00A56A31">
      <w:pPr>
        <w:pStyle w:val="ListParagraph"/>
        <w:numPr>
          <w:ilvl w:val="1"/>
          <w:numId w:val="377"/>
        </w:numPr>
        <w:tabs>
          <w:tab w:val="left" w:pos="1276"/>
        </w:tabs>
        <w:spacing w:line="276" w:lineRule="auto"/>
        <w:ind w:hanging="570"/>
        <w:rPr>
          <w:rFonts w:ascii="Arial" w:hAnsi="Arial" w:cs="Arial"/>
          <w:sz w:val="20"/>
          <w:szCs w:val="20"/>
        </w:rPr>
      </w:pPr>
      <w:r w:rsidRPr="00260AFD">
        <w:rPr>
          <w:rFonts w:ascii="Arial" w:hAnsi="Arial" w:cs="Arial"/>
          <w:sz w:val="20"/>
          <w:szCs w:val="20"/>
        </w:rPr>
        <w:t>Downward</w:t>
      </w:r>
      <w:r w:rsidRPr="00260AFD">
        <w:rPr>
          <w:rFonts w:ascii="Arial" w:hAnsi="Arial" w:cs="Arial"/>
          <w:spacing w:val="-3"/>
          <w:sz w:val="20"/>
          <w:szCs w:val="20"/>
        </w:rPr>
        <w:t xml:space="preserve"> </w:t>
      </w:r>
      <w:r w:rsidRPr="00260AFD">
        <w:rPr>
          <w:rFonts w:ascii="Arial" w:hAnsi="Arial" w:cs="Arial"/>
          <w:sz w:val="20"/>
          <w:szCs w:val="20"/>
        </w:rPr>
        <w:t>6.0g,</w:t>
      </w:r>
    </w:p>
    <w:p w14:paraId="1A0FA93B" w14:textId="77777777" w:rsidR="00260AFD" w:rsidRPr="00260AFD" w:rsidRDefault="00260AFD" w:rsidP="00A56A31">
      <w:pPr>
        <w:pStyle w:val="ListParagraph"/>
        <w:numPr>
          <w:ilvl w:val="1"/>
          <w:numId w:val="377"/>
        </w:numPr>
        <w:tabs>
          <w:tab w:val="left" w:pos="1276"/>
        </w:tabs>
        <w:spacing w:before="118" w:line="276" w:lineRule="auto"/>
        <w:ind w:hanging="570"/>
        <w:rPr>
          <w:rFonts w:ascii="Arial" w:hAnsi="Arial" w:cs="Arial"/>
          <w:sz w:val="20"/>
          <w:szCs w:val="20"/>
        </w:rPr>
      </w:pPr>
      <w:r w:rsidRPr="00260AFD">
        <w:rPr>
          <w:rFonts w:ascii="Arial" w:hAnsi="Arial" w:cs="Arial"/>
          <w:sz w:val="20"/>
          <w:szCs w:val="20"/>
        </w:rPr>
        <w:t>Upward</w:t>
      </w:r>
      <w:r w:rsidRPr="00260AFD">
        <w:rPr>
          <w:rFonts w:ascii="Arial" w:hAnsi="Arial" w:cs="Arial"/>
          <w:spacing w:val="-1"/>
          <w:sz w:val="20"/>
          <w:szCs w:val="20"/>
        </w:rPr>
        <w:t xml:space="preserve"> </w:t>
      </w:r>
      <w:r w:rsidRPr="00260AFD">
        <w:rPr>
          <w:rFonts w:ascii="Arial" w:hAnsi="Arial" w:cs="Arial"/>
          <w:sz w:val="20"/>
          <w:szCs w:val="20"/>
        </w:rPr>
        <w:t>2.0g.</w:t>
      </w:r>
    </w:p>
    <w:p w14:paraId="44CE49F1" w14:textId="77777777" w:rsidR="00913ED2" w:rsidRPr="00913ED2" w:rsidRDefault="00913ED2" w:rsidP="00913ED2">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240" w:name="AMC_31HB.27_Strength_and_proof_of_streng"/>
      <w:bookmarkStart w:id="1241" w:name="_bookmark519"/>
      <w:bookmarkStart w:id="1242" w:name="_Toc153137682"/>
      <w:bookmarkEnd w:id="1240"/>
      <w:bookmarkEnd w:id="1241"/>
      <w:r w:rsidRPr="00913ED2">
        <w:rPr>
          <w:rFonts w:ascii="Arial" w:eastAsia="Times New Roman" w:hAnsi="Arial" w:cs="Times New Roman"/>
          <w:b/>
          <w:color w:val="FFFFFF"/>
          <w:sz w:val="24"/>
        </w:rPr>
        <w:t>AMC 31HB.27 Strength and proof of strength</w:t>
      </w:r>
      <w:bookmarkEnd w:id="1242"/>
    </w:p>
    <w:p w14:paraId="38F77A38" w14:textId="77777777" w:rsidR="00913ED2" w:rsidRPr="00260AFD" w:rsidRDefault="00913ED2" w:rsidP="0019566F">
      <w:pPr>
        <w:spacing w:before="122" w:line="276" w:lineRule="auto"/>
        <w:jc w:val="both"/>
        <w:rPr>
          <w:rFonts w:ascii="Arial" w:hAnsi="Arial" w:cs="Arial"/>
          <w:sz w:val="20"/>
          <w:szCs w:val="20"/>
        </w:rPr>
      </w:pPr>
      <w:r w:rsidRPr="00913ED2">
        <w:rPr>
          <w:rFonts w:ascii="Arial" w:hAnsi="Arial" w:cs="Arial"/>
          <w:sz w:val="20"/>
          <w:szCs w:val="20"/>
        </w:rPr>
        <w:t>Proof of compliance with the strength requirements should cover the balloon's entire operating range. Proof by calculation only can be accepted for designs where it has been demonstrated by experience that such calculation gives reliable results. Load tests should be performed in all other cases.</w:t>
      </w:r>
    </w:p>
    <w:p w14:paraId="09187DC1" w14:textId="77777777" w:rsidR="0019566F" w:rsidRPr="0019566F" w:rsidRDefault="0019566F" w:rsidP="0019566F">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243" w:name="AMC_31HB.27(c)_Strength_and_proof_of_str"/>
      <w:bookmarkStart w:id="1244" w:name="_bookmark520"/>
      <w:bookmarkStart w:id="1245" w:name="_Toc153137683"/>
      <w:bookmarkEnd w:id="1243"/>
      <w:bookmarkEnd w:id="1244"/>
      <w:r w:rsidRPr="0019566F">
        <w:rPr>
          <w:rFonts w:ascii="Arial" w:eastAsia="Times New Roman" w:hAnsi="Arial" w:cs="Times New Roman"/>
          <w:b/>
          <w:color w:val="FFFFFF"/>
          <w:sz w:val="24"/>
        </w:rPr>
        <w:t>AMC 31HB.27(c) Strength and proof of strength</w:t>
      </w:r>
      <w:bookmarkEnd w:id="1245"/>
    </w:p>
    <w:p w14:paraId="0B9D0C90" w14:textId="77777777" w:rsidR="0019566F" w:rsidRPr="0019566F" w:rsidRDefault="0019566F" w:rsidP="0019566F">
      <w:pPr>
        <w:spacing w:before="122" w:line="276" w:lineRule="auto"/>
        <w:jc w:val="both"/>
        <w:rPr>
          <w:rFonts w:ascii="Arial" w:hAnsi="Arial" w:cs="Arial"/>
          <w:sz w:val="20"/>
          <w:szCs w:val="20"/>
        </w:rPr>
      </w:pPr>
      <w:r w:rsidRPr="0019566F">
        <w:rPr>
          <w:rFonts w:ascii="Arial" w:hAnsi="Arial" w:cs="Arial"/>
          <w:sz w:val="20"/>
          <w:szCs w:val="20"/>
        </w:rPr>
        <w:t>For the envelope tests may be performed on representative portions of the envelope provided the dimensions of these portions are sufficiently large to include critical design features and details such as critical seams, joints, load-attachment points, etc.</w:t>
      </w:r>
    </w:p>
    <w:p w14:paraId="22F7B3AD" w14:textId="77777777" w:rsidR="0019566F" w:rsidRPr="0019566F" w:rsidRDefault="0019566F" w:rsidP="0019566F">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246" w:name="AMC_31HB.27(d)_Strength_and_proof_of_str"/>
      <w:bookmarkStart w:id="1247" w:name="_bookmark521"/>
      <w:bookmarkStart w:id="1248" w:name="_Toc153137684"/>
      <w:bookmarkEnd w:id="1246"/>
      <w:bookmarkEnd w:id="1247"/>
      <w:r w:rsidRPr="0019566F">
        <w:rPr>
          <w:rFonts w:ascii="Arial" w:eastAsia="Times New Roman" w:hAnsi="Arial" w:cs="Times New Roman"/>
          <w:b/>
          <w:color w:val="FFFFFF"/>
          <w:sz w:val="24"/>
        </w:rPr>
        <w:t>AMC 31HB.27(d) Strength and proof of strength</w:t>
      </w:r>
      <w:bookmarkEnd w:id="1248"/>
    </w:p>
    <w:p w14:paraId="13B4B2A4" w14:textId="77777777" w:rsidR="0019566F" w:rsidRPr="0019566F" w:rsidRDefault="0019566F" w:rsidP="0019566F">
      <w:pPr>
        <w:spacing w:before="122" w:line="276" w:lineRule="auto"/>
        <w:jc w:val="both"/>
        <w:rPr>
          <w:rFonts w:ascii="Arial" w:hAnsi="Arial" w:cs="Arial"/>
          <w:sz w:val="20"/>
          <w:szCs w:val="20"/>
        </w:rPr>
      </w:pPr>
      <w:r w:rsidRPr="0019566F">
        <w:rPr>
          <w:rFonts w:ascii="Arial" w:hAnsi="Arial" w:cs="Arial"/>
          <w:sz w:val="20"/>
          <w:szCs w:val="20"/>
        </w:rPr>
        <w:t>A drop test should be performed if it is not possible to make use of an existing proven basket of the same or similar design (in terms of construction method, size, layout etc.) for a balloon of the size that is the subject of the application. In the absence of an alternative test proposal, this test should be performed at the maximum design mass of the basket in a manner that simulates the effects of gravity that occur as realistically as possible. The basket is dropped onto a horizontal concrete surface from a height of 1 m at 0°, 15° and 30°. The drop test should not result in deformation or fractures which, by their nature, could lead to the serious injury of occupants.</w:t>
      </w:r>
    </w:p>
    <w:p w14:paraId="1635F94D" w14:textId="77777777" w:rsidR="0019566F" w:rsidRPr="009B2A30" w:rsidRDefault="0019566F" w:rsidP="0019566F">
      <w:pPr>
        <w:spacing w:before="122" w:line="276" w:lineRule="auto"/>
        <w:jc w:val="both"/>
        <w:rPr>
          <w:rFonts w:ascii="Arial" w:hAnsi="Arial" w:cs="Arial"/>
          <w:i/>
          <w:sz w:val="20"/>
          <w:szCs w:val="20"/>
        </w:rPr>
      </w:pPr>
      <w:r w:rsidRPr="009B2A30">
        <w:rPr>
          <w:rFonts w:ascii="Arial" w:hAnsi="Arial" w:cs="Arial"/>
          <w:i/>
          <w:sz w:val="20"/>
          <w:szCs w:val="20"/>
        </w:rPr>
        <w:t>Note: It has been shown by a number of decades of in-service experience that the traditional reinforced woven wicker and willow basket design offers a combination of resilience and impact resistance that can contribute considerably to the protection of occupants. The structure is also able to absorb considerable kinetic energy during impact on the ground or against obstacles.</w:t>
      </w:r>
    </w:p>
    <w:p w14:paraId="2FA9A989" w14:textId="77777777" w:rsidR="00D777F5" w:rsidRPr="00D777F5" w:rsidRDefault="00D777F5" w:rsidP="00D777F5">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249" w:name="AMC_31HB.27(e)_Strength_and_proof_of_str"/>
      <w:bookmarkStart w:id="1250" w:name="_bookmark522"/>
      <w:bookmarkStart w:id="1251" w:name="_Toc153137685"/>
      <w:bookmarkEnd w:id="1249"/>
      <w:bookmarkEnd w:id="1250"/>
      <w:r w:rsidRPr="00D777F5">
        <w:rPr>
          <w:rFonts w:ascii="Arial" w:eastAsia="Times New Roman" w:hAnsi="Arial" w:cs="Times New Roman"/>
          <w:b/>
          <w:color w:val="FFFFFF"/>
          <w:sz w:val="24"/>
        </w:rPr>
        <w:t>AMC 31HB.27(e) Strength and proof of strength</w:t>
      </w:r>
      <w:bookmarkEnd w:id="1251"/>
    </w:p>
    <w:p w14:paraId="1AD9A6D7" w14:textId="77777777" w:rsidR="00D777F5" w:rsidRPr="00D777F5" w:rsidRDefault="00D777F5" w:rsidP="00D777F5">
      <w:pPr>
        <w:spacing w:before="122" w:line="276" w:lineRule="auto"/>
        <w:jc w:val="both"/>
        <w:rPr>
          <w:rFonts w:ascii="Arial" w:hAnsi="Arial" w:cs="Arial"/>
          <w:sz w:val="20"/>
          <w:szCs w:val="20"/>
        </w:rPr>
      </w:pPr>
      <w:r w:rsidRPr="00D777F5">
        <w:rPr>
          <w:rFonts w:ascii="Arial" w:hAnsi="Arial" w:cs="Arial"/>
          <w:sz w:val="20"/>
          <w:szCs w:val="20"/>
        </w:rPr>
        <w:t xml:space="preserve">The strength requirements should include consideration of the ground handling case. The loads </w:t>
      </w:r>
      <w:r w:rsidRPr="00D777F5">
        <w:rPr>
          <w:rFonts w:ascii="Arial" w:hAnsi="Arial" w:cs="Arial"/>
          <w:sz w:val="20"/>
          <w:szCs w:val="20"/>
        </w:rPr>
        <w:lastRenderedPageBreak/>
        <w:t>occurring in service should be determined and the parts and components under particular stress should be designed in accordance with their designated use and dimensioned such as not to fail under recurrent loads.</w:t>
      </w:r>
    </w:p>
    <w:p w14:paraId="2AE2572E" w14:textId="77777777" w:rsidR="00D777F5" w:rsidRPr="00D777F5" w:rsidRDefault="00D777F5" w:rsidP="00D777F5">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252" w:name="AMC_31HB.27(g)_Strength_and_proof_of_str"/>
      <w:bookmarkStart w:id="1253" w:name="_bookmark523"/>
      <w:bookmarkStart w:id="1254" w:name="_Toc153137686"/>
      <w:bookmarkEnd w:id="1252"/>
      <w:bookmarkEnd w:id="1253"/>
      <w:r w:rsidRPr="00D777F5">
        <w:rPr>
          <w:rFonts w:ascii="Arial" w:eastAsia="Times New Roman" w:hAnsi="Arial" w:cs="Times New Roman"/>
          <w:b/>
          <w:color w:val="FFFFFF"/>
          <w:sz w:val="24"/>
        </w:rPr>
        <w:t>AMC 31HB.27(g) Strength and proof of strength</w:t>
      </w:r>
      <w:bookmarkEnd w:id="1254"/>
    </w:p>
    <w:p w14:paraId="483747B8" w14:textId="77777777" w:rsidR="00D777F5" w:rsidRPr="00D777F5" w:rsidRDefault="00D777F5" w:rsidP="00D777F5">
      <w:pPr>
        <w:spacing w:before="122" w:line="276" w:lineRule="auto"/>
        <w:jc w:val="both"/>
        <w:rPr>
          <w:rFonts w:ascii="Arial" w:hAnsi="Arial" w:cs="Arial"/>
          <w:sz w:val="20"/>
          <w:szCs w:val="20"/>
        </w:rPr>
      </w:pPr>
      <w:r w:rsidRPr="00D777F5">
        <w:rPr>
          <w:rFonts w:ascii="Arial" w:hAnsi="Arial" w:cs="Arial"/>
          <w:sz w:val="20"/>
          <w:szCs w:val="20"/>
        </w:rPr>
        <w:t>This requirement for items of mass does not apply to fuel cells that are subject to specific requirements in CS 31HB.45(c)</w:t>
      </w:r>
    </w:p>
    <w:p w14:paraId="0BC726AD" w14:textId="77777777" w:rsidR="00D777F5" w:rsidRPr="00D777F5" w:rsidRDefault="00D777F5" w:rsidP="00D777F5">
      <w:pPr>
        <w:spacing w:before="122" w:line="276" w:lineRule="auto"/>
        <w:jc w:val="both"/>
        <w:rPr>
          <w:rFonts w:ascii="Arial" w:hAnsi="Arial" w:cs="Arial"/>
          <w:sz w:val="20"/>
          <w:szCs w:val="20"/>
        </w:rPr>
      </w:pPr>
      <w:r w:rsidRPr="00D777F5">
        <w:rPr>
          <w:rFonts w:ascii="Arial" w:hAnsi="Arial" w:cs="Arial"/>
          <w:sz w:val="20"/>
          <w:szCs w:val="20"/>
        </w:rPr>
        <w:t>Items of mass (e.g. batteries or equipment) inside the basket or attached to the suspension system near or above the occupants should be considered because of their risk to the occupants.</w:t>
      </w:r>
    </w:p>
    <w:p w14:paraId="7223839A" w14:textId="77777777" w:rsidR="00D777F5" w:rsidRPr="00D777F5" w:rsidRDefault="00D777F5" w:rsidP="00D777F5">
      <w:pPr>
        <w:spacing w:before="122" w:line="276" w:lineRule="auto"/>
        <w:jc w:val="both"/>
        <w:rPr>
          <w:rFonts w:ascii="Arial" w:hAnsi="Arial" w:cs="Arial"/>
          <w:sz w:val="20"/>
          <w:szCs w:val="20"/>
        </w:rPr>
      </w:pPr>
      <w:r w:rsidRPr="00D777F5">
        <w:rPr>
          <w:rFonts w:ascii="Arial" w:hAnsi="Arial" w:cs="Arial"/>
          <w:sz w:val="20"/>
          <w:szCs w:val="20"/>
        </w:rPr>
        <w:t>Items of mass that do not cause a risk to the occupants during a hard or fast landing, but could become detached from the balloon (e.g. ballast attached to the outside of the basket in case of a mixed balloon), should be considered because of the potential loss of mass.</w:t>
      </w:r>
    </w:p>
    <w:p w14:paraId="6123EC23" w14:textId="77777777" w:rsidR="009328D7" w:rsidRPr="009328D7" w:rsidRDefault="009328D7" w:rsidP="009328D7">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255" w:name="CS_31HB.28_Tethered_flight_loads"/>
      <w:bookmarkStart w:id="1256" w:name="_bookmark524"/>
      <w:bookmarkStart w:id="1257" w:name="_Toc153137687"/>
      <w:bookmarkEnd w:id="1255"/>
      <w:bookmarkEnd w:id="1256"/>
      <w:r w:rsidRPr="009328D7">
        <w:rPr>
          <w:rFonts w:ascii="Arial" w:eastAsia="Times New Roman" w:hAnsi="Arial" w:cs="Times New Roman"/>
          <w:b/>
          <w:iCs/>
          <w:color w:val="FFFFFF"/>
          <w:sz w:val="24"/>
        </w:rPr>
        <w:t>CS 31HB.28 Tethered flight loads</w:t>
      </w:r>
      <w:bookmarkEnd w:id="1257"/>
    </w:p>
    <w:p w14:paraId="3A26F48D" w14:textId="77777777" w:rsidR="009328D7" w:rsidRPr="009328D7" w:rsidRDefault="009328D7" w:rsidP="00A56A31">
      <w:pPr>
        <w:pStyle w:val="ListParagraph"/>
        <w:numPr>
          <w:ilvl w:val="0"/>
          <w:numId w:val="378"/>
        </w:numPr>
        <w:tabs>
          <w:tab w:val="left" w:pos="707"/>
        </w:tabs>
        <w:spacing w:line="276" w:lineRule="auto"/>
        <w:ind w:right="26"/>
        <w:jc w:val="both"/>
        <w:rPr>
          <w:rFonts w:ascii="Arial" w:hAnsi="Arial" w:cs="Arial"/>
          <w:sz w:val="20"/>
          <w:szCs w:val="20"/>
        </w:rPr>
      </w:pPr>
      <w:r w:rsidRPr="009328D7">
        <w:rPr>
          <w:rFonts w:ascii="Arial" w:hAnsi="Arial" w:cs="Arial"/>
          <w:sz w:val="20"/>
          <w:szCs w:val="20"/>
        </w:rPr>
        <w:t>The effects of the loads associated with tethered flight on the balloon’s components (particularly the burner frame/load frame) and any additional equipment (if required) must be considered in the design. (See AMC 31HB.28(a))</w:t>
      </w:r>
    </w:p>
    <w:p w14:paraId="0380860A" w14:textId="77777777" w:rsidR="009328D7" w:rsidRPr="009328D7" w:rsidRDefault="009328D7" w:rsidP="00A56A31">
      <w:pPr>
        <w:pStyle w:val="ListParagraph"/>
        <w:numPr>
          <w:ilvl w:val="0"/>
          <w:numId w:val="378"/>
        </w:numPr>
        <w:tabs>
          <w:tab w:val="left" w:pos="707"/>
        </w:tabs>
        <w:spacing w:line="276" w:lineRule="auto"/>
        <w:ind w:right="26"/>
        <w:jc w:val="both"/>
        <w:rPr>
          <w:rFonts w:ascii="Arial" w:hAnsi="Arial" w:cs="Arial"/>
          <w:sz w:val="20"/>
          <w:szCs w:val="20"/>
        </w:rPr>
      </w:pPr>
      <w:r w:rsidRPr="009328D7">
        <w:rPr>
          <w:rFonts w:ascii="Arial" w:hAnsi="Arial" w:cs="Arial"/>
          <w:sz w:val="20"/>
          <w:szCs w:val="20"/>
        </w:rPr>
        <w:t>The tethered restraint system must be designed so that any single failure will not jeopardise the safety of the occupants, the balloon and or third parties.</w:t>
      </w:r>
    </w:p>
    <w:p w14:paraId="74A2E5AD" w14:textId="77777777" w:rsidR="009328D7" w:rsidRPr="009328D7" w:rsidRDefault="009328D7" w:rsidP="00A56A31">
      <w:pPr>
        <w:pStyle w:val="ListParagraph"/>
        <w:numPr>
          <w:ilvl w:val="0"/>
          <w:numId w:val="378"/>
        </w:numPr>
        <w:tabs>
          <w:tab w:val="left" w:pos="707"/>
        </w:tabs>
        <w:spacing w:line="276" w:lineRule="auto"/>
        <w:ind w:right="26"/>
        <w:jc w:val="both"/>
        <w:rPr>
          <w:rFonts w:ascii="Arial" w:hAnsi="Arial" w:cs="Arial"/>
          <w:sz w:val="20"/>
          <w:szCs w:val="20"/>
        </w:rPr>
      </w:pPr>
      <w:r w:rsidRPr="009328D7">
        <w:rPr>
          <w:rFonts w:ascii="Arial" w:hAnsi="Arial" w:cs="Arial"/>
          <w:sz w:val="20"/>
          <w:szCs w:val="20"/>
        </w:rPr>
        <w:t>The landing load factor and factor of safety for suspension components must be used for tethering-specific components forming part of the primary load path (e.g. forged rings, v- bridles). (See AMC 31HB.28(c))</w:t>
      </w:r>
    </w:p>
    <w:p w14:paraId="285218F5" w14:textId="77777777" w:rsidR="009328D7" w:rsidRPr="009328D7" w:rsidRDefault="009328D7" w:rsidP="00A56A31">
      <w:pPr>
        <w:pStyle w:val="ListParagraph"/>
        <w:numPr>
          <w:ilvl w:val="0"/>
          <w:numId w:val="378"/>
        </w:numPr>
        <w:tabs>
          <w:tab w:val="left" w:pos="707"/>
        </w:tabs>
        <w:spacing w:line="276" w:lineRule="auto"/>
        <w:ind w:right="26"/>
        <w:jc w:val="both"/>
        <w:rPr>
          <w:rFonts w:ascii="Arial" w:hAnsi="Arial" w:cs="Arial"/>
          <w:sz w:val="20"/>
          <w:szCs w:val="20"/>
        </w:rPr>
      </w:pPr>
      <w:r w:rsidRPr="009328D7">
        <w:rPr>
          <w:rFonts w:ascii="Arial" w:hAnsi="Arial" w:cs="Arial"/>
          <w:sz w:val="20"/>
          <w:szCs w:val="20"/>
        </w:rPr>
        <w:t>Operational limitations, associated to tethered flight, must be established and recorded in the Flight Manual. (See CS 31HB.81(b)(2))</w:t>
      </w:r>
    </w:p>
    <w:p w14:paraId="70943343" w14:textId="77777777" w:rsidR="00376621" w:rsidRPr="00376621" w:rsidRDefault="00376621" w:rsidP="00376621">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258" w:name="AMC_31HB.28(a)_Tethered_flight_loads"/>
      <w:bookmarkStart w:id="1259" w:name="_bookmark525"/>
      <w:bookmarkStart w:id="1260" w:name="_Toc153137688"/>
      <w:bookmarkEnd w:id="1258"/>
      <w:bookmarkEnd w:id="1259"/>
      <w:r w:rsidRPr="00376621">
        <w:rPr>
          <w:rFonts w:ascii="Arial" w:eastAsia="Times New Roman" w:hAnsi="Arial" w:cs="Times New Roman"/>
          <w:b/>
          <w:color w:val="FFFFFF"/>
          <w:sz w:val="24"/>
        </w:rPr>
        <w:t>AMC 31HB.28(a) Tethered flight loads</w:t>
      </w:r>
      <w:bookmarkEnd w:id="1260"/>
    </w:p>
    <w:p w14:paraId="007F7D64" w14:textId="77777777" w:rsidR="00376621" w:rsidRPr="00376621" w:rsidRDefault="00376621" w:rsidP="00376621">
      <w:pPr>
        <w:spacing w:before="122" w:line="276" w:lineRule="auto"/>
        <w:jc w:val="both"/>
        <w:rPr>
          <w:rFonts w:ascii="Arial" w:hAnsi="Arial" w:cs="Arial"/>
          <w:sz w:val="20"/>
          <w:szCs w:val="20"/>
        </w:rPr>
      </w:pPr>
      <w:r w:rsidRPr="00376621">
        <w:rPr>
          <w:rFonts w:ascii="Arial" w:hAnsi="Arial" w:cs="Arial"/>
          <w:sz w:val="20"/>
          <w:szCs w:val="20"/>
        </w:rPr>
        <w:t>Due to the complexity of tethered flight loading, a simple analysis using configurations based on industry best practice (e.g. 'restraints/tether lines in a "flat tripod" configuration with upwind and downwind v-bridles) can be used to determine the suitability of a design.</w:t>
      </w:r>
    </w:p>
    <w:p w14:paraId="35FA161B" w14:textId="77777777" w:rsidR="00376621" w:rsidRPr="009B2A30" w:rsidRDefault="00376621" w:rsidP="00376621">
      <w:pPr>
        <w:spacing w:before="122" w:line="276" w:lineRule="auto"/>
        <w:jc w:val="both"/>
        <w:rPr>
          <w:rFonts w:ascii="Arial" w:hAnsi="Arial" w:cs="Arial"/>
          <w:i/>
          <w:sz w:val="20"/>
          <w:szCs w:val="20"/>
        </w:rPr>
      </w:pPr>
      <w:r w:rsidRPr="009B2A30">
        <w:rPr>
          <w:rFonts w:ascii="Arial" w:hAnsi="Arial" w:cs="Arial"/>
          <w:i/>
          <w:sz w:val="20"/>
          <w:szCs w:val="20"/>
        </w:rPr>
        <w:t>Note: The greatest danger during tethering is if any element of the tethering equipment should fail with insufficient positive buoyancy for safe free flight. For this reason single point/single element tethering should not be considered.</w:t>
      </w:r>
    </w:p>
    <w:p w14:paraId="562EED2A" w14:textId="77777777" w:rsidR="00376621" w:rsidRPr="00376621" w:rsidRDefault="00376621" w:rsidP="00376621">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261" w:name="AMC_31HB.28(c)_Tethered_flight_loads"/>
      <w:bookmarkStart w:id="1262" w:name="_bookmark526"/>
      <w:bookmarkStart w:id="1263" w:name="_Toc153137689"/>
      <w:bookmarkEnd w:id="1261"/>
      <w:bookmarkEnd w:id="1262"/>
      <w:r w:rsidRPr="00376621">
        <w:rPr>
          <w:rFonts w:ascii="Arial" w:eastAsia="Times New Roman" w:hAnsi="Arial" w:cs="Times New Roman"/>
          <w:b/>
          <w:color w:val="FFFFFF"/>
          <w:sz w:val="24"/>
        </w:rPr>
        <w:t>AMC 31HB.28(c) Tethered flight loads</w:t>
      </w:r>
      <w:bookmarkEnd w:id="1263"/>
    </w:p>
    <w:p w14:paraId="614D4404" w14:textId="77777777" w:rsidR="009328D7" w:rsidRPr="00376621" w:rsidRDefault="00376621" w:rsidP="00376621">
      <w:pPr>
        <w:spacing w:before="122" w:line="276" w:lineRule="auto"/>
        <w:jc w:val="both"/>
        <w:rPr>
          <w:rFonts w:ascii="Arial" w:hAnsi="Arial" w:cs="Arial"/>
          <w:sz w:val="20"/>
          <w:szCs w:val="20"/>
        </w:rPr>
      </w:pPr>
      <w:r w:rsidRPr="00376621">
        <w:rPr>
          <w:rFonts w:ascii="Arial" w:hAnsi="Arial" w:cs="Arial"/>
          <w:sz w:val="20"/>
          <w:szCs w:val="20"/>
        </w:rPr>
        <w:t>An appropriate factor of safety is CS 31HB.25(a) for metallic components or CS 31HB.25(c) for non- metallic or fibrous suspension components.</w:t>
      </w:r>
    </w:p>
    <w:p w14:paraId="6C372C89" w14:textId="77777777" w:rsidR="00376621" w:rsidRPr="00376621" w:rsidRDefault="00376621" w:rsidP="00376621">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264" w:name="CS_31HB.30_Restraint_harness"/>
      <w:bookmarkStart w:id="1265" w:name="_bookmark527"/>
      <w:bookmarkStart w:id="1266" w:name="_Toc153137690"/>
      <w:bookmarkEnd w:id="1264"/>
      <w:bookmarkEnd w:id="1265"/>
      <w:r w:rsidRPr="00376621">
        <w:rPr>
          <w:rFonts w:ascii="Arial" w:eastAsia="Times New Roman" w:hAnsi="Arial" w:cs="Times New Roman"/>
          <w:b/>
          <w:iCs/>
          <w:color w:val="FFFFFF"/>
          <w:sz w:val="24"/>
        </w:rPr>
        <w:t>CS 31HB.30 Restraint harness</w:t>
      </w:r>
      <w:bookmarkEnd w:id="1266"/>
    </w:p>
    <w:p w14:paraId="1BB470DE" w14:textId="77777777" w:rsidR="00376621" w:rsidRPr="00376621" w:rsidRDefault="00376621" w:rsidP="00A56A31">
      <w:pPr>
        <w:pStyle w:val="ListParagraph"/>
        <w:numPr>
          <w:ilvl w:val="0"/>
          <w:numId w:val="379"/>
        </w:numPr>
        <w:tabs>
          <w:tab w:val="left" w:pos="707"/>
        </w:tabs>
        <w:ind w:right="26"/>
        <w:rPr>
          <w:rFonts w:ascii="Arial" w:hAnsi="Arial" w:cs="Arial"/>
          <w:sz w:val="20"/>
          <w:szCs w:val="20"/>
        </w:rPr>
      </w:pPr>
      <w:r w:rsidRPr="00376621">
        <w:rPr>
          <w:rFonts w:ascii="Arial" w:hAnsi="Arial" w:cs="Arial"/>
          <w:sz w:val="20"/>
          <w:szCs w:val="20"/>
        </w:rPr>
        <w:t>When</w:t>
      </w:r>
      <w:r w:rsidRPr="00376621">
        <w:rPr>
          <w:rFonts w:ascii="Arial" w:hAnsi="Arial" w:cs="Arial"/>
          <w:spacing w:val="10"/>
          <w:sz w:val="20"/>
          <w:szCs w:val="20"/>
        </w:rPr>
        <w:t xml:space="preserve"> </w:t>
      </w:r>
      <w:r w:rsidRPr="00376621">
        <w:rPr>
          <w:rFonts w:ascii="Arial" w:hAnsi="Arial" w:cs="Arial"/>
          <w:sz w:val="20"/>
          <w:szCs w:val="20"/>
        </w:rPr>
        <w:t>an</w:t>
      </w:r>
      <w:r w:rsidRPr="00376621">
        <w:rPr>
          <w:rFonts w:ascii="Arial" w:hAnsi="Arial" w:cs="Arial"/>
          <w:spacing w:val="10"/>
          <w:sz w:val="20"/>
          <w:szCs w:val="20"/>
        </w:rPr>
        <w:t xml:space="preserve"> </w:t>
      </w:r>
      <w:r w:rsidRPr="00376621">
        <w:rPr>
          <w:rFonts w:ascii="Arial" w:hAnsi="Arial" w:cs="Arial"/>
          <w:sz w:val="20"/>
          <w:szCs w:val="20"/>
        </w:rPr>
        <w:t>occupant</w:t>
      </w:r>
      <w:r w:rsidRPr="00376621">
        <w:rPr>
          <w:rFonts w:ascii="Arial" w:hAnsi="Arial" w:cs="Arial"/>
          <w:spacing w:val="11"/>
          <w:sz w:val="20"/>
          <w:szCs w:val="20"/>
        </w:rPr>
        <w:t xml:space="preserve"> </w:t>
      </w:r>
      <w:r w:rsidRPr="00376621">
        <w:rPr>
          <w:rFonts w:ascii="Arial" w:hAnsi="Arial" w:cs="Arial"/>
          <w:sz w:val="20"/>
          <w:szCs w:val="20"/>
        </w:rPr>
        <w:t>restraint</w:t>
      </w:r>
      <w:r w:rsidRPr="00376621">
        <w:rPr>
          <w:rFonts w:ascii="Arial" w:hAnsi="Arial" w:cs="Arial"/>
          <w:spacing w:val="11"/>
          <w:sz w:val="20"/>
          <w:szCs w:val="20"/>
        </w:rPr>
        <w:t xml:space="preserve"> </w:t>
      </w:r>
      <w:r w:rsidRPr="00376621">
        <w:rPr>
          <w:rFonts w:ascii="Arial" w:hAnsi="Arial" w:cs="Arial"/>
          <w:sz w:val="20"/>
          <w:szCs w:val="20"/>
        </w:rPr>
        <w:t>harness</w:t>
      </w:r>
      <w:r w:rsidRPr="00376621">
        <w:rPr>
          <w:rFonts w:ascii="Arial" w:hAnsi="Arial" w:cs="Arial"/>
          <w:spacing w:val="12"/>
          <w:sz w:val="20"/>
          <w:szCs w:val="20"/>
        </w:rPr>
        <w:t xml:space="preserve"> </w:t>
      </w:r>
      <w:r w:rsidRPr="00376621">
        <w:rPr>
          <w:rFonts w:ascii="Arial" w:hAnsi="Arial" w:cs="Arial"/>
          <w:sz w:val="20"/>
          <w:szCs w:val="20"/>
        </w:rPr>
        <w:t>is</w:t>
      </w:r>
      <w:r w:rsidRPr="00376621">
        <w:rPr>
          <w:rFonts w:ascii="Arial" w:hAnsi="Arial" w:cs="Arial"/>
          <w:spacing w:val="11"/>
          <w:sz w:val="20"/>
          <w:szCs w:val="20"/>
        </w:rPr>
        <w:t xml:space="preserve"> </w:t>
      </w:r>
      <w:r w:rsidRPr="00376621">
        <w:rPr>
          <w:rFonts w:ascii="Arial" w:hAnsi="Arial" w:cs="Arial"/>
          <w:sz w:val="20"/>
          <w:szCs w:val="20"/>
        </w:rPr>
        <w:t>installed,</w:t>
      </w:r>
      <w:r w:rsidRPr="00376621">
        <w:rPr>
          <w:rFonts w:ascii="Arial" w:hAnsi="Arial" w:cs="Arial"/>
          <w:spacing w:val="12"/>
          <w:sz w:val="20"/>
          <w:szCs w:val="20"/>
        </w:rPr>
        <w:t xml:space="preserve"> </w:t>
      </w:r>
      <w:r w:rsidRPr="00376621">
        <w:rPr>
          <w:rFonts w:ascii="Arial" w:hAnsi="Arial" w:cs="Arial"/>
          <w:sz w:val="20"/>
          <w:szCs w:val="20"/>
        </w:rPr>
        <w:t>the</w:t>
      </w:r>
      <w:r w:rsidRPr="00376621">
        <w:rPr>
          <w:rFonts w:ascii="Arial" w:hAnsi="Arial" w:cs="Arial"/>
          <w:spacing w:val="9"/>
          <w:sz w:val="20"/>
          <w:szCs w:val="20"/>
        </w:rPr>
        <w:t xml:space="preserve"> </w:t>
      </w:r>
      <w:r w:rsidRPr="00376621">
        <w:rPr>
          <w:rFonts w:ascii="Arial" w:hAnsi="Arial" w:cs="Arial"/>
          <w:sz w:val="20"/>
          <w:szCs w:val="20"/>
        </w:rPr>
        <w:t>harness</w:t>
      </w:r>
      <w:r w:rsidRPr="00376621">
        <w:rPr>
          <w:rFonts w:ascii="Arial" w:hAnsi="Arial" w:cs="Arial"/>
          <w:spacing w:val="12"/>
          <w:sz w:val="20"/>
          <w:szCs w:val="20"/>
        </w:rPr>
        <w:t xml:space="preserve"> </w:t>
      </w:r>
      <w:r w:rsidRPr="00376621">
        <w:rPr>
          <w:rFonts w:ascii="Arial" w:hAnsi="Arial" w:cs="Arial"/>
          <w:sz w:val="20"/>
          <w:szCs w:val="20"/>
        </w:rPr>
        <w:t>must</w:t>
      </w:r>
      <w:r w:rsidRPr="00376621">
        <w:rPr>
          <w:rFonts w:ascii="Arial" w:hAnsi="Arial" w:cs="Arial"/>
          <w:spacing w:val="11"/>
          <w:sz w:val="20"/>
          <w:szCs w:val="20"/>
        </w:rPr>
        <w:t xml:space="preserve"> </w:t>
      </w:r>
      <w:r w:rsidRPr="00376621">
        <w:rPr>
          <w:rFonts w:ascii="Arial" w:hAnsi="Arial" w:cs="Arial"/>
          <w:sz w:val="20"/>
          <w:szCs w:val="20"/>
        </w:rPr>
        <w:t>not</w:t>
      </w:r>
      <w:r w:rsidRPr="00376621">
        <w:rPr>
          <w:rFonts w:ascii="Arial" w:hAnsi="Arial" w:cs="Arial"/>
          <w:spacing w:val="11"/>
          <w:sz w:val="20"/>
          <w:szCs w:val="20"/>
        </w:rPr>
        <w:t xml:space="preserve"> </w:t>
      </w:r>
      <w:r w:rsidRPr="00376621">
        <w:rPr>
          <w:rFonts w:ascii="Arial" w:hAnsi="Arial" w:cs="Arial"/>
          <w:sz w:val="20"/>
          <w:szCs w:val="20"/>
        </w:rPr>
        <w:t>fail</w:t>
      </w:r>
      <w:r w:rsidRPr="00376621">
        <w:rPr>
          <w:rFonts w:ascii="Arial" w:hAnsi="Arial" w:cs="Arial"/>
          <w:spacing w:val="11"/>
          <w:sz w:val="20"/>
          <w:szCs w:val="20"/>
        </w:rPr>
        <w:t xml:space="preserve"> </w:t>
      </w:r>
      <w:r w:rsidRPr="00376621">
        <w:rPr>
          <w:rFonts w:ascii="Arial" w:hAnsi="Arial" w:cs="Arial"/>
          <w:sz w:val="20"/>
          <w:szCs w:val="20"/>
        </w:rPr>
        <w:t>when</w:t>
      </w:r>
      <w:r w:rsidRPr="00376621">
        <w:rPr>
          <w:rFonts w:ascii="Arial" w:hAnsi="Arial" w:cs="Arial"/>
          <w:spacing w:val="10"/>
          <w:sz w:val="20"/>
          <w:szCs w:val="20"/>
        </w:rPr>
        <w:t xml:space="preserve"> </w:t>
      </w:r>
      <w:r w:rsidRPr="00376621">
        <w:rPr>
          <w:rFonts w:ascii="Arial" w:hAnsi="Arial" w:cs="Arial"/>
          <w:sz w:val="20"/>
          <w:szCs w:val="20"/>
        </w:rPr>
        <w:t>subjected</w:t>
      </w:r>
      <w:r w:rsidRPr="00376621">
        <w:rPr>
          <w:rFonts w:ascii="Arial" w:hAnsi="Arial" w:cs="Arial"/>
          <w:spacing w:val="11"/>
          <w:sz w:val="20"/>
          <w:szCs w:val="20"/>
        </w:rPr>
        <w:t xml:space="preserve"> </w:t>
      </w:r>
      <w:r w:rsidRPr="00376621">
        <w:rPr>
          <w:rFonts w:ascii="Arial" w:hAnsi="Arial" w:cs="Arial"/>
          <w:sz w:val="20"/>
          <w:szCs w:val="20"/>
        </w:rPr>
        <w:t>to</w:t>
      </w:r>
      <w:r w:rsidRPr="00376621">
        <w:rPr>
          <w:rFonts w:ascii="Arial" w:hAnsi="Arial" w:cs="Arial"/>
          <w:spacing w:val="-47"/>
          <w:sz w:val="20"/>
          <w:szCs w:val="20"/>
        </w:rPr>
        <w:t xml:space="preserve"> </w:t>
      </w:r>
      <w:r w:rsidRPr="00376621">
        <w:rPr>
          <w:rFonts w:ascii="Arial" w:hAnsi="Arial" w:cs="Arial"/>
          <w:sz w:val="20"/>
          <w:szCs w:val="20"/>
        </w:rPr>
        <w:t>loads</w:t>
      </w:r>
      <w:r w:rsidRPr="00376621">
        <w:rPr>
          <w:rFonts w:ascii="Arial" w:hAnsi="Arial" w:cs="Arial"/>
          <w:spacing w:val="-2"/>
          <w:sz w:val="20"/>
          <w:szCs w:val="20"/>
        </w:rPr>
        <w:t xml:space="preserve"> </w:t>
      </w:r>
      <w:r w:rsidRPr="00376621">
        <w:rPr>
          <w:rFonts w:ascii="Arial" w:hAnsi="Arial" w:cs="Arial"/>
          <w:sz w:val="20"/>
          <w:szCs w:val="20"/>
        </w:rPr>
        <w:t>resulting</w:t>
      </w:r>
      <w:r w:rsidRPr="00376621">
        <w:rPr>
          <w:rFonts w:ascii="Arial" w:hAnsi="Arial" w:cs="Arial"/>
          <w:spacing w:val="-2"/>
          <w:sz w:val="20"/>
          <w:szCs w:val="20"/>
        </w:rPr>
        <w:t xml:space="preserve"> </w:t>
      </w:r>
      <w:r w:rsidRPr="00376621">
        <w:rPr>
          <w:rFonts w:ascii="Arial" w:hAnsi="Arial" w:cs="Arial"/>
          <w:sz w:val="20"/>
          <w:szCs w:val="20"/>
        </w:rPr>
        <w:t>from</w:t>
      </w:r>
      <w:r w:rsidRPr="00376621">
        <w:rPr>
          <w:rFonts w:ascii="Arial" w:hAnsi="Arial" w:cs="Arial"/>
          <w:spacing w:val="-2"/>
          <w:sz w:val="20"/>
          <w:szCs w:val="20"/>
        </w:rPr>
        <w:t xml:space="preserve"> </w:t>
      </w:r>
      <w:r w:rsidRPr="00376621">
        <w:rPr>
          <w:rFonts w:ascii="Arial" w:hAnsi="Arial" w:cs="Arial"/>
          <w:sz w:val="20"/>
          <w:szCs w:val="20"/>
        </w:rPr>
        <w:t>the</w:t>
      </w:r>
      <w:r w:rsidRPr="00376621">
        <w:rPr>
          <w:rFonts w:ascii="Arial" w:hAnsi="Arial" w:cs="Arial"/>
          <w:spacing w:val="-3"/>
          <w:sz w:val="20"/>
          <w:szCs w:val="20"/>
        </w:rPr>
        <w:t xml:space="preserve"> </w:t>
      </w:r>
      <w:r w:rsidRPr="00376621">
        <w:rPr>
          <w:rFonts w:ascii="Arial" w:hAnsi="Arial" w:cs="Arial"/>
          <w:sz w:val="20"/>
          <w:szCs w:val="20"/>
        </w:rPr>
        <w:t>occupant</w:t>
      </w:r>
      <w:r w:rsidRPr="00376621">
        <w:rPr>
          <w:rFonts w:ascii="Arial" w:hAnsi="Arial" w:cs="Arial"/>
          <w:spacing w:val="-1"/>
          <w:sz w:val="20"/>
          <w:szCs w:val="20"/>
        </w:rPr>
        <w:t xml:space="preserve"> </w:t>
      </w:r>
      <w:r w:rsidRPr="00376621">
        <w:rPr>
          <w:rFonts w:ascii="Arial" w:hAnsi="Arial" w:cs="Arial"/>
          <w:sz w:val="20"/>
          <w:szCs w:val="20"/>
        </w:rPr>
        <w:t>mass</w:t>
      </w:r>
      <w:r w:rsidRPr="00376621">
        <w:rPr>
          <w:rFonts w:ascii="Arial" w:hAnsi="Arial" w:cs="Arial"/>
          <w:spacing w:val="-1"/>
          <w:sz w:val="20"/>
          <w:szCs w:val="20"/>
        </w:rPr>
        <w:t xml:space="preserve"> </w:t>
      </w:r>
      <w:r w:rsidRPr="00376621">
        <w:rPr>
          <w:rFonts w:ascii="Arial" w:hAnsi="Arial" w:cs="Arial"/>
          <w:sz w:val="20"/>
          <w:szCs w:val="20"/>
        </w:rPr>
        <w:t>submitted</w:t>
      </w:r>
      <w:r w:rsidRPr="00376621">
        <w:rPr>
          <w:rFonts w:ascii="Arial" w:hAnsi="Arial" w:cs="Arial"/>
          <w:spacing w:val="-4"/>
          <w:sz w:val="20"/>
          <w:szCs w:val="20"/>
        </w:rPr>
        <w:t xml:space="preserve"> </w:t>
      </w:r>
      <w:r w:rsidRPr="00376621">
        <w:rPr>
          <w:rFonts w:ascii="Arial" w:hAnsi="Arial" w:cs="Arial"/>
          <w:sz w:val="20"/>
          <w:szCs w:val="20"/>
        </w:rPr>
        <w:t>to</w:t>
      </w:r>
      <w:r w:rsidRPr="00376621">
        <w:rPr>
          <w:rFonts w:ascii="Arial" w:hAnsi="Arial" w:cs="Arial"/>
          <w:spacing w:val="-2"/>
          <w:sz w:val="20"/>
          <w:szCs w:val="20"/>
        </w:rPr>
        <w:t xml:space="preserve"> </w:t>
      </w:r>
      <w:r w:rsidRPr="00376621">
        <w:rPr>
          <w:rFonts w:ascii="Arial" w:hAnsi="Arial" w:cs="Arial"/>
          <w:sz w:val="20"/>
          <w:szCs w:val="20"/>
        </w:rPr>
        <w:t>the following</w:t>
      </w:r>
      <w:r w:rsidRPr="00376621">
        <w:rPr>
          <w:rFonts w:ascii="Arial" w:hAnsi="Arial" w:cs="Arial"/>
          <w:spacing w:val="-3"/>
          <w:sz w:val="20"/>
          <w:szCs w:val="20"/>
        </w:rPr>
        <w:t xml:space="preserve"> </w:t>
      </w:r>
      <w:r w:rsidRPr="00376621">
        <w:rPr>
          <w:rFonts w:ascii="Arial" w:hAnsi="Arial" w:cs="Arial"/>
          <w:sz w:val="20"/>
          <w:szCs w:val="20"/>
        </w:rPr>
        <w:t>acceleration</w:t>
      </w:r>
      <w:r w:rsidRPr="00376621">
        <w:rPr>
          <w:rFonts w:ascii="Arial" w:hAnsi="Arial" w:cs="Arial"/>
          <w:spacing w:val="-5"/>
          <w:sz w:val="20"/>
          <w:szCs w:val="20"/>
        </w:rPr>
        <w:t xml:space="preserve"> </w:t>
      </w:r>
      <w:r w:rsidRPr="00376621">
        <w:rPr>
          <w:rFonts w:ascii="Arial" w:hAnsi="Arial" w:cs="Arial"/>
          <w:sz w:val="20"/>
          <w:szCs w:val="20"/>
        </w:rPr>
        <w:t>(See</w:t>
      </w:r>
      <w:r w:rsidRPr="00376621">
        <w:rPr>
          <w:rFonts w:ascii="Arial" w:hAnsi="Arial" w:cs="Arial"/>
          <w:spacing w:val="-1"/>
          <w:sz w:val="20"/>
          <w:szCs w:val="20"/>
        </w:rPr>
        <w:t xml:space="preserve"> </w:t>
      </w:r>
      <w:r w:rsidRPr="00376621">
        <w:rPr>
          <w:rFonts w:ascii="Arial" w:hAnsi="Arial" w:cs="Arial"/>
          <w:sz w:val="20"/>
          <w:szCs w:val="20"/>
        </w:rPr>
        <w:t>Figure</w:t>
      </w:r>
      <w:r w:rsidRPr="00376621">
        <w:rPr>
          <w:rFonts w:ascii="Arial" w:hAnsi="Arial" w:cs="Arial"/>
          <w:spacing w:val="-4"/>
          <w:sz w:val="20"/>
          <w:szCs w:val="20"/>
        </w:rPr>
        <w:t xml:space="preserve"> </w:t>
      </w:r>
      <w:r w:rsidRPr="00376621">
        <w:rPr>
          <w:rFonts w:ascii="Arial" w:hAnsi="Arial" w:cs="Arial"/>
          <w:sz w:val="20"/>
          <w:szCs w:val="20"/>
        </w:rPr>
        <w:t>1):</w:t>
      </w:r>
    </w:p>
    <w:p w14:paraId="745ABA1B" w14:textId="77777777" w:rsidR="00376621" w:rsidRPr="00376621" w:rsidRDefault="00376621" w:rsidP="00A56A31">
      <w:pPr>
        <w:pStyle w:val="ListParagraph"/>
        <w:numPr>
          <w:ilvl w:val="1"/>
          <w:numId w:val="379"/>
        </w:numPr>
        <w:tabs>
          <w:tab w:val="left" w:pos="1274"/>
        </w:tabs>
        <w:spacing w:before="118"/>
        <w:ind w:right="26" w:hanging="568"/>
        <w:rPr>
          <w:rFonts w:ascii="Arial" w:hAnsi="Arial" w:cs="Arial"/>
          <w:sz w:val="20"/>
          <w:szCs w:val="20"/>
        </w:rPr>
      </w:pPr>
      <w:r w:rsidRPr="00376621">
        <w:rPr>
          <w:rFonts w:ascii="Arial" w:hAnsi="Arial" w:cs="Arial"/>
          <w:sz w:val="20"/>
          <w:szCs w:val="20"/>
        </w:rPr>
        <w:t>2.0g</w:t>
      </w:r>
      <w:r w:rsidRPr="00376621">
        <w:rPr>
          <w:rFonts w:ascii="Arial" w:hAnsi="Arial" w:cs="Arial"/>
          <w:spacing w:val="-1"/>
          <w:sz w:val="20"/>
          <w:szCs w:val="20"/>
        </w:rPr>
        <w:t xml:space="preserve"> </w:t>
      </w:r>
      <w:r w:rsidRPr="00376621">
        <w:rPr>
          <w:rFonts w:ascii="Arial" w:hAnsi="Arial" w:cs="Arial"/>
          <w:sz w:val="20"/>
          <w:szCs w:val="20"/>
        </w:rPr>
        <w:t>Upwards</w:t>
      </w:r>
    </w:p>
    <w:p w14:paraId="57A28642" w14:textId="77777777" w:rsidR="00376621" w:rsidRPr="00376621" w:rsidRDefault="00376621" w:rsidP="00A56A31">
      <w:pPr>
        <w:pStyle w:val="ListParagraph"/>
        <w:numPr>
          <w:ilvl w:val="1"/>
          <w:numId w:val="379"/>
        </w:numPr>
        <w:tabs>
          <w:tab w:val="left" w:pos="1274"/>
        </w:tabs>
        <w:ind w:right="26" w:hanging="568"/>
        <w:rPr>
          <w:rFonts w:ascii="Arial" w:hAnsi="Arial" w:cs="Arial"/>
          <w:sz w:val="20"/>
          <w:szCs w:val="20"/>
        </w:rPr>
      </w:pPr>
      <w:r w:rsidRPr="00376621">
        <w:rPr>
          <w:rFonts w:ascii="Arial" w:hAnsi="Arial" w:cs="Arial"/>
          <w:sz w:val="20"/>
          <w:szCs w:val="20"/>
        </w:rPr>
        <w:t>3.0g</w:t>
      </w:r>
      <w:r w:rsidRPr="00376621">
        <w:rPr>
          <w:rFonts w:ascii="Arial" w:hAnsi="Arial" w:cs="Arial"/>
          <w:spacing w:val="-3"/>
          <w:sz w:val="20"/>
          <w:szCs w:val="20"/>
        </w:rPr>
        <w:t xml:space="preserve"> </w:t>
      </w:r>
      <w:r w:rsidRPr="00376621">
        <w:rPr>
          <w:rFonts w:ascii="Arial" w:hAnsi="Arial" w:cs="Arial"/>
          <w:sz w:val="20"/>
          <w:szCs w:val="20"/>
        </w:rPr>
        <w:t>Horizontally</w:t>
      </w:r>
      <w:r w:rsidRPr="00376621">
        <w:rPr>
          <w:rFonts w:ascii="Arial" w:hAnsi="Arial" w:cs="Arial"/>
          <w:spacing w:val="-1"/>
          <w:sz w:val="20"/>
          <w:szCs w:val="20"/>
        </w:rPr>
        <w:t xml:space="preserve"> </w:t>
      </w:r>
      <w:r w:rsidRPr="00376621">
        <w:rPr>
          <w:rFonts w:ascii="Arial" w:hAnsi="Arial" w:cs="Arial"/>
          <w:sz w:val="20"/>
          <w:szCs w:val="20"/>
        </w:rPr>
        <w:t>in</w:t>
      </w:r>
      <w:r w:rsidRPr="00376621">
        <w:rPr>
          <w:rFonts w:ascii="Arial" w:hAnsi="Arial" w:cs="Arial"/>
          <w:spacing w:val="-2"/>
          <w:sz w:val="20"/>
          <w:szCs w:val="20"/>
        </w:rPr>
        <w:t xml:space="preserve"> </w:t>
      </w:r>
      <w:r w:rsidRPr="00376621">
        <w:rPr>
          <w:rFonts w:ascii="Arial" w:hAnsi="Arial" w:cs="Arial"/>
          <w:sz w:val="20"/>
          <w:szCs w:val="20"/>
        </w:rPr>
        <w:t>all</w:t>
      </w:r>
      <w:r w:rsidRPr="00376621">
        <w:rPr>
          <w:rFonts w:ascii="Arial" w:hAnsi="Arial" w:cs="Arial"/>
          <w:spacing w:val="-2"/>
          <w:sz w:val="20"/>
          <w:szCs w:val="20"/>
        </w:rPr>
        <w:t xml:space="preserve"> </w:t>
      </w:r>
      <w:r w:rsidRPr="00376621">
        <w:rPr>
          <w:rFonts w:ascii="Arial" w:hAnsi="Arial" w:cs="Arial"/>
          <w:sz w:val="20"/>
          <w:szCs w:val="20"/>
        </w:rPr>
        <w:t>directions.</w:t>
      </w:r>
    </w:p>
    <w:p w14:paraId="110573E9" w14:textId="77777777" w:rsidR="00376621" w:rsidRPr="00376621" w:rsidRDefault="00376621" w:rsidP="00376621">
      <w:pPr>
        <w:ind w:right="26"/>
        <w:rPr>
          <w:rFonts w:ascii="Arial" w:hAnsi="Arial" w:cs="Arial"/>
          <w:sz w:val="20"/>
          <w:szCs w:val="20"/>
        </w:rPr>
      </w:pPr>
    </w:p>
    <w:p w14:paraId="193C74A2" w14:textId="77777777" w:rsidR="00376621" w:rsidRPr="00376621" w:rsidRDefault="00376621" w:rsidP="00376621">
      <w:pPr>
        <w:ind w:right="26"/>
        <w:rPr>
          <w:rFonts w:ascii="Arial" w:hAnsi="Arial" w:cs="Arial"/>
          <w:sz w:val="20"/>
          <w:szCs w:val="20"/>
        </w:rPr>
      </w:pPr>
    </w:p>
    <w:p w14:paraId="3F532D2A" w14:textId="77777777" w:rsidR="00376621" w:rsidRPr="00376621" w:rsidRDefault="00376621" w:rsidP="00376621">
      <w:pPr>
        <w:ind w:right="26"/>
        <w:rPr>
          <w:rFonts w:ascii="Arial" w:hAnsi="Arial" w:cs="Arial"/>
          <w:sz w:val="20"/>
          <w:szCs w:val="20"/>
        </w:rPr>
      </w:pPr>
    </w:p>
    <w:p w14:paraId="74F87494" w14:textId="77777777" w:rsidR="00376621" w:rsidRPr="00376621" w:rsidRDefault="00376621" w:rsidP="00376621">
      <w:pPr>
        <w:ind w:right="26"/>
        <w:rPr>
          <w:rFonts w:ascii="Arial" w:hAnsi="Arial" w:cs="Arial"/>
          <w:sz w:val="20"/>
          <w:szCs w:val="20"/>
        </w:rPr>
      </w:pPr>
      <w:r w:rsidRPr="00376621">
        <w:rPr>
          <w:rFonts w:ascii="Arial" w:hAnsi="Arial" w:cs="Arial"/>
          <w:noProof/>
          <w:sz w:val="20"/>
          <w:szCs w:val="20"/>
        </w:rPr>
        <w:lastRenderedPageBreak/>
        <w:drawing>
          <wp:anchor distT="0" distB="0" distL="114300" distR="114300" simplePos="0" relativeHeight="251679744" behindDoc="0" locked="0" layoutInCell="1" allowOverlap="1" wp14:anchorId="7F84D0FE" wp14:editId="39A2A281">
            <wp:simplePos x="0" y="0"/>
            <wp:positionH relativeFrom="margin">
              <wp:align>right</wp:align>
            </wp:positionH>
            <wp:positionV relativeFrom="paragraph">
              <wp:posOffset>379</wp:posOffset>
            </wp:positionV>
            <wp:extent cx="5311775" cy="2334260"/>
            <wp:effectExtent l="0" t="0" r="3175" b="8890"/>
            <wp:wrapSquare wrapText="bothSides"/>
            <wp:docPr id="41" name="image6.jpeg"/>
            <wp:cNvGraphicFramePr/>
            <a:graphic xmlns:a="http://schemas.openxmlformats.org/drawingml/2006/main">
              <a:graphicData uri="http://schemas.openxmlformats.org/drawingml/2006/picture">
                <pic:pic xmlns:pic="http://schemas.openxmlformats.org/drawingml/2006/picture">
                  <pic:nvPicPr>
                    <pic:cNvPr id="41" name="image6.jpeg"/>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5311775" cy="2334260"/>
                    </a:xfrm>
                    <a:prstGeom prst="rect">
                      <a:avLst/>
                    </a:prstGeom>
                  </pic:spPr>
                </pic:pic>
              </a:graphicData>
            </a:graphic>
          </wp:anchor>
        </w:drawing>
      </w:r>
    </w:p>
    <w:p w14:paraId="7A9D472D" w14:textId="77777777" w:rsidR="00376621" w:rsidRPr="00376621" w:rsidRDefault="00376621" w:rsidP="00376621">
      <w:pPr>
        <w:spacing w:before="26"/>
        <w:ind w:left="706" w:right="26"/>
        <w:jc w:val="both"/>
        <w:rPr>
          <w:rFonts w:ascii="Arial" w:hAnsi="Arial" w:cs="Arial"/>
          <w:i/>
          <w:sz w:val="20"/>
          <w:szCs w:val="20"/>
        </w:rPr>
      </w:pPr>
      <w:r w:rsidRPr="00376621">
        <w:rPr>
          <w:rFonts w:ascii="Arial" w:hAnsi="Arial" w:cs="Arial"/>
          <w:i/>
          <w:sz w:val="20"/>
          <w:szCs w:val="20"/>
        </w:rPr>
        <w:t>Figure</w:t>
      </w:r>
      <w:r w:rsidRPr="00376621">
        <w:rPr>
          <w:rFonts w:ascii="Arial" w:hAnsi="Arial" w:cs="Arial"/>
          <w:i/>
          <w:spacing w:val="-3"/>
          <w:sz w:val="20"/>
          <w:szCs w:val="20"/>
        </w:rPr>
        <w:t xml:space="preserve"> </w:t>
      </w:r>
      <w:r w:rsidRPr="00376621">
        <w:rPr>
          <w:rFonts w:ascii="Arial" w:hAnsi="Arial" w:cs="Arial"/>
          <w:i/>
          <w:sz w:val="20"/>
          <w:szCs w:val="20"/>
        </w:rPr>
        <w:t>1</w:t>
      </w:r>
      <w:r w:rsidRPr="00376621">
        <w:rPr>
          <w:rFonts w:ascii="Arial" w:hAnsi="Arial" w:cs="Arial"/>
          <w:i/>
          <w:spacing w:val="-3"/>
          <w:sz w:val="20"/>
          <w:szCs w:val="20"/>
        </w:rPr>
        <w:t xml:space="preserve"> </w:t>
      </w:r>
      <w:r w:rsidRPr="00376621">
        <w:rPr>
          <w:rFonts w:ascii="Arial" w:hAnsi="Arial" w:cs="Arial"/>
          <w:i/>
          <w:sz w:val="20"/>
          <w:szCs w:val="20"/>
        </w:rPr>
        <w:t>Restraint</w:t>
      </w:r>
      <w:r w:rsidRPr="00376621">
        <w:rPr>
          <w:rFonts w:ascii="Arial" w:hAnsi="Arial" w:cs="Arial"/>
          <w:i/>
          <w:spacing w:val="-3"/>
          <w:sz w:val="20"/>
          <w:szCs w:val="20"/>
        </w:rPr>
        <w:t xml:space="preserve"> </w:t>
      </w:r>
      <w:r w:rsidRPr="00376621">
        <w:rPr>
          <w:rFonts w:ascii="Arial" w:hAnsi="Arial" w:cs="Arial"/>
          <w:i/>
          <w:sz w:val="20"/>
          <w:szCs w:val="20"/>
        </w:rPr>
        <w:t>harness</w:t>
      </w:r>
      <w:r w:rsidRPr="00376621">
        <w:rPr>
          <w:rFonts w:ascii="Arial" w:hAnsi="Arial" w:cs="Arial"/>
          <w:i/>
          <w:spacing w:val="-2"/>
          <w:sz w:val="20"/>
          <w:szCs w:val="20"/>
        </w:rPr>
        <w:t xml:space="preserve"> </w:t>
      </w:r>
      <w:r w:rsidRPr="00376621">
        <w:rPr>
          <w:rFonts w:ascii="Arial" w:hAnsi="Arial" w:cs="Arial"/>
          <w:i/>
          <w:sz w:val="20"/>
          <w:szCs w:val="20"/>
        </w:rPr>
        <w:t>loads</w:t>
      </w:r>
    </w:p>
    <w:p w14:paraId="7EC07B76" w14:textId="77777777" w:rsidR="00376621" w:rsidRPr="00376621" w:rsidRDefault="00376621" w:rsidP="00376621">
      <w:pPr>
        <w:pStyle w:val="BodyText"/>
        <w:spacing w:before="117"/>
        <w:ind w:left="706" w:right="26"/>
        <w:jc w:val="both"/>
        <w:rPr>
          <w:rFonts w:ascii="Arial" w:hAnsi="Arial" w:cs="Arial"/>
          <w:sz w:val="20"/>
          <w:szCs w:val="20"/>
        </w:rPr>
      </w:pPr>
      <w:r w:rsidRPr="00376621">
        <w:rPr>
          <w:rFonts w:ascii="Arial" w:hAnsi="Arial" w:cs="Arial"/>
          <w:sz w:val="20"/>
          <w:szCs w:val="20"/>
        </w:rPr>
        <w:t>An</w:t>
      </w:r>
      <w:r w:rsidRPr="00376621">
        <w:rPr>
          <w:rFonts w:ascii="Arial" w:hAnsi="Arial" w:cs="Arial"/>
          <w:spacing w:val="-3"/>
          <w:sz w:val="20"/>
          <w:szCs w:val="20"/>
        </w:rPr>
        <w:t xml:space="preserve"> </w:t>
      </w:r>
      <w:r w:rsidRPr="00376621">
        <w:rPr>
          <w:rFonts w:ascii="Arial" w:hAnsi="Arial" w:cs="Arial"/>
          <w:sz w:val="20"/>
          <w:szCs w:val="20"/>
        </w:rPr>
        <w:t>occupant</w:t>
      </w:r>
      <w:r w:rsidRPr="00376621">
        <w:rPr>
          <w:rFonts w:ascii="Arial" w:hAnsi="Arial" w:cs="Arial"/>
          <w:spacing w:val="-3"/>
          <w:sz w:val="20"/>
          <w:szCs w:val="20"/>
        </w:rPr>
        <w:t xml:space="preserve"> </w:t>
      </w:r>
      <w:r w:rsidRPr="00376621">
        <w:rPr>
          <w:rFonts w:ascii="Arial" w:hAnsi="Arial" w:cs="Arial"/>
          <w:sz w:val="20"/>
          <w:szCs w:val="20"/>
        </w:rPr>
        <w:t>mass</w:t>
      </w:r>
      <w:r w:rsidRPr="00376621">
        <w:rPr>
          <w:rFonts w:ascii="Arial" w:hAnsi="Arial" w:cs="Arial"/>
          <w:spacing w:val="-1"/>
          <w:sz w:val="20"/>
          <w:szCs w:val="20"/>
        </w:rPr>
        <w:t xml:space="preserve"> </w:t>
      </w:r>
      <w:r w:rsidRPr="00376621">
        <w:rPr>
          <w:rFonts w:ascii="Arial" w:hAnsi="Arial" w:cs="Arial"/>
          <w:sz w:val="20"/>
          <w:szCs w:val="20"/>
        </w:rPr>
        <w:t>of</w:t>
      </w:r>
      <w:r w:rsidRPr="00376621">
        <w:rPr>
          <w:rFonts w:ascii="Arial" w:hAnsi="Arial" w:cs="Arial"/>
          <w:spacing w:val="-4"/>
          <w:sz w:val="20"/>
          <w:szCs w:val="20"/>
        </w:rPr>
        <w:t xml:space="preserve"> </w:t>
      </w:r>
      <w:r w:rsidRPr="00376621">
        <w:rPr>
          <w:rFonts w:ascii="Arial" w:hAnsi="Arial" w:cs="Arial"/>
          <w:sz w:val="20"/>
          <w:szCs w:val="20"/>
        </w:rPr>
        <w:t>at</w:t>
      </w:r>
      <w:r w:rsidRPr="00376621">
        <w:rPr>
          <w:rFonts w:ascii="Arial" w:hAnsi="Arial" w:cs="Arial"/>
          <w:spacing w:val="-1"/>
          <w:sz w:val="20"/>
          <w:szCs w:val="20"/>
        </w:rPr>
        <w:t xml:space="preserve"> </w:t>
      </w:r>
      <w:r w:rsidRPr="00376621">
        <w:rPr>
          <w:rFonts w:ascii="Arial" w:hAnsi="Arial" w:cs="Arial"/>
          <w:sz w:val="20"/>
          <w:szCs w:val="20"/>
        </w:rPr>
        <w:t>least 86</w:t>
      </w:r>
      <w:r w:rsidRPr="00376621">
        <w:rPr>
          <w:rFonts w:ascii="Arial" w:hAnsi="Arial" w:cs="Arial"/>
          <w:spacing w:val="2"/>
          <w:sz w:val="20"/>
          <w:szCs w:val="20"/>
        </w:rPr>
        <w:t xml:space="preserve"> </w:t>
      </w:r>
      <w:r w:rsidRPr="00376621">
        <w:rPr>
          <w:rFonts w:ascii="Arial" w:hAnsi="Arial" w:cs="Arial"/>
          <w:sz w:val="20"/>
          <w:szCs w:val="20"/>
        </w:rPr>
        <w:t>kg</w:t>
      </w:r>
      <w:r w:rsidRPr="00376621">
        <w:rPr>
          <w:rFonts w:ascii="Arial" w:hAnsi="Arial" w:cs="Arial"/>
          <w:spacing w:val="-4"/>
          <w:sz w:val="20"/>
          <w:szCs w:val="20"/>
        </w:rPr>
        <w:t xml:space="preserve"> </w:t>
      </w:r>
      <w:r w:rsidRPr="00376621">
        <w:rPr>
          <w:rFonts w:ascii="Arial" w:hAnsi="Arial" w:cs="Arial"/>
          <w:sz w:val="20"/>
          <w:szCs w:val="20"/>
        </w:rPr>
        <w:t>must</w:t>
      </w:r>
      <w:r w:rsidRPr="00376621">
        <w:rPr>
          <w:rFonts w:ascii="Arial" w:hAnsi="Arial" w:cs="Arial"/>
          <w:spacing w:val="-1"/>
          <w:sz w:val="20"/>
          <w:szCs w:val="20"/>
        </w:rPr>
        <w:t xml:space="preserve"> </w:t>
      </w:r>
      <w:r w:rsidRPr="00376621">
        <w:rPr>
          <w:rFonts w:ascii="Arial" w:hAnsi="Arial" w:cs="Arial"/>
          <w:sz w:val="20"/>
          <w:szCs w:val="20"/>
        </w:rPr>
        <w:t>be assumed</w:t>
      </w:r>
      <w:r w:rsidRPr="00376621">
        <w:rPr>
          <w:rFonts w:ascii="Arial" w:hAnsi="Arial" w:cs="Arial"/>
          <w:spacing w:val="-1"/>
          <w:sz w:val="20"/>
          <w:szCs w:val="20"/>
        </w:rPr>
        <w:t xml:space="preserve"> </w:t>
      </w:r>
      <w:r w:rsidRPr="00376621">
        <w:rPr>
          <w:rFonts w:ascii="Arial" w:hAnsi="Arial" w:cs="Arial"/>
          <w:sz w:val="20"/>
          <w:szCs w:val="20"/>
        </w:rPr>
        <w:t>for</w:t>
      </w:r>
      <w:r w:rsidRPr="00376621">
        <w:rPr>
          <w:rFonts w:ascii="Arial" w:hAnsi="Arial" w:cs="Arial"/>
          <w:spacing w:val="-1"/>
          <w:sz w:val="20"/>
          <w:szCs w:val="20"/>
        </w:rPr>
        <w:t xml:space="preserve"> </w:t>
      </w:r>
      <w:r w:rsidRPr="00376621">
        <w:rPr>
          <w:rFonts w:ascii="Arial" w:hAnsi="Arial" w:cs="Arial"/>
          <w:sz w:val="20"/>
          <w:szCs w:val="20"/>
        </w:rPr>
        <w:t>the</w:t>
      </w:r>
      <w:r w:rsidRPr="00376621">
        <w:rPr>
          <w:rFonts w:ascii="Arial" w:hAnsi="Arial" w:cs="Arial"/>
          <w:spacing w:val="-3"/>
          <w:sz w:val="20"/>
          <w:szCs w:val="20"/>
        </w:rPr>
        <w:t xml:space="preserve"> </w:t>
      </w:r>
      <w:r w:rsidRPr="00376621">
        <w:rPr>
          <w:rFonts w:ascii="Arial" w:hAnsi="Arial" w:cs="Arial"/>
          <w:sz w:val="20"/>
          <w:szCs w:val="20"/>
        </w:rPr>
        <w:t>purposes</w:t>
      </w:r>
      <w:r w:rsidRPr="00376621">
        <w:rPr>
          <w:rFonts w:ascii="Arial" w:hAnsi="Arial" w:cs="Arial"/>
          <w:spacing w:val="-3"/>
          <w:sz w:val="20"/>
          <w:szCs w:val="20"/>
        </w:rPr>
        <w:t xml:space="preserve"> </w:t>
      </w:r>
      <w:r w:rsidRPr="00376621">
        <w:rPr>
          <w:rFonts w:ascii="Arial" w:hAnsi="Arial" w:cs="Arial"/>
          <w:sz w:val="20"/>
          <w:szCs w:val="20"/>
        </w:rPr>
        <w:t>of</w:t>
      </w:r>
      <w:r w:rsidRPr="00376621">
        <w:rPr>
          <w:rFonts w:ascii="Arial" w:hAnsi="Arial" w:cs="Arial"/>
          <w:spacing w:val="-1"/>
          <w:sz w:val="20"/>
          <w:szCs w:val="20"/>
        </w:rPr>
        <w:t xml:space="preserve"> </w:t>
      </w:r>
      <w:r w:rsidRPr="00376621">
        <w:rPr>
          <w:rFonts w:ascii="Arial" w:hAnsi="Arial" w:cs="Arial"/>
          <w:sz w:val="20"/>
          <w:szCs w:val="20"/>
        </w:rPr>
        <w:t>this</w:t>
      </w:r>
      <w:r w:rsidRPr="00376621">
        <w:rPr>
          <w:rFonts w:ascii="Arial" w:hAnsi="Arial" w:cs="Arial"/>
          <w:spacing w:val="-1"/>
          <w:sz w:val="20"/>
          <w:szCs w:val="20"/>
        </w:rPr>
        <w:t xml:space="preserve"> </w:t>
      </w:r>
      <w:r w:rsidRPr="00376621">
        <w:rPr>
          <w:rFonts w:ascii="Arial" w:hAnsi="Arial" w:cs="Arial"/>
          <w:sz w:val="20"/>
          <w:szCs w:val="20"/>
        </w:rPr>
        <w:t>paragraph.</w:t>
      </w:r>
    </w:p>
    <w:p w14:paraId="394D5049" w14:textId="77777777" w:rsidR="00376621" w:rsidRPr="00376621" w:rsidRDefault="00376621" w:rsidP="00A56A31">
      <w:pPr>
        <w:pStyle w:val="ListParagraph"/>
        <w:numPr>
          <w:ilvl w:val="0"/>
          <w:numId w:val="379"/>
        </w:numPr>
        <w:tabs>
          <w:tab w:val="left" w:pos="707"/>
        </w:tabs>
        <w:ind w:right="26"/>
        <w:jc w:val="both"/>
        <w:rPr>
          <w:rFonts w:ascii="Arial" w:hAnsi="Arial" w:cs="Arial"/>
          <w:sz w:val="20"/>
          <w:szCs w:val="20"/>
        </w:rPr>
      </w:pPr>
      <w:r w:rsidRPr="00376621">
        <w:rPr>
          <w:rFonts w:ascii="Arial" w:hAnsi="Arial" w:cs="Arial"/>
          <w:sz w:val="20"/>
          <w:szCs w:val="20"/>
        </w:rPr>
        <w:t>Local attachments in the load path between the safety belt or harness and the main structure</w:t>
      </w:r>
      <w:r w:rsidRPr="00376621">
        <w:rPr>
          <w:rFonts w:ascii="Arial" w:hAnsi="Arial" w:cs="Arial"/>
          <w:spacing w:val="1"/>
          <w:sz w:val="20"/>
          <w:szCs w:val="20"/>
        </w:rPr>
        <w:t xml:space="preserve"> </w:t>
      </w:r>
      <w:r w:rsidRPr="00376621">
        <w:rPr>
          <w:rFonts w:ascii="Arial" w:hAnsi="Arial" w:cs="Arial"/>
          <w:sz w:val="20"/>
          <w:szCs w:val="20"/>
        </w:rPr>
        <w:t>of the basket, restraining the occupant, must be shown to be able to withstand the loads</w:t>
      </w:r>
      <w:r w:rsidRPr="00376621">
        <w:rPr>
          <w:rFonts w:ascii="Arial" w:hAnsi="Arial" w:cs="Arial"/>
          <w:spacing w:val="1"/>
          <w:sz w:val="20"/>
          <w:szCs w:val="20"/>
        </w:rPr>
        <w:t xml:space="preserve"> </w:t>
      </w:r>
      <w:r w:rsidRPr="00376621">
        <w:rPr>
          <w:rFonts w:ascii="Arial" w:hAnsi="Arial" w:cs="Arial"/>
          <w:sz w:val="20"/>
          <w:szCs w:val="20"/>
        </w:rPr>
        <w:t>prescribed</w:t>
      </w:r>
      <w:r w:rsidRPr="00376621">
        <w:rPr>
          <w:rFonts w:ascii="Arial" w:hAnsi="Arial" w:cs="Arial"/>
          <w:spacing w:val="-1"/>
          <w:sz w:val="20"/>
          <w:szCs w:val="20"/>
        </w:rPr>
        <w:t xml:space="preserve"> </w:t>
      </w:r>
      <w:r w:rsidRPr="00376621">
        <w:rPr>
          <w:rFonts w:ascii="Arial" w:hAnsi="Arial" w:cs="Arial"/>
          <w:sz w:val="20"/>
          <w:szCs w:val="20"/>
        </w:rPr>
        <w:t>in</w:t>
      </w:r>
      <w:r w:rsidRPr="00376621">
        <w:rPr>
          <w:rFonts w:ascii="Arial" w:hAnsi="Arial" w:cs="Arial"/>
          <w:color w:val="0000FF"/>
          <w:spacing w:val="-2"/>
          <w:sz w:val="20"/>
          <w:szCs w:val="20"/>
        </w:rPr>
        <w:t xml:space="preserve"> </w:t>
      </w:r>
      <w:r w:rsidRPr="00376621">
        <w:rPr>
          <w:rFonts w:ascii="Arial" w:hAnsi="Arial" w:cs="Arial"/>
          <w:sz w:val="20"/>
          <w:szCs w:val="20"/>
        </w:rPr>
        <w:t>CS</w:t>
      </w:r>
      <w:r w:rsidRPr="00376621">
        <w:rPr>
          <w:rFonts w:ascii="Arial" w:hAnsi="Arial" w:cs="Arial"/>
          <w:spacing w:val="-3"/>
          <w:sz w:val="20"/>
          <w:szCs w:val="20"/>
        </w:rPr>
        <w:t xml:space="preserve"> </w:t>
      </w:r>
      <w:r w:rsidRPr="00376621">
        <w:rPr>
          <w:rFonts w:ascii="Arial" w:hAnsi="Arial" w:cs="Arial"/>
          <w:sz w:val="20"/>
          <w:szCs w:val="20"/>
        </w:rPr>
        <w:t>31HB.30(a)</w:t>
      </w:r>
      <w:r w:rsidRPr="00376621">
        <w:rPr>
          <w:rFonts w:ascii="Arial" w:hAnsi="Arial" w:cs="Arial"/>
          <w:spacing w:val="1"/>
          <w:sz w:val="20"/>
          <w:szCs w:val="20"/>
        </w:rPr>
        <w:t xml:space="preserve"> </w:t>
      </w:r>
      <w:r w:rsidRPr="00376621">
        <w:rPr>
          <w:rFonts w:ascii="Arial" w:hAnsi="Arial" w:cs="Arial"/>
          <w:sz w:val="20"/>
          <w:szCs w:val="20"/>
        </w:rPr>
        <w:t>multiplied</w:t>
      </w:r>
      <w:r w:rsidRPr="00376621">
        <w:rPr>
          <w:rFonts w:ascii="Arial" w:hAnsi="Arial" w:cs="Arial"/>
          <w:spacing w:val="-3"/>
          <w:sz w:val="20"/>
          <w:szCs w:val="20"/>
        </w:rPr>
        <w:t xml:space="preserve"> </w:t>
      </w:r>
      <w:r w:rsidRPr="00376621">
        <w:rPr>
          <w:rFonts w:ascii="Arial" w:hAnsi="Arial" w:cs="Arial"/>
          <w:sz w:val="20"/>
          <w:szCs w:val="20"/>
        </w:rPr>
        <w:t>by a</w:t>
      </w:r>
      <w:r w:rsidRPr="00376621">
        <w:rPr>
          <w:rFonts w:ascii="Arial" w:hAnsi="Arial" w:cs="Arial"/>
          <w:spacing w:val="-3"/>
          <w:sz w:val="20"/>
          <w:szCs w:val="20"/>
        </w:rPr>
        <w:t xml:space="preserve"> </w:t>
      </w:r>
      <w:r w:rsidRPr="00376621">
        <w:rPr>
          <w:rFonts w:ascii="Arial" w:hAnsi="Arial" w:cs="Arial"/>
          <w:sz w:val="20"/>
          <w:szCs w:val="20"/>
        </w:rPr>
        <w:t>fitting</w:t>
      </w:r>
      <w:r w:rsidRPr="00376621">
        <w:rPr>
          <w:rFonts w:ascii="Arial" w:hAnsi="Arial" w:cs="Arial"/>
          <w:spacing w:val="-1"/>
          <w:sz w:val="20"/>
          <w:szCs w:val="20"/>
        </w:rPr>
        <w:t xml:space="preserve"> </w:t>
      </w:r>
      <w:r w:rsidRPr="00376621">
        <w:rPr>
          <w:rFonts w:ascii="Arial" w:hAnsi="Arial" w:cs="Arial"/>
          <w:sz w:val="20"/>
          <w:szCs w:val="20"/>
        </w:rPr>
        <w:t>factor</w:t>
      </w:r>
      <w:r w:rsidRPr="00376621">
        <w:rPr>
          <w:rFonts w:ascii="Arial" w:hAnsi="Arial" w:cs="Arial"/>
          <w:spacing w:val="-3"/>
          <w:sz w:val="20"/>
          <w:szCs w:val="20"/>
        </w:rPr>
        <w:t xml:space="preserve"> </w:t>
      </w:r>
      <w:r w:rsidRPr="00376621">
        <w:rPr>
          <w:rFonts w:ascii="Arial" w:hAnsi="Arial" w:cs="Arial"/>
          <w:sz w:val="20"/>
          <w:szCs w:val="20"/>
        </w:rPr>
        <w:t>of 1.33.</w:t>
      </w:r>
    </w:p>
    <w:p w14:paraId="660DC214" w14:textId="77777777" w:rsidR="00376621" w:rsidRDefault="00376621" w:rsidP="00376621">
      <w:pPr>
        <w:ind w:right="26"/>
        <w:rPr>
          <w:rFonts w:ascii="Arial" w:hAnsi="Arial" w:cs="Arial"/>
          <w:sz w:val="20"/>
          <w:szCs w:val="20"/>
        </w:rPr>
      </w:pPr>
    </w:p>
    <w:p w14:paraId="38DB76FF" w14:textId="77777777" w:rsidR="009B325B" w:rsidRDefault="009B325B" w:rsidP="00376621">
      <w:pPr>
        <w:ind w:right="26"/>
        <w:rPr>
          <w:rFonts w:ascii="Arial" w:hAnsi="Arial" w:cs="Arial"/>
          <w:sz w:val="20"/>
          <w:szCs w:val="20"/>
        </w:rPr>
      </w:pPr>
    </w:p>
    <w:p w14:paraId="5670E688" w14:textId="77777777" w:rsidR="009B325B" w:rsidRDefault="009B325B" w:rsidP="00376621">
      <w:pPr>
        <w:ind w:right="26"/>
        <w:rPr>
          <w:rFonts w:ascii="Arial" w:hAnsi="Arial" w:cs="Arial"/>
          <w:sz w:val="20"/>
          <w:szCs w:val="20"/>
        </w:rPr>
      </w:pPr>
    </w:p>
    <w:p w14:paraId="4448DDB3" w14:textId="77777777" w:rsidR="009B325B" w:rsidRDefault="009B325B" w:rsidP="00376621">
      <w:pPr>
        <w:ind w:right="26"/>
        <w:rPr>
          <w:rFonts w:ascii="Arial" w:hAnsi="Arial" w:cs="Arial"/>
          <w:sz w:val="20"/>
          <w:szCs w:val="20"/>
        </w:rPr>
      </w:pPr>
    </w:p>
    <w:p w14:paraId="3A6E0441" w14:textId="77777777" w:rsidR="009B325B" w:rsidRDefault="009B325B" w:rsidP="00376621">
      <w:pPr>
        <w:ind w:right="26"/>
        <w:rPr>
          <w:rFonts w:ascii="Arial" w:hAnsi="Arial" w:cs="Arial"/>
          <w:sz w:val="20"/>
          <w:szCs w:val="20"/>
        </w:rPr>
      </w:pPr>
    </w:p>
    <w:p w14:paraId="29A5FE7E" w14:textId="77777777" w:rsidR="009B325B" w:rsidRDefault="009B325B" w:rsidP="00376621">
      <w:pPr>
        <w:ind w:right="26"/>
        <w:rPr>
          <w:rFonts w:ascii="Arial" w:hAnsi="Arial" w:cs="Arial"/>
          <w:sz w:val="20"/>
          <w:szCs w:val="20"/>
        </w:rPr>
      </w:pPr>
    </w:p>
    <w:p w14:paraId="6020E92F" w14:textId="77777777" w:rsidR="009B325B" w:rsidRDefault="009B325B" w:rsidP="00376621">
      <w:pPr>
        <w:ind w:right="26"/>
        <w:rPr>
          <w:rFonts w:ascii="Arial" w:hAnsi="Arial" w:cs="Arial"/>
          <w:sz w:val="20"/>
          <w:szCs w:val="20"/>
        </w:rPr>
      </w:pPr>
    </w:p>
    <w:p w14:paraId="699E9FDD" w14:textId="77777777" w:rsidR="009B325B" w:rsidRDefault="009B325B" w:rsidP="00376621">
      <w:pPr>
        <w:ind w:right="26"/>
        <w:rPr>
          <w:rFonts w:ascii="Arial" w:hAnsi="Arial" w:cs="Arial"/>
          <w:sz w:val="20"/>
          <w:szCs w:val="20"/>
        </w:rPr>
      </w:pPr>
    </w:p>
    <w:p w14:paraId="0567E1CB" w14:textId="77777777" w:rsidR="009B325B" w:rsidRDefault="009B325B" w:rsidP="00376621">
      <w:pPr>
        <w:ind w:right="26"/>
        <w:rPr>
          <w:rFonts w:ascii="Arial" w:hAnsi="Arial" w:cs="Arial"/>
          <w:sz w:val="20"/>
          <w:szCs w:val="20"/>
        </w:rPr>
      </w:pPr>
    </w:p>
    <w:p w14:paraId="7D4DC990" w14:textId="77777777" w:rsidR="009B325B" w:rsidRDefault="009B325B" w:rsidP="00376621">
      <w:pPr>
        <w:ind w:right="26"/>
        <w:rPr>
          <w:rFonts w:ascii="Arial" w:hAnsi="Arial" w:cs="Arial"/>
          <w:sz w:val="20"/>
          <w:szCs w:val="20"/>
        </w:rPr>
      </w:pPr>
    </w:p>
    <w:p w14:paraId="2C3A8895" w14:textId="77777777" w:rsidR="009B325B" w:rsidRDefault="009B325B" w:rsidP="00376621">
      <w:pPr>
        <w:ind w:right="26"/>
        <w:rPr>
          <w:rFonts w:ascii="Arial" w:hAnsi="Arial" w:cs="Arial"/>
          <w:sz w:val="20"/>
          <w:szCs w:val="20"/>
        </w:rPr>
      </w:pPr>
    </w:p>
    <w:p w14:paraId="5C968BED" w14:textId="77777777" w:rsidR="009B325B" w:rsidRDefault="009B325B" w:rsidP="00376621">
      <w:pPr>
        <w:ind w:right="26"/>
        <w:rPr>
          <w:rFonts w:ascii="Arial" w:hAnsi="Arial" w:cs="Arial"/>
          <w:sz w:val="20"/>
          <w:szCs w:val="20"/>
        </w:rPr>
      </w:pPr>
    </w:p>
    <w:p w14:paraId="1682EE19" w14:textId="77777777" w:rsidR="009B325B" w:rsidRDefault="009B325B" w:rsidP="00376621">
      <w:pPr>
        <w:ind w:right="26"/>
        <w:rPr>
          <w:rFonts w:ascii="Arial" w:hAnsi="Arial" w:cs="Arial"/>
          <w:sz w:val="20"/>
          <w:szCs w:val="20"/>
        </w:rPr>
      </w:pPr>
    </w:p>
    <w:p w14:paraId="37F4F73F" w14:textId="77777777" w:rsidR="009B325B" w:rsidRDefault="009B325B" w:rsidP="00376621">
      <w:pPr>
        <w:ind w:right="26"/>
        <w:rPr>
          <w:rFonts w:ascii="Arial" w:hAnsi="Arial" w:cs="Arial"/>
          <w:sz w:val="20"/>
          <w:szCs w:val="20"/>
        </w:rPr>
      </w:pPr>
    </w:p>
    <w:p w14:paraId="4BBDEE46" w14:textId="77777777" w:rsidR="009B325B" w:rsidRDefault="009B325B" w:rsidP="00376621">
      <w:pPr>
        <w:ind w:right="26"/>
        <w:rPr>
          <w:rFonts w:ascii="Arial" w:hAnsi="Arial" w:cs="Arial"/>
          <w:sz w:val="20"/>
          <w:szCs w:val="20"/>
        </w:rPr>
      </w:pPr>
    </w:p>
    <w:p w14:paraId="506ACAB8" w14:textId="77777777" w:rsidR="009B325B" w:rsidRDefault="009B325B" w:rsidP="00376621">
      <w:pPr>
        <w:ind w:right="26"/>
        <w:rPr>
          <w:rFonts w:ascii="Arial" w:hAnsi="Arial" w:cs="Arial"/>
          <w:sz w:val="20"/>
          <w:szCs w:val="20"/>
        </w:rPr>
      </w:pPr>
    </w:p>
    <w:p w14:paraId="2BEFE623" w14:textId="77777777" w:rsidR="009B325B" w:rsidRDefault="009B325B" w:rsidP="00376621">
      <w:pPr>
        <w:ind w:right="26"/>
        <w:rPr>
          <w:rFonts w:ascii="Arial" w:hAnsi="Arial" w:cs="Arial"/>
          <w:sz w:val="20"/>
          <w:szCs w:val="20"/>
        </w:rPr>
      </w:pPr>
    </w:p>
    <w:p w14:paraId="2D5C98C5" w14:textId="77777777" w:rsidR="009B325B" w:rsidRDefault="009B325B" w:rsidP="00376621">
      <w:pPr>
        <w:ind w:right="26"/>
        <w:rPr>
          <w:rFonts w:ascii="Arial" w:hAnsi="Arial" w:cs="Arial"/>
          <w:sz w:val="20"/>
          <w:szCs w:val="20"/>
        </w:rPr>
      </w:pPr>
    </w:p>
    <w:p w14:paraId="545D7F0E" w14:textId="77777777" w:rsidR="009B325B" w:rsidRDefault="009B325B" w:rsidP="00376621">
      <w:pPr>
        <w:ind w:right="26"/>
        <w:rPr>
          <w:rFonts w:ascii="Arial" w:hAnsi="Arial" w:cs="Arial"/>
          <w:sz w:val="20"/>
          <w:szCs w:val="20"/>
        </w:rPr>
      </w:pPr>
    </w:p>
    <w:p w14:paraId="21E00C7C" w14:textId="77777777" w:rsidR="009B325B" w:rsidRDefault="009B325B" w:rsidP="00376621">
      <w:pPr>
        <w:ind w:right="26"/>
        <w:rPr>
          <w:rFonts w:ascii="Arial" w:hAnsi="Arial" w:cs="Arial"/>
          <w:sz w:val="20"/>
          <w:szCs w:val="20"/>
        </w:rPr>
      </w:pPr>
    </w:p>
    <w:p w14:paraId="2B4BC711" w14:textId="77777777" w:rsidR="009B325B" w:rsidRDefault="009B325B" w:rsidP="00376621">
      <w:pPr>
        <w:ind w:right="26"/>
        <w:rPr>
          <w:rFonts w:ascii="Arial" w:hAnsi="Arial" w:cs="Arial"/>
          <w:sz w:val="20"/>
          <w:szCs w:val="20"/>
        </w:rPr>
      </w:pPr>
    </w:p>
    <w:p w14:paraId="15209EBC" w14:textId="77777777" w:rsidR="009B325B" w:rsidRDefault="009B325B" w:rsidP="00376621">
      <w:pPr>
        <w:ind w:right="26"/>
        <w:rPr>
          <w:rFonts w:ascii="Arial" w:hAnsi="Arial" w:cs="Arial"/>
          <w:sz w:val="20"/>
          <w:szCs w:val="20"/>
        </w:rPr>
      </w:pPr>
    </w:p>
    <w:p w14:paraId="1F7657AF" w14:textId="77777777" w:rsidR="009B325B" w:rsidRDefault="009B325B" w:rsidP="00376621">
      <w:pPr>
        <w:ind w:right="26"/>
        <w:rPr>
          <w:rFonts w:ascii="Arial" w:hAnsi="Arial" w:cs="Arial"/>
          <w:sz w:val="20"/>
          <w:szCs w:val="20"/>
        </w:rPr>
      </w:pPr>
    </w:p>
    <w:p w14:paraId="1A0E8FB2" w14:textId="77777777" w:rsidR="009B325B" w:rsidRDefault="009B325B" w:rsidP="00376621">
      <w:pPr>
        <w:ind w:right="26"/>
        <w:rPr>
          <w:rFonts w:ascii="Arial" w:hAnsi="Arial" w:cs="Arial"/>
          <w:sz w:val="20"/>
          <w:szCs w:val="20"/>
        </w:rPr>
      </w:pPr>
    </w:p>
    <w:p w14:paraId="3BAB5F34" w14:textId="77777777" w:rsidR="009B325B" w:rsidRDefault="009B325B" w:rsidP="00376621">
      <w:pPr>
        <w:ind w:right="26"/>
        <w:rPr>
          <w:rFonts w:ascii="Arial" w:hAnsi="Arial" w:cs="Arial"/>
          <w:sz w:val="20"/>
          <w:szCs w:val="20"/>
        </w:rPr>
      </w:pPr>
    </w:p>
    <w:p w14:paraId="387028EE" w14:textId="77777777" w:rsidR="009B325B" w:rsidRDefault="009B325B" w:rsidP="00376621">
      <w:pPr>
        <w:ind w:right="26"/>
        <w:rPr>
          <w:rFonts w:ascii="Arial" w:hAnsi="Arial" w:cs="Arial"/>
          <w:sz w:val="20"/>
          <w:szCs w:val="20"/>
        </w:rPr>
      </w:pPr>
    </w:p>
    <w:p w14:paraId="41DF0089" w14:textId="77777777" w:rsidR="009B325B" w:rsidRDefault="009B325B" w:rsidP="00376621">
      <w:pPr>
        <w:ind w:right="26"/>
        <w:rPr>
          <w:rFonts w:ascii="Arial" w:hAnsi="Arial" w:cs="Arial"/>
          <w:sz w:val="20"/>
          <w:szCs w:val="20"/>
        </w:rPr>
      </w:pPr>
    </w:p>
    <w:p w14:paraId="23246BF3" w14:textId="77777777" w:rsidR="009B325B" w:rsidRDefault="009B325B" w:rsidP="00376621">
      <w:pPr>
        <w:ind w:right="26"/>
        <w:rPr>
          <w:rFonts w:ascii="Arial" w:hAnsi="Arial" w:cs="Arial"/>
          <w:sz w:val="20"/>
          <w:szCs w:val="20"/>
        </w:rPr>
      </w:pPr>
    </w:p>
    <w:p w14:paraId="474E1D7F" w14:textId="77777777" w:rsidR="009B325B" w:rsidRDefault="009B325B" w:rsidP="00376621">
      <w:pPr>
        <w:ind w:right="26"/>
        <w:rPr>
          <w:rFonts w:ascii="Arial" w:hAnsi="Arial" w:cs="Arial"/>
          <w:sz w:val="20"/>
          <w:szCs w:val="20"/>
        </w:rPr>
      </w:pPr>
    </w:p>
    <w:p w14:paraId="1ACE7146" w14:textId="77777777" w:rsidR="009B325B" w:rsidRDefault="009B325B" w:rsidP="00376621">
      <w:pPr>
        <w:ind w:right="26"/>
        <w:rPr>
          <w:rFonts w:ascii="Arial" w:hAnsi="Arial" w:cs="Arial"/>
          <w:sz w:val="20"/>
          <w:szCs w:val="20"/>
        </w:rPr>
      </w:pPr>
    </w:p>
    <w:p w14:paraId="7CDC3FA0" w14:textId="77777777" w:rsidR="009B325B" w:rsidRDefault="009B325B" w:rsidP="00376621">
      <w:pPr>
        <w:ind w:right="26"/>
        <w:rPr>
          <w:rFonts w:ascii="Arial" w:hAnsi="Arial" w:cs="Arial"/>
          <w:sz w:val="20"/>
          <w:szCs w:val="20"/>
        </w:rPr>
      </w:pPr>
    </w:p>
    <w:p w14:paraId="2881DBFB" w14:textId="77777777" w:rsidR="009B325B" w:rsidRDefault="009B325B" w:rsidP="00376621">
      <w:pPr>
        <w:ind w:right="26"/>
        <w:rPr>
          <w:rFonts w:ascii="Arial" w:hAnsi="Arial" w:cs="Arial"/>
          <w:sz w:val="20"/>
          <w:szCs w:val="20"/>
        </w:rPr>
      </w:pPr>
    </w:p>
    <w:p w14:paraId="18E0F398" w14:textId="77777777" w:rsidR="009B325B" w:rsidRDefault="009B325B" w:rsidP="00376621">
      <w:pPr>
        <w:ind w:right="26"/>
        <w:rPr>
          <w:rFonts w:ascii="Arial" w:hAnsi="Arial" w:cs="Arial"/>
          <w:sz w:val="20"/>
          <w:szCs w:val="20"/>
        </w:rPr>
      </w:pPr>
    </w:p>
    <w:p w14:paraId="08EDC5AB" w14:textId="77777777" w:rsidR="009B325B" w:rsidRDefault="009B325B" w:rsidP="00376621">
      <w:pPr>
        <w:ind w:right="26"/>
        <w:rPr>
          <w:rFonts w:ascii="Arial" w:hAnsi="Arial" w:cs="Arial"/>
          <w:sz w:val="20"/>
          <w:szCs w:val="20"/>
        </w:rPr>
      </w:pPr>
    </w:p>
    <w:p w14:paraId="24C4F47C" w14:textId="77777777" w:rsidR="009B325B" w:rsidRDefault="009B325B" w:rsidP="00376621">
      <w:pPr>
        <w:ind w:right="26"/>
        <w:rPr>
          <w:rFonts w:ascii="Arial" w:hAnsi="Arial" w:cs="Arial"/>
          <w:sz w:val="20"/>
          <w:szCs w:val="20"/>
        </w:rPr>
      </w:pPr>
    </w:p>
    <w:p w14:paraId="32E3F7D7" w14:textId="77777777" w:rsidR="009B325B" w:rsidRDefault="009B325B" w:rsidP="00376621">
      <w:pPr>
        <w:ind w:right="26"/>
        <w:rPr>
          <w:rFonts w:ascii="Arial" w:hAnsi="Arial" w:cs="Arial"/>
          <w:sz w:val="20"/>
          <w:szCs w:val="20"/>
        </w:rPr>
      </w:pPr>
    </w:p>
    <w:p w14:paraId="6EA7AED2" w14:textId="77777777" w:rsidR="009B325B" w:rsidRDefault="009B325B" w:rsidP="00376621">
      <w:pPr>
        <w:ind w:right="26"/>
        <w:rPr>
          <w:rFonts w:ascii="Arial" w:hAnsi="Arial" w:cs="Arial"/>
          <w:sz w:val="20"/>
          <w:szCs w:val="20"/>
        </w:rPr>
      </w:pPr>
    </w:p>
    <w:p w14:paraId="31EAA593" w14:textId="77777777" w:rsidR="009B325B" w:rsidRDefault="009B325B" w:rsidP="00376621">
      <w:pPr>
        <w:ind w:right="26"/>
        <w:rPr>
          <w:rFonts w:ascii="Arial" w:hAnsi="Arial" w:cs="Arial"/>
          <w:sz w:val="20"/>
          <w:szCs w:val="20"/>
        </w:rPr>
      </w:pPr>
    </w:p>
    <w:p w14:paraId="11DED8D7" w14:textId="77777777" w:rsidR="009B325B" w:rsidRDefault="009B325B" w:rsidP="00376621">
      <w:pPr>
        <w:ind w:right="26"/>
        <w:rPr>
          <w:rFonts w:ascii="Arial" w:hAnsi="Arial" w:cs="Arial"/>
          <w:sz w:val="20"/>
          <w:szCs w:val="20"/>
        </w:rPr>
      </w:pPr>
    </w:p>
    <w:p w14:paraId="2D315AD1" w14:textId="77777777" w:rsidR="009B325B" w:rsidRDefault="009B325B" w:rsidP="00376621">
      <w:pPr>
        <w:ind w:right="26"/>
        <w:rPr>
          <w:rFonts w:ascii="Arial" w:hAnsi="Arial" w:cs="Arial"/>
          <w:sz w:val="20"/>
          <w:szCs w:val="20"/>
        </w:rPr>
      </w:pPr>
    </w:p>
    <w:p w14:paraId="5975CBEE" w14:textId="77777777" w:rsidR="009B325B" w:rsidRDefault="009B325B" w:rsidP="00376621">
      <w:pPr>
        <w:ind w:right="26"/>
        <w:rPr>
          <w:rFonts w:ascii="Arial" w:hAnsi="Arial" w:cs="Arial"/>
          <w:sz w:val="20"/>
          <w:szCs w:val="20"/>
        </w:rPr>
      </w:pPr>
    </w:p>
    <w:p w14:paraId="171D58A8" w14:textId="77777777" w:rsidR="009B325B" w:rsidRDefault="009B325B" w:rsidP="00376621">
      <w:pPr>
        <w:ind w:right="26"/>
        <w:rPr>
          <w:rFonts w:ascii="Arial" w:hAnsi="Arial" w:cs="Arial"/>
          <w:sz w:val="20"/>
          <w:szCs w:val="20"/>
        </w:rPr>
      </w:pPr>
    </w:p>
    <w:p w14:paraId="5BDEEDC9" w14:textId="77777777" w:rsidR="009B325B" w:rsidRDefault="009B325B" w:rsidP="00376621">
      <w:pPr>
        <w:ind w:right="26"/>
        <w:rPr>
          <w:rFonts w:ascii="Arial" w:hAnsi="Arial" w:cs="Arial"/>
          <w:sz w:val="20"/>
          <w:szCs w:val="20"/>
        </w:rPr>
      </w:pPr>
    </w:p>
    <w:p w14:paraId="1255202C" w14:textId="77777777" w:rsidR="009B325B" w:rsidRPr="009B325B" w:rsidRDefault="009B325B" w:rsidP="009B325B">
      <w:pPr>
        <w:keepNext/>
        <w:keepLines/>
        <w:widowControl/>
        <w:autoSpaceDE/>
        <w:autoSpaceDN/>
        <w:spacing w:before="40" w:line="259" w:lineRule="auto"/>
        <w:jc w:val="center"/>
        <w:outlineLvl w:val="2"/>
        <w:rPr>
          <w:rFonts w:ascii="Arial" w:eastAsiaTheme="majorEastAsia" w:hAnsi="Arial" w:cs="Arial"/>
          <w:b/>
          <w:color w:val="00B0F0"/>
          <w:sz w:val="24"/>
          <w:szCs w:val="24"/>
        </w:rPr>
      </w:pPr>
      <w:bookmarkStart w:id="1267" w:name="_Toc153137691"/>
      <w:r w:rsidRPr="009B325B">
        <w:rPr>
          <w:rFonts w:ascii="Arial" w:eastAsiaTheme="majorEastAsia" w:hAnsi="Arial" w:cs="Arial"/>
          <w:b/>
          <w:color w:val="00B0F0"/>
          <w:sz w:val="24"/>
          <w:szCs w:val="24"/>
        </w:rPr>
        <w:t>SUBPART D – DESIGN AND CONSTRUCTION</w:t>
      </w:r>
      <w:bookmarkEnd w:id="1267"/>
    </w:p>
    <w:p w14:paraId="66BFFDE4" w14:textId="77777777" w:rsidR="00775F36" w:rsidRPr="00775F36" w:rsidRDefault="00775F36" w:rsidP="00775F36">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268" w:name="CS_31HB.31_General"/>
      <w:bookmarkStart w:id="1269" w:name="_bookmark529"/>
      <w:bookmarkStart w:id="1270" w:name="_Toc153137692"/>
      <w:bookmarkEnd w:id="1268"/>
      <w:bookmarkEnd w:id="1269"/>
      <w:r w:rsidRPr="00775F36">
        <w:rPr>
          <w:rFonts w:ascii="Arial" w:eastAsia="Times New Roman" w:hAnsi="Arial" w:cs="Times New Roman"/>
          <w:b/>
          <w:iCs/>
          <w:color w:val="FFFFFF"/>
          <w:sz w:val="24"/>
        </w:rPr>
        <w:t>CS 31HB.31 General</w:t>
      </w:r>
      <w:bookmarkEnd w:id="1270"/>
    </w:p>
    <w:p w14:paraId="6E7BFFB9" w14:textId="77777777" w:rsidR="00775F36" w:rsidRPr="00775F36" w:rsidRDefault="00775F36" w:rsidP="00775F36">
      <w:pPr>
        <w:spacing w:before="122" w:line="276" w:lineRule="auto"/>
        <w:jc w:val="both"/>
        <w:rPr>
          <w:rFonts w:ascii="Arial" w:hAnsi="Arial" w:cs="Arial"/>
          <w:sz w:val="20"/>
          <w:szCs w:val="20"/>
        </w:rPr>
      </w:pPr>
      <w:r w:rsidRPr="00775F36">
        <w:rPr>
          <w:rFonts w:ascii="Arial" w:hAnsi="Arial" w:cs="Arial"/>
          <w:sz w:val="20"/>
          <w:szCs w:val="20"/>
        </w:rPr>
        <w:t>The suitability of each design detail or part that bears on safety must be established by tests or analysis.</w:t>
      </w:r>
    </w:p>
    <w:p w14:paraId="260E4BA1" w14:textId="77777777" w:rsidR="00775F36" w:rsidRPr="00775F36" w:rsidRDefault="00775F36" w:rsidP="00775F36">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271" w:name="CS_31HB.33_Materials"/>
      <w:bookmarkStart w:id="1272" w:name="_bookmark530"/>
      <w:bookmarkStart w:id="1273" w:name="_Toc153137693"/>
      <w:bookmarkEnd w:id="1271"/>
      <w:bookmarkEnd w:id="1272"/>
      <w:r w:rsidRPr="00775F36">
        <w:rPr>
          <w:rFonts w:ascii="Arial" w:eastAsia="Times New Roman" w:hAnsi="Arial" w:cs="Times New Roman"/>
          <w:b/>
          <w:iCs/>
          <w:color w:val="FFFFFF"/>
          <w:sz w:val="24"/>
        </w:rPr>
        <w:t>CS 31HB.33 Materials</w:t>
      </w:r>
      <w:bookmarkEnd w:id="1273"/>
    </w:p>
    <w:p w14:paraId="0D7816DD" w14:textId="77777777" w:rsidR="00775F36" w:rsidRPr="00775F36" w:rsidRDefault="00775F36" w:rsidP="00A56A31">
      <w:pPr>
        <w:pStyle w:val="ListParagraph"/>
        <w:numPr>
          <w:ilvl w:val="0"/>
          <w:numId w:val="380"/>
        </w:numPr>
        <w:tabs>
          <w:tab w:val="left" w:pos="707"/>
        </w:tabs>
        <w:spacing w:before="117"/>
        <w:ind w:right="26"/>
        <w:jc w:val="both"/>
        <w:rPr>
          <w:rFonts w:ascii="Arial" w:hAnsi="Arial" w:cs="Arial"/>
          <w:sz w:val="20"/>
        </w:rPr>
      </w:pPr>
      <w:r w:rsidRPr="00775F36">
        <w:rPr>
          <w:rFonts w:ascii="Arial" w:hAnsi="Arial" w:cs="Arial"/>
          <w:sz w:val="20"/>
        </w:rPr>
        <w:t>The</w:t>
      </w:r>
      <w:r w:rsidRPr="00775F36">
        <w:rPr>
          <w:rFonts w:ascii="Arial" w:hAnsi="Arial" w:cs="Arial"/>
          <w:spacing w:val="15"/>
          <w:sz w:val="20"/>
        </w:rPr>
        <w:t xml:space="preserve"> </w:t>
      </w:r>
      <w:r w:rsidRPr="00775F36">
        <w:rPr>
          <w:rFonts w:ascii="Arial" w:hAnsi="Arial" w:cs="Arial"/>
          <w:sz w:val="20"/>
        </w:rPr>
        <w:t>suitability</w:t>
      </w:r>
      <w:r w:rsidRPr="00775F36">
        <w:rPr>
          <w:rFonts w:ascii="Arial" w:hAnsi="Arial" w:cs="Arial"/>
          <w:spacing w:val="14"/>
          <w:sz w:val="20"/>
        </w:rPr>
        <w:t xml:space="preserve"> </w:t>
      </w:r>
      <w:r w:rsidRPr="00775F36">
        <w:rPr>
          <w:rFonts w:ascii="Arial" w:hAnsi="Arial" w:cs="Arial"/>
          <w:sz w:val="20"/>
        </w:rPr>
        <w:t>and</w:t>
      </w:r>
      <w:r w:rsidRPr="00775F36">
        <w:rPr>
          <w:rFonts w:ascii="Arial" w:hAnsi="Arial" w:cs="Arial"/>
          <w:spacing w:val="15"/>
          <w:sz w:val="20"/>
        </w:rPr>
        <w:t xml:space="preserve"> </w:t>
      </w:r>
      <w:r w:rsidRPr="00775F36">
        <w:rPr>
          <w:rFonts w:ascii="Arial" w:hAnsi="Arial" w:cs="Arial"/>
          <w:sz w:val="20"/>
        </w:rPr>
        <w:t>durability</w:t>
      </w:r>
      <w:r w:rsidRPr="00775F36">
        <w:rPr>
          <w:rFonts w:ascii="Arial" w:hAnsi="Arial" w:cs="Arial"/>
          <w:spacing w:val="14"/>
          <w:sz w:val="20"/>
        </w:rPr>
        <w:t xml:space="preserve"> </w:t>
      </w:r>
      <w:r w:rsidRPr="00775F36">
        <w:rPr>
          <w:rFonts w:ascii="Arial" w:hAnsi="Arial" w:cs="Arial"/>
          <w:sz w:val="20"/>
        </w:rPr>
        <w:t>of</w:t>
      </w:r>
      <w:r w:rsidRPr="00775F36">
        <w:rPr>
          <w:rFonts w:ascii="Arial" w:hAnsi="Arial" w:cs="Arial"/>
          <w:spacing w:val="11"/>
          <w:sz w:val="20"/>
        </w:rPr>
        <w:t xml:space="preserve"> </w:t>
      </w:r>
      <w:r w:rsidRPr="00775F36">
        <w:rPr>
          <w:rFonts w:ascii="Arial" w:hAnsi="Arial" w:cs="Arial"/>
          <w:sz w:val="20"/>
        </w:rPr>
        <w:t>materials</w:t>
      </w:r>
      <w:r w:rsidRPr="00775F36">
        <w:rPr>
          <w:rFonts w:ascii="Arial" w:hAnsi="Arial" w:cs="Arial"/>
          <w:spacing w:val="16"/>
          <w:sz w:val="20"/>
        </w:rPr>
        <w:t xml:space="preserve"> </w:t>
      </w:r>
      <w:r w:rsidRPr="00775F36">
        <w:rPr>
          <w:rFonts w:ascii="Arial" w:hAnsi="Arial" w:cs="Arial"/>
          <w:sz w:val="20"/>
        </w:rPr>
        <w:t>used</w:t>
      </w:r>
      <w:r w:rsidRPr="00775F36">
        <w:rPr>
          <w:rFonts w:ascii="Arial" w:hAnsi="Arial" w:cs="Arial"/>
          <w:spacing w:val="16"/>
          <w:sz w:val="20"/>
        </w:rPr>
        <w:t xml:space="preserve"> </w:t>
      </w:r>
      <w:r w:rsidRPr="00775F36">
        <w:rPr>
          <w:rFonts w:ascii="Arial" w:hAnsi="Arial" w:cs="Arial"/>
          <w:sz w:val="20"/>
        </w:rPr>
        <w:t>for</w:t>
      </w:r>
      <w:r w:rsidRPr="00775F36">
        <w:rPr>
          <w:rFonts w:ascii="Arial" w:hAnsi="Arial" w:cs="Arial"/>
          <w:spacing w:val="13"/>
          <w:sz w:val="20"/>
        </w:rPr>
        <w:t xml:space="preserve"> </w:t>
      </w:r>
      <w:r w:rsidRPr="00775F36">
        <w:rPr>
          <w:rFonts w:ascii="Arial" w:hAnsi="Arial" w:cs="Arial"/>
          <w:sz w:val="20"/>
        </w:rPr>
        <w:t>parts,</w:t>
      </w:r>
      <w:r w:rsidRPr="00775F36">
        <w:rPr>
          <w:rFonts w:ascii="Arial" w:hAnsi="Arial" w:cs="Arial"/>
          <w:spacing w:val="13"/>
          <w:sz w:val="20"/>
        </w:rPr>
        <w:t xml:space="preserve"> </w:t>
      </w:r>
      <w:r w:rsidRPr="00775F36">
        <w:rPr>
          <w:rFonts w:ascii="Arial" w:hAnsi="Arial" w:cs="Arial"/>
          <w:sz w:val="20"/>
        </w:rPr>
        <w:t>the</w:t>
      </w:r>
      <w:r w:rsidRPr="00775F36">
        <w:rPr>
          <w:rFonts w:ascii="Arial" w:hAnsi="Arial" w:cs="Arial"/>
          <w:spacing w:val="13"/>
          <w:sz w:val="20"/>
        </w:rPr>
        <w:t xml:space="preserve"> </w:t>
      </w:r>
      <w:r w:rsidRPr="00775F36">
        <w:rPr>
          <w:rFonts w:ascii="Arial" w:hAnsi="Arial" w:cs="Arial"/>
          <w:sz w:val="20"/>
        </w:rPr>
        <w:t>failure</w:t>
      </w:r>
      <w:r w:rsidRPr="00775F36">
        <w:rPr>
          <w:rFonts w:ascii="Arial" w:hAnsi="Arial" w:cs="Arial"/>
          <w:spacing w:val="14"/>
          <w:sz w:val="20"/>
        </w:rPr>
        <w:t xml:space="preserve"> </w:t>
      </w:r>
      <w:r w:rsidRPr="00775F36">
        <w:rPr>
          <w:rFonts w:ascii="Arial" w:hAnsi="Arial" w:cs="Arial"/>
          <w:sz w:val="20"/>
        </w:rPr>
        <w:t>of</w:t>
      </w:r>
      <w:r w:rsidRPr="00775F36">
        <w:rPr>
          <w:rFonts w:ascii="Arial" w:hAnsi="Arial" w:cs="Arial"/>
          <w:spacing w:val="13"/>
          <w:sz w:val="20"/>
        </w:rPr>
        <w:t xml:space="preserve"> </w:t>
      </w:r>
      <w:r w:rsidRPr="00775F36">
        <w:rPr>
          <w:rFonts w:ascii="Arial" w:hAnsi="Arial" w:cs="Arial"/>
          <w:sz w:val="20"/>
        </w:rPr>
        <w:t>which</w:t>
      </w:r>
      <w:r w:rsidRPr="00775F36">
        <w:rPr>
          <w:rFonts w:ascii="Arial" w:hAnsi="Arial" w:cs="Arial"/>
          <w:spacing w:val="12"/>
          <w:sz w:val="20"/>
        </w:rPr>
        <w:t xml:space="preserve"> </w:t>
      </w:r>
      <w:r w:rsidRPr="00775F36">
        <w:rPr>
          <w:rFonts w:ascii="Arial" w:hAnsi="Arial" w:cs="Arial"/>
          <w:sz w:val="20"/>
        </w:rPr>
        <w:t>could</w:t>
      </w:r>
      <w:r w:rsidRPr="00775F36">
        <w:rPr>
          <w:rFonts w:ascii="Arial" w:hAnsi="Arial" w:cs="Arial"/>
          <w:spacing w:val="15"/>
          <w:sz w:val="20"/>
        </w:rPr>
        <w:t xml:space="preserve"> </w:t>
      </w:r>
      <w:r w:rsidRPr="00775F36">
        <w:rPr>
          <w:rFonts w:ascii="Arial" w:hAnsi="Arial" w:cs="Arial"/>
          <w:sz w:val="20"/>
        </w:rPr>
        <w:t>adversely</w:t>
      </w:r>
      <w:r w:rsidRPr="00775F36">
        <w:rPr>
          <w:rFonts w:ascii="Arial" w:hAnsi="Arial" w:cs="Arial"/>
          <w:spacing w:val="-46"/>
          <w:sz w:val="20"/>
        </w:rPr>
        <w:t xml:space="preserve"> </w:t>
      </w:r>
      <w:r w:rsidRPr="00775F36">
        <w:rPr>
          <w:rFonts w:ascii="Arial" w:hAnsi="Arial" w:cs="Arial"/>
          <w:sz w:val="20"/>
        </w:rPr>
        <w:t>affect safety,</w:t>
      </w:r>
      <w:r w:rsidRPr="00775F36">
        <w:rPr>
          <w:rFonts w:ascii="Arial" w:hAnsi="Arial" w:cs="Arial"/>
          <w:spacing w:val="-2"/>
          <w:sz w:val="20"/>
        </w:rPr>
        <w:t xml:space="preserve"> </w:t>
      </w:r>
      <w:r w:rsidRPr="00775F36">
        <w:rPr>
          <w:rFonts w:ascii="Arial" w:hAnsi="Arial" w:cs="Arial"/>
          <w:sz w:val="20"/>
        </w:rPr>
        <w:t>must</w:t>
      </w:r>
    </w:p>
    <w:p w14:paraId="5311D8AD" w14:textId="77777777" w:rsidR="00775F36" w:rsidRPr="00775F36" w:rsidRDefault="00775F36" w:rsidP="00A56A31">
      <w:pPr>
        <w:pStyle w:val="ListParagraph"/>
        <w:numPr>
          <w:ilvl w:val="1"/>
          <w:numId w:val="380"/>
        </w:numPr>
        <w:tabs>
          <w:tab w:val="left" w:pos="1274"/>
        </w:tabs>
        <w:spacing w:before="122"/>
        <w:ind w:right="26" w:hanging="568"/>
        <w:jc w:val="both"/>
        <w:rPr>
          <w:rFonts w:ascii="Arial" w:hAnsi="Arial" w:cs="Arial"/>
          <w:sz w:val="20"/>
        </w:rPr>
      </w:pPr>
      <w:r w:rsidRPr="00775F36">
        <w:rPr>
          <w:rFonts w:ascii="Arial" w:hAnsi="Arial" w:cs="Arial"/>
          <w:sz w:val="20"/>
        </w:rPr>
        <w:t>be established</w:t>
      </w:r>
      <w:r w:rsidRPr="00775F36">
        <w:rPr>
          <w:rFonts w:ascii="Arial" w:hAnsi="Arial" w:cs="Arial"/>
          <w:spacing w:val="-1"/>
          <w:sz w:val="20"/>
        </w:rPr>
        <w:t xml:space="preserve"> </w:t>
      </w:r>
      <w:r w:rsidRPr="00775F36">
        <w:rPr>
          <w:rFonts w:ascii="Arial" w:hAnsi="Arial" w:cs="Arial"/>
          <w:sz w:val="20"/>
        </w:rPr>
        <w:t>by</w:t>
      </w:r>
      <w:r w:rsidRPr="00775F36">
        <w:rPr>
          <w:rFonts w:ascii="Arial" w:hAnsi="Arial" w:cs="Arial"/>
          <w:spacing w:val="-2"/>
          <w:sz w:val="20"/>
        </w:rPr>
        <w:t xml:space="preserve"> </w:t>
      </w:r>
      <w:r w:rsidRPr="00775F36">
        <w:rPr>
          <w:rFonts w:ascii="Arial" w:hAnsi="Arial" w:cs="Arial"/>
          <w:sz w:val="20"/>
        </w:rPr>
        <w:t>experience</w:t>
      </w:r>
      <w:r w:rsidRPr="00775F36">
        <w:rPr>
          <w:rFonts w:ascii="Arial" w:hAnsi="Arial" w:cs="Arial"/>
          <w:spacing w:val="-3"/>
          <w:sz w:val="20"/>
        </w:rPr>
        <w:t xml:space="preserve"> </w:t>
      </w:r>
      <w:r w:rsidRPr="00775F36">
        <w:rPr>
          <w:rFonts w:ascii="Arial" w:hAnsi="Arial" w:cs="Arial"/>
          <w:sz w:val="20"/>
        </w:rPr>
        <w:t>or tests;</w:t>
      </w:r>
      <w:r w:rsidRPr="00775F36">
        <w:rPr>
          <w:rFonts w:ascii="Arial" w:hAnsi="Arial" w:cs="Arial"/>
          <w:spacing w:val="-1"/>
          <w:sz w:val="20"/>
        </w:rPr>
        <w:t xml:space="preserve"> </w:t>
      </w:r>
      <w:r w:rsidRPr="00775F36">
        <w:rPr>
          <w:rFonts w:ascii="Arial" w:hAnsi="Arial" w:cs="Arial"/>
          <w:sz w:val="20"/>
        </w:rPr>
        <w:t>and</w:t>
      </w:r>
    </w:p>
    <w:p w14:paraId="6EB24E1F" w14:textId="77777777" w:rsidR="00775F36" w:rsidRPr="00775F36" w:rsidRDefault="00775F36" w:rsidP="00A56A31">
      <w:pPr>
        <w:pStyle w:val="ListParagraph"/>
        <w:numPr>
          <w:ilvl w:val="1"/>
          <w:numId w:val="380"/>
        </w:numPr>
        <w:tabs>
          <w:tab w:val="left" w:pos="1274"/>
        </w:tabs>
        <w:ind w:right="26"/>
        <w:jc w:val="both"/>
        <w:rPr>
          <w:rFonts w:ascii="Arial" w:hAnsi="Arial" w:cs="Arial"/>
          <w:sz w:val="20"/>
        </w:rPr>
      </w:pPr>
      <w:r w:rsidRPr="00775F36">
        <w:rPr>
          <w:rFonts w:ascii="Arial" w:hAnsi="Arial" w:cs="Arial"/>
          <w:sz w:val="20"/>
        </w:rPr>
        <w:t>meet approved specifications that ensure their having the strength and other properties</w:t>
      </w:r>
      <w:r w:rsidRPr="00775F36">
        <w:rPr>
          <w:rFonts w:ascii="Arial" w:hAnsi="Arial" w:cs="Arial"/>
          <w:spacing w:val="-47"/>
          <w:sz w:val="20"/>
        </w:rPr>
        <w:t xml:space="preserve"> </w:t>
      </w:r>
      <w:r w:rsidRPr="00775F36">
        <w:rPr>
          <w:rFonts w:ascii="Arial" w:hAnsi="Arial" w:cs="Arial"/>
          <w:sz w:val="20"/>
        </w:rPr>
        <w:t>assumed</w:t>
      </w:r>
      <w:r w:rsidRPr="00775F36">
        <w:rPr>
          <w:rFonts w:ascii="Arial" w:hAnsi="Arial" w:cs="Arial"/>
          <w:spacing w:val="-1"/>
          <w:sz w:val="20"/>
        </w:rPr>
        <w:t xml:space="preserve"> </w:t>
      </w:r>
      <w:r w:rsidRPr="00775F36">
        <w:rPr>
          <w:rFonts w:ascii="Arial" w:hAnsi="Arial" w:cs="Arial"/>
          <w:sz w:val="20"/>
        </w:rPr>
        <w:t>in</w:t>
      </w:r>
      <w:r w:rsidRPr="00775F36">
        <w:rPr>
          <w:rFonts w:ascii="Arial" w:hAnsi="Arial" w:cs="Arial"/>
          <w:spacing w:val="-4"/>
          <w:sz w:val="20"/>
        </w:rPr>
        <w:t xml:space="preserve"> </w:t>
      </w:r>
      <w:r w:rsidRPr="00775F36">
        <w:rPr>
          <w:rFonts w:ascii="Arial" w:hAnsi="Arial" w:cs="Arial"/>
          <w:sz w:val="20"/>
        </w:rPr>
        <w:t>the</w:t>
      </w:r>
      <w:r w:rsidRPr="00775F36">
        <w:rPr>
          <w:rFonts w:ascii="Arial" w:hAnsi="Arial" w:cs="Arial"/>
          <w:spacing w:val="1"/>
          <w:sz w:val="20"/>
        </w:rPr>
        <w:t xml:space="preserve"> </w:t>
      </w:r>
      <w:r w:rsidRPr="00775F36">
        <w:rPr>
          <w:rFonts w:ascii="Arial" w:hAnsi="Arial" w:cs="Arial"/>
          <w:sz w:val="20"/>
        </w:rPr>
        <w:t>design</w:t>
      </w:r>
      <w:r w:rsidRPr="00775F36">
        <w:rPr>
          <w:rFonts w:ascii="Arial" w:hAnsi="Arial" w:cs="Arial"/>
          <w:spacing w:val="-1"/>
          <w:sz w:val="20"/>
        </w:rPr>
        <w:t xml:space="preserve"> </w:t>
      </w:r>
      <w:r w:rsidRPr="00775F36">
        <w:rPr>
          <w:rFonts w:ascii="Arial" w:hAnsi="Arial" w:cs="Arial"/>
          <w:sz w:val="20"/>
        </w:rPr>
        <w:t>data.</w:t>
      </w:r>
      <w:r w:rsidRPr="00775F36">
        <w:rPr>
          <w:rFonts w:ascii="Arial" w:hAnsi="Arial" w:cs="Arial"/>
          <w:spacing w:val="-1"/>
          <w:sz w:val="20"/>
        </w:rPr>
        <w:t xml:space="preserve"> </w:t>
      </w:r>
      <w:r w:rsidRPr="00775F36">
        <w:rPr>
          <w:rFonts w:ascii="Arial" w:hAnsi="Arial" w:cs="Arial"/>
          <w:sz w:val="20"/>
        </w:rPr>
        <w:t>(See</w:t>
      </w:r>
      <w:r w:rsidRPr="00775F36">
        <w:rPr>
          <w:rFonts w:ascii="Arial" w:hAnsi="Arial" w:cs="Arial"/>
          <w:color w:val="0000FF"/>
          <w:spacing w:val="2"/>
          <w:sz w:val="20"/>
        </w:rPr>
        <w:t xml:space="preserve"> </w:t>
      </w:r>
      <w:r w:rsidRPr="00775F36">
        <w:rPr>
          <w:rFonts w:ascii="Arial" w:hAnsi="Arial" w:cs="Arial"/>
          <w:sz w:val="20"/>
        </w:rPr>
        <w:t>AMC</w:t>
      </w:r>
      <w:r w:rsidRPr="00775F36">
        <w:rPr>
          <w:rFonts w:ascii="Arial" w:hAnsi="Arial" w:cs="Arial"/>
          <w:spacing w:val="-3"/>
          <w:sz w:val="20"/>
        </w:rPr>
        <w:t xml:space="preserve"> </w:t>
      </w:r>
      <w:r w:rsidRPr="00775F36">
        <w:rPr>
          <w:rFonts w:ascii="Arial" w:hAnsi="Arial" w:cs="Arial"/>
          <w:sz w:val="20"/>
        </w:rPr>
        <w:t>31HB.33(a)(2))</w:t>
      </w:r>
    </w:p>
    <w:p w14:paraId="496BDCF8" w14:textId="77777777" w:rsidR="00775F36" w:rsidRPr="00775F36" w:rsidRDefault="00775F36" w:rsidP="00A56A31">
      <w:pPr>
        <w:pStyle w:val="ListParagraph"/>
        <w:numPr>
          <w:ilvl w:val="0"/>
          <w:numId w:val="380"/>
        </w:numPr>
        <w:tabs>
          <w:tab w:val="left" w:pos="707"/>
        </w:tabs>
        <w:spacing w:before="122" w:line="235" w:lineRule="auto"/>
        <w:ind w:right="26"/>
        <w:jc w:val="both"/>
        <w:rPr>
          <w:rFonts w:ascii="Arial" w:hAnsi="Arial" w:cs="Arial"/>
          <w:sz w:val="20"/>
        </w:rPr>
      </w:pPr>
      <w:r w:rsidRPr="00775F36">
        <w:rPr>
          <w:rFonts w:ascii="Arial" w:hAnsi="Arial" w:cs="Arial"/>
          <w:sz w:val="20"/>
        </w:rPr>
        <w:t>Envelope</w:t>
      </w:r>
      <w:r w:rsidRPr="00775F36">
        <w:rPr>
          <w:rFonts w:ascii="Arial" w:hAnsi="Arial" w:cs="Arial"/>
          <w:spacing w:val="12"/>
          <w:sz w:val="20"/>
        </w:rPr>
        <w:t xml:space="preserve"> </w:t>
      </w:r>
      <w:r w:rsidRPr="00775F36">
        <w:rPr>
          <w:rFonts w:ascii="Arial" w:hAnsi="Arial" w:cs="Arial"/>
          <w:sz w:val="20"/>
        </w:rPr>
        <w:t>materials</w:t>
      </w:r>
      <w:r w:rsidRPr="00775F36">
        <w:rPr>
          <w:rFonts w:ascii="Arial" w:hAnsi="Arial" w:cs="Arial"/>
          <w:spacing w:val="11"/>
          <w:sz w:val="20"/>
        </w:rPr>
        <w:t xml:space="preserve"> </w:t>
      </w:r>
      <w:r w:rsidRPr="00775F36">
        <w:rPr>
          <w:rFonts w:ascii="Arial" w:hAnsi="Arial" w:cs="Arial"/>
          <w:sz w:val="20"/>
        </w:rPr>
        <w:t>must</w:t>
      </w:r>
      <w:r w:rsidRPr="00775F36">
        <w:rPr>
          <w:rFonts w:ascii="Arial" w:hAnsi="Arial" w:cs="Arial"/>
          <w:spacing w:val="14"/>
          <w:sz w:val="20"/>
        </w:rPr>
        <w:t xml:space="preserve"> </w:t>
      </w:r>
      <w:r w:rsidRPr="00775F36">
        <w:rPr>
          <w:rFonts w:ascii="Arial" w:hAnsi="Arial" w:cs="Arial"/>
          <w:sz w:val="20"/>
        </w:rPr>
        <w:t>be</w:t>
      </w:r>
      <w:r w:rsidRPr="00775F36">
        <w:rPr>
          <w:rFonts w:ascii="Arial" w:hAnsi="Arial" w:cs="Arial"/>
          <w:spacing w:val="14"/>
          <w:sz w:val="20"/>
        </w:rPr>
        <w:t xml:space="preserve"> </w:t>
      </w:r>
      <w:r w:rsidRPr="00775F36">
        <w:rPr>
          <w:rFonts w:ascii="Arial" w:hAnsi="Arial" w:cs="Arial"/>
          <w:sz w:val="20"/>
        </w:rPr>
        <w:t>shown</w:t>
      </w:r>
      <w:r w:rsidRPr="00775F36">
        <w:rPr>
          <w:rFonts w:ascii="Arial" w:hAnsi="Arial" w:cs="Arial"/>
          <w:spacing w:val="14"/>
          <w:sz w:val="20"/>
        </w:rPr>
        <w:t xml:space="preserve"> </w:t>
      </w:r>
      <w:r w:rsidRPr="00775F36">
        <w:rPr>
          <w:rFonts w:ascii="Arial" w:hAnsi="Arial" w:cs="Arial"/>
          <w:sz w:val="20"/>
        </w:rPr>
        <w:t>not</w:t>
      </w:r>
      <w:r w:rsidRPr="00775F36">
        <w:rPr>
          <w:rFonts w:ascii="Arial" w:hAnsi="Arial" w:cs="Arial"/>
          <w:spacing w:val="11"/>
          <w:sz w:val="20"/>
        </w:rPr>
        <w:t xml:space="preserve"> </w:t>
      </w:r>
      <w:r w:rsidRPr="00775F36">
        <w:rPr>
          <w:rFonts w:ascii="Arial" w:hAnsi="Arial" w:cs="Arial"/>
          <w:sz w:val="20"/>
        </w:rPr>
        <w:t>to</w:t>
      </w:r>
      <w:r w:rsidRPr="00775F36">
        <w:rPr>
          <w:rFonts w:ascii="Arial" w:hAnsi="Arial" w:cs="Arial"/>
          <w:spacing w:val="13"/>
          <w:sz w:val="20"/>
        </w:rPr>
        <w:t xml:space="preserve"> </w:t>
      </w:r>
      <w:r w:rsidRPr="00775F36">
        <w:rPr>
          <w:rFonts w:ascii="Arial" w:hAnsi="Arial" w:cs="Arial"/>
          <w:sz w:val="20"/>
        </w:rPr>
        <w:t>support</w:t>
      </w:r>
      <w:r w:rsidRPr="00775F36">
        <w:rPr>
          <w:rFonts w:ascii="Arial" w:hAnsi="Arial" w:cs="Arial"/>
          <w:spacing w:val="11"/>
          <w:sz w:val="20"/>
        </w:rPr>
        <w:t xml:space="preserve"> </w:t>
      </w:r>
      <w:r w:rsidRPr="00775F36">
        <w:rPr>
          <w:rFonts w:ascii="Arial" w:hAnsi="Arial" w:cs="Arial"/>
          <w:sz w:val="20"/>
        </w:rPr>
        <w:t>continued</w:t>
      </w:r>
      <w:r w:rsidRPr="00775F36">
        <w:rPr>
          <w:rFonts w:ascii="Arial" w:hAnsi="Arial" w:cs="Arial"/>
          <w:spacing w:val="13"/>
          <w:sz w:val="20"/>
        </w:rPr>
        <w:t xml:space="preserve"> </w:t>
      </w:r>
      <w:r w:rsidRPr="00775F36">
        <w:rPr>
          <w:rFonts w:ascii="Arial" w:hAnsi="Arial" w:cs="Arial"/>
          <w:sz w:val="20"/>
        </w:rPr>
        <w:t>burning</w:t>
      </w:r>
      <w:r w:rsidRPr="00775F36">
        <w:rPr>
          <w:rFonts w:ascii="Arial" w:hAnsi="Arial" w:cs="Arial"/>
          <w:spacing w:val="13"/>
          <w:sz w:val="20"/>
        </w:rPr>
        <w:t xml:space="preserve"> </w:t>
      </w:r>
      <w:r w:rsidRPr="00775F36">
        <w:rPr>
          <w:rFonts w:ascii="Arial" w:hAnsi="Arial" w:cs="Arial"/>
          <w:sz w:val="20"/>
        </w:rPr>
        <w:t>if</w:t>
      </w:r>
      <w:r w:rsidRPr="00775F36">
        <w:rPr>
          <w:rFonts w:ascii="Arial" w:hAnsi="Arial" w:cs="Arial"/>
          <w:spacing w:val="13"/>
          <w:sz w:val="20"/>
        </w:rPr>
        <w:t xml:space="preserve"> </w:t>
      </w:r>
      <w:r w:rsidRPr="00775F36">
        <w:rPr>
          <w:rFonts w:ascii="Arial" w:hAnsi="Arial" w:cs="Arial"/>
          <w:sz w:val="20"/>
        </w:rPr>
        <w:t>ignited</w:t>
      </w:r>
      <w:r w:rsidRPr="00775F36">
        <w:rPr>
          <w:rFonts w:ascii="Arial" w:hAnsi="Arial" w:cs="Arial"/>
          <w:spacing w:val="13"/>
          <w:sz w:val="20"/>
        </w:rPr>
        <w:t xml:space="preserve"> </w:t>
      </w:r>
      <w:r w:rsidRPr="00775F36">
        <w:rPr>
          <w:rFonts w:ascii="Arial" w:hAnsi="Arial" w:cs="Arial"/>
          <w:sz w:val="20"/>
        </w:rPr>
        <w:t>by</w:t>
      </w:r>
      <w:r w:rsidRPr="00775F36">
        <w:rPr>
          <w:rFonts w:ascii="Arial" w:hAnsi="Arial" w:cs="Arial"/>
          <w:spacing w:val="14"/>
          <w:sz w:val="20"/>
        </w:rPr>
        <w:t xml:space="preserve"> </w:t>
      </w:r>
      <w:r w:rsidRPr="00775F36">
        <w:rPr>
          <w:rFonts w:ascii="Arial" w:hAnsi="Arial" w:cs="Arial"/>
          <w:sz w:val="20"/>
        </w:rPr>
        <w:t>the</w:t>
      </w:r>
      <w:r w:rsidRPr="00775F36">
        <w:rPr>
          <w:rFonts w:ascii="Arial" w:hAnsi="Arial" w:cs="Arial"/>
          <w:spacing w:val="13"/>
          <w:sz w:val="20"/>
        </w:rPr>
        <w:t xml:space="preserve"> </w:t>
      </w:r>
      <w:r w:rsidRPr="00775F36">
        <w:rPr>
          <w:rFonts w:ascii="Arial" w:hAnsi="Arial" w:cs="Arial"/>
          <w:sz w:val="20"/>
        </w:rPr>
        <w:t>heater</w:t>
      </w:r>
      <w:r w:rsidRPr="00775F36">
        <w:rPr>
          <w:rFonts w:ascii="Arial" w:hAnsi="Arial" w:cs="Arial"/>
          <w:spacing w:val="-46"/>
          <w:sz w:val="20"/>
        </w:rPr>
        <w:t xml:space="preserve"> </w:t>
      </w:r>
      <w:r w:rsidRPr="00775F36">
        <w:rPr>
          <w:rFonts w:ascii="Arial" w:hAnsi="Arial" w:cs="Arial"/>
          <w:sz w:val="20"/>
        </w:rPr>
        <w:t>when</w:t>
      </w:r>
      <w:r w:rsidRPr="00775F36">
        <w:rPr>
          <w:rFonts w:ascii="Arial" w:hAnsi="Arial" w:cs="Arial"/>
          <w:spacing w:val="-1"/>
          <w:sz w:val="20"/>
        </w:rPr>
        <w:t xml:space="preserve"> </w:t>
      </w:r>
      <w:r w:rsidRPr="00775F36">
        <w:rPr>
          <w:rFonts w:ascii="Arial" w:hAnsi="Arial" w:cs="Arial"/>
          <w:sz w:val="20"/>
        </w:rPr>
        <w:t>the</w:t>
      </w:r>
      <w:r w:rsidRPr="00775F36">
        <w:rPr>
          <w:rFonts w:ascii="Arial" w:hAnsi="Arial" w:cs="Arial"/>
          <w:spacing w:val="-3"/>
          <w:sz w:val="20"/>
        </w:rPr>
        <w:t xml:space="preserve"> </w:t>
      </w:r>
      <w:r w:rsidRPr="00775F36">
        <w:rPr>
          <w:rFonts w:ascii="Arial" w:hAnsi="Arial" w:cs="Arial"/>
          <w:sz w:val="20"/>
        </w:rPr>
        <w:t>balloon</w:t>
      </w:r>
      <w:r w:rsidRPr="00775F36">
        <w:rPr>
          <w:rFonts w:ascii="Arial" w:hAnsi="Arial" w:cs="Arial"/>
          <w:spacing w:val="-1"/>
          <w:sz w:val="20"/>
        </w:rPr>
        <w:t xml:space="preserve"> </w:t>
      </w:r>
      <w:r w:rsidRPr="00775F36">
        <w:rPr>
          <w:rFonts w:ascii="Arial" w:hAnsi="Arial" w:cs="Arial"/>
          <w:sz w:val="20"/>
        </w:rPr>
        <w:t>is inflated</w:t>
      </w:r>
      <w:r w:rsidRPr="00775F36">
        <w:rPr>
          <w:rFonts w:ascii="Arial" w:hAnsi="Arial" w:cs="Arial"/>
          <w:spacing w:val="-1"/>
          <w:sz w:val="20"/>
        </w:rPr>
        <w:t xml:space="preserve"> </w:t>
      </w:r>
      <w:r w:rsidRPr="00775F36">
        <w:rPr>
          <w:rFonts w:ascii="Arial" w:hAnsi="Arial" w:cs="Arial"/>
          <w:sz w:val="20"/>
        </w:rPr>
        <w:t>or in</w:t>
      </w:r>
      <w:r w:rsidRPr="00775F36">
        <w:rPr>
          <w:rFonts w:ascii="Arial" w:hAnsi="Arial" w:cs="Arial"/>
          <w:spacing w:val="-1"/>
          <w:sz w:val="20"/>
        </w:rPr>
        <w:t xml:space="preserve"> </w:t>
      </w:r>
      <w:r w:rsidRPr="00775F36">
        <w:rPr>
          <w:rFonts w:ascii="Arial" w:hAnsi="Arial" w:cs="Arial"/>
          <w:sz w:val="20"/>
        </w:rPr>
        <w:t>flight.</w:t>
      </w:r>
    </w:p>
    <w:p w14:paraId="4A08EA8A" w14:textId="77777777" w:rsidR="00ED1CFF" w:rsidRPr="00ED1CFF" w:rsidRDefault="00ED1CFF" w:rsidP="00ED1CFF">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274" w:name="AMC_31HB.33(a)(2)_Materials"/>
      <w:bookmarkStart w:id="1275" w:name="_bookmark531"/>
      <w:bookmarkStart w:id="1276" w:name="_Toc153137694"/>
      <w:bookmarkEnd w:id="1274"/>
      <w:bookmarkEnd w:id="1275"/>
      <w:r w:rsidRPr="00ED1CFF">
        <w:rPr>
          <w:rFonts w:ascii="Arial" w:eastAsia="Times New Roman" w:hAnsi="Arial" w:cs="Times New Roman"/>
          <w:b/>
          <w:color w:val="FFFFFF"/>
          <w:sz w:val="24"/>
        </w:rPr>
        <w:t>AMC 31HB.33(a)(2) Materials</w:t>
      </w:r>
      <w:bookmarkEnd w:id="1276"/>
    </w:p>
    <w:p w14:paraId="531A7ECF" w14:textId="77777777" w:rsidR="00ED1CFF" w:rsidRPr="00ED1CFF" w:rsidRDefault="00ED1CFF" w:rsidP="00ED1CFF">
      <w:pPr>
        <w:spacing w:before="122" w:line="276" w:lineRule="auto"/>
        <w:jc w:val="both"/>
        <w:rPr>
          <w:rFonts w:ascii="Arial" w:hAnsi="Arial" w:cs="Arial"/>
          <w:sz w:val="20"/>
          <w:szCs w:val="20"/>
        </w:rPr>
      </w:pPr>
      <w:r w:rsidRPr="00ED1CFF">
        <w:rPr>
          <w:rFonts w:ascii="Arial" w:hAnsi="Arial" w:cs="Arial"/>
          <w:sz w:val="20"/>
          <w:szCs w:val="20"/>
        </w:rPr>
        <w:t>Approved specifications here should be taken as being those produced by the applicant or those meeting internationally recognised standards as defined applicable in the type design data. Material specifications should be those contained in documents accepted either specifically by the Agency or by having been prepared by an organisation or person which the Agency accepts has the necessary capabilities. In defining design properties these material specification values should be modified and/or extended as necessary by the constructor to take account of manufacturing practices (for example method of construction, forming, machining and subsequent heat treatment). Also the effects of environmental conditions, such as temperature and humidity, expected in service should be taken into account.</w:t>
      </w:r>
    </w:p>
    <w:p w14:paraId="3A7F9A66" w14:textId="77777777" w:rsidR="00ED1CFF" w:rsidRPr="00ED1CFF" w:rsidRDefault="00ED1CFF" w:rsidP="00ED1CFF">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277" w:name="CS_31HB.35_Fabrication_methods"/>
      <w:bookmarkStart w:id="1278" w:name="_bookmark532"/>
      <w:bookmarkStart w:id="1279" w:name="_Toc153137695"/>
      <w:bookmarkEnd w:id="1277"/>
      <w:bookmarkEnd w:id="1278"/>
      <w:r w:rsidRPr="00ED1CFF">
        <w:rPr>
          <w:rFonts w:ascii="Arial" w:eastAsia="Times New Roman" w:hAnsi="Arial" w:cs="Times New Roman"/>
          <w:b/>
          <w:iCs/>
          <w:color w:val="FFFFFF"/>
          <w:sz w:val="24"/>
        </w:rPr>
        <w:t>CS 31HB.35 Fabrication methods</w:t>
      </w:r>
      <w:bookmarkEnd w:id="1279"/>
    </w:p>
    <w:p w14:paraId="4C5314AB" w14:textId="77777777" w:rsidR="00ED1CFF" w:rsidRPr="00ED1CFF" w:rsidRDefault="00ED1CFF" w:rsidP="00ED1CFF">
      <w:pPr>
        <w:spacing w:before="122" w:line="276" w:lineRule="auto"/>
        <w:jc w:val="both"/>
        <w:rPr>
          <w:rFonts w:ascii="Arial" w:hAnsi="Arial" w:cs="Arial"/>
          <w:sz w:val="20"/>
          <w:szCs w:val="20"/>
        </w:rPr>
      </w:pPr>
      <w:r w:rsidRPr="00ED1CFF">
        <w:rPr>
          <w:rFonts w:ascii="Arial" w:hAnsi="Arial" w:cs="Arial"/>
          <w:sz w:val="20"/>
          <w:szCs w:val="20"/>
        </w:rPr>
        <w:t xml:space="preserve">The methods of fabrication used must produce a consistently sound structure. If a fabrication process requires close control to reach this objective, the process must be performed in accordance with an approved process specification. (See </w:t>
      </w:r>
      <w:hyperlink r:id="rId148" w:anchor="_bookmark533" w:history="1">
        <w:r w:rsidRPr="00ED1CFF">
          <w:rPr>
            <w:rFonts w:ascii="Arial" w:hAnsi="Arial" w:cs="Arial"/>
            <w:sz w:val="20"/>
            <w:szCs w:val="20"/>
          </w:rPr>
          <w:t>AMC 31HB.35</w:t>
        </w:r>
      </w:hyperlink>
      <w:r w:rsidRPr="00ED1CFF">
        <w:rPr>
          <w:rFonts w:ascii="Arial" w:hAnsi="Arial" w:cs="Arial"/>
          <w:sz w:val="20"/>
          <w:szCs w:val="20"/>
        </w:rPr>
        <w:t>)</w:t>
      </w:r>
    </w:p>
    <w:p w14:paraId="2A4CC741" w14:textId="77777777" w:rsidR="009B325B" w:rsidRDefault="009B325B" w:rsidP="00376621">
      <w:pPr>
        <w:ind w:right="26"/>
        <w:rPr>
          <w:rFonts w:ascii="Arial" w:hAnsi="Arial" w:cs="Arial"/>
          <w:sz w:val="20"/>
          <w:szCs w:val="20"/>
        </w:rPr>
      </w:pPr>
    </w:p>
    <w:p w14:paraId="5E84C800" w14:textId="77777777" w:rsidR="00802AF7" w:rsidRPr="00802AF7" w:rsidRDefault="00802AF7" w:rsidP="00802AF7">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280" w:name="AMC_31HB.35_Fabrication_methods"/>
      <w:bookmarkStart w:id="1281" w:name="_bookmark533"/>
      <w:bookmarkStart w:id="1282" w:name="_Toc153137696"/>
      <w:bookmarkEnd w:id="1280"/>
      <w:bookmarkEnd w:id="1281"/>
      <w:r w:rsidRPr="00802AF7">
        <w:rPr>
          <w:rFonts w:ascii="Arial" w:eastAsia="Times New Roman" w:hAnsi="Arial" w:cs="Times New Roman"/>
          <w:b/>
          <w:color w:val="FFFFFF"/>
          <w:sz w:val="24"/>
        </w:rPr>
        <w:t>AMC 31HB.35 Fabrication methods</w:t>
      </w:r>
      <w:bookmarkEnd w:id="1282"/>
    </w:p>
    <w:p w14:paraId="26F99B77" w14:textId="77777777" w:rsidR="00802AF7" w:rsidRPr="00802AF7" w:rsidRDefault="00802AF7" w:rsidP="00802AF7">
      <w:pPr>
        <w:spacing w:before="122" w:line="276" w:lineRule="auto"/>
        <w:jc w:val="both"/>
        <w:rPr>
          <w:rFonts w:ascii="Arial" w:hAnsi="Arial" w:cs="Arial"/>
          <w:sz w:val="20"/>
          <w:szCs w:val="20"/>
        </w:rPr>
      </w:pPr>
      <w:r w:rsidRPr="00802AF7">
        <w:rPr>
          <w:rFonts w:ascii="Arial" w:hAnsi="Arial" w:cs="Arial"/>
          <w:sz w:val="20"/>
          <w:szCs w:val="20"/>
        </w:rPr>
        <w:t>Approved fabrication methods here should be taken as being those produced by the applicant or those meeting internationally recognised standards as defined in the applicable type design data. Fabrication methods should be those contained in documents accepted either specifically by the Agency or by having been prepared by an organisation or person which the Agency accepts has the necessary capabilities.</w:t>
      </w:r>
    </w:p>
    <w:p w14:paraId="50CDFA8C" w14:textId="77777777" w:rsidR="00802AF7" w:rsidRPr="00802AF7" w:rsidRDefault="00802AF7" w:rsidP="00802AF7">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283" w:name="CS_31HB.37_Fasteners"/>
      <w:bookmarkStart w:id="1284" w:name="_bookmark534"/>
      <w:bookmarkStart w:id="1285" w:name="_Toc153137697"/>
      <w:bookmarkEnd w:id="1283"/>
      <w:bookmarkEnd w:id="1284"/>
      <w:r w:rsidRPr="00802AF7">
        <w:rPr>
          <w:rFonts w:ascii="Arial" w:eastAsia="Times New Roman" w:hAnsi="Arial" w:cs="Times New Roman"/>
          <w:b/>
          <w:iCs/>
          <w:color w:val="FFFFFF"/>
          <w:sz w:val="24"/>
        </w:rPr>
        <w:t>CS 31HB.37 Fasteners</w:t>
      </w:r>
      <w:bookmarkEnd w:id="1285"/>
    </w:p>
    <w:p w14:paraId="0911B04B" w14:textId="77777777" w:rsidR="00802AF7" w:rsidRPr="00802AF7" w:rsidRDefault="00802AF7" w:rsidP="005B7755">
      <w:pPr>
        <w:pStyle w:val="ListParagraph"/>
        <w:numPr>
          <w:ilvl w:val="0"/>
          <w:numId w:val="381"/>
        </w:numPr>
        <w:tabs>
          <w:tab w:val="left" w:pos="707"/>
        </w:tabs>
        <w:spacing w:before="117" w:line="276" w:lineRule="auto"/>
        <w:ind w:right="26"/>
        <w:jc w:val="both"/>
        <w:rPr>
          <w:rFonts w:ascii="Arial" w:hAnsi="Arial" w:cs="Arial"/>
          <w:sz w:val="20"/>
        </w:rPr>
      </w:pPr>
      <w:r w:rsidRPr="00802AF7">
        <w:rPr>
          <w:rFonts w:ascii="Arial" w:hAnsi="Arial" w:cs="Arial"/>
          <w:sz w:val="20"/>
        </w:rPr>
        <w:t xml:space="preserve">Fasteners (e.g. bolts, pins, screws, karabiners, fuel cell straps) used in the structure must conform to approved specifications. (See </w:t>
      </w:r>
      <w:hyperlink r:id="rId149" w:anchor="_bookmark535" w:history="1">
        <w:r w:rsidRPr="005D2C93">
          <w:rPr>
            <w:rFonts w:ascii="Arial" w:hAnsi="Arial" w:cs="Arial"/>
            <w:sz w:val="20"/>
          </w:rPr>
          <w:t>AMC 31HB.37</w:t>
        </w:r>
      </w:hyperlink>
      <w:r w:rsidRPr="00802AF7">
        <w:rPr>
          <w:rFonts w:ascii="Arial" w:hAnsi="Arial" w:cs="Arial"/>
          <w:sz w:val="20"/>
        </w:rPr>
        <w:t>)</w:t>
      </w:r>
    </w:p>
    <w:p w14:paraId="06A4E226" w14:textId="77777777" w:rsidR="00802AF7" w:rsidRPr="00802AF7" w:rsidRDefault="00802AF7" w:rsidP="005B7755">
      <w:pPr>
        <w:pStyle w:val="ListParagraph"/>
        <w:numPr>
          <w:ilvl w:val="0"/>
          <w:numId w:val="381"/>
        </w:numPr>
        <w:tabs>
          <w:tab w:val="left" w:pos="707"/>
        </w:tabs>
        <w:spacing w:before="117" w:line="276" w:lineRule="auto"/>
        <w:ind w:right="26"/>
        <w:jc w:val="both"/>
        <w:rPr>
          <w:rFonts w:ascii="Arial" w:hAnsi="Arial" w:cs="Arial"/>
          <w:sz w:val="20"/>
        </w:rPr>
      </w:pPr>
      <w:r w:rsidRPr="00802AF7">
        <w:rPr>
          <w:rFonts w:ascii="Arial" w:hAnsi="Arial" w:cs="Arial"/>
          <w:sz w:val="20"/>
        </w:rPr>
        <w:t>Locking methods must be established and documented.</w:t>
      </w:r>
    </w:p>
    <w:p w14:paraId="7E84886B" w14:textId="77777777" w:rsidR="00802AF7" w:rsidRPr="00802AF7" w:rsidRDefault="00802AF7" w:rsidP="005B7755">
      <w:pPr>
        <w:pStyle w:val="ListParagraph"/>
        <w:numPr>
          <w:ilvl w:val="0"/>
          <w:numId w:val="381"/>
        </w:numPr>
        <w:tabs>
          <w:tab w:val="left" w:pos="707"/>
        </w:tabs>
        <w:spacing w:before="117" w:line="276" w:lineRule="auto"/>
        <w:ind w:right="26"/>
        <w:jc w:val="both"/>
        <w:rPr>
          <w:rFonts w:ascii="Arial" w:hAnsi="Arial" w:cs="Arial"/>
          <w:sz w:val="20"/>
        </w:rPr>
      </w:pPr>
      <w:r w:rsidRPr="00802AF7">
        <w:rPr>
          <w:rFonts w:ascii="Arial" w:hAnsi="Arial" w:cs="Arial"/>
          <w:sz w:val="20"/>
        </w:rPr>
        <w:t>Unless a joint is free from relative movement, secondary locking means must be used.</w:t>
      </w:r>
    </w:p>
    <w:p w14:paraId="3D726F0D" w14:textId="77777777" w:rsidR="00802AF7" w:rsidRPr="00802AF7" w:rsidRDefault="00802AF7" w:rsidP="005B7755">
      <w:pPr>
        <w:pStyle w:val="ListParagraph"/>
        <w:numPr>
          <w:ilvl w:val="0"/>
          <w:numId w:val="381"/>
        </w:numPr>
        <w:tabs>
          <w:tab w:val="left" w:pos="707"/>
        </w:tabs>
        <w:spacing w:before="117" w:line="276" w:lineRule="auto"/>
        <w:ind w:right="26"/>
        <w:jc w:val="both"/>
        <w:rPr>
          <w:rFonts w:ascii="Arial" w:hAnsi="Arial" w:cs="Arial"/>
          <w:sz w:val="20"/>
        </w:rPr>
      </w:pPr>
      <w:r w:rsidRPr="00802AF7">
        <w:rPr>
          <w:rFonts w:ascii="Arial" w:hAnsi="Arial" w:cs="Arial"/>
          <w:sz w:val="20"/>
        </w:rPr>
        <w:t>Self-locking nuts may not be used on bolts that are subject to rotation in service.</w:t>
      </w:r>
    </w:p>
    <w:p w14:paraId="6A1B1B10" w14:textId="77777777" w:rsidR="005D2C93" w:rsidRPr="005D2C93" w:rsidRDefault="005D2C93" w:rsidP="005D2C93">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286" w:name="AMC_31HB.37_Fasteners"/>
      <w:bookmarkStart w:id="1287" w:name="_bookmark535"/>
      <w:bookmarkStart w:id="1288" w:name="_Toc153137698"/>
      <w:bookmarkEnd w:id="1286"/>
      <w:bookmarkEnd w:id="1287"/>
      <w:r w:rsidRPr="005D2C93">
        <w:rPr>
          <w:rFonts w:ascii="Arial" w:eastAsia="Times New Roman" w:hAnsi="Arial" w:cs="Times New Roman"/>
          <w:b/>
          <w:color w:val="FFFFFF"/>
          <w:sz w:val="24"/>
        </w:rPr>
        <w:t>AMC 31HB.37 Fasteners</w:t>
      </w:r>
      <w:bookmarkEnd w:id="1288"/>
    </w:p>
    <w:p w14:paraId="5679891F" w14:textId="05E5AC40" w:rsidR="007566CD" w:rsidRDefault="005D2C93" w:rsidP="002E3FC6">
      <w:pPr>
        <w:spacing w:before="122" w:line="276" w:lineRule="auto"/>
        <w:jc w:val="both"/>
        <w:rPr>
          <w:rFonts w:ascii="Arial" w:hAnsi="Arial" w:cs="Arial"/>
          <w:sz w:val="20"/>
          <w:szCs w:val="20"/>
        </w:rPr>
      </w:pPr>
      <w:r w:rsidRPr="005D2C93">
        <w:rPr>
          <w:rFonts w:ascii="Arial" w:hAnsi="Arial" w:cs="Arial"/>
          <w:sz w:val="20"/>
          <w:szCs w:val="20"/>
        </w:rPr>
        <w:t xml:space="preserve">Approved specifications in the sense of these requirements are the standards described in the </w:t>
      </w:r>
      <w:hyperlink r:id="rId150" w:anchor="_bookmark531" w:history="1">
        <w:r w:rsidRPr="005D2C93">
          <w:rPr>
            <w:rFonts w:ascii="Arial" w:hAnsi="Arial" w:cs="Arial"/>
            <w:sz w:val="20"/>
            <w:szCs w:val="20"/>
          </w:rPr>
          <w:t>AMC 31HB.33(a)</w:t>
        </w:r>
      </w:hyperlink>
      <w:r w:rsidRPr="005D2C93">
        <w:rPr>
          <w:rFonts w:ascii="Arial" w:hAnsi="Arial" w:cs="Arial"/>
          <w:sz w:val="20"/>
          <w:szCs w:val="20"/>
        </w:rPr>
        <w:t>.</w:t>
      </w:r>
    </w:p>
    <w:p w14:paraId="0F8E3EEF" w14:textId="77777777" w:rsidR="007566CD" w:rsidRPr="007566CD" w:rsidRDefault="007566CD" w:rsidP="007566CD">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289" w:name="CS_31HB.39_Protection_of_parts"/>
      <w:bookmarkStart w:id="1290" w:name="_bookmark536"/>
      <w:bookmarkStart w:id="1291" w:name="_Toc153137699"/>
      <w:bookmarkEnd w:id="1289"/>
      <w:bookmarkEnd w:id="1290"/>
      <w:r w:rsidRPr="007566CD">
        <w:rPr>
          <w:rFonts w:ascii="Arial" w:eastAsia="Times New Roman" w:hAnsi="Arial" w:cs="Times New Roman"/>
          <w:b/>
          <w:iCs/>
          <w:color w:val="FFFFFF"/>
          <w:sz w:val="24"/>
        </w:rPr>
        <w:lastRenderedPageBreak/>
        <w:t>CS 31HB.39 Protection of parts</w:t>
      </w:r>
      <w:bookmarkEnd w:id="1291"/>
    </w:p>
    <w:p w14:paraId="5F11140A" w14:textId="77777777" w:rsidR="007566CD" w:rsidRPr="007566CD" w:rsidRDefault="007566CD" w:rsidP="007566CD">
      <w:pPr>
        <w:spacing w:before="122" w:line="276" w:lineRule="auto"/>
        <w:jc w:val="both"/>
        <w:rPr>
          <w:rFonts w:ascii="Arial" w:hAnsi="Arial" w:cs="Arial"/>
          <w:sz w:val="20"/>
          <w:szCs w:val="20"/>
        </w:rPr>
      </w:pPr>
      <w:r w:rsidRPr="007566CD">
        <w:rPr>
          <w:rFonts w:ascii="Arial" w:hAnsi="Arial" w:cs="Arial"/>
          <w:sz w:val="20"/>
          <w:szCs w:val="20"/>
        </w:rPr>
        <w:t>Parts the failure of which could adversely affect safety must be suitably protected against deterioration or loss of strength in service due to weathering, corrosion, heat, abrasion, ground handling, ground transport, flight conditions or other causes. (See AMC 31HB.39)</w:t>
      </w:r>
    </w:p>
    <w:p w14:paraId="2D3AACD5" w14:textId="77777777" w:rsidR="00872196" w:rsidRPr="00872196" w:rsidRDefault="00872196" w:rsidP="00872196">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292" w:name="AMC_31HB.39_Protection_of_parts"/>
      <w:bookmarkStart w:id="1293" w:name="_bookmark537"/>
      <w:bookmarkStart w:id="1294" w:name="_Toc153137700"/>
      <w:bookmarkEnd w:id="1292"/>
      <w:bookmarkEnd w:id="1293"/>
      <w:r w:rsidRPr="00872196">
        <w:rPr>
          <w:rFonts w:ascii="Arial" w:eastAsia="Times New Roman" w:hAnsi="Arial" w:cs="Times New Roman"/>
          <w:b/>
          <w:color w:val="FFFFFF"/>
          <w:sz w:val="24"/>
        </w:rPr>
        <w:t>AMC 31HB.39 Protection of parts</w:t>
      </w:r>
      <w:bookmarkEnd w:id="1294"/>
    </w:p>
    <w:p w14:paraId="3F05421E" w14:textId="77777777" w:rsidR="00872196" w:rsidRPr="00872196" w:rsidRDefault="00872196" w:rsidP="000013C0">
      <w:pPr>
        <w:pStyle w:val="BodyText"/>
        <w:spacing w:before="117" w:line="276" w:lineRule="auto"/>
        <w:ind w:right="26"/>
        <w:jc w:val="both"/>
        <w:rPr>
          <w:rFonts w:ascii="Arial" w:hAnsi="Arial" w:cs="Arial"/>
          <w:sz w:val="20"/>
        </w:rPr>
      </w:pPr>
      <w:r w:rsidRPr="00872196">
        <w:rPr>
          <w:rFonts w:ascii="Arial" w:hAnsi="Arial" w:cs="Arial"/>
          <w:sz w:val="20"/>
        </w:rPr>
        <w:t>Suspension system cables and components manufactured from stainless steels (corrosion resistant</w:t>
      </w:r>
      <w:r w:rsidRPr="00872196">
        <w:rPr>
          <w:rFonts w:ascii="Arial" w:hAnsi="Arial" w:cs="Arial"/>
          <w:spacing w:val="1"/>
          <w:sz w:val="20"/>
        </w:rPr>
        <w:t xml:space="preserve"> </w:t>
      </w:r>
      <w:r w:rsidRPr="00872196">
        <w:rPr>
          <w:rFonts w:ascii="Arial" w:hAnsi="Arial" w:cs="Arial"/>
          <w:sz w:val="20"/>
        </w:rPr>
        <w:t>steels)</w:t>
      </w:r>
      <w:r w:rsidRPr="00872196">
        <w:rPr>
          <w:rFonts w:ascii="Arial" w:hAnsi="Arial" w:cs="Arial"/>
          <w:spacing w:val="-1"/>
          <w:sz w:val="20"/>
        </w:rPr>
        <w:t xml:space="preserve"> </w:t>
      </w:r>
      <w:r w:rsidRPr="00872196">
        <w:rPr>
          <w:rFonts w:ascii="Arial" w:hAnsi="Arial" w:cs="Arial"/>
          <w:sz w:val="20"/>
        </w:rPr>
        <w:t>are</w:t>
      </w:r>
      <w:r w:rsidRPr="00872196">
        <w:rPr>
          <w:rFonts w:ascii="Arial" w:hAnsi="Arial" w:cs="Arial"/>
          <w:spacing w:val="-3"/>
          <w:sz w:val="20"/>
        </w:rPr>
        <w:t xml:space="preserve"> </w:t>
      </w:r>
      <w:r w:rsidRPr="00872196">
        <w:rPr>
          <w:rFonts w:ascii="Arial" w:hAnsi="Arial" w:cs="Arial"/>
          <w:sz w:val="20"/>
        </w:rPr>
        <w:t>considered compliant with this</w:t>
      </w:r>
      <w:r w:rsidRPr="00872196">
        <w:rPr>
          <w:rFonts w:ascii="Arial" w:hAnsi="Arial" w:cs="Arial"/>
          <w:spacing w:val="-3"/>
          <w:sz w:val="20"/>
        </w:rPr>
        <w:t xml:space="preserve"> </w:t>
      </w:r>
      <w:r w:rsidRPr="00872196">
        <w:rPr>
          <w:rFonts w:ascii="Arial" w:hAnsi="Arial" w:cs="Arial"/>
          <w:sz w:val="20"/>
        </w:rPr>
        <w:t>requirement.</w:t>
      </w:r>
    </w:p>
    <w:p w14:paraId="47C65177" w14:textId="77777777" w:rsidR="00872196" w:rsidRPr="00872196" w:rsidRDefault="00872196" w:rsidP="000013C0">
      <w:pPr>
        <w:pStyle w:val="BodyText"/>
        <w:spacing w:before="121" w:line="276" w:lineRule="auto"/>
        <w:ind w:right="26"/>
        <w:jc w:val="both"/>
        <w:rPr>
          <w:rFonts w:ascii="Arial" w:hAnsi="Arial" w:cs="Arial"/>
          <w:sz w:val="20"/>
        </w:rPr>
      </w:pPr>
      <w:r w:rsidRPr="00872196">
        <w:rPr>
          <w:rFonts w:ascii="Arial" w:hAnsi="Arial" w:cs="Arial"/>
          <w:sz w:val="20"/>
        </w:rPr>
        <w:t>To</w:t>
      </w:r>
      <w:r w:rsidRPr="00872196">
        <w:rPr>
          <w:rFonts w:ascii="Arial" w:hAnsi="Arial" w:cs="Arial"/>
          <w:spacing w:val="-2"/>
          <w:sz w:val="20"/>
        </w:rPr>
        <w:t xml:space="preserve"> </w:t>
      </w:r>
      <w:r w:rsidRPr="00872196">
        <w:rPr>
          <w:rFonts w:ascii="Arial" w:hAnsi="Arial" w:cs="Arial"/>
          <w:sz w:val="20"/>
        </w:rPr>
        <w:t>ensure</w:t>
      </w:r>
      <w:r w:rsidRPr="00872196">
        <w:rPr>
          <w:rFonts w:ascii="Arial" w:hAnsi="Arial" w:cs="Arial"/>
          <w:spacing w:val="-4"/>
          <w:sz w:val="20"/>
        </w:rPr>
        <w:t xml:space="preserve"> </w:t>
      </w:r>
      <w:r w:rsidRPr="00872196">
        <w:rPr>
          <w:rFonts w:ascii="Arial" w:hAnsi="Arial" w:cs="Arial"/>
          <w:sz w:val="20"/>
        </w:rPr>
        <w:t>the</w:t>
      </w:r>
      <w:r w:rsidRPr="00872196">
        <w:rPr>
          <w:rFonts w:ascii="Arial" w:hAnsi="Arial" w:cs="Arial"/>
          <w:spacing w:val="-2"/>
          <w:sz w:val="20"/>
        </w:rPr>
        <w:t xml:space="preserve"> </w:t>
      </w:r>
      <w:r w:rsidRPr="00872196">
        <w:rPr>
          <w:rFonts w:ascii="Arial" w:hAnsi="Arial" w:cs="Arial"/>
          <w:sz w:val="20"/>
        </w:rPr>
        <w:t>suitable</w:t>
      </w:r>
      <w:r w:rsidRPr="00872196">
        <w:rPr>
          <w:rFonts w:ascii="Arial" w:hAnsi="Arial" w:cs="Arial"/>
          <w:spacing w:val="-3"/>
          <w:sz w:val="20"/>
        </w:rPr>
        <w:t xml:space="preserve"> </w:t>
      </w:r>
      <w:r w:rsidRPr="00872196">
        <w:rPr>
          <w:rFonts w:ascii="Arial" w:hAnsi="Arial" w:cs="Arial"/>
          <w:sz w:val="20"/>
        </w:rPr>
        <w:t>protection</w:t>
      </w:r>
      <w:r w:rsidRPr="00872196">
        <w:rPr>
          <w:rFonts w:ascii="Arial" w:hAnsi="Arial" w:cs="Arial"/>
          <w:spacing w:val="-3"/>
          <w:sz w:val="20"/>
        </w:rPr>
        <w:t xml:space="preserve"> </w:t>
      </w:r>
      <w:r w:rsidRPr="00872196">
        <w:rPr>
          <w:rFonts w:ascii="Arial" w:hAnsi="Arial" w:cs="Arial"/>
          <w:sz w:val="20"/>
        </w:rPr>
        <w:t>of</w:t>
      </w:r>
      <w:r w:rsidRPr="00872196">
        <w:rPr>
          <w:rFonts w:ascii="Arial" w:hAnsi="Arial" w:cs="Arial"/>
          <w:spacing w:val="-2"/>
          <w:sz w:val="20"/>
        </w:rPr>
        <w:t xml:space="preserve"> </w:t>
      </w:r>
      <w:r w:rsidRPr="00872196">
        <w:rPr>
          <w:rFonts w:ascii="Arial" w:hAnsi="Arial" w:cs="Arial"/>
          <w:sz w:val="20"/>
        </w:rPr>
        <w:t>parts</w:t>
      </w:r>
      <w:r w:rsidRPr="00872196">
        <w:rPr>
          <w:rFonts w:ascii="Arial" w:hAnsi="Arial" w:cs="Arial"/>
          <w:spacing w:val="-3"/>
          <w:sz w:val="20"/>
        </w:rPr>
        <w:t xml:space="preserve"> </w:t>
      </w:r>
      <w:r w:rsidRPr="00872196">
        <w:rPr>
          <w:rFonts w:ascii="Arial" w:hAnsi="Arial" w:cs="Arial"/>
          <w:sz w:val="20"/>
        </w:rPr>
        <w:t>against</w:t>
      </w:r>
      <w:r w:rsidRPr="00872196">
        <w:rPr>
          <w:rFonts w:ascii="Arial" w:hAnsi="Arial" w:cs="Arial"/>
          <w:spacing w:val="-2"/>
          <w:sz w:val="20"/>
        </w:rPr>
        <w:t xml:space="preserve"> </w:t>
      </w:r>
      <w:r w:rsidRPr="00872196">
        <w:rPr>
          <w:rFonts w:ascii="Arial" w:hAnsi="Arial" w:cs="Arial"/>
          <w:sz w:val="20"/>
        </w:rPr>
        <w:t>deterioration</w:t>
      </w:r>
      <w:r w:rsidRPr="00872196">
        <w:rPr>
          <w:rFonts w:ascii="Arial" w:hAnsi="Arial" w:cs="Arial"/>
          <w:spacing w:val="-3"/>
          <w:sz w:val="20"/>
        </w:rPr>
        <w:t xml:space="preserve"> </w:t>
      </w:r>
      <w:r w:rsidRPr="00872196">
        <w:rPr>
          <w:rFonts w:ascii="Arial" w:hAnsi="Arial" w:cs="Arial"/>
          <w:sz w:val="20"/>
        </w:rPr>
        <w:t>or</w:t>
      </w:r>
      <w:r w:rsidRPr="00872196">
        <w:rPr>
          <w:rFonts w:ascii="Arial" w:hAnsi="Arial" w:cs="Arial"/>
          <w:spacing w:val="-2"/>
          <w:sz w:val="20"/>
        </w:rPr>
        <w:t xml:space="preserve"> </w:t>
      </w:r>
      <w:r w:rsidRPr="00872196">
        <w:rPr>
          <w:rFonts w:ascii="Arial" w:hAnsi="Arial" w:cs="Arial"/>
          <w:sz w:val="20"/>
        </w:rPr>
        <w:t>loss</w:t>
      </w:r>
      <w:r w:rsidRPr="00872196">
        <w:rPr>
          <w:rFonts w:ascii="Arial" w:hAnsi="Arial" w:cs="Arial"/>
          <w:spacing w:val="-3"/>
          <w:sz w:val="20"/>
        </w:rPr>
        <w:t xml:space="preserve"> </w:t>
      </w:r>
      <w:r w:rsidRPr="00872196">
        <w:rPr>
          <w:rFonts w:ascii="Arial" w:hAnsi="Arial" w:cs="Arial"/>
          <w:sz w:val="20"/>
        </w:rPr>
        <w:t>of</w:t>
      </w:r>
      <w:r w:rsidRPr="00872196">
        <w:rPr>
          <w:rFonts w:ascii="Arial" w:hAnsi="Arial" w:cs="Arial"/>
          <w:spacing w:val="-2"/>
          <w:sz w:val="20"/>
        </w:rPr>
        <w:t xml:space="preserve"> </w:t>
      </w:r>
      <w:r w:rsidRPr="00872196">
        <w:rPr>
          <w:rFonts w:ascii="Arial" w:hAnsi="Arial" w:cs="Arial"/>
          <w:sz w:val="20"/>
        </w:rPr>
        <w:t>strength,</w:t>
      </w:r>
      <w:r w:rsidRPr="00872196">
        <w:rPr>
          <w:rFonts w:ascii="Arial" w:hAnsi="Arial" w:cs="Arial"/>
          <w:spacing w:val="-2"/>
          <w:sz w:val="20"/>
        </w:rPr>
        <w:t xml:space="preserve"> </w:t>
      </w:r>
      <w:r w:rsidRPr="00872196">
        <w:rPr>
          <w:rFonts w:ascii="Arial" w:hAnsi="Arial" w:cs="Arial"/>
          <w:sz w:val="20"/>
        </w:rPr>
        <w:t>it</w:t>
      </w:r>
      <w:r w:rsidRPr="00872196">
        <w:rPr>
          <w:rFonts w:ascii="Arial" w:hAnsi="Arial" w:cs="Arial"/>
          <w:spacing w:val="-3"/>
          <w:sz w:val="20"/>
        </w:rPr>
        <w:t xml:space="preserve"> </w:t>
      </w:r>
      <w:r w:rsidRPr="00872196">
        <w:rPr>
          <w:rFonts w:ascii="Arial" w:hAnsi="Arial" w:cs="Arial"/>
          <w:sz w:val="20"/>
        </w:rPr>
        <w:t>is</w:t>
      </w:r>
      <w:r w:rsidRPr="00872196">
        <w:rPr>
          <w:rFonts w:ascii="Arial" w:hAnsi="Arial" w:cs="Arial"/>
          <w:spacing w:val="-2"/>
          <w:sz w:val="20"/>
        </w:rPr>
        <w:t xml:space="preserve"> </w:t>
      </w:r>
      <w:r w:rsidRPr="00872196">
        <w:rPr>
          <w:rFonts w:ascii="Arial" w:hAnsi="Arial" w:cs="Arial"/>
          <w:sz w:val="20"/>
        </w:rPr>
        <w:t>permissible</w:t>
      </w:r>
      <w:r w:rsidRPr="00872196">
        <w:rPr>
          <w:rFonts w:ascii="Arial" w:hAnsi="Arial" w:cs="Arial"/>
          <w:spacing w:val="-4"/>
          <w:sz w:val="20"/>
        </w:rPr>
        <w:t xml:space="preserve"> </w:t>
      </w:r>
      <w:r w:rsidRPr="00872196">
        <w:rPr>
          <w:rFonts w:ascii="Arial" w:hAnsi="Arial" w:cs="Arial"/>
          <w:sz w:val="20"/>
        </w:rPr>
        <w:t>to</w:t>
      </w:r>
      <w:r w:rsidRPr="00872196">
        <w:rPr>
          <w:rFonts w:ascii="Arial" w:hAnsi="Arial" w:cs="Arial"/>
          <w:spacing w:val="-48"/>
          <w:sz w:val="20"/>
        </w:rPr>
        <w:t xml:space="preserve"> </w:t>
      </w:r>
      <w:r w:rsidRPr="00872196">
        <w:rPr>
          <w:rFonts w:ascii="Arial" w:hAnsi="Arial" w:cs="Arial"/>
          <w:sz w:val="20"/>
        </w:rPr>
        <w:t>rely</w:t>
      </w:r>
      <w:r w:rsidRPr="00872196">
        <w:rPr>
          <w:rFonts w:ascii="Arial" w:hAnsi="Arial" w:cs="Arial"/>
          <w:spacing w:val="1"/>
          <w:sz w:val="20"/>
        </w:rPr>
        <w:t xml:space="preserve"> </w:t>
      </w:r>
      <w:r w:rsidRPr="00872196">
        <w:rPr>
          <w:rFonts w:ascii="Arial" w:hAnsi="Arial" w:cs="Arial"/>
          <w:sz w:val="20"/>
        </w:rPr>
        <w:t>on</w:t>
      </w:r>
      <w:r w:rsidRPr="00872196">
        <w:rPr>
          <w:rFonts w:ascii="Arial" w:hAnsi="Arial" w:cs="Arial"/>
          <w:spacing w:val="1"/>
          <w:sz w:val="20"/>
        </w:rPr>
        <w:t xml:space="preserve"> </w:t>
      </w:r>
      <w:r w:rsidRPr="00872196">
        <w:rPr>
          <w:rFonts w:ascii="Arial" w:hAnsi="Arial" w:cs="Arial"/>
          <w:sz w:val="20"/>
        </w:rPr>
        <w:t>instructions</w:t>
      </w:r>
      <w:r w:rsidRPr="00872196">
        <w:rPr>
          <w:rFonts w:ascii="Arial" w:hAnsi="Arial" w:cs="Arial"/>
          <w:spacing w:val="1"/>
          <w:sz w:val="20"/>
        </w:rPr>
        <w:t xml:space="preserve"> </w:t>
      </w:r>
      <w:r w:rsidRPr="00872196">
        <w:rPr>
          <w:rFonts w:ascii="Arial" w:hAnsi="Arial" w:cs="Arial"/>
          <w:sz w:val="20"/>
        </w:rPr>
        <w:t>for</w:t>
      </w:r>
      <w:r w:rsidRPr="00872196">
        <w:rPr>
          <w:rFonts w:ascii="Arial" w:hAnsi="Arial" w:cs="Arial"/>
          <w:spacing w:val="1"/>
          <w:sz w:val="20"/>
        </w:rPr>
        <w:t xml:space="preserve"> </w:t>
      </w:r>
      <w:r w:rsidRPr="00872196">
        <w:rPr>
          <w:rFonts w:ascii="Arial" w:hAnsi="Arial" w:cs="Arial"/>
          <w:sz w:val="20"/>
        </w:rPr>
        <w:t>continued</w:t>
      </w:r>
      <w:r w:rsidRPr="00872196">
        <w:rPr>
          <w:rFonts w:ascii="Arial" w:hAnsi="Arial" w:cs="Arial"/>
          <w:spacing w:val="1"/>
          <w:sz w:val="20"/>
        </w:rPr>
        <w:t xml:space="preserve"> </w:t>
      </w:r>
      <w:r w:rsidRPr="00872196">
        <w:rPr>
          <w:rFonts w:ascii="Arial" w:hAnsi="Arial" w:cs="Arial"/>
          <w:sz w:val="20"/>
        </w:rPr>
        <w:t>airworthiness</w:t>
      </w:r>
      <w:r w:rsidRPr="00872196">
        <w:rPr>
          <w:rFonts w:ascii="Arial" w:hAnsi="Arial" w:cs="Arial"/>
          <w:spacing w:val="1"/>
          <w:sz w:val="20"/>
        </w:rPr>
        <w:t xml:space="preserve"> </w:t>
      </w:r>
      <w:r w:rsidRPr="00872196">
        <w:rPr>
          <w:rFonts w:ascii="Arial" w:hAnsi="Arial" w:cs="Arial"/>
          <w:sz w:val="20"/>
        </w:rPr>
        <w:t>(e.g.</w:t>
      </w:r>
      <w:r w:rsidRPr="00872196">
        <w:rPr>
          <w:rFonts w:ascii="Arial" w:hAnsi="Arial" w:cs="Arial"/>
          <w:spacing w:val="1"/>
          <w:sz w:val="20"/>
        </w:rPr>
        <w:t xml:space="preserve"> </w:t>
      </w:r>
      <w:r w:rsidRPr="00872196">
        <w:rPr>
          <w:rFonts w:ascii="Arial" w:hAnsi="Arial" w:cs="Arial"/>
          <w:sz w:val="20"/>
        </w:rPr>
        <w:t>recommended</w:t>
      </w:r>
      <w:r w:rsidRPr="00872196">
        <w:rPr>
          <w:rFonts w:ascii="Arial" w:hAnsi="Arial" w:cs="Arial"/>
          <w:spacing w:val="1"/>
          <w:sz w:val="20"/>
        </w:rPr>
        <w:t xml:space="preserve"> </w:t>
      </w:r>
      <w:r w:rsidRPr="00872196">
        <w:rPr>
          <w:rFonts w:ascii="Arial" w:hAnsi="Arial" w:cs="Arial"/>
          <w:sz w:val="20"/>
        </w:rPr>
        <w:t>inspections</w:t>
      </w:r>
      <w:r w:rsidRPr="00872196">
        <w:rPr>
          <w:rFonts w:ascii="Arial" w:hAnsi="Arial" w:cs="Arial"/>
          <w:spacing w:val="1"/>
          <w:sz w:val="20"/>
        </w:rPr>
        <w:t xml:space="preserve"> </w:t>
      </w:r>
      <w:r w:rsidRPr="00872196">
        <w:rPr>
          <w:rFonts w:ascii="Arial" w:hAnsi="Arial" w:cs="Arial"/>
          <w:sz w:val="20"/>
        </w:rPr>
        <w:t>or</w:t>
      </w:r>
      <w:r w:rsidRPr="00872196">
        <w:rPr>
          <w:rFonts w:ascii="Arial" w:hAnsi="Arial" w:cs="Arial"/>
          <w:spacing w:val="1"/>
          <w:sz w:val="20"/>
        </w:rPr>
        <w:t xml:space="preserve"> </w:t>
      </w:r>
      <w:r w:rsidRPr="00872196">
        <w:rPr>
          <w:rFonts w:ascii="Arial" w:hAnsi="Arial" w:cs="Arial"/>
          <w:sz w:val="20"/>
        </w:rPr>
        <w:t>mandatory</w:t>
      </w:r>
      <w:r w:rsidRPr="00872196">
        <w:rPr>
          <w:rFonts w:ascii="Arial" w:hAnsi="Arial" w:cs="Arial"/>
          <w:spacing w:val="1"/>
          <w:sz w:val="20"/>
        </w:rPr>
        <w:t xml:space="preserve"> </w:t>
      </w:r>
      <w:r w:rsidRPr="00872196">
        <w:rPr>
          <w:rFonts w:ascii="Arial" w:hAnsi="Arial" w:cs="Arial"/>
          <w:sz w:val="20"/>
        </w:rPr>
        <w:t>replacement</w:t>
      </w:r>
      <w:r w:rsidRPr="00872196">
        <w:rPr>
          <w:rFonts w:ascii="Arial" w:hAnsi="Arial" w:cs="Arial"/>
          <w:spacing w:val="-3"/>
          <w:sz w:val="20"/>
        </w:rPr>
        <w:t xml:space="preserve"> </w:t>
      </w:r>
      <w:r w:rsidRPr="00872196">
        <w:rPr>
          <w:rFonts w:ascii="Arial" w:hAnsi="Arial" w:cs="Arial"/>
          <w:sz w:val="20"/>
        </w:rPr>
        <w:t>of parts)</w:t>
      </w:r>
      <w:r w:rsidRPr="00872196">
        <w:rPr>
          <w:rFonts w:ascii="Arial" w:hAnsi="Arial" w:cs="Arial"/>
          <w:spacing w:val="-2"/>
          <w:sz w:val="20"/>
        </w:rPr>
        <w:t xml:space="preserve"> </w:t>
      </w:r>
      <w:r w:rsidRPr="00872196">
        <w:rPr>
          <w:rFonts w:ascii="Arial" w:hAnsi="Arial" w:cs="Arial"/>
          <w:sz w:val="20"/>
        </w:rPr>
        <w:t>(See</w:t>
      </w:r>
      <w:r w:rsidRPr="00872196">
        <w:rPr>
          <w:rFonts w:ascii="Arial" w:hAnsi="Arial" w:cs="Arial"/>
          <w:spacing w:val="-2"/>
          <w:sz w:val="20"/>
        </w:rPr>
        <w:t xml:space="preserve"> </w:t>
      </w:r>
      <w:r w:rsidRPr="00872196">
        <w:rPr>
          <w:rFonts w:ascii="Arial" w:hAnsi="Arial" w:cs="Arial"/>
          <w:sz w:val="20"/>
        </w:rPr>
        <w:t>also</w:t>
      </w:r>
      <w:r w:rsidRPr="00872196">
        <w:rPr>
          <w:rFonts w:ascii="Arial" w:hAnsi="Arial" w:cs="Arial"/>
          <w:spacing w:val="2"/>
          <w:sz w:val="20"/>
        </w:rPr>
        <w:t xml:space="preserve"> </w:t>
      </w:r>
      <w:r w:rsidRPr="00872196">
        <w:rPr>
          <w:rFonts w:ascii="Arial" w:hAnsi="Arial" w:cs="Arial"/>
          <w:sz w:val="20"/>
        </w:rPr>
        <w:t>CS</w:t>
      </w:r>
      <w:r w:rsidRPr="00872196">
        <w:rPr>
          <w:rFonts w:ascii="Arial" w:hAnsi="Arial" w:cs="Arial"/>
          <w:spacing w:val="-3"/>
          <w:sz w:val="20"/>
        </w:rPr>
        <w:t xml:space="preserve"> </w:t>
      </w:r>
      <w:r w:rsidRPr="00872196">
        <w:rPr>
          <w:rFonts w:ascii="Arial" w:hAnsi="Arial" w:cs="Arial"/>
          <w:sz w:val="20"/>
        </w:rPr>
        <w:t>31HB.82).</w:t>
      </w:r>
    </w:p>
    <w:p w14:paraId="1E301088" w14:textId="77777777" w:rsidR="001B7112" w:rsidRPr="001B7112" w:rsidRDefault="001B7112" w:rsidP="001B711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295" w:name="CS_31HB.41_Inspection_provisions"/>
      <w:bookmarkStart w:id="1296" w:name="_bookmark538"/>
      <w:bookmarkStart w:id="1297" w:name="_Toc153137701"/>
      <w:bookmarkEnd w:id="1295"/>
      <w:bookmarkEnd w:id="1296"/>
      <w:r w:rsidRPr="001B7112">
        <w:rPr>
          <w:rFonts w:ascii="Arial" w:eastAsia="Times New Roman" w:hAnsi="Arial" w:cs="Times New Roman"/>
          <w:b/>
          <w:iCs/>
          <w:color w:val="FFFFFF"/>
          <w:sz w:val="24"/>
        </w:rPr>
        <w:t>CS 31HB.41 Inspection provisions</w:t>
      </w:r>
      <w:bookmarkEnd w:id="1297"/>
    </w:p>
    <w:p w14:paraId="34F70421" w14:textId="77777777" w:rsidR="001B7112" w:rsidRPr="001B7112" w:rsidRDefault="001B7112" w:rsidP="001B7112">
      <w:pPr>
        <w:pStyle w:val="BodyText"/>
        <w:spacing w:before="117" w:line="276" w:lineRule="auto"/>
        <w:rPr>
          <w:rFonts w:ascii="Arial" w:hAnsi="Arial" w:cs="Arial"/>
          <w:sz w:val="20"/>
        </w:rPr>
      </w:pPr>
      <w:r w:rsidRPr="001B7112">
        <w:rPr>
          <w:rFonts w:ascii="Arial" w:hAnsi="Arial" w:cs="Arial"/>
          <w:sz w:val="20"/>
        </w:rPr>
        <w:t>There</w:t>
      </w:r>
      <w:r w:rsidRPr="001B7112">
        <w:rPr>
          <w:rFonts w:ascii="Arial" w:hAnsi="Arial" w:cs="Arial"/>
          <w:spacing w:val="-8"/>
          <w:sz w:val="20"/>
        </w:rPr>
        <w:t xml:space="preserve"> </w:t>
      </w:r>
      <w:r w:rsidRPr="001B7112">
        <w:rPr>
          <w:rFonts w:ascii="Arial" w:hAnsi="Arial" w:cs="Arial"/>
          <w:sz w:val="20"/>
        </w:rPr>
        <w:t>must</w:t>
      </w:r>
      <w:r w:rsidRPr="001B7112">
        <w:rPr>
          <w:rFonts w:ascii="Arial" w:hAnsi="Arial" w:cs="Arial"/>
          <w:spacing w:val="-4"/>
          <w:sz w:val="20"/>
        </w:rPr>
        <w:t xml:space="preserve"> </w:t>
      </w:r>
      <w:r w:rsidRPr="001B7112">
        <w:rPr>
          <w:rFonts w:ascii="Arial" w:hAnsi="Arial" w:cs="Arial"/>
          <w:sz w:val="20"/>
        </w:rPr>
        <w:t>be</w:t>
      </w:r>
      <w:r w:rsidRPr="001B7112">
        <w:rPr>
          <w:rFonts w:ascii="Arial" w:hAnsi="Arial" w:cs="Arial"/>
          <w:spacing w:val="-4"/>
          <w:sz w:val="20"/>
        </w:rPr>
        <w:t xml:space="preserve"> </w:t>
      </w:r>
      <w:r w:rsidRPr="001B7112">
        <w:rPr>
          <w:rFonts w:ascii="Arial" w:hAnsi="Arial" w:cs="Arial"/>
          <w:sz w:val="20"/>
        </w:rPr>
        <w:t>a</w:t>
      </w:r>
      <w:r w:rsidRPr="001B7112">
        <w:rPr>
          <w:rFonts w:ascii="Arial" w:hAnsi="Arial" w:cs="Arial"/>
          <w:spacing w:val="-7"/>
          <w:sz w:val="20"/>
        </w:rPr>
        <w:t xml:space="preserve"> </w:t>
      </w:r>
      <w:r w:rsidRPr="001B7112">
        <w:rPr>
          <w:rFonts w:ascii="Arial" w:hAnsi="Arial" w:cs="Arial"/>
          <w:sz w:val="20"/>
        </w:rPr>
        <w:t>means</w:t>
      </w:r>
      <w:r w:rsidRPr="001B7112">
        <w:rPr>
          <w:rFonts w:ascii="Arial" w:hAnsi="Arial" w:cs="Arial"/>
          <w:spacing w:val="-5"/>
          <w:sz w:val="20"/>
        </w:rPr>
        <w:t xml:space="preserve"> </w:t>
      </w:r>
      <w:r w:rsidRPr="001B7112">
        <w:rPr>
          <w:rFonts w:ascii="Arial" w:hAnsi="Arial" w:cs="Arial"/>
          <w:sz w:val="20"/>
        </w:rPr>
        <w:t>to</w:t>
      </w:r>
      <w:r w:rsidRPr="001B7112">
        <w:rPr>
          <w:rFonts w:ascii="Arial" w:hAnsi="Arial" w:cs="Arial"/>
          <w:spacing w:val="-6"/>
          <w:sz w:val="20"/>
        </w:rPr>
        <w:t xml:space="preserve"> </w:t>
      </w:r>
      <w:r w:rsidRPr="001B7112">
        <w:rPr>
          <w:rFonts w:ascii="Arial" w:hAnsi="Arial" w:cs="Arial"/>
          <w:sz w:val="20"/>
        </w:rPr>
        <w:t>allow</w:t>
      </w:r>
      <w:r w:rsidRPr="001B7112">
        <w:rPr>
          <w:rFonts w:ascii="Arial" w:hAnsi="Arial" w:cs="Arial"/>
          <w:spacing w:val="-4"/>
          <w:sz w:val="20"/>
        </w:rPr>
        <w:t xml:space="preserve"> </w:t>
      </w:r>
      <w:r w:rsidRPr="001B7112">
        <w:rPr>
          <w:rFonts w:ascii="Arial" w:hAnsi="Arial" w:cs="Arial"/>
          <w:sz w:val="20"/>
        </w:rPr>
        <w:t>close</w:t>
      </w:r>
      <w:r w:rsidRPr="001B7112">
        <w:rPr>
          <w:rFonts w:ascii="Arial" w:hAnsi="Arial" w:cs="Arial"/>
          <w:spacing w:val="-7"/>
          <w:sz w:val="20"/>
        </w:rPr>
        <w:t xml:space="preserve"> </w:t>
      </w:r>
      <w:r w:rsidRPr="001B7112">
        <w:rPr>
          <w:rFonts w:ascii="Arial" w:hAnsi="Arial" w:cs="Arial"/>
          <w:sz w:val="20"/>
        </w:rPr>
        <w:t>examination</w:t>
      </w:r>
      <w:r w:rsidRPr="001B7112">
        <w:rPr>
          <w:rFonts w:ascii="Arial" w:hAnsi="Arial" w:cs="Arial"/>
          <w:spacing w:val="-5"/>
          <w:sz w:val="20"/>
        </w:rPr>
        <w:t xml:space="preserve"> </w:t>
      </w:r>
      <w:r w:rsidRPr="001B7112">
        <w:rPr>
          <w:rFonts w:ascii="Arial" w:hAnsi="Arial" w:cs="Arial"/>
          <w:sz w:val="20"/>
        </w:rPr>
        <w:t>of</w:t>
      </w:r>
      <w:r w:rsidRPr="001B7112">
        <w:rPr>
          <w:rFonts w:ascii="Arial" w:hAnsi="Arial" w:cs="Arial"/>
          <w:spacing w:val="-8"/>
          <w:sz w:val="20"/>
        </w:rPr>
        <w:t xml:space="preserve"> </w:t>
      </w:r>
      <w:r w:rsidRPr="001B7112">
        <w:rPr>
          <w:rFonts w:ascii="Arial" w:hAnsi="Arial" w:cs="Arial"/>
          <w:sz w:val="20"/>
        </w:rPr>
        <w:t>each</w:t>
      </w:r>
      <w:r w:rsidRPr="001B7112">
        <w:rPr>
          <w:rFonts w:ascii="Arial" w:hAnsi="Arial" w:cs="Arial"/>
          <w:spacing w:val="-5"/>
          <w:sz w:val="20"/>
        </w:rPr>
        <w:t xml:space="preserve"> </w:t>
      </w:r>
      <w:r w:rsidRPr="001B7112">
        <w:rPr>
          <w:rFonts w:ascii="Arial" w:hAnsi="Arial" w:cs="Arial"/>
          <w:sz w:val="20"/>
        </w:rPr>
        <w:t>part</w:t>
      </w:r>
      <w:r w:rsidRPr="001B7112">
        <w:rPr>
          <w:rFonts w:ascii="Arial" w:hAnsi="Arial" w:cs="Arial"/>
          <w:spacing w:val="-5"/>
          <w:sz w:val="20"/>
        </w:rPr>
        <w:t xml:space="preserve"> </w:t>
      </w:r>
      <w:r w:rsidRPr="001B7112">
        <w:rPr>
          <w:rFonts w:ascii="Arial" w:hAnsi="Arial" w:cs="Arial"/>
          <w:sz w:val="20"/>
        </w:rPr>
        <w:t>that</w:t>
      </w:r>
      <w:r w:rsidRPr="001B7112">
        <w:rPr>
          <w:rFonts w:ascii="Arial" w:hAnsi="Arial" w:cs="Arial"/>
          <w:spacing w:val="-5"/>
          <w:sz w:val="20"/>
        </w:rPr>
        <w:t xml:space="preserve"> </w:t>
      </w:r>
      <w:r w:rsidRPr="001B7112">
        <w:rPr>
          <w:rFonts w:ascii="Arial" w:hAnsi="Arial" w:cs="Arial"/>
          <w:sz w:val="20"/>
        </w:rPr>
        <w:t>requires</w:t>
      </w:r>
      <w:r w:rsidRPr="001B7112">
        <w:rPr>
          <w:rFonts w:ascii="Arial" w:hAnsi="Arial" w:cs="Arial"/>
          <w:spacing w:val="-5"/>
          <w:sz w:val="20"/>
        </w:rPr>
        <w:t xml:space="preserve"> </w:t>
      </w:r>
      <w:r w:rsidRPr="001B7112">
        <w:rPr>
          <w:rFonts w:ascii="Arial" w:hAnsi="Arial" w:cs="Arial"/>
          <w:sz w:val="20"/>
        </w:rPr>
        <w:t>repeated</w:t>
      </w:r>
      <w:r w:rsidRPr="001B7112">
        <w:rPr>
          <w:rFonts w:ascii="Arial" w:hAnsi="Arial" w:cs="Arial"/>
          <w:spacing w:val="-5"/>
          <w:sz w:val="20"/>
        </w:rPr>
        <w:t xml:space="preserve"> </w:t>
      </w:r>
      <w:r w:rsidRPr="001B7112">
        <w:rPr>
          <w:rFonts w:ascii="Arial" w:hAnsi="Arial" w:cs="Arial"/>
          <w:sz w:val="20"/>
        </w:rPr>
        <w:t>inspection</w:t>
      </w:r>
      <w:r w:rsidRPr="001B7112">
        <w:rPr>
          <w:rFonts w:ascii="Arial" w:hAnsi="Arial" w:cs="Arial"/>
          <w:spacing w:val="-5"/>
          <w:sz w:val="20"/>
        </w:rPr>
        <w:t xml:space="preserve"> </w:t>
      </w:r>
      <w:r w:rsidRPr="001B7112">
        <w:rPr>
          <w:rFonts w:ascii="Arial" w:hAnsi="Arial" w:cs="Arial"/>
          <w:sz w:val="20"/>
        </w:rPr>
        <w:t>and</w:t>
      </w:r>
      <w:r w:rsidRPr="001B7112">
        <w:rPr>
          <w:rFonts w:ascii="Arial" w:hAnsi="Arial" w:cs="Arial"/>
          <w:spacing w:val="-47"/>
          <w:sz w:val="20"/>
        </w:rPr>
        <w:t xml:space="preserve"> </w:t>
      </w:r>
      <w:r w:rsidRPr="001B7112">
        <w:rPr>
          <w:rFonts w:ascii="Arial" w:hAnsi="Arial" w:cs="Arial"/>
          <w:sz w:val="20"/>
        </w:rPr>
        <w:t>adjustment.</w:t>
      </w:r>
    </w:p>
    <w:p w14:paraId="03662DD9" w14:textId="77777777" w:rsidR="003B2EC1" w:rsidRPr="003B2EC1" w:rsidRDefault="003B2EC1" w:rsidP="003B2EC1">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298" w:name="CS_31HB.43_Fitting_factor"/>
      <w:bookmarkStart w:id="1299" w:name="_bookmark539"/>
      <w:bookmarkStart w:id="1300" w:name="_Toc153137702"/>
      <w:bookmarkEnd w:id="1298"/>
      <w:bookmarkEnd w:id="1299"/>
      <w:r w:rsidRPr="003B2EC1">
        <w:rPr>
          <w:rFonts w:ascii="Arial" w:eastAsia="Times New Roman" w:hAnsi="Arial" w:cs="Times New Roman"/>
          <w:b/>
          <w:iCs/>
          <w:color w:val="FFFFFF"/>
          <w:sz w:val="24"/>
        </w:rPr>
        <w:t>CS 31HB.43 Fitting factor</w:t>
      </w:r>
      <w:bookmarkEnd w:id="1300"/>
    </w:p>
    <w:p w14:paraId="01F998BB" w14:textId="77777777" w:rsidR="003B2EC1" w:rsidRPr="003B2EC1" w:rsidRDefault="003B2EC1" w:rsidP="005B7755">
      <w:pPr>
        <w:pStyle w:val="ListParagraph"/>
        <w:numPr>
          <w:ilvl w:val="0"/>
          <w:numId w:val="382"/>
        </w:numPr>
        <w:tabs>
          <w:tab w:val="left" w:pos="707"/>
        </w:tabs>
        <w:spacing w:before="117" w:line="276" w:lineRule="auto"/>
        <w:ind w:right="26"/>
        <w:jc w:val="both"/>
        <w:rPr>
          <w:rFonts w:ascii="Arial" w:hAnsi="Arial" w:cs="Arial"/>
          <w:sz w:val="20"/>
        </w:rPr>
      </w:pPr>
      <w:r w:rsidRPr="003B2EC1">
        <w:rPr>
          <w:rFonts w:ascii="Arial" w:hAnsi="Arial" w:cs="Arial"/>
          <w:sz w:val="20"/>
        </w:rPr>
        <w:t>A fitting factor of at least 1·15 must be used in the analysis of each fitting the strength of which is not proven by limit and ultimate load tests in which the actual stress conditions are simulated in the fitting and surrounding structure. This factor applies to all parts of the fitting, the means of attachment, and the bearing on the structural elements joined.</w:t>
      </w:r>
    </w:p>
    <w:p w14:paraId="5F64E891" w14:textId="77777777" w:rsidR="003B2EC1" w:rsidRPr="003B2EC1" w:rsidRDefault="003B2EC1" w:rsidP="005B7755">
      <w:pPr>
        <w:pStyle w:val="ListParagraph"/>
        <w:numPr>
          <w:ilvl w:val="0"/>
          <w:numId w:val="382"/>
        </w:numPr>
        <w:tabs>
          <w:tab w:val="left" w:pos="707"/>
        </w:tabs>
        <w:spacing w:before="117" w:line="276" w:lineRule="auto"/>
        <w:ind w:right="26"/>
        <w:jc w:val="both"/>
        <w:rPr>
          <w:rFonts w:ascii="Arial" w:hAnsi="Arial" w:cs="Arial"/>
          <w:sz w:val="20"/>
        </w:rPr>
      </w:pPr>
      <w:r w:rsidRPr="003B2EC1">
        <w:rPr>
          <w:rFonts w:ascii="Arial" w:hAnsi="Arial" w:cs="Arial"/>
          <w:sz w:val="20"/>
        </w:rPr>
        <w:t>Each part with an integral fitting must be treated as a fitting up to the point where the section properties become typical of the member.</w:t>
      </w:r>
    </w:p>
    <w:p w14:paraId="3D3AEA14" w14:textId="77777777" w:rsidR="003B2EC1" w:rsidRPr="003B2EC1" w:rsidRDefault="003B2EC1" w:rsidP="005B7755">
      <w:pPr>
        <w:pStyle w:val="ListParagraph"/>
        <w:numPr>
          <w:ilvl w:val="0"/>
          <w:numId w:val="382"/>
        </w:numPr>
        <w:tabs>
          <w:tab w:val="left" w:pos="707"/>
        </w:tabs>
        <w:spacing w:before="117" w:line="276" w:lineRule="auto"/>
        <w:ind w:right="26"/>
        <w:jc w:val="both"/>
        <w:rPr>
          <w:rFonts w:ascii="Arial" w:hAnsi="Arial" w:cs="Arial"/>
          <w:sz w:val="20"/>
        </w:rPr>
      </w:pPr>
      <w:r w:rsidRPr="003B2EC1">
        <w:rPr>
          <w:rFonts w:ascii="Arial" w:hAnsi="Arial" w:cs="Arial"/>
          <w:sz w:val="20"/>
        </w:rPr>
        <w:t>The fitting factor need not be used if the joint design is made in accordance with approved practices and the safety of which is based on comprehensive test data. (See AMC 31HB.43(c))</w:t>
      </w:r>
    </w:p>
    <w:p w14:paraId="1832E539" w14:textId="77777777" w:rsidR="000013C0" w:rsidRPr="000013C0" w:rsidRDefault="000013C0" w:rsidP="000013C0">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301" w:name="AMC_31HB.43(c)_Fitting_factors"/>
      <w:bookmarkStart w:id="1302" w:name="_bookmark540"/>
      <w:bookmarkStart w:id="1303" w:name="_Toc153137703"/>
      <w:bookmarkEnd w:id="1301"/>
      <w:bookmarkEnd w:id="1302"/>
      <w:r w:rsidRPr="000013C0">
        <w:rPr>
          <w:rFonts w:ascii="Arial" w:eastAsia="Times New Roman" w:hAnsi="Arial" w:cs="Times New Roman"/>
          <w:b/>
          <w:color w:val="FFFFFF"/>
          <w:sz w:val="24"/>
        </w:rPr>
        <w:t>AMC 31HB.43(c) Fitting factors</w:t>
      </w:r>
      <w:bookmarkEnd w:id="1303"/>
    </w:p>
    <w:p w14:paraId="73907B05" w14:textId="77777777" w:rsidR="007566CD" w:rsidRPr="000013C0" w:rsidRDefault="000013C0" w:rsidP="000013C0">
      <w:pPr>
        <w:pStyle w:val="BodyText"/>
        <w:spacing w:before="117" w:line="276" w:lineRule="auto"/>
        <w:ind w:right="26"/>
        <w:jc w:val="both"/>
        <w:rPr>
          <w:rFonts w:ascii="Arial" w:hAnsi="Arial" w:cs="Arial"/>
          <w:sz w:val="20"/>
        </w:rPr>
      </w:pPr>
      <w:r w:rsidRPr="000013C0">
        <w:rPr>
          <w:rFonts w:ascii="Arial" w:hAnsi="Arial" w:cs="Arial"/>
          <w:sz w:val="20"/>
        </w:rPr>
        <w:t>Approved practices here should be taken as being those produced by the applicant or those meeting internationally recognised standards as defined in the applicable type design data. Approved practices should be those contained in documents accepted either specifically by the Agency or by having been prepared by an organisation or person which the Agency accepts has the necessary capabilities.</w:t>
      </w:r>
    </w:p>
    <w:p w14:paraId="08CC5B51" w14:textId="77777777" w:rsidR="000013C0" w:rsidRPr="000013C0" w:rsidRDefault="000013C0" w:rsidP="000013C0">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304" w:name="CS_31HB.44_Protection_of_envelope_agains"/>
      <w:bookmarkStart w:id="1305" w:name="_bookmark541"/>
      <w:bookmarkStart w:id="1306" w:name="_Toc153137704"/>
      <w:bookmarkEnd w:id="1304"/>
      <w:bookmarkEnd w:id="1305"/>
      <w:r w:rsidRPr="000013C0">
        <w:rPr>
          <w:rFonts w:ascii="Arial" w:eastAsia="Times New Roman" w:hAnsi="Arial" w:cs="Times New Roman"/>
          <w:b/>
          <w:iCs/>
          <w:color w:val="FFFFFF"/>
          <w:sz w:val="24"/>
        </w:rPr>
        <w:t>CS 31HB.44 Protection of envelope against tearing</w:t>
      </w:r>
      <w:bookmarkEnd w:id="1306"/>
    </w:p>
    <w:p w14:paraId="22D7E681" w14:textId="77777777" w:rsidR="000013C0" w:rsidRPr="000013C0" w:rsidRDefault="000013C0" w:rsidP="00865B7D">
      <w:pPr>
        <w:pStyle w:val="BodyText"/>
        <w:spacing w:before="117" w:line="276" w:lineRule="auto"/>
        <w:jc w:val="both"/>
        <w:rPr>
          <w:rFonts w:ascii="Arial" w:hAnsi="Arial" w:cs="Arial"/>
          <w:sz w:val="20"/>
        </w:rPr>
      </w:pPr>
      <w:r w:rsidRPr="000013C0">
        <w:rPr>
          <w:rFonts w:ascii="Arial" w:hAnsi="Arial" w:cs="Arial"/>
          <w:sz w:val="20"/>
        </w:rPr>
        <w:t>The design of the envelope must be such that, while supporting limit load, local damage will not grow to an extent that results in uncontrolled flight or landing.</w:t>
      </w:r>
    </w:p>
    <w:p w14:paraId="129FE960" w14:textId="77777777" w:rsidR="00E943FB" w:rsidRPr="00E943FB" w:rsidRDefault="00E943FB" w:rsidP="00E943FB">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307" w:name="AMC_31HB.44_Protection_of_envelope_again"/>
      <w:bookmarkStart w:id="1308" w:name="_bookmark542"/>
      <w:bookmarkStart w:id="1309" w:name="_Toc153137705"/>
      <w:bookmarkEnd w:id="1307"/>
      <w:bookmarkEnd w:id="1308"/>
      <w:r w:rsidRPr="00E943FB">
        <w:rPr>
          <w:rFonts w:ascii="Arial" w:eastAsia="Times New Roman" w:hAnsi="Arial" w:cs="Times New Roman"/>
          <w:b/>
          <w:color w:val="FFFFFF"/>
          <w:sz w:val="24"/>
        </w:rPr>
        <w:t>AMC 31HB.44 Protection of envelope against tearing</w:t>
      </w:r>
      <w:bookmarkEnd w:id="1309"/>
    </w:p>
    <w:p w14:paraId="1BC8B2BD" w14:textId="77777777" w:rsidR="00E943FB" w:rsidRPr="00E943FB" w:rsidRDefault="00E943FB" w:rsidP="00E943FB">
      <w:pPr>
        <w:pStyle w:val="BodyText"/>
        <w:spacing w:before="117" w:line="276" w:lineRule="auto"/>
        <w:ind w:right="26"/>
        <w:jc w:val="both"/>
        <w:rPr>
          <w:rFonts w:ascii="Arial" w:hAnsi="Arial" w:cs="Arial"/>
          <w:sz w:val="20"/>
        </w:rPr>
      </w:pPr>
      <w:r w:rsidRPr="00E943FB">
        <w:rPr>
          <w:rFonts w:ascii="Arial" w:hAnsi="Arial" w:cs="Arial"/>
          <w:sz w:val="20"/>
        </w:rPr>
        <w:t>Unless it can be demonstrated that basic envelope fabric has sufficient rip-stopping capability, horizontal and vertical load tapes and/or other rip-stoppers should be incorporated into the structure of the envelope so that likely tear lengths are limited to those for which level flight can be maintained. Failure of the envelope between rip-stoppers should be taken into account in the proof of the structure.</w:t>
      </w:r>
    </w:p>
    <w:p w14:paraId="7D7DAC3C" w14:textId="77777777" w:rsidR="00E943FB" w:rsidRPr="00E943FB" w:rsidRDefault="00E943FB" w:rsidP="00E943FB">
      <w:pPr>
        <w:pStyle w:val="BodyText"/>
        <w:spacing w:before="119"/>
        <w:jc w:val="both"/>
        <w:rPr>
          <w:rFonts w:ascii="Arial" w:hAnsi="Arial" w:cs="Arial"/>
          <w:sz w:val="20"/>
        </w:rPr>
      </w:pPr>
      <w:r w:rsidRPr="00E943FB">
        <w:rPr>
          <w:rFonts w:ascii="Arial" w:hAnsi="Arial" w:cs="Arial"/>
          <w:sz w:val="20"/>
          <w:u w:val="single"/>
        </w:rPr>
        <w:t>Demonstration</w:t>
      </w:r>
      <w:r w:rsidRPr="00E943FB">
        <w:rPr>
          <w:rFonts w:ascii="Arial" w:hAnsi="Arial" w:cs="Arial"/>
          <w:spacing w:val="-3"/>
          <w:sz w:val="20"/>
          <w:u w:val="single"/>
        </w:rPr>
        <w:t xml:space="preserve"> </w:t>
      </w:r>
      <w:r w:rsidRPr="00E943FB">
        <w:rPr>
          <w:rFonts w:ascii="Arial" w:hAnsi="Arial" w:cs="Arial"/>
          <w:sz w:val="20"/>
          <w:u w:val="single"/>
        </w:rPr>
        <w:t>of</w:t>
      </w:r>
      <w:r w:rsidRPr="00E943FB">
        <w:rPr>
          <w:rFonts w:ascii="Arial" w:hAnsi="Arial" w:cs="Arial"/>
          <w:spacing w:val="-2"/>
          <w:sz w:val="20"/>
          <w:u w:val="single"/>
        </w:rPr>
        <w:t xml:space="preserve"> </w:t>
      </w:r>
      <w:r w:rsidRPr="00E943FB">
        <w:rPr>
          <w:rFonts w:ascii="Arial" w:hAnsi="Arial" w:cs="Arial"/>
          <w:sz w:val="20"/>
          <w:u w:val="single"/>
        </w:rPr>
        <w:t>sufficient</w:t>
      </w:r>
      <w:r w:rsidRPr="00E943FB">
        <w:rPr>
          <w:rFonts w:ascii="Arial" w:hAnsi="Arial" w:cs="Arial"/>
          <w:spacing w:val="-1"/>
          <w:sz w:val="20"/>
          <w:u w:val="single"/>
        </w:rPr>
        <w:t xml:space="preserve"> </w:t>
      </w:r>
      <w:r w:rsidRPr="00E943FB">
        <w:rPr>
          <w:rFonts w:ascii="Arial" w:hAnsi="Arial" w:cs="Arial"/>
          <w:sz w:val="20"/>
          <w:u w:val="single"/>
        </w:rPr>
        <w:t>rip-stopping</w:t>
      </w:r>
      <w:r w:rsidRPr="00E943FB">
        <w:rPr>
          <w:rFonts w:ascii="Arial" w:hAnsi="Arial" w:cs="Arial"/>
          <w:spacing w:val="-3"/>
          <w:sz w:val="20"/>
          <w:u w:val="single"/>
        </w:rPr>
        <w:t xml:space="preserve"> </w:t>
      </w:r>
      <w:r w:rsidRPr="00E943FB">
        <w:rPr>
          <w:rFonts w:ascii="Arial" w:hAnsi="Arial" w:cs="Arial"/>
          <w:sz w:val="20"/>
          <w:u w:val="single"/>
        </w:rPr>
        <w:t>capability</w:t>
      </w:r>
      <w:r w:rsidRPr="00E943FB">
        <w:rPr>
          <w:rFonts w:ascii="Arial" w:hAnsi="Arial" w:cs="Arial"/>
          <w:spacing w:val="-3"/>
          <w:sz w:val="20"/>
          <w:u w:val="single"/>
        </w:rPr>
        <w:t xml:space="preserve"> </w:t>
      </w:r>
      <w:r w:rsidRPr="00E943FB">
        <w:rPr>
          <w:rFonts w:ascii="Arial" w:hAnsi="Arial" w:cs="Arial"/>
          <w:sz w:val="20"/>
          <w:u w:val="single"/>
        </w:rPr>
        <w:t>of</w:t>
      </w:r>
      <w:r w:rsidRPr="00E943FB">
        <w:rPr>
          <w:rFonts w:ascii="Arial" w:hAnsi="Arial" w:cs="Arial"/>
          <w:spacing w:val="-4"/>
          <w:sz w:val="20"/>
          <w:u w:val="single"/>
        </w:rPr>
        <w:t xml:space="preserve"> </w:t>
      </w:r>
      <w:r w:rsidRPr="00E943FB">
        <w:rPr>
          <w:rFonts w:ascii="Arial" w:hAnsi="Arial" w:cs="Arial"/>
          <w:sz w:val="20"/>
          <w:u w:val="single"/>
        </w:rPr>
        <w:t>the</w:t>
      </w:r>
      <w:r w:rsidRPr="00E943FB">
        <w:rPr>
          <w:rFonts w:ascii="Arial" w:hAnsi="Arial" w:cs="Arial"/>
          <w:spacing w:val="-1"/>
          <w:sz w:val="20"/>
          <w:u w:val="single"/>
        </w:rPr>
        <w:t xml:space="preserve"> </w:t>
      </w:r>
      <w:r w:rsidRPr="00E943FB">
        <w:rPr>
          <w:rFonts w:ascii="Arial" w:hAnsi="Arial" w:cs="Arial"/>
          <w:sz w:val="20"/>
          <w:u w:val="single"/>
        </w:rPr>
        <w:t>envelope</w:t>
      </w:r>
      <w:r w:rsidRPr="00E943FB">
        <w:rPr>
          <w:rFonts w:ascii="Arial" w:hAnsi="Arial" w:cs="Arial"/>
          <w:spacing w:val="-1"/>
          <w:sz w:val="20"/>
          <w:u w:val="single"/>
        </w:rPr>
        <w:t xml:space="preserve"> </w:t>
      </w:r>
      <w:r w:rsidRPr="00E943FB">
        <w:rPr>
          <w:rFonts w:ascii="Arial" w:hAnsi="Arial" w:cs="Arial"/>
          <w:sz w:val="20"/>
          <w:u w:val="single"/>
        </w:rPr>
        <w:t>fabric.</w:t>
      </w:r>
    </w:p>
    <w:p w14:paraId="5945871C" w14:textId="77777777" w:rsidR="00E943FB" w:rsidRPr="00E943FB" w:rsidRDefault="00E943FB" w:rsidP="00E943FB">
      <w:pPr>
        <w:pStyle w:val="BodyText"/>
        <w:spacing w:before="117" w:line="276" w:lineRule="auto"/>
        <w:ind w:right="26"/>
        <w:jc w:val="both"/>
        <w:rPr>
          <w:rFonts w:ascii="Arial" w:hAnsi="Arial" w:cs="Arial"/>
          <w:sz w:val="20"/>
        </w:rPr>
      </w:pPr>
      <w:r w:rsidRPr="00E943FB">
        <w:rPr>
          <w:rFonts w:ascii="Arial" w:hAnsi="Arial" w:cs="Arial"/>
          <w:sz w:val="20"/>
        </w:rPr>
        <w:t>The objective of this demonstration is to show that the envelope fabric is sufficiently damage resistant. It therefore needs to be determined at what tear size the envelope fabric would continue to tear under the maximum tension and conditions (Temperature) experienced in normal operation. In this AMC this tear size is called the critical damage.</w:t>
      </w:r>
    </w:p>
    <w:p w14:paraId="5B5D2D30" w14:textId="77777777" w:rsidR="00E943FB" w:rsidRPr="00E943FB" w:rsidRDefault="00E943FB" w:rsidP="00E943FB">
      <w:pPr>
        <w:pStyle w:val="BodyText"/>
        <w:spacing w:before="117" w:line="276" w:lineRule="auto"/>
        <w:ind w:right="26"/>
        <w:jc w:val="both"/>
        <w:rPr>
          <w:rFonts w:ascii="Arial" w:hAnsi="Arial" w:cs="Arial"/>
          <w:sz w:val="20"/>
        </w:rPr>
      </w:pPr>
      <w:r w:rsidRPr="00E943FB">
        <w:rPr>
          <w:rFonts w:ascii="Arial" w:hAnsi="Arial" w:cs="Arial"/>
          <w:sz w:val="20"/>
        </w:rPr>
        <w:t xml:space="preserve">In order to establish that the determined damage resistance is sufficient, the critical damage should be reviewed in relation to local damage foreseeable in normal operation. The local damages to be </w:t>
      </w:r>
      <w:r w:rsidRPr="00E943FB">
        <w:rPr>
          <w:rFonts w:ascii="Arial" w:hAnsi="Arial" w:cs="Arial"/>
          <w:sz w:val="20"/>
        </w:rPr>
        <w:lastRenderedPageBreak/>
        <w:t>considered are:</w:t>
      </w:r>
    </w:p>
    <w:p w14:paraId="209B797C" w14:textId="77777777" w:rsidR="00E943FB" w:rsidRPr="00E943FB" w:rsidRDefault="00E943FB" w:rsidP="005B7755">
      <w:pPr>
        <w:pStyle w:val="ListParagraph"/>
        <w:numPr>
          <w:ilvl w:val="0"/>
          <w:numId w:val="383"/>
        </w:numPr>
        <w:tabs>
          <w:tab w:val="left" w:pos="707"/>
        </w:tabs>
        <w:spacing w:before="119"/>
        <w:ind w:left="566"/>
        <w:jc w:val="both"/>
        <w:rPr>
          <w:rFonts w:ascii="Arial" w:hAnsi="Arial" w:cs="Arial"/>
          <w:sz w:val="20"/>
        </w:rPr>
      </w:pPr>
      <w:r w:rsidRPr="00E943FB">
        <w:rPr>
          <w:rFonts w:ascii="Arial" w:hAnsi="Arial" w:cs="Arial"/>
          <w:sz w:val="20"/>
        </w:rPr>
        <w:t>Existing</w:t>
      </w:r>
      <w:r w:rsidRPr="00E943FB">
        <w:rPr>
          <w:rFonts w:ascii="Arial" w:hAnsi="Arial" w:cs="Arial"/>
          <w:spacing w:val="-3"/>
          <w:sz w:val="20"/>
        </w:rPr>
        <w:t xml:space="preserve"> </w:t>
      </w:r>
      <w:r w:rsidRPr="00E943FB">
        <w:rPr>
          <w:rFonts w:ascii="Arial" w:hAnsi="Arial" w:cs="Arial"/>
          <w:sz w:val="20"/>
        </w:rPr>
        <w:t>damage that</w:t>
      </w:r>
      <w:r w:rsidRPr="00E943FB">
        <w:rPr>
          <w:rFonts w:ascii="Arial" w:hAnsi="Arial" w:cs="Arial"/>
          <w:spacing w:val="-4"/>
          <w:sz w:val="20"/>
        </w:rPr>
        <w:t xml:space="preserve"> </w:t>
      </w:r>
      <w:r w:rsidRPr="00E943FB">
        <w:rPr>
          <w:rFonts w:ascii="Arial" w:hAnsi="Arial" w:cs="Arial"/>
          <w:sz w:val="20"/>
        </w:rPr>
        <w:t>may</w:t>
      </w:r>
      <w:r w:rsidRPr="00E943FB">
        <w:rPr>
          <w:rFonts w:ascii="Arial" w:hAnsi="Arial" w:cs="Arial"/>
          <w:spacing w:val="-5"/>
          <w:sz w:val="20"/>
        </w:rPr>
        <w:t xml:space="preserve"> </w:t>
      </w:r>
      <w:r w:rsidRPr="00E943FB">
        <w:rPr>
          <w:rFonts w:ascii="Arial" w:hAnsi="Arial" w:cs="Arial"/>
          <w:sz w:val="20"/>
        </w:rPr>
        <w:t>be undetected</w:t>
      </w:r>
      <w:r w:rsidRPr="00E943FB">
        <w:rPr>
          <w:rFonts w:ascii="Arial" w:hAnsi="Arial" w:cs="Arial"/>
          <w:spacing w:val="-3"/>
          <w:sz w:val="20"/>
        </w:rPr>
        <w:t xml:space="preserve"> </w:t>
      </w:r>
      <w:r w:rsidRPr="00E943FB">
        <w:rPr>
          <w:rFonts w:ascii="Arial" w:hAnsi="Arial" w:cs="Arial"/>
          <w:sz w:val="20"/>
        </w:rPr>
        <w:t>during</w:t>
      </w:r>
      <w:r w:rsidRPr="00E943FB">
        <w:rPr>
          <w:rFonts w:ascii="Arial" w:hAnsi="Arial" w:cs="Arial"/>
          <w:spacing w:val="-2"/>
          <w:sz w:val="20"/>
        </w:rPr>
        <w:t xml:space="preserve"> </w:t>
      </w:r>
      <w:r w:rsidRPr="00E943FB">
        <w:rPr>
          <w:rFonts w:ascii="Arial" w:hAnsi="Arial" w:cs="Arial"/>
          <w:sz w:val="20"/>
        </w:rPr>
        <w:t>pre-flight</w:t>
      </w:r>
      <w:r w:rsidRPr="00E943FB">
        <w:rPr>
          <w:rFonts w:ascii="Arial" w:hAnsi="Arial" w:cs="Arial"/>
          <w:spacing w:val="-2"/>
          <w:sz w:val="20"/>
        </w:rPr>
        <w:t xml:space="preserve"> </w:t>
      </w:r>
      <w:r w:rsidRPr="00E943FB">
        <w:rPr>
          <w:rFonts w:ascii="Arial" w:hAnsi="Arial" w:cs="Arial"/>
          <w:sz w:val="20"/>
        </w:rPr>
        <w:t>inspection,</w:t>
      </w:r>
      <w:r w:rsidRPr="00E943FB">
        <w:rPr>
          <w:rFonts w:ascii="Arial" w:hAnsi="Arial" w:cs="Arial"/>
          <w:spacing w:val="-4"/>
          <w:sz w:val="20"/>
        </w:rPr>
        <w:t xml:space="preserve"> </w:t>
      </w:r>
      <w:r w:rsidRPr="00E943FB">
        <w:rPr>
          <w:rFonts w:ascii="Arial" w:hAnsi="Arial" w:cs="Arial"/>
          <w:sz w:val="20"/>
        </w:rPr>
        <w:t>and</w:t>
      </w:r>
    </w:p>
    <w:p w14:paraId="079044DF" w14:textId="77777777" w:rsidR="00E943FB" w:rsidRPr="00E943FB" w:rsidRDefault="00E943FB" w:rsidP="005B7755">
      <w:pPr>
        <w:pStyle w:val="ListParagraph"/>
        <w:numPr>
          <w:ilvl w:val="0"/>
          <w:numId w:val="383"/>
        </w:numPr>
        <w:tabs>
          <w:tab w:val="left" w:pos="707"/>
        </w:tabs>
        <w:ind w:left="566"/>
        <w:jc w:val="both"/>
        <w:rPr>
          <w:rFonts w:ascii="Arial" w:hAnsi="Arial" w:cs="Arial"/>
          <w:sz w:val="20"/>
        </w:rPr>
      </w:pPr>
      <w:r w:rsidRPr="00E943FB">
        <w:rPr>
          <w:rFonts w:ascii="Arial" w:hAnsi="Arial" w:cs="Arial"/>
          <w:sz w:val="20"/>
        </w:rPr>
        <w:t>Limited damage, inflicted during flight where the size of the damage in itself would not result</w:t>
      </w:r>
      <w:r w:rsidRPr="00E943FB">
        <w:rPr>
          <w:rFonts w:ascii="Arial" w:hAnsi="Arial" w:cs="Arial"/>
          <w:spacing w:val="1"/>
          <w:sz w:val="20"/>
        </w:rPr>
        <w:t xml:space="preserve"> </w:t>
      </w:r>
      <w:r w:rsidRPr="00E943FB">
        <w:rPr>
          <w:rFonts w:ascii="Arial" w:hAnsi="Arial" w:cs="Arial"/>
          <w:spacing w:val="-1"/>
          <w:sz w:val="20"/>
        </w:rPr>
        <w:t>in</w:t>
      </w:r>
      <w:r w:rsidRPr="00E943FB">
        <w:rPr>
          <w:rFonts w:ascii="Arial" w:hAnsi="Arial" w:cs="Arial"/>
          <w:spacing w:val="-13"/>
          <w:sz w:val="20"/>
        </w:rPr>
        <w:t xml:space="preserve"> </w:t>
      </w:r>
      <w:r w:rsidRPr="00E943FB">
        <w:rPr>
          <w:rFonts w:ascii="Arial" w:hAnsi="Arial" w:cs="Arial"/>
          <w:spacing w:val="-1"/>
          <w:sz w:val="20"/>
        </w:rPr>
        <w:t>a</w:t>
      </w:r>
      <w:r w:rsidRPr="00E943FB">
        <w:rPr>
          <w:rFonts w:ascii="Arial" w:hAnsi="Arial" w:cs="Arial"/>
          <w:spacing w:val="-12"/>
          <w:sz w:val="20"/>
        </w:rPr>
        <w:t xml:space="preserve"> </w:t>
      </w:r>
      <w:r w:rsidRPr="00E943FB">
        <w:rPr>
          <w:rFonts w:ascii="Arial" w:hAnsi="Arial" w:cs="Arial"/>
          <w:sz w:val="20"/>
        </w:rPr>
        <w:t>catastrophic</w:t>
      </w:r>
      <w:r w:rsidRPr="00E943FB">
        <w:rPr>
          <w:rFonts w:ascii="Arial" w:hAnsi="Arial" w:cs="Arial"/>
          <w:spacing w:val="-12"/>
          <w:sz w:val="20"/>
        </w:rPr>
        <w:t xml:space="preserve"> </w:t>
      </w:r>
      <w:r w:rsidRPr="00E943FB">
        <w:rPr>
          <w:rFonts w:ascii="Arial" w:hAnsi="Arial" w:cs="Arial"/>
          <w:sz w:val="20"/>
        </w:rPr>
        <w:t>failure.</w:t>
      </w:r>
      <w:r w:rsidRPr="00E943FB">
        <w:rPr>
          <w:rFonts w:ascii="Arial" w:hAnsi="Arial" w:cs="Arial"/>
          <w:spacing w:val="-12"/>
          <w:sz w:val="20"/>
        </w:rPr>
        <w:t xml:space="preserve"> </w:t>
      </w:r>
      <w:r w:rsidRPr="00E943FB">
        <w:rPr>
          <w:rFonts w:ascii="Arial" w:hAnsi="Arial" w:cs="Arial"/>
          <w:sz w:val="20"/>
        </w:rPr>
        <w:t>(e.g.</w:t>
      </w:r>
      <w:r w:rsidRPr="00E943FB">
        <w:rPr>
          <w:rFonts w:ascii="Arial" w:hAnsi="Arial" w:cs="Arial"/>
          <w:spacing w:val="-12"/>
          <w:sz w:val="20"/>
        </w:rPr>
        <w:t xml:space="preserve"> </w:t>
      </w:r>
      <w:r w:rsidRPr="00E943FB">
        <w:rPr>
          <w:rFonts w:ascii="Arial" w:hAnsi="Arial" w:cs="Arial"/>
          <w:sz w:val="20"/>
        </w:rPr>
        <w:t>a</w:t>
      </w:r>
      <w:r w:rsidRPr="00E943FB">
        <w:rPr>
          <w:rFonts w:ascii="Arial" w:hAnsi="Arial" w:cs="Arial"/>
          <w:spacing w:val="-12"/>
          <w:sz w:val="20"/>
        </w:rPr>
        <w:t xml:space="preserve"> </w:t>
      </w:r>
      <w:r w:rsidRPr="00E943FB">
        <w:rPr>
          <w:rFonts w:ascii="Arial" w:hAnsi="Arial" w:cs="Arial"/>
          <w:sz w:val="20"/>
        </w:rPr>
        <w:t>limited</w:t>
      </w:r>
      <w:r w:rsidRPr="00E943FB">
        <w:rPr>
          <w:rFonts w:ascii="Arial" w:hAnsi="Arial" w:cs="Arial"/>
          <w:spacing w:val="-12"/>
          <w:sz w:val="20"/>
        </w:rPr>
        <w:t xml:space="preserve"> </w:t>
      </w:r>
      <w:r w:rsidRPr="00E943FB">
        <w:rPr>
          <w:rFonts w:ascii="Arial" w:hAnsi="Arial" w:cs="Arial"/>
          <w:sz w:val="20"/>
        </w:rPr>
        <w:t>damage</w:t>
      </w:r>
      <w:r w:rsidRPr="00E943FB">
        <w:rPr>
          <w:rFonts w:ascii="Arial" w:hAnsi="Arial" w:cs="Arial"/>
          <w:spacing w:val="-11"/>
          <w:sz w:val="20"/>
        </w:rPr>
        <w:t xml:space="preserve"> </w:t>
      </w:r>
      <w:r w:rsidRPr="00E943FB">
        <w:rPr>
          <w:rFonts w:ascii="Arial" w:hAnsi="Arial" w:cs="Arial"/>
          <w:sz w:val="20"/>
        </w:rPr>
        <w:t>caused</w:t>
      </w:r>
      <w:r w:rsidRPr="00E943FB">
        <w:rPr>
          <w:rFonts w:ascii="Arial" w:hAnsi="Arial" w:cs="Arial"/>
          <w:spacing w:val="-14"/>
          <w:sz w:val="20"/>
        </w:rPr>
        <w:t xml:space="preserve"> </w:t>
      </w:r>
      <w:r w:rsidRPr="00E943FB">
        <w:rPr>
          <w:rFonts w:ascii="Arial" w:hAnsi="Arial" w:cs="Arial"/>
          <w:sz w:val="20"/>
        </w:rPr>
        <w:t>by</w:t>
      </w:r>
      <w:r w:rsidRPr="00E943FB">
        <w:rPr>
          <w:rFonts w:ascii="Arial" w:hAnsi="Arial" w:cs="Arial"/>
          <w:spacing w:val="-11"/>
          <w:sz w:val="20"/>
        </w:rPr>
        <w:t xml:space="preserve"> </w:t>
      </w:r>
      <w:r w:rsidRPr="00E943FB">
        <w:rPr>
          <w:rFonts w:ascii="Arial" w:hAnsi="Arial" w:cs="Arial"/>
          <w:sz w:val="20"/>
        </w:rPr>
        <w:t>hitting</w:t>
      </w:r>
      <w:r w:rsidRPr="00E943FB">
        <w:rPr>
          <w:rFonts w:ascii="Arial" w:hAnsi="Arial" w:cs="Arial"/>
          <w:spacing w:val="-13"/>
          <w:sz w:val="20"/>
        </w:rPr>
        <w:t xml:space="preserve"> </w:t>
      </w:r>
      <w:r w:rsidRPr="00E943FB">
        <w:rPr>
          <w:rFonts w:ascii="Arial" w:hAnsi="Arial" w:cs="Arial"/>
          <w:sz w:val="20"/>
        </w:rPr>
        <w:t>a</w:t>
      </w:r>
      <w:r w:rsidRPr="00E943FB">
        <w:rPr>
          <w:rFonts w:ascii="Arial" w:hAnsi="Arial" w:cs="Arial"/>
          <w:spacing w:val="-12"/>
          <w:sz w:val="20"/>
        </w:rPr>
        <w:t xml:space="preserve"> </w:t>
      </w:r>
      <w:r w:rsidRPr="00E943FB">
        <w:rPr>
          <w:rFonts w:ascii="Arial" w:hAnsi="Arial" w:cs="Arial"/>
          <w:sz w:val="20"/>
        </w:rPr>
        <w:t>branch</w:t>
      </w:r>
      <w:r w:rsidRPr="00E943FB">
        <w:rPr>
          <w:rFonts w:ascii="Arial" w:hAnsi="Arial" w:cs="Arial"/>
          <w:spacing w:val="-12"/>
          <w:sz w:val="20"/>
        </w:rPr>
        <w:t xml:space="preserve"> </w:t>
      </w:r>
      <w:r w:rsidRPr="00E943FB">
        <w:rPr>
          <w:rFonts w:ascii="Arial" w:hAnsi="Arial" w:cs="Arial"/>
          <w:sz w:val="20"/>
        </w:rPr>
        <w:t>or</w:t>
      </w:r>
      <w:r w:rsidRPr="00E943FB">
        <w:rPr>
          <w:rFonts w:ascii="Arial" w:hAnsi="Arial" w:cs="Arial"/>
          <w:spacing w:val="-14"/>
          <w:sz w:val="20"/>
        </w:rPr>
        <w:t xml:space="preserve"> </w:t>
      </w:r>
      <w:r w:rsidRPr="00E943FB">
        <w:rPr>
          <w:rFonts w:ascii="Arial" w:hAnsi="Arial" w:cs="Arial"/>
          <w:sz w:val="20"/>
        </w:rPr>
        <w:t>other</w:t>
      </w:r>
      <w:r w:rsidRPr="00E943FB">
        <w:rPr>
          <w:rFonts w:ascii="Arial" w:hAnsi="Arial" w:cs="Arial"/>
          <w:spacing w:val="-17"/>
          <w:sz w:val="20"/>
        </w:rPr>
        <w:t xml:space="preserve"> </w:t>
      </w:r>
      <w:r w:rsidRPr="00E943FB">
        <w:rPr>
          <w:rFonts w:ascii="Arial" w:hAnsi="Arial" w:cs="Arial"/>
          <w:sz w:val="20"/>
        </w:rPr>
        <w:t>basket</w:t>
      </w:r>
      <w:r w:rsidRPr="00E943FB">
        <w:rPr>
          <w:rFonts w:ascii="Arial" w:hAnsi="Arial" w:cs="Arial"/>
          <w:spacing w:val="-11"/>
          <w:sz w:val="20"/>
        </w:rPr>
        <w:t xml:space="preserve"> </w:t>
      </w:r>
      <w:r w:rsidRPr="00E943FB">
        <w:rPr>
          <w:rFonts w:ascii="Arial" w:hAnsi="Arial" w:cs="Arial"/>
          <w:sz w:val="20"/>
        </w:rPr>
        <w:t>during</w:t>
      </w:r>
      <w:r w:rsidRPr="00E943FB">
        <w:rPr>
          <w:rFonts w:ascii="Arial" w:hAnsi="Arial" w:cs="Arial"/>
          <w:spacing w:val="-47"/>
          <w:sz w:val="20"/>
        </w:rPr>
        <w:t xml:space="preserve"> </w:t>
      </w:r>
      <w:r w:rsidRPr="00E943FB">
        <w:rPr>
          <w:rFonts w:ascii="Arial" w:hAnsi="Arial" w:cs="Arial"/>
          <w:sz w:val="20"/>
        </w:rPr>
        <w:t>take</w:t>
      </w:r>
      <w:r w:rsidRPr="00E943FB">
        <w:rPr>
          <w:rFonts w:ascii="Arial" w:hAnsi="Arial" w:cs="Arial"/>
          <w:spacing w:val="-1"/>
          <w:sz w:val="20"/>
        </w:rPr>
        <w:t xml:space="preserve"> </w:t>
      </w:r>
      <w:r w:rsidRPr="00E943FB">
        <w:rPr>
          <w:rFonts w:ascii="Arial" w:hAnsi="Arial" w:cs="Arial"/>
          <w:sz w:val="20"/>
        </w:rPr>
        <w:t>off)</w:t>
      </w:r>
    </w:p>
    <w:p w14:paraId="44AEC2AD" w14:textId="77777777" w:rsidR="00E943FB" w:rsidRPr="00E943FB" w:rsidRDefault="00E943FB" w:rsidP="00E943FB">
      <w:pPr>
        <w:pStyle w:val="BodyText"/>
        <w:spacing w:before="117" w:line="276" w:lineRule="auto"/>
        <w:ind w:right="26"/>
        <w:jc w:val="both"/>
        <w:rPr>
          <w:rFonts w:ascii="Arial" w:hAnsi="Arial" w:cs="Arial"/>
          <w:sz w:val="20"/>
        </w:rPr>
      </w:pPr>
      <w:r w:rsidRPr="00E943FB">
        <w:rPr>
          <w:rFonts w:ascii="Arial" w:hAnsi="Arial" w:cs="Arial"/>
          <w:sz w:val="20"/>
        </w:rPr>
        <w:t>The resistance of envelope fabric to damage propagation should be determined by test.</w:t>
      </w:r>
    </w:p>
    <w:p w14:paraId="7F6F525E" w14:textId="77777777" w:rsidR="00E943FB" w:rsidRPr="00E943FB" w:rsidRDefault="00E943FB" w:rsidP="00E943FB">
      <w:pPr>
        <w:pStyle w:val="BodyText"/>
        <w:spacing w:before="117" w:line="276" w:lineRule="auto"/>
        <w:ind w:right="26"/>
        <w:jc w:val="both"/>
        <w:rPr>
          <w:rFonts w:ascii="Arial" w:hAnsi="Arial" w:cs="Arial"/>
          <w:sz w:val="20"/>
        </w:rPr>
      </w:pPr>
      <w:r w:rsidRPr="00E943FB">
        <w:rPr>
          <w:rFonts w:ascii="Arial" w:hAnsi="Arial" w:cs="Arial"/>
          <w:sz w:val="20"/>
        </w:rPr>
        <w:t>Determine the critical damage to the envelope fabric at the maximum tension experienced in service. Critical damage is the maximum damage at which growth does not occur.</w:t>
      </w:r>
    </w:p>
    <w:p w14:paraId="6CB7D316" w14:textId="77777777" w:rsidR="00E943FB" w:rsidRPr="00E943FB" w:rsidRDefault="00E943FB" w:rsidP="00E943FB">
      <w:pPr>
        <w:pStyle w:val="BodyText"/>
        <w:spacing w:before="117" w:line="276" w:lineRule="auto"/>
        <w:ind w:right="26"/>
        <w:jc w:val="both"/>
        <w:rPr>
          <w:rFonts w:ascii="Arial" w:hAnsi="Arial" w:cs="Arial"/>
          <w:sz w:val="20"/>
        </w:rPr>
      </w:pPr>
      <w:r w:rsidRPr="00E943FB">
        <w:rPr>
          <w:rFonts w:ascii="Arial" w:hAnsi="Arial" w:cs="Arial"/>
          <w:sz w:val="20"/>
        </w:rPr>
        <w:t>Damages to be considered are:</w:t>
      </w:r>
    </w:p>
    <w:p w14:paraId="6329E568" w14:textId="77777777" w:rsidR="00E943FB" w:rsidRPr="00E943FB" w:rsidRDefault="00E943FB" w:rsidP="005B7755">
      <w:pPr>
        <w:pStyle w:val="ListParagraph"/>
        <w:numPr>
          <w:ilvl w:val="0"/>
          <w:numId w:val="383"/>
        </w:numPr>
        <w:tabs>
          <w:tab w:val="left" w:pos="707"/>
        </w:tabs>
        <w:spacing w:before="119"/>
        <w:ind w:left="566"/>
        <w:jc w:val="both"/>
        <w:rPr>
          <w:rFonts w:ascii="Arial" w:hAnsi="Arial" w:cs="Arial"/>
          <w:sz w:val="20"/>
        </w:rPr>
      </w:pPr>
      <w:r w:rsidRPr="00E943FB">
        <w:rPr>
          <w:rFonts w:ascii="Arial" w:hAnsi="Arial" w:cs="Arial"/>
          <w:sz w:val="20"/>
        </w:rPr>
        <w:t>A</w:t>
      </w:r>
      <w:r w:rsidRPr="00E943FB">
        <w:rPr>
          <w:rFonts w:ascii="Arial" w:hAnsi="Arial" w:cs="Arial"/>
          <w:spacing w:val="-2"/>
          <w:sz w:val="20"/>
        </w:rPr>
        <w:t xml:space="preserve"> </w:t>
      </w:r>
      <w:r w:rsidRPr="00E943FB">
        <w:rPr>
          <w:rFonts w:ascii="Arial" w:hAnsi="Arial" w:cs="Arial"/>
          <w:sz w:val="20"/>
        </w:rPr>
        <w:t>slit</w:t>
      </w:r>
      <w:r w:rsidRPr="00E943FB">
        <w:rPr>
          <w:rFonts w:ascii="Arial" w:hAnsi="Arial" w:cs="Arial"/>
          <w:spacing w:val="-1"/>
          <w:sz w:val="20"/>
        </w:rPr>
        <w:t xml:space="preserve"> </w:t>
      </w:r>
      <w:r w:rsidRPr="00E943FB">
        <w:rPr>
          <w:rFonts w:ascii="Arial" w:hAnsi="Arial" w:cs="Arial"/>
          <w:sz w:val="20"/>
        </w:rPr>
        <w:t>in</w:t>
      </w:r>
      <w:r w:rsidRPr="00E943FB">
        <w:rPr>
          <w:rFonts w:ascii="Arial" w:hAnsi="Arial" w:cs="Arial"/>
          <w:spacing w:val="-3"/>
          <w:sz w:val="20"/>
        </w:rPr>
        <w:t xml:space="preserve"> </w:t>
      </w:r>
      <w:r w:rsidRPr="00E943FB">
        <w:rPr>
          <w:rFonts w:ascii="Arial" w:hAnsi="Arial" w:cs="Arial"/>
          <w:sz w:val="20"/>
        </w:rPr>
        <w:t>the</w:t>
      </w:r>
      <w:r w:rsidRPr="00E943FB">
        <w:rPr>
          <w:rFonts w:ascii="Arial" w:hAnsi="Arial" w:cs="Arial"/>
          <w:spacing w:val="-3"/>
          <w:sz w:val="20"/>
        </w:rPr>
        <w:t xml:space="preserve"> </w:t>
      </w:r>
      <w:r w:rsidRPr="00E943FB">
        <w:rPr>
          <w:rFonts w:ascii="Arial" w:hAnsi="Arial" w:cs="Arial"/>
          <w:sz w:val="20"/>
        </w:rPr>
        <w:t>most</w:t>
      </w:r>
      <w:r w:rsidRPr="00E943FB">
        <w:rPr>
          <w:rFonts w:ascii="Arial" w:hAnsi="Arial" w:cs="Arial"/>
          <w:spacing w:val="-2"/>
          <w:sz w:val="20"/>
        </w:rPr>
        <w:t xml:space="preserve"> </w:t>
      </w:r>
      <w:r w:rsidRPr="00E943FB">
        <w:rPr>
          <w:rFonts w:ascii="Arial" w:hAnsi="Arial" w:cs="Arial"/>
          <w:sz w:val="20"/>
        </w:rPr>
        <w:t>unfavourable</w:t>
      </w:r>
      <w:r w:rsidRPr="00E943FB">
        <w:rPr>
          <w:rFonts w:ascii="Arial" w:hAnsi="Arial" w:cs="Arial"/>
          <w:spacing w:val="-1"/>
          <w:sz w:val="20"/>
        </w:rPr>
        <w:t xml:space="preserve"> </w:t>
      </w:r>
      <w:r w:rsidRPr="00E943FB">
        <w:rPr>
          <w:rFonts w:ascii="Arial" w:hAnsi="Arial" w:cs="Arial"/>
          <w:sz w:val="20"/>
        </w:rPr>
        <w:t>direction;</w:t>
      </w:r>
    </w:p>
    <w:p w14:paraId="5952AEB5" w14:textId="77777777" w:rsidR="00E943FB" w:rsidRPr="00E943FB" w:rsidRDefault="00E943FB" w:rsidP="005B7755">
      <w:pPr>
        <w:pStyle w:val="ListParagraph"/>
        <w:numPr>
          <w:ilvl w:val="0"/>
          <w:numId w:val="383"/>
        </w:numPr>
        <w:tabs>
          <w:tab w:val="left" w:pos="707"/>
        </w:tabs>
        <w:ind w:left="566"/>
        <w:jc w:val="both"/>
        <w:rPr>
          <w:rFonts w:ascii="Arial" w:hAnsi="Arial" w:cs="Arial"/>
          <w:sz w:val="20"/>
        </w:rPr>
      </w:pPr>
      <w:r w:rsidRPr="00E943FB">
        <w:rPr>
          <w:rFonts w:ascii="Arial" w:hAnsi="Arial" w:cs="Arial"/>
          <w:sz w:val="20"/>
        </w:rPr>
        <w:t>A</w:t>
      </w:r>
      <w:r w:rsidRPr="00E943FB">
        <w:rPr>
          <w:rFonts w:ascii="Arial" w:hAnsi="Arial" w:cs="Arial"/>
          <w:spacing w:val="-1"/>
          <w:sz w:val="20"/>
        </w:rPr>
        <w:t xml:space="preserve"> </w:t>
      </w:r>
      <w:r w:rsidRPr="00E943FB">
        <w:rPr>
          <w:rFonts w:ascii="Arial" w:hAnsi="Arial" w:cs="Arial"/>
          <w:sz w:val="20"/>
        </w:rPr>
        <w:t>crosswise</w:t>
      </w:r>
      <w:r w:rsidRPr="00E943FB">
        <w:rPr>
          <w:rFonts w:ascii="Arial" w:hAnsi="Arial" w:cs="Arial"/>
          <w:spacing w:val="-3"/>
          <w:sz w:val="20"/>
        </w:rPr>
        <w:t xml:space="preserve"> </w:t>
      </w:r>
      <w:r w:rsidRPr="00E943FB">
        <w:rPr>
          <w:rFonts w:ascii="Arial" w:hAnsi="Arial" w:cs="Arial"/>
          <w:sz w:val="20"/>
        </w:rPr>
        <w:t>slit</w:t>
      </w:r>
      <w:r w:rsidRPr="00E943FB">
        <w:rPr>
          <w:rFonts w:ascii="Arial" w:hAnsi="Arial" w:cs="Arial"/>
          <w:spacing w:val="-1"/>
          <w:sz w:val="20"/>
        </w:rPr>
        <w:t xml:space="preserve"> </w:t>
      </w:r>
      <w:r w:rsidRPr="00E943FB">
        <w:rPr>
          <w:rFonts w:ascii="Arial" w:hAnsi="Arial" w:cs="Arial"/>
          <w:sz w:val="20"/>
        </w:rPr>
        <w:t>in</w:t>
      </w:r>
      <w:r w:rsidRPr="00E943FB">
        <w:rPr>
          <w:rFonts w:ascii="Arial" w:hAnsi="Arial" w:cs="Arial"/>
          <w:spacing w:val="-4"/>
          <w:sz w:val="20"/>
        </w:rPr>
        <w:t xml:space="preserve"> </w:t>
      </w:r>
      <w:r w:rsidRPr="00E943FB">
        <w:rPr>
          <w:rFonts w:ascii="Arial" w:hAnsi="Arial" w:cs="Arial"/>
          <w:sz w:val="20"/>
        </w:rPr>
        <w:t>the</w:t>
      </w:r>
      <w:r w:rsidRPr="00E943FB">
        <w:rPr>
          <w:rFonts w:ascii="Arial" w:hAnsi="Arial" w:cs="Arial"/>
          <w:spacing w:val="-3"/>
          <w:sz w:val="20"/>
        </w:rPr>
        <w:t xml:space="preserve"> </w:t>
      </w:r>
      <w:r w:rsidRPr="00E943FB">
        <w:rPr>
          <w:rFonts w:ascii="Arial" w:hAnsi="Arial" w:cs="Arial"/>
          <w:sz w:val="20"/>
        </w:rPr>
        <w:t>most</w:t>
      </w:r>
      <w:r w:rsidRPr="00E943FB">
        <w:rPr>
          <w:rFonts w:ascii="Arial" w:hAnsi="Arial" w:cs="Arial"/>
          <w:spacing w:val="-3"/>
          <w:sz w:val="20"/>
        </w:rPr>
        <w:t xml:space="preserve"> </w:t>
      </w:r>
      <w:r w:rsidRPr="00E943FB">
        <w:rPr>
          <w:rFonts w:ascii="Arial" w:hAnsi="Arial" w:cs="Arial"/>
          <w:sz w:val="20"/>
        </w:rPr>
        <w:t>unfavourable</w:t>
      </w:r>
      <w:r w:rsidRPr="00E943FB">
        <w:rPr>
          <w:rFonts w:ascii="Arial" w:hAnsi="Arial" w:cs="Arial"/>
          <w:spacing w:val="-4"/>
          <w:sz w:val="20"/>
        </w:rPr>
        <w:t xml:space="preserve"> </w:t>
      </w:r>
      <w:r w:rsidRPr="00E943FB">
        <w:rPr>
          <w:rFonts w:ascii="Arial" w:hAnsi="Arial" w:cs="Arial"/>
          <w:sz w:val="20"/>
        </w:rPr>
        <w:t>directions.</w:t>
      </w:r>
    </w:p>
    <w:p w14:paraId="54052D1F" w14:textId="77777777" w:rsidR="00E943FB" w:rsidRPr="00E943FB" w:rsidRDefault="00E943FB" w:rsidP="00E943FB">
      <w:pPr>
        <w:tabs>
          <w:tab w:val="left" w:pos="707"/>
        </w:tabs>
        <w:ind w:left="-1"/>
        <w:rPr>
          <w:rFonts w:ascii="Arial" w:hAnsi="Arial" w:cs="Arial"/>
        </w:rPr>
      </w:pPr>
    </w:p>
    <w:p w14:paraId="65A0D028" w14:textId="77777777" w:rsidR="00E943FB" w:rsidRPr="00E943FB" w:rsidRDefault="00E943FB" w:rsidP="00E943FB">
      <w:pPr>
        <w:pStyle w:val="BodyText"/>
        <w:spacing w:before="119"/>
        <w:jc w:val="both"/>
        <w:rPr>
          <w:rFonts w:ascii="Arial" w:hAnsi="Arial" w:cs="Arial"/>
          <w:sz w:val="20"/>
          <w:u w:val="single"/>
        </w:rPr>
      </w:pPr>
      <w:r w:rsidRPr="00E943FB">
        <w:rPr>
          <w:rFonts w:ascii="Arial" w:hAnsi="Arial" w:cs="Arial"/>
          <w:sz w:val="20"/>
          <w:u w:val="single"/>
        </w:rPr>
        <w:t>Test requirements</w:t>
      </w:r>
    </w:p>
    <w:p w14:paraId="655E7CD3" w14:textId="77777777" w:rsidR="00E943FB" w:rsidRPr="00E943FB" w:rsidRDefault="00E943FB" w:rsidP="00E943FB">
      <w:pPr>
        <w:pStyle w:val="BodyText"/>
        <w:spacing w:before="117" w:line="276" w:lineRule="auto"/>
        <w:ind w:right="26"/>
        <w:jc w:val="both"/>
        <w:rPr>
          <w:rFonts w:ascii="Arial" w:hAnsi="Arial" w:cs="Arial"/>
          <w:sz w:val="20"/>
        </w:rPr>
      </w:pPr>
      <w:r w:rsidRPr="00E943FB">
        <w:rPr>
          <w:rFonts w:ascii="Arial" w:hAnsi="Arial" w:cs="Arial"/>
          <w:sz w:val="20"/>
        </w:rPr>
        <w:t>The envelope fabric should be tested at maximum tension experienced in service. The effects of temperature on the material properties must be taken into account.</w:t>
      </w:r>
    </w:p>
    <w:p w14:paraId="74E792E0" w14:textId="77777777" w:rsidR="00E943FB" w:rsidRPr="00E943FB" w:rsidRDefault="00E943FB" w:rsidP="00E943FB">
      <w:pPr>
        <w:pStyle w:val="BodyText"/>
        <w:spacing w:before="117" w:line="276" w:lineRule="auto"/>
        <w:ind w:right="26"/>
        <w:jc w:val="both"/>
        <w:rPr>
          <w:rFonts w:ascii="Arial" w:hAnsi="Arial" w:cs="Arial"/>
          <w:sz w:val="20"/>
        </w:rPr>
      </w:pPr>
      <w:r w:rsidRPr="00E943FB">
        <w:rPr>
          <w:rFonts w:ascii="Arial" w:hAnsi="Arial" w:cs="Arial"/>
          <w:sz w:val="20"/>
        </w:rPr>
        <w:t>The tension in the test area of the specimen of the fabric should be equal to the maximum tension experienced in service and the test method should not create unacceptable tension re-distributions in the test area when the test is conducted.</w:t>
      </w:r>
    </w:p>
    <w:p w14:paraId="72FA8E9D" w14:textId="77777777" w:rsidR="00E943FB" w:rsidRPr="00E943FB" w:rsidRDefault="00E943FB" w:rsidP="00E943FB">
      <w:pPr>
        <w:pStyle w:val="BodyText"/>
        <w:spacing w:before="117" w:line="276" w:lineRule="auto"/>
        <w:ind w:right="26"/>
        <w:jc w:val="both"/>
        <w:rPr>
          <w:rFonts w:ascii="Arial" w:hAnsi="Arial" w:cs="Arial"/>
          <w:sz w:val="20"/>
        </w:rPr>
      </w:pPr>
      <w:r w:rsidRPr="00E943FB">
        <w:rPr>
          <w:rFonts w:ascii="Arial" w:hAnsi="Arial" w:cs="Arial"/>
          <w:sz w:val="20"/>
        </w:rPr>
        <w:t>A step-wise increase of the damage (e.g. a cut with a sharp knife) should be used to determine the critical damage size.</w:t>
      </w:r>
    </w:p>
    <w:p w14:paraId="113E04F7" w14:textId="77777777" w:rsidR="00E943FB" w:rsidRPr="00E943FB" w:rsidRDefault="00E943FB" w:rsidP="00E943FB">
      <w:pPr>
        <w:pStyle w:val="BodyText"/>
        <w:spacing w:before="117" w:line="276" w:lineRule="auto"/>
        <w:ind w:right="26"/>
        <w:jc w:val="both"/>
        <w:rPr>
          <w:rFonts w:ascii="Arial" w:hAnsi="Arial" w:cs="Arial"/>
          <w:sz w:val="20"/>
        </w:rPr>
      </w:pPr>
      <w:r w:rsidRPr="00E943FB">
        <w:rPr>
          <w:rFonts w:ascii="Arial" w:hAnsi="Arial" w:cs="Arial"/>
          <w:sz w:val="20"/>
        </w:rPr>
        <w:t>Between the step-wise increases of the damage, enough time should be permitted for the tension re- distribution at the damage location.</w:t>
      </w:r>
    </w:p>
    <w:p w14:paraId="135128D0" w14:textId="77777777" w:rsidR="00E943FB" w:rsidRPr="00E943FB" w:rsidRDefault="00E943FB" w:rsidP="00E943FB">
      <w:pPr>
        <w:pStyle w:val="BodyText"/>
        <w:spacing w:before="117" w:line="276" w:lineRule="auto"/>
        <w:ind w:right="26"/>
        <w:jc w:val="both"/>
        <w:rPr>
          <w:rFonts w:ascii="Arial" w:hAnsi="Arial" w:cs="Arial"/>
          <w:sz w:val="20"/>
        </w:rPr>
      </w:pPr>
      <w:r w:rsidRPr="00E943FB">
        <w:rPr>
          <w:rFonts w:ascii="Arial" w:hAnsi="Arial" w:cs="Arial"/>
          <w:noProof/>
          <w:sz w:val="20"/>
        </w:rPr>
        <w:drawing>
          <wp:anchor distT="0" distB="0" distL="0" distR="0" simplePos="0" relativeHeight="251681792" behindDoc="0" locked="0" layoutInCell="1" allowOverlap="1" wp14:anchorId="6DE05A45" wp14:editId="2B035362">
            <wp:simplePos x="0" y="0"/>
            <wp:positionH relativeFrom="margin">
              <wp:align>left</wp:align>
            </wp:positionH>
            <wp:positionV relativeFrom="paragraph">
              <wp:posOffset>323850</wp:posOffset>
            </wp:positionV>
            <wp:extent cx="5656580" cy="3260090"/>
            <wp:effectExtent l="0" t="0" r="127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e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656580" cy="3260090"/>
                    </a:xfrm>
                    <a:prstGeom prst="rect">
                      <a:avLst/>
                    </a:prstGeom>
                    <a:noFill/>
                  </pic:spPr>
                </pic:pic>
              </a:graphicData>
            </a:graphic>
            <wp14:sizeRelH relativeFrom="page">
              <wp14:pctWidth>0</wp14:pctWidth>
            </wp14:sizeRelH>
            <wp14:sizeRelV relativeFrom="page">
              <wp14:pctHeight>0</wp14:pctHeight>
            </wp14:sizeRelV>
          </wp:anchor>
        </w:drawing>
      </w:r>
      <w:r w:rsidRPr="00E943FB">
        <w:rPr>
          <w:rFonts w:ascii="Arial" w:hAnsi="Arial" w:cs="Arial"/>
          <w:sz w:val="20"/>
        </w:rPr>
        <w:t>The critical damage length of the material should be recorded.</w:t>
      </w:r>
    </w:p>
    <w:p w14:paraId="2B976611" w14:textId="77777777" w:rsidR="00E943FB" w:rsidRPr="00E943FB" w:rsidRDefault="00E943FB" w:rsidP="00E943FB">
      <w:pPr>
        <w:spacing w:before="39"/>
        <w:jc w:val="both"/>
        <w:rPr>
          <w:rFonts w:ascii="Arial" w:hAnsi="Arial" w:cs="Arial"/>
          <w:i/>
          <w:sz w:val="20"/>
        </w:rPr>
      </w:pPr>
      <w:r w:rsidRPr="00E943FB">
        <w:rPr>
          <w:rFonts w:ascii="Arial" w:hAnsi="Arial" w:cs="Arial"/>
          <w:i/>
          <w:sz w:val="20"/>
        </w:rPr>
        <w:t>Examples of</w:t>
      </w:r>
      <w:r w:rsidRPr="00E943FB">
        <w:rPr>
          <w:rFonts w:ascii="Arial" w:hAnsi="Arial" w:cs="Arial"/>
          <w:i/>
          <w:spacing w:val="-3"/>
          <w:sz w:val="20"/>
        </w:rPr>
        <w:t xml:space="preserve"> </w:t>
      </w:r>
      <w:r w:rsidRPr="00E943FB">
        <w:rPr>
          <w:rFonts w:ascii="Arial" w:hAnsi="Arial" w:cs="Arial"/>
          <w:i/>
          <w:sz w:val="20"/>
        </w:rPr>
        <w:t>a</w:t>
      </w:r>
      <w:r w:rsidRPr="00E943FB">
        <w:rPr>
          <w:rFonts w:ascii="Arial" w:hAnsi="Arial" w:cs="Arial"/>
          <w:i/>
          <w:spacing w:val="-1"/>
          <w:sz w:val="20"/>
        </w:rPr>
        <w:t xml:space="preserve"> </w:t>
      </w:r>
      <w:r w:rsidRPr="00E943FB">
        <w:rPr>
          <w:rFonts w:ascii="Arial" w:hAnsi="Arial" w:cs="Arial"/>
          <w:i/>
          <w:sz w:val="20"/>
        </w:rPr>
        <w:t>circular</w:t>
      </w:r>
      <w:r w:rsidRPr="00E943FB">
        <w:rPr>
          <w:rFonts w:ascii="Arial" w:hAnsi="Arial" w:cs="Arial"/>
          <w:i/>
          <w:spacing w:val="-2"/>
          <w:sz w:val="20"/>
        </w:rPr>
        <w:t xml:space="preserve"> </w:t>
      </w:r>
      <w:r w:rsidRPr="00E943FB">
        <w:rPr>
          <w:rFonts w:ascii="Arial" w:hAnsi="Arial" w:cs="Arial"/>
          <w:i/>
          <w:sz w:val="20"/>
        </w:rPr>
        <w:t>or</w:t>
      </w:r>
      <w:r w:rsidRPr="00E943FB">
        <w:rPr>
          <w:rFonts w:ascii="Arial" w:hAnsi="Arial" w:cs="Arial"/>
          <w:i/>
          <w:spacing w:val="-2"/>
          <w:sz w:val="20"/>
        </w:rPr>
        <w:t xml:space="preserve"> </w:t>
      </w:r>
      <w:r w:rsidRPr="00E943FB">
        <w:rPr>
          <w:rFonts w:ascii="Arial" w:hAnsi="Arial" w:cs="Arial"/>
          <w:i/>
          <w:sz w:val="20"/>
        </w:rPr>
        <w:t>2-directional</w:t>
      </w:r>
      <w:r w:rsidRPr="00E943FB">
        <w:rPr>
          <w:rFonts w:ascii="Arial" w:hAnsi="Arial" w:cs="Arial"/>
          <w:i/>
          <w:spacing w:val="-2"/>
          <w:sz w:val="20"/>
        </w:rPr>
        <w:t xml:space="preserve"> </w:t>
      </w:r>
      <w:r w:rsidRPr="00E943FB">
        <w:rPr>
          <w:rFonts w:ascii="Arial" w:hAnsi="Arial" w:cs="Arial"/>
          <w:i/>
          <w:sz w:val="20"/>
        </w:rPr>
        <w:t>test</w:t>
      </w:r>
      <w:r w:rsidRPr="00E943FB">
        <w:rPr>
          <w:rFonts w:ascii="Arial" w:hAnsi="Arial" w:cs="Arial"/>
          <w:i/>
          <w:spacing w:val="-4"/>
          <w:sz w:val="20"/>
        </w:rPr>
        <w:t xml:space="preserve"> </w:t>
      </w:r>
      <w:r w:rsidRPr="00E943FB">
        <w:rPr>
          <w:rFonts w:ascii="Arial" w:hAnsi="Arial" w:cs="Arial"/>
          <w:i/>
          <w:sz w:val="20"/>
        </w:rPr>
        <w:t>set-up.</w:t>
      </w:r>
    </w:p>
    <w:p w14:paraId="6A335DFC" w14:textId="77777777" w:rsidR="00E943FB" w:rsidRDefault="00E943FB" w:rsidP="00E943FB">
      <w:pPr>
        <w:pStyle w:val="BodyText"/>
        <w:spacing w:before="0"/>
        <w:ind w:left="139"/>
        <w:rPr>
          <w:rFonts w:ascii="Arial" w:hAnsi="Arial" w:cs="Arial"/>
          <w:b/>
          <w:i/>
          <w:sz w:val="18"/>
        </w:rPr>
      </w:pPr>
    </w:p>
    <w:p w14:paraId="4FA97525" w14:textId="77777777" w:rsidR="00E943FB" w:rsidRPr="00E943FB" w:rsidRDefault="00E943FB" w:rsidP="00E943FB">
      <w:pPr>
        <w:pStyle w:val="BodyText"/>
        <w:spacing w:before="119"/>
        <w:jc w:val="both"/>
        <w:rPr>
          <w:rFonts w:ascii="Arial" w:hAnsi="Arial" w:cs="Arial"/>
          <w:sz w:val="20"/>
          <w:u w:val="single"/>
        </w:rPr>
      </w:pPr>
      <w:r w:rsidRPr="00E943FB">
        <w:rPr>
          <w:rFonts w:ascii="Arial" w:hAnsi="Arial" w:cs="Arial"/>
          <w:sz w:val="20"/>
          <w:u w:val="single"/>
        </w:rPr>
        <w:t>Pre-flight inspection requirements</w:t>
      </w:r>
    </w:p>
    <w:p w14:paraId="32FFFC29" w14:textId="77777777" w:rsidR="00E943FB" w:rsidRPr="00E943FB" w:rsidRDefault="00E943FB" w:rsidP="00E943FB">
      <w:pPr>
        <w:pStyle w:val="BodyText"/>
        <w:spacing w:before="117" w:line="276" w:lineRule="auto"/>
        <w:ind w:right="26"/>
        <w:jc w:val="both"/>
        <w:rPr>
          <w:rFonts w:ascii="Arial" w:hAnsi="Arial" w:cs="Arial"/>
          <w:sz w:val="20"/>
        </w:rPr>
      </w:pPr>
      <w:r w:rsidRPr="00E943FB">
        <w:rPr>
          <w:rFonts w:ascii="Arial" w:hAnsi="Arial" w:cs="Arial"/>
          <w:sz w:val="20"/>
        </w:rPr>
        <w:t xml:space="preserve">The design of the envelope and pre-flight Inspection method should be such that visible damage considerably smaller in length than the critical damage length can be detected during a pre-flight inspection. The impact of ageing and operating circumstances should be considered when establishing the margin between critical damage and detectable damage length (refer to </w:t>
      </w:r>
      <w:r w:rsidRPr="00E943FB">
        <w:rPr>
          <w:rFonts w:ascii="Arial" w:hAnsi="Arial"/>
          <w:sz w:val="20"/>
        </w:rPr>
        <w:t>CS 31HB.27(f)</w:t>
      </w:r>
      <w:r w:rsidRPr="00E943FB">
        <w:rPr>
          <w:rFonts w:ascii="Arial" w:hAnsi="Arial" w:cs="Arial"/>
          <w:sz w:val="20"/>
        </w:rPr>
        <w:t>).</w:t>
      </w:r>
    </w:p>
    <w:p w14:paraId="21798411" w14:textId="77777777" w:rsidR="00E943FB" w:rsidRPr="00E943FB" w:rsidRDefault="00E943FB" w:rsidP="00E943FB">
      <w:pPr>
        <w:pStyle w:val="BodyText"/>
        <w:spacing w:before="117" w:line="276" w:lineRule="auto"/>
        <w:ind w:right="26"/>
        <w:jc w:val="both"/>
        <w:rPr>
          <w:rFonts w:ascii="Arial" w:hAnsi="Arial" w:cs="Arial"/>
          <w:sz w:val="20"/>
        </w:rPr>
      </w:pPr>
      <w:r w:rsidRPr="00E943FB">
        <w:rPr>
          <w:rFonts w:ascii="Arial" w:hAnsi="Arial" w:cs="Arial"/>
          <w:sz w:val="20"/>
        </w:rPr>
        <w:lastRenderedPageBreak/>
        <w:t>Design features that could possibly hinder detection of damage during a pre-flight inspection should be avoided or taken into consideration when the detectable damage length is determined.</w:t>
      </w:r>
    </w:p>
    <w:p w14:paraId="4DCC4B7A" w14:textId="77777777" w:rsidR="00E943FB" w:rsidRPr="00E943FB" w:rsidRDefault="00E943FB" w:rsidP="00E943FB">
      <w:pPr>
        <w:pStyle w:val="BodyText"/>
        <w:spacing w:before="117" w:line="276" w:lineRule="auto"/>
        <w:ind w:right="26"/>
        <w:jc w:val="both"/>
        <w:rPr>
          <w:rFonts w:ascii="Arial" w:hAnsi="Arial" w:cs="Arial"/>
          <w:i/>
          <w:sz w:val="20"/>
        </w:rPr>
      </w:pPr>
      <w:r w:rsidRPr="00E943FB">
        <w:rPr>
          <w:rFonts w:ascii="Arial" w:hAnsi="Arial" w:cs="Arial"/>
          <w:i/>
          <w:sz w:val="20"/>
          <w:u w:val="single"/>
        </w:rPr>
        <w:t>Note 1</w:t>
      </w:r>
      <w:r w:rsidRPr="00E943FB">
        <w:rPr>
          <w:rFonts w:ascii="Arial" w:hAnsi="Arial" w:cs="Arial"/>
          <w:i/>
          <w:sz w:val="20"/>
        </w:rPr>
        <w:t>: It is assumed that a visual pre-flight inspection will detect damage above 10 cm.</w:t>
      </w:r>
    </w:p>
    <w:p w14:paraId="31787637" w14:textId="77777777" w:rsidR="00E943FB" w:rsidRPr="00E943FB" w:rsidRDefault="00E943FB" w:rsidP="00E943FB">
      <w:pPr>
        <w:pStyle w:val="BodyText"/>
        <w:spacing w:before="117" w:line="276" w:lineRule="auto"/>
        <w:ind w:right="26"/>
        <w:jc w:val="both"/>
        <w:rPr>
          <w:rFonts w:ascii="Arial" w:hAnsi="Arial" w:cs="Arial"/>
          <w:i/>
          <w:sz w:val="20"/>
        </w:rPr>
      </w:pPr>
      <w:r w:rsidRPr="00E943FB">
        <w:rPr>
          <w:rFonts w:ascii="Arial" w:hAnsi="Arial" w:cs="Arial"/>
          <w:i/>
          <w:sz w:val="20"/>
          <w:u w:val="single"/>
        </w:rPr>
        <w:t>Note 2</w:t>
      </w:r>
      <w:r w:rsidRPr="00E943FB">
        <w:rPr>
          <w:rFonts w:ascii="Arial" w:hAnsi="Arial" w:cs="Arial"/>
          <w:i/>
          <w:sz w:val="20"/>
        </w:rPr>
        <w:t>: The critical damage is a design property that should not be confused with acceptable damage as provided in the flight manual.</w:t>
      </w:r>
    </w:p>
    <w:p w14:paraId="62F55657" w14:textId="77777777" w:rsidR="00C86BC1" w:rsidRPr="00C86BC1" w:rsidRDefault="00C86BC1" w:rsidP="00C86BC1">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310" w:name="CS_31HB.45_Fuel_cells"/>
      <w:bookmarkStart w:id="1311" w:name="_bookmark543"/>
      <w:bookmarkStart w:id="1312" w:name="_Toc153137706"/>
      <w:bookmarkEnd w:id="1310"/>
      <w:bookmarkEnd w:id="1311"/>
      <w:r w:rsidRPr="00C86BC1">
        <w:rPr>
          <w:rFonts w:ascii="Arial" w:eastAsia="Times New Roman" w:hAnsi="Arial" w:cs="Times New Roman"/>
          <w:b/>
          <w:iCs/>
          <w:color w:val="FFFFFF"/>
          <w:sz w:val="24"/>
        </w:rPr>
        <w:t>CS 31HB.45 Fuel cells</w:t>
      </w:r>
      <w:bookmarkEnd w:id="1312"/>
    </w:p>
    <w:p w14:paraId="78FE3286" w14:textId="77777777" w:rsidR="00C86BC1" w:rsidRPr="00C86BC1" w:rsidRDefault="00C86BC1" w:rsidP="005B7755">
      <w:pPr>
        <w:pStyle w:val="ListParagraph"/>
        <w:numPr>
          <w:ilvl w:val="0"/>
          <w:numId w:val="385"/>
        </w:numPr>
        <w:tabs>
          <w:tab w:val="left" w:pos="707"/>
        </w:tabs>
        <w:spacing w:before="117" w:line="276" w:lineRule="auto"/>
        <w:ind w:right="26"/>
        <w:jc w:val="both"/>
        <w:rPr>
          <w:rFonts w:ascii="Arial" w:hAnsi="Arial" w:cs="Arial"/>
          <w:sz w:val="20"/>
        </w:rPr>
      </w:pPr>
      <w:r w:rsidRPr="00C86BC1">
        <w:rPr>
          <w:rFonts w:ascii="Arial" w:hAnsi="Arial" w:cs="Arial"/>
          <w:sz w:val="20"/>
        </w:rPr>
        <w:t xml:space="preserve">It must be demonstrated by test or analysis or both that fuel cell’s have sufficient strength margins to withstand all conditions of internal and external pressures, temperatures and loads likely to be encountered in operation, including during ground handling and ground transport. (See </w:t>
      </w:r>
      <w:hyperlink r:id="rId152" w:anchor="_bookmark544" w:history="1">
        <w:r w:rsidRPr="00C86BC1">
          <w:t>AMC 31HB.45(a)</w:t>
        </w:r>
      </w:hyperlink>
      <w:r w:rsidRPr="00C86BC1">
        <w:rPr>
          <w:rFonts w:ascii="Arial" w:hAnsi="Arial" w:cs="Arial"/>
          <w:sz w:val="20"/>
        </w:rPr>
        <w:t>)</w:t>
      </w:r>
    </w:p>
    <w:p w14:paraId="4AE54699" w14:textId="77777777" w:rsidR="00C86BC1" w:rsidRPr="00C86BC1" w:rsidRDefault="00C86BC1" w:rsidP="005B7755">
      <w:pPr>
        <w:pStyle w:val="ListParagraph"/>
        <w:numPr>
          <w:ilvl w:val="0"/>
          <w:numId w:val="385"/>
        </w:numPr>
        <w:tabs>
          <w:tab w:val="left" w:pos="707"/>
        </w:tabs>
        <w:spacing w:before="117" w:line="276" w:lineRule="auto"/>
        <w:ind w:right="26"/>
        <w:jc w:val="both"/>
        <w:rPr>
          <w:rFonts w:ascii="Arial" w:hAnsi="Arial" w:cs="Arial"/>
          <w:sz w:val="20"/>
        </w:rPr>
      </w:pPr>
      <w:r w:rsidRPr="00C86BC1">
        <w:rPr>
          <w:rFonts w:ascii="Arial" w:hAnsi="Arial" w:cs="Arial"/>
          <w:sz w:val="20"/>
        </w:rPr>
        <w:t>The compatibility of the cells material with the fuel must be justified. Fatigue, ageing, fire resistance and corrosion capability of the cells must be assessed and any necessary limitation, protection or maintenance action must be determined.</w:t>
      </w:r>
    </w:p>
    <w:p w14:paraId="58D2489A" w14:textId="77777777" w:rsidR="00C86BC1" w:rsidRPr="00C86BC1" w:rsidRDefault="00C86BC1" w:rsidP="005B7755">
      <w:pPr>
        <w:pStyle w:val="ListParagraph"/>
        <w:numPr>
          <w:ilvl w:val="0"/>
          <w:numId w:val="385"/>
        </w:numPr>
        <w:tabs>
          <w:tab w:val="left" w:pos="707"/>
        </w:tabs>
        <w:spacing w:before="117" w:line="276" w:lineRule="auto"/>
        <w:ind w:right="26"/>
        <w:jc w:val="both"/>
        <w:rPr>
          <w:rFonts w:ascii="Arial" w:hAnsi="Arial" w:cs="Arial"/>
          <w:sz w:val="20"/>
        </w:rPr>
      </w:pPr>
      <w:r w:rsidRPr="00C86BC1">
        <w:rPr>
          <w:rFonts w:ascii="Arial" w:hAnsi="Arial" w:cs="Arial"/>
          <w:sz w:val="20"/>
        </w:rPr>
        <w:t xml:space="preserve">Fuel cells, their attachments and related supporting structure must be shown by tests to be capable of withstanding, without detrimental distortion or failure, any inertia loads to which the installation may be subjected in operation. (See </w:t>
      </w:r>
      <w:r w:rsidRPr="00C86BC1">
        <w:t>AMC 31HB.45(c)</w:t>
      </w:r>
      <w:r w:rsidRPr="00C86BC1">
        <w:rPr>
          <w:rFonts w:ascii="Arial" w:hAnsi="Arial" w:cs="Arial"/>
          <w:sz w:val="20"/>
        </w:rPr>
        <w:t>)</w:t>
      </w:r>
    </w:p>
    <w:p w14:paraId="163820CD" w14:textId="77777777" w:rsidR="00C86BC1" w:rsidRPr="00C86BC1" w:rsidRDefault="00C86BC1" w:rsidP="005B7755">
      <w:pPr>
        <w:pStyle w:val="ListParagraph"/>
        <w:numPr>
          <w:ilvl w:val="0"/>
          <w:numId w:val="385"/>
        </w:numPr>
        <w:tabs>
          <w:tab w:val="left" w:pos="707"/>
        </w:tabs>
        <w:spacing w:before="117" w:line="276" w:lineRule="auto"/>
        <w:ind w:right="26"/>
        <w:jc w:val="both"/>
        <w:rPr>
          <w:rFonts w:ascii="Arial" w:hAnsi="Arial" w:cs="Arial"/>
          <w:sz w:val="20"/>
        </w:rPr>
      </w:pPr>
      <w:r w:rsidRPr="00C86BC1">
        <w:rPr>
          <w:rFonts w:ascii="Arial" w:hAnsi="Arial" w:cs="Arial"/>
          <w:sz w:val="20"/>
        </w:rPr>
        <w:t>A pressurised fuel cell must be equipped with:</w:t>
      </w:r>
    </w:p>
    <w:p w14:paraId="024F1EAF" w14:textId="77777777" w:rsidR="00C86BC1" w:rsidRPr="00C86BC1" w:rsidRDefault="00C86BC1" w:rsidP="005B7755">
      <w:pPr>
        <w:pStyle w:val="ListParagraph"/>
        <w:numPr>
          <w:ilvl w:val="1"/>
          <w:numId w:val="384"/>
        </w:numPr>
        <w:tabs>
          <w:tab w:val="left" w:pos="1274"/>
          <w:tab w:val="left" w:pos="8910"/>
        </w:tabs>
        <w:spacing w:before="118" w:line="276" w:lineRule="auto"/>
        <w:ind w:right="26"/>
        <w:jc w:val="both"/>
        <w:rPr>
          <w:rFonts w:ascii="Arial" w:hAnsi="Arial" w:cs="Arial"/>
          <w:sz w:val="20"/>
        </w:rPr>
      </w:pPr>
      <w:r w:rsidRPr="00C86BC1">
        <w:rPr>
          <w:rFonts w:ascii="Arial" w:hAnsi="Arial" w:cs="Arial"/>
          <w:sz w:val="20"/>
        </w:rPr>
        <w:t>A</w:t>
      </w:r>
      <w:r w:rsidRPr="00C86BC1">
        <w:rPr>
          <w:rFonts w:ascii="Arial" w:hAnsi="Arial" w:cs="Arial"/>
          <w:spacing w:val="-8"/>
          <w:sz w:val="20"/>
        </w:rPr>
        <w:t xml:space="preserve"> </w:t>
      </w:r>
      <w:r w:rsidRPr="00C86BC1">
        <w:rPr>
          <w:rFonts w:ascii="Arial" w:hAnsi="Arial" w:cs="Arial"/>
          <w:sz w:val="20"/>
        </w:rPr>
        <w:t>shut-off</w:t>
      </w:r>
      <w:r w:rsidRPr="00C86BC1">
        <w:rPr>
          <w:rFonts w:ascii="Arial" w:hAnsi="Arial" w:cs="Arial"/>
          <w:spacing w:val="-11"/>
          <w:sz w:val="20"/>
        </w:rPr>
        <w:t xml:space="preserve"> </w:t>
      </w:r>
      <w:r w:rsidRPr="00C86BC1">
        <w:rPr>
          <w:rFonts w:ascii="Arial" w:hAnsi="Arial" w:cs="Arial"/>
          <w:sz w:val="20"/>
        </w:rPr>
        <w:t>valve.</w:t>
      </w:r>
      <w:r w:rsidRPr="00C86BC1">
        <w:rPr>
          <w:rFonts w:ascii="Arial" w:hAnsi="Arial" w:cs="Arial"/>
          <w:spacing w:val="-8"/>
          <w:sz w:val="20"/>
        </w:rPr>
        <w:t xml:space="preserve"> </w:t>
      </w:r>
      <w:r w:rsidRPr="00C86BC1">
        <w:rPr>
          <w:rFonts w:ascii="Arial" w:hAnsi="Arial" w:cs="Arial"/>
          <w:sz w:val="20"/>
        </w:rPr>
        <w:t>This</w:t>
      </w:r>
      <w:r w:rsidRPr="00C86BC1">
        <w:rPr>
          <w:rFonts w:ascii="Arial" w:hAnsi="Arial" w:cs="Arial"/>
          <w:spacing w:val="-11"/>
          <w:sz w:val="20"/>
        </w:rPr>
        <w:t xml:space="preserve"> </w:t>
      </w:r>
      <w:r w:rsidRPr="00C86BC1">
        <w:rPr>
          <w:rFonts w:ascii="Arial" w:hAnsi="Arial" w:cs="Arial"/>
          <w:sz w:val="20"/>
        </w:rPr>
        <w:t>valve</w:t>
      </w:r>
      <w:r w:rsidRPr="00C86BC1">
        <w:rPr>
          <w:rFonts w:ascii="Arial" w:hAnsi="Arial" w:cs="Arial"/>
          <w:spacing w:val="-12"/>
          <w:sz w:val="20"/>
        </w:rPr>
        <w:t xml:space="preserve"> </w:t>
      </w:r>
      <w:r w:rsidRPr="00C86BC1">
        <w:rPr>
          <w:rFonts w:ascii="Arial" w:hAnsi="Arial" w:cs="Arial"/>
          <w:sz w:val="20"/>
        </w:rPr>
        <w:t>must</w:t>
      </w:r>
      <w:r w:rsidRPr="00C86BC1">
        <w:rPr>
          <w:rFonts w:ascii="Arial" w:hAnsi="Arial" w:cs="Arial"/>
          <w:spacing w:val="-8"/>
          <w:sz w:val="20"/>
        </w:rPr>
        <w:t xml:space="preserve"> </w:t>
      </w:r>
      <w:r w:rsidRPr="00C86BC1">
        <w:rPr>
          <w:rFonts w:ascii="Arial" w:hAnsi="Arial" w:cs="Arial"/>
          <w:sz w:val="20"/>
        </w:rPr>
        <w:t>be</w:t>
      </w:r>
      <w:r w:rsidRPr="00C86BC1">
        <w:rPr>
          <w:rFonts w:ascii="Arial" w:hAnsi="Arial" w:cs="Arial"/>
          <w:spacing w:val="-7"/>
          <w:sz w:val="20"/>
        </w:rPr>
        <w:t xml:space="preserve"> </w:t>
      </w:r>
      <w:r w:rsidRPr="00C86BC1">
        <w:rPr>
          <w:rFonts w:ascii="Arial" w:hAnsi="Arial" w:cs="Arial"/>
          <w:sz w:val="20"/>
        </w:rPr>
        <w:t>equipped</w:t>
      </w:r>
      <w:r w:rsidRPr="00C86BC1">
        <w:rPr>
          <w:rFonts w:ascii="Arial" w:hAnsi="Arial" w:cs="Arial"/>
          <w:spacing w:val="-10"/>
          <w:sz w:val="20"/>
        </w:rPr>
        <w:t xml:space="preserve"> </w:t>
      </w:r>
      <w:r w:rsidRPr="00C86BC1">
        <w:rPr>
          <w:rFonts w:ascii="Arial" w:hAnsi="Arial" w:cs="Arial"/>
          <w:sz w:val="20"/>
        </w:rPr>
        <w:t>with</w:t>
      </w:r>
      <w:r w:rsidRPr="00C86BC1">
        <w:rPr>
          <w:rFonts w:ascii="Arial" w:hAnsi="Arial" w:cs="Arial"/>
          <w:spacing w:val="-8"/>
          <w:sz w:val="20"/>
        </w:rPr>
        <w:t xml:space="preserve"> </w:t>
      </w:r>
      <w:r w:rsidRPr="00C86BC1">
        <w:rPr>
          <w:rFonts w:ascii="Arial" w:hAnsi="Arial" w:cs="Arial"/>
          <w:sz w:val="20"/>
        </w:rPr>
        <w:t>a</w:t>
      </w:r>
      <w:r w:rsidRPr="00C86BC1">
        <w:rPr>
          <w:rFonts w:ascii="Arial" w:hAnsi="Arial" w:cs="Arial"/>
          <w:spacing w:val="-11"/>
          <w:sz w:val="20"/>
        </w:rPr>
        <w:t xml:space="preserve"> </w:t>
      </w:r>
      <w:r w:rsidRPr="00C86BC1">
        <w:rPr>
          <w:rFonts w:ascii="Arial" w:hAnsi="Arial" w:cs="Arial"/>
          <w:sz w:val="20"/>
        </w:rPr>
        <w:t>self-sealing</w:t>
      </w:r>
      <w:r w:rsidRPr="00C86BC1">
        <w:rPr>
          <w:rFonts w:ascii="Arial" w:hAnsi="Arial" w:cs="Arial"/>
          <w:spacing w:val="-9"/>
          <w:sz w:val="20"/>
        </w:rPr>
        <w:t xml:space="preserve"> </w:t>
      </w:r>
      <w:r w:rsidRPr="00C86BC1">
        <w:rPr>
          <w:rFonts w:ascii="Arial" w:hAnsi="Arial" w:cs="Arial"/>
          <w:sz w:val="20"/>
        </w:rPr>
        <w:t>coupling,</w:t>
      </w:r>
      <w:r w:rsidRPr="00C86BC1">
        <w:rPr>
          <w:rFonts w:ascii="Arial" w:hAnsi="Arial" w:cs="Arial"/>
          <w:spacing w:val="-10"/>
          <w:sz w:val="20"/>
        </w:rPr>
        <w:t xml:space="preserve"> </w:t>
      </w:r>
      <w:r w:rsidRPr="00C86BC1">
        <w:rPr>
          <w:rFonts w:ascii="Arial" w:hAnsi="Arial" w:cs="Arial"/>
          <w:sz w:val="20"/>
        </w:rPr>
        <w:t>or</w:t>
      </w:r>
      <w:r w:rsidRPr="00C86BC1">
        <w:rPr>
          <w:rFonts w:ascii="Arial" w:hAnsi="Arial" w:cs="Arial"/>
          <w:spacing w:val="-10"/>
          <w:sz w:val="20"/>
        </w:rPr>
        <w:t xml:space="preserve"> </w:t>
      </w:r>
      <w:r w:rsidRPr="00C86BC1">
        <w:rPr>
          <w:rFonts w:ascii="Arial" w:hAnsi="Arial" w:cs="Arial"/>
          <w:sz w:val="20"/>
        </w:rPr>
        <w:t>other</w:t>
      </w:r>
      <w:r w:rsidRPr="00C86BC1">
        <w:rPr>
          <w:rFonts w:ascii="Arial" w:hAnsi="Arial" w:cs="Arial"/>
          <w:spacing w:val="-10"/>
          <w:sz w:val="20"/>
        </w:rPr>
        <w:t xml:space="preserve"> </w:t>
      </w:r>
      <w:r w:rsidRPr="00C86BC1">
        <w:rPr>
          <w:rFonts w:ascii="Arial" w:hAnsi="Arial" w:cs="Arial"/>
          <w:sz w:val="20"/>
        </w:rPr>
        <w:t>means</w:t>
      </w:r>
      <w:r w:rsidRPr="00C86BC1">
        <w:rPr>
          <w:rFonts w:ascii="Arial" w:hAnsi="Arial" w:cs="Arial"/>
          <w:spacing w:val="-47"/>
          <w:sz w:val="20"/>
        </w:rPr>
        <w:t xml:space="preserve"> </w:t>
      </w:r>
      <w:r w:rsidRPr="00C86BC1">
        <w:rPr>
          <w:rFonts w:ascii="Arial" w:hAnsi="Arial" w:cs="Arial"/>
          <w:sz w:val="20"/>
        </w:rPr>
        <w:t>to avoid the release of hazardous quantities of fuel should the control be inadvertently</w:t>
      </w:r>
      <w:r w:rsidRPr="00C86BC1">
        <w:rPr>
          <w:rFonts w:ascii="Arial" w:hAnsi="Arial" w:cs="Arial"/>
          <w:spacing w:val="1"/>
          <w:sz w:val="20"/>
        </w:rPr>
        <w:t xml:space="preserve"> </w:t>
      </w:r>
      <w:r w:rsidRPr="00C86BC1">
        <w:rPr>
          <w:rFonts w:ascii="Arial" w:hAnsi="Arial" w:cs="Arial"/>
          <w:sz w:val="20"/>
        </w:rPr>
        <w:t>operated</w:t>
      </w:r>
      <w:r w:rsidRPr="00C86BC1">
        <w:rPr>
          <w:rFonts w:ascii="Arial" w:hAnsi="Arial" w:cs="Arial"/>
          <w:spacing w:val="-1"/>
          <w:sz w:val="20"/>
        </w:rPr>
        <w:t xml:space="preserve"> </w:t>
      </w:r>
      <w:r w:rsidRPr="00C86BC1">
        <w:rPr>
          <w:rFonts w:ascii="Arial" w:hAnsi="Arial" w:cs="Arial"/>
          <w:sz w:val="20"/>
        </w:rPr>
        <w:t>without</w:t>
      </w:r>
      <w:r w:rsidRPr="00C86BC1">
        <w:rPr>
          <w:rFonts w:ascii="Arial" w:hAnsi="Arial" w:cs="Arial"/>
          <w:spacing w:val="-2"/>
          <w:sz w:val="20"/>
        </w:rPr>
        <w:t xml:space="preserve"> </w:t>
      </w:r>
      <w:r w:rsidRPr="00C86BC1">
        <w:rPr>
          <w:rFonts w:ascii="Arial" w:hAnsi="Arial" w:cs="Arial"/>
          <w:sz w:val="20"/>
        </w:rPr>
        <w:t>a fuel</w:t>
      </w:r>
      <w:r w:rsidRPr="00C86BC1">
        <w:rPr>
          <w:rFonts w:ascii="Arial" w:hAnsi="Arial" w:cs="Arial"/>
          <w:spacing w:val="-1"/>
          <w:sz w:val="20"/>
        </w:rPr>
        <w:t xml:space="preserve"> </w:t>
      </w:r>
      <w:r w:rsidRPr="00C86BC1">
        <w:rPr>
          <w:rFonts w:ascii="Arial" w:hAnsi="Arial" w:cs="Arial"/>
          <w:sz w:val="20"/>
        </w:rPr>
        <w:t>line</w:t>
      </w:r>
      <w:r w:rsidRPr="00C86BC1">
        <w:rPr>
          <w:rFonts w:ascii="Arial" w:hAnsi="Arial" w:cs="Arial"/>
          <w:spacing w:val="1"/>
          <w:sz w:val="20"/>
        </w:rPr>
        <w:t xml:space="preserve"> </w:t>
      </w:r>
      <w:r w:rsidRPr="00C86BC1">
        <w:rPr>
          <w:rFonts w:ascii="Arial" w:hAnsi="Arial" w:cs="Arial"/>
          <w:sz w:val="20"/>
        </w:rPr>
        <w:t>connected.</w:t>
      </w:r>
      <w:r w:rsidRPr="00C86BC1">
        <w:rPr>
          <w:rFonts w:ascii="Arial" w:hAnsi="Arial" w:cs="Arial"/>
          <w:spacing w:val="-1"/>
          <w:sz w:val="20"/>
        </w:rPr>
        <w:t xml:space="preserve"> </w:t>
      </w:r>
      <w:r w:rsidRPr="00C86BC1">
        <w:rPr>
          <w:rFonts w:ascii="Arial" w:hAnsi="Arial" w:cs="Arial"/>
          <w:sz w:val="20"/>
        </w:rPr>
        <w:t>(See</w:t>
      </w:r>
      <w:r w:rsidRPr="00C86BC1">
        <w:rPr>
          <w:rFonts w:ascii="Arial" w:hAnsi="Arial" w:cs="Arial"/>
          <w:color w:val="0000FF"/>
          <w:spacing w:val="-1"/>
          <w:sz w:val="20"/>
        </w:rPr>
        <w:t xml:space="preserve"> </w:t>
      </w:r>
      <w:r w:rsidRPr="00C86BC1">
        <w:rPr>
          <w:rFonts w:ascii="Arial" w:hAnsi="Arial" w:cs="Arial"/>
          <w:sz w:val="20"/>
        </w:rPr>
        <w:t>AMC</w:t>
      </w:r>
      <w:r w:rsidRPr="00C86BC1">
        <w:rPr>
          <w:rFonts w:ascii="Arial" w:hAnsi="Arial" w:cs="Arial"/>
          <w:spacing w:val="-3"/>
          <w:sz w:val="20"/>
        </w:rPr>
        <w:t xml:space="preserve"> </w:t>
      </w:r>
      <w:r w:rsidRPr="00C86BC1">
        <w:rPr>
          <w:rFonts w:ascii="Arial" w:hAnsi="Arial" w:cs="Arial"/>
          <w:sz w:val="20"/>
        </w:rPr>
        <w:t>31HB.45(d)(1))</w:t>
      </w:r>
    </w:p>
    <w:p w14:paraId="3058DA9E" w14:textId="77777777" w:rsidR="00C86BC1" w:rsidRPr="00C86BC1" w:rsidRDefault="00C86BC1" w:rsidP="005B7755">
      <w:pPr>
        <w:pStyle w:val="ListParagraph"/>
        <w:numPr>
          <w:ilvl w:val="1"/>
          <w:numId w:val="384"/>
        </w:numPr>
        <w:tabs>
          <w:tab w:val="left" w:pos="1274"/>
          <w:tab w:val="left" w:pos="8910"/>
        </w:tabs>
        <w:spacing w:before="121" w:line="276" w:lineRule="auto"/>
        <w:ind w:right="26" w:hanging="568"/>
        <w:jc w:val="both"/>
        <w:rPr>
          <w:rFonts w:ascii="Arial" w:hAnsi="Arial" w:cs="Arial"/>
          <w:sz w:val="20"/>
        </w:rPr>
      </w:pPr>
      <w:r w:rsidRPr="00C86BC1">
        <w:rPr>
          <w:rFonts w:ascii="Arial" w:hAnsi="Arial" w:cs="Arial"/>
          <w:sz w:val="20"/>
        </w:rPr>
        <w:t>A</w:t>
      </w:r>
      <w:r w:rsidRPr="00C86BC1">
        <w:rPr>
          <w:rFonts w:ascii="Arial" w:hAnsi="Arial" w:cs="Arial"/>
          <w:spacing w:val="-2"/>
          <w:sz w:val="20"/>
        </w:rPr>
        <w:t xml:space="preserve"> </w:t>
      </w:r>
      <w:r w:rsidRPr="00C86BC1">
        <w:rPr>
          <w:rFonts w:ascii="Arial" w:hAnsi="Arial" w:cs="Arial"/>
          <w:sz w:val="20"/>
        </w:rPr>
        <w:t>pressure</w:t>
      </w:r>
      <w:r w:rsidRPr="00C86BC1">
        <w:rPr>
          <w:rFonts w:ascii="Arial" w:hAnsi="Arial" w:cs="Arial"/>
          <w:spacing w:val="-1"/>
          <w:sz w:val="20"/>
        </w:rPr>
        <w:t xml:space="preserve"> </w:t>
      </w:r>
      <w:r w:rsidRPr="00C86BC1">
        <w:rPr>
          <w:rFonts w:ascii="Arial" w:hAnsi="Arial" w:cs="Arial"/>
          <w:sz w:val="20"/>
        </w:rPr>
        <w:t>relief</w:t>
      </w:r>
      <w:r w:rsidRPr="00C86BC1">
        <w:rPr>
          <w:rFonts w:ascii="Arial" w:hAnsi="Arial" w:cs="Arial"/>
          <w:spacing w:val="-3"/>
          <w:sz w:val="20"/>
        </w:rPr>
        <w:t xml:space="preserve"> </w:t>
      </w:r>
      <w:r w:rsidRPr="00C86BC1">
        <w:rPr>
          <w:rFonts w:ascii="Arial" w:hAnsi="Arial" w:cs="Arial"/>
          <w:sz w:val="20"/>
        </w:rPr>
        <w:t>valve,</w:t>
      </w:r>
      <w:r w:rsidRPr="00C86BC1">
        <w:rPr>
          <w:rFonts w:ascii="Arial" w:hAnsi="Arial" w:cs="Arial"/>
          <w:spacing w:val="-4"/>
          <w:sz w:val="20"/>
        </w:rPr>
        <w:t xml:space="preserve"> </w:t>
      </w:r>
      <w:r w:rsidRPr="00C86BC1">
        <w:rPr>
          <w:rFonts w:ascii="Arial" w:hAnsi="Arial" w:cs="Arial"/>
          <w:sz w:val="20"/>
        </w:rPr>
        <w:t>which</w:t>
      </w:r>
      <w:r w:rsidRPr="00C86BC1">
        <w:rPr>
          <w:rFonts w:ascii="Arial" w:hAnsi="Arial" w:cs="Arial"/>
          <w:spacing w:val="-1"/>
          <w:sz w:val="20"/>
        </w:rPr>
        <w:t xml:space="preserve"> </w:t>
      </w:r>
      <w:r w:rsidRPr="00C86BC1">
        <w:rPr>
          <w:rFonts w:ascii="Arial" w:hAnsi="Arial" w:cs="Arial"/>
          <w:sz w:val="20"/>
        </w:rPr>
        <w:t>must</w:t>
      </w:r>
      <w:r w:rsidRPr="00C86BC1">
        <w:rPr>
          <w:rFonts w:ascii="Arial" w:hAnsi="Arial" w:cs="Arial"/>
          <w:spacing w:val="-4"/>
          <w:sz w:val="20"/>
        </w:rPr>
        <w:t xml:space="preserve"> </w:t>
      </w:r>
      <w:r w:rsidRPr="00C86BC1">
        <w:rPr>
          <w:rFonts w:ascii="Arial" w:hAnsi="Arial" w:cs="Arial"/>
          <w:sz w:val="20"/>
        </w:rPr>
        <w:t>protect</w:t>
      </w:r>
      <w:r w:rsidRPr="00C86BC1">
        <w:rPr>
          <w:rFonts w:ascii="Arial" w:hAnsi="Arial" w:cs="Arial"/>
          <w:spacing w:val="-3"/>
          <w:sz w:val="20"/>
        </w:rPr>
        <w:t xml:space="preserve"> </w:t>
      </w:r>
      <w:r w:rsidRPr="00C86BC1">
        <w:rPr>
          <w:rFonts w:ascii="Arial" w:hAnsi="Arial" w:cs="Arial"/>
          <w:sz w:val="20"/>
        </w:rPr>
        <w:t>the</w:t>
      </w:r>
      <w:r w:rsidRPr="00C86BC1">
        <w:rPr>
          <w:rFonts w:ascii="Arial" w:hAnsi="Arial" w:cs="Arial"/>
          <w:spacing w:val="-1"/>
          <w:sz w:val="20"/>
        </w:rPr>
        <w:t xml:space="preserve"> </w:t>
      </w:r>
      <w:r w:rsidRPr="00C86BC1">
        <w:rPr>
          <w:rFonts w:ascii="Arial" w:hAnsi="Arial" w:cs="Arial"/>
          <w:sz w:val="20"/>
        </w:rPr>
        <w:t>fuel</w:t>
      </w:r>
      <w:r w:rsidRPr="00C86BC1">
        <w:rPr>
          <w:rFonts w:ascii="Arial" w:hAnsi="Arial" w:cs="Arial"/>
          <w:spacing w:val="-2"/>
          <w:sz w:val="20"/>
        </w:rPr>
        <w:t xml:space="preserve"> </w:t>
      </w:r>
      <w:r w:rsidRPr="00C86BC1">
        <w:rPr>
          <w:rFonts w:ascii="Arial" w:hAnsi="Arial" w:cs="Arial"/>
          <w:sz w:val="20"/>
        </w:rPr>
        <w:t>cell</w:t>
      </w:r>
      <w:r w:rsidRPr="00C86BC1">
        <w:rPr>
          <w:rFonts w:ascii="Arial" w:hAnsi="Arial" w:cs="Arial"/>
          <w:spacing w:val="-2"/>
          <w:sz w:val="20"/>
        </w:rPr>
        <w:t xml:space="preserve"> </w:t>
      </w:r>
      <w:r w:rsidRPr="00C86BC1">
        <w:rPr>
          <w:rFonts w:ascii="Arial" w:hAnsi="Arial" w:cs="Arial"/>
          <w:sz w:val="20"/>
        </w:rPr>
        <w:t>against</w:t>
      </w:r>
      <w:r w:rsidRPr="00C86BC1">
        <w:rPr>
          <w:rFonts w:ascii="Arial" w:hAnsi="Arial" w:cs="Arial"/>
          <w:spacing w:val="-1"/>
          <w:sz w:val="20"/>
        </w:rPr>
        <w:t xml:space="preserve"> </w:t>
      </w:r>
      <w:r w:rsidRPr="00C86BC1">
        <w:rPr>
          <w:rFonts w:ascii="Arial" w:hAnsi="Arial" w:cs="Arial"/>
          <w:sz w:val="20"/>
        </w:rPr>
        <w:t>over</w:t>
      </w:r>
      <w:r w:rsidRPr="00C86BC1">
        <w:rPr>
          <w:rFonts w:ascii="Arial" w:hAnsi="Arial" w:cs="Arial"/>
          <w:spacing w:val="-3"/>
          <w:sz w:val="20"/>
        </w:rPr>
        <w:t xml:space="preserve"> </w:t>
      </w:r>
      <w:r w:rsidRPr="00C86BC1">
        <w:rPr>
          <w:rFonts w:ascii="Arial" w:hAnsi="Arial" w:cs="Arial"/>
          <w:sz w:val="20"/>
        </w:rPr>
        <w:t>pressurisation.</w:t>
      </w:r>
    </w:p>
    <w:p w14:paraId="5BC7BE55" w14:textId="77777777" w:rsidR="00C86BC1" w:rsidRPr="00C86BC1" w:rsidRDefault="00C86BC1" w:rsidP="005B7755">
      <w:pPr>
        <w:pStyle w:val="ListParagraph"/>
        <w:numPr>
          <w:ilvl w:val="1"/>
          <w:numId w:val="384"/>
        </w:numPr>
        <w:tabs>
          <w:tab w:val="left" w:pos="1274"/>
          <w:tab w:val="left" w:pos="8910"/>
        </w:tabs>
        <w:spacing w:line="276" w:lineRule="auto"/>
        <w:ind w:right="26" w:hanging="568"/>
        <w:jc w:val="both"/>
        <w:rPr>
          <w:rFonts w:ascii="Arial" w:hAnsi="Arial" w:cs="Arial"/>
          <w:sz w:val="20"/>
        </w:rPr>
      </w:pPr>
      <w:r w:rsidRPr="00C86BC1">
        <w:rPr>
          <w:rFonts w:ascii="Arial" w:hAnsi="Arial" w:cs="Arial"/>
          <w:sz w:val="20"/>
        </w:rPr>
        <w:t>A</w:t>
      </w:r>
      <w:r w:rsidRPr="00C86BC1">
        <w:rPr>
          <w:rFonts w:ascii="Arial" w:hAnsi="Arial" w:cs="Arial"/>
          <w:spacing w:val="-2"/>
          <w:sz w:val="20"/>
        </w:rPr>
        <w:t xml:space="preserve"> </w:t>
      </w:r>
      <w:r w:rsidRPr="00C86BC1">
        <w:rPr>
          <w:rFonts w:ascii="Arial" w:hAnsi="Arial" w:cs="Arial"/>
          <w:sz w:val="20"/>
        </w:rPr>
        <w:t>means</w:t>
      </w:r>
      <w:r w:rsidRPr="00C86BC1">
        <w:rPr>
          <w:rFonts w:ascii="Arial" w:hAnsi="Arial" w:cs="Arial"/>
          <w:spacing w:val="-4"/>
          <w:sz w:val="20"/>
        </w:rPr>
        <w:t xml:space="preserve"> </w:t>
      </w:r>
      <w:r w:rsidRPr="00C86BC1">
        <w:rPr>
          <w:rFonts w:ascii="Arial" w:hAnsi="Arial" w:cs="Arial"/>
          <w:sz w:val="20"/>
        </w:rPr>
        <w:t>to control</w:t>
      </w:r>
      <w:r w:rsidRPr="00C86BC1">
        <w:rPr>
          <w:rFonts w:ascii="Arial" w:hAnsi="Arial" w:cs="Arial"/>
          <w:spacing w:val="-1"/>
          <w:sz w:val="20"/>
        </w:rPr>
        <w:t xml:space="preserve"> </w:t>
      </w:r>
      <w:r w:rsidRPr="00C86BC1">
        <w:rPr>
          <w:rFonts w:ascii="Arial" w:hAnsi="Arial" w:cs="Arial"/>
          <w:sz w:val="20"/>
        </w:rPr>
        <w:t>the</w:t>
      </w:r>
      <w:r w:rsidRPr="00C86BC1">
        <w:rPr>
          <w:rFonts w:ascii="Arial" w:hAnsi="Arial" w:cs="Arial"/>
          <w:spacing w:val="-4"/>
          <w:sz w:val="20"/>
        </w:rPr>
        <w:t xml:space="preserve"> </w:t>
      </w:r>
      <w:r w:rsidRPr="00C86BC1">
        <w:rPr>
          <w:rFonts w:ascii="Arial" w:hAnsi="Arial" w:cs="Arial"/>
          <w:sz w:val="20"/>
        </w:rPr>
        <w:t>maximum filling.</w:t>
      </w:r>
    </w:p>
    <w:p w14:paraId="18DDB90B" w14:textId="77777777" w:rsidR="00C86BC1" w:rsidRPr="00C86BC1" w:rsidRDefault="00C86BC1" w:rsidP="005B7755">
      <w:pPr>
        <w:pStyle w:val="ListParagraph"/>
        <w:numPr>
          <w:ilvl w:val="1"/>
          <w:numId w:val="384"/>
        </w:numPr>
        <w:tabs>
          <w:tab w:val="left" w:pos="1274"/>
          <w:tab w:val="left" w:pos="8910"/>
        </w:tabs>
        <w:spacing w:before="121" w:line="276" w:lineRule="auto"/>
        <w:ind w:right="26" w:hanging="568"/>
        <w:jc w:val="both"/>
        <w:rPr>
          <w:rFonts w:ascii="Arial" w:hAnsi="Arial" w:cs="Arial"/>
          <w:sz w:val="20"/>
        </w:rPr>
      </w:pPr>
      <w:r w:rsidRPr="00C86BC1">
        <w:rPr>
          <w:rFonts w:ascii="Arial" w:hAnsi="Arial" w:cs="Arial"/>
          <w:sz w:val="20"/>
        </w:rPr>
        <w:t>A</w:t>
      </w:r>
      <w:r w:rsidRPr="00C86BC1">
        <w:rPr>
          <w:rFonts w:ascii="Arial" w:hAnsi="Arial" w:cs="Arial"/>
          <w:spacing w:val="-1"/>
          <w:sz w:val="20"/>
        </w:rPr>
        <w:t xml:space="preserve"> </w:t>
      </w:r>
      <w:r w:rsidRPr="00C86BC1">
        <w:rPr>
          <w:rFonts w:ascii="Arial" w:hAnsi="Arial" w:cs="Arial"/>
          <w:sz w:val="20"/>
        </w:rPr>
        <w:t>means</w:t>
      </w:r>
      <w:r w:rsidRPr="00C86BC1">
        <w:rPr>
          <w:rFonts w:ascii="Arial" w:hAnsi="Arial" w:cs="Arial"/>
          <w:spacing w:val="-4"/>
          <w:sz w:val="20"/>
        </w:rPr>
        <w:t xml:space="preserve"> </w:t>
      </w:r>
      <w:r w:rsidRPr="00C86BC1">
        <w:rPr>
          <w:rFonts w:ascii="Arial" w:hAnsi="Arial" w:cs="Arial"/>
          <w:sz w:val="20"/>
        </w:rPr>
        <w:t>to assess</w:t>
      </w:r>
      <w:r w:rsidRPr="00C86BC1">
        <w:rPr>
          <w:rFonts w:ascii="Arial" w:hAnsi="Arial" w:cs="Arial"/>
          <w:spacing w:val="-2"/>
          <w:sz w:val="20"/>
        </w:rPr>
        <w:t xml:space="preserve"> </w:t>
      </w:r>
      <w:r w:rsidRPr="00C86BC1">
        <w:rPr>
          <w:rFonts w:ascii="Arial" w:hAnsi="Arial" w:cs="Arial"/>
          <w:sz w:val="20"/>
        </w:rPr>
        <w:t>the</w:t>
      </w:r>
      <w:r w:rsidRPr="00C86BC1">
        <w:rPr>
          <w:rFonts w:ascii="Arial" w:hAnsi="Arial" w:cs="Arial"/>
          <w:spacing w:val="-1"/>
          <w:sz w:val="20"/>
        </w:rPr>
        <w:t xml:space="preserve"> </w:t>
      </w:r>
      <w:r w:rsidRPr="00C86BC1">
        <w:rPr>
          <w:rFonts w:ascii="Arial" w:hAnsi="Arial" w:cs="Arial"/>
          <w:sz w:val="20"/>
        </w:rPr>
        <w:t>fuel</w:t>
      </w:r>
      <w:r w:rsidRPr="00C86BC1">
        <w:rPr>
          <w:rFonts w:ascii="Arial" w:hAnsi="Arial" w:cs="Arial"/>
          <w:spacing w:val="-6"/>
          <w:sz w:val="20"/>
        </w:rPr>
        <w:t xml:space="preserve"> </w:t>
      </w:r>
      <w:r w:rsidRPr="00C86BC1">
        <w:rPr>
          <w:rFonts w:ascii="Arial" w:hAnsi="Arial" w:cs="Arial"/>
          <w:sz w:val="20"/>
        </w:rPr>
        <w:t>quantity.</w:t>
      </w:r>
      <w:r w:rsidRPr="00C86BC1">
        <w:rPr>
          <w:rFonts w:ascii="Arial" w:hAnsi="Arial" w:cs="Arial"/>
          <w:spacing w:val="-2"/>
          <w:sz w:val="20"/>
        </w:rPr>
        <w:t xml:space="preserve"> </w:t>
      </w:r>
      <w:r w:rsidRPr="00C86BC1">
        <w:rPr>
          <w:rFonts w:ascii="Arial" w:hAnsi="Arial" w:cs="Arial"/>
          <w:sz w:val="20"/>
        </w:rPr>
        <w:t>(See also</w:t>
      </w:r>
      <w:r w:rsidRPr="00C86BC1">
        <w:rPr>
          <w:rFonts w:ascii="Arial" w:hAnsi="Arial" w:cs="Arial"/>
          <w:color w:val="0000FF"/>
          <w:spacing w:val="3"/>
          <w:sz w:val="20"/>
        </w:rPr>
        <w:t xml:space="preserve"> </w:t>
      </w:r>
      <w:r w:rsidRPr="00C86BC1">
        <w:rPr>
          <w:rFonts w:ascii="Arial" w:hAnsi="Arial" w:cs="Arial"/>
          <w:sz w:val="20"/>
        </w:rPr>
        <w:t>CS</w:t>
      </w:r>
      <w:r w:rsidRPr="00C86BC1">
        <w:rPr>
          <w:rFonts w:ascii="Arial" w:hAnsi="Arial" w:cs="Arial"/>
          <w:spacing w:val="-4"/>
          <w:sz w:val="20"/>
        </w:rPr>
        <w:t xml:space="preserve"> </w:t>
      </w:r>
      <w:r w:rsidRPr="00C86BC1">
        <w:rPr>
          <w:rFonts w:ascii="Arial" w:hAnsi="Arial" w:cs="Arial"/>
          <w:sz w:val="20"/>
        </w:rPr>
        <w:t>31HB.47(c)(2))</w:t>
      </w:r>
    </w:p>
    <w:p w14:paraId="0D109FA2" w14:textId="77777777" w:rsidR="00C86BC1" w:rsidRPr="00C86BC1" w:rsidRDefault="00C86BC1" w:rsidP="005B7755">
      <w:pPr>
        <w:pStyle w:val="ListParagraph"/>
        <w:numPr>
          <w:ilvl w:val="1"/>
          <w:numId w:val="384"/>
        </w:numPr>
        <w:tabs>
          <w:tab w:val="left" w:pos="1274"/>
          <w:tab w:val="left" w:pos="8910"/>
        </w:tabs>
        <w:spacing w:line="276" w:lineRule="auto"/>
        <w:ind w:right="26"/>
        <w:jc w:val="both"/>
        <w:rPr>
          <w:rFonts w:ascii="Arial" w:hAnsi="Arial" w:cs="Arial"/>
          <w:sz w:val="20"/>
        </w:rPr>
      </w:pPr>
      <w:r w:rsidRPr="00C86BC1">
        <w:rPr>
          <w:rFonts w:ascii="Arial" w:hAnsi="Arial" w:cs="Arial"/>
          <w:sz w:val="20"/>
        </w:rPr>
        <w:t>A</w:t>
      </w:r>
      <w:r w:rsidRPr="00C86BC1">
        <w:rPr>
          <w:rFonts w:ascii="Arial" w:hAnsi="Arial" w:cs="Arial"/>
          <w:spacing w:val="1"/>
          <w:sz w:val="20"/>
        </w:rPr>
        <w:t xml:space="preserve"> </w:t>
      </w:r>
      <w:r w:rsidRPr="00C86BC1">
        <w:rPr>
          <w:rFonts w:ascii="Arial" w:hAnsi="Arial" w:cs="Arial"/>
          <w:sz w:val="20"/>
        </w:rPr>
        <w:t>data</w:t>
      </w:r>
      <w:r w:rsidRPr="00C86BC1">
        <w:rPr>
          <w:rFonts w:ascii="Arial" w:hAnsi="Arial" w:cs="Arial"/>
          <w:spacing w:val="1"/>
          <w:sz w:val="20"/>
        </w:rPr>
        <w:t xml:space="preserve"> </w:t>
      </w:r>
      <w:r w:rsidRPr="00C86BC1">
        <w:rPr>
          <w:rFonts w:ascii="Arial" w:hAnsi="Arial" w:cs="Arial"/>
          <w:sz w:val="20"/>
        </w:rPr>
        <w:t>plate</w:t>
      </w:r>
      <w:r w:rsidRPr="00C86BC1">
        <w:rPr>
          <w:rFonts w:ascii="Arial" w:hAnsi="Arial" w:cs="Arial"/>
          <w:spacing w:val="1"/>
          <w:sz w:val="20"/>
        </w:rPr>
        <w:t xml:space="preserve"> </w:t>
      </w:r>
      <w:r w:rsidRPr="00C86BC1">
        <w:rPr>
          <w:rFonts w:ascii="Arial" w:hAnsi="Arial" w:cs="Arial"/>
          <w:sz w:val="20"/>
        </w:rPr>
        <w:t>containing</w:t>
      </w:r>
      <w:r w:rsidRPr="00C86BC1">
        <w:rPr>
          <w:rFonts w:ascii="Arial" w:hAnsi="Arial" w:cs="Arial"/>
          <w:spacing w:val="1"/>
          <w:sz w:val="20"/>
        </w:rPr>
        <w:t xml:space="preserve"> </w:t>
      </w:r>
      <w:r w:rsidRPr="00C86BC1">
        <w:rPr>
          <w:rFonts w:ascii="Arial" w:hAnsi="Arial" w:cs="Arial"/>
          <w:sz w:val="20"/>
        </w:rPr>
        <w:t>information</w:t>
      </w:r>
      <w:r w:rsidRPr="00C86BC1">
        <w:rPr>
          <w:rFonts w:ascii="Arial" w:hAnsi="Arial" w:cs="Arial"/>
          <w:spacing w:val="1"/>
          <w:sz w:val="20"/>
        </w:rPr>
        <w:t xml:space="preserve"> </w:t>
      </w:r>
      <w:r w:rsidRPr="00C86BC1">
        <w:rPr>
          <w:rFonts w:ascii="Arial" w:hAnsi="Arial" w:cs="Arial"/>
          <w:sz w:val="20"/>
        </w:rPr>
        <w:t>necessary</w:t>
      </w:r>
      <w:r w:rsidRPr="00C86BC1">
        <w:rPr>
          <w:rFonts w:ascii="Arial" w:hAnsi="Arial" w:cs="Arial"/>
          <w:spacing w:val="1"/>
          <w:sz w:val="20"/>
        </w:rPr>
        <w:t xml:space="preserve"> </w:t>
      </w:r>
      <w:r w:rsidRPr="00C86BC1">
        <w:rPr>
          <w:rFonts w:ascii="Arial" w:hAnsi="Arial" w:cs="Arial"/>
          <w:sz w:val="20"/>
        </w:rPr>
        <w:t>for</w:t>
      </w:r>
      <w:r w:rsidRPr="00C86BC1">
        <w:rPr>
          <w:rFonts w:ascii="Arial" w:hAnsi="Arial" w:cs="Arial"/>
          <w:spacing w:val="1"/>
          <w:sz w:val="20"/>
        </w:rPr>
        <w:t xml:space="preserve"> </w:t>
      </w:r>
      <w:r w:rsidRPr="00C86BC1">
        <w:rPr>
          <w:rFonts w:ascii="Arial" w:hAnsi="Arial" w:cs="Arial"/>
          <w:sz w:val="20"/>
        </w:rPr>
        <w:t>safe</w:t>
      </w:r>
      <w:r w:rsidRPr="00C86BC1">
        <w:rPr>
          <w:rFonts w:ascii="Arial" w:hAnsi="Arial" w:cs="Arial"/>
          <w:spacing w:val="1"/>
          <w:sz w:val="20"/>
        </w:rPr>
        <w:t xml:space="preserve"> </w:t>
      </w:r>
      <w:r w:rsidRPr="00C86BC1">
        <w:rPr>
          <w:rFonts w:ascii="Arial" w:hAnsi="Arial" w:cs="Arial"/>
          <w:sz w:val="20"/>
        </w:rPr>
        <w:t>operation.</w:t>
      </w:r>
      <w:r w:rsidRPr="00C86BC1">
        <w:rPr>
          <w:rFonts w:ascii="Arial" w:hAnsi="Arial" w:cs="Arial"/>
          <w:spacing w:val="1"/>
          <w:sz w:val="20"/>
        </w:rPr>
        <w:t xml:space="preserve"> </w:t>
      </w:r>
      <w:r w:rsidRPr="00C86BC1">
        <w:rPr>
          <w:rFonts w:ascii="Arial" w:hAnsi="Arial" w:cs="Arial"/>
          <w:sz w:val="20"/>
        </w:rPr>
        <w:t>(See</w:t>
      </w:r>
      <w:r w:rsidRPr="00C86BC1">
        <w:rPr>
          <w:rFonts w:ascii="Arial" w:hAnsi="Arial" w:cs="Arial"/>
          <w:color w:val="0000FF"/>
          <w:spacing w:val="1"/>
          <w:sz w:val="20"/>
        </w:rPr>
        <w:t xml:space="preserve"> </w:t>
      </w:r>
      <w:r w:rsidRPr="00C86BC1">
        <w:rPr>
          <w:rFonts w:ascii="Arial" w:hAnsi="Arial" w:cs="Arial"/>
          <w:sz w:val="20"/>
        </w:rPr>
        <w:t>AMC</w:t>
      </w:r>
      <w:r w:rsidRPr="00C86BC1">
        <w:rPr>
          <w:rFonts w:ascii="Arial" w:hAnsi="Arial" w:cs="Arial"/>
          <w:color w:val="0000FF"/>
          <w:spacing w:val="1"/>
          <w:sz w:val="20"/>
        </w:rPr>
        <w:t xml:space="preserve"> </w:t>
      </w:r>
      <w:r w:rsidRPr="00C86BC1">
        <w:rPr>
          <w:rFonts w:ascii="Arial" w:hAnsi="Arial" w:cs="Arial"/>
          <w:sz w:val="20"/>
        </w:rPr>
        <w:t>31HB.45(d)(5))</w:t>
      </w:r>
    </w:p>
    <w:p w14:paraId="51C8CC03" w14:textId="77777777" w:rsidR="00C86BC1" w:rsidRPr="00C86BC1" w:rsidRDefault="00C86BC1" w:rsidP="005B7755">
      <w:pPr>
        <w:pStyle w:val="ListParagraph"/>
        <w:numPr>
          <w:ilvl w:val="0"/>
          <w:numId w:val="385"/>
        </w:numPr>
        <w:tabs>
          <w:tab w:val="left" w:pos="707"/>
        </w:tabs>
        <w:spacing w:before="117" w:line="276" w:lineRule="auto"/>
        <w:ind w:right="26"/>
        <w:jc w:val="both"/>
        <w:rPr>
          <w:rFonts w:ascii="Arial" w:hAnsi="Arial" w:cs="Arial"/>
          <w:sz w:val="20"/>
        </w:rPr>
      </w:pPr>
      <w:r w:rsidRPr="00C86BC1">
        <w:rPr>
          <w:rFonts w:ascii="Arial" w:hAnsi="Arial" w:cs="Arial"/>
          <w:sz w:val="20"/>
        </w:rPr>
        <w:t>Guards must be fitted to all fuel cells to protect the valves and other fittings from fuel leakage</w:t>
      </w:r>
      <w:r w:rsidRPr="0033465A">
        <w:rPr>
          <w:rFonts w:ascii="Arial" w:hAnsi="Arial" w:cs="Arial"/>
          <w:sz w:val="20"/>
        </w:rPr>
        <w:t xml:space="preserve"> </w:t>
      </w:r>
      <w:r w:rsidRPr="00C86BC1">
        <w:rPr>
          <w:rFonts w:ascii="Arial" w:hAnsi="Arial" w:cs="Arial"/>
          <w:sz w:val="20"/>
        </w:rPr>
        <w:t>in</w:t>
      </w:r>
      <w:r w:rsidRPr="0033465A">
        <w:rPr>
          <w:rFonts w:ascii="Arial" w:hAnsi="Arial" w:cs="Arial"/>
          <w:sz w:val="20"/>
        </w:rPr>
        <w:t xml:space="preserve"> </w:t>
      </w:r>
      <w:r w:rsidRPr="00C86BC1">
        <w:rPr>
          <w:rFonts w:ascii="Arial" w:hAnsi="Arial" w:cs="Arial"/>
          <w:sz w:val="20"/>
        </w:rPr>
        <w:t>case</w:t>
      </w:r>
      <w:r w:rsidRPr="0033465A">
        <w:rPr>
          <w:rFonts w:ascii="Arial" w:hAnsi="Arial" w:cs="Arial"/>
          <w:sz w:val="20"/>
        </w:rPr>
        <w:t xml:space="preserve"> </w:t>
      </w:r>
      <w:r w:rsidRPr="00C86BC1">
        <w:rPr>
          <w:rFonts w:ascii="Arial" w:hAnsi="Arial" w:cs="Arial"/>
          <w:sz w:val="20"/>
        </w:rPr>
        <w:t>of:</w:t>
      </w:r>
    </w:p>
    <w:p w14:paraId="1F4777D8" w14:textId="77777777" w:rsidR="00C86BC1" w:rsidRPr="00C86BC1" w:rsidRDefault="00C86BC1" w:rsidP="005B7755">
      <w:pPr>
        <w:pStyle w:val="ListParagraph"/>
        <w:numPr>
          <w:ilvl w:val="0"/>
          <w:numId w:val="386"/>
        </w:numPr>
        <w:tabs>
          <w:tab w:val="left" w:pos="1274"/>
          <w:tab w:val="left" w:pos="8910"/>
        </w:tabs>
        <w:spacing w:before="118" w:line="276" w:lineRule="auto"/>
        <w:ind w:right="26"/>
        <w:jc w:val="both"/>
        <w:rPr>
          <w:rFonts w:ascii="Arial" w:hAnsi="Arial" w:cs="Arial"/>
          <w:sz w:val="20"/>
        </w:rPr>
      </w:pPr>
      <w:r w:rsidRPr="00C86BC1">
        <w:rPr>
          <w:rFonts w:ascii="Arial" w:hAnsi="Arial" w:cs="Arial"/>
          <w:sz w:val="20"/>
        </w:rPr>
        <w:t>Inadvertent</w:t>
      </w:r>
      <w:r w:rsidRPr="0033465A">
        <w:rPr>
          <w:rFonts w:ascii="Arial" w:hAnsi="Arial" w:cs="Arial"/>
          <w:sz w:val="20"/>
        </w:rPr>
        <w:t xml:space="preserve"> </w:t>
      </w:r>
      <w:r w:rsidRPr="00C86BC1">
        <w:rPr>
          <w:rFonts w:ascii="Arial" w:hAnsi="Arial" w:cs="Arial"/>
          <w:sz w:val="20"/>
        </w:rPr>
        <w:t>operation</w:t>
      </w:r>
      <w:r w:rsidRPr="0033465A">
        <w:rPr>
          <w:rFonts w:ascii="Arial" w:hAnsi="Arial" w:cs="Arial"/>
          <w:sz w:val="20"/>
        </w:rPr>
        <w:t xml:space="preserve"> </w:t>
      </w:r>
      <w:r w:rsidRPr="00C86BC1">
        <w:rPr>
          <w:rFonts w:ascii="Arial" w:hAnsi="Arial" w:cs="Arial"/>
          <w:sz w:val="20"/>
        </w:rPr>
        <w:t>and</w:t>
      </w:r>
    </w:p>
    <w:p w14:paraId="13CD4A66" w14:textId="77777777" w:rsidR="00C86BC1" w:rsidRPr="00C86BC1" w:rsidRDefault="00C86BC1" w:rsidP="005B7755">
      <w:pPr>
        <w:pStyle w:val="ListParagraph"/>
        <w:numPr>
          <w:ilvl w:val="0"/>
          <w:numId w:val="386"/>
        </w:numPr>
        <w:tabs>
          <w:tab w:val="left" w:pos="1274"/>
          <w:tab w:val="left" w:pos="8910"/>
        </w:tabs>
        <w:spacing w:before="118" w:line="276" w:lineRule="auto"/>
        <w:ind w:right="26"/>
        <w:jc w:val="both"/>
        <w:rPr>
          <w:rFonts w:ascii="Arial" w:hAnsi="Arial" w:cs="Arial"/>
          <w:sz w:val="20"/>
        </w:rPr>
      </w:pPr>
      <w:r w:rsidRPr="00C86BC1">
        <w:rPr>
          <w:rFonts w:ascii="Arial" w:hAnsi="Arial" w:cs="Arial"/>
          <w:sz w:val="20"/>
        </w:rPr>
        <w:t>Damage,</w:t>
      </w:r>
      <w:r w:rsidRPr="0033465A">
        <w:rPr>
          <w:rFonts w:ascii="Arial" w:hAnsi="Arial" w:cs="Arial"/>
          <w:sz w:val="20"/>
        </w:rPr>
        <w:t xml:space="preserve"> </w:t>
      </w:r>
      <w:r w:rsidRPr="00C86BC1">
        <w:rPr>
          <w:rFonts w:ascii="Arial" w:hAnsi="Arial" w:cs="Arial"/>
          <w:sz w:val="20"/>
        </w:rPr>
        <w:t>during</w:t>
      </w:r>
      <w:r w:rsidRPr="0033465A">
        <w:rPr>
          <w:rFonts w:ascii="Arial" w:hAnsi="Arial" w:cs="Arial"/>
          <w:sz w:val="20"/>
        </w:rPr>
        <w:t xml:space="preserve"> </w:t>
      </w:r>
      <w:r w:rsidRPr="00C86BC1">
        <w:rPr>
          <w:rFonts w:ascii="Arial" w:hAnsi="Arial" w:cs="Arial"/>
          <w:sz w:val="20"/>
        </w:rPr>
        <w:t>normal</w:t>
      </w:r>
      <w:r w:rsidRPr="0033465A">
        <w:rPr>
          <w:rFonts w:ascii="Arial" w:hAnsi="Arial" w:cs="Arial"/>
          <w:sz w:val="20"/>
        </w:rPr>
        <w:t xml:space="preserve"> </w:t>
      </w:r>
      <w:r w:rsidRPr="00C86BC1">
        <w:rPr>
          <w:rFonts w:ascii="Arial" w:hAnsi="Arial" w:cs="Arial"/>
          <w:sz w:val="20"/>
        </w:rPr>
        <w:t>operation,</w:t>
      </w:r>
      <w:r w:rsidRPr="0033465A">
        <w:rPr>
          <w:rFonts w:ascii="Arial" w:hAnsi="Arial" w:cs="Arial"/>
          <w:sz w:val="20"/>
        </w:rPr>
        <w:t xml:space="preserve"> </w:t>
      </w:r>
      <w:r w:rsidRPr="00C86BC1">
        <w:rPr>
          <w:rFonts w:ascii="Arial" w:hAnsi="Arial" w:cs="Arial"/>
          <w:sz w:val="20"/>
        </w:rPr>
        <w:t>ground</w:t>
      </w:r>
      <w:r w:rsidRPr="0033465A">
        <w:rPr>
          <w:rFonts w:ascii="Arial" w:hAnsi="Arial" w:cs="Arial"/>
          <w:sz w:val="20"/>
        </w:rPr>
        <w:t xml:space="preserve"> </w:t>
      </w:r>
      <w:r w:rsidRPr="00C86BC1">
        <w:rPr>
          <w:rFonts w:ascii="Arial" w:hAnsi="Arial" w:cs="Arial"/>
          <w:sz w:val="20"/>
        </w:rPr>
        <w:t>handling</w:t>
      </w:r>
      <w:r w:rsidRPr="0033465A">
        <w:rPr>
          <w:rFonts w:ascii="Arial" w:hAnsi="Arial" w:cs="Arial"/>
          <w:sz w:val="20"/>
        </w:rPr>
        <w:t xml:space="preserve"> </w:t>
      </w:r>
      <w:r w:rsidRPr="00C86BC1">
        <w:rPr>
          <w:rFonts w:ascii="Arial" w:hAnsi="Arial" w:cs="Arial"/>
          <w:sz w:val="20"/>
        </w:rPr>
        <w:t>or</w:t>
      </w:r>
      <w:r w:rsidRPr="0033465A">
        <w:rPr>
          <w:rFonts w:ascii="Arial" w:hAnsi="Arial" w:cs="Arial"/>
          <w:sz w:val="20"/>
        </w:rPr>
        <w:t xml:space="preserve"> </w:t>
      </w:r>
      <w:r w:rsidRPr="00C86BC1">
        <w:rPr>
          <w:rFonts w:ascii="Arial" w:hAnsi="Arial" w:cs="Arial"/>
          <w:sz w:val="20"/>
        </w:rPr>
        <w:t>transport.</w:t>
      </w:r>
    </w:p>
    <w:p w14:paraId="45ABF5FC" w14:textId="77777777" w:rsidR="00C86BC1" w:rsidRPr="00C86BC1" w:rsidRDefault="00C86BC1" w:rsidP="005B7755">
      <w:pPr>
        <w:pStyle w:val="ListParagraph"/>
        <w:numPr>
          <w:ilvl w:val="0"/>
          <w:numId w:val="385"/>
        </w:numPr>
        <w:tabs>
          <w:tab w:val="left" w:pos="707"/>
        </w:tabs>
        <w:spacing w:before="117" w:line="276" w:lineRule="auto"/>
        <w:ind w:right="26"/>
        <w:jc w:val="both"/>
        <w:rPr>
          <w:rFonts w:ascii="Arial" w:hAnsi="Arial" w:cs="Arial"/>
          <w:sz w:val="20"/>
        </w:rPr>
      </w:pPr>
      <w:r w:rsidRPr="00C86BC1">
        <w:rPr>
          <w:rFonts w:ascii="Arial" w:hAnsi="Arial" w:cs="Arial"/>
          <w:sz w:val="20"/>
        </w:rPr>
        <w:t>Rigid</w:t>
      </w:r>
      <w:r w:rsidRPr="0033465A">
        <w:rPr>
          <w:rFonts w:ascii="Arial" w:hAnsi="Arial" w:cs="Arial"/>
          <w:sz w:val="20"/>
        </w:rPr>
        <w:t xml:space="preserve"> </w:t>
      </w:r>
      <w:r w:rsidRPr="00C86BC1">
        <w:rPr>
          <w:rFonts w:ascii="Arial" w:hAnsi="Arial" w:cs="Arial"/>
          <w:sz w:val="20"/>
        </w:rPr>
        <w:t>extensions</w:t>
      </w:r>
      <w:r w:rsidRPr="0033465A">
        <w:rPr>
          <w:rFonts w:ascii="Arial" w:hAnsi="Arial" w:cs="Arial"/>
          <w:sz w:val="20"/>
        </w:rPr>
        <w:t xml:space="preserve"> </w:t>
      </w:r>
      <w:r w:rsidRPr="00C86BC1">
        <w:rPr>
          <w:rFonts w:ascii="Arial" w:hAnsi="Arial" w:cs="Arial"/>
          <w:sz w:val="20"/>
        </w:rPr>
        <w:t>must not</w:t>
      </w:r>
      <w:r w:rsidRPr="0033465A">
        <w:rPr>
          <w:rFonts w:ascii="Arial" w:hAnsi="Arial" w:cs="Arial"/>
          <w:sz w:val="20"/>
        </w:rPr>
        <w:t xml:space="preserve"> </w:t>
      </w:r>
      <w:r w:rsidRPr="00C86BC1">
        <w:rPr>
          <w:rFonts w:ascii="Arial" w:hAnsi="Arial" w:cs="Arial"/>
          <w:sz w:val="20"/>
        </w:rPr>
        <w:t>be fitted</w:t>
      </w:r>
      <w:r w:rsidRPr="0033465A">
        <w:rPr>
          <w:rFonts w:ascii="Arial" w:hAnsi="Arial" w:cs="Arial"/>
          <w:sz w:val="20"/>
        </w:rPr>
        <w:t xml:space="preserve"> </w:t>
      </w:r>
      <w:r w:rsidRPr="00C86BC1">
        <w:rPr>
          <w:rFonts w:ascii="Arial" w:hAnsi="Arial" w:cs="Arial"/>
          <w:sz w:val="20"/>
        </w:rPr>
        <w:t>directly</w:t>
      </w:r>
      <w:r w:rsidRPr="0033465A">
        <w:rPr>
          <w:rFonts w:ascii="Arial" w:hAnsi="Arial" w:cs="Arial"/>
          <w:sz w:val="20"/>
        </w:rPr>
        <w:t xml:space="preserve"> </w:t>
      </w:r>
      <w:r w:rsidRPr="00C86BC1">
        <w:rPr>
          <w:rFonts w:ascii="Arial" w:hAnsi="Arial" w:cs="Arial"/>
          <w:sz w:val="20"/>
        </w:rPr>
        <w:t>to fuel</w:t>
      </w:r>
      <w:r w:rsidRPr="0033465A">
        <w:rPr>
          <w:rFonts w:ascii="Arial" w:hAnsi="Arial" w:cs="Arial"/>
          <w:sz w:val="20"/>
        </w:rPr>
        <w:t xml:space="preserve"> </w:t>
      </w:r>
      <w:r w:rsidRPr="00C86BC1">
        <w:rPr>
          <w:rFonts w:ascii="Arial" w:hAnsi="Arial" w:cs="Arial"/>
          <w:sz w:val="20"/>
        </w:rPr>
        <w:t>cell</w:t>
      </w:r>
      <w:r w:rsidRPr="0033465A">
        <w:rPr>
          <w:rFonts w:ascii="Arial" w:hAnsi="Arial" w:cs="Arial"/>
          <w:sz w:val="20"/>
        </w:rPr>
        <w:t xml:space="preserve"> </w:t>
      </w:r>
      <w:r w:rsidRPr="00C86BC1">
        <w:rPr>
          <w:rFonts w:ascii="Arial" w:hAnsi="Arial" w:cs="Arial"/>
          <w:sz w:val="20"/>
        </w:rPr>
        <w:t>valves</w:t>
      </w:r>
      <w:r w:rsidRPr="0033465A">
        <w:rPr>
          <w:rFonts w:ascii="Arial" w:hAnsi="Arial" w:cs="Arial"/>
          <w:sz w:val="20"/>
        </w:rPr>
        <w:t xml:space="preserve"> </w:t>
      </w:r>
      <w:r w:rsidRPr="00C86BC1">
        <w:rPr>
          <w:rFonts w:ascii="Arial" w:hAnsi="Arial" w:cs="Arial"/>
          <w:sz w:val="20"/>
        </w:rPr>
        <w:t>or</w:t>
      </w:r>
      <w:r w:rsidRPr="0033465A">
        <w:rPr>
          <w:rFonts w:ascii="Arial" w:hAnsi="Arial" w:cs="Arial"/>
          <w:sz w:val="20"/>
        </w:rPr>
        <w:t xml:space="preserve"> </w:t>
      </w:r>
      <w:r w:rsidRPr="00C86BC1">
        <w:rPr>
          <w:rFonts w:ascii="Arial" w:hAnsi="Arial" w:cs="Arial"/>
          <w:sz w:val="20"/>
        </w:rPr>
        <w:t>fittings</w:t>
      </w:r>
      <w:r w:rsidRPr="0033465A">
        <w:rPr>
          <w:rFonts w:ascii="Arial" w:hAnsi="Arial" w:cs="Arial"/>
          <w:sz w:val="20"/>
        </w:rPr>
        <w:t xml:space="preserve"> </w:t>
      </w:r>
      <w:r w:rsidRPr="00C86BC1">
        <w:rPr>
          <w:rFonts w:ascii="Arial" w:hAnsi="Arial" w:cs="Arial"/>
          <w:sz w:val="20"/>
        </w:rPr>
        <w:t>due</w:t>
      </w:r>
      <w:r w:rsidRPr="0033465A">
        <w:rPr>
          <w:rFonts w:ascii="Arial" w:hAnsi="Arial" w:cs="Arial"/>
          <w:sz w:val="20"/>
        </w:rPr>
        <w:t xml:space="preserve"> </w:t>
      </w:r>
      <w:r w:rsidRPr="00C86BC1">
        <w:rPr>
          <w:rFonts w:ascii="Arial" w:hAnsi="Arial" w:cs="Arial"/>
          <w:sz w:val="20"/>
        </w:rPr>
        <w:t>to</w:t>
      </w:r>
      <w:r w:rsidRPr="0033465A">
        <w:rPr>
          <w:rFonts w:ascii="Arial" w:hAnsi="Arial" w:cs="Arial"/>
          <w:sz w:val="20"/>
        </w:rPr>
        <w:t xml:space="preserve"> </w:t>
      </w:r>
      <w:r w:rsidRPr="00C86BC1">
        <w:rPr>
          <w:rFonts w:ascii="Arial" w:hAnsi="Arial" w:cs="Arial"/>
          <w:sz w:val="20"/>
        </w:rPr>
        <w:t>the likelihood</w:t>
      </w:r>
      <w:r w:rsidRPr="0033465A">
        <w:rPr>
          <w:rFonts w:ascii="Arial" w:hAnsi="Arial" w:cs="Arial"/>
          <w:sz w:val="20"/>
        </w:rPr>
        <w:t xml:space="preserve"> </w:t>
      </w:r>
      <w:r w:rsidRPr="00C86BC1">
        <w:rPr>
          <w:rFonts w:ascii="Arial" w:hAnsi="Arial" w:cs="Arial"/>
          <w:sz w:val="20"/>
        </w:rPr>
        <w:t>of</w:t>
      </w:r>
      <w:r w:rsidRPr="0033465A">
        <w:rPr>
          <w:rFonts w:ascii="Arial" w:hAnsi="Arial" w:cs="Arial"/>
          <w:sz w:val="20"/>
        </w:rPr>
        <w:t xml:space="preserve"> </w:t>
      </w:r>
      <w:r w:rsidRPr="00C86BC1">
        <w:rPr>
          <w:rFonts w:ascii="Arial" w:hAnsi="Arial" w:cs="Arial"/>
          <w:sz w:val="20"/>
        </w:rPr>
        <w:t>overload</w:t>
      </w:r>
      <w:r w:rsidRPr="0033465A">
        <w:rPr>
          <w:rFonts w:ascii="Arial" w:hAnsi="Arial" w:cs="Arial"/>
          <w:sz w:val="20"/>
        </w:rPr>
        <w:t xml:space="preserve"> </w:t>
      </w:r>
      <w:r w:rsidRPr="00C86BC1">
        <w:rPr>
          <w:rFonts w:ascii="Arial" w:hAnsi="Arial" w:cs="Arial"/>
          <w:sz w:val="20"/>
        </w:rPr>
        <w:t>or fracture</w:t>
      </w:r>
      <w:r w:rsidRPr="0033465A">
        <w:rPr>
          <w:rFonts w:ascii="Arial" w:hAnsi="Arial" w:cs="Arial"/>
          <w:sz w:val="20"/>
        </w:rPr>
        <w:t xml:space="preserve"> </w:t>
      </w:r>
      <w:r w:rsidRPr="00C86BC1">
        <w:rPr>
          <w:rFonts w:ascii="Arial" w:hAnsi="Arial" w:cs="Arial"/>
          <w:sz w:val="20"/>
        </w:rPr>
        <w:t>occurring</w:t>
      </w:r>
      <w:r w:rsidRPr="0033465A">
        <w:rPr>
          <w:rFonts w:ascii="Arial" w:hAnsi="Arial" w:cs="Arial"/>
          <w:sz w:val="20"/>
        </w:rPr>
        <w:t xml:space="preserve"> </w:t>
      </w:r>
      <w:r w:rsidRPr="00C86BC1">
        <w:rPr>
          <w:rFonts w:ascii="Arial" w:hAnsi="Arial" w:cs="Arial"/>
          <w:sz w:val="20"/>
        </w:rPr>
        <w:t>in the case</w:t>
      </w:r>
      <w:r w:rsidRPr="0033465A">
        <w:rPr>
          <w:rFonts w:ascii="Arial" w:hAnsi="Arial" w:cs="Arial"/>
          <w:sz w:val="20"/>
        </w:rPr>
        <w:t xml:space="preserve"> </w:t>
      </w:r>
      <w:r w:rsidRPr="00C86BC1">
        <w:rPr>
          <w:rFonts w:ascii="Arial" w:hAnsi="Arial" w:cs="Arial"/>
          <w:sz w:val="20"/>
        </w:rPr>
        <w:t>of a hard</w:t>
      </w:r>
      <w:r w:rsidRPr="0033465A">
        <w:rPr>
          <w:rFonts w:ascii="Arial" w:hAnsi="Arial" w:cs="Arial"/>
          <w:sz w:val="20"/>
        </w:rPr>
        <w:t xml:space="preserve"> </w:t>
      </w:r>
      <w:r w:rsidRPr="00C86BC1">
        <w:rPr>
          <w:rFonts w:ascii="Arial" w:hAnsi="Arial" w:cs="Arial"/>
          <w:sz w:val="20"/>
        </w:rPr>
        <w:t>or</w:t>
      </w:r>
      <w:r w:rsidRPr="0033465A">
        <w:rPr>
          <w:rFonts w:ascii="Arial" w:hAnsi="Arial" w:cs="Arial"/>
          <w:sz w:val="20"/>
        </w:rPr>
        <w:t xml:space="preserve"> </w:t>
      </w:r>
      <w:r w:rsidRPr="00C86BC1">
        <w:rPr>
          <w:rFonts w:ascii="Arial" w:hAnsi="Arial" w:cs="Arial"/>
          <w:sz w:val="20"/>
        </w:rPr>
        <w:t>fast landing.</w:t>
      </w:r>
      <w:r w:rsidRPr="0033465A">
        <w:rPr>
          <w:rFonts w:ascii="Arial" w:hAnsi="Arial" w:cs="Arial"/>
          <w:sz w:val="20"/>
        </w:rPr>
        <w:t xml:space="preserve"> </w:t>
      </w:r>
      <w:r w:rsidRPr="00C86BC1">
        <w:rPr>
          <w:rFonts w:ascii="Arial" w:hAnsi="Arial" w:cs="Arial"/>
          <w:sz w:val="20"/>
        </w:rPr>
        <w:t>(See</w:t>
      </w:r>
      <w:r w:rsidRPr="0033465A">
        <w:rPr>
          <w:rFonts w:ascii="Arial" w:hAnsi="Arial" w:cs="Arial"/>
          <w:sz w:val="20"/>
        </w:rPr>
        <w:t xml:space="preserve"> </w:t>
      </w:r>
      <w:r w:rsidRPr="00C86BC1">
        <w:rPr>
          <w:rFonts w:ascii="Arial" w:hAnsi="Arial" w:cs="Arial"/>
          <w:sz w:val="20"/>
        </w:rPr>
        <w:t>also</w:t>
      </w:r>
      <w:r w:rsidRPr="0033465A">
        <w:rPr>
          <w:rFonts w:ascii="Arial" w:hAnsi="Arial" w:cs="Arial"/>
          <w:sz w:val="20"/>
        </w:rPr>
        <w:t xml:space="preserve"> </w:t>
      </w:r>
      <w:r w:rsidRPr="00C86BC1">
        <w:rPr>
          <w:rFonts w:ascii="Arial" w:hAnsi="Arial" w:cs="Arial"/>
          <w:sz w:val="20"/>
        </w:rPr>
        <w:t>CS 31HB.46)</w:t>
      </w:r>
    </w:p>
    <w:p w14:paraId="71089099" w14:textId="77777777" w:rsidR="00DE1B9E" w:rsidRPr="00DE1B9E" w:rsidRDefault="00DE1B9E" w:rsidP="00DE1B9E">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313" w:name="AMC_31HB.45(a)_Fuel_cells"/>
      <w:bookmarkStart w:id="1314" w:name="_bookmark544"/>
      <w:bookmarkStart w:id="1315" w:name="_Toc153137707"/>
      <w:bookmarkEnd w:id="1313"/>
      <w:bookmarkEnd w:id="1314"/>
      <w:r w:rsidRPr="00DE1B9E">
        <w:rPr>
          <w:rFonts w:ascii="Arial" w:eastAsia="Times New Roman" w:hAnsi="Arial" w:cs="Times New Roman"/>
          <w:b/>
          <w:color w:val="FFFFFF"/>
          <w:sz w:val="24"/>
        </w:rPr>
        <w:t>AMC 31HB.45(a) Fuel cells</w:t>
      </w:r>
      <w:bookmarkEnd w:id="1315"/>
    </w:p>
    <w:p w14:paraId="70A0256E" w14:textId="77777777" w:rsidR="00DE1B9E" w:rsidRPr="00DE1B9E" w:rsidRDefault="00DE1B9E" w:rsidP="00DE1B9E">
      <w:pPr>
        <w:pStyle w:val="BodyText"/>
        <w:spacing w:before="117" w:line="276" w:lineRule="auto"/>
        <w:ind w:right="26"/>
        <w:jc w:val="both"/>
        <w:rPr>
          <w:rFonts w:ascii="Arial" w:hAnsi="Arial" w:cs="Arial"/>
          <w:sz w:val="20"/>
        </w:rPr>
      </w:pPr>
      <w:r w:rsidRPr="00DE1B9E">
        <w:rPr>
          <w:rFonts w:ascii="Arial" w:hAnsi="Arial" w:cs="Arial"/>
          <w:sz w:val="20"/>
        </w:rPr>
        <w:t>The fuel cell design and manufacture should be verified by a test programme agreed by the Agency. This test programme should consider burst testing, fatigue testing, impact testing, drop testing, fire testing, macro examination of the material of the cell cylinder and welded joints (if applicable) and material variability.</w:t>
      </w:r>
    </w:p>
    <w:p w14:paraId="3EEC5A47" w14:textId="477F1461" w:rsidR="006F0D13" w:rsidRPr="002E3FC6" w:rsidRDefault="00DE1B9E" w:rsidP="002E3FC6">
      <w:pPr>
        <w:pStyle w:val="BodyText"/>
        <w:spacing w:before="117" w:line="276" w:lineRule="auto"/>
        <w:ind w:right="26"/>
        <w:jc w:val="both"/>
        <w:rPr>
          <w:rFonts w:ascii="Arial" w:hAnsi="Arial" w:cs="Arial"/>
          <w:i/>
          <w:sz w:val="20"/>
        </w:rPr>
      </w:pPr>
      <w:r w:rsidRPr="00DE1B9E">
        <w:rPr>
          <w:rFonts w:ascii="Arial" w:hAnsi="Arial" w:cs="Arial"/>
          <w:i/>
          <w:sz w:val="20"/>
        </w:rPr>
        <w:t>Note: Road, ship or aircraft transport of fuel cells and their storage is an inherent characteristic of Hot Air Balloon operation. In order to comply with Transport and Storage legislation it is recommended to consider in parallel to airworthiness issues the compliance with such legislation applicable to pressurised gas containers (e.g. Accord européen relatif au transport international des marchandises Dangereuses par Route (ADR)).</w:t>
      </w:r>
    </w:p>
    <w:p w14:paraId="0C503E2C" w14:textId="77777777" w:rsidR="006F0D13" w:rsidRPr="006F0D13" w:rsidRDefault="006F0D13" w:rsidP="006F0D13">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316" w:name="AMC_31HB.45(c)_Fuel_cells"/>
      <w:bookmarkStart w:id="1317" w:name="_bookmark545"/>
      <w:bookmarkStart w:id="1318" w:name="_Toc153137708"/>
      <w:bookmarkEnd w:id="1316"/>
      <w:bookmarkEnd w:id="1317"/>
      <w:r w:rsidRPr="006F0D13">
        <w:rPr>
          <w:rFonts w:ascii="Arial" w:eastAsia="Times New Roman" w:hAnsi="Arial" w:cs="Times New Roman"/>
          <w:b/>
          <w:color w:val="FFFFFF"/>
          <w:sz w:val="24"/>
        </w:rPr>
        <w:t>AMC 31HB.45(c) Fuel cells</w:t>
      </w:r>
      <w:bookmarkEnd w:id="1318"/>
    </w:p>
    <w:p w14:paraId="7D6DD26E" w14:textId="77777777" w:rsidR="006F0D13" w:rsidRPr="006F0D13" w:rsidRDefault="006F0D13" w:rsidP="006F0D13">
      <w:pPr>
        <w:pStyle w:val="BodyText"/>
        <w:spacing w:before="117" w:line="276" w:lineRule="auto"/>
        <w:ind w:right="26"/>
        <w:jc w:val="both"/>
        <w:rPr>
          <w:rFonts w:ascii="Arial" w:hAnsi="Arial" w:cs="Arial"/>
          <w:sz w:val="20"/>
        </w:rPr>
      </w:pPr>
      <w:r w:rsidRPr="006F0D13">
        <w:rPr>
          <w:rFonts w:ascii="Arial" w:hAnsi="Arial" w:cs="Arial"/>
          <w:sz w:val="20"/>
        </w:rPr>
        <w:t>The restraint of a full fuel cell (e.g. straps) should not detach under typical high g-loads experienced during a hard or fast landing.</w:t>
      </w:r>
    </w:p>
    <w:p w14:paraId="792ECBDB" w14:textId="77777777" w:rsidR="006F0D13" w:rsidRPr="006F0D13" w:rsidRDefault="006F0D13" w:rsidP="006F0D13">
      <w:pPr>
        <w:pStyle w:val="BodyText"/>
        <w:spacing w:before="117" w:line="276" w:lineRule="auto"/>
        <w:ind w:right="26"/>
        <w:jc w:val="both"/>
        <w:rPr>
          <w:rFonts w:ascii="Arial" w:hAnsi="Arial" w:cs="Arial"/>
          <w:sz w:val="20"/>
        </w:rPr>
      </w:pPr>
      <w:r w:rsidRPr="006F0D13">
        <w:rPr>
          <w:rFonts w:ascii="Arial" w:hAnsi="Arial" w:cs="Arial"/>
          <w:sz w:val="20"/>
        </w:rPr>
        <w:lastRenderedPageBreak/>
        <w:t>In case of fuel cells supported at the lower end by the basket floor or other structure, the straps and buckle restraining a fuel cell shall be designed as applicable to a horizontal limit load of 6.0g and upward limit load of 2.0g. The factor of safety of 1.50 is applicable to these fuel cell straps.</w:t>
      </w:r>
    </w:p>
    <w:p w14:paraId="134F812E" w14:textId="77777777" w:rsidR="006F0D13" w:rsidRPr="006F0D13" w:rsidRDefault="006F0D13" w:rsidP="006F0D13">
      <w:pPr>
        <w:pStyle w:val="BodyText"/>
        <w:spacing w:before="117" w:line="276" w:lineRule="auto"/>
        <w:ind w:right="26"/>
        <w:jc w:val="both"/>
        <w:rPr>
          <w:rFonts w:ascii="Arial" w:hAnsi="Arial" w:cs="Arial"/>
          <w:sz w:val="20"/>
        </w:rPr>
      </w:pPr>
      <w:r w:rsidRPr="006F0D13">
        <w:rPr>
          <w:rFonts w:ascii="Arial" w:hAnsi="Arial" w:cs="Arial"/>
          <w:sz w:val="20"/>
        </w:rPr>
        <w:t>The strap and buckle design should be shown to maintain sufficient pre-tensioned after a flight to withstand the upward limit load of 2.0g. The handling of the strap and buckle shall allow proper pre- tension, reliable locking, but also easy release e.g. for emergency fuel cell removal. Industry standards like EN 12195-2, ASTM D3950 or equivalent using the appropriate strap type and grade are considered appropriate standards.</w:t>
      </w:r>
    </w:p>
    <w:p w14:paraId="6C1B757C" w14:textId="77777777" w:rsidR="006F0D13" w:rsidRPr="006F0D13" w:rsidRDefault="006F0D13" w:rsidP="006F0D13">
      <w:pPr>
        <w:pStyle w:val="BodyText"/>
        <w:spacing w:before="117" w:line="276" w:lineRule="auto"/>
        <w:ind w:right="26"/>
        <w:jc w:val="both"/>
        <w:rPr>
          <w:rFonts w:ascii="Arial" w:hAnsi="Arial" w:cs="Arial"/>
          <w:sz w:val="20"/>
        </w:rPr>
      </w:pPr>
      <w:r w:rsidRPr="006F0D13">
        <w:rPr>
          <w:rFonts w:ascii="Arial" w:hAnsi="Arial" w:cs="Arial"/>
          <w:sz w:val="20"/>
        </w:rPr>
        <w:t>Consideration of applied loads on fuel cells should include handling and transport cases.</w:t>
      </w:r>
    </w:p>
    <w:p w14:paraId="14D1A747" w14:textId="77777777" w:rsidR="00DD1C4B" w:rsidRPr="00DD1C4B" w:rsidRDefault="00DD1C4B" w:rsidP="00DD1C4B">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319" w:name="AMC_31HB.45(d)(1)_Fuel_cells"/>
      <w:bookmarkStart w:id="1320" w:name="_bookmark546"/>
      <w:bookmarkStart w:id="1321" w:name="_Toc153137709"/>
      <w:bookmarkEnd w:id="1319"/>
      <w:bookmarkEnd w:id="1320"/>
      <w:r w:rsidRPr="00DD1C4B">
        <w:rPr>
          <w:rFonts w:ascii="Arial" w:eastAsia="Times New Roman" w:hAnsi="Arial" w:cs="Times New Roman"/>
          <w:b/>
          <w:color w:val="FFFFFF"/>
          <w:sz w:val="24"/>
        </w:rPr>
        <w:t>AMC 31HB.45(d)(1) Fuel cells</w:t>
      </w:r>
      <w:bookmarkEnd w:id="1321"/>
    </w:p>
    <w:p w14:paraId="4A0B062A" w14:textId="77777777" w:rsidR="00DD1C4B" w:rsidRPr="00DD1C4B" w:rsidRDefault="00DD1C4B" w:rsidP="00DD1C4B">
      <w:pPr>
        <w:pStyle w:val="BodyText"/>
        <w:spacing w:before="117" w:line="276" w:lineRule="auto"/>
        <w:ind w:right="26"/>
        <w:jc w:val="both"/>
        <w:rPr>
          <w:rFonts w:ascii="Arial" w:hAnsi="Arial" w:cs="Arial"/>
          <w:sz w:val="20"/>
        </w:rPr>
      </w:pPr>
      <w:r w:rsidRPr="00DD1C4B">
        <w:rPr>
          <w:rFonts w:ascii="Arial" w:hAnsi="Arial" w:cs="Arial"/>
          <w:sz w:val="20"/>
        </w:rPr>
        <w:t>The shut-off valve should be free from restrictors (excess flow limiters or overfill protection devices) that could fail in the closed position.</w:t>
      </w:r>
    </w:p>
    <w:p w14:paraId="23F85C04" w14:textId="77777777" w:rsidR="001A2BEB" w:rsidRPr="001A2BEB" w:rsidRDefault="001A2BEB" w:rsidP="001A2BEB">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322" w:name="AMC_31HB.45(d)(5)_Fuel_cells"/>
      <w:bookmarkStart w:id="1323" w:name="_bookmark547"/>
      <w:bookmarkStart w:id="1324" w:name="_Toc153137710"/>
      <w:bookmarkEnd w:id="1322"/>
      <w:bookmarkEnd w:id="1323"/>
      <w:r w:rsidRPr="001A2BEB">
        <w:rPr>
          <w:rFonts w:ascii="Arial" w:eastAsia="Times New Roman" w:hAnsi="Arial" w:cs="Times New Roman"/>
          <w:b/>
          <w:color w:val="FFFFFF"/>
          <w:sz w:val="24"/>
        </w:rPr>
        <w:t>AMC 31HB.45(d)(5) Fuel cells</w:t>
      </w:r>
      <w:bookmarkEnd w:id="1324"/>
    </w:p>
    <w:p w14:paraId="09EEC85E" w14:textId="77777777" w:rsidR="001A2BEB" w:rsidRPr="001A2BEB" w:rsidRDefault="001A2BEB" w:rsidP="001A2BEB">
      <w:pPr>
        <w:pStyle w:val="BodyText"/>
        <w:spacing w:before="117" w:line="276" w:lineRule="auto"/>
        <w:ind w:right="26"/>
        <w:jc w:val="both"/>
        <w:rPr>
          <w:rFonts w:ascii="Arial" w:hAnsi="Arial" w:cs="Arial"/>
          <w:sz w:val="20"/>
        </w:rPr>
      </w:pPr>
      <w:r w:rsidRPr="001A2BEB">
        <w:rPr>
          <w:rFonts w:ascii="Arial" w:hAnsi="Arial" w:cs="Arial"/>
          <w:sz w:val="20"/>
        </w:rPr>
        <w:t>The fuel cell data plate should include the following information:</w:t>
      </w:r>
    </w:p>
    <w:p w14:paraId="2889797E" w14:textId="77777777" w:rsidR="001A2BEB" w:rsidRDefault="001A2BEB" w:rsidP="005B7755">
      <w:pPr>
        <w:pStyle w:val="ListParagraph"/>
        <w:numPr>
          <w:ilvl w:val="0"/>
          <w:numId w:val="383"/>
        </w:numPr>
        <w:tabs>
          <w:tab w:val="left" w:pos="707"/>
        </w:tabs>
        <w:spacing w:before="121"/>
        <w:ind w:left="704"/>
        <w:rPr>
          <w:rFonts w:ascii="Arial" w:hAnsi="Arial" w:cs="Arial"/>
        </w:rPr>
      </w:pPr>
      <w:r>
        <w:rPr>
          <w:rFonts w:ascii="Arial" w:hAnsi="Arial" w:cs="Arial"/>
        </w:rPr>
        <w:t>the</w:t>
      </w:r>
      <w:r>
        <w:rPr>
          <w:rFonts w:ascii="Arial" w:hAnsi="Arial" w:cs="Arial"/>
          <w:spacing w:val="-4"/>
        </w:rPr>
        <w:t xml:space="preserve"> </w:t>
      </w:r>
      <w:r>
        <w:rPr>
          <w:rFonts w:ascii="Arial" w:hAnsi="Arial" w:cs="Arial"/>
        </w:rPr>
        <w:t>manufacturers</w:t>
      </w:r>
      <w:r>
        <w:rPr>
          <w:rFonts w:ascii="Arial" w:hAnsi="Arial" w:cs="Arial"/>
          <w:spacing w:val="-4"/>
        </w:rPr>
        <w:t xml:space="preserve"> </w:t>
      </w:r>
      <w:r>
        <w:rPr>
          <w:rFonts w:ascii="Arial" w:hAnsi="Arial" w:cs="Arial"/>
        </w:rPr>
        <w:t>name</w:t>
      </w:r>
      <w:r>
        <w:rPr>
          <w:rFonts w:ascii="Arial" w:hAnsi="Arial" w:cs="Arial"/>
          <w:spacing w:val="-4"/>
        </w:rPr>
        <w:t xml:space="preserve"> </w:t>
      </w:r>
      <w:r>
        <w:rPr>
          <w:rFonts w:ascii="Arial" w:hAnsi="Arial" w:cs="Arial"/>
        </w:rPr>
        <w:t>or</w:t>
      </w:r>
      <w:r>
        <w:rPr>
          <w:rFonts w:ascii="Arial" w:hAnsi="Arial" w:cs="Arial"/>
          <w:spacing w:val="-1"/>
        </w:rPr>
        <w:t xml:space="preserve"> </w:t>
      </w:r>
      <w:r>
        <w:rPr>
          <w:rFonts w:ascii="Arial" w:hAnsi="Arial" w:cs="Arial"/>
        </w:rPr>
        <w:t>mark;</w:t>
      </w:r>
    </w:p>
    <w:p w14:paraId="3D06AB38" w14:textId="77777777" w:rsidR="001A2BEB" w:rsidRDefault="001A2BEB" w:rsidP="005B7755">
      <w:pPr>
        <w:pStyle w:val="ListParagraph"/>
        <w:numPr>
          <w:ilvl w:val="0"/>
          <w:numId w:val="383"/>
        </w:numPr>
        <w:tabs>
          <w:tab w:val="left" w:pos="707"/>
        </w:tabs>
        <w:ind w:left="704"/>
        <w:rPr>
          <w:rFonts w:ascii="Arial" w:hAnsi="Arial" w:cs="Arial"/>
        </w:rPr>
      </w:pPr>
      <w:r>
        <w:rPr>
          <w:rFonts w:ascii="Arial" w:hAnsi="Arial" w:cs="Arial"/>
        </w:rPr>
        <w:t>the</w:t>
      </w:r>
      <w:r>
        <w:rPr>
          <w:rFonts w:ascii="Arial" w:hAnsi="Arial" w:cs="Arial"/>
          <w:spacing w:val="-2"/>
        </w:rPr>
        <w:t xml:space="preserve"> </w:t>
      </w:r>
      <w:r>
        <w:rPr>
          <w:rFonts w:ascii="Arial" w:hAnsi="Arial" w:cs="Arial"/>
        </w:rPr>
        <w:t>type design</w:t>
      </w:r>
      <w:r>
        <w:rPr>
          <w:rFonts w:ascii="Arial" w:hAnsi="Arial" w:cs="Arial"/>
          <w:spacing w:val="-2"/>
        </w:rPr>
        <w:t xml:space="preserve"> </w:t>
      </w:r>
      <w:r>
        <w:rPr>
          <w:rFonts w:ascii="Arial" w:hAnsi="Arial" w:cs="Arial"/>
        </w:rPr>
        <w:t>approval</w:t>
      </w:r>
      <w:r>
        <w:rPr>
          <w:rFonts w:ascii="Arial" w:hAnsi="Arial" w:cs="Arial"/>
          <w:spacing w:val="-1"/>
        </w:rPr>
        <w:t xml:space="preserve"> </w:t>
      </w:r>
      <w:r>
        <w:rPr>
          <w:rFonts w:ascii="Arial" w:hAnsi="Arial" w:cs="Arial"/>
        </w:rPr>
        <w:t>number</w:t>
      </w:r>
      <w:r>
        <w:rPr>
          <w:rFonts w:ascii="Arial" w:hAnsi="Arial" w:cs="Arial"/>
          <w:spacing w:val="-1"/>
        </w:rPr>
        <w:t xml:space="preserve"> </w:t>
      </w:r>
      <w:r>
        <w:rPr>
          <w:rFonts w:ascii="Arial" w:hAnsi="Arial" w:cs="Arial"/>
        </w:rPr>
        <w:t>(if</w:t>
      </w:r>
      <w:r>
        <w:rPr>
          <w:rFonts w:ascii="Arial" w:hAnsi="Arial" w:cs="Arial"/>
          <w:spacing w:val="-4"/>
        </w:rPr>
        <w:t xml:space="preserve"> </w:t>
      </w:r>
      <w:r>
        <w:rPr>
          <w:rFonts w:ascii="Arial" w:hAnsi="Arial" w:cs="Arial"/>
        </w:rPr>
        <w:t>applicable);</w:t>
      </w:r>
    </w:p>
    <w:p w14:paraId="43E35205" w14:textId="77777777" w:rsidR="001A2BEB" w:rsidRDefault="001A2BEB" w:rsidP="005B7755">
      <w:pPr>
        <w:pStyle w:val="ListParagraph"/>
        <w:numPr>
          <w:ilvl w:val="0"/>
          <w:numId w:val="383"/>
        </w:numPr>
        <w:tabs>
          <w:tab w:val="left" w:pos="707"/>
        </w:tabs>
        <w:spacing w:before="121"/>
        <w:ind w:left="704"/>
        <w:rPr>
          <w:rFonts w:ascii="Arial" w:hAnsi="Arial" w:cs="Arial"/>
        </w:rPr>
      </w:pPr>
      <w:r>
        <w:rPr>
          <w:rFonts w:ascii="Arial" w:hAnsi="Arial" w:cs="Arial"/>
        </w:rPr>
        <w:t>the</w:t>
      </w:r>
      <w:r>
        <w:rPr>
          <w:rFonts w:ascii="Arial" w:hAnsi="Arial" w:cs="Arial"/>
          <w:spacing w:val="-4"/>
        </w:rPr>
        <w:t xml:space="preserve"> </w:t>
      </w:r>
      <w:r>
        <w:rPr>
          <w:rFonts w:ascii="Arial" w:hAnsi="Arial" w:cs="Arial"/>
        </w:rPr>
        <w:t>manufacturers</w:t>
      </w:r>
      <w:r>
        <w:rPr>
          <w:rFonts w:ascii="Arial" w:hAnsi="Arial" w:cs="Arial"/>
          <w:spacing w:val="-4"/>
        </w:rPr>
        <w:t xml:space="preserve"> </w:t>
      </w:r>
      <w:r>
        <w:rPr>
          <w:rFonts w:ascii="Arial" w:hAnsi="Arial" w:cs="Arial"/>
        </w:rPr>
        <w:t>serial</w:t>
      </w:r>
      <w:r>
        <w:rPr>
          <w:rFonts w:ascii="Arial" w:hAnsi="Arial" w:cs="Arial"/>
          <w:spacing w:val="-4"/>
        </w:rPr>
        <w:t xml:space="preserve"> </w:t>
      </w:r>
      <w:r>
        <w:rPr>
          <w:rFonts w:ascii="Arial" w:hAnsi="Arial" w:cs="Arial"/>
        </w:rPr>
        <w:t>number;</w:t>
      </w:r>
    </w:p>
    <w:p w14:paraId="02CE5905" w14:textId="77777777" w:rsidR="001A2BEB" w:rsidRDefault="001A2BEB" w:rsidP="005B7755">
      <w:pPr>
        <w:pStyle w:val="ListParagraph"/>
        <w:numPr>
          <w:ilvl w:val="0"/>
          <w:numId w:val="383"/>
        </w:numPr>
        <w:tabs>
          <w:tab w:val="left" w:pos="707"/>
        </w:tabs>
        <w:spacing w:before="117"/>
        <w:ind w:left="704"/>
        <w:jc w:val="both"/>
        <w:rPr>
          <w:rFonts w:ascii="Arial" w:hAnsi="Arial" w:cs="Arial"/>
        </w:rPr>
      </w:pPr>
      <w:r>
        <w:rPr>
          <w:rFonts w:ascii="Arial" w:hAnsi="Arial" w:cs="Arial"/>
        </w:rPr>
        <w:t>the</w:t>
      </w:r>
      <w:r>
        <w:rPr>
          <w:rFonts w:ascii="Arial" w:hAnsi="Arial" w:cs="Arial"/>
          <w:spacing w:val="-7"/>
        </w:rPr>
        <w:t xml:space="preserve"> </w:t>
      </w:r>
      <w:r>
        <w:rPr>
          <w:rFonts w:ascii="Arial" w:hAnsi="Arial" w:cs="Arial"/>
        </w:rPr>
        <w:t>UN</w:t>
      </w:r>
      <w:r>
        <w:rPr>
          <w:rFonts w:ascii="Arial" w:hAnsi="Arial" w:cs="Arial"/>
          <w:spacing w:val="-8"/>
        </w:rPr>
        <w:t xml:space="preserve"> </w:t>
      </w:r>
      <w:r>
        <w:rPr>
          <w:rFonts w:ascii="Arial" w:hAnsi="Arial" w:cs="Arial"/>
        </w:rPr>
        <w:t>number</w:t>
      </w:r>
      <w:r>
        <w:rPr>
          <w:rFonts w:ascii="Arial" w:hAnsi="Arial" w:cs="Arial"/>
          <w:spacing w:val="-7"/>
        </w:rPr>
        <w:t xml:space="preserve"> </w:t>
      </w:r>
      <w:r>
        <w:rPr>
          <w:rFonts w:ascii="Arial" w:hAnsi="Arial" w:cs="Arial"/>
        </w:rPr>
        <w:t>and</w:t>
      </w:r>
      <w:r>
        <w:rPr>
          <w:rFonts w:ascii="Arial" w:hAnsi="Arial" w:cs="Arial"/>
          <w:spacing w:val="-8"/>
        </w:rPr>
        <w:t xml:space="preserve"> </w:t>
      </w:r>
      <w:r>
        <w:rPr>
          <w:rFonts w:ascii="Arial" w:hAnsi="Arial" w:cs="Arial"/>
        </w:rPr>
        <w:t>the</w:t>
      </w:r>
      <w:r>
        <w:rPr>
          <w:rFonts w:ascii="Arial" w:hAnsi="Arial" w:cs="Arial"/>
          <w:spacing w:val="-7"/>
        </w:rPr>
        <w:t xml:space="preserve"> </w:t>
      </w:r>
      <w:r>
        <w:rPr>
          <w:rFonts w:ascii="Arial" w:hAnsi="Arial" w:cs="Arial"/>
        </w:rPr>
        <w:t>proper</w:t>
      </w:r>
      <w:r>
        <w:rPr>
          <w:rFonts w:ascii="Arial" w:hAnsi="Arial" w:cs="Arial"/>
          <w:spacing w:val="-7"/>
        </w:rPr>
        <w:t xml:space="preserve"> </w:t>
      </w:r>
      <w:r>
        <w:rPr>
          <w:rFonts w:ascii="Arial" w:hAnsi="Arial" w:cs="Arial"/>
        </w:rPr>
        <w:t>name</w:t>
      </w:r>
      <w:r>
        <w:rPr>
          <w:rFonts w:ascii="Arial" w:hAnsi="Arial" w:cs="Arial"/>
          <w:spacing w:val="-9"/>
        </w:rPr>
        <w:t xml:space="preserve"> </w:t>
      </w:r>
      <w:r>
        <w:rPr>
          <w:rFonts w:ascii="Arial" w:hAnsi="Arial" w:cs="Arial"/>
        </w:rPr>
        <w:t>of</w:t>
      </w:r>
      <w:r>
        <w:rPr>
          <w:rFonts w:ascii="Arial" w:hAnsi="Arial" w:cs="Arial"/>
          <w:spacing w:val="-7"/>
        </w:rPr>
        <w:t xml:space="preserve"> </w:t>
      </w:r>
      <w:r>
        <w:rPr>
          <w:rFonts w:ascii="Arial" w:hAnsi="Arial" w:cs="Arial"/>
        </w:rPr>
        <w:t>the</w:t>
      </w:r>
      <w:r>
        <w:rPr>
          <w:rFonts w:ascii="Arial" w:hAnsi="Arial" w:cs="Arial"/>
          <w:spacing w:val="-6"/>
        </w:rPr>
        <w:t xml:space="preserve"> </w:t>
      </w:r>
      <w:r>
        <w:rPr>
          <w:rFonts w:ascii="Arial" w:hAnsi="Arial" w:cs="Arial"/>
        </w:rPr>
        <w:t>gas</w:t>
      </w:r>
      <w:r>
        <w:rPr>
          <w:rFonts w:ascii="Arial" w:hAnsi="Arial" w:cs="Arial"/>
          <w:spacing w:val="-7"/>
        </w:rPr>
        <w:t xml:space="preserve"> </w:t>
      </w:r>
      <w:r>
        <w:rPr>
          <w:rFonts w:ascii="Arial" w:hAnsi="Arial" w:cs="Arial"/>
        </w:rPr>
        <w:t>or</w:t>
      </w:r>
      <w:r>
        <w:rPr>
          <w:rFonts w:ascii="Arial" w:hAnsi="Arial" w:cs="Arial"/>
          <w:spacing w:val="-9"/>
        </w:rPr>
        <w:t xml:space="preserve"> </w:t>
      </w:r>
      <w:r>
        <w:rPr>
          <w:rFonts w:ascii="Arial" w:hAnsi="Arial" w:cs="Arial"/>
        </w:rPr>
        <w:t>mixture</w:t>
      </w:r>
      <w:r>
        <w:rPr>
          <w:rFonts w:ascii="Arial" w:hAnsi="Arial" w:cs="Arial"/>
          <w:spacing w:val="-7"/>
        </w:rPr>
        <w:t xml:space="preserve"> </w:t>
      </w:r>
      <w:r>
        <w:rPr>
          <w:rFonts w:ascii="Arial" w:hAnsi="Arial" w:cs="Arial"/>
        </w:rPr>
        <w:t>of</w:t>
      </w:r>
      <w:r>
        <w:rPr>
          <w:rFonts w:ascii="Arial" w:hAnsi="Arial" w:cs="Arial"/>
          <w:spacing w:val="-7"/>
        </w:rPr>
        <w:t xml:space="preserve"> </w:t>
      </w:r>
      <w:r>
        <w:rPr>
          <w:rFonts w:ascii="Arial" w:hAnsi="Arial" w:cs="Arial"/>
        </w:rPr>
        <w:t>gases</w:t>
      </w:r>
      <w:r>
        <w:rPr>
          <w:rFonts w:ascii="Arial" w:hAnsi="Arial" w:cs="Arial"/>
          <w:spacing w:val="-7"/>
        </w:rPr>
        <w:t xml:space="preserve"> </w:t>
      </w:r>
      <w:r>
        <w:rPr>
          <w:rFonts w:ascii="Arial" w:hAnsi="Arial" w:cs="Arial"/>
        </w:rPr>
        <w:t>(e.g.</w:t>
      </w:r>
      <w:r>
        <w:rPr>
          <w:rFonts w:ascii="Arial" w:hAnsi="Arial" w:cs="Arial"/>
          <w:spacing w:val="-8"/>
        </w:rPr>
        <w:t xml:space="preserve"> </w:t>
      </w:r>
      <w:r>
        <w:rPr>
          <w:rFonts w:ascii="Arial" w:hAnsi="Arial" w:cs="Arial"/>
        </w:rPr>
        <w:t>UN1978</w:t>
      </w:r>
      <w:r>
        <w:rPr>
          <w:rFonts w:ascii="Arial" w:hAnsi="Arial" w:cs="Arial"/>
          <w:spacing w:val="-9"/>
        </w:rPr>
        <w:t xml:space="preserve"> </w:t>
      </w:r>
      <w:r>
        <w:rPr>
          <w:rFonts w:ascii="Arial" w:hAnsi="Arial" w:cs="Arial"/>
        </w:rPr>
        <w:t>Propane);</w:t>
      </w:r>
      <w:r>
        <w:rPr>
          <w:rFonts w:ascii="Arial" w:hAnsi="Arial" w:cs="Arial"/>
          <w:spacing w:val="-5"/>
        </w:rPr>
        <w:t xml:space="preserve"> </w:t>
      </w:r>
      <w:r>
        <w:rPr>
          <w:rFonts w:ascii="Arial" w:hAnsi="Arial" w:cs="Arial"/>
        </w:rPr>
        <w:t>and</w:t>
      </w:r>
    </w:p>
    <w:p w14:paraId="4139C811" w14:textId="77777777" w:rsidR="001A2BEB" w:rsidRDefault="001A2BEB" w:rsidP="005B7755">
      <w:pPr>
        <w:pStyle w:val="ListParagraph"/>
        <w:numPr>
          <w:ilvl w:val="0"/>
          <w:numId w:val="383"/>
        </w:numPr>
        <w:tabs>
          <w:tab w:val="left" w:pos="707"/>
        </w:tabs>
        <w:spacing w:before="121"/>
        <w:ind w:left="704" w:right="199"/>
        <w:jc w:val="both"/>
        <w:rPr>
          <w:rFonts w:ascii="Arial" w:hAnsi="Arial" w:cs="Arial"/>
        </w:rPr>
      </w:pPr>
      <w:r>
        <w:rPr>
          <w:rFonts w:ascii="Arial" w:hAnsi="Arial" w:cs="Arial"/>
        </w:rPr>
        <w:t>the maximum filling of the receptacle with the fittings and accessories as fitted at the time of</w:t>
      </w:r>
      <w:r>
        <w:rPr>
          <w:rFonts w:ascii="Arial" w:hAnsi="Arial" w:cs="Arial"/>
          <w:spacing w:val="1"/>
        </w:rPr>
        <w:t xml:space="preserve"> </w:t>
      </w:r>
      <w:r>
        <w:rPr>
          <w:rFonts w:ascii="Arial" w:hAnsi="Arial" w:cs="Arial"/>
        </w:rPr>
        <w:t>filling.</w:t>
      </w:r>
    </w:p>
    <w:p w14:paraId="60BD174E" w14:textId="77777777" w:rsidR="001A2BEB" w:rsidRPr="001A2BEB" w:rsidRDefault="001A2BEB" w:rsidP="001A2BEB">
      <w:pPr>
        <w:pStyle w:val="BodyText"/>
        <w:spacing w:before="117" w:line="276" w:lineRule="auto"/>
        <w:ind w:right="26"/>
        <w:jc w:val="both"/>
        <w:rPr>
          <w:rFonts w:ascii="Arial" w:hAnsi="Arial" w:cs="Arial"/>
          <w:i/>
          <w:sz w:val="20"/>
        </w:rPr>
      </w:pPr>
      <w:r w:rsidRPr="001A2BEB">
        <w:rPr>
          <w:rFonts w:ascii="Arial" w:hAnsi="Arial" w:cs="Arial"/>
          <w:i/>
          <w:sz w:val="20"/>
        </w:rPr>
        <w:t>Note: The data plate should include, where applicable, information to allow safe filling by commercial facilities (e.g. filling by weight). Where a fuel cell has been designed to a standard which is not compatible with comparable industrial standards, the data plate should include the statement “For use in Hot Air Balloons only”.</w:t>
      </w:r>
    </w:p>
    <w:p w14:paraId="51340817" w14:textId="77777777" w:rsidR="002314D6" w:rsidRPr="002314D6" w:rsidRDefault="002314D6" w:rsidP="002314D6">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325" w:name="CS_31HB.46_Pressurised_fuel_systems"/>
      <w:bookmarkStart w:id="1326" w:name="_bookmark548"/>
      <w:bookmarkStart w:id="1327" w:name="_Toc153137711"/>
      <w:bookmarkEnd w:id="1325"/>
      <w:bookmarkEnd w:id="1326"/>
      <w:r w:rsidRPr="002314D6">
        <w:rPr>
          <w:rFonts w:ascii="Arial" w:eastAsia="Times New Roman" w:hAnsi="Arial" w:cs="Times New Roman"/>
          <w:b/>
          <w:iCs/>
          <w:color w:val="FFFFFF"/>
          <w:sz w:val="24"/>
        </w:rPr>
        <w:t>CS 31HB.46 Pressurised fuel systems</w:t>
      </w:r>
      <w:bookmarkEnd w:id="1327"/>
    </w:p>
    <w:p w14:paraId="542744C1" w14:textId="77777777" w:rsidR="002314D6" w:rsidRPr="002314D6" w:rsidRDefault="002314D6" w:rsidP="005B7755">
      <w:pPr>
        <w:pStyle w:val="ListParagraph"/>
        <w:numPr>
          <w:ilvl w:val="0"/>
          <w:numId w:val="387"/>
        </w:numPr>
        <w:tabs>
          <w:tab w:val="left" w:pos="707"/>
        </w:tabs>
        <w:spacing w:before="117" w:line="276" w:lineRule="auto"/>
        <w:ind w:right="26"/>
        <w:jc w:val="both"/>
        <w:rPr>
          <w:rFonts w:ascii="Arial" w:hAnsi="Arial" w:cs="Arial"/>
          <w:sz w:val="20"/>
        </w:rPr>
      </w:pPr>
      <w:r w:rsidRPr="002314D6">
        <w:rPr>
          <w:rFonts w:ascii="Arial" w:hAnsi="Arial" w:cs="Arial"/>
          <w:sz w:val="20"/>
        </w:rPr>
        <w:t>For pressurised fuel systems each part, must be tested to, or have a safe working pressure of at least twice the maximum pressure to which the system will be subjected in normal operation. In the test, no part of the system may leak, fail or malfunction.</w:t>
      </w:r>
    </w:p>
    <w:p w14:paraId="01857742" w14:textId="77777777" w:rsidR="002314D6" w:rsidRPr="002314D6" w:rsidRDefault="002314D6" w:rsidP="005B7755">
      <w:pPr>
        <w:pStyle w:val="ListParagraph"/>
        <w:numPr>
          <w:ilvl w:val="0"/>
          <w:numId w:val="387"/>
        </w:numPr>
        <w:tabs>
          <w:tab w:val="left" w:pos="707"/>
        </w:tabs>
        <w:spacing w:before="117" w:line="276" w:lineRule="auto"/>
        <w:ind w:right="26"/>
        <w:jc w:val="both"/>
        <w:rPr>
          <w:rFonts w:ascii="Arial" w:hAnsi="Arial" w:cs="Arial"/>
          <w:sz w:val="20"/>
        </w:rPr>
      </w:pPr>
      <w:r w:rsidRPr="002314D6">
        <w:rPr>
          <w:rFonts w:ascii="Arial" w:hAnsi="Arial" w:cs="Arial"/>
          <w:sz w:val="20"/>
        </w:rPr>
        <w:t>All parts of a pressurised fuel system must be generally robust and capable of withstanding impact and abuse loads and related deformation that are likely to occur in service. (See AMC 31HB.46(b))</w:t>
      </w:r>
    </w:p>
    <w:p w14:paraId="783CDBF7" w14:textId="77777777" w:rsidR="002314D6" w:rsidRPr="002314D6" w:rsidRDefault="002314D6" w:rsidP="005B7755">
      <w:pPr>
        <w:pStyle w:val="ListParagraph"/>
        <w:numPr>
          <w:ilvl w:val="0"/>
          <w:numId w:val="387"/>
        </w:numPr>
        <w:tabs>
          <w:tab w:val="left" w:pos="707"/>
        </w:tabs>
        <w:spacing w:before="117" w:line="276" w:lineRule="auto"/>
        <w:ind w:right="26"/>
        <w:jc w:val="both"/>
        <w:rPr>
          <w:rFonts w:ascii="Arial" w:hAnsi="Arial" w:cs="Arial"/>
          <w:sz w:val="20"/>
        </w:rPr>
      </w:pPr>
      <w:r w:rsidRPr="002314D6">
        <w:rPr>
          <w:rFonts w:ascii="Arial" w:hAnsi="Arial" w:cs="Arial"/>
          <w:sz w:val="20"/>
        </w:rPr>
        <w:t>If applicable, parts of the pressurised fuel system must be permanently marked to preclude incorrect installation.</w:t>
      </w:r>
    </w:p>
    <w:p w14:paraId="51CF8D63" w14:textId="77777777" w:rsidR="002314D6" w:rsidRPr="002314D6" w:rsidRDefault="002314D6" w:rsidP="005B7755">
      <w:pPr>
        <w:pStyle w:val="ListParagraph"/>
        <w:numPr>
          <w:ilvl w:val="0"/>
          <w:numId w:val="387"/>
        </w:numPr>
        <w:tabs>
          <w:tab w:val="left" w:pos="707"/>
        </w:tabs>
        <w:spacing w:before="117" w:line="276" w:lineRule="auto"/>
        <w:ind w:right="26"/>
        <w:jc w:val="both"/>
        <w:rPr>
          <w:rFonts w:ascii="Arial" w:hAnsi="Arial" w:cs="Arial"/>
          <w:sz w:val="20"/>
        </w:rPr>
      </w:pPr>
      <w:r w:rsidRPr="002314D6">
        <w:rPr>
          <w:rFonts w:ascii="Arial" w:hAnsi="Arial" w:cs="Arial"/>
          <w:sz w:val="20"/>
        </w:rPr>
        <w:t>No part of the system may have an unprotected rigid extension that could be broken in any likely impact situation. (See also CS 31HB.45(f)).</w:t>
      </w:r>
    </w:p>
    <w:p w14:paraId="227001AF" w14:textId="77777777" w:rsidR="002314D6" w:rsidRPr="002314D6" w:rsidRDefault="002314D6" w:rsidP="005B7755">
      <w:pPr>
        <w:pStyle w:val="ListParagraph"/>
        <w:numPr>
          <w:ilvl w:val="0"/>
          <w:numId w:val="387"/>
        </w:numPr>
        <w:tabs>
          <w:tab w:val="left" w:pos="707"/>
        </w:tabs>
        <w:spacing w:before="117" w:line="276" w:lineRule="auto"/>
        <w:ind w:right="26"/>
        <w:jc w:val="both"/>
        <w:rPr>
          <w:rFonts w:ascii="Arial" w:hAnsi="Arial" w:cs="Arial"/>
          <w:sz w:val="20"/>
        </w:rPr>
      </w:pPr>
      <w:r w:rsidRPr="002314D6">
        <w:rPr>
          <w:rFonts w:ascii="Arial" w:hAnsi="Arial" w:cs="Arial"/>
          <w:sz w:val="20"/>
        </w:rPr>
        <w:t>Where fuel systems include demountable fuel lines, a self-sealing coupling, or other means must be fitted to each outlet of each line to avoid the release of hazardous quantities of fuel should a fuel cell valve be inadvertently operated without a fuel line outlet connected.</w:t>
      </w:r>
    </w:p>
    <w:p w14:paraId="40FFBAF1" w14:textId="77777777" w:rsidR="002314D6" w:rsidRDefault="002314D6" w:rsidP="00E943FB">
      <w:pPr>
        <w:ind w:right="26"/>
        <w:rPr>
          <w:rFonts w:ascii="Arial" w:hAnsi="Arial" w:cs="Arial"/>
          <w:sz w:val="20"/>
          <w:szCs w:val="20"/>
        </w:rPr>
      </w:pPr>
    </w:p>
    <w:p w14:paraId="2DB38F63" w14:textId="77777777" w:rsidR="002314D6" w:rsidRPr="002314D6" w:rsidRDefault="002314D6" w:rsidP="002314D6">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328" w:name="AMC_31HB.46(a)_Pressurised_fuel_systems"/>
      <w:bookmarkStart w:id="1329" w:name="_bookmark549"/>
      <w:bookmarkStart w:id="1330" w:name="_Toc153137712"/>
      <w:bookmarkEnd w:id="1328"/>
      <w:bookmarkEnd w:id="1329"/>
      <w:r w:rsidRPr="002314D6">
        <w:rPr>
          <w:rFonts w:ascii="Arial" w:eastAsia="Times New Roman" w:hAnsi="Arial" w:cs="Times New Roman"/>
          <w:b/>
          <w:color w:val="FFFFFF"/>
          <w:sz w:val="24"/>
        </w:rPr>
        <w:t>AMC 31HB.46(a) Pressurised fuel systems</w:t>
      </w:r>
      <w:bookmarkEnd w:id="1330"/>
    </w:p>
    <w:p w14:paraId="5C9088A7" w14:textId="77777777" w:rsidR="002314D6" w:rsidRPr="002314D6" w:rsidRDefault="002314D6" w:rsidP="00B94180">
      <w:pPr>
        <w:pStyle w:val="BodyText"/>
        <w:jc w:val="both"/>
        <w:rPr>
          <w:rFonts w:ascii="Arial" w:hAnsi="Arial" w:cs="Arial"/>
          <w:sz w:val="20"/>
        </w:rPr>
      </w:pPr>
      <w:r w:rsidRPr="002314D6">
        <w:rPr>
          <w:rFonts w:ascii="Arial" w:hAnsi="Arial" w:cs="Arial"/>
          <w:sz w:val="20"/>
        </w:rPr>
        <w:t>The</w:t>
      </w:r>
      <w:r w:rsidRPr="002314D6">
        <w:rPr>
          <w:rFonts w:ascii="Arial" w:hAnsi="Arial" w:cs="Arial"/>
          <w:spacing w:val="-2"/>
          <w:sz w:val="20"/>
        </w:rPr>
        <w:t xml:space="preserve"> </w:t>
      </w:r>
      <w:r w:rsidRPr="002314D6">
        <w:rPr>
          <w:rFonts w:ascii="Arial" w:hAnsi="Arial" w:cs="Arial"/>
          <w:sz w:val="20"/>
        </w:rPr>
        <w:t>pressurised</w:t>
      </w:r>
      <w:r w:rsidRPr="002314D6">
        <w:rPr>
          <w:rFonts w:ascii="Arial" w:hAnsi="Arial" w:cs="Arial"/>
          <w:spacing w:val="-2"/>
          <w:sz w:val="20"/>
        </w:rPr>
        <w:t xml:space="preserve"> </w:t>
      </w:r>
      <w:r w:rsidRPr="002314D6">
        <w:rPr>
          <w:rFonts w:ascii="Arial" w:hAnsi="Arial" w:cs="Arial"/>
          <w:sz w:val="20"/>
        </w:rPr>
        <w:t>fuel</w:t>
      </w:r>
      <w:r w:rsidRPr="002314D6">
        <w:rPr>
          <w:rFonts w:ascii="Arial" w:hAnsi="Arial" w:cs="Arial"/>
          <w:spacing w:val="-1"/>
          <w:sz w:val="20"/>
        </w:rPr>
        <w:t xml:space="preserve"> </w:t>
      </w:r>
      <w:r w:rsidRPr="002314D6">
        <w:rPr>
          <w:rFonts w:ascii="Arial" w:hAnsi="Arial" w:cs="Arial"/>
          <w:sz w:val="20"/>
        </w:rPr>
        <w:t>system</w:t>
      </w:r>
      <w:r w:rsidRPr="002314D6">
        <w:rPr>
          <w:rFonts w:ascii="Arial" w:hAnsi="Arial" w:cs="Arial"/>
          <w:spacing w:val="-1"/>
          <w:sz w:val="20"/>
        </w:rPr>
        <w:t xml:space="preserve"> </w:t>
      </w:r>
      <w:r w:rsidRPr="002314D6">
        <w:rPr>
          <w:rFonts w:ascii="Arial" w:hAnsi="Arial" w:cs="Arial"/>
          <w:sz w:val="20"/>
        </w:rPr>
        <w:t>parts</w:t>
      </w:r>
      <w:r w:rsidRPr="002314D6">
        <w:rPr>
          <w:rFonts w:ascii="Arial" w:hAnsi="Arial" w:cs="Arial"/>
          <w:spacing w:val="-4"/>
          <w:sz w:val="20"/>
        </w:rPr>
        <w:t xml:space="preserve"> </w:t>
      </w:r>
      <w:r w:rsidRPr="002314D6">
        <w:rPr>
          <w:rFonts w:ascii="Arial" w:hAnsi="Arial" w:cs="Arial"/>
          <w:sz w:val="20"/>
        </w:rPr>
        <w:t>include</w:t>
      </w:r>
      <w:r w:rsidRPr="002314D6">
        <w:rPr>
          <w:rFonts w:ascii="Arial" w:hAnsi="Arial" w:cs="Arial"/>
          <w:spacing w:val="-1"/>
          <w:sz w:val="20"/>
        </w:rPr>
        <w:t xml:space="preserve"> </w:t>
      </w:r>
      <w:r w:rsidRPr="002314D6">
        <w:rPr>
          <w:rFonts w:ascii="Arial" w:hAnsi="Arial" w:cs="Arial"/>
          <w:sz w:val="20"/>
        </w:rPr>
        <w:t>as</w:t>
      </w:r>
      <w:r w:rsidRPr="002314D6">
        <w:rPr>
          <w:rFonts w:ascii="Arial" w:hAnsi="Arial" w:cs="Arial"/>
          <w:spacing w:val="-4"/>
          <w:sz w:val="20"/>
        </w:rPr>
        <w:t xml:space="preserve"> </w:t>
      </w:r>
      <w:r w:rsidRPr="002314D6">
        <w:rPr>
          <w:rFonts w:ascii="Arial" w:hAnsi="Arial" w:cs="Arial"/>
          <w:sz w:val="20"/>
        </w:rPr>
        <w:t>applicable:</w:t>
      </w:r>
    </w:p>
    <w:p w14:paraId="2FD757A5" w14:textId="77777777" w:rsidR="002314D6" w:rsidRPr="002314D6" w:rsidRDefault="002314D6" w:rsidP="005B7755">
      <w:pPr>
        <w:pStyle w:val="ListParagraph"/>
        <w:numPr>
          <w:ilvl w:val="0"/>
          <w:numId w:val="383"/>
        </w:numPr>
        <w:tabs>
          <w:tab w:val="left" w:pos="707"/>
        </w:tabs>
        <w:spacing w:before="118"/>
        <w:jc w:val="both"/>
        <w:rPr>
          <w:rFonts w:ascii="Arial" w:hAnsi="Arial" w:cs="Arial"/>
          <w:sz w:val="20"/>
        </w:rPr>
      </w:pPr>
      <w:r w:rsidRPr="002314D6">
        <w:rPr>
          <w:rFonts w:ascii="Arial" w:hAnsi="Arial" w:cs="Arial"/>
          <w:sz w:val="20"/>
        </w:rPr>
        <w:t>fuel</w:t>
      </w:r>
      <w:r w:rsidRPr="002314D6">
        <w:rPr>
          <w:rFonts w:ascii="Arial" w:hAnsi="Arial" w:cs="Arial"/>
          <w:spacing w:val="-1"/>
          <w:sz w:val="20"/>
        </w:rPr>
        <w:t xml:space="preserve"> </w:t>
      </w:r>
      <w:r w:rsidRPr="002314D6">
        <w:rPr>
          <w:rFonts w:ascii="Arial" w:hAnsi="Arial" w:cs="Arial"/>
          <w:sz w:val="20"/>
        </w:rPr>
        <w:t>cells;</w:t>
      </w:r>
    </w:p>
    <w:p w14:paraId="734A1AC6" w14:textId="77777777" w:rsidR="002314D6" w:rsidRPr="002314D6" w:rsidRDefault="002314D6" w:rsidP="005B7755">
      <w:pPr>
        <w:pStyle w:val="ListParagraph"/>
        <w:numPr>
          <w:ilvl w:val="0"/>
          <w:numId w:val="383"/>
        </w:numPr>
        <w:tabs>
          <w:tab w:val="left" w:pos="707"/>
        </w:tabs>
        <w:jc w:val="both"/>
        <w:rPr>
          <w:rFonts w:ascii="Arial" w:hAnsi="Arial" w:cs="Arial"/>
          <w:sz w:val="20"/>
        </w:rPr>
      </w:pPr>
      <w:r w:rsidRPr="002314D6">
        <w:rPr>
          <w:rFonts w:ascii="Arial" w:hAnsi="Arial" w:cs="Arial"/>
          <w:sz w:val="20"/>
        </w:rPr>
        <w:t>lines and</w:t>
      </w:r>
      <w:r w:rsidRPr="002314D6">
        <w:rPr>
          <w:rFonts w:ascii="Arial" w:hAnsi="Arial" w:cs="Arial"/>
          <w:spacing w:val="-2"/>
          <w:sz w:val="20"/>
        </w:rPr>
        <w:t xml:space="preserve"> </w:t>
      </w:r>
      <w:r w:rsidRPr="002314D6">
        <w:rPr>
          <w:rFonts w:ascii="Arial" w:hAnsi="Arial" w:cs="Arial"/>
          <w:sz w:val="20"/>
        </w:rPr>
        <w:t>hoses;</w:t>
      </w:r>
    </w:p>
    <w:p w14:paraId="7CF202DB" w14:textId="77777777" w:rsidR="002314D6" w:rsidRPr="002314D6" w:rsidRDefault="002314D6" w:rsidP="005B7755">
      <w:pPr>
        <w:pStyle w:val="ListParagraph"/>
        <w:numPr>
          <w:ilvl w:val="0"/>
          <w:numId w:val="383"/>
        </w:numPr>
        <w:tabs>
          <w:tab w:val="left" w:pos="707"/>
        </w:tabs>
        <w:jc w:val="both"/>
        <w:rPr>
          <w:rFonts w:ascii="Arial" w:hAnsi="Arial" w:cs="Arial"/>
          <w:sz w:val="20"/>
        </w:rPr>
      </w:pPr>
      <w:r w:rsidRPr="002314D6">
        <w:rPr>
          <w:rFonts w:ascii="Arial" w:hAnsi="Arial" w:cs="Arial"/>
          <w:sz w:val="20"/>
        </w:rPr>
        <w:lastRenderedPageBreak/>
        <w:t>manifolds</w:t>
      </w:r>
      <w:r w:rsidRPr="002314D6">
        <w:rPr>
          <w:rFonts w:ascii="Arial" w:hAnsi="Arial" w:cs="Arial"/>
          <w:spacing w:val="-4"/>
          <w:sz w:val="20"/>
        </w:rPr>
        <w:t xml:space="preserve"> </w:t>
      </w:r>
      <w:r w:rsidRPr="002314D6">
        <w:rPr>
          <w:rFonts w:ascii="Arial" w:hAnsi="Arial" w:cs="Arial"/>
          <w:sz w:val="20"/>
        </w:rPr>
        <w:t>(including</w:t>
      </w:r>
      <w:r w:rsidRPr="002314D6">
        <w:rPr>
          <w:rFonts w:ascii="Arial" w:hAnsi="Arial" w:cs="Arial"/>
          <w:spacing w:val="-1"/>
          <w:sz w:val="20"/>
        </w:rPr>
        <w:t xml:space="preserve"> </w:t>
      </w:r>
      <w:r w:rsidRPr="002314D6">
        <w:rPr>
          <w:rFonts w:ascii="Arial" w:hAnsi="Arial" w:cs="Arial"/>
          <w:sz w:val="20"/>
        </w:rPr>
        <w:t>T-pieces);</w:t>
      </w:r>
    </w:p>
    <w:p w14:paraId="6B647F2C" w14:textId="77777777" w:rsidR="002314D6" w:rsidRPr="002314D6" w:rsidRDefault="002314D6" w:rsidP="005B7755">
      <w:pPr>
        <w:pStyle w:val="ListParagraph"/>
        <w:numPr>
          <w:ilvl w:val="0"/>
          <w:numId w:val="383"/>
        </w:numPr>
        <w:tabs>
          <w:tab w:val="left" w:pos="707"/>
        </w:tabs>
        <w:jc w:val="both"/>
        <w:rPr>
          <w:rFonts w:ascii="Arial" w:hAnsi="Arial" w:cs="Arial"/>
          <w:sz w:val="20"/>
        </w:rPr>
      </w:pPr>
      <w:r w:rsidRPr="002314D6">
        <w:rPr>
          <w:rFonts w:ascii="Arial" w:hAnsi="Arial" w:cs="Arial"/>
          <w:sz w:val="20"/>
        </w:rPr>
        <w:t>fittings.</w:t>
      </w:r>
    </w:p>
    <w:p w14:paraId="096F9F51" w14:textId="77777777" w:rsidR="00B94180" w:rsidRPr="00B94180" w:rsidRDefault="00B94180" w:rsidP="00B94180">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331" w:name="AMC_31HB.46(b)_Pressurised_fuel_systems"/>
      <w:bookmarkStart w:id="1332" w:name="_bookmark550"/>
      <w:bookmarkStart w:id="1333" w:name="_Toc153137713"/>
      <w:bookmarkEnd w:id="1331"/>
      <w:bookmarkEnd w:id="1332"/>
      <w:r w:rsidRPr="00B94180">
        <w:rPr>
          <w:rFonts w:ascii="Arial" w:eastAsia="Times New Roman" w:hAnsi="Arial" w:cs="Times New Roman"/>
          <w:b/>
          <w:color w:val="FFFFFF"/>
          <w:sz w:val="24"/>
        </w:rPr>
        <w:t>AMC 31HB.46(b) Pressurised fuel systems</w:t>
      </w:r>
      <w:bookmarkEnd w:id="1333"/>
    </w:p>
    <w:p w14:paraId="1A3FA24C" w14:textId="77777777" w:rsidR="00B94180" w:rsidRPr="00B94180" w:rsidRDefault="00B94180" w:rsidP="00B94180">
      <w:pPr>
        <w:pStyle w:val="BodyText"/>
        <w:spacing w:before="117" w:line="276" w:lineRule="auto"/>
        <w:ind w:right="26"/>
        <w:jc w:val="both"/>
        <w:rPr>
          <w:rFonts w:ascii="Arial" w:hAnsi="Arial" w:cs="Arial"/>
          <w:sz w:val="20"/>
        </w:rPr>
      </w:pPr>
      <w:r w:rsidRPr="00B94180">
        <w:rPr>
          <w:rFonts w:ascii="Arial" w:hAnsi="Arial" w:cs="Arial"/>
          <w:sz w:val="20"/>
        </w:rPr>
        <w:t>Connecting parts such as manifolds (including T-pieces) and hoses, between fuel cells should be designed so that they are not subject to pulling forces by significant deformation of the basket during a hard landing. Rigid extensions should be avoided in the design. If rigid extensions are used and could be broken in any likely impact situation they shall be protected.</w:t>
      </w:r>
    </w:p>
    <w:p w14:paraId="1641F61C" w14:textId="77777777" w:rsidR="00B94180" w:rsidRPr="00B94180" w:rsidRDefault="00B94180" w:rsidP="00B94180">
      <w:pPr>
        <w:pStyle w:val="BodyText"/>
        <w:spacing w:before="117" w:line="276" w:lineRule="auto"/>
        <w:ind w:right="26"/>
        <w:jc w:val="both"/>
        <w:rPr>
          <w:rFonts w:ascii="Arial" w:hAnsi="Arial" w:cs="Arial"/>
          <w:i/>
          <w:sz w:val="20"/>
        </w:rPr>
      </w:pPr>
      <w:r w:rsidRPr="00B94180">
        <w:rPr>
          <w:rFonts w:ascii="Arial" w:hAnsi="Arial" w:cs="Arial"/>
          <w:i/>
          <w:sz w:val="20"/>
          <w:u w:val="single"/>
        </w:rPr>
        <w:t>Note:</w:t>
      </w:r>
      <w:r w:rsidRPr="00B94180">
        <w:rPr>
          <w:rFonts w:ascii="Arial" w:hAnsi="Arial" w:cs="Arial"/>
          <w:i/>
          <w:sz w:val="20"/>
        </w:rPr>
        <w:t xml:space="preserve"> Commercially available brass fittings for LPG systems should not be used as they have been shown not to have the required level of robustness.</w:t>
      </w:r>
    </w:p>
    <w:p w14:paraId="7B8B41FF" w14:textId="77777777" w:rsidR="00B94180" w:rsidRPr="00B94180" w:rsidRDefault="00B94180" w:rsidP="00B94180">
      <w:pPr>
        <w:pStyle w:val="BodyText"/>
        <w:spacing w:before="117" w:line="276" w:lineRule="auto"/>
        <w:ind w:right="26"/>
        <w:jc w:val="both"/>
        <w:rPr>
          <w:rFonts w:ascii="Arial" w:hAnsi="Arial" w:cs="Arial"/>
          <w:sz w:val="20"/>
        </w:rPr>
      </w:pPr>
      <w:r w:rsidRPr="00B94180">
        <w:rPr>
          <w:rFonts w:ascii="Arial" w:hAnsi="Arial" w:cs="Arial"/>
          <w:sz w:val="20"/>
        </w:rPr>
        <w:t>For fuel system parts extending outside the protected area of the load frame and basket, it should be considered that they might be impacted by obstacles or abuse loads.</w:t>
      </w:r>
    </w:p>
    <w:p w14:paraId="286FCBD3" w14:textId="77777777" w:rsidR="00B94180" w:rsidRPr="00B94180" w:rsidRDefault="00B94180" w:rsidP="00B94180">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334" w:name="AMC_31HB.46(e)_Pressurised_fuel_systems"/>
      <w:bookmarkStart w:id="1335" w:name="_bookmark551"/>
      <w:bookmarkStart w:id="1336" w:name="_Toc153137714"/>
      <w:bookmarkEnd w:id="1334"/>
      <w:bookmarkEnd w:id="1335"/>
      <w:r w:rsidRPr="00B94180">
        <w:rPr>
          <w:rFonts w:ascii="Arial" w:eastAsia="Times New Roman" w:hAnsi="Arial" w:cs="Times New Roman"/>
          <w:b/>
          <w:color w:val="FFFFFF"/>
          <w:sz w:val="24"/>
        </w:rPr>
        <w:t>AMC 31HB.46(e) Pressurised fuel systems</w:t>
      </w:r>
      <w:bookmarkEnd w:id="1336"/>
    </w:p>
    <w:p w14:paraId="63EB1E9D" w14:textId="77777777" w:rsidR="00B94180" w:rsidRPr="00B94180" w:rsidRDefault="00B94180" w:rsidP="00B94180">
      <w:pPr>
        <w:pStyle w:val="BodyText"/>
        <w:spacing w:before="117" w:line="276" w:lineRule="auto"/>
        <w:ind w:right="26"/>
        <w:jc w:val="both"/>
        <w:rPr>
          <w:rFonts w:ascii="Arial" w:hAnsi="Arial" w:cs="Arial"/>
          <w:sz w:val="20"/>
        </w:rPr>
      </w:pPr>
      <w:r w:rsidRPr="00B94180">
        <w:rPr>
          <w:rFonts w:ascii="Arial" w:hAnsi="Arial" w:cs="Arial"/>
          <w:sz w:val="20"/>
        </w:rPr>
        <w:t>“Demountable fuel lines” in the sense of this requirement are fuel lines that are linked by quick disconnect couplings.</w:t>
      </w:r>
    </w:p>
    <w:p w14:paraId="4E025962" w14:textId="77777777" w:rsidR="00FD1CB6" w:rsidRPr="00FD1CB6" w:rsidRDefault="00FD1CB6" w:rsidP="00FD1CB6">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337" w:name="CS_31HB.47_Heater_system"/>
      <w:bookmarkStart w:id="1338" w:name="_bookmark552"/>
      <w:bookmarkStart w:id="1339" w:name="_Toc153137715"/>
      <w:bookmarkEnd w:id="1337"/>
      <w:bookmarkEnd w:id="1338"/>
      <w:r w:rsidRPr="00FD1CB6">
        <w:rPr>
          <w:rFonts w:ascii="Arial" w:eastAsia="Times New Roman" w:hAnsi="Arial" w:cs="Times New Roman"/>
          <w:b/>
          <w:iCs/>
          <w:color w:val="FFFFFF"/>
          <w:sz w:val="24"/>
        </w:rPr>
        <w:t>CS 31HB.47 Heater system</w:t>
      </w:r>
      <w:bookmarkEnd w:id="1339"/>
    </w:p>
    <w:p w14:paraId="4B2BD11A" w14:textId="77777777" w:rsidR="00FD1CB6" w:rsidRPr="00FD1CB6" w:rsidRDefault="00FD1CB6" w:rsidP="005B7755">
      <w:pPr>
        <w:pStyle w:val="ListParagraph"/>
        <w:numPr>
          <w:ilvl w:val="0"/>
          <w:numId w:val="388"/>
        </w:numPr>
        <w:tabs>
          <w:tab w:val="left" w:pos="707"/>
        </w:tabs>
        <w:spacing w:before="117" w:line="276" w:lineRule="auto"/>
        <w:ind w:right="26"/>
        <w:jc w:val="both"/>
        <w:rPr>
          <w:rFonts w:ascii="Arial" w:hAnsi="Arial" w:cs="Arial"/>
          <w:sz w:val="20"/>
        </w:rPr>
      </w:pPr>
      <w:r w:rsidRPr="00FD1CB6">
        <w:rPr>
          <w:rFonts w:ascii="Arial" w:hAnsi="Arial" w:cs="Arial"/>
          <w:sz w:val="20"/>
        </w:rPr>
        <w:t>The system must be designed and installed so as not to create a fire hazard.</w:t>
      </w:r>
    </w:p>
    <w:p w14:paraId="6B01BDBE" w14:textId="77777777" w:rsidR="00FD1CB6" w:rsidRPr="00FD1CB6" w:rsidRDefault="00FD1CB6" w:rsidP="005B7755">
      <w:pPr>
        <w:pStyle w:val="ListParagraph"/>
        <w:numPr>
          <w:ilvl w:val="0"/>
          <w:numId w:val="388"/>
        </w:numPr>
        <w:tabs>
          <w:tab w:val="left" w:pos="707"/>
        </w:tabs>
        <w:spacing w:before="117" w:line="276" w:lineRule="auto"/>
        <w:ind w:right="26"/>
        <w:jc w:val="both"/>
        <w:rPr>
          <w:rFonts w:ascii="Arial" w:hAnsi="Arial" w:cs="Arial"/>
          <w:sz w:val="20"/>
        </w:rPr>
      </w:pPr>
      <w:r w:rsidRPr="00FD1CB6">
        <w:rPr>
          <w:rFonts w:ascii="Arial" w:hAnsi="Arial" w:cs="Arial"/>
          <w:sz w:val="20"/>
        </w:rPr>
        <w:t>Parts adjacent to a heater (and if applicable, its flame) and the occupants must be protected from excessive heat.</w:t>
      </w:r>
    </w:p>
    <w:p w14:paraId="3CD9000F" w14:textId="77777777" w:rsidR="00FD1CB6" w:rsidRPr="00FD1CB6" w:rsidRDefault="00FD1CB6" w:rsidP="005B7755">
      <w:pPr>
        <w:pStyle w:val="ListParagraph"/>
        <w:numPr>
          <w:ilvl w:val="0"/>
          <w:numId w:val="388"/>
        </w:numPr>
        <w:tabs>
          <w:tab w:val="left" w:pos="707"/>
        </w:tabs>
        <w:spacing w:before="117" w:line="276" w:lineRule="auto"/>
        <w:ind w:right="26"/>
        <w:jc w:val="both"/>
        <w:rPr>
          <w:rFonts w:ascii="Arial" w:hAnsi="Arial" w:cs="Arial"/>
          <w:sz w:val="20"/>
        </w:rPr>
      </w:pPr>
      <w:r w:rsidRPr="00FD1CB6">
        <w:rPr>
          <w:rFonts w:ascii="Arial" w:hAnsi="Arial" w:cs="Arial"/>
          <w:sz w:val="20"/>
        </w:rPr>
        <w:t>There must be controls, instruments, or other equipment essential to safe control and operation of the heater system. They must be shown to be able to perform their intended functions during normal and emergency operation.</w:t>
      </w:r>
    </w:p>
    <w:p w14:paraId="6BE417CA" w14:textId="77777777" w:rsidR="00FD1CB6" w:rsidRPr="00FD1CB6" w:rsidRDefault="00FD1CB6" w:rsidP="005B7755">
      <w:pPr>
        <w:pStyle w:val="ListParagraph"/>
        <w:numPr>
          <w:ilvl w:val="0"/>
          <w:numId w:val="389"/>
        </w:numPr>
        <w:tabs>
          <w:tab w:val="left" w:pos="1274"/>
          <w:tab w:val="left" w:pos="8910"/>
        </w:tabs>
        <w:spacing w:before="118" w:line="276" w:lineRule="auto"/>
        <w:ind w:right="26"/>
        <w:jc w:val="both"/>
        <w:rPr>
          <w:rFonts w:ascii="Arial" w:hAnsi="Arial" w:cs="Arial"/>
          <w:sz w:val="20"/>
        </w:rPr>
      </w:pPr>
      <w:r w:rsidRPr="00FD1CB6">
        <w:rPr>
          <w:rFonts w:ascii="Arial" w:hAnsi="Arial" w:cs="Arial"/>
          <w:sz w:val="20"/>
        </w:rPr>
        <w:t>Where a heater system has more than one fuel supply or more than one control on each fuel supply, there must be unambiguous means to differentiate between each control, its source of supply and its function. (See AMC 31HB.47(c)(1))</w:t>
      </w:r>
    </w:p>
    <w:p w14:paraId="28718025" w14:textId="77777777" w:rsidR="00FD1CB6" w:rsidRPr="00FD1CB6" w:rsidRDefault="00FD1CB6" w:rsidP="005B7755">
      <w:pPr>
        <w:pStyle w:val="ListParagraph"/>
        <w:numPr>
          <w:ilvl w:val="0"/>
          <w:numId w:val="389"/>
        </w:numPr>
        <w:tabs>
          <w:tab w:val="left" w:pos="1274"/>
          <w:tab w:val="left" w:pos="8910"/>
        </w:tabs>
        <w:spacing w:before="118" w:line="276" w:lineRule="auto"/>
        <w:ind w:right="26"/>
        <w:jc w:val="both"/>
        <w:rPr>
          <w:rFonts w:ascii="Arial" w:hAnsi="Arial" w:cs="Arial"/>
          <w:sz w:val="20"/>
        </w:rPr>
      </w:pPr>
      <w:r w:rsidRPr="00FD1CB6">
        <w:rPr>
          <w:rFonts w:ascii="Arial" w:hAnsi="Arial" w:cs="Arial"/>
          <w:sz w:val="20"/>
        </w:rPr>
        <w:t>The heater system must have a device or other means to indicate the quantity of fuel available. (See AMC 31HB.47(c)(2))</w:t>
      </w:r>
    </w:p>
    <w:p w14:paraId="254DC450" w14:textId="77777777" w:rsidR="00FD1CB6" w:rsidRPr="00FD1CB6" w:rsidRDefault="00FD1CB6" w:rsidP="005B7755">
      <w:pPr>
        <w:pStyle w:val="ListParagraph"/>
        <w:numPr>
          <w:ilvl w:val="0"/>
          <w:numId w:val="389"/>
        </w:numPr>
        <w:tabs>
          <w:tab w:val="left" w:pos="1274"/>
          <w:tab w:val="left" w:pos="8910"/>
        </w:tabs>
        <w:spacing w:before="118" w:line="276" w:lineRule="auto"/>
        <w:ind w:right="26"/>
        <w:jc w:val="both"/>
        <w:rPr>
          <w:rFonts w:ascii="Arial" w:hAnsi="Arial" w:cs="Arial"/>
          <w:sz w:val="20"/>
        </w:rPr>
      </w:pPr>
      <w:r w:rsidRPr="00FD1CB6">
        <w:rPr>
          <w:rFonts w:ascii="Arial" w:hAnsi="Arial" w:cs="Arial"/>
          <w:sz w:val="20"/>
        </w:rPr>
        <w:t>For a burner, each control system must have a device that indicates whether the heat output is high, normal or low. (See AMC 31HB.47(c)(3))</w:t>
      </w:r>
    </w:p>
    <w:p w14:paraId="337105BC" w14:textId="77777777" w:rsidR="00FD1CB6" w:rsidRPr="00FD1CB6" w:rsidRDefault="00FD1CB6" w:rsidP="005B7755">
      <w:pPr>
        <w:pStyle w:val="ListParagraph"/>
        <w:numPr>
          <w:ilvl w:val="0"/>
          <w:numId w:val="388"/>
        </w:numPr>
        <w:tabs>
          <w:tab w:val="left" w:pos="707"/>
        </w:tabs>
        <w:spacing w:before="117" w:line="276" w:lineRule="auto"/>
        <w:ind w:right="26"/>
        <w:jc w:val="both"/>
        <w:rPr>
          <w:rFonts w:ascii="Arial" w:hAnsi="Arial" w:cs="Arial"/>
          <w:sz w:val="20"/>
        </w:rPr>
      </w:pPr>
      <w:r w:rsidRPr="00FD1CB6">
        <w:rPr>
          <w:rFonts w:ascii="Arial" w:hAnsi="Arial" w:cs="Arial"/>
          <w:sz w:val="20"/>
        </w:rPr>
        <w:t>The reliability of the heater system must be substantiated by a test designed to reflect the limiting conditions likely to be encountered in service, both in kind and duration.</w:t>
      </w:r>
    </w:p>
    <w:p w14:paraId="11F5BA84" w14:textId="77777777" w:rsidR="00FD1CB6" w:rsidRPr="00FD1CB6" w:rsidRDefault="00FD1CB6" w:rsidP="005B7755">
      <w:pPr>
        <w:pStyle w:val="ListParagraph"/>
        <w:numPr>
          <w:ilvl w:val="0"/>
          <w:numId w:val="390"/>
        </w:numPr>
        <w:tabs>
          <w:tab w:val="left" w:pos="1274"/>
          <w:tab w:val="left" w:pos="8910"/>
        </w:tabs>
        <w:spacing w:before="118" w:line="276" w:lineRule="auto"/>
        <w:ind w:right="26"/>
        <w:jc w:val="both"/>
        <w:rPr>
          <w:rFonts w:ascii="Arial" w:hAnsi="Arial" w:cs="Arial"/>
          <w:sz w:val="20"/>
        </w:rPr>
      </w:pPr>
      <w:r w:rsidRPr="00FD1CB6">
        <w:rPr>
          <w:rFonts w:ascii="Arial" w:hAnsi="Arial" w:cs="Arial"/>
          <w:sz w:val="20"/>
        </w:rPr>
        <w:t>For a burner, the test must include at least three flameouts and restarts.</w:t>
      </w:r>
    </w:p>
    <w:p w14:paraId="1B011CCB" w14:textId="77777777" w:rsidR="00FD1CB6" w:rsidRDefault="00FD1CB6" w:rsidP="005B7755">
      <w:pPr>
        <w:pStyle w:val="ListParagraph"/>
        <w:numPr>
          <w:ilvl w:val="0"/>
          <w:numId w:val="390"/>
        </w:numPr>
        <w:tabs>
          <w:tab w:val="left" w:pos="1274"/>
          <w:tab w:val="left" w:pos="8910"/>
        </w:tabs>
        <w:spacing w:before="118" w:line="276" w:lineRule="auto"/>
        <w:ind w:right="26"/>
        <w:jc w:val="both"/>
        <w:rPr>
          <w:rFonts w:ascii="Arial" w:hAnsi="Arial" w:cs="Arial"/>
        </w:rPr>
      </w:pPr>
      <w:r w:rsidRPr="00FD1CB6">
        <w:rPr>
          <w:rFonts w:ascii="Arial" w:hAnsi="Arial" w:cs="Arial"/>
          <w:sz w:val="20"/>
        </w:rPr>
        <w:t>Each element of the system must be serviceable at the end of the test</w:t>
      </w:r>
      <w:r>
        <w:rPr>
          <w:rFonts w:ascii="Arial" w:hAnsi="Arial" w:cs="Arial"/>
        </w:rPr>
        <w:t>.</w:t>
      </w:r>
    </w:p>
    <w:p w14:paraId="14BA4C20" w14:textId="77777777" w:rsidR="00FD1CB6" w:rsidRPr="00FD1CB6" w:rsidRDefault="00FD1CB6" w:rsidP="005B7755">
      <w:pPr>
        <w:pStyle w:val="ListParagraph"/>
        <w:numPr>
          <w:ilvl w:val="0"/>
          <w:numId w:val="388"/>
        </w:numPr>
        <w:tabs>
          <w:tab w:val="left" w:pos="707"/>
        </w:tabs>
        <w:spacing w:before="117" w:line="276" w:lineRule="auto"/>
        <w:ind w:right="26"/>
        <w:jc w:val="both"/>
        <w:rPr>
          <w:rFonts w:ascii="Arial" w:hAnsi="Arial" w:cs="Arial"/>
          <w:sz w:val="20"/>
        </w:rPr>
      </w:pPr>
      <w:r w:rsidRPr="00FD1CB6">
        <w:rPr>
          <w:rFonts w:ascii="Arial" w:hAnsi="Arial" w:cs="Arial"/>
          <w:sz w:val="20"/>
        </w:rPr>
        <w:t>For a burner, the pilot light (or other means of ignition) must be shown to operate reliably in typical gusts and rain, must be readily accessible for relighting and must be easily relit. Continued operation of a heater must be possible in the event of a sustained pilot light failure.</w:t>
      </w:r>
    </w:p>
    <w:p w14:paraId="4A0719D4" w14:textId="77777777" w:rsidR="00FD1CB6" w:rsidRPr="00FD1CB6" w:rsidRDefault="00FD1CB6" w:rsidP="005B7755">
      <w:pPr>
        <w:pStyle w:val="ListParagraph"/>
        <w:numPr>
          <w:ilvl w:val="0"/>
          <w:numId w:val="388"/>
        </w:numPr>
        <w:tabs>
          <w:tab w:val="left" w:pos="707"/>
        </w:tabs>
        <w:spacing w:before="117" w:line="276" w:lineRule="auto"/>
        <w:ind w:right="26"/>
        <w:jc w:val="both"/>
        <w:rPr>
          <w:rFonts w:ascii="Arial" w:hAnsi="Arial" w:cs="Arial"/>
          <w:sz w:val="20"/>
        </w:rPr>
      </w:pPr>
      <w:r w:rsidRPr="00FD1CB6">
        <w:rPr>
          <w:rFonts w:ascii="Arial" w:hAnsi="Arial" w:cs="Arial"/>
          <w:sz w:val="20"/>
        </w:rPr>
        <w:t>Except in single-occupant balloons, the heater system must be designed so that in the event of any single failure, it will   retain sufficient   heat output   to maintain level flight.   (See AMC 31HB.47(f))</w:t>
      </w:r>
    </w:p>
    <w:p w14:paraId="0D76A852" w14:textId="77777777" w:rsidR="002314D6" w:rsidRDefault="002314D6" w:rsidP="00E943FB">
      <w:pPr>
        <w:ind w:right="26"/>
        <w:rPr>
          <w:rFonts w:ascii="Arial" w:hAnsi="Arial" w:cs="Arial"/>
          <w:sz w:val="20"/>
          <w:szCs w:val="20"/>
        </w:rPr>
      </w:pPr>
    </w:p>
    <w:p w14:paraId="2BD9BFAA" w14:textId="77777777" w:rsidR="00380488" w:rsidRDefault="00380488" w:rsidP="00E943FB">
      <w:pPr>
        <w:ind w:right="26"/>
        <w:rPr>
          <w:rFonts w:ascii="Arial" w:hAnsi="Arial" w:cs="Arial"/>
          <w:sz w:val="20"/>
          <w:szCs w:val="20"/>
        </w:rPr>
      </w:pPr>
    </w:p>
    <w:p w14:paraId="5B9A97A6" w14:textId="77777777" w:rsidR="00380488" w:rsidRPr="00380488" w:rsidRDefault="00380488" w:rsidP="00380488">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340" w:name="AMC_31HB.47(c)(1)_Heater_system"/>
      <w:bookmarkStart w:id="1341" w:name="_bookmark553"/>
      <w:bookmarkStart w:id="1342" w:name="_Toc153137716"/>
      <w:bookmarkEnd w:id="1340"/>
      <w:bookmarkEnd w:id="1341"/>
      <w:r w:rsidRPr="00380488">
        <w:rPr>
          <w:rFonts w:ascii="Arial" w:eastAsia="Times New Roman" w:hAnsi="Arial" w:cs="Times New Roman"/>
          <w:b/>
          <w:color w:val="FFFFFF"/>
          <w:sz w:val="24"/>
        </w:rPr>
        <w:t>AMC 31HB.47(c)(1) Heater system</w:t>
      </w:r>
      <w:bookmarkEnd w:id="1342"/>
    </w:p>
    <w:p w14:paraId="54B8B2AA" w14:textId="77777777" w:rsidR="00380488" w:rsidRPr="00380488" w:rsidRDefault="00380488" w:rsidP="00380488">
      <w:pPr>
        <w:pStyle w:val="BodyText"/>
        <w:spacing w:before="117" w:line="276" w:lineRule="auto"/>
        <w:ind w:right="26"/>
        <w:jc w:val="both"/>
        <w:rPr>
          <w:rFonts w:ascii="Arial" w:hAnsi="Arial" w:cs="Arial"/>
          <w:sz w:val="20"/>
        </w:rPr>
      </w:pPr>
      <w:r w:rsidRPr="00380488">
        <w:rPr>
          <w:rFonts w:ascii="Arial" w:hAnsi="Arial" w:cs="Arial"/>
          <w:sz w:val="20"/>
        </w:rPr>
        <w:t>Colour coding of controls and fuel feeds is an acceptable means of compliance.</w:t>
      </w:r>
    </w:p>
    <w:p w14:paraId="4CAB0B29" w14:textId="77777777" w:rsidR="00380488" w:rsidRPr="00380488" w:rsidRDefault="00380488" w:rsidP="00380488">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343" w:name="AMC_31HB.47(c)(2)_Minimum_equipment"/>
      <w:bookmarkStart w:id="1344" w:name="_bookmark554"/>
      <w:bookmarkStart w:id="1345" w:name="_Toc153137717"/>
      <w:bookmarkEnd w:id="1343"/>
      <w:bookmarkEnd w:id="1344"/>
      <w:r w:rsidRPr="00380488">
        <w:rPr>
          <w:rFonts w:ascii="Arial" w:eastAsia="Times New Roman" w:hAnsi="Arial" w:cs="Times New Roman"/>
          <w:b/>
          <w:color w:val="FFFFFF"/>
          <w:sz w:val="24"/>
        </w:rPr>
        <w:lastRenderedPageBreak/>
        <w:t>AMC 31HB.47(c)(2) Minimum equipment</w:t>
      </w:r>
      <w:bookmarkEnd w:id="1345"/>
    </w:p>
    <w:p w14:paraId="58D7F0D8" w14:textId="77777777" w:rsidR="00380488" w:rsidRPr="00380488" w:rsidRDefault="00380488" w:rsidP="00380488">
      <w:pPr>
        <w:pStyle w:val="BodyText"/>
        <w:spacing w:before="117" w:line="276" w:lineRule="auto"/>
        <w:ind w:right="26"/>
        <w:jc w:val="both"/>
        <w:rPr>
          <w:rFonts w:ascii="Arial" w:hAnsi="Arial" w:cs="Arial"/>
          <w:sz w:val="20"/>
        </w:rPr>
      </w:pPr>
      <w:r w:rsidRPr="00380488">
        <w:rPr>
          <w:rFonts w:ascii="Arial" w:hAnsi="Arial" w:cs="Arial"/>
          <w:sz w:val="20"/>
        </w:rPr>
        <w:t>An indication whether the individual fuel cell is FULL and indication for the use of the last 30% (or more) of the usable amount of fuel is considered compliant with this requirement.</w:t>
      </w:r>
    </w:p>
    <w:p w14:paraId="6F3F7D36" w14:textId="77777777" w:rsidR="00380488" w:rsidRPr="00380488" w:rsidRDefault="00380488" w:rsidP="00380488">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346" w:name="AMC_31HB.47(c)(3)_Heater_system"/>
      <w:bookmarkStart w:id="1347" w:name="_bookmark555"/>
      <w:bookmarkStart w:id="1348" w:name="_Toc153137718"/>
      <w:bookmarkEnd w:id="1346"/>
      <w:bookmarkEnd w:id="1347"/>
      <w:r w:rsidRPr="00380488">
        <w:rPr>
          <w:rFonts w:ascii="Arial" w:eastAsia="Times New Roman" w:hAnsi="Arial" w:cs="Times New Roman"/>
          <w:b/>
          <w:color w:val="FFFFFF"/>
          <w:sz w:val="24"/>
        </w:rPr>
        <w:t>AMC 31HB.47(c)(3) Heater system</w:t>
      </w:r>
      <w:bookmarkEnd w:id="1348"/>
    </w:p>
    <w:p w14:paraId="71B36C49" w14:textId="77777777" w:rsidR="00380488" w:rsidRPr="00380488" w:rsidRDefault="00380488" w:rsidP="00380488">
      <w:pPr>
        <w:pStyle w:val="BodyText"/>
        <w:spacing w:before="117" w:line="276" w:lineRule="auto"/>
        <w:ind w:right="26"/>
        <w:jc w:val="both"/>
        <w:rPr>
          <w:rFonts w:ascii="Arial" w:hAnsi="Arial" w:cs="Arial"/>
          <w:sz w:val="20"/>
        </w:rPr>
      </w:pPr>
      <w:r w:rsidRPr="00380488">
        <w:rPr>
          <w:rFonts w:ascii="Arial" w:hAnsi="Arial" w:cs="Arial"/>
          <w:sz w:val="20"/>
        </w:rPr>
        <w:t>A device that indicates the fuel pressure before entering each main blast valve is considered compliant with this requirement.</w:t>
      </w:r>
    </w:p>
    <w:p w14:paraId="0B4E2D7A" w14:textId="77777777" w:rsidR="00380488" w:rsidRPr="00380488" w:rsidRDefault="00380488" w:rsidP="00380488">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349" w:name="AMC_31HB.47(f)_Heater_system"/>
      <w:bookmarkStart w:id="1350" w:name="_bookmark556"/>
      <w:bookmarkStart w:id="1351" w:name="_Toc153137719"/>
      <w:bookmarkEnd w:id="1349"/>
      <w:bookmarkEnd w:id="1350"/>
      <w:r w:rsidRPr="00380488">
        <w:rPr>
          <w:rFonts w:ascii="Arial" w:eastAsia="Times New Roman" w:hAnsi="Arial" w:cs="Times New Roman"/>
          <w:b/>
          <w:color w:val="FFFFFF"/>
          <w:sz w:val="24"/>
        </w:rPr>
        <w:t>AMC 31HB.47(f) Heater system</w:t>
      </w:r>
      <w:bookmarkEnd w:id="1351"/>
    </w:p>
    <w:p w14:paraId="513345A9" w14:textId="77777777" w:rsidR="00380488" w:rsidRPr="00380488" w:rsidRDefault="00380488" w:rsidP="00380488">
      <w:pPr>
        <w:pStyle w:val="BodyText"/>
        <w:spacing w:before="117" w:line="276" w:lineRule="auto"/>
        <w:ind w:right="26"/>
        <w:jc w:val="both"/>
        <w:rPr>
          <w:rFonts w:ascii="Arial" w:hAnsi="Arial" w:cs="Arial"/>
          <w:sz w:val="20"/>
        </w:rPr>
      </w:pPr>
      <w:r w:rsidRPr="00380488">
        <w:rPr>
          <w:rFonts w:ascii="Arial" w:hAnsi="Arial" w:cs="Arial"/>
          <w:sz w:val="20"/>
        </w:rPr>
        <w:t>For those single occupant balloons which do not meet the single failure criteria in the requirement, measures to compensate for the increased likelihood of a cold descent landing (i.e. one without the assistance of a heater system) should be discussed with the Agency.</w:t>
      </w:r>
    </w:p>
    <w:p w14:paraId="370441E8" w14:textId="77777777" w:rsidR="00E7638B" w:rsidRPr="00E7638B" w:rsidRDefault="00E7638B" w:rsidP="00E7638B">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352" w:name="CS_31HB.49_Control_systems"/>
      <w:bookmarkStart w:id="1353" w:name="_bookmark557"/>
      <w:bookmarkStart w:id="1354" w:name="_Toc153137720"/>
      <w:bookmarkEnd w:id="1352"/>
      <w:bookmarkEnd w:id="1353"/>
      <w:r w:rsidRPr="00E7638B">
        <w:rPr>
          <w:rFonts w:ascii="Arial" w:eastAsia="Times New Roman" w:hAnsi="Arial" w:cs="Times New Roman"/>
          <w:b/>
          <w:iCs/>
          <w:color w:val="FFFFFF"/>
          <w:sz w:val="24"/>
        </w:rPr>
        <w:t>CS 31HB.49 Control systems</w:t>
      </w:r>
      <w:bookmarkEnd w:id="1354"/>
    </w:p>
    <w:p w14:paraId="39612F22" w14:textId="77777777" w:rsidR="00E7638B" w:rsidRPr="00E7638B" w:rsidRDefault="00E7638B" w:rsidP="005B7755">
      <w:pPr>
        <w:pStyle w:val="ListParagraph"/>
        <w:numPr>
          <w:ilvl w:val="0"/>
          <w:numId w:val="391"/>
        </w:numPr>
        <w:tabs>
          <w:tab w:val="left" w:pos="707"/>
        </w:tabs>
        <w:spacing w:before="117" w:line="276" w:lineRule="auto"/>
        <w:ind w:right="26"/>
        <w:jc w:val="both"/>
        <w:rPr>
          <w:rFonts w:ascii="Arial" w:hAnsi="Arial" w:cs="Arial"/>
          <w:sz w:val="20"/>
        </w:rPr>
      </w:pPr>
      <w:r w:rsidRPr="00E7638B">
        <w:rPr>
          <w:rFonts w:ascii="Arial" w:hAnsi="Arial" w:cs="Arial"/>
          <w:sz w:val="20"/>
        </w:rPr>
        <w:t>Each control must operate easily, smoothly, and positively enough to allow proper performance of its functions. Controls must be so arranged and identified to prevent confusion and inadvertent operation.</w:t>
      </w:r>
    </w:p>
    <w:p w14:paraId="6059FAA0" w14:textId="77777777" w:rsidR="00E7638B" w:rsidRPr="00E7638B" w:rsidRDefault="00E7638B" w:rsidP="005B7755">
      <w:pPr>
        <w:pStyle w:val="ListParagraph"/>
        <w:numPr>
          <w:ilvl w:val="0"/>
          <w:numId w:val="391"/>
        </w:numPr>
        <w:tabs>
          <w:tab w:val="left" w:pos="707"/>
        </w:tabs>
        <w:spacing w:before="117" w:line="276" w:lineRule="auto"/>
        <w:ind w:right="26"/>
        <w:jc w:val="both"/>
        <w:rPr>
          <w:rFonts w:ascii="Arial" w:hAnsi="Arial" w:cs="Arial"/>
          <w:sz w:val="20"/>
        </w:rPr>
      </w:pPr>
      <w:r w:rsidRPr="00E7638B">
        <w:rPr>
          <w:rFonts w:ascii="Arial" w:hAnsi="Arial" w:cs="Arial"/>
          <w:sz w:val="20"/>
        </w:rPr>
        <w:t>Each control system and operating device must be designed and installed in a manner that will prevent jamming, chafing, or unintended interference from passengers or loose items of equipment. The elements of the control system must have design features or must be distinctly and permanently marked to minimise the possibility of incorrect assembly that could result in malfunctioning of the control system.</w:t>
      </w:r>
    </w:p>
    <w:p w14:paraId="76F0ACB4" w14:textId="77777777" w:rsidR="00E7638B" w:rsidRPr="00E7638B" w:rsidRDefault="00E7638B" w:rsidP="005B7755">
      <w:pPr>
        <w:pStyle w:val="ListParagraph"/>
        <w:numPr>
          <w:ilvl w:val="0"/>
          <w:numId w:val="391"/>
        </w:numPr>
        <w:tabs>
          <w:tab w:val="left" w:pos="707"/>
        </w:tabs>
        <w:spacing w:before="117" w:line="276" w:lineRule="auto"/>
        <w:ind w:right="26"/>
        <w:jc w:val="both"/>
        <w:rPr>
          <w:rFonts w:ascii="Arial" w:hAnsi="Arial" w:cs="Arial"/>
          <w:sz w:val="20"/>
        </w:rPr>
      </w:pPr>
      <w:r w:rsidRPr="00E7638B">
        <w:rPr>
          <w:rFonts w:ascii="Arial" w:hAnsi="Arial" w:cs="Arial"/>
          <w:sz w:val="20"/>
        </w:rPr>
        <w:t>To prevent bursting of the envelope, each mixed balloon using a captive gas as a lifting means must be equipped with a valve or appendix through which sufficient gas volume can be released automatically once the maximum operating pressure is reached.</w:t>
      </w:r>
    </w:p>
    <w:p w14:paraId="0A1E7AC4" w14:textId="77777777" w:rsidR="00E7638B" w:rsidRPr="00E7638B" w:rsidRDefault="00E7638B" w:rsidP="005B7755">
      <w:pPr>
        <w:pStyle w:val="ListParagraph"/>
        <w:numPr>
          <w:ilvl w:val="0"/>
          <w:numId w:val="391"/>
        </w:numPr>
        <w:tabs>
          <w:tab w:val="left" w:pos="707"/>
        </w:tabs>
        <w:spacing w:before="117" w:line="276" w:lineRule="auto"/>
        <w:ind w:right="26"/>
        <w:jc w:val="both"/>
        <w:rPr>
          <w:rFonts w:ascii="Arial" w:hAnsi="Arial" w:cs="Arial"/>
          <w:sz w:val="20"/>
        </w:rPr>
      </w:pPr>
      <w:r w:rsidRPr="00E7638B">
        <w:rPr>
          <w:rFonts w:ascii="Arial" w:hAnsi="Arial" w:cs="Arial"/>
          <w:sz w:val="20"/>
        </w:rPr>
        <w:t>Each Hot Air Balloon must have a means to allow the controlled release of hot air during flight unless the balloon complies with CS 31HB.20 without it.</w:t>
      </w:r>
    </w:p>
    <w:p w14:paraId="4E5870F7" w14:textId="77777777" w:rsidR="00E7638B" w:rsidRPr="00E7638B" w:rsidRDefault="00E7638B" w:rsidP="005B7755">
      <w:pPr>
        <w:pStyle w:val="ListParagraph"/>
        <w:numPr>
          <w:ilvl w:val="0"/>
          <w:numId w:val="391"/>
        </w:numPr>
        <w:tabs>
          <w:tab w:val="left" w:pos="707"/>
        </w:tabs>
        <w:spacing w:before="117" w:line="276" w:lineRule="auto"/>
        <w:ind w:right="26"/>
        <w:jc w:val="both"/>
        <w:rPr>
          <w:rFonts w:ascii="Arial" w:hAnsi="Arial" w:cs="Arial"/>
          <w:sz w:val="20"/>
        </w:rPr>
      </w:pPr>
      <w:r w:rsidRPr="00E7638B">
        <w:rPr>
          <w:rFonts w:ascii="Arial" w:hAnsi="Arial" w:cs="Arial"/>
          <w:sz w:val="20"/>
        </w:rPr>
        <w:t>For the purpose of envelope material protection, each Hot Air Balloon must have a means to indicate the maximum envelope skin temperature or maximum internal air temperature during operation. (See AMC 31HB.49(e))</w:t>
      </w:r>
    </w:p>
    <w:p w14:paraId="31F2A3AD" w14:textId="77777777" w:rsidR="001555E0" w:rsidRPr="001555E0" w:rsidRDefault="001555E0" w:rsidP="001555E0">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355" w:name="AMC_31HB.49(e)_Control_systems"/>
      <w:bookmarkStart w:id="1356" w:name="_bookmark558"/>
      <w:bookmarkStart w:id="1357" w:name="_Toc153137721"/>
      <w:bookmarkEnd w:id="1355"/>
      <w:bookmarkEnd w:id="1356"/>
      <w:r w:rsidRPr="001555E0">
        <w:rPr>
          <w:rFonts w:ascii="Arial" w:eastAsia="Times New Roman" w:hAnsi="Arial" w:cs="Times New Roman"/>
          <w:b/>
          <w:color w:val="FFFFFF"/>
          <w:sz w:val="24"/>
        </w:rPr>
        <w:t>AMC 31HB.49(e) Control systems</w:t>
      </w:r>
      <w:bookmarkEnd w:id="1357"/>
    </w:p>
    <w:p w14:paraId="447DE58F" w14:textId="77777777" w:rsidR="001555E0" w:rsidRPr="001555E0" w:rsidRDefault="001555E0" w:rsidP="001555E0">
      <w:pPr>
        <w:pStyle w:val="BodyText"/>
        <w:spacing w:before="117" w:line="276" w:lineRule="auto"/>
        <w:ind w:right="26"/>
        <w:jc w:val="both"/>
        <w:rPr>
          <w:rFonts w:ascii="Arial" w:hAnsi="Arial" w:cs="Arial"/>
          <w:sz w:val="20"/>
        </w:rPr>
      </w:pPr>
      <w:r w:rsidRPr="001555E0">
        <w:rPr>
          <w:rFonts w:ascii="Arial" w:hAnsi="Arial" w:cs="Arial"/>
          <w:sz w:val="20"/>
        </w:rPr>
        <w:t>The use of a signal warning device, which actuates at a temperature below the limiting safe temperature, is an acceptable means of compliance.</w:t>
      </w:r>
    </w:p>
    <w:p w14:paraId="2CDC8441" w14:textId="77777777" w:rsidR="001555E0" w:rsidRPr="001555E0" w:rsidRDefault="001555E0" w:rsidP="001555E0">
      <w:pPr>
        <w:pStyle w:val="BodyText"/>
        <w:spacing w:before="117" w:line="276" w:lineRule="auto"/>
        <w:ind w:right="26"/>
        <w:jc w:val="both"/>
        <w:rPr>
          <w:rFonts w:ascii="Arial" w:hAnsi="Arial" w:cs="Arial"/>
          <w:sz w:val="20"/>
        </w:rPr>
      </w:pPr>
      <w:r w:rsidRPr="001555E0">
        <w:rPr>
          <w:rFonts w:ascii="Arial" w:hAnsi="Arial" w:cs="Arial"/>
          <w:sz w:val="20"/>
        </w:rPr>
        <w:t>If the actuation of the signal warning device is of a non-recurring type, the Flight Manual should contain appropriate instructions as to the safe operation of the balloon after the actuation of the signal warning device.</w:t>
      </w:r>
    </w:p>
    <w:p w14:paraId="22CA7B45" w14:textId="77777777" w:rsidR="00543DA8" w:rsidRPr="00543DA8" w:rsidRDefault="00543DA8" w:rsidP="00543DA8">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358" w:name="CS_31HB.51_Disposable_ballast"/>
      <w:bookmarkStart w:id="1359" w:name="_bookmark559"/>
      <w:bookmarkStart w:id="1360" w:name="_Toc153137722"/>
      <w:bookmarkEnd w:id="1358"/>
      <w:bookmarkEnd w:id="1359"/>
      <w:r w:rsidRPr="00543DA8">
        <w:rPr>
          <w:rFonts w:ascii="Arial" w:eastAsia="Times New Roman" w:hAnsi="Arial" w:cs="Times New Roman"/>
          <w:b/>
          <w:iCs/>
          <w:color w:val="FFFFFF"/>
          <w:sz w:val="24"/>
        </w:rPr>
        <w:t>CS 31HB.51 Disposable ballast</w:t>
      </w:r>
      <w:bookmarkEnd w:id="1360"/>
    </w:p>
    <w:p w14:paraId="4CE7CEBF" w14:textId="77777777" w:rsidR="00543DA8" w:rsidRPr="00543DA8" w:rsidRDefault="00543DA8" w:rsidP="00543DA8">
      <w:pPr>
        <w:pStyle w:val="BodyText"/>
        <w:spacing w:before="117" w:line="276" w:lineRule="auto"/>
        <w:ind w:right="26"/>
        <w:jc w:val="both"/>
        <w:rPr>
          <w:rFonts w:ascii="Arial" w:hAnsi="Arial" w:cs="Arial"/>
          <w:sz w:val="20"/>
        </w:rPr>
      </w:pPr>
      <w:r w:rsidRPr="00543DA8">
        <w:rPr>
          <w:rFonts w:ascii="Arial" w:hAnsi="Arial" w:cs="Arial"/>
          <w:sz w:val="20"/>
        </w:rPr>
        <w:t>Each mixed balloon using disposable ballast must have means for safe storage and release of the disposable ballast. (See AMC 31HB.51)</w:t>
      </w:r>
    </w:p>
    <w:p w14:paraId="73F35691" w14:textId="77777777" w:rsidR="00543DA8" w:rsidRPr="00543DA8" w:rsidRDefault="00543DA8" w:rsidP="00543DA8">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361" w:name="AMC_31HB.51_Disposable_ballast"/>
      <w:bookmarkStart w:id="1362" w:name="_bookmark560"/>
      <w:bookmarkStart w:id="1363" w:name="_Toc153137723"/>
      <w:bookmarkEnd w:id="1361"/>
      <w:bookmarkEnd w:id="1362"/>
      <w:r w:rsidRPr="00543DA8">
        <w:rPr>
          <w:rFonts w:ascii="Arial" w:eastAsia="Times New Roman" w:hAnsi="Arial" w:cs="Times New Roman"/>
          <w:b/>
          <w:color w:val="FFFFFF"/>
          <w:sz w:val="24"/>
        </w:rPr>
        <w:t>AMC 31HB.51 Disposable ballast</w:t>
      </w:r>
      <w:bookmarkEnd w:id="1363"/>
    </w:p>
    <w:p w14:paraId="76961CB2" w14:textId="713DA5BA" w:rsidR="00543DA8" w:rsidRDefault="00543DA8" w:rsidP="00543DA8">
      <w:pPr>
        <w:pStyle w:val="BodyText"/>
        <w:spacing w:before="117" w:line="276" w:lineRule="auto"/>
        <w:ind w:right="26"/>
        <w:jc w:val="both"/>
        <w:rPr>
          <w:rFonts w:ascii="Arial" w:hAnsi="Arial" w:cs="Arial"/>
          <w:sz w:val="20"/>
        </w:rPr>
      </w:pPr>
      <w:r w:rsidRPr="00543DA8">
        <w:rPr>
          <w:rFonts w:ascii="Arial" w:hAnsi="Arial" w:cs="Arial"/>
          <w:sz w:val="20"/>
        </w:rPr>
        <w:t>Ballast material should be easily transferred, disposed of and dissipated. Means should be provided to prevent freezing and/or blocking the release of the ballast material. The material should not pollute the environment.</w:t>
      </w:r>
    </w:p>
    <w:p w14:paraId="77D7CB9A" w14:textId="77777777" w:rsidR="00543DA8" w:rsidRPr="00543DA8" w:rsidRDefault="00543DA8" w:rsidP="00543DA8">
      <w:pPr>
        <w:pStyle w:val="BodyText"/>
        <w:spacing w:before="117" w:line="276" w:lineRule="auto"/>
        <w:ind w:right="26"/>
        <w:jc w:val="both"/>
        <w:rPr>
          <w:rFonts w:ascii="Arial" w:hAnsi="Arial" w:cs="Arial"/>
          <w:sz w:val="20"/>
        </w:rPr>
      </w:pPr>
      <w:r w:rsidRPr="00543DA8">
        <w:rPr>
          <w:rFonts w:ascii="Arial" w:hAnsi="Arial" w:cs="Arial"/>
          <w:sz w:val="20"/>
        </w:rPr>
        <w:t>Dry sand is a well proven material and is considered as suitable in the sense of this paragraph and this AMC.</w:t>
      </w:r>
    </w:p>
    <w:p w14:paraId="2CAAC55D" w14:textId="77777777" w:rsidR="00543DA8" w:rsidRPr="00543DA8" w:rsidRDefault="00543DA8" w:rsidP="00543DA8">
      <w:pPr>
        <w:pStyle w:val="BodyText"/>
        <w:spacing w:before="117" w:line="276" w:lineRule="auto"/>
        <w:ind w:right="26"/>
        <w:jc w:val="both"/>
        <w:rPr>
          <w:rFonts w:ascii="Arial" w:hAnsi="Arial" w:cs="Arial"/>
          <w:sz w:val="20"/>
        </w:rPr>
      </w:pPr>
      <w:r w:rsidRPr="00543DA8">
        <w:rPr>
          <w:rFonts w:ascii="Arial" w:hAnsi="Arial" w:cs="Arial"/>
          <w:sz w:val="20"/>
        </w:rPr>
        <w:t xml:space="preserve">The disposable ballast may be necessary for the pilot to perform the flight path management. The pre- </w:t>
      </w:r>
      <w:r w:rsidRPr="00543DA8">
        <w:rPr>
          <w:rFonts w:ascii="Arial" w:hAnsi="Arial" w:cs="Arial"/>
          <w:sz w:val="20"/>
        </w:rPr>
        <w:lastRenderedPageBreak/>
        <w:t>take-off decision on the amount of disposable ballast should be left to the pilot as it is dependent on the flight task, the weather etc.</w:t>
      </w:r>
    </w:p>
    <w:p w14:paraId="2E624259" w14:textId="77777777" w:rsidR="00543DA8" w:rsidRPr="00543DA8" w:rsidRDefault="00543DA8" w:rsidP="00543DA8">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364" w:name="CS_31HB.53_Drag_rope"/>
      <w:bookmarkStart w:id="1365" w:name="_bookmark561"/>
      <w:bookmarkStart w:id="1366" w:name="_Toc153137724"/>
      <w:bookmarkEnd w:id="1364"/>
      <w:bookmarkEnd w:id="1365"/>
      <w:r w:rsidRPr="00543DA8">
        <w:rPr>
          <w:rFonts w:ascii="Arial" w:eastAsia="Times New Roman" w:hAnsi="Arial" w:cs="Times New Roman"/>
          <w:b/>
          <w:iCs/>
          <w:color w:val="FFFFFF"/>
          <w:sz w:val="24"/>
        </w:rPr>
        <w:t>CS 31HB.53 Drag rope</w:t>
      </w:r>
      <w:bookmarkEnd w:id="1366"/>
    </w:p>
    <w:p w14:paraId="0A9827B4" w14:textId="77777777" w:rsidR="00543DA8" w:rsidRPr="00543DA8" w:rsidRDefault="00543DA8" w:rsidP="00543DA8">
      <w:pPr>
        <w:pStyle w:val="BodyText"/>
        <w:spacing w:before="117" w:line="276" w:lineRule="auto"/>
        <w:ind w:right="26"/>
        <w:jc w:val="both"/>
        <w:rPr>
          <w:rFonts w:ascii="Arial" w:hAnsi="Arial" w:cs="Arial"/>
          <w:sz w:val="20"/>
        </w:rPr>
      </w:pPr>
      <w:r w:rsidRPr="00543DA8">
        <w:rPr>
          <w:rFonts w:ascii="Arial" w:hAnsi="Arial" w:cs="Arial"/>
          <w:sz w:val="20"/>
        </w:rPr>
        <w:t>If a drag rope is used, the end that is released overboard must be stiffened to preclude the probability of the rope becoming entangled with trees, wires, or other objects on the ground.</w:t>
      </w:r>
    </w:p>
    <w:p w14:paraId="0A37CFED" w14:textId="77777777" w:rsidR="00543DA8" w:rsidRPr="00543DA8" w:rsidRDefault="00543DA8" w:rsidP="00543DA8">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367" w:name="CS_31HB.55_Rapid_deflation_means"/>
      <w:bookmarkStart w:id="1368" w:name="_bookmark562"/>
      <w:bookmarkStart w:id="1369" w:name="_Toc153137725"/>
      <w:bookmarkEnd w:id="1367"/>
      <w:bookmarkEnd w:id="1368"/>
      <w:r w:rsidRPr="00543DA8">
        <w:rPr>
          <w:rFonts w:ascii="Arial" w:eastAsia="Times New Roman" w:hAnsi="Arial" w:cs="Times New Roman"/>
          <w:b/>
          <w:iCs/>
          <w:color w:val="FFFFFF"/>
          <w:sz w:val="24"/>
        </w:rPr>
        <w:t>CS 31HB.55 Rapid deflation means</w:t>
      </w:r>
      <w:bookmarkEnd w:id="1369"/>
    </w:p>
    <w:p w14:paraId="1A307F08" w14:textId="77777777" w:rsidR="00543DA8" w:rsidRPr="00543DA8" w:rsidRDefault="00543DA8" w:rsidP="005B7755">
      <w:pPr>
        <w:pStyle w:val="ListParagraph"/>
        <w:numPr>
          <w:ilvl w:val="0"/>
          <w:numId w:val="392"/>
        </w:numPr>
        <w:tabs>
          <w:tab w:val="left" w:pos="707"/>
        </w:tabs>
        <w:spacing w:before="117" w:line="276" w:lineRule="auto"/>
        <w:ind w:right="26"/>
        <w:jc w:val="both"/>
        <w:rPr>
          <w:rFonts w:ascii="Arial" w:hAnsi="Arial" w:cs="Arial"/>
          <w:sz w:val="20"/>
        </w:rPr>
      </w:pPr>
      <w:r w:rsidRPr="00543DA8">
        <w:rPr>
          <w:rFonts w:ascii="Arial" w:hAnsi="Arial" w:cs="Arial"/>
          <w:sz w:val="20"/>
        </w:rPr>
        <w:t>The envelope must have means to allow for rapid deflation after landing. The system must be designed to minimize the possibility of inadvertent operation. If a system other than a manual system is used, the reliability of the system used must be substantiated. (See AMC 31HB.55(a)).</w:t>
      </w:r>
    </w:p>
    <w:p w14:paraId="518617C4" w14:textId="77777777" w:rsidR="00543DA8" w:rsidRPr="00543DA8" w:rsidRDefault="00543DA8" w:rsidP="005B7755">
      <w:pPr>
        <w:pStyle w:val="ListParagraph"/>
        <w:numPr>
          <w:ilvl w:val="0"/>
          <w:numId w:val="392"/>
        </w:numPr>
        <w:tabs>
          <w:tab w:val="left" w:pos="707"/>
        </w:tabs>
        <w:spacing w:before="117" w:line="276" w:lineRule="auto"/>
        <w:ind w:right="26"/>
        <w:jc w:val="both"/>
        <w:rPr>
          <w:rFonts w:ascii="Arial" w:hAnsi="Arial" w:cs="Arial"/>
          <w:sz w:val="20"/>
        </w:rPr>
      </w:pPr>
      <w:r w:rsidRPr="00543DA8">
        <w:rPr>
          <w:rFonts w:ascii="Arial" w:hAnsi="Arial" w:cs="Arial"/>
          <w:sz w:val="20"/>
        </w:rPr>
        <w:t>If a mixed balloon is equipped with a lateral rapid deflation means, a device must be installed to align the balloon during landing in order to turn the rapid deflation means into its designated position. (See AMC 31HB.55(b))</w:t>
      </w:r>
    </w:p>
    <w:p w14:paraId="204AAD72" w14:textId="77777777" w:rsidR="007A4AF8" w:rsidRPr="007A4AF8" w:rsidRDefault="007A4AF8" w:rsidP="007A4AF8">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370" w:name="AMC_31HB.55(a)_Rapid_deflation_means"/>
      <w:bookmarkStart w:id="1371" w:name="_bookmark563"/>
      <w:bookmarkStart w:id="1372" w:name="_Toc153137726"/>
      <w:bookmarkEnd w:id="1370"/>
      <w:bookmarkEnd w:id="1371"/>
      <w:r w:rsidRPr="007A4AF8">
        <w:rPr>
          <w:rFonts w:ascii="Arial" w:eastAsia="Times New Roman" w:hAnsi="Arial" w:cs="Times New Roman"/>
          <w:b/>
          <w:color w:val="FFFFFF"/>
          <w:sz w:val="24"/>
        </w:rPr>
        <w:t>AMC 31HB.55(a) Rapid deflation means</w:t>
      </w:r>
      <w:bookmarkEnd w:id="1372"/>
    </w:p>
    <w:p w14:paraId="6BECAFD3" w14:textId="77777777" w:rsidR="007A4AF8" w:rsidRPr="007A4AF8" w:rsidRDefault="007A4AF8" w:rsidP="007A4AF8">
      <w:pPr>
        <w:pStyle w:val="BodyText"/>
        <w:spacing w:before="117" w:line="276" w:lineRule="auto"/>
        <w:ind w:right="26"/>
        <w:jc w:val="both"/>
        <w:rPr>
          <w:rFonts w:ascii="Arial" w:hAnsi="Arial" w:cs="Arial"/>
          <w:sz w:val="20"/>
        </w:rPr>
      </w:pPr>
      <w:r w:rsidRPr="007A4AF8">
        <w:rPr>
          <w:rFonts w:ascii="Arial" w:hAnsi="Arial" w:cs="Arial"/>
          <w:sz w:val="20"/>
        </w:rPr>
        <w:t>A deflation is considered as "rapid" if after touch-down the balloon envelope is adequately prevented from "sailing" and being dragged too much over the ground by the wind.</w:t>
      </w:r>
    </w:p>
    <w:p w14:paraId="72222171" w14:textId="77777777" w:rsidR="007A4AF8" w:rsidRPr="007A4AF8" w:rsidRDefault="007A4AF8" w:rsidP="007A4AF8">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373" w:name="AMC_31HB.55(b)_Rapid_deflation_means"/>
      <w:bookmarkStart w:id="1374" w:name="_bookmark564"/>
      <w:bookmarkStart w:id="1375" w:name="_Toc153137727"/>
      <w:bookmarkEnd w:id="1373"/>
      <w:bookmarkEnd w:id="1374"/>
      <w:r w:rsidRPr="007A4AF8">
        <w:rPr>
          <w:rFonts w:ascii="Arial" w:eastAsia="Times New Roman" w:hAnsi="Arial" w:cs="Times New Roman"/>
          <w:b/>
          <w:color w:val="FFFFFF"/>
          <w:sz w:val="24"/>
        </w:rPr>
        <w:t>AMC 31HB.55(b) Rapid deflation means</w:t>
      </w:r>
      <w:bookmarkEnd w:id="1375"/>
    </w:p>
    <w:p w14:paraId="2269EC8E" w14:textId="77777777" w:rsidR="007A4AF8" w:rsidRPr="007A4AF8" w:rsidRDefault="007A4AF8" w:rsidP="007A4AF8">
      <w:pPr>
        <w:pStyle w:val="BodyText"/>
        <w:spacing w:before="117" w:line="276" w:lineRule="auto"/>
        <w:ind w:right="26"/>
        <w:jc w:val="both"/>
        <w:rPr>
          <w:rFonts w:ascii="Arial" w:hAnsi="Arial" w:cs="Arial"/>
          <w:sz w:val="20"/>
        </w:rPr>
      </w:pPr>
      <w:r w:rsidRPr="007A4AF8">
        <w:rPr>
          <w:rFonts w:ascii="Arial" w:hAnsi="Arial" w:cs="Arial"/>
          <w:sz w:val="20"/>
        </w:rPr>
        <w:t>The installation of turning vents or a drag rope is considered as a suitable device to align the balloon during landing in the sense of this subparagraph.</w:t>
      </w:r>
    </w:p>
    <w:p w14:paraId="54A4CAD8" w14:textId="77777777" w:rsidR="004660D2" w:rsidRPr="004660D2" w:rsidRDefault="004660D2" w:rsidP="004660D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376" w:name="CS_31HB.57_Control_cords"/>
      <w:bookmarkStart w:id="1377" w:name="_bookmark565"/>
      <w:bookmarkStart w:id="1378" w:name="_Toc153137728"/>
      <w:bookmarkEnd w:id="1376"/>
      <w:bookmarkEnd w:id="1377"/>
      <w:r w:rsidRPr="004660D2">
        <w:rPr>
          <w:rFonts w:ascii="Arial" w:eastAsia="Times New Roman" w:hAnsi="Arial" w:cs="Times New Roman"/>
          <w:b/>
          <w:iCs/>
          <w:color w:val="FFFFFF"/>
          <w:sz w:val="24"/>
        </w:rPr>
        <w:t>CS 31HB.57 Control cords</w:t>
      </w:r>
      <w:bookmarkEnd w:id="1378"/>
    </w:p>
    <w:p w14:paraId="51069057" w14:textId="77777777" w:rsidR="004660D2" w:rsidRPr="004660D2" w:rsidRDefault="004660D2" w:rsidP="005B7755">
      <w:pPr>
        <w:pStyle w:val="ListParagraph"/>
        <w:numPr>
          <w:ilvl w:val="0"/>
          <w:numId w:val="393"/>
        </w:numPr>
        <w:tabs>
          <w:tab w:val="left" w:pos="707"/>
        </w:tabs>
        <w:spacing w:before="117" w:line="276" w:lineRule="auto"/>
        <w:ind w:right="26"/>
        <w:jc w:val="both"/>
        <w:rPr>
          <w:rFonts w:ascii="Arial" w:hAnsi="Arial" w:cs="Arial"/>
          <w:sz w:val="20"/>
        </w:rPr>
      </w:pPr>
      <w:r w:rsidRPr="004660D2">
        <w:rPr>
          <w:rFonts w:ascii="Arial" w:hAnsi="Arial" w:cs="Arial"/>
          <w:sz w:val="20"/>
        </w:rPr>
        <w:t>General</w:t>
      </w:r>
    </w:p>
    <w:p w14:paraId="03DC4B93" w14:textId="77777777" w:rsidR="004660D2" w:rsidRPr="004660D2" w:rsidRDefault="004660D2" w:rsidP="005B7755">
      <w:pPr>
        <w:pStyle w:val="ListParagraph"/>
        <w:numPr>
          <w:ilvl w:val="0"/>
          <w:numId w:val="394"/>
        </w:numPr>
        <w:tabs>
          <w:tab w:val="left" w:pos="1274"/>
          <w:tab w:val="left" w:pos="8910"/>
        </w:tabs>
        <w:spacing w:before="118" w:line="276" w:lineRule="auto"/>
        <w:ind w:right="26"/>
        <w:jc w:val="both"/>
        <w:rPr>
          <w:rFonts w:ascii="Arial" w:hAnsi="Arial" w:cs="Arial"/>
          <w:sz w:val="20"/>
        </w:rPr>
      </w:pPr>
      <w:r w:rsidRPr="004660D2">
        <w:rPr>
          <w:rFonts w:ascii="Arial" w:hAnsi="Arial" w:cs="Arial"/>
          <w:sz w:val="20"/>
        </w:rPr>
        <w:t>All control cords used for flight control must be designed and installed to preclude entanglement and inadvertent operation.</w:t>
      </w:r>
    </w:p>
    <w:p w14:paraId="354C0472" w14:textId="77777777" w:rsidR="004660D2" w:rsidRPr="004660D2" w:rsidRDefault="004660D2" w:rsidP="005B7755">
      <w:pPr>
        <w:pStyle w:val="ListParagraph"/>
        <w:numPr>
          <w:ilvl w:val="0"/>
          <w:numId w:val="394"/>
        </w:numPr>
        <w:tabs>
          <w:tab w:val="left" w:pos="1274"/>
          <w:tab w:val="left" w:pos="8910"/>
        </w:tabs>
        <w:spacing w:before="118" w:line="276" w:lineRule="auto"/>
        <w:ind w:right="26"/>
        <w:jc w:val="both"/>
        <w:rPr>
          <w:rFonts w:ascii="Arial" w:hAnsi="Arial" w:cs="Arial"/>
          <w:sz w:val="20"/>
        </w:rPr>
      </w:pPr>
      <w:r w:rsidRPr="004660D2">
        <w:rPr>
          <w:rFonts w:ascii="Arial" w:hAnsi="Arial" w:cs="Arial"/>
          <w:sz w:val="20"/>
        </w:rPr>
        <w:t>The maximum force required for their operation must not exceed 340 N.</w:t>
      </w:r>
    </w:p>
    <w:p w14:paraId="40534C2D" w14:textId="77777777" w:rsidR="004660D2" w:rsidRPr="004660D2" w:rsidRDefault="004660D2" w:rsidP="005B7755">
      <w:pPr>
        <w:pStyle w:val="ListParagraph"/>
        <w:numPr>
          <w:ilvl w:val="0"/>
          <w:numId w:val="394"/>
        </w:numPr>
        <w:tabs>
          <w:tab w:val="left" w:pos="1274"/>
          <w:tab w:val="left" w:pos="8910"/>
        </w:tabs>
        <w:spacing w:before="118" w:line="276" w:lineRule="auto"/>
        <w:ind w:right="26"/>
        <w:jc w:val="both"/>
        <w:rPr>
          <w:rFonts w:ascii="Arial" w:hAnsi="Arial" w:cs="Arial"/>
          <w:sz w:val="20"/>
        </w:rPr>
      </w:pPr>
      <w:r w:rsidRPr="004660D2">
        <w:rPr>
          <w:rFonts w:ascii="Arial" w:hAnsi="Arial" w:cs="Arial"/>
          <w:sz w:val="20"/>
        </w:rPr>
        <w:t>All control cords used for flight control must be long enough to allow for an increase of at least 10 % in the vertical dimension of the envelope.</w:t>
      </w:r>
    </w:p>
    <w:p w14:paraId="569E2E1E" w14:textId="77777777" w:rsidR="004660D2" w:rsidRPr="004660D2" w:rsidRDefault="004660D2" w:rsidP="005B7755">
      <w:pPr>
        <w:pStyle w:val="ListParagraph"/>
        <w:numPr>
          <w:ilvl w:val="0"/>
          <w:numId w:val="393"/>
        </w:numPr>
        <w:tabs>
          <w:tab w:val="left" w:pos="707"/>
        </w:tabs>
        <w:spacing w:before="117" w:line="276" w:lineRule="auto"/>
        <w:ind w:right="26"/>
        <w:jc w:val="both"/>
        <w:rPr>
          <w:rFonts w:ascii="Arial" w:hAnsi="Arial" w:cs="Arial"/>
          <w:sz w:val="20"/>
        </w:rPr>
      </w:pPr>
      <w:r w:rsidRPr="004660D2">
        <w:rPr>
          <w:rFonts w:ascii="Arial" w:hAnsi="Arial" w:cs="Arial"/>
          <w:sz w:val="20"/>
        </w:rPr>
        <w:t>Arming device</w:t>
      </w:r>
    </w:p>
    <w:p w14:paraId="0D5C1197" w14:textId="77777777" w:rsidR="004660D2" w:rsidRPr="004660D2" w:rsidRDefault="004660D2" w:rsidP="004660D2">
      <w:pPr>
        <w:pStyle w:val="BodyText"/>
        <w:spacing w:before="117" w:line="276" w:lineRule="auto"/>
        <w:ind w:left="706" w:right="26"/>
        <w:jc w:val="both"/>
        <w:rPr>
          <w:rFonts w:ascii="Arial" w:hAnsi="Arial" w:cs="Arial"/>
          <w:sz w:val="20"/>
        </w:rPr>
      </w:pPr>
      <w:r w:rsidRPr="004660D2">
        <w:rPr>
          <w:rFonts w:ascii="Arial" w:hAnsi="Arial" w:cs="Arial"/>
          <w:sz w:val="20"/>
        </w:rPr>
        <w:t>If an arming device is employed to prevent inadvertent operation of an irreversible control, the part of the device to be handled by the pilot must be coloured with yellow and black bands.</w:t>
      </w:r>
    </w:p>
    <w:p w14:paraId="201B756B" w14:textId="77777777" w:rsidR="004660D2" w:rsidRPr="004660D2" w:rsidRDefault="004660D2" w:rsidP="005B7755">
      <w:pPr>
        <w:pStyle w:val="ListParagraph"/>
        <w:numPr>
          <w:ilvl w:val="0"/>
          <w:numId w:val="393"/>
        </w:numPr>
        <w:tabs>
          <w:tab w:val="left" w:pos="707"/>
        </w:tabs>
        <w:spacing w:before="117" w:line="276" w:lineRule="auto"/>
        <w:ind w:right="26"/>
        <w:jc w:val="both"/>
        <w:rPr>
          <w:rFonts w:ascii="Arial" w:hAnsi="Arial" w:cs="Arial"/>
          <w:sz w:val="20"/>
        </w:rPr>
      </w:pPr>
      <w:r w:rsidRPr="004660D2">
        <w:rPr>
          <w:rFonts w:ascii="Arial" w:hAnsi="Arial" w:cs="Arial"/>
          <w:sz w:val="20"/>
        </w:rPr>
        <w:t>Turning vent cords</w:t>
      </w:r>
    </w:p>
    <w:p w14:paraId="5874601D" w14:textId="77777777" w:rsidR="004660D2" w:rsidRPr="004660D2" w:rsidRDefault="004660D2" w:rsidP="004660D2">
      <w:pPr>
        <w:pStyle w:val="BodyText"/>
        <w:spacing w:before="117" w:line="276" w:lineRule="auto"/>
        <w:ind w:left="706" w:right="26"/>
        <w:jc w:val="both"/>
        <w:rPr>
          <w:rFonts w:ascii="Arial" w:hAnsi="Arial" w:cs="Arial"/>
          <w:sz w:val="20"/>
        </w:rPr>
      </w:pPr>
      <w:r w:rsidRPr="004660D2">
        <w:rPr>
          <w:rFonts w:ascii="Arial" w:hAnsi="Arial" w:cs="Arial"/>
          <w:sz w:val="20"/>
        </w:rPr>
        <w:t>If turning vent cords are used to orient the balloon for landing, the part of cords to be handled by the pilot for turning to the left must be coloured black and the corresponding part of the cord used for turning to the right must be coloured green. (See AMC 31HB.57(c)).</w:t>
      </w:r>
    </w:p>
    <w:p w14:paraId="03981500" w14:textId="77777777" w:rsidR="004660D2" w:rsidRPr="004660D2" w:rsidRDefault="004660D2" w:rsidP="005B7755">
      <w:pPr>
        <w:pStyle w:val="ListParagraph"/>
        <w:numPr>
          <w:ilvl w:val="0"/>
          <w:numId w:val="393"/>
        </w:numPr>
        <w:tabs>
          <w:tab w:val="left" w:pos="707"/>
        </w:tabs>
        <w:spacing w:before="117" w:line="276" w:lineRule="auto"/>
        <w:ind w:right="26"/>
        <w:jc w:val="both"/>
        <w:rPr>
          <w:rFonts w:ascii="Arial" w:hAnsi="Arial" w:cs="Arial"/>
          <w:sz w:val="20"/>
        </w:rPr>
      </w:pPr>
      <w:r w:rsidRPr="004660D2">
        <w:rPr>
          <w:rFonts w:ascii="Arial" w:hAnsi="Arial" w:cs="Arial"/>
          <w:sz w:val="20"/>
        </w:rPr>
        <w:t>Venting cords</w:t>
      </w:r>
    </w:p>
    <w:p w14:paraId="7C6A5A04" w14:textId="77777777" w:rsidR="004660D2" w:rsidRPr="004660D2" w:rsidRDefault="004660D2" w:rsidP="005B7755">
      <w:pPr>
        <w:pStyle w:val="ListParagraph"/>
        <w:numPr>
          <w:ilvl w:val="0"/>
          <w:numId w:val="395"/>
        </w:numPr>
        <w:tabs>
          <w:tab w:val="left" w:pos="1274"/>
          <w:tab w:val="left" w:pos="8910"/>
        </w:tabs>
        <w:spacing w:before="118" w:line="276" w:lineRule="auto"/>
        <w:ind w:right="26"/>
        <w:jc w:val="both"/>
        <w:rPr>
          <w:rFonts w:ascii="Arial" w:hAnsi="Arial" w:cs="Arial"/>
          <w:sz w:val="20"/>
        </w:rPr>
      </w:pPr>
      <w:r w:rsidRPr="004660D2">
        <w:rPr>
          <w:rFonts w:ascii="Arial" w:hAnsi="Arial" w:cs="Arial"/>
          <w:sz w:val="20"/>
        </w:rPr>
        <w:t>If a venting cord is used to allow controlled release of the lifting gas and the vent can be resealed in flight, the part of the cord to be handled by the pilot must be coloured with red and white bands.</w:t>
      </w:r>
    </w:p>
    <w:p w14:paraId="170C546D" w14:textId="77777777" w:rsidR="004660D2" w:rsidRPr="004660D2" w:rsidRDefault="004660D2" w:rsidP="005B7755">
      <w:pPr>
        <w:pStyle w:val="ListParagraph"/>
        <w:numPr>
          <w:ilvl w:val="0"/>
          <w:numId w:val="395"/>
        </w:numPr>
        <w:tabs>
          <w:tab w:val="left" w:pos="1274"/>
          <w:tab w:val="left" w:pos="8910"/>
        </w:tabs>
        <w:spacing w:before="118" w:line="276" w:lineRule="auto"/>
        <w:ind w:right="26"/>
        <w:jc w:val="both"/>
        <w:rPr>
          <w:rFonts w:ascii="Arial" w:hAnsi="Arial" w:cs="Arial"/>
          <w:sz w:val="20"/>
        </w:rPr>
      </w:pPr>
      <w:r w:rsidRPr="004660D2">
        <w:rPr>
          <w:rFonts w:ascii="Arial" w:hAnsi="Arial" w:cs="Arial"/>
          <w:sz w:val="20"/>
        </w:rPr>
        <w:t>If a further cord is required to re-seal any vent, the part of the cord handled by the pilot must be coloured white.</w:t>
      </w:r>
    </w:p>
    <w:p w14:paraId="4F0F8E92" w14:textId="77777777" w:rsidR="004660D2" w:rsidRPr="004660D2" w:rsidRDefault="004660D2" w:rsidP="005B7755">
      <w:pPr>
        <w:pStyle w:val="ListParagraph"/>
        <w:numPr>
          <w:ilvl w:val="0"/>
          <w:numId w:val="393"/>
        </w:numPr>
        <w:tabs>
          <w:tab w:val="left" w:pos="707"/>
        </w:tabs>
        <w:spacing w:before="117" w:line="276" w:lineRule="auto"/>
        <w:ind w:right="26"/>
        <w:jc w:val="both"/>
        <w:rPr>
          <w:rFonts w:ascii="Arial" w:hAnsi="Arial" w:cs="Arial"/>
          <w:sz w:val="20"/>
        </w:rPr>
      </w:pPr>
      <w:r w:rsidRPr="004660D2">
        <w:rPr>
          <w:rFonts w:ascii="Arial" w:hAnsi="Arial" w:cs="Arial"/>
          <w:sz w:val="20"/>
        </w:rPr>
        <w:t>Rapid or emergency deflation cords</w:t>
      </w:r>
    </w:p>
    <w:p w14:paraId="22DD60FD" w14:textId="77777777" w:rsidR="004660D2" w:rsidRPr="004660D2" w:rsidRDefault="004660D2" w:rsidP="005B7755">
      <w:pPr>
        <w:pStyle w:val="ListParagraph"/>
        <w:numPr>
          <w:ilvl w:val="0"/>
          <w:numId w:val="396"/>
        </w:numPr>
        <w:tabs>
          <w:tab w:val="left" w:pos="1274"/>
          <w:tab w:val="left" w:pos="8910"/>
        </w:tabs>
        <w:spacing w:before="118" w:line="276" w:lineRule="auto"/>
        <w:ind w:right="26"/>
        <w:jc w:val="both"/>
        <w:rPr>
          <w:rFonts w:ascii="Arial" w:hAnsi="Arial" w:cs="Arial"/>
          <w:sz w:val="20"/>
        </w:rPr>
      </w:pPr>
      <w:r w:rsidRPr="004660D2">
        <w:rPr>
          <w:rFonts w:ascii="Arial" w:hAnsi="Arial" w:cs="Arial"/>
          <w:sz w:val="20"/>
        </w:rPr>
        <w:t>If a cord is used for rapid or emergency deflation of the envelope and the device cannot be resealed in flight, the part of the cord to be handled by the pilot must be coloured red.</w:t>
      </w:r>
    </w:p>
    <w:p w14:paraId="21DE9D9B" w14:textId="77777777" w:rsidR="004660D2" w:rsidRPr="004660D2" w:rsidRDefault="004660D2" w:rsidP="005B7755">
      <w:pPr>
        <w:pStyle w:val="ListParagraph"/>
        <w:numPr>
          <w:ilvl w:val="0"/>
          <w:numId w:val="396"/>
        </w:numPr>
        <w:tabs>
          <w:tab w:val="left" w:pos="1274"/>
          <w:tab w:val="left" w:pos="8910"/>
        </w:tabs>
        <w:spacing w:before="118" w:line="276" w:lineRule="auto"/>
        <w:ind w:right="26"/>
        <w:jc w:val="both"/>
        <w:rPr>
          <w:rFonts w:ascii="Arial" w:hAnsi="Arial" w:cs="Arial"/>
          <w:sz w:val="20"/>
        </w:rPr>
      </w:pPr>
      <w:r w:rsidRPr="004660D2">
        <w:rPr>
          <w:rFonts w:ascii="Arial" w:hAnsi="Arial" w:cs="Arial"/>
          <w:sz w:val="20"/>
        </w:rPr>
        <w:lastRenderedPageBreak/>
        <w:t>In addition to the force requirement of CS 31HB.57(a)(2) above, the force required to operate a rapid or emergency deflation cord must not be less than 110 N.</w:t>
      </w:r>
    </w:p>
    <w:p w14:paraId="74511906" w14:textId="77777777" w:rsidR="00D56433" w:rsidRPr="00D56433" w:rsidRDefault="00D56433" w:rsidP="00D56433">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379" w:name="AMC_31HB.57(c)_Control_cords;_Turning_ve"/>
      <w:bookmarkStart w:id="1380" w:name="_bookmark566"/>
      <w:bookmarkStart w:id="1381" w:name="_Toc153137729"/>
      <w:bookmarkEnd w:id="1379"/>
      <w:bookmarkEnd w:id="1380"/>
      <w:r w:rsidRPr="00D56433">
        <w:rPr>
          <w:rFonts w:ascii="Arial" w:eastAsia="Times New Roman" w:hAnsi="Arial" w:cs="Times New Roman"/>
          <w:b/>
          <w:color w:val="FFFFFF"/>
          <w:sz w:val="24"/>
        </w:rPr>
        <w:t>AMC 31HB.57(c) Control cords; Turning vent cords</w:t>
      </w:r>
      <w:bookmarkEnd w:id="1381"/>
    </w:p>
    <w:p w14:paraId="6639F396" w14:textId="77777777" w:rsidR="00D56433" w:rsidRPr="00D56433" w:rsidRDefault="00D56433" w:rsidP="00D56433">
      <w:pPr>
        <w:pStyle w:val="BodyText"/>
        <w:spacing w:before="117" w:line="276" w:lineRule="auto"/>
        <w:ind w:right="26"/>
        <w:jc w:val="both"/>
        <w:rPr>
          <w:rFonts w:ascii="Arial" w:hAnsi="Arial" w:cs="Arial"/>
          <w:sz w:val="20"/>
        </w:rPr>
      </w:pPr>
      <w:r w:rsidRPr="00D56433">
        <w:rPr>
          <w:rFonts w:ascii="Arial" w:hAnsi="Arial" w:cs="Arial"/>
          <w:sz w:val="20"/>
        </w:rPr>
        <w:t>In the interests of reducing the pilot’s workload during the critical approach phase, it should be possible to operate the turning vents (to a sufficient extent to align the basket for landing, if this is required) with one hand.</w:t>
      </w:r>
    </w:p>
    <w:p w14:paraId="5842BDCC" w14:textId="77777777" w:rsidR="00D56433" w:rsidRPr="00D56433" w:rsidRDefault="00D56433" w:rsidP="00D56433">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382" w:name="CS_31HB.59_Baskets"/>
      <w:bookmarkStart w:id="1383" w:name="_bookmark567"/>
      <w:bookmarkStart w:id="1384" w:name="_Toc153137730"/>
      <w:bookmarkEnd w:id="1382"/>
      <w:bookmarkEnd w:id="1383"/>
      <w:r w:rsidRPr="00D56433">
        <w:rPr>
          <w:rFonts w:ascii="Arial" w:eastAsia="Times New Roman" w:hAnsi="Arial" w:cs="Times New Roman"/>
          <w:b/>
          <w:iCs/>
          <w:color w:val="FFFFFF"/>
          <w:sz w:val="24"/>
        </w:rPr>
        <w:t>CS 31HB.59 Baskets</w:t>
      </w:r>
      <w:bookmarkEnd w:id="1384"/>
    </w:p>
    <w:p w14:paraId="13782210" w14:textId="77777777" w:rsidR="00D56433" w:rsidRPr="00D56433" w:rsidRDefault="00D56433" w:rsidP="005B7755">
      <w:pPr>
        <w:pStyle w:val="ListParagraph"/>
        <w:numPr>
          <w:ilvl w:val="0"/>
          <w:numId w:val="397"/>
        </w:numPr>
        <w:tabs>
          <w:tab w:val="left" w:pos="707"/>
        </w:tabs>
        <w:spacing w:before="117" w:line="276" w:lineRule="auto"/>
        <w:ind w:right="26"/>
        <w:jc w:val="both"/>
        <w:rPr>
          <w:rFonts w:ascii="Arial" w:hAnsi="Arial" w:cs="Arial"/>
          <w:sz w:val="20"/>
        </w:rPr>
      </w:pPr>
      <w:r w:rsidRPr="00D56433">
        <w:rPr>
          <w:rFonts w:ascii="Arial" w:hAnsi="Arial" w:cs="Arial"/>
          <w:sz w:val="20"/>
        </w:rPr>
        <w:t>The basket may not rotate independently of the envelope unless:</w:t>
      </w:r>
    </w:p>
    <w:p w14:paraId="02BF8952" w14:textId="77777777" w:rsidR="00D56433" w:rsidRPr="00D56433" w:rsidRDefault="00D56433" w:rsidP="005B7755">
      <w:pPr>
        <w:pStyle w:val="ListParagraph"/>
        <w:numPr>
          <w:ilvl w:val="0"/>
          <w:numId w:val="398"/>
        </w:numPr>
        <w:tabs>
          <w:tab w:val="left" w:pos="1274"/>
          <w:tab w:val="left" w:pos="8910"/>
        </w:tabs>
        <w:spacing w:before="118" w:line="276" w:lineRule="auto"/>
        <w:ind w:right="26"/>
        <w:jc w:val="both"/>
        <w:rPr>
          <w:rFonts w:ascii="Arial" w:hAnsi="Arial" w:cs="Arial"/>
          <w:sz w:val="20"/>
        </w:rPr>
      </w:pPr>
      <w:r w:rsidRPr="00D56433">
        <w:rPr>
          <w:rFonts w:ascii="Arial" w:hAnsi="Arial" w:cs="Arial"/>
          <w:sz w:val="20"/>
        </w:rPr>
        <w:t>the rotation is under control of the pilot; and</w:t>
      </w:r>
    </w:p>
    <w:p w14:paraId="0903C989" w14:textId="77777777" w:rsidR="00D56433" w:rsidRPr="00D56433" w:rsidRDefault="00D56433" w:rsidP="005B7755">
      <w:pPr>
        <w:pStyle w:val="ListParagraph"/>
        <w:numPr>
          <w:ilvl w:val="0"/>
          <w:numId w:val="398"/>
        </w:numPr>
        <w:tabs>
          <w:tab w:val="left" w:pos="1274"/>
          <w:tab w:val="left" w:pos="8910"/>
        </w:tabs>
        <w:spacing w:before="118" w:line="276" w:lineRule="auto"/>
        <w:ind w:right="26"/>
        <w:jc w:val="both"/>
        <w:rPr>
          <w:rFonts w:ascii="Arial" w:hAnsi="Arial" w:cs="Arial"/>
          <w:sz w:val="20"/>
        </w:rPr>
      </w:pPr>
      <w:r w:rsidRPr="00D56433">
        <w:rPr>
          <w:rFonts w:ascii="Arial" w:hAnsi="Arial" w:cs="Arial"/>
          <w:sz w:val="20"/>
        </w:rPr>
        <w:t>entanglement of operating lines is prevented. (See AMC 31HB.59(a))</w:t>
      </w:r>
    </w:p>
    <w:p w14:paraId="71574FD4" w14:textId="77777777" w:rsidR="00D56433" w:rsidRPr="00D56433" w:rsidRDefault="00D56433" w:rsidP="005B7755">
      <w:pPr>
        <w:pStyle w:val="ListParagraph"/>
        <w:numPr>
          <w:ilvl w:val="0"/>
          <w:numId w:val="397"/>
        </w:numPr>
        <w:tabs>
          <w:tab w:val="left" w:pos="707"/>
        </w:tabs>
        <w:spacing w:before="117" w:line="276" w:lineRule="auto"/>
        <w:ind w:right="26"/>
        <w:jc w:val="both"/>
        <w:rPr>
          <w:rFonts w:ascii="Arial" w:hAnsi="Arial" w:cs="Arial"/>
          <w:sz w:val="20"/>
        </w:rPr>
      </w:pPr>
      <w:r w:rsidRPr="00D56433">
        <w:rPr>
          <w:rFonts w:ascii="Arial" w:hAnsi="Arial" w:cs="Arial"/>
          <w:sz w:val="20"/>
        </w:rPr>
        <w:t>Each projecting object on the basket, that could cause injury to the occupants, must be padded.</w:t>
      </w:r>
    </w:p>
    <w:p w14:paraId="3D9E7EA7" w14:textId="77777777" w:rsidR="00D56433" w:rsidRPr="00D56433" w:rsidRDefault="00D56433" w:rsidP="005B7755">
      <w:pPr>
        <w:pStyle w:val="ListParagraph"/>
        <w:numPr>
          <w:ilvl w:val="0"/>
          <w:numId w:val="397"/>
        </w:numPr>
        <w:tabs>
          <w:tab w:val="left" w:pos="707"/>
        </w:tabs>
        <w:spacing w:before="117" w:line="276" w:lineRule="auto"/>
        <w:ind w:right="26"/>
        <w:jc w:val="both"/>
        <w:rPr>
          <w:rFonts w:ascii="Arial" w:hAnsi="Arial" w:cs="Arial"/>
          <w:sz w:val="20"/>
        </w:rPr>
      </w:pPr>
      <w:r w:rsidRPr="00D56433">
        <w:rPr>
          <w:rFonts w:ascii="Arial" w:hAnsi="Arial" w:cs="Arial"/>
          <w:sz w:val="20"/>
        </w:rPr>
        <w:t>Occupants of a basket must be protected during hard or fast landings against:</w:t>
      </w:r>
    </w:p>
    <w:p w14:paraId="046DA6F6" w14:textId="77777777" w:rsidR="00D56433" w:rsidRPr="00D56433" w:rsidRDefault="00D56433" w:rsidP="005B7755">
      <w:pPr>
        <w:pStyle w:val="ListParagraph"/>
        <w:numPr>
          <w:ilvl w:val="0"/>
          <w:numId w:val="399"/>
        </w:numPr>
        <w:tabs>
          <w:tab w:val="left" w:pos="1274"/>
          <w:tab w:val="left" w:pos="8910"/>
        </w:tabs>
        <w:spacing w:before="118" w:line="276" w:lineRule="auto"/>
        <w:ind w:right="26"/>
        <w:jc w:val="both"/>
        <w:rPr>
          <w:rFonts w:ascii="Arial" w:hAnsi="Arial" w:cs="Arial"/>
          <w:sz w:val="20"/>
        </w:rPr>
      </w:pPr>
      <w:r w:rsidRPr="00D56433">
        <w:rPr>
          <w:rFonts w:ascii="Arial" w:hAnsi="Arial" w:cs="Arial"/>
          <w:sz w:val="20"/>
        </w:rPr>
        <w:t>falling from the basket;</w:t>
      </w:r>
    </w:p>
    <w:p w14:paraId="7DAADA1E" w14:textId="77777777" w:rsidR="00D56433" w:rsidRPr="00D56433" w:rsidRDefault="00D56433" w:rsidP="005B7755">
      <w:pPr>
        <w:pStyle w:val="ListParagraph"/>
        <w:numPr>
          <w:ilvl w:val="0"/>
          <w:numId w:val="399"/>
        </w:numPr>
        <w:tabs>
          <w:tab w:val="left" w:pos="1274"/>
          <w:tab w:val="left" w:pos="8910"/>
        </w:tabs>
        <w:spacing w:before="118" w:line="276" w:lineRule="auto"/>
        <w:ind w:right="26"/>
        <w:jc w:val="both"/>
        <w:rPr>
          <w:rFonts w:ascii="Arial" w:hAnsi="Arial" w:cs="Arial"/>
          <w:sz w:val="20"/>
        </w:rPr>
      </w:pPr>
      <w:r w:rsidRPr="00D56433">
        <w:rPr>
          <w:rFonts w:ascii="Arial" w:hAnsi="Arial" w:cs="Arial"/>
          <w:sz w:val="20"/>
        </w:rPr>
        <w:t>serious injuries. (See AMC 31HB.59(c))</w:t>
      </w:r>
    </w:p>
    <w:p w14:paraId="1E7EBE4A" w14:textId="77777777" w:rsidR="00D56433" w:rsidRPr="00D56433" w:rsidRDefault="00D56433" w:rsidP="005B7755">
      <w:pPr>
        <w:pStyle w:val="ListParagraph"/>
        <w:numPr>
          <w:ilvl w:val="0"/>
          <w:numId w:val="397"/>
        </w:numPr>
        <w:tabs>
          <w:tab w:val="left" w:pos="707"/>
        </w:tabs>
        <w:spacing w:before="117" w:line="276" w:lineRule="auto"/>
        <w:ind w:right="26"/>
        <w:jc w:val="both"/>
        <w:rPr>
          <w:rFonts w:ascii="Arial" w:hAnsi="Arial" w:cs="Arial"/>
          <w:sz w:val="20"/>
        </w:rPr>
      </w:pPr>
      <w:r w:rsidRPr="00D56433">
        <w:rPr>
          <w:rFonts w:ascii="Arial" w:hAnsi="Arial" w:cs="Arial"/>
          <w:sz w:val="20"/>
        </w:rPr>
        <w:t>When more than six occupants are carried, the basket must be divided into compartments, each containing not more than six occupants.</w:t>
      </w:r>
    </w:p>
    <w:p w14:paraId="7F56ED6D" w14:textId="77777777" w:rsidR="00D56433" w:rsidRPr="00D56433" w:rsidRDefault="00D56433" w:rsidP="005B7755">
      <w:pPr>
        <w:pStyle w:val="ListParagraph"/>
        <w:numPr>
          <w:ilvl w:val="0"/>
          <w:numId w:val="397"/>
        </w:numPr>
        <w:tabs>
          <w:tab w:val="left" w:pos="707"/>
        </w:tabs>
        <w:spacing w:before="117" w:line="276" w:lineRule="auto"/>
        <w:ind w:right="26"/>
        <w:jc w:val="both"/>
        <w:rPr>
          <w:rFonts w:ascii="Arial" w:hAnsi="Arial" w:cs="Arial"/>
          <w:sz w:val="20"/>
        </w:rPr>
      </w:pPr>
      <w:r w:rsidRPr="00D56433">
        <w:rPr>
          <w:rFonts w:ascii="Arial" w:hAnsi="Arial" w:cs="Arial"/>
          <w:sz w:val="20"/>
        </w:rPr>
        <w:t>Where basket proportions and compartmentation are such that more than one occupant may fall on top of another during landing, there must be means to minimise this possibility. (See AMC 31HB.59(e))</w:t>
      </w:r>
    </w:p>
    <w:p w14:paraId="44DF78EA" w14:textId="77777777" w:rsidR="00D56433" w:rsidRPr="00D56433" w:rsidRDefault="00D56433" w:rsidP="005B7755">
      <w:pPr>
        <w:pStyle w:val="ListParagraph"/>
        <w:numPr>
          <w:ilvl w:val="0"/>
          <w:numId w:val="397"/>
        </w:numPr>
        <w:tabs>
          <w:tab w:val="left" w:pos="707"/>
        </w:tabs>
        <w:spacing w:before="117" w:line="276" w:lineRule="auto"/>
        <w:ind w:right="26"/>
        <w:jc w:val="both"/>
        <w:rPr>
          <w:rFonts w:ascii="Arial" w:hAnsi="Arial" w:cs="Arial"/>
          <w:sz w:val="20"/>
        </w:rPr>
      </w:pPr>
      <w:r w:rsidRPr="00D56433">
        <w:rPr>
          <w:rFonts w:ascii="Arial" w:hAnsi="Arial" w:cs="Arial"/>
          <w:sz w:val="20"/>
        </w:rPr>
        <w:t>Reasonable space must be provided for all occupants, with regard to both comfort during the flight and to safety during the landing. (See AMC 31HB.59(f))</w:t>
      </w:r>
    </w:p>
    <w:p w14:paraId="4C2E8ED6" w14:textId="77777777" w:rsidR="00D56433" w:rsidRPr="00D56433" w:rsidRDefault="00D56433" w:rsidP="005B7755">
      <w:pPr>
        <w:pStyle w:val="ListParagraph"/>
        <w:numPr>
          <w:ilvl w:val="0"/>
          <w:numId w:val="397"/>
        </w:numPr>
        <w:tabs>
          <w:tab w:val="left" w:pos="707"/>
        </w:tabs>
        <w:spacing w:before="117" w:line="276" w:lineRule="auto"/>
        <w:ind w:right="26"/>
        <w:jc w:val="both"/>
        <w:rPr>
          <w:rFonts w:ascii="Arial" w:hAnsi="Arial" w:cs="Arial"/>
          <w:sz w:val="20"/>
        </w:rPr>
      </w:pPr>
      <w:r w:rsidRPr="00D56433">
        <w:rPr>
          <w:rFonts w:ascii="Arial" w:hAnsi="Arial" w:cs="Arial"/>
          <w:sz w:val="20"/>
        </w:rPr>
        <w:t>The space for the pilot must provide unobstructed operation in all flight phases.</w:t>
      </w:r>
    </w:p>
    <w:p w14:paraId="312A7BD0" w14:textId="77777777" w:rsidR="00D56433" w:rsidRPr="00D56433" w:rsidRDefault="00D56433" w:rsidP="005B7755">
      <w:pPr>
        <w:pStyle w:val="ListParagraph"/>
        <w:numPr>
          <w:ilvl w:val="0"/>
          <w:numId w:val="397"/>
        </w:numPr>
        <w:tabs>
          <w:tab w:val="left" w:pos="707"/>
        </w:tabs>
        <w:spacing w:before="117" w:line="276" w:lineRule="auto"/>
        <w:ind w:right="26"/>
        <w:jc w:val="both"/>
        <w:rPr>
          <w:rFonts w:ascii="Arial" w:hAnsi="Arial" w:cs="Arial"/>
          <w:sz w:val="20"/>
        </w:rPr>
      </w:pPr>
      <w:r w:rsidRPr="00D56433">
        <w:rPr>
          <w:rFonts w:ascii="Arial" w:hAnsi="Arial" w:cs="Arial"/>
          <w:sz w:val="20"/>
        </w:rPr>
        <w:t>There must be hand holds for each occupant. (See AMC 31HB.59(h))</w:t>
      </w:r>
    </w:p>
    <w:p w14:paraId="45DCACC2" w14:textId="77777777" w:rsidR="00D56433" w:rsidRPr="00D56433" w:rsidRDefault="00D56433" w:rsidP="005B7755">
      <w:pPr>
        <w:pStyle w:val="ListParagraph"/>
        <w:numPr>
          <w:ilvl w:val="0"/>
          <w:numId w:val="397"/>
        </w:numPr>
        <w:tabs>
          <w:tab w:val="left" w:pos="707"/>
        </w:tabs>
        <w:spacing w:before="117" w:line="276" w:lineRule="auto"/>
        <w:ind w:right="26"/>
        <w:jc w:val="both"/>
        <w:rPr>
          <w:rFonts w:ascii="Arial" w:hAnsi="Arial" w:cs="Arial"/>
          <w:sz w:val="20"/>
        </w:rPr>
      </w:pPr>
      <w:r w:rsidRPr="00D56433">
        <w:rPr>
          <w:rFonts w:ascii="Arial" w:hAnsi="Arial" w:cs="Arial"/>
          <w:sz w:val="20"/>
        </w:rPr>
        <w:t>Means must be provided to allow drainage of vapour or liquid from the bottom of the basket.</w:t>
      </w:r>
    </w:p>
    <w:p w14:paraId="3DDC7248" w14:textId="77777777" w:rsidR="00D56433" w:rsidRPr="00D56433" w:rsidRDefault="00D56433" w:rsidP="005B7755">
      <w:pPr>
        <w:pStyle w:val="ListParagraph"/>
        <w:numPr>
          <w:ilvl w:val="0"/>
          <w:numId w:val="397"/>
        </w:numPr>
        <w:tabs>
          <w:tab w:val="left" w:pos="707"/>
        </w:tabs>
        <w:spacing w:before="117" w:line="276" w:lineRule="auto"/>
        <w:ind w:right="26"/>
        <w:jc w:val="both"/>
        <w:rPr>
          <w:rFonts w:ascii="Arial" w:hAnsi="Arial" w:cs="Arial"/>
          <w:sz w:val="20"/>
        </w:rPr>
      </w:pPr>
      <w:r w:rsidRPr="00D56433">
        <w:rPr>
          <w:rFonts w:ascii="Arial" w:hAnsi="Arial" w:cs="Arial"/>
          <w:sz w:val="20"/>
        </w:rPr>
        <w:t>The load-bearing parts (e.g. ropes or cables) of the suspension system must be routed in a way that excludes the possibility of them being damaged in normal service.</w:t>
      </w:r>
    </w:p>
    <w:p w14:paraId="4D190BE6" w14:textId="77777777" w:rsidR="00D56433" w:rsidRPr="00D56433" w:rsidRDefault="00D56433" w:rsidP="005B7755">
      <w:pPr>
        <w:pStyle w:val="ListParagraph"/>
        <w:numPr>
          <w:ilvl w:val="0"/>
          <w:numId w:val="397"/>
        </w:numPr>
        <w:tabs>
          <w:tab w:val="left" w:pos="707"/>
        </w:tabs>
        <w:spacing w:before="117" w:line="276" w:lineRule="auto"/>
        <w:ind w:right="26"/>
        <w:jc w:val="both"/>
        <w:rPr>
          <w:rFonts w:ascii="Arial" w:hAnsi="Arial" w:cs="Arial"/>
          <w:sz w:val="20"/>
        </w:rPr>
      </w:pPr>
      <w:r w:rsidRPr="00D56433">
        <w:rPr>
          <w:rFonts w:ascii="Arial" w:hAnsi="Arial" w:cs="Arial"/>
          <w:sz w:val="20"/>
        </w:rPr>
        <w:t>The basket floor must not project beyond the sidewalls.</w:t>
      </w:r>
    </w:p>
    <w:p w14:paraId="54EA44EE" w14:textId="77777777" w:rsidR="00D56433" w:rsidRPr="00D56433" w:rsidRDefault="00D56433" w:rsidP="005B7755">
      <w:pPr>
        <w:pStyle w:val="ListParagraph"/>
        <w:numPr>
          <w:ilvl w:val="0"/>
          <w:numId w:val="397"/>
        </w:numPr>
        <w:tabs>
          <w:tab w:val="left" w:pos="707"/>
        </w:tabs>
        <w:spacing w:before="117" w:line="276" w:lineRule="auto"/>
        <w:ind w:right="26"/>
        <w:jc w:val="both"/>
        <w:rPr>
          <w:rFonts w:ascii="Arial" w:hAnsi="Arial" w:cs="Arial"/>
          <w:sz w:val="20"/>
        </w:rPr>
      </w:pPr>
      <w:r w:rsidRPr="00D56433">
        <w:rPr>
          <w:rFonts w:ascii="Arial" w:hAnsi="Arial" w:cs="Arial"/>
          <w:sz w:val="20"/>
        </w:rPr>
        <w:t>Limitations on the occupancy and configuration of a basket must be provided in the Flight Manual. (See CS 31HB.81 and AMC 31HB.59(l))</w:t>
      </w:r>
    </w:p>
    <w:p w14:paraId="0B6DF3E8" w14:textId="77777777" w:rsidR="002E06B0" w:rsidRPr="002E06B0" w:rsidRDefault="002E06B0" w:rsidP="002E06B0">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385" w:name="AMC_31HB.59(a)_Baskets"/>
      <w:bookmarkStart w:id="1386" w:name="_bookmark568"/>
      <w:bookmarkStart w:id="1387" w:name="_Toc153137731"/>
      <w:bookmarkEnd w:id="1385"/>
      <w:bookmarkEnd w:id="1386"/>
      <w:r w:rsidRPr="002E06B0">
        <w:rPr>
          <w:rFonts w:ascii="Arial" w:eastAsia="Times New Roman" w:hAnsi="Arial" w:cs="Times New Roman"/>
          <w:b/>
          <w:color w:val="FFFFFF"/>
          <w:sz w:val="24"/>
        </w:rPr>
        <w:t>AMC 31HB.59(a) Baskets</w:t>
      </w:r>
      <w:bookmarkEnd w:id="1387"/>
    </w:p>
    <w:p w14:paraId="1432C68D" w14:textId="77777777" w:rsidR="002E06B0" w:rsidRPr="002E06B0" w:rsidRDefault="002E06B0" w:rsidP="002E06B0">
      <w:pPr>
        <w:pStyle w:val="BodyText"/>
        <w:spacing w:before="117" w:line="276" w:lineRule="auto"/>
        <w:ind w:right="26"/>
        <w:jc w:val="both"/>
        <w:rPr>
          <w:rFonts w:ascii="Arial" w:hAnsi="Arial" w:cs="Arial"/>
          <w:sz w:val="20"/>
        </w:rPr>
      </w:pPr>
      <w:r w:rsidRPr="002E06B0">
        <w:rPr>
          <w:rFonts w:ascii="Arial" w:hAnsi="Arial" w:cs="Arial"/>
          <w:sz w:val="20"/>
        </w:rPr>
        <w:t>The purpose of this subparagraph is to prevent entanglement of operating lines due to uncontrolled rotation.</w:t>
      </w:r>
    </w:p>
    <w:p w14:paraId="7AF7DCB2" w14:textId="77777777" w:rsidR="002E06B0" w:rsidRPr="002E06B0" w:rsidRDefault="002E06B0" w:rsidP="002E06B0">
      <w:pPr>
        <w:pStyle w:val="BodyText"/>
        <w:spacing w:before="117" w:line="276" w:lineRule="auto"/>
        <w:ind w:right="26"/>
        <w:jc w:val="both"/>
        <w:rPr>
          <w:rFonts w:ascii="Arial" w:hAnsi="Arial" w:cs="Arial"/>
          <w:sz w:val="20"/>
        </w:rPr>
      </w:pPr>
      <w:r w:rsidRPr="002E06B0">
        <w:rPr>
          <w:rFonts w:ascii="Arial" w:hAnsi="Arial" w:cs="Arial"/>
          <w:sz w:val="20"/>
        </w:rPr>
        <w:t>It should be noted that uncontrolled rotation, causing entanglement of operating lines, may also occur during landings with basket tip-over if the plan view of the basket floor is circular or more than hexagonal.</w:t>
      </w:r>
    </w:p>
    <w:p w14:paraId="11DA91D4" w14:textId="77777777" w:rsidR="002E06B0" w:rsidRPr="002E06B0" w:rsidRDefault="002E06B0" w:rsidP="002E06B0">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388" w:name="AMC_31HB.59(c)_Baskets"/>
      <w:bookmarkStart w:id="1389" w:name="_bookmark569"/>
      <w:bookmarkStart w:id="1390" w:name="_Toc153137732"/>
      <w:bookmarkEnd w:id="1388"/>
      <w:bookmarkEnd w:id="1389"/>
      <w:r w:rsidRPr="002E06B0">
        <w:rPr>
          <w:rFonts w:ascii="Arial" w:eastAsia="Times New Roman" w:hAnsi="Arial" w:cs="Times New Roman"/>
          <w:b/>
          <w:color w:val="FFFFFF"/>
          <w:sz w:val="24"/>
        </w:rPr>
        <w:t>AMC 31HB.59(c) Baskets</w:t>
      </w:r>
      <w:bookmarkEnd w:id="1390"/>
    </w:p>
    <w:p w14:paraId="09191A8E" w14:textId="77777777" w:rsidR="002E06B0" w:rsidRPr="002E06B0" w:rsidRDefault="002E06B0" w:rsidP="002E06B0">
      <w:pPr>
        <w:pStyle w:val="BodyText"/>
        <w:spacing w:before="117" w:line="276" w:lineRule="auto"/>
        <w:ind w:right="26"/>
        <w:jc w:val="both"/>
        <w:rPr>
          <w:rFonts w:ascii="Arial" w:hAnsi="Arial" w:cs="Arial"/>
          <w:sz w:val="20"/>
        </w:rPr>
      </w:pPr>
      <w:r w:rsidRPr="002E06B0">
        <w:rPr>
          <w:rFonts w:ascii="Arial" w:hAnsi="Arial" w:cs="Arial"/>
          <w:sz w:val="20"/>
        </w:rPr>
        <w:t>An internal height of the basket of 1.10 m, protecting the occupants carried from falling from the basket is considered compliant to this requirement.</w:t>
      </w:r>
    </w:p>
    <w:p w14:paraId="231C7754" w14:textId="77777777" w:rsidR="002E06B0" w:rsidRPr="002E06B0" w:rsidRDefault="002E06B0" w:rsidP="002E06B0">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391" w:name="AMC_31HB.59(e)_Baskets"/>
      <w:bookmarkStart w:id="1392" w:name="_bookmark570"/>
      <w:bookmarkStart w:id="1393" w:name="_Toc153137733"/>
      <w:bookmarkEnd w:id="1391"/>
      <w:bookmarkEnd w:id="1392"/>
      <w:r w:rsidRPr="002E06B0">
        <w:rPr>
          <w:rFonts w:ascii="Arial" w:eastAsia="Times New Roman" w:hAnsi="Arial" w:cs="Times New Roman"/>
          <w:b/>
          <w:color w:val="FFFFFF"/>
          <w:sz w:val="24"/>
        </w:rPr>
        <w:t>AMC 31HB.59(e) Baskets</w:t>
      </w:r>
      <w:bookmarkEnd w:id="1393"/>
    </w:p>
    <w:p w14:paraId="161A9EC5" w14:textId="77777777" w:rsidR="002E06B0" w:rsidRPr="002E06B0" w:rsidRDefault="002E06B0" w:rsidP="002E06B0">
      <w:pPr>
        <w:pStyle w:val="BodyText"/>
        <w:spacing w:before="117" w:line="276" w:lineRule="auto"/>
        <w:ind w:right="26"/>
        <w:jc w:val="both"/>
        <w:rPr>
          <w:rFonts w:ascii="Arial" w:hAnsi="Arial" w:cs="Arial"/>
          <w:sz w:val="20"/>
        </w:rPr>
      </w:pPr>
      <w:r w:rsidRPr="002E06B0">
        <w:rPr>
          <w:rFonts w:ascii="Arial" w:hAnsi="Arial" w:cs="Arial"/>
          <w:sz w:val="20"/>
        </w:rPr>
        <w:t xml:space="preserve">Alignment of the basket for landing using turning vents or a drag rope or an equivalent feature and Flight Manual instructions specifying that the basket should be aligned to land on one of its longer sides can be used to show compliance to this requirement. No more than two occupants may be positioned in the </w:t>
      </w:r>
      <w:r w:rsidRPr="002E06B0">
        <w:rPr>
          <w:rFonts w:ascii="Arial" w:hAnsi="Arial" w:cs="Arial"/>
          <w:sz w:val="20"/>
        </w:rPr>
        <w:lastRenderedPageBreak/>
        <w:t>landing direction without means to prevent them from falling on top of each other.</w:t>
      </w:r>
    </w:p>
    <w:p w14:paraId="1649A976" w14:textId="77777777" w:rsidR="00380488" w:rsidRDefault="002E06B0" w:rsidP="002E06B0">
      <w:pPr>
        <w:pStyle w:val="BodyText"/>
        <w:spacing w:before="117" w:line="276" w:lineRule="auto"/>
        <w:ind w:right="26"/>
        <w:jc w:val="both"/>
        <w:rPr>
          <w:rFonts w:ascii="Arial" w:hAnsi="Arial" w:cs="Arial"/>
          <w:sz w:val="20"/>
        </w:rPr>
      </w:pPr>
      <w:r w:rsidRPr="002E06B0">
        <w:rPr>
          <w:rFonts w:ascii="Arial" w:hAnsi="Arial" w:cs="Arial"/>
          <w:sz w:val="20"/>
        </w:rPr>
        <w:t>If the plan view of the basket floor is circular or more than hexagonal, it should be noted that the basket may be rotationally unstable during fast drag landings. This may present a risk to occupants</w:t>
      </w:r>
      <w:r w:rsidR="00244239">
        <w:rPr>
          <w:rFonts w:ascii="Arial" w:hAnsi="Arial" w:cs="Arial"/>
          <w:sz w:val="20"/>
        </w:rPr>
        <w:t>.</w:t>
      </w:r>
    </w:p>
    <w:p w14:paraId="22F6C8B2" w14:textId="77777777" w:rsidR="00244239" w:rsidRPr="00244239" w:rsidRDefault="00244239" w:rsidP="00244239">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394" w:name="AMC_31HB.59(f)_Baskets"/>
      <w:bookmarkStart w:id="1395" w:name="_bookmark571"/>
      <w:bookmarkStart w:id="1396" w:name="_Toc153137734"/>
      <w:bookmarkEnd w:id="1394"/>
      <w:bookmarkEnd w:id="1395"/>
      <w:r w:rsidRPr="00244239">
        <w:rPr>
          <w:rFonts w:ascii="Arial" w:eastAsia="Times New Roman" w:hAnsi="Arial" w:cs="Times New Roman"/>
          <w:b/>
          <w:color w:val="FFFFFF"/>
          <w:sz w:val="24"/>
        </w:rPr>
        <w:t>AMC 31HB.59(f) Baskets</w:t>
      </w:r>
      <w:bookmarkEnd w:id="1396"/>
    </w:p>
    <w:p w14:paraId="707E0A4F" w14:textId="77777777" w:rsidR="00244239" w:rsidRPr="00244239" w:rsidRDefault="00244239" w:rsidP="00244239">
      <w:pPr>
        <w:pStyle w:val="BodyText"/>
        <w:spacing w:before="117" w:line="276" w:lineRule="auto"/>
        <w:ind w:right="26"/>
        <w:jc w:val="both"/>
        <w:rPr>
          <w:rFonts w:ascii="Arial" w:hAnsi="Arial" w:cs="Arial"/>
          <w:sz w:val="20"/>
        </w:rPr>
      </w:pPr>
      <w:r w:rsidRPr="00244239">
        <w:rPr>
          <w:rFonts w:ascii="Arial" w:hAnsi="Arial" w:cs="Arial"/>
          <w:sz w:val="20"/>
        </w:rPr>
        <w:t>Unless otherwise justified on safety grounds, a minimum figure of between 0·25 m² and 0·3m² plan area should be used for each standing occupant, with proper account being taken of the specified size, number and position of equipment when applying this figure. There should be enough space provided for passengers to take a brace position for landing. The Agency should be consulted in cases where a basket’s shape or compartmentation makes the measurement of this figure subjective.</w:t>
      </w:r>
    </w:p>
    <w:p w14:paraId="2E5E7B00" w14:textId="77777777" w:rsidR="00244239" w:rsidRPr="00244239" w:rsidRDefault="00244239" w:rsidP="00244239">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397" w:name="AMC_31HB.59(h)_Baskets"/>
      <w:bookmarkStart w:id="1398" w:name="_bookmark572"/>
      <w:bookmarkStart w:id="1399" w:name="_Toc153137735"/>
      <w:bookmarkEnd w:id="1397"/>
      <w:bookmarkEnd w:id="1398"/>
      <w:r w:rsidRPr="00244239">
        <w:rPr>
          <w:rFonts w:ascii="Arial" w:eastAsia="Times New Roman" w:hAnsi="Arial" w:cs="Times New Roman"/>
          <w:b/>
          <w:color w:val="FFFFFF"/>
          <w:sz w:val="24"/>
        </w:rPr>
        <w:t>AMC 31HB.59(h) Baskets</w:t>
      </w:r>
      <w:bookmarkEnd w:id="1399"/>
    </w:p>
    <w:p w14:paraId="79A1840A" w14:textId="77777777" w:rsidR="00244239" w:rsidRPr="00244239" w:rsidRDefault="00244239" w:rsidP="00244239">
      <w:pPr>
        <w:pStyle w:val="BodyText"/>
        <w:spacing w:before="117" w:line="276" w:lineRule="auto"/>
        <w:ind w:right="26"/>
        <w:jc w:val="both"/>
        <w:rPr>
          <w:rFonts w:ascii="Arial" w:hAnsi="Arial" w:cs="Arial"/>
          <w:sz w:val="20"/>
        </w:rPr>
      </w:pPr>
      <w:r w:rsidRPr="00244239">
        <w:rPr>
          <w:rFonts w:ascii="Arial" w:hAnsi="Arial" w:cs="Arial"/>
          <w:sz w:val="20"/>
        </w:rPr>
        <w:t>Handholds should be provided as an obvious means for the occupants to safely hold on to during a landing. The location or design of the handholds should provide protection of the hands from impact during a landing.</w:t>
      </w:r>
    </w:p>
    <w:p w14:paraId="44537A0E" w14:textId="77777777" w:rsidR="00244239" w:rsidRPr="00244239" w:rsidRDefault="00244239" w:rsidP="00244239">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400" w:name="AMC_31HB.59(l)_Baskets"/>
      <w:bookmarkStart w:id="1401" w:name="_bookmark573"/>
      <w:bookmarkStart w:id="1402" w:name="_Toc153137736"/>
      <w:bookmarkEnd w:id="1400"/>
      <w:bookmarkEnd w:id="1401"/>
      <w:r w:rsidRPr="00244239">
        <w:rPr>
          <w:rFonts w:ascii="Arial" w:eastAsia="Times New Roman" w:hAnsi="Arial" w:cs="Times New Roman"/>
          <w:b/>
          <w:color w:val="FFFFFF"/>
          <w:sz w:val="24"/>
        </w:rPr>
        <w:t>AMC 31HB.59(l) Baskets</w:t>
      </w:r>
      <w:bookmarkEnd w:id="1402"/>
    </w:p>
    <w:p w14:paraId="517E3FD4" w14:textId="77777777" w:rsidR="00244239" w:rsidRPr="00244239" w:rsidRDefault="00244239" w:rsidP="00244239">
      <w:pPr>
        <w:pStyle w:val="BodyText"/>
        <w:spacing w:before="117" w:line="276" w:lineRule="auto"/>
        <w:ind w:right="26"/>
        <w:jc w:val="both"/>
        <w:rPr>
          <w:rFonts w:ascii="Arial" w:hAnsi="Arial" w:cs="Arial"/>
          <w:sz w:val="20"/>
        </w:rPr>
      </w:pPr>
      <w:r w:rsidRPr="00244239">
        <w:rPr>
          <w:rFonts w:ascii="Arial" w:hAnsi="Arial" w:cs="Arial"/>
          <w:sz w:val="20"/>
        </w:rPr>
        <w:t>This information should state, for each permissible model of basket or other means provided for the occupants, the maximum permitted occupancy in relation to specified sizes, numbers and positions of equipment items.</w:t>
      </w:r>
    </w:p>
    <w:p w14:paraId="73639290" w14:textId="77777777" w:rsidR="004A676F" w:rsidRPr="004A676F" w:rsidRDefault="004A676F" w:rsidP="004A676F">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403" w:name="CS_31HB.63_Occupant_restraint"/>
      <w:bookmarkStart w:id="1404" w:name="_bookmark574"/>
      <w:bookmarkStart w:id="1405" w:name="_Toc153137737"/>
      <w:bookmarkEnd w:id="1403"/>
      <w:bookmarkEnd w:id="1404"/>
      <w:r w:rsidRPr="004A676F">
        <w:rPr>
          <w:rFonts w:ascii="Arial" w:eastAsia="Times New Roman" w:hAnsi="Arial" w:cs="Times New Roman"/>
          <w:b/>
          <w:iCs/>
          <w:color w:val="FFFFFF"/>
          <w:sz w:val="24"/>
        </w:rPr>
        <w:t>CS 31HB.63 Occupant restraint</w:t>
      </w:r>
      <w:bookmarkEnd w:id="1405"/>
    </w:p>
    <w:p w14:paraId="4DFA8364" w14:textId="77777777" w:rsidR="004A676F" w:rsidRPr="004A676F" w:rsidRDefault="004A676F" w:rsidP="005B7755">
      <w:pPr>
        <w:pStyle w:val="ListParagraph"/>
        <w:numPr>
          <w:ilvl w:val="0"/>
          <w:numId w:val="400"/>
        </w:numPr>
        <w:tabs>
          <w:tab w:val="left" w:pos="707"/>
        </w:tabs>
        <w:spacing w:before="117" w:line="276" w:lineRule="auto"/>
        <w:ind w:right="26"/>
        <w:jc w:val="both"/>
        <w:rPr>
          <w:rFonts w:ascii="Arial" w:hAnsi="Arial" w:cs="Arial"/>
          <w:sz w:val="20"/>
        </w:rPr>
      </w:pPr>
      <w:r w:rsidRPr="004A676F">
        <w:rPr>
          <w:rFonts w:ascii="Arial" w:hAnsi="Arial" w:cs="Arial"/>
          <w:sz w:val="20"/>
        </w:rPr>
        <w:t>There must be a restraining means for all occupants, which can take the form of hand holds. (See CS 31HB.59(h))</w:t>
      </w:r>
    </w:p>
    <w:p w14:paraId="1E8F6E85" w14:textId="77777777" w:rsidR="004A676F" w:rsidRPr="004A676F" w:rsidRDefault="004A676F" w:rsidP="005B7755">
      <w:pPr>
        <w:pStyle w:val="ListParagraph"/>
        <w:numPr>
          <w:ilvl w:val="0"/>
          <w:numId w:val="400"/>
        </w:numPr>
        <w:tabs>
          <w:tab w:val="left" w:pos="707"/>
        </w:tabs>
        <w:spacing w:before="117" w:line="276" w:lineRule="auto"/>
        <w:ind w:right="26"/>
        <w:jc w:val="both"/>
        <w:rPr>
          <w:rFonts w:ascii="Arial" w:hAnsi="Arial" w:cs="Arial"/>
          <w:sz w:val="20"/>
        </w:rPr>
      </w:pPr>
      <w:r w:rsidRPr="004A676F">
        <w:rPr>
          <w:rFonts w:ascii="Arial" w:hAnsi="Arial" w:cs="Arial"/>
          <w:sz w:val="20"/>
        </w:rPr>
        <w:t>For baskets having a separate pilot compartment, there must be a suitable restraint for the pilot which must meet the strength requirements of CS 31HB.30. Additionally, the restraint must be designed so that:</w:t>
      </w:r>
    </w:p>
    <w:p w14:paraId="7F8F99F6" w14:textId="77777777" w:rsidR="004A676F" w:rsidRPr="004A676F" w:rsidRDefault="004A676F" w:rsidP="005B7755">
      <w:pPr>
        <w:pStyle w:val="ListParagraph"/>
        <w:numPr>
          <w:ilvl w:val="0"/>
          <w:numId w:val="401"/>
        </w:numPr>
        <w:tabs>
          <w:tab w:val="left" w:pos="1274"/>
          <w:tab w:val="left" w:pos="8910"/>
        </w:tabs>
        <w:spacing w:before="118" w:line="276" w:lineRule="auto"/>
        <w:ind w:right="26"/>
        <w:jc w:val="both"/>
        <w:rPr>
          <w:rFonts w:ascii="Arial" w:hAnsi="Arial" w:cs="Arial"/>
          <w:sz w:val="20"/>
        </w:rPr>
      </w:pPr>
      <w:r w:rsidRPr="004A676F">
        <w:rPr>
          <w:rFonts w:ascii="Arial" w:hAnsi="Arial" w:cs="Arial"/>
          <w:sz w:val="20"/>
        </w:rPr>
        <w:t>the pilot can reach all the necessary controls when the restraint is correctly worn and adjusted;</w:t>
      </w:r>
    </w:p>
    <w:p w14:paraId="431274AB" w14:textId="77777777" w:rsidR="004A676F" w:rsidRPr="004A676F" w:rsidRDefault="004A676F" w:rsidP="005B7755">
      <w:pPr>
        <w:pStyle w:val="ListParagraph"/>
        <w:numPr>
          <w:ilvl w:val="0"/>
          <w:numId w:val="401"/>
        </w:numPr>
        <w:tabs>
          <w:tab w:val="left" w:pos="1274"/>
          <w:tab w:val="left" w:pos="8910"/>
        </w:tabs>
        <w:spacing w:before="118" w:line="276" w:lineRule="auto"/>
        <w:ind w:right="26"/>
        <w:jc w:val="both"/>
        <w:rPr>
          <w:rFonts w:ascii="Arial" w:hAnsi="Arial" w:cs="Arial"/>
          <w:sz w:val="20"/>
        </w:rPr>
      </w:pPr>
      <w:r w:rsidRPr="004A676F">
        <w:rPr>
          <w:rFonts w:ascii="Arial" w:hAnsi="Arial" w:cs="Arial"/>
          <w:sz w:val="20"/>
        </w:rPr>
        <w:t>there is a method of quick release that is simple and obvious; and</w:t>
      </w:r>
    </w:p>
    <w:p w14:paraId="3612992A" w14:textId="77777777" w:rsidR="004A676F" w:rsidRPr="004A676F" w:rsidRDefault="004A676F" w:rsidP="005B7755">
      <w:pPr>
        <w:pStyle w:val="ListParagraph"/>
        <w:numPr>
          <w:ilvl w:val="0"/>
          <w:numId w:val="401"/>
        </w:numPr>
        <w:tabs>
          <w:tab w:val="left" w:pos="1274"/>
          <w:tab w:val="left" w:pos="8910"/>
        </w:tabs>
        <w:spacing w:before="118" w:line="276" w:lineRule="auto"/>
        <w:ind w:right="26"/>
        <w:jc w:val="both"/>
        <w:rPr>
          <w:rFonts w:ascii="Arial" w:hAnsi="Arial" w:cs="Arial"/>
          <w:sz w:val="20"/>
        </w:rPr>
      </w:pPr>
      <w:r w:rsidRPr="004A676F">
        <w:rPr>
          <w:rFonts w:ascii="Arial" w:hAnsi="Arial" w:cs="Arial"/>
          <w:sz w:val="20"/>
        </w:rPr>
        <w:t>the possibility of inadvertent release is minimised.</w:t>
      </w:r>
    </w:p>
    <w:p w14:paraId="028AC052" w14:textId="77777777" w:rsidR="004A676F" w:rsidRPr="004A676F" w:rsidRDefault="004A676F" w:rsidP="004A676F">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406" w:name="AMC_31HB.63(a)_Occupant_restraint"/>
      <w:bookmarkStart w:id="1407" w:name="_bookmark575"/>
      <w:bookmarkStart w:id="1408" w:name="_Toc153137738"/>
      <w:bookmarkEnd w:id="1406"/>
      <w:bookmarkEnd w:id="1407"/>
      <w:r w:rsidRPr="004A676F">
        <w:rPr>
          <w:rFonts w:ascii="Arial" w:eastAsia="Times New Roman" w:hAnsi="Arial" w:cs="Times New Roman"/>
          <w:b/>
          <w:color w:val="FFFFFF"/>
          <w:sz w:val="24"/>
        </w:rPr>
        <w:t>AMC 31HB.63(a) Occupant restraint</w:t>
      </w:r>
      <w:bookmarkEnd w:id="1408"/>
    </w:p>
    <w:p w14:paraId="2000B806" w14:textId="77777777" w:rsidR="004A676F" w:rsidRPr="004A676F" w:rsidRDefault="004A676F" w:rsidP="004A676F">
      <w:pPr>
        <w:pStyle w:val="BodyText"/>
        <w:spacing w:before="117" w:line="276" w:lineRule="auto"/>
        <w:ind w:right="26"/>
        <w:jc w:val="both"/>
        <w:rPr>
          <w:rFonts w:ascii="Arial" w:hAnsi="Arial" w:cs="Arial"/>
          <w:i/>
          <w:sz w:val="20"/>
        </w:rPr>
      </w:pPr>
      <w:r w:rsidRPr="004A676F">
        <w:rPr>
          <w:rFonts w:ascii="Arial" w:hAnsi="Arial" w:cs="Arial"/>
          <w:i/>
          <w:sz w:val="20"/>
          <w:u w:val="single"/>
        </w:rPr>
        <w:t>Note:</w:t>
      </w:r>
      <w:r w:rsidRPr="004A676F">
        <w:rPr>
          <w:rFonts w:ascii="Arial" w:hAnsi="Arial" w:cs="Arial"/>
          <w:i/>
          <w:sz w:val="20"/>
        </w:rPr>
        <w:t xml:space="preserve"> Operational legislation may also require pilot restraint to be fitted to balloons which have a single compartment basket.</w:t>
      </w:r>
    </w:p>
    <w:p w14:paraId="56A0746E" w14:textId="77777777" w:rsidR="008B65F8" w:rsidRPr="008B65F8" w:rsidRDefault="008B65F8" w:rsidP="008B65F8">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409" w:name="CS_31HB.67_Tethered_flight"/>
      <w:bookmarkStart w:id="1410" w:name="_bookmark576"/>
      <w:bookmarkStart w:id="1411" w:name="_Toc153137739"/>
      <w:bookmarkEnd w:id="1409"/>
      <w:bookmarkEnd w:id="1410"/>
      <w:r w:rsidRPr="008B65F8">
        <w:rPr>
          <w:rFonts w:ascii="Arial" w:eastAsia="Times New Roman" w:hAnsi="Arial" w:cs="Times New Roman"/>
          <w:b/>
          <w:iCs/>
          <w:color w:val="FFFFFF"/>
          <w:sz w:val="24"/>
        </w:rPr>
        <w:t>CS 31HB.67 Tethered flight</w:t>
      </w:r>
      <w:bookmarkEnd w:id="1411"/>
    </w:p>
    <w:p w14:paraId="649F7DEB" w14:textId="77777777" w:rsidR="008B65F8" w:rsidRPr="008B65F8" w:rsidRDefault="008B65F8" w:rsidP="008B65F8">
      <w:pPr>
        <w:pStyle w:val="BodyText"/>
        <w:spacing w:before="117" w:line="276" w:lineRule="auto"/>
        <w:ind w:right="26"/>
        <w:jc w:val="both"/>
        <w:rPr>
          <w:rFonts w:ascii="Arial" w:hAnsi="Arial" w:cs="Arial"/>
          <w:sz w:val="20"/>
        </w:rPr>
      </w:pPr>
      <w:r w:rsidRPr="008B65F8">
        <w:rPr>
          <w:rFonts w:ascii="Arial" w:hAnsi="Arial" w:cs="Arial"/>
          <w:sz w:val="20"/>
        </w:rPr>
        <w:t>The pilot must be provided with an indication that any applicable limitations for tethered flight are being, or have been reached. (See AMC 31HB.67)</w:t>
      </w:r>
    </w:p>
    <w:p w14:paraId="55AE9808" w14:textId="77777777" w:rsidR="00CB3BA0" w:rsidRPr="00CB3BA0" w:rsidRDefault="00CB3BA0" w:rsidP="00CB3BA0">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412" w:name="AMC_31HB.67_Tethered_flight"/>
      <w:bookmarkStart w:id="1413" w:name="_bookmark577"/>
      <w:bookmarkStart w:id="1414" w:name="_Toc153137740"/>
      <w:bookmarkEnd w:id="1412"/>
      <w:bookmarkEnd w:id="1413"/>
      <w:r w:rsidRPr="00CB3BA0">
        <w:rPr>
          <w:rFonts w:ascii="Arial" w:eastAsia="Times New Roman" w:hAnsi="Arial" w:cs="Times New Roman"/>
          <w:b/>
          <w:color w:val="FFFFFF"/>
          <w:sz w:val="24"/>
        </w:rPr>
        <w:t>AMC 31HB.67 Tethered flight</w:t>
      </w:r>
      <w:bookmarkEnd w:id="1414"/>
    </w:p>
    <w:p w14:paraId="260B47D2" w14:textId="77777777" w:rsidR="00CB3BA0" w:rsidRPr="00CB3BA0" w:rsidRDefault="00CB3BA0" w:rsidP="00CB3BA0">
      <w:pPr>
        <w:pStyle w:val="BodyText"/>
        <w:spacing w:before="117" w:line="276" w:lineRule="auto"/>
        <w:ind w:right="26"/>
        <w:jc w:val="both"/>
        <w:rPr>
          <w:rFonts w:ascii="Arial" w:hAnsi="Arial" w:cs="Arial"/>
          <w:sz w:val="20"/>
        </w:rPr>
      </w:pPr>
      <w:r w:rsidRPr="00CB3BA0">
        <w:rPr>
          <w:rFonts w:ascii="Arial" w:hAnsi="Arial" w:cs="Arial"/>
          <w:sz w:val="20"/>
        </w:rPr>
        <w:t>The inclusion of an appropriate device or instrument (rated "weak link", hand held anemometer, windsock etc.) to provide the pilot with an attention-getting indication of the balloon’s tethering limitation, is considered compliant with CS 31HB.67.</w:t>
      </w:r>
    </w:p>
    <w:p w14:paraId="19CEFFC2" w14:textId="77777777" w:rsidR="00244239" w:rsidRDefault="00244239" w:rsidP="00244239">
      <w:pPr>
        <w:pStyle w:val="BodyText"/>
        <w:spacing w:before="117" w:line="276" w:lineRule="auto"/>
        <w:ind w:right="26"/>
        <w:jc w:val="both"/>
        <w:rPr>
          <w:rFonts w:ascii="Arial" w:hAnsi="Arial" w:cs="Arial"/>
          <w:sz w:val="20"/>
        </w:rPr>
      </w:pPr>
    </w:p>
    <w:p w14:paraId="35367F5B" w14:textId="77777777" w:rsidR="002F35B4" w:rsidRPr="002F35B4" w:rsidRDefault="002F35B4" w:rsidP="002F35B4">
      <w:pPr>
        <w:keepNext/>
        <w:keepLines/>
        <w:widowControl/>
        <w:autoSpaceDE/>
        <w:autoSpaceDN/>
        <w:spacing w:before="40" w:line="259" w:lineRule="auto"/>
        <w:jc w:val="center"/>
        <w:outlineLvl w:val="2"/>
        <w:rPr>
          <w:rFonts w:ascii="Arial" w:eastAsiaTheme="majorEastAsia" w:hAnsi="Arial" w:cs="Arial"/>
          <w:b/>
          <w:color w:val="00B0F0"/>
          <w:sz w:val="24"/>
          <w:szCs w:val="24"/>
        </w:rPr>
      </w:pPr>
      <w:bookmarkStart w:id="1415" w:name="_Toc153137741"/>
      <w:r w:rsidRPr="002F35B4">
        <w:rPr>
          <w:rFonts w:ascii="Arial" w:eastAsiaTheme="majorEastAsia" w:hAnsi="Arial" w:cs="Arial"/>
          <w:b/>
          <w:color w:val="00B0F0"/>
          <w:sz w:val="24"/>
          <w:szCs w:val="24"/>
        </w:rPr>
        <w:lastRenderedPageBreak/>
        <w:t>SUBPART F – EQUIPMENT</w:t>
      </w:r>
      <w:bookmarkEnd w:id="1415"/>
    </w:p>
    <w:p w14:paraId="06C0A3A6" w14:textId="77777777" w:rsidR="00DF5D25" w:rsidRPr="00DF5D25" w:rsidRDefault="00DF5D25" w:rsidP="00DF5D25">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416" w:name="CS_31HB.71_Function_and_installation"/>
      <w:bookmarkStart w:id="1417" w:name="_bookmark579"/>
      <w:bookmarkStart w:id="1418" w:name="_Toc153137742"/>
      <w:bookmarkEnd w:id="1416"/>
      <w:bookmarkEnd w:id="1417"/>
      <w:r w:rsidRPr="00DF5D25">
        <w:rPr>
          <w:rFonts w:ascii="Arial" w:eastAsia="Times New Roman" w:hAnsi="Arial" w:cs="Times New Roman"/>
          <w:b/>
          <w:iCs/>
          <w:color w:val="FFFFFF"/>
          <w:sz w:val="24"/>
        </w:rPr>
        <w:t>CS 31HB.71 Function and installation</w:t>
      </w:r>
      <w:bookmarkEnd w:id="1418"/>
    </w:p>
    <w:p w14:paraId="2752C5C3" w14:textId="77777777" w:rsidR="00DF5D25" w:rsidRPr="00DF5D25" w:rsidRDefault="00DF5D25" w:rsidP="005F6871">
      <w:pPr>
        <w:pStyle w:val="ListParagraph"/>
        <w:numPr>
          <w:ilvl w:val="0"/>
          <w:numId w:val="402"/>
        </w:numPr>
        <w:tabs>
          <w:tab w:val="left" w:pos="707"/>
        </w:tabs>
        <w:spacing w:before="117" w:line="276" w:lineRule="auto"/>
        <w:ind w:right="26"/>
        <w:jc w:val="both"/>
        <w:rPr>
          <w:rFonts w:ascii="Arial" w:hAnsi="Arial" w:cs="Arial"/>
          <w:sz w:val="20"/>
        </w:rPr>
      </w:pPr>
      <w:r w:rsidRPr="00DF5D25">
        <w:rPr>
          <w:rFonts w:ascii="Arial" w:hAnsi="Arial" w:cs="Arial"/>
          <w:sz w:val="20"/>
        </w:rPr>
        <w:t>Each item of required equipment must:</w:t>
      </w:r>
    </w:p>
    <w:p w14:paraId="2D7994FF" w14:textId="77777777" w:rsidR="00DF5D25" w:rsidRPr="00DF5D25" w:rsidRDefault="00DF5D25" w:rsidP="005F6871">
      <w:pPr>
        <w:pStyle w:val="ListParagraph"/>
        <w:numPr>
          <w:ilvl w:val="0"/>
          <w:numId w:val="403"/>
        </w:numPr>
        <w:tabs>
          <w:tab w:val="left" w:pos="1274"/>
          <w:tab w:val="left" w:pos="8910"/>
        </w:tabs>
        <w:spacing w:before="118" w:line="276" w:lineRule="auto"/>
        <w:ind w:right="26"/>
        <w:jc w:val="both"/>
        <w:rPr>
          <w:rFonts w:ascii="Arial" w:hAnsi="Arial" w:cs="Arial"/>
          <w:sz w:val="20"/>
        </w:rPr>
      </w:pPr>
      <w:r w:rsidRPr="00DF5D25">
        <w:rPr>
          <w:rFonts w:ascii="Arial" w:hAnsi="Arial" w:cs="Arial"/>
          <w:sz w:val="20"/>
        </w:rPr>
        <w:t>be of a kind and design appropriate to its intended function;</w:t>
      </w:r>
    </w:p>
    <w:p w14:paraId="2C55B53B" w14:textId="77777777" w:rsidR="00DF5D25" w:rsidRPr="00DF5D25" w:rsidRDefault="00DF5D25" w:rsidP="005F6871">
      <w:pPr>
        <w:pStyle w:val="ListParagraph"/>
        <w:numPr>
          <w:ilvl w:val="0"/>
          <w:numId w:val="403"/>
        </w:numPr>
        <w:tabs>
          <w:tab w:val="left" w:pos="1274"/>
          <w:tab w:val="left" w:pos="8910"/>
        </w:tabs>
        <w:spacing w:before="118" w:line="276" w:lineRule="auto"/>
        <w:ind w:right="26"/>
        <w:jc w:val="both"/>
        <w:rPr>
          <w:rFonts w:ascii="Arial" w:hAnsi="Arial" w:cs="Arial"/>
          <w:sz w:val="20"/>
        </w:rPr>
      </w:pPr>
      <w:r w:rsidRPr="00DF5D25">
        <w:rPr>
          <w:rFonts w:ascii="Arial" w:hAnsi="Arial" w:cs="Arial"/>
          <w:sz w:val="20"/>
        </w:rPr>
        <w:t>be labelled or marked to identify its function or operating limitations, or any applicable combination of these factors;</w:t>
      </w:r>
    </w:p>
    <w:p w14:paraId="6F1673EB" w14:textId="77777777" w:rsidR="00DF5D25" w:rsidRPr="00DF5D25" w:rsidRDefault="00DF5D25" w:rsidP="005F6871">
      <w:pPr>
        <w:pStyle w:val="ListParagraph"/>
        <w:numPr>
          <w:ilvl w:val="0"/>
          <w:numId w:val="403"/>
        </w:numPr>
        <w:tabs>
          <w:tab w:val="left" w:pos="1274"/>
          <w:tab w:val="left" w:pos="8910"/>
        </w:tabs>
        <w:spacing w:before="118" w:line="276" w:lineRule="auto"/>
        <w:ind w:right="26"/>
        <w:jc w:val="both"/>
        <w:rPr>
          <w:rFonts w:ascii="Arial" w:hAnsi="Arial" w:cs="Arial"/>
          <w:sz w:val="20"/>
        </w:rPr>
      </w:pPr>
      <w:r w:rsidRPr="00DF5D25">
        <w:rPr>
          <w:rFonts w:ascii="Arial" w:hAnsi="Arial" w:cs="Arial"/>
          <w:sz w:val="20"/>
        </w:rPr>
        <w:t>be installed according to limitations specified for that equipment; and</w:t>
      </w:r>
    </w:p>
    <w:p w14:paraId="4B69F642" w14:textId="77777777" w:rsidR="00DF5D25" w:rsidRPr="00DF5D25" w:rsidRDefault="00DF5D25" w:rsidP="005F6871">
      <w:pPr>
        <w:pStyle w:val="ListParagraph"/>
        <w:numPr>
          <w:ilvl w:val="0"/>
          <w:numId w:val="403"/>
        </w:numPr>
        <w:tabs>
          <w:tab w:val="left" w:pos="1274"/>
          <w:tab w:val="left" w:pos="8910"/>
        </w:tabs>
        <w:spacing w:before="118" w:line="276" w:lineRule="auto"/>
        <w:ind w:right="26"/>
        <w:jc w:val="both"/>
        <w:rPr>
          <w:rFonts w:ascii="Arial" w:hAnsi="Arial" w:cs="Arial"/>
          <w:sz w:val="20"/>
        </w:rPr>
      </w:pPr>
      <w:r w:rsidRPr="00DF5D25">
        <w:rPr>
          <w:rFonts w:ascii="Arial" w:hAnsi="Arial" w:cs="Arial"/>
          <w:sz w:val="20"/>
        </w:rPr>
        <w:t>function properly when installed. (See AMC 31HB.71(a)(4))</w:t>
      </w:r>
    </w:p>
    <w:p w14:paraId="3B190D6E" w14:textId="77777777" w:rsidR="00DF5D25" w:rsidRPr="00DF5D25" w:rsidRDefault="00DF5D25" w:rsidP="005F6871">
      <w:pPr>
        <w:pStyle w:val="ListParagraph"/>
        <w:numPr>
          <w:ilvl w:val="0"/>
          <w:numId w:val="402"/>
        </w:numPr>
        <w:tabs>
          <w:tab w:val="left" w:pos="707"/>
        </w:tabs>
        <w:spacing w:before="117" w:line="276" w:lineRule="auto"/>
        <w:ind w:right="26"/>
        <w:jc w:val="both"/>
        <w:rPr>
          <w:rFonts w:ascii="Arial" w:hAnsi="Arial" w:cs="Arial"/>
          <w:sz w:val="20"/>
        </w:rPr>
      </w:pPr>
      <w:r w:rsidRPr="00DF5D25">
        <w:rPr>
          <w:rFonts w:ascii="Arial" w:hAnsi="Arial" w:cs="Arial"/>
          <w:sz w:val="20"/>
        </w:rPr>
        <w:t>Instruments and other equipment may not in themselves, or by their effect upon the balloon, constitute a hazard to safe operation.</w:t>
      </w:r>
    </w:p>
    <w:p w14:paraId="4B250B6E" w14:textId="77777777" w:rsidR="00A6630E" w:rsidRPr="00A6630E" w:rsidRDefault="00A6630E" w:rsidP="00A6630E">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419" w:name="AMC_31HB.71(a)(4)_Function_and_installat"/>
      <w:bookmarkStart w:id="1420" w:name="_bookmark580"/>
      <w:bookmarkStart w:id="1421" w:name="_Toc153137743"/>
      <w:bookmarkEnd w:id="1419"/>
      <w:bookmarkEnd w:id="1420"/>
      <w:r w:rsidRPr="00A6630E">
        <w:rPr>
          <w:rFonts w:ascii="Arial" w:eastAsia="Times New Roman" w:hAnsi="Arial" w:cs="Times New Roman"/>
          <w:b/>
          <w:color w:val="FFFFFF"/>
          <w:sz w:val="24"/>
        </w:rPr>
        <w:t>AMC 31HB.71(a)(4) Function and installation</w:t>
      </w:r>
      <w:bookmarkEnd w:id="1421"/>
    </w:p>
    <w:p w14:paraId="673445F6" w14:textId="77777777" w:rsidR="00A6630E" w:rsidRPr="00A6630E" w:rsidRDefault="00A6630E" w:rsidP="00A6630E">
      <w:pPr>
        <w:pStyle w:val="BodyText"/>
        <w:spacing w:before="117" w:line="276" w:lineRule="auto"/>
        <w:ind w:right="26"/>
        <w:jc w:val="both"/>
        <w:rPr>
          <w:rFonts w:ascii="Arial" w:hAnsi="Arial" w:cs="Arial"/>
          <w:sz w:val="20"/>
        </w:rPr>
      </w:pPr>
      <w:r w:rsidRPr="00A6630E">
        <w:rPr>
          <w:rFonts w:ascii="Arial" w:hAnsi="Arial" w:cs="Arial"/>
          <w:sz w:val="20"/>
        </w:rPr>
        <w:t>The correct functioning should not be impaired by operational circumstances such as icing, heavy rain, high humidity or low and high temperatures. The equipment, systems, and installations should be designed to prevent hazards to the balloon in the event of a probable malfunction or failure of that equipment.</w:t>
      </w:r>
    </w:p>
    <w:p w14:paraId="5B6CE7C0" w14:textId="77777777" w:rsidR="00A6630E" w:rsidRPr="00A6630E" w:rsidRDefault="00A6630E" w:rsidP="00A6630E">
      <w:pPr>
        <w:pStyle w:val="BodyText"/>
        <w:spacing w:before="117" w:line="276" w:lineRule="auto"/>
        <w:ind w:right="26"/>
        <w:jc w:val="both"/>
        <w:rPr>
          <w:rFonts w:ascii="Arial" w:hAnsi="Arial" w:cs="Arial"/>
          <w:sz w:val="20"/>
        </w:rPr>
      </w:pPr>
      <w:r w:rsidRPr="00A6630E">
        <w:rPr>
          <w:rFonts w:ascii="Arial" w:hAnsi="Arial" w:cs="Arial"/>
          <w:sz w:val="20"/>
        </w:rPr>
        <w:t>When ATC equipment and/or positioning lights as possibly required by operational rules are installed, it should be shown that the electrical system is such that the operation of this equipment is not adversely affected by operational circumstances.</w:t>
      </w:r>
    </w:p>
    <w:p w14:paraId="7C03947A" w14:textId="77777777" w:rsidR="005350AE" w:rsidRPr="005350AE" w:rsidRDefault="005350AE" w:rsidP="005350AE">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422" w:name="CS_31HB.72_Miscellaneous_equipment"/>
      <w:bookmarkStart w:id="1423" w:name="_bookmark581"/>
      <w:bookmarkStart w:id="1424" w:name="_Toc153137744"/>
      <w:bookmarkEnd w:id="1422"/>
      <w:bookmarkEnd w:id="1423"/>
      <w:r w:rsidRPr="005350AE">
        <w:rPr>
          <w:rFonts w:ascii="Arial" w:eastAsia="Times New Roman" w:hAnsi="Arial" w:cs="Times New Roman"/>
          <w:b/>
          <w:iCs/>
          <w:color w:val="FFFFFF"/>
          <w:sz w:val="24"/>
        </w:rPr>
        <w:t>CS 31HB.72 Miscellaneous equipment</w:t>
      </w:r>
      <w:bookmarkEnd w:id="1424"/>
    </w:p>
    <w:p w14:paraId="30640375" w14:textId="77777777" w:rsidR="005350AE" w:rsidRPr="005350AE" w:rsidRDefault="005350AE" w:rsidP="005350AE">
      <w:pPr>
        <w:pStyle w:val="BodyText"/>
        <w:spacing w:before="117" w:line="276" w:lineRule="auto"/>
        <w:ind w:right="26"/>
        <w:jc w:val="both"/>
        <w:rPr>
          <w:rFonts w:ascii="Arial" w:hAnsi="Arial" w:cs="Arial"/>
          <w:sz w:val="20"/>
        </w:rPr>
      </w:pPr>
      <w:r w:rsidRPr="005350AE">
        <w:rPr>
          <w:rFonts w:ascii="Arial" w:hAnsi="Arial" w:cs="Arial"/>
          <w:sz w:val="20"/>
        </w:rPr>
        <w:t>Each balloon must be equipped with:</w:t>
      </w:r>
    </w:p>
    <w:p w14:paraId="07E57227" w14:textId="77777777" w:rsidR="005350AE" w:rsidRPr="005350AE" w:rsidRDefault="005350AE" w:rsidP="005F6871">
      <w:pPr>
        <w:pStyle w:val="ListParagraph"/>
        <w:numPr>
          <w:ilvl w:val="0"/>
          <w:numId w:val="404"/>
        </w:numPr>
        <w:tabs>
          <w:tab w:val="left" w:pos="707"/>
        </w:tabs>
        <w:spacing w:before="117" w:line="276" w:lineRule="auto"/>
        <w:ind w:right="26"/>
        <w:jc w:val="both"/>
        <w:rPr>
          <w:rFonts w:ascii="Arial" w:hAnsi="Arial" w:cs="Arial"/>
          <w:sz w:val="20"/>
        </w:rPr>
      </w:pPr>
      <w:r w:rsidRPr="005350AE">
        <w:rPr>
          <w:rFonts w:ascii="Arial" w:hAnsi="Arial" w:cs="Arial"/>
          <w:sz w:val="20"/>
        </w:rPr>
        <w:t>General:</w:t>
      </w:r>
    </w:p>
    <w:p w14:paraId="0859030F" w14:textId="77777777" w:rsidR="005350AE" w:rsidRPr="005350AE" w:rsidRDefault="005350AE" w:rsidP="005F6871">
      <w:pPr>
        <w:pStyle w:val="ListParagraph"/>
        <w:numPr>
          <w:ilvl w:val="0"/>
          <w:numId w:val="405"/>
        </w:numPr>
        <w:tabs>
          <w:tab w:val="left" w:pos="1274"/>
          <w:tab w:val="left" w:pos="8910"/>
        </w:tabs>
        <w:spacing w:before="118" w:line="276" w:lineRule="auto"/>
        <w:ind w:right="26"/>
        <w:jc w:val="both"/>
        <w:rPr>
          <w:rFonts w:ascii="Arial" w:hAnsi="Arial" w:cs="Arial"/>
          <w:sz w:val="20"/>
        </w:rPr>
      </w:pPr>
      <w:r w:rsidRPr="005350AE">
        <w:rPr>
          <w:rFonts w:ascii="Arial" w:hAnsi="Arial" w:cs="Arial"/>
          <w:sz w:val="20"/>
        </w:rPr>
        <w:t>A standby source of ignition for the pilot light or burner.</w:t>
      </w:r>
    </w:p>
    <w:p w14:paraId="59D71576" w14:textId="77777777" w:rsidR="005350AE" w:rsidRPr="005350AE" w:rsidRDefault="005350AE" w:rsidP="005F6871">
      <w:pPr>
        <w:pStyle w:val="ListParagraph"/>
        <w:numPr>
          <w:ilvl w:val="0"/>
          <w:numId w:val="405"/>
        </w:numPr>
        <w:tabs>
          <w:tab w:val="left" w:pos="1274"/>
          <w:tab w:val="left" w:pos="8910"/>
        </w:tabs>
        <w:spacing w:before="118" w:line="276" w:lineRule="auto"/>
        <w:ind w:right="26"/>
        <w:jc w:val="both"/>
        <w:rPr>
          <w:rFonts w:ascii="Arial" w:hAnsi="Arial" w:cs="Arial"/>
          <w:sz w:val="20"/>
        </w:rPr>
      </w:pPr>
      <w:r w:rsidRPr="005350AE">
        <w:rPr>
          <w:rFonts w:ascii="Arial" w:hAnsi="Arial" w:cs="Arial"/>
          <w:sz w:val="20"/>
        </w:rPr>
        <w:t>An envelope temperature indicator, which may either be of the continuous reading type or a type that gives a warning signal. (See also CS 31HB.49(e))</w:t>
      </w:r>
    </w:p>
    <w:p w14:paraId="2B5F46DB" w14:textId="77777777" w:rsidR="005350AE" w:rsidRPr="005350AE" w:rsidRDefault="005350AE" w:rsidP="005F6871">
      <w:pPr>
        <w:pStyle w:val="ListParagraph"/>
        <w:numPr>
          <w:ilvl w:val="0"/>
          <w:numId w:val="405"/>
        </w:numPr>
        <w:tabs>
          <w:tab w:val="left" w:pos="1274"/>
          <w:tab w:val="left" w:pos="8910"/>
        </w:tabs>
        <w:spacing w:before="118" w:line="276" w:lineRule="auto"/>
        <w:ind w:right="26"/>
        <w:jc w:val="both"/>
        <w:rPr>
          <w:rFonts w:ascii="Arial" w:hAnsi="Arial" w:cs="Arial"/>
          <w:sz w:val="20"/>
        </w:rPr>
      </w:pPr>
      <w:r w:rsidRPr="005350AE">
        <w:rPr>
          <w:rFonts w:ascii="Arial" w:hAnsi="Arial" w:cs="Arial"/>
          <w:sz w:val="20"/>
        </w:rPr>
        <w:t>Where flight manual limitations specify a rate of climb or descent; a rate of climb/descent indicator (variometer).</w:t>
      </w:r>
    </w:p>
    <w:p w14:paraId="012E041F" w14:textId="77777777" w:rsidR="005350AE" w:rsidRPr="005350AE" w:rsidRDefault="005350AE" w:rsidP="005F6871">
      <w:pPr>
        <w:pStyle w:val="ListParagraph"/>
        <w:numPr>
          <w:ilvl w:val="0"/>
          <w:numId w:val="405"/>
        </w:numPr>
        <w:tabs>
          <w:tab w:val="left" w:pos="1274"/>
          <w:tab w:val="left" w:pos="8910"/>
        </w:tabs>
        <w:spacing w:before="118" w:line="276" w:lineRule="auto"/>
        <w:ind w:right="26"/>
        <w:jc w:val="both"/>
        <w:rPr>
          <w:rFonts w:ascii="Arial" w:hAnsi="Arial" w:cs="Arial"/>
          <w:sz w:val="20"/>
        </w:rPr>
      </w:pPr>
      <w:r w:rsidRPr="005350AE">
        <w:rPr>
          <w:rFonts w:ascii="Arial" w:hAnsi="Arial" w:cs="Arial"/>
          <w:sz w:val="20"/>
        </w:rPr>
        <w:t>A fire extinguisher. (See AMC 31HB.72(a)(4))</w:t>
      </w:r>
    </w:p>
    <w:p w14:paraId="5D60D474" w14:textId="77777777" w:rsidR="005350AE" w:rsidRPr="005350AE" w:rsidRDefault="005350AE" w:rsidP="005F6871">
      <w:pPr>
        <w:pStyle w:val="ListParagraph"/>
        <w:numPr>
          <w:ilvl w:val="0"/>
          <w:numId w:val="404"/>
        </w:numPr>
        <w:tabs>
          <w:tab w:val="left" w:pos="707"/>
        </w:tabs>
        <w:spacing w:before="117" w:line="276" w:lineRule="auto"/>
        <w:ind w:right="26"/>
        <w:jc w:val="both"/>
        <w:rPr>
          <w:rFonts w:ascii="Arial" w:hAnsi="Arial" w:cs="Arial"/>
          <w:sz w:val="20"/>
        </w:rPr>
      </w:pPr>
      <w:r w:rsidRPr="005350AE">
        <w:rPr>
          <w:rFonts w:ascii="Arial" w:hAnsi="Arial" w:cs="Arial"/>
          <w:sz w:val="20"/>
        </w:rPr>
        <w:t>A 'kit' of tethering components, if the balloon is specifically approved for tethered operations. (See CS 31HB.28)</w:t>
      </w:r>
    </w:p>
    <w:p w14:paraId="66C35303" w14:textId="77777777" w:rsidR="005350AE" w:rsidRPr="005350AE" w:rsidRDefault="005350AE" w:rsidP="005F6871">
      <w:pPr>
        <w:pStyle w:val="ListParagraph"/>
        <w:numPr>
          <w:ilvl w:val="0"/>
          <w:numId w:val="404"/>
        </w:numPr>
        <w:tabs>
          <w:tab w:val="left" w:pos="707"/>
        </w:tabs>
        <w:spacing w:before="117" w:line="276" w:lineRule="auto"/>
        <w:ind w:right="26"/>
        <w:jc w:val="both"/>
        <w:rPr>
          <w:rFonts w:ascii="Arial" w:hAnsi="Arial" w:cs="Arial"/>
          <w:sz w:val="20"/>
        </w:rPr>
      </w:pPr>
      <w:r w:rsidRPr="005350AE">
        <w:rPr>
          <w:rFonts w:ascii="Arial" w:hAnsi="Arial" w:cs="Arial"/>
          <w:sz w:val="20"/>
        </w:rPr>
        <w:t>For mixed balloons minimum ballast, if applicable.</w:t>
      </w:r>
    </w:p>
    <w:p w14:paraId="3A37F464" w14:textId="77777777" w:rsidR="00BF4141" w:rsidRPr="00BF4141" w:rsidRDefault="00BF4141" w:rsidP="00BF4141">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425" w:name="_Toc153137745"/>
      <w:r w:rsidRPr="00BF4141">
        <w:rPr>
          <w:rFonts w:ascii="Arial" w:eastAsia="Times New Roman" w:hAnsi="Arial" w:cs="Times New Roman"/>
          <w:b/>
          <w:color w:val="FFFFFF"/>
          <w:sz w:val="24"/>
        </w:rPr>
        <w:t>AMC 31HB.72(a)(4) Miscellaneous equipment</w:t>
      </w:r>
      <w:bookmarkEnd w:id="1425"/>
      <w:r w:rsidRPr="00BF4141">
        <w:rPr>
          <w:rFonts w:ascii="Arial" w:eastAsia="Times New Roman" w:hAnsi="Arial" w:cs="Times New Roman"/>
          <w:b/>
          <w:color w:val="FFFFFF"/>
          <w:sz w:val="24"/>
        </w:rPr>
        <w:tab/>
      </w:r>
    </w:p>
    <w:p w14:paraId="0FA77048" w14:textId="77777777" w:rsidR="00BF4141" w:rsidRPr="00BF4141" w:rsidRDefault="00BF4141" w:rsidP="00BF4141">
      <w:pPr>
        <w:pStyle w:val="BodyText"/>
        <w:spacing w:before="117" w:line="276" w:lineRule="auto"/>
        <w:ind w:right="26"/>
        <w:jc w:val="both"/>
        <w:rPr>
          <w:rFonts w:ascii="Arial" w:hAnsi="Arial" w:cs="Arial"/>
          <w:sz w:val="20"/>
        </w:rPr>
      </w:pPr>
      <w:r w:rsidRPr="00BF4141">
        <w:rPr>
          <w:rFonts w:ascii="Arial" w:hAnsi="Arial" w:cs="Arial"/>
          <w:sz w:val="20"/>
        </w:rPr>
        <w:t>Fire extinguishers should:</w:t>
      </w:r>
    </w:p>
    <w:p w14:paraId="258B265E" w14:textId="77777777" w:rsidR="00BF4141" w:rsidRPr="00BF4141" w:rsidRDefault="00BF4141" w:rsidP="005F6871">
      <w:pPr>
        <w:pStyle w:val="ListParagraph"/>
        <w:numPr>
          <w:ilvl w:val="0"/>
          <w:numId w:val="406"/>
        </w:numPr>
        <w:tabs>
          <w:tab w:val="left" w:pos="707"/>
        </w:tabs>
        <w:spacing w:before="118"/>
        <w:rPr>
          <w:rFonts w:ascii="Arial" w:hAnsi="Arial" w:cs="Arial"/>
          <w:sz w:val="20"/>
          <w:szCs w:val="20"/>
        </w:rPr>
      </w:pPr>
      <w:r w:rsidRPr="00BF4141">
        <w:rPr>
          <w:rFonts w:ascii="Arial" w:hAnsi="Arial" w:cs="Arial"/>
          <w:sz w:val="20"/>
          <w:szCs w:val="20"/>
        </w:rPr>
        <w:t>conform</w:t>
      </w:r>
      <w:r w:rsidRPr="00BF4141">
        <w:rPr>
          <w:rFonts w:ascii="Arial" w:hAnsi="Arial" w:cs="Arial"/>
          <w:spacing w:val="-2"/>
          <w:sz w:val="20"/>
          <w:szCs w:val="20"/>
        </w:rPr>
        <w:t xml:space="preserve"> </w:t>
      </w:r>
      <w:r w:rsidRPr="00BF4141">
        <w:rPr>
          <w:rFonts w:ascii="Arial" w:hAnsi="Arial" w:cs="Arial"/>
          <w:sz w:val="20"/>
          <w:szCs w:val="20"/>
        </w:rPr>
        <w:t>to</w:t>
      </w:r>
      <w:r w:rsidRPr="00BF4141">
        <w:rPr>
          <w:rFonts w:ascii="Arial" w:hAnsi="Arial" w:cs="Arial"/>
          <w:spacing w:val="-2"/>
          <w:sz w:val="20"/>
          <w:szCs w:val="20"/>
        </w:rPr>
        <w:t xml:space="preserve"> </w:t>
      </w:r>
      <w:r w:rsidRPr="00BF4141">
        <w:rPr>
          <w:rFonts w:ascii="Arial" w:hAnsi="Arial" w:cs="Arial"/>
          <w:sz w:val="20"/>
          <w:szCs w:val="20"/>
        </w:rPr>
        <w:t>EN3</w:t>
      </w:r>
      <w:r w:rsidRPr="00BF4141">
        <w:rPr>
          <w:rFonts w:ascii="Arial" w:hAnsi="Arial" w:cs="Arial"/>
          <w:spacing w:val="-2"/>
          <w:sz w:val="20"/>
          <w:szCs w:val="20"/>
        </w:rPr>
        <w:t xml:space="preserve"> </w:t>
      </w:r>
      <w:r w:rsidRPr="00BF4141">
        <w:rPr>
          <w:rFonts w:ascii="Arial" w:hAnsi="Arial" w:cs="Arial"/>
          <w:sz w:val="20"/>
          <w:szCs w:val="20"/>
        </w:rPr>
        <w:t>or</w:t>
      </w:r>
      <w:r w:rsidRPr="00BF4141">
        <w:rPr>
          <w:rFonts w:ascii="Arial" w:hAnsi="Arial" w:cs="Arial"/>
          <w:spacing w:val="-4"/>
          <w:sz w:val="20"/>
          <w:szCs w:val="20"/>
        </w:rPr>
        <w:t xml:space="preserve"> </w:t>
      </w:r>
      <w:r w:rsidRPr="00BF4141">
        <w:rPr>
          <w:rFonts w:ascii="Arial" w:hAnsi="Arial" w:cs="Arial"/>
          <w:sz w:val="20"/>
          <w:szCs w:val="20"/>
        </w:rPr>
        <w:t>an</w:t>
      </w:r>
      <w:r w:rsidRPr="00BF4141">
        <w:rPr>
          <w:rFonts w:ascii="Arial" w:hAnsi="Arial" w:cs="Arial"/>
          <w:spacing w:val="-1"/>
          <w:sz w:val="20"/>
          <w:szCs w:val="20"/>
        </w:rPr>
        <w:t xml:space="preserve"> </w:t>
      </w:r>
      <w:r w:rsidRPr="00BF4141">
        <w:rPr>
          <w:rFonts w:ascii="Arial" w:hAnsi="Arial" w:cs="Arial"/>
          <w:sz w:val="20"/>
          <w:szCs w:val="20"/>
        </w:rPr>
        <w:t>equivalent</w:t>
      </w:r>
      <w:r w:rsidRPr="00BF4141">
        <w:rPr>
          <w:rFonts w:ascii="Arial" w:hAnsi="Arial" w:cs="Arial"/>
          <w:spacing w:val="-2"/>
          <w:sz w:val="20"/>
          <w:szCs w:val="20"/>
        </w:rPr>
        <w:t xml:space="preserve"> </w:t>
      </w:r>
      <w:r w:rsidRPr="00BF4141">
        <w:rPr>
          <w:rFonts w:ascii="Arial" w:hAnsi="Arial" w:cs="Arial"/>
          <w:sz w:val="20"/>
          <w:szCs w:val="20"/>
        </w:rPr>
        <w:t>specification acceptable</w:t>
      </w:r>
      <w:r w:rsidRPr="00BF4141">
        <w:rPr>
          <w:rFonts w:ascii="Arial" w:hAnsi="Arial" w:cs="Arial"/>
          <w:spacing w:val="-1"/>
          <w:sz w:val="20"/>
          <w:szCs w:val="20"/>
        </w:rPr>
        <w:t xml:space="preserve"> </w:t>
      </w:r>
      <w:r w:rsidRPr="00BF4141">
        <w:rPr>
          <w:rFonts w:ascii="Arial" w:hAnsi="Arial" w:cs="Arial"/>
          <w:sz w:val="20"/>
          <w:szCs w:val="20"/>
        </w:rPr>
        <w:t>to</w:t>
      </w:r>
      <w:r w:rsidRPr="00BF4141">
        <w:rPr>
          <w:rFonts w:ascii="Arial" w:hAnsi="Arial" w:cs="Arial"/>
          <w:spacing w:val="-2"/>
          <w:sz w:val="20"/>
          <w:szCs w:val="20"/>
        </w:rPr>
        <w:t xml:space="preserve"> </w:t>
      </w:r>
      <w:r w:rsidRPr="00BF4141">
        <w:rPr>
          <w:rFonts w:ascii="Arial" w:hAnsi="Arial" w:cs="Arial"/>
          <w:sz w:val="20"/>
          <w:szCs w:val="20"/>
        </w:rPr>
        <w:t>the</w:t>
      </w:r>
      <w:r w:rsidRPr="00BF4141">
        <w:rPr>
          <w:rFonts w:ascii="Arial" w:hAnsi="Arial" w:cs="Arial"/>
          <w:spacing w:val="-3"/>
          <w:sz w:val="20"/>
          <w:szCs w:val="20"/>
        </w:rPr>
        <w:t xml:space="preserve"> </w:t>
      </w:r>
      <w:r w:rsidRPr="00BF4141">
        <w:rPr>
          <w:rFonts w:ascii="Arial" w:hAnsi="Arial" w:cs="Arial"/>
          <w:sz w:val="20"/>
          <w:szCs w:val="20"/>
        </w:rPr>
        <w:t>Agency;</w:t>
      </w:r>
    </w:p>
    <w:p w14:paraId="664B9E11" w14:textId="77777777" w:rsidR="00BF4141" w:rsidRPr="00BF4141" w:rsidRDefault="00BF4141" w:rsidP="005F6871">
      <w:pPr>
        <w:pStyle w:val="ListParagraph"/>
        <w:numPr>
          <w:ilvl w:val="0"/>
          <w:numId w:val="406"/>
        </w:numPr>
        <w:tabs>
          <w:tab w:val="left" w:pos="707"/>
        </w:tabs>
        <w:spacing w:before="121"/>
        <w:ind w:right="26"/>
        <w:rPr>
          <w:rFonts w:ascii="Arial" w:hAnsi="Arial" w:cs="Arial"/>
          <w:sz w:val="20"/>
          <w:szCs w:val="20"/>
        </w:rPr>
      </w:pPr>
      <w:r w:rsidRPr="00BF4141">
        <w:rPr>
          <w:rFonts w:ascii="Arial" w:hAnsi="Arial" w:cs="Arial"/>
          <w:sz w:val="20"/>
          <w:szCs w:val="20"/>
        </w:rPr>
        <w:t>have</w:t>
      </w:r>
      <w:r w:rsidRPr="00BF4141">
        <w:rPr>
          <w:rFonts w:ascii="Arial" w:hAnsi="Arial" w:cs="Arial"/>
          <w:spacing w:val="7"/>
          <w:sz w:val="20"/>
          <w:szCs w:val="20"/>
        </w:rPr>
        <w:t xml:space="preserve"> </w:t>
      </w:r>
      <w:r w:rsidRPr="00BF4141">
        <w:rPr>
          <w:rFonts w:ascii="Arial" w:hAnsi="Arial" w:cs="Arial"/>
          <w:sz w:val="20"/>
          <w:szCs w:val="20"/>
        </w:rPr>
        <w:t>a</w:t>
      </w:r>
      <w:r w:rsidRPr="00BF4141">
        <w:rPr>
          <w:rFonts w:ascii="Arial" w:hAnsi="Arial" w:cs="Arial"/>
          <w:spacing w:val="5"/>
          <w:sz w:val="20"/>
          <w:szCs w:val="20"/>
        </w:rPr>
        <w:t xml:space="preserve"> </w:t>
      </w:r>
      <w:r w:rsidRPr="00BF4141">
        <w:rPr>
          <w:rFonts w:ascii="Arial" w:hAnsi="Arial" w:cs="Arial"/>
          <w:sz w:val="20"/>
          <w:szCs w:val="20"/>
        </w:rPr>
        <w:t>minimum</w:t>
      </w:r>
      <w:r w:rsidRPr="00BF4141">
        <w:rPr>
          <w:rFonts w:ascii="Arial" w:hAnsi="Arial" w:cs="Arial"/>
          <w:spacing w:val="8"/>
          <w:sz w:val="20"/>
          <w:szCs w:val="20"/>
        </w:rPr>
        <w:t xml:space="preserve"> </w:t>
      </w:r>
      <w:r w:rsidRPr="00BF4141">
        <w:rPr>
          <w:rFonts w:ascii="Arial" w:hAnsi="Arial" w:cs="Arial"/>
          <w:sz w:val="20"/>
          <w:szCs w:val="20"/>
        </w:rPr>
        <w:t>capacity</w:t>
      </w:r>
      <w:r w:rsidRPr="00BF4141">
        <w:rPr>
          <w:rFonts w:ascii="Arial" w:hAnsi="Arial" w:cs="Arial"/>
          <w:spacing w:val="6"/>
          <w:sz w:val="20"/>
          <w:szCs w:val="20"/>
        </w:rPr>
        <w:t xml:space="preserve"> </w:t>
      </w:r>
      <w:r w:rsidRPr="00BF4141">
        <w:rPr>
          <w:rFonts w:ascii="Arial" w:hAnsi="Arial" w:cs="Arial"/>
          <w:sz w:val="20"/>
          <w:szCs w:val="20"/>
        </w:rPr>
        <w:t>of</w:t>
      </w:r>
      <w:r w:rsidRPr="00BF4141">
        <w:rPr>
          <w:rFonts w:ascii="Arial" w:hAnsi="Arial" w:cs="Arial"/>
          <w:spacing w:val="7"/>
          <w:sz w:val="20"/>
          <w:szCs w:val="20"/>
        </w:rPr>
        <w:t xml:space="preserve"> </w:t>
      </w:r>
      <w:r w:rsidRPr="00BF4141">
        <w:rPr>
          <w:rFonts w:ascii="Arial" w:hAnsi="Arial" w:cs="Arial"/>
          <w:sz w:val="20"/>
          <w:szCs w:val="20"/>
        </w:rPr>
        <w:t>2</w:t>
      </w:r>
      <w:r w:rsidRPr="00BF4141">
        <w:rPr>
          <w:rFonts w:ascii="Arial" w:hAnsi="Arial" w:cs="Arial"/>
          <w:spacing w:val="5"/>
          <w:sz w:val="20"/>
          <w:szCs w:val="20"/>
        </w:rPr>
        <w:t xml:space="preserve"> </w:t>
      </w:r>
      <w:r w:rsidRPr="00BF4141">
        <w:rPr>
          <w:rFonts w:ascii="Arial" w:hAnsi="Arial" w:cs="Arial"/>
          <w:sz w:val="20"/>
          <w:szCs w:val="20"/>
        </w:rPr>
        <w:t>kg</w:t>
      </w:r>
      <w:r w:rsidRPr="00BF4141">
        <w:rPr>
          <w:rFonts w:ascii="Arial" w:hAnsi="Arial" w:cs="Arial"/>
          <w:spacing w:val="6"/>
          <w:sz w:val="20"/>
          <w:szCs w:val="20"/>
        </w:rPr>
        <w:t xml:space="preserve"> </w:t>
      </w:r>
      <w:r w:rsidRPr="00BF4141">
        <w:rPr>
          <w:rFonts w:ascii="Arial" w:hAnsi="Arial" w:cs="Arial"/>
          <w:sz w:val="20"/>
          <w:szCs w:val="20"/>
        </w:rPr>
        <w:t>when</w:t>
      </w:r>
      <w:r w:rsidRPr="00BF4141">
        <w:rPr>
          <w:rFonts w:ascii="Arial" w:hAnsi="Arial" w:cs="Arial"/>
          <w:spacing w:val="7"/>
          <w:sz w:val="20"/>
          <w:szCs w:val="20"/>
        </w:rPr>
        <w:t xml:space="preserve"> </w:t>
      </w:r>
      <w:r w:rsidRPr="00BF4141">
        <w:rPr>
          <w:rFonts w:ascii="Arial" w:hAnsi="Arial" w:cs="Arial"/>
          <w:sz w:val="20"/>
          <w:szCs w:val="20"/>
        </w:rPr>
        <w:t>using</w:t>
      </w:r>
      <w:r w:rsidRPr="00BF4141">
        <w:rPr>
          <w:rFonts w:ascii="Arial" w:hAnsi="Arial" w:cs="Arial"/>
          <w:spacing w:val="6"/>
          <w:sz w:val="20"/>
          <w:szCs w:val="20"/>
        </w:rPr>
        <w:t xml:space="preserve"> </w:t>
      </w:r>
      <w:r w:rsidRPr="00BF4141">
        <w:rPr>
          <w:rFonts w:ascii="Arial" w:hAnsi="Arial" w:cs="Arial"/>
          <w:sz w:val="20"/>
          <w:szCs w:val="20"/>
        </w:rPr>
        <w:t>dry</w:t>
      </w:r>
      <w:r w:rsidRPr="00BF4141">
        <w:rPr>
          <w:rFonts w:ascii="Arial" w:hAnsi="Arial" w:cs="Arial"/>
          <w:spacing w:val="8"/>
          <w:sz w:val="20"/>
          <w:szCs w:val="20"/>
        </w:rPr>
        <w:t xml:space="preserve"> </w:t>
      </w:r>
      <w:r w:rsidRPr="00BF4141">
        <w:rPr>
          <w:rFonts w:ascii="Arial" w:hAnsi="Arial" w:cs="Arial"/>
          <w:sz w:val="20"/>
          <w:szCs w:val="20"/>
        </w:rPr>
        <w:t>powder,</w:t>
      </w:r>
      <w:r w:rsidRPr="00BF4141">
        <w:rPr>
          <w:rFonts w:ascii="Arial" w:hAnsi="Arial" w:cs="Arial"/>
          <w:spacing w:val="5"/>
          <w:sz w:val="20"/>
          <w:szCs w:val="20"/>
        </w:rPr>
        <w:t xml:space="preserve"> </w:t>
      </w:r>
      <w:r w:rsidRPr="00BF4141">
        <w:rPr>
          <w:rFonts w:ascii="Arial" w:hAnsi="Arial" w:cs="Arial"/>
          <w:sz w:val="20"/>
          <w:szCs w:val="20"/>
        </w:rPr>
        <w:t>or</w:t>
      </w:r>
      <w:r w:rsidRPr="00BF4141">
        <w:rPr>
          <w:rFonts w:ascii="Arial" w:hAnsi="Arial" w:cs="Arial"/>
          <w:spacing w:val="7"/>
          <w:sz w:val="20"/>
          <w:szCs w:val="20"/>
        </w:rPr>
        <w:t xml:space="preserve"> </w:t>
      </w:r>
      <w:r w:rsidRPr="00BF4141">
        <w:rPr>
          <w:rFonts w:ascii="Arial" w:hAnsi="Arial" w:cs="Arial"/>
          <w:sz w:val="20"/>
          <w:szCs w:val="20"/>
        </w:rPr>
        <w:t>when</w:t>
      </w:r>
      <w:r w:rsidRPr="00BF4141">
        <w:rPr>
          <w:rFonts w:ascii="Arial" w:hAnsi="Arial" w:cs="Arial"/>
          <w:spacing w:val="6"/>
          <w:sz w:val="20"/>
          <w:szCs w:val="20"/>
        </w:rPr>
        <w:t xml:space="preserve"> </w:t>
      </w:r>
      <w:r w:rsidRPr="00BF4141">
        <w:rPr>
          <w:rFonts w:ascii="Arial" w:hAnsi="Arial" w:cs="Arial"/>
          <w:sz w:val="20"/>
          <w:szCs w:val="20"/>
        </w:rPr>
        <w:t>the</w:t>
      </w:r>
      <w:r w:rsidRPr="00BF4141">
        <w:rPr>
          <w:rFonts w:ascii="Arial" w:hAnsi="Arial" w:cs="Arial"/>
          <w:spacing w:val="8"/>
          <w:sz w:val="20"/>
          <w:szCs w:val="20"/>
        </w:rPr>
        <w:t xml:space="preserve"> </w:t>
      </w:r>
      <w:r w:rsidRPr="00BF4141">
        <w:rPr>
          <w:rFonts w:ascii="Arial" w:hAnsi="Arial" w:cs="Arial"/>
          <w:sz w:val="20"/>
          <w:szCs w:val="20"/>
        </w:rPr>
        <w:t>extinguishing</w:t>
      </w:r>
      <w:r w:rsidRPr="00BF4141">
        <w:rPr>
          <w:rFonts w:ascii="Arial" w:hAnsi="Arial" w:cs="Arial"/>
          <w:spacing w:val="6"/>
          <w:sz w:val="20"/>
          <w:szCs w:val="20"/>
        </w:rPr>
        <w:t xml:space="preserve"> </w:t>
      </w:r>
      <w:r w:rsidRPr="00BF4141">
        <w:rPr>
          <w:rFonts w:ascii="Arial" w:hAnsi="Arial" w:cs="Arial"/>
          <w:sz w:val="20"/>
          <w:szCs w:val="20"/>
        </w:rPr>
        <w:t>means</w:t>
      </w:r>
      <w:r w:rsidRPr="00BF4141">
        <w:rPr>
          <w:rFonts w:ascii="Arial" w:hAnsi="Arial" w:cs="Arial"/>
          <w:spacing w:val="7"/>
          <w:sz w:val="20"/>
          <w:szCs w:val="20"/>
        </w:rPr>
        <w:t xml:space="preserve"> </w:t>
      </w:r>
      <w:r w:rsidRPr="00BF4141">
        <w:rPr>
          <w:rFonts w:ascii="Arial" w:hAnsi="Arial" w:cs="Arial"/>
          <w:sz w:val="20"/>
          <w:szCs w:val="20"/>
        </w:rPr>
        <w:t>is</w:t>
      </w:r>
      <w:r w:rsidRPr="00BF4141">
        <w:rPr>
          <w:rFonts w:ascii="Arial" w:hAnsi="Arial" w:cs="Arial"/>
          <w:spacing w:val="-47"/>
          <w:sz w:val="20"/>
          <w:szCs w:val="20"/>
        </w:rPr>
        <w:t xml:space="preserve"> </w:t>
      </w:r>
      <w:r w:rsidRPr="00BF4141">
        <w:rPr>
          <w:rFonts w:ascii="Arial" w:hAnsi="Arial" w:cs="Arial"/>
          <w:sz w:val="20"/>
          <w:szCs w:val="20"/>
        </w:rPr>
        <w:t>other</w:t>
      </w:r>
      <w:r w:rsidRPr="00BF4141">
        <w:rPr>
          <w:rFonts w:ascii="Arial" w:hAnsi="Arial" w:cs="Arial"/>
          <w:spacing w:val="-3"/>
          <w:sz w:val="20"/>
          <w:szCs w:val="20"/>
        </w:rPr>
        <w:t xml:space="preserve"> </w:t>
      </w:r>
      <w:r w:rsidRPr="00BF4141">
        <w:rPr>
          <w:rFonts w:ascii="Arial" w:hAnsi="Arial" w:cs="Arial"/>
          <w:sz w:val="20"/>
          <w:szCs w:val="20"/>
        </w:rPr>
        <w:t>than</w:t>
      </w:r>
      <w:r w:rsidRPr="00BF4141">
        <w:rPr>
          <w:rFonts w:ascii="Arial" w:hAnsi="Arial" w:cs="Arial"/>
          <w:spacing w:val="-1"/>
          <w:sz w:val="20"/>
          <w:szCs w:val="20"/>
        </w:rPr>
        <w:t xml:space="preserve"> </w:t>
      </w:r>
      <w:r w:rsidRPr="00BF4141">
        <w:rPr>
          <w:rFonts w:ascii="Arial" w:hAnsi="Arial" w:cs="Arial"/>
          <w:sz w:val="20"/>
          <w:szCs w:val="20"/>
        </w:rPr>
        <w:t>dry powder be</w:t>
      </w:r>
      <w:r w:rsidRPr="00BF4141">
        <w:rPr>
          <w:rFonts w:ascii="Arial" w:hAnsi="Arial" w:cs="Arial"/>
          <w:spacing w:val="-2"/>
          <w:sz w:val="20"/>
          <w:szCs w:val="20"/>
        </w:rPr>
        <w:t xml:space="preserve"> </w:t>
      </w:r>
      <w:r w:rsidRPr="00BF4141">
        <w:rPr>
          <w:rFonts w:ascii="Arial" w:hAnsi="Arial" w:cs="Arial"/>
          <w:sz w:val="20"/>
          <w:szCs w:val="20"/>
        </w:rPr>
        <w:t>at least of</w:t>
      </w:r>
      <w:r w:rsidRPr="00BF4141">
        <w:rPr>
          <w:rFonts w:ascii="Arial" w:hAnsi="Arial" w:cs="Arial"/>
          <w:spacing w:val="-3"/>
          <w:sz w:val="20"/>
          <w:szCs w:val="20"/>
        </w:rPr>
        <w:t xml:space="preserve"> </w:t>
      </w:r>
      <w:r w:rsidRPr="00BF4141">
        <w:rPr>
          <w:rFonts w:ascii="Arial" w:hAnsi="Arial" w:cs="Arial"/>
          <w:sz w:val="20"/>
          <w:szCs w:val="20"/>
        </w:rPr>
        <w:t>comparable effect</w:t>
      </w:r>
      <w:r w:rsidRPr="00BF4141">
        <w:rPr>
          <w:rFonts w:ascii="Arial" w:hAnsi="Arial" w:cs="Arial"/>
          <w:spacing w:val="1"/>
          <w:sz w:val="20"/>
          <w:szCs w:val="20"/>
        </w:rPr>
        <w:t xml:space="preserve"> </w:t>
      </w:r>
      <w:r w:rsidRPr="00BF4141">
        <w:rPr>
          <w:rFonts w:ascii="Arial" w:hAnsi="Arial" w:cs="Arial"/>
          <w:sz w:val="20"/>
          <w:szCs w:val="20"/>
        </w:rPr>
        <w:t>and</w:t>
      </w:r>
      <w:r w:rsidRPr="00BF4141">
        <w:rPr>
          <w:rFonts w:ascii="Arial" w:hAnsi="Arial" w:cs="Arial"/>
          <w:spacing w:val="-1"/>
          <w:sz w:val="20"/>
          <w:szCs w:val="20"/>
        </w:rPr>
        <w:t xml:space="preserve"> </w:t>
      </w:r>
      <w:r w:rsidRPr="00BF4141">
        <w:rPr>
          <w:rFonts w:ascii="Arial" w:hAnsi="Arial" w:cs="Arial"/>
          <w:sz w:val="20"/>
          <w:szCs w:val="20"/>
        </w:rPr>
        <w:t>capacity.</w:t>
      </w:r>
    </w:p>
    <w:p w14:paraId="42274C19" w14:textId="77777777" w:rsidR="002F35B4" w:rsidRDefault="002F35B4" w:rsidP="00244239">
      <w:pPr>
        <w:pStyle w:val="BodyText"/>
        <w:spacing w:before="117" w:line="276" w:lineRule="auto"/>
        <w:ind w:right="26"/>
        <w:jc w:val="both"/>
        <w:rPr>
          <w:rFonts w:ascii="Arial" w:hAnsi="Arial" w:cs="Arial"/>
          <w:sz w:val="20"/>
        </w:rPr>
      </w:pPr>
    </w:p>
    <w:p w14:paraId="789F233C" w14:textId="77777777" w:rsidR="00A4207B" w:rsidRDefault="00A4207B" w:rsidP="00244239">
      <w:pPr>
        <w:pStyle w:val="BodyText"/>
        <w:spacing w:before="117" w:line="276" w:lineRule="auto"/>
        <w:ind w:right="26"/>
        <w:jc w:val="both"/>
        <w:rPr>
          <w:rFonts w:ascii="Arial" w:hAnsi="Arial" w:cs="Arial"/>
          <w:sz w:val="20"/>
        </w:rPr>
      </w:pPr>
    </w:p>
    <w:p w14:paraId="0411B821" w14:textId="77777777" w:rsidR="00A4207B" w:rsidRDefault="00A4207B" w:rsidP="00244239">
      <w:pPr>
        <w:pStyle w:val="BodyText"/>
        <w:spacing w:before="117" w:line="276" w:lineRule="auto"/>
        <w:ind w:right="26"/>
        <w:jc w:val="both"/>
        <w:rPr>
          <w:rFonts w:ascii="Arial" w:hAnsi="Arial" w:cs="Arial"/>
          <w:sz w:val="20"/>
        </w:rPr>
      </w:pPr>
    </w:p>
    <w:p w14:paraId="36D17419" w14:textId="77777777" w:rsidR="00680829" w:rsidRPr="00680829" w:rsidRDefault="00680829" w:rsidP="00680829">
      <w:pPr>
        <w:keepNext/>
        <w:keepLines/>
        <w:widowControl/>
        <w:autoSpaceDE/>
        <w:autoSpaceDN/>
        <w:spacing w:before="40" w:line="259" w:lineRule="auto"/>
        <w:jc w:val="center"/>
        <w:outlineLvl w:val="2"/>
        <w:rPr>
          <w:rFonts w:ascii="Arial" w:eastAsiaTheme="majorEastAsia" w:hAnsi="Arial" w:cs="Arial"/>
          <w:b/>
          <w:color w:val="00B0F0"/>
          <w:sz w:val="24"/>
          <w:szCs w:val="24"/>
        </w:rPr>
      </w:pPr>
      <w:bookmarkStart w:id="1426" w:name="_Toc153137746"/>
      <w:r w:rsidRPr="00680829">
        <w:rPr>
          <w:rFonts w:ascii="Arial" w:eastAsiaTheme="majorEastAsia" w:hAnsi="Arial" w:cs="Arial"/>
          <w:b/>
          <w:color w:val="00B0F0"/>
          <w:sz w:val="24"/>
          <w:szCs w:val="24"/>
        </w:rPr>
        <w:lastRenderedPageBreak/>
        <w:t>SUBPART G – OPERATING LIMITATIONS AND INFORMATION</w:t>
      </w:r>
      <w:bookmarkEnd w:id="1426"/>
    </w:p>
    <w:p w14:paraId="1C5FC012" w14:textId="77777777" w:rsidR="0030271C" w:rsidRPr="0030271C" w:rsidRDefault="0030271C" w:rsidP="0030271C">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427" w:name="CS_31HB.81_Operating_instructions"/>
      <w:bookmarkStart w:id="1428" w:name="_bookmark584"/>
      <w:bookmarkStart w:id="1429" w:name="_Toc153137747"/>
      <w:bookmarkEnd w:id="1427"/>
      <w:bookmarkEnd w:id="1428"/>
      <w:r w:rsidRPr="0030271C">
        <w:rPr>
          <w:rFonts w:ascii="Arial" w:eastAsia="Times New Roman" w:hAnsi="Arial" w:cs="Times New Roman"/>
          <w:b/>
          <w:iCs/>
          <w:color w:val="FFFFFF"/>
          <w:sz w:val="24"/>
        </w:rPr>
        <w:t>CS 31HB.81 Operating instructions</w:t>
      </w:r>
      <w:bookmarkEnd w:id="1429"/>
    </w:p>
    <w:p w14:paraId="205835FA" w14:textId="77777777" w:rsidR="0030271C" w:rsidRPr="0030271C" w:rsidRDefault="0030271C" w:rsidP="0030271C">
      <w:pPr>
        <w:pStyle w:val="BodyText"/>
        <w:spacing w:before="117" w:line="276" w:lineRule="auto"/>
        <w:ind w:right="26"/>
        <w:jc w:val="both"/>
        <w:rPr>
          <w:rFonts w:ascii="Arial" w:hAnsi="Arial" w:cs="Arial"/>
          <w:sz w:val="20"/>
        </w:rPr>
      </w:pPr>
      <w:r w:rsidRPr="0030271C">
        <w:rPr>
          <w:rFonts w:ascii="Arial" w:hAnsi="Arial" w:cs="Arial"/>
          <w:sz w:val="20"/>
        </w:rPr>
        <w:t>(See AMC 31HB.81)</w:t>
      </w:r>
    </w:p>
    <w:p w14:paraId="731B7D93" w14:textId="77777777" w:rsidR="0030271C" w:rsidRPr="0030271C" w:rsidRDefault="0030271C" w:rsidP="005F6871">
      <w:pPr>
        <w:pStyle w:val="ListParagraph"/>
        <w:numPr>
          <w:ilvl w:val="0"/>
          <w:numId w:val="407"/>
        </w:numPr>
        <w:tabs>
          <w:tab w:val="left" w:pos="707"/>
        </w:tabs>
        <w:spacing w:before="117" w:line="276" w:lineRule="auto"/>
        <w:ind w:right="26"/>
        <w:jc w:val="both"/>
        <w:rPr>
          <w:rFonts w:ascii="Arial" w:hAnsi="Arial" w:cs="Arial"/>
          <w:sz w:val="20"/>
        </w:rPr>
      </w:pPr>
      <w:r w:rsidRPr="0030271C">
        <w:rPr>
          <w:rFonts w:ascii="Arial" w:hAnsi="Arial" w:cs="Arial"/>
          <w:sz w:val="20"/>
        </w:rPr>
        <w:t>Operating instructions must be furnished in a Flight Manual with each balloon.</w:t>
      </w:r>
    </w:p>
    <w:p w14:paraId="00AD74BB" w14:textId="77777777" w:rsidR="0030271C" w:rsidRPr="0030271C" w:rsidRDefault="0030271C" w:rsidP="005F6871">
      <w:pPr>
        <w:pStyle w:val="ListParagraph"/>
        <w:numPr>
          <w:ilvl w:val="0"/>
          <w:numId w:val="407"/>
        </w:numPr>
        <w:tabs>
          <w:tab w:val="left" w:pos="707"/>
        </w:tabs>
        <w:spacing w:before="117" w:line="276" w:lineRule="auto"/>
        <w:ind w:right="26"/>
        <w:jc w:val="both"/>
        <w:rPr>
          <w:rFonts w:ascii="Arial" w:hAnsi="Arial" w:cs="Arial"/>
          <w:sz w:val="20"/>
        </w:rPr>
      </w:pPr>
      <w:r w:rsidRPr="0030271C">
        <w:rPr>
          <w:rFonts w:ascii="Arial" w:hAnsi="Arial" w:cs="Arial"/>
          <w:sz w:val="20"/>
        </w:rPr>
        <w:t>Flight Manual Information and Approval. The Flight Manual must contain:</w:t>
      </w:r>
    </w:p>
    <w:p w14:paraId="1963D505" w14:textId="77777777" w:rsidR="0030271C" w:rsidRPr="0030271C" w:rsidRDefault="0030271C" w:rsidP="005F6871">
      <w:pPr>
        <w:pStyle w:val="ListParagraph"/>
        <w:numPr>
          <w:ilvl w:val="0"/>
          <w:numId w:val="408"/>
        </w:numPr>
        <w:tabs>
          <w:tab w:val="left" w:pos="1274"/>
          <w:tab w:val="left" w:pos="8910"/>
        </w:tabs>
        <w:spacing w:before="118" w:line="276" w:lineRule="auto"/>
        <w:ind w:right="26"/>
        <w:jc w:val="both"/>
        <w:rPr>
          <w:rFonts w:ascii="Arial" w:hAnsi="Arial" w:cs="Arial"/>
          <w:sz w:val="20"/>
        </w:rPr>
      </w:pPr>
      <w:r w:rsidRPr="0030271C">
        <w:rPr>
          <w:rFonts w:ascii="Arial" w:hAnsi="Arial" w:cs="Arial"/>
          <w:sz w:val="20"/>
        </w:rPr>
        <w:t>A description of the balloon and its technical equipment with explanatory sketches;</w:t>
      </w:r>
    </w:p>
    <w:p w14:paraId="25EFE54E" w14:textId="77777777" w:rsidR="0030271C" w:rsidRPr="0030271C" w:rsidRDefault="0030271C" w:rsidP="005F6871">
      <w:pPr>
        <w:pStyle w:val="ListParagraph"/>
        <w:numPr>
          <w:ilvl w:val="0"/>
          <w:numId w:val="408"/>
        </w:numPr>
        <w:tabs>
          <w:tab w:val="left" w:pos="1274"/>
          <w:tab w:val="left" w:pos="8910"/>
        </w:tabs>
        <w:spacing w:before="118" w:line="276" w:lineRule="auto"/>
        <w:ind w:right="26"/>
        <w:jc w:val="both"/>
        <w:rPr>
          <w:rFonts w:ascii="Arial" w:hAnsi="Arial" w:cs="Arial"/>
          <w:sz w:val="20"/>
        </w:rPr>
      </w:pPr>
      <w:r w:rsidRPr="0030271C">
        <w:rPr>
          <w:rFonts w:ascii="Arial" w:hAnsi="Arial" w:cs="Arial"/>
          <w:sz w:val="20"/>
        </w:rPr>
        <w:t>Operating limitations, normal procedures (including rigging, inflation and deflation), emergency procedures, and other relevant information specific to the balloon’s operating characteristics and necessary for safe operation. This section of the manual requires approval (See AMC 31HB.81(b)(2));</w:t>
      </w:r>
    </w:p>
    <w:p w14:paraId="7F3CA10F" w14:textId="77777777" w:rsidR="0030271C" w:rsidRPr="0030271C" w:rsidRDefault="0030271C" w:rsidP="005F6871">
      <w:pPr>
        <w:pStyle w:val="ListParagraph"/>
        <w:numPr>
          <w:ilvl w:val="0"/>
          <w:numId w:val="408"/>
        </w:numPr>
        <w:tabs>
          <w:tab w:val="left" w:pos="1274"/>
          <w:tab w:val="left" w:pos="8910"/>
        </w:tabs>
        <w:spacing w:before="118" w:line="276" w:lineRule="auto"/>
        <w:ind w:right="26"/>
        <w:jc w:val="both"/>
        <w:rPr>
          <w:rFonts w:ascii="Arial" w:hAnsi="Arial" w:cs="Arial"/>
          <w:sz w:val="20"/>
        </w:rPr>
      </w:pPr>
      <w:r w:rsidRPr="0030271C">
        <w:rPr>
          <w:rFonts w:ascii="Arial" w:hAnsi="Arial" w:cs="Arial"/>
          <w:sz w:val="20"/>
        </w:rPr>
        <w:t>Specification of the permissible lifting gas (for mixed balloons only); and</w:t>
      </w:r>
    </w:p>
    <w:p w14:paraId="53FBBC17" w14:textId="77777777" w:rsidR="0030271C" w:rsidRPr="0030271C" w:rsidRDefault="0030271C" w:rsidP="005F6871">
      <w:pPr>
        <w:pStyle w:val="ListParagraph"/>
        <w:numPr>
          <w:ilvl w:val="0"/>
          <w:numId w:val="408"/>
        </w:numPr>
        <w:tabs>
          <w:tab w:val="left" w:pos="1274"/>
          <w:tab w:val="left" w:pos="8910"/>
        </w:tabs>
        <w:spacing w:before="118" w:line="276" w:lineRule="auto"/>
        <w:ind w:right="26"/>
        <w:jc w:val="both"/>
        <w:rPr>
          <w:rFonts w:ascii="Arial" w:hAnsi="Arial" w:cs="Arial"/>
          <w:sz w:val="20"/>
        </w:rPr>
      </w:pPr>
      <w:r w:rsidRPr="0030271C">
        <w:rPr>
          <w:rFonts w:ascii="Arial" w:hAnsi="Arial" w:cs="Arial"/>
          <w:sz w:val="20"/>
        </w:rPr>
        <w:t>Information for ground handling, transport and storage.</w:t>
      </w:r>
    </w:p>
    <w:p w14:paraId="7B6B9558" w14:textId="77777777" w:rsidR="0030271C" w:rsidRPr="0030271C" w:rsidRDefault="0030271C" w:rsidP="005F6871">
      <w:pPr>
        <w:pStyle w:val="ListParagraph"/>
        <w:numPr>
          <w:ilvl w:val="0"/>
          <w:numId w:val="407"/>
        </w:numPr>
        <w:tabs>
          <w:tab w:val="left" w:pos="707"/>
        </w:tabs>
        <w:spacing w:before="117" w:line="276" w:lineRule="auto"/>
        <w:ind w:right="26"/>
        <w:jc w:val="both"/>
        <w:rPr>
          <w:rFonts w:ascii="Arial" w:hAnsi="Arial" w:cs="Arial"/>
          <w:sz w:val="20"/>
        </w:rPr>
      </w:pPr>
      <w:r w:rsidRPr="0030271C">
        <w:rPr>
          <w:rFonts w:ascii="Arial" w:hAnsi="Arial" w:cs="Arial"/>
          <w:sz w:val="20"/>
        </w:rPr>
        <w:t>The operating limitations, normal and emergency procedures, and other relevant information specific to the balloon’s operating characteristics and necessary for safe operation must be provided to the pilot. (See AMC 31HB.81(c))</w:t>
      </w:r>
    </w:p>
    <w:p w14:paraId="694D4CC0" w14:textId="77777777" w:rsidR="0023654E" w:rsidRPr="0023654E" w:rsidRDefault="0023654E" w:rsidP="0023654E">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430" w:name="AMC_31HB.81_General"/>
      <w:bookmarkStart w:id="1431" w:name="_bookmark585"/>
      <w:bookmarkStart w:id="1432" w:name="_Toc153137748"/>
      <w:bookmarkEnd w:id="1430"/>
      <w:bookmarkEnd w:id="1431"/>
      <w:r w:rsidRPr="0023654E">
        <w:rPr>
          <w:rFonts w:ascii="Arial" w:eastAsia="Times New Roman" w:hAnsi="Arial" w:cs="Times New Roman"/>
          <w:b/>
          <w:color w:val="FFFFFF"/>
          <w:sz w:val="24"/>
        </w:rPr>
        <w:t>AMC 31HB.81 General</w:t>
      </w:r>
      <w:bookmarkEnd w:id="1432"/>
    </w:p>
    <w:p w14:paraId="55863E49" w14:textId="77777777" w:rsidR="0023654E" w:rsidRPr="0023654E" w:rsidRDefault="0023654E" w:rsidP="005F6871">
      <w:pPr>
        <w:pStyle w:val="ListParagraph"/>
        <w:numPr>
          <w:ilvl w:val="0"/>
          <w:numId w:val="409"/>
        </w:numPr>
        <w:tabs>
          <w:tab w:val="left" w:pos="707"/>
        </w:tabs>
        <w:spacing w:before="118"/>
        <w:rPr>
          <w:rFonts w:ascii="Arial" w:hAnsi="Arial" w:cs="Arial"/>
          <w:sz w:val="20"/>
          <w:szCs w:val="20"/>
        </w:rPr>
      </w:pPr>
      <w:r w:rsidRPr="0023654E">
        <w:rPr>
          <w:rFonts w:ascii="Arial" w:hAnsi="Arial" w:cs="Arial"/>
          <w:sz w:val="20"/>
          <w:szCs w:val="20"/>
        </w:rPr>
        <w:t>It is recommended that the Specimen Flight Manual of CS-22 (AMC 22.1581) be used as guidance in the creation of a Balloon Flight Manual.</w:t>
      </w:r>
    </w:p>
    <w:p w14:paraId="1A105CE0" w14:textId="77777777" w:rsidR="0023654E" w:rsidRPr="0023654E" w:rsidRDefault="0023654E" w:rsidP="005F6871">
      <w:pPr>
        <w:pStyle w:val="ListParagraph"/>
        <w:numPr>
          <w:ilvl w:val="0"/>
          <w:numId w:val="409"/>
        </w:numPr>
        <w:tabs>
          <w:tab w:val="left" w:pos="707"/>
        </w:tabs>
        <w:spacing w:before="118"/>
        <w:rPr>
          <w:rFonts w:ascii="Arial" w:hAnsi="Arial" w:cs="Arial"/>
          <w:sz w:val="20"/>
          <w:szCs w:val="20"/>
        </w:rPr>
      </w:pPr>
      <w:r w:rsidRPr="0023654E">
        <w:rPr>
          <w:rFonts w:ascii="Arial" w:hAnsi="Arial" w:cs="Arial"/>
          <w:sz w:val="20"/>
          <w:szCs w:val="20"/>
        </w:rPr>
        <w:t>Each part of the Flight Manual that is required to be approved should be segregated, identified and clearly distinguished from each unapproved part of that manual.</w:t>
      </w:r>
    </w:p>
    <w:p w14:paraId="00C7B580" w14:textId="77777777" w:rsidR="0023654E" w:rsidRPr="0023654E" w:rsidRDefault="0023654E" w:rsidP="005F6871">
      <w:pPr>
        <w:pStyle w:val="ListParagraph"/>
        <w:numPr>
          <w:ilvl w:val="0"/>
          <w:numId w:val="409"/>
        </w:numPr>
        <w:tabs>
          <w:tab w:val="left" w:pos="707"/>
        </w:tabs>
        <w:spacing w:before="118"/>
        <w:rPr>
          <w:rFonts w:ascii="Arial" w:hAnsi="Arial" w:cs="Arial"/>
          <w:sz w:val="20"/>
          <w:szCs w:val="20"/>
        </w:rPr>
      </w:pPr>
      <w:r w:rsidRPr="0023654E">
        <w:rPr>
          <w:rFonts w:ascii="Arial" w:hAnsi="Arial" w:cs="Arial"/>
          <w:sz w:val="20"/>
          <w:szCs w:val="20"/>
        </w:rPr>
        <w:t>A comprehensive list of approved basket, burner and envelope configurations should be provided for each balloon model, to enable operators, inspectors etc. to easily establish an item’s acceptability.</w:t>
      </w:r>
    </w:p>
    <w:p w14:paraId="088AA4DA" w14:textId="77777777" w:rsidR="0023654E" w:rsidRPr="0023654E" w:rsidRDefault="0023654E" w:rsidP="005F6871">
      <w:pPr>
        <w:pStyle w:val="ListParagraph"/>
        <w:numPr>
          <w:ilvl w:val="0"/>
          <w:numId w:val="409"/>
        </w:numPr>
        <w:tabs>
          <w:tab w:val="left" w:pos="707"/>
        </w:tabs>
        <w:spacing w:before="118"/>
        <w:rPr>
          <w:rFonts w:ascii="Arial" w:hAnsi="Arial" w:cs="Arial"/>
          <w:sz w:val="20"/>
          <w:szCs w:val="20"/>
        </w:rPr>
      </w:pPr>
      <w:r w:rsidRPr="0023654E">
        <w:rPr>
          <w:rFonts w:ascii="Arial" w:hAnsi="Arial" w:cs="Arial"/>
          <w:sz w:val="20"/>
          <w:szCs w:val="20"/>
        </w:rPr>
        <w:t>If applicable, the operating limitations, normal and emergency procedures should include procedures and limitations for tethered flight. These procedures and limitations should include:</w:t>
      </w:r>
    </w:p>
    <w:p w14:paraId="49E2FF43" w14:textId="77777777" w:rsidR="0023654E" w:rsidRPr="0023654E" w:rsidRDefault="0023654E" w:rsidP="005F6871">
      <w:pPr>
        <w:pStyle w:val="ListParagraph"/>
        <w:numPr>
          <w:ilvl w:val="0"/>
          <w:numId w:val="410"/>
        </w:numPr>
        <w:tabs>
          <w:tab w:val="left" w:pos="1274"/>
          <w:tab w:val="left" w:pos="8910"/>
        </w:tabs>
        <w:spacing w:before="118" w:line="276" w:lineRule="auto"/>
        <w:ind w:right="26"/>
        <w:jc w:val="both"/>
        <w:rPr>
          <w:rFonts w:ascii="Arial" w:hAnsi="Arial" w:cs="Arial"/>
          <w:sz w:val="20"/>
        </w:rPr>
      </w:pPr>
      <w:r w:rsidRPr="0023654E">
        <w:rPr>
          <w:rFonts w:ascii="Arial" w:hAnsi="Arial" w:cs="Arial"/>
          <w:sz w:val="20"/>
        </w:rPr>
        <w:t>site selection, layout and assembly;</w:t>
      </w:r>
    </w:p>
    <w:p w14:paraId="246777EF" w14:textId="77777777" w:rsidR="0023654E" w:rsidRPr="0023654E" w:rsidRDefault="0023654E" w:rsidP="005F6871">
      <w:pPr>
        <w:pStyle w:val="ListParagraph"/>
        <w:numPr>
          <w:ilvl w:val="0"/>
          <w:numId w:val="410"/>
        </w:numPr>
        <w:tabs>
          <w:tab w:val="left" w:pos="1274"/>
          <w:tab w:val="left" w:pos="8910"/>
        </w:tabs>
        <w:spacing w:before="118" w:line="276" w:lineRule="auto"/>
        <w:ind w:right="26"/>
        <w:jc w:val="both"/>
        <w:rPr>
          <w:rFonts w:ascii="Arial" w:hAnsi="Arial" w:cs="Arial"/>
          <w:sz w:val="20"/>
        </w:rPr>
      </w:pPr>
      <w:r w:rsidRPr="0023654E">
        <w:rPr>
          <w:rFonts w:ascii="Arial" w:hAnsi="Arial" w:cs="Arial"/>
          <w:sz w:val="20"/>
        </w:rPr>
        <w:t>the maximum wind speed and meteorological conditions for tethered operation;</w:t>
      </w:r>
    </w:p>
    <w:p w14:paraId="3070CBAA" w14:textId="77777777" w:rsidR="0023654E" w:rsidRPr="0023654E" w:rsidRDefault="0023654E" w:rsidP="005F6871">
      <w:pPr>
        <w:pStyle w:val="ListParagraph"/>
        <w:numPr>
          <w:ilvl w:val="0"/>
          <w:numId w:val="410"/>
        </w:numPr>
        <w:tabs>
          <w:tab w:val="left" w:pos="1274"/>
          <w:tab w:val="left" w:pos="8910"/>
        </w:tabs>
        <w:spacing w:before="118" w:line="276" w:lineRule="auto"/>
        <w:ind w:right="26"/>
        <w:jc w:val="both"/>
        <w:rPr>
          <w:rFonts w:ascii="Arial" w:hAnsi="Arial" w:cs="Arial"/>
          <w:sz w:val="20"/>
        </w:rPr>
      </w:pPr>
      <w:r w:rsidRPr="0023654E">
        <w:rPr>
          <w:rFonts w:ascii="Arial" w:hAnsi="Arial" w:cs="Arial"/>
          <w:sz w:val="20"/>
        </w:rPr>
        <w:t>the MTOM (if different from free flight);</w:t>
      </w:r>
    </w:p>
    <w:p w14:paraId="7242094E" w14:textId="77777777" w:rsidR="0023654E" w:rsidRPr="0023654E" w:rsidRDefault="0023654E" w:rsidP="005F6871">
      <w:pPr>
        <w:pStyle w:val="ListParagraph"/>
        <w:numPr>
          <w:ilvl w:val="0"/>
          <w:numId w:val="410"/>
        </w:numPr>
        <w:tabs>
          <w:tab w:val="left" w:pos="1274"/>
          <w:tab w:val="left" w:pos="8910"/>
        </w:tabs>
        <w:spacing w:before="118" w:line="276" w:lineRule="auto"/>
        <w:ind w:right="26"/>
        <w:jc w:val="both"/>
        <w:rPr>
          <w:rFonts w:ascii="Arial" w:hAnsi="Arial" w:cs="Arial"/>
          <w:sz w:val="20"/>
        </w:rPr>
      </w:pPr>
      <w:r w:rsidRPr="0023654E">
        <w:rPr>
          <w:rFonts w:ascii="Arial" w:hAnsi="Arial" w:cs="Arial"/>
          <w:sz w:val="20"/>
        </w:rPr>
        <w:t>the maximum height of the tether;</w:t>
      </w:r>
    </w:p>
    <w:p w14:paraId="6A6BD94A" w14:textId="77777777" w:rsidR="0023654E" w:rsidRPr="0023654E" w:rsidRDefault="0023654E" w:rsidP="005F6871">
      <w:pPr>
        <w:pStyle w:val="ListParagraph"/>
        <w:numPr>
          <w:ilvl w:val="0"/>
          <w:numId w:val="410"/>
        </w:numPr>
        <w:tabs>
          <w:tab w:val="left" w:pos="1274"/>
          <w:tab w:val="left" w:pos="8910"/>
        </w:tabs>
        <w:spacing w:before="118" w:line="276" w:lineRule="auto"/>
        <w:ind w:right="26"/>
        <w:jc w:val="both"/>
        <w:rPr>
          <w:rFonts w:ascii="Arial" w:hAnsi="Arial" w:cs="Arial"/>
          <w:sz w:val="20"/>
        </w:rPr>
      </w:pPr>
      <w:r w:rsidRPr="0023654E">
        <w:rPr>
          <w:rFonts w:ascii="Arial" w:hAnsi="Arial" w:cs="Arial"/>
          <w:sz w:val="20"/>
        </w:rPr>
        <w:t>the minimum strength of ropes, rigging etc.;</w:t>
      </w:r>
    </w:p>
    <w:p w14:paraId="467BD1B6" w14:textId="77777777" w:rsidR="00A4207B" w:rsidRPr="0047554D" w:rsidRDefault="0023654E" w:rsidP="005F6871">
      <w:pPr>
        <w:pStyle w:val="ListParagraph"/>
        <w:numPr>
          <w:ilvl w:val="0"/>
          <w:numId w:val="410"/>
        </w:numPr>
        <w:tabs>
          <w:tab w:val="left" w:pos="1274"/>
          <w:tab w:val="left" w:pos="8910"/>
        </w:tabs>
        <w:spacing w:before="118" w:line="276" w:lineRule="auto"/>
        <w:ind w:right="26"/>
        <w:jc w:val="both"/>
        <w:rPr>
          <w:rFonts w:ascii="Arial" w:hAnsi="Arial" w:cs="Arial"/>
          <w:sz w:val="20"/>
        </w:rPr>
      </w:pPr>
      <w:r w:rsidRPr="0023654E">
        <w:rPr>
          <w:rFonts w:ascii="Arial" w:hAnsi="Arial" w:cs="Arial"/>
          <w:sz w:val="20"/>
        </w:rPr>
        <w:t>limitations on occupancy (if applicable).</w:t>
      </w:r>
    </w:p>
    <w:p w14:paraId="17290731" w14:textId="77777777" w:rsidR="0047554D" w:rsidRPr="0047554D" w:rsidRDefault="0047554D" w:rsidP="0047554D">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433" w:name="AMC_31HB.81(b)(2)_General"/>
      <w:bookmarkStart w:id="1434" w:name="_bookmark586"/>
      <w:bookmarkStart w:id="1435" w:name="_Toc153137749"/>
      <w:bookmarkEnd w:id="1433"/>
      <w:bookmarkEnd w:id="1434"/>
      <w:r w:rsidRPr="0047554D">
        <w:rPr>
          <w:rFonts w:ascii="Arial" w:eastAsia="Times New Roman" w:hAnsi="Arial" w:cs="Times New Roman"/>
          <w:b/>
          <w:color w:val="FFFFFF"/>
          <w:sz w:val="24"/>
        </w:rPr>
        <w:t>AMC 31HB.81(b)(2) General</w:t>
      </w:r>
      <w:bookmarkEnd w:id="1435"/>
    </w:p>
    <w:p w14:paraId="1C058EA3" w14:textId="77777777" w:rsidR="0047554D" w:rsidRPr="0047554D" w:rsidRDefault="0047554D" w:rsidP="0047554D">
      <w:pPr>
        <w:pStyle w:val="BodyText"/>
        <w:spacing w:before="117" w:line="276" w:lineRule="auto"/>
        <w:ind w:right="26"/>
        <w:jc w:val="both"/>
        <w:rPr>
          <w:rFonts w:ascii="Arial" w:hAnsi="Arial" w:cs="Arial"/>
          <w:sz w:val="20"/>
        </w:rPr>
      </w:pPr>
      <w:r w:rsidRPr="0047554D">
        <w:rPr>
          <w:rFonts w:ascii="Arial" w:hAnsi="Arial" w:cs="Arial"/>
          <w:sz w:val="20"/>
        </w:rPr>
        <w:t>Operating procedures should provide empty mass information required by CS 31HB.16 in an unambiguous manner that will allow the verification of the balloon’s mass limitations before flight.</w:t>
      </w:r>
    </w:p>
    <w:p w14:paraId="1C3DC0A9" w14:textId="77777777" w:rsidR="0047554D" w:rsidRPr="0047554D" w:rsidRDefault="0047554D" w:rsidP="0047554D">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436" w:name="AMC_31HB.81(c)_General"/>
      <w:bookmarkStart w:id="1437" w:name="_bookmark587"/>
      <w:bookmarkStart w:id="1438" w:name="_Toc153137750"/>
      <w:bookmarkEnd w:id="1436"/>
      <w:bookmarkEnd w:id="1437"/>
      <w:r w:rsidRPr="0047554D">
        <w:rPr>
          <w:rFonts w:ascii="Arial" w:eastAsia="Times New Roman" w:hAnsi="Arial" w:cs="Times New Roman"/>
          <w:b/>
          <w:color w:val="FFFFFF"/>
          <w:sz w:val="24"/>
        </w:rPr>
        <w:t>AMC 31HB.81(c) General</w:t>
      </w:r>
      <w:bookmarkEnd w:id="1438"/>
    </w:p>
    <w:p w14:paraId="0814C4C7" w14:textId="77777777" w:rsidR="0047554D" w:rsidRPr="0047554D" w:rsidRDefault="0047554D" w:rsidP="0047554D">
      <w:pPr>
        <w:pStyle w:val="BodyText"/>
        <w:spacing w:before="117" w:line="276" w:lineRule="auto"/>
        <w:ind w:right="26"/>
        <w:jc w:val="both"/>
        <w:rPr>
          <w:rFonts w:ascii="Arial" w:hAnsi="Arial" w:cs="Arial"/>
          <w:sz w:val="20"/>
        </w:rPr>
      </w:pPr>
      <w:r w:rsidRPr="0047554D">
        <w:rPr>
          <w:rFonts w:ascii="Arial" w:hAnsi="Arial" w:cs="Arial"/>
          <w:sz w:val="20"/>
        </w:rPr>
        <w:t>The operating limitations, normal and emergency procedures should be available to the pilot during operation by providing the specific sections of the flight manual or by other means (e.g. placards, quick reference cards) that effectively accomplish the purpose.</w:t>
      </w:r>
    </w:p>
    <w:p w14:paraId="1FCDAE4F" w14:textId="77777777" w:rsidR="00BB0518" w:rsidRPr="00BB0518" w:rsidRDefault="00BB0518" w:rsidP="00BB0518">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439" w:name="CS_31HB.82_Instructions_for_continued_ai"/>
      <w:bookmarkStart w:id="1440" w:name="_bookmark588"/>
      <w:bookmarkStart w:id="1441" w:name="_Toc153137751"/>
      <w:bookmarkEnd w:id="1439"/>
      <w:bookmarkEnd w:id="1440"/>
      <w:r w:rsidRPr="00BB0518">
        <w:rPr>
          <w:rFonts w:ascii="Arial" w:eastAsia="Times New Roman" w:hAnsi="Arial" w:cs="Times New Roman"/>
          <w:b/>
          <w:iCs/>
          <w:color w:val="FFFFFF"/>
          <w:sz w:val="24"/>
        </w:rPr>
        <w:t>CS 31HB.82 Instructions for continued airworthiness</w:t>
      </w:r>
      <w:bookmarkEnd w:id="1441"/>
    </w:p>
    <w:p w14:paraId="30A4C007" w14:textId="77777777" w:rsidR="00BB0518" w:rsidRPr="00BB0518" w:rsidRDefault="00BB0518" w:rsidP="005F6871">
      <w:pPr>
        <w:pStyle w:val="ListParagraph"/>
        <w:numPr>
          <w:ilvl w:val="0"/>
          <w:numId w:val="411"/>
        </w:numPr>
        <w:tabs>
          <w:tab w:val="left" w:pos="707"/>
        </w:tabs>
        <w:spacing w:before="117" w:line="276" w:lineRule="auto"/>
        <w:ind w:right="26"/>
        <w:jc w:val="both"/>
        <w:rPr>
          <w:rFonts w:ascii="Arial" w:hAnsi="Arial" w:cs="Arial"/>
          <w:sz w:val="20"/>
        </w:rPr>
      </w:pPr>
      <w:r w:rsidRPr="00BB0518">
        <w:rPr>
          <w:rFonts w:ascii="Arial" w:hAnsi="Arial" w:cs="Arial"/>
          <w:sz w:val="20"/>
        </w:rPr>
        <w:t>The instructions for Continued Airworthiness must include information essential to the Continued Airworthiness of all parts and appliances of the balloon as required by CS-31HB.</w:t>
      </w:r>
    </w:p>
    <w:p w14:paraId="3B679047" w14:textId="77777777" w:rsidR="00BB0518" w:rsidRPr="00BB0518" w:rsidRDefault="00BB0518" w:rsidP="005F6871">
      <w:pPr>
        <w:pStyle w:val="ListParagraph"/>
        <w:numPr>
          <w:ilvl w:val="0"/>
          <w:numId w:val="411"/>
        </w:numPr>
        <w:tabs>
          <w:tab w:val="left" w:pos="707"/>
        </w:tabs>
        <w:spacing w:before="117" w:line="276" w:lineRule="auto"/>
        <w:ind w:right="26"/>
        <w:jc w:val="both"/>
        <w:rPr>
          <w:rFonts w:ascii="Arial" w:hAnsi="Arial" w:cs="Arial"/>
          <w:sz w:val="20"/>
        </w:rPr>
      </w:pPr>
      <w:r w:rsidRPr="00BB0518">
        <w:rPr>
          <w:rFonts w:ascii="Arial" w:hAnsi="Arial" w:cs="Arial"/>
          <w:sz w:val="20"/>
        </w:rPr>
        <w:lastRenderedPageBreak/>
        <w:t>The instructions for Continued Airworthiness must be in the form of a manual or manuals as appropriate for the quantity of data provided.</w:t>
      </w:r>
    </w:p>
    <w:p w14:paraId="0F16D56E" w14:textId="77777777" w:rsidR="00BB0518" w:rsidRPr="00BB0518" w:rsidRDefault="00BB0518" w:rsidP="005F6871">
      <w:pPr>
        <w:pStyle w:val="ListParagraph"/>
        <w:numPr>
          <w:ilvl w:val="0"/>
          <w:numId w:val="411"/>
        </w:numPr>
        <w:tabs>
          <w:tab w:val="left" w:pos="707"/>
        </w:tabs>
        <w:spacing w:before="117" w:line="276" w:lineRule="auto"/>
        <w:ind w:right="26"/>
        <w:jc w:val="both"/>
        <w:rPr>
          <w:rFonts w:ascii="Arial" w:hAnsi="Arial" w:cs="Arial"/>
          <w:sz w:val="20"/>
        </w:rPr>
      </w:pPr>
      <w:r w:rsidRPr="00BB0518">
        <w:rPr>
          <w:rFonts w:ascii="Arial" w:hAnsi="Arial" w:cs="Arial"/>
          <w:sz w:val="20"/>
        </w:rPr>
        <w:t>The format of the manual or manuals must provide for a practical arrangement. (See AMC 31HB.82(c))</w:t>
      </w:r>
    </w:p>
    <w:p w14:paraId="7A068412" w14:textId="77777777" w:rsidR="00BB0518" w:rsidRDefault="00BB0518" w:rsidP="005F6871">
      <w:pPr>
        <w:pStyle w:val="ListParagraph"/>
        <w:numPr>
          <w:ilvl w:val="0"/>
          <w:numId w:val="411"/>
        </w:numPr>
        <w:tabs>
          <w:tab w:val="left" w:pos="707"/>
        </w:tabs>
        <w:spacing w:before="117" w:line="276" w:lineRule="auto"/>
        <w:ind w:right="26"/>
        <w:jc w:val="both"/>
        <w:rPr>
          <w:rFonts w:ascii="Arial" w:hAnsi="Arial" w:cs="Arial"/>
        </w:rPr>
      </w:pPr>
      <w:r w:rsidRPr="00BB0518">
        <w:rPr>
          <w:rFonts w:ascii="Arial" w:hAnsi="Arial" w:cs="Arial"/>
          <w:sz w:val="20"/>
        </w:rPr>
        <w:t>The instructions for Continued Airworthiness must cover</w:t>
      </w:r>
      <w:r>
        <w:rPr>
          <w:rFonts w:ascii="Arial" w:hAnsi="Arial" w:cs="Arial"/>
        </w:rPr>
        <w:t>:</w:t>
      </w:r>
    </w:p>
    <w:p w14:paraId="67059FB2" w14:textId="77777777" w:rsidR="00BB0518" w:rsidRPr="00BB0518" w:rsidRDefault="00BB0518" w:rsidP="005F6871">
      <w:pPr>
        <w:pStyle w:val="ListParagraph"/>
        <w:numPr>
          <w:ilvl w:val="0"/>
          <w:numId w:val="412"/>
        </w:numPr>
        <w:tabs>
          <w:tab w:val="left" w:pos="1274"/>
          <w:tab w:val="left" w:pos="8910"/>
        </w:tabs>
        <w:spacing w:before="118" w:line="276" w:lineRule="auto"/>
        <w:ind w:right="26"/>
        <w:jc w:val="both"/>
        <w:rPr>
          <w:rFonts w:ascii="Arial" w:hAnsi="Arial" w:cs="Arial"/>
          <w:sz w:val="20"/>
        </w:rPr>
      </w:pPr>
      <w:r w:rsidRPr="00BB0518">
        <w:rPr>
          <w:rFonts w:ascii="Arial" w:hAnsi="Arial" w:cs="Arial"/>
          <w:sz w:val="20"/>
        </w:rPr>
        <w:t>a detailed description of the balloon and its components, systems and installations; (See AMC 31HB.82(d)(1))</w:t>
      </w:r>
    </w:p>
    <w:p w14:paraId="5DCC64ED" w14:textId="77777777" w:rsidR="00BB0518" w:rsidRPr="00BB0518" w:rsidRDefault="00BB0518" w:rsidP="005F6871">
      <w:pPr>
        <w:pStyle w:val="ListParagraph"/>
        <w:numPr>
          <w:ilvl w:val="0"/>
          <w:numId w:val="412"/>
        </w:numPr>
        <w:tabs>
          <w:tab w:val="left" w:pos="1274"/>
          <w:tab w:val="left" w:pos="8910"/>
        </w:tabs>
        <w:spacing w:before="118" w:line="276" w:lineRule="auto"/>
        <w:ind w:right="26"/>
        <w:jc w:val="both"/>
        <w:rPr>
          <w:rFonts w:ascii="Arial" w:hAnsi="Arial" w:cs="Arial"/>
          <w:sz w:val="20"/>
        </w:rPr>
      </w:pPr>
      <w:r w:rsidRPr="00BB0518">
        <w:rPr>
          <w:rFonts w:ascii="Arial" w:hAnsi="Arial" w:cs="Arial"/>
          <w:sz w:val="20"/>
        </w:rPr>
        <w:t>handling instructions;</w:t>
      </w:r>
    </w:p>
    <w:p w14:paraId="0548BC35" w14:textId="77777777" w:rsidR="00BB0518" w:rsidRPr="00BB0518" w:rsidRDefault="00BB0518" w:rsidP="005F6871">
      <w:pPr>
        <w:pStyle w:val="ListParagraph"/>
        <w:numPr>
          <w:ilvl w:val="0"/>
          <w:numId w:val="412"/>
        </w:numPr>
        <w:tabs>
          <w:tab w:val="left" w:pos="1274"/>
          <w:tab w:val="left" w:pos="8910"/>
        </w:tabs>
        <w:spacing w:before="118" w:line="276" w:lineRule="auto"/>
        <w:ind w:right="26"/>
        <w:jc w:val="both"/>
        <w:rPr>
          <w:rFonts w:ascii="Arial" w:hAnsi="Arial" w:cs="Arial"/>
          <w:sz w:val="20"/>
        </w:rPr>
      </w:pPr>
      <w:r w:rsidRPr="00BB0518">
        <w:rPr>
          <w:rFonts w:ascii="Arial" w:hAnsi="Arial" w:cs="Arial"/>
          <w:sz w:val="20"/>
        </w:rPr>
        <w:t>basic control and operating information describing how the balloon’s components, systems and installations operate;</w:t>
      </w:r>
    </w:p>
    <w:p w14:paraId="5268E424" w14:textId="77777777" w:rsidR="00BB0518" w:rsidRPr="00BB0518" w:rsidRDefault="00BB0518" w:rsidP="005F6871">
      <w:pPr>
        <w:pStyle w:val="ListParagraph"/>
        <w:numPr>
          <w:ilvl w:val="0"/>
          <w:numId w:val="412"/>
        </w:numPr>
        <w:tabs>
          <w:tab w:val="left" w:pos="1274"/>
          <w:tab w:val="left" w:pos="8910"/>
        </w:tabs>
        <w:spacing w:before="118" w:line="276" w:lineRule="auto"/>
        <w:ind w:right="26"/>
        <w:jc w:val="both"/>
        <w:rPr>
          <w:rFonts w:ascii="Arial" w:hAnsi="Arial" w:cs="Arial"/>
          <w:sz w:val="20"/>
        </w:rPr>
      </w:pPr>
      <w:r w:rsidRPr="00BB0518">
        <w:rPr>
          <w:rFonts w:ascii="Arial" w:hAnsi="Arial" w:cs="Arial"/>
          <w:sz w:val="20"/>
        </w:rPr>
        <w:t>servicing information;</w:t>
      </w:r>
    </w:p>
    <w:p w14:paraId="1D051D56" w14:textId="77777777" w:rsidR="00BB0518" w:rsidRPr="00BB0518" w:rsidRDefault="00BB0518" w:rsidP="005F6871">
      <w:pPr>
        <w:pStyle w:val="ListParagraph"/>
        <w:numPr>
          <w:ilvl w:val="0"/>
          <w:numId w:val="412"/>
        </w:numPr>
        <w:tabs>
          <w:tab w:val="left" w:pos="1274"/>
          <w:tab w:val="left" w:pos="8910"/>
        </w:tabs>
        <w:spacing w:before="118" w:line="276" w:lineRule="auto"/>
        <w:ind w:right="26"/>
        <w:jc w:val="both"/>
        <w:rPr>
          <w:rFonts w:ascii="Arial" w:hAnsi="Arial" w:cs="Arial"/>
          <w:sz w:val="20"/>
        </w:rPr>
      </w:pPr>
      <w:r w:rsidRPr="00BB0518">
        <w:rPr>
          <w:rFonts w:ascii="Arial" w:hAnsi="Arial" w:cs="Arial"/>
          <w:sz w:val="20"/>
        </w:rPr>
        <w:t>a maintenance schedule against which the balloon must be inspected and maintained; (See AMC 31HB.82(d)(5))</w:t>
      </w:r>
    </w:p>
    <w:p w14:paraId="68432111" w14:textId="77777777" w:rsidR="00BB0518" w:rsidRPr="00BB0518" w:rsidRDefault="00BB0518" w:rsidP="005F6871">
      <w:pPr>
        <w:pStyle w:val="ListParagraph"/>
        <w:numPr>
          <w:ilvl w:val="0"/>
          <w:numId w:val="412"/>
        </w:numPr>
        <w:tabs>
          <w:tab w:val="left" w:pos="1274"/>
          <w:tab w:val="left" w:pos="8910"/>
        </w:tabs>
        <w:spacing w:before="118" w:line="276" w:lineRule="auto"/>
        <w:ind w:right="26"/>
        <w:jc w:val="both"/>
        <w:rPr>
          <w:rFonts w:ascii="Arial" w:hAnsi="Arial" w:cs="Arial"/>
          <w:sz w:val="20"/>
        </w:rPr>
      </w:pPr>
      <w:r w:rsidRPr="00BB0518">
        <w:rPr>
          <w:rFonts w:ascii="Arial" w:hAnsi="Arial" w:cs="Arial"/>
          <w:sz w:val="20"/>
        </w:rPr>
        <w:t>maintenance and inspection instructions; (See AMC 31HB.82(d)(6))</w:t>
      </w:r>
    </w:p>
    <w:p w14:paraId="7258652F" w14:textId="77777777" w:rsidR="00BB0518" w:rsidRPr="00BB0518" w:rsidRDefault="00BB0518" w:rsidP="005F6871">
      <w:pPr>
        <w:pStyle w:val="ListParagraph"/>
        <w:numPr>
          <w:ilvl w:val="0"/>
          <w:numId w:val="412"/>
        </w:numPr>
        <w:tabs>
          <w:tab w:val="left" w:pos="1274"/>
          <w:tab w:val="left" w:pos="8910"/>
        </w:tabs>
        <w:spacing w:before="118" w:line="276" w:lineRule="auto"/>
        <w:ind w:right="26"/>
        <w:jc w:val="both"/>
        <w:rPr>
          <w:rFonts w:ascii="Arial" w:hAnsi="Arial" w:cs="Arial"/>
          <w:sz w:val="20"/>
        </w:rPr>
      </w:pPr>
      <w:r w:rsidRPr="00BB0518">
        <w:rPr>
          <w:rFonts w:ascii="Arial" w:hAnsi="Arial" w:cs="Arial"/>
          <w:sz w:val="20"/>
        </w:rPr>
        <w:t>repair instructions;</w:t>
      </w:r>
    </w:p>
    <w:p w14:paraId="442EBE60" w14:textId="77777777" w:rsidR="00BB0518" w:rsidRPr="00BB0518" w:rsidRDefault="00BB0518" w:rsidP="005F6871">
      <w:pPr>
        <w:pStyle w:val="ListParagraph"/>
        <w:numPr>
          <w:ilvl w:val="0"/>
          <w:numId w:val="412"/>
        </w:numPr>
        <w:tabs>
          <w:tab w:val="left" w:pos="1274"/>
          <w:tab w:val="left" w:pos="8910"/>
        </w:tabs>
        <w:spacing w:before="118" w:line="276" w:lineRule="auto"/>
        <w:ind w:right="26"/>
        <w:jc w:val="both"/>
        <w:rPr>
          <w:rFonts w:ascii="Arial" w:hAnsi="Arial" w:cs="Arial"/>
          <w:sz w:val="20"/>
        </w:rPr>
      </w:pPr>
      <w:r w:rsidRPr="00BB0518">
        <w:rPr>
          <w:rFonts w:ascii="Arial" w:hAnsi="Arial" w:cs="Arial"/>
          <w:sz w:val="20"/>
        </w:rPr>
        <w:t>trouble-shooting information; and</w:t>
      </w:r>
    </w:p>
    <w:p w14:paraId="504A3DEB" w14:textId="77777777" w:rsidR="00BB0518" w:rsidRPr="00BB0518" w:rsidRDefault="00BB0518" w:rsidP="005F6871">
      <w:pPr>
        <w:pStyle w:val="ListParagraph"/>
        <w:numPr>
          <w:ilvl w:val="0"/>
          <w:numId w:val="412"/>
        </w:numPr>
        <w:tabs>
          <w:tab w:val="left" w:pos="1274"/>
          <w:tab w:val="left" w:pos="8910"/>
        </w:tabs>
        <w:spacing w:before="118" w:line="276" w:lineRule="auto"/>
        <w:ind w:right="26"/>
        <w:jc w:val="both"/>
        <w:rPr>
          <w:rFonts w:ascii="Arial" w:hAnsi="Arial" w:cs="Arial"/>
          <w:sz w:val="20"/>
        </w:rPr>
      </w:pPr>
      <w:r w:rsidRPr="00BB0518">
        <w:rPr>
          <w:rFonts w:ascii="Arial" w:hAnsi="Arial" w:cs="Arial"/>
          <w:sz w:val="20"/>
        </w:rPr>
        <w:t>airworthiness limitations that set forth each mandatory replacement time, inspection interval and related inspection procedure. This section of the manual requires approval. (See AMC 31HB.82(d)(9))</w:t>
      </w:r>
    </w:p>
    <w:p w14:paraId="4B36406E" w14:textId="77777777" w:rsidR="00164B5B" w:rsidRPr="00164B5B" w:rsidRDefault="00164B5B" w:rsidP="00164B5B">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442" w:name="AMC_31HB.82(c)_Instructions_for_continue"/>
      <w:bookmarkStart w:id="1443" w:name="_bookmark589"/>
      <w:bookmarkStart w:id="1444" w:name="_Toc153137752"/>
      <w:bookmarkEnd w:id="1442"/>
      <w:bookmarkEnd w:id="1443"/>
      <w:r w:rsidRPr="00164B5B">
        <w:rPr>
          <w:rFonts w:ascii="Arial" w:eastAsia="Times New Roman" w:hAnsi="Arial" w:cs="Times New Roman"/>
          <w:b/>
          <w:color w:val="FFFFFF"/>
          <w:sz w:val="24"/>
        </w:rPr>
        <w:t>AMC 31HB.82(c) Instructions for continued airworthiness</w:t>
      </w:r>
      <w:bookmarkEnd w:id="1444"/>
    </w:p>
    <w:p w14:paraId="7B52908D" w14:textId="77777777" w:rsidR="00CC6B95" w:rsidRPr="00CC6B95" w:rsidRDefault="00CC6B95" w:rsidP="005F6871">
      <w:pPr>
        <w:pStyle w:val="ListParagraph"/>
        <w:numPr>
          <w:ilvl w:val="0"/>
          <w:numId w:val="413"/>
        </w:numPr>
        <w:tabs>
          <w:tab w:val="left" w:pos="707"/>
        </w:tabs>
        <w:spacing w:before="118"/>
        <w:jc w:val="both"/>
        <w:rPr>
          <w:rFonts w:ascii="Arial" w:hAnsi="Arial" w:cs="Arial"/>
          <w:sz w:val="20"/>
          <w:szCs w:val="20"/>
        </w:rPr>
      </w:pPr>
      <w:r w:rsidRPr="00CC6B95">
        <w:rPr>
          <w:rFonts w:ascii="Arial" w:hAnsi="Arial" w:cs="Arial"/>
          <w:sz w:val="20"/>
          <w:szCs w:val="20"/>
        </w:rPr>
        <w:t>If instructions for continued airworthiness are not supplied by the manufacturer or designer of parts and appliances installed in the balloon, the instructions for continued airworthiness for the balloon should include the information essential to the continued airworthiness of the balloon.</w:t>
      </w:r>
    </w:p>
    <w:p w14:paraId="29807433" w14:textId="77777777" w:rsidR="00CC6B95" w:rsidRPr="00CC6B95" w:rsidRDefault="00CC6B95" w:rsidP="005F6871">
      <w:pPr>
        <w:pStyle w:val="ListParagraph"/>
        <w:numPr>
          <w:ilvl w:val="0"/>
          <w:numId w:val="413"/>
        </w:numPr>
        <w:tabs>
          <w:tab w:val="left" w:pos="707"/>
        </w:tabs>
        <w:spacing w:before="118"/>
        <w:jc w:val="both"/>
        <w:rPr>
          <w:rFonts w:ascii="Arial" w:hAnsi="Arial" w:cs="Arial"/>
          <w:sz w:val="20"/>
          <w:szCs w:val="20"/>
        </w:rPr>
      </w:pPr>
      <w:r w:rsidRPr="00CC6B95">
        <w:rPr>
          <w:rFonts w:ascii="Arial" w:hAnsi="Arial" w:cs="Arial"/>
          <w:sz w:val="20"/>
          <w:szCs w:val="20"/>
        </w:rPr>
        <w:t>If manuals from different manufacturers are used they should provide a practical arrangement.</w:t>
      </w:r>
    </w:p>
    <w:p w14:paraId="3FF68F7C" w14:textId="77777777" w:rsidR="007616B5" w:rsidRPr="007616B5" w:rsidRDefault="007616B5" w:rsidP="007616B5">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445" w:name="AMC_31HB.82(d)(1)_Instructions_for_conti"/>
      <w:bookmarkStart w:id="1446" w:name="_bookmark590"/>
      <w:bookmarkStart w:id="1447" w:name="_Toc153137753"/>
      <w:bookmarkEnd w:id="1445"/>
      <w:bookmarkEnd w:id="1446"/>
      <w:r w:rsidRPr="007616B5">
        <w:rPr>
          <w:rFonts w:ascii="Arial" w:eastAsia="Times New Roman" w:hAnsi="Arial" w:cs="Times New Roman"/>
          <w:b/>
          <w:color w:val="FFFFFF"/>
          <w:sz w:val="24"/>
        </w:rPr>
        <w:t>AMC 31HB.82(d)(1) Instructions for continued airworthiness</w:t>
      </w:r>
      <w:bookmarkEnd w:id="1447"/>
    </w:p>
    <w:p w14:paraId="70EB6268" w14:textId="77777777" w:rsidR="007616B5" w:rsidRPr="007616B5" w:rsidRDefault="007616B5" w:rsidP="007616B5">
      <w:pPr>
        <w:pStyle w:val="BodyText"/>
        <w:spacing w:before="117" w:line="276" w:lineRule="auto"/>
        <w:ind w:right="26"/>
        <w:jc w:val="both"/>
        <w:rPr>
          <w:rFonts w:ascii="Arial" w:hAnsi="Arial" w:cs="Arial"/>
          <w:sz w:val="20"/>
        </w:rPr>
      </w:pPr>
      <w:r w:rsidRPr="007616B5">
        <w:rPr>
          <w:rFonts w:ascii="Arial" w:hAnsi="Arial" w:cs="Arial"/>
          <w:sz w:val="20"/>
        </w:rPr>
        <w:t>The detailed description of the balloon and its components should include for each balloon:</w:t>
      </w:r>
    </w:p>
    <w:p w14:paraId="112B323C" w14:textId="77777777" w:rsidR="007616B5" w:rsidRPr="007616B5" w:rsidRDefault="007616B5" w:rsidP="005F6871">
      <w:pPr>
        <w:pStyle w:val="ListParagraph"/>
        <w:numPr>
          <w:ilvl w:val="0"/>
          <w:numId w:val="414"/>
        </w:numPr>
        <w:tabs>
          <w:tab w:val="left" w:pos="707"/>
        </w:tabs>
        <w:spacing w:before="118"/>
        <w:jc w:val="both"/>
        <w:rPr>
          <w:rFonts w:ascii="Arial" w:hAnsi="Arial" w:cs="Arial"/>
          <w:sz w:val="20"/>
          <w:szCs w:val="20"/>
        </w:rPr>
      </w:pPr>
      <w:r w:rsidRPr="007616B5">
        <w:rPr>
          <w:rFonts w:ascii="Arial" w:hAnsi="Arial" w:cs="Arial"/>
          <w:sz w:val="20"/>
          <w:szCs w:val="20"/>
        </w:rPr>
        <w:t>a description of the systems including the assembly and disassembly instructions;</w:t>
      </w:r>
    </w:p>
    <w:p w14:paraId="4132E46A" w14:textId="77777777" w:rsidR="007616B5" w:rsidRPr="007616B5" w:rsidRDefault="007616B5" w:rsidP="005F6871">
      <w:pPr>
        <w:pStyle w:val="ListParagraph"/>
        <w:numPr>
          <w:ilvl w:val="0"/>
          <w:numId w:val="414"/>
        </w:numPr>
        <w:tabs>
          <w:tab w:val="left" w:pos="707"/>
        </w:tabs>
        <w:spacing w:before="118"/>
        <w:jc w:val="both"/>
        <w:rPr>
          <w:rFonts w:ascii="Arial" w:hAnsi="Arial" w:cs="Arial"/>
          <w:sz w:val="20"/>
          <w:szCs w:val="20"/>
        </w:rPr>
      </w:pPr>
      <w:r w:rsidRPr="007616B5">
        <w:rPr>
          <w:rFonts w:ascii="Arial" w:hAnsi="Arial" w:cs="Arial"/>
          <w:sz w:val="20"/>
          <w:szCs w:val="20"/>
        </w:rPr>
        <w:t>a parts list covering all construction and equipment components and the assemblies. Where applicable individual parts should be numbered so that they can be related to the different assemblies and that their number corresponds to the type plate of the assembly;</w:t>
      </w:r>
    </w:p>
    <w:p w14:paraId="58718E53" w14:textId="77777777" w:rsidR="007616B5" w:rsidRPr="007616B5" w:rsidRDefault="007616B5" w:rsidP="005F6871">
      <w:pPr>
        <w:pStyle w:val="ListParagraph"/>
        <w:numPr>
          <w:ilvl w:val="0"/>
          <w:numId w:val="414"/>
        </w:numPr>
        <w:tabs>
          <w:tab w:val="left" w:pos="707"/>
        </w:tabs>
        <w:spacing w:before="118"/>
        <w:jc w:val="both"/>
        <w:rPr>
          <w:rFonts w:ascii="Arial" w:hAnsi="Arial" w:cs="Arial"/>
          <w:sz w:val="20"/>
          <w:szCs w:val="20"/>
        </w:rPr>
      </w:pPr>
      <w:r w:rsidRPr="007616B5">
        <w:rPr>
          <w:rFonts w:ascii="Arial" w:hAnsi="Arial" w:cs="Arial"/>
          <w:sz w:val="20"/>
          <w:szCs w:val="20"/>
        </w:rPr>
        <w:t>a summary of the materials and consumables used with procurement details.</w:t>
      </w:r>
    </w:p>
    <w:p w14:paraId="176DDB80" w14:textId="77777777" w:rsidR="003C5706" w:rsidRPr="003C5706" w:rsidRDefault="003C5706" w:rsidP="003C5706">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448" w:name="AMC_31HB.82(d)(5)_Instructions_for_conti"/>
      <w:bookmarkStart w:id="1449" w:name="_bookmark591"/>
      <w:bookmarkStart w:id="1450" w:name="_Toc153137754"/>
      <w:bookmarkEnd w:id="1448"/>
      <w:bookmarkEnd w:id="1449"/>
      <w:r w:rsidRPr="003C5706">
        <w:rPr>
          <w:rFonts w:ascii="Arial" w:eastAsia="Times New Roman" w:hAnsi="Arial" w:cs="Times New Roman"/>
          <w:b/>
          <w:color w:val="FFFFFF"/>
          <w:sz w:val="24"/>
        </w:rPr>
        <w:t>AMC 31HB.82(d)(5) Instructions for continued airworthiness</w:t>
      </w:r>
      <w:bookmarkEnd w:id="1450"/>
    </w:p>
    <w:p w14:paraId="6C8A6CB4" w14:textId="77777777" w:rsidR="003C5706" w:rsidRPr="003C5706" w:rsidRDefault="003C5706" w:rsidP="003C5706">
      <w:pPr>
        <w:pStyle w:val="BodyText"/>
        <w:spacing w:before="117" w:line="276" w:lineRule="auto"/>
        <w:ind w:right="26"/>
        <w:jc w:val="both"/>
        <w:rPr>
          <w:rFonts w:ascii="Arial" w:hAnsi="Arial" w:cs="Arial"/>
          <w:sz w:val="20"/>
        </w:rPr>
      </w:pPr>
      <w:r w:rsidRPr="003C5706">
        <w:rPr>
          <w:rFonts w:ascii="Arial" w:hAnsi="Arial" w:cs="Arial"/>
          <w:sz w:val="20"/>
        </w:rPr>
        <w:t>If applicable the maintenance schedule may include instructions for continued airworthiness (e.g. recommended inspections or mandatory replacement of parts) to ensure the suitable protection of parts against deterioration or loss of strength, objective pass or fail criteria e.g. applicable wear tolerances should be provided.</w:t>
      </w:r>
    </w:p>
    <w:p w14:paraId="15791FDE" w14:textId="77777777" w:rsidR="003C5706" w:rsidRPr="003C5706" w:rsidRDefault="003C5706" w:rsidP="003C5706">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451" w:name="AMC_31HB.82(d)(6)_Instructions_for_conti"/>
      <w:bookmarkStart w:id="1452" w:name="_bookmark592"/>
      <w:bookmarkStart w:id="1453" w:name="_Toc153137755"/>
      <w:bookmarkEnd w:id="1451"/>
      <w:bookmarkEnd w:id="1452"/>
      <w:r w:rsidRPr="003C5706">
        <w:rPr>
          <w:rFonts w:ascii="Arial" w:eastAsia="Times New Roman" w:hAnsi="Arial" w:cs="Times New Roman"/>
          <w:b/>
          <w:color w:val="FFFFFF"/>
          <w:sz w:val="24"/>
        </w:rPr>
        <w:t>AMC 31HB.82(d)(6) Instructions for continued airworthiness</w:t>
      </w:r>
      <w:bookmarkEnd w:id="1453"/>
    </w:p>
    <w:p w14:paraId="62C83F78" w14:textId="77777777" w:rsidR="003C5706" w:rsidRPr="003C5706" w:rsidRDefault="003C5706" w:rsidP="003C5706">
      <w:pPr>
        <w:pStyle w:val="BodyText"/>
        <w:spacing w:before="117" w:line="276" w:lineRule="auto"/>
        <w:ind w:right="26"/>
        <w:jc w:val="both"/>
        <w:rPr>
          <w:rFonts w:ascii="Arial" w:hAnsi="Arial" w:cs="Arial"/>
          <w:sz w:val="20"/>
        </w:rPr>
      </w:pPr>
      <w:r w:rsidRPr="003C5706">
        <w:rPr>
          <w:rFonts w:ascii="Arial" w:hAnsi="Arial" w:cs="Arial"/>
          <w:sz w:val="20"/>
        </w:rPr>
        <w:t>The maintenance and inspection instructions should provide information for removal and installation, cleaning, inspecting, adjusting, testing and lubrication of systems, parts and appliances of the balloon as required for continued airworthiness. Reference may be made to information from an accessory, instrument or equipment manufacturer as the source of this information if it is shown that the item has an exceptionally high degree of complexity requiring specialised maintenance techniques, test equipment or expertise.</w:t>
      </w:r>
    </w:p>
    <w:p w14:paraId="3737C4CC" w14:textId="77777777" w:rsidR="003C5706" w:rsidRPr="003C5706" w:rsidRDefault="003C5706" w:rsidP="003C5706">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454" w:name="AMC_31HB.82(d)(9)_Instructions_for_conti"/>
      <w:bookmarkStart w:id="1455" w:name="_bookmark593"/>
      <w:bookmarkStart w:id="1456" w:name="_Toc153137756"/>
      <w:bookmarkEnd w:id="1454"/>
      <w:bookmarkEnd w:id="1455"/>
      <w:r w:rsidRPr="003C5706">
        <w:rPr>
          <w:rFonts w:ascii="Arial" w:eastAsia="Times New Roman" w:hAnsi="Arial" w:cs="Times New Roman"/>
          <w:b/>
          <w:color w:val="FFFFFF"/>
          <w:sz w:val="24"/>
        </w:rPr>
        <w:lastRenderedPageBreak/>
        <w:t>AMC 31HB.82(d)(9) Instructions for continued airworthiness</w:t>
      </w:r>
      <w:bookmarkEnd w:id="1456"/>
    </w:p>
    <w:p w14:paraId="6F591ECB" w14:textId="63C21B41" w:rsidR="00081334" w:rsidRDefault="003C5706" w:rsidP="003C5706">
      <w:pPr>
        <w:pStyle w:val="BodyText"/>
        <w:spacing w:before="117" w:line="276" w:lineRule="auto"/>
        <w:ind w:right="26"/>
        <w:jc w:val="both"/>
        <w:rPr>
          <w:rFonts w:ascii="Arial" w:hAnsi="Arial" w:cs="Arial"/>
          <w:sz w:val="20"/>
        </w:rPr>
        <w:sectPr w:rsidR="00081334" w:rsidSect="008304B0">
          <w:headerReference w:type="default" r:id="rId153"/>
          <w:pgSz w:w="11906" w:h="16838" w:code="9"/>
          <w:pgMar w:top="450" w:right="1440" w:bottom="851" w:left="1350" w:header="407" w:footer="0" w:gutter="0"/>
          <w:cols w:space="720"/>
          <w:docGrid w:linePitch="360"/>
        </w:sectPr>
      </w:pPr>
      <w:r w:rsidRPr="003C5706">
        <w:rPr>
          <w:rFonts w:ascii="Arial" w:hAnsi="Arial" w:cs="Arial"/>
          <w:sz w:val="20"/>
        </w:rPr>
        <w:t>If the instructions for continued airworthiness consist of multiple documents, the Airworthiness Limitations section should be included in the principal manual</w:t>
      </w:r>
      <w:r w:rsidR="00081334">
        <w:rPr>
          <w:rFonts w:ascii="Arial" w:hAnsi="Arial" w:cs="Arial"/>
          <w:sz w:val="20"/>
        </w:rPr>
        <w:t>.</w:t>
      </w:r>
    </w:p>
    <w:p w14:paraId="06F99E3E" w14:textId="77777777" w:rsidR="00F44A76" w:rsidRPr="003C5706" w:rsidRDefault="00F44A76" w:rsidP="003C5706">
      <w:pPr>
        <w:pStyle w:val="BodyText"/>
        <w:spacing w:before="117" w:line="276" w:lineRule="auto"/>
        <w:ind w:right="26"/>
        <w:jc w:val="both"/>
        <w:rPr>
          <w:rFonts w:ascii="Arial" w:hAnsi="Arial" w:cs="Arial"/>
          <w:sz w:val="20"/>
        </w:rPr>
      </w:pPr>
    </w:p>
    <w:p w14:paraId="2CF18EFD" w14:textId="77777777" w:rsidR="00454788" w:rsidRDefault="00373601" w:rsidP="00454788">
      <w:pPr>
        <w:keepNext/>
        <w:keepLines/>
        <w:widowControl/>
        <w:autoSpaceDE/>
        <w:autoSpaceDN/>
        <w:spacing w:before="40" w:line="259" w:lineRule="auto"/>
        <w:jc w:val="center"/>
        <w:outlineLvl w:val="2"/>
        <w:rPr>
          <w:rFonts w:ascii="Arial" w:eastAsiaTheme="majorEastAsia" w:hAnsi="Arial" w:cs="Arial"/>
          <w:b/>
          <w:color w:val="00B0F0"/>
          <w:sz w:val="24"/>
          <w:szCs w:val="24"/>
        </w:rPr>
      </w:pPr>
      <w:bookmarkStart w:id="1457" w:name="_Toc153137757"/>
      <w:r w:rsidRPr="00454788">
        <w:rPr>
          <w:rFonts w:ascii="Arial" w:eastAsiaTheme="majorEastAsia" w:hAnsi="Arial" w:cs="Arial"/>
          <w:b/>
          <w:color w:val="00B0F0"/>
          <w:sz w:val="24"/>
          <w:szCs w:val="24"/>
        </w:rPr>
        <w:t>CS-31TGB (INITIAL ISSUE)</w:t>
      </w:r>
      <w:bookmarkStart w:id="1458" w:name="Incorporated_amendments"/>
      <w:bookmarkEnd w:id="1457"/>
      <w:bookmarkEnd w:id="1458"/>
      <w:r w:rsidRPr="00454788">
        <w:rPr>
          <w:rFonts w:ascii="Arial" w:eastAsiaTheme="majorEastAsia" w:hAnsi="Arial" w:cs="Arial"/>
          <w:b/>
          <w:color w:val="00B0F0"/>
          <w:sz w:val="24"/>
          <w:szCs w:val="24"/>
        </w:rPr>
        <w:t xml:space="preserve"> </w:t>
      </w:r>
      <w:bookmarkStart w:id="1459" w:name="_bookmark595"/>
      <w:bookmarkEnd w:id="1459"/>
    </w:p>
    <w:p w14:paraId="4A073F60" w14:textId="77777777" w:rsidR="00454788" w:rsidRPr="00454788" w:rsidRDefault="00373601" w:rsidP="00454788">
      <w:pPr>
        <w:pStyle w:val="BodyText"/>
        <w:jc w:val="center"/>
        <w:rPr>
          <w:rFonts w:ascii="Arial" w:hAnsi="Arial" w:cs="Arial"/>
          <w:b/>
          <w:color w:val="002060"/>
          <w:sz w:val="24"/>
        </w:rPr>
      </w:pPr>
      <w:r w:rsidRPr="00454788">
        <w:rPr>
          <w:rFonts w:ascii="Arial" w:hAnsi="Arial" w:cs="Arial"/>
          <w:b/>
          <w:color w:val="002060"/>
          <w:sz w:val="24"/>
        </w:rPr>
        <w:t xml:space="preserve">INCORPORATED AMENDMENTS </w:t>
      </w:r>
    </w:p>
    <w:p w14:paraId="131719F3" w14:textId="77777777" w:rsidR="00373601" w:rsidRDefault="00373601" w:rsidP="00454788">
      <w:pPr>
        <w:pStyle w:val="BodyText"/>
        <w:jc w:val="center"/>
        <w:rPr>
          <w:rFonts w:ascii="Arial" w:hAnsi="Arial" w:cs="Arial"/>
          <w:b/>
          <w:color w:val="00B0F0"/>
          <w:sz w:val="24"/>
        </w:rPr>
      </w:pPr>
      <w:r w:rsidRPr="00454788">
        <w:rPr>
          <w:rFonts w:ascii="Arial" w:hAnsi="Arial" w:cs="Arial"/>
          <w:b/>
          <w:color w:val="00B0F0"/>
          <w:sz w:val="24"/>
        </w:rPr>
        <w:t>CS/AMC (ED DECISIONS)</w:t>
      </w:r>
    </w:p>
    <w:p w14:paraId="784B2B1B" w14:textId="77777777" w:rsidR="002E6D91" w:rsidRPr="00454788" w:rsidRDefault="002E6D91" w:rsidP="00454788">
      <w:pPr>
        <w:pStyle w:val="BodyText"/>
        <w:jc w:val="center"/>
        <w:rPr>
          <w:rFonts w:ascii="Arial" w:hAnsi="Arial" w:cs="Arial"/>
          <w:b/>
          <w:color w:val="00B0F0"/>
          <w:sz w:val="24"/>
        </w:rPr>
      </w:pPr>
    </w:p>
    <w:tbl>
      <w:tblPr>
        <w:tblStyle w:val="TableGrid31"/>
        <w:tblW w:w="0" w:type="auto"/>
        <w:tblLayout w:type="fixed"/>
        <w:tblLook w:val="01E0" w:firstRow="1" w:lastRow="1" w:firstColumn="1" w:lastColumn="1" w:noHBand="0" w:noVBand="0"/>
      </w:tblPr>
      <w:tblGrid>
        <w:gridCol w:w="3142"/>
        <w:gridCol w:w="2792"/>
        <w:gridCol w:w="3140"/>
      </w:tblGrid>
      <w:tr w:rsidR="002E6D91" w14:paraId="09F57D81" w14:textId="77777777" w:rsidTr="00081334">
        <w:trPr>
          <w:trHeight w:val="445"/>
        </w:trPr>
        <w:tc>
          <w:tcPr>
            <w:tcW w:w="3142" w:type="dxa"/>
            <w:shd w:val="clear" w:color="auto" w:fill="F2F2F2" w:themeFill="background1" w:themeFillShade="F2"/>
            <w:hideMark/>
          </w:tcPr>
          <w:p w14:paraId="76C1B4F9" w14:textId="77777777" w:rsidR="002E6D91" w:rsidRPr="002E6D91" w:rsidRDefault="002E6D91">
            <w:pPr>
              <w:pStyle w:val="TableParagraph"/>
              <w:spacing w:before="121"/>
              <w:ind w:left="88"/>
              <w:rPr>
                <w:rFonts w:ascii="Arial" w:hAnsi="Arial" w:cs="Arial"/>
                <w:b/>
              </w:rPr>
            </w:pPr>
            <w:r w:rsidRPr="002E6D91">
              <w:rPr>
                <w:rFonts w:ascii="Arial" w:hAnsi="Arial" w:cs="Arial"/>
                <w:b/>
              </w:rPr>
              <w:t>Incorporated</w:t>
            </w:r>
            <w:r w:rsidRPr="002E6D91">
              <w:rPr>
                <w:rFonts w:ascii="Arial" w:hAnsi="Arial" w:cs="Arial"/>
                <w:b/>
                <w:spacing w:val="-4"/>
              </w:rPr>
              <w:t xml:space="preserve"> </w:t>
            </w:r>
            <w:r w:rsidRPr="002E6D91">
              <w:rPr>
                <w:rFonts w:ascii="Arial" w:hAnsi="Arial" w:cs="Arial"/>
                <w:b/>
              </w:rPr>
              <w:t>ED</w:t>
            </w:r>
            <w:r w:rsidRPr="002E6D91">
              <w:rPr>
                <w:rFonts w:ascii="Arial" w:hAnsi="Arial" w:cs="Arial"/>
                <w:b/>
                <w:spacing w:val="-5"/>
              </w:rPr>
              <w:t xml:space="preserve"> </w:t>
            </w:r>
            <w:r w:rsidRPr="002E6D91">
              <w:rPr>
                <w:rFonts w:ascii="Arial" w:hAnsi="Arial" w:cs="Arial"/>
                <w:b/>
              </w:rPr>
              <w:t>Decision</w:t>
            </w:r>
          </w:p>
        </w:tc>
        <w:tc>
          <w:tcPr>
            <w:tcW w:w="2792" w:type="dxa"/>
            <w:shd w:val="clear" w:color="auto" w:fill="F2F2F2" w:themeFill="background1" w:themeFillShade="F2"/>
            <w:hideMark/>
          </w:tcPr>
          <w:p w14:paraId="0048B291" w14:textId="77777777" w:rsidR="002E6D91" w:rsidRPr="002E6D91" w:rsidRDefault="002E6D91">
            <w:pPr>
              <w:pStyle w:val="TableParagraph"/>
              <w:spacing w:line="243" w:lineRule="exact"/>
              <w:rPr>
                <w:rFonts w:ascii="Arial" w:hAnsi="Arial" w:cs="Arial"/>
                <w:b/>
              </w:rPr>
            </w:pPr>
            <w:r w:rsidRPr="002E6D91">
              <w:rPr>
                <w:rFonts w:ascii="Arial" w:hAnsi="Arial" w:cs="Arial"/>
                <w:b/>
              </w:rPr>
              <w:t>CS/AMC</w:t>
            </w:r>
            <w:r w:rsidRPr="002E6D91">
              <w:rPr>
                <w:rFonts w:ascii="Arial" w:hAnsi="Arial" w:cs="Arial"/>
                <w:b/>
                <w:spacing w:val="-2"/>
              </w:rPr>
              <w:t xml:space="preserve"> </w:t>
            </w:r>
            <w:r w:rsidRPr="002E6D91">
              <w:rPr>
                <w:rFonts w:ascii="Arial" w:hAnsi="Arial" w:cs="Arial"/>
                <w:b/>
              </w:rPr>
              <w:t>Issue</w:t>
            </w:r>
            <w:r w:rsidRPr="002E6D91">
              <w:rPr>
                <w:rFonts w:ascii="Arial" w:hAnsi="Arial" w:cs="Arial"/>
                <w:b/>
                <w:spacing w:val="-3"/>
              </w:rPr>
              <w:t xml:space="preserve"> </w:t>
            </w:r>
            <w:r w:rsidRPr="002E6D91">
              <w:rPr>
                <w:rFonts w:ascii="Arial" w:hAnsi="Arial" w:cs="Arial"/>
                <w:b/>
              </w:rPr>
              <w:t>No,</w:t>
            </w:r>
          </w:p>
          <w:p w14:paraId="7FF70CC2" w14:textId="77777777" w:rsidR="002E6D91" w:rsidRPr="002E6D91" w:rsidRDefault="002E6D91">
            <w:pPr>
              <w:pStyle w:val="TableParagraph"/>
              <w:spacing w:line="225" w:lineRule="exact"/>
              <w:rPr>
                <w:rFonts w:ascii="Arial" w:hAnsi="Arial" w:cs="Arial"/>
                <w:b/>
              </w:rPr>
            </w:pPr>
            <w:r w:rsidRPr="002E6D91">
              <w:rPr>
                <w:rFonts w:ascii="Arial" w:hAnsi="Arial" w:cs="Arial"/>
                <w:b/>
              </w:rPr>
              <w:t>Amendment</w:t>
            </w:r>
            <w:r w:rsidRPr="002E6D91">
              <w:rPr>
                <w:rFonts w:ascii="Arial" w:hAnsi="Arial" w:cs="Arial"/>
                <w:b/>
                <w:spacing w:val="-3"/>
              </w:rPr>
              <w:t xml:space="preserve"> </w:t>
            </w:r>
            <w:r w:rsidRPr="002E6D91">
              <w:rPr>
                <w:rFonts w:ascii="Arial" w:hAnsi="Arial" w:cs="Arial"/>
                <w:b/>
              </w:rPr>
              <w:t>No</w:t>
            </w:r>
          </w:p>
        </w:tc>
        <w:tc>
          <w:tcPr>
            <w:tcW w:w="3140" w:type="dxa"/>
            <w:shd w:val="clear" w:color="auto" w:fill="F2F2F2" w:themeFill="background1" w:themeFillShade="F2"/>
            <w:hideMark/>
          </w:tcPr>
          <w:p w14:paraId="43B17580" w14:textId="77777777" w:rsidR="002E6D91" w:rsidRPr="002E6D91" w:rsidRDefault="002E6D91">
            <w:pPr>
              <w:pStyle w:val="TableParagraph"/>
              <w:spacing w:before="121"/>
              <w:rPr>
                <w:rFonts w:ascii="Arial" w:hAnsi="Arial" w:cs="Arial"/>
                <w:b/>
              </w:rPr>
            </w:pPr>
            <w:r w:rsidRPr="002E6D91">
              <w:rPr>
                <w:rFonts w:ascii="Arial" w:hAnsi="Arial" w:cs="Arial"/>
                <w:b/>
              </w:rPr>
              <w:t>Applicability</w:t>
            </w:r>
            <w:r w:rsidRPr="002E6D91">
              <w:rPr>
                <w:rFonts w:ascii="Arial" w:hAnsi="Arial" w:cs="Arial"/>
                <w:b/>
                <w:spacing w:val="-5"/>
              </w:rPr>
              <w:t xml:space="preserve"> </w:t>
            </w:r>
            <w:r w:rsidRPr="002E6D91">
              <w:rPr>
                <w:rFonts w:ascii="Arial" w:hAnsi="Arial" w:cs="Arial"/>
                <w:b/>
              </w:rPr>
              <w:t>date</w:t>
            </w:r>
          </w:p>
        </w:tc>
      </w:tr>
      <w:tr w:rsidR="002E6D91" w14:paraId="7326836C" w14:textId="77777777" w:rsidTr="00081334">
        <w:trPr>
          <w:trHeight w:val="229"/>
        </w:trPr>
        <w:tc>
          <w:tcPr>
            <w:tcW w:w="3142" w:type="dxa"/>
            <w:hideMark/>
          </w:tcPr>
          <w:p w14:paraId="29DC74B6" w14:textId="77777777" w:rsidR="002E6D91" w:rsidRPr="00761C94" w:rsidRDefault="002E6D91">
            <w:pPr>
              <w:pStyle w:val="TableParagraph"/>
              <w:spacing w:line="242" w:lineRule="exact"/>
              <w:ind w:left="88"/>
              <w:rPr>
                <w:rFonts w:ascii="Arial" w:hAnsi="Arial" w:cs="Arial"/>
              </w:rPr>
            </w:pPr>
            <w:r w:rsidRPr="00761C94">
              <w:rPr>
                <w:rFonts w:ascii="Arial" w:hAnsi="Arial" w:cs="Arial"/>
              </w:rPr>
              <w:t>ED</w:t>
            </w:r>
            <w:r w:rsidRPr="00761C94">
              <w:rPr>
                <w:rFonts w:ascii="Arial" w:hAnsi="Arial" w:cs="Arial"/>
                <w:spacing w:val="-4"/>
              </w:rPr>
              <w:t xml:space="preserve"> </w:t>
            </w:r>
            <w:r w:rsidRPr="00761C94">
              <w:rPr>
                <w:rFonts w:ascii="Arial" w:hAnsi="Arial" w:cs="Arial"/>
              </w:rPr>
              <w:t>Decision</w:t>
            </w:r>
            <w:r w:rsidRPr="00761C94">
              <w:rPr>
                <w:rFonts w:ascii="Arial" w:hAnsi="Arial" w:cs="Arial"/>
                <w:spacing w:val="-1"/>
              </w:rPr>
              <w:t xml:space="preserve"> </w:t>
            </w:r>
            <w:r w:rsidRPr="00761C94">
              <w:rPr>
                <w:rFonts w:ascii="Arial" w:hAnsi="Arial" w:cs="Arial"/>
              </w:rPr>
              <w:t>2013/011/R</w:t>
            </w:r>
          </w:p>
        </w:tc>
        <w:tc>
          <w:tcPr>
            <w:tcW w:w="2792" w:type="dxa"/>
            <w:hideMark/>
          </w:tcPr>
          <w:p w14:paraId="09764276" w14:textId="77777777" w:rsidR="002E6D91" w:rsidRPr="002E6D91" w:rsidRDefault="002E6D91">
            <w:pPr>
              <w:pStyle w:val="TableParagraph"/>
              <w:spacing w:line="242" w:lineRule="exact"/>
              <w:rPr>
                <w:rFonts w:ascii="Arial" w:hAnsi="Arial" w:cs="Arial"/>
              </w:rPr>
            </w:pPr>
            <w:r w:rsidRPr="002E6D91">
              <w:rPr>
                <w:rFonts w:ascii="Arial" w:hAnsi="Arial" w:cs="Arial"/>
              </w:rPr>
              <w:t>CS-31TGB/</w:t>
            </w:r>
            <w:r w:rsidRPr="002E6D91">
              <w:rPr>
                <w:rFonts w:ascii="Arial" w:hAnsi="Arial" w:cs="Arial"/>
                <w:spacing w:val="-4"/>
              </w:rPr>
              <w:t xml:space="preserve"> </w:t>
            </w:r>
            <w:r w:rsidRPr="002E6D91">
              <w:rPr>
                <w:rFonts w:ascii="Arial" w:hAnsi="Arial" w:cs="Arial"/>
              </w:rPr>
              <w:t>Initial</w:t>
            </w:r>
            <w:r w:rsidRPr="002E6D91">
              <w:rPr>
                <w:rFonts w:ascii="Arial" w:hAnsi="Arial" w:cs="Arial"/>
                <w:spacing w:val="-2"/>
              </w:rPr>
              <w:t xml:space="preserve"> </w:t>
            </w:r>
            <w:r w:rsidRPr="002E6D91">
              <w:rPr>
                <w:rFonts w:ascii="Arial" w:hAnsi="Arial" w:cs="Arial"/>
              </w:rPr>
              <w:t>issue</w:t>
            </w:r>
          </w:p>
        </w:tc>
        <w:tc>
          <w:tcPr>
            <w:tcW w:w="3140" w:type="dxa"/>
            <w:hideMark/>
          </w:tcPr>
          <w:p w14:paraId="18E06244" w14:textId="77777777" w:rsidR="002E6D91" w:rsidRPr="002E6D91" w:rsidRDefault="002E6D91">
            <w:pPr>
              <w:pStyle w:val="TableParagraph"/>
              <w:spacing w:line="242" w:lineRule="exact"/>
              <w:rPr>
                <w:rFonts w:ascii="Arial" w:hAnsi="Arial" w:cs="Arial"/>
              </w:rPr>
            </w:pPr>
            <w:r w:rsidRPr="002E6D91">
              <w:rPr>
                <w:rFonts w:ascii="Arial" w:hAnsi="Arial" w:cs="Arial"/>
              </w:rPr>
              <w:t>1/7/2013</w:t>
            </w:r>
          </w:p>
        </w:tc>
      </w:tr>
    </w:tbl>
    <w:p w14:paraId="278CB355" w14:textId="77777777" w:rsidR="0023654E" w:rsidRDefault="0023654E" w:rsidP="00244239">
      <w:pPr>
        <w:pStyle w:val="BodyText"/>
        <w:spacing w:before="117" w:line="276" w:lineRule="auto"/>
        <w:ind w:right="26"/>
        <w:jc w:val="both"/>
        <w:rPr>
          <w:rFonts w:ascii="Arial" w:hAnsi="Arial" w:cs="Arial"/>
          <w:sz w:val="20"/>
        </w:rPr>
      </w:pPr>
    </w:p>
    <w:p w14:paraId="5BC88956" w14:textId="77777777" w:rsidR="008E1F7D" w:rsidRDefault="008E1F7D" w:rsidP="00244239">
      <w:pPr>
        <w:pStyle w:val="BodyText"/>
        <w:spacing w:before="117" w:line="276" w:lineRule="auto"/>
        <w:ind w:right="26"/>
        <w:jc w:val="both"/>
        <w:rPr>
          <w:rFonts w:ascii="Arial" w:hAnsi="Arial" w:cs="Arial"/>
          <w:sz w:val="20"/>
        </w:rPr>
      </w:pPr>
    </w:p>
    <w:p w14:paraId="374990B1" w14:textId="77777777" w:rsidR="008E1F7D" w:rsidRDefault="008E1F7D" w:rsidP="00244239">
      <w:pPr>
        <w:pStyle w:val="BodyText"/>
        <w:spacing w:before="117" w:line="276" w:lineRule="auto"/>
        <w:ind w:right="26"/>
        <w:jc w:val="both"/>
        <w:rPr>
          <w:rFonts w:ascii="Arial" w:hAnsi="Arial" w:cs="Arial"/>
          <w:sz w:val="20"/>
        </w:rPr>
      </w:pPr>
    </w:p>
    <w:p w14:paraId="1C40B816" w14:textId="77777777" w:rsidR="008E1F7D" w:rsidRDefault="008E1F7D" w:rsidP="00244239">
      <w:pPr>
        <w:pStyle w:val="BodyText"/>
        <w:spacing w:before="117" w:line="276" w:lineRule="auto"/>
        <w:ind w:right="26"/>
        <w:jc w:val="both"/>
        <w:rPr>
          <w:rFonts w:ascii="Arial" w:hAnsi="Arial" w:cs="Arial"/>
          <w:sz w:val="20"/>
        </w:rPr>
      </w:pPr>
    </w:p>
    <w:p w14:paraId="79E2D90A" w14:textId="77777777" w:rsidR="008E1F7D" w:rsidRDefault="008E1F7D" w:rsidP="00244239">
      <w:pPr>
        <w:pStyle w:val="BodyText"/>
        <w:spacing w:before="117" w:line="276" w:lineRule="auto"/>
        <w:ind w:right="26"/>
        <w:jc w:val="both"/>
        <w:rPr>
          <w:rFonts w:ascii="Arial" w:hAnsi="Arial" w:cs="Arial"/>
          <w:sz w:val="20"/>
        </w:rPr>
      </w:pPr>
    </w:p>
    <w:p w14:paraId="0EAD458E" w14:textId="77777777" w:rsidR="008E1F7D" w:rsidRDefault="008E1F7D" w:rsidP="00244239">
      <w:pPr>
        <w:pStyle w:val="BodyText"/>
        <w:spacing w:before="117" w:line="276" w:lineRule="auto"/>
        <w:ind w:right="26"/>
        <w:jc w:val="both"/>
        <w:rPr>
          <w:rFonts w:ascii="Arial" w:hAnsi="Arial" w:cs="Arial"/>
          <w:sz w:val="20"/>
        </w:rPr>
      </w:pPr>
    </w:p>
    <w:p w14:paraId="285201E0" w14:textId="77777777" w:rsidR="008E1F7D" w:rsidRDefault="008E1F7D" w:rsidP="00244239">
      <w:pPr>
        <w:pStyle w:val="BodyText"/>
        <w:spacing w:before="117" w:line="276" w:lineRule="auto"/>
        <w:ind w:right="26"/>
        <w:jc w:val="both"/>
        <w:rPr>
          <w:rFonts w:ascii="Arial" w:hAnsi="Arial" w:cs="Arial"/>
          <w:sz w:val="20"/>
        </w:rPr>
      </w:pPr>
    </w:p>
    <w:p w14:paraId="6D1EA512" w14:textId="77777777" w:rsidR="008E1F7D" w:rsidRDefault="008E1F7D" w:rsidP="00244239">
      <w:pPr>
        <w:pStyle w:val="BodyText"/>
        <w:spacing w:before="117" w:line="276" w:lineRule="auto"/>
        <w:ind w:right="26"/>
        <w:jc w:val="both"/>
        <w:rPr>
          <w:rFonts w:ascii="Arial" w:hAnsi="Arial" w:cs="Arial"/>
          <w:sz w:val="20"/>
        </w:rPr>
      </w:pPr>
    </w:p>
    <w:p w14:paraId="4BAF944E" w14:textId="77777777" w:rsidR="008E1F7D" w:rsidRDefault="008E1F7D" w:rsidP="00244239">
      <w:pPr>
        <w:pStyle w:val="BodyText"/>
        <w:spacing w:before="117" w:line="276" w:lineRule="auto"/>
        <w:ind w:right="26"/>
        <w:jc w:val="both"/>
        <w:rPr>
          <w:rFonts w:ascii="Arial" w:hAnsi="Arial" w:cs="Arial"/>
          <w:sz w:val="20"/>
        </w:rPr>
      </w:pPr>
    </w:p>
    <w:p w14:paraId="29D95C6A" w14:textId="77777777" w:rsidR="008E1F7D" w:rsidRDefault="008E1F7D" w:rsidP="00244239">
      <w:pPr>
        <w:pStyle w:val="BodyText"/>
        <w:spacing w:before="117" w:line="276" w:lineRule="auto"/>
        <w:ind w:right="26"/>
        <w:jc w:val="both"/>
        <w:rPr>
          <w:rFonts w:ascii="Arial" w:hAnsi="Arial" w:cs="Arial"/>
          <w:sz w:val="20"/>
        </w:rPr>
      </w:pPr>
    </w:p>
    <w:p w14:paraId="12BB0D73" w14:textId="77777777" w:rsidR="008E1F7D" w:rsidRDefault="008E1F7D" w:rsidP="00244239">
      <w:pPr>
        <w:pStyle w:val="BodyText"/>
        <w:spacing w:before="117" w:line="276" w:lineRule="auto"/>
        <w:ind w:right="26"/>
        <w:jc w:val="both"/>
        <w:rPr>
          <w:rFonts w:ascii="Arial" w:hAnsi="Arial" w:cs="Arial"/>
          <w:sz w:val="20"/>
        </w:rPr>
      </w:pPr>
    </w:p>
    <w:p w14:paraId="2CFFBE6F" w14:textId="77777777" w:rsidR="008E1F7D" w:rsidRDefault="008E1F7D" w:rsidP="00244239">
      <w:pPr>
        <w:pStyle w:val="BodyText"/>
        <w:spacing w:before="117" w:line="276" w:lineRule="auto"/>
        <w:ind w:right="26"/>
        <w:jc w:val="both"/>
        <w:rPr>
          <w:rFonts w:ascii="Arial" w:hAnsi="Arial" w:cs="Arial"/>
          <w:sz w:val="20"/>
        </w:rPr>
      </w:pPr>
    </w:p>
    <w:p w14:paraId="6A397101" w14:textId="77777777" w:rsidR="008E1F7D" w:rsidRDefault="008E1F7D" w:rsidP="00244239">
      <w:pPr>
        <w:pStyle w:val="BodyText"/>
        <w:spacing w:before="117" w:line="276" w:lineRule="auto"/>
        <w:ind w:right="26"/>
        <w:jc w:val="both"/>
        <w:rPr>
          <w:rFonts w:ascii="Arial" w:hAnsi="Arial" w:cs="Arial"/>
          <w:sz w:val="20"/>
        </w:rPr>
      </w:pPr>
    </w:p>
    <w:p w14:paraId="38B1148C" w14:textId="77777777" w:rsidR="008E1F7D" w:rsidRDefault="008E1F7D" w:rsidP="00244239">
      <w:pPr>
        <w:pStyle w:val="BodyText"/>
        <w:spacing w:before="117" w:line="276" w:lineRule="auto"/>
        <w:ind w:right="26"/>
        <w:jc w:val="both"/>
        <w:rPr>
          <w:rFonts w:ascii="Arial" w:hAnsi="Arial" w:cs="Arial"/>
          <w:sz w:val="20"/>
        </w:rPr>
      </w:pPr>
    </w:p>
    <w:p w14:paraId="7C6E08E3" w14:textId="77777777" w:rsidR="008E1F7D" w:rsidRDefault="008E1F7D" w:rsidP="00244239">
      <w:pPr>
        <w:pStyle w:val="BodyText"/>
        <w:spacing w:before="117" w:line="276" w:lineRule="auto"/>
        <w:ind w:right="26"/>
        <w:jc w:val="both"/>
        <w:rPr>
          <w:rFonts w:ascii="Arial" w:hAnsi="Arial" w:cs="Arial"/>
          <w:sz w:val="20"/>
        </w:rPr>
      </w:pPr>
    </w:p>
    <w:p w14:paraId="2457D7FD" w14:textId="77777777" w:rsidR="008E1F7D" w:rsidRDefault="008E1F7D" w:rsidP="00244239">
      <w:pPr>
        <w:pStyle w:val="BodyText"/>
        <w:spacing w:before="117" w:line="276" w:lineRule="auto"/>
        <w:ind w:right="26"/>
        <w:jc w:val="both"/>
        <w:rPr>
          <w:rFonts w:ascii="Arial" w:hAnsi="Arial" w:cs="Arial"/>
          <w:sz w:val="20"/>
        </w:rPr>
      </w:pPr>
    </w:p>
    <w:p w14:paraId="5905D190" w14:textId="77777777" w:rsidR="008E1F7D" w:rsidRDefault="008E1F7D" w:rsidP="00244239">
      <w:pPr>
        <w:pStyle w:val="BodyText"/>
        <w:spacing w:before="117" w:line="276" w:lineRule="auto"/>
        <w:ind w:right="26"/>
        <w:jc w:val="both"/>
        <w:rPr>
          <w:rFonts w:ascii="Arial" w:hAnsi="Arial" w:cs="Arial"/>
          <w:sz w:val="20"/>
        </w:rPr>
      </w:pPr>
    </w:p>
    <w:p w14:paraId="4F45542F" w14:textId="77777777" w:rsidR="008E1F7D" w:rsidRDefault="008E1F7D" w:rsidP="00244239">
      <w:pPr>
        <w:pStyle w:val="BodyText"/>
        <w:spacing w:before="117" w:line="276" w:lineRule="auto"/>
        <w:ind w:right="26"/>
        <w:jc w:val="both"/>
        <w:rPr>
          <w:rFonts w:ascii="Arial" w:hAnsi="Arial" w:cs="Arial"/>
          <w:sz w:val="20"/>
        </w:rPr>
      </w:pPr>
    </w:p>
    <w:p w14:paraId="31BB64DE" w14:textId="77777777" w:rsidR="008E1F7D" w:rsidRDefault="008E1F7D" w:rsidP="00244239">
      <w:pPr>
        <w:pStyle w:val="BodyText"/>
        <w:spacing w:before="117" w:line="276" w:lineRule="auto"/>
        <w:ind w:right="26"/>
        <w:jc w:val="both"/>
        <w:rPr>
          <w:rFonts w:ascii="Arial" w:hAnsi="Arial" w:cs="Arial"/>
          <w:sz w:val="20"/>
        </w:rPr>
      </w:pPr>
    </w:p>
    <w:p w14:paraId="7D1971A9" w14:textId="77777777" w:rsidR="008E1F7D" w:rsidRDefault="008E1F7D" w:rsidP="00244239">
      <w:pPr>
        <w:pStyle w:val="BodyText"/>
        <w:spacing w:before="117" w:line="276" w:lineRule="auto"/>
        <w:ind w:right="26"/>
        <w:jc w:val="both"/>
        <w:rPr>
          <w:rFonts w:ascii="Arial" w:hAnsi="Arial" w:cs="Arial"/>
          <w:sz w:val="20"/>
        </w:rPr>
      </w:pPr>
    </w:p>
    <w:p w14:paraId="542A5881" w14:textId="77777777" w:rsidR="008E1F7D" w:rsidRDefault="008E1F7D" w:rsidP="00244239">
      <w:pPr>
        <w:pStyle w:val="BodyText"/>
        <w:spacing w:before="117" w:line="276" w:lineRule="auto"/>
        <w:ind w:right="26"/>
        <w:jc w:val="both"/>
        <w:rPr>
          <w:rFonts w:ascii="Arial" w:hAnsi="Arial" w:cs="Arial"/>
          <w:sz w:val="20"/>
        </w:rPr>
      </w:pPr>
    </w:p>
    <w:p w14:paraId="77922D4B" w14:textId="77777777" w:rsidR="008E1F7D" w:rsidRDefault="008E1F7D" w:rsidP="00244239">
      <w:pPr>
        <w:pStyle w:val="BodyText"/>
        <w:spacing w:before="117" w:line="276" w:lineRule="auto"/>
        <w:ind w:right="26"/>
        <w:jc w:val="both"/>
        <w:rPr>
          <w:rFonts w:ascii="Arial" w:hAnsi="Arial" w:cs="Arial"/>
          <w:sz w:val="20"/>
        </w:rPr>
      </w:pPr>
    </w:p>
    <w:p w14:paraId="3DE08DAF" w14:textId="77777777" w:rsidR="008E1F7D" w:rsidRDefault="008E1F7D" w:rsidP="00244239">
      <w:pPr>
        <w:pStyle w:val="BodyText"/>
        <w:spacing w:before="117" w:line="276" w:lineRule="auto"/>
        <w:ind w:right="26"/>
        <w:jc w:val="both"/>
        <w:rPr>
          <w:rFonts w:ascii="Arial" w:hAnsi="Arial" w:cs="Arial"/>
          <w:sz w:val="20"/>
        </w:rPr>
      </w:pPr>
    </w:p>
    <w:p w14:paraId="6AA83ABA" w14:textId="77777777" w:rsidR="008E1F7D" w:rsidRDefault="008E1F7D" w:rsidP="00244239">
      <w:pPr>
        <w:pStyle w:val="BodyText"/>
        <w:spacing w:before="117" w:line="276" w:lineRule="auto"/>
        <w:ind w:right="26"/>
        <w:jc w:val="both"/>
        <w:rPr>
          <w:rFonts w:ascii="Arial" w:hAnsi="Arial" w:cs="Arial"/>
          <w:sz w:val="20"/>
        </w:rPr>
      </w:pPr>
    </w:p>
    <w:p w14:paraId="52E1EEB3" w14:textId="77777777" w:rsidR="008E1F7D" w:rsidRDefault="008E1F7D" w:rsidP="00244239">
      <w:pPr>
        <w:pStyle w:val="BodyText"/>
        <w:spacing w:before="117" w:line="276" w:lineRule="auto"/>
        <w:ind w:right="26"/>
        <w:jc w:val="both"/>
        <w:rPr>
          <w:rFonts w:ascii="Arial" w:hAnsi="Arial" w:cs="Arial"/>
          <w:sz w:val="20"/>
        </w:rPr>
      </w:pPr>
    </w:p>
    <w:p w14:paraId="408F2FE7" w14:textId="77777777" w:rsidR="008E1F7D" w:rsidRDefault="008E1F7D" w:rsidP="00244239">
      <w:pPr>
        <w:pStyle w:val="BodyText"/>
        <w:spacing w:before="117" w:line="276" w:lineRule="auto"/>
        <w:ind w:right="26"/>
        <w:jc w:val="both"/>
        <w:rPr>
          <w:rFonts w:ascii="Arial" w:hAnsi="Arial" w:cs="Arial"/>
          <w:sz w:val="20"/>
        </w:rPr>
      </w:pPr>
    </w:p>
    <w:p w14:paraId="502D99D1" w14:textId="77777777" w:rsidR="008E1F7D" w:rsidRDefault="008E1F7D" w:rsidP="00244239">
      <w:pPr>
        <w:pStyle w:val="BodyText"/>
        <w:spacing w:before="117" w:line="276" w:lineRule="auto"/>
        <w:ind w:right="26"/>
        <w:jc w:val="both"/>
        <w:rPr>
          <w:rFonts w:ascii="Arial" w:hAnsi="Arial" w:cs="Arial"/>
          <w:sz w:val="20"/>
        </w:rPr>
      </w:pPr>
    </w:p>
    <w:p w14:paraId="0072CC28" w14:textId="77777777" w:rsidR="008E1F7D" w:rsidRDefault="008E1F7D" w:rsidP="00244239">
      <w:pPr>
        <w:pStyle w:val="BodyText"/>
        <w:spacing w:before="117" w:line="276" w:lineRule="auto"/>
        <w:ind w:right="26"/>
        <w:jc w:val="both"/>
        <w:rPr>
          <w:rFonts w:ascii="Arial" w:hAnsi="Arial" w:cs="Arial"/>
          <w:sz w:val="20"/>
        </w:rPr>
      </w:pPr>
    </w:p>
    <w:p w14:paraId="4F0EDD38" w14:textId="77777777" w:rsidR="008E1F7D" w:rsidRDefault="008E1F7D" w:rsidP="00244239">
      <w:pPr>
        <w:pStyle w:val="BodyText"/>
        <w:spacing w:before="117" w:line="276" w:lineRule="auto"/>
        <w:ind w:right="26"/>
        <w:jc w:val="both"/>
        <w:rPr>
          <w:rFonts w:ascii="Arial" w:hAnsi="Arial" w:cs="Arial"/>
          <w:sz w:val="20"/>
        </w:rPr>
      </w:pPr>
    </w:p>
    <w:p w14:paraId="08497A26" w14:textId="77777777" w:rsidR="008E1F7D" w:rsidRDefault="008E1F7D" w:rsidP="00244239">
      <w:pPr>
        <w:pStyle w:val="BodyText"/>
        <w:spacing w:before="117" w:line="276" w:lineRule="auto"/>
        <w:ind w:right="26"/>
        <w:jc w:val="both"/>
        <w:rPr>
          <w:rFonts w:ascii="Arial" w:hAnsi="Arial" w:cs="Arial"/>
          <w:sz w:val="20"/>
        </w:rPr>
      </w:pPr>
    </w:p>
    <w:p w14:paraId="754A3703" w14:textId="77777777" w:rsidR="008E1F7D" w:rsidRDefault="008E1F7D" w:rsidP="00244239">
      <w:pPr>
        <w:pStyle w:val="BodyText"/>
        <w:spacing w:before="117" w:line="276" w:lineRule="auto"/>
        <w:ind w:right="26"/>
        <w:jc w:val="both"/>
        <w:rPr>
          <w:rFonts w:ascii="Arial" w:hAnsi="Arial" w:cs="Arial"/>
          <w:sz w:val="20"/>
        </w:rPr>
      </w:pPr>
    </w:p>
    <w:p w14:paraId="3B2D5D82" w14:textId="77777777" w:rsidR="008E1F7D" w:rsidRPr="008E1F7D" w:rsidRDefault="008E1F7D" w:rsidP="008E1F7D">
      <w:pPr>
        <w:keepNext/>
        <w:keepLines/>
        <w:widowControl/>
        <w:autoSpaceDE/>
        <w:autoSpaceDN/>
        <w:spacing w:before="40" w:line="259" w:lineRule="auto"/>
        <w:jc w:val="center"/>
        <w:outlineLvl w:val="2"/>
        <w:rPr>
          <w:rFonts w:ascii="Arial" w:eastAsiaTheme="majorEastAsia" w:hAnsi="Arial" w:cs="Arial"/>
          <w:b/>
          <w:color w:val="00B0F0"/>
          <w:sz w:val="24"/>
          <w:szCs w:val="24"/>
        </w:rPr>
      </w:pPr>
      <w:bookmarkStart w:id="1460" w:name="_Toc153137758"/>
      <w:r w:rsidRPr="008E1F7D">
        <w:rPr>
          <w:rFonts w:ascii="Arial" w:eastAsiaTheme="majorEastAsia" w:hAnsi="Arial" w:cs="Arial"/>
          <w:b/>
          <w:color w:val="00B0F0"/>
          <w:sz w:val="24"/>
          <w:szCs w:val="24"/>
        </w:rPr>
        <w:lastRenderedPageBreak/>
        <w:t>SUBPART A — GENERAL</w:t>
      </w:r>
      <w:bookmarkEnd w:id="1460"/>
    </w:p>
    <w:p w14:paraId="566921F6" w14:textId="77777777" w:rsidR="008E1F7D" w:rsidRPr="008E1F7D" w:rsidRDefault="008E1F7D" w:rsidP="008E1F7D">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461" w:name="CS_31TGB.1_Applicability"/>
      <w:bookmarkStart w:id="1462" w:name="_bookmark597"/>
      <w:bookmarkStart w:id="1463" w:name="_Toc153137759"/>
      <w:bookmarkEnd w:id="1461"/>
      <w:bookmarkEnd w:id="1462"/>
      <w:r w:rsidRPr="008E1F7D">
        <w:rPr>
          <w:rFonts w:ascii="Arial" w:eastAsia="Times New Roman" w:hAnsi="Arial" w:cs="Times New Roman"/>
          <w:b/>
          <w:iCs/>
          <w:color w:val="FFFFFF"/>
          <w:sz w:val="24"/>
        </w:rPr>
        <w:t>CS 31TGB.1 Applicability</w:t>
      </w:r>
      <w:bookmarkEnd w:id="1463"/>
    </w:p>
    <w:p w14:paraId="1A48BD20" w14:textId="77777777" w:rsidR="008E1F7D" w:rsidRPr="008E1F7D" w:rsidRDefault="008E1F7D" w:rsidP="008E1F7D">
      <w:pPr>
        <w:pStyle w:val="BodyText"/>
        <w:spacing w:before="117" w:line="276" w:lineRule="auto"/>
        <w:ind w:right="26"/>
        <w:jc w:val="both"/>
        <w:rPr>
          <w:rFonts w:ascii="Arial" w:hAnsi="Arial" w:cs="Arial"/>
          <w:sz w:val="20"/>
        </w:rPr>
      </w:pPr>
      <w:r w:rsidRPr="008E1F7D">
        <w:rPr>
          <w:rFonts w:ascii="Arial" w:hAnsi="Arial" w:cs="Arial"/>
          <w:sz w:val="20"/>
        </w:rPr>
        <w:t>These Certification Specifications (CSs) are applicable to non-free flying manned tethered gas balloons that operate up to a maximum altitude of 500 m above the surface, and that derive their lift from non- flammable gas being lighter than air.</w:t>
      </w:r>
    </w:p>
    <w:p w14:paraId="738C3788" w14:textId="77777777" w:rsidR="008E1F7D" w:rsidRPr="008E1F7D" w:rsidRDefault="008E1F7D" w:rsidP="008E1F7D">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464" w:name="CS_31TGB.2_Definitions"/>
      <w:bookmarkStart w:id="1465" w:name="_bookmark598"/>
      <w:bookmarkStart w:id="1466" w:name="_Toc153137760"/>
      <w:bookmarkEnd w:id="1464"/>
      <w:bookmarkEnd w:id="1465"/>
      <w:r w:rsidRPr="008E1F7D">
        <w:rPr>
          <w:rFonts w:ascii="Arial" w:eastAsia="Times New Roman" w:hAnsi="Arial" w:cs="Times New Roman"/>
          <w:b/>
          <w:iCs/>
          <w:color w:val="FFFFFF"/>
          <w:sz w:val="24"/>
        </w:rPr>
        <w:t>CS 31TGB.2 Definitions</w:t>
      </w:r>
      <w:bookmarkEnd w:id="1466"/>
    </w:p>
    <w:p w14:paraId="653B6479" w14:textId="77777777" w:rsidR="008E1F7D" w:rsidRPr="008E1F7D" w:rsidRDefault="008E1F7D" w:rsidP="008E1F7D">
      <w:pPr>
        <w:pStyle w:val="BodyText"/>
        <w:spacing w:before="117" w:line="276" w:lineRule="auto"/>
        <w:ind w:right="26"/>
        <w:jc w:val="both"/>
        <w:rPr>
          <w:rFonts w:ascii="Arial" w:hAnsi="Arial" w:cs="Arial"/>
          <w:sz w:val="20"/>
        </w:rPr>
      </w:pPr>
      <w:r w:rsidRPr="008E1F7D">
        <w:rPr>
          <w:rFonts w:ascii="Arial" w:hAnsi="Arial" w:cs="Arial"/>
          <w:sz w:val="20"/>
        </w:rPr>
        <w:t>Definition of terms and principles used:</w:t>
      </w:r>
    </w:p>
    <w:p w14:paraId="328A70C4" w14:textId="77777777" w:rsidR="008E1F7D" w:rsidRPr="008E1F7D" w:rsidRDefault="008E1F7D" w:rsidP="005F6871">
      <w:pPr>
        <w:pStyle w:val="ListParagraph"/>
        <w:numPr>
          <w:ilvl w:val="0"/>
          <w:numId w:val="415"/>
        </w:numPr>
        <w:tabs>
          <w:tab w:val="left" w:pos="707"/>
        </w:tabs>
        <w:spacing w:before="117" w:line="276" w:lineRule="auto"/>
        <w:ind w:right="26"/>
        <w:jc w:val="both"/>
        <w:rPr>
          <w:rFonts w:ascii="Arial" w:hAnsi="Arial" w:cs="Arial"/>
          <w:sz w:val="20"/>
        </w:rPr>
      </w:pPr>
      <w:r w:rsidRPr="008E1F7D">
        <w:rPr>
          <w:rFonts w:ascii="Arial" w:hAnsi="Arial" w:cs="Arial"/>
          <w:sz w:val="20"/>
        </w:rPr>
        <w:t>A tethered gas balloon consists of a balloon system (envelope, suspension system and gondola) and a tether system that continuously anchors it during operation.</w:t>
      </w:r>
    </w:p>
    <w:p w14:paraId="0414DDE2" w14:textId="77777777" w:rsidR="008E1F7D" w:rsidRPr="008E1F7D" w:rsidRDefault="008E1F7D" w:rsidP="005F6871">
      <w:pPr>
        <w:pStyle w:val="ListParagraph"/>
        <w:numPr>
          <w:ilvl w:val="0"/>
          <w:numId w:val="415"/>
        </w:numPr>
        <w:tabs>
          <w:tab w:val="left" w:pos="707"/>
        </w:tabs>
        <w:spacing w:before="117" w:line="276" w:lineRule="auto"/>
        <w:ind w:right="26"/>
        <w:jc w:val="both"/>
        <w:rPr>
          <w:rFonts w:ascii="Arial" w:hAnsi="Arial" w:cs="Arial"/>
          <w:sz w:val="20"/>
        </w:rPr>
      </w:pPr>
      <w:r w:rsidRPr="008E1F7D">
        <w:rPr>
          <w:rFonts w:ascii="Arial" w:hAnsi="Arial" w:cs="Arial"/>
          <w:sz w:val="20"/>
        </w:rPr>
        <w:t>The tether system (winch, pulley, cable and swivel point) includes all components affected by forces resulting from tethering up to and including interface parts with the foundation or counterweight.</w:t>
      </w:r>
    </w:p>
    <w:p w14:paraId="2F90CFF0" w14:textId="77777777" w:rsidR="008E1F7D" w:rsidRPr="008E1F7D" w:rsidRDefault="008E1F7D" w:rsidP="005F6871">
      <w:pPr>
        <w:pStyle w:val="ListParagraph"/>
        <w:numPr>
          <w:ilvl w:val="0"/>
          <w:numId w:val="415"/>
        </w:numPr>
        <w:tabs>
          <w:tab w:val="left" w:pos="707"/>
        </w:tabs>
        <w:spacing w:before="117" w:line="276" w:lineRule="auto"/>
        <w:ind w:right="26"/>
        <w:jc w:val="both"/>
        <w:rPr>
          <w:rFonts w:ascii="Arial" w:hAnsi="Arial" w:cs="Arial"/>
          <w:sz w:val="20"/>
        </w:rPr>
      </w:pPr>
      <w:r w:rsidRPr="008E1F7D">
        <w:rPr>
          <w:rFonts w:ascii="Arial" w:hAnsi="Arial" w:cs="Arial"/>
          <w:sz w:val="20"/>
        </w:rPr>
        <w:t>The mooring system includes all components affected by forces resulting from the applicable types of mooring (e.g. high and/or low mooring).</w:t>
      </w:r>
    </w:p>
    <w:p w14:paraId="618603CD" w14:textId="77777777" w:rsidR="008E1F7D" w:rsidRPr="008E1F7D" w:rsidRDefault="008E1F7D" w:rsidP="005F6871">
      <w:pPr>
        <w:pStyle w:val="ListParagraph"/>
        <w:numPr>
          <w:ilvl w:val="0"/>
          <w:numId w:val="415"/>
        </w:numPr>
        <w:tabs>
          <w:tab w:val="left" w:pos="707"/>
        </w:tabs>
        <w:spacing w:before="117" w:line="276" w:lineRule="auto"/>
        <w:ind w:right="26"/>
        <w:jc w:val="both"/>
        <w:rPr>
          <w:rFonts w:ascii="Arial" w:hAnsi="Arial" w:cs="Arial"/>
          <w:sz w:val="20"/>
        </w:rPr>
      </w:pPr>
      <w:r w:rsidRPr="008E1F7D">
        <w:rPr>
          <w:rFonts w:ascii="Arial" w:hAnsi="Arial" w:cs="Arial"/>
          <w:sz w:val="20"/>
        </w:rPr>
        <w:t>The suspension system includes all components suspending the gondola to the envelope (if applicable including the net).</w:t>
      </w:r>
    </w:p>
    <w:p w14:paraId="6D4CB29A" w14:textId="77777777" w:rsidR="008E1F7D" w:rsidRPr="008E1F7D" w:rsidRDefault="008E1F7D" w:rsidP="005F6871">
      <w:pPr>
        <w:pStyle w:val="ListParagraph"/>
        <w:numPr>
          <w:ilvl w:val="0"/>
          <w:numId w:val="415"/>
        </w:numPr>
        <w:tabs>
          <w:tab w:val="left" w:pos="707"/>
        </w:tabs>
        <w:spacing w:before="117" w:line="276" w:lineRule="auto"/>
        <w:ind w:right="26"/>
        <w:jc w:val="both"/>
        <w:rPr>
          <w:rFonts w:ascii="Arial" w:hAnsi="Arial" w:cs="Arial"/>
          <w:sz w:val="20"/>
        </w:rPr>
      </w:pPr>
      <w:r w:rsidRPr="008E1F7D">
        <w:rPr>
          <w:rFonts w:ascii="Arial" w:hAnsi="Arial" w:cs="Arial"/>
          <w:sz w:val="20"/>
        </w:rPr>
        <w:t>A gondola is a basket or other device (e.g. container, trapeze, harness, seat or platform) suspended beneath the envelope to accommodates the balloon occupants.</w:t>
      </w:r>
    </w:p>
    <w:p w14:paraId="326CA3B3" w14:textId="77777777" w:rsidR="008E1F7D" w:rsidRPr="008E1F7D" w:rsidRDefault="008E1F7D" w:rsidP="005F6871">
      <w:pPr>
        <w:pStyle w:val="ListParagraph"/>
        <w:numPr>
          <w:ilvl w:val="0"/>
          <w:numId w:val="415"/>
        </w:numPr>
        <w:tabs>
          <w:tab w:val="left" w:pos="707"/>
        </w:tabs>
        <w:spacing w:before="117" w:line="276" w:lineRule="auto"/>
        <w:ind w:right="26"/>
        <w:jc w:val="both"/>
        <w:rPr>
          <w:rFonts w:ascii="Arial" w:hAnsi="Arial" w:cs="Arial"/>
          <w:sz w:val="20"/>
        </w:rPr>
      </w:pPr>
      <w:r w:rsidRPr="008E1F7D">
        <w:rPr>
          <w:rFonts w:ascii="Arial" w:hAnsi="Arial" w:cs="Arial"/>
          <w:sz w:val="20"/>
        </w:rPr>
        <w:t>The envelope contains the lifting gas.</w:t>
      </w:r>
    </w:p>
    <w:p w14:paraId="0CD0D748" w14:textId="77777777" w:rsidR="008E1F7D" w:rsidRPr="008E1F7D" w:rsidRDefault="008E1F7D" w:rsidP="005F6871">
      <w:pPr>
        <w:pStyle w:val="ListParagraph"/>
        <w:numPr>
          <w:ilvl w:val="0"/>
          <w:numId w:val="415"/>
        </w:numPr>
        <w:tabs>
          <w:tab w:val="left" w:pos="707"/>
        </w:tabs>
        <w:spacing w:before="117" w:line="276" w:lineRule="auto"/>
        <w:ind w:right="26"/>
        <w:jc w:val="both"/>
        <w:rPr>
          <w:rFonts w:ascii="Arial" w:hAnsi="Arial" w:cs="Arial"/>
          <w:sz w:val="20"/>
        </w:rPr>
      </w:pPr>
      <w:r w:rsidRPr="008E1F7D">
        <w:rPr>
          <w:rFonts w:ascii="Arial" w:hAnsi="Arial" w:cs="Arial"/>
          <w:sz w:val="20"/>
        </w:rPr>
        <w:t>The swivel point is the connection between the tether system and balloon system allowing rotation of the balloon independent from the tether cable.</w:t>
      </w:r>
    </w:p>
    <w:p w14:paraId="42DFA30C" w14:textId="77777777" w:rsidR="008E1F7D" w:rsidRPr="008E1F7D" w:rsidRDefault="008E1F7D" w:rsidP="005F6871">
      <w:pPr>
        <w:pStyle w:val="ListParagraph"/>
        <w:numPr>
          <w:ilvl w:val="0"/>
          <w:numId w:val="415"/>
        </w:numPr>
        <w:tabs>
          <w:tab w:val="left" w:pos="707"/>
        </w:tabs>
        <w:spacing w:before="117" w:line="276" w:lineRule="auto"/>
        <w:ind w:right="26"/>
        <w:jc w:val="both"/>
        <w:rPr>
          <w:rFonts w:ascii="Arial" w:hAnsi="Arial" w:cs="Arial"/>
          <w:sz w:val="20"/>
        </w:rPr>
      </w:pPr>
      <w:r w:rsidRPr="008E1F7D">
        <w:rPr>
          <w:rFonts w:ascii="Arial" w:hAnsi="Arial" w:cs="Arial"/>
          <w:sz w:val="20"/>
        </w:rPr>
        <w:t>Ascent/descent system is the part of the tether system raising and lowering the balloon.</w:t>
      </w:r>
    </w:p>
    <w:p w14:paraId="187EDE8D" w14:textId="77777777" w:rsidR="008E1F7D" w:rsidRPr="008E1F7D" w:rsidRDefault="008E1F7D" w:rsidP="005F6871">
      <w:pPr>
        <w:pStyle w:val="ListParagraph"/>
        <w:numPr>
          <w:ilvl w:val="0"/>
          <w:numId w:val="415"/>
        </w:numPr>
        <w:tabs>
          <w:tab w:val="left" w:pos="707"/>
        </w:tabs>
        <w:spacing w:before="117" w:line="276" w:lineRule="auto"/>
        <w:ind w:right="26"/>
        <w:jc w:val="both"/>
        <w:rPr>
          <w:rFonts w:ascii="Arial" w:hAnsi="Arial" w:cs="Arial"/>
          <w:sz w:val="20"/>
        </w:rPr>
      </w:pPr>
      <w:r w:rsidRPr="008E1F7D">
        <w:rPr>
          <w:rFonts w:ascii="Arial" w:hAnsi="Arial" w:cs="Arial"/>
          <w:sz w:val="20"/>
        </w:rPr>
        <w:t>The maximum lift is the sum of the maximum static lift from the lifting gas volume and the maximum dynamic lift, at sea level in International Standard Atmosphere conditions.</w:t>
      </w:r>
    </w:p>
    <w:p w14:paraId="562C7CDF" w14:textId="77777777" w:rsidR="008E1F7D" w:rsidRPr="008E1F7D" w:rsidRDefault="008E1F7D" w:rsidP="005F6871">
      <w:pPr>
        <w:pStyle w:val="ListParagraph"/>
        <w:numPr>
          <w:ilvl w:val="0"/>
          <w:numId w:val="415"/>
        </w:numPr>
        <w:tabs>
          <w:tab w:val="left" w:pos="707"/>
        </w:tabs>
        <w:spacing w:before="117" w:line="276" w:lineRule="auto"/>
        <w:ind w:right="26"/>
        <w:jc w:val="both"/>
        <w:rPr>
          <w:rFonts w:ascii="Arial" w:hAnsi="Arial" w:cs="Arial"/>
          <w:sz w:val="20"/>
        </w:rPr>
      </w:pPr>
      <w:r w:rsidRPr="008E1F7D">
        <w:rPr>
          <w:rFonts w:ascii="Arial" w:hAnsi="Arial" w:cs="Arial"/>
          <w:sz w:val="20"/>
        </w:rPr>
        <w:t>The maximum dynamic lift is the highest lift force at the chosen maximum operating wind condition at sea level in International Standard Atmosphere conditions.</w:t>
      </w:r>
    </w:p>
    <w:p w14:paraId="03BF52F4" w14:textId="77777777" w:rsidR="00375259" w:rsidRPr="00375259" w:rsidRDefault="00375259" w:rsidP="00375259">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467" w:name="AMC1_31TGB.2_Definitions"/>
      <w:bookmarkStart w:id="1468" w:name="_bookmark599"/>
      <w:bookmarkStart w:id="1469" w:name="_Toc153137761"/>
      <w:bookmarkEnd w:id="1467"/>
      <w:bookmarkEnd w:id="1468"/>
      <w:r w:rsidRPr="00375259">
        <w:rPr>
          <w:rFonts w:ascii="Arial" w:eastAsia="Times New Roman" w:hAnsi="Arial" w:cs="Times New Roman"/>
          <w:b/>
          <w:color w:val="FFFFFF"/>
          <w:sz w:val="24"/>
        </w:rPr>
        <w:t>AMC1 31TGB.2 Definitions</w:t>
      </w:r>
      <w:bookmarkEnd w:id="1469"/>
    </w:p>
    <w:p w14:paraId="5DDE093F" w14:textId="77777777" w:rsidR="00375259" w:rsidRPr="00375259" w:rsidRDefault="00375259" w:rsidP="00375259">
      <w:pPr>
        <w:pStyle w:val="BodyText"/>
        <w:spacing w:before="117" w:line="276" w:lineRule="auto"/>
        <w:ind w:right="26"/>
        <w:jc w:val="both"/>
        <w:rPr>
          <w:rFonts w:ascii="Arial" w:hAnsi="Arial" w:cs="Arial"/>
          <w:sz w:val="20"/>
        </w:rPr>
      </w:pPr>
      <w:r w:rsidRPr="00375259">
        <w:rPr>
          <w:rFonts w:ascii="Arial" w:hAnsi="Arial" w:cs="Arial"/>
          <w:sz w:val="20"/>
        </w:rPr>
        <w:t>The illustration below shows a typical example of the various systems, parts and forces of the tethered gas balloon in order to distinct their function as provided in the definitions.</w:t>
      </w:r>
    </w:p>
    <w:p w14:paraId="2A158EFA" w14:textId="77777777" w:rsidR="00375259" w:rsidRPr="00375259" w:rsidRDefault="00375259" w:rsidP="00375259">
      <w:pPr>
        <w:pStyle w:val="BodyText"/>
        <w:spacing w:before="117" w:line="276" w:lineRule="auto"/>
        <w:ind w:right="26"/>
        <w:jc w:val="both"/>
        <w:rPr>
          <w:rFonts w:ascii="Arial" w:hAnsi="Arial" w:cs="Arial"/>
          <w:i/>
          <w:sz w:val="20"/>
        </w:rPr>
      </w:pPr>
      <w:r w:rsidRPr="00375259">
        <w:rPr>
          <w:rFonts w:ascii="Arial" w:hAnsi="Arial" w:cs="Arial"/>
          <w:i/>
          <w:sz w:val="20"/>
        </w:rPr>
        <w:t>Note: Lift*Dynamic is disregarded for load cases of spherical envelope shapes.</w:t>
      </w:r>
    </w:p>
    <w:p w14:paraId="181AE58A" w14:textId="77777777" w:rsidR="008E1F7D" w:rsidRDefault="00375259" w:rsidP="00244239">
      <w:pPr>
        <w:pStyle w:val="BodyText"/>
        <w:spacing w:before="117" w:line="276" w:lineRule="auto"/>
        <w:ind w:right="26"/>
        <w:jc w:val="both"/>
      </w:pPr>
      <w:r>
        <w:rPr>
          <w:noProof/>
        </w:rPr>
        <w:lastRenderedPageBreak/>
        <w:drawing>
          <wp:inline distT="0" distB="0" distL="0" distR="0" wp14:anchorId="73F831B5" wp14:editId="1397F115">
            <wp:extent cx="5643245" cy="5316220"/>
            <wp:effectExtent l="0" t="0" r="0" b="0"/>
            <wp:docPr id="47" name="image8.jpeg"/>
            <wp:cNvGraphicFramePr/>
            <a:graphic xmlns:a="http://schemas.openxmlformats.org/drawingml/2006/main">
              <a:graphicData uri="http://schemas.openxmlformats.org/drawingml/2006/picture">
                <pic:pic xmlns:pic="http://schemas.openxmlformats.org/drawingml/2006/picture">
                  <pic:nvPicPr>
                    <pic:cNvPr id="47" name="image8.jpeg"/>
                    <pic:cNvPicPr/>
                  </pic:nvPicPr>
                  <pic:blipFill>
                    <a:blip r:embed="rId154" cstate="print"/>
                    <a:stretch>
                      <a:fillRect/>
                    </a:stretch>
                  </pic:blipFill>
                  <pic:spPr>
                    <a:xfrm>
                      <a:off x="0" y="0"/>
                      <a:ext cx="5643245" cy="5316220"/>
                    </a:xfrm>
                    <a:prstGeom prst="rect">
                      <a:avLst/>
                    </a:prstGeom>
                  </pic:spPr>
                </pic:pic>
              </a:graphicData>
            </a:graphic>
          </wp:inline>
        </w:drawing>
      </w:r>
    </w:p>
    <w:p w14:paraId="5AE49501" w14:textId="77777777" w:rsidR="00375259" w:rsidRDefault="00375259" w:rsidP="00244239">
      <w:pPr>
        <w:pStyle w:val="BodyText"/>
        <w:spacing w:before="117" w:line="276" w:lineRule="auto"/>
        <w:ind w:right="26"/>
        <w:jc w:val="both"/>
      </w:pPr>
    </w:p>
    <w:p w14:paraId="0E353835" w14:textId="77777777" w:rsidR="00375259" w:rsidRDefault="00375259" w:rsidP="00244239">
      <w:pPr>
        <w:pStyle w:val="BodyText"/>
        <w:spacing w:before="117" w:line="276" w:lineRule="auto"/>
        <w:ind w:right="26"/>
        <w:jc w:val="both"/>
      </w:pPr>
    </w:p>
    <w:p w14:paraId="2ABA11DC" w14:textId="77777777" w:rsidR="00375259" w:rsidRDefault="00375259" w:rsidP="00244239">
      <w:pPr>
        <w:pStyle w:val="BodyText"/>
        <w:spacing w:before="117" w:line="276" w:lineRule="auto"/>
        <w:ind w:right="26"/>
        <w:jc w:val="both"/>
      </w:pPr>
    </w:p>
    <w:p w14:paraId="3F4BFF23" w14:textId="77777777" w:rsidR="00375259" w:rsidRDefault="00375259" w:rsidP="00244239">
      <w:pPr>
        <w:pStyle w:val="BodyText"/>
        <w:spacing w:before="117" w:line="276" w:lineRule="auto"/>
        <w:ind w:right="26"/>
        <w:jc w:val="both"/>
      </w:pPr>
    </w:p>
    <w:p w14:paraId="6187AFDD" w14:textId="77777777" w:rsidR="00375259" w:rsidRDefault="00375259" w:rsidP="00244239">
      <w:pPr>
        <w:pStyle w:val="BodyText"/>
        <w:spacing w:before="117" w:line="276" w:lineRule="auto"/>
        <w:ind w:right="26"/>
        <w:jc w:val="both"/>
      </w:pPr>
    </w:p>
    <w:p w14:paraId="2D729C6F" w14:textId="77777777" w:rsidR="00375259" w:rsidRDefault="00375259" w:rsidP="00244239">
      <w:pPr>
        <w:pStyle w:val="BodyText"/>
        <w:spacing w:before="117" w:line="276" w:lineRule="auto"/>
        <w:ind w:right="26"/>
        <w:jc w:val="both"/>
      </w:pPr>
    </w:p>
    <w:p w14:paraId="20E81E6D" w14:textId="77777777" w:rsidR="00375259" w:rsidRDefault="00375259" w:rsidP="00244239">
      <w:pPr>
        <w:pStyle w:val="BodyText"/>
        <w:spacing w:before="117" w:line="276" w:lineRule="auto"/>
        <w:ind w:right="26"/>
        <w:jc w:val="both"/>
      </w:pPr>
    </w:p>
    <w:p w14:paraId="03E3F5BF" w14:textId="77777777" w:rsidR="00375259" w:rsidRDefault="00375259" w:rsidP="00244239">
      <w:pPr>
        <w:pStyle w:val="BodyText"/>
        <w:spacing w:before="117" w:line="276" w:lineRule="auto"/>
        <w:ind w:right="26"/>
        <w:jc w:val="both"/>
      </w:pPr>
    </w:p>
    <w:p w14:paraId="5B575210" w14:textId="77777777" w:rsidR="00375259" w:rsidRDefault="00375259" w:rsidP="00244239">
      <w:pPr>
        <w:pStyle w:val="BodyText"/>
        <w:spacing w:before="117" w:line="276" w:lineRule="auto"/>
        <w:ind w:right="26"/>
        <w:jc w:val="both"/>
      </w:pPr>
    </w:p>
    <w:p w14:paraId="3FF41A10" w14:textId="77777777" w:rsidR="00375259" w:rsidRDefault="00375259" w:rsidP="00244239">
      <w:pPr>
        <w:pStyle w:val="BodyText"/>
        <w:spacing w:before="117" w:line="276" w:lineRule="auto"/>
        <w:ind w:right="26"/>
        <w:jc w:val="both"/>
      </w:pPr>
    </w:p>
    <w:p w14:paraId="1298A105" w14:textId="77777777" w:rsidR="00375259" w:rsidRDefault="00375259" w:rsidP="00244239">
      <w:pPr>
        <w:pStyle w:val="BodyText"/>
        <w:spacing w:before="117" w:line="276" w:lineRule="auto"/>
        <w:ind w:right="26"/>
        <w:jc w:val="both"/>
      </w:pPr>
    </w:p>
    <w:p w14:paraId="0466020E" w14:textId="77777777" w:rsidR="00375259" w:rsidRDefault="00375259" w:rsidP="00244239">
      <w:pPr>
        <w:pStyle w:val="BodyText"/>
        <w:spacing w:before="117" w:line="276" w:lineRule="auto"/>
        <w:ind w:right="26"/>
        <w:jc w:val="both"/>
      </w:pPr>
    </w:p>
    <w:p w14:paraId="58698044" w14:textId="77777777" w:rsidR="00375259" w:rsidRDefault="00375259" w:rsidP="00244239">
      <w:pPr>
        <w:pStyle w:val="BodyText"/>
        <w:spacing w:before="117" w:line="276" w:lineRule="auto"/>
        <w:ind w:right="26"/>
        <w:jc w:val="both"/>
      </w:pPr>
    </w:p>
    <w:p w14:paraId="626A9ED9" w14:textId="77777777" w:rsidR="00375259" w:rsidRDefault="00375259" w:rsidP="00244239">
      <w:pPr>
        <w:pStyle w:val="BodyText"/>
        <w:spacing w:before="117" w:line="276" w:lineRule="auto"/>
        <w:ind w:right="26"/>
        <w:jc w:val="both"/>
      </w:pPr>
    </w:p>
    <w:p w14:paraId="2F5CC51F" w14:textId="77777777" w:rsidR="00375259" w:rsidRDefault="00375259" w:rsidP="00244239">
      <w:pPr>
        <w:pStyle w:val="BodyText"/>
        <w:spacing w:before="117" w:line="276" w:lineRule="auto"/>
        <w:ind w:right="26"/>
        <w:jc w:val="both"/>
      </w:pPr>
    </w:p>
    <w:p w14:paraId="15030B62" w14:textId="77777777" w:rsidR="00A37C89" w:rsidRPr="00A37C89" w:rsidRDefault="00A37C89" w:rsidP="00A37C89">
      <w:pPr>
        <w:keepNext/>
        <w:keepLines/>
        <w:widowControl/>
        <w:autoSpaceDE/>
        <w:autoSpaceDN/>
        <w:spacing w:before="40" w:line="259" w:lineRule="auto"/>
        <w:jc w:val="center"/>
        <w:outlineLvl w:val="2"/>
        <w:rPr>
          <w:rFonts w:ascii="Arial" w:eastAsiaTheme="majorEastAsia" w:hAnsi="Arial" w:cs="Arial"/>
          <w:b/>
          <w:color w:val="00B0F0"/>
          <w:sz w:val="24"/>
          <w:szCs w:val="24"/>
        </w:rPr>
      </w:pPr>
      <w:bookmarkStart w:id="1470" w:name="_Toc153137762"/>
      <w:r w:rsidRPr="00A37C89">
        <w:rPr>
          <w:rFonts w:ascii="Arial" w:eastAsiaTheme="majorEastAsia" w:hAnsi="Arial" w:cs="Arial"/>
          <w:b/>
          <w:color w:val="00B0F0"/>
          <w:sz w:val="24"/>
          <w:szCs w:val="24"/>
        </w:rPr>
        <w:lastRenderedPageBreak/>
        <w:t>SUBPART B — FLIGHT</w:t>
      </w:r>
      <w:bookmarkEnd w:id="1470"/>
    </w:p>
    <w:p w14:paraId="30D86F44" w14:textId="77777777" w:rsidR="00A37C89" w:rsidRPr="00A37C89" w:rsidRDefault="00A37C89" w:rsidP="00A37C89">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471" w:name="CS_31TGB.12_Proof_of_compliance"/>
      <w:bookmarkStart w:id="1472" w:name="_bookmark601"/>
      <w:bookmarkStart w:id="1473" w:name="_Toc153137763"/>
      <w:bookmarkEnd w:id="1471"/>
      <w:bookmarkEnd w:id="1472"/>
      <w:r w:rsidRPr="00A37C89">
        <w:rPr>
          <w:rFonts w:ascii="Arial" w:eastAsia="Times New Roman" w:hAnsi="Arial" w:cs="Times New Roman"/>
          <w:b/>
          <w:iCs/>
          <w:color w:val="FFFFFF"/>
          <w:sz w:val="24"/>
        </w:rPr>
        <w:t>CS 31TGB.12 Proof of compliance</w:t>
      </w:r>
      <w:bookmarkEnd w:id="1473"/>
    </w:p>
    <w:p w14:paraId="7A31542C" w14:textId="77777777" w:rsidR="00A37C89" w:rsidRPr="00A37C89" w:rsidRDefault="00A37C89" w:rsidP="00A37C89">
      <w:pPr>
        <w:pStyle w:val="BodyText"/>
        <w:spacing w:before="117" w:line="276" w:lineRule="auto"/>
        <w:ind w:right="26"/>
        <w:jc w:val="both"/>
        <w:rPr>
          <w:rFonts w:ascii="Arial" w:hAnsi="Arial" w:cs="Arial"/>
          <w:sz w:val="20"/>
        </w:rPr>
      </w:pPr>
      <w:r w:rsidRPr="00A37C89">
        <w:rPr>
          <w:rFonts w:ascii="Arial" w:hAnsi="Arial" w:cs="Arial"/>
          <w:sz w:val="20"/>
        </w:rPr>
        <w:t>Each requirement of this Subpart is met at each mass and lift combination within the operating conditions for which certification is requested. This is shown by:</w:t>
      </w:r>
    </w:p>
    <w:p w14:paraId="51771F55" w14:textId="77777777" w:rsidR="00A37C89" w:rsidRPr="00A37C89" w:rsidRDefault="00A37C89" w:rsidP="005F6871">
      <w:pPr>
        <w:pStyle w:val="ListParagraph"/>
        <w:numPr>
          <w:ilvl w:val="0"/>
          <w:numId w:val="416"/>
        </w:numPr>
        <w:tabs>
          <w:tab w:val="left" w:pos="707"/>
        </w:tabs>
        <w:spacing w:before="117" w:line="276" w:lineRule="auto"/>
        <w:ind w:right="26"/>
        <w:jc w:val="both"/>
        <w:rPr>
          <w:rFonts w:ascii="Arial" w:hAnsi="Arial" w:cs="Arial"/>
          <w:sz w:val="20"/>
        </w:rPr>
      </w:pPr>
      <w:r w:rsidRPr="00A37C89">
        <w:rPr>
          <w:rFonts w:ascii="Arial" w:hAnsi="Arial" w:cs="Arial"/>
          <w:sz w:val="20"/>
        </w:rPr>
        <w:t>Tests upon a balloon of the type for which certification is requested or by calculations based on, and equal in accuracy to, the results of testing; and</w:t>
      </w:r>
    </w:p>
    <w:p w14:paraId="61F9E9C0" w14:textId="77777777" w:rsidR="00A37C89" w:rsidRPr="00A37C89" w:rsidRDefault="00A37C89" w:rsidP="005F6871">
      <w:pPr>
        <w:pStyle w:val="ListParagraph"/>
        <w:numPr>
          <w:ilvl w:val="0"/>
          <w:numId w:val="416"/>
        </w:numPr>
        <w:tabs>
          <w:tab w:val="left" w:pos="707"/>
        </w:tabs>
        <w:spacing w:before="117" w:line="276" w:lineRule="auto"/>
        <w:ind w:right="26"/>
        <w:jc w:val="both"/>
        <w:rPr>
          <w:rFonts w:ascii="Arial" w:hAnsi="Arial" w:cs="Arial"/>
          <w:sz w:val="20"/>
        </w:rPr>
      </w:pPr>
      <w:r w:rsidRPr="00A37C89">
        <w:rPr>
          <w:rFonts w:ascii="Arial" w:hAnsi="Arial" w:cs="Arial"/>
          <w:sz w:val="20"/>
        </w:rPr>
        <w:t>Systematic investigation of each mass and lift combination if compliance cannot be reasonably inferred from the masses investigated.</w:t>
      </w:r>
    </w:p>
    <w:p w14:paraId="4B895DD7" w14:textId="77777777" w:rsidR="009F288C" w:rsidRPr="009F288C" w:rsidRDefault="009F288C" w:rsidP="009F288C">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474" w:name="CS_31TGB.14_Mass_limits"/>
      <w:bookmarkStart w:id="1475" w:name="_bookmark602"/>
      <w:bookmarkStart w:id="1476" w:name="_Toc153137764"/>
      <w:bookmarkEnd w:id="1474"/>
      <w:bookmarkEnd w:id="1475"/>
      <w:r w:rsidRPr="009F288C">
        <w:rPr>
          <w:rFonts w:ascii="Arial" w:eastAsia="Times New Roman" w:hAnsi="Arial" w:cs="Times New Roman"/>
          <w:b/>
          <w:iCs/>
          <w:color w:val="FFFFFF"/>
          <w:sz w:val="24"/>
        </w:rPr>
        <w:t>CS 31TGB.14 Mass limits</w:t>
      </w:r>
      <w:bookmarkEnd w:id="1476"/>
    </w:p>
    <w:p w14:paraId="6FE1DAF1" w14:textId="77777777" w:rsidR="009F288C" w:rsidRPr="009F288C" w:rsidRDefault="009F288C" w:rsidP="009F288C">
      <w:pPr>
        <w:pStyle w:val="BodyText"/>
        <w:spacing w:before="117" w:line="276" w:lineRule="auto"/>
        <w:ind w:right="26"/>
        <w:jc w:val="both"/>
        <w:rPr>
          <w:rFonts w:ascii="Arial" w:hAnsi="Arial" w:cs="Arial"/>
          <w:sz w:val="20"/>
        </w:rPr>
      </w:pPr>
      <w:r w:rsidRPr="009F288C">
        <w:rPr>
          <w:rFonts w:ascii="Arial" w:hAnsi="Arial" w:cs="Arial"/>
          <w:sz w:val="20"/>
        </w:rPr>
        <w:t>The range of masses over which the balloon may be safely operated is established and at least consists of:</w:t>
      </w:r>
    </w:p>
    <w:p w14:paraId="46994796" w14:textId="77777777" w:rsidR="009F288C" w:rsidRPr="009F288C" w:rsidRDefault="009F288C" w:rsidP="005F6871">
      <w:pPr>
        <w:pStyle w:val="ListParagraph"/>
        <w:numPr>
          <w:ilvl w:val="0"/>
          <w:numId w:val="418"/>
        </w:numPr>
        <w:tabs>
          <w:tab w:val="left" w:pos="707"/>
        </w:tabs>
        <w:spacing w:before="117" w:line="276" w:lineRule="auto"/>
        <w:ind w:right="26"/>
        <w:jc w:val="both"/>
        <w:rPr>
          <w:rFonts w:ascii="Arial" w:hAnsi="Arial" w:cs="Arial"/>
          <w:sz w:val="20"/>
        </w:rPr>
      </w:pPr>
      <w:r w:rsidRPr="009F288C">
        <w:rPr>
          <w:rFonts w:ascii="Arial" w:hAnsi="Arial" w:cs="Arial"/>
          <w:sz w:val="20"/>
        </w:rPr>
        <w:t>Maximum mass.</w:t>
      </w:r>
    </w:p>
    <w:p w14:paraId="015C1F09" w14:textId="77777777" w:rsidR="009F288C" w:rsidRPr="009F288C" w:rsidRDefault="009F288C" w:rsidP="009F288C">
      <w:pPr>
        <w:pStyle w:val="BodyText"/>
        <w:ind w:left="706" w:right="178"/>
        <w:rPr>
          <w:rFonts w:ascii="Arial" w:hAnsi="Arial" w:cs="Arial"/>
          <w:sz w:val="20"/>
        </w:rPr>
      </w:pPr>
      <w:r w:rsidRPr="009F288C">
        <w:rPr>
          <w:rFonts w:ascii="Arial" w:hAnsi="Arial" w:cs="Arial"/>
          <w:sz w:val="20"/>
        </w:rPr>
        <w:t>The maximum mass is the highest mass at which compliance with each applicable requirement</w:t>
      </w:r>
      <w:r w:rsidRPr="009F288C">
        <w:rPr>
          <w:rFonts w:ascii="Arial" w:hAnsi="Arial" w:cs="Arial"/>
          <w:spacing w:val="-47"/>
          <w:sz w:val="20"/>
        </w:rPr>
        <w:t xml:space="preserve"> </w:t>
      </w:r>
      <w:r w:rsidRPr="009F288C">
        <w:rPr>
          <w:rFonts w:ascii="Arial" w:hAnsi="Arial" w:cs="Arial"/>
          <w:sz w:val="20"/>
        </w:rPr>
        <w:t>of</w:t>
      </w:r>
      <w:r w:rsidRPr="009F288C">
        <w:rPr>
          <w:rFonts w:ascii="Arial" w:hAnsi="Arial" w:cs="Arial"/>
          <w:spacing w:val="-6"/>
          <w:sz w:val="20"/>
        </w:rPr>
        <w:t xml:space="preserve"> </w:t>
      </w:r>
      <w:r w:rsidRPr="009F288C">
        <w:rPr>
          <w:rFonts w:ascii="Arial" w:hAnsi="Arial" w:cs="Arial"/>
          <w:sz w:val="20"/>
        </w:rPr>
        <w:t>CS-31TGB</w:t>
      </w:r>
      <w:r w:rsidRPr="009F288C">
        <w:rPr>
          <w:rFonts w:ascii="Arial" w:hAnsi="Arial" w:cs="Arial"/>
          <w:spacing w:val="-8"/>
          <w:sz w:val="20"/>
        </w:rPr>
        <w:t xml:space="preserve"> </w:t>
      </w:r>
      <w:r w:rsidRPr="009F288C">
        <w:rPr>
          <w:rFonts w:ascii="Arial" w:hAnsi="Arial" w:cs="Arial"/>
          <w:sz w:val="20"/>
        </w:rPr>
        <w:t>is</w:t>
      </w:r>
      <w:r w:rsidRPr="009F288C">
        <w:rPr>
          <w:rFonts w:ascii="Arial" w:hAnsi="Arial" w:cs="Arial"/>
          <w:spacing w:val="-5"/>
          <w:sz w:val="20"/>
        </w:rPr>
        <w:t xml:space="preserve"> </w:t>
      </w:r>
      <w:r w:rsidRPr="009F288C">
        <w:rPr>
          <w:rFonts w:ascii="Arial" w:hAnsi="Arial" w:cs="Arial"/>
          <w:sz w:val="20"/>
        </w:rPr>
        <w:t>shown.</w:t>
      </w:r>
      <w:r w:rsidRPr="009F288C">
        <w:rPr>
          <w:rFonts w:ascii="Arial" w:hAnsi="Arial" w:cs="Arial"/>
          <w:spacing w:val="-9"/>
          <w:sz w:val="20"/>
        </w:rPr>
        <w:t xml:space="preserve"> </w:t>
      </w:r>
      <w:r w:rsidRPr="009F288C">
        <w:rPr>
          <w:rFonts w:ascii="Arial" w:hAnsi="Arial" w:cs="Arial"/>
          <w:sz w:val="20"/>
        </w:rPr>
        <w:t>The</w:t>
      </w:r>
      <w:r w:rsidRPr="009F288C">
        <w:rPr>
          <w:rFonts w:ascii="Arial" w:hAnsi="Arial" w:cs="Arial"/>
          <w:spacing w:val="-9"/>
          <w:sz w:val="20"/>
        </w:rPr>
        <w:t xml:space="preserve"> </w:t>
      </w:r>
      <w:r w:rsidRPr="009F288C">
        <w:rPr>
          <w:rFonts w:ascii="Arial" w:hAnsi="Arial" w:cs="Arial"/>
          <w:sz w:val="20"/>
        </w:rPr>
        <w:t>maximum</w:t>
      </w:r>
      <w:r w:rsidRPr="009F288C">
        <w:rPr>
          <w:rFonts w:ascii="Arial" w:hAnsi="Arial" w:cs="Arial"/>
          <w:spacing w:val="-9"/>
          <w:sz w:val="20"/>
        </w:rPr>
        <w:t xml:space="preserve"> </w:t>
      </w:r>
      <w:r w:rsidRPr="009F288C">
        <w:rPr>
          <w:rFonts w:ascii="Arial" w:hAnsi="Arial" w:cs="Arial"/>
          <w:sz w:val="20"/>
        </w:rPr>
        <w:t>mass</w:t>
      </w:r>
      <w:r w:rsidRPr="009F288C">
        <w:rPr>
          <w:rFonts w:ascii="Arial" w:hAnsi="Arial" w:cs="Arial"/>
          <w:spacing w:val="-7"/>
          <w:sz w:val="20"/>
        </w:rPr>
        <w:t xml:space="preserve"> </w:t>
      </w:r>
      <w:r w:rsidRPr="009F288C">
        <w:rPr>
          <w:rFonts w:ascii="Arial" w:hAnsi="Arial" w:cs="Arial"/>
          <w:sz w:val="20"/>
        </w:rPr>
        <w:t>is</w:t>
      </w:r>
      <w:r w:rsidRPr="009F288C">
        <w:rPr>
          <w:rFonts w:ascii="Arial" w:hAnsi="Arial" w:cs="Arial"/>
          <w:spacing w:val="-8"/>
          <w:sz w:val="20"/>
        </w:rPr>
        <w:t xml:space="preserve"> </w:t>
      </w:r>
      <w:r w:rsidRPr="009F288C">
        <w:rPr>
          <w:rFonts w:ascii="Arial" w:hAnsi="Arial" w:cs="Arial"/>
          <w:sz w:val="20"/>
        </w:rPr>
        <w:t>established</w:t>
      </w:r>
      <w:r w:rsidRPr="009F288C">
        <w:rPr>
          <w:rFonts w:ascii="Arial" w:hAnsi="Arial" w:cs="Arial"/>
          <w:spacing w:val="-5"/>
          <w:sz w:val="20"/>
        </w:rPr>
        <w:t xml:space="preserve"> </w:t>
      </w:r>
      <w:r w:rsidRPr="009F288C">
        <w:rPr>
          <w:rFonts w:ascii="Arial" w:hAnsi="Arial" w:cs="Arial"/>
          <w:sz w:val="20"/>
        </w:rPr>
        <w:t>so</w:t>
      </w:r>
      <w:r w:rsidRPr="009F288C">
        <w:rPr>
          <w:rFonts w:ascii="Arial" w:hAnsi="Arial" w:cs="Arial"/>
          <w:spacing w:val="-7"/>
          <w:sz w:val="20"/>
        </w:rPr>
        <w:t xml:space="preserve"> </w:t>
      </w:r>
      <w:r w:rsidRPr="009F288C">
        <w:rPr>
          <w:rFonts w:ascii="Arial" w:hAnsi="Arial" w:cs="Arial"/>
          <w:sz w:val="20"/>
        </w:rPr>
        <w:t>that</w:t>
      </w:r>
      <w:r w:rsidRPr="009F288C">
        <w:rPr>
          <w:rFonts w:ascii="Arial" w:hAnsi="Arial" w:cs="Arial"/>
          <w:spacing w:val="-5"/>
          <w:sz w:val="20"/>
        </w:rPr>
        <w:t xml:space="preserve"> </w:t>
      </w:r>
      <w:r w:rsidRPr="009F288C">
        <w:rPr>
          <w:rFonts w:ascii="Arial" w:hAnsi="Arial" w:cs="Arial"/>
          <w:sz w:val="20"/>
        </w:rPr>
        <w:t>it</w:t>
      </w:r>
      <w:r w:rsidRPr="009F288C">
        <w:rPr>
          <w:rFonts w:ascii="Arial" w:hAnsi="Arial" w:cs="Arial"/>
          <w:spacing w:val="-5"/>
          <w:sz w:val="20"/>
        </w:rPr>
        <w:t xml:space="preserve"> </w:t>
      </w:r>
      <w:r w:rsidRPr="009F288C">
        <w:rPr>
          <w:rFonts w:ascii="Arial" w:hAnsi="Arial" w:cs="Arial"/>
          <w:sz w:val="20"/>
        </w:rPr>
        <w:t>is</w:t>
      </w:r>
      <w:r w:rsidRPr="009F288C">
        <w:rPr>
          <w:rFonts w:ascii="Arial" w:hAnsi="Arial" w:cs="Arial"/>
          <w:spacing w:val="-7"/>
          <w:sz w:val="20"/>
        </w:rPr>
        <w:t xml:space="preserve"> </w:t>
      </w:r>
      <w:r w:rsidRPr="009F288C">
        <w:rPr>
          <w:rFonts w:ascii="Arial" w:hAnsi="Arial" w:cs="Arial"/>
          <w:sz w:val="20"/>
        </w:rPr>
        <w:t>not</w:t>
      </w:r>
      <w:r w:rsidRPr="009F288C">
        <w:rPr>
          <w:rFonts w:ascii="Arial" w:hAnsi="Arial" w:cs="Arial"/>
          <w:spacing w:val="-7"/>
          <w:sz w:val="20"/>
        </w:rPr>
        <w:t xml:space="preserve"> </w:t>
      </w:r>
      <w:r w:rsidRPr="009F288C">
        <w:rPr>
          <w:rFonts w:ascii="Arial" w:hAnsi="Arial" w:cs="Arial"/>
          <w:sz w:val="20"/>
        </w:rPr>
        <w:t>more</w:t>
      </w:r>
      <w:r w:rsidRPr="009F288C">
        <w:rPr>
          <w:rFonts w:ascii="Arial" w:hAnsi="Arial" w:cs="Arial"/>
          <w:spacing w:val="-8"/>
          <w:sz w:val="20"/>
        </w:rPr>
        <w:t xml:space="preserve"> </w:t>
      </w:r>
      <w:r w:rsidRPr="009F288C">
        <w:rPr>
          <w:rFonts w:ascii="Arial" w:hAnsi="Arial" w:cs="Arial"/>
          <w:sz w:val="20"/>
        </w:rPr>
        <w:t>than</w:t>
      </w:r>
      <w:r w:rsidRPr="009F288C">
        <w:rPr>
          <w:rFonts w:ascii="Arial" w:hAnsi="Arial" w:cs="Arial"/>
          <w:spacing w:val="-5"/>
          <w:sz w:val="20"/>
        </w:rPr>
        <w:t xml:space="preserve"> </w:t>
      </w:r>
      <w:r w:rsidRPr="009F288C">
        <w:rPr>
          <w:rFonts w:ascii="Arial" w:hAnsi="Arial" w:cs="Arial"/>
          <w:sz w:val="20"/>
        </w:rPr>
        <w:t>the</w:t>
      </w:r>
      <w:r w:rsidRPr="009F288C">
        <w:rPr>
          <w:rFonts w:ascii="Arial" w:hAnsi="Arial" w:cs="Arial"/>
          <w:spacing w:val="-8"/>
          <w:sz w:val="20"/>
        </w:rPr>
        <w:t xml:space="preserve"> </w:t>
      </w:r>
      <w:r w:rsidRPr="009F288C">
        <w:rPr>
          <w:rFonts w:ascii="Arial" w:hAnsi="Arial" w:cs="Arial"/>
          <w:sz w:val="20"/>
        </w:rPr>
        <w:t>least</w:t>
      </w:r>
      <w:r w:rsidRPr="009F288C">
        <w:rPr>
          <w:rFonts w:ascii="Arial" w:hAnsi="Arial" w:cs="Arial"/>
          <w:spacing w:val="-9"/>
          <w:sz w:val="20"/>
        </w:rPr>
        <w:t xml:space="preserve"> </w:t>
      </w:r>
      <w:r w:rsidRPr="009F288C">
        <w:rPr>
          <w:rFonts w:ascii="Arial" w:hAnsi="Arial" w:cs="Arial"/>
          <w:sz w:val="20"/>
        </w:rPr>
        <w:t>of:</w:t>
      </w:r>
    </w:p>
    <w:p w14:paraId="461F5211" w14:textId="77777777" w:rsidR="009F288C" w:rsidRPr="009F288C" w:rsidRDefault="009F288C" w:rsidP="005F6871">
      <w:pPr>
        <w:pStyle w:val="ListParagraph"/>
        <w:numPr>
          <w:ilvl w:val="0"/>
          <w:numId w:val="417"/>
        </w:numPr>
        <w:tabs>
          <w:tab w:val="left" w:pos="1274"/>
          <w:tab w:val="left" w:pos="8910"/>
        </w:tabs>
        <w:spacing w:before="118" w:line="276" w:lineRule="auto"/>
        <w:ind w:right="26"/>
        <w:jc w:val="both"/>
        <w:rPr>
          <w:rFonts w:ascii="Arial" w:hAnsi="Arial" w:cs="Arial"/>
          <w:sz w:val="20"/>
        </w:rPr>
      </w:pPr>
      <w:r w:rsidRPr="009F288C">
        <w:rPr>
          <w:rFonts w:ascii="Arial" w:hAnsi="Arial" w:cs="Arial"/>
          <w:sz w:val="20"/>
        </w:rPr>
        <w:t>the maximum mass selected for the product; or</w:t>
      </w:r>
    </w:p>
    <w:p w14:paraId="3A9C400D" w14:textId="77777777" w:rsidR="009F288C" w:rsidRPr="009F288C" w:rsidRDefault="009F288C" w:rsidP="005F6871">
      <w:pPr>
        <w:pStyle w:val="ListParagraph"/>
        <w:numPr>
          <w:ilvl w:val="0"/>
          <w:numId w:val="417"/>
        </w:numPr>
        <w:tabs>
          <w:tab w:val="left" w:pos="1274"/>
          <w:tab w:val="left" w:pos="8910"/>
        </w:tabs>
        <w:spacing w:before="118" w:line="276" w:lineRule="auto"/>
        <w:ind w:right="26"/>
        <w:jc w:val="both"/>
        <w:rPr>
          <w:rFonts w:ascii="Arial" w:hAnsi="Arial" w:cs="Arial"/>
          <w:sz w:val="20"/>
        </w:rPr>
      </w:pPr>
      <w:r w:rsidRPr="009F288C">
        <w:rPr>
          <w:rFonts w:ascii="Arial" w:hAnsi="Arial" w:cs="Arial"/>
          <w:sz w:val="20"/>
        </w:rPr>
        <w:t>the design maximum mass, which is the highest mass at which each structural loading condition is shown.</w:t>
      </w:r>
    </w:p>
    <w:p w14:paraId="17520AEB" w14:textId="77777777" w:rsidR="009F288C" w:rsidRPr="009F288C" w:rsidRDefault="009F288C" w:rsidP="005F6871">
      <w:pPr>
        <w:pStyle w:val="ListParagraph"/>
        <w:numPr>
          <w:ilvl w:val="0"/>
          <w:numId w:val="418"/>
        </w:numPr>
        <w:tabs>
          <w:tab w:val="left" w:pos="707"/>
        </w:tabs>
        <w:spacing w:before="117" w:line="276" w:lineRule="auto"/>
        <w:ind w:right="26"/>
        <w:jc w:val="both"/>
        <w:rPr>
          <w:rFonts w:ascii="Arial" w:hAnsi="Arial" w:cs="Arial"/>
          <w:sz w:val="20"/>
        </w:rPr>
      </w:pPr>
      <w:r w:rsidRPr="009F288C">
        <w:rPr>
          <w:rFonts w:ascii="Arial" w:hAnsi="Arial" w:cs="Arial"/>
          <w:sz w:val="20"/>
        </w:rPr>
        <w:t>Minimum mass:</w:t>
      </w:r>
    </w:p>
    <w:p w14:paraId="417984D4" w14:textId="77777777" w:rsidR="009F288C" w:rsidRPr="009F288C" w:rsidRDefault="009F288C" w:rsidP="009F288C">
      <w:pPr>
        <w:pStyle w:val="BodyText"/>
        <w:spacing w:before="121"/>
        <w:ind w:left="706"/>
        <w:rPr>
          <w:rFonts w:ascii="Arial" w:hAnsi="Arial" w:cs="Arial"/>
          <w:sz w:val="20"/>
        </w:rPr>
      </w:pPr>
      <w:r w:rsidRPr="009F288C">
        <w:rPr>
          <w:rFonts w:ascii="Arial" w:hAnsi="Arial" w:cs="Arial"/>
          <w:sz w:val="20"/>
        </w:rPr>
        <w:t>The</w:t>
      </w:r>
      <w:r w:rsidRPr="009F288C">
        <w:rPr>
          <w:rFonts w:ascii="Arial" w:hAnsi="Arial" w:cs="Arial"/>
          <w:spacing w:val="5"/>
          <w:sz w:val="20"/>
        </w:rPr>
        <w:t xml:space="preserve"> </w:t>
      </w:r>
      <w:r w:rsidRPr="009F288C">
        <w:rPr>
          <w:rFonts w:ascii="Arial" w:hAnsi="Arial" w:cs="Arial"/>
          <w:sz w:val="20"/>
        </w:rPr>
        <w:t>minimum</w:t>
      </w:r>
      <w:r w:rsidRPr="009F288C">
        <w:rPr>
          <w:rFonts w:ascii="Arial" w:hAnsi="Arial" w:cs="Arial"/>
          <w:spacing w:val="4"/>
          <w:sz w:val="20"/>
        </w:rPr>
        <w:t xml:space="preserve"> </w:t>
      </w:r>
      <w:r w:rsidRPr="009F288C">
        <w:rPr>
          <w:rFonts w:ascii="Arial" w:hAnsi="Arial" w:cs="Arial"/>
          <w:sz w:val="20"/>
        </w:rPr>
        <w:t>mass</w:t>
      </w:r>
      <w:r w:rsidRPr="009F288C">
        <w:rPr>
          <w:rFonts w:ascii="Arial" w:hAnsi="Arial" w:cs="Arial"/>
          <w:spacing w:val="5"/>
          <w:sz w:val="20"/>
        </w:rPr>
        <w:t xml:space="preserve"> </w:t>
      </w:r>
      <w:r w:rsidRPr="009F288C">
        <w:rPr>
          <w:rFonts w:ascii="Arial" w:hAnsi="Arial" w:cs="Arial"/>
          <w:sz w:val="20"/>
        </w:rPr>
        <w:t>is</w:t>
      </w:r>
      <w:r w:rsidRPr="009F288C">
        <w:rPr>
          <w:rFonts w:ascii="Arial" w:hAnsi="Arial" w:cs="Arial"/>
          <w:spacing w:val="5"/>
          <w:sz w:val="20"/>
        </w:rPr>
        <w:t xml:space="preserve"> </w:t>
      </w:r>
      <w:r w:rsidRPr="009F288C">
        <w:rPr>
          <w:rFonts w:ascii="Arial" w:hAnsi="Arial" w:cs="Arial"/>
          <w:sz w:val="20"/>
        </w:rPr>
        <w:t>the</w:t>
      </w:r>
      <w:r w:rsidRPr="009F288C">
        <w:rPr>
          <w:rFonts w:ascii="Arial" w:hAnsi="Arial" w:cs="Arial"/>
          <w:spacing w:val="6"/>
          <w:sz w:val="20"/>
        </w:rPr>
        <w:t xml:space="preserve"> </w:t>
      </w:r>
      <w:r w:rsidRPr="009F288C">
        <w:rPr>
          <w:rFonts w:ascii="Arial" w:hAnsi="Arial" w:cs="Arial"/>
          <w:sz w:val="20"/>
        </w:rPr>
        <w:t>lowest</w:t>
      </w:r>
      <w:r w:rsidRPr="009F288C">
        <w:rPr>
          <w:rFonts w:ascii="Arial" w:hAnsi="Arial" w:cs="Arial"/>
          <w:spacing w:val="4"/>
          <w:sz w:val="20"/>
        </w:rPr>
        <w:t xml:space="preserve"> </w:t>
      </w:r>
      <w:r w:rsidRPr="009F288C">
        <w:rPr>
          <w:rFonts w:ascii="Arial" w:hAnsi="Arial" w:cs="Arial"/>
          <w:sz w:val="20"/>
        </w:rPr>
        <w:t>mass</w:t>
      </w:r>
      <w:r w:rsidRPr="009F288C">
        <w:rPr>
          <w:rFonts w:ascii="Arial" w:hAnsi="Arial" w:cs="Arial"/>
          <w:spacing w:val="5"/>
          <w:sz w:val="20"/>
        </w:rPr>
        <w:t xml:space="preserve"> </w:t>
      </w:r>
      <w:r w:rsidRPr="009F288C">
        <w:rPr>
          <w:rFonts w:ascii="Arial" w:hAnsi="Arial" w:cs="Arial"/>
          <w:sz w:val="20"/>
        </w:rPr>
        <w:t>at</w:t>
      </w:r>
      <w:r w:rsidRPr="009F288C">
        <w:rPr>
          <w:rFonts w:ascii="Arial" w:hAnsi="Arial" w:cs="Arial"/>
          <w:spacing w:val="3"/>
          <w:sz w:val="20"/>
        </w:rPr>
        <w:t xml:space="preserve"> </w:t>
      </w:r>
      <w:r w:rsidRPr="009F288C">
        <w:rPr>
          <w:rFonts w:ascii="Arial" w:hAnsi="Arial" w:cs="Arial"/>
          <w:sz w:val="20"/>
        </w:rPr>
        <w:t>which</w:t>
      </w:r>
      <w:r w:rsidRPr="009F288C">
        <w:rPr>
          <w:rFonts w:ascii="Arial" w:hAnsi="Arial" w:cs="Arial"/>
          <w:spacing w:val="4"/>
          <w:sz w:val="20"/>
        </w:rPr>
        <w:t xml:space="preserve"> </w:t>
      </w:r>
      <w:r w:rsidRPr="009F288C">
        <w:rPr>
          <w:rFonts w:ascii="Arial" w:hAnsi="Arial" w:cs="Arial"/>
          <w:sz w:val="20"/>
        </w:rPr>
        <w:t>compliance</w:t>
      </w:r>
      <w:r w:rsidRPr="009F288C">
        <w:rPr>
          <w:rFonts w:ascii="Arial" w:hAnsi="Arial" w:cs="Arial"/>
          <w:spacing w:val="6"/>
          <w:sz w:val="20"/>
        </w:rPr>
        <w:t xml:space="preserve"> </w:t>
      </w:r>
      <w:r w:rsidRPr="009F288C">
        <w:rPr>
          <w:rFonts w:ascii="Arial" w:hAnsi="Arial" w:cs="Arial"/>
          <w:sz w:val="20"/>
        </w:rPr>
        <w:t>with</w:t>
      </w:r>
      <w:r w:rsidRPr="009F288C">
        <w:rPr>
          <w:rFonts w:ascii="Arial" w:hAnsi="Arial" w:cs="Arial"/>
          <w:spacing w:val="5"/>
          <w:sz w:val="20"/>
        </w:rPr>
        <w:t xml:space="preserve"> </w:t>
      </w:r>
      <w:r w:rsidRPr="009F288C">
        <w:rPr>
          <w:rFonts w:ascii="Arial" w:hAnsi="Arial" w:cs="Arial"/>
          <w:sz w:val="20"/>
        </w:rPr>
        <w:t>the</w:t>
      </w:r>
      <w:r w:rsidRPr="009F288C">
        <w:rPr>
          <w:rFonts w:ascii="Arial" w:hAnsi="Arial" w:cs="Arial"/>
          <w:spacing w:val="6"/>
          <w:sz w:val="20"/>
        </w:rPr>
        <w:t xml:space="preserve"> </w:t>
      </w:r>
      <w:r w:rsidRPr="009F288C">
        <w:rPr>
          <w:rFonts w:ascii="Arial" w:hAnsi="Arial" w:cs="Arial"/>
          <w:sz w:val="20"/>
        </w:rPr>
        <w:t>structural</w:t>
      </w:r>
      <w:r w:rsidRPr="009F288C">
        <w:rPr>
          <w:rFonts w:ascii="Arial" w:hAnsi="Arial" w:cs="Arial"/>
          <w:spacing w:val="5"/>
          <w:sz w:val="20"/>
        </w:rPr>
        <w:t xml:space="preserve"> </w:t>
      </w:r>
      <w:r w:rsidRPr="009F288C">
        <w:rPr>
          <w:rFonts w:ascii="Arial" w:hAnsi="Arial" w:cs="Arial"/>
          <w:sz w:val="20"/>
        </w:rPr>
        <w:t>loading</w:t>
      </w:r>
      <w:r w:rsidRPr="009F288C">
        <w:rPr>
          <w:rFonts w:ascii="Arial" w:hAnsi="Arial" w:cs="Arial"/>
          <w:spacing w:val="-47"/>
          <w:sz w:val="20"/>
        </w:rPr>
        <w:t xml:space="preserve"> </w:t>
      </w:r>
      <w:r w:rsidRPr="009F288C">
        <w:rPr>
          <w:rFonts w:ascii="Arial" w:hAnsi="Arial" w:cs="Arial"/>
          <w:sz w:val="20"/>
        </w:rPr>
        <w:t>requirement</w:t>
      </w:r>
      <w:r w:rsidRPr="009F288C">
        <w:rPr>
          <w:rFonts w:ascii="Arial" w:hAnsi="Arial" w:cs="Arial"/>
          <w:spacing w:val="-1"/>
          <w:sz w:val="20"/>
        </w:rPr>
        <w:t xml:space="preserve"> </w:t>
      </w:r>
      <w:r w:rsidRPr="009F288C">
        <w:rPr>
          <w:rFonts w:ascii="Arial" w:hAnsi="Arial" w:cs="Arial"/>
          <w:sz w:val="20"/>
        </w:rPr>
        <w:t>is</w:t>
      </w:r>
      <w:r w:rsidRPr="009F288C">
        <w:rPr>
          <w:rFonts w:ascii="Arial" w:hAnsi="Arial" w:cs="Arial"/>
          <w:spacing w:val="-2"/>
          <w:sz w:val="20"/>
        </w:rPr>
        <w:t xml:space="preserve"> </w:t>
      </w:r>
      <w:r w:rsidRPr="009F288C">
        <w:rPr>
          <w:rFonts w:ascii="Arial" w:hAnsi="Arial" w:cs="Arial"/>
          <w:sz w:val="20"/>
        </w:rPr>
        <w:t>shown for</w:t>
      </w:r>
      <w:r w:rsidRPr="009F288C">
        <w:rPr>
          <w:rFonts w:ascii="Arial" w:hAnsi="Arial" w:cs="Arial"/>
          <w:spacing w:val="-3"/>
          <w:sz w:val="20"/>
        </w:rPr>
        <w:t xml:space="preserve"> </w:t>
      </w:r>
      <w:r w:rsidRPr="009F288C">
        <w:rPr>
          <w:rFonts w:ascii="Arial" w:hAnsi="Arial" w:cs="Arial"/>
          <w:sz w:val="20"/>
        </w:rPr>
        <w:t>the</w:t>
      </w:r>
      <w:r w:rsidRPr="009F288C">
        <w:rPr>
          <w:rFonts w:ascii="Arial" w:hAnsi="Arial" w:cs="Arial"/>
          <w:spacing w:val="1"/>
          <w:sz w:val="20"/>
        </w:rPr>
        <w:t xml:space="preserve"> </w:t>
      </w:r>
      <w:r w:rsidRPr="009F288C">
        <w:rPr>
          <w:rFonts w:ascii="Arial" w:hAnsi="Arial" w:cs="Arial"/>
          <w:sz w:val="20"/>
        </w:rPr>
        <w:t>tether system.</w:t>
      </w:r>
    </w:p>
    <w:p w14:paraId="6DE9A057" w14:textId="77777777" w:rsidR="009F288C" w:rsidRPr="009F288C" w:rsidRDefault="009F288C" w:rsidP="005F6871">
      <w:pPr>
        <w:pStyle w:val="ListParagraph"/>
        <w:numPr>
          <w:ilvl w:val="0"/>
          <w:numId w:val="418"/>
        </w:numPr>
        <w:tabs>
          <w:tab w:val="left" w:pos="707"/>
        </w:tabs>
        <w:spacing w:before="117" w:line="276" w:lineRule="auto"/>
        <w:ind w:right="26"/>
        <w:jc w:val="both"/>
        <w:rPr>
          <w:rFonts w:ascii="Arial" w:hAnsi="Arial" w:cs="Arial"/>
          <w:sz w:val="20"/>
          <w:szCs w:val="20"/>
        </w:rPr>
      </w:pPr>
      <w:r w:rsidRPr="009F288C">
        <w:rPr>
          <w:rFonts w:ascii="Arial" w:hAnsi="Arial" w:cs="Arial"/>
          <w:sz w:val="20"/>
          <w:szCs w:val="20"/>
        </w:rPr>
        <w:t>Mass limitation information related to safe operation of the balloon are included in the Flight Manual. (See CS 31TGB.81(b)(2))</w:t>
      </w:r>
    </w:p>
    <w:p w14:paraId="36B915F4" w14:textId="77777777" w:rsidR="003847D3" w:rsidRPr="003847D3" w:rsidRDefault="003847D3" w:rsidP="003847D3">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477" w:name="AMC1_31TGB.14_Mass_limits"/>
      <w:bookmarkStart w:id="1478" w:name="_bookmark603"/>
      <w:bookmarkStart w:id="1479" w:name="_Toc153137765"/>
      <w:bookmarkEnd w:id="1477"/>
      <w:bookmarkEnd w:id="1478"/>
      <w:r w:rsidRPr="003847D3">
        <w:rPr>
          <w:rFonts w:ascii="Arial" w:eastAsia="Times New Roman" w:hAnsi="Arial" w:cs="Times New Roman"/>
          <w:b/>
          <w:color w:val="FFFFFF"/>
          <w:sz w:val="24"/>
        </w:rPr>
        <w:t>AMC1 31TGB.14 Mass limits</w:t>
      </w:r>
      <w:bookmarkEnd w:id="1479"/>
    </w:p>
    <w:p w14:paraId="758BFE4A" w14:textId="77777777" w:rsidR="003847D3" w:rsidRPr="003847D3" w:rsidRDefault="003847D3" w:rsidP="003847D3">
      <w:pPr>
        <w:pStyle w:val="BodyText"/>
        <w:spacing w:before="0"/>
        <w:rPr>
          <w:rFonts w:ascii="Arial" w:hAnsi="Arial" w:cs="Arial"/>
          <w:sz w:val="20"/>
        </w:rPr>
      </w:pPr>
      <w:r w:rsidRPr="003847D3">
        <w:rPr>
          <w:rFonts w:ascii="Arial" w:hAnsi="Arial" w:cs="Arial"/>
          <w:sz w:val="20"/>
          <w:u w:val="single"/>
        </w:rPr>
        <w:t>Maximum</w:t>
      </w:r>
      <w:r w:rsidRPr="003847D3">
        <w:rPr>
          <w:rFonts w:ascii="Arial" w:hAnsi="Arial" w:cs="Arial"/>
          <w:spacing w:val="-4"/>
          <w:sz w:val="20"/>
          <w:u w:val="single"/>
        </w:rPr>
        <w:t xml:space="preserve"> </w:t>
      </w:r>
      <w:r w:rsidRPr="003847D3">
        <w:rPr>
          <w:rFonts w:ascii="Arial" w:hAnsi="Arial" w:cs="Arial"/>
          <w:sz w:val="20"/>
          <w:u w:val="single"/>
        </w:rPr>
        <w:t>mass</w:t>
      </w:r>
    </w:p>
    <w:p w14:paraId="16A7561F" w14:textId="77777777" w:rsidR="003847D3" w:rsidRPr="003847D3" w:rsidRDefault="003847D3" w:rsidP="003847D3">
      <w:pPr>
        <w:pStyle w:val="BodyText"/>
        <w:spacing w:before="117" w:line="276" w:lineRule="auto"/>
        <w:ind w:right="26"/>
        <w:jc w:val="both"/>
        <w:rPr>
          <w:rFonts w:ascii="Arial" w:hAnsi="Arial" w:cs="Arial"/>
          <w:sz w:val="20"/>
        </w:rPr>
      </w:pPr>
      <w:r w:rsidRPr="003847D3">
        <w:rPr>
          <w:rFonts w:ascii="Arial" w:hAnsi="Arial" w:cs="Arial"/>
          <w:sz w:val="20"/>
        </w:rPr>
        <w:t>The maximum mass results in a weight force that is equal or lower to the maximum static lift force. The lift-producing medium is not part of the maximum mass.</w:t>
      </w:r>
    </w:p>
    <w:p w14:paraId="2C9F92D8" w14:textId="77777777" w:rsidR="003847D3" w:rsidRPr="003847D3" w:rsidRDefault="003847D3" w:rsidP="003847D3">
      <w:pPr>
        <w:pStyle w:val="BodyText"/>
        <w:spacing w:before="117" w:line="276" w:lineRule="auto"/>
        <w:ind w:right="26"/>
        <w:jc w:val="both"/>
        <w:rPr>
          <w:rFonts w:ascii="Arial" w:hAnsi="Arial" w:cs="Arial"/>
          <w:sz w:val="20"/>
        </w:rPr>
      </w:pPr>
      <w:r w:rsidRPr="003847D3">
        <w:rPr>
          <w:rFonts w:ascii="Arial" w:hAnsi="Arial" w:cs="Arial"/>
          <w:sz w:val="20"/>
        </w:rPr>
        <w:t>For each structural loading case the maximum mass is established. The maximum mass consists of the balloon and the length of the tether cable, which weight force acts upon the balloon in the specific load case.</w:t>
      </w:r>
    </w:p>
    <w:p w14:paraId="00D12910" w14:textId="77777777" w:rsidR="003847D3" w:rsidRPr="003847D3" w:rsidRDefault="003847D3" w:rsidP="003847D3">
      <w:pPr>
        <w:pStyle w:val="BodyText"/>
        <w:spacing w:before="117" w:line="276" w:lineRule="auto"/>
        <w:ind w:right="26"/>
        <w:jc w:val="both"/>
        <w:rPr>
          <w:rFonts w:ascii="Arial" w:hAnsi="Arial" w:cs="Arial"/>
          <w:sz w:val="20"/>
        </w:rPr>
      </w:pPr>
      <w:r w:rsidRPr="003847D3">
        <w:rPr>
          <w:rFonts w:ascii="Arial" w:hAnsi="Arial" w:cs="Arial"/>
          <w:sz w:val="20"/>
        </w:rPr>
        <w:t>The maximum design mass of the product is the least of the maximum masses established for the load cases or a lower maximum mass if so selected by the applicant.</w:t>
      </w:r>
    </w:p>
    <w:p w14:paraId="7320EDF3" w14:textId="77777777" w:rsidR="003847D3" w:rsidRPr="003847D3" w:rsidRDefault="003847D3" w:rsidP="003847D3">
      <w:pPr>
        <w:pStyle w:val="BodyText"/>
        <w:spacing w:before="57"/>
        <w:rPr>
          <w:rFonts w:ascii="Arial" w:hAnsi="Arial" w:cs="Arial"/>
          <w:sz w:val="20"/>
        </w:rPr>
      </w:pPr>
      <w:r w:rsidRPr="003847D3">
        <w:rPr>
          <w:rFonts w:ascii="Arial" w:hAnsi="Arial" w:cs="Arial"/>
          <w:sz w:val="20"/>
          <w:u w:val="single"/>
        </w:rPr>
        <w:t>Minimum</w:t>
      </w:r>
      <w:r w:rsidRPr="003847D3">
        <w:rPr>
          <w:rFonts w:ascii="Arial" w:hAnsi="Arial" w:cs="Arial"/>
          <w:spacing w:val="-2"/>
          <w:sz w:val="20"/>
          <w:u w:val="single"/>
        </w:rPr>
        <w:t xml:space="preserve"> </w:t>
      </w:r>
      <w:r w:rsidRPr="003847D3">
        <w:rPr>
          <w:rFonts w:ascii="Arial" w:hAnsi="Arial" w:cs="Arial"/>
          <w:sz w:val="20"/>
          <w:u w:val="single"/>
        </w:rPr>
        <w:t>mass</w:t>
      </w:r>
    </w:p>
    <w:p w14:paraId="51558AC0" w14:textId="77777777" w:rsidR="003847D3" w:rsidRPr="003847D3" w:rsidRDefault="003847D3" w:rsidP="003847D3">
      <w:pPr>
        <w:pStyle w:val="BodyText"/>
        <w:spacing w:before="117" w:line="276" w:lineRule="auto"/>
        <w:ind w:right="26"/>
        <w:jc w:val="both"/>
        <w:rPr>
          <w:rFonts w:ascii="Arial" w:hAnsi="Arial" w:cs="Arial"/>
          <w:sz w:val="20"/>
        </w:rPr>
      </w:pPr>
      <w:r w:rsidRPr="003847D3">
        <w:rPr>
          <w:rFonts w:ascii="Arial" w:hAnsi="Arial" w:cs="Arial"/>
          <w:sz w:val="20"/>
        </w:rPr>
        <w:t>The minimum mass is the mass that results in the highest loading in the tether system under the following conditions for which compliance to the structural requirements is shown:</w:t>
      </w:r>
    </w:p>
    <w:p w14:paraId="59B8B659" w14:textId="77777777" w:rsidR="003847D3" w:rsidRPr="003847D3" w:rsidRDefault="003847D3" w:rsidP="005F6871">
      <w:pPr>
        <w:pStyle w:val="ListParagraph"/>
        <w:numPr>
          <w:ilvl w:val="0"/>
          <w:numId w:val="419"/>
        </w:numPr>
        <w:tabs>
          <w:tab w:val="left" w:pos="707"/>
        </w:tabs>
        <w:spacing w:before="121"/>
        <w:ind w:left="566"/>
        <w:rPr>
          <w:rFonts w:ascii="Arial" w:hAnsi="Arial" w:cs="Arial"/>
          <w:sz w:val="20"/>
        </w:rPr>
      </w:pPr>
      <w:r w:rsidRPr="003847D3">
        <w:rPr>
          <w:rFonts w:ascii="Arial" w:hAnsi="Arial" w:cs="Arial"/>
          <w:sz w:val="20"/>
        </w:rPr>
        <w:t>Maximum</w:t>
      </w:r>
      <w:r w:rsidRPr="003847D3">
        <w:rPr>
          <w:rFonts w:ascii="Arial" w:hAnsi="Arial" w:cs="Arial"/>
          <w:spacing w:val="-4"/>
          <w:sz w:val="20"/>
        </w:rPr>
        <w:t xml:space="preserve"> </w:t>
      </w:r>
      <w:r w:rsidRPr="003847D3">
        <w:rPr>
          <w:rFonts w:ascii="Arial" w:hAnsi="Arial" w:cs="Arial"/>
          <w:sz w:val="20"/>
        </w:rPr>
        <w:t>deceleration</w:t>
      </w:r>
      <w:r w:rsidRPr="003847D3">
        <w:rPr>
          <w:rFonts w:ascii="Arial" w:hAnsi="Arial" w:cs="Arial"/>
          <w:spacing w:val="-3"/>
          <w:sz w:val="20"/>
        </w:rPr>
        <w:t xml:space="preserve"> </w:t>
      </w:r>
      <w:r w:rsidRPr="003847D3">
        <w:rPr>
          <w:rFonts w:ascii="Arial" w:hAnsi="Arial" w:cs="Arial"/>
          <w:sz w:val="20"/>
        </w:rPr>
        <w:t>during</w:t>
      </w:r>
      <w:r w:rsidRPr="003847D3">
        <w:rPr>
          <w:rFonts w:ascii="Arial" w:hAnsi="Arial" w:cs="Arial"/>
          <w:spacing w:val="-2"/>
          <w:sz w:val="20"/>
        </w:rPr>
        <w:t xml:space="preserve"> </w:t>
      </w:r>
      <w:r w:rsidRPr="003847D3">
        <w:rPr>
          <w:rFonts w:ascii="Arial" w:hAnsi="Arial" w:cs="Arial"/>
          <w:sz w:val="20"/>
        </w:rPr>
        <w:t>ascent</w:t>
      </w:r>
    </w:p>
    <w:p w14:paraId="1E3862EE" w14:textId="77777777" w:rsidR="003847D3" w:rsidRPr="003847D3" w:rsidRDefault="003847D3" w:rsidP="005F6871">
      <w:pPr>
        <w:pStyle w:val="ListParagraph"/>
        <w:numPr>
          <w:ilvl w:val="0"/>
          <w:numId w:val="419"/>
        </w:numPr>
        <w:tabs>
          <w:tab w:val="left" w:pos="707"/>
        </w:tabs>
        <w:spacing w:before="121"/>
        <w:ind w:left="566"/>
        <w:rPr>
          <w:rFonts w:ascii="Arial" w:hAnsi="Arial" w:cs="Arial"/>
          <w:sz w:val="20"/>
        </w:rPr>
      </w:pPr>
      <w:r w:rsidRPr="003847D3">
        <w:rPr>
          <w:rFonts w:ascii="Arial" w:hAnsi="Arial" w:cs="Arial"/>
          <w:sz w:val="20"/>
        </w:rPr>
        <w:t>Maximum</w:t>
      </w:r>
      <w:r w:rsidRPr="003847D3">
        <w:rPr>
          <w:rFonts w:ascii="Arial" w:hAnsi="Arial" w:cs="Arial"/>
          <w:spacing w:val="-4"/>
          <w:sz w:val="20"/>
        </w:rPr>
        <w:t xml:space="preserve"> </w:t>
      </w:r>
      <w:r w:rsidRPr="003847D3">
        <w:rPr>
          <w:rFonts w:ascii="Arial" w:hAnsi="Arial" w:cs="Arial"/>
          <w:sz w:val="20"/>
        </w:rPr>
        <w:t>static</w:t>
      </w:r>
      <w:r w:rsidRPr="003847D3">
        <w:rPr>
          <w:rFonts w:ascii="Arial" w:hAnsi="Arial" w:cs="Arial"/>
          <w:spacing w:val="-1"/>
          <w:sz w:val="20"/>
        </w:rPr>
        <w:t xml:space="preserve"> </w:t>
      </w:r>
      <w:r w:rsidRPr="003847D3">
        <w:rPr>
          <w:rFonts w:ascii="Arial" w:hAnsi="Arial" w:cs="Arial"/>
          <w:sz w:val="20"/>
        </w:rPr>
        <w:t>lift</w:t>
      </w:r>
    </w:p>
    <w:p w14:paraId="7437FBD5" w14:textId="77777777" w:rsidR="003847D3" w:rsidRPr="003847D3" w:rsidRDefault="003847D3" w:rsidP="005F6871">
      <w:pPr>
        <w:pStyle w:val="ListParagraph"/>
        <w:numPr>
          <w:ilvl w:val="0"/>
          <w:numId w:val="419"/>
        </w:numPr>
        <w:tabs>
          <w:tab w:val="left" w:pos="707"/>
        </w:tabs>
        <w:ind w:left="566"/>
        <w:rPr>
          <w:rFonts w:ascii="Arial" w:hAnsi="Arial" w:cs="Arial"/>
          <w:sz w:val="20"/>
        </w:rPr>
      </w:pPr>
      <w:r w:rsidRPr="003847D3">
        <w:rPr>
          <w:rFonts w:ascii="Arial" w:hAnsi="Arial" w:cs="Arial"/>
          <w:sz w:val="20"/>
        </w:rPr>
        <w:t>Maximal</w:t>
      </w:r>
      <w:r w:rsidRPr="003847D3">
        <w:rPr>
          <w:rFonts w:ascii="Arial" w:hAnsi="Arial" w:cs="Arial"/>
          <w:spacing w:val="-1"/>
          <w:sz w:val="20"/>
        </w:rPr>
        <w:t xml:space="preserve"> </w:t>
      </w:r>
      <w:r w:rsidRPr="003847D3">
        <w:rPr>
          <w:rFonts w:ascii="Arial" w:hAnsi="Arial" w:cs="Arial"/>
          <w:sz w:val="20"/>
        </w:rPr>
        <w:t>permissible</w:t>
      </w:r>
      <w:r w:rsidRPr="003847D3">
        <w:rPr>
          <w:rFonts w:ascii="Arial" w:hAnsi="Arial" w:cs="Arial"/>
          <w:spacing w:val="-4"/>
          <w:sz w:val="20"/>
        </w:rPr>
        <w:t xml:space="preserve"> </w:t>
      </w:r>
      <w:r w:rsidRPr="003847D3">
        <w:rPr>
          <w:rFonts w:ascii="Arial" w:hAnsi="Arial" w:cs="Arial"/>
          <w:sz w:val="20"/>
        </w:rPr>
        <w:t>wind</w:t>
      </w:r>
      <w:r w:rsidRPr="003847D3">
        <w:rPr>
          <w:rFonts w:ascii="Arial" w:hAnsi="Arial" w:cs="Arial"/>
          <w:spacing w:val="-3"/>
          <w:sz w:val="20"/>
        </w:rPr>
        <w:t xml:space="preserve"> </w:t>
      </w:r>
      <w:r w:rsidRPr="003847D3">
        <w:rPr>
          <w:rFonts w:ascii="Arial" w:hAnsi="Arial" w:cs="Arial"/>
          <w:sz w:val="20"/>
        </w:rPr>
        <w:t>speed</w:t>
      </w:r>
      <w:r w:rsidRPr="003847D3">
        <w:rPr>
          <w:rFonts w:ascii="Arial" w:hAnsi="Arial" w:cs="Arial"/>
          <w:spacing w:val="-4"/>
          <w:sz w:val="20"/>
        </w:rPr>
        <w:t xml:space="preserve"> </w:t>
      </w:r>
      <w:r w:rsidRPr="003847D3">
        <w:rPr>
          <w:rFonts w:ascii="Arial" w:hAnsi="Arial" w:cs="Arial"/>
          <w:sz w:val="20"/>
        </w:rPr>
        <w:t>of</w:t>
      </w:r>
      <w:r w:rsidRPr="003847D3">
        <w:rPr>
          <w:rFonts w:ascii="Arial" w:hAnsi="Arial" w:cs="Arial"/>
          <w:spacing w:val="-1"/>
          <w:sz w:val="20"/>
        </w:rPr>
        <w:t xml:space="preserve"> </w:t>
      </w:r>
      <w:r w:rsidRPr="003847D3">
        <w:rPr>
          <w:rFonts w:ascii="Arial" w:hAnsi="Arial" w:cs="Arial"/>
          <w:sz w:val="20"/>
        </w:rPr>
        <w:t>operation</w:t>
      </w:r>
    </w:p>
    <w:p w14:paraId="22C4FD23" w14:textId="77777777" w:rsidR="003847D3" w:rsidRPr="003847D3" w:rsidRDefault="003847D3" w:rsidP="003847D3">
      <w:pPr>
        <w:pStyle w:val="BodyText"/>
        <w:spacing w:before="117" w:line="276" w:lineRule="auto"/>
        <w:ind w:right="26"/>
        <w:jc w:val="both"/>
        <w:rPr>
          <w:rFonts w:ascii="Arial" w:hAnsi="Arial" w:cs="Arial"/>
          <w:sz w:val="20"/>
        </w:rPr>
      </w:pPr>
      <w:r w:rsidRPr="003847D3">
        <w:rPr>
          <w:rFonts w:ascii="Arial" w:hAnsi="Arial" w:cs="Arial"/>
          <w:sz w:val="20"/>
        </w:rPr>
        <w:t>Since the mass increases with the extension of the tether cable, the critical case for the minimum mass is reached at the beginning of the ascent.</w:t>
      </w:r>
    </w:p>
    <w:p w14:paraId="1B4E9D93" w14:textId="6A79260F" w:rsidR="00B91AFE" w:rsidRPr="00647294" w:rsidRDefault="003847D3" w:rsidP="00244239">
      <w:pPr>
        <w:pStyle w:val="BodyText"/>
        <w:spacing w:before="117" w:line="276" w:lineRule="auto"/>
        <w:ind w:right="26"/>
        <w:jc w:val="both"/>
        <w:rPr>
          <w:rFonts w:ascii="Arial" w:hAnsi="Arial" w:cs="Arial"/>
          <w:sz w:val="20"/>
        </w:rPr>
      </w:pPr>
      <w:r w:rsidRPr="003847D3">
        <w:rPr>
          <w:rFonts w:ascii="Arial" w:hAnsi="Arial" w:cs="Arial"/>
          <w:sz w:val="20"/>
        </w:rPr>
        <w:t>Mass limitations and information, e.g. pay load are established from the maximum and minimum masses and provided in the Flight Manual.</w:t>
      </w:r>
    </w:p>
    <w:p w14:paraId="31FFDCC1" w14:textId="77777777" w:rsidR="00B91AFE" w:rsidRPr="00B91AFE" w:rsidRDefault="00B91AFE" w:rsidP="00B91AFE">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480" w:name="CS_31TGB.20_Controllability"/>
      <w:bookmarkStart w:id="1481" w:name="_bookmark604"/>
      <w:bookmarkStart w:id="1482" w:name="_Toc153137766"/>
      <w:bookmarkEnd w:id="1480"/>
      <w:bookmarkEnd w:id="1481"/>
      <w:r w:rsidRPr="00B91AFE">
        <w:rPr>
          <w:rFonts w:ascii="Arial" w:eastAsia="Times New Roman" w:hAnsi="Arial" w:cs="Times New Roman"/>
          <w:b/>
          <w:iCs/>
          <w:color w:val="FFFFFF"/>
          <w:sz w:val="24"/>
        </w:rPr>
        <w:lastRenderedPageBreak/>
        <w:t>CS 31TGB.20 Controllability</w:t>
      </w:r>
      <w:bookmarkEnd w:id="1482"/>
    </w:p>
    <w:p w14:paraId="3FC4B579" w14:textId="77777777" w:rsidR="00B91AFE" w:rsidRPr="00B91AFE" w:rsidRDefault="00B91AFE" w:rsidP="005F6871">
      <w:pPr>
        <w:pStyle w:val="ListParagraph"/>
        <w:numPr>
          <w:ilvl w:val="0"/>
          <w:numId w:val="420"/>
        </w:numPr>
        <w:tabs>
          <w:tab w:val="left" w:pos="707"/>
        </w:tabs>
        <w:spacing w:before="117" w:line="276" w:lineRule="auto"/>
        <w:ind w:right="26"/>
        <w:jc w:val="both"/>
        <w:rPr>
          <w:rFonts w:ascii="Arial" w:hAnsi="Arial" w:cs="Arial"/>
          <w:sz w:val="20"/>
        </w:rPr>
      </w:pPr>
      <w:r w:rsidRPr="00B91AFE">
        <w:rPr>
          <w:rFonts w:ascii="Arial" w:hAnsi="Arial" w:cs="Arial"/>
          <w:sz w:val="20"/>
        </w:rPr>
        <w:t>The balloon is safely controllable and manoeuvrable without requiring exceptional skill. Associated operational limitations are established and included in the Flight Manual. (See CS 31TGB.81(b)(2))</w:t>
      </w:r>
    </w:p>
    <w:p w14:paraId="7872C93B" w14:textId="77777777" w:rsidR="00B91AFE" w:rsidRPr="00B91AFE" w:rsidRDefault="00B91AFE" w:rsidP="005F6871">
      <w:pPr>
        <w:pStyle w:val="ListParagraph"/>
        <w:numPr>
          <w:ilvl w:val="0"/>
          <w:numId w:val="420"/>
        </w:numPr>
        <w:tabs>
          <w:tab w:val="left" w:pos="707"/>
        </w:tabs>
        <w:spacing w:before="117" w:line="276" w:lineRule="auto"/>
        <w:ind w:right="26"/>
        <w:jc w:val="both"/>
        <w:rPr>
          <w:rFonts w:ascii="Arial" w:hAnsi="Arial" w:cs="Arial"/>
          <w:sz w:val="20"/>
        </w:rPr>
      </w:pPr>
      <w:r w:rsidRPr="00B91AFE">
        <w:rPr>
          <w:rFonts w:ascii="Arial" w:hAnsi="Arial" w:cs="Arial"/>
          <w:sz w:val="20"/>
        </w:rPr>
        <w:t>The continuing controllability of the balloon or other mitigations are provided to give each occupant every reasonable chance of escaping serious injury in the following emergency conditions:</w:t>
      </w:r>
    </w:p>
    <w:p w14:paraId="669EDA50" w14:textId="77777777" w:rsidR="00B91AFE" w:rsidRPr="00B91AFE" w:rsidRDefault="00B91AFE" w:rsidP="005F6871">
      <w:pPr>
        <w:pStyle w:val="ListParagraph"/>
        <w:numPr>
          <w:ilvl w:val="0"/>
          <w:numId w:val="421"/>
        </w:numPr>
        <w:tabs>
          <w:tab w:val="left" w:pos="1274"/>
          <w:tab w:val="left" w:pos="8910"/>
        </w:tabs>
        <w:spacing w:before="118" w:line="276" w:lineRule="auto"/>
        <w:ind w:right="26"/>
        <w:jc w:val="both"/>
        <w:rPr>
          <w:rFonts w:ascii="Arial" w:hAnsi="Arial" w:cs="Arial"/>
          <w:sz w:val="20"/>
        </w:rPr>
      </w:pPr>
      <w:r w:rsidRPr="00B91AFE">
        <w:rPr>
          <w:rFonts w:ascii="Arial" w:hAnsi="Arial" w:cs="Arial"/>
          <w:sz w:val="20"/>
        </w:rPr>
        <w:t>Potential or unintended free flight.</w:t>
      </w:r>
    </w:p>
    <w:p w14:paraId="772A0EE5" w14:textId="77777777" w:rsidR="00B91AFE" w:rsidRPr="00B91AFE" w:rsidRDefault="00B91AFE" w:rsidP="005F6871">
      <w:pPr>
        <w:pStyle w:val="ListParagraph"/>
        <w:numPr>
          <w:ilvl w:val="0"/>
          <w:numId w:val="421"/>
        </w:numPr>
        <w:tabs>
          <w:tab w:val="left" w:pos="1274"/>
          <w:tab w:val="left" w:pos="8910"/>
        </w:tabs>
        <w:spacing w:before="118" w:line="276" w:lineRule="auto"/>
        <w:ind w:right="26"/>
        <w:jc w:val="both"/>
        <w:rPr>
          <w:rFonts w:ascii="Arial" w:hAnsi="Arial" w:cs="Arial"/>
          <w:sz w:val="20"/>
        </w:rPr>
      </w:pPr>
      <w:r w:rsidRPr="00B91AFE">
        <w:rPr>
          <w:rFonts w:ascii="Arial" w:hAnsi="Arial" w:cs="Arial"/>
          <w:sz w:val="20"/>
        </w:rPr>
        <w:t>Terminating operation in wind conditions exceeding the operating limitations by 50 %.</w:t>
      </w:r>
    </w:p>
    <w:p w14:paraId="238A4D3F" w14:textId="77777777" w:rsidR="00B91AFE" w:rsidRPr="00B91AFE" w:rsidRDefault="00B91AFE" w:rsidP="005F6871">
      <w:pPr>
        <w:pStyle w:val="ListParagraph"/>
        <w:numPr>
          <w:ilvl w:val="0"/>
          <w:numId w:val="421"/>
        </w:numPr>
        <w:tabs>
          <w:tab w:val="left" w:pos="1274"/>
          <w:tab w:val="left" w:pos="8910"/>
        </w:tabs>
        <w:spacing w:before="118" w:line="276" w:lineRule="auto"/>
        <w:ind w:right="26"/>
        <w:jc w:val="both"/>
        <w:rPr>
          <w:rFonts w:ascii="Arial" w:hAnsi="Arial" w:cs="Arial"/>
          <w:sz w:val="20"/>
        </w:rPr>
      </w:pPr>
      <w:r w:rsidRPr="00B91AFE">
        <w:rPr>
          <w:rFonts w:ascii="Arial" w:hAnsi="Arial" w:cs="Arial"/>
          <w:sz w:val="20"/>
        </w:rPr>
        <w:t>Tether system failure that prevents descent from the maximum operating height or any other height if considered more critical.</w:t>
      </w:r>
    </w:p>
    <w:p w14:paraId="0BC22CA7" w14:textId="77777777" w:rsidR="006969FC" w:rsidRPr="006969FC" w:rsidRDefault="006969FC" w:rsidP="006969FC">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483" w:name="AMC1_31TGB.20(b)_Controllability"/>
      <w:bookmarkStart w:id="1484" w:name="_bookmark605"/>
      <w:bookmarkStart w:id="1485" w:name="_Toc153137767"/>
      <w:bookmarkEnd w:id="1483"/>
      <w:bookmarkEnd w:id="1484"/>
      <w:r w:rsidRPr="006969FC">
        <w:rPr>
          <w:rFonts w:ascii="Arial" w:eastAsia="Times New Roman" w:hAnsi="Arial" w:cs="Times New Roman"/>
          <w:b/>
          <w:color w:val="FFFFFF"/>
          <w:sz w:val="24"/>
        </w:rPr>
        <w:t>AMC1 31TGB.20(b) Controllability</w:t>
      </w:r>
      <w:bookmarkEnd w:id="1485"/>
    </w:p>
    <w:p w14:paraId="3337B013" w14:textId="77777777" w:rsidR="006969FC" w:rsidRPr="006969FC" w:rsidRDefault="006969FC" w:rsidP="006969FC">
      <w:pPr>
        <w:pStyle w:val="BodyText"/>
        <w:spacing w:before="117" w:line="276" w:lineRule="auto"/>
        <w:ind w:right="26"/>
        <w:jc w:val="both"/>
        <w:rPr>
          <w:rFonts w:ascii="Arial" w:hAnsi="Arial" w:cs="Arial"/>
          <w:sz w:val="20"/>
        </w:rPr>
      </w:pPr>
      <w:r w:rsidRPr="006969FC">
        <w:rPr>
          <w:rFonts w:ascii="Arial" w:hAnsi="Arial" w:cs="Arial"/>
          <w:sz w:val="20"/>
        </w:rPr>
        <w:t>It is established by analysis that the hazards from the specified emergency conditions are mitigated by design or procedures. Failure modes that can result in an unintended free flight of the balloon with occupants are included in this analysis.</w:t>
      </w:r>
    </w:p>
    <w:p w14:paraId="7A6AA596" w14:textId="77777777" w:rsidR="006969FC" w:rsidRPr="006969FC" w:rsidRDefault="006969FC" w:rsidP="006969FC">
      <w:pPr>
        <w:pStyle w:val="BodyText"/>
        <w:spacing w:before="117" w:line="276" w:lineRule="auto"/>
        <w:ind w:right="26"/>
        <w:jc w:val="both"/>
        <w:rPr>
          <w:rFonts w:ascii="Arial" w:hAnsi="Arial" w:cs="Arial"/>
          <w:sz w:val="20"/>
        </w:rPr>
      </w:pPr>
      <w:r w:rsidRPr="006969FC">
        <w:rPr>
          <w:rFonts w:ascii="Arial" w:hAnsi="Arial" w:cs="Arial"/>
          <w:sz w:val="20"/>
        </w:rPr>
        <w:t>A suitable device (e.g. electronic altitude pressure switch combined with an ascent velocity detector) ensuring that the envelope does not burst and a lifting gas valve is operated such that a descent occurs in a manageable manner is regarded as acceptable.</w:t>
      </w:r>
    </w:p>
    <w:p w14:paraId="685F5FC7" w14:textId="77777777" w:rsidR="006969FC" w:rsidRPr="006969FC" w:rsidRDefault="006969FC" w:rsidP="006969FC">
      <w:pPr>
        <w:pStyle w:val="BodyText"/>
        <w:spacing w:before="117" w:line="276" w:lineRule="auto"/>
        <w:ind w:right="26"/>
        <w:jc w:val="both"/>
        <w:rPr>
          <w:rFonts w:ascii="Arial" w:hAnsi="Arial" w:cs="Arial"/>
          <w:sz w:val="20"/>
        </w:rPr>
      </w:pPr>
      <w:r w:rsidRPr="006969FC">
        <w:rPr>
          <w:rFonts w:ascii="Arial" w:hAnsi="Arial" w:cs="Arial"/>
          <w:sz w:val="20"/>
        </w:rPr>
        <w:t>A suitable procedure describes all necessary measures to be taken for the recovery.</w:t>
      </w:r>
    </w:p>
    <w:p w14:paraId="2DEA51E6" w14:textId="77777777" w:rsidR="006969FC" w:rsidRPr="006969FC" w:rsidRDefault="006969FC" w:rsidP="006969FC">
      <w:pPr>
        <w:pStyle w:val="BodyText"/>
        <w:spacing w:before="117" w:line="276" w:lineRule="auto"/>
        <w:ind w:right="26"/>
        <w:jc w:val="both"/>
        <w:rPr>
          <w:rFonts w:ascii="Arial" w:hAnsi="Arial" w:cs="Arial"/>
          <w:sz w:val="20"/>
        </w:rPr>
      </w:pPr>
      <w:r w:rsidRPr="006969FC">
        <w:rPr>
          <w:rFonts w:ascii="Arial" w:hAnsi="Arial" w:cs="Arial"/>
          <w:sz w:val="20"/>
        </w:rPr>
        <w:t>If procedures for these emergency conditions are not covered by the normal operating procedures they are included in the Flight Manual.</w:t>
      </w:r>
    </w:p>
    <w:p w14:paraId="1154C105" w14:textId="77777777" w:rsidR="00B91AFE" w:rsidRDefault="00B91AFE" w:rsidP="00244239">
      <w:pPr>
        <w:pStyle w:val="BodyText"/>
        <w:spacing w:before="117" w:line="276" w:lineRule="auto"/>
        <w:ind w:right="26"/>
        <w:jc w:val="both"/>
      </w:pPr>
    </w:p>
    <w:p w14:paraId="7B7D95D5" w14:textId="77777777" w:rsidR="00AA4424" w:rsidRDefault="00AA4424" w:rsidP="00244239">
      <w:pPr>
        <w:pStyle w:val="BodyText"/>
        <w:spacing w:before="117" w:line="276" w:lineRule="auto"/>
        <w:ind w:right="26"/>
        <w:jc w:val="both"/>
      </w:pPr>
    </w:p>
    <w:p w14:paraId="1BEA155A" w14:textId="77777777" w:rsidR="00AA4424" w:rsidRDefault="00AA4424" w:rsidP="00244239">
      <w:pPr>
        <w:pStyle w:val="BodyText"/>
        <w:spacing w:before="117" w:line="276" w:lineRule="auto"/>
        <w:ind w:right="26"/>
        <w:jc w:val="both"/>
      </w:pPr>
    </w:p>
    <w:p w14:paraId="7E41D2AB" w14:textId="77777777" w:rsidR="00AA4424" w:rsidRDefault="00AA4424" w:rsidP="00244239">
      <w:pPr>
        <w:pStyle w:val="BodyText"/>
        <w:spacing w:before="117" w:line="276" w:lineRule="auto"/>
        <w:ind w:right="26"/>
        <w:jc w:val="both"/>
      </w:pPr>
    </w:p>
    <w:p w14:paraId="3E3BD412" w14:textId="77777777" w:rsidR="00AA4424" w:rsidRDefault="00AA4424" w:rsidP="00244239">
      <w:pPr>
        <w:pStyle w:val="BodyText"/>
        <w:spacing w:before="117" w:line="276" w:lineRule="auto"/>
        <w:ind w:right="26"/>
        <w:jc w:val="both"/>
      </w:pPr>
    </w:p>
    <w:p w14:paraId="18438A63" w14:textId="77777777" w:rsidR="00AA4424" w:rsidRDefault="00AA4424" w:rsidP="00244239">
      <w:pPr>
        <w:pStyle w:val="BodyText"/>
        <w:spacing w:before="117" w:line="276" w:lineRule="auto"/>
        <w:ind w:right="26"/>
        <w:jc w:val="both"/>
      </w:pPr>
    </w:p>
    <w:p w14:paraId="7220B541" w14:textId="77777777" w:rsidR="00AA4424" w:rsidRDefault="00AA4424" w:rsidP="00244239">
      <w:pPr>
        <w:pStyle w:val="BodyText"/>
        <w:spacing w:before="117" w:line="276" w:lineRule="auto"/>
        <w:ind w:right="26"/>
        <w:jc w:val="both"/>
      </w:pPr>
    </w:p>
    <w:p w14:paraId="6BD66EC7" w14:textId="77777777" w:rsidR="00AA4424" w:rsidRDefault="00AA4424" w:rsidP="00244239">
      <w:pPr>
        <w:pStyle w:val="BodyText"/>
        <w:spacing w:before="117" w:line="276" w:lineRule="auto"/>
        <w:ind w:right="26"/>
        <w:jc w:val="both"/>
      </w:pPr>
    </w:p>
    <w:p w14:paraId="1C64C55A" w14:textId="77777777" w:rsidR="00AA4424" w:rsidRDefault="00AA4424" w:rsidP="00244239">
      <w:pPr>
        <w:pStyle w:val="BodyText"/>
        <w:spacing w:before="117" w:line="276" w:lineRule="auto"/>
        <w:ind w:right="26"/>
        <w:jc w:val="both"/>
      </w:pPr>
    </w:p>
    <w:p w14:paraId="60F3C750" w14:textId="77777777" w:rsidR="00AA4424" w:rsidRDefault="00AA4424" w:rsidP="00244239">
      <w:pPr>
        <w:pStyle w:val="BodyText"/>
        <w:spacing w:before="117" w:line="276" w:lineRule="auto"/>
        <w:ind w:right="26"/>
        <w:jc w:val="both"/>
      </w:pPr>
    </w:p>
    <w:p w14:paraId="03323C0E" w14:textId="77777777" w:rsidR="00AA4424" w:rsidRDefault="00AA4424" w:rsidP="00244239">
      <w:pPr>
        <w:pStyle w:val="BodyText"/>
        <w:spacing w:before="117" w:line="276" w:lineRule="auto"/>
        <w:ind w:right="26"/>
        <w:jc w:val="both"/>
      </w:pPr>
    </w:p>
    <w:p w14:paraId="39369F75" w14:textId="77777777" w:rsidR="00AA4424" w:rsidRDefault="00AA4424" w:rsidP="00244239">
      <w:pPr>
        <w:pStyle w:val="BodyText"/>
        <w:spacing w:before="117" w:line="276" w:lineRule="auto"/>
        <w:ind w:right="26"/>
        <w:jc w:val="both"/>
      </w:pPr>
    </w:p>
    <w:p w14:paraId="7F901216" w14:textId="77777777" w:rsidR="00AA4424" w:rsidRDefault="00AA4424" w:rsidP="00244239">
      <w:pPr>
        <w:pStyle w:val="BodyText"/>
        <w:spacing w:before="117" w:line="276" w:lineRule="auto"/>
        <w:ind w:right="26"/>
        <w:jc w:val="both"/>
      </w:pPr>
    </w:p>
    <w:p w14:paraId="5512CAE1" w14:textId="77777777" w:rsidR="00AA4424" w:rsidRDefault="00AA4424" w:rsidP="00244239">
      <w:pPr>
        <w:pStyle w:val="BodyText"/>
        <w:spacing w:before="117" w:line="276" w:lineRule="auto"/>
        <w:ind w:right="26"/>
        <w:jc w:val="both"/>
      </w:pPr>
    </w:p>
    <w:p w14:paraId="4CFE015D" w14:textId="77777777" w:rsidR="00AA4424" w:rsidRDefault="00AA4424" w:rsidP="00244239">
      <w:pPr>
        <w:pStyle w:val="BodyText"/>
        <w:spacing w:before="117" w:line="276" w:lineRule="auto"/>
        <w:ind w:right="26"/>
        <w:jc w:val="both"/>
      </w:pPr>
    </w:p>
    <w:p w14:paraId="47872EA4" w14:textId="77777777" w:rsidR="00AA4424" w:rsidRDefault="00AA4424" w:rsidP="00244239">
      <w:pPr>
        <w:pStyle w:val="BodyText"/>
        <w:spacing w:before="117" w:line="276" w:lineRule="auto"/>
        <w:ind w:right="26"/>
        <w:jc w:val="both"/>
      </w:pPr>
    </w:p>
    <w:p w14:paraId="28152BF6" w14:textId="77777777" w:rsidR="00AA4424" w:rsidRDefault="00AA4424" w:rsidP="00244239">
      <w:pPr>
        <w:pStyle w:val="BodyText"/>
        <w:spacing w:before="117" w:line="276" w:lineRule="auto"/>
        <w:ind w:right="26"/>
        <w:jc w:val="both"/>
      </w:pPr>
    </w:p>
    <w:p w14:paraId="08C3826D" w14:textId="77777777" w:rsidR="00AA4424" w:rsidRDefault="00AA4424" w:rsidP="00244239">
      <w:pPr>
        <w:pStyle w:val="BodyText"/>
        <w:spacing w:before="117" w:line="276" w:lineRule="auto"/>
        <w:ind w:right="26"/>
        <w:jc w:val="both"/>
      </w:pPr>
    </w:p>
    <w:p w14:paraId="4F6F3BCE" w14:textId="77777777" w:rsidR="00AA4424" w:rsidRPr="00AA4424" w:rsidRDefault="00AA4424" w:rsidP="00AA4424">
      <w:pPr>
        <w:keepNext/>
        <w:keepLines/>
        <w:widowControl/>
        <w:autoSpaceDE/>
        <w:autoSpaceDN/>
        <w:spacing w:before="40" w:line="259" w:lineRule="auto"/>
        <w:jc w:val="center"/>
        <w:outlineLvl w:val="2"/>
        <w:rPr>
          <w:rFonts w:ascii="Arial" w:eastAsiaTheme="majorEastAsia" w:hAnsi="Arial" w:cs="Arial"/>
          <w:b/>
          <w:color w:val="00B0F0"/>
          <w:sz w:val="24"/>
          <w:szCs w:val="24"/>
        </w:rPr>
      </w:pPr>
      <w:bookmarkStart w:id="1486" w:name="_Toc153137768"/>
      <w:r w:rsidRPr="00AA4424">
        <w:rPr>
          <w:rFonts w:ascii="Arial" w:eastAsiaTheme="majorEastAsia" w:hAnsi="Arial" w:cs="Arial"/>
          <w:b/>
          <w:color w:val="00B0F0"/>
          <w:sz w:val="24"/>
          <w:szCs w:val="24"/>
        </w:rPr>
        <w:lastRenderedPageBreak/>
        <w:t>SUBPART C — STRUCTURE</w:t>
      </w:r>
      <w:bookmarkEnd w:id="1486"/>
    </w:p>
    <w:p w14:paraId="79562E1E" w14:textId="77777777" w:rsidR="000076D6" w:rsidRPr="000076D6" w:rsidRDefault="000076D6" w:rsidP="000076D6">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487" w:name="CS_31TGB.21_Loads"/>
      <w:bookmarkStart w:id="1488" w:name="_bookmark607"/>
      <w:bookmarkStart w:id="1489" w:name="_Toc153137769"/>
      <w:bookmarkEnd w:id="1487"/>
      <w:bookmarkEnd w:id="1488"/>
      <w:r w:rsidRPr="000076D6">
        <w:rPr>
          <w:rFonts w:ascii="Arial" w:eastAsia="Times New Roman" w:hAnsi="Arial" w:cs="Times New Roman"/>
          <w:b/>
          <w:iCs/>
          <w:color w:val="FFFFFF"/>
          <w:sz w:val="24"/>
        </w:rPr>
        <w:t>CS 31TGB.21 Loads</w:t>
      </w:r>
      <w:bookmarkEnd w:id="1489"/>
    </w:p>
    <w:p w14:paraId="7A341E65" w14:textId="77777777" w:rsidR="000076D6" w:rsidRPr="000076D6" w:rsidRDefault="000076D6" w:rsidP="000076D6">
      <w:pPr>
        <w:pStyle w:val="BodyText"/>
        <w:spacing w:before="117" w:line="276" w:lineRule="auto"/>
        <w:ind w:right="26"/>
        <w:jc w:val="both"/>
        <w:rPr>
          <w:rFonts w:ascii="Arial" w:hAnsi="Arial" w:cs="Arial"/>
          <w:sz w:val="20"/>
        </w:rPr>
      </w:pPr>
      <w:r w:rsidRPr="000076D6">
        <w:rPr>
          <w:rFonts w:ascii="Arial" w:hAnsi="Arial" w:cs="Arial"/>
          <w:sz w:val="20"/>
        </w:rPr>
        <w:t>Strength requirements are specified in terms of:</w:t>
      </w:r>
    </w:p>
    <w:p w14:paraId="3C7EFF4E" w14:textId="77777777" w:rsidR="000076D6" w:rsidRPr="000076D6" w:rsidRDefault="000076D6" w:rsidP="005F6871">
      <w:pPr>
        <w:pStyle w:val="ListParagraph"/>
        <w:numPr>
          <w:ilvl w:val="0"/>
          <w:numId w:val="422"/>
        </w:numPr>
        <w:tabs>
          <w:tab w:val="left" w:pos="707"/>
        </w:tabs>
        <w:spacing w:before="117" w:line="276" w:lineRule="auto"/>
        <w:ind w:right="26"/>
        <w:jc w:val="both"/>
        <w:rPr>
          <w:rFonts w:ascii="Arial" w:hAnsi="Arial" w:cs="Arial"/>
          <w:sz w:val="20"/>
        </w:rPr>
      </w:pPr>
      <w:r w:rsidRPr="000076D6">
        <w:rPr>
          <w:rFonts w:ascii="Arial" w:hAnsi="Arial" w:cs="Arial"/>
          <w:sz w:val="20"/>
        </w:rPr>
        <w:t>limit loads that are the maximum loads to be expected in service, taking into account the load factors of CS 31TGB.23; and</w:t>
      </w:r>
    </w:p>
    <w:p w14:paraId="6F151B7D" w14:textId="77777777" w:rsidR="000076D6" w:rsidRPr="000076D6" w:rsidRDefault="000076D6" w:rsidP="005F6871">
      <w:pPr>
        <w:pStyle w:val="ListParagraph"/>
        <w:numPr>
          <w:ilvl w:val="0"/>
          <w:numId w:val="422"/>
        </w:numPr>
        <w:tabs>
          <w:tab w:val="left" w:pos="707"/>
        </w:tabs>
        <w:spacing w:before="117" w:line="276" w:lineRule="auto"/>
        <w:ind w:right="26"/>
        <w:jc w:val="both"/>
        <w:rPr>
          <w:rFonts w:ascii="Arial" w:hAnsi="Arial" w:cs="Arial"/>
          <w:sz w:val="20"/>
        </w:rPr>
      </w:pPr>
      <w:r w:rsidRPr="000076D6">
        <w:rPr>
          <w:rFonts w:ascii="Arial" w:hAnsi="Arial" w:cs="Arial"/>
          <w:sz w:val="20"/>
        </w:rPr>
        <w:t>ultimate loads that are limit loads multiplied by factors of safety defined in CS 31TGB.25.</w:t>
      </w:r>
    </w:p>
    <w:p w14:paraId="17CC878B" w14:textId="77777777" w:rsidR="0040627F" w:rsidRPr="0040627F" w:rsidRDefault="0040627F" w:rsidP="0040627F">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490" w:name="CS_31TGB.22_In-Service_load_cases"/>
      <w:bookmarkStart w:id="1491" w:name="_bookmark608"/>
      <w:bookmarkStart w:id="1492" w:name="_Toc153137770"/>
      <w:bookmarkEnd w:id="1490"/>
      <w:bookmarkEnd w:id="1491"/>
      <w:r w:rsidRPr="0040627F">
        <w:rPr>
          <w:rFonts w:ascii="Arial" w:eastAsia="Times New Roman" w:hAnsi="Arial" w:cs="Times New Roman"/>
          <w:b/>
          <w:iCs/>
          <w:color w:val="FFFFFF"/>
          <w:sz w:val="24"/>
        </w:rPr>
        <w:t>CS 31TGB.22 In-Service load cases</w:t>
      </w:r>
      <w:bookmarkEnd w:id="1492"/>
    </w:p>
    <w:p w14:paraId="1C78A029" w14:textId="77777777" w:rsidR="0040627F" w:rsidRPr="0040627F" w:rsidRDefault="0040627F" w:rsidP="0040627F">
      <w:pPr>
        <w:pStyle w:val="BodyText"/>
        <w:spacing w:before="117" w:line="276" w:lineRule="auto"/>
        <w:ind w:right="26"/>
        <w:jc w:val="both"/>
        <w:rPr>
          <w:rFonts w:ascii="Arial" w:hAnsi="Arial" w:cs="Arial"/>
          <w:sz w:val="20"/>
        </w:rPr>
      </w:pPr>
      <w:r w:rsidRPr="0040627F">
        <w:rPr>
          <w:rFonts w:ascii="Arial" w:hAnsi="Arial" w:cs="Arial"/>
          <w:sz w:val="20"/>
        </w:rPr>
        <w:t>The strength requirements include consideration of the applicable in-service load cases such as:</w:t>
      </w:r>
    </w:p>
    <w:p w14:paraId="5AA5155E" w14:textId="77777777" w:rsidR="0040627F" w:rsidRPr="0040627F" w:rsidRDefault="0040627F" w:rsidP="005F6871">
      <w:pPr>
        <w:pStyle w:val="ListParagraph"/>
        <w:numPr>
          <w:ilvl w:val="0"/>
          <w:numId w:val="419"/>
        </w:numPr>
        <w:tabs>
          <w:tab w:val="left" w:pos="707"/>
        </w:tabs>
        <w:rPr>
          <w:rFonts w:ascii="Arial" w:hAnsi="Arial" w:cs="Arial"/>
          <w:sz w:val="20"/>
        </w:rPr>
      </w:pPr>
      <w:r w:rsidRPr="0040627F">
        <w:rPr>
          <w:rFonts w:ascii="Arial" w:hAnsi="Arial" w:cs="Arial"/>
          <w:sz w:val="20"/>
        </w:rPr>
        <w:t>inflation;</w:t>
      </w:r>
    </w:p>
    <w:p w14:paraId="0A319423" w14:textId="77777777" w:rsidR="0040627F" w:rsidRPr="0040627F" w:rsidRDefault="0040627F" w:rsidP="005F6871">
      <w:pPr>
        <w:pStyle w:val="ListParagraph"/>
        <w:numPr>
          <w:ilvl w:val="0"/>
          <w:numId w:val="419"/>
        </w:numPr>
        <w:tabs>
          <w:tab w:val="left" w:pos="707"/>
        </w:tabs>
        <w:spacing w:before="121"/>
        <w:rPr>
          <w:rFonts w:ascii="Arial" w:hAnsi="Arial" w:cs="Arial"/>
          <w:sz w:val="20"/>
        </w:rPr>
      </w:pPr>
      <w:r w:rsidRPr="0040627F">
        <w:rPr>
          <w:rFonts w:ascii="Arial" w:hAnsi="Arial" w:cs="Arial"/>
          <w:sz w:val="20"/>
        </w:rPr>
        <w:t>flight; and</w:t>
      </w:r>
    </w:p>
    <w:p w14:paraId="2B0CC627" w14:textId="77777777" w:rsidR="0040627F" w:rsidRPr="0040627F" w:rsidRDefault="0040627F" w:rsidP="005F6871">
      <w:pPr>
        <w:pStyle w:val="ListParagraph"/>
        <w:numPr>
          <w:ilvl w:val="0"/>
          <w:numId w:val="419"/>
        </w:numPr>
        <w:tabs>
          <w:tab w:val="left" w:pos="707"/>
        </w:tabs>
        <w:rPr>
          <w:rFonts w:ascii="Arial" w:hAnsi="Arial" w:cs="Arial"/>
          <w:sz w:val="20"/>
        </w:rPr>
      </w:pPr>
      <w:r w:rsidRPr="0040627F">
        <w:rPr>
          <w:rFonts w:ascii="Arial" w:hAnsi="Arial" w:cs="Arial"/>
          <w:sz w:val="20"/>
        </w:rPr>
        <w:t>mooring.</w:t>
      </w:r>
    </w:p>
    <w:p w14:paraId="241A8BEE" w14:textId="77777777" w:rsidR="0040627F" w:rsidRPr="0040627F" w:rsidRDefault="0040627F" w:rsidP="0040627F">
      <w:pPr>
        <w:pStyle w:val="BodyText"/>
        <w:spacing w:before="117" w:line="276" w:lineRule="auto"/>
        <w:ind w:right="26"/>
        <w:jc w:val="both"/>
        <w:rPr>
          <w:rFonts w:ascii="Arial" w:hAnsi="Arial" w:cs="Arial"/>
          <w:sz w:val="20"/>
        </w:rPr>
      </w:pPr>
      <w:r w:rsidRPr="0040627F">
        <w:rPr>
          <w:rFonts w:ascii="Arial" w:hAnsi="Arial" w:cs="Arial"/>
          <w:sz w:val="20"/>
        </w:rPr>
        <w:t>The loads are determined and the parts and components under particular stress designed in accordance with their designated use and dimensioned such as not to fail under recurrent loads.</w:t>
      </w:r>
    </w:p>
    <w:p w14:paraId="2976E10F" w14:textId="77777777" w:rsidR="00687649" w:rsidRPr="00687649" w:rsidRDefault="00687649" w:rsidP="00687649">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493" w:name="AMC1_31TGB.22_In-Service_load_cases"/>
      <w:bookmarkStart w:id="1494" w:name="_bookmark609"/>
      <w:bookmarkStart w:id="1495" w:name="_Toc153137771"/>
      <w:bookmarkEnd w:id="1493"/>
      <w:bookmarkEnd w:id="1494"/>
      <w:r w:rsidRPr="00687649">
        <w:rPr>
          <w:rFonts w:ascii="Arial" w:eastAsia="Times New Roman" w:hAnsi="Arial" w:cs="Times New Roman"/>
          <w:b/>
          <w:color w:val="FFFFFF"/>
          <w:sz w:val="24"/>
        </w:rPr>
        <w:t>AMC1 31TGB.22 In-Service load cases</w:t>
      </w:r>
      <w:bookmarkEnd w:id="1495"/>
    </w:p>
    <w:p w14:paraId="50A4CDBF" w14:textId="77777777" w:rsidR="00687649" w:rsidRPr="00687649" w:rsidRDefault="00687649" w:rsidP="00687649">
      <w:pPr>
        <w:pStyle w:val="BodyText"/>
        <w:spacing w:before="0"/>
        <w:rPr>
          <w:rFonts w:ascii="Arial" w:hAnsi="Arial" w:cs="Arial"/>
          <w:sz w:val="20"/>
          <w:u w:val="single"/>
        </w:rPr>
      </w:pPr>
      <w:r w:rsidRPr="00687649">
        <w:rPr>
          <w:rFonts w:ascii="Arial" w:hAnsi="Arial" w:cs="Arial"/>
          <w:sz w:val="20"/>
          <w:u w:val="single"/>
        </w:rPr>
        <w:t>Inflation/mooring</w:t>
      </w:r>
    </w:p>
    <w:p w14:paraId="5D75F54C" w14:textId="77777777" w:rsidR="00687649" w:rsidRPr="00687649" w:rsidRDefault="00687649" w:rsidP="00687649">
      <w:pPr>
        <w:pStyle w:val="BodyText"/>
        <w:spacing w:before="117" w:line="276" w:lineRule="auto"/>
        <w:ind w:right="26"/>
        <w:jc w:val="both"/>
        <w:rPr>
          <w:rFonts w:ascii="Arial" w:hAnsi="Arial" w:cs="Arial"/>
          <w:sz w:val="20"/>
        </w:rPr>
      </w:pPr>
      <w:r w:rsidRPr="00687649">
        <w:rPr>
          <w:rFonts w:ascii="Arial" w:hAnsi="Arial" w:cs="Arial"/>
          <w:sz w:val="20"/>
        </w:rPr>
        <w:t>The ‘inflation and mooring cases’ referred to in this requirement cover assembly, disassembly, inflation, deflation and mooring load cases. Mooring load cases cover both low and high mooring, if applicable.</w:t>
      </w:r>
    </w:p>
    <w:p w14:paraId="11504771" w14:textId="77777777" w:rsidR="00687649" w:rsidRPr="00687649" w:rsidRDefault="00687649" w:rsidP="00687649">
      <w:pPr>
        <w:pStyle w:val="BodyText"/>
        <w:spacing w:before="117" w:line="276" w:lineRule="auto"/>
        <w:ind w:right="26"/>
        <w:jc w:val="both"/>
        <w:rPr>
          <w:rFonts w:ascii="Arial" w:hAnsi="Arial" w:cs="Arial"/>
          <w:sz w:val="20"/>
        </w:rPr>
      </w:pPr>
      <w:r w:rsidRPr="00687649">
        <w:rPr>
          <w:rFonts w:ascii="Arial" w:hAnsi="Arial" w:cs="Arial"/>
          <w:sz w:val="20"/>
        </w:rPr>
        <w:t>When the balloon is moored in the parking position (low mooring) the maximum gas pressure in the envelope is normally identical to the ‘maximum gas pressure’ established for any of the flight conditions. If the low mooring operation, however, allows for a precautionary increased pressure of the gas in the envelope this load case is also considered.</w:t>
      </w:r>
    </w:p>
    <w:p w14:paraId="4FD183EE" w14:textId="77777777" w:rsidR="00687649" w:rsidRPr="00687649" w:rsidRDefault="00687649" w:rsidP="00687649">
      <w:pPr>
        <w:pStyle w:val="BodyText"/>
        <w:spacing w:before="0"/>
        <w:rPr>
          <w:rFonts w:ascii="Arial" w:hAnsi="Arial" w:cs="Arial"/>
          <w:sz w:val="20"/>
          <w:u w:val="single"/>
        </w:rPr>
      </w:pPr>
      <w:r w:rsidRPr="00687649">
        <w:rPr>
          <w:rFonts w:ascii="Arial" w:hAnsi="Arial" w:cs="Arial"/>
          <w:sz w:val="20"/>
          <w:u w:val="single"/>
        </w:rPr>
        <w:t>Flight</w:t>
      </w:r>
    </w:p>
    <w:p w14:paraId="33BF1F0C" w14:textId="77777777" w:rsidR="00687649" w:rsidRPr="00687649" w:rsidRDefault="00687649" w:rsidP="00687649">
      <w:pPr>
        <w:pStyle w:val="BodyText"/>
        <w:spacing w:before="117" w:line="276" w:lineRule="auto"/>
        <w:ind w:right="26"/>
        <w:jc w:val="both"/>
        <w:rPr>
          <w:rFonts w:ascii="Arial" w:hAnsi="Arial" w:cs="Arial"/>
          <w:sz w:val="20"/>
        </w:rPr>
      </w:pPr>
      <w:r w:rsidRPr="00687649">
        <w:rPr>
          <w:rFonts w:ascii="Arial" w:hAnsi="Arial" w:cs="Arial"/>
          <w:sz w:val="20"/>
        </w:rPr>
        <w:t>Flight load cases cover the operation within the established limitations (temperature, wind speed, mass, and ascent/descent speed limitations). A dynamic lift component is considered in the load cases for the sudden deceleration of the ascent/descent unit and when the envelope shape is not spherical and generates lift in wind conditions. When a dynamic lift component is applicable, gust loads are considered as well as potential oscillation behaviour of the balloon and the tether caused by airflow and from variations in the lift component and its centre of pressure.</w:t>
      </w:r>
    </w:p>
    <w:p w14:paraId="4616E42E" w14:textId="77777777" w:rsidR="00D223D6" w:rsidRPr="00D223D6" w:rsidRDefault="00D223D6" w:rsidP="00D223D6">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496" w:name="CS_31TGB.23_Load_factors"/>
      <w:bookmarkStart w:id="1497" w:name="_bookmark610"/>
      <w:bookmarkStart w:id="1498" w:name="_Toc153137772"/>
      <w:bookmarkEnd w:id="1496"/>
      <w:bookmarkEnd w:id="1497"/>
      <w:r w:rsidRPr="00D223D6">
        <w:rPr>
          <w:rFonts w:ascii="Arial" w:eastAsia="Times New Roman" w:hAnsi="Arial" w:cs="Times New Roman"/>
          <w:b/>
          <w:iCs/>
          <w:color w:val="FFFFFF"/>
          <w:sz w:val="24"/>
        </w:rPr>
        <w:t>CS 31TGB.23 Load factors</w:t>
      </w:r>
      <w:bookmarkEnd w:id="1498"/>
    </w:p>
    <w:p w14:paraId="773C83DC" w14:textId="77777777" w:rsidR="00D223D6" w:rsidRPr="00D223D6" w:rsidRDefault="00D223D6" w:rsidP="005F6871">
      <w:pPr>
        <w:pStyle w:val="ListParagraph"/>
        <w:numPr>
          <w:ilvl w:val="0"/>
          <w:numId w:val="423"/>
        </w:numPr>
        <w:tabs>
          <w:tab w:val="left" w:pos="707"/>
        </w:tabs>
        <w:spacing w:before="117" w:line="276" w:lineRule="auto"/>
        <w:ind w:right="26"/>
        <w:jc w:val="both"/>
        <w:rPr>
          <w:rFonts w:ascii="Arial" w:hAnsi="Arial" w:cs="Arial"/>
          <w:sz w:val="20"/>
        </w:rPr>
      </w:pPr>
      <w:r w:rsidRPr="00D223D6">
        <w:rPr>
          <w:rFonts w:ascii="Arial" w:hAnsi="Arial" w:cs="Arial"/>
          <w:sz w:val="20"/>
        </w:rPr>
        <w:t>Flight load factor. In determining limit load, the flight load factor is at least 1·4, except for (b).</w:t>
      </w:r>
    </w:p>
    <w:p w14:paraId="679B963E" w14:textId="77777777" w:rsidR="00D223D6" w:rsidRPr="00D223D6" w:rsidRDefault="00D223D6" w:rsidP="005F6871">
      <w:pPr>
        <w:pStyle w:val="ListParagraph"/>
        <w:numPr>
          <w:ilvl w:val="0"/>
          <w:numId w:val="423"/>
        </w:numPr>
        <w:tabs>
          <w:tab w:val="left" w:pos="707"/>
        </w:tabs>
        <w:spacing w:before="117" w:line="276" w:lineRule="auto"/>
        <w:ind w:right="26"/>
        <w:jc w:val="both"/>
        <w:rPr>
          <w:rFonts w:ascii="Arial" w:hAnsi="Arial" w:cs="Arial"/>
          <w:sz w:val="20"/>
        </w:rPr>
      </w:pPr>
      <w:r w:rsidRPr="00D223D6">
        <w:rPr>
          <w:rFonts w:ascii="Arial" w:hAnsi="Arial" w:cs="Arial"/>
          <w:sz w:val="20"/>
        </w:rPr>
        <w:t>Ascent load factor. In determining limit load on the tether system, the ascent load factor appropriate for the type of operation is established and applied to the static load cases on the tether system.</w:t>
      </w:r>
    </w:p>
    <w:p w14:paraId="56DFA429" w14:textId="77777777" w:rsidR="00D223D6" w:rsidRPr="00D223D6" w:rsidRDefault="00D223D6" w:rsidP="005F6871">
      <w:pPr>
        <w:pStyle w:val="ListParagraph"/>
        <w:numPr>
          <w:ilvl w:val="0"/>
          <w:numId w:val="423"/>
        </w:numPr>
        <w:tabs>
          <w:tab w:val="left" w:pos="707"/>
        </w:tabs>
        <w:spacing w:before="117" w:line="276" w:lineRule="auto"/>
        <w:ind w:right="26"/>
        <w:jc w:val="both"/>
        <w:rPr>
          <w:rFonts w:ascii="Arial" w:hAnsi="Arial" w:cs="Arial"/>
          <w:sz w:val="20"/>
        </w:rPr>
      </w:pPr>
      <w:r w:rsidRPr="00D223D6">
        <w:rPr>
          <w:rFonts w:ascii="Arial" w:hAnsi="Arial" w:cs="Arial"/>
          <w:sz w:val="20"/>
        </w:rPr>
        <w:t>Gust load factor. In determining limit load, the gust load factor is established for the effect of gusts as defined in the operating limitations.</w:t>
      </w:r>
    </w:p>
    <w:p w14:paraId="5CA9985A" w14:textId="77777777" w:rsidR="006F1C03" w:rsidRPr="006F1C03" w:rsidRDefault="006F1C03" w:rsidP="006F1C03">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499" w:name="AMC1_31TGB.23(b)_Ascent_load_factors"/>
      <w:bookmarkStart w:id="1500" w:name="_bookmark611"/>
      <w:bookmarkStart w:id="1501" w:name="_Toc153137773"/>
      <w:bookmarkEnd w:id="1499"/>
      <w:bookmarkEnd w:id="1500"/>
      <w:r w:rsidRPr="006F1C03">
        <w:rPr>
          <w:rFonts w:ascii="Arial" w:eastAsia="Times New Roman" w:hAnsi="Arial" w:cs="Times New Roman"/>
          <w:b/>
          <w:color w:val="FFFFFF"/>
          <w:sz w:val="24"/>
        </w:rPr>
        <w:t>AMC1 31TGB.23(b) Ascent load factors</w:t>
      </w:r>
      <w:bookmarkEnd w:id="1501"/>
    </w:p>
    <w:p w14:paraId="71469E44" w14:textId="77777777" w:rsidR="006F1C03" w:rsidRPr="006F1C03" w:rsidRDefault="006F1C03" w:rsidP="006F1C03">
      <w:pPr>
        <w:pStyle w:val="BodyText"/>
        <w:spacing w:before="117" w:line="276" w:lineRule="auto"/>
        <w:ind w:right="26"/>
        <w:jc w:val="both"/>
        <w:rPr>
          <w:rFonts w:ascii="Arial" w:hAnsi="Arial" w:cs="Arial"/>
          <w:sz w:val="20"/>
        </w:rPr>
      </w:pPr>
      <w:r w:rsidRPr="006F1C03">
        <w:rPr>
          <w:rFonts w:ascii="Arial" w:hAnsi="Arial" w:cs="Arial"/>
          <w:sz w:val="20"/>
        </w:rPr>
        <w:t>The ascent load factor is applied to the static tether system load to cover dynamic loads to the tether system resulting from decelerations during the ascent. The maximum deceleration typically occurs when an emergency stop is made during maximum ascent speed. The highest loads are typically experienced when this occurs at maximum static lift and minimum balloon weight and minimum deceleration travel. Minimum balloon weight and minimum deceleration travel coincide at low tether cable length when the mass of the tether cable is the lowest and the elongation or slack of the tether cable are the lowest.</w:t>
      </w:r>
    </w:p>
    <w:p w14:paraId="3D329449" w14:textId="77777777" w:rsidR="006F1C03" w:rsidRPr="006F1C03" w:rsidRDefault="006F1C03" w:rsidP="006F1C03">
      <w:pPr>
        <w:pStyle w:val="BodyText"/>
        <w:spacing w:before="117" w:line="276" w:lineRule="auto"/>
        <w:ind w:right="26"/>
        <w:jc w:val="both"/>
        <w:rPr>
          <w:rFonts w:ascii="Arial" w:hAnsi="Arial" w:cs="Arial"/>
          <w:sz w:val="20"/>
        </w:rPr>
      </w:pPr>
      <w:r w:rsidRPr="006F1C03">
        <w:rPr>
          <w:rFonts w:ascii="Arial" w:hAnsi="Arial" w:cs="Arial"/>
          <w:sz w:val="20"/>
        </w:rPr>
        <w:lastRenderedPageBreak/>
        <w:t>For an ascent speed below 1 m/sec, an ascent load factor of 2 is acceptable.</w:t>
      </w:r>
    </w:p>
    <w:p w14:paraId="586F787A" w14:textId="77777777" w:rsidR="006F1C03" w:rsidRPr="006F1C03" w:rsidRDefault="006F1C03" w:rsidP="006F1C03">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502" w:name="AMC1_31TGB.23(c)_Gust_load_factor"/>
      <w:bookmarkStart w:id="1503" w:name="_bookmark612"/>
      <w:bookmarkStart w:id="1504" w:name="_Toc153137774"/>
      <w:bookmarkEnd w:id="1502"/>
      <w:bookmarkEnd w:id="1503"/>
      <w:r w:rsidRPr="006F1C03">
        <w:rPr>
          <w:rFonts w:ascii="Arial" w:eastAsia="Times New Roman" w:hAnsi="Arial" w:cs="Times New Roman"/>
          <w:b/>
          <w:color w:val="FFFFFF"/>
          <w:sz w:val="24"/>
        </w:rPr>
        <w:t>AMC1 31TGB.23(c) Gust load factor</w:t>
      </w:r>
      <w:bookmarkEnd w:id="1504"/>
    </w:p>
    <w:p w14:paraId="476DD6DB" w14:textId="77777777" w:rsidR="006F1C03" w:rsidRPr="006F1C03" w:rsidRDefault="006F1C03" w:rsidP="006F1C03">
      <w:pPr>
        <w:pStyle w:val="BodyText"/>
        <w:spacing w:before="117" w:line="276" w:lineRule="auto"/>
        <w:ind w:right="26"/>
        <w:jc w:val="both"/>
        <w:rPr>
          <w:rFonts w:ascii="Arial" w:hAnsi="Arial" w:cs="Arial"/>
          <w:sz w:val="20"/>
        </w:rPr>
      </w:pPr>
      <w:r w:rsidRPr="006F1C03">
        <w:rPr>
          <w:rFonts w:ascii="Arial" w:hAnsi="Arial" w:cs="Arial"/>
          <w:sz w:val="20"/>
        </w:rPr>
        <w:t>A gust load factor is applicable to balloons that due to the shape of the envelope generate aerodynamic lift forces in gust conditions. The gust load for spherical balloons is, therefore, 1 and is considered to have no influence on the loads.</w:t>
      </w:r>
    </w:p>
    <w:p w14:paraId="5BD87708" w14:textId="77777777" w:rsidR="00737CB3" w:rsidRPr="00737CB3" w:rsidRDefault="00737CB3" w:rsidP="00737CB3">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505" w:name="CS_31TGB.25_Factors_of_safety"/>
      <w:bookmarkStart w:id="1506" w:name="_bookmark613"/>
      <w:bookmarkStart w:id="1507" w:name="_Toc153137775"/>
      <w:bookmarkEnd w:id="1505"/>
      <w:bookmarkEnd w:id="1506"/>
      <w:r w:rsidRPr="00737CB3">
        <w:rPr>
          <w:rFonts w:ascii="Arial" w:eastAsia="Times New Roman" w:hAnsi="Arial" w:cs="Times New Roman"/>
          <w:b/>
          <w:iCs/>
          <w:color w:val="FFFFFF"/>
          <w:sz w:val="24"/>
        </w:rPr>
        <w:t>CS 31TGB.25 Factors of safety</w:t>
      </w:r>
      <w:bookmarkEnd w:id="1507"/>
    </w:p>
    <w:p w14:paraId="1A5B6831" w14:textId="77777777" w:rsidR="00737CB3" w:rsidRPr="00737CB3" w:rsidRDefault="00737CB3" w:rsidP="005F6871">
      <w:pPr>
        <w:pStyle w:val="ListParagraph"/>
        <w:numPr>
          <w:ilvl w:val="0"/>
          <w:numId w:val="424"/>
        </w:numPr>
        <w:tabs>
          <w:tab w:val="left" w:pos="707"/>
        </w:tabs>
        <w:spacing w:before="117" w:line="276" w:lineRule="auto"/>
        <w:ind w:right="26"/>
        <w:jc w:val="both"/>
        <w:rPr>
          <w:rFonts w:ascii="Arial" w:hAnsi="Arial" w:cs="Arial"/>
          <w:sz w:val="20"/>
        </w:rPr>
      </w:pPr>
      <w:r w:rsidRPr="00737CB3">
        <w:rPr>
          <w:rFonts w:ascii="Arial" w:hAnsi="Arial" w:cs="Arial"/>
          <w:sz w:val="20"/>
        </w:rPr>
        <w:t>A factor of safety is used in the balloon system design as provided in the table.</w:t>
      </w:r>
    </w:p>
    <w:p w14:paraId="3FB8E410" w14:textId="77777777" w:rsidR="00737CB3" w:rsidRDefault="00737CB3" w:rsidP="00737CB3">
      <w:pPr>
        <w:pStyle w:val="ListParagraph"/>
        <w:tabs>
          <w:tab w:val="left" w:pos="707"/>
        </w:tabs>
        <w:spacing w:before="0"/>
        <w:ind w:firstLine="0"/>
        <w:rPr>
          <w:rFonts w:ascii="Arial" w:hAnsi="Arial" w:cs="Arial"/>
        </w:rPr>
      </w:pPr>
    </w:p>
    <w:tbl>
      <w:tblPr>
        <w:tblStyle w:val="TableGrid31"/>
        <w:tblW w:w="0" w:type="auto"/>
        <w:tblInd w:w="349" w:type="dxa"/>
        <w:tblLayout w:type="fixed"/>
        <w:tblLook w:val="01E0" w:firstRow="1" w:lastRow="1" w:firstColumn="1" w:lastColumn="1" w:noHBand="0" w:noVBand="0"/>
      </w:tblPr>
      <w:tblGrid>
        <w:gridCol w:w="6810"/>
        <w:gridCol w:w="1688"/>
      </w:tblGrid>
      <w:tr w:rsidR="00737CB3" w14:paraId="54240168" w14:textId="77777777" w:rsidTr="00D82F1B">
        <w:trPr>
          <w:trHeight w:val="200"/>
        </w:trPr>
        <w:tc>
          <w:tcPr>
            <w:tcW w:w="6810" w:type="dxa"/>
            <w:shd w:val="clear" w:color="auto" w:fill="F2F2F2" w:themeFill="background1" w:themeFillShade="F2"/>
          </w:tcPr>
          <w:p w14:paraId="3311FF7F" w14:textId="77777777" w:rsidR="00737CB3" w:rsidRPr="00737CB3" w:rsidRDefault="00737CB3">
            <w:pPr>
              <w:pStyle w:val="TableParagraph"/>
              <w:ind w:left="0"/>
              <w:rPr>
                <w:rFonts w:ascii="Arial" w:hAnsi="Arial" w:cs="Arial"/>
                <w:sz w:val="16"/>
              </w:rPr>
            </w:pPr>
          </w:p>
        </w:tc>
        <w:tc>
          <w:tcPr>
            <w:tcW w:w="1688" w:type="dxa"/>
            <w:shd w:val="clear" w:color="auto" w:fill="F2F2F2" w:themeFill="background1" w:themeFillShade="F2"/>
            <w:hideMark/>
          </w:tcPr>
          <w:p w14:paraId="54838221" w14:textId="77777777" w:rsidR="00737CB3" w:rsidRPr="00737CB3" w:rsidRDefault="00737CB3">
            <w:pPr>
              <w:pStyle w:val="TableParagraph"/>
              <w:spacing w:line="224" w:lineRule="exact"/>
              <w:ind w:left="294" w:right="295"/>
              <w:jc w:val="center"/>
              <w:rPr>
                <w:rFonts w:ascii="Arial" w:hAnsi="Arial" w:cs="Arial"/>
                <w:b/>
              </w:rPr>
            </w:pPr>
            <w:r w:rsidRPr="00737CB3">
              <w:rPr>
                <w:rFonts w:ascii="Arial" w:hAnsi="Arial" w:cs="Arial"/>
                <w:b/>
              </w:rPr>
              <w:t>Safety</w:t>
            </w:r>
            <w:r w:rsidRPr="00737CB3">
              <w:rPr>
                <w:rFonts w:ascii="Arial" w:hAnsi="Arial" w:cs="Arial"/>
                <w:b/>
                <w:spacing w:val="-3"/>
              </w:rPr>
              <w:t xml:space="preserve"> </w:t>
            </w:r>
            <w:r w:rsidRPr="00737CB3">
              <w:rPr>
                <w:rFonts w:ascii="Arial" w:hAnsi="Arial" w:cs="Arial"/>
                <w:b/>
              </w:rPr>
              <w:t>factor</w:t>
            </w:r>
          </w:p>
        </w:tc>
      </w:tr>
      <w:tr w:rsidR="00737CB3" w14:paraId="1A947CC8" w14:textId="77777777" w:rsidTr="00D82F1B">
        <w:trPr>
          <w:trHeight w:val="202"/>
        </w:trPr>
        <w:tc>
          <w:tcPr>
            <w:tcW w:w="6810" w:type="dxa"/>
            <w:shd w:val="clear" w:color="auto" w:fill="F2F2F2" w:themeFill="background1" w:themeFillShade="F2"/>
            <w:hideMark/>
          </w:tcPr>
          <w:p w14:paraId="0456CF52" w14:textId="77777777" w:rsidR="00737CB3" w:rsidRPr="00737CB3" w:rsidRDefault="00737CB3">
            <w:pPr>
              <w:pStyle w:val="TableParagraph"/>
              <w:spacing w:line="225" w:lineRule="exact"/>
              <w:ind w:left="86"/>
              <w:rPr>
                <w:rFonts w:ascii="Arial" w:hAnsi="Arial" w:cs="Arial"/>
                <w:b/>
              </w:rPr>
            </w:pPr>
            <w:r w:rsidRPr="00737CB3">
              <w:rPr>
                <w:rFonts w:ascii="Arial" w:hAnsi="Arial" w:cs="Arial"/>
                <w:b/>
              </w:rPr>
              <w:t>Envelope</w:t>
            </w:r>
          </w:p>
        </w:tc>
        <w:tc>
          <w:tcPr>
            <w:tcW w:w="1688" w:type="dxa"/>
            <w:hideMark/>
          </w:tcPr>
          <w:p w14:paraId="115C3CC8" w14:textId="77777777" w:rsidR="00737CB3" w:rsidRPr="00737CB3" w:rsidRDefault="00737CB3">
            <w:pPr>
              <w:pStyle w:val="TableParagraph"/>
              <w:spacing w:line="225" w:lineRule="exact"/>
              <w:ind w:left="294" w:right="294"/>
              <w:jc w:val="center"/>
              <w:rPr>
                <w:rFonts w:ascii="Arial" w:hAnsi="Arial" w:cs="Arial"/>
              </w:rPr>
            </w:pPr>
            <w:r w:rsidRPr="00737CB3">
              <w:rPr>
                <w:rFonts w:ascii="Arial" w:hAnsi="Arial" w:cs="Arial"/>
              </w:rPr>
              <w:t>5·00</w:t>
            </w:r>
          </w:p>
        </w:tc>
      </w:tr>
      <w:tr w:rsidR="00737CB3" w14:paraId="416F90D6" w14:textId="77777777" w:rsidTr="00D82F1B">
        <w:trPr>
          <w:trHeight w:val="199"/>
        </w:trPr>
        <w:tc>
          <w:tcPr>
            <w:tcW w:w="6810" w:type="dxa"/>
            <w:shd w:val="clear" w:color="auto" w:fill="F2F2F2" w:themeFill="background1" w:themeFillShade="F2"/>
            <w:hideMark/>
          </w:tcPr>
          <w:p w14:paraId="4D83BA01" w14:textId="77777777" w:rsidR="00737CB3" w:rsidRPr="00737CB3" w:rsidRDefault="00737CB3">
            <w:pPr>
              <w:pStyle w:val="TableParagraph"/>
              <w:spacing w:line="223" w:lineRule="exact"/>
              <w:ind w:left="86"/>
              <w:rPr>
                <w:rFonts w:ascii="Arial" w:hAnsi="Arial" w:cs="Arial"/>
                <w:b/>
              </w:rPr>
            </w:pPr>
            <w:r w:rsidRPr="00737CB3">
              <w:rPr>
                <w:rFonts w:ascii="Arial" w:hAnsi="Arial" w:cs="Arial"/>
                <w:b/>
              </w:rPr>
              <w:t>Suspension</w:t>
            </w:r>
            <w:r w:rsidRPr="00737CB3">
              <w:rPr>
                <w:rFonts w:ascii="Arial" w:hAnsi="Arial" w:cs="Arial"/>
                <w:b/>
                <w:spacing w:val="-4"/>
              </w:rPr>
              <w:t xml:space="preserve"> </w:t>
            </w:r>
            <w:r w:rsidRPr="00737CB3">
              <w:rPr>
                <w:rFonts w:ascii="Arial" w:hAnsi="Arial" w:cs="Arial"/>
                <w:b/>
              </w:rPr>
              <w:t>and</w:t>
            </w:r>
            <w:r w:rsidRPr="00737CB3">
              <w:rPr>
                <w:rFonts w:ascii="Arial" w:hAnsi="Arial" w:cs="Arial"/>
                <w:b/>
                <w:spacing w:val="-3"/>
              </w:rPr>
              <w:t xml:space="preserve"> </w:t>
            </w:r>
            <w:r w:rsidRPr="00737CB3">
              <w:rPr>
                <w:rFonts w:ascii="Arial" w:hAnsi="Arial" w:cs="Arial"/>
                <w:b/>
              </w:rPr>
              <w:t>tethering</w:t>
            </w:r>
            <w:r w:rsidRPr="00737CB3">
              <w:rPr>
                <w:rFonts w:ascii="Arial" w:hAnsi="Arial" w:cs="Arial"/>
                <w:b/>
                <w:spacing w:val="-6"/>
              </w:rPr>
              <w:t xml:space="preserve"> </w:t>
            </w:r>
            <w:r w:rsidRPr="00737CB3">
              <w:rPr>
                <w:rFonts w:ascii="Arial" w:hAnsi="Arial" w:cs="Arial"/>
                <w:b/>
              </w:rPr>
              <w:t>components</w:t>
            </w:r>
            <w:r w:rsidRPr="00737CB3">
              <w:rPr>
                <w:rFonts w:ascii="Arial" w:hAnsi="Arial" w:cs="Arial"/>
                <w:b/>
                <w:spacing w:val="-3"/>
              </w:rPr>
              <w:t xml:space="preserve"> </w:t>
            </w:r>
            <w:r w:rsidRPr="00737CB3">
              <w:rPr>
                <w:rFonts w:ascii="Arial" w:hAnsi="Arial" w:cs="Arial"/>
                <w:b/>
              </w:rPr>
              <w:t>(fibrous</w:t>
            </w:r>
            <w:r w:rsidRPr="00737CB3">
              <w:rPr>
                <w:rFonts w:ascii="Arial" w:hAnsi="Arial" w:cs="Arial"/>
                <w:b/>
                <w:spacing w:val="-4"/>
              </w:rPr>
              <w:t xml:space="preserve"> </w:t>
            </w:r>
            <w:r w:rsidRPr="00737CB3">
              <w:rPr>
                <w:rFonts w:ascii="Arial" w:hAnsi="Arial" w:cs="Arial"/>
                <w:b/>
              </w:rPr>
              <w:t>or</w:t>
            </w:r>
            <w:r w:rsidRPr="00737CB3">
              <w:rPr>
                <w:rFonts w:ascii="Arial" w:hAnsi="Arial" w:cs="Arial"/>
                <w:b/>
                <w:spacing w:val="-5"/>
              </w:rPr>
              <w:t xml:space="preserve"> </w:t>
            </w:r>
            <w:r w:rsidRPr="00737CB3">
              <w:rPr>
                <w:rFonts w:ascii="Arial" w:hAnsi="Arial" w:cs="Arial"/>
                <w:b/>
              </w:rPr>
              <w:t>non-metallic)</w:t>
            </w:r>
          </w:p>
        </w:tc>
        <w:tc>
          <w:tcPr>
            <w:tcW w:w="1688" w:type="dxa"/>
            <w:hideMark/>
          </w:tcPr>
          <w:p w14:paraId="51839ECA" w14:textId="77777777" w:rsidR="00737CB3" w:rsidRPr="00737CB3" w:rsidRDefault="00737CB3">
            <w:pPr>
              <w:pStyle w:val="TableParagraph"/>
              <w:spacing w:line="223" w:lineRule="exact"/>
              <w:ind w:left="294" w:right="294"/>
              <w:jc w:val="center"/>
              <w:rPr>
                <w:rFonts w:ascii="Arial" w:hAnsi="Arial" w:cs="Arial"/>
              </w:rPr>
            </w:pPr>
            <w:r w:rsidRPr="00737CB3">
              <w:rPr>
                <w:rFonts w:ascii="Arial" w:hAnsi="Arial" w:cs="Arial"/>
              </w:rPr>
              <w:t>3·50</w:t>
            </w:r>
          </w:p>
        </w:tc>
      </w:tr>
      <w:tr w:rsidR="00737CB3" w14:paraId="369EED25" w14:textId="77777777" w:rsidTr="00D82F1B">
        <w:trPr>
          <w:trHeight w:val="202"/>
        </w:trPr>
        <w:tc>
          <w:tcPr>
            <w:tcW w:w="6810" w:type="dxa"/>
            <w:shd w:val="clear" w:color="auto" w:fill="F2F2F2" w:themeFill="background1" w:themeFillShade="F2"/>
            <w:hideMark/>
          </w:tcPr>
          <w:p w14:paraId="70143955" w14:textId="77777777" w:rsidR="00737CB3" w:rsidRPr="00737CB3" w:rsidRDefault="00737CB3">
            <w:pPr>
              <w:pStyle w:val="TableParagraph"/>
              <w:spacing w:line="225" w:lineRule="exact"/>
              <w:ind w:left="86"/>
              <w:rPr>
                <w:rFonts w:ascii="Arial" w:hAnsi="Arial" w:cs="Arial"/>
                <w:b/>
              </w:rPr>
            </w:pPr>
            <w:r w:rsidRPr="00737CB3">
              <w:rPr>
                <w:rFonts w:ascii="Arial" w:hAnsi="Arial" w:cs="Arial"/>
                <w:b/>
              </w:rPr>
              <w:t>Suspension</w:t>
            </w:r>
            <w:r w:rsidRPr="00737CB3">
              <w:rPr>
                <w:rFonts w:ascii="Arial" w:hAnsi="Arial" w:cs="Arial"/>
                <w:b/>
                <w:spacing w:val="-5"/>
              </w:rPr>
              <w:t xml:space="preserve"> </w:t>
            </w:r>
            <w:r w:rsidRPr="00737CB3">
              <w:rPr>
                <w:rFonts w:ascii="Arial" w:hAnsi="Arial" w:cs="Arial"/>
                <w:b/>
              </w:rPr>
              <w:t>and</w:t>
            </w:r>
            <w:r w:rsidRPr="00737CB3">
              <w:rPr>
                <w:rFonts w:ascii="Arial" w:hAnsi="Arial" w:cs="Arial"/>
                <w:b/>
                <w:spacing w:val="-4"/>
              </w:rPr>
              <w:t xml:space="preserve"> </w:t>
            </w:r>
            <w:r w:rsidRPr="00737CB3">
              <w:rPr>
                <w:rFonts w:ascii="Arial" w:hAnsi="Arial" w:cs="Arial"/>
                <w:b/>
              </w:rPr>
              <w:t>tethering</w:t>
            </w:r>
            <w:r w:rsidRPr="00737CB3">
              <w:rPr>
                <w:rFonts w:ascii="Arial" w:hAnsi="Arial" w:cs="Arial"/>
                <w:b/>
                <w:spacing w:val="-7"/>
              </w:rPr>
              <w:t xml:space="preserve"> </w:t>
            </w:r>
            <w:r w:rsidRPr="00737CB3">
              <w:rPr>
                <w:rFonts w:ascii="Arial" w:hAnsi="Arial" w:cs="Arial"/>
                <w:b/>
              </w:rPr>
              <w:t>components</w:t>
            </w:r>
            <w:r w:rsidRPr="00737CB3">
              <w:rPr>
                <w:rFonts w:ascii="Arial" w:hAnsi="Arial" w:cs="Arial"/>
                <w:b/>
                <w:spacing w:val="-4"/>
              </w:rPr>
              <w:t xml:space="preserve"> </w:t>
            </w:r>
            <w:r w:rsidRPr="00737CB3">
              <w:rPr>
                <w:rFonts w:ascii="Arial" w:hAnsi="Arial" w:cs="Arial"/>
                <w:b/>
              </w:rPr>
              <w:t>(metallic)</w:t>
            </w:r>
          </w:p>
        </w:tc>
        <w:tc>
          <w:tcPr>
            <w:tcW w:w="1688" w:type="dxa"/>
            <w:hideMark/>
          </w:tcPr>
          <w:p w14:paraId="52E858AE" w14:textId="77777777" w:rsidR="00737CB3" w:rsidRPr="00737CB3" w:rsidRDefault="00737CB3">
            <w:pPr>
              <w:pStyle w:val="TableParagraph"/>
              <w:spacing w:line="225" w:lineRule="exact"/>
              <w:ind w:left="294" w:right="294"/>
              <w:jc w:val="center"/>
              <w:rPr>
                <w:rFonts w:ascii="Arial" w:hAnsi="Arial" w:cs="Arial"/>
              </w:rPr>
            </w:pPr>
            <w:r w:rsidRPr="00737CB3">
              <w:rPr>
                <w:rFonts w:ascii="Arial" w:hAnsi="Arial" w:cs="Arial"/>
              </w:rPr>
              <w:t>2·50</w:t>
            </w:r>
          </w:p>
        </w:tc>
      </w:tr>
      <w:tr w:rsidR="00737CB3" w14:paraId="5422B2C0" w14:textId="77777777" w:rsidTr="00D82F1B">
        <w:trPr>
          <w:trHeight w:val="200"/>
        </w:trPr>
        <w:tc>
          <w:tcPr>
            <w:tcW w:w="6810" w:type="dxa"/>
            <w:shd w:val="clear" w:color="auto" w:fill="F2F2F2" w:themeFill="background1" w:themeFillShade="F2"/>
            <w:hideMark/>
          </w:tcPr>
          <w:p w14:paraId="09FC676E" w14:textId="77777777" w:rsidR="00737CB3" w:rsidRPr="00737CB3" w:rsidRDefault="00737CB3">
            <w:pPr>
              <w:pStyle w:val="TableParagraph"/>
              <w:spacing w:line="224" w:lineRule="exact"/>
              <w:ind w:left="86"/>
              <w:rPr>
                <w:rFonts w:ascii="Arial" w:hAnsi="Arial" w:cs="Arial"/>
                <w:b/>
              </w:rPr>
            </w:pPr>
            <w:r w:rsidRPr="00737CB3">
              <w:rPr>
                <w:rFonts w:ascii="Arial" w:hAnsi="Arial" w:cs="Arial"/>
                <w:b/>
              </w:rPr>
              <w:t>Other</w:t>
            </w:r>
            <w:r w:rsidRPr="00737CB3">
              <w:rPr>
                <w:rFonts w:ascii="Arial" w:hAnsi="Arial" w:cs="Arial"/>
                <w:b/>
                <w:spacing w:val="-4"/>
              </w:rPr>
              <w:t xml:space="preserve"> </w:t>
            </w:r>
            <w:r w:rsidRPr="00737CB3">
              <w:rPr>
                <w:rFonts w:ascii="Arial" w:hAnsi="Arial" w:cs="Arial"/>
                <w:b/>
              </w:rPr>
              <w:t>(This</w:t>
            </w:r>
            <w:r w:rsidRPr="00737CB3">
              <w:rPr>
                <w:rFonts w:ascii="Arial" w:hAnsi="Arial" w:cs="Arial"/>
                <w:b/>
                <w:spacing w:val="-4"/>
              </w:rPr>
              <w:t xml:space="preserve"> </w:t>
            </w:r>
            <w:r w:rsidRPr="00737CB3">
              <w:rPr>
                <w:rFonts w:ascii="Arial" w:hAnsi="Arial" w:cs="Arial"/>
                <w:b/>
              </w:rPr>
              <w:t>includes</w:t>
            </w:r>
            <w:r w:rsidRPr="00737CB3">
              <w:rPr>
                <w:rFonts w:ascii="Arial" w:hAnsi="Arial" w:cs="Arial"/>
                <w:b/>
                <w:spacing w:val="-5"/>
              </w:rPr>
              <w:t xml:space="preserve"> </w:t>
            </w:r>
            <w:r w:rsidRPr="00737CB3">
              <w:rPr>
                <w:rFonts w:ascii="Arial" w:hAnsi="Arial" w:cs="Arial"/>
                <w:b/>
              </w:rPr>
              <w:t>mooring</w:t>
            </w:r>
            <w:r w:rsidRPr="00737CB3">
              <w:rPr>
                <w:rFonts w:ascii="Arial" w:hAnsi="Arial" w:cs="Arial"/>
                <w:b/>
                <w:spacing w:val="-6"/>
              </w:rPr>
              <w:t xml:space="preserve"> </w:t>
            </w:r>
            <w:r w:rsidRPr="00737CB3">
              <w:rPr>
                <w:rFonts w:ascii="Arial" w:hAnsi="Arial" w:cs="Arial"/>
                <w:b/>
              </w:rPr>
              <w:t>components</w:t>
            </w:r>
            <w:r w:rsidRPr="00737CB3">
              <w:rPr>
                <w:rFonts w:ascii="Arial" w:hAnsi="Arial" w:cs="Arial"/>
                <w:b/>
                <w:spacing w:val="-4"/>
              </w:rPr>
              <w:t xml:space="preserve"> </w:t>
            </w:r>
            <w:r w:rsidRPr="00737CB3">
              <w:rPr>
                <w:rFonts w:ascii="Arial" w:hAnsi="Arial" w:cs="Arial"/>
                <w:b/>
              </w:rPr>
              <w:t>not</w:t>
            </w:r>
            <w:r w:rsidRPr="00737CB3">
              <w:rPr>
                <w:rFonts w:ascii="Arial" w:hAnsi="Arial" w:cs="Arial"/>
                <w:b/>
                <w:spacing w:val="-5"/>
              </w:rPr>
              <w:t xml:space="preserve"> </w:t>
            </w:r>
            <w:r w:rsidRPr="00737CB3">
              <w:rPr>
                <w:rFonts w:ascii="Arial" w:hAnsi="Arial" w:cs="Arial"/>
                <w:b/>
              </w:rPr>
              <w:t>used</w:t>
            </w:r>
            <w:r w:rsidRPr="00737CB3">
              <w:rPr>
                <w:rFonts w:ascii="Arial" w:hAnsi="Arial" w:cs="Arial"/>
                <w:b/>
                <w:spacing w:val="-3"/>
              </w:rPr>
              <w:t xml:space="preserve"> </w:t>
            </w:r>
            <w:r w:rsidRPr="00737CB3">
              <w:rPr>
                <w:rFonts w:ascii="Arial" w:hAnsi="Arial" w:cs="Arial"/>
                <w:b/>
              </w:rPr>
              <w:t>for</w:t>
            </w:r>
            <w:r w:rsidRPr="00737CB3">
              <w:rPr>
                <w:rFonts w:ascii="Arial" w:hAnsi="Arial" w:cs="Arial"/>
                <w:b/>
                <w:spacing w:val="5"/>
              </w:rPr>
              <w:t xml:space="preserve"> </w:t>
            </w:r>
            <w:r w:rsidRPr="00737CB3">
              <w:rPr>
                <w:rFonts w:ascii="Arial" w:hAnsi="Arial" w:cs="Arial"/>
                <w:b/>
              </w:rPr>
              <w:t>suspension</w:t>
            </w:r>
            <w:r w:rsidRPr="00737CB3">
              <w:rPr>
                <w:rFonts w:ascii="Arial" w:hAnsi="Arial" w:cs="Arial"/>
                <w:b/>
                <w:spacing w:val="-3"/>
              </w:rPr>
              <w:t xml:space="preserve"> </w:t>
            </w:r>
            <w:r w:rsidRPr="00737CB3">
              <w:rPr>
                <w:rFonts w:ascii="Arial" w:hAnsi="Arial" w:cs="Arial"/>
                <w:b/>
              </w:rPr>
              <w:t>or</w:t>
            </w:r>
            <w:r w:rsidRPr="00737CB3">
              <w:rPr>
                <w:rFonts w:ascii="Arial" w:hAnsi="Arial" w:cs="Arial"/>
                <w:b/>
                <w:spacing w:val="-4"/>
              </w:rPr>
              <w:t xml:space="preserve"> </w:t>
            </w:r>
            <w:r w:rsidRPr="00737CB3">
              <w:rPr>
                <w:rFonts w:ascii="Arial" w:hAnsi="Arial" w:cs="Arial"/>
                <w:b/>
              </w:rPr>
              <w:t>tethering)</w:t>
            </w:r>
          </w:p>
        </w:tc>
        <w:tc>
          <w:tcPr>
            <w:tcW w:w="1688" w:type="dxa"/>
            <w:hideMark/>
          </w:tcPr>
          <w:p w14:paraId="3318A946" w14:textId="77777777" w:rsidR="00737CB3" w:rsidRPr="00737CB3" w:rsidRDefault="00737CB3">
            <w:pPr>
              <w:pStyle w:val="TableParagraph"/>
              <w:spacing w:line="224" w:lineRule="exact"/>
              <w:ind w:left="294" w:right="294"/>
              <w:jc w:val="center"/>
              <w:rPr>
                <w:rFonts w:ascii="Arial" w:hAnsi="Arial" w:cs="Arial"/>
              </w:rPr>
            </w:pPr>
            <w:r w:rsidRPr="00737CB3">
              <w:rPr>
                <w:rFonts w:ascii="Arial" w:hAnsi="Arial" w:cs="Arial"/>
              </w:rPr>
              <w:t>1·50</w:t>
            </w:r>
          </w:p>
        </w:tc>
      </w:tr>
    </w:tbl>
    <w:p w14:paraId="52306529" w14:textId="77777777" w:rsidR="00737CB3" w:rsidRPr="00737CB3" w:rsidRDefault="00737CB3" w:rsidP="005F6871">
      <w:pPr>
        <w:pStyle w:val="ListParagraph"/>
        <w:numPr>
          <w:ilvl w:val="0"/>
          <w:numId w:val="424"/>
        </w:numPr>
        <w:tabs>
          <w:tab w:val="left" w:pos="707"/>
        </w:tabs>
        <w:spacing w:before="117" w:line="276" w:lineRule="auto"/>
        <w:ind w:right="26"/>
        <w:jc w:val="both"/>
        <w:rPr>
          <w:rFonts w:ascii="Arial" w:hAnsi="Arial" w:cs="Arial"/>
          <w:sz w:val="20"/>
        </w:rPr>
      </w:pPr>
      <w:r w:rsidRPr="00737CB3">
        <w:rPr>
          <w:rFonts w:ascii="Arial" w:hAnsi="Arial" w:cs="Arial"/>
          <w:sz w:val="20"/>
        </w:rPr>
        <w:t>Regardless of the materials used, the load-bearing components of the suspension and tethering system is designed so that failure of any single component will not jeopardise safety of flight, and that total failure is extremely remote. Account is taken of any reasonably foreseeable dynamic or asymmetric loading affects associated with the initial element's failure.</w:t>
      </w:r>
    </w:p>
    <w:p w14:paraId="25A5C7F0" w14:textId="77777777" w:rsidR="00737CB3" w:rsidRPr="00737CB3" w:rsidRDefault="00737CB3" w:rsidP="005F6871">
      <w:pPr>
        <w:pStyle w:val="ListParagraph"/>
        <w:numPr>
          <w:ilvl w:val="0"/>
          <w:numId w:val="424"/>
        </w:numPr>
        <w:tabs>
          <w:tab w:val="left" w:pos="707"/>
        </w:tabs>
        <w:spacing w:before="117" w:line="276" w:lineRule="auto"/>
        <w:ind w:right="26"/>
        <w:jc w:val="both"/>
        <w:rPr>
          <w:rFonts w:ascii="Arial" w:hAnsi="Arial" w:cs="Arial"/>
          <w:sz w:val="20"/>
        </w:rPr>
      </w:pPr>
      <w:r w:rsidRPr="00737CB3">
        <w:rPr>
          <w:rFonts w:ascii="Arial" w:hAnsi="Arial" w:cs="Arial"/>
          <w:sz w:val="20"/>
        </w:rPr>
        <w:t>Where no provision is made for duplication in the suspension or tether system, the factor of safety is to be multiplied by a factor of 1·5.</w:t>
      </w:r>
    </w:p>
    <w:p w14:paraId="63F40732" w14:textId="77777777" w:rsidR="00737CB3" w:rsidRPr="00737CB3" w:rsidRDefault="00737CB3" w:rsidP="005F6871">
      <w:pPr>
        <w:pStyle w:val="ListParagraph"/>
        <w:numPr>
          <w:ilvl w:val="0"/>
          <w:numId w:val="424"/>
        </w:numPr>
        <w:tabs>
          <w:tab w:val="left" w:pos="707"/>
        </w:tabs>
        <w:spacing w:before="117" w:line="276" w:lineRule="auto"/>
        <w:ind w:right="26"/>
        <w:jc w:val="both"/>
        <w:rPr>
          <w:rFonts w:ascii="Arial" w:hAnsi="Arial" w:cs="Arial"/>
          <w:sz w:val="20"/>
        </w:rPr>
      </w:pPr>
      <w:r w:rsidRPr="00737CB3">
        <w:rPr>
          <w:rFonts w:ascii="Arial" w:hAnsi="Arial" w:cs="Arial"/>
          <w:sz w:val="20"/>
        </w:rPr>
        <w:t>For design purposes, an occupant mass of at least 77 kg is assumed.</w:t>
      </w:r>
    </w:p>
    <w:p w14:paraId="23C4EE2B" w14:textId="77777777" w:rsidR="000D010F" w:rsidRPr="000D010F" w:rsidRDefault="000D010F" w:rsidP="000D010F">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508" w:name="AMC1_31TGB.25(b)_Factors_of_safety"/>
      <w:bookmarkStart w:id="1509" w:name="_bookmark614"/>
      <w:bookmarkStart w:id="1510" w:name="_Toc153137776"/>
      <w:bookmarkEnd w:id="1508"/>
      <w:bookmarkEnd w:id="1509"/>
      <w:r w:rsidRPr="000D010F">
        <w:rPr>
          <w:rFonts w:ascii="Arial" w:eastAsia="Times New Roman" w:hAnsi="Arial" w:cs="Times New Roman"/>
          <w:b/>
          <w:color w:val="FFFFFF"/>
          <w:sz w:val="24"/>
        </w:rPr>
        <w:t>AMC1 31TGB.25(b) Factors of safety</w:t>
      </w:r>
      <w:bookmarkEnd w:id="1510"/>
    </w:p>
    <w:p w14:paraId="54F1BBC4" w14:textId="77777777" w:rsidR="000D010F" w:rsidRPr="000D010F" w:rsidRDefault="000D010F" w:rsidP="000D010F">
      <w:pPr>
        <w:pStyle w:val="BodyText"/>
        <w:spacing w:before="117" w:line="276" w:lineRule="auto"/>
        <w:ind w:right="26"/>
        <w:jc w:val="both"/>
        <w:rPr>
          <w:rFonts w:ascii="Arial" w:hAnsi="Arial" w:cs="Arial"/>
          <w:sz w:val="20"/>
        </w:rPr>
      </w:pPr>
      <w:r w:rsidRPr="000D010F">
        <w:rPr>
          <w:rFonts w:ascii="Arial" w:hAnsi="Arial" w:cs="Arial"/>
          <w:sz w:val="20"/>
        </w:rPr>
        <w:t>The dynamic loads on a balloon system are difficult to evaluate because metal or textile parts behave quite different.</w:t>
      </w:r>
    </w:p>
    <w:p w14:paraId="58BD275E" w14:textId="77777777" w:rsidR="000D010F" w:rsidRPr="000D010F" w:rsidRDefault="000D010F" w:rsidP="000D010F">
      <w:pPr>
        <w:pStyle w:val="BodyText"/>
        <w:spacing w:before="117" w:line="276" w:lineRule="auto"/>
        <w:ind w:right="26"/>
        <w:jc w:val="both"/>
        <w:rPr>
          <w:rFonts w:ascii="Arial" w:hAnsi="Arial" w:cs="Arial"/>
          <w:sz w:val="20"/>
        </w:rPr>
      </w:pPr>
      <w:r w:rsidRPr="000D010F">
        <w:rPr>
          <w:rFonts w:ascii="Arial" w:hAnsi="Arial" w:cs="Arial"/>
          <w:sz w:val="20"/>
        </w:rPr>
        <w:t>In absence of a more suitable method or as replacement of a load test, the failure of the load bearing component shall be shown by the following method:</w:t>
      </w:r>
    </w:p>
    <w:p w14:paraId="6B9C20D4" w14:textId="77777777" w:rsidR="000D010F" w:rsidRPr="000D010F" w:rsidRDefault="000D010F" w:rsidP="000D010F">
      <w:pPr>
        <w:pStyle w:val="BodyText"/>
        <w:spacing w:before="117" w:line="276" w:lineRule="auto"/>
        <w:ind w:right="26"/>
        <w:jc w:val="both"/>
        <w:rPr>
          <w:rFonts w:ascii="Arial" w:hAnsi="Arial" w:cs="Arial"/>
          <w:sz w:val="20"/>
        </w:rPr>
      </w:pPr>
      <w:r w:rsidRPr="000D010F">
        <w:rPr>
          <w:rFonts w:ascii="Arial" w:hAnsi="Arial" w:cs="Arial"/>
          <w:sz w:val="20"/>
        </w:rPr>
        <w:t>Multiply the limit load in the failing load path by two and distribute it as a static load among the remaining load paths.</w:t>
      </w:r>
    </w:p>
    <w:p w14:paraId="5FA4637E" w14:textId="77777777" w:rsidR="000D010F" w:rsidRPr="000D010F" w:rsidRDefault="000D010F" w:rsidP="000D010F">
      <w:pPr>
        <w:pStyle w:val="BodyText"/>
        <w:spacing w:before="117" w:line="276" w:lineRule="auto"/>
        <w:ind w:right="26"/>
        <w:jc w:val="both"/>
        <w:rPr>
          <w:rFonts w:ascii="Arial" w:hAnsi="Arial" w:cs="Arial"/>
          <w:sz w:val="20"/>
        </w:rPr>
      </w:pPr>
      <w:r w:rsidRPr="000D010F">
        <w:rPr>
          <w:rFonts w:ascii="Arial" w:hAnsi="Arial" w:cs="Arial"/>
          <w:sz w:val="20"/>
        </w:rPr>
        <w:t>For conventional designs, this is an appropriate method which is based on good service experience.</w:t>
      </w:r>
    </w:p>
    <w:p w14:paraId="4089C9FE" w14:textId="77777777" w:rsidR="000D010F" w:rsidRPr="000D010F" w:rsidRDefault="000D010F" w:rsidP="000D010F">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511" w:name="CS_31TGB.27_Strength_and_proof_of_streng"/>
      <w:bookmarkStart w:id="1512" w:name="_bookmark615"/>
      <w:bookmarkStart w:id="1513" w:name="_Toc153137777"/>
      <w:bookmarkEnd w:id="1511"/>
      <w:bookmarkEnd w:id="1512"/>
      <w:r w:rsidRPr="000D010F">
        <w:rPr>
          <w:rFonts w:ascii="Arial" w:eastAsia="Times New Roman" w:hAnsi="Arial" w:cs="Times New Roman"/>
          <w:b/>
          <w:iCs/>
          <w:color w:val="FFFFFF"/>
          <w:sz w:val="24"/>
        </w:rPr>
        <w:t>CS 31TGB.27 Strength and proof of strength</w:t>
      </w:r>
      <w:bookmarkEnd w:id="1513"/>
    </w:p>
    <w:p w14:paraId="0116DA5D" w14:textId="77777777" w:rsidR="000D010F" w:rsidRPr="000D010F" w:rsidRDefault="000D010F" w:rsidP="005F6871">
      <w:pPr>
        <w:pStyle w:val="ListParagraph"/>
        <w:numPr>
          <w:ilvl w:val="0"/>
          <w:numId w:val="425"/>
        </w:numPr>
        <w:tabs>
          <w:tab w:val="left" w:pos="707"/>
        </w:tabs>
        <w:spacing w:before="117" w:line="276" w:lineRule="auto"/>
        <w:ind w:right="26"/>
        <w:jc w:val="both"/>
        <w:rPr>
          <w:rFonts w:ascii="Arial" w:hAnsi="Arial" w:cs="Arial"/>
          <w:sz w:val="20"/>
        </w:rPr>
      </w:pPr>
      <w:r w:rsidRPr="000D010F">
        <w:rPr>
          <w:rFonts w:ascii="Arial" w:hAnsi="Arial" w:cs="Arial"/>
          <w:sz w:val="20"/>
        </w:rPr>
        <w:t>The structure is able to support limit loads without permanent deformation or other detrimental effects.</w:t>
      </w:r>
    </w:p>
    <w:p w14:paraId="64C3C107" w14:textId="77777777" w:rsidR="000D010F" w:rsidRPr="000D010F" w:rsidRDefault="000D010F" w:rsidP="005F6871">
      <w:pPr>
        <w:pStyle w:val="ListParagraph"/>
        <w:numPr>
          <w:ilvl w:val="0"/>
          <w:numId w:val="425"/>
        </w:numPr>
        <w:tabs>
          <w:tab w:val="left" w:pos="707"/>
        </w:tabs>
        <w:spacing w:before="117" w:line="276" w:lineRule="auto"/>
        <w:ind w:right="26"/>
        <w:jc w:val="both"/>
        <w:rPr>
          <w:rFonts w:ascii="Arial" w:hAnsi="Arial" w:cs="Arial"/>
          <w:sz w:val="20"/>
        </w:rPr>
      </w:pPr>
      <w:r w:rsidRPr="000D010F">
        <w:rPr>
          <w:rFonts w:ascii="Arial" w:hAnsi="Arial" w:cs="Arial"/>
          <w:sz w:val="20"/>
        </w:rPr>
        <w:t>The structure is able to withstand ultimate loads for at least 3 seconds without failure.</w:t>
      </w:r>
    </w:p>
    <w:p w14:paraId="44D11FEE" w14:textId="77777777" w:rsidR="000D010F" w:rsidRPr="000D010F" w:rsidRDefault="000D010F" w:rsidP="005F6871">
      <w:pPr>
        <w:pStyle w:val="ListParagraph"/>
        <w:numPr>
          <w:ilvl w:val="0"/>
          <w:numId w:val="425"/>
        </w:numPr>
        <w:tabs>
          <w:tab w:val="left" w:pos="707"/>
        </w:tabs>
        <w:spacing w:before="117" w:line="276" w:lineRule="auto"/>
        <w:ind w:right="26"/>
        <w:jc w:val="both"/>
        <w:rPr>
          <w:rFonts w:ascii="Arial" w:hAnsi="Arial" w:cs="Arial"/>
          <w:sz w:val="20"/>
        </w:rPr>
      </w:pPr>
      <w:r w:rsidRPr="000D010F">
        <w:rPr>
          <w:rFonts w:ascii="Arial" w:hAnsi="Arial" w:cs="Arial"/>
          <w:sz w:val="20"/>
        </w:rPr>
        <w:t>Proof of strength of the envelope material and other critical design features are tested.</w:t>
      </w:r>
    </w:p>
    <w:p w14:paraId="25C2D277" w14:textId="77777777" w:rsidR="000D010F" w:rsidRPr="000D010F" w:rsidRDefault="000D010F" w:rsidP="005F6871">
      <w:pPr>
        <w:pStyle w:val="ListParagraph"/>
        <w:numPr>
          <w:ilvl w:val="0"/>
          <w:numId w:val="425"/>
        </w:numPr>
        <w:tabs>
          <w:tab w:val="left" w:pos="707"/>
        </w:tabs>
        <w:spacing w:before="117" w:line="276" w:lineRule="auto"/>
        <w:ind w:right="26"/>
        <w:jc w:val="both"/>
        <w:rPr>
          <w:rFonts w:ascii="Arial" w:hAnsi="Arial" w:cs="Arial"/>
          <w:sz w:val="20"/>
        </w:rPr>
      </w:pPr>
      <w:r w:rsidRPr="000D010F">
        <w:rPr>
          <w:rFonts w:ascii="Arial" w:hAnsi="Arial" w:cs="Arial"/>
          <w:sz w:val="20"/>
        </w:rPr>
        <w:t>The gondola is of a generally robust design and provides the occupants adequate protection during a hard landing.</w:t>
      </w:r>
    </w:p>
    <w:p w14:paraId="3E10F360" w14:textId="77777777" w:rsidR="000D010F" w:rsidRPr="000D010F" w:rsidRDefault="000D010F" w:rsidP="005F6871">
      <w:pPr>
        <w:pStyle w:val="ListParagraph"/>
        <w:numPr>
          <w:ilvl w:val="0"/>
          <w:numId w:val="425"/>
        </w:numPr>
        <w:tabs>
          <w:tab w:val="left" w:pos="707"/>
        </w:tabs>
        <w:spacing w:before="117" w:line="276" w:lineRule="auto"/>
        <w:ind w:right="26"/>
        <w:jc w:val="both"/>
        <w:rPr>
          <w:rFonts w:ascii="Arial" w:hAnsi="Arial" w:cs="Arial"/>
          <w:sz w:val="20"/>
        </w:rPr>
      </w:pPr>
      <w:r w:rsidRPr="000D010F">
        <w:rPr>
          <w:rFonts w:ascii="Arial" w:hAnsi="Arial" w:cs="Arial"/>
          <w:sz w:val="20"/>
        </w:rPr>
        <w:t>The design and strength of components also considers the effects of recurrent and other loads experienced during transportation, ground handling, and mooring.</w:t>
      </w:r>
    </w:p>
    <w:p w14:paraId="2B55830B" w14:textId="77777777" w:rsidR="000D010F" w:rsidRPr="000D010F" w:rsidRDefault="000D010F" w:rsidP="005F6871">
      <w:pPr>
        <w:pStyle w:val="ListParagraph"/>
        <w:numPr>
          <w:ilvl w:val="0"/>
          <w:numId w:val="425"/>
        </w:numPr>
        <w:tabs>
          <w:tab w:val="left" w:pos="707"/>
        </w:tabs>
        <w:spacing w:before="117" w:line="276" w:lineRule="auto"/>
        <w:ind w:right="26"/>
        <w:jc w:val="both"/>
        <w:rPr>
          <w:rFonts w:ascii="Arial" w:hAnsi="Arial" w:cs="Arial"/>
          <w:sz w:val="20"/>
        </w:rPr>
      </w:pPr>
      <w:r w:rsidRPr="000D010F">
        <w:rPr>
          <w:rFonts w:ascii="Arial" w:hAnsi="Arial" w:cs="Arial"/>
          <w:sz w:val="20"/>
        </w:rPr>
        <w:t>The effect of temperature and other environmental conditions that may affect strength of the balloon is accounted for.</w:t>
      </w:r>
    </w:p>
    <w:p w14:paraId="0A90F652" w14:textId="77777777" w:rsidR="00BF298D" w:rsidRPr="00BF298D" w:rsidRDefault="00BF298D" w:rsidP="00BF298D">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514" w:name="AMC1_31TGB.27(c)_Strength_and_proof_of_s"/>
      <w:bookmarkStart w:id="1515" w:name="_bookmark616"/>
      <w:bookmarkStart w:id="1516" w:name="_Toc153137778"/>
      <w:bookmarkEnd w:id="1514"/>
      <w:bookmarkEnd w:id="1515"/>
      <w:r w:rsidRPr="00BF298D">
        <w:rPr>
          <w:rFonts w:ascii="Arial" w:eastAsia="Times New Roman" w:hAnsi="Arial" w:cs="Times New Roman"/>
          <w:b/>
          <w:color w:val="FFFFFF"/>
          <w:sz w:val="24"/>
        </w:rPr>
        <w:lastRenderedPageBreak/>
        <w:t>AMC1 31TGB.27(c) Strength and proof of strength</w:t>
      </w:r>
      <w:bookmarkEnd w:id="1516"/>
    </w:p>
    <w:p w14:paraId="7646598A" w14:textId="77777777" w:rsidR="00BF298D" w:rsidRPr="00BF298D" w:rsidRDefault="00BF298D" w:rsidP="00BF298D">
      <w:pPr>
        <w:pStyle w:val="BodyText"/>
        <w:spacing w:before="117" w:line="276" w:lineRule="auto"/>
        <w:ind w:right="26"/>
        <w:jc w:val="both"/>
        <w:rPr>
          <w:rFonts w:ascii="Arial" w:hAnsi="Arial" w:cs="Arial"/>
          <w:sz w:val="20"/>
        </w:rPr>
      </w:pPr>
      <w:r w:rsidRPr="00BF298D">
        <w:rPr>
          <w:rFonts w:ascii="Arial" w:hAnsi="Arial" w:cs="Arial"/>
          <w:sz w:val="20"/>
        </w:rPr>
        <w:t>The envelope tests may be performed on representative portions of the envelope provided the dimensions of these portions are sufficiently large to include critical design features and details such as critical seams, joints, load-attachment points, net mesh, etc. Also refer to CS 31TGB.45 for specific tear propagation requirements.</w:t>
      </w:r>
    </w:p>
    <w:p w14:paraId="03E5F45A" w14:textId="77777777" w:rsidR="00BF298D" w:rsidRPr="00BF298D" w:rsidRDefault="00BF298D" w:rsidP="00BF298D">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517" w:name="AMC1_31TGB.27(e)_Strength_and_proof_of_s"/>
      <w:bookmarkStart w:id="1518" w:name="_bookmark617"/>
      <w:bookmarkStart w:id="1519" w:name="_Toc153137779"/>
      <w:bookmarkEnd w:id="1517"/>
      <w:bookmarkEnd w:id="1518"/>
      <w:r w:rsidRPr="00BF298D">
        <w:rPr>
          <w:rFonts w:ascii="Arial" w:eastAsia="Times New Roman" w:hAnsi="Arial" w:cs="Times New Roman"/>
          <w:b/>
          <w:color w:val="FFFFFF"/>
          <w:sz w:val="24"/>
        </w:rPr>
        <w:t>AMC1 31TGB.27(e) Strength and proof of strength</w:t>
      </w:r>
      <w:bookmarkEnd w:id="1519"/>
    </w:p>
    <w:p w14:paraId="27DBE5DB" w14:textId="77777777" w:rsidR="00BF298D" w:rsidRPr="00BF298D" w:rsidRDefault="00BF298D" w:rsidP="00BF298D">
      <w:pPr>
        <w:pStyle w:val="BodyText"/>
        <w:spacing w:before="117" w:line="276" w:lineRule="auto"/>
        <w:ind w:right="26"/>
        <w:jc w:val="both"/>
        <w:rPr>
          <w:rFonts w:ascii="Arial" w:hAnsi="Arial" w:cs="Arial"/>
          <w:sz w:val="20"/>
        </w:rPr>
      </w:pPr>
      <w:r w:rsidRPr="00BF298D">
        <w:rPr>
          <w:rFonts w:ascii="Arial" w:hAnsi="Arial" w:cs="Arial"/>
          <w:sz w:val="20"/>
        </w:rPr>
        <w:t>The strength requirements need to include consideration of loads during transport, ground handling and rigging. The loads need to be determined and the parts and components need to be designed in accordance with their designated use and dimensioned such as not to fail under recurrent loads.</w:t>
      </w:r>
    </w:p>
    <w:p w14:paraId="3A0DCF23" w14:textId="77777777" w:rsidR="00AA4424" w:rsidRDefault="00AA4424" w:rsidP="006F1C03">
      <w:pPr>
        <w:pStyle w:val="BodyText"/>
        <w:spacing w:before="117" w:line="276" w:lineRule="auto"/>
        <w:ind w:right="26"/>
        <w:jc w:val="both"/>
        <w:rPr>
          <w:rFonts w:ascii="Arial" w:hAnsi="Arial" w:cs="Arial"/>
          <w:sz w:val="20"/>
        </w:rPr>
      </w:pPr>
    </w:p>
    <w:p w14:paraId="3ED03D9E" w14:textId="77777777" w:rsidR="00836433" w:rsidRDefault="00836433" w:rsidP="006F1C03">
      <w:pPr>
        <w:pStyle w:val="BodyText"/>
        <w:spacing w:before="117" w:line="276" w:lineRule="auto"/>
        <w:ind w:right="26"/>
        <w:jc w:val="both"/>
        <w:rPr>
          <w:rFonts w:ascii="Arial" w:hAnsi="Arial" w:cs="Arial"/>
          <w:sz w:val="20"/>
        </w:rPr>
      </w:pPr>
    </w:p>
    <w:p w14:paraId="55D8B050" w14:textId="77777777" w:rsidR="00836433" w:rsidRDefault="00836433" w:rsidP="006F1C03">
      <w:pPr>
        <w:pStyle w:val="BodyText"/>
        <w:spacing w:before="117" w:line="276" w:lineRule="auto"/>
        <w:ind w:right="26"/>
        <w:jc w:val="both"/>
        <w:rPr>
          <w:rFonts w:ascii="Arial" w:hAnsi="Arial" w:cs="Arial"/>
          <w:sz w:val="20"/>
        </w:rPr>
      </w:pPr>
    </w:p>
    <w:p w14:paraId="74F0C5B3" w14:textId="77777777" w:rsidR="00836433" w:rsidRDefault="00836433" w:rsidP="006F1C03">
      <w:pPr>
        <w:pStyle w:val="BodyText"/>
        <w:spacing w:before="117" w:line="276" w:lineRule="auto"/>
        <w:ind w:right="26"/>
        <w:jc w:val="both"/>
        <w:rPr>
          <w:rFonts w:ascii="Arial" w:hAnsi="Arial" w:cs="Arial"/>
          <w:sz w:val="20"/>
        </w:rPr>
      </w:pPr>
    </w:p>
    <w:p w14:paraId="53DD5FA8" w14:textId="77777777" w:rsidR="00836433" w:rsidRDefault="00836433" w:rsidP="006F1C03">
      <w:pPr>
        <w:pStyle w:val="BodyText"/>
        <w:spacing w:before="117" w:line="276" w:lineRule="auto"/>
        <w:ind w:right="26"/>
        <w:jc w:val="both"/>
        <w:rPr>
          <w:rFonts w:ascii="Arial" w:hAnsi="Arial" w:cs="Arial"/>
          <w:sz w:val="20"/>
        </w:rPr>
      </w:pPr>
    </w:p>
    <w:p w14:paraId="6EABA524" w14:textId="77777777" w:rsidR="00836433" w:rsidRDefault="00836433" w:rsidP="006F1C03">
      <w:pPr>
        <w:pStyle w:val="BodyText"/>
        <w:spacing w:before="117" w:line="276" w:lineRule="auto"/>
        <w:ind w:right="26"/>
        <w:jc w:val="both"/>
        <w:rPr>
          <w:rFonts w:ascii="Arial" w:hAnsi="Arial" w:cs="Arial"/>
          <w:sz w:val="20"/>
        </w:rPr>
      </w:pPr>
    </w:p>
    <w:p w14:paraId="49EB529C" w14:textId="77777777" w:rsidR="00836433" w:rsidRDefault="00836433" w:rsidP="006F1C03">
      <w:pPr>
        <w:pStyle w:val="BodyText"/>
        <w:spacing w:before="117" w:line="276" w:lineRule="auto"/>
        <w:ind w:right="26"/>
        <w:jc w:val="both"/>
        <w:rPr>
          <w:rFonts w:ascii="Arial" w:hAnsi="Arial" w:cs="Arial"/>
          <w:sz w:val="20"/>
        </w:rPr>
      </w:pPr>
    </w:p>
    <w:p w14:paraId="63CD0050" w14:textId="77777777" w:rsidR="00836433" w:rsidRDefault="00836433" w:rsidP="006F1C03">
      <w:pPr>
        <w:pStyle w:val="BodyText"/>
        <w:spacing w:before="117" w:line="276" w:lineRule="auto"/>
        <w:ind w:right="26"/>
        <w:jc w:val="both"/>
        <w:rPr>
          <w:rFonts w:ascii="Arial" w:hAnsi="Arial" w:cs="Arial"/>
          <w:sz w:val="20"/>
        </w:rPr>
      </w:pPr>
    </w:p>
    <w:p w14:paraId="4A91EE81" w14:textId="77777777" w:rsidR="00836433" w:rsidRDefault="00836433" w:rsidP="006F1C03">
      <w:pPr>
        <w:pStyle w:val="BodyText"/>
        <w:spacing w:before="117" w:line="276" w:lineRule="auto"/>
        <w:ind w:right="26"/>
        <w:jc w:val="both"/>
        <w:rPr>
          <w:rFonts w:ascii="Arial" w:hAnsi="Arial" w:cs="Arial"/>
          <w:sz w:val="20"/>
        </w:rPr>
      </w:pPr>
    </w:p>
    <w:p w14:paraId="5B77A4DA" w14:textId="77777777" w:rsidR="00836433" w:rsidRDefault="00836433" w:rsidP="006F1C03">
      <w:pPr>
        <w:pStyle w:val="BodyText"/>
        <w:spacing w:before="117" w:line="276" w:lineRule="auto"/>
        <w:ind w:right="26"/>
        <w:jc w:val="both"/>
        <w:rPr>
          <w:rFonts w:ascii="Arial" w:hAnsi="Arial" w:cs="Arial"/>
          <w:sz w:val="20"/>
        </w:rPr>
      </w:pPr>
    </w:p>
    <w:p w14:paraId="17FC1ECE" w14:textId="77777777" w:rsidR="00836433" w:rsidRDefault="00836433" w:rsidP="006F1C03">
      <w:pPr>
        <w:pStyle w:val="BodyText"/>
        <w:spacing w:before="117" w:line="276" w:lineRule="auto"/>
        <w:ind w:right="26"/>
        <w:jc w:val="both"/>
        <w:rPr>
          <w:rFonts w:ascii="Arial" w:hAnsi="Arial" w:cs="Arial"/>
          <w:sz w:val="20"/>
        </w:rPr>
      </w:pPr>
    </w:p>
    <w:p w14:paraId="3E3695FC" w14:textId="77777777" w:rsidR="00836433" w:rsidRDefault="00836433" w:rsidP="006F1C03">
      <w:pPr>
        <w:pStyle w:val="BodyText"/>
        <w:spacing w:before="117" w:line="276" w:lineRule="auto"/>
        <w:ind w:right="26"/>
        <w:jc w:val="both"/>
        <w:rPr>
          <w:rFonts w:ascii="Arial" w:hAnsi="Arial" w:cs="Arial"/>
          <w:sz w:val="20"/>
        </w:rPr>
      </w:pPr>
    </w:p>
    <w:p w14:paraId="4F24B385" w14:textId="77777777" w:rsidR="00836433" w:rsidRDefault="00836433" w:rsidP="006F1C03">
      <w:pPr>
        <w:pStyle w:val="BodyText"/>
        <w:spacing w:before="117" w:line="276" w:lineRule="auto"/>
        <w:ind w:right="26"/>
        <w:jc w:val="both"/>
        <w:rPr>
          <w:rFonts w:ascii="Arial" w:hAnsi="Arial" w:cs="Arial"/>
          <w:sz w:val="20"/>
        </w:rPr>
      </w:pPr>
    </w:p>
    <w:p w14:paraId="4E07E063" w14:textId="77777777" w:rsidR="00836433" w:rsidRDefault="00836433" w:rsidP="006F1C03">
      <w:pPr>
        <w:pStyle w:val="BodyText"/>
        <w:spacing w:before="117" w:line="276" w:lineRule="auto"/>
        <w:ind w:right="26"/>
        <w:jc w:val="both"/>
        <w:rPr>
          <w:rFonts w:ascii="Arial" w:hAnsi="Arial" w:cs="Arial"/>
          <w:sz w:val="20"/>
        </w:rPr>
      </w:pPr>
    </w:p>
    <w:p w14:paraId="1F382576" w14:textId="77777777" w:rsidR="00836433" w:rsidRDefault="00836433" w:rsidP="006F1C03">
      <w:pPr>
        <w:pStyle w:val="BodyText"/>
        <w:spacing w:before="117" w:line="276" w:lineRule="auto"/>
        <w:ind w:right="26"/>
        <w:jc w:val="both"/>
        <w:rPr>
          <w:rFonts w:ascii="Arial" w:hAnsi="Arial" w:cs="Arial"/>
          <w:sz w:val="20"/>
        </w:rPr>
      </w:pPr>
    </w:p>
    <w:p w14:paraId="4801DE22" w14:textId="77777777" w:rsidR="00836433" w:rsidRDefault="00836433" w:rsidP="006F1C03">
      <w:pPr>
        <w:pStyle w:val="BodyText"/>
        <w:spacing w:before="117" w:line="276" w:lineRule="auto"/>
        <w:ind w:right="26"/>
        <w:jc w:val="both"/>
        <w:rPr>
          <w:rFonts w:ascii="Arial" w:hAnsi="Arial" w:cs="Arial"/>
          <w:sz w:val="20"/>
        </w:rPr>
      </w:pPr>
    </w:p>
    <w:p w14:paraId="0AB39605" w14:textId="77777777" w:rsidR="00836433" w:rsidRDefault="00836433" w:rsidP="006F1C03">
      <w:pPr>
        <w:pStyle w:val="BodyText"/>
        <w:spacing w:before="117" w:line="276" w:lineRule="auto"/>
        <w:ind w:right="26"/>
        <w:jc w:val="both"/>
        <w:rPr>
          <w:rFonts w:ascii="Arial" w:hAnsi="Arial" w:cs="Arial"/>
          <w:sz w:val="20"/>
        </w:rPr>
      </w:pPr>
    </w:p>
    <w:p w14:paraId="268F053A" w14:textId="77777777" w:rsidR="00836433" w:rsidRDefault="00836433" w:rsidP="006F1C03">
      <w:pPr>
        <w:pStyle w:val="BodyText"/>
        <w:spacing w:before="117" w:line="276" w:lineRule="auto"/>
        <w:ind w:right="26"/>
        <w:jc w:val="both"/>
        <w:rPr>
          <w:rFonts w:ascii="Arial" w:hAnsi="Arial" w:cs="Arial"/>
          <w:sz w:val="20"/>
        </w:rPr>
      </w:pPr>
    </w:p>
    <w:p w14:paraId="57C83984" w14:textId="77777777" w:rsidR="00836433" w:rsidRDefault="00836433" w:rsidP="006F1C03">
      <w:pPr>
        <w:pStyle w:val="BodyText"/>
        <w:spacing w:before="117" w:line="276" w:lineRule="auto"/>
        <w:ind w:right="26"/>
        <w:jc w:val="both"/>
        <w:rPr>
          <w:rFonts w:ascii="Arial" w:hAnsi="Arial" w:cs="Arial"/>
          <w:sz w:val="20"/>
        </w:rPr>
      </w:pPr>
    </w:p>
    <w:p w14:paraId="375366AE" w14:textId="77777777" w:rsidR="00836433" w:rsidRDefault="00836433" w:rsidP="006F1C03">
      <w:pPr>
        <w:pStyle w:val="BodyText"/>
        <w:spacing w:before="117" w:line="276" w:lineRule="auto"/>
        <w:ind w:right="26"/>
        <w:jc w:val="both"/>
        <w:rPr>
          <w:rFonts w:ascii="Arial" w:hAnsi="Arial" w:cs="Arial"/>
          <w:sz w:val="20"/>
        </w:rPr>
      </w:pPr>
    </w:p>
    <w:p w14:paraId="1596E001" w14:textId="77777777" w:rsidR="00836433" w:rsidRDefault="00836433" w:rsidP="006F1C03">
      <w:pPr>
        <w:pStyle w:val="BodyText"/>
        <w:spacing w:before="117" w:line="276" w:lineRule="auto"/>
        <w:ind w:right="26"/>
        <w:jc w:val="both"/>
        <w:rPr>
          <w:rFonts w:ascii="Arial" w:hAnsi="Arial" w:cs="Arial"/>
          <w:sz w:val="20"/>
        </w:rPr>
      </w:pPr>
    </w:p>
    <w:p w14:paraId="581C4214" w14:textId="77777777" w:rsidR="00836433" w:rsidRDefault="00836433" w:rsidP="006F1C03">
      <w:pPr>
        <w:pStyle w:val="BodyText"/>
        <w:spacing w:before="117" w:line="276" w:lineRule="auto"/>
        <w:ind w:right="26"/>
        <w:jc w:val="both"/>
        <w:rPr>
          <w:rFonts w:ascii="Arial" w:hAnsi="Arial" w:cs="Arial"/>
          <w:sz w:val="20"/>
        </w:rPr>
      </w:pPr>
    </w:p>
    <w:p w14:paraId="4F1FF08D" w14:textId="77777777" w:rsidR="00836433" w:rsidRDefault="00836433" w:rsidP="006F1C03">
      <w:pPr>
        <w:pStyle w:val="BodyText"/>
        <w:spacing w:before="117" w:line="276" w:lineRule="auto"/>
        <w:ind w:right="26"/>
        <w:jc w:val="both"/>
        <w:rPr>
          <w:rFonts w:ascii="Arial" w:hAnsi="Arial" w:cs="Arial"/>
          <w:sz w:val="20"/>
        </w:rPr>
      </w:pPr>
    </w:p>
    <w:p w14:paraId="175C31A8" w14:textId="77777777" w:rsidR="00836433" w:rsidRDefault="00836433" w:rsidP="006F1C03">
      <w:pPr>
        <w:pStyle w:val="BodyText"/>
        <w:spacing w:before="117" w:line="276" w:lineRule="auto"/>
        <w:ind w:right="26"/>
        <w:jc w:val="both"/>
        <w:rPr>
          <w:rFonts w:ascii="Arial" w:hAnsi="Arial" w:cs="Arial"/>
          <w:sz w:val="20"/>
        </w:rPr>
      </w:pPr>
    </w:p>
    <w:p w14:paraId="46E9CB1B" w14:textId="77777777" w:rsidR="00836433" w:rsidRDefault="00836433" w:rsidP="006F1C03">
      <w:pPr>
        <w:pStyle w:val="BodyText"/>
        <w:spacing w:before="117" w:line="276" w:lineRule="auto"/>
        <w:ind w:right="26"/>
        <w:jc w:val="both"/>
        <w:rPr>
          <w:rFonts w:ascii="Arial" w:hAnsi="Arial" w:cs="Arial"/>
          <w:sz w:val="20"/>
        </w:rPr>
      </w:pPr>
    </w:p>
    <w:p w14:paraId="122192D1" w14:textId="77777777" w:rsidR="00836433" w:rsidRDefault="00836433" w:rsidP="006F1C03">
      <w:pPr>
        <w:pStyle w:val="BodyText"/>
        <w:spacing w:before="117" w:line="276" w:lineRule="auto"/>
        <w:ind w:right="26"/>
        <w:jc w:val="both"/>
        <w:rPr>
          <w:rFonts w:ascii="Arial" w:hAnsi="Arial" w:cs="Arial"/>
          <w:sz w:val="20"/>
        </w:rPr>
      </w:pPr>
    </w:p>
    <w:p w14:paraId="2D0A24C2" w14:textId="77777777" w:rsidR="00836433" w:rsidRDefault="00836433" w:rsidP="006F1C03">
      <w:pPr>
        <w:pStyle w:val="BodyText"/>
        <w:spacing w:before="117" w:line="276" w:lineRule="auto"/>
        <w:ind w:right="26"/>
        <w:jc w:val="both"/>
        <w:rPr>
          <w:rFonts w:ascii="Arial" w:hAnsi="Arial" w:cs="Arial"/>
          <w:sz w:val="20"/>
        </w:rPr>
      </w:pPr>
    </w:p>
    <w:p w14:paraId="7930EF3B" w14:textId="77777777" w:rsidR="00836433" w:rsidRDefault="00836433" w:rsidP="006F1C03">
      <w:pPr>
        <w:pStyle w:val="BodyText"/>
        <w:spacing w:before="117" w:line="276" w:lineRule="auto"/>
        <w:ind w:right="26"/>
        <w:jc w:val="both"/>
        <w:rPr>
          <w:rFonts w:ascii="Arial" w:hAnsi="Arial" w:cs="Arial"/>
          <w:sz w:val="20"/>
        </w:rPr>
      </w:pPr>
    </w:p>
    <w:p w14:paraId="65569295" w14:textId="77777777" w:rsidR="00836433" w:rsidRDefault="00836433" w:rsidP="006F1C03">
      <w:pPr>
        <w:pStyle w:val="BodyText"/>
        <w:spacing w:before="117" w:line="276" w:lineRule="auto"/>
        <w:ind w:right="26"/>
        <w:jc w:val="both"/>
        <w:rPr>
          <w:rFonts w:ascii="Arial" w:hAnsi="Arial" w:cs="Arial"/>
          <w:sz w:val="20"/>
        </w:rPr>
      </w:pPr>
    </w:p>
    <w:p w14:paraId="45424A8D" w14:textId="77777777" w:rsidR="00836433" w:rsidRDefault="00836433" w:rsidP="006F1C03">
      <w:pPr>
        <w:pStyle w:val="BodyText"/>
        <w:spacing w:before="117" w:line="276" w:lineRule="auto"/>
        <w:ind w:right="26"/>
        <w:jc w:val="both"/>
        <w:rPr>
          <w:rFonts w:ascii="Arial" w:hAnsi="Arial" w:cs="Arial"/>
          <w:sz w:val="20"/>
        </w:rPr>
      </w:pPr>
    </w:p>
    <w:p w14:paraId="76B96BAD" w14:textId="77777777" w:rsidR="00836433" w:rsidRDefault="00836433" w:rsidP="006F1C03">
      <w:pPr>
        <w:pStyle w:val="BodyText"/>
        <w:spacing w:before="117" w:line="276" w:lineRule="auto"/>
        <w:ind w:right="26"/>
        <w:jc w:val="both"/>
        <w:rPr>
          <w:rFonts w:ascii="Arial" w:hAnsi="Arial" w:cs="Arial"/>
          <w:sz w:val="20"/>
        </w:rPr>
      </w:pPr>
    </w:p>
    <w:p w14:paraId="4264B665" w14:textId="77777777" w:rsidR="00836433" w:rsidRPr="00836433" w:rsidRDefault="00836433" w:rsidP="00836433">
      <w:pPr>
        <w:keepNext/>
        <w:keepLines/>
        <w:widowControl/>
        <w:autoSpaceDE/>
        <w:autoSpaceDN/>
        <w:spacing w:before="40" w:line="259" w:lineRule="auto"/>
        <w:jc w:val="center"/>
        <w:outlineLvl w:val="2"/>
        <w:rPr>
          <w:rFonts w:ascii="Arial" w:eastAsiaTheme="majorEastAsia" w:hAnsi="Arial" w:cs="Arial"/>
          <w:b/>
          <w:color w:val="00B0F0"/>
          <w:sz w:val="24"/>
          <w:szCs w:val="24"/>
        </w:rPr>
      </w:pPr>
      <w:bookmarkStart w:id="1520" w:name="_Toc153137780"/>
      <w:r w:rsidRPr="00836433">
        <w:rPr>
          <w:rFonts w:ascii="Arial" w:eastAsiaTheme="majorEastAsia" w:hAnsi="Arial" w:cs="Arial"/>
          <w:b/>
          <w:color w:val="00B0F0"/>
          <w:sz w:val="24"/>
          <w:szCs w:val="24"/>
        </w:rPr>
        <w:lastRenderedPageBreak/>
        <w:t>SUBPART D — DESIGN AND CONSTRUCTION</w:t>
      </w:r>
      <w:bookmarkEnd w:id="1520"/>
    </w:p>
    <w:p w14:paraId="2CB625EC" w14:textId="77777777" w:rsidR="00836433" w:rsidRPr="00836433" w:rsidRDefault="00836433" w:rsidP="00836433">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521" w:name="CS_31TGB.31_General"/>
      <w:bookmarkStart w:id="1522" w:name="_bookmark619"/>
      <w:bookmarkStart w:id="1523" w:name="_Toc153137781"/>
      <w:bookmarkEnd w:id="1521"/>
      <w:bookmarkEnd w:id="1522"/>
      <w:r w:rsidRPr="00836433">
        <w:rPr>
          <w:rFonts w:ascii="Arial" w:eastAsia="Times New Roman" w:hAnsi="Arial" w:cs="Times New Roman"/>
          <w:b/>
          <w:iCs/>
          <w:color w:val="FFFFFF"/>
          <w:sz w:val="24"/>
        </w:rPr>
        <w:t>CS 31TGB.31 General</w:t>
      </w:r>
      <w:bookmarkEnd w:id="1523"/>
    </w:p>
    <w:p w14:paraId="62D9916B" w14:textId="77777777" w:rsidR="00836433" w:rsidRPr="00836433" w:rsidRDefault="00836433" w:rsidP="00836433">
      <w:pPr>
        <w:pStyle w:val="BodyText"/>
        <w:spacing w:before="117" w:line="276" w:lineRule="auto"/>
        <w:ind w:right="26"/>
        <w:jc w:val="both"/>
        <w:rPr>
          <w:rFonts w:ascii="Arial" w:hAnsi="Arial" w:cs="Arial"/>
          <w:sz w:val="20"/>
        </w:rPr>
      </w:pPr>
      <w:r w:rsidRPr="00836433">
        <w:rPr>
          <w:rFonts w:ascii="Arial" w:hAnsi="Arial" w:cs="Arial"/>
          <w:sz w:val="20"/>
        </w:rPr>
        <w:t>The suitability of each design detail or part that bears on safety is established by tests or analysis</w:t>
      </w:r>
    </w:p>
    <w:p w14:paraId="4FACA909" w14:textId="77777777" w:rsidR="00836433" w:rsidRPr="00836433" w:rsidRDefault="00836433" w:rsidP="00836433">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524" w:name="CS_31TGB.33_Materials"/>
      <w:bookmarkStart w:id="1525" w:name="_bookmark620"/>
      <w:bookmarkStart w:id="1526" w:name="_Toc153137782"/>
      <w:bookmarkEnd w:id="1524"/>
      <w:bookmarkEnd w:id="1525"/>
      <w:r w:rsidRPr="00836433">
        <w:rPr>
          <w:rFonts w:ascii="Arial" w:eastAsia="Times New Roman" w:hAnsi="Arial" w:cs="Times New Roman"/>
          <w:b/>
          <w:iCs/>
          <w:color w:val="FFFFFF"/>
          <w:sz w:val="24"/>
        </w:rPr>
        <w:t>CS 31TGB.33 Materials</w:t>
      </w:r>
      <w:bookmarkEnd w:id="1526"/>
    </w:p>
    <w:p w14:paraId="2DDD9F14" w14:textId="77777777" w:rsidR="00836433" w:rsidRPr="00836433" w:rsidRDefault="00836433" w:rsidP="00836433">
      <w:pPr>
        <w:pStyle w:val="BodyText"/>
        <w:spacing w:before="117" w:line="276" w:lineRule="auto"/>
        <w:ind w:right="26"/>
        <w:jc w:val="both"/>
        <w:rPr>
          <w:rFonts w:ascii="Arial" w:hAnsi="Arial" w:cs="Arial"/>
          <w:sz w:val="20"/>
        </w:rPr>
      </w:pPr>
      <w:r w:rsidRPr="00836433">
        <w:rPr>
          <w:rFonts w:ascii="Arial" w:hAnsi="Arial" w:cs="Arial"/>
          <w:sz w:val="20"/>
        </w:rPr>
        <w:t>The suitability and durability of materials used for parts, the failure of which could adversely affect safety:</w:t>
      </w:r>
    </w:p>
    <w:p w14:paraId="2A2C8FD1" w14:textId="77777777" w:rsidR="00836433" w:rsidRPr="00836433" w:rsidRDefault="00836433" w:rsidP="005F6871">
      <w:pPr>
        <w:pStyle w:val="ListParagraph"/>
        <w:numPr>
          <w:ilvl w:val="0"/>
          <w:numId w:val="426"/>
        </w:numPr>
        <w:tabs>
          <w:tab w:val="left" w:pos="707"/>
        </w:tabs>
        <w:spacing w:before="117" w:line="276" w:lineRule="auto"/>
        <w:ind w:right="26"/>
        <w:jc w:val="both"/>
        <w:rPr>
          <w:rFonts w:ascii="Arial" w:hAnsi="Arial" w:cs="Arial"/>
          <w:sz w:val="20"/>
        </w:rPr>
      </w:pPr>
      <w:r w:rsidRPr="00836433">
        <w:rPr>
          <w:rFonts w:ascii="Arial" w:hAnsi="Arial" w:cs="Arial"/>
          <w:sz w:val="20"/>
        </w:rPr>
        <w:t>are established by experience or tests; and</w:t>
      </w:r>
    </w:p>
    <w:p w14:paraId="0A961EB2" w14:textId="77777777" w:rsidR="00836433" w:rsidRPr="00836433" w:rsidRDefault="00836433" w:rsidP="005F6871">
      <w:pPr>
        <w:pStyle w:val="ListParagraph"/>
        <w:numPr>
          <w:ilvl w:val="0"/>
          <w:numId w:val="426"/>
        </w:numPr>
        <w:tabs>
          <w:tab w:val="left" w:pos="707"/>
        </w:tabs>
        <w:spacing w:before="117" w:line="276" w:lineRule="auto"/>
        <w:ind w:right="26"/>
        <w:jc w:val="both"/>
        <w:rPr>
          <w:rFonts w:ascii="Arial" w:hAnsi="Arial" w:cs="Arial"/>
          <w:sz w:val="20"/>
        </w:rPr>
      </w:pPr>
      <w:r w:rsidRPr="00836433">
        <w:rPr>
          <w:rFonts w:ascii="Arial" w:hAnsi="Arial" w:cs="Arial"/>
          <w:sz w:val="20"/>
        </w:rPr>
        <w:t>meet approved specifications that ensure that the materials have the strength and other properties assumed in the design data.</w:t>
      </w:r>
    </w:p>
    <w:p w14:paraId="3C243701" w14:textId="77777777" w:rsidR="00836433" w:rsidRPr="00836433" w:rsidRDefault="00836433" w:rsidP="00836433">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527" w:name="AMC1_31TGB.33(b)_Materials"/>
      <w:bookmarkStart w:id="1528" w:name="_bookmark621"/>
      <w:bookmarkStart w:id="1529" w:name="_Toc153137783"/>
      <w:bookmarkEnd w:id="1527"/>
      <w:bookmarkEnd w:id="1528"/>
      <w:r w:rsidRPr="00836433">
        <w:rPr>
          <w:rFonts w:ascii="Arial" w:eastAsia="Times New Roman" w:hAnsi="Arial" w:cs="Times New Roman"/>
          <w:b/>
          <w:color w:val="FFFFFF"/>
          <w:sz w:val="24"/>
        </w:rPr>
        <w:t>AMC1 31TGB.33(b) Materials</w:t>
      </w:r>
      <w:bookmarkEnd w:id="1529"/>
    </w:p>
    <w:p w14:paraId="545EFEDF" w14:textId="77777777" w:rsidR="00836433" w:rsidRPr="00836433" w:rsidRDefault="00836433" w:rsidP="00836433">
      <w:pPr>
        <w:pStyle w:val="BodyText"/>
        <w:spacing w:before="117" w:line="276" w:lineRule="auto"/>
        <w:ind w:right="26"/>
        <w:jc w:val="both"/>
        <w:rPr>
          <w:rFonts w:ascii="Arial" w:hAnsi="Arial" w:cs="Arial"/>
          <w:sz w:val="20"/>
        </w:rPr>
      </w:pPr>
      <w:r w:rsidRPr="00836433">
        <w:rPr>
          <w:rFonts w:ascii="Arial" w:hAnsi="Arial" w:cs="Arial"/>
          <w:sz w:val="20"/>
        </w:rPr>
        <w:t>Approved specifications here are taken as being those produced by the applicant or those meeting internationally recognised standards as defined applicable in the type design data. Material specifications are those contained in documents accepted either specifically by the Agency or by having been prepared by an organisation or person which the Agency accepts has the necessary capabilities. In defining design properties, these material specification values are modified and/or extended as necessary by the constructor to take account of manufacturing practices (for example method of construction, forming, machining and subsequent heat treatment). Also the effects of environmental conditions, such as temperature and humidity expected in service, are taken into account.</w:t>
      </w:r>
    </w:p>
    <w:p w14:paraId="5B64A539" w14:textId="77777777" w:rsidR="00836433" w:rsidRPr="00836433" w:rsidRDefault="00836433" w:rsidP="00836433">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530" w:name="CS_31TGB.35_Fabrication_methods"/>
      <w:bookmarkStart w:id="1531" w:name="_bookmark622"/>
      <w:bookmarkStart w:id="1532" w:name="_Toc153137784"/>
      <w:bookmarkEnd w:id="1530"/>
      <w:bookmarkEnd w:id="1531"/>
      <w:r w:rsidRPr="00836433">
        <w:rPr>
          <w:rFonts w:ascii="Arial" w:eastAsia="Times New Roman" w:hAnsi="Arial" w:cs="Times New Roman"/>
          <w:b/>
          <w:iCs/>
          <w:color w:val="FFFFFF"/>
          <w:sz w:val="24"/>
        </w:rPr>
        <w:t>CS 31TGB.35 Fabrication methods</w:t>
      </w:r>
      <w:bookmarkEnd w:id="1532"/>
    </w:p>
    <w:p w14:paraId="3F237158" w14:textId="77777777" w:rsidR="00836433" w:rsidRPr="00836433" w:rsidRDefault="00836433" w:rsidP="00836433">
      <w:pPr>
        <w:pStyle w:val="BodyText"/>
        <w:spacing w:before="117" w:line="276" w:lineRule="auto"/>
        <w:ind w:right="26"/>
        <w:jc w:val="both"/>
        <w:rPr>
          <w:rFonts w:ascii="Arial" w:hAnsi="Arial" w:cs="Arial"/>
          <w:sz w:val="20"/>
        </w:rPr>
      </w:pPr>
      <w:r w:rsidRPr="00836433">
        <w:rPr>
          <w:rFonts w:ascii="Arial" w:hAnsi="Arial" w:cs="Arial"/>
          <w:sz w:val="20"/>
        </w:rPr>
        <w:t>The methods of fabrication used produces a consistently sound structure. If a fabrication process requires close control to reach this objective, the process is performed in accordance with an approved process specification.</w:t>
      </w:r>
    </w:p>
    <w:p w14:paraId="4DC01D8D" w14:textId="77777777" w:rsidR="00836433" w:rsidRPr="00836433" w:rsidRDefault="00836433" w:rsidP="00836433">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533" w:name="AMC1_31TGB.35_Fabrication_methods"/>
      <w:bookmarkStart w:id="1534" w:name="_bookmark623"/>
      <w:bookmarkStart w:id="1535" w:name="_Toc153137785"/>
      <w:bookmarkEnd w:id="1533"/>
      <w:bookmarkEnd w:id="1534"/>
      <w:r w:rsidRPr="00836433">
        <w:rPr>
          <w:rFonts w:ascii="Arial" w:eastAsia="Times New Roman" w:hAnsi="Arial" w:cs="Times New Roman"/>
          <w:b/>
          <w:color w:val="FFFFFF"/>
          <w:sz w:val="24"/>
        </w:rPr>
        <w:t>AMC1 31TGB.35 Fabrication methods</w:t>
      </w:r>
      <w:bookmarkEnd w:id="1535"/>
    </w:p>
    <w:p w14:paraId="5E3A893B" w14:textId="77777777" w:rsidR="00836433" w:rsidRPr="00836433" w:rsidRDefault="00836433" w:rsidP="00836433">
      <w:pPr>
        <w:pStyle w:val="BodyText"/>
        <w:spacing w:before="117" w:line="276" w:lineRule="auto"/>
        <w:ind w:right="26"/>
        <w:jc w:val="both"/>
        <w:rPr>
          <w:rFonts w:ascii="Arial" w:hAnsi="Arial" w:cs="Arial"/>
          <w:sz w:val="20"/>
        </w:rPr>
      </w:pPr>
      <w:r w:rsidRPr="00836433">
        <w:rPr>
          <w:rFonts w:ascii="Arial" w:hAnsi="Arial" w:cs="Arial"/>
          <w:sz w:val="20"/>
        </w:rPr>
        <w:t>Approved fabrication methods here are taken as being those produced by the applicant or those meeting internationally recognised standards as defined in the applicable type design data. Fabrication methods are those contained in documents accepted either specifically by the Agency or by having been prepared by an organisation or person which the Agency accepts has the necessary capabilities.</w:t>
      </w:r>
    </w:p>
    <w:p w14:paraId="06AF8291" w14:textId="77777777" w:rsidR="00935599" w:rsidRPr="00935599" w:rsidRDefault="00935599" w:rsidP="00935599">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536" w:name="CS_31TGB.36_Stress_concentrations"/>
      <w:bookmarkStart w:id="1537" w:name="_bookmark624"/>
      <w:bookmarkStart w:id="1538" w:name="_Toc153137786"/>
      <w:bookmarkEnd w:id="1536"/>
      <w:bookmarkEnd w:id="1537"/>
      <w:r w:rsidRPr="00935599">
        <w:rPr>
          <w:rFonts w:ascii="Arial" w:eastAsia="Times New Roman" w:hAnsi="Arial" w:cs="Times New Roman"/>
          <w:b/>
          <w:iCs/>
          <w:color w:val="FFFFFF"/>
          <w:sz w:val="24"/>
        </w:rPr>
        <w:t>CS 31TGB.36 Stress concentrations</w:t>
      </w:r>
      <w:bookmarkEnd w:id="1538"/>
    </w:p>
    <w:p w14:paraId="163097E5" w14:textId="77777777" w:rsidR="00F74BA7" w:rsidRPr="00F74BA7" w:rsidRDefault="00F74BA7" w:rsidP="00F74BA7">
      <w:pPr>
        <w:pStyle w:val="BodyText"/>
        <w:spacing w:before="117" w:line="276" w:lineRule="auto"/>
        <w:ind w:right="26"/>
        <w:jc w:val="both"/>
        <w:rPr>
          <w:rFonts w:ascii="Arial" w:hAnsi="Arial" w:cs="Arial"/>
          <w:sz w:val="20"/>
        </w:rPr>
      </w:pPr>
      <w:r w:rsidRPr="00F74BA7">
        <w:rPr>
          <w:rFonts w:ascii="Arial" w:hAnsi="Arial" w:cs="Arial"/>
          <w:sz w:val="20"/>
        </w:rPr>
        <w:t>The structure is designed to avoid, as far as practicable, points of stress concentration and variable stresses that would cause fatigue to occur in normal operation.</w:t>
      </w:r>
    </w:p>
    <w:p w14:paraId="613FEDE7" w14:textId="77777777" w:rsidR="002E716A" w:rsidRPr="002E716A" w:rsidRDefault="002E716A" w:rsidP="002E716A">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539" w:name="CS_31TGB.37_Fasteners"/>
      <w:bookmarkStart w:id="1540" w:name="_bookmark625"/>
      <w:bookmarkStart w:id="1541" w:name="_Toc153137787"/>
      <w:bookmarkEnd w:id="1539"/>
      <w:bookmarkEnd w:id="1540"/>
      <w:r w:rsidRPr="002E716A">
        <w:rPr>
          <w:rFonts w:ascii="Arial" w:eastAsia="Times New Roman" w:hAnsi="Arial" w:cs="Times New Roman"/>
          <w:b/>
          <w:iCs/>
          <w:color w:val="FFFFFF"/>
          <w:sz w:val="24"/>
        </w:rPr>
        <w:t>CS 31TGB.37 Fasteners</w:t>
      </w:r>
      <w:bookmarkEnd w:id="1541"/>
    </w:p>
    <w:p w14:paraId="6C969C38" w14:textId="77777777" w:rsidR="002E716A" w:rsidRPr="002E716A" w:rsidRDefault="002E716A" w:rsidP="005F6871">
      <w:pPr>
        <w:pStyle w:val="ListParagraph"/>
        <w:numPr>
          <w:ilvl w:val="0"/>
          <w:numId w:val="427"/>
        </w:numPr>
        <w:tabs>
          <w:tab w:val="left" w:pos="707"/>
        </w:tabs>
        <w:spacing w:before="117" w:line="276" w:lineRule="auto"/>
        <w:ind w:right="26"/>
        <w:jc w:val="both"/>
        <w:rPr>
          <w:rFonts w:ascii="Arial" w:hAnsi="Arial" w:cs="Arial"/>
          <w:sz w:val="20"/>
        </w:rPr>
      </w:pPr>
      <w:r w:rsidRPr="002E716A">
        <w:rPr>
          <w:rFonts w:ascii="Arial" w:hAnsi="Arial" w:cs="Arial"/>
          <w:sz w:val="20"/>
        </w:rPr>
        <w:t>Fasteners (e.g. bolts, pins, screws, karabiners) used in the structure conform to approved specifications.</w:t>
      </w:r>
    </w:p>
    <w:p w14:paraId="68F4005C" w14:textId="77777777" w:rsidR="002E716A" w:rsidRPr="002E716A" w:rsidRDefault="002E716A" w:rsidP="005F6871">
      <w:pPr>
        <w:pStyle w:val="ListParagraph"/>
        <w:numPr>
          <w:ilvl w:val="0"/>
          <w:numId w:val="427"/>
        </w:numPr>
        <w:tabs>
          <w:tab w:val="left" w:pos="707"/>
        </w:tabs>
        <w:spacing w:before="117" w:line="276" w:lineRule="auto"/>
        <w:ind w:right="26"/>
        <w:jc w:val="both"/>
        <w:rPr>
          <w:rFonts w:ascii="Arial" w:hAnsi="Arial" w:cs="Arial"/>
          <w:sz w:val="20"/>
        </w:rPr>
      </w:pPr>
      <w:r w:rsidRPr="002E716A">
        <w:rPr>
          <w:rFonts w:ascii="Arial" w:hAnsi="Arial" w:cs="Arial"/>
          <w:sz w:val="20"/>
        </w:rPr>
        <w:t>Locking methods are established and documented.</w:t>
      </w:r>
    </w:p>
    <w:p w14:paraId="73BEB88A" w14:textId="77777777" w:rsidR="002E716A" w:rsidRPr="002E716A" w:rsidRDefault="002E716A" w:rsidP="005F6871">
      <w:pPr>
        <w:pStyle w:val="ListParagraph"/>
        <w:numPr>
          <w:ilvl w:val="0"/>
          <w:numId w:val="427"/>
        </w:numPr>
        <w:tabs>
          <w:tab w:val="left" w:pos="707"/>
        </w:tabs>
        <w:spacing w:before="117" w:line="276" w:lineRule="auto"/>
        <w:ind w:right="26"/>
        <w:jc w:val="both"/>
        <w:rPr>
          <w:rFonts w:ascii="Arial" w:hAnsi="Arial" w:cs="Arial"/>
          <w:sz w:val="20"/>
        </w:rPr>
      </w:pPr>
      <w:r w:rsidRPr="002E716A">
        <w:rPr>
          <w:rFonts w:ascii="Arial" w:hAnsi="Arial" w:cs="Arial"/>
          <w:sz w:val="20"/>
        </w:rPr>
        <w:t>Unless a joint is free from relative movement, secondary locking means are used.</w:t>
      </w:r>
    </w:p>
    <w:p w14:paraId="76BA6E48" w14:textId="77777777" w:rsidR="002E716A" w:rsidRPr="002E716A" w:rsidRDefault="002E716A" w:rsidP="005F6871">
      <w:pPr>
        <w:pStyle w:val="ListParagraph"/>
        <w:numPr>
          <w:ilvl w:val="0"/>
          <w:numId w:val="427"/>
        </w:numPr>
        <w:tabs>
          <w:tab w:val="left" w:pos="707"/>
        </w:tabs>
        <w:spacing w:before="117" w:line="276" w:lineRule="auto"/>
        <w:ind w:right="26"/>
        <w:jc w:val="both"/>
        <w:rPr>
          <w:rFonts w:ascii="Arial" w:hAnsi="Arial" w:cs="Arial"/>
          <w:sz w:val="20"/>
        </w:rPr>
      </w:pPr>
      <w:r w:rsidRPr="002E716A">
        <w:rPr>
          <w:rFonts w:ascii="Arial" w:hAnsi="Arial" w:cs="Arial"/>
          <w:sz w:val="20"/>
        </w:rPr>
        <w:t>Self-locking nuts are not used on bolts that are subject to rotation in service.</w:t>
      </w:r>
    </w:p>
    <w:p w14:paraId="6925AC93" w14:textId="77777777" w:rsidR="0021303B" w:rsidRPr="0021303B" w:rsidRDefault="0021303B" w:rsidP="0021303B">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542" w:name="AMC1_31TGB.37(a)_Fasteners"/>
      <w:bookmarkStart w:id="1543" w:name="_bookmark626"/>
      <w:bookmarkStart w:id="1544" w:name="_Toc153137788"/>
      <w:bookmarkEnd w:id="1542"/>
      <w:bookmarkEnd w:id="1543"/>
      <w:r w:rsidRPr="0021303B">
        <w:rPr>
          <w:rFonts w:ascii="Arial" w:eastAsia="Times New Roman" w:hAnsi="Arial" w:cs="Times New Roman"/>
          <w:b/>
          <w:color w:val="FFFFFF"/>
          <w:sz w:val="24"/>
        </w:rPr>
        <w:t>AMC1 31TGB.37(a) Fasteners</w:t>
      </w:r>
      <w:bookmarkEnd w:id="1544"/>
    </w:p>
    <w:p w14:paraId="655A7D4F" w14:textId="77777777" w:rsidR="0021303B" w:rsidRPr="0021303B" w:rsidRDefault="0021303B" w:rsidP="0021303B">
      <w:pPr>
        <w:pStyle w:val="BodyText"/>
        <w:spacing w:before="117" w:line="276" w:lineRule="auto"/>
        <w:ind w:right="26"/>
        <w:jc w:val="both"/>
        <w:rPr>
          <w:rFonts w:ascii="Arial" w:hAnsi="Arial" w:cs="Arial"/>
          <w:sz w:val="20"/>
        </w:rPr>
      </w:pPr>
      <w:r w:rsidRPr="0021303B">
        <w:rPr>
          <w:rFonts w:ascii="Arial" w:hAnsi="Arial" w:cs="Arial"/>
          <w:sz w:val="20"/>
        </w:rPr>
        <w:t>Approved specifications in the sense of these requirements are the standards described in the AMC1 31TGB.33(b).</w:t>
      </w:r>
    </w:p>
    <w:p w14:paraId="5B862DD8" w14:textId="77777777" w:rsidR="00836433" w:rsidRDefault="00836433" w:rsidP="00836433"/>
    <w:p w14:paraId="459991C2" w14:textId="77777777" w:rsidR="0021303B" w:rsidRPr="0021303B" w:rsidRDefault="0021303B" w:rsidP="0021303B">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545" w:name="CS_31TGB.39_Protection_of_parts"/>
      <w:bookmarkStart w:id="1546" w:name="_bookmark627"/>
      <w:bookmarkStart w:id="1547" w:name="_Toc153137789"/>
      <w:bookmarkEnd w:id="1545"/>
      <w:bookmarkEnd w:id="1546"/>
      <w:r w:rsidRPr="0021303B">
        <w:rPr>
          <w:rFonts w:ascii="Arial" w:eastAsia="Times New Roman" w:hAnsi="Arial" w:cs="Times New Roman"/>
          <w:b/>
          <w:iCs/>
          <w:color w:val="FFFFFF"/>
          <w:sz w:val="24"/>
        </w:rPr>
        <w:lastRenderedPageBreak/>
        <w:t>CS 31TGB.39 Protection of parts</w:t>
      </w:r>
      <w:bookmarkEnd w:id="1547"/>
    </w:p>
    <w:p w14:paraId="2F799499" w14:textId="77777777" w:rsidR="0021303B" w:rsidRPr="0021303B" w:rsidRDefault="0021303B" w:rsidP="0021303B">
      <w:pPr>
        <w:pStyle w:val="BodyText"/>
        <w:spacing w:before="117" w:line="276" w:lineRule="auto"/>
        <w:ind w:right="26"/>
        <w:jc w:val="both"/>
        <w:rPr>
          <w:rFonts w:ascii="Arial" w:hAnsi="Arial" w:cs="Arial"/>
          <w:sz w:val="20"/>
        </w:rPr>
      </w:pPr>
      <w:r w:rsidRPr="0021303B">
        <w:rPr>
          <w:rFonts w:ascii="Arial" w:hAnsi="Arial" w:cs="Arial"/>
          <w:sz w:val="20"/>
        </w:rPr>
        <w:t>Parts, the failure of which could adversely affect safety, are suitably protected against deterioration or loss of strength in service due to weathering, corrosion, heat, abrasion, ground handling, ground transport, flight conditions or other causes.</w:t>
      </w:r>
    </w:p>
    <w:p w14:paraId="6646723E" w14:textId="77777777" w:rsidR="0021303B" w:rsidRPr="0021303B" w:rsidRDefault="0021303B" w:rsidP="0021303B">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548" w:name="AMC1_31TGB.39_Protection_of_parts"/>
      <w:bookmarkStart w:id="1549" w:name="_bookmark628"/>
      <w:bookmarkStart w:id="1550" w:name="_Toc153137790"/>
      <w:bookmarkEnd w:id="1548"/>
      <w:bookmarkEnd w:id="1549"/>
      <w:r w:rsidRPr="0021303B">
        <w:rPr>
          <w:rFonts w:ascii="Arial" w:eastAsia="Times New Roman" w:hAnsi="Arial" w:cs="Times New Roman"/>
          <w:b/>
          <w:color w:val="FFFFFF"/>
          <w:sz w:val="24"/>
        </w:rPr>
        <w:t>AMC1 31TGB.39 Protection of parts</w:t>
      </w:r>
      <w:bookmarkEnd w:id="1550"/>
    </w:p>
    <w:p w14:paraId="3799AB5C" w14:textId="77777777" w:rsidR="0021303B" w:rsidRPr="0021303B" w:rsidRDefault="0021303B" w:rsidP="0021303B">
      <w:pPr>
        <w:pStyle w:val="BodyText"/>
        <w:spacing w:before="117" w:line="276" w:lineRule="auto"/>
        <w:ind w:right="26"/>
        <w:jc w:val="both"/>
        <w:rPr>
          <w:rFonts w:ascii="Arial" w:hAnsi="Arial" w:cs="Arial"/>
          <w:sz w:val="20"/>
        </w:rPr>
      </w:pPr>
      <w:r w:rsidRPr="0021303B">
        <w:rPr>
          <w:rFonts w:ascii="Arial" w:hAnsi="Arial" w:cs="Arial"/>
          <w:sz w:val="20"/>
        </w:rPr>
        <w:t>Suspension system cables and components manufactured from stainless steels (corrosion resistant steels) are considered compliant with this requirement.</w:t>
      </w:r>
    </w:p>
    <w:p w14:paraId="1D4FC569" w14:textId="77777777" w:rsidR="0021303B" w:rsidRPr="0021303B" w:rsidRDefault="0021303B" w:rsidP="0021303B">
      <w:pPr>
        <w:pStyle w:val="BodyText"/>
        <w:spacing w:before="117" w:line="276" w:lineRule="auto"/>
        <w:ind w:right="26"/>
        <w:jc w:val="both"/>
        <w:rPr>
          <w:rFonts w:ascii="Arial" w:hAnsi="Arial" w:cs="Arial"/>
          <w:sz w:val="20"/>
        </w:rPr>
      </w:pPr>
      <w:r w:rsidRPr="0021303B">
        <w:rPr>
          <w:rFonts w:ascii="Arial" w:hAnsi="Arial" w:cs="Arial"/>
          <w:sz w:val="20"/>
        </w:rPr>
        <w:t>To ensure the protection of parts, it is permissible to rely on recommended inspections (details in the Maintenance Manual).</w:t>
      </w:r>
    </w:p>
    <w:p w14:paraId="18551095" w14:textId="77777777" w:rsidR="0021303B" w:rsidRPr="0021303B" w:rsidRDefault="0021303B" w:rsidP="0021303B">
      <w:pPr>
        <w:pStyle w:val="BodyText"/>
        <w:spacing w:before="117" w:line="276" w:lineRule="auto"/>
        <w:ind w:right="26"/>
        <w:jc w:val="both"/>
        <w:rPr>
          <w:rFonts w:ascii="Arial" w:hAnsi="Arial" w:cs="Arial"/>
          <w:sz w:val="20"/>
        </w:rPr>
      </w:pPr>
      <w:r w:rsidRPr="0021303B">
        <w:rPr>
          <w:rFonts w:ascii="Arial" w:hAnsi="Arial" w:cs="Arial"/>
          <w:sz w:val="20"/>
        </w:rPr>
        <w:t>In cases where deterioration or loss of strength is unavoidable during the life of the product, details of appropriate mandatory replacement lives or in-service testing are provided in the maintenance programme (CS 31TGB.82).</w:t>
      </w:r>
    </w:p>
    <w:p w14:paraId="1269E9E4" w14:textId="77777777" w:rsidR="0021303B" w:rsidRPr="0021303B" w:rsidRDefault="0021303B" w:rsidP="0021303B">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551" w:name="CS_31TGB.41_Inspection_provisions"/>
      <w:bookmarkStart w:id="1552" w:name="_bookmark629"/>
      <w:bookmarkStart w:id="1553" w:name="_Toc153137791"/>
      <w:bookmarkEnd w:id="1551"/>
      <w:bookmarkEnd w:id="1552"/>
      <w:r w:rsidRPr="0021303B">
        <w:rPr>
          <w:rFonts w:ascii="Arial" w:eastAsia="Times New Roman" w:hAnsi="Arial" w:cs="Times New Roman"/>
          <w:b/>
          <w:iCs/>
          <w:color w:val="FFFFFF"/>
          <w:sz w:val="24"/>
        </w:rPr>
        <w:t>CS 31TGB.41 Inspection provisions</w:t>
      </w:r>
      <w:bookmarkEnd w:id="1553"/>
    </w:p>
    <w:p w14:paraId="043E876E" w14:textId="77777777" w:rsidR="0021303B" w:rsidRPr="0021303B" w:rsidRDefault="0021303B" w:rsidP="0021303B">
      <w:pPr>
        <w:pStyle w:val="BodyText"/>
        <w:spacing w:before="117" w:line="276" w:lineRule="auto"/>
        <w:ind w:right="26"/>
        <w:jc w:val="both"/>
        <w:rPr>
          <w:rFonts w:ascii="Arial" w:hAnsi="Arial" w:cs="Arial"/>
          <w:sz w:val="20"/>
        </w:rPr>
      </w:pPr>
      <w:r w:rsidRPr="0021303B">
        <w:rPr>
          <w:rFonts w:ascii="Arial" w:hAnsi="Arial" w:cs="Arial"/>
          <w:sz w:val="20"/>
        </w:rPr>
        <w:t>There are means to allow close examination of each part that requires repeated inspection and adjustment.</w:t>
      </w:r>
    </w:p>
    <w:p w14:paraId="6DDE31E4" w14:textId="77777777" w:rsidR="00F31501" w:rsidRPr="00F31501" w:rsidRDefault="00F31501" w:rsidP="00F31501">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554" w:name="CS_31TGB.43_Balloon_system_controls"/>
      <w:bookmarkStart w:id="1555" w:name="_bookmark630"/>
      <w:bookmarkStart w:id="1556" w:name="_Toc153137792"/>
      <w:bookmarkEnd w:id="1554"/>
      <w:bookmarkEnd w:id="1555"/>
      <w:r w:rsidRPr="00F31501">
        <w:rPr>
          <w:rFonts w:ascii="Arial" w:eastAsia="Times New Roman" w:hAnsi="Arial" w:cs="Times New Roman"/>
          <w:b/>
          <w:iCs/>
          <w:color w:val="FFFFFF"/>
          <w:sz w:val="24"/>
        </w:rPr>
        <w:t>CS 31TGB.43 Balloon system controls</w:t>
      </w:r>
      <w:bookmarkEnd w:id="1556"/>
    </w:p>
    <w:p w14:paraId="002CFB1B" w14:textId="77777777" w:rsidR="00F31501" w:rsidRPr="00F31501" w:rsidRDefault="00F31501" w:rsidP="005F6871">
      <w:pPr>
        <w:pStyle w:val="ListParagraph"/>
        <w:numPr>
          <w:ilvl w:val="0"/>
          <w:numId w:val="429"/>
        </w:numPr>
        <w:tabs>
          <w:tab w:val="left" w:pos="707"/>
        </w:tabs>
        <w:spacing w:before="117" w:line="276" w:lineRule="auto"/>
        <w:ind w:right="26"/>
        <w:jc w:val="both"/>
        <w:rPr>
          <w:rFonts w:ascii="Arial" w:hAnsi="Arial" w:cs="Arial"/>
          <w:sz w:val="20"/>
        </w:rPr>
      </w:pPr>
      <w:r w:rsidRPr="00F31501">
        <w:rPr>
          <w:rFonts w:ascii="Arial" w:hAnsi="Arial" w:cs="Arial"/>
          <w:sz w:val="20"/>
        </w:rPr>
        <w:t>Each control can be operated easily, smoothly, and positively to allow proper performance of its functions. Controls are arranged and identified to prevent confusion or inadvertent operations.</w:t>
      </w:r>
    </w:p>
    <w:p w14:paraId="58A9F746" w14:textId="77777777" w:rsidR="00F31501" w:rsidRPr="00F31501" w:rsidRDefault="00F31501" w:rsidP="005F6871">
      <w:pPr>
        <w:pStyle w:val="ListParagraph"/>
        <w:numPr>
          <w:ilvl w:val="0"/>
          <w:numId w:val="429"/>
        </w:numPr>
        <w:tabs>
          <w:tab w:val="left" w:pos="707"/>
        </w:tabs>
        <w:spacing w:before="117" w:line="276" w:lineRule="auto"/>
        <w:ind w:right="26"/>
        <w:jc w:val="both"/>
        <w:rPr>
          <w:rFonts w:ascii="Arial" w:hAnsi="Arial" w:cs="Arial"/>
          <w:sz w:val="20"/>
        </w:rPr>
      </w:pPr>
      <w:r w:rsidRPr="00F31501">
        <w:rPr>
          <w:rFonts w:ascii="Arial" w:hAnsi="Arial" w:cs="Arial"/>
          <w:sz w:val="20"/>
        </w:rPr>
        <w:t>Each control system and operating device is designed and installed in a manner that will prevent jamming, chafing, or unintended interference from passengers or loose items of equipment. The elements of the control system have design features or are distinctly and permanently marked to minimise the possibility of incorrect assembly that could result in failure of the control system.</w:t>
      </w:r>
    </w:p>
    <w:p w14:paraId="0B8028AD" w14:textId="77777777" w:rsidR="00F31501" w:rsidRPr="00F31501" w:rsidRDefault="00F31501" w:rsidP="005F6871">
      <w:pPr>
        <w:pStyle w:val="ListParagraph"/>
        <w:numPr>
          <w:ilvl w:val="0"/>
          <w:numId w:val="429"/>
        </w:numPr>
        <w:tabs>
          <w:tab w:val="left" w:pos="707"/>
        </w:tabs>
        <w:spacing w:before="117" w:line="276" w:lineRule="auto"/>
        <w:ind w:right="26"/>
        <w:jc w:val="both"/>
        <w:rPr>
          <w:rFonts w:ascii="Arial" w:hAnsi="Arial" w:cs="Arial"/>
          <w:sz w:val="20"/>
          <w:szCs w:val="20"/>
        </w:rPr>
      </w:pPr>
      <w:r w:rsidRPr="00F31501">
        <w:rPr>
          <w:rFonts w:ascii="Arial" w:hAnsi="Arial" w:cs="Arial"/>
          <w:sz w:val="20"/>
          <w:szCs w:val="20"/>
        </w:rPr>
        <w:t>Control cords</w:t>
      </w:r>
    </w:p>
    <w:p w14:paraId="4EA53A75" w14:textId="77777777" w:rsidR="00F31501" w:rsidRPr="00F31501" w:rsidRDefault="00F31501" w:rsidP="005F6871">
      <w:pPr>
        <w:pStyle w:val="ListParagraph"/>
        <w:numPr>
          <w:ilvl w:val="1"/>
          <w:numId w:val="428"/>
        </w:numPr>
        <w:tabs>
          <w:tab w:val="left" w:pos="1274"/>
        </w:tabs>
        <w:spacing w:before="121"/>
        <w:ind w:hanging="568"/>
        <w:jc w:val="both"/>
        <w:rPr>
          <w:rFonts w:ascii="Arial" w:hAnsi="Arial" w:cs="Arial"/>
          <w:sz w:val="20"/>
          <w:szCs w:val="20"/>
        </w:rPr>
      </w:pPr>
      <w:r w:rsidRPr="00F31501">
        <w:rPr>
          <w:rFonts w:ascii="Arial" w:hAnsi="Arial" w:cs="Arial"/>
          <w:sz w:val="20"/>
          <w:szCs w:val="20"/>
        </w:rPr>
        <w:t>General</w:t>
      </w:r>
    </w:p>
    <w:p w14:paraId="33C06A87" w14:textId="77777777" w:rsidR="00F31501" w:rsidRPr="00F31501" w:rsidRDefault="00F31501" w:rsidP="005F6871">
      <w:pPr>
        <w:pStyle w:val="ListParagraph"/>
        <w:numPr>
          <w:ilvl w:val="2"/>
          <w:numId w:val="428"/>
        </w:numPr>
        <w:tabs>
          <w:tab w:val="left" w:pos="1842"/>
        </w:tabs>
        <w:spacing w:before="123" w:line="235" w:lineRule="auto"/>
        <w:ind w:right="26"/>
        <w:jc w:val="both"/>
        <w:rPr>
          <w:rFonts w:ascii="Arial" w:hAnsi="Arial" w:cs="Arial"/>
          <w:sz w:val="20"/>
          <w:szCs w:val="20"/>
        </w:rPr>
      </w:pPr>
      <w:r w:rsidRPr="00F31501">
        <w:rPr>
          <w:rFonts w:ascii="Arial" w:hAnsi="Arial" w:cs="Arial"/>
          <w:sz w:val="20"/>
          <w:szCs w:val="20"/>
        </w:rPr>
        <w:t>All control cords used for flight control are designed and installed to preclude</w:t>
      </w:r>
      <w:r w:rsidRPr="00F31501">
        <w:rPr>
          <w:rFonts w:ascii="Arial" w:hAnsi="Arial" w:cs="Arial"/>
          <w:spacing w:val="1"/>
          <w:sz w:val="20"/>
          <w:szCs w:val="20"/>
        </w:rPr>
        <w:t xml:space="preserve"> </w:t>
      </w:r>
      <w:r w:rsidRPr="00F31501">
        <w:rPr>
          <w:rFonts w:ascii="Arial" w:hAnsi="Arial" w:cs="Arial"/>
          <w:sz w:val="20"/>
          <w:szCs w:val="20"/>
        </w:rPr>
        <w:t>entanglement</w:t>
      </w:r>
      <w:r w:rsidRPr="00F31501">
        <w:rPr>
          <w:rFonts w:ascii="Arial" w:hAnsi="Arial" w:cs="Arial"/>
          <w:spacing w:val="-1"/>
          <w:sz w:val="20"/>
          <w:szCs w:val="20"/>
        </w:rPr>
        <w:t xml:space="preserve"> </w:t>
      </w:r>
      <w:r w:rsidRPr="00F31501">
        <w:rPr>
          <w:rFonts w:ascii="Arial" w:hAnsi="Arial" w:cs="Arial"/>
          <w:sz w:val="20"/>
          <w:szCs w:val="20"/>
        </w:rPr>
        <w:t>and</w:t>
      </w:r>
      <w:r w:rsidRPr="00F31501">
        <w:rPr>
          <w:rFonts w:ascii="Arial" w:hAnsi="Arial" w:cs="Arial"/>
          <w:spacing w:val="-1"/>
          <w:sz w:val="20"/>
          <w:szCs w:val="20"/>
        </w:rPr>
        <w:t xml:space="preserve"> </w:t>
      </w:r>
      <w:r w:rsidRPr="00F31501">
        <w:rPr>
          <w:rFonts w:ascii="Arial" w:hAnsi="Arial" w:cs="Arial"/>
          <w:sz w:val="20"/>
          <w:szCs w:val="20"/>
        </w:rPr>
        <w:t>inadvertent operation.</w:t>
      </w:r>
    </w:p>
    <w:p w14:paraId="77C39694" w14:textId="77777777" w:rsidR="00F31501" w:rsidRPr="00F31501" w:rsidRDefault="00F31501" w:rsidP="005F6871">
      <w:pPr>
        <w:pStyle w:val="ListParagraph"/>
        <w:numPr>
          <w:ilvl w:val="2"/>
          <w:numId w:val="428"/>
        </w:numPr>
        <w:tabs>
          <w:tab w:val="left" w:pos="1842"/>
        </w:tabs>
        <w:spacing w:before="123" w:line="235" w:lineRule="auto"/>
        <w:ind w:right="26"/>
        <w:jc w:val="both"/>
        <w:rPr>
          <w:rFonts w:ascii="Arial" w:hAnsi="Arial" w:cs="Arial"/>
          <w:sz w:val="20"/>
          <w:szCs w:val="20"/>
        </w:rPr>
      </w:pPr>
      <w:r w:rsidRPr="00F31501">
        <w:rPr>
          <w:rFonts w:ascii="Arial" w:hAnsi="Arial" w:cs="Arial"/>
          <w:sz w:val="20"/>
          <w:szCs w:val="20"/>
        </w:rPr>
        <w:t>The maximum force required for their operation does not exceed 340 N.</w:t>
      </w:r>
    </w:p>
    <w:p w14:paraId="2574AE4B" w14:textId="77777777" w:rsidR="00F31501" w:rsidRPr="00F31501" w:rsidRDefault="00F31501" w:rsidP="005F6871">
      <w:pPr>
        <w:pStyle w:val="ListParagraph"/>
        <w:numPr>
          <w:ilvl w:val="2"/>
          <w:numId w:val="428"/>
        </w:numPr>
        <w:tabs>
          <w:tab w:val="left" w:pos="1842"/>
        </w:tabs>
        <w:spacing w:before="123" w:line="235" w:lineRule="auto"/>
        <w:ind w:right="26"/>
        <w:jc w:val="both"/>
        <w:rPr>
          <w:rFonts w:ascii="Arial" w:hAnsi="Arial" w:cs="Arial"/>
          <w:sz w:val="20"/>
          <w:szCs w:val="20"/>
        </w:rPr>
      </w:pPr>
      <w:r w:rsidRPr="00F31501">
        <w:rPr>
          <w:rFonts w:ascii="Arial" w:hAnsi="Arial" w:cs="Arial"/>
          <w:sz w:val="20"/>
          <w:szCs w:val="20"/>
        </w:rPr>
        <w:t>All control cords used for flight control are long enough to allow an increase of at least 10 % in the vertical dimension of the envelope.</w:t>
      </w:r>
    </w:p>
    <w:p w14:paraId="084F36E9" w14:textId="77777777" w:rsidR="00F31501" w:rsidRPr="00F31501" w:rsidRDefault="00F31501" w:rsidP="005F6871">
      <w:pPr>
        <w:pStyle w:val="ListParagraph"/>
        <w:numPr>
          <w:ilvl w:val="2"/>
          <w:numId w:val="428"/>
        </w:numPr>
        <w:tabs>
          <w:tab w:val="left" w:pos="1842"/>
        </w:tabs>
        <w:spacing w:before="123" w:line="235" w:lineRule="auto"/>
        <w:ind w:right="26"/>
        <w:jc w:val="both"/>
        <w:rPr>
          <w:rFonts w:ascii="Arial" w:hAnsi="Arial" w:cs="Arial"/>
          <w:sz w:val="20"/>
          <w:szCs w:val="20"/>
        </w:rPr>
      </w:pPr>
      <w:r w:rsidRPr="00F31501">
        <w:rPr>
          <w:rFonts w:ascii="Arial" w:hAnsi="Arial" w:cs="Arial"/>
          <w:sz w:val="20"/>
          <w:szCs w:val="20"/>
        </w:rPr>
        <w:t>Arming cords. If an arming device is employed to prevent inadvertent operation of an irreversible control, the part of the device to be handled by the operator is coloured with yellow and black bands.</w:t>
      </w:r>
    </w:p>
    <w:p w14:paraId="61FA3CF1" w14:textId="77777777" w:rsidR="00F31501" w:rsidRPr="00F31501" w:rsidRDefault="00F31501" w:rsidP="005F6871">
      <w:pPr>
        <w:pStyle w:val="ListParagraph"/>
        <w:numPr>
          <w:ilvl w:val="1"/>
          <w:numId w:val="428"/>
        </w:numPr>
        <w:tabs>
          <w:tab w:val="left" w:pos="1274"/>
        </w:tabs>
        <w:ind w:hanging="568"/>
        <w:jc w:val="both"/>
        <w:rPr>
          <w:rFonts w:ascii="Arial" w:hAnsi="Arial" w:cs="Arial"/>
          <w:sz w:val="20"/>
          <w:szCs w:val="20"/>
        </w:rPr>
      </w:pPr>
      <w:r w:rsidRPr="00F31501">
        <w:rPr>
          <w:rFonts w:ascii="Arial" w:hAnsi="Arial" w:cs="Arial"/>
          <w:sz w:val="20"/>
          <w:szCs w:val="20"/>
        </w:rPr>
        <w:t>Venting</w:t>
      </w:r>
      <w:r w:rsidRPr="00F31501">
        <w:rPr>
          <w:rFonts w:ascii="Arial" w:hAnsi="Arial" w:cs="Arial"/>
          <w:spacing w:val="-1"/>
          <w:sz w:val="20"/>
          <w:szCs w:val="20"/>
        </w:rPr>
        <w:t xml:space="preserve"> </w:t>
      </w:r>
      <w:r w:rsidRPr="00F31501">
        <w:rPr>
          <w:rFonts w:ascii="Arial" w:hAnsi="Arial" w:cs="Arial"/>
          <w:sz w:val="20"/>
          <w:szCs w:val="20"/>
        </w:rPr>
        <w:t>cords</w:t>
      </w:r>
    </w:p>
    <w:p w14:paraId="5800E183" w14:textId="77777777" w:rsidR="00F31501" w:rsidRPr="00F31501" w:rsidRDefault="00F31501" w:rsidP="005F6871">
      <w:pPr>
        <w:pStyle w:val="ListParagraph"/>
        <w:numPr>
          <w:ilvl w:val="2"/>
          <w:numId w:val="428"/>
        </w:numPr>
        <w:tabs>
          <w:tab w:val="left" w:pos="1842"/>
        </w:tabs>
        <w:spacing w:before="123" w:line="235" w:lineRule="auto"/>
        <w:ind w:right="26"/>
        <w:jc w:val="both"/>
        <w:rPr>
          <w:rFonts w:ascii="Arial" w:hAnsi="Arial" w:cs="Arial"/>
          <w:sz w:val="20"/>
          <w:szCs w:val="20"/>
        </w:rPr>
      </w:pPr>
      <w:r w:rsidRPr="00F31501">
        <w:rPr>
          <w:rFonts w:ascii="Arial" w:hAnsi="Arial" w:cs="Arial"/>
          <w:sz w:val="20"/>
          <w:szCs w:val="20"/>
        </w:rPr>
        <w:t>If a venting cord is used to allow controlled release of the lifting gas and the vent can be resealed in flight, the part of the cord to be handled by the operator is coloured with red and white bands.</w:t>
      </w:r>
    </w:p>
    <w:p w14:paraId="34D83103" w14:textId="77777777" w:rsidR="00F31501" w:rsidRPr="00F31501" w:rsidRDefault="00F31501" w:rsidP="005F6871">
      <w:pPr>
        <w:pStyle w:val="ListParagraph"/>
        <w:numPr>
          <w:ilvl w:val="2"/>
          <w:numId w:val="428"/>
        </w:numPr>
        <w:tabs>
          <w:tab w:val="left" w:pos="1842"/>
        </w:tabs>
        <w:spacing w:before="123" w:line="235" w:lineRule="auto"/>
        <w:ind w:right="26"/>
        <w:jc w:val="both"/>
        <w:rPr>
          <w:rFonts w:ascii="Arial" w:hAnsi="Arial" w:cs="Arial"/>
          <w:sz w:val="20"/>
          <w:szCs w:val="20"/>
        </w:rPr>
      </w:pPr>
      <w:r w:rsidRPr="00F31501">
        <w:rPr>
          <w:rFonts w:ascii="Arial" w:hAnsi="Arial" w:cs="Arial"/>
          <w:sz w:val="20"/>
          <w:szCs w:val="20"/>
        </w:rPr>
        <w:t>If a further cord is required to re-seal any vent, the part of the cord handled by the operator is coloured white.</w:t>
      </w:r>
    </w:p>
    <w:p w14:paraId="64DD126F" w14:textId="77777777" w:rsidR="00F31501" w:rsidRPr="00F31501" w:rsidRDefault="00F31501" w:rsidP="005F6871">
      <w:pPr>
        <w:pStyle w:val="ListParagraph"/>
        <w:numPr>
          <w:ilvl w:val="1"/>
          <w:numId w:val="428"/>
        </w:numPr>
        <w:tabs>
          <w:tab w:val="left" w:pos="1274"/>
        </w:tabs>
        <w:spacing w:before="121"/>
        <w:ind w:hanging="568"/>
        <w:jc w:val="both"/>
        <w:rPr>
          <w:rFonts w:ascii="Arial" w:hAnsi="Arial" w:cs="Arial"/>
          <w:sz w:val="20"/>
          <w:szCs w:val="20"/>
        </w:rPr>
      </w:pPr>
      <w:r w:rsidRPr="00F31501">
        <w:rPr>
          <w:rFonts w:ascii="Arial" w:hAnsi="Arial" w:cs="Arial"/>
          <w:sz w:val="20"/>
          <w:szCs w:val="20"/>
        </w:rPr>
        <w:t>Rapid</w:t>
      </w:r>
      <w:r w:rsidRPr="00F31501">
        <w:rPr>
          <w:rFonts w:ascii="Arial" w:hAnsi="Arial" w:cs="Arial"/>
          <w:spacing w:val="-3"/>
          <w:sz w:val="20"/>
          <w:szCs w:val="20"/>
        </w:rPr>
        <w:t xml:space="preserve"> </w:t>
      </w:r>
      <w:r w:rsidRPr="00F31501">
        <w:rPr>
          <w:rFonts w:ascii="Arial" w:hAnsi="Arial" w:cs="Arial"/>
          <w:sz w:val="20"/>
          <w:szCs w:val="20"/>
        </w:rPr>
        <w:t>or</w:t>
      </w:r>
      <w:r w:rsidRPr="00F31501">
        <w:rPr>
          <w:rFonts w:ascii="Arial" w:hAnsi="Arial" w:cs="Arial"/>
          <w:spacing w:val="-3"/>
          <w:sz w:val="20"/>
          <w:szCs w:val="20"/>
        </w:rPr>
        <w:t xml:space="preserve"> </w:t>
      </w:r>
      <w:r w:rsidRPr="00F31501">
        <w:rPr>
          <w:rFonts w:ascii="Arial" w:hAnsi="Arial" w:cs="Arial"/>
          <w:sz w:val="20"/>
          <w:szCs w:val="20"/>
        </w:rPr>
        <w:t>emergency</w:t>
      </w:r>
      <w:r w:rsidRPr="00F31501">
        <w:rPr>
          <w:rFonts w:ascii="Arial" w:hAnsi="Arial" w:cs="Arial"/>
          <w:spacing w:val="-1"/>
          <w:sz w:val="20"/>
          <w:szCs w:val="20"/>
        </w:rPr>
        <w:t xml:space="preserve"> </w:t>
      </w:r>
      <w:r w:rsidRPr="00F31501">
        <w:rPr>
          <w:rFonts w:ascii="Arial" w:hAnsi="Arial" w:cs="Arial"/>
          <w:sz w:val="20"/>
          <w:szCs w:val="20"/>
        </w:rPr>
        <w:t>deflation</w:t>
      </w:r>
      <w:r w:rsidRPr="00F31501">
        <w:rPr>
          <w:rFonts w:ascii="Arial" w:hAnsi="Arial" w:cs="Arial"/>
          <w:spacing w:val="-2"/>
          <w:sz w:val="20"/>
          <w:szCs w:val="20"/>
        </w:rPr>
        <w:t xml:space="preserve"> </w:t>
      </w:r>
      <w:r w:rsidRPr="00F31501">
        <w:rPr>
          <w:rFonts w:ascii="Arial" w:hAnsi="Arial" w:cs="Arial"/>
          <w:sz w:val="20"/>
          <w:szCs w:val="20"/>
        </w:rPr>
        <w:t>cords.</w:t>
      </w:r>
    </w:p>
    <w:p w14:paraId="10191E12" w14:textId="77777777" w:rsidR="00F31501" w:rsidRPr="00F31501" w:rsidRDefault="00F31501" w:rsidP="005F6871">
      <w:pPr>
        <w:pStyle w:val="ListParagraph"/>
        <w:numPr>
          <w:ilvl w:val="2"/>
          <w:numId w:val="428"/>
        </w:numPr>
        <w:tabs>
          <w:tab w:val="left" w:pos="1842"/>
        </w:tabs>
        <w:spacing w:before="123" w:line="235" w:lineRule="auto"/>
        <w:ind w:right="26"/>
        <w:jc w:val="both"/>
        <w:rPr>
          <w:rFonts w:ascii="Arial" w:hAnsi="Arial" w:cs="Arial"/>
          <w:sz w:val="20"/>
          <w:szCs w:val="20"/>
        </w:rPr>
      </w:pPr>
      <w:r w:rsidRPr="00F31501">
        <w:rPr>
          <w:rFonts w:ascii="Arial" w:hAnsi="Arial" w:cs="Arial"/>
          <w:sz w:val="20"/>
          <w:szCs w:val="20"/>
        </w:rPr>
        <w:t>If a cord is used for rapid or emergency deflation of the envelope and the device cannot be resealed in flight, the part of the cord to be handled by the operator is coloured red.</w:t>
      </w:r>
    </w:p>
    <w:p w14:paraId="2EA341AD" w14:textId="77777777" w:rsidR="00F31501" w:rsidRDefault="00F31501" w:rsidP="005F6871">
      <w:pPr>
        <w:pStyle w:val="ListParagraph"/>
        <w:numPr>
          <w:ilvl w:val="2"/>
          <w:numId w:val="428"/>
        </w:numPr>
        <w:tabs>
          <w:tab w:val="left" w:pos="1842"/>
        </w:tabs>
        <w:spacing w:before="123" w:line="235" w:lineRule="auto"/>
        <w:ind w:right="26"/>
        <w:jc w:val="both"/>
        <w:rPr>
          <w:rFonts w:ascii="Arial" w:hAnsi="Arial" w:cs="Arial"/>
          <w:sz w:val="20"/>
          <w:szCs w:val="20"/>
        </w:rPr>
      </w:pPr>
      <w:r w:rsidRPr="00F31501">
        <w:rPr>
          <w:rFonts w:ascii="Arial" w:hAnsi="Arial" w:cs="Arial"/>
          <w:sz w:val="20"/>
          <w:szCs w:val="20"/>
        </w:rPr>
        <w:t>In addition to subparagraph CS 31TGB.43(c)(1)(ii) the force required to operate the emergency deflation cord is not less than 110 N.</w:t>
      </w:r>
    </w:p>
    <w:p w14:paraId="481B58F9" w14:textId="77777777" w:rsidR="00863ED8" w:rsidRDefault="00863ED8" w:rsidP="00863ED8">
      <w:pPr>
        <w:tabs>
          <w:tab w:val="left" w:pos="1842"/>
        </w:tabs>
        <w:spacing w:before="123" w:line="235" w:lineRule="auto"/>
        <w:ind w:right="26"/>
        <w:jc w:val="both"/>
        <w:rPr>
          <w:rFonts w:ascii="Arial" w:hAnsi="Arial" w:cs="Arial"/>
          <w:sz w:val="20"/>
          <w:szCs w:val="20"/>
        </w:rPr>
      </w:pPr>
    </w:p>
    <w:p w14:paraId="5C311B1A" w14:textId="77777777" w:rsidR="00863ED8" w:rsidRPr="00863ED8" w:rsidRDefault="00863ED8" w:rsidP="00863ED8">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557" w:name="CS_31TGB.45_Protection_of_envelope_again"/>
      <w:bookmarkStart w:id="1558" w:name="_bookmark631"/>
      <w:bookmarkStart w:id="1559" w:name="_Toc153137793"/>
      <w:bookmarkEnd w:id="1557"/>
      <w:bookmarkEnd w:id="1558"/>
      <w:r w:rsidRPr="00863ED8">
        <w:rPr>
          <w:rFonts w:ascii="Arial" w:eastAsia="Times New Roman" w:hAnsi="Arial" w:cs="Times New Roman"/>
          <w:b/>
          <w:iCs/>
          <w:color w:val="FFFFFF"/>
          <w:sz w:val="24"/>
        </w:rPr>
        <w:lastRenderedPageBreak/>
        <w:t>CS 31TGB.45 Protection of envelope against tearing</w:t>
      </w:r>
      <w:bookmarkEnd w:id="1559"/>
    </w:p>
    <w:p w14:paraId="62E99BB2" w14:textId="77777777" w:rsidR="00863ED8" w:rsidRPr="00863ED8" w:rsidRDefault="00863ED8" w:rsidP="00863ED8">
      <w:pPr>
        <w:pStyle w:val="BodyText"/>
        <w:spacing w:before="117" w:line="276" w:lineRule="auto"/>
        <w:ind w:right="26"/>
        <w:jc w:val="both"/>
        <w:rPr>
          <w:rFonts w:ascii="Arial" w:hAnsi="Arial" w:cs="Arial"/>
          <w:sz w:val="20"/>
        </w:rPr>
      </w:pPr>
      <w:r w:rsidRPr="00863ED8">
        <w:rPr>
          <w:rFonts w:ascii="Arial" w:hAnsi="Arial" w:cs="Arial"/>
          <w:sz w:val="20"/>
        </w:rPr>
        <w:t>The design of the envelope is such that, while supporting limit load, local damage will not grow to an extent that results in an uncontrolled landing.</w:t>
      </w:r>
    </w:p>
    <w:p w14:paraId="3706E10B" w14:textId="77777777" w:rsidR="00863ED8" w:rsidRPr="00863ED8" w:rsidRDefault="00863ED8" w:rsidP="00863ED8">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560" w:name="_Toc153137794"/>
      <w:r w:rsidRPr="00863ED8">
        <w:rPr>
          <w:rFonts w:ascii="Arial" w:eastAsia="Times New Roman" w:hAnsi="Arial" w:cs="Times New Roman"/>
          <w:b/>
          <w:color w:val="FFFFFF"/>
          <w:sz w:val="24"/>
        </w:rPr>
        <w:t>AMC1 31TGB.45 Protection of envelope against tearing</w:t>
      </w:r>
      <w:bookmarkEnd w:id="1560"/>
      <w:r w:rsidRPr="00863ED8">
        <w:rPr>
          <w:rFonts w:ascii="Arial" w:eastAsia="Times New Roman" w:hAnsi="Arial" w:cs="Times New Roman"/>
          <w:b/>
          <w:color w:val="FFFFFF"/>
          <w:sz w:val="24"/>
        </w:rPr>
        <w:tab/>
      </w:r>
    </w:p>
    <w:p w14:paraId="1DF4339F" w14:textId="77777777" w:rsidR="00863ED8" w:rsidRPr="00C7377B" w:rsidRDefault="00863ED8" w:rsidP="00C7377B">
      <w:pPr>
        <w:pStyle w:val="BodyText"/>
        <w:spacing w:before="117" w:line="276" w:lineRule="auto"/>
        <w:ind w:right="26"/>
        <w:jc w:val="both"/>
        <w:rPr>
          <w:rFonts w:ascii="Arial" w:hAnsi="Arial" w:cs="Arial"/>
          <w:sz w:val="20"/>
        </w:rPr>
      </w:pPr>
      <w:r w:rsidRPr="00C7377B">
        <w:rPr>
          <w:rFonts w:ascii="Arial" w:hAnsi="Arial" w:cs="Arial"/>
          <w:sz w:val="20"/>
        </w:rPr>
        <w:t>Demonstration of sufficient rip-stopping capability of the envelope material.</w:t>
      </w:r>
    </w:p>
    <w:p w14:paraId="3C6D1F52" w14:textId="77777777" w:rsidR="00863ED8" w:rsidRPr="00C7377B" w:rsidRDefault="00863ED8" w:rsidP="00C7377B">
      <w:pPr>
        <w:pStyle w:val="BodyText"/>
        <w:spacing w:before="117" w:line="276" w:lineRule="auto"/>
        <w:ind w:right="26"/>
        <w:jc w:val="both"/>
        <w:rPr>
          <w:rFonts w:ascii="Arial" w:hAnsi="Arial" w:cs="Arial"/>
          <w:sz w:val="20"/>
        </w:rPr>
      </w:pPr>
      <w:r w:rsidRPr="00C7377B">
        <w:rPr>
          <w:rFonts w:ascii="Arial" w:hAnsi="Arial" w:cs="Arial"/>
          <w:sz w:val="20"/>
        </w:rPr>
        <w:t>The objective of this demonstration is to show that the envelope material is sufficiently damage resistant. It therefore needs to be determined that the envelope material would not continue to tear under the maximum tension and conditions (temperature) experienced in normal operation.</w:t>
      </w:r>
    </w:p>
    <w:p w14:paraId="41576E59" w14:textId="77777777" w:rsidR="00863ED8" w:rsidRPr="00C7377B" w:rsidRDefault="00863ED8" w:rsidP="00C7377B">
      <w:pPr>
        <w:pStyle w:val="BodyText"/>
        <w:spacing w:before="117" w:line="276" w:lineRule="auto"/>
        <w:ind w:right="26"/>
        <w:jc w:val="both"/>
        <w:rPr>
          <w:rFonts w:ascii="Arial" w:hAnsi="Arial" w:cs="Arial"/>
          <w:sz w:val="20"/>
        </w:rPr>
      </w:pPr>
      <w:r w:rsidRPr="00C7377B">
        <w:rPr>
          <w:rFonts w:ascii="Arial" w:hAnsi="Arial" w:cs="Arial"/>
          <w:sz w:val="20"/>
        </w:rPr>
        <w:t>In order to establish that the determined damage resistance is sufficient, the critical damage should be reviewed in relation to local damage foreseeable in normal operation.</w:t>
      </w:r>
    </w:p>
    <w:p w14:paraId="523112D7" w14:textId="77777777" w:rsidR="00863ED8" w:rsidRPr="00C7377B" w:rsidRDefault="00863ED8" w:rsidP="00C7377B">
      <w:pPr>
        <w:pStyle w:val="BodyText"/>
        <w:spacing w:before="117" w:line="276" w:lineRule="auto"/>
        <w:ind w:right="26"/>
        <w:jc w:val="both"/>
        <w:rPr>
          <w:rFonts w:ascii="Arial" w:hAnsi="Arial" w:cs="Arial"/>
          <w:sz w:val="20"/>
        </w:rPr>
      </w:pPr>
      <w:r w:rsidRPr="00C7377B">
        <w:rPr>
          <w:rFonts w:ascii="Arial" w:hAnsi="Arial" w:cs="Arial"/>
          <w:sz w:val="20"/>
        </w:rPr>
        <w:t>The local damages to be considered are:</w:t>
      </w:r>
    </w:p>
    <w:p w14:paraId="3FAC9906" w14:textId="77777777" w:rsidR="00863ED8" w:rsidRPr="00C7377B" w:rsidRDefault="00863ED8" w:rsidP="005F6871">
      <w:pPr>
        <w:pStyle w:val="ListParagraph"/>
        <w:numPr>
          <w:ilvl w:val="0"/>
          <w:numId w:val="419"/>
        </w:numPr>
        <w:tabs>
          <w:tab w:val="left" w:pos="707"/>
        </w:tabs>
        <w:spacing w:before="121"/>
        <w:rPr>
          <w:rFonts w:ascii="Arial" w:hAnsi="Arial" w:cs="Arial"/>
          <w:sz w:val="20"/>
        </w:rPr>
      </w:pPr>
      <w:r w:rsidRPr="00C7377B">
        <w:rPr>
          <w:rFonts w:ascii="Arial" w:hAnsi="Arial" w:cs="Arial"/>
          <w:sz w:val="20"/>
        </w:rPr>
        <w:t>existing damage that may be undetected during pre-flight inspection, and</w:t>
      </w:r>
    </w:p>
    <w:p w14:paraId="5B7749A1" w14:textId="77777777" w:rsidR="00863ED8" w:rsidRPr="00C7377B" w:rsidRDefault="00863ED8" w:rsidP="005F6871">
      <w:pPr>
        <w:pStyle w:val="ListParagraph"/>
        <w:numPr>
          <w:ilvl w:val="0"/>
          <w:numId w:val="419"/>
        </w:numPr>
        <w:tabs>
          <w:tab w:val="left" w:pos="707"/>
        </w:tabs>
        <w:spacing w:before="121"/>
        <w:rPr>
          <w:rFonts w:ascii="Arial" w:hAnsi="Arial" w:cs="Arial"/>
          <w:sz w:val="20"/>
        </w:rPr>
      </w:pPr>
      <w:r w:rsidRPr="00C7377B">
        <w:rPr>
          <w:rFonts w:ascii="Arial" w:hAnsi="Arial" w:cs="Arial"/>
          <w:sz w:val="20"/>
        </w:rPr>
        <w:t>limited damage, inflicted during flight where the size of the damage in itself would not result in a catastrophic failure.</w:t>
      </w:r>
    </w:p>
    <w:p w14:paraId="0A508626" w14:textId="77777777" w:rsidR="00863ED8" w:rsidRPr="00C7377B" w:rsidRDefault="00863ED8" w:rsidP="00C7377B">
      <w:pPr>
        <w:pStyle w:val="BodyText"/>
        <w:spacing w:before="117" w:line="276" w:lineRule="auto"/>
        <w:ind w:right="26"/>
        <w:jc w:val="both"/>
        <w:rPr>
          <w:rFonts w:ascii="Arial" w:hAnsi="Arial" w:cs="Arial"/>
          <w:sz w:val="20"/>
        </w:rPr>
      </w:pPr>
      <w:r w:rsidRPr="00C7377B">
        <w:rPr>
          <w:rFonts w:ascii="Arial" w:hAnsi="Arial" w:cs="Arial"/>
          <w:sz w:val="20"/>
        </w:rPr>
        <w:t>The resistance of envelope fabric to damage propagation is determined by test.</w:t>
      </w:r>
    </w:p>
    <w:p w14:paraId="4E371F6B" w14:textId="77777777" w:rsidR="00863ED8" w:rsidRPr="00C7377B" w:rsidRDefault="00863ED8" w:rsidP="00C7377B">
      <w:pPr>
        <w:pStyle w:val="BodyText"/>
        <w:spacing w:before="117" w:line="276" w:lineRule="auto"/>
        <w:ind w:right="26"/>
        <w:jc w:val="both"/>
        <w:rPr>
          <w:rFonts w:ascii="Arial" w:hAnsi="Arial" w:cs="Arial"/>
          <w:sz w:val="20"/>
        </w:rPr>
      </w:pPr>
      <w:r w:rsidRPr="00C7377B">
        <w:rPr>
          <w:rFonts w:ascii="Arial" w:hAnsi="Arial" w:cs="Arial"/>
          <w:sz w:val="20"/>
        </w:rPr>
        <w:t>It is shown by test that a crosswise slit of at least 5 cm in the most unfavourable direction to the envelope fabric at the maximum tension experienced in service does not propagate. Test results from tests on similar fabric at the equal or higher tension and damage equal or larger than 5 cm are considered compliant.</w:t>
      </w:r>
    </w:p>
    <w:p w14:paraId="33BD2DE1" w14:textId="77777777" w:rsidR="00863ED8" w:rsidRPr="00C7377B" w:rsidRDefault="00863ED8" w:rsidP="00C7377B">
      <w:pPr>
        <w:pStyle w:val="BodyText"/>
        <w:spacing w:before="117" w:line="276" w:lineRule="auto"/>
        <w:ind w:right="26"/>
        <w:jc w:val="both"/>
        <w:rPr>
          <w:rFonts w:ascii="Arial" w:hAnsi="Arial" w:cs="Arial"/>
          <w:sz w:val="20"/>
        </w:rPr>
      </w:pPr>
      <w:r w:rsidRPr="00C7377B">
        <w:rPr>
          <w:rFonts w:ascii="Arial" w:hAnsi="Arial" w:cs="Arial"/>
          <w:sz w:val="20"/>
        </w:rPr>
        <w:t>A typical test set-up is provided below.</w:t>
      </w:r>
    </w:p>
    <w:p w14:paraId="7B95DAB0" w14:textId="77777777" w:rsidR="00863ED8" w:rsidRPr="00C7377B" w:rsidRDefault="00863ED8" w:rsidP="00C7377B">
      <w:pPr>
        <w:pStyle w:val="BodyText"/>
        <w:spacing w:before="117" w:line="276" w:lineRule="auto"/>
        <w:ind w:right="26"/>
        <w:jc w:val="both"/>
        <w:rPr>
          <w:rFonts w:ascii="Arial" w:hAnsi="Arial" w:cs="Arial"/>
          <w:sz w:val="20"/>
        </w:rPr>
      </w:pPr>
      <w:r w:rsidRPr="00C7377B">
        <w:rPr>
          <w:rFonts w:ascii="Arial" w:hAnsi="Arial" w:cs="Arial"/>
          <w:noProof/>
          <w:sz w:val="20"/>
        </w:rPr>
        <w:drawing>
          <wp:anchor distT="0" distB="0" distL="0" distR="0" simplePos="0" relativeHeight="251683840" behindDoc="0" locked="0" layoutInCell="1" allowOverlap="1" wp14:anchorId="47085DB6" wp14:editId="26FFF9F7">
            <wp:simplePos x="0" y="0"/>
            <wp:positionH relativeFrom="page">
              <wp:posOffset>914400</wp:posOffset>
            </wp:positionH>
            <wp:positionV relativeFrom="paragraph">
              <wp:posOffset>665480</wp:posOffset>
            </wp:positionV>
            <wp:extent cx="5788025" cy="3336290"/>
            <wp:effectExtent l="0" t="0" r="3175"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788025" cy="3336290"/>
                    </a:xfrm>
                    <a:prstGeom prst="rect">
                      <a:avLst/>
                    </a:prstGeom>
                    <a:noFill/>
                  </pic:spPr>
                </pic:pic>
              </a:graphicData>
            </a:graphic>
            <wp14:sizeRelH relativeFrom="page">
              <wp14:pctWidth>0</wp14:pctWidth>
            </wp14:sizeRelH>
            <wp14:sizeRelV relativeFrom="page">
              <wp14:pctHeight>0</wp14:pctHeight>
            </wp14:sizeRelV>
          </wp:anchor>
        </w:drawing>
      </w:r>
      <w:r w:rsidRPr="00C7377B">
        <w:rPr>
          <w:rFonts w:ascii="Arial" w:hAnsi="Arial" w:cs="Arial"/>
          <w:sz w:val="20"/>
        </w:rPr>
        <w:t>The tension in the test area of the specimen of the fabric should be equal to the maximum tension experienced in service and the test method should not create unacceptable tension re-distributions in the test area when the test is conducted.</w:t>
      </w:r>
    </w:p>
    <w:p w14:paraId="3EF39CDB" w14:textId="77777777" w:rsidR="00863ED8" w:rsidRPr="00C7377B" w:rsidRDefault="00863ED8" w:rsidP="00C7377B">
      <w:pPr>
        <w:pStyle w:val="BodyText"/>
        <w:spacing w:before="117" w:line="276" w:lineRule="auto"/>
        <w:ind w:right="26"/>
        <w:jc w:val="both"/>
        <w:rPr>
          <w:rFonts w:ascii="Arial" w:hAnsi="Arial" w:cs="Arial"/>
          <w:sz w:val="20"/>
        </w:rPr>
      </w:pPr>
      <w:r w:rsidRPr="00C7377B">
        <w:rPr>
          <w:rFonts w:ascii="Arial" w:hAnsi="Arial" w:cs="Arial"/>
          <w:sz w:val="20"/>
        </w:rPr>
        <w:t>If the balloon is equipped with a net to distribute and reduce the loads in the envelope, the net is regarded as a tear-prevention device.</w:t>
      </w:r>
    </w:p>
    <w:p w14:paraId="22D54E69" w14:textId="77777777" w:rsidR="0021303B" w:rsidRDefault="0021303B" w:rsidP="00836433"/>
    <w:p w14:paraId="6C2DC53E" w14:textId="77777777" w:rsidR="00C31427" w:rsidRDefault="00C31427" w:rsidP="00836433"/>
    <w:p w14:paraId="32F4D715" w14:textId="77777777" w:rsidR="00C31427" w:rsidRDefault="00C31427" w:rsidP="00836433"/>
    <w:p w14:paraId="7B089E8F" w14:textId="77777777" w:rsidR="00C31427" w:rsidRDefault="00C31427" w:rsidP="00836433"/>
    <w:p w14:paraId="14B7D38E" w14:textId="77777777" w:rsidR="002E6CCB" w:rsidRPr="002E6CCB" w:rsidRDefault="002E6CCB" w:rsidP="002E6CCB">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561" w:name="CS_31TGB.47_Precautions_against_loss_of_"/>
      <w:bookmarkStart w:id="1562" w:name="_bookmark633"/>
      <w:bookmarkStart w:id="1563" w:name="_Toc153137795"/>
      <w:bookmarkEnd w:id="1561"/>
      <w:bookmarkEnd w:id="1562"/>
      <w:r w:rsidRPr="002E6CCB">
        <w:rPr>
          <w:rFonts w:ascii="Arial" w:eastAsia="Times New Roman" w:hAnsi="Arial" w:cs="Times New Roman"/>
          <w:b/>
          <w:iCs/>
          <w:color w:val="FFFFFF"/>
          <w:sz w:val="24"/>
        </w:rPr>
        <w:lastRenderedPageBreak/>
        <w:t>CS 31TGB.47 Precautions against loss of lifting gas</w:t>
      </w:r>
      <w:bookmarkEnd w:id="1563"/>
    </w:p>
    <w:p w14:paraId="6B3BAEF2" w14:textId="77777777" w:rsidR="002E6CCB" w:rsidRPr="002E6CCB" w:rsidRDefault="002E6CCB" w:rsidP="002E6CCB">
      <w:pPr>
        <w:pStyle w:val="BodyText"/>
        <w:spacing w:before="117" w:line="276" w:lineRule="auto"/>
        <w:ind w:right="26"/>
        <w:jc w:val="both"/>
        <w:rPr>
          <w:rFonts w:ascii="Arial" w:hAnsi="Arial" w:cs="Arial"/>
          <w:sz w:val="20"/>
        </w:rPr>
      </w:pPr>
      <w:r w:rsidRPr="002E6CCB">
        <w:rPr>
          <w:rFonts w:ascii="Arial" w:hAnsi="Arial" w:cs="Arial"/>
          <w:sz w:val="20"/>
        </w:rPr>
        <w:t>The envelope is designed to exclude the possibility of loss of lifting gas likely to adversely affect safe operation taking into account dynamic pressure, temperature and fluctuations in air pressure over the permissible operating range.</w:t>
      </w:r>
    </w:p>
    <w:p w14:paraId="6BB37B3D" w14:textId="77777777" w:rsidR="002E6CCB" w:rsidRPr="002E6CCB" w:rsidRDefault="002E6CCB" w:rsidP="002E6CCB">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564" w:name="CS_31TGB.49_Limiting_the_operating_press"/>
      <w:bookmarkStart w:id="1565" w:name="_bookmark634"/>
      <w:bookmarkStart w:id="1566" w:name="_Toc153137796"/>
      <w:bookmarkEnd w:id="1564"/>
      <w:bookmarkEnd w:id="1565"/>
      <w:r w:rsidRPr="002E6CCB">
        <w:rPr>
          <w:rFonts w:ascii="Arial" w:eastAsia="Times New Roman" w:hAnsi="Arial" w:cs="Times New Roman"/>
          <w:b/>
          <w:iCs/>
          <w:color w:val="FFFFFF"/>
          <w:sz w:val="24"/>
        </w:rPr>
        <w:t>CS 31TGB.49 Limiting the operating pressure</w:t>
      </w:r>
      <w:bookmarkEnd w:id="1566"/>
    </w:p>
    <w:p w14:paraId="5F8BC0C7" w14:textId="77777777" w:rsidR="002E6CCB" w:rsidRPr="002E6CCB" w:rsidRDefault="002E6CCB" w:rsidP="002E6CCB">
      <w:pPr>
        <w:pStyle w:val="BodyText"/>
        <w:spacing w:before="117" w:line="276" w:lineRule="auto"/>
        <w:ind w:right="26"/>
        <w:jc w:val="both"/>
        <w:rPr>
          <w:rFonts w:ascii="Arial" w:hAnsi="Arial" w:cs="Arial"/>
          <w:sz w:val="20"/>
        </w:rPr>
      </w:pPr>
      <w:r w:rsidRPr="002E6CCB">
        <w:rPr>
          <w:rFonts w:ascii="Arial" w:hAnsi="Arial" w:cs="Arial"/>
          <w:sz w:val="20"/>
        </w:rPr>
        <w:t>The balloon is equipped with an automatic and/or manual lifting gas release device. The response pressure of an automatic pressure release device is established. The quantity of gas to be released by the pressure release device is large enough to prevent a further increase in pressure. Opening of a pressure relief device is unambiguously indicated to the operator.</w:t>
      </w:r>
    </w:p>
    <w:p w14:paraId="0F6F889C" w14:textId="77777777" w:rsidR="00655244" w:rsidRPr="00655244" w:rsidRDefault="00655244" w:rsidP="00655244">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567" w:name="AMC1_31TGB.49_Limiting_of_operating_pres"/>
      <w:bookmarkStart w:id="1568" w:name="_bookmark635"/>
      <w:bookmarkStart w:id="1569" w:name="_Toc153137797"/>
      <w:bookmarkEnd w:id="1567"/>
      <w:bookmarkEnd w:id="1568"/>
      <w:r w:rsidRPr="00655244">
        <w:rPr>
          <w:rFonts w:ascii="Arial" w:eastAsia="Times New Roman" w:hAnsi="Arial" w:cs="Times New Roman"/>
          <w:b/>
          <w:color w:val="FFFFFF"/>
          <w:sz w:val="24"/>
        </w:rPr>
        <w:t>AMC1 31TGB.49 Limiting of operating pressure</w:t>
      </w:r>
      <w:bookmarkEnd w:id="1569"/>
    </w:p>
    <w:p w14:paraId="44D874E1" w14:textId="77777777" w:rsidR="00655244" w:rsidRPr="00655244" w:rsidRDefault="00655244" w:rsidP="00655244">
      <w:pPr>
        <w:pStyle w:val="BodyText"/>
        <w:spacing w:before="117" w:line="276" w:lineRule="auto"/>
        <w:ind w:right="26"/>
        <w:jc w:val="both"/>
        <w:rPr>
          <w:rFonts w:ascii="Arial" w:hAnsi="Arial" w:cs="Arial"/>
          <w:sz w:val="20"/>
        </w:rPr>
      </w:pPr>
      <w:r w:rsidRPr="00655244">
        <w:rPr>
          <w:rFonts w:ascii="Arial" w:hAnsi="Arial" w:cs="Arial"/>
          <w:sz w:val="20"/>
        </w:rPr>
        <w:t>The envelope pressure is limited to prevent the envelope from bursting. However, the definition of the envelope's maximum operating pressure depends on the design of the tethered gas balloon system. For inflated balloon systems the operating conditions are not limited to flight but also include the parking conditions if the balloon system stays inflated for a prolonged period between the flight operations. Thus, different cases need to be considered:</w:t>
      </w:r>
    </w:p>
    <w:p w14:paraId="3F08BC06" w14:textId="77777777" w:rsidR="00655244" w:rsidRPr="00655244" w:rsidRDefault="00655244" w:rsidP="005F6871">
      <w:pPr>
        <w:pStyle w:val="ListParagraph"/>
        <w:numPr>
          <w:ilvl w:val="0"/>
          <w:numId w:val="430"/>
        </w:numPr>
        <w:tabs>
          <w:tab w:val="left" w:pos="707"/>
        </w:tabs>
        <w:spacing w:before="117" w:line="276" w:lineRule="auto"/>
        <w:ind w:right="26"/>
        <w:jc w:val="both"/>
        <w:rPr>
          <w:rFonts w:ascii="Arial" w:hAnsi="Arial" w:cs="Arial"/>
          <w:sz w:val="20"/>
        </w:rPr>
      </w:pPr>
      <w:r w:rsidRPr="00655244">
        <w:rPr>
          <w:rFonts w:ascii="Arial" w:hAnsi="Arial" w:cs="Arial"/>
          <w:sz w:val="20"/>
        </w:rPr>
        <w:t>Balloon systems staying inflated above maximum wind speed for flight operation</w:t>
      </w:r>
    </w:p>
    <w:p w14:paraId="4D21F551" w14:textId="77777777" w:rsidR="00655244" w:rsidRPr="00655244" w:rsidRDefault="00655244" w:rsidP="00655244">
      <w:pPr>
        <w:pStyle w:val="ListParagraph"/>
        <w:tabs>
          <w:tab w:val="left" w:pos="707"/>
        </w:tabs>
        <w:spacing w:before="117" w:line="276" w:lineRule="auto"/>
        <w:ind w:right="26" w:firstLine="0"/>
        <w:jc w:val="both"/>
        <w:rPr>
          <w:rFonts w:ascii="Arial" w:hAnsi="Arial" w:cs="Arial"/>
          <w:sz w:val="20"/>
        </w:rPr>
      </w:pPr>
      <w:r w:rsidRPr="00655244">
        <w:rPr>
          <w:rFonts w:ascii="Arial" w:hAnsi="Arial" w:cs="Arial"/>
          <w:sz w:val="20"/>
        </w:rPr>
        <w:t>These balloon systems ensure envelope tautness by a ballonet or other means of feeding/discharging gas into the envelope when moored on the ground in parking position to withstand the dynamic pressure of considerably high wind speeds. Here the maximum operating pressure is the maximum pressure established by the designer for high wind speeds whilst moored in parking condition to the ground. Under this condition the safety factors in CS 31TGB.25 are applicable. The ascent factor in CS 31TGB.23(b) is however not applicable in the parking position. The response pressure of the automatic lifting gas release valve usually is higher than the maximum operating pressure to prevent the envelope from getting pumped out below dynamic pressure of the wind by unexpected gusts. A factor of not less than 1·4 times the maximum operating pressure during mooring has been shown by practical experience to be applicable.</w:t>
      </w:r>
    </w:p>
    <w:p w14:paraId="2ACCF4AD" w14:textId="77777777" w:rsidR="00655244" w:rsidRPr="00655244" w:rsidRDefault="00655244" w:rsidP="005F6871">
      <w:pPr>
        <w:pStyle w:val="ListParagraph"/>
        <w:numPr>
          <w:ilvl w:val="0"/>
          <w:numId w:val="430"/>
        </w:numPr>
        <w:tabs>
          <w:tab w:val="left" w:pos="707"/>
        </w:tabs>
        <w:spacing w:before="117" w:line="276" w:lineRule="auto"/>
        <w:ind w:right="26"/>
        <w:jc w:val="both"/>
        <w:rPr>
          <w:rFonts w:ascii="Arial" w:hAnsi="Arial" w:cs="Arial"/>
          <w:sz w:val="20"/>
        </w:rPr>
      </w:pPr>
      <w:r w:rsidRPr="00655244">
        <w:rPr>
          <w:rFonts w:ascii="Arial" w:hAnsi="Arial" w:cs="Arial"/>
          <w:sz w:val="20"/>
        </w:rPr>
        <w:t>Balloon systems other than described in (a)</w:t>
      </w:r>
    </w:p>
    <w:p w14:paraId="13D358EF" w14:textId="77777777" w:rsidR="00655244" w:rsidRPr="00655244" w:rsidRDefault="00655244" w:rsidP="00655244">
      <w:pPr>
        <w:pStyle w:val="ListParagraph"/>
        <w:tabs>
          <w:tab w:val="left" w:pos="707"/>
        </w:tabs>
        <w:spacing w:before="117" w:line="276" w:lineRule="auto"/>
        <w:ind w:right="26" w:firstLine="0"/>
        <w:jc w:val="both"/>
        <w:rPr>
          <w:rFonts w:ascii="Arial" w:hAnsi="Arial" w:cs="Arial"/>
          <w:sz w:val="20"/>
        </w:rPr>
      </w:pPr>
      <w:r w:rsidRPr="00655244">
        <w:rPr>
          <w:rFonts w:ascii="Arial" w:hAnsi="Arial" w:cs="Arial"/>
          <w:sz w:val="20"/>
        </w:rPr>
        <w:t>These balloon systems are usually smaller and ensure envelope tautness by means other than described under (a), i.e. by flexible parts in the envelope. They are designed for maximum wind speed during flight operation and will normally be deflated during high wind speed weather conditions. Here the maximum operating pressure is the pressure for flight operation established by the designer. The response pressure of the automatic lifting gas release device is not less than 1·15 times the maximum operating pressure.</w:t>
      </w:r>
    </w:p>
    <w:p w14:paraId="2E077243" w14:textId="77777777" w:rsidR="00655244" w:rsidRPr="00655244" w:rsidRDefault="00655244" w:rsidP="00655244">
      <w:pPr>
        <w:pStyle w:val="ListParagraph"/>
        <w:tabs>
          <w:tab w:val="left" w:pos="707"/>
        </w:tabs>
        <w:spacing w:before="117" w:line="276" w:lineRule="auto"/>
        <w:ind w:right="26" w:firstLine="0"/>
        <w:jc w:val="both"/>
        <w:rPr>
          <w:rFonts w:ascii="Arial" w:hAnsi="Arial" w:cs="Arial"/>
          <w:sz w:val="20"/>
        </w:rPr>
      </w:pPr>
      <w:r w:rsidRPr="00655244">
        <w:rPr>
          <w:rFonts w:ascii="Arial" w:hAnsi="Arial" w:cs="Arial"/>
          <w:sz w:val="20"/>
        </w:rPr>
        <w:t>For clarification, it should be noted that in a strict sense the automatic pressure release device can only prevent the further rise of pressure for the very moment. After release the device should close again in order to minimise the loss of lifting gas. If after a while the pressure increases again for any reason, the device will also open again. This behaviour is intended and does not impair safety.</w:t>
      </w:r>
    </w:p>
    <w:p w14:paraId="6EB738F9" w14:textId="77777777" w:rsidR="005C3B26" w:rsidRPr="005C3B26" w:rsidRDefault="005C3B26" w:rsidP="005C3B26">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570" w:name="CS_31TGB.51_Rapid_deflation_means"/>
      <w:bookmarkStart w:id="1571" w:name="_bookmark636"/>
      <w:bookmarkStart w:id="1572" w:name="_Toc153137798"/>
      <w:bookmarkEnd w:id="1570"/>
      <w:bookmarkEnd w:id="1571"/>
      <w:r w:rsidRPr="005C3B26">
        <w:rPr>
          <w:rFonts w:ascii="Arial" w:eastAsia="Times New Roman" w:hAnsi="Arial" w:cs="Times New Roman"/>
          <w:b/>
          <w:iCs/>
          <w:color w:val="FFFFFF"/>
          <w:sz w:val="24"/>
        </w:rPr>
        <w:t>CS 31TGB.51 Rapid deflation means</w:t>
      </w:r>
      <w:bookmarkEnd w:id="1572"/>
    </w:p>
    <w:p w14:paraId="061190FC" w14:textId="77777777" w:rsidR="005C3B26" w:rsidRPr="005C3B26" w:rsidRDefault="005C3B26" w:rsidP="005C3B26">
      <w:pPr>
        <w:pStyle w:val="BodyText"/>
        <w:spacing w:before="117" w:line="276" w:lineRule="auto"/>
        <w:ind w:right="26"/>
        <w:jc w:val="both"/>
        <w:rPr>
          <w:rFonts w:ascii="Arial" w:hAnsi="Arial" w:cs="Arial"/>
          <w:sz w:val="20"/>
        </w:rPr>
      </w:pPr>
      <w:r w:rsidRPr="005C3B26">
        <w:rPr>
          <w:rFonts w:ascii="Arial" w:hAnsi="Arial" w:cs="Arial"/>
          <w:sz w:val="20"/>
        </w:rPr>
        <w:t>The envelope has a means allowing rapid deflation of the balloon.</w:t>
      </w:r>
    </w:p>
    <w:p w14:paraId="6AF3D602" w14:textId="77777777" w:rsidR="005C3B26" w:rsidRPr="005C3B26" w:rsidRDefault="005C3B26" w:rsidP="005C3B26">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573" w:name="AMC1_31TGB.51_Rapid_deflation_means"/>
      <w:bookmarkStart w:id="1574" w:name="_bookmark637"/>
      <w:bookmarkStart w:id="1575" w:name="_Toc153137799"/>
      <w:bookmarkEnd w:id="1573"/>
      <w:bookmarkEnd w:id="1574"/>
      <w:r w:rsidRPr="005C3B26">
        <w:rPr>
          <w:rFonts w:ascii="Arial" w:eastAsia="Times New Roman" w:hAnsi="Arial" w:cs="Times New Roman"/>
          <w:b/>
          <w:color w:val="FFFFFF"/>
          <w:sz w:val="24"/>
        </w:rPr>
        <w:t>AMC1 31TGB.51 Rapid deflation means</w:t>
      </w:r>
      <w:bookmarkEnd w:id="1575"/>
    </w:p>
    <w:p w14:paraId="2765E8FD" w14:textId="77777777" w:rsidR="005C3B26" w:rsidRPr="005C3B26" w:rsidRDefault="005C3B26" w:rsidP="005C3B26">
      <w:pPr>
        <w:pStyle w:val="BodyText"/>
        <w:spacing w:before="117" w:line="276" w:lineRule="auto"/>
        <w:ind w:right="26"/>
        <w:jc w:val="both"/>
        <w:rPr>
          <w:rFonts w:ascii="Arial" w:hAnsi="Arial" w:cs="Arial"/>
          <w:sz w:val="20"/>
        </w:rPr>
      </w:pPr>
      <w:r w:rsidRPr="005C3B26">
        <w:rPr>
          <w:rFonts w:ascii="Arial" w:hAnsi="Arial" w:cs="Arial"/>
          <w:sz w:val="20"/>
        </w:rPr>
        <w:t>Rapid deflation means are used to deflate the envelope in cases like e.g. when:</w:t>
      </w:r>
    </w:p>
    <w:p w14:paraId="0BA7F8DF" w14:textId="77777777" w:rsidR="005C3B26" w:rsidRPr="005C3B26" w:rsidRDefault="005C3B26" w:rsidP="005F6871">
      <w:pPr>
        <w:pStyle w:val="ListParagraph"/>
        <w:numPr>
          <w:ilvl w:val="0"/>
          <w:numId w:val="419"/>
        </w:numPr>
        <w:tabs>
          <w:tab w:val="left" w:pos="707"/>
        </w:tabs>
        <w:spacing w:before="121"/>
        <w:rPr>
          <w:rFonts w:ascii="Arial" w:hAnsi="Arial" w:cs="Arial"/>
          <w:sz w:val="20"/>
        </w:rPr>
      </w:pPr>
      <w:r w:rsidRPr="005C3B26">
        <w:rPr>
          <w:rFonts w:ascii="Arial" w:hAnsi="Arial" w:cs="Arial"/>
          <w:sz w:val="20"/>
        </w:rPr>
        <w:t>wind speeds increase above the wind speed limitations for low mooring;</w:t>
      </w:r>
    </w:p>
    <w:p w14:paraId="46033703" w14:textId="77777777" w:rsidR="005C3B26" w:rsidRPr="005C3B26" w:rsidRDefault="005C3B26" w:rsidP="005F6871">
      <w:pPr>
        <w:pStyle w:val="ListParagraph"/>
        <w:numPr>
          <w:ilvl w:val="0"/>
          <w:numId w:val="419"/>
        </w:numPr>
        <w:tabs>
          <w:tab w:val="left" w:pos="707"/>
        </w:tabs>
        <w:spacing w:before="121"/>
        <w:rPr>
          <w:rFonts w:ascii="Arial" w:hAnsi="Arial" w:cs="Arial"/>
          <w:sz w:val="20"/>
        </w:rPr>
      </w:pPr>
      <w:r w:rsidRPr="005C3B26">
        <w:rPr>
          <w:rFonts w:ascii="Arial" w:hAnsi="Arial" w:cs="Arial"/>
          <w:sz w:val="20"/>
        </w:rPr>
        <w:t>required during inflation before attachment of the tether cable; or</w:t>
      </w:r>
    </w:p>
    <w:p w14:paraId="04624A2E" w14:textId="77777777" w:rsidR="005C3B26" w:rsidRPr="005C3B26" w:rsidRDefault="005C3B26" w:rsidP="005F6871">
      <w:pPr>
        <w:pStyle w:val="ListParagraph"/>
        <w:numPr>
          <w:ilvl w:val="0"/>
          <w:numId w:val="419"/>
        </w:numPr>
        <w:tabs>
          <w:tab w:val="left" w:pos="707"/>
        </w:tabs>
        <w:spacing w:before="121"/>
        <w:rPr>
          <w:rFonts w:ascii="Arial" w:hAnsi="Arial" w:cs="Arial"/>
          <w:sz w:val="20"/>
        </w:rPr>
      </w:pPr>
      <w:r w:rsidRPr="005C3B26">
        <w:rPr>
          <w:rFonts w:ascii="Arial" w:hAnsi="Arial" w:cs="Arial"/>
          <w:sz w:val="20"/>
        </w:rPr>
        <w:lastRenderedPageBreak/>
        <w:t>included in emergency procedures for unintended free flight.</w:t>
      </w:r>
    </w:p>
    <w:p w14:paraId="49C48341" w14:textId="77777777" w:rsidR="005C3B26" w:rsidRPr="005C3B26" w:rsidRDefault="005C3B26" w:rsidP="005C3B26">
      <w:pPr>
        <w:pStyle w:val="BodyText"/>
        <w:spacing w:before="117" w:line="276" w:lineRule="auto"/>
        <w:ind w:right="26"/>
        <w:jc w:val="both"/>
        <w:rPr>
          <w:rFonts w:ascii="Arial" w:hAnsi="Arial" w:cs="Arial"/>
          <w:i/>
          <w:sz w:val="20"/>
        </w:rPr>
      </w:pPr>
      <w:r w:rsidRPr="005C3B26">
        <w:rPr>
          <w:rFonts w:ascii="Arial" w:hAnsi="Arial" w:cs="Arial"/>
          <w:i/>
          <w:sz w:val="20"/>
        </w:rPr>
        <w:t>Note: The rapid deflation means for low mooring acts automatically when the balloon is not being monitored by an operator.</w:t>
      </w:r>
    </w:p>
    <w:p w14:paraId="12EC2577" w14:textId="77777777" w:rsidR="00926B3A" w:rsidRPr="00926B3A" w:rsidRDefault="00926B3A" w:rsidP="00926B3A">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576" w:name="CS_31TGB.53_Tether_system"/>
      <w:bookmarkStart w:id="1577" w:name="_bookmark638"/>
      <w:bookmarkStart w:id="1578" w:name="_Toc153137800"/>
      <w:bookmarkEnd w:id="1576"/>
      <w:bookmarkEnd w:id="1577"/>
      <w:r w:rsidRPr="00926B3A">
        <w:rPr>
          <w:rFonts w:ascii="Arial" w:eastAsia="Times New Roman" w:hAnsi="Arial" w:cs="Times New Roman"/>
          <w:b/>
          <w:iCs/>
          <w:color w:val="FFFFFF"/>
          <w:sz w:val="24"/>
        </w:rPr>
        <w:t>CS 31TGB.53 Tether system</w:t>
      </w:r>
      <w:bookmarkEnd w:id="1578"/>
    </w:p>
    <w:p w14:paraId="0865F956" w14:textId="77777777" w:rsidR="00926B3A" w:rsidRPr="00926B3A" w:rsidRDefault="00926B3A" w:rsidP="005F6871">
      <w:pPr>
        <w:pStyle w:val="ListParagraph"/>
        <w:numPr>
          <w:ilvl w:val="0"/>
          <w:numId w:val="431"/>
        </w:numPr>
        <w:tabs>
          <w:tab w:val="left" w:pos="707"/>
        </w:tabs>
        <w:spacing w:before="117" w:line="276" w:lineRule="auto"/>
        <w:ind w:right="26"/>
        <w:jc w:val="both"/>
        <w:rPr>
          <w:rFonts w:ascii="Arial" w:hAnsi="Arial" w:cs="Arial"/>
          <w:sz w:val="20"/>
        </w:rPr>
      </w:pPr>
      <w:r w:rsidRPr="00926B3A">
        <w:rPr>
          <w:rFonts w:ascii="Arial" w:hAnsi="Arial" w:cs="Arial"/>
          <w:sz w:val="20"/>
        </w:rPr>
        <w:t>The suitability, durability, and reliability of the tether system is established for all phases of operating.</w:t>
      </w:r>
    </w:p>
    <w:p w14:paraId="4B1B0712" w14:textId="77777777" w:rsidR="00926B3A" w:rsidRPr="00926B3A" w:rsidRDefault="00926B3A" w:rsidP="005F6871">
      <w:pPr>
        <w:pStyle w:val="ListParagraph"/>
        <w:numPr>
          <w:ilvl w:val="0"/>
          <w:numId w:val="431"/>
        </w:numPr>
        <w:tabs>
          <w:tab w:val="left" w:pos="707"/>
        </w:tabs>
        <w:spacing w:before="117" w:line="276" w:lineRule="auto"/>
        <w:ind w:right="26"/>
        <w:jc w:val="both"/>
        <w:rPr>
          <w:rFonts w:ascii="Arial" w:hAnsi="Arial" w:cs="Arial"/>
          <w:sz w:val="20"/>
        </w:rPr>
      </w:pPr>
      <w:r w:rsidRPr="00926B3A">
        <w:rPr>
          <w:rFonts w:ascii="Arial" w:hAnsi="Arial" w:cs="Arial"/>
          <w:sz w:val="20"/>
        </w:rPr>
        <w:t>In operation and mooring the balloon is securely and reliably anchored to the ground.</w:t>
      </w:r>
    </w:p>
    <w:p w14:paraId="66EB2B88" w14:textId="77777777" w:rsidR="00926B3A" w:rsidRPr="00926B3A" w:rsidRDefault="00926B3A" w:rsidP="005F6871">
      <w:pPr>
        <w:pStyle w:val="ListParagraph"/>
        <w:numPr>
          <w:ilvl w:val="0"/>
          <w:numId w:val="431"/>
        </w:numPr>
        <w:tabs>
          <w:tab w:val="left" w:pos="707"/>
        </w:tabs>
        <w:spacing w:before="117" w:line="276" w:lineRule="auto"/>
        <w:ind w:right="26"/>
        <w:jc w:val="both"/>
        <w:rPr>
          <w:rFonts w:ascii="Arial" w:hAnsi="Arial" w:cs="Arial"/>
          <w:sz w:val="20"/>
        </w:rPr>
      </w:pPr>
      <w:r w:rsidRPr="00926B3A">
        <w:rPr>
          <w:rFonts w:ascii="Arial" w:hAnsi="Arial" w:cs="Arial"/>
          <w:sz w:val="20"/>
        </w:rPr>
        <w:t>Precautions are to be taken to mitigate the risks due to the effect of wind exceeding the maximum wind speed stated in the Flight Manual on the balloon when moored to the ground.</w:t>
      </w:r>
    </w:p>
    <w:p w14:paraId="66F1F31F" w14:textId="77777777" w:rsidR="00A178A8" w:rsidRPr="00A178A8" w:rsidRDefault="00A178A8" w:rsidP="00A178A8">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579" w:name="AMC1_31TGB.53(a)_Tether_system"/>
      <w:bookmarkStart w:id="1580" w:name="_bookmark639"/>
      <w:bookmarkStart w:id="1581" w:name="_Toc153137801"/>
      <w:bookmarkEnd w:id="1579"/>
      <w:bookmarkEnd w:id="1580"/>
      <w:r w:rsidRPr="00A178A8">
        <w:rPr>
          <w:rFonts w:ascii="Arial" w:eastAsia="Times New Roman" w:hAnsi="Arial" w:cs="Times New Roman"/>
          <w:b/>
          <w:color w:val="FFFFFF"/>
          <w:sz w:val="24"/>
        </w:rPr>
        <w:t>AMC1 31TGB.53(a) Tether system</w:t>
      </w:r>
      <w:bookmarkEnd w:id="1581"/>
    </w:p>
    <w:p w14:paraId="6B08C99F" w14:textId="77777777" w:rsidR="00A178A8" w:rsidRPr="00A178A8" w:rsidRDefault="00A178A8" w:rsidP="00A178A8">
      <w:pPr>
        <w:pStyle w:val="BodyText"/>
        <w:spacing w:before="117" w:line="276" w:lineRule="auto"/>
        <w:ind w:right="26"/>
        <w:jc w:val="both"/>
        <w:rPr>
          <w:rFonts w:ascii="Arial" w:hAnsi="Arial" w:cs="Arial"/>
          <w:sz w:val="20"/>
        </w:rPr>
      </w:pPr>
      <w:r w:rsidRPr="00A178A8">
        <w:rPr>
          <w:rFonts w:ascii="Arial" w:hAnsi="Arial" w:cs="Arial"/>
          <w:sz w:val="20"/>
        </w:rPr>
        <w:t>The suitability, durability, and reliability of the tether system, including the tether control systems, is determined by a Failure Mode Effect Analyses (FMEA) covering all phases of operation.</w:t>
      </w:r>
    </w:p>
    <w:p w14:paraId="4B2BBF0A" w14:textId="77777777" w:rsidR="00A178A8" w:rsidRPr="00A178A8" w:rsidRDefault="00A178A8" w:rsidP="00A178A8">
      <w:pPr>
        <w:pStyle w:val="BodyText"/>
        <w:spacing w:before="117" w:line="276" w:lineRule="auto"/>
        <w:ind w:right="26"/>
        <w:jc w:val="both"/>
        <w:rPr>
          <w:rFonts w:ascii="Arial" w:hAnsi="Arial" w:cs="Arial"/>
          <w:sz w:val="20"/>
        </w:rPr>
      </w:pPr>
      <w:r w:rsidRPr="00A178A8">
        <w:rPr>
          <w:rFonts w:ascii="Arial" w:hAnsi="Arial" w:cs="Arial"/>
          <w:sz w:val="20"/>
        </w:rPr>
        <w:t>For components of the tether system (i.e. the winch) compliance with the requirement of CS 31TGB.53(a) can be shown by a certificate from an expert body provided that:</w:t>
      </w:r>
    </w:p>
    <w:p w14:paraId="684CBA39" w14:textId="77777777" w:rsidR="00A178A8" w:rsidRPr="00A178A8" w:rsidRDefault="00A178A8" w:rsidP="005F6871">
      <w:pPr>
        <w:pStyle w:val="ListParagraph"/>
        <w:numPr>
          <w:ilvl w:val="0"/>
          <w:numId w:val="432"/>
        </w:numPr>
        <w:tabs>
          <w:tab w:val="left" w:pos="707"/>
        </w:tabs>
        <w:spacing w:before="117" w:line="276" w:lineRule="auto"/>
        <w:ind w:right="26"/>
        <w:jc w:val="both"/>
        <w:rPr>
          <w:rFonts w:ascii="Arial" w:hAnsi="Arial" w:cs="Arial"/>
          <w:sz w:val="20"/>
        </w:rPr>
      </w:pPr>
      <w:r w:rsidRPr="00A178A8">
        <w:rPr>
          <w:rFonts w:ascii="Arial" w:hAnsi="Arial" w:cs="Arial"/>
          <w:sz w:val="20"/>
        </w:rPr>
        <w:t>this certificate specifies the conditions for safe operation of the winch that cover the conditions for safe operation of the balloon;</w:t>
      </w:r>
    </w:p>
    <w:p w14:paraId="62910382" w14:textId="77777777" w:rsidR="00A178A8" w:rsidRPr="00A178A8" w:rsidRDefault="00A178A8" w:rsidP="005F6871">
      <w:pPr>
        <w:pStyle w:val="ListParagraph"/>
        <w:numPr>
          <w:ilvl w:val="0"/>
          <w:numId w:val="432"/>
        </w:numPr>
        <w:tabs>
          <w:tab w:val="left" w:pos="707"/>
        </w:tabs>
        <w:spacing w:before="117" w:line="276" w:lineRule="auto"/>
        <w:ind w:right="26"/>
        <w:jc w:val="both"/>
        <w:rPr>
          <w:rFonts w:ascii="Arial" w:hAnsi="Arial" w:cs="Arial"/>
          <w:sz w:val="20"/>
        </w:rPr>
      </w:pPr>
      <w:r w:rsidRPr="00A178A8">
        <w:rPr>
          <w:rFonts w:ascii="Arial" w:hAnsi="Arial" w:cs="Arial"/>
          <w:sz w:val="20"/>
        </w:rPr>
        <w:t>the winch system is capable of safely fulfilling the task of a tethered gas balloon winch;</w:t>
      </w:r>
    </w:p>
    <w:p w14:paraId="70407428" w14:textId="77777777" w:rsidR="00A178A8" w:rsidRPr="00A178A8" w:rsidRDefault="00A178A8" w:rsidP="005F6871">
      <w:pPr>
        <w:pStyle w:val="ListParagraph"/>
        <w:numPr>
          <w:ilvl w:val="0"/>
          <w:numId w:val="432"/>
        </w:numPr>
        <w:tabs>
          <w:tab w:val="left" w:pos="707"/>
        </w:tabs>
        <w:spacing w:before="117" w:line="276" w:lineRule="auto"/>
        <w:ind w:right="26"/>
        <w:jc w:val="both"/>
        <w:rPr>
          <w:rFonts w:ascii="Arial" w:hAnsi="Arial" w:cs="Arial"/>
          <w:sz w:val="20"/>
        </w:rPr>
      </w:pPr>
      <w:r w:rsidRPr="00A178A8">
        <w:rPr>
          <w:rFonts w:ascii="Arial" w:hAnsi="Arial" w:cs="Arial"/>
          <w:sz w:val="20"/>
        </w:rPr>
        <w:t>compliance with the Machinery Directive 2006/42/EC (or equivalent (US) requirements) is the basis for the tethered gas balloon winch system;</w:t>
      </w:r>
    </w:p>
    <w:p w14:paraId="73B50BE1" w14:textId="77777777" w:rsidR="00A178A8" w:rsidRPr="00A178A8" w:rsidRDefault="00A178A8" w:rsidP="005F6871">
      <w:pPr>
        <w:pStyle w:val="ListParagraph"/>
        <w:numPr>
          <w:ilvl w:val="0"/>
          <w:numId w:val="432"/>
        </w:numPr>
        <w:tabs>
          <w:tab w:val="left" w:pos="707"/>
        </w:tabs>
        <w:spacing w:before="117" w:line="276" w:lineRule="auto"/>
        <w:ind w:right="26"/>
        <w:jc w:val="both"/>
        <w:rPr>
          <w:rFonts w:ascii="Arial" w:hAnsi="Arial" w:cs="Arial"/>
          <w:sz w:val="20"/>
        </w:rPr>
      </w:pPr>
      <w:r w:rsidRPr="00A178A8">
        <w:rPr>
          <w:rFonts w:ascii="Arial" w:hAnsi="Arial" w:cs="Arial"/>
          <w:sz w:val="20"/>
        </w:rPr>
        <w:t>modifications to the winch design do not invalidate the applicable requirements from the certificate that remain applicable after the modification.</w:t>
      </w:r>
    </w:p>
    <w:p w14:paraId="03959F91" w14:textId="77777777" w:rsidR="00A178A8" w:rsidRPr="00A178A8" w:rsidRDefault="00A178A8" w:rsidP="00A178A8">
      <w:pPr>
        <w:pStyle w:val="ListParagraph"/>
        <w:tabs>
          <w:tab w:val="left" w:pos="707"/>
        </w:tabs>
        <w:spacing w:before="117" w:line="276" w:lineRule="auto"/>
        <w:ind w:right="26" w:firstLine="0"/>
        <w:jc w:val="both"/>
        <w:rPr>
          <w:rFonts w:ascii="Arial" w:hAnsi="Arial" w:cs="Arial"/>
          <w:i/>
          <w:sz w:val="20"/>
        </w:rPr>
      </w:pPr>
      <w:r w:rsidRPr="00A178A8">
        <w:rPr>
          <w:rFonts w:ascii="Arial" w:hAnsi="Arial" w:cs="Arial"/>
          <w:i/>
          <w:sz w:val="20"/>
        </w:rPr>
        <w:t>Note: The overload protection of industrial winches is not applicable in the TGB application because overload cannot occur in a TGB application;</w:t>
      </w:r>
    </w:p>
    <w:p w14:paraId="1E1735A6" w14:textId="77777777" w:rsidR="00A178A8" w:rsidRPr="00A178A8" w:rsidRDefault="00A178A8" w:rsidP="005F6871">
      <w:pPr>
        <w:pStyle w:val="ListParagraph"/>
        <w:numPr>
          <w:ilvl w:val="0"/>
          <w:numId w:val="432"/>
        </w:numPr>
        <w:tabs>
          <w:tab w:val="left" w:pos="707"/>
        </w:tabs>
        <w:spacing w:before="117" w:line="276" w:lineRule="auto"/>
        <w:ind w:right="26"/>
        <w:jc w:val="both"/>
        <w:rPr>
          <w:rFonts w:ascii="Arial" w:hAnsi="Arial" w:cs="Arial"/>
          <w:sz w:val="20"/>
        </w:rPr>
      </w:pPr>
      <w:r w:rsidRPr="00A178A8">
        <w:rPr>
          <w:rFonts w:ascii="Arial" w:hAnsi="Arial" w:cs="Arial"/>
          <w:sz w:val="20"/>
        </w:rPr>
        <w:t>the expert body is an EC-notified organisation which has a certified structure and a proven capability and experience. ‘Certified’ means an approval by the government which requires an organisational structure and entails extended liability. ‘Proven capability’ means successfully managed projects that are reasonably comparable to the balloon winch case. Usually these are cranes, elevators, rides or similar winch technology;</w:t>
      </w:r>
    </w:p>
    <w:p w14:paraId="7B71EF14" w14:textId="77777777" w:rsidR="00A178A8" w:rsidRPr="00A178A8" w:rsidRDefault="00A178A8" w:rsidP="005F6871">
      <w:pPr>
        <w:pStyle w:val="ListParagraph"/>
        <w:numPr>
          <w:ilvl w:val="0"/>
          <w:numId w:val="432"/>
        </w:numPr>
        <w:tabs>
          <w:tab w:val="left" w:pos="707"/>
        </w:tabs>
        <w:spacing w:before="117" w:line="276" w:lineRule="auto"/>
        <w:ind w:right="26"/>
        <w:jc w:val="both"/>
        <w:rPr>
          <w:rFonts w:ascii="Arial" w:hAnsi="Arial" w:cs="Arial"/>
          <w:sz w:val="20"/>
        </w:rPr>
      </w:pPr>
      <w:r w:rsidRPr="00A178A8">
        <w:rPr>
          <w:rFonts w:ascii="Arial" w:hAnsi="Arial" w:cs="Arial"/>
          <w:sz w:val="20"/>
        </w:rPr>
        <w:t>the final report complies with the Annex II of the Machinery Directive 2006/42/EC (or equivalent (US) requirement); and</w:t>
      </w:r>
    </w:p>
    <w:p w14:paraId="5CEDC0EF" w14:textId="77777777" w:rsidR="00A178A8" w:rsidRPr="00A178A8" w:rsidRDefault="00A178A8" w:rsidP="005F6871">
      <w:pPr>
        <w:pStyle w:val="ListParagraph"/>
        <w:numPr>
          <w:ilvl w:val="0"/>
          <w:numId w:val="432"/>
        </w:numPr>
        <w:tabs>
          <w:tab w:val="left" w:pos="707"/>
        </w:tabs>
        <w:spacing w:before="117" w:line="276" w:lineRule="auto"/>
        <w:ind w:right="26"/>
        <w:jc w:val="both"/>
        <w:rPr>
          <w:rFonts w:ascii="Arial" w:hAnsi="Arial" w:cs="Arial"/>
          <w:sz w:val="20"/>
        </w:rPr>
      </w:pPr>
      <w:r w:rsidRPr="00A178A8">
        <w:rPr>
          <w:rFonts w:ascii="Arial" w:hAnsi="Arial" w:cs="Arial"/>
          <w:sz w:val="20"/>
        </w:rPr>
        <w:t>there is an alternative retrieve system which is able to cover a functional failure of the winch.</w:t>
      </w:r>
    </w:p>
    <w:p w14:paraId="280F759B" w14:textId="77777777" w:rsidR="003832E4" w:rsidRPr="003832E4" w:rsidRDefault="003832E4" w:rsidP="003832E4">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582" w:name="AMC1_31TGB.53(c)_Tether_system"/>
      <w:bookmarkStart w:id="1583" w:name="_bookmark640"/>
      <w:bookmarkStart w:id="1584" w:name="_Toc153137802"/>
      <w:bookmarkEnd w:id="1582"/>
      <w:bookmarkEnd w:id="1583"/>
      <w:r w:rsidRPr="003832E4">
        <w:rPr>
          <w:rFonts w:ascii="Arial" w:eastAsia="Times New Roman" w:hAnsi="Arial" w:cs="Times New Roman"/>
          <w:b/>
          <w:color w:val="FFFFFF"/>
          <w:sz w:val="24"/>
        </w:rPr>
        <w:t>AMC1 31TGB.53(c) Tether system</w:t>
      </w:r>
      <w:bookmarkEnd w:id="1584"/>
    </w:p>
    <w:p w14:paraId="741F7A8C" w14:textId="77777777" w:rsidR="003832E4" w:rsidRPr="003832E4" w:rsidRDefault="003832E4" w:rsidP="003832E4">
      <w:pPr>
        <w:pStyle w:val="BodyText"/>
        <w:spacing w:before="117" w:line="276" w:lineRule="auto"/>
        <w:ind w:right="26"/>
        <w:jc w:val="both"/>
        <w:rPr>
          <w:rFonts w:ascii="Arial" w:hAnsi="Arial" w:cs="Arial"/>
          <w:sz w:val="20"/>
        </w:rPr>
      </w:pPr>
      <w:r w:rsidRPr="003832E4">
        <w:rPr>
          <w:rFonts w:ascii="Arial" w:hAnsi="Arial" w:cs="Arial"/>
          <w:sz w:val="20"/>
        </w:rPr>
        <w:t>An automatic rapid deflation (See CS 31TGB.51) of the balloon in case it breaks away from its low mooring position or any other system that will prevent uncontrolled free flight is an acceptable risk mitigation.</w:t>
      </w:r>
    </w:p>
    <w:p w14:paraId="76AD3262" w14:textId="77777777" w:rsidR="003832E4" w:rsidRPr="003832E4" w:rsidRDefault="003832E4" w:rsidP="003832E4">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585" w:name="CS_31TGB.59_Gondola"/>
      <w:bookmarkStart w:id="1586" w:name="_bookmark641"/>
      <w:bookmarkStart w:id="1587" w:name="_Toc153137803"/>
      <w:bookmarkEnd w:id="1585"/>
      <w:bookmarkEnd w:id="1586"/>
      <w:r w:rsidRPr="003832E4">
        <w:rPr>
          <w:rFonts w:ascii="Arial" w:eastAsia="Times New Roman" w:hAnsi="Arial" w:cs="Times New Roman"/>
          <w:b/>
          <w:iCs/>
          <w:color w:val="FFFFFF"/>
          <w:sz w:val="24"/>
        </w:rPr>
        <w:t>CS 31TGB.59 Gondola</w:t>
      </w:r>
      <w:bookmarkEnd w:id="1587"/>
    </w:p>
    <w:p w14:paraId="6D72DE99" w14:textId="77777777" w:rsidR="003832E4" w:rsidRPr="003832E4" w:rsidRDefault="003832E4" w:rsidP="005F6871">
      <w:pPr>
        <w:pStyle w:val="ListParagraph"/>
        <w:numPr>
          <w:ilvl w:val="0"/>
          <w:numId w:val="433"/>
        </w:numPr>
        <w:tabs>
          <w:tab w:val="left" w:pos="707"/>
        </w:tabs>
        <w:spacing w:before="117" w:line="276" w:lineRule="auto"/>
        <w:ind w:right="26"/>
        <w:jc w:val="both"/>
        <w:rPr>
          <w:rFonts w:ascii="Arial" w:hAnsi="Arial" w:cs="Arial"/>
          <w:sz w:val="20"/>
        </w:rPr>
      </w:pPr>
      <w:r w:rsidRPr="003832E4">
        <w:rPr>
          <w:rFonts w:ascii="Arial" w:hAnsi="Arial" w:cs="Arial"/>
          <w:sz w:val="20"/>
        </w:rPr>
        <w:t>The gondola may not rotate independently of the envelope unless safe operation is assured.</w:t>
      </w:r>
    </w:p>
    <w:p w14:paraId="6AD27D4E" w14:textId="77777777" w:rsidR="003832E4" w:rsidRPr="003832E4" w:rsidRDefault="003832E4" w:rsidP="005F6871">
      <w:pPr>
        <w:pStyle w:val="ListParagraph"/>
        <w:numPr>
          <w:ilvl w:val="0"/>
          <w:numId w:val="433"/>
        </w:numPr>
        <w:tabs>
          <w:tab w:val="left" w:pos="707"/>
        </w:tabs>
        <w:spacing w:before="117" w:line="276" w:lineRule="auto"/>
        <w:ind w:right="26"/>
        <w:jc w:val="both"/>
        <w:rPr>
          <w:rFonts w:ascii="Arial" w:hAnsi="Arial" w:cs="Arial"/>
          <w:sz w:val="20"/>
        </w:rPr>
      </w:pPr>
      <w:r w:rsidRPr="003832E4">
        <w:rPr>
          <w:rFonts w:ascii="Arial" w:hAnsi="Arial" w:cs="Arial"/>
          <w:sz w:val="20"/>
        </w:rPr>
        <w:t>Projecting object in the gondola, that could cause injury to the occupants, are avoided or padded.</w:t>
      </w:r>
    </w:p>
    <w:p w14:paraId="281DFE91" w14:textId="77777777" w:rsidR="003832E4" w:rsidRPr="003832E4" w:rsidRDefault="003832E4" w:rsidP="005F6871">
      <w:pPr>
        <w:pStyle w:val="ListParagraph"/>
        <w:numPr>
          <w:ilvl w:val="0"/>
          <w:numId w:val="433"/>
        </w:numPr>
        <w:tabs>
          <w:tab w:val="left" w:pos="707"/>
        </w:tabs>
        <w:spacing w:before="117" w:line="276" w:lineRule="auto"/>
        <w:ind w:right="26"/>
        <w:jc w:val="both"/>
        <w:rPr>
          <w:rFonts w:ascii="Arial" w:hAnsi="Arial" w:cs="Arial"/>
          <w:sz w:val="20"/>
        </w:rPr>
      </w:pPr>
      <w:r w:rsidRPr="003832E4">
        <w:rPr>
          <w:rFonts w:ascii="Arial" w:hAnsi="Arial" w:cs="Arial"/>
          <w:sz w:val="20"/>
        </w:rPr>
        <w:t>A holding grip is provided for each occupant.</w:t>
      </w:r>
    </w:p>
    <w:p w14:paraId="21BBC370" w14:textId="77777777" w:rsidR="003832E4" w:rsidRPr="003832E4" w:rsidRDefault="003832E4" w:rsidP="005F6871">
      <w:pPr>
        <w:pStyle w:val="ListParagraph"/>
        <w:numPr>
          <w:ilvl w:val="0"/>
          <w:numId w:val="433"/>
        </w:numPr>
        <w:tabs>
          <w:tab w:val="left" w:pos="707"/>
        </w:tabs>
        <w:spacing w:before="117" w:line="276" w:lineRule="auto"/>
        <w:ind w:right="26"/>
        <w:jc w:val="both"/>
        <w:rPr>
          <w:rFonts w:ascii="Arial" w:hAnsi="Arial" w:cs="Arial"/>
          <w:sz w:val="20"/>
        </w:rPr>
      </w:pPr>
      <w:r w:rsidRPr="003832E4">
        <w:rPr>
          <w:rFonts w:ascii="Arial" w:hAnsi="Arial" w:cs="Arial"/>
          <w:sz w:val="20"/>
        </w:rPr>
        <w:t>Reasonable space is provided for all occupants, with regard to both comfort during the flight and to safety during the landing.</w:t>
      </w:r>
    </w:p>
    <w:p w14:paraId="3B457375" w14:textId="77777777" w:rsidR="003832E4" w:rsidRPr="003832E4" w:rsidRDefault="003832E4" w:rsidP="005F6871">
      <w:pPr>
        <w:pStyle w:val="ListParagraph"/>
        <w:numPr>
          <w:ilvl w:val="0"/>
          <w:numId w:val="433"/>
        </w:numPr>
        <w:tabs>
          <w:tab w:val="left" w:pos="707"/>
        </w:tabs>
        <w:spacing w:before="117" w:line="276" w:lineRule="auto"/>
        <w:ind w:right="26"/>
        <w:jc w:val="both"/>
        <w:rPr>
          <w:rFonts w:ascii="Arial" w:hAnsi="Arial" w:cs="Arial"/>
          <w:sz w:val="20"/>
        </w:rPr>
      </w:pPr>
      <w:r w:rsidRPr="003832E4">
        <w:rPr>
          <w:rFonts w:ascii="Arial" w:hAnsi="Arial" w:cs="Arial"/>
          <w:sz w:val="20"/>
        </w:rPr>
        <w:t>Occupants and items in the gondola are prevented from falling from the gondola.</w:t>
      </w:r>
    </w:p>
    <w:p w14:paraId="726B2C30" w14:textId="77777777" w:rsidR="003832E4" w:rsidRPr="003832E4" w:rsidRDefault="003832E4" w:rsidP="005F6871">
      <w:pPr>
        <w:pStyle w:val="ListParagraph"/>
        <w:numPr>
          <w:ilvl w:val="0"/>
          <w:numId w:val="433"/>
        </w:numPr>
        <w:tabs>
          <w:tab w:val="left" w:pos="707"/>
        </w:tabs>
        <w:spacing w:before="117" w:line="276" w:lineRule="auto"/>
        <w:ind w:right="26"/>
        <w:jc w:val="both"/>
        <w:rPr>
          <w:rFonts w:ascii="Arial" w:hAnsi="Arial" w:cs="Arial"/>
          <w:sz w:val="20"/>
        </w:rPr>
      </w:pPr>
      <w:r w:rsidRPr="003832E4">
        <w:rPr>
          <w:rFonts w:ascii="Arial" w:hAnsi="Arial" w:cs="Arial"/>
          <w:sz w:val="20"/>
        </w:rPr>
        <w:lastRenderedPageBreak/>
        <w:t>The gondola occupant securing devices (e.g. doors or harnesses) comply with the following requirements:</w:t>
      </w:r>
    </w:p>
    <w:p w14:paraId="148B21BB" w14:textId="77777777" w:rsidR="003832E4" w:rsidRPr="003832E4" w:rsidRDefault="003832E4" w:rsidP="005F6871">
      <w:pPr>
        <w:pStyle w:val="ListParagraph"/>
        <w:numPr>
          <w:ilvl w:val="0"/>
          <w:numId w:val="434"/>
        </w:numPr>
        <w:tabs>
          <w:tab w:val="left" w:pos="1274"/>
        </w:tabs>
        <w:spacing w:before="121"/>
        <w:jc w:val="both"/>
        <w:rPr>
          <w:rFonts w:ascii="Arial" w:hAnsi="Arial" w:cs="Arial"/>
          <w:sz w:val="20"/>
          <w:szCs w:val="20"/>
        </w:rPr>
      </w:pPr>
      <w:r w:rsidRPr="003832E4">
        <w:rPr>
          <w:rFonts w:ascii="Arial" w:hAnsi="Arial" w:cs="Arial"/>
          <w:sz w:val="20"/>
          <w:szCs w:val="20"/>
        </w:rPr>
        <w:t>The device is closed and locked during flight.</w:t>
      </w:r>
    </w:p>
    <w:p w14:paraId="3899B2D0" w14:textId="77777777" w:rsidR="003832E4" w:rsidRPr="003832E4" w:rsidRDefault="003832E4" w:rsidP="005F6871">
      <w:pPr>
        <w:pStyle w:val="ListParagraph"/>
        <w:numPr>
          <w:ilvl w:val="0"/>
          <w:numId w:val="434"/>
        </w:numPr>
        <w:tabs>
          <w:tab w:val="left" w:pos="1274"/>
        </w:tabs>
        <w:spacing w:before="121"/>
        <w:jc w:val="both"/>
        <w:rPr>
          <w:rFonts w:ascii="Arial" w:hAnsi="Arial" w:cs="Arial"/>
          <w:sz w:val="20"/>
          <w:szCs w:val="20"/>
        </w:rPr>
      </w:pPr>
      <w:r w:rsidRPr="003832E4">
        <w:rPr>
          <w:rFonts w:ascii="Arial" w:hAnsi="Arial" w:cs="Arial"/>
          <w:sz w:val="20"/>
          <w:szCs w:val="20"/>
        </w:rPr>
        <w:t>The device is protected against unintentional opening by persons or opening as the result of a mechanical failure during flight.</w:t>
      </w:r>
    </w:p>
    <w:p w14:paraId="7B6DB205" w14:textId="77777777" w:rsidR="003832E4" w:rsidRPr="003832E4" w:rsidRDefault="003832E4" w:rsidP="005F6871">
      <w:pPr>
        <w:pStyle w:val="ListParagraph"/>
        <w:numPr>
          <w:ilvl w:val="0"/>
          <w:numId w:val="434"/>
        </w:numPr>
        <w:tabs>
          <w:tab w:val="left" w:pos="1274"/>
        </w:tabs>
        <w:spacing w:before="121"/>
        <w:jc w:val="both"/>
        <w:rPr>
          <w:rFonts w:ascii="Arial" w:hAnsi="Arial" w:cs="Arial"/>
          <w:sz w:val="20"/>
          <w:szCs w:val="20"/>
        </w:rPr>
      </w:pPr>
      <w:r w:rsidRPr="003832E4">
        <w:rPr>
          <w:rFonts w:ascii="Arial" w:hAnsi="Arial" w:cs="Arial"/>
          <w:sz w:val="20"/>
          <w:szCs w:val="20"/>
        </w:rPr>
        <w:t>The device can be opened by occupants and crew.</w:t>
      </w:r>
    </w:p>
    <w:p w14:paraId="3A536F90" w14:textId="77777777" w:rsidR="003832E4" w:rsidRPr="003832E4" w:rsidRDefault="003832E4" w:rsidP="005F6871">
      <w:pPr>
        <w:pStyle w:val="ListParagraph"/>
        <w:numPr>
          <w:ilvl w:val="0"/>
          <w:numId w:val="434"/>
        </w:numPr>
        <w:tabs>
          <w:tab w:val="left" w:pos="1274"/>
        </w:tabs>
        <w:spacing w:before="121"/>
        <w:jc w:val="both"/>
        <w:rPr>
          <w:rFonts w:ascii="Arial" w:hAnsi="Arial" w:cs="Arial"/>
          <w:sz w:val="20"/>
          <w:szCs w:val="20"/>
        </w:rPr>
      </w:pPr>
      <w:r w:rsidRPr="003832E4">
        <w:rPr>
          <w:rFonts w:ascii="Arial" w:hAnsi="Arial" w:cs="Arial"/>
          <w:sz w:val="20"/>
          <w:szCs w:val="20"/>
        </w:rPr>
        <w:t>Operation of the device shall be simple and obvious.</w:t>
      </w:r>
    </w:p>
    <w:p w14:paraId="2DEBC9FF" w14:textId="77777777" w:rsidR="003832E4" w:rsidRPr="003832E4" w:rsidRDefault="003832E4" w:rsidP="005F6871">
      <w:pPr>
        <w:pStyle w:val="ListParagraph"/>
        <w:numPr>
          <w:ilvl w:val="0"/>
          <w:numId w:val="434"/>
        </w:numPr>
        <w:tabs>
          <w:tab w:val="left" w:pos="1274"/>
        </w:tabs>
        <w:spacing w:before="121"/>
        <w:jc w:val="both"/>
        <w:rPr>
          <w:rFonts w:ascii="Arial" w:hAnsi="Arial" w:cs="Arial"/>
          <w:sz w:val="20"/>
          <w:szCs w:val="20"/>
        </w:rPr>
      </w:pPr>
      <w:r w:rsidRPr="003832E4">
        <w:rPr>
          <w:rFonts w:ascii="Arial" w:hAnsi="Arial" w:cs="Arial"/>
          <w:sz w:val="20"/>
          <w:szCs w:val="20"/>
        </w:rPr>
        <w:t>The device has a visual indication that it is properly closed and locked.</w:t>
      </w:r>
    </w:p>
    <w:p w14:paraId="49B0F794" w14:textId="77777777" w:rsidR="007C116C" w:rsidRPr="007C116C" w:rsidRDefault="007C116C" w:rsidP="007C116C">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588" w:name="AMC1_31TGB.59_Gondola"/>
      <w:bookmarkStart w:id="1589" w:name="_bookmark642"/>
      <w:bookmarkStart w:id="1590" w:name="_Toc153137804"/>
      <w:bookmarkEnd w:id="1588"/>
      <w:bookmarkEnd w:id="1589"/>
      <w:r w:rsidRPr="007C116C">
        <w:rPr>
          <w:rFonts w:ascii="Arial" w:eastAsia="Times New Roman" w:hAnsi="Arial" w:cs="Times New Roman"/>
          <w:b/>
          <w:color w:val="FFFFFF"/>
          <w:sz w:val="24"/>
        </w:rPr>
        <w:t>AMC1 31TGB.59 Gondola</w:t>
      </w:r>
      <w:bookmarkEnd w:id="1590"/>
    </w:p>
    <w:p w14:paraId="2516CE98" w14:textId="77777777" w:rsidR="007C116C" w:rsidRPr="007C116C" w:rsidRDefault="007C116C" w:rsidP="007C116C">
      <w:pPr>
        <w:pStyle w:val="BodyText"/>
        <w:spacing w:before="117" w:line="276" w:lineRule="auto"/>
        <w:ind w:right="26"/>
        <w:jc w:val="both"/>
        <w:rPr>
          <w:rFonts w:ascii="Arial" w:hAnsi="Arial" w:cs="Arial"/>
          <w:sz w:val="20"/>
        </w:rPr>
      </w:pPr>
      <w:r w:rsidRPr="007C116C">
        <w:rPr>
          <w:rFonts w:ascii="Arial" w:hAnsi="Arial" w:cs="Arial"/>
          <w:sz w:val="20"/>
        </w:rPr>
        <w:t>The requirements for a gondola carrying multiple free-standing persons is complied with when the applicable requirements for the ‘carrier’ provided in the Machinery Directive 2006/42/EC are met.</w:t>
      </w:r>
    </w:p>
    <w:p w14:paraId="77007149" w14:textId="77777777" w:rsidR="00A274D1" w:rsidRPr="00A274D1" w:rsidRDefault="00A274D1" w:rsidP="00A274D1">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591" w:name="AMC1_31TGB.59(c)_Gondola"/>
      <w:bookmarkStart w:id="1592" w:name="_bookmark643"/>
      <w:bookmarkStart w:id="1593" w:name="_Toc153137805"/>
      <w:bookmarkEnd w:id="1591"/>
      <w:bookmarkEnd w:id="1592"/>
      <w:r w:rsidRPr="00A274D1">
        <w:rPr>
          <w:rFonts w:ascii="Arial" w:eastAsia="Times New Roman" w:hAnsi="Arial" w:cs="Times New Roman"/>
          <w:b/>
          <w:color w:val="FFFFFF"/>
          <w:sz w:val="24"/>
        </w:rPr>
        <w:t>AMC1 31TGB.59(c) Gondola</w:t>
      </w:r>
      <w:bookmarkEnd w:id="1593"/>
    </w:p>
    <w:p w14:paraId="6706F614" w14:textId="77777777" w:rsidR="00A274D1" w:rsidRPr="00A274D1" w:rsidRDefault="00A274D1" w:rsidP="00A274D1">
      <w:pPr>
        <w:pStyle w:val="BodyText"/>
        <w:spacing w:before="117" w:line="276" w:lineRule="auto"/>
        <w:ind w:right="26"/>
        <w:jc w:val="both"/>
        <w:rPr>
          <w:rFonts w:ascii="Arial" w:hAnsi="Arial" w:cs="Arial"/>
          <w:sz w:val="20"/>
        </w:rPr>
      </w:pPr>
      <w:r w:rsidRPr="00A274D1">
        <w:rPr>
          <w:rFonts w:ascii="Arial" w:hAnsi="Arial" w:cs="Arial"/>
          <w:sz w:val="20"/>
        </w:rPr>
        <w:t>A holding grip provides an obvious means for the occupants of the gondola to stabilise themselves during flight. The location or design of occupant securing devices (refer to CS 31TGB.59(f)(1)) is such that they do not invite occupants to use them as holding grip.</w:t>
      </w:r>
    </w:p>
    <w:p w14:paraId="111B4126" w14:textId="77777777" w:rsidR="00A274D1" w:rsidRPr="00A274D1" w:rsidRDefault="00A274D1" w:rsidP="00A274D1">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594" w:name="CS_31TGB.65_Night_lighting"/>
      <w:bookmarkStart w:id="1595" w:name="_bookmark645"/>
      <w:bookmarkStart w:id="1596" w:name="_Toc153137806"/>
      <w:bookmarkEnd w:id="1594"/>
      <w:bookmarkEnd w:id="1595"/>
      <w:r w:rsidRPr="00A274D1">
        <w:rPr>
          <w:rFonts w:ascii="Arial" w:eastAsia="Times New Roman" w:hAnsi="Arial" w:cs="Times New Roman"/>
          <w:b/>
          <w:iCs/>
          <w:color w:val="FFFFFF"/>
          <w:sz w:val="24"/>
        </w:rPr>
        <w:t>CS 31TGB.65 Night lighting</w:t>
      </w:r>
      <w:bookmarkEnd w:id="1596"/>
    </w:p>
    <w:p w14:paraId="5D9F0726" w14:textId="77777777" w:rsidR="00A274D1" w:rsidRPr="00A274D1" w:rsidRDefault="00A274D1" w:rsidP="005F6871">
      <w:pPr>
        <w:pStyle w:val="ListParagraph"/>
        <w:numPr>
          <w:ilvl w:val="0"/>
          <w:numId w:val="435"/>
        </w:numPr>
        <w:tabs>
          <w:tab w:val="left" w:pos="707"/>
        </w:tabs>
        <w:spacing w:before="117" w:line="276" w:lineRule="auto"/>
        <w:ind w:right="26"/>
        <w:jc w:val="both"/>
        <w:rPr>
          <w:rFonts w:ascii="Arial" w:hAnsi="Arial" w:cs="Arial"/>
          <w:sz w:val="20"/>
        </w:rPr>
      </w:pPr>
      <w:r w:rsidRPr="00A274D1">
        <w:rPr>
          <w:rFonts w:ascii="Arial" w:hAnsi="Arial" w:cs="Arial"/>
          <w:sz w:val="20"/>
        </w:rPr>
        <w:t>If the balloon is operated at night, illumination of controls, equipment and essential information is provided for the safe operation of the balloon.</w:t>
      </w:r>
    </w:p>
    <w:p w14:paraId="38E22D6C" w14:textId="77777777" w:rsidR="00A274D1" w:rsidRPr="00A274D1" w:rsidRDefault="00A274D1" w:rsidP="005F6871">
      <w:pPr>
        <w:pStyle w:val="ListParagraph"/>
        <w:numPr>
          <w:ilvl w:val="0"/>
          <w:numId w:val="435"/>
        </w:numPr>
        <w:tabs>
          <w:tab w:val="left" w:pos="707"/>
        </w:tabs>
        <w:spacing w:before="117" w:line="276" w:lineRule="auto"/>
        <w:ind w:right="26"/>
        <w:jc w:val="both"/>
        <w:rPr>
          <w:rFonts w:ascii="Arial" w:hAnsi="Arial" w:cs="Arial"/>
          <w:sz w:val="20"/>
        </w:rPr>
      </w:pPr>
      <w:r w:rsidRPr="00A274D1">
        <w:rPr>
          <w:rFonts w:ascii="Arial" w:hAnsi="Arial" w:cs="Arial"/>
          <w:sz w:val="20"/>
        </w:rPr>
        <w:t>An Anti-Collision light system is installed which complies with the following:</w:t>
      </w:r>
    </w:p>
    <w:p w14:paraId="57F5624C" w14:textId="77777777" w:rsidR="00A274D1" w:rsidRPr="00A274D1" w:rsidRDefault="00A274D1" w:rsidP="005F6871">
      <w:pPr>
        <w:pStyle w:val="ListParagraph"/>
        <w:numPr>
          <w:ilvl w:val="0"/>
          <w:numId w:val="436"/>
        </w:numPr>
        <w:tabs>
          <w:tab w:val="left" w:pos="1274"/>
        </w:tabs>
        <w:spacing w:before="121"/>
        <w:jc w:val="both"/>
        <w:rPr>
          <w:rFonts w:ascii="Arial" w:hAnsi="Arial" w:cs="Arial"/>
          <w:sz w:val="20"/>
          <w:szCs w:val="20"/>
        </w:rPr>
      </w:pPr>
      <w:r w:rsidRPr="00A274D1">
        <w:rPr>
          <w:rFonts w:ascii="Arial" w:hAnsi="Arial" w:cs="Arial"/>
          <w:sz w:val="20"/>
          <w:szCs w:val="20"/>
        </w:rPr>
        <w:t>The Anti-Collision light consists of one or more flashing red (or flashing white) light(s) with an effective flash frequency of at least 40, but not more than 140, cycles per minute.</w:t>
      </w:r>
    </w:p>
    <w:p w14:paraId="7BC8E42F" w14:textId="77777777" w:rsidR="00A274D1" w:rsidRPr="00A274D1" w:rsidRDefault="00A274D1" w:rsidP="005F6871">
      <w:pPr>
        <w:pStyle w:val="ListParagraph"/>
        <w:numPr>
          <w:ilvl w:val="0"/>
          <w:numId w:val="436"/>
        </w:numPr>
        <w:tabs>
          <w:tab w:val="left" w:pos="1274"/>
        </w:tabs>
        <w:spacing w:before="121"/>
        <w:jc w:val="both"/>
        <w:rPr>
          <w:rFonts w:ascii="Arial" w:hAnsi="Arial" w:cs="Arial"/>
          <w:sz w:val="20"/>
          <w:szCs w:val="20"/>
        </w:rPr>
      </w:pPr>
      <w:r w:rsidRPr="00A274D1">
        <w:rPr>
          <w:rFonts w:ascii="Arial" w:hAnsi="Arial" w:cs="Arial"/>
          <w:sz w:val="20"/>
          <w:szCs w:val="20"/>
        </w:rPr>
        <w:t>The Anti-Collision light arrangement provides 360° horizontal coverage and at least 60° vertical coverage above and below the horizontal plane.</w:t>
      </w:r>
    </w:p>
    <w:p w14:paraId="64E6D276" w14:textId="77777777" w:rsidR="00A274D1" w:rsidRPr="00A274D1" w:rsidRDefault="00A274D1" w:rsidP="005F6871">
      <w:pPr>
        <w:pStyle w:val="ListParagraph"/>
        <w:numPr>
          <w:ilvl w:val="0"/>
          <w:numId w:val="436"/>
        </w:numPr>
        <w:tabs>
          <w:tab w:val="left" w:pos="1274"/>
        </w:tabs>
        <w:spacing w:before="121"/>
        <w:jc w:val="both"/>
        <w:rPr>
          <w:rFonts w:ascii="Arial" w:hAnsi="Arial" w:cs="Arial"/>
          <w:sz w:val="20"/>
          <w:szCs w:val="20"/>
        </w:rPr>
      </w:pPr>
      <w:r w:rsidRPr="00A274D1">
        <w:rPr>
          <w:rFonts w:ascii="Arial" w:hAnsi="Arial" w:cs="Arial"/>
          <w:sz w:val="20"/>
          <w:szCs w:val="20"/>
        </w:rPr>
        <w:t>The Anti-Collision light(s) are mounted on, or suspended from the balloon in order to identify the position of the envelope and gondola during night operation.</w:t>
      </w:r>
    </w:p>
    <w:p w14:paraId="0624EE95" w14:textId="77777777" w:rsidR="00A274D1" w:rsidRPr="00A274D1" w:rsidRDefault="00A274D1" w:rsidP="005F6871">
      <w:pPr>
        <w:pStyle w:val="ListParagraph"/>
        <w:numPr>
          <w:ilvl w:val="0"/>
          <w:numId w:val="436"/>
        </w:numPr>
        <w:tabs>
          <w:tab w:val="left" w:pos="1274"/>
        </w:tabs>
        <w:spacing w:before="121"/>
        <w:jc w:val="both"/>
        <w:rPr>
          <w:rFonts w:ascii="Arial" w:hAnsi="Arial" w:cs="Arial"/>
          <w:sz w:val="20"/>
          <w:szCs w:val="20"/>
        </w:rPr>
      </w:pPr>
      <w:r w:rsidRPr="00A274D1">
        <w:rPr>
          <w:rFonts w:ascii="Arial" w:hAnsi="Arial" w:cs="Arial"/>
          <w:sz w:val="20"/>
          <w:szCs w:val="20"/>
        </w:rPr>
        <w:t>At least one Anti-Collision light is visible from a distance between 100 m and 3 700 m (2 NM) at night under clear atmospheric conditions.</w:t>
      </w:r>
    </w:p>
    <w:p w14:paraId="51E18B51" w14:textId="77777777" w:rsidR="00A274D1" w:rsidRPr="00A274D1" w:rsidRDefault="00A274D1" w:rsidP="005F6871">
      <w:pPr>
        <w:pStyle w:val="ListParagraph"/>
        <w:numPr>
          <w:ilvl w:val="0"/>
          <w:numId w:val="436"/>
        </w:numPr>
        <w:tabs>
          <w:tab w:val="left" w:pos="1274"/>
        </w:tabs>
        <w:spacing w:before="121"/>
        <w:jc w:val="both"/>
        <w:rPr>
          <w:rFonts w:ascii="Arial" w:hAnsi="Arial" w:cs="Arial"/>
          <w:sz w:val="20"/>
          <w:szCs w:val="20"/>
        </w:rPr>
      </w:pPr>
      <w:r w:rsidRPr="00A274D1">
        <w:rPr>
          <w:rFonts w:ascii="Arial" w:hAnsi="Arial" w:cs="Arial"/>
          <w:sz w:val="20"/>
          <w:szCs w:val="20"/>
        </w:rPr>
        <w:t>The Anti-Collision light system can be switched on/off during flight.</w:t>
      </w:r>
    </w:p>
    <w:p w14:paraId="54AA7D50" w14:textId="77777777" w:rsidR="00C31427" w:rsidRDefault="00A274D1" w:rsidP="005F6871">
      <w:pPr>
        <w:pStyle w:val="ListParagraph"/>
        <w:numPr>
          <w:ilvl w:val="0"/>
          <w:numId w:val="435"/>
        </w:numPr>
        <w:tabs>
          <w:tab w:val="left" w:pos="707"/>
        </w:tabs>
        <w:spacing w:before="117" w:line="276" w:lineRule="auto"/>
        <w:ind w:right="26"/>
        <w:jc w:val="both"/>
        <w:rPr>
          <w:rFonts w:ascii="Arial" w:hAnsi="Arial" w:cs="Arial"/>
          <w:sz w:val="20"/>
        </w:rPr>
      </w:pPr>
      <w:r w:rsidRPr="00A274D1">
        <w:rPr>
          <w:rFonts w:ascii="Arial" w:hAnsi="Arial" w:cs="Arial"/>
          <w:sz w:val="20"/>
        </w:rPr>
        <w:t>The night lighting will not impair the crews’ vision or performance during operation</w:t>
      </w:r>
      <w:r w:rsidR="007D7DB5">
        <w:rPr>
          <w:rFonts w:ascii="Arial" w:hAnsi="Arial" w:cs="Arial"/>
          <w:sz w:val="20"/>
        </w:rPr>
        <w:t>.</w:t>
      </w:r>
    </w:p>
    <w:p w14:paraId="2B964C91" w14:textId="77777777" w:rsidR="007D7DB5" w:rsidRPr="007D7DB5" w:rsidRDefault="007D7DB5" w:rsidP="007D7DB5">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597" w:name="AMC1_31TGB.65(a)_Night_lighting"/>
      <w:bookmarkStart w:id="1598" w:name="_bookmark646"/>
      <w:bookmarkStart w:id="1599" w:name="_Toc153137807"/>
      <w:bookmarkEnd w:id="1597"/>
      <w:bookmarkEnd w:id="1598"/>
      <w:r w:rsidRPr="007D7DB5">
        <w:rPr>
          <w:rFonts w:ascii="Arial" w:eastAsia="Times New Roman" w:hAnsi="Arial" w:cs="Times New Roman"/>
          <w:b/>
          <w:color w:val="FFFFFF"/>
          <w:sz w:val="24"/>
        </w:rPr>
        <w:t>AMC1 31TGB.65(a) Night lighting</w:t>
      </w:r>
      <w:bookmarkEnd w:id="1599"/>
    </w:p>
    <w:p w14:paraId="40041CBC" w14:textId="77777777" w:rsidR="007D7DB5" w:rsidRPr="007D7DB5" w:rsidRDefault="007D7DB5" w:rsidP="007D7DB5">
      <w:pPr>
        <w:pStyle w:val="BodyText"/>
        <w:spacing w:before="117" w:line="276" w:lineRule="auto"/>
        <w:ind w:right="26"/>
        <w:jc w:val="both"/>
        <w:rPr>
          <w:rFonts w:ascii="Arial" w:hAnsi="Arial" w:cs="Arial"/>
          <w:sz w:val="20"/>
        </w:rPr>
      </w:pPr>
      <w:r w:rsidRPr="007D7DB5">
        <w:rPr>
          <w:rFonts w:ascii="Arial" w:hAnsi="Arial" w:cs="Arial"/>
          <w:sz w:val="20"/>
        </w:rPr>
        <w:t>A means to provide illumination of the instruments, equipment and controls that are essential for the safe operation of the balloon may be instrument lighting, local lighting or any independent portable (non-handheld) light of sufficient capacity.</w:t>
      </w:r>
    </w:p>
    <w:p w14:paraId="78CF2BC4" w14:textId="77777777" w:rsidR="007D7DB5" w:rsidRPr="007D7DB5" w:rsidRDefault="007D7DB5" w:rsidP="007D7DB5">
      <w:pPr>
        <w:pStyle w:val="BodyText"/>
        <w:spacing w:before="117" w:line="276" w:lineRule="auto"/>
        <w:ind w:right="26"/>
        <w:jc w:val="both"/>
        <w:rPr>
          <w:rFonts w:ascii="Arial" w:hAnsi="Arial" w:cs="Arial"/>
          <w:sz w:val="20"/>
        </w:rPr>
      </w:pPr>
      <w:r w:rsidRPr="007D7DB5">
        <w:rPr>
          <w:rFonts w:ascii="Arial" w:hAnsi="Arial" w:cs="Arial"/>
          <w:sz w:val="20"/>
        </w:rPr>
        <w:t>It is acceptable that lights can be switch on and off provided that the operator, without undue burden or ambiguity, can switch on the lighting in night conditions.</w:t>
      </w:r>
    </w:p>
    <w:p w14:paraId="3ECEE561" w14:textId="77777777" w:rsidR="007D7DB5" w:rsidRPr="007D7DB5" w:rsidRDefault="007D7DB5" w:rsidP="007D7DB5">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600" w:name="AMC1_31TGB.65(b)_Night_lighting"/>
      <w:bookmarkStart w:id="1601" w:name="_bookmark647"/>
      <w:bookmarkStart w:id="1602" w:name="_Toc153137808"/>
      <w:bookmarkEnd w:id="1600"/>
      <w:bookmarkEnd w:id="1601"/>
      <w:r w:rsidRPr="007D7DB5">
        <w:rPr>
          <w:rFonts w:ascii="Arial" w:eastAsia="Times New Roman" w:hAnsi="Arial" w:cs="Times New Roman"/>
          <w:b/>
          <w:color w:val="FFFFFF"/>
          <w:sz w:val="24"/>
        </w:rPr>
        <w:t>AMC1 31TGB.65(b) Night lighting</w:t>
      </w:r>
      <w:bookmarkEnd w:id="1602"/>
    </w:p>
    <w:p w14:paraId="224298BA" w14:textId="77777777" w:rsidR="007D7DB5" w:rsidRPr="007D7DB5" w:rsidRDefault="007D7DB5" w:rsidP="007D7DB5">
      <w:pPr>
        <w:pStyle w:val="BodyText"/>
        <w:spacing w:before="117" w:line="276" w:lineRule="auto"/>
        <w:ind w:right="26"/>
        <w:jc w:val="both"/>
        <w:rPr>
          <w:rFonts w:ascii="Arial" w:hAnsi="Arial" w:cs="Arial"/>
          <w:sz w:val="20"/>
        </w:rPr>
      </w:pPr>
      <w:r w:rsidRPr="007D7DB5">
        <w:rPr>
          <w:rFonts w:ascii="Arial" w:hAnsi="Arial" w:cs="Arial"/>
          <w:sz w:val="20"/>
        </w:rPr>
        <w:t>The following two schematics illustrations for anti-collision light arrangements show vertical coverage and positions that meet the requirements of CS 31TGB.65(b)(2) and (3).</w:t>
      </w:r>
    </w:p>
    <w:p w14:paraId="6FE9CCEB" w14:textId="77777777" w:rsidR="007D7DB5" w:rsidRDefault="007D7DB5" w:rsidP="007D7DB5">
      <w:pPr>
        <w:pStyle w:val="BodyText"/>
        <w:spacing w:before="0"/>
        <w:ind w:left="140"/>
        <w:rPr>
          <w:rFonts w:ascii="Arial" w:hAnsi="Arial" w:cs="Arial"/>
          <w:sz w:val="20"/>
        </w:rPr>
      </w:pPr>
      <w:r>
        <w:rPr>
          <w:rFonts w:ascii="Arial" w:hAnsi="Arial" w:cs="Arial"/>
          <w:noProof/>
          <w:sz w:val="20"/>
        </w:rPr>
        <w:lastRenderedPageBreak/>
        <w:drawing>
          <wp:inline distT="0" distB="0" distL="0" distR="0" wp14:anchorId="45255352" wp14:editId="43FA3B6B">
            <wp:extent cx="5771515" cy="4286885"/>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e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771515" cy="4286885"/>
                    </a:xfrm>
                    <a:prstGeom prst="rect">
                      <a:avLst/>
                    </a:prstGeom>
                    <a:noFill/>
                    <a:ln>
                      <a:noFill/>
                    </a:ln>
                  </pic:spPr>
                </pic:pic>
              </a:graphicData>
            </a:graphic>
          </wp:inline>
        </w:drawing>
      </w:r>
    </w:p>
    <w:p w14:paraId="776739CC" w14:textId="77777777" w:rsidR="007D7DB5" w:rsidRPr="007D7DB5" w:rsidRDefault="007D7DB5" w:rsidP="007D7DB5">
      <w:pPr>
        <w:pStyle w:val="BodyText"/>
        <w:spacing w:before="117" w:line="276" w:lineRule="auto"/>
        <w:ind w:right="26"/>
        <w:jc w:val="both"/>
        <w:rPr>
          <w:rFonts w:ascii="Arial" w:hAnsi="Arial" w:cs="Arial"/>
          <w:sz w:val="20"/>
        </w:rPr>
      </w:pPr>
      <w:r w:rsidRPr="007D7DB5">
        <w:rPr>
          <w:rFonts w:ascii="Arial" w:hAnsi="Arial" w:cs="Arial"/>
          <w:sz w:val="20"/>
        </w:rPr>
        <w:t>The horizontal 360° coverage requirement is applicable to a distance between 100 m and 3 700 m (2 NM). It is acceptable that the light from the anti-collision lights is not visible from positions closer than 100 m horizontally from the balloon.</w:t>
      </w:r>
    </w:p>
    <w:p w14:paraId="4E212CA3" w14:textId="77777777" w:rsidR="00A50D81" w:rsidRPr="00A50D81" w:rsidRDefault="00A50D81" w:rsidP="00A50D81">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603" w:name="AMC1_31TGB.65(c)_Night_lighting"/>
      <w:bookmarkStart w:id="1604" w:name="_bookmark648"/>
      <w:bookmarkStart w:id="1605" w:name="_Toc153137809"/>
      <w:bookmarkEnd w:id="1603"/>
      <w:bookmarkEnd w:id="1604"/>
      <w:r w:rsidRPr="00A50D81">
        <w:rPr>
          <w:rFonts w:ascii="Arial" w:eastAsia="Times New Roman" w:hAnsi="Arial" w:cs="Times New Roman"/>
          <w:b/>
          <w:color w:val="FFFFFF"/>
          <w:sz w:val="24"/>
        </w:rPr>
        <w:t>AMC1 31TGB.65(c) Night lighting</w:t>
      </w:r>
      <w:bookmarkEnd w:id="1605"/>
    </w:p>
    <w:p w14:paraId="69BA47D9" w14:textId="77777777" w:rsidR="00A50D81" w:rsidRPr="00A50D81" w:rsidRDefault="00A50D81" w:rsidP="00A50D81">
      <w:pPr>
        <w:pStyle w:val="BodyText"/>
        <w:spacing w:before="117" w:line="276" w:lineRule="auto"/>
        <w:ind w:right="26"/>
        <w:jc w:val="both"/>
        <w:rPr>
          <w:rFonts w:ascii="Arial" w:hAnsi="Arial" w:cs="Arial"/>
          <w:sz w:val="20"/>
        </w:rPr>
      </w:pPr>
      <w:r w:rsidRPr="00A50D81">
        <w:rPr>
          <w:rFonts w:ascii="Arial" w:hAnsi="Arial" w:cs="Arial"/>
          <w:sz w:val="20"/>
        </w:rPr>
        <w:t>The light from the Anti-Collision light does not directly shine on the crew and passengers and does not create a reflection on the balloon or flare that disturbs the crews’ performance.</w:t>
      </w:r>
    </w:p>
    <w:p w14:paraId="2A63397C" w14:textId="77777777" w:rsidR="00A50D81" w:rsidRPr="00A50D81" w:rsidRDefault="00A50D81" w:rsidP="00A50D81">
      <w:pPr>
        <w:pStyle w:val="BodyText"/>
        <w:spacing w:before="117" w:line="276" w:lineRule="auto"/>
        <w:ind w:right="26"/>
        <w:jc w:val="both"/>
        <w:rPr>
          <w:rFonts w:ascii="Arial" w:hAnsi="Arial" w:cs="Arial"/>
          <w:sz w:val="20"/>
        </w:rPr>
      </w:pPr>
      <w:r w:rsidRPr="00A50D81">
        <w:rPr>
          <w:rFonts w:ascii="Arial" w:hAnsi="Arial" w:cs="Arial"/>
          <w:sz w:val="20"/>
        </w:rPr>
        <w:t>Lighting level of controls, equipment and instruments are compatible with the crew night vision. This prevents untimely fatigue of the eyesight due to frequent adaptation when looking from bright light into dark night and vice versa.</w:t>
      </w:r>
    </w:p>
    <w:p w14:paraId="3BA101DE" w14:textId="77777777" w:rsidR="00A50D81" w:rsidRPr="00A50D81" w:rsidRDefault="00A50D81" w:rsidP="00A50D81">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606" w:name="CS_31TGB.67_On-board_power_units"/>
      <w:bookmarkStart w:id="1607" w:name="_bookmark649"/>
      <w:bookmarkStart w:id="1608" w:name="_Toc153137810"/>
      <w:bookmarkEnd w:id="1606"/>
      <w:bookmarkEnd w:id="1607"/>
      <w:r w:rsidRPr="00A50D81">
        <w:rPr>
          <w:rFonts w:ascii="Arial" w:eastAsia="Times New Roman" w:hAnsi="Arial" w:cs="Times New Roman"/>
          <w:b/>
          <w:iCs/>
          <w:color w:val="FFFFFF"/>
          <w:sz w:val="24"/>
        </w:rPr>
        <w:t>CS 31TGB.67 On-board power units</w:t>
      </w:r>
      <w:bookmarkEnd w:id="1608"/>
    </w:p>
    <w:p w14:paraId="2AD187DA" w14:textId="77777777" w:rsidR="00A50D81" w:rsidRPr="00A50D81" w:rsidRDefault="00A50D81" w:rsidP="00A50D81">
      <w:pPr>
        <w:pStyle w:val="BodyText"/>
        <w:spacing w:before="117" w:line="276" w:lineRule="auto"/>
        <w:ind w:right="26"/>
        <w:jc w:val="both"/>
        <w:rPr>
          <w:rFonts w:ascii="Arial" w:hAnsi="Arial" w:cs="Arial"/>
          <w:sz w:val="20"/>
        </w:rPr>
      </w:pPr>
      <w:r w:rsidRPr="00A50D81">
        <w:rPr>
          <w:rFonts w:ascii="Arial" w:hAnsi="Arial" w:cs="Arial"/>
          <w:sz w:val="20"/>
        </w:rPr>
        <w:t>If an on-board power unit is used to provide electrical power during operation, the system is designed and installed so as not to create a fire hazard or cause an electrical shock to the occupants.</w:t>
      </w:r>
    </w:p>
    <w:p w14:paraId="435586BE" w14:textId="77777777" w:rsidR="00A50D81" w:rsidRPr="00A50D81" w:rsidRDefault="00A50D81" w:rsidP="00A50D81">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609" w:name="_Toc153137811"/>
      <w:r w:rsidRPr="00A50D81">
        <w:rPr>
          <w:rFonts w:ascii="Arial" w:eastAsia="Times New Roman" w:hAnsi="Arial" w:cs="Times New Roman"/>
          <w:b/>
          <w:color w:val="FFFFFF"/>
          <w:sz w:val="24"/>
        </w:rPr>
        <w:t>AMC1 31TGB.67 On-board power units</w:t>
      </w:r>
      <w:bookmarkEnd w:id="1609"/>
      <w:r w:rsidRPr="00A50D81">
        <w:rPr>
          <w:rFonts w:ascii="Arial" w:eastAsia="Times New Roman" w:hAnsi="Arial" w:cs="Times New Roman"/>
          <w:b/>
          <w:color w:val="FFFFFF"/>
          <w:sz w:val="24"/>
        </w:rPr>
        <w:tab/>
      </w:r>
    </w:p>
    <w:p w14:paraId="431F0AFA" w14:textId="77777777" w:rsidR="00A50D81" w:rsidRPr="00A50D81" w:rsidRDefault="00A50D81" w:rsidP="00A50D81">
      <w:pPr>
        <w:pStyle w:val="BodyText"/>
        <w:spacing w:before="117" w:line="276" w:lineRule="auto"/>
        <w:ind w:right="26"/>
        <w:jc w:val="both"/>
        <w:rPr>
          <w:rFonts w:ascii="Arial" w:hAnsi="Arial" w:cs="Arial"/>
          <w:sz w:val="20"/>
        </w:rPr>
      </w:pPr>
      <w:r w:rsidRPr="00A50D81">
        <w:rPr>
          <w:rFonts w:ascii="Arial" w:hAnsi="Arial" w:cs="Arial"/>
          <w:sz w:val="20"/>
        </w:rPr>
        <w:t>For this AMC, it is assumed that only power units are used which conform to the state-of-the-art industrial standard. The safe operation of the balloon is not directly dependent on the proper function of the power unit. For all other designs, the Agency is consulted for more detailed requirements.</w:t>
      </w:r>
    </w:p>
    <w:p w14:paraId="18F4FE80" w14:textId="77777777" w:rsidR="00A50D81" w:rsidRPr="00A50D81" w:rsidRDefault="00A50D81" w:rsidP="00A50D81">
      <w:pPr>
        <w:pStyle w:val="BodyText"/>
        <w:spacing w:before="117" w:line="276" w:lineRule="auto"/>
        <w:ind w:right="26"/>
        <w:jc w:val="both"/>
        <w:rPr>
          <w:rFonts w:ascii="Arial" w:hAnsi="Arial" w:cs="Arial"/>
          <w:sz w:val="20"/>
        </w:rPr>
      </w:pPr>
      <w:r w:rsidRPr="00A50D81">
        <w:rPr>
          <w:rFonts w:ascii="Arial" w:hAnsi="Arial" w:cs="Arial"/>
          <w:sz w:val="20"/>
        </w:rPr>
        <w:t>Power units of industrial standard used on-board of the balloon in addition comply with the following:</w:t>
      </w:r>
    </w:p>
    <w:p w14:paraId="09D43AA3" w14:textId="77777777" w:rsidR="00A50D81" w:rsidRPr="00A50D81" w:rsidRDefault="00A50D81" w:rsidP="005F6871">
      <w:pPr>
        <w:pStyle w:val="ListParagraph"/>
        <w:numPr>
          <w:ilvl w:val="0"/>
          <w:numId w:val="437"/>
        </w:numPr>
        <w:tabs>
          <w:tab w:val="left" w:pos="707"/>
        </w:tabs>
        <w:spacing w:before="117" w:line="276" w:lineRule="auto"/>
        <w:ind w:right="26"/>
        <w:jc w:val="both"/>
        <w:rPr>
          <w:rFonts w:ascii="Arial" w:hAnsi="Arial" w:cs="Arial"/>
          <w:sz w:val="20"/>
        </w:rPr>
      </w:pPr>
      <w:r w:rsidRPr="00A50D81">
        <w:rPr>
          <w:rFonts w:ascii="Arial" w:hAnsi="Arial" w:cs="Arial"/>
          <w:sz w:val="20"/>
        </w:rPr>
        <w:t>General</w:t>
      </w:r>
    </w:p>
    <w:p w14:paraId="2DDA334B" w14:textId="77777777" w:rsidR="00A50D81" w:rsidRPr="00A50D81" w:rsidRDefault="00A50D81" w:rsidP="00A50D81">
      <w:pPr>
        <w:pStyle w:val="ListParagraph"/>
        <w:tabs>
          <w:tab w:val="left" w:pos="707"/>
        </w:tabs>
        <w:spacing w:before="117" w:line="276" w:lineRule="auto"/>
        <w:ind w:right="26" w:firstLine="0"/>
        <w:jc w:val="both"/>
        <w:rPr>
          <w:rFonts w:ascii="Arial" w:hAnsi="Arial" w:cs="Arial"/>
          <w:sz w:val="20"/>
        </w:rPr>
      </w:pPr>
      <w:r w:rsidRPr="00A50D81">
        <w:rPr>
          <w:rFonts w:ascii="Arial" w:hAnsi="Arial" w:cs="Arial"/>
          <w:sz w:val="20"/>
        </w:rPr>
        <w:t>The power unit is designed and installed so that under all normal operating conditions and reasonably foreseeable in service emergency situations, it does not endanger the aircraft, its occupants, or third parties.</w:t>
      </w:r>
    </w:p>
    <w:p w14:paraId="26EE80F1" w14:textId="77777777" w:rsidR="00A50D81" w:rsidRPr="00A50D81" w:rsidRDefault="00A50D81" w:rsidP="005F6871">
      <w:pPr>
        <w:pStyle w:val="ListParagraph"/>
        <w:numPr>
          <w:ilvl w:val="0"/>
          <w:numId w:val="437"/>
        </w:numPr>
        <w:tabs>
          <w:tab w:val="left" w:pos="707"/>
        </w:tabs>
        <w:spacing w:before="117" w:line="276" w:lineRule="auto"/>
        <w:ind w:right="26"/>
        <w:jc w:val="both"/>
        <w:rPr>
          <w:rFonts w:ascii="Arial" w:hAnsi="Arial" w:cs="Arial"/>
          <w:sz w:val="20"/>
        </w:rPr>
      </w:pPr>
      <w:r w:rsidRPr="00A50D81">
        <w:rPr>
          <w:rFonts w:ascii="Arial" w:hAnsi="Arial" w:cs="Arial"/>
          <w:sz w:val="20"/>
        </w:rPr>
        <w:t>Ventilation</w:t>
      </w:r>
    </w:p>
    <w:p w14:paraId="26D555F9" w14:textId="77777777" w:rsidR="00A50D81" w:rsidRPr="00A50D81" w:rsidRDefault="00A50D81" w:rsidP="00A50D81">
      <w:pPr>
        <w:pStyle w:val="ListParagraph"/>
        <w:tabs>
          <w:tab w:val="left" w:pos="707"/>
        </w:tabs>
        <w:spacing w:before="117" w:line="276" w:lineRule="auto"/>
        <w:ind w:right="26" w:firstLine="0"/>
        <w:jc w:val="both"/>
        <w:rPr>
          <w:rFonts w:ascii="Arial" w:hAnsi="Arial" w:cs="Arial"/>
          <w:sz w:val="20"/>
        </w:rPr>
      </w:pPr>
      <w:r w:rsidRPr="00A50D81">
        <w:rPr>
          <w:rFonts w:ascii="Arial" w:hAnsi="Arial" w:cs="Arial"/>
          <w:sz w:val="20"/>
        </w:rPr>
        <w:lastRenderedPageBreak/>
        <w:t>The occupants are accommodated in adequately ventilated areas where:</w:t>
      </w:r>
    </w:p>
    <w:p w14:paraId="615002AD" w14:textId="77777777" w:rsidR="00A50D81" w:rsidRPr="009F6770" w:rsidRDefault="00A50D81" w:rsidP="005F6871">
      <w:pPr>
        <w:pStyle w:val="ListParagraph"/>
        <w:numPr>
          <w:ilvl w:val="0"/>
          <w:numId w:val="438"/>
        </w:numPr>
        <w:tabs>
          <w:tab w:val="left" w:pos="1274"/>
        </w:tabs>
        <w:spacing w:before="121"/>
        <w:jc w:val="both"/>
        <w:rPr>
          <w:rFonts w:ascii="Arial" w:hAnsi="Arial" w:cs="Arial"/>
          <w:sz w:val="20"/>
          <w:szCs w:val="20"/>
        </w:rPr>
      </w:pPr>
      <w:r w:rsidRPr="009F6770">
        <w:rPr>
          <w:rFonts w:ascii="Arial" w:hAnsi="Arial" w:cs="Arial"/>
          <w:sz w:val="20"/>
          <w:szCs w:val="20"/>
        </w:rPr>
        <w:t>the carbon monoxide partial pressure does not exceed 1/20 000; and</w:t>
      </w:r>
    </w:p>
    <w:p w14:paraId="5583A327" w14:textId="77777777" w:rsidR="00A50D81" w:rsidRPr="009F6770" w:rsidRDefault="00A50D81" w:rsidP="005F6871">
      <w:pPr>
        <w:pStyle w:val="ListParagraph"/>
        <w:numPr>
          <w:ilvl w:val="0"/>
          <w:numId w:val="438"/>
        </w:numPr>
        <w:tabs>
          <w:tab w:val="left" w:pos="1274"/>
        </w:tabs>
        <w:spacing w:before="121"/>
        <w:jc w:val="both"/>
        <w:rPr>
          <w:rFonts w:ascii="Arial" w:hAnsi="Arial" w:cs="Arial"/>
          <w:sz w:val="20"/>
          <w:szCs w:val="20"/>
        </w:rPr>
      </w:pPr>
      <w:r w:rsidRPr="009F6770">
        <w:rPr>
          <w:rFonts w:ascii="Arial" w:hAnsi="Arial" w:cs="Arial"/>
          <w:sz w:val="20"/>
          <w:szCs w:val="20"/>
        </w:rPr>
        <w:t>fuel vapour is not present in harmful concentrations.</w:t>
      </w:r>
    </w:p>
    <w:p w14:paraId="3616F61F" w14:textId="77777777" w:rsidR="00A50D81" w:rsidRPr="00A50D81" w:rsidRDefault="00A50D81" w:rsidP="005F6871">
      <w:pPr>
        <w:pStyle w:val="ListParagraph"/>
        <w:numPr>
          <w:ilvl w:val="0"/>
          <w:numId w:val="437"/>
        </w:numPr>
        <w:tabs>
          <w:tab w:val="left" w:pos="707"/>
        </w:tabs>
        <w:spacing w:before="117" w:line="276" w:lineRule="auto"/>
        <w:ind w:right="26"/>
        <w:jc w:val="both"/>
        <w:rPr>
          <w:rFonts w:ascii="Arial" w:hAnsi="Arial" w:cs="Arial"/>
          <w:sz w:val="20"/>
        </w:rPr>
      </w:pPr>
      <w:r w:rsidRPr="00A50D81">
        <w:rPr>
          <w:rFonts w:ascii="Arial" w:hAnsi="Arial" w:cs="Arial"/>
          <w:sz w:val="20"/>
        </w:rPr>
        <w:t>Fire extinguishers</w:t>
      </w:r>
    </w:p>
    <w:p w14:paraId="29ECCCC5" w14:textId="77777777" w:rsidR="00A50D81" w:rsidRPr="009F6770" w:rsidRDefault="00A50D81" w:rsidP="005F6871">
      <w:pPr>
        <w:pStyle w:val="ListParagraph"/>
        <w:numPr>
          <w:ilvl w:val="0"/>
          <w:numId w:val="439"/>
        </w:numPr>
        <w:tabs>
          <w:tab w:val="left" w:pos="1274"/>
        </w:tabs>
        <w:spacing w:before="121"/>
        <w:jc w:val="both"/>
        <w:rPr>
          <w:rFonts w:ascii="Arial" w:hAnsi="Arial" w:cs="Arial"/>
          <w:sz w:val="20"/>
          <w:szCs w:val="20"/>
        </w:rPr>
      </w:pPr>
      <w:r w:rsidRPr="009F6770">
        <w:rPr>
          <w:rFonts w:ascii="Arial" w:hAnsi="Arial" w:cs="Arial"/>
          <w:sz w:val="20"/>
          <w:szCs w:val="20"/>
        </w:rPr>
        <w:t>Unless the power unit has a fire extinguishing system by itself, there is at least one manual fire extinguisher within reach of an occupant.</w:t>
      </w:r>
    </w:p>
    <w:p w14:paraId="7C785C4F" w14:textId="77777777" w:rsidR="00A50D81" w:rsidRPr="009F6770" w:rsidRDefault="00A50D81" w:rsidP="005F6871">
      <w:pPr>
        <w:pStyle w:val="ListParagraph"/>
        <w:numPr>
          <w:ilvl w:val="0"/>
          <w:numId w:val="439"/>
        </w:numPr>
        <w:tabs>
          <w:tab w:val="left" w:pos="1274"/>
        </w:tabs>
        <w:spacing w:before="121"/>
        <w:jc w:val="both"/>
        <w:rPr>
          <w:rFonts w:ascii="Arial" w:hAnsi="Arial" w:cs="Arial"/>
          <w:sz w:val="20"/>
          <w:szCs w:val="20"/>
        </w:rPr>
      </w:pPr>
      <w:r w:rsidRPr="009F6770">
        <w:rPr>
          <w:rFonts w:ascii="Arial" w:hAnsi="Arial" w:cs="Arial"/>
          <w:sz w:val="20"/>
          <w:szCs w:val="20"/>
        </w:rPr>
        <w:t>The following applies to manual fire extinguishers. The type and quantity of the fire extinguishing substance is appropriate to the fire extinguisher's application area. Fire extinguishers:</w:t>
      </w:r>
    </w:p>
    <w:p w14:paraId="307A2C20" w14:textId="77777777" w:rsidR="00A50D81" w:rsidRPr="009F6770" w:rsidRDefault="00A50D81" w:rsidP="005F6871">
      <w:pPr>
        <w:pStyle w:val="ListParagraph"/>
        <w:numPr>
          <w:ilvl w:val="0"/>
          <w:numId w:val="447"/>
        </w:numPr>
        <w:tabs>
          <w:tab w:val="left" w:pos="1842"/>
        </w:tabs>
        <w:spacing w:before="123" w:line="235" w:lineRule="auto"/>
        <w:ind w:right="26"/>
        <w:jc w:val="both"/>
        <w:rPr>
          <w:rFonts w:ascii="Arial" w:hAnsi="Arial" w:cs="Arial"/>
          <w:sz w:val="20"/>
          <w:szCs w:val="20"/>
        </w:rPr>
      </w:pPr>
      <w:r w:rsidRPr="009F6770">
        <w:rPr>
          <w:rFonts w:ascii="Arial" w:hAnsi="Arial" w:cs="Arial"/>
          <w:sz w:val="20"/>
          <w:szCs w:val="20"/>
        </w:rPr>
        <w:t>conform to EN3 or an equivalent specification acceptable to the Agency;</w:t>
      </w:r>
    </w:p>
    <w:p w14:paraId="59FB90FB" w14:textId="77777777" w:rsidR="00A50D81" w:rsidRPr="009F6770" w:rsidRDefault="00A50D81" w:rsidP="005F6871">
      <w:pPr>
        <w:pStyle w:val="ListParagraph"/>
        <w:numPr>
          <w:ilvl w:val="0"/>
          <w:numId w:val="447"/>
        </w:numPr>
        <w:tabs>
          <w:tab w:val="left" w:pos="1842"/>
        </w:tabs>
        <w:spacing w:before="123" w:line="235" w:lineRule="auto"/>
        <w:ind w:right="26"/>
        <w:jc w:val="both"/>
        <w:rPr>
          <w:rFonts w:ascii="Arial" w:hAnsi="Arial" w:cs="Arial"/>
          <w:sz w:val="20"/>
          <w:szCs w:val="20"/>
        </w:rPr>
      </w:pPr>
      <w:r w:rsidRPr="009F6770">
        <w:rPr>
          <w:rFonts w:ascii="Arial" w:hAnsi="Arial" w:cs="Arial"/>
          <w:sz w:val="20"/>
          <w:szCs w:val="20"/>
        </w:rPr>
        <w:t>have a minimum capacity of 2 kg when using dry powder, unless the capacity is otherwise determined by the applicant; and</w:t>
      </w:r>
    </w:p>
    <w:p w14:paraId="22F5C05B" w14:textId="77777777" w:rsidR="00A50D81" w:rsidRPr="009F6770" w:rsidRDefault="00A50D81" w:rsidP="005F6871">
      <w:pPr>
        <w:pStyle w:val="ListParagraph"/>
        <w:numPr>
          <w:ilvl w:val="0"/>
          <w:numId w:val="447"/>
        </w:numPr>
        <w:tabs>
          <w:tab w:val="left" w:pos="1842"/>
        </w:tabs>
        <w:spacing w:before="123" w:line="235" w:lineRule="auto"/>
        <w:ind w:right="26"/>
        <w:jc w:val="both"/>
        <w:rPr>
          <w:rFonts w:ascii="Arial" w:hAnsi="Arial" w:cs="Arial"/>
          <w:sz w:val="20"/>
          <w:szCs w:val="20"/>
        </w:rPr>
      </w:pPr>
      <w:r w:rsidRPr="009F6770">
        <w:rPr>
          <w:rFonts w:ascii="Arial" w:hAnsi="Arial" w:cs="Arial"/>
          <w:sz w:val="20"/>
          <w:szCs w:val="20"/>
        </w:rPr>
        <w:t>be at least of comparable effect when the extinguishing means is other than ‘dry powder’.</w:t>
      </w:r>
    </w:p>
    <w:p w14:paraId="48E12E5C" w14:textId="77777777" w:rsidR="00A50D81" w:rsidRPr="009F6770" w:rsidRDefault="00A50D81" w:rsidP="005F6871">
      <w:pPr>
        <w:pStyle w:val="ListParagraph"/>
        <w:numPr>
          <w:ilvl w:val="0"/>
          <w:numId w:val="438"/>
        </w:numPr>
        <w:tabs>
          <w:tab w:val="left" w:pos="1274"/>
        </w:tabs>
        <w:spacing w:before="121"/>
        <w:jc w:val="both"/>
        <w:rPr>
          <w:rFonts w:ascii="Arial" w:hAnsi="Arial" w:cs="Arial"/>
          <w:sz w:val="20"/>
          <w:szCs w:val="20"/>
        </w:rPr>
      </w:pPr>
      <w:r w:rsidRPr="009F6770">
        <w:rPr>
          <w:rFonts w:ascii="Arial" w:hAnsi="Arial" w:cs="Arial"/>
          <w:sz w:val="20"/>
          <w:szCs w:val="20"/>
        </w:rPr>
        <w:t>Fire extinguishers in compartments intended for persons are designed to minimise the risk of toxicity caused by use of the fire extinguishing substance.</w:t>
      </w:r>
    </w:p>
    <w:p w14:paraId="01BC6E52" w14:textId="77777777" w:rsidR="00A50D81" w:rsidRPr="00A50D81" w:rsidRDefault="00A50D81" w:rsidP="005F6871">
      <w:pPr>
        <w:pStyle w:val="ListParagraph"/>
        <w:numPr>
          <w:ilvl w:val="0"/>
          <w:numId w:val="437"/>
        </w:numPr>
        <w:tabs>
          <w:tab w:val="left" w:pos="707"/>
        </w:tabs>
        <w:spacing w:before="117" w:line="276" w:lineRule="auto"/>
        <w:ind w:right="26"/>
        <w:jc w:val="both"/>
        <w:rPr>
          <w:rFonts w:ascii="Arial" w:hAnsi="Arial" w:cs="Arial"/>
          <w:sz w:val="20"/>
        </w:rPr>
      </w:pPr>
      <w:r w:rsidRPr="00A50D81">
        <w:rPr>
          <w:rFonts w:ascii="Arial" w:hAnsi="Arial" w:cs="Arial"/>
          <w:sz w:val="20"/>
        </w:rPr>
        <w:t>Gondola</w:t>
      </w:r>
    </w:p>
    <w:p w14:paraId="34E0ECAC" w14:textId="77777777" w:rsidR="00A50D81" w:rsidRDefault="00A50D81" w:rsidP="00A50D81">
      <w:pPr>
        <w:pStyle w:val="BodyText"/>
        <w:spacing w:before="121"/>
        <w:ind w:left="706"/>
        <w:jc w:val="both"/>
        <w:rPr>
          <w:rFonts w:ascii="Arial" w:hAnsi="Arial" w:cs="Arial"/>
        </w:rPr>
      </w:pPr>
      <w:r>
        <w:rPr>
          <w:rFonts w:ascii="Arial" w:hAnsi="Arial" w:cs="Arial"/>
        </w:rPr>
        <w:t>The</w:t>
      </w:r>
      <w:r>
        <w:rPr>
          <w:rFonts w:ascii="Arial" w:hAnsi="Arial" w:cs="Arial"/>
          <w:spacing w:val="-2"/>
        </w:rPr>
        <w:t xml:space="preserve"> </w:t>
      </w:r>
      <w:r>
        <w:rPr>
          <w:rFonts w:ascii="Arial" w:hAnsi="Arial" w:cs="Arial"/>
        </w:rPr>
        <w:t>following</w:t>
      </w:r>
      <w:r>
        <w:rPr>
          <w:rFonts w:ascii="Arial" w:hAnsi="Arial" w:cs="Arial"/>
          <w:spacing w:val="-3"/>
        </w:rPr>
        <w:t xml:space="preserve"> </w:t>
      </w:r>
      <w:r>
        <w:rPr>
          <w:rFonts w:ascii="Arial" w:hAnsi="Arial" w:cs="Arial"/>
        </w:rPr>
        <w:t>applies to the gondola</w:t>
      </w:r>
      <w:r>
        <w:rPr>
          <w:rFonts w:ascii="Arial" w:hAnsi="Arial" w:cs="Arial"/>
          <w:spacing w:val="-1"/>
        </w:rPr>
        <w:t xml:space="preserve"> </w:t>
      </w:r>
      <w:r>
        <w:rPr>
          <w:rFonts w:ascii="Arial" w:hAnsi="Arial" w:cs="Arial"/>
        </w:rPr>
        <w:t>when</w:t>
      </w:r>
      <w:r>
        <w:rPr>
          <w:rFonts w:ascii="Arial" w:hAnsi="Arial" w:cs="Arial"/>
          <w:spacing w:val="-1"/>
        </w:rPr>
        <w:t xml:space="preserve"> </w:t>
      </w:r>
      <w:r>
        <w:rPr>
          <w:rFonts w:ascii="Arial" w:hAnsi="Arial" w:cs="Arial"/>
        </w:rPr>
        <w:t>an</w:t>
      </w:r>
      <w:r>
        <w:rPr>
          <w:rFonts w:ascii="Arial" w:hAnsi="Arial" w:cs="Arial"/>
          <w:spacing w:val="-1"/>
        </w:rPr>
        <w:t xml:space="preserve"> </w:t>
      </w:r>
      <w:r>
        <w:rPr>
          <w:rFonts w:ascii="Arial" w:hAnsi="Arial" w:cs="Arial"/>
        </w:rPr>
        <w:t>on-board</w:t>
      </w:r>
      <w:r>
        <w:rPr>
          <w:rFonts w:ascii="Arial" w:hAnsi="Arial" w:cs="Arial"/>
          <w:spacing w:val="-3"/>
        </w:rPr>
        <w:t xml:space="preserve"> </w:t>
      </w:r>
      <w:r>
        <w:rPr>
          <w:rFonts w:ascii="Arial" w:hAnsi="Arial" w:cs="Arial"/>
        </w:rPr>
        <w:t>power</w:t>
      </w:r>
      <w:r>
        <w:rPr>
          <w:rFonts w:ascii="Arial" w:hAnsi="Arial" w:cs="Arial"/>
          <w:spacing w:val="-1"/>
        </w:rPr>
        <w:t xml:space="preserve"> </w:t>
      </w:r>
      <w:r>
        <w:rPr>
          <w:rFonts w:ascii="Arial" w:hAnsi="Arial" w:cs="Arial"/>
        </w:rPr>
        <w:t>unit</w:t>
      </w:r>
      <w:r>
        <w:rPr>
          <w:rFonts w:ascii="Arial" w:hAnsi="Arial" w:cs="Arial"/>
          <w:spacing w:val="-1"/>
        </w:rPr>
        <w:t xml:space="preserve"> </w:t>
      </w:r>
      <w:r>
        <w:rPr>
          <w:rFonts w:ascii="Arial" w:hAnsi="Arial" w:cs="Arial"/>
        </w:rPr>
        <w:t>is</w:t>
      </w:r>
      <w:r>
        <w:rPr>
          <w:rFonts w:ascii="Arial" w:hAnsi="Arial" w:cs="Arial"/>
          <w:spacing w:val="-3"/>
        </w:rPr>
        <w:t xml:space="preserve"> </w:t>
      </w:r>
      <w:r>
        <w:rPr>
          <w:rFonts w:ascii="Arial" w:hAnsi="Arial" w:cs="Arial"/>
        </w:rPr>
        <w:t>carried:</w:t>
      </w:r>
    </w:p>
    <w:p w14:paraId="33E454C2" w14:textId="77777777" w:rsidR="00A50D81" w:rsidRPr="009F6770" w:rsidRDefault="00A50D81" w:rsidP="005F6871">
      <w:pPr>
        <w:pStyle w:val="ListParagraph"/>
        <w:numPr>
          <w:ilvl w:val="0"/>
          <w:numId w:val="440"/>
        </w:numPr>
        <w:tabs>
          <w:tab w:val="left" w:pos="1274"/>
        </w:tabs>
        <w:spacing w:before="121"/>
        <w:jc w:val="both"/>
        <w:rPr>
          <w:rFonts w:ascii="Arial" w:hAnsi="Arial" w:cs="Arial"/>
          <w:sz w:val="20"/>
          <w:szCs w:val="20"/>
        </w:rPr>
      </w:pPr>
      <w:r w:rsidRPr="009F6770">
        <w:rPr>
          <w:rFonts w:ascii="Arial" w:hAnsi="Arial" w:cs="Arial"/>
          <w:sz w:val="20"/>
          <w:szCs w:val="20"/>
        </w:rPr>
        <w:t>The material used is at least fire retardant.</w:t>
      </w:r>
    </w:p>
    <w:p w14:paraId="599471E3" w14:textId="77777777" w:rsidR="00A50D81" w:rsidRPr="009F6770" w:rsidRDefault="00A50D81" w:rsidP="005F6871">
      <w:pPr>
        <w:pStyle w:val="ListParagraph"/>
        <w:numPr>
          <w:ilvl w:val="0"/>
          <w:numId w:val="440"/>
        </w:numPr>
        <w:tabs>
          <w:tab w:val="left" w:pos="1274"/>
        </w:tabs>
        <w:spacing w:before="121"/>
        <w:jc w:val="both"/>
        <w:rPr>
          <w:rFonts w:ascii="Arial" w:hAnsi="Arial" w:cs="Arial"/>
          <w:sz w:val="20"/>
          <w:szCs w:val="20"/>
        </w:rPr>
      </w:pPr>
      <w:r w:rsidRPr="009F6770">
        <w:rPr>
          <w:rFonts w:ascii="Arial" w:hAnsi="Arial" w:cs="Arial"/>
          <w:sz w:val="20"/>
          <w:szCs w:val="20"/>
        </w:rPr>
        <w:t>Pipes, tanks or equipment that carries fuel, oil or flammable liquids are not to be placed in the gondola unless they are reasonably shielded, insulated, or otherwise protected so that fracture or failure of such parts causes no danger.</w:t>
      </w:r>
    </w:p>
    <w:p w14:paraId="2EE20262" w14:textId="77777777" w:rsidR="00A50D81" w:rsidRPr="00A50D81" w:rsidRDefault="00A50D81" w:rsidP="005F6871">
      <w:pPr>
        <w:pStyle w:val="ListParagraph"/>
        <w:numPr>
          <w:ilvl w:val="0"/>
          <w:numId w:val="437"/>
        </w:numPr>
        <w:tabs>
          <w:tab w:val="left" w:pos="707"/>
        </w:tabs>
        <w:spacing w:before="117" w:line="276" w:lineRule="auto"/>
        <w:ind w:right="26"/>
        <w:jc w:val="both"/>
        <w:rPr>
          <w:rFonts w:ascii="Arial" w:hAnsi="Arial" w:cs="Arial"/>
          <w:sz w:val="20"/>
        </w:rPr>
      </w:pPr>
      <w:r w:rsidRPr="00A50D81">
        <w:rPr>
          <w:rFonts w:ascii="Arial" w:hAnsi="Arial" w:cs="Arial"/>
          <w:sz w:val="20"/>
        </w:rPr>
        <w:t>Electrical earth connection</w:t>
      </w:r>
    </w:p>
    <w:p w14:paraId="2F82392D" w14:textId="77777777" w:rsidR="00A50D81" w:rsidRPr="009F6770" w:rsidRDefault="00A50D81" w:rsidP="005F6871">
      <w:pPr>
        <w:pStyle w:val="ListParagraph"/>
        <w:numPr>
          <w:ilvl w:val="0"/>
          <w:numId w:val="441"/>
        </w:numPr>
        <w:tabs>
          <w:tab w:val="left" w:pos="1274"/>
        </w:tabs>
        <w:spacing w:before="121"/>
        <w:jc w:val="both"/>
        <w:rPr>
          <w:rFonts w:ascii="Arial" w:hAnsi="Arial" w:cs="Arial"/>
          <w:sz w:val="20"/>
          <w:szCs w:val="20"/>
        </w:rPr>
      </w:pPr>
      <w:r w:rsidRPr="009F6770">
        <w:rPr>
          <w:rFonts w:ascii="Arial" w:hAnsi="Arial" w:cs="Arial"/>
          <w:sz w:val="20"/>
          <w:szCs w:val="20"/>
        </w:rPr>
        <w:t>In order to prevent the occurrence of potential differences between components of the power unit and other electrically conductive parts of the balloon which cannot be ignored on account of their mass, such conductive parts are conductively interconnected.</w:t>
      </w:r>
    </w:p>
    <w:p w14:paraId="31D84971" w14:textId="77777777" w:rsidR="00A50D81" w:rsidRPr="009F6770" w:rsidRDefault="00A50D81" w:rsidP="005F6871">
      <w:pPr>
        <w:pStyle w:val="ListParagraph"/>
        <w:numPr>
          <w:ilvl w:val="0"/>
          <w:numId w:val="441"/>
        </w:numPr>
        <w:tabs>
          <w:tab w:val="left" w:pos="1274"/>
        </w:tabs>
        <w:spacing w:before="121"/>
        <w:jc w:val="both"/>
        <w:rPr>
          <w:rFonts w:ascii="Arial" w:hAnsi="Arial" w:cs="Arial"/>
          <w:sz w:val="20"/>
          <w:szCs w:val="20"/>
        </w:rPr>
      </w:pPr>
      <w:r w:rsidRPr="009F6770">
        <w:rPr>
          <w:rFonts w:ascii="Arial" w:hAnsi="Arial" w:cs="Arial"/>
          <w:sz w:val="20"/>
          <w:szCs w:val="20"/>
        </w:rPr>
        <w:t>The cross-sectional area of bonding connectors, if made from copper, is not less than 1·33 mm².</w:t>
      </w:r>
    </w:p>
    <w:p w14:paraId="51864293" w14:textId="77777777" w:rsidR="00A50D81" w:rsidRPr="00A50D81" w:rsidRDefault="00A50D81" w:rsidP="005F6871">
      <w:pPr>
        <w:pStyle w:val="ListParagraph"/>
        <w:numPr>
          <w:ilvl w:val="0"/>
          <w:numId w:val="437"/>
        </w:numPr>
        <w:tabs>
          <w:tab w:val="left" w:pos="707"/>
        </w:tabs>
        <w:spacing w:before="117" w:line="276" w:lineRule="auto"/>
        <w:ind w:right="26"/>
        <w:jc w:val="both"/>
        <w:rPr>
          <w:rFonts w:ascii="Arial" w:hAnsi="Arial" w:cs="Arial"/>
          <w:sz w:val="20"/>
        </w:rPr>
      </w:pPr>
      <w:r w:rsidRPr="00A50D81">
        <w:rPr>
          <w:rFonts w:ascii="Arial" w:hAnsi="Arial" w:cs="Arial"/>
          <w:sz w:val="20"/>
        </w:rPr>
        <w:t>Fire protection for control system and structure</w:t>
      </w:r>
    </w:p>
    <w:p w14:paraId="26B4E908" w14:textId="77777777" w:rsidR="00A50D81" w:rsidRPr="009F6770" w:rsidRDefault="00A50D81" w:rsidP="009F6770">
      <w:pPr>
        <w:pStyle w:val="ListParagraph"/>
        <w:tabs>
          <w:tab w:val="left" w:pos="707"/>
        </w:tabs>
        <w:spacing w:before="117" w:line="276" w:lineRule="auto"/>
        <w:ind w:right="26" w:firstLine="0"/>
        <w:jc w:val="both"/>
        <w:rPr>
          <w:rFonts w:ascii="Arial" w:hAnsi="Arial" w:cs="Arial"/>
          <w:sz w:val="20"/>
        </w:rPr>
      </w:pPr>
      <w:r w:rsidRPr="009F6770">
        <w:rPr>
          <w:rFonts w:ascii="Arial" w:hAnsi="Arial" w:cs="Arial"/>
          <w:sz w:val="20"/>
        </w:rPr>
        <w:t>Control systems, suspension units or other structures in the power unit compartment which are added to the design by the applicant are made of fireproof material or shielded to withstand the effect of a fire.</w:t>
      </w:r>
    </w:p>
    <w:p w14:paraId="055C9367" w14:textId="77777777" w:rsidR="00A50D81" w:rsidRPr="00A50D81" w:rsidRDefault="00A50D81" w:rsidP="005F6871">
      <w:pPr>
        <w:pStyle w:val="ListParagraph"/>
        <w:numPr>
          <w:ilvl w:val="0"/>
          <w:numId w:val="437"/>
        </w:numPr>
        <w:tabs>
          <w:tab w:val="left" w:pos="707"/>
        </w:tabs>
        <w:spacing w:before="117" w:line="276" w:lineRule="auto"/>
        <w:ind w:right="26"/>
        <w:jc w:val="both"/>
        <w:rPr>
          <w:rFonts w:ascii="Arial" w:hAnsi="Arial" w:cs="Arial"/>
          <w:sz w:val="20"/>
        </w:rPr>
      </w:pPr>
      <w:r w:rsidRPr="00A50D81">
        <w:rPr>
          <w:rFonts w:ascii="Arial" w:hAnsi="Arial" w:cs="Arial"/>
          <w:sz w:val="20"/>
        </w:rPr>
        <w:t>Fire protection</w:t>
      </w:r>
    </w:p>
    <w:p w14:paraId="4B8F926F" w14:textId="77777777" w:rsidR="00A50D81" w:rsidRPr="009F6770" w:rsidRDefault="00A50D81" w:rsidP="005F6871">
      <w:pPr>
        <w:pStyle w:val="ListParagraph"/>
        <w:numPr>
          <w:ilvl w:val="0"/>
          <w:numId w:val="442"/>
        </w:numPr>
        <w:tabs>
          <w:tab w:val="left" w:pos="1274"/>
        </w:tabs>
        <w:spacing w:before="121"/>
        <w:jc w:val="both"/>
        <w:rPr>
          <w:rFonts w:ascii="Arial" w:hAnsi="Arial" w:cs="Arial"/>
          <w:sz w:val="20"/>
          <w:szCs w:val="20"/>
        </w:rPr>
      </w:pPr>
      <w:r w:rsidRPr="009F6770">
        <w:rPr>
          <w:rFonts w:ascii="Arial" w:hAnsi="Arial" w:cs="Arial"/>
          <w:sz w:val="20"/>
          <w:szCs w:val="20"/>
        </w:rPr>
        <w:t>The power unit is adequately separated from the balloon's structure by fireproof bulkheads or ventilated bays.</w:t>
      </w:r>
    </w:p>
    <w:p w14:paraId="5DF1991E" w14:textId="77777777" w:rsidR="00A50D81" w:rsidRPr="009F6770" w:rsidRDefault="00A50D81" w:rsidP="005F6871">
      <w:pPr>
        <w:pStyle w:val="ListParagraph"/>
        <w:numPr>
          <w:ilvl w:val="0"/>
          <w:numId w:val="442"/>
        </w:numPr>
        <w:tabs>
          <w:tab w:val="left" w:pos="1274"/>
        </w:tabs>
        <w:spacing w:before="121"/>
        <w:jc w:val="both"/>
        <w:rPr>
          <w:rFonts w:ascii="Arial" w:hAnsi="Arial" w:cs="Arial"/>
          <w:sz w:val="20"/>
          <w:szCs w:val="20"/>
        </w:rPr>
      </w:pPr>
      <w:r w:rsidRPr="009F6770">
        <w:rPr>
          <w:rFonts w:ascii="Arial" w:hAnsi="Arial" w:cs="Arial"/>
          <w:sz w:val="20"/>
          <w:szCs w:val="20"/>
        </w:rPr>
        <w:t>Areas in which combustible liquids can accumulate as a result of a leaking tank have an adequate drain pipe. Collected leaking liquids cannot reach other locations in and under the craft which pose a potential risk of fire.</w:t>
      </w:r>
    </w:p>
    <w:p w14:paraId="188C0A37" w14:textId="77777777" w:rsidR="00A50D81" w:rsidRPr="009F6770" w:rsidRDefault="00A50D81" w:rsidP="005F6871">
      <w:pPr>
        <w:pStyle w:val="ListParagraph"/>
        <w:numPr>
          <w:ilvl w:val="0"/>
          <w:numId w:val="442"/>
        </w:numPr>
        <w:tabs>
          <w:tab w:val="left" w:pos="1274"/>
        </w:tabs>
        <w:spacing w:before="121"/>
        <w:jc w:val="both"/>
        <w:rPr>
          <w:rFonts w:ascii="Arial" w:hAnsi="Arial" w:cs="Arial"/>
          <w:sz w:val="20"/>
          <w:szCs w:val="20"/>
        </w:rPr>
      </w:pPr>
      <w:r w:rsidRPr="009F6770">
        <w:rPr>
          <w:rFonts w:ascii="Arial" w:hAnsi="Arial" w:cs="Arial"/>
          <w:sz w:val="20"/>
          <w:szCs w:val="20"/>
        </w:rPr>
        <w:t>Precautionary measures are to be taken to reduce as far as possible the risk of fire as a result of a hard landing of the gondola.</w:t>
      </w:r>
    </w:p>
    <w:p w14:paraId="4F708C30" w14:textId="77777777" w:rsidR="00A50D81" w:rsidRPr="00A50D81" w:rsidRDefault="00A50D81" w:rsidP="005F6871">
      <w:pPr>
        <w:pStyle w:val="ListParagraph"/>
        <w:numPr>
          <w:ilvl w:val="0"/>
          <w:numId w:val="437"/>
        </w:numPr>
        <w:tabs>
          <w:tab w:val="left" w:pos="707"/>
        </w:tabs>
        <w:spacing w:before="117" w:line="276" w:lineRule="auto"/>
        <w:ind w:right="26"/>
        <w:jc w:val="both"/>
        <w:rPr>
          <w:rFonts w:ascii="Arial" w:hAnsi="Arial" w:cs="Arial"/>
          <w:sz w:val="20"/>
        </w:rPr>
      </w:pPr>
      <w:r w:rsidRPr="00A50D81">
        <w:rPr>
          <w:rFonts w:ascii="Arial" w:hAnsi="Arial" w:cs="Arial"/>
          <w:sz w:val="20"/>
        </w:rPr>
        <w:t>Power unit installation</w:t>
      </w:r>
    </w:p>
    <w:p w14:paraId="2BBEEDB9" w14:textId="77777777" w:rsidR="00A50D81" w:rsidRPr="009F6770" w:rsidRDefault="00A50D81" w:rsidP="005F6871">
      <w:pPr>
        <w:pStyle w:val="ListParagraph"/>
        <w:numPr>
          <w:ilvl w:val="0"/>
          <w:numId w:val="443"/>
        </w:numPr>
        <w:tabs>
          <w:tab w:val="left" w:pos="1274"/>
        </w:tabs>
        <w:spacing w:before="121"/>
        <w:jc w:val="both"/>
        <w:rPr>
          <w:rFonts w:ascii="Arial" w:hAnsi="Arial" w:cs="Arial"/>
          <w:sz w:val="20"/>
          <w:szCs w:val="20"/>
        </w:rPr>
      </w:pPr>
      <w:r w:rsidRPr="009F6770">
        <w:rPr>
          <w:rFonts w:ascii="Arial" w:hAnsi="Arial" w:cs="Arial"/>
          <w:sz w:val="20"/>
          <w:szCs w:val="20"/>
        </w:rPr>
        <w:t>Each power unit is supported so that the loads resulting from the weight of the unit are not concentrated.</w:t>
      </w:r>
    </w:p>
    <w:p w14:paraId="56B29557" w14:textId="77777777" w:rsidR="00A50D81" w:rsidRPr="009F6770" w:rsidRDefault="00A50D81" w:rsidP="005F6871">
      <w:pPr>
        <w:pStyle w:val="ListParagraph"/>
        <w:numPr>
          <w:ilvl w:val="0"/>
          <w:numId w:val="443"/>
        </w:numPr>
        <w:tabs>
          <w:tab w:val="left" w:pos="1274"/>
        </w:tabs>
        <w:spacing w:before="121"/>
        <w:jc w:val="both"/>
        <w:rPr>
          <w:rFonts w:ascii="Arial" w:hAnsi="Arial" w:cs="Arial"/>
          <w:sz w:val="20"/>
          <w:szCs w:val="20"/>
        </w:rPr>
      </w:pPr>
      <w:r w:rsidRPr="009F6770">
        <w:rPr>
          <w:rFonts w:ascii="Arial" w:hAnsi="Arial" w:cs="Arial"/>
          <w:sz w:val="20"/>
          <w:szCs w:val="20"/>
        </w:rPr>
        <w:t>There are pads, if necessary, to prevent chafing between each unit and its supports.</w:t>
      </w:r>
    </w:p>
    <w:p w14:paraId="1C182138" w14:textId="77777777" w:rsidR="00A50D81" w:rsidRPr="009F6770" w:rsidRDefault="00A50D81" w:rsidP="005F6871">
      <w:pPr>
        <w:pStyle w:val="ListParagraph"/>
        <w:numPr>
          <w:ilvl w:val="0"/>
          <w:numId w:val="443"/>
        </w:numPr>
        <w:tabs>
          <w:tab w:val="left" w:pos="1274"/>
        </w:tabs>
        <w:spacing w:before="121"/>
        <w:jc w:val="both"/>
        <w:rPr>
          <w:rFonts w:ascii="Arial" w:hAnsi="Arial" w:cs="Arial"/>
          <w:sz w:val="20"/>
          <w:szCs w:val="20"/>
        </w:rPr>
      </w:pPr>
      <w:r w:rsidRPr="009F6770">
        <w:rPr>
          <w:rFonts w:ascii="Arial" w:hAnsi="Arial" w:cs="Arial"/>
          <w:sz w:val="20"/>
          <w:szCs w:val="20"/>
        </w:rPr>
        <w:t>Materials employed for supporting the unit or padding the supporting members are non- absorbent or treated to prevent the absorption of fuel.</w:t>
      </w:r>
    </w:p>
    <w:p w14:paraId="64BF296C" w14:textId="77777777" w:rsidR="00A50D81" w:rsidRPr="009F6770" w:rsidRDefault="00A50D81" w:rsidP="005F6871">
      <w:pPr>
        <w:pStyle w:val="ListParagraph"/>
        <w:numPr>
          <w:ilvl w:val="0"/>
          <w:numId w:val="443"/>
        </w:numPr>
        <w:tabs>
          <w:tab w:val="left" w:pos="1274"/>
        </w:tabs>
        <w:spacing w:before="121"/>
        <w:jc w:val="both"/>
        <w:rPr>
          <w:rFonts w:ascii="Arial" w:hAnsi="Arial" w:cs="Arial"/>
          <w:sz w:val="20"/>
          <w:szCs w:val="20"/>
        </w:rPr>
      </w:pPr>
      <w:r w:rsidRPr="009F6770">
        <w:rPr>
          <w:rFonts w:ascii="Arial" w:hAnsi="Arial" w:cs="Arial"/>
          <w:sz w:val="20"/>
          <w:szCs w:val="20"/>
        </w:rPr>
        <w:t>Each installation is ventilated and drained to prevent accumulation of flammable fluids and vapours.</w:t>
      </w:r>
    </w:p>
    <w:p w14:paraId="14A50A66" w14:textId="77777777" w:rsidR="00A50D81" w:rsidRPr="00A50D81" w:rsidRDefault="00A50D81" w:rsidP="005F6871">
      <w:pPr>
        <w:pStyle w:val="ListParagraph"/>
        <w:numPr>
          <w:ilvl w:val="0"/>
          <w:numId w:val="437"/>
        </w:numPr>
        <w:tabs>
          <w:tab w:val="left" w:pos="707"/>
        </w:tabs>
        <w:spacing w:before="117" w:line="276" w:lineRule="auto"/>
        <w:ind w:right="26"/>
        <w:jc w:val="both"/>
        <w:rPr>
          <w:rFonts w:ascii="Arial" w:hAnsi="Arial" w:cs="Arial"/>
          <w:sz w:val="20"/>
        </w:rPr>
      </w:pPr>
      <w:r w:rsidRPr="00A50D81">
        <w:rPr>
          <w:rFonts w:ascii="Arial" w:hAnsi="Arial" w:cs="Arial"/>
          <w:sz w:val="20"/>
        </w:rPr>
        <w:lastRenderedPageBreak/>
        <w:t>Fuel tank expansion space</w:t>
      </w:r>
    </w:p>
    <w:p w14:paraId="1A8CAFB1" w14:textId="77777777" w:rsidR="00A50D81" w:rsidRPr="009F6770" w:rsidRDefault="00A50D81" w:rsidP="005F6871">
      <w:pPr>
        <w:pStyle w:val="ListParagraph"/>
        <w:numPr>
          <w:ilvl w:val="0"/>
          <w:numId w:val="444"/>
        </w:numPr>
        <w:tabs>
          <w:tab w:val="left" w:pos="1274"/>
        </w:tabs>
        <w:spacing w:before="121"/>
        <w:jc w:val="both"/>
        <w:rPr>
          <w:rFonts w:ascii="Arial" w:hAnsi="Arial" w:cs="Arial"/>
          <w:sz w:val="20"/>
          <w:szCs w:val="20"/>
        </w:rPr>
      </w:pPr>
      <w:r w:rsidRPr="009F6770">
        <w:rPr>
          <w:rFonts w:ascii="Arial" w:hAnsi="Arial" w:cs="Arial"/>
          <w:sz w:val="20"/>
          <w:szCs w:val="20"/>
        </w:rPr>
        <w:t>Each external fuel tank added to the design by the applicant has an expansion space of sufficient capacity, but of not less than 2 % of the tank capacity, to prevent spillage of fuel onto the surfaces of the power unit and the balloon's structure due to thermal expansion or manoeuvre unless the design of the venting system precludes such spillage.</w:t>
      </w:r>
    </w:p>
    <w:p w14:paraId="223CDB77" w14:textId="77777777" w:rsidR="00A50D81" w:rsidRPr="009F6770" w:rsidRDefault="00A50D81" w:rsidP="005F6871">
      <w:pPr>
        <w:pStyle w:val="ListParagraph"/>
        <w:numPr>
          <w:ilvl w:val="0"/>
          <w:numId w:val="444"/>
        </w:numPr>
        <w:tabs>
          <w:tab w:val="left" w:pos="1274"/>
        </w:tabs>
        <w:spacing w:before="121"/>
        <w:jc w:val="both"/>
        <w:rPr>
          <w:rFonts w:ascii="Arial" w:hAnsi="Arial" w:cs="Arial"/>
          <w:sz w:val="20"/>
          <w:szCs w:val="20"/>
        </w:rPr>
      </w:pPr>
      <w:r w:rsidRPr="009F6770">
        <w:rPr>
          <w:rFonts w:ascii="Arial" w:hAnsi="Arial" w:cs="Arial"/>
          <w:sz w:val="20"/>
          <w:szCs w:val="20"/>
        </w:rPr>
        <w:t>It is not possible to fill the expansion space inadvertently with the power unit in any normal ground attitude.</w:t>
      </w:r>
    </w:p>
    <w:p w14:paraId="13BC269F" w14:textId="77777777" w:rsidR="00A50D81" w:rsidRPr="00A50D81" w:rsidRDefault="00A50D81" w:rsidP="005F6871">
      <w:pPr>
        <w:pStyle w:val="ListParagraph"/>
        <w:numPr>
          <w:ilvl w:val="0"/>
          <w:numId w:val="437"/>
        </w:numPr>
        <w:tabs>
          <w:tab w:val="left" w:pos="707"/>
        </w:tabs>
        <w:spacing w:before="117" w:line="276" w:lineRule="auto"/>
        <w:ind w:right="26"/>
        <w:jc w:val="both"/>
        <w:rPr>
          <w:rFonts w:ascii="Arial" w:hAnsi="Arial" w:cs="Arial"/>
          <w:sz w:val="20"/>
        </w:rPr>
      </w:pPr>
      <w:r w:rsidRPr="00A50D81">
        <w:rPr>
          <w:rFonts w:ascii="Arial" w:hAnsi="Arial" w:cs="Arial"/>
          <w:sz w:val="20"/>
        </w:rPr>
        <w:t>Exhaust system, general</w:t>
      </w:r>
    </w:p>
    <w:p w14:paraId="342252B1" w14:textId="77777777" w:rsidR="00A50D81" w:rsidRPr="009F6770" w:rsidRDefault="00A50D81" w:rsidP="005F6871">
      <w:pPr>
        <w:pStyle w:val="ListParagraph"/>
        <w:numPr>
          <w:ilvl w:val="0"/>
          <w:numId w:val="445"/>
        </w:numPr>
        <w:tabs>
          <w:tab w:val="left" w:pos="1274"/>
        </w:tabs>
        <w:spacing w:before="121"/>
        <w:jc w:val="both"/>
        <w:rPr>
          <w:rFonts w:ascii="Arial" w:hAnsi="Arial" w:cs="Arial"/>
          <w:sz w:val="20"/>
          <w:szCs w:val="20"/>
        </w:rPr>
      </w:pPr>
      <w:r w:rsidRPr="009F6770">
        <w:rPr>
          <w:rFonts w:ascii="Arial" w:hAnsi="Arial" w:cs="Arial"/>
          <w:sz w:val="20"/>
          <w:szCs w:val="20"/>
        </w:rPr>
        <w:t>The exhaust system ensures safe disposal of exhaust gases without fire hazard or carbon monoxide contamination in any personnel compartment.</w:t>
      </w:r>
    </w:p>
    <w:p w14:paraId="23CB1B3B" w14:textId="77777777" w:rsidR="00A50D81" w:rsidRPr="009F6770" w:rsidRDefault="00A50D81" w:rsidP="005F6871">
      <w:pPr>
        <w:pStyle w:val="ListParagraph"/>
        <w:numPr>
          <w:ilvl w:val="0"/>
          <w:numId w:val="445"/>
        </w:numPr>
        <w:tabs>
          <w:tab w:val="left" w:pos="1274"/>
        </w:tabs>
        <w:spacing w:before="121"/>
        <w:jc w:val="both"/>
        <w:rPr>
          <w:rFonts w:ascii="Arial" w:hAnsi="Arial" w:cs="Arial"/>
          <w:sz w:val="20"/>
          <w:szCs w:val="20"/>
        </w:rPr>
      </w:pPr>
      <w:r w:rsidRPr="009F6770">
        <w:rPr>
          <w:rFonts w:ascii="Arial" w:hAnsi="Arial" w:cs="Arial"/>
          <w:sz w:val="20"/>
          <w:szCs w:val="20"/>
        </w:rPr>
        <w:t>Each exhaust system part with a surface hot enough to ignite flammable fluids or vapours is located or shielded so that leakage from any system carrying flammable fluids or vapours will not result in a fire caused by impingement of the fluids or vapours on any part of the exhaust system, including shields for the exhaust system.</w:t>
      </w:r>
    </w:p>
    <w:p w14:paraId="41E0727C" w14:textId="77777777" w:rsidR="00A50D81" w:rsidRPr="009F6770" w:rsidRDefault="00A50D81" w:rsidP="005F6871">
      <w:pPr>
        <w:pStyle w:val="ListParagraph"/>
        <w:numPr>
          <w:ilvl w:val="0"/>
          <w:numId w:val="445"/>
        </w:numPr>
        <w:tabs>
          <w:tab w:val="left" w:pos="1274"/>
        </w:tabs>
        <w:spacing w:before="121"/>
        <w:jc w:val="both"/>
        <w:rPr>
          <w:rFonts w:ascii="Arial" w:hAnsi="Arial" w:cs="Arial"/>
          <w:sz w:val="20"/>
          <w:szCs w:val="20"/>
        </w:rPr>
      </w:pPr>
      <w:r w:rsidRPr="009F6770">
        <w:rPr>
          <w:rFonts w:ascii="Arial" w:hAnsi="Arial" w:cs="Arial"/>
          <w:sz w:val="20"/>
          <w:szCs w:val="20"/>
        </w:rPr>
        <w:t>All parts of the exhaust system are located sufficiently far from or separated from adjacent parts of the balloon's structure by fireproof shielding.</w:t>
      </w:r>
    </w:p>
    <w:p w14:paraId="5A94E6E5" w14:textId="77777777" w:rsidR="00A50D81" w:rsidRPr="009F6770" w:rsidRDefault="00A50D81" w:rsidP="005F6871">
      <w:pPr>
        <w:pStyle w:val="ListParagraph"/>
        <w:numPr>
          <w:ilvl w:val="0"/>
          <w:numId w:val="445"/>
        </w:numPr>
        <w:tabs>
          <w:tab w:val="left" w:pos="1274"/>
        </w:tabs>
        <w:spacing w:before="121"/>
        <w:jc w:val="both"/>
        <w:rPr>
          <w:rFonts w:ascii="Arial" w:hAnsi="Arial" w:cs="Arial"/>
          <w:sz w:val="20"/>
          <w:szCs w:val="20"/>
        </w:rPr>
      </w:pPr>
      <w:r w:rsidRPr="009F6770">
        <w:rPr>
          <w:rFonts w:ascii="Arial" w:hAnsi="Arial" w:cs="Arial"/>
          <w:sz w:val="20"/>
          <w:szCs w:val="20"/>
        </w:rPr>
        <w:t>No exhaust gases will discharge dangerously near any oil or fuel system drain.</w:t>
      </w:r>
    </w:p>
    <w:p w14:paraId="1D6AD5F5" w14:textId="77777777" w:rsidR="00A50D81" w:rsidRPr="009F6770" w:rsidRDefault="00A50D81" w:rsidP="005F6871">
      <w:pPr>
        <w:pStyle w:val="ListParagraph"/>
        <w:numPr>
          <w:ilvl w:val="0"/>
          <w:numId w:val="445"/>
        </w:numPr>
        <w:tabs>
          <w:tab w:val="left" w:pos="1274"/>
        </w:tabs>
        <w:spacing w:before="121"/>
        <w:jc w:val="both"/>
        <w:rPr>
          <w:rFonts w:ascii="Arial" w:hAnsi="Arial" w:cs="Arial"/>
          <w:sz w:val="20"/>
          <w:szCs w:val="20"/>
        </w:rPr>
      </w:pPr>
      <w:r w:rsidRPr="009F6770">
        <w:rPr>
          <w:rFonts w:ascii="Arial" w:hAnsi="Arial" w:cs="Arial"/>
          <w:sz w:val="20"/>
          <w:szCs w:val="20"/>
        </w:rPr>
        <w:t>Each exhaust system component added to the design by the applicant is ventilated to prevent points of excessively high temperature.</w:t>
      </w:r>
    </w:p>
    <w:p w14:paraId="269EC7A9" w14:textId="77777777" w:rsidR="00A50D81" w:rsidRPr="00A50D81" w:rsidRDefault="00A50D81" w:rsidP="005F6871">
      <w:pPr>
        <w:pStyle w:val="ListParagraph"/>
        <w:numPr>
          <w:ilvl w:val="0"/>
          <w:numId w:val="437"/>
        </w:numPr>
        <w:tabs>
          <w:tab w:val="left" w:pos="707"/>
        </w:tabs>
        <w:spacing w:before="117" w:line="276" w:lineRule="auto"/>
        <w:ind w:right="26"/>
        <w:jc w:val="both"/>
        <w:rPr>
          <w:rFonts w:ascii="Arial" w:hAnsi="Arial" w:cs="Arial"/>
          <w:sz w:val="20"/>
        </w:rPr>
      </w:pPr>
      <w:r w:rsidRPr="00A50D81">
        <w:rPr>
          <w:rFonts w:ascii="Arial" w:hAnsi="Arial" w:cs="Arial"/>
          <w:sz w:val="20"/>
        </w:rPr>
        <w:t>Firewalls</w:t>
      </w:r>
    </w:p>
    <w:p w14:paraId="345E65F4" w14:textId="77777777" w:rsidR="00A50D81" w:rsidRPr="009F6770" w:rsidRDefault="00A50D81" w:rsidP="005F6871">
      <w:pPr>
        <w:pStyle w:val="ListParagraph"/>
        <w:numPr>
          <w:ilvl w:val="0"/>
          <w:numId w:val="446"/>
        </w:numPr>
        <w:tabs>
          <w:tab w:val="left" w:pos="1274"/>
        </w:tabs>
        <w:spacing w:before="121"/>
        <w:jc w:val="both"/>
        <w:rPr>
          <w:rFonts w:ascii="Arial" w:hAnsi="Arial" w:cs="Arial"/>
          <w:sz w:val="20"/>
          <w:szCs w:val="20"/>
        </w:rPr>
      </w:pPr>
      <w:r w:rsidRPr="009F6770">
        <w:rPr>
          <w:rFonts w:ascii="Arial" w:hAnsi="Arial" w:cs="Arial"/>
          <w:sz w:val="20"/>
          <w:szCs w:val="20"/>
        </w:rPr>
        <w:t>The power unit is isolated from the rest of the balloons structure by a firewall, shroud, or equivalent means.</w:t>
      </w:r>
    </w:p>
    <w:p w14:paraId="247A0707" w14:textId="77777777" w:rsidR="00A50D81" w:rsidRPr="009F6770" w:rsidRDefault="00A50D81" w:rsidP="005F6871">
      <w:pPr>
        <w:pStyle w:val="ListParagraph"/>
        <w:numPr>
          <w:ilvl w:val="0"/>
          <w:numId w:val="446"/>
        </w:numPr>
        <w:tabs>
          <w:tab w:val="left" w:pos="1274"/>
        </w:tabs>
        <w:spacing w:before="121"/>
        <w:jc w:val="both"/>
        <w:rPr>
          <w:rFonts w:ascii="Arial" w:hAnsi="Arial" w:cs="Arial"/>
          <w:sz w:val="20"/>
          <w:szCs w:val="20"/>
        </w:rPr>
      </w:pPr>
      <w:r w:rsidRPr="009F6770">
        <w:rPr>
          <w:rFonts w:ascii="Arial" w:hAnsi="Arial" w:cs="Arial"/>
          <w:sz w:val="20"/>
          <w:szCs w:val="20"/>
        </w:rPr>
        <w:t>The firewall or shroud is constructed so that no hazardous quantity of liquid, gas or flame can pass from the power unit compartment to other parts of the balloon.</w:t>
      </w:r>
    </w:p>
    <w:p w14:paraId="786C52A9" w14:textId="77777777" w:rsidR="00A50D81" w:rsidRPr="009F6770" w:rsidRDefault="00A50D81" w:rsidP="005F6871">
      <w:pPr>
        <w:pStyle w:val="ListParagraph"/>
        <w:numPr>
          <w:ilvl w:val="0"/>
          <w:numId w:val="446"/>
        </w:numPr>
        <w:tabs>
          <w:tab w:val="left" w:pos="1274"/>
        </w:tabs>
        <w:spacing w:before="121"/>
        <w:jc w:val="both"/>
        <w:rPr>
          <w:rFonts w:ascii="Arial" w:hAnsi="Arial" w:cs="Arial"/>
          <w:sz w:val="20"/>
          <w:szCs w:val="20"/>
        </w:rPr>
      </w:pPr>
      <w:r w:rsidRPr="009F6770">
        <w:rPr>
          <w:rFonts w:ascii="Arial" w:hAnsi="Arial" w:cs="Arial"/>
          <w:sz w:val="20"/>
          <w:szCs w:val="20"/>
        </w:rPr>
        <w:t>The firewall and shroud is fireproof and protected against corrosion or deterioration. The following materials are accepted as fireproof, when used in firewalls or shrouds, without being tested:</w:t>
      </w:r>
    </w:p>
    <w:p w14:paraId="6EAC034B" w14:textId="77777777" w:rsidR="00A50D81" w:rsidRPr="009F6770" w:rsidRDefault="00A50D81" w:rsidP="005F6871">
      <w:pPr>
        <w:pStyle w:val="ListParagraph"/>
        <w:numPr>
          <w:ilvl w:val="0"/>
          <w:numId w:val="448"/>
        </w:numPr>
        <w:tabs>
          <w:tab w:val="left" w:pos="1842"/>
        </w:tabs>
        <w:spacing w:before="123" w:line="235" w:lineRule="auto"/>
        <w:ind w:right="26"/>
        <w:jc w:val="both"/>
        <w:rPr>
          <w:rFonts w:ascii="Arial" w:hAnsi="Arial" w:cs="Arial"/>
          <w:sz w:val="20"/>
          <w:szCs w:val="20"/>
        </w:rPr>
      </w:pPr>
      <w:r w:rsidRPr="009F6770">
        <w:rPr>
          <w:rFonts w:ascii="Arial" w:hAnsi="Arial" w:cs="Arial"/>
          <w:sz w:val="20"/>
          <w:szCs w:val="20"/>
        </w:rPr>
        <w:t>stainless steel sheet, 0·38 mm thick;</w:t>
      </w:r>
    </w:p>
    <w:p w14:paraId="580755A5" w14:textId="77777777" w:rsidR="00A50D81" w:rsidRPr="009F6770" w:rsidRDefault="00A50D81" w:rsidP="005F6871">
      <w:pPr>
        <w:pStyle w:val="ListParagraph"/>
        <w:numPr>
          <w:ilvl w:val="0"/>
          <w:numId w:val="448"/>
        </w:numPr>
        <w:tabs>
          <w:tab w:val="left" w:pos="1842"/>
        </w:tabs>
        <w:spacing w:before="123" w:line="235" w:lineRule="auto"/>
        <w:ind w:right="26"/>
        <w:jc w:val="both"/>
        <w:rPr>
          <w:rFonts w:ascii="Arial" w:hAnsi="Arial" w:cs="Arial"/>
          <w:sz w:val="20"/>
          <w:szCs w:val="20"/>
        </w:rPr>
      </w:pPr>
      <w:r w:rsidRPr="009F6770">
        <w:rPr>
          <w:rFonts w:ascii="Arial" w:hAnsi="Arial" w:cs="Arial"/>
          <w:sz w:val="20"/>
          <w:szCs w:val="20"/>
        </w:rPr>
        <w:t>mild steel sheet (coated with aluminium or otherwise protected against corrosion) 0·5 mm thick;</w:t>
      </w:r>
    </w:p>
    <w:p w14:paraId="2C6D8F75" w14:textId="77777777" w:rsidR="00A50D81" w:rsidRPr="009F6770" w:rsidRDefault="00A50D81" w:rsidP="005F6871">
      <w:pPr>
        <w:pStyle w:val="ListParagraph"/>
        <w:numPr>
          <w:ilvl w:val="0"/>
          <w:numId w:val="448"/>
        </w:numPr>
        <w:tabs>
          <w:tab w:val="left" w:pos="1842"/>
        </w:tabs>
        <w:spacing w:before="123" w:line="235" w:lineRule="auto"/>
        <w:ind w:right="26"/>
        <w:jc w:val="both"/>
        <w:rPr>
          <w:rFonts w:ascii="Arial" w:hAnsi="Arial" w:cs="Arial"/>
          <w:sz w:val="20"/>
          <w:szCs w:val="20"/>
        </w:rPr>
      </w:pPr>
      <w:r w:rsidRPr="009F6770">
        <w:rPr>
          <w:rFonts w:ascii="Arial" w:hAnsi="Arial" w:cs="Arial"/>
          <w:sz w:val="20"/>
          <w:szCs w:val="20"/>
        </w:rPr>
        <w:t>steel or copper base alloy firewall fittings.</w:t>
      </w:r>
    </w:p>
    <w:p w14:paraId="0225404B" w14:textId="77777777" w:rsidR="00A50D81" w:rsidRDefault="00A50D81" w:rsidP="005F6871">
      <w:pPr>
        <w:pStyle w:val="ListParagraph"/>
        <w:numPr>
          <w:ilvl w:val="1"/>
          <w:numId w:val="428"/>
        </w:numPr>
        <w:tabs>
          <w:tab w:val="left" w:pos="1274"/>
        </w:tabs>
        <w:spacing w:before="118"/>
        <w:ind w:right="199"/>
        <w:rPr>
          <w:rFonts w:ascii="Arial" w:hAnsi="Arial" w:cs="Arial"/>
        </w:rPr>
      </w:pPr>
      <w:r w:rsidRPr="009F6770">
        <w:rPr>
          <w:rFonts w:ascii="Arial" w:hAnsi="Arial" w:cs="Arial"/>
          <w:sz w:val="20"/>
          <w:szCs w:val="20"/>
        </w:rPr>
        <w:t>Other materials such as fire protection paint and/or putty are only used if they conform to the FAA Advisory Circular No. 20-135 or equivalent accepted specifications</w:t>
      </w:r>
      <w:r>
        <w:rPr>
          <w:rFonts w:ascii="Arial" w:hAnsi="Arial" w:cs="Arial"/>
        </w:rPr>
        <w:t>.</w:t>
      </w:r>
    </w:p>
    <w:p w14:paraId="6A2026FB" w14:textId="77777777" w:rsidR="00070589" w:rsidRPr="00070589" w:rsidRDefault="00070589" w:rsidP="00070589">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610" w:name="CS_31TGB.68_Master_switch_arrangement"/>
      <w:bookmarkStart w:id="1611" w:name="_bookmark651"/>
      <w:bookmarkStart w:id="1612" w:name="_Toc153137812"/>
      <w:bookmarkEnd w:id="1610"/>
      <w:bookmarkEnd w:id="1611"/>
      <w:r w:rsidRPr="00070589">
        <w:rPr>
          <w:rFonts w:ascii="Arial" w:eastAsia="Times New Roman" w:hAnsi="Arial" w:cs="Times New Roman"/>
          <w:b/>
          <w:iCs/>
          <w:color w:val="FFFFFF"/>
          <w:sz w:val="24"/>
        </w:rPr>
        <w:t>CS 31TGB.68 Master switch arrangement</w:t>
      </w:r>
      <w:bookmarkEnd w:id="1612"/>
    </w:p>
    <w:p w14:paraId="6E844BB1" w14:textId="77777777" w:rsidR="00070589" w:rsidRPr="00070589" w:rsidRDefault="00070589" w:rsidP="005F6871">
      <w:pPr>
        <w:pStyle w:val="ListParagraph"/>
        <w:numPr>
          <w:ilvl w:val="0"/>
          <w:numId w:val="449"/>
        </w:numPr>
        <w:tabs>
          <w:tab w:val="left" w:pos="707"/>
        </w:tabs>
        <w:spacing w:before="117" w:line="276" w:lineRule="auto"/>
        <w:ind w:right="26"/>
        <w:jc w:val="both"/>
        <w:rPr>
          <w:rFonts w:ascii="Arial" w:hAnsi="Arial" w:cs="Arial"/>
          <w:sz w:val="20"/>
        </w:rPr>
      </w:pPr>
      <w:r w:rsidRPr="00070589">
        <w:rPr>
          <w:rFonts w:ascii="Arial" w:hAnsi="Arial" w:cs="Arial"/>
          <w:sz w:val="20"/>
        </w:rPr>
        <w:t>There is a master switch arrangement to allow ready disconnection of electric power sources from the main bus.</w:t>
      </w:r>
    </w:p>
    <w:p w14:paraId="6458B458" w14:textId="77777777" w:rsidR="00070589" w:rsidRPr="00070589" w:rsidRDefault="00070589" w:rsidP="005F6871">
      <w:pPr>
        <w:pStyle w:val="ListParagraph"/>
        <w:numPr>
          <w:ilvl w:val="0"/>
          <w:numId w:val="449"/>
        </w:numPr>
        <w:tabs>
          <w:tab w:val="left" w:pos="707"/>
        </w:tabs>
        <w:spacing w:before="117" w:line="276" w:lineRule="auto"/>
        <w:ind w:right="26"/>
        <w:jc w:val="both"/>
        <w:rPr>
          <w:rFonts w:ascii="Arial" w:hAnsi="Arial" w:cs="Arial"/>
          <w:sz w:val="20"/>
        </w:rPr>
      </w:pPr>
      <w:r w:rsidRPr="00070589">
        <w:rPr>
          <w:rFonts w:ascii="Arial" w:hAnsi="Arial" w:cs="Arial"/>
          <w:sz w:val="20"/>
        </w:rPr>
        <w:t>The point of disconnection is adjacent to the sources controlled by the switch.</w:t>
      </w:r>
    </w:p>
    <w:p w14:paraId="3A0B754D" w14:textId="77777777" w:rsidR="00070589" w:rsidRPr="00070589" w:rsidRDefault="00070589" w:rsidP="005F6871">
      <w:pPr>
        <w:pStyle w:val="ListParagraph"/>
        <w:numPr>
          <w:ilvl w:val="0"/>
          <w:numId w:val="449"/>
        </w:numPr>
        <w:tabs>
          <w:tab w:val="left" w:pos="707"/>
        </w:tabs>
        <w:spacing w:before="117" w:line="276" w:lineRule="auto"/>
        <w:ind w:right="26"/>
        <w:jc w:val="both"/>
        <w:rPr>
          <w:rFonts w:ascii="Arial" w:hAnsi="Arial" w:cs="Arial"/>
          <w:sz w:val="20"/>
        </w:rPr>
      </w:pPr>
      <w:r w:rsidRPr="00070589">
        <w:rPr>
          <w:rFonts w:ascii="Arial" w:hAnsi="Arial" w:cs="Arial"/>
          <w:sz w:val="20"/>
        </w:rPr>
        <w:t>The master switch or its controls is installed so that the switch is easily discernible and accessible to the operator or occupant.</w:t>
      </w:r>
    </w:p>
    <w:p w14:paraId="649FE2F0" w14:textId="77777777" w:rsidR="00070589" w:rsidRPr="00070589" w:rsidRDefault="00070589" w:rsidP="00070589">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613" w:name="CS_31TGB.69_Electric_cables_and_equipmen"/>
      <w:bookmarkStart w:id="1614" w:name="_bookmark652"/>
      <w:bookmarkStart w:id="1615" w:name="_Toc153137813"/>
      <w:bookmarkEnd w:id="1613"/>
      <w:bookmarkEnd w:id="1614"/>
      <w:r w:rsidRPr="00070589">
        <w:rPr>
          <w:rFonts w:ascii="Arial" w:eastAsia="Times New Roman" w:hAnsi="Arial" w:cs="Times New Roman"/>
          <w:b/>
          <w:iCs/>
          <w:color w:val="FFFFFF"/>
          <w:sz w:val="24"/>
        </w:rPr>
        <w:t>CS 31TGB.69 Electric cables and equipment</w:t>
      </w:r>
      <w:bookmarkEnd w:id="1615"/>
    </w:p>
    <w:p w14:paraId="64D1F477" w14:textId="77777777" w:rsidR="00070589" w:rsidRPr="00070589" w:rsidRDefault="00070589" w:rsidP="005F6871">
      <w:pPr>
        <w:pStyle w:val="ListParagraph"/>
        <w:numPr>
          <w:ilvl w:val="0"/>
          <w:numId w:val="450"/>
        </w:numPr>
        <w:tabs>
          <w:tab w:val="left" w:pos="707"/>
        </w:tabs>
        <w:spacing w:before="117" w:line="276" w:lineRule="auto"/>
        <w:ind w:right="26"/>
        <w:jc w:val="both"/>
        <w:rPr>
          <w:rFonts w:ascii="Arial" w:hAnsi="Arial" w:cs="Arial"/>
          <w:sz w:val="20"/>
        </w:rPr>
      </w:pPr>
      <w:r w:rsidRPr="00070589">
        <w:rPr>
          <w:rFonts w:ascii="Arial" w:hAnsi="Arial" w:cs="Arial"/>
          <w:sz w:val="20"/>
        </w:rPr>
        <w:t>Each electric connecting cable has adequate capacity and is correctly routed, attached and connected so as to minimise the probability of short circuits and fire hazards.</w:t>
      </w:r>
    </w:p>
    <w:p w14:paraId="659C6CEB" w14:textId="77777777" w:rsidR="00070589" w:rsidRPr="00070589" w:rsidRDefault="00070589" w:rsidP="005F6871">
      <w:pPr>
        <w:pStyle w:val="ListParagraph"/>
        <w:numPr>
          <w:ilvl w:val="0"/>
          <w:numId w:val="450"/>
        </w:numPr>
        <w:tabs>
          <w:tab w:val="left" w:pos="707"/>
        </w:tabs>
        <w:spacing w:before="117" w:line="276" w:lineRule="auto"/>
        <w:ind w:right="26"/>
        <w:jc w:val="both"/>
        <w:rPr>
          <w:rFonts w:ascii="Arial" w:hAnsi="Arial" w:cs="Arial"/>
          <w:sz w:val="20"/>
        </w:rPr>
      </w:pPr>
      <w:r w:rsidRPr="00070589">
        <w:rPr>
          <w:rFonts w:ascii="Arial" w:hAnsi="Arial" w:cs="Arial"/>
          <w:sz w:val="20"/>
        </w:rPr>
        <w:t>Overload protection is provided for each electrical equipment. No protective device protects more than one circuit essential to flight safety.</w:t>
      </w:r>
    </w:p>
    <w:p w14:paraId="3D0B5E98" w14:textId="77777777" w:rsidR="00070589" w:rsidRDefault="00070589" w:rsidP="005F6871">
      <w:pPr>
        <w:pStyle w:val="ListParagraph"/>
        <w:numPr>
          <w:ilvl w:val="0"/>
          <w:numId w:val="450"/>
        </w:numPr>
        <w:tabs>
          <w:tab w:val="left" w:pos="707"/>
        </w:tabs>
        <w:spacing w:before="117" w:line="276" w:lineRule="auto"/>
        <w:ind w:right="26"/>
        <w:jc w:val="both"/>
        <w:rPr>
          <w:rFonts w:ascii="Arial" w:hAnsi="Arial" w:cs="Arial"/>
          <w:sz w:val="20"/>
        </w:rPr>
      </w:pPr>
      <w:r w:rsidRPr="00070589">
        <w:rPr>
          <w:rFonts w:ascii="Arial" w:hAnsi="Arial" w:cs="Arial"/>
          <w:sz w:val="20"/>
        </w:rPr>
        <w:t xml:space="preserve">Unless each cable installation from the battery to a circuit protective device or master switch, whichever is closer to the battery, is of such power carrying capacity that no hazardous damage </w:t>
      </w:r>
      <w:r w:rsidRPr="00070589">
        <w:rPr>
          <w:rFonts w:ascii="Arial" w:hAnsi="Arial" w:cs="Arial"/>
          <w:sz w:val="20"/>
        </w:rPr>
        <w:lastRenderedPageBreak/>
        <w:t>will occur in the event of a short circuit, this length of cable is protected or routed in relation to parts of the balloon's structure that the risk of short circuit is minimised.</w:t>
      </w:r>
    </w:p>
    <w:p w14:paraId="7838C448" w14:textId="77777777" w:rsidR="00070589" w:rsidRDefault="00070589" w:rsidP="00070589">
      <w:pPr>
        <w:tabs>
          <w:tab w:val="left" w:pos="707"/>
        </w:tabs>
        <w:spacing w:before="117" w:line="276" w:lineRule="auto"/>
        <w:ind w:right="26"/>
        <w:jc w:val="both"/>
        <w:rPr>
          <w:rFonts w:ascii="Arial" w:hAnsi="Arial" w:cs="Arial"/>
          <w:sz w:val="20"/>
        </w:rPr>
      </w:pPr>
    </w:p>
    <w:p w14:paraId="34CF00E8" w14:textId="77777777" w:rsidR="00070589" w:rsidRPr="00070589" w:rsidRDefault="00070589" w:rsidP="00070589">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616" w:name="AMC1_31TGB.69(c)_Electric_cables_and_equ"/>
      <w:bookmarkStart w:id="1617" w:name="_bookmark653"/>
      <w:bookmarkStart w:id="1618" w:name="_Toc153137814"/>
      <w:bookmarkEnd w:id="1616"/>
      <w:bookmarkEnd w:id="1617"/>
      <w:r w:rsidRPr="00070589">
        <w:rPr>
          <w:rFonts w:ascii="Arial" w:eastAsia="Times New Roman" w:hAnsi="Arial" w:cs="Times New Roman"/>
          <w:b/>
          <w:color w:val="FFFFFF"/>
          <w:sz w:val="24"/>
        </w:rPr>
        <w:t>AMC1 31TGB.69(c) Electric cables and equipment</w:t>
      </w:r>
      <w:bookmarkEnd w:id="1618"/>
    </w:p>
    <w:p w14:paraId="04629CC7" w14:textId="77777777" w:rsidR="00070589" w:rsidRPr="00070589" w:rsidRDefault="00070589" w:rsidP="00070589">
      <w:pPr>
        <w:pStyle w:val="BodyText"/>
        <w:spacing w:before="117" w:line="276" w:lineRule="auto"/>
        <w:ind w:right="26"/>
        <w:jc w:val="both"/>
        <w:rPr>
          <w:rFonts w:ascii="Arial" w:hAnsi="Arial" w:cs="Arial"/>
          <w:sz w:val="20"/>
        </w:rPr>
      </w:pPr>
      <w:r w:rsidRPr="00070589">
        <w:rPr>
          <w:rFonts w:ascii="Arial" w:hAnsi="Arial" w:cs="Arial"/>
          <w:sz w:val="20"/>
        </w:rPr>
        <w:t>The risk of short circuit for the electrical cable between battery and master switch is minimised when the unprotected battery to master switch cables, of an adequate capacity, have a maximum length of 0·5 m.</w:t>
      </w:r>
    </w:p>
    <w:p w14:paraId="56251F43" w14:textId="77777777" w:rsidR="00070589" w:rsidRPr="00070589" w:rsidRDefault="00070589" w:rsidP="00070589">
      <w:pPr>
        <w:pStyle w:val="BodyText"/>
        <w:spacing w:before="117" w:line="276" w:lineRule="auto"/>
        <w:ind w:right="26"/>
        <w:jc w:val="both"/>
        <w:rPr>
          <w:rFonts w:ascii="Arial" w:hAnsi="Arial" w:cs="Arial"/>
          <w:sz w:val="20"/>
        </w:rPr>
      </w:pPr>
      <w:r w:rsidRPr="00070589">
        <w:rPr>
          <w:rFonts w:ascii="Arial" w:hAnsi="Arial" w:cs="Arial"/>
          <w:sz w:val="20"/>
        </w:rPr>
        <w:t>In any event the capacities of protected cables are such that no hazardous damage will occur to the balloon and its occupants, nor its effects to the occupants from the generation of noxious fumes, due to electrical overloading of cables before a circuit protective device will operate.</w:t>
      </w:r>
    </w:p>
    <w:p w14:paraId="692D242E" w14:textId="77777777" w:rsidR="00070589" w:rsidRPr="00070589" w:rsidRDefault="00070589" w:rsidP="00070589">
      <w:pPr>
        <w:tabs>
          <w:tab w:val="left" w:pos="707"/>
        </w:tabs>
        <w:spacing w:before="117" w:line="276" w:lineRule="auto"/>
        <w:ind w:right="26"/>
        <w:jc w:val="both"/>
        <w:rPr>
          <w:rFonts w:ascii="Arial" w:hAnsi="Arial" w:cs="Arial"/>
          <w:sz w:val="20"/>
        </w:rPr>
      </w:pPr>
    </w:p>
    <w:p w14:paraId="03D1E68F" w14:textId="77777777" w:rsidR="007D7DB5" w:rsidRDefault="007D7DB5" w:rsidP="00070589">
      <w:pPr>
        <w:tabs>
          <w:tab w:val="left" w:pos="707"/>
        </w:tabs>
        <w:spacing w:before="117" w:line="276" w:lineRule="auto"/>
        <w:ind w:right="26"/>
        <w:jc w:val="both"/>
        <w:rPr>
          <w:rFonts w:ascii="Arial" w:hAnsi="Arial" w:cs="Arial"/>
          <w:sz w:val="20"/>
        </w:rPr>
      </w:pPr>
    </w:p>
    <w:p w14:paraId="2686BA5E" w14:textId="77777777" w:rsidR="00677FA5" w:rsidRDefault="00677FA5" w:rsidP="00070589">
      <w:pPr>
        <w:tabs>
          <w:tab w:val="left" w:pos="707"/>
        </w:tabs>
        <w:spacing w:before="117" w:line="276" w:lineRule="auto"/>
        <w:ind w:right="26"/>
        <w:jc w:val="both"/>
        <w:rPr>
          <w:rFonts w:ascii="Arial" w:hAnsi="Arial" w:cs="Arial"/>
          <w:sz w:val="20"/>
        </w:rPr>
      </w:pPr>
    </w:p>
    <w:p w14:paraId="19A86764" w14:textId="77777777" w:rsidR="00677FA5" w:rsidRDefault="00677FA5" w:rsidP="00070589">
      <w:pPr>
        <w:tabs>
          <w:tab w:val="left" w:pos="707"/>
        </w:tabs>
        <w:spacing w:before="117" w:line="276" w:lineRule="auto"/>
        <w:ind w:right="26"/>
        <w:jc w:val="both"/>
        <w:rPr>
          <w:rFonts w:ascii="Arial" w:hAnsi="Arial" w:cs="Arial"/>
          <w:sz w:val="20"/>
        </w:rPr>
      </w:pPr>
    </w:p>
    <w:p w14:paraId="6C93267E" w14:textId="77777777" w:rsidR="00677FA5" w:rsidRDefault="00677FA5" w:rsidP="00070589">
      <w:pPr>
        <w:tabs>
          <w:tab w:val="left" w:pos="707"/>
        </w:tabs>
        <w:spacing w:before="117" w:line="276" w:lineRule="auto"/>
        <w:ind w:right="26"/>
        <w:jc w:val="both"/>
        <w:rPr>
          <w:rFonts w:ascii="Arial" w:hAnsi="Arial" w:cs="Arial"/>
          <w:sz w:val="20"/>
        </w:rPr>
      </w:pPr>
    </w:p>
    <w:p w14:paraId="64388E55" w14:textId="77777777" w:rsidR="00677FA5" w:rsidRDefault="00677FA5" w:rsidP="00070589">
      <w:pPr>
        <w:tabs>
          <w:tab w:val="left" w:pos="707"/>
        </w:tabs>
        <w:spacing w:before="117" w:line="276" w:lineRule="auto"/>
        <w:ind w:right="26"/>
        <w:jc w:val="both"/>
        <w:rPr>
          <w:rFonts w:ascii="Arial" w:hAnsi="Arial" w:cs="Arial"/>
          <w:sz w:val="20"/>
        </w:rPr>
      </w:pPr>
    </w:p>
    <w:p w14:paraId="68B935B5" w14:textId="77777777" w:rsidR="00677FA5" w:rsidRDefault="00677FA5" w:rsidP="00070589">
      <w:pPr>
        <w:tabs>
          <w:tab w:val="left" w:pos="707"/>
        </w:tabs>
        <w:spacing w:before="117" w:line="276" w:lineRule="auto"/>
        <w:ind w:right="26"/>
        <w:jc w:val="both"/>
        <w:rPr>
          <w:rFonts w:ascii="Arial" w:hAnsi="Arial" w:cs="Arial"/>
          <w:sz w:val="20"/>
        </w:rPr>
      </w:pPr>
    </w:p>
    <w:p w14:paraId="244E5100" w14:textId="77777777" w:rsidR="00677FA5" w:rsidRDefault="00677FA5" w:rsidP="00070589">
      <w:pPr>
        <w:tabs>
          <w:tab w:val="left" w:pos="707"/>
        </w:tabs>
        <w:spacing w:before="117" w:line="276" w:lineRule="auto"/>
        <w:ind w:right="26"/>
        <w:jc w:val="both"/>
        <w:rPr>
          <w:rFonts w:ascii="Arial" w:hAnsi="Arial" w:cs="Arial"/>
          <w:sz w:val="20"/>
        </w:rPr>
      </w:pPr>
    </w:p>
    <w:p w14:paraId="6B862438" w14:textId="77777777" w:rsidR="00677FA5" w:rsidRDefault="00677FA5" w:rsidP="00070589">
      <w:pPr>
        <w:tabs>
          <w:tab w:val="left" w:pos="707"/>
        </w:tabs>
        <w:spacing w:before="117" w:line="276" w:lineRule="auto"/>
        <w:ind w:right="26"/>
        <w:jc w:val="both"/>
        <w:rPr>
          <w:rFonts w:ascii="Arial" w:hAnsi="Arial" w:cs="Arial"/>
          <w:sz w:val="20"/>
        </w:rPr>
      </w:pPr>
    </w:p>
    <w:p w14:paraId="14287387" w14:textId="77777777" w:rsidR="00677FA5" w:rsidRDefault="00677FA5" w:rsidP="00070589">
      <w:pPr>
        <w:tabs>
          <w:tab w:val="left" w:pos="707"/>
        </w:tabs>
        <w:spacing w:before="117" w:line="276" w:lineRule="auto"/>
        <w:ind w:right="26"/>
        <w:jc w:val="both"/>
        <w:rPr>
          <w:rFonts w:ascii="Arial" w:hAnsi="Arial" w:cs="Arial"/>
          <w:sz w:val="20"/>
        </w:rPr>
      </w:pPr>
    </w:p>
    <w:p w14:paraId="6EE4CD32" w14:textId="77777777" w:rsidR="00677FA5" w:rsidRDefault="00677FA5" w:rsidP="00070589">
      <w:pPr>
        <w:tabs>
          <w:tab w:val="left" w:pos="707"/>
        </w:tabs>
        <w:spacing w:before="117" w:line="276" w:lineRule="auto"/>
        <w:ind w:right="26"/>
        <w:jc w:val="both"/>
        <w:rPr>
          <w:rFonts w:ascii="Arial" w:hAnsi="Arial" w:cs="Arial"/>
          <w:sz w:val="20"/>
        </w:rPr>
      </w:pPr>
    </w:p>
    <w:p w14:paraId="5AA0D81F" w14:textId="77777777" w:rsidR="00677FA5" w:rsidRDefault="00677FA5" w:rsidP="00070589">
      <w:pPr>
        <w:tabs>
          <w:tab w:val="left" w:pos="707"/>
        </w:tabs>
        <w:spacing w:before="117" w:line="276" w:lineRule="auto"/>
        <w:ind w:right="26"/>
        <w:jc w:val="both"/>
        <w:rPr>
          <w:rFonts w:ascii="Arial" w:hAnsi="Arial" w:cs="Arial"/>
          <w:sz w:val="20"/>
        </w:rPr>
      </w:pPr>
    </w:p>
    <w:p w14:paraId="678FF8E6" w14:textId="77777777" w:rsidR="00677FA5" w:rsidRDefault="00677FA5" w:rsidP="00070589">
      <w:pPr>
        <w:tabs>
          <w:tab w:val="left" w:pos="707"/>
        </w:tabs>
        <w:spacing w:before="117" w:line="276" w:lineRule="auto"/>
        <w:ind w:right="26"/>
        <w:jc w:val="both"/>
        <w:rPr>
          <w:rFonts w:ascii="Arial" w:hAnsi="Arial" w:cs="Arial"/>
          <w:sz w:val="20"/>
        </w:rPr>
      </w:pPr>
    </w:p>
    <w:p w14:paraId="194C6F04" w14:textId="77777777" w:rsidR="00677FA5" w:rsidRDefault="00677FA5" w:rsidP="00070589">
      <w:pPr>
        <w:tabs>
          <w:tab w:val="left" w:pos="707"/>
        </w:tabs>
        <w:spacing w:before="117" w:line="276" w:lineRule="auto"/>
        <w:ind w:right="26"/>
        <w:jc w:val="both"/>
        <w:rPr>
          <w:rFonts w:ascii="Arial" w:hAnsi="Arial" w:cs="Arial"/>
          <w:sz w:val="20"/>
        </w:rPr>
      </w:pPr>
    </w:p>
    <w:p w14:paraId="244BAFAA" w14:textId="77777777" w:rsidR="00677FA5" w:rsidRDefault="00677FA5" w:rsidP="00070589">
      <w:pPr>
        <w:tabs>
          <w:tab w:val="left" w:pos="707"/>
        </w:tabs>
        <w:spacing w:before="117" w:line="276" w:lineRule="auto"/>
        <w:ind w:right="26"/>
        <w:jc w:val="both"/>
        <w:rPr>
          <w:rFonts w:ascii="Arial" w:hAnsi="Arial" w:cs="Arial"/>
          <w:sz w:val="20"/>
        </w:rPr>
      </w:pPr>
    </w:p>
    <w:p w14:paraId="069EE3FA" w14:textId="77777777" w:rsidR="00677FA5" w:rsidRDefault="00677FA5" w:rsidP="00070589">
      <w:pPr>
        <w:tabs>
          <w:tab w:val="left" w:pos="707"/>
        </w:tabs>
        <w:spacing w:before="117" w:line="276" w:lineRule="auto"/>
        <w:ind w:right="26"/>
        <w:jc w:val="both"/>
        <w:rPr>
          <w:rFonts w:ascii="Arial" w:hAnsi="Arial" w:cs="Arial"/>
          <w:sz w:val="20"/>
        </w:rPr>
      </w:pPr>
    </w:p>
    <w:p w14:paraId="189CB1C8" w14:textId="77777777" w:rsidR="00677FA5" w:rsidRDefault="00677FA5" w:rsidP="00070589">
      <w:pPr>
        <w:tabs>
          <w:tab w:val="left" w:pos="707"/>
        </w:tabs>
        <w:spacing w:before="117" w:line="276" w:lineRule="auto"/>
        <w:ind w:right="26"/>
        <w:jc w:val="both"/>
        <w:rPr>
          <w:rFonts w:ascii="Arial" w:hAnsi="Arial" w:cs="Arial"/>
          <w:sz w:val="20"/>
        </w:rPr>
      </w:pPr>
    </w:p>
    <w:p w14:paraId="4E5D15D4" w14:textId="77777777" w:rsidR="00677FA5" w:rsidRDefault="00677FA5" w:rsidP="00070589">
      <w:pPr>
        <w:tabs>
          <w:tab w:val="left" w:pos="707"/>
        </w:tabs>
        <w:spacing w:before="117" w:line="276" w:lineRule="auto"/>
        <w:ind w:right="26"/>
        <w:jc w:val="both"/>
        <w:rPr>
          <w:rFonts w:ascii="Arial" w:hAnsi="Arial" w:cs="Arial"/>
          <w:sz w:val="20"/>
        </w:rPr>
      </w:pPr>
    </w:p>
    <w:p w14:paraId="641B4D7D" w14:textId="77777777" w:rsidR="00677FA5" w:rsidRDefault="00677FA5" w:rsidP="00070589">
      <w:pPr>
        <w:tabs>
          <w:tab w:val="left" w:pos="707"/>
        </w:tabs>
        <w:spacing w:before="117" w:line="276" w:lineRule="auto"/>
        <w:ind w:right="26"/>
        <w:jc w:val="both"/>
        <w:rPr>
          <w:rFonts w:ascii="Arial" w:hAnsi="Arial" w:cs="Arial"/>
          <w:sz w:val="20"/>
        </w:rPr>
      </w:pPr>
    </w:p>
    <w:p w14:paraId="0678AEB2" w14:textId="77777777" w:rsidR="00677FA5" w:rsidRDefault="00677FA5" w:rsidP="00070589">
      <w:pPr>
        <w:tabs>
          <w:tab w:val="left" w:pos="707"/>
        </w:tabs>
        <w:spacing w:before="117" w:line="276" w:lineRule="auto"/>
        <w:ind w:right="26"/>
        <w:jc w:val="both"/>
        <w:rPr>
          <w:rFonts w:ascii="Arial" w:hAnsi="Arial" w:cs="Arial"/>
          <w:sz w:val="20"/>
        </w:rPr>
      </w:pPr>
    </w:p>
    <w:p w14:paraId="5ED2A6EC" w14:textId="77777777" w:rsidR="00677FA5" w:rsidRDefault="00677FA5" w:rsidP="00070589">
      <w:pPr>
        <w:tabs>
          <w:tab w:val="left" w:pos="707"/>
        </w:tabs>
        <w:spacing w:before="117" w:line="276" w:lineRule="auto"/>
        <w:ind w:right="26"/>
        <w:jc w:val="both"/>
        <w:rPr>
          <w:rFonts w:ascii="Arial" w:hAnsi="Arial" w:cs="Arial"/>
          <w:sz w:val="20"/>
        </w:rPr>
      </w:pPr>
    </w:p>
    <w:p w14:paraId="525A97C8" w14:textId="77777777" w:rsidR="00677FA5" w:rsidRDefault="00677FA5" w:rsidP="00070589">
      <w:pPr>
        <w:tabs>
          <w:tab w:val="left" w:pos="707"/>
        </w:tabs>
        <w:spacing w:before="117" w:line="276" w:lineRule="auto"/>
        <w:ind w:right="26"/>
        <w:jc w:val="both"/>
        <w:rPr>
          <w:rFonts w:ascii="Arial" w:hAnsi="Arial" w:cs="Arial"/>
          <w:sz w:val="20"/>
        </w:rPr>
      </w:pPr>
    </w:p>
    <w:p w14:paraId="787DAAA5" w14:textId="77777777" w:rsidR="00677FA5" w:rsidRDefault="00677FA5" w:rsidP="00070589">
      <w:pPr>
        <w:tabs>
          <w:tab w:val="left" w:pos="707"/>
        </w:tabs>
        <w:spacing w:before="117" w:line="276" w:lineRule="auto"/>
        <w:ind w:right="26"/>
        <w:jc w:val="both"/>
        <w:rPr>
          <w:rFonts w:ascii="Arial" w:hAnsi="Arial" w:cs="Arial"/>
          <w:sz w:val="20"/>
        </w:rPr>
      </w:pPr>
    </w:p>
    <w:p w14:paraId="080877BA" w14:textId="77777777" w:rsidR="00677FA5" w:rsidRDefault="00677FA5" w:rsidP="00070589">
      <w:pPr>
        <w:tabs>
          <w:tab w:val="left" w:pos="707"/>
        </w:tabs>
        <w:spacing w:before="117" w:line="276" w:lineRule="auto"/>
        <w:ind w:right="26"/>
        <w:jc w:val="both"/>
        <w:rPr>
          <w:rFonts w:ascii="Arial" w:hAnsi="Arial" w:cs="Arial"/>
          <w:sz w:val="20"/>
        </w:rPr>
      </w:pPr>
    </w:p>
    <w:p w14:paraId="47E5D0BE" w14:textId="77777777" w:rsidR="00677FA5" w:rsidRDefault="00677FA5" w:rsidP="00070589">
      <w:pPr>
        <w:tabs>
          <w:tab w:val="left" w:pos="707"/>
        </w:tabs>
        <w:spacing w:before="117" w:line="276" w:lineRule="auto"/>
        <w:ind w:right="26"/>
        <w:jc w:val="both"/>
        <w:rPr>
          <w:rFonts w:ascii="Arial" w:hAnsi="Arial" w:cs="Arial"/>
          <w:sz w:val="20"/>
        </w:rPr>
      </w:pPr>
    </w:p>
    <w:p w14:paraId="5685EF60" w14:textId="77777777" w:rsidR="00677FA5" w:rsidRDefault="00677FA5" w:rsidP="00070589">
      <w:pPr>
        <w:tabs>
          <w:tab w:val="left" w:pos="707"/>
        </w:tabs>
        <w:spacing w:before="117" w:line="276" w:lineRule="auto"/>
        <w:ind w:right="26"/>
        <w:jc w:val="both"/>
        <w:rPr>
          <w:rFonts w:ascii="Arial" w:hAnsi="Arial" w:cs="Arial"/>
          <w:sz w:val="20"/>
        </w:rPr>
      </w:pPr>
    </w:p>
    <w:p w14:paraId="6B3D145B" w14:textId="77777777" w:rsidR="00677FA5" w:rsidRDefault="00677FA5" w:rsidP="00070589">
      <w:pPr>
        <w:tabs>
          <w:tab w:val="left" w:pos="707"/>
        </w:tabs>
        <w:spacing w:before="117" w:line="276" w:lineRule="auto"/>
        <w:ind w:right="26"/>
        <w:jc w:val="both"/>
        <w:rPr>
          <w:rFonts w:ascii="Arial" w:hAnsi="Arial" w:cs="Arial"/>
          <w:sz w:val="20"/>
        </w:rPr>
      </w:pPr>
    </w:p>
    <w:p w14:paraId="2142E923" w14:textId="77777777" w:rsidR="00677FA5" w:rsidRDefault="00677FA5" w:rsidP="00070589">
      <w:pPr>
        <w:tabs>
          <w:tab w:val="left" w:pos="707"/>
        </w:tabs>
        <w:spacing w:before="117" w:line="276" w:lineRule="auto"/>
        <w:ind w:right="26"/>
        <w:jc w:val="both"/>
        <w:rPr>
          <w:rFonts w:ascii="Arial" w:hAnsi="Arial" w:cs="Arial"/>
          <w:sz w:val="20"/>
        </w:rPr>
      </w:pPr>
    </w:p>
    <w:p w14:paraId="1EF6A3C8" w14:textId="77777777" w:rsidR="00677FA5" w:rsidRDefault="00677FA5" w:rsidP="00070589">
      <w:pPr>
        <w:tabs>
          <w:tab w:val="left" w:pos="707"/>
        </w:tabs>
        <w:spacing w:before="117" w:line="276" w:lineRule="auto"/>
        <w:ind w:right="26"/>
        <w:jc w:val="both"/>
        <w:rPr>
          <w:rFonts w:ascii="Arial" w:hAnsi="Arial" w:cs="Arial"/>
          <w:sz w:val="20"/>
        </w:rPr>
      </w:pPr>
    </w:p>
    <w:p w14:paraId="76F5EEBE" w14:textId="77777777" w:rsidR="00677FA5" w:rsidRDefault="00677FA5" w:rsidP="00070589">
      <w:pPr>
        <w:tabs>
          <w:tab w:val="left" w:pos="707"/>
        </w:tabs>
        <w:spacing w:before="117" w:line="276" w:lineRule="auto"/>
        <w:ind w:right="26"/>
        <w:jc w:val="both"/>
        <w:rPr>
          <w:rFonts w:ascii="Arial" w:hAnsi="Arial" w:cs="Arial"/>
          <w:sz w:val="20"/>
        </w:rPr>
      </w:pPr>
    </w:p>
    <w:p w14:paraId="445E3B8A" w14:textId="77777777" w:rsidR="00677FA5" w:rsidRDefault="00677FA5" w:rsidP="00070589">
      <w:pPr>
        <w:tabs>
          <w:tab w:val="left" w:pos="707"/>
        </w:tabs>
        <w:spacing w:before="117" w:line="276" w:lineRule="auto"/>
        <w:ind w:right="26"/>
        <w:jc w:val="both"/>
        <w:rPr>
          <w:rFonts w:ascii="Arial" w:hAnsi="Arial" w:cs="Arial"/>
          <w:sz w:val="20"/>
        </w:rPr>
      </w:pPr>
    </w:p>
    <w:p w14:paraId="6E1F062E" w14:textId="77777777" w:rsidR="00677FA5" w:rsidRPr="00677FA5" w:rsidRDefault="00677FA5" w:rsidP="00677FA5">
      <w:pPr>
        <w:keepNext/>
        <w:keepLines/>
        <w:widowControl/>
        <w:autoSpaceDE/>
        <w:autoSpaceDN/>
        <w:spacing w:before="40" w:line="259" w:lineRule="auto"/>
        <w:jc w:val="center"/>
        <w:outlineLvl w:val="2"/>
        <w:rPr>
          <w:rFonts w:ascii="Arial" w:eastAsiaTheme="majorEastAsia" w:hAnsi="Arial" w:cs="Arial"/>
          <w:b/>
          <w:color w:val="00B0F0"/>
          <w:sz w:val="24"/>
          <w:szCs w:val="24"/>
        </w:rPr>
      </w:pPr>
      <w:bookmarkStart w:id="1619" w:name="_Toc153137815"/>
      <w:r w:rsidRPr="00677FA5">
        <w:rPr>
          <w:rFonts w:ascii="Arial" w:eastAsiaTheme="majorEastAsia" w:hAnsi="Arial" w:cs="Arial"/>
          <w:b/>
          <w:color w:val="00B0F0"/>
          <w:sz w:val="24"/>
          <w:szCs w:val="24"/>
        </w:rPr>
        <w:lastRenderedPageBreak/>
        <w:t>(SUBPART E — NOT APPLICABLE)</w:t>
      </w:r>
      <w:bookmarkEnd w:id="1619"/>
    </w:p>
    <w:p w14:paraId="373D05E0" w14:textId="77777777" w:rsidR="00677FA5" w:rsidRDefault="00677FA5" w:rsidP="00070589">
      <w:pPr>
        <w:tabs>
          <w:tab w:val="left" w:pos="707"/>
        </w:tabs>
        <w:spacing w:before="117" w:line="276" w:lineRule="auto"/>
        <w:ind w:right="26"/>
        <w:jc w:val="both"/>
        <w:rPr>
          <w:rFonts w:ascii="Arial" w:hAnsi="Arial" w:cs="Arial"/>
          <w:sz w:val="20"/>
        </w:rPr>
      </w:pPr>
    </w:p>
    <w:p w14:paraId="3B174342" w14:textId="77777777" w:rsidR="00677FA5" w:rsidRDefault="00677FA5" w:rsidP="00070589">
      <w:pPr>
        <w:tabs>
          <w:tab w:val="left" w:pos="707"/>
        </w:tabs>
        <w:spacing w:before="117" w:line="276" w:lineRule="auto"/>
        <w:ind w:right="26"/>
        <w:jc w:val="both"/>
        <w:rPr>
          <w:rFonts w:ascii="Arial" w:hAnsi="Arial" w:cs="Arial"/>
          <w:sz w:val="20"/>
        </w:rPr>
      </w:pPr>
    </w:p>
    <w:p w14:paraId="067C0F80" w14:textId="77777777" w:rsidR="00677FA5" w:rsidRDefault="00677FA5" w:rsidP="00070589">
      <w:pPr>
        <w:tabs>
          <w:tab w:val="left" w:pos="707"/>
        </w:tabs>
        <w:spacing w:before="117" w:line="276" w:lineRule="auto"/>
        <w:ind w:right="26"/>
        <w:jc w:val="both"/>
        <w:rPr>
          <w:rFonts w:ascii="Arial" w:hAnsi="Arial" w:cs="Arial"/>
          <w:sz w:val="20"/>
        </w:rPr>
      </w:pPr>
    </w:p>
    <w:p w14:paraId="606B50C7" w14:textId="77777777" w:rsidR="00677FA5" w:rsidRDefault="00677FA5" w:rsidP="00070589">
      <w:pPr>
        <w:tabs>
          <w:tab w:val="left" w:pos="707"/>
        </w:tabs>
        <w:spacing w:before="117" w:line="276" w:lineRule="auto"/>
        <w:ind w:right="26"/>
        <w:jc w:val="both"/>
        <w:rPr>
          <w:rFonts w:ascii="Arial" w:hAnsi="Arial" w:cs="Arial"/>
          <w:sz w:val="20"/>
        </w:rPr>
      </w:pPr>
    </w:p>
    <w:p w14:paraId="1006D3BD" w14:textId="77777777" w:rsidR="00677FA5" w:rsidRDefault="00677FA5" w:rsidP="00070589">
      <w:pPr>
        <w:tabs>
          <w:tab w:val="left" w:pos="707"/>
        </w:tabs>
        <w:spacing w:before="117" w:line="276" w:lineRule="auto"/>
        <w:ind w:right="26"/>
        <w:jc w:val="both"/>
        <w:rPr>
          <w:rFonts w:ascii="Arial" w:hAnsi="Arial" w:cs="Arial"/>
          <w:sz w:val="20"/>
        </w:rPr>
      </w:pPr>
    </w:p>
    <w:p w14:paraId="70F5AD48" w14:textId="77777777" w:rsidR="00677FA5" w:rsidRDefault="00677FA5" w:rsidP="00070589">
      <w:pPr>
        <w:tabs>
          <w:tab w:val="left" w:pos="707"/>
        </w:tabs>
        <w:spacing w:before="117" w:line="276" w:lineRule="auto"/>
        <w:ind w:right="26"/>
        <w:jc w:val="both"/>
        <w:rPr>
          <w:rFonts w:ascii="Arial" w:hAnsi="Arial" w:cs="Arial"/>
          <w:sz w:val="20"/>
        </w:rPr>
      </w:pPr>
    </w:p>
    <w:p w14:paraId="1C05A921" w14:textId="77777777" w:rsidR="00677FA5" w:rsidRDefault="00677FA5" w:rsidP="00070589">
      <w:pPr>
        <w:tabs>
          <w:tab w:val="left" w:pos="707"/>
        </w:tabs>
        <w:spacing w:before="117" w:line="276" w:lineRule="auto"/>
        <w:ind w:right="26"/>
        <w:jc w:val="both"/>
        <w:rPr>
          <w:rFonts w:ascii="Arial" w:hAnsi="Arial" w:cs="Arial"/>
          <w:sz w:val="20"/>
        </w:rPr>
      </w:pPr>
    </w:p>
    <w:p w14:paraId="20362823" w14:textId="77777777" w:rsidR="00677FA5" w:rsidRDefault="00677FA5" w:rsidP="00070589">
      <w:pPr>
        <w:tabs>
          <w:tab w:val="left" w:pos="707"/>
        </w:tabs>
        <w:spacing w:before="117" w:line="276" w:lineRule="auto"/>
        <w:ind w:right="26"/>
        <w:jc w:val="both"/>
        <w:rPr>
          <w:rFonts w:ascii="Arial" w:hAnsi="Arial" w:cs="Arial"/>
          <w:sz w:val="20"/>
        </w:rPr>
      </w:pPr>
    </w:p>
    <w:p w14:paraId="58AE95B0" w14:textId="77777777" w:rsidR="00677FA5" w:rsidRDefault="00677FA5" w:rsidP="00070589">
      <w:pPr>
        <w:tabs>
          <w:tab w:val="left" w:pos="707"/>
        </w:tabs>
        <w:spacing w:before="117" w:line="276" w:lineRule="auto"/>
        <w:ind w:right="26"/>
        <w:jc w:val="both"/>
        <w:rPr>
          <w:rFonts w:ascii="Arial" w:hAnsi="Arial" w:cs="Arial"/>
          <w:sz w:val="20"/>
        </w:rPr>
      </w:pPr>
    </w:p>
    <w:p w14:paraId="3CB16C03" w14:textId="77777777" w:rsidR="00677FA5" w:rsidRDefault="00677FA5" w:rsidP="00070589">
      <w:pPr>
        <w:tabs>
          <w:tab w:val="left" w:pos="707"/>
        </w:tabs>
        <w:spacing w:before="117" w:line="276" w:lineRule="auto"/>
        <w:ind w:right="26"/>
        <w:jc w:val="both"/>
        <w:rPr>
          <w:rFonts w:ascii="Arial" w:hAnsi="Arial" w:cs="Arial"/>
          <w:sz w:val="20"/>
        </w:rPr>
      </w:pPr>
    </w:p>
    <w:p w14:paraId="7D897837" w14:textId="77777777" w:rsidR="00677FA5" w:rsidRDefault="00677FA5" w:rsidP="00070589">
      <w:pPr>
        <w:tabs>
          <w:tab w:val="left" w:pos="707"/>
        </w:tabs>
        <w:spacing w:before="117" w:line="276" w:lineRule="auto"/>
        <w:ind w:right="26"/>
        <w:jc w:val="both"/>
        <w:rPr>
          <w:rFonts w:ascii="Arial" w:hAnsi="Arial" w:cs="Arial"/>
          <w:sz w:val="20"/>
        </w:rPr>
      </w:pPr>
    </w:p>
    <w:p w14:paraId="1DD5E0FA" w14:textId="77777777" w:rsidR="00677FA5" w:rsidRDefault="00677FA5" w:rsidP="00070589">
      <w:pPr>
        <w:tabs>
          <w:tab w:val="left" w:pos="707"/>
        </w:tabs>
        <w:spacing w:before="117" w:line="276" w:lineRule="auto"/>
        <w:ind w:right="26"/>
        <w:jc w:val="both"/>
        <w:rPr>
          <w:rFonts w:ascii="Arial" w:hAnsi="Arial" w:cs="Arial"/>
          <w:sz w:val="20"/>
        </w:rPr>
      </w:pPr>
    </w:p>
    <w:p w14:paraId="31248833" w14:textId="77777777" w:rsidR="00677FA5" w:rsidRDefault="00677FA5" w:rsidP="00070589">
      <w:pPr>
        <w:tabs>
          <w:tab w:val="left" w:pos="707"/>
        </w:tabs>
        <w:spacing w:before="117" w:line="276" w:lineRule="auto"/>
        <w:ind w:right="26"/>
        <w:jc w:val="both"/>
        <w:rPr>
          <w:rFonts w:ascii="Arial" w:hAnsi="Arial" w:cs="Arial"/>
          <w:sz w:val="20"/>
        </w:rPr>
      </w:pPr>
    </w:p>
    <w:p w14:paraId="6189DAE7" w14:textId="77777777" w:rsidR="00677FA5" w:rsidRDefault="00677FA5" w:rsidP="00070589">
      <w:pPr>
        <w:tabs>
          <w:tab w:val="left" w:pos="707"/>
        </w:tabs>
        <w:spacing w:before="117" w:line="276" w:lineRule="auto"/>
        <w:ind w:right="26"/>
        <w:jc w:val="both"/>
        <w:rPr>
          <w:rFonts w:ascii="Arial" w:hAnsi="Arial" w:cs="Arial"/>
          <w:sz w:val="20"/>
        </w:rPr>
      </w:pPr>
    </w:p>
    <w:p w14:paraId="009FA99D" w14:textId="77777777" w:rsidR="00677FA5" w:rsidRDefault="00677FA5" w:rsidP="00070589">
      <w:pPr>
        <w:tabs>
          <w:tab w:val="left" w:pos="707"/>
        </w:tabs>
        <w:spacing w:before="117" w:line="276" w:lineRule="auto"/>
        <w:ind w:right="26"/>
        <w:jc w:val="both"/>
        <w:rPr>
          <w:rFonts w:ascii="Arial" w:hAnsi="Arial" w:cs="Arial"/>
          <w:sz w:val="20"/>
        </w:rPr>
      </w:pPr>
    </w:p>
    <w:p w14:paraId="083A8969" w14:textId="77777777" w:rsidR="00677FA5" w:rsidRDefault="00677FA5" w:rsidP="00070589">
      <w:pPr>
        <w:tabs>
          <w:tab w:val="left" w:pos="707"/>
        </w:tabs>
        <w:spacing w:before="117" w:line="276" w:lineRule="auto"/>
        <w:ind w:right="26"/>
        <w:jc w:val="both"/>
        <w:rPr>
          <w:rFonts w:ascii="Arial" w:hAnsi="Arial" w:cs="Arial"/>
          <w:sz w:val="20"/>
        </w:rPr>
      </w:pPr>
    </w:p>
    <w:p w14:paraId="48B63C6A" w14:textId="77777777" w:rsidR="00677FA5" w:rsidRDefault="00677FA5" w:rsidP="00070589">
      <w:pPr>
        <w:tabs>
          <w:tab w:val="left" w:pos="707"/>
        </w:tabs>
        <w:spacing w:before="117" w:line="276" w:lineRule="auto"/>
        <w:ind w:right="26"/>
        <w:jc w:val="both"/>
        <w:rPr>
          <w:rFonts w:ascii="Arial" w:hAnsi="Arial" w:cs="Arial"/>
          <w:sz w:val="20"/>
        </w:rPr>
      </w:pPr>
    </w:p>
    <w:p w14:paraId="1238877D" w14:textId="77777777" w:rsidR="00677FA5" w:rsidRDefault="00677FA5" w:rsidP="00070589">
      <w:pPr>
        <w:tabs>
          <w:tab w:val="left" w:pos="707"/>
        </w:tabs>
        <w:spacing w:before="117" w:line="276" w:lineRule="auto"/>
        <w:ind w:right="26"/>
        <w:jc w:val="both"/>
        <w:rPr>
          <w:rFonts w:ascii="Arial" w:hAnsi="Arial" w:cs="Arial"/>
          <w:sz w:val="20"/>
        </w:rPr>
      </w:pPr>
    </w:p>
    <w:p w14:paraId="1DB28175" w14:textId="77777777" w:rsidR="00677FA5" w:rsidRDefault="00677FA5" w:rsidP="00070589">
      <w:pPr>
        <w:tabs>
          <w:tab w:val="left" w:pos="707"/>
        </w:tabs>
        <w:spacing w:before="117" w:line="276" w:lineRule="auto"/>
        <w:ind w:right="26"/>
        <w:jc w:val="both"/>
        <w:rPr>
          <w:rFonts w:ascii="Arial" w:hAnsi="Arial" w:cs="Arial"/>
          <w:sz w:val="20"/>
        </w:rPr>
      </w:pPr>
    </w:p>
    <w:p w14:paraId="641D1E13" w14:textId="77777777" w:rsidR="00677FA5" w:rsidRDefault="00677FA5" w:rsidP="00070589">
      <w:pPr>
        <w:tabs>
          <w:tab w:val="left" w:pos="707"/>
        </w:tabs>
        <w:spacing w:before="117" w:line="276" w:lineRule="auto"/>
        <w:ind w:right="26"/>
        <w:jc w:val="both"/>
        <w:rPr>
          <w:rFonts w:ascii="Arial" w:hAnsi="Arial" w:cs="Arial"/>
          <w:sz w:val="20"/>
        </w:rPr>
      </w:pPr>
    </w:p>
    <w:p w14:paraId="4C179E10" w14:textId="77777777" w:rsidR="00677FA5" w:rsidRDefault="00677FA5" w:rsidP="00070589">
      <w:pPr>
        <w:tabs>
          <w:tab w:val="left" w:pos="707"/>
        </w:tabs>
        <w:spacing w:before="117" w:line="276" w:lineRule="auto"/>
        <w:ind w:right="26"/>
        <w:jc w:val="both"/>
        <w:rPr>
          <w:rFonts w:ascii="Arial" w:hAnsi="Arial" w:cs="Arial"/>
          <w:sz w:val="20"/>
        </w:rPr>
      </w:pPr>
    </w:p>
    <w:p w14:paraId="41179983" w14:textId="77777777" w:rsidR="00677FA5" w:rsidRDefault="00677FA5" w:rsidP="00070589">
      <w:pPr>
        <w:tabs>
          <w:tab w:val="left" w:pos="707"/>
        </w:tabs>
        <w:spacing w:before="117" w:line="276" w:lineRule="auto"/>
        <w:ind w:right="26"/>
        <w:jc w:val="both"/>
        <w:rPr>
          <w:rFonts w:ascii="Arial" w:hAnsi="Arial" w:cs="Arial"/>
          <w:sz w:val="20"/>
        </w:rPr>
      </w:pPr>
    </w:p>
    <w:p w14:paraId="41691E4A" w14:textId="77777777" w:rsidR="00677FA5" w:rsidRDefault="00677FA5" w:rsidP="00070589">
      <w:pPr>
        <w:tabs>
          <w:tab w:val="left" w:pos="707"/>
        </w:tabs>
        <w:spacing w:before="117" w:line="276" w:lineRule="auto"/>
        <w:ind w:right="26"/>
        <w:jc w:val="both"/>
        <w:rPr>
          <w:rFonts w:ascii="Arial" w:hAnsi="Arial" w:cs="Arial"/>
          <w:sz w:val="20"/>
        </w:rPr>
      </w:pPr>
    </w:p>
    <w:p w14:paraId="78BBE5B4" w14:textId="77777777" w:rsidR="00677FA5" w:rsidRDefault="00677FA5" w:rsidP="00070589">
      <w:pPr>
        <w:tabs>
          <w:tab w:val="left" w:pos="707"/>
        </w:tabs>
        <w:spacing w:before="117" w:line="276" w:lineRule="auto"/>
        <w:ind w:right="26"/>
        <w:jc w:val="both"/>
        <w:rPr>
          <w:rFonts w:ascii="Arial" w:hAnsi="Arial" w:cs="Arial"/>
          <w:sz w:val="20"/>
        </w:rPr>
      </w:pPr>
    </w:p>
    <w:p w14:paraId="5B682F03" w14:textId="77777777" w:rsidR="00677FA5" w:rsidRDefault="00677FA5" w:rsidP="00070589">
      <w:pPr>
        <w:tabs>
          <w:tab w:val="left" w:pos="707"/>
        </w:tabs>
        <w:spacing w:before="117" w:line="276" w:lineRule="auto"/>
        <w:ind w:right="26"/>
        <w:jc w:val="both"/>
        <w:rPr>
          <w:rFonts w:ascii="Arial" w:hAnsi="Arial" w:cs="Arial"/>
          <w:sz w:val="20"/>
        </w:rPr>
      </w:pPr>
    </w:p>
    <w:p w14:paraId="46E07369" w14:textId="77777777" w:rsidR="00677FA5" w:rsidRDefault="00677FA5" w:rsidP="00070589">
      <w:pPr>
        <w:tabs>
          <w:tab w:val="left" w:pos="707"/>
        </w:tabs>
        <w:spacing w:before="117" w:line="276" w:lineRule="auto"/>
        <w:ind w:right="26"/>
        <w:jc w:val="both"/>
        <w:rPr>
          <w:rFonts w:ascii="Arial" w:hAnsi="Arial" w:cs="Arial"/>
          <w:sz w:val="20"/>
        </w:rPr>
      </w:pPr>
    </w:p>
    <w:p w14:paraId="2BB85D82" w14:textId="77777777" w:rsidR="00677FA5" w:rsidRDefault="00677FA5" w:rsidP="00070589">
      <w:pPr>
        <w:tabs>
          <w:tab w:val="left" w:pos="707"/>
        </w:tabs>
        <w:spacing w:before="117" w:line="276" w:lineRule="auto"/>
        <w:ind w:right="26"/>
        <w:jc w:val="both"/>
        <w:rPr>
          <w:rFonts w:ascii="Arial" w:hAnsi="Arial" w:cs="Arial"/>
          <w:sz w:val="20"/>
        </w:rPr>
      </w:pPr>
    </w:p>
    <w:p w14:paraId="5AE82050" w14:textId="77777777" w:rsidR="00677FA5" w:rsidRDefault="00677FA5" w:rsidP="00070589">
      <w:pPr>
        <w:tabs>
          <w:tab w:val="left" w:pos="707"/>
        </w:tabs>
        <w:spacing w:before="117" w:line="276" w:lineRule="auto"/>
        <w:ind w:right="26"/>
        <w:jc w:val="both"/>
        <w:rPr>
          <w:rFonts w:ascii="Arial" w:hAnsi="Arial" w:cs="Arial"/>
          <w:sz w:val="20"/>
        </w:rPr>
      </w:pPr>
    </w:p>
    <w:p w14:paraId="162C7FF9" w14:textId="77777777" w:rsidR="00677FA5" w:rsidRDefault="00677FA5" w:rsidP="00070589">
      <w:pPr>
        <w:tabs>
          <w:tab w:val="left" w:pos="707"/>
        </w:tabs>
        <w:spacing w:before="117" w:line="276" w:lineRule="auto"/>
        <w:ind w:right="26"/>
        <w:jc w:val="both"/>
        <w:rPr>
          <w:rFonts w:ascii="Arial" w:hAnsi="Arial" w:cs="Arial"/>
          <w:sz w:val="20"/>
        </w:rPr>
      </w:pPr>
    </w:p>
    <w:p w14:paraId="44361DF1" w14:textId="77777777" w:rsidR="00677FA5" w:rsidRDefault="00677FA5" w:rsidP="00070589">
      <w:pPr>
        <w:tabs>
          <w:tab w:val="left" w:pos="707"/>
        </w:tabs>
        <w:spacing w:before="117" w:line="276" w:lineRule="auto"/>
        <w:ind w:right="26"/>
        <w:jc w:val="both"/>
        <w:rPr>
          <w:rFonts w:ascii="Arial" w:hAnsi="Arial" w:cs="Arial"/>
          <w:sz w:val="20"/>
        </w:rPr>
      </w:pPr>
    </w:p>
    <w:p w14:paraId="6B278003" w14:textId="77777777" w:rsidR="00677FA5" w:rsidRDefault="00677FA5" w:rsidP="00070589">
      <w:pPr>
        <w:tabs>
          <w:tab w:val="left" w:pos="707"/>
        </w:tabs>
        <w:spacing w:before="117" w:line="276" w:lineRule="auto"/>
        <w:ind w:right="26"/>
        <w:jc w:val="both"/>
        <w:rPr>
          <w:rFonts w:ascii="Arial" w:hAnsi="Arial" w:cs="Arial"/>
          <w:sz w:val="20"/>
        </w:rPr>
      </w:pPr>
    </w:p>
    <w:p w14:paraId="6566EEA5" w14:textId="77777777" w:rsidR="00677FA5" w:rsidRDefault="00677FA5" w:rsidP="00070589">
      <w:pPr>
        <w:tabs>
          <w:tab w:val="left" w:pos="707"/>
        </w:tabs>
        <w:spacing w:before="117" w:line="276" w:lineRule="auto"/>
        <w:ind w:right="26"/>
        <w:jc w:val="both"/>
        <w:rPr>
          <w:rFonts w:ascii="Arial" w:hAnsi="Arial" w:cs="Arial"/>
          <w:sz w:val="20"/>
        </w:rPr>
      </w:pPr>
    </w:p>
    <w:p w14:paraId="38DE1E03" w14:textId="77777777" w:rsidR="00677FA5" w:rsidRDefault="00677FA5" w:rsidP="00070589">
      <w:pPr>
        <w:tabs>
          <w:tab w:val="left" w:pos="707"/>
        </w:tabs>
        <w:spacing w:before="117" w:line="276" w:lineRule="auto"/>
        <w:ind w:right="26"/>
        <w:jc w:val="both"/>
        <w:rPr>
          <w:rFonts w:ascii="Arial" w:hAnsi="Arial" w:cs="Arial"/>
          <w:sz w:val="20"/>
        </w:rPr>
      </w:pPr>
    </w:p>
    <w:p w14:paraId="3C322C69" w14:textId="77777777" w:rsidR="00677FA5" w:rsidRDefault="00677FA5" w:rsidP="00070589">
      <w:pPr>
        <w:tabs>
          <w:tab w:val="left" w:pos="707"/>
        </w:tabs>
        <w:spacing w:before="117" w:line="276" w:lineRule="auto"/>
        <w:ind w:right="26"/>
        <w:jc w:val="both"/>
        <w:rPr>
          <w:rFonts w:ascii="Arial" w:hAnsi="Arial" w:cs="Arial"/>
          <w:sz w:val="20"/>
        </w:rPr>
      </w:pPr>
    </w:p>
    <w:p w14:paraId="6BDE9162" w14:textId="77777777" w:rsidR="00677FA5" w:rsidRDefault="00677FA5" w:rsidP="00070589">
      <w:pPr>
        <w:tabs>
          <w:tab w:val="left" w:pos="707"/>
        </w:tabs>
        <w:spacing w:before="117" w:line="276" w:lineRule="auto"/>
        <w:ind w:right="26"/>
        <w:jc w:val="both"/>
        <w:rPr>
          <w:rFonts w:ascii="Arial" w:hAnsi="Arial" w:cs="Arial"/>
          <w:sz w:val="20"/>
        </w:rPr>
      </w:pPr>
    </w:p>
    <w:p w14:paraId="547C4341" w14:textId="77777777" w:rsidR="00677FA5" w:rsidRDefault="00677FA5" w:rsidP="00070589">
      <w:pPr>
        <w:tabs>
          <w:tab w:val="left" w:pos="707"/>
        </w:tabs>
        <w:spacing w:before="117" w:line="276" w:lineRule="auto"/>
        <w:ind w:right="26"/>
        <w:jc w:val="both"/>
        <w:rPr>
          <w:rFonts w:ascii="Arial" w:hAnsi="Arial" w:cs="Arial"/>
          <w:sz w:val="20"/>
        </w:rPr>
      </w:pPr>
    </w:p>
    <w:p w14:paraId="3E2CE8C2" w14:textId="77777777" w:rsidR="00677FA5" w:rsidRDefault="00677FA5" w:rsidP="00070589">
      <w:pPr>
        <w:tabs>
          <w:tab w:val="left" w:pos="707"/>
        </w:tabs>
        <w:spacing w:before="117" w:line="276" w:lineRule="auto"/>
        <w:ind w:right="26"/>
        <w:jc w:val="both"/>
        <w:rPr>
          <w:rFonts w:ascii="Arial" w:hAnsi="Arial" w:cs="Arial"/>
          <w:sz w:val="20"/>
        </w:rPr>
      </w:pPr>
    </w:p>
    <w:p w14:paraId="5BEA33A4" w14:textId="77777777" w:rsidR="00677FA5" w:rsidRDefault="00677FA5" w:rsidP="00070589">
      <w:pPr>
        <w:tabs>
          <w:tab w:val="left" w:pos="707"/>
        </w:tabs>
        <w:spacing w:before="117" w:line="276" w:lineRule="auto"/>
        <w:ind w:right="26"/>
        <w:jc w:val="both"/>
        <w:rPr>
          <w:rFonts w:ascii="Arial" w:hAnsi="Arial" w:cs="Arial"/>
          <w:sz w:val="20"/>
        </w:rPr>
      </w:pPr>
    </w:p>
    <w:p w14:paraId="42CBFA43" w14:textId="77777777" w:rsidR="00677FA5" w:rsidRPr="00677FA5" w:rsidRDefault="00677FA5" w:rsidP="00677FA5">
      <w:pPr>
        <w:keepNext/>
        <w:keepLines/>
        <w:widowControl/>
        <w:autoSpaceDE/>
        <w:autoSpaceDN/>
        <w:spacing w:before="40" w:line="259" w:lineRule="auto"/>
        <w:jc w:val="center"/>
        <w:outlineLvl w:val="2"/>
        <w:rPr>
          <w:rFonts w:ascii="Arial" w:eastAsiaTheme="majorEastAsia" w:hAnsi="Arial" w:cs="Arial"/>
          <w:b/>
          <w:color w:val="00B0F0"/>
          <w:sz w:val="24"/>
          <w:szCs w:val="24"/>
        </w:rPr>
      </w:pPr>
      <w:bookmarkStart w:id="1620" w:name="_Toc153137816"/>
      <w:r w:rsidRPr="00677FA5">
        <w:rPr>
          <w:rFonts w:ascii="Arial" w:eastAsiaTheme="majorEastAsia" w:hAnsi="Arial" w:cs="Arial"/>
          <w:b/>
          <w:color w:val="00B0F0"/>
          <w:sz w:val="24"/>
          <w:szCs w:val="24"/>
        </w:rPr>
        <w:lastRenderedPageBreak/>
        <w:t>SUBPART F — SYSTEMS AND EQUIPMENT</w:t>
      </w:r>
      <w:bookmarkEnd w:id="1620"/>
    </w:p>
    <w:p w14:paraId="264CB475" w14:textId="77777777" w:rsidR="00677FA5" w:rsidRPr="00677FA5" w:rsidRDefault="00677FA5" w:rsidP="00677FA5">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621" w:name="CS_31TGB.71_Function_and_installation"/>
      <w:bookmarkStart w:id="1622" w:name="_bookmark656"/>
      <w:bookmarkStart w:id="1623" w:name="_Toc153137817"/>
      <w:bookmarkEnd w:id="1621"/>
      <w:bookmarkEnd w:id="1622"/>
      <w:r w:rsidRPr="00677FA5">
        <w:rPr>
          <w:rFonts w:ascii="Arial" w:eastAsia="Times New Roman" w:hAnsi="Arial" w:cs="Times New Roman"/>
          <w:b/>
          <w:iCs/>
          <w:color w:val="FFFFFF"/>
          <w:sz w:val="24"/>
        </w:rPr>
        <w:t>CS 31TGB.71 Function and installation</w:t>
      </w:r>
      <w:bookmarkEnd w:id="1623"/>
    </w:p>
    <w:p w14:paraId="67B3B75B" w14:textId="77777777" w:rsidR="00677FA5" w:rsidRPr="00677FA5" w:rsidRDefault="00677FA5" w:rsidP="005F6871">
      <w:pPr>
        <w:pStyle w:val="ListParagraph"/>
        <w:numPr>
          <w:ilvl w:val="0"/>
          <w:numId w:val="451"/>
        </w:numPr>
        <w:tabs>
          <w:tab w:val="left" w:pos="707"/>
        </w:tabs>
        <w:spacing w:before="117" w:line="276" w:lineRule="auto"/>
        <w:ind w:right="26"/>
        <w:jc w:val="both"/>
        <w:rPr>
          <w:rFonts w:ascii="Arial" w:hAnsi="Arial" w:cs="Arial"/>
          <w:sz w:val="20"/>
        </w:rPr>
      </w:pPr>
      <w:r w:rsidRPr="00677FA5">
        <w:rPr>
          <w:rFonts w:ascii="Arial" w:hAnsi="Arial" w:cs="Arial"/>
          <w:sz w:val="20"/>
        </w:rPr>
        <w:t>Equipment is:</w:t>
      </w:r>
    </w:p>
    <w:p w14:paraId="748E0981" w14:textId="77777777" w:rsidR="00677FA5" w:rsidRPr="00677FA5" w:rsidRDefault="00677FA5" w:rsidP="005F6871">
      <w:pPr>
        <w:pStyle w:val="ListParagraph"/>
        <w:numPr>
          <w:ilvl w:val="0"/>
          <w:numId w:val="452"/>
        </w:numPr>
        <w:tabs>
          <w:tab w:val="left" w:pos="1274"/>
        </w:tabs>
        <w:spacing w:before="121"/>
        <w:jc w:val="both"/>
        <w:rPr>
          <w:rFonts w:ascii="Arial" w:hAnsi="Arial" w:cs="Arial"/>
          <w:sz w:val="20"/>
          <w:szCs w:val="20"/>
        </w:rPr>
      </w:pPr>
      <w:r w:rsidRPr="00677FA5">
        <w:rPr>
          <w:rFonts w:ascii="Arial" w:hAnsi="Arial" w:cs="Arial"/>
          <w:sz w:val="20"/>
          <w:szCs w:val="20"/>
        </w:rPr>
        <w:t>of a kind and design appropriate to its intended function;</w:t>
      </w:r>
    </w:p>
    <w:p w14:paraId="080F85D7" w14:textId="77777777" w:rsidR="00677FA5" w:rsidRPr="00677FA5" w:rsidRDefault="00677FA5" w:rsidP="005F6871">
      <w:pPr>
        <w:pStyle w:val="ListParagraph"/>
        <w:numPr>
          <w:ilvl w:val="0"/>
          <w:numId w:val="452"/>
        </w:numPr>
        <w:tabs>
          <w:tab w:val="left" w:pos="1274"/>
        </w:tabs>
        <w:spacing w:before="121"/>
        <w:jc w:val="both"/>
        <w:rPr>
          <w:rFonts w:ascii="Arial" w:hAnsi="Arial" w:cs="Arial"/>
          <w:sz w:val="20"/>
          <w:szCs w:val="20"/>
        </w:rPr>
      </w:pPr>
      <w:r w:rsidRPr="00677FA5">
        <w:rPr>
          <w:rFonts w:ascii="Arial" w:hAnsi="Arial" w:cs="Arial"/>
          <w:sz w:val="20"/>
          <w:szCs w:val="20"/>
        </w:rPr>
        <w:t>labelled as to its identification, function, or operating limitations, or any applicable combination of these factors; and</w:t>
      </w:r>
    </w:p>
    <w:p w14:paraId="568E32D7" w14:textId="77777777" w:rsidR="00677FA5" w:rsidRPr="00677FA5" w:rsidRDefault="00677FA5" w:rsidP="005F6871">
      <w:pPr>
        <w:pStyle w:val="ListParagraph"/>
        <w:numPr>
          <w:ilvl w:val="0"/>
          <w:numId w:val="452"/>
        </w:numPr>
        <w:tabs>
          <w:tab w:val="left" w:pos="1274"/>
        </w:tabs>
        <w:spacing w:before="121"/>
        <w:jc w:val="both"/>
        <w:rPr>
          <w:rFonts w:ascii="Arial" w:hAnsi="Arial" w:cs="Arial"/>
          <w:sz w:val="20"/>
          <w:szCs w:val="20"/>
        </w:rPr>
      </w:pPr>
      <w:r w:rsidRPr="00677FA5">
        <w:rPr>
          <w:rFonts w:ascii="Arial" w:hAnsi="Arial" w:cs="Arial"/>
          <w:sz w:val="20"/>
          <w:szCs w:val="20"/>
        </w:rPr>
        <w:t>installed according to limitations specified for that equipment.</w:t>
      </w:r>
    </w:p>
    <w:p w14:paraId="2841429D" w14:textId="77777777" w:rsidR="00677FA5" w:rsidRPr="00677FA5" w:rsidRDefault="00677FA5" w:rsidP="005F6871">
      <w:pPr>
        <w:pStyle w:val="ListParagraph"/>
        <w:numPr>
          <w:ilvl w:val="0"/>
          <w:numId w:val="451"/>
        </w:numPr>
        <w:tabs>
          <w:tab w:val="left" w:pos="707"/>
        </w:tabs>
        <w:spacing w:before="117" w:line="276" w:lineRule="auto"/>
        <w:ind w:right="26"/>
        <w:jc w:val="both"/>
        <w:rPr>
          <w:rFonts w:ascii="Arial" w:hAnsi="Arial" w:cs="Arial"/>
          <w:sz w:val="20"/>
        </w:rPr>
      </w:pPr>
      <w:r w:rsidRPr="00677FA5">
        <w:rPr>
          <w:rFonts w:ascii="Arial" w:hAnsi="Arial" w:cs="Arial"/>
          <w:sz w:val="20"/>
        </w:rPr>
        <w:t>Instruments and other equipment do not in themselves, or by their effect upon the balloon, constitute a hazard to safe operation.</w:t>
      </w:r>
    </w:p>
    <w:p w14:paraId="6AA55913" w14:textId="77777777" w:rsidR="00677FA5" w:rsidRPr="00677FA5" w:rsidRDefault="00677FA5" w:rsidP="005F6871">
      <w:pPr>
        <w:pStyle w:val="ListParagraph"/>
        <w:numPr>
          <w:ilvl w:val="0"/>
          <w:numId w:val="451"/>
        </w:numPr>
        <w:tabs>
          <w:tab w:val="left" w:pos="707"/>
        </w:tabs>
        <w:spacing w:before="117" w:line="276" w:lineRule="auto"/>
        <w:ind w:right="26"/>
        <w:jc w:val="both"/>
        <w:rPr>
          <w:rFonts w:ascii="Arial" w:hAnsi="Arial" w:cs="Arial"/>
          <w:sz w:val="20"/>
        </w:rPr>
      </w:pPr>
      <w:r w:rsidRPr="00677FA5">
        <w:rPr>
          <w:rFonts w:ascii="Arial" w:hAnsi="Arial" w:cs="Arial"/>
          <w:sz w:val="20"/>
        </w:rPr>
        <w:t>The following instruments are installed if required to monitor the operating limitations:</w:t>
      </w:r>
    </w:p>
    <w:p w14:paraId="64571826" w14:textId="77777777" w:rsidR="00677FA5" w:rsidRPr="00677FA5" w:rsidRDefault="00677FA5" w:rsidP="005F6871">
      <w:pPr>
        <w:pStyle w:val="ListParagraph"/>
        <w:numPr>
          <w:ilvl w:val="0"/>
          <w:numId w:val="453"/>
        </w:numPr>
        <w:tabs>
          <w:tab w:val="left" w:pos="1274"/>
        </w:tabs>
        <w:spacing w:before="121"/>
        <w:jc w:val="both"/>
        <w:rPr>
          <w:rFonts w:ascii="Arial" w:hAnsi="Arial" w:cs="Arial"/>
          <w:sz w:val="20"/>
          <w:szCs w:val="20"/>
        </w:rPr>
      </w:pPr>
      <w:r w:rsidRPr="00677FA5">
        <w:rPr>
          <w:rFonts w:ascii="Arial" w:hAnsi="Arial" w:cs="Arial"/>
          <w:sz w:val="20"/>
          <w:szCs w:val="20"/>
        </w:rPr>
        <w:t>An envelope pressure gauge which displays the limits of permissible internal pressure. The operator is warned by an unambiguous signal if the limit of airborne operating pressure is exceeded.</w:t>
      </w:r>
    </w:p>
    <w:p w14:paraId="7C46595F" w14:textId="77777777" w:rsidR="00677FA5" w:rsidRPr="00677FA5" w:rsidRDefault="00677FA5" w:rsidP="005F6871">
      <w:pPr>
        <w:pStyle w:val="ListParagraph"/>
        <w:numPr>
          <w:ilvl w:val="0"/>
          <w:numId w:val="453"/>
        </w:numPr>
        <w:tabs>
          <w:tab w:val="left" w:pos="1274"/>
        </w:tabs>
        <w:spacing w:before="121"/>
        <w:jc w:val="both"/>
        <w:rPr>
          <w:rFonts w:ascii="Arial" w:hAnsi="Arial" w:cs="Arial"/>
          <w:sz w:val="20"/>
          <w:szCs w:val="20"/>
        </w:rPr>
      </w:pPr>
      <w:r w:rsidRPr="00677FA5">
        <w:rPr>
          <w:rFonts w:ascii="Arial" w:hAnsi="Arial" w:cs="Arial"/>
          <w:sz w:val="20"/>
          <w:szCs w:val="20"/>
        </w:rPr>
        <w:t>A temperature measuring device mounted at a point of the envelope that provides a measurement of the operational limitation.</w:t>
      </w:r>
    </w:p>
    <w:p w14:paraId="31DF7D1C" w14:textId="77777777" w:rsidR="00677FA5" w:rsidRPr="00677FA5" w:rsidRDefault="00677FA5" w:rsidP="005F6871">
      <w:pPr>
        <w:pStyle w:val="ListParagraph"/>
        <w:numPr>
          <w:ilvl w:val="0"/>
          <w:numId w:val="453"/>
        </w:numPr>
        <w:tabs>
          <w:tab w:val="left" w:pos="1274"/>
        </w:tabs>
        <w:spacing w:before="121"/>
        <w:jc w:val="both"/>
        <w:rPr>
          <w:rFonts w:ascii="Arial" w:hAnsi="Arial" w:cs="Arial"/>
          <w:sz w:val="20"/>
          <w:szCs w:val="20"/>
        </w:rPr>
      </w:pPr>
      <w:r w:rsidRPr="00677FA5">
        <w:rPr>
          <w:rFonts w:ascii="Arial" w:hAnsi="Arial" w:cs="Arial"/>
          <w:sz w:val="20"/>
          <w:szCs w:val="20"/>
        </w:rPr>
        <w:t>A wind velocity measuring device mounted at the most appropriate point of the envelope.</w:t>
      </w:r>
    </w:p>
    <w:p w14:paraId="65CF6EB7" w14:textId="77777777" w:rsidR="00677FA5" w:rsidRPr="00677FA5" w:rsidRDefault="00677FA5" w:rsidP="005F6871">
      <w:pPr>
        <w:pStyle w:val="ListParagraph"/>
        <w:numPr>
          <w:ilvl w:val="0"/>
          <w:numId w:val="453"/>
        </w:numPr>
        <w:tabs>
          <w:tab w:val="left" w:pos="1274"/>
        </w:tabs>
        <w:spacing w:before="121"/>
        <w:jc w:val="both"/>
        <w:rPr>
          <w:rFonts w:ascii="Arial" w:hAnsi="Arial" w:cs="Arial"/>
          <w:sz w:val="20"/>
          <w:szCs w:val="20"/>
        </w:rPr>
      </w:pPr>
      <w:r w:rsidRPr="00677FA5">
        <w:rPr>
          <w:rFonts w:ascii="Arial" w:hAnsi="Arial" w:cs="Arial"/>
          <w:sz w:val="20"/>
          <w:szCs w:val="20"/>
        </w:rPr>
        <w:t>A load cell at the most appropriate place in order to monitor the tensile force in the tether cable in service.</w:t>
      </w:r>
    </w:p>
    <w:p w14:paraId="61D750A0" w14:textId="77777777" w:rsidR="00677FA5" w:rsidRPr="00677FA5" w:rsidRDefault="00677FA5" w:rsidP="005F6871">
      <w:pPr>
        <w:pStyle w:val="ListParagraph"/>
        <w:numPr>
          <w:ilvl w:val="0"/>
          <w:numId w:val="453"/>
        </w:numPr>
        <w:tabs>
          <w:tab w:val="left" w:pos="1274"/>
        </w:tabs>
        <w:spacing w:before="121"/>
        <w:jc w:val="both"/>
        <w:rPr>
          <w:rFonts w:ascii="Arial" w:hAnsi="Arial" w:cs="Arial"/>
          <w:sz w:val="20"/>
          <w:szCs w:val="20"/>
        </w:rPr>
      </w:pPr>
      <w:r w:rsidRPr="00677FA5">
        <w:rPr>
          <w:rFonts w:ascii="Arial" w:hAnsi="Arial" w:cs="Arial"/>
          <w:sz w:val="20"/>
          <w:szCs w:val="20"/>
        </w:rPr>
        <w:t>Device(s) to provide the operational or design limitations information to the operator.</w:t>
      </w:r>
    </w:p>
    <w:p w14:paraId="1C3CE46B" w14:textId="77777777" w:rsidR="00677FA5" w:rsidRPr="00677FA5" w:rsidRDefault="00677FA5" w:rsidP="005F6871">
      <w:pPr>
        <w:pStyle w:val="ListParagraph"/>
        <w:numPr>
          <w:ilvl w:val="0"/>
          <w:numId w:val="451"/>
        </w:numPr>
        <w:tabs>
          <w:tab w:val="left" w:pos="707"/>
        </w:tabs>
        <w:spacing w:before="117" w:line="276" w:lineRule="auto"/>
        <w:ind w:right="26"/>
        <w:jc w:val="both"/>
        <w:rPr>
          <w:rFonts w:ascii="Arial" w:hAnsi="Arial" w:cs="Arial"/>
          <w:sz w:val="20"/>
        </w:rPr>
      </w:pPr>
      <w:r w:rsidRPr="00677FA5">
        <w:rPr>
          <w:rFonts w:ascii="Arial" w:hAnsi="Arial" w:cs="Arial"/>
          <w:sz w:val="20"/>
        </w:rPr>
        <w:t>Systems and equipment that need to function properly for safe operation are identified in the operational instructions.</w:t>
      </w:r>
    </w:p>
    <w:p w14:paraId="67138BA0" w14:textId="77777777" w:rsidR="00580D12" w:rsidRPr="00580D12" w:rsidRDefault="00580D12" w:rsidP="00580D12">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624" w:name="AMC1_31TGB.71(c)_Function_and_installati"/>
      <w:bookmarkStart w:id="1625" w:name="_bookmark657"/>
      <w:bookmarkStart w:id="1626" w:name="_Toc153137818"/>
      <w:bookmarkEnd w:id="1624"/>
      <w:bookmarkEnd w:id="1625"/>
      <w:r w:rsidRPr="00580D12">
        <w:rPr>
          <w:rFonts w:ascii="Arial" w:eastAsia="Times New Roman" w:hAnsi="Arial" w:cs="Times New Roman"/>
          <w:b/>
          <w:color w:val="FFFFFF"/>
          <w:sz w:val="24"/>
        </w:rPr>
        <w:t>AMC1 31TGB.71(c) Function and installation</w:t>
      </w:r>
      <w:bookmarkEnd w:id="1626"/>
    </w:p>
    <w:p w14:paraId="73E06026" w14:textId="77777777" w:rsidR="00580D12" w:rsidRPr="00580D12" w:rsidRDefault="00580D12" w:rsidP="00580D12">
      <w:pPr>
        <w:pStyle w:val="BodyText"/>
        <w:spacing w:before="117" w:line="276" w:lineRule="auto"/>
        <w:ind w:right="26"/>
        <w:jc w:val="both"/>
        <w:rPr>
          <w:rFonts w:ascii="Arial" w:hAnsi="Arial" w:cs="Arial"/>
          <w:sz w:val="20"/>
        </w:rPr>
      </w:pPr>
      <w:r w:rsidRPr="00580D12">
        <w:rPr>
          <w:rFonts w:ascii="Arial" w:hAnsi="Arial" w:cs="Arial"/>
          <w:sz w:val="20"/>
        </w:rPr>
        <w:t>An instrument, in the classical sense, houses the sensor and the indicator (e.g. altimeter). However, it should be noted that for tethered gas balloons the sensor and the indicating display may be mounted far away from each other (e.g. sensor on the top; display in the gondola or at the winch). Hence, the word ‘instrument’ may not necessarily mean an integrated system.</w:t>
      </w:r>
    </w:p>
    <w:p w14:paraId="01D588A5" w14:textId="77777777" w:rsidR="00580D12" w:rsidRPr="00580D12" w:rsidRDefault="00580D12" w:rsidP="00580D12">
      <w:pPr>
        <w:pStyle w:val="BodyText"/>
        <w:spacing w:before="117" w:line="276" w:lineRule="auto"/>
        <w:ind w:right="26"/>
        <w:jc w:val="both"/>
        <w:rPr>
          <w:rFonts w:ascii="Arial" w:hAnsi="Arial" w:cs="Arial"/>
          <w:sz w:val="20"/>
        </w:rPr>
      </w:pPr>
      <w:r w:rsidRPr="00580D12">
        <w:rPr>
          <w:rFonts w:ascii="Arial" w:hAnsi="Arial" w:cs="Arial"/>
          <w:sz w:val="20"/>
        </w:rPr>
        <w:t>The 'most appropriate place' for the instruments required by subparagraph CS 31TGB.71(c)(2) and (c)(3) shall be established in view of accuracy for measuring the values.</w:t>
      </w:r>
    </w:p>
    <w:p w14:paraId="77E7D8B6" w14:textId="77777777" w:rsidR="00580D12" w:rsidRPr="00580D12" w:rsidRDefault="00580D12" w:rsidP="00580D12">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627" w:name="AMC1_31TGB.71(d)_Function_and_installati"/>
      <w:bookmarkStart w:id="1628" w:name="_bookmark658"/>
      <w:bookmarkStart w:id="1629" w:name="_Toc153137819"/>
      <w:bookmarkEnd w:id="1627"/>
      <w:bookmarkEnd w:id="1628"/>
      <w:r w:rsidRPr="00580D12">
        <w:rPr>
          <w:rFonts w:ascii="Arial" w:eastAsia="Times New Roman" w:hAnsi="Arial" w:cs="Times New Roman"/>
          <w:b/>
          <w:color w:val="FFFFFF"/>
          <w:sz w:val="24"/>
        </w:rPr>
        <w:t>AMC1 31TGB.71(d) Function and installation</w:t>
      </w:r>
      <w:bookmarkEnd w:id="1629"/>
    </w:p>
    <w:p w14:paraId="1471B5DC" w14:textId="77777777" w:rsidR="00580D12" w:rsidRPr="00580D12" w:rsidRDefault="00580D12" w:rsidP="00580D12">
      <w:pPr>
        <w:pStyle w:val="BodyText"/>
        <w:spacing w:before="117" w:line="276" w:lineRule="auto"/>
        <w:ind w:right="26"/>
        <w:jc w:val="both"/>
        <w:rPr>
          <w:rFonts w:ascii="Arial" w:hAnsi="Arial" w:cs="Arial"/>
          <w:sz w:val="20"/>
        </w:rPr>
      </w:pPr>
      <w:r w:rsidRPr="00580D12">
        <w:rPr>
          <w:rFonts w:ascii="Arial" w:hAnsi="Arial" w:cs="Arial"/>
          <w:sz w:val="20"/>
        </w:rPr>
        <w:t>The correct functioning is not to be impaired by icing, heavy rain, high humidity, or low and high temperatures.</w:t>
      </w:r>
    </w:p>
    <w:p w14:paraId="695A6727" w14:textId="77777777" w:rsidR="00580D12" w:rsidRPr="00580D12" w:rsidRDefault="00580D12" w:rsidP="00580D12">
      <w:pPr>
        <w:pStyle w:val="BodyText"/>
        <w:spacing w:before="117" w:line="276" w:lineRule="auto"/>
        <w:ind w:right="26"/>
        <w:jc w:val="both"/>
        <w:rPr>
          <w:rFonts w:ascii="Arial" w:hAnsi="Arial" w:cs="Arial"/>
          <w:sz w:val="20"/>
        </w:rPr>
      </w:pPr>
      <w:r w:rsidRPr="00580D12">
        <w:rPr>
          <w:rFonts w:ascii="Arial" w:hAnsi="Arial" w:cs="Arial"/>
          <w:sz w:val="20"/>
        </w:rPr>
        <w:t>When ATC equipment is installed, it is shown that the electrical system is such that the operation of this equipment is not adversely affected.</w:t>
      </w:r>
    </w:p>
    <w:p w14:paraId="4C341FC7" w14:textId="77777777" w:rsidR="00580D12" w:rsidRPr="00580D12" w:rsidRDefault="00580D12" w:rsidP="00580D12">
      <w:pPr>
        <w:pStyle w:val="BodyText"/>
        <w:spacing w:before="117" w:line="276" w:lineRule="auto"/>
        <w:ind w:right="26"/>
        <w:jc w:val="both"/>
        <w:rPr>
          <w:rFonts w:ascii="Arial" w:hAnsi="Arial" w:cs="Arial"/>
          <w:sz w:val="20"/>
        </w:rPr>
      </w:pPr>
      <w:r w:rsidRPr="00580D12">
        <w:rPr>
          <w:rFonts w:ascii="Arial" w:hAnsi="Arial" w:cs="Arial"/>
          <w:sz w:val="20"/>
        </w:rPr>
        <w:t>The operating instructions provide information regarding systems and equipment essential for safe operation. Restrictions or mitigating actions for inoperative systems or equipment are included in the operating instructions to support continued safe operation if applicable.</w:t>
      </w:r>
    </w:p>
    <w:p w14:paraId="06B4029E" w14:textId="77777777" w:rsidR="00580D12" w:rsidRPr="00580D12" w:rsidRDefault="00580D12" w:rsidP="00580D1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630" w:name="CS_31TGB.73_Instrument_marking"/>
      <w:bookmarkStart w:id="1631" w:name="_bookmark659"/>
      <w:bookmarkStart w:id="1632" w:name="_Toc153137820"/>
      <w:bookmarkEnd w:id="1630"/>
      <w:bookmarkEnd w:id="1631"/>
      <w:r w:rsidRPr="00580D12">
        <w:rPr>
          <w:rFonts w:ascii="Arial" w:eastAsia="Times New Roman" w:hAnsi="Arial" w:cs="Times New Roman"/>
          <w:b/>
          <w:iCs/>
          <w:color w:val="FFFFFF"/>
          <w:sz w:val="24"/>
        </w:rPr>
        <w:t>CS 31TGB.73 Instrument marking</w:t>
      </w:r>
      <w:bookmarkEnd w:id="1632"/>
    </w:p>
    <w:p w14:paraId="42D51B66" w14:textId="77777777" w:rsidR="00580D12" w:rsidRPr="00580D12" w:rsidRDefault="00580D12" w:rsidP="00580D12">
      <w:pPr>
        <w:pStyle w:val="BodyText"/>
        <w:spacing w:before="117" w:line="276" w:lineRule="auto"/>
        <w:ind w:right="26"/>
        <w:jc w:val="both"/>
        <w:rPr>
          <w:rFonts w:ascii="Arial" w:hAnsi="Arial" w:cs="Arial"/>
          <w:sz w:val="20"/>
        </w:rPr>
      </w:pPr>
      <w:r w:rsidRPr="00580D12">
        <w:rPr>
          <w:rFonts w:ascii="Arial" w:hAnsi="Arial" w:cs="Arial"/>
          <w:sz w:val="20"/>
        </w:rPr>
        <w:t>The following applies to all monitoring instruments:</w:t>
      </w:r>
    </w:p>
    <w:p w14:paraId="0488F425" w14:textId="77777777" w:rsidR="00580D12" w:rsidRPr="00580D12" w:rsidRDefault="00580D12" w:rsidP="005F6871">
      <w:pPr>
        <w:pStyle w:val="ListParagraph"/>
        <w:numPr>
          <w:ilvl w:val="0"/>
          <w:numId w:val="454"/>
        </w:numPr>
        <w:tabs>
          <w:tab w:val="left" w:pos="707"/>
        </w:tabs>
        <w:spacing w:before="117" w:line="276" w:lineRule="auto"/>
        <w:ind w:right="26"/>
        <w:jc w:val="both"/>
        <w:rPr>
          <w:rFonts w:ascii="Arial" w:hAnsi="Arial" w:cs="Arial"/>
          <w:sz w:val="20"/>
        </w:rPr>
      </w:pPr>
      <w:r w:rsidRPr="00580D12">
        <w:rPr>
          <w:rFonts w:ascii="Arial" w:hAnsi="Arial" w:cs="Arial"/>
          <w:sz w:val="20"/>
        </w:rPr>
        <w:t>If the cover glass of the instrument is marked and adequate measures are taken to ensure that the cover glass remains in its correct position relative to the graduated dial.</w:t>
      </w:r>
    </w:p>
    <w:p w14:paraId="150AEBFD" w14:textId="77777777" w:rsidR="00580D12" w:rsidRPr="00580D12" w:rsidRDefault="00580D12" w:rsidP="005F6871">
      <w:pPr>
        <w:pStyle w:val="ListParagraph"/>
        <w:numPr>
          <w:ilvl w:val="0"/>
          <w:numId w:val="454"/>
        </w:numPr>
        <w:tabs>
          <w:tab w:val="left" w:pos="707"/>
        </w:tabs>
        <w:spacing w:before="117" w:line="276" w:lineRule="auto"/>
        <w:ind w:right="26"/>
        <w:jc w:val="both"/>
        <w:rPr>
          <w:rFonts w:ascii="Arial" w:hAnsi="Arial" w:cs="Arial"/>
          <w:sz w:val="20"/>
        </w:rPr>
      </w:pPr>
      <w:r w:rsidRPr="00580D12">
        <w:rPr>
          <w:rFonts w:ascii="Arial" w:hAnsi="Arial" w:cs="Arial"/>
          <w:sz w:val="20"/>
        </w:rPr>
        <w:t>All markings are sufficiently wide and applied to ensure that they are easily and clearly readable by the operator.</w:t>
      </w:r>
    </w:p>
    <w:p w14:paraId="5F0BF365" w14:textId="77777777" w:rsidR="00580D12" w:rsidRPr="00580D12" w:rsidRDefault="00580D12" w:rsidP="005F6871">
      <w:pPr>
        <w:pStyle w:val="ListParagraph"/>
        <w:numPr>
          <w:ilvl w:val="0"/>
          <w:numId w:val="454"/>
        </w:numPr>
        <w:tabs>
          <w:tab w:val="left" w:pos="707"/>
        </w:tabs>
        <w:spacing w:before="117" w:line="276" w:lineRule="auto"/>
        <w:ind w:right="26"/>
        <w:jc w:val="both"/>
        <w:rPr>
          <w:rFonts w:ascii="Arial" w:hAnsi="Arial" w:cs="Arial"/>
          <w:sz w:val="20"/>
        </w:rPr>
      </w:pPr>
      <w:r w:rsidRPr="00580D12">
        <w:rPr>
          <w:rFonts w:ascii="Arial" w:hAnsi="Arial" w:cs="Arial"/>
          <w:sz w:val="20"/>
        </w:rPr>
        <w:t>The ranges for analogue indicators are identified as follows:</w:t>
      </w:r>
    </w:p>
    <w:p w14:paraId="68854327" w14:textId="77777777" w:rsidR="00580D12" w:rsidRPr="00580D12" w:rsidRDefault="00580D12" w:rsidP="005F6871">
      <w:pPr>
        <w:pStyle w:val="ListParagraph"/>
        <w:numPr>
          <w:ilvl w:val="0"/>
          <w:numId w:val="455"/>
        </w:numPr>
        <w:tabs>
          <w:tab w:val="left" w:pos="1274"/>
        </w:tabs>
        <w:spacing w:before="121"/>
        <w:jc w:val="both"/>
        <w:rPr>
          <w:rFonts w:ascii="Arial" w:hAnsi="Arial" w:cs="Arial"/>
          <w:sz w:val="20"/>
          <w:szCs w:val="20"/>
        </w:rPr>
      </w:pPr>
      <w:r w:rsidRPr="00580D12">
        <w:rPr>
          <w:rFonts w:ascii="Arial" w:hAnsi="Arial" w:cs="Arial"/>
          <w:sz w:val="20"/>
          <w:szCs w:val="20"/>
        </w:rPr>
        <w:lastRenderedPageBreak/>
        <w:t>Normal operating range – green;</w:t>
      </w:r>
    </w:p>
    <w:p w14:paraId="5B6E2AB9" w14:textId="77777777" w:rsidR="00580D12" w:rsidRPr="00580D12" w:rsidRDefault="00580D12" w:rsidP="005F6871">
      <w:pPr>
        <w:pStyle w:val="ListParagraph"/>
        <w:numPr>
          <w:ilvl w:val="0"/>
          <w:numId w:val="455"/>
        </w:numPr>
        <w:tabs>
          <w:tab w:val="left" w:pos="1274"/>
        </w:tabs>
        <w:spacing w:before="121"/>
        <w:jc w:val="both"/>
        <w:rPr>
          <w:rFonts w:ascii="Arial" w:hAnsi="Arial" w:cs="Arial"/>
          <w:sz w:val="20"/>
          <w:szCs w:val="20"/>
        </w:rPr>
      </w:pPr>
      <w:r w:rsidRPr="00580D12">
        <w:rPr>
          <w:rFonts w:ascii="Arial" w:hAnsi="Arial" w:cs="Arial"/>
          <w:sz w:val="20"/>
          <w:szCs w:val="20"/>
        </w:rPr>
        <w:t>Caution area – amber or yellow; and</w:t>
      </w:r>
    </w:p>
    <w:p w14:paraId="2C69E934" w14:textId="77777777" w:rsidR="00580D12" w:rsidRPr="00580D12" w:rsidRDefault="00580D12" w:rsidP="005F6871">
      <w:pPr>
        <w:pStyle w:val="ListParagraph"/>
        <w:numPr>
          <w:ilvl w:val="0"/>
          <w:numId w:val="455"/>
        </w:numPr>
        <w:tabs>
          <w:tab w:val="left" w:pos="1274"/>
        </w:tabs>
        <w:spacing w:before="121"/>
        <w:jc w:val="both"/>
        <w:rPr>
          <w:rFonts w:ascii="Arial" w:hAnsi="Arial" w:cs="Arial"/>
          <w:sz w:val="20"/>
          <w:szCs w:val="20"/>
        </w:rPr>
      </w:pPr>
      <w:r w:rsidRPr="00580D12">
        <w:rPr>
          <w:rFonts w:ascii="Arial" w:hAnsi="Arial" w:cs="Arial"/>
          <w:sz w:val="20"/>
          <w:szCs w:val="20"/>
        </w:rPr>
        <w:t>Permissible maximum or minimum value - red radial line.</w:t>
      </w:r>
    </w:p>
    <w:p w14:paraId="76243C3D" w14:textId="77777777" w:rsidR="00580D12" w:rsidRPr="00580D12" w:rsidRDefault="00580D12" w:rsidP="005F6871">
      <w:pPr>
        <w:pStyle w:val="ListParagraph"/>
        <w:numPr>
          <w:ilvl w:val="0"/>
          <w:numId w:val="454"/>
        </w:numPr>
        <w:tabs>
          <w:tab w:val="left" w:pos="707"/>
        </w:tabs>
        <w:spacing w:before="117" w:line="276" w:lineRule="auto"/>
        <w:ind w:right="26"/>
        <w:jc w:val="both"/>
        <w:rPr>
          <w:rFonts w:ascii="Arial" w:hAnsi="Arial" w:cs="Arial"/>
          <w:sz w:val="20"/>
        </w:rPr>
      </w:pPr>
      <w:r w:rsidRPr="00580D12">
        <w:rPr>
          <w:rFonts w:ascii="Arial" w:hAnsi="Arial" w:cs="Arial"/>
          <w:sz w:val="20"/>
        </w:rPr>
        <w:t>For digital indicators, the limits of use are displayed close to the indicator or a red signal is showing when the permissible limits are exceeded.</w:t>
      </w:r>
    </w:p>
    <w:p w14:paraId="6727F3E2" w14:textId="77777777" w:rsidR="00580D12" w:rsidRPr="00580D12" w:rsidRDefault="00580D12" w:rsidP="00580D12">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633" w:name="CS_31TGB.75_Warning,_caution,_and_adviso"/>
      <w:bookmarkStart w:id="1634" w:name="_bookmark660"/>
      <w:bookmarkStart w:id="1635" w:name="_Toc153137821"/>
      <w:bookmarkEnd w:id="1633"/>
      <w:bookmarkEnd w:id="1634"/>
      <w:r w:rsidRPr="00580D12">
        <w:rPr>
          <w:rFonts w:ascii="Arial" w:eastAsia="Times New Roman" w:hAnsi="Arial" w:cs="Times New Roman"/>
          <w:b/>
          <w:iCs/>
          <w:color w:val="FFFFFF"/>
          <w:sz w:val="24"/>
        </w:rPr>
        <w:t>CS 31TGB.75 Warning, caution, and advisory lights</w:t>
      </w:r>
      <w:bookmarkEnd w:id="1635"/>
    </w:p>
    <w:p w14:paraId="02C40B88" w14:textId="77777777" w:rsidR="00580D12" w:rsidRPr="00580D12" w:rsidRDefault="00580D12" w:rsidP="00580D12">
      <w:pPr>
        <w:pStyle w:val="BodyText"/>
        <w:spacing w:before="117" w:line="276" w:lineRule="auto"/>
        <w:ind w:right="26"/>
        <w:jc w:val="both"/>
        <w:rPr>
          <w:rFonts w:ascii="Arial" w:hAnsi="Arial" w:cs="Arial"/>
          <w:sz w:val="20"/>
        </w:rPr>
      </w:pPr>
      <w:r w:rsidRPr="00580D12">
        <w:rPr>
          <w:rFonts w:ascii="Arial" w:hAnsi="Arial" w:cs="Arial"/>
          <w:sz w:val="20"/>
        </w:rPr>
        <w:t>If warning, caution or advisory lights are installed, these are:</w:t>
      </w:r>
    </w:p>
    <w:p w14:paraId="35FB1F7F" w14:textId="77777777" w:rsidR="00580D12" w:rsidRPr="00580D12" w:rsidRDefault="00580D12" w:rsidP="005F6871">
      <w:pPr>
        <w:pStyle w:val="ListParagraph"/>
        <w:numPr>
          <w:ilvl w:val="0"/>
          <w:numId w:val="456"/>
        </w:numPr>
        <w:tabs>
          <w:tab w:val="left" w:pos="707"/>
        </w:tabs>
        <w:spacing w:before="117" w:line="276" w:lineRule="auto"/>
        <w:ind w:right="26"/>
        <w:jc w:val="both"/>
        <w:rPr>
          <w:rFonts w:ascii="Arial" w:hAnsi="Arial" w:cs="Arial"/>
          <w:sz w:val="20"/>
        </w:rPr>
      </w:pPr>
      <w:r w:rsidRPr="00580D12">
        <w:rPr>
          <w:rFonts w:ascii="Arial" w:hAnsi="Arial" w:cs="Arial"/>
          <w:sz w:val="20"/>
        </w:rPr>
        <w:t>red, for warning lights (lights that indicate a condition that demands immediate corrective action);</w:t>
      </w:r>
    </w:p>
    <w:p w14:paraId="7DF422BA" w14:textId="77777777" w:rsidR="00580D12" w:rsidRPr="00580D12" w:rsidRDefault="00580D12" w:rsidP="005F6871">
      <w:pPr>
        <w:pStyle w:val="ListParagraph"/>
        <w:numPr>
          <w:ilvl w:val="0"/>
          <w:numId w:val="456"/>
        </w:numPr>
        <w:tabs>
          <w:tab w:val="left" w:pos="707"/>
        </w:tabs>
        <w:spacing w:before="117" w:line="276" w:lineRule="auto"/>
        <w:ind w:right="26"/>
        <w:jc w:val="both"/>
        <w:rPr>
          <w:rFonts w:ascii="Arial" w:hAnsi="Arial" w:cs="Arial"/>
          <w:sz w:val="20"/>
        </w:rPr>
      </w:pPr>
      <w:r w:rsidRPr="00580D12">
        <w:rPr>
          <w:rFonts w:ascii="Arial" w:hAnsi="Arial" w:cs="Arial"/>
          <w:sz w:val="20"/>
        </w:rPr>
        <w:t>amber or yellow, for caution lights (lights that indicate a condition that requires immediate awareness and the possible need for subsequent corrective action);</w:t>
      </w:r>
    </w:p>
    <w:p w14:paraId="19E53761" w14:textId="77777777" w:rsidR="00580D12" w:rsidRPr="00580D12" w:rsidRDefault="00580D12" w:rsidP="005F6871">
      <w:pPr>
        <w:pStyle w:val="ListParagraph"/>
        <w:numPr>
          <w:ilvl w:val="0"/>
          <w:numId w:val="456"/>
        </w:numPr>
        <w:tabs>
          <w:tab w:val="left" w:pos="707"/>
        </w:tabs>
        <w:spacing w:before="117" w:line="276" w:lineRule="auto"/>
        <w:ind w:right="26"/>
        <w:jc w:val="both"/>
        <w:rPr>
          <w:rFonts w:ascii="Arial" w:hAnsi="Arial" w:cs="Arial"/>
          <w:sz w:val="20"/>
        </w:rPr>
      </w:pPr>
      <w:r w:rsidRPr="00580D12">
        <w:rPr>
          <w:rFonts w:ascii="Arial" w:hAnsi="Arial" w:cs="Arial"/>
          <w:sz w:val="20"/>
        </w:rPr>
        <w:t>green, for safe operation lights; and</w:t>
      </w:r>
    </w:p>
    <w:p w14:paraId="098A36D2" w14:textId="77777777" w:rsidR="00580D12" w:rsidRPr="00580D12" w:rsidRDefault="00580D12" w:rsidP="005F6871">
      <w:pPr>
        <w:pStyle w:val="ListParagraph"/>
        <w:numPr>
          <w:ilvl w:val="0"/>
          <w:numId w:val="456"/>
        </w:numPr>
        <w:tabs>
          <w:tab w:val="left" w:pos="707"/>
        </w:tabs>
        <w:spacing w:before="117" w:line="276" w:lineRule="auto"/>
        <w:ind w:right="26"/>
        <w:jc w:val="both"/>
        <w:rPr>
          <w:rFonts w:ascii="Arial" w:hAnsi="Arial" w:cs="Arial"/>
          <w:sz w:val="20"/>
        </w:rPr>
      </w:pPr>
      <w:r w:rsidRPr="00580D12">
        <w:rPr>
          <w:rFonts w:ascii="Arial" w:hAnsi="Arial" w:cs="Arial"/>
          <w:sz w:val="20"/>
        </w:rPr>
        <w:t>of any other colour, including white, for lights not described in paragraphs (a) through (c) of this paragraph, provided the colour differs sufficiently from the colours prescribed in paragraphs (a) through (c) to avoid possible confusion; and</w:t>
      </w:r>
    </w:p>
    <w:p w14:paraId="1665BAB5" w14:textId="1070214B" w:rsidR="00580D12" w:rsidRDefault="00580D12" w:rsidP="005F6871">
      <w:pPr>
        <w:pStyle w:val="ListParagraph"/>
        <w:numPr>
          <w:ilvl w:val="0"/>
          <w:numId w:val="456"/>
        </w:numPr>
        <w:tabs>
          <w:tab w:val="left" w:pos="707"/>
        </w:tabs>
        <w:spacing w:before="117" w:line="276" w:lineRule="auto"/>
        <w:ind w:right="26"/>
        <w:jc w:val="both"/>
        <w:rPr>
          <w:rFonts w:ascii="Arial" w:hAnsi="Arial" w:cs="Arial"/>
          <w:sz w:val="20"/>
        </w:rPr>
      </w:pPr>
      <w:r w:rsidRPr="00580D12">
        <w:rPr>
          <w:rFonts w:ascii="Arial" w:hAnsi="Arial" w:cs="Arial"/>
          <w:sz w:val="20"/>
        </w:rPr>
        <w:t>visible under all likely lighting conditions.</w:t>
      </w:r>
    </w:p>
    <w:p w14:paraId="38B9F3B8" w14:textId="2ABA9BAC" w:rsidR="001D7490" w:rsidRDefault="001D7490" w:rsidP="001D7490">
      <w:pPr>
        <w:tabs>
          <w:tab w:val="left" w:pos="707"/>
        </w:tabs>
        <w:spacing w:before="117" w:line="276" w:lineRule="auto"/>
        <w:ind w:right="26"/>
        <w:jc w:val="both"/>
        <w:rPr>
          <w:rFonts w:ascii="Arial" w:hAnsi="Arial" w:cs="Arial"/>
          <w:sz w:val="20"/>
        </w:rPr>
      </w:pPr>
    </w:p>
    <w:p w14:paraId="251A92BB" w14:textId="77777777" w:rsidR="008272C3" w:rsidRDefault="008272C3" w:rsidP="00677FA5">
      <w:pPr>
        <w:tabs>
          <w:tab w:val="left" w:pos="707"/>
        </w:tabs>
        <w:spacing w:before="117" w:line="276" w:lineRule="auto"/>
        <w:ind w:right="26"/>
        <w:jc w:val="both"/>
        <w:rPr>
          <w:rFonts w:ascii="Arial" w:hAnsi="Arial" w:cs="Arial"/>
          <w:sz w:val="20"/>
        </w:rPr>
      </w:pPr>
    </w:p>
    <w:p w14:paraId="077BD938" w14:textId="77777777" w:rsidR="008272C3" w:rsidRDefault="008272C3" w:rsidP="00677FA5">
      <w:pPr>
        <w:tabs>
          <w:tab w:val="left" w:pos="707"/>
        </w:tabs>
        <w:spacing w:before="117" w:line="276" w:lineRule="auto"/>
        <w:ind w:right="26"/>
        <w:jc w:val="both"/>
        <w:rPr>
          <w:rFonts w:ascii="Arial" w:hAnsi="Arial" w:cs="Arial"/>
          <w:sz w:val="20"/>
        </w:rPr>
      </w:pPr>
    </w:p>
    <w:p w14:paraId="3548F630" w14:textId="77777777" w:rsidR="008272C3" w:rsidRDefault="008272C3" w:rsidP="00677FA5">
      <w:pPr>
        <w:tabs>
          <w:tab w:val="left" w:pos="707"/>
        </w:tabs>
        <w:spacing w:before="117" w:line="276" w:lineRule="auto"/>
        <w:ind w:right="26"/>
        <w:jc w:val="both"/>
        <w:rPr>
          <w:rFonts w:ascii="Arial" w:hAnsi="Arial" w:cs="Arial"/>
          <w:sz w:val="20"/>
        </w:rPr>
      </w:pPr>
    </w:p>
    <w:p w14:paraId="4B1955CB" w14:textId="77777777" w:rsidR="008272C3" w:rsidRDefault="008272C3" w:rsidP="00677FA5">
      <w:pPr>
        <w:tabs>
          <w:tab w:val="left" w:pos="707"/>
        </w:tabs>
        <w:spacing w:before="117" w:line="276" w:lineRule="auto"/>
        <w:ind w:right="26"/>
        <w:jc w:val="both"/>
        <w:rPr>
          <w:rFonts w:ascii="Arial" w:hAnsi="Arial" w:cs="Arial"/>
          <w:sz w:val="20"/>
        </w:rPr>
      </w:pPr>
    </w:p>
    <w:p w14:paraId="25FD3C17" w14:textId="77777777" w:rsidR="008272C3" w:rsidRDefault="008272C3" w:rsidP="00677FA5">
      <w:pPr>
        <w:tabs>
          <w:tab w:val="left" w:pos="707"/>
        </w:tabs>
        <w:spacing w:before="117" w:line="276" w:lineRule="auto"/>
        <w:ind w:right="26"/>
        <w:jc w:val="both"/>
        <w:rPr>
          <w:rFonts w:ascii="Arial" w:hAnsi="Arial" w:cs="Arial"/>
          <w:sz w:val="20"/>
        </w:rPr>
      </w:pPr>
    </w:p>
    <w:p w14:paraId="7EF7150B" w14:textId="77777777" w:rsidR="008272C3" w:rsidRDefault="008272C3" w:rsidP="00677FA5">
      <w:pPr>
        <w:tabs>
          <w:tab w:val="left" w:pos="707"/>
        </w:tabs>
        <w:spacing w:before="117" w:line="276" w:lineRule="auto"/>
        <w:ind w:right="26"/>
        <w:jc w:val="both"/>
        <w:rPr>
          <w:rFonts w:ascii="Arial" w:hAnsi="Arial" w:cs="Arial"/>
          <w:sz w:val="20"/>
        </w:rPr>
      </w:pPr>
    </w:p>
    <w:p w14:paraId="67EF4D44" w14:textId="77777777" w:rsidR="008272C3" w:rsidRDefault="008272C3" w:rsidP="00677FA5">
      <w:pPr>
        <w:tabs>
          <w:tab w:val="left" w:pos="707"/>
        </w:tabs>
        <w:spacing w:before="117" w:line="276" w:lineRule="auto"/>
        <w:ind w:right="26"/>
        <w:jc w:val="both"/>
        <w:rPr>
          <w:rFonts w:ascii="Arial" w:hAnsi="Arial" w:cs="Arial"/>
          <w:sz w:val="20"/>
        </w:rPr>
      </w:pPr>
    </w:p>
    <w:p w14:paraId="627416B9" w14:textId="77777777" w:rsidR="008272C3" w:rsidRDefault="008272C3" w:rsidP="00677FA5">
      <w:pPr>
        <w:tabs>
          <w:tab w:val="left" w:pos="707"/>
        </w:tabs>
        <w:spacing w:before="117" w:line="276" w:lineRule="auto"/>
        <w:ind w:right="26"/>
        <w:jc w:val="both"/>
        <w:rPr>
          <w:rFonts w:ascii="Arial" w:hAnsi="Arial" w:cs="Arial"/>
          <w:sz w:val="20"/>
        </w:rPr>
      </w:pPr>
    </w:p>
    <w:p w14:paraId="1A989C10" w14:textId="77777777" w:rsidR="008272C3" w:rsidRDefault="008272C3" w:rsidP="00677FA5">
      <w:pPr>
        <w:tabs>
          <w:tab w:val="left" w:pos="707"/>
        </w:tabs>
        <w:spacing w:before="117" w:line="276" w:lineRule="auto"/>
        <w:ind w:right="26"/>
        <w:jc w:val="both"/>
        <w:rPr>
          <w:rFonts w:ascii="Arial" w:hAnsi="Arial" w:cs="Arial"/>
          <w:sz w:val="20"/>
        </w:rPr>
      </w:pPr>
    </w:p>
    <w:p w14:paraId="6BA7D805" w14:textId="77777777" w:rsidR="008272C3" w:rsidRDefault="008272C3" w:rsidP="00677FA5">
      <w:pPr>
        <w:tabs>
          <w:tab w:val="left" w:pos="707"/>
        </w:tabs>
        <w:spacing w:before="117" w:line="276" w:lineRule="auto"/>
        <w:ind w:right="26"/>
        <w:jc w:val="both"/>
        <w:rPr>
          <w:rFonts w:ascii="Arial" w:hAnsi="Arial" w:cs="Arial"/>
          <w:sz w:val="20"/>
        </w:rPr>
      </w:pPr>
    </w:p>
    <w:p w14:paraId="2117193A" w14:textId="77777777" w:rsidR="008272C3" w:rsidRDefault="008272C3" w:rsidP="00677FA5">
      <w:pPr>
        <w:tabs>
          <w:tab w:val="left" w:pos="707"/>
        </w:tabs>
        <w:spacing w:before="117" w:line="276" w:lineRule="auto"/>
        <w:ind w:right="26"/>
        <w:jc w:val="both"/>
        <w:rPr>
          <w:rFonts w:ascii="Arial" w:hAnsi="Arial" w:cs="Arial"/>
          <w:sz w:val="20"/>
        </w:rPr>
      </w:pPr>
    </w:p>
    <w:p w14:paraId="0E2F7EA5" w14:textId="77777777" w:rsidR="008272C3" w:rsidRDefault="008272C3" w:rsidP="00677FA5">
      <w:pPr>
        <w:tabs>
          <w:tab w:val="left" w:pos="707"/>
        </w:tabs>
        <w:spacing w:before="117" w:line="276" w:lineRule="auto"/>
        <w:ind w:right="26"/>
        <w:jc w:val="both"/>
        <w:rPr>
          <w:rFonts w:ascii="Arial" w:hAnsi="Arial" w:cs="Arial"/>
          <w:sz w:val="20"/>
        </w:rPr>
      </w:pPr>
    </w:p>
    <w:p w14:paraId="4F1A38BD" w14:textId="77777777" w:rsidR="008272C3" w:rsidRDefault="008272C3" w:rsidP="00677FA5">
      <w:pPr>
        <w:tabs>
          <w:tab w:val="left" w:pos="707"/>
        </w:tabs>
        <w:spacing w:before="117" w:line="276" w:lineRule="auto"/>
        <w:ind w:right="26"/>
        <w:jc w:val="both"/>
        <w:rPr>
          <w:rFonts w:ascii="Arial" w:hAnsi="Arial" w:cs="Arial"/>
          <w:sz w:val="20"/>
        </w:rPr>
      </w:pPr>
    </w:p>
    <w:p w14:paraId="3BFF785D" w14:textId="77777777" w:rsidR="008272C3" w:rsidRDefault="008272C3" w:rsidP="00677FA5">
      <w:pPr>
        <w:tabs>
          <w:tab w:val="left" w:pos="707"/>
        </w:tabs>
        <w:spacing w:before="117" w:line="276" w:lineRule="auto"/>
        <w:ind w:right="26"/>
        <w:jc w:val="both"/>
        <w:rPr>
          <w:rFonts w:ascii="Arial" w:hAnsi="Arial" w:cs="Arial"/>
          <w:sz w:val="20"/>
        </w:rPr>
      </w:pPr>
    </w:p>
    <w:p w14:paraId="52B9491F" w14:textId="77777777" w:rsidR="008272C3" w:rsidRDefault="008272C3" w:rsidP="00677FA5">
      <w:pPr>
        <w:tabs>
          <w:tab w:val="left" w:pos="707"/>
        </w:tabs>
        <w:spacing w:before="117" w:line="276" w:lineRule="auto"/>
        <w:ind w:right="26"/>
        <w:jc w:val="both"/>
        <w:rPr>
          <w:rFonts w:ascii="Arial" w:hAnsi="Arial" w:cs="Arial"/>
          <w:sz w:val="20"/>
        </w:rPr>
      </w:pPr>
    </w:p>
    <w:p w14:paraId="29371317" w14:textId="77777777" w:rsidR="008272C3" w:rsidRDefault="008272C3" w:rsidP="00677FA5">
      <w:pPr>
        <w:tabs>
          <w:tab w:val="left" w:pos="707"/>
        </w:tabs>
        <w:spacing w:before="117" w:line="276" w:lineRule="auto"/>
        <w:ind w:right="26"/>
        <w:jc w:val="both"/>
        <w:rPr>
          <w:rFonts w:ascii="Arial" w:hAnsi="Arial" w:cs="Arial"/>
          <w:sz w:val="20"/>
        </w:rPr>
      </w:pPr>
    </w:p>
    <w:p w14:paraId="40E41141" w14:textId="77777777" w:rsidR="008272C3" w:rsidRDefault="008272C3" w:rsidP="00677FA5">
      <w:pPr>
        <w:tabs>
          <w:tab w:val="left" w:pos="707"/>
        </w:tabs>
        <w:spacing w:before="117" w:line="276" w:lineRule="auto"/>
        <w:ind w:right="26"/>
        <w:jc w:val="both"/>
        <w:rPr>
          <w:rFonts w:ascii="Arial" w:hAnsi="Arial" w:cs="Arial"/>
          <w:sz w:val="20"/>
        </w:rPr>
      </w:pPr>
    </w:p>
    <w:p w14:paraId="0876B16D" w14:textId="6F181D3E" w:rsidR="008272C3" w:rsidRDefault="008272C3" w:rsidP="00677FA5">
      <w:pPr>
        <w:tabs>
          <w:tab w:val="left" w:pos="707"/>
        </w:tabs>
        <w:spacing w:before="117" w:line="276" w:lineRule="auto"/>
        <w:ind w:right="26"/>
        <w:jc w:val="both"/>
        <w:rPr>
          <w:rFonts w:ascii="Arial" w:hAnsi="Arial" w:cs="Arial"/>
          <w:sz w:val="20"/>
        </w:rPr>
      </w:pPr>
    </w:p>
    <w:p w14:paraId="0B26CCB0" w14:textId="6A872479" w:rsidR="00820E80" w:rsidRDefault="00820E80" w:rsidP="00677FA5">
      <w:pPr>
        <w:tabs>
          <w:tab w:val="left" w:pos="707"/>
        </w:tabs>
        <w:spacing w:before="117" w:line="276" w:lineRule="auto"/>
        <w:ind w:right="26"/>
        <w:jc w:val="both"/>
        <w:rPr>
          <w:rFonts w:ascii="Arial" w:hAnsi="Arial" w:cs="Arial"/>
          <w:sz w:val="20"/>
        </w:rPr>
      </w:pPr>
    </w:p>
    <w:p w14:paraId="2EB82854" w14:textId="77777777" w:rsidR="00820E80" w:rsidRDefault="00820E80" w:rsidP="00677FA5">
      <w:pPr>
        <w:tabs>
          <w:tab w:val="left" w:pos="707"/>
        </w:tabs>
        <w:spacing w:before="117" w:line="276" w:lineRule="auto"/>
        <w:ind w:right="26"/>
        <w:jc w:val="both"/>
        <w:rPr>
          <w:rFonts w:ascii="Arial" w:hAnsi="Arial" w:cs="Arial"/>
          <w:sz w:val="20"/>
        </w:rPr>
      </w:pPr>
    </w:p>
    <w:p w14:paraId="4C8148A9" w14:textId="77777777" w:rsidR="008272C3" w:rsidRDefault="008272C3" w:rsidP="00677FA5">
      <w:pPr>
        <w:tabs>
          <w:tab w:val="left" w:pos="707"/>
        </w:tabs>
        <w:spacing w:before="117" w:line="276" w:lineRule="auto"/>
        <w:ind w:right="26"/>
        <w:jc w:val="both"/>
        <w:rPr>
          <w:rFonts w:ascii="Arial" w:hAnsi="Arial" w:cs="Arial"/>
          <w:sz w:val="20"/>
        </w:rPr>
      </w:pPr>
    </w:p>
    <w:p w14:paraId="16CD5FBA" w14:textId="77777777" w:rsidR="008272C3" w:rsidRDefault="008272C3" w:rsidP="00677FA5">
      <w:pPr>
        <w:tabs>
          <w:tab w:val="left" w:pos="707"/>
        </w:tabs>
        <w:spacing w:before="117" w:line="276" w:lineRule="auto"/>
        <w:ind w:right="26"/>
        <w:jc w:val="both"/>
        <w:rPr>
          <w:rFonts w:ascii="Arial" w:hAnsi="Arial" w:cs="Arial"/>
          <w:sz w:val="20"/>
        </w:rPr>
      </w:pPr>
    </w:p>
    <w:p w14:paraId="5FDE1E5D" w14:textId="77777777" w:rsidR="008272C3" w:rsidRPr="008272C3" w:rsidRDefault="008272C3" w:rsidP="008272C3">
      <w:pPr>
        <w:keepNext/>
        <w:keepLines/>
        <w:widowControl/>
        <w:autoSpaceDE/>
        <w:autoSpaceDN/>
        <w:spacing w:before="40" w:line="259" w:lineRule="auto"/>
        <w:jc w:val="center"/>
        <w:outlineLvl w:val="2"/>
        <w:rPr>
          <w:rFonts w:ascii="Arial" w:eastAsiaTheme="majorEastAsia" w:hAnsi="Arial" w:cs="Arial"/>
          <w:b/>
          <w:color w:val="00B0F0"/>
          <w:sz w:val="24"/>
          <w:szCs w:val="24"/>
        </w:rPr>
      </w:pPr>
      <w:bookmarkStart w:id="1636" w:name="_Toc153137822"/>
      <w:r w:rsidRPr="008272C3">
        <w:rPr>
          <w:rFonts w:ascii="Arial" w:eastAsiaTheme="majorEastAsia" w:hAnsi="Arial" w:cs="Arial"/>
          <w:b/>
          <w:color w:val="00B0F0"/>
          <w:sz w:val="24"/>
          <w:szCs w:val="24"/>
        </w:rPr>
        <w:lastRenderedPageBreak/>
        <w:t>SUBPART G — OPERATING LIMITS AND DETAILS</w:t>
      </w:r>
      <w:bookmarkEnd w:id="1636"/>
    </w:p>
    <w:p w14:paraId="673FADAD" w14:textId="77777777" w:rsidR="008272C3" w:rsidRPr="008272C3" w:rsidRDefault="008272C3" w:rsidP="008272C3">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637" w:name="CS_31TGB.81_Flight_manual"/>
      <w:bookmarkStart w:id="1638" w:name="_bookmark662"/>
      <w:bookmarkStart w:id="1639" w:name="_Toc153137823"/>
      <w:bookmarkEnd w:id="1637"/>
      <w:bookmarkEnd w:id="1638"/>
      <w:r w:rsidRPr="008272C3">
        <w:rPr>
          <w:rFonts w:ascii="Arial" w:eastAsia="Times New Roman" w:hAnsi="Arial" w:cs="Times New Roman"/>
          <w:b/>
          <w:iCs/>
          <w:color w:val="FFFFFF"/>
          <w:sz w:val="24"/>
        </w:rPr>
        <w:t>CS 31TGB.81 Flight manual</w:t>
      </w:r>
      <w:bookmarkEnd w:id="1639"/>
    </w:p>
    <w:p w14:paraId="10F6A22A" w14:textId="77777777" w:rsidR="008272C3" w:rsidRPr="008272C3" w:rsidRDefault="008272C3" w:rsidP="005F6871">
      <w:pPr>
        <w:pStyle w:val="ListParagraph"/>
        <w:numPr>
          <w:ilvl w:val="0"/>
          <w:numId w:val="457"/>
        </w:numPr>
        <w:tabs>
          <w:tab w:val="left" w:pos="707"/>
        </w:tabs>
        <w:spacing w:before="117" w:line="276" w:lineRule="auto"/>
        <w:ind w:right="26"/>
        <w:jc w:val="both"/>
        <w:rPr>
          <w:rFonts w:ascii="Arial" w:hAnsi="Arial" w:cs="Arial"/>
          <w:sz w:val="20"/>
        </w:rPr>
      </w:pPr>
      <w:r w:rsidRPr="008272C3">
        <w:rPr>
          <w:rFonts w:ascii="Arial" w:hAnsi="Arial" w:cs="Arial"/>
          <w:sz w:val="20"/>
        </w:rPr>
        <w:t>Operating instructions are provided in a Flight Manual with each balloon.</w:t>
      </w:r>
    </w:p>
    <w:p w14:paraId="60B7D057" w14:textId="77777777" w:rsidR="008272C3" w:rsidRDefault="008272C3" w:rsidP="005F6871">
      <w:pPr>
        <w:pStyle w:val="ListParagraph"/>
        <w:numPr>
          <w:ilvl w:val="0"/>
          <w:numId w:val="457"/>
        </w:numPr>
        <w:tabs>
          <w:tab w:val="left" w:pos="707"/>
        </w:tabs>
        <w:spacing w:before="117" w:line="276" w:lineRule="auto"/>
        <w:ind w:right="26"/>
        <w:jc w:val="both"/>
        <w:rPr>
          <w:rFonts w:ascii="Arial" w:hAnsi="Arial" w:cs="Arial"/>
        </w:rPr>
      </w:pPr>
      <w:r w:rsidRPr="008272C3">
        <w:rPr>
          <w:rFonts w:ascii="Arial" w:hAnsi="Arial" w:cs="Arial"/>
          <w:sz w:val="20"/>
        </w:rPr>
        <w:t>The Flight Manual contains</w:t>
      </w:r>
      <w:r>
        <w:rPr>
          <w:rFonts w:ascii="Arial" w:hAnsi="Arial" w:cs="Arial"/>
        </w:rPr>
        <w:t>:</w:t>
      </w:r>
    </w:p>
    <w:p w14:paraId="06C08475" w14:textId="77777777" w:rsidR="008272C3" w:rsidRPr="008272C3" w:rsidRDefault="008272C3" w:rsidP="005F6871">
      <w:pPr>
        <w:pStyle w:val="ListParagraph"/>
        <w:numPr>
          <w:ilvl w:val="0"/>
          <w:numId w:val="458"/>
        </w:numPr>
        <w:tabs>
          <w:tab w:val="left" w:pos="1274"/>
        </w:tabs>
        <w:spacing w:before="121"/>
        <w:jc w:val="both"/>
        <w:rPr>
          <w:rFonts w:ascii="Arial" w:hAnsi="Arial" w:cs="Arial"/>
          <w:sz w:val="20"/>
          <w:szCs w:val="20"/>
        </w:rPr>
      </w:pPr>
      <w:r w:rsidRPr="008272C3">
        <w:rPr>
          <w:rFonts w:ascii="Arial" w:hAnsi="Arial" w:cs="Arial"/>
          <w:sz w:val="20"/>
          <w:szCs w:val="20"/>
        </w:rPr>
        <w:t>a description of the balloon and its technical equipment with explanatory sketches;</w:t>
      </w:r>
    </w:p>
    <w:p w14:paraId="22A630BB" w14:textId="77777777" w:rsidR="008272C3" w:rsidRPr="008272C3" w:rsidRDefault="008272C3" w:rsidP="005F6871">
      <w:pPr>
        <w:pStyle w:val="ListParagraph"/>
        <w:numPr>
          <w:ilvl w:val="0"/>
          <w:numId w:val="458"/>
        </w:numPr>
        <w:tabs>
          <w:tab w:val="left" w:pos="1274"/>
        </w:tabs>
        <w:spacing w:before="121"/>
        <w:jc w:val="both"/>
        <w:rPr>
          <w:rFonts w:ascii="Arial" w:hAnsi="Arial" w:cs="Arial"/>
          <w:sz w:val="20"/>
          <w:szCs w:val="20"/>
        </w:rPr>
      </w:pPr>
      <w:r w:rsidRPr="008272C3">
        <w:rPr>
          <w:rFonts w:ascii="Arial" w:hAnsi="Arial" w:cs="Arial"/>
          <w:sz w:val="20"/>
          <w:szCs w:val="20"/>
        </w:rPr>
        <w:t>operating limitations, minimum required crew, normal procedures (including mooring, inflation, deflation and tethered flight), emergency procedures, and other relevant information specific to the balloon’s operating characteristics and necessary for safe operation. This section of the manual requires approval;</w:t>
      </w:r>
    </w:p>
    <w:p w14:paraId="5CA84090" w14:textId="77777777" w:rsidR="008272C3" w:rsidRPr="008272C3" w:rsidRDefault="008272C3" w:rsidP="005F6871">
      <w:pPr>
        <w:pStyle w:val="ListParagraph"/>
        <w:numPr>
          <w:ilvl w:val="0"/>
          <w:numId w:val="458"/>
        </w:numPr>
        <w:tabs>
          <w:tab w:val="left" w:pos="1274"/>
        </w:tabs>
        <w:spacing w:before="121"/>
        <w:jc w:val="both"/>
        <w:rPr>
          <w:rFonts w:ascii="Arial" w:hAnsi="Arial" w:cs="Arial"/>
          <w:sz w:val="20"/>
          <w:szCs w:val="20"/>
        </w:rPr>
      </w:pPr>
      <w:r w:rsidRPr="008272C3">
        <w:rPr>
          <w:rFonts w:ascii="Arial" w:hAnsi="Arial" w:cs="Arial"/>
          <w:sz w:val="20"/>
          <w:szCs w:val="20"/>
        </w:rPr>
        <w:t>specification of the permissible lifting gas;</w:t>
      </w:r>
    </w:p>
    <w:p w14:paraId="3DC1AADB" w14:textId="77777777" w:rsidR="008272C3" w:rsidRPr="008272C3" w:rsidRDefault="008272C3" w:rsidP="005F6871">
      <w:pPr>
        <w:pStyle w:val="ListParagraph"/>
        <w:numPr>
          <w:ilvl w:val="0"/>
          <w:numId w:val="458"/>
        </w:numPr>
        <w:tabs>
          <w:tab w:val="left" w:pos="1274"/>
        </w:tabs>
        <w:spacing w:before="121"/>
        <w:jc w:val="both"/>
        <w:rPr>
          <w:rFonts w:ascii="Arial" w:hAnsi="Arial" w:cs="Arial"/>
          <w:sz w:val="20"/>
          <w:szCs w:val="20"/>
        </w:rPr>
      </w:pPr>
      <w:r w:rsidRPr="008272C3">
        <w:rPr>
          <w:rFonts w:ascii="Arial" w:hAnsi="Arial" w:cs="Arial"/>
          <w:sz w:val="20"/>
          <w:szCs w:val="20"/>
        </w:rPr>
        <w:t>information for ground handling, transport and storage; and</w:t>
      </w:r>
    </w:p>
    <w:p w14:paraId="49C46588" w14:textId="77777777" w:rsidR="008272C3" w:rsidRPr="008272C3" w:rsidRDefault="008272C3" w:rsidP="005F6871">
      <w:pPr>
        <w:pStyle w:val="ListParagraph"/>
        <w:numPr>
          <w:ilvl w:val="0"/>
          <w:numId w:val="458"/>
        </w:numPr>
        <w:tabs>
          <w:tab w:val="left" w:pos="1274"/>
        </w:tabs>
        <w:spacing w:before="121"/>
        <w:jc w:val="both"/>
        <w:rPr>
          <w:rFonts w:ascii="Arial" w:hAnsi="Arial" w:cs="Arial"/>
          <w:sz w:val="20"/>
          <w:szCs w:val="20"/>
        </w:rPr>
      </w:pPr>
      <w:r w:rsidRPr="008272C3">
        <w:rPr>
          <w:rFonts w:ascii="Arial" w:hAnsi="Arial" w:cs="Arial"/>
          <w:sz w:val="20"/>
          <w:szCs w:val="20"/>
        </w:rPr>
        <w:t>site preparation instructions and installation information required for safe operation.</w:t>
      </w:r>
    </w:p>
    <w:p w14:paraId="0E77E14F" w14:textId="77777777" w:rsidR="008272C3" w:rsidRDefault="008272C3" w:rsidP="005F6871">
      <w:pPr>
        <w:pStyle w:val="ListParagraph"/>
        <w:numPr>
          <w:ilvl w:val="0"/>
          <w:numId w:val="457"/>
        </w:numPr>
        <w:tabs>
          <w:tab w:val="left" w:pos="707"/>
        </w:tabs>
        <w:ind w:right="193"/>
        <w:jc w:val="both"/>
        <w:rPr>
          <w:rFonts w:ascii="Arial" w:hAnsi="Arial" w:cs="Arial"/>
        </w:rPr>
      </w:pPr>
      <w:r w:rsidRPr="008272C3">
        <w:rPr>
          <w:rFonts w:ascii="Arial" w:hAnsi="Arial" w:cs="Arial"/>
          <w:sz w:val="20"/>
        </w:rPr>
        <w:t>The operating limitations, normal and emergency procedures, and other relevant information specific to the balloon’s operating characteristics and necessary for safe operation are provided to the crew</w:t>
      </w:r>
      <w:r>
        <w:rPr>
          <w:rFonts w:ascii="Arial" w:hAnsi="Arial" w:cs="Arial"/>
        </w:rPr>
        <w:t>.</w:t>
      </w:r>
    </w:p>
    <w:p w14:paraId="7C2099CF" w14:textId="77777777" w:rsidR="001D7490" w:rsidRPr="008272C3" w:rsidRDefault="001D7490" w:rsidP="001D7490">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640" w:name="_Toc153137824"/>
      <w:r w:rsidRPr="008272C3">
        <w:rPr>
          <w:rFonts w:ascii="Arial" w:eastAsia="Times New Roman" w:hAnsi="Arial" w:cs="Times New Roman"/>
          <w:b/>
          <w:color w:val="FFFFFF"/>
          <w:sz w:val="24"/>
        </w:rPr>
        <w:t>AMC1 31TGB.81(b)(5) Flight Manual</w:t>
      </w:r>
      <w:bookmarkEnd w:id="1640"/>
    </w:p>
    <w:p w14:paraId="09B99FCD" w14:textId="77777777" w:rsidR="001D7490" w:rsidRPr="008272C3" w:rsidRDefault="001D7490" w:rsidP="001D7490">
      <w:pPr>
        <w:pStyle w:val="BodyText"/>
        <w:spacing w:before="117" w:line="276" w:lineRule="auto"/>
        <w:ind w:right="26"/>
        <w:jc w:val="both"/>
        <w:rPr>
          <w:rFonts w:ascii="Arial" w:hAnsi="Arial" w:cs="Arial"/>
          <w:sz w:val="20"/>
        </w:rPr>
      </w:pPr>
      <w:r w:rsidRPr="008272C3">
        <w:rPr>
          <w:rFonts w:ascii="Arial" w:hAnsi="Arial" w:cs="Arial"/>
          <w:sz w:val="20"/>
        </w:rPr>
        <w:t>Site preparation and installation information</w:t>
      </w:r>
    </w:p>
    <w:p w14:paraId="313429DB" w14:textId="77777777" w:rsidR="001D7490" w:rsidRPr="008272C3" w:rsidRDefault="001D7490" w:rsidP="001D7490">
      <w:pPr>
        <w:pStyle w:val="ListParagraph"/>
        <w:numPr>
          <w:ilvl w:val="0"/>
          <w:numId w:val="459"/>
        </w:numPr>
        <w:tabs>
          <w:tab w:val="left" w:pos="707"/>
        </w:tabs>
        <w:spacing w:before="117" w:line="276" w:lineRule="auto"/>
        <w:ind w:right="26"/>
        <w:jc w:val="both"/>
        <w:rPr>
          <w:rFonts w:ascii="Arial" w:hAnsi="Arial" w:cs="Arial"/>
          <w:sz w:val="20"/>
        </w:rPr>
      </w:pPr>
      <w:r w:rsidRPr="008272C3">
        <w:rPr>
          <w:rFonts w:ascii="Arial" w:hAnsi="Arial" w:cs="Arial"/>
          <w:sz w:val="20"/>
        </w:rPr>
        <w:t>The site preparation instructions include:</w:t>
      </w:r>
    </w:p>
    <w:p w14:paraId="39367ABE" w14:textId="77777777" w:rsidR="001D7490" w:rsidRPr="008272C3" w:rsidRDefault="001D7490" w:rsidP="001D7490">
      <w:pPr>
        <w:pStyle w:val="ListParagraph"/>
        <w:numPr>
          <w:ilvl w:val="0"/>
          <w:numId w:val="460"/>
        </w:numPr>
        <w:tabs>
          <w:tab w:val="left" w:pos="1274"/>
        </w:tabs>
        <w:spacing w:before="121"/>
        <w:jc w:val="both"/>
        <w:rPr>
          <w:rFonts w:ascii="Arial" w:hAnsi="Arial" w:cs="Arial"/>
          <w:sz w:val="20"/>
          <w:szCs w:val="20"/>
        </w:rPr>
      </w:pPr>
      <w:r w:rsidRPr="008272C3">
        <w:rPr>
          <w:rFonts w:ascii="Arial" w:hAnsi="Arial" w:cs="Arial"/>
          <w:sz w:val="20"/>
          <w:szCs w:val="20"/>
        </w:rPr>
        <w:t>the magnitudes and x-, y- and z-directions of each load carrying interface between the tether system and the ground;</w:t>
      </w:r>
    </w:p>
    <w:p w14:paraId="7A0FB019" w14:textId="77777777" w:rsidR="001D7490" w:rsidRPr="008272C3" w:rsidRDefault="001D7490" w:rsidP="001D7490">
      <w:pPr>
        <w:pStyle w:val="ListParagraph"/>
        <w:numPr>
          <w:ilvl w:val="0"/>
          <w:numId w:val="460"/>
        </w:numPr>
        <w:tabs>
          <w:tab w:val="left" w:pos="1274"/>
        </w:tabs>
        <w:spacing w:before="121"/>
        <w:jc w:val="both"/>
        <w:rPr>
          <w:rFonts w:ascii="Arial" w:hAnsi="Arial" w:cs="Arial"/>
          <w:sz w:val="20"/>
          <w:szCs w:val="20"/>
        </w:rPr>
      </w:pPr>
      <w:r w:rsidRPr="008272C3">
        <w:rPr>
          <w:rFonts w:ascii="Arial" w:hAnsi="Arial" w:cs="Arial"/>
          <w:sz w:val="20"/>
          <w:szCs w:val="20"/>
        </w:rPr>
        <w:t>dimensions and categories of safety areas on the ground and in the air;</w:t>
      </w:r>
    </w:p>
    <w:p w14:paraId="46E3B08F" w14:textId="77777777" w:rsidR="001D7490" w:rsidRPr="008272C3" w:rsidRDefault="001D7490" w:rsidP="001D7490">
      <w:pPr>
        <w:pStyle w:val="ListParagraph"/>
        <w:numPr>
          <w:ilvl w:val="0"/>
          <w:numId w:val="460"/>
        </w:numPr>
        <w:tabs>
          <w:tab w:val="left" w:pos="1274"/>
        </w:tabs>
        <w:spacing w:before="121"/>
        <w:jc w:val="both"/>
        <w:rPr>
          <w:rFonts w:ascii="Arial" w:hAnsi="Arial" w:cs="Arial"/>
          <w:sz w:val="20"/>
          <w:szCs w:val="20"/>
        </w:rPr>
      </w:pPr>
      <w:r w:rsidRPr="008272C3">
        <w:rPr>
          <w:rFonts w:ascii="Arial" w:hAnsi="Arial" w:cs="Arial"/>
          <w:sz w:val="20"/>
          <w:szCs w:val="20"/>
        </w:rPr>
        <w:t>the ground condition and its permitted maximum mean slope; and</w:t>
      </w:r>
    </w:p>
    <w:p w14:paraId="27F932FF" w14:textId="77777777" w:rsidR="001D7490" w:rsidRPr="008272C3" w:rsidRDefault="001D7490" w:rsidP="001D7490">
      <w:pPr>
        <w:pStyle w:val="ListParagraph"/>
        <w:numPr>
          <w:ilvl w:val="0"/>
          <w:numId w:val="460"/>
        </w:numPr>
        <w:tabs>
          <w:tab w:val="left" w:pos="1276"/>
        </w:tabs>
        <w:spacing w:before="121"/>
        <w:jc w:val="both"/>
        <w:rPr>
          <w:rFonts w:ascii="Arial" w:hAnsi="Arial" w:cs="Arial"/>
          <w:sz w:val="20"/>
          <w:szCs w:val="20"/>
        </w:rPr>
      </w:pPr>
      <w:r w:rsidRPr="008272C3">
        <w:rPr>
          <w:rFonts w:ascii="Arial" w:hAnsi="Arial" w:cs="Arial"/>
          <w:sz w:val="20"/>
          <w:szCs w:val="20"/>
        </w:rPr>
        <w:t>any additional safety area required by the emergency descent procedure, if applicable.</w:t>
      </w:r>
    </w:p>
    <w:p w14:paraId="1E261A55" w14:textId="77777777" w:rsidR="001D7490" w:rsidRPr="008272C3" w:rsidRDefault="001D7490" w:rsidP="001D7490">
      <w:pPr>
        <w:pStyle w:val="ListParagraph"/>
        <w:numPr>
          <w:ilvl w:val="0"/>
          <w:numId w:val="459"/>
        </w:numPr>
        <w:tabs>
          <w:tab w:val="left" w:pos="707"/>
        </w:tabs>
        <w:spacing w:before="117" w:line="276" w:lineRule="auto"/>
        <w:ind w:right="26"/>
        <w:jc w:val="both"/>
        <w:rPr>
          <w:rFonts w:ascii="Arial" w:hAnsi="Arial" w:cs="Arial"/>
          <w:sz w:val="20"/>
        </w:rPr>
      </w:pPr>
      <w:r w:rsidRPr="008272C3">
        <w:rPr>
          <w:rFonts w:ascii="Arial" w:hAnsi="Arial" w:cs="Arial"/>
          <w:sz w:val="20"/>
        </w:rPr>
        <w:t>The installation information includes:</w:t>
      </w:r>
    </w:p>
    <w:p w14:paraId="36CD0379" w14:textId="77777777" w:rsidR="001D7490" w:rsidRPr="008272C3" w:rsidRDefault="001D7490" w:rsidP="001D7490">
      <w:pPr>
        <w:pStyle w:val="ListParagraph"/>
        <w:numPr>
          <w:ilvl w:val="0"/>
          <w:numId w:val="461"/>
        </w:numPr>
        <w:tabs>
          <w:tab w:val="left" w:pos="1274"/>
        </w:tabs>
        <w:spacing w:before="121"/>
        <w:jc w:val="both"/>
        <w:rPr>
          <w:rFonts w:ascii="Arial" w:hAnsi="Arial" w:cs="Arial"/>
          <w:sz w:val="20"/>
          <w:szCs w:val="20"/>
        </w:rPr>
      </w:pPr>
      <w:r w:rsidRPr="008272C3">
        <w:rPr>
          <w:rFonts w:ascii="Arial" w:hAnsi="Arial" w:cs="Arial"/>
          <w:sz w:val="20"/>
          <w:szCs w:val="20"/>
        </w:rPr>
        <w:t>a list of the minimum installation crew and their necessary skills;</w:t>
      </w:r>
    </w:p>
    <w:p w14:paraId="720B1591" w14:textId="77777777" w:rsidR="001D7490" w:rsidRPr="008272C3" w:rsidRDefault="001D7490" w:rsidP="001D7490">
      <w:pPr>
        <w:pStyle w:val="ListParagraph"/>
        <w:numPr>
          <w:ilvl w:val="0"/>
          <w:numId w:val="461"/>
        </w:numPr>
        <w:tabs>
          <w:tab w:val="left" w:pos="1274"/>
        </w:tabs>
        <w:spacing w:before="121"/>
        <w:jc w:val="both"/>
        <w:rPr>
          <w:rFonts w:ascii="Arial" w:hAnsi="Arial" w:cs="Arial"/>
          <w:sz w:val="20"/>
          <w:szCs w:val="20"/>
        </w:rPr>
      </w:pPr>
      <w:r w:rsidRPr="008272C3">
        <w:rPr>
          <w:rFonts w:ascii="Arial" w:hAnsi="Arial" w:cs="Arial"/>
          <w:sz w:val="20"/>
          <w:szCs w:val="20"/>
        </w:rPr>
        <w:t>a checklist of the necessary tools and devices for installing/de-installing; and</w:t>
      </w:r>
    </w:p>
    <w:p w14:paraId="2E4748FF" w14:textId="5850C840" w:rsidR="001D7490" w:rsidRPr="008272C3" w:rsidRDefault="001D7490" w:rsidP="001D7490">
      <w:pPr>
        <w:pStyle w:val="ListParagraph"/>
        <w:numPr>
          <w:ilvl w:val="0"/>
          <w:numId w:val="461"/>
        </w:numPr>
        <w:tabs>
          <w:tab w:val="left" w:pos="1274"/>
        </w:tabs>
        <w:spacing w:before="121"/>
        <w:jc w:val="both"/>
        <w:rPr>
          <w:rFonts w:ascii="Arial" w:hAnsi="Arial" w:cs="Arial"/>
          <w:sz w:val="20"/>
          <w:szCs w:val="20"/>
        </w:rPr>
      </w:pPr>
      <w:r w:rsidRPr="008272C3">
        <w:rPr>
          <w:rFonts w:ascii="Arial" w:hAnsi="Arial" w:cs="Arial"/>
          <w:sz w:val="20"/>
          <w:szCs w:val="20"/>
        </w:rPr>
        <w:t>a checklist describing the necessary sequential steps for installation/de-installation. The list highlights</w:t>
      </w:r>
      <w:r w:rsidR="000168AD">
        <w:rPr>
          <w:rFonts w:ascii="Arial" w:hAnsi="Arial" w:cs="Arial"/>
          <w:sz w:val="20"/>
          <w:szCs w:val="20"/>
        </w:rPr>
        <w:t xml:space="preserve"> </w:t>
      </w:r>
      <w:r w:rsidR="000168AD" w:rsidRPr="000168AD">
        <w:rPr>
          <w:rFonts w:ascii="Arial" w:hAnsi="Arial" w:cs="Arial"/>
          <w:sz w:val="20"/>
          <w:szCs w:val="20"/>
        </w:rPr>
        <w:t>the safety critical phases including precautions and mitigating measures.</w:t>
      </w:r>
    </w:p>
    <w:p w14:paraId="73821F62" w14:textId="77777777" w:rsidR="00754935" w:rsidRPr="008272C3" w:rsidRDefault="00754935" w:rsidP="00754935">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641" w:name="_Toc153137825"/>
      <w:r w:rsidRPr="008272C3">
        <w:rPr>
          <w:rFonts w:ascii="Arial" w:eastAsia="Times New Roman" w:hAnsi="Arial" w:cs="Times New Roman"/>
          <w:b/>
          <w:iCs/>
          <w:color w:val="FFFFFF"/>
          <w:sz w:val="24"/>
        </w:rPr>
        <w:t>CS 31TGB.82 Instructions for continued airworthiness</w:t>
      </w:r>
      <w:bookmarkEnd w:id="1641"/>
    </w:p>
    <w:p w14:paraId="61FAEBD5" w14:textId="77777777" w:rsidR="00754935" w:rsidRPr="008272C3" w:rsidRDefault="00754935" w:rsidP="00754935">
      <w:pPr>
        <w:pStyle w:val="BodyText"/>
        <w:spacing w:before="117" w:line="276" w:lineRule="auto"/>
        <w:ind w:right="26"/>
        <w:jc w:val="both"/>
        <w:rPr>
          <w:rFonts w:ascii="Arial" w:hAnsi="Arial" w:cs="Arial"/>
          <w:sz w:val="20"/>
        </w:rPr>
      </w:pPr>
      <w:r w:rsidRPr="008272C3">
        <w:rPr>
          <w:rFonts w:ascii="Arial" w:hAnsi="Arial" w:cs="Arial"/>
          <w:sz w:val="20"/>
        </w:rPr>
        <w:t>A Maintenance Manual and a maintenance schedule against which the balloon must be inspected and maintained in a serviceable condition is provided with each balloon.</w:t>
      </w:r>
    </w:p>
    <w:p w14:paraId="723646AF" w14:textId="77777777" w:rsidR="00754935" w:rsidRPr="008272C3" w:rsidRDefault="00754935" w:rsidP="00754935">
      <w:pPr>
        <w:pStyle w:val="ListParagraph"/>
        <w:numPr>
          <w:ilvl w:val="0"/>
          <w:numId w:val="476"/>
        </w:numPr>
        <w:tabs>
          <w:tab w:val="left" w:pos="707"/>
        </w:tabs>
        <w:spacing w:before="117" w:line="276" w:lineRule="auto"/>
        <w:ind w:right="26"/>
        <w:jc w:val="both"/>
        <w:rPr>
          <w:rFonts w:ascii="Arial" w:hAnsi="Arial" w:cs="Arial"/>
          <w:sz w:val="20"/>
        </w:rPr>
      </w:pPr>
      <w:r w:rsidRPr="008272C3">
        <w:rPr>
          <w:rFonts w:ascii="Arial" w:hAnsi="Arial" w:cs="Arial"/>
          <w:sz w:val="20"/>
        </w:rPr>
        <w:t>The instructions for Continued Airworthiness include information essential to the Continued Airworthiness of all parts and appliances of the balloon as required by CS-31TGB.</w:t>
      </w:r>
    </w:p>
    <w:p w14:paraId="27428E87" w14:textId="77777777" w:rsidR="00754935" w:rsidRPr="008272C3" w:rsidRDefault="00754935" w:rsidP="00754935">
      <w:pPr>
        <w:pStyle w:val="ListParagraph"/>
        <w:numPr>
          <w:ilvl w:val="0"/>
          <w:numId w:val="476"/>
        </w:numPr>
        <w:tabs>
          <w:tab w:val="left" w:pos="707"/>
        </w:tabs>
        <w:spacing w:before="117" w:line="276" w:lineRule="auto"/>
        <w:ind w:right="26"/>
        <w:jc w:val="both"/>
        <w:rPr>
          <w:rFonts w:ascii="Arial" w:hAnsi="Arial" w:cs="Arial"/>
          <w:sz w:val="20"/>
        </w:rPr>
      </w:pPr>
      <w:r w:rsidRPr="008272C3">
        <w:rPr>
          <w:rFonts w:ascii="Arial" w:hAnsi="Arial" w:cs="Arial"/>
          <w:sz w:val="20"/>
        </w:rPr>
        <w:t>The instructions for Continued Airworthiness are in the form of a manual or manuals as appropriate for the quantity of data provided.</w:t>
      </w:r>
    </w:p>
    <w:p w14:paraId="3F629AB3" w14:textId="77777777" w:rsidR="00754935" w:rsidRPr="008272C3" w:rsidRDefault="00754935" w:rsidP="00754935">
      <w:pPr>
        <w:pStyle w:val="ListParagraph"/>
        <w:numPr>
          <w:ilvl w:val="0"/>
          <w:numId w:val="476"/>
        </w:numPr>
        <w:tabs>
          <w:tab w:val="left" w:pos="707"/>
        </w:tabs>
        <w:spacing w:before="117" w:line="276" w:lineRule="auto"/>
        <w:ind w:right="26"/>
        <w:jc w:val="both"/>
        <w:rPr>
          <w:rFonts w:ascii="Arial" w:hAnsi="Arial" w:cs="Arial"/>
          <w:sz w:val="20"/>
        </w:rPr>
      </w:pPr>
      <w:r w:rsidRPr="008272C3">
        <w:rPr>
          <w:rFonts w:ascii="Arial" w:hAnsi="Arial" w:cs="Arial"/>
          <w:sz w:val="20"/>
        </w:rPr>
        <w:t>The format of the manual or manuals is provided in a practical arrangement.</w:t>
      </w:r>
    </w:p>
    <w:p w14:paraId="44D58DB5" w14:textId="77777777" w:rsidR="00754935" w:rsidRPr="008272C3" w:rsidRDefault="00754935" w:rsidP="00754935">
      <w:pPr>
        <w:pStyle w:val="ListParagraph"/>
        <w:numPr>
          <w:ilvl w:val="0"/>
          <w:numId w:val="476"/>
        </w:numPr>
        <w:tabs>
          <w:tab w:val="left" w:pos="707"/>
        </w:tabs>
        <w:spacing w:before="117" w:line="276" w:lineRule="auto"/>
        <w:ind w:right="26"/>
        <w:jc w:val="both"/>
        <w:rPr>
          <w:rFonts w:ascii="Arial" w:hAnsi="Arial" w:cs="Arial"/>
          <w:sz w:val="20"/>
        </w:rPr>
      </w:pPr>
      <w:r w:rsidRPr="008272C3">
        <w:rPr>
          <w:rFonts w:ascii="Arial" w:hAnsi="Arial" w:cs="Arial"/>
          <w:sz w:val="20"/>
        </w:rPr>
        <w:t>The instructions for Continued Airworthiness cover:</w:t>
      </w:r>
    </w:p>
    <w:p w14:paraId="4FAA39EF" w14:textId="77777777" w:rsidR="00754935" w:rsidRPr="008272C3" w:rsidRDefault="00754935" w:rsidP="00754935">
      <w:pPr>
        <w:pStyle w:val="ListParagraph"/>
        <w:numPr>
          <w:ilvl w:val="0"/>
          <w:numId w:val="477"/>
        </w:numPr>
        <w:tabs>
          <w:tab w:val="left" w:pos="1274"/>
        </w:tabs>
        <w:spacing w:before="121"/>
        <w:jc w:val="both"/>
        <w:rPr>
          <w:rFonts w:ascii="Arial" w:hAnsi="Arial" w:cs="Arial"/>
          <w:sz w:val="20"/>
          <w:szCs w:val="20"/>
        </w:rPr>
      </w:pPr>
      <w:r w:rsidRPr="008272C3">
        <w:rPr>
          <w:rFonts w:ascii="Arial" w:hAnsi="Arial" w:cs="Arial"/>
          <w:sz w:val="20"/>
          <w:szCs w:val="20"/>
        </w:rPr>
        <w:t>detailed description of the balloon and its components, systems and installations;</w:t>
      </w:r>
    </w:p>
    <w:p w14:paraId="507D7637" w14:textId="77777777" w:rsidR="00754935" w:rsidRPr="008272C3" w:rsidRDefault="00754935" w:rsidP="00754935">
      <w:pPr>
        <w:pStyle w:val="ListParagraph"/>
        <w:numPr>
          <w:ilvl w:val="0"/>
          <w:numId w:val="477"/>
        </w:numPr>
        <w:tabs>
          <w:tab w:val="left" w:pos="1274"/>
        </w:tabs>
        <w:spacing w:before="121"/>
        <w:jc w:val="both"/>
        <w:rPr>
          <w:rFonts w:ascii="Arial" w:hAnsi="Arial" w:cs="Arial"/>
          <w:sz w:val="20"/>
          <w:szCs w:val="20"/>
        </w:rPr>
      </w:pPr>
      <w:r w:rsidRPr="008272C3">
        <w:rPr>
          <w:rFonts w:ascii="Arial" w:hAnsi="Arial" w:cs="Arial"/>
          <w:sz w:val="20"/>
          <w:szCs w:val="20"/>
        </w:rPr>
        <w:t>handling instructions;</w:t>
      </w:r>
    </w:p>
    <w:p w14:paraId="782D0780" w14:textId="77777777" w:rsidR="00754935" w:rsidRPr="008272C3" w:rsidRDefault="00754935" w:rsidP="00754935">
      <w:pPr>
        <w:pStyle w:val="ListParagraph"/>
        <w:numPr>
          <w:ilvl w:val="0"/>
          <w:numId w:val="477"/>
        </w:numPr>
        <w:tabs>
          <w:tab w:val="left" w:pos="1274"/>
        </w:tabs>
        <w:spacing w:before="121"/>
        <w:jc w:val="both"/>
        <w:rPr>
          <w:rFonts w:ascii="Arial" w:hAnsi="Arial" w:cs="Arial"/>
          <w:sz w:val="20"/>
          <w:szCs w:val="20"/>
        </w:rPr>
      </w:pPr>
      <w:r w:rsidRPr="008272C3">
        <w:rPr>
          <w:rFonts w:ascii="Arial" w:hAnsi="Arial" w:cs="Arial"/>
          <w:sz w:val="20"/>
          <w:szCs w:val="20"/>
        </w:rPr>
        <w:t>basic control and operating information describing how the balloon’s components, systems and installations operate;</w:t>
      </w:r>
    </w:p>
    <w:p w14:paraId="7285AC70" w14:textId="77777777" w:rsidR="00754935" w:rsidRPr="008272C3" w:rsidRDefault="00754935" w:rsidP="00754935">
      <w:pPr>
        <w:pStyle w:val="ListParagraph"/>
        <w:numPr>
          <w:ilvl w:val="0"/>
          <w:numId w:val="477"/>
        </w:numPr>
        <w:tabs>
          <w:tab w:val="left" w:pos="1274"/>
        </w:tabs>
        <w:spacing w:before="121"/>
        <w:jc w:val="both"/>
        <w:rPr>
          <w:rFonts w:ascii="Arial" w:hAnsi="Arial" w:cs="Arial"/>
          <w:sz w:val="20"/>
          <w:szCs w:val="20"/>
        </w:rPr>
      </w:pPr>
      <w:r w:rsidRPr="008272C3">
        <w:rPr>
          <w:rFonts w:ascii="Arial" w:hAnsi="Arial" w:cs="Arial"/>
          <w:sz w:val="20"/>
          <w:szCs w:val="20"/>
        </w:rPr>
        <w:t>servicing information;</w:t>
      </w:r>
    </w:p>
    <w:p w14:paraId="0D35371B" w14:textId="77777777" w:rsidR="00754935" w:rsidRPr="008272C3" w:rsidRDefault="00754935" w:rsidP="00754935">
      <w:pPr>
        <w:pStyle w:val="ListParagraph"/>
        <w:numPr>
          <w:ilvl w:val="0"/>
          <w:numId w:val="477"/>
        </w:numPr>
        <w:tabs>
          <w:tab w:val="left" w:pos="1274"/>
        </w:tabs>
        <w:spacing w:before="121"/>
        <w:jc w:val="both"/>
        <w:rPr>
          <w:rFonts w:ascii="Arial" w:hAnsi="Arial" w:cs="Arial"/>
          <w:sz w:val="20"/>
          <w:szCs w:val="20"/>
        </w:rPr>
      </w:pPr>
      <w:r w:rsidRPr="008272C3">
        <w:rPr>
          <w:rFonts w:ascii="Arial" w:hAnsi="Arial" w:cs="Arial"/>
          <w:sz w:val="20"/>
          <w:szCs w:val="20"/>
        </w:rPr>
        <w:lastRenderedPageBreak/>
        <w:t>a maintenance schedule against which the balloon is inspected and maintained;</w:t>
      </w:r>
    </w:p>
    <w:p w14:paraId="4D8FC85F" w14:textId="77777777" w:rsidR="00754935" w:rsidRPr="008272C3" w:rsidRDefault="00754935" w:rsidP="00754935">
      <w:pPr>
        <w:pStyle w:val="ListParagraph"/>
        <w:numPr>
          <w:ilvl w:val="0"/>
          <w:numId w:val="477"/>
        </w:numPr>
        <w:tabs>
          <w:tab w:val="left" w:pos="1274"/>
        </w:tabs>
        <w:spacing w:before="121"/>
        <w:jc w:val="both"/>
        <w:rPr>
          <w:rFonts w:ascii="Arial" w:hAnsi="Arial" w:cs="Arial"/>
          <w:sz w:val="20"/>
          <w:szCs w:val="20"/>
        </w:rPr>
      </w:pPr>
      <w:r w:rsidRPr="008272C3">
        <w:rPr>
          <w:rFonts w:ascii="Arial" w:hAnsi="Arial" w:cs="Arial"/>
          <w:sz w:val="20"/>
          <w:szCs w:val="20"/>
        </w:rPr>
        <w:t>maintenance and inspection instructions;</w:t>
      </w:r>
    </w:p>
    <w:p w14:paraId="2006BBE1" w14:textId="77777777" w:rsidR="00754935" w:rsidRPr="008272C3" w:rsidRDefault="00754935" w:rsidP="00754935">
      <w:pPr>
        <w:pStyle w:val="ListParagraph"/>
        <w:numPr>
          <w:ilvl w:val="0"/>
          <w:numId w:val="477"/>
        </w:numPr>
        <w:tabs>
          <w:tab w:val="left" w:pos="1274"/>
        </w:tabs>
        <w:spacing w:before="121"/>
        <w:jc w:val="both"/>
        <w:rPr>
          <w:rFonts w:ascii="Arial" w:hAnsi="Arial" w:cs="Arial"/>
          <w:sz w:val="20"/>
          <w:szCs w:val="20"/>
        </w:rPr>
      </w:pPr>
      <w:r w:rsidRPr="008272C3">
        <w:rPr>
          <w:rFonts w:ascii="Arial" w:hAnsi="Arial" w:cs="Arial"/>
          <w:sz w:val="20"/>
          <w:szCs w:val="20"/>
        </w:rPr>
        <w:t>repair instructions;</w:t>
      </w:r>
    </w:p>
    <w:p w14:paraId="3D6278A3" w14:textId="77777777" w:rsidR="00754935" w:rsidRPr="008272C3" w:rsidRDefault="00754935" w:rsidP="00754935">
      <w:pPr>
        <w:pStyle w:val="ListParagraph"/>
        <w:numPr>
          <w:ilvl w:val="0"/>
          <w:numId w:val="477"/>
        </w:numPr>
        <w:tabs>
          <w:tab w:val="left" w:pos="1274"/>
        </w:tabs>
        <w:spacing w:before="121"/>
        <w:jc w:val="both"/>
        <w:rPr>
          <w:rFonts w:ascii="Arial" w:hAnsi="Arial" w:cs="Arial"/>
          <w:sz w:val="20"/>
          <w:szCs w:val="20"/>
        </w:rPr>
      </w:pPr>
      <w:r w:rsidRPr="008272C3">
        <w:rPr>
          <w:rFonts w:ascii="Arial" w:hAnsi="Arial" w:cs="Arial"/>
          <w:sz w:val="20"/>
          <w:szCs w:val="20"/>
        </w:rPr>
        <w:t>troubleshooting information; and</w:t>
      </w:r>
    </w:p>
    <w:p w14:paraId="05BACD26" w14:textId="77777777" w:rsidR="00754935" w:rsidRPr="003E6273" w:rsidRDefault="00754935" w:rsidP="00754935">
      <w:pPr>
        <w:pStyle w:val="ListParagraph"/>
        <w:numPr>
          <w:ilvl w:val="0"/>
          <w:numId w:val="477"/>
        </w:numPr>
        <w:tabs>
          <w:tab w:val="left" w:pos="1274"/>
        </w:tabs>
        <w:spacing w:before="121"/>
        <w:jc w:val="both"/>
        <w:rPr>
          <w:rFonts w:ascii="Arial" w:hAnsi="Arial" w:cs="Arial"/>
          <w:sz w:val="20"/>
          <w:szCs w:val="20"/>
        </w:rPr>
      </w:pPr>
      <w:r w:rsidRPr="008272C3">
        <w:rPr>
          <w:rFonts w:ascii="Arial" w:hAnsi="Arial" w:cs="Arial"/>
          <w:sz w:val="20"/>
          <w:szCs w:val="20"/>
        </w:rPr>
        <w:t>airworthiness limitations that set forth each mandatory replacement time, inspection interval and related inspection procedure. This section of the manual requires approval.</w:t>
      </w:r>
    </w:p>
    <w:p w14:paraId="56CC3FAC" w14:textId="77777777" w:rsidR="00EB705F" w:rsidRPr="003E6273" w:rsidRDefault="00EB705F" w:rsidP="00EB705F">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642" w:name="_Toc153137826"/>
      <w:r w:rsidRPr="003E6273">
        <w:rPr>
          <w:rFonts w:ascii="Arial" w:eastAsia="Times New Roman" w:hAnsi="Arial" w:cs="Times New Roman"/>
          <w:b/>
          <w:color w:val="FFFFFF"/>
          <w:sz w:val="24"/>
        </w:rPr>
        <w:t>AMC1 31TGB.82 Instructions for continued airworthiness</w:t>
      </w:r>
      <w:bookmarkEnd w:id="1642"/>
      <w:r w:rsidRPr="003E6273">
        <w:rPr>
          <w:rFonts w:ascii="Arial" w:eastAsia="Times New Roman" w:hAnsi="Arial" w:cs="Times New Roman"/>
          <w:b/>
          <w:color w:val="FFFFFF"/>
          <w:sz w:val="24"/>
        </w:rPr>
        <w:tab/>
      </w:r>
    </w:p>
    <w:p w14:paraId="74B37FB9" w14:textId="77777777" w:rsidR="00EB705F" w:rsidRPr="003E6273" w:rsidRDefault="00EB705F" w:rsidP="00EB705F">
      <w:pPr>
        <w:pStyle w:val="BodyText"/>
        <w:spacing w:before="117" w:line="276" w:lineRule="auto"/>
        <w:ind w:right="26"/>
        <w:jc w:val="both"/>
        <w:rPr>
          <w:rFonts w:ascii="Arial" w:hAnsi="Arial" w:cs="Arial"/>
          <w:i/>
          <w:sz w:val="20"/>
        </w:rPr>
      </w:pPr>
      <w:r w:rsidRPr="003E6273">
        <w:rPr>
          <w:rFonts w:ascii="Arial" w:hAnsi="Arial" w:cs="Arial"/>
          <w:i/>
          <w:sz w:val="20"/>
        </w:rPr>
        <w:t>Note: The paragraph numbering of this AMC relates to the paragraph numbering of CS 31TGB.82</w:t>
      </w:r>
    </w:p>
    <w:p w14:paraId="2537DF09" w14:textId="77777777" w:rsidR="00EB705F" w:rsidRPr="003E6273" w:rsidRDefault="00EB705F" w:rsidP="000168AD">
      <w:pPr>
        <w:pStyle w:val="ListParagraph"/>
        <w:numPr>
          <w:ilvl w:val="0"/>
          <w:numId w:val="465"/>
        </w:numPr>
        <w:tabs>
          <w:tab w:val="left" w:pos="707"/>
        </w:tabs>
        <w:spacing w:before="117" w:line="276" w:lineRule="auto"/>
        <w:ind w:right="26"/>
        <w:jc w:val="both"/>
        <w:rPr>
          <w:rFonts w:ascii="Arial" w:hAnsi="Arial" w:cs="Arial"/>
          <w:sz w:val="20"/>
        </w:rPr>
      </w:pPr>
      <w:r w:rsidRPr="003E6273">
        <w:rPr>
          <w:rFonts w:ascii="Arial" w:hAnsi="Arial" w:cs="Arial"/>
          <w:sz w:val="20"/>
        </w:rPr>
        <w:t>If instructions for continued airworthiness are not supplied by the manufacturer or designer of parts and appliances installed in the balloon, the instructions for continued airworthiness for the balloon need to include the information essential to the continued airworthiness of the balloon.</w:t>
      </w:r>
    </w:p>
    <w:p w14:paraId="6B741570" w14:textId="77777777" w:rsidR="00EB705F" w:rsidRPr="003E6273" w:rsidRDefault="00EB705F" w:rsidP="000168AD">
      <w:pPr>
        <w:pStyle w:val="ListParagraph"/>
        <w:tabs>
          <w:tab w:val="left" w:pos="707"/>
        </w:tabs>
        <w:spacing w:before="117" w:line="276" w:lineRule="auto"/>
        <w:ind w:right="26" w:firstLine="0"/>
        <w:jc w:val="both"/>
        <w:rPr>
          <w:rFonts w:ascii="Arial" w:hAnsi="Arial" w:cs="Arial"/>
          <w:sz w:val="20"/>
        </w:rPr>
      </w:pPr>
      <w:r w:rsidRPr="003E6273">
        <w:rPr>
          <w:rFonts w:ascii="Arial" w:hAnsi="Arial" w:cs="Arial"/>
          <w:sz w:val="20"/>
        </w:rPr>
        <w:t>If manuals from different manufacturers are used, they need to provide a practical arrangement.</w:t>
      </w:r>
    </w:p>
    <w:p w14:paraId="5F675A3A" w14:textId="77777777" w:rsidR="00EB705F" w:rsidRPr="003E6273" w:rsidRDefault="00EB705F" w:rsidP="000168AD">
      <w:pPr>
        <w:pStyle w:val="BodyText"/>
        <w:spacing w:before="121" w:line="276" w:lineRule="auto"/>
        <w:ind w:left="140" w:right="26"/>
        <w:jc w:val="both"/>
        <w:rPr>
          <w:rFonts w:ascii="Arial" w:hAnsi="Arial" w:cs="Arial"/>
          <w:sz w:val="20"/>
        </w:rPr>
      </w:pPr>
      <w:r w:rsidRPr="003E6273">
        <w:rPr>
          <w:rFonts w:ascii="Arial" w:hAnsi="Arial" w:cs="Arial"/>
          <w:sz w:val="20"/>
        </w:rPr>
        <w:t>(d)(1)</w:t>
      </w:r>
      <w:r w:rsidRPr="003E6273">
        <w:rPr>
          <w:rFonts w:ascii="Arial" w:hAnsi="Arial" w:cs="Arial"/>
          <w:spacing w:val="18"/>
          <w:sz w:val="20"/>
        </w:rPr>
        <w:t xml:space="preserve"> </w:t>
      </w:r>
      <w:r w:rsidRPr="003E6273">
        <w:rPr>
          <w:rFonts w:ascii="Arial" w:hAnsi="Arial" w:cs="Arial"/>
          <w:sz w:val="20"/>
        </w:rPr>
        <w:t>The</w:t>
      </w:r>
      <w:r w:rsidRPr="003E6273">
        <w:rPr>
          <w:rFonts w:ascii="Arial" w:hAnsi="Arial" w:cs="Arial"/>
          <w:spacing w:val="-1"/>
          <w:sz w:val="20"/>
        </w:rPr>
        <w:t xml:space="preserve"> </w:t>
      </w:r>
      <w:r w:rsidRPr="003E6273">
        <w:rPr>
          <w:rFonts w:ascii="Arial" w:hAnsi="Arial" w:cs="Arial"/>
          <w:sz w:val="20"/>
        </w:rPr>
        <w:t>detailed</w:t>
      </w:r>
      <w:r w:rsidRPr="003E6273">
        <w:rPr>
          <w:rFonts w:ascii="Arial" w:hAnsi="Arial" w:cs="Arial"/>
          <w:spacing w:val="-2"/>
          <w:sz w:val="20"/>
        </w:rPr>
        <w:t xml:space="preserve"> </w:t>
      </w:r>
      <w:r w:rsidRPr="003E6273">
        <w:rPr>
          <w:rFonts w:ascii="Arial" w:hAnsi="Arial" w:cs="Arial"/>
          <w:sz w:val="20"/>
        </w:rPr>
        <w:t>description</w:t>
      </w:r>
      <w:r w:rsidRPr="003E6273">
        <w:rPr>
          <w:rFonts w:ascii="Arial" w:hAnsi="Arial" w:cs="Arial"/>
          <w:spacing w:val="-4"/>
          <w:sz w:val="20"/>
        </w:rPr>
        <w:t xml:space="preserve"> </w:t>
      </w:r>
      <w:r w:rsidRPr="003E6273">
        <w:rPr>
          <w:rFonts w:ascii="Arial" w:hAnsi="Arial" w:cs="Arial"/>
          <w:sz w:val="20"/>
        </w:rPr>
        <w:t>of</w:t>
      </w:r>
      <w:r w:rsidRPr="003E6273">
        <w:rPr>
          <w:rFonts w:ascii="Arial" w:hAnsi="Arial" w:cs="Arial"/>
          <w:spacing w:val="-3"/>
          <w:sz w:val="20"/>
        </w:rPr>
        <w:t xml:space="preserve"> </w:t>
      </w:r>
      <w:r w:rsidRPr="003E6273">
        <w:rPr>
          <w:rFonts w:ascii="Arial" w:hAnsi="Arial" w:cs="Arial"/>
          <w:sz w:val="20"/>
        </w:rPr>
        <w:t>the</w:t>
      </w:r>
      <w:r w:rsidRPr="003E6273">
        <w:rPr>
          <w:rFonts w:ascii="Arial" w:hAnsi="Arial" w:cs="Arial"/>
          <w:spacing w:val="-1"/>
          <w:sz w:val="20"/>
        </w:rPr>
        <w:t xml:space="preserve"> </w:t>
      </w:r>
      <w:r w:rsidRPr="003E6273">
        <w:rPr>
          <w:rFonts w:ascii="Arial" w:hAnsi="Arial" w:cs="Arial"/>
          <w:sz w:val="20"/>
        </w:rPr>
        <w:t>balloon</w:t>
      </w:r>
      <w:r w:rsidRPr="003E6273">
        <w:rPr>
          <w:rFonts w:ascii="Arial" w:hAnsi="Arial" w:cs="Arial"/>
          <w:spacing w:val="-2"/>
          <w:sz w:val="20"/>
        </w:rPr>
        <w:t xml:space="preserve"> </w:t>
      </w:r>
      <w:r w:rsidRPr="003E6273">
        <w:rPr>
          <w:rFonts w:ascii="Arial" w:hAnsi="Arial" w:cs="Arial"/>
          <w:sz w:val="20"/>
        </w:rPr>
        <w:t>and</w:t>
      </w:r>
      <w:r w:rsidRPr="003E6273">
        <w:rPr>
          <w:rFonts w:ascii="Arial" w:hAnsi="Arial" w:cs="Arial"/>
          <w:spacing w:val="-3"/>
          <w:sz w:val="20"/>
        </w:rPr>
        <w:t xml:space="preserve"> </w:t>
      </w:r>
      <w:r w:rsidRPr="003E6273">
        <w:rPr>
          <w:rFonts w:ascii="Arial" w:hAnsi="Arial" w:cs="Arial"/>
          <w:sz w:val="20"/>
        </w:rPr>
        <w:t>its</w:t>
      </w:r>
      <w:r w:rsidRPr="003E6273">
        <w:rPr>
          <w:rFonts w:ascii="Arial" w:hAnsi="Arial" w:cs="Arial"/>
          <w:spacing w:val="-3"/>
          <w:sz w:val="20"/>
        </w:rPr>
        <w:t xml:space="preserve"> </w:t>
      </w:r>
      <w:r w:rsidRPr="003E6273">
        <w:rPr>
          <w:rFonts w:ascii="Arial" w:hAnsi="Arial" w:cs="Arial"/>
          <w:sz w:val="20"/>
        </w:rPr>
        <w:t>components</w:t>
      </w:r>
      <w:r w:rsidRPr="003E6273">
        <w:rPr>
          <w:rFonts w:ascii="Arial" w:hAnsi="Arial" w:cs="Arial"/>
          <w:spacing w:val="-1"/>
          <w:sz w:val="20"/>
        </w:rPr>
        <w:t xml:space="preserve"> </w:t>
      </w:r>
      <w:r w:rsidRPr="003E6273">
        <w:rPr>
          <w:rFonts w:ascii="Arial" w:hAnsi="Arial" w:cs="Arial"/>
          <w:sz w:val="20"/>
        </w:rPr>
        <w:t>needs</w:t>
      </w:r>
      <w:r w:rsidRPr="003E6273">
        <w:rPr>
          <w:rFonts w:ascii="Arial" w:hAnsi="Arial" w:cs="Arial"/>
          <w:spacing w:val="-1"/>
          <w:sz w:val="20"/>
        </w:rPr>
        <w:t xml:space="preserve"> </w:t>
      </w:r>
      <w:r w:rsidRPr="003E6273">
        <w:rPr>
          <w:rFonts w:ascii="Arial" w:hAnsi="Arial" w:cs="Arial"/>
          <w:sz w:val="20"/>
        </w:rPr>
        <w:t>to include</w:t>
      </w:r>
      <w:r w:rsidRPr="003E6273">
        <w:rPr>
          <w:rFonts w:ascii="Arial" w:hAnsi="Arial" w:cs="Arial"/>
          <w:spacing w:val="-1"/>
          <w:sz w:val="20"/>
        </w:rPr>
        <w:t xml:space="preserve"> </w:t>
      </w:r>
      <w:r w:rsidRPr="003E6273">
        <w:rPr>
          <w:rFonts w:ascii="Arial" w:hAnsi="Arial" w:cs="Arial"/>
          <w:sz w:val="20"/>
        </w:rPr>
        <w:t>for</w:t>
      </w:r>
      <w:r w:rsidRPr="003E6273">
        <w:rPr>
          <w:rFonts w:ascii="Arial" w:hAnsi="Arial" w:cs="Arial"/>
          <w:spacing w:val="-3"/>
          <w:sz w:val="20"/>
        </w:rPr>
        <w:t xml:space="preserve"> </w:t>
      </w:r>
      <w:r w:rsidRPr="003E6273">
        <w:rPr>
          <w:rFonts w:ascii="Arial" w:hAnsi="Arial" w:cs="Arial"/>
          <w:sz w:val="20"/>
        </w:rPr>
        <w:t>each</w:t>
      </w:r>
      <w:r w:rsidRPr="003E6273">
        <w:rPr>
          <w:rFonts w:ascii="Arial" w:hAnsi="Arial" w:cs="Arial"/>
          <w:spacing w:val="-2"/>
          <w:sz w:val="20"/>
        </w:rPr>
        <w:t xml:space="preserve"> </w:t>
      </w:r>
      <w:r w:rsidRPr="003E6273">
        <w:rPr>
          <w:rFonts w:ascii="Arial" w:hAnsi="Arial" w:cs="Arial"/>
          <w:sz w:val="20"/>
        </w:rPr>
        <w:t>balloon:</w:t>
      </w:r>
    </w:p>
    <w:p w14:paraId="1AFD5CAE" w14:textId="77777777" w:rsidR="00EB705F" w:rsidRPr="003E6273" w:rsidRDefault="00EB705F" w:rsidP="000168AD">
      <w:pPr>
        <w:pStyle w:val="ListParagraph"/>
        <w:numPr>
          <w:ilvl w:val="1"/>
          <w:numId w:val="464"/>
        </w:numPr>
        <w:tabs>
          <w:tab w:val="left" w:pos="1274"/>
        </w:tabs>
        <w:spacing w:line="276" w:lineRule="auto"/>
        <w:ind w:right="26" w:hanging="568"/>
        <w:jc w:val="both"/>
        <w:rPr>
          <w:rFonts w:ascii="Arial" w:hAnsi="Arial" w:cs="Arial"/>
          <w:sz w:val="20"/>
        </w:rPr>
      </w:pPr>
      <w:r w:rsidRPr="003E6273">
        <w:rPr>
          <w:rFonts w:ascii="Arial" w:hAnsi="Arial" w:cs="Arial"/>
          <w:sz w:val="20"/>
        </w:rPr>
        <w:t>a</w:t>
      </w:r>
      <w:r w:rsidRPr="003E6273">
        <w:rPr>
          <w:rFonts w:ascii="Arial" w:hAnsi="Arial" w:cs="Arial"/>
          <w:spacing w:val="-3"/>
          <w:sz w:val="20"/>
        </w:rPr>
        <w:t xml:space="preserve"> </w:t>
      </w:r>
      <w:r w:rsidRPr="003E6273">
        <w:rPr>
          <w:rFonts w:ascii="Arial" w:hAnsi="Arial" w:cs="Arial"/>
          <w:sz w:val="20"/>
        </w:rPr>
        <w:t>description</w:t>
      </w:r>
      <w:r w:rsidRPr="003E6273">
        <w:rPr>
          <w:rFonts w:ascii="Arial" w:hAnsi="Arial" w:cs="Arial"/>
          <w:spacing w:val="-3"/>
          <w:sz w:val="20"/>
        </w:rPr>
        <w:t xml:space="preserve"> </w:t>
      </w:r>
      <w:r w:rsidRPr="003E6273">
        <w:rPr>
          <w:rFonts w:ascii="Arial" w:hAnsi="Arial" w:cs="Arial"/>
          <w:sz w:val="20"/>
        </w:rPr>
        <w:t>of</w:t>
      </w:r>
      <w:r w:rsidRPr="003E6273">
        <w:rPr>
          <w:rFonts w:ascii="Arial" w:hAnsi="Arial" w:cs="Arial"/>
          <w:spacing w:val="-2"/>
          <w:sz w:val="20"/>
        </w:rPr>
        <w:t xml:space="preserve"> </w:t>
      </w:r>
      <w:r w:rsidRPr="003E6273">
        <w:rPr>
          <w:rFonts w:ascii="Arial" w:hAnsi="Arial" w:cs="Arial"/>
          <w:sz w:val="20"/>
        </w:rPr>
        <w:t>the</w:t>
      </w:r>
      <w:r w:rsidRPr="003E6273">
        <w:rPr>
          <w:rFonts w:ascii="Arial" w:hAnsi="Arial" w:cs="Arial"/>
          <w:spacing w:val="-4"/>
          <w:sz w:val="20"/>
        </w:rPr>
        <w:t xml:space="preserve"> </w:t>
      </w:r>
      <w:r w:rsidRPr="003E6273">
        <w:rPr>
          <w:rFonts w:ascii="Arial" w:hAnsi="Arial" w:cs="Arial"/>
          <w:sz w:val="20"/>
        </w:rPr>
        <w:t>systems</w:t>
      </w:r>
      <w:r w:rsidRPr="003E6273">
        <w:rPr>
          <w:rFonts w:ascii="Arial" w:hAnsi="Arial" w:cs="Arial"/>
          <w:spacing w:val="-2"/>
          <w:sz w:val="20"/>
        </w:rPr>
        <w:t xml:space="preserve"> </w:t>
      </w:r>
      <w:r w:rsidRPr="003E6273">
        <w:rPr>
          <w:rFonts w:ascii="Arial" w:hAnsi="Arial" w:cs="Arial"/>
          <w:sz w:val="20"/>
        </w:rPr>
        <w:t>including</w:t>
      </w:r>
      <w:r w:rsidRPr="003E6273">
        <w:rPr>
          <w:rFonts w:ascii="Arial" w:hAnsi="Arial" w:cs="Arial"/>
          <w:spacing w:val="-3"/>
          <w:sz w:val="20"/>
        </w:rPr>
        <w:t xml:space="preserve"> </w:t>
      </w:r>
      <w:r w:rsidRPr="003E6273">
        <w:rPr>
          <w:rFonts w:ascii="Arial" w:hAnsi="Arial" w:cs="Arial"/>
          <w:sz w:val="20"/>
        </w:rPr>
        <w:t>the</w:t>
      </w:r>
      <w:r w:rsidRPr="003E6273">
        <w:rPr>
          <w:rFonts w:ascii="Arial" w:hAnsi="Arial" w:cs="Arial"/>
          <w:spacing w:val="-1"/>
          <w:sz w:val="20"/>
        </w:rPr>
        <w:t xml:space="preserve"> </w:t>
      </w:r>
      <w:r w:rsidRPr="003E6273">
        <w:rPr>
          <w:rFonts w:ascii="Arial" w:hAnsi="Arial" w:cs="Arial"/>
          <w:sz w:val="20"/>
        </w:rPr>
        <w:t>assembly</w:t>
      </w:r>
      <w:r w:rsidRPr="003E6273">
        <w:rPr>
          <w:rFonts w:ascii="Arial" w:hAnsi="Arial" w:cs="Arial"/>
          <w:spacing w:val="-2"/>
          <w:sz w:val="20"/>
        </w:rPr>
        <w:t xml:space="preserve"> </w:t>
      </w:r>
      <w:r w:rsidRPr="003E6273">
        <w:rPr>
          <w:rFonts w:ascii="Arial" w:hAnsi="Arial" w:cs="Arial"/>
          <w:sz w:val="20"/>
        </w:rPr>
        <w:t>and</w:t>
      </w:r>
      <w:r w:rsidRPr="003E6273">
        <w:rPr>
          <w:rFonts w:ascii="Arial" w:hAnsi="Arial" w:cs="Arial"/>
          <w:spacing w:val="-4"/>
          <w:sz w:val="20"/>
        </w:rPr>
        <w:t xml:space="preserve"> </w:t>
      </w:r>
      <w:r w:rsidRPr="003E6273">
        <w:rPr>
          <w:rFonts w:ascii="Arial" w:hAnsi="Arial" w:cs="Arial"/>
          <w:sz w:val="20"/>
        </w:rPr>
        <w:t>disassembly</w:t>
      </w:r>
      <w:r w:rsidRPr="003E6273">
        <w:rPr>
          <w:rFonts w:ascii="Arial" w:hAnsi="Arial" w:cs="Arial"/>
          <w:spacing w:val="-1"/>
          <w:sz w:val="20"/>
        </w:rPr>
        <w:t xml:space="preserve"> </w:t>
      </w:r>
      <w:r w:rsidRPr="003E6273">
        <w:rPr>
          <w:rFonts w:ascii="Arial" w:hAnsi="Arial" w:cs="Arial"/>
          <w:sz w:val="20"/>
        </w:rPr>
        <w:t>instructions;</w:t>
      </w:r>
    </w:p>
    <w:p w14:paraId="04D9517C" w14:textId="77777777" w:rsidR="00EB705F" w:rsidRPr="003E6273" w:rsidRDefault="00EB705F" w:rsidP="000168AD">
      <w:pPr>
        <w:pStyle w:val="ListParagraph"/>
        <w:numPr>
          <w:ilvl w:val="1"/>
          <w:numId w:val="464"/>
        </w:numPr>
        <w:tabs>
          <w:tab w:val="left" w:pos="1274"/>
        </w:tabs>
        <w:spacing w:line="276" w:lineRule="auto"/>
        <w:ind w:right="26"/>
        <w:jc w:val="both"/>
        <w:rPr>
          <w:rFonts w:ascii="Arial" w:hAnsi="Arial" w:cs="Arial"/>
          <w:sz w:val="20"/>
        </w:rPr>
      </w:pPr>
      <w:r w:rsidRPr="003E6273">
        <w:rPr>
          <w:rFonts w:ascii="Arial" w:hAnsi="Arial" w:cs="Arial"/>
          <w:sz w:val="20"/>
        </w:rPr>
        <w:t>a parts list covering all construction and equipment components and the assemblies.</w:t>
      </w:r>
      <w:r w:rsidRPr="003E6273">
        <w:rPr>
          <w:rFonts w:ascii="Arial" w:hAnsi="Arial" w:cs="Arial"/>
          <w:spacing w:val="1"/>
          <w:sz w:val="20"/>
        </w:rPr>
        <w:t xml:space="preserve"> </w:t>
      </w:r>
      <w:r w:rsidRPr="003E6273">
        <w:rPr>
          <w:rFonts w:ascii="Arial" w:hAnsi="Arial" w:cs="Arial"/>
          <w:sz w:val="20"/>
        </w:rPr>
        <w:t>Where applicable, individual parts need to be numbered so that they can be related to</w:t>
      </w:r>
      <w:r w:rsidRPr="003E6273">
        <w:rPr>
          <w:rFonts w:ascii="Arial" w:hAnsi="Arial" w:cs="Arial"/>
          <w:spacing w:val="1"/>
          <w:sz w:val="20"/>
        </w:rPr>
        <w:t xml:space="preserve"> </w:t>
      </w:r>
      <w:r w:rsidRPr="003E6273">
        <w:rPr>
          <w:rFonts w:ascii="Arial" w:hAnsi="Arial" w:cs="Arial"/>
          <w:sz w:val="20"/>
        </w:rPr>
        <w:t>the different assemblies and that their number corresponds to the type plate of the</w:t>
      </w:r>
      <w:r w:rsidRPr="003E6273">
        <w:rPr>
          <w:rFonts w:ascii="Arial" w:hAnsi="Arial" w:cs="Arial"/>
          <w:spacing w:val="1"/>
          <w:sz w:val="20"/>
        </w:rPr>
        <w:t xml:space="preserve"> </w:t>
      </w:r>
      <w:r w:rsidRPr="003E6273">
        <w:rPr>
          <w:rFonts w:ascii="Arial" w:hAnsi="Arial" w:cs="Arial"/>
          <w:sz w:val="20"/>
        </w:rPr>
        <w:t>assembly;</w:t>
      </w:r>
      <w:r w:rsidRPr="003E6273">
        <w:rPr>
          <w:rFonts w:ascii="Arial" w:hAnsi="Arial" w:cs="Arial"/>
          <w:spacing w:val="-1"/>
          <w:sz w:val="20"/>
        </w:rPr>
        <w:t xml:space="preserve"> </w:t>
      </w:r>
      <w:r w:rsidRPr="003E6273">
        <w:rPr>
          <w:rFonts w:ascii="Arial" w:hAnsi="Arial" w:cs="Arial"/>
          <w:sz w:val="20"/>
        </w:rPr>
        <w:t>and</w:t>
      </w:r>
    </w:p>
    <w:p w14:paraId="2017C675" w14:textId="77777777" w:rsidR="00EB705F" w:rsidRPr="003E6273" w:rsidRDefault="00EB705F" w:rsidP="000168AD">
      <w:pPr>
        <w:pStyle w:val="ListParagraph"/>
        <w:numPr>
          <w:ilvl w:val="1"/>
          <w:numId w:val="464"/>
        </w:numPr>
        <w:tabs>
          <w:tab w:val="left" w:pos="1274"/>
        </w:tabs>
        <w:spacing w:before="121" w:line="276" w:lineRule="auto"/>
        <w:ind w:right="26" w:hanging="568"/>
        <w:jc w:val="both"/>
        <w:rPr>
          <w:rFonts w:ascii="Arial" w:hAnsi="Arial" w:cs="Arial"/>
          <w:sz w:val="20"/>
        </w:rPr>
      </w:pPr>
      <w:r w:rsidRPr="003E6273">
        <w:rPr>
          <w:rFonts w:ascii="Arial" w:hAnsi="Arial" w:cs="Arial"/>
          <w:sz w:val="20"/>
        </w:rPr>
        <w:t>a</w:t>
      </w:r>
      <w:r w:rsidRPr="003E6273">
        <w:rPr>
          <w:rFonts w:ascii="Arial" w:hAnsi="Arial" w:cs="Arial"/>
          <w:spacing w:val="-2"/>
          <w:sz w:val="20"/>
        </w:rPr>
        <w:t xml:space="preserve"> </w:t>
      </w:r>
      <w:r w:rsidRPr="003E6273">
        <w:rPr>
          <w:rFonts w:ascii="Arial" w:hAnsi="Arial" w:cs="Arial"/>
          <w:sz w:val="20"/>
        </w:rPr>
        <w:t>summary</w:t>
      </w:r>
      <w:r w:rsidRPr="003E6273">
        <w:rPr>
          <w:rFonts w:ascii="Arial" w:hAnsi="Arial" w:cs="Arial"/>
          <w:spacing w:val="-1"/>
          <w:sz w:val="20"/>
        </w:rPr>
        <w:t xml:space="preserve"> </w:t>
      </w:r>
      <w:r w:rsidRPr="003E6273">
        <w:rPr>
          <w:rFonts w:ascii="Arial" w:hAnsi="Arial" w:cs="Arial"/>
          <w:sz w:val="20"/>
        </w:rPr>
        <w:t>of</w:t>
      </w:r>
      <w:r w:rsidRPr="003E6273">
        <w:rPr>
          <w:rFonts w:ascii="Arial" w:hAnsi="Arial" w:cs="Arial"/>
          <w:spacing w:val="-4"/>
          <w:sz w:val="20"/>
        </w:rPr>
        <w:t xml:space="preserve"> </w:t>
      </w:r>
      <w:r w:rsidRPr="003E6273">
        <w:rPr>
          <w:rFonts w:ascii="Arial" w:hAnsi="Arial" w:cs="Arial"/>
          <w:sz w:val="20"/>
        </w:rPr>
        <w:t>the</w:t>
      </w:r>
      <w:r w:rsidRPr="003E6273">
        <w:rPr>
          <w:rFonts w:ascii="Arial" w:hAnsi="Arial" w:cs="Arial"/>
          <w:spacing w:val="-4"/>
          <w:sz w:val="20"/>
        </w:rPr>
        <w:t xml:space="preserve"> </w:t>
      </w:r>
      <w:r w:rsidRPr="003E6273">
        <w:rPr>
          <w:rFonts w:ascii="Arial" w:hAnsi="Arial" w:cs="Arial"/>
          <w:sz w:val="20"/>
        </w:rPr>
        <w:t>materials</w:t>
      </w:r>
      <w:r w:rsidRPr="003E6273">
        <w:rPr>
          <w:rFonts w:ascii="Arial" w:hAnsi="Arial" w:cs="Arial"/>
          <w:spacing w:val="-4"/>
          <w:sz w:val="20"/>
        </w:rPr>
        <w:t xml:space="preserve"> </w:t>
      </w:r>
      <w:r w:rsidRPr="003E6273">
        <w:rPr>
          <w:rFonts w:ascii="Arial" w:hAnsi="Arial" w:cs="Arial"/>
          <w:sz w:val="20"/>
        </w:rPr>
        <w:t>and</w:t>
      </w:r>
      <w:r w:rsidRPr="003E6273">
        <w:rPr>
          <w:rFonts w:ascii="Arial" w:hAnsi="Arial" w:cs="Arial"/>
          <w:spacing w:val="-2"/>
          <w:sz w:val="20"/>
        </w:rPr>
        <w:t xml:space="preserve"> </w:t>
      </w:r>
      <w:r w:rsidRPr="003E6273">
        <w:rPr>
          <w:rFonts w:ascii="Arial" w:hAnsi="Arial" w:cs="Arial"/>
          <w:sz w:val="20"/>
        </w:rPr>
        <w:t>consumables</w:t>
      </w:r>
      <w:r w:rsidRPr="003E6273">
        <w:rPr>
          <w:rFonts w:ascii="Arial" w:hAnsi="Arial" w:cs="Arial"/>
          <w:spacing w:val="-1"/>
          <w:sz w:val="20"/>
        </w:rPr>
        <w:t xml:space="preserve"> </w:t>
      </w:r>
      <w:r w:rsidRPr="003E6273">
        <w:rPr>
          <w:rFonts w:ascii="Arial" w:hAnsi="Arial" w:cs="Arial"/>
          <w:sz w:val="20"/>
        </w:rPr>
        <w:t>used</w:t>
      </w:r>
      <w:r w:rsidRPr="003E6273">
        <w:rPr>
          <w:rFonts w:ascii="Arial" w:hAnsi="Arial" w:cs="Arial"/>
          <w:spacing w:val="-2"/>
          <w:sz w:val="20"/>
        </w:rPr>
        <w:t xml:space="preserve"> </w:t>
      </w:r>
      <w:r w:rsidRPr="003E6273">
        <w:rPr>
          <w:rFonts w:ascii="Arial" w:hAnsi="Arial" w:cs="Arial"/>
          <w:sz w:val="20"/>
        </w:rPr>
        <w:t>with</w:t>
      </w:r>
      <w:r w:rsidRPr="003E6273">
        <w:rPr>
          <w:rFonts w:ascii="Arial" w:hAnsi="Arial" w:cs="Arial"/>
          <w:spacing w:val="-2"/>
          <w:sz w:val="20"/>
        </w:rPr>
        <w:t xml:space="preserve"> </w:t>
      </w:r>
      <w:r w:rsidRPr="003E6273">
        <w:rPr>
          <w:rFonts w:ascii="Arial" w:hAnsi="Arial" w:cs="Arial"/>
          <w:sz w:val="20"/>
        </w:rPr>
        <w:t>procurement</w:t>
      </w:r>
      <w:r w:rsidRPr="003E6273">
        <w:rPr>
          <w:rFonts w:ascii="Arial" w:hAnsi="Arial" w:cs="Arial"/>
          <w:spacing w:val="-3"/>
          <w:sz w:val="20"/>
        </w:rPr>
        <w:t xml:space="preserve"> </w:t>
      </w:r>
      <w:r w:rsidRPr="003E6273">
        <w:rPr>
          <w:rFonts w:ascii="Arial" w:hAnsi="Arial" w:cs="Arial"/>
          <w:sz w:val="20"/>
        </w:rPr>
        <w:t>details.</w:t>
      </w:r>
    </w:p>
    <w:p w14:paraId="4B254A20" w14:textId="77777777" w:rsidR="00EB705F" w:rsidRDefault="00EB705F" w:rsidP="000168AD">
      <w:pPr>
        <w:pStyle w:val="BodyText"/>
        <w:spacing w:before="121" w:line="276" w:lineRule="auto"/>
        <w:ind w:left="706" w:right="26" w:hanging="567"/>
        <w:jc w:val="both"/>
        <w:rPr>
          <w:rFonts w:ascii="Arial" w:hAnsi="Arial" w:cs="Arial"/>
          <w:sz w:val="20"/>
        </w:rPr>
      </w:pPr>
      <w:r w:rsidRPr="003E6273">
        <w:rPr>
          <w:rFonts w:ascii="Arial" w:hAnsi="Arial" w:cs="Arial"/>
          <w:sz w:val="20"/>
        </w:rPr>
        <w:t>(d)(5) If applicable, the maintenance schedule may include instructions for continued airworthiness</w:t>
      </w:r>
      <w:r w:rsidRPr="003E6273">
        <w:rPr>
          <w:rFonts w:ascii="Arial" w:hAnsi="Arial" w:cs="Arial"/>
          <w:spacing w:val="1"/>
          <w:sz w:val="20"/>
        </w:rPr>
        <w:t xml:space="preserve"> </w:t>
      </w:r>
      <w:r w:rsidRPr="003E6273">
        <w:rPr>
          <w:rFonts w:ascii="Arial" w:hAnsi="Arial" w:cs="Arial"/>
          <w:sz w:val="20"/>
        </w:rPr>
        <w:t>(e.g. recommended inspections or mandatory replacement of parts) to ensure the suitable</w:t>
      </w:r>
      <w:r w:rsidRPr="003E6273">
        <w:rPr>
          <w:rFonts w:ascii="Arial" w:hAnsi="Arial" w:cs="Arial"/>
          <w:spacing w:val="1"/>
          <w:sz w:val="20"/>
        </w:rPr>
        <w:t xml:space="preserve"> </w:t>
      </w:r>
      <w:r w:rsidRPr="003E6273">
        <w:rPr>
          <w:rFonts w:ascii="Arial" w:hAnsi="Arial" w:cs="Arial"/>
          <w:sz w:val="20"/>
        </w:rPr>
        <w:t>protection of parts against deterioration or loss of strength, objective pass or fail criteria, e.g.</w:t>
      </w:r>
      <w:r w:rsidRPr="003E6273">
        <w:rPr>
          <w:rFonts w:ascii="Arial" w:hAnsi="Arial" w:cs="Arial"/>
          <w:spacing w:val="1"/>
          <w:sz w:val="20"/>
        </w:rPr>
        <w:t xml:space="preserve"> </w:t>
      </w:r>
      <w:r w:rsidRPr="003E6273">
        <w:rPr>
          <w:rFonts w:ascii="Arial" w:hAnsi="Arial" w:cs="Arial"/>
          <w:sz w:val="20"/>
        </w:rPr>
        <w:t>applicable</w:t>
      </w:r>
      <w:r w:rsidRPr="003E6273">
        <w:rPr>
          <w:rFonts w:ascii="Arial" w:hAnsi="Arial" w:cs="Arial"/>
          <w:spacing w:val="-1"/>
          <w:sz w:val="20"/>
        </w:rPr>
        <w:t xml:space="preserve"> </w:t>
      </w:r>
      <w:r w:rsidRPr="003E6273">
        <w:rPr>
          <w:rFonts w:ascii="Arial" w:hAnsi="Arial" w:cs="Arial"/>
          <w:sz w:val="20"/>
        </w:rPr>
        <w:t>where</w:t>
      </w:r>
      <w:r w:rsidRPr="003E6273">
        <w:rPr>
          <w:rFonts w:ascii="Arial" w:hAnsi="Arial" w:cs="Arial"/>
          <w:spacing w:val="1"/>
          <w:sz w:val="20"/>
        </w:rPr>
        <w:t xml:space="preserve"> </w:t>
      </w:r>
      <w:r w:rsidRPr="003E6273">
        <w:rPr>
          <w:rFonts w:ascii="Arial" w:hAnsi="Arial" w:cs="Arial"/>
          <w:sz w:val="20"/>
        </w:rPr>
        <w:t>tolerances need</w:t>
      </w:r>
      <w:r w:rsidRPr="003E6273">
        <w:rPr>
          <w:rFonts w:ascii="Arial" w:hAnsi="Arial" w:cs="Arial"/>
          <w:spacing w:val="-1"/>
          <w:sz w:val="20"/>
        </w:rPr>
        <w:t xml:space="preserve"> </w:t>
      </w:r>
      <w:r w:rsidRPr="003E6273">
        <w:rPr>
          <w:rFonts w:ascii="Arial" w:hAnsi="Arial" w:cs="Arial"/>
          <w:sz w:val="20"/>
        </w:rPr>
        <w:t>to</w:t>
      </w:r>
      <w:r w:rsidRPr="003E6273">
        <w:rPr>
          <w:rFonts w:ascii="Arial" w:hAnsi="Arial" w:cs="Arial"/>
          <w:spacing w:val="1"/>
          <w:sz w:val="20"/>
        </w:rPr>
        <w:t xml:space="preserve"> </w:t>
      </w:r>
      <w:r w:rsidRPr="003E6273">
        <w:rPr>
          <w:rFonts w:ascii="Arial" w:hAnsi="Arial" w:cs="Arial"/>
          <w:sz w:val="20"/>
        </w:rPr>
        <w:t>be</w:t>
      </w:r>
      <w:r w:rsidRPr="003E6273">
        <w:rPr>
          <w:rFonts w:ascii="Arial" w:hAnsi="Arial" w:cs="Arial"/>
          <w:spacing w:val="1"/>
          <w:sz w:val="20"/>
        </w:rPr>
        <w:t xml:space="preserve"> </w:t>
      </w:r>
      <w:r w:rsidRPr="003E6273">
        <w:rPr>
          <w:rFonts w:ascii="Arial" w:hAnsi="Arial" w:cs="Arial"/>
          <w:sz w:val="20"/>
        </w:rPr>
        <w:t>provided.</w:t>
      </w:r>
    </w:p>
    <w:p w14:paraId="70997C5F" w14:textId="77777777" w:rsidR="00EB705F" w:rsidRPr="003E6273" w:rsidRDefault="00EB705F" w:rsidP="000168AD">
      <w:pPr>
        <w:pStyle w:val="BodyText"/>
        <w:spacing w:before="119" w:line="276" w:lineRule="auto"/>
        <w:ind w:left="706" w:right="196" w:hanging="567"/>
        <w:jc w:val="both"/>
        <w:rPr>
          <w:rFonts w:ascii="Arial" w:hAnsi="Arial" w:cs="Arial"/>
        </w:rPr>
      </w:pPr>
      <w:r>
        <w:rPr>
          <w:rFonts w:ascii="Arial" w:hAnsi="Arial" w:cs="Arial"/>
          <w:sz w:val="20"/>
        </w:rPr>
        <w:t>(d)(6</w:t>
      </w:r>
      <w:r w:rsidRPr="003E6273">
        <w:rPr>
          <w:rFonts w:ascii="Arial" w:hAnsi="Arial" w:cs="Arial"/>
          <w:sz w:val="20"/>
        </w:rPr>
        <w:t>)</w:t>
      </w:r>
      <w:r>
        <w:rPr>
          <w:rFonts w:ascii="Arial" w:hAnsi="Arial" w:cs="Arial"/>
          <w:sz w:val="20"/>
        </w:rPr>
        <w:t xml:space="preserve"> </w:t>
      </w:r>
      <w:r w:rsidRPr="003E6273">
        <w:rPr>
          <w:rFonts w:ascii="Arial" w:hAnsi="Arial" w:cs="Arial"/>
          <w:sz w:val="20"/>
        </w:rPr>
        <w:t>The maintenance and inspection instructions need to provide information for removal and installation, cleaning, inspecting, adjusting, testing and lubrication of systems, parts and appliances of the balloon as required for continued airworthiness. Reference may be made to information from an accessory, instrument or equipment manufacturer as the source of this information if it is shown that the item has an exceptionally high degree of complexity requiring specialised maintenance techniques, test equipment or expertise.</w:t>
      </w:r>
    </w:p>
    <w:p w14:paraId="4B45450B" w14:textId="77777777" w:rsidR="00EB705F" w:rsidRPr="003E6273" w:rsidRDefault="00EB705F" w:rsidP="000168AD">
      <w:pPr>
        <w:pStyle w:val="BodyText"/>
        <w:spacing w:before="118" w:line="276" w:lineRule="auto"/>
        <w:ind w:left="706" w:right="26" w:hanging="567"/>
        <w:jc w:val="both"/>
        <w:rPr>
          <w:rFonts w:ascii="Arial" w:hAnsi="Arial" w:cs="Arial"/>
          <w:sz w:val="20"/>
        </w:rPr>
      </w:pPr>
      <w:r w:rsidRPr="003E6273">
        <w:rPr>
          <w:rFonts w:ascii="Arial" w:hAnsi="Arial" w:cs="Arial"/>
          <w:spacing w:val="-1"/>
          <w:sz w:val="20"/>
        </w:rPr>
        <w:t xml:space="preserve"> (d)(9)</w:t>
      </w:r>
      <w:r w:rsidRPr="003E6273">
        <w:rPr>
          <w:rFonts w:ascii="Arial" w:hAnsi="Arial" w:cs="Arial"/>
          <w:spacing w:val="19"/>
          <w:sz w:val="20"/>
        </w:rPr>
        <w:t xml:space="preserve"> </w:t>
      </w:r>
      <w:r w:rsidRPr="003E6273">
        <w:rPr>
          <w:rFonts w:ascii="Arial" w:hAnsi="Arial" w:cs="Arial"/>
          <w:spacing w:val="-1"/>
          <w:sz w:val="20"/>
        </w:rPr>
        <w:t>If</w:t>
      </w:r>
      <w:r w:rsidRPr="003E6273">
        <w:rPr>
          <w:rFonts w:ascii="Arial" w:hAnsi="Arial" w:cs="Arial"/>
          <w:spacing w:val="-8"/>
          <w:sz w:val="20"/>
        </w:rPr>
        <w:t xml:space="preserve"> </w:t>
      </w:r>
      <w:r w:rsidRPr="003E6273">
        <w:rPr>
          <w:rFonts w:ascii="Arial" w:hAnsi="Arial" w:cs="Arial"/>
          <w:spacing w:val="-1"/>
          <w:sz w:val="20"/>
        </w:rPr>
        <w:t>the</w:t>
      </w:r>
      <w:r w:rsidRPr="003E6273">
        <w:rPr>
          <w:rFonts w:ascii="Arial" w:hAnsi="Arial" w:cs="Arial"/>
          <w:spacing w:val="-10"/>
          <w:sz w:val="20"/>
        </w:rPr>
        <w:t xml:space="preserve"> </w:t>
      </w:r>
      <w:r w:rsidRPr="003E6273">
        <w:rPr>
          <w:rFonts w:ascii="Arial" w:hAnsi="Arial" w:cs="Arial"/>
          <w:sz w:val="20"/>
        </w:rPr>
        <w:t>instructions</w:t>
      </w:r>
      <w:r w:rsidRPr="003E6273">
        <w:rPr>
          <w:rFonts w:ascii="Arial" w:hAnsi="Arial" w:cs="Arial"/>
          <w:spacing w:val="-9"/>
          <w:sz w:val="20"/>
        </w:rPr>
        <w:t xml:space="preserve"> </w:t>
      </w:r>
      <w:r w:rsidRPr="003E6273">
        <w:rPr>
          <w:rFonts w:ascii="Arial" w:hAnsi="Arial" w:cs="Arial"/>
          <w:sz w:val="20"/>
        </w:rPr>
        <w:t>for</w:t>
      </w:r>
      <w:r w:rsidRPr="003E6273">
        <w:rPr>
          <w:rFonts w:ascii="Arial" w:hAnsi="Arial" w:cs="Arial"/>
          <w:spacing w:val="-10"/>
          <w:sz w:val="20"/>
        </w:rPr>
        <w:t xml:space="preserve"> </w:t>
      </w:r>
      <w:r w:rsidRPr="003E6273">
        <w:rPr>
          <w:rFonts w:ascii="Arial" w:hAnsi="Arial" w:cs="Arial"/>
          <w:sz w:val="20"/>
        </w:rPr>
        <w:t>continued</w:t>
      </w:r>
      <w:r w:rsidRPr="003E6273">
        <w:rPr>
          <w:rFonts w:ascii="Arial" w:hAnsi="Arial" w:cs="Arial"/>
          <w:spacing w:val="-8"/>
          <w:sz w:val="20"/>
        </w:rPr>
        <w:t xml:space="preserve"> </w:t>
      </w:r>
      <w:r w:rsidRPr="003E6273">
        <w:rPr>
          <w:rFonts w:ascii="Arial" w:hAnsi="Arial" w:cs="Arial"/>
          <w:sz w:val="20"/>
        </w:rPr>
        <w:t>airworthiness</w:t>
      </w:r>
      <w:r w:rsidRPr="003E6273">
        <w:rPr>
          <w:rFonts w:ascii="Arial" w:hAnsi="Arial" w:cs="Arial"/>
          <w:spacing w:val="-9"/>
          <w:sz w:val="20"/>
        </w:rPr>
        <w:t xml:space="preserve"> </w:t>
      </w:r>
      <w:r w:rsidRPr="003E6273">
        <w:rPr>
          <w:rFonts w:ascii="Arial" w:hAnsi="Arial" w:cs="Arial"/>
          <w:sz w:val="20"/>
        </w:rPr>
        <w:t>consist</w:t>
      </w:r>
      <w:r w:rsidRPr="003E6273">
        <w:rPr>
          <w:rFonts w:ascii="Arial" w:hAnsi="Arial" w:cs="Arial"/>
          <w:spacing w:val="-12"/>
          <w:sz w:val="20"/>
        </w:rPr>
        <w:t xml:space="preserve"> </w:t>
      </w:r>
      <w:r w:rsidRPr="003E6273">
        <w:rPr>
          <w:rFonts w:ascii="Arial" w:hAnsi="Arial" w:cs="Arial"/>
          <w:sz w:val="20"/>
        </w:rPr>
        <w:t>of</w:t>
      </w:r>
      <w:r w:rsidRPr="003E6273">
        <w:rPr>
          <w:rFonts w:ascii="Arial" w:hAnsi="Arial" w:cs="Arial"/>
          <w:spacing w:val="-10"/>
          <w:sz w:val="20"/>
        </w:rPr>
        <w:t xml:space="preserve"> </w:t>
      </w:r>
      <w:r w:rsidRPr="003E6273">
        <w:rPr>
          <w:rFonts w:ascii="Arial" w:hAnsi="Arial" w:cs="Arial"/>
          <w:sz w:val="20"/>
        </w:rPr>
        <w:t>multiple</w:t>
      </w:r>
      <w:r w:rsidRPr="003E6273">
        <w:rPr>
          <w:rFonts w:ascii="Arial" w:hAnsi="Arial" w:cs="Arial"/>
          <w:spacing w:val="-10"/>
          <w:sz w:val="20"/>
        </w:rPr>
        <w:t xml:space="preserve"> </w:t>
      </w:r>
      <w:r w:rsidRPr="003E6273">
        <w:rPr>
          <w:rFonts w:ascii="Arial" w:hAnsi="Arial" w:cs="Arial"/>
          <w:sz w:val="20"/>
        </w:rPr>
        <w:t>documents,</w:t>
      </w:r>
      <w:r w:rsidRPr="003E6273">
        <w:rPr>
          <w:rFonts w:ascii="Arial" w:hAnsi="Arial" w:cs="Arial"/>
          <w:spacing w:val="-9"/>
          <w:sz w:val="20"/>
        </w:rPr>
        <w:t xml:space="preserve"> </w:t>
      </w:r>
      <w:r w:rsidRPr="003E6273">
        <w:rPr>
          <w:rFonts w:ascii="Arial" w:hAnsi="Arial" w:cs="Arial"/>
          <w:sz w:val="20"/>
        </w:rPr>
        <w:t>the</w:t>
      </w:r>
      <w:r w:rsidRPr="003E6273">
        <w:rPr>
          <w:rFonts w:ascii="Arial" w:hAnsi="Arial" w:cs="Arial"/>
          <w:spacing w:val="-12"/>
          <w:sz w:val="20"/>
        </w:rPr>
        <w:t xml:space="preserve"> </w:t>
      </w:r>
      <w:r w:rsidRPr="003E6273">
        <w:rPr>
          <w:rFonts w:ascii="Arial" w:hAnsi="Arial" w:cs="Arial"/>
          <w:sz w:val="20"/>
        </w:rPr>
        <w:t>Airworthiness</w:t>
      </w:r>
      <w:r w:rsidRPr="003E6273">
        <w:rPr>
          <w:rFonts w:ascii="Arial" w:hAnsi="Arial" w:cs="Arial"/>
          <w:spacing w:val="-47"/>
          <w:sz w:val="20"/>
        </w:rPr>
        <w:t xml:space="preserve"> </w:t>
      </w:r>
      <w:r w:rsidRPr="003E6273">
        <w:rPr>
          <w:rFonts w:ascii="Arial" w:hAnsi="Arial" w:cs="Arial"/>
          <w:sz w:val="20"/>
        </w:rPr>
        <w:t>Limitations</w:t>
      </w:r>
      <w:r w:rsidRPr="003E6273">
        <w:rPr>
          <w:rFonts w:ascii="Arial" w:hAnsi="Arial" w:cs="Arial"/>
          <w:spacing w:val="-4"/>
          <w:sz w:val="20"/>
        </w:rPr>
        <w:t xml:space="preserve"> </w:t>
      </w:r>
      <w:r w:rsidRPr="003E6273">
        <w:rPr>
          <w:rFonts w:ascii="Arial" w:hAnsi="Arial" w:cs="Arial"/>
          <w:sz w:val="20"/>
        </w:rPr>
        <w:t>section</w:t>
      </w:r>
      <w:r w:rsidRPr="003E6273">
        <w:rPr>
          <w:rFonts w:ascii="Arial" w:hAnsi="Arial" w:cs="Arial"/>
          <w:spacing w:val="-1"/>
          <w:sz w:val="20"/>
        </w:rPr>
        <w:t xml:space="preserve"> </w:t>
      </w:r>
      <w:r w:rsidRPr="003E6273">
        <w:rPr>
          <w:rFonts w:ascii="Arial" w:hAnsi="Arial" w:cs="Arial"/>
          <w:sz w:val="20"/>
        </w:rPr>
        <w:t>needs</w:t>
      </w:r>
      <w:r w:rsidRPr="003E6273">
        <w:rPr>
          <w:rFonts w:ascii="Arial" w:hAnsi="Arial" w:cs="Arial"/>
          <w:spacing w:val="-2"/>
          <w:sz w:val="20"/>
        </w:rPr>
        <w:t xml:space="preserve"> </w:t>
      </w:r>
      <w:r w:rsidRPr="003E6273">
        <w:rPr>
          <w:rFonts w:ascii="Arial" w:hAnsi="Arial" w:cs="Arial"/>
          <w:sz w:val="20"/>
        </w:rPr>
        <w:t>to</w:t>
      </w:r>
      <w:r w:rsidRPr="003E6273">
        <w:rPr>
          <w:rFonts w:ascii="Arial" w:hAnsi="Arial" w:cs="Arial"/>
          <w:spacing w:val="1"/>
          <w:sz w:val="20"/>
        </w:rPr>
        <w:t xml:space="preserve"> </w:t>
      </w:r>
      <w:r w:rsidRPr="003E6273">
        <w:rPr>
          <w:rFonts w:ascii="Arial" w:hAnsi="Arial" w:cs="Arial"/>
          <w:sz w:val="20"/>
        </w:rPr>
        <w:t>be included</w:t>
      </w:r>
      <w:r w:rsidRPr="003E6273">
        <w:rPr>
          <w:rFonts w:ascii="Arial" w:hAnsi="Arial" w:cs="Arial"/>
          <w:spacing w:val="-3"/>
          <w:sz w:val="20"/>
        </w:rPr>
        <w:t xml:space="preserve"> </w:t>
      </w:r>
      <w:r w:rsidRPr="003E6273">
        <w:rPr>
          <w:rFonts w:ascii="Arial" w:hAnsi="Arial" w:cs="Arial"/>
          <w:sz w:val="20"/>
        </w:rPr>
        <w:t>in the principal</w:t>
      </w:r>
      <w:r w:rsidRPr="003E6273">
        <w:rPr>
          <w:rFonts w:ascii="Arial" w:hAnsi="Arial" w:cs="Arial"/>
          <w:spacing w:val="-1"/>
          <w:sz w:val="20"/>
        </w:rPr>
        <w:t xml:space="preserve"> </w:t>
      </w:r>
      <w:r w:rsidRPr="003E6273">
        <w:rPr>
          <w:rFonts w:ascii="Arial" w:hAnsi="Arial" w:cs="Arial"/>
          <w:sz w:val="20"/>
        </w:rPr>
        <w:t>manual.</w:t>
      </w:r>
    </w:p>
    <w:p w14:paraId="3B768CA4" w14:textId="77777777" w:rsidR="00EB705F" w:rsidRPr="003E6273" w:rsidRDefault="00EB705F" w:rsidP="00EB705F">
      <w:pPr>
        <w:keepNext/>
        <w:keepLines/>
        <w:widowControl/>
        <w:shd w:val="clear" w:color="auto" w:fill="2F5496"/>
        <w:autoSpaceDE/>
        <w:autoSpaceDN/>
        <w:spacing w:before="280" w:after="240" w:line="276" w:lineRule="auto"/>
        <w:jc w:val="both"/>
        <w:outlineLvl w:val="3"/>
        <w:rPr>
          <w:rFonts w:ascii="Arial" w:eastAsia="Times New Roman" w:hAnsi="Arial" w:cs="Times New Roman"/>
          <w:b/>
          <w:iCs/>
          <w:color w:val="FFFFFF"/>
          <w:sz w:val="24"/>
        </w:rPr>
      </w:pPr>
      <w:bookmarkStart w:id="1643" w:name="_Toc153137827"/>
      <w:r w:rsidRPr="003E6273">
        <w:rPr>
          <w:rFonts w:ascii="Arial" w:eastAsia="Times New Roman" w:hAnsi="Arial" w:cs="Times New Roman"/>
          <w:b/>
          <w:iCs/>
          <w:color w:val="FFFFFF"/>
          <w:sz w:val="24"/>
        </w:rPr>
        <w:t>CS 31TGB.83 Crew training and training information</w:t>
      </w:r>
      <w:bookmarkEnd w:id="1643"/>
    </w:p>
    <w:p w14:paraId="4DFE3AA8" w14:textId="77777777" w:rsidR="00EB705F" w:rsidRPr="003E6273" w:rsidRDefault="00EB705F" w:rsidP="00EB705F">
      <w:pPr>
        <w:pStyle w:val="BodyText"/>
        <w:spacing w:before="117" w:line="276" w:lineRule="auto"/>
        <w:ind w:right="26"/>
        <w:jc w:val="both"/>
        <w:rPr>
          <w:rFonts w:ascii="Arial" w:hAnsi="Arial" w:cs="Arial"/>
          <w:sz w:val="20"/>
        </w:rPr>
      </w:pPr>
      <w:r w:rsidRPr="003E6273">
        <w:rPr>
          <w:rFonts w:ascii="Arial" w:hAnsi="Arial" w:cs="Arial"/>
          <w:sz w:val="20"/>
        </w:rPr>
        <w:t>For a safe operation of the balloon, a training manual for crew is made available that contains as a minimum the following:</w:t>
      </w:r>
    </w:p>
    <w:p w14:paraId="2D1D1906" w14:textId="77777777" w:rsidR="00EB705F" w:rsidRPr="003E6273" w:rsidRDefault="00EB705F" w:rsidP="00EB705F">
      <w:pPr>
        <w:pStyle w:val="ListParagraph"/>
        <w:numPr>
          <w:ilvl w:val="0"/>
          <w:numId w:val="466"/>
        </w:numPr>
        <w:tabs>
          <w:tab w:val="left" w:pos="707"/>
        </w:tabs>
        <w:spacing w:before="117" w:line="276" w:lineRule="auto"/>
        <w:ind w:right="26"/>
        <w:jc w:val="both"/>
        <w:rPr>
          <w:rFonts w:ascii="Arial" w:hAnsi="Arial" w:cs="Arial"/>
          <w:sz w:val="20"/>
        </w:rPr>
      </w:pPr>
      <w:r w:rsidRPr="003E6273">
        <w:rPr>
          <w:rFonts w:ascii="Arial" w:hAnsi="Arial" w:cs="Arial"/>
          <w:sz w:val="20"/>
        </w:rPr>
        <w:t>Operating instructions and information as required by CS 31TGB.81;</w:t>
      </w:r>
    </w:p>
    <w:p w14:paraId="5055B46D" w14:textId="77777777" w:rsidR="00EB705F" w:rsidRPr="003E6273" w:rsidRDefault="00EB705F" w:rsidP="00EB705F">
      <w:pPr>
        <w:pStyle w:val="ListParagraph"/>
        <w:numPr>
          <w:ilvl w:val="0"/>
          <w:numId w:val="466"/>
        </w:numPr>
        <w:tabs>
          <w:tab w:val="left" w:pos="707"/>
        </w:tabs>
        <w:spacing w:before="117" w:line="276" w:lineRule="auto"/>
        <w:ind w:right="26"/>
        <w:jc w:val="both"/>
        <w:rPr>
          <w:rFonts w:ascii="Arial" w:hAnsi="Arial" w:cs="Arial"/>
          <w:sz w:val="20"/>
        </w:rPr>
      </w:pPr>
      <w:r w:rsidRPr="003E6273">
        <w:rPr>
          <w:rFonts w:ascii="Arial" w:hAnsi="Arial" w:cs="Arial"/>
          <w:sz w:val="20"/>
        </w:rPr>
        <w:t>Minimum crew qualifications;</w:t>
      </w:r>
    </w:p>
    <w:p w14:paraId="02F78AC0" w14:textId="77777777" w:rsidR="00EB705F" w:rsidRPr="003E6273" w:rsidRDefault="00EB705F" w:rsidP="00EB705F">
      <w:pPr>
        <w:pStyle w:val="ListParagraph"/>
        <w:numPr>
          <w:ilvl w:val="0"/>
          <w:numId w:val="466"/>
        </w:numPr>
        <w:tabs>
          <w:tab w:val="left" w:pos="707"/>
        </w:tabs>
        <w:spacing w:before="117" w:line="276" w:lineRule="auto"/>
        <w:ind w:right="26"/>
        <w:jc w:val="both"/>
        <w:rPr>
          <w:rFonts w:ascii="Arial" w:hAnsi="Arial" w:cs="Arial"/>
          <w:sz w:val="20"/>
        </w:rPr>
      </w:pPr>
      <w:r w:rsidRPr="003E6273">
        <w:rPr>
          <w:rFonts w:ascii="Arial" w:hAnsi="Arial" w:cs="Arial"/>
          <w:sz w:val="20"/>
        </w:rPr>
        <w:t>Minimum training requirements, both theoretical and practical as appropriate;</w:t>
      </w:r>
    </w:p>
    <w:p w14:paraId="6D92905C" w14:textId="77777777" w:rsidR="00EB705F" w:rsidRPr="003E6273" w:rsidRDefault="00EB705F" w:rsidP="00EB705F">
      <w:pPr>
        <w:pStyle w:val="ListParagraph"/>
        <w:numPr>
          <w:ilvl w:val="0"/>
          <w:numId w:val="466"/>
        </w:numPr>
        <w:tabs>
          <w:tab w:val="left" w:pos="707"/>
        </w:tabs>
        <w:spacing w:before="117" w:line="276" w:lineRule="auto"/>
        <w:ind w:right="26"/>
        <w:jc w:val="both"/>
        <w:rPr>
          <w:rFonts w:ascii="Arial" w:hAnsi="Arial" w:cs="Arial"/>
          <w:sz w:val="20"/>
        </w:rPr>
      </w:pPr>
      <w:r w:rsidRPr="003E6273">
        <w:rPr>
          <w:rFonts w:ascii="Arial" w:hAnsi="Arial" w:cs="Arial"/>
          <w:sz w:val="20"/>
        </w:rPr>
        <w:t>A method to show proof of successfully completing the training; and</w:t>
      </w:r>
    </w:p>
    <w:p w14:paraId="2AB90480" w14:textId="77777777" w:rsidR="00EB705F" w:rsidRPr="003E6273" w:rsidRDefault="00EB705F" w:rsidP="00EB705F">
      <w:pPr>
        <w:pStyle w:val="ListParagraph"/>
        <w:numPr>
          <w:ilvl w:val="0"/>
          <w:numId w:val="466"/>
        </w:numPr>
        <w:tabs>
          <w:tab w:val="left" w:pos="707"/>
        </w:tabs>
        <w:spacing w:before="117" w:line="276" w:lineRule="auto"/>
        <w:ind w:right="26"/>
        <w:jc w:val="both"/>
        <w:rPr>
          <w:rFonts w:ascii="Arial" w:hAnsi="Arial" w:cs="Arial"/>
          <w:sz w:val="20"/>
        </w:rPr>
      </w:pPr>
      <w:r w:rsidRPr="003E6273">
        <w:rPr>
          <w:rFonts w:ascii="Arial" w:hAnsi="Arial" w:cs="Arial"/>
          <w:sz w:val="20"/>
        </w:rPr>
        <w:t>Recommended training requirements</w:t>
      </w:r>
    </w:p>
    <w:p w14:paraId="16EE5C46" w14:textId="77777777" w:rsidR="00EB705F" w:rsidRPr="0005415A" w:rsidRDefault="00EB705F" w:rsidP="00EB705F">
      <w:pPr>
        <w:keepNext/>
        <w:keepLines/>
        <w:widowControl/>
        <w:shd w:val="clear" w:color="auto" w:fill="ED7D31"/>
        <w:autoSpaceDE/>
        <w:autoSpaceDN/>
        <w:spacing w:before="160" w:after="120" w:line="276" w:lineRule="auto"/>
        <w:jc w:val="both"/>
        <w:outlineLvl w:val="4"/>
        <w:rPr>
          <w:rFonts w:ascii="Arial" w:eastAsia="Times New Roman" w:hAnsi="Arial" w:cs="Times New Roman"/>
          <w:b/>
          <w:color w:val="FFFFFF"/>
          <w:sz w:val="24"/>
        </w:rPr>
      </w:pPr>
      <w:bookmarkStart w:id="1644" w:name="_Toc153137828"/>
      <w:r w:rsidRPr="0005415A">
        <w:rPr>
          <w:rFonts w:ascii="Arial" w:eastAsia="Times New Roman" w:hAnsi="Arial" w:cs="Times New Roman"/>
          <w:b/>
          <w:color w:val="FFFFFF"/>
          <w:sz w:val="24"/>
        </w:rPr>
        <w:t>AMC1 31TGB.83 Crew training and training information</w:t>
      </w:r>
      <w:bookmarkEnd w:id="1644"/>
    </w:p>
    <w:p w14:paraId="51569EA1" w14:textId="77777777" w:rsidR="00EB705F" w:rsidRPr="0005415A" w:rsidRDefault="00EB705F" w:rsidP="00EB705F">
      <w:pPr>
        <w:pStyle w:val="BodyText"/>
        <w:spacing w:before="117" w:line="276" w:lineRule="auto"/>
        <w:ind w:right="26"/>
        <w:jc w:val="both"/>
        <w:rPr>
          <w:rFonts w:ascii="Arial" w:hAnsi="Arial" w:cs="Arial"/>
          <w:sz w:val="20"/>
        </w:rPr>
      </w:pPr>
      <w:r w:rsidRPr="0005415A">
        <w:rPr>
          <w:rFonts w:ascii="Arial" w:hAnsi="Arial" w:cs="Arial"/>
          <w:sz w:val="20"/>
        </w:rPr>
        <w:t>The crew training and training information contains the following aspects when applicable to the operation of the balloon:</w:t>
      </w:r>
    </w:p>
    <w:p w14:paraId="03105EFC" w14:textId="77777777" w:rsidR="00EB705F" w:rsidRPr="0005415A" w:rsidRDefault="00EB705F" w:rsidP="00EB705F">
      <w:pPr>
        <w:pStyle w:val="ListParagraph"/>
        <w:numPr>
          <w:ilvl w:val="0"/>
          <w:numId w:val="467"/>
        </w:numPr>
        <w:tabs>
          <w:tab w:val="left" w:pos="707"/>
        </w:tabs>
        <w:spacing w:before="117" w:line="276" w:lineRule="auto"/>
        <w:ind w:right="26"/>
        <w:jc w:val="both"/>
        <w:rPr>
          <w:rFonts w:ascii="Arial" w:hAnsi="Arial" w:cs="Arial"/>
          <w:sz w:val="20"/>
        </w:rPr>
      </w:pPr>
      <w:r w:rsidRPr="0005415A">
        <w:rPr>
          <w:rFonts w:ascii="Arial" w:hAnsi="Arial" w:cs="Arial"/>
          <w:sz w:val="20"/>
        </w:rPr>
        <w:t>general information on the training syllabus (theoretical and practical training) and examination;</w:t>
      </w:r>
    </w:p>
    <w:p w14:paraId="26188A84" w14:textId="77777777" w:rsidR="00EB705F" w:rsidRPr="0005415A" w:rsidRDefault="00EB705F" w:rsidP="00EB705F">
      <w:pPr>
        <w:pStyle w:val="ListParagraph"/>
        <w:numPr>
          <w:ilvl w:val="0"/>
          <w:numId w:val="467"/>
        </w:numPr>
        <w:tabs>
          <w:tab w:val="left" w:pos="707"/>
        </w:tabs>
        <w:spacing w:before="117" w:line="276" w:lineRule="auto"/>
        <w:ind w:right="26"/>
        <w:jc w:val="both"/>
        <w:rPr>
          <w:rFonts w:ascii="Arial" w:hAnsi="Arial" w:cs="Arial"/>
          <w:sz w:val="20"/>
        </w:rPr>
      </w:pPr>
      <w:r w:rsidRPr="0005415A">
        <w:rPr>
          <w:rFonts w:ascii="Arial" w:hAnsi="Arial" w:cs="Arial"/>
          <w:sz w:val="20"/>
        </w:rPr>
        <w:lastRenderedPageBreak/>
        <w:t>description of the system in sufficient detail to understand the principles of the balloon and systems;</w:t>
      </w:r>
    </w:p>
    <w:p w14:paraId="1686C0CD" w14:textId="77777777" w:rsidR="00EB705F" w:rsidRPr="0005415A" w:rsidRDefault="00EB705F" w:rsidP="00EB705F">
      <w:pPr>
        <w:pStyle w:val="ListParagraph"/>
        <w:numPr>
          <w:ilvl w:val="0"/>
          <w:numId w:val="467"/>
        </w:numPr>
        <w:tabs>
          <w:tab w:val="left" w:pos="707"/>
        </w:tabs>
        <w:spacing w:before="117" w:line="276" w:lineRule="auto"/>
        <w:ind w:right="26"/>
        <w:jc w:val="both"/>
        <w:rPr>
          <w:rFonts w:ascii="Arial" w:hAnsi="Arial" w:cs="Arial"/>
          <w:sz w:val="20"/>
        </w:rPr>
      </w:pPr>
      <w:r w:rsidRPr="0005415A">
        <w:rPr>
          <w:rFonts w:ascii="Arial" w:hAnsi="Arial" w:cs="Arial"/>
          <w:sz w:val="20"/>
        </w:rPr>
        <w:t>environmental conditions and their impact on safe operation;</w:t>
      </w:r>
    </w:p>
    <w:p w14:paraId="4A9F3098" w14:textId="77777777" w:rsidR="00EB705F" w:rsidRPr="0005415A" w:rsidRDefault="00EB705F" w:rsidP="00EB705F">
      <w:pPr>
        <w:pStyle w:val="ListParagraph"/>
        <w:numPr>
          <w:ilvl w:val="0"/>
          <w:numId w:val="467"/>
        </w:numPr>
        <w:tabs>
          <w:tab w:val="left" w:pos="707"/>
        </w:tabs>
        <w:spacing w:before="117" w:line="276" w:lineRule="auto"/>
        <w:ind w:right="26"/>
        <w:jc w:val="both"/>
        <w:rPr>
          <w:rFonts w:ascii="Arial" w:hAnsi="Arial" w:cs="Arial"/>
          <w:sz w:val="20"/>
        </w:rPr>
      </w:pPr>
      <w:r w:rsidRPr="0005415A">
        <w:rPr>
          <w:rFonts w:ascii="Arial" w:hAnsi="Arial" w:cs="Arial"/>
          <w:sz w:val="20"/>
        </w:rPr>
        <w:t>procedures for:</w:t>
      </w:r>
    </w:p>
    <w:p w14:paraId="581812EE" w14:textId="77777777" w:rsidR="00EB705F" w:rsidRPr="0005415A" w:rsidRDefault="00EB705F" w:rsidP="00EB705F">
      <w:pPr>
        <w:pStyle w:val="ListParagraph"/>
        <w:numPr>
          <w:ilvl w:val="0"/>
          <w:numId w:val="468"/>
        </w:numPr>
        <w:tabs>
          <w:tab w:val="left" w:pos="1274"/>
        </w:tabs>
        <w:ind w:right="26"/>
        <w:jc w:val="both"/>
        <w:rPr>
          <w:rFonts w:ascii="Arial" w:hAnsi="Arial" w:cs="Arial"/>
          <w:sz w:val="20"/>
        </w:rPr>
      </w:pPr>
      <w:r w:rsidRPr="0005415A">
        <w:rPr>
          <w:rFonts w:ascii="Arial" w:hAnsi="Arial" w:cs="Arial"/>
          <w:sz w:val="20"/>
        </w:rPr>
        <w:t>mooring (high and low);</w:t>
      </w:r>
    </w:p>
    <w:p w14:paraId="2E9B1AE4" w14:textId="77777777" w:rsidR="00EB705F" w:rsidRPr="0005415A" w:rsidRDefault="00EB705F" w:rsidP="00EB705F">
      <w:pPr>
        <w:pStyle w:val="ListParagraph"/>
        <w:numPr>
          <w:ilvl w:val="0"/>
          <w:numId w:val="468"/>
        </w:numPr>
        <w:tabs>
          <w:tab w:val="left" w:pos="1274"/>
        </w:tabs>
        <w:ind w:right="26"/>
        <w:jc w:val="both"/>
        <w:rPr>
          <w:rFonts w:ascii="Arial" w:hAnsi="Arial" w:cs="Arial"/>
          <w:sz w:val="20"/>
        </w:rPr>
      </w:pPr>
      <w:r w:rsidRPr="0005415A">
        <w:rPr>
          <w:rFonts w:ascii="Arial" w:hAnsi="Arial" w:cs="Arial"/>
          <w:sz w:val="20"/>
        </w:rPr>
        <w:t>flying;</w:t>
      </w:r>
    </w:p>
    <w:p w14:paraId="0F635BEC" w14:textId="77777777" w:rsidR="00EB705F" w:rsidRPr="0005415A" w:rsidRDefault="00EB705F" w:rsidP="00EB705F">
      <w:pPr>
        <w:pStyle w:val="ListParagraph"/>
        <w:numPr>
          <w:ilvl w:val="0"/>
          <w:numId w:val="468"/>
        </w:numPr>
        <w:tabs>
          <w:tab w:val="left" w:pos="1274"/>
        </w:tabs>
        <w:ind w:right="26"/>
        <w:jc w:val="both"/>
        <w:rPr>
          <w:rFonts w:ascii="Arial" w:hAnsi="Arial" w:cs="Arial"/>
          <w:sz w:val="20"/>
        </w:rPr>
      </w:pPr>
      <w:r w:rsidRPr="0005415A">
        <w:rPr>
          <w:rFonts w:ascii="Arial" w:hAnsi="Arial" w:cs="Arial"/>
          <w:sz w:val="20"/>
        </w:rPr>
        <w:t>inflation and deflation; and</w:t>
      </w:r>
    </w:p>
    <w:p w14:paraId="71CA1DF6" w14:textId="77777777" w:rsidR="00EB705F" w:rsidRPr="0005415A" w:rsidRDefault="00EB705F" w:rsidP="00EB705F">
      <w:pPr>
        <w:pStyle w:val="ListParagraph"/>
        <w:numPr>
          <w:ilvl w:val="0"/>
          <w:numId w:val="468"/>
        </w:numPr>
        <w:tabs>
          <w:tab w:val="left" w:pos="1274"/>
        </w:tabs>
        <w:ind w:right="26"/>
        <w:jc w:val="both"/>
        <w:rPr>
          <w:rFonts w:ascii="Arial" w:hAnsi="Arial" w:cs="Arial"/>
          <w:sz w:val="20"/>
        </w:rPr>
      </w:pPr>
      <w:r w:rsidRPr="0005415A">
        <w:rPr>
          <w:rFonts w:ascii="Arial" w:hAnsi="Arial" w:cs="Arial"/>
          <w:sz w:val="20"/>
        </w:rPr>
        <w:t>emergency procedures;</w:t>
      </w:r>
    </w:p>
    <w:p w14:paraId="71EC4D2B" w14:textId="77777777" w:rsidR="00EB705F" w:rsidRPr="0005415A" w:rsidRDefault="00EB705F" w:rsidP="00EB705F">
      <w:pPr>
        <w:pStyle w:val="ListParagraph"/>
        <w:numPr>
          <w:ilvl w:val="0"/>
          <w:numId w:val="467"/>
        </w:numPr>
        <w:tabs>
          <w:tab w:val="left" w:pos="707"/>
        </w:tabs>
        <w:spacing w:before="117" w:line="276" w:lineRule="auto"/>
        <w:ind w:right="26"/>
        <w:jc w:val="both"/>
        <w:rPr>
          <w:rFonts w:ascii="Arial" w:hAnsi="Arial" w:cs="Arial"/>
          <w:sz w:val="20"/>
        </w:rPr>
      </w:pPr>
      <w:r w:rsidRPr="0005415A">
        <w:rPr>
          <w:rFonts w:ascii="Arial" w:hAnsi="Arial" w:cs="Arial"/>
          <w:sz w:val="20"/>
        </w:rPr>
        <w:t>weather;</w:t>
      </w:r>
    </w:p>
    <w:p w14:paraId="11594C8E" w14:textId="77777777" w:rsidR="00EB705F" w:rsidRPr="0005415A" w:rsidRDefault="00EB705F" w:rsidP="00EB705F">
      <w:pPr>
        <w:pStyle w:val="ListParagraph"/>
        <w:numPr>
          <w:ilvl w:val="0"/>
          <w:numId w:val="467"/>
        </w:numPr>
        <w:tabs>
          <w:tab w:val="left" w:pos="707"/>
        </w:tabs>
        <w:spacing w:before="117" w:line="276" w:lineRule="auto"/>
        <w:ind w:right="26"/>
        <w:jc w:val="both"/>
        <w:rPr>
          <w:rFonts w:ascii="Arial" w:hAnsi="Arial" w:cs="Arial"/>
          <w:sz w:val="20"/>
        </w:rPr>
      </w:pPr>
      <w:r w:rsidRPr="0005415A">
        <w:rPr>
          <w:rFonts w:ascii="Arial" w:hAnsi="Arial" w:cs="Arial"/>
          <w:sz w:val="20"/>
        </w:rPr>
        <w:t>maintenance; and</w:t>
      </w:r>
    </w:p>
    <w:p w14:paraId="29DAA6A6" w14:textId="77777777" w:rsidR="00EB705F" w:rsidRPr="0005415A" w:rsidRDefault="00EB705F" w:rsidP="00EB705F">
      <w:pPr>
        <w:pStyle w:val="ListParagraph"/>
        <w:numPr>
          <w:ilvl w:val="0"/>
          <w:numId w:val="467"/>
        </w:numPr>
        <w:tabs>
          <w:tab w:val="left" w:pos="707"/>
        </w:tabs>
        <w:spacing w:before="117" w:line="276" w:lineRule="auto"/>
        <w:ind w:right="26"/>
        <w:jc w:val="both"/>
        <w:rPr>
          <w:rFonts w:ascii="Arial" w:hAnsi="Arial" w:cs="Arial"/>
          <w:sz w:val="20"/>
        </w:rPr>
      </w:pPr>
      <w:r w:rsidRPr="0005415A">
        <w:rPr>
          <w:rFonts w:ascii="Arial" w:hAnsi="Arial" w:cs="Arial"/>
          <w:sz w:val="20"/>
        </w:rPr>
        <w:t>record keeping.</w:t>
      </w:r>
    </w:p>
    <w:p w14:paraId="280B5171" w14:textId="77777777" w:rsidR="008272C3" w:rsidRPr="00070589" w:rsidRDefault="008272C3" w:rsidP="00677FA5">
      <w:pPr>
        <w:tabs>
          <w:tab w:val="left" w:pos="707"/>
        </w:tabs>
        <w:spacing w:before="117" w:line="276" w:lineRule="auto"/>
        <w:ind w:right="26"/>
        <w:jc w:val="both"/>
        <w:rPr>
          <w:rFonts w:ascii="Arial" w:hAnsi="Arial" w:cs="Arial"/>
          <w:sz w:val="20"/>
        </w:rPr>
      </w:pPr>
    </w:p>
    <w:sectPr w:rsidR="008272C3" w:rsidRPr="00070589" w:rsidSect="008304B0">
      <w:headerReference w:type="default" r:id="rId156"/>
      <w:pgSz w:w="11906" w:h="16838" w:code="9"/>
      <w:pgMar w:top="450" w:right="1440" w:bottom="851" w:left="1350" w:header="407"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9E58F" w14:textId="77777777" w:rsidR="008304B0" w:rsidRDefault="008304B0" w:rsidP="00136803">
      <w:r>
        <w:separator/>
      </w:r>
    </w:p>
  </w:endnote>
  <w:endnote w:type="continuationSeparator" w:id="0">
    <w:p w14:paraId="37F1128C" w14:textId="77777777" w:rsidR="008304B0" w:rsidRDefault="008304B0" w:rsidP="00136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27559" w14:textId="77777777" w:rsidR="00A92450" w:rsidRDefault="00A92450">
    <w:pPr>
      <w:pStyle w:val="BodyText"/>
      <w:spacing w:before="0" w:line="14" w:lineRule="auto"/>
      <w:rPr>
        <w:sz w:val="20"/>
      </w:rPr>
    </w:pPr>
    <w:r>
      <w:rPr>
        <w:noProof/>
      </w:rPr>
      <mc:AlternateContent>
        <mc:Choice Requires="wps">
          <w:drawing>
            <wp:anchor distT="0" distB="0" distL="114300" distR="114300" simplePos="0" relativeHeight="251663360" behindDoc="1" locked="0" layoutInCell="1" allowOverlap="1" wp14:anchorId="57345D7B" wp14:editId="0EF3290E">
              <wp:simplePos x="0" y="0"/>
              <wp:positionH relativeFrom="page">
                <wp:posOffset>914400</wp:posOffset>
              </wp:positionH>
              <wp:positionV relativeFrom="page">
                <wp:posOffset>9636125</wp:posOffset>
              </wp:positionV>
              <wp:extent cx="5761990" cy="12700"/>
              <wp:effectExtent l="0" t="0" r="635" b="0"/>
              <wp:wrapNone/>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1990" cy="12700"/>
                      </a:xfrm>
                      <a:custGeom>
                        <a:avLst/>
                        <a:gdLst>
                          <a:gd name="T0" fmla="+- 0 5221 1440"/>
                          <a:gd name="T1" fmla="*/ T0 w 9074"/>
                          <a:gd name="T2" fmla="+- 0 15175 15175"/>
                          <a:gd name="T3" fmla="*/ 15175 h 20"/>
                          <a:gd name="T4" fmla="+- 0 1440 1440"/>
                          <a:gd name="T5" fmla="*/ T4 w 9074"/>
                          <a:gd name="T6" fmla="+- 0 15175 15175"/>
                          <a:gd name="T7" fmla="*/ 15175 h 20"/>
                          <a:gd name="T8" fmla="+- 0 1440 1440"/>
                          <a:gd name="T9" fmla="*/ T8 w 9074"/>
                          <a:gd name="T10" fmla="+- 0 15194 15175"/>
                          <a:gd name="T11" fmla="*/ 15194 h 20"/>
                          <a:gd name="T12" fmla="+- 0 5221 1440"/>
                          <a:gd name="T13" fmla="*/ T12 w 9074"/>
                          <a:gd name="T14" fmla="+- 0 15194 15175"/>
                          <a:gd name="T15" fmla="*/ 15194 h 20"/>
                          <a:gd name="T16" fmla="+- 0 5221 1440"/>
                          <a:gd name="T17" fmla="*/ T16 w 9074"/>
                          <a:gd name="T18" fmla="+- 0 15175 15175"/>
                          <a:gd name="T19" fmla="*/ 15175 h 20"/>
                          <a:gd name="T20" fmla="+- 0 5240 1440"/>
                          <a:gd name="T21" fmla="*/ T20 w 9074"/>
                          <a:gd name="T22" fmla="+- 0 15175 15175"/>
                          <a:gd name="T23" fmla="*/ 15175 h 20"/>
                          <a:gd name="T24" fmla="+- 0 5221 1440"/>
                          <a:gd name="T25" fmla="*/ T24 w 9074"/>
                          <a:gd name="T26" fmla="+- 0 15175 15175"/>
                          <a:gd name="T27" fmla="*/ 15175 h 20"/>
                          <a:gd name="T28" fmla="+- 0 5221 1440"/>
                          <a:gd name="T29" fmla="*/ T28 w 9074"/>
                          <a:gd name="T30" fmla="+- 0 15194 15175"/>
                          <a:gd name="T31" fmla="*/ 15194 h 20"/>
                          <a:gd name="T32" fmla="+- 0 5240 1440"/>
                          <a:gd name="T33" fmla="*/ T32 w 9074"/>
                          <a:gd name="T34" fmla="+- 0 15194 15175"/>
                          <a:gd name="T35" fmla="*/ 15194 h 20"/>
                          <a:gd name="T36" fmla="+- 0 5240 1440"/>
                          <a:gd name="T37" fmla="*/ T36 w 9074"/>
                          <a:gd name="T38" fmla="+- 0 15175 15175"/>
                          <a:gd name="T39" fmla="*/ 15175 h 20"/>
                          <a:gd name="T40" fmla="+- 0 10514 1440"/>
                          <a:gd name="T41" fmla="*/ T40 w 9074"/>
                          <a:gd name="T42" fmla="+- 0 15175 15175"/>
                          <a:gd name="T43" fmla="*/ 15175 h 20"/>
                          <a:gd name="T44" fmla="+- 0 5240 1440"/>
                          <a:gd name="T45" fmla="*/ T44 w 9074"/>
                          <a:gd name="T46" fmla="+- 0 15175 15175"/>
                          <a:gd name="T47" fmla="*/ 15175 h 20"/>
                          <a:gd name="T48" fmla="+- 0 5240 1440"/>
                          <a:gd name="T49" fmla="*/ T48 w 9074"/>
                          <a:gd name="T50" fmla="+- 0 15194 15175"/>
                          <a:gd name="T51" fmla="*/ 15194 h 20"/>
                          <a:gd name="T52" fmla="+- 0 10514 1440"/>
                          <a:gd name="T53" fmla="*/ T52 w 9074"/>
                          <a:gd name="T54" fmla="+- 0 15194 15175"/>
                          <a:gd name="T55" fmla="*/ 15194 h 20"/>
                          <a:gd name="T56" fmla="+- 0 10514 1440"/>
                          <a:gd name="T57" fmla="*/ T56 w 9074"/>
                          <a:gd name="T58" fmla="+- 0 15175 15175"/>
                          <a:gd name="T59" fmla="*/ 15175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074" h="20">
                            <a:moveTo>
                              <a:pt x="3781" y="0"/>
                            </a:moveTo>
                            <a:lnTo>
                              <a:pt x="0" y="0"/>
                            </a:lnTo>
                            <a:lnTo>
                              <a:pt x="0" y="19"/>
                            </a:lnTo>
                            <a:lnTo>
                              <a:pt x="3781" y="19"/>
                            </a:lnTo>
                            <a:lnTo>
                              <a:pt x="3781" y="0"/>
                            </a:lnTo>
                            <a:close/>
                            <a:moveTo>
                              <a:pt x="3800" y="0"/>
                            </a:moveTo>
                            <a:lnTo>
                              <a:pt x="3781" y="0"/>
                            </a:lnTo>
                            <a:lnTo>
                              <a:pt x="3781" y="19"/>
                            </a:lnTo>
                            <a:lnTo>
                              <a:pt x="3800" y="19"/>
                            </a:lnTo>
                            <a:lnTo>
                              <a:pt x="3800" y="0"/>
                            </a:lnTo>
                            <a:close/>
                            <a:moveTo>
                              <a:pt x="9074" y="0"/>
                            </a:moveTo>
                            <a:lnTo>
                              <a:pt x="3800" y="0"/>
                            </a:lnTo>
                            <a:lnTo>
                              <a:pt x="3800" y="19"/>
                            </a:lnTo>
                            <a:lnTo>
                              <a:pt x="9074" y="19"/>
                            </a:lnTo>
                            <a:lnTo>
                              <a:pt x="9074" y="0"/>
                            </a:lnTo>
                            <a:close/>
                          </a:path>
                        </a:pathLst>
                      </a:custGeom>
                      <a:solidFill>
                        <a:srgbClr val="007E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3C0697ED" id="Freeform 4" o:spid="_x0000_s1026" style="position:absolute;margin-left:1in;margin-top:758.75pt;width:453.7pt;height: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07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" path="m3781,l,,,19r3781,l3781,xm3800,r-19,l3781,19r19,l3800,xm9074,l3800,r,19l9074,19r,-19xe" fillcolor="#007ec2" stroked="f">
              <v:path arrowok="t" o:connecttype="custom" o:connectlocs="2400935,9636125;0,9636125;0,9648190;2400935,9648190;2400935,9636125;2413000,9636125;2400935,9636125;2400935,9648190;2413000,9648190;2413000,9636125;5761990,9636125;2413000,9636125;2413000,9648190;5761990,9648190;5761990,9636125" o:connectangles="0,0,0,0,0,0,0,0,0,0,0,0,0,0,0"/>
              <w10:wrap anchorx="page" anchory="page"/>
            </v:shape>
          </w:pict>
        </mc:Fallback>
      </mc:AlternateContent>
    </w:r>
    <w:r>
      <w:rPr>
        <w:noProof/>
      </w:rPr>
      <mc:AlternateContent>
        <mc:Choice Requires="wps">
          <w:drawing>
            <wp:anchor distT="0" distB="0" distL="114300" distR="114300" simplePos="0" relativeHeight="251664384" behindDoc="1" locked="0" layoutInCell="1" allowOverlap="1" wp14:anchorId="217AAABF" wp14:editId="79F51EC0">
              <wp:simplePos x="0" y="0"/>
              <wp:positionH relativeFrom="page">
                <wp:posOffset>908050</wp:posOffset>
              </wp:positionH>
              <wp:positionV relativeFrom="page">
                <wp:posOffset>9661525</wp:posOffset>
              </wp:positionV>
              <wp:extent cx="1413510" cy="165735"/>
              <wp:effectExtent l="3175" t="3175" r="2540"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045A35" w14:textId="77777777" w:rsidR="00A92450" w:rsidRDefault="00A92450">
                          <w:pPr>
                            <w:spacing w:line="245" w:lineRule="exact"/>
                            <w:ind w:left="20"/>
                            <w:rPr>
                              <w:i/>
                            </w:rPr>
                          </w:pPr>
                          <w:r>
                            <w:rPr>
                              <w:i/>
                            </w:rPr>
                            <w:t>Powered</w:t>
                          </w:r>
                          <w:r>
                            <w:rPr>
                              <w:i/>
                              <w:spacing w:val="-1"/>
                            </w:rPr>
                            <w:t xml:space="preserve"> </w:t>
                          </w:r>
                          <w:r>
                            <w:rPr>
                              <w:i/>
                            </w:rPr>
                            <w:t>by</w:t>
                          </w:r>
                          <w:r>
                            <w:rPr>
                              <w:i/>
                              <w:spacing w:val="-4"/>
                            </w:rPr>
                            <w:t xml:space="preserve"> </w:t>
                          </w:r>
                          <w:r>
                            <w:rPr>
                              <w:i/>
                            </w:rPr>
                            <w:t>EASA</w:t>
                          </w:r>
                          <w:r>
                            <w:rPr>
                              <w:i/>
                              <w:spacing w:val="-3"/>
                            </w:rPr>
                            <w:t xml:space="preserve"> </w:t>
                          </w:r>
                          <w:r>
                            <w:rPr>
                              <w:i/>
                            </w:rPr>
                            <w:t>eRules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7AAABF" id="_x0000_t202" coordsize="21600,21600" o:spt="202" path="m,l,21600r21600,l21600,xe">
              <v:stroke joinstyle="miter"/>
              <v:path gradientshapeok="t" o:connecttype="rect"/>
            </v:shapetype>
            <v:shape id="Text Box 3" o:spid="_x0000_s1029" type="#_x0000_t202" style="position:absolute;margin-left:71.5pt;margin-top:760.75pt;width:111.3pt;height:13.0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" filled="f" stroked="f">
              <v:textbox inset="0,0,0,0">
                <w:txbxContent>
                  <w:p w14:paraId="57045A35" w14:textId="77777777" w:rsidR="00A92450" w:rsidRDefault="00A92450">
                    <w:pPr>
                      <w:spacing w:line="245" w:lineRule="exact"/>
                      <w:ind w:left="20"/>
                      <w:rPr>
                        <w:i/>
                      </w:rPr>
                    </w:pPr>
                    <w:r>
                      <w:rPr>
                        <w:i/>
                      </w:rPr>
                      <w:t>Powered</w:t>
                    </w:r>
                    <w:r>
                      <w:rPr>
                        <w:i/>
                        <w:spacing w:val="-1"/>
                      </w:rPr>
                      <w:t xml:space="preserve"> </w:t>
                    </w:r>
                    <w:r>
                      <w:rPr>
                        <w:i/>
                      </w:rPr>
                      <w:t>by</w:t>
                    </w:r>
                    <w:r>
                      <w:rPr>
                        <w:i/>
                        <w:spacing w:val="-4"/>
                      </w:rPr>
                      <w:t xml:space="preserve"> </w:t>
                    </w:r>
                    <w:r>
                      <w:rPr>
                        <w:i/>
                      </w:rPr>
                      <w:t>EASA</w:t>
                    </w:r>
                    <w:r>
                      <w:rPr>
                        <w:i/>
                        <w:spacing w:val="-3"/>
                      </w:rPr>
                      <w:t xml:space="preserve"> </w:t>
                    </w:r>
                    <w:r>
                      <w:rPr>
                        <w:i/>
                      </w:rPr>
                      <w:t>eRules</w:t>
                    </w:r>
                  </w:p>
                </w:txbxContent>
              </v:textbox>
              <w10:wrap anchorx="page" anchory="page"/>
            </v:shape>
          </w:pict>
        </mc:Fallback>
      </mc:AlternateContent>
    </w:r>
    <w:r>
      <w:rPr>
        <w:noProof/>
      </w:rPr>
      <mc:AlternateContent>
        <mc:Choice Requires="wps">
          <w:drawing>
            <wp:anchor distT="0" distB="0" distL="114300" distR="114300" simplePos="0" relativeHeight="251665408" behindDoc="1" locked="0" layoutInCell="1" allowOverlap="1" wp14:anchorId="4BA9A2E3" wp14:editId="45DAB11C">
              <wp:simplePos x="0" y="0"/>
              <wp:positionH relativeFrom="page">
                <wp:posOffset>5175885</wp:posOffset>
              </wp:positionH>
              <wp:positionV relativeFrom="page">
                <wp:posOffset>9661525</wp:posOffset>
              </wp:positionV>
              <wp:extent cx="1521460" cy="165735"/>
              <wp:effectExtent l="3810" t="3175" r="0"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14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0FA2B5" w14:textId="77777777" w:rsidR="00A92450" w:rsidRDefault="00A92450">
                          <w:pPr>
                            <w:pStyle w:val="BodyText"/>
                            <w:spacing w:before="0" w:line="245" w:lineRule="exact"/>
                            <w:ind w:left="20"/>
                          </w:pPr>
                          <w:r>
                            <w:t>Page</w:t>
                          </w:r>
                          <w:r>
                            <w:rPr>
                              <w:spacing w:val="-2"/>
                            </w:rPr>
                            <w:t xml:space="preserve"> </w:t>
                          </w:r>
                          <w:r>
                            <w:fldChar w:fldCharType="begin"/>
                          </w:r>
                          <w:r>
                            <w:instrText xml:space="preserve"> PAGE </w:instrText>
                          </w:r>
                          <w:r>
                            <w:fldChar w:fldCharType="separate"/>
                          </w:r>
                          <w:r>
                            <w:rPr>
                              <w:noProof/>
                            </w:rPr>
                            <w:t>20</w:t>
                          </w:r>
                          <w:r>
                            <w:fldChar w:fldCharType="end"/>
                          </w:r>
                          <w:r>
                            <w:rPr>
                              <w:spacing w:val="-1"/>
                            </w:rPr>
                            <w:t xml:space="preserve"> </w:t>
                          </w:r>
                          <w:r>
                            <w:t>of</w:t>
                          </w:r>
                          <w:r>
                            <w:rPr>
                              <w:spacing w:val="-2"/>
                            </w:rPr>
                            <w:t xml:space="preserve"> </w:t>
                          </w:r>
                          <w:r>
                            <w:t>345|</w:t>
                          </w:r>
                          <w:r>
                            <w:rPr>
                              <w:spacing w:val="-1"/>
                            </w:rPr>
                            <w:t xml:space="preserve"> </w:t>
                          </w:r>
                          <w:r>
                            <w:t>Sep</w:t>
                          </w:r>
                          <w:r>
                            <w:rPr>
                              <w:spacing w:val="-4"/>
                            </w:rPr>
                            <w:t xml:space="preserve"> </w:t>
                          </w:r>
                          <w:r>
                            <w:t>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A9A2E3" id="Text Box 2" o:spid="_x0000_s1030" type="#_x0000_t202" style="position:absolute;margin-left:407.55pt;margin-top:760.75pt;width:119.8pt;height:13.0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" filled="f" stroked="f">
              <v:textbox inset="0,0,0,0">
                <w:txbxContent>
                  <w:p w14:paraId="380FA2B5" w14:textId="77777777" w:rsidR="00A92450" w:rsidRDefault="00A92450">
                    <w:pPr>
                      <w:pStyle w:val="BodyText"/>
                      <w:spacing w:before="0" w:line="245" w:lineRule="exact"/>
                      <w:ind w:left="20"/>
                    </w:pPr>
                    <w:r>
                      <w:t>Page</w:t>
                    </w:r>
                    <w:r>
                      <w:rPr>
                        <w:spacing w:val="-2"/>
                      </w:rPr>
                      <w:t xml:space="preserve"> </w:t>
                    </w:r>
                    <w:r>
                      <w:fldChar w:fldCharType="begin"/>
                    </w:r>
                    <w:r>
                      <w:instrText xml:space="preserve"> PAGE </w:instrText>
                    </w:r>
                    <w:r>
                      <w:fldChar w:fldCharType="separate"/>
                    </w:r>
                    <w:r>
                      <w:rPr>
                        <w:noProof/>
                      </w:rPr>
                      <w:t>20</w:t>
                    </w:r>
                    <w:r>
                      <w:fldChar w:fldCharType="end"/>
                    </w:r>
                    <w:r>
                      <w:rPr>
                        <w:spacing w:val="-1"/>
                      </w:rPr>
                      <w:t xml:space="preserve"> </w:t>
                    </w:r>
                    <w:r>
                      <w:t>of</w:t>
                    </w:r>
                    <w:r>
                      <w:rPr>
                        <w:spacing w:val="-2"/>
                      </w:rPr>
                      <w:t xml:space="preserve"> </w:t>
                    </w:r>
                    <w:r>
                      <w:t>345|</w:t>
                    </w:r>
                    <w:r>
                      <w:rPr>
                        <w:spacing w:val="-1"/>
                      </w:rPr>
                      <w:t xml:space="preserve"> </w:t>
                    </w:r>
                    <w:r>
                      <w:t>Sep</w:t>
                    </w:r>
                    <w:r>
                      <w:rPr>
                        <w:spacing w:val="-4"/>
                      </w:rPr>
                      <w:t xml:space="preserve"> </w:t>
                    </w:r>
                    <w:r>
                      <w:t>2020</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3690"/>
      <w:gridCol w:w="2070"/>
      <w:gridCol w:w="1530"/>
      <w:gridCol w:w="1440"/>
    </w:tblGrid>
    <w:tr w:rsidR="00A92450" w:rsidRPr="00183D27" w14:paraId="37621497" w14:textId="77777777" w:rsidTr="00A209BC">
      <w:trPr>
        <w:trHeight w:val="85"/>
      </w:trPr>
      <w:tc>
        <w:tcPr>
          <w:tcW w:w="3690" w:type="dxa"/>
          <w:tcBorders>
            <w:top w:val="single" w:sz="4" w:space="0" w:color="1F4E79" w:themeColor="accent1" w:themeShade="80"/>
          </w:tcBorders>
        </w:tcPr>
        <w:p w14:paraId="3707A856" w14:textId="77777777" w:rsidR="00A92450" w:rsidRPr="00183D27" w:rsidRDefault="00A92450" w:rsidP="00B479F6">
          <w:pPr>
            <w:tabs>
              <w:tab w:val="center" w:pos="4680"/>
              <w:tab w:val="right" w:pos="9360"/>
            </w:tabs>
            <w:rPr>
              <w:rFonts w:ascii="Arial" w:hAnsi="Arial" w:cs="Arial"/>
              <w:sz w:val="20"/>
            </w:rPr>
          </w:pPr>
          <w:r w:rsidRPr="00183D27">
            <w:rPr>
              <w:rFonts w:ascii="Arial" w:hAnsi="Arial" w:cs="Arial"/>
              <w:color w:val="1F4E79" w:themeColor="accent1" w:themeShade="80"/>
              <w:sz w:val="20"/>
            </w:rPr>
            <w:t>Rev. 0</w:t>
          </w:r>
        </w:p>
      </w:tc>
      <w:tc>
        <w:tcPr>
          <w:tcW w:w="2070" w:type="dxa"/>
          <w:tcBorders>
            <w:top w:val="single" w:sz="4" w:space="0" w:color="1F4E79" w:themeColor="accent1" w:themeShade="80"/>
          </w:tcBorders>
        </w:tcPr>
        <w:p w14:paraId="3BD1B02D" w14:textId="07C5CFFD" w:rsidR="00A92450" w:rsidRPr="00183D27" w:rsidRDefault="00A92450" w:rsidP="00B479F6">
          <w:pPr>
            <w:tabs>
              <w:tab w:val="center" w:pos="4680"/>
              <w:tab w:val="right" w:pos="9360"/>
            </w:tabs>
            <w:rPr>
              <w:rFonts w:ascii="Arial" w:hAnsi="Arial" w:cs="Arial"/>
              <w:color w:val="1F4E79" w:themeColor="accent1" w:themeShade="80"/>
              <w:sz w:val="20"/>
            </w:rPr>
          </w:pPr>
          <w:r>
            <w:rPr>
              <w:rFonts w:ascii="Arial" w:hAnsi="Arial" w:cs="Arial"/>
              <w:color w:val="1F4E79" w:themeColor="accent1" w:themeShade="80"/>
              <w:sz w:val="20"/>
            </w:rPr>
            <w:t>March</w:t>
          </w:r>
          <w:r w:rsidRPr="00183D27">
            <w:rPr>
              <w:rFonts w:ascii="Arial" w:hAnsi="Arial" w:cs="Arial"/>
              <w:color w:val="1F4E79" w:themeColor="accent1" w:themeShade="80"/>
              <w:sz w:val="20"/>
            </w:rPr>
            <w:t xml:space="preserve"> 2024</w:t>
          </w:r>
        </w:p>
      </w:tc>
      <w:tc>
        <w:tcPr>
          <w:tcW w:w="1530" w:type="dxa"/>
          <w:tcBorders>
            <w:top w:val="single" w:sz="4" w:space="0" w:color="1F4E79" w:themeColor="accent1" w:themeShade="80"/>
          </w:tcBorders>
        </w:tcPr>
        <w:p w14:paraId="76608C61" w14:textId="77777777" w:rsidR="00A92450" w:rsidRPr="00183D27" w:rsidRDefault="00A92450" w:rsidP="00B479F6">
          <w:pPr>
            <w:tabs>
              <w:tab w:val="center" w:pos="4680"/>
              <w:tab w:val="right" w:pos="9360"/>
            </w:tabs>
            <w:rPr>
              <w:rFonts w:ascii="Arial" w:hAnsi="Arial" w:cs="Arial"/>
              <w:b/>
              <w:bCs/>
              <w:color w:val="1F4E79" w:themeColor="accent1" w:themeShade="80"/>
              <w:sz w:val="20"/>
            </w:rPr>
          </w:pPr>
        </w:p>
      </w:tc>
      <w:tc>
        <w:tcPr>
          <w:tcW w:w="1440" w:type="dxa"/>
          <w:tcBorders>
            <w:top w:val="single" w:sz="4" w:space="0" w:color="1F4E79" w:themeColor="accent1" w:themeShade="80"/>
          </w:tcBorders>
        </w:tcPr>
        <w:p w14:paraId="70F663DD" w14:textId="23E6A2B0" w:rsidR="00A92450" w:rsidRPr="00183D27" w:rsidRDefault="00A92450" w:rsidP="00B479F6">
          <w:pPr>
            <w:tabs>
              <w:tab w:val="center" w:pos="4680"/>
              <w:tab w:val="right" w:pos="9360"/>
            </w:tabs>
            <w:jc w:val="right"/>
            <w:rPr>
              <w:rFonts w:ascii="Arial" w:hAnsi="Arial" w:cs="Arial"/>
              <w:sz w:val="20"/>
            </w:rPr>
          </w:pPr>
          <w:r w:rsidRPr="00183D27">
            <w:rPr>
              <w:rFonts w:ascii="Arial" w:eastAsia="Times New Roman" w:hAnsi="Arial" w:cs="Arial"/>
              <w:color w:val="1F4E79" w:themeColor="accent1" w:themeShade="80"/>
              <w:sz w:val="20"/>
              <w:lang w:eastAsia="ru-RU"/>
            </w:rPr>
            <w:t xml:space="preserve">Page | </w:t>
          </w:r>
          <w:r w:rsidRPr="00183D27">
            <w:rPr>
              <w:rFonts w:ascii="Arial" w:eastAsia="Times New Roman" w:hAnsi="Arial" w:cs="Arial"/>
              <w:bCs/>
              <w:color w:val="1F4E79" w:themeColor="accent1" w:themeShade="80"/>
              <w:sz w:val="20"/>
              <w:lang w:val="ru-RU" w:eastAsia="ru-RU"/>
            </w:rPr>
            <w:fldChar w:fldCharType="begin"/>
          </w:r>
          <w:r w:rsidRPr="00183D27">
            <w:rPr>
              <w:rFonts w:ascii="Arial" w:eastAsia="Times New Roman" w:hAnsi="Arial" w:cs="Arial"/>
              <w:bCs/>
              <w:color w:val="1F4E79" w:themeColor="accent1" w:themeShade="80"/>
              <w:sz w:val="20"/>
              <w:lang w:eastAsia="ru-RU"/>
            </w:rPr>
            <w:instrText xml:space="preserve"> PAGE   \* MERGEFORMAT </w:instrText>
          </w:r>
          <w:r w:rsidRPr="00183D27">
            <w:rPr>
              <w:rFonts w:ascii="Arial" w:eastAsia="Times New Roman" w:hAnsi="Arial" w:cs="Arial"/>
              <w:bCs/>
              <w:color w:val="1F4E79" w:themeColor="accent1" w:themeShade="80"/>
              <w:sz w:val="20"/>
              <w:lang w:val="ru-RU" w:eastAsia="ru-RU"/>
            </w:rPr>
            <w:fldChar w:fldCharType="separate"/>
          </w:r>
          <w:r w:rsidR="006A7538">
            <w:rPr>
              <w:rFonts w:ascii="Arial" w:eastAsia="Times New Roman" w:hAnsi="Arial" w:cs="Arial"/>
              <w:bCs/>
              <w:noProof/>
              <w:color w:val="1F4E79" w:themeColor="accent1" w:themeShade="80"/>
              <w:sz w:val="20"/>
              <w:lang w:eastAsia="ru-RU"/>
            </w:rPr>
            <w:t>143</w:t>
          </w:r>
          <w:r w:rsidRPr="00183D27">
            <w:rPr>
              <w:rFonts w:ascii="Arial" w:eastAsia="Times New Roman" w:hAnsi="Arial" w:cs="Arial"/>
              <w:bCs/>
              <w:color w:val="1F4E79" w:themeColor="accent1" w:themeShade="80"/>
              <w:sz w:val="20"/>
              <w:lang w:val="ru-RU" w:eastAsia="ru-RU"/>
            </w:rPr>
            <w:fldChar w:fldCharType="end"/>
          </w:r>
        </w:p>
      </w:tc>
    </w:tr>
  </w:tbl>
  <w:p w14:paraId="48BCAFB5" w14:textId="77777777" w:rsidR="00A92450" w:rsidRDefault="00A9245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18229" w14:textId="77777777" w:rsidR="008304B0" w:rsidRDefault="008304B0" w:rsidP="00136803">
      <w:r>
        <w:separator/>
      </w:r>
    </w:p>
  </w:footnote>
  <w:footnote w:type="continuationSeparator" w:id="0">
    <w:p w14:paraId="03C4F9D6" w14:textId="77777777" w:rsidR="008304B0" w:rsidRDefault="008304B0" w:rsidP="001368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A1A86" w14:textId="77777777" w:rsidR="00A92450" w:rsidRDefault="00A92450">
    <w:pPr>
      <w:pStyle w:val="BodyText"/>
      <w:spacing w:before="0" w:line="14" w:lineRule="auto"/>
      <w:rPr>
        <w:sz w:val="20"/>
      </w:rPr>
    </w:pPr>
    <w:r>
      <w:rPr>
        <w:noProof/>
      </w:rPr>
      <w:drawing>
        <wp:anchor distT="0" distB="0" distL="0" distR="0" simplePos="0" relativeHeight="251659264" behindDoc="1" locked="0" layoutInCell="1" allowOverlap="1" wp14:anchorId="535815BC" wp14:editId="7546BF1C">
          <wp:simplePos x="0" y="0"/>
          <wp:positionH relativeFrom="page">
            <wp:posOffset>920750</wp:posOffset>
          </wp:positionH>
          <wp:positionV relativeFrom="page">
            <wp:posOffset>457199</wp:posOffset>
          </wp:positionV>
          <wp:extent cx="1266825" cy="397383"/>
          <wp:effectExtent l="0" t="0" r="0" b="0"/>
          <wp:wrapNone/>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png"/>
                  <pic:cNvPicPr/>
                </pic:nvPicPr>
                <pic:blipFill>
                  <a:blip r:embed="rId1" cstate="print"/>
                  <a:stretch>
                    <a:fillRect/>
                  </a:stretch>
                </pic:blipFill>
                <pic:spPr>
                  <a:xfrm>
                    <a:off x="0" y="0"/>
                    <a:ext cx="1266825" cy="397383"/>
                  </a:xfrm>
                  <a:prstGeom prst="rect">
                    <a:avLst/>
                  </a:prstGeom>
                </pic:spPr>
              </pic:pic>
            </a:graphicData>
          </a:graphic>
        </wp:anchor>
      </w:drawing>
    </w:r>
    <w:r>
      <w:rPr>
        <w:noProof/>
      </w:rPr>
      <mc:AlternateContent>
        <mc:Choice Requires="wps">
          <w:drawing>
            <wp:anchor distT="0" distB="0" distL="114300" distR="114300" simplePos="0" relativeHeight="251660288" behindDoc="1" locked="0" layoutInCell="1" allowOverlap="1" wp14:anchorId="361E9201" wp14:editId="4DD3FB84">
              <wp:simplePos x="0" y="0"/>
              <wp:positionH relativeFrom="page">
                <wp:posOffset>905510</wp:posOffset>
              </wp:positionH>
              <wp:positionV relativeFrom="page">
                <wp:posOffset>998220</wp:posOffset>
              </wp:positionV>
              <wp:extent cx="5770880" cy="12700"/>
              <wp:effectExtent l="635" t="0" r="635" b="0"/>
              <wp:wrapNone/>
              <wp:docPr id="7"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0880" cy="12700"/>
                      </a:xfrm>
                      <a:custGeom>
                        <a:avLst/>
                        <a:gdLst>
                          <a:gd name="T0" fmla="+- 0 7422 1426"/>
                          <a:gd name="T1" fmla="*/ T0 w 9088"/>
                          <a:gd name="T2" fmla="+- 0 1572 1572"/>
                          <a:gd name="T3" fmla="*/ 1572 h 20"/>
                          <a:gd name="T4" fmla="+- 0 7417 1426"/>
                          <a:gd name="T5" fmla="*/ T4 w 9088"/>
                          <a:gd name="T6" fmla="+- 0 1572 1572"/>
                          <a:gd name="T7" fmla="*/ 1572 h 20"/>
                          <a:gd name="T8" fmla="+- 0 7403 1426"/>
                          <a:gd name="T9" fmla="*/ T8 w 9088"/>
                          <a:gd name="T10" fmla="+- 0 1572 1572"/>
                          <a:gd name="T11" fmla="*/ 1572 h 20"/>
                          <a:gd name="T12" fmla="+- 0 4499 1426"/>
                          <a:gd name="T13" fmla="*/ T12 w 9088"/>
                          <a:gd name="T14" fmla="+- 0 1572 1572"/>
                          <a:gd name="T15" fmla="*/ 1572 h 20"/>
                          <a:gd name="T16" fmla="+- 0 4494 1426"/>
                          <a:gd name="T17" fmla="*/ T16 w 9088"/>
                          <a:gd name="T18" fmla="+- 0 1572 1572"/>
                          <a:gd name="T19" fmla="*/ 1572 h 20"/>
                          <a:gd name="T20" fmla="+- 0 4479 1426"/>
                          <a:gd name="T21" fmla="*/ T20 w 9088"/>
                          <a:gd name="T22" fmla="+- 0 1572 1572"/>
                          <a:gd name="T23" fmla="*/ 1572 h 20"/>
                          <a:gd name="T24" fmla="+- 0 1426 1426"/>
                          <a:gd name="T25" fmla="*/ T24 w 9088"/>
                          <a:gd name="T26" fmla="+- 0 1572 1572"/>
                          <a:gd name="T27" fmla="*/ 1572 h 20"/>
                          <a:gd name="T28" fmla="+- 0 1426 1426"/>
                          <a:gd name="T29" fmla="*/ T28 w 9088"/>
                          <a:gd name="T30" fmla="+- 0 1591 1572"/>
                          <a:gd name="T31" fmla="*/ 1591 h 20"/>
                          <a:gd name="T32" fmla="+- 0 4479 1426"/>
                          <a:gd name="T33" fmla="*/ T32 w 9088"/>
                          <a:gd name="T34" fmla="+- 0 1591 1572"/>
                          <a:gd name="T35" fmla="*/ 1591 h 20"/>
                          <a:gd name="T36" fmla="+- 0 4494 1426"/>
                          <a:gd name="T37" fmla="*/ T36 w 9088"/>
                          <a:gd name="T38" fmla="+- 0 1591 1572"/>
                          <a:gd name="T39" fmla="*/ 1591 h 20"/>
                          <a:gd name="T40" fmla="+- 0 4499 1426"/>
                          <a:gd name="T41" fmla="*/ T40 w 9088"/>
                          <a:gd name="T42" fmla="+- 0 1591 1572"/>
                          <a:gd name="T43" fmla="*/ 1591 h 20"/>
                          <a:gd name="T44" fmla="+- 0 7403 1426"/>
                          <a:gd name="T45" fmla="*/ T44 w 9088"/>
                          <a:gd name="T46" fmla="+- 0 1591 1572"/>
                          <a:gd name="T47" fmla="*/ 1591 h 20"/>
                          <a:gd name="T48" fmla="+- 0 7417 1426"/>
                          <a:gd name="T49" fmla="*/ T48 w 9088"/>
                          <a:gd name="T50" fmla="+- 0 1591 1572"/>
                          <a:gd name="T51" fmla="*/ 1591 h 20"/>
                          <a:gd name="T52" fmla="+- 0 7422 1426"/>
                          <a:gd name="T53" fmla="*/ T52 w 9088"/>
                          <a:gd name="T54" fmla="+- 0 1591 1572"/>
                          <a:gd name="T55" fmla="*/ 1591 h 20"/>
                          <a:gd name="T56" fmla="+- 0 7422 1426"/>
                          <a:gd name="T57" fmla="*/ T56 w 9088"/>
                          <a:gd name="T58" fmla="+- 0 1572 1572"/>
                          <a:gd name="T59" fmla="*/ 1572 h 20"/>
                          <a:gd name="T60" fmla="+- 0 10514 1426"/>
                          <a:gd name="T61" fmla="*/ T60 w 9088"/>
                          <a:gd name="T62" fmla="+- 0 1572 1572"/>
                          <a:gd name="T63" fmla="*/ 1572 h 20"/>
                          <a:gd name="T64" fmla="+- 0 7422 1426"/>
                          <a:gd name="T65" fmla="*/ T64 w 9088"/>
                          <a:gd name="T66" fmla="+- 0 1572 1572"/>
                          <a:gd name="T67" fmla="*/ 1572 h 20"/>
                          <a:gd name="T68" fmla="+- 0 7422 1426"/>
                          <a:gd name="T69" fmla="*/ T68 w 9088"/>
                          <a:gd name="T70" fmla="+- 0 1591 1572"/>
                          <a:gd name="T71" fmla="*/ 1591 h 20"/>
                          <a:gd name="T72" fmla="+- 0 10514 1426"/>
                          <a:gd name="T73" fmla="*/ T72 w 9088"/>
                          <a:gd name="T74" fmla="+- 0 1591 1572"/>
                          <a:gd name="T75" fmla="*/ 1591 h 20"/>
                          <a:gd name="T76" fmla="+- 0 10514 1426"/>
                          <a:gd name="T77" fmla="*/ T76 w 9088"/>
                          <a:gd name="T78" fmla="+- 0 1572 1572"/>
                          <a:gd name="T79" fmla="*/ 1572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088" h="20">
                            <a:moveTo>
                              <a:pt x="5996" y="0"/>
                            </a:moveTo>
                            <a:lnTo>
                              <a:pt x="5991" y="0"/>
                            </a:lnTo>
                            <a:lnTo>
                              <a:pt x="5977" y="0"/>
                            </a:lnTo>
                            <a:lnTo>
                              <a:pt x="3073" y="0"/>
                            </a:lnTo>
                            <a:lnTo>
                              <a:pt x="3068" y="0"/>
                            </a:lnTo>
                            <a:lnTo>
                              <a:pt x="3053" y="0"/>
                            </a:lnTo>
                            <a:lnTo>
                              <a:pt x="0" y="0"/>
                            </a:lnTo>
                            <a:lnTo>
                              <a:pt x="0" y="19"/>
                            </a:lnTo>
                            <a:lnTo>
                              <a:pt x="3053" y="19"/>
                            </a:lnTo>
                            <a:lnTo>
                              <a:pt x="3068" y="19"/>
                            </a:lnTo>
                            <a:lnTo>
                              <a:pt x="3073" y="19"/>
                            </a:lnTo>
                            <a:lnTo>
                              <a:pt x="5977" y="19"/>
                            </a:lnTo>
                            <a:lnTo>
                              <a:pt x="5991" y="19"/>
                            </a:lnTo>
                            <a:lnTo>
                              <a:pt x="5996" y="19"/>
                            </a:lnTo>
                            <a:lnTo>
                              <a:pt x="5996" y="0"/>
                            </a:lnTo>
                            <a:close/>
                            <a:moveTo>
                              <a:pt x="9088" y="0"/>
                            </a:moveTo>
                            <a:lnTo>
                              <a:pt x="5996" y="0"/>
                            </a:lnTo>
                            <a:lnTo>
                              <a:pt x="5996" y="19"/>
                            </a:lnTo>
                            <a:lnTo>
                              <a:pt x="9088" y="19"/>
                            </a:lnTo>
                            <a:lnTo>
                              <a:pt x="9088" y="0"/>
                            </a:lnTo>
                            <a:close/>
                          </a:path>
                        </a:pathLst>
                      </a:custGeom>
                      <a:solidFill>
                        <a:srgbClr val="007E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9981890" id="Freeform 7" o:spid="_x0000_s1026" style="position:absolute;margin-left:71.3pt;margin-top:78.6pt;width:454.4pt;height: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08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" path="m5996,r-5,l5977,,3073,r-5,l3053,,,,,19r3053,l3068,19r5,l5977,19r14,l5996,19r,-19xm9088,l5996,r,19l9088,19r,-19xe" fillcolor="#007ec2" stroked="f">
              <v:path arrowok="t" o:connecttype="custom" o:connectlocs="3807460,998220;3804285,998220;3795395,998220;1951355,998220;1948180,998220;1938655,998220;0,998220;0,1010285;1938655,1010285;1948180,1010285;1951355,1010285;3795395,1010285;3804285,1010285;3807460,1010285;3807460,998220;5770880,998220;3807460,998220;3807460,1010285;5770880,1010285;5770880,998220" o:connectangles="0,0,0,0,0,0,0,0,0,0,0,0,0,0,0,0,0,0,0,0"/>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5864D7E9" wp14:editId="2FBBE122">
              <wp:simplePos x="0" y="0"/>
              <wp:positionH relativeFrom="page">
                <wp:posOffset>3055620</wp:posOffset>
              </wp:positionH>
              <wp:positionV relativeFrom="page">
                <wp:posOffset>466725</wp:posOffset>
              </wp:positionV>
              <wp:extent cx="1450340" cy="139700"/>
              <wp:effectExtent l="0" t="0" r="0" b="31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034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D3DCA" w14:textId="77777777" w:rsidR="00A92450" w:rsidRDefault="00A92450">
                          <w:pPr>
                            <w:spacing w:line="203" w:lineRule="exact"/>
                            <w:ind w:left="20"/>
                            <w:rPr>
                              <w:b/>
                              <w:i/>
                              <w:sz w:val="18"/>
                            </w:rPr>
                          </w:pPr>
                          <w:r>
                            <w:rPr>
                              <w:b/>
                              <w:i/>
                              <w:sz w:val="18"/>
                            </w:rPr>
                            <w:t>Easy</w:t>
                          </w:r>
                          <w:r>
                            <w:rPr>
                              <w:b/>
                              <w:i/>
                              <w:spacing w:val="-3"/>
                              <w:sz w:val="18"/>
                            </w:rPr>
                            <w:t xml:space="preserve"> </w:t>
                          </w:r>
                          <w:r>
                            <w:rPr>
                              <w:b/>
                              <w:i/>
                              <w:sz w:val="18"/>
                            </w:rPr>
                            <w:t>Access</w:t>
                          </w:r>
                          <w:r>
                            <w:rPr>
                              <w:b/>
                              <w:i/>
                              <w:spacing w:val="-2"/>
                              <w:sz w:val="18"/>
                            </w:rPr>
                            <w:t xml:space="preserve"> </w:t>
                          </w:r>
                          <w:r>
                            <w:rPr>
                              <w:b/>
                              <w:i/>
                              <w:sz w:val="18"/>
                            </w:rPr>
                            <w:t>Rules</w:t>
                          </w:r>
                          <w:r>
                            <w:rPr>
                              <w:b/>
                              <w:i/>
                              <w:spacing w:val="-4"/>
                              <w:sz w:val="18"/>
                            </w:rPr>
                            <w:t xml:space="preserve"> </w:t>
                          </w:r>
                          <w:r>
                            <w:rPr>
                              <w:b/>
                              <w:i/>
                              <w:sz w:val="18"/>
                            </w:rPr>
                            <w:t>for</w:t>
                          </w:r>
                          <w:r>
                            <w:rPr>
                              <w:b/>
                              <w:i/>
                              <w:spacing w:val="-3"/>
                              <w:sz w:val="18"/>
                            </w:rPr>
                            <w:t xml:space="preserve"> </w:t>
                          </w:r>
                          <w:r>
                            <w:rPr>
                              <w:b/>
                              <w:i/>
                              <w:sz w:val="18"/>
                            </w:rPr>
                            <w:t>Balloons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64D7E9" id="_x0000_t202" coordsize="21600,21600" o:spt="202" path="m,l,21600r21600,l21600,xe">
              <v:stroke joinstyle="miter"/>
              <v:path gradientshapeok="t" o:connecttype="rect"/>
            </v:shapetype>
            <v:shape id="Text Box 6" o:spid="_x0000_s1027" type="#_x0000_t202" style="position:absolute;margin-left:240.6pt;margin-top:36.75pt;width:114.2pt;height:1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" filled="f" stroked="f">
              <v:textbox inset="0,0,0,0">
                <w:txbxContent>
                  <w:p w14:paraId="678D3DCA" w14:textId="77777777" w:rsidR="00A92450" w:rsidRDefault="00A92450">
                    <w:pPr>
                      <w:spacing w:line="203" w:lineRule="exact"/>
                      <w:ind w:left="20"/>
                      <w:rPr>
                        <w:b/>
                        <w:i/>
                        <w:sz w:val="18"/>
                      </w:rPr>
                    </w:pPr>
                    <w:r>
                      <w:rPr>
                        <w:b/>
                        <w:i/>
                        <w:sz w:val="18"/>
                      </w:rPr>
                      <w:t>Easy</w:t>
                    </w:r>
                    <w:r>
                      <w:rPr>
                        <w:b/>
                        <w:i/>
                        <w:spacing w:val="-3"/>
                        <w:sz w:val="18"/>
                      </w:rPr>
                      <w:t xml:space="preserve"> </w:t>
                    </w:r>
                    <w:r>
                      <w:rPr>
                        <w:b/>
                        <w:i/>
                        <w:sz w:val="18"/>
                      </w:rPr>
                      <w:t>Access</w:t>
                    </w:r>
                    <w:r>
                      <w:rPr>
                        <w:b/>
                        <w:i/>
                        <w:spacing w:val="-2"/>
                        <w:sz w:val="18"/>
                      </w:rPr>
                      <w:t xml:space="preserve"> </w:t>
                    </w:r>
                    <w:r>
                      <w:rPr>
                        <w:b/>
                        <w:i/>
                        <w:sz w:val="18"/>
                      </w:rPr>
                      <w:t>Rules</w:t>
                    </w:r>
                    <w:r>
                      <w:rPr>
                        <w:b/>
                        <w:i/>
                        <w:spacing w:val="-4"/>
                        <w:sz w:val="18"/>
                      </w:rPr>
                      <w:t xml:space="preserve"> </w:t>
                    </w:r>
                    <w:r>
                      <w:rPr>
                        <w:b/>
                        <w:i/>
                        <w:sz w:val="18"/>
                      </w:rPr>
                      <w:t>for</w:t>
                    </w:r>
                    <w:r>
                      <w:rPr>
                        <w:b/>
                        <w:i/>
                        <w:spacing w:val="-3"/>
                        <w:sz w:val="18"/>
                      </w:rPr>
                      <w:t xml:space="preserve"> </w:t>
                    </w:r>
                    <w:r>
                      <w:rPr>
                        <w:b/>
                        <w:i/>
                        <w:sz w:val="18"/>
                      </w:rPr>
                      <w:t>Balloons</w:t>
                    </w:r>
                  </w:p>
                </w:txbxContent>
              </v:textbox>
              <w10:wrap anchorx="page" anchory="page"/>
            </v:shape>
          </w:pict>
        </mc:Fallback>
      </mc:AlternateContent>
    </w:r>
    <w:r>
      <w:rPr>
        <w:noProof/>
      </w:rPr>
      <mc:AlternateContent>
        <mc:Choice Requires="wps">
          <w:drawing>
            <wp:anchor distT="0" distB="0" distL="114300" distR="114300" simplePos="0" relativeHeight="251662336" behindDoc="1" locked="0" layoutInCell="1" allowOverlap="1" wp14:anchorId="55B8A6DF" wp14:editId="27E6AAD4">
              <wp:simplePos x="0" y="0"/>
              <wp:positionH relativeFrom="page">
                <wp:posOffset>5858510</wp:posOffset>
              </wp:positionH>
              <wp:positionV relativeFrom="page">
                <wp:posOffset>466725</wp:posOffset>
              </wp:positionV>
              <wp:extent cx="825500" cy="139700"/>
              <wp:effectExtent l="635" t="0" r="2540" b="31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CB6768" w14:textId="77777777" w:rsidR="00A92450" w:rsidRDefault="00A92450">
                          <w:pPr>
                            <w:spacing w:line="203" w:lineRule="exact"/>
                            <w:ind w:left="20"/>
                            <w:rPr>
                              <w:i/>
                              <w:sz w:val="18"/>
                            </w:rPr>
                          </w:pPr>
                          <w:r>
                            <w:rPr>
                              <w:i/>
                              <w:sz w:val="18"/>
                            </w:rPr>
                            <w:t>Table</w:t>
                          </w:r>
                          <w:r>
                            <w:rPr>
                              <w:i/>
                              <w:spacing w:val="-2"/>
                              <w:sz w:val="18"/>
                            </w:rPr>
                            <w:t xml:space="preserve"> </w:t>
                          </w:r>
                          <w:r>
                            <w:rPr>
                              <w:i/>
                              <w:sz w:val="18"/>
                            </w:rPr>
                            <w:t>of</w:t>
                          </w:r>
                          <w:r>
                            <w:rPr>
                              <w:i/>
                              <w:spacing w:val="-2"/>
                              <w:sz w:val="18"/>
                            </w:rPr>
                            <w:t xml:space="preserve"> </w:t>
                          </w:r>
                          <w:r>
                            <w:rPr>
                              <w:i/>
                              <w:sz w:val="18"/>
                            </w:rPr>
                            <w:t>contents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B8A6DF" id="Text Box 5" o:spid="_x0000_s1028" type="#_x0000_t202" style="position:absolute;margin-left:461.3pt;margin-top:36.75pt;width:65pt;height:1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" filled="f" stroked="f">
              <v:textbox inset="0,0,0,0">
                <w:txbxContent>
                  <w:p w14:paraId="79CB6768" w14:textId="77777777" w:rsidR="00A92450" w:rsidRDefault="00A92450">
                    <w:pPr>
                      <w:spacing w:line="203" w:lineRule="exact"/>
                      <w:ind w:left="20"/>
                      <w:rPr>
                        <w:i/>
                        <w:sz w:val="18"/>
                      </w:rPr>
                    </w:pPr>
                    <w:r>
                      <w:rPr>
                        <w:i/>
                        <w:sz w:val="18"/>
                      </w:rPr>
                      <w:t>Table</w:t>
                    </w:r>
                    <w:r>
                      <w:rPr>
                        <w:i/>
                        <w:spacing w:val="-2"/>
                        <w:sz w:val="18"/>
                      </w:rPr>
                      <w:t xml:space="preserve"> </w:t>
                    </w:r>
                    <w:r>
                      <w:rPr>
                        <w:i/>
                        <w:sz w:val="18"/>
                      </w:rPr>
                      <w:t>of</w:t>
                    </w:r>
                    <w:r>
                      <w:rPr>
                        <w:i/>
                        <w:spacing w:val="-2"/>
                        <w:sz w:val="18"/>
                      </w:rPr>
                      <w:t xml:space="preserve"> </w:t>
                    </w:r>
                    <w:r>
                      <w:rPr>
                        <w:i/>
                        <w:sz w:val="18"/>
                      </w:rPr>
                      <w:t>contents</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1295"/>
      <w:gridCol w:w="7110"/>
      <w:gridCol w:w="985"/>
    </w:tblGrid>
    <w:tr w:rsidR="00A92450" w:rsidRPr="00684478" w14:paraId="6680FF54" w14:textId="77777777" w:rsidTr="000E360E">
      <w:trPr>
        <w:trHeight w:val="256"/>
      </w:trPr>
      <w:tc>
        <w:tcPr>
          <w:tcW w:w="1255" w:type="dxa"/>
          <w:tcBorders>
            <w:top w:val="single" w:sz="4" w:space="0" w:color="FFFFFF" w:themeColor="background1"/>
            <w:left w:val="single" w:sz="4" w:space="0" w:color="FFFFFF" w:themeColor="background1"/>
            <w:bottom w:val="single" w:sz="12" w:space="0" w:color="002060"/>
            <w:right w:val="single" w:sz="4" w:space="0" w:color="FFFFFF" w:themeColor="background1"/>
          </w:tcBorders>
        </w:tcPr>
        <w:p w14:paraId="089268B9" w14:textId="77777777" w:rsidR="00A92450" w:rsidRPr="00684478" w:rsidRDefault="00A92450" w:rsidP="0084632B">
          <w:pPr>
            <w:pStyle w:val="Header"/>
            <w:tabs>
              <w:tab w:val="clear" w:pos="4680"/>
            </w:tabs>
            <w:jc w:val="center"/>
            <w:rPr>
              <w:rFonts w:ascii="Arial" w:hAnsi="Arial" w:cs="Arial"/>
              <w:color w:val="002060"/>
              <w:sz w:val="20"/>
              <w:szCs w:val="20"/>
            </w:rPr>
          </w:pPr>
          <w:r>
            <w:rPr>
              <w:rFonts w:ascii="Arial" w:hAnsi="Arial" w:cs="Arial"/>
              <w:color w:val="002060"/>
              <w:sz w:val="20"/>
              <w:szCs w:val="20"/>
            </w:rPr>
            <w:t>AIR BALLOONS</w:t>
          </w:r>
        </w:p>
      </w:tc>
      <w:tc>
        <w:tcPr>
          <w:tcW w:w="7110" w:type="dxa"/>
          <w:tcBorders>
            <w:top w:val="single" w:sz="4" w:space="0" w:color="FFFFFF" w:themeColor="background1"/>
            <w:left w:val="single" w:sz="4" w:space="0" w:color="FFFFFF" w:themeColor="background1"/>
            <w:bottom w:val="single" w:sz="12" w:space="0" w:color="002060"/>
            <w:right w:val="single" w:sz="4" w:space="0" w:color="FFFFFF" w:themeColor="background1"/>
          </w:tcBorders>
        </w:tcPr>
        <w:p w14:paraId="73C83069" w14:textId="219364A6" w:rsidR="00A92450" w:rsidRPr="00586EC4" w:rsidRDefault="00A92450" w:rsidP="0084632B">
          <w:pPr>
            <w:pStyle w:val="Header"/>
            <w:jc w:val="center"/>
            <w:rPr>
              <w:rFonts w:ascii="Arial" w:hAnsi="Arial" w:cs="Arial"/>
              <w:color w:val="002060"/>
              <w:sz w:val="20"/>
              <w:szCs w:val="20"/>
            </w:rPr>
          </w:pPr>
          <w:r>
            <w:rPr>
              <w:rFonts w:ascii="Arial" w:hAnsi="Arial" w:cs="Arial"/>
              <w:color w:val="002060"/>
              <w:sz w:val="20"/>
              <w:szCs w:val="20"/>
            </w:rPr>
            <w:t xml:space="preserve">CHAPTER 3 – </w:t>
          </w:r>
          <w:r w:rsidRPr="001560BF">
            <w:rPr>
              <w:rFonts w:ascii="Arial" w:hAnsi="Arial" w:cs="Arial"/>
              <w:color w:val="002060"/>
              <w:sz w:val="20"/>
              <w:szCs w:val="20"/>
            </w:rPr>
            <w:t>INITIAL AIRWORTHINESS</w:t>
          </w:r>
        </w:p>
        <w:p w14:paraId="61F6169E" w14:textId="39DD9D2D" w:rsidR="00A92450" w:rsidRPr="002E05E7" w:rsidRDefault="00A92450" w:rsidP="002E05E7">
          <w:pPr>
            <w:pStyle w:val="Header"/>
            <w:jc w:val="center"/>
            <w:rPr>
              <w:rFonts w:ascii="Arial" w:hAnsi="Arial" w:cs="Arial"/>
              <w:i/>
              <w:iCs/>
              <w:color w:val="002060"/>
              <w:sz w:val="18"/>
              <w:szCs w:val="18"/>
            </w:rPr>
          </w:pPr>
          <w:r>
            <w:rPr>
              <w:rFonts w:ascii="Arial" w:hAnsi="Arial" w:cs="Arial"/>
              <w:i/>
              <w:iCs/>
              <w:color w:val="002060"/>
              <w:sz w:val="18"/>
              <w:szCs w:val="18"/>
            </w:rPr>
            <w:t xml:space="preserve"> </w:t>
          </w:r>
          <w:r w:rsidRPr="001560BF">
            <w:rPr>
              <w:rFonts w:ascii="Arial" w:hAnsi="Arial" w:cs="Arial"/>
              <w:i/>
              <w:iCs/>
              <w:color w:val="002060"/>
              <w:sz w:val="18"/>
              <w:szCs w:val="18"/>
            </w:rPr>
            <w:t>CS-31GB (Initial issue)</w:t>
          </w:r>
        </w:p>
      </w:tc>
      <w:tc>
        <w:tcPr>
          <w:tcW w:w="985" w:type="dxa"/>
          <w:tcBorders>
            <w:top w:val="single" w:sz="4" w:space="0" w:color="FFFFFF" w:themeColor="background1"/>
            <w:left w:val="single" w:sz="4" w:space="0" w:color="FFFFFF" w:themeColor="background1"/>
            <w:bottom w:val="single" w:sz="12" w:space="0" w:color="002060"/>
            <w:right w:val="single" w:sz="4" w:space="0" w:color="FFFFFF" w:themeColor="background1"/>
          </w:tcBorders>
        </w:tcPr>
        <w:p w14:paraId="38CE8996" w14:textId="77777777" w:rsidR="00A92450" w:rsidRPr="00684478" w:rsidRDefault="00A92450" w:rsidP="004A51D5">
          <w:pPr>
            <w:pStyle w:val="Header"/>
            <w:ind w:left="-162" w:right="-169"/>
            <w:jc w:val="center"/>
            <w:rPr>
              <w:rFonts w:ascii="Arial" w:hAnsi="Arial" w:cs="Arial"/>
              <w:color w:val="002060"/>
              <w:sz w:val="20"/>
              <w:szCs w:val="20"/>
            </w:rPr>
          </w:pPr>
          <w:r w:rsidRPr="00684478">
            <w:rPr>
              <w:rFonts w:ascii="Arial" w:hAnsi="Arial" w:cs="Arial"/>
              <w:color w:val="002060"/>
              <w:sz w:val="20"/>
              <w:szCs w:val="20"/>
            </w:rPr>
            <w:t>CAC RA</w:t>
          </w:r>
        </w:p>
      </w:tc>
    </w:tr>
  </w:tbl>
  <w:p w14:paraId="7DD0306C" w14:textId="77777777" w:rsidR="00A92450" w:rsidRDefault="00A92450"/>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1295"/>
      <w:gridCol w:w="7110"/>
      <w:gridCol w:w="985"/>
    </w:tblGrid>
    <w:tr w:rsidR="00A92450" w:rsidRPr="00684478" w14:paraId="5F8033AE" w14:textId="77777777" w:rsidTr="000E360E">
      <w:trPr>
        <w:trHeight w:val="256"/>
      </w:trPr>
      <w:tc>
        <w:tcPr>
          <w:tcW w:w="1255" w:type="dxa"/>
          <w:tcBorders>
            <w:top w:val="single" w:sz="4" w:space="0" w:color="FFFFFF" w:themeColor="background1"/>
            <w:left w:val="single" w:sz="4" w:space="0" w:color="FFFFFF" w:themeColor="background1"/>
            <w:bottom w:val="single" w:sz="12" w:space="0" w:color="002060"/>
            <w:right w:val="single" w:sz="4" w:space="0" w:color="FFFFFF" w:themeColor="background1"/>
          </w:tcBorders>
        </w:tcPr>
        <w:p w14:paraId="66353EC0" w14:textId="77777777" w:rsidR="00A92450" w:rsidRPr="00684478" w:rsidRDefault="00A92450" w:rsidP="0084632B">
          <w:pPr>
            <w:pStyle w:val="Header"/>
            <w:tabs>
              <w:tab w:val="clear" w:pos="4680"/>
            </w:tabs>
            <w:jc w:val="center"/>
            <w:rPr>
              <w:rFonts w:ascii="Arial" w:hAnsi="Arial" w:cs="Arial"/>
              <w:color w:val="002060"/>
              <w:sz w:val="20"/>
              <w:szCs w:val="20"/>
            </w:rPr>
          </w:pPr>
          <w:r>
            <w:rPr>
              <w:rFonts w:ascii="Arial" w:hAnsi="Arial" w:cs="Arial"/>
              <w:color w:val="002060"/>
              <w:sz w:val="20"/>
              <w:szCs w:val="20"/>
            </w:rPr>
            <w:t>AIR BALLOONS</w:t>
          </w:r>
        </w:p>
      </w:tc>
      <w:tc>
        <w:tcPr>
          <w:tcW w:w="7110" w:type="dxa"/>
          <w:tcBorders>
            <w:top w:val="single" w:sz="4" w:space="0" w:color="FFFFFF" w:themeColor="background1"/>
            <w:left w:val="single" w:sz="4" w:space="0" w:color="FFFFFF" w:themeColor="background1"/>
            <w:bottom w:val="single" w:sz="12" w:space="0" w:color="002060"/>
            <w:right w:val="single" w:sz="4" w:space="0" w:color="FFFFFF" w:themeColor="background1"/>
          </w:tcBorders>
        </w:tcPr>
        <w:p w14:paraId="23B52717" w14:textId="77777777" w:rsidR="00A92450" w:rsidRPr="00586EC4" w:rsidRDefault="00A92450" w:rsidP="0084632B">
          <w:pPr>
            <w:pStyle w:val="Header"/>
            <w:jc w:val="center"/>
            <w:rPr>
              <w:rFonts w:ascii="Arial" w:hAnsi="Arial" w:cs="Arial"/>
              <w:color w:val="002060"/>
              <w:sz w:val="20"/>
              <w:szCs w:val="20"/>
            </w:rPr>
          </w:pPr>
          <w:r>
            <w:rPr>
              <w:rFonts w:ascii="Arial" w:hAnsi="Arial" w:cs="Arial"/>
              <w:color w:val="002060"/>
              <w:sz w:val="20"/>
              <w:szCs w:val="20"/>
            </w:rPr>
            <w:t xml:space="preserve">CHAPTER 3 – </w:t>
          </w:r>
          <w:r w:rsidRPr="001560BF">
            <w:rPr>
              <w:rFonts w:ascii="Arial" w:hAnsi="Arial" w:cs="Arial"/>
              <w:color w:val="002060"/>
              <w:sz w:val="20"/>
              <w:szCs w:val="20"/>
            </w:rPr>
            <w:t>INITIAL AIRWORTHINESS</w:t>
          </w:r>
        </w:p>
        <w:p w14:paraId="77A960F0" w14:textId="27865AB4" w:rsidR="00A92450" w:rsidRPr="002E05E7" w:rsidRDefault="00A92450" w:rsidP="002E05E7">
          <w:pPr>
            <w:pStyle w:val="Header"/>
            <w:jc w:val="center"/>
            <w:rPr>
              <w:rFonts w:ascii="Arial" w:hAnsi="Arial" w:cs="Arial"/>
              <w:i/>
              <w:iCs/>
              <w:color w:val="002060"/>
              <w:sz w:val="18"/>
              <w:szCs w:val="18"/>
            </w:rPr>
          </w:pPr>
          <w:r>
            <w:rPr>
              <w:rFonts w:ascii="Arial" w:hAnsi="Arial" w:cs="Arial"/>
              <w:i/>
              <w:iCs/>
              <w:color w:val="002060"/>
              <w:sz w:val="18"/>
              <w:szCs w:val="18"/>
            </w:rPr>
            <w:t xml:space="preserve"> </w:t>
          </w:r>
          <w:r w:rsidRPr="001A53CA">
            <w:rPr>
              <w:rFonts w:ascii="Arial" w:hAnsi="Arial" w:cs="Arial"/>
              <w:i/>
              <w:iCs/>
              <w:color w:val="002060"/>
              <w:sz w:val="18"/>
              <w:szCs w:val="18"/>
            </w:rPr>
            <w:t>CS-31HB (Amendment 1)</w:t>
          </w:r>
        </w:p>
      </w:tc>
      <w:tc>
        <w:tcPr>
          <w:tcW w:w="985" w:type="dxa"/>
          <w:tcBorders>
            <w:top w:val="single" w:sz="4" w:space="0" w:color="FFFFFF" w:themeColor="background1"/>
            <w:left w:val="single" w:sz="4" w:space="0" w:color="FFFFFF" w:themeColor="background1"/>
            <w:bottom w:val="single" w:sz="12" w:space="0" w:color="002060"/>
            <w:right w:val="single" w:sz="4" w:space="0" w:color="FFFFFF" w:themeColor="background1"/>
          </w:tcBorders>
        </w:tcPr>
        <w:p w14:paraId="37F8D13F" w14:textId="77777777" w:rsidR="00A92450" w:rsidRPr="00684478" w:rsidRDefault="00A92450" w:rsidP="004A51D5">
          <w:pPr>
            <w:pStyle w:val="Header"/>
            <w:ind w:left="-162" w:right="-169"/>
            <w:jc w:val="center"/>
            <w:rPr>
              <w:rFonts w:ascii="Arial" w:hAnsi="Arial" w:cs="Arial"/>
              <w:color w:val="002060"/>
              <w:sz w:val="20"/>
              <w:szCs w:val="20"/>
            </w:rPr>
          </w:pPr>
          <w:r w:rsidRPr="00684478">
            <w:rPr>
              <w:rFonts w:ascii="Arial" w:hAnsi="Arial" w:cs="Arial"/>
              <w:color w:val="002060"/>
              <w:sz w:val="20"/>
              <w:szCs w:val="20"/>
            </w:rPr>
            <w:t>CAC RA</w:t>
          </w:r>
        </w:p>
      </w:tc>
    </w:tr>
  </w:tbl>
  <w:p w14:paraId="544B733A" w14:textId="77777777" w:rsidR="00A92450" w:rsidRDefault="00A92450"/>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1295"/>
      <w:gridCol w:w="7110"/>
      <w:gridCol w:w="985"/>
    </w:tblGrid>
    <w:tr w:rsidR="00A92450" w:rsidRPr="00684478" w14:paraId="1E6F643D" w14:textId="77777777" w:rsidTr="000E360E">
      <w:trPr>
        <w:trHeight w:val="256"/>
      </w:trPr>
      <w:tc>
        <w:tcPr>
          <w:tcW w:w="1255" w:type="dxa"/>
          <w:tcBorders>
            <w:top w:val="single" w:sz="4" w:space="0" w:color="FFFFFF" w:themeColor="background1"/>
            <w:left w:val="single" w:sz="4" w:space="0" w:color="FFFFFF" w:themeColor="background1"/>
            <w:bottom w:val="single" w:sz="12" w:space="0" w:color="002060"/>
            <w:right w:val="single" w:sz="4" w:space="0" w:color="FFFFFF" w:themeColor="background1"/>
          </w:tcBorders>
        </w:tcPr>
        <w:p w14:paraId="42CC3E62" w14:textId="77777777" w:rsidR="00A92450" w:rsidRPr="00684478" w:rsidRDefault="00A92450" w:rsidP="0084632B">
          <w:pPr>
            <w:pStyle w:val="Header"/>
            <w:tabs>
              <w:tab w:val="clear" w:pos="4680"/>
            </w:tabs>
            <w:jc w:val="center"/>
            <w:rPr>
              <w:rFonts w:ascii="Arial" w:hAnsi="Arial" w:cs="Arial"/>
              <w:color w:val="002060"/>
              <w:sz w:val="20"/>
              <w:szCs w:val="20"/>
            </w:rPr>
          </w:pPr>
          <w:r>
            <w:rPr>
              <w:rFonts w:ascii="Arial" w:hAnsi="Arial" w:cs="Arial"/>
              <w:color w:val="002060"/>
              <w:sz w:val="20"/>
              <w:szCs w:val="20"/>
            </w:rPr>
            <w:t>AIR BALLOONS</w:t>
          </w:r>
        </w:p>
      </w:tc>
      <w:tc>
        <w:tcPr>
          <w:tcW w:w="7110" w:type="dxa"/>
          <w:tcBorders>
            <w:top w:val="single" w:sz="4" w:space="0" w:color="FFFFFF" w:themeColor="background1"/>
            <w:left w:val="single" w:sz="4" w:space="0" w:color="FFFFFF" w:themeColor="background1"/>
            <w:bottom w:val="single" w:sz="12" w:space="0" w:color="002060"/>
            <w:right w:val="single" w:sz="4" w:space="0" w:color="FFFFFF" w:themeColor="background1"/>
          </w:tcBorders>
        </w:tcPr>
        <w:p w14:paraId="30820ACC" w14:textId="77777777" w:rsidR="00A92450" w:rsidRPr="00586EC4" w:rsidRDefault="00A92450" w:rsidP="0084632B">
          <w:pPr>
            <w:pStyle w:val="Header"/>
            <w:jc w:val="center"/>
            <w:rPr>
              <w:rFonts w:ascii="Arial" w:hAnsi="Arial" w:cs="Arial"/>
              <w:color w:val="002060"/>
              <w:sz w:val="20"/>
              <w:szCs w:val="20"/>
            </w:rPr>
          </w:pPr>
          <w:r>
            <w:rPr>
              <w:rFonts w:ascii="Arial" w:hAnsi="Arial" w:cs="Arial"/>
              <w:color w:val="002060"/>
              <w:sz w:val="20"/>
              <w:szCs w:val="20"/>
            </w:rPr>
            <w:t xml:space="preserve">CHAPTER 3 – </w:t>
          </w:r>
          <w:r w:rsidRPr="001560BF">
            <w:rPr>
              <w:rFonts w:ascii="Arial" w:hAnsi="Arial" w:cs="Arial"/>
              <w:color w:val="002060"/>
              <w:sz w:val="20"/>
              <w:szCs w:val="20"/>
            </w:rPr>
            <w:t>INITIAL AIRWORTHINESS</w:t>
          </w:r>
        </w:p>
        <w:p w14:paraId="07E4FBBF" w14:textId="2EC33817" w:rsidR="00A92450" w:rsidRPr="002E05E7" w:rsidRDefault="00A92450" w:rsidP="002E05E7">
          <w:pPr>
            <w:pStyle w:val="Header"/>
            <w:jc w:val="center"/>
            <w:rPr>
              <w:rFonts w:ascii="Arial" w:hAnsi="Arial" w:cs="Arial"/>
              <w:i/>
              <w:iCs/>
              <w:color w:val="002060"/>
              <w:sz w:val="18"/>
              <w:szCs w:val="18"/>
            </w:rPr>
          </w:pPr>
          <w:r>
            <w:rPr>
              <w:rFonts w:ascii="Arial" w:hAnsi="Arial" w:cs="Arial"/>
              <w:i/>
              <w:iCs/>
              <w:color w:val="002060"/>
              <w:sz w:val="18"/>
              <w:szCs w:val="18"/>
            </w:rPr>
            <w:t xml:space="preserve"> </w:t>
          </w:r>
          <w:r w:rsidRPr="00081334">
            <w:rPr>
              <w:rFonts w:ascii="Arial" w:hAnsi="Arial" w:cs="Arial"/>
              <w:i/>
              <w:iCs/>
              <w:color w:val="002060"/>
              <w:sz w:val="18"/>
              <w:szCs w:val="18"/>
            </w:rPr>
            <w:t>CS-31TGB (initial issue)</w:t>
          </w:r>
        </w:p>
      </w:tc>
      <w:tc>
        <w:tcPr>
          <w:tcW w:w="985" w:type="dxa"/>
          <w:tcBorders>
            <w:top w:val="single" w:sz="4" w:space="0" w:color="FFFFFF" w:themeColor="background1"/>
            <w:left w:val="single" w:sz="4" w:space="0" w:color="FFFFFF" w:themeColor="background1"/>
            <w:bottom w:val="single" w:sz="12" w:space="0" w:color="002060"/>
            <w:right w:val="single" w:sz="4" w:space="0" w:color="FFFFFF" w:themeColor="background1"/>
          </w:tcBorders>
        </w:tcPr>
        <w:p w14:paraId="769A745F" w14:textId="77777777" w:rsidR="00A92450" w:rsidRPr="00684478" w:rsidRDefault="00A92450" w:rsidP="004A51D5">
          <w:pPr>
            <w:pStyle w:val="Header"/>
            <w:ind w:left="-162" w:right="-169"/>
            <w:jc w:val="center"/>
            <w:rPr>
              <w:rFonts w:ascii="Arial" w:hAnsi="Arial" w:cs="Arial"/>
              <w:color w:val="002060"/>
              <w:sz w:val="20"/>
              <w:szCs w:val="20"/>
            </w:rPr>
          </w:pPr>
          <w:r w:rsidRPr="00684478">
            <w:rPr>
              <w:rFonts w:ascii="Arial" w:hAnsi="Arial" w:cs="Arial"/>
              <w:color w:val="002060"/>
              <w:sz w:val="20"/>
              <w:szCs w:val="20"/>
            </w:rPr>
            <w:t>CAC RA</w:t>
          </w:r>
        </w:p>
      </w:tc>
    </w:tr>
  </w:tbl>
  <w:p w14:paraId="3265383A" w14:textId="77777777" w:rsidR="00A92450" w:rsidRDefault="00A9245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90" w:type="dxa"/>
      <w:tblInd w:w="-5" w:type="dxa"/>
      <w:tblLook w:val="04A0" w:firstRow="1" w:lastRow="0" w:firstColumn="1" w:lastColumn="0" w:noHBand="0" w:noVBand="1"/>
    </w:tblPr>
    <w:tblGrid>
      <w:gridCol w:w="1295"/>
      <w:gridCol w:w="6758"/>
      <w:gridCol w:w="1037"/>
    </w:tblGrid>
    <w:tr w:rsidR="00A92450" w:rsidRPr="00684478" w14:paraId="323F5212" w14:textId="77777777" w:rsidTr="004D1368">
      <w:trPr>
        <w:trHeight w:val="256"/>
      </w:trPr>
      <w:tc>
        <w:tcPr>
          <w:tcW w:w="1295" w:type="dxa"/>
          <w:tcBorders>
            <w:top w:val="single" w:sz="4" w:space="0" w:color="FFFFFF" w:themeColor="background1"/>
            <w:left w:val="single" w:sz="4" w:space="0" w:color="FFFFFF" w:themeColor="background1"/>
            <w:bottom w:val="single" w:sz="12" w:space="0" w:color="002060"/>
            <w:right w:val="single" w:sz="4" w:space="0" w:color="FFFFFF" w:themeColor="background1"/>
          </w:tcBorders>
        </w:tcPr>
        <w:p w14:paraId="655F405F" w14:textId="77777777" w:rsidR="00A92450" w:rsidRPr="00684478" w:rsidRDefault="00A92450" w:rsidP="0084632B">
          <w:pPr>
            <w:pStyle w:val="Header"/>
            <w:tabs>
              <w:tab w:val="clear" w:pos="4680"/>
            </w:tabs>
            <w:jc w:val="center"/>
            <w:rPr>
              <w:rFonts w:ascii="Arial" w:hAnsi="Arial" w:cs="Arial"/>
              <w:color w:val="002060"/>
              <w:sz w:val="20"/>
              <w:szCs w:val="20"/>
            </w:rPr>
          </w:pPr>
          <w:r>
            <w:rPr>
              <w:rFonts w:ascii="Arial" w:hAnsi="Arial" w:cs="Arial"/>
              <w:color w:val="002060"/>
              <w:sz w:val="20"/>
              <w:szCs w:val="20"/>
            </w:rPr>
            <w:t>AIR BALLOONS</w:t>
          </w:r>
        </w:p>
      </w:tc>
      <w:tc>
        <w:tcPr>
          <w:tcW w:w="6758" w:type="dxa"/>
          <w:tcBorders>
            <w:top w:val="single" w:sz="4" w:space="0" w:color="FFFFFF" w:themeColor="background1"/>
            <w:left w:val="single" w:sz="4" w:space="0" w:color="FFFFFF" w:themeColor="background1"/>
            <w:bottom w:val="single" w:sz="12" w:space="0" w:color="002060"/>
            <w:right w:val="single" w:sz="4" w:space="0" w:color="FFFFFF" w:themeColor="background1"/>
          </w:tcBorders>
        </w:tcPr>
        <w:p w14:paraId="12355EBF" w14:textId="2DB6F160" w:rsidR="00A92450" w:rsidRPr="00586EC4" w:rsidRDefault="00A92450" w:rsidP="0084632B">
          <w:pPr>
            <w:pStyle w:val="Header"/>
            <w:jc w:val="center"/>
            <w:rPr>
              <w:rFonts w:ascii="Arial" w:hAnsi="Arial" w:cs="Arial"/>
              <w:color w:val="002060"/>
              <w:sz w:val="20"/>
              <w:szCs w:val="20"/>
            </w:rPr>
          </w:pPr>
          <w:r>
            <w:rPr>
              <w:rFonts w:ascii="Arial" w:hAnsi="Arial" w:cs="Arial"/>
              <w:color w:val="002060"/>
              <w:sz w:val="20"/>
              <w:szCs w:val="20"/>
            </w:rPr>
            <w:t>TABLE OF CONTENTS</w:t>
          </w:r>
        </w:p>
        <w:p w14:paraId="24807DE2" w14:textId="12E092C8" w:rsidR="00A92450" w:rsidRPr="00684478" w:rsidRDefault="00A92450" w:rsidP="0084632B">
          <w:pPr>
            <w:pStyle w:val="Header"/>
            <w:jc w:val="center"/>
            <w:rPr>
              <w:rFonts w:ascii="Arial" w:hAnsi="Arial" w:cs="Arial"/>
              <w:i/>
              <w:iCs/>
              <w:color w:val="002060"/>
              <w:sz w:val="20"/>
              <w:szCs w:val="20"/>
            </w:rPr>
          </w:pPr>
        </w:p>
      </w:tc>
      <w:tc>
        <w:tcPr>
          <w:tcW w:w="1037" w:type="dxa"/>
          <w:tcBorders>
            <w:top w:val="single" w:sz="4" w:space="0" w:color="FFFFFF" w:themeColor="background1"/>
            <w:left w:val="single" w:sz="4" w:space="0" w:color="FFFFFF" w:themeColor="background1"/>
            <w:bottom w:val="single" w:sz="12" w:space="0" w:color="002060"/>
            <w:right w:val="single" w:sz="4" w:space="0" w:color="FFFFFF" w:themeColor="background1"/>
          </w:tcBorders>
        </w:tcPr>
        <w:p w14:paraId="706A1F4A" w14:textId="77777777" w:rsidR="00A92450" w:rsidRPr="00684478" w:rsidRDefault="00A92450" w:rsidP="0084632B">
          <w:pPr>
            <w:pStyle w:val="Header"/>
            <w:jc w:val="right"/>
            <w:rPr>
              <w:rFonts w:ascii="Arial" w:hAnsi="Arial" w:cs="Arial"/>
              <w:color w:val="002060"/>
              <w:sz w:val="20"/>
              <w:szCs w:val="20"/>
            </w:rPr>
          </w:pPr>
          <w:r w:rsidRPr="00684478">
            <w:rPr>
              <w:rFonts w:ascii="Arial" w:hAnsi="Arial" w:cs="Arial"/>
              <w:color w:val="002060"/>
              <w:sz w:val="20"/>
              <w:szCs w:val="20"/>
            </w:rPr>
            <w:t>CAC RA</w:t>
          </w:r>
        </w:p>
      </w:tc>
    </w:tr>
  </w:tbl>
  <w:p w14:paraId="423C3D81" w14:textId="77777777" w:rsidR="00A92450" w:rsidRDefault="00A9245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90" w:type="dxa"/>
      <w:tblInd w:w="-5" w:type="dxa"/>
      <w:tblLook w:val="04A0" w:firstRow="1" w:lastRow="0" w:firstColumn="1" w:lastColumn="0" w:noHBand="0" w:noVBand="1"/>
    </w:tblPr>
    <w:tblGrid>
      <w:gridCol w:w="1295"/>
      <w:gridCol w:w="6758"/>
      <w:gridCol w:w="1037"/>
    </w:tblGrid>
    <w:tr w:rsidR="00A92450" w:rsidRPr="00684478" w14:paraId="714719EE" w14:textId="77777777" w:rsidTr="004D1368">
      <w:trPr>
        <w:trHeight w:val="256"/>
      </w:trPr>
      <w:tc>
        <w:tcPr>
          <w:tcW w:w="1295" w:type="dxa"/>
          <w:tcBorders>
            <w:top w:val="single" w:sz="4" w:space="0" w:color="FFFFFF" w:themeColor="background1"/>
            <w:left w:val="single" w:sz="4" w:space="0" w:color="FFFFFF" w:themeColor="background1"/>
            <w:bottom w:val="single" w:sz="12" w:space="0" w:color="002060"/>
            <w:right w:val="single" w:sz="4" w:space="0" w:color="FFFFFF" w:themeColor="background1"/>
          </w:tcBorders>
        </w:tcPr>
        <w:p w14:paraId="67AD5710" w14:textId="77777777" w:rsidR="00A92450" w:rsidRPr="00684478" w:rsidRDefault="00A92450" w:rsidP="0084632B">
          <w:pPr>
            <w:pStyle w:val="Header"/>
            <w:tabs>
              <w:tab w:val="clear" w:pos="4680"/>
            </w:tabs>
            <w:jc w:val="center"/>
            <w:rPr>
              <w:rFonts w:ascii="Arial" w:hAnsi="Arial" w:cs="Arial"/>
              <w:color w:val="002060"/>
              <w:sz w:val="20"/>
              <w:szCs w:val="20"/>
            </w:rPr>
          </w:pPr>
          <w:r>
            <w:rPr>
              <w:rFonts w:ascii="Arial" w:hAnsi="Arial" w:cs="Arial"/>
              <w:color w:val="002060"/>
              <w:sz w:val="20"/>
              <w:szCs w:val="20"/>
            </w:rPr>
            <w:t>AIR BALLOONS</w:t>
          </w:r>
        </w:p>
      </w:tc>
      <w:tc>
        <w:tcPr>
          <w:tcW w:w="6758" w:type="dxa"/>
          <w:tcBorders>
            <w:top w:val="single" w:sz="4" w:space="0" w:color="FFFFFF" w:themeColor="background1"/>
            <w:left w:val="single" w:sz="4" w:space="0" w:color="FFFFFF" w:themeColor="background1"/>
            <w:bottom w:val="single" w:sz="12" w:space="0" w:color="002060"/>
            <w:right w:val="single" w:sz="4" w:space="0" w:color="FFFFFF" w:themeColor="background1"/>
          </w:tcBorders>
        </w:tcPr>
        <w:p w14:paraId="7FF1E6F0" w14:textId="77777777" w:rsidR="00A92450" w:rsidRPr="00586EC4" w:rsidRDefault="00A92450" w:rsidP="0084632B">
          <w:pPr>
            <w:pStyle w:val="Header"/>
            <w:jc w:val="center"/>
            <w:rPr>
              <w:rFonts w:ascii="Arial" w:hAnsi="Arial" w:cs="Arial"/>
              <w:color w:val="002060"/>
              <w:sz w:val="20"/>
              <w:szCs w:val="20"/>
            </w:rPr>
          </w:pPr>
          <w:r>
            <w:rPr>
              <w:rFonts w:ascii="Arial" w:hAnsi="Arial" w:cs="Arial"/>
              <w:color w:val="002060"/>
              <w:sz w:val="20"/>
              <w:szCs w:val="20"/>
            </w:rPr>
            <w:t>CHAPTER 1 – AIR OPERATIONS AND LICENSING</w:t>
          </w:r>
        </w:p>
        <w:p w14:paraId="7E357520" w14:textId="77777777" w:rsidR="00A92450" w:rsidRPr="00684478" w:rsidRDefault="00A92450" w:rsidP="0084632B">
          <w:pPr>
            <w:pStyle w:val="Header"/>
            <w:jc w:val="center"/>
            <w:rPr>
              <w:rFonts w:ascii="Arial" w:hAnsi="Arial" w:cs="Arial"/>
              <w:i/>
              <w:iCs/>
              <w:color w:val="002060"/>
              <w:sz w:val="20"/>
              <w:szCs w:val="20"/>
            </w:rPr>
          </w:pPr>
          <w:r>
            <w:rPr>
              <w:rFonts w:ascii="Arial" w:hAnsi="Arial" w:cs="Arial"/>
              <w:i/>
              <w:iCs/>
              <w:color w:val="002060"/>
              <w:sz w:val="18"/>
              <w:szCs w:val="18"/>
            </w:rPr>
            <w:t xml:space="preserve">COVER REGULATION </w:t>
          </w:r>
        </w:p>
      </w:tc>
      <w:tc>
        <w:tcPr>
          <w:tcW w:w="1037" w:type="dxa"/>
          <w:tcBorders>
            <w:top w:val="single" w:sz="4" w:space="0" w:color="FFFFFF" w:themeColor="background1"/>
            <w:left w:val="single" w:sz="4" w:space="0" w:color="FFFFFF" w:themeColor="background1"/>
            <w:bottom w:val="single" w:sz="12" w:space="0" w:color="002060"/>
            <w:right w:val="single" w:sz="4" w:space="0" w:color="FFFFFF" w:themeColor="background1"/>
          </w:tcBorders>
        </w:tcPr>
        <w:p w14:paraId="63DB5B36" w14:textId="77777777" w:rsidR="00A92450" w:rsidRPr="00684478" w:rsidRDefault="00A92450" w:rsidP="0084632B">
          <w:pPr>
            <w:pStyle w:val="Header"/>
            <w:jc w:val="right"/>
            <w:rPr>
              <w:rFonts w:ascii="Arial" w:hAnsi="Arial" w:cs="Arial"/>
              <w:color w:val="002060"/>
              <w:sz w:val="20"/>
              <w:szCs w:val="20"/>
            </w:rPr>
          </w:pPr>
          <w:r w:rsidRPr="00684478">
            <w:rPr>
              <w:rFonts w:ascii="Arial" w:hAnsi="Arial" w:cs="Arial"/>
              <w:color w:val="002060"/>
              <w:sz w:val="20"/>
              <w:szCs w:val="20"/>
            </w:rPr>
            <w:t>CAC RA</w:t>
          </w:r>
        </w:p>
      </w:tc>
    </w:tr>
  </w:tbl>
  <w:p w14:paraId="4FBAAE34" w14:textId="77777777" w:rsidR="00A92450" w:rsidRDefault="00A9245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1295"/>
      <w:gridCol w:w="6767"/>
      <w:gridCol w:w="954"/>
    </w:tblGrid>
    <w:tr w:rsidR="00A92450" w:rsidRPr="00684478" w14:paraId="637628BC" w14:textId="77777777" w:rsidTr="000E360E">
      <w:trPr>
        <w:trHeight w:val="256"/>
      </w:trPr>
      <w:tc>
        <w:tcPr>
          <w:tcW w:w="1255" w:type="dxa"/>
          <w:tcBorders>
            <w:top w:val="single" w:sz="4" w:space="0" w:color="FFFFFF" w:themeColor="background1"/>
            <w:left w:val="single" w:sz="4" w:space="0" w:color="FFFFFF" w:themeColor="background1"/>
            <w:bottom w:val="single" w:sz="12" w:space="0" w:color="002060"/>
            <w:right w:val="single" w:sz="4" w:space="0" w:color="FFFFFF" w:themeColor="background1"/>
          </w:tcBorders>
        </w:tcPr>
        <w:p w14:paraId="649AF67F" w14:textId="77777777" w:rsidR="00A92450" w:rsidRPr="00684478" w:rsidRDefault="00A92450" w:rsidP="0084632B">
          <w:pPr>
            <w:pStyle w:val="Header"/>
            <w:tabs>
              <w:tab w:val="clear" w:pos="4680"/>
            </w:tabs>
            <w:jc w:val="center"/>
            <w:rPr>
              <w:rFonts w:ascii="Arial" w:hAnsi="Arial" w:cs="Arial"/>
              <w:color w:val="002060"/>
              <w:sz w:val="20"/>
              <w:szCs w:val="20"/>
            </w:rPr>
          </w:pPr>
          <w:r>
            <w:rPr>
              <w:rFonts w:ascii="Arial" w:hAnsi="Arial" w:cs="Arial"/>
              <w:color w:val="002060"/>
              <w:sz w:val="20"/>
              <w:szCs w:val="20"/>
            </w:rPr>
            <w:t>AIR BALLOONS</w:t>
          </w:r>
        </w:p>
      </w:tc>
      <w:tc>
        <w:tcPr>
          <w:tcW w:w="7110" w:type="dxa"/>
          <w:tcBorders>
            <w:top w:val="single" w:sz="4" w:space="0" w:color="FFFFFF" w:themeColor="background1"/>
            <w:left w:val="single" w:sz="4" w:space="0" w:color="FFFFFF" w:themeColor="background1"/>
            <w:bottom w:val="single" w:sz="12" w:space="0" w:color="002060"/>
            <w:right w:val="single" w:sz="4" w:space="0" w:color="FFFFFF" w:themeColor="background1"/>
          </w:tcBorders>
        </w:tcPr>
        <w:p w14:paraId="27EF5C86" w14:textId="77777777" w:rsidR="00A92450" w:rsidRPr="00586EC4" w:rsidRDefault="00A92450" w:rsidP="0084632B">
          <w:pPr>
            <w:pStyle w:val="Header"/>
            <w:jc w:val="center"/>
            <w:rPr>
              <w:rFonts w:ascii="Arial" w:hAnsi="Arial" w:cs="Arial"/>
              <w:color w:val="002060"/>
              <w:sz w:val="20"/>
              <w:szCs w:val="20"/>
            </w:rPr>
          </w:pPr>
          <w:r>
            <w:rPr>
              <w:rFonts w:ascii="Arial" w:hAnsi="Arial" w:cs="Arial"/>
              <w:color w:val="002060"/>
              <w:sz w:val="20"/>
              <w:szCs w:val="20"/>
            </w:rPr>
            <w:t>CHAPTER 1 – AIR OPERATIONS AND LICENSING</w:t>
          </w:r>
        </w:p>
        <w:p w14:paraId="24BD5A39" w14:textId="77777777" w:rsidR="00A92450" w:rsidRPr="002E05E7" w:rsidRDefault="00A92450" w:rsidP="00A021F2">
          <w:pPr>
            <w:pStyle w:val="Header"/>
            <w:jc w:val="center"/>
            <w:rPr>
              <w:rFonts w:ascii="Arial" w:hAnsi="Arial" w:cs="Arial"/>
              <w:i/>
              <w:iCs/>
              <w:color w:val="002060"/>
              <w:sz w:val="18"/>
              <w:szCs w:val="18"/>
            </w:rPr>
          </w:pPr>
          <w:r>
            <w:rPr>
              <w:rFonts w:ascii="Arial" w:hAnsi="Arial" w:cs="Arial"/>
              <w:i/>
              <w:iCs/>
              <w:color w:val="002060"/>
              <w:sz w:val="18"/>
              <w:szCs w:val="18"/>
            </w:rPr>
            <w:t>ANNEX I</w:t>
          </w:r>
        </w:p>
      </w:tc>
      <w:tc>
        <w:tcPr>
          <w:tcW w:w="985" w:type="dxa"/>
          <w:tcBorders>
            <w:top w:val="single" w:sz="4" w:space="0" w:color="FFFFFF" w:themeColor="background1"/>
            <w:left w:val="single" w:sz="4" w:space="0" w:color="FFFFFF" w:themeColor="background1"/>
            <w:bottom w:val="single" w:sz="12" w:space="0" w:color="002060"/>
            <w:right w:val="single" w:sz="4" w:space="0" w:color="FFFFFF" w:themeColor="background1"/>
          </w:tcBorders>
        </w:tcPr>
        <w:p w14:paraId="0F3AF282" w14:textId="77777777" w:rsidR="00A92450" w:rsidRPr="00684478" w:rsidRDefault="00A92450" w:rsidP="004A51D5">
          <w:pPr>
            <w:pStyle w:val="Header"/>
            <w:ind w:left="-162" w:right="-169"/>
            <w:jc w:val="center"/>
            <w:rPr>
              <w:rFonts w:ascii="Arial" w:hAnsi="Arial" w:cs="Arial"/>
              <w:color w:val="002060"/>
              <w:sz w:val="20"/>
              <w:szCs w:val="20"/>
            </w:rPr>
          </w:pPr>
          <w:r w:rsidRPr="00684478">
            <w:rPr>
              <w:rFonts w:ascii="Arial" w:hAnsi="Arial" w:cs="Arial"/>
              <w:color w:val="002060"/>
              <w:sz w:val="20"/>
              <w:szCs w:val="20"/>
            </w:rPr>
            <w:t>CAC RA</w:t>
          </w:r>
        </w:p>
      </w:tc>
    </w:tr>
  </w:tbl>
  <w:p w14:paraId="4705A763" w14:textId="77777777" w:rsidR="00A92450" w:rsidRDefault="00A9245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1295"/>
      <w:gridCol w:w="7110"/>
      <w:gridCol w:w="985"/>
    </w:tblGrid>
    <w:tr w:rsidR="00A92450" w:rsidRPr="00684478" w14:paraId="615A4DB7" w14:textId="77777777" w:rsidTr="000E360E">
      <w:trPr>
        <w:trHeight w:val="256"/>
      </w:trPr>
      <w:tc>
        <w:tcPr>
          <w:tcW w:w="1255" w:type="dxa"/>
          <w:tcBorders>
            <w:top w:val="single" w:sz="4" w:space="0" w:color="FFFFFF" w:themeColor="background1"/>
            <w:left w:val="single" w:sz="4" w:space="0" w:color="FFFFFF" w:themeColor="background1"/>
            <w:bottom w:val="single" w:sz="12" w:space="0" w:color="002060"/>
            <w:right w:val="single" w:sz="4" w:space="0" w:color="FFFFFF" w:themeColor="background1"/>
          </w:tcBorders>
        </w:tcPr>
        <w:p w14:paraId="18EF6283" w14:textId="77777777" w:rsidR="00A92450" w:rsidRPr="00684478" w:rsidRDefault="00A92450" w:rsidP="0084632B">
          <w:pPr>
            <w:pStyle w:val="Header"/>
            <w:tabs>
              <w:tab w:val="clear" w:pos="4680"/>
            </w:tabs>
            <w:jc w:val="center"/>
            <w:rPr>
              <w:rFonts w:ascii="Arial" w:hAnsi="Arial" w:cs="Arial"/>
              <w:color w:val="002060"/>
              <w:sz w:val="20"/>
              <w:szCs w:val="20"/>
            </w:rPr>
          </w:pPr>
          <w:r>
            <w:rPr>
              <w:rFonts w:ascii="Arial" w:hAnsi="Arial" w:cs="Arial"/>
              <w:color w:val="002060"/>
              <w:sz w:val="20"/>
              <w:szCs w:val="20"/>
            </w:rPr>
            <w:t>AIR BALLOONS</w:t>
          </w:r>
        </w:p>
      </w:tc>
      <w:tc>
        <w:tcPr>
          <w:tcW w:w="7110" w:type="dxa"/>
          <w:tcBorders>
            <w:top w:val="single" w:sz="4" w:space="0" w:color="FFFFFF" w:themeColor="background1"/>
            <w:left w:val="single" w:sz="4" w:space="0" w:color="FFFFFF" w:themeColor="background1"/>
            <w:bottom w:val="single" w:sz="12" w:space="0" w:color="002060"/>
            <w:right w:val="single" w:sz="4" w:space="0" w:color="FFFFFF" w:themeColor="background1"/>
          </w:tcBorders>
        </w:tcPr>
        <w:p w14:paraId="32A2EE9E" w14:textId="77777777" w:rsidR="00A92450" w:rsidRPr="00586EC4" w:rsidRDefault="00A92450" w:rsidP="0084632B">
          <w:pPr>
            <w:pStyle w:val="Header"/>
            <w:jc w:val="center"/>
            <w:rPr>
              <w:rFonts w:ascii="Arial" w:hAnsi="Arial" w:cs="Arial"/>
              <w:color w:val="002060"/>
              <w:sz w:val="20"/>
              <w:szCs w:val="20"/>
            </w:rPr>
          </w:pPr>
          <w:r>
            <w:rPr>
              <w:rFonts w:ascii="Arial" w:hAnsi="Arial" w:cs="Arial"/>
              <w:color w:val="002060"/>
              <w:sz w:val="20"/>
              <w:szCs w:val="20"/>
            </w:rPr>
            <w:t>CHAPTER 1 – AIR OPERATIONS AND LICENSING</w:t>
          </w:r>
        </w:p>
        <w:p w14:paraId="2FA8F1A0" w14:textId="77777777" w:rsidR="00A92450" w:rsidRPr="002E05E7" w:rsidRDefault="00A92450" w:rsidP="002E05E7">
          <w:pPr>
            <w:pStyle w:val="Header"/>
            <w:jc w:val="center"/>
            <w:rPr>
              <w:rFonts w:ascii="Arial" w:hAnsi="Arial" w:cs="Arial"/>
              <w:i/>
              <w:iCs/>
              <w:color w:val="002060"/>
              <w:sz w:val="18"/>
              <w:szCs w:val="18"/>
            </w:rPr>
          </w:pPr>
          <w:r>
            <w:rPr>
              <w:rFonts w:ascii="Arial" w:hAnsi="Arial" w:cs="Arial"/>
              <w:i/>
              <w:iCs/>
              <w:color w:val="002060"/>
              <w:sz w:val="18"/>
              <w:szCs w:val="18"/>
            </w:rPr>
            <w:t>ANNEX II – BALLOON AIR OPERATIONS (PART-BOP)</w:t>
          </w:r>
        </w:p>
      </w:tc>
      <w:tc>
        <w:tcPr>
          <w:tcW w:w="985" w:type="dxa"/>
          <w:tcBorders>
            <w:top w:val="single" w:sz="4" w:space="0" w:color="FFFFFF" w:themeColor="background1"/>
            <w:left w:val="single" w:sz="4" w:space="0" w:color="FFFFFF" w:themeColor="background1"/>
            <w:bottom w:val="single" w:sz="12" w:space="0" w:color="002060"/>
            <w:right w:val="single" w:sz="4" w:space="0" w:color="FFFFFF" w:themeColor="background1"/>
          </w:tcBorders>
        </w:tcPr>
        <w:p w14:paraId="7F4A52E0" w14:textId="77777777" w:rsidR="00A92450" w:rsidRPr="00684478" w:rsidRDefault="00A92450" w:rsidP="004A51D5">
          <w:pPr>
            <w:pStyle w:val="Header"/>
            <w:ind w:left="-162" w:right="-169"/>
            <w:jc w:val="center"/>
            <w:rPr>
              <w:rFonts w:ascii="Arial" w:hAnsi="Arial" w:cs="Arial"/>
              <w:color w:val="002060"/>
              <w:sz w:val="20"/>
              <w:szCs w:val="20"/>
            </w:rPr>
          </w:pPr>
          <w:r w:rsidRPr="00684478">
            <w:rPr>
              <w:rFonts w:ascii="Arial" w:hAnsi="Arial" w:cs="Arial"/>
              <w:color w:val="002060"/>
              <w:sz w:val="20"/>
              <w:szCs w:val="20"/>
            </w:rPr>
            <w:t>CAC RA</w:t>
          </w:r>
        </w:p>
      </w:tc>
    </w:tr>
  </w:tbl>
  <w:p w14:paraId="60644683" w14:textId="77777777" w:rsidR="00A92450" w:rsidRDefault="00A9245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1295"/>
      <w:gridCol w:w="7110"/>
      <w:gridCol w:w="985"/>
    </w:tblGrid>
    <w:tr w:rsidR="00A92450" w:rsidRPr="00684478" w14:paraId="72D23CCB" w14:textId="77777777" w:rsidTr="000E360E">
      <w:trPr>
        <w:trHeight w:val="256"/>
      </w:trPr>
      <w:tc>
        <w:tcPr>
          <w:tcW w:w="1255" w:type="dxa"/>
          <w:tcBorders>
            <w:top w:val="single" w:sz="4" w:space="0" w:color="FFFFFF" w:themeColor="background1"/>
            <w:left w:val="single" w:sz="4" w:space="0" w:color="FFFFFF" w:themeColor="background1"/>
            <w:bottom w:val="single" w:sz="12" w:space="0" w:color="002060"/>
            <w:right w:val="single" w:sz="4" w:space="0" w:color="FFFFFF" w:themeColor="background1"/>
          </w:tcBorders>
        </w:tcPr>
        <w:p w14:paraId="0A95215B" w14:textId="77777777" w:rsidR="00A92450" w:rsidRPr="00684478" w:rsidRDefault="00A92450" w:rsidP="0084632B">
          <w:pPr>
            <w:pStyle w:val="Header"/>
            <w:tabs>
              <w:tab w:val="clear" w:pos="4680"/>
            </w:tabs>
            <w:jc w:val="center"/>
            <w:rPr>
              <w:rFonts w:ascii="Arial" w:hAnsi="Arial" w:cs="Arial"/>
              <w:color w:val="002060"/>
              <w:sz w:val="20"/>
              <w:szCs w:val="20"/>
            </w:rPr>
          </w:pPr>
          <w:r>
            <w:rPr>
              <w:rFonts w:ascii="Arial" w:hAnsi="Arial" w:cs="Arial"/>
              <w:color w:val="002060"/>
              <w:sz w:val="20"/>
              <w:szCs w:val="20"/>
            </w:rPr>
            <w:t>AIR BALLOONS</w:t>
          </w:r>
        </w:p>
      </w:tc>
      <w:tc>
        <w:tcPr>
          <w:tcW w:w="7110" w:type="dxa"/>
          <w:tcBorders>
            <w:top w:val="single" w:sz="4" w:space="0" w:color="FFFFFF" w:themeColor="background1"/>
            <w:left w:val="single" w:sz="4" w:space="0" w:color="FFFFFF" w:themeColor="background1"/>
            <w:bottom w:val="single" w:sz="12" w:space="0" w:color="002060"/>
            <w:right w:val="single" w:sz="4" w:space="0" w:color="FFFFFF" w:themeColor="background1"/>
          </w:tcBorders>
        </w:tcPr>
        <w:p w14:paraId="162D5C3B" w14:textId="77777777" w:rsidR="00A92450" w:rsidRPr="00586EC4" w:rsidRDefault="00A92450" w:rsidP="0084632B">
          <w:pPr>
            <w:pStyle w:val="Header"/>
            <w:jc w:val="center"/>
            <w:rPr>
              <w:rFonts w:ascii="Arial" w:hAnsi="Arial" w:cs="Arial"/>
              <w:color w:val="002060"/>
              <w:sz w:val="20"/>
              <w:szCs w:val="20"/>
            </w:rPr>
          </w:pPr>
          <w:r>
            <w:rPr>
              <w:rFonts w:ascii="Arial" w:hAnsi="Arial" w:cs="Arial"/>
              <w:color w:val="002060"/>
              <w:sz w:val="20"/>
              <w:szCs w:val="20"/>
            </w:rPr>
            <w:t>CHAPTER 1 – AIR OPERATIONS AND LICENSING</w:t>
          </w:r>
        </w:p>
        <w:p w14:paraId="6537F170" w14:textId="4F50139D" w:rsidR="00A92450" w:rsidRPr="002E05E7" w:rsidRDefault="00A92450" w:rsidP="002E05E7">
          <w:pPr>
            <w:pStyle w:val="Header"/>
            <w:jc w:val="center"/>
            <w:rPr>
              <w:rFonts w:ascii="Arial" w:hAnsi="Arial" w:cs="Arial"/>
              <w:i/>
              <w:iCs/>
              <w:color w:val="002060"/>
              <w:sz w:val="18"/>
              <w:szCs w:val="18"/>
            </w:rPr>
          </w:pPr>
          <w:r>
            <w:rPr>
              <w:rFonts w:ascii="Arial" w:hAnsi="Arial" w:cs="Arial"/>
              <w:i/>
              <w:iCs/>
              <w:color w:val="002060"/>
              <w:sz w:val="18"/>
              <w:szCs w:val="18"/>
            </w:rPr>
            <w:t xml:space="preserve">ANNEX III – </w:t>
          </w:r>
          <w:r w:rsidRPr="00F95819">
            <w:rPr>
              <w:rFonts w:ascii="Arial" w:hAnsi="Arial" w:cs="Arial"/>
              <w:i/>
              <w:iCs/>
              <w:color w:val="002060"/>
              <w:sz w:val="18"/>
              <w:szCs w:val="18"/>
            </w:rPr>
            <w:t>REQUIREMENTS FOR BALLOONS FLIGHT CREW LICENSING (Part-BFCL)</w:t>
          </w:r>
        </w:p>
      </w:tc>
      <w:tc>
        <w:tcPr>
          <w:tcW w:w="985" w:type="dxa"/>
          <w:tcBorders>
            <w:top w:val="single" w:sz="4" w:space="0" w:color="FFFFFF" w:themeColor="background1"/>
            <w:left w:val="single" w:sz="4" w:space="0" w:color="FFFFFF" w:themeColor="background1"/>
            <w:bottom w:val="single" w:sz="12" w:space="0" w:color="002060"/>
            <w:right w:val="single" w:sz="4" w:space="0" w:color="FFFFFF" w:themeColor="background1"/>
          </w:tcBorders>
        </w:tcPr>
        <w:p w14:paraId="2E3643C2" w14:textId="77777777" w:rsidR="00A92450" w:rsidRPr="00684478" w:rsidRDefault="00A92450" w:rsidP="004A51D5">
          <w:pPr>
            <w:pStyle w:val="Header"/>
            <w:ind w:left="-162" w:right="-169"/>
            <w:jc w:val="center"/>
            <w:rPr>
              <w:rFonts w:ascii="Arial" w:hAnsi="Arial" w:cs="Arial"/>
              <w:color w:val="002060"/>
              <w:sz w:val="20"/>
              <w:szCs w:val="20"/>
            </w:rPr>
          </w:pPr>
          <w:r w:rsidRPr="00684478">
            <w:rPr>
              <w:rFonts w:ascii="Arial" w:hAnsi="Arial" w:cs="Arial"/>
              <w:color w:val="002060"/>
              <w:sz w:val="20"/>
              <w:szCs w:val="20"/>
            </w:rPr>
            <w:t>CAC RA</w:t>
          </w:r>
        </w:p>
      </w:tc>
    </w:tr>
  </w:tbl>
  <w:p w14:paraId="0673375A" w14:textId="77777777" w:rsidR="00A92450" w:rsidRDefault="00A9245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1295"/>
      <w:gridCol w:w="7110"/>
      <w:gridCol w:w="985"/>
    </w:tblGrid>
    <w:tr w:rsidR="00A92450" w:rsidRPr="00684478" w14:paraId="320E27D1" w14:textId="77777777" w:rsidTr="000E360E">
      <w:trPr>
        <w:trHeight w:val="256"/>
      </w:trPr>
      <w:tc>
        <w:tcPr>
          <w:tcW w:w="1255" w:type="dxa"/>
          <w:tcBorders>
            <w:top w:val="single" w:sz="4" w:space="0" w:color="FFFFFF" w:themeColor="background1"/>
            <w:left w:val="single" w:sz="4" w:space="0" w:color="FFFFFF" w:themeColor="background1"/>
            <w:bottom w:val="single" w:sz="12" w:space="0" w:color="002060"/>
            <w:right w:val="single" w:sz="4" w:space="0" w:color="FFFFFF" w:themeColor="background1"/>
          </w:tcBorders>
        </w:tcPr>
        <w:p w14:paraId="49BD7041" w14:textId="77777777" w:rsidR="00A92450" w:rsidRPr="00684478" w:rsidRDefault="00A92450" w:rsidP="0084632B">
          <w:pPr>
            <w:pStyle w:val="Header"/>
            <w:tabs>
              <w:tab w:val="clear" w:pos="4680"/>
            </w:tabs>
            <w:jc w:val="center"/>
            <w:rPr>
              <w:rFonts w:ascii="Arial" w:hAnsi="Arial" w:cs="Arial"/>
              <w:color w:val="002060"/>
              <w:sz w:val="20"/>
              <w:szCs w:val="20"/>
            </w:rPr>
          </w:pPr>
          <w:r>
            <w:rPr>
              <w:rFonts w:ascii="Arial" w:hAnsi="Arial" w:cs="Arial"/>
              <w:color w:val="002060"/>
              <w:sz w:val="20"/>
              <w:szCs w:val="20"/>
            </w:rPr>
            <w:t>AIR BALLOONS</w:t>
          </w:r>
        </w:p>
      </w:tc>
      <w:tc>
        <w:tcPr>
          <w:tcW w:w="7110" w:type="dxa"/>
          <w:tcBorders>
            <w:top w:val="single" w:sz="4" w:space="0" w:color="FFFFFF" w:themeColor="background1"/>
            <w:left w:val="single" w:sz="4" w:space="0" w:color="FFFFFF" w:themeColor="background1"/>
            <w:bottom w:val="single" w:sz="12" w:space="0" w:color="002060"/>
            <w:right w:val="single" w:sz="4" w:space="0" w:color="FFFFFF" w:themeColor="background1"/>
          </w:tcBorders>
        </w:tcPr>
        <w:p w14:paraId="03885BC3" w14:textId="7BB78C77" w:rsidR="00A92450" w:rsidRPr="00586EC4" w:rsidRDefault="00A92450" w:rsidP="0084632B">
          <w:pPr>
            <w:pStyle w:val="Header"/>
            <w:jc w:val="center"/>
            <w:rPr>
              <w:rFonts w:ascii="Arial" w:hAnsi="Arial" w:cs="Arial"/>
              <w:color w:val="002060"/>
              <w:sz w:val="20"/>
              <w:szCs w:val="20"/>
            </w:rPr>
          </w:pPr>
          <w:r w:rsidRPr="00567C6E">
            <w:rPr>
              <w:rFonts w:ascii="Arial" w:hAnsi="Arial" w:cs="Arial"/>
              <w:color w:val="002060"/>
              <w:sz w:val="20"/>
              <w:szCs w:val="20"/>
            </w:rPr>
            <w:t>CHAPTER 2 — CONTINUING AIRWORTHINESS</w:t>
          </w:r>
        </w:p>
        <w:p w14:paraId="2134FBC4" w14:textId="4EA025EE" w:rsidR="00A92450" w:rsidRPr="002E05E7" w:rsidRDefault="00A92450" w:rsidP="002E05E7">
          <w:pPr>
            <w:pStyle w:val="Header"/>
            <w:jc w:val="center"/>
            <w:rPr>
              <w:rFonts w:ascii="Arial" w:hAnsi="Arial" w:cs="Arial"/>
              <w:i/>
              <w:iCs/>
              <w:color w:val="002060"/>
              <w:sz w:val="18"/>
              <w:szCs w:val="18"/>
            </w:rPr>
          </w:pPr>
          <w:r w:rsidRPr="00C60A58">
            <w:rPr>
              <w:rFonts w:ascii="Arial" w:hAnsi="Arial" w:cs="Arial"/>
              <w:i/>
              <w:iCs/>
              <w:color w:val="002060"/>
              <w:sz w:val="18"/>
              <w:szCs w:val="18"/>
            </w:rPr>
            <w:t>Part-ML</w:t>
          </w:r>
        </w:p>
      </w:tc>
      <w:tc>
        <w:tcPr>
          <w:tcW w:w="985" w:type="dxa"/>
          <w:tcBorders>
            <w:top w:val="single" w:sz="4" w:space="0" w:color="FFFFFF" w:themeColor="background1"/>
            <w:left w:val="single" w:sz="4" w:space="0" w:color="FFFFFF" w:themeColor="background1"/>
            <w:bottom w:val="single" w:sz="12" w:space="0" w:color="002060"/>
            <w:right w:val="single" w:sz="4" w:space="0" w:color="FFFFFF" w:themeColor="background1"/>
          </w:tcBorders>
        </w:tcPr>
        <w:p w14:paraId="08AB6353" w14:textId="77777777" w:rsidR="00A92450" w:rsidRPr="00684478" w:rsidRDefault="00A92450" w:rsidP="004A51D5">
          <w:pPr>
            <w:pStyle w:val="Header"/>
            <w:ind w:left="-162" w:right="-169"/>
            <w:jc w:val="center"/>
            <w:rPr>
              <w:rFonts w:ascii="Arial" w:hAnsi="Arial" w:cs="Arial"/>
              <w:color w:val="002060"/>
              <w:sz w:val="20"/>
              <w:szCs w:val="20"/>
            </w:rPr>
          </w:pPr>
          <w:r w:rsidRPr="00684478">
            <w:rPr>
              <w:rFonts w:ascii="Arial" w:hAnsi="Arial" w:cs="Arial"/>
              <w:color w:val="002060"/>
              <w:sz w:val="20"/>
              <w:szCs w:val="20"/>
            </w:rPr>
            <w:t>CAC RA</w:t>
          </w:r>
        </w:p>
      </w:tc>
    </w:tr>
  </w:tbl>
  <w:p w14:paraId="641A4D66" w14:textId="77777777" w:rsidR="00A92450" w:rsidRDefault="00A9245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1295"/>
      <w:gridCol w:w="7110"/>
      <w:gridCol w:w="985"/>
    </w:tblGrid>
    <w:tr w:rsidR="00A92450" w:rsidRPr="00684478" w14:paraId="2CE2E284" w14:textId="77777777" w:rsidTr="000E360E">
      <w:trPr>
        <w:trHeight w:val="256"/>
      </w:trPr>
      <w:tc>
        <w:tcPr>
          <w:tcW w:w="1255" w:type="dxa"/>
          <w:tcBorders>
            <w:top w:val="single" w:sz="4" w:space="0" w:color="FFFFFF" w:themeColor="background1"/>
            <w:left w:val="single" w:sz="4" w:space="0" w:color="FFFFFF" w:themeColor="background1"/>
            <w:bottom w:val="single" w:sz="12" w:space="0" w:color="002060"/>
            <w:right w:val="single" w:sz="4" w:space="0" w:color="FFFFFF" w:themeColor="background1"/>
          </w:tcBorders>
        </w:tcPr>
        <w:p w14:paraId="39DF83C3" w14:textId="77777777" w:rsidR="00A92450" w:rsidRPr="00684478" w:rsidRDefault="00A92450" w:rsidP="0084632B">
          <w:pPr>
            <w:pStyle w:val="Header"/>
            <w:tabs>
              <w:tab w:val="clear" w:pos="4680"/>
            </w:tabs>
            <w:jc w:val="center"/>
            <w:rPr>
              <w:rFonts w:ascii="Arial" w:hAnsi="Arial" w:cs="Arial"/>
              <w:color w:val="002060"/>
              <w:sz w:val="20"/>
              <w:szCs w:val="20"/>
            </w:rPr>
          </w:pPr>
          <w:r>
            <w:rPr>
              <w:rFonts w:ascii="Arial" w:hAnsi="Arial" w:cs="Arial"/>
              <w:color w:val="002060"/>
              <w:sz w:val="20"/>
              <w:szCs w:val="20"/>
            </w:rPr>
            <w:t>AIR BALLOONS</w:t>
          </w:r>
        </w:p>
      </w:tc>
      <w:tc>
        <w:tcPr>
          <w:tcW w:w="7110" w:type="dxa"/>
          <w:tcBorders>
            <w:top w:val="single" w:sz="4" w:space="0" w:color="FFFFFF" w:themeColor="background1"/>
            <w:left w:val="single" w:sz="4" w:space="0" w:color="FFFFFF" w:themeColor="background1"/>
            <w:bottom w:val="single" w:sz="12" w:space="0" w:color="002060"/>
            <w:right w:val="single" w:sz="4" w:space="0" w:color="FFFFFF" w:themeColor="background1"/>
          </w:tcBorders>
        </w:tcPr>
        <w:p w14:paraId="4ECE9BAB" w14:textId="77777777" w:rsidR="00A92450" w:rsidRPr="00586EC4" w:rsidRDefault="00A92450" w:rsidP="0084632B">
          <w:pPr>
            <w:pStyle w:val="Header"/>
            <w:jc w:val="center"/>
            <w:rPr>
              <w:rFonts w:ascii="Arial" w:hAnsi="Arial" w:cs="Arial"/>
              <w:color w:val="002060"/>
              <w:sz w:val="20"/>
              <w:szCs w:val="20"/>
            </w:rPr>
          </w:pPr>
          <w:r>
            <w:rPr>
              <w:rFonts w:ascii="Arial" w:hAnsi="Arial" w:cs="Arial"/>
              <w:color w:val="002060"/>
              <w:sz w:val="20"/>
              <w:szCs w:val="20"/>
            </w:rPr>
            <w:t>CHAPTER 2 – CONTINUING AIRWORTHINESS</w:t>
          </w:r>
        </w:p>
        <w:p w14:paraId="6736D911" w14:textId="77777777" w:rsidR="00A92450" w:rsidRPr="002E05E7" w:rsidRDefault="00A92450" w:rsidP="002E05E7">
          <w:pPr>
            <w:pStyle w:val="Header"/>
            <w:jc w:val="center"/>
            <w:rPr>
              <w:rFonts w:ascii="Arial" w:hAnsi="Arial" w:cs="Arial"/>
              <w:i/>
              <w:iCs/>
              <w:color w:val="002060"/>
              <w:sz w:val="18"/>
              <w:szCs w:val="18"/>
            </w:rPr>
          </w:pPr>
          <w:r>
            <w:rPr>
              <w:rFonts w:ascii="Arial" w:hAnsi="Arial" w:cs="Arial"/>
              <w:i/>
              <w:iCs/>
              <w:color w:val="002060"/>
              <w:sz w:val="18"/>
              <w:szCs w:val="18"/>
            </w:rPr>
            <w:t>PART-ML</w:t>
          </w:r>
        </w:p>
      </w:tc>
      <w:tc>
        <w:tcPr>
          <w:tcW w:w="985" w:type="dxa"/>
          <w:tcBorders>
            <w:top w:val="single" w:sz="4" w:space="0" w:color="FFFFFF" w:themeColor="background1"/>
            <w:left w:val="single" w:sz="4" w:space="0" w:color="FFFFFF" w:themeColor="background1"/>
            <w:bottom w:val="single" w:sz="12" w:space="0" w:color="002060"/>
            <w:right w:val="single" w:sz="4" w:space="0" w:color="FFFFFF" w:themeColor="background1"/>
          </w:tcBorders>
        </w:tcPr>
        <w:p w14:paraId="3E325B3C" w14:textId="77777777" w:rsidR="00A92450" w:rsidRPr="00684478" w:rsidRDefault="00A92450" w:rsidP="004A51D5">
          <w:pPr>
            <w:pStyle w:val="Header"/>
            <w:ind w:left="-162" w:right="-169"/>
            <w:jc w:val="center"/>
            <w:rPr>
              <w:rFonts w:ascii="Arial" w:hAnsi="Arial" w:cs="Arial"/>
              <w:color w:val="002060"/>
              <w:sz w:val="20"/>
              <w:szCs w:val="20"/>
            </w:rPr>
          </w:pPr>
          <w:r w:rsidRPr="00684478">
            <w:rPr>
              <w:rFonts w:ascii="Arial" w:hAnsi="Arial" w:cs="Arial"/>
              <w:color w:val="002060"/>
              <w:sz w:val="20"/>
              <w:szCs w:val="20"/>
            </w:rPr>
            <w:t>CAC RA</w:t>
          </w:r>
        </w:p>
      </w:tc>
    </w:tr>
  </w:tbl>
  <w:p w14:paraId="1718B401" w14:textId="77777777" w:rsidR="00A92450" w:rsidRDefault="00A9245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1295"/>
      <w:gridCol w:w="7110"/>
      <w:gridCol w:w="985"/>
    </w:tblGrid>
    <w:tr w:rsidR="00A92450" w:rsidRPr="00684478" w14:paraId="5D4DB74D" w14:textId="77777777" w:rsidTr="000E360E">
      <w:trPr>
        <w:trHeight w:val="256"/>
      </w:trPr>
      <w:tc>
        <w:tcPr>
          <w:tcW w:w="1255" w:type="dxa"/>
          <w:tcBorders>
            <w:top w:val="single" w:sz="4" w:space="0" w:color="FFFFFF" w:themeColor="background1"/>
            <w:left w:val="single" w:sz="4" w:space="0" w:color="FFFFFF" w:themeColor="background1"/>
            <w:bottom w:val="single" w:sz="12" w:space="0" w:color="002060"/>
            <w:right w:val="single" w:sz="4" w:space="0" w:color="FFFFFF" w:themeColor="background1"/>
          </w:tcBorders>
        </w:tcPr>
        <w:p w14:paraId="01BED9A3" w14:textId="77777777" w:rsidR="00A92450" w:rsidRPr="00684478" w:rsidRDefault="00A92450" w:rsidP="0084632B">
          <w:pPr>
            <w:pStyle w:val="Header"/>
            <w:tabs>
              <w:tab w:val="clear" w:pos="4680"/>
            </w:tabs>
            <w:jc w:val="center"/>
            <w:rPr>
              <w:rFonts w:ascii="Arial" w:hAnsi="Arial" w:cs="Arial"/>
              <w:color w:val="002060"/>
              <w:sz w:val="20"/>
              <w:szCs w:val="20"/>
            </w:rPr>
          </w:pPr>
          <w:r>
            <w:rPr>
              <w:rFonts w:ascii="Arial" w:hAnsi="Arial" w:cs="Arial"/>
              <w:color w:val="002060"/>
              <w:sz w:val="20"/>
              <w:szCs w:val="20"/>
            </w:rPr>
            <w:t>AIR BALLOONS</w:t>
          </w:r>
        </w:p>
      </w:tc>
      <w:tc>
        <w:tcPr>
          <w:tcW w:w="7110" w:type="dxa"/>
          <w:tcBorders>
            <w:top w:val="single" w:sz="4" w:space="0" w:color="FFFFFF" w:themeColor="background1"/>
            <w:left w:val="single" w:sz="4" w:space="0" w:color="FFFFFF" w:themeColor="background1"/>
            <w:bottom w:val="single" w:sz="12" w:space="0" w:color="002060"/>
            <w:right w:val="single" w:sz="4" w:space="0" w:color="FFFFFF" w:themeColor="background1"/>
          </w:tcBorders>
        </w:tcPr>
        <w:p w14:paraId="11AFE97B" w14:textId="77777777" w:rsidR="00A92450" w:rsidRPr="00586EC4" w:rsidRDefault="00A92450" w:rsidP="0084632B">
          <w:pPr>
            <w:pStyle w:val="Header"/>
            <w:jc w:val="center"/>
            <w:rPr>
              <w:rFonts w:ascii="Arial" w:hAnsi="Arial" w:cs="Arial"/>
              <w:color w:val="002060"/>
              <w:sz w:val="20"/>
              <w:szCs w:val="20"/>
            </w:rPr>
          </w:pPr>
          <w:r>
            <w:rPr>
              <w:rFonts w:ascii="Arial" w:hAnsi="Arial" w:cs="Arial"/>
              <w:color w:val="002060"/>
              <w:sz w:val="20"/>
              <w:szCs w:val="20"/>
            </w:rPr>
            <w:t>CHAPTER 2 – CONTINUING AIRWORTHINESS</w:t>
          </w:r>
        </w:p>
        <w:p w14:paraId="249CCE0F" w14:textId="77777777" w:rsidR="00A92450" w:rsidRPr="002E05E7" w:rsidRDefault="00A92450" w:rsidP="002E05E7">
          <w:pPr>
            <w:pStyle w:val="Header"/>
            <w:jc w:val="center"/>
            <w:rPr>
              <w:rFonts w:ascii="Arial" w:hAnsi="Arial" w:cs="Arial"/>
              <w:i/>
              <w:iCs/>
              <w:color w:val="002060"/>
              <w:sz w:val="18"/>
              <w:szCs w:val="18"/>
            </w:rPr>
          </w:pPr>
          <w:r>
            <w:rPr>
              <w:rFonts w:ascii="Arial" w:hAnsi="Arial" w:cs="Arial"/>
              <w:i/>
              <w:iCs/>
              <w:color w:val="002060"/>
              <w:sz w:val="18"/>
              <w:szCs w:val="18"/>
            </w:rPr>
            <w:t>PART-ML</w:t>
          </w:r>
        </w:p>
      </w:tc>
      <w:tc>
        <w:tcPr>
          <w:tcW w:w="985" w:type="dxa"/>
          <w:tcBorders>
            <w:top w:val="single" w:sz="4" w:space="0" w:color="FFFFFF" w:themeColor="background1"/>
            <w:left w:val="single" w:sz="4" w:space="0" w:color="FFFFFF" w:themeColor="background1"/>
            <w:bottom w:val="single" w:sz="12" w:space="0" w:color="002060"/>
            <w:right w:val="single" w:sz="4" w:space="0" w:color="FFFFFF" w:themeColor="background1"/>
          </w:tcBorders>
        </w:tcPr>
        <w:p w14:paraId="2E99CCAC" w14:textId="77777777" w:rsidR="00A92450" w:rsidRPr="00684478" w:rsidRDefault="00A92450" w:rsidP="004A51D5">
          <w:pPr>
            <w:pStyle w:val="Header"/>
            <w:ind w:left="-162" w:right="-169"/>
            <w:jc w:val="center"/>
            <w:rPr>
              <w:rFonts w:ascii="Arial" w:hAnsi="Arial" w:cs="Arial"/>
              <w:color w:val="002060"/>
              <w:sz w:val="20"/>
              <w:szCs w:val="20"/>
            </w:rPr>
          </w:pPr>
          <w:r w:rsidRPr="00684478">
            <w:rPr>
              <w:rFonts w:ascii="Arial" w:hAnsi="Arial" w:cs="Arial"/>
              <w:color w:val="002060"/>
              <w:sz w:val="20"/>
              <w:szCs w:val="20"/>
            </w:rPr>
            <w:t>CAC RA</w:t>
          </w:r>
        </w:p>
      </w:tc>
    </w:tr>
  </w:tbl>
  <w:p w14:paraId="097DF67E" w14:textId="77777777" w:rsidR="00A92450" w:rsidRDefault="00A9245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1651E"/>
    <w:multiLevelType w:val="hybridMultilevel"/>
    <w:tmpl w:val="D464AC56"/>
    <w:lvl w:ilvl="0" w:tplc="CD80582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ADC655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1B2266EE">
      <w:numFmt w:val="bullet"/>
      <w:lvlText w:val="•"/>
      <w:lvlJc w:val="left"/>
      <w:pPr>
        <w:ind w:left="2178" w:hanging="567"/>
      </w:pPr>
      <w:rPr>
        <w:lang w:val="en-US" w:eastAsia="en-US" w:bidi="ar-SA"/>
      </w:rPr>
    </w:lvl>
    <w:lvl w:ilvl="3" w:tplc="45BE0660">
      <w:numFmt w:val="bullet"/>
      <w:lvlText w:val="•"/>
      <w:lvlJc w:val="left"/>
      <w:pPr>
        <w:ind w:left="3076" w:hanging="567"/>
      </w:pPr>
      <w:rPr>
        <w:lang w:val="en-US" w:eastAsia="en-US" w:bidi="ar-SA"/>
      </w:rPr>
    </w:lvl>
    <w:lvl w:ilvl="4" w:tplc="EF4E30C8">
      <w:numFmt w:val="bullet"/>
      <w:lvlText w:val="•"/>
      <w:lvlJc w:val="left"/>
      <w:pPr>
        <w:ind w:left="3975" w:hanging="567"/>
      </w:pPr>
      <w:rPr>
        <w:lang w:val="en-US" w:eastAsia="en-US" w:bidi="ar-SA"/>
      </w:rPr>
    </w:lvl>
    <w:lvl w:ilvl="5" w:tplc="E8CECEAA">
      <w:numFmt w:val="bullet"/>
      <w:lvlText w:val="•"/>
      <w:lvlJc w:val="left"/>
      <w:pPr>
        <w:ind w:left="4873" w:hanging="567"/>
      </w:pPr>
      <w:rPr>
        <w:lang w:val="en-US" w:eastAsia="en-US" w:bidi="ar-SA"/>
      </w:rPr>
    </w:lvl>
    <w:lvl w:ilvl="6" w:tplc="D8024D6C">
      <w:numFmt w:val="bullet"/>
      <w:lvlText w:val="•"/>
      <w:lvlJc w:val="left"/>
      <w:pPr>
        <w:ind w:left="5772" w:hanging="567"/>
      </w:pPr>
      <w:rPr>
        <w:lang w:val="en-US" w:eastAsia="en-US" w:bidi="ar-SA"/>
      </w:rPr>
    </w:lvl>
    <w:lvl w:ilvl="7" w:tplc="7E1A1F06">
      <w:numFmt w:val="bullet"/>
      <w:lvlText w:val="•"/>
      <w:lvlJc w:val="left"/>
      <w:pPr>
        <w:ind w:left="6670" w:hanging="567"/>
      </w:pPr>
      <w:rPr>
        <w:lang w:val="en-US" w:eastAsia="en-US" w:bidi="ar-SA"/>
      </w:rPr>
    </w:lvl>
    <w:lvl w:ilvl="8" w:tplc="78D2843C">
      <w:numFmt w:val="bullet"/>
      <w:lvlText w:val="•"/>
      <w:lvlJc w:val="left"/>
      <w:pPr>
        <w:ind w:left="7569" w:hanging="567"/>
      </w:pPr>
      <w:rPr>
        <w:lang w:val="en-US" w:eastAsia="en-US" w:bidi="ar-SA"/>
      </w:rPr>
    </w:lvl>
  </w:abstractNum>
  <w:abstractNum w:abstractNumId="1" w15:restartNumberingAfterBreak="0">
    <w:nsid w:val="007D6790"/>
    <w:multiLevelType w:val="hybridMultilevel"/>
    <w:tmpl w:val="4C7A6D10"/>
    <w:lvl w:ilvl="0" w:tplc="7EA892A4">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856607B0">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C5C22F5E">
      <w:numFmt w:val="bullet"/>
      <w:lvlText w:val="•"/>
      <w:lvlJc w:val="left"/>
      <w:pPr>
        <w:ind w:left="2178" w:hanging="567"/>
      </w:pPr>
      <w:rPr>
        <w:rFonts w:hint="default"/>
        <w:lang w:val="en-US" w:eastAsia="en-US" w:bidi="ar-SA"/>
      </w:rPr>
    </w:lvl>
    <w:lvl w:ilvl="3" w:tplc="B234FEC6">
      <w:numFmt w:val="bullet"/>
      <w:lvlText w:val="•"/>
      <w:lvlJc w:val="left"/>
      <w:pPr>
        <w:ind w:left="3076" w:hanging="567"/>
      </w:pPr>
      <w:rPr>
        <w:rFonts w:hint="default"/>
        <w:lang w:val="en-US" w:eastAsia="en-US" w:bidi="ar-SA"/>
      </w:rPr>
    </w:lvl>
    <w:lvl w:ilvl="4" w:tplc="86C24F6C">
      <w:numFmt w:val="bullet"/>
      <w:lvlText w:val="•"/>
      <w:lvlJc w:val="left"/>
      <w:pPr>
        <w:ind w:left="3975" w:hanging="567"/>
      </w:pPr>
      <w:rPr>
        <w:rFonts w:hint="default"/>
        <w:lang w:val="en-US" w:eastAsia="en-US" w:bidi="ar-SA"/>
      </w:rPr>
    </w:lvl>
    <w:lvl w:ilvl="5" w:tplc="5566BDC8">
      <w:numFmt w:val="bullet"/>
      <w:lvlText w:val="•"/>
      <w:lvlJc w:val="left"/>
      <w:pPr>
        <w:ind w:left="4873" w:hanging="567"/>
      </w:pPr>
      <w:rPr>
        <w:rFonts w:hint="default"/>
        <w:lang w:val="en-US" w:eastAsia="en-US" w:bidi="ar-SA"/>
      </w:rPr>
    </w:lvl>
    <w:lvl w:ilvl="6" w:tplc="11789736">
      <w:numFmt w:val="bullet"/>
      <w:lvlText w:val="•"/>
      <w:lvlJc w:val="left"/>
      <w:pPr>
        <w:ind w:left="5772" w:hanging="567"/>
      </w:pPr>
      <w:rPr>
        <w:rFonts w:hint="default"/>
        <w:lang w:val="en-US" w:eastAsia="en-US" w:bidi="ar-SA"/>
      </w:rPr>
    </w:lvl>
    <w:lvl w:ilvl="7" w:tplc="6540C378">
      <w:numFmt w:val="bullet"/>
      <w:lvlText w:val="•"/>
      <w:lvlJc w:val="left"/>
      <w:pPr>
        <w:ind w:left="6670" w:hanging="567"/>
      </w:pPr>
      <w:rPr>
        <w:rFonts w:hint="default"/>
        <w:lang w:val="en-US" w:eastAsia="en-US" w:bidi="ar-SA"/>
      </w:rPr>
    </w:lvl>
    <w:lvl w:ilvl="8" w:tplc="628C14B0">
      <w:numFmt w:val="bullet"/>
      <w:lvlText w:val="•"/>
      <w:lvlJc w:val="left"/>
      <w:pPr>
        <w:ind w:left="7569" w:hanging="567"/>
      </w:pPr>
      <w:rPr>
        <w:rFonts w:hint="default"/>
        <w:lang w:val="en-US" w:eastAsia="en-US" w:bidi="ar-SA"/>
      </w:rPr>
    </w:lvl>
  </w:abstractNum>
  <w:abstractNum w:abstractNumId="2" w15:restartNumberingAfterBreak="0">
    <w:nsid w:val="01096979"/>
    <w:multiLevelType w:val="hybridMultilevel"/>
    <w:tmpl w:val="5510C8AE"/>
    <w:lvl w:ilvl="0" w:tplc="AF76E7C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51C08E80">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DCC2AA04">
      <w:numFmt w:val="bullet"/>
      <w:lvlText w:val="•"/>
      <w:lvlJc w:val="left"/>
      <w:pPr>
        <w:ind w:left="2178" w:hanging="567"/>
      </w:pPr>
      <w:rPr>
        <w:rFonts w:hint="default"/>
        <w:lang w:val="en-US" w:eastAsia="en-US" w:bidi="ar-SA"/>
      </w:rPr>
    </w:lvl>
    <w:lvl w:ilvl="3" w:tplc="D97AD678">
      <w:numFmt w:val="bullet"/>
      <w:lvlText w:val="•"/>
      <w:lvlJc w:val="left"/>
      <w:pPr>
        <w:ind w:left="3076" w:hanging="567"/>
      </w:pPr>
      <w:rPr>
        <w:rFonts w:hint="default"/>
        <w:lang w:val="en-US" w:eastAsia="en-US" w:bidi="ar-SA"/>
      </w:rPr>
    </w:lvl>
    <w:lvl w:ilvl="4" w:tplc="48122FB4">
      <w:numFmt w:val="bullet"/>
      <w:lvlText w:val="•"/>
      <w:lvlJc w:val="left"/>
      <w:pPr>
        <w:ind w:left="3975" w:hanging="567"/>
      </w:pPr>
      <w:rPr>
        <w:rFonts w:hint="default"/>
        <w:lang w:val="en-US" w:eastAsia="en-US" w:bidi="ar-SA"/>
      </w:rPr>
    </w:lvl>
    <w:lvl w:ilvl="5" w:tplc="8BC6CCF6">
      <w:numFmt w:val="bullet"/>
      <w:lvlText w:val="•"/>
      <w:lvlJc w:val="left"/>
      <w:pPr>
        <w:ind w:left="4873" w:hanging="567"/>
      </w:pPr>
      <w:rPr>
        <w:rFonts w:hint="default"/>
        <w:lang w:val="en-US" w:eastAsia="en-US" w:bidi="ar-SA"/>
      </w:rPr>
    </w:lvl>
    <w:lvl w:ilvl="6" w:tplc="7A2C712C">
      <w:numFmt w:val="bullet"/>
      <w:lvlText w:val="•"/>
      <w:lvlJc w:val="left"/>
      <w:pPr>
        <w:ind w:left="5772" w:hanging="567"/>
      </w:pPr>
      <w:rPr>
        <w:rFonts w:hint="default"/>
        <w:lang w:val="en-US" w:eastAsia="en-US" w:bidi="ar-SA"/>
      </w:rPr>
    </w:lvl>
    <w:lvl w:ilvl="7" w:tplc="36E0ADC8">
      <w:numFmt w:val="bullet"/>
      <w:lvlText w:val="•"/>
      <w:lvlJc w:val="left"/>
      <w:pPr>
        <w:ind w:left="6670" w:hanging="567"/>
      </w:pPr>
      <w:rPr>
        <w:rFonts w:hint="default"/>
        <w:lang w:val="en-US" w:eastAsia="en-US" w:bidi="ar-SA"/>
      </w:rPr>
    </w:lvl>
    <w:lvl w:ilvl="8" w:tplc="72909DC8">
      <w:numFmt w:val="bullet"/>
      <w:lvlText w:val="•"/>
      <w:lvlJc w:val="left"/>
      <w:pPr>
        <w:ind w:left="7569" w:hanging="567"/>
      </w:pPr>
      <w:rPr>
        <w:rFonts w:hint="default"/>
        <w:lang w:val="en-US" w:eastAsia="en-US" w:bidi="ar-SA"/>
      </w:rPr>
    </w:lvl>
  </w:abstractNum>
  <w:abstractNum w:abstractNumId="3" w15:restartNumberingAfterBreak="0">
    <w:nsid w:val="011D5C01"/>
    <w:multiLevelType w:val="hybridMultilevel"/>
    <w:tmpl w:val="AD1A288A"/>
    <w:lvl w:ilvl="0" w:tplc="5A12F740">
      <w:start w:val="3"/>
      <w:numFmt w:val="lowerLetter"/>
      <w:lvlText w:val="(%1)"/>
      <w:lvlJc w:val="left"/>
      <w:pPr>
        <w:ind w:left="706" w:hanging="567"/>
      </w:pPr>
      <w:rPr>
        <w:rFonts w:ascii="Arial" w:eastAsia="Calibri" w:hAnsi="Arial" w:cs="Arial" w:hint="default"/>
        <w:spacing w:val="-1"/>
        <w:w w:val="100"/>
        <w:sz w:val="2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571B5F"/>
    <w:multiLevelType w:val="hybridMultilevel"/>
    <w:tmpl w:val="49EA2774"/>
    <w:lvl w:ilvl="0" w:tplc="FAEA679A">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53B4963A">
      <w:numFmt w:val="bullet"/>
      <w:lvlText w:val="•"/>
      <w:lvlJc w:val="left"/>
      <w:pPr>
        <w:ind w:left="1566" w:hanging="567"/>
      </w:pPr>
      <w:rPr>
        <w:rFonts w:hint="default"/>
        <w:lang w:val="en-US" w:eastAsia="en-US" w:bidi="ar-SA"/>
      </w:rPr>
    </w:lvl>
    <w:lvl w:ilvl="2" w:tplc="CD6E95E4">
      <w:numFmt w:val="bullet"/>
      <w:lvlText w:val="•"/>
      <w:lvlJc w:val="left"/>
      <w:pPr>
        <w:ind w:left="2433" w:hanging="567"/>
      </w:pPr>
      <w:rPr>
        <w:rFonts w:hint="default"/>
        <w:lang w:val="en-US" w:eastAsia="en-US" w:bidi="ar-SA"/>
      </w:rPr>
    </w:lvl>
    <w:lvl w:ilvl="3" w:tplc="F4309DE0">
      <w:numFmt w:val="bullet"/>
      <w:lvlText w:val="•"/>
      <w:lvlJc w:val="left"/>
      <w:pPr>
        <w:ind w:left="3299" w:hanging="567"/>
      </w:pPr>
      <w:rPr>
        <w:rFonts w:hint="default"/>
        <w:lang w:val="en-US" w:eastAsia="en-US" w:bidi="ar-SA"/>
      </w:rPr>
    </w:lvl>
    <w:lvl w:ilvl="4" w:tplc="14B6D9E2">
      <w:numFmt w:val="bullet"/>
      <w:lvlText w:val="•"/>
      <w:lvlJc w:val="left"/>
      <w:pPr>
        <w:ind w:left="4166" w:hanging="567"/>
      </w:pPr>
      <w:rPr>
        <w:rFonts w:hint="default"/>
        <w:lang w:val="en-US" w:eastAsia="en-US" w:bidi="ar-SA"/>
      </w:rPr>
    </w:lvl>
    <w:lvl w:ilvl="5" w:tplc="44AE1336">
      <w:numFmt w:val="bullet"/>
      <w:lvlText w:val="•"/>
      <w:lvlJc w:val="left"/>
      <w:pPr>
        <w:ind w:left="5033" w:hanging="567"/>
      </w:pPr>
      <w:rPr>
        <w:rFonts w:hint="default"/>
        <w:lang w:val="en-US" w:eastAsia="en-US" w:bidi="ar-SA"/>
      </w:rPr>
    </w:lvl>
    <w:lvl w:ilvl="6" w:tplc="436601B6">
      <w:numFmt w:val="bullet"/>
      <w:lvlText w:val="•"/>
      <w:lvlJc w:val="left"/>
      <w:pPr>
        <w:ind w:left="5899" w:hanging="567"/>
      </w:pPr>
      <w:rPr>
        <w:rFonts w:hint="default"/>
        <w:lang w:val="en-US" w:eastAsia="en-US" w:bidi="ar-SA"/>
      </w:rPr>
    </w:lvl>
    <w:lvl w:ilvl="7" w:tplc="F50C7B5C">
      <w:numFmt w:val="bullet"/>
      <w:lvlText w:val="•"/>
      <w:lvlJc w:val="left"/>
      <w:pPr>
        <w:ind w:left="6766" w:hanging="567"/>
      </w:pPr>
      <w:rPr>
        <w:rFonts w:hint="default"/>
        <w:lang w:val="en-US" w:eastAsia="en-US" w:bidi="ar-SA"/>
      </w:rPr>
    </w:lvl>
    <w:lvl w:ilvl="8" w:tplc="D85AA6DA">
      <w:numFmt w:val="bullet"/>
      <w:lvlText w:val="•"/>
      <w:lvlJc w:val="left"/>
      <w:pPr>
        <w:ind w:left="7633" w:hanging="567"/>
      </w:pPr>
      <w:rPr>
        <w:rFonts w:hint="default"/>
        <w:lang w:val="en-US" w:eastAsia="en-US" w:bidi="ar-SA"/>
      </w:rPr>
    </w:lvl>
  </w:abstractNum>
  <w:abstractNum w:abstractNumId="5" w15:restartNumberingAfterBreak="0">
    <w:nsid w:val="01596CD9"/>
    <w:multiLevelType w:val="hybridMultilevel"/>
    <w:tmpl w:val="28546D26"/>
    <w:lvl w:ilvl="0" w:tplc="AB100AA2">
      <w:start w:val="3"/>
      <w:numFmt w:val="lowerLetter"/>
      <w:lvlText w:val="(%1)"/>
      <w:lvlJc w:val="left"/>
      <w:pPr>
        <w:ind w:left="706" w:hanging="567"/>
      </w:pPr>
      <w:rPr>
        <w:rFonts w:ascii="Arial" w:eastAsia="Calibri" w:hAnsi="Arial" w:cs="Arial" w:hint="default"/>
        <w:w w:val="100"/>
        <w:sz w:val="20"/>
        <w:szCs w:val="22"/>
        <w:lang w:val="en-US" w:eastAsia="en-US" w:bidi="ar-SA"/>
      </w:rPr>
    </w:lvl>
    <w:lvl w:ilvl="1" w:tplc="8162F644">
      <w:numFmt w:val="bullet"/>
      <w:lvlText w:val="—"/>
      <w:lvlJc w:val="left"/>
      <w:pPr>
        <w:ind w:left="1273" w:hanging="567"/>
      </w:pPr>
      <w:rPr>
        <w:rFonts w:ascii="Calibri" w:eastAsia="Calibri" w:hAnsi="Calibri" w:cs="Calibri" w:hint="default"/>
        <w:w w:val="100"/>
        <w:sz w:val="22"/>
        <w:szCs w:val="22"/>
        <w:lang w:val="en-US" w:eastAsia="en-US" w:bidi="ar-SA"/>
      </w:rPr>
    </w:lvl>
    <w:lvl w:ilvl="2" w:tplc="2548B442">
      <w:numFmt w:val="bullet"/>
      <w:lvlText w:val="•"/>
      <w:lvlJc w:val="left"/>
      <w:pPr>
        <w:ind w:left="2178" w:hanging="567"/>
      </w:pPr>
      <w:rPr>
        <w:lang w:val="en-US" w:eastAsia="en-US" w:bidi="ar-SA"/>
      </w:rPr>
    </w:lvl>
    <w:lvl w:ilvl="3" w:tplc="EAA0A7FE">
      <w:numFmt w:val="bullet"/>
      <w:lvlText w:val="•"/>
      <w:lvlJc w:val="left"/>
      <w:pPr>
        <w:ind w:left="3076" w:hanging="567"/>
      </w:pPr>
      <w:rPr>
        <w:lang w:val="en-US" w:eastAsia="en-US" w:bidi="ar-SA"/>
      </w:rPr>
    </w:lvl>
    <w:lvl w:ilvl="4" w:tplc="468235EE">
      <w:numFmt w:val="bullet"/>
      <w:lvlText w:val="•"/>
      <w:lvlJc w:val="left"/>
      <w:pPr>
        <w:ind w:left="3975" w:hanging="567"/>
      </w:pPr>
      <w:rPr>
        <w:lang w:val="en-US" w:eastAsia="en-US" w:bidi="ar-SA"/>
      </w:rPr>
    </w:lvl>
    <w:lvl w:ilvl="5" w:tplc="55FE4E08">
      <w:numFmt w:val="bullet"/>
      <w:lvlText w:val="•"/>
      <w:lvlJc w:val="left"/>
      <w:pPr>
        <w:ind w:left="4873" w:hanging="567"/>
      </w:pPr>
      <w:rPr>
        <w:lang w:val="en-US" w:eastAsia="en-US" w:bidi="ar-SA"/>
      </w:rPr>
    </w:lvl>
    <w:lvl w:ilvl="6" w:tplc="12860570">
      <w:numFmt w:val="bullet"/>
      <w:lvlText w:val="•"/>
      <w:lvlJc w:val="left"/>
      <w:pPr>
        <w:ind w:left="5772" w:hanging="567"/>
      </w:pPr>
      <w:rPr>
        <w:lang w:val="en-US" w:eastAsia="en-US" w:bidi="ar-SA"/>
      </w:rPr>
    </w:lvl>
    <w:lvl w:ilvl="7" w:tplc="132CD962">
      <w:numFmt w:val="bullet"/>
      <w:lvlText w:val="•"/>
      <w:lvlJc w:val="left"/>
      <w:pPr>
        <w:ind w:left="6670" w:hanging="567"/>
      </w:pPr>
      <w:rPr>
        <w:lang w:val="en-US" w:eastAsia="en-US" w:bidi="ar-SA"/>
      </w:rPr>
    </w:lvl>
    <w:lvl w:ilvl="8" w:tplc="0E122350">
      <w:numFmt w:val="bullet"/>
      <w:lvlText w:val="•"/>
      <w:lvlJc w:val="left"/>
      <w:pPr>
        <w:ind w:left="7569" w:hanging="567"/>
      </w:pPr>
      <w:rPr>
        <w:lang w:val="en-US" w:eastAsia="en-US" w:bidi="ar-SA"/>
      </w:rPr>
    </w:lvl>
  </w:abstractNum>
  <w:abstractNum w:abstractNumId="6" w15:restartNumberingAfterBreak="0">
    <w:nsid w:val="018A2BBD"/>
    <w:multiLevelType w:val="hybridMultilevel"/>
    <w:tmpl w:val="F4D063CE"/>
    <w:lvl w:ilvl="0" w:tplc="A9F48AC8">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66F07A62">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DD2C9156">
      <w:numFmt w:val="bullet"/>
      <w:lvlText w:val="•"/>
      <w:lvlJc w:val="left"/>
      <w:pPr>
        <w:ind w:left="2178" w:hanging="567"/>
      </w:pPr>
      <w:rPr>
        <w:rFonts w:hint="default"/>
        <w:lang w:val="en-US" w:eastAsia="en-US" w:bidi="ar-SA"/>
      </w:rPr>
    </w:lvl>
    <w:lvl w:ilvl="3" w:tplc="FAC27F04">
      <w:numFmt w:val="bullet"/>
      <w:lvlText w:val="•"/>
      <w:lvlJc w:val="left"/>
      <w:pPr>
        <w:ind w:left="3076" w:hanging="567"/>
      </w:pPr>
      <w:rPr>
        <w:rFonts w:hint="default"/>
        <w:lang w:val="en-US" w:eastAsia="en-US" w:bidi="ar-SA"/>
      </w:rPr>
    </w:lvl>
    <w:lvl w:ilvl="4" w:tplc="5E044FAA">
      <w:numFmt w:val="bullet"/>
      <w:lvlText w:val="•"/>
      <w:lvlJc w:val="left"/>
      <w:pPr>
        <w:ind w:left="3975" w:hanging="567"/>
      </w:pPr>
      <w:rPr>
        <w:rFonts w:hint="default"/>
        <w:lang w:val="en-US" w:eastAsia="en-US" w:bidi="ar-SA"/>
      </w:rPr>
    </w:lvl>
    <w:lvl w:ilvl="5" w:tplc="B11E695C">
      <w:numFmt w:val="bullet"/>
      <w:lvlText w:val="•"/>
      <w:lvlJc w:val="left"/>
      <w:pPr>
        <w:ind w:left="4873" w:hanging="567"/>
      </w:pPr>
      <w:rPr>
        <w:rFonts w:hint="default"/>
        <w:lang w:val="en-US" w:eastAsia="en-US" w:bidi="ar-SA"/>
      </w:rPr>
    </w:lvl>
    <w:lvl w:ilvl="6" w:tplc="83D898EC">
      <w:numFmt w:val="bullet"/>
      <w:lvlText w:val="•"/>
      <w:lvlJc w:val="left"/>
      <w:pPr>
        <w:ind w:left="5772" w:hanging="567"/>
      </w:pPr>
      <w:rPr>
        <w:rFonts w:hint="default"/>
        <w:lang w:val="en-US" w:eastAsia="en-US" w:bidi="ar-SA"/>
      </w:rPr>
    </w:lvl>
    <w:lvl w:ilvl="7" w:tplc="2E58306E">
      <w:numFmt w:val="bullet"/>
      <w:lvlText w:val="•"/>
      <w:lvlJc w:val="left"/>
      <w:pPr>
        <w:ind w:left="6670" w:hanging="567"/>
      </w:pPr>
      <w:rPr>
        <w:rFonts w:hint="default"/>
        <w:lang w:val="en-US" w:eastAsia="en-US" w:bidi="ar-SA"/>
      </w:rPr>
    </w:lvl>
    <w:lvl w:ilvl="8" w:tplc="61BA819C">
      <w:numFmt w:val="bullet"/>
      <w:lvlText w:val="•"/>
      <w:lvlJc w:val="left"/>
      <w:pPr>
        <w:ind w:left="7569" w:hanging="567"/>
      </w:pPr>
      <w:rPr>
        <w:rFonts w:hint="default"/>
        <w:lang w:val="en-US" w:eastAsia="en-US" w:bidi="ar-SA"/>
      </w:rPr>
    </w:lvl>
  </w:abstractNum>
  <w:abstractNum w:abstractNumId="7" w15:restartNumberingAfterBreak="0">
    <w:nsid w:val="01B53E09"/>
    <w:multiLevelType w:val="hybridMultilevel"/>
    <w:tmpl w:val="4AAE5096"/>
    <w:lvl w:ilvl="0" w:tplc="56B841CA">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FCEA224C">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DDF83066">
      <w:numFmt w:val="bullet"/>
      <w:lvlText w:val="•"/>
      <w:lvlJc w:val="left"/>
      <w:pPr>
        <w:ind w:left="2178" w:hanging="567"/>
      </w:pPr>
      <w:rPr>
        <w:lang w:val="en-US" w:eastAsia="en-US" w:bidi="ar-SA"/>
      </w:rPr>
    </w:lvl>
    <w:lvl w:ilvl="3" w:tplc="396A235A">
      <w:numFmt w:val="bullet"/>
      <w:lvlText w:val="•"/>
      <w:lvlJc w:val="left"/>
      <w:pPr>
        <w:ind w:left="3076" w:hanging="567"/>
      </w:pPr>
      <w:rPr>
        <w:lang w:val="en-US" w:eastAsia="en-US" w:bidi="ar-SA"/>
      </w:rPr>
    </w:lvl>
    <w:lvl w:ilvl="4" w:tplc="AAE45A8A">
      <w:numFmt w:val="bullet"/>
      <w:lvlText w:val="•"/>
      <w:lvlJc w:val="left"/>
      <w:pPr>
        <w:ind w:left="3975" w:hanging="567"/>
      </w:pPr>
      <w:rPr>
        <w:lang w:val="en-US" w:eastAsia="en-US" w:bidi="ar-SA"/>
      </w:rPr>
    </w:lvl>
    <w:lvl w:ilvl="5" w:tplc="D8E2073E">
      <w:numFmt w:val="bullet"/>
      <w:lvlText w:val="•"/>
      <w:lvlJc w:val="left"/>
      <w:pPr>
        <w:ind w:left="4873" w:hanging="567"/>
      </w:pPr>
      <w:rPr>
        <w:lang w:val="en-US" w:eastAsia="en-US" w:bidi="ar-SA"/>
      </w:rPr>
    </w:lvl>
    <w:lvl w:ilvl="6" w:tplc="3BE06C58">
      <w:numFmt w:val="bullet"/>
      <w:lvlText w:val="•"/>
      <w:lvlJc w:val="left"/>
      <w:pPr>
        <w:ind w:left="5772" w:hanging="567"/>
      </w:pPr>
      <w:rPr>
        <w:lang w:val="en-US" w:eastAsia="en-US" w:bidi="ar-SA"/>
      </w:rPr>
    </w:lvl>
    <w:lvl w:ilvl="7" w:tplc="D43CA11E">
      <w:numFmt w:val="bullet"/>
      <w:lvlText w:val="•"/>
      <w:lvlJc w:val="left"/>
      <w:pPr>
        <w:ind w:left="6670" w:hanging="567"/>
      </w:pPr>
      <w:rPr>
        <w:lang w:val="en-US" w:eastAsia="en-US" w:bidi="ar-SA"/>
      </w:rPr>
    </w:lvl>
    <w:lvl w:ilvl="8" w:tplc="9BDCC22E">
      <w:numFmt w:val="bullet"/>
      <w:lvlText w:val="•"/>
      <w:lvlJc w:val="left"/>
      <w:pPr>
        <w:ind w:left="7569" w:hanging="567"/>
      </w:pPr>
      <w:rPr>
        <w:lang w:val="en-US" w:eastAsia="en-US" w:bidi="ar-SA"/>
      </w:rPr>
    </w:lvl>
  </w:abstractNum>
  <w:abstractNum w:abstractNumId="8" w15:restartNumberingAfterBreak="0">
    <w:nsid w:val="023B5246"/>
    <w:multiLevelType w:val="hybridMultilevel"/>
    <w:tmpl w:val="7D547F6A"/>
    <w:lvl w:ilvl="0" w:tplc="7802548C">
      <w:start w:val="1"/>
      <w:numFmt w:val="bullet"/>
      <w:lvlText w:val=""/>
      <w:lvlJc w:val="left"/>
      <w:pPr>
        <w:ind w:left="360" w:hanging="360"/>
      </w:pPr>
      <w:rPr>
        <w:rFonts w:ascii="Symbol" w:hAnsi="Symbol" w:hint="default"/>
        <w:sz w:val="28"/>
        <w:szCs w:val="28"/>
      </w:rPr>
    </w:lvl>
    <w:lvl w:ilvl="1" w:tplc="04090003" w:tentative="1">
      <w:start w:val="1"/>
      <w:numFmt w:val="bullet"/>
      <w:lvlText w:val="o"/>
      <w:lvlJc w:val="left"/>
      <w:pPr>
        <w:ind w:left="655" w:hanging="360"/>
      </w:pPr>
      <w:rPr>
        <w:rFonts w:ascii="Courier New" w:hAnsi="Courier New" w:cs="Courier New" w:hint="default"/>
      </w:rPr>
    </w:lvl>
    <w:lvl w:ilvl="2" w:tplc="04090005" w:tentative="1">
      <w:start w:val="1"/>
      <w:numFmt w:val="bullet"/>
      <w:lvlText w:val=""/>
      <w:lvlJc w:val="left"/>
      <w:pPr>
        <w:ind w:left="1375" w:hanging="360"/>
      </w:pPr>
      <w:rPr>
        <w:rFonts w:ascii="Wingdings" w:hAnsi="Wingdings" w:hint="default"/>
      </w:rPr>
    </w:lvl>
    <w:lvl w:ilvl="3" w:tplc="04090001" w:tentative="1">
      <w:start w:val="1"/>
      <w:numFmt w:val="bullet"/>
      <w:lvlText w:val=""/>
      <w:lvlJc w:val="left"/>
      <w:pPr>
        <w:ind w:left="2095" w:hanging="360"/>
      </w:pPr>
      <w:rPr>
        <w:rFonts w:ascii="Symbol" w:hAnsi="Symbol" w:hint="default"/>
      </w:rPr>
    </w:lvl>
    <w:lvl w:ilvl="4" w:tplc="04090003" w:tentative="1">
      <w:start w:val="1"/>
      <w:numFmt w:val="bullet"/>
      <w:lvlText w:val="o"/>
      <w:lvlJc w:val="left"/>
      <w:pPr>
        <w:ind w:left="2815" w:hanging="360"/>
      </w:pPr>
      <w:rPr>
        <w:rFonts w:ascii="Courier New" w:hAnsi="Courier New" w:cs="Courier New" w:hint="default"/>
      </w:rPr>
    </w:lvl>
    <w:lvl w:ilvl="5" w:tplc="04090005" w:tentative="1">
      <w:start w:val="1"/>
      <w:numFmt w:val="bullet"/>
      <w:lvlText w:val=""/>
      <w:lvlJc w:val="left"/>
      <w:pPr>
        <w:ind w:left="3535" w:hanging="360"/>
      </w:pPr>
      <w:rPr>
        <w:rFonts w:ascii="Wingdings" w:hAnsi="Wingdings" w:hint="default"/>
      </w:rPr>
    </w:lvl>
    <w:lvl w:ilvl="6" w:tplc="04090001" w:tentative="1">
      <w:start w:val="1"/>
      <w:numFmt w:val="bullet"/>
      <w:lvlText w:val=""/>
      <w:lvlJc w:val="left"/>
      <w:pPr>
        <w:ind w:left="4255" w:hanging="360"/>
      </w:pPr>
      <w:rPr>
        <w:rFonts w:ascii="Symbol" w:hAnsi="Symbol" w:hint="default"/>
      </w:rPr>
    </w:lvl>
    <w:lvl w:ilvl="7" w:tplc="04090003" w:tentative="1">
      <w:start w:val="1"/>
      <w:numFmt w:val="bullet"/>
      <w:lvlText w:val="o"/>
      <w:lvlJc w:val="left"/>
      <w:pPr>
        <w:ind w:left="4975" w:hanging="360"/>
      </w:pPr>
      <w:rPr>
        <w:rFonts w:ascii="Courier New" w:hAnsi="Courier New" w:cs="Courier New" w:hint="default"/>
      </w:rPr>
    </w:lvl>
    <w:lvl w:ilvl="8" w:tplc="04090005" w:tentative="1">
      <w:start w:val="1"/>
      <w:numFmt w:val="bullet"/>
      <w:lvlText w:val=""/>
      <w:lvlJc w:val="left"/>
      <w:pPr>
        <w:ind w:left="5695" w:hanging="360"/>
      </w:pPr>
      <w:rPr>
        <w:rFonts w:ascii="Wingdings" w:hAnsi="Wingdings" w:hint="default"/>
      </w:rPr>
    </w:lvl>
  </w:abstractNum>
  <w:abstractNum w:abstractNumId="9" w15:restartNumberingAfterBreak="0">
    <w:nsid w:val="0246697A"/>
    <w:multiLevelType w:val="hybridMultilevel"/>
    <w:tmpl w:val="4C7A6D10"/>
    <w:lvl w:ilvl="0" w:tplc="7EA892A4">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856607B0">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C5C22F5E">
      <w:numFmt w:val="bullet"/>
      <w:lvlText w:val="•"/>
      <w:lvlJc w:val="left"/>
      <w:pPr>
        <w:ind w:left="2178" w:hanging="567"/>
      </w:pPr>
      <w:rPr>
        <w:rFonts w:hint="default"/>
        <w:lang w:val="en-US" w:eastAsia="en-US" w:bidi="ar-SA"/>
      </w:rPr>
    </w:lvl>
    <w:lvl w:ilvl="3" w:tplc="B234FEC6">
      <w:numFmt w:val="bullet"/>
      <w:lvlText w:val="•"/>
      <w:lvlJc w:val="left"/>
      <w:pPr>
        <w:ind w:left="3076" w:hanging="567"/>
      </w:pPr>
      <w:rPr>
        <w:rFonts w:hint="default"/>
        <w:lang w:val="en-US" w:eastAsia="en-US" w:bidi="ar-SA"/>
      </w:rPr>
    </w:lvl>
    <w:lvl w:ilvl="4" w:tplc="86C24F6C">
      <w:numFmt w:val="bullet"/>
      <w:lvlText w:val="•"/>
      <w:lvlJc w:val="left"/>
      <w:pPr>
        <w:ind w:left="3975" w:hanging="567"/>
      </w:pPr>
      <w:rPr>
        <w:rFonts w:hint="default"/>
        <w:lang w:val="en-US" w:eastAsia="en-US" w:bidi="ar-SA"/>
      </w:rPr>
    </w:lvl>
    <w:lvl w:ilvl="5" w:tplc="5566BDC8">
      <w:numFmt w:val="bullet"/>
      <w:lvlText w:val="•"/>
      <w:lvlJc w:val="left"/>
      <w:pPr>
        <w:ind w:left="4873" w:hanging="567"/>
      </w:pPr>
      <w:rPr>
        <w:rFonts w:hint="default"/>
        <w:lang w:val="en-US" w:eastAsia="en-US" w:bidi="ar-SA"/>
      </w:rPr>
    </w:lvl>
    <w:lvl w:ilvl="6" w:tplc="11789736">
      <w:numFmt w:val="bullet"/>
      <w:lvlText w:val="•"/>
      <w:lvlJc w:val="left"/>
      <w:pPr>
        <w:ind w:left="5772" w:hanging="567"/>
      </w:pPr>
      <w:rPr>
        <w:rFonts w:hint="default"/>
        <w:lang w:val="en-US" w:eastAsia="en-US" w:bidi="ar-SA"/>
      </w:rPr>
    </w:lvl>
    <w:lvl w:ilvl="7" w:tplc="6540C378">
      <w:numFmt w:val="bullet"/>
      <w:lvlText w:val="•"/>
      <w:lvlJc w:val="left"/>
      <w:pPr>
        <w:ind w:left="6670" w:hanging="567"/>
      </w:pPr>
      <w:rPr>
        <w:rFonts w:hint="default"/>
        <w:lang w:val="en-US" w:eastAsia="en-US" w:bidi="ar-SA"/>
      </w:rPr>
    </w:lvl>
    <w:lvl w:ilvl="8" w:tplc="628C14B0">
      <w:numFmt w:val="bullet"/>
      <w:lvlText w:val="•"/>
      <w:lvlJc w:val="left"/>
      <w:pPr>
        <w:ind w:left="7569" w:hanging="567"/>
      </w:pPr>
      <w:rPr>
        <w:rFonts w:hint="default"/>
        <w:lang w:val="en-US" w:eastAsia="en-US" w:bidi="ar-SA"/>
      </w:rPr>
    </w:lvl>
  </w:abstractNum>
  <w:abstractNum w:abstractNumId="10" w15:restartNumberingAfterBreak="0">
    <w:nsid w:val="02511A6D"/>
    <w:multiLevelType w:val="hybridMultilevel"/>
    <w:tmpl w:val="2B64FFB6"/>
    <w:lvl w:ilvl="0" w:tplc="B7F004B6">
      <w:start w:val="1"/>
      <w:numFmt w:val="lowerLetter"/>
      <w:lvlText w:val="(%1)"/>
      <w:lvlJc w:val="left"/>
      <w:pPr>
        <w:ind w:left="2408" w:hanging="567"/>
      </w:pPr>
      <w:rPr>
        <w:rFonts w:ascii="Arial" w:eastAsia="Calibri" w:hAnsi="Arial" w:cs="Arial" w:hint="default"/>
        <w:spacing w:val="-1"/>
        <w:w w:val="100"/>
        <w:sz w:val="20"/>
        <w:szCs w:val="22"/>
        <w:lang w:val="en-US" w:eastAsia="en-US" w:bidi="ar-SA"/>
      </w:rPr>
    </w:lvl>
    <w:lvl w:ilvl="1" w:tplc="8DA80256">
      <w:start w:val="1"/>
      <w:numFmt w:val="decimal"/>
      <w:lvlText w:val="(%2)"/>
      <w:lvlJc w:val="left"/>
      <w:pPr>
        <w:ind w:left="2975" w:hanging="567"/>
      </w:pPr>
      <w:rPr>
        <w:rFonts w:ascii="Arial" w:eastAsia="Calibri" w:hAnsi="Arial" w:cs="Arial" w:hint="default"/>
        <w:spacing w:val="-1"/>
        <w:w w:val="100"/>
        <w:sz w:val="20"/>
        <w:szCs w:val="22"/>
        <w:lang w:val="en-US" w:eastAsia="en-US" w:bidi="ar-SA"/>
      </w:rPr>
    </w:lvl>
    <w:lvl w:ilvl="2" w:tplc="3EE2EB2C">
      <w:numFmt w:val="bullet"/>
      <w:lvlText w:val="•"/>
      <w:lvlJc w:val="left"/>
      <w:pPr>
        <w:ind w:left="3689" w:hanging="567"/>
      </w:pPr>
      <w:rPr>
        <w:rFonts w:hint="default"/>
        <w:lang w:val="en-US" w:eastAsia="en-US" w:bidi="ar-SA"/>
      </w:rPr>
    </w:lvl>
    <w:lvl w:ilvl="3" w:tplc="B85E9868">
      <w:numFmt w:val="bullet"/>
      <w:lvlText w:val="•"/>
      <w:lvlJc w:val="left"/>
      <w:pPr>
        <w:ind w:left="4399" w:hanging="567"/>
      </w:pPr>
      <w:rPr>
        <w:rFonts w:hint="default"/>
        <w:lang w:val="en-US" w:eastAsia="en-US" w:bidi="ar-SA"/>
      </w:rPr>
    </w:lvl>
    <w:lvl w:ilvl="4" w:tplc="43940DD8">
      <w:numFmt w:val="bullet"/>
      <w:lvlText w:val="•"/>
      <w:lvlJc w:val="left"/>
      <w:pPr>
        <w:ind w:left="5108" w:hanging="567"/>
      </w:pPr>
      <w:rPr>
        <w:rFonts w:hint="default"/>
        <w:lang w:val="en-US" w:eastAsia="en-US" w:bidi="ar-SA"/>
      </w:rPr>
    </w:lvl>
    <w:lvl w:ilvl="5" w:tplc="66FEA0AE">
      <w:numFmt w:val="bullet"/>
      <w:lvlText w:val="•"/>
      <w:lvlJc w:val="left"/>
      <w:pPr>
        <w:ind w:left="5818" w:hanging="567"/>
      </w:pPr>
      <w:rPr>
        <w:rFonts w:hint="default"/>
        <w:lang w:val="en-US" w:eastAsia="en-US" w:bidi="ar-SA"/>
      </w:rPr>
    </w:lvl>
    <w:lvl w:ilvl="6" w:tplc="AD04E56C">
      <w:numFmt w:val="bullet"/>
      <w:lvlText w:val="•"/>
      <w:lvlJc w:val="left"/>
      <w:pPr>
        <w:ind w:left="6528" w:hanging="567"/>
      </w:pPr>
      <w:rPr>
        <w:rFonts w:hint="default"/>
        <w:lang w:val="en-US" w:eastAsia="en-US" w:bidi="ar-SA"/>
      </w:rPr>
    </w:lvl>
    <w:lvl w:ilvl="7" w:tplc="27925E3C">
      <w:numFmt w:val="bullet"/>
      <w:lvlText w:val="•"/>
      <w:lvlJc w:val="left"/>
      <w:pPr>
        <w:ind w:left="7237" w:hanging="567"/>
      </w:pPr>
      <w:rPr>
        <w:rFonts w:hint="default"/>
        <w:lang w:val="en-US" w:eastAsia="en-US" w:bidi="ar-SA"/>
      </w:rPr>
    </w:lvl>
    <w:lvl w:ilvl="8" w:tplc="8826946E">
      <w:numFmt w:val="bullet"/>
      <w:lvlText w:val="•"/>
      <w:lvlJc w:val="left"/>
      <w:pPr>
        <w:ind w:left="7947" w:hanging="567"/>
      </w:pPr>
      <w:rPr>
        <w:rFonts w:hint="default"/>
        <w:lang w:val="en-US" w:eastAsia="en-US" w:bidi="ar-SA"/>
      </w:rPr>
    </w:lvl>
  </w:abstractNum>
  <w:abstractNum w:abstractNumId="11" w15:restartNumberingAfterBreak="0">
    <w:nsid w:val="02C86EAC"/>
    <w:multiLevelType w:val="hybridMultilevel"/>
    <w:tmpl w:val="9EE2DBE2"/>
    <w:lvl w:ilvl="0" w:tplc="36360660">
      <w:start w:val="1"/>
      <w:numFmt w:val="lowerLetter"/>
      <w:lvlText w:val="(%1)"/>
      <w:lvlJc w:val="left"/>
      <w:pPr>
        <w:ind w:left="706" w:hanging="567"/>
      </w:pPr>
      <w:rPr>
        <w:rFonts w:ascii="Calibri" w:eastAsia="Calibri" w:hAnsi="Calibri" w:cs="Calibri" w:hint="default"/>
        <w:spacing w:val="-1"/>
        <w:w w:val="100"/>
        <w:sz w:val="22"/>
        <w:szCs w:val="22"/>
        <w:lang w:val="en-US" w:eastAsia="en-US" w:bidi="ar-SA"/>
      </w:rPr>
    </w:lvl>
    <w:lvl w:ilvl="1" w:tplc="2BB4021A">
      <w:start w:val="1"/>
      <w:numFmt w:val="decimal"/>
      <w:lvlText w:val="(%2)"/>
      <w:lvlJc w:val="left"/>
      <w:pPr>
        <w:ind w:left="1273" w:hanging="567"/>
      </w:pPr>
      <w:rPr>
        <w:rFonts w:ascii="Arial" w:eastAsia="Calibri" w:hAnsi="Arial" w:cs="Arial" w:hint="default"/>
        <w:spacing w:val="-1"/>
        <w:w w:val="100"/>
        <w:sz w:val="20"/>
        <w:szCs w:val="20"/>
        <w:lang w:val="en-US" w:eastAsia="en-US" w:bidi="ar-SA"/>
      </w:rPr>
    </w:lvl>
    <w:lvl w:ilvl="2" w:tplc="015217C6">
      <w:start w:val="1"/>
      <w:numFmt w:val="lowerRoman"/>
      <w:lvlText w:val="(%3)"/>
      <w:lvlJc w:val="left"/>
      <w:pPr>
        <w:ind w:left="1842" w:hanging="569"/>
      </w:pPr>
      <w:rPr>
        <w:rFonts w:ascii="Calibri" w:eastAsia="Calibri" w:hAnsi="Calibri" w:cs="Calibri" w:hint="default"/>
        <w:spacing w:val="-1"/>
        <w:w w:val="100"/>
        <w:sz w:val="22"/>
        <w:szCs w:val="22"/>
        <w:lang w:val="en-US" w:eastAsia="en-US" w:bidi="ar-SA"/>
      </w:rPr>
    </w:lvl>
    <w:lvl w:ilvl="3" w:tplc="656C5010">
      <w:start w:val="1"/>
      <w:numFmt w:val="upperLetter"/>
      <w:lvlText w:val="(%4)"/>
      <w:lvlJc w:val="left"/>
      <w:pPr>
        <w:ind w:left="2408" w:hanging="567"/>
      </w:pPr>
      <w:rPr>
        <w:rFonts w:ascii="Calibri" w:eastAsia="Calibri" w:hAnsi="Calibri" w:cs="Calibri" w:hint="default"/>
        <w:spacing w:val="-1"/>
        <w:w w:val="100"/>
        <w:sz w:val="22"/>
        <w:szCs w:val="22"/>
        <w:lang w:val="en-US" w:eastAsia="en-US" w:bidi="ar-SA"/>
      </w:rPr>
    </w:lvl>
    <w:lvl w:ilvl="4" w:tplc="F5D0D662">
      <w:numFmt w:val="bullet"/>
      <w:lvlText w:val="•"/>
      <w:lvlJc w:val="left"/>
      <w:pPr>
        <w:ind w:left="3395" w:hanging="567"/>
      </w:pPr>
      <w:rPr>
        <w:rFonts w:hint="default"/>
        <w:lang w:val="en-US" w:eastAsia="en-US" w:bidi="ar-SA"/>
      </w:rPr>
    </w:lvl>
    <w:lvl w:ilvl="5" w:tplc="20F0F6C2">
      <w:numFmt w:val="bullet"/>
      <w:lvlText w:val="•"/>
      <w:lvlJc w:val="left"/>
      <w:pPr>
        <w:ind w:left="4390" w:hanging="567"/>
      </w:pPr>
      <w:rPr>
        <w:rFonts w:hint="default"/>
        <w:lang w:val="en-US" w:eastAsia="en-US" w:bidi="ar-SA"/>
      </w:rPr>
    </w:lvl>
    <w:lvl w:ilvl="6" w:tplc="17C2C8AE">
      <w:numFmt w:val="bullet"/>
      <w:lvlText w:val="•"/>
      <w:lvlJc w:val="left"/>
      <w:pPr>
        <w:ind w:left="5385" w:hanging="567"/>
      </w:pPr>
      <w:rPr>
        <w:rFonts w:hint="default"/>
        <w:lang w:val="en-US" w:eastAsia="en-US" w:bidi="ar-SA"/>
      </w:rPr>
    </w:lvl>
    <w:lvl w:ilvl="7" w:tplc="37180686">
      <w:numFmt w:val="bullet"/>
      <w:lvlText w:val="•"/>
      <w:lvlJc w:val="left"/>
      <w:pPr>
        <w:ind w:left="6380" w:hanging="567"/>
      </w:pPr>
      <w:rPr>
        <w:rFonts w:hint="default"/>
        <w:lang w:val="en-US" w:eastAsia="en-US" w:bidi="ar-SA"/>
      </w:rPr>
    </w:lvl>
    <w:lvl w:ilvl="8" w:tplc="B4C6BB60">
      <w:numFmt w:val="bullet"/>
      <w:lvlText w:val="•"/>
      <w:lvlJc w:val="left"/>
      <w:pPr>
        <w:ind w:left="7376" w:hanging="567"/>
      </w:pPr>
      <w:rPr>
        <w:rFonts w:hint="default"/>
        <w:lang w:val="en-US" w:eastAsia="en-US" w:bidi="ar-SA"/>
      </w:rPr>
    </w:lvl>
  </w:abstractNum>
  <w:abstractNum w:abstractNumId="12" w15:restartNumberingAfterBreak="0">
    <w:nsid w:val="033F458D"/>
    <w:multiLevelType w:val="hybridMultilevel"/>
    <w:tmpl w:val="709C7A14"/>
    <w:lvl w:ilvl="0" w:tplc="63424BD0">
      <w:start w:val="1"/>
      <w:numFmt w:val="lowerLetter"/>
      <w:lvlText w:val="(%1)"/>
      <w:lvlJc w:val="left"/>
      <w:pPr>
        <w:ind w:left="706" w:hanging="567"/>
      </w:pPr>
      <w:rPr>
        <w:rFonts w:ascii="Calibri" w:eastAsia="Calibri" w:hAnsi="Calibri" w:cs="Calibri" w:hint="default"/>
        <w:spacing w:val="-1"/>
        <w:w w:val="100"/>
        <w:sz w:val="22"/>
        <w:szCs w:val="22"/>
        <w:lang w:val="en-US" w:eastAsia="en-US" w:bidi="ar-SA"/>
      </w:rPr>
    </w:lvl>
    <w:lvl w:ilvl="1" w:tplc="B1328292">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5482892C">
      <w:numFmt w:val="bullet"/>
      <w:lvlText w:val="•"/>
      <w:lvlJc w:val="left"/>
      <w:pPr>
        <w:ind w:left="1949" w:hanging="567"/>
      </w:pPr>
      <w:rPr>
        <w:rFonts w:hint="default"/>
        <w:lang w:val="en-US" w:eastAsia="en-US" w:bidi="ar-SA"/>
      </w:rPr>
    </w:lvl>
    <w:lvl w:ilvl="3" w:tplc="C9428984">
      <w:numFmt w:val="bullet"/>
      <w:lvlText w:val="•"/>
      <w:lvlJc w:val="left"/>
      <w:pPr>
        <w:ind w:left="2618" w:hanging="567"/>
      </w:pPr>
      <w:rPr>
        <w:rFonts w:hint="default"/>
        <w:lang w:val="en-US" w:eastAsia="en-US" w:bidi="ar-SA"/>
      </w:rPr>
    </w:lvl>
    <w:lvl w:ilvl="4" w:tplc="F6362886">
      <w:numFmt w:val="bullet"/>
      <w:lvlText w:val="•"/>
      <w:lvlJc w:val="left"/>
      <w:pPr>
        <w:ind w:left="3288" w:hanging="567"/>
      </w:pPr>
      <w:rPr>
        <w:rFonts w:hint="default"/>
        <w:lang w:val="en-US" w:eastAsia="en-US" w:bidi="ar-SA"/>
      </w:rPr>
    </w:lvl>
    <w:lvl w:ilvl="5" w:tplc="E508FDE4">
      <w:numFmt w:val="bullet"/>
      <w:lvlText w:val="•"/>
      <w:lvlJc w:val="left"/>
      <w:pPr>
        <w:ind w:left="3957" w:hanging="567"/>
      </w:pPr>
      <w:rPr>
        <w:rFonts w:hint="default"/>
        <w:lang w:val="en-US" w:eastAsia="en-US" w:bidi="ar-SA"/>
      </w:rPr>
    </w:lvl>
    <w:lvl w:ilvl="6" w:tplc="B8760228">
      <w:numFmt w:val="bullet"/>
      <w:lvlText w:val="•"/>
      <w:lvlJc w:val="left"/>
      <w:pPr>
        <w:ind w:left="4627" w:hanging="567"/>
      </w:pPr>
      <w:rPr>
        <w:rFonts w:hint="default"/>
        <w:lang w:val="en-US" w:eastAsia="en-US" w:bidi="ar-SA"/>
      </w:rPr>
    </w:lvl>
    <w:lvl w:ilvl="7" w:tplc="FC0C1FF4">
      <w:numFmt w:val="bullet"/>
      <w:lvlText w:val="•"/>
      <w:lvlJc w:val="left"/>
      <w:pPr>
        <w:ind w:left="5296" w:hanging="567"/>
      </w:pPr>
      <w:rPr>
        <w:rFonts w:hint="default"/>
        <w:lang w:val="en-US" w:eastAsia="en-US" w:bidi="ar-SA"/>
      </w:rPr>
    </w:lvl>
    <w:lvl w:ilvl="8" w:tplc="2ACE79BC">
      <w:numFmt w:val="bullet"/>
      <w:lvlText w:val="•"/>
      <w:lvlJc w:val="left"/>
      <w:pPr>
        <w:ind w:left="5966" w:hanging="567"/>
      </w:pPr>
      <w:rPr>
        <w:rFonts w:hint="default"/>
        <w:lang w:val="en-US" w:eastAsia="en-US" w:bidi="ar-SA"/>
      </w:rPr>
    </w:lvl>
  </w:abstractNum>
  <w:abstractNum w:abstractNumId="13" w15:restartNumberingAfterBreak="0">
    <w:nsid w:val="037E2BB4"/>
    <w:multiLevelType w:val="hybridMultilevel"/>
    <w:tmpl w:val="E568483E"/>
    <w:lvl w:ilvl="0" w:tplc="28FE220A">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23BC4D24">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225440B8">
      <w:start w:val="1"/>
      <w:numFmt w:val="lowerLetter"/>
      <w:lvlText w:val="(%3)"/>
      <w:lvlJc w:val="left"/>
      <w:pPr>
        <w:ind w:left="1842" w:hanging="569"/>
      </w:pPr>
      <w:rPr>
        <w:rFonts w:ascii="Arial" w:eastAsia="Calibri" w:hAnsi="Arial" w:cs="Arial" w:hint="default"/>
        <w:spacing w:val="-1"/>
        <w:w w:val="100"/>
        <w:sz w:val="20"/>
        <w:szCs w:val="22"/>
        <w:lang w:val="en-US" w:eastAsia="en-US" w:bidi="ar-SA"/>
      </w:rPr>
    </w:lvl>
    <w:lvl w:ilvl="3" w:tplc="CD085C3C">
      <w:start w:val="1"/>
      <w:numFmt w:val="lowerRoman"/>
      <w:lvlText w:val="(%4)"/>
      <w:lvlJc w:val="left"/>
      <w:pPr>
        <w:ind w:left="2408" w:hanging="567"/>
      </w:pPr>
      <w:rPr>
        <w:rFonts w:ascii="Arial" w:eastAsia="Calibri" w:hAnsi="Arial" w:cs="Arial" w:hint="default"/>
        <w:spacing w:val="-1"/>
        <w:w w:val="100"/>
        <w:sz w:val="20"/>
        <w:szCs w:val="22"/>
        <w:lang w:val="en-US" w:eastAsia="en-US" w:bidi="ar-SA"/>
      </w:rPr>
    </w:lvl>
    <w:lvl w:ilvl="4" w:tplc="D1D45A30">
      <w:numFmt w:val="bullet"/>
      <w:lvlText w:val="•"/>
      <w:lvlJc w:val="left"/>
      <w:pPr>
        <w:ind w:left="3395" w:hanging="567"/>
      </w:pPr>
      <w:rPr>
        <w:rFonts w:hint="default"/>
        <w:lang w:val="en-US" w:eastAsia="en-US" w:bidi="ar-SA"/>
      </w:rPr>
    </w:lvl>
    <w:lvl w:ilvl="5" w:tplc="66D4552E">
      <w:numFmt w:val="bullet"/>
      <w:lvlText w:val="•"/>
      <w:lvlJc w:val="left"/>
      <w:pPr>
        <w:ind w:left="4390" w:hanging="567"/>
      </w:pPr>
      <w:rPr>
        <w:rFonts w:hint="default"/>
        <w:lang w:val="en-US" w:eastAsia="en-US" w:bidi="ar-SA"/>
      </w:rPr>
    </w:lvl>
    <w:lvl w:ilvl="6" w:tplc="5282A178">
      <w:numFmt w:val="bullet"/>
      <w:lvlText w:val="•"/>
      <w:lvlJc w:val="left"/>
      <w:pPr>
        <w:ind w:left="5385" w:hanging="567"/>
      </w:pPr>
      <w:rPr>
        <w:rFonts w:hint="default"/>
        <w:lang w:val="en-US" w:eastAsia="en-US" w:bidi="ar-SA"/>
      </w:rPr>
    </w:lvl>
    <w:lvl w:ilvl="7" w:tplc="DF648888">
      <w:numFmt w:val="bullet"/>
      <w:lvlText w:val="•"/>
      <w:lvlJc w:val="left"/>
      <w:pPr>
        <w:ind w:left="6380" w:hanging="567"/>
      </w:pPr>
      <w:rPr>
        <w:rFonts w:hint="default"/>
        <w:lang w:val="en-US" w:eastAsia="en-US" w:bidi="ar-SA"/>
      </w:rPr>
    </w:lvl>
    <w:lvl w:ilvl="8" w:tplc="2EA853DE">
      <w:numFmt w:val="bullet"/>
      <w:lvlText w:val="•"/>
      <w:lvlJc w:val="left"/>
      <w:pPr>
        <w:ind w:left="7376" w:hanging="567"/>
      </w:pPr>
      <w:rPr>
        <w:rFonts w:hint="default"/>
        <w:lang w:val="en-US" w:eastAsia="en-US" w:bidi="ar-SA"/>
      </w:rPr>
    </w:lvl>
  </w:abstractNum>
  <w:abstractNum w:abstractNumId="14" w15:restartNumberingAfterBreak="0">
    <w:nsid w:val="040E4331"/>
    <w:multiLevelType w:val="hybridMultilevel"/>
    <w:tmpl w:val="BBF641B8"/>
    <w:lvl w:ilvl="0" w:tplc="CD80582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ADC655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1B2266EE">
      <w:numFmt w:val="bullet"/>
      <w:lvlText w:val="•"/>
      <w:lvlJc w:val="left"/>
      <w:pPr>
        <w:ind w:left="2178" w:hanging="567"/>
      </w:pPr>
      <w:rPr>
        <w:lang w:val="en-US" w:eastAsia="en-US" w:bidi="ar-SA"/>
      </w:rPr>
    </w:lvl>
    <w:lvl w:ilvl="3" w:tplc="45BE0660">
      <w:numFmt w:val="bullet"/>
      <w:lvlText w:val="•"/>
      <w:lvlJc w:val="left"/>
      <w:pPr>
        <w:ind w:left="3076" w:hanging="567"/>
      </w:pPr>
      <w:rPr>
        <w:lang w:val="en-US" w:eastAsia="en-US" w:bidi="ar-SA"/>
      </w:rPr>
    </w:lvl>
    <w:lvl w:ilvl="4" w:tplc="EF4E30C8">
      <w:numFmt w:val="bullet"/>
      <w:lvlText w:val="•"/>
      <w:lvlJc w:val="left"/>
      <w:pPr>
        <w:ind w:left="3975" w:hanging="567"/>
      </w:pPr>
      <w:rPr>
        <w:lang w:val="en-US" w:eastAsia="en-US" w:bidi="ar-SA"/>
      </w:rPr>
    </w:lvl>
    <w:lvl w:ilvl="5" w:tplc="E8CECEAA">
      <w:numFmt w:val="bullet"/>
      <w:lvlText w:val="•"/>
      <w:lvlJc w:val="left"/>
      <w:pPr>
        <w:ind w:left="4873" w:hanging="567"/>
      </w:pPr>
      <w:rPr>
        <w:lang w:val="en-US" w:eastAsia="en-US" w:bidi="ar-SA"/>
      </w:rPr>
    </w:lvl>
    <w:lvl w:ilvl="6" w:tplc="D8024D6C">
      <w:numFmt w:val="bullet"/>
      <w:lvlText w:val="•"/>
      <w:lvlJc w:val="left"/>
      <w:pPr>
        <w:ind w:left="5772" w:hanging="567"/>
      </w:pPr>
      <w:rPr>
        <w:lang w:val="en-US" w:eastAsia="en-US" w:bidi="ar-SA"/>
      </w:rPr>
    </w:lvl>
    <w:lvl w:ilvl="7" w:tplc="7E1A1F06">
      <w:numFmt w:val="bullet"/>
      <w:lvlText w:val="•"/>
      <w:lvlJc w:val="left"/>
      <w:pPr>
        <w:ind w:left="6670" w:hanging="567"/>
      </w:pPr>
      <w:rPr>
        <w:lang w:val="en-US" w:eastAsia="en-US" w:bidi="ar-SA"/>
      </w:rPr>
    </w:lvl>
    <w:lvl w:ilvl="8" w:tplc="78D2843C">
      <w:numFmt w:val="bullet"/>
      <w:lvlText w:val="•"/>
      <w:lvlJc w:val="left"/>
      <w:pPr>
        <w:ind w:left="7569" w:hanging="567"/>
      </w:pPr>
      <w:rPr>
        <w:lang w:val="en-US" w:eastAsia="en-US" w:bidi="ar-SA"/>
      </w:rPr>
    </w:lvl>
  </w:abstractNum>
  <w:abstractNum w:abstractNumId="15" w15:restartNumberingAfterBreak="0">
    <w:nsid w:val="04125189"/>
    <w:multiLevelType w:val="hybridMultilevel"/>
    <w:tmpl w:val="43242766"/>
    <w:lvl w:ilvl="0" w:tplc="CF348E14">
      <w:start w:val="1"/>
      <w:numFmt w:val="lowerLetter"/>
      <w:lvlText w:val="(%1)"/>
      <w:lvlJc w:val="left"/>
      <w:pPr>
        <w:ind w:left="543" w:hanging="459"/>
      </w:pPr>
      <w:rPr>
        <w:rFonts w:ascii="Arial" w:eastAsia="Calibri" w:hAnsi="Arial" w:cs="Arial" w:hint="default"/>
        <w:spacing w:val="-1"/>
        <w:w w:val="99"/>
        <w:sz w:val="20"/>
        <w:szCs w:val="20"/>
        <w:lang w:val="en-US" w:eastAsia="en-US" w:bidi="ar-SA"/>
      </w:rPr>
    </w:lvl>
    <w:lvl w:ilvl="1" w:tplc="F70AE866">
      <w:numFmt w:val="bullet"/>
      <w:lvlText w:val="•"/>
      <w:lvlJc w:val="left"/>
      <w:pPr>
        <w:ind w:left="811" w:hanging="459"/>
      </w:pPr>
      <w:rPr>
        <w:rFonts w:hint="default"/>
        <w:lang w:val="en-US" w:eastAsia="en-US" w:bidi="ar-SA"/>
      </w:rPr>
    </w:lvl>
    <w:lvl w:ilvl="2" w:tplc="4C640B78">
      <w:numFmt w:val="bullet"/>
      <w:lvlText w:val="•"/>
      <w:lvlJc w:val="left"/>
      <w:pPr>
        <w:ind w:left="1082" w:hanging="459"/>
      </w:pPr>
      <w:rPr>
        <w:rFonts w:hint="default"/>
        <w:lang w:val="en-US" w:eastAsia="en-US" w:bidi="ar-SA"/>
      </w:rPr>
    </w:lvl>
    <w:lvl w:ilvl="3" w:tplc="731ED58A">
      <w:numFmt w:val="bullet"/>
      <w:lvlText w:val="•"/>
      <w:lvlJc w:val="left"/>
      <w:pPr>
        <w:ind w:left="1353" w:hanging="459"/>
      </w:pPr>
      <w:rPr>
        <w:rFonts w:hint="default"/>
        <w:lang w:val="en-US" w:eastAsia="en-US" w:bidi="ar-SA"/>
      </w:rPr>
    </w:lvl>
    <w:lvl w:ilvl="4" w:tplc="96A83944">
      <w:numFmt w:val="bullet"/>
      <w:lvlText w:val="•"/>
      <w:lvlJc w:val="left"/>
      <w:pPr>
        <w:ind w:left="1624" w:hanging="459"/>
      </w:pPr>
      <w:rPr>
        <w:rFonts w:hint="default"/>
        <w:lang w:val="en-US" w:eastAsia="en-US" w:bidi="ar-SA"/>
      </w:rPr>
    </w:lvl>
    <w:lvl w:ilvl="5" w:tplc="635AD400">
      <w:numFmt w:val="bullet"/>
      <w:lvlText w:val="•"/>
      <w:lvlJc w:val="left"/>
      <w:pPr>
        <w:ind w:left="1895" w:hanging="459"/>
      </w:pPr>
      <w:rPr>
        <w:rFonts w:hint="default"/>
        <w:lang w:val="en-US" w:eastAsia="en-US" w:bidi="ar-SA"/>
      </w:rPr>
    </w:lvl>
    <w:lvl w:ilvl="6" w:tplc="904657BC">
      <w:numFmt w:val="bullet"/>
      <w:lvlText w:val="•"/>
      <w:lvlJc w:val="left"/>
      <w:pPr>
        <w:ind w:left="2166" w:hanging="459"/>
      </w:pPr>
      <w:rPr>
        <w:rFonts w:hint="default"/>
        <w:lang w:val="en-US" w:eastAsia="en-US" w:bidi="ar-SA"/>
      </w:rPr>
    </w:lvl>
    <w:lvl w:ilvl="7" w:tplc="3FC82BFE">
      <w:numFmt w:val="bullet"/>
      <w:lvlText w:val="•"/>
      <w:lvlJc w:val="left"/>
      <w:pPr>
        <w:ind w:left="2438" w:hanging="459"/>
      </w:pPr>
      <w:rPr>
        <w:rFonts w:hint="default"/>
        <w:lang w:val="en-US" w:eastAsia="en-US" w:bidi="ar-SA"/>
      </w:rPr>
    </w:lvl>
    <w:lvl w:ilvl="8" w:tplc="27C40B42">
      <w:numFmt w:val="bullet"/>
      <w:lvlText w:val="•"/>
      <w:lvlJc w:val="left"/>
      <w:pPr>
        <w:ind w:left="2709" w:hanging="459"/>
      </w:pPr>
      <w:rPr>
        <w:rFonts w:hint="default"/>
        <w:lang w:val="en-US" w:eastAsia="en-US" w:bidi="ar-SA"/>
      </w:rPr>
    </w:lvl>
  </w:abstractNum>
  <w:abstractNum w:abstractNumId="16" w15:restartNumberingAfterBreak="0">
    <w:nsid w:val="04920D3C"/>
    <w:multiLevelType w:val="hybridMultilevel"/>
    <w:tmpl w:val="9568502A"/>
    <w:lvl w:ilvl="0" w:tplc="B802BE2A">
      <w:start w:val="3"/>
      <w:numFmt w:val="lowerRoman"/>
      <w:lvlText w:val="(%1)"/>
      <w:lvlJc w:val="left"/>
      <w:pPr>
        <w:ind w:left="652" w:hanging="567"/>
      </w:pPr>
      <w:rPr>
        <w:rFonts w:ascii="Arial" w:eastAsia="Calibri" w:hAnsi="Arial" w:cs="Arial" w:hint="default"/>
        <w:spacing w:val="-1"/>
        <w:w w:val="99"/>
        <w:sz w:val="18"/>
        <w:szCs w:val="20"/>
        <w:lang w:val="en-US" w:eastAsia="en-US" w:bidi="ar-SA"/>
      </w:rPr>
    </w:lvl>
    <w:lvl w:ilvl="1" w:tplc="E6A87444">
      <w:numFmt w:val="bullet"/>
      <w:lvlText w:val="•"/>
      <w:lvlJc w:val="left"/>
      <w:pPr>
        <w:ind w:left="893" w:hanging="567"/>
      </w:pPr>
      <w:rPr>
        <w:rFonts w:hint="default"/>
        <w:lang w:val="en-US" w:eastAsia="en-US" w:bidi="ar-SA"/>
      </w:rPr>
    </w:lvl>
    <w:lvl w:ilvl="2" w:tplc="BD8C1E42">
      <w:numFmt w:val="bullet"/>
      <w:lvlText w:val="•"/>
      <w:lvlJc w:val="left"/>
      <w:pPr>
        <w:ind w:left="1126" w:hanging="567"/>
      </w:pPr>
      <w:rPr>
        <w:rFonts w:hint="default"/>
        <w:lang w:val="en-US" w:eastAsia="en-US" w:bidi="ar-SA"/>
      </w:rPr>
    </w:lvl>
    <w:lvl w:ilvl="3" w:tplc="256E4926">
      <w:numFmt w:val="bullet"/>
      <w:lvlText w:val="•"/>
      <w:lvlJc w:val="left"/>
      <w:pPr>
        <w:ind w:left="1360" w:hanging="567"/>
      </w:pPr>
      <w:rPr>
        <w:rFonts w:hint="default"/>
        <w:lang w:val="en-US" w:eastAsia="en-US" w:bidi="ar-SA"/>
      </w:rPr>
    </w:lvl>
    <w:lvl w:ilvl="4" w:tplc="CE8438EC">
      <w:numFmt w:val="bullet"/>
      <w:lvlText w:val="•"/>
      <w:lvlJc w:val="left"/>
      <w:pPr>
        <w:ind w:left="1593" w:hanging="567"/>
      </w:pPr>
      <w:rPr>
        <w:rFonts w:hint="default"/>
        <w:lang w:val="en-US" w:eastAsia="en-US" w:bidi="ar-SA"/>
      </w:rPr>
    </w:lvl>
    <w:lvl w:ilvl="5" w:tplc="39303CEE">
      <w:numFmt w:val="bullet"/>
      <w:lvlText w:val="•"/>
      <w:lvlJc w:val="left"/>
      <w:pPr>
        <w:ind w:left="1827" w:hanging="567"/>
      </w:pPr>
      <w:rPr>
        <w:rFonts w:hint="default"/>
        <w:lang w:val="en-US" w:eastAsia="en-US" w:bidi="ar-SA"/>
      </w:rPr>
    </w:lvl>
    <w:lvl w:ilvl="6" w:tplc="EA464538">
      <w:numFmt w:val="bullet"/>
      <w:lvlText w:val="•"/>
      <w:lvlJc w:val="left"/>
      <w:pPr>
        <w:ind w:left="2060" w:hanging="567"/>
      </w:pPr>
      <w:rPr>
        <w:rFonts w:hint="default"/>
        <w:lang w:val="en-US" w:eastAsia="en-US" w:bidi="ar-SA"/>
      </w:rPr>
    </w:lvl>
    <w:lvl w:ilvl="7" w:tplc="D14C03CA">
      <w:numFmt w:val="bullet"/>
      <w:lvlText w:val="•"/>
      <w:lvlJc w:val="left"/>
      <w:pPr>
        <w:ind w:left="2294" w:hanging="567"/>
      </w:pPr>
      <w:rPr>
        <w:rFonts w:hint="default"/>
        <w:lang w:val="en-US" w:eastAsia="en-US" w:bidi="ar-SA"/>
      </w:rPr>
    </w:lvl>
    <w:lvl w:ilvl="8" w:tplc="D3D4F52E">
      <w:numFmt w:val="bullet"/>
      <w:lvlText w:val="•"/>
      <w:lvlJc w:val="left"/>
      <w:pPr>
        <w:ind w:left="2527" w:hanging="567"/>
      </w:pPr>
      <w:rPr>
        <w:rFonts w:hint="default"/>
        <w:lang w:val="en-US" w:eastAsia="en-US" w:bidi="ar-SA"/>
      </w:rPr>
    </w:lvl>
  </w:abstractNum>
  <w:abstractNum w:abstractNumId="17" w15:restartNumberingAfterBreak="0">
    <w:nsid w:val="04BC4634"/>
    <w:multiLevelType w:val="hybridMultilevel"/>
    <w:tmpl w:val="E3803AC6"/>
    <w:lvl w:ilvl="0" w:tplc="3E2A23C8">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F9746E1A">
      <w:numFmt w:val="bullet"/>
      <w:lvlText w:val="•"/>
      <w:lvlJc w:val="left"/>
      <w:pPr>
        <w:ind w:left="1566" w:hanging="567"/>
      </w:pPr>
      <w:rPr>
        <w:rFonts w:hint="default"/>
        <w:lang w:val="en-US" w:eastAsia="en-US" w:bidi="ar-SA"/>
      </w:rPr>
    </w:lvl>
    <w:lvl w:ilvl="2" w:tplc="576A0BF2">
      <w:numFmt w:val="bullet"/>
      <w:lvlText w:val="•"/>
      <w:lvlJc w:val="left"/>
      <w:pPr>
        <w:ind w:left="2433" w:hanging="567"/>
      </w:pPr>
      <w:rPr>
        <w:rFonts w:hint="default"/>
        <w:lang w:val="en-US" w:eastAsia="en-US" w:bidi="ar-SA"/>
      </w:rPr>
    </w:lvl>
    <w:lvl w:ilvl="3" w:tplc="A32C4EC4">
      <w:numFmt w:val="bullet"/>
      <w:lvlText w:val="•"/>
      <w:lvlJc w:val="left"/>
      <w:pPr>
        <w:ind w:left="3299" w:hanging="567"/>
      </w:pPr>
      <w:rPr>
        <w:rFonts w:hint="default"/>
        <w:lang w:val="en-US" w:eastAsia="en-US" w:bidi="ar-SA"/>
      </w:rPr>
    </w:lvl>
    <w:lvl w:ilvl="4" w:tplc="23AA8256">
      <w:numFmt w:val="bullet"/>
      <w:lvlText w:val="•"/>
      <w:lvlJc w:val="left"/>
      <w:pPr>
        <w:ind w:left="4166" w:hanging="567"/>
      </w:pPr>
      <w:rPr>
        <w:rFonts w:hint="default"/>
        <w:lang w:val="en-US" w:eastAsia="en-US" w:bidi="ar-SA"/>
      </w:rPr>
    </w:lvl>
    <w:lvl w:ilvl="5" w:tplc="8652689E">
      <w:numFmt w:val="bullet"/>
      <w:lvlText w:val="•"/>
      <w:lvlJc w:val="left"/>
      <w:pPr>
        <w:ind w:left="5033" w:hanging="567"/>
      </w:pPr>
      <w:rPr>
        <w:rFonts w:hint="default"/>
        <w:lang w:val="en-US" w:eastAsia="en-US" w:bidi="ar-SA"/>
      </w:rPr>
    </w:lvl>
    <w:lvl w:ilvl="6" w:tplc="F2400AEE">
      <w:numFmt w:val="bullet"/>
      <w:lvlText w:val="•"/>
      <w:lvlJc w:val="left"/>
      <w:pPr>
        <w:ind w:left="5899" w:hanging="567"/>
      </w:pPr>
      <w:rPr>
        <w:rFonts w:hint="default"/>
        <w:lang w:val="en-US" w:eastAsia="en-US" w:bidi="ar-SA"/>
      </w:rPr>
    </w:lvl>
    <w:lvl w:ilvl="7" w:tplc="B20E43C4">
      <w:numFmt w:val="bullet"/>
      <w:lvlText w:val="•"/>
      <w:lvlJc w:val="left"/>
      <w:pPr>
        <w:ind w:left="6766" w:hanging="567"/>
      </w:pPr>
      <w:rPr>
        <w:rFonts w:hint="default"/>
        <w:lang w:val="en-US" w:eastAsia="en-US" w:bidi="ar-SA"/>
      </w:rPr>
    </w:lvl>
    <w:lvl w:ilvl="8" w:tplc="1B12F7A8">
      <w:numFmt w:val="bullet"/>
      <w:lvlText w:val="•"/>
      <w:lvlJc w:val="left"/>
      <w:pPr>
        <w:ind w:left="7633" w:hanging="567"/>
      </w:pPr>
      <w:rPr>
        <w:rFonts w:hint="default"/>
        <w:lang w:val="en-US" w:eastAsia="en-US" w:bidi="ar-SA"/>
      </w:rPr>
    </w:lvl>
  </w:abstractNum>
  <w:abstractNum w:abstractNumId="18" w15:restartNumberingAfterBreak="0">
    <w:nsid w:val="058B4B7B"/>
    <w:multiLevelType w:val="hybridMultilevel"/>
    <w:tmpl w:val="DAD25D5A"/>
    <w:lvl w:ilvl="0" w:tplc="E36E7E5E">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3B8A8C00">
      <w:numFmt w:val="bullet"/>
      <w:lvlText w:val="•"/>
      <w:lvlJc w:val="left"/>
      <w:pPr>
        <w:ind w:left="1566" w:hanging="567"/>
      </w:pPr>
      <w:rPr>
        <w:rFonts w:hint="default"/>
        <w:lang w:val="en-US" w:eastAsia="en-US" w:bidi="ar-SA"/>
      </w:rPr>
    </w:lvl>
    <w:lvl w:ilvl="2" w:tplc="6E1CC4C4">
      <w:numFmt w:val="bullet"/>
      <w:lvlText w:val="•"/>
      <w:lvlJc w:val="left"/>
      <w:pPr>
        <w:ind w:left="2433" w:hanging="567"/>
      </w:pPr>
      <w:rPr>
        <w:rFonts w:hint="default"/>
        <w:lang w:val="en-US" w:eastAsia="en-US" w:bidi="ar-SA"/>
      </w:rPr>
    </w:lvl>
    <w:lvl w:ilvl="3" w:tplc="29FE6364">
      <w:numFmt w:val="bullet"/>
      <w:lvlText w:val="•"/>
      <w:lvlJc w:val="left"/>
      <w:pPr>
        <w:ind w:left="3299" w:hanging="567"/>
      </w:pPr>
      <w:rPr>
        <w:rFonts w:hint="default"/>
        <w:lang w:val="en-US" w:eastAsia="en-US" w:bidi="ar-SA"/>
      </w:rPr>
    </w:lvl>
    <w:lvl w:ilvl="4" w:tplc="845051E4">
      <w:numFmt w:val="bullet"/>
      <w:lvlText w:val="•"/>
      <w:lvlJc w:val="left"/>
      <w:pPr>
        <w:ind w:left="4166" w:hanging="567"/>
      </w:pPr>
      <w:rPr>
        <w:rFonts w:hint="default"/>
        <w:lang w:val="en-US" w:eastAsia="en-US" w:bidi="ar-SA"/>
      </w:rPr>
    </w:lvl>
    <w:lvl w:ilvl="5" w:tplc="FFA611B4">
      <w:numFmt w:val="bullet"/>
      <w:lvlText w:val="•"/>
      <w:lvlJc w:val="left"/>
      <w:pPr>
        <w:ind w:left="5033" w:hanging="567"/>
      </w:pPr>
      <w:rPr>
        <w:rFonts w:hint="default"/>
        <w:lang w:val="en-US" w:eastAsia="en-US" w:bidi="ar-SA"/>
      </w:rPr>
    </w:lvl>
    <w:lvl w:ilvl="6" w:tplc="8DC428DA">
      <w:numFmt w:val="bullet"/>
      <w:lvlText w:val="•"/>
      <w:lvlJc w:val="left"/>
      <w:pPr>
        <w:ind w:left="5899" w:hanging="567"/>
      </w:pPr>
      <w:rPr>
        <w:rFonts w:hint="default"/>
        <w:lang w:val="en-US" w:eastAsia="en-US" w:bidi="ar-SA"/>
      </w:rPr>
    </w:lvl>
    <w:lvl w:ilvl="7" w:tplc="A0CC1E30">
      <w:numFmt w:val="bullet"/>
      <w:lvlText w:val="•"/>
      <w:lvlJc w:val="left"/>
      <w:pPr>
        <w:ind w:left="6766" w:hanging="567"/>
      </w:pPr>
      <w:rPr>
        <w:rFonts w:hint="default"/>
        <w:lang w:val="en-US" w:eastAsia="en-US" w:bidi="ar-SA"/>
      </w:rPr>
    </w:lvl>
    <w:lvl w:ilvl="8" w:tplc="818A078A">
      <w:numFmt w:val="bullet"/>
      <w:lvlText w:val="•"/>
      <w:lvlJc w:val="left"/>
      <w:pPr>
        <w:ind w:left="7633" w:hanging="567"/>
      </w:pPr>
      <w:rPr>
        <w:rFonts w:hint="default"/>
        <w:lang w:val="en-US" w:eastAsia="en-US" w:bidi="ar-SA"/>
      </w:rPr>
    </w:lvl>
  </w:abstractNum>
  <w:abstractNum w:abstractNumId="19" w15:restartNumberingAfterBreak="0">
    <w:nsid w:val="067203CF"/>
    <w:multiLevelType w:val="hybridMultilevel"/>
    <w:tmpl w:val="54DE34B8"/>
    <w:lvl w:ilvl="0" w:tplc="D89A281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2D6CE010">
      <w:numFmt w:val="bullet"/>
      <w:lvlText w:val="•"/>
      <w:lvlJc w:val="left"/>
      <w:pPr>
        <w:ind w:left="1566" w:hanging="567"/>
      </w:pPr>
      <w:rPr>
        <w:rFonts w:hint="default"/>
        <w:lang w:val="en-US" w:eastAsia="en-US" w:bidi="ar-SA"/>
      </w:rPr>
    </w:lvl>
    <w:lvl w:ilvl="2" w:tplc="673AA4CA">
      <w:numFmt w:val="bullet"/>
      <w:lvlText w:val="•"/>
      <w:lvlJc w:val="left"/>
      <w:pPr>
        <w:ind w:left="2433" w:hanging="567"/>
      </w:pPr>
      <w:rPr>
        <w:rFonts w:hint="default"/>
        <w:lang w:val="en-US" w:eastAsia="en-US" w:bidi="ar-SA"/>
      </w:rPr>
    </w:lvl>
    <w:lvl w:ilvl="3" w:tplc="6480F5F6">
      <w:numFmt w:val="bullet"/>
      <w:lvlText w:val="•"/>
      <w:lvlJc w:val="left"/>
      <w:pPr>
        <w:ind w:left="3299" w:hanging="567"/>
      </w:pPr>
      <w:rPr>
        <w:rFonts w:hint="default"/>
        <w:lang w:val="en-US" w:eastAsia="en-US" w:bidi="ar-SA"/>
      </w:rPr>
    </w:lvl>
    <w:lvl w:ilvl="4" w:tplc="670CBD16">
      <w:numFmt w:val="bullet"/>
      <w:lvlText w:val="•"/>
      <w:lvlJc w:val="left"/>
      <w:pPr>
        <w:ind w:left="4166" w:hanging="567"/>
      </w:pPr>
      <w:rPr>
        <w:rFonts w:hint="default"/>
        <w:lang w:val="en-US" w:eastAsia="en-US" w:bidi="ar-SA"/>
      </w:rPr>
    </w:lvl>
    <w:lvl w:ilvl="5" w:tplc="7224389A">
      <w:numFmt w:val="bullet"/>
      <w:lvlText w:val="•"/>
      <w:lvlJc w:val="left"/>
      <w:pPr>
        <w:ind w:left="5033" w:hanging="567"/>
      </w:pPr>
      <w:rPr>
        <w:rFonts w:hint="default"/>
        <w:lang w:val="en-US" w:eastAsia="en-US" w:bidi="ar-SA"/>
      </w:rPr>
    </w:lvl>
    <w:lvl w:ilvl="6" w:tplc="E586E2DC">
      <w:numFmt w:val="bullet"/>
      <w:lvlText w:val="•"/>
      <w:lvlJc w:val="left"/>
      <w:pPr>
        <w:ind w:left="5899" w:hanging="567"/>
      </w:pPr>
      <w:rPr>
        <w:rFonts w:hint="default"/>
        <w:lang w:val="en-US" w:eastAsia="en-US" w:bidi="ar-SA"/>
      </w:rPr>
    </w:lvl>
    <w:lvl w:ilvl="7" w:tplc="A7B8CE54">
      <w:numFmt w:val="bullet"/>
      <w:lvlText w:val="•"/>
      <w:lvlJc w:val="left"/>
      <w:pPr>
        <w:ind w:left="6766" w:hanging="567"/>
      </w:pPr>
      <w:rPr>
        <w:rFonts w:hint="default"/>
        <w:lang w:val="en-US" w:eastAsia="en-US" w:bidi="ar-SA"/>
      </w:rPr>
    </w:lvl>
    <w:lvl w:ilvl="8" w:tplc="E4D6954E">
      <w:numFmt w:val="bullet"/>
      <w:lvlText w:val="•"/>
      <w:lvlJc w:val="left"/>
      <w:pPr>
        <w:ind w:left="7633" w:hanging="567"/>
      </w:pPr>
      <w:rPr>
        <w:rFonts w:hint="default"/>
        <w:lang w:val="en-US" w:eastAsia="en-US" w:bidi="ar-SA"/>
      </w:rPr>
    </w:lvl>
  </w:abstractNum>
  <w:abstractNum w:abstractNumId="20" w15:restartNumberingAfterBreak="0">
    <w:nsid w:val="073C372A"/>
    <w:multiLevelType w:val="hybridMultilevel"/>
    <w:tmpl w:val="05A4D5DA"/>
    <w:lvl w:ilvl="0" w:tplc="841A618E">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1520DA66">
      <w:numFmt w:val="bullet"/>
      <w:lvlText w:val="•"/>
      <w:lvlJc w:val="left"/>
      <w:pPr>
        <w:ind w:left="1566" w:hanging="567"/>
      </w:pPr>
      <w:rPr>
        <w:rFonts w:hint="default"/>
        <w:lang w:val="en-US" w:eastAsia="en-US" w:bidi="ar-SA"/>
      </w:rPr>
    </w:lvl>
    <w:lvl w:ilvl="2" w:tplc="0470898E">
      <w:numFmt w:val="bullet"/>
      <w:lvlText w:val="•"/>
      <w:lvlJc w:val="left"/>
      <w:pPr>
        <w:ind w:left="2433" w:hanging="567"/>
      </w:pPr>
      <w:rPr>
        <w:rFonts w:hint="default"/>
        <w:lang w:val="en-US" w:eastAsia="en-US" w:bidi="ar-SA"/>
      </w:rPr>
    </w:lvl>
    <w:lvl w:ilvl="3" w:tplc="71F646C0">
      <w:numFmt w:val="bullet"/>
      <w:lvlText w:val="•"/>
      <w:lvlJc w:val="left"/>
      <w:pPr>
        <w:ind w:left="3299" w:hanging="567"/>
      </w:pPr>
      <w:rPr>
        <w:rFonts w:hint="default"/>
        <w:lang w:val="en-US" w:eastAsia="en-US" w:bidi="ar-SA"/>
      </w:rPr>
    </w:lvl>
    <w:lvl w:ilvl="4" w:tplc="B42CA078">
      <w:numFmt w:val="bullet"/>
      <w:lvlText w:val="•"/>
      <w:lvlJc w:val="left"/>
      <w:pPr>
        <w:ind w:left="4166" w:hanging="567"/>
      </w:pPr>
      <w:rPr>
        <w:rFonts w:hint="default"/>
        <w:lang w:val="en-US" w:eastAsia="en-US" w:bidi="ar-SA"/>
      </w:rPr>
    </w:lvl>
    <w:lvl w:ilvl="5" w:tplc="8A2C59EA">
      <w:numFmt w:val="bullet"/>
      <w:lvlText w:val="•"/>
      <w:lvlJc w:val="left"/>
      <w:pPr>
        <w:ind w:left="5033" w:hanging="567"/>
      </w:pPr>
      <w:rPr>
        <w:rFonts w:hint="default"/>
        <w:lang w:val="en-US" w:eastAsia="en-US" w:bidi="ar-SA"/>
      </w:rPr>
    </w:lvl>
    <w:lvl w:ilvl="6" w:tplc="D690EF3A">
      <w:numFmt w:val="bullet"/>
      <w:lvlText w:val="•"/>
      <w:lvlJc w:val="left"/>
      <w:pPr>
        <w:ind w:left="5899" w:hanging="567"/>
      </w:pPr>
      <w:rPr>
        <w:rFonts w:hint="default"/>
        <w:lang w:val="en-US" w:eastAsia="en-US" w:bidi="ar-SA"/>
      </w:rPr>
    </w:lvl>
    <w:lvl w:ilvl="7" w:tplc="4C2A38AA">
      <w:numFmt w:val="bullet"/>
      <w:lvlText w:val="•"/>
      <w:lvlJc w:val="left"/>
      <w:pPr>
        <w:ind w:left="6766" w:hanging="567"/>
      </w:pPr>
      <w:rPr>
        <w:rFonts w:hint="default"/>
        <w:lang w:val="en-US" w:eastAsia="en-US" w:bidi="ar-SA"/>
      </w:rPr>
    </w:lvl>
    <w:lvl w:ilvl="8" w:tplc="20C0AB22">
      <w:numFmt w:val="bullet"/>
      <w:lvlText w:val="•"/>
      <w:lvlJc w:val="left"/>
      <w:pPr>
        <w:ind w:left="7633" w:hanging="567"/>
      </w:pPr>
      <w:rPr>
        <w:rFonts w:hint="default"/>
        <w:lang w:val="en-US" w:eastAsia="en-US" w:bidi="ar-SA"/>
      </w:rPr>
    </w:lvl>
  </w:abstractNum>
  <w:abstractNum w:abstractNumId="21" w15:restartNumberingAfterBreak="0">
    <w:nsid w:val="07B66E7E"/>
    <w:multiLevelType w:val="hybridMultilevel"/>
    <w:tmpl w:val="27ECE750"/>
    <w:lvl w:ilvl="0" w:tplc="F8905BE2">
      <w:start w:val="1"/>
      <w:numFmt w:val="lowerLetter"/>
      <w:lvlText w:val="(%1)"/>
      <w:lvlJc w:val="left"/>
      <w:pPr>
        <w:ind w:left="2408" w:hanging="567"/>
      </w:pPr>
      <w:rPr>
        <w:rFonts w:ascii="Arial" w:eastAsia="Calibri" w:hAnsi="Arial" w:cs="Arial" w:hint="default"/>
        <w:spacing w:val="-1"/>
        <w:w w:val="100"/>
        <w:sz w:val="20"/>
        <w:szCs w:val="22"/>
        <w:lang w:val="en-US" w:eastAsia="en-US" w:bidi="ar-SA"/>
      </w:rPr>
    </w:lvl>
    <w:lvl w:ilvl="1" w:tplc="8F1A39EE">
      <w:start w:val="1"/>
      <w:numFmt w:val="decimal"/>
      <w:lvlText w:val="(%2)"/>
      <w:lvlJc w:val="left"/>
      <w:pPr>
        <w:ind w:left="2975" w:hanging="567"/>
      </w:pPr>
      <w:rPr>
        <w:rFonts w:ascii="Arial" w:eastAsia="Calibri" w:hAnsi="Arial" w:cs="Arial" w:hint="default"/>
        <w:spacing w:val="-1"/>
        <w:w w:val="100"/>
        <w:sz w:val="20"/>
        <w:szCs w:val="22"/>
        <w:lang w:val="en-US" w:eastAsia="en-US" w:bidi="ar-SA"/>
      </w:rPr>
    </w:lvl>
    <w:lvl w:ilvl="2" w:tplc="F3FCD30E">
      <w:numFmt w:val="bullet"/>
      <w:lvlText w:val="•"/>
      <w:lvlJc w:val="left"/>
      <w:pPr>
        <w:ind w:left="3689" w:hanging="567"/>
      </w:pPr>
      <w:rPr>
        <w:rFonts w:hint="default"/>
        <w:lang w:val="en-US" w:eastAsia="en-US" w:bidi="ar-SA"/>
      </w:rPr>
    </w:lvl>
    <w:lvl w:ilvl="3" w:tplc="6A386752">
      <w:numFmt w:val="bullet"/>
      <w:lvlText w:val="•"/>
      <w:lvlJc w:val="left"/>
      <w:pPr>
        <w:ind w:left="4399" w:hanging="567"/>
      </w:pPr>
      <w:rPr>
        <w:rFonts w:hint="default"/>
        <w:lang w:val="en-US" w:eastAsia="en-US" w:bidi="ar-SA"/>
      </w:rPr>
    </w:lvl>
    <w:lvl w:ilvl="4" w:tplc="0D1C49DA">
      <w:numFmt w:val="bullet"/>
      <w:lvlText w:val="•"/>
      <w:lvlJc w:val="left"/>
      <w:pPr>
        <w:ind w:left="5108" w:hanging="567"/>
      </w:pPr>
      <w:rPr>
        <w:rFonts w:hint="default"/>
        <w:lang w:val="en-US" w:eastAsia="en-US" w:bidi="ar-SA"/>
      </w:rPr>
    </w:lvl>
    <w:lvl w:ilvl="5" w:tplc="9398BC7A">
      <w:numFmt w:val="bullet"/>
      <w:lvlText w:val="•"/>
      <w:lvlJc w:val="left"/>
      <w:pPr>
        <w:ind w:left="5818" w:hanging="567"/>
      </w:pPr>
      <w:rPr>
        <w:rFonts w:hint="default"/>
        <w:lang w:val="en-US" w:eastAsia="en-US" w:bidi="ar-SA"/>
      </w:rPr>
    </w:lvl>
    <w:lvl w:ilvl="6" w:tplc="087A7696">
      <w:numFmt w:val="bullet"/>
      <w:lvlText w:val="•"/>
      <w:lvlJc w:val="left"/>
      <w:pPr>
        <w:ind w:left="6528" w:hanging="567"/>
      </w:pPr>
      <w:rPr>
        <w:rFonts w:hint="default"/>
        <w:lang w:val="en-US" w:eastAsia="en-US" w:bidi="ar-SA"/>
      </w:rPr>
    </w:lvl>
    <w:lvl w:ilvl="7" w:tplc="D50AA242">
      <w:numFmt w:val="bullet"/>
      <w:lvlText w:val="•"/>
      <w:lvlJc w:val="left"/>
      <w:pPr>
        <w:ind w:left="7237" w:hanging="567"/>
      </w:pPr>
      <w:rPr>
        <w:rFonts w:hint="default"/>
        <w:lang w:val="en-US" w:eastAsia="en-US" w:bidi="ar-SA"/>
      </w:rPr>
    </w:lvl>
    <w:lvl w:ilvl="8" w:tplc="4E2C56C6">
      <w:numFmt w:val="bullet"/>
      <w:lvlText w:val="•"/>
      <w:lvlJc w:val="left"/>
      <w:pPr>
        <w:ind w:left="7947" w:hanging="567"/>
      </w:pPr>
      <w:rPr>
        <w:rFonts w:hint="default"/>
        <w:lang w:val="en-US" w:eastAsia="en-US" w:bidi="ar-SA"/>
      </w:rPr>
    </w:lvl>
  </w:abstractNum>
  <w:abstractNum w:abstractNumId="22" w15:restartNumberingAfterBreak="0">
    <w:nsid w:val="07E2076D"/>
    <w:multiLevelType w:val="hybridMultilevel"/>
    <w:tmpl w:val="CFEC19EA"/>
    <w:lvl w:ilvl="0" w:tplc="F500C33A">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647EAA66">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787EFFE2">
      <w:numFmt w:val="bullet"/>
      <w:lvlText w:val="•"/>
      <w:lvlJc w:val="left"/>
      <w:pPr>
        <w:ind w:left="1998" w:hanging="567"/>
      </w:pPr>
      <w:rPr>
        <w:rFonts w:hint="default"/>
        <w:lang w:val="en-US" w:eastAsia="en-US" w:bidi="ar-SA"/>
      </w:rPr>
    </w:lvl>
    <w:lvl w:ilvl="3" w:tplc="1382C7C2">
      <w:numFmt w:val="bullet"/>
      <w:lvlText w:val="•"/>
      <w:lvlJc w:val="left"/>
      <w:pPr>
        <w:ind w:left="2717" w:hanging="567"/>
      </w:pPr>
      <w:rPr>
        <w:rFonts w:hint="default"/>
        <w:lang w:val="en-US" w:eastAsia="en-US" w:bidi="ar-SA"/>
      </w:rPr>
    </w:lvl>
    <w:lvl w:ilvl="4" w:tplc="0978BF0E">
      <w:numFmt w:val="bullet"/>
      <w:lvlText w:val="•"/>
      <w:lvlJc w:val="left"/>
      <w:pPr>
        <w:ind w:left="3436" w:hanging="567"/>
      </w:pPr>
      <w:rPr>
        <w:rFonts w:hint="default"/>
        <w:lang w:val="en-US" w:eastAsia="en-US" w:bidi="ar-SA"/>
      </w:rPr>
    </w:lvl>
    <w:lvl w:ilvl="5" w:tplc="F2AE92B2">
      <w:numFmt w:val="bullet"/>
      <w:lvlText w:val="•"/>
      <w:lvlJc w:val="left"/>
      <w:pPr>
        <w:ind w:left="4155" w:hanging="567"/>
      </w:pPr>
      <w:rPr>
        <w:rFonts w:hint="default"/>
        <w:lang w:val="en-US" w:eastAsia="en-US" w:bidi="ar-SA"/>
      </w:rPr>
    </w:lvl>
    <w:lvl w:ilvl="6" w:tplc="4CB8A09C">
      <w:numFmt w:val="bullet"/>
      <w:lvlText w:val="•"/>
      <w:lvlJc w:val="left"/>
      <w:pPr>
        <w:ind w:left="4874" w:hanging="567"/>
      </w:pPr>
      <w:rPr>
        <w:rFonts w:hint="default"/>
        <w:lang w:val="en-US" w:eastAsia="en-US" w:bidi="ar-SA"/>
      </w:rPr>
    </w:lvl>
    <w:lvl w:ilvl="7" w:tplc="0ADE3CF6">
      <w:numFmt w:val="bullet"/>
      <w:lvlText w:val="•"/>
      <w:lvlJc w:val="left"/>
      <w:pPr>
        <w:ind w:left="5593" w:hanging="567"/>
      </w:pPr>
      <w:rPr>
        <w:rFonts w:hint="default"/>
        <w:lang w:val="en-US" w:eastAsia="en-US" w:bidi="ar-SA"/>
      </w:rPr>
    </w:lvl>
    <w:lvl w:ilvl="8" w:tplc="07B86B3E">
      <w:numFmt w:val="bullet"/>
      <w:lvlText w:val="•"/>
      <w:lvlJc w:val="left"/>
      <w:pPr>
        <w:ind w:left="6312" w:hanging="567"/>
      </w:pPr>
      <w:rPr>
        <w:rFonts w:hint="default"/>
        <w:lang w:val="en-US" w:eastAsia="en-US" w:bidi="ar-SA"/>
      </w:rPr>
    </w:lvl>
  </w:abstractNum>
  <w:abstractNum w:abstractNumId="23" w15:restartNumberingAfterBreak="0">
    <w:nsid w:val="088512BE"/>
    <w:multiLevelType w:val="hybridMultilevel"/>
    <w:tmpl w:val="32C64298"/>
    <w:lvl w:ilvl="0" w:tplc="D2F0DD7E">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202CA622">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24FE6C56">
      <w:start w:val="1"/>
      <w:numFmt w:val="lowerRoman"/>
      <w:lvlText w:val="(%3)"/>
      <w:lvlJc w:val="left"/>
      <w:pPr>
        <w:ind w:left="1842" w:hanging="569"/>
      </w:pPr>
      <w:rPr>
        <w:rFonts w:ascii="Arial" w:eastAsia="Calibri" w:hAnsi="Arial" w:cs="Arial" w:hint="default"/>
        <w:spacing w:val="-1"/>
        <w:w w:val="100"/>
        <w:sz w:val="20"/>
        <w:szCs w:val="22"/>
        <w:lang w:val="en-US" w:eastAsia="en-US" w:bidi="ar-SA"/>
      </w:rPr>
    </w:lvl>
    <w:lvl w:ilvl="3" w:tplc="93047220">
      <w:numFmt w:val="bullet"/>
      <w:lvlText w:val="•"/>
      <w:lvlJc w:val="left"/>
      <w:pPr>
        <w:ind w:left="2780" w:hanging="569"/>
      </w:pPr>
      <w:rPr>
        <w:rFonts w:hint="default"/>
        <w:lang w:val="en-US" w:eastAsia="en-US" w:bidi="ar-SA"/>
      </w:rPr>
    </w:lvl>
    <w:lvl w:ilvl="4" w:tplc="D6364F14">
      <w:numFmt w:val="bullet"/>
      <w:lvlText w:val="•"/>
      <w:lvlJc w:val="left"/>
      <w:pPr>
        <w:ind w:left="3721" w:hanging="569"/>
      </w:pPr>
      <w:rPr>
        <w:rFonts w:hint="default"/>
        <w:lang w:val="en-US" w:eastAsia="en-US" w:bidi="ar-SA"/>
      </w:rPr>
    </w:lvl>
    <w:lvl w:ilvl="5" w:tplc="4AAADE3A">
      <w:numFmt w:val="bullet"/>
      <w:lvlText w:val="•"/>
      <w:lvlJc w:val="left"/>
      <w:pPr>
        <w:ind w:left="4662" w:hanging="569"/>
      </w:pPr>
      <w:rPr>
        <w:rFonts w:hint="default"/>
        <w:lang w:val="en-US" w:eastAsia="en-US" w:bidi="ar-SA"/>
      </w:rPr>
    </w:lvl>
    <w:lvl w:ilvl="6" w:tplc="FA3EAD26">
      <w:numFmt w:val="bullet"/>
      <w:lvlText w:val="•"/>
      <w:lvlJc w:val="left"/>
      <w:pPr>
        <w:ind w:left="5603" w:hanging="569"/>
      </w:pPr>
      <w:rPr>
        <w:rFonts w:hint="default"/>
        <w:lang w:val="en-US" w:eastAsia="en-US" w:bidi="ar-SA"/>
      </w:rPr>
    </w:lvl>
    <w:lvl w:ilvl="7" w:tplc="F712198C">
      <w:numFmt w:val="bullet"/>
      <w:lvlText w:val="•"/>
      <w:lvlJc w:val="left"/>
      <w:pPr>
        <w:ind w:left="6544" w:hanging="569"/>
      </w:pPr>
      <w:rPr>
        <w:rFonts w:hint="default"/>
        <w:lang w:val="en-US" w:eastAsia="en-US" w:bidi="ar-SA"/>
      </w:rPr>
    </w:lvl>
    <w:lvl w:ilvl="8" w:tplc="637E3D12">
      <w:numFmt w:val="bullet"/>
      <w:lvlText w:val="•"/>
      <w:lvlJc w:val="left"/>
      <w:pPr>
        <w:ind w:left="7484" w:hanging="569"/>
      </w:pPr>
      <w:rPr>
        <w:rFonts w:hint="default"/>
        <w:lang w:val="en-US" w:eastAsia="en-US" w:bidi="ar-SA"/>
      </w:rPr>
    </w:lvl>
  </w:abstractNum>
  <w:abstractNum w:abstractNumId="24" w15:restartNumberingAfterBreak="0">
    <w:nsid w:val="088D2C50"/>
    <w:multiLevelType w:val="hybridMultilevel"/>
    <w:tmpl w:val="0E203B8C"/>
    <w:lvl w:ilvl="0" w:tplc="2BC0BF52">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42BC98A2">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B824C04C">
      <w:start w:val="1"/>
      <w:numFmt w:val="lowerRoman"/>
      <w:lvlText w:val="(%3)"/>
      <w:lvlJc w:val="left"/>
      <w:pPr>
        <w:ind w:left="1842" w:hanging="569"/>
      </w:pPr>
      <w:rPr>
        <w:rFonts w:ascii="Arial" w:eastAsia="Calibri" w:hAnsi="Arial" w:cs="Arial" w:hint="default"/>
        <w:spacing w:val="-1"/>
        <w:w w:val="100"/>
        <w:sz w:val="20"/>
        <w:szCs w:val="22"/>
        <w:lang w:val="en-US" w:eastAsia="en-US" w:bidi="ar-SA"/>
      </w:rPr>
    </w:lvl>
    <w:lvl w:ilvl="3" w:tplc="B6C05A04">
      <w:numFmt w:val="bullet"/>
      <w:lvlText w:val="•"/>
      <w:lvlJc w:val="left"/>
      <w:pPr>
        <w:ind w:left="2780" w:hanging="569"/>
      </w:pPr>
      <w:rPr>
        <w:rFonts w:hint="default"/>
        <w:lang w:val="en-US" w:eastAsia="en-US" w:bidi="ar-SA"/>
      </w:rPr>
    </w:lvl>
    <w:lvl w:ilvl="4" w:tplc="B298ED22">
      <w:numFmt w:val="bullet"/>
      <w:lvlText w:val="•"/>
      <w:lvlJc w:val="left"/>
      <w:pPr>
        <w:ind w:left="3721" w:hanging="569"/>
      </w:pPr>
      <w:rPr>
        <w:rFonts w:hint="default"/>
        <w:lang w:val="en-US" w:eastAsia="en-US" w:bidi="ar-SA"/>
      </w:rPr>
    </w:lvl>
    <w:lvl w:ilvl="5" w:tplc="E1CA8E26">
      <w:numFmt w:val="bullet"/>
      <w:lvlText w:val="•"/>
      <w:lvlJc w:val="left"/>
      <w:pPr>
        <w:ind w:left="4662" w:hanging="569"/>
      </w:pPr>
      <w:rPr>
        <w:rFonts w:hint="default"/>
        <w:lang w:val="en-US" w:eastAsia="en-US" w:bidi="ar-SA"/>
      </w:rPr>
    </w:lvl>
    <w:lvl w:ilvl="6" w:tplc="B39C0698">
      <w:numFmt w:val="bullet"/>
      <w:lvlText w:val="•"/>
      <w:lvlJc w:val="left"/>
      <w:pPr>
        <w:ind w:left="5603" w:hanging="569"/>
      </w:pPr>
      <w:rPr>
        <w:rFonts w:hint="default"/>
        <w:lang w:val="en-US" w:eastAsia="en-US" w:bidi="ar-SA"/>
      </w:rPr>
    </w:lvl>
    <w:lvl w:ilvl="7" w:tplc="65DAF192">
      <w:numFmt w:val="bullet"/>
      <w:lvlText w:val="•"/>
      <w:lvlJc w:val="left"/>
      <w:pPr>
        <w:ind w:left="6544" w:hanging="569"/>
      </w:pPr>
      <w:rPr>
        <w:rFonts w:hint="default"/>
        <w:lang w:val="en-US" w:eastAsia="en-US" w:bidi="ar-SA"/>
      </w:rPr>
    </w:lvl>
    <w:lvl w:ilvl="8" w:tplc="F5A8E8EC">
      <w:numFmt w:val="bullet"/>
      <w:lvlText w:val="•"/>
      <w:lvlJc w:val="left"/>
      <w:pPr>
        <w:ind w:left="7484" w:hanging="569"/>
      </w:pPr>
      <w:rPr>
        <w:rFonts w:hint="default"/>
        <w:lang w:val="en-US" w:eastAsia="en-US" w:bidi="ar-SA"/>
      </w:rPr>
    </w:lvl>
  </w:abstractNum>
  <w:abstractNum w:abstractNumId="25" w15:restartNumberingAfterBreak="0">
    <w:nsid w:val="08A4259B"/>
    <w:multiLevelType w:val="hybridMultilevel"/>
    <w:tmpl w:val="4000C158"/>
    <w:lvl w:ilvl="0" w:tplc="431E2F7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D5C81B18">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00668508">
      <w:numFmt w:val="bullet"/>
      <w:lvlText w:val="•"/>
      <w:lvlJc w:val="left"/>
      <w:pPr>
        <w:ind w:left="2178" w:hanging="567"/>
      </w:pPr>
      <w:rPr>
        <w:rFonts w:hint="default"/>
        <w:lang w:val="en-US" w:eastAsia="en-US" w:bidi="ar-SA"/>
      </w:rPr>
    </w:lvl>
    <w:lvl w:ilvl="3" w:tplc="EED8689A">
      <w:numFmt w:val="bullet"/>
      <w:lvlText w:val="•"/>
      <w:lvlJc w:val="left"/>
      <w:pPr>
        <w:ind w:left="3076" w:hanging="567"/>
      </w:pPr>
      <w:rPr>
        <w:rFonts w:hint="default"/>
        <w:lang w:val="en-US" w:eastAsia="en-US" w:bidi="ar-SA"/>
      </w:rPr>
    </w:lvl>
    <w:lvl w:ilvl="4" w:tplc="607ABFC8">
      <w:numFmt w:val="bullet"/>
      <w:lvlText w:val="•"/>
      <w:lvlJc w:val="left"/>
      <w:pPr>
        <w:ind w:left="3975" w:hanging="567"/>
      </w:pPr>
      <w:rPr>
        <w:rFonts w:hint="default"/>
        <w:lang w:val="en-US" w:eastAsia="en-US" w:bidi="ar-SA"/>
      </w:rPr>
    </w:lvl>
    <w:lvl w:ilvl="5" w:tplc="EA685EDE">
      <w:numFmt w:val="bullet"/>
      <w:lvlText w:val="•"/>
      <w:lvlJc w:val="left"/>
      <w:pPr>
        <w:ind w:left="4873" w:hanging="567"/>
      </w:pPr>
      <w:rPr>
        <w:rFonts w:hint="default"/>
        <w:lang w:val="en-US" w:eastAsia="en-US" w:bidi="ar-SA"/>
      </w:rPr>
    </w:lvl>
    <w:lvl w:ilvl="6" w:tplc="FF4A7D24">
      <w:numFmt w:val="bullet"/>
      <w:lvlText w:val="•"/>
      <w:lvlJc w:val="left"/>
      <w:pPr>
        <w:ind w:left="5772" w:hanging="567"/>
      </w:pPr>
      <w:rPr>
        <w:rFonts w:hint="default"/>
        <w:lang w:val="en-US" w:eastAsia="en-US" w:bidi="ar-SA"/>
      </w:rPr>
    </w:lvl>
    <w:lvl w:ilvl="7" w:tplc="377010F4">
      <w:numFmt w:val="bullet"/>
      <w:lvlText w:val="•"/>
      <w:lvlJc w:val="left"/>
      <w:pPr>
        <w:ind w:left="6670" w:hanging="567"/>
      </w:pPr>
      <w:rPr>
        <w:rFonts w:hint="default"/>
        <w:lang w:val="en-US" w:eastAsia="en-US" w:bidi="ar-SA"/>
      </w:rPr>
    </w:lvl>
    <w:lvl w:ilvl="8" w:tplc="D6E815D8">
      <w:numFmt w:val="bullet"/>
      <w:lvlText w:val="•"/>
      <w:lvlJc w:val="left"/>
      <w:pPr>
        <w:ind w:left="7569" w:hanging="567"/>
      </w:pPr>
      <w:rPr>
        <w:rFonts w:hint="default"/>
        <w:lang w:val="en-US" w:eastAsia="en-US" w:bidi="ar-SA"/>
      </w:rPr>
    </w:lvl>
  </w:abstractNum>
  <w:abstractNum w:abstractNumId="26" w15:restartNumberingAfterBreak="0">
    <w:nsid w:val="08C81318"/>
    <w:multiLevelType w:val="hybridMultilevel"/>
    <w:tmpl w:val="2934FDDE"/>
    <w:lvl w:ilvl="0" w:tplc="03E0FE00">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D320192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7542FA7C">
      <w:start w:val="1"/>
      <w:numFmt w:val="lowerRoman"/>
      <w:lvlText w:val="(%3)"/>
      <w:lvlJc w:val="left"/>
      <w:pPr>
        <w:ind w:left="1842" w:hanging="569"/>
      </w:pPr>
      <w:rPr>
        <w:rFonts w:ascii="Calibri" w:eastAsia="Calibri" w:hAnsi="Calibri" w:cs="Calibri" w:hint="default"/>
        <w:spacing w:val="-1"/>
        <w:w w:val="100"/>
        <w:sz w:val="22"/>
        <w:szCs w:val="22"/>
        <w:lang w:val="en-US" w:eastAsia="en-US" w:bidi="ar-SA"/>
      </w:rPr>
    </w:lvl>
    <w:lvl w:ilvl="3" w:tplc="EFC889DC">
      <w:numFmt w:val="bullet"/>
      <w:lvlText w:val="•"/>
      <w:lvlJc w:val="left"/>
      <w:pPr>
        <w:ind w:left="2016" w:hanging="569"/>
      </w:pPr>
      <w:rPr>
        <w:rFonts w:hint="default"/>
        <w:lang w:val="en-US" w:eastAsia="en-US" w:bidi="ar-SA"/>
      </w:rPr>
    </w:lvl>
    <w:lvl w:ilvl="4" w:tplc="28A6B8AC">
      <w:numFmt w:val="bullet"/>
      <w:lvlText w:val="•"/>
      <w:lvlJc w:val="left"/>
      <w:pPr>
        <w:ind w:left="2192" w:hanging="569"/>
      </w:pPr>
      <w:rPr>
        <w:rFonts w:hint="default"/>
        <w:lang w:val="en-US" w:eastAsia="en-US" w:bidi="ar-SA"/>
      </w:rPr>
    </w:lvl>
    <w:lvl w:ilvl="5" w:tplc="113433FA">
      <w:numFmt w:val="bullet"/>
      <w:lvlText w:val="•"/>
      <w:lvlJc w:val="left"/>
      <w:pPr>
        <w:ind w:left="2368" w:hanging="569"/>
      </w:pPr>
      <w:rPr>
        <w:rFonts w:hint="default"/>
        <w:lang w:val="en-US" w:eastAsia="en-US" w:bidi="ar-SA"/>
      </w:rPr>
    </w:lvl>
    <w:lvl w:ilvl="6" w:tplc="459CCC66">
      <w:numFmt w:val="bullet"/>
      <w:lvlText w:val="•"/>
      <w:lvlJc w:val="left"/>
      <w:pPr>
        <w:ind w:left="2544" w:hanging="569"/>
      </w:pPr>
      <w:rPr>
        <w:rFonts w:hint="default"/>
        <w:lang w:val="en-US" w:eastAsia="en-US" w:bidi="ar-SA"/>
      </w:rPr>
    </w:lvl>
    <w:lvl w:ilvl="7" w:tplc="18A00AB2">
      <w:numFmt w:val="bullet"/>
      <w:lvlText w:val="•"/>
      <w:lvlJc w:val="left"/>
      <w:pPr>
        <w:ind w:left="2720" w:hanging="569"/>
      </w:pPr>
      <w:rPr>
        <w:rFonts w:hint="default"/>
        <w:lang w:val="en-US" w:eastAsia="en-US" w:bidi="ar-SA"/>
      </w:rPr>
    </w:lvl>
    <w:lvl w:ilvl="8" w:tplc="B2FE5872">
      <w:numFmt w:val="bullet"/>
      <w:lvlText w:val="•"/>
      <w:lvlJc w:val="left"/>
      <w:pPr>
        <w:ind w:left="2896" w:hanging="569"/>
      </w:pPr>
      <w:rPr>
        <w:rFonts w:hint="default"/>
        <w:lang w:val="en-US" w:eastAsia="en-US" w:bidi="ar-SA"/>
      </w:rPr>
    </w:lvl>
  </w:abstractNum>
  <w:abstractNum w:abstractNumId="27" w15:restartNumberingAfterBreak="0">
    <w:nsid w:val="08D7439F"/>
    <w:multiLevelType w:val="hybridMultilevel"/>
    <w:tmpl w:val="242CF91E"/>
    <w:lvl w:ilvl="0" w:tplc="B3E013AE">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67303A4A">
      <w:numFmt w:val="bullet"/>
      <w:lvlText w:val="•"/>
      <w:lvlJc w:val="left"/>
      <w:pPr>
        <w:ind w:left="1566" w:hanging="567"/>
      </w:pPr>
      <w:rPr>
        <w:rFonts w:hint="default"/>
        <w:lang w:val="en-US" w:eastAsia="en-US" w:bidi="ar-SA"/>
      </w:rPr>
    </w:lvl>
    <w:lvl w:ilvl="2" w:tplc="AC40ABB0">
      <w:numFmt w:val="bullet"/>
      <w:lvlText w:val="•"/>
      <w:lvlJc w:val="left"/>
      <w:pPr>
        <w:ind w:left="2433" w:hanging="567"/>
      </w:pPr>
      <w:rPr>
        <w:rFonts w:hint="default"/>
        <w:lang w:val="en-US" w:eastAsia="en-US" w:bidi="ar-SA"/>
      </w:rPr>
    </w:lvl>
    <w:lvl w:ilvl="3" w:tplc="06228118">
      <w:numFmt w:val="bullet"/>
      <w:lvlText w:val="•"/>
      <w:lvlJc w:val="left"/>
      <w:pPr>
        <w:ind w:left="3299" w:hanging="567"/>
      </w:pPr>
      <w:rPr>
        <w:rFonts w:hint="default"/>
        <w:lang w:val="en-US" w:eastAsia="en-US" w:bidi="ar-SA"/>
      </w:rPr>
    </w:lvl>
    <w:lvl w:ilvl="4" w:tplc="061E06B4">
      <w:numFmt w:val="bullet"/>
      <w:lvlText w:val="•"/>
      <w:lvlJc w:val="left"/>
      <w:pPr>
        <w:ind w:left="4166" w:hanging="567"/>
      </w:pPr>
      <w:rPr>
        <w:rFonts w:hint="default"/>
        <w:lang w:val="en-US" w:eastAsia="en-US" w:bidi="ar-SA"/>
      </w:rPr>
    </w:lvl>
    <w:lvl w:ilvl="5" w:tplc="64D4A746">
      <w:numFmt w:val="bullet"/>
      <w:lvlText w:val="•"/>
      <w:lvlJc w:val="left"/>
      <w:pPr>
        <w:ind w:left="5033" w:hanging="567"/>
      </w:pPr>
      <w:rPr>
        <w:rFonts w:hint="default"/>
        <w:lang w:val="en-US" w:eastAsia="en-US" w:bidi="ar-SA"/>
      </w:rPr>
    </w:lvl>
    <w:lvl w:ilvl="6" w:tplc="B5980E04">
      <w:numFmt w:val="bullet"/>
      <w:lvlText w:val="•"/>
      <w:lvlJc w:val="left"/>
      <w:pPr>
        <w:ind w:left="5899" w:hanging="567"/>
      </w:pPr>
      <w:rPr>
        <w:rFonts w:hint="default"/>
        <w:lang w:val="en-US" w:eastAsia="en-US" w:bidi="ar-SA"/>
      </w:rPr>
    </w:lvl>
    <w:lvl w:ilvl="7" w:tplc="F9EC8786">
      <w:numFmt w:val="bullet"/>
      <w:lvlText w:val="•"/>
      <w:lvlJc w:val="left"/>
      <w:pPr>
        <w:ind w:left="6766" w:hanging="567"/>
      </w:pPr>
      <w:rPr>
        <w:rFonts w:hint="default"/>
        <w:lang w:val="en-US" w:eastAsia="en-US" w:bidi="ar-SA"/>
      </w:rPr>
    </w:lvl>
    <w:lvl w:ilvl="8" w:tplc="8348E208">
      <w:numFmt w:val="bullet"/>
      <w:lvlText w:val="•"/>
      <w:lvlJc w:val="left"/>
      <w:pPr>
        <w:ind w:left="7633" w:hanging="567"/>
      </w:pPr>
      <w:rPr>
        <w:rFonts w:hint="default"/>
        <w:lang w:val="en-US" w:eastAsia="en-US" w:bidi="ar-SA"/>
      </w:rPr>
    </w:lvl>
  </w:abstractNum>
  <w:abstractNum w:abstractNumId="28" w15:restartNumberingAfterBreak="0">
    <w:nsid w:val="08E55F2B"/>
    <w:multiLevelType w:val="hybridMultilevel"/>
    <w:tmpl w:val="DFBCE700"/>
    <w:lvl w:ilvl="0" w:tplc="68B458C8">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CACE6D4">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79F401EA">
      <w:numFmt w:val="bullet"/>
      <w:lvlText w:val="•"/>
      <w:lvlJc w:val="left"/>
      <w:pPr>
        <w:ind w:left="2178" w:hanging="567"/>
      </w:pPr>
      <w:rPr>
        <w:rFonts w:hint="default"/>
        <w:lang w:val="en-US" w:eastAsia="en-US" w:bidi="ar-SA"/>
      </w:rPr>
    </w:lvl>
    <w:lvl w:ilvl="3" w:tplc="D4147DEE">
      <w:numFmt w:val="bullet"/>
      <w:lvlText w:val="•"/>
      <w:lvlJc w:val="left"/>
      <w:pPr>
        <w:ind w:left="3076" w:hanging="567"/>
      </w:pPr>
      <w:rPr>
        <w:rFonts w:hint="default"/>
        <w:lang w:val="en-US" w:eastAsia="en-US" w:bidi="ar-SA"/>
      </w:rPr>
    </w:lvl>
    <w:lvl w:ilvl="4" w:tplc="AFEA2860">
      <w:numFmt w:val="bullet"/>
      <w:lvlText w:val="•"/>
      <w:lvlJc w:val="left"/>
      <w:pPr>
        <w:ind w:left="3975" w:hanging="567"/>
      </w:pPr>
      <w:rPr>
        <w:rFonts w:hint="default"/>
        <w:lang w:val="en-US" w:eastAsia="en-US" w:bidi="ar-SA"/>
      </w:rPr>
    </w:lvl>
    <w:lvl w:ilvl="5" w:tplc="74683052">
      <w:numFmt w:val="bullet"/>
      <w:lvlText w:val="•"/>
      <w:lvlJc w:val="left"/>
      <w:pPr>
        <w:ind w:left="4873" w:hanging="567"/>
      </w:pPr>
      <w:rPr>
        <w:rFonts w:hint="default"/>
        <w:lang w:val="en-US" w:eastAsia="en-US" w:bidi="ar-SA"/>
      </w:rPr>
    </w:lvl>
    <w:lvl w:ilvl="6" w:tplc="16F63F76">
      <w:numFmt w:val="bullet"/>
      <w:lvlText w:val="•"/>
      <w:lvlJc w:val="left"/>
      <w:pPr>
        <w:ind w:left="5772" w:hanging="567"/>
      </w:pPr>
      <w:rPr>
        <w:rFonts w:hint="default"/>
        <w:lang w:val="en-US" w:eastAsia="en-US" w:bidi="ar-SA"/>
      </w:rPr>
    </w:lvl>
    <w:lvl w:ilvl="7" w:tplc="0B24D6F6">
      <w:numFmt w:val="bullet"/>
      <w:lvlText w:val="•"/>
      <w:lvlJc w:val="left"/>
      <w:pPr>
        <w:ind w:left="6670" w:hanging="567"/>
      </w:pPr>
      <w:rPr>
        <w:rFonts w:hint="default"/>
        <w:lang w:val="en-US" w:eastAsia="en-US" w:bidi="ar-SA"/>
      </w:rPr>
    </w:lvl>
    <w:lvl w:ilvl="8" w:tplc="15941524">
      <w:numFmt w:val="bullet"/>
      <w:lvlText w:val="•"/>
      <w:lvlJc w:val="left"/>
      <w:pPr>
        <w:ind w:left="7569" w:hanging="567"/>
      </w:pPr>
      <w:rPr>
        <w:rFonts w:hint="default"/>
        <w:lang w:val="en-US" w:eastAsia="en-US" w:bidi="ar-SA"/>
      </w:rPr>
    </w:lvl>
  </w:abstractNum>
  <w:abstractNum w:abstractNumId="29" w15:restartNumberingAfterBreak="0">
    <w:nsid w:val="091F25B5"/>
    <w:multiLevelType w:val="hybridMultilevel"/>
    <w:tmpl w:val="0E88BA10"/>
    <w:lvl w:ilvl="0" w:tplc="972E5B1A">
      <w:start w:val="1"/>
      <w:numFmt w:val="lowerRoman"/>
      <w:lvlText w:val="(%1)"/>
      <w:lvlJc w:val="left"/>
      <w:pPr>
        <w:ind w:left="1842" w:hanging="569"/>
      </w:pPr>
      <w:rPr>
        <w:rFonts w:ascii="Arial" w:eastAsia="Calibri" w:hAnsi="Arial" w:cs="Arial" w:hint="default"/>
        <w:spacing w:val="-1"/>
        <w:w w:val="100"/>
        <w:sz w:val="20"/>
        <w:szCs w:val="22"/>
        <w:lang w:val="en-US" w:eastAsia="en-US" w:bidi="ar-SA"/>
      </w:rPr>
    </w:lvl>
    <w:lvl w:ilvl="1" w:tplc="84C639C8">
      <w:numFmt w:val="bullet"/>
      <w:lvlText w:val="•"/>
      <w:lvlJc w:val="left"/>
      <w:pPr>
        <w:ind w:left="2592" w:hanging="569"/>
      </w:pPr>
      <w:rPr>
        <w:rFonts w:hint="default"/>
        <w:lang w:val="en-US" w:eastAsia="en-US" w:bidi="ar-SA"/>
      </w:rPr>
    </w:lvl>
    <w:lvl w:ilvl="2" w:tplc="14068816">
      <w:numFmt w:val="bullet"/>
      <w:lvlText w:val="•"/>
      <w:lvlJc w:val="left"/>
      <w:pPr>
        <w:ind w:left="3345" w:hanging="569"/>
      </w:pPr>
      <w:rPr>
        <w:rFonts w:hint="default"/>
        <w:lang w:val="en-US" w:eastAsia="en-US" w:bidi="ar-SA"/>
      </w:rPr>
    </w:lvl>
    <w:lvl w:ilvl="3" w:tplc="1B725862">
      <w:numFmt w:val="bullet"/>
      <w:lvlText w:val="•"/>
      <w:lvlJc w:val="left"/>
      <w:pPr>
        <w:ind w:left="4097" w:hanging="569"/>
      </w:pPr>
      <w:rPr>
        <w:rFonts w:hint="default"/>
        <w:lang w:val="en-US" w:eastAsia="en-US" w:bidi="ar-SA"/>
      </w:rPr>
    </w:lvl>
    <w:lvl w:ilvl="4" w:tplc="292AA088">
      <w:numFmt w:val="bullet"/>
      <w:lvlText w:val="•"/>
      <w:lvlJc w:val="left"/>
      <w:pPr>
        <w:ind w:left="4850" w:hanging="569"/>
      </w:pPr>
      <w:rPr>
        <w:rFonts w:hint="default"/>
        <w:lang w:val="en-US" w:eastAsia="en-US" w:bidi="ar-SA"/>
      </w:rPr>
    </w:lvl>
    <w:lvl w:ilvl="5" w:tplc="2DAEEAAE">
      <w:numFmt w:val="bullet"/>
      <w:lvlText w:val="•"/>
      <w:lvlJc w:val="left"/>
      <w:pPr>
        <w:ind w:left="5603" w:hanging="569"/>
      </w:pPr>
      <w:rPr>
        <w:rFonts w:hint="default"/>
        <w:lang w:val="en-US" w:eastAsia="en-US" w:bidi="ar-SA"/>
      </w:rPr>
    </w:lvl>
    <w:lvl w:ilvl="6" w:tplc="948C6D76">
      <w:numFmt w:val="bullet"/>
      <w:lvlText w:val="•"/>
      <w:lvlJc w:val="left"/>
      <w:pPr>
        <w:ind w:left="6355" w:hanging="569"/>
      </w:pPr>
      <w:rPr>
        <w:rFonts w:hint="default"/>
        <w:lang w:val="en-US" w:eastAsia="en-US" w:bidi="ar-SA"/>
      </w:rPr>
    </w:lvl>
    <w:lvl w:ilvl="7" w:tplc="A7FA9E32">
      <w:numFmt w:val="bullet"/>
      <w:lvlText w:val="•"/>
      <w:lvlJc w:val="left"/>
      <w:pPr>
        <w:ind w:left="7108" w:hanging="569"/>
      </w:pPr>
      <w:rPr>
        <w:rFonts w:hint="default"/>
        <w:lang w:val="en-US" w:eastAsia="en-US" w:bidi="ar-SA"/>
      </w:rPr>
    </w:lvl>
    <w:lvl w:ilvl="8" w:tplc="6574B050">
      <w:numFmt w:val="bullet"/>
      <w:lvlText w:val="•"/>
      <w:lvlJc w:val="left"/>
      <w:pPr>
        <w:ind w:left="7861" w:hanging="569"/>
      </w:pPr>
      <w:rPr>
        <w:rFonts w:hint="default"/>
        <w:lang w:val="en-US" w:eastAsia="en-US" w:bidi="ar-SA"/>
      </w:rPr>
    </w:lvl>
  </w:abstractNum>
  <w:abstractNum w:abstractNumId="30" w15:restartNumberingAfterBreak="0">
    <w:nsid w:val="09A956C9"/>
    <w:multiLevelType w:val="hybridMultilevel"/>
    <w:tmpl w:val="EA28855C"/>
    <w:lvl w:ilvl="0" w:tplc="45484170">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27028A4">
      <w:numFmt w:val="bullet"/>
      <w:lvlText w:val="—"/>
      <w:lvlJc w:val="left"/>
      <w:pPr>
        <w:ind w:left="1273" w:hanging="567"/>
      </w:pPr>
      <w:rPr>
        <w:rFonts w:ascii="Arial" w:eastAsia="Calibri" w:hAnsi="Arial" w:cs="Arial" w:hint="default"/>
        <w:w w:val="100"/>
        <w:sz w:val="20"/>
        <w:szCs w:val="22"/>
        <w:lang w:val="en-US" w:eastAsia="en-US" w:bidi="ar-SA"/>
      </w:rPr>
    </w:lvl>
    <w:lvl w:ilvl="2" w:tplc="00E0D77E">
      <w:numFmt w:val="bullet"/>
      <w:lvlText w:val="•"/>
      <w:lvlJc w:val="left"/>
      <w:pPr>
        <w:ind w:left="2178" w:hanging="567"/>
      </w:pPr>
      <w:rPr>
        <w:rFonts w:hint="default"/>
        <w:lang w:val="en-US" w:eastAsia="en-US" w:bidi="ar-SA"/>
      </w:rPr>
    </w:lvl>
    <w:lvl w:ilvl="3" w:tplc="9CDC485C">
      <w:numFmt w:val="bullet"/>
      <w:lvlText w:val="•"/>
      <w:lvlJc w:val="left"/>
      <w:pPr>
        <w:ind w:left="3076" w:hanging="567"/>
      </w:pPr>
      <w:rPr>
        <w:rFonts w:hint="default"/>
        <w:lang w:val="en-US" w:eastAsia="en-US" w:bidi="ar-SA"/>
      </w:rPr>
    </w:lvl>
    <w:lvl w:ilvl="4" w:tplc="49EC476A">
      <w:numFmt w:val="bullet"/>
      <w:lvlText w:val="•"/>
      <w:lvlJc w:val="left"/>
      <w:pPr>
        <w:ind w:left="3975" w:hanging="567"/>
      </w:pPr>
      <w:rPr>
        <w:rFonts w:hint="default"/>
        <w:lang w:val="en-US" w:eastAsia="en-US" w:bidi="ar-SA"/>
      </w:rPr>
    </w:lvl>
    <w:lvl w:ilvl="5" w:tplc="1424233A">
      <w:numFmt w:val="bullet"/>
      <w:lvlText w:val="•"/>
      <w:lvlJc w:val="left"/>
      <w:pPr>
        <w:ind w:left="4873" w:hanging="567"/>
      </w:pPr>
      <w:rPr>
        <w:rFonts w:hint="default"/>
        <w:lang w:val="en-US" w:eastAsia="en-US" w:bidi="ar-SA"/>
      </w:rPr>
    </w:lvl>
    <w:lvl w:ilvl="6" w:tplc="CA36325C">
      <w:numFmt w:val="bullet"/>
      <w:lvlText w:val="•"/>
      <w:lvlJc w:val="left"/>
      <w:pPr>
        <w:ind w:left="5772" w:hanging="567"/>
      </w:pPr>
      <w:rPr>
        <w:rFonts w:hint="default"/>
        <w:lang w:val="en-US" w:eastAsia="en-US" w:bidi="ar-SA"/>
      </w:rPr>
    </w:lvl>
    <w:lvl w:ilvl="7" w:tplc="4566E7C4">
      <w:numFmt w:val="bullet"/>
      <w:lvlText w:val="•"/>
      <w:lvlJc w:val="left"/>
      <w:pPr>
        <w:ind w:left="6670" w:hanging="567"/>
      </w:pPr>
      <w:rPr>
        <w:rFonts w:hint="default"/>
        <w:lang w:val="en-US" w:eastAsia="en-US" w:bidi="ar-SA"/>
      </w:rPr>
    </w:lvl>
    <w:lvl w:ilvl="8" w:tplc="D9BA4D9C">
      <w:numFmt w:val="bullet"/>
      <w:lvlText w:val="•"/>
      <w:lvlJc w:val="left"/>
      <w:pPr>
        <w:ind w:left="7569" w:hanging="567"/>
      </w:pPr>
      <w:rPr>
        <w:rFonts w:hint="default"/>
        <w:lang w:val="en-US" w:eastAsia="en-US" w:bidi="ar-SA"/>
      </w:rPr>
    </w:lvl>
  </w:abstractNum>
  <w:abstractNum w:abstractNumId="31" w15:restartNumberingAfterBreak="0">
    <w:nsid w:val="0A1150FB"/>
    <w:multiLevelType w:val="hybridMultilevel"/>
    <w:tmpl w:val="7A6033B6"/>
    <w:lvl w:ilvl="0" w:tplc="3F2E25BE">
      <w:start w:val="1"/>
      <w:numFmt w:val="decimal"/>
      <w:lvlText w:val="(%1)"/>
      <w:lvlJc w:val="left"/>
      <w:pPr>
        <w:ind w:left="1273" w:hanging="567"/>
      </w:pPr>
      <w:rPr>
        <w:rFonts w:ascii="Arial" w:eastAsia="Calibri" w:hAnsi="Arial" w:cs="Arial" w:hint="default"/>
        <w:spacing w:val="-1"/>
        <w:w w:val="100"/>
        <w:sz w:val="20"/>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A260F14"/>
    <w:multiLevelType w:val="hybridMultilevel"/>
    <w:tmpl w:val="04FA2D36"/>
    <w:lvl w:ilvl="0" w:tplc="112AF6C8">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F8243C8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B198C0B0">
      <w:numFmt w:val="bullet"/>
      <w:lvlText w:val="•"/>
      <w:lvlJc w:val="left"/>
      <w:pPr>
        <w:ind w:left="2178" w:hanging="567"/>
      </w:pPr>
      <w:rPr>
        <w:rFonts w:hint="default"/>
        <w:lang w:val="en-US" w:eastAsia="en-US" w:bidi="ar-SA"/>
      </w:rPr>
    </w:lvl>
    <w:lvl w:ilvl="3" w:tplc="CA6C0F6C">
      <w:numFmt w:val="bullet"/>
      <w:lvlText w:val="•"/>
      <w:lvlJc w:val="left"/>
      <w:pPr>
        <w:ind w:left="3076" w:hanging="567"/>
      </w:pPr>
      <w:rPr>
        <w:rFonts w:hint="default"/>
        <w:lang w:val="en-US" w:eastAsia="en-US" w:bidi="ar-SA"/>
      </w:rPr>
    </w:lvl>
    <w:lvl w:ilvl="4" w:tplc="224AC8C4">
      <w:numFmt w:val="bullet"/>
      <w:lvlText w:val="•"/>
      <w:lvlJc w:val="left"/>
      <w:pPr>
        <w:ind w:left="3975" w:hanging="567"/>
      </w:pPr>
      <w:rPr>
        <w:rFonts w:hint="default"/>
        <w:lang w:val="en-US" w:eastAsia="en-US" w:bidi="ar-SA"/>
      </w:rPr>
    </w:lvl>
    <w:lvl w:ilvl="5" w:tplc="AD04ED4A">
      <w:numFmt w:val="bullet"/>
      <w:lvlText w:val="•"/>
      <w:lvlJc w:val="left"/>
      <w:pPr>
        <w:ind w:left="4873" w:hanging="567"/>
      </w:pPr>
      <w:rPr>
        <w:rFonts w:hint="default"/>
        <w:lang w:val="en-US" w:eastAsia="en-US" w:bidi="ar-SA"/>
      </w:rPr>
    </w:lvl>
    <w:lvl w:ilvl="6" w:tplc="E73690DC">
      <w:numFmt w:val="bullet"/>
      <w:lvlText w:val="•"/>
      <w:lvlJc w:val="left"/>
      <w:pPr>
        <w:ind w:left="5772" w:hanging="567"/>
      </w:pPr>
      <w:rPr>
        <w:rFonts w:hint="default"/>
        <w:lang w:val="en-US" w:eastAsia="en-US" w:bidi="ar-SA"/>
      </w:rPr>
    </w:lvl>
    <w:lvl w:ilvl="7" w:tplc="E3049FB4">
      <w:numFmt w:val="bullet"/>
      <w:lvlText w:val="•"/>
      <w:lvlJc w:val="left"/>
      <w:pPr>
        <w:ind w:left="6670" w:hanging="567"/>
      </w:pPr>
      <w:rPr>
        <w:rFonts w:hint="default"/>
        <w:lang w:val="en-US" w:eastAsia="en-US" w:bidi="ar-SA"/>
      </w:rPr>
    </w:lvl>
    <w:lvl w:ilvl="8" w:tplc="25940EEA">
      <w:numFmt w:val="bullet"/>
      <w:lvlText w:val="•"/>
      <w:lvlJc w:val="left"/>
      <w:pPr>
        <w:ind w:left="7569" w:hanging="567"/>
      </w:pPr>
      <w:rPr>
        <w:rFonts w:hint="default"/>
        <w:lang w:val="en-US" w:eastAsia="en-US" w:bidi="ar-SA"/>
      </w:rPr>
    </w:lvl>
  </w:abstractNum>
  <w:abstractNum w:abstractNumId="33" w15:restartNumberingAfterBreak="0">
    <w:nsid w:val="0A424170"/>
    <w:multiLevelType w:val="hybridMultilevel"/>
    <w:tmpl w:val="89C24CAA"/>
    <w:lvl w:ilvl="0" w:tplc="85906A3E">
      <w:start w:val="1"/>
      <w:numFmt w:val="lowerLetter"/>
      <w:lvlText w:val="(%1)"/>
      <w:lvlJc w:val="left"/>
      <w:pPr>
        <w:ind w:left="706" w:hanging="567"/>
      </w:pPr>
      <w:rPr>
        <w:rFonts w:ascii="Arial" w:eastAsia="Calibri" w:hAnsi="Arial" w:cs="Arial" w:hint="default"/>
        <w:b w:val="0"/>
        <w:spacing w:val="-1"/>
        <w:w w:val="100"/>
        <w:sz w:val="20"/>
        <w:szCs w:val="22"/>
        <w:lang w:val="en-US" w:eastAsia="en-US" w:bidi="ar-SA"/>
      </w:rPr>
    </w:lvl>
    <w:lvl w:ilvl="1" w:tplc="6988035E">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90629AE8">
      <w:numFmt w:val="bullet"/>
      <w:lvlText w:val="•"/>
      <w:lvlJc w:val="left"/>
      <w:pPr>
        <w:ind w:left="2178" w:hanging="567"/>
      </w:pPr>
      <w:rPr>
        <w:rFonts w:hint="default"/>
        <w:lang w:val="en-US" w:eastAsia="en-US" w:bidi="ar-SA"/>
      </w:rPr>
    </w:lvl>
    <w:lvl w:ilvl="3" w:tplc="4F2E21F8">
      <w:numFmt w:val="bullet"/>
      <w:lvlText w:val="•"/>
      <w:lvlJc w:val="left"/>
      <w:pPr>
        <w:ind w:left="3076" w:hanging="567"/>
      </w:pPr>
      <w:rPr>
        <w:rFonts w:hint="default"/>
        <w:lang w:val="en-US" w:eastAsia="en-US" w:bidi="ar-SA"/>
      </w:rPr>
    </w:lvl>
    <w:lvl w:ilvl="4" w:tplc="8FAAF3DC">
      <w:numFmt w:val="bullet"/>
      <w:lvlText w:val="•"/>
      <w:lvlJc w:val="left"/>
      <w:pPr>
        <w:ind w:left="3975" w:hanging="567"/>
      </w:pPr>
      <w:rPr>
        <w:rFonts w:hint="default"/>
        <w:lang w:val="en-US" w:eastAsia="en-US" w:bidi="ar-SA"/>
      </w:rPr>
    </w:lvl>
    <w:lvl w:ilvl="5" w:tplc="E702EEA4">
      <w:numFmt w:val="bullet"/>
      <w:lvlText w:val="•"/>
      <w:lvlJc w:val="left"/>
      <w:pPr>
        <w:ind w:left="4873" w:hanging="567"/>
      </w:pPr>
      <w:rPr>
        <w:rFonts w:hint="default"/>
        <w:lang w:val="en-US" w:eastAsia="en-US" w:bidi="ar-SA"/>
      </w:rPr>
    </w:lvl>
    <w:lvl w:ilvl="6" w:tplc="CB2C1470">
      <w:numFmt w:val="bullet"/>
      <w:lvlText w:val="•"/>
      <w:lvlJc w:val="left"/>
      <w:pPr>
        <w:ind w:left="5772" w:hanging="567"/>
      </w:pPr>
      <w:rPr>
        <w:rFonts w:hint="default"/>
        <w:lang w:val="en-US" w:eastAsia="en-US" w:bidi="ar-SA"/>
      </w:rPr>
    </w:lvl>
    <w:lvl w:ilvl="7" w:tplc="8984F524">
      <w:numFmt w:val="bullet"/>
      <w:lvlText w:val="•"/>
      <w:lvlJc w:val="left"/>
      <w:pPr>
        <w:ind w:left="6670" w:hanging="567"/>
      </w:pPr>
      <w:rPr>
        <w:rFonts w:hint="default"/>
        <w:lang w:val="en-US" w:eastAsia="en-US" w:bidi="ar-SA"/>
      </w:rPr>
    </w:lvl>
    <w:lvl w:ilvl="8" w:tplc="F65A8234">
      <w:numFmt w:val="bullet"/>
      <w:lvlText w:val="•"/>
      <w:lvlJc w:val="left"/>
      <w:pPr>
        <w:ind w:left="7569" w:hanging="567"/>
      </w:pPr>
      <w:rPr>
        <w:rFonts w:hint="default"/>
        <w:lang w:val="en-US" w:eastAsia="en-US" w:bidi="ar-SA"/>
      </w:rPr>
    </w:lvl>
  </w:abstractNum>
  <w:abstractNum w:abstractNumId="34" w15:restartNumberingAfterBreak="0">
    <w:nsid w:val="0A4F195E"/>
    <w:multiLevelType w:val="hybridMultilevel"/>
    <w:tmpl w:val="D89A4E74"/>
    <w:lvl w:ilvl="0" w:tplc="35F8DD8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1ED2D0EE">
      <w:numFmt w:val="bullet"/>
      <w:lvlText w:val="•"/>
      <w:lvlJc w:val="left"/>
      <w:pPr>
        <w:ind w:left="1566" w:hanging="567"/>
      </w:pPr>
      <w:rPr>
        <w:rFonts w:hint="default"/>
        <w:lang w:val="en-US" w:eastAsia="en-US" w:bidi="ar-SA"/>
      </w:rPr>
    </w:lvl>
    <w:lvl w:ilvl="2" w:tplc="C20A92DE">
      <w:numFmt w:val="bullet"/>
      <w:lvlText w:val="•"/>
      <w:lvlJc w:val="left"/>
      <w:pPr>
        <w:ind w:left="2433" w:hanging="567"/>
      </w:pPr>
      <w:rPr>
        <w:rFonts w:hint="default"/>
        <w:lang w:val="en-US" w:eastAsia="en-US" w:bidi="ar-SA"/>
      </w:rPr>
    </w:lvl>
    <w:lvl w:ilvl="3" w:tplc="C6286E58">
      <w:numFmt w:val="bullet"/>
      <w:lvlText w:val="•"/>
      <w:lvlJc w:val="left"/>
      <w:pPr>
        <w:ind w:left="3299" w:hanging="567"/>
      </w:pPr>
      <w:rPr>
        <w:rFonts w:hint="default"/>
        <w:lang w:val="en-US" w:eastAsia="en-US" w:bidi="ar-SA"/>
      </w:rPr>
    </w:lvl>
    <w:lvl w:ilvl="4" w:tplc="8292945A">
      <w:numFmt w:val="bullet"/>
      <w:lvlText w:val="•"/>
      <w:lvlJc w:val="left"/>
      <w:pPr>
        <w:ind w:left="4166" w:hanging="567"/>
      </w:pPr>
      <w:rPr>
        <w:rFonts w:hint="default"/>
        <w:lang w:val="en-US" w:eastAsia="en-US" w:bidi="ar-SA"/>
      </w:rPr>
    </w:lvl>
    <w:lvl w:ilvl="5" w:tplc="B1F0CA6E">
      <w:numFmt w:val="bullet"/>
      <w:lvlText w:val="•"/>
      <w:lvlJc w:val="left"/>
      <w:pPr>
        <w:ind w:left="5033" w:hanging="567"/>
      </w:pPr>
      <w:rPr>
        <w:rFonts w:hint="default"/>
        <w:lang w:val="en-US" w:eastAsia="en-US" w:bidi="ar-SA"/>
      </w:rPr>
    </w:lvl>
    <w:lvl w:ilvl="6" w:tplc="6C52EB40">
      <w:numFmt w:val="bullet"/>
      <w:lvlText w:val="•"/>
      <w:lvlJc w:val="left"/>
      <w:pPr>
        <w:ind w:left="5899" w:hanging="567"/>
      </w:pPr>
      <w:rPr>
        <w:rFonts w:hint="default"/>
        <w:lang w:val="en-US" w:eastAsia="en-US" w:bidi="ar-SA"/>
      </w:rPr>
    </w:lvl>
    <w:lvl w:ilvl="7" w:tplc="BA864A8E">
      <w:numFmt w:val="bullet"/>
      <w:lvlText w:val="•"/>
      <w:lvlJc w:val="left"/>
      <w:pPr>
        <w:ind w:left="6766" w:hanging="567"/>
      </w:pPr>
      <w:rPr>
        <w:rFonts w:hint="default"/>
        <w:lang w:val="en-US" w:eastAsia="en-US" w:bidi="ar-SA"/>
      </w:rPr>
    </w:lvl>
    <w:lvl w:ilvl="8" w:tplc="B48CF45C">
      <w:numFmt w:val="bullet"/>
      <w:lvlText w:val="•"/>
      <w:lvlJc w:val="left"/>
      <w:pPr>
        <w:ind w:left="7633" w:hanging="567"/>
      </w:pPr>
      <w:rPr>
        <w:rFonts w:hint="default"/>
        <w:lang w:val="en-US" w:eastAsia="en-US" w:bidi="ar-SA"/>
      </w:rPr>
    </w:lvl>
  </w:abstractNum>
  <w:abstractNum w:abstractNumId="35" w15:restartNumberingAfterBreak="0">
    <w:nsid w:val="0A614F26"/>
    <w:multiLevelType w:val="hybridMultilevel"/>
    <w:tmpl w:val="7A6033B6"/>
    <w:lvl w:ilvl="0" w:tplc="3F2E25BE">
      <w:start w:val="1"/>
      <w:numFmt w:val="decimal"/>
      <w:lvlText w:val="(%1)"/>
      <w:lvlJc w:val="left"/>
      <w:pPr>
        <w:ind w:left="1273" w:hanging="567"/>
      </w:pPr>
      <w:rPr>
        <w:rFonts w:ascii="Arial" w:eastAsia="Calibri" w:hAnsi="Arial" w:cs="Arial" w:hint="default"/>
        <w:spacing w:val="-1"/>
        <w:w w:val="100"/>
        <w:sz w:val="20"/>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0ADA0D67"/>
    <w:multiLevelType w:val="hybridMultilevel"/>
    <w:tmpl w:val="ED1A8E4E"/>
    <w:lvl w:ilvl="0" w:tplc="3F2E25BE">
      <w:start w:val="1"/>
      <w:numFmt w:val="decimal"/>
      <w:lvlText w:val="(%1)"/>
      <w:lvlJc w:val="left"/>
      <w:pPr>
        <w:ind w:left="1273" w:hanging="567"/>
      </w:pPr>
      <w:rPr>
        <w:rFonts w:ascii="Arial" w:eastAsia="Calibri" w:hAnsi="Arial" w:cs="Arial" w:hint="default"/>
        <w:spacing w:val="-1"/>
        <w:w w:val="100"/>
        <w:sz w:val="20"/>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0B266C33"/>
    <w:multiLevelType w:val="hybridMultilevel"/>
    <w:tmpl w:val="76D0712A"/>
    <w:lvl w:ilvl="0" w:tplc="CEAADCEC">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2C3E9A04">
      <w:numFmt w:val="bullet"/>
      <w:lvlText w:val="•"/>
      <w:lvlJc w:val="left"/>
      <w:pPr>
        <w:ind w:left="1566" w:hanging="567"/>
      </w:pPr>
      <w:rPr>
        <w:rFonts w:hint="default"/>
        <w:lang w:val="en-US" w:eastAsia="en-US" w:bidi="ar-SA"/>
      </w:rPr>
    </w:lvl>
    <w:lvl w:ilvl="2" w:tplc="2D14B4B2">
      <w:numFmt w:val="bullet"/>
      <w:lvlText w:val="•"/>
      <w:lvlJc w:val="left"/>
      <w:pPr>
        <w:ind w:left="2433" w:hanging="567"/>
      </w:pPr>
      <w:rPr>
        <w:rFonts w:hint="default"/>
        <w:lang w:val="en-US" w:eastAsia="en-US" w:bidi="ar-SA"/>
      </w:rPr>
    </w:lvl>
    <w:lvl w:ilvl="3" w:tplc="93A24F66">
      <w:numFmt w:val="bullet"/>
      <w:lvlText w:val="•"/>
      <w:lvlJc w:val="left"/>
      <w:pPr>
        <w:ind w:left="3299" w:hanging="567"/>
      </w:pPr>
      <w:rPr>
        <w:rFonts w:hint="default"/>
        <w:lang w:val="en-US" w:eastAsia="en-US" w:bidi="ar-SA"/>
      </w:rPr>
    </w:lvl>
    <w:lvl w:ilvl="4" w:tplc="7F16066C">
      <w:numFmt w:val="bullet"/>
      <w:lvlText w:val="•"/>
      <w:lvlJc w:val="left"/>
      <w:pPr>
        <w:ind w:left="4166" w:hanging="567"/>
      </w:pPr>
      <w:rPr>
        <w:rFonts w:hint="default"/>
        <w:lang w:val="en-US" w:eastAsia="en-US" w:bidi="ar-SA"/>
      </w:rPr>
    </w:lvl>
    <w:lvl w:ilvl="5" w:tplc="A090665A">
      <w:numFmt w:val="bullet"/>
      <w:lvlText w:val="•"/>
      <w:lvlJc w:val="left"/>
      <w:pPr>
        <w:ind w:left="5033" w:hanging="567"/>
      </w:pPr>
      <w:rPr>
        <w:rFonts w:hint="default"/>
        <w:lang w:val="en-US" w:eastAsia="en-US" w:bidi="ar-SA"/>
      </w:rPr>
    </w:lvl>
    <w:lvl w:ilvl="6" w:tplc="1466CD4E">
      <w:numFmt w:val="bullet"/>
      <w:lvlText w:val="•"/>
      <w:lvlJc w:val="left"/>
      <w:pPr>
        <w:ind w:left="5899" w:hanging="567"/>
      </w:pPr>
      <w:rPr>
        <w:rFonts w:hint="default"/>
        <w:lang w:val="en-US" w:eastAsia="en-US" w:bidi="ar-SA"/>
      </w:rPr>
    </w:lvl>
    <w:lvl w:ilvl="7" w:tplc="BFFCE2BE">
      <w:numFmt w:val="bullet"/>
      <w:lvlText w:val="•"/>
      <w:lvlJc w:val="left"/>
      <w:pPr>
        <w:ind w:left="6766" w:hanging="567"/>
      </w:pPr>
      <w:rPr>
        <w:rFonts w:hint="default"/>
        <w:lang w:val="en-US" w:eastAsia="en-US" w:bidi="ar-SA"/>
      </w:rPr>
    </w:lvl>
    <w:lvl w:ilvl="8" w:tplc="28BACBFA">
      <w:numFmt w:val="bullet"/>
      <w:lvlText w:val="•"/>
      <w:lvlJc w:val="left"/>
      <w:pPr>
        <w:ind w:left="7633" w:hanging="567"/>
      </w:pPr>
      <w:rPr>
        <w:rFonts w:hint="default"/>
        <w:lang w:val="en-US" w:eastAsia="en-US" w:bidi="ar-SA"/>
      </w:rPr>
    </w:lvl>
  </w:abstractNum>
  <w:abstractNum w:abstractNumId="38" w15:restartNumberingAfterBreak="0">
    <w:nsid w:val="0B876C73"/>
    <w:multiLevelType w:val="hybridMultilevel"/>
    <w:tmpl w:val="D464AC56"/>
    <w:lvl w:ilvl="0" w:tplc="CD80582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ADC655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1B2266EE">
      <w:numFmt w:val="bullet"/>
      <w:lvlText w:val="•"/>
      <w:lvlJc w:val="left"/>
      <w:pPr>
        <w:ind w:left="2178" w:hanging="567"/>
      </w:pPr>
      <w:rPr>
        <w:lang w:val="en-US" w:eastAsia="en-US" w:bidi="ar-SA"/>
      </w:rPr>
    </w:lvl>
    <w:lvl w:ilvl="3" w:tplc="45BE0660">
      <w:numFmt w:val="bullet"/>
      <w:lvlText w:val="•"/>
      <w:lvlJc w:val="left"/>
      <w:pPr>
        <w:ind w:left="3076" w:hanging="567"/>
      </w:pPr>
      <w:rPr>
        <w:lang w:val="en-US" w:eastAsia="en-US" w:bidi="ar-SA"/>
      </w:rPr>
    </w:lvl>
    <w:lvl w:ilvl="4" w:tplc="EF4E30C8">
      <w:numFmt w:val="bullet"/>
      <w:lvlText w:val="•"/>
      <w:lvlJc w:val="left"/>
      <w:pPr>
        <w:ind w:left="3975" w:hanging="567"/>
      </w:pPr>
      <w:rPr>
        <w:lang w:val="en-US" w:eastAsia="en-US" w:bidi="ar-SA"/>
      </w:rPr>
    </w:lvl>
    <w:lvl w:ilvl="5" w:tplc="E8CECEAA">
      <w:numFmt w:val="bullet"/>
      <w:lvlText w:val="•"/>
      <w:lvlJc w:val="left"/>
      <w:pPr>
        <w:ind w:left="4873" w:hanging="567"/>
      </w:pPr>
      <w:rPr>
        <w:lang w:val="en-US" w:eastAsia="en-US" w:bidi="ar-SA"/>
      </w:rPr>
    </w:lvl>
    <w:lvl w:ilvl="6" w:tplc="D8024D6C">
      <w:numFmt w:val="bullet"/>
      <w:lvlText w:val="•"/>
      <w:lvlJc w:val="left"/>
      <w:pPr>
        <w:ind w:left="5772" w:hanging="567"/>
      </w:pPr>
      <w:rPr>
        <w:lang w:val="en-US" w:eastAsia="en-US" w:bidi="ar-SA"/>
      </w:rPr>
    </w:lvl>
    <w:lvl w:ilvl="7" w:tplc="7E1A1F06">
      <w:numFmt w:val="bullet"/>
      <w:lvlText w:val="•"/>
      <w:lvlJc w:val="left"/>
      <w:pPr>
        <w:ind w:left="6670" w:hanging="567"/>
      </w:pPr>
      <w:rPr>
        <w:lang w:val="en-US" w:eastAsia="en-US" w:bidi="ar-SA"/>
      </w:rPr>
    </w:lvl>
    <w:lvl w:ilvl="8" w:tplc="78D2843C">
      <w:numFmt w:val="bullet"/>
      <w:lvlText w:val="•"/>
      <w:lvlJc w:val="left"/>
      <w:pPr>
        <w:ind w:left="7569" w:hanging="567"/>
      </w:pPr>
      <w:rPr>
        <w:lang w:val="en-US" w:eastAsia="en-US" w:bidi="ar-SA"/>
      </w:rPr>
    </w:lvl>
  </w:abstractNum>
  <w:abstractNum w:abstractNumId="39" w15:restartNumberingAfterBreak="0">
    <w:nsid w:val="0BAD0E88"/>
    <w:multiLevelType w:val="hybridMultilevel"/>
    <w:tmpl w:val="5DA0242A"/>
    <w:lvl w:ilvl="0" w:tplc="4C326BF2">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703E7ACE">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67E42316">
      <w:numFmt w:val="bullet"/>
      <w:lvlText w:val="•"/>
      <w:lvlJc w:val="left"/>
      <w:pPr>
        <w:ind w:left="2178" w:hanging="567"/>
      </w:pPr>
      <w:rPr>
        <w:rFonts w:hint="default"/>
        <w:lang w:val="en-US" w:eastAsia="en-US" w:bidi="ar-SA"/>
      </w:rPr>
    </w:lvl>
    <w:lvl w:ilvl="3" w:tplc="4EB275FE">
      <w:numFmt w:val="bullet"/>
      <w:lvlText w:val="•"/>
      <w:lvlJc w:val="left"/>
      <w:pPr>
        <w:ind w:left="3076" w:hanging="567"/>
      </w:pPr>
      <w:rPr>
        <w:rFonts w:hint="default"/>
        <w:lang w:val="en-US" w:eastAsia="en-US" w:bidi="ar-SA"/>
      </w:rPr>
    </w:lvl>
    <w:lvl w:ilvl="4" w:tplc="093C82F2">
      <w:numFmt w:val="bullet"/>
      <w:lvlText w:val="•"/>
      <w:lvlJc w:val="left"/>
      <w:pPr>
        <w:ind w:left="3975" w:hanging="567"/>
      </w:pPr>
      <w:rPr>
        <w:rFonts w:hint="default"/>
        <w:lang w:val="en-US" w:eastAsia="en-US" w:bidi="ar-SA"/>
      </w:rPr>
    </w:lvl>
    <w:lvl w:ilvl="5" w:tplc="00727C80">
      <w:numFmt w:val="bullet"/>
      <w:lvlText w:val="•"/>
      <w:lvlJc w:val="left"/>
      <w:pPr>
        <w:ind w:left="4873" w:hanging="567"/>
      </w:pPr>
      <w:rPr>
        <w:rFonts w:hint="default"/>
        <w:lang w:val="en-US" w:eastAsia="en-US" w:bidi="ar-SA"/>
      </w:rPr>
    </w:lvl>
    <w:lvl w:ilvl="6" w:tplc="9E883448">
      <w:numFmt w:val="bullet"/>
      <w:lvlText w:val="•"/>
      <w:lvlJc w:val="left"/>
      <w:pPr>
        <w:ind w:left="5772" w:hanging="567"/>
      </w:pPr>
      <w:rPr>
        <w:rFonts w:hint="default"/>
        <w:lang w:val="en-US" w:eastAsia="en-US" w:bidi="ar-SA"/>
      </w:rPr>
    </w:lvl>
    <w:lvl w:ilvl="7" w:tplc="0F406BE4">
      <w:numFmt w:val="bullet"/>
      <w:lvlText w:val="•"/>
      <w:lvlJc w:val="left"/>
      <w:pPr>
        <w:ind w:left="6670" w:hanging="567"/>
      </w:pPr>
      <w:rPr>
        <w:rFonts w:hint="default"/>
        <w:lang w:val="en-US" w:eastAsia="en-US" w:bidi="ar-SA"/>
      </w:rPr>
    </w:lvl>
    <w:lvl w:ilvl="8" w:tplc="64D809FC">
      <w:numFmt w:val="bullet"/>
      <w:lvlText w:val="•"/>
      <w:lvlJc w:val="left"/>
      <w:pPr>
        <w:ind w:left="7569" w:hanging="567"/>
      </w:pPr>
      <w:rPr>
        <w:rFonts w:hint="default"/>
        <w:lang w:val="en-US" w:eastAsia="en-US" w:bidi="ar-SA"/>
      </w:rPr>
    </w:lvl>
  </w:abstractNum>
  <w:abstractNum w:abstractNumId="40" w15:restartNumberingAfterBreak="0">
    <w:nsid w:val="0BCE0558"/>
    <w:multiLevelType w:val="hybridMultilevel"/>
    <w:tmpl w:val="65D8AFB0"/>
    <w:lvl w:ilvl="0" w:tplc="58FA030E">
      <w:start w:val="1"/>
      <w:numFmt w:val="lowerRoman"/>
      <w:lvlText w:val="(%1)"/>
      <w:lvlJc w:val="left"/>
      <w:pPr>
        <w:ind w:left="1842" w:hanging="569"/>
      </w:pPr>
      <w:rPr>
        <w:rFonts w:ascii="Arial" w:eastAsia="Calibri" w:hAnsi="Arial" w:cs="Arial" w:hint="default"/>
        <w:spacing w:val="-1"/>
        <w:w w:val="100"/>
        <w:sz w:val="20"/>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0C455EA3"/>
    <w:multiLevelType w:val="hybridMultilevel"/>
    <w:tmpl w:val="2A9605A4"/>
    <w:lvl w:ilvl="0" w:tplc="C1E274A8">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B7BADA92">
      <w:numFmt w:val="bullet"/>
      <w:lvlText w:val="•"/>
      <w:lvlJc w:val="left"/>
      <w:pPr>
        <w:ind w:left="1566" w:hanging="567"/>
      </w:pPr>
      <w:rPr>
        <w:rFonts w:hint="default"/>
        <w:lang w:val="en-US" w:eastAsia="en-US" w:bidi="ar-SA"/>
      </w:rPr>
    </w:lvl>
    <w:lvl w:ilvl="2" w:tplc="B2527AFA">
      <w:numFmt w:val="bullet"/>
      <w:lvlText w:val="•"/>
      <w:lvlJc w:val="left"/>
      <w:pPr>
        <w:ind w:left="2433" w:hanging="567"/>
      </w:pPr>
      <w:rPr>
        <w:rFonts w:hint="default"/>
        <w:lang w:val="en-US" w:eastAsia="en-US" w:bidi="ar-SA"/>
      </w:rPr>
    </w:lvl>
    <w:lvl w:ilvl="3" w:tplc="65ACE2FA">
      <w:numFmt w:val="bullet"/>
      <w:lvlText w:val="•"/>
      <w:lvlJc w:val="left"/>
      <w:pPr>
        <w:ind w:left="3299" w:hanging="567"/>
      </w:pPr>
      <w:rPr>
        <w:rFonts w:hint="default"/>
        <w:lang w:val="en-US" w:eastAsia="en-US" w:bidi="ar-SA"/>
      </w:rPr>
    </w:lvl>
    <w:lvl w:ilvl="4" w:tplc="268AC62A">
      <w:numFmt w:val="bullet"/>
      <w:lvlText w:val="•"/>
      <w:lvlJc w:val="left"/>
      <w:pPr>
        <w:ind w:left="4166" w:hanging="567"/>
      </w:pPr>
      <w:rPr>
        <w:rFonts w:hint="default"/>
        <w:lang w:val="en-US" w:eastAsia="en-US" w:bidi="ar-SA"/>
      </w:rPr>
    </w:lvl>
    <w:lvl w:ilvl="5" w:tplc="E8C6B94A">
      <w:numFmt w:val="bullet"/>
      <w:lvlText w:val="•"/>
      <w:lvlJc w:val="left"/>
      <w:pPr>
        <w:ind w:left="5033" w:hanging="567"/>
      </w:pPr>
      <w:rPr>
        <w:rFonts w:hint="default"/>
        <w:lang w:val="en-US" w:eastAsia="en-US" w:bidi="ar-SA"/>
      </w:rPr>
    </w:lvl>
    <w:lvl w:ilvl="6" w:tplc="E76490F2">
      <w:numFmt w:val="bullet"/>
      <w:lvlText w:val="•"/>
      <w:lvlJc w:val="left"/>
      <w:pPr>
        <w:ind w:left="5899" w:hanging="567"/>
      </w:pPr>
      <w:rPr>
        <w:rFonts w:hint="default"/>
        <w:lang w:val="en-US" w:eastAsia="en-US" w:bidi="ar-SA"/>
      </w:rPr>
    </w:lvl>
    <w:lvl w:ilvl="7" w:tplc="0AD85A12">
      <w:numFmt w:val="bullet"/>
      <w:lvlText w:val="•"/>
      <w:lvlJc w:val="left"/>
      <w:pPr>
        <w:ind w:left="6766" w:hanging="567"/>
      </w:pPr>
      <w:rPr>
        <w:rFonts w:hint="default"/>
        <w:lang w:val="en-US" w:eastAsia="en-US" w:bidi="ar-SA"/>
      </w:rPr>
    </w:lvl>
    <w:lvl w:ilvl="8" w:tplc="C1627172">
      <w:numFmt w:val="bullet"/>
      <w:lvlText w:val="•"/>
      <w:lvlJc w:val="left"/>
      <w:pPr>
        <w:ind w:left="7633" w:hanging="567"/>
      </w:pPr>
      <w:rPr>
        <w:rFonts w:hint="default"/>
        <w:lang w:val="en-US" w:eastAsia="en-US" w:bidi="ar-SA"/>
      </w:rPr>
    </w:lvl>
  </w:abstractNum>
  <w:abstractNum w:abstractNumId="42" w15:restartNumberingAfterBreak="0">
    <w:nsid w:val="0C624755"/>
    <w:multiLevelType w:val="hybridMultilevel"/>
    <w:tmpl w:val="13C010CA"/>
    <w:lvl w:ilvl="0" w:tplc="CD80582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ADC655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1B2266EE">
      <w:numFmt w:val="bullet"/>
      <w:lvlText w:val="•"/>
      <w:lvlJc w:val="left"/>
      <w:pPr>
        <w:ind w:left="2178" w:hanging="567"/>
      </w:pPr>
      <w:rPr>
        <w:lang w:val="en-US" w:eastAsia="en-US" w:bidi="ar-SA"/>
      </w:rPr>
    </w:lvl>
    <w:lvl w:ilvl="3" w:tplc="45BE0660">
      <w:numFmt w:val="bullet"/>
      <w:lvlText w:val="•"/>
      <w:lvlJc w:val="left"/>
      <w:pPr>
        <w:ind w:left="3076" w:hanging="567"/>
      </w:pPr>
      <w:rPr>
        <w:lang w:val="en-US" w:eastAsia="en-US" w:bidi="ar-SA"/>
      </w:rPr>
    </w:lvl>
    <w:lvl w:ilvl="4" w:tplc="EF4E30C8">
      <w:numFmt w:val="bullet"/>
      <w:lvlText w:val="•"/>
      <w:lvlJc w:val="left"/>
      <w:pPr>
        <w:ind w:left="3975" w:hanging="567"/>
      </w:pPr>
      <w:rPr>
        <w:lang w:val="en-US" w:eastAsia="en-US" w:bidi="ar-SA"/>
      </w:rPr>
    </w:lvl>
    <w:lvl w:ilvl="5" w:tplc="E8CECEAA">
      <w:numFmt w:val="bullet"/>
      <w:lvlText w:val="•"/>
      <w:lvlJc w:val="left"/>
      <w:pPr>
        <w:ind w:left="4873" w:hanging="567"/>
      </w:pPr>
      <w:rPr>
        <w:lang w:val="en-US" w:eastAsia="en-US" w:bidi="ar-SA"/>
      </w:rPr>
    </w:lvl>
    <w:lvl w:ilvl="6" w:tplc="D8024D6C">
      <w:numFmt w:val="bullet"/>
      <w:lvlText w:val="•"/>
      <w:lvlJc w:val="left"/>
      <w:pPr>
        <w:ind w:left="5772" w:hanging="567"/>
      </w:pPr>
      <w:rPr>
        <w:lang w:val="en-US" w:eastAsia="en-US" w:bidi="ar-SA"/>
      </w:rPr>
    </w:lvl>
    <w:lvl w:ilvl="7" w:tplc="7E1A1F06">
      <w:numFmt w:val="bullet"/>
      <w:lvlText w:val="•"/>
      <w:lvlJc w:val="left"/>
      <w:pPr>
        <w:ind w:left="6670" w:hanging="567"/>
      </w:pPr>
      <w:rPr>
        <w:lang w:val="en-US" w:eastAsia="en-US" w:bidi="ar-SA"/>
      </w:rPr>
    </w:lvl>
    <w:lvl w:ilvl="8" w:tplc="78D2843C">
      <w:numFmt w:val="bullet"/>
      <w:lvlText w:val="•"/>
      <w:lvlJc w:val="left"/>
      <w:pPr>
        <w:ind w:left="7569" w:hanging="567"/>
      </w:pPr>
      <w:rPr>
        <w:lang w:val="en-US" w:eastAsia="en-US" w:bidi="ar-SA"/>
      </w:rPr>
    </w:lvl>
  </w:abstractNum>
  <w:abstractNum w:abstractNumId="43" w15:restartNumberingAfterBreak="0">
    <w:nsid w:val="0C9F6F61"/>
    <w:multiLevelType w:val="hybridMultilevel"/>
    <w:tmpl w:val="BBF641B8"/>
    <w:lvl w:ilvl="0" w:tplc="CD80582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ADC655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1B2266EE">
      <w:numFmt w:val="bullet"/>
      <w:lvlText w:val="•"/>
      <w:lvlJc w:val="left"/>
      <w:pPr>
        <w:ind w:left="2178" w:hanging="567"/>
      </w:pPr>
      <w:rPr>
        <w:lang w:val="en-US" w:eastAsia="en-US" w:bidi="ar-SA"/>
      </w:rPr>
    </w:lvl>
    <w:lvl w:ilvl="3" w:tplc="45BE0660">
      <w:numFmt w:val="bullet"/>
      <w:lvlText w:val="•"/>
      <w:lvlJc w:val="left"/>
      <w:pPr>
        <w:ind w:left="3076" w:hanging="567"/>
      </w:pPr>
      <w:rPr>
        <w:lang w:val="en-US" w:eastAsia="en-US" w:bidi="ar-SA"/>
      </w:rPr>
    </w:lvl>
    <w:lvl w:ilvl="4" w:tplc="EF4E30C8">
      <w:numFmt w:val="bullet"/>
      <w:lvlText w:val="•"/>
      <w:lvlJc w:val="left"/>
      <w:pPr>
        <w:ind w:left="3975" w:hanging="567"/>
      </w:pPr>
      <w:rPr>
        <w:lang w:val="en-US" w:eastAsia="en-US" w:bidi="ar-SA"/>
      </w:rPr>
    </w:lvl>
    <w:lvl w:ilvl="5" w:tplc="E8CECEAA">
      <w:numFmt w:val="bullet"/>
      <w:lvlText w:val="•"/>
      <w:lvlJc w:val="left"/>
      <w:pPr>
        <w:ind w:left="4873" w:hanging="567"/>
      </w:pPr>
      <w:rPr>
        <w:lang w:val="en-US" w:eastAsia="en-US" w:bidi="ar-SA"/>
      </w:rPr>
    </w:lvl>
    <w:lvl w:ilvl="6" w:tplc="D8024D6C">
      <w:numFmt w:val="bullet"/>
      <w:lvlText w:val="•"/>
      <w:lvlJc w:val="left"/>
      <w:pPr>
        <w:ind w:left="5772" w:hanging="567"/>
      </w:pPr>
      <w:rPr>
        <w:lang w:val="en-US" w:eastAsia="en-US" w:bidi="ar-SA"/>
      </w:rPr>
    </w:lvl>
    <w:lvl w:ilvl="7" w:tplc="7E1A1F06">
      <w:numFmt w:val="bullet"/>
      <w:lvlText w:val="•"/>
      <w:lvlJc w:val="left"/>
      <w:pPr>
        <w:ind w:left="6670" w:hanging="567"/>
      </w:pPr>
      <w:rPr>
        <w:lang w:val="en-US" w:eastAsia="en-US" w:bidi="ar-SA"/>
      </w:rPr>
    </w:lvl>
    <w:lvl w:ilvl="8" w:tplc="78D2843C">
      <w:numFmt w:val="bullet"/>
      <w:lvlText w:val="•"/>
      <w:lvlJc w:val="left"/>
      <w:pPr>
        <w:ind w:left="7569" w:hanging="567"/>
      </w:pPr>
      <w:rPr>
        <w:lang w:val="en-US" w:eastAsia="en-US" w:bidi="ar-SA"/>
      </w:rPr>
    </w:lvl>
  </w:abstractNum>
  <w:abstractNum w:abstractNumId="44" w15:restartNumberingAfterBreak="0">
    <w:nsid w:val="0CBE0D83"/>
    <w:multiLevelType w:val="hybridMultilevel"/>
    <w:tmpl w:val="76F28580"/>
    <w:lvl w:ilvl="0" w:tplc="3DB25AE2">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F4808B42">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AF4A4AB2">
      <w:numFmt w:val="bullet"/>
      <w:lvlText w:val="•"/>
      <w:lvlJc w:val="left"/>
      <w:pPr>
        <w:ind w:left="2178" w:hanging="567"/>
      </w:pPr>
      <w:rPr>
        <w:rFonts w:hint="default"/>
        <w:lang w:val="en-US" w:eastAsia="en-US" w:bidi="ar-SA"/>
      </w:rPr>
    </w:lvl>
    <w:lvl w:ilvl="3" w:tplc="E1D40BAA">
      <w:numFmt w:val="bullet"/>
      <w:lvlText w:val="•"/>
      <w:lvlJc w:val="left"/>
      <w:pPr>
        <w:ind w:left="3076" w:hanging="567"/>
      </w:pPr>
      <w:rPr>
        <w:rFonts w:hint="default"/>
        <w:lang w:val="en-US" w:eastAsia="en-US" w:bidi="ar-SA"/>
      </w:rPr>
    </w:lvl>
    <w:lvl w:ilvl="4" w:tplc="BAD03110">
      <w:numFmt w:val="bullet"/>
      <w:lvlText w:val="•"/>
      <w:lvlJc w:val="left"/>
      <w:pPr>
        <w:ind w:left="3975" w:hanging="567"/>
      </w:pPr>
      <w:rPr>
        <w:rFonts w:hint="default"/>
        <w:lang w:val="en-US" w:eastAsia="en-US" w:bidi="ar-SA"/>
      </w:rPr>
    </w:lvl>
    <w:lvl w:ilvl="5" w:tplc="78EEC79A">
      <w:numFmt w:val="bullet"/>
      <w:lvlText w:val="•"/>
      <w:lvlJc w:val="left"/>
      <w:pPr>
        <w:ind w:left="4873" w:hanging="567"/>
      </w:pPr>
      <w:rPr>
        <w:rFonts w:hint="default"/>
        <w:lang w:val="en-US" w:eastAsia="en-US" w:bidi="ar-SA"/>
      </w:rPr>
    </w:lvl>
    <w:lvl w:ilvl="6" w:tplc="E52A0236">
      <w:numFmt w:val="bullet"/>
      <w:lvlText w:val="•"/>
      <w:lvlJc w:val="left"/>
      <w:pPr>
        <w:ind w:left="5772" w:hanging="567"/>
      </w:pPr>
      <w:rPr>
        <w:rFonts w:hint="default"/>
        <w:lang w:val="en-US" w:eastAsia="en-US" w:bidi="ar-SA"/>
      </w:rPr>
    </w:lvl>
    <w:lvl w:ilvl="7" w:tplc="53401250">
      <w:numFmt w:val="bullet"/>
      <w:lvlText w:val="•"/>
      <w:lvlJc w:val="left"/>
      <w:pPr>
        <w:ind w:left="6670" w:hanging="567"/>
      </w:pPr>
      <w:rPr>
        <w:rFonts w:hint="default"/>
        <w:lang w:val="en-US" w:eastAsia="en-US" w:bidi="ar-SA"/>
      </w:rPr>
    </w:lvl>
    <w:lvl w:ilvl="8" w:tplc="0B1ECDDC">
      <w:numFmt w:val="bullet"/>
      <w:lvlText w:val="•"/>
      <w:lvlJc w:val="left"/>
      <w:pPr>
        <w:ind w:left="7569" w:hanging="567"/>
      </w:pPr>
      <w:rPr>
        <w:rFonts w:hint="default"/>
        <w:lang w:val="en-US" w:eastAsia="en-US" w:bidi="ar-SA"/>
      </w:rPr>
    </w:lvl>
  </w:abstractNum>
  <w:abstractNum w:abstractNumId="45" w15:restartNumberingAfterBreak="0">
    <w:nsid w:val="0CCD471A"/>
    <w:multiLevelType w:val="hybridMultilevel"/>
    <w:tmpl w:val="EE2251B8"/>
    <w:lvl w:ilvl="0" w:tplc="C616E2BC">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53766252">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8B769348">
      <w:start w:val="1"/>
      <w:numFmt w:val="lowerRoman"/>
      <w:lvlText w:val="(%3)"/>
      <w:lvlJc w:val="left"/>
      <w:pPr>
        <w:ind w:left="1842" w:hanging="569"/>
      </w:pPr>
      <w:rPr>
        <w:rFonts w:ascii="Arial" w:eastAsia="Calibri" w:hAnsi="Arial" w:cs="Arial" w:hint="default"/>
        <w:spacing w:val="-1"/>
        <w:w w:val="100"/>
        <w:sz w:val="20"/>
        <w:szCs w:val="22"/>
        <w:lang w:val="en-US" w:eastAsia="en-US" w:bidi="ar-SA"/>
      </w:rPr>
    </w:lvl>
    <w:lvl w:ilvl="3" w:tplc="595CB182">
      <w:numFmt w:val="bullet"/>
      <w:lvlText w:val="•"/>
      <w:lvlJc w:val="left"/>
      <w:pPr>
        <w:ind w:left="2780" w:hanging="569"/>
      </w:pPr>
      <w:rPr>
        <w:rFonts w:hint="default"/>
        <w:lang w:val="en-US" w:eastAsia="en-US" w:bidi="ar-SA"/>
      </w:rPr>
    </w:lvl>
    <w:lvl w:ilvl="4" w:tplc="6324BC46">
      <w:numFmt w:val="bullet"/>
      <w:lvlText w:val="•"/>
      <w:lvlJc w:val="left"/>
      <w:pPr>
        <w:ind w:left="3721" w:hanging="569"/>
      </w:pPr>
      <w:rPr>
        <w:rFonts w:hint="default"/>
        <w:lang w:val="en-US" w:eastAsia="en-US" w:bidi="ar-SA"/>
      </w:rPr>
    </w:lvl>
    <w:lvl w:ilvl="5" w:tplc="4FE0BEF4">
      <w:numFmt w:val="bullet"/>
      <w:lvlText w:val="•"/>
      <w:lvlJc w:val="left"/>
      <w:pPr>
        <w:ind w:left="4662" w:hanging="569"/>
      </w:pPr>
      <w:rPr>
        <w:rFonts w:hint="default"/>
        <w:lang w:val="en-US" w:eastAsia="en-US" w:bidi="ar-SA"/>
      </w:rPr>
    </w:lvl>
    <w:lvl w:ilvl="6" w:tplc="315CF2E8">
      <w:numFmt w:val="bullet"/>
      <w:lvlText w:val="•"/>
      <w:lvlJc w:val="left"/>
      <w:pPr>
        <w:ind w:left="5603" w:hanging="569"/>
      </w:pPr>
      <w:rPr>
        <w:rFonts w:hint="default"/>
        <w:lang w:val="en-US" w:eastAsia="en-US" w:bidi="ar-SA"/>
      </w:rPr>
    </w:lvl>
    <w:lvl w:ilvl="7" w:tplc="6CFC8070">
      <w:numFmt w:val="bullet"/>
      <w:lvlText w:val="•"/>
      <w:lvlJc w:val="left"/>
      <w:pPr>
        <w:ind w:left="6544" w:hanging="569"/>
      </w:pPr>
      <w:rPr>
        <w:rFonts w:hint="default"/>
        <w:lang w:val="en-US" w:eastAsia="en-US" w:bidi="ar-SA"/>
      </w:rPr>
    </w:lvl>
    <w:lvl w:ilvl="8" w:tplc="BA6A0FC0">
      <w:numFmt w:val="bullet"/>
      <w:lvlText w:val="•"/>
      <w:lvlJc w:val="left"/>
      <w:pPr>
        <w:ind w:left="7484" w:hanging="569"/>
      </w:pPr>
      <w:rPr>
        <w:rFonts w:hint="default"/>
        <w:lang w:val="en-US" w:eastAsia="en-US" w:bidi="ar-SA"/>
      </w:rPr>
    </w:lvl>
  </w:abstractNum>
  <w:abstractNum w:abstractNumId="46" w15:restartNumberingAfterBreak="0">
    <w:nsid w:val="0CE43224"/>
    <w:multiLevelType w:val="hybridMultilevel"/>
    <w:tmpl w:val="B5DEB6E4"/>
    <w:lvl w:ilvl="0" w:tplc="EFDA3F1A">
      <w:start w:val="1"/>
      <w:numFmt w:val="lowerLetter"/>
      <w:lvlText w:val="(%1)"/>
      <w:lvlJc w:val="left"/>
      <w:pPr>
        <w:ind w:left="543" w:hanging="459"/>
      </w:pPr>
      <w:rPr>
        <w:rFonts w:ascii="Arial" w:eastAsia="Calibri" w:hAnsi="Arial" w:cs="Arial" w:hint="default"/>
        <w:spacing w:val="-1"/>
        <w:w w:val="99"/>
        <w:sz w:val="20"/>
        <w:szCs w:val="20"/>
        <w:lang w:val="en-US" w:eastAsia="en-US" w:bidi="ar-SA"/>
      </w:rPr>
    </w:lvl>
    <w:lvl w:ilvl="1" w:tplc="7B62DDFA">
      <w:numFmt w:val="bullet"/>
      <w:lvlText w:val="•"/>
      <w:lvlJc w:val="left"/>
      <w:pPr>
        <w:ind w:left="811" w:hanging="459"/>
      </w:pPr>
      <w:rPr>
        <w:rFonts w:hint="default"/>
        <w:lang w:val="en-US" w:eastAsia="en-US" w:bidi="ar-SA"/>
      </w:rPr>
    </w:lvl>
    <w:lvl w:ilvl="2" w:tplc="6AC21740">
      <w:numFmt w:val="bullet"/>
      <w:lvlText w:val="•"/>
      <w:lvlJc w:val="left"/>
      <w:pPr>
        <w:ind w:left="1082" w:hanging="459"/>
      </w:pPr>
      <w:rPr>
        <w:rFonts w:hint="default"/>
        <w:lang w:val="en-US" w:eastAsia="en-US" w:bidi="ar-SA"/>
      </w:rPr>
    </w:lvl>
    <w:lvl w:ilvl="3" w:tplc="6BBC88AA">
      <w:numFmt w:val="bullet"/>
      <w:lvlText w:val="•"/>
      <w:lvlJc w:val="left"/>
      <w:pPr>
        <w:ind w:left="1353" w:hanging="459"/>
      </w:pPr>
      <w:rPr>
        <w:rFonts w:hint="default"/>
        <w:lang w:val="en-US" w:eastAsia="en-US" w:bidi="ar-SA"/>
      </w:rPr>
    </w:lvl>
    <w:lvl w:ilvl="4" w:tplc="4BA67582">
      <w:numFmt w:val="bullet"/>
      <w:lvlText w:val="•"/>
      <w:lvlJc w:val="left"/>
      <w:pPr>
        <w:ind w:left="1624" w:hanging="459"/>
      </w:pPr>
      <w:rPr>
        <w:rFonts w:hint="default"/>
        <w:lang w:val="en-US" w:eastAsia="en-US" w:bidi="ar-SA"/>
      </w:rPr>
    </w:lvl>
    <w:lvl w:ilvl="5" w:tplc="9D2AF184">
      <w:numFmt w:val="bullet"/>
      <w:lvlText w:val="•"/>
      <w:lvlJc w:val="left"/>
      <w:pPr>
        <w:ind w:left="1895" w:hanging="459"/>
      </w:pPr>
      <w:rPr>
        <w:rFonts w:hint="default"/>
        <w:lang w:val="en-US" w:eastAsia="en-US" w:bidi="ar-SA"/>
      </w:rPr>
    </w:lvl>
    <w:lvl w:ilvl="6" w:tplc="E5ACA320">
      <w:numFmt w:val="bullet"/>
      <w:lvlText w:val="•"/>
      <w:lvlJc w:val="left"/>
      <w:pPr>
        <w:ind w:left="2166" w:hanging="459"/>
      </w:pPr>
      <w:rPr>
        <w:rFonts w:hint="default"/>
        <w:lang w:val="en-US" w:eastAsia="en-US" w:bidi="ar-SA"/>
      </w:rPr>
    </w:lvl>
    <w:lvl w:ilvl="7" w:tplc="74266630">
      <w:numFmt w:val="bullet"/>
      <w:lvlText w:val="•"/>
      <w:lvlJc w:val="left"/>
      <w:pPr>
        <w:ind w:left="2438" w:hanging="459"/>
      </w:pPr>
      <w:rPr>
        <w:rFonts w:hint="default"/>
        <w:lang w:val="en-US" w:eastAsia="en-US" w:bidi="ar-SA"/>
      </w:rPr>
    </w:lvl>
    <w:lvl w:ilvl="8" w:tplc="A8487AE6">
      <w:numFmt w:val="bullet"/>
      <w:lvlText w:val="•"/>
      <w:lvlJc w:val="left"/>
      <w:pPr>
        <w:ind w:left="2709" w:hanging="459"/>
      </w:pPr>
      <w:rPr>
        <w:rFonts w:hint="default"/>
        <w:lang w:val="en-US" w:eastAsia="en-US" w:bidi="ar-SA"/>
      </w:rPr>
    </w:lvl>
  </w:abstractNum>
  <w:abstractNum w:abstractNumId="47" w15:restartNumberingAfterBreak="0">
    <w:nsid w:val="0CED024E"/>
    <w:multiLevelType w:val="hybridMultilevel"/>
    <w:tmpl w:val="DC9AC07C"/>
    <w:lvl w:ilvl="0" w:tplc="C8866390">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B8228740">
      <w:start w:val="1"/>
      <w:numFmt w:val="decimal"/>
      <w:lvlText w:val="(%2)"/>
      <w:lvlJc w:val="left"/>
      <w:pPr>
        <w:ind w:left="1273" w:hanging="567"/>
      </w:pPr>
      <w:rPr>
        <w:rFonts w:ascii="Calibri" w:eastAsia="Calibri" w:hAnsi="Calibri" w:cs="Calibri" w:hint="default"/>
        <w:spacing w:val="-1"/>
        <w:w w:val="100"/>
        <w:sz w:val="22"/>
        <w:szCs w:val="22"/>
        <w:lang w:val="en-US" w:eastAsia="en-US" w:bidi="ar-SA"/>
      </w:rPr>
    </w:lvl>
    <w:lvl w:ilvl="2" w:tplc="2CB45C14">
      <w:numFmt w:val="bullet"/>
      <w:lvlText w:val="•"/>
      <w:lvlJc w:val="left"/>
      <w:pPr>
        <w:ind w:left="2178" w:hanging="567"/>
      </w:pPr>
      <w:rPr>
        <w:rFonts w:hint="default"/>
        <w:lang w:val="en-US" w:eastAsia="en-US" w:bidi="ar-SA"/>
      </w:rPr>
    </w:lvl>
    <w:lvl w:ilvl="3" w:tplc="CD5A97D8">
      <w:numFmt w:val="bullet"/>
      <w:lvlText w:val="•"/>
      <w:lvlJc w:val="left"/>
      <w:pPr>
        <w:ind w:left="3076" w:hanging="567"/>
      </w:pPr>
      <w:rPr>
        <w:rFonts w:hint="default"/>
        <w:lang w:val="en-US" w:eastAsia="en-US" w:bidi="ar-SA"/>
      </w:rPr>
    </w:lvl>
    <w:lvl w:ilvl="4" w:tplc="CBE6E14E">
      <w:numFmt w:val="bullet"/>
      <w:lvlText w:val="•"/>
      <w:lvlJc w:val="left"/>
      <w:pPr>
        <w:ind w:left="3975" w:hanging="567"/>
      </w:pPr>
      <w:rPr>
        <w:rFonts w:hint="default"/>
        <w:lang w:val="en-US" w:eastAsia="en-US" w:bidi="ar-SA"/>
      </w:rPr>
    </w:lvl>
    <w:lvl w:ilvl="5" w:tplc="0740944C">
      <w:numFmt w:val="bullet"/>
      <w:lvlText w:val="•"/>
      <w:lvlJc w:val="left"/>
      <w:pPr>
        <w:ind w:left="4873" w:hanging="567"/>
      </w:pPr>
      <w:rPr>
        <w:rFonts w:hint="default"/>
        <w:lang w:val="en-US" w:eastAsia="en-US" w:bidi="ar-SA"/>
      </w:rPr>
    </w:lvl>
    <w:lvl w:ilvl="6" w:tplc="9CDC0A5E">
      <w:numFmt w:val="bullet"/>
      <w:lvlText w:val="•"/>
      <w:lvlJc w:val="left"/>
      <w:pPr>
        <w:ind w:left="5772" w:hanging="567"/>
      </w:pPr>
      <w:rPr>
        <w:rFonts w:hint="default"/>
        <w:lang w:val="en-US" w:eastAsia="en-US" w:bidi="ar-SA"/>
      </w:rPr>
    </w:lvl>
    <w:lvl w:ilvl="7" w:tplc="359CEEAC">
      <w:numFmt w:val="bullet"/>
      <w:lvlText w:val="•"/>
      <w:lvlJc w:val="left"/>
      <w:pPr>
        <w:ind w:left="6670" w:hanging="567"/>
      </w:pPr>
      <w:rPr>
        <w:rFonts w:hint="default"/>
        <w:lang w:val="en-US" w:eastAsia="en-US" w:bidi="ar-SA"/>
      </w:rPr>
    </w:lvl>
    <w:lvl w:ilvl="8" w:tplc="D10E9038">
      <w:numFmt w:val="bullet"/>
      <w:lvlText w:val="•"/>
      <w:lvlJc w:val="left"/>
      <w:pPr>
        <w:ind w:left="7569" w:hanging="567"/>
      </w:pPr>
      <w:rPr>
        <w:rFonts w:hint="default"/>
        <w:lang w:val="en-US" w:eastAsia="en-US" w:bidi="ar-SA"/>
      </w:rPr>
    </w:lvl>
  </w:abstractNum>
  <w:abstractNum w:abstractNumId="48" w15:restartNumberingAfterBreak="0">
    <w:nsid w:val="0E2302AB"/>
    <w:multiLevelType w:val="hybridMultilevel"/>
    <w:tmpl w:val="82568142"/>
    <w:lvl w:ilvl="0" w:tplc="51C8FD68">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2D407814">
      <w:numFmt w:val="bullet"/>
      <w:lvlText w:val="•"/>
      <w:lvlJc w:val="left"/>
      <w:pPr>
        <w:ind w:left="1566" w:hanging="567"/>
      </w:pPr>
      <w:rPr>
        <w:rFonts w:hint="default"/>
        <w:lang w:val="en-US" w:eastAsia="en-US" w:bidi="ar-SA"/>
      </w:rPr>
    </w:lvl>
    <w:lvl w:ilvl="2" w:tplc="0C185FBC">
      <w:numFmt w:val="bullet"/>
      <w:lvlText w:val="•"/>
      <w:lvlJc w:val="left"/>
      <w:pPr>
        <w:ind w:left="2433" w:hanging="567"/>
      </w:pPr>
      <w:rPr>
        <w:rFonts w:hint="default"/>
        <w:lang w:val="en-US" w:eastAsia="en-US" w:bidi="ar-SA"/>
      </w:rPr>
    </w:lvl>
    <w:lvl w:ilvl="3" w:tplc="17BCCBE8">
      <w:numFmt w:val="bullet"/>
      <w:lvlText w:val="•"/>
      <w:lvlJc w:val="left"/>
      <w:pPr>
        <w:ind w:left="3299" w:hanging="567"/>
      </w:pPr>
      <w:rPr>
        <w:rFonts w:hint="default"/>
        <w:lang w:val="en-US" w:eastAsia="en-US" w:bidi="ar-SA"/>
      </w:rPr>
    </w:lvl>
    <w:lvl w:ilvl="4" w:tplc="3BB05BFA">
      <w:numFmt w:val="bullet"/>
      <w:lvlText w:val="•"/>
      <w:lvlJc w:val="left"/>
      <w:pPr>
        <w:ind w:left="4166" w:hanging="567"/>
      </w:pPr>
      <w:rPr>
        <w:rFonts w:hint="default"/>
        <w:lang w:val="en-US" w:eastAsia="en-US" w:bidi="ar-SA"/>
      </w:rPr>
    </w:lvl>
    <w:lvl w:ilvl="5" w:tplc="E4AC2C48">
      <w:numFmt w:val="bullet"/>
      <w:lvlText w:val="•"/>
      <w:lvlJc w:val="left"/>
      <w:pPr>
        <w:ind w:left="5033" w:hanging="567"/>
      </w:pPr>
      <w:rPr>
        <w:rFonts w:hint="default"/>
        <w:lang w:val="en-US" w:eastAsia="en-US" w:bidi="ar-SA"/>
      </w:rPr>
    </w:lvl>
    <w:lvl w:ilvl="6" w:tplc="1018B4B2">
      <w:numFmt w:val="bullet"/>
      <w:lvlText w:val="•"/>
      <w:lvlJc w:val="left"/>
      <w:pPr>
        <w:ind w:left="5899" w:hanging="567"/>
      </w:pPr>
      <w:rPr>
        <w:rFonts w:hint="default"/>
        <w:lang w:val="en-US" w:eastAsia="en-US" w:bidi="ar-SA"/>
      </w:rPr>
    </w:lvl>
    <w:lvl w:ilvl="7" w:tplc="85906B10">
      <w:numFmt w:val="bullet"/>
      <w:lvlText w:val="•"/>
      <w:lvlJc w:val="left"/>
      <w:pPr>
        <w:ind w:left="6766" w:hanging="567"/>
      </w:pPr>
      <w:rPr>
        <w:rFonts w:hint="default"/>
        <w:lang w:val="en-US" w:eastAsia="en-US" w:bidi="ar-SA"/>
      </w:rPr>
    </w:lvl>
    <w:lvl w:ilvl="8" w:tplc="C936D574">
      <w:numFmt w:val="bullet"/>
      <w:lvlText w:val="•"/>
      <w:lvlJc w:val="left"/>
      <w:pPr>
        <w:ind w:left="7633" w:hanging="567"/>
      </w:pPr>
      <w:rPr>
        <w:rFonts w:hint="default"/>
        <w:lang w:val="en-US" w:eastAsia="en-US" w:bidi="ar-SA"/>
      </w:rPr>
    </w:lvl>
  </w:abstractNum>
  <w:abstractNum w:abstractNumId="49" w15:restartNumberingAfterBreak="0">
    <w:nsid w:val="0E6E4FC7"/>
    <w:multiLevelType w:val="hybridMultilevel"/>
    <w:tmpl w:val="BD54D890"/>
    <w:lvl w:ilvl="0" w:tplc="C56A309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8ABE4496">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EE70DC64">
      <w:numFmt w:val="bullet"/>
      <w:lvlText w:val="•"/>
      <w:lvlJc w:val="left"/>
      <w:pPr>
        <w:ind w:left="2178" w:hanging="567"/>
      </w:pPr>
      <w:rPr>
        <w:lang w:val="en-US" w:eastAsia="en-US" w:bidi="ar-SA"/>
      </w:rPr>
    </w:lvl>
    <w:lvl w:ilvl="3" w:tplc="A14A165A">
      <w:numFmt w:val="bullet"/>
      <w:lvlText w:val="•"/>
      <w:lvlJc w:val="left"/>
      <w:pPr>
        <w:ind w:left="3076" w:hanging="567"/>
      </w:pPr>
      <w:rPr>
        <w:lang w:val="en-US" w:eastAsia="en-US" w:bidi="ar-SA"/>
      </w:rPr>
    </w:lvl>
    <w:lvl w:ilvl="4" w:tplc="E84EA244">
      <w:numFmt w:val="bullet"/>
      <w:lvlText w:val="•"/>
      <w:lvlJc w:val="left"/>
      <w:pPr>
        <w:ind w:left="3975" w:hanging="567"/>
      </w:pPr>
      <w:rPr>
        <w:lang w:val="en-US" w:eastAsia="en-US" w:bidi="ar-SA"/>
      </w:rPr>
    </w:lvl>
    <w:lvl w:ilvl="5" w:tplc="9BBE6E32">
      <w:numFmt w:val="bullet"/>
      <w:lvlText w:val="•"/>
      <w:lvlJc w:val="left"/>
      <w:pPr>
        <w:ind w:left="4873" w:hanging="567"/>
      </w:pPr>
      <w:rPr>
        <w:lang w:val="en-US" w:eastAsia="en-US" w:bidi="ar-SA"/>
      </w:rPr>
    </w:lvl>
    <w:lvl w:ilvl="6" w:tplc="D11A524C">
      <w:numFmt w:val="bullet"/>
      <w:lvlText w:val="•"/>
      <w:lvlJc w:val="left"/>
      <w:pPr>
        <w:ind w:left="5772" w:hanging="567"/>
      </w:pPr>
      <w:rPr>
        <w:lang w:val="en-US" w:eastAsia="en-US" w:bidi="ar-SA"/>
      </w:rPr>
    </w:lvl>
    <w:lvl w:ilvl="7" w:tplc="9FA052AC">
      <w:numFmt w:val="bullet"/>
      <w:lvlText w:val="•"/>
      <w:lvlJc w:val="left"/>
      <w:pPr>
        <w:ind w:left="6670" w:hanging="567"/>
      </w:pPr>
      <w:rPr>
        <w:lang w:val="en-US" w:eastAsia="en-US" w:bidi="ar-SA"/>
      </w:rPr>
    </w:lvl>
    <w:lvl w:ilvl="8" w:tplc="2AE63C1A">
      <w:numFmt w:val="bullet"/>
      <w:lvlText w:val="•"/>
      <w:lvlJc w:val="left"/>
      <w:pPr>
        <w:ind w:left="7569" w:hanging="567"/>
      </w:pPr>
      <w:rPr>
        <w:lang w:val="en-US" w:eastAsia="en-US" w:bidi="ar-SA"/>
      </w:rPr>
    </w:lvl>
  </w:abstractNum>
  <w:abstractNum w:abstractNumId="50" w15:restartNumberingAfterBreak="0">
    <w:nsid w:val="0EA90993"/>
    <w:multiLevelType w:val="hybridMultilevel"/>
    <w:tmpl w:val="73089D1C"/>
    <w:lvl w:ilvl="0" w:tplc="EF6A7F74">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74D0D8D4">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DFCA02FA">
      <w:start w:val="1"/>
      <w:numFmt w:val="lowerRoman"/>
      <w:lvlText w:val="(%3)"/>
      <w:lvlJc w:val="left"/>
      <w:pPr>
        <w:ind w:left="1842" w:hanging="569"/>
      </w:pPr>
      <w:rPr>
        <w:rFonts w:ascii="Arial" w:eastAsia="Calibri" w:hAnsi="Arial" w:cs="Arial" w:hint="default"/>
        <w:spacing w:val="-1"/>
        <w:w w:val="100"/>
        <w:sz w:val="20"/>
        <w:szCs w:val="22"/>
        <w:lang w:val="en-US" w:eastAsia="en-US" w:bidi="ar-SA"/>
      </w:rPr>
    </w:lvl>
    <w:lvl w:ilvl="3" w:tplc="1398FBFA">
      <w:numFmt w:val="bullet"/>
      <w:lvlText w:val="•"/>
      <w:lvlJc w:val="left"/>
      <w:pPr>
        <w:ind w:left="2780" w:hanging="569"/>
      </w:pPr>
      <w:rPr>
        <w:rFonts w:hint="default"/>
        <w:lang w:val="en-US" w:eastAsia="en-US" w:bidi="ar-SA"/>
      </w:rPr>
    </w:lvl>
    <w:lvl w:ilvl="4" w:tplc="4DBA2A96">
      <w:numFmt w:val="bullet"/>
      <w:lvlText w:val="•"/>
      <w:lvlJc w:val="left"/>
      <w:pPr>
        <w:ind w:left="3721" w:hanging="569"/>
      </w:pPr>
      <w:rPr>
        <w:rFonts w:hint="default"/>
        <w:lang w:val="en-US" w:eastAsia="en-US" w:bidi="ar-SA"/>
      </w:rPr>
    </w:lvl>
    <w:lvl w:ilvl="5" w:tplc="4BB01858">
      <w:numFmt w:val="bullet"/>
      <w:lvlText w:val="•"/>
      <w:lvlJc w:val="left"/>
      <w:pPr>
        <w:ind w:left="4662" w:hanging="569"/>
      </w:pPr>
      <w:rPr>
        <w:rFonts w:hint="default"/>
        <w:lang w:val="en-US" w:eastAsia="en-US" w:bidi="ar-SA"/>
      </w:rPr>
    </w:lvl>
    <w:lvl w:ilvl="6" w:tplc="558C582C">
      <w:numFmt w:val="bullet"/>
      <w:lvlText w:val="•"/>
      <w:lvlJc w:val="left"/>
      <w:pPr>
        <w:ind w:left="5603" w:hanging="569"/>
      </w:pPr>
      <w:rPr>
        <w:rFonts w:hint="default"/>
        <w:lang w:val="en-US" w:eastAsia="en-US" w:bidi="ar-SA"/>
      </w:rPr>
    </w:lvl>
    <w:lvl w:ilvl="7" w:tplc="E222C56C">
      <w:numFmt w:val="bullet"/>
      <w:lvlText w:val="•"/>
      <w:lvlJc w:val="left"/>
      <w:pPr>
        <w:ind w:left="6544" w:hanging="569"/>
      </w:pPr>
      <w:rPr>
        <w:rFonts w:hint="default"/>
        <w:lang w:val="en-US" w:eastAsia="en-US" w:bidi="ar-SA"/>
      </w:rPr>
    </w:lvl>
    <w:lvl w:ilvl="8" w:tplc="6F06C020">
      <w:numFmt w:val="bullet"/>
      <w:lvlText w:val="•"/>
      <w:lvlJc w:val="left"/>
      <w:pPr>
        <w:ind w:left="7484" w:hanging="569"/>
      </w:pPr>
      <w:rPr>
        <w:rFonts w:hint="default"/>
        <w:lang w:val="en-US" w:eastAsia="en-US" w:bidi="ar-SA"/>
      </w:rPr>
    </w:lvl>
  </w:abstractNum>
  <w:abstractNum w:abstractNumId="51" w15:restartNumberingAfterBreak="0">
    <w:nsid w:val="0EF90B1F"/>
    <w:multiLevelType w:val="hybridMultilevel"/>
    <w:tmpl w:val="E1AAB7A6"/>
    <w:lvl w:ilvl="0" w:tplc="D5B626A6">
      <w:start w:val="1"/>
      <w:numFmt w:val="bullet"/>
      <w:lvlText w:val=""/>
      <w:lvlJc w:val="left"/>
      <w:pPr>
        <w:ind w:left="36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0F0E4A81"/>
    <w:multiLevelType w:val="hybridMultilevel"/>
    <w:tmpl w:val="AEA440FA"/>
    <w:lvl w:ilvl="0" w:tplc="37C4BB4A">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FD9E595C">
      <w:numFmt w:val="bullet"/>
      <w:lvlText w:val="•"/>
      <w:lvlJc w:val="left"/>
      <w:pPr>
        <w:ind w:left="1566" w:hanging="567"/>
      </w:pPr>
      <w:rPr>
        <w:rFonts w:hint="default"/>
        <w:lang w:val="en-US" w:eastAsia="en-US" w:bidi="ar-SA"/>
      </w:rPr>
    </w:lvl>
    <w:lvl w:ilvl="2" w:tplc="B6E87E62">
      <w:numFmt w:val="bullet"/>
      <w:lvlText w:val="•"/>
      <w:lvlJc w:val="left"/>
      <w:pPr>
        <w:ind w:left="2433" w:hanging="567"/>
      </w:pPr>
      <w:rPr>
        <w:rFonts w:hint="default"/>
        <w:lang w:val="en-US" w:eastAsia="en-US" w:bidi="ar-SA"/>
      </w:rPr>
    </w:lvl>
    <w:lvl w:ilvl="3" w:tplc="13FAD114">
      <w:numFmt w:val="bullet"/>
      <w:lvlText w:val="•"/>
      <w:lvlJc w:val="left"/>
      <w:pPr>
        <w:ind w:left="3299" w:hanging="567"/>
      </w:pPr>
      <w:rPr>
        <w:rFonts w:hint="default"/>
        <w:lang w:val="en-US" w:eastAsia="en-US" w:bidi="ar-SA"/>
      </w:rPr>
    </w:lvl>
    <w:lvl w:ilvl="4" w:tplc="9F38D740">
      <w:numFmt w:val="bullet"/>
      <w:lvlText w:val="•"/>
      <w:lvlJc w:val="left"/>
      <w:pPr>
        <w:ind w:left="4166" w:hanging="567"/>
      </w:pPr>
      <w:rPr>
        <w:rFonts w:hint="default"/>
        <w:lang w:val="en-US" w:eastAsia="en-US" w:bidi="ar-SA"/>
      </w:rPr>
    </w:lvl>
    <w:lvl w:ilvl="5" w:tplc="6DF4BED2">
      <w:numFmt w:val="bullet"/>
      <w:lvlText w:val="•"/>
      <w:lvlJc w:val="left"/>
      <w:pPr>
        <w:ind w:left="5033" w:hanging="567"/>
      </w:pPr>
      <w:rPr>
        <w:rFonts w:hint="default"/>
        <w:lang w:val="en-US" w:eastAsia="en-US" w:bidi="ar-SA"/>
      </w:rPr>
    </w:lvl>
    <w:lvl w:ilvl="6" w:tplc="FF702CC4">
      <w:numFmt w:val="bullet"/>
      <w:lvlText w:val="•"/>
      <w:lvlJc w:val="left"/>
      <w:pPr>
        <w:ind w:left="5899" w:hanging="567"/>
      </w:pPr>
      <w:rPr>
        <w:rFonts w:hint="default"/>
        <w:lang w:val="en-US" w:eastAsia="en-US" w:bidi="ar-SA"/>
      </w:rPr>
    </w:lvl>
    <w:lvl w:ilvl="7" w:tplc="B3DC89CC">
      <w:numFmt w:val="bullet"/>
      <w:lvlText w:val="•"/>
      <w:lvlJc w:val="left"/>
      <w:pPr>
        <w:ind w:left="6766" w:hanging="567"/>
      </w:pPr>
      <w:rPr>
        <w:rFonts w:hint="default"/>
        <w:lang w:val="en-US" w:eastAsia="en-US" w:bidi="ar-SA"/>
      </w:rPr>
    </w:lvl>
    <w:lvl w:ilvl="8" w:tplc="E3C8F3A2">
      <w:numFmt w:val="bullet"/>
      <w:lvlText w:val="•"/>
      <w:lvlJc w:val="left"/>
      <w:pPr>
        <w:ind w:left="7633" w:hanging="567"/>
      </w:pPr>
      <w:rPr>
        <w:rFonts w:hint="default"/>
        <w:lang w:val="en-US" w:eastAsia="en-US" w:bidi="ar-SA"/>
      </w:rPr>
    </w:lvl>
  </w:abstractNum>
  <w:abstractNum w:abstractNumId="53" w15:restartNumberingAfterBreak="0">
    <w:nsid w:val="0F224DDF"/>
    <w:multiLevelType w:val="hybridMultilevel"/>
    <w:tmpl w:val="E852546A"/>
    <w:lvl w:ilvl="0" w:tplc="5CB87754">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FE3E5B60">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069CFA3C">
      <w:numFmt w:val="bullet"/>
      <w:lvlText w:val="•"/>
      <w:lvlJc w:val="left"/>
      <w:pPr>
        <w:ind w:left="2178" w:hanging="567"/>
      </w:pPr>
      <w:rPr>
        <w:rFonts w:hint="default"/>
        <w:lang w:val="en-US" w:eastAsia="en-US" w:bidi="ar-SA"/>
      </w:rPr>
    </w:lvl>
    <w:lvl w:ilvl="3" w:tplc="7584AE4E">
      <w:numFmt w:val="bullet"/>
      <w:lvlText w:val="•"/>
      <w:lvlJc w:val="left"/>
      <w:pPr>
        <w:ind w:left="3076" w:hanging="567"/>
      </w:pPr>
      <w:rPr>
        <w:rFonts w:hint="default"/>
        <w:lang w:val="en-US" w:eastAsia="en-US" w:bidi="ar-SA"/>
      </w:rPr>
    </w:lvl>
    <w:lvl w:ilvl="4" w:tplc="8D348732">
      <w:numFmt w:val="bullet"/>
      <w:lvlText w:val="•"/>
      <w:lvlJc w:val="left"/>
      <w:pPr>
        <w:ind w:left="3975" w:hanging="567"/>
      </w:pPr>
      <w:rPr>
        <w:rFonts w:hint="default"/>
        <w:lang w:val="en-US" w:eastAsia="en-US" w:bidi="ar-SA"/>
      </w:rPr>
    </w:lvl>
    <w:lvl w:ilvl="5" w:tplc="1DFCB810">
      <w:numFmt w:val="bullet"/>
      <w:lvlText w:val="•"/>
      <w:lvlJc w:val="left"/>
      <w:pPr>
        <w:ind w:left="4873" w:hanging="567"/>
      </w:pPr>
      <w:rPr>
        <w:rFonts w:hint="default"/>
        <w:lang w:val="en-US" w:eastAsia="en-US" w:bidi="ar-SA"/>
      </w:rPr>
    </w:lvl>
    <w:lvl w:ilvl="6" w:tplc="EC46E48A">
      <w:numFmt w:val="bullet"/>
      <w:lvlText w:val="•"/>
      <w:lvlJc w:val="left"/>
      <w:pPr>
        <w:ind w:left="5772" w:hanging="567"/>
      </w:pPr>
      <w:rPr>
        <w:rFonts w:hint="default"/>
        <w:lang w:val="en-US" w:eastAsia="en-US" w:bidi="ar-SA"/>
      </w:rPr>
    </w:lvl>
    <w:lvl w:ilvl="7" w:tplc="1222F3FC">
      <w:numFmt w:val="bullet"/>
      <w:lvlText w:val="•"/>
      <w:lvlJc w:val="left"/>
      <w:pPr>
        <w:ind w:left="6670" w:hanging="567"/>
      </w:pPr>
      <w:rPr>
        <w:rFonts w:hint="default"/>
        <w:lang w:val="en-US" w:eastAsia="en-US" w:bidi="ar-SA"/>
      </w:rPr>
    </w:lvl>
    <w:lvl w:ilvl="8" w:tplc="B11402F4">
      <w:numFmt w:val="bullet"/>
      <w:lvlText w:val="•"/>
      <w:lvlJc w:val="left"/>
      <w:pPr>
        <w:ind w:left="7569" w:hanging="567"/>
      </w:pPr>
      <w:rPr>
        <w:rFonts w:hint="default"/>
        <w:lang w:val="en-US" w:eastAsia="en-US" w:bidi="ar-SA"/>
      </w:rPr>
    </w:lvl>
  </w:abstractNum>
  <w:abstractNum w:abstractNumId="54" w15:restartNumberingAfterBreak="0">
    <w:nsid w:val="0F306323"/>
    <w:multiLevelType w:val="hybridMultilevel"/>
    <w:tmpl w:val="65CA50A8"/>
    <w:lvl w:ilvl="0" w:tplc="473AE964">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972601C2">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4BF6761C">
      <w:numFmt w:val="bullet"/>
      <w:lvlText w:val="•"/>
      <w:lvlJc w:val="left"/>
      <w:pPr>
        <w:ind w:left="2178" w:hanging="567"/>
      </w:pPr>
      <w:rPr>
        <w:rFonts w:hint="default"/>
        <w:lang w:val="en-US" w:eastAsia="en-US" w:bidi="ar-SA"/>
      </w:rPr>
    </w:lvl>
    <w:lvl w:ilvl="3" w:tplc="72D247F6">
      <w:numFmt w:val="bullet"/>
      <w:lvlText w:val="•"/>
      <w:lvlJc w:val="left"/>
      <w:pPr>
        <w:ind w:left="3076" w:hanging="567"/>
      </w:pPr>
      <w:rPr>
        <w:rFonts w:hint="default"/>
        <w:lang w:val="en-US" w:eastAsia="en-US" w:bidi="ar-SA"/>
      </w:rPr>
    </w:lvl>
    <w:lvl w:ilvl="4" w:tplc="08145DE8">
      <w:numFmt w:val="bullet"/>
      <w:lvlText w:val="•"/>
      <w:lvlJc w:val="left"/>
      <w:pPr>
        <w:ind w:left="3975" w:hanging="567"/>
      </w:pPr>
      <w:rPr>
        <w:rFonts w:hint="default"/>
        <w:lang w:val="en-US" w:eastAsia="en-US" w:bidi="ar-SA"/>
      </w:rPr>
    </w:lvl>
    <w:lvl w:ilvl="5" w:tplc="07464924">
      <w:numFmt w:val="bullet"/>
      <w:lvlText w:val="•"/>
      <w:lvlJc w:val="left"/>
      <w:pPr>
        <w:ind w:left="4873" w:hanging="567"/>
      </w:pPr>
      <w:rPr>
        <w:rFonts w:hint="default"/>
        <w:lang w:val="en-US" w:eastAsia="en-US" w:bidi="ar-SA"/>
      </w:rPr>
    </w:lvl>
    <w:lvl w:ilvl="6" w:tplc="4E32514E">
      <w:numFmt w:val="bullet"/>
      <w:lvlText w:val="•"/>
      <w:lvlJc w:val="left"/>
      <w:pPr>
        <w:ind w:left="5772" w:hanging="567"/>
      </w:pPr>
      <w:rPr>
        <w:rFonts w:hint="default"/>
        <w:lang w:val="en-US" w:eastAsia="en-US" w:bidi="ar-SA"/>
      </w:rPr>
    </w:lvl>
    <w:lvl w:ilvl="7" w:tplc="8F1218B4">
      <w:numFmt w:val="bullet"/>
      <w:lvlText w:val="•"/>
      <w:lvlJc w:val="left"/>
      <w:pPr>
        <w:ind w:left="6670" w:hanging="567"/>
      </w:pPr>
      <w:rPr>
        <w:rFonts w:hint="default"/>
        <w:lang w:val="en-US" w:eastAsia="en-US" w:bidi="ar-SA"/>
      </w:rPr>
    </w:lvl>
    <w:lvl w:ilvl="8" w:tplc="01BA90D6">
      <w:numFmt w:val="bullet"/>
      <w:lvlText w:val="•"/>
      <w:lvlJc w:val="left"/>
      <w:pPr>
        <w:ind w:left="7569" w:hanging="567"/>
      </w:pPr>
      <w:rPr>
        <w:rFonts w:hint="default"/>
        <w:lang w:val="en-US" w:eastAsia="en-US" w:bidi="ar-SA"/>
      </w:rPr>
    </w:lvl>
  </w:abstractNum>
  <w:abstractNum w:abstractNumId="55" w15:restartNumberingAfterBreak="0">
    <w:nsid w:val="0F3D5461"/>
    <w:multiLevelType w:val="hybridMultilevel"/>
    <w:tmpl w:val="BD54D890"/>
    <w:lvl w:ilvl="0" w:tplc="C56A309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8ABE4496">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EE70DC64">
      <w:numFmt w:val="bullet"/>
      <w:lvlText w:val="•"/>
      <w:lvlJc w:val="left"/>
      <w:pPr>
        <w:ind w:left="2178" w:hanging="567"/>
      </w:pPr>
      <w:rPr>
        <w:lang w:val="en-US" w:eastAsia="en-US" w:bidi="ar-SA"/>
      </w:rPr>
    </w:lvl>
    <w:lvl w:ilvl="3" w:tplc="A14A165A">
      <w:numFmt w:val="bullet"/>
      <w:lvlText w:val="•"/>
      <w:lvlJc w:val="left"/>
      <w:pPr>
        <w:ind w:left="3076" w:hanging="567"/>
      </w:pPr>
      <w:rPr>
        <w:lang w:val="en-US" w:eastAsia="en-US" w:bidi="ar-SA"/>
      </w:rPr>
    </w:lvl>
    <w:lvl w:ilvl="4" w:tplc="E84EA244">
      <w:numFmt w:val="bullet"/>
      <w:lvlText w:val="•"/>
      <w:lvlJc w:val="left"/>
      <w:pPr>
        <w:ind w:left="3975" w:hanging="567"/>
      </w:pPr>
      <w:rPr>
        <w:lang w:val="en-US" w:eastAsia="en-US" w:bidi="ar-SA"/>
      </w:rPr>
    </w:lvl>
    <w:lvl w:ilvl="5" w:tplc="9BBE6E32">
      <w:numFmt w:val="bullet"/>
      <w:lvlText w:val="•"/>
      <w:lvlJc w:val="left"/>
      <w:pPr>
        <w:ind w:left="4873" w:hanging="567"/>
      </w:pPr>
      <w:rPr>
        <w:lang w:val="en-US" w:eastAsia="en-US" w:bidi="ar-SA"/>
      </w:rPr>
    </w:lvl>
    <w:lvl w:ilvl="6" w:tplc="D11A524C">
      <w:numFmt w:val="bullet"/>
      <w:lvlText w:val="•"/>
      <w:lvlJc w:val="left"/>
      <w:pPr>
        <w:ind w:left="5772" w:hanging="567"/>
      </w:pPr>
      <w:rPr>
        <w:lang w:val="en-US" w:eastAsia="en-US" w:bidi="ar-SA"/>
      </w:rPr>
    </w:lvl>
    <w:lvl w:ilvl="7" w:tplc="9FA052AC">
      <w:numFmt w:val="bullet"/>
      <w:lvlText w:val="•"/>
      <w:lvlJc w:val="left"/>
      <w:pPr>
        <w:ind w:left="6670" w:hanging="567"/>
      </w:pPr>
      <w:rPr>
        <w:lang w:val="en-US" w:eastAsia="en-US" w:bidi="ar-SA"/>
      </w:rPr>
    </w:lvl>
    <w:lvl w:ilvl="8" w:tplc="2AE63C1A">
      <w:numFmt w:val="bullet"/>
      <w:lvlText w:val="•"/>
      <w:lvlJc w:val="left"/>
      <w:pPr>
        <w:ind w:left="7569" w:hanging="567"/>
      </w:pPr>
      <w:rPr>
        <w:lang w:val="en-US" w:eastAsia="en-US" w:bidi="ar-SA"/>
      </w:rPr>
    </w:lvl>
  </w:abstractNum>
  <w:abstractNum w:abstractNumId="56" w15:restartNumberingAfterBreak="0">
    <w:nsid w:val="0F9F6EA0"/>
    <w:multiLevelType w:val="hybridMultilevel"/>
    <w:tmpl w:val="99027A54"/>
    <w:lvl w:ilvl="0" w:tplc="D5467C4E">
      <w:start w:val="1"/>
      <w:numFmt w:val="lowerLetter"/>
      <w:lvlText w:val="(%1)"/>
      <w:lvlJc w:val="left"/>
      <w:pPr>
        <w:ind w:left="706" w:hanging="567"/>
      </w:pPr>
      <w:rPr>
        <w:rFonts w:ascii="Arial" w:eastAsia="Calibri" w:hAnsi="Arial" w:cs="Arial" w:hint="default"/>
        <w:spacing w:val="-1"/>
        <w:w w:val="100"/>
        <w:sz w:val="2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0FAD0A3C"/>
    <w:multiLevelType w:val="hybridMultilevel"/>
    <w:tmpl w:val="AA284606"/>
    <w:lvl w:ilvl="0" w:tplc="D438124C">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89F60B8E">
      <w:numFmt w:val="bullet"/>
      <w:lvlText w:val="•"/>
      <w:lvlJc w:val="left"/>
      <w:pPr>
        <w:ind w:left="1566" w:hanging="567"/>
      </w:pPr>
      <w:rPr>
        <w:rFonts w:hint="default"/>
        <w:lang w:val="en-US" w:eastAsia="en-US" w:bidi="ar-SA"/>
      </w:rPr>
    </w:lvl>
    <w:lvl w:ilvl="2" w:tplc="A15A7CDE">
      <w:numFmt w:val="bullet"/>
      <w:lvlText w:val="•"/>
      <w:lvlJc w:val="left"/>
      <w:pPr>
        <w:ind w:left="2433" w:hanging="567"/>
      </w:pPr>
      <w:rPr>
        <w:rFonts w:hint="default"/>
        <w:lang w:val="en-US" w:eastAsia="en-US" w:bidi="ar-SA"/>
      </w:rPr>
    </w:lvl>
    <w:lvl w:ilvl="3" w:tplc="CC684F9A">
      <w:numFmt w:val="bullet"/>
      <w:lvlText w:val="•"/>
      <w:lvlJc w:val="left"/>
      <w:pPr>
        <w:ind w:left="3299" w:hanging="567"/>
      </w:pPr>
      <w:rPr>
        <w:rFonts w:hint="default"/>
        <w:lang w:val="en-US" w:eastAsia="en-US" w:bidi="ar-SA"/>
      </w:rPr>
    </w:lvl>
    <w:lvl w:ilvl="4" w:tplc="5798F922">
      <w:numFmt w:val="bullet"/>
      <w:lvlText w:val="•"/>
      <w:lvlJc w:val="left"/>
      <w:pPr>
        <w:ind w:left="4166" w:hanging="567"/>
      </w:pPr>
      <w:rPr>
        <w:rFonts w:hint="default"/>
        <w:lang w:val="en-US" w:eastAsia="en-US" w:bidi="ar-SA"/>
      </w:rPr>
    </w:lvl>
    <w:lvl w:ilvl="5" w:tplc="4B904442">
      <w:numFmt w:val="bullet"/>
      <w:lvlText w:val="•"/>
      <w:lvlJc w:val="left"/>
      <w:pPr>
        <w:ind w:left="5033" w:hanging="567"/>
      </w:pPr>
      <w:rPr>
        <w:rFonts w:hint="default"/>
        <w:lang w:val="en-US" w:eastAsia="en-US" w:bidi="ar-SA"/>
      </w:rPr>
    </w:lvl>
    <w:lvl w:ilvl="6" w:tplc="EABE12A6">
      <w:numFmt w:val="bullet"/>
      <w:lvlText w:val="•"/>
      <w:lvlJc w:val="left"/>
      <w:pPr>
        <w:ind w:left="5899" w:hanging="567"/>
      </w:pPr>
      <w:rPr>
        <w:rFonts w:hint="default"/>
        <w:lang w:val="en-US" w:eastAsia="en-US" w:bidi="ar-SA"/>
      </w:rPr>
    </w:lvl>
    <w:lvl w:ilvl="7" w:tplc="E2EC3568">
      <w:numFmt w:val="bullet"/>
      <w:lvlText w:val="•"/>
      <w:lvlJc w:val="left"/>
      <w:pPr>
        <w:ind w:left="6766" w:hanging="567"/>
      </w:pPr>
      <w:rPr>
        <w:rFonts w:hint="default"/>
        <w:lang w:val="en-US" w:eastAsia="en-US" w:bidi="ar-SA"/>
      </w:rPr>
    </w:lvl>
    <w:lvl w:ilvl="8" w:tplc="6818CF88">
      <w:numFmt w:val="bullet"/>
      <w:lvlText w:val="•"/>
      <w:lvlJc w:val="left"/>
      <w:pPr>
        <w:ind w:left="7633" w:hanging="567"/>
      </w:pPr>
      <w:rPr>
        <w:rFonts w:hint="default"/>
        <w:lang w:val="en-US" w:eastAsia="en-US" w:bidi="ar-SA"/>
      </w:rPr>
    </w:lvl>
  </w:abstractNum>
  <w:abstractNum w:abstractNumId="58" w15:restartNumberingAfterBreak="0">
    <w:nsid w:val="0FAF582A"/>
    <w:multiLevelType w:val="hybridMultilevel"/>
    <w:tmpl w:val="E54AE13A"/>
    <w:lvl w:ilvl="0" w:tplc="0A9451E2">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C8EA3712">
      <w:numFmt w:val="bullet"/>
      <w:lvlText w:val="•"/>
      <w:lvlJc w:val="left"/>
      <w:pPr>
        <w:ind w:left="1566" w:hanging="567"/>
      </w:pPr>
      <w:rPr>
        <w:lang w:val="en-US" w:eastAsia="en-US" w:bidi="ar-SA"/>
      </w:rPr>
    </w:lvl>
    <w:lvl w:ilvl="2" w:tplc="0660E89E">
      <w:numFmt w:val="bullet"/>
      <w:lvlText w:val="•"/>
      <w:lvlJc w:val="left"/>
      <w:pPr>
        <w:ind w:left="2433" w:hanging="567"/>
      </w:pPr>
      <w:rPr>
        <w:lang w:val="en-US" w:eastAsia="en-US" w:bidi="ar-SA"/>
      </w:rPr>
    </w:lvl>
    <w:lvl w:ilvl="3" w:tplc="9B2EDA2C">
      <w:numFmt w:val="bullet"/>
      <w:lvlText w:val="•"/>
      <w:lvlJc w:val="left"/>
      <w:pPr>
        <w:ind w:left="3299" w:hanging="567"/>
      </w:pPr>
      <w:rPr>
        <w:lang w:val="en-US" w:eastAsia="en-US" w:bidi="ar-SA"/>
      </w:rPr>
    </w:lvl>
    <w:lvl w:ilvl="4" w:tplc="5BF08B74">
      <w:numFmt w:val="bullet"/>
      <w:lvlText w:val="•"/>
      <w:lvlJc w:val="left"/>
      <w:pPr>
        <w:ind w:left="4166" w:hanging="567"/>
      </w:pPr>
      <w:rPr>
        <w:lang w:val="en-US" w:eastAsia="en-US" w:bidi="ar-SA"/>
      </w:rPr>
    </w:lvl>
    <w:lvl w:ilvl="5" w:tplc="4B6A787E">
      <w:numFmt w:val="bullet"/>
      <w:lvlText w:val="•"/>
      <w:lvlJc w:val="left"/>
      <w:pPr>
        <w:ind w:left="5033" w:hanging="567"/>
      </w:pPr>
      <w:rPr>
        <w:lang w:val="en-US" w:eastAsia="en-US" w:bidi="ar-SA"/>
      </w:rPr>
    </w:lvl>
    <w:lvl w:ilvl="6" w:tplc="ED580688">
      <w:numFmt w:val="bullet"/>
      <w:lvlText w:val="•"/>
      <w:lvlJc w:val="left"/>
      <w:pPr>
        <w:ind w:left="5899" w:hanging="567"/>
      </w:pPr>
      <w:rPr>
        <w:lang w:val="en-US" w:eastAsia="en-US" w:bidi="ar-SA"/>
      </w:rPr>
    </w:lvl>
    <w:lvl w:ilvl="7" w:tplc="DD3E19E6">
      <w:numFmt w:val="bullet"/>
      <w:lvlText w:val="•"/>
      <w:lvlJc w:val="left"/>
      <w:pPr>
        <w:ind w:left="6766" w:hanging="567"/>
      </w:pPr>
      <w:rPr>
        <w:lang w:val="en-US" w:eastAsia="en-US" w:bidi="ar-SA"/>
      </w:rPr>
    </w:lvl>
    <w:lvl w:ilvl="8" w:tplc="FAE61616">
      <w:numFmt w:val="bullet"/>
      <w:lvlText w:val="•"/>
      <w:lvlJc w:val="left"/>
      <w:pPr>
        <w:ind w:left="7633" w:hanging="567"/>
      </w:pPr>
      <w:rPr>
        <w:lang w:val="en-US" w:eastAsia="en-US" w:bidi="ar-SA"/>
      </w:rPr>
    </w:lvl>
  </w:abstractNum>
  <w:abstractNum w:abstractNumId="59" w15:restartNumberingAfterBreak="0">
    <w:nsid w:val="10890452"/>
    <w:multiLevelType w:val="hybridMultilevel"/>
    <w:tmpl w:val="7B8064FE"/>
    <w:lvl w:ilvl="0" w:tplc="F8AA439E">
      <w:start w:val="1"/>
      <w:numFmt w:val="lowerLetter"/>
      <w:lvlText w:val="(%1)"/>
      <w:lvlJc w:val="left"/>
      <w:pPr>
        <w:ind w:left="706" w:hanging="567"/>
      </w:pPr>
      <w:rPr>
        <w:rFonts w:ascii="Arial" w:eastAsia="Calibri" w:hAnsi="Arial" w:cs="Arial" w:hint="default"/>
        <w:spacing w:val="-1"/>
        <w:w w:val="100"/>
        <w:sz w:val="20"/>
        <w:szCs w:val="20"/>
        <w:lang w:val="en-US" w:eastAsia="en-US" w:bidi="ar-SA"/>
      </w:rPr>
    </w:lvl>
    <w:lvl w:ilvl="1" w:tplc="D5524038">
      <w:start w:val="1"/>
      <w:numFmt w:val="decimal"/>
      <w:lvlText w:val="(%2)"/>
      <w:lvlJc w:val="left"/>
      <w:pPr>
        <w:ind w:left="1273" w:hanging="567"/>
      </w:pPr>
      <w:rPr>
        <w:rFonts w:ascii="Arial" w:eastAsia="Calibri" w:hAnsi="Arial" w:cs="Arial" w:hint="default"/>
        <w:spacing w:val="-1"/>
        <w:w w:val="100"/>
        <w:sz w:val="20"/>
        <w:szCs w:val="20"/>
        <w:lang w:val="en-US" w:eastAsia="en-US" w:bidi="ar-SA"/>
      </w:rPr>
    </w:lvl>
    <w:lvl w:ilvl="2" w:tplc="1146178E">
      <w:numFmt w:val="bullet"/>
      <w:lvlText w:val="•"/>
      <w:lvlJc w:val="left"/>
      <w:pPr>
        <w:ind w:left="2178" w:hanging="567"/>
      </w:pPr>
      <w:rPr>
        <w:rFonts w:hint="default"/>
        <w:lang w:val="en-US" w:eastAsia="en-US" w:bidi="ar-SA"/>
      </w:rPr>
    </w:lvl>
    <w:lvl w:ilvl="3" w:tplc="EBD849A2">
      <w:numFmt w:val="bullet"/>
      <w:lvlText w:val="•"/>
      <w:lvlJc w:val="left"/>
      <w:pPr>
        <w:ind w:left="3076" w:hanging="567"/>
      </w:pPr>
      <w:rPr>
        <w:rFonts w:hint="default"/>
        <w:lang w:val="en-US" w:eastAsia="en-US" w:bidi="ar-SA"/>
      </w:rPr>
    </w:lvl>
    <w:lvl w:ilvl="4" w:tplc="3E4664FC">
      <w:numFmt w:val="bullet"/>
      <w:lvlText w:val="•"/>
      <w:lvlJc w:val="left"/>
      <w:pPr>
        <w:ind w:left="3975" w:hanging="567"/>
      </w:pPr>
      <w:rPr>
        <w:rFonts w:hint="default"/>
        <w:lang w:val="en-US" w:eastAsia="en-US" w:bidi="ar-SA"/>
      </w:rPr>
    </w:lvl>
    <w:lvl w:ilvl="5" w:tplc="ABA8D95C">
      <w:numFmt w:val="bullet"/>
      <w:lvlText w:val="•"/>
      <w:lvlJc w:val="left"/>
      <w:pPr>
        <w:ind w:left="4873" w:hanging="567"/>
      </w:pPr>
      <w:rPr>
        <w:rFonts w:hint="default"/>
        <w:lang w:val="en-US" w:eastAsia="en-US" w:bidi="ar-SA"/>
      </w:rPr>
    </w:lvl>
    <w:lvl w:ilvl="6" w:tplc="4784FBF0">
      <w:numFmt w:val="bullet"/>
      <w:lvlText w:val="•"/>
      <w:lvlJc w:val="left"/>
      <w:pPr>
        <w:ind w:left="5772" w:hanging="567"/>
      </w:pPr>
      <w:rPr>
        <w:rFonts w:hint="default"/>
        <w:lang w:val="en-US" w:eastAsia="en-US" w:bidi="ar-SA"/>
      </w:rPr>
    </w:lvl>
    <w:lvl w:ilvl="7" w:tplc="AC54B462">
      <w:numFmt w:val="bullet"/>
      <w:lvlText w:val="•"/>
      <w:lvlJc w:val="left"/>
      <w:pPr>
        <w:ind w:left="6670" w:hanging="567"/>
      </w:pPr>
      <w:rPr>
        <w:rFonts w:hint="default"/>
        <w:lang w:val="en-US" w:eastAsia="en-US" w:bidi="ar-SA"/>
      </w:rPr>
    </w:lvl>
    <w:lvl w:ilvl="8" w:tplc="95D0D102">
      <w:numFmt w:val="bullet"/>
      <w:lvlText w:val="•"/>
      <w:lvlJc w:val="left"/>
      <w:pPr>
        <w:ind w:left="7569" w:hanging="567"/>
      </w:pPr>
      <w:rPr>
        <w:rFonts w:hint="default"/>
        <w:lang w:val="en-US" w:eastAsia="en-US" w:bidi="ar-SA"/>
      </w:rPr>
    </w:lvl>
  </w:abstractNum>
  <w:abstractNum w:abstractNumId="60" w15:restartNumberingAfterBreak="0">
    <w:nsid w:val="10EB4116"/>
    <w:multiLevelType w:val="hybridMultilevel"/>
    <w:tmpl w:val="539E3AE0"/>
    <w:lvl w:ilvl="0" w:tplc="0CF43360">
      <w:start w:val="1"/>
      <w:numFmt w:val="lowerRoman"/>
      <w:lvlText w:val="(%1)"/>
      <w:lvlJc w:val="left"/>
      <w:pPr>
        <w:ind w:left="1842" w:hanging="569"/>
      </w:pPr>
      <w:rPr>
        <w:rFonts w:ascii="Arial" w:eastAsia="Calibri" w:hAnsi="Arial" w:cs="Arial" w:hint="default"/>
        <w:spacing w:val="-1"/>
        <w:w w:val="100"/>
        <w:sz w:val="20"/>
        <w:szCs w:val="22"/>
        <w:lang w:val="en-US" w:eastAsia="en-US" w:bidi="ar-SA"/>
      </w:rPr>
    </w:lvl>
    <w:lvl w:ilvl="1" w:tplc="703ADE26">
      <w:numFmt w:val="bullet"/>
      <w:lvlText w:val="•"/>
      <w:lvlJc w:val="left"/>
      <w:pPr>
        <w:ind w:left="2592" w:hanging="569"/>
      </w:pPr>
      <w:rPr>
        <w:rFonts w:hint="default"/>
        <w:lang w:val="en-US" w:eastAsia="en-US" w:bidi="ar-SA"/>
      </w:rPr>
    </w:lvl>
    <w:lvl w:ilvl="2" w:tplc="1AF200EE">
      <w:numFmt w:val="bullet"/>
      <w:lvlText w:val="•"/>
      <w:lvlJc w:val="left"/>
      <w:pPr>
        <w:ind w:left="3345" w:hanging="569"/>
      </w:pPr>
      <w:rPr>
        <w:rFonts w:hint="default"/>
        <w:lang w:val="en-US" w:eastAsia="en-US" w:bidi="ar-SA"/>
      </w:rPr>
    </w:lvl>
    <w:lvl w:ilvl="3" w:tplc="23A6FC86">
      <w:numFmt w:val="bullet"/>
      <w:lvlText w:val="•"/>
      <w:lvlJc w:val="left"/>
      <w:pPr>
        <w:ind w:left="4097" w:hanging="569"/>
      </w:pPr>
      <w:rPr>
        <w:rFonts w:hint="default"/>
        <w:lang w:val="en-US" w:eastAsia="en-US" w:bidi="ar-SA"/>
      </w:rPr>
    </w:lvl>
    <w:lvl w:ilvl="4" w:tplc="27CC482C">
      <w:numFmt w:val="bullet"/>
      <w:lvlText w:val="•"/>
      <w:lvlJc w:val="left"/>
      <w:pPr>
        <w:ind w:left="4850" w:hanging="569"/>
      </w:pPr>
      <w:rPr>
        <w:rFonts w:hint="default"/>
        <w:lang w:val="en-US" w:eastAsia="en-US" w:bidi="ar-SA"/>
      </w:rPr>
    </w:lvl>
    <w:lvl w:ilvl="5" w:tplc="34D2DF4A">
      <w:numFmt w:val="bullet"/>
      <w:lvlText w:val="•"/>
      <w:lvlJc w:val="left"/>
      <w:pPr>
        <w:ind w:left="5603" w:hanging="569"/>
      </w:pPr>
      <w:rPr>
        <w:rFonts w:hint="default"/>
        <w:lang w:val="en-US" w:eastAsia="en-US" w:bidi="ar-SA"/>
      </w:rPr>
    </w:lvl>
    <w:lvl w:ilvl="6" w:tplc="D76CE772">
      <w:numFmt w:val="bullet"/>
      <w:lvlText w:val="•"/>
      <w:lvlJc w:val="left"/>
      <w:pPr>
        <w:ind w:left="6355" w:hanging="569"/>
      </w:pPr>
      <w:rPr>
        <w:rFonts w:hint="default"/>
        <w:lang w:val="en-US" w:eastAsia="en-US" w:bidi="ar-SA"/>
      </w:rPr>
    </w:lvl>
    <w:lvl w:ilvl="7" w:tplc="C1A2FD7A">
      <w:numFmt w:val="bullet"/>
      <w:lvlText w:val="•"/>
      <w:lvlJc w:val="left"/>
      <w:pPr>
        <w:ind w:left="7108" w:hanging="569"/>
      </w:pPr>
      <w:rPr>
        <w:rFonts w:hint="default"/>
        <w:lang w:val="en-US" w:eastAsia="en-US" w:bidi="ar-SA"/>
      </w:rPr>
    </w:lvl>
    <w:lvl w:ilvl="8" w:tplc="E04C41C6">
      <w:numFmt w:val="bullet"/>
      <w:lvlText w:val="•"/>
      <w:lvlJc w:val="left"/>
      <w:pPr>
        <w:ind w:left="7861" w:hanging="569"/>
      </w:pPr>
      <w:rPr>
        <w:rFonts w:hint="default"/>
        <w:lang w:val="en-US" w:eastAsia="en-US" w:bidi="ar-SA"/>
      </w:rPr>
    </w:lvl>
  </w:abstractNum>
  <w:abstractNum w:abstractNumId="61" w15:restartNumberingAfterBreak="0">
    <w:nsid w:val="11B73E42"/>
    <w:multiLevelType w:val="hybridMultilevel"/>
    <w:tmpl w:val="02F850EA"/>
    <w:lvl w:ilvl="0" w:tplc="8DE4FA88">
      <w:start w:val="1"/>
      <w:numFmt w:val="lowerRoman"/>
      <w:lvlText w:val="(%1)"/>
      <w:lvlJc w:val="left"/>
      <w:pPr>
        <w:ind w:left="2408" w:hanging="567"/>
      </w:pPr>
      <w:rPr>
        <w:rFonts w:ascii="Arial" w:eastAsia="Calibri" w:hAnsi="Arial" w:cs="Arial" w:hint="default"/>
        <w:spacing w:val="-1"/>
        <w:w w:val="100"/>
        <w:sz w:val="20"/>
        <w:szCs w:val="22"/>
        <w:lang w:val="en-US" w:eastAsia="en-US" w:bidi="ar-SA"/>
      </w:rPr>
    </w:lvl>
    <w:lvl w:ilvl="1" w:tplc="1DFCA6EA">
      <w:numFmt w:val="bullet"/>
      <w:lvlText w:val="•"/>
      <w:lvlJc w:val="left"/>
      <w:pPr>
        <w:ind w:left="3096" w:hanging="567"/>
      </w:pPr>
      <w:rPr>
        <w:rFonts w:hint="default"/>
        <w:lang w:val="en-US" w:eastAsia="en-US" w:bidi="ar-SA"/>
      </w:rPr>
    </w:lvl>
    <w:lvl w:ilvl="2" w:tplc="E904E9EC">
      <w:numFmt w:val="bullet"/>
      <w:lvlText w:val="•"/>
      <w:lvlJc w:val="left"/>
      <w:pPr>
        <w:ind w:left="3793" w:hanging="567"/>
      </w:pPr>
      <w:rPr>
        <w:rFonts w:hint="default"/>
        <w:lang w:val="en-US" w:eastAsia="en-US" w:bidi="ar-SA"/>
      </w:rPr>
    </w:lvl>
    <w:lvl w:ilvl="3" w:tplc="C19ADCBC">
      <w:numFmt w:val="bullet"/>
      <w:lvlText w:val="•"/>
      <w:lvlJc w:val="left"/>
      <w:pPr>
        <w:ind w:left="4489" w:hanging="567"/>
      </w:pPr>
      <w:rPr>
        <w:rFonts w:hint="default"/>
        <w:lang w:val="en-US" w:eastAsia="en-US" w:bidi="ar-SA"/>
      </w:rPr>
    </w:lvl>
    <w:lvl w:ilvl="4" w:tplc="A9D01FE2">
      <w:numFmt w:val="bullet"/>
      <w:lvlText w:val="•"/>
      <w:lvlJc w:val="left"/>
      <w:pPr>
        <w:ind w:left="5186" w:hanging="567"/>
      </w:pPr>
      <w:rPr>
        <w:rFonts w:hint="default"/>
        <w:lang w:val="en-US" w:eastAsia="en-US" w:bidi="ar-SA"/>
      </w:rPr>
    </w:lvl>
    <w:lvl w:ilvl="5" w:tplc="72D6E1C2">
      <w:numFmt w:val="bullet"/>
      <w:lvlText w:val="•"/>
      <w:lvlJc w:val="left"/>
      <w:pPr>
        <w:ind w:left="5883" w:hanging="567"/>
      </w:pPr>
      <w:rPr>
        <w:rFonts w:hint="default"/>
        <w:lang w:val="en-US" w:eastAsia="en-US" w:bidi="ar-SA"/>
      </w:rPr>
    </w:lvl>
    <w:lvl w:ilvl="6" w:tplc="90C68E42">
      <w:numFmt w:val="bullet"/>
      <w:lvlText w:val="•"/>
      <w:lvlJc w:val="left"/>
      <w:pPr>
        <w:ind w:left="6579" w:hanging="567"/>
      </w:pPr>
      <w:rPr>
        <w:rFonts w:hint="default"/>
        <w:lang w:val="en-US" w:eastAsia="en-US" w:bidi="ar-SA"/>
      </w:rPr>
    </w:lvl>
    <w:lvl w:ilvl="7" w:tplc="17FEE674">
      <w:numFmt w:val="bullet"/>
      <w:lvlText w:val="•"/>
      <w:lvlJc w:val="left"/>
      <w:pPr>
        <w:ind w:left="7276" w:hanging="567"/>
      </w:pPr>
      <w:rPr>
        <w:rFonts w:hint="default"/>
        <w:lang w:val="en-US" w:eastAsia="en-US" w:bidi="ar-SA"/>
      </w:rPr>
    </w:lvl>
    <w:lvl w:ilvl="8" w:tplc="83D878CA">
      <w:numFmt w:val="bullet"/>
      <w:lvlText w:val="•"/>
      <w:lvlJc w:val="left"/>
      <w:pPr>
        <w:ind w:left="7973" w:hanging="567"/>
      </w:pPr>
      <w:rPr>
        <w:rFonts w:hint="default"/>
        <w:lang w:val="en-US" w:eastAsia="en-US" w:bidi="ar-SA"/>
      </w:rPr>
    </w:lvl>
  </w:abstractNum>
  <w:abstractNum w:abstractNumId="62" w15:restartNumberingAfterBreak="0">
    <w:nsid w:val="11E95423"/>
    <w:multiLevelType w:val="hybridMultilevel"/>
    <w:tmpl w:val="17E8A1BE"/>
    <w:lvl w:ilvl="0" w:tplc="60D8BB6C">
      <w:start w:val="1"/>
      <w:numFmt w:val="lowerLetter"/>
      <w:lvlText w:val="(%1)"/>
      <w:lvlJc w:val="left"/>
      <w:pPr>
        <w:ind w:left="706" w:hanging="567"/>
      </w:pPr>
      <w:rPr>
        <w:rFonts w:ascii="Arial" w:eastAsia="Calibri" w:hAnsi="Arial" w:cs="Arial" w:hint="default"/>
        <w:spacing w:val="-1"/>
        <w:w w:val="100"/>
        <w:sz w:val="20"/>
        <w:szCs w:val="20"/>
        <w:lang w:val="en-US" w:eastAsia="en-US" w:bidi="ar-SA"/>
      </w:rPr>
    </w:lvl>
    <w:lvl w:ilvl="1" w:tplc="B4E2DC32">
      <w:numFmt w:val="bullet"/>
      <w:lvlText w:val="•"/>
      <w:lvlJc w:val="left"/>
      <w:pPr>
        <w:ind w:left="1566" w:hanging="567"/>
      </w:pPr>
      <w:rPr>
        <w:rFonts w:hint="default"/>
        <w:lang w:val="en-US" w:eastAsia="en-US" w:bidi="ar-SA"/>
      </w:rPr>
    </w:lvl>
    <w:lvl w:ilvl="2" w:tplc="E58E0810">
      <w:numFmt w:val="bullet"/>
      <w:lvlText w:val="•"/>
      <w:lvlJc w:val="left"/>
      <w:pPr>
        <w:ind w:left="2433" w:hanging="567"/>
      </w:pPr>
      <w:rPr>
        <w:rFonts w:hint="default"/>
        <w:lang w:val="en-US" w:eastAsia="en-US" w:bidi="ar-SA"/>
      </w:rPr>
    </w:lvl>
    <w:lvl w:ilvl="3" w:tplc="D0A26CEA">
      <w:numFmt w:val="bullet"/>
      <w:lvlText w:val="•"/>
      <w:lvlJc w:val="left"/>
      <w:pPr>
        <w:ind w:left="3299" w:hanging="567"/>
      </w:pPr>
      <w:rPr>
        <w:rFonts w:hint="default"/>
        <w:lang w:val="en-US" w:eastAsia="en-US" w:bidi="ar-SA"/>
      </w:rPr>
    </w:lvl>
    <w:lvl w:ilvl="4" w:tplc="A41A16BE">
      <w:numFmt w:val="bullet"/>
      <w:lvlText w:val="•"/>
      <w:lvlJc w:val="left"/>
      <w:pPr>
        <w:ind w:left="4166" w:hanging="567"/>
      </w:pPr>
      <w:rPr>
        <w:rFonts w:hint="default"/>
        <w:lang w:val="en-US" w:eastAsia="en-US" w:bidi="ar-SA"/>
      </w:rPr>
    </w:lvl>
    <w:lvl w:ilvl="5" w:tplc="CCD20BCE">
      <w:numFmt w:val="bullet"/>
      <w:lvlText w:val="•"/>
      <w:lvlJc w:val="left"/>
      <w:pPr>
        <w:ind w:left="5033" w:hanging="567"/>
      </w:pPr>
      <w:rPr>
        <w:rFonts w:hint="default"/>
        <w:lang w:val="en-US" w:eastAsia="en-US" w:bidi="ar-SA"/>
      </w:rPr>
    </w:lvl>
    <w:lvl w:ilvl="6" w:tplc="3C78160A">
      <w:numFmt w:val="bullet"/>
      <w:lvlText w:val="•"/>
      <w:lvlJc w:val="left"/>
      <w:pPr>
        <w:ind w:left="5899" w:hanging="567"/>
      </w:pPr>
      <w:rPr>
        <w:rFonts w:hint="default"/>
        <w:lang w:val="en-US" w:eastAsia="en-US" w:bidi="ar-SA"/>
      </w:rPr>
    </w:lvl>
    <w:lvl w:ilvl="7" w:tplc="BB84557E">
      <w:numFmt w:val="bullet"/>
      <w:lvlText w:val="•"/>
      <w:lvlJc w:val="left"/>
      <w:pPr>
        <w:ind w:left="6766" w:hanging="567"/>
      </w:pPr>
      <w:rPr>
        <w:rFonts w:hint="default"/>
        <w:lang w:val="en-US" w:eastAsia="en-US" w:bidi="ar-SA"/>
      </w:rPr>
    </w:lvl>
    <w:lvl w:ilvl="8" w:tplc="1942613E">
      <w:numFmt w:val="bullet"/>
      <w:lvlText w:val="•"/>
      <w:lvlJc w:val="left"/>
      <w:pPr>
        <w:ind w:left="7633" w:hanging="567"/>
      </w:pPr>
      <w:rPr>
        <w:rFonts w:hint="default"/>
        <w:lang w:val="en-US" w:eastAsia="en-US" w:bidi="ar-SA"/>
      </w:rPr>
    </w:lvl>
  </w:abstractNum>
  <w:abstractNum w:abstractNumId="63" w15:restartNumberingAfterBreak="0">
    <w:nsid w:val="12033A31"/>
    <w:multiLevelType w:val="hybridMultilevel"/>
    <w:tmpl w:val="A1CC99B8"/>
    <w:lvl w:ilvl="0" w:tplc="AC4E9A2E">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11C4CCC2">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76F2ABF8">
      <w:start w:val="1"/>
      <w:numFmt w:val="lowerRoman"/>
      <w:lvlText w:val="(%3)"/>
      <w:lvlJc w:val="left"/>
      <w:pPr>
        <w:ind w:left="1842" w:hanging="569"/>
      </w:pPr>
      <w:rPr>
        <w:rFonts w:ascii="Arial" w:eastAsia="Calibri" w:hAnsi="Arial" w:cs="Arial" w:hint="default"/>
        <w:spacing w:val="-1"/>
        <w:w w:val="100"/>
        <w:sz w:val="20"/>
        <w:szCs w:val="22"/>
        <w:lang w:val="en-US" w:eastAsia="en-US" w:bidi="ar-SA"/>
      </w:rPr>
    </w:lvl>
    <w:lvl w:ilvl="3" w:tplc="BB9E4896">
      <w:start w:val="1"/>
      <w:numFmt w:val="upperLetter"/>
      <w:lvlText w:val="(%4)"/>
      <w:lvlJc w:val="left"/>
      <w:pPr>
        <w:ind w:left="2408" w:hanging="567"/>
      </w:pPr>
      <w:rPr>
        <w:rFonts w:ascii="Arial" w:eastAsia="Calibri" w:hAnsi="Arial" w:cs="Arial" w:hint="default"/>
        <w:spacing w:val="-1"/>
        <w:w w:val="100"/>
        <w:sz w:val="20"/>
        <w:szCs w:val="22"/>
        <w:lang w:val="en-US" w:eastAsia="en-US" w:bidi="ar-SA"/>
      </w:rPr>
    </w:lvl>
    <w:lvl w:ilvl="4" w:tplc="3B06E076">
      <w:numFmt w:val="bullet"/>
      <w:lvlText w:val="•"/>
      <w:lvlJc w:val="left"/>
      <w:pPr>
        <w:ind w:left="2283" w:hanging="567"/>
      </w:pPr>
      <w:rPr>
        <w:rFonts w:hint="default"/>
        <w:lang w:val="en-US" w:eastAsia="en-US" w:bidi="ar-SA"/>
      </w:rPr>
    </w:lvl>
    <w:lvl w:ilvl="5" w:tplc="C70EF322">
      <w:numFmt w:val="bullet"/>
      <w:lvlText w:val="•"/>
      <w:lvlJc w:val="left"/>
      <w:pPr>
        <w:ind w:left="2166" w:hanging="567"/>
      </w:pPr>
      <w:rPr>
        <w:rFonts w:hint="default"/>
        <w:lang w:val="en-US" w:eastAsia="en-US" w:bidi="ar-SA"/>
      </w:rPr>
    </w:lvl>
    <w:lvl w:ilvl="6" w:tplc="17102FBA">
      <w:numFmt w:val="bullet"/>
      <w:lvlText w:val="•"/>
      <w:lvlJc w:val="left"/>
      <w:pPr>
        <w:ind w:left="2050" w:hanging="567"/>
      </w:pPr>
      <w:rPr>
        <w:rFonts w:hint="default"/>
        <w:lang w:val="en-US" w:eastAsia="en-US" w:bidi="ar-SA"/>
      </w:rPr>
    </w:lvl>
    <w:lvl w:ilvl="7" w:tplc="37DEB5A8">
      <w:numFmt w:val="bullet"/>
      <w:lvlText w:val="•"/>
      <w:lvlJc w:val="left"/>
      <w:pPr>
        <w:ind w:left="1933" w:hanging="567"/>
      </w:pPr>
      <w:rPr>
        <w:rFonts w:hint="default"/>
        <w:lang w:val="en-US" w:eastAsia="en-US" w:bidi="ar-SA"/>
      </w:rPr>
    </w:lvl>
    <w:lvl w:ilvl="8" w:tplc="5CDA6F74">
      <w:numFmt w:val="bullet"/>
      <w:lvlText w:val="•"/>
      <w:lvlJc w:val="left"/>
      <w:pPr>
        <w:ind w:left="1816" w:hanging="567"/>
      </w:pPr>
      <w:rPr>
        <w:rFonts w:hint="default"/>
        <w:lang w:val="en-US" w:eastAsia="en-US" w:bidi="ar-SA"/>
      </w:rPr>
    </w:lvl>
  </w:abstractNum>
  <w:abstractNum w:abstractNumId="64" w15:restartNumberingAfterBreak="0">
    <w:nsid w:val="145D6246"/>
    <w:multiLevelType w:val="hybridMultilevel"/>
    <w:tmpl w:val="DA16F6D6"/>
    <w:lvl w:ilvl="0" w:tplc="0D062122">
      <w:start w:val="1"/>
      <w:numFmt w:val="lowerRoman"/>
      <w:lvlText w:val="(%1)"/>
      <w:lvlJc w:val="left"/>
      <w:pPr>
        <w:ind w:left="1842" w:hanging="569"/>
      </w:pPr>
      <w:rPr>
        <w:rFonts w:ascii="Arial" w:eastAsia="Calibri" w:hAnsi="Arial" w:cs="Arial" w:hint="default"/>
        <w:spacing w:val="-1"/>
        <w:w w:val="100"/>
        <w:sz w:val="20"/>
        <w:szCs w:val="22"/>
        <w:lang w:val="en-US" w:eastAsia="en-US" w:bidi="ar-SA"/>
      </w:rPr>
    </w:lvl>
    <w:lvl w:ilvl="1" w:tplc="ABAA1C7E">
      <w:numFmt w:val="bullet"/>
      <w:lvlText w:val="•"/>
      <w:lvlJc w:val="left"/>
      <w:pPr>
        <w:ind w:left="2592" w:hanging="569"/>
      </w:pPr>
      <w:rPr>
        <w:rFonts w:hint="default"/>
        <w:lang w:val="en-US" w:eastAsia="en-US" w:bidi="ar-SA"/>
      </w:rPr>
    </w:lvl>
    <w:lvl w:ilvl="2" w:tplc="7358631E">
      <w:numFmt w:val="bullet"/>
      <w:lvlText w:val="•"/>
      <w:lvlJc w:val="left"/>
      <w:pPr>
        <w:ind w:left="3345" w:hanging="569"/>
      </w:pPr>
      <w:rPr>
        <w:rFonts w:hint="default"/>
        <w:lang w:val="en-US" w:eastAsia="en-US" w:bidi="ar-SA"/>
      </w:rPr>
    </w:lvl>
    <w:lvl w:ilvl="3" w:tplc="E57E9644">
      <w:numFmt w:val="bullet"/>
      <w:lvlText w:val="•"/>
      <w:lvlJc w:val="left"/>
      <w:pPr>
        <w:ind w:left="4097" w:hanging="569"/>
      </w:pPr>
      <w:rPr>
        <w:rFonts w:hint="default"/>
        <w:lang w:val="en-US" w:eastAsia="en-US" w:bidi="ar-SA"/>
      </w:rPr>
    </w:lvl>
    <w:lvl w:ilvl="4" w:tplc="59965DE8">
      <w:numFmt w:val="bullet"/>
      <w:lvlText w:val="•"/>
      <w:lvlJc w:val="left"/>
      <w:pPr>
        <w:ind w:left="4850" w:hanging="569"/>
      </w:pPr>
      <w:rPr>
        <w:rFonts w:hint="default"/>
        <w:lang w:val="en-US" w:eastAsia="en-US" w:bidi="ar-SA"/>
      </w:rPr>
    </w:lvl>
    <w:lvl w:ilvl="5" w:tplc="E5C204B2">
      <w:numFmt w:val="bullet"/>
      <w:lvlText w:val="•"/>
      <w:lvlJc w:val="left"/>
      <w:pPr>
        <w:ind w:left="5603" w:hanging="569"/>
      </w:pPr>
      <w:rPr>
        <w:rFonts w:hint="default"/>
        <w:lang w:val="en-US" w:eastAsia="en-US" w:bidi="ar-SA"/>
      </w:rPr>
    </w:lvl>
    <w:lvl w:ilvl="6" w:tplc="9846226E">
      <w:numFmt w:val="bullet"/>
      <w:lvlText w:val="•"/>
      <w:lvlJc w:val="left"/>
      <w:pPr>
        <w:ind w:left="6355" w:hanging="569"/>
      </w:pPr>
      <w:rPr>
        <w:rFonts w:hint="default"/>
        <w:lang w:val="en-US" w:eastAsia="en-US" w:bidi="ar-SA"/>
      </w:rPr>
    </w:lvl>
    <w:lvl w:ilvl="7" w:tplc="2B4C635C">
      <w:numFmt w:val="bullet"/>
      <w:lvlText w:val="•"/>
      <w:lvlJc w:val="left"/>
      <w:pPr>
        <w:ind w:left="7108" w:hanging="569"/>
      </w:pPr>
      <w:rPr>
        <w:rFonts w:hint="default"/>
        <w:lang w:val="en-US" w:eastAsia="en-US" w:bidi="ar-SA"/>
      </w:rPr>
    </w:lvl>
    <w:lvl w:ilvl="8" w:tplc="432C5942">
      <w:numFmt w:val="bullet"/>
      <w:lvlText w:val="•"/>
      <w:lvlJc w:val="left"/>
      <w:pPr>
        <w:ind w:left="7861" w:hanging="569"/>
      </w:pPr>
      <w:rPr>
        <w:rFonts w:hint="default"/>
        <w:lang w:val="en-US" w:eastAsia="en-US" w:bidi="ar-SA"/>
      </w:rPr>
    </w:lvl>
  </w:abstractNum>
  <w:abstractNum w:abstractNumId="65" w15:restartNumberingAfterBreak="0">
    <w:nsid w:val="14D561AB"/>
    <w:multiLevelType w:val="hybridMultilevel"/>
    <w:tmpl w:val="B1465802"/>
    <w:lvl w:ilvl="0" w:tplc="C2CEFA44">
      <w:start w:val="1"/>
      <w:numFmt w:val="lowerRoman"/>
      <w:lvlText w:val="(%1)"/>
      <w:lvlJc w:val="left"/>
      <w:pPr>
        <w:ind w:left="1842" w:hanging="569"/>
      </w:pPr>
      <w:rPr>
        <w:rFonts w:ascii="Arial" w:eastAsia="Calibri" w:hAnsi="Arial" w:cs="Arial" w:hint="default"/>
        <w:spacing w:val="-1"/>
        <w:w w:val="100"/>
        <w:sz w:val="20"/>
        <w:szCs w:val="22"/>
        <w:lang w:val="en-US" w:eastAsia="en-US" w:bidi="ar-SA"/>
      </w:rPr>
    </w:lvl>
    <w:lvl w:ilvl="1" w:tplc="1528E8DE">
      <w:numFmt w:val="bullet"/>
      <w:lvlText w:val="•"/>
      <w:lvlJc w:val="left"/>
      <w:pPr>
        <w:ind w:left="2592" w:hanging="569"/>
      </w:pPr>
      <w:rPr>
        <w:rFonts w:hint="default"/>
        <w:lang w:val="en-US" w:eastAsia="en-US" w:bidi="ar-SA"/>
      </w:rPr>
    </w:lvl>
    <w:lvl w:ilvl="2" w:tplc="152EC41A">
      <w:numFmt w:val="bullet"/>
      <w:lvlText w:val="•"/>
      <w:lvlJc w:val="left"/>
      <w:pPr>
        <w:ind w:left="3345" w:hanging="569"/>
      </w:pPr>
      <w:rPr>
        <w:rFonts w:hint="default"/>
        <w:lang w:val="en-US" w:eastAsia="en-US" w:bidi="ar-SA"/>
      </w:rPr>
    </w:lvl>
    <w:lvl w:ilvl="3" w:tplc="8ED063B8">
      <w:numFmt w:val="bullet"/>
      <w:lvlText w:val="•"/>
      <w:lvlJc w:val="left"/>
      <w:pPr>
        <w:ind w:left="4097" w:hanging="569"/>
      </w:pPr>
      <w:rPr>
        <w:rFonts w:hint="default"/>
        <w:lang w:val="en-US" w:eastAsia="en-US" w:bidi="ar-SA"/>
      </w:rPr>
    </w:lvl>
    <w:lvl w:ilvl="4" w:tplc="1BC6DBAC">
      <w:numFmt w:val="bullet"/>
      <w:lvlText w:val="•"/>
      <w:lvlJc w:val="left"/>
      <w:pPr>
        <w:ind w:left="4850" w:hanging="569"/>
      </w:pPr>
      <w:rPr>
        <w:rFonts w:hint="default"/>
        <w:lang w:val="en-US" w:eastAsia="en-US" w:bidi="ar-SA"/>
      </w:rPr>
    </w:lvl>
    <w:lvl w:ilvl="5" w:tplc="E614175A">
      <w:numFmt w:val="bullet"/>
      <w:lvlText w:val="•"/>
      <w:lvlJc w:val="left"/>
      <w:pPr>
        <w:ind w:left="5603" w:hanging="569"/>
      </w:pPr>
      <w:rPr>
        <w:rFonts w:hint="default"/>
        <w:lang w:val="en-US" w:eastAsia="en-US" w:bidi="ar-SA"/>
      </w:rPr>
    </w:lvl>
    <w:lvl w:ilvl="6" w:tplc="18F49E62">
      <w:numFmt w:val="bullet"/>
      <w:lvlText w:val="•"/>
      <w:lvlJc w:val="left"/>
      <w:pPr>
        <w:ind w:left="6355" w:hanging="569"/>
      </w:pPr>
      <w:rPr>
        <w:rFonts w:hint="default"/>
        <w:lang w:val="en-US" w:eastAsia="en-US" w:bidi="ar-SA"/>
      </w:rPr>
    </w:lvl>
    <w:lvl w:ilvl="7" w:tplc="A63495A4">
      <w:numFmt w:val="bullet"/>
      <w:lvlText w:val="•"/>
      <w:lvlJc w:val="left"/>
      <w:pPr>
        <w:ind w:left="7108" w:hanging="569"/>
      </w:pPr>
      <w:rPr>
        <w:rFonts w:hint="default"/>
        <w:lang w:val="en-US" w:eastAsia="en-US" w:bidi="ar-SA"/>
      </w:rPr>
    </w:lvl>
    <w:lvl w:ilvl="8" w:tplc="2B6AD2EA">
      <w:numFmt w:val="bullet"/>
      <w:lvlText w:val="•"/>
      <w:lvlJc w:val="left"/>
      <w:pPr>
        <w:ind w:left="7861" w:hanging="569"/>
      </w:pPr>
      <w:rPr>
        <w:rFonts w:hint="default"/>
        <w:lang w:val="en-US" w:eastAsia="en-US" w:bidi="ar-SA"/>
      </w:rPr>
    </w:lvl>
  </w:abstractNum>
  <w:abstractNum w:abstractNumId="66" w15:restartNumberingAfterBreak="0">
    <w:nsid w:val="14E25046"/>
    <w:multiLevelType w:val="hybridMultilevel"/>
    <w:tmpl w:val="64BC1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154A5C8B"/>
    <w:multiLevelType w:val="hybridMultilevel"/>
    <w:tmpl w:val="FB5A3FA6"/>
    <w:lvl w:ilvl="0" w:tplc="CD80582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ADC655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1B2266EE">
      <w:numFmt w:val="bullet"/>
      <w:lvlText w:val="•"/>
      <w:lvlJc w:val="left"/>
      <w:pPr>
        <w:ind w:left="2178" w:hanging="567"/>
      </w:pPr>
      <w:rPr>
        <w:lang w:val="en-US" w:eastAsia="en-US" w:bidi="ar-SA"/>
      </w:rPr>
    </w:lvl>
    <w:lvl w:ilvl="3" w:tplc="45BE0660">
      <w:numFmt w:val="bullet"/>
      <w:lvlText w:val="•"/>
      <w:lvlJc w:val="left"/>
      <w:pPr>
        <w:ind w:left="3076" w:hanging="567"/>
      </w:pPr>
      <w:rPr>
        <w:lang w:val="en-US" w:eastAsia="en-US" w:bidi="ar-SA"/>
      </w:rPr>
    </w:lvl>
    <w:lvl w:ilvl="4" w:tplc="EF4E30C8">
      <w:numFmt w:val="bullet"/>
      <w:lvlText w:val="•"/>
      <w:lvlJc w:val="left"/>
      <w:pPr>
        <w:ind w:left="3975" w:hanging="567"/>
      </w:pPr>
      <w:rPr>
        <w:lang w:val="en-US" w:eastAsia="en-US" w:bidi="ar-SA"/>
      </w:rPr>
    </w:lvl>
    <w:lvl w:ilvl="5" w:tplc="E8CECEAA">
      <w:numFmt w:val="bullet"/>
      <w:lvlText w:val="•"/>
      <w:lvlJc w:val="left"/>
      <w:pPr>
        <w:ind w:left="4873" w:hanging="567"/>
      </w:pPr>
      <w:rPr>
        <w:lang w:val="en-US" w:eastAsia="en-US" w:bidi="ar-SA"/>
      </w:rPr>
    </w:lvl>
    <w:lvl w:ilvl="6" w:tplc="D8024D6C">
      <w:numFmt w:val="bullet"/>
      <w:lvlText w:val="•"/>
      <w:lvlJc w:val="left"/>
      <w:pPr>
        <w:ind w:left="5772" w:hanging="567"/>
      </w:pPr>
      <w:rPr>
        <w:lang w:val="en-US" w:eastAsia="en-US" w:bidi="ar-SA"/>
      </w:rPr>
    </w:lvl>
    <w:lvl w:ilvl="7" w:tplc="7E1A1F06">
      <w:numFmt w:val="bullet"/>
      <w:lvlText w:val="•"/>
      <w:lvlJc w:val="left"/>
      <w:pPr>
        <w:ind w:left="6670" w:hanging="567"/>
      </w:pPr>
      <w:rPr>
        <w:lang w:val="en-US" w:eastAsia="en-US" w:bidi="ar-SA"/>
      </w:rPr>
    </w:lvl>
    <w:lvl w:ilvl="8" w:tplc="78D2843C">
      <w:numFmt w:val="bullet"/>
      <w:lvlText w:val="•"/>
      <w:lvlJc w:val="left"/>
      <w:pPr>
        <w:ind w:left="7569" w:hanging="567"/>
      </w:pPr>
      <w:rPr>
        <w:lang w:val="en-US" w:eastAsia="en-US" w:bidi="ar-SA"/>
      </w:rPr>
    </w:lvl>
  </w:abstractNum>
  <w:abstractNum w:abstractNumId="68" w15:restartNumberingAfterBreak="0">
    <w:nsid w:val="15A765F9"/>
    <w:multiLevelType w:val="hybridMultilevel"/>
    <w:tmpl w:val="9496AAEC"/>
    <w:lvl w:ilvl="0" w:tplc="3758AE92">
      <w:start w:val="1"/>
      <w:numFmt w:val="lowerLetter"/>
      <w:lvlText w:val="(%1)"/>
      <w:lvlJc w:val="left"/>
      <w:pPr>
        <w:ind w:left="706" w:hanging="567"/>
      </w:pPr>
      <w:rPr>
        <w:rFonts w:ascii="Calibri" w:eastAsia="Calibri" w:hAnsi="Calibri" w:cs="Calibri" w:hint="default"/>
        <w:spacing w:val="-1"/>
        <w:w w:val="100"/>
        <w:sz w:val="22"/>
        <w:szCs w:val="22"/>
        <w:lang w:val="en-US" w:eastAsia="en-US" w:bidi="ar-SA"/>
      </w:rPr>
    </w:lvl>
    <w:lvl w:ilvl="1" w:tplc="81B0DB78">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58FA030E">
      <w:start w:val="1"/>
      <w:numFmt w:val="lowerRoman"/>
      <w:lvlText w:val="(%3)"/>
      <w:lvlJc w:val="left"/>
      <w:pPr>
        <w:ind w:left="1842" w:hanging="569"/>
      </w:pPr>
      <w:rPr>
        <w:rFonts w:ascii="Arial" w:eastAsia="Calibri" w:hAnsi="Arial" w:cs="Arial" w:hint="default"/>
        <w:spacing w:val="-1"/>
        <w:w w:val="100"/>
        <w:sz w:val="20"/>
        <w:szCs w:val="22"/>
        <w:lang w:val="en-US" w:eastAsia="en-US" w:bidi="ar-SA"/>
      </w:rPr>
    </w:lvl>
    <w:lvl w:ilvl="3" w:tplc="67B63F58">
      <w:numFmt w:val="bullet"/>
      <w:lvlText w:val="•"/>
      <w:lvlJc w:val="left"/>
      <w:pPr>
        <w:ind w:left="2780" w:hanging="569"/>
      </w:pPr>
      <w:rPr>
        <w:lang w:val="en-US" w:eastAsia="en-US" w:bidi="ar-SA"/>
      </w:rPr>
    </w:lvl>
    <w:lvl w:ilvl="4" w:tplc="62A27B7E">
      <w:numFmt w:val="bullet"/>
      <w:lvlText w:val="•"/>
      <w:lvlJc w:val="left"/>
      <w:pPr>
        <w:ind w:left="3721" w:hanging="569"/>
      </w:pPr>
      <w:rPr>
        <w:lang w:val="en-US" w:eastAsia="en-US" w:bidi="ar-SA"/>
      </w:rPr>
    </w:lvl>
    <w:lvl w:ilvl="5" w:tplc="151637C8">
      <w:numFmt w:val="bullet"/>
      <w:lvlText w:val="•"/>
      <w:lvlJc w:val="left"/>
      <w:pPr>
        <w:ind w:left="4662" w:hanging="569"/>
      </w:pPr>
      <w:rPr>
        <w:lang w:val="en-US" w:eastAsia="en-US" w:bidi="ar-SA"/>
      </w:rPr>
    </w:lvl>
    <w:lvl w:ilvl="6" w:tplc="7CDC9E58">
      <w:numFmt w:val="bullet"/>
      <w:lvlText w:val="•"/>
      <w:lvlJc w:val="left"/>
      <w:pPr>
        <w:ind w:left="5603" w:hanging="569"/>
      </w:pPr>
      <w:rPr>
        <w:lang w:val="en-US" w:eastAsia="en-US" w:bidi="ar-SA"/>
      </w:rPr>
    </w:lvl>
    <w:lvl w:ilvl="7" w:tplc="446C7186">
      <w:numFmt w:val="bullet"/>
      <w:lvlText w:val="•"/>
      <w:lvlJc w:val="left"/>
      <w:pPr>
        <w:ind w:left="6544" w:hanging="569"/>
      </w:pPr>
      <w:rPr>
        <w:lang w:val="en-US" w:eastAsia="en-US" w:bidi="ar-SA"/>
      </w:rPr>
    </w:lvl>
    <w:lvl w:ilvl="8" w:tplc="A808D29E">
      <w:numFmt w:val="bullet"/>
      <w:lvlText w:val="•"/>
      <w:lvlJc w:val="left"/>
      <w:pPr>
        <w:ind w:left="7484" w:hanging="569"/>
      </w:pPr>
      <w:rPr>
        <w:lang w:val="en-US" w:eastAsia="en-US" w:bidi="ar-SA"/>
      </w:rPr>
    </w:lvl>
  </w:abstractNum>
  <w:abstractNum w:abstractNumId="69" w15:restartNumberingAfterBreak="0">
    <w:nsid w:val="16060F87"/>
    <w:multiLevelType w:val="hybridMultilevel"/>
    <w:tmpl w:val="FE86EC4A"/>
    <w:lvl w:ilvl="0" w:tplc="E2742AA0">
      <w:start w:val="1"/>
      <w:numFmt w:val="lowerLetter"/>
      <w:lvlText w:val="(%1)"/>
      <w:lvlJc w:val="left"/>
      <w:pPr>
        <w:ind w:left="706" w:hanging="567"/>
      </w:pPr>
      <w:rPr>
        <w:rFonts w:ascii="Calibri" w:eastAsia="Calibri" w:hAnsi="Calibri" w:cs="Calibri" w:hint="default"/>
        <w:spacing w:val="-1"/>
        <w:w w:val="100"/>
        <w:sz w:val="22"/>
        <w:szCs w:val="22"/>
        <w:lang w:val="en-US" w:eastAsia="en-US" w:bidi="ar-SA"/>
      </w:rPr>
    </w:lvl>
    <w:lvl w:ilvl="1" w:tplc="78B8A54E">
      <w:start w:val="1"/>
      <w:numFmt w:val="decimal"/>
      <w:lvlText w:val="(%2)"/>
      <w:lvlJc w:val="left"/>
      <w:pPr>
        <w:ind w:left="1273" w:hanging="567"/>
      </w:pPr>
      <w:rPr>
        <w:rFonts w:ascii="Arial" w:eastAsia="Calibri" w:hAnsi="Arial" w:cs="Arial" w:hint="default"/>
        <w:spacing w:val="-1"/>
        <w:w w:val="100"/>
        <w:sz w:val="20"/>
        <w:szCs w:val="20"/>
        <w:lang w:val="en-US" w:eastAsia="en-US" w:bidi="ar-SA"/>
      </w:rPr>
    </w:lvl>
    <w:lvl w:ilvl="2" w:tplc="5D1ED396">
      <w:numFmt w:val="bullet"/>
      <w:lvlText w:val="•"/>
      <w:lvlJc w:val="left"/>
      <w:pPr>
        <w:ind w:left="2178" w:hanging="567"/>
      </w:pPr>
      <w:rPr>
        <w:rFonts w:hint="default"/>
        <w:lang w:val="en-US" w:eastAsia="en-US" w:bidi="ar-SA"/>
      </w:rPr>
    </w:lvl>
    <w:lvl w:ilvl="3" w:tplc="D7EC1448">
      <w:numFmt w:val="bullet"/>
      <w:lvlText w:val="•"/>
      <w:lvlJc w:val="left"/>
      <w:pPr>
        <w:ind w:left="3076" w:hanging="567"/>
      </w:pPr>
      <w:rPr>
        <w:rFonts w:hint="default"/>
        <w:lang w:val="en-US" w:eastAsia="en-US" w:bidi="ar-SA"/>
      </w:rPr>
    </w:lvl>
    <w:lvl w:ilvl="4" w:tplc="4E5C9F52">
      <w:numFmt w:val="bullet"/>
      <w:lvlText w:val="•"/>
      <w:lvlJc w:val="left"/>
      <w:pPr>
        <w:ind w:left="3975" w:hanging="567"/>
      </w:pPr>
      <w:rPr>
        <w:rFonts w:hint="default"/>
        <w:lang w:val="en-US" w:eastAsia="en-US" w:bidi="ar-SA"/>
      </w:rPr>
    </w:lvl>
    <w:lvl w:ilvl="5" w:tplc="7BB8AE3C">
      <w:numFmt w:val="bullet"/>
      <w:lvlText w:val="•"/>
      <w:lvlJc w:val="left"/>
      <w:pPr>
        <w:ind w:left="4873" w:hanging="567"/>
      </w:pPr>
      <w:rPr>
        <w:rFonts w:hint="default"/>
        <w:lang w:val="en-US" w:eastAsia="en-US" w:bidi="ar-SA"/>
      </w:rPr>
    </w:lvl>
    <w:lvl w:ilvl="6" w:tplc="A38E1488">
      <w:numFmt w:val="bullet"/>
      <w:lvlText w:val="•"/>
      <w:lvlJc w:val="left"/>
      <w:pPr>
        <w:ind w:left="5772" w:hanging="567"/>
      </w:pPr>
      <w:rPr>
        <w:rFonts w:hint="default"/>
        <w:lang w:val="en-US" w:eastAsia="en-US" w:bidi="ar-SA"/>
      </w:rPr>
    </w:lvl>
    <w:lvl w:ilvl="7" w:tplc="0A68A174">
      <w:numFmt w:val="bullet"/>
      <w:lvlText w:val="•"/>
      <w:lvlJc w:val="left"/>
      <w:pPr>
        <w:ind w:left="6670" w:hanging="567"/>
      </w:pPr>
      <w:rPr>
        <w:rFonts w:hint="default"/>
        <w:lang w:val="en-US" w:eastAsia="en-US" w:bidi="ar-SA"/>
      </w:rPr>
    </w:lvl>
    <w:lvl w:ilvl="8" w:tplc="6602D404">
      <w:numFmt w:val="bullet"/>
      <w:lvlText w:val="•"/>
      <w:lvlJc w:val="left"/>
      <w:pPr>
        <w:ind w:left="7569" w:hanging="567"/>
      </w:pPr>
      <w:rPr>
        <w:rFonts w:hint="default"/>
        <w:lang w:val="en-US" w:eastAsia="en-US" w:bidi="ar-SA"/>
      </w:rPr>
    </w:lvl>
  </w:abstractNum>
  <w:abstractNum w:abstractNumId="70" w15:restartNumberingAfterBreak="0">
    <w:nsid w:val="161C5CB8"/>
    <w:multiLevelType w:val="hybridMultilevel"/>
    <w:tmpl w:val="E68C450E"/>
    <w:lvl w:ilvl="0" w:tplc="98881B40">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315E64FC">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27C2A27A">
      <w:numFmt w:val="bullet"/>
      <w:lvlText w:val="•"/>
      <w:lvlJc w:val="left"/>
      <w:pPr>
        <w:ind w:left="2178" w:hanging="567"/>
      </w:pPr>
      <w:rPr>
        <w:rFonts w:hint="default"/>
        <w:lang w:val="en-US" w:eastAsia="en-US" w:bidi="ar-SA"/>
      </w:rPr>
    </w:lvl>
    <w:lvl w:ilvl="3" w:tplc="A97A446E">
      <w:numFmt w:val="bullet"/>
      <w:lvlText w:val="•"/>
      <w:lvlJc w:val="left"/>
      <w:pPr>
        <w:ind w:left="3076" w:hanging="567"/>
      </w:pPr>
      <w:rPr>
        <w:rFonts w:hint="default"/>
        <w:lang w:val="en-US" w:eastAsia="en-US" w:bidi="ar-SA"/>
      </w:rPr>
    </w:lvl>
    <w:lvl w:ilvl="4" w:tplc="B12C96EE">
      <w:numFmt w:val="bullet"/>
      <w:lvlText w:val="•"/>
      <w:lvlJc w:val="left"/>
      <w:pPr>
        <w:ind w:left="3975" w:hanging="567"/>
      </w:pPr>
      <w:rPr>
        <w:rFonts w:hint="default"/>
        <w:lang w:val="en-US" w:eastAsia="en-US" w:bidi="ar-SA"/>
      </w:rPr>
    </w:lvl>
    <w:lvl w:ilvl="5" w:tplc="8D324A2C">
      <w:numFmt w:val="bullet"/>
      <w:lvlText w:val="•"/>
      <w:lvlJc w:val="left"/>
      <w:pPr>
        <w:ind w:left="4873" w:hanging="567"/>
      </w:pPr>
      <w:rPr>
        <w:rFonts w:hint="default"/>
        <w:lang w:val="en-US" w:eastAsia="en-US" w:bidi="ar-SA"/>
      </w:rPr>
    </w:lvl>
    <w:lvl w:ilvl="6" w:tplc="C79E9B98">
      <w:numFmt w:val="bullet"/>
      <w:lvlText w:val="•"/>
      <w:lvlJc w:val="left"/>
      <w:pPr>
        <w:ind w:left="5772" w:hanging="567"/>
      </w:pPr>
      <w:rPr>
        <w:rFonts w:hint="default"/>
        <w:lang w:val="en-US" w:eastAsia="en-US" w:bidi="ar-SA"/>
      </w:rPr>
    </w:lvl>
    <w:lvl w:ilvl="7" w:tplc="BC627826">
      <w:numFmt w:val="bullet"/>
      <w:lvlText w:val="•"/>
      <w:lvlJc w:val="left"/>
      <w:pPr>
        <w:ind w:left="6670" w:hanging="567"/>
      </w:pPr>
      <w:rPr>
        <w:rFonts w:hint="default"/>
        <w:lang w:val="en-US" w:eastAsia="en-US" w:bidi="ar-SA"/>
      </w:rPr>
    </w:lvl>
    <w:lvl w:ilvl="8" w:tplc="D46272D8">
      <w:numFmt w:val="bullet"/>
      <w:lvlText w:val="•"/>
      <w:lvlJc w:val="left"/>
      <w:pPr>
        <w:ind w:left="7569" w:hanging="567"/>
      </w:pPr>
      <w:rPr>
        <w:rFonts w:hint="default"/>
        <w:lang w:val="en-US" w:eastAsia="en-US" w:bidi="ar-SA"/>
      </w:rPr>
    </w:lvl>
  </w:abstractNum>
  <w:abstractNum w:abstractNumId="71" w15:restartNumberingAfterBreak="0">
    <w:nsid w:val="16F602FD"/>
    <w:multiLevelType w:val="hybridMultilevel"/>
    <w:tmpl w:val="2258D6CC"/>
    <w:lvl w:ilvl="0" w:tplc="C6AEA030">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FE4AE4DC">
      <w:numFmt w:val="bullet"/>
      <w:lvlText w:val="•"/>
      <w:lvlJc w:val="left"/>
      <w:pPr>
        <w:ind w:left="1566" w:hanging="567"/>
      </w:pPr>
      <w:rPr>
        <w:rFonts w:hint="default"/>
        <w:lang w:val="en-US" w:eastAsia="en-US" w:bidi="ar-SA"/>
      </w:rPr>
    </w:lvl>
    <w:lvl w:ilvl="2" w:tplc="6DCA4EA2">
      <w:numFmt w:val="bullet"/>
      <w:lvlText w:val="•"/>
      <w:lvlJc w:val="left"/>
      <w:pPr>
        <w:ind w:left="2433" w:hanging="567"/>
      </w:pPr>
      <w:rPr>
        <w:rFonts w:hint="default"/>
        <w:lang w:val="en-US" w:eastAsia="en-US" w:bidi="ar-SA"/>
      </w:rPr>
    </w:lvl>
    <w:lvl w:ilvl="3" w:tplc="F39AF468">
      <w:numFmt w:val="bullet"/>
      <w:lvlText w:val="•"/>
      <w:lvlJc w:val="left"/>
      <w:pPr>
        <w:ind w:left="3299" w:hanging="567"/>
      </w:pPr>
      <w:rPr>
        <w:rFonts w:hint="default"/>
        <w:lang w:val="en-US" w:eastAsia="en-US" w:bidi="ar-SA"/>
      </w:rPr>
    </w:lvl>
    <w:lvl w:ilvl="4" w:tplc="C1D47CB6">
      <w:numFmt w:val="bullet"/>
      <w:lvlText w:val="•"/>
      <w:lvlJc w:val="left"/>
      <w:pPr>
        <w:ind w:left="4166" w:hanging="567"/>
      </w:pPr>
      <w:rPr>
        <w:rFonts w:hint="default"/>
        <w:lang w:val="en-US" w:eastAsia="en-US" w:bidi="ar-SA"/>
      </w:rPr>
    </w:lvl>
    <w:lvl w:ilvl="5" w:tplc="B8F4065E">
      <w:numFmt w:val="bullet"/>
      <w:lvlText w:val="•"/>
      <w:lvlJc w:val="left"/>
      <w:pPr>
        <w:ind w:left="5033" w:hanging="567"/>
      </w:pPr>
      <w:rPr>
        <w:rFonts w:hint="default"/>
        <w:lang w:val="en-US" w:eastAsia="en-US" w:bidi="ar-SA"/>
      </w:rPr>
    </w:lvl>
    <w:lvl w:ilvl="6" w:tplc="BF22FB32">
      <w:numFmt w:val="bullet"/>
      <w:lvlText w:val="•"/>
      <w:lvlJc w:val="left"/>
      <w:pPr>
        <w:ind w:left="5899" w:hanging="567"/>
      </w:pPr>
      <w:rPr>
        <w:rFonts w:hint="default"/>
        <w:lang w:val="en-US" w:eastAsia="en-US" w:bidi="ar-SA"/>
      </w:rPr>
    </w:lvl>
    <w:lvl w:ilvl="7" w:tplc="7B060DF4">
      <w:numFmt w:val="bullet"/>
      <w:lvlText w:val="•"/>
      <w:lvlJc w:val="left"/>
      <w:pPr>
        <w:ind w:left="6766" w:hanging="567"/>
      </w:pPr>
      <w:rPr>
        <w:rFonts w:hint="default"/>
        <w:lang w:val="en-US" w:eastAsia="en-US" w:bidi="ar-SA"/>
      </w:rPr>
    </w:lvl>
    <w:lvl w:ilvl="8" w:tplc="8B9418C4">
      <w:numFmt w:val="bullet"/>
      <w:lvlText w:val="•"/>
      <w:lvlJc w:val="left"/>
      <w:pPr>
        <w:ind w:left="7633" w:hanging="567"/>
      </w:pPr>
      <w:rPr>
        <w:rFonts w:hint="default"/>
        <w:lang w:val="en-US" w:eastAsia="en-US" w:bidi="ar-SA"/>
      </w:rPr>
    </w:lvl>
  </w:abstractNum>
  <w:abstractNum w:abstractNumId="72" w15:restartNumberingAfterBreak="0">
    <w:nsid w:val="171E1628"/>
    <w:multiLevelType w:val="hybridMultilevel"/>
    <w:tmpl w:val="2D2AF6E2"/>
    <w:lvl w:ilvl="0" w:tplc="81B0DB78">
      <w:start w:val="1"/>
      <w:numFmt w:val="decimal"/>
      <w:lvlText w:val="(%1)"/>
      <w:lvlJc w:val="left"/>
      <w:pPr>
        <w:ind w:left="1273" w:hanging="567"/>
      </w:pPr>
      <w:rPr>
        <w:rFonts w:ascii="Arial" w:eastAsia="Calibri" w:hAnsi="Arial" w:cs="Arial" w:hint="default"/>
        <w:spacing w:val="-1"/>
        <w:w w:val="100"/>
        <w:sz w:val="20"/>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17292F9F"/>
    <w:multiLevelType w:val="hybridMultilevel"/>
    <w:tmpl w:val="8D428046"/>
    <w:lvl w:ilvl="0" w:tplc="8554584A">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0780FAF2">
      <w:numFmt w:val="bullet"/>
      <w:lvlText w:val="•"/>
      <w:lvlJc w:val="left"/>
      <w:pPr>
        <w:ind w:left="1566" w:hanging="567"/>
      </w:pPr>
      <w:rPr>
        <w:rFonts w:hint="default"/>
        <w:lang w:val="en-US" w:eastAsia="en-US" w:bidi="ar-SA"/>
      </w:rPr>
    </w:lvl>
    <w:lvl w:ilvl="2" w:tplc="B8D07BA4">
      <w:numFmt w:val="bullet"/>
      <w:lvlText w:val="•"/>
      <w:lvlJc w:val="left"/>
      <w:pPr>
        <w:ind w:left="2433" w:hanging="567"/>
      </w:pPr>
      <w:rPr>
        <w:rFonts w:hint="default"/>
        <w:lang w:val="en-US" w:eastAsia="en-US" w:bidi="ar-SA"/>
      </w:rPr>
    </w:lvl>
    <w:lvl w:ilvl="3" w:tplc="A3884AAA">
      <w:numFmt w:val="bullet"/>
      <w:lvlText w:val="•"/>
      <w:lvlJc w:val="left"/>
      <w:pPr>
        <w:ind w:left="3299" w:hanging="567"/>
      </w:pPr>
      <w:rPr>
        <w:rFonts w:hint="default"/>
        <w:lang w:val="en-US" w:eastAsia="en-US" w:bidi="ar-SA"/>
      </w:rPr>
    </w:lvl>
    <w:lvl w:ilvl="4" w:tplc="AD8434E2">
      <w:numFmt w:val="bullet"/>
      <w:lvlText w:val="•"/>
      <w:lvlJc w:val="left"/>
      <w:pPr>
        <w:ind w:left="4166" w:hanging="567"/>
      </w:pPr>
      <w:rPr>
        <w:rFonts w:hint="default"/>
        <w:lang w:val="en-US" w:eastAsia="en-US" w:bidi="ar-SA"/>
      </w:rPr>
    </w:lvl>
    <w:lvl w:ilvl="5" w:tplc="39B2B932">
      <w:numFmt w:val="bullet"/>
      <w:lvlText w:val="•"/>
      <w:lvlJc w:val="left"/>
      <w:pPr>
        <w:ind w:left="5033" w:hanging="567"/>
      </w:pPr>
      <w:rPr>
        <w:rFonts w:hint="default"/>
        <w:lang w:val="en-US" w:eastAsia="en-US" w:bidi="ar-SA"/>
      </w:rPr>
    </w:lvl>
    <w:lvl w:ilvl="6" w:tplc="337451DE">
      <w:numFmt w:val="bullet"/>
      <w:lvlText w:val="•"/>
      <w:lvlJc w:val="left"/>
      <w:pPr>
        <w:ind w:left="5899" w:hanging="567"/>
      </w:pPr>
      <w:rPr>
        <w:rFonts w:hint="default"/>
        <w:lang w:val="en-US" w:eastAsia="en-US" w:bidi="ar-SA"/>
      </w:rPr>
    </w:lvl>
    <w:lvl w:ilvl="7" w:tplc="4B488626">
      <w:numFmt w:val="bullet"/>
      <w:lvlText w:val="•"/>
      <w:lvlJc w:val="left"/>
      <w:pPr>
        <w:ind w:left="6766" w:hanging="567"/>
      </w:pPr>
      <w:rPr>
        <w:rFonts w:hint="default"/>
        <w:lang w:val="en-US" w:eastAsia="en-US" w:bidi="ar-SA"/>
      </w:rPr>
    </w:lvl>
    <w:lvl w:ilvl="8" w:tplc="06203BC4">
      <w:numFmt w:val="bullet"/>
      <w:lvlText w:val="•"/>
      <w:lvlJc w:val="left"/>
      <w:pPr>
        <w:ind w:left="7633" w:hanging="567"/>
      </w:pPr>
      <w:rPr>
        <w:rFonts w:hint="default"/>
        <w:lang w:val="en-US" w:eastAsia="en-US" w:bidi="ar-SA"/>
      </w:rPr>
    </w:lvl>
  </w:abstractNum>
  <w:abstractNum w:abstractNumId="74" w15:restartNumberingAfterBreak="0">
    <w:nsid w:val="17FB2906"/>
    <w:multiLevelType w:val="hybridMultilevel"/>
    <w:tmpl w:val="FFB211D0"/>
    <w:lvl w:ilvl="0" w:tplc="708ADDCA">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EA2A139C">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AF5A8404">
      <w:start w:val="1"/>
      <w:numFmt w:val="lowerRoman"/>
      <w:lvlText w:val="(%3)"/>
      <w:lvlJc w:val="left"/>
      <w:pPr>
        <w:ind w:left="1842" w:hanging="569"/>
      </w:pPr>
      <w:rPr>
        <w:rFonts w:ascii="Arial" w:eastAsia="Calibri" w:hAnsi="Arial" w:cs="Arial" w:hint="default"/>
        <w:spacing w:val="-1"/>
        <w:w w:val="100"/>
        <w:sz w:val="20"/>
        <w:szCs w:val="22"/>
        <w:lang w:val="en-US" w:eastAsia="en-US" w:bidi="ar-SA"/>
      </w:rPr>
    </w:lvl>
    <w:lvl w:ilvl="3" w:tplc="FEEAFAAC">
      <w:numFmt w:val="bullet"/>
      <w:lvlText w:val="•"/>
      <w:lvlJc w:val="left"/>
      <w:pPr>
        <w:ind w:left="2780" w:hanging="569"/>
      </w:pPr>
      <w:rPr>
        <w:rFonts w:hint="default"/>
        <w:lang w:val="en-US" w:eastAsia="en-US" w:bidi="ar-SA"/>
      </w:rPr>
    </w:lvl>
    <w:lvl w:ilvl="4" w:tplc="2C4E00DC">
      <w:numFmt w:val="bullet"/>
      <w:lvlText w:val="•"/>
      <w:lvlJc w:val="left"/>
      <w:pPr>
        <w:ind w:left="3721" w:hanging="569"/>
      </w:pPr>
      <w:rPr>
        <w:rFonts w:hint="default"/>
        <w:lang w:val="en-US" w:eastAsia="en-US" w:bidi="ar-SA"/>
      </w:rPr>
    </w:lvl>
    <w:lvl w:ilvl="5" w:tplc="5F0A7112">
      <w:numFmt w:val="bullet"/>
      <w:lvlText w:val="•"/>
      <w:lvlJc w:val="left"/>
      <w:pPr>
        <w:ind w:left="4662" w:hanging="569"/>
      </w:pPr>
      <w:rPr>
        <w:rFonts w:hint="default"/>
        <w:lang w:val="en-US" w:eastAsia="en-US" w:bidi="ar-SA"/>
      </w:rPr>
    </w:lvl>
    <w:lvl w:ilvl="6" w:tplc="5B5A1F32">
      <w:numFmt w:val="bullet"/>
      <w:lvlText w:val="•"/>
      <w:lvlJc w:val="left"/>
      <w:pPr>
        <w:ind w:left="5603" w:hanging="569"/>
      </w:pPr>
      <w:rPr>
        <w:rFonts w:hint="default"/>
        <w:lang w:val="en-US" w:eastAsia="en-US" w:bidi="ar-SA"/>
      </w:rPr>
    </w:lvl>
    <w:lvl w:ilvl="7" w:tplc="2E34DBA8">
      <w:numFmt w:val="bullet"/>
      <w:lvlText w:val="•"/>
      <w:lvlJc w:val="left"/>
      <w:pPr>
        <w:ind w:left="6544" w:hanging="569"/>
      </w:pPr>
      <w:rPr>
        <w:rFonts w:hint="default"/>
        <w:lang w:val="en-US" w:eastAsia="en-US" w:bidi="ar-SA"/>
      </w:rPr>
    </w:lvl>
    <w:lvl w:ilvl="8" w:tplc="45AC4816">
      <w:numFmt w:val="bullet"/>
      <w:lvlText w:val="•"/>
      <w:lvlJc w:val="left"/>
      <w:pPr>
        <w:ind w:left="7484" w:hanging="569"/>
      </w:pPr>
      <w:rPr>
        <w:rFonts w:hint="default"/>
        <w:lang w:val="en-US" w:eastAsia="en-US" w:bidi="ar-SA"/>
      </w:rPr>
    </w:lvl>
  </w:abstractNum>
  <w:abstractNum w:abstractNumId="75" w15:restartNumberingAfterBreak="0">
    <w:nsid w:val="17FB2948"/>
    <w:multiLevelType w:val="hybridMultilevel"/>
    <w:tmpl w:val="101C413E"/>
    <w:lvl w:ilvl="0" w:tplc="D3B6708E">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360A968C">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A35CAC2A">
      <w:numFmt w:val="bullet"/>
      <w:lvlText w:val="•"/>
      <w:lvlJc w:val="left"/>
      <w:pPr>
        <w:ind w:left="2178" w:hanging="567"/>
      </w:pPr>
      <w:rPr>
        <w:rFonts w:hint="default"/>
        <w:lang w:val="en-US" w:eastAsia="en-US" w:bidi="ar-SA"/>
      </w:rPr>
    </w:lvl>
    <w:lvl w:ilvl="3" w:tplc="592680D6">
      <w:numFmt w:val="bullet"/>
      <w:lvlText w:val="•"/>
      <w:lvlJc w:val="left"/>
      <w:pPr>
        <w:ind w:left="3076" w:hanging="567"/>
      </w:pPr>
      <w:rPr>
        <w:rFonts w:hint="default"/>
        <w:lang w:val="en-US" w:eastAsia="en-US" w:bidi="ar-SA"/>
      </w:rPr>
    </w:lvl>
    <w:lvl w:ilvl="4" w:tplc="0A42F2E2">
      <w:numFmt w:val="bullet"/>
      <w:lvlText w:val="•"/>
      <w:lvlJc w:val="left"/>
      <w:pPr>
        <w:ind w:left="3975" w:hanging="567"/>
      </w:pPr>
      <w:rPr>
        <w:rFonts w:hint="default"/>
        <w:lang w:val="en-US" w:eastAsia="en-US" w:bidi="ar-SA"/>
      </w:rPr>
    </w:lvl>
    <w:lvl w:ilvl="5" w:tplc="9350FC14">
      <w:numFmt w:val="bullet"/>
      <w:lvlText w:val="•"/>
      <w:lvlJc w:val="left"/>
      <w:pPr>
        <w:ind w:left="4873" w:hanging="567"/>
      </w:pPr>
      <w:rPr>
        <w:rFonts w:hint="default"/>
        <w:lang w:val="en-US" w:eastAsia="en-US" w:bidi="ar-SA"/>
      </w:rPr>
    </w:lvl>
    <w:lvl w:ilvl="6" w:tplc="12FCA09A">
      <w:numFmt w:val="bullet"/>
      <w:lvlText w:val="•"/>
      <w:lvlJc w:val="left"/>
      <w:pPr>
        <w:ind w:left="5772" w:hanging="567"/>
      </w:pPr>
      <w:rPr>
        <w:rFonts w:hint="default"/>
        <w:lang w:val="en-US" w:eastAsia="en-US" w:bidi="ar-SA"/>
      </w:rPr>
    </w:lvl>
    <w:lvl w:ilvl="7" w:tplc="E5DCC1E6">
      <w:numFmt w:val="bullet"/>
      <w:lvlText w:val="•"/>
      <w:lvlJc w:val="left"/>
      <w:pPr>
        <w:ind w:left="6670" w:hanging="567"/>
      </w:pPr>
      <w:rPr>
        <w:rFonts w:hint="default"/>
        <w:lang w:val="en-US" w:eastAsia="en-US" w:bidi="ar-SA"/>
      </w:rPr>
    </w:lvl>
    <w:lvl w:ilvl="8" w:tplc="391C5192">
      <w:numFmt w:val="bullet"/>
      <w:lvlText w:val="•"/>
      <w:lvlJc w:val="left"/>
      <w:pPr>
        <w:ind w:left="7569" w:hanging="567"/>
      </w:pPr>
      <w:rPr>
        <w:rFonts w:hint="default"/>
        <w:lang w:val="en-US" w:eastAsia="en-US" w:bidi="ar-SA"/>
      </w:rPr>
    </w:lvl>
  </w:abstractNum>
  <w:abstractNum w:abstractNumId="76" w15:restartNumberingAfterBreak="0">
    <w:nsid w:val="18286407"/>
    <w:multiLevelType w:val="hybridMultilevel"/>
    <w:tmpl w:val="B17A06A2"/>
    <w:lvl w:ilvl="0" w:tplc="0226B42E">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C296651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CA84DEC4">
      <w:start w:val="1"/>
      <w:numFmt w:val="lowerRoman"/>
      <w:lvlText w:val="(%3)"/>
      <w:lvlJc w:val="left"/>
      <w:pPr>
        <w:ind w:left="1842" w:hanging="569"/>
      </w:pPr>
      <w:rPr>
        <w:rFonts w:ascii="Arial" w:eastAsia="Calibri" w:hAnsi="Arial" w:cs="Arial" w:hint="default"/>
        <w:spacing w:val="-1"/>
        <w:w w:val="100"/>
        <w:sz w:val="20"/>
        <w:szCs w:val="22"/>
        <w:lang w:val="en-US" w:eastAsia="en-US" w:bidi="ar-SA"/>
      </w:rPr>
    </w:lvl>
    <w:lvl w:ilvl="3" w:tplc="C5F03072">
      <w:numFmt w:val="bullet"/>
      <w:lvlText w:val="•"/>
      <w:lvlJc w:val="left"/>
      <w:pPr>
        <w:ind w:left="2780" w:hanging="569"/>
      </w:pPr>
      <w:rPr>
        <w:rFonts w:hint="default"/>
        <w:lang w:val="en-US" w:eastAsia="en-US" w:bidi="ar-SA"/>
      </w:rPr>
    </w:lvl>
    <w:lvl w:ilvl="4" w:tplc="D174F85E">
      <w:numFmt w:val="bullet"/>
      <w:lvlText w:val="•"/>
      <w:lvlJc w:val="left"/>
      <w:pPr>
        <w:ind w:left="3721" w:hanging="569"/>
      </w:pPr>
      <w:rPr>
        <w:rFonts w:hint="default"/>
        <w:lang w:val="en-US" w:eastAsia="en-US" w:bidi="ar-SA"/>
      </w:rPr>
    </w:lvl>
    <w:lvl w:ilvl="5" w:tplc="BEA0B7B4">
      <w:numFmt w:val="bullet"/>
      <w:lvlText w:val="•"/>
      <w:lvlJc w:val="left"/>
      <w:pPr>
        <w:ind w:left="4662" w:hanging="569"/>
      </w:pPr>
      <w:rPr>
        <w:rFonts w:hint="default"/>
        <w:lang w:val="en-US" w:eastAsia="en-US" w:bidi="ar-SA"/>
      </w:rPr>
    </w:lvl>
    <w:lvl w:ilvl="6" w:tplc="EE828080">
      <w:numFmt w:val="bullet"/>
      <w:lvlText w:val="•"/>
      <w:lvlJc w:val="left"/>
      <w:pPr>
        <w:ind w:left="5603" w:hanging="569"/>
      </w:pPr>
      <w:rPr>
        <w:rFonts w:hint="default"/>
        <w:lang w:val="en-US" w:eastAsia="en-US" w:bidi="ar-SA"/>
      </w:rPr>
    </w:lvl>
    <w:lvl w:ilvl="7" w:tplc="1B94621C">
      <w:numFmt w:val="bullet"/>
      <w:lvlText w:val="•"/>
      <w:lvlJc w:val="left"/>
      <w:pPr>
        <w:ind w:left="6544" w:hanging="569"/>
      </w:pPr>
      <w:rPr>
        <w:rFonts w:hint="default"/>
        <w:lang w:val="en-US" w:eastAsia="en-US" w:bidi="ar-SA"/>
      </w:rPr>
    </w:lvl>
    <w:lvl w:ilvl="8" w:tplc="4CC4686A">
      <w:numFmt w:val="bullet"/>
      <w:lvlText w:val="•"/>
      <w:lvlJc w:val="left"/>
      <w:pPr>
        <w:ind w:left="7484" w:hanging="569"/>
      </w:pPr>
      <w:rPr>
        <w:rFonts w:hint="default"/>
        <w:lang w:val="en-US" w:eastAsia="en-US" w:bidi="ar-SA"/>
      </w:rPr>
    </w:lvl>
  </w:abstractNum>
  <w:abstractNum w:abstractNumId="77" w15:restartNumberingAfterBreak="0">
    <w:nsid w:val="184007FD"/>
    <w:multiLevelType w:val="hybridMultilevel"/>
    <w:tmpl w:val="5318443E"/>
    <w:lvl w:ilvl="0" w:tplc="744018E8">
      <w:numFmt w:val="bullet"/>
      <w:lvlText w:val="-"/>
      <w:lvlJc w:val="left"/>
      <w:pPr>
        <w:ind w:left="345" w:hanging="238"/>
      </w:pPr>
      <w:rPr>
        <w:rFonts w:ascii="Calibri" w:eastAsia="Calibri" w:hAnsi="Calibri" w:cs="Calibri" w:hint="default"/>
        <w:w w:val="99"/>
        <w:sz w:val="20"/>
        <w:szCs w:val="20"/>
        <w:lang w:val="en-US" w:eastAsia="en-US" w:bidi="ar-SA"/>
      </w:rPr>
    </w:lvl>
    <w:lvl w:ilvl="1" w:tplc="C30AE4DC">
      <w:numFmt w:val="bullet"/>
      <w:lvlText w:val="•"/>
      <w:lvlJc w:val="left"/>
      <w:pPr>
        <w:ind w:left="1206" w:hanging="238"/>
      </w:pPr>
      <w:rPr>
        <w:rFonts w:hint="default"/>
        <w:lang w:val="en-US" w:eastAsia="en-US" w:bidi="ar-SA"/>
      </w:rPr>
    </w:lvl>
    <w:lvl w:ilvl="2" w:tplc="79925E54">
      <w:numFmt w:val="bullet"/>
      <w:lvlText w:val="•"/>
      <w:lvlJc w:val="left"/>
      <w:pPr>
        <w:ind w:left="2073" w:hanging="238"/>
      </w:pPr>
      <w:rPr>
        <w:rFonts w:hint="default"/>
        <w:lang w:val="en-US" w:eastAsia="en-US" w:bidi="ar-SA"/>
      </w:rPr>
    </w:lvl>
    <w:lvl w:ilvl="3" w:tplc="45C407DC">
      <w:numFmt w:val="bullet"/>
      <w:lvlText w:val="•"/>
      <w:lvlJc w:val="left"/>
      <w:pPr>
        <w:ind w:left="2940" w:hanging="238"/>
      </w:pPr>
      <w:rPr>
        <w:rFonts w:hint="default"/>
        <w:lang w:val="en-US" w:eastAsia="en-US" w:bidi="ar-SA"/>
      </w:rPr>
    </w:lvl>
    <w:lvl w:ilvl="4" w:tplc="CE2041F2">
      <w:numFmt w:val="bullet"/>
      <w:lvlText w:val="•"/>
      <w:lvlJc w:val="left"/>
      <w:pPr>
        <w:ind w:left="3806" w:hanging="238"/>
      </w:pPr>
      <w:rPr>
        <w:rFonts w:hint="default"/>
        <w:lang w:val="en-US" w:eastAsia="en-US" w:bidi="ar-SA"/>
      </w:rPr>
    </w:lvl>
    <w:lvl w:ilvl="5" w:tplc="4B926D06">
      <w:numFmt w:val="bullet"/>
      <w:lvlText w:val="•"/>
      <w:lvlJc w:val="left"/>
      <w:pPr>
        <w:ind w:left="4673" w:hanging="238"/>
      </w:pPr>
      <w:rPr>
        <w:rFonts w:hint="default"/>
        <w:lang w:val="en-US" w:eastAsia="en-US" w:bidi="ar-SA"/>
      </w:rPr>
    </w:lvl>
    <w:lvl w:ilvl="6" w:tplc="D7FEDF50">
      <w:numFmt w:val="bullet"/>
      <w:lvlText w:val="•"/>
      <w:lvlJc w:val="left"/>
      <w:pPr>
        <w:ind w:left="5540" w:hanging="238"/>
      </w:pPr>
      <w:rPr>
        <w:rFonts w:hint="default"/>
        <w:lang w:val="en-US" w:eastAsia="en-US" w:bidi="ar-SA"/>
      </w:rPr>
    </w:lvl>
    <w:lvl w:ilvl="7" w:tplc="874CDDBE">
      <w:numFmt w:val="bullet"/>
      <w:lvlText w:val="•"/>
      <w:lvlJc w:val="left"/>
      <w:pPr>
        <w:ind w:left="6406" w:hanging="238"/>
      </w:pPr>
      <w:rPr>
        <w:rFonts w:hint="default"/>
        <w:lang w:val="en-US" w:eastAsia="en-US" w:bidi="ar-SA"/>
      </w:rPr>
    </w:lvl>
    <w:lvl w:ilvl="8" w:tplc="6122B0A4">
      <w:numFmt w:val="bullet"/>
      <w:lvlText w:val="•"/>
      <w:lvlJc w:val="left"/>
      <w:pPr>
        <w:ind w:left="7273" w:hanging="238"/>
      </w:pPr>
      <w:rPr>
        <w:rFonts w:hint="default"/>
        <w:lang w:val="en-US" w:eastAsia="en-US" w:bidi="ar-SA"/>
      </w:rPr>
    </w:lvl>
  </w:abstractNum>
  <w:abstractNum w:abstractNumId="78" w15:restartNumberingAfterBreak="0">
    <w:nsid w:val="19614978"/>
    <w:multiLevelType w:val="hybridMultilevel"/>
    <w:tmpl w:val="A3683E94"/>
    <w:lvl w:ilvl="0" w:tplc="09DA47E8">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0666BAEE">
      <w:numFmt w:val="bullet"/>
      <w:lvlText w:val="•"/>
      <w:lvlJc w:val="left"/>
      <w:pPr>
        <w:ind w:left="1566" w:hanging="567"/>
      </w:pPr>
      <w:rPr>
        <w:rFonts w:hint="default"/>
        <w:lang w:val="en-US" w:eastAsia="en-US" w:bidi="ar-SA"/>
      </w:rPr>
    </w:lvl>
    <w:lvl w:ilvl="2" w:tplc="DCD223EC">
      <w:numFmt w:val="bullet"/>
      <w:lvlText w:val="•"/>
      <w:lvlJc w:val="left"/>
      <w:pPr>
        <w:ind w:left="2433" w:hanging="567"/>
      </w:pPr>
      <w:rPr>
        <w:rFonts w:hint="default"/>
        <w:lang w:val="en-US" w:eastAsia="en-US" w:bidi="ar-SA"/>
      </w:rPr>
    </w:lvl>
    <w:lvl w:ilvl="3" w:tplc="6F0235EA">
      <w:numFmt w:val="bullet"/>
      <w:lvlText w:val="•"/>
      <w:lvlJc w:val="left"/>
      <w:pPr>
        <w:ind w:left="3299" w:hanging="567"/>
      </w:pPr>
      <w:rPr>
        <w:rFonts w:hint="default"/>
        <w:lang w:val="en-US" w:eastAsia="en-US" w:bidi="ar-SA"/>
      </w:rPr>
    </w:lvl>
    <w:lvl w:ilvl="4" w:tplc="DBF4BC2C">
      <w:numFmt w:val="bullet"/>
      <w:lvlText w:val="•"/>
      <w:lvlJc w:val="left"/>
      <w:pPr>
        <w:ind w:left="4166" w:hanging="567"/>
      </w:pPr>
      <w:rPr>
        <w:rFonts w:hint="default"/>
        <w:lang w:val="en-US" w:eastAsia="en-US" w:bidi="ar-SA"/>
      </w:rPr>
    </w:lvl>
    <w:lvl w:ilvl="5" w:tplc="9AB8335A">
      <w:numFmt w:val="bullet"/>
      <w:lvlText w:val="•"/>
      <w:lvlJc w:val="left"/>
      <w:pPr>
        <w:ind w:left="5033" w:hanging="567"/>
      </w:pPr>
      <w:rPr>
        <w:rFonts w:hint="default"/>
        <w:lang w:val="en-US" w:eastAsia="en-US" w:bidi="ar-SA"/>
      </w:rPr>
    </w:lvl>
    <w:lvl w:ilvl="6" w:tplc="7E2CED10">
      <w:numFmt w:val="bullet"/>
      <w:lvlText w:val="•"/>
      <w:lvlJc w:val="left"/>
      <w:pPr>
        <w:ind w:left="5899" w:hanging="567"/>
      </w:pPr>
      <w:rPr>
        <w:rFonts w:hint="default"/>
        <w:lang w:val="en-US" w:eastAsia="en-US" w:bidi="ar-SA"/>
      </w:rPr>
    </w:lvl>
    <w:lvl w:ilvl="7" w:tplc="FDCE700C">
      <w:numFmt w:val="bullet"/>
      <w:lvlText w:val="•"/>
      <w:lvlJc w:val="left"/>
      <w:pPr>
        <w:ind w:left="6766" w:hanging="567"/>
      </w:pPr>
      <w:rPr>
        <w:rFonts w:hint="default"/>
        <w:lang w:val="en-US" w:eastAsia="en-US" w:bidi="ar-SA"/>
      </w:rPr>
    </w:lvl>
    <w:lvl w:ilvl="8" w:tplc="D9925360">
      <w:numFmt w:val="bullet"/>
      <w:lvlText w:val="•"/>
      <w:lvlJc w:val="left"/>
      <w:pPr>
        <w:ind w:left="7633" w:hanging="567"/>
      </w:pPr>
      <w:rPr>
        <w:rFonts w:hint="default"/>
        <w:lang w:val="en-US" w:eastAsia="en-US" w:bidi="ar-SA"/>
      </w:rPr>
    </w:lvl>
  </w:abstractNum>
  <w:abstractNum w:abstractNumId="79" w15:restartNumberingAfterBreak="0">
    <w:nsid w:val="196566EF"/>
    <w:multiLevelType w:val="hybridMultilevel"/>
    <w:tmpl w:val="8EB41C60"/>
    <w:lvl w:ilvl="0" w:tplc="18CE1E1C">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41223F92">
      <w:numFmt w:val="bullet"/>
      <w:lvlText w:val="•"/>
      <w:lvlJc w:val="left"/>
      <w:pPr>
        <w:ind w:left="1566" w:hanging="567"/>
      </w:pPr>
      <w:rPr>
        <w:rFonts w:hint="default"/>
        <w:lang w:val="en-US" w:eastAsia="en-US" w:bidi="ar-SA"/>
      </w:rPr>
    </w:lvl>
    <w:lvl w:ilvl="2" w:tplc="23DAE59E">
      <w:numFmt w:val="bullet"/>
      <w:lvlText w:val="•"/>
      <w:lvlJc w:val="left"/>
      <w:pPr>
        <w:ind w:left="2433" w:hanging="567"/>
      </w:pPr>
      <w:rPr>
        <w:rFonts w:hint="default"/>
        <w:lang w:val="en-US" w:eastAsia="en-US" w:bidi="ar-SA"/>
      </w:rPr>
    </w:lvl>
    <w:lvl w:ilvl="3" w:tplc="63DC4D72">
      <w:numFmt w:val="bullet"/>
      <w:lvlText w:val="•"/>
      <w:lvlJc w:val="left"/>
      <w:pPr>
        <w:ind w:left="3299" w:hanging="567"/>
      </w:pPr>
      <w:rPr>
        <w:rFonts w:hint="default"/>
        <w:lang w:val="en-US" w:eastAsia="en-US" w:bidi="ar-SA"/>
      </w:rPr>
    </w:lvl>
    <w:lvl w:ilvl="4" w:tplc="948E8F5C">
      <w:numFmt w:val="bullet"/>
      <w:lvlText w:val="•"/>
      <w:lvlJc w:val="left"/>
      <w:pPr>
        <w:ind w:left="4166" w:hanging="567"/>
      </w:pPr>
      <w:rPr>
        <w:rFonts w:hint="default"/>
        <w:lang w:val="en-US" w:eastAsia="en-US" w:bidi="ar-SA"/>
      </w:rPr>
    </w:lvl>
    <w:lvl w:ilvl="5" w:tplc="4C2A6A24">
      <w:numFmt w:val="bullet"/>
      <w:lvlText w:val="•"/>
      <w:lvlJc w:val="left"/>
      <w:pPr>
        <w:ind w:left="5033" w:hanging="567"/>
      </w:pPr>
      <w:rPr>
        <w:rFonts w:hint="default"/>
        <w:lang w:val="en-US" w:eastAsia="en-US" w:bidi="ar-SA"/>
      </w:rPr>
    </w:lvl>
    <w:lvl w:ilvl="6" w:tplc="52247F38">
      <w:numFmt w:val="bullet"/>
      <w:lvlText w:val="•"/>
      <w:lvlJc w:val="left"/>
      <w:pPr>
        <w:ind w:left="5899" w:hanging="567"/>
      </w:pPr>
      <w:rPr>
        <w:rFonts w:hint="default"/>
        <w:lang w:val="en-US" w:eastAsia="en-US" w:bidi="ar-SA"/>
      </w:rPr>
    </w:lvl>
    <w:lvl w:ilvl="7" w:tplc="141E2C74">
      <w:numFmt w:val="bullet"/>
      <w:lvlText w:val="•"/>
      <w:lvlJc w:val="left"/>
      <w:pPr>
        <w:ind w:left="6766" w:hanging="567"/>
      </w:pPr>
      <w:rPr>
        <w:rFonts w:hint="default"/>
        <w:lang w:val="en-US" w:eastAsia="en-US" w:bidi="ar-SA"/>
      </w:rPr>
    </w:lvl>
    <w:lvl w:ilvl="8" w:tplc="C5340D38">
      <w:numFmt w:val="bullet"/>
      <w:lvlText w:val="•"/>
      <w:lvlJc w:val="left"/>
      <w:pPr>
        <w:ind w:left="7633" w:hanging="567"/>
      </w:pPr>
      <w:rPr>
        <w:rFonts w:hint="default"/>
        <w:lang w:val="en-US" w:eastAsia="en-US" w:bidi="ar-SA"/>
      </w:rPr>
    </w:lvl>
  </w:abstractNum>
  <w:abstractNum w:abstractNumId="80" w15:restartNumberingAfterBreak="0">
    <w:nsid w:val="19660242"/>
    <w:multiLevelType w:val="hybridMultilevel"/>
    <w:tmpl w:val="44C48EF4"/>
    <w:lvl w:ilvl="0" w:tplc="973422EA">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1B10887A">
      <w:numFmt w:val="bullet"/>
      <w:lvlText w:val="•"/>
      <w:lvlJc w:val="left"/>
      <w:pPr>
        <w:ind w:left="1566" w:hanging="567"/>
      </w:pPr>
      <w:rPr>
        <w:rFonts w:hint="default"/>
        <w:lang w:val="en-US" w:eastAsia="en-US" w:bidi="ar-SA"/>
      </w:rPr>
    </w:lvl>
    <w:lvl w:ilvl="2" w:tplc="463E04F4">
      <w:numFmt w:val="bullet"/>
      <w:lvlText w:val="•"/>
      <w:lvlJc w:val="left"/>
      <w:pPr>
        <w:ind w:left="2433" w:hanging="567"/>
      </w:pPr>
      <w:rPr>
        <w:rFonts w:hint="default"/>
        <w:lang w:val="en-US" w:eastAsia="en-US" w:bidi="ar-SA"/>
      </w:rPr>
    </w:lvl>
    <w:lvl w:ilvl="3" w:tplc="59A8F368">
      <w:numFmt w:val="bullet"/>
      <w:lvlText w:val="•"/>
      <w:lvlJc w:val="left"/>
      <w:pPr>
        <w:ind w:left="3299" w:hanging="567"/>
      </w:pPr>
      <w:rPr>
        <w:rFonts w:hint="default"/>
        <w:lang w:val="en-US" w:eastAsia="en-US" w:bidi="ar-SA"/>
      </w:rPr>
    </w:lvl>
    <w:lvl w:ilvl="4" w:tplc="A3F2EF60">
      <w:numFmt w:val="bullet"/>
      <w:lvlText w:val="•"/>
      <w:lvlJc w:val="left"/>
      <w:pPr>
        <w:ind w:left="4166" w:hanging="567"/>
      </w:pPr>
      <w:rPr>
        <w:rFonts w:hint="default"/>
        <w:lang w:val="en-US" w:eastAsia="en-US" w:bidi="ar-SA"/>
      </w:rPr>
    </w:lvl>
    <w:lvl w:ilvl="5" w:tplc="ECCCD650">
      <w:numFmt w:val="bullet"/>
      <w:lvlText w:val="•"/>
      <w:lvlJc w:val="left"/>
      <w:pPr>
        <w:ind w:left="5033" w:hanging="567"/>
      </w:pPr>
      <w:rPr>
        <w:rFonts w:hint="default"/>
        <w:lang w:val="en-US" w:eastAsia="en-US" w:bidi="ar-SA"/>
      </w:rPr>
    </w:lvl>
    <w:lvl w:ilvl="6" w:tplc="73E48308">
      <w:numFmt w:val="bullet"/>
      <w:lvlText w:val="•"/>
      <w:lvlJc w:val="left"/>
      <w:pPr>
        <w:ind w:left="5899" w:hanging="567"/>
      </w:pPr>
      <w:rPr>
        <w:rFonts w:hint="default"/>
        <w:lang w:val="en-US" w:eastAsia="en-US" w:bidi="ar-SA"/>
      </w:rPr>
    </w:lvl>
    <w:lvl w:ilvl="7" w:tplc="4B80F6B2">
      <w:numFmt w:val="bullet"/>
      <w:lvlText w:val="•"/>
      <w:lvlJc w:val="left"/>
      <w:pPr>
        <w:ind w:left="6766" w:hanging="567"/>
      </w:pPr>
      <w:rPr>
        <w:rFonts w:hint="default"/>
        <w:lang w:val="en-US" w:eastAsia="en-US" w:bidi="ar-SA"/>
      </w:rPr>
    </w:lvl>
    <w:lvl w:ilvl="8" w:tplc="934C3F9E">
      <w:numFmt w:val="bullet"/>
      <w:lvlText w:val="•"/>
      <w:lvlJc w:val="left"/>
      <w:pPr>
        <w:ind w:left="7633" w:hanging="567"/>
      </w:pPr>
      <w:rPr>
        <w:rFonts w:hint="default"/>
        <w:lang w:val="en-US" w:eastAsia="en-US" w:bidi="ar-SA"/>
      </w:rPr>
    </w:lvl>
  </w:abstractNum>
  <w:abstractNum w:abstractNumId="81" w15:restartNumberingAfterBreak="0">
    <w:nsid w:val="196D29B1"/>
    <w:multiLevelType w:val="hybridMultilevel"/>
    <w:tmpl w:val="7A6033B6"/>
    <w:lvl w:ilvl="0" w:tplc="3F2E25BE">
      <w:start w:val="1"/>
      <w:numFmt w:val="decimal"/>
      <w:lvlText w:val="(%1)"/>
      <w:lvlJc w:val="left"/>
      <w:pPr>
        <w:ind w:left="1273" w:hanging="567"/>
      </w:pPr>
      <w:rPr>
        <w:rFonts w:ascii="Arial" w:eastAsia="Calibri" w:hAnsi="Arial" w:cs="Arial" w:hint="default"/>
        <w:spacing w:val="-1"/>
        <w:w w:val="100"/>
        <w:sz w:val="20"/>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1A2D71C7"/>
    <w:multiLevelType w:val="hybridMultilevel"/>
    <w:tmpl w:val="818AF7BC"/>
    <w:lvl w:ilvl="0" w:tplc="AAC0021C">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ECA41846">
      <w:numFmt w:val="bullet"/>
      <w:lvlText w:val="•"/>
      <w:lvlJc w:val="left"/>
      <w:pPr>
        <w:ind w:left="1566" w:hanging="567"/>
      </w:pPr>
      <w:rPr>
        <w:rFonts w:hint="default"/>
        <w:lang w:val="en-US" w:eastAsia="en-US" w:bidi="ar-SA"/>
      </w:rPr>
    </w:lvl>
    <w:lvl w:ilvl="2" w:tplc="79B0DEE6">
      <w:numFmt w:val="bullet"/>
      <w:lvlText w:val="•"/>
      <w:lvlJc w:val="left"/>
      <w:pPr>
        <w:ind w:left="2433" w:hanging="567"/>
      </w:pPr>
      <w:rPr>
        <w:rFonts w:hint="default"/>
        <w:lang w:val="en-US" w:eastAsia="en-US" w:bidi="ar-SA"/>
      </w:rPr>
    </w:lvl>
    <w:lvl w:ilvl="3" w:tplc="D7D210D0">
      <w:numFmt w:val="bullet"/>
      <w:lvlText w:val="•"/>
      <w:lvlJc w:val="left"/>
      <w:pPr>
        <w:ind w:left="3299" w:hanging="567"/>
      </w:pPr>
      <w:rPr>
        <w:rFonts w:hint="default"/>
        <w:lang w:val="en-US" w:eastAsia="en-US" w:bidi="ar-SA"/>
      </w:rPr>
    </w:lvl>
    <w:lvl w:ilvl="4" w:tplc="5F34E6E8">
      <w:numFmt w:val="bullet"/>
      <w:lvlText w:val="•"/>
      <w:lvlJc w:val="left"/>
      <w:pPr>
        <w:ind w:left="4166" w:hanging="567"/>
      </w:pPr>
      <w:rPr>
        <w:rFonts w:hint="default"/>
        <w:lang w:val="en-US" w:eastAsia="en-US" w:bidi="ar-SA"/>
      </w:rPr>
    </w:lvl>
    <w:lvl w:ilvl="5" w:tplc="13504346">
      <w:numFmt w:val="bullet"/>
      <w:lvlText w:val="•"/>
      <w:lvlJc w:val="left"/>
      <w:pPr>
        <w:ind w:left="5033" w:hanging="567"/>
      </w:pPr>
      <w:rPr>
        <w:rFonts w:hint="default"/>
        <w:lang w:val="en-US" w:eastAsia="en-US" w:bidi="ar-SA"/>
      </w:rPr>
    </w:lvl>
    <w:lvl w:ilvl="6" w:tplc="229874CA">
      <w:numFmt w:val="bullet"/>
      <w:lvlText w:val="•"/>
      <w:lvlJc w:val="left"/>
      <w:pPr>
        <w:ind w:left="5899" w:hanging="567"/>
      </w:pPr>
      <w:rPr>
        <w:rFonts w:hint="default"/>
        <w:lang w:val="en-US" w:eastAsia="en-US" w:bidi="ar-SA"/>
      </w:rPr>
    </w:lvl>
    <w:lvl w:ilvl="7" w:tplc="ECE83640">
      <w:numFmt w:val="bullet"/>
      <w:lvlText w:val="•"/>
      <w:lvlJc w:val="left"/>
      <w:pPr>
        <w:ind w:left="6766" w:hanging="567"/>
      </w:pPr>
      <w:rPr>
        <w:rFonts w:hint="default"/>
        <w:lang w:val="en-US" w:eastAsia="en-US" w:bidi="ar-SA"/>
      </w:rPr>
    </w:lvl>
    <w:lvl w:ilvl="8" w:tplc="B7E450FE">
      <w:numFmt w:val="bullet"/>
      <w:lvlText w:val="•"/>
      <w:lvlJc w:val="left"/>
      <w:pPr>
        <w:ind w:left="7633" w:hanging="567"/>
      </w:pPr>
      <w:rPr>
        <w:rFonts w:hint="default"/>
        <w:lang w:val="en-US" w:eastAsia="en-US" w:bidi="ar-SA"/>
      </w:rPr>
    </w:lvl>
  </w:abstractNum>
  <w:abstractNum w:abstractNumId="83" w15:restartNumberingAfterBreak="0">
    <w:nsid w:val="1A5F5A1A"/>
    <w:multiLevelType w:val="hybridMultilevel"/>
    <w:tmpl w:val="D3946B9A"/>
    <w:lvl w:ilvl="0" w:tplc="56EC22E8">
      <w:start w:val="1"/>
      <w:numFmt w:val="lowerLetter"/>
      <w:lvlText w:val="(%1)"/>
      <w:lvlJc w:val="left"/>
      <w:pPr>
        <w:ind w:left="706" w:hanging="567"/>
      </w:pPr>
      <w:rPr>
        <w:rFonts w:ascii="Calibri" w:eastAsia="Calibri" w:hAnsi="Calibri" w:cs="Calibri" w:hint="default"/>
        <w:spacing w:val="-1"/>
        <w:w w:val="100"/>
        <w:sz w:val="22"/>
        <w:szCs w:val="22"/>
        <w:lang w:val="en-US" w:eastAsia="en-US" w:bidi="ar-SA"/>
      </w:rPr>
    </w:lvl>
    <w:lvl w:ilvl="1" w:tplc="AA449DFA">
      <w:start w:val="1"/>
      <w:numFmt w:val="decimal"/>
      <w:lvlText w:val="(%2)"/>
      <w:lvlJc w:val="left"/>
      <w:pPr>
        <w:ind w:left="1273" w:hanging="567"/>
      </w:pPr>
      <w:rPr>
        <w:rFonts w:ascii="Calibri" w:eastAsia="Calibri" w:hAnsi="Calibri" w:cs="Calibri" w:hint="default"/>
        <w:spacing w:val="-1"/>
        <w:w w:val="100"/>
        <w:sz w:val="22"/>
        <w:szCs w:val="22"/>
        <w:lang w:val="en-US" w:eastAsia="en-US" w:bidi="ar-SA"/>
      </w:rPr>
    </w:lvl>
    <w:lvl w:ilvl="2" w:tplc="14B486E4">
      <w:numFmt w:val="bullet"/>
      <w:lvlText w:val="•"/>
      <w:lvlJc w:val="left"/>
      <w:pPr>
        <w:ind w:left="2178" w:hanging="567"/>
      </w:pPr>
      <w:rPr>
        <w:rFonts w:hint="default"/>
        <w:lang w:val="en-US" w:eastAsia="en-US" w:bidi="ar-SA"/>
      </w:rPr>
    </w:lvl>
    <w:lvl w:ilvl="3" w:tplc="70D63274">
      <w:numFmt w:val="bullet"/>
      <w:lvlText w:val="•"/>
      <w:lvlJc w:val="left"/>
      <w:pPr>
        <w:ind w:left="3076" w:hanging="567"/>
      </w:pPr>
      <w:rPr>
        <w:rFonts w:hint="default"/>
        <w:lang w:val="en-US" w:eastAsia="en-US" w:bidi="ar-SA"/>
      </w:rPr>
    </w:lvl>
    <w:lvl w:ilvl="4" w:tplc="FB78DFEE">
      <w:numFmt w:val="bullet"/>
      <w:lvlText w:val="•"/>
      <w:lvlJc w:val="left"/>
      <w:pPr>
        <w:ind w:left="3975" w:hanging="567"/>
      </w:pPr>
      <w:rPr>
        <w:rFonts w:hint="default"/>
        <w:lang w:val="en-US" w:eastAsia="en-US" w:bidi="ar-SA"/>
      </w:rPr>
    </w:lvl>
    <w:lvl w:ilvl="5" w:tplc="40624966">
      <w:numFmt w:val="bullet"/>
      <w:lvlText w:val="•"/>
      <w:lvlJc w:val="left"/>
      <w:pPr>
        <w:ind w:left="4873" w:hanging="567"/>
      </w:pPr>
      <w:rPr>
        <w:rFonts w:hint="default"/>
        <w:lang w:val="en-US" w:eastAsia="en-US" w:bidi="ar-SA"/>
      </w:rPr>
    </w:lvl>
    <w:lvl w:ilvl="6" w:tplc="64CC5EAA">
      <w:numFmt w:val="bullet"/>
      <w:lvlText w:val="•"/>
      <w:lvlJc w:val="left"/>
      <w:pPr>
        <w:ind w:left="5772" w:hanging="567"/>
      </w:pPr>
      <w:rPr>
        <w:rFonts w:hint="default"/>
        <w:lang w:val="en-US" w:eastAsia="en-US" w:bidi="ar-SA"/>
      </w:rPr>
    </w:lvl>
    <w:lvl w:ilvl="7" w:tplc="0A188D54">
      <w:numFmt w:val="bullet"/>
      <w:lvlText w:val="•"/>
      <w:lvlJc w:val="left"/>
      <w:pPr>
        <w:ind w:left="6670" w:hanging="567"/>
      </w:pPr>
      <w:rPr>
        <w:rFonts w:hint="default"/>
        <w:lang w:val="en-US" w:eastAsia="en-US" w:bidi="ar-SA"/>
      </w:rPr>
    </w:lvl>
    <w:lvl w:ilvl="8" w:tplc="46326F38">
      <w:numFmt w:val="bullet"/>
      <w:lvlText w:val="•"/>
      <w:lvlJc w:val="left"/>
      <w:pPr>
        <w:ind w:left="7569" w:hanging="567"/>
      </w:pPr>
      <w:rPr>
        <w:rFonts w:hint="default"/>
        <w:lang w:val="en-US" w:eastAsia="en-US" w:bidi="ar-SA"/>
      </w:rPr>
    </w:lvl>
  </w:abstractNum>
  <w:abstractNum w:abstractNumId="84" w15:restartNumberingAfterBreak="0">
    <w:nsid w:val="1A6E32CA"/>
    <w:multiLevelType w:val="hybridMultilevel"/>
    <w:tmpl w:val="065675CE"/>
    <w:lvl w:ilvl="0" w:tplc="02A8472C">
      <w:start w:val="1"/>
      <w:numFmt w:val="lowerRoman"/>
      <w:lvlText w:val="(%1)"/>
      <w:lvlJc w:val="left"/>
      <w:pPr>
        <w:ind w:left="2408" w:hanging="567"/>
      </w:pPr>
      <w:rPr>
        <w:rFonts w:ascii="Arial" w:eastAsia="Calibri" w:hAnsi="Arial" w:cs="Arial" w:hint="default"/>
        <w:spacing w:val="-1"/>
        <w:w w:val="100"/>
        <w:sz w:val="20"/>
        <w:szCs w:val="22"/>
        <w:lang w:val="en-US" w:eastAsia="en-US" w:bidi="ar-SA"/>
      </w:rPr>
    </w:lvl>
    <w:lvl w:ilvl="1" w:tplc="004826A4">
      <w:numFmt w:val="bullet"/>
      <w:lvlText w:val="•"/>
      <w:lvlJc w:val="left"/>
      <w:pPr>
        <w:ind w:left="3096" w:hanging="567"/>
      </w:pPr>
      <w:rPr>
        <w:rFonts w:hint="default"/>
        <w:lang w:val="en-US" w:eastAsia="en-US" w:bidi="ar-SA"/>
      </w:rPr>
    </w:lvl>
    <w:lvl w:ilvl="2" w:tplc="AD309BC0">
      <w:numFmt w:val="bullet"/>
      <w:lvlText w:val="•"/>
      <w:lvlJc w:val="left"/>
      <w:pPr>
        <w:ind w:left="3793" w:hanging="567"/>
      </w:pPr>
      <w:rPr>
        <w:rFonts w:hint="default"/>
        <w:lang w:val="en-US" w:eastAsia="en-US" w:bidi="ar-SA"/>
      </w:rPr>
    </w:lvl>
    <w:lvl w:ilvl="3" w:tplc="93E2BEC8">
      <w:numFmt w:val="bullet"/>
      <w:lvlText w:val="•"/>
      <w:lvlJc w:val="left"/>
      <w:pPr>
        <w:ind w:left="4489" w:hanging="567"/>
      </w:pPr>
      <w:rPr>
        <w:rFonts w:hint="default"/>
        <w:lang w:val="en-US" w:eastAsia="en-US" w:bidi="ar-SA"/>
      </w:rPr>
    </w:lvl>
    <w:lvl w:ilvl="4" w:tplc="8A2C1CBA">
      <w:numFmt w:val="bullet"/>
      <w:lvlText w:val="•"/>
      <w:lvlJc w:val="left"/>
      <w:pPr>
        <w:ind w:left="5186" w:hanging="567"/>
      </w:pPr>
      <w:rPr>
        <w:rFonts w:hint="default"/>
        <w:lang w:val="en-US" w:eastAsia="en-US" w:bidi="ar-SA"/>
      </w:rPr>
    </w:lvl>
    <w:lvl w:ilvl="5" w:tplc="7598ACEE">
      <w:numFmt w:val="bullet"/>
      <w:lvlText w:val="•"/>
      <w:lvlJc w:val="left"/>
      <w:pPr>
        <w:ind w:left="5883" w:hanging="567"/>
      </w:pPr>
      <w:rPr>
        <w:rFonts w:hint="default"/>
        <w:lang w:val="en-US" w:eastAsia="en-US" w:bidi="ar-SA"/>
      </w:rPr>
    </w:lvl>
    <w:lvl w:ilvl="6" w:tplc="94227812">
      <w:numFmt w:val="bullet"/>
      <w:lvlText w:val="•"/>
      <w:lvlJc w:val="left"/>
      <w:pPr>
        <w:ind w:left="6579" w:hanging="567"/>
      </w:pPr>
      <w:rPr>
        <w:rFonts w:hint="default"/>
        <w:lang w:val="en-US" w:eastAsia="en-US" w:bidi="ar-SA"/>
      </w:rPr>
    </w:lvl>
    <w:lvl w:ilvl="7" w:tplc="DC7ADF78">
      <w:numFmt w:val="bullet"/>
      <w:lvlText w:val="•"/>
      <w:lvlJc w:val="left"/>
      <w:pPr>
        <w:ind w:left="7276" w:hanging="567"/>
      </w:pPr>
      <w:rPr>
        <w:rFonts w:hint="default"/>
        <w:lang w:val="en-US" w:eastAsia="en-US" w:bidi="ar-SA"/>
      </w:rPr>
    </w:lvl>
    <w:lvl w:ilvl="8" w:tplc="AA0E5342">
      <w:numFmt w:val="bullet"/>
      <w:lvlText w:val="•"/>
      <w:lvlJc w:val="left"/>
      <w:pPr>
        <w:ind w:left="7973" w:hanging="567"/>
      </w:pPr>
      <w:rPr>
        <w:rFonts w:hint="default"/>
        <w:lang w:val="en-US" w:eastAsia="en-US" w:bidi="ar-SA"/>
      </w:rPr>
    </w:lvl>
  </w:abstractNum>
  <w:abstractNum w:abstractNumId="85" w15:restartNumberingAfterBreak="0">
    <w:nsid w:val="1B14160E"/>
    <w:multiLevelType w:val="hybridMultilevel"/>
    <w:tmpl w:val="D788FD32"/>
    <w:lvl w:ilvl="0" w:tplc="2B72092A">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D76840F2">
      <w:numFmt w:val="bullet"/>
      <w:lvlText w:val="•"/>
      <w:lvlJc w:val="left"/>
      <w:pPr>
        <w:ind w:left="1566" w:hanging="567"/>
      </w:pPr>
      <w:rPr>
        <w:rFonts w:hint="default"/>
        <w:lang w:val="en-US" w:eastAsia="en-US" w:bidi="ar-SA"/>
      </w:rPr>
    </w:lvl>
    <w:lvl w:ilvl="2" w:tplc="0AFCE9B6">
      <w:numFmt w:val="bullet"/>
      <w:lvlText w:val="•"/>
      <w:lvlJc w:val="left"/>
      <w:pPr>
        <w:ind w:left="2433" w:hanging="567"/>
      </w:pPr>
      <w:rPr>
        <w:rFonts w:hint="default"/>
        <w:lang w:val="en-US" w:eastAsia="en-US" w:bidi="ar-SA"/>
      </w:rPr>
    </w:lvl>
    <w:lvl w:ilvl="3" w:tplc="9F202568">
      <w:numFmt w:val="bullet"/>
      <w:lvlText w:val="•"/>
      <w:lvlJc w:val="left"/>
      <w:pPr>
        <w:ind w:left="3299" w:hanging="567"/>
      </w:pPr>
      <w:rPr>
        <w:rFonts w:hint="default"/>
        <w:lang w:val="en-US" w:eastAsia="en-US" w:bidi="ar-SA"/>
      </w:rPr>
    </w:lvl>
    <w:lvl w:ilvl="4" w:tplc="8D429542">
      <w:numFmt w:val="bullet"/>
      <w:lvlText w:val="•"/>
      <w:lvlJc w:val="left"/>
      <w:pPr>
        <w:ind w:left="4166" w:hanging="567"/>
      </w:pPr>
      <w:rPr>
        <w:rFonts w:hint="default"/>
        <w:lang w:val="en-US" w:eastAsia="en-US" w:bidi="ar-SA"/>
      </w:rPr>
    </w:lvl>
    <w:lvl w:ilvl="5" w:tplc="84AAF47E">
      <w:numFmt w:val="bullet"/>
      <w:lvlText w:val="•"/>
      <w:lvlJc w:val="left"/>
      <w:pPr>
        <w:ind w:left="5033" w:hanging="567"/>
      </w:pPr>
      <w:rPr>
        <w:rFonts w:hint="default"/>
        <w:lang w:val="en-US" w:eastAsia="en-US" w:bidi="ar-SA"/>
      </w:rPr>
    </w:lvl>
    <w:lvl w:ilvl="6" w:tplc="1D9E7944">
      <w:numFmt w:val="bullet"/>
      <w:lvlText w:val="•"/>
      <w:lvlJc w:val="left"/>
      <w:pPr>
        <w:ind w:left="5899" w:hanging="567"/>
      </w:pPr>
      <w:rPr>
        <w:rFonts w:hint="default"/>
        <w:lang w:val="en-US" w:eastAsia="en-US" w:bidi="ar-SA"/>
      </w:rPr>
    </w:lvl>
    <w:lvl w:ilvl="7" w:tplc="971E033E">
      <w:numFmt w:val="bullet"/>
      <w:lvlText w:val="•"/>
      <w:lvlJc w:val="left"/>
      <w:pPr>
        <w:ind w:left="6766" w:hanging="567"/>
      </w:pPr>
      <w:rPr>
        <w:rFonts w:hint="default"/>
        <w:lang w:val="en-US" w:eastAsia="en-US" w:bidi="ar-SA"/>
      </w:rPr>
    </w:lvl>
    <w:lvl w:ilvl="8" w:tplc="B576F558">
      <w:numFmt w:val="bullet"/>
      <w:lvlText w:val="•"/>
      <w:lvlJc w:val="left"/>
      <w:pPr>
        <w:ind w:left="7633" w:hanging="567"/>
      </w:pPr>
      <w:rPr>
        <w:rFonts w:hint="default"/>
        <w:lang w:val="en-US" w:eastAsia="en-US" w:bidi="ar-SA"/>
      </w:rPr>
    </w:lvl>
  </w:abstractNum>
  <w:abstractNum w:abstractNumId="86" w15:restartNumberingAfterBreak="0">
    <w:nsid w:val="1B1B1C7B"/>
    <w:multiLevelType w:val="hybridMultilevel"/>
    <w:tmpl w:val="BBF641B8"/>
    <w:lvl w:ilvl="0" w:tplc="CD80582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ADC655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1B2266EE">
      <w:numFmt w:val="bullet"/>
      <w:lvlText w:val="•"/>
      <w:lvlJc w:val="left"/>
      <w:pPr>
        <w:ind w:left="2178" w:hanging="567"/>
      </w:pPr>
      <w:rPr>
        <w:lang w:val="en-US" w:eastAsia="en-US" w:bidi="ar-SA"/>
      </w:rPr>
    </w:lvl>
    <w:lvl w:ilvl="3" w:tplc="45BE0660">
      <w:numFmt w:val="bullet"/>
      <w:lvlText w:val="•"/>
      <w:lvlJc w:val="left"/>
      <w:pPr>
        <w:ind w:left="3076" w:hanging="567"/>
      </w:pPr>
      <w:rPr>
        <w:lang w:val="en-US" w:eastAsia="en-US" w:bidi="ar-SA"/>
      </w:rPr>
    </w:lvl>
    <w:lvl w:ilvl="4" w:tplc="EF4E30C8">
      <w:numFmt w:val="bullet"/>
      <w:lvlText w:val="•"/>
      <w:lvlJc w:val="left"/>
      <w:pPr>
        <w:ind w:left="3975" w:hanging="567"/>
      </w:pPr>
      <w:rPr>
        <w:lang w:val="en-US" w:eastAsia="en-US" w:bidi="ar-SA"/>
      </w:rPr>
    </w:lvl>
    <w:lvl w:ilvl="5" w:tplc="E8CECEAA">
      <w:numFmt w:val="bullet"/>
      <w:lvlText w:val="•"/>
      <w:lvlJc w:val="left"/>
      <w:pPr>
        <w:ind w:left="4873" w:hanging="567"/>
      </w:pPr>
      <w:rPr>
        <w:lang w:val="en-US" w:eastAsia="en-US" w:bidi="ar-SA"/>
      </w:rPr>
    </w:lvl>
    <w:lvl w:ilvl="6" w:tplc="D8024D6C">
      <w:numFmt w:val="bullet"/>
      <w:lvlText w:val="•"/>
      <w:lvlJc w:val="left"/>
      <w:pPr>
        <w:ind w:left="5772" w:hanging="567"/>
      </w:pPr>
      <w:rPr>
        <w:lang w:val="en-US" w:eastAsia="en-US" w:bidi="ar-SA"/>
      </w:rPr>
    </w:lvl>
    <w:lvl w:ilvl="7" w:tplc="7E1A1F06">
      <w:numFmt w:val="bullet"/>
      <w:lvlText w:val="•"/>
      <w:lvlJc w:val="left"/>
      <w:pPr>
        <w:ind w:left="6670" w:hanging="567"/>
      </w:pPr>
      <w:rPr>
        <w:lang w:val="en-US" w:eastAsia="en-US" w:bidi="ar-SA"/>
      </w:rPr>
    </w:lvl>
    <w:lvl w:ilvl="8" w:tplc="78D2843C">
      <w:numFmt w:val="bullet"/>
      <w:lvlText w:val="•"/>
      <w:lvlJc w:val="left"/>
      <w:pPr>
        <w:ind w:left="7569" w:hanging="567"/>
      </w:pPr>
      <w:rPr>
        <w:lang w:val="en-US" w:eastAsia="en-US" w:bidi="ar-SA"/>
      </w:rPr>
    </w:lvl>
  </w:abstractNum>
  <w:abstractNum w:abstractNumId="87" w15:restartNumberingAfterBreak="0">
    <w:nsid w:val="1B887853"/>
    <w:multiLevelType w:val="hybridMultilevel"/>
    <w:tmpl w:val="37182070"/>
    <w:lvl w:ilvl="0" w:tplc="DDE06D30">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5E84838C">
      <w:numFmt w:val="bullet"/>
      <w:lvlText w:val="•"/>
      <w:lvlJc w:val="left"/>
      <w:pPr>
        <w:ind w:left="1566" w:hanging="567"/>
      </w:pPr>
      <w:rPr>
        <w:lang w:val="en-US" w:eastAsia="en-US" w:bidi="ar-SA"/>
      </w:rPr>
    </w:lvl>
    <w:lvl w:ilvl="2" w:tplc="257C490E">
      <w:numFmt w:val="bullet"/>
      <w:lvlText w:val="•"/>
      <w:lvlJc w:val="left"/>
      <w:pPr>
        <w:ind w:left="2433" w:hanging="567"/>
      </w:pPr>
      <w:rPr>
        <w:lang w:val="en-US" w:eastAsia="en-US" w:bidi="ar-SA"/>
      </w:rPr>
    </w:lvl>
    <w:lvl w:ilvl="3" w:tplc="FEF48426">
      <w:numFmt w:val="bullet"/>
      <w:lvlText w:val="•"/>
      <w:lvlJc w:val="left"/>
      <w:pPr>
        <w:ind w:left="3299" w:hanging="567"/>
      </w:pPr>
      <w:rPr>
        <w:lang w:val="en-US" w:eastAsia="en-US" w:bidi="ar-SA"/>
      </w:rPr>
    </w:lvl>
    <w:lvl w:ilvl="4" w:tplc="11DEBDC0">
      <w:numFmt w:val="bullet"/>
      <w:lvlText w:val="•"/>
      <w:lvlJc w:val="left"/>
      <w:pPr>
        <w:ind w:left="4166" w:hanging="567"/>
      </w:pPr>
      <w:rPr>
        <w:lang w:val="en-US" w:eastAsia="en-US" w:bidi="ar-SA"/>
      </w:rPr>
    </w:lvl>
    <w:lvl w:ilvl="5" w:tplc="FE78DCE0">
      <w:numFmt w:val="bullet"/>
      <w:lvlText w:val="•"/>
      <w:lvlJc w:val="left"/>
      <w:pPr>
        <w:ind w:left="5033" w:hanging="567"/>
      </w:pPr>
      <w:rPr>
        <w:lang w:val="en-US" w:eastAsia="en-US" w:bidi="ar-SA"/>
      </w:rPr>
    </w:lvl>
    <w:lvl w:ilvl="6" w:tplc="357681E6">
      <w:numFmt w:val="bullet"/>
      <w:lvlText w:val="•"/>
      <w:lvlJc w:val="left"/>
      <w:pPr>
        <w:ind w:left="5899" w:hanging="567"/>
      </w:pPr>
      <w:rPr>
        <w:lang w:val="en-US" w:eastAsia="en-US" w:bidi="ar-SA"/>
      </w:rPr>
    </w:lvl>
    <w:lvl w:ilvl="7" w:tplc="F8BC084C">
      <w:numFmt w:val="bullet"/>
      <w:lvlText w:val="•"/>
      <w:lvlJc w:val="left"/>
      <w:pPr>
        <w:ind w:left="6766" w:hanging="567"/>
      </w:pPr>
      <w:rPr>
        <w:lang w:val="en-US" w:eastAsia="en-US" w:bidi="ar-SA"/>
      </w:rPr>
    </w:lvl>
    <w:lvl w:ilvl="8" w:tplc="968E533E">
      <w:numFmt w:val="bullet"/>
      <w:lvlText w:val="•"/>
      <w:lvlJc w:val="left"/>
      <w:pPr>
        <w:ind w:left="7633" w:hanging="567"/>
      </w:pPr>
      <w:rPr>
        <w:lang w:val="en-US" w:eastAsia="en-US" w:bidi="ar-SA"/>
      </w:rPr>
    </w:lvl>
  </w:abstractNum>
  <w:abstractNum w:abstractNumId="88" w15:restartNumberingAfterBreak="0">
    <w:nsid w:val="1BE71BF5"/>
    <w:multiLevelType w:val="hybridMultilevel"/>
    <w:tmpl w:val="F634EB68"/>
    <w:lvl w:ilvl="0" w:tplc="A5240304">
      <w:start w:val="1"/>
      <w:numFmt w:val="lowerLetter"/>
      <w:lvlText w:val="(%1)"/>
      <w:lvlJc w:val="left"/>
      <w:pPr>
        <w:ind w:left="543" w:hanging="459"/>
      </w:pPr>
      <w:rPr>
        <w:rFonts w:ascii="Arial" w:eastAsia="Calibri" w:hAnsi="Arial" w:cs="Arial" w:hint="default"/>
        <w:spacing w:val="-1"/>
        <w:w w:val="99"/>
        <w:sz w:val="20"/>
        <w:szCs w:val="20"/>
        <w:lang w:val="en-US" w:eastAsia="en-US" w:bidi="ar-SA"/>
      </w:rPr>
    </w:lvl>
    <w:lvl w:ilvl="1" w:tplc="21482E7E">
      <w:numFmt w:val="bullet"/>
      <w:lvlText w:val="•"/>
      <w:lvlJc w:val="left"/>
      <w:pPr>
        <w:ind w:left="811" w:hanging="459"/>
      </w:pPr>
      <w:rPr>
        <w:rFonts w:hint="default"/>
        <w:lang w:val="en-US" w:eastAsia="en-US" w:bidi="ar-SA"/>
      </w:rPr>
    </w:lvl>
    <w:lvl w:ilvl="2" w:tplc="230E44A2">
      <w:numFmt w:val="bullet"/>
      <w:lvlText w:val="•"/>
      <w:lvlJc w:val="left"/>
      <w:pPr>
        <w:ind w:left="1082" w:hanging="459"/>
      </w:pPr>
      <w:rPr>
        <w:rFonts w:hint="default"/>
        <w:lang w:val="en-US" w:eastAsia="en-US" w:bidi="ar-SA"/>
      </w:rPr>
    </w:lvl>
    <w:lvl w:ilvl="3" w:tplc="8B90883C">
      <w:numFmt w:val="bullet"/>
      <w:lvlText w:val="•"/>
      <w:lvlJc w:val="left"/>
      <w:pPr>
        <w:ind w:left="1353" w:hanging="459"/>
      </w:pPr>
      <w:rPr>
        <w:rFonts w:hint="default"/>
        <w:lang w:val="en-US" w:eastAsia="en-US" w:bidi="ar-SA"/>
      </w:rPr>
    </w:lvl>
    <w:lvl w:ilvl="4" w:tplc="03ECCB02">
      <w:numFmt w:val="bullet"/>
      <w:lvlText w:val="•"/>
      <w:lvlJc w:val="left"/>
      <w:pPr>
        <w:ind w:left="1624" w:hanging="459"/>
      </w:pPr>
      <w:rPr>
        <w:rFonts w:hint="default"/>
        <w:lang w:val="en-US" w:eastAsia="en-US" w:bidi="ar-SA"/>
      </w:rPr>
    </w:lvl>
    <w:lvl w:ilvl="5" w:tplc="A29843AA">
      <w:numFmt w:val="bullet"/>
      <w:lvlText w:val="•"/>
      <w:lvlJc w:val="left"/>
      <w:pPr>
        <w:ind w:left="1895" w:hanging="459"/>
      </w:pPr>
      <w:rPr>
        <w:rFonts w:hint="default"/>
        <w:lang w:val="en-US" w:eastAsia="en-US" w:bidi="ar-SA"/>
      </w:rPr>
    </w:lvl>
    <w:lvl w:ilvl="6" w:tplc="471A3838">
      <w:numFmt w:val="bullet"/>
      <w:lvlText w:val="•"/>
      <w:lvlJc w:val="left"/>
      <w:pPr>
        <w:ind w:left="2166" w:hanging="459"/>
      </w:pPr>
      <w:rPr>
        <w:rFonts w:hint="default"/>
        <w:lang w:val="en-US" w:eastAsia="en-US" w:bidi="ar-SA"/>
      </w:rPr>
    </w:lvl>
    <w:lvl w:ilvl="7" w:tplc="1BF4D8CA">
      <w:numFmt w:val="bullet"/>
      <w:lvlText w:val="•"/>
      <w:lvlJc w:val="left"/>
      <w:pPr>
        <w:ind w:left="2438" w:hanging="459"/>
      </w:pPr>
      <w:rPr>
        <w:rFonts w:hint="default"/>
        <w:lang w:val="en-US" w:eastAsia="en-US" w:bidi="ar-SA"/>
      </w:rPr>
    </w:lvl>
    <w:lvl w:ilvl="8" w:tplc="54A46F16">
      <w:numFmt w:val="bullet"/>
      <w:lvlText w:val="•"/>
      <w:lvlJc w:val="left"/>
      <w:pPr>
        <w:ind w:left="2709" w:hanging="459"/>
      </w:pPr>
      <w:rPr>
        <w:rFonts w:hint="default"/>
        <w:lang w:val="en-US" w:eastAsia="en-US" w:bidi="ar-SA"/>
      </w:rPr>
    </w:lvl>
  </w:abstractNum>
  <w:abstractNum w:abstractNumId="89" w15:restartNumberingAfterBreak="0">
    <w:nsid w:val="1BFA7D8D"/>
    <w:multiLevelType w:val="hybridMultilevel"/>
    <w:tmpl w:val="BA189DE2"/>
    <w:lvl w:ilvl="0" w:tplc="5736265C">
      <w:start w:val="1"/>
      <w:numFmt w:val="lowerLetter"/>
      <w:lvlText w:val="(%1)"/>
      <w:lvlJc w:val="left"/>
      <w:pPr>
        <w:ind w:left="515" w:hanging="431"/>
      </w:pPr>
      <w:rPr>
        <w:rFonts w:ascii="Arial" w:eastAsia="Calibri" w:hAnsi="Arial" w:cs="Arial" w:hint="default"/>
        <w:spacing w:val="-1"/>
        <w:w w:val="99"/>
        <w:sz w:val="20"/>
        <w:szCs w:val="20"/>
        <w:lang w:val="en-US" w:eastAsia="en-US" w:bidi="ar-SA"/>
      </w:rPr>
    </w:lvl>
    <w:lvl w:ilvl="1" w:tplc="7512947C">
      <w:numFmt w:val="bullet"/>
      <w:lvlText w:val="•"/>
      <w:lvlJc w:val="left"/>
      <w:pPr>
        <w:ind w:left="829" w:hanging="431"/>
      </w:pPr>
      <w:rPr>
        <w:rFonts w:hint="default"/>
        <w:lang w:val="en-US" w:eastAsia="en-US" w:bidi="ar-SA"/>
      </w:rPr>
    </w:lvl>
    <w:lvl w:ilvl="2" w:tplc="D702084E">
      <w:numFmt w:val="bullet"/>
      <w:lvlText w:val="•"/>
      <w:lvlJc w:val="left"/>
      <w:pPr>
        <w:ind w:left="1138" w:hanging="431"/>
      </w:pPr>
      <w:rPr>
        <w:rFonts w:hint="default"/>
        <w:lang w:val="en-US" w:eastAsia="en-US" w:bidi="ar-SA"/>
      </w:rPr>
    </w:lvl>
    <w:lvl w:ilvl="3" w:tplc="12886D8A">
      <w:numFmt w:val="bullet"/>
      <w:lvlText w:val="•"/>
      <w:lvlJc w:val="left"/>
      <w:pPr>
        <w:ind w:left="1448" w:hanging="431"/>
      </w:pPr>
      <w:rPr>
        <w:rFonts w:hint="default"/>
        <w:lang w:val="en-US" w:eastAsia="en-US" w:bidi="ar-SA"/>
      </w:rPr>
    </w:lvl>
    <w:lvl w:ilvl="4" w:tplc="D3B668BA">
      <w:numFmt w:val="bullet"/>
      <w:lvlText w:val="•"/>
      <w:lvlJc w:val="left"/>
      <w:pPr>
        <w:ind w:left="1757" w:hanging="431"/>
      </w:pPr>
      <w:rPr>
        <w:rFonts w:hint="default"/>
        <w:lang w:val="en-US" w:eastAsia="en-US" w:bidi="ar-SA"/>
      </w:rPr>
    </w:lvl>
    <w:lvl w:ilvl="5" w:tplc="17C07D48">
      <w:numFmt w:val="bullet"/>
      <w:lvlText w:val="•"/>
      <w:lvlJc w:val="left"/>
      <w:pPr>
        <w:ind w:left="2067" w:hanging="431"/>
      </w:pPr>
      <w:rPr>
        <w:rFonts w:hint="default"/>
        <w:lang w:val="en-US" w:eastAsia="en-US" w:bidi="ar-SA"/>
      </w:rPr>
    </w:lvl>
    <w:lvl w:ilvl="6" w:tplc="C53E8482">
      <w:numFmt w:val="bullet"/>
      <w:lvlText w:val="•"/>
      <w:lvlJc w:val="left"/>
      <w:pPr>
        <w:ind w:left="2376" w:hanging="431"/>
      </w:pPr>
      <w:rPr>
        <w:rFonts w:hint="default"/>
        <w:lang w:val="en-US" w:eastAsia="en-US" w:bidi="ar-SA"/>
      </w:rPr>
    </w:lvl>
    <w:lvl w:ilvl="7" w:tplc="11787540">
      <w:numFmt w:val="bullet"/>
      <w:lvlText w:val="•"/>
      <w:lvlJc w:val="left"/>
      <w:pPr>
        <w:ind w:left="2685" w:hanging="431"/>
      </w:pPr>
      <w:rPr>
        <w:rFonts w:hint="default"/>
        <w:lang w:val="en-US" w:eastAsia="en-US" w:bidi="ar-SA"/>
      </w:rPr>
    </w:lvl>
    <w:lvl w:ilvl="8" w:tplc="91BAFE06">
      <w:numFmt w:val="bullet"/>
      <w:lvlText w:val="•"/>
      <w:lvlJc w:val="left"/>
      <w:pPr>
        <w:ind w:left="2995" w:hanging="431"/>
      </w:pPr>
      <w:rPr>
        <w:rFonts w:hint="default"/>
        <w:lang w:val="en-US" w:eastAsia="en-US" w:bidi="ar-SA"/>
      </w:rPr>
    </w:lvl>
  </w:abstractNum>
  <w:abstractNum w:abstractNumId="90" w15:restartNumberingAfterBreak="0">
    <w:nsid w:val="1CE47CF9"/>
    <w:multiLevelType w:val="hybridMultilevel"/>
    <w:tmpl w:val="CB66A626"/>
    <w:lvl w:ilvl="0" w:tplc="CD80582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ADC655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1B2266EE">
      <w:numFmt w:val="bullet"/>
      <w:lvlText w:val="•"/>
      <w:lvlJc w:val="left"/>
      <w:pPr>
        <w:ind w:left="2178" w:hanging="567"/>
      </w:pPr>
      <w:rPr>
        <w:lang w:val="en-US" w:eastAsia="en-US" w:bidi="ar-SA"/>
      </w:rPr>
    </w:lvl>
    <w:lvl w:ilvl="3" w:tplc="45BE0660">
      <w:numFmt w:val="bullet"/>
      <w:lvlText w:val="•"/>
      <w:lvlJc w:val="left"/>
      <w:pPr>
        <w:ind w:left="3076" w:hanging="567"/>
      </w:pPr>
      <w:rPr>
        <w:lang w:val="en-US" w:eastAsia="en-US" w:bidi="ar-SA"/>
      </w:rPr>
    </w:lvl>
    <w:lvl w:ilvl="4" w:tplc="EF4E30C8">
      <w:numFmt w:val="bullet"/>
      <w:lvlText w:val="•"/>
      <w:lvlJc w:val="left"/>
      <w:pPr>
        <w:ind w:left="3975" w:hanging="567"/>
      </w:pPr>
      <w:rPr>
        <w:lang w:val="en-US" w:eastAsia="en-US" w:bidi="ar-SA"/>
      </w:rPr>
    </w:lvl>
    <w:lvl w:ilvl="5" w:tplc="E8CECEAA">
      <w:numFmt w:val="bullet"/>
      <w:lvlText w:val="•"/>
      <w:lvlJc w:val="left"/>
      <w:pPr>
        <w:ind w:left="4873" w:hanging="567"/>
      </w:pPr>
      <w:rPr>
        <w:lang w:val="en-US" w:eastAsia="en-US" w:bidi="ar-SA"/>
      </w:rPr>
    </w:lvl>
    <w:lvl w:ilvl="6" w:tplc="D8024D6C">
      <w:numFmt w:val="bullet"/>
      <w:lvlText w:val="•"/>
      <w:lvlJc w:val="left"/>
      <w:pPr>
        <w:ind w:left="5772" w:hanging="567"/>
      </w:pPr>
      <w:rPr>
        <w:lang w:val="en-US" w:eastAsia="en-US" w:bidi="ar-SA"/>
      </w:rPr>
    </w:lvl>
    <w:lvl w:ilvl="7" w:tplc="7E1A1F06">
      <w:numFmt w:val="bullet"/>
      <w:lvlText w:val="•"/>
      <w:lvlJc w:val="left"/>
      <w:pPr>
        <w:ind w:left="6670" w:hanging="567"/>
      </w:pPr>
      <w:rPr>
        <w:lang w:val="en-US" w:eastAsia="en-US" w:bidi="ar-SA"/>
      </w:rPr>
    </w:lvl>
    <w:lvl w:ilvl="8" w:tplc="78D2843C">
      <w:numFmt w:val="bullet"/>
      <w:lvlText w:val="•"/>
      <w:lvlJc w:val="left"/>
      <w:pPr>
        <w:ind w:left="7569" w:hanging="567"/>
      </w:pPr>
      <w:rPr>
        <w:lang w:val="en-US" w:eastAsia="en-US" w:bidi="ar-SA"/>
      </w:rPr>
    </w:lvl>
  </w:abstractNum>
  <w:abstractNum w:abstractNumId="91" w15:restartNumberingAfterBreak="0">
    <w:nsid w:val="1D3A5F91"/>
    <w:multiLevelType w:val="hybridMultilevel"/>
    <w:tmpl w:val="2618ED8E"/>
    <w:lvl w:ilvl="0" w:tplc="CD80582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ADC655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1B2266EE">
      <w:numFmt w:val="bullet"/>
      <w:lvlText w:val="•"/>
      <w:lvlJc w:val="left"/>
      <w:pPr>
        <w:ind w:left="2178" w:hanging="567"/>
      </w:pPr>
      <w:rPr>
        <w:lang w:val="en-US" w:eastAsia="en-US" w:bidi="ar-SA"/>
      </w:rPr>
    </w:lvl>
    <w:lvl w:ilvl="3" w:tplc="45BE0660">
      <w:numFmt w:val="bullet"/>
      <w:lvlText w:val="•"/>
      <w:lvlJc w:val="left"/>
      <w:pPr>
        <w:ind w:left="3076" w:hanging="567"/>
      </w:pPr>
      <w:rPr>
        <w:lang w:val="en-US" w:eastAsia="en-US" w:bidi="ar-SA"/>
      </w:rPr>
    </w:lvl>
    <w:lvl w:ilvl="4" w:tplc="EF4E30C8">
      <w:numFmt w:val="bullet"/>
      <w:lvlText w:val="•"/>
      <w:lvlJc w:val="left"/>
      <w:pPr>
        <w:ind w:left="3975" w:hanging="567"/>
      </w:pPr>
      <w:rPr>
        <w:lang w:val="en-US" w:eastAsia="en-US" w:bidi="ar-SA"/>
      </w:rPr>
    </w:lvl>
    <w:lvl w:ilvl="5" w:tplc="E8CECEAA">
      <w:numFmt w:val="bullet"/>
      <w:lvlText w:val="•"/>
      <w:lvlJc w:val="left"/>
      <w:pPr>
        <w:ind w:left="4873" w:hanging="567"/>
      </w:pPr>
      <w:rPr>
        <w:lang w:val="en-US" w:eastAsia="en-US" w:bidi="ar-SA"/>
      </w:rPr>
    </w:lvl>
    <w:lvl w:ilvl="6" w:tplc="D8024D6C">
      <w:numFmt w:val="bullet"/>
      <w:lvlText w:val="•"/>
      <w:lvlJc w:val="left"/>
      <w:pPr>
        <w:ind w:left="5772" w:hanging="567"/>
      </w:pPr>
      <w:rPr>
        <w:lang w:val="en-US" w:eastAsia="en-US" w:bidi="ar-SA"/>
      </w:rPr>
    </w:lvl>
    <w:lvl w:ilvl="7" w:tplc="7E1A1F06">
      <w:numFmt w:val="bullet"/>
      <w:lvlText w:val="•"/>
      <w:lvlJc w:val="left"/>
      <w:pPr>
        <w:ind w:left="6670" w:hanging="567"/>
      </w:pPr>
      <w:rPr>
        <w:lang w:val="en-US" w:eastAsia="en-US" w:bidi="ar-SA"/>
      </w:rPr>
    </w:lvl>
    <w:lvl w:ilvl="8" w:tplc="78D2843C">
      <w:numFmt w:val="bullet"/>
      <w:lvlText w:val="•"/>
      <w:lvlJc w:val="left"/>
      <w:pPr>
        <w:ind w:left="7569" w:hanging="567"/>
      </w:pPr>
      <w:rPr>
        <w:lang w:val="en-US" w:eastAsia="en-US" w:bidi="ar-SA"/>
      </w:rPr>
    </w:lvl>
  </w:abstractNum>
  <w:abstractNum w:abstractNumId="92" w15:restartNumberingAfterBreak="0">
    <w:nsid w:val="1D4631CB"/>
    <w:multiLevelType w:val="hybridMultilevel"/>
    <w:tmpl w:val="956E0EF2"/>
    <w:lvl w:ilvl="0" w:tplc="A6B28E2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B35A282C">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47CA8F08">
      <w:numFmt w:val="bullet"/>
      <w:lvlText w:val="•"/>
      <w:lvlJc w:val="left"/>
      <w:pPr>
        <w:ind w:left="2178" w:hanging="567"/>
      </w:pPr>
      <w:rPr>
        <w:rFonts w:hint="default"/>
        <w:lang w:val="en-US" w:eastAsia="en-US" w:bidi="ar-SA"/>
      </w:rPr>
    </w:lvl>
    <w:lvl w:ilvl="3" w:tplc="B7142144">
      <w:numFmt w:val="bullet"/>
      <w:lvlText w:val="•"/>
      <w:lvlJc w:val="left"/>
      <w:pPr>
        <w:ind w:left="3076" w:hanging="567"/>
      </w:pPr>
      <w:rPr>
        <w:rFonts w:hint="default"/>
        <w:lang w:val="en-US" w:eastAsia="en-US" w:bidi="ar-SA"/>
      </w:rPr>
    </w:lvl>
    <w:lvl w:ilvl="4" w:tplc="7892FEB8">
      <w:numFmt w:val="bullet"/>
      <w:lvlText w:val="•"/>
      <w:lvlJc w:val="left"/>
      <w:pPr>
        <w:ind w:left="3975" w:hanging="567"/>
      </w:pPr>
      <w:rPr>
        <w:rFonts w:hint="default"/>
        <w:lang w:val="en-US" w:eastAsia="en-US" w:bidi="ar-SA"/>
      </w:rPr>
    </w:lvl>
    <w:lvl w:ilvl="5" w:tplc="5BD20210">
      <w:numFmt w:val="bullet"/>
      <w:lvlText w:val="•"/>
      <w:lvlJc w:val="left"/>
      <w:pPr>
        <w:ind w:left="4873" w:hanging="567"/>
      </w:pPr>
      <w:rPr>
        <w:rFonts w:hint="default"/>
        <w:lang w:val="en-US" w:eastAsia="en-US" w:bidi="ar-SA"/>
      </w:rPr>
    </w:lvl>
    <w:lvl w:ilvl="6" w:tplc="9AEE23FE">
      <w:numFmt w:val="bullet"/>
      <w:lvlText w:val="•"/>
      <w:lvlJc w:val="left"/>
      <w:pPr>
        <w:ind w:left="5772" w:hanging="567"/>
      </w:pPr>
      <w:rPr>
        <w:rFonts w:hint="default"/>
        <w:lang w:val="en-US" w:eastAsia="en-US" w:bidi="ar-SA"/>
      </w:rPr>
    </w:lvl>
    <w:lvl w:ilvl="7" w:tplc="20EC850E">
      <w:numFmt w:val="bullet"/>
      <w:lvlText w:val="•"/>
      <w:lvlJc w:val="left"/>
      <w:pPr>
        <w:ind w:left="6670" w:hanging="567"/>
      </w:pPr>
      <w:rPr>
        <w:rFonts w:hint="default"/>
        <w:lang w:val="en-US" w:eastAsia="en-US" w:bidi="ar-SA"/>
      </w:rPr>
    </w:lvl>
    <w:lvl w:ilvl="8" w:tplc="00A04CB2">
      <w:numFmt w:val="bullet"/>
      <w:lvlText w:val="•"/>
      <w:lvlJc w:val="left"/>
      <w:pPr>
        <w:ind w:left="7569" w:hanging="567"/>
      </w:pPr>
      <w:rPr>
        <w:rFonts w:hint="default"/>
        <w:lang w:val="en-US" w:eastAsia="en-US" w:bidi="ar-SA"/>
      </w:rPr>
    </w:lvl>
  </w:abstractNum>
  <w:abstractNum w:abstractNumId="93" w15:restartNumberingAfterBreak="0">
    <w:nsid w:val="1D5161F4"/>
    <w:multiLevelType w:val="hybridMultilevel"/>
    <w:tmpl w:val="7F5A014A"/>
    <w:lvl w:ilvl="0" w:tplc="DD4689EC">
      <w:start w:val="1"/>
      <w:numFmt w:val="lowerRoman"/>
      <w:lvlText w:val="(%1)"/>
      <w:lvlJc w:val="left"/>
      <w:pPr>
        <w:ind w:left="1273" w:hanging="567"/>
      </w:pPr>
      <w:rPr>
        <w:rFonts w:ascii="Arial" w:eastAsia="Calibri" w:hAnsi="Arial" w:cs="Arial" w:hint="default"/>
        <w:spacing w:val="-1"/>
        <w:w w:val="100"/>
        <w:sz w:val="20"/>
        <w:szCs w:val="22"/>
        <w:lang w:val="en-US" w:eastAsia="en-US" w:bidi="ar-SA"/>
      </w:rPr>
    </w:lvl>
    <w:lvl w:ilvl="1" w:tplc="9C9A5C64">
      <w:numFmt w:val="bullet"/>
      <w:lvlText w:val="•"/>
      <w:lvlJc w:val="left"/>
      <w:pPr>
        <w:ind w:left="2088" w:hanging="567"/>
      </w:pPr>
      <w:rPr>
        <w:rFonts w:hint="default"/>
        <w:lang w:val="en-US" w:eastAsia="en-US" w:bidi="ar-SA"/>
      </w:rPr>
    </w:lvl>
    <w:lvl w:ilvl="2" w:tplc="C7A21660">
      <w:numFmt w:val="bullet"/>
      <w:lvlText w:val="•"/>
      <w:lvlJc w:val="left"/>
      <w:pPr>
        <w:ind w:left="2897" w:hanging="567"/>
      </w:pPr>
      <w:rPr>
        <w:rFonts w:hint="default"/>
        <w:lang w:val="en-US" w:eastAsia="en-US" w:bidi="ar-SA"/>
      </w:rPr>
    </w:lvl>
    <w:lvl w:ilvl="3" w:tplc="DFCE6924">
      <w:numFmt w:val="bullet"/>
      <w:lvlText w:val="•"/>
      <w:lvlJc w:val="left"/>
      <w:pPr>
        <w:ind w:left="3705" w:hanging="567"/>
      </w:pPr>
      <w:rPr>
        <w:rFonts w:hint="default"/>
        <w:lang w:val="en-US" w:eastAsia="en-US" w:bidi="ar-SA"/>
      </w:rPr>
    </w:lvl>
    <w:lvl w:ilvl="4" w:tplc="FE245BD2">
      <w:numFmt w:val="bullet"/>
      <w:lvlText w:val="•"/>
      <w:lvlJc w:val="left"/>
      <w:pPr>
        <w:ind w:left="4514" w:hanging="567"/>
      </w:pPr>
      <w:rPr>
        <w:rFonts w:hint="default"/>
        <w:lang w:val="en-US" w:eastAsia="en-US" w:bidi="ar-SA"/>
      </w:rPr>
    </w:lvl>
    <w:lvl w:ilvl="5" w:tplc="E29AC228">
      <w:numFmt w:val="bullet"/>
      <w:lvlText w:val="•"/>
      <w:lvlJc w:val="left"/>
      <w:pPr>
        <w:ind w:left="5323" w:hanging="567"/>
      </w:pPr>
      <w:rPr>
        <w:rFonts w:hint="default"/>
        <w:lang w:val="en-US" w:eastAsia="en-US" w:bidi="ar-SA"/>
      </w:rPr>
    </w:lvl>
    <w:lvl w:ilvl="6" w:tplc="27DA197E">
      <w:numFmt w:val="bullet"/>
      <w:lvlText w:val="•"/>
      <w:lvlJc w:val="left"/>
      <w:pPr>
        <w:ind w:left="6131" w:hanging="567"/>
      </w:pPr>
      <w:rPr>
        <w:rFonts w:hint="default"/>
        <w:lang w:val="en-US" w:eastAsia="en-US" w:bidi="ar-SA"/>
      </w:rPr>
    </w:lvl>
    <w:lvl w:ilvl="7" w:tplc="41CA69E6">
      <w:numFmt w:val="bullet"/>
      <w:lvlText w:val="•"/>
      <w:lvlJc w:val="left"/>
      <w:pPr>
        <w:ind w:left="6940" w:hanging="567"/>
      </w:pPr>
      <w:rPr>
        <w:rFonts w:hint="default"/>
        <w:lang w:val="en-US" w:eastAsia="en-US" w:bidi="ar-SA"/>
      </w:rPr>
    </w:lvl>
    <w:lvl w:ilvl="8" w:tplc="FC38BC78">
      <w:numFmt w:val="bullet"/>
      <w:lvlText w:val="•"/>
      <w:lvlJc w:val="left"/>
      <w:pPr>
        <w:ind w:left="7749" w:hanging="567"/>
      </w:pPr>
      <w:rPr>
        <w:rFonts w:hint="default"/>
        <w:lang w:val="en-US" w:eastAsia="en-US" w:bidi="ar-SA"/>
      </w:rPr>
    </w:lvl>
  </w:abstractNum>
  <w:abstractNum w:abstractNumId="94" w15:restartNumberingAfterBreak="0">
    <w:nsid w:val="1D811289"/>
    <w:multiLevelType w:val="hybridMultilevel"/>
    <w:tmpl w:val="7A6033B6"/>
    <w:lvl w:ilvl="0" w:tplc="3F2E25BE">
      <w:start w:val="1"/>
      <w:numFmt w:val="decimal"/>
      <w:lvlText w:val="(%1)"/>
      <w:lvlJc w:val="left"/>
      <w:pPr>
        <w:ind w:left="1273" w:hanging="567"/>
      </w:pPr>
      <w:rPr>
        <w:rFonts w:ascii="Arial" w:eastAsia="Calibri" w:hAnsi="Arial" w:cs="Arial" w:hint="default"/>
        <w:spacing w:val="-1"/>
        <w:w w:val="100"/>
        <w:sz w:val="20"/>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1E317F78"/>
    <w:multiLevelType w:val="hybridMultilevel"/>
    <w:tmpl w:val="AC523174"/>
    <w:lvl w:ilvl="0" w:tplc="762E5D2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EF1CACEC">
      <w:numFmt w:val="bullet"/>
      <w:lvlText w:val="•"/>
      <w:lvlJc w:val="left"/>
      <w:pPr>
        <w:ind w:left="1566" w:hanging="567"/>
      </w:pPr>
      <w:rPr>
        <w:rFonts w:hint="default"/>
        <w:lang w:val="en-US" w:eastAsia="en-US" w:bidi="ar-SA"/>
      </w:rPr>
    </w:lvl>
    <w:lvl w:ilvl="2" w:tplc="79ECEC6A">
      <w:numFmt w:val="bullet"/>
      <w:lvlText w:val="•"/>
      <w:lvlJc w:val="left"/>
      <w:pPr>
        <w:ind w:left="2433" w:hanging="567"/>
      </w:pPr>
      <w:rPr>
        <w:rFonts w:hint="default"/>
        <w:lang w:val="en-US" w:eastAsia="en-US" w:bidi="ar-SA"/>
      </w:rPr>
    </w:lvl>
    <w:lvl w:ilvl="3" w:tplc="27A434A2">
      <w:numFmt w:val="bullet"/>
      <w:lvlText w:val="•"/>
      <w:lvlJc w:val="left"/>
      <w:pPr>
        <w:ind w:left="3299" w:hanging="567"/>
      </w:pPr>
      <w:rPr>
        <w:rFonts w:hint="default"/>
        <w:lang w:val="en-US" w:eastAsia="en-US" w:bidi="ar-SA"/>
      </w:rPr>
    </w:lvl>
    <w:lvl w:ilvl="4" w:tplc="B136EC02">
      <w:numFmt w:val="bullet"/>
      <w:lvlText w:val="•"/>
      <w:lvlJc w:val="left"/>
      <w:pPr>
        <w:ind w:left="4166" w:hanging="567"/>
      </w:pPr>
      <w:rPr>
        <w:rFonts w:hint="default"/>
        <w:lang w:val="en-US" w:eastAsia="en-US" w:bidi="ar-SA"/>
      </w:rPr>
    </w:lvl>
    <w:lvl w:ilvl="5" w:tplc="B29C8F8E">
      <w:numFmt w:val="bullet"/>
      <w:lvlText w:val="•"/>
      <w:lvlJc w:val="left"/>
      <w:pPr>
        <w:ind w:left="5033" w:hanging="567"/>
      </w:pPr>
      <w:rPr>
        <w:rFonts w:hint="default"/>
        <w:lang w:val="en-US" w:eastAsia="en-US" w:bidi="ar-SA"/>
      </w:rPr>
    </w:lvl>
    <w:lvl w:ilvl="6" w:tplc="CDF0F902">
      <w:numFmt w:val="bullet"/>
      <w:lvlText w:val="•"/>
      <w:lvlJc w:val="left"/>
      <w:pPr>
        <w:ind w:left="5899" w:hanging="567"/>
      </w:pPr>
      <w:rPr>
        <w:rFonts w:hint="default"/>
        <w:lang w:val="en-US" w:eastAsia="en-US" w:bidi="ar-SA"/>
      </w:rPr>
    </w:lvl>
    <w:lvl w:ilvl="7" w:tplc="62FE0F74">
      <w:numFmt w:val="bullet"/>
      <w:lvlText w:val="•"/>
      <w:lvlJc w:val="left"/>
      <w:pPr>
        <w:ind w:left="6766" w:hanging="567"/>
      </w:pPr>
      <w:rPr>
        <w:rFonts w:hint="default"/>
        <w:lang w:val="en-US" w:eastAsia="en-US" w:bidi="ar-SA"/>
      </w:rPr>
    </w:lvl>
    <w:lvl w:ilvl="8" w:tplc="54328E7C">
      <w:numFmt w:val="bullet"/>
      <w:lvlText w:val="•"/>
      <w:lvlJc w:val="left"/>
      <w:pPr>
        <w:ind w:left="7633" w:hanging="567"/>
      </w:pPr>
      <w:rPr>
        <w:rFonts w:hint="default"/>
        <w:lang w:val="en-US" w:eastAsia="en-US" w:bidi="ar-SA"/>
      </w:rPr>
    </w:lvl>
  </w:abstractNum>
  <w:abstractNum w:abstractNumId="96" w15:restartNumberingAfterBreak="0">
    <w:nsid w:val="1E3B7D93"/>
    <w:multiLevelType w:val="hybridMultilevel"/>
    <w:tmpl w:val="BC52270E"/>
    <w:lvl w:ilvl="0" w:tplc="BBFC2B44">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3E3AB8FA">
      <w:numFmt w:val="bullet"/>
      <w:lvlText w:val="•"/>
      <w:lvlJc w:val="left"/>
      <w:pPr>
        <w:ind w:left="1566" w:hanging="567"/>
      </w:pPr>
      <w:rPr>
        <w:rFonts w:hint="default"/>
        <w:lang w:val="en-US" w:eastAsia="en-US" w:bidi="ar-SA"/>
      </w:rPr>
    </w:lvl>
    <w:lvl w:ilvl="2" w:tplc="07906F9C">
      <w:numFmt w:val="bullet"/>
      <w:lvlText w:val="•"/>
      <w:lvlJc w:val="left"/>
      <w:pPr>
        <w:ind w:left="2433" w:hanging="567"/>
      </w:pPr>
      <w:rPr>
        <w:rFonts w:hint="default"/>
        <w:lang w:val="en-US" w:eastAsia="en-US" w:bidi="ar-SA"/>
      </w:rPr>
    </w:lvl>
    <w:lvl w:ilvl="3" w:tplc="1458B508">
      <w:numFmt w:val="bullet"/>
      <w:lvlText w:val="•"/>
      <w:lvlJc w:val="left"/>
      <w:pPr>
        <w:ind w:left="3299" w:hanging="567"/>
      </w:pPr>
      <w:rPr>
        <w:rFonts w:hint="default"/>
        <w:lang w:val="en-US" w:eastAsia="en-US" w:bidi="ar-SA"/>
      </w:rPr>
    </w:lvl>
    <w:lvl w:ilvl="4" w:tplc="66D21668">
      <w:numFmt w:val="bullet"/>
      <w:lvlText w:val="•"/>
      <w:lvlJc w:val="left"/>
      <w:pPr>
        <w:ind w:left="4166" w:hanging="567"/>
      </w:pPr>
      <w:rPr>
        <w:rFonts w:hint="default"/>
        <w:lang w:val="en-US" w:eastAsia="en-US" w:bidi="ar-SA"/>
      </w:rPr>
    </w:lvl>
    <w:lvl w:ilvl="5" w:tplc="F54018B4">
      <w:numFmt w:val="bullet"/>
      <w:lvlText w:val="•"/>
      <w:lvlJc w:val="left"/>
      <w:pPr>
        <w:ind w:left="5033" w:hanging="567"/>
      </w:pPr>
      <w:rPr>
        <w:rFonts w:hint="default"/>
        <w:lang w:val="en-US" w:eastAsia="en-US" w:bidi="ar-SA"/>
      </w:rPr>
    </w:lvl>
    <w:lvl w:ilvl="6" w:tplc="26087CBA">
      <w:numFmt w:val="bullet"/>
      <w:lvlText w:val="•"/>
      <w:lvlJc w:val="left"/>
      <w:pPr>
        <w:ind w:left="5899" w:hanging="567"/>
      </w:pPr>
      <w:rPr>
        <w:rFonts w:hint="default"/>
        <w:lang w:val="en-US" w:eastAsia="en-US" w:bidi="ar-SA"/>
      </w:rPr>
    </w:lvl>
    <w:lvl w:ilvl="7" w:tplc="6AB2C97A">
      <w:numFmt w:val="bullet"/>
      <w:lvlText w:val="•"/>
      <w:lvlJc w:val="left"/>
      <w:pPr>
        <w:ind w:left="6766" w:hanging="567"/>
      </w:pPr>
      <w:rPr>
        <w:rFonts w:hint="default"/>
        <w:lang w:val="en-US" w:eastAsia="en-US" w:bidi="ar-SA"/>
      </w:rPr>
    </w:lvl>
    <w:lvl w:ilvl="8" w:tplc="074C5B9C">
      <w:numFmt w:val="bullet"/>
      <w:lvlText w:val="•"/>
      <w:lvlJc w:val="left"/>
      <w:pPr>
        <w:ind w:left="7633" w:hanging="567"/>
      </w:pPr>
      <w:rPr>
        <w:rFonts w:hint="default"/>
        <w:lang w:val="en-US" w:eastAsia="en-US" w:bidi="ar-SA"/>
      </w:rPr>
    </w:lvl>
  </w:abstractNum>
  <w:abstractNum w:abstractNumId="97" w15:restartNumberingAfterBreak="0">
    <w:nsid w:val="1E560981"/>
    <w:multiLevelType w:val="hybridMultilevel"/>
    <w:tmpl w:val="36AA9718"/>
    <w:lvl w:ilvl="0" w:tplc="E2A0BBC0">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95764412">
      <w:numFmt w:val="bullet"/>
      <w:lvlText w:val="•"/>
      <w:lvlJc w:val="left"/>
      <w:pPr>
        <w:ind w:left="1566" w:hanging="567"/>
      </w:pPr>
      <w:rPr>
        <w:rFonts w:hint="default"/>
        <w:lang w:val="en-US" w:eastAsia="en-US" w:bidi="ar-SA"/>
      </w:rPr>
    </w:lvl>
    <w:lvl w:ilvl="2" w:tplc="EF0AD16A">
      <w:numFmt w:val="bullet"/>
      <w:lvlText w:val="•"/>
      <w:lvlJc w:val="left"/>
      <w:pPr>
        <w:ind w:left="2433" w:hanging="567"/>
      </w:pPr>
      <w:rPr>
        <w:rFonts w:hint="default"/>
        <w:lang w:val="en-US" w:eastAsia="en-US" w:bidi="ar-SA"/>
      </w:rPr>
    </w:lvl>
    <w:lvl w:ilvl="3" w:tplc="5E3C84D6">
      <w:numFmt w:val="bullet"/>
      <w:lvlText w:val="•"/>
      <w:lvlJc w:val="left"/>
      <w:pPr>
        <w:ind w:left="3299" w:hanging="567"/>
      </w:pPr>
      <w:rPr>
        <w:rFonts w:hint="default"/>
        <w:lang w:val="en-US" w:eastAsia="en-US" w:bidi="ar-SA"/>
      </w:rPr>
    </w:lvl>
    <w:lvl w:ilvl="4" w:tplc="852EE03E">
      <w:numFmt w:val="bullet"/>
      <w:lvlText w:val="•"/>
      <w:lvlJc w:val="left"/>
      <w:pPr>
        <w:ind w:left="4166" w:hanging="567"/>
      </w:pPr>
      <w:rPr>
        <w:rFonts w:hint="default"/>
        <w:lang w:val="en-US" w:eastAsia="en-US" w:bidi="ar-SA"/>
      </w:rPr>
    </w:lvl>
    <w:lvl w:ilvl="5" w:tplc="6CAC9E8E">
      <w:numFmt w:val="bullet"/>
      <w:lvlText w:val="•"/>
      <w:lvlJc w:val="left"/>
      <w:pPr>
        <w:ind w:left="5033" w:hanging="567"/>
      </w:pPr>
      <w:rPr>
        <w:rFonts w:hint="default"/>
        <w:lang w:val="en-US" w:eastAsia="en-US" w:bidi="ar-SA"/>
      </w:rPr>
    </w:lvl>
    <w:lvl w:ilvl="6" w:tplc="13CE3C58">
      <w:numFmt w:val="bullet"/>
      <w:lvlText w:val="•"/>
      <w:lvlJc w:val="left"/>
      <w:pPr>
        <w:ind w:left="5899" w:hanging="567"/>
      </w:pPr>
      <w:rPr>
        <w:rFonts w:hint="default"/>
        <w:lang w:val="en-US" w:eastAsia="en-US" w:bidi="ar-SA"/>
      </w:rPr>
    </w:lvl>
    <w:lvl w:ilvl="7" w:tplc="4F84DEB2">
      <w:numFmt w:val="bullet"/>
      <w:lvlText w:val="•"/>
      <w:lvlJc w:val="left"/>
      <w:pPr>
        <w:ind w:left="6766" w:hanging="567"/>
      </w:pPr>
      <w:rPr>
        <w:rFonts w:hint="default"/>
        <w:lang w:val="en-US" w:eastAsia="en-US" w:bidi="ar-SA"/>
      </w:rPr>
    </w:lvl>
    <w:lvl w:ilvl="8" w:tplc="0A026D00">
      <w:numFmt w:val="bullet"/>
      <w:lvlText w:val="•"/>
      <w:lvlJc w:val="left"/>
      <w:pPr>
        <w:ind w:left="7633" w:hanging="567"/>
      </w:pPr>
      <w:rPr>
        <w:rFonts w:hint="default"/>
        <w:lang w:val="en-US" w:eastAsia="en-US" w:bidi="ar-SA"/>
      </w:rPr>
    </w:lvl>
  </w:abstractNum>
  <w:abstractNum w:abstractNumId="98" w15:restartNumberingAfterBreak="0">
    <w:nsid w:val="1E60026E"/>
    <w:multiLevelType w:val="hybridMultilevel"/>
    <w:tmpl w:val="BD54D890"/>
    <w:lvl w:ilvl="0" w:tplc="C56A309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8ABE4496">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EE70DC64">
      <w:numFmt w:val="bullet"/>
      <w:lvlText w:val="•"/>
      <w:lvlJc w:val="left"/>
      <w:pPr>
        <w:ind w:left="2178" w:hanging="567"/>
      </w:pPr>
      <w:rPr>
        <w:lang w:val="en-US" w:eastAsia="en-US" w:bidi="ar-SA"/>
      </w:rPr>
    </w:lvl>
    <w:lvl w:ilvl="3" w:tplc="A14A165A">
      <w:numFmt w:val="bullet"/>
      <w:lvlText w:val="•"/>
      <w:lvlJc w:val="left"/>
      <w:pPr>
        <w:ind w:left="3076" w:hanging="567"/>
      </w:pPr>
      <w:rPr>
        <w:lang w:val="en-US" w:eastAsia="en-US" w:bidi="ar-SA"/>
      </w:rPr>
    </w:lvl>
    <w:lvl w:ilvl="4" w:tplc="E84EA244">
      <w:numFmt w:val="bullet"/>
      <w:lvlText w:val="•"/>
      <w:lvlJc w:val="left"/>
      <w:pPr>
        <w:ind w:left="3975" w:hanging="567"/>
      </w:pPr>
      <w:rPr>
        <w:lang w:val="en-US" w:eastAsia="en-US" w:bidi="ar-SA"/>
      </w:rPr>
    </w:lvl>
    <w:lvl w:ilvl="5" w:tplc="9BBE6E32">
      <w:numFmt w:val="bullet"/>
      <w:lvlText w:val="•"/>
      <w:lvlJc w:val="left"/>
      <w:pPr>
        <w:ind w:left="4873" w:hanging="567"/>
      </w:pPr>
      <w:rPr>
        <w:lang w:val="en-US" w:eastAsia="en-US" w:bidi="ar-SA"/>
      </w:rPr>
    </w:lvl>
    <w:lvl w:ilvl="6" w:tplc="D11A524C">
      <w:numFmt w:val="bullet"/>
      <w:lvlText w:val="•"/>
      <w:lvlJc w:val="left"/>
      <w:pPr>
        <w:ind w:left="5772" w:hanging="567"/>
      </w:pPr>
      <w:rPr>
        <w:lang w:val="en-US" w:eastAsia="en-US" w:bidi="ar-SA"/>
      </w:rPr>
    </w:lvl>
    <w:lvl w:ilvl="7" w:tplc="9FA052AC">
      <w:numFmt w:val="bullet"/>
      <w:lvlText w:val="•"/>
      <w:lvlJc w:val="left"/>
      <w:pPr>
        <w:ind w:left="6670" w:hanging="567"/>
      </w:pPr>
      <w:rPr>
        <w:lang w:val="en-US" w:eastAsia="en-US" w:bidi="ar-SA"/>
      </w:rPr>
    </w:lvl>
    <w:lvl w:ilvl="8" w:tplc="2AE63C1A">
      <w:numFmt w:val="bullet"/>
      <w:lvlText w:val="•"/>
      <w:lvlJc w:val="left"/>
      <w:pPr>
        <w:ind w:left="7569" w:hanging="567"/>
      </w:pPr>
      <w:rPr>
        <w:lang w:val="en-US" w:eastAsia="en-US" w:bidi="ar-SA"/>
      </w:rPr>
    </w:lvl>
  </w:abstractNum>
  <w:abstractNum w:abstractNumId="99" w15:restartNumberingAfterBreak="0">
    <w:nsid w:val="1E752D1F"/>
    <w:multiLevelType w:val="hybridMultilevel"/>
    <w:tmpl w:val="513E0960"/>
    <w:lvl w:ilvl="0" w:tplc="D5C81B18">
      <w:start w:val="1"/>
      <w:numFmt w:val="decimal"/>
      <w:lvlText w:val="(%1)"/>
      <w:lvlJc w:val="left"/>
      <w:pPr>
        <w:ind w:left="1287" w:hanging="567"/>
      </w:pPr>
      <w:rPr>
        <w:rFonts w:ascii="Arial" w:eastAsia="Calibri" w:hAnsi="Arial" w:cs="Arial" w:hint="default"/>
        <w:spacing w:val="-1"/>
        <w:w w:val="100"/>
        <w:sz w:val="20"/>
        <w:szCs w:val="22"/>
        <w:lang w:val="en-US" w:eastAsia="en-US" w:bidi="ar-SA"/>
      </w:r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100" w15:restartNumberingAfterBreak="0">
    <w:nsid w:val="1EE9142C"/>
    <w:multiLevelType w:val="hybridMultilevel"/>
    <w:tmpl w:val="47863B54"/>
    <w:lvl w:ilvl="0" w:tplc="F0B88662">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72209252">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C2B2D6FA">
      <w:numFmt w:val="bullet"/>
      <w:lvlText w:val="•"/>
      <w:lvlJc w:val="left"/>
      <w:pPr>
        <w:ind w:left="2178" w:hanging="567"/>
      </w:pPr>
      <w:rPr>
        <w:rFonts w:hint="default"/>
        <w:lang w:val="en-US" w:eastAsia="en-US" w:bidi="ar-SA"/>
      </w:rPr>
    </w:lvl>
    <w:lvl w:ilvl="3" w:tplc="F30E03F2">
      <w:numFmt w:val="bullet"/>
      <w:lvlText w:val="•"/>
      <w:lvlJc w:val="left"/>
      <w:pPr>
        <w:ind w:left="3076" w:hanging="567"/>
      </w:pPr>
      <w:rPr>
        <w:rFonts w:hint="default"/>
        <w:lang w:val="en-US" w:eastAsia="en-US" w:bidi="ar-SA"/>
      </w:rPr>
    </w:lvl>
    <w:lvl w:ilvl="4" w:tplc="B1AA792C">
      <w:numFmt w:val="bullet"/>
      <w:lvlText w:val="•"/>
      <w:lvlJc w:val="left"/>
      <w:pPr>
        <w:ind w:left="3975" w:hanging="567"/>
      </w:pPr>
      <w:rPr>
        <w:rFonts w:hint="default"/>
        <w:lang w:val="en-US" w:eastAsia="en-US" w:bidi="ar-SA"/>
      </w:rPr>
    </w:lvl>
    <w:lvl w:ilvl="5" w:tplc="F38E5A44">
      <w:numFmt w:val="bullet"/>
      <w:lvlText w:val="•"/>
      <w:lvlJc w:val="left"/>
      <w:pPr>
        <w:ind w:left="4873" w:hanging="567"/>
      </w:pPr>
      <w:rPr>
        <w:rFonts w:hint="default"/>
        <w:lang w:val="en-US" w:eastAsia="en-US" w:bidi="ar-SA"/>
      </w:rPr>
    </w:lvl>
    <w:lvl w:ilvl="6" w:tplc="7C6228B0">
      <w:numFmt w:val="bullet"/>
      <w:lvlText w:val="•"/>
      <w:lvlJc w:val="left"/>
      <w:pPr>
        <w:ind w:left="5772" w:hanging="567"/>
      </w:pPr>
      <w:rPr>
        <w:rFonts w:hint="default"/>
        <w:lang w:val="en-US" w:eastAsia="en-US" w:bidi="ar-SA"/>
      </w:rPr>
    </w:lvl>
    <w:lvl w:ilvl="7" w:tplc="4B461262">
      <w:numFmt w:val="bullet"/>
      <w:lvlText w:val="•"/>
      <w:lvlJc w:val="left"/>
      <w:pPr>
        <w:ind w:left="6670" w:hanging="567"/>
      </w:pPr>
      <w:rPr>
        <w:rFonts w:hint="default"/>
        <w:lang w:val="en-US" w:eastAsia="en-US" w:bidi="ar-SA"/>
      </w:rPr>
    </w:lvl>
    <w:lvl w:ilvl="8" w:tplc="B3789EC2">
      <w:numFmt w:val="bullet"/>
      <w:lvlText w:val="•"/>
      <w:lvlJc w:val="left"/>
      <w:pPr>
        <w:ind w:left="7569" w:hanging="567"/>
      </w:pPr>
      <w:rPr>
        <w:rFonts w:hint="default"/>
        <w:lang w:val="en-US" w:eastAsia="en-US" w:bidi="ar-SA"/>
      </w:rPr>
    </w:lvl>
  </w:abstractNum>
  <w:abstractNum w:abstractNumId="101" w15:restartNumberingAfterBreak="0">
    <w:nsid w:val="1EF26561"/>
    <w:multiLevelType w:val="hybridMultilevel"/>
    <w:tmpl w:val="A76EBE04"/>
    <w:lvl w:ilvl="0" w:tplc="5B22844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894D404">
      <w:numFmt w:val="bullet"/>
      <w:lvlText w:val="•"/>
      <w:lvlJc w:val="left"/>
      <w:pPr>
        <w:ind w:left="1566" w:hanging="567"/>
      </w:pPr>
      <w:rPr>
        <w:rFonts w:hint="default"/>
        <w:lang w:val="en-US" w:eastAsia="en-US" w:bidi="ar-SA"/>
      </w:rPr>
    </w:lvl>
    <w:lvl w:ilvl="2" w:tplc="1D72EDFC">
      <w:numFmt w:val="bullet"/>
      <w:lvlText w:val="•"/>
      <w:lvlJc w:val="left"/>
      <w:pPr>
        <w:ind w:left="2433" w:hanging="567"/>
      </w:pPr>
      <w:rPr>
        <w:rFonts w:hint="default"/>
        <w:lang w:val="en-US" w:eastAsia="en-US" w:bidi="ar-SA"/>
      </w:rPr>
    </w:lvl>
    <w:lvl w:ilvl="3" w:tplc="7862C6EC">
      <w:numFmt w:val="bullet"/>
      <w:lvlText w:val="•"/>
      <w:lvlJc w:val="left"/>
      <w:pPr>
        <w:ind w:left="3299" w:hanging="567"/>
      </w:pPr>
      <w:rPr>
        <w:rFonts w:hint="default"/>
        <w:lang w:val="en-US" w:eastAsia="en-US" w:bidi="ar-SA"/>
      </w:rPr>
    </w:lvl>
    <w:lvl w:ilvl="4" w:tplc="F91EBBDC">
      <w:numFmt w:val="bullet"/>
      <w:lvlText w:val="•"/>
      <w:lvlJc w:val="left"/>
      <w:pPr>
        <w:ind w:left="4166" w:hanging="567"/>
      </w:pPr>
      <w:rPr>
        <w:rFonts w:hint="default"/>
        <w:lang w:val="en-US" w:eastAsia="en-US" w:bidi="ar-SA"/>
      </w:rPr>
    </w:lvl>
    <w:lvl w:ilvl="5" w:tplc="8D0815EA">
      <w:numFmt w:val="bullet"/>
      <w:lvlText w:val="•"/>
      <w:lvlJc w:val="left"/>
      <w:pPr>
        <w:ind w:left="5033" w:hanging="567"/>
      </w:pPr>
      <w:rPr>
        <w:rFonts w:hint="default"/>
        <w:lang w:val="en-US" w:eastAsia="en-US" w:bidi="ar-SA"/>
      </w:rPr>
    </w:lvl>
    <w:lvl w:ilvl="6" w:tplc="1ACA1268">
      <w:numFmt w:val="bullet"/>
      <w:lvlText w:val="•"/>
      <w:lvlJc w:val="left"/>
      <w:pPr>
        <w:ind w:left="5899" w:hanging="567"/>
      </w:pPr>
      <w:rPr>
        <w:rFonts w:hint="default"/>
        <w:lang w:val="en-US" w:eastAsia="en-US" w:bidi="ar-SA"/>
      </w:rPr>
    </w:lvl>
    <w:lvl w:ilvl="7" w:tplc="691CC6EA">
      <w:numFmt w:val="bullet"/>
      <w:lvlText w:val="•"/>
      <w:lvlJc w:val="left"/>
      <w:pPr>
        <w:ind w:left="6766" w:hanging="567"/>
      </w:pPr>
      <w:rPr>
        <w:rFonts w:hint="default"/>
        <w:lang w:val="en-US" w:eastAsia="en-US" w:bidi="ar-SA"/>
      </w:rPr>
    </w:lvl>
    <w:lvl w:ilvl="8" w:tplc="9FDE9940">
      <w:numFmt w:val="bullet"/>
      <w:lvlText w:val="•"/>
      <w:lvlJc w:val="left"/>
      <w:pPr>
        <w:ind w:left="7633" w:hanging="567"/>
      </w:pPr>
      <w:rPr>
        <w:rFonts w:hint="default"/>
        <w:lang w:val="en-US" w:eastAsia="en-US" w:bidi="ar-SA"/>
      </w:rPr>
    </w:lvl>
  </w:abstractNum>
  <w:abstractNum w:abstractNumId="102" w15:restartNumberingAfterBreak="0">
    <w:nsid w:val="1F7D34C9"/>
    <w:multiLevelType w:val="hybridMultilevel"/>
    <w:tmpl w:val="B1465802"/>
    <w:lvl w:ilvl="0" w:tplc="C2CEFA44">
      <w:start w:val="1"/>
      <w:numFmt w:val="lowerRoman"/>
      <w:lvlText w:val="(%1)"/>
      <w:lvlJc w:val="left"/>
      <w:pPr>
        <w:ind w:left="1842" w:hanging="569"/>
      </w:pPr>
      <w:rPr>
        <w:rFonts w:ascii="Arial" w:eastAsia="Calibri" w:hAnsi="Arial" w:cs="Arial" w:hint="default"/>
        <w:spacing w:val="-1"/>
        <w:w w:val="100"/>
        <w:sz w:val="20"/>
        <w:szCs w:val="22"/>
        <w:lang w:val="en-US" w:eastAsia="en-US" w:bidi="ar-SA"/>
      </w:rPr>
    </w:lvl>
    <w:lvl w:ilvl="1" w:tplc="1528E8DE">
      <w:numFmt w:val="bullet"/>
      <w:lvlText w:val="•"/>
      <w:lvlJc w:val="left"/>
      <w:pPr>
        <w:ind w:left="2592" w:hanging="569"/>
      </w:pPr>
      <w:rPr>
        <w:rFonts w:hint="default"/>
        <w:lang w:val="en-US" w:eastAsia="en-US" w:bidi="ar-SA"/>
      </w:rPr>
    </w:lvl>
    <w:lvl w:ilvl="2" w:tplc="152EC41A">
      <w:numFmt w:val="bullet"/>
      <w:lvlText w:val="•"/>
      <w:lvlJc w:val="left"/>
      <w:pPr>
        <w:ind w:left="3345" w:hanging="569"/>
      </w:pPr>
      <w:rPr>
        <w:rFonts w:hint="default"/>
        <w:lang w:val="en-US" w:eastAsia="en-US" w:bidi="ar-SA"/>
      </w:rPr>
    </w:lvl>
    <w:lvl w:ilvl="3" w:tplc="8ED063B8">
      <w:numFmt w:val="bullet"/>
      <w:lvlText w:val="•"/>
      <w:lvlJc w:val="left"/>
      <w:pPr>
        <w:ind w:left="4097" w:hanging="569"/>
      </w:pPr>
      <w:rPr>
        <w:rFonts w:hint="default"/>
        <w:lang w:val="en-US" w:eastAsia="en-US" w:bidi="ar-SA"/>
      </w:rPr>
    </w:lvl>
    <w:lvl w:ilvl="4" w:tplc="1BC6DBAC">
      <w:numFmt w:val="bullet"/>
      <w:lvlText w:val="•"/>
      <w:lvlJc w:val="left"/>
      <w:pPr>
        <w:ind w:left="4850" w:hanging="569"/>
      </w:pPr>
      <w:rPr>
        <w:rFonts w:hint="default"/>
        <w:lang w:val="en-US" w:eastAsia="en-US" w:bidi="ar-SA"/>
      </w:rPr>
    </w:lvl>
    <w:lvl w:ilvl="5" w:tplc="E614175A">
      <w:numFmt w:val="bullet"/>
      <w:lvlText w:val="•"/>
      <w:lvlJc w:val="left"/>
      <w:pPr>
        <w:ind w:left="5603" w:hanging="569"/>
      </w:pPr>
      <w:rPr>
        <w:rFonts w:hint="default"/>
        <w:lang w:val="en-US" w:eastAsia="en-US" w:bidi="ar-SA"/>
      </w:rPr>
    </w:lvl>
    <w:lvl w:ilvl="6" w:tplc="18F49E62">
      <w:numFmt w:val="bullet"/>
      <w:lvlText w:val="•"/>
      <w:lvlJc w:val="left"/>
      <w:pPr>
        <w:ind w:left="6355" w:hanging="569"/>
      </w:pPr>
      <w:rPr>
        <w:rFonts w:hint="default"/>
        <w:lang w:val="en-US" w:eastAsia="en-US" w:bidi="ar-SA"/>
      </w:rPr>
    </w:lvl>
    <w:lvl w:ilvl="7" w:tplc="A63495A4">
      <w:numFmt w:val="bullet"/>
      <w:lvlText w:val="•"/>
      <w:lvlJc w:val="left"/>
      <w:pPr>
        <w:ind w:left="7108" w:hanging="569"/>
      </w:pPr>
      <w:rPr>
        <w:rFonts w:hint="default"/>
        <w:lang w:val="en-US" w:eastAsia="en-US" w:bidi="ar-SA"/>
      </w:rPr>
    </w:lvl>
    <w:lvl w:ilvl="8" w:tplc="2B6AD2EA">
      <w:numFmt w:val="bullet"/>
      <w:lvlText w:val="•"/>
      <w:lvlJc w:val="left"/>
      <w:pPr>
        <w:ind w:left="7861" w:hanging="569"/>
      </w:pPr>
      <w:rPr>
        <w:rFonts w:hint="default"/>
        <w:lang w:val="en-US" w:eastAsia="en-US" w:bidi="ar-SA"/>
      </w:rPr>
    </w:lvl>
  </w:abstractNum>
  <w:abstractNum w:abstractNumId="103" w15:restartNumberingAfterBreak="0">
    <w:nsid w:val="1F857914"/>
    <w:multiLevelType w:val="hybridMultilevel"/>
    <w:tmpl w:val="5362271A"/>
    <w:lvl w:ilvl="0" w:tplc="6AC0DBE4">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8DD806C8">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8EDE4A60">
      <w:numFmt w:val="bullet"/>
      <w:lvlText w:val="•"/>
      <w:lvlJc w:val="left"/>
      <w:pPr>
        <w:ind w:left="2178" w:hanging="567"/>
      </w:pPr>
      <w:rPr>
        <w:rFonts w:hint="default"/>
        <w:lang w:val="en-US" w:eastAsia="en-US" w:bidi="ar-SA"/>
      </w:rPr>
    </w:lvl>
    <w:lvl w:ilvl="3" w:tplc="D108C7F6">
      <w:numFmt w:val="bullet"/>
      <w:lvlText w:val="•"/>
      <w:lvlJc w:val="left"/>
      <w:pPr>
        <w:ind w:left="3076" w:hanging="567"/>
      </w:pPr>
      <w:rPr>
        <w:rFonts w:hint="default"/>
        <w:lang w:val="en-US" w:eastAsia="en-US" w:bidi="ar-SA"/>
      </w:rPr>
    </w:lvl>
    <w:lvl w:ilvl="4" w:tplc="D82213CC">
      <w:numFmt w:val="bullet"/>
      <w:lvlText w:val="•"/>
      <w:lvlJc w:val="left"/>
      <w:pPr>
        <w:ind w:left="3975" w:hanging="567"/>
      </w:pPr>
      <w:rPr>
        <w:rFonts w:hint="default"/>
        <w:lang w:val="en-US" w:eastAsia="en-US" w:bidi="ar-SA"/>
      </w:rPr>
    </w:lvl>
    <w:lvl w:ilvl="5" w:tplc="01848D88">
      <w:numFmt w:val="bullet"/>
      <w:lvlText w:val="•"/>
      <w:lvlJc w:val="left"/>
      <w:pPr>
        <w:ind w:left="4873" w:hanging="567"/>
      </w:pPr>
      <w:rPr>
        <w:rFonts w:hint="default"/>
        <w:lang w:val="en-US" w:eastAsia="en-US" w:bidi="ar-SA"/>
      </w:rPr>
    </w:lvl>
    <w:lvl w:ilvl="6" w:tplc="12FE108C">
      <w:numFmt w:val="bullet"/>
      <w:lvlText w:val="•"/>
      <w:lvlJc w:val="left"/>
      <w:pPr>
        <w:ind w:left="5772" w:hanging="567"/>
      </w:pPr>
      <w:rPr>
        <w:rFonts w:hint="default"/>
        <w:lang w:val="en-US" w:eastAsia="en-US" w:bidi="ar-SA"/>
      </w:rPr>
    </w:lvl>
    <w:lvl w:ilvl="7" w:tplc="26DAD0A8">
      <w:numFmt w:val="bullet"/>
      <w:lvlText w:val="•"/>
      <w:lvlJc w:val="left"/>
      <w:pPr>
        <w:ind w:left="6670" w:hanging="567"/>
      </w:pPr>
      <w:rPr>
        <w:rFonts w:hint="default"/>
        <w:lang w:val="en-US" w:eastAsia="en-US" w:bidi="ar-SA"/>
      </w:rPr>
    </w:lvl>
    <w:lvl w:ilvl="8" w:tplc="5F4EB0BC">
      <w:numFmt w:val="bullet"/>
      <w:lvlText w:val="•"/>
      <w:lvlJc w:val="left"/>
      <w:pPr>
        <w:ind w:left="7569" w:hanging="567"/>
      </w:pPr>
      <w:rPr>
        <w:rFonts w:hint="default"/>
        <w:lang w:val="en-US" w:eastAsia="en-US" w:bidi="ar-SA"/>
      </w:rPr>
    </w:lvl>
  </w:abstractNum>
  <w:abstractNum w:abstractNumId="104" w15:restartNumberingAfterBreak="0">
    <w:nsid w:val="1FCD2483"/>
    <w:multiLevelType w:val="hybridMultilevel"/>
    <w:tmpl w:val="D422ACF2"/>
    <w:lvl w:ilvl="0" w:tplc="51F8FA7E">
      <w:start w:val="1"/>
      <w:numFmt w:val="lowerLetter"/>
      <w:lvlText w:val="(%1)"/>
      <w:lvlJc w:val="left"/>
      <w:pPr>
        <w:ind w:left="706" w:hanging="567"/>
      </w:pPr>
      <w:rPr>
        <w:rFonts w:ascii="Calibri" w:eastAsia="Calibri" w:hAnsi="Calibri" w:cs="Calibri" w:hint="default"/>
        <w:spacing w:val="-1"/>
        <w:w w:val="100"/>
        <w:sz w:val="22"/>
        <w:szCs w:val="22"/>
        <w:lang w:val="en-US" w:eastAsia="en-US" w:bidi="ar-SA"/>
      </w:rPr>
    </w:lvl>
    <w:lvl w:ilvl="1" w:tplc="5D40CBC8">
      <w:numFmt w:val="bullet"/>
      <w:lvlText w:val="•"/>
      <w:lvlJc w:val="left"/>
      <w:pPr>
        <w:ind w:left="1566" w:hanging="567"/>
      </w:pPr>
      <w:rPr>
        <w:rFonts w:hint="default"/>
        <w:lang w:val="en-US" w:eastAsia="en-US" w:bidi="ar-SA"/>
      </w:rPr>
    </w:lvl>
    <w:lvl w:ilvl="2" w:tplc="63B6DCE2">
      <w:numFmt w:val="bullet"/>
      <w:lvlText w:val="•"/>
      <w:lvlJc w:val="left"/>
      <w:pPr>
        <w:ind w:left="2433" w:hanging="567"/>
      </w:pPr>
      <w:rPr>
        <w:rFonts w:hint="default"/>
        <w:lang w:val="en-US" w:eastAsia="en-US" w:bidi="ar-SA"/>
      </w:rPr>
    </w:lvl>
    <w:lvl w:ilvl="3" w:tplc="62ACC1A0">
      <w:numFmt w:val="bullet"/>
      <w:lvlText w:val="•"/>
      <w:lvlJc w:val="left"/>
      <w:pPr>
        <w:ind w:left="3299" w:hanging="567"/>
      </w:pPr>
      <w:rPr>
        <w:rFonts w:hint="default"/>
        <w:lang w:val="en-US" w:eastAsia="en-US" w:bidi="ar-SA"/>
      </w:rPr>
    </w:lvl>
    <w:lvl w:ilvl="4" w:tplc="9FAAD2C2">
      <w:numFmt w:val="bullet"/>
      <w:lvlText w:val="•"/>
      <w:lvlJc w:val="left"/>
      <w:pPr>
        <w:ind w:left="4166" w:hanging="567"/>
      </w:pPr>
      <w:rPr>
        <w:rFonts w:hint="default"/>
        <w:lang w:val="en-US" w:eastAsia="en-US" w:bidi="ar-SA"/>
      </w:rPr>
    </w:lvl>
    <w:lvl w:ilvl="5" w:tplc="FC48F712">
      <w:numFmt w:val="bullet"/>
      <w:lvlText w:val="•"/>
      <w:lvlJc w:val="left"/>
      <w:pPr>
        <w:ind w:left="5033" w:hanging="567"/>
      </w:pPr>
      <w:rPr>
        <w:rFonts w:hint="default"/>
        <w:lang w:val="en-US" w:eastAsia="en-US" w:bidi="ar-SA"/>
      </w:rPr>
    </w:lvl>
    <w:lvl w:ilvl="6" w:tplc="32F8DD1C">
      <w:numFmt w:val="bullet"/>
      <w:lvlText w:val="•"/>
      <w:lvlJc w:val="left"/>
      <w:pPr>
        <w:ind w:left="5899" w:hanging="567"/>
      </w:pPr>
      <w:rPr>
        <w:rFonts w:hint="default"/>
        <w:lang w:val="en-US" w:eastAsia="en-US" w:bidi="ar-SA"/>
      </w:rPr>
    </w:lvl>
    <w:lvl w:ilvl="7" w:tplc="2EEC60B2">
      <w:numFmt w:val="bullet"/>
      <w:lvlText w:val="•"/>
      <w:lvlJc w:val="left"/>
      <w:pPr>
        <w:ind w:left="6766" w:hanging="567"/>
      </w:pPr>
      <w:rPr>
        <w:rFonts w:hint="default"/>
        <w:lang w:val="en-US" w:eastAsia="en-US" w:bidi="ar-SA"/>
      </w:rPr>
    </w:lvl>
    <w:lvl w:ilvl="8" w:tplc="12AA644C">
      <w:numFmt w:val="bullet"/>
      <w:lvlText w:val="•"/>
      <w:lvlJc w:val="left"/>
      <w:pPr>
        <w:ind w:left="7633" w:hanging="567"/>
      </w:pPr>
      <w:rPr>
        <w:rFonts w:hint="default"/>
        <w:lang w:val="en-US" w:eastAsia="en-US" w:bidi="ar-SA"/>
      </w:rPr>
    </w:lvl>
  </w:abstractNum>
  <w:abstractNum w:abstractNumId="105" w15:restartNumberingAfterBreak="0">
    <w:nsid w:val="1FE71DFE"/>
    <w:multiLevelType w:val="hybridMultilevel"/>
    <w:tmpl w:val="50F0903C"/>
    <w:lvl w:ilvl="0" w:tplc="CA829088">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27869A8">
      <w:numFmt w:val="bullet"/>
      <w:lvlText w:val="•"/>
      <w:lvlJc w:val="left"/>
      <w:pPr>
        <w:ind w:left="1566" w:hanging="567"/>
      </w:pPr>
      <w:rPr>
        <w:rFonts w:hint="default"/>
        <w:lang w:val="en-US" w:eastAsia="en-US" w:bidi="ar-SA"/>
      </w:rPr>
    </w:lvl>
    <w:lvl w:ilvl="2" w:tplc="B4A47F72">
      <w:numFmt w:val="bullet"/>
      <w:lvlText w:val="•"/>
      <w:lvlJc w:val="left"/>
      <w:pPr>
        <w:ind w:left="2433" w:hanging="567"/>
      </w:pPr>
      <w:rPr>
        <w:rFonts w:hint="default"/>
        <w:lang w:val="en-US" w:eastAsia="en-US" w:bidi="ar-SA"/>
      </w:rPr>
    </w:lvl>
    <w:lvl w:ilvl="3" w:tplc="DA269A5E">
      <w:numFmt w:val="bullet"/>
      <w:lvlText w:val="•"/>
      <w:lvlJc w:val="left"/>
      <w:pPr>
        <w:ind w:left="3299" w:hanging="567"/>
      </w:pPr>
      <w:rPr>
        <w:rFonts w:hint="default"/>
        <w:lang w:val="en-US" w:eastAsia="en-US" w:bidi="ar-SA"/>
      </w:rPr>
    </w:lvl>
    <w:lvl w:ilvl="4" w:tplc="8F9CC2B0">
      <w:numFmt w:val="bullet"/>
      <w:lvlText w:val="•"/>
      <w:lvlJc w:val="left"/>
      <w:pPr>
        <w:ind w:left="4166" w:hanging="567"/>
      </w:pPr>
      <w:rPr>
        <w:rFonts w:hint="default"/>
        <w:lang w:val="en-US" w:eastAsia="en-US" w:bidi="ar-SA"/>
      </w:rPr>
    </w:lvl>
    <w:lvl w:ilvl="5" w:tplc="4EBC0166">
      <w:numFmt w:val="bullet"/>
      <w:lvlText w:val="•"/>
      <w:lvlJc w:val="left"/>
      <w:pPr>
        <w:ind w:left="5033" w:hanging="567"/>
      </w:pPr>
      <w:rPr>
        <w:rFonts w:hint="default"/>
        <w:lang w:val="en-US" w:eastAsia="en-US" w:bidi="ar-SA"/>
      </w:rPr>
    </w:lvl>
    <w:lvl w:ilvl="6" w:tplc="0AD262A2">
      <w:numFmt w:val="bullet"/>
      <w:lvlText w:val="•"/>
      <w:lvlJc w:val="left"/>
      <w:pPr>
        <w:ind w:left="5899" w:hanging="567"/>
      </w:pPr>
      <w:rPr>
        <w:rFonts w:hint="default"/>
        <w:lang w:val="en-US" w:eastAsia="en-US" w:bidi="ar-SA"/>
      </w:rPr>
    </w:lvl>
    <w:lvl w:ilvl="7" w:tplc="7D2A4CE4">
      <w:numFmt w:val="bullet"/>
      <w:lvlText w:val="•"/>
      <w:lvlJc w:val="left"/>
      <w:pPr>
        <w:ind w:left="6766" w:hanging="567"/>
      </w:pPr>
      <w:rPr>
        <w:rFonts w:hint="default"/>
        <w:lang w:val="en-US" w:eastAsia="en-US" w:bidi="ar-SA"/>
      </w:rPr>
    </w:lvl>
    <w:lvl w:ilvl="8" w:tplc="299A7F02">
      <w:numFmt w:val="bullet"/>
      <w:lvlText w:val="•"/>
      <w:lvlJc w:val="left"/>
      <w:pPr>
        <w:ind w:left="7633" w:hanging="567"/>
      </w:pPr>
      <w:rPr>
        <w:rFonts w:hint="default"/>
        <w:lang w:val="en-US" w:eastAsia="en-US" w:bidi="ar-SA"/>
      </w:rPr>
    </w:lvl>
  </w:abstractNum>
  <w:abstractNum w:abstractNumId="106" w15:restartNumberingAfterBreak="0">
    <w:nsid w:val="2016191F"/>
    <w:multiLevelType w:val="hybridMultilevel"/>
    <w:tmpl w:val="E2AECA66"/>
    <w:lvl w:ilvl="0" w:tplc="35704FD2">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1F021406">
      <w:numFmt w:val="bullet"/>
      <w:lvlText w:val="•"/>
      <w:lvlJc w:val="left"/>
      <w:pPr>
        <w:ind w:left="1566" w:hanging="567"/>
      </w:pPr>
      <w:rPr>
        <w:rFonts w:hint="default"/>
        <w:lang w:val="en-US" w:eastAsia="en-US" w:bidi="ar-SA"/>
      </w:rPr>
    </w:lvl>
    <w:lvl w:ilvl="2" w:tplc="88D499DA">
      <w:numFmt w:val="bullet"/>
      <w:lvlText w:val="•"/>
      <w:lvlJc w:val="left"/>
      <w:pPr>
        <w:ind w:left="2433" w:hanging="567"/>
      </w:pPr>
      <w:rPr>
        <w:rFonts w:hint="default"/>
        <w:lang w:val="en-US" w:eastAsia="en-US" w:bidi="ar-SA"/>
      </w:rPr>
    </w:lvl>
    <w:lvl w:ilvl="3" w:tplc="F0548646">
      <w:numFmt w:val="bullet"/>
      <w:lvlText w:val="•"/>
      <w:lvlJc w:val="left"/>
      <w:pPr>
        <w:ind w:left="3299" w:hanging="567"/>
      </w:pPr>
      <w:rPr>
        <w:rFonts w:hint="default"/>
        <w:lang w:val="en-US" w:eastAsia="en-US" w:bidi="ar-SA"/>
      </w:rPr>
    </w:lvl>
    <w:lvl w:ilvl="4" w:tplc="C8A86B78">
      <w:numFmt w:val="bullet"/>
      <w:lvlText w:val="•"/>
      <w:lvlJc w:val="left"/>
      <w:pPr>
        <w:ind w:left="4166" w:hanging="567"/>
      </w:pPr>
      <w:rPr>
        <w:rFonts w:hint="default"/>
        <w:lang w:val="en-US" w:eastAsia="en-US" w:bidi="ar-SA"/>
      </w:rPr>
    </w:lvl>
    <w:lvl w:ilvl="5" w:tplc="4EA473C4">
      <w:numFmt w:val="bullet"/>
      <w:lvlText w:val="•"/>
      <w:lvlJc w:val="left"/>
      <w:pPr>
        <w:ind w:left="5033" w:hanging="567"/>
      </w:pPr>
      <w:rPr>
        <w:rFonts w:hint="default"/>
        <w:lang w:val="en-US" w:eastAsia="en-US" w:bidi="ar-SA"/>
      </w:rPr>
    </w:lvl>
    <w:lvl w:ilvl="6" w:tplc="86D62736">
      <w:numFmt w:val="bullet"/>
      <w:lvlText w:val="•"/>
      <w:lvlJc w:val="left"/>
      <w:pPr>
        <w:ind w:left="5899" w:hanging="567"/>
      </w:pPr>
      <w:rPr>
        <w:rFonts w:hint="default"/>
        <w:lang w:val="en-US" w:eastAsia="en-US" w:bidi="ar-SA"/>
      </w:rPr>
    </w:lvl>
    <w:lvl w:ilvl="7" w:tplc="86D077B6">
      <w:numFmt w:val="bullet"/>
      <w:lvlText w:val="•"/>
      <w:lvlJc w:val="left"/>
      <w:pPr>
        <w:ind w:left="6766" w:hanging="567"/>
      </w:pPr>
      <w:rPr>
        <w:rFonts w:hint="default"/>
        <w:lang w:val="en-US" w:eastAsia="en-US" w:bidi="ar-SA"/>
      </w:rPr>
    </w:lvl>
    <w:lvl w:ilvl="8" w:tplc="1CFEB6DC">
      <w:numFmt w:val="bullet"/>
      <w:lvlText w:val="•"/>
      <w:lvlJc w:val="left"/>
      <w:pPr>
        <w:ind w:left="7633" w:hanging="567"/>
      </w:pPr>
      <w:rPr>
        <w:rFonts w:hint="default"/>
        <w:lang w:val="en-US" w:eastAsia="en-US" w:bidi="ar-SA"/>
      </w:rPr>
    </w:lvl>
  </w:abstractNum>
  <w:abstractNum w:abstractNumId="107" w15:restartNumberingAfterBreak="0">
    <w:nsid w:val="20424CF4"/>
    <w:multiLevelType w:val="hybridMultilevel"/>
    <w:tmpl w:val="28A0F8EE"/>
    <w:lvl w:ilvl="0" w:tplc="5CB4EB6A">
      <w:start w:val="1"/>
      <w:numFmt w:val="lowerRoman"/>
      <w:lvlText w:val="(%1)"/>
      <w:lvlJc w:val="left"/>
      <w:pPr>
        <w:ind w:left="2408" w:hanging="567"/>
      </w:pPr>
      <w:rPr>
        <w:rFonts w:ascii="Arial" w:eastAsia="Calibri" w:hAnsi="Arial" w:cs="Arial" w:hint="default"/>
        <w:spacing w:val="-1"/>
        <w:w w:val="100"/>
        <w:sz w:val="20"/>
        <w:szCs w:val="22"/>
        <w:lang w:val="en-US" w:eastAsia="en-US" w:bidi="ar-SA"/>
      </w:rPr>
    </w:lvl>
    <w:lvl w:ilvl="1" w:tplc="3618AB46">
      <w:numFmt w:val="bullet"/>
      <w:lvlText w:val="•"/>
      <w:lvlJc w:val="left"/>
      <w:pPr>
        <w:ind w:left="3096" w:hanging="567"/>
      </w:pPr>
      <w:rPr>
        <w:rFonts w:hint="default"/>
        <w:lang w:val="en-US" w:eastAsia="en-US" w:bidi="ar-SA"/>
      </w:rPr>
    </w:lvl>
    <w:lvl w:ilvl="2" w:tplc="3398CD06">
      <w:numFmt w:val="bullet"/>
      <w:lvlText w:val="•"/>
      <w:lvlJc w:val="left"/>
      <w:pPr>
        <w:ind w:left="3793" w:hanging="567"/>
      </w:pPr>
      <w:rPr>
        <w:rFonts w:hint="default"/>
        <w:lang w:val="en-US" w:eastAsia="en-US" w:bidi="ar-SA"/>
      </w:rPr>
    </w:lvl>
    <w:lvl w:ilvl="3" w:tplc="0566919C">
      <w:numFmt w:val="bullet"/>
      <w:lvlText w:val="•"/>
      <w:lvlJc w:val="left"/>
      <w:pPr>
        <w:ind w:left="4489" w:hanging="567"/>
      </w:pPr>
      <w:rPr>
        <w:rFonts w:hint="default"/>
        <w:lang w:val="en-US" w:eastAsia="en-US" w:bidi="ar-SA"/>
      </w:rPr>
    </w:lvl>
    <w:lvl w:ilvl="4" w:tplc="ADC291F4">
      <w:numFmt w:val="bullet"/>
      <w:lvlText w:val="•"/>
      <w:lvlJc w:val="left"/>
      <w:pPr>
        <w:ind w:left="5186" w:hanging="567"/>
      </w:pPr>
      <w:rPr>
        <w:rFonts w:hint="default"/>
        <w:lang w:val="en-US" w:eastAsia="en-US" w:bidi="ar-SA"/>
      </w:rPr>
    </w:lvl>
    <w:lvl w:ilvl="5" w:tplc="C6007452">
      <w:numFmt w:val="bullet"/>
      <w:lvlText w:val="•"/>
      <w:lvlJc w:val="left"/>
      <w:pPr>
        <w:ind w:left="5883" w:hanging="567"/>
      </w:pPr>
      <w:rPr>
        <w:rFonts w:hint="default"/>
        <w:lang w:val="en-US" w:eastAsia="en-US" w:bidi="ar-SA"/>
      </w:rPr>
    </w:lvl>
    <w:lvl w:ilvl="6" w:tplc="117C151C">
      <w:numFmt w:val="bullet"/>
      <w:lvlText w:val="•"/>
      <w:lvlJc w:val="left"/>
      <w:pPr>
        <w:ind w:left="6579" w:hanging="567"/>
      </w:pPr>
      <w:rPr>
        <w:rFonts w:hint="default"/>
        <w:lang w:val="en-US" w:eastAsia="en-US" w:bidi="ar-SA"/>
      </w:rPr>
    </w:lvl>
    <w:lvl w:ilvl="7" w:tplc="5BAA0B2C">
      <w:numFmt w:val="bullet"/>
      <w:lvlText w:val="•"/>
      <w:lvlJc w:val="left"/>
      <w:pPr>
        <w:ind w:left="7276" w:hanging="567"/>
      </w:pPr>
      <w:rPr>
        <w:rFonts w:hint="default"/>
        <w:lang w:val="en-US" w:eastAsia="en-US" w:bidi="ar-SA"/>
      </w:rPr>
    </w:lvl>
    <w:lvl w:ilvl="8" w:tplc="00D65560">
      <w:numFmt w:val="bullet"/>
      <w:lvlText w:val="•"/>
      <w:lvlJc w:val="left"/>
      <w:pPr>
        <w:ind w:left="7973" w:hanging="567"/>
      </w:pPr>
      <w:rPr>
        <w:rFonts w:hint="default"/>
        <w:lang w:val="en-US" w:eastAsia="en-US" w:bidi="ar-SA"/>
      </w:rPr>
    </w:lvl>
  </w:abstractNum>
  <w:abstractNum w:abstractNumId="108" w15:restartNumberingAfterBreak="0">
    <w:nsid w:val="209522F0"/>
    <w:multiLevelType w:val="hybridMultilevel"/>
    <w:tmpl w:val="2590590E"/>
    <w:lvl w:ilvl="0" w:tplc="CC567F2E">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013A71F2">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D9D41B4A">
      <w:start w:val="1"/>
      <w:numFmt w:val="lowerRoman"/>
      <w:lvlText w:val="(%3)"/>
      <w:lvlJc w:val="left"/>
      <w:pPr>
        <w:ind w:left="1842" w:hanging="569"/>
      </w:pPr>
      <w:rPr>
        <w:rFonts w:ascii="Arial" w:eastAsia="Calibri" w:hAnsi="Arial" w:cs="Arial" w:hint="default"/>
        <w:spacing w:val="-1"/>
        <w:w w:val="100"/>
        <w:sz w:val="20"/>
        <w:szCs w:val="22"/>
        <w:lang w:val="en-US" w:eastAsia="en-US" w:bidi="ar-SA"/>
      </w:rPr>
    </w:lvl>
    <w:lvl w:ilvl="3" w:tplc="948AF770">
      <w:numFmt w:val="bullet"/>
      <w:lvlText w:val="•"/>
      <w:lvlJc w:val="left"/>
      <w:pPr>
        <w:ind w:left="2400" w:hanging="569"/>
      </w:pPr>
      <w:rPr>
        <w:rFonts w:hint="default"/>
        <w:lang w:val="en-US" w:eastAsia="en-US" w:bidi="ar-SA"/>
      </w:rPr>
    </w:lvl>
    <w:lvl w:ilvl="4" w:tplc="0EC02020">
      <w:numFmt w:val="bullet"/>
      <w:lvlText w:val="•"/>
      <w:lvlJc w:val="left"/>
      <w:pPr>
        <w:ind w:left="3395" w:hanging="569"/>
      </w:pPr>
      <w:rPr>
        <w:rFonts w:hint="default"/>
        <w:lang w:val="en-US" w:eastAsia="en-US" w:bidi="ar-SA"/>
      </w:rPr>
    </w:lvl>
    <w:lvl w:ilvl="5" w:tplc="E2649A46">
      <w:numFmt w:val="bullet"/>
      <w:lvlText w:val="•"/>
      <w:lvlJc w:val="left"/>
      <w:pPr>
        <w:ind w:left="4390" w:hanging="569"/>
      </w:pPr>
      <w:rPr>
        <w:rFonts w:hint="default"/>
        <w:lang w:val="en-US" w:eastAsia="en-US" w:bidi="ar-SA"/>
      </w:rPr>
    </w:lvl>
    <w:lvl w:ilvl="6" w:tplc="D930B9DE">
      <w:numFmt w:val="bullet"/>
      <w:lvlText w:val="•"/>
      <w:lvlJc w:val="left"/>
      <w:pPr>
        <w:ind w:left="5385" w:hanging="569"/>
      </w:pPr>
      <w:rPr>
        <w:rFonts w:hint="default"/>
        <w:lang w:val="en-US" w:eastAsia="en-US" w:bidi="ar-SA"/>
      </w:rPr>
    </w:lvl>
    <w:lvl w:ilvl="7" w:tplc="FD6A7A64">
      <w:numFmt w:val="bullet"/>
      <w:lvlText w:val="•"/>
      <w:lvlJc w:val="left"/>
      <w:pPr>
        <w:ind w:left="6380" w:hanging="569"/>
      </w:pPr>
      <w:rPr>
        <w:rFonts w:hint="default"/>
        <w:lang w:val="en-US" w:eastAsia="en-US" w:bidi="ar-SA"/>
      </w:rPr>
    </w:lvl>
    <w:lvl w:ilvl="8" w:tplc="BFFCAA36">
      <w:numFmt w:val="bullet"/>
      <w:lvlText w:val="•"/>
      <w:lvlJc w:val="left"/>
      <w:pPr>
        <w:ind w:left="7376" w:hanging="569"/>
      </w:pPr>
      <w:rPr>
        <w:rFonts w:hint="default"/>
        <w:lang w:val="en-US" w:eastAsia="en-US" w:bidi="ar-SA"/>
      </w:rPr>
    </w:lvl>
  </w:abstractNum>
  <w:abstractNum w:abstractNumId="109" w15:restartNumberingAfterBreak="0">
    <w:nsid w:val="20CD230E"/>
    <w:multiLevelType w:val="hybridMultilevel"/>
    <w:tmpl w:val="840AECF2"/>
    <w:lvl w:ilvl="0" w:tplc="929860E2">
      <w:start w:val="1"/>
      <w:numFmt w:val="lowerRoman"/>
      <w:lvlText w:val="(%1)"/>
      <w:lvlJc w:val="left"/>
      <w:pPr>
        <w:ind w:left="2408" w:hanging="567"/>
      </w:pPr>
      <w:rPr>
        <w:rFonts w:ascii="Arial" w:eastAsia="Calibri" w:hAnsi="Arial" w:cs="Arial" w:hint="default"/>
        <w:spacing w:val="-1"/>
        <w:w w:val="100"/>
        <w:sz w:val="20"/>
        <w:szCs w:val="22"/>
        <w:lang w:val="en-US" w:eastAsia="en-US" w:bidi="ar-SA"/>
      </w:rPr>
    </w:lvl>
    <w:lvl w:ilvl="1" w:tplc="88887052">
      <w:numFmt w:val="bullet"/>
      <w:lvlText w:val="•"/>
      <w:lvlJc w:val="left"/>
      <w:pPr>
        <w:ind w:left="3096" w:hanging="567"/>
      </w:pPr>
      <w:rPr>
        <w:rFonts w:hint="default"/>
        <w:lang w:val="en-US" w:eastAsia="en-US" w:bidi="ar-SA"/>
      </w:rPr>
    </w:lvl>
    <w:lvl w:ilvl="2" w:tplc="9070B3F0">
      <w:numFmt w:val="bullet"/>
      <w:lvlText w:val="•"/>
      <w:lvlJc w:val="left"/>
      <w:pPr>
        <w:ind w:left="3793" w:hanging="567"/>
      </w:pPr>
      <w:rPr>
        <w:rFonts w:hint="default"/>
        <w:lang w:val="en-US" w:eastAsia="en-US" w:bidi="ar-SA"/>
      </w:rPr>
    </w:lvl>
    <w:lvl w:ilvl="3" w:tplc="9CCCB19E">
      <w:numFmt w:val="bullet"/>
      <w:lvlText w:val="•"/>
      <w:lvlJc w:val="left"/>
      <w:pPr>
        <w:ind w:left="4489" w:hanging="567"/>
      </w:pPr>
      <w:rPr>
        <w:rFonts w:hint="default"/>
        <w:lang w:val="en-US" w:eastAsia="en-US" w:bidi="ar-SA"/>
      </w:rPr>
    </w:lvl>
    <w:lvl w:ilvl="4" w:tplc="8DDEFBCE">
      <w:numFmt w:val="bullet"/>
      <w:lvlText w:val="•"/>
      <w:lvlJc w:val="left"/>
      <w:pPr>
        <w:ind w:left="5186" w:hanging="567"/>
      </w:pPr>
      <w:rPr>
        <w:rFonts w:hint="default"/>
        <w:lang w:val="en-US" w:eastAsia="en-US" w:bidi="ar-SA"/>
      </w:rPr>
    </w:lvl>
    <w:lvl w:ilvl="5" w:tplc="906891DA">
      <w:numFmt w:val="bullet"/>
      <w:lvlText w:val="•"/>
      <w:lvlJc w:val="left"/>
      <w:pPr>
        <w:ind w:left="5883" w:hanging="567"/>
      </w:pPr>
      <w:rPr>
        <w:rFonts w:hint="default"/>
        <w:lang w:val="en-US" w:eastAsia="en-US" w:bidi="ar-SA"/>
      </w:rPr>
    </w:lvl>
    <w:lvl w:ilvl="6" w:tplc="DE446F5A">
      <w:numFmt w:val="bullet"/>
      <w:lvlText w:val="•"/>
      <w:lvlJc w:val="left"/>
      <w:pPr>
        <w:ind w:left="6579" w:hanging="567"/>
      </w:pPr>
      <w:rPr>
        <w:rFonts w:hint="default"/>
        <w:lang w:val="en-US" w:eastAsia="en-US" w:bidi="ar-SA"/>
      </w:rPr>
    </w:lvl>
    <w:lvl w:ilvl="7" w:tplc="3E06C074">
      <w:numFmt w:val="bullet"/>
      <w:lvlText w:val="•"/>
      <w:lvlJc w:val="left"/>
      <w:pPr>
        <w:ind w:left="7276" w:hanging="567"/>
      </w:pPr>
      <w:rPr>
        <w:rFonts w:hint="default"/>
        <w:lang w:val="en-US" w:eastAsia="en-US" w:bidi="ar-SA"/>
      </w:rPr>
    </w:lvl>
    <w:lvl w:ilvl="8" w:tplc="B3F8E444">
      <w:numFmt w:val="bullet"/>
      <w:lvlText w:val="•"/>
      <w:lvlJc w:val="left"/>
      <w:pPr>
        <w:ind w:left="7973" w:hanging="567"/>
      </w:pPr>
      <w:rPr>
        <w:rFonts w:hint="default"/>
        <w:lang w:val="en-US" w:eastAsia="en-US" w:bidi="ar-SA"/>
      </w:rPr>
    </w:lvl>
  </w:abstractNum>
  <w:abstractNum w:abstractNumId="110" w15:restartNumberingAfterBreak="0">
    <w:nsid w:val="21241B0A"/>
    <w:multiLevelType w:val="hybridMultilevel"/>
    <w:tmpl w:val="68DC5832"/>
    <w:lvl w:ilvl="0" w:tplc="D3B452A8">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BA0C2B6">
      <w:numFmt w:val="bullet"/>
      <w:lvlText w:val="•"/>
      <w:lvlJc w:val="left"/>
      <w:pPr>
        <w:ind w:left="1566" w:hanging="567"/>
      </w:pPr>
      <w:rPr>
        <w:rFonts w:hint="default"/>
        <w:lang w:val="en-US" w:eastAsia="en-US" w:bidi="ar-SA"/>
      </w:rPr>
    </w:lvl>
    <w:lvl w:ilvl="2" w:tplc="525C166A">
      <w:numFmt w:val="bullet"/>
      <w:lvlText w:val="•"/>
      <w:lvlJc w:val="left"/>
      <w:pPr>
        <w:ind w:left="2433" w:hanging="567"/>
      </w:pPr>
      <w:rPr>
        <w:rFonts w:hint="default"/>
        <w:lang w:val="en-US" w:eastAsia="en-US" w:bidi="ar-SA"/>
      </w:rPr>
    </w:lvl>
    <w:lvl w:ilvl="3" w:tplc="4FB678AA">
      <w:numFmt w:val="bullet"/>
      <w:lvlText w:val="•"/>
      <w:lvlJc w:val="left"/>
      <w:pPr>
        <w:ind w:left="3299" w:hanging="567"/>
      </w:pPr>
      <w:rPr>
        <w:rFonts w:hint="default"/>
        <w:lang w:val="en-US" w:eastAsia="en-US" w:bidi="ar-SA"/>
      </w:rPr>
    </w:lvl>
    <w:lvl w:ilvl="4" w:tplc="7A8E1D96">
      <w:numFmt w:val="bullet"/>
      <w:lvlText w:val="•"/>
      <w:lvlJc w:val="left"/>
      <w:pPr>
        <w:ind w:left="4166" w:hanging="567"/>
      </w:pPr>
      <w:rPr>
        <w:rFonts w:hint="default"/>
        <w:lang w:val="en-US" w:eastAsia="en-US" w:bidi="ar-SA"/>
      </w:rPr>
    </w:lvl>
    <w:lvl w:ilvl="5" w:tplc="69AEBB8C">
      <w:numFmt w:val="bullet"/>
      <w:lvlText w:val="•"/>
      <w:lvlJc w:val="left"/>
      <w:pPr>
        <w:ind w:left="5033" w:hanging="567"/>
      </w:pPr>
      <w:rPr>
        <w:rFonts w:hint="default"/>
        <w:lang w:val="en-US" w:eastAsia="en-US" w:bidi="ar-SA"/>
      </w:rPr>
    </w:lvl>
    <w:lvl w:ilvl="6" w:tplc="63066306">
      <w:numFmt w:val="bullet"/>
      <w:lvlText w:val="•"/>
      <w:lvlJc w:val="left"/>
      <w:pPr>
        <w:ind w:left="5899" w:hanging="567"/>
      </w:pPr>
      <w:rPr>
        <w:rFonts w:hint="default"/>
        <w:lang w:val="en-US" w:eastAsia="en-US" w:bidi="ar-SA"/>
      </w:rPr>
    </w:lvl>
    <w:lvl w:ilvl="7" w:tplc="699886F8">
      <w:numFmt w:val="bullet"/>
      <w:lvlText w:val="•"/>
      <w:lvlJc w:val="left"/>
      <w:pPr>
        <w:ind w:left="6766" w:hanging="567"/>
      </w:pPr>
      <w:rPr>
        <w:rFonts w:hint="default"/>
        <w:lang w:val="en-US" w:eastAsia="en-US" w:bidi="ar-SA"/>
      </w:rPr>
    </w:lvl>
    <w:lvl w:ilvl="8" w:tplc="3894D1DC">
      <w:numFmt w:val="bullet"/>
      <w:lvlText w:val="•"/>
      <w:lvlJc w:val="left"/>
      <w:pPr>
        <w:ind w:left="7633" w:hanging="567"/>
      </w:pPr>
      <w:rPr>
        <w:rFonts w:hint="default"/>
        <w:lang w:val="en-US" w:eastAsia="en-US" w:bidi="ar-SA"/>
      </w:rPr>
    </w:lvl>
  </w:abstractNum>
  <w:abstractNum w:abstractNumId="111" w15:restartNumberingAfterBreak="0">
    <w:nsid w:val="2128286D"/>
    <w:multiLevelType w:val="hybridMultilevel"/>
    <w:tmpl w:val="84CE6AC8"/>
    <w:lvl w:ilvl="0" w:tplc="F1945D5C">
      <w:start w:val="1"/>
      <w:numFmt w:val="lowerRoman"/>
      <w:lvlText w:val="(%1)"/>
      <w:lvlJc w:val="left"/>
      <w:pPr>
        <w:ind w:left="2408" w:hanging="567"/>
      </w:pPr>
      <w:rPr>
        <w:rFonts w:ascii="Arial" w:eastAsia="Calibri" w:hAnsi="Arial" w:cs="Arial" w:hint="default"/>
        <w:spacing w:val="-1"/>
        <w:w w:val="100"/>
        <w:sz w:val="20"/>
        <w:szCs w:val="22"/>
        <w:lang w:val="en-US" w:eastAsia="en-US" w:bidi="ar-SA"/>
      </w:rPr>
    </w:lvl>
    <w:lvl w:ilvl="1" w:tplc="99D4D770">
      <w:numFmt w:val="bullet"/>
      <w:lvlText w:val="•"/>
      <w:lvlJc w:val="left"/>
      <w:pPr>
        <w:ind w:left="3096" w:hanging="567"/>
      </w:pPr>
      <w:rPr>
        <w:rFonts w:hint="default"/>
        <w:lang w:val="en-US" w:eastAsia="en-US" w:bidi="ar-SA"/>
      </w:rPr>
    </w:lvl>
    <w:lvl w:ilvl="2" w:tplc="A0B4ACD2">
      <w:numFmt w:val="bullet"/>
      <w:lvlText w:val="•"/>
      <w:lvlJc w:val="left"/>
      <w:pPr>
        <w:ind w:left="3793" w:hanging="567"/>
      </w:pPr>
      <w:rPr>
        <w:rFonts w:hint="default"/>
        <w:lang w:val="en-US" w:eastAsia="en-US" w:bidi="ar-SA"/>
      </w:rPr>
    </w:lvl>
    <w:lvl w:ilvl="3" w:tplc="848C65C2">
      <w:numFmt w:val="bullet"/>
      <w:lvlText w:val="•"/>
      <w:lvlJc w:val="left"/>
      <w:pPr>
        <w:ind w:left="4489" w:hanging="567"/>
      </w:pPr>
      <w:rPr>
        <w:rFonts w:hint="default"/>
        <w:lang w:val="en-US" w:eastAsia="en-US" w:bidi="ar-SA"/>
      </w:rPr>
    </w:lvl>
    <w:lvl w:ilvl="4" w:tplc="36827C5C">
      <w:numFmt w:val="bullet"/>
      <w:lvlText w:val="•"/>
      <w:lvlJc w:val="left"/>
      <w:pPr>
        <w:ind w:left="5186" w:hanging="567"/>
      </w:pPr>
      <w:rPr>
        <w:rFonts w:hint="default"/>
        <w:lang w:val="en-US" w:eastAsia="en-US" w:bidi="ar-SA"/>
      </w:rPr>
    </w:lvl>
    <w:lvl w:ilvl="5" w:tplc="536E1AE8">
      <w:numFmt w:val="bullet"/>
      <w:lvlText w:val="•"/>
      <w:lvlJc w:val="left"/>
      <w:pPr>
        <w:ind w:left="5883" w:hanging="567"/>
      </w:pPr>
      <w:rPr>
        <w:rFonts w:hint="default"/>
        <w:lang w:val="en-US" w:eastAsia="en-US" w:bidi="ar-SA"/>
      </w:rPr>
    </w:lvl>
    <w:lvl w:ilvl="6" w:tplc="7B666E54">
      <w:numFmt w:val="bullet"/>
      <w:lvlText w:val="•"/>
      <w:lvlJc w:val="left"/>
      <w:pPr>
        <w:ind w:left="6579" w:hanging="567"/>
      </w:pPr>
      <w:rPr>
        <w:rFonts w:hint="default"/>
        <w:lang w:val="en-US" w:eastAsia="en-US" w:bidi="ar-SA"/>
      </w:rPr>
    </w:lvl>
    <w:lvl w:ilvl="7" w:tplc="F6E07AC2">
      <w:numFmt w:val="bullet"/>
      <w:lvlText w:val="•"/>
      <w:lvlJc w:val="left"/>
      <w:pPr>
        <w:ind w:left="7276" w:hanging="567"/>
      </w:pPr>
      <w:rPr>
        <w:rFonts w:hint="default"/>
        <w:lang w:val="en-US" w:eastAsia="en-US" w:bidi="ar-SA"/>
      </w:rPr>
    </w:lvl>
    <w:lvl w:ilvl="8" w:tplc="F1C6DD3E">
      <w:numFmt w:val="bullet"/>
      <w:lvlText w:val="•"/>
      <w:lvlJc w:val="left"/>
      <w:pPr>
        <w:ind w:left="7973" w:hanging="567"/>
      </w:pPr>
      <w:rPr>
        <w:rFonts w:hint="default"/>
        <w:lang w:val="en-US" w:eastAsia="en-US" w:bidi="ar-SA"/>
      </w:rPr>
    </w:lvl>
  </w:abstractNum>
  <w:abstractNum w:abstractNumId="112" w15:restartNumberingAfterBreak="0">
    <w:nsid w:val="21C12536"/>
    <w:multiLevelType w:val="hybridMultilevel"/>
    <w:tmpl w:val="2E169156"/>
    <w:lvl w:ilvl="0" w:tplc="90662542">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28C44BAA">
      <w:numFmt w:val="bullet"/>
      <w:lvlText w:val="—"/>
      <w:lvlJc w:val="left"/>
      <w:pPr>
        <w:ind w:left="1275" w:hanging="569"/>
      </w:pPr>
      <w:rPr>
        <w:rFonts w:ascii="Arial" w:eastAsia="Calibri" w:hAnsi="Arial" w:cs="Arial" w:hint="default"/>
        <w:w w:val="100"/>
        <w:sz w:val="20"/>
        <w:szCs w:val="22"/>
        <w:lang w:val="en-US" w:eastAsia="en-US" w:bidi="ar-SA"/>
      </w:rPr>
    </w:lvl>
    <w:lvl w:ilvl="2" w:tplc="3B5A3FF4">
      <w:numFmt w:val="bullet"/>
      <w:lvlText w:val="•"/>
      <w:lvlJc w:val="left"/>
      <w:pPr>
        <w:ind w:left="2178" w:hanging="569"/>
      </w:pPr>
      <w:rPr>
        <w:lang w:val="en-US" w:eastAsia="en-US" w:bidi="ar-SA"/>
      </w:rPr>
    </w:lvl>
    <w:lvl w:ilvl="3" w:tplc="074E7498">
      <w:numFmt w:val="bullet"/>
      <w:lvlText w:val="•"/>
      <w:lvlJc w:val="left"/>
      <w:pPr>
        <w:ind w:left="3076" w:hanging="569"/>
      </w:pPr>
      <w:rPr>
        <w:lang w:val="en-US" w:eastAsia="en-US" w:bidi="ar-SA"/>
      </w:rPr>
    </w:lvl>
    <w:lvl w:ilvl="4" w:tplc="6FB62926">
      <w:numFmt w:val="bullet"/>
      <w:lvlText w:val="•"/>
      <w:lvlJc w:val="left"/>
      <w:pPr>
        <w:ind w:left="3975" w:hanging="569"/>
      </w:pPr>
      <w:rPr>
        <w:lang w:val="en-US" w:eastAsia="en-US" w:bidi="ar-SA"/>
      </w:rPr>
    </w:lvl>
    <w:lvl w:ilvl="5" w:tplc="02D2A90C">
      <w:numFmt w:val="bullet"/>
      <w:lvlText w:val="•"/>
      <w:lvlJc w:val="left"/>
      <w:pPr>
        <w:ind w:left="4873" w:hanging="569"/>
      </w:pPr>
      <w:rPr>
        <w:lang w:val="en-US" w:eastAsia="en-US" w:bidi="ar-SA"/>
      </w:rPr>
    </w:lvl>
    <w:lvl w:ilvl="6" w:tplc="DF7C509C">
      <w:numFmt w:val="bullet"/>
      <w:lvlText w:val="•"/>
      <w:lvlJc w:val="left"/>
      <w:pPr>
        <w:ind w:left="5772" w:hanging="569"/>
      </w:pPr>
      <w:rPr>
        <w:lang w:val="en-US" w:eastAsia="en-US" w:bidi="ar-SA"/>
      </w:rPr>
    </w:lvl>
    <w:lvl w:ilvl="7" w:tplc="CDA6E33C">
      <w:numFmt w:val="bullet"/>
      <w:lvlText w:val="•"/>
      <w:lvlJc w:val="left"/>
      <w:pPr>
        <w:ind w:left="6670" w:hanging="569"/>
      </w:pPr>
      <w:rPr>
        <w:lang w:val="en-US" w:eastAsia="en-US" w:bidi="ar-SA"/>
      </w:rPr>
    </w:lvl>
    <w:lvl w:ilvl="8" w:tplc="182C8DC0">
      <w:numFmt w:val="bullet"/>
      <w:lvlText w:val="•"/>
      <w:lvlJc w:val="left"/>
      <w:pPr>
        <w:ind w:left="7569" w:hanging="569"/>
      </w:pPr>
      <w:rPr>
        <w:lang w:val="en-US" w:eastAsia="en-US" w:bidi="ar-SA"/>
      </w:rPr>
    </w:lvl>
  </w:abstractNum>
  <w:abstractNum w:abstractNumId="113" w15:restartNumberingAfterBreak="0">
    <w:nsid w:val="230A5F21"/>
    <w:multiLevelType w:val="hybridMultilevel"/>
    <w:tmpl w:val="1ABE5A94"/>
    <w:lvl w:ilvl="0" w:tplc="69BAA4AC">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695A3EBE">
      <w:numFmt w:val="bullet"/>
      <w:lvlText w:val="•"/>
      <w:lvlJc w:val="left"/>
      <w:pPr>
        <w:ind w:left="1566" w:hanging="567"/>
      </w:pPr>
      <w:rPr>
        <w:rFonts w:hint="default"/>
        <w:lang w:val="en-US" w:eastAsia="en-US" w:bidi="ar-SA"/>
      </w:rPr>
    </w:lvl>
    <w:lvl w:ilvl="2" w:tplc="73EED840">
      <w:numFmt w:val="bullet"/>
      <w:lvlText w:val="•"/>
      <w:lvlJc w:val="left"/>
      <w:pPr>
        <w:ind w:left="2433" w:hanging="567"/>
      </w:pPr>
      <w:rPr>
        <w:rFonts w:hint="default"/>
        <w:lang w:val="en-US" w:eastAsia="en-US" w:bidi="ar-SA"/>
      </w:rPr>
    </w:lvl>
    <w:lvl w:ilvl="3" w:tplc="A492E04C">
      <w:numFmt w:val="bullet"/>
      <w:lvlText w:val="•"/>
      <w:lvlJc w:val="left"/>
      <w:pPr>
        <w:ind w:left="3299" w:hanging="567"/>
      </w:pPr>
      <w:rPr>
        <w:rFonts w:hint="default"/>
        <w:lang w:val="en-US" w:eastAsia="en-US" w:bidi="ar-SA"/>
      </w:rPr>
    </w:lvl>
    <w:lvl w:ilvl="4" w:tplc="7EEA68B8">
      <w:numFmt w:val="bullet"/>
      <w:lvlText w:val="•"/>
      <w:lvlJc w:val="left"/>
      <w:pPr>
        <w:ind w:left="4166" w:hanging="567"/>
      </w:pPr>
      <w:rPr>
        <w:rFonts w:hint="default"/>
        <w:lang w:val="en-US" w:eastAsia="en-US" w:bidi="ar-SA"/>
      </w:rPr>
    </w:lvl>
    <w:lvl w:ilvl="5" w:tplc="ED86D78C">
      <w:numFmt w:val="bullet"/>
      <w:lvlText w:val="•"/>
      <w:lvlJc w:val="left"/>
      <w:pPr>
        <w:ind w:left="5033" w:hanging="567"/>
      </w:pPr>
      <w:rPr>
        <w:rFonts w:hint="default"/>
        <w:lang w:val="en-US" w:eastAsia="en-US" w:bidi="ar-SA"/>
      </w:rPr>
    </w:lvl>
    <w:lvl w:ilvl="6" w:tplc="C5DE4AD2">
      <w:numFmt w:val="bullet"/>
      <w:lvlText w:val="•"/>
      <w:lvlJc w:val="left"/>
      <w:pPr>
        <w:ind w:left="5899" w:hanging="567"/>
      </w:pPr>
      <w:rPr>
        <w:rFonts w:hint="default"/>
        <w:lang w:val="en-US" w:eastAsia="en-US" w:bidi="ar-SA"/>
      </w:rPr>
    </w:lvl>
    <w:lvl w:ilvl="7" w:tplc="DE20269C">
      <w:numFmt w:val="bullet"/>
      <w:lvlText w:val="•"/>
      <w:lvlJc w:val="left"/>
      <w:pPr>
        <w:ind w:left="6766" w:hanging="567"/>
      </w:pPr>
      <w:rPr>
        <w:rFonts w:hint="default"/>
        <w:lang w:val="en-US" w:eastAsia="en-US" w:bidi="ar-SA"/>
      </w:rPr>
    </w:lvl>
    <w:lvl w:ilvl="8" w:tplc="899A7A0A">
      <w:numFmt w:val="bullet"/>
      <w:lvlText w:val="•"/>
      <w:lvlJc w:val="left"/>
      <w:pPr>
        <w:ind w:left="7633" w:hanging="567"/>
      </w:pPr>
      <w:rPr>
        <w:rFonts w:hint="default"/>
        <w:lang w:val="en-US" w:eastAsia="en-US" w:bidi="ar-SA"/>
      </w:rPr>
    </w:lvl>
  </w:abstractNum>
  <w:abstractNum w:abstractNumId="114" w15:restartNumberingAfterBreak="0">
    <w:nsid w:val="233D2029"/>
    <w:multiLevelType w:val="hybridMultilevel"/>
    <w:tmpl w:val="ED1A8E4E"/>
    <w:lvl w:ilvl="0" w:tplc="3F2E25BE">
      <w:start w:val="1"/>
      <w:numFmt w:val="decimal"/>
      <w:lvlText w:val="(%1)"/>
      <w:lvlJc w:val="left"/>
      <w:pPr>
        <w:ind w:left="1273" w:hanging="567"/>
      </w:pPr>
      <w:rPr>
        <w:rFonts w:ascii="Arial" w:eastAsia="Calibri" w:hAnsi="Arial" w:cs="Arial" w:hint="default"/>
        <w:spacing w:val="-1"/>
        <w:w w:val="100"/>
        <w:sz w:val="20"/>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235D52F1"/>
    <w:multiLevelType w:val="hybridMultilevel"/>
    <w:tmpl w:val="56FC9AF4"/>
    <w:lvl w:ilvl="0" w:tplc="0D549C82">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43FED9E4">
      <w:numFmt w:val="bullet"/>
      <w:lvlText w:val="•"/>
      <w:lvlJc w:val="left"/>
      <w:pPr>
        <w:ind w:left="1566" w:hanging="567"/>
      </w:pPr>
      <w:rPr>
        <w:rFonts w:hint="default"/>
        <w:lang w:val="en-US" w:eastAsia="en-US" w:bidi="ar-SA"/>
      </w:rPr>
    </w:lvl>
    <w:lvl w:ilvl="2" w:tplc="98BE26D2">
      <w:numFmt w:val="bullet"/>
      <w:lvlText w:val="•"/>
      <w:lvlJc w:val="left"/>
      <w:pPr>
        <w:ind w:left="2433" w:hanging="567"/>
      </w:pPr>
      <w:rPr>
        <w:rFonts w:hint="default"/>
        <w:lang w:val="en-US" w:eastAsia="en-US" w:bidi="ar-SA"/>
      </w:rPr>
    </w:lvl>
    <w:lvl w:ilvl="3" w:tplc="9C5C1362">
      <w:numFmt w:val="bullet"/>
      <w:lvlText w:val="•"/>
      <w:lvlJc w:val="left"/>
      <w:pPr>
        <w:ind w:left="3299" w:hanging="567"/>
      </w:pPr>
      <w:rPr>
        <w:rFonts w:hint="default"/>
        <w:lang w:val="en-US" w:eastAsia="en-US" w:bidi="ar-SA"/>
      </w:rPr>
    </w:lvl>
    <w:lvl w:ilvl="4" w:tplc="FCEC8AF4">
      <w:numFmt w:val="bullet"/>
      <w:lvlText w:val="•"/>
      <w:lvlJc w:val="left"/>
      <w:pPr>
        <w:ind w:left="4166" w:hanging="567"/>
      </w:pPr>
      <w:rPr>
        <w:rFonts w:hint="default"/>
        <w:lang w:val="en-US" w:eastAsia="en-US" w:bidi="ar-SA"/>
      </w:rPr>
    </w:lvl>
    <w:lvl w:ilvl="5" w:tplc="477EFE7A">
      <w:numFmt w:val="bullet"/>
      <w:lvlText w:val="•"/>
      <w:lvlJc w:val="left"/>
      <w:pPr>
        <w:ind w:left="5033" w:hanging="567"/>
      </w:pPr>
      <w:rPr>
        <w:rFonts w:hint="default"/>
        <w:lang w:val="en-US" w:eastAsia="en-US" w:bidi="ar-SA"/>
      </w:rPr>
    </w:lvl>
    <w:lvl w:ilvl="6" w:tplc="40C08888">
      <w:numFmt w:val="bullet"/>
      <w:lvlText w:val="•"/>
      <w:lvlJc w:val="left"/>
      <w:pPr>
        <w:ind w:left="5899" w:hanging="567"/>
      </w:pPr>
      <w:rPr>
        <w:rFonts w:hint="default"/>
        <w:lang w:val="en-US" w:eastAsia="en-US" w:bidi="ar-SA"/>
      </w:rPr>
    </w:lvl>
    <w:lvl w:ilvl="7" w:tplc="3146AE80">
      <w:numFmt w:val="bullet"/>
      <w:lvlText w:val="•"/>
      <w:lvlJc w:val="left"/>
      <w:pPr>
        <w:ind w:left="6766" w:hanging="567"/>
      </w:pPr>
      <w:rPr>
        <w:rFonts w:hint="default"/>
        <w:lang w:val="en-US" w:eastAsia="en-US" w:bidi="ar-SA"/>
      </w:rPr>
    </w:lvl>
    <w:lvl w:ilvl="8" w:tplc="033464F6">
      <w:numFmt w:val="bullet"/>
      <w:lvlText w:val="•"/>
      <w:lvlJc w:val="left"/>
      <w:pPr>
        <w:ind w:left="7633" w:hanging="567"/>
      </w:pPr>
      <w:rPr>
        <w:rFonts w:hint="default"/>
        <w:lang w:val="en-US" w:eastAsia="en-US" w:bidi="ar-SA"/>
      </w:rPr>
    </w:lvl>
  </w:abstractNum>
  <w:abstractNum w:abstractNumId="116" w15:restartNumberingAfterBreak="0">
    <w:nsid w:val="23937863"/>
    <w:multiLevelType w:val="hybridMultilevel"/>
    <w:tmpl w:val="E878FB26"/>
    <w:lvl w:ilvl="0" w:tplc="A0C8A682">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DD46457E">
      <w:numFmt w:val="bullet"/>
      <w:lvlText w:val="•"/>
      <w:lvlJc w:val="left"/>
      <w:pPr>
        <w:ind w:left="1566" w:hanging="567"/>
      </w:pPr>
      <w:rPr>
        <w:rFonts w:hint="default"/>
        <w:lang w:val="en-US" w:eastAsia="en-US" w:bidi="ar-SA"/>
      </w:rPr>
    </w:lvl>
    <w:lvl w:ilvl="2" w:tplc="3EEC56F8">
      <w:numFmt w:val="bullet"/>
      <w:lvlText w:val="•"/>
      <w:lvlJc w:val="left"/>
      <w:pPr>
        <w:ind w:left="2433" w:hanging="567"/>
      </w:pPr>
      <w:rPr>
        <w:rFonts w:hint="default"/>
        <w:lang w:val="en-US" w:eastAsia="en-US" w:bidi="ar-SA"/>
      </w:rPr>
    </w:lvl>
    <w:lvl w:ilvl="3" w:tplc="D61A3E90">
      <w:numFmt w:val="bullet"/>
      <w:lvlText w:val="•"/>
      <w:lvlJc w:val="left"/>
      <w:pPr>
        <w:ind w:left="3299" w:hanging="567"/>
      </w:pPr>
      <w:rPr>
        <w:rFonts w:hint="default"/>
        <w:lang w:val="en-US" w:eastAsia="en-US" w:bidi="ar-SA"/>
      </w:rPr>
    </w:lvl>
    <w:lvl w:ilvl="4" w:tplc="A62C775C">
      <w:numFmt w:val="bullet"/>
      <w:lvlText w:val="•"/>
      <w:lvlJc w:val="left"/>
      <w:pPr>
        <w:ind w:left="4166" w:hanging="567"/>
      </w:pPr>
      <w:rPr>
        <w:rFonts w:hint="default"/>
        <w:lang w:val="en-US" w:eastAsia="en-US" w:bidi="ar-SA"/>
      </w:rPr>
    </w:lvl>
    <w:lvl w:ilvl="5" w:tplc="789671E6">
      <w:numFmt w:val="bullet"/>
      <w:lvlText w:val="•"/>
      <w:lvlJc w:val="left"/>
      <w:pPr>
        <w:ind w:left="5033" w:hanging="567"/>
      </w:pPr>
      <w:rPr>
        <w:rFonts w:hint="default"/>
        <w:lang w:val="en-US" w:eastAsia="en-US" w:bidi="ar-SA"/>
      </w:rPr>
    </w:lvl>
    <w:lvl w:ilvl="6" w:tplc="EABE0320">
      <w:numFmt w:val="bullet"/>
      <w:lvlText w:val="•"/>
      <w:lvlJc w:val="left"/>
      <w:pPr>
        <w:ind w:left="5899" w:hanging="567"/>
      </w:pPr>
      <w:rPr>
        <w:rFonts w:hint="default"/>
        <w:lang w:val="en-US" w:eastAsia="en-US" w:bidi="ar-SA"/>
      </w:rPr>
    </w:lvl>
    <w:lvl w:ilvl="7" w:tplc="2D36DEC6">
      <w:numFmt w:val="bullet"/>
      <w:lvlText w:val="•"/>
      <w:lvlJc w:val="left"/>
      <w:pPr>
        <w:ind w:left="6766" w:hanging="567"/>
      </w:pPr>
      <w:rPr>
        <w:rFonts w:hint="default"/>
        <w:lang w:val="en-US" w:eastAsia="en-US" w:bidi="ar-SA"/>
      </w:rPr>
    </w:lvl>
    <w:lvl w:ilvl="8" w:tplc="EB26BCCA">
      <w:numFmt w:val="bullet"/>
      <w:lvlText w:val="•"/>
      <w:lvlJc w:val="left"/>
      <w:pPr>
        <w:ind w:left="7633" w:hanging="567"/>
      </w:pPr>
      <w:rPr>
        <w:rFonts w:hint="default"/>
        <w:lang w:val="en-US" w:eastAsia="en-US" w:bidi="ar-SA"/>
      </w:rPr>
    </w:lvl>
  </w:abstractNum>
  <w:abstractNum w:abstractNumId="117" w15:restartNumberingAfterBreak="0">
    <w:nsid w:val="239D0138"/>
    <w:multiLevelType w:val="hybridMultilevel"/>
    <w:tmpl w:val="342AB11C"/>
    <w:lvl w:ilvl="0" w:tplc="EEA6F3B8">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BF92BBCC">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62D8500E">
      <w:start w:val="1"/>
      <w:numFmt w:val="lowerRoman"/>
      <w:lvlText w:val="(%3)"/>
      <w:lvlJc w:val="left"/>
      <w:pPr>
        <w:ind w:left="1842" w:hanging="569"/>
      </w:pPr>
      <w:rPr>
        <w:rFonts w:ascii="Arial" w:eastAsia="Calibri" w:hAnsi="Arial" w:cs="Arial" w:hint="default"/>
        <w:spacing w:val="-1"/>
        <w:w w:val="100"/>
        <w:sz w:val="20"/>
        <w:szCs w:val="22"/>
        <w:lang w:val="en-US" w:eastAsia="en-US" w:bidi="ar-SA"/>
      </w:rPr>
    </w:lvl>
    <w:lvl w:ilvl="3" w:tplc="810C185E">
      <w:start w:val="1"/>
      <w:numFmt w:val="upperLetter"/>
      <w:lvlText w:val="(%4)"/>
      <w:lvlJc w:val="left"/>
      <w:pPr>
        <w:ind w:left="2408" w:hanging="567"/>
      </w:pPr>
      <w:rPr>
        <w:rFonts w:ascii="Arial" w:eastAsia="Calibri" w:hAnsi="Arial" w:cs="Arial" w:hint="default"/>
        <w:spacing w:val="-1"/>
        <w:w w:val="100"/>
        <w:sz w:val="20"/>
        <w:szCs w:val="22"/>
        <w:lang w:val="en-US" w:eastAsia="en-US" w:bidi="ar-SA"/>
      </w:rPr>
    </w:lvl>
    <w:lvl w:ilvl="4" w:tplc="EE62E7E4">
      <w:start w:val="1"/>
      <w:numFmt w:val="lowerLetter"/>
      <w:lvlText w:val="(%5)"/>
      <w:lvlJc w:val="left"/>
      <w:pPr>
        <w:ind w:left="2975" w:hanging="567"/>
      </w:pPr>
      <w:rPr>
        <w:rFonts w:ascii="Arial" w:eastAsia="Calibri" w:hAnsi="Arial" w:cs="Arial" w:hint="default"/>
        <w:spacing w:val="-1"/>
        <w:w w:val="100"/>
        <w:sz w:val="20"/>
        <w:szCs w:val="22"/>
        <w:lang w:val="en-US" w:eastAsia="en-US" w:bidi="ar-SA"/>
      </w:rPr>
    </w:lvl>
    <w:lvl w:ilvl="5" w:tplc="FB266582">
      <w:numFmt w:val="bullet"/>
      <w:lvlText w:val="•"/>
      <w:lvlJc w:val="left"/>
      <w:pPr>
        <w:ind w:left="2747" w:hanging="567"/>
      </w:pPr>
      <w:rPr>
        <w:rFonts w:hint="default"/>
        <w:lang w:val="en-US" w:eastAsia="en-US" w:bidi="ar-SA"/>
      </w:rPr>
    </w:lvl>
    <w:lvl w:ilvl="6" w:tplc="9AA2BA4E">
      <w:numFmt w:val="bullet"/>
      <w:lvlText w:val="•"/>
      <w:lvlJc w:val="left"/>
      <w:pPr>
        <w:ind w:left="2514" w:hanging="567"/>
      </w:pPr>
      <w:rPr>
        <w:rFonts w:hint="default"/>
        <w:lang w:val="en-US" w:eastAsia="en-US" w:bidi="ar-SA"/>
      </w:rPr>
    </w:lvl>
    <w:lvl w:ilvl="7" w:tplc="F882202C">
      <w:numFmt w:val="bullet"/>
      <w:lvlText w:val="•"/>
      <w:lvlJc w:val="left"/>
      <w:pPr>
        <w:ind w:left="2281" w:hanging="567"/>
      </w:pPr>
      <w:rPr>
        <w:rFonts w:hint="default"/>
        <w:lang w:val="en-US" w:eastAsia="en-US" w:bidi="ar-SA"/>
      </w:rPr>
    </w:lvl>
    <w:lvl w:ilvl="8" w:tplc="7AFA27E2">
      <w:numFmt w:val="bullet"/>
      <w:lvlText w:val="•"/>
      <w:lvlJc w:val="left"/>
      <w:pPr>
        <w:ind w:left="2048" w:hanging="567"/>
      </w:pPr>
      <w:rPr>
        <w:rFonts w:hint="default"/>
        <w:lang w:val="en-US" w:eastAsia="en-US" w:bidi="ar-SA"/>
      </w:rPr>
    </w:lvl>
  </w:abstractNum>
  <w:abstractNum w:abstractNumId="118" w15:restartNumberingAfterBreak="0">
    <w:nsid w:val="2414560A"/>
    <w:multiLevelType w:val="hybridMultilevel"/>
    <w:tmpl w:val="743EFDEA"/>
    <w:lvl w:ilvl="0" w:tplc="C6BA5CF8">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1546781C">
      <w:numFmt w:val="bullet"/>
      <w:lvlText w:val="•"/>
      <w:lvlJc w:val="left"/>
      <w:pPr>
        <w:ind w:left="1566" w:hanging="567"/>
      </w:pPr>
      <w:rPr>
        <w:rFonts w:hint="default"/>
        <w:lang w:val="en-US" w:eastAsia="en-US" w:bidi="ar-SA"/>
      </w:rPr>
    </w:lvl>
    <w:lvl w:ilvl="2" w:tplc="6E9CF244">
      <w:numFmt w:val="bullet"/>
      <w:lvlText w:val="•"/>
      <w:lvlJc w:val="left"/>
      <w:pPr>
        <w:ind w:left="2433" w:hanging="567"/>
      </w:pPr>
      <w:rPr>
        <w:rFonts w:hint="default"/>
        <w:lang w:val="en-US" w:eastAsia="en-US" w:bidi="ar-SA"/>
      </w:rPr>
    </w:lvl>
    <w:lvl w:ilvl="3" w:tplc="CB60D0D4">
      <w:numFmt w:val="bullet"/>
      <w:lvlText w:val="•"/>
      <w:lvlJc w:val="left"/>
      <w:pPr>
        <w:ind w:left="3299" w:hanging="567"/>
      </w:pPr>
      <w:rPr>
        <w:rFonts w:hint="default"/>
        <w:lang w:val="en-US" w:eastAsia="en-US" w:bidi="ar-SA"/>
      </w:rPr>
    </w:lvl>
    <w:lvl w:ilvl="4" w:tplc="D822232E">
      <w:numFmt w:val="bullet"/>
      <w:lvlText w:val="•"/>
      <w:lvlJc w:val="left"/>
      <w:pPr>
        <w:ind w:left="4166" w:hanging="567"/>
      </w:pPr>
      <w:rPr>
        <w:rFonts w:hint="default"/>
        <w:lang w:val="en-US" w:eastAsia="en-US" w:bidi="ar-SA"/>
      </w:rPr>
    </w:lvl>
    <w:lvl w:ilvl="5" w:tplc="219A6BDA">
      <w:numFmt w:val="bullet"/>
      <w:lvlText w:val="•"/>
      <w:lvlJc w:val="left"/>
      <w:pPr>
        <w:ind w:left="5033" w:hanging="567"/>
      </w:pPr>
      <w:rPr>
        <w:rFonts w:hint="default"/>
        <w:lang w:val="en-US" w:eastAsia="en-US" w:bidi="ar-SA"/>
      </w:rPr>
    </w:lvl>
    <w:lvl w:ilvl="6" w:tplc="1BF296AA">
      <w:numFmt w:val="bullet"/>
      <w:lvlText w:val="•"/>
      <w:lvlJc w:val="left"/>
      <w:pPr>
        <w:ind w:left="5899" w:hanging="567"/>
      </w:pPr>
      <w:rPr>
        <w:rFonts w:hint="default"/>
        <w:lang w:val="en-US" w:eastAsia="en-US" w:bidi="ar-SA"/>
      </w:rPr>
    </w:lvl>
    <w:lvl w:ilvl="7" w:tplc="77E4CE2C">
      <w:numFmt w:val="bullet"/>
      <w:lvlText w:val="•"/>
      <w:lvlJc w:val="left"/>
      <w:pPr>
        <w:ind w:left="6766" w:hanging="567"/>
      </w:pPr>
      <w:rPr>
        <w:rFonts w:hint="default"/>
        <w:lang w:val="en-US" w:eastAsia="en-US" w:bidi="ar-SA"/>
      </w:rPr>
    </w:lvl>
    <w:lvl w:ilvl="8" w:tplc="1366819C">
      <w:numFmt w:val="bullet"/>
      <w:lvlText w:val="•"/>
      <w:lvlJc w:val="left"/>
      <w:pPr>
        <w:ind w:left="7633" w:hanging="567"/>
      </w:pPr>
      <w:rPr>
        <w:rFonts w:hint="default"/>
        <w:lang w:val="en-US" w:eastAsia="en-US" w:bidi="ar-SA"/>
      </w:rPr>
    </w:lvl>
  </w:abstractNum>
  <w:abstractNum w:abstractNumId="119" w15:restartNumberingAfterBreak="0">
    <w:nsid w:val="24644BB2"/>
    <w:multiLevelType w:val="hybridMultilevel"/>
    <w:tmpl w:val="D2EA1156"/>
    <w:lvl w:ilvl="0" w:tplc="5D8AECE4">
      <w:start w:val="1"/>
      <w:numFmt w:val="lowerLetter"/>
      <w:lvlText w:val="(%1)"/>
      <w:lvlJc w:val="left"/>
      <w:pPr>
        <w:ind w:left="567" w:hanging="567"/>
      </w:pPr>
      <w:rPr>
        <w:rFonts w:ascii="Arial" w:eastAsia="Calibri" w:hAnsi="Arial" w:cs="Arial" w:hint="default"/>
        <w:spacing w:val="-1"/>
        <w:w w:val="100"/>
        <w:sz w:val="20"/>
        <w:szCs w:val="22"/>
        <w:lang w:val="en-US" w:eastAsia="en-US" w:bidi="ar-SA"/>
      </w:rPr>
    </w:lvl>
    <w:lvl w:ilvl="1" w:tplc="6BDC60C2">
      <w:numFmt w:val="bullet"/>
      <w:lvlText w:val="•"/>
      <w:lvlJc w:val="left"/>
      <w:pPr>
        <w:ind w:left="1427" w:hanging="567"/>
      </w:pPr>
      <w:rPr>
        <w:rFonts w:hint="default"/>
        <w:lang w:val="en-US" w:eastAsia="en-US" w:bidi="ar-SA"/>
      </w:rPr>
    </w:lvl>
    <w:lvl w:ilvl="2" w:tplc="5618593C">
      <w:numFmt w:val="bullet"/>
      <w:lvlText w:val="•"/>
      <w:lvlJc w:val="left"/>
      <w:pPr>
        <w:ind w:left="2294" w:hanging="567"/>
      </w:pPr>
      <w:rPr>
        <w:rFonts w:hint="default"/>
        <w:lang w:val="en-US" w:eastAsia="en-US" w:bidi="ar-SA"/>
      </w:rPr>
    </w:lvl>
    <w:lvl w:ilvl="3" w:tplc="D53CF96C">
      <w:numFmt w:val="bullet"/>
      <w:lvlText w:val="•"/>
      <w:lvlJc w:val="left"/>
      <w:pPr>
        <w:ind w:left="3160" w:hanging="567"/>
      </w:pPr>
      <w:rPr>
        <w:rFonts w:hint="default"/>
        <w:lang w:val="en-US" w:eastAsia="en-US" w:bidi="ar-SA"/>
      </w:rPr>
    </w:lvl>
    <w:lvl w:ilvl="4" w:tplc="32A8A976">
      <w:numFmt w:val="bullet"/>
      <w:lvlText w:val="•"/>
      <w:lvlJc w:val="left"/>
      <w:pPr>
        <w:ind w:left="4027" w:hanging="567"/>
      </w:pPr>
      <w:rPr>
        <w:rFonts w:hint="default"/>
        <w:lang w:val="en-US" w:eastAsia="en-US" w:bidi="ar-SA"/>
      </w:rPr>
    </w:lvl>
    <w:lvl w:ilvl="5" w:tplc="8B1422C4">
      <w:numFmt w:val="bullet"/>
      <w:lvlText w:val="•"/>
      <w:lvlJc w:val="left"/>
      <w:pPr>
        <w:ind w:left="4894" w:hanging="567"/>
      </w:pPr>
      <w:rPr>
        <w:rFonts w:hint="default"/>
        <w:lang w:val="en-US" w:eastAsia="en-US" w:bidi="ar-SA"/>
      </w:rPr>
    </w:lvl>
    <w:lvl w:ilvl="6" w:tplc="4092B6A4">
      <w:numFmt w:val="bullet"/>
      <w:lvlText w:val="•"/>
      <w:lvlJc w:val="left"/>
      <w:pPr>
        <w:ind w:left="5760" w:hanging="567"/>
      </w:pPr>
      <w:rPr>
        <w:rFonts w:hint="default"/>
        <w:lang w:val="en-US" w:eastAsia="en-US" w:bidi="ar-SA"/>
      </w:rPr>
    </w:lvl>
    <w:lvl w:ilvl="7" w:tplc="23FE456E">
      <w:numFmt w:val="bullet"/>
      <w:lvlText w:val="•"/>
      <w:lvlJc w:val="left"/>
      <w:pPr>
        <w:ind w:left="6627" w:hanging="567"/>
      </w:pPr>
      <w:rPr>
        <w:rFonts w:hint="default"/>
        <w:lang w:val="en-US" w:eastAsia="en-US" w:bidi="ar-SA"/>
      </w:rPr>
    </w:lvl>
    <w:lvl w:ilvl="8" w:tplc="1DD26E58">
      <w:numFmt w:val="bullet"/>
      <w:lvlText w:val="•"/>
      <w:lvlJc w:val="left"/>
      <w:pPr>
        <w:ind w:left="7494" w:hanging="567"/>
      </w:pPr>
      <w:rPr>
        <w:rFonts w:hint="default"/>
        <w:lang w:val="en-US" w:eastAsia="en-US" w:bidi="ar-SA"/>
      </w:rPr>
    </w:lvl>
  </w:abstractNum>
  <w:abstractNum w:abstractNumId="120" w15:restartNumberingAfterBreak="0">
    <w:nsid w:val="246E491F"/>
    <w:multiLevelType w:val="hybridMultilevel"/>
    <w:tmpl w:val="4AC27E4C"/>
    <w:lvl w:ilvl="0" w:tplc="96269F3E">
      <w:start w:val="1"/>
      <w:numFmt w:val="lowerRoman"/>
      <w:lvlText w:val="(%1)"/>
      <w:lvlJc w:val="left"/>
      <w:pPr>
        <w:ind w:left="706" w:hanging="567"/>
      </w:pPr>
      <w:rPr>
        <w:rFonts w:ascii="Arial" w:eastAsia="Calibri" w:hAnsi="Arial" w:cs="Arial" w:hint="default"/>
        <w:spacing w:val="-1"/>
        <w:w w:val="100"/>
        <w:sz w:val="20"/>
        <w:szCs w:val="22"/>
        <w:lang w:val="en-US" w:eastAsia="en-US" w:bidi="ar-SA"/>
      </w:rPr>
    </w:lvl>
    <w:lvl w:ilvl="1" w:tplc="4BBA6E1E">
      <w:numFmt w:val="bullet"/>
      <w:lvlText w:val="•"/>
      <w:lvlJc w:val="left"/>
      <w:pPr>
        <w:ind w:left="1566" w:hanging="567"/>
      </w:pPr>
      <w:rPr>
        <w:lang w:val="en-US" w:eastAsia="en-US" w:bidi="ar-SA"/>
      </w:rPr>
    </w:lvl>
    <w:lvl w:ilvl="2" w:tplc="15000044">
      <w:numFmt w:val="bullet"/>
      <w:lvlText w:val="•"/>
      <w:lvlJc w:val="left"/>
      <w:pPr>
        <w:ind w:left="2433" w:hanging="567"/>
      </w:pPr>
      <w:rPr>
        <w:lang w:val="en-US" w:eastAsia="en-US" w:bidi="ar-SA"/>
      </w:rPr>
    </w:lvl>
    <w:lvl w:ilvl="3" w:tplc="8422A6DA">
      <w:numFmt w:val="bullet"/>
      <w:lvlText w:val="•"/>
      <w:lvlJc w:val="left"/>
      <w:pPr>
        <w:ind w:left="3299" w:hanging="567"/>
      </w:pPr>
      <w:rPr>
        <w:lang w:val="en-US" w:eastAsia="en-US" w:bidi="ar-SA"/>
      </w:rPr>
    </w:lvl>
    <w:lvl w:ilvl="4" w:tplc="665EA9FC">
      <w:numFmt w:val="bullet"/>
      <w:lvlText w:val="•"/>
      <w:lvlJc w:val="left"/>
      <w:pPr>
        <w:ind w:left="4166" w:hanging="567"/>
      </w:pPr>
      <w:rPr>
        <w:lang w:val="en-US" w:eastAsia="en-US" w:bidi="ar-SA"/>
      </w:rPr>
    </w:lvl>
    <w:lvl w:ilvl="5" w:tplc="9A589C18">
      <w:numFmt w:val="bullet"/>
      <w:lvlText w:val="•"/>
      <w:lvlJc w:val="left"/>
      <w:pPr>
        <w:ind w:left="5033" w:hanging="567"/>
      </w:pPr>
      <w:rPr>
        <w:lang w:val="en-US" w:eastAsia="en-US" w:bidi="ar-SA"/>
      </w:rPr>
    </w:lvl>
    <w:lvl w:ilvl="6" w:tplc="C7B63B96">
      <w:numFmt w:val="bullet"/>
      <w:lvlText w:val="•"/>
      <w:lvlJc w:val="left"/>
      <w:pPr>
        <w:ind w:left="5899" w:hanging="567"/>
      </w:pPr>
      <w:rPr>
        <w:lang w:val="en-US" w:eastAsia="en-US" w:bidi="ar-SA"/>
      </w:rPr>
    </w:lvl>
    <w:lvl w:ilvl="7" w:tplc="59105068">
      <w:numFmt w:val="bullet"/>
      <w:lvlText w:val="•"/>
      <w:lvlJc w:val="left"/>
      <w:pPr>
        <w:ind w:left="6766" w:hanging="567"/>
      </w:pPr>
      <w:rPr>
        <w:lang w:val="en-US" w:eastAsia="en-US" w:bidi="ar-SA"/>
      </w:rPr>
    </w:lvl>
    <w:lvl w:ilvl="8" w:tplc="18BA0962">
      <w:numFmt w:val="bullet"/>
      <w:lvlText w:val="•"/>
      <w:lvlJc w:val="left"/>
      <w:pPr>
        <w:ind w:left="7633" w:hanging="567"/>
      </w:pPr>
      <w:rPr>
        <w:lang w:val="en-US" w:eastAsia="en-US" w:bidi="ar-SA"/>
      </w:rPr>
    </w:lvl>
  </w:abstractNum>
  <w:abstractNum w:abstractNumId="121" w15:restartNumberingAfterBreak="0">
    <w:nsid w:val="248A6F68"/>
    <w:multiLevelType w:val="hybridMultilevel"/>
    <w:tmpl w:val="EC54EB2C"/>
    <w:lvl w:ilvl="0" w:tplc="A93A9A0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14D80C58">
      <w:numFmt w:val="bullet"/>
      <w:lvlText w:val="•"/>
      <w:lvlJc w:val="left"/>
      <w:pPr>
        <w:ind w:left="1566" w:hanging="567"/>
      </w:pPr>
      <w:rPr>
        <w:rFonts w:hint="default"/>
        <w:lang w:val="en-US" w:eastAsia="en-US" w:bidi="ar-SA"/>
      </w:rPr>
    </w:lvl>
    <w:lvl w:ilvl="2" w:tplc="00AE723C">
      <w:numFmt w:val="bullet"/>
      <w:lvlText w:val="•"/>
      <w:lvlJc w:val="left"/>
      <w:pPr>
        <w:ind w:left="2433" w:hanging="567"/>
      </w:pPr>
      <w:rPr>
        <w:rFonts w:hint="default"/>
        <w:lang w:val="en-US" w:eastAsia="en-US" w:bidi="ar-SA"/>
      </w:rPr>
    </w:lvl>
    <w:lvl w:ilvl="3" w:tplc="D2E4F086">
      <w:numFmt w:val="bullet"/>
      <w:lvlText w:val="•"/>
      <w:lvlJc w:val="left"/>
      <w:pPr>
        <w:ind w:left="3299" w:hanging="567"/>
      </w:pPr>
      <w:rPr>
        <w:rFonts w:hint="default"/>
        <w:lang w:val="en-US" w:eastAsia="en-US" w:bidi="ar-SA"/>
      </w:rPr>
    </w:lvl>
    <w:lvl w:ilvl="4" w:tplc="F1DAF5EC">
      <w:numFmt w:val="bullet"/>
      <w:lvlText w:val="•"/>
      <w:lvlJc w:val="left"/>
      <w:pPr>
        <w:ind w:left="4166" w:hanging="567"/>
      </w:pPr>
      <w:rPr>
        <w:rFonts w:hint="default"/>
        <w:lang w:val="en-US" w:eastAsia="en-US" w:bidi="ar-SA"/>
      </w:rPr>
    </w:lvl>
    <w:lvl w:ilvl="5" w:tplc="F80215D6">
      <w:numFmt w:val="bullet"/>
      <w:lvlText w:val="•"/>
      <w:lvlJc w:val="left"/>
      <w:pPr>
        <w:ind w:left="5033" w:hanging="567"/>
      </w:pPr>
      <w:rPr>
        <w:rFonts w:hint="default"/>
        <w:lang w:val="en-US" w:eastAsia="en-US" w:bidi="ar-SA"/>
      </w:rPr>
    </w:lvl>
    <w:lvl w:ilvl="6" w:tplc="3A46EABC">
      <w:numFmt w:val="bullet"/>
      <w:lvlText w:val="•"/>
      <w:lvlJc w:val="left"/>
      <w:pPr>
        <w:ind w:left="5899" w:hanging="567"/>
      </w:pPr>
      <w:rPr>
        <w:rFonts w:hint="default"/>
        <w:lang w:val="en-US" w:eastAsia="en-US" w:bidi="ar-SA"/>
      </w:rPr>
    </w:lvl>
    <w:lvl w:ilvl="7" w:tplc="E8DCC7FA">
      <w:numFmt w:val="bullet"/>
      <w:lvlText w:val="•"/>
      <w:lvlJc w:val="left"/>
      <w:pPr>
        <w:ind w:left="6766" w:hanging="567"/>
      </w:pPr>
      <w:rPr>
        <w:rFonts w:hint="default"/>
        <w:lang w:val="en-US" w:eastAsia="en-US" w:bidi="ar-SA"/>
      </w:rPr>
    </w:lvl>
    <w:lvl w:ilvl="8" w:tplc="5944072C">
      <w:numFmt w:val="bullet"/>
      <w:lvlText w:val="•"/>
      <w:lvlJc w:val="left"/>
      <w:pPr>
        <w:ind w:left="7633" w:hanging="567"/>
      </w:pPr>
      <w:rPr>
        <w:rFonts w:hint="default"/>
        <w:lang w:val="en-US" w:eastAsia="en-US" w:bidi="ar-SA"/>
      </w:rPr>
    </w:lvl>
  </w:abstractNum>
  <w:abstractNum w:abstractNumId="122" w15:restartNumberingAfterBreak="0">
    <w:nsid w:val="24F22048"/>
    <w:multiLevelType w:val="hybridMultilevel"/>
    <w:tmpl w:val="2D2AF6E2"/>
    <w:lvl w:ilvl="0" w:tplc="81B0DB78">
      <w:start w:val="1"/>
      <w:numFmt w:val="decimal"/>
      <w:lvlText w:val="(%1)"/>
      <w:lvlJc w:val="left"/>
      <w:pPr>
        <w:ind w:left="1273" w:hanging="567"/>
      </w:pPr>
      <w:rPr>
        <w:rFonts w:ascii="Arial" w:eastAsia="Calibri" w:hAnsi="Arial" w:cs="Arial" w:hint="default"/>
        <w:spacing w:val="-1"/>
        <w:w w:val="100"/>
        <w:sz w:val="20"/>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25020860"/>
    <w:multiLevelType w:val="hybridMultilevel"/>
    <w:tmpl w:val="4FC47F64"/>
    <w:lvl w:ilvl="0" w:tplc="91D898B2">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500EC072">
      <w:numFmt w:val="bullet"/>
      <w:lvlText w:val="•"/>
      <w:lvlJc w:val="left"/>
      <w:pPr>
        <w:ind w:left="1566" w:hanging="567"/>
      </w:pPr>
      <w:rPr>
        <w:rFonts w:hint="default"/>
        <w:lang w:val="en-US" w:eastAsia="en-US" w:bidi="ar-SA"/>
      </w:rPr>
    </w:lvl>
    <w:lvl w:ilvl="2" w:tplc="58B2FE1E">
      <w:numFmt w:val="bullet"/>
      <w:lvlText w:val="•"/>
      <w:lvlJc w:val="left"/>
      <w:pPr>
        <w:ind w:left="2433" w:hanging="567"/>
      </w:pPr>
      <w:rPr>
        <w:rFonts w:hint="default"/>
        <w:lang w:val="en-US" w:eastAsia="en-US" w:bidi="ar-SA"/>
      </w:rPr>
    </w:lvl>
    <w:lvl w:ilvl="3" w:tplc="87C27F1E">
      <w:numFmt w:val="bullet"/>
      <w:lvlText w:val="•"/>
      <w:lvlJc w:val="left"/>
      <w:pPr>
        <w:ind w:left="3299" w:hanging="567"/>
      </w:pPr>
      <w:rPr>
        <w:rFonts w:hint="default"/>
        <w:lang w:val="en-US" w:eastAsia="en-US" w:bidi="ar-SA"/>
      </w:rPr>
    </w:lvl>
    <w:lvl w:ilvl="4" w:tplc="37F4E6BE">
      <w:numFmt w:val="bullet"/>
      <w:lvlText w:val="•"/>
      <w:lvlJc w:val="left"/>
      <w:pPr>
        <w:ind w:left="4166" w:hanging="567"/>
      </w:pPr>
      <w:rPr>
        <w:rFonts w:hint="default"/>
        <w:lang w:val="en-US" w:eastAsia="en-US" w:bidi="ar-SA"/>
      </w:rPr>
    </w:lvl>
    <w:lvl w:ilvl="5" w:tplc="C1EAB590">
      <w:numFmt w:val="bullet"/>
      <w:lvlText w:val="•"/>
      <w:lvlJc w:val="left"/>
      <w:pPr>
        <w:ind w:left="5033" w:hanging="567"/>
      </w:pPr>
      <w:rPr>
        <w:rFonts w:hint="default"/>
        <w:lang w:val="en-US" w:eastAsia="en-US" w:bidi="ar-SA"/>
      </w:rPr>
    </w:lvl>
    <w:lvl w:ilvl="6" w:tplc="F7D08BAE">
      <w:numFmt w:val="bullet"/>
      <w:lvlText w:val="•"/>
      <w:lvlJc w:val="left"/>
      <w:pPr>
        <w:ind w:left="5899" w:hanging="567"/>
      </w:pPr>
      <w:rPr>
        <w:rFonts w:hint="default"/>
        <w:lang w:val="en-US" w:eastAsia="en-US" w:bidi="ar-SA"/>
      </w:rPr>
    </w:lvl>
    <w:lvl w:ilvl="7" w:tplc="194846FC">
      <w:numFmt w:val="bullet"/>
      <w:lvlText w:val="•"/>
      <w:lvlJc w:val="left"/>
      <w:pPr>
        <w:ind w:left="6766" w:hanging="567"/>
      </w:pPr>
      <w:rPr>
        <w:rFonts w:hint="default"/>
        <w:lang w:val="en-US" w:eastAsia="en-US" w:bidi="ar-SA"/>
      </w:rPr>
    </w:lvl>
    <w:lvl w:ilvl="8" w:tplc="B690487E">
      <w:numFmt w:val="bullet"/>
      <w:lvlText w:val="•"/>
      <w:lvlJc w:val="left"/>
      <w:pPr>
        <w:ind w:left="7633" w:hanging="567"/>
      </w:pPr>
      <w:rPr>
        <w:rFonts w:hint="default"/>
        <w:lang w:val="en-US" w:eastAsia="en-US" w:bidi="ar-SA"/>
      </w:rPr>
    </w:lvl>
  </w:abstractNum>
  <w:abstractNum w:abstractNumId="124" w15:restartNumberingAfterBreak="0">
    <w:nsid w:val="252D6C30"/>
    <w:multiLevelType w:val="hybridMultilevel"/>
    <w:tmpl w:val="86ACD64E"/>
    <w:lvl w:ilvl="0" w:tplc="21C4D554">
      <w:start w:val="1"/>
      <w:numFmt w:val="lowerRoman"/>
      <w:lvlText w:val="(%1)"/>
      <w:lvlJc w:val="left"/>
      <w:pPr>
        <w:ind w:left="2408" w:hanging="567"/>
      </w:pPr>
      <w:rPr>
        <w:rFonts w:ascii="Arial" w:eastAsia="Calibri" w:hAnsi="Arial" w:cs="Arial" w:hint="default"/>
        <w:spacing w:val="-1"/>
        <w:w w:val="100"/>
        <w:sz w:val="20"/>
        <w:szCs w:val="22"/>
        <w:lang w:val="en-US" w:eastAsia="en-US" w:bidi="ar-SA"/>
      </w:rPr>
    </w:lvl>
    <w:lvl w:ilvl="1" w:tplc="B04CD8AC">
      <w:numFmt w:val="bullet"/>
      <w:lvlText w:val="•"/>
      <w:lvlJc w:val="left"/>
      <w:pPr>
        <w:ind w:left="3096" w:hanging="567"/>
      </w:pPr>
      <w:rPr>
        <w:rFonts w:hint="default"/>
        <w:lang w:val="en-US" w:eastAsia="en-US" w:bidi="ar-SA"/>
      </w:rPr>
    </w:lvl>
    <w:lvl w:ilvl="2" w:tplc="E86E6354">
      <w:numFmt w:val="bullet"/>
      <w:lvlText w:val="•"/>
      <w:lvlJc w:val="left"/>
      <w:pPr>
        <w:ind w:left="3793" w:hanging="567"/>
      </w:pPr>
      <w:rPr>
        <w:rFonts w:hint="default"/>
        <w:lang w:val="en-US" w:eastAsia="en-US" w:bidi="ar-SA"/>
      </w:rPr>
    </w:lvl>
    <w:lvl w:ilvl="3" w:tplc="01E63C9C">
      <w:numFmt w:val="bullet"/>
      <w:lvlText w:val="•"/>
      <w:lvlJc w:val="left"/>
      <w:pPr>
        <w:ind w:left="4489" w:hanging="567"/>
      </w:pPr>
      <w:rPr>
        <w:rFonts w:hint="default"/>
        <w:lang w:val="en-US" w:eastAsia="en-US" w:bidi="ar-SA"/>
      </w:rPr>
    </w:lvl>
    <w:lvl w:ilvl="4" w:tplc="A4524D5E">
      <w:numFmt w:val="bullet"/>
      <w:lvlText w:val="•"/>
      <w:lvlJc w:val="left"/>
      <w:pPr>
        <w:ind w:left="5186" w:hanging="567"/>
      </w:pPr>
      <w:rPr>
        <w:rFonts w:hint="default"/>
        <w:lang w:val="en-US" w:eastAsia="en-US" w:bidi="ar-SA"/>
      </w:rPr>
    </w:lvl>
    <w:lvl w:ilvl="5" w:tplc="930A8858">
      <w:numFmt w:val="bullet"/>
      <w:lvlText w:val="•"/>
      <w:lvlJc w:val="left"/>
      <w:pPr>
        <w:ind w:left="5883" w:hanging="567"/>
      </w:pPr>
      <w:rPr>
        <w:rFonts w:hint="default"/>
        <w:lang w:val="en-US" w:eastAsia="en-US" w:bidi="ar-SA"/>
      </w:rPr>
    </w:lvl>
    <w:lvl w:ilvl="6" w:tplc="FAB20170">
      <w:numFmt w:val="bullet"/>
      <w:lvlText w:val="•"/>
      <w:lvlJc w:val="left"/>
      <w:pPr>
        <w:ind w:left="6579" w:hanging="567"/>
      </w:pPr>
      <w:rPr>
        <w:rFonts w:hint="default"/>
        <w:lang w:val="en-US" w:eastAsia="en-US" w:bidi="ar-SA"/>
      </w:rPr>
    </w:lvl>
    <w:lvl w:ilvl="7" w:tplc="9F201F46">
      <w:numFmt w:val="bullet"/>
      <w:lvlText w:val="•"/>
      <w:lvlJc w:val="left"/>
      <w:pPr>
        <w:ind w:left="7276" w:hanging="567"/>
      </w:pPr>
      <w:rPr>
        <w:rFonts w:hint="default"/>
        <w:lang w:val="en-US" w:eastAsia="en-US" w:bidi="ar-SA"/>
      </w:rPr>
    </w:lvl>
    <w:lvl w:ilvl="8" w:tplc="2DF2E636">
      <w:numFmt w:val="bullet"/>
      <w:lvlText w:val="•"/>
      <w:lvlJc w:val="left"/>
      <w:pPr>
        <w:ind w:left="7973" w:hanging="567"/>
      </w:pPr>
      <w:rPr>
        <w:rFonts w:hint="default"/>
        <w:lang w:val="en-US" w:eastAsia="en-US" w:bidi="ar-SA"/>
      </w:rPr>
    </w:lvl>
  </w:abstractNum>
  <w:abstractNum w:abstractNumId="125" w15:restartNumberingAfterBreak="0">
    <w:nsid w:val="25A43F1B"/>
    <w:multiLevelType w:val="hybridMultilevel"/>
    <w:tmpl w:val="7A6033B6"/>
    <w:lvl w:ilvl="0" w:tplc="3F2E25BE">
      <w:start w:val="1"/>
      <w:numFmt w:val="decimal"/>
      <w:lvlText w:val="(%1)"/>
      <w:lvlJc w:val="left"/>
      <w:pPr>
        <w:ind w:left="1273" w:hanging="567"/>
      </w:pPr>
      <w:rPr>
        <w:rFonts w:ascii="Arial" w:eastAsia="Calibri" w:hAnsi="Arial" w:cs="Arial" w:hint="default"/>
        <w:spacing w:val="-1"/>
        <w:w w:val="100"/>
        <w:sz w:val="20"/>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25C65BA5"/>
    <w:multiLevelType w:val="hybridMultilevel"/>
    <w:tmpl w:val="0218BBF0"/>
    <w:lvl w:ilvl="0" w:tplc="7A6A9F02">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97A4716">
      <w:numFmt w:val="bullet"/>
      <w:lvlText w:val="•"/>
      <w:lvlJc w:val="left"/>
      <w:pPr>
        <w:ind w:left="1566" w:hanging="567"/>
      </w:pPr>
      <w:rPr>
        <w:lang w:val="en-US" w:eastAsia="en-US" w:bidi="ar-SA"/>
      </w:rPr>
    </w:lvl>
    <w:lvl w:ilvl="2" w:tplc="8C6A4E12">
      <w:numFmt w:val="bullet"/>
      <w:lvlText w:val="•"/>
      <w:lvlJc w:val="left"/>
      <w:pPr>
        <w:ind w:left="2433" w:hanging="567"/>
      </w:pPr>
      <w:rPr>
        <w:lang w:val="en-US" w:eastAsia="en-US" w:bidi="ar-SA"/>
      </w:rPr>
    </w:lvl>
    <w:lvl w:ilvl="3" w:tplc="678E146C">
      <w:numFmt w:val="bullet"/>
      <w:lvlText w:val="•"/>
      <w:lvlJc w:val="left"/>
      <w:pPr>
        <w:ind w:left="3299" w:hanging="567"/>
      </w:pPr>
      <w:rPr>
        <w:lang w:val="en-US" w:eastAsia="en-US" w:bidi="ar-SA"/>
      </w:rPr>
    </w:lvl>
    <w:lvl w:ilvl="4" w:tplc="CD1EAF58">
      <w:numFmt w:val="bullet"/>
      <w:lvlText w:val="•"/>
      <w:lvlJc w:val="left"/>
      <w:pPr>
        <w:ind w:left="4166" w:hanging="567"/>
      </w:pPr>
      <w:rPr>
        <w:lang w:val="en-US" w:eastAsia="en-US" w:bidi="ar-SA"/>
      </w:rPr>
    </w:lvl>
    <w:lvl w:ilvl="5" w:tplc="5A781136">
      <w:numFmt w:val="bullet"/>
      <w:lvlText w:val="•"/>
      <w:lvlJc w:val="left"/>
      <w:pPr>
        <w:ind w:left="5033" w:hanging="567"/>
      </w:pPr>
      <w:rPr>
        <w:lang w:val="en-US" w:eastAsia="en-US" w:bidi="ar-SA"/>
      </w:rPr>
    </w:lvl>
    <w:lvl w:ilvl="6" w:tplc="C5EA6016">
      <w:numFmt w:val="bullet"/>
      <w:lvlText w:val="•"/>
      <w:lvlJc w:val="left"/>
      <w:pPr>
        <w:ind w:left="5899" w:hanging="567"/>
      </w:pPr>
      <w:rPr>
        <w:lang w:val="en-US" w:eastAsia="en-US" w:bidi="ar-SA"/>
      </w:rPr>
    </w:lvl>
    <w:lvl w:ilvl="7" w:tplc="ACD03C4A">
      <w:numFmt w:val="bullet"/>
      <w:lvlText w:val="•"/>
      <w:lvlJc w:val="left"/>
      <w:pPr>
        <w:ind w:left="6766" w:hanging="567"/>
      </w:pPr>
      <w:rPr>
        <w:lang w:val="en-US" w:eastAsia="en-US" w:bidi="ar-SA"/>
      </w:rPr>
    </w:lvl>
    <w:lvl w:ilvl="8" w:tplc="6118443C">
      <w:numFmt w:val="bullet"/>
      <w:lvlText w:val="•"/>
      <w:lvlJc w:val="left"/>
      <w:pPr>
        <w:ind w:left="7633" w:hanging="567"/>
      </w:pPr>
      <w:rPr>
        <w:lang w:val="en-US" w:eastAsia="en-US" w:bidi="ar-SA"/>
      </w:rPr>
    </w:lvl>
  </w:abstractNum>
  <w:abstractNum w:abstractNumId="127" w15:restartNumberingAfterBreak="0">
    <w:nsid w:val="262E6857"/>
    <w:multiLevelType w:val="hybridMultilevel"/>
    <w:tmpl w:val="B55ACCD8"/>
    <w:lvl w:ilvl="0" w:tplc="38C65C30">
      <w:start w:val="1"/>
      <w:numFmt w:val="lowerLetter"/>
      <w:lvlText w:val="(%1)"/>
      <w:lvlJc w:val="left"/>
      <w:pPr>
        <w:ind w:left="2408" w:hanging="567"/>
      </w:pPr>
      <w:rPr>
        <w:rFonts w:ascii="Arial" w:eastAsia="Calibri" w:hAnsi="Arial" w:cs="Arial" w:hint="default"/>
        <w:spacing w:val="-1"/>
        <w:w w:val="100"/>
        <w:sz w:val="20"/>
        <w:szCs w:val="22"/>
        <w:lang w:val="en-US" w:eastAsia="en-US" w:bidi="ar-SA"/>
      </w:rPr>
    </w:lvl>
    <w:lvl w:ilvl="1" w:tplc="27902CDA">
      <w:start w:val="1"/>
      <w:numFmt w:val="decimal"/>
      <w:lvlText w:val="(%2)"/>
      <w:lvlJc w:val="left"/>
      <w:pPr>
        <w:ind w:left="2975" w:hanging="567"/>
      </w:pPr>
      <w:rPr>
        <w:rFonts w:ascii="Arial" w:eastAsia="Calibri" w:hAnsi="Arial" w:cs="Arial" w:hint="default"/>
        <w:spacing w:val="-1"/>
        <w:w w:val="100"/>
        <w:sz w:val="20"/>
        <w:szCs w:val="22"/>
        <w:lang w:val="en-US" w:eastAsia="en-US" w:bidi="ar-SA"/>
      </w:rPr>
    </w:lvl>
    <w:lvl w:ilvl="2" w:tplc="188E8326">
      <w:numFmt w:val="bullet"/>
      <w:lvlText w:val="•"/>
      <w:lvlJc w:val="left"/>
      <w:pPr>
        <w:ind w:left="3689" w:hanging="567"/>
      </w:pPr>
      <w:rPr>
        <w:rFonts w:hint="default"/>
        <w:lang w:val="en-US" w:eastAsia="en-US" w:bidi="ar-SA"/>
      </w:rPr>
    </w:lvl>
    <w:lvl w:ilvl="3" w:tplc="E75EBEFA">
      <w:numFmt w:val="bullet"/>
      <w:lvlText w:val="•"/>
      <w:lvlJc w:val="left"/>
      <w:pPr>
        <w:ind w:left="4399" w:hanging="567"/>
      </w:pPr>
      <w:rPr>
        <w:rFonts w:hint="default"/>
        <w:lang w:val="en-US" w:eastAsia="en-US" w:bidi="ar-SA"/>
      </w:rPr>
    </w:lvl>
    <w:lvl w:ilvl="4" w:tplc="3198F446">
      <w:numFmt w:val="bullet"/>
      <w:lvlText w:val="•"/>
      <w:lvlJc w:val="left"/>
      <w:pPr>
        <w:ind w:left="5108" w:hanging="567"/>
      </w:pPr>
      <w:rPr>
        <w:rFonts w:hint="default"/>
        <w:lang w:val="en-US" w:eastAsia="en-US" w:bidi="ar-SA"/>
      </w:rPr>
    </w:lvl>
    <w:lvl w:ilvl="5" w:tplc="C178AF58">
      <w:numFmt w:val="bullet"/>
      <w:lvlText w:val="•"/>
      <w:lvlJc w:val="left"/>
      <w:pPr>
        <w:ind w:left="5818" w:hanging="567"/>
      </w:pPr>
      <w:rPr>
        <w:rFonts w:hint="default"/>
        <w:lang w:val="en-US" w:eastAsia="en-US" w:bidi="ar-SA"/>
      </w:rPr>
    </w:lvl>
    <w:lvl w:ilvl="6" w:tplc="2E328764">
      <w:numFmt w:val="bullet"/>
      <w:lvlText w:val="•"/>
      <w:lvlJc w:val="left"/>
      <w:pPr>
        <w:ind w:left="6528" w:hanging="567"/>
      </w:pPr>
      <w:rPr>
        <w:rFonts w:hint="default"/>
        <w:lang w:val="en-US" w:eastAsia="en-US" w:bidi="ar-SA"/>
      </w:rPr>
    </w:lvl>
    <w:lvl w:ilvl="7" w:tplc="8F16D62A">
      <w:numFmt w:val="bullet"/>
      <w:lvlText w:val="•"/>
      <w:lvlJc w:val="left"/>
      <w:pPr>
        <w:ind w:left="7237" w:hanging="567"/>
      </w:pPr>
      <w:rPr>
        <w:rFonts w:hint="default"/>
        <w:lang w:val="en-US" w:eastAsia="en-US" w:bidi="ar-SA"/>
      </w:rPr>
    </w:lvl>
    <w:lvl w:ilvl="8" w:tplc="8852463A">
      <w:numFmt w:val="bullet"/>
      <w:lvlText w:val="•"/>
      <w:lvlJc w:val="left"/>
      <w:pPr>
        <w:ind w:left="7947" w:hanging="567"/>
      </w:pPr>
      <w:rPr>
        <w:rFonts w:hint="default"/>
        <w:lang w:val="en-US" w:eastAsia="en-US" w:bidi="ar-SA"/>
      </w:rPr>
    </w:lvl>
  </w:abstractNum>
  <w:abstractNum w:abstractNumId="128" w15:restartNumberingAfterBreak="0">
    <w:nsid w:val="263E43B8"/>
    <w:multiLevelType w:val="hybridMultilevel"/>
    <w:tmpl w:val="4260C994"/>
    <w:lvl w:ilvl="0" w:tplc="4C0E1EB2">
      <w:start w:val="1"/>
      <w:numFmt w:val="decimal"/>
      <w:lvlText w:val="%1."/>
      <w:lvlJc w:val="left"/>
      <w:pPr>
        <w:ind w:left="706" w:hanging="567"/>
      </w:pPr>
      <w:rPr>
        <w:rFonts w:ascii="Arial" w:eastAsia="Calibri" w:hAnsi="Arial" w:cs="Arial" w:hint="default"/>
        <w:w w:val="100"/>
        <w:sz w:val="20"/>
        <w:szCs w:val="22"/>
        <w:lang w:val="en-US" w:eastAsia="en-US" w:bidi="ar-SA"/>
      </w:rPr>
    </w:lvl>
    <w:lvl w:ilvl="1" w:tplc="AAD0688E">
      <w:start w:val="1"/>
      <w:numFmt w:val="lowerLetter"/>
      <w:lvlText w:val="(%2)"/>
      <w:lvlJc w:val="left"/>
      <w:pPr>
        <w:ind w:left="1273" w:hanging="567"/>
      </w:pPr>
      <w:rPr>
        <w:rFonts w:ascii="Arial" w:eastAsia="Calibri" w:hAnsi="Arial" w:cs="Arial" w:hint="default"/>
        <w:spacing w:val="-1"/>
        <w:w w:val="100"/>
        <w:sz w:val="20"/>
        <w:szCs w:val="22"/>
        <w:lang w:val="en-US" w:eastAsia="en-US" w:bidi="ar-SA"/>
      </w:rPr>
    </w:lvl>
    <w:lvl w:ilvl="2" w:tplc="022EDC48">
      <w:numFmt w:val="bullet"/>
      <w:lvlText w:val="•"/>
      <w:lvlJc w:val="left"/>
      <w:pPr>
        <w:ind w:left="2178" w:hanging="567"/>
      </w:pPr>
      <w:rPr>
        <w:rFonts w:hint="default"/>
        <w:lang w:val="en-US" w:eastAsia="en-US" w:bidi="ar-SA"/>
      </w:rPr>
    </w:lvl>
    <w:lvl w:ilvl="3" w:tplc="37B45004">
      <w:numFmt w:val="bullet"/>
      <w:lvlText w:val="•"/>
      <w:lvlJc w:val="left"/>
      <w:pPr>
        <w:ind w:left="3076" w:hanging="567"/>
      </w:pPr>
      <w:rPr>
        <w:rFonts w:hint="default"/>
        <w:lang w:val="en-US" w:eastAsia="en-US" w:bidi="ar-SA"/>
      </w:rPr>
    </w:lvl>
    <w:lvl w:ilvl="4" w:tplc="0FAEE866">
      <w:numFmt w:val="bullet"/>
      <w:lvlText w:val="•"/>
      <w:lvlJc w:val="left"/>
      <w:pPr>
        <w:ind w:left="3975" w:hanging="567"/>
      </w:pPr>
      <w:rPr>
        <w:rFonts w:hint="default"/>
        <w:lang w:val="en-US" w:eastAsia="en-US" w:bidi="ar-SA"/>
      </w:rPr>
    </w:lvl>
    <w:lvl w:ilvl="5" w:tplc="1CB0F3AE">
      <w:numFmt w:val="bullet"/>
      <w:lvlText w:val="•"/>
      <w:lvlJc w:val="left"/>
      <w:pPr>
        <w:ind w:left="4873" w:hanging="567"/>
      </w:pPr>
      <w:rPr>
        <w:rFonts w:hint="default"/>
        <w:lang w:val="en-US" w:eastAsia="en-US" w:bidi="ar-SA"/>
      </w:rPr>
    </w:lvl>
    <w:lvl w:ilvl="6" w:tplc="10C47868">
      <w:numFmt w:val="bullet"/>
      <w:lvlText w:val="•"/>
      <w:lvlJc w:val="left"/>
      <w:pPr>
        <w:ind w:left="5772" w:hanging="567"/>
      </w:pPr>
      <w:rPr>
        <w:rFonts w:hint="default"/>
        <w:lang w:val="en-US" w:eastAsia="en-US" w:bidi="ar-SA"/>
      </w:rPr>
    </w:lvl>
    <w:lvl w:ilvl="7" w:tplc="89C24374">
      <w:numFmt w:val="bullet"/>
      <w:lvlText w:val="•"/>
      <w:lvlJc w:val="left"/>
      <w:pPr>
        <w:ind w:left="6670" w:hanging="567"/>
      </w:pPr>
      <w:rPr>
        <w:rFonts w:hint="default"/>
        <w:lang w:val="en-US" w:eastAsia="en-US" w:bidi="ar-SA"/>
      </w:rPr>
    </w:lvl>
    <w:lvl w:ilvl="8" w:tplc="0DFA75DC">
      <w:numFmt w:val="bullet"/>
      <w:lvlText w:val="•"/>
      <w:lvlJc w:val="left"/>
      <w:pPr>
        <w:ind w:left="7569" w:hanging="567"/>
      </w:pPr>
      <w:rPr>
        <w:rFonts w:hint="default"/>
        <w:lang w:val="en-US" w:eastAsia="en-US" w:bidi="ar-SA"/>
      </w:rPr>
    </w:lvl>
  </w:abstractNum>
  <w:abstractNum w:abstractNumId="129" w15:restartNumberingAfterBreak="0">
    <w:nsid w:val="269561C8"/>
    <w:multiLevelType w:val="hybridMultilevel"/>
    <w:tmpl w:val="4AC27E4C"/>
    <w:lvl w:ilvl="0" w:tplc="96269F3E">
      <w:start w:val="1"/>
      <w:numFmt w:val="lowerRoman"/>
      <w:lvlText w:val="(%1)"/>
      <w:lvlJc w:val="left"/>
      <w:pPr>
        <w:ind w:left="706" w:hanging="567"/>
      </w:pPr>
      <w:rPr>
        <w:rFonts w:ascii="Arial" w:eastAsia="Calibri" w:hAnsi="Arial" w:cs="Arial" w:hint="default"/>
        <w:spacing w:val="-1"/>
        <w:w w:val="100"/>
        <w:sz w:val="20"/>
        <w:szCs w:val="22"/>
        <w:lang w:val="en-US" w:eastAsia="en-US" w:bidi="ar-SA"/>
      </w:rPr>
    </w:lvl>
    <w:lvl w:ilvl="1" w:tplc="4BBA6E1E">
      <w:numFmt w:val="bullet"/>
      <w:lvlText w:val="•"/>
      <w:lvlJc w:val="left"/>
      <w:pPr>
        <w:ind w:left="1566" w:hanging="567"/>
      </w:pPr>
      <w:rPr>
        <w:lang w:val="en-US" w:eastAsia="en-US" w:bidi="ar-SA"/>
      </w:rPr>
    </w:lvl>
    <w:lvl w:ilvl="2" w:tplc="15000044">
      <w:numFmt w:val="bullet"/>
      <w:lvlText w:val="•"/>
      <w:lvlJc w:val="left"/>
      <w:pPr>
        <w:ind w:left="2433" w:hanging="567"/>
      </w:pPr>
      <w:rPr>
        <w:lang w:val="en-US" w:eastAsia="en-US" w:bidi="ar-SA"/>
      </w:rPr>
    </w:lvl>
    <w:lvl w:ilvl="3" w:tplc="8422A6DA">
      <w:numFmt w:val="bullet"/>
      <w:lvlText w:val="•"/>
      <w:lvlJc w:val="left"/>
      <w:pPr>
        <w:ind w:left="3299" w:hanging="567"/>
      </w:pPr>
      <w:rPr>
        <w:lang w:val="en-US" w:eastAsia="en-US" w:bidi="ar-SA"/>
      </w:rPr>
    </w:lvl>
    <w:lvl w:ilvl="4" w:tplc="665EA9FC">
      <w:numFmt w:val="bullet"/>
      <w:lvlText w:val="•"/>
      <w:lvlJc w:val="left"/>
      <w:pPr>
        <w:ind w:left="4166" w:hanging="567"/>
      </w:pPr>
      <w:rPr>
        <w:lang w:val="en-US" w:eastAsia="en-US" w:bidi="ar-SA"/>
      </w:rPr>
    </w:lvl>
    <w:lvl w:ilvl="5" w:tplc="9A589C18">
      <w:numFmt w:val="bullet"/>
      <w:lvlText w:val="•"/>
      <w:lvlJc w:val="left"/>
      <w:pPr>
        <w:ind w:left="5033" w:hanging="567"/>
      </w:pPr>
      <w:rPr>
        <w:lang w:val="en-US" w:eastAsia="en-US" w:bidi="ar-SA"/>
      </w:rPr>
    </w:lvl>
    <w:lvl w:ilvl="6" w:tplc="C7B63B96">
      <w:numFmt w:val="bullet"/>
      <w:lvlText w:val="•"/>
      <w:lvlJc w:val="left"/>
      <w:pPr>
        <w:ind w:left="5899" w:hanging="567"/>
      </w:pPr>
      <w:rPr>
        <w:lang w:val="en-US" w:eastAsia="en-US" w:bidi="ar-SA"/>
      </w:rPr>
    </w:lvl>
    <w:lvl w:ilvl="7" w:tplc="59105068">
      <w:numFmt w:val="bullet"/>
      <w:lvlText w:val="•"/>
      <w:lvlJc w:val="left"/>
      <w:pPr>
        <w:ind w:left="6766" w:hanging="567"/>
      </w:pPr>
      <w:rPr>
        <w:lang w:val="en-US" w:eastAsia="en-US" w:bidi="ar-SA"/>
      </w:rPr>
    </w:lvl>
    <w:lvl w:ilvl="8" w:tplc="18BA0962">
      <w:numFmt w:val="bullet"/>
      <w:lvlText w:val="•"/>
      <w:lvlJc w:val="left"/>
      <w:pPr>
        <w:ind w:left="7633" w:hanging="567"/>
      </w:pPr>
      <w:rPr>
        <w:lang w:val="en-US" w:eastAsia="en-US" w:bidi="ar-SA"/>
      </w:rPr>
    </w:lvl>
  </w:abstractNum>
  <w:abstractNum w:abstractNumId="130" w15:restartNumberingAfterBreak="0">
    <w:nsid w:val="26D33632"/>
    <w:multiLevelType w:val="hybridMultilevel"/>
    <w:tmpl w:val="2D2AF6E2"/>
    <w:lvl w:ilvl="0" w:tplc="81B0DB78">
      <w:start w:val="1"/>
      <w:numFmt w:val="decimal"/>
      <w:lvlText w:val="(%1)"/>
      <w:lvlJc w:val="left"/>
      <w:pPr>
        <w:ind w:left="1273" w:hanging="567"/>
      </w:pPr>
      <w:rPr>
        <w:rFonts w:ascii="Arial" w:eastAsia="Calibri" w:hAnsi="Arial" w:cs="Arial" w:hint="default"/>
        <w:spacing w:val="-1"/>
        <w:w w:val="100"/>
        <w:sz w:val="20"/>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27E7123D"/>
    <w:multiLevelType w:val="hybridMultilevel"/>
    <w:tmpl w:val="F70879DE"/>
    <w:lvl w:ilvl="0" w:tplc="AFE68BF4">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7BF87B1C">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CFC07522">
      <w:numFmt w:val="bullet"/>
      <w:lvlText w:val="•"/>
      <w:lvlJc w:val="left"/>
      <w:pPr>
        <w:ind w:left="2178" w:hanging="567"/>
      </w:pPr>
      <w:rPr>
        <w:rFonts w:hint="default"/>
        <w:lang w:val="en-US" w:eastAsia="en-US" w:bidi="ar-SA"/>
      </w:rPr>
    </w:lvl>
    <w:lvl w:ilvl="3" w:tplc="FE326DE8">
      <w:numFmt w:val="bullet"/>
      <w:lvlText w:val="•"/>
      <w:lvlJc w:val="left"/>
      <w:pPr>
        <w:ind w:left="3076" w:hanging="567"/>
      </w:pPr>
      <w:rPr>
        <w:rFonts w:hint="default"/>
        <w:lang w:val="en-US" w:eastAsia="en-US" w:bidi="ar-SA"/>
      </w:rPr>
    </w:lvl>
    <w:lvl w:ilvl="4" w:tplc="E0967F58">
      <w:numFmt w:val="bullet"/>
      <w:lvlText w:val="•"/>
      <w:lvlJc w:val="left"/>
      <w:pPr>
        <w:ind w:left="3975" w:hanging="567"/>
      </w:pPr>
      <w:rPr>
        <w:rFonts w:hint="default"/>
        <w:lang w:val="en-US" w:eastAsia="en-US" w:bidi="ar-SA"/>
      </w:rPr>
    </w:lvl>
    <w:lvl w:ilvl="5" w:tplc="DC5C30EC">
      <w:numFmt w:val="bullet"/>
      <w:lvlText w:val="•"/>
      <w:lvlJc w:val="left"/>
      <w:pPr>
        <w:ind w:left="4873" w:hanging="567"/>
      </w:pPr>
      <w:rPr>
        <w:rFonts w:hint="default"/>
        <w:lang w:val="en-US" w:eastAsia="en-US" w:bidi="ar-SA"/>
      </w:rPr>
    </w:lvl>
    <w:lvl w:ilvl="6" w:tplc="14601E2E">
      <w:numFmt w:val="bullet"/>
      <w:lvlText w:val="•"/>
      <w:lvlJc w:val="left"/>
      <w:pPr>
        <w:ind w:left="5772" w:hanging="567"/>
      </w:pPr>
      <w:rPr>
        <w:rFonts w:hint="default"/>
        <w:lang w:val="en-US" w:eastAsia="en-US" w:bidi="ar-SA"/>
      </w:rPr>
    </w:lvl>
    <w:lvl w:ilvl="7" w:tplc="3796C658">
      <w:numFmt w:val="bullet"/>
      <w:lvlText w:val="•"/>
      <w:lvlJc w:val="left"/>
      <w:pPr>
        <w:ind w:left="6670" w:hanging="567"/>
      </w:pPr>
      <w:rPr>
        <w:rFonts w:hint="default"/>
        <w:lang w:val="en-US" w:eastAsia="en-US" w:bidi="ar-SA"/>
      </w:rPr>
    </w:lvl>
    <w:lvl w:ilvl="8" w:tplc="B866C450">
      <w:numFmt w:val="bullet"/>
      <w:lvlText w:val="•"/>
      <w:lvlJc w:val="left"/>
      <w:pPr>
        <w:ind w:left="7569" w:hanging="567"/>
      </w:pPr>
      <w:rPr>
        <w:rFonts w:hint="default"/>
        <w:lang w:val="en-US" w:eastAsia="en-US" w:bidi="ar-SA"/>
      </w:rPr>
    </w:lvl>
  </w:abstractNum>
  <w:abstractNum w:abstractNumId="132" w15:restartNumberingAfterBreak="0">
    <w:nsid w:val="27F177D4"/>
    <w:multiLevelType w:val="hybridMultilevel"/>
    <w:tmpl w:val="EC2A9634"/>
    <w:lvl w:ilvl="0" w:tplc="C37C22F2">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37AC13BC">
      <w:numFmt w:val="bullet"/>
      <w:lvlText w:val="•"/>
      <w:lvlJc w:val="left"/>
      <w:pPr>
        <w:ind w:left="1566" w:hanging="567"/>
      </w:pPr>
      <w:rPr>
        <w:rFonts w:hint="default"/>
        <w:lang w:val="en-US" w:eastAsia="en-US" w:bidi="ar-SA"/>
      </w:rPr>
    </w:lvl>
    <w:lvl w:ilvl="2" w:tplc="847E33F2">
      <w:numFmt w:val="bullet"/>
      <w:lvlText w:val="•"/>
      <w:lvlJc w:val="left"/>
      <w:pPr>
        <w:ind w:left="2433" w:hanging="567"/>
      </w:pPr>
      <w:rPr>
        <w:rFonts w:hint="default"/>
        <w:lang w:val="en-US" w:eastAsia="en-US" w:bidi="ar-SA"/>
      </w:rPr>
    </w:lvl>
    <w:lvl w:ilvl="3" w:tplc="46A82A9A">
      <w:numFmt w:val="bullet"/>
      <w:lvlText w:val="•"/>
      <w:lvlJc w:val="left"/>
      <w:pPr>
        <w:ind w:left="3299" w:hanging="567"/>
      </w:pPr>
      <w:rPr>
        <w:rFonts w:hint="default"/>
        <w:lang w:val="en-US" w:eastAsia="en-US" w:bidi="ar-SA"/>
      </w:rPr>
    </w:lvl>
    <w:lvl w:ilvl="4" w:tplc="AECA1012">
      <w:numFmt w:val="bullet"/>
      <w:lvlText w:val="•"/>
      <w:lvlJc w:val="left"/>
      <w:pPr>
        <w:ind w:left="4166" w:hanging="567"/>
      </w:pPr>
      <w:rPr>
        <w:rFonts w:hint="default"/>
        <w:lang w:val="en-US" w:eastAsia="en-US" w:bidi="ar-SA"/>
      </w:rPr>
    </w:lvl>
    <w:lvl w:ilvl="5" w:tplc="C0FE56E6">
      <w:numFmt w:val="bullet"/>
      <w:lvlText w:val="•"/>
      <w:lvlJc w:val="left"/>
      <w:pPr>
        <w:ind w:left="5033" w:hanging="567"/>
      </w:pPr>
      <w:rPr>
        <w:rFonts w:hint="default"/>
        <w:lang w:val="en-US" w:eastAsia="en-US" w:bidi="ar-SA"/>
      </w:rPr>
    </w:lvl>
    <w:lvl w:ilvl="6" w:tplc="18B8BBA8">
      <w:numFmt w:val="bullet"/>
      <w:lvlText w:val="•"/>
      <w:lvlJc w:val="left"/>
      <w:pPr>
        <w:ind w:left="5899" w:hanging="567"/>
      </w:pPr>
      <w:rPr>
        <w:rFonts w:hint="default"/>
        <w:lang w:val="en-US" w:eastAsia="en-US" w:bidi="ar-SA"/>
      </w:rPr>
    </w:lvl>
    <w:lvl w:ilvl="7" w:tplc="BBB228B6">
      <w:numFmt w:val="bullet"/>
      <w:lvlText w:val="•"/>
      <w:lvlJc w:val="left"/>
      <w:pPr>
        <w:ind w:left="6766" w:hanging="567"/>
      </w:pPr>
      <w:rPr>
        <w:rFonts w:hint="default"/>
        <w:lang w:val="en-US" w:eastAsia="en-US" w:bidi="ar-SA"/>
      </w:rPr>
    </w:lvl>
    <w:lvl w:ilvl="8" w:tplc="219E21AE">
      <w:numFmt w:val="bullet"/>
      <w:lvlText w:val="•"/>
      <w:lvlJc w:val="left"/>
      <w:pPr>
        <w:ind w:left="7633" w:hanging="567"/>
      </w:pPr>
      <w:rPr>
        <w:rFonts w:hint="default"/>
        <w:lang w:val="en-US" w:eastAsia="en-US" w:bidi="ar-SA"/>
      </w:rPr>
    </w:lvl>
  </w:abstractNum>
  <w:abstractNum w:abstractNumId="133" w15:restartNumberingAfterBreak="0">
    <w:nsid w:val="280F0AB0"/>
    <w:multiLevelType w:val="hybridMultilevel"/>
    <w:tmpl w:val="660413D2"/>
    <w:lvl w:ilvl="0" w:tplc="CD80582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ADC655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1B2266EE">
      <w:numFmt w:val="bullet"/>
      <w:lvlText w:val="•"/>
      <w:lvlJc w:val="left"/>
      <w:pPr>
        <w:ind w:left="2178" w:hanging="567"/>
      </w:pPr>
      <w:rPr>
        <w:lang w:val="en-US" w:eastAsia="en-US" w:bidi="ar-SA"/>
      </w:rPr>
    </w:lvl>
    <w:lvl w:ilvl="3" w:tplc="45BE0660">
      <w:numFmt w:val="bullet"/>
      <w:lvlText w:val="•"/>
      <w:lvlJc w:val="left"/>
      <w:pPr>
        <w:ind w:left="3076" w:hanging="567"/>
      </w:pPr>
      <w:rPr>
        <w:lang w:val="en-US" w:eastAsia="en-US" w:bidi="ar-SA"/>
      </w:rPr>
    </w:lvl>
    <w:lvl w:ilvl="4" w:tplc="EF4E30C8">
      <w:numFmt w:val="bullet"/>
      <w:lvlText w:val="•"/>
      <w:lvlJc w:val="left"/>
      <w:pPr>
        <w:ind w:left="3975" w:hanging="567"/>
      </w:pPr>
      <w:rPr>
        <w:lang w:val="en-US" w:eastAsia="en-US" w:bidi="ar-SA"/>
      </w:rPr>
    </w:lvl>
    <w:lvl w:ilvl="5" w:tplc="E8CECEAA">
      <w:numFmt w:val="bullet"/>
      <w:lvlText w:val="•"/>
      <w:lvlJc w:val="left"/>
      <w:pPr>
        <w:ind w:left="4873" w:hanging="567"/>
      </w:pPr>
      <w:rPr>
        <w:lang w:val="en-US" w:eastAsia="en-US" w:bidi="ar-SA"/>
      </w:rPr>
    </w:lvl>
    <w:lvl w:ilvl="6" w:tplc="D8024D6C">
      <w:numFmt w:val="bullet"/>
      <w:lvlText w:val="•"/>
      <w:lvlJc w:val="left"/>
      <w:pPr>
        <w:ind w:left="5772" w:hanging="567"/>
      </w:pPr>
      <w:rPr>
        <w:lang w:val="en-US" w:eastAsia="en-US" w:bidi="ar-SA"/>
      </w:rPr>
    </w:lvl>
    <w:lvl w:ilvl="7" w:tplc="7E1A1F06">
      <w:numFmt w:val="bullet"/>
      <w:lvlText w:val="•"/>
      <w:lvlJc w:val="left"/>
      <w:pPr>
        <w:ind w:left="6670" w:hanging="567"/>
      </w:pPr>
      <w:rPr>
        <w:lang w:val="en-US" w:eastAsia="en-US" w:bidi="ar-SA"/>
      </w:rPr>
    </w:lvl>
    <w:lvl w:ilvl="8" w:tplc="78D2843C">
      <w:numFmt w:val="bullet"/>
      <w:lvlText w:val="•"/>
      <w:lvlJc w:val="left"/>
      <w:pPr>
        <w:ind w:left="7569" w:hanging="567"/>
      </w:pPr>
      <w:rPr>
        <w:lang w:val="en-US" w:eastAsia="en-US" w:bidi="ar-SA"/>
      </w:rPr>
    </w:lvl>
  </w:abstractNum>
  <w:abstractNum w:abstractNumId="134" w15:restartNumberingAfterBreak="0">
    <w:nsid w:val="28561AFD"/>
    <w:multiLevelType w:val="hybridMultilevel"/>
    <w:tmpl w:val="461AE424"/>
    <w:lvl w:ilvl="0" w:tplc="CD80582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ADC655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1B2266EE">
      <w:numFmt w:val="bullet"/>
      <w:lvlText w:val="•"/>
      <w:lvlJc w:val="left"/>
      <w:pPr>
        <w:ind w:left="2178" w:hanging="567"/>
      </w:pPr>
      <w:rPr>
        <w:lang w:val="en-US" w:eastAsia="en-US" w:bidi="ar-SA"/>
      </w:rPr>
    </w:lvl>
    <w:lvl w:ilvl="3" w:tplc="45BE0660">
      <w:numFmt w:val="bullet"/>
      <w:lvlText w:val="•"/>
      <w:lvlJc w:val="left"/>
      <w:pPr>
        <w:ind w:left="3076" w:hanging="567"/>
      </w:pPr>
      <w:rPr>
        <w:lang w:val="en-US" w:eastAsia="en-US" w:bidi="ar-SA"/>
      </w:rPr>
    </w:lvl>
    <w:lvl w:ilvl="4" w:tplc="EF4E30C8">
      <w:numFmt w:val="bullet"/>
      <w:lvlText w:val="•"/>
      <w:lvlJc w:val="left"/>
      <w:pPr>
        <w:ind w:left="3975" w:hanging="567"/>
      </w:pPr>
      <w:rPr>
        <w:lang w:val="en-US" w:eastAsia="en-US" w:bidi="ar-SA"/>
      </w:rPr>
    </w:lvl>
    <w:lvl w:ilvl="5" w:tplc="E8CECEAA">
      <w:numFmt w:val="bullet"/>
      <w:lvlText w:val="•"/>
      <w:lvlJc w:val="left"/>
      <w:pPr>
        <w:ind w:left="4873" w:hanging="567"/>
      </w:pPr>
      <w:rPr>
        <w:lang w:val="en-US" w:eastAsia="en-US" w:bidi="ar-SA"/>
      </w:rPr>
    </w:lvl>
    <w:lvl w:ilvl="6" w:tplc="D8024D6C">
      <w:numFmt w:val="bullet"/>
      <w:lvlText w:val="•"/>
      <w:lvlJc w:val="left"/>
      <w:pPr>
        <w:ind w:left="5772" w:hanging="567"/>
      </w:pPr>
      <w:rPr>
        <w:lang w:val="en-US" w:eastAsia="en-US" w:bidi="ar-SA"/>
      </w:rPr>
    </w:lvl>
    <w:lvl w:ilvl="7" w:tplc="7E1A1F06">
      <w:numFmt w:val="bullet"/>
      <w:lvlText w:val="•"/>
      <w:lvlJc w:val="left"/>
      <w:pPr>
        <w:ind w:left="6670" w:hanging="567"/>
      </w:pPr>
      <w:rPr>
        <w:lang w:val="en-US" w:eastAsia="en-US" w:bidi="ar-SA"/>
      </w:rPr>
    </w:lvl>
    <w:lvl w:ilvl="8" w:tplc="78D2843C">
      <w:numFmt w:val="bullet"/>
      <w:lvlText w:val="•"/>
      <w:lvlJc w:val="left"/>
      <w:pPr>
        <w:ind w:left="7569" w:hanging="567"/>
      </w:pPr>
      <w:rPr>
        <w:lang w:val="en-US" w:eastAsia="en-US" w:bidi="ar-SA"/>
      </w:rPr>
    </w:lvl>
  </w:abstractNum>
  <w:abstractNum w:abstractNumId="135" w15:restartNumberingAfterBreak="0">
    <w:nsid w:val="286D0CF7"/>
    <w:multiLevelType w:val="hybridMultilevel"/>
    <w:tmpl w:val="37E6F2FA"/>
    <w:lvl w:ilvl="0" w:tplc="27E4AF14">
      <w:start w:val="1"/>
      <w:numFmt w:val="lowerLetter"/>
      <w:lvlText w:val="(%1)"/>
      <w:lvlJc w:val="left"/>
      <w:pPr>
        <w:ind w:left="706" w:hanging="567"/>
      </w:pPr>
      <w:rPr>
        <w:rFonts w:ascii="Calibri" w:eastAsia="Calibri" w:hAnsi="Calibri" w:cs="Calibri" w:hint="default"/>
        <w:spacing w:val="-1"/>
        <w:w w:val="100"/>
        <w:sz w:val="22"/>
        <w:szCs w:val="22"/>
        <w:lang w:val="en-US" w:eastAsia="en-US" w:bidi="ar-SA"/>
      </w:rPr>
    </w:lvl>
    <w:lvl w:ilvl="1" w:tplc="322076F8">
      <w:start w:val="1"/>
      <w:numFmt w:val="decimal"/>
      <w:lvlText w:val="(%2)"/>
      <w:lvlJc w:val="left"/>
      <w:pPr>
        <w:ind w:left="1273" w:hanging="567"/>
      </w:pPr>
      <w:rPr>
        <w:rFonts w:ascii="Calibri" w:eastAsia="Calibri" w:hAnsi="Calibri" w:cs="Calibri" w:hint="default"/>
        <w:spacing w:val="-1"/>
        <w:w w:val="100"/>
        <w:sz w:val="22"/>
        <w:szCs w:val="22"/>
        <w:lang w:val="en-US" w:eastAsia="en-US" w:bidi="ar-SA"/>
      </w:rPr>
    </w:lvl>
    <w:lvl w:ilvl="2" w:tplc="7778BA72">
      <w:numFmt w:val="bullet"/>
      <w:lvlText w:val="•"/>
      <w:lvlJc w:val="left"/>
      <w:pPr>
        <w:ind w:left="2178" w:hanging="567"/>
      </w:pPr>
      <w:rPr>
        <w:rFonts w:hint="default"/>
        <w:lang w:val="en-US" w:eastAsia="en-US" w:bidi="ar-SA"/>
      </w:rPr>
    </w:lvl>
    <w:lvl w:ilvl="3" w:tplc="27B6C12C">
      <w:numFmt w:val="bullet"/>
      <w:lvlText w:val="•"/>
      <w:lvlJc w:val="left"/>
      <w:pPr>
        <w:ind w:left="3076" w:hanging="567"/>
      </w:pPr>
      <w:rPr>
        <w:rFonts w:hint="default"/>
        <w:lang w:val="en-US" w:eastAsia="en-US" w:bidi="ar-SA"/>
      </w:rPr>
    </w:lvl>
    <w:lvl w:ilvl="4" w:tplc="54AE0564">
      <w:numFmt w:val="bullet"/>
      <w:lvlText w:val="•"/>
      <w:lvlJc w:val="left"/>
      <w:pPr>
        <w:ind w:left="3975" w:hanging="567"/>
      </w:pPr>
      <w:rPr>
        <w:rFonts w:hint="default"/>
        <w:lang w:val="en-US" w:eastAsia="en-US" w:bidi="ar-SA"/>
      </w:rPr>
    </w:lvl>
    <w:lvl w:ilvl="5" w:tplc="371C76E6">
      <w:numFmt w:val="bullet"/>
      <w:lvlText w:val="•"/>
      <w:lvlJc w:val="left"/>
      <w:pPr>
        <w:ind w:left="4873" w:hanging="567"/>
      </w:pPr>
      <w:rPr>
        <w:rFonts w:hint="default"/>
        <w:lang w:val="en-US" w:eastAsia="en-US" w:bidi="ar-SA"/>
      </w:rPr>
    </w:lvl>
    <w:lvl w:ilvl="6" w:tplc="F23ED974">
      <w:numFmt w:val="bullet"/>
      <w:lvlText w:val="•"/>
      <w:lvlJc w:val="left"/>
      <w:pPr>
        <w:ind w:left="5772" w:hanging="567"/>
      </w:pPr>
      <w:rPr>
        <w:rFonts w:hint="default"/>
        <w:lang w:val="en-US" w:eastAsia="en-US" w:bidi="ar-SA"/>
      </w:rPr>
    </w:lvl>
    <w:lvl w:ilvl="7" w:tplc="BFB89860">
      <w:numFmt w:val="bullet"/>
      <w:lvlText w:val="•"/>
      <w:lvlJc w:val="left"/>
      <w:pPr>
        <w:ind w:left="6670" w:hanging="567"/>
      </w:pPr>
      <w:rPr>
        <w:rFonts w:hint="default"/>
        <w:lang w:val="en-US" w:eastAsia="en-US" w:bidi="ar-SA"/>
      </w:rPr>
    </w:lvl>
    <w:lvl w:ilvl="8" w:tplc="37E01F3A">
      <w:numFmt w:val="bullet"/>
      <w:lvlText w:val="•"/>
      <w:lvlJc w:val="left"/>
      <w:pPr>
        <w:ind w:left="7569" w:hanging="567"/>
      </w:pPr>
      <w:rPr>
        <w:rFonts w:hint="default"/>
        <w:lang w:val="en-US" w:eastAsia="en-US" w:bidi="ar-SA"/>
      </w:rPr>
    </w:lvl>
  </w:abstractNum>
  <w:abstractNum w:abstractNumId="136" w15:restartNumberingAfterBreak="0">
    <w:nsid w:val="28D0749B"/>
    <w:multiLevelType w:val="hybridMultilevel"/>
    <w:tmpl w:val="3B22D6A4"/>
    <w:lvl w:ilvl="0" w:tplc="EB1668B4">
      <w:start w:val="1"/>
      <w:numFmt w:val="lowerLetter"/>
      <w:lvlText w:val="(%1)"/>
      <w:lvlJc w:val="left"/>
      <w:pPr>
        <w:ind w:left="706" w:hanging="567"/>
        <w:jc w:val="right"/>
      </w:pPr>
      <w:rPr>
        <w:rFonts w:ascii="Calibri" w:eastAsia="Calibri" w:hAnsi="Calibri" w:cs="Calibri" w:hint="default"/>
        <w:spacing w:val="-1"/>
        <w:w w:val="100"/>
        <w:sz w:val="22"/>
        <w:szCs w:val="22"/>
        <w:lang w:val="en-US" w:eastAsia="en-US" w:bidi="ar-SA"/>
      </w:rPr>
    </w:lvl>
    <w:lvl w:ilvl="1" w:tplc="2752BB08">
      <w:numFmt w:val="bullet"/>
      <w:lvlText w:val="•"/>
      <w:lvlJc w:val="left"/>
      <w:pPr>
        <w:ind w:left="1566" w:hanging="567"/>
      </w:pPr>
      <w:rPr>
        <w:rFonts w:hint="default"/>
        <w:lang w:val="en-US" w:eastAsia="en-US" w:bidi="ar-SA"/>
      </w:rPr>
    </w:lvl>
    <w:lvl w:ilvl="2" w:tplc="DAE896C6">
      <w:numFmt w:val="bullet"/>
      <w:lvlText w:val="•"/>
      <w:lvlJc w:val="left"/>
      <w:pPr>
        <w:ind w:left="2433" w:hanging="567"/>
      </w:pPr>
      <w:rPr>
        <w:rFonts w:hint="default"/>
        <w:lang w:val="en-US" w:eastAsia="en-US" w:bidi="ar-SA"/>
      </w:rPr>
    </w:lvl>
    <w:lvl w:ilvl="3" w:tplc="A6742392">
      <w:numFmt w:val="bullet"/>
      <w:lvlText w:val="•"/>
      <w:lvlJc w:val="left"/>
      <w:pPr>
        <w:ind w:left="3299" w:hanging="567"/>
      </w:pPr>
      <w:rPr>
        <w:rFonts w:hint="default"/>
        <w:lang w:val="en-US" w:eastAsia="en-US" w:bidi="ar-SA"/>
      </w:rPr>
    </w:lvl>
    <w:lvl w:ilvl="4" w:tplc="FD0A1AFA">
      <w:numFmt w:val="bullet"/>
      <w:lvlText w:val="•"/>
      <w:lvlJc w:val="left"/>
      <w:pPr>
        <w:ind w:left="4166" w:hanging="567"/>
      </w:pPr>
      <w:rPr>
        <w:rFonts w:hint="default"/>
        <w:lang w:val="en-US" w:eastAsia="en-US" w:bidi="ar-SA"/>
      </w:rPr>
    </w:lvl>
    <w:lvl w:ilvl="5" w:tplc="655A827A">
      <w:numFmt w:val="bullet"/>
      <w:lvlText w:val="•"/>
      <w:lvlJc w:val="left"/>
      <w:pPr>
        <w:ind w:left="5033" w:hanging="567"/>
      </w:pPr>
      <w:rPr>
        <w:rFonts w:hint="default"/>
        <w:lang w:val="en-US" w:eastAsia="en-US" w:bidi="ar-SA"/>
      </w:rPr>
    </w:lvl>
    <w:lvl w:ilvl="6" w:tplc="0AE2D4D2">
      <w:numFmt w:val="bullet"/>
      <w:lvlText w:val="•"/>
      <w:lvlJc w:val="left"/>
      <w:pPr>
        <w:ind w:left="5899" w:hanging="567"/>
      </w:pPr>
      <w:rPr>
        <w:rFonts w:hint="default"/>
        <w:lang w:val="en-US" w:eastAsia="en-US" w:bidi="ar-SA"/>
      </w:rPr>
    </w:lvl>
    <w:lvl w:ilvl="7" w:tplc="3BFA52F0">
      <w:numFmt w:val="bullet"/>
      <w:lvlText w:val="•"/>
      <w:lvlJc w:val="left"/>
      <w:pPr>
        <w:ind w:left="6766" w:hanging="567"/>
      </w:pPr>
      <w:rPr>
        <w:rFonts w:hint="default"/>
        <w:lang w:val="en-US" w:eastAsia="en-US" w:bidi="ar-SA"/>
      </w:rPr>
    </w:lvl>
    <w:lvl w:ilvl="8" w:tplc="13CE2CD4">
      <w:numFmt w:val="bullet"/>
      <w:lvlText w:val="•"/>
      <w:lvlJc w:val="left"/>
      <w:pPr>
        <w:ind w:left="7633" w:hanging="567"/>
      </w:pPr>
      <w:rPr>
        <w:rFonts w:hint="default"/>
        <w:lang w:val="en-US" w:eastAsia="en-US" w:bidi="ar-SA"/>
      </w:rPr>
    </w:lvl>
  </w:abstractNum>
  <w:abstractNum w:abstractNumId="137" w15:restartNumberingAfterBreak="0">
    <w:nsid w:val="291D01C8"/>
    <w:multiLevelType w:val="hybridMultilevel"/>
    <w:tmpl w:val="0E786B76"/>
    <w:lvl w:ilvl="0" w:tplc="CD80582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ADC655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1B2266EE">
      <w:numFmt w:val="bullet"/>
      <w:lvlText w:val="•"/>
      <w:lvlJc w:val="left"/>
      <w:pPr>
        <w:ind w:left="2178" w:hanging="567"/>
      </w:pPr>
      <w:rPr>
        <w:lang w:val="en-US" w:eastAsia="en-US" w:bidi="ar-SA"/>
      </w:rPr>
    </w:lvl>
    <w:lvl w:ilvl="3" w:tplc="45BE0660">
      <w:numFmt w:val="bullet"/>
      <w:lvlText w:val="•"/>
      <w:lvlJc w:val="left"/>
      <w:pPr>
        <w:ind w:left="3076" w:hanging="567"/>
      </w:pPr>
      <w:rPr>
        <w:lang w:val="en-US" w:eastAsia="en-US" w:bidi="ar-SA"/>
      </w:rPr>
    </w:lvl>
    <w:lvl w:ilvl="4" w:tplc="EF4E30C8">
      <w:numFmt w:val="bullet"/>
      <w:lvlText w:val="•"/>
      <w:lvlJc w:val="left"/>
      <w:pPr>
        <w:ind w:left="3975" w:hanging="567"/>
      </w:pPr>
      <w:rPr>
        <w:lang w:val="en-US" w:eastAsia="en-US" w:bidi="ar-SA"/>
      </w:rPr>
    </w:lvl>
    <w:lvl w:ilvl="5" w:tplc="E8CECEAA">
      <w:numFmt w:val="bullet"/>
      <w:lvlText w:val="•"/>
      <w:lvlJc w:val="left"/>
      <w:pPr>
        <w:ind w:left="4873" w:hanging="567"/>
      </w:pPr>
      <w:rPr>
        <w:lang w:val="en-US" w:eastAsia="en-US" w:bidi="ar-SA"/>
      </w:rPr>
    </w:lvl>
    <w:lvl w:ilvl="6" w:tplc="D8024D6C">
      <w:numFmt w:val="bullet"/>
      <w:lvlText w:val="•"/>
      <w:lvlJc w:val="left"/>
      <w:pPr>
        <w:ind w:left="5772" w:hanging="567"/>
      </w:pPr>
      <w:rPr>
        <w:lang w:val="en-US" w:eastAsia="en-US" w:bidi="ar-SA"/>
      </w:rPr>
    </w:lvl>
    <w:lvl w:ilvl="7" w:tplc="7E1A1F06">
      <w:numFmt w:val="bullet"/>
      <w:lvlText w:val="•"/>
      <w:lvlJc w:val="left"/>
      <w:pPr>
        <w:ind w:left="6670" w:hanging="567"/>
      </w:pPr>
      <w:rPr>
        <w:lang w:val="en-US" w:eastAsia="en-US" w:bidi="ar-SA"/>
      </w:rPr>
    </w:lvl>
    <w:lvl w:ilvl="8" w:tplc="78D2843C">
      <w:numFmt w:val="bullet"/>
      <w:lvlText w:val="•"/>
      <w:lvlJc w:val="left"/>
      <w:pPr>
        <w:ind w:left="7569" w:hanging="567"/>
      </w:pPr>
      <w:rPr>
        <w:lang w:val="en-US" w:eastAsia="en-US" w:bidi="ar-SA"/>
      </w:rPr>
    </w:lvl>
  </w:abstractNum>
  <w:abstractNum w:abstractNumId="138" w15:restartNumberingAfterBreak="0">
    <w:nsid w:val="2935080E"/>
    <w:multiLevelType w:val="hybridMultilevel"/>
    <w:tmpl w:val="96DCDBB8"/>
    <w:lvl w:ilvl="0" w:tplc="3B744E7C">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B2A26036">
      <w:start w:val="1"/>
      <w:numFmt w:val="lowerRoman"/>
      <w:lvlText w:val="(%2)"/>
      <w:lvlJc w:val="left"/>
      <w:pPr>
        <w:ind w:left="1273" w:hanging="567"/>
      </w:pPr>
      <w:rPr>
        <w:rFonts w:ascii="Arial" w:eastAsia="Calibri" w:hAnsi="Arial" w:cs="Arial" w:hint="default"/>
        <w:spacing w:val="-1"/>
        <w:w w:val="100"/>
        <w:sz w:val="20"/>
        <w:szCs w:val="22"/>
        <w:lang w:val="en-US" w:eastAsia="en-US" w:bidi="ar-SA"/>
      </w:rPr>
    </w:lvl>
    <w:lvl w:ilvl="2" w:tplc="BE705018">
      <w:numFmt w:val="bullet"/>
      <w:lvlText w:val="•"/>
      <w:lvlJc w:val="left"/>
      <w:pPr>
        <w:ind w:left="2178" w:hanging="567"/>
      </w:pPr>
      <w:rPr>
        <w:rFonts w:hint="default"/>
        <w:lang w:val="en-US" w:eastAsia="en-US" w:bidi="ar-SA"/>
      </w:rPr>
    </w:lvl>
    <w:lvl w:ilvl="3" w:tplc="F86863DE">
      <w:numFmt w:val="bullet"/>
      <w:lvlText w:val="•"/>
      <w:lvlJc w:val="left"/>
      <w:pPr>
        <w:ind w:left="3076" w:hanging="567"/>
      </w:pPr>
      <w:rPr>
        <w:rFonts w:hint="default"/>
        <w:lang w:val="en-US" w:eastAsia="en-US" w:bidi="ar-SA"/>
      </w:rPr>
    </w:lvl>
    <w:lvl w:ilvl="4" w:tplc="CFA6BC22">
      <w:numFmt w:val="bullet"/>
      <w:lvlText w:val="•"/>
      <w:lvlJc w:val="left"/>
      <w:pPr>
        <w:ind w:left="3975" w:hanging="567"/>
      </w:pPr>
      <w:rPr>
        <w:rFonts w:hint="default"/>
        <w:lang w:val="en-US" w:eastAsia="en-US" w:bidi="ar-SA"/>
      </w:rPr>
    </w:lvl>
    <w:lvl w:ilvl="5" w:tplc="EA9014E0">
      <w:numFmt w:val="bullet"/>
      <w:lvlText w:val="•"/>
      <w:lvlJc w:val="left"/>
      <w:pPr>
        <w:ind w:left="4873" w:hanging="567"/>
      </w:pPr>
      <w:rPr>
        <w:rFonts w:hint="default"/>
        <w:lang w:val="en-US" w:eastAsia="en-US" w:bidi="ar-SA"/>
      </w:rPr>
    </w:lvl>
    <w:lvl w:ilvl="6" w:tplc="1534E808">
      <w:numFmt w:val="bullet"/>
      <w:lvlText w:val="•"/>
      <w:lvlJc w:val="left"/>
      <w:pPr>
        <w:ind w:left="5772" w:hanging="567"/>
      </w:pPr>
      <w:rPr>
        <w:rFonts w:hint="default"/>
        <w:lang w:val="en-US" w:eastAsia="en-US" w:bidi="ar-SA"/>
      </w:rPr>
    </w:lvl>
    <w:lvl w:ilvl="7" w:tplc="0B006826">
      <w:numFmt w:val="bullet"/>
      <w:lvlText w:val="•"/>
      <w:lvlJc w:val="left"/>
      <w:pPr>
        <w:ind w:left="6670" w:hanging="567"/>
      </w:pPr>
      <w:rPr>
        <w:rFonts w:hint="default"/>
        <w:lang w:val="en-US" w:eastAsia="en-US" w:bidi="ar-SA"/>
      </w:rPr>
    </w:lvl>
    <w:lvl w:ilvl="8" w:tplc="D452EE8A">
      <w:numFmt w:val="bullet"/>
      <w:lvlText w:val="•"/>
      <w:lvlJc w:val="left"/>
      <w:pPr>
        <w:ind w:left="7569" w:hanging="567"/>
      </w:pPr>
      <w:rPr>
        <w:rFonts w:hint="default"/>
        <w:lang w:val="en-US" w:eastAsia="en-US" w:bidi="ar-SA"/>
      </w:rPr>
    </w:lvl>
  </w:abstractNum>
  <w:abstractNum w:abstractNumId="139" w15:restartNumberingAfterBreak="0">
    <w:nsid w:val="29392B45"/>
    <w:multiLevelType w:val="hybridMultilevel"/>
    <w:tmpl w:val="B1465802"/>
    <w:lvl w:ilvl="0" w:tplc="C2CEFA44">
      <w:start w:val="1"/>
      <w:numFmt w:val="lowerRoman"/>
      <w:lvlText w:val="(%1)"/>
      <w:lvlJc w:val="left"/>
      <w:pPr>
        <w:ind w:left="1842" w:hanging="569"/>
      </w:pPr>
      <w:rPr>
        <w:rFonts w:ascii="Arial" w:eastAsia="Calibri" w:hAnsi="Arial" w:cs="Arial" w:hint="default"/>
        <w:spacing w:val="-1"/>
        <w:w w:val="100"/>
        <w:sz w:val="20"/>
        <w:szCs w:val="22"/>
        <w:lang w:val="en-US" w:eastAsia="en-US" w:bidi="ar-SA"/>
      </w:rPr>
    </w:lvl>
    <w:lvl w:ilvl="1" w:tplc="1528E8DE">
      <w:numFmt w:val="bullet"/>
      <w:lvlText w:val="•"/>
      <w:lvlJc w:val="left"/>
      <w:pPr>
        <w:ind w:left="2592" w:hanging="569"/>
      </w:pPr>
      <w:rPr>
        <w:rFonts w:hint="default"/>
        <w:lang w:val="en-US" w:eastAsia="en-US" w:bidi="ar-SA"/>
      </w:rPr>
    </w:lvl>
    <w:lvl w:ilvl="2" w:tplc="152EC41A">
      <w:numFmt w:val="bullet"/>
      <w:lvlText w:val="•"/>
      <w:lvlJc w:val="left"/>
      <w:pPr>
        <w:ind w:left="3345" w:hanging="569"/>
      </w:pPr>
      <w:rPr>
        <w:rFonts w:hint="default"/>
        <w:lang w:val="en-US" w:eastAsia="en-US" w:bidi="ar-SA"/>
      </w:rPr>
    </w:lvl>
    <w:lvl w:ilvl="3" w:tplc="8ED063B8">
      <w:numFmt w:val="bullet"/>
      <w:lvlText w:val="•"/>
      <w:lvlJc w:val="left"/>
      <w:pPr>
        <w:ind w:left="4097" w:hanging="569"/>
      </w:pPr>
      <w:rPr>
        <w:rFonts w:hint="default"/>
        <w:lang w:val="en-US" w:eastAsia="en-US" w:bidi="ar-SA"/>
      </w:rPr>
    </w:lvl>
    <w:lvl w:ilvl="4" w:tplc="1BC6DBAC">
      <w:numFmt w:val="bullet"/>
      <w:lvlText w:val="•"/>
      <w:lvlJc w:val="left"/>
      <w:pPr>
        <w:ind w:left="4850" w:hanging="569"/>
      </w:pPr>
      <w:rPr>
        <w:rFonts w:hint="default"/>
        <w:lang w:val="en-US" w:eastAsia="en-US" w:bidi="ar-SA"/>
      </w:rPr>
    </w:lvl>
    <w:lvl w:ilvl="5" w:tplc="E614175A">
      <w:numFmt w:val="bullet"/>
      <w:lvlText w:val="•"/>
      <w:lvlJc w:val="left"/>
      <w:pPr>
        <w:ind w:left="5603" w:hanging="569"/>
      </w:pPr>
      <w:rPr>
        <w:rFonts w:hint="default"/>
        <w:lang w:val="en-US" w:eastAsia="en-US" w:bidi="ar-SA"/>
      </w:rPr>
    </w:lvl>
    <w:lvl w:ilvl="6" w:tplc="18F49E62">
      <w:numFmt w:val="bullet"/>
      <w:lvlText w:val="•"/>
      <w:lvlJc w:val="left"/>
      <w:pPr>
        <w:ind w:left="6355" w:hanging="569"/>
      </w:pPr>
      <w:rPr>
        <w:rFonts w:hint="default"/>
        <w:lang w:val="en-US" w:eastAsia="en-US" w:bidi="ar-SA"/>
      </w:rPr>
    </w:lvl>
    <w:lvl w:ilvl="7" w:tplc="A63495A4">
      <w:numFmt w:val="bullet"/>
      <w:lvlText w:val="•"/>
      <w:lvlJc w:val="left"/>
      <w:pPr>
        <w:ind w:left="7108" w:hanging="569"/>
      </w:pPr>
      <w:rPr>
        <w:rFonts w:hint="default"/>
        <w:lang w:val="en-US" w:eastAsia="en-US" w:bidi="ar-SA"/>
      </w:rPr>
    </w:lvl>
    <w:lvl w:ilvl="8" w:tplc="2B6AD2EA">
      <w:numFmt w:val="bullet"/>
      <w:lvlText w:val="•"/>
      <w:lvlJc w:val="left"/>
      <w:pPr>
        <w:ind w:left="7861" w:hanging="569"/>
      </w:pPr>
      <w:rPr>
        <w:rFonts w:hint="default"/>
        <w:lang w:val="en-US" w:eastAsia="en-US" w:bidi="ar-SA"/>
      </w:rPr>
    </w:lvl>
  </w:abstractNum>
  <w:abstractNum w:abstractNumId="140" w15:restartNumberingAfterBreak="0">
    <w:nsid w:val="29A844BD"/>
    <w:multiLevelType w:val="hybridMultilevel"/>
    <w:tmpl w:val="F4529AD6"/>
    <w:lvl w:ilvl="0" w:tplc="96280030">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E4CCF790">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6BCAA432">
      <w:start w:val="1"/>
      <w:numFmt w:val="lowerRoman"/>
      <w:lvlText w:val="(%3)"/>
      <w:lvlJc w:val="left"/>
      <w:pPr>
        <w:ind w:left="1842" w:hanging="569"/>
      </w:pPr>
      <w:rPr>
        <w:rFonts w:ascii="Arial" w:eastAsia="Calibri" w:hAnsi="Arial" w:cs="Arial" w:hint="default"/>
        <w:spacing w:val="-1"/>
        <w:w w:val="100"/>
        <w:sz w:val="20"/>
        <w:szCs w:val="22"/>
        <w:lang w:val="en-US" w:eastAsia="en-US" w:bidi="ar-SA"/>
      </w:rPr>
    </w:lvl>
    <w:lvl w:ilvl="3" w:tplc="CED2D17E">
      <w:numFmt w:val="bullet"/>
      <w:lvlText w:val="•"/>
      <w:lvlJc w:val="left"/>
      <w:pPr>
        <w:ind w:left="2780" w:hanging="569"/>
      </w:pPr>
      <w:rPr>
        <w:rFonts w:hint="default"/>
        <w:lang w:val="en-US" w:eastAsia="en-US" w:bidi="ar-SA"/>
      </w:rPr>
    </w:lvl>
    <w:lvl w:ilvl="4" w:tplc="8F042E88">
      <w:numFmt w:val="bullet"/>
      <w:lvlText w:val="•"/>
      <w:lvlJc w:val="left"/>
      <w:pPr>
        <w:ind w:left="3721" w:hanging="569"/>
      </w:pPr>
      <w:rPr>
        <w:rFonts w:hint="default"/>
        <w:lang w:val="en-US" w:eastAsia="en-US" w:bidi="ar-SA"/>
      </w:rPr>
    </w:lvl>
    <w:lvl w:ilvl="5" w:tplc="749ACE18">
      <w:numFmt w:val="bullet"/>
      <w:lvlText w:val="•"/>
      <w:lvlJc w:val="left"/>
      <w:pPr>
        <w:ind w:left="4662" w:hanging="569"/>
      </w:pPr>
      <w:rPr>
        <w:rFonts w:hint="default"/>
        <w:lang w:val="en-US" w:eastAsia="en-US" w:bidi="ar-SA"/>
      </w:rPr>
    </w:lvl>
    <w:lvl w:ilvl="6" w:tplc="26FAA4FE">
      <w:numFmt w:val="bullet"/>
      <w:lvlText w:val="•"/>
      <w:lvlJc w:val="left"/>
      <w:pPr>
        <w:ind w:left="5603" w:hanging="569"/>
      </w:pPr>
      <w:rPr>
        <w:rFonts w:hint="default"/>
        <w:lang w:val="en-US" w:eastAsia="en-US" w:bidi="ar-SA"/>
      </w:rPr>
    </w:lvl>
    <w:lvl w:ilvl="7" w:tplc="4A562A18">
      <w:numFmt w:val="bullet"/>
      <w:lvlText w:val="•"/>
      <w:lvlJc w:val="left"/>
      <w:pPr>
        <w:ind w:left="6544" w:hanging="569"/>
      </w:pPr>
      <w:rPr>
        <w:rFonts w:hint="default"/>
        <w:lang w:val="en-US" w:eastAsia="en-US" w:bidi="ar-SA"/>
      </w:rPr>
    </w:lvl>
    <w:lvl w:ilvl="8" w:tplc="597E896A">
      <w:numFmt w:val="bullet"/>
      <w:lvlText w:val="•"/>
      <w:lvlJc w:val="left"/>
      <w:pPr>
        <w:ind w:left="7484" w:hanging="569"/>
      </w:pPr>
      <w:rPr>
        <w:rFonts w:hint="default"/>
        <w:lang w:val="en-US" w:eastAsia="en-US" w:bidi="ar-SA"/>
      </w:rPr>
    </w:lvl>
  </w:abstractNum>
  <w:abstractNum w:abstractNumId="141" w15:restartNumberingAfterBreak="0">
    <w:nsid w:val="29FB2F8D"/>
    <w:multiLevelType w:val="hybridMultilevel"/>
    <w:tmpl w:val="B542390A"/>
    <w:lvl w:ilvl="0" w:tplc="B6427118">
      <w:start w:val="1"/>
      <w:numFmt w:val="decimal"/>
      <w:lvlText w:val="%1."/>
      <w:lvlJc w:val="left"/>
      <w:pPr>
        <w:ind w:left="423" w:hanging="284"/>
      </w:pPr>
      <w:rPr>
        <w:rFonts w:ascii="Arial" w:eastAsia="Calibri" w:hAnsi="Arial" w:cs="Arial" w:hint="default"/>
        <w:w w:val="100"/>
        <w:sz w:val="20"/>
        <w:szCs w:val="16"/>
        <w:lang w:val="en-US" w:eastAsia="en-US" w:bidi="ar-SA"/>
      </w:rPr>
    </w:lvl>
    <w:lvl w:ilvl="1" w:tplc="C5F84148">
      <w:numFmt w:val="bullet"/>
      <w:lvlText w:val="•"/>
      <w:lvlJc w:val="left"/>
      <w:pPr>
        <w:ind w:left="1314" w:hanging="284"/>
      </w:pPr>
      <w:rPr>
        <w:rFonts w:hint="default"/>
        <w:lang w:val="en-US" w:eastAsia="en-US" w:bidi="ar-SA"/>
      </w:rPr>
    </w:lvl>
    <w:lvl w:ilvl="2" w:tplc="E6782280">
      <w:numFmt w:val="bullet"/>
      <w:lvlText w:val="•"/>
      <w:lvlJc w:val="left"/>
      <w:pPr>
        <w:ind w:left="2209" w:hanging="284"/>
      </w:pPr>
      <w:rPr>
        <w:rFonts w:hint="default"/>
        <w:lang w:val="en-US" w:eastAsia="en-US" w:bidi="ar-SA"/>
      </w:rPr>
    </w:lvl>
    <w:lvl w:ilvl="3" w:tplc="CEF28FE4">
      <w:numFmt w:val="bullet"/>
      <w:lvlText w:val="•"/>
      <w:lvlJc w:val="left"/>
      <w:pPr>
        <w:ind w:left="3103" w:hanging="284"/>
      </w:pPr>
      <w:rPr>
        <w:rFonts w:hint="default"/>
        <w:lang w:val="en-US" w:eastAsia="en-US" w:bidi="ar-SA"/>
      </w:rPr>
    </w:lvl>
    <w:lvl w:ilvl="4" w:tplc="ABAA30C8">
      <w:numFmt w:val="bullet"/>
      <w:lvlText w:val="•"/>
      <w:lvlJc w:val="left"/>
      <w:pPr>
        <w:ind w:left="3998" w:hanging="284"/>
      </w:pPr>
      <w:rPr>
        <w:rFonts w:hint="default"/>
        <w:lang w:val="en-US" w:eastAsia="en-US" w:bidi="ar-SA"/>
      </w:rPr>
    </w:lvl>
    <w:lvl w:ilvl="5" w:tplc="EA22BD26">
      <w:numFmt w:val="bullet"/>
      <w:lvlText w:val="•"/>
      <w:lvlJc w:val="left"/>
      <w:pPr>
        <w:ind w:left="4893" w:hanging="284"/>
      </w:pPr>
      <w:rPr>
        <w:rFonts w:hint="default"/>
        <w:lang w:val="en-US" w:eastAsia="en-US" w:bidi="ar-SA"/>
      </w:rPr>
    </w:lvl>
    <w:lvl w:ilvl="6" w:tplc="DEC23882">
      <w:numFmt w:val="bullet"/>
      <w:lvlText w:val="•"/>
      <w:lvlJc w:val="left"/>
      <w:pPr>
        <w:ind w:left="5787" w:hanging="284"/>
      </w:pPr>
      <w:rPr>
        <w:rFonts w:hint="default"/>
        <w:lang w:val="en-US" w:eastAsia="en-US" w:bidi="ar-SA"/>
      </w:rPr>
    </w:lvl>
    <w:lvl w:ilvl="7" w:tplc="28825B56">
      <w:numFmt w:val="bullet"/>
      <w:lvlText w:val="•"/>
      <w:lvlJc w:val="left"/>
      <w:pPr>
        <w:ind w:left="6682" w:hanging="284"/>
      </w:pPr>
      <w:rPr>
        <w:rFonts w:hint="default"/>
        <w:lang w:val="en-US" w:eastAsia="en-US" w:bidi="ar-SA"/>
      </w:rPr>
    </w:lvl>
    <w:lvl w:ilvl="8" w:tplc="6D6C4564">
      <w:numFmt w:val="bullet"/>
      <w:lvlText w:val="•"/>
      <w:lvlJc w:val="left"/>
      <w:pPr>
        <w:ind w:left="7577" w:hanging="284"/>
      </w:pPr>
      <w:rPr>
        <w:rFonts w:hint="default"/>
        <w:lang w:val="en-US" w:eastAsia="en-US" w:bidi="ar-SA"/>
      </w:rPr>
    </w:lvl>
  </w:abstractNum>
  <w:abstractNum w:abstractNumId="142" w15:restartNumberingAfterBreak="0">
    <w:nsid w:val="2A2037F7"/>
    <w:multiLevelType w:val="hybridMultilevel"/>
    <w:tmpl w:val="ED1A8E4E"/>
    <w:lvl w:ilvl="0" w:tplc="3F2E25BE">
      <w:start w:val="1"/>
      <w:numFmt w:val="decimal"/>
      <w:lvlText w:val="(%1)"/>
      <w:lvlJc w:val="left"/>
      <w:pPr>
        <w:ind w:left="1273" w:hanging="567"/>
      </w:pPr>
      <w:rPr>
        <w:rFonts w:ascii="Arial" w:eastAsia="Calibri" w:hAnsi="Arial" w:cs="Arial" w:hint="default"/>
        <w:spacing w:val="-1"/>
        <w:w w:val="100"/>
        <w:sz w:val="20"/>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2A291EC2"/>
    <w:multiLevelType w:val="hybridMultilevel"/>
    <w:tmpl w:val="461AE424"/>
    <w:lvl w:ilvl="0" w:tplc="CD80582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ADC655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1B2266EE">
      <w:numFmt w:val="bullet"/>
      <w:lvlText w:val="•"/>
      <w:lvlJc w:val="left"/>
      <w:pPr>
        <w:ind w:left="2178" w:hanging="567"/>
      </w:pPr>
      <w:rPr>
        <w:lang w:val="en-US" w:eastAsia="en-US" w:bidi="ar-SA"/>
      </w:rPr>
    </w:lvl>
    <w:lvl w:ilvl="3" w:tplc="45BE0660">
      <w:numFmt w:val="bullet"/>
      <w:lvlText w:val="•"/>
      <w:lvlJc w:val="left"/>
      <w:pPr>
        <w:ind w:left="3076" w:hanging="567"/>
      </w:pPr>
      <w:rPr>
        <w:lang w:val="en-US" w:eastAsia="en-US" w:bidi="ar-SA"/>
      </w:rPr>
    </w:lvl>
    <w:lvl w:ilvl="4" w:tplc="EF4E30C8">
      <w:numFmt w:val="bullet"/>
      <w:lvlText w:val="•"/>
      <w:lvlJc w:val="left"/>
      <w:pPr>
        <w:ind w:left="3975" w:hanging="567"/>
      </w:pPr>
      <w:rPr>
        <w:lang w:val="en-US" w:eastAsia="en-US" w:bidi="ar-SA"/>
      </w:rPr>
    </w:lvl>
    <w:lvl w:ilvl="5" w:tplc="E8CECEAA">
      <w:numFmt w:val="bullet"/>
      <w:lvlText w:val="•"/>
      <w:lvlJc w:val="left"/>
      <w:pPr>
        <w:ind w:left="4873" w:hanging="567"/>
      </w:pPr>
      <w:rPr>
        <w:lang w:val="en-US" w:eastAsia="en-US" w:bidi="ar-SA"/>
      </w:rPr>
    </w:lvl>
    <w:lvl w:ilvl="6" w:tplc="D8024D6C">
      <w:numFmt w:val="bullet"/>
      <w:lvlText w:val="•"/>
      <w:lvlJc w:val="left"/>
      <w:pPr>
        <w:ind w:left="5772" w:hanging="567"/>
      </w:pPr>
      <w:rPr>
        <w:lang w:val="en-US" w:eastAsia="en-US" w:bidi="ar-SA"/>
      </w:rPr>
    </w:lvl>
    <w:lvl w:ilvl="7" w:tplc="7E1A1F06">
      <w:numFmt w:val="bullet"/>
      <w:lvlText w:val="•"/>
      <w:lvlJc w:val="left"/>
      <w:pPr>
        <w:ind w:left="6670" w:hanging="567"/>
      </w:pPr>
      <w:rPr>
        <w:lang w:val="en-US" w:eastAsia="en-US" w:bidi="ar-SA"/>
      </w:rPr>
    </w:lvl>
    <w:lvl w:ilvl="8" w:tplc="78D2843C">
      <w:numFmt w:val="bullet"/>
      <w:lvlText w:val="•"/>
      <w:lvlJc w:val="left"/>
      <w:pPr>
        <w:ind w:left="7569" w:hanging="567"/>
      </w:pPr>
      <w:rPr>
        <w:lang w:val="en-US" w:eastAsia="en-US" w:bidi="ar-SA"/>
      </w:rPr>
    </w:lvl>
  </w:abstractNum>
  <w:abstractNum w:abstractNumId="144" w15:restartNumberingAfterBreak="0">
    <w:nsid w:val="2A3144D8"/>
    <w:multiLevelType w:val="hybridMultilevel"/>
    <w:tmpl w:val="2B3E4648"/>
    <w:lvl w:ilvl="0" w:tplc="90A8089C">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55AAE838">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4B2E97B0">
      <w:numFmt w:val="bullet"/>
      <w:lvlText w:val="•"/>
      <w:lvlJc w:val="left"/>
      <w:pPr>
        <w:ind w:left="2178" w:hanging="567"/>
      </w:pPr>
      <w:rPr>
        <w:rFonts w:hint="default"/>
        <w:lang w:val="en-US" w:eastAsia="en-US" w:bidi="ar-SA"/>
      </w:rPr>
    </w:lvl>
    <w:lvl w:ilvl="3" w:tplc="C63A4D1E">
      <w:numFmt w:val="bullet"/>
      <w:lvlText w:val="•"/>
      <w:lvlJc w:val="left"/>
      <w:pPr>
        <w:ind w:left="3076" w:hanging="567"/>
      </w:pPr>
      <w:rPr>
        <w:rFonts w:hint="default"/>
        <w:lang w:val="en-US" w:eastAsia="en-US" w:bidi="ar-SA"/>
      </w:rPr>
    </w:lvl>
    <w:lvl w:ilvl="4" w:tplc="FD868988">
      <w:numFmt w:val="bullet"/>
      <w:lvlText w:val="•"/>
      <w:lvlJc w:val="left"/>
      <w:pPr>
        <w:ind w:left="3975" w:hanging="567"/>
      </w:pPr>
      <w:rPr>
        <w:rFonts w:hint="default"/>
        <w:lang w:val="en-US" w:eastAsia="en-US" w:bidi="ar-SA"/>
      </w:rPr>
    </w:lvl>
    <w:lvl w:ilvl="5" w:tplc="A1BE680A">
      <w:numFmt w:val="bullet"/>
      <w:lvlText w:val="•"/>
      <w:lvlJc w:val="left"/>
      <w:pPr>
        <w:ind w:left="4873" w:hanging="567"/>
      </w:pPr>
      <w:rPr>
        <w:rFonts w:hint="default"/>
        <w:lang w:val="en-US" w:eastAsia="en-US" w:bidi="ar-SA"/>
      </w:rPr>
    </w:lvl>
    <w:lvl w:ilvl="6" w:tplc="DD34A4AC">
      <w:numFmt w:val="bullet"/>
      <w:lvlText w:val="•"/>
      <w:lvlJc w:val="left"/>
      <w:pPr>
        <w:ind w:left="5772" w:hanging="567"/>
      </w:pPr>
      <w:rPr>
        <w:rFonts w:hint="default"/>
        <w:lang w:val="en-US" w:eastAsia="en-US" w:bidi="ar-SA"/>
      </w:rPr>
    </w:lvl>
    <w:lvl w:ilvl="7" w:tplc="FCC25542">
      <w:numFmt w:val="bullet"/>
      <w:lvlText w:val="•"/>
      <w:lvlJc w:val="left"/>
      <w:pPr>
        <w:ind w:left="6670" w:hanging="567"/>
      </w:pPr>
      <w:rPr>
        <w:rFonts w:hint="default"/>
        <w:lang w:val="en-US" w:eastAsia="en-US" w:bidi="ar-SA"/>
      </w:rPr>
    </w:lvl>
    <w:lvl w:ilvl="8" w:tplc="281C0BA0">
      <w:numFmt w:val="bullet"/>
      <w:lvlText w:val="•"/>
      <w:lvlJc w:val="left"/>
      <w:pPr>
        <w:ind w:left="7569" w:hanging="567"/>
      </w:pPr>
      <w:rPr>
        <w:rFonts w:hint="default"/>
        <w:lang w:val="en-US" w:eastAsia="en-US" w:bidi="ar-SA"/>
      </w:rPr>
    </w:lvl>
  </w:abstractNum>
  <w:abstractNum w:abstractNumId="145" w15:restartNumberingAfterBreak="0">
    <w:nsid w:val="2A606228"/>
    <w:multiLevelType w:val="hybridMultilevel"/>
    <w:tmpl w:val="FB5A3FA6"/>
    <w:lvl w:ilvl="0" w:tplc="CD80582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ADC655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1B2266EE">
      <w:numFmt w:val="bullet"/>
      <w:lvlText w:val="•"/>
      <w:lvlJc w:val="left"/>
      <w:pPr>
        <w:ind w:left="2178" w:hanging="567"/>
      </w:pPr>
      <w:rPr>
        <w:lang w:val="en-US" w:eastAsia="en-US" w:bidi="ar-SA"/>
      </w:rPr>
    </w:lvl>
    <w:lvl w:ilvl="3" w:tplc="45BE0660">
      <w:numFmt w:val="bullet"/>
      <w:lvlText w:val="•"/>
      <w:lvlJc w:val="left"/>
      <w:pPr>
        <w:ind w:left="3076" w:hanging="567"/>
      </w:pPr>
      <w:rPr>
        <w:lang w:val="en-US" w:eastAsia="en-US" w:bidi="ar-SA"/>
      </w:rPr>
    </w:lvl>
    <w:lvl w:ilvl="4" w:tplc="EF4E30C8">
      <w:numFmt w:val="bullet"/>
      <w:lvlText w:val="•"/>
      <w:lvlJc w:val="left"/>
      <w:pPr>
        <w:ind w:left="3975" w:hanging="567"/>
      </w:pPr>
      <w:rPr>
        <w:lang w:val="en-US" w:eastAsia="en-US" w:bidi="ar-SA"/>
      </w:rPr>
    </w:lvl>
    <w:lvl w:ilvl="5" w:tplc="E8CECEAA">
      <w:numFmt w:val="bullet"/>
      <w:lvlText w:val="•"/>
      <w:lvlJc w:val="left"/>
      <w:pPr>
        <w:ind w:left="4873" w:hanging="567"/>
      </w:pPr>
      <w:rPr>
        <w:lang w:val="en-US" w:eastAsia="en-US" w:bidi="ar-SA"/>
      </w:rPr>
    </w:lvl>
    <w:lvl w:ilvl="6" w:tplc="D8024D6C">
      <w:numFmt w:val="bullet"/>
      <w:lvlText w:val="•"/>
      <w:lvlJc w:val="left"/>
      <w:pPr>
        <w:ind w:left="5772" w:hanging="567"/>
      </w:pPr>
      <w:rPr>
        <w:lang w:val="en-US" w:eastAsia="en-US" w:bidi="ar-SA"/>
      </w:rPr>
    </w:lvl>
    <w:lvl w:ilvl="7" w:tplc="7E1A1F06">
      <w:numFmt w:val="bullet"/>
      <w:lvlText w:val="•"/>
      <w:lvlJc w:val="left"/>
      <w:pPr>
        <w:ind w:left="6670" w:hanging="567"/>
      </w:pPr>
      <w:rPr>
        <w:lang w:val="en-US" w:eastAsia="en-US" w:bidi="ar-SA"/>
      </w:rPr>
    </w:lvl>
    <w:lvl w:ilvl="8" w:tplc="78D2843C">
      <w:numFmt w:val="bullet"/>
      <w:lvlText w:val="•"/>
      <w:lvlJc w:val="left"/>
      <w:pPr>
        <w:ind w:left="7569" w:hanging="567"/>
      </w:pPr>
      <w:rPr>
        <w:lang w:val="en-US" w:eastAsia="en-US" w:bidi="ar-SA"/>
      </w:rPr>
    </w:lvl>
  </w:abstractNum>
  <w:abstractNum w:abstractNumId="146" w15:restartNumberingAfterBreak="0">
    <w:nsid w:val="2A606FDC"/>
    <w:multiLevelType w:val="hybridMultilevel"/>
    <w:tmpl w:val="0EDA44E8"/>
    <w:lvl w:ilvl="0" w:tplc="07EAD6CE">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6E10F582">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C6F09B90">
      <w:numFmt w:val="bullet"/>
      <w:lvlText w:val="•"/>
      <w:lvlJc w:val="left"/>
      <w:pPr>
        <w:ind w:left="2178" w:hanging="567"/>
      </w:pPr>
      <w:rPr>
        <w:rFonts w:hint="default"/>
        <w:lang w:val="en-US" w:eastAsia="en-US" w:bidi="ar-SA"/>
      </w:rPr>
    </w:lvl>
    <w:lvl w:ilvl="3" w:tplc="78F49618">
      <w:numFmt w:val="bullet"/>
      <w:lvlText w:val="•"/>
      <w:lvlJc w:val="left"/>
      <w:pPr>
        <w:ind w:left="3076" w:hanging="567"/>
      </w:pPr>
      <w:rPr>
        <w:rFonts w:hint="default"/>
        <w:lang w:val="en-US" w:eastAsia="en-US" w:bidi="ar-SA"/>
      </w:rPr>
    </w:lvl>
    <w:lvl w:ilvl="4" w:tplc="804A1246">
      <w:numFmt w:val="bullet"/>
      <w:lvlText w:val="•"/>
      <w:lvlJc w:val="left"/>
      <w:pPr>
        <w:ind w:left="3975" w:hanging="567"/>
      </w:pPr>
      <w:rPr>
        <w:rFonts w:hint="default"/>
        <w:lang w:val="en-US" w:eastAsia="en-US" w:bidi="ar-SA"/>
      </w:rPr>
    </w:lvl>
    <w:lvl w:ilvl="5" w:tplc="5FD273AC">
      <w:numFmt w:val="bullet"/>
      <w:lvlText w:val="•"/>
      <w:lvlJc w:val="left"/>
      <w:pPr>
        <w:ind w:left="4873" w:hanging="567"/>
      </w:pPr>
      <w:rPr>
        <w:rFonts w:hint="default"/>
        <w:lang w:val="en-US" w:eastAsia="en-US" w:bidi="ar-SA"/>
      </w:rPr>
    </w:lvl>
    <w:lvl w:ilvl="6" w:tplc="FB7444CE">
      <w:numFmt w:val="bullet"/>
      <w:lvlText w:val="•"/>
      <w:lvlJc w:val="left"/>
      <w:pPr>
        <w:ind w:left="5772" w:hanging="567"/>
      </w:pPr>
      <w:rPr>
        <w:rFonts w:hint="default"/>
        <w:lang w:val="en-US" w:eastAsia="en-US" w:bidi="ar-SA"/>
      </w:rPr>
    </w:lvl>
    <w:lvl w:ilvl="7" w:tplc="117E5112">
      <w:numFmt w:val="bullet"/>
      <w:lvlText w:val="•"/>
      <w:lvlJc w:val="left"/>
      <w:pPr>
        <w:ind w:left="6670" w:hanging="567"/>
      </w:pPr>
      <w:rPr>
        <w:rFonts w:hint="default"/>
        <w:lang w:val="en-US" w:eastAsia="en-US" w:bidi="ar-SA"/>
      </w:rPr>
    </w:lvl>
    <w:lvl w:ilvl="8" w:tplc="7D882B9A">
      <w:numFmt w:val="bullet"/>
      <w:lvlText w:val="•"/>
      <w:lvlJc w:val="left"/>
      <w:pPr>
        <w:ind w:left="7569" w:hanging="567"/>
      </w:pPr>
      <w:rPr>
        <w:rFonts w:hint="default"/>
        <w:lang w:val="en-US" w:eastAsia="en-US" w:bidi="ar-SA"/>
      </w:rPr>
    </w:lvl>
  </w:abstractNum>
  <w:abstractNum w:abstractNumId="147" w15:restartNumberingAfterBreak="0">
    <w:nsid w:val="2AFA68C0"/>
    <w:multiLevelType w:val="hybridMultilevel"/>
    <w:tmpl w:val="4386B9EC"/>
    <w:lvl w:ilvl="0" w:tplc="2DB86670">
      <w:start w:val="1"/>
      <w:numFmt w:val="lowerLetter"/>
      <w:lvlText w:val="(%1)"/>
      <w:lvlJc w:val="left"/>
      <w:pPr>
        <w:ind w:left="515" w:hanging="431"/>
      </w:pPr>
      <w:rPr>
        <w:rFonts w:ascii="Arial" w:eastAsia="Calibri" w:hAnsi="Arial" w:cs="Arial" w:hint="default"/>
        <w:spacing w:val="-1"/>
        <w:w w:val="99"/>
        <w:sz w:val="20"/>
        <w:szCs w:val="20"/>
        <w:lang w:val="en-US" w:eastAsia="en-US" w:bidi="ar-SA"/>
      </w:rPr>
    </w:lvl>
    <w:lvl w:ilvl="1" w:tplc="B9963984">
      <w:numFmt w:val="bullet"/>
      <w:lvlText w:val="•"/>
      <w:lvlJc w:val="left"/>
      <w:pPr>
        <w:ind w:left="829" w:hanging="431"/>
      </w:pPr>
      <w:rPr>
        <w:rFonts w:hint="default"/>
        <w:lang w:val="en-US" w:eastAsia="en-US" w:bidi="ar-SA"/>
      </w:rPr>
    </w:lvl>
    <w:lvl w:ilvl="2" w:tplc="E9F86400">
      <w:numFmt w:val="bullet"/>
      <w:lvlText w:val="•"/>
      <w:lvlJc w:val="left"/>
      <w:pPr>
        <w:ind w:left="1138" w:hanging="431"/>
      </w:pPr>
      <w:rPr>
        <w:rFonts w:hint="default"/>
        <w:lang w:val="en-US" w:eastAsia="en-US" w:bidi="ar-SA"/>
      </w:rPr>
    </w:lvl>
    <w:lvl w:ilvl="3" w:tplc="B6E85D94">
      <w:numFmt w:val="bullet"/>
      <w:lvlText w:val="•"/>
      <w:lvlJc w:val="left"/>
      <w:pPr>
        <w:ind w:left="1448" w:hanging="431"/>
      </w:pPr>
      <w:rPr>
        <w:rFonts w:hint="default"/>
        <w:lang w:val="en-US" w:eastAsia="en-US" w:bidi="ar-SA"/>
      </w:rPr>
    </w:lvl>
    <w:lvl w:ilvl="4" w:tplc="8AB23D46">
      <w:numFmt w:val="bullet"/>
      <w:lvlText w:val="•"/>
      <w:lvlJc w:val="left"/>
      <w:pPr>
        <w:ind w:left="1757" w:hanging="431"/>
      </w:pPr>
      <w:rPr>
        <w:rFonts w:hint="default"/>
        <w:lang w:val="en-US" w:eastAsia="en-US" w:bidi="ar-SA"/>
      </w:rPr>
    </w:lvl>
    <w:lvl w:ilvl="5" w:tplc="0D78120A">
      <w:numFmt w:val="bullet"/>
      <w:lvlText w:val="•"/>
      <w:lvlJc w:val="left"/>
      <w:pPr>
        <w:ind w:left="2067" w:hanging="431"/>
      </w:pPr>
      <w:rPr>
        <w:rFonts w:hint="default"/>
        <w:lang w:val="en-US" w:eastAsia="en-US" w:bidi="ar-SA"/>
      </w:rPr>
    </w:lvl>
    <w:lvl w:ilvl="6" w:tplc="5A0E3D48">
      <w:numFmt w:val="bullet"/>
      <w:lvlText w:val="•"/>
      <w:lvlJc w:val="left"/>
      <w:pPr>
        <w:ind w:left="2376" w:hanging="431"/>
      </w:pPr>
      <w:rPr>
        <w:rFonts w:hint="default"/>
        <w:lang w:val="en-US" w:eastAsia="en-US" w:bidi="ar-SA"/>
      </w:rPr>
    </w:lvl>
    <w:lvl w:ilvl="7" w:tplc="469EAF32">
      <w:numFmt w:val="bullet"/>
      <w:lvlText w:val="•"/>
      <w:lvlJc w:val="left"/>
      <w:pPr>
        <w:ind w:left="2685" w:hanging="431"/>
      </w:pPr>
      <w:rPr>
        <w:rFonts w:hint="default"/>
        <w:lang w:val="en-US" w:eastAsia="en-US" w:bidi="ar-SA"/>
      </w:rPr>
    </w:lvl>
    <w:lvl w:ilvl="8" w:tplc="914483E8">
      <w:numFmt w:val="bullet"/>
      <w:lvlText w:val="•"/>
      <w:lvlJc w:val="left"/>
      <w:pPr>
        <w:ind w:left="2995" w:hanging="431"/>
      </w:pPr>
      <w:rPr>
        <w:rFonts w:hint="default"/>
        <w:lang w:val="en-US" w:eastAsia="en-US" w:bidi="ar-SA"/>
      </w:rPr>
    </w:lvl>
  </w:abstractNum>
  <w:abstractNum w:abstractNumId="148" w15:restartNumberingAfterBreak="0">
    <w:nsid w:val="2B1332B8"/>
    <w:multiLevelType w:val="hybridMultilevel"/>
    <w:tmpl w:val="2EA2458C"/>
    <w:lvl w:ilvl="0" w:tplc="19AE6D90">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7938BF76">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76144416">
      <w:numFmt w:val="bullet"/>
      <w:lvlText w:val="•"/>
      <w:lvlJc w:val="left"/>
      <w:pPr>
        <w:ind w:left="2178" w:hanging="567"/>
      </w:pPr>
      <w:rPr>
        <w:rFonts w:hint="default"/>
        <w:lang w:val="en-US" w:eastAsia="en-US" w:bidi="ar-SA"/>
      </w:rPr>
    </w:lvl>
    <w:lvl w:ilvl="3" w:tplc="7E889AFE">
      <w:numFmt w:val="bullet"/>
      <w:lvlText w:val="•"/>
      <w:lvlJc w:val="left"/>
      <w:pPr>
        <w:ind w:left="3076" w:hanging="567"/>
      </w:pPr>
      <w:rPr>
        <w:rFonts w:hint="default"/>
        <w:lang w:val="en-US" w:eastAsia="en-US" w:bidi="ar-SA"/>
      </w:rPr>
    </w:lvl>
    <w:lvl w:ilvl="4" w:tplc="89029B82">
      <w:numFmt w:val="bullet"/>
      <w:lvlText w:val="•"/>
      <w:lvlJc w:val="left"/>
      <w:pPr>
        <w:ind w:left="3975" w:hanging="567"/>
      </w:pPr>
      <w:rPr>
        <w:rFonts w:hint="default"/>
        <w:lang w:val="en-US" w:eastAsia="en-US" w:bidi="ar-SA"/>
      </w:rPr>
    </w:lvl>
    <w:lvl w:ilvl="5" w:tplc="388A7C7A">
      <w:numFmt w:val="bullet"/>
      <w:lvlText w:val="•"/>
      <w:lvlJc w:val="left"/>
      <w:pPr>
        <w:ind w:left="4873" w:hanging="567"/>
      </w:pPr>
      <w:rPr>
        <w:rFonts w:hint="default"/>
        <w:lang w:val="en-US" w:eastAsia="en-US" w:bidi="ar-SA"/>
      </w:rPr>
    </w:lvl>
    <w:lvl w:ilvl="6" w:tplc="F4620F8C">
      <w:numFmt w:val="bullet"/>
      <w:lvlText w:val="•"/>
      <w:lvlJc w:val="left"/>
      <w:pPr>
        <w:ind w:left="5772" w:hanging="567"/>
      </w:pPr>
      <w:rPr>
        <w:rFonts w:hint="default"/>
        <w:lang w:val="en-US" w:eastAsia="en-US" w:bidi="ar-SA"/>
      </w:rPr>
    </w:lvl>
    <w:lvl w:ilvl="7" w:tplc="C4C08FAA">
      <w:numFmt w:val="bullet"/>
      <w:lvlText w:val="•"/>
      <w:lvlJc w:val="left"/>
      <w:pPr>
        <w:ind w:left="6670" w:hanging="567"/>
      </w:pPr>
      <w:rPr>
        <w:rFonts w:hint="default"/>
        <w:lang w:val="en-US" w:eastAsia="en-US" w:bidi="ar-SA"/>
      </w:rPr>
    </w:lvl>
    <w:lvl w:ilvl="8" w:tplc="127EAB14">
      <w:numFmt w:val="bullet"/>
      <w:lvlText w:val="•"/>
      <w:lvlJc w:val="left"/>
      <w:pPr>
        <w:ind w:left="7569" w:hanging="567"/>
      </w:pPr>
      <w:rPr>
        <w:rFonts w:hint="default"/>
        <w:lang w:val="en-US" w:eastAsia="en-US" w:bidi="ar-SA"/>
      </w:rPr>
    </w:lvl>
  </w:abstractNum>
  <w:abstractNum w:abstractNumId="149" w15:restartNumberingAfterBreak="0">
    <w:nsid w:val="2BA338EA"/>
    <w:multiLevelType w:val="hybridMultilevel"/>
    <w:tmpl w:val="CB66A626"/>
    <w:lvl w:ilvl="0" w:tplc="CD80582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ADC655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1B2266EE">
      <w:numFmt w:val="bullet"/>
      <w:lvlText w:val="•"/>
      <w:lvlJc w:val="left"/>
      <w:pPr>
        <w:ind w:left="2178" w:hanging="567"/>
      </w:pPr>
      <w:rPr>
        <w:lang w:val="en-US" w:eastAsia="en-US" w:bidi="ar-SA"/>
      </w:rPr>
    </w:lvl>
    <w:lvl w:ilvl="3" w:tplc="45BE0660">
      <w:numFmt w:val="bullet"/>
      <w:lvlText w:val="•"/>
      <w:lvlJc w:val="left"/>
      <w:pPr>
        <w:ind w:left="3076" w:hanging="567"/>
      </w:pPr>
      <w:rPr>
        <w:lang w:val="en-US" w:eastAsia="en-US" w:bidi="ar-SA"/>
      </w:rPr>
    </w:lvl>
    <w:lvl w:ilvl="4" w:tplc="EF4E30C8">
      <w:numFmt w:val="bullet"/>
      <w:lvlText w:val="•"/>
      <w:lvlJc w:val="left"/>
      <w:pPr>
        <w:ind w:left="3975" w:hanging="567"/>
      </w:pPr>
      <w:rPr>
        <w:lang w:val="en-US" w:eastAsia="en-US" w:bidi="ar-SA"/>
      </w:rPr>
    </w:lvl>
    <w:lvl w:ilvl="5" w:tplc="E8CECEAA">
      <w:numFmt w:val="bullet"/>
      <w:lvlText w:val="•"/>
      <w:lvlJc w:val="left"/>
      <w:pPr>
        <w:ind w:left="4873" w:hanging="567"/>
      </w:pPr>
      <w:rPr>
        <w:lang w:val="en-US" w:eastAsia="en-US" w:bidi="ar-SA"/>
      </w:rPr>
    </w:lvl>
    <w:lvl w:ilvl="6" w:tplc="D8024D6C">
      <w:numFmt w:val="bullet"/>
      <w:lvlText w:val="•"/>
      <w:lvlJc w:val="left"/>
      <w:pPr>
        <w:ind w:left="5772" w:hanging="567"/>
      </w:pPr>
      <w:rPr>
        <w:lang w:val="en-US" w:eastAsia="en-US" w:bidi="ar-SA"/>
      </w:rPr>
    </w:lvl>
    <w:lvl w:ilvl="7" w:tplc="7E1A1F06">
      <w:numFmt w:val="bullet"/>
      <w:lvlText w:val="•"/>
      <w:lvlJc w:val="left"/>
      <w:pPr>
        <w:ind w:left="6670" w:hanging="567"/>
      </w:pPr>
      <w:rPr>
        <w:lang w:val="en-US" w:eastAsia="en-US" w:bidi="ar-SA"/>
      </w:rPr>
    </w:lvl>
    <w:lvl w:ilvl="8" w:tplc="78D2843C">
      <w:numFmt w:val="bullet"/>
      <w:lvlText w:val="•"/>
      <w:lvlJc w:val="left"/>
      <w:pPr>
        <w:ind w:left="7569" w:hanging="567"/>
      </w:pPr>
      <w:rPr>
        <w:lang w:val="en-US" w:eastAsia="en-US" w:bidi="ar-SA"/>
      </w:rPr>
    </w:lvl>
  </w:abstractNum>
  <w:abstractNum w:abstractNumId="150" w15:restartNumberingAfterBreak="0">
    <w:nsid w:val="2C0F77B1"/>
    <w:multiLevelType w:val="hybridMultilevel"/>
    <w:tmpl w:val="E356E07E"/>
    <w:lvl w:ilvl="0" w:tplc="EFC64916">
      <w:start w:val="1"/>
      <w:numFmt w:val="lowerRoman"/>
      <w:lvlText w:val="(%1)"/>
      <w:lvlJc w:val="left"/>
      <w:pPr>
        <w:ind w:left="1842" w:hanging="569"/>
      </w:pPr>
      <w:rPr>
        <w:rFonts w:ascii="Arial" w:eastAsia="Calibri" w:hAnsi="Arial" w:cs="Arial" w:hint="default"/>
        <w:spacing w:val="-1"/>
        <w:w w:val="100"/>
        <w:sz w:val="20"/>
        <w:szCs w:val="22"/>
        <w:lang w:val="en-US" w:eastAsia="en-US" w:bidi="ar-SA"/>
      </w:rPr>
    </w:lvl>
    <w:lvl w:ilvl="1" w:tplc="F62C9EEE">
      <w:numFmt w:val="bullet"/>
      <w:lvlText w:val="•"/>
      <w:lvlJc w:val="left"/>
      <w:pPr>
        <w:ind w:left="2592" w:hanging="569"/>
      </w:pPr>
      <w:rPr>
        <w:rFonts w:hint="default"/>
        <w:lang w:val="en-US" w:eastAsia="en-US" w:bidi="ar-SA"/>
      </w:rPr>
    </w:lvl>
    <w:lvl w:ilvl="2" w:tplc="B91E55C8">
      <w:numFmt w:val="bullet"/>
      <w:lvlText w:val="•"/>
      <w:lvlJc w:val="left"/>
      <w:pPr>
        <w:ind w:left="3345" w:hanging="569"/>
      </w:pPr>
      <w:rPr>
        <w:rFonts w:hint="default"/>
        <w:lang w:val="en-US" w:eastAsia="en-US" w:bidi="ar-SA"/>
      </w:rPr>
    </w:lvl>
    <w:lvl w:ilvl="3" w:tplc="56404A50">
      <w:numFmt w:val="bullet"/>
      <w:lvlText w:val="•"/>
      <w:lvlJc w:val="left"/>
      <w:pPr>
        <w:ind w:left="4097" w:hanging="569"/>
      </w:pPr>
      <w:rPr>
        <w:rFonts w:hint="default"/>
        <w:lang w:val="en-US" w:eastAsia="en-US" w:bidi="ar-SA"/>
      </w:rPr>
    </w:lvl>
    <w:lvl w:ilvl="4" w:tplc="2B78059E">
      <w:numFmt w:val="bullet"/>
      <w:lvlText w:val="•"/>
      <w:lvlJc w:val="left"/>
      <w:pPr>
        <w:ind w:left="4850" w:hanging="569"/>
      </w:pPr>
      <w:rPr>
        <w:rFonts w:hint="default"/>
        <w:lang w:val="en-US" w:eastAsia="en-US" w:bidi="ar-SA"/>
      </w:rPr>
    </w:lvl>
    <w:lvl w:ilvl="5" w:tplc="C44659E4">
      <w:numFmt w:val="bullet"/>
      <w:lvlText w:val="•"/>
      <w:lvlJc w:val="left"/>
      <w:pPr>
        <w:ind w:left="5603" w:hanging="569"/>
      </w:pPr>
      <w:rPr>
        <w:rFonts w:hint="default"/>
        <w:lang w:val="en-US" w:eastAsia="en-US" w:bidi="ar-SA"/>
      </w:rPr>
    </w:lvl>
    <w:lvl w:ilvl="6" w:tplc="DCB82E96">
      <w:numFmt w:val="bullet"/>
      <w:lvlText w:val="•"/>
      <w:lvlJc w:val="left"/>
      <w:pPr>
        <w:ind w:left="6355" w:hanging="569"/>
      </w:pPr>
      <w:rPr>
        <w:rFonts w:hint="default"/>
        <w:lang w:val="en-US" w:eastAsia="en-US" w:bidi="ar-SA"/>
      </w:rPr>
    </w:lvl>
    <w:lvl w:ilvl="7" w:tplc="AE4C1CA8">
      <w:numFmt w:val="bullet"/>
      <w:lvlText w:val="•"/>
      <w:lvlJc w:val="left"/>
      <w:pPr>
        <w:ind w:left="7108" w:hanging="569"/>
      </w:pPr>
      <w:rPr>
        <w:rFonts w:hint="default"/>
        <w:lang w:val="en-US" w:eastAsia="en-US" w:bidi="ar-SA"/>
      </w:rPr>
    </w:lvl>
    <w:lvl w:ilvl="8" w:tplc="D7C42560">
      <w:numFmt w:val="bullet"/>
      <w:lvlText w:val="•"/>
      <w:lvlJc w:val="left"/>
      <w:pPr>
        <w:ind w:left="7861" w:hanging="569"/>
      </w:pPr>
      <w:rPr>
        <w:rFonts w:hint="default"/>
        <w:lang w:val="en-US" w:eastAsia="en-US" w:bidi="ar-SA"/>
      </w:rPr>
    </w:lvl>
  </w:abstractNum>
  <w:abstractNum w:abstractNumId="151" w15:restartNumberingAfterBreak="0">
    <w:nsid w:val="2C1E282E"/>
    <w:multiLevelType w:val="hybridMultilevel"/>
    <w:tmpl w:val="EB7A461E"/>
    <w:lvl w:ilvl="0" w:tplc="59E8B43C">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1A34A25E">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69F09B58">
      <w:numFmt w:val="bullet"/>
      <w:lvlText w:val="•"/>
      <w:lvlJc w:val="left"/>
      <w:pPr>
        <w:ind w:left="2178" w:hanging="567"/>
      </w:pPr>
      <w:rPr>
        <w:rFonts w:hint="default"/>
        <w:lang w:val="en-US" w:eastAsia="en-US" w:bidi="ar-SA"/>
      </w:rPr>
    </w:lvl>
    <w:lvl w:ilvl="3" w:tplc="30323C1E">
      <w:numFmt w:val="bullet"/>
      <w:lvlText w:val="•"/>
      <w:lvlJc w:val="left"/>
      <w:pPr>
        <w:ind w:left="3076" w:hanging="567"/>
      </w:pPr>
      <w:rPr>
        <w:rFonts w:hint="default"/>
        <w:lang w:val="en-US" w:eastAsia="en-US" w:bidi="ar-SA"/>
      </w:rPr>
    </w:lvl>
    <w:lvl w:ilvl="4" w:tplc="95566F66">
      <w:numFmt w:val="bullet"/>
      <w:lvlText w:val="•"/>
      <w:lvlJc w:val="left"/>
      <w:pPr>
        <w:ind w:left="3975" w:hanging="567"/>
      </w:pPr>
      <w:rPr>
        <w:rFonts w:hint="default"/>
        <w:lang w:val="en-US" w:eastAsia="en-US" w:bidi="ar-SA"/>
      </w:rPr>
    </w:lvl>
    <w:lvl w:ilvl="5" w:tplc="343C5EA6">
      <w:numFmt w:val="bullet"/>
      <w:lvlText w:val="•"/>
      <w:lvlJc w:val="left"/>
      <w:pPr>
        <w:ind w:left="4873" w:hanging="567"/>
      </w:pPr>
      <w:rPr>
        <w:rFonts w:hint="default"/>
        <w:lang w:val="en-US" w:eastAsia="en-US" w:bidi="ar-SA"/>
      </w:rPr>
    </w:lvl>
    <w:lvl w:ilvl="6" w:tplc="9C60ABCC">
      <w:numFmt w:val="bullet"/>
      <w:lvlText w:val="•"/>
      <w:lvlJc w:val="left"/>
      <w:pPr>
        <w:ind w:left="5772" w:hanging="567"/>
      </w:pPr>
      <w:rPr>
        <w:rFonts w:hint="default"/>
        <w:lang w:val="en-US" w:eastAsia="en-US" w:bidi="ar-SA"/>
      </w:rPr>
    </w:lvl>
    <w:lvl w:ilvl="7" w:tplc="4AD080DE">
      <w:numFmt w:val="bullet"/>
      <w:lvlText w:val="•"/>
      <w:lvlJc w:val="left"/>
      <w:pPr>
        <w:ind w:left="6670" w:hanging="567"/>
      </w:pPr>
      <w:rPr>
        <w:rFonts w:hint="default"/>
        <w:lang w:val="en-US" w:eastAsia="en-US" w:bidi="ar-SA"/>
      </w:rPr>
    </w:lvl>
    <w:lvl w:ilvl="8" w:tplc="65E69896">
      <w:numFmt w:val="bullet"/>
      <w:lvlText w:val="•"/>
      <w:lvlJc w:val="left"/>
      <w:pPr>
        <w:ind w:left="7569" w:hanging="567"/>
      </w:pPr>
      <w:rPr>
        <w:rFonts w:hint="default"/>
        <w:lang w:val="en-US" w:eastAsia="en-US" w:bidi="ar-SA"/>
      </w:rPr>
    </w:lvl>
  </w:abstractNum>
  <w:abstractNum w:abstractNumId="152" w15:restartNumberingAfterBreak="0">
    <w:nsid w:val="2C3F1EDB"/>
    <w:multiLevelType w:val="hybridMultilevel"/>
    <w:tmpl w:val="15B04B80"/>
    <w:lvl w:ilvl="0" w:tplc="DCD8D286">
      <w:start w:val="1"/>
      <w:numFmt w:val="lowerRoman"/>
      <w:lvlText w:val="(%1)"/>
      <w:lvlJc w:val="left"/>
      <w:pPr>
        <w:ind w:left="2408" w:hanging="567"/>
      </w:pPr>
      <w:rPr>
        <w:rFonts w:ascii="Arial" w:eastAsia="Calibri" w:hAnsi="Arial" w:cs="Arial" w:hint="default"/>
        <w:spacing w:val="-1"/>
        <w:w w:val="100"/>
        <w:sz w:val="20"/>
        <w:szCs w:val="22"/>
        <w:lang w:val="en-US" w:eastAsia="en-US" w:bidi="ar-SA"/>
      </w:rPr>
    </w:lvl>
    <w:lvl w:ilvl="1" w:tplc="EEAAB922">
      <w:numFmt w:val="bullet"/>
      <w:lvlText w:val="•"/>
      <w:lvlJc w:val="left"/>
      <w:pPr>
        <w:ind w:left="3096" w:hanging="567"/>
      </w:pPr>
      <w:rPr>
        <w:rFonts w:hint="default"/>
        <w:lang w:val="en-US" w:eastAsia="en-US" w:bidi="ar-SA"/>
      </w:rPr>
    </w:lvl>
    <w:lvl w:ilvl="2" w:tplc="C9626B5A">
      <w:numFmt w:val="bullet"/>
      <w:lvlText w:val="•"/>
      <w:lvlJc w:val="left"/>
      <w:pPr>
        <w:ind w:left="3793" w:hanging="567"/>
      </w:pPr>
      <w:rPr>
        <w:rFonts w:hint="default"/>
        <w:lang w:val="en-US" w:eastAsia="en-US" w:bidi="ar-SA"/>
      </w:rPr>
    </w:lvl>
    <w:lvl w:ilvl="3" w:tplc="D1D44E56">
      <w:numFmt w:val="bullet"/>
      <w:lvlText w:val="•"/>
      <w:lvlJc w:val="left"/>
      <w:pPr>
        <w:ind w:left="4489" w:hanging="567"/>
      </w:pPr>
      <w:rPr>
        <w:rFonts w:hint="default"/>
        <w:lang w:val="en-US" w:eastAsia="en-US" w:bidi="ar-SA"/>
      </w:rPr>
    </w:lvl>
    <w:lvl w:ilvl="4" w:tplc="D382BCF6">
      <w:numFmt w:val="bullet"/>
      <w:lvlText w:val="•"/>
      <w:lvlJc w:val="left"/>
      <w:pPr>
        <w:ind w:left="5186" w:hanging="567"/>
      </w:pPr>
      <w:rPr>
        <w:rFonts w:hint="default"/>
        <w:lang w:val="en-US" w:eastAsia="en-US" w:bidi="ar-SA"/>
      </w:rPr>
    </w:lvl>
    <w:lvl w:ilvl="5" w:tplc="C80877CC">
      <w:numFmt w:val="bullet"/>
      <w:lvlText w:val="•"/>
      <w:lvlJc w:val="left"/>
      <w:pPr>
        <w:ind w:left="5883" w:hanging="567"/>
      </w:pPr>
      <w:rPr>
        <w:rFonts w:hint="default"/>
        <w:lang w:val="en-US" w:eastAsia="en-US" w:bidi="ar-SA"/>
      </w:rPr>
    </w:lvl>
    <w:lvl w:ilvl="6" w:tplc="692E7B28">
      <w:numFmt w:val="bullet"/>
      <w:lvlText w:val="•"/>
      <w:lvlJc w:val="left"/>
      <w:pPr>
        <w:ind w:left="6579" w:hanging="567"/>
      </w:pPr>
      <w:rPr>
        <w:rFonts w:hint="default"/>
        <w:lang w:val="en-US" w:eastAsia="en-US" w:bidi="ar-SA"/>
      </w:rPr>
    </w:lvl>
    <w:lvl w:ilvl="7" w:tplc="370426BE">
      <w:numFmt w:val="bullet"/>
      <w:lvlText w:val="•"/>
      <w:lvlJc w:val="left"/>
      <w:pPr>
        <w:ind w:left="7276" w:hanging="567"/>
      </w:pPr>
      <w:rPr>
        <w:rFonts w:hint="default"/>
        <w:lang w:val="en-US" w:eastAsia="en-US" w:bidi="ar-SA"/>
      </w:rPr>
    </w:lvl>
    <w:lvl w:ilvl="8" w:tplc="8F9CEF96">
      <w:numFmt w:val="bullet"/>
      <w:lvlText w:val="•"/>
      <w:lvlJc w:val="left"/>
      <w:pPr>
        <w:ind w:left="7973" w:hanging="567"/>
      </w:pPr>
      <w:rPr>
        <w:rFonts w:hint="default"/>
        <w:lang w:val="en-US" w:eastAsia="en-US" w:bidi="ar-SA"/>
      </w:rPr>
    </w:lvl>
  </w:abstractNum>
  <w:abstractNum w:abstractNumId="153" w15:restartNumberingAfterBreak="0">
    <w:nsid w:val="2C724A67"/>
    <w:multiLevelType w:val="hybridMultilevel"/>
    <w:tmpl w:val="71BCA5EE"/>
    <w:lvl w:ilvl="0" w:tplc="2856D814">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2E26F3AA">
      <w:numFmt w:val="bullet"/>
      <w:lvlText w:val="•"/>
      <w:lvlJc w:val="left"/>
      <w:pPr>
        <w:ind w:left="1566" w:hanging="567"/>
      </w:pPr>
      <w:rPr>
        <w:rFonts w:hint="default"/>
        <w:lang w:val="en-US" w:eastAsia="en-US" w:bidi="ar-SA"/>
      </w:rPr>
    </w:lvl>
    <w:lvl w:ilvl="2" w:tplc="431CFA7C">
      <w:numFmt w:val="bullet"/>
      <w:lvlText w:val="•"/>
      <w:lvlJc w:val="left"/>
      <w:pPr>
        <w:ind w:left="2433" w:hanging="567"/>
      </w:pPr>
      <w:rPr>
        <w:rFonts w:hint="default"/>
        <w:lang w:val="en-US" w:eastAsia="en-US" w:bidi="ar-SA"/>
      </w:rPr>
    </w:lvl>
    <w:lvl w:ilvl="3" w:tplc="28861884">
      <w:numFmt w:val="bullet"/>
      <w:lvlText w:val="•"/>
      <w:lvlJc w:val="left"/>
      <w:pPr>
        <w:ind w:left="3299" w:hanging="567"/>
      </w:pPr>
      <w:rPr>
        <w:rFonts w:hint="default"/>
        <w:lang w:val="en-US" w:eastAsia="en-US" w:bidi="ar-SA"/>
      </w:rPr>
    </w:lvl>
    <w:lvl w:ilvl="4" w:tplc="E8E2E150">
      <w:numFmt w:val="bullet"/>
      <w:lvlText w:val="•"/>
      <w:lvlJc w:val="left"/>
      <w:pPr>
        <w:ind w:left="4166" w:hanging="567"/>
      </w:pPr>
      <w:rPr>
        <w:rFonts w:hint="default"/>
        <w:lang w:val="en-US" w:eastAsia="en-US" w:bidi="ar-SA"/>
      </w:rPr>
    </w:lvl>
    <w:lvl w:ilvl="5" w:tplc="5CF0DEF0">
      <w:numFmt w:val="bullet"/>
      <w:lvlText w:val="•"/>
      <w:lvlJc w:val="left"/>
      <w:pPr>
        <w:ind w:left="5033" w:hanging="567"/>
      </w:pPr>
      <w:rPr>
        <w:rFonts w:hint="default"/>
        <w:lang w:val="en-US" w:eastAsia="en-US" w:bidi="ar-SA"/>
      </w:rPr>
    </w:lvl>
    <w:lvl w:ilvl="6" w:tplc="5A9441B0">
      <w:numFmt w:val="bullet"/>
      <w:lvlText w:val="•"/>
      <w:lvlJc w:val="left"/>
      <w:pPr>
        <w:ind w:left="5899" w:hanging="567"/>
      </w:pPr>
      <w:rPr>
        <w:rFonts w:hint="default"/>
        <w:lang w:val="en-US" w:eastAsia="en-US" w:bidi="ar-SA"/>
      </w:rPr>
    </w:lvl>
    <w:lvl w:ilvl="7" w:tplc="54E2D142">
      <w:numFmt w:val="bullet"/>
      <w:lvlText w:val="•"/>
      <w:lvlJc w:val="left"/>
      <w:pPr>
        <w:ind w:left="6766" w:hanging="567"/>
      </w:pPr>
      <w:rPr>
        <w:rFonts w:hint="default"/>
        <w:lang w:val="en-US" w:eastAsia="en-US" w:bidi="ar-SA"/>
      </w:rPr>
    </w:lvl>
    <w:lvl w:ilvl="8" w:tplc="4F642236">
      <w:numFmt w:val="bullet"/>
      <w:lvlText w:val="•"/>
      <w:lvlJc w:val="left"/>
      <w:pPr>
        <w:ind w:left="7633" w:hanging="567"/>
      </w:pPr>
      <w:rPr>
        <w:rFonts w:hint="default"/>
        <w:lang w:val="en-US" w:eastAsia="en-US" w:bidi="ar-SA"/>
      </w:rPr>
    </w:lvl>
  </w:abstractNum>
  <w:abstractNum w:abstractNumId="154" w15:restartNumberingAfterBreak="0">
    <w:nsid w:val="2CCC5735"/>
    <w:multiLevelType w:val="hybridMultilevel"/>
    <w:tmpl w:val="06566238"/>
    <w:lvl w:ilvl="0" w:tplc="72B895C2">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819CE074">
      <w:numFmt w:val="bullet"/>
      <w:lvlText w:val="•"/>
      <w:lvlJc w:val="left"/>
      <w:pPr>
        <w:ind w:left="1566" w:hanging="567"/>
      </w:pPr>
      <w:rPr>
        <w:rFonts w:hint="default"/>
        <w:lang w:val="en-US" w:eastAsia="en-US" w:bidi="ar-SA"/>
      </w:rPr>
    </w:lvl>
    <w:lvl w:ilvl="2" w:tplc="400A167C">
      <w:numFmt w:val="bullet"/>
      <w:lvlText w:val="•"/>
      <w:lvlJc w:val="left"/>
      <w:pPr>
        <w:ind w:left="2433" w:hanging="567"/>
      </w:pPr>
      <w:rPr>
        <w:rFonts w:hint="default"/>
        <w:lang w:val="en-US" w:eastAsia="en-US" w:bidi="ar-SA"/>
      </w:rPr>
    </w:lvl>
    <w:lvl w:ilvl="3" w:tplc="E4505DCE">
      <w:numFmt w:val="bullet"/>
      <w:lvlText w:val="•"/>
      <w:lvlJc w:val="left"/>
      <w:pPr>
        <w:ind w:left="3299" w:hanging="567"/>
      </w:pPr>
      <w:rPr>
        <w:rFonts w:hint="default"/>
        <w:lang w:val="en-US" w:eastAsia="en-US" w:bidi="ar-SA"/>
      </w:rPr>
    </w:lvl>
    <w:lvl w:ilvl="4" w:tplc="048841BC">
      <w:numFmt w:val="bullet"/>
      <w:lvlText w:val="•"/>
      <w:lvlJc w:val="left"/>
      <w:pPr>
        <w:ind w:left="4166" w:hanging="567"/>
      </w:pPr>
      <w:rPr>
        <w:rFonts w:hint="default"/>
        <w:lang w:val="en-US" w:eastAsia="en-US" w:bidi="ar-SA"/>
      </w:rPr>
    </w:lvl>
    <w:lvl w:ilvl="5" w:tplc="371A44AC">
      <w:numFmt w:val="bullet"/>
      <w:lvlText w:val="•"/>
      <w:lvlJc w:val="left"/>
      <w:pPr>
        <w:ind w:left="5033" w:hanging="567"/>
      </w:pPr>
      <w:rPr>
        <w:rFonts w:hint="default"/>
        <w:lang w:val="en-US" w:eastAsia="en-US" w:bidi="ar-SA"/>
      </w:rPr>
    </w:lvl>
    <w:lvl w:ilvl="6" w:tplc="EF5E9FAE">
      <w:numFmt w:val="bullet"/>
      <w:lvlText w:val="•"/>
      <w:lvlJc w:val="left"/>
      <w:pPr>
        <w:ind w:left="5899" w:hanging="567"/>
      </w:pPr>
      <w:rPr>
        <w:rFonts w:hint="default"/>
        <w:lang w:val="en-US" w:eastAsia="en-US" w:bidi="ar-SA"/>
      </w:rPr>
    </w:lvl>
    <w:lvl w:ilvl="7" w:tplc="590EDDB4">
      <w:numFmt w:val="bullet"/>
      <w:lvlText w:val="•"/>
      <w:lvlJc w:val="left"/>
      <w:pPr>
        <w:ind w:left="6766" w:hanging="567"/>
      </w:pPr>
      <w:rPr>
        <w:rFonts w:hint="default"/>
        <w:lang w:val="en-US" w:eastAsia="en-US" w:bidi="ar-SA"/>
      </w:rPr>
    </w:lvl>
    <w:lvl w:ilvl="8" w:tplc="BB006F10">
      <w:numFmt w:val="bullet"/>
      <w:lvlText w:val="•"/>
      <w:lvlJc w:val="left"/>
      <w:pPr>
        <w:ind w:left="7633" w:hanging="567"/>
      </w:pPr>
      <w:rPr>
        <w:rFonts w:hint="default"/>
        <w:lang w:val="en-US" w:eastAsia="en-US" w:bidi="ar-SA"/>
      </w:rPr>
    </w:lvl>
  </w:abstractNum>
  <w:abstractNum w:abstractNumId="155" w15:restartNumberingAfterBreak="0">
    <w:nsid w:val="2D15486F"/>
    <w:multiLevelType w:val="hybridMultilevel"/>
    <w:tmpl w:val="C658A3FA"/>
    <w:lvl w:ilvl="0" w:tplc="1BDE5CDE">
      <w:start w:val="1"/>
      <w:numFmt w:val="decimal"/>
      <w:lvlText w:val="(%1)"/>
      <w:lvlJc w:val="left"/>
      <w:pPr>
        <w:ind w:left="706" w:hanging="567"/>
      </w:pPr>
      <w:rPr>
        <w:rFonts w:ascii="Arial" w:eastAsia="Calibri" w:hAnsi="Arial" w:cs="Arial" w:hint="default"/>
        <w:spacing w:val="-1"/>
        <w:w w:val="100"/>
        <w:sz w:val="20"/>
        <w:szCs w:val="22"/>
        <w:lang w:val="en-US" w:eastAsia="en-US" w:bidi="ar-SA"/>
      </w:rPr>
    </w:lvl>
    <w:lvl w:ilvl="1" w:tplc="DB76C69A">
      <w:numFmt w:val="bullet"/>
      <w:lvlText w:val="•"/>
      <w:lvlJc w:val="left"/>
      <w:pPr>
        <w:ind w:left="1566" w:hanging="567"/>
      </w:pPr>
      <w:rPr>
        <w:rFonts w:hint="default"/>
        <w:lang w:val="en-US" w:eastAsia="en-US" w:bidi="ar-SA"/>
      </w:rPr>
    </w:lvl>
    <w:lvl w:ilvl="2" w:tplc="A79A3848">
      <w:numFmt w:val="bullet"/>
      <w:lvlText w:val="•"/>
      <w:lvlJc w:val="left"/>
      <w:pPr>
        <w:ind w:left="2433" w:hanging="567"/>
      </w:pPr>
      <w:rPr>
        <w:rFonts w:hint="default"/>
        <w:lang w:val="en-US" w:eastAsia="en-US" w:bidi="ar-SA"/>
      </w:rPr>
    </w:lvl>
    <w:lvl w:ilvl="3" w:tplc="ADA88140">
      <w:numFmt w:val="bullet"/>
      <w:lvlText w:val="•"/>
      <w:lvlJc w:val="left"/>
      <w:pPr>
        <w:ind w:left="3299" w:hanging="567"/>
      </w:pPr>
      <w:rPr>
        <w:rFonts w:hint="default"/>
        <w:lang w:val="en-US" w:eastAsia="en-US" w:bidi="ar-SA"/>
      </w:rPr>
    </w:lvl>
    <w:lvl w:ilvl="4" w:tplc="19D46478">
      <w:numFmt w:val="bullet"/>
      <w:lvlText w:val="•"/>
      <w:lvlJc w:val="left"/>
      <w:pPr>
        <w:ind w:left="4166" w:hanging="567"/>
      </w:pPr>
      <w:rPr>
        <w:rFonts w:hint="default"/>
        <w:lang w:val="en-US" w:eastAsia="en-US" w:bidi="ar-SA"/>
      </w:rPr>
    </w:lvl>
    <w:lvl w:ilvl="5" w:tplc="AB24F964">
      <w:numFmt w:val="bullet"/>
      <w:lvlText w:val="•"/>
      <w:lvlJc w:val="left"/>
      <w:pPr>
        <w:ind w:left="5033" w:hanging="567"/>
      </w:pPr>
      <w:rPr>
        <w:rFonts w:hint="default"/>
        <w:lang w:val="en-US" w:eastAsia="en-US" w:bidi="ar-SA"/>
      </w:rPr>
    </w:lvl>
    <w:lvl w:ilvl="6" w:tplc="06F67FA8">
      <w:numFmt w:val="bullet"/>
      <w:lvlText w:val="•"/>
      <w:lvlJc w:val="left"/>
      <w:pPr>
        <w:ind w:left="5899" w:hanging="567"/>
      </w:pPr>
      <w:rPr>
        <w:rFonts w:hint="default"/>
        <w:lang w:val="en-US" w:eastAsia="en-US" w:bidi="ar-SA"/>
      </w:rPr>
    </w:lvl>
    <w:lvl w:ilvl="7" w:tplc="E584A588">
      <w:numFmt w:val="bullet"/>
      <w:lvlText w:val="•"/>
      <w:lvlJc w:val="left"/>
      <w:pPr>
        <w:ind w:left="6766" w:hanging="567"/>
      </w:pPr>
      <w:rPr>
        <w:rFonts w:hint="default"/>
        <w:lang w:val="en-US" w:eastAsia="en-US" w:bidi="ar-SA"/>
      </w:rPr>
    </w:lvl>
    <w:lvl w:ilvl="8" w:tplc="CD3AB46C">
      <w:numFmt w:val="bullet"/>
      <w:lvlText w:val="•"/>
      <w:lvlJc w:val="left"/>
      <w:pPr>
        <w:ind w:left="7633" w:hanging="567"/>
      </w:pPr>
      <w:rPr>
        <w:rFonts w:hint="default"/>
        <w:lang w:val="en-US" w:eastAsia="en-US" w:bidi="ar-SA"/>
      </w:rPr>
    </w:lvl>
  </w:abstractNum>
  <w:abstractNum w:abstractNumId="156" w15:restartNumberingAfterBreak="0">
    <w:nsid w:val="2D3C0F55"/>
    <w:multiLevelType w:val="hybridMultilevel"/>
    <w:tmpl w:val="ED1A8E4E"/>
    <w:lvl w:ilvl="0" w:tplc="3F2E25BE">
      <w:start w:val="1"/>
      <w:numFmt w:val="decimal"/>
      <w:lvlText w:val="(%1)"/>
      <w:lvlJc w:val="left"/>
      <w:pPr>
        <w:ind w:left="1273" w:hanging="567"/>
      </w:pPr>
      <w:rPr>
        <w:rFonts w:ascii="Arial" w:eastAsia="Calibri" w:hAnsi="Arial" w:cs="Arial" w:hint="default"/>
        <w:spacing w:val="-1"/>
        <w:w w:val="100"/>
        <w:sz w:val="20"/>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2D76338B"/>
    <w:multiLevelType w:val="hybridMultilevel"/>
    <w:tmpl w:val="0E786B76"/>
    <w:lvl w:ilvl="0" w:tplc="CD80582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ADC655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1B2266EE">
      <w:numFmt w:val="bullet"/>
      <w:lvlText w:val="•"/>
      <w:lvlJc w:val="left"/>
      <w:pPr>
        <w:ind w:left="2178" w:hanging="567"/>
      </w:pPr>
      <w:rPr>
        <w:lang w:val="en-US" w:eastAsia="en-US" w:bidi="ar-SA"/>
      </w:rPr>
    </w:lvl>
    <w:lvl w:ilvl="3" w:tplc="45BE0660">
      <w:numFmt w:val="bullet"/>
      <w:lvlText w:val="•"/>
      <w:lvlJc w:val="left"/>
      <w:pPr>
        <w:ind w:left="3076" w:hanging="567"/>
      </w:pPr>
      <w:rPr>
        <w:lang w:val="en-US" w:eastAsia="en-US" w:bidi="ar-SA"/>
      </w:rPr>
    </w:lvl>
    <w:lvl w:ilvl="4" w:tplc="EF4E30C8">
      <w:numFmt w:val="bullet"/>
      <w:lvlText w:val="•"/>
      <w:lvlJc w:val="left"/>
      <w:pPr>
        <w:ind w:left="3975" w:hanging="567"/>
      </w:pPr>
      <w:rPr>
        <w:lang w:val="en-US" w:eastAsia="en-US" w:bidi="ar-SA"/>
      </w:rPr>
    </w:lvl>
    <w:lvl w:ilvl="5" w:tplc="E8CECEAA">
      <w:numFmt w:val="bullet"/>
      <w:lvlText w:val="•"/>
      <w:lvlJc w:val="left"/>
      <w:pPr>
        <w:ind w:left="4873" w:hanging="567"/>
      </w:pPr>
      <w:rPr>
        <w:lang w:val="en-US" w:eastAsia="en-US" w:bidi="ar-SA"/>
      </w:rPr>
    </w:lvl>
    <w:lvl w:ilvl="6" w:tplc="D8024D6C">
      <w:numFmt w:val="bullet"/>
      <w:lvlText w:val="•"/>
      <w:lvlJc w:val="left"/>
      <w:pPr>
        <w:ind w:left="5772" w:hanging="567"/>
      </w:pPr>
      <w:rPr>
        <w:lang w:val="en-US" w:eastAsia="en-US" w:bidi="ar-SA"/>
      </w:rPr>
    </w:lvl>
    <w:lvl w:ilvl="7" w:tplc="7E1A1F06">
      <w:numFmt w:val="bullet"/>
      <w:lvlText w:val="•"/>
      <w:lvlJc w:val="left"/>
      <w:pPr>
        <w:ind w:left="6670" w:hanging="567"/>
      </w:pPr>
      <w:rPr>
        <w:lang w:val="en-US" w:eastAsia="en-US" w:bidi="ar-SA"/>
      </w:rPr>
    </w:lvl>
    <w:lvl w:ilvl="8" w:tplc="78D2843C">
      <w:numFmt w:val="bullet"/>
      <w:lvlText w:val="•"/>
      <w:lvlJc w:val="left"/>
      <w:pPr>
        <w:ind w:left="7569" w:hanging="567"/>
      </w:pPr>
      <w:rPr>
        <w:lang w:val="en-US" w:eastAsia="en-US" w:bidi="ar-SA"/>
      </w:rPr>
    </w:lvl>
  </w:abstractNum>
  <w:abstractNum w:abstractNumId="158" w15:restartNumberingAfterBreak="0">
    <w:nsid w:val="2D8D3594"/>
    <w:multiLevelType w:val="hybridMultilevel"/>
    <w:tmpl w:val="49EC59CC"/>
    <w:lvl w:ilvl="0" w:tplc="9E84DB42">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69988B4C">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4E2EC454">
      <w:numFmt w:val="bullet"/>
      <w:lvlText w:val="•"/>
      <w:lvlJc w:val="left"/>
      <w:pPr>
        <w:ind w:left="2178" w:hanging="567"/>
      </w:pPr>
      <w:rPr>
        <w:rFonts w:hint="default"/>
        <w:lang w:val="en-US" w:eastAsia="en-US" w:bidi="ar-SA"/>
      </w:rPr>
    </w:lvl>
    <w:lvl w:ilvl="3" w:tplc="68D05054">
      <w:numFmt w:val="bullet"/>
      <w:lvlText w:val="•"/>
      <w:lvlJc w:val="left"/>
      <w:pPr>
        <w:ind w:left="3076" w:hanging="567"/>
      </w:pPr>
      <w:rPr>
        <w:rFonts w:hint="default"/>
        <w:lang w:val="en-US" w:eastAsia="en-US" w:bidi="ar-SA"/>
      </w:rPr>
    </w:lvl>
    <w:lvl w:ilvl="4" w:tplc="FACC28C0">
      <w:numFmt w:val="bullet"/>
      <w:lvlText w:val="•"/>
      <w:lvlJc w:val="left"/>
      <w:pPr>
        <w:ind w:left="3975" w:hanging="567"/>
      </w:pPr>
      <w:rPr>
        <w:rFonts w:hint="default"/>
        <w:lang w:val="en-US" w:eastAsia="en-US" w:bidi="ar-SA"/>
      </w:rPr>
    </w:lvl>
    <w:lvl w:ilvl="5" w:tplc="C7DA7332">
      <w:numFmt w:val="bullet"/>
      <w:lvlText w:val="•"/>
      <w:lvlJc w:val="left"/>
      <w:pPr>
        <w:ind w:left="4873" w:hanging="567"/>
      </w:pPr>
      <w:rPr>
        <w:rFonts w:hint="default"/>
        <w:lang w:val="en-US" w:eastAsia="en-US" w:bidi="ar-SA"/>
      </w:rPr>
    </w:lvl>
    <w:lvl w:ilvl="6" w:tplc="9E2477C2">
      <w:numFmt w:val="bullet"/>
      <w:lvlText w:val="•"/>
      <w:lvlJc w:val="left"/>
      <w:pPr>
        <w:ind w:left="5772" w:hanging="567"/>
      </w:pPr>
      <w:rPr>
        <w:rFonts w:hint="default"/>
        <w:lang w:val="en-US" w:eastAsia="en-US" w:bidi="ar-SA"/>
      </w:rPr>
    </w:lvl>
    <w:lvl w:ilvl="7" w:tplc="EB50DEAC">
      <w:numFmt w:val="bullet"/>
      <w:lvlText w:val="•"/>
      <w:lvlJc w:val="left"/>
      <w:pPr>
        <w:ind w:left="6670" w:hanging="567"/>
      </w:pPr>
      <w:rPr>
        <w:rFonts w:hint="default"/>
        <w:lang w:val="en-US" w:eastAsia="en-US" w:bidi="ar-SA"/>
      </w:rPr>
    </w:lvl>
    <w:lvl w:ilvl="8" w:tplc="F8F45B48">
      <w:numFmt w:val="bullet"/>
      <w:lvlText w:val="•"/>
      <w:lvlJc w:val="left"/>
      <w:pPr>
        <w:ind w:left="7569" w:hanging="567"/>
      </w:pPr>
      <w:rPr>
        <w:rFonts w:hint="default"/>
        <w:lang w:val="en-US" w:eastAsia="en-US" w:bidi="ar-SA"/>
      </w:rPr>
    </w:lvl>
  </w:abstractNum>
  <w:abstractNum w:abstractNumId="159" w15:restartNumberingAfterBreak="0">
    <w:nsid w:val="2DB95897"/>
    <w:multiLevelType w:val="hybridMultilevel"/>
    <w:tmpl w:val="4AC27E4C"/>
    <w:lvl w:ilvl="0" w:tplc="96269F3E">
      <w:start w:val="1"/>
      <w:numFmt w:val="lowerRoman"/>
      <w:lvlText w:val="(%1)"/>
      <w:lvlJc w:val="left"/>
      <w:pPr>
        <w:ind w:left="706" w:hanging="567"/>
      </w:pPr>
      <w:rPr>
        <w:rFonts w:ascii="Arial" w:eastAsia="Calibri" w:hAnsi="Arial" w:cs="Arial" w:hint="default"/>
        <w:spacing w:val="-1"/>
        <w:w w:val="100"/>
        <w:sz w:val="20"/>
        <w:szCs w:val="22"/>
        <w:lang w:val="en-US" w:eastAsia="en-US" w:bidi="ar-SA"/>
      </w:rPr>
    </w:lvl>
    <w:lvl w:ilvl="1" w:tplc="4BBA6E1E">
      <w:numFmt w:val="bullet"/>
      <w:lvlText w:val="•"/>
      <w:lvlJc w:val="left"/>
      <w:pPr>
        <w:ind w:left="1566" w:hanging="567"/>
      </w:pPr>
      <w:rPr>
        <w:lang w:val="en-US" w:eastAsia="en-US" w:bidi="ar-SA"/>
      </w:rPr>
    </w:lvl>
    <w:lvl w:ilvl="2" w:tplc="15000044">
      <w:numFmt w:val="bullet"/>
      <w:lvlText w:val="•"/>
      <w:lvlJc w:val="left"/>
      <w:pPr>
        <w:ind w:left="2433" w:hanging="567"/>
      </w:pPr>
      <w:rPr>
        <w:lang w:val="en-US" w:eastAsia="en-US" w:bidi="ar-SA"/>
      </w:rPr>
    </w:lvl>
    <w:lvl w:ilvl="3" w:tplc="8422A6DA">
      <w:numFmt w:val="bullet"/>
      <w:lvlText w:val="•"/>
      <w:lvlJc w:val="left"/>
      <w:pPr>
        <w:ind w:left="3299" w:hanging="567"/>
      </w:pPr>
      <w:rPr>
        <w:lang w:val="en-US" w:eastAsia="en-US" w:bidi="ar-SA"/>
      </w:rPr>
    </w:lvl>
    <w:lvl w:ilvl="4" w:tplc="665EA9FC">
      <w:numFmt w:val="bullet"/>
      <w:lvlText w:val="•"/>
      <w:lvlJc w:val="left"/>
      <w:pPr>
        <w:ind w:left="4166" w:hanging="567"/>
      </w:pPr>
      <w:rPr>
        <w:lang w:val="en-US" w:eastAsia="en-US" w:bidi="ar-SA"/>
      </w:rPr>
    </w:lvl>
    <w:lvl w:ilvl="5" w:tplc="9A589C18">
      <w:numFmt w:val="bullet"/>
      <w:lvlText w:val="•"/>
      <w:lvlJc w:val="left"/>
      <w:pPr>
        <w:ind w:left="5033" w:hanging="567"/>
      </w:pPr>
      <w:rPr>
        <w:lang w:val="en-US" w:eastAsia="en-US" w:bidi="ar-SA"/>
      </w:rPr>
    </w:lvl>
    <w:lvl w:ilvl="6" w:tplc="C7B63B96">
      <w:numFmt w:val="bullet"/>
      <w:lvlText w:val="•"/>
      <w:lvlJc w:val="left"/>
      <w:pPr>
        <w:ind w:left="5899" w:hanging="567"/>
      </w:pPr>
      <w:rPr>
        <w:lang w:val="en-US" w:eastAsia="en-US" w:bidi="ar-SA"/>
      </w:rPr>
    </w:lvl>
    <w:lvl w:ilvl="7" w:tplc="59105068">
      <w:numFmt w:val="bullet"/>
      <w:lvlText w:val="•"/>
      <w:lvlJc w:val="left"/>
      <w:pPr>
        <w:ind w:left="6766" w:hanging="567"/>
      </w:pPr>
      <w:rPr>
        <w:lang w:val="en-US" w:eastAsia="en-US" w:bidi="ar-SA"/>
      </w:rPr>
    </w:lvl>
    <w:lvl w:ilvl="8" w:tplc="18BA0962">
      <w:numFmt w:val="bullet"/>
      <w:lvlText w:val="•"/>
      <w:lvlJc w:val="left"/>
      <w:pPr>
        <w:ind w:left="7633" w:hanging="567"/>
      </w:pPr>
      <w:rPr>
        <w:lang w:val="en-US" w:eastAsia="en-US" w:bidi="ar-SA"/>
      </w:rPr>
    </w:lvl>
  </w:abstractNum>
  <w:abstractNum w:abstractNumId="160" w15:restartNumberingAfterBreak="0">
    <w:nsid w:val="2DFC626C"/>
    <w:multiLevelType w:val="hybridMultilevel"/>
    <w:tmpl w:val="D7DC995C"/>
    <w:lvl w:ilvl="0" w:tplc="0D8C0ED8">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8949ED8">
      <w:numFmt w:val="bullet"/>
      <w:lvlText w:val="•"/>
      <w:lvlJc w:val="left"/>
      <w:pPr>
        <w:ind w:left="1566" w:hanging="567"/>
      </w:pPr>
      <w:rPr>
        <w:rFonts w:hint="default"/>
        <w:lang w:val="en-US" w:eastAsia="en-US" w:bidi="ar-SA"/>
      </w:rPr>
    </w:lvl>
    <w:lvl w:ilvl="2" w:tplc="5BBE0F40">
      <w:numFmt w:val="bullet"/>
      <w:lvlText w:val="•"/>
      <w:lvlJc w:val="left"/>
      <w:pPr>
        <w:ind w:left="2433" w:hanging="567"/>
      </w:pPr>
      <w:rPr>
        <w:rFonts w:hint="default"/>
        <w:lang w:val="en-US" w:eastAsia="en-US" w:bidi="ar-SA"/>
      </w:rPr>
    </w:lvl>
    <w:lvl w:ilvl="3" w:tplc="523C48B4">
      <w:numFmt w:val="bullet"/>
      <w:lvlText w:val="•"/>
      <w:lvlJc w:val="left"/>
      <w:pPr>
        <w:ind w:left="3299" w:hanging="567"/>
      </w:pPr>
      <w:rPr>
        <w:rFonts w:hint="default"/>
        <w:lang w:val="en-US" w:eastAsia="en-US" w:bidi="ar-SA"/>
      </w:rPr>
    </w:lvl>
    <w:lvl w:ilvl="4" w:tplc="B784DC98">
      <w:numFmt w:val="bullet"/>
      <w:lvlText w:val="•"/>
      <w:lvlJc w:val="left"/>
      <w:pPr>
        <w:ind w:left="4166" w:hanging="567"/>
      </w:pPr>
      <w:rPr>
        <w:rFonts w:hint="default"/>
        <w:lang w:val="en-US" w:eastAsia="en-US" w:bidi="ar-SA"/>
      </w:rPr>
    </w:lvl>
    <w:lvl w:ilvl="5" w:tplc="391EAFEA">
      <w:numFmt w:val="bullet"/>
      <w:lvlText w:val="•"/>
      <w:lvlJc w:val="left"/>
      <w:pPr>
        <w:ind w:left="5033" w:hanging="567"/>
      </w:pPr>
      <w:rPr>
        <w:rFonts w:hint="default"/>
        <w:lang w:val="en-US" w:eastAsia="en-US" w:bidi="ar-SA"/>
      </w:rPr>
    </w:lvl>
    <w:lvl w:ilvl="6" w:tplc="41A25B4E">
      <w:numFmt w:val="bullet"/>
      <w:lvlText w:val="•"/>
      <w:lvlJc w:val="left"/>
      <w:pPr>
        <w:ind w:left="5899" w:hanging="567"/>
      </w:pPr>
      <w:rPr>
        <w:rFonts w:hint="default"/>
        <w:lang w:val="en-US" w:eastAsia="en-US" w:bidi="ar-SA"/>
      </w:rPr>
    </w:lvl>
    <w:lvl w:ilvl="7" w:tplc="4A1C978A">
      <w:numFmt w:val="bullet"/>
      <w:lvlText w:val="•"/>
      <w:lvlJc w:val="left"/>
      <w:pPr>
        <w:ind w:left="6766" w:hanging="567"/>
      </w:pPr>
      <w:rPr>
        <w:rFonts w:hint="default"/>
        <w:lang w:val="en-US" w:eastAsia="en-US" w:bidi="ar-SA"/>
      </w:rPr>
    </w:lvl>
    <w:lvl w:ilvl="8" w:tplc="2B96A292">
      <w:numFmt w:val="bullet"/>
      <w:lvlText w:val="•"/>
      <w:lvlJc w:val="left"/>
      <w:pPr>
        <w:ind w:left="7633" w:hanging="567"/>
      </w:pPr>
      <w:rPr>
        <w:rFonts w:hint="default"/>
        <w:lang w:val="en-US" w:eastAsia="en-US" w:bidi="ar-SA"/>
      </w:rPr>
    </w:lvl>
  </w:abstractNum>
  <w:abstractNum w:abstractNumId="161" w15:restartNumberingAfterBreak="0">
    <w:nsid w:val="2E6C3118"/>
    <w:multiLevelType w:val="hybridMultilevel"/>
    <w:tmpl w:val="2D2AF6E2"/>
    <w:lvl w:ilvl="0" w:tplc="81B0DB78">
      <w:start w:val="1"/>
      <w:numFmt w:val="decimal"/>
      <w:lvlText w:val="(%1)"/>
      <w:lvlJc w:val="left"/>
      <w:pPr>
        <w:ind w:left="1273" w:hanging="567"/>
      </w:pPr>
      <w:rPr>
        <w:rFonts w:ascii="Arial" w:eastAsia="Calibri" w:hAnsi="Arial" w:cs="Arial" w:hint="default"/>
        <w:spacing w:val="-1"/>
        <w:w w:val="100"/>
        <w:sz w:val="20"/>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2E872B48"/>
    <w:multiLevelType w:val="hybridMultilevel"/>
    <w:tmpl w:val="2C52BA7C"/>
    <w:lvl w:ilvl="0" w:tplc="85E08140">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95E857B8">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186AFC80">
      <w:numFmt w:val="bullet"/>
      <w:lvlText w:val="•"/>
      <w:lvlJc w:val="left"/>
      <w:pPr>
        <w:ind w:left="2178" w:hanging="567"/>
      </w:pPr>
      <w:rPr>
        <w:lang w:val="en-US" w:eastAsia="en-US" w:bidi="ar-SA"/>
      </w:rPr>
    </w:lvl>
    <w:lvl w:ilvl="3" w:tplc="404CF0FA">
      <w:numFmt w:val="bullet"/>
      <w:lvlText w:val="•"/>
      <w:lvlJc w:val="left"/>
      <w:pPr>
        <w:ind w:left="3076" w:hanging="567"/>
      </w:pPr>
      <w:rPr>
        <w:lang w:val="en-US" w:eastAsia="en-US" w:bidi="ar-SA"/>
      </w:rPr>
    </w:lvl>
    <w:lvl w:ilvl="4" w:tplc="4D0AEE24">
      <w:numFmt w:val="bullet"/>
      <w:lvlText w:val="•"/>
      <w:lvlJc w:val="left"/>
      <w:pPr>
        <w:ind w:left="3975" w:hanging="567"/>
      </w:pPr>
      <w:rPr>
        <w:lang w:val="en-US" w:eastAsia="en-US" w:bidi="ar-SA"/>
      </w:rPr>
    </w:lvl>
    <w:lvl w:ilvl="5" w:tplc="9B78BFE6">
      <w:numFmt w:val="bullet"/>
      <w:lvlText w:val="•"/>
      <w:lvlJc w:val="left"/>
      <w:pPr>
        <w:ind w:left="4873" w:hanging="567"/>
      </w:pPr>
      <w:rPr>
        <w:lang w:val="en-US" w:eastAsia="en-US" w:bidi="ar-SA"/>
      </w:rPr>
    </w:lvl>
    <w:lvl w:ilvl="6" w:tplc="81B2FAAA">
      <w:numFmt w:val="bullet"/>
      <w:lvlText w:val="•"/>
      <w:lvlJc w:val="left"/>
      <w:pPr>
        <w:ind w:left="5772" w:hanging="567"/>
      </w:pPr>
      <w:rPr>
        <w:lang w:val="en-US" w:eastAsia="en-US" w:bidi="ar-SA"/>
      </w:rPr>
    </w:lvl>
    <w:lvl w:ilvl="7" w:tplc="F3E6692A">
      <w:numFmt w:val="bullet"/>
      <w:lvlText w:val="•"/>
      <w:lvlJc w:val="left"/>
      <w:pPr>
        <w:ind w:left="6670" w:hanging="567"/>
      </w:pPr>
      <w:rPr>
        <w:lang w:val="en-US" w:eastAsia="en-US" w:bidi="ar-SA"/>
      </w:rPr>
    </w:lvl>
    <w:lvl w:ilvl="8" w:tplc="F416A090">
      <w:numFmt w:val="bullet"/>
      <w:lvlText w:val="•"/>
      <w:lvlJc w:val="left"/>
      <w:pPr>
        <w:ind w:left="7569" w:hanging="567"/>
      </w:pPr>
      <w:rPr>
        <w:lang w:val="en-US" w:eastAsia="en-US" w:bidi="ar-SA"/>
      </w:rPr>
    </w:lvl>
  </w:abstractNum>
  <w:abstractNum w:abstractNumId="163" w15:restartNumberingAfterBreak="0">
    <w:nsid w:val="2F284ACC"/>
    <w:multiLevelType w:val="hybridMultilevel"/>
    <w:tmpl w:val="CF44DD4C"/>
    <w:lvl w:ilvl="0" w:tplc="D9D41B4A">
      <w:start w:val="1"/>
      <w:numFmt w:val="lowerRoman"/>
      <w:lvlText w:val="(%1)"/>
      <w:lvlJc w:val="left"/>
      <w:pPr>
        <w:ind w:left="2578" w:hanging="569"/>
      </w:pPr>
      <w:rPr>
        <w:rFonts w:ascii="Arial" w:eastAsia="Calibri" w:hAnsi="Arial" w:cs="Arial" w:hint="default"/>
        <w:spacing w:val="-1"/>
        <w:w w:val="100"/>
        <w:sz w:val="20"/>
        <w:szCs w:val="22"/>
        <w:lang w:val="en-US" w:eastAsia="en-US" w:bidi="ar-SA"/>
      </w:rPr>
    </w:lvl>
    <w:lvl w:ilvl="1" w:tplc="04090019" w:tentative="1">
      <w:start w:val="1"/>
      <w:numFmt w:val="lowerLetter"/>
      <w:lvlText w:val="%2."/>
      <w:lvlJc w:val="left"/>
      <w:pPr>
        <w:ind w:left="2176" w:hanging="360"/>
      </w:pPr>
    </w:lvl>
    <w:lvl w:ilvl="2" w:tplc="0409001B" w:tentative="1">
      <w:start w:val="1"/>
      <w:numFmt w:val="lowerRoman"/>
      <w:lvlText w:val="%3."/>
      <w:lvlJc w:val="right"/>
      <w:pPr>
        <w:ind w:left="2896" w:hanging="180"/>
      </w:pPr>
    </w:lvl>
    <w:lvl w:ilvl="3" w:tplc="0409000F" w:tentative="1">
      <w:start w:val="1"/>
      <w:numFmt w:val="decimal"/>
      <w:lvlText w:val="%4."/>
      <w:lvlJc w:val="left"/>
      <w:pPr>
        <w:ind w:left="3616" w:hanging="360"/>
      </w:pPr>
    </w:lvl>
    <w:lvl w:ilvl="4" w:tplc="04090019" w:tentative="1">
      <w:start w:val="1"/>
      <w:numFmt w:val="lowerLetter"/>
      <w:lvlText w:val="%5."/>
      <w:lvlJc w:val="left"/>
      <w:pPr>
        <w:ind w:left="4336" w:hanging="360"/>
      </w:pPr>
    </w:lvl>
    <w:lvl w:ilvl="5" w:tplc="0409001B" w:tentative="1">
      <w:start w:val="1"/>
      <w:numFmt w:val="lowerRoman"/>
      <w:lvlText w:val="%6."/>
      <w:lvlJc w:val="right"/>
      <w:pPr>
        <w:ind w:left="5056" w:hanging="180"/>
      </w:pPr>
    </w:lvl>
    <w:lvl w:ilvl="6" w:tplc="0409000F" w:tentative="1">
      <w:start w:val="1"/>
      <w:numFmt w:val="decimal"/>
      <w:lvlText w:val="%7."/>
      <w:lvlJc w:val="left"/>
      <w:pPr>
        <w:ind w:left="5776" w:hanging="360"/>
      </w:pPr>
    </w:lvl>
    <w:lvl w:ilvl="7" w:tplc="04090019" w:tentative="1">
      <w:start w:val="1"/>
      <w:numFmt w:val="lowerLetter"/>
      <w:lvlText w:val="%8."/>
      <w:lvlJc w:val="left"/>
      <w:pPr>
        <w:ind w:left="6496" w:hanging="360"/>
      </w:pPr>
    </w:lvl>
    <w:lvl w:ilvl="8" w:tplc="0409001B" w:tentative="1">
      <w:start w:val="1"/>
      <w:numFmt w:val="lowerRoman"/>
      <w:lvlText w:val="%9."/>
      <w:lvlJc w:val="right"/>
      <w:pPr>
        <w:ind w:left="7216" w:hanging="180"/>
      </w:pPr>
    </w:lvl>
  </w:abstractNum>
  <w:abstractNum w:abstractNumId="164" w15:restartNumberingAfterBreak="0">
    <w:nsid w:val="2F992DD4"/>
    <w:multiLevelType w:val="hybridMultilevel"/>
    <w:tmpl w:val="C9AC598E"/>
    <w:lvl w:ilvl="0" w:tplc="1D082A40">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CA8AAF8E">
      <w:numFmt w:val="bullet"/>
      <w:lvlText w:val="•"/>
      <w:lvlJc w:val="left"/>
      <w:pPr>
        <w:ind w:left="1566" w:hanging="567"/>
      </w:pPr>
      <w:rPr>
        <w:rFonts w:hint="default"/>
        <w:lang w:val="en-US" w:eastAsia="en-US" w:bidi="ar-SA"/>
      </w:rPr>
    </w:lvl>
    <w:lvl w:ilvl="2" w:tplc="4B4294B6">
      <w:numFmt w:val="bullet"/>
      <w:lvlText w:val="•"/>
      <w:lvlJc w:val="left"/>
      <w:pPr>
        <w:ind w:left="2433" w:hanging="567"/>
      </w:pPr>
      <w:rPr>
        <w:rFonts w:hint="default"/>
        <w:lang w:val="en-US" w:eastAsia="en-US" w:bidi="ar-SA"/>
      </w:rPr>
    </w:lvl>
    <w:lvl w:ilvl="3" w:tplc="9EEA138C">
      <w:numFmt w:val="bullet"/>
      <w:lvlText w:val="•"/>
      <w:lvlJc w:val="left"/>
      <w:pPr>
        <w:ind w:left="3299" w:hanging="567"/>
      </w:pPr>
      <w:rPr>
        <w:rFonts w:hint="default"/>
        <w:lang w:val="en-US" w:eastAsia="en-US" w:bidi="ar-SA"/>
      </w:rPr>
    </w:lvl>
    <w:lvl w:ilvl="4" w:tplc="66262DC8">
      <w:numFmt w:val="bullet"/>
      <w:lvlText w:val="•"/>
      <w:lvlJc w:val="left"/>
      <w:pPr>
        <w:ind w:left="4166" w:hanging="567"/>
      </w:pPr>
      <w:rPr>
        <w:rFonts w:hint="default"/>
        <w:lang w:val="en-US" w:eastAsia="en-US" w:bidi="ar-SA"/>
      </w:rPr>
    </w:lvl>
    <w:lvl w:ilvl="5" w:tplc="C88EA8FE">
      <w:numFmt w:val="bullet"/>
      <w:lvlText w:val="•"/>
      <w:lvlJc w:val="left"/>
      <w:pPr>
        <w:ind w:left="5033" w:hanging="567"/>
      </w:pPr>
      <w:rPr>
        <w:rFonts w:hint="default"/>
        <w:lang w:val="en-US" w:eastAsia="en-US" w:bidi="ar-SA"/>
      </w:rPr>
    </w:lvl>
    <w:lvl w:ilvl="6" w:tplc="AE9061E6">
      <w:numFmt w:val="bullet"/>
      <w:lvlText w:val="•"/>
      <w:lvlJc w:val="left"/>
      <w:pPr>
        <w:ind w:left="5899" w:hanging="567"/>
      </w:pPr>
      <w:rPr>
        <w:rFonts w:hint="default"/>
        <w:lang w:val="en-US" w:eastAsia="en-US" w:bidi="ar-SA"/>
      </w:rPr>
    </w:lvl>
    <w:lvl w:ilvl="7" w:tplc="218C6A10">
      <w:numFmt w:val="bullet"/>
      <w:lvlText w:val="•"/>
      <w:lvlJc w:val="left"/>
      <w:pPr>
        <w:ind w:left="6766" w:hanging="567"/>
      </w:pPr>
      <w:rPr>
        <w:rFonts w:hint="default"/>
        <w:lang w:val="en-US" w:eastAsia="en-US" w:bidi="ar-SA"/>
      </w:rPr>
    </w:lvl>
    <w:lvl w:ilvl="8" w:tplc="6450D96A">
      <w:numFmt w:val="bullet"/>
      <w:lvlText w:val="•"/>
      <w:lvlJc w:val="left"/>
      <w:pPr>
        <w:ind w:left="7633" w:hanging="567"/>
      </w:pPr>
      <w:rPr>
        <w:rFonts w:hint="default"/>
        <w:lang w:val="en-US" w:eastAsia="en-US" w:bidi="ar-SA"/>
      </w:rPr>
    </w:lvl>
  </w:abstractNum>
  <w:abstractNum w:abstractNumId="165" w15:restartNumberingAfterBreak="0">
    <w:nsid w:val="2FB1490D"/>
    <w:multiLevelType w:val="hybridMultilevel"/>
    <w:tmpl w:val="F292724E"/>
    <w:lvl w:ilvl="0" w:tplc="A4A274DA">
      <w:start w:val="1"/>
      <w:numFmt w:val="decimal"/>
      <w:lvlText w:val="%1."/>
      <w:lvlJc w:val="left"/>
      <w:pPr>
        <w:ind w:left="706" w:hanging="567"/>
      </w:pPr>
      <w:rPr>
        <w:rFonts w:ascii="Arial" w:eastAsia="Calibri" w:hAnsi="Arial" w:cs="Arial" w:hint="default"/>
        <w:w w:val="100"/>
        <w:sz w:val="20"/>
        <w:szCs w:val="22"/>
        <w:lang w:val="en-US" w:eastAsia="en-US" w:bidi="ar-SA"/>
      </w:rPr>
    </w:lvl>
    <w:lvl w:ilvl="1" w:tplc="E9A4BF56">
      <w:numFmt w:val="bullet"/>
      <w:lvlText w:val="•"/>
      <w:lvlJc w:val="left"/>
      <w:pPr>
        <w:ind w:left="1566" w:hanging="567"/>
      </w:pPr>
      <w:rPr>
        <w:rFonts w:hint="default"/>
        <w:lang w:val="en-US" w:eastAsia="en-US" w:bidi="ar-SA"/>
      </w:rPr>
    </w:lvl>
    <w:lvl w:ilvl="2" w:tplc="C0C616E6">
      <w:numFmt w:val="bullet"/>
      <w:lvlText w:val="•"/>
      <w:lvlJc w:val="left"/>
      <w:pPr>
        <w:ind w:left="2433" w:hanging="567"/>
      </w:pPr>
      <w:rPr>
        <w:rFonts w:hint="default"/>
        <w:lang w:val="en-US" w:eastAsia="en-US" w:bidi="ar-SA"/>
      </w:rPr>
    </w:lvl>
    <w:lvl w:ilvl="3" w:tplc="D14E57EA">
      <w:numFmt w:val="bullet"/>
      <w:lvlText w:val="•"/>
      <w:lvlJc w:val="left"/>
      <w:pPr>
        <w:ind w:left="3299" w:hanging="567"/>
      </w:pPr>
      <w:rPr>
        <w:rFonts w:hint="default"/>
        <w:lang w:val="en-US" w:eastAsia="en-US" w:bidi="ar-SA"/>
      </w:rPr>
    </w:lvl>
    <w:lvl w:ilvl="4" w:tplc="46B4C590">
      <w:numFmt w:val="bullet"/>
      <w:lvlText w:val="•"/>
      <w:lvlJc w:val="left"/>
      <w:pPr>
        <w:ind w:left="4166" w:hanging="567"/>
      </w:pPr>
      <w:rPr>
        <w:rFonts w:hint="default"/>
        <w:lang w:val="en-US" w:eastAsia="en-US" w:bidi="ar-SA"/>
      </w:rPr>
    </w:lvl>
    <w:lvl w:ilvl="5" w:tplc="98742EF6">
      <w:numFmt w:val="bullet"/>
      <w:lvlText w:val="•"/>
      <w:lvlJc w:val="left"/>
      <w:pPr>
        <w:ind w:left="5033" w:hanging="567"/>
      </w:pPr>
      <w:rPr>
        <w:rFonts w:hint="default"/>
        <w:lang w:val="en-US" w:eastAsia="en-US" w:bidi="ar-SA"/>
      </w:rPr>
    </w:lvl>
    <w:lvl w:ilvl="6" w:tplc="188AAECA">
      <w:numFmt w:val="bullet"/>
      <w:lvlText w:val="•"/>
      <w:lvlJc w:val="left"/>
      <w:pPr>
        <w:ind w:left="5899" w:hanging="567"/>
      </w:pPr>
      <w:rPr>
        <w:rFonts w:hint="default"/>
        <w:lang w:val="en-US" w:eastAsia="en-US" w:bidi="ar-SA"/>
      </w:rPr>
    </w:lvl>
    <w:lvl w:ilvl="7" w:tplc="F646A73C">
      <w:numFmt w:val="bullet"/>
      <w:lvlText w:val="•"/>
      <w:lvlJc w:val="left"/>
      <w:pPr>
        <w:ind w:left="6766" w:hanging="567"/>
      </w:pPr>
      <w:rPr>
        <w:rFonts w:hint="default"/>
        <w:lang w:val="en-US" w:eastAsia="en-US" w:bidi="ar-SA"/>
      </w:rPr>
    </w:lvl>
    <w:lvl w:ilvl="8" w:tplc="33C6BA0E">
      <w:numFmt w:val="bullet"/>
      <w:lvlText w:val="•"/>
      <w:lvlJc w:val="left"/>
      <w:pPr>
        <w:ind w:left="7633" w:hanging="567"/>
      </w:pPr>
      <w:rPr>
        <w:rFonts w:hint="default"/>
        <w:lang w:val="en-US" w:eastAsia="en-US" w:bidi="ar-SA"/>
      </w:rPr>
    </w:lvl>
  </w:abstractNum>
  <w:abstractNum w:abstractNumId="166" w15:restartNumberingAfterBreak="0">
    <w:nsid w:val="2FBE49F3"/>
    <w:multiLevelType w:val="hybridMultilevel"/>
    <w:tmpl w:val="13DC5856"/>
    <w:lvl w:ilvl="0" w:tplc="348E7FFE">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3DBA90DA">
      <w:numFmt w:val="bullet"/>
      <w:lvlText w:val="•"/>
      <w:lvlJc w:val="left"/>
      <w:pPr>
        <w:ind w:left="1566" w:hanging="567"/>
      </w:pPr>
      <w:rPr>
        <w:rFonts w:hint="default"/>
        <w:lang w:val="en-US" w:eastAsia="en-US" w:bidi="ar-SA"/>
      </w:rPr>
    </w:lvl>
    <w:lvl w:ilvl="2" w:tplc="86C00C7A">
      <w:numFmt w:val="bullet"/>
      <w:lvlText w:val="•"/>
      <w:lvlJc w:val="left"/>
      <w:pPr>
        <w:ind w:left="2433" w:hanging="567"/>
      </w:pPr>
      <w:rPr>
        <w:rFonts w:hint="default"/>
        <w:lang w:val="en-US" w:eastAsia="en-US" w:bidi="ar-SA"/>
      </w:rPr>
    </w:lvl>
    <w:lvl w:ilvl="3" w:tplc="23DE87BA">
      <w:numFmt w:val="bullet"/>
      <w:lvlText w:val="•"/>
      <w:lvlJc w:val="left"/>
      <w:pPr>
        <w:ind w:left="3299" w:hanging="567"/>
      </w:pPr>
      <w:rPr>
        <w:rFonts w:hint="default"/>
        <w:lang w:val="en-US" w:eastAsia="en-US" w:bidi="ar-SA"/>
      </w:rPr>
    </w:lvl>
    <w:lvl w:ilvl="4" w:tplc="61A2DC52">
      <w:numFmt w:val="bullet"/>
      <w:lvlText w:val="•"/>
      <w:lvlJc w:val="left"/>
      <w:pPr>
        <w:ind w:left="4166" w:hanging="567"/>
      </w:pPr>
      <w:rPr>
        <w:rFonts w:hint="default"/>
        <w:lang w:val="en-US" w:eastAsia="en-US" w:bidi="ar-SA"/>
      </w:rPr>
    </w:lvl>
    <w:lvl w:ilvl="5" w:tplc="C712A942">
      <w:numFmt w:val="bullet"/>
      <w:lvlText w:val="•"/>
      <w:lvlJc w:val="left"/>
      <w:pPr>
        <w:ind w:left="5033" w:hanging="567"/>
      </w:pPr>
      <w:rPr>
        <w:rFonts w:hint="default"/>
        <w:lang w:val="en-US" w:eastAsia="en-US" w:bidi="ar-SA"/>
      </w:rPr>
    </w:lvl>
    <w:lvl w:ilvl="6" w:tplc="FBCE9FCE">
      <w:numFmt w:val="bullet"/>
      <w:lvlText w:val="•"/>
      <w:lvlJc w:val="left"/>
      <w:pPr>
        <w:ind w:left="5899" w:hanging="567"/>
      </w:pPr>
      <w:rPr>
        <w:rFonts w:hint="default"/>
        <w:lang w:val="en-US" w:eastAsia="en-US" w:bidi="ar-SA"/>
      </w:rPr>
    </w:lvl>
    <w:lvl w:ilvl="7" w:tplc="1D70D9EC">
      <w:numFmt w:val="bullet"/>
      <w:lvlText w:val="•"/>
      <w:lvlJc w:val="left"/>
      <w:pPr>
        <w:ind w:left="6766" w:hanging="567"/>
      </w:pPr>
      <w:rPr>
        <w:rFonts w:hint="default"/>
        <w:lang w:val="en-US" w:eastAsia="en-US" w:bidi="ar-SA"/>
      </w:rPr>
    </w:lvl>
    <w:lvl w:ilvl="8" w:tplc="F3C0A0C2">
      <w:numFmt w:val="bullet"/>
      <w:lvlText w:val="•"/>
      <w:lvlJc w:val="left"/>
      <w:pPr>
        <w:ind w:left="7633" w:hanging="567"/>
      </w:pPr>
      <w:rPr>
        <w:rFonts w:hint="default"/>
        <w:lang w:val="en-US" w:eastAsia="en-US" w:bidi="ar-SA"/>
      </w:rPr>
    </w:lvl>
  </w:abstractNum>
  <w:abstractNum w:abstractNumId="167" w15:restartNumberingAfterBreak="0">
    <w:nsid w:val="2FD41A56"/>
    <w:multiLevelType w:val="hybridMultilevel"/>
    <w:tmpl w:val="4DCA9990"/>
    <w:lvl w:ilvl="0" w:tplc="28F816F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2C46F5A6">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C74E8DD6">
      <w:numFmt w:val="bullet"/>
      <w:lvlText w:val="•"/>
      <w:lvlJc w:val="left"/>
      <w:pPr>
        <w:ind w:left="2178" w:hanging="567"/>
      </w:pPr>
      <w:rPr>
        <w:rFonts w:hint="default"/>
        <w:lang w:val="en-US" w:eastAsia="en-US" w:bidi="ar-SA"/>
      </w:rPr>
    </w:lvl>
    <w:lvl w:ilvl="3" w:tplc="F6500422">
      <w:numFmt w:val="bullet"/>
      <w:lvlText w:val="•"/>
      <w:lvlJc w:val="left"/>
      <w:pPr>
        <w:ind w:left="3076" w:hanging="567"/>
      </w:pPr>
      <w:rPr>
        <w:rFonts w:hint="default"/>
        <w:lang w:val="en-US" w:eastAsia="en-US" w:bidi="ar-SA"/>
      </w:rPr>
    </w:lvl>
    <w:lvl w:ilvl="4" w:tplc="0C2C69FC">
      <w:numFmt w:val="bullet"/>
      <w:lvlText w:val="•"/>
      <w:lvlJc w:val="left"/>
      <w:pPr>
        <w:ind w:left="3975" w:hanging="567"/>
      </w:pPr>
      <w:rPr>
        <w:rFonts w:hint="default"/>
        <w:lang w:val="en-US" w:eastAsia="en-US" w:bidi="ar-SA"/>
      </w:rPr>
    </w:lvl>
    <w:lvl w:ilvl="5" w:tplc="79728336">
      <w:numFmt w:val="bullet"/>
      <w:lvlText w:val="•"/>
      <w:lvlJc w:val="left"/>
      <w:pPr>
        <w:ind w:left="4873" w:hanging="567"/>
      </w:pPr>
      <w:rPr>
        <w:rFonts w:hint="default"/>
        <w:lang w:val="en-US" w:eastAsia="en-US" w:bidi="ar-SA"/>
      </w:rPr>
    </w:lvl>
    <w:lvl w:ilvl="6" w:tplc="39EA3A60">
      <w:numFmt w:val="bullet"/>
      <w:lvlText w:val="•"/>
      <w:lvlJc w:val="left"/>
      <w:pPr>
        <w:ind w:left="5772" w:hanging="567"/>
      </w:pPr>
      <w:rPr>
        <w:rFonts w:hint="default"/>
        <w:lang w:val="en-US" w:eastAsia="en-US" w:bidi="ar-SA"/>
      </w:rPr>
    </w:lvl>
    <w:lvl w:ilvl="7" w:tplc="D9A29580">
      <w:numFmt w:val="bullet"/>
      <w:lvlText w:val="•"/>
      <w:lvlJc w:val="left"/>
      <w:pPr>
        <w:ind w:left="6670" w:hanging="567"/>
      </w:pPr>
      <w:rPr>
        <w:rFonts w:hint="default"/>
        <w:lang w:val="en-US" w:eastAsia="en-US" w:bidi="ar-SA"/>
      </w:rPr>
    </w:lvl>
    <w:lvl w:ilvl="8" w:tplc="FE5EED9A">
      <w:numFmt w:val="bullet"/>
      <w:lvlText w:val="•"/>
      <w:lvlJc w:val="left"/>
      <w:pPr>
        <w:ind w:left="7569" w:hanging="567"/>
      </w:pPr>
      <w:rPr>
        <w:rFonts w:hint="default"/>
        <w:lang w:val="en-US" w:eastAsia="en-US" w:bidi="ar-SA"/>
      </w:rPr>
    </w:lvl>
  </w:abstractNum>
  <w:abstractNum w:abstractNumId="168" w15:restartNumberingAfterBreak="0">
    <w:nsid w:val="30196D7F"/>
    <w:multiLevelType w:val="hybridMultilevel"/>
    <w:tmpl w:val="2D2AF6E2"/>
    <w:lvl w:ilvl="0" w:tplc="81B0DB78">
      <w:start w:val="1"/>
      <w:numFmt w:val="decimal"/>
      <w:lvlText w:val="(%1)"/>
      <w:lvlJc w:val="left"/>
      <w:pPr>
        <w:ind w:left="1273" w:hanging="567"/>
      </w:pPr>
      <w:rPr>
        <w:rFonts w:ascii="Arial" w:eastAsia="Calibri" w:hAnsi="Arial" w:cs="Arial" w:hint="default"/>
        <w:spacing w:val="-1"/>
        <w:w w:val="100"/>
        <w:sz w:val="20"/>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3022507B"/>
    <w:multiLevelType w:val="hybridMultilevel"/>
    <w:tmpl w:val="CDDAA296"/>
    <w:lvl w:ilvl="0" w:tplc="781ADB4A">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B8727ED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E0CA34CA">
      <w:start w:val="1"/>
      <w:numFmt w:val="lowerRoman"/>
      <w:lvlText w:val="(%3)"/>
      <w:lvlJc w:val="left"/>
      <w:pPr>
        <w:ind w:left="1842" w:hanging="569"/>
      </w:pPr>
      <w:rPr>
        <w:rFonts w:ascii="Arial" w:eastAsia="Calibri" w:hAnsi="Arial" w:cs="Arial" w:hint="default"/>
        <w:spacing w:val="-1"/>
        <w:w w:val="100"/>
        <w:sz w:val="20"/>
        <w:szCs w:val="22"/>
        <w:lang w:val="en-US" w:eastAsia="en-US" w:bidi="ar-SA"/>
      </w:rPr>
    </w:lvl>
    <w:lvl w:ilvl="3" w:tplc="5440B558">
      <w:numFmt w:val="bullet"/>
      <w:lvlText w:val="•"/>
      <w:lvlJc w:val="left"/>
      <w:pPr>
        <w:ind w:left="2780" w:hanging="569"/>
      </w:pPr>
      <w:rPr>
        <w:rFonts w:hint="default"/>
        <w:lang w:val="en-US" w:eastAsia="en-US" w:bidi="ar-SA"/>
      </w:rPr>
    </w:lvl>
    <w:lvl w:ilvl="4" w:tplc="66D6A592">
      <w:numFmt w:val="bullet"/>
      <w:lvlText w:val="•"/>
      <w:lvlJc w:val="left"/>
      <w:pPr>
        <w:ind w:left="3721" w:hanging="569"/>
      </w:pPr>
      <w:rPr>
        <w:rFonts w:hint="default"/>
        <w:lang w:val="en-US" w:eastAsia="en-US" w:bidi="ar-SA"/>
      </w:rPr>
    </w:lvl>
    <w:lvl w:ilvl="5" w:tplc="67B0653E">
      <w:numFmt w:val="bullet"/>
      <w:lvlText w:val="•"/>
      <w:lvlJc w:val="left"/>
      <w:pPr>
        <w:ind w:left="4662" w:hanging="569"/>
      </w:pPr>
      <w:rPr>
        <w:rFonts w:hint="default"/>
        <w:lang w:val="en-US" w:eastAsia="en-US" w:bidi="ar-SA"/>
      </w:rPr>
    </w:lvl>
    <w:lvl w:ilvl="6" w:tplc="8C9A8BB8">
      <w:numFmt w:val="bullet"/>
      <w:lvlText w:val="•"/>
      <w:lvlJc w:val="left"/>
      <w:pPr>
        <w:ind w:left="5603" w:hanging="569"/>
      </w:pPr>
      <w:rPr>
        <w:rFonts w:hint="default"/>
        <w:lang w:val="en-US" w:eastAsia="en-US" w:bidi="ar-SA"/>
      </w:rPr>
    </w:lvl>
    <w:lvl w:ilvl="7" w:tplc="76C25334">
      <w:numFmt w:val="bullet"/>
      <w:lvlText w:val="•"/>
      <w:lvlJc w:val="left"/>
      <w:pPr>
        <w:ind w:left="6544" w:hanging="569"/>
      </w:pPr>
      <w:rPr>
        <w:rFonts w:hint="default"/>
        <w:lang w:val="en-US" w:eastAsia="en-US" w:bidi="ar-SA"/>
      </w:rPr>
    </w:lvl>
    <w:lvl w:ilvl="8" w:tplc="5D501B16">
      <w:numFmt w:val="bullet"/>
      <w:lvlText w:val="•"/>
      <w:lvlJc w:val="left"/>
      <w:pPr>
        <w:ind w:left="7484" w:hanging="569"/>
      </w:pPr>
      <w:rPr>
        <w:rFonts w:hint="default"/>
        <w:lang w:val="en-US" w:eastAsia="en-US" w:bidi="ar-SA"/>
      </w:rPr>
    </w:lvl>
  </w:abstractNum>
  <w:abstractNum w:abstractNumId="170" w15:restartNumberingAfterBreak="0">
    <w:nsid w:val="30236377"/>
    <w:multiLevelType w:val="hybridMultilevel"/>
    <w:tmpl w:val="FE989C30"/>
    <w:lvl w:ilvl="0" w:tplc="7B6AF412">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F70ACF44">
      <w:numFmt w:val="bullet"/>
      <w:lvlText w:val="•"/>
      <w:lvlJc w:val="left"/>
      <w:pPr>
        <w:ind w:left="1566" w:hanging="567"/>
      </w:pPr>
      <w:rPr>
        <w:rFonts w:hint="default"/>
        <w:lang w:val="en-US" w:eastAsia="en-US" w:bidi="ar-SA"/>
      </w:rPr>
    </w:lvl>
    <w:lvl w:ilvl="2" w:tplc="EC60E1F2">
      <w:numFmt w:val="bullet"/>
      <w:lvlText w:val="•"/>
      <w:lvlJc w:val="left"/>
      <w:pPr>
        <w:ind w:left="2433" w:hanging="567"/>
      </w:pPr>
      <w:rPr>
        <w:rFonts w:hint="default"/>
        <w:lang w:val="en-US" w:eastAsia="en-US" w:bidi="ar-SA"/>
      </w:rPr>
    </w:lvl>
    <w:lvl w:ilvl="3" w:tplc="7BD65CEE">
      <w:numFmt w:val="bullet"/>
      <w:lvlText w:val="•"/>
      <w:lvlJc w:val="left"/>
      <w:pPr>
        <w:ind w:left="3299" w:hanging="567"/>
      </w:pPr>
      <w:rPr>
        <w:rFonts w:hint="default"/>
        <w:lang w:val="en-US" w:eastAsia="en-US" w:bidi="ar-SA"/>
      </w:rPr>
    </w:lvl>
    <w:lvl w:ilvl="4" w:tplc="9B1CF1F6">
      <w:numFmt w:val="bullet"/>
      <w:lvlText w:val="•"/>
      <w:lvlJc w:val="left"/>
      <w:pPr>
        <w:ind w:left="4166" w:hanging="567"/>
      </w:pPr>
      <w:rPr>
        <w:rFonts w:hint="default"/>
        <w:lang w:val="en-US" w:eastAsia="en-US" w:bidi="ar-SA"/>
      </w:rPr>
    </w:lvl>
    <w:lvl w:ilvl="5" w:tplc="0130C552">
      <w:numFmt w:val="bullet"/>
      <w:lvlText w:val="•"/>
      <w:lvlJc w:val="left"/>
      <w:pPr>
        <w:ind w:left="5033" w:hanging="567"/>
      </w:pPr>
      <w:rPr>
        <w:rFonts w:hint="default"/>
        <w:lang w:val="en-US" w:eastAsia="en-US" w:bidi="ar-SA"/>
      </w:rPr>
    </w:lvl>
    <w:lvl w:ilvl="6" w:tplc="8F54194C">
      <w:numFmt w:val="bullet"/>
      <w:lvlText w:val="•"/>
      <w:lvlJc w:val="left"/>
      <w:pPr>
        <w:ind w:left="5899" w:hanging="567"/>
      </w:pPr>
      <w:rPr>
        <w:rFonts w:hint="default"/>
        <w:lang w:val="en-US" w:eastAsia="en-US" w:bidi="ar-SA"/>
      </w:rPr>
    </w:lvl>
    <w:lvl w:ilvl="7" w:tplc="E8C8D536">
      <w:numFmt w:val="bullet"/>
      <w:lvlText w:val="•"/>
      <w:lvlJc w:val="left"/>
      <w:pPr>
        <w:ind w:left="6766" w:hanging="567"/>
      </w:pPr>
      <w:rPr>
        <w:rFonts w:hint="default"/>
        <w:lang w:val="en-US" w:eastAsia="en-US" w:bidi="ar-SA"/>
      </w:rPr>
    </w:lvl>
    <w:lvl w:ilvl="8" w:tplc="F4E6A802">
      <w:numFmt w:val="bullet"/>
      <w:lvlText w:val="•"/>
      <w:lvlJc w:val="left"/>
      <w:pPr>
        <w:ind w:left="7633" w:hanging="567"/>
      </w:pPr>
      <w:rPr>
        <w:rFonts w:hint="default"/>
        <w:lang w:val="en-US" w:eastAsia="en-US" w:bidi="ar-SA"/>
      </w:rPr>
    </w:lvl>
  </w:abstractNum>
  <w:abstractNum w:abstractNumId="171" w15:restartNumberingAfterBreak="0">
    <w:nsid w:val="3033516E"/>
    <w:multiLevelType w:val="hybridMultilevel"/>
    <w:tmpl w:val="2D2AF6E2"/>
    <w:lvl w:ilvl="0" w:tplc="81B0DB78">
      <w:start w:val="1"/>
      <w:numFmt w:val="decimal"/>
      <w:lvlText w:val="(%1)"/>
      <w:lvlJc w:val="left"/>
      <w:pPr>
        <w:ind w:left="1273" w:hanging="567"/>
      </w:pPr>
      <w:rPr>
        <w:rFonts w:ascii="Arial" w:eastAsia="Calibri" w:hAnsi="Arial" w:cs="Arial" w:hint="default"/>
        <w:spacing w:val="-1"/>
        <w:w w:val="100"/>
        <w:sz w:val="20"/>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3070723F"/>
    <w:multiLevelType w:val="hybridMultilevel"/>
    <w:tmpl w:val="4A224B2C"/>
    <w:lvl w:ilvl="0" w:tplc="5DC815F4">
      <w:start w:val="1"/>
      <w:numFmt w:val="lowerRoman"/>
      <w:lvlText w:val="(%1)"/>
      <w:lvlJc w:val="left"/>
      <w:pPr>
        <w:ind w:left="1842" w:hanging="569"/>
      </w:pPr>
      <w:rPr>
        <w:rFonts w:ascii="Arial" w:eastAsia="Calibri" w:hAnsi="Arial" w:cs="Arial" w:hint="default"/>
        <w:spacing w:val="-1"/>
        <w:w w:val="100"/>
        <w:sz w:val="20"/>
        <w:szCs w:val="22"/>
        <w:lang w:val="en-US" w:eastAsia="en-US" w:bidi="ar-SA"/>
      </w:rPr>
    </w:lvl>
    <w:lvl w:ilvl="1" w:tplc="0EE47F2C">
      <w:numFmt w:val="bullet"/>
      <w:lvlText w:val="•"/>
      <w:lvlJc w:val="left"/>
      <w:pPr>
        <w:ind w:left="2592" w:hanging="569"/>
      </w:pPr>
      <w:rPr>
        <w:rFonts w:hint="default"/>
        <w:lang w:val="en-US" w:eastAsia="en-US" w:bidi="ar-SA"/>
      </w:rPr>
    </w:lvl>
    <w:lvl w:ilvl="2" w:tplc="25EE77D8">
      <w:numFmt w:val="bullet"/>
      <w:lvlText w:val="•"/>
      <w:lvlJc w:val="left"/>
      <w:pPr>
        <w:ind w:left="3345" w:hanging="569"/>
      </w:pPr>
      <w:rPr>
        <w:rFonts w:hint="default"/>
        <w:lang w:val="en-US" w:eastAsia="en-US" w:bidi="ar-SA"/>
      </w:rPr>
    </w:lvl>
    <w:lvl w:ilvl="3" w:tplc="08AC1A62">
      <w:numFmt w:val="bullet"/>
      <w:lvlText w:val="•"/>
      <w:lvlJc w:val="left"/>
      <w:pPr>
        <w:ind w:left="4097" w:hanging="569"/>
      </w:pPr>
      <w:rPr>
        <w:rFonts w:hint="default"/>
        <w:lang w:val="en-US" w:eastAsia="en-US" w:bidi="ar-SA"/>
      </w:rPr>
    </w:lvl>
    <w:lvl w:ilvl="4" w:tplc="7C5C5EB8">
      <w:numFmt w:val="bullet"/>
      <w:lvlText w:val="•"/>
      <w:lvlJc w:val="left"/>
      <w:pPr>
        <w:ind w:left="4850" w:hanging="569"/>
      </w:pPr>
      <w:rPr>
        <w:rFonts w:hint="default"/>
        <w:lang w:val="en-US" w:eastAsia="en-US" w:bidi="ar-SA"/>
      </w:rPr>
    </w:lvl>
    <w:lvl w:ilvl="5" w:tplc="1504B43C">
      <w:numFmt w:val="bullet"/>
      <w:lvlText w:val="•"/>
      <w:lvlJc w:val="left"/>
      <w:pPr>
        <w:ind w:left="5603" w:hanging="569"/>
      </w:pPr>
      <w:rPr>
        <w:rFonts w:hint="default"/>
        <w:lang w:val="en-US" w:eastAsia="en-US" w:bidi="ar-SA"/>
      </w:rPr>
    </w:lvl>
    <w:lvl w:ilvl="6" w:tplc="F3325C0C">
      <w:numFmt w:val="bullet"/>
      <w:lvlText w:val="•"/>
      <w:lvlJc w:val="left"/>
      <w:pPr>
        <w:ind w:left="6355" w:hanging="569"/>
      </w:pPr>
      <w:rPr>
        <w:rFonts w:hint="default"/>
        <w:lang w:val="en-US" w:eastAsia="en-US" w:bidi="ar-SA"/>
      </w:rPr>
    </w:lvl>
    <w:lvl w:ilvl="7" w:tplc="C144C692">
      <w:numFmt w:val="bullet"/>
      <w:lvlText w:val="•"/>
      <w:lvlJc w:val="left"/>
      <w:pPr>
        <w:ind w:left="7108" w:hanging="569"/>
      </w:pPr>
      <w:rPr>
        <w:rFonts w:hint="default"/>
        <w:lang w:val="en-US" w:eastAsia="en-US" w:bidi="ar-SA"/>
      </w:rPr>
    </w:lvl>
    <w:lvl w:ilvl="8" w:tplc="7B02A364">
      <w:numFmt w:val="bullet"/>
      <w:lvlText w:val="•"/>
      <w:lvlJc w:val="left"/>
      <w:pPr>
        <w:ind w:left="7861" w:hanging="569"/>
      </w:pPr>
      <w:rPr>
        <w:rFonts w:hint="default"/>
        <w:lang w:val="en-US" w:eastAsia="en-US" w:bidi="ar-SA"/>
      </w:rPr>
    </w:lvl>
  </w:abstractNum>
  <w:abstractNum w:abstractNumId="173" w15:restartNumberingAfterBreak="0">
    <w:nsid w:val="308B728D"/>
    <w:multiLevelType w:val="hybridMultilevel"/>
    <w:tmpl w:val="BDD04D18"/>
    <w:lvl w:ilvl="0" w:tplc="84AACF92">
      <w:start w:val="1"/>
      <w:numFmt w:val="lowerLetter"/>
      <w:lvlText w:val="(%1)"/>
      <w:lvlJc w:val="left"/>
      <w:pPr>
        <w:ind w:left="2408" w:hanging="567"/>
      </w:pPr>
      <w:rPr>
        <w:rFonts w:ascii="Arial" w:eastAsia="Calibri" w:hAnsi="Arial" w:cs="Arial" w:hint="default"/>
        <w:spacing w:val="-1"/>
        <w:w w:val="100"/>
        <w:sz w:val="20"/>
        <w:szCs w:val="22"/>
        <w:lang w:val="en-US" w:eastAsia="en-US" w:bidi="ar-SA"/>
      </w:rPr>
    </w:lvl>
    <w:lvl w:ilvl="1" w:tplc="0DE2D898">
      <w:start w:val="1"/>
      <w:numFmt w:val="decimal"/>
      <w:lvlText w:val="(%2)"/>
      <w:lvlJc w:val="left"/>
      <w:pPr>
        <w:ind w:left="2975" w:hanging="567"/>
      </w:pPr>
      <w:rPr>
        <w:rFonts w:ascii="Arial" w:eastAsia="Calibri" w:hAnsi="Arial" w:cs="Arial" w:hint="default"/>
        <w:spacing w:val="-1"/>
        <w:w w:val="100"/>
        <w:sz w:val="20"/>
        <w:szCs w:val="22"/>
        <w:lang w:val="en-US" w:eastAsia="en-US" w:bidi="ar-SA"/>
      </w:rPr>
    </w:lvl>
    <w:lvl w:ilvl="2" w:tplc="783CFC72">
      <w:numFmt w:val="bullet"/>
      <w:lvlText w:val="•"/>
      <w:lvlJc w:val="left"/>
      <w:pPr>
        <w:ind w:left="3689" w:hanging="567"/>
      </w:pPr>
      <w:rPr>
        <w:rFonts w:hint="default"/>
        <w:lang w:val="en-US" w:eastAsia="en-US" w:bidi="ar-SA"/>
      </w:rPr>
    </w:lvl>
    <w:lvl w:ilvl="3" w:tplc="2AAC676C">
      <w:numFmt w:val="bullet"/>
      <w:lvlText w:val="•"/>
      <w:lvlJc w:val="left"/>
      <w:pPr>
        <w:ind w:left="4399" w:hanging="567"/>
      </w:pPr>
      <w:rPr>
        <w:rFonts w:hint="default"/>
        <w:lang w:val="en-US" w:eastAsia="en-US" w:bidi="ar-SA"/>
      </w:rPr>
    </w:lvl>
    <w:lvl w:ilvl="4" w:tplc="F2E03C34">
      <w:numFmt w:val="bullet"/>
      <w:lvlText w:val="•"/>
      <w:lvlJc w:val="left"/>
      <w:pPr>
        <w:ind w:left="5108" w:hanging="567"/>
      </w:pPr>
      <w:rPr>
        <w:rFonts w:hint="default"/>
        <w:lang w:val="en-US" w:eastAsia="en-US" w:bidi="ar-SA"/>
      </w:rPr>
    </w:lvl>
    <w:lvl w:ilvl="5" w:tplc="DF8A4310">
      <w:numFmt w:val="bullet"/>
      <w:lvlText w:val="•"/>
      <w:lvlJc w:val="left"/>
      <w:pPr>
        <w:ind w:left="5818" w:hanging="567"/>
      </w:pPr>
      <w:rPr>
        <w:rFonts w:hint="default"/>
        <w:lang w:val="en-US" w:eastAsia="en-US" w:bidi="ar-SA"/>
      </w:rPr>
    </w:lvl>
    <w:lvl w:ilvl="6" w:tplc="42401C1A">
      <w:numFmt w:val="bullet"/>
      <w:lvlText w:val="•"/>
      <w:lvlJc w:val="left"/>
      <w:pPr>
        <w:ind w:left="6528" w:hanging="567"/>
      </w:pPr>
      <w:rPr>
        <w:rFonts w:hint="default"/>
        <w:lang w:val="en-US" w:eastAsia="en-US" w:bidi="ar-SA"/>
      </w:rPr>
    </w:lvl>
    <w:lvl w:ilvl="7" w:tplc="7F149CC0">
      <w:numFmt w:val="bullet"/>
      <w:lvlText w:val="•"/>
      <w:lvlJc w:val="left"/>
      <w:pPr>
        <w:ind w:left="7237" w:hanging="567"/>
      </w:pPr>
      <w:rPr>
        <w:rFonts w:hint="default"/>
        <w:lang w:val="en-US" w:eastAsia="en-US" w:bidi="ar-SA"/>
      </w:rPr>
    </w:lvl>
    <w:lvl w:ilvl="8" w:tplc="F0B6092E">
      <w:numFmt w:val="bullet"/>
      <w:lvlText w:val="•"/>
      <w:lvlJc w:val="left"/>
      <w:pPr>
        <w:ind w:left="7947" w:hanging="567"/>
      </w:pPr>
      <w:rPr>
        <w:rFonts w:hint="default"/>
        <w:lang w:val="en-US" w:eastAsia="en-US" w:bidi="ar-SA"/>
      </w:rPr>
    </w:lvl>
  </w:abstractNum>
  <w:abstractNum w:abstractNumId="174" w15:restartNumberingAfterBreak="0">
    <w:nsid w:val="30A03631"/>
    <w:multiLevelType w:val="hybridMultilevel"/>
    <w:tmpl w:val="094CEC64"/>
    <w:lvl w:ilvl="0" w:tplc="E2AC636E">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40289F54">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687A6CD4">
      <w:numFmt w:val="bullet"/>
      <w:lvlText w:val="•"/>
      <w:lvlJc w:val="left"/>
      <w:pPr>
        <w:ind w:left="2178" w:hanging="567"/>
      </w:pPr>
      <w:rPr>
        <w:rFonts w:hint="default"/>
        <w:lang w:val="en-US" w:eastAsia="en-US" w:bidi="ar-SA"/>
      </w:rPr>
    </w:lvl>
    <w:lvl w:ilvl="3" w:tplc="8E9C7B88">
      <w:numFmt w:val="bullet"/>
      <w:lvlText w:val="•"/>
      <w:lvlJc w:val="left"/>
      <w:pPr>
        <w:ind w:left="3076" w:hanging="567"/>
      </w:pPr>
      <w:rPr>
        <w:rFonts w:hint="default"/>
        <w:lang w:val="en-US" w:eastAsia="en-US" w:bidi="ar-SA"/>
      </w:rPr>
    </w:lvl>
    <w:lvl w:ilvl="4" w:tplc="8D0CA642">
      <w:numFmt w:val="bullet"/>
      <w:lvlText w:val="•"/>
      <w:lvlJc w:val="left"/>
      <w:pPr>
        <w:ind w:left="3975" w:hanging="567"/>
      </w:pPr>
      <w:rPr>
        <w:rFonts w:hint="default"/>
        <w:lang w:val="en-US" w:eastAsia="en-US" w:bidi="ar-SA"/>
      </w:rPr>
    </w:lvl>
    <w:lvl w:ilvl="5" w:tplc="D7349930">
      <w:numFmt w:val="bullet"/>
      <w:lvlText w:val="•"/>
      <w:lvlJc w:val="left"/>
      <w:pPr>
        <w:ind w:left="4873" w:hanging="567"/>
      </w:pPr>
      <w:rPr>
        <w:rFonts w:hint="default"/>
        <w:lang w:val="en-US" w:eastAsia="en-US" w:bidi="ar-SA"/>
      </w:rPr>
    </w:lvl>
    <w:lvl w:ilvl="6" w:tplc="5B985AF6">
      <w:numFmt w:val="bullet"/>
      <w:lvlText w:val="•"/>
      <w:lvlJc w:val="left"/>
      <w:pPr>
        <w:ind w:left="5772" w:hanging="567"/>
      </w:pPr>
      <w:rPr>
        <w:rFonts w:hint="default"/>
        <w:lang w:val="en-US" w:eastAsia="en-US" w:bidi="ar-SA"/>
      </w:rPr>
    </w:lvl>
    <w:lvl w:ilvl="7" w:tplc="1E5C2836">
      <w:numFmt w:val="bullet"/>
      <w:lvlText w:val="•"/>
      <w:lvlJc w:val="left"/>
      <w:pPr>
        <w:ind w:left="6670" w:hanging="567"/>
      </w:pPr>
      <w:rPr>
        <w:rFonts w:hint="default"/>
        <w:lang w:val="en-US" w:eastAsia="en-US" w:bidi="ar-SA"/>
      </w:rPr>
    </w:lvl>
    <w:lvl w:ilvl="8" w:tplc="2182E304">
      <w:numFmt w:val="bullet"/>
      <w:lvlText w:val="•"/>
      <w:lvlJc w:val="left"/>
      <w:pPr>
        <w:ind w:left="7569" w:hanging="567"/>
      </w:pPr>
      <w:rPr>
        <w:rFonts w:hint="default"/>
        <w:lang w:val="en-US" w:eastAsia="en-US" w:bidi="ar-SA"/>
      </w:rPr>
    </w:lvl>
  </w:abstractNum>
  <w:abstractNum w:abstractNumId="175" w15:restartNumberingAfterBreak="0">
    <w:nsid w:val="30F56DA9"/>
    <w:multiLevelType w:val="hybridMultilevel"/>
    <w:tmpl w:val="CF44DD4C"/>
    <w:lvl w:ilvl="0" w:tplc="D9D41B4A">
      <w:start w:val="1"/>
      <w:numFmt w:val="lowerRoman"/>
      <w:lvlText w:val="(%1)"/>
      <w:lvlJc w:val="left"/>
      <w:pPr>
        <w:ind w:left="2578" w:hanging="569"/>
      </w:pPr>
      <w:rPr>
        <w:rFonts w:ascii="Arial" w:eastAsia="Calibri" w:hAnsi="Arial" w:cs="Arial" w:hint="default"/>
        <w:spacing w:val="-1"/>
        <w:w w:val="100"/>
        <w:sz w:val="20"/>
        <w:szCs w:val="22"/>
        <w:lang w:val="en-US" w:eastAsia="en-US" w:bidi="ar-SA"/>
      </w:rPr>
    </w:lvl>
    <w:lvl w:ilvl="1" w:tplc="04090019" w:tentative="1">
      <w:start w:val="1"/>
      <w:numFmt w:val="lowerLetter"/>
      <w:lvlText w:val="%2."/>
      <w:lvlJc w:val="left"/>
      <w:pPr>
        <w:ind w:left="2176" w:hanging="360"/>
      </w:pPr>
    </w:lvl>
    <w:lvl w:ilvl="2" w:tplc="0409001B" w:tentative="1">
      <w:start w:val="1"/>
      <w:numFmt w:val="lowerRoman"/>
      <w:lvlText w:val="%3."/>
      <w:lvlJc w:val="right"/>
      <w:pPr>
        <w:ind w:left="2896" w:hanging="180"/>
      </w:pPr>
    </w:lvl>
    <w:lvl w:ilvl="3" w:tplc="0409000F" w:tentative="1">
      <w:start w:val="1"/>
      <w:numFmt w:val="decimal"/>
      <w:lvlText w:val="%4."/>
      <w:lvlJc w:val="left"/>
      <w:pPr>
        <w:ind w:left="3616" w:hanging="360"/>
      </w:pPr>
    </w:lvl>
    <w:lvl w:ilvl="4" w:tplc="04090019" w:tentative="1">
      <w:start w:val="1"/>
      <w:numFmt w:val="lowerLetter"/>
      <w:lvlText w:val="%5."/>
      <w:lvlJc w:val="left"/>
      <w:pPr>
        <w:ind w:left="4336" w:hanging="360"/>
      </w:pPr>
    </w:lvl>
    <w:lvl w:ilvl="5" w:tplc="0409001B" w:tentative="1">
      <w:start w:val="1"/>
      <w:numFmt w:val="lowerRoman"/>
      <w:lvlText w:val="%6."/>
      <w:lvlJc w:val="right"/>
      <w:pPr>
        <w:ind w:left="5056" w:hanging="180"/>
      </w:pPr>
    </w:lvl>
    <w:lvl w:ilvl="6" w:tplc="0409000F" w:tentative="1">
      <w:start w:val="1"/>
      <w:numFmt w:val="decimal"/>
      <w:lvlText w:val="%7."/>
      <w:lvlJc w:val="left"/>
      <w:pPr>
        <w:ind w:left="5776" w:hanging="360"/>
      </w:pPr>
    </w:lvl>
    <w:lvl w:ilvl="7" w:tplc="04090019" w:tentative="1">
      <w:start w:val="1"/>
      <w:numFmt w:val="lowerLetter"/>
      <w:lvlText w:val="%8."/>
      <w:lvlJc w:val="left"/>
      <w:pPr>
        <w:ind w:left="6496" w:hanging="360"/>
      </w:pPr>
    </w:lvl>
    <w:lvl w:ilvl="8" w:tplc="0409001B" w:tentative="1">
      <w:start w:val="1"/>
      <w:numFmt w:val="lowerRoman"/>
      <w:lvlText w:val="%9."/>
      <w:lvlJc w:val="right"/>
      <w:pPr>
        <w:ind w:left="7216" w:hanging="180"/>
      </w:pPr>
    </w:lvl>
  </w:abstractNum>
  <w:abstractNum w:abstractNumId="176" w15:restartNumberingAfterBreak="0">
    <w:nsid w:val="31A40ACC"/>
    <w:multiLevelType w:val="hybridMultilevel"/>
    <w:tmpl w:val="0E786B76"/>
    <w:lvl w:ilvl="0" w:tplc="CD80582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ADC655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1B2266EE">
      <w:numFmt w:val="bullet"/>
      <w:lvlText w:val="•"/>
      <w:lvlJc w:val="left"/>
      <w:pPr>
        <w:ind w:left="2178" w:hanging="567"/>
      </w:pPr>
      <w:rPr>
        <w:lang w:val="en-US" w:eastAsia="en-US" w:bidi="ar-SA"/>
      </w:rPr>
    </w:lvl>
    <w:lvl w:ilvl="3" w:tplc="45BE0660">
      <w:numFmt w:val="bullet"/>
      <w:lvlText w:val="•"/>
      <w:lvlJc w:val="left"/>
      <w:pPr>
        <w:ind w:left="3076" w:hanging="567"/>
      </w:pPr>
      <w:rPr>
        <w:lang w:val="en-US" w:eastAsia="en-US" w:bidi="ar-SA"/>
      </w:rPr>
    </w:lvl>
    <w:lvl w:ilvl="4" w:tplc="EF4E30C8">
      <w:numFmt w:val="bullet"/>
      <w:lvlText w:val="•"/>
      <w:lvlJc w:val="left"/>
      <w:pPr>
        <w:ind w:left="3975" w:hanging="567"/>
      </w:pPr>
      <w:rPr>
        <w:lang w:val="en-US" w:eastAsia="en-US" w:bidi="ar-SA"/>
      </w:rPr>
    </w:lvl>
    <w:lvl w:ilvl="5" w:tplc="E8CECEAA">
      <w:numFmt w:val="bullet"/>
      <w:lvlText w:val="•"/>
      <w:lvlJc w:val="left"/>
      <w:pPr>
        <w:ind w:left="4873" w:hanging="567"/>
      </w:pPr>
      <w:rPr>
        <w:lang w:val="en-US" w:eastAsia="en-US" w:bidi="ar-SA"/>
      </w:rPr>
    </w:lvl>
    <w:lvl w:ilvl="6" w:tplc="D8024D6C">
      <w:numFmt w:val="bullet"/>
      <w:lvlText w:val="•"/>
      <w:lvlJc w:val="left"/>
      <w:pPr>
        <w:ind w:left="5772" w:hanging="567"/>
      </w:pPr>
      <w:rPr>
        <w:lang w:val="en-US" w:eastAsia="en-US" w:bidi="ar-SA"/>
      </w:rPr>
    </w:lvl>
    <w:lvl w:ilvl="7" w:tplc="7E1A1F06">
      <w:numFmt w:val="bullet"/>
      <w:lvlText w:val="•"/>
      <w:lvlJc w:val="left"/>
      <w:pPr>
        <w:ind w:left="6670" w:hanging="567"/>
      </w:pPr>
      <w:rPr>
        <w:lang w:val="en-US" w:eastAsia="en-US" w:bidi="ar-SA"/>
      </w:rPr>
    </w:lvl>
    <w:lvl w:ilvl="8" w:tplc="78D2843C">
      <w:numFmt w:val="bullet"/>
      <w:lvlText w:val="•"/>
      <w:lvlJc w:val="left"/>
      <w:pPr>
        <w:ind w:left="7569" w:hanging="567"/>
      </w:pPr>
      <w:rPr>
        <w:lang w:val="en-US" w:eastAsia="en-US" w:bidi="ar-SA"/>
      </w:rPr>
    </w:lvl>
  </w:abstractNum>
  <w:abstractNum w:abstractNumId="177" w15:restartNumberingAfterBreak="0">
    <w:nsid w:val="320809E3"/>
    <w:multiLevelType w:val="hybridMultilevel"/>
    <w:tmpl w:val="69D8F8AA"/>
    <w:lvl w:ilvl="0" w:tplc="753E34E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5E02D69E">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7530485C">
      <w:numFmt w:val="bullet"/>
      <w:lvlText w:val="•"/>
      <w:lvlJc w:val="left"/>
      <w:pPr>
        <w:ind w:left="2178" w:hanging="567"/>
      </w:pPr>
      <w:rPr>
        <w:rFonts w:hint="default"/>
        <w:lang w:val="en-US" w:eastAsia="en-US" w:bidi="ar-SA"/>
      </w:rPr>
    </w:lvl>
    <w:lvl w:ilvl="3" w:tplc="5E1E2BB6">
      <w:numFmt w:val="bullet"/>
      <w:lvlText w:val="•"/>
      <w:lvlJc w:val="left"/>
      <w:pPr>
        <w:ind w:left="3076" w:hanging="567"/>
      </w:pPr>
      <w:rPr>
        <w:rFonts w:hint="default"/>
        <w:lang w:val="en-US" w:eastAsia="en-US" w:bidi="ar-SA"/>
      </w:rPr>
    </w:lvl>
    <w:lvl w:ilvl="4" w:tplc="74BCDA20">
      <w:numFmt w:val="bullet"/>
      <w:lvlText w:val="•"/>
      <w:lvlJc w:val="left"/>
      <w:pPr>
        <w:ind w:left="3975" w:hanging="567"/>
      </w:pPr>
      <w:rPr>
        <w:rFonts w:hint="default"/>
        <w:lang w:val="en-US" w:eastAsia="en-US" w:bidi="ar-SA"/>
      </w:rPr>
    </w:lvl>
    <w:lvl w:ilvl="5" w:tplc="B24ECBC8">
      <w:numFmt w:val="bullet"/>
      <w:lvlText w:val="•"/>
      <w:lvlJc w:val="left"/>
      <w:pPr>
        <w:ind w:left="4873" w:hanging="567"/>
      </w:pPr>
      <w:rPr>
        <w:rFonts w:hint="default"/>
        <w:lang w:val="en-US" w:eastAsia="en-US" w:bidi="ar-SA"/>
      </w:rPr>
    </w:lvl>
    <w:lvl w:ilvl="6" w:tplc="2D3A686A">
      <w:numFmt w:val="bullet"/>
      <w:lvlText w:val="•"/>
      <w:lvlJc w:val="left"/>
      <w:pPr>
        <w:ind w:left="5772" w:hanging="567"/>
      </w:pPr>
      <w:rPr>
        <w:rFonts w:hint="default"/>
        <w:lang w:val="en-US" w:eastAsia="en-US" w:bidi="ar-SA"/>
      </w:rPr>
    </w:lvl>
    <w:lvl w:ilvl="7" w:tplc="47EA33A4">
      <w:numFmt w:val="bullet"/>
      <w:lvlText w:val="•"/>
      <w:lvlJc w:val="left"/>
      <w:pPr>
        <w:ind w:left="6670" w:hanging="567"/>
      </w:pPr>
      <w:rPr>
        <w:rFonts w:hint="default"/>
        <w:lang w:val="en-US" w:eastAsia="en-US" w:bidi="ar-SA"/>
      </w:rPr>
    </w:lvl>
    <w:lvl w:ilvl="8" w:tplc="6F2C43FE">
      <w:numFmt w:val="bullet"/>
      <w:lvlText w:val="•"/>
      <w:lvlJc w:val="left"/>
      <w:pPr>
        <w:ind w:left="7569" w:hanging="567"/>
      </w:pPr>
      <w:rPr>
        <w:rFonts w:hint="default"/>
        <w:lang w:val="en-US" w:eastAsia="en-US" w:bidi="ar-SA"/>
      </w:rPr>
    </w:lvl>
  </w:abstractNum>
  <w:abstractNum w:abstractNumId="178" w15:restartNumberingAfterBreak="0">
    <w:nsid w:val="323851E4"/>
    <w:multiLevelType w:val="hybridMultilevel"/>
    <w:tmpl w:val="811EF756"/>
    <w:lvl w:ilvl="0" w:tplc="6520D264">
      <w:start w:val="1"/>
      <w:numFmt w:val="lowerRoman"/>
      <w:lvlText w:val="(%1)"/>
      <w:lvlJc w:val="left"/>
      <w:pPr>
        <w:ind w:left="2408" w:hanging="567"/>
      </w:pPr>
      <w:rPr>
        <w:rFonts w:ascii="Arial" w:eastAsia="Calibri" w:hAnsi="Arial" w:cs="Arial" w:hint="default"/>
        <w:spacing w:val="-1"/>
        <w:w w:val="100"/>
        <w:sz w:val="20"/>
        <w:szCs w:val="22"/>
        <w:lang w:val="en-US" w:eastAsia="en-US" w:bidi="ar-SA"/>
      </w:rPr>
    </w:lvl>
    <w:lvl w:ilvl="1" w:tplc="4E125A96">
      <w:start w:val="1"/>
      <w:numFmt w:val="upperLetter"/>
      <w:lvlText w:val="(%2)"/>
      <w:lvlJc w:val="left"/>
      <w:pPr>
        <w:ind w:left="2975" w:hanging="567"/>
      </w:pPr>
      <w:rPr>
        <w:rFonts w:ascii="Arial" w:eastAsia="Calibri" w:hAnsi="Arial" w:cs="Arial" w:hint="default"/>
        <w:spacing w:val="-1"/>
        <w:w w:val="100"/>
        <w:sz w:val="20"/>
        <w:szCs w:val="22"/>
        <w:lang w:val="en-US" w:eastAsia="en-US" w:bidi="ar-SA"/>
      </w:rPr>
    </w:lvl>
    <w:lvl w:ilvl="2" w:tplc="D86E89DC">
      <w:numFmt w:val="bullet"/>
      <w:lvlText w:val="•"/>
      <w:lvlJc w:val="left"/>
      <w:pPr>
        <w:ind w:left="3689" w:hanging="567"/>
      </w:pPr>
      <w:rPr>
        <w:rFonts w:hint="default"/>
        <w:lang w:val="en-US" w:eastAsia="en-US" w:bidi="ar-SA"/>
      </w:rPr>
    </w:lvl>
    <w:lvl w:ilvl="3" w:tplc="61100798">
      <w:numFmt w:val="bullet"/>
      <w:lvlText w:val="•"/>
      <w:lvlJc w:val="left"/>
      <w:pPr>
        <w:ind w:left="4399" w:hanging="567"/>
      </w:pPr>
      <w:rPr>
        <w:rFonts w:hint="default"/>
        <w:lang w:val="en-US" w:eastAsia="en-US" w:bidi="ar-SA"/>
      </w:rPr>
    </w:lvl>
    <w:lvl w:ilvl="4" w:tplc="A8706254">
      <w:numFmt w:val="bullet"/>
      <w:lvlText w:val="•"/>
      <w:lvlJc w:val="left"/>
      <w:pPr>
        <w:ind w:left="5108" w:hanging="567"/>
      </w:pPr>
      <w:rPr>
        <w:rFonts w:hint="default"/>
        <w:lang w:val="en-US" w:eastAsia="en-US" w:bidi="ar-SA"/>
      </w:rPr>
    </w:lvl>
    <w:lvl w:ilvl="5" w:tplc="C580380E">
      <w:numFmt w:val="bullet"/>
      <w:lvlText w:val="•"/>
      <w:lvlJc w:val="left"/>
      <w:pPr>
        <w:ind w:left="5818" w:hanging="567"/>
      </w:pPr>
      <w:rPr>
        <w:rFonts w:hint="default"/>
        <w:lang w:val="en-US" w:eastAsia="en-US" w:bidi="ar-SA"/>
      </w:rPr>
    </w:lvl>
    <w:lvl w:ilvl="6" w:tplc="EC9821AE">
      <w:numFmt w:val="bullet"/>
      <w:lvlText w:val="•"/>
      <w:lvlJc w:val="left"/>
      <w:pPr>
        <w:ind w:left="6528" w:hanging="567"/>
      </w:pPr>
      <w:rPr>
        <w:rFonts w:hint="default"/>
        <w:lang w:val="en-US" w:eastAsia="en-US" w:bidi="ar-SA"/>
      </w:rPr>
    </w:lvl>
    <w:lvl w:ilvl="7" w:tplc="5B3EC324">
      <w:numFmt w:val="bullet"/>
      <w:lvlText w:val="•"/>
      <w:lvlJc w:val="left"/>
      <w:pPr>
        <w:ind w:left="7237" w:hanging="567"/>
      </w:pPr>
      <w:rPr>
        <w:rFonts w:hint="default"/>
        <w:lang w:val="en-US" w:eastAsia="en-US" w:bidi="ar-SA"/>
      </w:rPr>
    </w:lvl>
    <w:lvl w:ilvl="8" w:tplc="BFDA7FF0">
      <w:numFmt w:val="bullet"/>
      <w:lvlText w:val="•"/>
      <w:lvlJc w:val="left"/>
      <w:pPr>
        <w:ind w:left="7947" w:hanging="567"/>
      </w:pPr>
      <w:rPr>
        <w:rFonts w:hint="default"/>
        <w:lang w:val="en-US" w:eastAsia="en-US" w:bidi="ar-SA"/>
      </w:rPr>
    </w:lvl>
  </w:abstractNum>
  <w:abstractNum w:abstractNumId="179" w15:restartNumberingAfterBreak="0">
    <w:nsid w:val="32454829"/>
    <w:multiLevelType w:val="hybridMultilevel"/>
    <w:tmpl w:val="C680A60A"/>
    <w:lvl w:ilvl="0" w:tplc="7414A2AC">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5F548B32">
      <w:numFmt w:val="bullet"/>
      <w:lvlText w:val="•"/>
      <w:lvlJc w:val="left"/>
      <w:pPr>
        <w:ind w:left="1566" w:hanging="567"/>
      </w:pPr>
      <w:rPr>
        <w:rFonts w:hint="default"/>
        <w:lang w:val="en-US" w:eastAsia="en-US" w:bidi="ar-SA"/>
      </w:rPr>
    </w:lvl>
    <w:lvl w:ilvl="2" w:tplc="76145052">
      <w:numFmt w:val="bullet"/>
      <w:lvlText w:val="•"/>
      <w:lvlJc w:val="left"/>
      <w:pPr>
        <w:ind w:left="2433" w:hanging="567"/>
      </w:pPr>
      <w:rPr>
        <w:rFonts w:hint="default"/>
        <w:lang w:val="en-US" w:eastAsia="en-US" w:bidi="ar-SA"/>
      </w:rPr>
    </w:lvl>
    <w:lvl w:ilvl="3" w:tplc="CBB43598">
      <w:numFmt w:val="bullet"/>
      <w:lvlText w:val="•"/>
      <w:lvlJc w:val="left"/>
      <w:pPr>
        <w:ind w:left="3299" w:hanging="567"/>
      </w:pPr>
      <w:rPr>
        <w:rFonts w:hint="default"/>
        <w:lang w:val="en-US" w:eastAsia="en-US" w:bidi="ar-SA"/>
      </w:rPr>
    </w:lvl>
    <w:lvl w:ilvl="4" w:tplc="7B2CAA00">
      <w:numFmt w:val="bullet"/>
      <w:lvlText w:val="•"/>
      <w:lvlJc w:val="left"/>
      <w:pPr>
        <w:ind w:left="4166" w:hanging="567"/>
      </w:pPr>
      <w:rPr>
        <w:rFonts w:hint="default"/>
        <w:lang w:val="en-US" w:eastAsia="en-US" w:bidi="ar-SA"/>
      </w:rPr>
    </w:lvl>
    <w:lvl w:ilvl="5" w:tplc="70EC6BF2">
      <w:numFmt w:val="bullet"/>
      <w:lvlText w:val="•"/>
      <w:lvlJc w:val="left"/>
      <w:pPr>
        <w:ind w:left="5033" w:hanging="567"/>
      </w:pPr>
      <w:rPr>
        <w:rFonts w:hint="default"/>
        <w:lang w:val="en-US" w:eastAsia="en-US" w:bidi="ar-SA"/>
      </w:rPr>
    </w:lvl>
    <w:lvl w:ilvl="6" w:tplc="8E2CC670">
      <w:numFmt w:val="bullet"/>
      <w:lvlText w:val="•"/>
      <w:lvlJc w:val="left"/>
      <w:pPr>
        <w:ind w:left="5899" w:hanging="567"/>
      </w:pPr>
      <w:rPr>
        <w:rFonts w:hint="default"/>
        <w:lang w:val="en-US" w:eastAsia="en-US" w:bidi="ar-SA"/>
      </w:rPr>
    </w:lvl>
    <w:lvl w:ilvl="7" w:tplc="37D6559A">
      <w:numFmt w:val="bullet"/>
      <w:lvlText w:val="•"/>
      <w:lvlJc w:val="left"/>
      <w:pPr>
        <w:ind w:left="6766" w:hanging="567"/>
      </w:pPr>
      <w:rPr>
        <w:rFonts w:hint="default"/>
        <w:lang w:val="en-US" w:eastAsia="en-US" w:bidi="ar-SA"/>
      </w:rPr>
    </w:lvl>
    <w:lvl w:ilvl="8" w:tplc="8D3A6652">
      <w:numFmt w:val="bullet"/>
      <w:lvlText w:val="•"/>
      <w:lvlJc w:val="left"/>
      <w:pPr>
        <w:ind w:left="7633" w:hanging="567"/>
      </w:pPr>
      <w:rPr>
        <w:rFonts w:hint="default"/>
        <w:lang w:val="en-US" w:eastAsia="en-US" w:bidi="ar-SA"/>
      </w:rPr>
    </w:lvl>
  </w:abstractNum>
  <w:abstractNum w:abstractNumId="180" w15:restartNumberingAfterBreak="0">
    <w:nsid w:val="328D0831"/>
    <w:multiLevelType w:val="hybridMultilevel"/>
    <w:tmpl w:val="F0D2320E"/>
    <w:lvl w:ilvl="0" w:tplc="BC40565E">
      <w:start w:val="1"/>
      <w:numFmt w:val="lowerLetter"/>
      <w:lvlText w:val="(%1)"/>
      <w:lvlJc w:val="left"/>
      <w:pPr>
        <w:ind w:left="706" w:hanging="567"/>
      </w:pPr>
      <w:rPr>
        <w:rFonts w:ascii="Calibri" w:eastAsia="Calibri" w:hAnsi="Calibri" w:cs="Calibri" w:hint="default"/>
        <w:spacing w:val="-1"/>
        <w:w w:val="100"/>
        <w:sz w:val="22"/>
        <w:szCs w:val="22"/>
        <w:lang w:val="en-US" w:eastAsia="en-US" w:bidi="ar-SA"/>
      </w:rPr>
    </w:lvl>
    <w:lvl w:ilvl="1" w:tplc="C75817E0">
      <w:numFmt w:val="bullet"/>
      <w:lvlText w:val="•"/>
      <w:lvlJc w:val="left"/>
      <w:pPr>
        <w:ind w:left="1566" w:hanging="567"/>
      </w:pPr>
      <w:rPr>
        <w:rFonts w:hint="default"/>
        <w:lang w:val="en-US" w:eastAsia="en-US" w:bidi="ar-SA"/>
      </w:rPr>
    </w:lvl>
    <w:lvl w:ilvl="2" w:tplc="36F24A44">
      <w:numFmt w:val="bullet"/>
      <w:lvlText w:val="•"/>
      <w:lvlJc w:val="left"/>
      <w:pPr>
        <w:ind w:left="2433" w:hanging="567"/>
      </w:pPr>
      <w:rPr>
        <w:rFonts w:hint="default"/>
        <w:lang w:val="en-US" w:eastAsia="en-US" w:bidi="ar-SA"/>
      </w:rPr>
    </w:lvl>
    <w:lvl w:ilvl="3" w:tplc="658C2DDC">
      <w:numFmt w:val="bullet"/>
      <w:lvlText w:val="•"/>
      <w:lvlJc w:val="left"/>
      <w:pPr>
        <w:ind w:left="3299" w:hanging="567"/>
      </w:pPr>
      <w:rPr>
        <w:rFonts w:hint="default"/>
        <w:lang w:val="en-US" w:eastAsia="en-US" w:bidi="ar-SA"/>
      </w:rPr>
    </w:lvl>
    <w:lvl w:ilvl="4" w:tplc="BE267092">
      <w:numFmt w:val="bullet"/>
      <w:lvlText w:val="•"/>
      <w:lvlJc w:val="left"/>
      <w:pPr>
        <w:ind w:left="4166" w:hanging="567"/>
      </w:pPr>
      <w:rPr>
        <w:rFonts w:hint="default"/>
        <w:lang w:val="en-US" w:eastAsia="en-US" w:bidi="ar-SA"/>
      </w:rPr>
    </w:lvl>
    <w:lvl w:ilvl="5" w:tplc="F15E4D90">
      <w:numFmt w:val="bullet"/>
      <w:lvlText w:val="•"/>
      <w:lvlJc w:val="left"/>
      <w:pPr>
        <w:ind w:left="5033" w:hanging="567"/>
      </w:pPr>
      <w:rPr>
        <w:rFonts w:hint="default"/>
        <w:lang w:val="en-US" w:eastAsia="en-US" w:bidi="ar-SA"/>
      </w:rPr>
    </w:lvl>
    <w:lvl w:ilvl="6" w:tplc="22AA419E">
      <w:numFmt w:val="bullet"/>
      <w:lvlText w:val="•"/>
      <w:lvlJc w:val="left"/>
      <w:pPr>
        <w:ind w:left="5899" w:hanging="567"/>
      </w:pPr>
      <w:rPr>
        <w:rFonts w:hint="default"/>
        <w:lang w:val="en-US" w:eastAsia="en-US" w:bidi="ar-SA"/>
      </w:rPr>
    </w:lvl>
    <w:lvl w:ilvl="7" w:tplc="CF069F46">
      <w:numFmt w:val="bullet"/>
      <w:lvlText w:val="•"/>
      <w:lvlJc w:val="left"/>
      <w:pPr>
        <w:ind w:left="6766" w:hanging="567"/>
      </w:pPr>
      <w:rPr>
        <w:rFonts w:hint="default"/>
        <w:lang w:val="en-US" w:eastAsia="en-US" w:bidi="ar-SA"/>
      </w:rPr>
    </w:lvl>
    <w:lvl w:ilvl="8" w:tplc="F012A1C8">
      <w:numFmt w:val="bullet"/>
      <w:lvlText w:val="•"/>
      <w:lvlJc w:val="left"/>
      <w:pPr>
        <w:ind w:left="7633" w:hanging="567"/>
      </w:pPr>
      <w:rPr>
        <w:rFonts w:hint="default"/>
        <w:lang w:val="en-US" w:eastAsia="en-US" w:bidi="ar-SA"/>
      </w:rPr>
    </w:lvl>
  </w:abstractNum>
  <w:abstractNum w:abstractNumId="181" w15:restartNumberingAfterBreak="0">
    <w:nsid w:val="32911D71"/>
    <w:multiLevelType w:val="hybridMultilevel"/>
    <w:tmpl w:val="929264B4"/>
    <w:lvl w:ilvl="0" w:tplc="D3504650">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1AF2F952">
      <w:numFmt w:val="bullet"/>
      <w:lvlText w:val="•"/>
      <w:lvlJc w:val="left"/>
      <w:pPr>
        <w:ind w:left="1566" w:hanging="567"/>
      </w:pPr>
      <w:rPr>
        <w:rFonts w:hint="default"/>
        <w:lang w:val="en-US" w:eastAsia="en-US" w:bidi="ar-SA"/>
      </w:rPr>
    </w:lvl>
    <w:lvl w:ilvl="2" w:tplc="87D80DD0">
      <w:numFmt w:val="bullet"/>
      <w:lvlText w:val="•"/>
      <w:lvlJc w:val="left"/>
      <w:pPr>
        <w:ind w:left="2433" w:hanging="567"/>
      </w:pPr>
      <w:rPr>
        <w:rFonts w:hint="default"/>
        <w:lang w:val="en-US" w:eastAsia="en-US" w:bidi="ar-SA"/>
      </w:rPr>
    </w:lvl>
    <w:lvl w:ilvl="3" w:tplc="30A6B44E">
      <w:numFmt w:val="bullet"/>
      <w:lvlText w:val="•"/>
      <w:lvlJc w:val="left"/>
      <w:pPr>
        <w:ind w:left="3299" w:hanging="567"/>
      </w:pPr>
      <w:rPr>
        <w:rFonts w:hint="default"/>
        <w:lang w:val="en-US" w:eastAsia="en-US" w:bidi="ar-SA"/>
      </w:rPr>
    </w:lvl>
    <w:lvl w:ilvl="4" w:tplc="AAAC096C">
      <w:numFmt w:val="bullet"/>
      <w:lvlText w:val="•"/>
      <w:lvlJc w:val="left"/>
      <w:pPr>
        <w:ind w:left="4166" w:hanging="567"/>
      </w:pPr>
      <w:rPr>
        <w:rFonts w:hint="default"/>
        <w:lang w:val="en-US" w:eastAsia="en-US" w:bidi="ar-SA"/>
      </w:rPr>
    </w:lvl>
    <w:lvl w:ilvl="5" w:tplc="D03C0CDE">
      <w:numFmt w:val="bullet"/>
      <w:lvlText w:val="•"/>
      <w:lvlJc w:val="left"/>
      <w:pPr>
        <w:ind w:left="5033" w:hanging="567"/>
      </w:pPr>
      <w:rPr>
        <w:rFonts w:hint="default"/>
        <w:lang w:val="en-US" w:eastAsia="en-US" w:bidi="ar-SA"/>
      </w:rPr>
    </w:lvl>
    <w:lvl w:ilvl="6" w:tplc="ED3A77EA">
      <w:numFmt w:val="bullet"/>
      <w:lvlText w:val="•"/>
      <w:lvlJc w:val="left"/>
      <w:pPr>
        <w:ind w:left="5899" w:hanging="567"/>
      </w:pPr>
      <w:rPr>
        <w:rFonts w:hint="default"/>
        <w:lang w:val="en-US" w:eastAsia="en-US" w:bidi="ar-SA"/>
      </w:rPr>
    </w:lvl>
    <w:lvl w:ilvl="7" w:tplc="D6ECBB50">
      <w:numFmt w:val="bullet"/>
      <w:lvlText w:val="•"/>
      <w:lvlJc w:val="left"/>
      <w:pPr>
        <w:ind w:left="6766" w:hanging="567"/>
      </w:pPr>
      <w:rPr>
        <w:rFonts w:hint="default"/>
        <w:lang w:val="en-US" w:eastAsia="en-US" w:bidi="ar-SA"/>
      </w:rPr>
    </w:lvl>
    <w:lvl w:ilvl="8" w:tplc="8892BA5C">
      <w:numFmt w:val="bullet"/>
      <w:lvlText w:val="•"/>
      <w:lvlJc w:val="left"/>
      <w:pPr>
        <w:ind w:left="7633" w:hanging="567"/>
      </w:pPr>
      <w:rPr>
        <w:rFonts w:hint="default"/>
        <w:lang w:val="en-US" w:eastAsia="en-US" w:bidi="ar-SA"/>
      </w:rPr>
    </w:lvl>
  </w:abstractNum>
  <w:abstractNum w:abstractNumId="182" w15:restartNumberingAfterBreak="0">
    <w:nsid w:val="32C442F4"/>
    <w:multiLevelType w:val="hybridMultilevel"/>
    <w:tmpl w:val="547473EC"/>
    <w:lvl w:ilvl="0" w:tplc="856E4124">
      <w:start w:val="1"/>
      <w:numFmt w:val="lowerRoman"/>
      <w:lvlText w:val="(%1)"/>
      <w:lvlJc w:val="left"/>
      <w:pPr>
        <w:ind w:left="2408" w:hanging="567"/>
      </w:pPr>
      <w:rPr>
        <w:rFonts w:ascii="Arial" w:eastAsia="Calibri" w:hAnsi="Arial" w:cs="Arial" w:hint="default"/>
        <w:spacing w:val="-1"/>
        <w:w w:val="100"/>
        <w:sz w:val="20"/>
        <w:szCs w:val="22"/>
        <w:lang w:val="en-US" w:eastAsia="en-US" w:bidi="ar-SA"/>
      </w:rPr>
    </w:lvl>
    <w:lvl w:ilvl="1" w:tplc="917839E0">
      <w:numFmt w:val="bullet"/>
      <w:lvlText w:val="•"/>
      <w:lvlJc w:val="left"/>
      <w:pPr>
        <w:ind w:left="3096" w:hanging="567"/>
      </w:pPr>
      <w:rPr>
        <w:rFonts w:hint="default"/>
        <w:lang w:val="en-US" w:eastAsia="en-US" w:bidi="ar-SA"/>
      </w:rPr>
    </w:lvl>
    <w:lvl w:ilvl="2" w:tplc="C96EFD48">
      <w:numFmt w:val="bullet"/>
      <w:lvlText w:val="•"/>
      <w:lvlJc w:val="left"/>
      <w:pPr>
        <w:ind w:left="3793" w:hanging="567"/>
      </w:pPr>
      <w:rPr>
        <w:rFonts w:hint="default"/>
        <w:lang w:val="en-US" w:eastAsia="en-US" w:bidi="ar-SA"/>
      </w:rPr>
    </w:lvl>
    <w:lvl w:ilvl="3" w:tplc="4790EB5E">
      <w:numFmt w:val="bullet"/>
      <w:lvlText w:val="•"/>
      <w:lvlJc w:val="left"/>
      <w:pPr>
        <w:ind w:left="4489" w:hanging="567"/>
      </w:pPr>
      <w:rPr>
        <w:rFonts w:hint="default"/>
        <w:lang w:val="en-US" w:eastAsia="en-US" w:bidi="ar-SA"/>
      </w:rPr>
    </w:lvl>
    <w:lvl w:ilvl="4" w:tplc="068C917C">
      <w:numFmt w:val="bullet"/>
      <w:lvlText w:val="•"/>
      <w:lvlJc w:val="left"/>
      <w:pPr>
        <w:ind w:left="5186" w:hanging="567"/>
      </w:pPr>
      <w:rPr>
        <w:rFonts w:hint="default"/>
        <w:lang w:val="en-US" w:eastAsia="en-US" w:bidi="ar-SA"/>
      </w:rPr>
    </w:lvl>
    <w:lvl w:ilvl="5" w:tplc="A7C01C40">
      <w:numFmt w:val="bullet"/>
      <w:lvlText w:val="•"/>
      <w:lvlJc w:val="left"/>
      <w:pPr>
        <w:ind w:left="5883" w:hanging="567"/>
      </w:pPr>
      <w:rPr>
        <w:rFonts w:hint="default"/>
        <w:lang w:val="en-US" w:eastAsia="en-US" w:bidi="ar-SA"/>
      </w:rPr>
    </w:lvl>
    <w:lvl w:ilvl="6" w:tplc="087E08BE">
      <w:numFmt w:val="bullet"/>
      <w:lvlText w:val="•"/>
      <w:lvlJc w:val="left"/>
      <w:pPr>
        <w:ind w:left="6579" w:hanging="567"/>
      </w:pPr>
      <w:rPr>
        <w:rFonts w:hint="default"/>
        <w:lang w:val="en-US" w:eastAsia="en-US" w:bidi="ar-SA"/>
      </w:rPr>
    </w:lvl>
    <w:lvl w:ilvl="7" w:tplc="DECE10E8">
      <w:numFmt w:val="bullet"/>
      <w:lvlText w:val="•"/>
      <w:lvlJc w:val="left"/>
      <w:pPr>
        <w:ind w:left="7276" w:hanging="567"/>
      </w:pPr>
      <w:rPr>
        <w:rFonts w:hint="default"/>
        <w:lang w:val="en-US" w:eastAsia="en-US" w:bidi="ar-SA"/>
      </w:rPr>
    </w:lvl>
    <w:lvl w:ilvl="8" w:tplc="111A98AC">
      <w:numFmt w:val="bullet"/>
      <w:lvlText w:val="•"/>
      <w:lvlJc w:val="left"/>
      <w:pPr>
        <w:ind w:left="7973" w:hanging="567"/>
      </w:pPr>
      <w:rPr>
        <w:rFonts w:hint="default"/>
        <w:lang w:val="en-US" w:eastAsia="en-US" w:bidi="ar-SA"/>
      </w:rPr>
    </w:lvl>
  </w:abstractNum>
  <w:abstractNum w:abstractNumId="183" w15:restartNumberingAfterBreak="0">
    <w:nsid w:val="331C7433"/>
    <w:multiLevelType w:val="hybridMultilevel"/>
    <w:tmpl w:val="0E786B76"/>
    <w:lvl w:ilvl="0" w:tplc="CD80582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ADC655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1B2266EE">
      <w:numFmt w:val="bullet"/>
      <w:lvlText w:val="•"/>
      <w:lvlJc w:val="left"/>
      <w:pPr>
        <w:ind w:left="2178" w:hanging="567"/>
      </w:pPr>
      <w:rPr>
        <w:lang w:val="en-US" w:eastAsia="en-US" w:bidi="ar-SA"/>
      </w:rPr>
    </w:lvl>
    <w:lvl w:ilvl="3" w:tplc="45BE0660">
      <w:numFmt w:val="bullet"/>
      <w:lvlText w:val="•"/>
      <w:lvlJc w:val="left"/>
      <w:pPr>
        <w:ind w:left="3076" w:hanging="567"/>
      </w:pPr>
      <w:rPr>
        <w:lang w:val="en-US" w:eastAsia="en-US" w:bidi="ar-SA"/>
      </w:rPr>
    </w:lvl>
    <w:lvl w:ilvl="4" w:tplc="EF4E30C8">
      <w:numFmt w:val="bullet"/>
      <w:lvlText w:val="•"/>
      <w:lvlJc w:val="left"/>
      <w:pPr>
        <w:ind w:left="3975" w:hanging="567"/>
      </w:pPr>
      <w:rPr>
        <w:lang w:val="en-US" w:eastAsia="en-US" w:bidi="ar-SA"/>
      </w:rPr>
    </w:lvl>
    <w:lvl w:ilvl="5" w:tplc="E8CECEAA">
      <w:numFmt w:val="bullet"/>
      <w:lvlText w:val="•"/>
      <w:lvlJc w:val="left"/>
      <w:pPr>
        <w:ind w:left="4873" w:hanging="567"/>
      </w:pPr>
      <w:rPr>
        <w:lang w:val="en-US" w:eastAsia="en-US" w:bidi="ar-SA"/>
      </w:rPr>
    </w:lvl>
    <w:lvl w:ilvl="6" w:tplc="D8024D6C">
      <w:numFmt w:val="bullet"/>
      <w:lvlText w:val="•"/>
      <w:lvlJc w:val="left"/>
      <w:pPr>
        <w:ind w:left="5772" w:hanging="567"/>
      </w:pPr>
      <w:rPr>
        <w:lang w:val="en-US" w:eastAsia="en-US" w:bidi="ar-SA"/>
      </w:rPr>
    </w:lvl>
    <w:lvl w:ilvl="7" w:tplc="7E1A1F06">
      <w:numFmt w:val="bullet"/>
      <w:lvlText w:val="•"/>
      <w:lvlJc w:val="left"/>
      <w:pPr>
        <w:ind w:left="6670" w:hanging="567"/>
      </w:pPr>
      <w:rPr>
        <w:lang w:val="en-US" w:eastAsia="en-US" w:bidi="ar-SA"/>
      </w:rPr>
    </w:lvl>
    <w:lvl w:ilvl="8" w:tplc="78D2843C">
      <w:numFmt w:val="bullet"/>
      <w:lvlText w:val="•"/>
      <w:lvlJc w:val="left"/>
      <w:pPr>
        <w:ind w:left="7569" w:hanging="567"/>
      </w:pPr>
      <w:rPr>
        <w:lang w:val="en-US" w:eastAsia="en-US" w:bidi="ar-SA"/>
      </w:rPr>
    </w:lvl>
  </w:abstractNum>
  <w:abstractNum w:abstractNumId="184" w15:restartNumberingAfterBreak="0">
    <w:nsid w:val="33394DA4"/>
    <w:multiLevelType w:val="hybridMultilevel"/>
    <w:tmpl w:val="CFC2CA10"/>
    <w:lvl w:ilvl="0" w:tplc="DBF25F92">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52284148">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0512EEDE">
      <w:numFmt w:val="bullet"/>
      <w:lvlText w:val="•"/>
      <w:lvlJc w:val="left"/>
      <w:pPr>
        <w:ind w:left="2178" w:hanging="567"/>
      </w:pPr>
      <w:rPr>
        <w:rFonts w:hint="default"/>
        <w:lang w:val="en-US" w:eastAsia="en-US" w:bidi="ar-SA"/>
      </w:rPr>
    </w:lvl>
    <w:lvl w:ilvl="3" w:tplc="481CEBAE">
      <w:numFmt w:val="bullet"/>
      <w:lvlText w:val="•"/>
      <w:lvlJc w:val="left"/>
      <w:pPr>
        <w:ind w:left="3076" w:hanging="567"/>
      </w:pPr>
      <w:rPr>
        <w:rFonts w:hint="default"/>
        <w:lang w:val="en-US" w:eastAsia="en-US" w:bidi="ar-SA"/>
      </w:rPr>
    </w:lvl>
    <w:lvl w:ilvl="4" w:tplc="F094212C">
      <w:numFmt w:val="bullet"/>
      <w:lvlText w:val="•"/>
      <w:lvlJc w:val="left"/>
      <w:pPr>
        <w:ind w:left="3975" w:hanging="567"/>
      </w:pPr>
      <w:rPr>
        <w:rFonts w:hint="default"/>
        <w:lang w:val="en-US" w:eastAsia="en-US" w:bidi="ar-SA"/>
      </w:rPr>
    </w:lvl>
    <w:lvl w:ilvl="5" w:tplc="F958276C">
      <w:numFmt w:val="bullet"/>
      <w:lvlText w:val="•"/>
      <w:lvlJc w:val="left"/>
      <w:pPr>
        <w:ind w:left="4873" w:hanging="567"/>
      </w:pPr>
      <w:rPr>
        <w:rFonts w:hint="default"/>
        <w:lang w:val="en-US" w:eastAsia="en-US" w:bidi="ar-SA"/>
      </w:rPr>
    </w:lvl>
    <w:lvl w:ilvl="6" w:tplc="A594D03E">
      <w:numFmt w:val="bullet"/>
      <w:lvlText w:val="•"/>
      <w:lvlJc w:val="left"/>
      <w:pPr>
        <w:ind w:left="5772" w:hanging="567"/>
      </w:pPr>
      <w:rPr>
        <w:rFonts w:hint="default"/>
        <w:lang w:val="en-US" w:eastAsia="en-US" w:bidi="ar-SA"/>
      </w:rPr>
    </w:lvl>
    <w:lvl w:ilvl="7" w:tplc="78AA6CA2">
      <w:numFmt w:val="bullet"/>
      <w:lvlText w:val="•"/>
      <w:lvlJc w:val="left"/>
      <w:pPr>
        <w:ind w:left="6670" w:hanging="567"/>
      </w:pPr>
      <w:rPr>
        <w:rFonts w:hint="default"/>
        <w:lang w:val="en-US" w:eastAsia="en-US" w:bidi="ar-SA"/>
      </w:rPr>
    </w:lvl>
    <w:lvl w:ilvl="8" w:tplc="024A3356">
      <w:numFmt w:val="bullet"/>
      <w:lvlText w:val="•"/>
      <w:lvlJc w:val="left"/>
      <w:pPr>
        <w:ind w:left="7569" w:hanging="567"/>
      </w:pPr>
      <w:rPr>
        <w:rFonts w:hint="default"/>
        <w:lang w:val="en-US" w:eastAsia="en-US" w:bidi="ar-SA"/>
      </w:rPr>
    </w:lvl>
  </w:abstractNum>
  <w:abstractNum w:abstractNumId="185" w15:restartNumberingAfterBreak="0">
    <w:nsid w:val="339638B9"/>
    <w:multiLevelType w:val="hybridMultilevel"/>
    <w:tmpl w:val="CF44DD4C"/>
    <w:lvl w:ilvl="0" w:tplc="D9D41B4A">
      <w:start w:val="1"/>
      <w:numFmt w:val="lowerRoman"/>
      <w:lvlText w:val="(%1)"/>
      <w:lvlJc w:val="left"/>
      <w:pPr>
        <w:ind w:left="2578" w:hanging="569"/>
      </w:pPr>
      <w:rPr>
        <w:rFonts w:ascii="Arial" w:eastAsia="Calibri" w:hAnsi="Arial" w:cs="Arial" w:hint="default"/>
        <w:spacing w:val="-1"/>
        <w:w w:val="100"/>
        <w:sz w:val="20"/>
        <w:szCs w:val="22"/>
        <w:lang w:val="en-US" w:eastAsia="en-US" w:bidi="ar-SA"/>
      </w:rPr>
    </w:lvl>
    <w:lvl w:ilvl="1" w:tplc="04090019" w:tentative="1">
      <w:start w:val="1"/>
      <w:numFmt w:val="lowerLetter"/>
      <w:lvlText w:val="%2."/>
      <w:lvlJc w:val="left"/>
      <w:pPr>
        <w:ind w:left="2176" w:hanging="360"/>
      </w:pPr>
    </w:lvl>
    <w:lvl w:ilvl="2" w:tplc="0409001B" w:tentative="1">
      <w:start w:val="1"/>
      <w:numFmt w:val="lowerRoman"/>
      <w:lvlText w:val="%3."/>
      <w:lvlJc w:val="right"/>
      <w:pPr>
        <w:ind w:left="2896" w:hanging="180"/>
      </w:pPr>
    </w:lvl>
    <w:lvl w:ilvl="3" w:tplc="0409000F" w:tentative="1">
      <w:start w:val="1"/>
      <w:numFmt w:val="decimal"/>
      <w:lvlText w:val="%4."/>
      <w:lvlJc w:val="left"/>
      <w:pPr>
        <w:ind w:left="3616" w:hanging="360"/>
      </w:pPr>
    </w:lvl>
    <w:lvl w:ilvl="4" w:tplc="04090019" w:tentative="1">
      <w:start w:val="1"/>
      <w:numFmt w:val="lowerLetter"/>
      <w:lvlText w:val="%5."/>
      <w:lvlJc w:val="left"/>
      <w:pPr>
        <w:ind w:left="4336" w:hanging="360"/>
      </w:pPr>
    </w:lvl>
    <w:lvl w:ilvl="5" w:tplc="0409001B" w:tentative="1">
      <w:start w:val="1"/>
      <w:numFmt w:val="lowerRoman"/>
      <w:lvlText w:val="%6."/>
      <w:lvlJc w:val="right"/>
      <w:pPr>
        <w:ind w:left="5056" w:hanging="180"/>
      </w:pPr>
    </w:lvl>
    <w:lvl w:ilvl="6" w:tplc="0409000F" w:tentative="1">
      <w:start w:val="1"/>
      <w:numFmt w:val="decimal"/>
      <w:lvlText w:val="%7."/>
      <w:lvlJc w:val="left"/>
      <w:pPr>
        <w:ind w:left="5776" w:hanging="360"/>
      </w:pPr>
    </w:lvl>
    <w:lvl w:ilvl="7" w:tplc="04090019" w:tentative="1">
      <w:start w:val="1"/>
      <w:numFmt w:val="lowerLetter"/>
      <w:lvlText w:val="%8."/>
      <w:lvlJc w:val="left"/>
      <w:pPr>
        <w:ind w:left="6496" w:hanging="360"/>
      </w:pPr>
    </w:lvl>
    <w:lvl w:ilvl="8" w:tplc="0409001B" w:tentative="1">
      <w:start w:val="1"/>
      <w:numFmt w:val="lowerRoman"/>
      <w:lvlText w:val="%9."/>
      <w:lvlJc w:val="right"/>
      <w:pPr>
        <w:ind w:left="7216" w:hanging="180"/>
      </w:pPr>
    </w:lvl>
  </w:abstractNum>
  <w:abstractNum w:abstractNumId="186" w15:restartNumberingAfterBreak="0">
    <w:nsid w:val="33B732F3"/>
    <w:multiLevelType w:val="hybridMultilevel"/>
    <w:tmpl w:val="4B16DA64"/>
    <w:lvl w:ilvl="0" w:tplc="EDE02D0C">
      <w:start w:val="1"/>
      <w:numFmt w:val="lowerRoman"/>
      <w:lvlText w:val="(%1)"/>
      <w:lvlJc w:val="left"/>
      <w:pPr>
        <w:ind w:left="2408" w:hanging="567"/>
      </w:pPr>
      <w:rPr>
        <w:rFonts w:ascii="Arial" w:eastAsia="Calibri" w:hAnsi="Arial" w:cs="Arial" w:hint="default"/>
        <w:spacing w:val="-1"/>
        <w:w w:val="100"/>
        <w:sz w:val="20"/>
        <w:szCs w:val="22"/>
        <w:lang w:val="en-US" w:eastAsia="en-US" w:bidi="ar-SA"/>
      </w:rPr>
    </w:lvl>
    <w:lvl w:ilvl="1" w:tplc="21762F32">
      <w:numFmt w:val="bullet"/>
      <w:lvlText w:val="•"/>
      <w:lvlJc w:val="left"/>
      <w:pPr>
        <w:ind w:left="3096" w:hanging="567"/>
      </w:pPr>
      <w:rPr>
        <w:rFonts w:hint="default"/>
        <w:lang w:val="en-US" w:eastAsia="en-US" w:bidi="ar-SA"/>
      </w:rPr>
    </w:lvl>
    <w:lvl w:ilvl="2" w:tplc="EFBA5AE4">
      <w:numFmt w:val="bullet"/>
      <w:lvlText w:val="•"/>
      <w:lvlJc w:val="left"/>
      <w:pPr>
        <w:ind w:left="3793" w:hanging="567"/>
      </w:pPr>
      <w:rPr>
        <w:rFonts w:hint="default"/>
        <w:lang w:val="en-US" w:eastAsia="en-US" w:bidi="ar-SA"/>
      </w:rPr>
    </w:lvl>
    <w:lvl w:ilvl="3" w:tplc="5EC649A8">
      <w:numFmt w:val="bullet"/>
      <w:lvlText w:val="•"/>
      <w:lvlJc w:val="left"/>
      <w:pPr>
        <w:ind w:left="4489" w:hanging="567"/>
      </w:pPr>
      <w:rPr>
        <w:rFonts w:hint="default"/>
        <w:lang w:val="en-US" w:eastAsia="en-US" w:bidi="ar-SA"/>
      </w:rPr>
    </w:lvl>
    <w:lvl w:ilvl="4" w:tplc="1BD873FA">
      <w:numFmt w:val="bullet"/>
      <w:lvlText w:val="•"/>
      <w:lvlJc w:val="left"/>
      <w:pPr>
        <w:ind w:left="5186" w:hanging="567"/>
      </w:pPr>
      <w:rPr>
        <w:rFonts w:hint="default"/>
        <w:lang w:val="en-US" w:eastAsia="en-US" w:bidi="ar-SA"/>
      </w:rPr>
    </w:lvl>
    <w:lvl w:ilvl="5" w:tplc="CAAA5A74">
      <w:numFmt w:val="bullet"/>
      <w:lvlText w:val="•"/>
      <w:lvlJc w:val="left"/>
      <w:pPr>
        <w:ind w:left="5883" w:hanging="567"/>
      </w:pPr>
      <w:rPr>
        <w:rFonts w:hint="default"/>
        <w:lang w:val="en-US" w:eastAsia="en-US" w:bidi="ar-SA"/>
      </w:rPr>
    </w:lvl>
    <w:lvl w:ilvl="6" w:tplc="AA6C7DB2">
      <w:numFmt w:val="bullet"/>
      <w:lvlText w:val="•"/>
      <w:lvlJc w:val="left"/>
      <w:pPr>
        <w:ind w:left="6579" w:hanging="567"/>
      </w:pPr>
      <w:rPr>
        <w:rFonts w:hint="default"/>
        <w:lang w:val="en-US" w:eastAsia="en-US" w:bidi="ar-SA"/>
      </w:rPr>
    </w:lvl>
    <w:lvl w:ilvl="7" w:tplc="80D6F912">
      <w:numFmt w:val="bullet"/>
      <w:lvlText w:val="•"/>
      <w:lvlJc w:val="left"/>
      <w:pPr>
        <w:ind w:left="7276" w:hanging="567"/>
      </w:pPr>
      <w:rPr>
        <w:rFonts w:hint="default"/>
        <w:lang w:val="en-US" w:eastAsia="en-US" w:bidi="ar-SA"/>
      </w:rPr>
    </w:lvl>
    <w:lvl w:ilvl="8" w:tplc="C2D85894">
      <w:numFmt w:val="bullet"/>
      <w:lvlText w:val="•"/>
      <w:lvlJc w:val="left"/>
      <w:pPr>
        <w:ind w:left="7973" w:hanging="567"/>
      </w:pPr>
      <w:rPr>
        <w:rFonts w:hint="default"/>
        <w:lang w:val="en-US" w:eastAsia="en-US" w:bidi="ar-SA"/>
      </w:rPr>
    </w:lvl>
  </w:abstractNum>
  <w:abstractNum w:abstractNumId="187" w15:restartNumberingAfterBreak="0">
    <w:nsid w:val="33C837B6"/>
    <w:multiLevelType w:val="hybridMultilevel"/>
    <w:tmpl w:val="FB5A3FA6"/>
    <w:lvl w:ilvl="0" w:tplc="CD80582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ADC655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1B2266EE">
      <w:numFmt w:val="bullet"/>
      <w:lvlText w:val="•"/>
      <w:lvlJc w:val="left"/>
      <w:pPr>
        <w:ind w:left="2178" w:hanging="567"/>
      </w:pPr>
      <w:rPr>
        <w:lang w:val="en-US" w:eastAsia="en-US" w:bidi="ar-SA"/>
      </w:rPr>
    </w:lvl>
    <w:lvl w:ilvl="3" w:tplc="45BE0660">
      <w:numFmt w:val="bullet"/>
      <w:lvlText w:val="•"/>
      <w:lvlJc w:val="left"/>
      <w:pPr>
        <w:ind w:left="3076" w:hanging="567"/>
      </w:pPr>
      <w:rPr>
        <w:lang w:val="en-US" w:eastAsia="en-US" w:bidi="ar-SA"/>
      </w:rPr>
    </w:lvl>
    <w:lvl w:ilvl="4" w:tplc="EF4E30C8">
      <w:numFmt w:val="bullet"/>
      <w:lvlText w:val="•"/>
      <w:lvlJc w:val="left"/>
      <w:pPr>
        <w:ind w:left="3975" w:hanging="567"/>
      </w:pPr>
      <w:rPr>
        <w:lang w:val="en-US" w:eastAsia="en-US" w:bidi="ar-SA"/>
      </w:rPr>
    </w:lvl>
    <w:lvl w:ilvl="5" w:tplc="E8CECEAA">
      <w:numFmt w:val="bullet"/>
      <w:lvlText w:val="•"/>
      <w:lvlJc w:val="left"/>
      <w:pPr>
        <w:ind w:left="4873" w:hanging="567"/>
      </w:pPr>
      <w:rPr>
        <w:lang w:val="en-US" w:eastAsia="en-US" w:bidi="ar-SA"/>
      </w:rPr>
    </w:lvl>
    <w:lvl w:ilvl="6" w:tplc="D8024D6C">
      <w:numFmt w:val="bullet"/>
      <w:lvlText w:val="•"/>
      <w:lvlJc w:val="left"/>
      <w:pPr>
        <w:ind w:left="5772" w:hanging="567"/>
      </w:pPr>
      <w:rPr>
        <w:lang w:val="en-US" w:eastAsia="en-US" w:bidi="ar-SA"/>
      </w:rPr>
    </w:lvl>
    <w:lvl w:ilvl="7" w:tplc="7E1A1F06">
      <w:numFmt w:val="bullet"/>
      <w:lvlText w:val="•"/>
      <w:lvlJc w:val="left"/>
      <w:pPr>
        <w:ind w:left="6670" w:hanging="567"/>
      </w:pPr>
      <w:rPr>
        <w:lang w:val="en-US" w:eastAsia="en-US" w:bidi="ar-SA"/>
      </w:rPr>
    </w:lvl>
    <w:lvl w:ilvl="8" w:tplc="78D2843C">
      <w:numFmt w:val="bullet"/>
      <w:lvlText w:val="•"/>
      <w:lvlJc w:val="left"/>
      <w:pPr>
        <w:ind w:left="7569" w:hanging="567"/>
      </w:pPr>
      <w:rPr>
        <w:lang w:val="en-US" w:eastAsia="en-US" w:bidi="ar-SA"/>
      </w:rPr>
    </w:lvl>
  </w:abstractNum>
  <w:abstractNum w:abstractNumId="188" w15:restartNumberingAfterBreak="0">
    <w:nsid w:val="33F85E60"/>
    <w:multiLevelType w:val="hybridMultilevel"/>
    <w:tmpl w:val="811689B6"/>
    <w:lvl w:ilvl="0" w:tplc="9B3CDBC2">
      <w:start w:val="1"/>
      <w:numFmt w:val="lowerRoman"/>
      <w:lvlText w:val="(%1)"/>
      <w:lvlJc w:val="left"/>
      <w:pPr>
        <w:ind w:left="2408" w:hanging="567"/>
      </w:pPr>
      <w:rPr>
        <w:rFonts w:ascii="Arial" w:eastAsia="Calibri" w:hAnsi="Arial" w:cs="Arial" w:hint="default"/>
        <w:spacing w:val="-1"/>
        <w:w w:val="100"/>
        <w:sz w:val="20"/>
        <w:szCs w:val="22"/>
        <w:lang w:val="en-US" w:eastAsia="en-US" w:bidi="ar-SA"/>
      </w:rPr>
    </w:lvl>
    <w:lvl w:ilvl="1" w:tplc="4E883A72">
      <w:numFmt w:val="bullet"/>
      <w:lvlText w:val="•"/>
      <w:lvlJc w:val="left"/>
      <w:pPr>
        <w:ind w:left="3096" w:hanging="567"/>
      </w:pPr>
      <w:rPr>
        <w:rFonts w:hint="default"/>
        <w:lang w:val="en-US" w:eastAsia="en-US" w:bidi="ar-SA"/>
      </w:rPr>
    </w:lvl>
    <w:lvl w:ilvl="2" w:tplc="AE00DB5C">
      <w:numFmt w:val="bullet"/>
      <w:lvlText w:val="•"/>
      <w:lvlJc w:val="left"/>
      <w:pPr>
        <w:ind w:left="3793" w:hanging="567"/>
      </w:pPr>
      <w:rPr>
        <w:rFonts w:hint="default"/>
        <w:lang w:val="en-US" w:eastAsia="en-US" w:bidi="ar-SA"/>
      </w:rPr>
    </w:lvl>
    <w:lvl w:ilvl="3" w:tplc="172C5A26">
      <w:numFmt w:val="bullet"/>
      <w:lvlText w:val="•"/>
      <w:lvlJc w:val="left"/>
      <w:pPr>
        <w:ind w:left="4489" w:hanging="567"/>
      </w:pPr>
      <w:rPr>
        <w:rFonts w:hint="default"/>
        <w:lang w:val="en-US" w:eastAsia="en-US" w:bidi="ar-SA"/>
      </w:rPr>
    </w:lvl>
    <w:lvl w:ilvl="4" w:tplc="D37CEA5A">
      <w:numFmt w:val="bullet"/>
      <w:lvlText w:val="•"/>
      <w:lvlJc w:val="left"/>
      <w:pPr>
        <w:ind w:left="5186" w:hanging="567"/>
      </w:pPr>
      <w:rPr>
        <w:rFonts w:hint="default"/>
        <w:lang w:val="en-US" w:eastAsia="en-US" w:bidi="ar-SA"/>
      </w:rPr>
    </w:lvl>
    <w:lvl w:ilvl="5" w:tplc="23E8C0AE">
      <w:numFmt w:val="bullet"/>
      <w:lvlText w:val="•"/>
      <w:lvlJc w:val="left"/>
      <w:pPr>
        <w:ind w:left="5883" w:hanging="567"/>
      </w:pPr>
      <w:rPr>
        <w:rFonts w:hint="default"/>
        <w:lang w:val="en-US" w:eastAsia="en-US" w:bidi="ar-SA"/>
      </w:rPr>
    </w:lvl>
    <w:lvl w:ilvl="6" w:tplc="58F670E6">
      <w:numFmt w:val="bullet"/>
      <w:lvlText w:val="•"/>
      <w:lvlJc w:val="left"/>
      <w:pPr>
        <w:ind w:left="6579" w:hanging="567"/>
      </w:pPr>
      <w:rPr>
        <w:rFonts w:hint="default"/>
        <w:lang w:val="en-US" w:eastAsia="en-US" w:bidi="ar-SA"/>
      </w:rPr>
    </w:lvl>
    <w:lvl w:ilvl="7" w:tplc="CBA63878">
      <w:numFmt w:val="bullet"/>
      <w:lvlText w:val="•"/>
      <w:lvlJc w:val="left"/>
      <w:pPr>
        <w:ind w:left="7276" w:hanging="567"/>
      </w:pPr>
      <w:rPr>
        <w:rFonts w:hint="default"/>
        <w:lang w:val="en-US" w:eastAsia="en-US" w:bidi="ar-SA"/>
      </w:rPr>
    </w:lvl>
    <w:lvl w:ilvl="8" w:tplc="ADD8EE5E">
      <w:numFmt w:val="bullet"/>
      <w:lvlText w:val="•"/>
      <w:lvlJc w:val="left"/>
      <w:pPr>
        <w:ind w:left="7973" w:hanging="567"/>
      </w:pPr>
      <w:rPr>
        <w:rFonts w:hint="default"/>
        <w:lang w:val="en-US" w:eastAsia="en-US" w:bidi="ar-SA"/>
      </w:rPr>
    </w:lvl>
  </w:abstractNum>
  <w:abstractNum w:abstractNumId="189" w15:restartNumberingAfterBreak="0">
    <w:nsid w:val="342234C3"/>
    <w:multiLevelType w:val="hybridMultilevel"/>
    <w:tmpl w:val="A9780C2A"/>
    <w:lvl w:ilvl="0" w:tplc="0468566C">
      <w:numFmt w:val="bullet"/>
      <w:lvlText w:val="—"/>
      <w:lvlJc w:val="left"/>
      <w:pPr>
        <w:ind w:left="652" w:hanging="567"/>
      </w:pPr>
      <w:rPr>
        <w:rFonts w:ascii="Arial" w:eastAsia="Calibri" w:hAnsi="Arial" w:cs="Arial" w:hint="default"/>
        <w:w w:val="99"/>
        <w:sz w:val="18"/>
        <w:szCs w:val="20"/>
        <w:lang w:val="en-US" w:eastAsia="en-US" w:bidi="ar-SA"/>
      </w:rPr>
    </w:lvl>
    <w:lvl w:ilvl="1" w:tplc="51EC6450">
      <w:numFmt w:val="bullet"/>
      <w:lvlText w:val="•"/>
      <w:lvlJc w:val="left"/>
      <w:pPr>
        <w:ind w:left="893" w:hanging="567"/>
      </w:pPr>
      <w:rPr>
        <w:rFonts w:hint="default"/>
        <w:lang w:val="en-US" w:eastAsia="en-US" w:bidi="ar-SA"/>
      </w:rPr>
    </w:lvl>
    <w:lvl w:ilvl="2" w:tplc="BC3AB542">
      <w:numFmt w:val="bullet"/>
      <w:lvlText w:val="•"/>
      <w:lvlJc w:val="left"/>
      <w:pPr>
        <w:ind w:left="1126" w:hanging="567"/>
      </w:pPr>
      <w:rPr>
        <w:rFonts w:hint="default"/>
        <w:lang w:val="en-US" w:eastAsia="en-US" w:bidi="ar-SA"/>
      </w:rPr>
    </w:lvl>
    <w:lvl w:ilvl="3" w:tplc="3926EF44">
      <w:numFmt w:val="bullet"/>
      <w:lvlText w:val="•"/>
      <w:lvlJc w:val="left"/>
      <w:pPr>
        <w:ind w:left="1360" w:hanging="567"/>
      </w:pPr>
      <w:rPr>
        <w:rFonts w:hint="default"/>
        <w:lang w:val="en-US" w:eastAsia="en-US" w:bidi="ar-SA"/>
      </w:rPr>
    </w:lvl>
    <w:lvl w:ilvl="4" w:tplc="9D925D94">
      <w:numFmt w:val="bullet"/>
      <w:lvlText w:val="•"/>
      <w:lvlJc w:val="left"/>
      <w:pPr>
        <w:ind w:left="1593" w:hanging="567"/>
      </w:pPr>
      <w:rPr>
        <w:rFonts w:hint="default"/>
        <w:lang w:val="en-US" w:eastAsia="en-US" w:bidi="ar-SA"/>
      </w:rPr>
    </w:lvl>
    <w:lvl w:ilvl="5" w:tplc="8E5CCAA6">
      <w:numFmt w:val="bullet"/>
      <w:lvlText w:val="•"/>
      <w:lvlJc w:val="left"/>
      <w:pPr>
        <w:ind w:left="1827" w:hanging="567"/>
      </w:pPr>
      <w:rPr>
        <w:rFonts w:hint="default"/>
        <w:lang w:val="en-US" w:eastAsia="en-US" w:bidi="ar-SA"/>
      </w:rPr>
    </w:lvl>
    <w:lvl w:ilvl="6" w:tplc="B964E4AE">
      <w:numFmt w:val="bullet"/>
      <w:lvlText w:val="•"/>
      <w:lvlJc w:val="left"/>
      <w:pPr>
        <w:ind w:left="2060" w:hanging="567"/>
      </w:pPr>
      <w:rPr>
        <w:rFonts w:hint="default"/>
        <w:lang w:val="en-US" w:eastAsia="en-US" w:bidi="ar-SA"/>
      </w:rPr>
    </w:lvl>
    <w:lvl w:ilvl="7" w:tplc="AA8EA1C6">
      <w:numFmt w:val="bullet"/>
      <w:lvlText w:val="•"/>
      <w:lvlJc w:val="left"/>
      <w:pPr>
        <w:ind w:left="2294" w:hanging="567"/>
      </w:pPr>
      <w:rPr>
        <w:rFonts w:hint="default"/>
        <w:lang w:val="en-US" w:eastAsia="en-US" w:bidi="ar-SA"/>
      </w:rPr>
    </w:lvl>
    <w:lvl w:ilvl="8" w:tplc="99887384">
      <w:numFmt w:val="bullet"/>
      <w:lvlText w:val="•"/>
      <w:lvlJc w:val="left"/>
      <w:pPr>
        <w:ind w:left="2527" w:hanging="567"/>
      </w:pPr>
      <w:rPr>
        <w:rFonts w:hint="default"/>
        <w:lang w:val="en-US" w:eastAsia="en-US" w:bidi="ar-SA"/>
      </w:rPr>
    </w:lvl>
  </w:abstractNum>
  <w:abstractNum w:abstractNumId="190" w15:restartNumberingAfterBreak="0">
    <w:nsid w:val="358A3EF3"/>
    <w:multiLevelType w:val="hybridMultilevel"/>
    <w:tmpl w:val="549C5A60"/>
    <w:lvl w:ilvl="0" w:tplc="A5A2BA54">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2EE216DC">
      <w:numFmt w:val="bullet"/>
      <w:lvlText w:val="•"/>
      <w:lvlJc w:val="left"/>
      <w:pPr>
        <w:ind w:left="1566" w:hanging="567"/>
      </w:pPr>
      <w:rPr>
        <w:rFonts w:hint="default"/>
        <w:lang w:val="en-US" w:eastAsia="en-US" w:bidi="ar-SA"/>
      </w:rPr>
    </w:lvl>
    <w:lvl w:ilvl="2" w:tplc="6AF220F0">
      <w:numFmt w:val="bullet"/>
      <w:lvlText w:val="•"/>
      <w:lvlJc w:val="left"/>
      <w:pPr>
        <w:ind w:left="2433" w:hanging="567"/>
      </w:pPr>
      <w:rPr>
        <w:rFonts w:hint="default"/>
        <w:lang w:val="en-US" w:eastAsia="en-US" w:bidi="ar-SA"/>
      </w:rPr>
    </w:lvl>
    <w:lvl w:ilvl="3" w:tplc="195062EC">
      <w:numFmt w:val="bullet"/>
      <w:lvlText w:val="•"/>
      <w:lvlJc w:val="left"/>
      <w:pPr>
        <w:ind w:left="3299" w:hanging="567"/>
      </w:pPr>
      <w:rPr>
        <w:rFonts w:hint="default"/>
        <w:lang w:val="en-US" w:eastAsia="en-US" w:bidi="ar-SA"/>
      </w:rPr>
    </w:lvl>
    <w:lvl w:ilvl="4" w:tplc="52502428">
      <w:numFmt w:val="bullet"/>
      <w:lvlText w:val="•"/>
      <w:lvlJc w:val="left"/>
      <w:pPr>
        <w:ind w:left="4166" w:hanging="567"/>
      </w:pPr>
      <w:rPr>
        <w:rFonts w:hint="default"/>
        <w:lang w:val="en-US" w:eastAsia="en-US" w:bidi="ar-SA"/>
      </w:rPr>
    </w:lvl>
    <w:lvl w:ilvl="5" w:tplc="90A0F72E">
      <w:numFmt w:val="bullet"/>
      <w:lvlText w:val="•"/>
      <w:lvlJc w:val="left"/>
      <w:pPr>
        <w:ind w:left="5033" w:hanging="567"/>
      </w:pPr>
      <w:rPr>
        <w:rFonts w:hint="default"/>
        <w:lang w:val="en-US" w:eastAsia="en-US" w:bidi="ar-SA"/>
      </w:rPr>
    </w:lvl>
    <w:lvl w:ilvl="6" w:tplc="4A0AD0C6">
      <w:numFmt w:val="bullet"/>
      <w:lvlText w:val="•"/>
      <w:lvlJc w:val="left"/>
      <w:pPr>
        <w:ind w:left="5899" w:hanging="567"/>
      </w:pPr>
      <w:rPr>
        <w:rFonts w:hint="default"/>
        <w:lang w:val="en-US" w:eastAsia="en-US" w:bidi="ar-SA"/>
      </w:rPr>
    </w:lvl>
    <w:lvl w:ilvl="7" w:tplc="C44C08D0">
      <w:numFmt w:val="bullet"/>
      <w:lvlText w:val="•"/>
      <w:lvlJc w:val="left"/>
      <w:pPr>
        <w:ind w:left="6766" w:hanging="567"/>
      </w:pPr>
      <w:rPr>
        <w:rFonts w:hint="default"/>
        <w:lang w:val="en-US" w:eastAsia="en-US" w:bidi="ar-SA"/>
      </w:rPr>
    </w:lvl>
    <w:lvl w:ilvl="8" w:tplc="7DA6A8BE">
      <w:numFmt w:val="bullet"/>
      <w:lvlText w:val="•"/>
      <w:lvlJc w:val="left"/>
      <w:pPr>
        <w:ind w:left="7633" w:hanging="567"/>
      </w:pPr>
      <w:rPr>
        <w:rFonts w:hint="default"/>
        <w:lang w:val="en-US" w:eastAsia="en-US" w:bidi="ar-SA"/>
      </w:rPr>
    </w:lvl>
  </w:abstractNum>
  <w:abstractNum w:abstractNumId="191" w15:restartNumberingAfterBreak="0">
    <w:nsid w:val="35D73BCE"/>
    <w:multiLevelType w:val="hybridMultilevel"/>
    <w:tmpl w:val="9592A24C"/>
    <w:lvl w:ilvl="0" w:tplc="BA108A6C">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E05EEFC8">
      <w:start w:val="1"/>
      <w:numFmt w:val="decimal"/>
      <w:lvlText w:val="(%2)"/>
      <w:lvlJc w:val="left"/>
      <w:pPr>
        <w:ind w:left="1273" w:hanging="567"/>
      </w:pPr>
      <w:rPr>
        <w:rFonts w:ascii="Calibri" w:eastAsia="Calibri" w:hAnsi="Calibri" w:cs="Calibri" w:hint="default"/>
        <w:spacing w:val="-1"/>
        <w:w w:val="100"/>
        <w:sz w:val="22"/>
        <w:szCs w:val="22"/>
        <w:lang w:val="en-US" w:eastAsia="en-US" w:bidi="ar-SA"/>
      </w:rPr>
    </w:lvl>
    <w:lvl w:ilvl="2" w:tplc="7E5899F2">
      <w:numFmt w:val="bullet"/>
      <w:lvlText w:val="•"/>
      <w:lvlJc w:val="left"/>
      <w:pPr>
        <w:ind w:left="2178" w:hanging="567"/>
      </w:pPr>
      <w:rPr>
        <w:rFonts w:hint="default"/>
        <w:lang w:val="en-US" w:eastAsia="en-US" w:bidi="ar-SA"/>
      </w:rPr>
    </w:lvl>
    <w:lvl w:ilvl="3" w:tplc="44444274">
      <w:numFmt w:val="bullet"/>
      <w:lvlText w:val="•"/>
      <w:lvlJc w:val="left"/>
      <w:pPr>
        <w:ind w:left="3076" w:hanging="567"/>
      </w:pPr>
      <w:rPr>
        <w:rFonts w:hint="default"/>
        <w:lang w:val="en-US" w:eastAsia="en-US" w:bidi="ar-SA"/>
      </w:rPr>
    </w:lvl>
    <w:lvl w:ilvl="4" w:tplc="B5AAEEA6">
      <w:numFmt w:val="bullet"/>
      <w:lvlText w:val="•"/>
      <w:lvlJc w:val="left"/>
      <w:pPr>
        <w:ind w:left="3975" w:hanging="567"/>
      </w:pPr>
      <w:rPr>
        <w:rFonts w:hint="default"/>
        <w:lang w:val="en-US" w:eastAsia="en-US" w:bidi="ar-SA"/>
      </w:rPr>
    </w:lvl>
    <w:lvl w:ilvl="5" w:tplc="D8C23EC0">
      <w:numFmt w:val="bullet"/>
      <w:lvlText w:val="•"/>
      <w:lvlJc w:val="left"/>
      <w:pPr>
        <w:ind w:left="4873" w:hanging="567"/>
      </w:pPr>
      <w:rPr>
        <w:rFonts w:hint="default"/>
        <w:lang w:val="en-US" w:eastAsia="en-US" w:bidi="ar-SA"/>
      </w:rPr>
    </w:lvl>
    <w:lvl w:ilvl="6" w:tplc="94DE80CC">
      <w:numFmt w:val="bullet"/>
      <w:lvlText w:val="•"/>
      <w:lvlJc w:val="left"/>
      <w:pPr>
        <w:ind w:left="5772" w:hanging="567"/>
      </w:pPr>
      <w:rPr>
        <w:rFonts w:hint="default"/>
        <w:lang w:val="en-US" w:eastAsia="en-US" w:bidi="ar-SA"/>
      </w:rPr>
    </w:lvl>
    <w:lvl w:ilvl="7" w:tplc="991AF208">
      <w:numFmt w:val="bullet"/>
      <w:lvlText w:val="•"/>
      <w:lvlJc w:val="left"/>
      <w:pPr>
        <w:ind w:left="6670" w:hanging="567"/>
      </w:pPr>
      <w:rPr>
        <w:rFonts w:hint="default"/>
        <w:lang w:val="en-US" w:eastAsia="en-US" w:bidi="ar-SA"/>
      </w:rPr>
    </w:lvl>
    <w:lvl w:ilvl="8" w:tplc="E76238D4">
      <w:numFmt w:val="bullet"/>
      <w:lvlText w:val="•"/>
      <w:lvlJc w:val="left"/>
      <w:pPr>
        <w:ind w:left="7569" w:hanging="567"/>
      </w:pPr>
      <w:rPr>
        <w:rFonts w:hint="default"/>
        <w:lang w:val="en-US" w:eastAsia="en-US" w:bidi="ar-SA"/>
      </w:rPr>
    </w:lvl>
  </w:abstractNum>
  <w:abstractNum w:abstractNumId="192" w15:restartNumberingAfterBreak="0">
    <w:nsid w:val="36006110"/>
    <w:multiLevelType w:val="hybridMultilevel"/>
    <w:tmpl w:val="E2625696"/>
    <w:lvl w:ilvl="0" w:tplc="0F9C3058">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CB24A766">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C8C81518">
      <w:start w:val="1"/>
      <w:numFmt w:val="lowerRoman"/>
      <w:lvlText w:val="(%3)"/>
      <w:lvlJc w:val="left"/>
      <w:pPr>
        <w:ind w:left="1842" w:hanging="569"/>
      </w:pPr>
      <w:rPr>
        <w:rFonts w:ascii="Arial" w:eastAsia="Calibri" w:hAnsi="Arial" w:cs="Arial" w:hint="default"/>
        <w:spacing w:val="-1"/>
        <w:w w:val="100"/>
        <w:sz w:val="20"/>
        <w:szCs w:val="22"/>
        <w:lang w:val="en-US" w:eastAsia="en-US" w:bidi="ar-SA"/>
      </w:rPr>
    </w:lvl>
    <w:lvl w:ilvl="3" w:tplc="52142BF6">
      <w:start w:val="1"/>
      <w:numFmt w:val="upperLetter"/>
      <w:lvlText w:val="(%4)"/>
      <w:lvlJc w:val="left"/>
      <w:pPr>
        <w:ind w:left="2408" w:hanging="567"/>
      </w:pPr>
      <w:rPr>
        <w:rFonts w:ascii="Arial" w:eastAsia="Calibri" w:hAnsi="Arial" w:cs="Arial" w:hint="default"/>
        <w:spacing w:val="-1"/>
        <w:w w:val="100"/>
        <w:sz w:val="20"/>
        <w:szCs w:val="22"/>
        <w:lang w:val="en-US" w:eastAsia="en-US" w:bidi="ar-SA"/>
      </w:rPr>
    </w:lvl>
    <w:lvl w:ilvl="4" w:tplc="544E927C">
      <w:numFmt w:val="bullet"/>
      <w:lvlText w:val="•"/>
      <w:lvlJc w:val="left"/>
      <w:pPr>
        <w:ind w:left="3395" w:hanging="567"/>
      </w:pPr>
      <w:rPr>
        <w:rFonts w:hint="default"/>
        <w:lang w:val="en-US" w:eastAsia="en-US" w:bidi="ar-SA"/>
      </w:rPr>
    </w:lvl>
    <w:lvl w:ilvl="5" w:tplc="391A29B6">
      <w:numFmt w:val="bullet"/>
      <w:lvlText w:val="•"/>
      <w:lvlJc w:val="left"/>
      <w:pPr>
        <w:ind w:left="4390" w:hanging="567"/>
      </w:pPr>
      <w:rPr>
        <w:rFonts w:hint="default"/>
        <w:lang w:val="en-US" w:eastAsia="en-US" w:bidi="ar-SA"/>
      </w:rPr>
    </w:lvl>
    <w:lvl w:ilvl="6" w:tplc="B5725422">
      <w:numFmt w:val="bullet"/>
      <w:lvlText w:val="•"/>
      <w:lvlJc w:val="left"/>
      <w:pPr>
        <w:ind w:left="5385" w:hanging="567"/>
      </w:pPr>
      <w:rPr>
        <w:rFonts w:hint="default"/>
        <w:lang w:val="en-US" w:eastAsia="en-US" w:bidi="ar-SA"/>
      </w:rPr>
    </w:lvl>
    <w:lvl w:ilvl="7" w:tplc="05F29824">
      <w:numFmt w:val="bullet"/>
      <w:lvlText w:val="•"/>
      <w:lvlJc w:val="left"/>
      <w:pPr>
        <w:ind w:left="6380" w:hanging="567"/>
      </w:pPr>
      <w:rPr>
        <w:rFonts w:hint="default"/>
        <w:lang w:val="en-US" w:eastAsia="en-US" w:bidi="ar-SA"/>
      </w:rPr>
    </w:lvl>
    <w:lvl w:ilvl="8" w:tplc="3098B8EE">
      <w:numFmt w:val="bullet"/>
      <w:lvlText w:val="•"/>
      <w:lvlJc w:val="left"/>
      <w:pPr>
        <w:ind w:left="7376" w:hanging="567"/>
      </w:pPr>
      <w:rPr>
        <w:rFonts w:hint="default"/>
        <w:lang w:val="en-US" w:eastAsia="en-US" w:bidi="ar-SA"/>
      </w:rPr>
    </w:lvl>
  </w:abstractNum>
  <w:abstractNum w:abstractNumId="193" w15:restartNumberingAfterBreak="0">
    <w:nsid w:val="36772966"/>
    <w:multiLevelType w:val="hybridMultilevel"/>
    <w:tmpl w:val="CF44DD4C"/>
    <w:lvl w:ilvl="0" w:tplc="D9D41B4A">
      <w:start w:val="1"/>
      <w:numFmt w:val="lowerRoman"/>
      <w:lvlText w:val="(%1)"/>
      <w:lvlJc w:val="left"/>
      <w:pPr>
        <w:ind w:left="2578" w:hanging="569"/>
      </w:pPr>
      <w:rPr>
        <w:rFonts w:ascii="Arial" w:eastAsia="Calibri" w:hAnsi="Arial" w:cs="Arial" w:hint="default"/>
        <w:spacing w:val="-1"/>
        <w:w w:val="100"/>
        <w:sz w:val="20"/>
        <w:szCs w:val="22"/>
        <w:lang w:val="en-US" w:eastAsia="en-US" w:bidi="ar-SA"/>
      </w:rPr>
    </w:lvl>
    <w:lvl w:ilvl="1" w:tplc="04090019" w:tentative="1">
      <w:start w:val="1"/>
      <w:numFmt w:val="lowerLetter"/>
      <w:lvlText w:val="%2."/>
      <w:lvlJc w:val="left"/>
      <w:pPr>
        <w:ind w:left="2176" w:hanging="360"/>
      </w:pPr>
    </w:lvl>
    <w:lvl w:ilvl="2" w:tplc="0409001B" w:tentative="1">
      <w:start w:val="1"/>
      <w:numFmt w:val="lowerRoman"/>
      <w:lvlText w:val="%3."/>
      <w:lvlJc w:val="right"/>
      <w:pPr>
        <w:ind w:left="2896" w:hanging="180"/>
      </w:pPr>
    </w:lvl>
    <w:lvl w:ilvl="3" w:tplc="0409000F" w:tentative="1">
      <w:start w:val="1"/>
      <w:numFmt w:val="decimal"/>
      <w:lvlText w:val="%4."/>
      <w:lvlJc w:val="left"/>
      <w:pPr>
        <w:ind w:left="3616" w:hanging="360"/>
      </w:pPr>
    </w:lvl>
    <w:lvl w:ilvl="4" w:tplc="04090019" w:tentative="1">
      <w:start w:val="1"/>
      <w:numFmt w:val="lowerLetter"/>
      <w:lvlText w:val="%5."/>
      <w:lvlJc w:val="left"/>
      <w:pPr>
        <w:ind w:left="4336" w:hanging="360"/>
      </w:pPr>
    </w:lvl>
    <w:lvl w:ilvl="5" w:tplc="0409001B" w:tentative="1">
      <w:start w:val="1"/>
      <w:numFmt w:val="lowerRoman"/>
      <w:lvlText w:val="%6."/>
      <w:lvlJc w:val="right"/>
      <w:pPr>
        <w:ind w:left="5056" w:hanging="180"/>
      </w:pPr>
    </w:lvl>
    <w:lvl w:ilvl="6" w:tplc="0409000F" w:tentative="1">
      <w:start w:val="1"/>
      <w:numFmt w:val="decimal"/>
      <w:lvlText w:val="%7."/>
      <w:lvlJc w:val="left"/>
      <w:pPr>
        <w:ind w:left="5776" w:hanging="360"/>
      </w:pPr>
    </w:lvl>
    <w:lvl w:ilvl="7" w:tplc="04090019" w:tentative="1">
      <w:start w:val="1"/>
      <w:numFmt w:val="lowerLetter"/>
      <w:lvlText w:val="%8."/>
      <w:lvlJc w:val="left"/>
      <w:pPr>
        <w:ind w:left="6496" w:hanging="360"/>
      </w:pPr>
    </w:lvl>
    <w:lvl w:ilvl="8" w:tplc="0409001B" w:tentative="1">
      <w:start w:val="1"/>
      <w:numFmt w:val="lowerRoman"/>
      <w:lvlText w:val="%9."/>
      <w:lvlJc w:val="right"/>
      <w:pPr>
        <w:ind w:left="7216" w:hanging="180"/>
      </w:pPr>
    </w:lvl>
  </w:abstractNum>
  <w:abstractNum w:abstractNumId="194" w15:restartNumberingAfterBreak="0">
    <w:nsid w:val="36DA14B1"/>
    <w:multiLevelType w:val="hybridMultilevel"/>
    <w:tmpl w:val="ED1A8E4E"/>
    <w:lvl w:ilvl="0" w:tplc="3F2E25BE">
      <w:start w:val="1"/>
      <w:numFmt w:val="decimal"/>
      <w:lvlText w:val="(%1)"/>
      <w:lvlJc w:val="left"/>
      <w:pPr>
        <w:ind w:left="1273" w:hanging="567"/>
      </w:pPr>
      <w:rPr>
        <w:rFonts w:ascii="Arial" w:eastAsia="Calibri" w:hAnsi="Arial" w:cs="Arial" w:hint="default"/>
        <w:spacing w:val="-1"/>
        <w:w w:val="100"/>
        <w:sz w:val="20"/>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36E76A55"/>
    <w:multiLevelType w:val="hybridMultilevel"/>
    <w:tmpl w:val="41BE7D44"/>
    <w:lvl w:ilvl="0" w:tplc="3E68B0F2">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8DCC5646">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39FAB446">
      <w:numFmt w:val="bullet"/>
      <w:lvlText w:val="•"/>
      <w:lvlJc w:val="left"/>
      <w:pPr>
        <w:ind w:left="2178" w:hanging="567"/>
      </w:pPr>
      <w:rPr>
        <w:rFonts w:hint="default"/>
        <w:lang w:val="en-US" w:eastAsia="en-US" w:bidi="ar-SA"/>
      </w:rPr>
    </w:lvl>
    <w:lvl w:ilvl="3" w:tplc="57108AB0">
      <w:numFmt w:val="bullet"/>
      <w:lvlText w:val="•"/>
      <w:lvlJc w:val="left"/>
      <w:pPr>
        <w:ind w:left="3076" w:hanging="567"/>
      </w:pPr>
      <w:rPr>
        <w:rFonts w:hint="default"/>
        <w:lang w:val="en-US" w:eastAsia="en-US" w:bidi="ar-SA"/>
      </w:rPr>
    </w:lvl>
    <w:lvl w:ilvl="4" w:tplc="EC8AE9CC">
      <w:numFmt w:val="bullet"/>
      <w:lvlText w:val="•"/>
      <w:lvlJc w:val="left"/>
      <w:pPr>
        <w:ind w:left="3975" w:hanging="567"/>
      </w:pPr>
      <w:rPr>
        <w:rFonts w:hint="default"/>
        <w:lang w:val="en-US" w:eastAsia="en-US" w:bidi="ar-SA"/>
      </w:rPr>
    </w:lvl>
    <w:lvl w:ilvl="5" w:tplc="F4F2A16E">
      <w:numFmt w:val="bullet"/>
      <w:lvlText w:val="•"/>
      <w:lvlJc w:val="left"/>
      <w:pPr>
        <w:ind w:left="4873" w:hanging="567"/>
      </w:pPr>
      <w:rPr>
        <w:rFonts w:hint="default"/>
        <w:lang w:val="en-US" w:eastAsia="en-US" w:bidi="ar-SA"/>
      </w:rPr>
    </w:lvl>
    <w:lvl w:ilvl="6" w:tplc="8C367A4E">
      <w:numFmt w:val="bullet"/>
      <w:lvlText w:val="•"/>
      <w:lvlJc w:val="left"/>
      <w:pPr>
        <w:ind w:left="5772" w:hanging="567"/>
      </w:pPr>
      <w:rPr>
        <w:rFonts w:hint="default"/>
        <w:lang w:val="en-US" w:eastAsia="en-US" w:bidi="ar-SA"/>
      </w:rPr>
    </w:lvl>
    <w:lvl w:ilvl="7" w:tplc="7292E3FA">
      <w:numFmt w:val="bullet"/>
      <w:lvlText w:val="•"/>
      <w:lvlJc w:val="left"/>
      <w:pPr>
        <w:ind w:left="6670" w:hanging="567"/>
      </w:pPr>
      <w:rPr>
        <w:rFonts w:hint="default"/>
        <w:lang w:val="en-US" w:eastAsia="en-US" w:bidi="ar-SA"/>
      </w:rPr>
    </w:lvl>
    <w:lvl w:ilvl="8" w:tplc="7146F4C4">
      <w:numFmt w:val="bullet"/>
      <w:lvlText w:val="•"/>
      <w:lvlJc w:val="left"/>
      <w:pPr>
        <w:ind w:left="7569" w:hanging="567"/>
      </w:pPr>
      <w:rPr>
        <w:rFonts w:hint="default"/>
        <w:lang w:val="en-US" w:eastAsia="en-US" w:bidi="ar-SA"/>
      </w:rPr>
    </w:lvl>
  </w:abstractNum>
  <w:abstractNum w:abstractNumId="196" w15:restartNumberingAfterBreak="0">
    <w:nsid w:val="370D3201"/>
    <w:multiLevelType w:val="hybridMultilevel"/>
    <w:tmpl w:val="40542828"/>
    <w:lvl w:ilvl="0" w:tplc="F8465C58">
      <w:start w:val="1"/>
      <w:numFmt w:val="lowerLetter"/>
      <w:lvlText w:val="(%1)"/>
      <w:lvlJc w:val="left"/>
      <w:pPr>
        <w:ind w:left="706" w:hanging="567"/>
      </w:pPr>
      <w:rPr>
        <w:rFonts w:ascii="Calibri" w:eastAsia="Calibri" w:hAnsi="Calibri" w:cs="Calibri" w:hint="default"/>
        <w:spacing w:val="-1"/>
        <w:w w:val="100"/>
        <w:sz w:val="22"/>
        <w:szCs w:val="22"/>
        <w:lang w:val="en-US" w:eastAsia="en-US" w:bidi="ar-SA"/>
      </w:rPr>
    </w:lvl>
    <w:lvl w:ilvl="1" w:tplc="F70ACF44">
      <w:numFmt w:val="bullet"/>
      <w:lvlText w:val="•"/>
      <w:lvlJc w:val="left"/>
      <w:pPr>
        <w:ind w:left="1566" w:hanging="567"/>
      </w:pPr>
      <w:rPr>
        <w:rFonts w:hint="default"/>
        <w:lang w:val="en-US" w:eastAsia="en-US" w:bidi="ar-SA"/>
      </w:rPr>
    </w:lvl>
    <w:lvl w:ilvl="2" w:tplc="EC60E1F2">
      <w:numFmt w:val="bullet"/>
      <w:lvlText w:val="•"/>
      <w:lvlJc w:val="left"/>
      <w:pPr>
        <w:ind w:left="2433" w:hanging="567"/>
      </w:pPr>
      <w:rPr>
        <w:rFonts w:hint="default"/>
        <w:lang w:val="en-US" w:eastAsia="en-US" w:bidi="ar-SA"/>
      </w:rPr>
    </w:lvl>
    <w:lvl w:ilvl="3" w:tplc="7BD65CEE">
      <w:numFmt w:val="bullet"/>
      <w:lvlText w:val="•"/>
      <w:lvlJc w:val="left"/>
      <w:pPr>
        <w:ind w:left="3299" w:hanging="567"/>
      </w:pPr>
      <w:rPr>
        <w:rFonts w:hint="default"/>
        <w:lang w:val="en-US" w:eastAsia="en-US" w:bidi="ar-SA"/>
      </w:rPr>
    </w:lvl>
    <w:lvl w:ilvl="4" w:tplc="9B1CF1F6">
      <w:numFmt w:val="bullet"/>
      <w:lvlText w:val="•"/>
      <w:lvlJc w:val="left"/>
      <w:pPr>
        <w:ind w:left="4166" w:hanging="567"/>
      </w:pPr>
      <w:rPr>
        <w:rFonts w:hint="default"/>
        <w:lang w:val="en-US" w:eastAsia="en-US" w:bidi="ar-SA"/>
      </w:rPr>
    </w:lvl>
    <w:lvl w:ilvl="5" w:tplc="0130C552">
      <w:numFmt w:val="bullet"/>
      <w:lvlText w:val="•"/>
      <w:lvlJc w:val="left"/>
      <w:pPr>
        <w:ind w:left="5033" w:hanging="567"/>
      </w:pPr>
      <w:rPr>
        <w:rFonts w:hint="default"/>
        <w:lang w:val="en-US" w:eastAsia="en-US" w:bidi="ar-SA"/>
      </w:rPr>
    </w:lvl>
    <w:lvl w:ilvl="6" w:tplc="8F54194C">
      <w:numFmt w:val="bullet"/>
      <w:lvlText w:val="•"/>
      <w:lvlJc w:val="left"/>
      <w:pPr>
        <w:ind w:left="5899" w:hanging="567"/>
      </w:pPr>
      <w:rPr>
        <w:rFonts w:hint="default"/>
        <w:lang w:val="en-US" w:eastAsia="en-US" w:bidi="ar-SA"/>
      </w:rPr>
    </w:lvl>
    <w:lvl w:ilvl="7" w:tplc="E8C8D536">
      <w:numFmt w:val="bullet"/>
      <w:lvlText w:val="•"/>
      <w:lvlJc w:val="left"/>
      <w:pPr>
        <w:ind w:left="6766" w:hanging="567"/>
      </w:pPr>
      <w:rPr>
        <w:rFonts w:hint="default"/>
        <w:lang w:val="en-US" w:eastAsia="en-US" w:bidi="ar-SA"/>
      </w:rPr>
    </w:lvl>
    <w:lvl w:ilvl="8" w:tplc="F4E6A802">
      <w:numFmt w:val="bullet"/>
      <w:lvlText w:val="•"/>
      <w:lvlJc w:val="left"/>
      <w:pPr>
        <w:ind w:left="7633" w:hanging="567"/>
      </w:pPr>
      <w:rPr>
        <w:rFonts w:hint="default"/>
        <w:lang w:val="en-US" w:eastAsia="en-US" w:bidi="ar-SA"/>
      </w:rPr>
    </w:lvl>
  </w:abstractNum>
  <w:abstractNum w:abstractNumId="197" w15:restartNumberingAfterBreak="0">
    <w:nsid w:val="37230656"/>
    <w:multiLevelType w:val="hybridMultilevel"/>
    <w:tmpl w:val="4E9A00A4"/>
    <w:lvl w:ilvl="0" w:tplc="FF46BC42">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413E4412">
      <w:numFmt w:val="bullet"/>
      <w:lvlText w:val="•"/>
      <w:lvlJc w:val="left"/>
      <w:pPr>
        <w:ind w:left="1566" w:hanging="567"/>
      </w:pPr>
      <w:rPr>
        <w:rFonts w:hint="default"/>
        <w:lang w:val="en-US" w:eastAsia="en-US" w:bidi="ar-SA"/>
      </w:rPr>
    </w:lvl>
    <w:lvl w:ilvl="2" w:tplc="D7D0DF24">
      <w:numFmt w:val="bullet"/>
      <w:lvlText w:val="•"/>
      <w:lvlJc w:val="left"/>
      <w:pPr>
        <w:ind w:left="2433" w:hanging="567"/>
      </w:pPr>
      <w:rPr>
        <w:rFonts w:hint="default"/>
        <w:lang w:val="en-US" w:eastAsia="en-US" w:bidi="ar-SA"/>
      </w:rPr>
    </w:lvl>
    <w:lvl w:ilvl="3" w:tplc="0E1C9534">
      <w:numFmt w:val="bullet"/>
      <w:lvlText w:val="•"/>
      <w:lvlJc w:val="left"/>
      <w:pPr>
        <w:ind w:left="3299" w:hanging="567"/>
      </w:pPr>
      <w:rPr>
        <w:rFonts w:hint="default"/>
        <w:lang w:val="en-US" w:eastAsia="en-US" w:bidi="ar-SA"/>
      </w:rPr>
    </w:lvl>
    <w:lvl w:ilvl="4" w:tplc="82D6B2CA">
      <w:numFmt w:val="bullet"/>
      <w:lvlText w:val="•"/>
      <w:lvlJc w:val="left"/>
      <w:pPr>
        <w:ind w:left="4166" w:hanging="567"/>
      </w:pPr>
      <w:rPr>
        <w:rFonts w:hint="default"/>
        <w:lang w:val="en-US" w:eastAsia="en-US" w:bidi="ar-SA"/>
      </w:rPr>
    </w:lvl>
    <w:lvl w:ilvl="5" w:tplc="5B181AE6">
      <w:numFmt w:val="bullet"/>
      <w:lvlText w:val="•"/>
      <w:lvlJc w:val="left"/>
      <w:pPr>
        <w:ind w:left="5033" w:hanging="567"/>
      </w:pPr>
      <w:rPr>
        <w:rFonts w:hint="default"/>
        <w:lang w:val="en-US" w:eastAsia="en-US" w:bidi="ar-SA"/>
      </w:rPr>
    </w:lvl>
    <w:lvl w:ilvl="6" w:tplc="5FA24090">
      <w:numFmt w:val="bullet"/>
      <w:lvlText w:val="•"/>
      <w:lvlJc w:val="left"/>
      <w:pPr>
        <w:ind w:left="5899" w:hanging="567"/>
      </w:pPr>
      <w:rPr>
        <w:rFonts w:hint="default"/>
        <w:lang w:val="en-US" w:eastAsia="en-US" w:bidi="ar-SA"/>
      </w:rPr>
    </w:lvl>
    <w:lvl w:ilvl="7" w:tplc="5F78FEF6">
      <w:numFmt w:val="bullet"/>
      <w:lvlText w:val="•"/>
      <w:lvlJc w:val="left"/>
      <w:pPr>
        <w:ind w:left="6766" w:hanging="567"/>
      </w:pPr>
      <w:rPr>
        <w:rFonts w:hint="default"/>
        <w:lang w:val="en-US" w:eastAsia="en-US" w:bidi="ar-SA"/>
      </w:rPr>
    </w:lvl>
    <w:lvl w:ilvl="8" w:tplc="EBB28F64">
      <w:numFmt w:val="bullet"/>
      <w:lvlText w:val="•"/>
      <w:lvlJc w:val="left"/>
      <w:pPr>
        <w:ind w:left="7633" w:hanging="567"/>
      </w:pPr>
      <w:rPr>
        <w:rFonts w:hint="default"/>
        <w:lang w:val="en-US" w:eastAsia="en-US" w:bidi="ar-SA"/>
      </w:rPr>
    </w:lvl>
  </w:abstractNum>
  <w:abstractNum w:abstractNumId="198" w15:restartNumberingAfterBreak="0">
    <w:nsid w:val="373A76AF"/>
    <w:multiLevelType w:val="hybridMultilevel"/>
    <w:tmpl w:val="97984968"/>
    <w:lvl w:ilvl="0" w:tplc="AF96BC6E">
      <w:start w:val="1"/>
      <w:numFmt w:val="lowerLetter"/>
      <w:lvlText w:val="(%1)"/>
      <w:lvlJc w:val="left"/>
      <w:pPr>
        <w:ind w:left="515" w:hanging="431"/>
      </w:pPr>
      <w:rPr>
        <w:rFonts w:ascii="Arial" w:eastAsia="Calibri" w:hAnsi="Arial" w:cs="Arial" w:hint="default"/>
        <w:spacing w:val="-1"/>
        <w:w w:val="99"/>
        <w:sz w:val="20"/>
        <w:szCs w:val="20"/>
        <w:lang w:val="en-US" w:eastAsia="en-US" w:bidi="ar-SA"/>
      </w:rPr>
    </w:lvl>
    <w:lvl w:ilvl="1" w:tplc="E7A2CF1E">
      <w:numFmt w:val="bullet"/>
      <w:lvlText w:val="•"/>
      <w:lvlJc w:val="left"/>
      <w:pPr>
        <w:ind w:left="829" w:hanging="431"/>
      </w:pPr>
      <w:rPr>
        <w:rFonts w:hint="default"/>
        <w:lang w:val="en-US" w:eastAsia="en-US" w:bidi="ar-SA"/>
      </w:rPr>
    </w:lvl>
    <w:lvl w:ilvl="2" w:tplc="467420C0">
      <w:numFmt w:val="bullet"/>
      <w:lvlText w:val="•"/>
      <w:lvlJc w:val="left"/>
      <w:pPr>
        <w:ind w:left="1138" w:hanging="431"/>
      </w:pPr>
      <w:rPr>
        <w:rFonts w:hint="default"/>
        <w:lang w:val="en-US" w:eastAsia="en-US" w:bidi="ar-SA"/>
      </w:rPr>
    </w:lvl>
    <w:lvl w:ilvl="3" w:tplc="ADBC8AAC">
      <w:numFmt w:val="bullet"/>
      <w:lvlText w:val="•"/>
      <w:lvlJc w:val="left"/>
      <w:pPr>
        <w:ind w:left="1448" w:hanging="431"/>
      </w:pPr>
      <w:rPr>
        <w:rFonts w:hint="default"/>
        <w:lang w:val="en-US" w:eastAsia="en-US" w:bidi="ar-SA"/>
      </w:rPr>
    </w:lvl>
    <w:lvl w:ilvl="4" w:tplc="807EC6BC">
      <w:numFmt w:val="bullet"/>
      <w:lvlText w:val="•"/>
      <w:lvlJc w:val="left"/>
      <w:pPr>
        <w:ind w:left="1757" w:hanging="431"/>
      </w:pPr>
      <w:rPr>
        <w:rFonts w:hint="default"/>
        <w:lang w:val="en-US" w:eastAsia="en-US" w:bidi="ar-SA"/>
      </w:rPr>
    </w:lvl>
    <w:lvl w:ilvl="5" w:tplc="BAACF466">
      <w:numFmt w:val="bullet"/>
      <w:lvlText w:val="•"/>
      <w:lvlJc w:val="left"/>
      <w:pPr>
        <w:ind w:left="2067" w:hanging="431"/>
      </w:pPr>
      <w:rPr>
        <w:rFonts w:hint="default"/>
        <w:lang w:val="en-US" w:eastAsia="en-US" w:bidi="ar-SA"/>
      </w:rPr>
    </w:lvl>
    <w:lvl w:ilvl="6" w:tplc="8B585614">
      <w:numFmt w:val="bullet"/>
      <w:lvlText w:val="•"/>
      <w:lvlJc w:val="left"/>
      <w:pPr>
        <w:ind w:left="2376" w:hanging="431"/>
      </w:pPr>
      <w:rPr>
        <w:rFonts w:hint="default"/>
        <w:lang w:val="en-US" w:eastAsia="en-US" w:bidi="ar-SA"/>
      </w:rPr>
    </w:lvl>
    <w:lvl w:ilvl="7" w:tplc="A8DEC6CC">
      <w:numFmt w:val="bullet"/>
      <w:lvlText w:val="•"/>
      <w:lvlJc w:val="left"/>
      <w:pPr>
        <w:ind w:left="2685" w:hanging="431"/>
      </w:pPr>
      <w:rPr>
        <w:rFonts w:hint="default"/>
        <w:lang w:val="en-US" w:eastAsia="en-US" w:bidi="ar-SA"/>
      </w:rPr>
    </w:lvl>
    <w:lvl w:ilvl="8" w:tplc="09ECDD78">
      <w:numFmt w:val="bullet"/>
      <w:lvlText w:val="•"/>
      <w:lvlJc w:val="left"/>
      <w:pPr>
        <w:ind w:left="2995" w:hanging="431"/>
      </w:pPr>
      <w:rPr>
        <w:rFonts w:hint="default"/>
        <w:lang w:val="en-US" w:eastAsia="en-US" w:bidi="ar-SA"/>
      </w:rPr>
    </w:lvl>
  </w:abstractNum>
  <w:abstractNum w:abstractNumId="199" w15:restartNumberingAfterBreak="0">
    <w:nsid w:val="38084047"/>
    <w:multiLevelType w:val="hybridMultilevel"/>
    <w:tmpl w:val="29DC485A"/>
    <w:lvl w:ilvl="0" w:tplc="37C26A22">
      <w:start w:val="1"/>
      <w:numFmt w:val="lowerRoman"/>
      <w:lvlText w:val="(%1)"/>
      <w:lvlJc w:val="left"/>
      <w:pPr>
        <w:ind w:left="1842" w:hanging="569"/>
      </w:pPr>
      <w:rPr>
        <w:rFonts w:ascii="Arial" w:eastAsia="Calibri" w:hAnsi="Arial" w:cs="Arial" w:hint="default"/>
        <w:spacing w:val="-1"/>
        <w:w w:val="100"/>
        <w:sz w:val="20"/>
        <w:szCs w:val="22"/>
        <w:lang w:val="en-US" w:eastAsia="en-US" w:bidi="ar-SA"/>
      </w:rPr>
    </w:lvl>
    <w:lvl w:ilvl="1" w:tplc="59E62EB0">
      <w:numFmt w:val="bullet"/>
      <w:lvlText w:val="•"/>
      <w:lvlJc w:val="left"/>
      <w:pPr>
        <w:ind w:left="2592" w:hanging="569"/>
      </w:pPr>
      <w:rPr>
        <w:rFonts w:hint="default"/>
        <w:lang w:val="en-US" w:eastAsia="en-US" w:bidi="ar-SA"/>
      </w:rPr>
    </w:lvl>
    <w:lvl w:ilvl="2" w:tplc="8CDE9F3C">
      <w:numFmt w:val="bullet"/>
      <w:lvlText w:val="•"/>
      <w:lvlJc w:val="left"/>
      <w:pPr>
        <w:ind w:left="3345" w:hanging="569"/>
      </w:pPr>
      <w:rPr>
        <w:rFonts w:hint="default"/>
        <w:lang w:val="en-US" w:eastAsia="en-US" w:bidi="ar-SA"/>
      </w:rPr>
    </w:lvl>
    <w:lvl w:ilvl="3" w:tplc="34201B80">
      <w:numFmt w:val="bullet"/>
      <w:lvlText w:val="•"/>
      <w:lvlJc w:val="left"/>
      <w:pPr>
        <w:ind w:left="4097" w:hanging="569"/>
      </w:pPr>
      <w:rPr>
        <w:rFonts w:hint="default"/>
        <w:lang w:val="en-US" w:eastAsia="en-US" w:bidi="ar-SA"/>
      </w:rPr>
    </w:lvl>
    <w:lvl w:ilvl="4" w:tplc="65B06A5A">
      <w:numFmt w:val="bullet"/>
      <w:lvlText w:val="•"/>
      <w:lvlJc w:val="left"/>
      <w:pPr>
        <w:ind w:left="4850" w:hanging="569"/>
      </w:pPr>
      <w:rPr>
        <w:rFonts w:hint="default"/>
        <w:lang w:val="en-US" w:eastAsia="en-US" w:bidi="ar-SA"/>
      </w:rPr>
    </w:lvl>
    <w:lvl w:ilvl="5" w:tplc="88384E30">
      <w:numFmt w:val="bullet"/>
      <w:lvlText w:val="•"/>
      <w:lvlJc w:val="left"/>
      <w:pPr>
        <w:ind w:left="5603" w:hanging="569"/>
      </w:pPr>
      <w:rPr>
        <w:rFonts w:hint="default"/>
        <w:lang w:val="en-US" w:eastAsia="en-US" w:bidi="ar-SA"/>
      </w:rPr>
    </w:lvl>
    <w:lvl w:ilvl="6" w:tplc="1262A3D6">
      <w:numFmt w:val="bullet"/>
      <w:lvlText w:val="•"/>
      <w:lvlJc w:val="left"/>
      <w:pPr>
        <w:ind w:left="6355" w:hanging="569"/>
      </w:pPr>
      <w:rPr>
        <w:rFonts w:hint="default"/>
        <w:lang w:val="en-US" w:eastAsia="en-US" w:bidi="ar-SA"/>
      </w:rPr>
    </w:lvl>
    <w:lvl w:ilvl="7" w:tplc="DF30C120">
      <w:numFmt w:val="bullet"/>
      <w:lvlText w:val="•"/>
      <w:lvlJc w:val="left"/>
      <w:pPr>
        <w:ind w:left="7108" w:hanging="569"/>
      </w:pPr>
      <w:rPr>
        <w:rFonts w:hint="default"/>
        <w:lang w:val="en-US" w:eastAsia="en-US" w:bidi="ar-SA"/>
      </w:rPr>
    </w:lvl>
    <w:lvl w:ilvl="8" w:tplc="96D848A6">
      <w:numFmt w:val="bullet"/>
      <w:lvlText w:val="•"/>
      <w:lvlJc w:val="left"/>
      <w:pPr>
        <w:ind w:left="7861" w:hanging="569"/>
      </w:pPr>
      <w:rPr>
        <w:rFonts w:hint="default"/>
        <w:lang w:val="en-US" w:eastAsia="en-US" w:bidi="ar-SA"/>
      </w:rPr>
    </w:lvl>
  </w:abstractNum>
  <w:abstractNum w:abstractNumId="200" w15:restartNumberingAfterBreak="0">
    <w:nsid w:val="38153C42"/>
    <w:multiLevelType w:val="hybridMultilevel"/>
    <w:tmpl w:val="85D82940"/>
    <w:lvl w:ilvl="0" w:tplc="F3DA7258">
      <w:start w:val="1"/>
      <w:numFmt w:val="lowerLetter"/>
      <w:lvlText w:val="(%1)"/>
      <w:lvlJc w:val="left"/>
      <w:pPr>
        <w:ind w:left="2408" w:hanging="567"/>
      </w:pPr>
      <w:rPr>
        <w:rFonts w:ascii="Arial" w:eastAsia="Calibri" w:hAnsi="Arial" w:cs="Arial" w:hint="default"/>
        <w:spacing w:val="-1"/>
        <w:w w:val="100"/>
        <w:sz w:val="20"/>
        <w:szCs w:val="22"/>
        <w:lang w:val="en-US" w:eastAsia="en-US" w:bidi="ar-SA"/>
      </w:rPr>
    </w:lvl>
    <w:lvl w:ilvl="1" w:tplc="F30A4850">
      <w:start w:val="1"/>
      <w:numFmt w:val="decimal"/>
      <w:lvlText w:val="(%2)"/>
      <w:lvlJc w:val="left"/>
      <w:pPr>
        <w:ind w:left="2975" w:hanging="567"/>
      </w:pPr>
      <w:rPr>
        <w:rFonts w:ascii="Arial" w:eastAsia="Calibri" w:hAnsi="Arial" w:cs="Arial" w:hint="default"/>
        <w:spacing w:val="-1"/>
        <w:w w:val="100"/>
        <w:sz w:val="20"/>
        <w:szCs w:val="22"/>
        <w:lang w:val="en-US" w:eastAsia="en-US" w:bidi="ar-SA"/>
      </w:rPr>
    </w:lvl>
    <w:lvl w:ilvl="2" w:tplc="8C4E0B40">
      <w:numFmt w:val="bullet"/>
      <w:lvlText w:val="•"/>
      <w:lvlJc w:val="left"/>
      <w:pPr>
        <w:ind w:left="3689" w:hanging="567"/>
      </w:pPr>
      <w:rPr>
        <w:rFonts w:hint="default"/>
        <w:lang w:val="en-US" w:eastAsia="en-US" w:bidi="ar-SA"/>
      </w:rPr>
    </w:lvl>
    <w:lvl w:ilvl="3" w:tplc="04E87CE6">
      <w:numFmt w:val="bullet"/>
      <w:lvlText w:val="•"/>
      <w:lvlJc w:val="left"/>
      <w:pPr>
        <w:ind w:left="4399" w:hanging="567"/>
      </w:pPr>
      <w:rPr>
        <w:rFonts w:hint="default"/>
        <w:lang w:val="en-US" w:eastAsia="en-US" w:bidi="ar-SA"/>
      </w:rPr>
    </w:lvl>
    <w:lvl w:ilvl="4" w:tplc="0AAE2610">
      <w:numFmt w:val="bullet"/>
      <w:lvlText w:val="•"/>
      <w:lvlJc w:val="left"/>
      <w:pPr>
        <w:ind w:left="5108" w:hanging="567"/>
      </w:pPr>
      <w:rPr>
        <w:rFonts w:hint="default"/>
        <w:lang w:val="en-US" w:eastAsia="en-US" w:bidi="ar-SA"/>
      </w:rPr>
    </w:lvl>
    <w:lvl w:ilvl="5" w:tplc="BD0AD26C">
      <w:numFmt w:val="bullet"/>
      <w:lvlText w:val="•"/>
      <w:lvlJc w:val="left"/>
      <w:pPr>
        <w:ind w:left="5818" w:hanging="567"/>
      </w:pPr>
      <w:rPr>
        <w:rFonts w:hint="default"/>
        <w:lang w:val="en-US" w:eastAsia="en-US" w:bidi="ar-SA"/>
      </w:rPr>
    </w:lvl>
    <w:lvl w:ilvl="6" w:tplc="12B2AD20">
      <w:numFmt w:val="bullet"/>
      <w:lvlText w:val="•"/>
      <w:lvlJc w:val="left"/>
      <w:pPr>
        <w:ind w:left="6528" w:hanging="567"/>
      </w:pPr>
      <w:rPr>
        <w:rFonts w:hint="default"/>
        <w:lang w:val="en-US" w:eastAsia="en-US" w:bidi="ar-SA"/>
      </w:rPr>
    </w:lvl>
    <w:lvl w:ilvl="7" w:tplc="540E1702">
      <w:numFmt w:val="bullet"/>
      <w:lvlText w:val="•"/>
      <w:lvlJc w:val="left"/>
      <w:pPr>
        <w:ind w:left="7237" w:hanging="567"/>
      </w:pPr>
      <w:rPr>
        <w:rFonts w:hint="default"/>
        <w:lang w:val="en-US" w:eastAsia="en-US" w:bidi="ar-SA"/>
      </w:rPr>
    </w:lvl>
    <w:lvl w:ilvl="8" w:tplc="17BE2C3C">
      <w:numFmt w:val="bullet"/>
      <w:lvlText w:val="•"/>
      <w:lvlJc w:val="left"/>
      <w:pPr>
        <w:ind w:left="7947" w:hanging="567"/>
      </w:pPr>
      <w:rPr>
        <w:rFonts w:hint="default"/>
        <w:lang w:val="en-US" w:eastAsia="en-US" w:bidi="ar-SA"/>
      </w:rPr>
    </w:lvl>
  </w:abstractNum>
  <w:abstractNum w:abstractNumId="201" w15:restartNumberingAfterBreak="0">
    <w:nsid w:val="389F5BA5"/>
    <w:multiLevelType w:val="hybridMultilevel"/>
    <w:tmpl w:val="CC08E566"/>
    <w:lvl w:ilvl="0" w:tplc="108293C0">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411071D6">
      <w:numFmt w:val="bullet"/>
      <w:lvlText w:val="•"/>
      <w:lvlJc w:val="left"/>
      <w:pPr>
        <w:ind w:left="1566" w:hanging="567"/>
      </w:pPr>
      <w:rPr>
        <w:rFonts w:hint="default"/>
        <w:lang w:val="en-US" w:eastAsia="en-US" w:bidi="ar-SA"/>
      </w:rPr>
    </w:lvl>
    <w:lvl w:ilvl="2" w:tplc="A9326EAE">
      <w:numFmt w:val="bullet"/>
      <w:lvlText w:val="•"/>
      <w:lvlJc w:val="left"/>
      <w:pPr>
        <w:ind w:left="2433" w:hanging="567"/>
      </w:pPr>
      <w:rPr>
        <w:rFonts w:hint="default"/>
        <w:lang w:val="en-US" w:eastAsia="en-US" w:bidi="ar-SA"/>
      </w:rPr>
    </w:lvl>
    <w:lvl w:ilvl="3" w:tplc="7876B812">
      <w:numFmt w:val="bullet"/>
      <w:lvlText w:val="•"/>
      <w:lvlJc w:val="left"/>
      <w:pPr>
        <w:ind w:left="3299" w:hanging="567"/>
      </w:pPr>
      <w:rPr>
        <w:rFonts w:hint="default"/>
        <w:lang w:val="en-US" w:eastAsia="en-US" w:bidi="ar-SA"/>
      </w:rPr>
    </w:lvl>
    <w:lvl w:ilvl="4" w:tplc="0D8E482E">
      <w:numFmt w:val="bullet"/>
      <w:lvlText w:val="•"/>
      <w:lvlJc w:val="left"/>
      <w:pPr>
        <w:ind w:left="4166" w:hanging="567"/>
      </w:pPr>
      <w:rPr>
        <w:rFonts w:hint="default"/>
        <w:lang w:val="en-US" w:eastAsia="en-US" w:bidi="ar-SA"/>
      </w:rPr>
    </w:lvl>
    <w:lvl w:ilvl="5" w:tplc="896C657A">
      <w:numFmt w:val="bullet"/>
      <w:lvlText w:val="•"/>
      <w:lvlJc w:val="left"/>
      <w:pPr>
        <w:ind w:left="5033" w:hanging="567"/>
      </w:pPr>
      <w:rPr>
        <w:rFonts w:hint="default"/>
        <w:lang w:val="en-US" w:eastAsia="en-US" w:bidi="ar-SA"/>
      </w:rPr>
    </w:lvl>
    <w:lvl w:ilvl="6" w:tplc="5E5A1410">
      <w:numFmt w:val="bullet"/>
      <w:lvlText w:val="•"/>
      <w:lvlJc w:val="left"/>
      <w:pPr>
        <w:ind w:left="5899" w:hanging="567"/>
      </w:pPr>
      <w:rPr>
        <w:rFonts w:hint="default"/>
        <w:lang w:val="en-US" w:eastAsia="en-US" w:bidi="ar-SA"/>
      </w:rPr>
    </w:lvl>
    <w:lvl w:ilvl="7" w:tplc="212E3DB8">
      <w:numFmt w:val="bullet"/>
      <w:lvlText w:val="•"/>
      <w:lvlJc w:val="left"/>
      <w:pPr>
        <w:ind w:left="6766" w:hanging="567"/>
      </w:pPr>
      <w:rPr>
        <w:rFonts w:hint="default"/>
        <w:lang w:val="en-US" w:eastAsia="en-US" w:bidi="ar-SA"/>
      </w:rPr>
    </w:lvl>
    <w:lvl w:ilvl="8" w:tplc="4BB83338">
      <w:numFmt w:val="bullet"/>
      <w:lvlText w:val="•"/>
      <w:lvlJc w:val="left"/>
      <w:pPr>
        <w:ind w:left="7633" w:hanging="567"/>
      </w:pPr>
      <w:rPr>
        <w:rFonts w:hint="default"/>
        <w:lang w:val="en-US" w:eastAsia="en-US" w:bidi="ar-SA"/>
      </w:rPr>
    </w:lvl>
  </w:abstractNum>
  <w:abstractNum w:abstractNumId="202" w15:restartNumberingAfterBreak="0">
    <w:nsid w:val="39BC117A"/>
    <w:multiLevelType w:val="hybridMultilevel"/>
    <w:tmpl w:val="FF527B40"/>
    <w:lvl w:ilvl="0" w:tplc="C25005F8">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F6A25D26">
      <w:numFmt w:val="bullet"/>
      <w:lvlText w:val="•"/>
      <w:lvlJc w:val="left"/>
      <w:pPr>
        <w:ind w:left="1566" w:hanging="567"/>
      </w:pPr>
      <w:rPr>
        <w:rFonts w:hint="default"/>
        <w:lang w:val="en-US" w:eastAsia="en-US" w:bidi="ar-SA"/>
      </w:rPr>
    </w:lvl>
    <w:lvl w:ilvl="2" w:tplc="07CEE888">
      <w:numFmt w:val="bullet"/>
      <w:lvlText w:val="•"/>
      <w:lvlJc w:val="left"/>
      <w:pPr>
        <w:ind w:left="2433" w:hanging="567"/>
      </w:pPr>
      <w:rPr>
        <w:rFonts w:hint="default"/>
        <w:lang w:val="en-US" w:eastAsia="en-US" w:bidi="ar-SA"/>
      </w:rPr>
    </w:lvl>
    <w:lvl w:ilvl="3" w:tplc="3E2A39FE">
      <w:numFmt w:val="bullet"/>
      <w:lvlText w:val="•"/>
      <w:lvlJc w:val="left"/>
      <w:pPr>
        <w:ind w:left="3299" w:hanging="567"/>
      </w:pPr>
      <w:rPr>
        <w:rFonts w:hint="default"/>
        <w:lang w:val="en-US" w:eastAsia="en-US" w:bidi="ar-SA"/>
      </w:rPr>
    </w:lvl>
    <w:lvl w:ilvl="4" w:tplc="26B65A82">
      <w:numFmt w:val="bullet"/>
      <w:lvlText w:val="•"/>
      <w:lvlJc w:val="left"/>
      <w:pPr>
        <w:ind w:left="4166" w:hanging="567"/>
      </w:pPr>
      <w:rPr>
        <w:rFonts w:hint="default"/>
        <w:lang w:val="en-US" w:eastAsia="en-US" w:bidi="ar-SA"/>
      </w:rPr>
    </w:lvl>
    <w:lvl w:ilvl="5" w:tplc="8BA022C4">
      <w:numFmt w:val="bullet"/>
      <w:lvlText w:val="•"/>
      <w:lvlJc w:val="left"/>
      <w:pPr>
        <w:ind w:left="5033" w:hanging="567"/>
      </w:pPr>
      <w:rPr>
        <w:rFonts w:hint="default"/>
        <w:lang w:val="en-US" w:eastAsia="en-US" w:bidi="ar-SA"/>
      </w:rPr>
    </w:lvl>
    <w:lvl w:ilvl="6" w:tplc="1234A48A">
      <w:numFmt w:val="bullet"/>
      <w:lvlText w:val="•"/>
      <w:lvlJc w:val="left"/>
      <w:pPr>
        <w:ind w:left="5899" w:hanging="567"/>
      </w:pPr>
      <w:rPr>
        <w:rFonts w:hint="default"/>
        <w:lang w:val="en-US" w:eastAsia="en-US" w:bidi="ar-SA"/>
      </w:rPr>
    </w:lvl>
    <w:lvl w:ilvl="7" w:tplc="BCAA4DDA">
      <w:numFmt w:val="bullet"/>
      <w:lvlText w:val="•"/>
      <w:lvlJc w:val="left"/>
      <w:pPr>
        <w:ind w:left="6766" w:hanging="567"/>
      </w:pPr>
      <w:rPr>
        <w:rFonts w:hint="default"/>
        <w:lang w:val="en-US" w:eastAsia="en-US" w:bidi="ar-SA"/>
      </w:rPr>
    </w:lvl>
    <w:lvl w:ilvl="8" w:tplc="F9025F7A">
      <w:numFmt w:val="bullet"/>
      <w:lvlText w:val="•"/>
      <w:lvlJc w:val="left"/>
      <w:pPr>
        <w:ind w:left="7633" w:hanging="567"/>
      </w:pPr>
      <w:rPr>
        <w:rFonts w:hint="default"/>
        <w:lang w:val="en-US" w:eastAsia="en-US" w:bidi="ar-SA"/>
      </w:rPr>
    </w:lvl>
  </w:abstractNum>
  <w:abstractNum w:abstractNumId="203" w15:restartNumberingAfterBreak="0">
    <w:nsid w:val="39BE7A6A"/>
    <w:multiLevelType w:val="hybridMultilevel"/>
    <w:tmpl w:val="02D62BEA"/>
    <w:lvl w:ilvl="0" w:tplc="039CD166">
      <w:start w:val="1"/>
      <w:numFmt w:val="decimal"/>
      <w:lvlText w:val="(%1)"/>
      <w:lvlJc w:val="left"/>
      <w:pPr>
        <w:ind w:left="1273" w:hanging="567"/>
      </w:pPr>
      <w:rPr>
        <w:rFonts w:ascii="Arial" w:eastAsia="Calibri" w:hAnsi="Arial" w:cs="Arial" w:hint="default"/>
        <w:spacing w:val="-1"/>
        <w:w w:val="100"/>
        <w:sz w:val="20"/>
        <w:szCs w:val="22"/>
        <w:lang w:val="en-US" w:eastAsia="en-US" w:bidi="ar-SA"/>
      </w:rPr>
    </w:lvl>
    <w:lvl w:ilvl="1" w:tplc="8A823C3C">
      <w:numFmt w:val="bullet"/>
      <w:lvlText w:val="•"/>
      <w:lvlJc w:val="left"/>
      <w:pPr>
        <w:ind w:left="2088" w:hanging="567"/>
      </w:pPr>
      <w:rPr>
        <w:rFonts w:hint="default"/>
        <w:lang w:val="en-US" w:eastAsia="en-US" w:bidi="ar-SA"/>
      </w:rPr>
    </w:lvl>
    <w:lvl w:ilvl="2" w:tplc="49D87C16">
      <w:numFmt w:val="bullet"/>
      <w:lvlText w:val="•"/>
      <w:lvlJc w:val="left"/>
      <w:pPr>
        <w:ind w:left="2897" w:hanging="567"/>
      </w:pPr>
      <w:rPr>
        <w:rFonts w:hint="default"/>
        <w:lang w:val="en-US" w:eastAsia="en-US" w:bidi="ar-SA"/>
      </w:rPr>
    </w:lvl>
    <w:lvl w:ilvl="3" w:tplc="FF5270BC">
      <w:numFmt w:val="bullet"/>
      <w:lvlText w:val="•"/>
      <w:lvlJc w:val="left"/>
      <w:pPr>
        <w:ind w:left="3705" w:hanging="567"/>
      </w:pPr>
      <w:rPr>
        <w:rFonts w:hint="default"/>
        <w:lang w:val="en-US" w:eastAsia="en-US" w:bidi="ar-SA"/>
      </w:rPr>
    </w:lvl>
    <w:lvl w:ilvl="4" w:tplc="7CC4E692">
      <w:numFmt w:val="bullet"/>
      <w:lvlText w:val="•"/>
      <w:lvlJc w:val="left"/>
      <w:pPr>
        <w:ind w:left="4514" w:hanging="567"/>
      </w:pPr>
      <w:rPr>
        <w:rFonts w:hint="default"/>
        <w:lang w:val="en-US" w:eastAsia="en-US" w:bidi="ar-SA"/>
      </w:rPr>
    </w:lvl>
    <w:lvl w:ilvl="5" w:tplc="22102FB2">
      <w:numFmt w:val="bullet"/>
      <w:lvlText w:val="•"/>
      <w:lvlJc w:val="left"/>
      <w:pPr>
        <w:ind w:left="5323" w:hanging="567"/>
      </w:pPr>
      <w:rPr>
        <w:rFonts w:hint="default"/>
        <w:lang w:val="en-US" w:eastAsia="en-US" w:bidi="ar-SA"/>
      </w:rPr>
    </w:lvl>
    <w:lvl w:ilvl="6" w:tplc="1450ADF4">
      <w:numFmt w:val="bullet"/>
      <w:lvlText w:val="•"/>
      <w:lvlJc w:val="left"/>
      <w:pPr>
        <w:ind w:left="6131" w:hanging="567"/>
      </w:pPr>
      <w:rPr>
        <w:rFonts w:hint="default"/>
        <w:lang w:val="en-US" w:eastAsia="en-US" w:bidi="ar-SA"/>
      </w:rPr>
    </w:lvl>
    <w:lvl w:ilvl="7" w:tplc="1B8886F4">
      <w:numFmt w:val="bullet"/>
      <w:lvlText w:val="•"/>
      <w:lvlJc w:val="left"/>
      <w:pPr>
        <w:ind w:left="6940" w:hanging="567"/>
      </w:pPr>
      <w:rPr>
        <w:rFonts w:hint="default"/>
        <w:lang w:val="en-US" w:eastAsia="en-US" w:bidi="ar-SA"/>
      </w:rPr>
    </w:lvl>
    <w:lvl w:ilvl="8" w:tplc="CA0E1B72">
      <w:numFmt w:val="bullet"/>
      <w:lvlText w:val="•"/>
      <w:lvlJc w:val="left"/>
      <w:pPr>
        <w:ind w:left="7749" w:hanging="567"/>
      </w:pPr>
      <w:rPr>
        <w:rFonts w:hint="default"/>
        <w:lang w:val="en-US" w:eastAsia="en-US" w:bidi="ar-SA"/>
      </w:rPr>
    </w:lvl>
  </w:abstractNum>
  <w:abstractNum w:abstractNumId="204" w15:restartNumberingAfterBreak="0">
    <w:nsid w:val="39D31EF9"/>
    <w:multiLevelType w:val="hybridMultilevel"/>
    <w:tmpl w:val="D87C8E00"/>
    <w:lvl w:ilvl="0" w:tplc="348AEECA">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57DE3100">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DB8C3DBE">
      <w:numFmt w:val="bullet"/>
      <w:lvlText w:val="•"/>
      <w:lvlJc w:val="left"/>
      <w:pPr>
        <w:ind w:left="2178" w:hanging="567"/>
      </w:pPr>
      <w:rPr>
        <w:rFonts w:hint="default"/>
        <w:lang w:val="en-US" w:eastAsia="en-US" w:bidi="ar-SA"/>
      </w:rPr>
    </w:lvl>
    <w:lvl w:ilvl="3" w:tplc="00866BC0">
      <w:numFmt w:val="bullet"/>
      <w:lvlText w:val="•"/>
      <w:lvlJc w:val="left"/>
      <w:pPr>
        <w:ind w:left="3076" w:hanging="567"/>
      </w:pPr>
      <w:rPr>
        <w:rFonts w:hint="default"/>
        <w:lang w:val="en-US" w:eastAsia="en-US" w:bidi="ar-SA"/>
      </w:rPr>
    </w:lvl>
    <w:lvl w:ilvl="4" w:tplc="012AFF04">
      <w:numFmt w:val="bullet"/>
      <w:lvlText w:val="•"/>
      <w:lvlJc w:val="left"/>
      <w:pPr>
        <w:ind w:left="3975" w:hanging="567"/>
      </w:pPr>
      <w:rPr>
        <w:rFonts w:hint="default"/>
        <w:lang w:val="en-US" w:eastAsia="en-US" w:bidi="ar-SA"/>
      </w:rPr>
    </w:lvl>
    <w:lvl w:ilvl="5" w:tplc="CB087B66">
      <w:numFmt w:val="bullet"/>
      <w:lvlText w:val="•"/>
      <w:lvlJc w:val="left"/>
      <w:pPr>
        <w:ind w:left="4873" w:hanging="567"/>
      </w:pPr>
      <w:rPr>
        <w:rFonts w:hint="default"/>
        <w:lang w:val="en-US" w:eastAsia="en-US" w:bidi="ar-SA"/>
      </w:rPr>
    </w:lvl>
    <w:lvl w:ilvl="6" w:tplc="854061D4">
      <w:numFmt w:val="bullet"/>
      <w:lvlText w:val="•"/>
      <w:lvlJc w:val="left"/>
      <w:pPr>
        <w:ind w:left="5772" w:hanging="567"/>
      </w:pPr>
      <w:rPr>
        <w:rFonts w:hint="default"/>
        <w:lang w:val="en-US" w:eastAsia="en-US" w:bidi="ar-SA"/>
      </w:rPr>
    </w:lvl>
    <w:lvl w:ilvl="7" w:tplc="7756A286">
      <w:numFmt w:val="bullet"/>
      <w:lvlText w:val="•"/>
      <w:lvlJc w:val="left"/>
      <w:pPr>
        <w:ind w:left="6670" w:hanging="567"/>
      </w:pPr>
      <w:rPr>
        <w:rFonts w:hint="default"/>
        <w:lang w:val="en-US" w:eastAsia="en-US" w:bidi="ar-SA"/>
      </w:rPr>
    </w:lvl>
    <w:lvl w:ilvl="8" w:tplc="6F94FB88">
      <w:numFmt w:val="bullet"/>
      <w:lvlText w:val="•"/>
      <w:lvlJc w:val="left"/>
      <w:pPr>
        <w:ind w:left="7569" w:hanging="567"/>
      </w:pPr>
      <w:rPr>
        <w:rFonts w:hint="default"/>
        <w:lang w:val="en-US" w:eastAsia="en-US" w:bidi="ar-SA"/>
      </w:rPr>
    </w:lvl>
  </w:abstractNum>
  <w:abstractNum w:abstractNumId="205" w15:restartNumberingAfterBreak="0">
    <w:nsid w:val="39E11F5C"/>
    <w:multiLevelType w:val="hybridMultilevel"/>
    <w:tmpl w:val="04C8BECC"/>
    <w:lvl w:ilvl="0" w:tplc="D448659E">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0ECCE306">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6052BB66">
      <w:start w:val="1"/>
      <w:numFmt w:val="lowerRoman"/>
      <w:lvlText w:val="(%3)"/>
      <w:lvlJc w:val="left"/>
      <w:pPr>
        <w:ind w:left="1842" w:hanging="569"/>
      </w:pPr>
      <w:rPr>
        <w:rFonts w:ascii="Calibri" w:eastAsia="Calibri" w:hAnsi="Calibri" w:cs="Calibri" w:hint="default"/>
        <w:spacing w:val="-1"/>
        <w:w w:val="100"/>
        <w:sz w:val="22"/>
        <w:szCs w:val="22"/>
        <w:lang w:val="en-US" w:eastAsia="en-US" w:bidi="ar-SA"/>
      </w:rPr>
    </w:lvl>
    <w:lvl w:ilvl="3" w:tplc="B47A47E6">
      <w:numFmt w:val="bullet"/>
      <w:lvlText w:val="•"/>
      <w:lvlJc w:val="left"/>
      <w:pPr>
        <w:ind w:left="2780" w:hanging="569"/>
      </w:pPr>
      <w:rPr>
        <w:rFonts w:hint="default"/>
        <w:lang w:val="en-US" w:eastAsia="en-US" w:bidi="ar-SA"/>
      </w:rPr>
    </w:lvl>
    <w:lvl w:ilvl="4" w:tplc="AA3A02E4">
      <w:numFmt w:val="bullet"/>
      <w:lvlText w:val="•"/>
      <w:lvlJc w:val="left"/>
      <w:pPr>
        <w:ind w:left="3721" w:hanging="569"/>
      </w:pPr>
      <w:rPr>
        <w:rFonts w:hint="default"/>
        <w:lang w:val="en-US" w:eastAsia="en-US" w:bidi="ar-SA"/>
      </w:rPr>
    </w:lvl>
    <w:lvl w:ilvl="5" w:tplc="604CCDE0">
      <w:numFmt w:val="bullet"/>
      <w:lvlText w:val="•"/>
      <w:lvlJc w:val="left"/>
      <w:pPr>
        <w:ind w:left="4662" w:hanging="569"/>
      </w:pPr>
      <w:rPr>
        <w:rFonts w:hint="default"/>
        <w:lang w:val="en-US" w:eastAsia="en-US" w:bidi="ar-SA"/>
      </w:rPr>
    </w:lvl>
    <w:lvl w:ilvl="6" w:tplc="9568247A">
      <w:numFmt w:val="bullet"/>
      <w:lvlText w:val="•"/>
      <w:lvlJc w:val="left"/>
      <w:pPr>
        <w:ind w:left="5603" w:hanging="569"/>
      </w:pPr>
      <w:rPr>
        <w:rFonts w:hint="default"/>
        <w:lang w:val="en-US" w:eastAsia="en-US" w:bidi="ar-SA"/>
      </w:rPr>
    </w:lvl>
    <w:lvl w:ilvl="7" w:tplc="C2BA1382">
      <w:numFmt w:val="bullet"/>
      <w:lvlText w:val="•"/>
      <w:lvlJc w:val="left"/>
      <w:pPr>
        <w:ind w:left="6544" w:hanging="569"/>
      </w:pPr>
      <w:rPr>
        <w:rFonts w:hint="default"/>
        <w:lang w:val="en-US" w:eastAsia="en-US" w:bidi="ar-SA"/>
      </w:rPr>
    </w:lvl>
    <w:lvl w:ilvl="8" w:tplc="B0BA53C4">
      <w:numFmt w:val="bullet"/>
      <w:lvlText w:val="•"/>
      <w:lvlJc w:val="left"/>
      <w:pPr>
        <w:ind w:left="7484" w:hanging="569"/>
      </w:pPr>
      <w:rPr>
        <w:rFonts w:hint="default"/>
        <w:lang w:val="en-US" w:eastAsia="en-US" w:bidi="ar-SA"/>
      </w:rPr>
    </w:lvl>
  </w:abstractNum>
  <w:abstractNum w:abstractNumId="206" w15:restartNumberingAfterBreak="0">
    <w:nsid w:val="3A6E4BC5"/>
    <w:multiLevelType w:val="hybridMultilevel"/>
    <w:tmpl w:val="025CF87C"/>
    <w:lvl w:ilvl="0" w:tplc="515466BA">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FFE10D6">
      <w:numFmt w:val="bullet"/>
      <w:lvlText w:val="•"/>
      <w:lvlJc w:val="left"/>
      <w:pPr>
        <w:ind w:left="1566" w:hanging="567"/>
      </w:pPr>
      <w:rPr>
        <w:rFonts w:hint="default"/>
        <w:lang w:val="en-US" w:eastAsia="en-US" w:bidi="ar-SA"/>
      </w:rPr>
    </w:lvl>
    <w:lvl w:ilvl="2" w:tplc="2AF2E974">
      <w:numFmt w:val="bullet"/>
      <w:lvlText w:val="•"/>
      <w:lvlJc w:val="left"/>
      <w:pPr>
        <w:ind w:left="2433" w:hanging="567"/>
      </w:pPr>
      <w:rPr>
        <w:rFonts w:hint="default"/>
        <w:lang w:val="en-US" w:eastAsia="en-US" w:bidi="ar-SA"/>
      </w:rPr>
    </w:lvl>
    <w:lvl w:ilvl="3" w:tplc="A9300996">
      <w:numFmt w:val="bullet"/>
      <w:lvlText w:val="•"/>
      <w:lvlJc w:val="left"/>
      <w:pPr>
        <w:ind w:left="3299" w:hanging="567"/>
      </w:pPr>
      <w:rPr>
        <w:rFonts w:hint="default"/>
        <w:lang w:val="en-US" w:eastAsia="en-US" w:bidi="ar-SA"/>
      </w:rPr>
    </w:lvl>
    <w:lvl w:ilvl="4" w:tplc="3208D25C">
      <w:numFmt w:val="bullet"/>
      <w:lvlText w:val="•"/>
      <w:lvlJc w:val="left"/>
      <w:pPr>
        <w:ind w:left="4166" w:hanging="567"/>
      </w:pPr>
      <w:rPr>
        <w:rFonts w:hint="default"/>
        <w:lang w:val="en-US" w:eastAsia="en-US" w:bidi="ar-SA"/>
      </w:rPr>
    </w:lvl>
    <w:lvl w:ilvl="5" w:tplc="973A1054">
      <w:numFmt w:val="bullet"/>
      <w:lvlText w:val="•"/>
      <w:lvlJc w:val="left"/>
      <w:pPr>
        <w:ind w:left="5033" w:hanging="567"/>
      </w:pPr>
      <w:rPr>
        <w:rFonts w:hint="default"/>
        <w:lang w:val="en-US" w:eastAsia="en-US" w:bidi="ar-SA"/>
      </w:rPr>
    </w:lvl>
    <w:lvl w:ilvl="6" w:tplc="E7D09E4C">
      <w:numFmt w:val="bullet"/>
      <w:lvlText w:val="•"/>
      <w:lvlJc w:val="left"/>
      <w:pPr>
        <w:ind w:left="5899" w:hanging="567"/>
      </w:pPr>
      <w:rPr>
        <w:rFonts w:hint="default"/>
        <w:lang w:val="en-US" w:eastAsia="en-US" w:bidi="ar-SA"/>
      </w:rPr>
    </w:lvl>
    <w:lvl w:ilvl="7" w:tplc="35263B02">
      <w:numFmt w:val="bullet"/>
      <w:lvlText w:val="•"/>
      <w:lvlJc w:val="left"/>
      <w:pPr>
        <w:ind w:left="6766" w:hanging="567"/>
      </w:pPr>
      <w:rPr>
        <w:rFonts w:hint="default"/>
        <w:lang w:val="en-US" w:eastAsia="en-US" w:bidi="ar-SA"/>
      </w:rPr>
    </w:lvl>
    <w:lvl w:ilvl="8" w:tplc="2384C762">
      <w:numFmt w:val="bullet"/>
      <w:lvlText w:val="•"/>
      <w:lvlJc w:val="left"/>
      <w:pPr>
        <w:ind w:left="7633" w:hanging="567"/>
      </w:pPr>
      <w:rPr>
        <w:rFonts w:hint="default"/>
        <w:lang w:val="en-US" w:eastAsia="en-US" w:bidi="ar-SA"/>
      </w:rPr>
    </w:lvl>
  </w:abstractNum>
  <w:abstractNum w:abstractNumId="207" w15:restartNumberingAfterBreak="0">
    <w:nsid w:val="3AC1459B"/>
    <w:multiLevelType w:val="hybridMultilevel"/>
    <w:tmpl w:val="089CB38E"/>
    <w:lvl w:ilvl="0" w:tplc="E1202EA8">
      <w:start w:val="1"/>
      <w:numFmt w:val="lowerRoman"/>
      <w:lvlText w:val="(%1)"/>
      <w:lvlJc w:val="left"/>
      <w:pPr>
        <w:ind w:left="1842" w:hanging="569"/>
      </w:pPr>
      <w:rPr>
        <w:rFonts w:ascii="Arial" w:eastAsia="Calibri" w:hAnsi="Arial" w:cs="Arial" w:hint="default"/>
        <w:spacing w:val="-1"/>
        <w:w w:val="100"/>
        <w:sz w:val="20"/>
        <w:szCs w:val="22"/>
        <w:lang w:val="en-US" w:eastAsia="en-US" w:bidi="ar-SA"/>
      </w:rPr>
    </w:lvl>
    <w:lvl w:ilvl="1" w:tplc="B8646946">
      <w:numFmt w:val="bullet"/>
      <w:lvlText w:val="•"/>
      <w:lvlJc w:val="left"/>
      <w:pPr>
        <w:ind w:left="2592" w:hanging="569"/>
      </w:pPr>
      <w:rPr>
        <w:rFonts w:hint="default"/>
        <w:lang w:val="en-US" w:eastAsia="en-US" w:bidi="ar-SA"/>
      </w:rPr>
    </w:lvl>
    <w:lvl w:ilvl="2" w:tplc="FFB8CD9C">
      <w:numFmt w:val="bullet"/>
      <w:lvlText w:val="•"/>
      <w:lvlJc w:val="left"/>
      <w:pPr>
        <w:ind w:left="3345" w:hanging="569"/>
      </w:pPr>
      <w:rPr>
        <w:rFonts w:hint="default"/>
        <w:lang w:val="en-US" w:eastAsia="en-US" w:bidi="ar-SA"/>
      </w:rPr>
    </w:lvl>
    <w:lvl w:ilvl="3" w:tplc="621C4C8C">
      <w:numFmt w:val="bullet"/>
      <w:lvlText w:val="•"/>
      <w:lvlJc w:val="left"/>
      <w:pPr>
        <w:ind w:left="4097" w:hanging="569"/>
      </w:pPr>
      <w:rPr>
        <w:rFonts w:hint="default"/>
        <w:lang w:val="en-US" w:eastAsia="en-US" w:bidi="ar-SA"/>
      </w:rPr>
    </w:lvl>
    <w:lvl w:ilvl="4" w:tplc="00EEE2F6">
      <w:numFmt w:val="bullet"/>
      <w:lvlText w:val="•"/>
      <w:lvlJc w:val="left"/>
      <w:pPr>
        <w:ind w:left="4850" w:hanging="569"/>
      </w:pPr>
      <w:rPr>
        <w:rFonts w:hint="default"/>
        <w:lang w:val="en-US" w:eastAsia="en-US" w:bidi="ar-SA"/>
      </w:rPr>
    </w:lvl>
    <w:lvl w:ilvl="5" w:tplc="79427AA8">
      <w:numFmt w:val="bullet"/>
      <w:lvlText w:val="•"/>
      <w:lvlJc w:val="left"/>
      <w:pPr>
        <w:ind w:left="5603" w:hanging="569"/>
      </w:pPr>
      <w:rPr>
        <w:rFonts w:hint="default"/>
        <w:lang w:val="en-US" w:eastAsia="en-US" w:bidi="ar-SA"/>
      </w:rPr>
    </w:lvl>
    <w:lvl w:ilvl="6" w:tplc="F6EA38FA">
      <w:numFmt w:val="bullet"/>
      <w:lvlText w:val="•"/>
      <w:lvlJc w:val="left"/>
      <w:pPr>
        <w:ind w:left="6355" w:hanging="569"/>
      </w:pPr>
      <w:rPr>
        <w:rFonts w:hint="default"/>
        <w:lang w:val="en-US" w:eastAsia="en-US" w:bidi="ar-SA"/>
      </w:rPr>
    </w:lvl>
    <w:lvl w:ilvl="7" w:tplc="40D47C7C">
      <w:numFmt w:val="bullet"/>
      <w:lvlText w:val="•"/>
      <w:lvlJc w:val="left"/>
      <w:pPr>
        <w:ind w:left="7108" w:hanging="569"/>
      </w:pPr>
      <w:rPr>
        <w:rFonts w:hint="default"/>
        <w:lang w:val="en-US" w:eastAsia="en-US" w:bidi="ar-SA"/>
      </w:rPr>
    </w:lvl>
    <w:lvl w:ilvl="8" w:tplc="33FE06A4">
      <w:numFmt w:val="bullet"/>
      <w:lvlText w:val="•"/>
      <w:lvlJc w:val="left"/>
      <w:pPr>
        <w:ind w:left="7861" w:hanging="569"/>
      </w:pPr>
      <w:rPr>
        <w:rFonts w:hint="default"/>
        <w:lang w:val="en-US" w:eastAsia="en-US" w:bidi="ar-SA"/>
      </w:rPr>
    </w:lvl>
  </w:abstractNum>
  <w:abstractNum w:abstractNumId="208" w15:restartNumberingAfterBreak="0">
    <w:nsid w:val="3AC71143"/>
    <w:multiLevelType w:val="hybridMultilevel"/>
    <w:tmpl w:val="E834CBD4"/>
    <w:lvl w:ilvl="0" w:tplc="D5C81B18">
      <w:start w:val="1"/>
      <w:numFmt w:val="decimal"/>
      <w:lvlText w:val="(%1)"/>
      <w:lvlJc w:val="left"/>
      <w:pPr>
        <w:ind w:left="1273" w:hanging="567"/>
      </w:pPr>
      <w:rPr>
        <w:rFonts w:ascii="Arial" w:eastAsia="Calibri" w:hAnsi="Arial" w:cs="Arial" w:hint="default"/>
        <w:spacing w:val="-1"/>
        <w:w w:val="100"/>
        <w:sz w:val="20"/>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3B35240B"/>
    <w:multiLevelType w:val="hybridMultilevel"/>
    <w:tmpl w:val="61F8C372"/>
    <w:lvl w:ilvl="0" w:tplc="80EC7E8C">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D24E6FA2">
      <w:numFmt w:val="bullet"/>
      <w:lvlText w:val="•"/>
      <w:lvlJc w:val="left"/>
      <w:pPr>
        <w:ind w:left="1566" w:hanging="567"/>
      </w:pPr>
      <w:rPr>
        <w:rFonts w:hint="default"/>
        <w:lang w:val="en-US" w:eastAsia="en-US" w:bidi="ar-SA"/>
      </w:rPr>
    </w:lvl>
    <w:lvl w:ilvl="2" w:tplc="FCE44536">
      <w:numFmt w:val="bullet"/>
      <w:lvlText w:val="•"/>
      <w:lvlJc w:val="left"/>
      <w:pPr>
        <w:ind w:left="2433" w:hanging="567"/>
      </w:pPr>
      <w:rPr>
        <w:rFonts w:hint="default"/>
        <w:lang w:val="en-US" w:eastAsia="en-US" w:bidi="ar-SA"/>
      </w:rPr>
    </w:lvl>
    <w:lvl w:ilvl="3" w:tplc="A7BC61A6">
      <w:numFmt w:val="bullet"/>
      <w:lvlText w:val="•"/>
      <w:lvlJc w:val="left"/>
      <w:pPr>
        <w:ind w:left="3299" w:hanging="567"/>
      </w:pPr>
      <w:rPr>
        <w:rFonts w:hint="default"/>
        <w:lang w:val="en-US" w:eastAsia="en-US" w:bidi="ar-SA"/>
      </w:rPr>
    </w:lvl>
    <w:lvl w:ilvl="4" w:tplc="7EC6FE9E">
      <w:numFmt w:val="bullet"/>
      <w:lvlText w:val="•"/>
      <w:lvlJc w:val="left"/>
      <w:pPr>
        <w:ind w:left="4166" w:hanging="567"/>
      </w:pPr>
      <w:rPr>
        <w:rFonts w:hint="default"/>
        <w:lang w:val="en-US" w:eastAsia="en-US" w:bidi="ar-SA"/>
      </w:rPr>
    </w:lvl>
    <w:lvl w:ilvl="5" w:tplc="960CE73E">
      <w:numFmt w:val="bullet"/>
      <w:lvlText w:val="•"/>
      <w:lvlJc w:val="left"/>
      <w:pPr>
        <w:ind w:left="5033" w:hanging="567"/>
      </w:pPr>
      <w:rPr>
        <w:rFonts w:hint="default"/>
        <w:lang w:val="en-US" w:eastAsia="en-US" w:bidi="ar-SA"/>
      </w:rPr>
    </w:lvl>
    <w:lvl w:ilvl="6" w:tplc="F7669BE6">
      <w:numFmt w:val="bullet"/>
      <w:lvlText w:val="•"/>
      <w:lvlJc w:val="left"/>
      <w:pPr>
        <w:ind w:left="5899" w:hanging="567"/>
      </w:pPr>
      <w:rPr>
        <w:rFonts w:hint="default"/>
        <w:lang w:val="en-US" w:eastAsia="en-US" w:bidi="ar-SA"/>
      </w:rPr>
    </w:lvl>
    <w:lvl w:ilvl="7" w:tplc="5D1ECBEC">
      <w:numFmt w:val="bullet"/>
      <w:lvlText w:val="•"/>
      <w:lvlJc w:val="left"/>
      <w:pPr>
        <w:ind w:left="6766" w:hanging="567"/>
      </w:pPr>
      <w:rPr>
        <w:rFonts w:hint="default"/>
        <w:lang w:val="en-US" w:eastAsia="en-US" w:bidi="ar-SA"/>
      </w:rPr>
    </w:lvl>
    <w:lvl w:ilvl="8" w:tplc="9F38CC16">
      <w:numFmt w:val="bullet"/>
      <w:lvlText w:val="•"/>
      <w:lvlJc w:val="left"/>
      <w:pPr>
        <w:ind w:left="7633" w:hanging="567"/>
      </w:pPr>
      <w:rPr>
        <w:rFonts w:hint="default"/>
        <w:lang w:val="en-US" w:eastAsia="en-US" w:bidi="ar-SA"/>
      </w:rPr>
    </w:lvl>
  </w:abstractNum>
  <w:abstractNum w:abstractNumId="210" w15:restartNumberingAfterBreak="0">
    <w:nsid w:val="3BA2745A"/>
    <w:multiLevelType w:val="hybridMultilevel"/>
    <w:tmpl w:val="EE8E407A"/>
    <w:lvl w:ilvl="0" w:tplc="0BA0347A">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421CA51E">
      <w:numFmt w:val="bullet"/>
      <w:lvlText w:val="•"/>
      <w:lvlJc w:val="left"/>
      <w:pPr>
        <w:ind w:left="1566" w:hanging="567"/>
      </w:pPr>
      <w:rPr>
        <w:rFonts w:hint="default"/>
        <w:lang w:val="en-US" w:eastAsia="en-US" w:bidi="ar-SA"/>
      </w:rPr>
    </w:lvl>
    <w:lvl w:ilvl="2" w:tplc="23AAAD70">
      <w:numFmt w:val="bullet"/>
      <w:lvlText w:val="•"/>
      <w:lvlJc w:val="left"/>
      <w:pPr>
        <w:ind w:left="2433" w:hanging="567"/>
      </w:pPr>
      <w:rPr>
        <w:rFonts w:hint="default"/>
        <w:lang w:val="en-US" w:eastAsia="en-US" w:bidi="ar-SA"/>
      </w:rPr>
    </w:lvl>
    <w:lvl w:ilvl="3" w:tplc="12849390">
      <w:numFmt w:val="bullet"/>
      <w:lvlText w:val="•"/>
      <w:lvlJc w:val="left"/>
      <w:pPr>
        <w:ind w:left="3299" w:hanging="567"/>
      </w:pPr>
      <w:rPr>
        <w:rFonts w:hint="default"/>
        <w:lang w:val="en-US" w:eastAsia="en-US" w:bidi="ar-SA"/>
      </w:rPr>
    </w:lvl>
    <w:lvl w:ilvl="4" w:tplc="8B54BAC6">
      <w:numFmt w:val="bullet"/>
      <w:lvlText w:val="•"/>
      <w:lvlJc w:val="left"/>
      <w:pPr>
        <w:ind w:left="4166" w:hanging="567"/>
      </w:pPr>
      <w:rPr>
        <w:rFonts w:hint="default"/>
        <w:lang w:val="en-US" w:eastAsia="en-US" w:bidi="ar-SA"/>
      </w:rPr>
    </w:lvl>
    <w:lvl w:ilvl="5" w:tplc="E7A6785C">
      <w:numFmt w:val="bullet"/>
      <w:lvlText w:val="•"/>
      <w:lvlJc w:val="left"/>
      <w:pPr>
        <w:ind w:left="5033" w:hanging="567"/>
      </w:pPr>
      <w:rPr>
        <w:rFonts w:hint="default"/>
        <w:lang w:val="en-US" w:eastAsia="en-US" w:bidi="ar-SA"/>
      </w:rPr>
    </w:lvl>
    <w:lvl w:ilvl="6" w:tplc="C2444BF8">
      <w:numFmt w:val="bullet"/>
      <w:lvlText w:val="•"/>
      <w:lvlJc w:val="left"/>
      <w:pPr>
        <w:ind w:left="5899" w:hanging="567"/>
      </w:pPr>
      <w:rPr>
        <w:rFonts w:hint="default"/>
        <w:lang w:val="en-US" w:eastAsia="en-US" w:bidi="ar-SA"/>
      </w:rPr>
    </w:lvl>
    <w:lvl w:ilvl="7" w:tplc="C7FC9874">
      <w:numFmt w:val="bullet"/>
      <w:lvlText w:val="•"/>
      <w:lvlJc w:val="left"/>
      <w:pPr>
        <w:ind w:left="6766" w:hanging="567"/>
      </w:pPr>
      <w:rPr>
        <w:rFonts w:hint="default"/>
        <w:lang w:val="en-US" w:eastAsia="en-US" w:bidi="ar-SA"/>
      </w:rPr>
    </w:lvl>
    <w:lvl w:ilvl="8" w:tplc="3470F498">
      <w:numFmt w:val="bullet"/>
      <w:lvlText w:val="•"/>
      <w:lvlJc w:val="left"/>
      <w:pPr>
        <w:ind w:left="7633" w:hanging="567"/>
      </w:pPr>
      <w:rPr>
        <w:rFonts w:hint="default"/>
        <w:lang w:val="en-US" w:eastAsia="en-US" w:bidi="ar-SA"/>
      </w:rPr>
    </w:lvl>
  </w:abstractNum>
  <w:abstractNum w:abstractNumId="211" w15:restartNumberingAfterBreak="0">
    <w:nsid w:val="3BD22830"/>
    <w:multiLevelType w:val="hybridMultilevel"/>
    <w:tmpl w:val="4F0C17E6"/>
    <w:lvl w:ilvl="0" w:tplc="2F485C5C">
      <w:start w:val="1"/>
      <w:numFmt w:val="lowerRoman"/>
      <w:lvlText w:val="(%1)"/>
      <w:lvlJc w:val="left"/>
      <w:pPr>
        <w:ind w:left="1842" w:hanging="569"/>
      </w:pPr>
      <w:rPr>
        <w:rFonts w:ascii="Arial" w:eastAsia="Calibri" w:hAnsi="Arial" w:cs="Arial" w:hint="default"/>
        <w:spacing w:val="-1"/>
        <w:w w:val="100"/>
        <w:sz w:val="20"/>
        <w:szCs w:val="22"/>
        <w:lang w:val="en-US" w:eastAsia="en-US" w:bidi="ar-SA"/>
      </w:rPr>
    </w:lvl>
    <w:lvl w:ilvl="1" w:tplc="E50214DE">
      <w:numFmt w:val="bullet"/>
      <w:lvlText w:val="•"/>
      <w:lvlJc w:val="left"/>
      <w:pPr>
        <w:ind w:left="2592" w:hanging="569"/>
      </w:pPr>
      <w:rPr>
        <w:rFonts w:hint="default"/>
        <w:lang w:val="en-US" w:eastAsia="en-US" w:bidi="ar-SA"/>
      </w:rPr>
    </w:lvl>
    <w:lvl w:ilvl="2" w:tplc="F42E3782">
      <w:numFmt w:val="bullet"/>
      <w:lvlText w:val="•"/>
      <w:lvlJc w:val="left"/>
      <w:pPr>
        <w:ind w:left="3345" w:hanging="569"/>
      </w:pPr>
      <w:rPr>
        <w:rFonts w:hint="default"/>
        <w:lang w:val="en-US" w:eastAsia="en-US" w:bidi="ar-SA"/>
      </w:rPr>
    </w:lvl>
    <w:lvl w:ilvl="3" w:tplc="FE140166">
      <w:numFmt w:val="bullet"/>
      <w:lvlText w:val="•"/>
      <w:lvlJc w:val="left"/>
      <w:pPr>
        <w:ind w:left="4097" w:hanging="569"/>
      </w:pPr>
      <w:rPr>
        <w:rFonts w:hint="default"/>
        <w:lang w:val="en-US" w:eastAsia="en-US" w:bidi="ar-SA"/>
      </w:rPr>
    </w:lvl>
    <w:lvl w:ilvl="4" w:tplc="1834EF9A">
      <w:numFmt w:val="bullet"/>
      <w:lvlText w:val="•"/>
      <w:lvlJc w:val="left"/>
      <w:pPr>
        <w:ind w:left="4850" w:hanging="569"/>
      </w:pPr>
      <w:rPr>
        <w:rFonts w:hint="default"/>
        <w:lang w:val="en-US" w:eastAsia="en-US" w:bidi="ar-SA"/>
      </w:rPr>
    </w:lvl>
    <w:lvl w:ilvl="5" w:tplc="AD9A623C">
      <w:numFmt w:val="bullet"/>
      <w:lvlText w:val="•"/>
      <w:lvlJc w:val="left"/>
      <w:pPr>
        <w:ind w:left="5603" w:hanging="569"/>
      </w:pPr>
      <w:rPr>
        <w:rFonts w:hint="default"/>
        <w:lang w:val="en-US" w:eastAsia="en-US" w:bidi="ar-SA"/>
      </w:rPr>
    </w:lvl>
    <w:lvl w:ilvl="6" w:tplc="00C28B36">
      <w:numFmt w:val="bullet"/>
      <w:lvlText w:val="•"/>
      <w:lvlJc w:val="left"/>
      <w:pPr>
        <w:ind w:left="6355" w:hanging="569"/>
      </w:pPr>
      <w:rPr>
        <w:rFonts w:hint="default"/>
        <w:lang w:val="en-US" w:eastAsia="en-US" w:bidi="ar-SA"/>
      </w:rPr>
    </w:lvl>
    <w:lvl w:ilvl="7" w:tplc="06FAF108">
      <w:numFmt w:val="bullet"/>
      <w:lvlText w:val="•"/>
      <w:lvlJc w:val="left"/>
      <w:pPr>
        <w:ind w:left="7108" w:hanging="569"/>
      </w:pPr>
      <w:rPr>
        <w:rFonts w:hint="default"/>
        <w:lang w:val="en-US" w:eastAsia="en-US" w:bidi="ar-SA"/>
      </w:rPr>
    </w:lvl>
    <w:lvl w:ilvl="8" w:tplc="46860456">
      <w:numFmt w:val="bullet"/>
      <w:lvlText w:val="•"/>
      <w:lvlJc w:val="left"/>
      <w:pPr>
        <w:ind w:left="7861" w:hanging="569"/>
      </w:pPr>
      <w:rPr>
        <w:rFonts w:hint="default"/>
        <w:lang w:val="en-US" w:eastAsia="en-US" w:bidi="ar-SA"/>
      </w:rPr>
    </w:lvl>
  </w:abstractNum>
  <w:abstractNum w:abstractNumId="212" w15:restartNumberingAfterBreak="0">
    <w:nsid w:val="3BDB02BD"/>
    <w:multiLevelType w:val="hybridMultilevel"/>
    <w:tmpl w:val="524242C0"/>
    <w:lvl w:ilvl="0" w:tplc="453A125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5AA4D938">
      <w:numFmt w:val="bullet"/>
      <w:lvlText w:val="•"/>
      <w:lvlJc w:val="left"/>
      <w:pPr>
        <w:ind w:left="1566" w:hanging="567"/>
      </w:pPr>
      <w:rPr>
        <w:rFonts w:hint="default"/>
        <w:lang w:val="en-US" w:eastAsia="en-US" w:bidi="ar-SA"/>
      </w:rPr>
    </w:lvl>
    <w:lvl w:ilvl="2" w:tplc="E0A82AA2">
      <w:numFmt w:val="bullet"/>
      <w:lvlText w:val="•"/>
      <w:lvlJc w:val="left"/>
      <w:pPr>
        <w:ind w:left="2433" w:hanging="567"/>
      </w:pPr>
      <w:rPr>
        <w:rFonts w:hint="default"/>
        <w:lang w:val="en-US" w:eastAsia="en-US" w:bidi="ar-SA"/>
      </w:rPr>
    </w:lvl>
    <w:lvl w:ilvl="3" w:tplc="EFCAD6EC">
      <w:numFmt w:val="bullet"/>
      <w:lvlText w:val="•"/>
      <w:lvlJc w:val="left"/>
      <w:pPr>
        <w:ind w:left="3299" w:hanging="567"/>
      </w:pPr>
      <w:rPr>
        <w:rFonts w:hint="default"/>
        <w:lang w:val="en-US" w:eastAsia="en-US" w:bidi="ar-SA"/>
      </w:rPr>
    </w:lvl>
    <w:lvl w:ilvl="4" w:tplc="A5FA02A2">
      <w:numFmt w:val="bullet"/>
      <w:lvlText w:val="•"/>
      <w:lvlJc w:val="left"/>
      <w:pPr>
        <w:ind w:left="4166" w:hanging="567"/>
      </w:pPr>
      <w:rPr>
        <w:rFonts w:hint="default"/>
        <w:lang w:val="en-US" w:eastAsia="en-US" w:bidi="ar-SA"/>
      </w:rPr>
    </w:lvl>
    <w:lvl w:ilvl="5" w:tplc="7A4E9B8E">
      <w:numFmt w:val="bullet"/>
      <w:lvlText w:val="•"/>
      <w:lvlJc w:val="left"/>
      <w:pPr>
        <w:ind w:left="5033" w:hanging="567"/>
      </w:pPr>
      <w:rPr>
        <w:rFonts w:hint="default"/>
        <w:lang w:val="en-US" w:eastAsia="en-US" w:bidi="ar-SA"/>
      </w:rPr>
    </w:lvl>
    <w:lvl w:ilvl="6" w:tplc="28F0E59A">
      <w:numFmt w:val="bullet"/>
      <w:lvlText w:val="•"/>
      <w:lvlJc w:val="left"/>
      <w:pPr>
        <w:ind w:left="5899" w:hanging="567"/>
      </w:pPr>
      <w:rPr>
        <w:rFonts w:hint="default"/>
        <w:lang w:val="en-US" w:eastAsia="en-US" w:bidi="ar-SA"/>
      </w:rPr>
    </w:lvl>
    <w:lvl w:ilvl="7" w:tplc="D8E217F8">
      <w:numFmt w:val="bullet"/>
      <w:lvlText w:val="•"/>
      <w:lvlJc w:val="left"/>
      <w:pPr>
        <w:ind w:left="6766" w:hanging="567"/>
      </w:pPr>
      <w:rPr>
        <w:rFonts w:hint="default"/>
        <w:lang w:val="en-US" w:eastAsia="en-US" w:bidi="ar-SA"/>
      </w:rPr>
    </w:lvl>
    <w:lvl w:ilvl="8" w:tplc="E490F4D0">
      <w:numFmt w:val="bullet"/>
      <w:lvlText w:val="•"/>
      <w:lvlJc w:val="left"/>
      <w:pPr>
        <w:ind w:left="7633" w:hanging="567"/>
      </w:pPr>
      <w:rPr>
        <w:rFonts w:hint="default"/>
        <w:lang w:val="en-US" w:eastAsia="en-US" w:bidi="ar-SA"/>
      </w:rPr>
    </w:lvl>
  </w:abstractNum>
  <w:abstractNum w:abstractNumId="213" w15:restartNumberingAfterBreak="0">
    <w:nsid w:val="3C2048CA"/>
    <w:multiLevelType w:val="hybridMultilevel"/>
    <w:tmpl w:val="281ACE06"/>
    <w:lvl w:ilvl="0" w:tplc="7730E68A">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08423EC8">
      <w:numFmt w:val="bullet"/>
      <w:lvlText w:val="•"/>
      <w:lvlJc w:val="left"/>
      <w:pPr>
        <w:ind w:left="1566" w:hanging="567"/>
      </w:pPr>
      <w:rPr>
        <w:rFonts w:hint="default"/>
        <w:lang w:val="en-US" w:eastAsia="en-US" w:bidi="ar-SA"/>
      </w:rPr>
    </w:lvl>
    <w:lvl w:ilvl="2" w:tplc="124AE280">
      <w:numFmt w:val="bullet"/>
      <w:lvlText w:val="•"/>
      <w:lvlJc w:val="left"/>
      <w:pPr>
        <w:ind w:left="2433" w:hanging="567"/>
      </w:pPr>
      <w:rPr>
        <w:rFonts w:hint="default"/>
        <w:lang w:val="en-US" w:eastAsia="en-US" w:bidi="ar-SA"/>
      </w:rPr>
    </w:lvl>
    <w:lvl w:ilvl="3" w:tplc="F0BCF65E">
      <w:numFmt w:val="bullet"/>
      <w:lvlText w:val="•"/>
      <w:lvlJc w:val="left"/>
      <w:pPr>
        <w:ind w:left="3299" w:hanging="567"/>
      </w:pPr>
      <w:rPr>
        <w:rFonts w:hint="default"/>
        <w:lang w:val="en-US" w:eastAsia="en-US" w:bidi="ar-SA"/>
      </w:rPr>
    </w:lvl>
    <w:lvl w:ilvl="4" w:tplc="343C4B88">
      <w:numFmt w:val="bullet"/>
      <w:lvlText w:val="•"/>
      <w:lvlJc w:val="left"/>
      <w:pPr>
        <w:ind w:left="4166" w:hanging="567"/>
      </w:pPr>
      <w:rPr>
        <w:rFonts w:hint="default"/>
        <w:lang w:val="en-US" w:eastAsia="en-US" w:bidi="ar-SA"/>
      </w:rPr>
    </w:lvl>
    <w:lvl w:ilvl="5" w:tplc="F6E6944A">
      <w:numFmt w:val="bullet"/>
      <w:lvlText w:val="•"/>
      <w:lvlJc w:val="left"/>
      <w:pPr>
        <w:ind w:left="5033" w:hanging="567"/>
      </w:pPr>
      <w:rPr>
        <w:rFonts w:hint="default"/>
        <w:lang w:val="en-US" w:eastAsia="en-US" w:bidi="ar-SA"/>
      </w:rPr>
    </w:lvl>
    <w:lvl w:ilvl="6" w:tplc="6C162816">
      <w:numFmt w:val="bullet"/>
      <w:lvlText w:val="•"/>
      <w:lvlJc w:val="left"/>
      <w:pPr>
        <w:ind w:left="5899" w:hanging="567"/>
      </w:pPr>
      <w:rPr>
        <w:rFonts w:hint="default"/>
        <w:lang w:val="en-US" w:eastAsia="en-US" w:bidi="ar-SA"/>
      </w:rPr>
    </w:lvl>
    <w:lvl w:ilvl="7" w:tplc="3BBC0E36">
      <w:numFmt w:val="bullet"/>
      <w:lvlText w:val="•"/>
      <w:lvlJc w:val="left"/>
      <w:pPr>
        <w:ind w:left="6766" w:hanging="567"/>
      </w:pPr>
      <w:rPr>
        <w:rFonts w:hint="default"/>
        <w:lang w:val="en-US" w:eastAsia="en-US" w:bidi="ar-SA"/>
      </w:rPr>
    </w:lvl>
    <w:lvl w:ilvl="8" w:tplc="787A463E">
      <w:numFmt w:val="bullet"/>
      <w:lvlText w:val="•"/>
      <w:lvlJc w:val="left"/>
      <w:pPr>
        <w:ind w:left="7633" w:hanging="567"/>
      </w:pPr>
      <w:rPr>
        <w:rFonts w:hint="default"/>
        <w:lang w:val="en-US" w:eastAsia="en-US" w:bidi="ar-SA"/>
      </w:rPr>
    </w:lvl>
  </w:abstractNum>
  <w:abstractNum w:abstractNumId="214" w15:restartNumberingAfterBreak="0">
    <w:nsid w:val="3C5716C7"/>
    <w:multiLevelType w:val="hybridMultilevel"/>
    <w:tmpl w:val="B1465802"/>
    <w:lvl w:ilvl="0" w:tplc="C2CEFA44">
      <w:start w:val="1"/>
      <w:numFmt w:val="lowerRoman"/>
      <w:lvlText w:val="(%1)"/>
      <w:lvlJc w:val="left"/>
      <w:pPr>
        <w:ind w:left="1842" w:hanging="569"/>
      </w:pPr>
      <w:rPr>
        <w:rFonts w:ascii="Arial" w:eastAsia="Calibri" w:hAnsi="Arial" w:cs="Arial" w:hint="default"/>
        <w:spacing w:val="-1"/>
        <w:w w:val="100"/>
        <w:sz w:val="20"/>
        <w:szCs w:val="22"/>
        <w:lang w:val="en-US" w:eastAsia="en-US" w:bidi="ar-SA"/>
      </w:rPr>
    </w:lvl>
    <w:lvl w:ilvl="1" w:tplc="1528E8DE">
      <w:numFmt w:val="bullet"/>
      <w:lvlText w:val="•"/>
      <w:lvlJc w:val="left"/>
      <w:pPr>
        <w:ind w:left="2592" w:hanging="569"/>
      </w:pPr>
      <w:rPr>
        <w:rFonts w:hint="default"/>
        <w:lang w:val="en-US" w:eastAsia="en-US" w:bidi="ar-SA"/>
      </w:rPr>
    </w:lvl>
    <w:lvl w:ilvl="2" w:tplc="152EC41A">
      <w:numFmt w:val="bullet"/>
      <w:lvlText w:val="•"/>
      <w:lvlJc w:val="left"/>
      <w:pPr>
        <w:ind w:left="3345" w:hanging="569"/>
      </w:pPr>
      <w:rPr>
        <w:rFonts w:hint="default"/>
        <w:lang w:val="en-US" w:eastAsia="en-US" w:bidi="ar-SA"/>
      </w:rPr>
    </w:lvl>
    <w:lvl w:ilvl="3" w:tplc="8ED063B8">
      <w:numFmt w:val="bullet"/>
      <w:lvlText w:val="•"/>
      <w:lvlJc w:val="left"/>
      <w:pPr>
        <w:ind w:left="4097" w:hanging="569"/>
      </w:pPr>
      <w:rPr>
        <w:rFonts w:hint="default"/>
        <w:lang w:val="en-US" w:eastAsia="en-US" w:bidi="ar-SA"/>
      </w:rPr>
    </w:lvl>
    <w:lvl w:ilvl="4" w:tplc="1BC6DBAC">
      <w:numFmt w:val="bullet"/>
      <w:lvlText w:val="•"/>
      <w:lvlJc w:val="left"/>
      <w:pPr>
        <w:ind w:left="4850" w:hanging="569"/>
      </w:pPr>
      <w:rPr>
        <w:rFonts w:hint="default"/>
        <w:lang w:val="en-US" w:eastAsia="en-US" w:bidi="ar-SA"/>
      </w:rPr>
    </w:lvl>
    <w:lvl w:ilvl="5" w:tplc="E614175A">
      <w:numFmt w:val="bullet"/>
      <w:lvlText w:val="•"/>
      <w:lvlJc w:val="left"/>
      <w:pPr>
        <w:ind w:left="5603" w:hanging="569"/>
      </w:pPr>
      <w:rPr>
        <w:rFonts w:hint="default"/>
        <w:lang w:val="en-US" w:eastAsia="en-US" w:bidi="ar-SA"/>
      </w:rPr>
    </w:lvl>
    <w:lvl w:ilvl="6" w:tplc="18F49E62">
      <w:numFmt w:val="bullet"/>
      <w:lvlText w:val="•"/>
      <w:lvlJc w:val="left"/>
      <w:pPr>
        <w:ind w:left="6355" w:hanging="569"/>
      </w:pPr>
      <w:rPr>
        <w:rFonts w:hint="default"/>
        <w:lang w:val="en-US" w:eastAsia="en-US" w:bidi="ar-SA"/>
      </w:rPr>
    </w:lvl>
    <w:lvl w:ilvl="7" w:tplc="A63495A4">
      <w:numFmt w:val="bullet"/>
      <w:lvlText w:val="•"/>
      <w:lvlJc w:val="left"/>
      <w:pPr>
        <w:ind w:left="7108" w:hanging="569"/>
      </w:pPr>
      <w:rPr>
        <w:rFonts w:hint="default"/>
        <w:lang w:val="en-US" w:eastAsia="en-US" w:bidi="ar-SA"/>
      </w:rPr>
    </w:lvl>
    <w:lvl w:ilvl="8" w:tplc="2B6AD2EA">
      <w:numFmt w:val="bullet"/>
      <w:lvlText w:val="•"/>
      <w:lvlJc w:val="left"/>
      <w:pPr>
        <w:ind w:left="7861" w:hanging="569"/>
      </w:pPr>
      <w:rPr>
        <w:rFonts w:hint="default"/>
        <w:lang w:val="en-US" w:eastAsia="en-US" w:bidi="ar-SA"/>
      </w:rPr>
    </w:lvl>
  </w:abstractNum>
  <w:abstractNum w:abstractNumId="215" w15:restartNumberingAfterBreak="0">
    <w:nsid w:val="3D2D2882"/>
    <w:multiLevelType w:val="hybridMultilevel"/>
    <w:tmpl w:val="32D47544"/>
    <w:lvl w:ilvl="0" w:tplc="3E409ADE">
      <w:numFmt w:val="bullet"/>
      <w:lvlText w:val="—"/>
      <w:lvlJc w:val="left"/>
      <w:pPr>
        <w:ind w:left="706" w:hanging="567"/>
      </w:pPr>
      <w:rPr>
        <w:rFonts w:ascii="Arial" w:eastAsia="Calibri" w:hAnsi="Arial" w:cs="Arial" w:hint="default"/>
        <w:w w:val="100"/>
        <w:sz w:val="20"/>
        <w:szCs w:val="22"/>
        <w:lang w:val="en-US" w:eastAsia="en-US" w:bidi="ar-SA"/>
      </w:rPr>
    </w:lvl>
    <w:lvl w:ilvl="1" w:tplc="6090EE10">
      <w:numFmt w:val="bullet"/>
      <w:lvlText w:val="•"/>
      <w:lvlJc w:val="left"/>
      <w:pPr>
        <w:ind w:left="1566" w:hanging="567"/>
      </w:pPr>
      <w:rPr>
        <w:rFonts w:hint="default"/>
        <w:lang w:val="en-US" w:eastAsia="en-US" w:bidi="ar-SA"/>
      </w:rPr>
    </w:lvl>
    <w:lvl w:ilvl="2" w:tplc="879CEA66">
      <w:numFmt w:val="bullet"/>
      <w:lvlText w:val="•"/>
      <w:lvlJc w:val="left"/>
      <w:pPr>
        <w:ind w:left="2433" w:hanging="567"/>
      </w:pPr>
      <w:rPr>
        <w:rFonts w:hint="default"/>
        <w:lang w:val="en-US" w:eastAsia="en-US" w:bidi="ar-SA"/>
      </w:rPr>
    </w:lvl>
    <w:lvl w:ilvl="3" w:tplc="E97A8FDE">
      <w:numFmt w:val="bullet"/>
      <w:lvlText w:val="•"/>
      <w:lvlJc w:val="left"/>
      <w:pPr>
        <w:ind w:left="3299" w:hanging="567"/>
      </w:pPr>
      <w:rPr>
        <w:rFonts w:hint="default"/>
        <w:lang w:val="en-US" w:eastAsia="en-US" w:bidi="ar-SA"/>
      </w:rPr>
    </w:lvl>
    <w:lvl w:ilvl="4" w:tplc="9A80CEB0">
      <w:numFmt w:val="bullet"/>
      <w:lvlText w:val="•"/>
      <w:lvlJc w:val="left"/>
      <w:pPr>
        <w:ind w:left="4166" w:hanging="567"/>
      </w:pPr>
      <w:rPr>
        <w:rFonts w:hint="default"/>
        <w:lang w:val="en-US" w:eastAsia="en-US" w:bidi="ar-SA"/>
      </w:rPr>
    </w:lvl>
    <w:lvl w:ilvl="5" w:tplc="D83887D6">
      <w:numFmt w:val="bullet"/>
      <w:lvlText w:val="•"/>
      <w:lvlJc w:val="left"/>
      <w:pPr>
        <w:ind w:left="5033" w:hanging="567"/>
      </w:pPr>
      <w:rPr>
        <w:rFonts w:hint="default"/>
        <w:lang w:val="en-US" w:eastAsia="en-US" w:bidi="ar-SA"/>
      </w:rPr>
    </w:lvl>
    <w:lvl w:ilvl="6" w:tplc="95320A2C">
      <w:numFmt w:val="bullet"/>
      <w:lvlText w:val="•"/>
      <w:lvlJc w:val="left"/>
      <w:pPr>
        <w:ind w:left="5899" w:hanging="567"/>
      </w:pPr>
      <w:rPr>
        <w:rFonts w:hint="default"/>
        <w:lang w:val="en-US" w:eastAsia="en-US" w:bidi="ar-SA"/>
      </w:rPr>
    </w:lvl>
    <w:lvl w:ilvl="7" w:tplc="737E3C88">
      <w:numFmt w:val="bullet"/>
      <w:lvlText w:val="•"/>
      <w:lvlJc w:val="left"/>
      <w:pPr>
        <w:ind w:left="6766" w:hanging="567"/>
      </w:pPr>
      <w:rPr>
        <w:rFonts w:hint="default"/>
        <w:lang w:val="en-US" w:eastAsia="en-US" w:bidi="ar-SA"/>
      </w:rPr>
    </w:lvl>
    <w:lvl w:ilvl="8" w:tplc="C140425C">
      <w:numFmt w:val="bullet"/>
      <w:lvlText w:val="•"/>
      <w:lvlJc w:val="left"/>
      <w:pPr>
        <w:ind w:left="7633" w:hanging="567"/>
      </w:pPr>
      <w:rPr>
        <w:rFonts w:hint="default"/>
        <w:lang w:val="en-US" w:eastAsia="en-US" w:bidi="ar-SA"/>
      </w:rPr>
    </w:lvl>
  </w:abstractNum>
  <w:abstractNum w:abstractNumId="216" w15:restartNumberingAfterBreak="0">
    <w:nsid w:val="3D4A7A9F"/>
    <w:multiLevelType w:val="hybridMultilevel"/>
    <w:tmpl w:val="900C8468"/>
    <w:lvl w:ilvl="0" w:tplc="5240B34E">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1174112C">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99C8388A">
      <w:numFmt w:val="bullet"/>
      <w:lvlText w:val="•"/>
      <w:lvlJc w:val="left"/>
      <w:pPr>
        <w:ind w:left="2178" w:hanging="567"/>
      </w:pPr>
      <w:rPr>
        <w:rFonts w:hint="default"/>
        <w:lang w:val="en-US" w:eastAsia="en-US" w:bidi="ar-SA"/>
      </w:rPr>
    </w:lvl>
    <w:lvl w:ilvl="3" w:tplc="95C6799A">
      <w:numFmt w:val="bullet"/>
      <w:lvlText w:val="•"/>
      <w:lvlJc w:val="left"/>
      <w:pPr>
        <w:ind w:left="3076" w:hanging="567"/>
      </w:pPr>
      <w:rPr>
        <w:rFonts w:hint="default"/>
        <w:lang w:val="en-US" w:eastAsia="en-US" w:bidi="ar-SA"/>
      </w:rPr>
    </w:lvl>
    <w:lvl w:ilvl="4" w:tplc="6A40A296">
      <w:numFmt w:val="bullet"/>
      <w:lvlText w:val="•"/>
      <w:lvlJc w:val="left"/>
      <w:pPr>
        <w:ind w:left="3975" w:hanging="567"/>
      </w:pPr>
      <w:rPr>
        <w:rFonts w:hint="default"/>
        <w:lang w:val="en-US" w:eastAsia="en-US" w:bidi="ar-SA"/>
      </w:rPr>
    </w:lvl>
    <w:lvl w:ilvl="5" w:tplc="D640140A">
      <w:numFmt w:val="bullet"/>
      <w:lvlText w:val="•"/>
      <w:lvlJc w:val="left"/>
      <w:pPr>
        <w:ind w:left="4873" w:hanging="567"/>
      </w:pPr>
      <w:rPr>
        <w:rFonts w:hint="default"/>
        <w:lang w:val="en-US" w:eastAsia="en-US" w:bidi="ar-SA"/>
      </w:rPr>
    </w:lvl>
    <w:lvl w:ilvl="6" w:tplc="333855A8">
      <w:numFmt w:val="bullet"/>
      <w:lvlText w:val="•"/>
      <w:lvlJc w:val="left"/>
      <w:pPr>
        <w:ind w:left="5772" w:hanging="567"/>
      </w:pPr>
      <w:rPr>
        <w:rFonts w:hint="default"/>
        <w:lang w:val="en-US" w:eastAsia="en-US" w:bidi="ar-SA"/>
      </w:rPr>
    </w:lvl>
    <w:lvl w:ilvl="7" w:tplc="95D0D506">
      <w:numFmt w:val="bullet"/>
      <w:lvlText w:val="•"/>
      <w:lvlJc w:val="left"/>
      <w:pPr>
        <w:ind w:left="6670" w:hanging="567"/>
      </w:pPr>
      <w:rPr>
        <w:rFonts w:hint="default"/>
        <w:lang w:val="en-US" w:eastAsia="en-US" w:bidi="ar-SA"/>
      </w:rPr>
    </w:lvl>
    <w:lvl w:ilvl="8" w:tplc="01EE4242">
      <w:numFmt w:val="bullet"/>
      <w:lvlText w:val="•"/>
      <w:lvlJc w:val="left"/>
      <w:pPr>
        <w:ind w:left="7569" w:hanging="567"/>
      </w:pPr>
      <w:rPr>
        <w:rFonts w:hint="default"/>
        <w:lang w:val="en-US" w:eastAsia="en-US" w:bidi="ar-SA"/>
      </w:rPr>
    </w:lvl>
  </w:abstractNum>
  <w:abstractNum w:abstractNumId="217" w15:restartNumberingAfterBreak="0">
    <w:nsid w:val="3DA17E28"/>
    <w:multiLevelType w:val="hybridMultilevel"/>
    <w:tmpl w:val="4888E280"/>
    <w:lvl w:ilvl="0" w:tplc="DC58A9FC">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8A8231E6">
      <w:start w:val="1"/>
      <w:numFmt w:val="decimal"/>
      <w:lvlText w:val="(%2)"/>
      <w:lvlJc w:val="left"/>
      <w:pPr>
        <w:ind w:left="1273" w:hanging="567"/>
      </w:pPr>
      <w:rPr>
        <w:rFonts w:ascii="Arial" w:eastAsia="Calibri" w:hAnsi="Arial" w:cs="Arial" w:hint="default"/>
        <w:spacing w:val="-1"/>
        <w:w w:val="100"/>
        <w:sz w:val="24"/>
        <w:szCs w:val="22"/>
        <w:lang w:val="en-US" w:eastAsia="en-US" w:bidi="ar-SA"/>
      </w:rPr>
    </w:lvl>
    <w:lvl w:ilvl="2" w:tplc="E4400FE8">
      <w:numFmt w:val="bullet"/>
      <w:lvlText w:val="•"/>
      <w:lvlJc w:val="left"/>
      <w:pPr>
        <w:ind w:left="2178" w:hanging="567"/>
      </w:pPr>
      <w:rPr>
        <w:rFonts w:hint="default"/>
        <w:lang w:val="en-US" w:eastAsia="en-US" w:bidi="ar-SA"/>
      </w:rPr>
    </w:lvl>
    <w:lvl w:ilvl="3" w:tplc="99E8066E">
      <w:numFmt w:val="bullet"/>
      <w:lvlText w:val="•"/>
      <w:lvlJc w:val="left"/>
      <w:pPr>
        <w:ind w:left="3076" w:hanging="567"/>
      </w:pPr>
      <w:rPr>
        <w:rFonts w:hint="default"/>
        <w:lang w:val="en-US" w:eastAsia="en-US" w:bidi="ar-SA"/>
      </w:rPr>
    </w:lvl>
    <w:lvl w:ilvl="4" w:tplc="0576EA1E">
      <w:numFmt w:val="bullet"/>
      <w:lvlText w:val="•"/>
      <w:lvlJc w:val="left"/>
      <w:pPr>
        <w:ind w:left="3975" w:hanging="567"/>
      </w:pPr>
      <w:rPr>
        <w:rFonts w:hint="default"/>
        <w:lang w:val="en-US" w:eastAsia="en-US" w:bidi="ar-SA"/>
      </w:rPr>
    </w:lvl>
    <w:lvl w:ilvl="5" w:tplc="44EED702">
      <w:numFmt w:val="bullet"/>
      <w:lvlText w:val="•"/>
      <w:lvlJc w:val="left"/>
      <w:pPr>
        <w:ind w:left="4873" w:hanging="567"/>
      </w:pPr>
      <w:rPr>
        <w:rFonts w:hint="default"/>
        <w:lang w:val="en-US" w:eastAsia="en-US" w:bidi="ar-SA"/>
      </w:rPr>
    </w:lvl>
    <w:lvl w:ilvl="6" w:tplc="E3689F82">
      <w:numFmt w:val="bullet"/>
      <w:lvlText w:val="•"/>
      <w:lvlJc w:val="left"/>
      <w:pPr>
        <w:ind w:left="5772" w:hanging="567"/>
      </w:pPr>
      <w:rPr>
        <w:rFonts w:hint="default"/>
        <w:lang w:val="en-US" w:eastAsia="en-US" w:bidi="ar-SA"/>
      </w:rPr>
    </w:lvl>
    <w:lvl w:ilvl="7" w:tplc="CF9AFC56">
      <w:numFmt w:val="bullet"/>
      <w:lvlText w:val="•"/>
      <w:lvlJc w:val="left"/>
      <w:pPr>
        <w:ind w:left="6670" w:hanging="567"/>
      </w:pPr>
      <w:rPr>
        <w:rFonts w:hint="default"/>
        <w:lang w:val="en-US" w:eastAsia="en-US" w:bidi="ar-SA"/>
      </w:rPr>
    </w:lvl>
    <w:lvl w:ilvl="8" w:tplc="3AA4EDE8">
      <w:numFmt w:val="bullet"/>
      <w:lvlText w:val="•"/>
      <w:lvlJc w:val="left"/>
      <w:pPr>
        <w:ind w:left="7569" w:hanging="567"/>
      </w:pPr>
      <w:rPr>
        <w:rFonts w:hint="default"/>
        <w:lang w:val="en-US" w:eastAsia="en-US" w:bidi="ar-SA"/>
      </w:rPr>
    </w:lvl>
  </w:abstractNum>
  <w:abstractNum w:abstractNumId="218" w15:restartNumberingAfterBreak="0">
    <w:nsid w:val="3DBC1A9D"/>
    <w:multiLevelType w:val="hybridMultilevel"/>
    <w:tmpl w:val="A5FEA676"/>
    <w:lvl w:ilvl="0" w:tplc="A6BCF9C0">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0E509642">
      <w:numFmt w:val="bullet"/>
      <w:lvlText w:val="•"/>
      <w:lvlJc w:val="left"/>
      <w:pPr>
        <w:ind w:left="1566" w:hanging="567"/>
      </w:pPr>
      <w:rPr>
        <w:lang w:val="en-US" w:eastAsia="en-US" w:bidi="ar-SA"/>
      </w:rPr>
    </w:lvl>
    <w:lvl w:ilvl="2" w:tplc="DE52A54E">
      <w:numFmt w:val="bullet"/>
      <w:lvlText w:val="•"/>
      <w:lvlJc w:val="left"/>
      <w:pPr>
        <w:ind w:left="2433" w:hanging="567"/>
      </w:pPr>
      <w:rPr>
        <w:lang w:val="en-US" w:eastAsia="en-US" w:bidi="ar-SA"/>
      </w:rPr>
    </w:lvl>
    <w:lvl w:ilvl="3" w:tplc="0CF6A172">
      <w:numFmt w:val="bullet"/>
      <w:lvlText w:val="•"/>
      <w:lvlJc w:val="left"/>
      <w:pPr>
        <w:ind w:left="3299" w:hanging="567"/>
      </w:pPr>
      <w:rPr>
        <w:lang w:val="en-US" w:eastAsia="en-US" w:bidi="ar-SA"/>
      </w:rPr>
    </w:lvl>
    <w:lvl w:ilvl="4" w:tplc="FDCC3EEA">
      <w:numFmt w:val="bullet"/>
      <w:lvlText w:val="•"/>
      <w:lvlJc w:val="left"/>
      <w:pPr>
        <w:ind w:left="4166" w:hanging="567"/>
      </w:pPr>
      <w:rPr>
        <w:lang w:val="en-US" w:eastAsia="en-US" w:bidi="ar-SA"/>
      </w:rPr>
    </w:lvl>
    <w:lvl w:ilvl="5" w:tplc="112AC980">
      <w:numFmt w:val="bullet"/>
      <w:lvlText w:val="•"/>
      <w:lvlJc w:val="left"/>
      <w:pPr>
        <w:ind w:left="5033" w:hanging="567"/>
      </w:pPr>
      <w:rPr>
        <w:lang w:val="en-US" w:eastAsia="en-US" w:bidi="ar-SA"/>
      </w:rPr>
    </w:lvl>
    <w:lvl w:ilvl="6" w:tplc="D1B47F52">
      <w:numFmt w:val="bullet"/>
      <w:lvlText w:val="•"/>
      <w:lvlJc w:val="left"/>
      <w:pPr>
        <w:ind w:left="5899" w:hanging="567"/>
      </w:pPr>
      <w:rPr>
        <w:lang w:val="en-US" w:eastAsia="en-US" w:bidi="ar-SA"/>
      </w:rPr>
    </w:lvl>
    <w:lvl w:ilvl="7" w:tplc="DC94B760">
      <w:numFmt w:val="bullet"/>
      <w:lvlText w:val="•"/>
      <w:lvlJc w:val="left"/>
      <w:pPr>
        <w:ind w:left="6766" w:hanging="567"/>
      </w:pPr>
      <w:rPr>
        <w:lang w:val="en-US" w:eastAsia="en-US" w:bidi="ar-SA"/>
      </w:rPr>
    </w:lvl>
    <w:lvl w:ilvl="8" w:tplc="89BA1E00">
      <w:numFmt w:val="bullet"/>
      <w:lvlText w:val="•"/>
      <w:lvlJc w:val="left"/>
      <w:pPr>
        <w:ind w:left="7633" w:hanging="567"/>
      </w:pPr>
      <w:rPr>
        <w:lang w:val="en-US" w:eastAsia="en-US" w:bidi="ar-SA"/>
      </w:rPr>
    </w:lvl>
  </w:abstractNum>
  <w:abstractNum w:abstractNumId="219" w15:restartNumberingAfterBreak="0">
    <w:nsid w:val="3DCE564D"/>
    <w:multiLevelType w:val="hybridMultilevel"/>
    <w:tmpl w:val="5E7059DE"/>
    <w:lvl w:ilvl="0" w:tplc="EF8A02D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E9B8C0A4">
      <w:numFmt w:val="bullet"/>
      <w:lvlText w:val="•"/>
      <w:lvlJc w:val="left"/>
      <w:pPr>
        <w:ind w:left="1566" w:hanging="567"/>
      </w:pPr>
      <w:rPr>
        <w:rFonts w:hint="default"/>
        <w:lang w:val="en-US" w:eastAsia="en-US" w:bidi="ar-SA"/>
      </w:rPr>
    </w:lvl>
    <w:lvl w:ilvl="2" w:tplc="101A1FA0">
      <w:numFmt w:val="bullet"/>
      <w:lvlText w:val="•"/>
      <w:lvlJc w:val="left"/>
      <w:pPr>
        <w:ind w:left="2433" w:hanging="567"/>
      </w:pPr>
      <w:rPr>
        <w:rFonts w:hint="default"/>
        <w:lang w:val="en-US" w:eastAsia="en-US" w:bidi="ar-SA"/>
      </w:rPr>
    </w:lvl>
    <w:lvl w:ilvl="3" w:tplc="83CA42DA">
      <w:numFmt w:val="bullet"/>
      <w:lvlText w:val="•"/>
      <w:lvlJc w:val="left"/>
      <w:pPr>
        <w:ind w:left="3299" w:hanging="567"/>
      </w:pPr>
      <w:rPr>
        <w:rFonts w:hint="default"/>
        <w:lang w:val="en-US" w:eastAsia="en-US" w:bidi="ar-SA"/>
      </w:rPr>
    </w:lvl>
    <w:lvl w:ilvl="4" w:tplc="FB1ADB2C">
      <w:numFmt w:val="bullet"/>
      <w:lvlText w:val="•"/>
      <w:lvlJc w:val="left"/>
      <w:pPr>
        <w:ind w:left="4166" w:hanging="567"/>
      </w:pPr>
      <w:rPr>
        <w:rFonts w:hint="default"/>
        <w:lang w:val="en-US" w:eastAsia="en-US" w:bidi="ar-SA"/>
      </w:rPr>
    </w:lvl>
    <w:lvl w:ilvl="5" w:tplc="D67AB99A">
      <w:numFmt w:val="bullet"/>
      <w:lvlText w:val="•"/>
      <w:lvlJc w:val="left"/>
      <w:pPr>
        <w:ind w:left="5033" w:hanging="567"/>
      </w:pPr>
      <w:rPr>
        <w:rFonts w:hint="default"/>
        <w:lang w:val="en-US" w:eastAsia="en-US" w:bidi="ar-SA"/>
      </w:rPr>
    </w:lvl>
    <w:lvl w:ilvl="6" w:tplc="BB06892A">
      <w:numFmt w:val="bullet"/>
      <w:lvlText w:val="•"/>
      <w:lvlJc w:val="left"/>
      <w:pPr>
        <w:ind w:left="5899" w:hanging="567"/>
      </w:pPr>
      <w:rPr>
        <w:rFonts w:hint="default"/>
        <w:lang w:val="en-US" w:eastAsia="en-US" w:bidi="ar-SA"/>
      </w:rPr>
    </w:lvl>
    <w:lvl w:ilvl="7" w:tplc="84E0247E">
      <w:numFmt w:val="bullet"/>
      <w:lvlText w:val="•"/>
      <w:lvlJc w:val="left"/>
      <w:pPr>
        <w:ind w:left="6766" w:hanging="567"/>
      </w:pPr>
      <w:rPr>
        <w:rFonts w:hint="default"/>
        <w:lang w:val="en-US" w:eastAsia="en-US" w:bidi="ar-SA"/>
      </w:rPr>
    </w:lvl>
    <w:lvl w:ilvl="8" w:tplc="7F2E7A04">
      <w:numFmt w:val="bullet"/>
      <w:lvlText w:val="•"/>
      <w:lvlJc w:val="left"/>
      <w:pPr>
        <w:ind w:left="7633" w:hanging="567"/>
      </w:pPr>
      <w:rPr>
        <w:rFonts w:hint="default"/>
        <w:lang w:val="en-US" w:eastAsia="en-US" w:bidi="ar-SA"/>
      </w:rPr>
    </w:lvl>
  </w:abstractNum>
  <w:abstractNum w:abstractNumId="220" w15:restartNumberingAfterBreak="0">
    <w:nsid w:val="3DDA26B2"/>
    <w:multiLevelType w:val="hybridMultilevel"/>
    <w:tmpl w:val="9A2645D2"/>
    <w:lvl w:ilvl="0" w:tplc="F2A8E292">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0A884CA0">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54187168">
      <w:numFmt w:val="bullet"/>
      <w:lvlText w:val="•"/>
      <w:lvlJc w:val="left"/>
      <w:pPr>
        <w:ind w:left="2178" w:hanging="567"/>
      </w:pPr>
      <w:rPr>
        <w:rFonts w:hint="default"/>
        <w:lang w:val="en-US" w:eastAsia="en-US" w:bidi="ar-SA"/>
      </w:rPr>
    </w:lvl>
    <w:lvl w:ilvl="3" w:tplc="0BC60346">
      <w:numFmt w:val="bullet"/>
      <w:lvlText w:val="•"/>
      <w:lvlJc w:val="left"/>
      <w:pPr>
        <w:ind w:left="3076" w:hanging="567"/>
      </w:pPr>
      <w:rPr>
        <w:rFonts w:hint="default"/>
        <w:lang w:val="en-US" w:eastAsia="en-US" w:bidi="ar-SA"/>
      </w:rPr>
    </w:lvl>
    <w:lvl w:ilvl="4" w:tplc="F754FFDE">
      <w:numFmt w:val="bullet"/>
      <w:lvlText w:val="•"/>
      <w:lvlJc w:val="left"/>
      <w:pPr>
        <w:ind w:left="3975" w:hanging="567"/>
      </w:pPr>
      <w:rPr>
        <w:rFonts w:hint="default"/>
        <w:lang w:val="en-US" w:eastAsia="en-US" w:bidi="ar-SA"/>
      </w:rPr>
    </w:lvl>
    <w:lvl w:ilvl="5" w:tplc="9E4AFF72">
      <w:numFmt w:val="bullet"/>
      <w:lvlText w:val="•"/>
      <w:lvlJc w:val="left"/>
      <w:pPr>
        <w:ind w:left="4873" w:hanging="567"/>
      </w:pPr>
      <w:rPr>
        <w:rFonts w:hint="default"/>
        <w:lang w:val="en-US" w:eastAsia="en-US" w:bidi="ar-SA"/>
      </w:rPr>
    </w:lvl>
    <w:lvl w:ilvl="6" w:tplc="424CD9AA">
      <w:numFmt w:val="bullet"/>
      <w:lvlText w:val="•"/>
      <w:lvlJc w:val="left"/>
      <w:pPr>
        <w:ind w:left="5772" w:hanging="567"/>
      </w:pPr>
      <w:rPr>
        <w:rFonts w:hint="default"/>
        <w:lang w:val="en-US" w:eastAsia="en-US" w:bidi="ar-SA"/>
      </w:rPr>
    </w:lvl>
    <w:lvl w:ilvl="7" w:tplc="FEE8A482">
      <w:numFmt w:val="bullet"/>
      <w:lvlText w:val="•"/>
      <w:lvlJc w:val="left"/>
      <w:pPr>
        <w:ind w:left="6670" w:hanging="567"/>
      </w:pPr>
      <w:rPr>
        <w:rFonts w:hint="default"/>
        <w:lang w:val="en-US" w:eastAsia="en-US" w:bidi="ar-SA"/>
      </w:rPr>
    </w:lvl>
    <w:lvl w:ilvl="8" w:tplc="B76AEEF2">
      <w:numFmt w:val="bullet"/>
      <w:lvlText w:val="•"/>
      <w:lvlJc w:val="left"/>
      <w:pPr>
        <w:ind w:left="7569" w:hanging="567"/>
      </w:pPr>
      <w:rPr>
        <w:rFonts w:hint="default"/>
        <w:lang w:val="en-US" w:eastAsia="en-US" w:bidi="ar-SA"/>
      </w:rPr>
    </w:lvl>
  </w:abstractNum>
  <w:abstractNum w:abstractNumId="221" w15:restartNumberingAfterBreak="0">
    <w:nsid w:val="3E044DDF"/>
    <w:multiLevelType w:val="hybridMultilevel"/>
    <w:tmpl w:val="4B184E24"/>
    <w:lvl w:ilvl="0" w:tplc="1EE0DAC4">
      <w:start w:val="1"/>
      <w:numFmt w:val="lowerLetter"/>
      <w:lvlText w:val="(%1)"/>
      <w:lvlJc w:val="left"/>
      <w:pPr>
        <w:ind w:left="706" w:hanging="567"/>
      </w:pPr>
      <w:rPr>
        <w:rFonts w:ascii="Arial" w:eastAsia="Calibri" w:hAnsi="Arial" w:cs="Arial" w:hint="default"/>
        <w:b w:val="0"/>
        <w:spacing w:val="-1"/>
        <w:w w:val="100"/>
        <w:sz w:val="20"/>
        <w:szCs w:val="22"/>
        <w:lang w:val="en-US" w:eastAsia="en-US" w:bidi="ar-SA"/>
      </w:rPr>
    </w:lvl>
    <w:lvl w:ilvl="1" w:tplc="BB649AF6">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85FED0CA">
      <w:numFmt w:val="bullet"/>
      <w:lvlText w:val="•"/>
      <w:lvlJc w:val="left"/>
      <w:pPr>
        <w:ind w:left="2178" w:hanging="567"/>
      </w:pPr>
      <w:rPr>
        <w:rFonts w:hint="default"/>
        <w:lang w:val="en-US" w:eastAsia="en-US" w:bidi="ar-SA"/>
      </w:rPr>
    </w:lvl>
    <w:lvl w:ilvl="3" w:tplc="672A22E4">
      <w:numFmt w:val="bullet"/>
      <w:lvlText w:val="•"/>
      <w:lvlJc w:val="left"/>
      <w:pPr>
        <w:ind w:left="3076" w:hanging="567"/>
      </w:pPr>
      <w:rPr>
        <w:rFonts w:hint="default"/>
        <w:lang w:val="en-US" w:eastAsia="en-US" w:bidi="ar-SA"/>
      </w:rPr>
    </w:lvl>
    <w:lvl w:ilvl="4" w:tplc="04466244">
      <w:numFmt w:val="bullet"/>
      <w:lvlText w:val="•"/>
      <w:lvlJc w:val="left"/>
      <w:pPr>
        <w:ind w:left="3975" w:hanging="567"/>
      </w:pPr>
      <w:rPr>
        <w:rFonts w:hint="default"/>
        <w:lang w:val="en-US" w:eastAsia="en-US" w:bidi="ar-SA"/>
      </w:rPr>
    </w:lvl>
    <w:lvl w:ilvl="5" w:tplc="28E41CF6">
      <w:numFmt w:val="bullet"/>
      <w:lvlText w:val="•"/>
      <w:lvlJc w:val="left"/>
      <w:pPr>
        <w:ind w:left="4873" w:hanging="567"/>
      </w:pPr>
      <w:rPr>
        <w:rFonts w:hint="default"/>
        <w:lang w:val="en-US" w:eastAsia="en-US" w:bidi="ar-SA"/>
      </w:rPr>
    </w:lvl>
    <w:lvl w:ilvl="6" w:tplc="91F4C0B8">
      <w:numFmt w:val="bullet"/>
      <w:lvlText w:val="•"/>
      <w:lvlJc w:val="left"/>
      <w:pPr>
        <w:ind w:left="5772" w:hanging="567"/>
      </w:pPr>
      <w:rPr>
        <w:rFonts w:hint="default"/>
        <w:lang w:val="en-US" w:eastAsia="en-US" w:bidi="ar-SA"/>
      </w:rPr>
    </w:lvl>
    <w:lvl w:ilvl="7" w:tplc="EE689FBE">
      <w:numFmt w:val="bullet"/>
      <w:lvlText w:val="•"/>
      <w:lvlJc w:val="left"/>
      <w:pPr>
        <w:ind w:left="6670" w:hanging="567"/>
      </w:pPr>
      <w:rPr>
        <w:rFonts w:hint="default"/>
        <w:lang w:val="en-US" w:eastAsia="en-US" w:bidi="ar-SA"/>
      </w:rPr>
    </w:lvl>
    <w:lvl w:ilvl="8" w:tplc="D20810CE">
      <w:numFmt w:val="bullet"/>
      <w:lvlText w:val="•"/>
      <w:lvlJc w:val="left"/>
      <w:pPr>
        <w:ind w:left="7569" w:hanging="567"/>
      </w:pPr>
      <w:rPr>
        <w:rFonts w:hint="default"/>
        <w:lang w:val="en-US" w:eastAsia="en-US" w:bidi="ar-SA"/>
      </w:rPr>
    </w:lvl>
  </w:abstractNum>
  <w:abstractNum w:abstractNumId="222" w15:restartNumberingAfterBreak="0">
    <w:nsid w:val="3E3A64CB"/>
    <w:multiLevelType w:val="hybridMultilevel"/>
    <w:tmpl w:val="2D2AF6E2"/>
    <w:lvl w:ilvl="0" w:tplc="81B0DB78">
      <w:start w:val="1"/>
      <w:numFmt w:val="decimal"/>
      <w:lvlText w:val="(%1)"/>
      <w:lvlJc w:val="left"/>
      <w:pPr>
        <w:ind w:left="1273" w:hanging="567"/>
      </w:pPr>
      <w:rPr>
        <w:rFonts w:ascii="Arial" w:eastAsia="Calibri" w:hAnsi="Arial" w:cs="Arial" w:hint="default"/>
        <w:spacing w:val="-1"/>
        <w:w w:val="100"/>
        <w:sz w:val="20"/>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3E602B07"/>
    <w:multiLevelType w:val="hybridMultilevel"/>
    <w:tmpl w:val="D0F02508"/>
    <w:lvl w:ilvl="0" w:tplc="249486B6">
      <w:start w:val="1"/>
      <w:numFmt w:val="lowerRoman"/>
      <w:lvlText w:val="(%1)"/>
      <w:lvlJc w:val="left"/>
      <w:pPr>
        <w:ind w:left="2408" w:hanging="567"/>
      </w:pPr>
      <w:rPr>
        <w:rFonts w:ascii="Arial" w:eastAsia="Calibri" w:hAnsi="Arial" w:cs="Arial" w:hint="default"/>
        <w:spacing w:val="-1"/>
        <w:w w:val="100"/>
        <w:sz w:val="20"/>
        <w:szCs w:val="22"/>
        <w:lang w:val="en-US" w:eastAsia="en-US" w:bidi="ar-SA"/>
      </w:rPr>
    </w:lvl>
    <w:lvl w:ilvl="1" w:tplc="EF563CD2">
      <w:numFmt w:val="bullet"/>
      <w:lvlText w:val="•"/>
      <w:lvlJc w:val="left"/>
      <w:pPr>
        <w:ind w:left="3096" w:hanging="567"/>
      </w:pPr>
      <w:rPr>
        <w:rFonts w:hint="default"/>
        <w:lang w:val="en-US" w:eastAsia="en-US" w:bidi="ar-SA"/>
      </w:rPr>
    </w:lvl>
    <w:lvl w:ilvl="2" w:tplc="B8D66644">
      <w:numFmt w:val="bullet"/>
      <w:lvlText w:val="•"/>
      <w:lvlJc w:val="left"/>
      <w:pPr>
        <w:ind w:left="3793" w:hanging="567"/>
      </w:pPr>
      <w:rPr>
        <w:rFonts w:hint="default"/>
        <w:lang w:val="en-US" w:eastAsia="en-US" w:bidi="ar-SA"/>
      </w:rPr>
    </w:lvl>
    <w:lvl w:ilvl="3" w:tplc="A684BEF4">
      <w:numFmt w:val="bullet"/>
      <w:lvlText w:val="•"/>
      <w:lvlJc w:val="left"/>
      <w:pPr>
        <w:ind w:left="4489" w:hanging="567"/>
      </w:pPr>
      <w:rPr>
        <w:rFonts w:hint="default"/>
        <w:lang w:val="en-US" w:eastAsia="en-US" w:bidi="ar-SA"/>
      </w:rPr>
    </w:lvl>
    <w:lvl w:ilvl="4" w:tplc="07CEE882">
      <w:numFmt w:val="bullet"/>
      <w:lvlText w:val="•"/>
      <w:lvlJc w:val="left"/>
      <w:pPr>
        <w:ind w:left="5186" w:hanging="567"/>
      </w:pPr>
      <w:rPr>
        <w:rFonts w:hint="default"/>
        <w:lang w:val="en-US" w:eastAsia="en-US" w:bidi="ar-SA"/>
      </w:rPr>
    </w:lvl>
    <w:lvl w:ilvl="5" w:tplc="6900A460">
      <w:numFmt w:val="bullet"/>
      <w:lvlText w:val="•"/>
      <w:lvlJc w:val="left"/>
      <w:pPr>
        <w:ind w:left="5883" w:hanging="567"/>
      </w:pPr>
      <w:rPr>
        <w:rFonts w:hint="default"/>
        <w:lang w:val="en-US" w:eastAsia="en-US" w:bidi="ar-SA"/>
      </w:rPr>
    </w:lvl>
    <w:lvl w:ilvl="6" w:tplc="9398D31E">
      <w:numFmt w:val="bullet"/>
      <w:lvlText w:val="•"/>
      <w:lvlJc w:val="left"/>
      <w:pPr>
        <w:ind w:left="6579" w:hanging="567"/>
      </w:pPr>
      <w:rPr>
        <w:rFonts w:hint="default"/>
        <w:lang w:val="en-US" w:eastAsia="en-US" w:bidi="ar-SA"/>
      </w:rPr>
    </w:lvl>
    <w:lvl w:ilvl="7" w:tplc="AC50E7F8">
      <w:numFmt w:val="bullet"/>
      <w:lvlText w:val="•"/>
      <w:lvlJc w:val="left"/>
      <w:pPr>
        <w:ind w:left="7276" w:hanging="567"/>
      </w:pPr>
      <w:rPr>
        <w:rFonts w:hint="default"/>
        <w:lang w:val="en-US" w:eastAsia="en-US" w:bidi="ar-SA"/>
      </w:rPr>
    </w:lvl>
    <w:lvl w:ilvl="8" w:tplc="CFC2FB98">
      <w:numFmt w:val="bullet"/>
      <w:lvlText w:val="•"/>
      <w:lvlJc w:val="left"/>
      <w:pPr>
        <w:ind w:left="7973" w:hanging="567"/>
      </w:pPr>
      <w:rPr>
        <w:rFonts w:hint="default"/>
        <w:lang w:val="en-US" w:eastAsia="en-US" w:bidi="ar-SA"/>
      </w:rPr>
    </w:lvl>
  </w:abstractNum>
  <w:abstractNum w:abstractNumId="224" w15:restartNumberingAfterBreak="0">
    <w:nsid w:val="3EA465CE"/>
    <w:multiLevelType w:val="hybridMultilevel"/>
    <w:tmpl w:val="5F6AFF22"/>
    <w:lvl w:ilvl="0" w:tplc="7DC6AB12">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B94F014">
      <w:numFmt w:val="bullet"/>
      <w:lvlText w:val="•"/>
      <w:lvlJc w:val="left"/>
      <w:pPr>
        <w:ind w:left="1392" w:hanging="567"/>
      </w:pPr>
      <w:rPr>
        <w:lang w:val="en-US" w:eastAsia="en-US" w:bidi="ar-SA"/>
      </w:rPr>
    </w:lvl>
    <w:lvl w:ilvl="2" w:tplc="D488E25C">
      <w:numFmt w:val="bullet"/>
      <w:lvlText w:val="•"/>
      <w:lvlJc w:val="left"/>
      <w:pPr>
        <w:ind w:left="2084" w:hanging="567"/>
      </w:pPr>
      <w:rPr>
        <w:lang w:val="en-US" w:eastAsia="en-US" w:bidi="ar-SA"/>
      </w:rPr>
    </w:lvl>
    <w:lvl w:ilvl="3" w:tplc="62F4A682">
      <w:numFmt w:val="bullet"/>
      <w:lvlText w:val="•"/>
      <w:lvlJc w:val="left"/>
      <w:pPr>
        <w:ind w:left="2776" w:hanging="567"/>
      </w:pPr>
      <w:rPr>
        <w:lang w:val="en-US" w:eastAsia="en-US" w:bidi="ar-SA"/>
      </w:rPr>
    </w:lvl>
    <w:lvl w:ilvl="4" w:tplc="4F0876A8">
      <w:numFmt w:val="bullet"/>
      <w:lvlText w:val="•"/>
      <w:lvlJc w:val="left"/>
      <w:pPr>
        <w:ind w:left="3468" w:hanging="567"/>
      </w:pPr>
      <w:rPr>
        <w:lang w:val="en-US" w:eastAsia="en-US" w:bidi="ar-SA"/>
      </w:rPr>
    </w:lvl>
    <w:lvl w:ilvl="5" w:tplc="95160308">
      <w:numFmt w:val="bullet"/>
      <w:lvlText w:val="•"/>
      <w:lvlJc w:val="left"/>
      <w:pPr>
        <w:ind w:left="4160" w:hanging="567"/>
      </w:pPr>
      <w:rPr>
        <w:lang w:val="en-US" w:eastAsia="en-US" w:bidi="ar-SA"/>
      </w:rPr>
    </w:lvl>
    <w:lvl w:ilvl="6" w:tplc="BC26837E">
      <w:numFmt w:val="bullet"/>
      <w:lvlText w:val="•"/>
      <w:lvlJc w:val="left"/>
      <w:pPr>
        <w:ind w:left="4853" w:hanging="567"/>
      </w:pPr>
      <w:rPr>
        <w:lang w:val="en-US" w:eastAsia="en-US" w:bidi="ar-SA"/>
      </w:rPr>
    </w:lvl>
    <w:lvl w:ilvl="7" w:tplc="E74CF1F4">
      <w:numFmt w:val="bullet"/>
      <w:lvlText w:val="•"/>
      <w:lvlJc w:val="left"/>
      <w:pPr>
        <w:ind w:left="5545" w:hanging="567"/>
      </w:pPr>
      <w:rPr>
        <w:lang w:val="en-US" w:eastAsia="en-US" w:bidi="ar-SA"/>
      </w:rPr>
    </w:lvl>
    <w:lvl w:ilvl="8" w:tplc="B4F46118">
      <w:numFmt w:val="bullet"/>
      <w:lvlText w:val="•"/>
      <w:lvlJc w:val="left"/>
      <w:pPr>
        <w:ind w:left="6237" w:hanging="567"/>
      </w:pPr>
      <w:rPr>
        <w:lang w:val="en-US" w:eastAsia="en-US" w:bidi="ar-SA"/>
      </w:rPr>
    </w:lvl>
  </w:abstractNum>
  <w:abstractNum w:abstractNumId="225" w15:restartNumberingAfterBreak="0">
    <w:nsid w:val="3EB14D6D"/>
    <w:multiLevelType w:val="hybridMultilevel"/>
    <w:tmpl w:val="9F6EEE0E"/>
    <w:lvl w:ilvl="0" w:tplc="2E6648D8">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37786E7E">
      <w:numFmt w:val="bullet"/>
      <w:lvlText w:val="•"/>
      <w:lvlJc w:val="left"/>
      <w:pPr>
        <w:ind w:left="1566" w:hanging="567"/>
      </w:pPr>
      <w:rPr>
        <w:rFonts w:hint="default"/>
        <w:lang w:val="en-US" w:eastAsia="en-US" w:bidi="ar-SA"/>
      </w:rPr>
    </w:lvl>
    <w:lvl w:ilvl="2" w:tplc="40DC9E9C">
      <w:numFmt w:val="bullet"/>
      <w:lvlText w:val="•"/>
      <w:lvlJc w:val="left"/>
      <w:pPr>
        <w:ind w:left="2433" w:hanging="567"/>
      </w:pPr>
      <w:rPr>
        <w:rFonts w:hint="default"/>
        <w:lang w:val="en-US" w:eastAsia="en-US" w:bidi="ar-SA"/>
      </w:rPr>
    </w:lvl>
    <w:lvl w:ilvl="3" w:tplc="3A1A5550">
      <w:numFmt w:val="bullet"/>
      <w:lvlText w:val="•"/>
      <w:lvlJc w:val="left"/>
      <w:pPr>
        <w:ind w:left="3299" w:hanging="567"/>
      </w:pPr>
      <w:rPr>
        <w:rFonts w:hint="default"/>
        <w:lang w:val="en-US" w:eastAsia="en-US" w:bidi="ar-SA"/>
      </w:rPr>
    </w:lvl>
    <w:lvl w:ilvl="4" w:tplc="3CD4E468">
      <w:numFmt w:val="bullet"/>
      <w:lvlText w:val="•"/>
      <w:lvlJc w:val="left"/>
      <w:pPr>
        <w:ind w:left="4166" w:hanging="567"/>
      </w:pPr>
      <w:rPr>
        <w:rFonts w:hint="default"/>
        <w:lang w:val="en-US" w:eastAsia="en-US" w:bidi="ar-SA"/>
      </w:rPr>
    </w:lvl>
    <w:lvl w:ilvl="5" w:tplc="27ECE8BA">
      <w:numFmt w:val="bullet"/>
      <w:lvlText w:val="•"/>
      <w:lvlJc w:val="left"/>
      <w:pPr>
        <w:ind w:left="5033" w:hanging="567"/>
      </w:pPr>
      <w:rPr>
        <w:rFonts w:hint="default"/>
        <w:lang w:val="en-US" w:eastAsia="en-US" w:bidi="ar-SA"/>
      </w:rPr>
    </w:lvl>
    <w:lvl w:ilvl="6" w:tplc="C08E9230">
      <w:numFmt w:val="bullet"/>
      <w:lvlText w:val="•"/>
      <w:lvlJc w:val="left"/>
      <w:pPr>
        <w:ind w:left="5899" w:hanging="567"/>
      </w:pPr>
      <w:rPr>
        <w:rFonts w:hint="default"/>
        <w:lang w:val="en-US" w:eastAsia="en-US" w:bidi="ar-SA"/>
      </w:rPr>
    </w:lvl>
    <w:lvl w:ilvl="7" w:tplc="B7B67740">
      <w:numFmt w:val="bullet"/>
      <w:lvlText w:val="•"/>
      <w:lvlJc w:val="left"/>
      <w:pPr>
        <w:ind w:left="6766" w:hanging="567"/>
      </w:pPr>
      <w:rPr>
        <w:rFonts w:hint="default"/>
        <w:lang w:val="en-US" w:eastAsia="en-US" w:bidi="ar-SA"/>
      </w:rPr>
    </w:lvl>
    <w:lvl w:ilvl="8" w:tplc="2C3C7858">
      <w:numFmt w:val="bullet"/>
      <w:lvlText w:val="•"/>
      <w:lvlJc w:val="left"/>
      <w:pPr>
        <w:ind w:left="7633" w:hanging="567"/>
      </w:pPr>
      <w:rPr>
        <w:rFonts w:hint="default"/>
        <w:lang w:val="en-US" w:eastAsia="en-US" w:bidi="ar-SA"/>
      </w:rPr>
    </w:lvl>
  </w:abstractNum>
  <w:abstractNum w:abstractNumId="226" w15:restartNumberingAfterBreak="0">
    <w:nsid w:val="3EE942CC"/>
    <w:multiLevelType w:val="hybridMultilevel"/>
    <w:tmpl w:val="7C88E322"/>
    <w:lvl w:ilvl="0" w:tplc="49AA523A">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C90A2C12">
      <w:numFmt w:val="bullet"/>
      <w:lvlText w:val="•"/>
      <w:lvlJc w:val="left"/>
      <w:pPr>
        <w:ind w:left="1566" w:hanging="567"/>
      </w:pPr>
      <w:rPr>
        <w:rFonts w:hint="default"/>
        <w:lang w:val="en-US" w:eastAsia="en-US" w:bidi="ar-SA"/>
      </w:rPr>
    </w:lvl>
    <w:lvl w:ilvl="2" w:tplc="0DEC76A8">
      <w:numFmt w:val="bullet"/>
      <w:lvlText w:val="•"/>
      <w:lvlJc w:val="left"/>
      <w:pPr>
        <w:ind w:left="2433" w:hanging="567"/>
      </w:pPr>
      <w:rPr>
        <w:rFonts w:hint="default"/>
        <w:lang w:val="en-US" w:eastAsia="en-US" w:bidi="ar-SA"/>
      </w:rPr>
    </w:lvl>
    <w:lvl w:ilvl="3" w:tplc="68784E14">
      <w:numFmt w:val="bullet"/>
      <w:lvlText w:val="•"/>
      <w:lvlJc w:val="left"/>
      <w:pPr>
        <w:ind w:left="3299" w:hanging="567"/>
      </w:pPr>
      <w:rPr>
        <w:rFonts w:hint="default"/>
        <w:lang w:val="en-US" w:eastAsia="en-US" w:bidi="ar-SA"/>
      </w:rPr>
    </w:lvl>
    <w:lvl w:ilvl="4" w:tplc="DE120D5E">
      <w:numFmt w:val="bullet"/>
      <w:lvlText w:val="•"/>
      <w:lvlJc w:val="left"/>
      <w:pPr>
        <w:ind w:left="4166" w:hanging="567"/>
      </w:pPr>
      <w:rPr>
        <w:rFonts w:hint="default"/>
        <w:lang w:val="en-US" w:eastAsia="en-US" w:bidi="ar-SA"/>
      </w:rPr>
    </w:lvl>
    <w:lvl w:ilvl="5" w:tplc="486CCF1A">
      <w:numFmt w:val="bullet"/>
      <w:lvlText w:val="•"/>
      <w:lvlJc w:val="left"/>
      <w:pPr>
        <w:ind w:left="5033" w:hanging="567"/>
      </w:pPr>
      <w:rPr>
        <w:rFonts w:hint="default"/>
        <w:lang w:val="en-US" w:eastAsia="en-US" w:bidi="ar-SA"/>
      </w:rPr>
    </w:lvl>
    <w:lvl w:ilvl="6" w:tplc="9D3A3FE6">
      <w:numFmt w:val="bullet"/>
      <w:lvlText w:val="•"/>
      <w:lvlJc w:val="left"/>
      <w:pPr>
        <w:ind w:left="5899" w:hanging="567"/>
      </w:pPr>
      <w:rPr>
        <w:rFonts w:hint="default"/>
        <w:lang w:val="en-US" w:eastAsia="en-US" w:bidi="ar-SA"/>
      </w:rPr>
    </w:lvl>
    <w:lvl w:ilvl="7" w:tplc="E2C6643C">
      <w:numFmt w:val="bullet"/>
      <w:lvlText w:val="•"/>
      <w:lvlJc w:val="left"/>
      <w:pPr>
        <w:ind w:left="6766" w:hanging="567"/>
      </w:pPr>
      <w:rPr>
        <w:rFonts w:hint="default"/>
        <w:lang w:val="en-US" w:eastAsia="en-US" w:bidi="ar-SA"/>
      </w:rPr>
    </w:lvl>
    <w:lvl w:ilvl="8" w:tplc="C7B85EE8">
      <w:numFmt w:val="bullet"/>
      <w:lvlText w:val="•"/>
      <w:lvlJc w:val="left"/>
      <w:pPr>
        <w:ind w:left="7633" w:hanging="567"/>
      </w:pPr>
      <w:rPr>
        <w:rFonts w:hint="default"/>
        <w:lang w:val="en-US" w:eastAsia="en-US" w:bidi="ar-SA"/>
      </w:rPr>
    </w:lvl>
  </w:abstractNum>
  <w:abstractNum w:abstractNumId="227" w15:restartNumberingAfterBreak="0">
    <w:nsid w:val="3FA32120"/>
    <w:multiLevelType w:val="hybridMultilevel"/>
    <w:tmpl w:val="2E169156"/>
    <w:lvl w:ilvl="0" w:tplc="90662542">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28C44BAA">
      <w:numFmt w:val="bullet"/>
      <w:lvlText w:val="—"/>
      <w:lvlJc w:val="left"/>
      <w:pPr>
        <w:ind w:left="1275" w:hanging="569"/>
      </w:pPr>
      <w:rPr>
        <w:rFonts w:ascii="Arial" w:eastAsia="Calibri" w:hAnsi="Arial" w:cs="Arial" w:hint="default"/>
        <w:w w:val="100"/>
        <w:sz w:val="20"/>
        <w:szCs w:val="22"/>
        <w:lang w:val="en-US" w:eastAsia="en-US" w:bidi="ar-SA"/>
      </w:rPr>
    </w:lvl>
    <w:lvl w:ilvl="2" w:tplc="3B5A3FF4">
      <w:numFmt w:val="bullet"/>
      <w:lvlText w:val="•"/>
      <w:lvlJc w:val="left"/>
      <w:pPr>
        <w:ind w:left="2178" w:hanging="569"/>
      </w:pPr>
      <w:rPr>
        <w:lang w:val="en-US" w:eastAsia="en-US" w:bidi="ar-SA"/>
      </w:rPr>
    </w:lvl>
    <w:lvl w:ilvl="3" w:tplc="074E7498">
      <w:numFmt w:val="bullet"/>
      <w:lvlText w:val="•"/>
      <w:lvlJc w:val="left"/>
      <w:pPr>
        <w:ind w:left="3076" w:hanging="569"/>
      </w:pPr>
      <w:rPr>
        <w:lang w:val="en-US" w:eastAsia="en-US" w:bidi="ar-SA"/>
      </w:rPr>
    </w:lvl>
    <w:lvl w:ilvl="4" w:tplc="6FB62926">
      <w:numFmt w:val="bullet"/>
      <w:lvlText w:val="•"/>
      <w:lvlJc w:val="left"/>
      <w:pPr>
        <w:ind w:left="3975" w:hanging="569"/>
      </w:pPr>
      <w:rPr>
        <w:lang w:val="en-US" w:eastAsia="en-US" w:bidi="ar-SA"/>
      </w:rPr>
    </w:lvl>
    <w:lvl w:ilvl="5" w:tplc="02D2A90C">
      <w:numFmt w:val="bullet"/>
      <w:lvlText w:val="•"/>
      <w:lvlJc w:val="left"/>
      <w:pPr>
        <w:ind w:left="4873" w:hanging="569"/>
      </w:pPr>
      <w:rPr>
        <w:lang w:val="en-US" w:eastAsia="en-US" w:bidi="ar-SA"/>
      </w:rPr>
    </w:lvl>
    <w:lvl w:ilvl="6" w:tplc="DF7C509C">
      <w:numFmt w:val="bullet"/>
      <w:lvlText w:val="•"/>
      <w:lvlJc w:val="left"/>
      <w:pPr>
        <w:ind w:left="5772" w:hanging="569"/>
      </w:pPr>
      <w:rPr>
        <w:lang w:val="en-US" w:eastAsia="en-US" w:bidi="ar-SA"/>
      </w:rPr>
    </w:lvl>
    <w:lvl w:ilvl="7" w:tplc="CDA6E33C">
      <w:numFmt w:val="bullet"/>
      <w:lvlText w:val="•"/>
      <w:lvlJc w:val="left"/>
      <w:pPr>
        <w:ind w:left="6670" w:hanging="569"/>
      </w:pPr>
      <w:rPr>
        <w:lang w:val="en-US" w:eastAsia="en-US" w:bidi="ar-SA"/>
      </w:rPr>
    </w:lvl>
    <w:lvl w:ilvl="8" w:tplc="182C8DC0">
      <w:numFmt w:val="bullet"/>
      <w:lvlText w:val="•"/>
      <w:lvlJc w:val="left"/>
      <w:pPr>
        <w:ind w:left="7569" w:hanging="569"/>
      </w:pPr>
      <w:rPr>
        <w:lang w:val="en-US" w:eastAsia="en-US" w:bidi="ar-SA"/>
      </w:rPr>
    </w:lvl>
  </w:abstractNum>
  <w:abstractNum w:abstractNumId="228" w15:restartNumberingAfterBreak="0">
    <w:nsid w:val="4018295E"/>
    <w:multiLevelType w:val="hybridMultilevel"/>
    <w:tmpl w:val="17DEDF76"/>
    <w:lvl w:ilvl="0" w:tplc="0038D654">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B03EC5C4">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31564080">
      <w:start w:val="1"/>
      <w:numFmt w:val="lowerRoman"/>
      <w:lvlText w:val="(%3)"/>
      <w:lvlJc w:val="left"/>
      <w:pPr>
        <w:ind w:left="1842" w:hanging="569"/>
      </w:pPr>
      <w:rPr>
        <w:rFonts w:ascii="Arial" w:eastAsia="Calibri" w:hAnsi="Arial" w:cs="Arial" w:hint="default"/>
        <w:spacing w:val="-1"/>
        <w:w w:val="100"/>
        <w:sz w:val="20"/>
        <w:szCs w:val="22"/>
        <w:lang w:val="en-US" w:eastAsia="en-US" w:bidi="ar-SA"/>
      </w:rPr>
    </w:lvl>
    <w:lvl w:ilvl="3" w:tplc="EFC889DC">
      <w:numFmt w:val="bullet"/>
      <w:lvlText w:val="•"/>
      <w:lvlJc w:val="left"/>
      <w:pPr>
        <w:ind w:left="2016" w:hanging="569"/>
      </w:pPr>
      <w:rPr>
        <w:rFonts w:hint="default"/>
        <w:lang w:val="en-US" w:eastAsia="en-US" w:bidi="ar-SA"/>
      </w:rPr>
    </w:lvl>
    <w:lvl w:ilvl="4" w:tplc="28A6B8AC">
      <w:numFmt w:val="bullet"/>
      <w:lvlText w:val="•"/>
      <w:lvlJc w:val="left"/>
      <w:pPr>
        <w:ind w:left="2192" w:hanging="569"/>
      </w:pPr>
      <w:rPr>
        <w:rFonts w:hint="default"/>
        <w:lang w:val="en-US" w:eastAsia="en-US" w:bidi="ar-SA"/>
      </w:rPr>
    </w:lvl>
    <w:lvl w:ilvl="5" w:tplc="113433FA">
      <w:numFmt w:val="bullet"/>
      <w:lvlText w:val="•"/>
      <w:lvlJc w:val="left"/>
      <w:pPr>
        <w:ind w:left="2368" w:hanging="569"/>
      </w:pPr>
      <w:rPr>
        <w:rFonts w:hint="default"/>
        <w:lang w:val="en-US" w:eastAsia="en-US" w:bidi="ar-SA"/>
      </w:rPr>
    </w:lvl>
    <w:lvl w:ilvl="6" w:tplc="459CCC66">
      <w:numFmt w:val="bullet"/>
      <w:lvlText w:val="•"/>
      <w:lvlJc w:val="left"/>
      <w:pPr>
        <w:ind w:left="2544" w:hanging="569"/>
      </w:pPr>
      <w:rPr>
        <w:rFonts w:hint="default"/>
        <w:lang w:val="en-US" w:eastAsia="en-US" w:bidi="ar-SA"/>
      </w:rPr>
    </w:lvl>
    <w:lvl w:ilvl="7" w:tplc="18A00AB2">
      <w:numFmt w:val="bullet"/>
      <w:lvlText w:val="•"/>
      <w:lvlJc w:val="left"/>
      <w:pPr>
        <w:ind w:left="2720" w:hanging="569"/>
      </w:pPr>
      <w:rPr>
        <w:rFonts w:hint="default"/>
        <w:lang w:val="en-US" w:eastAsia="en-US" w:bidi="ar-SA"/>
      </w:rPr>
    </w:lvl>
    <w:lvl w:ilvl="8" w:tplc="B2FE5872">
      <w:numFmt w:val="bullet"/>
      <w:lvlText w:val="•"/>
      <w:lvlJc w:val="left"/>
      <w:pPr>
        <w:ind w:left="2896" w:hanging="569"/>
      </w:pPr>
      <w:rPr>
        <w:rFonts w:hint="default"/>
        <w:lang w:val="en-US" w:eastAsia="en-US" w:bidi="ar-SA"/>
      </w:rPr>
    </w:lvl>
  </w:abstractNum>
  <w:abstractNum w:abstractNumId="229" w15:restartNumberingAfterBreak="0">
    <w:nsid w:val="402F7AE4"/>
    <w:multiLevelType w:val="hybridMultilevel"/>
    <w:tmpl w:val="E63064C2"/>
    <w:lvl w:ilvl="0" w:tplc="BF4A14B4">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28709CCC">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8C96F130">
      <w:numFmt w:val="bullet"/>
      <w:lvlText w:val="•"/>
      <w:lvlJc w:val="left"/>
      <w:pPr>
        <w:ind w:left="2178" w:hanging="567"/>
      </w:pPr>
      <w:rPr>
        <w:rFonts w:hint="default"/>
        <w:lang w:val="en-US" w:eastAsia="en-US" w:bidi="ar-SA"/>
      </w:rPr>
    </w:lvl>
    <w:lvl w:ilvl="3" w:tplc="5E125760">
      <w:numFmt w:val="bullet"/>
      <w:lvlText w:val="•"/>
      <w:lvlJc w:val="left"/>
      <w:pPr>
        <w:ind w:left="3076" w:hanging="567"/>
      </w:pPr>
      <w:rPr>
        <w:rFonts w:hint="default"/>
        <w:lang w:val="en-US" w:eastAsia="en-US" w:bidi="ar-SA"/>
      </w:rPr>
    </w:lvl>
    <w:lvl w:ilvl="4" w:tplc="7F52FB3A">
      <w:numFmt w:val="bullet"/>
      <w:lvlText w:val="•"/>
      <w:lvlJc w:val="left"/>
      <w:pPr>
        <w:ind w:left="3975" w:hanging="567"/>
      </w:pPr>
      <w:rPr>
        <w:rFonts w:hint="default"/>
        <w:lang w:val="en-US" w:eastAsia="en-US" w:bidi="ar-SA"/>
      </w:rPr>
    </w:lvl>
    <w:lvl w:ilvl="5" w:tplc="63066436">
      <w:numFmt w:val="bullet"/>
      <w:lvlText w:val="•"/>
      <w:lvlJc w:val="left"/>
      <w:pPr>
        <w:ind w:left="4873" w:hanging="567"/>
      </w:pPr>
      <w:rPr>
        <w:rFonts w:hint="default"/>
        <w:lang w:val="en-US" w:eastAsia="en-US" w:bidi="ar-SA"/>
      </w:rPr>
    </w:lvl>
    <w:lvl w:ilvl="6" w:tplc="DF3C8E9E">
      <w:numFmt w:val="bullet"/>
      <w:lvlText w:val="•"/>
      <w:lvlJc w:val="left"/>
      <w:pPr>
        <w:ind w:left="5772" w:hanging="567"/>
      </w:pPr>
      <w:rPr>
        <w:rFonts w:hint="default"/>
        <w:lang w:val="en-US" w:eastAsia="en-US" w:bidi="ar-SA"/>
      </w:rPr>
    </w:lvl>
    <w:lvl w:ilvl="7" w:tplc="DB7E01A8">
      <w:numFmt w:val="bullet"/>
      <w:lvlText w:val="•"/>
      <w:lvlJc w:val="left"/>
      <w:pPr>
        <w:ind w:left="6670" w:hanging="567"/>
      </w:pPr>
      <w:rPr>
        <w:rFonts w:hint="default"/>
        <w:lang w:val="en-US" w:eastAsia="en-US" w:bidi="ar-SA"/>
      </w:rPr>
    </w:lvl>
    <w:lvl w:ilvl="8" w:tplc="CC824B70">
      <w:numFmt w:val="bullet"/>
      <w:lvlText w:val="•"/>
      <w:lvlJc w:val="left"/>
      <w:pPr>
        <w:ind w:left="7569" w:hanging="567"/>
      </w:pPr>
      <w:rPr>
        <w:rFonts w:hint="default"/>
        <w:lang w:val="en-US" w:eastAsia="en-US" w:bidi="ar-SA"/>
      </w:rPr>
    </w:lvl>
  </w:abstractNum>
  <w:abstractNum w:abstractNumId="230" w15:restartNumberingAfterBreak="0">
    <w:nsid w:val="404C6640"/>
    <w:multiLevelType w:val="hybridMultilevel"/>
    <w:tmpl w:val="3190BBBC"/>
    <w:lvl w:ilvl="0" w:tplc="C4FEBC5E">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CB421F3C">
      <w:numFmt w:val="bullet"/>
      <w:lvlText w:val="•"/>
      <w:lvlJc w:val="left"/>
      <w:pPr>
        <w:ind w:left="1566" w:hanging="567"/>
      </w:pPr>
      <w:rPr>
        <w:rFonts w:hint="default"/>
        <w:lang w:val="en-US" w:eastAsia="en-US" w:bidi="ar-SA"/>
      </w:rPr>
    </w:lvl>
    <w:lvl w:ilvl="2" w:tplc="840A005E">
      <w:numFmt w:val="bullet"/>
      <w:lvlText w:val="•"/>
      <w:lvlJc w:val="left"/>
      <w:pPr>
        <w:ind w:left="2433" w:hanging="567"/>
      </w:pPr>
      <w:rPr>
        <w:rFonts w:hint="default"/>
        <w:lang w:val="en-US" w:eastAsia="en-US" w:bidi="ar-SA"/>
      </w:rPr>
    </w:lvl>
    <w:lvl w:ilvl="3" w:tplc="6C128B0C">
      <w:numFmt w:val="bullet"/>
      <w:lvlText w:val="•"/>
      <w:lvlJc w:val="left"/>
      <w:pPr>
        <w:ind w:left="3299" w:hanging="567"/>
      </w:pPr>
      <w:rPr>
        <w:rFonts w:hint="default"/>
        <w:lang w:val="en-US" w:eastAsia="en-US" w:bidi="ar-SA"/>
      </w:rPr>
    </w:lvl>
    <w:lvl w:ilvl="4" w:tplc="CABC31A6">
      <w:numFmt w:val="bullet"/>
      <w:lvlText w:val="•"/>
      <w:lvlJc w:val="left"/>
      <w:pPr>
        <w:ind w:left="4166" w:hanging="567"/>
      </w:pPr>
      <w:rPr>
        <w:rFonts w:hint="default"/>
        <w:lang w:val="en-US" w:eastAsia="en-US" w:bidi="ar-SA"/>
      </w:rPr>
    </w:lvl>
    <w:lvl w:ilvl="5" w:tplc="03A4E5FC">
      <w:numFmt w:val="bullet"/>
      <w:lvlText w:val="•"/>
      <w:lvlJc w:val="left"/>
      <w:pPr>
        <w:ind w:left="5033" w:hanging="567"/>
      </w:pPr>
      <w:rPr>
        <w:rFonts w:hint="default"/>
        <w:lang w:val="en-US" w:eastAsia="en-US" w:bidi="ar-SA"/>
      </w:rPr>
    </w:lvl>
    <w:lvl w:ilvl="6" w:tplc="83C6BE9E">
      <w:numFmt w:val="bullet"/>
      <w:lvlText w:val="•"/>
      <w:lvlJc w:val="left"/>
      <w:pPr>
        <w:ind w:left="5899" w:hanging="567"/>
      </w:pPr>
      <w:rPr>
        <w:rFonts w:hint="default"/>
        <w:lang w:val="en-US" w:eastAsia="en-US" w:bidi="ar-SA"/>
      </w:rPr>
    </w:lvl>
    <w:lvl w:ilvl="7" w:tplc="2B547A52">
      <w:numFmt w:val="bullet"/>
      <w:lvlText w:val="•"/>
      <w:lvlJc w:val="left"/>
      <w:pPr>
        <w:ind w:left="6766" w:hanging="567"/>
      </w:pPr>
      <w:rPr>
        <w:rFonts w:hint="default"/>
        <w:lang w:val="en-US" w:eastAsia="en-US" w:bidi="ar-SA"/>
      </w:rPr>
    </w:lvl>
    <w:lvl w:ilvl="8" w:tplc="2BB05CE6">
      <w:numFmt w:val="bullet"/>
      <w:lvlText w:val="•"/>
      <w:lvlJc w:val="left"/>
      <w:pPr>
        <w:ind w:left="7633" w:hanging="567"/>
      </w:pPr>
      <w:rPr>
        <w:rFonts w:hint="default"/>
        <w:lang w:val="en-US" w:eastAsia="en-US" w:bidi="ar-SA"/>
      </w:rPr>
    </w:lvl>
  </w:abstractNum>
  <w:abstractNum w:abstractNumId="231" w15:restartNumberingAfterBreak="0">
    <w:nsid w:val="40DC6FE7"/>
    <w:multiLevelType w:val="hybridMultilevel"/>
    <w:tmpl w:val="2D2AF6E2"/>
    <w:lvl w:ilvl="0" w:tplc="81B0DB78">
      <w:start w:val="1"/>
      <w:numFmt w:val="decimal"/>
      <w:lvlText w:val="(%1)"/>
      <w:lvlJc w:val="left"/>
      <w:pPr>
        <w:ind w:left="1273" w:hanging="567"/>
      </w:pPr>
      <w:rPr>
        <w:rFonts w:ascii="Arial" w:eastAsia="Calibri" w:hAnsi="Arial" w:cs="Arial" w:hint="default"/>
        <w:spacing w:val="-1"/>
        <w:w w:val="100"/>
        <w:sz w:val="20"/>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15:restartNumberingAfterBreak="0">
    <w:nsid w:val="40EF56D3"/>
    <w:multiLevelType w:val="hybridMultilevel"/>
    <w:tmpl w:val="20B05520"/>
    <w:lvl w:ilvl="0" w:tplc="FEEA2608">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D61ED294">
      <w:numFmt w:val="bullet"/>
      <w:lvlText w:val="•"/>
      <w:lvlJc w:val="left"/>
      <w:pPr>
        <w:ind w:left="1566" w:hanging="567"/>
      </w:pPr>
      <w:rPr>
        <w:rFonts w:hint="default"/>
        <w:lang w:val="en-US" w:eastAsia="en-US" w:bidi="ar-SA"/>
      </w:rPr>
    </w:lvl>
    <w:lvl w:ilvl="2" w:tplc="05A608F0">
      <w:numFmt w:val="bullet"/>
      <w:lvlText w:val="•"/>
      <w:lvlJc w:val="left"/>
      <w:pPr>
        <w:ind w:left="2433" w:hanging="567"/>
      </w:pPr>
      <w:rPr>
        <w:rFonts w:hint="default"/>
        <w:lang w:val="en-US" w:eastAsia="en-US" w:bidi="ar-SA"/>
      </w:rPr>
    </w:lvl>
    <w:lvl w:ilvl="3" w:tplc="1B0E4EFE">
      <w:numFmt w:val="bullet"/>
      <w:lvlText w:val="•"/>
      <w:lvlJc w:val="left"/>
      <w:pPr>
        <w:ind w:left="3299" w:hanging="567"/>
      </w:pPr>
      <w:rPr>
        <w:rFonts w:hint="default"/>
        <w:lang w:val="en-US" w:eastAsia="en-US" w:bidi="ar-SA"/>
      </w:rPr>
    </w:lvl>
    <w:lvl w:ilvl="4" w:tplc="EE782382">
      <w:numFmt w:val="bullet"/>
      <w:lvlText w:val="•"/>
      <w:lvlJc w:val="left"/>
      <w:pPr>
        <w:ind w:left="4166" w:hanging="567"/>
      </w:pPr>
      <w:rPr>
        <w:rFonts w:hint="default"/>
        <w:lang w:val="en-US" w:eastAsia="en-US" w:bidi="ar-SA"/>
      </w:rPr>
    </w:lvl>
    <w:lvl w:ilvl="5" w:tplc="BF1C403A">
      <w:numFmt w:val="bullet"/>
      <w:lvlText w:val="•"/>
      <w:lvlJc w:val="left"/>
      <w:pPr>
        <w:ind w:left="5033" w:hanging="567"/>
      </w:pPr>
      <w:rPr>
        <w:rFonts w:hint="default"/>
        <w:lang w:val="en-US" w:eastAsia="en-US" w:bidi="ar-SA"/>
      </w:rPr>
    </w:lvl>
    <w:lvl w:ilvl="6" w:tplc="4402920E">
      <w:numFmt w:val="bullet"/>
      <w:lvlText w:val="•"/>
      <w:lvlJc w:val="left"/>
      <w:pPr>
        <w:ind w:left="5899" w:hanging="567"/>
      </w:pPr>
      <w:rPr>
        <w:rFonts w:hint="default"/>
        <w:lang w:val="en-US" w:eastAsia="en-US" w:bidi="ar-SA"/>
      </w:rPr>
    </w:lvl>
    <w:lvl w:ilvl="7" w:tplc="C580371C">
      <w:numFmt w:val="bullet"/>
      <w:lvlText w:val="•"/>
      <w:lvlJc w:val="left"/>
      <w:pPr>
        <w:ind w:left="6766" w:hanging="567"/>
      </w:pPr>
      <w:rPr>
        <w:rFonts w:hint="default"/>
        <w:lang w:val="en-US" w:eastAsia="en-US" w:bidi="ar-SA"/>
      </w:rPr>
    </w:lvl>
    <w:lvl w:ilvl="8" w:tplc="BE92670A">
      <w:numFmt w:val="bullet"/>
      <w:lvlText w:val="•"/>
      <w:lvlJc w:val="left"/>
      <w:pPr>
        <w:ind w:left="7633" w:hanging="567"/>
      </w:pPr>
      <w:rPr>
        <w:rFonts w:hint="default"/>
        <w:lang w:val="en-US" w:eastAsia="en-US" w:bidi="ar-SA"/>
      </w:rPr>
    </w:lvl>
  </w:abstractNum>
  <w:abstractNum w:abstractNumId="233" w15:restartNumberingAfterBreak="0">
    <w:nsid w:val="410B041F"/>
    <w:multiLevelType w:val="hybridMultilevel"/>
    <w:tmpl w:val="B57263A2"/>
    <w:lvl w:ilvl="0" w:tplc="CBE47150">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F350DFA0">
      <w:numFmt w:val="bullet"/>
      <w:lvlText w:val="•"/>
      <w:lvlJc w:val="left"/>
      <w:pPr>
        <w:ind w:left="1566" w:hanging="567"/>
      </w:pPr>
      <w:rPr>
        <w:rFonts w:hint="default"/>
        <w:lang w:val="en-US" w:eastAsia="en-US" w:bidi="ar-SA"/>
      </w:rPr>
    </w:lvl>
    <w:lvl w:ilvl="2" w:tplc="8B7E0A08">
      <w:numFmt w:val="bullet"/>
      <w:lvlText w:val="•"/>
      <w:lvlJc w:val="left"/>
      <w:pPr>
        <w:ind w:left="2433" w:hanging="567"/>
      </w:pPr>
      <w:rPr>
        <w:rFonts w:hint="default"/>
        <w:lang w:val="en-US" w:eastAsia="en-US" w:bidi="ar-SA"/>
      </w:rPr>
    </w:lvl>
    <w:lvl w:ilvl="3" w:tplc="1C766176">
      <w:numFmt w:val="bullet"/>
      <w:lvlText w:val="•"/>
      <w:lvlJc w:val="left"/>
      <w:pPr>
        <w:ind w:left="3299" w:hanging="567"/>
      </w:pPr>
      <w:rPr>
        <w:rFonts w:hint="default"/>
        <w:lang w:val="en-US" w:eastAsia="en-US" w:bidi="ar-SA"/>
      </w:rPr>
    </w:lvl>
    <w:lvl w:ilvl="4" w:tplc="4C70BF6E">
      <w:numFmt w:val="bullet"/>
      <w:lvlText w:val="•"/>
      <w:lvlJc w:val="left"/>
      <w:pPr>
        <w:ind w:left="4166" w:hanging="567"/>
      </w:pPr>
      <w:rPr>
        <w:rFonts w:hint="default"/>
        <w:lang w:val="en-US" w:eastAsia="en-US" w:bidi="ar-SA"/>
      </w:rPr>
    </w:lvl>
    <w:lvl w:ilvl="5" w:tplc="93DE48B8">
      <w:numFmt w:val="bullet"/>
      <w:lvlText w:val="•"/>
      <w:lvlJc w:val="left"/>
      <w:pPr>
        <w:ind w:left="5033" w:hanging="567"/>
      </w:pPr>
      <w:rPr>
        <w:rFonts w:hint="default"/>
        <w:lang w:val="en-US" w:eastAsia="en-US" w:bidi="ar-SA"/>
      </w:rPr>
    </w:lvl>
    <w:lvl w:ilvl="6" w:tplc="2DAA4C44">
      <w:numFmt w:val="bullet"/>
      <w:lvlText w:val="•"/>
      <w:lvlJc w:val="left"/>
      <w:pPr>
        <w:ind w:left="5899" w:hanging="567"/>
      </w:pPr>
      <w:rPr>
        <w:rFonts w:hint="default"/>
        <w:lang w:val="en-US" w:eastAsia="en-US" w:bidi="ar-SA"/>
      </w:rPr>
    </w:lvl>
    <w:lvl w:ilvl="7" w:tplc="2BEA2384">
      <w:numFmt w:val="bullet"/>
      <w:lvlText w:val="•"/>
      <w:lvlJc w:val="left"/>
      <w:pPr>
        <w:ind w:left="6766" w:hanging="567"/>
      </w:pPr>
      <w:rPr>
        <w:rFonts w:hint="default"/>
        <w:lang w:val="en-US" w:eastAsia="en-US" w:bidi="ar-SA"/>
      </w:rPr>
    </w:lvl>
    <w:lvl w:ilvl="8" w:tplc="E8607198">
      <w:numFmt w:val="bullet"/>
      <w:lvlText w:val="•"/>
      <w:lvlJc w:val="left"/>
      <w:pPr>
        <w:ind w:left="7633" w:hanging="567"/>
      </w:pPr>
      <w:rPr>
        <w:rFonts w:hint="default"/>
        <w:lang w:val="en-US" w:eastAsia="en-US" w:bidi="ar-SA"/>
      </w:rPr>
    </w:lvl>
  </w:abstractNum>
  <w:abstractNum w:abstractNumId="234" w15:restartNumberingAfterBreak="0">
    <w:nsid w:val="4210240A"/>
    <w:multiLevelType w:val="hybridMultilevel"/>
    <w:tmpl w:val="994ED568"/>
    <w:lvl w:ilvl="0" w:tplc="A02C2DEE">
      <w:start w:val="1"/>
      <w:numFmt w:val="lowerRoman"/>
      <w:lvlText w:val="(%1)"/>
      <w:lvlJc w:val="left"/>
      <w:pPr>
        <w:ind w:left="2408" w:hanging="567"/>
      </w:pPr>
      <w:rPr>
        <w:rFonts w:ascii="Calibri" w:eastAsia="Calibri" w:hAnsi="Calibri" w:cs="Calibri" w:hint="default"/>
        <w:spacing w:val="-1"/>
        <w:w w:val="100"/>
        <w:sz w:val="22"/>
        <w:szCs w:val="22"/>
        <w:lang w:val="en-US" w:eastAsia="en-US" w:bidi="ar-SA"/>
      </w:rPr>
    </w:lvl>
    <w:lvl w:ilvl="1" w:tplc="92D69690">
      <w:numFmt w:val="bullet"/>
      <w:lvlText w:val="•"/>
      <w:lvlJc w:val="left"/>
      <w:pPr>
        <w:ind w:left="3096" w:hanging="567"/>
      </w:pPr>
      <w:rPr>
        <w:rFonts w:hint="default"/>
        <w:lang w:val="en-US" w:eastAsia="en-US" w:bidi="ar-SA"/>
      </w:rPr>
    </w:lvl>
    <w:lvl w:ilvl="2" w:tplc="B164E0F8">
      <w:numFmt w:val="bullet"/>
      <w:lvlText w:val="•"/>
      <w:lvlJc w:val="left"/>
      <w:pPr>
        <w:ind w:left="3793" w:hanging="567"/>
      </w:pPr>
      <w:rPr>
        <w:rFonts w:hint="default"/>
        <w:lang w:val="en-US" w:eastAsia="en-US" w:bidi="ar-SA"/>
      </w:rPr>
    </w:lvl>
    <w:lvl w:ilvl="3" w:tplc="1DC0D7D4">
      <w:numFmt w:val="bullet"/>
      <w:lvlText w:val="•"/>
      <w:lvlJc w:val="left"/>
      <w:pPr>
        <w:ind w:left="4489" w:hanging="567"/>
      </w:pPr>
      <w:rPr>
        <w:rFonts w:hint="default"/>
        <w:lang w:val="en-US" w:eastAsia="en-US" w:bidi="ar-SA"/>
      </w:rPr>
    </w:lvl>
    <w:lvl w:ilvl="4" w:tplc="98BAA43C">
      <w:numFmt w:val="bullet"/>
      <w:lvlText w:val="•"/>
      <w:lvlJc w:val="left"/>
      <w:pPr>
        <w:ind w:left="5186" w:hanging="567"/>
      </w:pPr>
      <w:rPr>
        <w:rFonts w:hint="default"/>
        <w:lang w:val="en-US" w:eastAsia="en-US" w:bidi="ar-SA"/>
      </w:rPr>
    </w:lvl>
    <w:lvl w:ilvl="5" w:tplc="2F88BDF2">
      <w:numFmt w:val="bullet"/>
      <w:lvlText w:val="•"/>
      <w:lvlJc w:val="left"/>
      <w:pPr>
        <w:ind w:left="5883" w:hanging="567"/>
      </w:pPr>
      <w:rPr>
        <w:rFonts w:hint="default"/>
        <w:lang w:val="en-US" w:eastAsia="en-US" w:bidi="ar-SA"/>
      </w:rPr>
    </w:lvl>
    <w:lvl w:ilvl="6" w:tplc="93FCD72E">
      <w:numFmt w:val="bullet"/>
      <w:lvlText w:val="•"/>
      <w:lvlJc w:val="left"/>
      <w:pPr>
        <w:ind w:left="6579" w:hanging="567"/>
      </w:pPr>
      <w:rPr>
        <w:rFonts w:hint="default"/>
        <w:lang w:val="en-US" w:eastAsia="en-US" w:bidi="ar-SA"/>
      </w:rPr>
    </w:lvl>
    <w:lvl w:ilvl="7" w:tplc="A372C362">
      <w:numFmt w:val="bullet"/>
      <w:lvlText w:val="•"/>
      <w:lvlJc w:val="left"/>
      <w:pPr>
        <w:ind w:left="7276" w:hanging="567"/>
      </w:pPr>
      <w:rPr>
        <w:rFonts w:hint="default"/>
        <w:lang w:val="en-US" w:eastAsia="en-US" w:bidi="ar-SA"/>
      </w:rPr>
    </w:lvl>
    <w:lvl w:ilvl="8" w:tplc="271A5C0C">
      <w:numFmt w:val="bullet"/>
      <w:lvlText w:val="•"/>
      <w:lvlJc w:val="left"/>
      <w:pPr>
        <w:ind w:left="7973" w:hanging="567"/>
      </w:pPr>
      <w:rPr>
        <w:rFonts w:hint="default"/>
        <w:lang w:val="en-US" w:eastAsia="en-US" w:bidi="ar-SA"/>
      </w:rPr>
    </w:lvl>
  </w:abstractNum>
  <w:abstractNum w:abstractNumId="235" w15:restartNumberingAfterBreak="0">
    <w:nsid w:val="421A1BEF"/>
    <w:multiLevelType w:val="hybridMultilevel"/>
    <w:tmpl w:val="BBF641B8"/>
    <w:lvl w:ilvl="0" w:tplc="CD80582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ADC655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1B2266EE">
      <w:numFmt w:val="bullet"/>
      <w:lvlText w:val="•"/>
      <w:lvlJc w:val="left"/>
      <w:pPr>
        <w:ind w:left="2178" w:hanging="567"/>
      </w:pPr>
      <w:rPr>
        <w:lang w:val="en-US" w:eastAsia="en-US" w:bidi="ar-SA"/>
      </w:rPr>
    </w:lvl>
    <w:lvl w:ilvl="3" w:tplc="45BE0660">
      <w:numFmt w:val="bullet"/>
      <w:lvlText w:val="•"/>
      <w:lvlJc w:val="left"/>
      <w:pPr>
        <w:ind w:left="3076" w:hanging="567"/>
      </w:pPr>
      <w:rPr>
        <w:lang w:val="en-US" w:eastAsia="en-US" w:bidi="ar-SA"/>
      </w:rPr>
    </w:lvl>
    <w:lvl w:ilvl="4" w:tplc="EF4E30C8">
      <w:numFmt w:val="bullet"/>
      <w:lvlText w:val="•"/>
      <w:lvlJc w:val="left"/>
      <w:pPr>
        <w:ind w:left="3975" w:hanging="567"/>
      </w:pPr>
      <w:rPr>
        <w:lang w:val="en-US" w:eastAsia="en-US" w:bidi="ar-SA"/>
      </w:rPr>
    </w:lvl>
    <w:lvl w:ilvl="5" w:tplc="E8CECEAA">
      <w:numFmt w:val="bullet"/>
      <w:lvlText w:val="•"/>
      <w:lvlJc w:val="left"/>
      <w:pPr>
        <w:ind w:left="4873" w:hanging="567"/>
      </w:pPr>
      <w:rPr>
        <w:lang w:val="en-US" w:eastAsia="en-US" w:bidi="ar-SA"/>
      </w:rPr>
    </w:lvl>
    <w:lvl w:ilvl="6" w:tplc="D8024D6C">
      <w:numFmt w:val="bullet"/>
      <w:lvlText w:val="•"/>
      <w:lvlJc w:val="left"/>
      <w:pPr>
        <w:ind w:left="5772" w:hanging="567"/>
      </w:pPr>
      <w:rPr>
        <w:lang w:val="en-US" w:eastAsia="en-US" w:bidi="ar-SA"/>
      </w:rPr>
    </w:lvl>
    <w:lvl w:ilvl="7" w:tplc="7E1A1F06">
      <w:numFmt w:val="bullet"/>
      <w:lvlText w:val="•"/>
      <w:lvlJc w:val="left"/>
      <w:pPr>
        <w:ind w:left="6670" w:hanging="567"/>
      </w:pPr>
      <w:rPr>
        <w:lang w:val="en-US" w:eastAsia="en-US" w:bidi="ar-SA"/>
      </w:rPr>
    </w:lvl>
    <w:lvl w:ilvl="8" w:tplc="78D2843C">
      <w:numFmt w:val="bullet"/>
      <w:lvlText w:val="•"/>
      <w:lvlJc w:val="left"/>
      <w:pPr>
        <w:ind w:left="7569" w:hanging="567"/>
      </w:pPr>
      <w:rPr>
        <w:lang w:val="en-US" w:eastAsia="en-US" w:bidi="ar-SA"/>
      </w:rPr>
    </w:lvl>
  </w:abstractNum>
  <w:abstractNum w:abstractNumId="236" w15:restartNumberingAfterBreak="0">
    <w:nsid w:val="42A4430E"/>
    <w:multiLevelType w:val="hybridMultilevel"/>
    <w:tmpl w:val="26D660B6"/>
    <w:lvl w:ilvl="0" w:tplc="B4E2C73A">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E514F252">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FF0067C0">
      <w:numFmt w:val="bullet"/>
      <w:lvlText w:val="•"/>
      <w:lvlJc w:val="left"/>
      <w:pPr>
        <w:ind w:left="2178" w:hanging="567"/>
      </w:pPr>
      <w:rPr>
        <w:rFonts w:hint="default"/>
        <w:lang w:val="en-US" w:eastAsia="en-US" w:bidi="ar-SA"/>
      </w:rPr>
    </w:lvl>
    <w:lvl w:ilvl="3" w:tplc="AD04223E">
      <w:numFmt w:val="bullet"/>
      <w:lvlText w:val="•"/>
      <w:lvlJc w:val="left"/>
      <w:pPr>
        <w:ind w:left="3076" w:hanging="567"/>
      </w:pPr>
      <w:rPr>
        <w:rFonts w:hint="default"/>
        <w:lang w:val="en-US" w:eastAsia="en-US" w:bidi="ar-SA"/>
      </w:rPr>
    </w:lvl>
    <w:lvl w:ilvl="4" w:tplc="11347392">
      <w:numFmt w:val="bullet"/>
      <w:lvlText w:val="•"/>
      <w:lvlJc w:val="left"/>
      <w:pPr>
        <w:ind w:left="3975" w:hanging="567"/>
      </w:pPr>
      <w:rPr>
        <w:rFonts w:hint="default"/>
        <w:lang w:val="en-US" w:eastAsia="en-US" w:bidi="ar-SA"/>
      </w:rPr>
    </w:lvl>
    <w:lvl w:ilvl="5" w:tplc="2A6CD21A">
      <w:numFmt w:val="bullet"/>
      <w:lvlText w:val="•"/>
      <w:lvlJc w:val="left"/>
      <w:pPr>
        <w:ind w:left="4873" w:hanging="567"/>
      </w:pPr>
      <w:rPr>
        <w:rFonts w:hint="default"/>
        <w:lang w:val="en-US" w:eastAsia="en-US" w:bidi="ar-SA"/>
      </w:rPr>
    </w:lvl>
    <w:lvl w:ilvl="6" w:tplc="DB1C4398">
      <w:numFmt w:val="bullet"/>
      <w:lvlText w:val="•"/>
      <w:lvlJc w:val="left"/>
      <w:pPr>
        <w:ind w:left="5772" w:hanging="567"/>
      </w:pPr>
      <w:rPr>
        <w:rFonts w:hint="default"/>
        <w:lang w:val="en-US" w:eastAsia="en-US" w:bidi="ar-SA"/>
      </w:rPr>
    </w:lvl>
    <w:lvl w:ilvl="7" w:tplc="70968EE8">
      <w:numFmt w:val="bullet"/>
      <w:lvlText w:val="•"/>
      <w:lvlJc w:val="left"/>
      <w:pPr>
        <w:ind w:left="6670" w:hanging="567"/>
      </w:pPr>
      <w:rPr>
        <w:rFonts w:hint="default"/>
        <w:lang w:val="en-US" w:eastAsia="en-US" w:bidi="ar-SA"/>
      </w:rPr>
    </w:lvl>
    <w:lvl w:ilvl="8" w:tplc="D6F4CDA0">
      <w:numFmt w:val="bullet"/>
      <w:lvlText w:val="•"/>
      <w:lvlJc w:val="left"/>
      <w:pPr>
        <w:ind w:left="7569" w:hanging="567"/>
      </w:pPr>
      <w:rPr>
        <w:rFonts w:hint="default"/>
        <w:lang w:val="en-US" w:eastAsia="en-US" w:bidi="ar-SA"/>
      </w:rPr>
    </w:lvl>
  </w:abstractNum>
  <w:abstractNum w:abstractNumId="237" w15:restartNumberingAfterBreak="0">
    <w:nsid w:val="430B46C3"/>
    <w:multiLevelType w:val="hybridMultilevel"/>
    <w:tmpl w:val="42A63F20"/>
    <w:lvl w:ilvl="0" w:tplc="2A94BFE8">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E9203046">
      <w:numFmt w:val="bullet"/>
      <w:lvlText w:val="•"/>
      <w:lvlJc w:val="left"/>
      <w:pPr>
        <w:ind w:left="1566" w:hanging="567"/>
      </w:pPr>
      <w:rPr>
        <w:rFonts w:hint="default"/>
        <w:lang w:val="en-US" w:eastAsia="en-US" w:bidi="ar-SA"/>
      </w:rPr>
    </w:lvl>
    <w:lvl w:ilvl="2" w:tplc="7226760A">
      <w:numFmt w:val="bullet"/>
      <w:lvlText w:val="•"/>
      <w:lvlJc w:val="left"/>
      <w:pPr>
        <w:ind w:left="2433" w:hanging="567"/>
      </w:pPr>
      <w:rPr>
        <w:rFonts w:hint="default"/>
        <w:lang w:val="en-US" w:eastAsia="en-US" w:bidi="ar-SA"/>
      </w:rPr>
    </w:lvl>
    <w:lvl w:ilvl="3" w:tplc="E8D02412">
      <w:numFmt w:val="bullet"/>
      <w:lvlText w:val="•"/>
      <w:lvlJc w:val="left"/>
      <w:pPr>
        <w:ind w:left="3299" w:hanging="567"/>
      </w:pPr>
      <w:rPr>
        <w:rFonts w:hint="default"/>
        <w:lang w:val="en-US" w:eastAsia="en-US" w:bidi="ar-SA"/>
      </w:rPr>
    </w:lvl>
    <w:lvl w:ilvl="4" w:tplc="248EA0AC">
      <w:numFmt w:val="bullet"/>
      <w:lvlText w:val="•"/>
      <w:lvlJc w:val="left"/>
      <w:pPr>
        <w:ind w:left="4166" w:hanging="567"/>
      </w:pPr>
      <w:rPr>
        <w:rFonts w:hint="default"/>
        <w:lang w:val="en-US" w:eastAsia="en-US" w:bidi="ar-SA"/>
      </w:rPr>
    </w:lvl>
    <w:lvl w:ilvl="5" w:tplc="4FA6201A">
      <w:numFmt w:val="bullet"/>
      <w:lvlText w:val="•"/>
      <w:lvlJc w:val="left"/>
      <w:pPr>
        <w:ind w:left="5033" w:hanging="567"/>
      </w:pPr>
      <w:rPr>
        <w:rFonts w:hint="default"/>
        <w:lang w:val="en-US" w:eastAsia="en-US" w:bidi="ar-SA"/>
      </w:rPr>
    </w:lvl>
    <w:lvl w:ilvl="6" w:tplc="F976DE4C">
      <w:numFmt w:val="bullet"/>
      <w:lvlText w:val="•"/>
      <w:lvlJc w:val="left"/>
      <w:pPr>
        <w:ind w:left="5899" w:hanging="567"/>
      </w:pPr>
      <w:rPr>
        <w:rFonts w:hint="default"/>
        <w:lang w:val="en-US" w:eastAsia="en-US" w:bidi="ar-SA"/>
      </w:rPr>
    </w:lvl>
    <w:lvl w:ilvl="7" w:tplc="95DE0682">
      <w:numFmt w:val="bullet"/>
      <w:lvlText w:val="•"/>
      <w:lvlJc w:val="left"/>
      <w:pPr>
        <w:ind w:left="6766" w:hanging="567"/>
      </w:pPr>
      <w:rPr>
        <w:rFonts w:hint="default"/>
        <w:lang w:val="en-US" w:eastAsia="en-US" w:bidi="ar-SA"/>
      </w:rPr>
    </w:lvl>
    <w:lvl w:ilvl="8" w:tplc="00B8D35A">
      <w:numFmt w:val="bullet"/>
      <w:lvlText w:val="•"/>
      <w:lvlJc w:val="left"/>
      <w:pPr>
        <w:ind w:left="7633" w:hanging="567"/>
      </w:pPr>
      <w:rPr>
        <w:rFonts w:hint="default"/>
        <w:lang w:val="en-US" w:eastAsia="en-US" w:bidi="ar-SA"/>
      </w:rPr>
    </w:lvl>
  </w:abstractNum>
  <w:abstractNum w:abstractNumId="238" w15:restartNumberingAfterBreak="0">
    <w:nsid w:val="432B1931"/>
    <w:multiLevelType w:val="hybridMultilevel"/>
    <w:tmpl w:val="5E4AC95C"/>
    <w:lvl w:ilvl="0" w:tplc="41C82C14">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57549DFA">
      <w:numFmt w:val="bullet"/>
      <w:lvlText w:val="•"/>
      <w:lvlJc w:val="left"/>
      <w:pPr>
        <w:ind w:left="1566" w:hanging="567"/>
      </w:pPr>
      <w:rPr>
        <w:rFonts w:hint="default"/>
        <w:lang w:val="en-US" w:eastAsia="en-US" w:bidi="ar-SA"/>
      </w:rPr>
    </w:lvl>
    <w:lvl w:ilvl="2" w:tplc="02FA9918">
      <w:numFmt w:val="bullet"/>
      <w:lvlText w:val="•"/>
      <w:lvlJc w:val="left"/>
      <w:pPr>
        <w:ind w:left="2433" w:hanging="567"/>
      </w:pPr>
      <w:rPr>
        <w:rFonts w:hint="default"/>
        <w:lang w:val="en-US" w:eastAsia="en-US" w:bidi="ar-SA"/>
      </w:rPr>
    </w:lvl>
    <w:lvl w:ilvl="3" w:tplc="A65C88E8">
      <w:numFmt w:val="bullet"/>
      <w:lvlText w:val="•"/>
      <w:lvlJc w:val="left"/>
      <w:pPr>
        <w:ind w:left="3299" w:hanging="567"/>
      </w:pPr>
      <w:rPr>
        <w:rFonts w:hint="default"/>
        <w:lang w:val="en-US" w:eastAsia="en-US" w:bidi="ar-SA"/>
      </w:rPr>
    </w:lvl>
    <w:lvl w:ilvl="4" w:tplc="93D6EEE4">
      <w:numFmt w:val="bullet"/>
      <w:lvlText w:val="•"/>
      <w:lvlJc w:val="left"/>
      <w:pPr>
        <w:ind w:left="4166" w:hanging="567"/>
      </w:pPr>
      <w:rPr>
        <w:rFonts w:hint="default"/>
        <w:lang w:val="en-US" w:eastAsia="en-US" w:bidi="ar-SA"/>
      </w:rPr>
    </w:lvl>
    <w:lvl w:ilvl="5" w:tplc="4028BA86">
      <w:numFmt w:val="bullet"/>
      <w:lvlText w:val="•"/>
      <w:lvlJc w:val="left"/>
      <w:pPr>
        <w:ind w:left="5033" w:hanging="567"/>
      </w:pPr>
      <w:rPr>
        <w:rFonts w:hint="default"/>
        <w:lang w:val="en-US" w:eastAsia="en-US" w:bidi="ar-SA"/>
      </w:rPr>
    </w:lvl>
    <w:lvl w:ilvl="6" w:tplc="31EEF5EC">
      <w:numFmt w:val="bullet"/>
      <w:lvlText w:val="•"/>
      <w:lvlJc w:val="left"/>
      <w:pPr>
        <w:ind w:left="5899" w:hanging="567"/>
      </w:pPr>
      <w:rPr>
        <w:rFonts w:hint="default"/>
        <w:lang w:val="en-US" w:eastAsia="en-US" w:bidi="ar-SA"/>
      </w:rPr>
    </w:lvl>
    <w:lvl w:ilvl="7" w:tplc="E08E500E">
      <w:numFmt w:val="bullet"/>
      <w:lvlText w:val="•"/>
      <w:lvlJc w:val="left"/>
      <w:pPr>
        <w:ind w:left="6766" w:hanging="567"/>
      </w:pPr>
      <w:rPr>
        <w:rFonts w:hint="default"/>
        <w:lang w:val="en-US" w:eastAsia="en-US" w:bidi="ar-SA"/>
      </w:rPr>
    </w:lvl>
    <w:lvl w:ilvl="8" w:tplc="B126A224">
      <w:numFmt w:val="bullet"/>
      <w:lvlText w:val="•"/>
      <w:lvlJc w:val="left"/>
      <w:pPr>
        <w:ind w:left="7633" w:hanging="567"/>
      </w:pPr>
      <w:rPr>
        <w:rFonts w:hint="default"/>
        <w:lang w:val="en-US" w:eastAsia="en-US" w:bidi="ar-SA"/>
      </w:rPr>
    </w:lvl>
  </w:abstractNum>
  <w:abstractNum w:abstractNumId="239" w15:restartNumberingAfterBreak="0">
    <w:nsid w:val="435F540B"/>
    <w:multiLevelType w:val="hybridMultilevel"/>
    <w:tmpl w:val="ACC8E51C"/>
    <w:lvl w:ilvl="0" w:tplc="FDD6C1F4">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19AC3CE0">
      <w:numFmt w:val="bullet"/>
      <w:lvlText w:val="•"/>
      <w:lvlJc w:val="left"/>
      <w:pPr>
        <w:ind w:left="1566" w:hanging="567"/>
      </w:pPr>
      <w:rPr>
        <w:rFonts w:hint="default"/>
        <w:lang w:val="en-US" w:eastAsia="en-US" w:bidi="ar-SA"/>
      </w:rPr>
    </w:lvl>
    <w:lvl w:ilvl="2" w:tplc="BBFC326A">
      <w:numFmt w:val="bullet"/>
      <w:lvlText w:val="•"/>
      <w:lvlJc w:val="left"/>
      <w:pPr>
        <w:ind w:left="2433" w:hanging="567"/>
      </w:pPr>
      <w:rPr>
        <w:rFonts w:hint="default"/>
        <w:lang w:val="en-US" w:eastAsia="en-US" w:bidi="ar-SA"/>
      </w:rPr>
    </w:lvl>
    <w:lvl w:ilvl="3" w:tplc="59103E64">
      <w:numFmt w:val="bullet"/>
      <w:lvlText w:val="•"/>
      <w:lvlJc w:val="left"/>
      <w:pPr>
        <w:ind w:left="3299" w:hanging="567"/>
      </w:pPr>
      <w:rPr>
        <w:rFonts w:hint="default"/>
        <w:lang w:val="en-US" w:eastAsia="en-US" w:bidi="ar-SA"/>
      </w:rPr>
    </w:lvl>
    <w:lvl w:ilvl="4" w:tplc="F0C41D86">
      <w:numFmt w:val="bullet"/>
      <w:lvlText w:val="•"/>
      <w:lvlJc w:val="left"/>
      <w:pPr>
        <w:ind w:left="4166" w:hanging="567"/>
      </w:pPr>
      <w:rPr>
        <w:rFonts w:hint="default"/>
        <w:lang w:val="en-US" w:eastAsia="en-US" w:bidi="ar-SA"/>
      </w:rPr>
    </w:lvl>
    <w:lvl w:ilvl="5" w:tplc="01E401F6">
      <w:numFmt w:val="bullet"/>
      <w:lvlText w:val="•"/>
      <w:lvlJc w:val="left"/>
      <w:pPr>
        <w:ind w:left="5033" w:hanging="567"/>
      </w:pPr>
      <w:rPr>
        <w:rFonts w:hint="default"/>
        <w:lang w:val="en-US" w:eastAsia="en-US" w:bidi="ar-SA"/>
      </w:rPr>
    </w:lvl>
    <w:lvl w:ilvl="6" w:tplc="7116DC52">
      <w:numFmt w:val="bullet"/>
      <w:lvlText w:val="•"/>
      <w:lvlJc w:val="left"/>
      <w:pPr>
        <w:ind w:left="5899" w:hanging="567"/>
      </w:pPr>
      <w:rPr>
        <w:rFonts w:hint="default"/>
        <w:lang w:val="en-US" w:eastAsia="en-US" w:bidi="ar-SA"/>
      </w:rPr>
    </w:lvl>
    <w:lvl w:ilvl="7" w:tplc="BDBA3DB4">
      <w:numFmt w:val="bullet"/>
      <w:lvlText w:val="•"/>
      <w:lvlJc w:val="left"/>
      <w:pPr>
        <w:ind w:left="6766" w:hanging="567"/>
      </w:pPr>
      <w:rPr>
        <w:rFonts w:hint="default"/>
        <w:lang w:val="en-US" w:eastAsia="en-US" w:bidi="ar-SA"/>
      </w:rPr>
    </w:lvl>
    <w:lvl w:ilvl="8" w:tplc="AB543D5C">
      <w:numFmt w:val="bullet"/>
      <w:lvlText w:val="•"/>
      <w:lvlJc w:val="left"/>
      <w:pPr>
        <w:ind w:left="7633" w:hanging="567"/>
      </w:pPr>
      <w:rPr>
        <w:rFonts w:hint="default"/>
        <w:lang w:val="en-US" w:eastAsia="en-US" w:bidi="ar-SA"/>
      </w:rPr>
    </w:lvl>
  </w:abstractNum>
  <w:abstractNum w:abstractNumId="240" w15:restartNumberingAfterBreak="0">
    <w:nsid w:val="43991288"/>
    <w:multiLevelType w:val="hybridMultilevel"/>
    <w:tmpl w:val="9AD42EB6"/>
    <w:lvl w:ilvl="0" w:tplc="6F92927E">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D2A0F44A">
      <w:numFmt w:val="bullet"/>
      <w:lvlText w:val="•"/>
      <w:lvlJc w:val="left"/>
      <w:pPr>
        <w:ind w:left="1566" w:hanging="567"/>
      </w:pPr>
      <w:rPr>
        <w:rFonts w:hint="default"/>
        <w:lang w:val="en-US" w:eastAsia="en-US" w:bidi="ar-SA"/>
      </w:rPr>
    </w:lvl>
    <w:lvl w:ilvl="2" w:tplc="866C7716">
      <w:numFmt w:val="bullet"/>
      <w:lvlText w:val="•"/>
      <w:lvlJc w:val="left"/>
      <w:pPr>
        <w:ind w:left="2433" w:hanging="567"/>
      </w:pPr>
      <w:rPr>
        <w:rFonts w:hint="default"/>
        <w:lang w:val="en-US" w:eastAsia="en-US" w:bidi="ar-SA"/>
      </w:rPr>
    </w:lvl>
    <w:lvl w:ilvl="3" w:tplc="15C8FE84">
      <w:numFmt w:val="bullet"/>
      <w:lvlText w:val="•"/>
      <w:lvlJc w:val="left"/>
      <w:pPr>
        <w:ind w:left="3299" w:hanging="567"/>
      </w:pPr>
      <w:rPr>
        <w:rFonts w:hint="default"/>
        <w:lang w:val="en-US" w:eastAsia="en-US" w:bidi="ar-SA"/>
      </w:rPr>
    </w:lvl>
    <w:lvl w:ilvl="4" w:tplc="9F20FCE4">
      <w:numFmt w:val="bullet"/>
      <w:lvlText w:val="•"/>
      <w:lvlJc w:val="left"/>
      <w:pPr>
        <w:ind w:left="4166" w:hanging="567"/>
      </w:pPr>
      <w:rPr>
        <w:rFonts w:hint="default"/>
        <w:lang w:val="en-US" w:eastAsia="en-US" w:bidi="ar-SA"/>
      </w:rPr>
    </w:lvl>
    <w:lvl w:ilvl="5" w:tplc="506CD0F4">
      <w:numFmt w:val="bullet"/>
      <w:lvlText w:val="•"/>
      <w:lvlJc w:val="left"/>
      <w:pPr>
        <w:ind w:left="5033" w:hanging="567"/>
      </w:pPr>
      <w:rPr>
        <w:rFonts w:hint="default"/>
        <w:lang w:val="en-US" w:eastAsia="en-US" w:bidi="ar-SA"/>
      </w:rPr>
    </w:lvl>
    <w:lvl w:ilvl="6" w:tplc="D38E9C34">
      <w:numFmt w:val="bullet"/>
      <w:lvlText w:val="•"/>
      <w:lvlJc w:val="left"/>
      <w:pPr>
        <w:ind w:left="5899" w:hanging="567"/>
      </w:pPr>
      <w:rPr>
        <w:rFonts w:hint="default"/>
        <w:lang w:val="en-US" w:eastAsia="en-US" w:bidi="ar-SA"/>
      </w:rPr>
    </w:lvl>
    <w:lvl w:ilvl="7" w:tplc="23C0F90A">
      <w:numFmt w:val="bullet"/>
      <w:lvlText w:val="•"/>
      <w:lvlJc w:val="left"/>
      <w:pPr>
        <w:ind w:left="6766" w:hanging="567"/>
      </w:pPr>
      <w:rPr>
        <w:rFonts w:hint="default"/>
        <w:lang w:val="en-US" w:eastAsia="en-US" w:bidi="ar-SA"/>
      </w:rPr>
    </w:lvl>
    <w:lvl w:ilvl="8" w:tplc="7B981BB4">
      <w:numFmt w:val="bullet"/>
      <w:lvlText w:val="•"/>
      <w:lvlJc w:val="left"/>
      <w:pPr>
        <w:ind w:left="7633" w:hanging="567"/>
      </w:pPr>
      <w:rPr>
        <w:rFonts w:hint="default"/>
        <w:lang w:val="en-US" w:eastAsia="en-US" w:bidi="ar-SA"/>
      </w:rPr>
    </w:lvl>
  </w:abstractNum>
  <w:abstractNum w:abstractNumId="241" w15:restartNumberingAfterBreak="0">
    <w:nsid w:val="43CD611B"/>
    <w:multiLevelType w:val="hybridMultilevel"/>
    <w:tmpl w:val="8C26F76E"/>
    <w:lvl w:ilvl="0" w:tplc="6BAE8710">
      <w:start w:val="1"/>
      <w:numFmt w:val="lowerLetter"/>
      <w:lvlText w:val="(%1)"/>
      <w:lvlJc w:val="left"/>
      <w:pPr>
        <w:ind w:left="706" w:hanging="567"/>
      </w:pPr>
      <w:rPr>
        <w:rFonts w:ascii="Calibri" w:eastAsia="Calibri" w:hAnsi="Calibri" w:cs="Calibri" w:hint="default"/>
        <w:spacing w:val="-1"/>
        <w:w w:val="100"/>
        <w:sz w:val="22"/>
        <w:szCs w:val="22"/>
        <w:lang w:val="en-US" w:eastAsia="en-US" w:bidi="ar-SA"/>
      </w:rPr>
    </w:lvl>
    <w:lvl w:ilvl="1" w:tplc="EDB25460">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7E5899F2">
      <w:numFmt w:val="bullet"/>
      <w:lvlText w:val="•"/>
      <w:lvlJc w:val="left"/>
      <w:pPr>
        <w:ind w:left="2178" w:hanging="567"/>
      </w:pPr>
      <w:rPr>
        <w:rFonts w:hint="default"/>
        <w:lang w:val="en-US" w:eastAsia="en-US" w:bidi="ar-SA"/>
      </w:rPr>
    </w:lvl>
    <w:lvl w:ilvl="3" w:tplc="44444274">
      <w:numFmt w:val="bullet"/>
      <w:lvlText w:val="•"/>
      <w:lvlJc w:val="left"/>
      <w:pPr>
        <w:ind w:left="3076" w:hanging="567"/>
      </w:pPr>
      <w:rPr>
        <w:rFonts w:hint="default"/>
        <w:lang w:val="en-US" w:eastAsia="en-US" w:bidi="ar-SA"/>
      </w:rPr>
    </w:lvl>
    <w:lvl w:ilvl="4" w:tplc="B5AAEEA6">
      <w:numFmt w:val="bullet"/>
      <w:lvlText w:val="•"/>
      <w:lvlJc w:val="left"/>
      <w:pPr>
        <w:ind w:left="3975" w:hanging="567"/>
      </w:pPr>
      <w:rPr>
        <w:rFonts w:hint="default"/>
        <w:lang w:val="en-US" w:eastAsia="en-US" w:bidi="ar-SA"/>
      </w:rPr>
    </w:lvl>
    <w:lvl w:ilvl="5" w:tplc="D8C23EC0">
      <w:numFmt w:val="bullet"/>
      <w:lvlText w:val="•"/>
      <w:lvlJc w:val="left"/>
      <w:pPr>
        <w:ind w:left="4873" w:hanging="567"/>
      </w:pPr>
      <w:rPr>
        <w:rFonts w:hint="default"/>
        <w:lang w:val="en-US" w:eastAsia="en-US" w:bidi="ar-SA"/>
      </w:rPr>
    </w:lvl>
    <w:lvl w:ilvl="6" w:tplc="94DE80CC">
      <w:numFmt w:val="bullet"/>
      <w:lvlText w:val="•"/>
      <w:lvlJc w:val="left"/>
      <w:pPr>
        <w:ind w:left="5772" w:hanging="567"/>
      </w:pPr>
      <w:rPr>
        <w:rFonts w:hint="default"/>
        <w:lang w:val="en-US" w:eastAsia="en-US" w:bidi="ar-SA"/>
      </w:rPr>
    </w:lvl>
    <w:lvl w:ilvl="7" w:tplc="991AF208">
      <w:numFmt w:val="bullet"/>
      <w:lvlText w:val="•"/>
      <w:lvlJc w:val="left"/>
      <w:pPr>
        <w:ind w:left="6670" w:hanging="567"/>
      </w:pPr>
      <w:rPr>
        <w:rFonts w:hint="default"/>
        <w:lang w:val="en-US" w:eastAsia="en-US" w:bidi="ar-SA"/>
      </w:rPr>
    </w:lvl>
    <w:lvl w:ilvl="8" w:tplc="E76238D4">
      <w:numFmt w:val="bullet"/>
      <w:lvlText w:val="•"/>
      <w:lvlJc w:val="left"/>
      <w:pPr>
        <w:ind w:left="7569" w:hanging="567"/>
      </w:pPr>
      <w:rPr>
        <w:rFonts w:hint="default"/>
        <w:lang w:val="en-US" w:eastAsia="en-US" w:bidi="ar-SA"/>
      </w:rPr>
    </w:lvl>
  </w:abstractNum>
  <w:abstractNum w:abstractNumId="242" w15:restartNumberingAfterBreak="0">
    <w:nsid w:val="43D807D1"/>
    <w:multiLevelType w:val="hybridMultilevel"/>
    <w:tmpl w:val="FE989C30"/>
    <w:lvl w:ilvl="0" w:tplc="7B6AF412">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F70ACF44">
      <w:numFmt w:val="bullet"/>
      <w:lvlText w:val="•"/>
      <w:lvlJc w:val="left"/>
      <w:pPr>
        <w:ind w:left="1566" w:hanging="567"/>
      </w:pPr>
      <w:rPr>
        <w:rFonts w:hint="default"/>
        <w:lang w:val="en-US" w:eastAsia="en-US" w:bidi="ar-SA"/>
      </w:rPr>
    </w:lvl>
    <w:lvl w:ilvl="2" w:tplc="EC60E1F2">
      <w:numFmt w:val="bullet"/>
      <w:lvlText w:val="•"/>
      <w:lvlJc w:val="left"/>
      <w:pPr>
        <w:ind w:left="2433" w:hanging="567"/>
      </w:pPr>
      <w:rPr>
        <w:rFonts w:hint="default"/>
        <w:lang w:val="en-US" w:eastAsia="en-US" w:bidi="ar-SA"/>
      </w:rPr>
    </w:lvl>
    <w:lvl w:ilvl="3" w:tplc="7BD65CEE">
      <w:numFmt w:val="bullet"/>
      <w:lvlText w:val="•"/>
      <w:lvlJc w:val="left"/>
      <w:pPr>
        <w:ind w:left="3299" w:hanging="567"/>
      </w:pPr>
      <w:rPr>
        <w:rFonts w:hint="default"/>
        <w:lang w:val="en-US" w:eastAsia="en-US" w:bidi="ar-SA"/>
      </w:rPr>
    </w:lvl>
    <w:lvl w:ilvl="4" w:tplc="9B1CF1F6">
      <w:numFmt w:val="bullet"/>
      <w:lvlText w:val="•"/>
      <w:lvlJc w:val="left"/>
      <w:pPr>
        <w:ind w:left="4166" w:hanging="567"/>
      </w:pPr>
      <w:rPr>
        <w:rFonts w:hint="default"/>
        <w:lang w:val="en-US" w:eastAsia="en-US" w:bidi="ar-SA"/>
      </w:rPr>
    </w:lvl>
    <w:lvl w:ilvl="5" w:tplc="0130C552">
      <w:numFmt w:val="bullet"/>
      <w:lvlText w:val="•"/>
      <w:lvlJc w:val="left"/>
      <w:pPr>
        <w:ind w:left="5033" w:hanging="567"/>
      </w:pPr>
      <w:rPr>
        <w:rFonts w:hint="default"/>
        <w:lang w:val="en-US" w:eastAsia="en-US" w:bidi="ar-SA"/>
      </w:rPr>
    </w:lvl>
    <w:lvl w:ilvl="6" w:tplc="8F54194C">
      <w:numFmt w:val="bullet"/>
      <w:lvlText w:val="•"/>
      <w:lvlJc w:val="left"/>
      <w:pPr>
        <w:ind w:left="5899" w:hanging="567"/>
      </w:pPr>
      <w:rPr>
        <w:rFonts w:hint="default"/>
        <w:lang w:val="en-US" w:eastAsia="en-US" w:bidi="ar-SA"/>
      </w:rPr>
    </w:lvl>
    <w:lvl w:ilvl="7" w:tplc="E8C8D536">
      <w:numFmt w:val="bullet"/>
      <w:lvlText w:val="•"/>
      <w:lvlJc w:val="left"/>
      <w:pPr>
        <w:ind w:left="6766" w:hanging="567"/>
      </w:pPr>
      <w:rPr>
        <w:rFonts w:hint="default"/>
        <w:lang w:val="en-US" w:eastAsia="en-US" w:bidi="ar-SA"/>
      </w:rPr>
    </w:lvl>
    <w:lvl w:ilvl="8" w:tplc="F4E6A802">
      <w:numFmt w:val="bullet"/>
      <w:lvlText w:val="•"/>
      <w:lvlJc w:val="left"/>
      <w:pPr>
        <w:ind w:left="7633" w:hanging="567"/>
      </w:pPr>
      <w:rPr>
        <w:rFonts w:hint="default"/>
        <w:lang w:val="en-US" w:eastAsia="en-US" w:bidi="ar-SA"/>
      </w:rPr>
    </w:lvl>
  </w:abstractNum>
  <w:abstractNum w:abstractNumId="243" w15:restartNumberingAfterBreak="0">
    <w:nsid w:val="43F66F04"/>
    <w:multiLevelType w:val="hybridMultilevel"/>
    <w:tmpl w:val="ECE6D034"/>
    <w:lvl w:ilvl="0" w:tplc="377E6D12">
      <w:start w:val="3"/>
      <w:numFmt w:val="lowerLetter"/>
      <w:lvlText w:val="(%1)"/>
      <w:lvlJc w:val="left"/>
      <w:pPr>
        <w:ind w:left="706" w:hanging="567"/>
      </w:pPr>
      <w:rPr>
        <w:rFonts w:ascii="Calibri" w:eastAsia="Calibri" w:hAnsi="Calibri" w:cs="Calibri" w:hint="default"/>
        <w:w w:val="100"/>
        <w:sz w:val="22"/>
        <w:szCs w:val="22"/>
        <w:lang w:val="en-US" w:eastAsia="en-US" w:bidi="ar-SA"/>
      </w:rPr>
    </w:lvl>
    <w:lvl w:ilvl="1" w:tplc="DF762F92">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FC62DE26">
      <w:numFmt w:val="bullet"/>
      <w:lvlText w:val="•"/>
      <w:lvlJc w:val="left"/>
      <w:pPr>
        <w:ind w:left="2178" w:hanging="567"/>
      </w:pPr>
      <w:rPr>
        <w:lang w:val="en-US" w:eastAsia="en-US" w:bidi="ar-SA"/>
      </w:rPr>
    </w:lvl>
    <w:lvl w:ilvl="3" w:tplc="F6D272FA">
      <w:numFmt w:val="bullet"/>
      <w:lvlText w:val="•"/>
      <w:lvlJc w:val="left"/>
      <w:pPr>
        <w:ind w:left="3076" w:hanging="567"/>
      </w:pPr>
      <w:rPr>
        <w:lang w:val="en-US" w:eastAsia="en-US" w:bidi="ar-SA"/>
      </w:rPr>
    </w:lvl>
    <w:lvl w:ilvl="4" w:tplc="836A0626">
      <w:numFmt w:val="bullet"/>
      <w:lvlText w:val="•"/>
      <w:lvlJc w:val="left"/>
      <w:pPr>
        <w:ind w:left="3975" w:hanging="567"/>
      </w:pPr>
      <w:rPr>
        <w:lang w:val="en-US" w:eastAsia="en-US" w:bidi="ar-SA"/>
      </w:rPr>
    </w:lvl>
    <w:lvl w:ilvl="5" w:tplc="2A8EE026">
      <w:numFmt w:val="bullet"/>
      <w:lvlText w:val="•"/>
      <w:lvlJc w:val="left"/>
      <w:pPr>
        <w:ind w:left="4873" w:hanging="567"/>
      </w:pPr>
      <w:rPr>
        <w:lang w:val="en-US" w:eastAsia="en-US" w:bidi="ar-SA"/>
      </w:rPr>
    </w:lvl>
    <w:lvl w:ilvl="6" w:tplc="ADB4441C">
      <w:numFmt w:val="bullet"/>
      <w:lvlText w:val="•"/>
      <w:lvlJc w:val="left"/>
      <w:pPr>
        <w:ind w:left="5772" w:hanging="567"/>
      </w:pPr>
      <w:rPr>
        <w:lang w:val="en-US" w:eastAsia="en-US" w:bidi="ar-SA"/>
      </w:rPr>
    </w:lvl>
    <w:lvl w:ilvl="7" w:tplc="76AADB46">
      <w:numFmt w:val="bullet"/>
      <w:lvlText w:val="•"/>
      <w:lvlJc w:val="left"/>
      <w:pPr>
        <w:ind w:left="6670" w:hanging="567"/>
      </w:pPr>
      <w:rPr>
        <w:lang w:val="en-US" w:eastAsia="en-US" w:bidi="ar-SA"/>
      </w:rPr>
    </w:lvl>
    <w:lvl w:ilvl="8" w:tplc="A0EE41E6">
      <w:numFmt w:val="bullet"/>
      <w:lvlText w:val="•"/>
      <w:lvlJc w:val="left"/>
      <w:pPr>
        <w:ind w:left="7569" w:hanging="567"/>
      </w:pPr>
      <w:rPr>
        <w:lang w:val="en-US" w:eastAsia="en-US" w:bidi="ar-SA"/>
      </w:rPr>
    </w:lvl>
  </w:abstractNum>
  <w:abstractNum w:abstractNumId="244" w15:restartNumberingAfterBreak="0">
    <w:nsid w:val="43FD154E"/>
    <w:multiLevelType w:val="hybridMultilevel"/>
    <w:tmpl w:val="7A6033B6"/>
    <w:lvl w:ilvl="0" w:tplc="3F2E25BE">
      <w:start w:val="1"/>
      <w:numFmt w:val="decimal"/>
      <w:lvlText w:val="(%1)"/>
      <w:lvlJc w:val="left"/>
      <w:pPr>
        <w:ind w:left="1273" w:hanging="567"/>
      </w:pPr>
      <w:rPr>
        <w:rFonts w:ascii="Arial" w:eastAsia="Calibri" w:hAnsi="Arial" w:cs="Arial" w:hint="default"/>
        <w:spacing w:val="-1"/>
        <w:w w:val="100"/>
        <w:sz w:val="20"/>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441B7EB9"/>
    <w:multiLevelType w:val="hybridMultilevel"/>
    <w:tmpl w:val="FB5A3FA6"/>
    <w:lvl w:ilvl="0" w:tplc="CD80582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ADC655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1B2266EE">
      <w:numFmt w:val="bullet"/>
      <w:lvlText w:val="•"/>
      <w:lvlJc w:val="left"/>
      <w:pPr>
        <w:ind w:left="2178" w:hanging="567"/>
      </w:pPr>
      <w:rPr>
        <w:lang w:val="en-US" w:eastAsia="en-US" w:bidi="ar-SA"/>
      </w:rPr>
    </w:lvl>
    <w:lvl w:ilvl="3" w:tplc="45BE0660">
      <w:numFmt w:val="bullet"/>
      <w:lvlText w:val="•"/>
      <w:lvlJc w:val="left"/>
      <w:pPr>
        <w:ind w:left="3076" w:hanging="567"/>
      </w:pPr>
      <w:rPr>
        <w:lang w:val="en-US" w:eastAsia="en-US" w:bidi="ar-SA"/>
      </w:rPr>
    </w:lvl>
    <w:lvl w:ilvl="4" w:tplc="EF4E30C8">
      <w:numFmt w:val="bullet"/>
      <w:lvlText w:val="•"/>
      <w:lvlJc w:val="left"/>
      <w:pPr>
        <w:ind w:left="3975" w:hanging="567"/>
      </w:pPr>
      <w:rPr>
        <w:lang w:val="en-US" w:eastAsia="en-US" w:bidi="ar-SA"/>
      </w:rPr>
    </w:lvl>
    <w:lvl w:ilvl="5" w:tplc="E8CECEAA">
      <w:numFmt w:val="bullet"/>
      <w:lvlText w:val="•"/>
      <w:lvlJc w:val="left"/>
      <w:pPr>
        <w:ind w:left="4873" w:hanging="567"/>
      </w:pPr>
      <w:rPr>
        <w:lang w:val="en-US" w:eastAsia="en-US" w:bidi="ar-SA"/>
      </w:rPr>
    </w:lvl>
    <w:lvl w:ilvl="6" w:tplc="D8024D6C">
      <w:numFmt w:val="bullet"/>
      <w:lvlText w:val="•"/>
      <w:lvlJc w:val="left"/>
      <w:pPr>
        <w:ind w:left="5772" w:hanging="567"/>
      </w:pPr>
      <w:rPr>
        <w:lang w:val="en-US" w:eastAsia="en-US" w:bidi="ar-SA"/>
      </w:rPr>
    </w:lvl>
    <w:lvl w:ilvl="7" w:tplc="7E1A1F06">
      <w:numFmt w:val="bullet"/>
      <w:lvlText w:val="•"/>
      <w:lvlJc w:val="left"/>
      <w:pPr>
        <w:ind w:left="6670" w:hanging="567"/>
      </w:pPr>
      <w:rPr>
        <w:lang w:val="en-US" w:eastAsia="en-US" w:bidi="ar-SA"/>
      </w:rPr>
    </w:lvl>
    <w:lvl w:ilvl="8" w:tplc="78D2843C">
      <w:numFmt w:val="bullet"/>
      <w:lvlText w:val="•"/>
      <w:lvlJc w:val="left"/>
      <w:pPr>
        <w:ind w:left="7569" w:hanging="567"/>
      </w:pPr>
      <w:rPr>
        <w:lang w:val="en-US" w:eastAsia="en-US" w:bidi="ar-SA"/>
      </w:rPr>
    </w:lvl>
  </w:abstractNum>
  <w:abstractNum w:abstractNumId="246" w15:restartNumberingAfterBreak="0">
    <w:nsid w:val="44832B57"/>
    <w:multiLevelType w:val="hybridMultilevel"/>
    <w:tmpl w:val="4C7A7AB0"/>
    <w:lvl w:ilvl="0" w:tplc="3830ED38">
      <w:start w:val="1"/>
      <w:numFmt w:val="lowerRoman"/>
      <w:lvlText w:val="(%1)"/>
      <w:lvlJc w:val="left"/>
      <w:pPr>
        <w:ind w:left="2408" w:hanging="567"/>
      </w:pPr>
      <w:rPr>
        <w:rFonts w:ascii="Arial" w:eastAsia="Calibri" w:hAnsi="Arial" w:cs="Arial" w:hint="default"/>
        <w:spacing w:val="-1"/>
        <w:w w:val="100"/>
        <w:sz w:val="20"/>
        <w:szCs w:val="22"/>
        <w:lang w:val="en-US" w:eastAsia="en-US" w:bidi="ar-SA"/>
      </w:rPr>
    </w:lvl>
    <w:lvl w:ilvl="1" w:tplc="79A8C23A">
      <w:numFmt w:val="bullet"/>
      <w:lvlText w:val="•"/>
      <w:lvlJc w:val="left"/>
      <w:pPr>
        <w:ind w:left="3096" w:hanging="567"/>
      </w:pPr>
      <w:rPr>
        <w:rFonts w:hint="default"/>
        <w:lang w:val="en-US" w:eastAsia="en-US" w:bidi="ar-SA"/>
      </w:rPr>
    </w:lvl>
    <w:lvl w:ilvl="2" w:tplc="E530E560">
      <w:numFmt w:val="bullet"/>
      <w:lvlText w:val="•"/>
      <w:lvlJc w:val="left"/>
      <w:pPr>
        <w:ind w:left="3793" w:hanging="567"/>
      </w:pPr>
      <w:rPr>
        <w:rFonts w:hint="default"/>
        <w:lang w:val="en-US" w:eastAsia="en-US" w:bidi="ar-SA"/>
      </w:rPr>
    </w:lvl>
    <w:lvl w:ilvl="3" w:tplc="3E3C037C">
      <w:numFmt w:val="bullet"/>
      <w:lvlText w:val="•"/>
      <w:lvlJc w:val="left"/>
      <w:pPr>
        <w:ind w:left="4489" w:hanging="567"/>
      </w:pPr>
      <w:rPr>
        <w:rFonts w:hint="default"/>
        <w:lang w:val="en-US" w:eastAsia="en-US" w:bidi="ar-SA"/>
      </w:rPr>
    </w:lvl>
    <w:lvl w:ilvl="4" w:tplc="027C9736">
      <w:numFmt w:val="bullet"/>
      <w:lvlText w:val="•"/>
      <w:lvlJc w:val="left"/>
      <w:pPr>
        <w:ind w:left="5186" w:hanging="567"/>
      </w:pPr>
      <w:rPr>
        <w:rFonts w:hint="default"/>
        <w:lang w:val="en-US" w:eastAsia="en-US" w:bidi="ar-SA"/>
      </w:rPr>
    </w:lvl>
    <w:lvl w:ilvl="5" w:tplc="96F24292">
      <w:numFmt w:val="bullet"/>
      <w:lvlText w:val="•"/>
      <w:lvlJc w:val="left"/>
      <w:pPr>
        <w:ind w:left="5883" w:hanging="567"/>
      </w:pPr>
      <w:rPr>
        <w:rFonts w:hint="default"/>
        <w:lang w:val="en-US" w:eastAsia="en-US" w:bidi="ar-SA"/>
      </w:rPr>
    </w:lvl>
    <w:lvl w:ilvl="6" w:tplc="68D8805C">
      <w:numFmt w:val="bullet"/>
      <w:lvlText w:val="•"/>
      <w:lvlJc w:val="left"/>
      <w:pPr>
        <w:ind w:left="6579" w:hanging="567"/>
      </w:pPr>
      <w:rPr>
        <w:rFonts w:hint="default"/>
        <w:lang w:val="en-US" w:eastAsia="en-US" w:bidi="ar-SA"/>
      </w:rPr>
    </w:lvl>
    <w:lvl w:ilvl="7" w:tplc="EBA233E4">
      <w:numFmt w:val="bullet"/>
      <w:lvlText w:val="•"/>
      <w:lvlJc w:val="left"/>
      <w:pPr>
        <w:ind w:left="7276" w:hanging="567"/>
      </w:pPr>
      <w:rPr>
        <w:rFonts w:hint="default"/>
        <w:lang w:val="en-US" w:eastAsia="en-US" w:bidi="ar-SA"/>
      </w:rPr>
    </w:lvl>
    <w:lvl w:ilvl="8" w:tplc="1C9832EC">
      <w:numFmt w:val="bullet"/>
      <w:lvlText w:val="•"/>
      <w:lvlJc w:val="left"/>
      <w:pPr>
        <w:ind w:left="7973" w:hanging="567"/>
      </w:pPr>
      <w:rPr>
        <w:rFonts w:hint="default"/>
        <w:lang w:val="en-US" w:eastAsia="en-US" w:bidi="ar-SA"/>
      </w:rPr>
    </w:lvl>
  </w:abstractNum>
  <w:abstractNum w:abstractNumId="247" w15:restartNumberingAfterBreak="0">
    <w:nsid w:val="44884942"/>
    <w:multiLevelType w:val="hybridMultilevel"/>
    <w:tmpl w:val="0358A0B2"/>
    <w:lvl w:ilvl="0" w:tplc="13B46794">
      <w:start w:val="1"/>
      <w:numFmt w:val="lowerLetter"/>
      <w:lvlText w:val="(%1)"/>
      <w:lvlJc w:val="left"/>
      <w:pPr>
        <w:ind w:left="2408" w:hanging="567"/>
      </w:pPr>
      <w:rPr>
        <w:rFonts w:ascii="Arial" w:eastAsia="Calibri" w:hAnsi="Arial" w:cs="Arial" w:hint="default"/>
        <w:spacing w:val="-1"/>
        <w:w w:val="100"/>
        <w:sz w:val="20"/>
        <w:szCs w:val="22"/>
        <w:lang w:val="en-US" w:eastAsia="en-US" w:bidi="ar-SA"/>
      </w:rPr>
    </w:lvl>
    <w:lvl w:ilvl="1" w:tplc="33629190">
      <w:start w:val="1"/>
      <w:numFmt w:val="decimal"/>
      <w:lvlText w:val="(%2)"/>
      <w:lvlJc w:val="left"/>
      <w:pPr>
        <w:ind w:left="2975" w:hanging="567"/>
      </w:pPr>
      <w:rPr>
        <w:rFonts w:ascii="Arial" w:eastAsia="Calibri" w:hAnsi="Arial" w:cs="Arial" w:hint="default"/>
        <w:spacing w:val="-1"/>
        <w:w w:val="100"/>
        <w:sz w:val="20"/>
        <w:szCs w:val="22"/>
        <w:lang w:val="en-US" w:eastAsia="en-US" w:bidi="ar-SA"/>
      </w:rPr>
    </w:lvl>
    <w:lvl w:ilvl="2" w:tplc="C80C2788">
      <w:numFmt w:val="bullet"/>
      <w:lvlText w:val="•"/>
      <w:lvlJc w:val="left"/>
      <w:pPr>
        <w:ind w:left="3689" w:hanging="567"/>
      </w:pPr>
      <w:rPr>
        <w:rFonts w:hint="default"/>
        <w:lang w:val="en-US" w:eastAsia="en-US" w:bidi="ar-SA"/>
      </w:rPr>
    </w:lvl>
    <w:lvl w:ilvl="3" w:tplc="E9342ECC">
      <w:numFmt w:val="bullet"/>
      <w:lvlText w:val="•"/>
      <w:lvlJc w:val="left"/>
      <w:pPr>
        <w:ind w:left="4399" w:hanging="567"/>
      </w:pPr>
      <w:rPr>
        <w:rFonts w:hint="default"/>
        <w:lang w:val="en-US" w:eastAsia="en-US" w:bidi="ar-SA"/>
      </w:rPr>
    </w:lvl>
    <w:lvl w:ilvl="4" w:tplc="BC00FA78">
      <w:numFmt w:val="bullet"/>
      <w:lvlText w:val="•"/>
      <w:lvlJc w:val="left"/>
      <w:pPr>
        <w:ind w:left="5108" w:hanging="567"/>
      </w:pPr>
      <w:rPr>
        <w:rFonts w:hint="default"/>
        <w:lang w:val="en-US" w:eastAsia="en-US" w:bidi="ar-SA"/>
      </w:rPr>
    </w:lvl>
    <w:lvl w:ilvl="5" w:tplc="8A9262DE">
      <w:numFmt w:val="bullet"/>
      <w:lvlText w:val="•"/>
      <w:lvlJc w:val="left"/>
      <w:pPr>
        <w:ind w:left="5818" w:hanging="567"/>
      </w:pPr>
      <w:rPr>
        <w:rFonts w:hint="default"/>
        <w:lang w:val="en-US" w:eastAsia="en-US" w:bidi="ar-SA"/>
      </w:rPr>
    </w:lvl>
    <w:lvl w:ilvl="6" w:tplc="421CB2EE">
      <w:numFmt w:val="bullet"/>
      <w:lvlText w:val="•"/>
      <w:lvlJc w:val="left"/>
      <w:pPr>
        <w:ind w:left="6528" w:hanging="567"/>
      </w:pPr>
      <w:rPr>
        <w:rFonts w:hint="default"/>
        <w:lang w:val="en-US" w:eastAsia="en-US" w:bidi="ar-SA"/>
      </w:rPr>
    </w:lvl>
    <w:lvl w:ilvl="7" w:tplc="EDE02998">
      <w:numFmt w:val="bullet"/>
      <w:lvlText w:val="•"/>
      <w:lvlJc w:val="left"/>
      <w:pPr>
        <w:ind w:left="7237" w:hanging="567"/>
      </w:pPr>
      <w:rPr>
        <w:rFonts w:hint="default"/>
        <w:lang w:val="en-US" w:eastAsia="en-US" w:bidi="ar-SA"/>
      </w:rPr>
    </w:lvl>
    <w:lvl w:ilvl="8" w:tplc="07F485A0">
      <w:numFmt w:val="bullet"/>
      <w:lvlText w:val="•"/>
      <w:lvlJc w:val="left"/>
      <w:pPr>
        <w:ind w:left="7947" w:hanging="567"/>
      </w:pPr>
      <w:rPr>
        <w:rFonts w:hint="default"/>
        <w:lang w:val="en-US" w:eastAsia="en-US" w:bidi="ar-SA"/>
      </w:rPr>
    </w:lvl>
  </w:abstractNum>
  <w:abstractNum w:abstractNumId="248" w15:restartNumberingAfterBreak="0">
    <w:nsid w:val="44B80E1F"/>
    <w:multiLevelType w:val="hybridMultilevel"/>
    <w:tmpl w:val="DFF094CE"/>
    <w:lvl w:ilvl="0" w:tplc="6B66B96E">
      <w:start w:val="1"/>
      <w:numFmt w:val="lowerLetter"/>
      <w:lvlText w:val="(%1)"/>
      <w:lvlJc w:val="left"/>
      <w:pPr>
        <w:ind w:left="2408" w:hanging="567"/>
      </w:pPr>
      <w:rPr>
        <w:rFonts w:ascii="Arial" w:eastAsia="Calibri" w:hAnsi="Arial" w:cs="Arial" w:hint="default"/>
        <w:spacing w:val="-1"/>
        <w:w w:val="100"/>
        <w:sz w:val="20"/>
        <w:szCs w:val="22"/>
        <w:lang w:val="en-US" w:eastAsia="en-US" w:bidi="ar-SA"/>
      </w:rPr>
    </w:lvl>
    <w:lvl w:ilvl="1" w:tplc="33A0FD98">
      <w:start w:val="1"/>
      <w:numFmt w:val="decimal"/>
      <w:lvlText w:val="(%2)"/>
      <w:lvlJc w:val="left"/>
      <w:pPr>
        <w:ind w:left="2975" w:hanging="567"/>
      </w:pPr>
      <w:rPr>
        <w:rFonts w:ascii="Arial" w:eastAsia="Calibri" w:hAnsi="Arial" w:cs="Arial" w:hint="default"/>
        <w:spacing w:val="-1"/>
        <w:w w:val="100"/>
        <w:sz w:val="20"/>
        <w:szCs w:val="22"/>
        <w:lang w:val="en-US" w:eastAsia="en-US" w:bidi="ar-SA"/>
      </w:rPr>
    </w:lvl>
    <w:lvl w:ilvl="2" w:tplc="13BEA68A">
      <w:numFmt w:val="bullet"/>
      <w:lvlText w:val="•"/>
      <w:lvlJc w:val="left"/>
      <w:pPr>
        <w:ind w:left="3689" w:hanging="567"/>
      </w:pPr>
      <w:rPr>
        <w:rFonts w:hint="default"/>
        <w:lang w:val="en-US" w:eastAsia="en-US" w:bidi="ar-SA"/>
      </w:rPr>
    </w:lvl>
    <w:lvl w:ilvl="3" w:tplc="670815E8">
      <w:numFmt w:val="bullet"/>
      <w:lvlText w:val="•"/>
      <w:lvlJc w:val="left"/>
      <w:pPr>
        <w:ind w:left="4399" w:hanging="567"/>
      </w:pPr>
      <w:rPr>
        <w:rFonts w:hint="default"/>
        <w:lang w:val="en-US" w:eastAsia="en-US" w:bidi="ar-SA"/>
      </w:rPr>
    </w:lvl>
    <w:lvl w:ilvl="4" w:tplc="ACF48B64">
      <w:numFmt w:val="bullet"/>
      <w:lvlText w:val="•"/>
      <w:lvlJc w:val="left"/>
      <w:pPr>
        <w:ind w:left="5108" w:hanging="567"/>
      </w:pPr>
      <w:rPr>
        <w:rFonts w:hint="default"/>
        <w:lang w:val="en-US" w:eastAsia="en-US" w:bidi="ar-SA"/>
      </w:rPr>
    </w:lvl>
    <w:lvl w:ilvl="5" w:tplc="183C13C6">
      <w:numFmt w:val="bullet"/>
      <w:lvlText w:val="•"/>
      <w:lvlJc w:val="left"/>
      <w:pPr>
        <w:ind w:left="5818" w:hanging="567"/>
      </w:pPr>
      <w:rPr>
        <w:rFonts w:hint="default"/>
        <w:lang w:val="en-US" w:eastAsia="en-US" w:bidi="ar-SA"/>
      </w:rPr>
    </w:lvl>
    <w:lvl w:ilvl="6" w:tplc="D9C88A76">
      <w:numFmt w:val="bullet"/>
      <w:lvlText w:val="•"/>
      <w:lvlJc w:val="left"/>
      <w:pPr>
        <w:ind w:left="6528" w:hanging="567"/>
      </w:pPr>
      <w:rPr>
        <w:rFonts w:hint="default"/>
        <w:lang w:val="en-US" w:eastAsia="en-US" w:bidi="ar-SA"/>
      </w:rPr>
    </w:lvl>
    <w:lvl w:ilvl="7" w:tplc="3AA6559E">
      <w:numFmt w:val="bullet"/>
      <w:lvlText w:val="•"/>
      <w:lvlJc w:val="left"/>
      <w:pPr>
        <w:ind w:left="7237" w:hanging="567"/>
      </w:pPr>
      <w:rPr>
        <w:rFonts w:hint="default"/>
        <w:lang w:val="en-US" w:eastAsia="en-US" w:bidi="ar-SA"/>
      </w:rPr>
    </w:lvl>
    <w:lvl w:ilvl="8" w:tplc="E22A0D54">
      <w:numFmt w:val="bullet"/>
      <w:lvlText w:val="•"/>
      <w:lvlJc w:val="left"/>
      <w:pPr>
        <w:ind w:left="7947" w:hanging="567"/>
      </w:pPr>
      <w:rPr>
        <w:rFonts w:hint="default"/>
        <w:lang w:val="en-US" w:eastAsia="en-US" w:bidi="ar-SA"/>
      </w:rPr>
    </w:lvl>
  </w:abstractNum>
  <w:abstractNum w:abstractNumId="249" w15:restartNumberingAfterBreak="0">
    <w:nsid w:val="44E71287"/>
    <w:multiLevelType w:val="hybridMultilevel"/>
    <w:tmpl w:val="FB5A3FA6"/>
    <w:lvl w:ilvl="0" w:tplc="CD80582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ADC655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1B2266EE">
      <w:numFmt w:val="bullet"/>
      <w:lvlText w:val="•"/>
      <w:lvlJc w:val="left"/>
      <w:pPr>
        <w:ind w:left="2178" w:hanging="567"/>
      </w:pPr>
      <w:rPr>
        <w:lang w:val="en-US" w:eastAsia="en-US" w:bidi="ar-SA"/>
      </w:rPr>
    </w:lvl>
    <w:lvl w:ilvl="3" w:tplc="45BE0660">
      <w:numFmt w:val="bullet"/>
      <w:lvlText w:val="•"/>
      <w:lvlJc w:val="left"/>
      <w:pPr>
        <w:ind w:left="3076" w:hanging="567"/>
      </w:pPr>
      <w:rPr>
        <w:lang w:val="en-US" w:eastAsia="en-US" w:bidi="ar-SA"/>
      </w:rPr>
    </w:lvl>
    <w:lvl w:ilvl="4" w:tplc="EF4E30C8">
      <w:numFmt w:val="bullet"/>
      <w:lvlText w:val="•"/>
      <w:lvlJc w:val="left"/>
      <w:pPr>
        <w:ind w:left="3975" w:hanging="567"/>
      </w:pPr>
      <w:rPr>
        <w:lang w:val="en-US" w:eastAsia="en-US" w:bidi="ar-SA"/>
      </w:rPr>
    </w:lvl>
    <w:lvl w:ilvl="5" w:tplc="E8CECEAA">
      <w:numFmt w:val="bullet"/>
      <w:lvlText w:val="•"/>
      <w:lvlJc w:val="left"/>
      <w:pPr>
        <w:ind w:left="4873" w:hanging="567"/>
      </w:pPr>
      <w:rPr>
        <w:lang w:val="en-US" w:eastAsia="en-US" w:bidi="ar-SA"/>
      </w:rPr>
    </w:lvl>
    <w:lvl w:ilvl="6" w:tplc="D8024D6C">
      <w:numFmt w:val="bullet"/>
      <w:lvlText w:val="•"/>
      <w:lvlJc w:val="left"/>
      <w:pPr>
        <w:ind w:left="5772" w:hanging="567"/>
      </w:pPr>
      <w:rPr>
        <w:lang w:val="en-US" w:eastAsia="en-US" w:bidi="ar-SA"/>
      </w:rPr>
    </w:lvl>
    <w:lvl w:ilvl="7" w:tplc="7E1A1F06">
      <w:numFmt w:val="bullet"/>
      <w:lvlText w:val="•"/>
      <w:lvlJc w:val="left"/>
      <w:pPr>
        <w:ind w:left="6670" w:hanging="567"/>
      </w:pPr>
      <w:rPr>
        <w:lang w:val="en-US" w:eastAsia="en-US" w:bidi="ar-SA"/>
      </w:rPr>
    </w:lvl>
    <w:lvl w:ilvl="8" w:tplc="78D2843C">
      <w:numFmt w:val="bullet"/>
      <w:lvlText w:val="•"/>
      <w:lvlJc w:val="left"/>
      <w:pPr>
        <w:ind w:left="7569" w:hanging="567"/>
      </w:pPr>
      <w:rPr>
        <w:lang w:val="en-US" w:eastAsia="en-US" w:bidi="ar-SA"/>
      </w:rPr>
    </w:lvl>
  </w:abstractNum>
  <w:abstractNum w:abstractNumId="250" w15:restartNumberingAfterBreak="0">
    <w:nsid w:val="459B077E"/>
    <w:multiLevelType w:val="hybridMultilevel"/>
    <w:tmpl w:val="F9C81E68"/>
    <w:lvl w:ilvl="0" w:tplc="D44CEF50">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143E0286">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E0E0A3A6">
      <w:numFmt w:val="bullet"/>
      <w:lvlText w:val="•"/>
      <w:lvlJc w:val="left"/>
      <w:pPr>
        <w:ind w:left="2178" w:hanging="567"/>
      </w:pPr>
      <w:rPr>
        <w:rFonts w:hint="default"/>
        <w:lang w:val="en-US" w:eastAsia="en-US" w:bidi="ar-SA"/>
      </w:rPr>
    </w:lvl>
    <w:lvl w:ilvl="3" w:tplc="BBFE8E0C">
      <w:numFmt w:val="bullet"/>
      <w:lvlText w:val="•"/>
      <w:lvlJc w:val="left"/>
      <w:pPr>
        <w:ind w:left="3076" w:hanging="567"/>
      </w:pPr>
      <w:rPr>
        <w:rFonts w:hint="default"/>
        <w:lang w:val="en-US" w:eastAsia="en-US" w:bidi="ar-SA"/>
      </w:rPr>
    </w:lvl>
    <w:lvl w:ilvl="4" w:tplc="CAA83CF2">
      <w:numFmt w:val="bullet"/>
      <w:lvlText w:val="•"/>
      <w:lvlJc w:val="left"/>
      <w:pPr>
        <w:ind w:left="3975" w:hanging="567"/>
      </w:pPr>
      <w:rPr>
        <w:rFonts w:hint="default"/>
        <w:lang w:val="en-US" w:eastAsia="en-US" w:bidi="ar-SA"/>
      </w:rPr>
    </w:lvl>
    <w:lvl w:ilvl="5" w:tplc="77B4914C">
      <w:numFmt w:val="bullet"/>
      <w:lvlText w:val="•"/>
      <w:lvlJc w:val="left"/>
      <w:pPr>
        <w:ind w:left="4873" w:hanging="567"/>
      </w:pPr>
      <w:rPr>
        <w:rFonts w:hint="default"/>
        <w:lang w:val="en-US" w:eastAsia="en-US" w:bidi="ar-SA"/>
      </w:rPr>
    </w:lvl>
    <w:lvl w:ilvl="6" w:tplc="B2DAC79E">
      <w:numFmt w:val="bullet"/>
      <w:lvlText w:val="•"/>
      <w:lvlJc w:val="left"/>
      <w:pPr>
        <w:ind w:left="5772" w:hanging="567"/>
      </w:pPr>
      <w:rPr>
        <w:rFonts w:hint="default"/>
        <w:lang w:val="en-US" w:eastAsia="en-US" w:bidi="ar-SA"/>
      </w:rPr>
    </w:lvl>
    <w:lvl w:ilvl="7" w:tplc="B6F20BBE">
      <w:numFmt w:val="bullet"/>
      <w:lvlText w:val="•"/>
      <w:lvlJc w:val="left"/>
      <w:pPr>
        <w:ind w:left="6670" w:hanging="567"/>
      </w:pPr>
      <w:rPr>
        <w:rFonts w:hint="default"/>
        <w:lang w:val="en-US" w:eastAsia="en-US" w:bidi="ar-SA"/>
      </w:rPr>
    </w:lvl>
    <w:lvl w:ilvl="8" w:tplc="FAEE3FD4">
      <w:numFmt w:val="bullet"/>
      <w:lvlText w:val="•"/>
      <w:lvlJc w:val="left"/>
      <w:pPr>
        <w:ind w:left="7569" w:hanging="567"/>
      </w:pPr>
      <w:rPr>
        <w:rFonts w:hint="default"/>
        <w:lang w:val="en-US" w:eastAsia="en-US" w:bidi="ar-SA"/>
      </w:rPr>
    </w:lvl>
  </w:abstractNum>
  <w:abstractNum w:abstractNumId="251" w15:restartNumberingAfterBreak="0">
    <w:nsid w:val="45BA469E"/>
    <w:multiLevelType w:val="hybridMultilevel"/>
    <w:tmpl w:val="5A4227CC"/>
    <w:lvl w:ilvl="0" w:tplc="2E48E434">
      <w:start w:val="1"/>
      <w:numFmt w:val="decimal"/>
      <w:lvlText w:val="(%1)"/>
      <w:lvlJc w:val="left"/>
      <w:pPr>
        <w:ind w:left="706" w:hanging="567"/>
      </w:pPr>
      <w:rPr>
        <w:rFonts w:ascii="Arial" w:eastAsia="Calibri" w:hAnsi="Arial" w:cs="Arial" w:hint="default"/>
        <w:spacing w:val="-1"/>
        <w:w w:val="100"/>
        <w:sz w:val="20"/>
        <w:szCs w:val="22"/>
        <w:lang w:val="en-US" w:eastAsia="en-US" w:bidi="ar-SA"/>
      </w:rPr>
    </w:lvl>
    <w:lvl w:ilvl="1" w:tplc="4356921C">
      <w:numFmt w:val="bullet"/>
      <w:lvlText w:val="•"/>
      <w:lvlJc w:val="left"/>
      <w:pPr>
        <w:ind w:left="1566" w:hanging="567"/>
      </w:pPr>
      <w:rPr>
        <w:rFonts w:hint="default"/>
        <w:lang w:val="en-US" w:eastAsia="en-US" w:bidi="ar-SA"/>
      </w:rPr>
    </w:lvl>
    <w:lvl w:ilvl="2" w:tplc="D4100296">
      <w:numFmt w:val="bullet"/>
      <w:lvlText w:val="•"/>
      <w:lvlJc w:val="left"/>
      <w:pPr>
        <w:ind w:left="2433" w:hanging="567"/>
      </w:pPr>
      <w:rPr>
        <w:rFonts w:hint="default"/>
        <w:lang w:val="en-US" w:eastAsia="en-US" w:bidi="ar-SA"/>
      </w:rPr>
    </w:lvl>
    <w:lvl w:ilvl="3" w:tplc="AC8C07BE">
      <w:numFmt w:val="bullet"/>
      <w:lvlText w:val="•"/>
      <w:lvlJc w:val="left"/>
      <w:pPr>
        <w:ind w:left="3299" w:hanging="567"/>
      </w:pPr>
      <w:rPr>
        <w:rFonts w:hint="default"/>
        <w:lang w:val="en-US" w:eastAsia="en-US" w:bidi="ar-SA"/>
      </w:rPr>
    </w:lvl>
    <w:lvl w:ilvl="4" w:tplc="4ADE76DC">
      <w:numFmt w:val="bullet"/>
      <w:lvlText w:val="•"/>
      <w:lvlJc w:val="left"/>
      <w:pPr>
        <w:ind w:left="4166" w:hanging="567"/>
      </w:pPr>
      <w:rPr>
        <w:rFonts w:hint="default"/>
        <w:lang w:val="en-US" w:eastAsia="en-US" w:bidi="ar-SA"/>
      </w:rPr>
    </w:lvl>
    <w:lvl w:ilvl="5" w:tplc="7302AB3C">
      <w:numFmt w:val="bullet"/>
      <w:lvlText w:val="•"/>
      <w:lvlJc w:val="left"/>
      <w:pPr>
        <w:ind w:left="5033" w:hanging="567"/>
      </w:pPr>
      <w:rPr>
        <w:rFonts w:hint="default"/>
        <w:lang w:val="en-US" w:eastAsia="en-US" w:bidi="ar-SA"/>
      </w:rPr>
    </w:lvl>
    <w:lvl w:ilvl="6" w:tplc="B0FAD948">
      <w:numFmt w:val="bullet"/>
      <w:lvlText w:val="•"/>
      <w:lvlJc w:val="left"/>
      <w:pPr>
        <w:ind w:left="5899" w:hanging="567"/>
      </w:pPr>
      <w:rPr>
        <w:rFonts w:hint="default"/>
        <w:lang w:val="en-US" w:eastAsia="en-US" w:bidi="ar-SA"/>
      </w:rPr>
    </w:lvl>
    <w:lvl w:ilvl="7" w:tplc="44108F9E">
      <w:numFmt w:val="bullet"/>
      <w:lvlText w:val="•"/>
      <w:lvlJc w:val="left"/>
      <w:pPr>
        <w:ind w:left="6766" w:hanging="567"/>
      </w:pPr>
      <w:rPr>
        <w:rFonts w:hint="default"/>
        <w:lang w:val="en-US" w:eastAsia="en-US" w:bidi="ar-SA"/>
      </w:rPr>
    </w:lvl>
    <w:lvl w:ilvl="8" w:tplc="110C7E78">
      <w:numFmt w:val="bullet"/>
      <w:lvlText w:val="•"/>
      <w:lvlJc w:val="left"/>
      <w:pPr>
        <w:ind w:left="7633" w:hanging="567"/>
      </w:pPr>
      <w:rPr>
        <w:rFonts w:hint="default"/>
        <w:lang w:val="en-US" w:eastAsia="en-US" w:bidi="ar-SA"/>
      </w:rPr>
    </w:lvl>
  </w:abstractNum>
  <w:abstractNum w:abstractNumId="252" w15:restartNumberingAfterBreak="0">
    <w:nsid w:val="463817B8"/>
    <w:multiLevelType w:val="hybridMultilevel"/>
    <w:tmpl w:val="88F215FA"/>
    <w:lvl w:ilvl="0" w:tplc="A1222360">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384E7BDC">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FB128386">
      <w:numFmt w:val="bullet"/>
      <w:lvlText w:val="•"/>
      <w:lvlJc w:val="left"/>
      <w:pPr>
        <w:ind w:left="2178" w:hanging="567"/>
      </w:pPr>
      <w:rPr>
        <w:rFonts w:hint="default"/>
        <w:lang w:val="en-US" w:eastAsia="en-US" w:bidi="ar-SA"/>
      </w:rPr>
    </w:lvl>
    <w:lvl w:ilvl="3" w:tplc="421489B2">
      <w:numFmt w:val="bullet"/>
      <w:lvlText w:val="•"/>
      <w:lvlJc w:val="left"/>
      <w:pPr>
        <w:ind w:left="3076" w:hanging="567"/>
      </w:pPr>
      <w:rPr>
        <w:rFonts w:hint="default"/>
        <w:lang w:val="en-US" w:eastAsia="en-US" w:bidi="ar-SA"/>
      </w:rPr>
    </w:lvl>
    <w:lvl w:ilvl="4" w:tplc="17F8CED2">
      <w:numFmt w:val="bullet"/>
      <w:lvlText w:val="•"/>
      <w:lvlJc w:val="left"/>
      <w:pPr>
        <w:ind w:left="3975" w:hanging="567"/>
      </w:pPr>
      <w:rPr>
        <w:rFonts w:hint="default"/>
        <w:lang w:val="en-US" w:eastAsia="en-US" w:bidi="ar-SA"/>
      </w:rPr>
    </w:lvl>
    <w:lvl w:ilvl="5" w:tplc="0502986E">
      <w:numFmt w:val="bullet"/>
      <w:lvlText w:val="•"/>
      <w:lvlJc w:val="left"/>
      <w:pPr>
        <w:ind w:left="4873" w:hanging="567"/>
      </w:pPr>
      <w:rPr>
        <w:rFonts w:hint="default"/>
        <w:lang w:val="en-US" w:eastAsia="en-US" w:bidi="ar-SA"/>
      </w:rPr>
    </w:lvl>
    <w:lvl w:ilvl="6" w:tplc="37726F58">
      <w:numFmt w:val="bullet"/>
      <w:lvlText w:val="•"/>
      <w:lvlJc w:val="left"/>
      <w:pPr>
        <w:ind w:left="5772" w:hanging="567"/>
      </w:pPr>
      <w:rPr>
        <w:rFonts w:hint="default"/>
        <w:lang w:val="en-US" w:eastAsia="en-US" w:bidi="ar-SA"/>
      </w:rPr>
    </w:lvl>
    <w:lvl w:ilvl="7" w:tplc="E34ED908">
      <w:numFmt w:val="bullet"/>
      <w:lvlText w:val="•"/>
      <w:lvlJc w:val="left"/>
      <w:pPr>
        <w:ind w:left="6670" w:hanging="567"/>
      </w:pPr>
      <w:rPr>
        <w:rFonts w:hint="default"/>
        <w:lang w:val="en-US" w:eastAsia="en-US" w:bidi="ar-SA"/>
      </w:rPr>
    </w:lvl>
    <w:lvl w:ilvl="8" w:tplc="C27A4FAA">
      <w:numFmt w:val="bullet"/>
      <w:lvlText w:val="•"/>
      <w:lvlJc w:val="left"/>
      <w:pPr>
        <w:ind w:left="7569" w:hanging="567"/>
      </w:pPr>
      <w:rPr>
        <w:rFonts w:hint="default"/>
        <w:lang w:val="en-US" w:eastAsia="en-US" w:bidi="ar-SA"/>
      </w:rPr>
    </w:lvl>
  </w:abstractNum>
  <w:abstractNum w:abstractNumId="253" w15:restartNumberingAfterBreak="0">
    <w:nsid w:val="46875C84"/>
    <w:multiLevelType w:val="hybridMultilevel"/>
    <w:tmpl w:val="CF1E6E92"/>
    <w:lvl w:ilvl="0" w:tplc="53CC45D2">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C23C159C">
      <w:numFmt w:val="bullet"/>
      <w:lvlText w:val="•"/>
      <w:lvlJc w:val="left"/>
      <w:pPr>
        <w:ind w:left="1566" w:hanging="567"/>
      </w:pPr>
      <w:rPr>
        <w:rFonts w:hint="default"/>
        <w:lang w:val="en-US" w:eastAsia="en-US" w:bidi="ar-SA"/>
      </w:rPr>
    </w:lvl>
    <w:lvl w:ilvl="2" w:tplc="7C82086A">
      <w:numFmt w:val="bullet"/>
      <w:lvlText w:val="•"/>
      <w:lvlJc w:val="left"/>
      <w:pPr>
        <w:ind w:left="2433" w:hanging="567"/>
      </w:pPr>
      <w:rPr>
        <w:rFonts w:hint="default"/>
        <w:lang w:val="en-US" w:eastAsia="en-US" w:bidi="ar-SA"/>
      </w:rPr>
    </w:lvl>
    <w:lvl w:ilvl="3" w:tplc="39864FAE">
      <w:numFmt w:val="bullet"/>
      <w:lvlText w:val="•"/>
      <w:lvlJc w:val="left"/>
      <w:pPr>
        <w:ind w:left="3299" w:hanging="567"/>
      </w:pPr>
      <w:rPr>
        <w:rFonts w:hint="default"/>
        <w:lang w:val="en-US" w:eastAsia="en-US" w:bidi="ar-SA"/>
      </w:rPr>
    </w:lvl>
    <w:lvl w:ilvl="4" w:tplc="3ACE49AE">
      <w:numFmt w:val="bullet"/>
      <w:lvlText w:val="•"/>
      <w:lvlJc w:val="left"/>
      <w:pPr>
        <w:ind w:left="4166" w:hanging="567"/>
      </w:pPr>
      <w:rPr>
        <w:rFonts w:hint="default"/>
        <w:lang w:val="en-US" w:eastAsia="en-US" w:bidi="ar-SA"/>
      </w:rPr>
    </w:lvl>
    <w:lvl w:ilvl="5" w:tplc="2BE2ED40">
      <w:numFmt w:val="bullet"/>
      <w:lvlText w:val="•"/>
      <w:lvlJc w:val="left"/>
      <w:pPr>
        <w:ind w:left="5033" w:hanging="567"/>
      </w:pPr>
      <w:rPr>
        <w:rFonts w:hint="default"/>
        <w:lang w:val="en-US" w:eastAsia="en-US" w:bidi="ar-SA"/>
      </w:rPr>
    </w:lvl>
    <w:lvl w:ilvl="6" w:tplc="5486F44E">
      <w:numFmt w:val="bullet"/>
      <w:lvlText w:val="•"/>
      <w:lvlJc w:val="left"/>
      <w:pPr>
        <w:ind w:left="5899" w:hanging="567"/>
      </w:pPr>
      <w:rPr>
        <w:rFonts w:hint="default"/>
        <w:lang w:val="en-US" w:eastAsia="en-US" w:bidi="ar-SA"/>
      </w:rPr>
    </w:lvl>
    <w:lvl w:ilvl="7" w:tplc="1CD68FC4">
      <w:numFmt w:val="bullet"/>
      <w:lvlText w:val="•"/>
      <w:lvlJc w:val="left"/>
      <w:pPr>
        <w:ind w:left="6766" w:hanging="567"/>
      </w:pPr>
      <w:rPr>
        <w:rFonts w:hint="default"/>
        <w:lang w:val="en-US" w:eastAsia="en-US" w:bidi="ar-SA"/>
      </w:rPr>
    </w:lvl>
    <w:lvl w:ilvl="8" w:tplc="E3222DF6">
      <w:numFmt w:val="bullet"/>
      <w:lvlText w:val="•"/>
      <w:lvlJc w:val="left"/>
      <w:pPr>
        <w:ind w:left="7633" w:hanging="567"/>
      </w:pPr>
      <w:rPr>
        <w:rFonts w:hint="default"/>
        <w:lang w:val="en-US" w:eastAsia="en-US" w:bidi="ar-SA"/>
      </w:rPr>
    </w:lvl>
  </w:abstractNum>
  <w:abstractNum w:abstractNumId="254" w15:restartNumberingAfterBreak="0">
    <w:nsid w:val="46E32D46"/>
    <w:multiLevelType w:val="hybridMultilevel"/>
    <w:tmpl w:val="60FC063A"/>
    <w:lvl w:ilvl="0" w:tplc="1A4AEC80">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B0DEE4C8">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76A4D874">
      <w:numFmt w:val="bullet"/>
      <w:lvlText w:val="•"/>
      <w:lvlJc w:val="left"/>
      <w:pPr>
        <w:ind w:left="2178" w:hanging="567"/>
      </w:pPr>
      <w:rPr>
        <w:rFonts w:hint="default"/>
        <w:lang w:val="en-US" w:eastAsia="en-US" w:bidi="ar-SA"/>
      </w:rPr>
    </w:lvl>
    <w:lvl w:ilvl="3" w:tplc="5AB2DBA8">
      <w:numFmt w:val="bullet"/>
      <w:lvlText w:val="•"/>
      <w:lvlJc w:val="left"/>
      <w:pPr>
        <w:ind w:left="3076" w:hanging="567"/>
      </w:pPr>
      <w:rPr>
        <w:rFonts w:hint="default"/>
        <w:lang w:val="en-US" w:eastAsia="en-US" w:bidi="ar-SA"/>
      </w:rPr>
    </w:lvl>
    <w:lvl w:ilvl="4" w:tplc="7AEADAA6">
      <w:numFmt w:val="bullet"/>
      <w:lvlText w:val="•"/>
      <w:lvlJc w:val="left"/>
      <w:pPr>
        <w:ind w:left="3975" w:hanging="567"/>
      </w:pPr>
      <w:rPr>
        <w:rFonts w:hint="default"/>
        <w:lang w:val="en-US" w:eastAsia="en-US" w:bidi="ar-SA"/>
      </w:rPr>
    </w:lvl>
    <w:lvl w:ilvl="5" w:tplc="980A365C">
      <w:numFmt w:val="bullet"/>
      <w:lvlText w:val="•"/>
      <w:lvlJc w:val="left"/>
      <w:pPr>
        <w:ind w:left="4873" w:hanging="567"/>
      </w:pPr>
      <w:rPr>
        <w:rFonts w:hint="default"/>
        <w:lang w:val="en-US" w:eastAsia="en-US" w:bidi="ar-SA"/>
      </w:rPr>
    </w:lvl>
    <w:lvl w:ilvl="6" w:tplc="ECE0CE4A">
      <w:numFmt w:val="bullet"/>
      <w:lvlText w:val="•"/>
      <w:lvlJc w:val="left"/>
      <w:pPr>
        <w:ind w:left="5772" w:hanging="567"/>
      </w:pPr>
      <w:rPr>
        <w:rFonts w:hint="default"/>
        <w:lang w:val="en-US" w:eastAsia="en-US" w:bidi="ar-SA"/>
      </w:rPr>
    </w:lvl>
    <w:lvl w:ilvl="7" w:tplc="9F4A7E1E">
      <w:numFmt w:val="bullet"/>
      <w:lvlText w:val="•"/>
      <w:lvlJc w:val="left"/>
      <w:pPr>
        <w:ind w:left="6670" w:hanging="567"/>
      </w:pPr>
      <w:rPr>
        <w:rFonts w:hint="default"/>
        <w:lang w:val="en-US" w:eastAsia="en-US" w:bidi="ar-SA"/>
      </w:rPr>
    </w:lvl>
    <w:lvl w:ilvl="8" w:tplc="CD607414">
      <w:numFmt w:val="bullet"/>
      <w:lvlText w:val="•"/>
      <w:lvlJc w:val="left"/>
      <w:pPr>
        <w:ind w:left="7569" w:hanging="567"/>
      </w:pPr>
      <w:rPr>
        <w:rFonts w:hint="default"/>
        <w:lang w:val="en-US" w:eastAsia="en-US" w:bidi="ar-SA"/>
      </w:rPr>
    </w:lvl>
  </w:abstractNum>
  <w:abstractNum w:abstractNumId="255" w15:restartNumberingAfterBreak="0">
    <w:nsid w:val="470E20DA"/>
    <w:multiLevelType w:val="hybridMultilevel"/>
    <w:tmpl w:val="1868C412"/>
    <w:lvl w:ilvl="0" w:tplc="95A2068E">
      <w:start w:val="1"/>
      <w:numFmt w:val="lowerRoman"/>
      <w:lvlText w:val="(%1)"/>
      <w:lvlJc w:val="left"/>
      <w:pPr>
        <w:ind w:left="2408" w:hanging="567"/>
      </w:pPr>
      <w:rPr>
        <w:rFonts w:ascii="Arial" w:eastAsia="Calibri" w:hAnsi="Arial" w:cs="Arial" w:hint="default"/>
        <w:spacing w:val="-1"/>
        <w:w w:val="100"/>
        <w:sz w:val="20"/>
        <w:szCs w:val="22"/>
        <w:lang w:val="en-US" w:eastAsia="en-US" w:bidi="ar-SA"/>
      </w:rPr>
    </w:lvl>
    <w:lvl w:ilvl="1" w:tplc="03CA9CB0">
      <w:numFmt w:val="bullet"/>
      <w:lvlText w:val="•"/>
      <w:lvlJc w:val="left"/>
      <w:pPr>
        <w:ind w:left="3096" w:hanging="567"/>
      </w:pPr>
      <w:rPr>
        <w:rFonts w:hint="default"/>
        <w:lang w:val="en-US" w:eastAsia="en-US" w:bidi="ar-SA"/>
      </w:rPr>
    </w:lvl>
    <w:lvl w:ilvl="2" w:tplc="7D88605E">
      <w:numFmt w:val="bullet"/>
      <w:lvlText w:val="•"/>
      <w:lvlJc w:val="left"/>
      <w:pPr>
        <w:ind w:left="3793" w:hanging="567"/>
      </w:pPr>
      <w:rPr>
        <w:rFonts w:hint="default"/>
        <w:lang w:val="en-US" w:eastAsia="en-US" w:bidi="ar-SA"/>
      </w:rPr>
    </w:lvl>
    <w:lvl w:ilvl="3" w:tplc="93325B48">
      <w:numFmt w:val="bullet"/>
      <w:lvlText w:val="•"/>
      <w:lvlJc w:val="left"/>
      <w:pPr>
        <w:ind w:left="4489" w:hanging="567"/>
      </w:pPr>
      <w:rPr>
        <w:rFonts w:hint="default"/>
        <w:lang w:val="en-US" w:eastAsia="en-US" w:bidi="ar-SA"/>
      </w:rPr>
    </w:lvl>
    <w:lvl w:ilvl="4" w:tplc="510A4F08">
      <w:numFmt w:val="bullet"/>
      <w:lvlText w:val="•"/>
      <w:lvlJc w:val="left"/>
      <w:pPr>
        <w:ind w:left="5186" w:hanging="567"/>
      </w:pPr>
      <w:rPr>
        <w:rFonts w:hint="default"/>
        <w:lang w:val="en-US" w:eastAsia="en-US" w:bidi="ar-SA"/>
      </w:rPr>
    </w:lvl>
    <w:lvl w:ilvl="5" w:tplc="4ADC696E">
      <w:numFmt w:val="bullet"/>
      <w:lvlText w:val="•"/>
      <w:lvlJc w:val="left"/>
      <w:pPr>
        <w:ind w:left="5883" w:hanging="567"/>
      </w:pPr>
      <w:rPr>
        <w:rFonts w:hint="default"/>
        <w:lang w:val="en-US" w:eastAsia="en-US" w:bidi="ar-SA"/>
      </w:rPr>
    </w:lvl>
    <w:lvl w:ilvl="6" w:tplc="F8404B10">
      <w:numFmt w:val="bullet"/>
      <w:lvlText w:val="•"/>
      <w:lvlJc w:val="left"/>
      <w:pPr>
        <w:ind w:left="6579" w:hanging="567"/>
      </w:pPr>
      <w:rPr>
        <w:rFonts w:hint="default"/>
        <w:lang w:val="en-US" w:eastAsia="en-US" w:bidi="ar-SA"/>
      </w:rPr>
    </w:lvl>
    <w:lvl w:ilvl="7" w:tplc="0E727276">
      <w:numFmt w:val="bullet"/>
      <w:lvlText w:val="•"/>
      <w:lvlJc w:val="left"/>
      <w:pPr>
        <w:ind w:left="7276" w:hanging="567"/>
      </w:pPr>
      <w:rPr>
        <w:rFonts w:hint="default"/>
        <w:lang w:val="en-US" w:eastAsia="en-US" w:bidi="ar-SA"/>
      </w:rPr>
    </w:lvl>
    <w:lvl w:ilvl="8" w:tplc="7A6E3046">
      <w:numFmt w:val="bullet"/>
      <w:lvlText w:val="•"/>
      <w:lvlJc w:val="left"/>
      <w:pPr>
        <w:ind w:left="7973" w:hanging="567"/>
      </w:pPr>
      <w:rPr>
        <w:rFonts w:hint="default"/>
        <w:lang w:val="en-US" w:eastAsia="en-US" w:bidi="ar-SA"/>
      </w:rPr>
    </w:lvl>
  </w:abstractNum>
  <w:abstractNum w:abstractNumId="256" w15:restartNumberingAfterBreak="0">
    <w:nsid w:val="47204E09"/>
    <w:multiLevelType w:val="hybridMultilevel"/>
    <w:tmpl w:val="D4BEF45A"/>
    <w:lvl w:ilvl="0" w:tplc="83CCA17C">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D3C603B0">
      <w:start w:val="1"/>
      <w:numFmt w:val="decimal"/>
      <w:lvlText w:val="(%2)"/>
      <w:lvlJc w:val="left"/>
      <w:pPr>
        <w:ind w:left="1273" w:hanging="567"/>
      </w:pPr>
      <w:rPr>
        <w:rFonts w:ascii="Arial" w:eastAsia="Calibri" w:hAnsi="Arial" w:cs="Arial" w:hint="default"/>
        <w:w w:val="100"/>
        <w:sz w:val="20"/>
        <w:szCs w:val="22"/>
        <w:lang w:val="en-US" w:eastAsia="en-US" w:bidi="ar-SA"/>
      </w:rPr>
    </w:lvl>
    <w:lvl w:ilvl="2" w:tplc="A8F8A5E8">
      <w:start w:val="1"/>
      <w:numFmt w:val="lowerRoman"/>
      <w:lvlText w:val="(%3)"/>
      <w:lvlJc w:val="left"/>
      <w:pPr>
        <w:ind w:left="1842" w:hanging="569"/>
      </w:pPr>
      <w:rPr>
        <w:rFonts w:ascii="Arial" w:eastAsia="Calibri" w:hAnsi="Arial" w:cs="Arial" w:hint="default"/>
        <w:spacing w:val="-1"/>
        <w:w w:val="100"/>
        <w:sz w:val="20"/>
        <w:szCs w:val="22"/>
        <w:lang w:val="en-US" w:eastAsia="en-US" w:bidi="ar-SA"/>
      </w:rPr>
    </w:lvl>
    <w:lvl w:ilvl="3" w:tplc="0EB6B3D0">
      <w:numFmt w:val="bullet"/>
      <w:lvlText w:val="•"/>
      <w:lvlJc w:val="left"/>
      <w:pPr>
        <w:ind w:left="2780" w:hanging="569"/>
      </w:pPr>
      <w:rPr>
        <w:rFonts w:hint="default"/>
        <w:lang w:val="en-US" w:eastAsia="en-US" w:bidi="ar-SA"/>
      </w:rPr>
    </w:lvl>
    <w:lvl w:ilvl="4" w:tplc="A9F6EAB2">
      <w:numFmt w:val="bullet"/>
      <w:lvlText w:val="•"/>
      <w:lvlJc w:val="left"/>
      <w:pPr>
        <w:ind w:left="3721" w:hanging="569"/>
      </w:pPr>
      <w:rPr>
        <w:rFonts w:hint="default"/>
        <w:lang w:val="en-US" w:eastAsia="en-US" w:bidi="ar-SA"/>
      </w:rPr>
    </w:lvl>
    <w:lvl w:ilvl="5" w:tplc="52089314">
      <w:numFmt w:val="bullet"/>
      <w:lvlText w:val="•"/>
      <w:lvlJc w:val="left"/>
      <w:pPr>
        <w:ind w:left="4662" w:hanging="569"/>
      </w:pPr>
      <w:rPr>
        <w:rFonts w:hint="default"/>
        <w:lang w:val="en-US" w:eastAsia="en-US" w:bidi="ar-SA"/>
      </w:rPr>
    </w:lvl>
    <w:lvl w:ilvl="6" w:tplc="D0A4C2F6">
      <w:numFmt w:val="bullet"/>
      <w:lvlText w:val="•"/>
      <w:lvlJc w:val="left"/>
      <w:pPr>
        <w:ind w:left="5603" w:hanging="569"/>
      </w:pPr>
      <w:rPr>
        <w:rFonts w:hint="default"/>
        <w:lang w:val="en-US" w:eastAsia="en-US" w:bidi="ar-SA"/>
      </w:rPr>
    </w:lvl>
    <w:lvl w:ilvl="7" w:tplc="128E2302">
      <w:numFmt w:val="bullet"/>
      <w:lvlText w:val="•"/>
      <w:lvlJc w:val="left"/>
      <w:pPr>
        <w:ind w:left="6544" w:hanging="569"/>
      </w:pPr>
      <w:rPr>
        <w:rFonts w:hint="default"/>
        <w:lang w:val="en-US" w:eastAsia="en-US" w:bidi="ar-SA"/>
      </w:rPr>
    </w:lvl>
    <w:lvl w:ilvl="8" w:tplc="637C04E6">
      <w:numFmt w:val="bullet"/>
      <w:lvlText w:val="•"/>
      <w:lvlJc w:val="left"/>
      <w:pPr>
        <w:ind w:left="7484" w:hanging="569"/>
      </w:pPr>
      <w:rPr>
        <w:rFonts w:hint="default"/>
        <w:lang w:val="en-US" w:eastAsia="en-US" w:bidi="ar-SA"/>
      </w:rPr>
    </w:lvl>
  </w:abstractNum>
  <w:abstractNum w:abstractNumId="257" w15:restartNumberingAfterBreak="0">
    <w:nsid w:val="475543CD"/>
    <w:multiLevelType w:val="hybridMultilevel"/>
    <w:tmpl w:val="D54660AE"/>
    <w:lvl w:ilvl="0" w:tplc="D36C6EE0">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890AD57C">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16C0247E">
      <w:numFmt w:val="bullet"/>
      <w:lvlText w:val="•"/>
      <w:lvlJc w:val="left"/>
      <w:pPr>
        <w:ind w:left="2178" w:hanging="567"/>
      </w:pPr>
      <w:rPr>
        <w:rFonts w:hint="default"/>
        <w:lang w:val="en-US" w:eastAsia="en-US" w:bidi="ar-SA"/>
      </w:rPr>
    </w:lvl>
    <w:lvl w:ilvl="3" w:tplc="5D9CA3C8">
      <w:numFmt w:val="bullet"/>
      <w:lvlText w:val="•"/>
      <w:lvlJc w:val="left"/>
      <w:pPr>
        <w:ind w:left="3076" w:hanging="567"/>
      </w:pPr>
      <w:rPr>
        <w:rFonts w:hint="default"/>
        <w:lang w:val="en-US" w:eastAsia="en-US" w:bidi="ar-SA"/>
      </w:rPr>
    </w:lvl>
    <w:lvl w:ilvl="4" w:tplc="D0E8DA06">
      <w:numFmt w:val="bullet"/>
      <w:lvlText w:val="•"/>
      <w:lvlJc w:val="left"/>
      <w:pPr>
        <w:ind w:left="3975" w:hanging="567"/>
      </w:pPr>
      <w:rPr>
        <w:rFonts w:hint="default"/>
        <w:lang w:val="en-US" w:eastAsia="en-US" w:bidi="ar-SA"/>
      </w:rPr>
    </w:lvl>
    <w:lvl w:ilvl="5" w:tplc="C4D6F0CC">
      <w:numFmt w:val="bullet"/>
      <w:lvlText w:val="•"/>
      <w:lvlJc w:val="left"/>
      <w:pPr>
        <w:ind w:left="4873" w:hanging="567"/>
      </w:pPr>
      <w:rPr>
        <w:rFonts w:hint="default"/>
        <w:lang w:val="en-US" w:eastAsia="en-US" w:bidi="ar-SA"/>
      </w:rPr>
    </w:lvl>
    <w:lvl w:ilvl="6" w:tplc="6B88B926">
      <w:numFmt w:val="bullet"/>
      <w:lvlText w:val="•"/>
      <w:lvlJc w:val="left"/>
      <w:pPr>
        <w:ind w:left="5772" w:hanging="567"/>
      </w:pPr>
      <w:rPr>
        <w:rFonts w:hint="default"/>
        <w:lang w:val="en-US" w:eastAsia="en-US" w:bidi="ar-SA"/>
      </w:rPr>
    </w:lvl>
    <w:lvl w:ilvl="7" w:tplc="825A4078">
      <w:numFmt w:val="bullet"/>
      <w:lvlText w:val="•"/>
      <w:lvlJc w:val="left"/>
      <w:pPr>
        <w:ind w:left="6670" w:hanging="567"/>
      </w:pPr>
      <w:rPr>
        <w:rFonts w:hint="default"/>
        <w:lang w:val="en-US" w:eastAsia="en-US" w:bidi="ar-SA"/>
      </w:rPr>
    </w:lvl>
    <w:lvl w:ilvl="8" w:tplc="AF8E621C">
      <w:numFmt w:val="bullet"/>
      <w:lvlText w:val="•"/>
      <w:lvlJc w:val="left"/>
      <w:pPr>
        <w:ind w:left="7569" w:hanging="567"/>
      </w:pPr>
      <w:rPr>
        <w:rFonts w:hint="default"/>
        <w:lang w:val="en-US" w:eastAsia="en-US" w:bidi="ar-SA"/>
      </w:rPr>
    </w:lvl>
  </w:abstractNum>
  <w:abstractNum w:abstractNumId="258" w15:restartNumberingAfterBreak="0">
    <w:nsid w:val="477E625E"/>
    <w:multiLevelType w:val="hybridMultilevel"/>
    <w:tmpl w:val="5978DAFA"/>
    <w:lvl w:ilvl="0" w:tplc="5CB8947E">
      <w:start w:val="1"/>
      <w:numFmt w:val="lowerRoman"/>
      <w:lvlText w:val="(%1)"/>
      <w:lvlJc w:val="left"/>
      <w:pPr>
        <w:ind w:left="2408" w:hanging="567"/>
      </w:pPr>
      <w:rPr>
        <w:rFonts w:ascii="Arial" w:eastAsia="Calibri" w:hAnsi="Arial" w:cs="Arial" w:hint="default"/>
        <w:spacing w:val="-1"/>
        <w:w w:val="100"/>
        <w:sz w:val="20"/>
        <w:szCs w:val="22"/>
        <w:lang w:val="en-US" w:eastAsia="en-US" w:bidi="ar-SA"/>
      </w:rPr>
    </w:lvl>
    <w:lvl w:ilvl="1" w:tplc="6AE435E2">
      <w:numFmt w:val="bullet"/>
      <w:lvlText w:val="•"/>
      <w:lvlJc w:val="left"/>
      <w:pPr>
        <w:ind w:left="3096" w:hanging="567"/>
      </w:pPr>
      <w:rPr>
        <w:rFonts w:hint="default"/>
        <w:lang w:val="en-US" w:eastAsia="en-US" w:bidi="ar-SA"/>
      </w:rPr>
    </w:lvl>
    <w:lvl w:ilvl="2" w:tplc="7F3214A2">
      <w:numFmt w:val="bullet"/>
      <w:lvlText w:val="•"/>
      <w:lvlJc w:val="left"/>
      <w:pPr>
        <w:ind w:left="3793" w:hanging="567"/>
      </w:pPr>
      <w:rPr>
        <w:rFonts w:hint="default"/>
        <w:lang w:val="en-US" w:eastAsia="en-US" w:bidi="ar-SA"/>
      </w:rPr>
    </w:lvl>
    <w:lvl w:ilvl="3" w:tplc="DE4A79FA">
      <w:numFmt w:val="bullet"/>
      <w:lvlText w:val="•"/>
      <w:lvlJc w:val="left"/>
      <w:pPr>
        <w:ind w:left="4489" w:hanging="567"/>
      </w:pPr>
      <w:rPr>
        <w:rFonts w:hint="default"/>
        <w:lang w:val="en-US" w:eastAsia="en-US" w:bidi="ar-SA"/>
      </w:rPr>
    </w:lvl>
    <w:lvl w:ilvl="4" w:tplc="CF14D1C8">
      <w:numFmt w:val="bullet"/>
      <w:lvlText w:val="•"/>
      <w:lvlJc w:val="left"/>
      <w:pPr>
        <w:ind w:left="5186" w:hanging="567"/>
      </w:pPr>
      <w:rPr>
        <w:rFonts w:hint="default"/>
        <w:lang w:val="en-US" w:eastAsia="en-US" w:bidi="ar-SA"/>
      </w:rPr>
    </w:lvl>
    <w:lvl w:ilvl="5" w:tplc="A120D5A0">
      <w:numFmt w:val="bullet"/>
      <w:lvlText w:val="•"/>
      <w:lvlJc w:val="left"/>
      <w:pPr>
        <w:ind w:left="5883" w:hanging="567"/>
      </w:pPr>
      <w:rPr>
        <w:rFonts w:hint="default"/>
        <w:lang w:val="en-US" w:eastAsia="en-US" w:bidi="ar-SA"/>
      </w:rPr>
    </w:lvl>
    <w:lvl w:ilvl="6" w:tplc="13062F2C">
      <w:numFmt w:val="bullet"/>
      <w:lvlText w:val="•"/>
      <w:lvlJc w:val="left"/>
      <w:pPr>
        <w:ind w:left="6579" w:hanging="567"/>
      </w:pPr>
      <w:rPr>
        <w:rFonts w:hint="default"/>
        <w:lang w:val="en-US" w:eastAsia="en-US" w:bidi="ar-SA"/>
      </w:rPr>
    </w:lvl>
    <w:lvl w:ilvl="7" w:tplc="EFA06E2C">
      <w:numFmt w:val="bullet"/>
      <w:lvlText w:val="•"/>
      <w:lvlJc w:val="left"/>
      <w:pPr>
        <w:ind w:left="7276" w:hanging="567"/>
      </w:pPr>
      <w:rPr>
        <w:rFonts w:hint="default"/>
        <w:lang w:val="en-US" w:eastAsia="en-US" w:bidi="ar-SA"/>
      </w:rPr>
    </w:lvl>
    <w:lvl w:ilvl="8" w:tplc="EACE6ABA">
      <w:numFmt w:val="bullet"/>
      <w:lvlText w:val="•"/>
      <w:lvlJc w:val="left"/>
      <w:pPr>
        <w:ind w:left="7973" w:hanging="567"/>
      </w:pPr>
      <w:rPr>
        <w:rFonts w:hint="default"/>
        <w:lang w:val="en-US" w:eastAsia="en-US" w:bidi="ar-SA"/>
      </w:rPr>
    </w:lvl>
  </w:abstractNum>
  <w:abstractNum w:abstractNumId="259" w15:restartNumberingAfterBreak="0">
    <w:nsid w:val="478B6021"/>
    <w:multiLevelType w:val="hybridMultilevel"/>
    <w:tmpl w:val="2D2AF6E2"/>
    <w:lvl w:ilvl="0" w:tplc="81B0DB78">
      <w:start w:val="1"/>
      <w:numFmt w:val="decimal"/>
      <w:lvlText w:val="(%1)"/>
      <w:lvlJc w:val="left"/>
      <w:pPr>
        <w:ind w:left="1273" w:hanging="567"/>
      </w:pPr>
      <w:rPr>
        <w:rFonts w:ascii="Arial" w:eastAsia="Calibri" w:hAnsi="Arial" w:cs="Arial" w:hint="default"/>
        <w:spacing w:val="-1"/>
        <w:w w:val="100"/>
        <w:sz w:val="20"/>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0" w15:restartNumberingAfterBreak="0">
    <w:nsid w:val="4861794D"/>
    <w:multiLevelType w:val="hybridMultilevel"/>
    <w:tmpl w:val="2D2AF6E2"/>
    <w:lvl w:ilvl="0" w:tplc="81B0DB78">
      <w:start w:val="1"/>
      <w:numFmt w:val="decimal"/>
      <w:lvlText w:val="(%1)"/>
      <w:lvlJc w:val="left"/>
      <w:pPr>
        <w:ind w:left="1273" w:hanging="567"/>
      </w:pPr>
      <w:rPr>
        <w:rFonts w:ascii="Arial" w:eastAsia="Calibri" w:hAnsi="Arial" w:cs="Arial" w:hint="default"/>
        <w:spacing w:val="-1"/>
        <w:w w:val="100"/>
        <w:sz w:val="20"/>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1" w15:restartNumberingAfterBreak="0">
    <w:nsid w:val="489A7619"/>
    <w:multiLevelType w:val="hybridMultilevel"/>
    <w:tmpl w:val="B79EBF00"/>
    <w:lvl w:ilvl="0" w:tplc="19C281FA">
      <w:numFmt w:val="bullet"/>
      <w:lvlText w:val="—"/>
      <w:lvlJc w:val="left"/>
      <w:pPr>
        <w:ind w:left="1273" w:hanging="567"/>
      </w:pPr>
      <w:rPr>
        <w:rFonts w:ascii="Calibri" w:eastAsia="Calibri" w:hAnsi="Calibri" w:cs="Calibri" w:hint="default"/>
        <w:w w:val="100"/>
        <w:sz w:val="22"/>
        <w:szCs w:val="22"/>
        <w:lang w:val="en-US" w:eastAsia="en-US" w:bidi="ar-SA"/>
      </w:rPr>
    </w:lvl>
    <w:lvl w:ilvl="1" w:tplc="D4F43ECA">
      <w:numFmt w:val="bullet"/>
      <w:lvlText w:val="•"/>
      <w:lvlJc w:val="left"/>
      <w:pPr>
        <w:ind w:left="2088" w:hanging="567"/>
      </w:pPr>
      <w:rPr>
        <w:rFonts w:hint="default"/>
        <w:lang w:val="en-US" w:eastAsia="en-US" w:bidi="ar-SA"/>
      </w:rPr>
    </w:lvl>
    <w:lvl w:ilvl="2" w:tplc="5B1C96E6">
      <w:numFmt w:val="bullet"/>
      <w:lvlText w:val="•"/>
      <w:lvlJc w:val="left"/>
      <w:pPr>
        <w:ind w:left="2897" w:hanging="567"/>
      </w:pPr>
      <w:rPr>
        <w:rFonts w:hint="default"/>
        <w:lang w:val="en-US" w:eastAsia="en-US" w:bidi="ar-SA"/>
      </w:rPr>
    </w:lvl>
    <w:lvl w:ilvl="3" w:tplc="5E241942">
      <w:numFmt w:val="bullet"/>
      <w:lvlText w:val="•"/>
      <w:lvlJc w:val="left"/>
      <w:pPr>
        <w:ind w:left="3705" w:hanging="567"/>
      </w:pPr>
      <w:rPr>
        <w:rFonts w:hint="default"/>
        <w:lang w:val="en-US" w:eastAsia="en-US" w:bidi="ar-SA"/>
      </w:rPr>
    </w:lvl>
    <w:lvl w:ilvl="4" w:tplc="4BD45492">
      <w:numFmt w:val="bullet"/>
      <w:lvlText w:val="•"/>
      <w:lvlJc w:val="left"/>
      <w:pPr>
        <w:ind w:left="4514" w:hanging="567"/>
      </w:pPr>
      <w:rPr>
        <w:rFonts w:hint="default"/>
        <w:lang w:val="en-US" w:eastAsia="en-US" w:bidi="ar-SA"/>
      </w:rPr>
    </w:lvl>
    <w:lvl w:ilvl="5" w:tplc="F97EEE50">
      <w:numFmt w:val="bullet"/>
      <w:lvlText w:val="•"/>
      <w:lvlJc w:val="left"/>
      <w:pPr>
        <w:ind w:left="5323" w:hanging="567"/>
      </w:pPr>
      <w:rPr>
        <w:rFonts w:hint="default"/>
        <w:lang w:val="en-US" w:eastAsia="en-US" w:bidi="ar-SA"/>
      </w:rPr>
    </w:lvl>
    <w:lvl w:ilvl="6" w:tplc="05421F14">
      <w:numFmt w:val="bullet"/>
      <w:lvlText w:val="•"/>
      <w:lvlJc w:val="left"/>
      <w:pPr>
        <w:ind w:left="6131" w:hanging="567"/>
      </w:pPr>
      <w:rPr>
        <w:rFonts w:hint="default"/>
        <w:lang w:val="en-US" w:eastAsia="en-US" w:bidi="ar-SA"/>
      </w:rPr>
    </w:lvl>
    <w:lvl w:ilvl="7" w:tplc="AB0A214E">
      <w:numFmt w:val="bullet"/>
      <w:lvlText w:val="•"/>
      <w:lvlJc w:val="left"/>
      <w:pPr>
        <w:ind w:left="6940" w:hanging="567"/>
      </w:pPr>
      <w:rPr>
        <w:rFonts w:hint="default"/>
        <w:lang w:val="en-US" w:eastAsia="en-US" w:bidi="ar-SA"/>
      </w:rPr>
    </w:lvl>
    <w:lvl w:ilvl="8" w:tplc="0D9A1AC6">
      <w:numFmt w:val="bullet"/>
      <w:lvlText w:val="•"/>
      <w:lvlJc w:val="left"/>
      <w:pPr>
        <w:ind w:left="7749" w:hanging="567"/>
      </w:pPr>
      <w:rPr>
        <w:rFonts w:hint="default"/>
        <w:lang w:val="en-US" w:eastAsia="en-US" w:bidi="ar-SA"/>
      </w:rPr>
    </w:lvl>
  </w:abstractNum>
  <w:abstractNum w:abstractNumId="262" w15:restartNumberingAfterBreak="0">
    <w:nsid w:val="48F8254C"/>
    <w:multiLevelType w:val="hybridMultilevel"/>
    <w:tmpl w:val="FB5A3FA6"/>
    <w:lvl w:ilvl="0" w:tplc="CD80582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ADC655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1B2266EE">
      <w:numFmt w:val="bullet"/>
      <w:lvlText w:val="•"/>
      <w:lvlJc w:val="left"/>
      <w:pPr>
        <w:ind w:left="2178" w:hanging="567"/>
      </w:pPr>
      <w:rPr>
        <w:lang w:val="en-US" w:eastAsia="en-US" w:bidi="ar-SA"/>
      </w:rPr>
    </w:lvl>
    <w:lvl w:ilvl="3" w:tplc="45BE0660">
      <w:numFmt w:val="bullet"/>
      <w:lvlText w:val="•"/>
      <w:lvlJc w:val="left"/>
      <w:pPr>
        <w:ind w:left="3076" w:hanging="567"/>
      </w:pPr>
      <w:rPr>
        <w:lang w:val="en-US" w:eastAsia="en-US" w:bidi="ar-SA"/>
      </w:rPr>
    </w:lvl>
    <w:lvl w:ilvl="4" w:tplc="EF4E30C8">
      <w:numFmt w:val="bullet"/>
      <w:lvlText w:val="•"/>
      <w:lvlJc w:val="left"/>
      <w:pPr>
        <w:ind w:left="3975" w:hanging="567"/>
      </w:pPr>
      <w:rPr>
        <w:lang w:val="en-US" w:eastAsia="en-US" w:bidi="ar-SA"/>
      </w:rPr>
    </w:lvl>
    <w:lvl w:ilvl="5" w:tplc="E8CECEAA">
      <w:numFmt w:val="bullet"/>
      <w:lvlText w:val="•"/>
      <w:lvlJc w:val="left"/>
      <w:pPr>
        <w:ind w:left="4873" w:hanging="567"/>
      </w:pPr>
      <w:rPr>
        <w:lang w:val="en-US" w:eastAsia="en-US" w:bidi="ar-SA"/>
      </w:rPr>
    </w:lvl>
    <w:lvl w:ilvl="6" w:tplc="D8024D6C">
      <w:numFmt w:val="bullet"/>
      <w:lvlText w:val="•"/>
      <w:lvlJc w:val="left"/>
      <w:pPr>
        <w:ind w:left="5772" w:hanging="567"/>
      </w:pPr>
      <w:rPr>
        <w:lang w:val="en-US" w:eastAsia="en-US" w:bidi="ar-SA"/>
      </w:rPr>
    </w:lvl>
    <w:lvl w:ilvl="7" w:tplc="7E1A1F06">
      <w:numFmt w:val="bullet"/>
      <w:lvlText w:val="•"/>
      <w:lvlJc w:val="left"/>
      <w:pPr>
        <w:ind w:left="6670" w:hanging="567"/>
      </w:pPr>
      <w:rPr>
        <w:lang w:val="en-US" w:eastAsia="en-US" w:bidi="ar-SA"/>
      </w:rPr>
    </w:lvl>
    <w:lvl w:ilvl="8" w:tplc="78D2843C">
      <w:numFmt w:val="bullet"/>
      <w:lvlText w:val="•"/>
      <w:lvlJc w:val="left"/>
      <w:pPr>
        <w:ind w:left="7569" w:hanging="567"/>
      </w:pPr>
      <w:rPr>
        <w:lang w:val="en-US" w:eastAsia="en-US" w:bidi="ar-SA"/>
      </w:rPr>
    </w:lvl>
  </w:abstractNum>
  <w:abstractNum w:abstractNumId="263" w15:restartNumberingAfterBreak="0">
    <w:nsid w:val="4914395D"/>
    <w:multiLevelType w:val="hybridMultilevel"/>
    <w:tmpl w:val="886AB534"/>
    <w:lvl w:ilvl="0" w:tplc="02A4D102">
      <w:start w:val="1"/>
      <w:numFmt w:val="lowerLetter"/>
      <w:lvlText w:val="(%1)"/>
      <w:lvlJc w:val="left"/>
      <w:pPr>
        <w:ind w:left="2408" w:hanging="567"/>
      </w:pPr>
      <w:rPr>
        <w:rFonts w:ascii="Arial" w:eastAsia="Calibri" w:hAnsi="Arial" w:cs="Arial" w:hint="default"/>
        <w:spacing w:val="-1"/>
        <w:w w:val="100"/>
        <w:sz w:val="20"/>
        <w:szCs w:val="22"/>
        <w:lang w:val="en-US" w:eastAsia="en-US" w:bidi="ar-SA"/>
      </w:rPr>
    </w:lvl>
    <w:lvl w:ilvl="1" w:tplc="701EAF18">
      <w:start w:val="1"/>
      <w:numFmt w:val="decimal"/>
      <w:lvlText w:val="(%2)"/>
      <w:lvlJc w:val="left"/>
      <w:pPr>
        <w:ind w:left="2975" w:hanging="567"/>
      </w:pPr>
      <w:rPr>
        <w:rFonts w:ascii="Calibri" w:eastAsia="Calibri" w:hAnsi="Calibri" w:cs="Calibri" w:hint="default"/>
        <w:spacing w:val="-1"/>
        <w:w w:val="100"/>
        <w:sz w:val="22"/>
        <w:szCs w:val="22"/>
        <w:lang w:val="en-US" w:eastAsia="en-US" w:bidi="ar-SA"/>
      </w:rPr>
    </w:lvl>
    <w:lvl w:ilvl="2" w:tplc="D4A8B8D4">
      <w:numFmt w:val="bullet"/>
      <w:lvlText w:val="•"/>
      <w:lvlJc w:val="left"/>
      <w:pPr>
        <w:ind w:left="3689" w:hanging="567"/>
      </w:pPr>
      <w:rPr>
        <w:rFonts w:hint="default"/>
        <w:lang w:val="en-US" w:eastAsia="en-US" w:bidi="ar-SA"/>
      </w:rPr>
    </w:lvl>
    <w:lvl w:ilvl="3" w:tplc="15DAA8EC">
      <w:numFmt w:val="bullet"/>
      <w:lvlText w:val="•"/>
      <w:lvlJc w:val="left"/>
      <w:pPr>
        <w:ind w:left="4399" w:hanging="567"/>
      </w:pPr>
      <w:rPr>
        <w:rFonts w:hint="default"/>
        <w:lang w:val="en-US" w:eastAsia="en-US" w:bidi="ar-SA"/>
      </w:rPr>
    </w:lvl>
    <w:lvl w:ilvl="4" w:tplc="1220B28A">
      <w:numFmt w:val="bullet"/>
      <w:lvlText w:val="•"/>
      <w:lvlJc w:val="left"/>
      <w:pPr>
        <w:ind w:left="5108" w:hanging="567"/>
      </w:pPr>
      <w:rPr>
        <w:rFonts w:hint="default"/>
        <w:lang w:val="en-US" w:eastAsia="en-US" w:bidi="ar-SA"/>
      </w:rPr>
    </w:lvl>
    <w:lvl w:ilvl="5" w:tplc="FD0E84E8">
      <w:numFmt w:val="bullet"/>
      <w:lvlText w:val="•"/>
      <w:lvlJc w:val="left"/>
      <w:pPr>
        <w:ind w:left="5818" w:hanging="567"/>
      </w:pPr>
      <w:rPr>
        <w:rFonts w:hint="default"/>
        <w:lang w:val="en-US" w:eastAsia="en-US" w:bidi="ar-SA"/>
      </w:rPr>
    </w:lvl>
    <w:lvl w:ilvl="6" w:tplc="59466CF8">
      <w:numFmt w:val="bullet"/>
      <w:lvlText w:val="•"/>
      <w:lvlJc w:val="left"/>
      <w:pPr>
        <w:ind w:left="6528" w:hanging="567"/>
      </w:pPr>
      <w:rPr>
        <w:rFonts w:hint="default"/>
        <w:lang w:val="en-US" w:eastAsia="en-US" w:bidi="ar-SA"/>
      </w:rPr>
    </w:lvl>
    <w:lvl w:ilvl="7" w:tplc="D8745BEC">
      <w:numFmt w:val="bullet"/>
      <w:lvlText w:val="•"/>
      <w:lvlJc w:val="left"/>
      <w:pPr>
        <w:ind w:left="7237" w:hanging="567"/>
      </w:pPr>
      <w:rPr>
        <w:rFonts w:hint="default"/>
        <w:lang w:val="en-US" w:eastAsia="en-US" w:bidi="ar-SA"/>
      </w:rPr>
    </w:lvl>
    <w:lvl w:ilvl="8" w:tplc="CDAE0040">
      <w:numFmt w:val="bullet"/>
      <w:lvlText w:val="•"/>
      <w:lvlJc w:val="left"/>
      <w:pPr>
        <w:ind w:left="7947" w:hanging="567"/>
      </w:pPr>
      <w:rPr>
        <w:rFonts w:hint="default"/>
        <w:lang w:val="en-US" w:eastAsia="en-US" w:bidi="ar-SA"/>
      </w:rPr>
    </w:lvl>
  </w:abstractNum>
  <w:abstractNum w:abstractNumId="264" w15:restartNumberingAfterBreak="0">
    <w:nsid w:val="49186C6D"/>
    <w:multiLevelType w:val="hybridMultilevel"/>
    <w:tmpl w:val="0E286856"/>
    <w:lvl w:ilvl="0" w:tplc="7E260688">
      <w:start w:val="1"/>
      <w:numFmt w:val="lowerLetter"/>
      <w:lvlText w:val="(%1)"/>
      <w:lvlJc w:val="left"/>
      <w:pPr>
        <w:ind w:left="2408" w:hanging="567"/>
      </w:pPr>
      <w:rPr>
        <w:rFonts w:ascii="Arial" w:eastAsia="Calibri" w:hAnsi="Arial" w:cs="Arial" w:hint="default"/>
        <w:spacing w:val="-1"/>
        <w:w w:val="100"/>
        <w:sz w:val="20"/>
        <w:szCs w:val="22"/>
        <w:lang w:val="en-US" w:eastAsia="en-US" w:bidi="ar-SA"/>
      </w:rPr>
    </w:lvl>
    <w:lvl w:ilvl="1" w:tplc="30EE7DB2">
      <w:start w:val="1"/>
      <w:numFmt w:val="decimal"/>
      <w:lvlText w:val="(%2)"/>
      <w:lvlJc w:val="left"/>
      <w:pPr>
        <w:ind w:left="2975" w:hanging="567"/>
      </w:pPr>
      <w:rPr>
        <w:rFonts w:ascii="Arial" w:eastAsia="Calibri" w:hAnsi="Arial" w:cs="Arial" w:hint="default"/>
        <w:spacing w:val="-1"/>
        <w:w w:val="100"/>
        <w:sz w:val="20"/>
        <w:szCs w:val="22"/>
        <w:lang w:val="en-US" w:eastAsia="en-US" w:bidi="ar-SA"/>
      </w:rPr>
    </w:lvl>
    <w:lvl w:ilvl="2" w:tplc="FDD0A450">
      <w:numFmt w:val="bullet"/>
      <w:lvlText w:val="•"/>
      <w:lvlJc w:val="left"/>
      <w:pPr>
        <w:ind w:left="3689" w:hanging="567"/>
      </w:pPr>
      <w:rPr>
        <w:rFonts w:hint="default"/>
        <w:lang w:val="en-US" w:eastAsia="en-US" w:bidi="ar-SA"/>
      </w:rPr>
    </w:lvl>
    <w:lvl w:ilvl="3" w:tplc="1DBAB168">
      <w:numFmt w:val="bullet"/>
      <w:lvlText w:val="•"/>
      <w:lvlJc w:val="left"/>
      <w:pPr>
        <w:ind w:left="4399" w:hanging="567"/>
      </w:pPr>
      <w:rPr>
        <w:rFonts w:hint="default"/>
        <w:lang w:val="en-US" w:eastAsia="en-US" w:bidi="ar-SA"/>
      </w:rPr>
    </w:lvl>
    <w:lvl w:ilvl="4" w:tplc="987AFDD2">
      <w:numFmt w:val="bullet"/>
      <w:lvlText w:val="•"/>
      <w:lvlJc w:val="left"/>
      <w:pPr>
        <w:ind w:left="5108" w:hanging="567"/>
      </w:pPr>
      <w:rPr>
        <w:rFonts w:hint="default"/>
        <w:lang w:val="en-US" w:eastAsia="en-US" w:bidi="ar-SA"/>
      </w:rPr>
    </w:lvl>
    <w:lvl w:ilvl="5" w:tplc="FB349930">
      <w:numFmt w:val="bullet"/>
      <w:lvlText w:val="•"/>
      <w:lvlJc w:val="left"/>
      <w:pPr>
        <w:ind w:left="5818" w:hanging="567"/>
      </w:pPr>
      <w:rPr>
        <w:rFonts w:hint="default"/>
        <w:lang w:val="en-US" w:eastAsia="en-US" w:bidi="ar-SA"/>
      </w:rPr>
    </w:lvl>
    <w:lvl w:ilvl="6" w:tplc="43EC360C">
      <w:numFmt w:val="bullet"/>
      <w:lvlText w:val="•"/>
      <w:lvlJc w:val="left"/>
      <w:pPr>
        <w:ind w:left="6528" w:hanging="567"/>
      </w:pPr>
      <w:rPr>
        <w:rFonts w:hint="default"/>
        <w:lang w:val="en-US" w:eastAsia="en-US" w:bidi="ar-SA"/>
      </w:rPr>
    </w:lvl>
    <w:lvl w:ilvl="7" w:tplc="C6F2C53C">
      <w:numFmt w:val="bullet"/>
      <w:lvlText w:val="•"/>
      <w:lvlJc w:val="left"/>
      <w:pPr>
        <w:ind w:left="7237" w:hanging="567"/>
      </w:pPr>
      <w:rPr>
        <w:rFonts w:hint="default"/>
        <w:lang w:val="en-US" w:eastAsia="en-US" w:bidi="ar-SA"/>
      </w:rPr>
    </w:lvl>
    <w:lvl w:ilvl="8" w:tplc="129A06F8">
      <w:numFmt w:val="bullet"/>
      <w:lvlText w:val="•"/>
      <w:lvlJc w:val="left"/>
      <w:pPr>
        <w:ind w:left="7947" w:hanging="567"/>
      </w:pPr>
      <w:rPr>
        <w:rFonts w:hint="default"/>
        <w:lang w:val="en-US" w:eastAsia="en-US" w:bidi="ar-SA"/>
      </w:rPr>
    </w:lvl>
  </w:abstractNum>
  <w:abstractNum w:abstractNumId="265" w15:restartNumberingAfterBreak="0">
    <w:nsid w:val="49EA5703"/>
    <w:multiLevelType w:val="hybridMultilevel"/>
    <w:tmpl w:val="C1A21DDC"/>
    <w:lvl w:ilvl="0" w:tplc="F13048E2">
      <w:numFmt w:val="bullet"/>
      <w:lvlText w:val="—"/>
      <w:lvlJc w:val="left"/>
      <w:pPr>
        <w:ind w:left="706" w:hanging="567"/>
      </w:pPr>
      <w:rPr>
        <w:rFonts w:ascii="Arial" w:eastAsia="Calibri" w:hAnsi="Arial" w:cs="Arial" w:hint="default"/>
        <w:w w:val="100"/>
        <w:sz w:val="20"/>
        <w:szCs w:val="20"/>
        <w:lang w:val="en-US" w:eastAsia="en-US" w:bidi="ar-SA"/>
      </w:rPr>
    </w:lvl>
    <w:lvl w:ilvl="1" w:tplc="555C2D36">
      <w:numFmt w:val="bullet"/>
      <w:lvlText w:val="•"/>
      <w:lvlJc w:val="left"/>
      <w:pPr>
        <w:ind w:left="1566" w:hanging="567"/>
      </w:pPr>
      <w:rPr>
        <w:rFonts w:hint="default"/>
        <w:lang w:val="en-US" w:eastAsia="en-US" w:bidi="ar-SA"/>
      </w:rPr>
    </w:lvl>
    <w:lvl w:ilvl="2" w:tplc="CCDA844E">
      <w:numFmt w:val="bullet"/>
      <w:lvlText w:val="•"/>
      <w:lvlJc w:val="left"/>
      <w:pPr>
        <w:ind w:left="2433" w:hanging="567"/>
      </w:pPr>
      <w:rPr>
        <w:rFonts w:hint="default"/>
        <w:lang w:val="en-US" w:eastAsia="en-US" w:bidi="ar-SA"/>
      </w:rPr>
    </w:lvl>
    <w:lvl w:ilvl="3" w:tplc="4CF02830">
      <w:numFmt w:val="bullet"/>
      <w:lvlText w:val="•"/>
      <w:lvlJc w:val="left"/>
      <w:pPr>
        <w:ind w:left="3299" w:hanging="567"/>
      </w:pPr>
      <w:rPr>
        <w:rFonts w:hint="default"/>
        <w:lang w:val="en-US" w:eastAsia="en-US" w:bidi="ar-SA"/>
      </w:rPr>
    </w:lvl>
    <w:lvl w:ilvl="4" w:tplc="190428CE">
      <w:numFmt w:val="bullet"/>
      <w:lvlText w:val="•"/>
      <w:lvlJc w:val="left"/>
      <w:pPr>
        <w:ind w:left="4166" w:hanging="567"/>
      </w:pPr>
      <w:rPr>
        <w:rFonts w:hint="default"/>
        <w:lang w:val="en-US" w:eastAsia="en-US" w:bidi="ar-SA"/>
      </w:rPr>
    </w:lvl>
    <w:lvl w:ilvl="5" w:tplc="D7E05E84">
      <w:numFmt w:val="bullet"/>
      <w:lvlText w:val="•"/>
      <w:lvlJc w:val="left"/>
      <w:pPr>
        <w:ind w:left="5033" w:hanging="567"/>
      </w:pPr>
      <w:rPr>
        <w:rFonts w:hint="default"/>
        <w:lang w:val="en-US" w:eastAsia="en-US" w:bidi="ar-SA"/>
      </w:rPr>
    </w:lvl>
    <w:lvl w:ilvl="6" w:tplc="56FA481A">
      <w:numFmt w:val="bullet"/>
      <w:lvlText w:val="•"/>
      <w:lvlJc w:val="left"/>
      <w:pPr>
        <w:ind w:left="5899" w:hanging="567"/>
      </w:pPr>
      <w:rPr>
        <w:rFonts w:hint="default"/>
        <w:lang w:val="en-US" w:eastAsia="en-US" w:bidi="ar-SA"/>
      </w:rPr>
    </w:lvl>
    <w:lvl w:ilvl="7" w:tplc="8EAA9A62">
      <w:numFmt w:val="bullet"/>
      <w:lvlText w:val="•"/>
      <w:lvlJc w:val="left"/>
      <w:pPr>
        <w:ind w:left="6766" w:hanging="567"/>
      </w:pPr>
      <w:rPr>
        <w:rFonts w:hint="default"/>
        <w:lang w:val="en-US" w:eastAsia="en-US" w:bidi="ar-SA"/>
      </w:rPr>
    </w:lvl>
    <w:lvl w:ilvl="8" w:tplc="4C0A6ADA">
      <w:numFmt w:val="bullet"/>
      <w:lvlText w:val="•"/>
      <w:lvlJc w:val="left"/>
      <w:pPr>
        <w:ind w:left="7633" w:hanging="567"/>
      </w:pPr>
      <w:rPr>
        <w:rFonts w:hint="default"/>
        <w:lang w:val="en-US" w:eastAsia="en-US" w:bidi="ar-SA"/>
      </w:rPr>
    </w:lvl>
  </w:abstractNum>
  <w:abstractNum w:abstractNumId="266" w15:restartNumberingAfterBreak="0">
    <w:nsid w:val="4A7522C1"/>
    <w:multiLevelType w:val="hybridMultilevel"/>
    <w:tmpl w:val="D41A7EE2"/>
    <w:lvl w:ilvl="0" w:tplc="9FA4F080">
      <w:start w:val="1"/>
      <w:numFmt w:val="lowerLetter"/>
      <w:lvlText w:val="(%1)"/>
      <w:lvlJc w:val="left"/>
      <w:pPr>
        <w:ind w:left="706" w:hanging="567"/>
      </w:pPr>
      <w:rPr>
        <w:rFonts w:ascii="Calibri" w:eastAsia="Calibri" w:hAnsi="Calibri" w:cs="Calibri" w:hint="default"/>
        <w:spacing w:val="-1"/>
        <w:w w:val="100"/>
        <w:sz w:val="22"/>
        <w:szCs w:val="22"/>
        <w:lang w:val="en-US" w:eastAsia="en-US" w:bidi="ar-SA"/>
      </w:rPr>
    </w:lvl>
    <w:lvl w:ilvl="1" w:tplc="3F2E25BE">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CADAA016">
      <w:numFmt w:val="bullet"/>
      <w:lvlText w:val="•"/>
      <w:lvlJc w:val="left"/>
      <w:pPr>
        <w:ind w:left="2178" w:hanging="567"/>
      </w:pPr>
      <w:rPr>
        <w:lang w:val="en-US" w:eastAsia="en-US" w:bidi="ar-SA"/>
      </w:rPr>
    </w:lvl>
    <w:lvl w:ilvl="3" w:tplc="D93EDA04">
      <w:numFmt w:val="bullet"/>
      <w:lvlText w:val="•"/>
      <w:lvlJc w:val="left"/>
      <w:pPr>
        <w:ind w:left="3076" w:hanging="567"/>
      </w:pPr>
      <w:rPr>
        <w:lang w:val="en-US" w:eastAsia="en-US" w:bidi="ar-SA"/>
      </w:rPr>
    </w:lvl>
    <w:lvl w:ilvl="4" w:tplc="7174FBDE">
      <w:numFmt w:val="bullet"/>
      <w:lvlText w:val="•"/>
      <w:lvlJc w:val="left"/>
      <w:pPr>
        <w:ind w:left="3975" w:hanging="567"/>
      </w:pPr>
      <w:rPr>
        <w:lang w:val="en-US" w:eastAsia="en-US" w:bidi="ar-SA"/>
      </w:rPr>
    </w:lvl>
    <w:lvl w:ilvl="5" w:tplc="1B8E96D8">
      <w:numFmt w:val="bullet"/>
      <w:lvlText w:val="•"/>
      <w:lvlJc w:val="left"/>
      <w:pPr>
        <w:ind w:left="4873" w:hanging="567"/>
      </w:pPr>
      <w:rPr>
        <w:lang w:val="en-US" w:eastAsia="en-US" w:bidi="ar-SA"/>
      </w:rPr>
    </w:lvl>
    <w:lvl w:ilvl="6" w:tplc="4BCAEE80">
      <w:numFmt w:val="bullet"/>
      <w:lvlText w:val="•"/>
      <w:lvlJc w:val="left"/>
      <w:pPr>
        <w:ind w:left="5772" w:hanging="567"/>
      </w:pPr>
      <w:rPr>
        <w:lang w:val="en-US" w:eastAsia="en-US" w:bidi="ar-SA"/>
      </w:rPr>
    </w:lvl>
    <w:lvl w:ilvl="7" w:tplc="44502526">
      <w:numFmt w:val="bullet"/>
      <w:lvlText w:val="•"/>
      <w:lvlJc w:val="left"/>
      <w:pPr>
        <w:ind w:left="6670" w:hanging="567"/>
      </w:pPr>
      <w:rPr>
        <w:lang w:val="en-US" w:eastAsia="en-US" w:bidi="ar-SA"/>
      </w:rPr>
    </w:lvl>
    <w:lvl w:ilvl="8" w:tplc="8AD48BD0">
      <w:numFmt w:val="bullet"/>
      <w:lvlText w:val="•"/>
      <w:lvlJc w:val="left"/>
      <w:pPr>
        <w:ind w:left="7569" w:hanging="567"/>
      </w:pPr>
      <w:rPr>
        <w:lang w:val="en-US" w:eastAsia="en-US" w:bidi="ar-SA"/>
      </w:rPr>
    </w:lvl>
  </w:abstractNum>
  <w:abstractNum w:abstractNumId="267" w15:restartNumberingAfterBreak="0">
    <w:nsid w:val="4ABC4373"/>
    <w:multiLevelType w:val="hybridMultilevel"/>
    <w:tmpl w:val="61A45290"/>
    <w:lvl w:ilvl="0" w:tplc="ECFC2144">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5B241E0">
      <w:numFmt w:val="bullet"/>
      <w:lvlText w:val="•"/>
      <w:lvlJc w:val="left"/>
      <w:pPr>
        <w:ind w:left="1566" w:hanging="567"/>
      </w:pPr>
      <w:rPr>
        <w:rFonts w:hint="default"/>
        <w:lang w:val="en-US" w:eastAsia="en-US" w:bidi="ar-SA"/>
      </w:rPr>
    </w:lvl>
    <w:lvl w:ilvl="2" w:tplc="BD40BE4A">
      <w:numFmt w:val="bullet"/>
      <w:lvlText w:val="•"/>
      <w:lvlJc w:val="left"/>
      <w:pPr>
        <w:ind w:left="2433" w:hanging="567"/>
      </w:pPr>
      <w:rPr>
        <w:rFonts w:hint="default"/>
        <w:lang w:val="en-US" w:eastAsia="en-US" w:bidi="ar-SA"/>
      </w:rPr>
    </w:lvl>
    <w:lvl w:ilvl="3" w:tplc="D064150A">
      <w:numFmt w:val="bullet"/>
      <w:lvlText w:val="•"/>
      <w:lvlJc w:val="left"/>
      <w:pPr>
        <w:ind w:left="3299" w:hanging="567"/>
      </w:pPr>
      <w:rPr>
        <w:rFonts w:hint="default"/>
        <w:lang w:val="en-US" w:eastAsia="en-US" w:bidi="ar-SA"/>
      </w:rPr>
    </w:lvl>
    <w:lvl w:ilvl="4" w:tplc="9FD087F6">
      <w:numFmt w:val="bullet"/>
      <w:lvlText w:val="•"/>
      <w:lvlJc w:val="left"/>
      <w:pPr>
        <w:ind w:left="4166" w:hanging="567"/>
      </w:pPr>
      <w:rPr>
        <w:rFonts w:hint="default"/>
        <w:lang w:val="en-US" w:eastAsia="en-US" w:bidi="ar-SA"/>
      </w:rPr>
    </w:lvl>
    <w:lvl w:ilvl="5" w:tplc="6E8C8006">
      <w:numFmt w:val="bullet"/>
      <w:lvlText w:val="•"/>
      <w:lvlJc w:val="left"/>
      <w:pPr>
        <w:ind w:left="5033" w:hanging="567"/>
      </w:pPr>
      <w:rPr>
        <w:rFonts w:hint="default"/>
        <w:lang w:val="en-US" w:eastAsia="en-US" w:bidi="ar-SA"/>
      </w:rPr>
    </w:lvl>
    <w:lvl w:ilvl="6" w:tplc="C51E8704">
      <w:numFmt w:val="bullet"/>
      <w:lvlText w:val="•"/>
      <w:lvlJc w:val="left"/>
      <w:pPr>
        <w:ind w:left="5899" w:hanging="567"/>
      </w:pPr>
      <w:rPr>
        <w:rFonts w:hint="default"/>
        <w:lang w:val="en-US" w:eastAsia="en-US" w:bidi="ar-SA"/>
      </w:rPr>
    </w:lvl>
    <w:lvl w:ilvl="7" w:tplc="4D74BB0E">
      <w:numFmt w:val="bullet"/>
      <w:lvlText w:val="•"/>
      <w:lvlJc w:val="left"/>
      <w:pPr>
        <w:ind w:left="6766" w:hanging="567"/>
      </w:pPr>
      <w:rPr>
        <w:rFonts w:hint="default"/>
        <w:lang w:val="en-US" w:eastAsia="en-US" w:bidi="ar-SA"/>
      </w:rPr>
    </w:lvl>
    <w:lvl w:ilvl="8" w:tplc="A488679E">
      <w:numFmt w:val="bullet"/>
      <w:lvlText w:val="•"/>
      <w:lvlJc w:val="left"/>
      <w:pPr>
        <w:ind w:left="7633" w:hanging="567"/>
      </w:pPr>
      <w:rPr>
        <w:rFonts w:hint="default"/>
        <w:lang w:val="en-US" w:eastAsia="en-US" w:bidi="ar-SA"/>
      </w:rPr>
    </w:lvl>
  </w:abstractNum>
  <w:abstractNum w:abstractNumId="268" w15:restartNumberingAfterBreak="0">
    <w:nsid w:val="4AC247F4"/>
    <w:multiLevelType w:val="hybridMultilevel"/>
    <w:tmpl w:val="966C2556"/>
    <w:lvl w:ilvl="0" w:tplc="B922E190">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C17C4AAE">
      <w:numFmt w:val="bullet"/>
      <w:lvlText w:val="•"/>
      <w:lvlJc w:val="left"/>
      <w:pPr>
        <w:ind w:left="1566" w:hanging="567"/>
      </w:pPr>
      <w:rPr>
        <w:rFonts w:hint="default"/>
        <w:lang w:val="en-US" w:eastAsia="en-US" w:bidi="ar-SA"/>
      </w:rPr>
    </w:lvl>
    <w:lvl w:ilvl="2" w:tplc="6CA21072">
      <w:numFmt w:val="bullet"/>
      <w:lvlText w:val="•"/>
      <w:lvlJc w:val="left"/>
      <w:pPr>
        <w:ind w:left="2433" w:hanging="567"/>
      </w:pPr>
      <w:rPr>
        <w:rFonts w:hint="default"/>
        <w:lang w:val="en-US" w:eastAsia="en-US" w:bidi="ar-SA"/>
      </w:rPr>
    </w:lvl>
    <w:lvl w:ilvl="3" w:tplc="3FCA7B46">
      <w:numFmt w:val="bullet"/>
      <w:lvlText w:val="•"/>
      <w:lvlJc w:val="left"/>
      <w:pPr>
        <w:ind w:left="3299" w:hanging="567"/>
      </w:pPr>
      <w:rPr>
        <w:rFonts w:hint="default"/>
        <w:lang w:val="en-US" w:eastAsia="en-US" w:bidi="ar-SA"/>
      </w:rPr>
    </w:lvl>
    <w:lvl w:ilvl="4" w:tplc="9F70F77A">
      <w:numFmt w:val="bullet"/>
      <w:lvlText w:val="•"/>
      <w:lvlJc w:val="left"/>
      <w:pPr>
        <w:ind w:left="4166" w:hanging="567"/>
      </w:pPr>
      <w:rPr>
        <w:rFonts w:hint="default"/>
        <w:lang w:val="en-US" w:eastAsia="en-US" w:bidi="ar-SA"/>
      </w:rPr>
    </w:lvl>
    <w:lvl w:ilvl="5" w:tplc="CCC09EC6">
      <w:numFmt w:val="bullet"/>
      <w:lvlText w:val="•"/>
      <w:lvlJc w:val="left"/>
      <w:pPr>
        <w:ind w:left="5033" w:hanging="567"/>
      </w:pPr>
      <w:rPr>
        <w:rFonts w:hint="default"/>
        <w:lang w:val="en-US" w:eastAsia="en-US" w:bidi="ar-SA"/>
      </w:rPr>
    </w:lvl>
    <w:lvl w:ilvl="6" w:tplc="8BD038CE">
      <w:numFmt w:val="bullet"/>
      <w:lvlText w:val="•"/>
      <w:lvlJc w:val="left"/>
      <w:pPr>
        <w:ind w:left="5899" w:hanging="567"/>
      </w:pPr>
      <w:rPr>
        <w:rFonts w:hint="default"/>
        <w:lang w:val="en-US" w:eastAsia="en-US" w:bidi="ar-SA"/>
      </w:rPr>
    </w:lvl>
    <w:lvl w:ilvl="7" w:tplc="94CE154C">
      <w:numFmt w:val="bullet"/>
      <w:lvlText w:val="•"/>
      <w:lvlJc w:val="left"/>
      <w:pPr>
        <w:ind w:left="6766" w:hanging="567"/>
      </w:pPr>
      <w:rPr>
        <w:rFonts w:hint="default"/>
        <w:lang w:val="en-US" w:eastAsia="en-US" w:bidi="ar-SA"/>
      </w:rPr>
    </w:lvl>
    <w:lvl w:ilvl="8" w:tplc="7DE88E72">
      <w:numFmt w:val="bullet"/>
      <w:lvlText w:val="•"/>
      <w:lvlJc w:val="left"/>
      <w:pPr>
        <w:ind w:left="7633" w:hanging="567"/>
      </w:pPr>
      <w:rPr>
        <w:rFonts w:hint="default"/>
        <w:lang w:val="en-US" w:eastAsia="en-US" w:bidi="ar-SA"/>
      </w:rPr>
    </w:lvl>
  </w:abstractNum>
  <w:abstractNum w:abstractNumId="269" w15:restartNumberingAfterBreak="0">
    <w:nsid w:val="4C9B2B0C"/>
    <w:multiLevelType w:val="hybridMultilevel"/>
    <w:tmpl w:val="3CC84BB8"/>
    <w:lvl w:ilvl="0" w:tplc="3788D018">
      <w:start w:val="1"/>
      <w:numFmt w:val="lowerRoman"/>
      <w:lvlText w:val="(%1)"/>
      <w:lvlJc w:val="left"/>
      <w:pPr>
        <w:ind w:left="2408" w:hanging="567"/>
      </w:pPr>
      <w:rPr>
        <w:rFonts w:ascii="Arial" w:eastAsia="Calibri" w:hAnsi="Arial" w:cs="Arial" w:hint="default"/>
        <w:spacing w:val="-1"/>
        <w:w w:val="100"/>
        <w:sz w:val="20"/>
        <w:szCs w:val="22"/>
        <w:lang w:val="en-US" w:eastAsia="en-US" w:bidi="ar-SA"/>
      </w:rPr>
    </w:lvl>
    <w:lvl w:ilvl="1" w:tplc="8C588B34">
      <w:numFmt w:val="bullet"/>
      <w:lvlText w:val="•"/>
      <w:lvlJc w:val="left"/>
      <w:pPr>
        <w:ind w:left="3096" w:hanging="567"/>
      </w:pPr>
      <w:rPr>
        <w:rFonts w:hint="default"/>
        <w:lang w:val="en-US" w:eastAsia="en-US" w:bidi="ar-SA"/>
      </w:rPr>
    </w:lvl>
    <w:lvl w:ilvl="2" w:tplc="EDCA18E0">
      <w:numFmt w:val="bullet"/>
      <w:lvlText w:val="•"/>
      <w:lvlJc w:val="left"/>
      <w:pPr>
        <w:ind w:left="3793" w:hanging="567"/>
      </w:pPr>
      <w:rPr>
        <w:rFonts w:hint="default"/>
        <w:lang w:val="en-US" w:eastAsia="en-US" w:bidi="ar-SA"/>
      </w:rPr>
    </w:lvl>
    <w:lvl w:ilvl="3" w:tplc="92623098">
      <w:numFmt w:val="bullet"/>
      <w:lvlText w:val="•"/>
      <w:lvlJc w:val="left"/>
      <w:pPr>
        <w:ind w:left="4489" w:hanging="567"/>
      </w:pPr>
      <w:rPr>
        <w:rFonts w:hint="default"/>
        <w:lang w:val="en-US" w:eastAsia="en-US" w:bidi="ar-SA"/>
      </w:rPr>
    </w:lvl>
    <w:lvl w:ilvl="4" w:tplc="A66C19D8">
      <w:numFmt w:val="bullet"/>
      <w:lvlText w:val="•"/>
      <w:lvlJc w:val="left"/>
      <w:pPr>
        <w:ind w:left="5186" w:hanging="567"/>
      </w:pPr>
      <w:rPr>
        <w:rFonts w:hint="default"/>
        <w:lang w:val="en-US" w:eastAsia="en-US" w:bidi="ar-SA"/>
      </w:rPr>
    </w:lvl>
    <w:lvl w:ilvl="5" w:tplc="BD4A569E">
      <w:numFmt w:val="bullet"/>
      <w:lvlText w:val="•"/>
      <w:lvlJc w:val="left"/>
      <w:pPr>
        <w:ind w:left="5883" w:hanging="567"/>
      </w:pPr>
      <w:rPr>
        <w:rFonts w:hint="default"/>
        <w:lang w:val="en-US" w:eastAsia="en-US" w:bidi="ar-SA"/>
      </w:rPr>
    </w:lvl>
    <w:lvl w:ilvl="6" w:tplc="704693D6">
      <w:numFmt w:val="bullet"/>
      <w:lvlText w:val="•"/>
      <w:lvlJc w:val="left"/>
      <w:pPr>
        <w:ind w:left="6579" w:hanging="567"/>
      </w:pPr>
      <w:rPr>
        <w:rFonts w:hint="default"/>
        <w:lang w:val="en-US" w:eastAsia="en-US" w:bidi="ar-SA"/>
      </w:rPr>
    </w:lvl>
    <w:lvl w:ilvl="7" w:tplc="00947C6C">
      <w:numFmt w:val="bullet"/>
      <w:lvlText w:val="•"/>
      <w:lvlJc w:val="left"/>
      <w:pPr>
        <w:ind w:left="7276" w:hanging="567"/>
      </w:pPr>
      <w:rPr>
        <w:rFonts w:hint="default"/>
        <w:lang w:val="en-US" w:eastAsia="en-US" w:bidi="ar-SA"/>
      </w:rPr>
    </w:lvl>
    <w:lvl w:ilvl="8" w:tplc="CD326FDC">
      <w:numFmt w:val="bullet"/>
      <w:lvlText w:val="•"/>
      <w:lvlJc w:val="left"/>
      <w:pPr>
        <w:ind w:left="7973" w:hanging="567"/>
      </w:pPr>
      <w:rPr>
        <w:rFonts w:hint="default"/>
        <w:lang w:val="en-US" w:eastAsia="en-US" w:bidi="ar-SA"/>
      </w:rPr>
    </w:lvl>
  </w:abstractNum>
  <w:abstractNum w:abstractNumId="270" w15:restartNumberingAfterBreak="0">
    <w:nsid w:val="4CDC5E05"/>
    <w:multiLevelType w:val="hybridMultilevel"/>
    <w:tmpl w:val="020CCE20"/>
    <w:lvl w:ilvl="0" w:tplc="AFF24DA4">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CEF419B4">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3320D588">
      <w:start w:val="1"/>
      <w:numFmt w:val="lowerRoman"/>
      <w:lvlText w:val="(%3)"/>
      <w:lvlJc w:val="left"/>
      <w:pPr>
        <w:ind w:left="1842" w:hanging="569"/>
      </w:pPr>
      <w:rPr>
        <w:rFonts w:ascii="Arial" w:eastAsia="Calibri" w:hAnsi="Arial" w:cs="Arial" w:hint="default"/>
        <w:spacing w:val="-1"/>
        <w:w w:val="100"/>
        <w:sz w:val="20"/>
        <w:szCs w:val="22"/>
        <w:lang w:val="en-US" w:eastAsia="en-US" w:bidi="ar-SA"/>
      </w:rPr>
    </w:lvl>
    <w:lvl w:ilvl="3" w:tplc="1E2AAB80">
      <w:numFmt w:val="bullet"/>
      <w:lvlText w:val="•"/>
      <w:lvlJc w:val="left"/>
      <w:pPr>
        <w:ind w:left="2780" w:hanging="569"/>
      </w:pPr>
      <w:rPr>
        <w:rFonts w:hint="default"/>
        <w:lang w:val="en-US" w:eastAsia="en-US" w:bidi="ar-SA"/>
      </w:rPr>
    </w:lvl>
    <w:lvl w:ilvl="4" w:tplc="E5B83EF2">
      <w:numFmt w:val="bullet"/>
      <w:lvlText w:val="•"/>
      <w:lvlJc w:val="left"/>
      <w:pPr>
        <w:ind w:left="3721" w:hanging="569"/>
      </w:pPr>
      <w:rPr>
        <w:rFonts w:hint="default"/>
        <w:lang w:val="en-US" w:eastAsia="en-US" w:bidi="ar-SA"/>
      </w:rPr>
    </w:lvl>
    <w:lvl w:ilvl="5" w:tplc="4F725B5E">
      <w:numFmt w:val="bullet"/>
      <w:lvlText w:val="•"/>
      <w:lvlJc w:val="left"/>
      <w:pPr>
        <w:ind w:left="4662" w:hanging="569"/>
      </w:pPr>
      <w:rPr>
        <w:rFonts w:hint="default"/>
        <w:lang w:val="en-US" w:eastAsia="en-US" w:bidi="ar-SA"/>
      </w:rPr>
    </w:lvl>
    <w:lvl w:ilvl="6" w:tplc="9AE6E0FC">
      <w:numFmt w:val="bullet"/>
      <w:lvlText w:val="•"/>
      <w:lvlJc w:val="left"/>
      <w:pPr>
        <w:ind w:left="5603" w:hanging="569"/>
      </w:pPr>
      <w:rPr>
        <w:rFonts w:hint="default"/>
        <w:lang w:val="en-US" w:eastAsia="en-US" w:bidi="ar-SA"/>
      </w:rPr>
    </w:lvl>
    <w:lvl w:ilvl="7" w:tplc="DCC65574">
      <w:numFmt w:val="bullet"/>
      <w:lvlText w:val="•"/>
      <w:lvlJc w:val="left"/>
      <w:pPr>
        <w:ind w:left="6544" w:hanging="569"/>
      </w:pPr>
      <w:rPr>
        <w:rFonts w:hint="default"/>
        <w:lang w:val="en-US" w:eastAsia="en-US" w:bidi="ar-SA"/>
      </w:rPr>
    </w:lvl>
    <w:lvl w:ilvl="8" w:tplc="9CA26F14">
      <w:numFmt w:val="bullet"/>
      <w:lvlText w:val="•"/>
      <w:lvlJc w:val="left"/>
      <w:pPr>
        <w:ind w:left="7484" w:hanging="569"/>
      </w:pPr>
      <w:rPr>
        <w:rFonts w:hint="default"/>
        <w:lang w:val="en-US" w:eastAsia="en-US" w:bidi="ar-SA"/>
      </w:rPr>
    </w:lvl>
  </w:abstractNum>
  <w:abstractNum w:abstractNumId="271" w15:restartNumberingAfterBreak="0">
    <w:nsid w:val="4CFF144E"/>
    <w:multiLevelType w:val="hybridMultilevel"/>
    <w:tmpl w:val="9BC8D248"/>
    <w:lvl w:ilvl="0" w:tplc="8D4057DC">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1C2E73EA">
      <w:numFmt w:val="bullet"/>
      <w:lvlText w:val="•"/>
      <w:lvlJc w:val="left"/>
      <w:pPr>
        <w:ind w:left="1566" w:hanging="567"/>
      </w:pPr>
      <w:rPr>
        <w:rFonts w:hint="default"/>
        <w:lang w:val="en-US" w:eastAsia="en-US" w:bidi="ar-SA"/>
      </w:rPr>
    </w:lvl>
    <w:lvl w:ilvl="2" w:tplc="35883308">
      <w:numFmt w:val="bullet"/>
      <w:lvlText w:val="•"/>
      <w:lvlJc w:val="left"/>
      <w:pPr>
        <w:ind w:left="2433" w:hanging="567"/>
      </w:pPr>
      <w:rPr>
        <w:rFonts w:hint="default"/>
        <w:lang w:val="en-US" w:eastAsia="en-US" w:bidi="ar-SA"/>
      </w:rPr>
    </w:lvl>
    <w:lvl w:ilvl="3" w:tplc="3934C7E8">
      <w:numFmt w:val="bullet"/>
      <w:lvlText w:val="•"/>
      <w:lvlJc w:val="left"/>
      <w:pPr>
        <w:ind w:left="3299" w:hanging="567"/>
      </w:pPr>
      <w:rPr>
        <w:rFonts w:hint="default"/>
        <w:lang w:val="en-US" w:eastAsia="en-US" w:bidi="ar-SA"/>
      </w:rPr>
    </w:lvl>
    <w:lvl w:ilvl="4" w:tplc="87564E4C">
      <w:numFmt w:val="bullet"/>
      <w:lvlText w:val="•"/>
      <w:lvlJc w:val="left"/>
      <w:pPr>
        <w:ind w:left="4166" w:hanging="567"/>
      </w:pPr>
      <w:rPr>
        <w:rFonts w:hint="default"/>
        <w:lang w:val="en-US" w:eastAsia="en-US" w:bidi="ar-SA"/>
      </w:rPr>
    </w:lvl>
    <w:lvl w:ilvl="5" w:tplc="4188853C">
      <w:numFmt w:val="bullet"/>
      <w:lvlText w:val="•"/>
      <w:lvlJc w:val="left"/>
      <w:pPr>
        <w:ind w:left="5033" w:hanging="567"/>
      </w:pPr>
      <w:rPr>
        <w:rFonts w:hint="default"/>
        <w:lang w:val="en-US" w:eastAsia="en-US" w:bidi="ar-SA"/>
      </w:rPr>
    </w:lvl>
    <w:lvl w:ilvl="6" w:tplc="F3F8F62E">
      <w:numFmt w:val="bullet"/>
      <w:lvlText w:val="•"/>
      <w:lvlJc w:val="left"/>
      <w:pPr>
        <w:ind w:left="5899" w:hanging="567"/>
      </w:pPr>
      <w:rPr>
        <w:rFonts w:hint="default"/>
        <w:lang w:val="en-US" w:eastAsia="en-US" w:bidi="ar-SA"/>
      </w:rPr>
    </w:lvl>
    <w:lvl w:ilvl="7" w:tplc="CE02B962">
      <w:numFmt w:val="bullet"/>
      <w:lvlText w:val="•"/>
      <w:lvlJc w:val="left"/>
      <w:pPr>
        <w:ind w:left="6766" w:hanging="567"/>
      </w:pPr>
      <w:rPr>
        <w:rFonts w:hint="default"/>
        <w:lang w:val="en-US" w:eastAsia="en-US" w:bidi="ar-SA"/>
      </w:rPr>
    </w:lvl>
    <w:lvl w:ilvl="8" w:tplc="64826EEA">
      <w:numFmt w:val="bullet"/>
      <w:lvlText w:val="•"/>
      <w:lvlJc w:val="left"/>
      <w:pPr>
        <w:ind w:left="7633" w:hanging="567"/>
      </w:pPr>
      <w:rPr>
        <w:rFonts w:hint="default"/>
        <w:lang w:val="en-US" w:eastAsia="en-US" w:bidi="ar-SA"/>
      </w:rPr>
    </w:lvl>
  </w:abstractNum>
  <w:abstractNum w:abstractNumId="272" w15:restartNumberingAfterBreak="0">
    <w:nsid w:val="4D91709B"/>
    <w:multiLevelType w:val="hybridMultilevel"/>
    <w:tmpl w:val="5088C31E"/>
    <w:lvl w:ilvl="0" w:tplc="FEE68264">
      <w:start w:val="1"/>
      <w:numFmt w:val="lowerLetter"/>
      <w:lvlText w:val="(%1)"/>
      <w:lvlJc w:val="left"/>
      <w:pPr>
        <w:ind w:left="706" w:hanging="567"/>
      </w:pPr>
      <w:rPr>
        <w:rFonts w:ascii="Calibri" w:eastAsia="Calibri" w:hAnsi="Calibri" w:cs="Calibri" w:hint="default"/>
        <w:spacing w:val="-1"/>
        <w:w w:val="100"/>
        <w:sz w:val="22"/>
        <w:szCs w:val="22"/>
        <w:lang w:val="en-US" w:eastAsia="en-US" w:bidi="ar-SA"/>
      </w:rPr>
    </w:lvl>
    <w:lvl w:ilvl="1" w:tplc="D136BA2E">
      <w:numFmt w:val="bullet"/>
      <w:lvlText w:val="•"/>
      <w:lvlJc w:val="left"/>
      <w:pPr>
        <w:ind w:left="1566" w:hanging="567"/>
      </w:pPr>
      <w:rPr>
        <w:rFonts w:hint="default"/>
        <w:lang w:val="en-US" w:eastAsia="en-US" w:bidi="ar-SA"/>
      </w:rPr>
    </w:lvl>
    <w:lvl w:ilvl="2" w:tplc="057E05FA">
      <w:numFmt w:val="bullet"/>
      <w:lvlText w:val="•"/>
      <w:lvlJc w:val="left"/>
      <w:pPr>
        <w:ind w:left="2433" w:hanging="567"/>
      </w:pPr>
      <w:rPr>
        <w:rFonts w:hint="default"/>
        <w:lang w:val="en-US" w:eastAsia="en-US" w:bidi="ar-SA"/>
      </w:rPr>
    </w:lvl>
    <w:lvl w:ilvl="3" w:tplc="B27E1FAC">
      <w:numFmt w:val="bullet"/>
      <w:lvlText w:val="•"/>
      <w:lvlJc w:val="left"/>
      <w:pPr>
        <w:ind w:left="3299" w:hanging="567"/>
      </w:pPr>
      <w:rPr>
        <w:rFonts w:hint="default"/>
        <w:lang w:val="en-US" w:eastAsia="en-US" w:bidi="ar-SA"/>
      </w:rPr>
    </w:lvl>
    <w:lvl w:ilvl="4" w:tplc="6F2AFF8C">
      <w:numFmt w:val="bullet"/>
      <w:lvlText w:val="•"/>
      <w:lvlJc w:val="left"/>
      <w:pPr>
        <w:ind w:left="4166" w:hanging="567"/>
      </w:pPr>
      <w:rPr>
        <w:rFonts w:hint="default"/>
        <w:lang w:val="en-US" w:eastAsia="en-US" w:bidi="ar-SA"/>
      </w:rPr>
    </w:lvl>
    <w:lvl w:ilvl="5" w:tplc="3064B42E">
      <w:numFmt w:val="bullet"/>
      <w:lvlText w:val="•"/>
      <w:lvlJc w:val="left"/>
      <w:pPr>
        <w:ind w:left="5033" w:hanging="567"/>
      </w:pPr>
      <w:rPr>
        <w:rFonts w:hint="default"/>
        <w:lang w:val="en-US" w:eastAsia="en-US" w:bidi="ar-SA"/>
      </w:rPr>
    </w:lvl>
    <w:lvl w:ilvl="6" w:tplc="F8AA5A68">
      <w:numFmt w:val="bullet"/>
      <w:lvlText w:val="•"/>
      <w:lvlJc w:val="left"/>
      <w:pPr>
        <w:ind w:left="5899" w:hanging="567"/>
      </w:pPr>
      <w:rPr>
        <w:rFonts w:hint="default"/>
        <w:lang w:val="en-US" w:eastAsia="en-US" w:bidi="ar-SA"/>
      </w:rPr>
    </w:lvl>
    <w:lvl w:ilvl="7" w:tplc="D1AA23BE">
      <w:numFmt w:val="bullet"/>
      <w:lvlText w:val="•"/>
      <w:lvlJc w:val="left"/>
      <w:pPr>
        <w:ind w:left="6766" w:hanging="567"/>
      </w:pPr>
      <w:rPr>
        <w:rFonts w:hint="default"/>
        <w:lang w:val="en-US" w:eastAsia="en-US" w:bidi="ar-SA"/>
      </w:rPr>
    </w:lvl>
    <w:lvl w:ilvl="8" w:tplc="A006A5DA">
      <w:numFmt w:val="bullet"/>
      <w:lvlText w:val="•"/>
      <w:lvlJc w:val="left"/>
      <w:pPr>
        <w:ind w:left="7633" w:hanging="567"/>
      </w:pPr>
      <w:rPr>
        <w:rFonts w:hint="default"/>
        <w:lang w:val="en-US" w:eastAsia="en-US" w:bidi="ar-SA"/>
      </w:rPr>
    </w:lvl>
  </w:abstractNum>
  <w:abstractNum w:abstractNumId="273" w15:restartNumberingAfterBreak="0">
    <w:nsid w:val="4D987625"/>
    <w:multiLevelType w:val="hybridMultilevel"/>
    <w:tmpl w:val="CC1E35E2"/>
    <w:lvl w:ilvl="0" w:tplc="76EA5AF6">
      <w:start w:val="1"/>
      <w:numFmt w:val="lowerRoman"/>
      <w:lvlText w:val="(%1)"/>
      <w:lvlJc w:val="left"/>
      <w:pPr>
        <w:ind w:left="1842" w:hanging="569"/>
      </w:pPr>
      <w:rPr>
        <w:rFonts w:ascii="Arial" w:eastAsia="Calibri" w:hAnsi="Arial" w:cs="Arial" w:hint="default"/>
        <w:spacing w:val="-1"/>
        <w:w w:val="100"/>
        <w:sz w:val="20"/>
        <w:szCs w:val="22"/>
        <w:lang w:val="en-US" w:eastAsia="en-US" w:bidi="ar-SA"/>
      </w:rPr>
    </w:lvl>
    <w:lvl w:ilvl="1" w:tplc="D7488542">
      <w:numFmt w:val="bullet"/>
      <w:lvlText w:val="•"/>
      <w:lvlJc w:val="left"/>
      <w:pPr>
        <w:ind w:left="2592" w:hanging="569"/>
      </w:pPr>
      <w:rPr>
        <w:rFonts w:hint="default"/>
        <w:lang w:val="en-US" w:eastAsia="en-US" w:bidi="ar-SA"/>
      </w:rPr>
    </w:lvl>
    <w:lvl w:ilvl="2" w:tplc="DDFCA086">
      <w:numFmt w:val="bullet"/>
      <w:lvlText w:val="•"/>
      <w:lvlJc w:val="left"/>
      <w:pPr>
        <w:ind w:left="3345" w:hanging="569"/>
      </w:pPr>
      <w:rPr>
        <w:rFonts w:hint="default"/>
        <w:lang w:val="en-US" w:eastAsia="en-US" w:bidi="ar-SA"/>
      </w:rPr>
    </w:lvl>
    <w:lvl w:ilvl="3" w:tplc="E29AAF7A">
      <w:numFmt w:val="bullet"/>
      <w:lvlText w:val="•"/>
      <w:lvlJc w:val="left"/>
      <w:pPr>
        <w:ind w:left="4097" w:hanging="569"/>
      </w:pPr>
      <w:rPr>
        <w:rFonts w:hint="default"/>
        <w:lang w:val="en-US" w:eastAsia="en-US" w:bidi="ar-SA"/>
      </w:rPr>
    </w:lvl>
    <w:lvl w:ilvl="4" w:tplc="50C63196">
      <w:numFmt w:val="bullet"/>
      <w:lvlText w:val="•"/>
      <w:lvlJc w:val="left"/>
      <w:pPr>
        <w:ind w:left="4850" w:hanging="569"/>
      </w:pPr>
      <w:rPr>
        <w:rFonts w:hint="default"/>
        <w:lang w:val="en-US" w:eastAsia="en-US" w:bidi="ar-SA"/>
      </w:rPr>
    </w:lvl>
    <w:lvl w:ilvl="5" w:tplc="D0FCF446">
      <w:numFmt w:val="bullet"/>
      <w:lvlText w:val="•"/>
      <w:lvlJc w:val="left"/>
      <w:pPr>
        <w:ind w:left="5603" w:hanging="569"/>
      </w:pPr>
      <w:rPr>
        <w:rFonts w:hint="default"/>
        <w:lang w:val="en-US" w:eastAsia="en-US" w:bidi="ar-SA"/>
      </w:rPr>
    </w:lvl>
    <w:lvl w:ilvl="6" w:tplc="D930BDF4">
      <w:numFmt w:val="bullet"/>
      <w:lvlText w:val="•"/>
      <w:lvlJc w:val="left"/>
      <w:pPr>
        <w:ind w:left="6355" w:hanging="569"/>
      </w:pPr>
      <w:rPr>
        <w:rFonts w:hint="default"/>
        <w:lang w:val="en-US" w:eastAsia="en-US" w:bidi="ar-SA"/>
      </w:rPr>
    </w:lvl>
    <w:lvl w:ilvl="7" w:tplc="E938C712">
      <w:numFmt w:val="bullet"/>
      <w:lvlText w:val="•"/>
      <w:lvlJc w:val="left"/>
      <w:pPr>
        <w:ind w:left="7108" w:hanging="569"/>
      </w:pPr>
      <w:rPr>
        <w:rFonts w:hint="default"/>
        <w:lang w:val="en-US" w:eastAsia="en-US" w:bidi="ar-SA"/>
      </w:rPr>
    </w:lvl>
    <w:lvl w:ilvl="8" w:tplc="AB5EA60A">
      <w:numFmt w:val="bullet"/>
      <w:lvlText w:val="•"/>
      <w:lvlJc w:val="left"/>
      <w:pPr>
        <w:ind w:left="7861" w:hanging="569"/>
      </w:pPr>
      <w:rPr>
        <w:rFonts w:hint="default"/>
        <w:lang w:val="en-US" w:eastAsia="en-US" w:bidi="ar-SA"/>
      </w:rPr>
    </w:lvl>
  </w:abstractNum>
  <w:abstractNum w:abstractNumId="274" w15:restartNumberingAfterBreak="0">
    <w:nsid w:val="4DA62A96"/>
    <w:multiLevelType w:val="hybridMultilevel"/>
    <w:tmpl w:val="E49CFB48"/>
    <w:lvl w:ilvl="0" w:tplc="71D6BF74">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92E4CBB8">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B1161DB0">
      <w:numFmt w:val="bullet"/>
      <w:lvlText w:val="•"/>
      <w:lvlJc w:val="left"/>
      <w:pPr>
        <w:ind w:left="2178" w:hanging="567"/>
      </w:pPr>
      <w:rPr>
        <w:rFonts w:hint="default"/>
        <w:lang w:val="en-US" w:eastAsia="en-US" w:bidi="ar-SA"/>
      </w:rPr>
    </w:lvl>
    <w:lvl w:ilvl="3" w:tplc="3D881036">
      <w:numFmt w:val="bullet"/>
      <w:lvlText w:val="•"/>
      <w:lvlJc w:val="left"/>
      <w:pPr>
        <w:ind w:left="3076" w:hanging="567"/>
      </w:pPr>
      <w:rPr>
        <w:rFonts w:hint="default"/>
        <w:lang w:val="en-US" w:eastAsia="en-US" w:bidi="ar-SA"/>
      </w:rPr>
    </w:lvl>
    <w:lvl w:ilvl="4" w:tplc="6B365DD8">
      <w:numFmt w:val="bullet"/>
      <w:lvlText w:val="•"/>
      <w:lvlJc w:val="left"/>
      <w:pPr>
        <w:ind w:left="3975" w:hanging="567"/>
      </w:pPr>
      <w:rPr>
        <w:rFonts w:hint="default"/>
        <w:lang w:val="en-US" w:eastAsia="en-US" w:bidi="ar-SA"/>
      </w:rPr>
    </w:lvl>
    <w:lvl w:ilvl="5" w:tplc="9F8E9C5A">
      <w:numFmt w:val="bullet"/>
      <w:lvlText w:val="•"/>
      <w:lvlJc w:val="left"/>
      <w:pPr>
        <w:ind w:left="4873" w:hanging="567"/>
      </w:pPr>
      <w:rPr>
        <w:rFonts w:hint="default"/>
        <w:lang w:val="en-US" w:eastAsia="en-US" w:bidi="ar-SA"/>
      </w:rPr>
    </w:lvl>
    <w:lvl w:ilvl="6" w:tplc="AEE8A9CA">
      <w:numFmt w:val="bullet"/>
      <w:lvlText w:val="•"/>
      <w:lvlJc w:val="left"/>
      <w:pPr>
        <w:ind w:left="5772" w:hanging="567"/>
      </w:pPr>
      <w:rPr>
        <w:rFonts w:hint="default"/>
        <w:lang w:val="en-US" w:eastAsia="en-US" w:bidi="ar-SA"/>
      </w:rPr>
    </w:lvl>
    <w:lvl w:ilvl="7" w:tplc="5588A96A">
      <w:numFmt w:val="bullet"/>
      <w:lvlText w:val="•"/>
      <w:lvlJc w:val="left"/>
      <w:pPr>
        <w:ind w:left="6670" w:hanging="567"/>
      </w:pPr>
      <w:rPr>
        <w:rFonts w:hint="default"/>
        <w:lang w:val="en-US" w:eastAsia="en-US" w:bidi="ar-SA"/>
      </w:rPr>
    </w:lvl>
    <w:lvl w:ilvl="8" w:tplc="E910CE0E">
      <w:numFmt w:val="bullet"/>
      <w:lvlText w:val="•"/>
      <w:lvlJc w:val="left"/>
      <w:pPr>
        <w:ind w:left="7569" w:hanging="567"/>
      </w:pPr>
      <w:rPr>
        <w:rFonts w:hint="default"/>
        <w:lang w:val="en-US" w:eastAsia="en-US" w:bidi="ar-SA"/>
      </w:rPr>
    </w:lvl>
  </w:abstractNum>
  <w:abstractNum w:abstractNumId="275" w15:restartNumberingAfterBreak="0">
    <w:nsid w:val="4DD363ED"/>
    <w:multiLevelType w:val="hybridMultilevel"/>
    <w:tmpl w:val="8C7262CC"/>
    <w:lvl w:ilvl="0" w:tplc="BEA420B2">
      <w:numFmt w:val="bullet"/>
      <w:lvlText w:val="-"/>
      <w:lvlJc w:val="left"/>
      <w:pPr>
        <w:ind w:left="331" w:hanging="224"/>
      </w:pPr>
      <w:rPr>
        <w:rFonts w:ascii="Calibri" w:eastAsia="Calibri" w:hAnsi="Calibri" w:cs="Calibri" w:hint="default"/>
        <w:w w:val="99"/>
        <w:sz w:val="20"/>
        <w:szCs w:val="20"/>
        <w:lang w:val="en-US" w:eastAsia="en-US" w:bidi="ar-SA"/>
      </w:rPr>
    </w:lvl>
    <w:lvl w:ilvl="1" w:tplc="D286FE0A">
      <w:numFmt w:val="bullet"/>
      <w:lvlText w:val="•"/>
      <w:lvlJc w:val="left"/>
      <w:pPr>
        <w:ind w:left="1207" w:hanging="224"/>
      </w:pPr>
      <w:rPr>
        <w:rFonts w:hint="default"/>
        <w:lang w:val="en-US" w:eastAsia="en-US" w:bidi="ar-SA"/>
      </w:rPr>
    </w:lvl>
    <w:lvl w:ilvl="2" w:tplc="867E1502">
      <w:numFmt w:val="bullet"/>
      <w:lvlText w:val="•"/>
      <w:lvlJc w:val="left"/>
      <w:pPr>
        <w:ind w:left="2074" w:hanging="224"/>
      </w:pPr>
      <w:rPr>
        <w:rFonts w:hint="default"/>
        <w:lang w:val="en-US" w:eastAsia="en-US" w:bidi="ar-SA"/>
      </w:rPr>
    </w:lvl>
    <w:lvl w:ilvl="3" w:tplc="44D4E9B6">
      <w:numFmt w:val="bullet"/>
      <w:lvlText w:val="•"/>
      <w:lvlJc w:val="left"/>
      <w:pPr>
        <w:ind w:left="2941" w:hanging="224"/>
      </w:pPr>
      <w:rPr>
        <w:rFonts w:hint="default"/>
        <w:lang w:val="en-US" w:eastAsia="en-US" w:bidi="ar-SA"/>
      </w:rPr>
    </w:lvl>
    <w:lvl w:ilvl="4" w:tplc="AC7ECE8E">
      <w:numFmt w:val="bullet"/>
      <w:lvlText w:val="•"/>
      <w:lvlJc w:val="left"/>
      <w:pPr>
        <w:ind w:left="3808" w:hanging="224"/>
      </w:pPr>
      <w:rPr>
        <w:rFonts w:hint="default"/>
        <w:lang w:val="en-US" w:eastAsia="en-US" w:bidi="ar-SA"/>
      </w:rPr>
    </w:lvl>
    <w:lvl w:ilvl="5" w:tplc="94D667A0">
      <w:numFmt w:val="bullet"/>
      <w:lvlText w:val="•"/>
      <w:lvlJc w:val="left"/>
      <w:pPr>
        <w:ind w:left="4675" w:hanging="224"/>
      </w:pPr>
      <w:rPr>
        <w:rFonts w:hint="default"/>
        <w:lang w:val="en-US" w:eastAsia="en-US" w:bidi="ar-SA"/>
      </w:rPr>
    </w:lvl>
    <w:lvl w:ilvl="6" w:tplc="EF7875D4">
      <w:numFmt w:val="bullet"/>
      <w:lvlText w:val="•"/>
      <w:lvlJc w:val="left"/>
      <w:pPr>
        <w:ind w:left="5542" w:hanging="224"/>
      </w:pPr>
      <w:rPr>
        <w:rFonts w:hint="default"/>
        <w:lang w:val="en-US" w:eastAsia="en-US" w:bidi="ar-SA"/>
      </w:rPr>
    </w:lvl>
    <w:lvl w:ilvl="7" w:tplc="CB8AFE64">
      <w:numFmt w:val="bullet"/>
      <w:lvlText w:val="•"/>
      <w:lvlJc w:val="left"/>
      <w:pPr>
        <w:ind w:left="6409" w:hanging="224"/>
      </w:pPr>
      <w:rPr>
        <w:rFonts w:hint="default"/>
        <w:lang w:val="en-US" w:eastAsia="en-US" w:bidi="ar-SA"/>
      </w:rPr>
    </w:lvl>
    <w:lvl w:ilvl="8" w:tplc="CC56A394">
      <w:numFmt w:val="bullet"/>
      <w:lvlText w:val="•"/>
      <w:lvlJc w:val="left"/>
      <w:pPr>
        <w:ind w:left="7276" w:hanging="224"/>
      </w:pPr>
      <w:rPr>
        <w:rFonts w:hint="default"/>
        <w:lang w:val="en-US" w:eastAsia="en-US" w:bidi="ar-SA"/>
      </w:rPr>
    </w:lvl>
  </w:abstractNum>
  <w:abstractNum w:abstractNumId="276" w15:restartNumberingAfterBreak="0">
    <w:nsid w:val="4DD646FA"/>
    <w:multiLevelType w:val="hybridMultilevel"/>
    <w:tmpl w:val="DC60CA8A"/>
    <w:lvl w:ilvl="0" w:tplc="A18ABB1C">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CB46CE12">
      <w:numFmt w:val="bullet"/>
      <w:lvlText w:val="•"/>
      <w:lvlJc w:val="left"/>
      <w:pPr>
        <w:ind w:left="1566" w:hanging="567"/>
      </w:pPr>
      <w:rPr>
        <w:rFonts w:hint="default"/>
        <w:lang w:val="en-US" w:eastAsia="en-US" w:bidi="ar-SA"/>
      </w:rPr>
    </w:lvl>
    <w:lvl w:ilvl="2" w:tplc="1FD0F658">
      <w:numFmt w:val="bullet"/>
      <w:lvlText w:val="•"/>
      <w:lvlJc w:val="left"/>
      <w:pPr>
        <w:ind w:left="2433" w:hanging="567"/>
      </w:pPr>
      <w:rPr>
        <w:rFonts w:hint="default"/>
        <w:lang w:val="en-US" w:eastAsia="en-US" w:bidi="ar-SA"/>
      </w:rPr>
    </w:lvl>
    <w:lvl w:ilvl="3" w:tplc="1820D1F6">
      <w:numFmt w:val="bullet"/>
      <w:lvlText w:val="•"/>
      <w:lvlJc w:val="left"/>
      <w:pPr>
        <w:ind w:left="3299" w:hanging="567"/>
      </w:pPr>
      <w:rPr>
        <w:rFonts w:hint="default"/>
        <w:lang w:val="en-US" w:eastAsia="en-US" w:bidi="ar-SA"/>
      </w:rPr>
    </w:lvl>
    <w:lvl w:ilvl="4" w:tplc="53A699C8">
      <w:numFmt w:val="bullet"/>
      <w:lvlText w:val="•"/>
      <w:lvlJc w:val="left"/>
      <w:pPr>
        <w:ind w:left="4166" w:hanging="567"/>
      </w:pPr>
      <w:rPr>
        <w:rFonts w:hint="default"/>
        <w:lang w:val="en-US" w:eastAsia="en-US" w:bidi="ar-SA"/>
      </w:rPr>
    </w:lvl>
    <w:lvl w:ilvl="5" w:tplc="0F8609B8">
      <w:numFmt w:val="bullet"/>
      <w:lvlText w:val="•"/>
      <w:lvlJc w:val="left"/>
      <w:pPr>
        <w:ind w:left="5033" w:hanging="567"/>
      </w:pPr>
      <w:rPr>
        <w:rFonts w:hint="default"/>
        <w:lang w:val="en-US" w:eastAsia="en-US" w:bidi="ar-SA"/>
      </w:rPr>
    </w:lvl>
    <w:lvl w:ilvl="6" w:tplc="13DA0616">
      <w:numFmt w:val="bullet"/>
      <w:lvlText w:val="•"/>
      <w:lvlJc w:val="left"/>
      <w:pPr>
        <w:ind w:left="5899" w:hanging="567"/>
      </w:pPr>
      <w:rPr>
        <w:rFonts w:hint="default"/>
        <w:lang w:val="en-US" w:eastAsia="en-US" w:bidi="ar-SA"/>
      </w:rPr>
    </w:lvl>
    <w:lvl w:ilvl="7" w:tplc="FC725DA2">
      <w:numFmt w:val="bullet"/>
      <w:lvlText w:val="•"/>
      <w:lvlJc w:val="left"/>
      <w:pPr>
        <w:ind w:left="6766" w:hanging="567"/>
      </w:pPr>
      <w:rPr>
        <w:rFonts w:hint="default"/>
        <w:lang w:val="en-US" w:eastAsia="en-US" w:bidi="ar-SA"/>
      </w:rPr>
    </w:lvl>
    <w:lvl w:ilvl="8" w:tplc="84C02010">
      <w:numFmt w:val="bullet"/>
      <w:lvlText w:val="•"/>
      <w:lvlJc w:val="left"/>
      <w:pPr>
        <w:ind w:left="7633" w:hanging="567"/>
      </w:pPr>
      <w:rPr>
        <w:rFonts w:hint="default"/>
        <w:lang w:val="en-US" w:eastAsia="en-US" w:bidi="ar-SA"/>
      </w:rPr>
    </w:lvl>
  </w:abstractNum>
  <w:abstractNum w:abstractNumId="277" w15:restartNumberingAfterBreak="0">
    <w:nsid w:val="4DFF65B4"/>
    <w:multiLevelType w:val="hybridMultilevel"/>
    <w:tmpl w:val="BD54D890"/>
    <w:lvl w:ilvl="0" w:tplc="C56A309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8ABE4496">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EE70DC64">
      <w:numFmt w:val="bullet"/>
      <w:lvlText w:val="•"/>
      <w:lvlJc w:val="left"/>
      <w:pPr>
        <w:ind w:left="2178" w:hanging="567"/>
      </w:pPr>
      <w:rPr>
        <w:lang w:val="en-US" w:eastAsia="en-US" w:bidi="ar-SA"/>
      </w:rPr>
    </w:lvl>
    <w:lvl w:ilvl="3" w:tplc="A14A165A">
      <w:numFmt w:val="bullet"/>
      <w:lvlText w:val="•"/>
      <w:lvlJc w:val="left"/>
      <w:pPr>
        <w:ind w:left="3076" w:hanging="567"/>
      </w:pPr>
      <w:rPr>
        <w:lang w:val="en-US" w:eastAsia="en-US" w:bidi="ar-SA"/>
      </w:rPr>
    </w:lvl>
    <w:lvl w:ilvl="4" w:tplc="E84EA244">
      <w:numFmt w:val="bullet"/>
      <w:lvlText w:val="•"/>
      <w:lvlJc w:val="left"/>
      <w:pPr>
        <w:ind w:left="3975" w:hanging="567"/>
      </w:pPr>
      <w:rPr>
        <w:lang w:val="en-US" w:eastAsia="en-US" w:bidi="ar-SA"/>
      </w:rPr>
    </w:lvl>
    <w:lvl w:ilvl="5" w:tplc="9BBE6E32">
      <w:numFmt w:val="bullet"/>
      <w:lvlText w:val="•"/>
      <w:lvlJc w:val="left"/>
      <w:pPr>
        <w:ind w:left="4873" w:hanging="567"/>
      </w:pPr>
      <w:rPr>
        <w:lang w:val="en-US" w:eastAsia="en-US" w:bidi="ar-SA"/>
      </w:rPr>
    </w:lvl>
    <w:lvl w:ilvl="6" w:tplc="D11A524C">
      <w:numFmt w:val="bullet"/>
      <w:lvlText w:val="•"/>
      <w:lvlJc w:val="left"/>
      <w:pPr>
        <w:ind w:left="5772" w:hanging="567"/>
      </w:pPr>
      <w:rPr>
        <w:lang w:val="en-US" w:eastAsia="en-US" w:bidi="ar-SA"/>
      </w:rPr>
    </w:lvl>
    <w:lvl w:ilvl="7" w:tplc="9FA052AC">
      <w:numFmt w:val="bullet"/>
      <w:lvlText w:val="•"/>
      <w:lvlJc w:val="left"/>
      <w:pPr>
        <w:ind w:left="6670" w:hanging="567"/>
      </w:pPr>
      <w:rPr>
        <w:lang w:val="en-US" w:eastAsia="en-US" w:bidi="ar-SA"/>
      </w:rPr>
    </w:lvl>
    <w:lvl w:ilvl="8" w:tplc="2AE63C1A">
      <w:numFmt w:val="bullet"/>
      <w:lvlText w:val="•"/>
      <w:lvlJc w:val="left"/>
      <w:pPr>
        <w:ind w:left="7569" w:hanging="567"/>
      </w:pPr>
      <w:rPr>
        <w:lang w:val="en-US" w:eastAsia="en-US" w:bidi="ar-SA"/>
      </w:rPr>
    </w:lvl>
  </w:abstractNum>
  <w:abstractNum w:abstractNumId="278" w15:restartNumberingAfterBreak="0">
    <w:nsid w:val="4E4B4AEB"/>
    <w:multiLevelType w:val="hybridMultilevel"/>
    <w:tmpl w:val="72C0BFBE"/>
    <w:lvl w:ilvl="0" w:tplc="FD8EFE3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32206002">
      <w:numFmt w:val="bullet"/>
      <w:lvlText w:val="•"/>
      <w:lvlJc w:val="left"/>
      <w:pPr>
        <w:ind w:left="1566" w:hanging="567"/>
      </w:pPr>
      <w:rPr>
        <w:rFonts w:hint="default"/>
        <w:lang w:val="en-US" w:eastAsia="en-US" w:bidi="ar-SA"/>
      </w:rPr>
    </w:lvl>
    <w:lvl w:ilvl="2" w:tplc="9D30CBC6">
      <w:numFmt w:val="bullet"/>
      <w:lvlText w:val="•"/>
      <w:lvlJc w:val="left"/>
      <w:pPr>
        <w:ind w:left="2433" w:hanging="567"/>
      </w:pPr>
      <w:rPr>
        <w:rFonts w:hint="default"/>
        <w:lang w:val="en-US" w:eastAsia="en-US" w:bidi="ar-SA"/>
      </w:rPr>
    </w:lvl>
    <w:lvl w:ilvl="3" w:tplc="00F62912">
      <w:numFmt w:val="bullet"/>
      <w:lvlText w:val="•"/>
      <w:lvlJc w:val="left"/>
      <w:pPr>
        <w:ind w:left="3299" w:hanging="567"/>
      </w:pPr>
      <w:rPr>
        <w:rFonts w:hint="default"/>
        <w:lang w:val="en-US" w:eastAsia="en-US" w:bidi="ar-SA"/>
      </w:rPr>
    </w:lvl>
    <w:lvl w:ilvl="4" w:tplc="E13A1AB6">
      <w:numFmt w:val="bullet"/>
      <w:lvlText w:val="•"/>
      <w:lvlJc w:val="left"/>
      <w:pPr>
        <w:ind w:left="4166" w:hanging="567"/>
      </w:pPr>
      <w:rPr>
        <w:rFonts w:hint="default"/>
        <w:lang w:val="en-US" w:eastAsia="en-US" w:bidi="ar-SA"/>
      </w:rPr>
    </w:lvl>
    <w:lvl w:ilvl="5" w:tplc="04EC259C">
      <w:numFmt w:val="bullet"/>
      <w:lvlText w:val="•"/>
      <w:lvlJc w:val="left"/>
      <w:pPr>
        <w:ind w:left="5033" w:hanging="567"/>
      </w:pPr>
      <w:rPr>
        <w:rFonts w:hint="default"/>
        <w:lang w:val="en-US" w:eastAsia="en-US" w:bidi="ar-SA"/>
      </w:rPr>
    </w:lvl>
    <w:lvl w:ilvl="6" w:tplc="3D86AE20">
      <w:numFmt w:val="bullet"/>
      <w:lvlText w:val="•"/>
      <w:lvlJc w:val="left"/>
      <w:pPr>
        <w:ind w:left="5899" w:hanging="567"/>
      </w:pPr>
      <w:rPr>
        <w:rFonts w:hint="default"/>
        <w:lang w:val="en-US" w:eastAsia="en-US" w:bidi="ar-SA"/>
      </w:rPr>
    </w:lvl>
    <w:lvl w:ilvl="7" w:tplc="74846FB6">
      <w:numFmt w:val="bullet"/>
      <w:lvlText w:val="•"/>
      <w:lvlJc w:val="left"/>
      <w:pPr>
        <w:ind w:left="6766" w:hanging="567"/>
      </w:pPr>
      <w:rPr>
        <w:rFonts w:hint="default"/>
        <w:lang w:val="en-US" w:eastAsia="en-US" w:bidi="ar-SA"/>
      </w:rPr>
    </w:lvl>
    <w:lvl w:ilvl="8" w:tplc="1D92D65C">
      <w:numFmt w:val="bullet"/>
      <w:lvlText w:val="•"/>
      <w:lvlJc w:val="left"/>
      <w:pPr>
        <w:ind w:left="7633" w:hanging="567"/>
      </w:pPr>
      <w:rPr>
        <w:rFonts w:hint="default"/>
        <w:lang w:val="en-US" w:eastAsia="en-US" w:bidi="ar-SA"/>
      </w:rPr>
    </w:lvl>
  </w:abstractNum>
  <w:abstractNum w:abstractNumId="279" w15:restartNumberingAfterBreak="0">
    <w:nsid w:val="4E4D206E"/>
    <w:multiLevelType w:val="hybridMultilevel"/>
    <w:tmpl w:val="A4AE2068"/>
    <w:lvl w:ilvl="0" w:tplc="7F926608">
      <w:start w:val="1"/>
      <w:numFmt w:val="bullet"/>
      <w:lvlText w:val=""/>
      <w:lvlJc w:val="left"/>
      <w:pPr>
        <w:ind w:left="360" w:hanging="360"/>
      </w:pPr>
      <w:rPr>
        <w:rFonts w:ascii="Symbol" w:hAnsi="Symbol" w:hint="default"/>
        <w:sz w:val="28"/>
        <w:szCs w:val="28"/>
      </w:rPr>
    </w:lvl>
    <w:lvl w:ilvl="1" w:tplc="04090003" w:tentative="1">
      <w:start w:val="1"/>
      <w:numFmt w:val="bullet"/>
      <w:lvlText w:val="o"/>
      <w:lvlJc w:val="left"/>
      <w:pPr>
        <w:ind w:left="655" w:hanging="360"/>
      </w:pPr>
      <w:rPr>
        <w:rFonts w:ascii="Courier New" w:hAnsi="Courier New" w:cs="Courier New" w:hint="default"/>
      </w:rPr>
    </w:lvl>
    <w:lvl w:ilvl="2" w:tplc="04090005" w:tentative="1">
      <w:start w:val="1"/>
      <w:numFmt w:val="bullet"/>
      <w:lvlText w:val=""/>
      <w:lvlJc w:val="left"/>
      <w:pPr>
        <w:ind w:left="1375" w:hanging="360"/>
      </w:pPr>
      <w:rPr>
        <w:rFonts w:ascii="Wingdings" w:hAnsi="Wingdings" w:hint="default"/>
      </w:rPr>
    </w:lvl>
    <w:lvl w:ilvl="3" w:tplc="04090001" w:tentative="1">
      <w:start w:val="1"/>
      <w:numFmt w:val="bullet"/>
      <w:lvlText w:val=""/>
      <w:lvlJc w:val="left"/>
      <w:pPr>
        <w:ind w:left="2095" w:hanging="360"/>
      </w:pPr>
      <w:rPr>
        <w:rFonts w:ascii="Symbol" w:hAnsi="Symbol" w:hint="default"/>
      </w:rPr>
    </w:lvl>
    <w:lvl w:ilvl="4" w:tplc="04090003" w:tentative="1">
      <w:start w:val="1"/>
      <w:numFmt w:val="bullet"/>
      <w:lvlText w:val="o"/>
      <w:lvlJc w:val="left"/>
      <w:pPr>
        <w:ind w:left="2815" w:hanging="360"/>
      </w:pPr>
      <w:rPr>
        <w:rFonts w:ascii="Courier New" w:hAnsi="Courier New" w:cs="Courier New" w:hint="default"/>
      </w:rPr>
    </w:lvl>
    <w:lvl w:ilvl="5" w:tplc="04090005" w:tentative="1">
      <w:start w:val="1"/>
      <w:numFmt w:val="bullet"/>
      <w:lvlText w:val=""/>
      <w:lvlJc w:val="left"/>
      <w:pPr>
        <w:ind w:left="3535" w:hanging="360"/>
      </w:pPr>
      <w:rPr>
        <w:rFonts w:ascii="Wingdings" w:hAnsi="Wingdings" w:hint="default"/>
      </w:rPr>
    </w:lvl>
    <w:lvl w:ilvl="6" w:tplc="04090001" w:tentative="1">
      <w:start w:val="1"/>
      <w:numFmt w:val="bullet"/>
      <w:lvlText w:val=""/>
      <w:lvlJc w:val="left"/>
      <w:pPr>
        <w:ind w:left="4255" w:hanging="360"/>
      </w:pPr>
      <w:rPr>
        <w:rFonts w:ascii="Symbol" w:hAnsi="Symbol" w:hint="default"/>
      </w:rPr>
    </w:lvl>
    <w:lvl w:ilvl="7" w:tplc="04090003" w:tentative="1">
      <w:start w:val="1"/>
      <w:numFmt w:val="bullet"/>
      <w:lvlText w:val="o"/>
      <w:lvlJc w:val="left"/>
      <w:pPr>
        <w:ind w:left="4975" w:hanging="360"/>
      </w:pPr>
      <w:rPr>
        <w:rFonts w:ascii="Courier New" w:hAnsi="Courier New" w:cs="Courier New" w:hint="default"/>
      </w:rPr>
    </w:lvl>
    <w:lvl w:ilvl="8" w:tplc="04090005" w:tentative="1">
      <w:start w:val="1"/>
      <w:numFmt w:val="bullet"/>
      <w:lvlText w:val=""/>
      <w:lvlJc w:val="left"/>
      <w:pPr>
        <w:ind w:left="5695" w:hanging="360"/>
      </w:pPr>
      <w:rPr>
        <w:rFonts w:ascii="Wingdings" w:hAnsi="Wingdings" w:hint="default"/>
      </w:rPr>
    </w:lvl>
  </w:abstractNum>
  <w:abstractNum w:abstractNumId="280" w15:restartNumberingAfterBreak="0">
    <w:nsid w:val="4EBD67C7"/>
    <w:multiLevelType w:val="hybridMultilevel"/>
    <w:tmpl w:val="9B826256"/>
    <w:lvl w:ilvl="0" w:tplc="E8908010">
      <w:start w:val="1"/>
      <w:numFmt w:val="decimal"/>
      <w:lvlText w:val="(%1)"/>
      <w:lvlJc w:val="left"/>
      <w:pPr>
        <w:ind w:left="1273" w:hanging="567"/>
      </w:pPr>
      <w:rPr>
        <w:rFonts w:ascii="Arial" w:eastAsia="Calibri" w:hAnsi="Arial" w:cs="Arial" w:hint="default"/>
        <w:spacing w:val="-1"/>
        <w:w w:val="100"/>
        <w:sz w:val="20"/>
        <w:szCs w:val="20"/>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1" w15:restartNumberingAfterBreak="0">
    <w:nsid w:val="4EDF0358"/>
    <w:multiLevelType w:val="hybridMultilevel"/>
    <w:tmpl w:val="84C4E7B4"/>
    <w:lvl w:ilvl="0" w:tplc="84F2BC02">
      <w:start w:val="1"/>
      <w:numFmt w:val="lowerRoman"/>
      <w:lvlText w:val="(%1)"/>
      <w:lvlJc w:val="left"/>
      <w:pPr>
        <w:ind w:left="1273" w:hanging="567"/>
      </w:pPr>
      <w:rPr>
        <w:rFonts w:ascii="Arial" w:eastAsia="Calibri" w:hAnsi="Arial" w:cs="Arial" w:hint="default"/>
        <w:spacing w:val="-1"/>
        <w:w w:val="100"/>
        <w:sz w:val="20"/>
        <w:szCs w:val="22"/>
        <w:lang w:val="en-US" w:eastAsia="en-US" w:bidi="ar-SA"/>
      </w:rPr>
    </w:lvl>
    <w:lvl w:ilvl="1" w:tplc="1E5E6D1C">
      <w:numFmt w:val="bullet"/>
      <w:lvlText w:val="•"/>
      <w:lvlJc w:val="left"/>
      <w:pPr>
        <w:ind w:left="2088" w:hanging="567"/>
      </w:pPr>
      <w:rPr>
        <w:rFonts w:hint="default"/>
        <w:lang w:val="en-US" w:eastAsia="en-US" w:bidi="ar-SA"/>
      </w:rPr>
    </w:lvl>
    <w:lvl w:ilvl="2" w:tplc="5F886E6A">
      <w:numFmt w:val="bullet"/>
      <w:lvlText w:val="•"/>
      <w:lvlJc w:val="left"/>
      <w:pPr>
        <w:ind w:left="2897" w:hanging="567"/>
      </w:pPr>
      <w:rPr>
        <w:rFonts w:hint="default"/>
        <w:lang w:val="en-US" w:eastAsia="en-US" w:bidi="ar-SA"/>
      </w:rPr>
    </w:lvl>
    <w:lvl w:ilvl="3" w:tplc="326CBEB4">
      <w:numFmt w:val="bullet"/>
      <w:lvlText w:val="•"/>
      <w:lvlJc w:val="left"/>
      <w:pPr>
        <w:ind w:left="3705" w:hanging="567"/>
      </w:pPr>
      <w:rPr>
        <w:rFonts w:hint="default"/>
        <w:lang w:val="en-US" w:eastAsia="en-US" w:bidi="ar-SA"/>
      </w:rPr>
    </w:lvl>
    <w:lvl w:ilvl="4" w:tplc="924ACF18">
      <w:numFmt w:val="bullet"/>
      <w:lvlText w:val="•"/>
      <w:lvlJc w:val="left"/>
      <w:pPr>
        <w:ind w:left="4514" w:hanging="567"/>
      </w:pPr>
      <w:rPr>
        <w:rFonts w:hint="default"/>
        <w:lang w:val="en-US" w:eastAsia="en-US" w:bidi="ar-SA"/>
      </w:rPr>
    </w:lvl>
    <w:lvl w:ilvl="5" w:tplc="47E6CBD6">
      <w:numFmt w:val="bullet"/>
      <w:lvlText w:val="•"/>
      <w:lvlJc w:val="left"/>
      <w:pPr>
        <w:ind w:left="5323" w:hanging="567"/>
      </w:pPr>
      <w:rPr>
        <w:rFonts w:hint="default"/>
        <w:lang w:val="en-US" w:eastAsia="en-US" w:bidi="ar-SA"/>
      </w:rPr>
    </w:lvl>
    <w:lvl w:ilvl="6" w:tplc="8862AFA2">
      <w:numFmt w:val="bullet"/>
      <w:lvlText w:val="•"/>
      <w:lvlJc w:val="left"/>
      <w:pPr>
        <w:ind w:left="6131" w:hanging="567"/>
      </w:pPr>
      <w:rPr>
        <w:rFonts w:hint="default"/>
        <w:lang w:val="en-US" w:eastAsia="en-US" w:bidi="ar-SA"/>
      </w:rPr>
    </w:lvl>
    <w:lvl w:ilvl="7" w:tplc="875C36AA">
      <w:numFmt w:val="bullet"/>
      <w:lvlText w:val="•"/>
      <w:lvlJc w:val="left"/>
      <w:pPr>
        <w:ind w:left="6940" w:hanging="567"/>
      </w:pPr>
      <w:rPr>
        <w:rFonts w:hint="default"/>
        <w:lang w:val="en-US" w:eastAsia="en-US" w:bidi="ar-SA"/>
      </w:rPr>
    </w:lvl>
    <w:lvl w:ilvl="8" w:tplc="A4BA1F70">
      <w:numFmt w:val="bullet"/>
      <w:lvlText w:val="•"/>
      <w:lvlJc w:val="left"/>
      <w:pPr>
        <w:ind w:left="7749" w:hanging="567"/>
      </w:pPr>
      <w:rPr>
        <w:rFonts w:hint="default"/>
        <w:lang w:val="en-US" w:eastAsia="en-US" w:bidi="ar-SA"/>
      </w:rPr>
    </w:lvl>
  </w:abstractNum>
  <w:abstractNum w:abstractNumId="282" w15:restartNumberingAfterBreak="0">
    <w:nsid w:val="4F1634A4"/>
    <w:multiLevelType w:val="hybridMultilevel"/>
    <w:tmpl w:val="4E963D66"/>
    <w:lvl w:ilvl="0" w:tplc="D30C28DE">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0486DF98">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C80280CA">
      <w:numFmt w:val="bullet"/>
      <w:lvlText w:val="•"/>
      <w:lvlJc w:val="left"/>
      <w:pPr>
        <w:ind w:left="2178" w:hanging="567"/>
      </w:pPr>
      <w:rPr>
        <w:rFonts w:hint="default"/>
        <w:lang w:val="en-US" w:eastAsia="en-US" w:bidi="ar-SA"/>
      </w:rPr>
    </w:lvl>
    <w:lvl w:ilvl="3" w:tplc="633A402E">
      <w:numFmt w:val="bullet"/>
      <w:lvlText w:val="•"/>
      <w:lvlJc w:val="left"/>
      <w:pPr>
        <w:ind w:left="3076" w:hanging="567"/>
      </w:pPr>
      <w:rPr>
        <w:rFonts w:hint="default"/>
        <w:lang w:val="en-US" w:eastAsia="en-US" w:bidi="ar-SA"/>
      </w:rPr>
    </w:lvl>
    <w:lvl w:ilvl="4" w:tplc="B448A688">
      <w:numFmt w:val="bullet"/>
      <w:lvlText w:val="•"/>
      <w:lvlJc w:val="left"/>
      <w:pPr>
        <w:ind w:left="3975" w:hanging="567"/>
      </w:pPr>
      <w:rPr>
        <w:rFonts w:hint="default"/>
        <w:lang w:val="en-US" w:eastAsia="en-US" w:bidi="ar-SA"/>
      </w:rPr>
    </w:lvl>
    <w:lvl w:ilvl="5" w:tplc="34088E74">
      <w:numFmt w:val="bullet"/>
      <w:lvlText w:val="•"/>
      <w:lvlJc w:val="left"/>
      <w:pPr>
        <w:ind w:left="4873" w:hanging="567"/>
      </w:pPr>
      <w:rPr>
        <w:rFonts w:hint="default"/>
        <w:lang w:val="en-US" w:eastAsia="en-US" w:bidi="ar-SA"/>
      </w:rPr>
    </w:lvl>
    <w:lvl w:ilvl="6" w:tplc="742E787C">
      <w:numFmt w:val="bullet"/>
      <w:lvlText w:val="•"/>
      <w:lvlJc w:val="left"/>
      <w:pPr>
        <w:ind w:left="5772" w:hanging="567"/>
      </w:pPr>
      <w:rPr>
        <w:rFonts w:hint="default"/>
        <w:lang w:val="en-US" w:eastAsia="en-US" w:bidi="ar-SA"/>
      </w:rPr>
    </w:lvl>
    <w:lvl w:ilvl="7" w:tplc="99420CEA">
      <w:numFmt w:val="bullet"/>
      <w:lvlText w:val="•"/>
      <w:lvlJc w:val="left"/>
      <w:pPr>
        <w:ind w:left="6670" w:hanging="567"/>
      </w:pPr>
      <w:rPr>
        <w:rFonts w:hint="default"/>
        <w:lang w:val="en-US" w:eastAsia="en-US" w:bidi="ar-SA"/>
      </w:rPr>
    </w:lvl>
    <w:lvl w:ilvl="8" w:tplc="CA1AFE7E">
      <w:numFmt w:val="bullet"/>
      <w:lvlText w:val="•"/>
      <w:lvlJc w:val="left"/>
      <w:pPr>
        <w:ind w:left="7569" w:hanging="567"/>
      </w:pPr>
      <w:rPr>
        <w:rFonts w:hint="default"/>
        <w:lang w:val="en-US" w:eastAsia="en-US" w:bidi="ar-SA"/>
      </w:rPr>
    </w:lvl>
  </w:abstractNum>
  <w:abstractNum w:abstractNumId="283" w15:restartNumberingAfterBreak="0">
    <w:nsid w:val="4F617FA8"/>
    <w:multiLevelType w:val="hybridMultilevel"/>
    <w:tmpl w:val="2D2AF6E2"/>
    <w:lvl w:ilvl="0" w:tplc="81B0DB78">
      <w:start w:val="1"/>
      <w:numFmt w:val="decimal"/>
      <w:lvlText w:val="(%1)"/>
      <w:lvlJc w:val="left"/>
      <w:pPr>
        <w:ind w:left="1273" w:hanging="567"/>
      </w:pPr>
      <w:rPr>
        <w:rFonts w:ascii="Arial" w:eastAsia="Calibri" w:hAnsi="Arial" w:cs="Arial" w:hint="default"/>
        <w:spacing w:val="-1"/>
        <w:w w:val="100"/>
        <w:sz w:val="20"/>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4" w15:restartNumberingAfterBreak="0">
    <w:nsid w:val="4F7462FD"/>
    <w:multiLevelType w:val="hybridMultilevel"/>
    <w:tmpl w:val="634A6A8C"/>
    <w:lvl w:ilvl="0" w:tplc="D3725F54">
      <w:start w:val="1"/>
      <w:numFmt w:val="lowerLetter"/>
      <w:lvlText w:val="(%1)"/>
      <w:lvlJc w:val="left"/>
      <w:pPr>
        <w:ind w:left="2408" w:hanging="567"/>
      </w:pPr>
      <w:rPr>
        <w:rFonts w:ascii="Arial" w:eastAsia="Calibri" w:hAnsi="Arial" w:cs="Arial" w:hint="default"/>
        <w:spacing w:val="-1"/>
        <w:w w:val="100"/>
        <w:sz w:val="20"/>
        <w:szCs w:val="22"/>
        <w:lang w:val="en-US" w:eastAsia="en-US" w:bidi="ar-SA"/>
      </w:rPr>
    </w:lvl>
    <w:lvl w:ilvl="1" w:tplc="E6C4915A">
      <w:start w:val="1"/>
      <w:numFmt w:val="decimal"/>
      <w:lvlText w:val="(%2)"/>
      <w:lvlJc w:val="left"/>
      <w:pPr>
        <w:ind w:left="2975" w:hanging="567"/>
      </w:pPr>
      <w:rPr>
        <w:rFonts w:ascii="Arial" w:eastAsia="Calibri" w:hAnsi="Arial" w:cs="Arial" w:hint="default"/>
        <w:spacing w:val="-1"/>
        <w:w w:val="100"/>
        <w:sz w:val="20"/>
        <w:szCs w:val="22"/>
        <w:lang w:val="en-US" w:eastAsia="en-US" w:bidi="ar-SA"/>
      </w:rPr>
    </w:lvl>
    <w:lvl w:ilvl="2" w:tplc="9C86699A">
      <w:numFmt w:val="bullet"/>
      <w:lvlText w:val="•"/>
      <w:lvlJc w:val="left"/>
      <w:pPr>
        <w:ind w:left="3689" w:hanging="567"/>
      </w:pPr>
      <w:rPr>
        <w:rFonts w:hint="default"/>
        <w:lang w:val="en-US" w:eastAsia="en-US" w:bidi="ar-SA"/>
      </w:rPr>
    </w:lvl>
    <w:lvl w:ilvl="3" w:tplc="9AF4EC4A">
      <w:numFmt w:val="bullet"/>
      <w:lvlText w:val="•"/>
      <w:lvlJc w:val="left"/>
      <w:pPr>
        <w:ind w:left="4399" w:hanging="567"/>
      </w:pPr>
      <w:rPr>
        <w:rFonts w:hint="default"/>
        <w:lang w:val="en-US" w:eastAsia="en-US" w:bidi="ar-SA"/>
      </w:rPr>
    </w:lvl>
    <w:lvl w:ilvl="4" w:tplc="5484ABFC">
      <w:numFmt w:val="bullet"/>
      <w:lvlText w:val="•"/>
      <w:lvlJc w:val="left"/>
      <w:pPr>
        <w:ind w:left="5108" w:hanging="567"/>
      </w:pPr>
      <w:rPr>
        <w:rFonts w:hint="default"/>
        <w:lang w:val="en-US" w:eastAsia="en-US" w:bidi="ar-SA"/>
      </w:rPr>
    </w:lvl>
    <w:lvl w:ilvl="5" w:tplc="6EB6AC84">
      <w:numFmt w:val="bullet"/>
      <w:lvlText w:val="•"/>
      <w:lvlJc w:val="left"/>
      <w:pPr>
        <w:ind w:left="5818" w:hanging="567"/>
      </w:pPr>
      <w:rPr>
        <w:rFonts w:hint="default"/>
        <w:lang w:val="en-US" w:eastAsia="en-US" w:bidi="ar-SA"/>
      </w:rPr>
    </w:lvl>
    <w:lvl w:ilvl="6" w:tplc="BC2EB364">
      <w:numFmt w:val="bullet"/>
      <w:lvlText w:val="•"/>
      <w:lvlJc w:val="left"/>
      <w:pPr>
        <w:ind w:left="6528" w:hanging="567"/>
      </w:pPr>
      <w:rPr>
        <w:rFonts w:hint="default"/>
        <w:lang w:val="en-US" w:eastAsia="en-US" w:bidi="ar-SA"/>
      </w:rPr>
    </w:lvl>
    <w:lvl w:ilvl="7" w:tplc="819A6320">
      <w:numFmt w:val="bullet"/>
      <w:lvlText w:val="•"/>
      <w:lvlJc w:val="left"/>
      <w:pPr>
        <w:ind w:left="7237" w:hanging="567"/>
      </w:pPr>
      <w:rPr>
        <w:rFonts w:hint="default"/>
        <w:lang w:val="en-US" w:eastAsia="en-US" w:bidi="ar-SA"/>
      </w:rPr>
    </w:lvl>
    <w:lvl w:ilvl="8" w:tplc="504E1BEE">
      <w:numFmt w:val="bullet"/>
      <w:lvlText w:val="•"/>
      <w:lvlJc w:val="left"/>
      <w:pPr>
        <w:ind w:left="7947" w:hanging="567"/>
      </w:pPr>
      <w:rPr>
        <w:rFonts w:hint="default"/>
        <w:lang w:val="en-US" w:eastAsia="en-US" w:bidi="ar-SA"/>
      </w:rPr>
    </w:lvl>
  </w:abstractNum>
  <w:abstractNum w:abstractNumId="285" w15:restartNumberingAfterBreak="0">
    <w:nsid w:val="4FAA050B"/>
    <w:multiLevelType w:val="hybridMultilevel"/>
    <w:tmpl w:val="ED1A8E4E"/>
    <w:lvl w:ilvl="0" w:tplc="3F2E25BE">
      <w:start w:val="1"/>
      <w:numFmt w:val="decimal"/>
      <w:lvlText w:val="(%1)"/>
      <w:lvlJc w:val="left"/>
      <w:pPr>
        <w:ind w:left="1273" w:hanging="567"/>
      </w:pPr>
      <w:rPr>
        <w:rFonts w:ascii="Arial" w:eastAsia="Calibri" w:hAnsi="Arial" w:cs="Arial" w:hint="default"/>
        <w:spacing w:val="-1"/>
        <w:w w:val="100"/>
        <w:sz w:val="20"/>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15:restartNumberingAfterBreak="0">
    <w:nsid w:val="4FC16BDC"/>
    <w:multiLevelType w:val="hybridMultilevel"/>
    <w:tmpl w:val="AECAEEF4"/>
    <w:lvl w:ilvl="0" w:tplc="A7E0EB0A">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B46E7712">
      <w:numFmt w:val="bullet"/>
      <w:lvlText w:val="•"/>
      <w:lvlJc w:val="left"/>
      <w:pPr>
        <w:ind w:left="1566" w:hanging="567"/>
      </w:pPr>
      <w:rPr>
        <w:rFonts w:hint="default"/>
        <w:lang w:val="en-US" w:eastAsia="en-US" w:bidi="ar-SA"/>
      </w:rPr>
    </w:lvl>
    <w:lvl w:ilvl="2" w:tplc="5004009A">
      <w:numFmt w:val="bullet"/>
      <w:lvlText w:val="•"/>
      <w:lvlJc w:val="left"/>
      <w:pPr>
        <w:ind w:left="2433" w:hanging="567"/>
      </w:pPr>
      <w:rPr>
        <w:rFonts w:hint="default"/>
        <w:lang w:val="en-US" w:eastAsia="en-US" w:bidi="ar-SA"/>
      </w:rPr>
    </w:lvl>
    <w:lvl w:ilvl="3" w:tplc="6434B9CE">
      <w:numFmt w:val="bullet"/>
      <w:lvlText w:val="•"/>
      <w:lvlJc w:val="left"/>
      <w:pPr>
        <w:ind w:left="3299" w:hanging="567"/>
      </w:pPr>
      <w:rPr>
        <w:rFonts w:hint="default"/>
        <w:lang w:val="en-US" w:eastAsia="en-US" w:bidi="ar-SA"/>
      </w:rPr>
    </w:lvl>
    <w:lvl w:ilvl="4" w:tplc="C3BA6DFE">
      <w:numFmt w:val="bullet"/>
      <w:lvlText w:val="•"/>
      <w:lvlJc w:val="left"/>
      <w:pPr>
        <w:ind w:left="4166" w:hanging="567"/>
      </w:pPr>
      <w:rPr>
        <w:rFonts w:hint="default"/>
        <w:lang w:val="en-US" w:eastAsia="en-US" w:bidi="ar-SA"/>
      </w:rPr>
    </w:lvl>
    <w:lvl w:ilvl="5" w:tplc="1BCE1232">
      <w:numFmt w:val="bullet"/>
      <w:lvlText w:val="•"/>
      <w:lvlJc w:val="left"/>
      <w:pPr>
        <w:ind w:left="5033" w:hanging="567"/>
      </w:pPr>
      <w:rPr>
        <w:rFonts w:hint="default"/>
        <w:lang w:val="en-US" w:eastAsia="en-US" w:bidi="ar-SA"/>
      </w:rPr>
    </w:lvl>
    <w:lvl w:ilvl="6" w:tplc="5AEA3A52">
      <w:numFmt w:val="bullet"/>
      <w:lvlText w:val="•"/>
      <w:lvlJc w:val="left"/>
      <w:pPr>
        <w:ind w:left="5899" w:hanging="567"/>
      </w:pPr>
      <w:rPr>
        <w:rFonts w:hint="default"/>
        <w:lang w:val="en-US" w:eastAsia="en-US" w:bidi="ar-SA"/>
      </w:rPr>
    </w:lvl>
    <w:lvl w:ilvl="7" w:tplc="E222C294">
      <w:numFmt w:val="bullet"/>
      <w:lvlText w:val="•"/>
      <w:lvlJc w:val="left"/>
      <w:pPr>
        <w:ind w:left="6766" w:hanging="567"/>
      </w:pPr>
      <w:rPr>
        <w:rFonts w:hint="default"/>
        <w:lang w:val="en-US" w:eastAsia="en-US" w:bidi="ar-SA"/>
      </w:rPr>
    </w:lvl>
    <w:lvl w:ilvl="8" w:tplc="185E14C2">
      <w:numFmt w:val="bullet"/>
      <w:lvlText w:val="•"/>
      <w:lvlJc w:val="left"/>
      <w:pPr>
        <w:ind w:left="7633" w:hanging="567"/>
      </w:pPr>
      <w:rPr>
        <w:rFonts w:hint="default"/>
        <w:lang w:val="en-US" w:eastAsia="en-US" w:bidi="ar-SA"/>
      </w:rPr>
    </w:lvl>
  </w:abstractNum>
  <w:abstractNum w:abstractNumId="287" w15:restartNumberingAfterBreak="0">
    <w:nsid w:val="4FE54B50"/>
    <w:multiLevelType w:val="hybridMultilevel"/>
    <w:tmpl w:val="8CE6C694"/>
    <w:lvl w:ilvl="0" w:tplc="BBCE75F2">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1DDE2CA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B816B08A">
      <w:start w:val="1"/>
      <w:numFmt w:val="lowerRoman"/>
      <w:lvlText w:val="(%3)"/>
      <w:lvlJc w:val="left"/>
      <w:pPr>
        <w:ind w:left="1842" w:hanging="569"/>
      </w:pPr>
      <w:rPr>
        <w:rFonts w:ascii="Arial" w:eastAsia="Calibri" w:hAnsi="Arial" w:cs="Arial" w:hint="default"/>
        <w:spacing w:val="-1"/>
        <w:w w:val="100"/>
        <w:sz w:val="20"/>
        <w:szCs w:val="22"/>
        <w:lang w:val="en-US" w:eastAsia="en-US" w:bidi="ar-SA"/>
      </w:rPr>
    </w:lvl>
    <w:lvl w:ilvl="3" w:tplc="55CCF4BA">
      <w:numFmt w:val="bullet"/>
      <w:lvlText w:val="•"/>
      <w:lvlJc w:val="left"/>
      <w:pPr>
        <w:ind w:left="2780" w:hanging="569"/>
      </w:pPr>
      <w:rPr>
        <w:rFonts w:hint="default"/>
        <w:lang w:val="en-US" w:eastAsia="en-US" w:bidi="ar-SA"/>
      </w:rPr>
    </w:lvl>
    <w:lvl w:ilvl="4" w:tplc="15385E8E">
      <w:numFmt w:val="bullet"/>
      <w:lvlText w:val="•"/>
      <w:lvlJc w:val="left"/>
      <w:pPr>
        <w:ind w:left="3721" w:hanging="569"/>
      </w:pPr>
      <w:rPr>
        <w:rFonts w:hint="default"/>
        <w:lang w:val="en-US" w:eastAsia="en-US" w:bidi="ar-SA"/>
      </w:rPr>
    </w:lvl>
    <w:lvl w:ilvl="5" w:tplc="F8DA4BB2">
      <w:numFmt w:val="bullet"/>
      <w:lvlText w:val="•"/>
      <w:lvlJc w:val="left"/>
      <w:pPr>
        <w:ind w:left="4662" w:hanging="569"/>
      </w:pPr>
      <w:rPr>
        <w:rFonts w:hint="default"/>
        <w:lang w:val="en-US" w:eastAsia="en-US" w:bidi="ar-SA"/>
      </w:rPr>
    </w:lvl>
    <w:lvl w:ilvl="6" w:tplc="397E06EE">
      <w:numFmt w:val="bullet"/>
      <w:lvlText w:val="•"/>
      <w:lvlJc w:val="left"/>
      <w:pPr>
        <w:ind w:left="5603" w:hanging="569"/>
      </w:pPr>
      <w:rPr>
        <w:rFonts w:hint="default"/>
        <w:lang w:val="en-US" w:eastAsia="en-US" w:bidi="ar-SA"/>
      </w:rPr>
    </w:lvl>
    <w:lvl w:ilvl="7" w:tplc="44F6E59A">
      <w:numFmt w:val="bullet"/>
      <w:lvlText w:val="•"/>
      <w:lvlJc w:val="left"/>
      <w:pPr>
        <w:ind w:left="6544" w:hanging="569"/>
      </w:pPr>
      <w:rPr>
        <w:rFonts w:hint="default"/>
        <w:lang w:val="en-US" w:eastAsia="en-US" w:bidi="ar-SA"/>
      </w:rPr>
    </w:lvl>
    <w:lvl w:ilvl="8" w:tplc="07665078">
      <w:numFmt w:val="bullet"/>
      <w:lvlText w:val="•"/>
      <w:lvlJc w:val="left"/>
      <w:pPr>
        <w:ind w:left="7484" w:hanging="569"/>
      </w:pPr>
      <w:rPr>
        <w:rFonts w:hint="default"/>
        <w:lang w:val="en-US" w:eastAsia="en-US" w:bidi="ar-SA"/>
      </w:rPr>
    </w:lvl>
  </w:abstractNum>
  <w:abstractNum w:abstractNumId="288" w15:restartNumberingAfterBreak="0">
    <w:nsid w:val="4FF658DC"/>
    <w:multiLevelType w:val="hybridMultilevel"/>
    <w:tmpl w:val="20EECEC2"/>
    <w:lvl w:ilvl="0" w:tplc="511E49A0">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12D4ADC2">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903E229E">
      <w:start w:val="1"/>
      <w:numFmt w:val="lowerRoman"/>
      <w:lvlText w:val="(%3)"/>
      <w:lvlJc w:val="left"/>
      <w:pPr>
        <w:ind w:left="1842" w:hanging="569"/>
      </w:pPr>
      <w:rPr>
        <w:rFonts w:ascii="Arial" w:eastAsia="Calibri" w:hAnsi="Arial" w:cs="Arial" w:hint="default"/>
        <w:spacing w:val="-1"/>
        <w:w w:val="100"/>
        <w:sz w:val="20"/>
        <w:szCs w:val="22"/>
        <w:lang w:val="en-US" w:eastAsia="en-US" w:bidi="ar-SA"/>
      </w:rPr>
    </w:lvl>
    <w:lvl w:ilvl="3" w:tplc="B150E596">
      <w:numFmt w:val="bullet"/>
      <w:lvlText w:val="•"/>
      <w:lvlJc w:val="left"/>
      <w:pPr>
        <w:ind w:left="2780" w:hanging="569"/>
      </w:pPr>
      <w:rPr>
        <w:rFonts w:hint="default"/>
        <w:lang w:val="en-US" w:eastAsia="en-US" w:bidi="ar-SA"/>
      </w:rPr>
    </w:lvl>
    <w:lvl w:ilvl="4" w:tplc="41E8C37E">
      <w:numFmt w:val="bullet"/>
      <w:lvlText w:val="•"/>
      <w:lvlJc w:val="left"/>
      <w:pPr>
        <w:ind w:left="3721" w:hanging="569"/>
      </w:pPr>
      <w:rPr>
        <w:rFonts w:hint="default"/>
        <w:lang w:val="en-US" w:eastAsia="en-US" w:bidi="ar-SA"/>
      </w:rPr>
    </w:lvl>
    <w:lvl w:ilvl="5" w:tplc="49140FD6">
      <w:numFmt w:val="bullet"/>
      <w:lvlText w:val="•"/>
      <w:lvlJc w:val="left"/>
      <w:pPr>
        <w:ind w:left="4662" w:hanging="569"/>
      </w:pPr>
      <w:rPr>
        <w:rFonts w:hint="default"/>
        <w:lang w:val="en-US" w:eastAsia="en-US" w:bidi="ar-SA"/>
      </w:rPr>
    </w:lvl>
    <w:lvl w:ilvl="6" w:tplc="DF241D56">
      <w:numFmt w:val="bullet"/>
      <w:lvlText w:val="•"/>
      <w:lvlJc w:val="left"/>
      <w:pPr>
        <w:ind w:left="5603" w:hanging="569"/>
      </w:pPr>
      <w:rPr>
        <w:rFonts w:hint="default"/>
        <w:lang w:val="en-US" w:eastAsia="en-US" w:bidi="ar-SA"/>
      </w:rPr>
    </w:lvl>
    <w:lvl w:ilvl="7" w:tplc="D472AA84">
      <w:numFmt w:val="bullet"/>
      <w:lvlText w:val="•"/>
      <w:lvlJc w:val="left"/>
      <w:pPr>
        <w:ind w:left="6544" w:hanging="569"/>
      </w:pPr>
      <w:rPr>
        <w:rFonts w:hint="default"/>
        <w:lang w:val="en-US" w:eastAsia="en-US" w:bidi="ar-SA"/>
      </w:rPr>
    </w:lvl>
    <w:lvl w:ilvl="8" w:tplc="208CDE48">
      <w:numFmt w:val="bullet"/>
      <w:lvlText w:val="•"/>
      <w:lvlJc w:val="left"/>
      <w:pPr>
        <w:ind w:left="7484" w:hanging="569"/>
      </w:pPr>
      <w:rPr>
        <w:rFonts w:hint="default"/>
        <w:lang w:val="en-US" w:eastAsia="en-US" w:bidi="ar-SA"/>
      </w:rPr>
    </w:lvl>
  </w:abstractNum>
  <w:abstractNum w:abstractNumId="289" w15:restartNumberingAfterBreak="0">
    <w:nsid w:val="50615648"/>
    <w:multiLevelType w:val="hybridMultilevel"/>
    <w:tmpl w:val="39B8CBAA"/>
    <w:lvl w:ilvl="0" w:tplc="E3F855EC">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9940AFA8">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3604A7E0">
      <w:numFmt w:val="bullet"/>
      <w:lvlText w:val="•"/>
      <w:lvlJc w:val="left"/>
      <w:pPr>
        <w:ind w:left="2178" w:hanging="567"/>
      </w:pPr>
      <w:rPr>
        <w:rFonts w:hint="default"/>
        <w:lang w:val="en-US" w:eastAsia="en-US" w:bidi="ar-SA"/>
      </w:rPr>
    </w:lvl>
    <w:lvl w:ilvl="3" w:tplc="E7E6DEF2">
      <w:numFmt w:val="bullet"/>
      <w:lvlText w:val="•"/>
      <w:lvlJc w:val="left"/>
      <w:pPr>
        <w:ind w:left="3076" w:hanging="567"/>
      </w:pPr>
      <w:rPr>
        <w:rFonts w:hint="default"/>
        <w:lang w:val="en-US" w:eastAsia="en-US" w:bidi="ar-SA"/>
      </w:rPr>
    </w:lvl>
    <w:lvl w:ilvl="4" w:tplc="8F063C3E">
      <w:numFmt w:val="bullet"/>
      <w:lvlText w:val="•"/>
      <w:lvlJc w:val="left"/>
      <w:pPr>
        <w:ind w:left="3975" w:hanging="567"/>
      </w:pPr>
      <w:rPr>
        <w:rFonts w:hint="default"/>
        <w:lang w:val="en-US" w:eastAsia="en-US" w:bidi="ar-SA"/>
      </w:rPr>
    </w:lvl>
    <w:lvl w:ilvl="5" w:tplc="811EBE68">
      <w:numFmt w:val="bullet"/>
      <w:lvlText w:val="•"/>
      <w:lvlJc w:val="left"/>
      <w:pPr>
        <w:ind w:left="4873" w:hanging="567"/>
      </w:pPr>
      <w:rPr>
        <w:rFonts w:hint="default"/>
        <w:lang w:val="en-US" w:eastAsia="en-US" w:bidi="ar-SA"/>
      </w:rPr>
    </w:lvl>
    <w:lvl w:ilvl="6" w:tplc="46FA3B40">
      <w:numFmt w:val="bullet"/>
      <w:lvlText w:val="•"/>
      <w:lvlJc w:val="left"/>
      <w:pPr>
        <w:ind w:left="5772" w:hanging="567"/>
      </w:pPr>
      <w:rPr>
        <w:rFonts w:hint="default"/>
        <w:lang w:val="en-US" w:eastAsia="en-US" w:bidi="ar-SA"/>
      </w:rPr>
    </w:lvl>
    <w:lvl w:ilvl="7" w:tplc="52D06084">
      <w:numFmt w:val="bullet"/>
      <w:lvlText w:val="•"/>
      <w:lvlJc w:val="left"/>
      <w:pPr>
        <w:ind w:left="6670" w:hanging="567"/>
      </w:pPr>
      <w:rPr>
        <w:rFonts w:hint="default"/>
        <w:lang w:val="en-US" w:eastAsia="en-US" w:bidi="ar-SA"/>
      </w:rPr>
    </w:lvl>
    <w:lvl w:ilvl="8" w:tplc="0932356A">
      <w:numFmt w:val="bullet"/>
      <w:lvlText w:val="•"/>
      <w:lvlJc w:val="left"/>
      <w:pPr>
        <w:ind w:left="7569" w:hanging="567"/>
      </w:pPr>
      <w:rPr>
        <w:rFonts w:hint="default"/>
        <w:lang w:val="en-US" w:eastAsia="en-US" w:bidi="ar-SA"/>
      </w:rPr>
    </w:lvl>
  </w:abstractNum>
  <w:abstractNum w:abstractNumId="290" w15:restartNumberingAfterBreak="0">
    <w:nsid w:val="50AE6E91"/>
    <w:multiLevelType w:val="hybridMultilevel"/>
    <w:tmpl w:val="A3825EBA"/>
    <w:lvl w:ilvl="0" w:tplc="7B7E3780">
      <w:start w:val="1"/>
      <w:numFmt w:val="lowerRoman"/>
      <w:lvlText w:val="(%1)"/>
      <w:lvlJc w:val="left"/>
      <w:pPr>
        <w:ind w:left="2408" w:hanging="567"/>
      </w:pPr>
      <w:rPr>
        <w:rFonts w:ascii="Arial" w:eastAsia="Calibri" w:hAnsi="Arial" w:cs="Arial" w:hint="default"/>
        <w:spacing w:val="-1"/>
        <w:w w:val="100"/>
        <w:sz w:val="20"/>
        <w:szCs w:val="22"/>
        <w:lang w:val="en-US" w:eastAsia="en-US" w:bidi="ar-SA"/>
      </w:rPr>
    </w:lvl>
    <w:lvl w:ilvl="1" w:tplc="2BCEEBF6">
      <w:numFmt w:val="bullet"/>
      <w:lvlText w:val="•"/>
      <w:lvlJc w:val="left"/>
      <w:pPr>
        <w:ind w:left="3096" w:hanging="567"/>
      </w:pPr>
      <w:rPr>
        <w:rFonts w:hint="default"/>
        <w:lang w:val="en-US" w:eastAsia="en-US" w:bidi="ar-SA"/>
      </w:rPr>
    </w:lvl>
    <w:lvl w:ilvl="2" w:tplc="F29CF34A">
      <w:numFmt w:val="bullet"/>
      <w:lvlText w:val="•"/>
      <w:lvlJc w:val="left"/>
      <w:pPr>
        <w:ind w:left="3793" w:hanging="567"/>
      </w:pPr>
      <w:rPr>
        <w:rFonts w:hint="default"/>
        <w:lang w:val="en-US" w:eastAsia="en-US" w:bidi="ar-SA"/>
      </w:rPr>
    </w:lvl>
    <w:lvl w:ilvl="3" w:tplc="F4C83634">
      <w:numFmt w:val="bullet"/>
      <w:lvlText w:val="•"/>
      <w:lvlJc w:val="left"/>
      <w:pPr>
        <w:ind w:left="4489" w:hanging="567"/>
      </w:pPr>
      <w:rPr>
        <w:rFonts w:hint="default"/>
        <w:lang w:val="en-US" w:eastAsia="en-US" w:bidi="ar-SA"/>
      </w:rPr>
    </w:lvl>
    <w:lvl w:ilvl="4" w:tplc="B58C5E3A">
      <w:numFmt w:val="bullet"/>
      <w:lvlText w:val="•"/>
      <w:lvlJc w:val="left"/>
      <w:pPr>
        <w:ind w:left="5186" w:hanging="567"/>
      </w:pPr>
      <w:rPr>
        <w:rFonts w:hint="default"/>
        <w:lang w:val="en-US" w:eastAsia="en-US" w:bidi="ar-SA"/>
      </w:rPr>
    </w:lvl>
    <w:lvl w:ilvl="5" w:tplc="6B703F8A">
      <w:numFmt w:val="bullet"/>
      <w:lvlText w:val="•"/>
      <w:lvlJc w:val="left"/>
      <w:pPr>
        <w:ind w:left="5883" w:hanging="567"/>
      </w:pPr>
      <w:rPr>
        <w:rFonts w:hint="default"/>
        <w:lang w:val="en-US" w:eastAsia="en-US" w:bidi="ar-SA"/>
      </w:rPr>
    </w:lvl>
    <w:lvl w:ilvl="6" w:tplc="DE9494AA">
      <w:numFmt w:val="bullet"/>
      <w:lvlText w:val="•"/>
      <w:lvlJc w:val="left"/>
      <w:pPr>
        <w:ind w:left="6579" w:hanging="567"/>
      </w:pPr>
      <w:rPr>
        <w:rFonts w:hint="default"/>
        <w:lang w:val="en-US" w:eastAsia="en-US" w:bidi="ar-SA"/>
      </w:rPr>
    </w:lvl>
    <w:lvl w:ilvl="7" w:tplc="AAD2E118">
      <w:numFmt w:val="bullet"/>
      <w:lvlText w:val="•"/>
      <w:lvlJc w:val="left"/>
      <w:pPr>
        <w:ind w:left="7276" w:hanging="567"/>
      </w:pPr>
      <w:rPr>
        <w:rFonts w:hint="default"/>
        <w:lang w:val="en-US" w:eastAsia="en-US" w:bidi="ar-SA"/>
      </w:rPr>
    </w:lvl>
    <w:lvl w:ilvl="8" w:tplc="0E46D0CC">
      <w:numFmt w:val="bullet"/>
      <w:lvlText w:val="•"/>
      <w:lvlJc w:val="left"/>
      <w:pPr>
        <w:ind w:left="7973" w:hanging="567"/>
      </w:pPr>
      <w:rPr>
        <w:rFonts w:hint="default"/>
        <w:lang w:val="en-US" w:eastAsia="en-US" w:bidi="ar-SA"/>
      </w:rPr>
    </w:lvl>
  </w:abstractNum>
  <w:abstractNum w:abstractNumId="291" w15:restartNumberingAfterBreak="0">
    <w:nsid w:val="511C5D2C"/>
    <w:multiLevelType w:val="hybridMultilevel"/>
    <w:tmpl w:val="048CDFCC"/>
    <w:lvl w:ilvl="0" w:tplc="479EE150">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1BAE2E6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184455FC">
      <w:numFmt w:val="bullet"/>
      <w:lvlText w:val="•"/>
      <w:lvlJc w:val="left"/>
      <w:pPr>
        <w:ind w:left="2178" w:hanging="567"/>
      </w:pPr>
      <w:rPr>
        <w:rFonts w:hint="default"/>
        <w:lang w:val="en-US" w:eastAsia="en-US" w:bidi="ar-SA"/>
      </w:rPr>
    </w:lvl>
    <w:lvl w:ilvl="3" w:tplc="20723EF6">
      <w:numFmt w:val="bullet"/>
      <w:lvlText w:val="•"/>
      <w:lvlJc w:val="left"/>
      <w:pPr>
        <w:ind w:left="3076" w:hanging="567"/>
      </w:pPr>
      <w:rPr>
        <w:rFonts w:hint="default"/>
        <w:lang w:val="en-US" w:eastAsia="en-US" w:bidi="ar-SA"/>
      </w:rPr>
    </w:lvl>
    <w:lvl w:ilvl="4" w:tplc="EB6EA3D2">
      <w:numFmt w:val="bullet"/>
      <w:lvlText w:val="•"/>
      <w:lvlJc w:val="left"/>
      <w:pPr>
        <w:ind w:left="3975" w:hanging="567"/>
      </w:pPr>
      <w:rPr>
        <w:rFonts w:hint="default"/>
        <w:lang w:val="en-US" w:eastAsia="en-US" w:bidi="ar-SA"/>
      </w:rPr>
    </w:lvl>
    <w:lvl w:ilvl="5" w:tplc="339C3360">
      <w:numFmt w:val="bullet"/>
      <w:lvlText w:val="•"/>
      <w:lvlJc w:val="left"/>
      <w:pPr>
        <w:ind w:left="4873" w:hanging="567"/>
      </w:pPr>
      <w:rPr>
        <w:rFonts w:hint="default"/>
        <w:lang w:val="en-US" w:eastAsia="en-US" w:bidi="ar-SA"/>
      </w:rPr>
    </w:lvl>
    <w:lvl w:ilvl="6" w:tplc="303A69FC">
      <w:numFmt w:val="bullet"/>
      <w:lvlText w:val="•"/>
      <w:lvlJc w:val="left"/>
      <w:pPr>
        <w:ind w:left="5772" w:hanging="567"/>
      </w:pPr>
      <w:rPr>
        <w:rFonts w:hint="default"/>
        <w:lang w:val="en-US" w:eastAsia="en-US" w:bidi="ar-SA"/>
      </w:rPr>
    </w:lvl>
    <w:lvl w:ilvl="7" w:tplc="4E2AFB94">
      <w:numFmt w:val="bullet"/>
      <w:lvlText w:val="•"/>
      <w:lvlJc w:val="left"/>
      <w:pPr>
        <w:ind w:left="6670" w:hanging="567"/>
      </w:pPr>
      <w:rPr>
        <w:rFonts w:hint="default"/>
        <w:lang w:val="en-US" w:eastAsia="en-US" w:bidi="ar-SA"/>
      </w:rPr>
    </w:lvl>
    <w:lvl w:ilvl="8" w:tplc="095C4CCE">
      <w:numFmt w:val="bullet"/>
      <w:lvlText w:val="•"/>
      <w:lvlJc w:val="left"/>
      <w:pPr>
        <w:ind w:left="7569" w:hanging="567"/>
      </w:pPr>
      <w:rPr>
        <w:rFonts w:hint="default"/>
        <w:lang w:val="en-US" w:eastAsia="en-US" w:bidi="ar-SA"/>
      </w:rPr>
    </w:lvl>
  </w:abstractNum>
  <w:abstractNum w:abstractNumId="292" w15:restartNumberingAfterBreak="0">
    <w:nsid w:val="51C64EF9"/>
    <w:multiLevelType w:val="hybridMultilevel"/>
    <w:tmpl w:val="08608E74"/>
    <w:lvl w:ilvl="0" w:tplc="E48A115A">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87FAE80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0DE80004">
      <w:numFmt w:val="bullet"/>
      <w:lvlText w:val="•"/>
      <w:lvlJc w:val="left"/>
      <w:pPr>
        <w:ind w:left="2178" w:hanging="567"/>
      </w:pPr>
      <w:rPr>
        <w:rFonts w:hint="default"/>
        <w:lang w:val="en-US" w:eastAsia="en-US" w:bidi="ar-SA"/>
      </w:rPr>
    </w:lvl>
    <w:lvl w:ilvl="3" w:tplc="1B285046">
      <w:numFmt w:val="bullet"/>
      <w:lvlText w:val="•"/>
      <w:lvlJc w:val="left"/>
      <w:pPr>
        <w:ind w:left="3076" w:hanging="567"/>
      </w:pPr>
      <w:rPr>
        <w:rFonts w:hint="default"/>
        <w:lang w:val="en-US" w:eastAsia="en-US" w:bidi="ar-SA"/>
      </w:rPr>
    </w:lvl>
    <w:lvl w:ilvl="4" w:tplc="0B0AC1B6">
      <w:numFmt w:val="bullet"/>
      <w:lvlText w:val="•"/>
      <w:lvlJc w:val="left"/>
      <w:pPr>
        <w:ind w:left="3975" w:hanging="567"/>
      </w:pPr>
      <w:rPr>
        <w:rFonts w:hint="default"/>
        <w:lang w:val="en-US" w:eastAsia="en-US" w:bidi="ar-SA"/>
      </w:rPr>
    </w:lvl>
    <w:lvl w:ilvl="5" w:tplc="E3E0BA92">
      <w:numFmt w:val="bullet"/>
      <w:lvlText w:val="•"/>
      <w:lvlJc w:val="left"/>
      <w:pPr>
        <w:ind w:left="4873" w:hanging="567"/>
      </w:pPr>
      <w:rPr>
        <w:rFonts w:hint="default"/>
        <w:lang w:val="en-US" w:eastAsia="en-US" w:bidi="ar-SA"/>
      </w:rPr>
    </w:lvl>
    <w:lvl w:ilvl="6" w:tplc="012AF538">
      <w:numFmt w:val="bullet"/>
      <w:lvlText w:val="•"/>
      <w:lvlJc w:val="left"/>
      <w:pPr>
        <w:ind w:left="5772" w:hanging="567"/>
      </w:pPr>
      <w:rPr>
        <w:rFonts w:hint="default"/>
        <w:lang w:val="en-US" w:eastAsia="en-US" w:bidi="ar-SA"/>
      </w:rPr>
    </w:lvl>
    <w:lvl w:ilvl="7" w:tplc="2640B66E">
      <w:numFmt w:val="bullet"/>
      <w:lvlText w:val="•"/>
      <w:lvlJc w:val="left"/>
      <w:pPr>
        <w:ind w:left="6670" w:hanging="567"/>
      </w:pPr>
      <w:rPr>
        <w:rFonts w:hint="default"/>
        <w:lang w:val="en-US" w:eastAsia="en-US" w:bidi="ar-SA"/>
      </w:rPr>
    </w:lvl>
    <w:lvl w:ilvl="8" w:tplc="4638610E">
      <w:numFmt w:val="bullet"/>
      <w:lvlText w:val="•"/>
      <w:lvlJc w:val="left"/>
      <w:pPr>
        <w:ind w:left="7569" w:hanging="567"/>
      </w:pPr>
      <w:rPr>
        <w:rFonts w:hint="default"/>
        <w:lang w:val="en-US" w:eastAsia="en-US" w:bidi="ar-SA"/>
      </w:rPr>
    </w:lvl>
  </w:abstractNum>
  <w:abstractNum w:abstractNumId="293" w15:restartNumberingAfterBreak="0">
    <w:nsid w:val="51C776CC"/>
    <w:multiLevelType w:val="hybridMultilevel"/>
    <w:tmpl w:val="C3D2FF0A"/>
    <w:lvl w:ilvl="0" w:tplc="C956999A">
      <w:start w:val="1"/>
      <w:numFmt w:val="lowerRoman"/>
      <w:lvlText w:val="(%1)"/>
      <w:lvlJc w:val="left"/>
      <w:pPr>
        <w:ind w:left="652" w:hanging="567"/>
      </w:pPr>
      <w:rPr>
        <w:rFonts w:ascii="Arial" w:eastAsia="Calibri" w:hAnsi="Arial" w:cs="Arial" w:hint="default"/>
        <w:spacing w:val="-1"/>
        <w:w w:val="99"/>
        <w:sz w:val="18"/>
        <w:szCs w:val="20"/>
        <w:lang w:val="en-US" w:eastAsia="en-US" w:bidi="ar-SA"/>
      </w:rPr>
    </w:lvl>
    <w:lvl w:ilvl="1" w:tplc="61185B68">
      <w:numFmt w:val="bullet"/>
      <w:lvlText w:val="•"/>
      <w:lvlJc w:val="left"/>
      <w:pPr>
        <w:ind w:left="893" w:hanging="567"/>
      </w:pPr>
      <w:rPr>
        <w:rFonts w:hint="default"/>
        <w:lang w:val="en-US" w:eastAsia="en-US" w:bidi="ar-SA"/>
      </w:rPr>
    </w:lvl>
    <w:lvl w:ilvl="2" w:tplc="201C48CE">
      <w:numFmt w:val="bullet"/>
      <w:lvlText w:val="•"/>
      <w:lvlJc w:val="left"/>
      <w:pPr>
        <w:ind w:left="1126" w:hanging="567"/>
      </w:pPr>
      <w:rPr>
        <w:rFonts w:hint="default"/>
        <w:lang w:val="en-US" w:eastAsia="en-US" w:bidi="ar-SA"/>
      </w:rPr>
    </w:lvl>
    <w:lvl w:ilvl="3" w:tplc="9C30602A">
      <w:numFmt w:val="bullet"/>
      <w:lvlText w:val="•"/>
      <w:lvlJc w:val="left"/>
      <w:pPr>
        <w:ind w:left="1360" w:hanging="567"/>
      </w:pPr>
      <w:rPr>
        <w:rFonts w:hint="default"/>
        <w:lang w:val="en-US" w:eastAsia="en-US" w:bidi="ar-SA"/>
      </w:rPr>
    </w:lvl>
    <w:lvl w:ilvl="4" w:tplc="82489EC4">
      <w:numFmt w:val="bullet"/>
      <w:lvlText w:val="•"/>
      <w:lvlJc w:val="left"/>
      <w:pPr>
        <w:ind w:left="1593" w:hanging="567"/>
      </w:pPr>
      <w:rPr>
        <w:rFonts w:hint="default"/>
        <w:lang w:val="en-US" w:eastAsia="en-US" w:bidi="ar-SA"/>
      </w:rPr>
    </w:lvl>
    <w:lvl w:ilvl="5" w:tplc="2BD60108">
      <w:numFmt w:val="bullet"/>
      <w:lvlText w:val="•"/>
      <w:lvlJc w:val="left"/>
      <w:pPr>
        <w:ind w:left="1827" w:hanging="567"/>
      </w:pPr>
      <w:rPr>
        <w:rFonts w:hint="default"/>
        <w:lang w:val="en-US" w:eastAsia="en-US" w:bidi="ar-SA"/>
      </w:rPr>
    </w:lvl>
    <w:lvl w:ilvl="6" w:tplc="ED92B184">
      <w:numFmt w:val="bullet"/>
      <w:lvlText w:val="•"/>
      <w:lvlJc w:val="left"/>
      <w:pPr>
        <w:ind w:left="2060" w:hanging="567"/>
      </w:pPr>
      <w:rPr>
        <w:rFonts w:hint="default"/>
        <w:lang w:val="en-US" w:eastAsia="en-US" w:bidi="ar-SA"/>
      </w:rPr>
    </w:lvl>
    <w:lvl w:ilvl="7" w:tplc="B57841DC">
      <w:numFmt w:val="bullet"/>
      <w:lvlText w:val="•"/>
      <w:lvlJc w:val="left"/>
      <w:pPr>
        <w:ind w:left="2294" w:hanging="567"/>
      </w:pPr>
      <w:rPr>
        <w:rFonts w:hint="default"/>
        <w:lang w:val="en-US" w:eastAsia="en-US" w:bidi="ar-SA"/>
      </w:rPr>
    </w:lvl>
    <w:lvl w:ilvl="8" w:tplc="F532175A">
      <w:numFmt w:val="bullet"/>
      <w:lvlText w:val="•"/>
      <w:lvlJc w:val="left"/>
      <w:pPr>
        <w:ind w:left="2527" w:hanging="567"/>
      </w:pPr>
      <w:rPr>
        <w:rFonts w:hint="default"/>
        <w:lang w:val="en-US" w:eastAsia="en-US" w:bidi="ar-SA"/>
      </w:rPr>
    </w:lvl>
  </w:abstractNum>
  <w:abstractNum w:abstractNumId="294" w15:restartNumberingAfterBreak="0">
    <w:nsid w:val="52042824"/>
    <w:multiLevelType w:val="hybridMultilevel"/>
    <w:tmpl w:val="BFE66648"/>
    <w:lvl w:ilvl="0" w:tplc="6B447DF8">
      <w:start w:val="1"/>
      <w:numFmt w:val="lowerLetter"/>
      <w:lvlText w:val="(%1)"/>
      <w:lvlJc w:val="left"/>
      <w:pPr>
        <w:ind w:left="2408" w:hanging="567"/>
      </w:pPr>
      <w:rPr>
        <w:rFonts w:ascii="Arial" w:eastAsia="Calibri" w:hAnsi="Arial" w:cs="Arial" w:hint="default"/>
        <w:spacing w:val="-1"/>
        <w:w w:val="100"/>
        <w:sz w:val="20"/>
        <w:szCs w:val="22"/>
        <w:lang w:val="en-US" w:eastAsia="en-US" w:bidi="ar-SA"/>
      </w:rPr>
    </w:lvl>
    <w:lvl w:ilvl="1" w:tplc="4FC8FD00">
      <w:start w:val="1"/>
      <w:numFmt w:val="decimal"/>
      <w:lvlText w:val="(%2)"/>
      <w:lvlJc w:val="left"/>
      <w:pPr>
        <w:ind w:left="2975" w:hanging="567"/>
      </w:pPr>
      <w:rPr>
        <w:rFonts w:ascii="Arial" w:eastAsia="Calibri" w:hAnsi="Arial" w:cs="Arial" w:hint="default"/>
        <w:spacing w:val="-1"/>
        <w:w w:val="100"/>
        <w:sz w:val="20"/>
        <w:szCs w:val="22"/>
        <w:lang w:val="en-US" w:eastAsia="en-US" w:bidi="ar-SA"/>
      </w:rPr>
    </w:lvl>
    <w:lvl w:ilvl="2" w:tplc="CAE657A0">
      <w:start w:val="1"/>
      <w:numFmt w:val="lowerRoman"/>
      <w:lvlText w:val="(%3)"/>
      <w:lvlJc w:val="left"/>
      <w:pPr>
        <w:ind w:left="3544" w:hanging="569"/>
      </w:pPr>
      <w:rPr>
        <w:rFonts w:ascii="Arial" w:eastAsia="Calibri" w:hAnsi="Arial" w:cs="Arial" w:hint="default"/>
        <w:spacing w:val="-1"/>
        <w:w w:val="100"/>
        <w:sz w:val="20"/>
        <w:szCs w:val="22"/>
        <w:lang w:val="en-US" w:eastAsia="en-US" w:bidi="ar-SA"/>
      </w:rPr>
    </w:lvl>
    <w:lvl w:ilvl="3" w:tplc="C5E478EE">
      <w:numFmt w:val="bullet"/>
      <w:lvlText w:val="•"/>
      <w:lvlJc w:val="left"/>
      <w:pPr>
        <w:ind w:left="4268" w:hanging="569"/>
      </w:pPr>
      <w:rPr>
        <w:rFonts w:hint="default"/>
        <w:lang w:val="en-US" w:eastAsia="en-US" w:bidi="ar-SA"/>
      </w:rPr>
    </w:lvl>
    <w:lvl w:ilvl="4" w:tplc="BFFC9A90">
      <w:numFmt w:val="bullet"/>
      <w:lvlText w:val="•"/>
      <w:lvlJc w:val="left"/>
      <w:pPr>
        <w:ind w:left="4996" w:hanging="569"/>
      </w:pPr>
      <w:rPr>
        <w:rFonts w:hint="default"/>
        <w:lang w:val="en-US" w:eastAsia="en-US" w:bidi="ar-SA"/>
      </w:rPr>
    </w:lvl>
    <w:lvl w:ilvl="5" w:tplc="F976CB3E">
      <w:numFmt w:val="bullet"/>
      <w:lvlText w:val="•"/>
      <w:lvlJc w:val="left"/>
      <w:pPr>
        <w:ind w:left="5724" w:hanging="569"/>
      </w:pPr>
      <w:rPr>
        <w:rFonts w:hint="default"/>
        <w:lang w:val="en-US" w:eastAsia="en-US" w:bidi="ar-SA"/>
      </w:rPr>
    </w:lvl>
    <w:lvl w:ilvl="6" w:tplc="B3A2E77A">
      <w:numFmt w:val="bullet"/>
      <w:lvlText w:val="•"/>
      <w:lvlJc w:val="left"/>
      <w:pPr>
        <w:ind w:left="6453" w:hanging="569"/>
      </w:pPr>
      <w:rPr>
        <w:rFonts w:hint="default"/>
        <w:lang w:val="en-US" w:eastAsia="en-US" w:bidi="ar-SA"/>
      </w:rPr>
    </w:lvl>
    <w:lvl w:ilvl="7" w:tplc="BB7868A2">
      <w:numFmt w:val="bullet"/>
      <w:lvlText w:val="•"/>
      <w:lvlJc w:val="left"/>
      <w:pPr>
        <w:ind w:left="7181" w:hanging="569"/>
      </w:pPr>
      <w:rPr>
        <w:rFonts w:hint="default"/>
        <w:lang w:val="en-US" w:eastAsia="en-US" w:bidi="ar-SA"/>
      </w:rPr>
    </w:lvl>
    <w:lvl w:ilvl="8" w:tplc="ABE64608">
      <w:numFmt w:val="bullet"/>
      <w:lvlText w:val="•"/>
      <w:lvlJc w:val="left"/>
      <w:pPr>
        <w:ind w:left="7909" w:hanging="569"/>
      </w:pPr>
      <w:rPr>
        <w:rFonts w:hint="default"/>
        <w:lang w:val="en-US" w:eastAsia="en-US" w:bidi="ar-SA"/>
      </w:rPr>
    </w:lvl>
  </w:abstractNum>
  <w:abstractNum w:abstractNumId="295" w15:restartNumberingAfterBreak="0">
    <w:nsid w:val="52182F5A"/>
    <w:multiLevelType w:val="hybridMultilevel"/>
    <w:tmpl w:val="696604BA"/>
    <w:lvl w:ilvl="0" w:tplc="9E8AC62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11CC151E">
      <w:numFmt w:val="bullet"/>
      <w:lvlText w:val="•"/>
      <w:lvlJc w:val="left"/>
      <w:pPr>
        <w:ind w:left="1566" w:hanging="567"/>
      </w:pPr>
      <w:rPr>
        <w:rFonts w:hint="default"/>
        <w:lang w:val="en-US" w:eastAsia="en-US" w:bidi="ar-SA"/>
      </w:rPr>
    </w:lvl>
    <w:lvl w:ilvl="2" w:tplc="814A541C">
      <w:numFmt w:val="bullet"/>
      <w:lvlText w:val="•"/>
      <w:lvlJc w:val="left"/>
      <w:pPr>
        <w:ind w:left="2433" w:hanging="567"/>
      </w:pPr>
      <w:rPr>
        <w:rFonts w:hint="default"/>
        <w:lang w:val="en-US" w:eastAsia="en-US" w:bidi="ar-SA"/>
      </w:rPr>
    </w:lvl>
    <w:lvl w:ilvl="3" w:tplc="333E5A10">
      <w:numFmt w:val="bullet"/>
      <w:lvlText w:val="•"/>
      <w:lvlJc w:val="left"/>
      <w:pPr>
        <w:ind w:left="3299" w:hanging="567"/>
      </w:pPr>
      <w:rPr>
        <w:rFonts w:hint="default"/>
        <w:lang w:val="en-US" w:eastAsia="en-US" w:bidi="ar-SA"/>
      </w:rPr>
    </w:lvl>
    <w:lvl w:ilvl="4" w:tplc="7966D86C">
      <w:numFmt w:val="bullet"/>
      <w:lvlText w:val="•"/>
      <w:lvlJc w:val="left"/>
      <w:pPr>
        <w:ind w:left="4166" w:hanging="567"/>
      </w:pPr>
      <w:rPr>
        <w:rFonts w:hint="default"/>
        <w:lang w:val="en-US" w:eastAsia="en-US" w:bidi="ar-SA"/>
      </w:rPr>
    </w:lvl>
    <w:lvl w:ilvl="5" w:tplc="278C8D66">
      <w:numFmt w:val="bullet"/>
      <w:lvlText w:val="•"/>
      <w:lvlJc w:val="left"/>
      <w:pPr>
        <w:ind w:left="5033" w:hanging="567"/>
      </w:pPr>
      <w:rPr>
        <w:rFonts w:hint="default"/>
        <w:lang w:val="en-US" w:eastAsia="en-US" w:bidi="ar-SA"/>
      </w:rPr>
    </w:lvl>
    <w:lvl w:ilvl="6" w:tplc="2CE0F47A">
      <w:numFmt w:val="bullet"/>
      <w:lvlText w:val="•"/>
      <w:lvlJc w:val="left"/>
      <w:pPr>
        <w:ind w:left="5899" w:hanging="567"/>
      </w:pPr>
      <w:rPr>
        <w:rFonts w:hint="default"/>
        <w:lang w:val="en-US" w:eastAsia="en-US" w:bidi="ar-SA"/>
      </w:rPr>
    </w:lvl>
    <w:lvl w:ilvl="7" w:tplc="96AE183E">
      <w:numFmt w:val="bullet"/>
      <w:lvlText w:val="•"/>
      <w:lvlJc w:val="left"/>
      <w:pPr>
        <w:ind w:left="6766" w:hanging="567"/>
      </w:pPr>
      <w:rPr>
        <w:rFonts w:hint="default"/>
        <w:lang w:val="en-US" w:eastAsia="en-US" w:bidi="ar-SA"/>
      </w:rPr>
    </w:lvl>
    <w:lvl w:ilvl="8" w:tplc="55E6AAF2">
      <w:numFmt w:val="bullet"/>
      <w:lvlText w:val="•"/>
      <w:lvlJc w:val="left"/>
      <w:pPr>
        <w:ind w:left="7633" w:hanging="567"/>
      </w:pPr>
      <w:rPr>
        <w:rFonts w:hint="default"/>
        <w:lang w:val="en-US" w:eastAsia="en-US" w:bidi="ar-SA"/>
      </w:rPr>
    </w:lvl>
  </w:abstractNum>
  <w:abstractNum w:abstractNumId="296" w15:restartNumberingAfterBreak="0">
    <w:nsid w:val="52AD0DB4"/>
    <w:multiLevelType w:val="hybridMultilevel"/>
    <w:tmpl w:val="AEAA3AA6"/>
    <w:lvl w:ilvl="0" w:tplc="1074AB5E">
      <w:start w:val="1"/>
      <w:numFmt w:val="lowerLetter"/>
      <w:lvlText w:val="(%1)"/>
      <w:lvlJc w:val="left"/>
      <w:pPr>
        <w:ind w:left="2408" w:hanging="567"/>
      </w:pPr>
      <w:rPr>
        <w:rFonts w:ascii="Arial" w:eastAsia="Calibri" w:hAnsi="Arial" w:cs="Arial" w:hint="default"/>
        <w:spacing w:val="-1"/>
        <w:w w:val="100"/>
        <w:sz w:val="20"/>
        <w:szCs w:val="22"/>
        <w:lang w:val="en-US" w:eastAsia="en-US" w:bidi="ar-SA"/>
      </w:rPr>
    </w:lvl>
    <w:lvl w:ilvl="1" w:tplc="6DBAEE0E">
      <w:start w:val="1"/>
      <w:numFmt w:val="decimal"/>
      <w:lvlText w:val="(%2)"/>
      <w:lvlJc w:val="left"/>
      <w:pPr>
        <w:ind w:left="2975" w:hanging="567"/>
      </w:pPr>
      <w:rPr>
        <w:rFonts w:ascii="Arial" w:eastAsia="Calibri" w:hAnsi="Arial" w:cs="Arial" w:hint="default"/>
        <w:spacing w:val="-1"/>
        <w:w w:val="100"/>
        <w:sz w:val="20"/>
        <w:szCs w:val="22"/>
        <w:lang w:val="en-US" w:eastAsia="en-US" w:bidi="ar-SA"/>
      </w:rPr>
    </w:lvl>
    <w:lvl w:ilvl="2" w:tplc="11F06E68">
      <w:numFmt w:val="bullet"/>
      <w:lvlText w:val="•"/>
      <w:lvlJc w:val="left"/>
      <w:pPr>
        <w:ind w:left="3689" w:hanging="567"/>
      </w:pPr>
      <w:rPr>
        <w:rFonts w:hint="default"/>
        <w:lang w:val="en-US" w:eastAsia="en-US" w:bidi="ar-SA"/>
      </w:rPr>
    </w:lvl>
    <w:lvl w:ilvl="3" w:tplc="169A830C">
      <w:numFmt w:val="bullet"/>
      <w:lvlText w:val="•"/>
      <w:lvlJc w:val="left"/>
      <w:pPr>
        <w:ind w:left="4399" w:hanging="567"/>
      </w:pPr>
      <w:rPr>
        <w:rFonts w:hint="default"/>
        <w:lang w:val="en-US" w:eastAsia="en-US" w:bidi="ar-SA"/>
      </w:rPr>
    </w:lvl>
    <w:lvl w:ilvl="4" w:tplc="D07EED8C">
      <w:numFmt w:val="bullet"/>
      <w:lvlText w:val="•"/>
      <w:lvlJc w:val="left"/>
      <w:pPr>
        <w:ind w:left="5108" w:hanging="567"/>
      </w:pPr>
      <w:rPr>
        <w:rFonts w:hint="default"/>
        <w:lang w:val="en-US" w:eastAsia="en-US" w:bidi="ar-SA"/>
      </w:rPr>
    </w:lvl>
    <w:lvl w:ilvl="5" w:tplc="9766C8F8">
      <w:numFmt w:val="bullet"/>
      <w:lvlText w:val="•"/>
      <w:lvlJc w:val="left"/>
      <w:pPr>
        <w:ind w:left="5818" w:hanging="567"/>
      </w:pPr>
      <w:rPr>
        <w:rFonts w:hint="default"/>
        <w:lang w:val="en-US" w:eastAsia="en-US" w:bidi="ar-SA"/>
      </w:rPr>
    </w:lvl>
    <w:lvl w:ilvl="6" w:tplc="89142FC2">
      <w:numFmt w:val="bullet"/>
      <w:lvlText w:val="•"/>
      <w:lvlJc w:val="left"/>
      <w:pPr>
        <w:ind w:left="6528" w:hanging="567"/>
      </w:pPr>
      <w:rPr>
        <w:rFonts w:hint="default"/>
        <w:lang w:val="en-US" w:eastAsia="en-US" w:bidi="ar-SA"/>
      </w:rPr>
    </w:lvl>
    <w:lvl w:ilvl="7" w:tplc="9856A16E">
      <w:numFmt w:val="bullet"/>
      <w:lvlText w:val="•"/>
      <w:lvlJc w:val="left"/>
      <w:pPr>
        <w:ind w:left="7237" w:hanging="567"/>
      </w:pPr>
      <w:rPr>
        <w:rFonts w:hint="default"/>
        <w:lang w:val="en-US" w:eastAsia="en-US" w:bidi="ar-SA"/>
      </w:rPr>
    </w:lvl>
    <w:lvl w:ilvl="8" w:tplc="AB628260">
      <w:numFmt w:val="bullet"/>
      <w:lvlText w:val="•"/>
      <w:lvlJc w:val="left"/>
      <w:pPr>
        <w:ind w:left="7947" w:hanging="567"/>
      </w:pPr>
      <w:rPr>
        <w:rFonts w:hint="default"/>
        <w:lang w:val="en-US" w:eastAsia="en-US" w:bidi="ar-SA"/>
      </w:rPr>
    </w:lvl>
  </w:abstractNum>
  <w:abstractNum w:abstractNumId="297" w15:restartNumberingAfterBreak="0">
    <w:nsid w:val="52E026B0"/>
    <w:multiLevelType w:val="hybridMultilevel"/>
    <w:tmpl w:val="764EF34A"/>
    <w:lvl w:ilvl="0" w:tplc="511E6506">
      <w:start w:val="1"/>
      <w:numFmt w:val="lowerLetter"/>
      <w:lvlText w:val="(%1)"/>
      <w:lvlJc w:val="left"/>
      <w:pPr>
        <w:ind w:left="2408" w:hanging="567"/>
      </w:pPr>
      <w:rPr>
        <w:rFonts w:ascii="Arial" w:eastAsia="Calibri" w:hAnsi="Arial" w:cs="Arial" w:hint="default"/>
        <w:spacing w:val="-1"/>
        <w:w w:val="100"/>
        <w:sz w:val="20"/>
        <w:szCs w:val="22"/>
        <w:lang w:val="en-US" w:eastAsia="en-US" w:bidi="ar-SA"/>
      </w:rPr>
    </w:lvl>
    <w:lvl w:ilvl="1" w:tplc="F1560D72">
      <w:start w:val="1"/>
      <w:numFmt w:val="decimal"/>
      <w:lvlText w:val="(%2)"/>
      <w:lvlJc w:val="left"/>
      <w:pPr>
        <w:ind w:left="2975" w:hanging="567"/>
      </w:pPr>
      <w:rPr>
        <w:rFonts w:ascii="Arial" w:eastAsia="Calibri" w:hAnsi="Arial" w:cs="Arial" w:hint="default"/>
        <w:spacing w:val="-1"/>
        <w:w w:val="100"/>
        <w:sz w:val="20"/>
        <w:szCs w:val="22"/>
        <w:lang w:val="en-US" w:eastAsia="en-US" w:bidi="ar-SA"/>
      </w:rPr>
    </w:lvl>
    <w:lvl w:ilvl="2" w:tplc="AF2A93F2">
      <w:numFmt w:val="bullet"/>
      <w:lvlText w:val="•"/>
      <w:lvlJc w:val="left"/>
      <w:pPr>
        <w:ind w:left="3689" w:hanging="567"/>
      </w:pPr>
      <w:rPr>
        <w:rFonts w:hint="default"/>
        <w:lang w:val="en-US" w:eastAsia="en-US" w:bidi="ar-SA"/>
      </w:rPr>
    </w:lvl>
    <w:lvl w:ilvl="3" w:tplc="58B6CF8E">
      <w:numFmt w:val="bullet"/>
      <w:lvlText w:val="•"/>
      <w:lvlJc w:val="left"/>
      <w:pPr>
        <w:ind w:left="4399" w:hanging="567"/>
      </w:pPr>
      <w:rPr>
        <w:rFonts w:hint="default"/>
        <w:lang w:val="en-US" w:eastAsia="en-US" w:bidi="ar-SA"/>
      </w:rPr>
    </w:lvl>
    <w:lvl w:ilvl="4" w:tplc="33CA19AE">
      <w:numFmt w:val="bullet"/>
      <w:lvlText w:val="•"/>
      <w:lvlJc w:val="left"/>
      <w:pPr>
        <w:ind w:left="5108" w:hanging="567"/>
      </w:pPr>
      <w:rPr>
        <w:rFonts w:hint="default"/>
        <w:lang w:val="en-US" w:eastAsia="en-US" w:bidi="ar-SA"/>
      </w:rPr>
    </w:lvl>
    <w:lvl w:ilvl="5" w:tplc="ADFC397A">
      <w:numFmt w:val="bullet"/>
      <w:lvlText w:val="•"/>
      <w:lvlJc w:val="left"/>
      <w:pPr>
        <w:ind w:left="5818" w:hanging="567"/>
      </w:pPr>
      <w:rPr>
        <w:rFonts w:hint="default"/>
        <w:lang w:val="en-US" w:eastAsia="en-US" w:bidi="ar-SA"/>
      </w:rPr>
    </w:lvl>
    <w:lvl w:ilvl="6" w:tplc="915A9574">
      <w:numFmt w:val="bullet"/>
      <w:lvlText w:val="•"/>
      <w:lvlJc w:val="left"/>
      <w:pPr>
        <w:ind w:left="6528" w:hanging="567"/>
      </w:pPr>
      <w:rPr>
        <w:rFonts w:hint="default"/>
        <w:lang w:val="en-US" w:eastAsia="en-US" w:bidi="ar-SA"/>
      </w:rPr>
    </w:lvl>
    <w:lvl w:ilvl="7" w:tplc="10A04DCE">
      <w:numFmt w:val="bullet"/>
      <w:lvlText w:val="•"/>
      <w:lvlJc w:val="left"/>
      <w:pPr>
        <w:ind w:left="7237" w:hanging="567"/>
      </w:pPr>
      <w:rPr>
        <w:rFonts w:hint="default"/>
        <w:lang w:val="en-US" w:eastAsia="en-US" w:bidi="ar-SA"/>
      </w:rPr>
    </w:lvl>
    <w:lvl w:ilvl="8" w:tplc="46545DF8">
      <w:numFmt w:val="bullet"/>
      <w:lvlText w:val="•"/>
      <w:lvlJc w:val="left"/>
      <w:pPr>
        <w:ind w:left="7947" w:hanging="567"/>
      </w:pPr>
      <w:rPr>
        <w:rFonts w:hint="default"/>
        <w:lang w:val="en-US" w:eastAsia="en-US" w:bidi="ar-SA"/>
      </w:rPr>
    </w:lvl>
  </w:abstractNum>
  <w:abstractNum w:abstractNumId="298" w15:restartNumberingAfterBreak="0">
    <w:nsid w:val="5360509B"/>
    <w:multiLevelType w:val="hybridMultilevel"/>
    <w:tmpl w:val="51D6E8D2"/>
    <w:lvl w:ilvl="0" w:tplc="605E9082">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B1DCC918">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74BE3366">
      <w:numFmt w:val="bullet"/>
      <w:lvlText w:val="•"/>
      <w:lvlJc w:val="left"/>
      <w:pPr>
        <w:ind w:left="2178" w:hanging="567"/>
      </w:pPr>
      <w:rPr>
        <w:rFonts w:hint="default"/>
        <w:lang w:val="en-US" w:eastAsia="en-US" w:bidi="ar-SA"/>
      </w:rPr>
    </w:lvl>
    <w:lvl w:ilvl="3" w:tplc="34B2F6C0">
      <w:numFmt w:val="bullet"/>
      <w:lvlText w:val="•"/>
      <w:lvlJc w:val="left"/>
      <w:pPr>
        <w:ind w:left="3076" w:hanging="567"/>
      </w:pPr>
      <w:rPr>
        <w:rFonts w:hint="default"/>
        <w:lang w:val="en-US" w:eastAsia="en-US" w:bidi="ar-SA"/>
      </w:rPr>
    </w:lvl>
    <w:lvl w:ilvl="4" w:tplc="EBEEB3AA">
      <w:numFmt w:val="bullet"/>
      <w:lvlText w:val="•"/>
      <w:lvlJc w:val="left"/>
      <w:pPr>
        <w:ind w:left="3975" w:hanging="567"/>
      </w:pPr>
      <w:rPr>
        <w:rFonts w:hint="default"/>
        <w:lang w:val="en-US" w:eastAsia="en-US" w:bidi="ar-SA"/>
      </w:rPr>
    </w:lvl>
    <w:lvl w:ilvl="5" w:tplc="141E1F44">
      <w:numFmt w:val="bullet"/>
      <w:lvlText w:val="•"/>
      <w:lvlJc w:val="left"/>
      <w:pPr>
        <w:ind w:left="4873" w:hanging="567"/>
      </w:pPr>
      <w:rPr>
        <w:rFonts w:hint="default"/>
        <w:lang w:val="en-US" w:eastAsia="en-US" w:bidi="ar-SA"/>
      </w:rPr>
    </w:lvl>
    <w:lvl w:ilvl="6" w:tplc="FA0AD50C">
      <w:numFmt w:val="bullet"/>
      <w:lvlText w:val="•"/>
      <w:lvlJc w:val="left"/>
      <w:pPr>
        <w:ind w:left="5772" w:hanging="567"/>
      </w:pPr>
      <w:rPr>
        <w:rFonts w:hint="default"/>
        <w:lang w:val="en-US" w:eastAsia="en-US" w:bidi="ar-SA"/>
      </w:rPr>
    </w:lvl>
    <w:lvl w:ilvl="7" w:tplc="BBD0A142">
      <w:numFmt w:val="bullet"/>
      <w:lvlText w:val="•"/>
      <w:lvlJc w:val="left"/>
      <w:pPr>
        <w:ind w:left="6670" w:hanging="567"/>
      </w:pPr>
      <w:rPr>
        <w:rFonts w:hint="default"/>
        <w:lang w:val="en-US" w:eastAsia="en-US" w:bidi="ar-SA"/>
      </w:rPr>
    </w:lvl>
    <w:lvl w:ilvl="8" w:tplc="0B980F6E">
      <w:numFmt w:val="bullet"/>
      <w:lvlText w:val="•"/>
      <w:lvlJc w:val="left"/>
      <w:pPr>
        <w:ind w:left="7569" w:hanging="567"/>
      </w:pPr>
      <w:rPr>
        <w:rFonts w:hint="default"/>
        <w:lang w:val="en-US" w:eastAsia="en-US" w:bidi="ar-SA"/>
      </w:rPr>
    </w:lvl>
  </w:abstractNum>
  <w:abstractNum w:abstractNumId="299" w15:restartNumberingAfterBreak="0">
    <w:nsid w:val="53AC3481"/>
    <w:multiLevelType w:val="hybridMultilevel"/>
    <w:tmpl w:val="3D3EC41A"/>
    <w:lvl w:ilvl="0" w:tplc="CA106DD0">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1A104600">
      <w:numFmt w:val="bullet"/>
      <w:lvlText w:val="•"/>
      <w:lvlJc w:val="left"/>
      <w:pPr>
        <w:ind w:left="1566" w:hanging="567"/>
      </w:pPr>
      <w:rPr>
        <w:rFonts w:hint="default"/>
        <w:lang w:val="en-US" w:eastAsia="en-US" w:bidi="ar-SA"/>
      </w:rPr>
    </w:lvl>
    <w:lvl w:ilvl="2" w:tplc="D45208D0">
      <w:numFmt w:val="bullet"/>
      <w:lvlText w:val="•"/>
      <w:lvlJc w:val="left"/>
      <w:pPr>
        <w:ind w:left="2433" w:hanging="567"/>
      </w:pPr>
      <w:rPr>
        <w:rFonts w:hint="default"/>
        <w:lang w:val="en-US" w:eastAsia="en-US" w:bidi="ar-SA"/>
      </w:rPr>
    </w:lvl>
    <w:lvl w:ilvl="3" w:tplc="98A67E7C">
      <w:numFmt w:val="bullet"/>
      <w:lvlText w:val="•"/>
      <w:lvlJc w:val="left"/>
      <w:pPr>
        <w:ind w:left="3299" w:hanging="567"/>
      </w:pPr>
      <w:rPr>
        <w:rFonts w:hint="default"/>
        <w:lang w:val="en-US" w:eastAsia="en-US" w:bidi="ar-SA"/>
      </w:rPr>
    </w:lvl>
    <w:lvl w:ilvl="4" w:tplc="C846B950">
      <w:numFmt w:val="bullet"/>
      <w:lvlText w:val="•"/>
      <w:lvlJc w:val="left"/>
      <w:pPr>
        <w:ind w:left="4166" w:hanging="567"/>
      </w:pPr>
      <w:rPr>
        <w:rFonts w:hint="default"/>
        <w:lang w:val="en-US" w:eastAsia="en-US" w:bidi="ar-SA"/>
      </w:rPr>
    </w:lvl>
    <w:lvl w:ilvl="5" w:tplc="E538313C">
      <w:numFmt w:val="bullet"/>
      <w:lvlText w:val="•"/>
      <w:lvlJc w:val="left"/>
      <w:pPr>
        <w:ind w:left="5033" w:hanging="567"/>
      </w:pPr>
      <w:rPr>
        <w:rFonts w:hint="default"/>
        <w:lang w:val="en-US" w:eastAsia="en-US" w:bidi="ar-SA"/>
      </w:rPr>
    </w:lvl>
    <w:lvl w:ilvl="6" w:tplc="3F806178">
      <w:numFmt w:val="bullet"/>
      <w:lvlText w:val="•"/>
      <w:lvlJc w:val="left"/>
      <w:pPr>
        <w:ind w:left="5899" w:hanging="567"/>
      </w:pPr>
      <w:rPr>
        <w:rFonts w:hint="default"/>
        <w:lang w:val="en-US" w:eastAsia="en-US" w:bidi="ar-SA"/>
      </w:rPr>
    </w:lvl>
    <w:lvl w:ilvl="7" w:tplc="9F0E7C02">
      <w:numFmt w:val="bullet"/>
      <w:lvlText w:val="•"/>
      <w:lvlJc w:val="left"/>
      <w:pPr>
        <w:ind w:left="6766" w:hanging="567"/>
      </w:pPr>
      <w:rPr>
        <w:rFonts w:hint="default"/>
        <w:lang w:val="en-US" w:eastAsia="en-US" w:bidi="ar-SA"/>
      </w:rPr>
    </w:lvl>
    <w:lvl w:ilvl="8" w:tplc="E102B566">
      <w:numFmt w:val="bullet"/>
      <w:lvlText w:val="•"/>
      <w:lvlJc w:val="left"/>
      <w:pPr>
        <w:ind w:left="7633" w:hanging="567"/>
      </w:pPr>
      <w:rPr>
        <w:rFonts w:hint="default"/>
        <w:lang w:val="en-US" w:eastAsia="en-US" w:bidi="ar-SA"/>
      </w:rPr>
    </w:lvl>
  </w:abstractNum>
  <w:abstractNum w:abstractNumId="300" w15:restartNumberingAfterBreak="0">
    <w:nsid w:val="53BE5D9F"/>
    <w:multiLevelType w:val="hybridMultilevel"/>
    <w:tmpl w:val="174C09D6"/>
    <w:lvl w:ilvl="0" w:tplc="471E9FE4">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04AB0F2">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9E56D5DE">
      <w:start w:val="1"/>
      <w:numFmt w:val="lowerRoman"/>
      <w:lvlText w:val="(%3)"/>
      <w:lvlJc w:val="left"/>
      <w:pPr>
        <w:ind w:left="1842" w:hanging="569"/>
      </w:pPr>
      <w:rPr>
        <w:rFonts w:ascii="Arial" w:eastAsia="Calibri" w:hAnsi="Arial" w:cs="Arial" w:hint="default"/>
        <w:spacing w:val="-1"/>
        <w:w w:val="100"/>
        <w:sz w:val="20"/>
        <w:szCs w:val="22"/>
        <w:lang w:val="en-US" w:eastAsia="en-US" w:bidi="ar-SA"/>
      </w:rPr>
    </w:lvl>
    <w:lvl w:ilvl="3" w:tplc="4386C2CA">
      <w:numFmt w:val="bullet"/>
      <w:lvlText w:val="•"/>
      <w:lvlJc w:val="left"/>
      <w:pPr>
        <w:ind w:left="2780" w:hanging="569"/>
      </w:pPr>
      <w:rPr>
        <w:rFonts w:hint="default"/>
        <w:lang w:val="en-US" w:eastAsia="en-US" w:bidi="ar-SA"/>
      </w:rPr>
    </w:lvl>
    <w:lvl w:ilvl="4" w:tplc="5E5C4600">
      <w:numFmt w:val="bullet"/>
      <w:lvlText w:val="•"/>
      <w:lvlJc w:val="left"/>
      <w:pPr>
        <w:ind w:left="3721" w:hanging="569"/>
      </w:pPr>
      <w:rPr>
        <w:rFonts w:hint="default"/>
        <w:lang w:val="en-US" w:eastAsia="en-US" w:bidi="ar-SA"/>
      </w:rPr>
    </w:lvl>
    <w:lvl w:ilvl="5" w:tplc="03B2334A">
      <w:numFmt w:val="bullet"/>
      <w:lvlText w:val="•"/>
      <w:lvlJc w:val="left"/>
      <w:pPr>
        <w:ind w:left="4662" w:hanging="569"/>
      </w:pPr>
      <w:rPr>
        <w:rFonts w:hint="default"/>
        <w:lang w:val="en-US" w:eastAsia="en-US" w:bidi="ar-SA"/>
      </w:rPr>
    </w:lvl>
    <w:lvl w:ilvl="6" w:tplc="1A300234">
      <w:numFmt w:val="bullet"/>
      <w:lvlText w:val="•"/>
      <w:lvlJc w:val="left"/>
      <w:pPr>
        <w:ind w:left="5603" w:hanging="569"/>
      </w:pPr>
      <w:rPr>
        <w:rFonts w:hint="default"/>
        <w:lang w:val="en-US" w:eastAsia="en-US" w:bidi="ar-SA"/>
      </w:rPr>
    </w:lvl>
    <w:lvl w:ilvl="7" w:tplc="EA7AD5E0">
      <w:numFmt w:val="bullet"/>
      <w:lvlText w:val="•"/>
      <w:lvlJc w:val="left"/>
      <w:pPr>
        <w:ind w:left="6544" w:hanging="569"/>
      </w:pPr>
      <w:rPr>
        <w:rFonts w:hint="default"/>
        <w:lang w:val="en-US" w:eastAsia="en-US" w:bidi="ar-SA"/>
      </w:rPr>
    </w:lvl>
    <w:lvl w:ilvl="8" w:tplc="A2867936">
      <w:numFmt w:val="bullet"/>
      <w:lvlText w:val="•"/>
      <w:lvlJc w:val="left"/>
      <w:pPr>
        <w:ind w:left="7484" w:hanging="569"/>
      </w:pPr>
      <w:rPr>
        <w:rFonts w:hint="default"/>
        <w:lang w:val="en-US" w:eastAsia="en-US" w:bidi="ar-SA"/>
      </w:rPr>
    </w:lvl>
  </w:abstractNum>
  <w:abstractNum w:abstractNumId="301" w15:restartNumberingAfterBreak="0">
    <w:nsid w:val="53DE4609"/>
    <w:multiLevelType w:val="hybridMultilevel"/>
    <w:tmpl w:val="BF8E5634"/>
    <w:lvl w:ilvl="0" w:tplc="097C2B04">
      <w:start w:val="1"/>
      <w:numFmt w:val="lowerLetter"/>
      <w:lvlText w:val="(%1)"/>
      <w:lvlJc w:val="left"/>
      <w:pPr>
        <w:ind w:left="2408" w:hanging="567"/>
      </w:pPr>
      <w:rPr>
        <w:rFonts w:ascii="Arial" w:eastAsia="Calibri" w:hAnsi="Arial" w:cs="Arial" w:hint="default"/>
        <w:spacing w:val="-1"/>
        <w:w w:val="100"/>
        <w:sz w:val="20"/>
        <w:szCs w:val="22"/>
        <w:lang w:val="en-US" w:eastAsia="en-US" w:bidi="ar-SA"/>
      </w:rPr>
    </w:lvl>
    <w:lvl w:ilvl="1" w:tplc="8FD67DCA">
      <w:start w:val="1"/>
      <w:numFmt w:val="decimal"/>
      <w:lvlText w:val="(%2)"/>
      <w:lvlJc w:val="left"/>
      <w:pPr>
        <w:ind w:left="2975" w:hanging="567"/>
      </w:pPr>
      <w:rPr>
        <w:rFonts w:ascii="Arial" w:eastAsia="Calibri" w:hAnsi="Arial" w:cs="Arial" w:hint="default"/>
        <w:spacing w:val="-1"/>
        <w:w w:val="100"/>
        <w:sz w:val="20"/>
        <w:szCs w:val="22"/>
        <w:lang w:val="en-US" w:eastAsia="en-US" w:bidi="ar-SA"/>
      </w:rPr>
    </w:lvl>
    <w:lvl w:ilvl="2" w:tplc="49465EDC">
      <w:numFmt w:val="bullet"/>
      <w:lvlText w:val="•"/>
      <w:lvlJc w:val="left"/>
      <w:pPr>
        <w:ind w:left="3689" w:hanging="567"/>
      </w:pPr>
      <w:rPr>
        <w:rFonts w:hint="default"/>
        <w:lang w:val="en-US" w:eastAsia="en-US" w:bidi="ar-SA"/>
      </w:rPr>
    </w:lvl>
    <w:lvl w:ilvl="3" w:tplc="AE187FD6">
      <w:numFmt w:val="bullet"/>
      <w:lvlText w:val="•"/>
      <w:lvlJc w:val="left"/>
      <w:pPr>
        <w:ind w:left="4399" w:hanging="567"/>
      </w:pPr>
      <w:rPr>
        <w:rFonts w:hint="default"/>
        <w:lang w:val="en-US" w:eastAsia="en-US" w:bidi="ar-SA"/>
      </w:rPr>
    </w:lvl>
    <w:lvl w:ilvl="4" w:tplc="C8784B92">
      <w:numFmt w:val="bullet"/>
      <w:lvlText w:val="•"/>
      <w:lvlJc w:val="left"/>
      <w:pPr>
        <w:ind w:left="5108" w:hanging="567"/>
      </w:pPr>
      <w:rPr>
        <w:rFonts w:hint="default"/>
        <w:lang w:val="en-US" w:eastAsia="en-US" w:bidi="ar-SA"/>
      </w:rPr>
    </w:lvl>
    <w:lvl w:ilvl="5" w:tplc="97368BC6">
      <w:numFmt w:val="bullet"/>
      <w:lvlText w:val="•"/>
      <w:lvlJc w:val="left"/>
      <w:pPr>
        <w:ind w:left="5818" w:hanging="567"/>
      </w:pPr>
      <w:rPr>
        <w:rFonts w:hint="default"/>
        <w:lang w:val="en-US" w:eastAsia="en-US" w:bidi="ar-SA"/>
      </w:rPr>
    </w:lvl>
    <w:lvl w:ilvl="6" w:tplc="CFD82594">
      <w:numFmt w:val="bullet"/>
      <w:lvlText w:val="•"/>
      <w:lvlJc w:val="left"/>
      <w:pPr>
        <w:ind w:left="6528" w:hanging="567"/>
      </w:pPr>
      <w:rPr>
        <w:rFonts w:hint="default"/>
        <w:lang w:val="en-US" w:eastAsia="en-US" w:bidi="ar-SA"/>
      </w:rPr>
    </w:lvl>
    <w:lvl w:ilvl="7" w:tplc="0352B6D0">
      <w:numFmt w:val="bullet"/>
      <w:lvlText w:val="•"/>
      <w:lvlJc w:val="left"/>
      <w:pPr>
        <w:ind w:left="7237" w:hanging="567"/>
      </w:pPr>
      <w:rPr>
        <w:rFonts w:hint="default"/>
        <w:lang w:val="en-US" w:eastAsia="en-US" w:bidi="ar-SA"/>
      </w:rPr>
    </w:lvl>
    <w:lvl w:ilvl="8" w:tplc="F2DA200C">
      <w:numFmt w:val="bullet"/>
      <w:lvlText w:val="•"/>
      <w:lvlJc w:val="left"/>
      <w:pPr>
        <w:ind w:left="7947" w:hanging="567"/>
      </w:pPr>
      <w:rPr>
        <w:rFonts w:hint="default"/>
        <w:lang w:val="en-US" w:eastAsia="en-US" w:bidi="ar-SA"/>
      </w:rPr>
    </w:lvl>
  </w:abstractNum>
  <w:abstractNum w:abstractNumId="302" w15:restartNumberingAfterBreak="0">
    <w:nsid w:val="540B7D75"/>
    <w:multiLevelType w:val="hybridMultilevel"/>
    <w:tmpl w:val="45320752"/>
    <w:lvl w:ilvl="0" w:tplc="2CECC270">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140A45CE">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7A545C82">
      <w:numFmt w:val="bullet"/>
      <w:lvlText w:val="•"/>
      <w:lvlJc w:val="left"/>
      <w:pPr>
        <w:ind w:left="2178" w:hanging="567"/>
      </w:pPr>
      <w:rPr>
        <w:rFonts w:hint="default"/>
        <w:lang w:val="en-US" w:eastAsia="en-US" w:bidi="ar-SA"/>
      </w:rPr>
    </w:lvl>
    <w:lvl w:ilvl="3" w:tplc="4E349E36">
      <w:numFmt w:val="bullet"/>
      <w:lvlText w:val="•"/>
      <w:lvlJc w:val="left"/>
      <w:pPr>
        <w:ind w:left="3076" w:hanging="567"/>
      </w:pPr>
      <w:rPr>
        <w:rFonts w:hint="default"/>
        <w:lang w:val="en-US" w:eastAsia="en-US" w:bidi="ar-SA"/>
      </w:rPr>
    </w:lvl>
    <w:lvl w:ilvl="4" w:tplc="2B5231FE">
      <w:numFmt w:val="bullet"/>
      <w:lvlText w:val="•"/>
      <w:lvlJc w:val="left"/>
      <w:pPr>
        <w:ind w:left="3975" w:hanging="567"/>
      </w:pPr>
      <w:rPr>
        <w:rFonts w:hint="default"/>
        <w:lang w:val="en-US" w:eastAsia="en-US" w:bidi="ar-SA"/>
      </w:rPr>
    </w:lvl>
    <w:lvl w:ilvl="5" w:tplc="639A8DB8">
      <w:numFmt w:val="bullet"/>
      <w:lvlText w:val="•"/>
      <w:lvlJc w:val="left"/>
      <w:pPr>
        <w:ind w:left="4873" w:hanging="567"/>
      </w:pPr>
      <w:rPr>
        <w:rFonts w:hint="default"/>
        <w:lang w:val="en-US" w:eastAsia="en-US" w:bidi="ar-SA"/>
      </w:rPr>
    </w:lvl>
    <w:lvl w:ilvl="6" w:tplc="7654FD36">
      <w:numFmt w:val="bullet"/>
      <w:lvlText w:val="•"/>
      <w:lvlJc w:val="left"/>
      <w:pPr>
        <w:ind w:left="5772" w:hanging="567"/>
      </w:pPr>
      <w:rPr>
        <w:rFonts w:hint="default"/>
        <w:lang w:val="en-US" w:eastAsia="en-US" w:bidi="ar-SA"/>
      </w:rPr>
    </w:lvl>
    <w:lvl w:ilvl="7" w:tplc="94E47352">
      <w:numFmt w:val="bullet"/>
      <w:lvlText w:val="•"/>
      <w:lvlJc w:val="left"/>
      <w:pPr>
        <w:ind w:left="6670" w:hanging="567"/>
      </w:pPr>
      <w:rPr>
        <w:rFonts w:hint="default"/>
        <w:lang w:val="en-US" w:eastAsia="en-US" w:bidi="ar-SA"/>
      </w:rPr>
    </w:lvl>
    <w:lvl w:ilvl="8" w:tplc="998028F8">
      <w:numFmt w:val="bullet"/>
      <w:lvlText w:val="•"/>
      <w:lvlJc w:val="left"/>
      <w:pPr>
        <w:ind w:left="7569" w:hanging="567"/>
      </w:pPr>
      <w:rPr>
        <w:rFonts w:hint="default"/>
        <w:lang w:val="en-US" w:eastAsia="en-US" w:bidi="ar-SA"/>
      </w:rPr>
    </w:lvl>
  </w:abstractNum>
  <w:abstractNum w:abstractNumId="303" w15:restartNumberingAfterBreak="0">
    <w:nsid w:val="54A57E36"/>
    <w:multiLevelType w:val="hybridMultilevel"/>
    <w:tmpl w:val="FB5A3FA6"/>
    <w:lvl w:ilvl="0" w:tplc="CD80582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ADC655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1B2266EE">
      <w:numFmt w:val="bullet"/>
      <w:lvlText w:val="•"/>
      <w:lvlJc w:val="left"/>
      <w:pPr>
        <w:ind w:left="2178" w:hanging="567"/>
      </w:pPr>
      <w:rPr>
        <w:lang w:val="en-US" w:eastAsia="en-US" w:bidi="ar-SA"/>
      </w:rPr>
    </w:lvl>
    <w:lvl w:ilvl="3" w:tplc="45BE0660">
      <w:numFmt w:val="bullet"/>
      <w:lvlText w:val="•"/>
      <w:lvlJc w:val="left"/>
      <w:pPr>
        <w:ind w:left="3076" w:hanging="567"/>
      </w:pPr>
      <w:rPr>
        <w:lang w:val="en-US" w:eastAsia="en-US" w:bidi="ar-SA"/>
      </w:rPr>
    </w:lvl>
    <w:lvl w:ilvl="4" w:tplc="EF4E30C8">
      <w:numFmt w:val="bullet"/>
      <w:lvlText w:val="•"/>
      <w:lvlJc w:val="left"/>
      <w:pPr>
        <w:ind w:left="3975" w:hanging="567"/>
      </w:pPr>
      <w:rPr>
        <w:lang w:val="en-US" w:eastAsia="en-US" w:bidi="ar-SA"/>
      </w:rPr>
    </w:lvl>
    <w:lvl w:ilvl="5" w:tplc="E8CECEAA">
      <w:numFmt w:val="bullet"/>
      <w:lvlText w:val="•"/>
      <w:lvlJc w:val="left"/>
      <w:pPr>
        <w:ind w:left="4873" w:hanging="567"/>
      </w:pPr>
      <w:rPr>
        <w:lang w:val="en-US" w:eastAsia="en-US" w:bidi="ar-SA"/>
      </w:rPr>
    </w:lvl>
    <w:lvl w:ilvl="6" w:tplc="D8024D6C">
      <w:numFmt w:val="bullet"/>
      <w:lvlText w:val="•"/>
      <w:lvlJc w:val="left"/>
      <w:pPr>
        <w:ind w:left="5772" w:hanging="567"/>
      </w:pPr>
      <w:rPr>
        <w:lang w:val="en-US" w:eastAsia="en-US" w:bidi="ar-SA"/>
      </w:rPr>
    </w:lvl>
    <w:lvl w:ilvl="7" w:tplc="7E1A1F06">
      <w:numFmt w:val="bullet"/>
      <w:lvlText w:val="•"/>
      <w:lvlJc w:val="left"/>
      <w:pPr>
        <w:ind w:left="6670" w:hanging="567"/>
      </w:pPr>
      <w:rPr>
        <w:lang w:val="en-US" w:eastAsia="en-US" w:bidi="ar-SA"/>
      </w:rPr>
    </w:lvl>
    <w:lvl w:ilvl="8" w:tplc="78D2843C">
      <w:numFmt w:val="bullet"/>
      <w:lvlText w:val="•"/>
      <w:lvlJc w:val="left"/>
      <w:pPr>
        <w:ind w:left="7569" w:hanging="567"/>
      </w:pPr>
      <w:rPr>
        <w:lang w:val="en-US" w:eastAsia="en-US" w:bidi="ar-SA"/>
      </w:rPr>
    </w:lvl>
  </w:abstractNum>
  <w:abstractNum w:abstractNumId="304" w15:restartNumberingAfterBreak="0">
    <w:nsid w:val="54BD13E3"/>
    <w:multiLevelType w:val="hybridMultilevel"/>
    <w:tmpl w:val="13C010CA"/>
    <w:lvl w:ilvl="0" w:tplc="CD80582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ADC655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1B2266EE">
      <w:numFmt w:val="bullet"/>
      <w:lvlText w:val="•"/>
      <w:lvlJc w:val="left"/>
      <w:pPr>
        <w:ind w:left="2178" w:hanging="567"/>
      </w:pPr>
      <w:rPr>
        <w:lang w:val="en-US" w:eastAsia="en-US" w:bidi="ar-SA"/>
      </w:rPr>
    </w:lvl>
    <w:lvl w:ilvl="3" w:tplc="45BE0660">
      <w:numFmt w:val="bullet"/>
      <w:lvlText w:val="•"/>
      <w:lvlJc w:val="left"/>
      <w:pPr>
        <w:ind w:left="3076" w:hanging="567"/>
      </w:pPr>
      <w:rPr>
        <w:lang w:val="en-US" w:eastAsia="en-US" w:bidi="ar-SA"/>
      </w:rPr>
    </w:lvl>
    <w:lvl w:ilvl="4" w:tplc="EF4E30C8">
      <w:numFmt w:val="bullet"/>
      <w:lvlText w:val="•"/>
      <w:lvlJc w:val="left"/>
      <w:pPr>
        <w:ind w:left="3975" w:hanging="567"/>
      </w:pPr>
      <w:rPr>
        <w:lang w:val="en-US" w:eastAsia="en-US" w:bidi="ar-SA"/>
      </w:rPr>
    </w:lvl>
    <w:lvl w:ilvl="5" w:tplc="E8CECEAA">
      <w:numFmt w:val="bullet"/>
      <w:lvlText w:val="•"/>
      <w:lvlJc w:val="left"/>
      <w:pPr>
        <w:ind w:left="4873" w:hanging="567"/>
      </w:pPr>
      <w:rPr>
        <w:lang w:val="en-US" w:eastAsia="en-US" w:bidi="ar-SA"/>
      </w:rPr>
    </w:lvl>
    <w:lvl w:ilvl="6" w:tplc="D8024D6C">
      <w:numFmt w:val="bullet"/>
      <w:lvlText w:val="•"/>
      <w:lvlJc w:val="left"/>
      <w:pPr>
        <w:ind w:left="5772" w:hanging="567"/>
      </w:pPr>
      <w:rPr>
        <w:lang w:val="en-US" w:eastAsia="en-US" w:bidi="ar-SA"/>
      </w:rPr>
    </w:lvl>
    <w:lvl w:ilvl="7" w:tplc="7E1A1F06">
      <w:numFmt w:val="bullet"/>
      <w:lvlText w:val="•"/>
      <w:lvlJc w:val="left"/>
      <w:pPr>
        <w:ind w:left="6670" w:hanging="567"/>
      </w:pPr>
      <w:rPr>
        <w:lang w:val="en-US" w:eastAsia="en-US" w:bidi="ar-SA"/>
      </w:rPr>
    </w:lvl>
    <w:lvl w:ilvl="8" w:tplc="78D2843C">
      <w:numFmt w:val="bullet"/>
      <w:lvlText w:val="•"/>
      <w:lvlJc w:val="left"/>
      <w:pPr>
        <w:ind w:left="7569" w:hanging="567"/>
      </w:pPr>
      <w:rPr>
        <w:lang w:val="en-US" w:eastAsia="en-US" w:bidi="ar-SA"/>
      </w:rPr>
    </w:lvl>
  </w:abstractNum>
  <w:abstractNum w:abstractNumId="305" w15:restartNumberingAfterBreak="0">
    <w:nsid w:val="54DE2041"/>
    <w:multiLevelType w:val="hybridMultilevel"/>
    <w:tmpl w:val="79EA8450"/>
    <w:lvl w:ilvl="0" w:tplc="012A220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45CC1A14">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922C0C66">
      <w:start w:val="1"/>
      <w:numFmt w:val="lowerRoman"/>
      <w:lvlText w:val="(%3)"/>
      <w:lvlJc w:val="left"/>
      <w:pPr>
        <w:ind w:left="1842" w:hanging="569"/>
      </w:pPr>
      <w:rPr>
        <w:rFonts w:ascii="Arial" w:eastAsia="Calibri" w:hAnsi="Arial" w:cs="Arial" w:hint="default"/>
        <w:spacing w:val="-1"/>
        <w:w w:val="100"/>
        <w:sz w:val="20"/>
        <w:szCs w:val="22"/>
        <w:lang w:val="en-US" w:eastAsia="en-US" w:bidi="ar-SA"/>
      </w:rPr>
    </w:lvl>
    <w:lvl w:ilvl="3" w:tplc="0F5A71EA">
      <w:numFmt w:val="bullet"/>
      <w:lvlText w:val="•"/>
      <w:lvlJc w:val="left"/>
      <w:pPr>
        <w:ind w:left="2780" w:hanging="569"/>
      </w:pPr>
      <w:rPr>
        <w:rFonts w:hint="default"/>
        <w:lang w:val="en-US" w:eastAsia="en-US" w:bidi="ar-SA"/>
      </w:rPr>
    </w:lvl>
    <w:lvl w:ilvl="4" w:tplc="A3CA04CE">
      <w:numFmt w:val="bullet"/>
      <w:lvlText w:val="•"/>
      <w:lvlJc w:val="left"/>
      <w:pPr>
        <w:ind w:left="3721" w:hanging="569"/>
      </w:pPr>
      <w:rPr>
        <w:rFonts w:hint="default"/>
        <w:lang w:val="en-US" w:eastAsia="en-US" w:bidi="ar-SA"/>
      </w:rPr>
    </w:lvl>
    <w:lvl w:ilvl="5" w:tplc="8F7040BA">
      <w:numFmt w:val="bullet"/>
      <w:lvlText w:val="•"/>
      <w:lvlJc w:val="left"/>
      <w:pPr>
        <w:ind w:left="4662" w:hanging="569"/>
      </w:pPr>
      <w:rPr>
        <w:rFonts w:hint="default"/>
        <w:lang w:val="en-US" w:eastAsia="en-US" w:bidi="ar-SA"/>
      </w:rPr>
    </w:lvl>
    <w:lvl w:ilvl="6" w:tplc="6D60723E">
      <w:numFmt w:val="bullet"/>
      <w:lvlText w:val="•"/>
      <w:lvlJc w:val="left"/>
      <w:pPr>
        <w:ind w:left="5603" w:hanging="569"/>
      </w:pPr>
      <w:rPr>
        <w:rFonts w:hint="default"/>
        <w:lang w:val="en-US" w:eastAsia="en-US" w:bidi="ar-SA"/>
      </w:rPr>
    </w:lvl>
    <w:lvl w:ilvl="7" w:tplc="53E63144">
      <w:numFmt w:val="bullet"/>
      <w:lvlText w:val="•"/>
      <w:lvlJc w:val="left"/>
      <w:pPr>
        <w:ind w:left="6544" w:hanging="569"/>
      </w:pPr>
      <w:rPr>
        <w:rFonts w:hint="default"/>
        <w:lang w:val="en-US" w:eastAsia="en-US" w:bidi="ar-SA"/>
      </w:rPr>
    </w:lvl>
    <w:lvl w:ilvl="8" w:tplc="5002CEA6">
      <w:numFmt w:val="bullet"/>
      <w:lvlText w:val="•"/>
      <w:lvlJc w:val="left"/>
      <w:pPr>
        <w:ind w:left="7484" w:hanging="569"/>
      </w:pPr>
      <w:rPr>
        <w:rFonts w:hint="default"/>
        <w:lang w:val="en-US" w:eastAsia="en-US" w:bidi="ar-SA"/>
      </w:rPr>
    </w:lvl>
  </w:abstractNum>
  <w:abstractNum w:abstractNumId="306" w15:restartNumberingAfterBreak="0">
    <w:nsid w:val="55137683"/>
    <w:multiLevelType w:val="hybridMultilevel"/>
    <w:tmpl w:val="67E8AC32"/>
    <w:lvl w:ilvl="0" w:tplc="97C4B282">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F1609B88">
      <w:numFmt w:val="bullet"/>
      <w:lvlText w:val="•"/>
      <w:lvlJc w:val="left"/>
      <w:pPr>
        <w:ind w:left="1566" w:hanging="567"/>
      </w:pPr>
      <w:rPr>
        <w:rFonts w:hint="default"/>
        <w:lang w:val="en-US" w:eastAsia="en-US" w:bidi="ar-SA"/>
      </w:rPr>
    </w:lvl>
    <w:lvl w:ilvl="2" w:tplc="5DBC4884">
      <w:numFmt w:val="bullet"/>
      <w:lvlText w:val="•"/>
      <w:lvlJc w:val="left"/>
      <w:pPr>
        <w:ind w:left="2433" w:hanging="567"/>
      </w:pPr>
      <w:rPr>
        <w:rFonts w:hint="default"/>
        <w:lang w:val="en-US" w:eastAsia="en-US" w:bidi="ar-SA"/>
      </w:rPr>
    </w:lvl>
    <w:lvl w:ilvl="3" w:tplc="4FBC3CF6">
      <w:numFmt w:val="bullet"/>
      <w:lvlText w:val="•"/>
      <w:lvlJc w:val="left"/>
      <w:pPr>
        <w:ind w:left="3299" w:hanging="567"/>
      </w:pPr>
      <w:rPr>
        <w:rFonts w:hint="default"/>
        <w:lang w:val="en-US" w:eastAsia="en-US" w:bidi="ar-SA"/>
      </w:rPr>
    </w:lvl>
    <w:lvl w:ilvl="4" w:tplc="F58C8294">
      <w:numFmt w:val="bullet"/>
      <w:lvlText w:val="•"/>
      <w:lvlJc w:val="left"/>
      <w:pPr>
        <w:ind w:left="4166" w:hanging="567"/>
      </w:pPr>
      <w:rPr>
        <w:rFonts w:hint="default"/>
        <w:lang w:val="en-US" w:eastAsia="en-US" w:bidi="ar-SA"/>
      </w:rPr>
    </w:lvl>
    <w:lvl w:ilvl="5" w:tplc="CEB20CB8">
      <w:numFmt w:val="bullet"/>
      <w:lvlText w:val="•"/>
      <w:lvlJc w:val="left"/>
      <w:pPr>
        <w:ind w:left="5033" w:hanging="567"/>
      </w:pPr>
      <w:rPr>
        <w:rFonts w:hint="default"/>
        <w:lang w:val="en-US" w:eastAsia="en-US" w:bidi="ar-SA"/>
      </w:rPr>
    </w:lvl>
    <w:lvl w:ilvl="6" w:tplc="3866EAAE">
      <w:numFmt w:val="bullet"/>
      <w:lvlText w:val="•"/>
      <w:lvlJc w:val="left"/>
      <w:pPr>
        <w:ind w:left="5899" w:hanging="567"/>
      </w:pPr>
      <w:rPr>
        <w:rFonts w:hint="default"/>
        <w:lang w:val="en-US" w:eastAsia="en-US" w:bidi="ar-SA"/>
      </w:rPr>
    </w:lvl>
    <w:lvl w:ilvl="7" w:tplc="A70260AC">
      <w:numFmt w:val="bullet"/>
      <w:lvlText w:val="•"/>
      <w:lvlJc w:val="left"/>
      <w:pPr>
        <w:ind w:left="6766" w:hanging="567"/>
      </w:pPr>
      <w:rPr>
        <w:rFonts w:hint="default"/>
        <w:lang w:val="en-US" w:eastAsia="en-US" w:bidi="ar-SA"/>
      </w:rPr>
    </w:lvl>
    <w:lvl w:ilvl="8" w:tplc="266AF3FE">
      <w:numFmt w:val="bullet"/>
      <w:lvlText w:val="•"/>
      <w:lvlJc w:val="left"/>
      <w:pPr>
        <w:ind w:left="7633" w:hanging="567"/>
      </w:pPr>
      <w:rPr>
        <w:rFonts w:hint="default"/>
        <w:lang w:val="en-US" w:eastAsia="en-US" w:bidi="ar-SA"/>
      </w:rPr>
    </w:lvl>
  </w:abstractNum>
  <w:abstractNum w:abstractNumId="307" w15:restartNumberingAfterBreak="0">
    <w:nsid w:val="552A05EB"/>
    <w:multiLevelType w:val="hybridMultilevel"/>
    <w:tmpl w:val="A81E342C"/>
    <w:lvl w:ilvl="0" w:tplc="08A274F0">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39584478">
      <w:numFmt w:val="bullet"/>
      <w:lvlText w:val="•"/>
      <w:lvlJc w:val="left"/>
      <w:pPr>
        <w:ind w:left="1566" w:hanging="567"/>
      </w:pPr>
      <w:rPr>
        <w:rFonts w:hint="default"/>
        <w:lang w:val="en-US" w:eastAsia="en-US" w:bidi="ar-SA"/>
      </w:rPr>
    </w:lvl>
    <w:lvl w:ilvl="2" w:tplc="3236A528">
      <w:numFmt w:val="bullet"/>
      <w:lvlText w:val="•"/>
      <w:lvlJc w:val="left"/>
      <w:pPr>
        <w:ind w:left="2433" w:hanging="567"/>
      </w:pPr>
      <w:rPr>
        <w:rFonts w:hint="default"/>
        <w:lang w:val="en-US" w:eastAsia="en-US" w:bidi="ar-SA"/>
      </w:rPr>
    </w:lvl>
    <w:lvl w:ilvl="3" w:tplc="9DE26B60">
      <w:numFmt w:val="bullet"/>
      <w:lvlText w:val="•"/>
      <w:lvlJc w:val="left"/>
      <w:pPr>
        <w:ind w:left="3299" w:hanging="567"/>
      </w:pPr>
      <w:rPr>
        <w:rFonts w:hint="default"/>
        <w:lang w:val="en-US" w:eastAsia="en-US" w:bidi="ar-SA"/>
      </w:rPr>
    </w:lvl>
    <w:lvl w:ilvl="4" w:tplc="9B3823D2">
      <w:numFmt w:val="bullet"/>
      <w:lvlText w:val="•"/>
      <w:lvlJc w:val="left"/>
      <w:pPr>
        <w:ind w:left="4166" w:hanging="567"/>
      </w:pPr>
      <w:rPr>
        <w:rFonts w:hint="default"/>
        <w:lang w:val="en-US" w:eastAsia="en-US" w:bidi="ar-SA"/>
      </w:rPr>
    </w:lvl>
    <w:lvl w:ilvl="5" w:tplc="757C7B3C">
      <w:numFmt w:val="bullet"/>
      <w:lvlText w:val="•"/>
      <w:lvlJc w:val="left"/>
      <w:pPr>
        <w:ind w:left="5033" w:hanging="567"/>
      </w:pPr>
      <w:rPr>
        <w:rFonts w:hint="default"/>
        <w:lang w:val="en-US" w:eastAsia="en-US" w:bidi="ar-SA"/>
      </w:rPr>
    </w:lvl>
    <w:lvl w:ilvl="6" w:tplc="1318EBE4">
      <w:numFmt w:val="bullet"/>
      <w:lvlText w:val="•"/>
      <w:lvlJc w:val="left"/>
      <w:pPr>
        <w:ind w:left="5899" w:hanging="567"/>
      </w:pPr>
      <w:rPr>
        <w:rFonts w:hint="default"/>
        <w:lang w:val="en-US" w:eastAsia="en-US" w:bidi="ar-SA"/>
      </w:rPr>
    </w:lvl>
    <w:lvl w:ilvl="7" w:tplc="14CE8630">
      <w:numFmt w:val="bullet"/>
      <w:lvlText w:val="•"/>
      <w:lvlJc w:val="left"/>
      <w:pPr>
        <w:ind w:left="6766" w:hanging="567"/>
      </w:pPr>
      <w:rPr>
        <w:rFonts w:hint="default"/>
        <w:lang w:val="en-US" w:eastAsia="en-US" w:bidi="ar-SA"/>
      </w:rPr>
    </w:lvl>
    <w:lvl w:ilvl="8" w:tplc="892CE362">
      <w:numFmt w:val="bullet"/>
      <w:lvlText w:val="•"/>
      <w:lvlJc w:val="left"/>
      <w:pPr>
        <w:ind w:left="7633" w:hanging="567"/>
      </w:pPr>
      <w:rPr>
        <w:rFonts w:hint="default"/>
        <w:lang w:val="en-US" w:eastAsia="en-US" w:bidi="ar-SA"/>
      </w:rPr>
    </w:lvl>
  </w:abstractNum>
  <w:abstractNum w:abstractNumId="308" w15:restartNumberingAfterBreak="0">
    <w:nsid w:val="554A387D"/>
    <w:multiLevelType w:val="hybridMultilevel"/>
    <w:tmpl w:val="37369B6E"/>
    <w:lvl w:ilvl="0" w:tplc="5B8EB9EC">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1ED4FA80">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0804C22A">
      <w:numFmt w:val="bullet"/>
      <w:lvlText w:val="•"/>
      <w:lvlJc w:val="left"/>
      <w:pPr>
        <w:ind w:left="2178" w:hanging="567"/>
      </w:pPr>
      <w:rPr>
        <w:rFonts w:hint="default"/>
        <w:lang w:val="en-US" w:eastAsia="en-US" w:bidi="ar-SA"/>
      </w:rPr>
    </w:lvl>
    <w:lvl w:ilvl="3" w:tplc="3B2A18B4">
      <w:numFmt w:val="bullet"/>
      <w:lvlText w:val="•"/>
      <w:lvlJc w:val="left"/>
      <w:pPr>
        <w:ind w:left="3076" w:hanging="567"/>
      </w:pPr>
      <w:rPr>
        <w:rFonts w:hint="default"/>
        <w:lang w:val="en-US" w:eastAsia="en-US" w:bidi="ar-SA"/>
      </w:rPr>
    </w:lvl>
    <w:lvl w:ilvl="4" w:tplc="046053CE">
      <w:numFmt w:val="bullet"/>
      <w:lvlText w:val="•"/>
      <w:lvlJc w:val="left"/>
      <w:pPr>
        <w:ind w:left="3975" w:hanging="567"/>
      </w:pPr>
      <w:rPr>
        <w:rFonts w:hint="default"/>
        <w:lang w:val="en-US" w:eastAsia="en-US" w:bidi="ar-SA"/>
      </w:rPr>
    </w:lvl>
    <w:lvl w:ilvl="5" w:tplc="6D04D2D2">
      <w:numFmt w:val="bullet"/>
      <w:lvlText w:val="•"/>
      <w:lvlJc w:val="left"/>
      <w:pPr>
        <w:ind w:left="4873" w:hanging="567"/>
      </w:pPr>
      <w:rPr>
        <w:rFonts w:hint="default"/>
        <w:lang w:val="en-US" w:eastAsia="en-US" w:bidi="ar-SA"/>
      </w:rPr>
    </w:lvl>
    <w:lvl w:ilvl="6" w:tplc="43EC3B6A">
      <w:numFmt w:val="bullet"/>
      <w:lvlText w:val="•"/>
      <w:lvlJc w:val="left"/>
      <w:pPr>
        <w:ind w:left="5772" w:hanging="567"/>
      </w:pPr>
      <w:rPr>
        <w:rFonts w:hint="default"/>
        <w:lang w:val="en-US" w:eastAsia="en-US" w:bidi="ar-SA"/>
      </w:rPr>
    </w:lvl>
    <w:lvl w:ilvl="7" w:tplc="DE18F19A">
      <w:numFmt w:val="bullet"/>
      <w:lvlText w:val="•"/>
      <w:lvlJc w:val="left"/>
      <w:pPr>
        <w:ind w:left="6670" w:hanging="567"/>
      </w:pPr>
      <w:rPr>
        <w:rFonts w:hint="default"/>
        <w:lang w:val="en-US" w:eastAsia="en-US" w:bidi="ar-SA"/>
      </w:rPr>
    </w:lvl>
    <w:lvl w:ilvl="8" w:tplc="26A625A8">
      <w:numFmt w:val="bullet"/>
      <w:lvlText w:val="•"/>
      <w:lvlJc w:val="left"/>
      <w:pPr>
        <w:ind w:left="7569" w:hanging="567"/>
      </w:pPr>
      <w:rPr>
        <w:rFonts w:hint="default"/>
        <w:lang w:val="en-US" w:eastAsia="en-US" w:bidi="ar-SA"/>
      </w:rPr>
    </w:lvl>
  </w:abstractNum>
  <w:abstractNum w:abstractNumId="309" w15:restartNumberingAfterBreak="0">
    <w:nsid w:val="55544384"/>
    <w:multiLevelType w:val="hybridMultilevel"/>
    <w:tmpl w:val="190E9850"/>
    <w:lvl w:ilvl="0" w:tplc="3BF0CCFA">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9E8AA976">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C25264D0">
      <w:numFmt w:val="bullet"/>
      <w:lvlText w:val="•"/>
      <w:lvlJc w:val="left"/>
      <w:pPr>
        <w:ind w:left="2178" w:hanging="567"/>
      </w:pPr>
      <w:rPr>
        <w:rFonts w:hint="default"/>
        <w:lang w:val="en-US" w:eastAsia="en-US" w:bidi="ar-SA"/>
      </w:rPr>
    </w:lvl>
    <w:lvl w:ilvl="3" w:tplc="E756660A">
      <w:numFmt w:val="bullet"/>
      <w:lvlText w:val="•"/>
      <w:lvlJc w:val="left"/>
      <w:pPr>
        <w:ind w:left="3076" w:hanging="567"/>
      </w:pPr>
      <w:rPr>
        <w:rFonts w:hint="default"/>
        <w:lang w:val="en-US" w:eastAsia="en-US" w:bidi="ar-SA"/>
      </w:rPr>
    </w:lvl>
    <w:lvl w:ilvl="4" w:tplc="09B0254E">
      <w:numFmt w:val="bullet"/>
      <w:lvlText w:val="•"/>
      <w:lvlJc w:val="left"/>
      <w:pPr>
        <w:ind w:left="3975" w:hanging="567"/>
      </w:pPr>
      <w:rPr>
        <w:rFonts w:hint="default"/>
        <w:lang w:val="en-US" w:eastAsia="en-US" w:bidi="ar-SA"/>
      </w:rPr>
    </w:lvl>
    <w:lvl w:ilvl="5" w:tplc="749882C8">
      <w:numFmt w:val="bullet"/>
      <w:lvlText w:val="•"/>
      <w:lvlJc w:val="left"/>
      <w:pPr>
        <w:ind w:left="4873" w:hanging="567"/>
      </w:pPr>
      <w:rPr>
        <w:rFonts w:hint="default"/>
        <w:lang w:val="en-US" w:eastAsia="en-US" w:bidi="ar-SA"/>
      </w:rPr>
    </w:lvl>
    <w:lvl w:ilvl="6" w:tplc="A2BECD8A">
      <w:numFmt w:val="bullet"/>
      <w:lvlText w:val="•"/>
      <w:lvlJc w:val="left"/>
      <w:pPr>
        <w:ind w:left="5772" w:hanging="567"/>
      </w:pPr>
      <w:rPr>
        <w:rFonts w:hint="default"/>
        <w:lang w:val="en-US" w:eastAsia="en-US" w:bidi="ar-SA"/>
      </w:rPr>
    </w:lvl>
    <w:lvl w:ilvl="7" w:tplc="BC186C5C">
      <w:numFmt w:val="bullet"/>
      <w:lvlText w:val="•"/>
      <w:lvlJc w:val="left"/>
      <w:pPr>
        <w:ind w:left="6670" w:hanging="567"/>
      </w:pPr>
      <w:rPr>
        <w:rFonts w:hint="default"/>
        <w:lang w:val="en-US" w:eastAsia="en-US" w:bidi="ar-SA"/>
      </w:rPr>
    </w:lvl>
    <w:lvl w:ilvl="8" w:tplc="87BC9860">
      <w:numFmt w:val="bullet"/>
      <w:lvlText w:val="•"/>
      <w:lvlJc w:val="left"/>
      <w:pPr>
        <w:ind w:left="7569" w:hanging="567"/>
      </w:pPr>
      <w:rPr>
        <w:rFonts w:hint="default"/>
        <w:lang w:val="en-US" w:eastAsia="en-US" w:bidi="ar-SA"/>
      </w:rPr>
    </w:lvl>
  </w:abstractNum>
  <w:abstractNum w:abstractNumId="310" w15:restartNumberingAfterBreak="0">
    <w:nsid w:val="555C6C46"/>
    <w:multiLevelType w:val="hybridMultilevel"/>
    <w:tmpl w:val="F570667E"/>
    <w:lvl w:ilvl="0" w:tplc="8B4C4A5C">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EC480B78">
      <w:start w:val="1"/>
      <w:numFmt w:val="decimal"/>
      <w:lvlText w:val="(%2)"/>
      <w:lvlJc w:val="left"/>
      <w:pPr>
        <w:ind w:left="1273" w:hanging="567"/>
      </w:pPr>
      <w:rPr>
        <w:rFonts w:ascii="Calibri" w:eastAsia="Calibri" w:hAnsi="Calibri" w:cs="Calibri" w:hint="default"/>
        <w:spacing w:val="-1"/>
        <w:w w:val="100"/>
        <w:sz w:val="22"/>
        <w:szCs w:val="22"/>
        <w:lang w:val="en-US" w:eastAsia="en-US" w:bidi="ar-SA"/>
      </w:rPr>
    </w:lvl>
    <w:lvl w:ilvl="2" w:tplc="7DC6B576">
      <w:numFmt w:val="bullet"/>
      <w:lvlText w:val="•"/>
      <w:lvlJc w:val="left"/>
      <w:pPr>
        <w:ind w:left="2178" w:hanging="567"/>
      </w:pPr>
      <w:rPr>
        <w:rFonts w:hint="default"/>
        <w:lang w:val="en-US" w:eastAsia="en-US" w:bidi="ar-SA"/>
      </w:rPr>
    </w:lvl>
    <w:lvl w:ilvl="3" w:tplc="F66C4546">
      <w:numFmt w:val="bullet"/>
      <w:lvlText w:val="•"/>
      <w:lvlJc w:val="left"/>
      <w:pPr>
        <w:ind w:left="3076" w:hanging="567"/>
      </w:pPr>
      <w:rPr>
        <w:rFonts w:hint="default"/>
        <w:lang w:val="en-US" w:eastAsia="en-US" w:bidi="ar-SA"/>
      </w:rPr>
    </w:lvl>
    <w:lvl w:ilvl="4" w:tplc="F5A0AE36">
      <w:numFmt w:val="bullet"/>
      <w:lvlText w:val="•"/>
      <w:lvlJc w:val="left"/>
      <w:pPr>
        <w:ind w:left="3975" w:hanging="567"/>
      </w:pPr>
      <w:rPr>
        <w:rFonts w:hint="default"/>
        <w:lang w:val="en-US" w:eastAsia="en-US" w:bidi="ar-SA"/>
      </w:rPr>
    </w:lvl>
    <w:lvl w:ilvl="5" w:tplc="020AB698">
      <w:numFmt w:val="bullet"/>
      <w:lvlText w:val="•"/>
      <w:lvlJc w:val="left"/>
      <w:pPr>
        <w:ind w:left="4873" w:hanging="567"/>
      </w:pPr>
      <w:rPr>
        <w:rFonts w:hint="default"/>
        <w:lang w:val="en-US" w:eastAsia="en-US" w:bidi="ar-SA"/>
      </w:rPr>
    </w:lvl>
    <w:lvl w:ilvl="6" w:tplc="6068CB0A">
      <w:numFmt w:val="bullet"/>
      <w:lvlText w:val="•"/>
      <w:lvlJc w:val="left"/>
      <w:pPr>
        <w:ind w:left="5772" w:hanging="567"/>
      </w:pPr>
      <w:rPr>
        <w:rFonts w:hint="default"/>
        <w:lang w:val="en-US" w:eastAsia="en-US" w:bidi="ar-SA"/>
      </w:rPr>
    </w:lvl>
    <w:lvl w:ilvl="7" w:tplc="D31A0D02">
      <w:numFmt w:val="bullet"/>
      <w:lvlText w:val="•"/>
      <w:lvlJc w:val="left"/>
      <w:pPr>
        <w:ind w:left="6670" w:hanging="567"/>
      </w:pPr>
      <w:rPr>
        <w:rFonts w:hint="default"/>
        <w:lang w:val="en-US" w:eastAsia="en-US" w:bidi="ar-SA"/>
      </w:rPr>
    </w:lvl>
    <w:lvl w:ilvl="8" w:tplc="89B8D2EE">
      <w:numFmt w:val="bullet"/>
      <w:lvlText w:val="•"/>
      <w:lvlJc w:val="left"/>
      <w:pPr>
        <w:ind w:left="7569" w:hanging="567"/>
      </w:pPr>
      <w:rPr>
        <w:rFonts w:hint="default"/>
        <w:lang w:val="en-US" w:eastAsia="en-US" w:bidi="ar-SA"/>
      </w:rPr>
    </w:lvl>
  </w:abstractNum>
  <w:abstractNum w:abstractNumId="311" w15:restartNumberingAfterBreak="0">
    <w:nsid w:val="564A1C86"/>
    <w:multiLevelType w:val="hybridMultilevel"/>
    <w:tmpl w:val="D464AC56"/>
    <w:lvl w:ilvl="0" w:tplc="CD80582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ADC655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1B2266EE">
      <w:numFmt w:val="bullet"/>
      <w:lvlText w:val="•"/>
      <w:lvlJc w:val="left"/>
      <w:pPr>
        <w:ind w:left="2178" w:hanging="567"/>
      </w:pPr>
      <w:rPr>
        <w:lang w:val="en-US" w:eastAsia="en-US" w:bidi="ar-SA"/>
      </w:rPr>
    </w:lvl>
    <w:lvl w:ilvl="3" w:tplc="45BE0660">
      <w:numFmt w:val="bullet"/>
      <w:lvlText w:val="•"/>
      <w:lvlJc w:val="left"/>
      <w:pPr>
        <w:ind w:left="3076" w:hanging="567"/>
      </w:pPr>
      <w:rPr>
        <w:lang w:val="en-US" w:eastAsia="en-US" w:bidi="ar-SA"/>
      </w:rPr>
    </w:lvl>
    <w:lvl w:ilvl="4" w:tplc="EF4E30C8">
      <w:numFmt w:val="bullet"/>
      <w:lvlText w:val="•"/>
      <w:lvlJc w:val="left"/>
      <w:pPr>
        <w:ind w:left="3975" w:hanging="567"/>
      </w:pPr>
      <w:rPr>
        <w:lang w:val="en-US" w:eastAsia="en-US" w:bidi="ar-SA"/>
      </w:rPr>
    </w:lvl>
    <w:lvl w:ilvl="5" w:tplc="E8CECEAA">
      <w:numFmt w:val="bullet"/>
      <w:lvlText w:val="•"/>
      <w:lvlJc w:val="left"/>
      <w:pPr>
        <w:ind w:left="4873" w:hanging="567"/>
      </w:pPr>
      <w:rPr>
        <w:lang w:val="en-US" w:eastAsia="en-US" w:bidi="ar-SA"/>
      </w:rPr>
    </w:lvl>
    <w:lvl w:ilvl="6" w:tplc="D8024D6C">
      <w:numFmt w:val="bullet"/>
      <w:lvlText w:val="•"/>
      <w:lvlJc w:val="left"/>
      <w:pPr>
        <w:ind w:left="5772" w:hanging="567"/>
      </w:pPr>
      <w:rPr>
        <w:lang w:val="en-US" w:eastAsia="en-US" w:bidi="ar-SA"/>
      </w:rPr>
    </w:lvl>
    <w:lvl w:ilvl="7" w:tplc="7E1A1F06">
      <w:numFmt w:val="bullet"/>
      <w:lvlText w:val="•"/>
      <w:lvlJc w:val="left"/>
      <w:pPr>
        <w:ind w:left="6670" w:hanging="567"/>
      </w:pPr>
      <w:rPr>
        <w:lang w:val="en-US" w:eastAsia="en-US" w:bidi="ar-SA"/>
      </w:rPr>
    </w:lvl>
    <w:lvl w:ilvl="8" w:tplc="78D2843C">
      <w:numFmt w:val="bullet"/>
      <w:lvlText w:val="•"/>
      <w:lvlJc w:val="left"/>
      <w:pPr>
        <w:ind w:left="7569" w:hanging="567"/>
      </w:pPr>
      <w:rPr>
        <w:lang w:val="en-US" w:eastAsia="en-US" w:bidi="ar-SA"/>
      </w:rPr>
    </w:lvl>
  </w:abstractNum>
  <w:abstractNum w:abstractNumId="312" w15:restartNumberingAfterBreak="0">
    <w:nsid w:val="565E1ECA"/>
    <w:multiLevelType w:val="hybridMultilevel"/>
    <w:tmpl w:val="04F45352"/>
    <w:lvl w:ilvl="0" w:tplc="2612F488">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D1703C4C">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8F540CB6">
      <w:numFmt w:val="bullet"/>
      <w:lvlText w:val="•"/>
      <w:lvlJc w:val="left"/>
      <w:pPr>
        <w:ind w:left="2178" w:hanging="567"/>
      </w:pPr>
      <w:rPr>
        <w:rFonts w:hint="default"/>
        <w:lang w:val="en-US" w:eastAsia="en-US" w:bidi="ar-SA"/>
      </w:rPr>
    </w:lvl>
    <w:lvl w:ilvl="3" w:tplc="EE7E135C">
      <w:numFmt w:val="bullet"/>
      <w:lvlText w:val="•"/>
      <w:lvlJc w:val="left"/>
      <w:pPr>
        <w:ind w:left="3076" w:hanging="567"/>
      </w:pPr>
      <w:rPr>
        <w:rFonts w:hint="default"/>
        <w:lang w:val="en-US" w:eastAsia="en-US" w:bidi="ar-SA"/>
      </w:rPr>
    </w:lvl>
    <w:lvl w:ilvl="4" w:tplc="F3BE661C">
      <w:numFmt w:val="bullet"/>
      <w:lvlText w:val="•"/>
      <w:lvlJc w:val="left"/>
      <w:pPr>
        <w:ind w:left="3975" w:hanging="567"/>
      </w:pPr>
      <w:rPr>
        <w:rFonts w:hint="default"/>
        <w:lang w:val="en-US" w:eastAsia="en-US" w:bidi="ar-SA"/>
      </w:rPr>
    </w:lvl>
    <w:lvl w:ilvl="5" w:tplc="ACB42604">
      <w:numFmt w:val="bullet"/>
      <w:lvlText w:val="•"/>
      <w:lvlJc w:val="left"/>
      <w:pPr>
        <w:ind w:left="4873" w:hanging="567"/>
      </w:pPr>
      <w:rPr>
        <w:rFonts w:hint="default"/>
        <w:lang w:val="en-US" w:eastAsia="en-US" w:bidi="ar-SA"/>
      </w:rPr>
    </w:lvl>
    <w:lvl w:ilvl="6" w:tplc="B830A76A">
      <w:numFmt w:val="bullet"/>
      <w:lvlText w:val="•"/>
      <w:lvlJc w:val="left"/>
      <w:pPr>
        <w:ind w:left="5772" w:hanging="567"/>
      </w:pPr>
      <w:rPr>
        <w:rFonts w:hint="default"/>
        <w:lang w:val="en-US" w:eastAsia="en-US" w:bidi="ar-SA"/>
      </w:rPr>
    </w:lvl>
    <w:lvl w:ilvl="7" w:tplc="3EF829A2">
      <w:numFmt w:val="bullet"/>
      <w:lvlText w:val="•"/>
      <w:lvlJc w:val="left"/>
      <w:pPr>
        <w:ind w:left="6670" w:hanging="567"/>
      </w:pPr>
      <w:rPr>
        <w:rFonts w:hint="default"/>
        <w:lang w:val="en-US" w:eastAsia="en-US" w:bidi="ar-SA"/>
      </w:rPr>
    </w:lvl>
    <w:lvl w:ilvl="8" w:tplc="92428C60">
      <w:numFmt w:val="bullet"/>
      <w:lvlText w:val="•"/>
      <w:lvlJc w:val="left"/>
      <w:pPr>
        <w:ind w:left="7569" w:hanging="567"/>
      </w:pPr>
      <w:rPr>
        <w:rFonts w:hint="default"/>
        <w:lang w:val="en-US" w:eastAsia="en-US" w:bidi="ar-SA"/>
      </w:rPr>
    </w:lvl>
  </w:abstractNum>
  <w:abstractNum w:abstractNumId="313" w15:restartNumberingAfterBreak="0">
    <w:nsid w:val="566D5689"/>
    <w:multiLevelType w:val="hybridMultilevel"/>
    <w:tmpl w:val="1826EED0"/>
    <w:lvl w:ilvl="0" w:tplc="D5467C4E">
      <w:start w:val="1"/>
      <w:numFmt w:val="lowerLetter"/>
      <w:lvlText w:val="(%1)"/>
      <w:lvlJc w:val="left"/>
      <w:pPr>
        <w:ind w:left="706" w:hanging="567"/>
      </w:pPr>
      <w:rPr>
        <w:rFonts w:ascii="Arial" w:eastAsia="Calibri" w:hAnsi="Arial" w:cs="Arial" w:hint="default"/>
        <w:spacing w:val="-1"/>
        <w:w w:val="100"/>
        <w:sz w:val="2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4" w15:restartNumberingAfterBreak="0">
    <w:nsid w:val="567C2014"/>
    <w:multiLevelType w:val="hybridMultilevel"/>
    <w:tmpl w:val="1F5ED466"/>
    <w:lvl w:ilvl="0" w:tplc="FD5A31BA">
      <w:start w:val="1"/>
      <w:numFmt w:val="bullet"/>
      <w:lvlText w:val=""/>
      <w:lvlJc w:val="left"/>
      <w:pPr>
        <w:ind w:left="360" w:hanging="360"/>
      </w:pPr>
      <w:rPr>
        <w:rFonts w:ascii="Symbol" w:hAnsi="Symbol" w:hint="default"/>
        <w:sz w:val="28"/>
        <w:szCs w:val="28"/>
      </w:rPr>
    </w:lvl>
    <w:lvl w:ilvl="1" w:tplc="04090003" w:tentative="1">
      <w:start w:val="1"/>
      <w:numFmt w:val="bullet"/>
      <w:lvlText w:val="o"/>
      <w:lvlJc w:val="left"/>
      <w:pPr>
        <w:ind w:left="655" w:hanging="360"/>
      </w:pPr>
      <w:rPr>
        <w:rFonts w:ascii="Courier New" w:hAnsi="Courier New" w:cs="Courier New" w:hint="default"/>
      </w:rPr>
    </w:lvl>
    <w:lvl w:ilvl="2" w:tplc="04090005" w:tentative="1">
      <w:start w:val="1"/>
      <w:numFmt w:val="bullet"/>
      <w:lvlText w:val=""/>
      <w:lvlJc w:val="left"/>
      <w:pPr>
        <w:ind w:left="1375" w:hanging="360"/>
      </w:pPr>
      <w:rPr>
        <w:rFonts w:ascii="Wingdings" w:hAnsi="Wingdings" w:hint="default"/>
      </w:rPr>
    </w:lvl>
    <w:lvl w:ilvl="3" w:tplc="04090001" w:tentative="1">
      <w:start w:val="1"/>
      <w:numFmt w:val="bullet"/>
      <w:lvlText w:val=""/>
      <w:lvlJc w:val="left"/>
      <w:pPr>
        <w:ind w:left="2095" w:hanging="360"/>
      </w:pPr>
      <w:rPr>
        <w:rFonts w:ascii="Symbol" w:hAnsi="Symbol" w:hint="default"/>
      </w:rPr>
    </w:lvl>
    <w:lvl w:ilvl="4" w:tplc="04090003" w:tentative="1">
      <w:start w:val="1"/>
      <w:numFmt w:val="bullet"/>
      <w:lvlText w:val="o"/>
      <w:lvlJc w:val="left"/>
      <w:pPr>
        <w:ind w:left="2815" w:hanging="360"/>
      </w:pPr>
      <w:rPr>
        <w:rFonts w:ascii="Courier New" w:hAnsi="Courier New" w:cs="Courier New" w:hint="default"/>
      </w:rPr>
    </w:lvl>
    <w:lvl w:ilvl="5" w:tplc="04090005" w:tentative="1">
      <w:start w:val="1"/>
      <w:numFmt w:val="bullet"/>
      <w:lvlText w:val=""/>
      <w:lvlJc w:val="left"/>
      <w:pPr>
        <w:ind w:left="3535" w:hanging="360"/>
      </w:pPr>
      <w:rPr>
        <w:rFonts w:ascii="Wingdings" w:hAnsi="Wingdings" w:hint="default"/>
      </w:rPr>
    </w:lvl>
    <w:lvl w:ilvl="6" w:tplc="04090001" w:tentative="1">
      <w:start w:val="1"/>
      <w:numFmt w:val="bullet"/>
      <w:lvlText w:val=""/>
      <w:lvlJc w:val="left"/>
      <w:pPr>
        <w:ind w:left="4255" w:hanging="360"/>
      </w:pPr>
      <w:rPr>
        <w:rFonts w:ascii="Symbol" w:hAnsi="Symbol" w:hint="default"/>
      </w:rPr>
    </w:lvl>
    <w:lvl w:ilvl="7" w:tplc="04090003" w:tentative="1">
      <w:start w:val="1"/>
      <w:numFmt w:val="bullet"/>
      <w:lvlText w:val="o"/>
      <w:lvlJc w:val="left"/>
      <w:pPr>
        <w:ind w:left="4975" w:hanging="360"/>
      </w:pPr>
      <w:rPr>
        <w:rFonts w:ascii="Courier New" w:hAnsi="Courier New" w:cs="Courier New" w:hint="default"/>
      </w:rPr>
    </w:lvl>
    <w:lvl w:ilvl="8" w:tplc="04090005" w:tentative="1">
      <w:start w:val="1"/>
      <w:numFmt w:val="bullet"/>
      <w:lvlText w:val=""/>
      <w:lvlJc w:val="left"/>
      <w:pPr>
        <w:ind w:left="5695" w:hanging="360"/>
      </w:pPr>
      <w:rPr>
        <w:rFonts w:ascii="Wingdings" w:hAnsi="Wingdings" w:hint="default"/>
      </w:rPr>
    </w:lvl>
  </w:abstractNum>
  <w:abstractNum w:abstractNumId="315" w15:restartNumberingAfterBreak="0">
    <w:nsid w:val="56EC60D9"/>
    <w:multiLevelType w:val="hybridMultilevel"/>
    <w:tmpl w:val="A322003A"/>
    <w:lvl w:ilvl="0" w:tplc="24FEAD48">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9F286220">
      <w:numFmt w:val="bullet"/>
      <w:lvlText w:val="•"/>
      <w:lvlJc w:val="left"/>
      <w:pPr>
        <w:ind w:left="1566" w:hanging="567"/>
      </w:pPr>
      <w:rPr>
        <w:rFonts w:hint="default"/>
        <w:lang w:val="en-US" w:eastAsia="en-US" w:bidi="ar-SA"/>
      </w:rPr>
    </w:lvl>
    <w:lvl w:ilvl="2" w:tplc="E0AA8E0A">
      <w:numFmt w:val="bullet"/>
      <w:lvlText w:val="•"/>
      <w:lvlJc w:val="left"/>
      <w:pPr>
        <w:ind w:left="2433" w:hanging="567"/>
      </w:pPr>
      <w:rPr>
        <w:rFonts w:hint="default"/>
        <w:lang w:val="en-US" w:eastAsia="en-US" w:bidi="ar-SA"/>
      </w:rPr>
    </w:lvl>
    <w:lvl w:ilvl="3" w:tplc="B2A86338">
      <w:numFmt w:val="bullet"/>
      <w:lvlText w:val="•"/>
      <w:lvlJc w:val="left"/>
      <w:pPr>
        <w:ind w:left="3299" w:hanging="567"/>
      </w:pPr>
      <w:rPr>
        <w:rFonts w:hint="default"/>
        <w:lang w:val="en-US" w:eastAsia="en-US" w:bidi="ar-SA"/>
      </w:rPr>
    </w:lvl>
    <w:lvl w:ilvl="4" w:tplc="D78E057E">
      <w:numFmt w:val="bullet"/>
      <w:lvlText w:val="•"/>
      <w:lvlJc w:val="left"/>
      <w:pPr>
        <w:ind w:left="4166" w:hanging="567"/>
      </w:pPr>
      <w:rPr>
        <w:rFonts w:hint="default"/>
        <w:lang w:val="en-US" w:eastAsia="en-US" w:bidi="ar-SA"/>
      </w:rPr>
    </w:lvl>
    <w:lvl w:ilvl="5" w:tplc="027003AA">
      <w:numFmt w:val="bullet"/>
      <w:lvlText w:val="•"/>
      <w:lvlJc w:val="left"/>
      <w:pPr>
        <w:ind w:left="5033" w:hanging="567"/>
      </w:pPr>
      <w:rPr>
        <w:rFonts w:hint="default"/>
        <w:lang w:val="en-US" w:eastAsia="en-US" w:bidi="ar-SA"/>
      </w:rPr>
    </w:lvl>
    <w:lvl w:ilvl="6" w:tplc="EB0CDA3E">
      <w:numFmt w:val="bullet"/>
      <w:lvlText w:val="•"/>
      <w:lvlJc w:val="left"/>
      <w:pPr>
        <w:ind w:left="5899" w:hanging="567"/>
      </w:pPr>
      <w:rPr>
        <w:rFonts w:hint="default"/>
        <w:lang w:val="en-US" w:eastAsia="en-US" w:bidi="ar-SA"/>
      </w:rPr>
    </w:lvl>
    <w:lvl w:ilvl="7" w:tplc="117045C4">
      <w:numFmt w:val="bullet"/>
      <w:lvlText w:val="•"/>
      <w:lvlJc w:val="left"/>
      <w:pPr>
        <w:ind w:left="6766" w:hanging="567"/>
      </w:pPr>
      <w:rPr>
        <w:rFonts w:hint="default"/>
        <w:lang w:val="en-US" w:eastAsia="en-US" w:bidi="ar-SA"/>
      </w:rPr>
    </w:lvl>
    <w:lvl w:ilvl="8" w:tplc="C11E4AD8">
      <w:numFmt w:val="bullet"/>
      <w:lvlText w:val="•"/>
      <w:lvlJc w:val="left"/>
      <w:pPr>
        <w:ind w:left="7633" w:hanging="567"/>
      </w:pPr>
      <w:rPr>
        <w:rFonts w:hint="default"/>
        <w:lang w:val="en-US" w:eastAsia="en-US" w:bidi="ar-SA"/>
      </w:rPr>
    </w:lvl>
  </w:abstractNum>
  <w:abstractNum w:abstractNumId="316" w15:restartNumberingAfterBreak="0">
    <w:nsid w:val="56FB2EF5"/>
    <w:multiLevelType w:val="hybridMultilevel"/>
    <w:tmpl w:val="07A2449E"/>
    <w:lvl w:ilvl="0" w:tplc="EE0A86D4">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8F7E4FBA">
      <w:numFmt w:val="bullet"/>
      <w:lvlText w:val="•"/>
      <w:lvlJc w:val="left"/>
      <w:pPr>
        <w:ind w:left="1566" w:hanging="567"/>
      </w:pPr>
      <w:rPr>
        <w:rFonts w:hint="default"/>
        <w:lang w:val="en-US" w:eastAsia="en-US" w:bidi="ar-SA"/>
      </w:rPr>
    </w:lvl>
    <w:lvl w:ilvl="2" w:tplc="F30829D8">
      <w:numFmt w:val="bullet"/>
      <w:lvlText w:val="•"/>
      <w:lvlJc w:val="left"/>
      <w:pPr>
        <w:ind w:left="2433" w:hanging="567"/>
      </w:pPr>
      <w:rPr>
        <w:rFonts w:hint="default"/>
        <w:lang w:val="en-US" w:eastAsia="en-US" w:bidi="ar-SA"/>
      </w:rPr>
    </w:lvl>
    <w:lvl w:ilvl="3" w:tplc="B50E704A">
      <w:numFmt w:val="bullet"/>
      <w:lvlText w:val="•"/>
      <w:lvlJc w:val="left"/>
      <w:pPr>
        <w:ind w:left="3299" w:hanging="567"/>
      </w:pPr>
      <w:rPr>
        <w:rFonts w:hint="default"/>
        <w:lang w:val="en-US" w:eastAsia="en-US" w:bidi="ar-SA"/>
      </w:rPr>
    </w:lvl>
    <w:lvl w:ilvl="4" w:tplc="346C7168">
      <w:numFmt w:val="bullet"/>
      <w:lvlText w:val="•"/>
      <w:lvlJc w:val="left"/>
      <w:pPr>
        <w:ind w:left="4166" w:hanging="567"/>
      </w:pPr>
      <w:rPr>
        <w:rFonts w:hint="default"/>
        <w:lang w:val="en-US" w:eastAsia="en-US" w:bidi="ar-SA"/>
      </w:rPr>
    </w:lvl>
    <w:lvl w:ilvl="5" w:tplc="1626310E">
      <w:numFmt w:val="bullet"/>
      <w:lvlText w:val="•"/>
      <w:lvlJc w:val="left"/>
      <w:pPr>
        <w:ind w:left="5033" w:hanging="567"/>
      </w:pPr>
      <w:rPr>
        <w:rFonts w:hint="default"/>
        <w:lang w:val="en-US" w:eastAsia="en-US" w:bidi="ar-SA"/>
      </w:rPr>
    </w:lvl>
    <w:lvl w:ilvl="6" w:tplc="75B666B2">
      <w:numFmt w:val="bullet"/>
      <w:lvlText w:val="•"/>
      <w:lvlJc w:val="left"/>
      <w:pPr>
        <w:ind w:left="5899" w:hanging="567"/>
      </w:pPr>
      <w:rPr>
        <w:rFonts w:hint="default"/>
        <w:lang w:val="en-US" w:eastAsia="en-US" w:bidi="ar-SA"/>
      </w:rPr>
    </w:lvl>
    <w:lvl w:ilvl="7" w:tplc="553E8CF4">
      <w:numFmt w:val="bullet"/>
      <w:lvlText w:val="•"/>
      <w:lvlJc w:val="left"/>
      <w:pPr>
        <w:ind w:left="6766" w:hanging="567"/>
      </w:pPr>
      <w:rPr>
        <w:rFonts w:hint="default"/>
        <w:lang w:val="en-US" w:eastAsia="en-US" w:bidi="ar-SA"/>
      </w:rPr>
    </w:lvl>
    <w:lvl w:ilvl="8" w:tplc="D1B6F428">
      <w:numFmt w:val="bullet"/>
      <w:lvlText w:val="•"/>
      <w:lvlJc w:val="left"/>
      <w:pPr>
        <w:ind w:left="7633" w:hanging="567"/>
      </w:pPr>
      <w:rPr>
        <w:rFonts w:hint="default"/>
        <w:lang w:val="en-US" w:eastAsia="en-US" w:bidi="ar-SA"/>
      </w:rPr>
    </w:lvl>
  </w:abstractNum>
  <w:abstractNum w:abstractNumId="317" w15:restartNumberingAfterBreak="0">
    <w:nsid w:val="57145CFC"/>
    <w:multiLevelType w:val="hybridMultilevel"/>
    <w:tmpl w:val="A218E204"/>
    <w:lvl w:ilvl="0" w:tplc="3FFAB8BC">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DB4EDBE6">
      <w:numFmt w:val="bullet"/>
      <w:lvlText w:val="•"/>
      <w:lvlJc w:val="left"/>
      <w:pPr>
        <w:ind w:left="1566" w:hanging="567"/>
      </w:pPr>
      <w:rPr>
        <w:rFonts w:hint="default"/>
        <w:lang w:val="en-US" w:eastAsia="en-US" w:bidi="ar-SA"/>
      </w:rPr>
    </w:lvl>
    <w:lvl w:ilvl="2" w:tplc="A9F82CD2">
      <w:numFmt w:val="bullet"/>
      <w:lvlText w:val="•"/>
      <w:lvlJc w:val="left"/>
      <w:pPr>
        <w:ind w:left="2433" w:hanging="567"/>
      </w:pPr>
      <w:rPr>
        <w:rFonts w:hint="default"/>
        <w:lang w:val="en-US" w:eastAsia="en-US" w:bidi="ar-SA"/>
      </w:rPr>
    </w:lvl>
    <w:lvl w:ilvl="3" w:tplc="DCAE78CC">
      <w:numFmt w:val="bullet"/>
      <w:lvlText w:val="•"/>
      <w:lvlJc w:val="left"/>
      <w:pPr>
        <w:ind w:left="3299" w:hanging="567"/>
      </w:pPr>
      <w:rPr>
        <w:rFonts w:hint="default"/>
        <w:lang w:val="en-US" w:eastAsia="en-US" w:bidi="ar-SA"/>
      </w:rPr>
    </w:lvl>
    <w:lvl w:ilvl="4" w:tplc="85A23756">
      <w:numFmt w:val="bullet"/>
      <w:lvlText w:val="•"/>
      <w:lvlJc w:val="left"/>
      <w:pPr>
        <w:ind w:left="4166" w:hanging="567"/>
      </w:pPr>
      <w:rPr>
        <w:rFonts w:hint="default"/>
        <w:lang w:val="en-US" w:eastAsia="en-US" w:bidi="ar-SA"/>
      </w:rPr>
    </w:lvl>
    <w:lvl w:ilvl="5" w:tplc="5F1C2CE0">
      <w:numFmt w:val="bullet"/>
      <w:lvlText w:val="•"/>
      <w:lvlJc w:val="left"/>
      <w:pPr>
        <w:ind w:left="5033" w:hanging="567"/>
      </w:pPr>
      <w:rPr>
        <w:rFonts w:hint="default"/>
        <w:lang w:val="en-US" w:eastAsia="en-US" w:bidi="ar-SA"/>
      </w:rPr>
    </w:lvl>
    <w:lvl w:ilvl="6" w:tplc="DF3CA4A6">
      <w:numFmt w:val="bullet"/>
      <w:lvlText w:val="•"/>
      <w:lvlJc w:val="left"/>
      <w:pPr>
        <w:ind w:left="5899" w:hanging="567"/>
      </w:pPr>
      <w:rPr>
        <w:rFonts w:hint="default"/>
        <w:lang w:val="en-US" w:eastAsia="en-US" w:bidi="ar-SA"/>
      </w:rPr>
    </w:lvl>
    <w:lvl w:ilvl="7" w:tplc="184ED6B2">
      <w:numFmt w:val="bullet"/>
      <w:lvlText w:val="•"/>
      <w:lvlJc w:val="left"/>
      <w:pPr>
        <w:ind w:left="6766" w:hanging="567"/>
      </w:pPr>
      <w:rPr>
        <w:rFonts w:hint="default"/>
        <w:lang w:val="en-US" w:eastAsia="en-US" w:bidi="ar-SA"/>
      </w:rPr>
    </w:lvl>
    <w:lvl w:ilvl="8" w:tplc="0248EC42">
      <w:numFmt w:val="bullet"/>
      <w:lvlText w:val="•"/>
      <w:lvlJc w:val="left"/>
      <w:pPr>
        <w:ind w:left="7633" w:hanging="567"/>
      </w:pPr>
      <w:rPr>
        <w:rFonts w:hint="default"/>
        <w:lang w:val="en-US" w:eastAsia="en-US" w:bidi="ar-SA"/>
      </w:rPr>
    </w:lvl>
  </w:abstractNum>
  <w:abstractNum w:abstractNumId="318" w15:restartNumberingAfterBreak="0">
    <w:nsid w:val="57146FF8"/>
    <w:multiLevelType w:val="hybridMultilevel"/>
    <w:tmpl w:val="729A03F2"/>
    <w:lvl w:ilvl="0" w:tplc="A2BE02B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0CFCA290">
      <w:numFmt w:val="bullet"/>
      <w:lvlText w:val="•"/>
      <w:lvlJc w:val="left"/>
      <w:pPr>
        <w:ind w:left="1566" w:hanging="567"/>
      </w:pPr>
      <w:rPr>
        <w:rFonts w:hint="default"/>
        <w:lang w:val="en-US" w:eastAsia="en-US" w:bidi="ar-SA"/>
      </w:rPr>
    </w:lvl>
    <w:lvl w:ilvl="2" w:tplc="FFEC9724">
      <w:numFmt w:val="bullet"/>
      <w:lvlText w:val="•"/>
      <w:lvlJc w:val="left"/>
      <w:pPr>
        <w:ind w:left="2433" w:hanging="567"/>
      </w:pPr>
      <w:rPr>
        <w:rFonts w:hint="default"/>
        <w:lang w:val="en-US" w:eastAsia="en-US" w:bidi="ar-SA"/>
      </w:rPr>
    </w:lvl>
    <w:lvl w:ilvl="3" w:tplc="CB9480A6">
      <w:numFmt w:val="bullet"/>
      <w:lvlText w:val="•"/>
      <w:lvlJc w:val="left"/>
      <w:pPr>
        <w:ind w:left="3299" w:hanging="567"/>
      </w:pPr>
      <w:rPr>
        <w:rFonts w:hint="default"/>
        <w:lang w:val="en-US" w:eastAsia="en-US" w:bidi="ar-SA"/>
      </w:rPr>
    </w:lvl>
    <w:lvl w:ilvl="4" w:tplc="C824A4B2">
      <w:numFmt w:val="bullet"/>
      <w:lvlText w:val="•"/>
      <w:lvlJc w:val="left"/>
      <w:pPr>
        <w:ind w:left="4166" w:hanging="567"/>
      </w:pPr>
      <w:rPr>
        <w:rFonts w:hint="default"/>
        <w:lang w:val="en-US" w:eastAsia="en-US" w:bidi="ar-SA"/>
      </w:rPr>
    </w:lvl>
    <w:lvl w:ilvl="5" w:tplc="E8860A18">
      <w:numFmt w:val="bullet"/>
      <w:lvlText w:val="•"/>
      <w:lvlJc w:val="left"/>
      <w:pPr>
        <w:ind w:left="5033" w:hanging="567"/>
      </w:pPr>
      <w:rPr>
        <w:rFonts w:hint="default"/>
        <w:lang w:val="en-US" w:eastAsia="en-US" w:bidi="ar-SA"/>
      </w:rPr>
    </w:lvl>
    <w:lvl w:ilvl="6" w:tplc="8102AA88">
      <w:numFmt w:val="bullet"/>
      <w:lvlText w:val="•"/>
      <w:lvlJc w:val="left"/>
      <w:pPr>
        <w:ind w:left="5899" w:hanging="567"/>
      </w:pPr>
      <w:rPr>
        <w:rFonts w:hint="default"/>
        <w:lang w:val="en-US" w:eastAsia="en-US" w:bidi="ar-SA"/>
      </w:rPr>
    </w:lvl>
    <w:lvl w:ilvl="7" w:tplc="8CE82BDE">
      <w:numFmt w:val="bullet"/>
      <w:lvlText w:val="•"/>
      <w:lvlJc w:val="left"/>
      <w:pPr>
        <w:ind w:left="6766" w:hanging="567"/>
      </w:pPr>
      <w:rPr>
        <w:rFonts w:hint="default"/>
        <w:lang w:val="en-US" w:eastAsia="en-US" w:bidi="ar-SA"/>
      </w:rPr>
    </w:lvl>
    <w:lvl w:ilvl="8" w:tplc="6F687C7C">
      <w:numFmt w:val="bullet"/>
      <w:lvlText w:val="•"/>
      <w:lvlJc w:val="left"/>
      <w:pPr>
        <w:ind w:left="7633" w:hanging="567"/>
      </w:pPr>
      <w:rPr>
        <w:rFonts w:hint="default"/>
        <w:lang w:val="en-US" w:eastAsia="en-US" w:bidi="ar-SA"/>
      </w:rPr>
    </w:lvl>
  </w:abstractNum>
  <w:abstractNum w:abstractNumId="319" w15:restartNumberingAfterBreak="0">
    <w:nsid w:val="57BA3081"/>
    <w:multiLevelType w:val="hybridMultilevel"/>
    <w:tmpl w:val="D2CA0C1E"/>
    <w:lvl w:ilvl="0" w:tplc="842C28A2">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506465F6">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18829A14">
      <w:numFmt w:val="bullet"/>
      <w:lvlText w:val="•"/>
      <w:lvlJc w:val="left"/>
      <w:pPr>
        <w:ind w:left="1672" w:hanging="567"/>
      </w:pPr>
      <w:rPr>
        <w:rFonts w:hint="default"/>
        <w:lang w:val="en-US" w:eastAsia="en-US" w:bidi="ar-SA"/>
      </w:rPr>
    </w:lvl>
    <w:lvl w:ilvl="3" w:tplc="68804E1E">
      <w:numFmt w:val="bullet"/>
      <w:lvlText w:val="•"/>
      <w:lvlJc w:val="left"/>
      <w:pPr>
        <w:ind w:left="2065" w:hanging="567"/>
      </w:pPr>
      <w:rPr>
        <w:rFonts w:hint="default"/>
        <w:lang w:val="en-US" w:eastAsia="en-US" w:bidi="ar-SA"/>
      </w:rPr>
    </w:lvl>
    <w:lvl w:ilvl="4" w:tplc="26B09B46">
      <w:numFmt w:val="bullet"/>
      <w:lvlText w:val="•"/>
      <w:lvlJc w:val="left"/>
      <w:pPr>
        <w:ind w:left="2457" w:hanging="567"/>
      </w:pPr>
      <w:rPr>
        <w:rFonts w:hint="default"/>
        <w:lang w:val="en-US" w:eastAsia="en-US" w:bidi="ar-SA"/>
      </w:rPr>
    </w:lvl>
    <w:lvl w:ilvl="5" w:tplc="67A21246">
      <w:numFmt w:val="bullet"/>
      <w:lvlText w:val="•"/>
      <w:lvlJc w:val="left"/>
      <w:pPr>
        <w:ind w:left="2850" w:hanging="567"/>
      </w:pPr>
      <w:rPr>
        <w:rFonts w:hint="default"/>
        <w:lang w:val="en-US" w:eastAsia="en-US" w:bidi="ar-SA"/>
      </w:rPr>
    </w:lvl>
    <w:lvl w:ilvl="6" w:tplc="4B60F1A8">
      <w:numFmt w:val="bullet"/>
      <w:lvlText w:val="•"/>
      <w:lvlJc w:val="left"/>
      <w:pPr>
        <w:ind w:left="3243" w:hanging="567"/>
      </w:pPr>
      <w:rPr>
        <w:rFonts w:hint="default"/>
        <w:lang w:val="en-US" w:eastAsia="en-US" w:bidi="ar-SA"/>
      </w:rPr>
    </w:lvl>
    <w:lvl w:ilvl="7" w:tplc="38BC1152">
      <w:numFmt w:val="bullet"/>
      <w:lvlText w:val="•"/>
      <w:lvlJc w:val="left"/>
      <w:pPr>
        <w:ind w:left="3635" w:hanging="567"/>
      </w:pPr>
      <w:rPr>
        <w:rFonts w:hint="default"/>
        <w:lang w:val="en-US" w:eastAsia="en-US" w:bidi="ar-SA"/>
      </w:rPr>
    </w:lvl>
    <w:lvl w:ilvl="8" w:tplc="B538A846">
      <w:numFmt w:val="bullet"/>
      <w:lvlText w:val="•"/>
      <w:lvlJc w:val="left"/>
      <w:pPr>
        <w:ind w:left="4028" w:hanging="567"/>
      </w:pPr>
      <w:rPr>
        <w:rFonts w:hint="default"/>
        <w:lang w:val="en-US" w:eastAsia="en-US" w:bidi="ar-SA"/>
      </w:rPr>
    </w:lvl>
  </w:abstractNum>
  <w:abstractNum w:abstractNumId="320" w15:restartNumberingAfterBreak="0">
    <w:nsid w:val="588F1C71"/>
    <w:multiLevelType w:val="hybridMultilevel"/>
    <w:tmpl w:val="FE3E3CC6"/>
    <w:lvl w:ilvl="0" w:tplc="013E183E">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DB2CD782">
      <w:numFmt w:val="bullet"/>
      <w:lvlText w:val="•"/>
      <w:lvlJc w:val="left"/>
      <w:pPr>
        <w:ind w:left="1566" w:hanging="567"/>
      </w:pPr>
      <w:rPr>
        <w:rFonts w:hint="default"/>
        <w:lang w:val="en-US" w:eastAsia="en-US" w:bidi="ar-SA"/>
      </w:rPr>
    </w:lvl>
    <w:lvl w:ilvl="2" w:tplc="55FC3E02">
      <w:numFmt w:val="bullet"/>
      <w:lvlText w:val="•"/>
      <w:lvlJc w:val="left"/>
      <w:pPr>
        <w:ind w:left="2433" w:hanging="567"/>
      </w:pPr>
      <w:rPr>
        <w:rFonts w:hint="default"/>
        <w:lang w:val="en-US" w:eastAsia="en-US" w:bidi="ar-SA"/>
      </w:rPr>
    </w:lvl>
    <w:lvl w:ilvl="3" w:tplc="22F4390A">
      <w:numFmt w:val="bullet"/>
      <w:lvlText w:val="•"/>
      <w:lvlJc w:val="left"/>
      <w:pPr>
        <w:ind w:left="3299" w:hanging="567"/>
      </w:pPr>
      <w:rPr>
        <w:rFonts w:hint="default"/>
        <w:lang w:val="en-US" w:eastAsia="en-US" w:bidi="ar-SA"/>
      </w:rPr>
    </w:lvl>
    <w:lvl w:ilvl="4" w:tplc="8E3E741C">
      <w:numFmt w:val="bullet"/>
      <w:lvlText w:val="•"/>
      <w:lvlJc w:val="left"/>
      <w:pPr>
        <w:ind w:left="4166" w:hanging="567"/>
      </w:pPr>
      <w:rPr>
        <w:rFonts w:hint="default"/>
        <w:lang w:val="en-US" w:eastAsia="en-US" w:bidi="ar-SA"/>
      </w:rPr>
    </w:lvl>
    <w:lvl w:ilvl="5" w:tplc="C4BE362C">
      <w:numFmt w:val="bullet"/>
      <w:lvlText w:val="•"/>
      <w:lvlJc w:val="left"/>
      <w:pPr>
        <w:ind w:left="5033" w:hanging="567"/>
      </w:pPr>
      <w:rPr>
        <w:rFonts w:hint="default"/>
        <w:lang w:val="en-US" w:eastAsia="en-US" w:bidi="ar-SA"/>
      </w:rPr>
    </w:lvl>
    <w:lvl w:ilvl="6" w:tplc="AF3E8860">
      <w:numFmt w:val="bullet"/>
      <w:lvlText w:val="•"/>
      <w:lvlJc w:val="left"/>
      <w:pPr>
        <w:ind w:left="5899" w:hanging="567"/>
      </w:pPr>
      <w:rPr>
        <w:rFonts w:hint="default"/>
        <w:lang w:val="en-US" w:eastAsia="en-US" w:bidi="ar-SA"/>
      </w:rPr>
    </w:lvl>
    <w:lvl w:ilvl="7" w:tplc="371EDFA0">
      <w:numFmt w:val="bullet"/>
      <w:lvlText w:val="•"/>
      <w:lvlJc w:val="left"/>
      <w:pPr>
        <w:ind w:left="6766" w:hanging="567"/>
      </w:pPr>
      <w:rPr>
        <w:rFonts w:hint="default"/>
        <w:lang w:val="en-US" w:eastAsia="en-US" w:bidi="ar-SA"/>
      </w:rPr>
    </w:lvl>
    <w:lvl w:ilvl="8" w:tplc="A7BED2E4">
      <w:numFmt w:val="bullet"/>
      <w:lvlText w:val="•"/>
      <w:lvlJc w:val="left"/>
      <w:pPr>
        <w:ind w:left="7633" w:hanging="567"/>
      </w:pPr>
      <w:rPr>
        <w:rFonts w:hint="default"/>
        <w:lang w:val="en-US" w:eastAsia="en-US" w:bidi="ar-SA"/>
      </w:rPr>
    </w:lvl>
  </w:abstractNum>
  <w:abstractNum w:abstractNumId="321" w15:restartNumberingAfterBreak="0">
    <w:nsid w:val="58C41087"/>
    <w:multiLevelType w:val="hybridMultilevel"/>
    <w:tmpl w:val="B3BCDD4A"/>
    <w:lvl w:ilvl="0" w:tplc="20BE8E8E">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B1687E44">
      <w:numFmt w:val="bullet"/>
      <w:lvlText w:val="•"/>
      <w:lvlJc w:val="left"/>
      <w:pPr>
        <w:ind w:left="1566" w:hanging="567"/>
      </w:pPr>
      <w:rPr>
        <w:rFonts w:hint="default"/>
        <w:lang w:val="en-US" w:eastAsia="en-US" w:bidi="ar-SA"/>
      </w:rPr>
    </w:lvl>
    <w:lvl w:ilvl="2" w:tplc="83585732">
      <w:numFmt w:val="bullet"/>
      <w:lvlText w:val="•"/>
      <w:lvlJc w:val="left"/>
      <w:pPr>
        <w:ind w:left="2433" w:hanging="567"/>
      </w:pPr>
      <w:rPr>
        <w:rFonts w:hint="default"/>
        <w:lang w:val="en-US" w:eastAsia="en-US" w:bidi="ar-SA"/>
      </w:rPr>
    </w:lvl>
    <w:lvl w:ilvl="3" w:tplc="A470E850">
      <w:numFmt w:val="bullet"/>
      <w:lvlText w:val="•"/>
      <w:lvlJc w:val="left"/>
      <w:pPr>
        <w:ind w:left="3299" w:hanging="567"/>
      </w:pPr>
      <w:rPr>
        <w:rFonts w:hint="default"/>
        <w:lang w:val="en-US" w:eastAsia="en-US" w:bidi="ar-SA"/>
      </w:rPr>
    </w:lvl>
    <w:lvl w:ilvl="4" w:tplc="C8DEA0E0">
      <w:numFmt w:val="bullet"/>
      <w:lvlText w:val="•"/>
      <w:lvlJc w:val="left"/>
      <w:pPr>
        <w:ind w:left="4166" w:hanging="567"/>
      </w:pPr>
      <w:rPr>
        <w:rFonts w:hint="default"/>
        <w:lang w:val="en-US" w:eastAsia="en-US" w:bidi="ar-SA"/>
      </w:rPr>
    </w:lvl>
    <w:lvl w:ilvl="5" w:tplc="2C9CBFFA">
      <w:numFmt w:val="bullet"/>
      <w:lvlText w:val="•"/>
      <w:lvlJc w:val="left"/>
      <w:pPr>
        <w:ind w:left="5033" w:hanging="567"/>
      </w:pPr>
      <w:rPr>
        <w:rFonts w:hint="default"/>
        <w:lang w:val="en-US" w:eastAsia="en-US" w:bidi="ar-SA"/>
      </w:rPr>
    </w:lvl>
    <w:lvl w:ilvl="6" w:tplc="5412CA4C">
      <w:numFmt w:val="bullet"/>
      <w:lvlText w:val="•"/>
      <w:lvlJc w:val="left"/>
      <w:pPr>
        <w:ind w:left="5899" w:hanging="567"/>
      </w:pPr>
      <w:rPr>
        <w:rFonts w:hint="default"/>
        <w:lang w:val="en-US" w:eastAsia="en-US" w:bidi="ar-SA"/>
      </w:rPr>
    </w:lvl>
    <w:lvl w:ilvl="7" w:tplc="4A4004D4">
      <w:numFmt w:val="bullet"/>
      <w:lvlText w:val="•"/>
      <w:lvlJc w:val="left"/>
      <w:pPr>
        <w:ind w:left="6766" w:hanging="567"/>
      </w:pPr>
      <w:rPr>
        <w:rFonts w:hint="default"/>
        <w:lang w:val="en-US" w:eastAsia="en-US" w:bidi="ar-SA"/>
      </w:rPr>
    </w:lvl>
    <w:lvl w:ilvl="8" w:tplc="8C949320">
      <w:numFmt w:val="bullet"/>
      <w:lvlText w:val="•"/>
      <w:lvlJc w:val="left"/>
      <w:pPr>
        <w:ind w:left="7633" w:hanging="567"/>
      </w:pPr>
      <w:rPr>
        <w:rFonts w:hint="default"/>
        <w:lang w:val="en-US" w:eastAsia="en-US" w:bidi="ar-SA"/>
      </w:rPr>
    </w:lvl>
  </w:abstractNum>
  <w:abstractNum w:abstractNumId="322" w15:restartNumberingAfterBreak="0">
    <w:nsid w:val="59071DD6"/>
    <w:multiLevelType w:val="hybridMultilevel"/>
    <w:tmpl w:val="C3342C6A"/>
    <w:lvl w:ilvl="0" w:tplc="24702A2E">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677447D0">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9DB82408">
      <w:numFmt w:val="bullet"/>
      <w:lvlText w:val="•"/>
      <w:lvlJc w:val="left"/>
      <w:pPr>
        <w:ind w:left="2178" w:hanging="567"/>
      </w:pPr>
      <w:rPr>
        <w:rFonts w:hint="default"/>
        <w:lang w:val="en-US" w:eastAsia="en-US" w:bidi="ar-SA"/>
      </w:rPr>
    </w:lvl>
    <w:lvl w:ilvl="3" w:tplc="C4DCA25C">
      <w:numFmt w:val="bullet"/>
      <w:lvlText w:val="•"/>
      <w:lvlJc w:val="left"/>
      <w:pPr>
        <w:ind w:left="3076" w:hanging="567"/>
      </w:pPr>
      <w:rPr>
        <w:rFonts w:hint="default"/>
        <w:lang w:val="en-US" w:eastAsia="en-US" w:bidi="ar-SA"/>
      </w:rPr>
    </w:lvl>
    <w:lvl w:ilvl="4" w:tplc="348E9124">
      <w:numFmt w:val="bullet"/>
      <w:lvlText w:val="•"/>
      <w:lvlJc w:val="left"/>
      <w:pPr>
        <w:ind w:left="3975" w:hanging="567"/>
      </w:pPr>
      <w:rPr>
        <w:rFonts w:hint="default"/>
        <w:lang w:val="en-US" w:eastAsia="en-US" w:bidi="ar-SA"/>
      </w:rPr>
    </w:lvl>
    <w:lvl w:ilvl="5" w:tplc="94BA5222">
      <w:numFmt w:val="bullet"/>
      <w:lvlText w:val="•"/>
      <w:lvlJc w:val="left"/>
      <w:pPr>
        <w:ind w:left="4873" w:hanging="567"/>
      </w:pPr>
      <w:rPr>
        <w:rFonts w:hint="default"/>
        <w:lang w:val="en-US" w:eastAsia="en-US" w:bidi="ar-SA"/>
      </w:rPr>
    </w:lvl>
    <w:lvl w:ilvl="6" w:tplc="6CE86D54">
      <w:numFmt w:val="bullet"/>
      <w:lvlText w:val="•"/>
      <w:lvlJc w:val="left"/>
      <w:pPr>
        <w:ind w:left="5772" w:hanging="567"/>
      </w:pPr>
      <w:rPr>
        <w:rFonts w:hint="default"/>
        <w:lang w:val="en-US" w:eastAsia="en-US" w:bidi="ar-SA"/>
      </w:rPr>
    </w:lvl>
    <w:lvl w:ilvl="7" w:tplc="94FAE3CA">
      <w:numFmt w:val="bullet"/>
      <w:lvlText w:val="•"/>
      <w:lvlJc w:val="left"/>
      <w:pPr>
        <w:ind w:left="6670" w:hanging="567"/>
      </w:pPr>
      <w:rPr>
        <w:rFonts w:hint="default"/>
        <w:lang w:val="en-US" w:eastAsia="en-US" w:bidi="ar-SA"/>
      </w:rPr>
    </w:lvl>
    <w:lvl w:ilvl="8" w:tplc="42AA002A">
      <w:numFmt w:val="bullet"/>
      <w:lvlText w:val="•"/>
      <w:lvlJc w:val="left"/>
      <w:pPr>
        <w:ind w:left="7569" w:hanging="567"/>
      </w:pPr>
      <w:rPr>
        <w:rFonts w:hint="default"/>
        <w:lang w:val="en-US" w:eastAsia="en-US" w:bidi="ar-SA"/>
      </w:rPr>
    </w:lvl>
  </w:abstractNum>
  <w:abstractNum w:abstractNumId="323" w15:restartNumberingAfterBreak="0">
    <w:nsid w:val="59304029"/>
    <w:multiLevelType w:val="hybridMultilevel"/>
    <w:tmpl w:val="843A10B2"/>
    <w:lvl w:ilvl="0" w:tplc="FCF84DFA">
      <w:start w:val="1"/>
      <w:numFmt w:val="lowerLetter"/>
      <w:lvlText w:val="(%1)"/>
      <w:lvlJc w:val="left"/>
      <w:pPr>
        <w:ind w:left="515" w:hanging="431"/>
      </w:pPr>
      <w:rPr>
        <w:rFonts w:ascii="Arial" w:eastAsia="Calibri" w:hAnsi="Arial" w:cs="Arial" w:hint="default"/>
        <w:spacing w:val="-1"/>
        <w:w w:val="99"/>
        <w:sz w:val="20"/>
        <w:szCs w:val="20"/>
        <w:lang w:val="en-US" w:eastAsia="en-US" w:bidi="ar-SA"/>
      </w:rPr>
    </w:lvl>
    <w:lvl w:ilvl="1" w:tplc="AA527586">
      <w:numFmt w:val="bullet"/>
      <w:lvlText w:val="•"/>
      <w:lvlJc w:val="left"/>
      <w:pPr>
        <w:ind w:left="829" w:hanging="431"/>
      </w:pPr>
      <w:rPr>
        <w:rFonts w:hint="default"/>
        <w:lang w:val="en-US" w:eastAsia="en-US" w:bidi="ar-SA"/>
      </w:rPr>
    </w:lvl>
    <w:lvl w:ilvl="2" w:tplc="21507046">
      <w:numFmt w:val="bullet"/>
      <w:lvlText w:val="•"/>
      <w:lvlJc w:val="left"/>
      <w:pPr>
        <w:ind w:left="1138" w:hanging="431"/>
      </w:pPr>
      <w:rPr>
        <w:rFonts w:hint="default"/>
        <w:lang w:val="en-US" w:eastAsia="en-US" w:bidi="ar-SA"/>
      </w:rPr>
    </w:lvl>
    <w:lvl w:ilvl="3" w:tplc="A4A6277C">
      <w:numFmt w:val="bullet"/>
      <w:lvlText w:val="•"/>
      <w:lvlJc w:val="left"/>
      <w:pPr>
        <w:ind w:left="1448" w:hanging="431"/>
      </w:pPr>
      <w:rPr>
        <w:rFonts w:hint="default"/>
        <w:lang w:val="en-US" w:eastAsia="en-US" w:bidi="ar-SA"/>
      </w:rPr>
    </w:lvl>
    <w:lvl w:ilvl="4" w:tplc="099294FA">
      <w:numFmt w:val="bullet"/>
      <w:lvlText w:val="•"/>
      <w:lvlJc w:val="left"/>
      <w:pPr>
        <w:ind w:left="1757" w:hanging="431"/>
      </w:pPr>
      <w:rPr>
        <w:rFonts w:hint="default"/>
        <w:lang w:val="en-US" w:eastAsia="en-US" w:bidi="ar-SA"/>
      </w:rPr>
    </w:lvl>
    <w:lvl w:ilvl="5" w:tplc="B4CEC356">
      <w:numFmt w:val="bullet"/>
      <w:lvlText w:val="•"/>
      <w:lvlJc w:val="left"/>
      <w:pPr>
        <w:ind w:left="2067" w:hanging="431"/>
      </w:pPr>
      <w:rPr>
        <w:rFonts w:hint="default"/>
        <w:lang w:val="en-US" w:eastAsia="en-US" w:bidi="ar-SA"/>
      </w:rPr>
    </w:lvl>
    <w:lvl w:ilvl="6" w:tplc="34B0AD96">
      <w:numFmt w:val="bullet"/>
      <w:lvlText w:val="•"/>
      <w:lvlJc w:val="left"/>
      <w:pPr>
        <w:ind w:left="2376" w:hanging="431"/>
      </w:pPr>
      <w:rPr>
        <w:rFonts w:hint="default"/>
        <w:lang w:val="en-US" w:eastAsia="en-US" w:bidi="ar-SA"/>
      </w:rPr>
    </w:lvl>
    <w:lvl w:ilvl="7" w:tplc="EEF24D48">
      <w:numFmt w:val="bullet"/>
      <w:lvlText w:val="•"/>
      <w:lvlJc w:val="left"/>
      <w:pPr>
        <w:ind w:left="2685" w:hanging="431"/>
      </w:pPr>
      <w:rPr>
        <w:rFonts w:hint="default"/>
        <w:lang w:val="en-US" w:eastAsia="en-US" w:bidi="ar-SA"/>
      </w:rPr>
    </w:lvl>
    <w:lvl w:ilvl="8" w:tplc="36D29CA4">
      <w:numFmt w:val="bullet"/>
      <w:lvlText w:val="•"/>
      <w:lvlJc w:val="left"/>
      <w:pPr>
        <w:ind w:left="2995" w:hanging="431"/>
      </w:pPr>
      <w:rPr>
        <w:rFonts w:hint="default"/>
        <w:lang w:val="en-US" w:eastAsia="en-US" w:bidi="ar-SA"/>
      </w:rPr>
    </w:lvl>
  </w:abstractNum>
  <w:abstractNum w:abstractNumId="324" w15:restartNumberingAfterBreak="0">
    <w:nsid w:val="593B6F0E"/>
    <w:multiLevelType w:val="hybridMultilevel"/>
    <w:tmpl w:val="4A168584"/>
    <w:lvl w:ilvl="0" w:tplc="7FA6A98A">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B58C6414">
      <w:numFmt w:val="bullet"/>
      <w:lvlText w:val="•"/>
      <w:lvlJc w:val="left"/>
      <w:pPr>
        <w:ind w:left="1566" w:hanging="567"/>
      </w:pPr>
      <w:rPr>
        <w:rFonts w:hint="default"/>
        <w:lang w:val="en-US" w:eastAsia="en-US" w:bidi="ar-SA"/>
      </w:rPr>
    </w:lvl>
    <w:lvl w:ilvl="2" w:tplc="B0B0EEBA">
      <w:numFmt w:val="bullet"/>
      <w:lvlText w:val="•"/>
      <w:lvlJc w:val="left"/>
      <w:pPr>
        <w:ind w:left="2433" w:hanging="567"/>
      </w:pPr>
      <w:rPr>
        <w:rFonts w:hint="default"/>
        <w:lang w:val="en-US" w:eastAsia="en-US" w:bidi="ar-SA"/>
      </w:rPr>
    </w:lvl>
    <w:lvl w:ilvl="3" w:tplc="E79A91AE">
      <w:numFmt w:val="bullet"/>
      <w:lvlText w:val="•"/>
      <w:lvlJc w:val="left"/>
      <w:pPr>
        <w:ind w:left="3299" w:hanging="567"/>
      </w:pPr>
      <w:rPr>
        <w:rFonts w:hint="default"/>
        <w:lang w:val="en-US" w:eastAsia="en-US" w:bidi="ar-SA"/>
      </w:rPr>
    </w:lvl>
    <w:lvl w:ilvl="4" w:tplc="5F3CE6F2">
      <w:numFmt w:val="bullet"/>
      <w:lvlText w:val="•"/>
      <w:lvlJc w:val="left"/>
      <w:pPr>
        <w:ind w:left="4166" w:hanging="567"/>
      </w:pPr>
      <w:rPr>
        <w:rFonts w:hint="default"/>
        <w:lang w:val="en-US" w:eastAsia="en-US" w:bidi="ar-SA"/>
      </w:rPr>
    </w:lvl>
    <w:lvl w:ilvl="5" w:tplc="748EE8A4">
      <w:numFmt w:val="bullet"/>
      <w:lvlText w:val="•"/>
      <w:lvlJc w:val="left"/>
      <w:pPr>
        <w:ind w:left="5033" w:hanging="567"/>
      </w:pPr>
      <w:rPr>
        <w:rFonts w:hint="default"/>
        <w:lang w:val="en-US" w:eastAsia="en-US" w:bidi="ar-SA"/>
      </w:rPr>
    </w:lvl>
    <w:lvl w:ilvl="6" w:tplc="85D48676">
      <w:numFmt w:val="bullet"/>
      <w:lvlText w:val="•"/>
      <w:lvlJc w:val="left"/>
      <w:pPr>
        <w:ind w:left="5899" w:hanging="567"/>
      </w:pPr>
      <w:rPr>
        <w:rFonts w:hint="default"/>
        <w:lang w:val="en-US" w:eastAsia="en-US" w:bidi="ar-SA"/>
      </w:rPr>
    </w:lvl>
    <w:lvl w:ilvl="7" w:tplc="D090CD0A">
      <w:numFmt w:val="bullet"/>
      <w:lvlText w:val="•"/>
      <w:lvlJc w:val="left"/>
      <w:pPr>
        <w:ind w:left="6766" w:hanging="567"/>
      </w:pPr>
      <w:rPr>
        <w:rFonts w:hint="default"/>
        <w:lang w:val="en-US" w:eastAsia="en-US" w:bidi="ar-SA"/>
      </w:rPr>
    </w:lvl>
    <w:lvl w:ilvl="8" w:tplc="74B6EBCE">
      <w:numFmt w:val="bullet"/>
      <w:lvlText w:val="•"/>
      <w:lvlJc w:val="left"/>
      <w:pPr>
        <w:ind w:left="7633" w:hanging="567"/>
      </w:pPr>
      <w:rPr>
        <w:rFonts w:hint="default"/>
        <w:lang w:val="en-US" w:eastAsia="en-US" w:bidi="ar-SA"/>
      </w:rPr>
    </w:lvl>
  </w:abstractNum>
  <w:abstractNum w:abstractNumId="325" w15:restartNumberingAfterBreak="0">
    <w:nsid w:val="59404184"/>
    <w:multiLevelType w:val="hybridMultilevel"/>
    <w:tmpl w:val="DFC07B9E"/>
    <w:lvl w:ilvl="0" w:tplc="D0D61FFC">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5E46224A">
      <w:numFmt w:val="bullet"/>
      <w:lvlText w:val="•"/>
      <w:lvlJc w:val="left"/>
      <w:pPr>
        <w:ind w:left="1566" w:hanging="567"/>
      </w:pPr>
      <w:rPr>
        <w:rFonts w:hint="default"/>
        <w:lang w:val="en-US" w:eastAsia="en-US" w:bidi="ar-SA"/>
      </w:rPr>
    </w:lvl>
    <w:lvl w:ilvl="2" w:tplc="B41415F2">
      <w:numFmt w:val="bullet"/>
      <w:lvlText w:val="•"/>
      <w:lvlJc w:val="left"/>
      <w:pPr>
        <w:ind w:left="2433" w:hanging="567"/>
      </w:pPr>
      <w:rPr>
        <w:rFonts w:hint="default"/>
        <w:lang w:val="en-US" w:eastAsia="en-US" w:bidi="ar-SA"/>
      </w:rPr>
    </w:lvl>
    <w:lvl w:ilvl="3" w:tplc="27D80100">
      <w:numFmt w:val="bullet"/>
      <w:lvlText w:val="•"/>
      <w:lvlJc w:val="left"/>
      <w:pPr>
        <w:ind w:left="3299" w:hanging="567"/>
      </w:pPr>
      <w:rPr>
        <w:rFonts w:hint="default"/>
        <w:lang w:val="en-US" w:eastAsia="en-US" w:bidi="ar-SA"/>
      </w:rPr>
    </w:lvl>
    <w:lvl w:ilvl="4" w:tplc="DA908612">
      <w:numFmt w:val="bullet"/>
      <w:lvlText w:val="•"/>
      <w:lvlJc w:val="left"/>
      <w:pPr>
        <w:ind w:left="4166" w:hanging="567"/>
      </w:pPr>
      <w:rPr>
        <w:rFonts w:hint="default"/>
        <w:lang w:val="en-US" w:eastAsia="en-US" w:bidi="ar-SA"/>
      </w:rPr>
    </w:lvl>
    <w:lvl w:ilvl="5" w:tplc="06CC373E">
      <w:numFmt w:val="bullet"/>
      <w:lvlText w:val="•"/>
      <w:lvlJc w:val="left"/>
      <w:pPr>
        <w:ind w:left="5033" w:hanging="567"/>
      </w:pPr>
      <w:rPr>
        <w:rFonts w:hint="default"/>
        <w:lang w:val="en-US" w:eastAsia="en-US" w:bidi="ar-SA"/>
      </w:rPr>
    </w:lvl>
    <w:lvl w:ilvl="6" w:tplc="B6042644">
      <w:numFmt w:val="bullet"/>
      <w:lvlText w:val="•"/>
      <w:lvlJc w:val="left"/>
      <w:pPr>
        <w:ind w:left="5899" w:hanging="567"/>
      </w:pPr>
      <w:rPr>
        <w:rFonts w:hint="default"/>
        <w:lang w:val="en-US" w:eastAsia="en-US" w:bidi="ar-SA"/>
      </w:rPr>
    </w:lvl>
    <w:lvl w:ilvl="7" w:tplc="815E8A54">
      <w:numFmt w:val="bullet"/>
      <w:lvlText w:val="•"/>
      <w:lvlJc w:val="left"/>
      <w:pPr>
        <w:ind w:left="6766" w:hanging="567"/>
      </w:pPr>
      <w:rPr>
        <w:rFonts w:hint="default"/>
        <w:lang w:val="en-US" w:eastAsia="en-US" w:bidi="ar-SA"/>
      </w:rPr>
    </w:lvl>
    <w:lvl w:ilvl="8" w:tplc="48C049A0">
      <w:numFmt w:val="bullet"/>
      <w:lvlText w:val="•"/>
      <w:lvlJc w:val="left"/>
      <w:pPr>
        <w:ind w:left="7633" w:hanging="567"/>
      </w:pPr>
      <w:rPr>
        <w:rFonts w:hint="default"/>
        <w:lang w:val="en-US" w:eastAsia="en-US" w:bidi="ar-SA"/>
      </w:rPr>
    </w:lvl>
  </w:abstractNum>
  <w:abstractNum w:abstractNumId="326" w15:restartNumberingAfterBreak="0">
    <w:nsid w:val="59CC3BC1"/>
    <w:multiLevelType w:val="hybridMultilevel"/>
    <w:tmpl w:val="B49659BE"/>
    <w:lvl w:ilvl="0" w:tplc="21E46BCE">
      <w:start w:val="1"/>
      <w:numFmt w:val="lowerRoman"/>
      <w:lvlText w:val="(%1)"/>
      <w:lvlJc w:val="left"/>
      <w:pPr>
        <w:ind w:left="1842" w:hanging="569"/>
      </w:pPr>
      <w:rPr>
        <w:rFonts w:ascii="Arial" w:eastAsia="Calibri" w:hAnsi="Arial" w:cs="Arial" w:hint="default"/>
        <w:spacing w:val="-1"/>
        <w:w w:val="100"/>
        <w:sz w:val="20"/>
        <w:szCs w:val="22"/>
        <w:lang w:val="en-US" w:eastAsia="en-US" w:bidi="ar-SA"/>
      </w:rPr>
    </w:lvl>
    <w:lvl w:ilvl="1" w:tplc="5F2233BA">
      <w:start w:val="1"/>
      <w:numFmt w:val="upperLetter"/>
      <w:lvlText w:val="(%2)"/>
      <w:lvlJc w:val="left"/>
      <w:pPr>
        <w:ind w:left="2408" w:hanging="567"/>
      </w:pPr>
      <w:rPr>
        <w:rFonts w:ascii="Arial" w:eastAsia="Calibri" w:hAnsi="Arial" w:cs="Arial" w:hint="default"/>
        <w:spacing w:val="-1"/>
        <w:w w:val="100"/>
        <w:sz w:val="20"/>
        <w:szCs w:val="22"/>
        <w:lang w:val="en-US" w:eastAsia="en-US" w:bidi="ar-SA"/>
      </w:rPr>
    </w:lvl>
    <w:lvl w:ilvl="2" w:tplc="C62E7DF4">
      <w:numFmt w:val="bullet"/>
      <w:lvlText w:val="•"/>
      <w:lvlJc w:val="left"/>
      <w:pPr>
        <w:ind w:left="3174" w:hanging="567"/>
      </w:pPr>
      <w:rPr>
        <w:rFonts w:hint="default"/>
        <w:lang w:val="en-US" w:eastAsia="en-US" w:bidi="ar-SA"/>
      </w:rPr>
    </w:lvl>
    <w:lvl w:ilvl="3" w:tplc="9394247C">
      <w:numFmt w:val="bullet"/>
      <w:lvlText w:val="•"/>
      <w:lvlJc w:val="left"/>
      <w:pPr>
        <w:ind w:left="3948" w:hanging="567"/>
      </w:pPr>
      <w:rPr>
        <w:rFonts w:hint="default"/>
        <w:lang w:val="en-US" w:eastAsia="en-US" w:bidi="ar-SA"/>
      </w:rPr>
    </w:lvl>
    <w:lvl w:ilvl="4" w:tplc="0D62DC7E">
      <w:numFmt w:val="bullet"/>
      <w:lvlText w:val="•"/>
      <w:lvlJc w:val="left"/>
      <w:pPr>
        <w:ind w:left="4722" w:hanging="567"/>
      </w:pPr>
      <w:rPr>
        <w:rFonts w:hint="default"/>
        <w:lang w:val="en-US" w:eastAsia="en-US" w:bidi="ar-SA"/>
      </w:rPr>
    </w:lvl>
    <w:lvl w:ilvl="5" w:tplc="5316E726">
      <w:numFmt w:val="bullet"/>
      <w:lvlText w:val="•"/>
      <w:lvlJc w:val="left"/>
      <w:pPr>
        <w:ind w:left="5496" w:hanging="567"/>
      </w:pPr>
      <w:rPr>
        <w:rFonts w:hint="default"/>
        <w:lang w:val="en-US" w:eastAsia="en-US" w:bidi="ar-SA"/>
      </w:rPr>
    </w:lvl>
    <w:lvl w:ilvl="6" w:tplc="3A846C36">
      <w:numFmt w:val="bullet"/>
      <w:lvlText w:val="•"/>
      <w:lvlJc w:val="left"/>
      <w:pPr>
        <w:ind w:left="6270" w:hanging="567"/>
      </w:pPr>
      <w:rPr>
        <w:rFonts w:hint="default"/>
        <w:lang w:val="en-US" w:eastAsia="en-US" w:bidi="ar-SA"/>
      </w:rPr>
    </w:lvl>
    <w:lvl w:ilvl="7" w:tplc="B142AAC8">
      <w:numFmt w:val="bullet"/>
      <w:lvlText w:val="•"/>
      <w:lvlJc w:val="left"/>
      <w:pPr>
        <w:ind w:left="7044" w:hanging="567"/>
      </w:pPr>
      <w:rPr>
        <w:rFonts w:hint="default"/>
        <w:lang w:val="en-US" w:eastAsia="en-US" w:bidi="ar-SA"/>
      </w:rPr>
    </w:lvl>
    <w:lvl w:ilvl="8" w:tplc="603064C0">
      <w:numFmt w:val="bullet"/>
      <w:lvlText w:val="•"/>
      <w:lvlJc w:val="left"/>
      <w:pPr>
        <w:ind w:left="7818" w:hanging="567"/>
      </w:pPr>
      <w:rPr>
        <w:rFonts w:hint="default"/>
        <w:lang w:val="en-US" w:eastAsia="en-US" w:bidi="ar-SA"/>
      </w:rPr>
    </w:lvl>
  </w:abstractNum>
  <w:abstractNum w:abstractNumId="327" w15:restartNumberingAfterBreak="0">
    <w:nsid w:val="59DF0BCA"/>
    <w:multiLevelType w:val="hybridMultilevel"/>
    <w:tmpl w:val="B8342D3C"/>
    <w:lvl w:ilvl="0" w:tplc="1A3244FA">
      <w:start w:val="1"/>
      <w:numFmt w:val="lowerLetter"/>
      <w:lvlText w:val="(%1)"/>
      <w:lvlJc w:val="left"/>
      <w:pPr>
        <w:ind w:left="2408" w:hanging="567"/>
      </w:pPr>
      <w:rPr>
        <w:rFonts w:ascii="Arial" w:eastAsia="Calibri" w:hAnsi="Arial" w:cs="Arial" w:hint="default"/>
        <w:spacing w:val="-1"/>
        <w:w w:val="100"/>
        <w:sz w:val="20"/>
        <w:szCs w:val="22"/>
        <w:lang w:val="en-US" w:eastAsia="en-US" w:bidi="ar-SA"/>
      </w:rPr>
    </w:lvl>
    <w:lvl w:ilvl="1" w:tplc="B5CA78BE">
      <w:start w:val="1"/>
      <w:numFmt w:val="decimal"/>
      <w:lvlText w:val="(%2)"/>
      <w:lvlJc w:val="left"/>
      <w:pPr>
        <w:ind w:left="2975" w:hanging="567"/>
      </w:pPr>
      <w:rPr>
        <w:rFonts w:ascii="Arial" w:eastAsia="Calibri" w:hAnsi="Arial" w:cs="Arial" w:hint="default"/>
        <w:spacing w:val="-1"/>
        <w:w w:val="100"/>
        <w:sz w:val="20"/>
        <w:szCs w:val="22"/>
        <w:lang w:val="en-US" w:eastAsia="en-US" w:bidi="ar-SA"/>
      </w:rPr>
    </w:lvl>
    <w:lvl w:ilvl="2" w:tplc="D78E159E">
      <w:numFmt w:val="bullet"/>
      <w:lvlText w:val="•"/>
      <w:lvlJc w:val="left"/>
      <w:pPr>
        <w:ind w:left="3689" w:hanging="567"/>
      </w:pPr>
      <w:rPr>
        <w:rFonts w:hint="default"/>
        <w:lang w:val="en-US" w:eastAsia="en-US" w:bidi="ar-SA"/>
      </w:rPr>
    </w:lvl>
    <w:lvl w:ilvl="3" w:tplc="9724DA1C">
      <w:numFmt w:val="bullet"/>
      <w:lvlText w:val="•"/>
      <w:lvlJc w:val="left"/>
      <w:pPr>
        <w:ind w:left="4399" w:hanging="567"/>
      </w:pPr>
      <w:rPr>
        <w:rFonts w:hint="default"/>
        <w:lang w:val="en-US" w:eastAsia="en-US" w:bidi="ar-SA"/>
      </w:rPr>
    </w:lvl>
    <w:lvl w:ilvl="4" w:tplc="F1BAF452">
      <w:numFmt w:val="bullet"/>
      <w:lvlText w:val="•"/>
      <w:lvlJc w:val="left"/>
      <w:pPr>
        <w:ind w:left="5108" w:hanging="567"/>
      </w:pPr>
      <w:rPr>
        <w:rFonts w:hint="default"/>
        <w:lang w:val="en-US" w:eastAsia="en-US" w:bidi="ar-SA"/>
      </w:rPr>
    </w:lvl>
    <w:lvl w:ilvl="5" w:tplc="A8F8DAAE">
      <w:numFmt w:val="bullet"/>
      <w:lvlText w:val="•"/>
      <w:lvlJc w:val="left"/>
      <w:pPr>
        <w:ind w:left="5818" w:hanging="567"/>
      </w:pPr>
      <w:rPr>
        <w:rFonts w:hint="default"/>
        <w:lang w:val="en-US" w:eastAsia="en-US" w:bidi="ar-SA"/>
      </w:rPr>
    </w:lvl>
    <w:lvl w:ilvl="6" w:tplc="D61A2CCA">
      <w:numFmt w:val="bullet"/>
      <w:lvlText w:val="•"/>
      <w:lvlJc w:val="left"/>
      <w:pPr>
        <w:ind w:left="6528" w:hanging="567"/>
      </w:pPr>
      <w:rPr>
        <w:rFonts w:hint="default"/>
        <w:lang w:val="en-US" w:eastAsia="en-US" w:bidi="ar-SA"/>
      </w:rPr>
    </w:lvl>
    <w:lvl w:ilvl="7" w:tplc="B6AA512C">
      <w:numFmt w:val="bullet"/>
      <w:lvlText w:val="•"/>
      <w:lvlJc w:val="left"/>
      <w:pPr>
        <w:ind w:left="7237" w:hanging="567"/>
      </w:pPr>
      <w:rPr>
        <w:rFonts w:hint="default"/>
        <w:lang w:val="en-US" w:eastAsia="en-US" w:bidi="ar-SA"/>
      </w:rPr>
    </w:lvl>
    <w:lvl w:ilvl="8" w:tplc="8A767420">
      <w:numFmt w:val="bullet"/>
      <w:lvlText w:val="•"/>
      <w:lvlJc w:val="left"/>
      <w:pPr>
        <w:ind w:left="7947" w:hanging="567"/>
      </w:pPr>
      <w:rPr>
        <w:rFonts w:hint="default"/>
        <w:lang w:val="en-US" w:eastAsia="en-US" w:bidi="ar-SA"/>
      </w:rPr>
    </w:lvl>
  </w:abstractNum>
  <w:abstractNum w:abstractNumId="328" w15:restartNumberingAfterBreak="0">
    <w:nsid w:val="5A7C232F"/>
    <w:multiLevelType w:val="hybridMultilevel"/>
    <w:tmpl w:val="13C010CA"/>
    <w:lvl w:ilvl="0" w:tplc="CD80582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ADC655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1B2266EE">
      <w:numFmt w:val="bullet"/>
      <w:lvlText w:val="•"/>
      <w:lvlJc w:val="left"/>
      <w:pPr>
        <w:ind w:left="2178" w:hanging="567"/>
      </w:pPr>
      <w:rPr>
        <w:lang w:val="en-US" w:eastAsia="en-US" w:bidi="ar-SA"/>
      </w:rPr>
    </w:lvl>
    <w:lvl w:ilvl="3" w:tplc="45BE0660">
      <w:numFmt w:val="bullet"/>
      <w:lvlText w:val="•"/>
      <w:lvlJc w:val="left"/>
      <w:pPr>
        <w:ind w:left="3076" w:hanging="567"/>
      </w:pPr>
      <w:rPr>
        <w:lang w:val="en-US" w:eastAsia="en-US" w:bidi="ar-SA"/>
      </w:rPr>
    </w:lvl>
    <w:lvl w:ilvl="4" w:tplc="EF4E30C8">
      <w:numFmt w:val="bullet"/>
      <w:lvlText w:val="•"/>
      <w:lvlJc w:val="left"/>
      <w:pPr>
        <w:ind w:left="3975" w:hanging="567"/>
      </w:pPr>
      <w:rPr>
        <w:lang w:val="en-US" w:eastAsia="en-US" w:bidi="ar-SA"/>
      </w:rPr>
    </w:lvl>
    <w:lvl w:ilvl="5" w:tplc="E8CECEAA">
      <w:numFmt w:val="bullet"/>
      <w:lvlText w:val="•"/>
      <w:lvlJc w:val="left"/>
      <w:pPr>
        <w:ind w:left="4873" w:hanging="567"/>
      </w:pPr>
      <w:rPr>
        <w:lang w:val="en-US" w:eastAsia="en-US" w:bidi="ar-SA"/>
      </w:rPr>
    </w:lvl>
    <w:lvl w:ilvl="6" w:tplc="D8024D6C">
      <w:numFmt w:val="bullet"/>
      <w:lvlText w:val="•"/>
      <w:lvlJc w:val="left"/>
      <w:pPr>
        <w:ind w:left="5772" w:hanging="567"/>
      </w:pPr>
      <w:rPr>
        <w:lang w:val="en-US" w:eastAsia="en-US" w:bidi="ar-SA"/>
      </w:rPr>
    </w:lvl>
    <w:lvl w:ilvl="7" w:tplc="7E1A1F06">
      <w:numFmt w:val="bullet"/>
      <w:lvlText w:val="•"/>
      <w:lvlJc w:val="left"/>
      <w:pPr>
        <w:ind w:left="6670" w:hanging="567"/>
      </w:pPr>
      <w:rPr>
        <w:lang w:val="en-US" w:eastAsia="en-US" w:bidi="ar-SA"/>
      </w:rPr>
    </w:lvl>
    <w:lvl w:ilvl="8" w:tplc="78D2843C">
      <w:numFmt w:val="bullet"/>
      <w:lvlText w:val="•"/>
      <w:lvlJc w:val="left"/>
      <w:pPr>
        <w:ind w:left="7569" w:hanging="567"/>
      </w:pPr>
      <w:rPr>
        <w:lang w:val="en-US" w:eastAsia="en-US" w:bidi="ar-SA"/>
      </w:rPr>
    </w:lvl>
  </w:abstractNum>
  <w:abstractNum w:abstractNumId="329" w15:restartNumberingAfterBreak="0">
    <w:nsid w:val="5AEA0D41"/>
    <w:multiLevelType w:val="hybridMultilevel"/>
    <w:tmpl w:val="C7EA1602"/>
    <w:lvl w:ilvl="0" w:tplc="CB32DFAE">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D2F8F016">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ACC828E2">
      <w:numFmt w:val="bullet"/>
      <w:lvlText w:val="•"/>
      <w:lvlJc w:val="left"/>
      <w:pPr>
        <w:ind w:left="2178" w:hanging="567"/>
      </w:pPr>
      <w:rPr>
        <w:rFonts w:hint="default"/>
        <w:lang w:val="en-US" w:eastAsia="en-US" w:bidi="ar-SA"/>
      </w:rPr>
    </w:lvl>
    <w:lvl w:ilvl="3" w:tplc="C33E9268">
      <w:numFmt w:val="bullet"/>
      <w:lvlText w:val="•"/>
      <w:lvlJc w:val="left"/>
      <w:pPr>
        <w:ind w:left="3076" w:hanging="567"/>
      </w:pPr>
      <w:rPr>
        <w:rFonts w:hint="default"/>
        <w:lang w:val="en-US" w:eastAsia="en-US" w:bidi="ar-SA"/>
      </w:rPr>
    </w:lvl>
    <w:lvl w:ilvl="4" w:tplc="05363E20">
      <w:numFmt w:val="bullet"/>
      <w:lvlText w:val="•"/>
      <w:lvlJc w:val="left"/>
      <w:pPr>
        <w:ind w:left="3975" w:hanging="567"/>
      </w:pPr>
      <w:rPr>
        <w:rFonts w:hint="default"/>
        <w:lang w:val="en-US" w:eastAsia="en-US" w:bidi="ar-SA"/>
      </w:rPr>
    </w:lvl>
    <w:lvl w:ilvl="5" w:tplc="BD8E6BCA">
      <w:numFmt w:val="bullet"/>
      <w:lvlText w:val="•"/>
      <w:lvlJc w:val="left"/>
      <w:pPr>
        <w:ind w:left="4873" w:hanging="567"/>
      </w:pPr>
      <w:rPr>
        <w:rFonts w:hint="default"/>
        <w:lang w:val="en-US" w:eastAsia="en-US" w:bidi="ar-SA"/>
      </w:rPr>
    </w:lvl>
    <w:lvl w:ilvl="6" w:tplc="8D883CBE">
      <w:numFmt w:val="bullet"/>
      <w:lvlText w:val="•"/>
      <w:lvlJc w:val="left"/>
      <w:pPr>
        <w:ind w:left="5772" w:hanging="567"/>
      </w:pPr>
      <w:rPr>
        <w:rFonts w:hint="default"/>
        <w:lang w:val="en-US" w:eastAsia="en-US" w:bidi="ar-SA"/>
      </w:rPr>
    </w:lvl>
    <w:lvl w:ilvl="7" w:tplc="C9BA69BA">
      <w:numFmt w:val="bullet"/>
      <w:lvlText w:val="•"/>
      <w:lvlJc w:val="left"/>
      <w:pPr>
        <w:ind w:left="6670" w:hanging="567"/>
      </w:pPr>
      <w:rPr>
        <w:rFonts w:hint="default"/>
        <w:lang w:val="en-US" w:eastAsia="en-US" w:bidi="ar-SA"/>
      </w:rPr>
    </w:lvl>
    <w:lvl w:ilvl="8" w:tplc="7B8AC78C">
      <w:numFmt w:val="bullet"/>
      <w:lvlText w:val="•"/>
      <w:lvlJc w:val="left"/>
      <w:pPr>
        <w:ind w:left="7569" w:hanging="567"/>
      </w:pPr>
      <w:rPr>
        <w:rFonts w:hint="default"/>
        <w:lang w:val="en-US" w:eastAsia="en-US" w:bidi="ar-SA"/>
      </w:rPr>
    </w:lvl>
  </w:abstractNum>
  <w:abstractNum w:abstractNumId="330" w15:restartNumberingAfterBreak="0">
    <w:nsid w:val="5B1D3399"/>
    <w:multiLevelType w:val="hybridMultilevel"/>
    <w:tmpl w:val="61F42746"/>
    <w:lvl w:ilvl="0" w:tplc="EB9EBE8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F20E8254">
      <w:numFmt w:val="bullet"/>
      <w:lvlText w:val="•"/>
      <w:lvlJc w:val="left"/>
      <w:pPr>
        <w:ind w:left="1566" w:hanging="567"/>
      </w:pPr>
      <w:rPr>
        <w:rFonts w:hint="default"/>
        <w:lang w:val="en-US" w:eastAsia="en-US" w:bidi="ar-SA"/>
      </w:rPr>
    </w:lvl>
    <w:lvl w:ilvl="2" w:tplc="449EEA00">
      <w:numFmt w:val="bullet"/>
      <w:lvlText w:val="•"/>
      <w:lvlJc w:val="left"/>
      <w:pPr>
        <w:ind w:left="2433" w:hanging="567"/>
      </w:pPr>
      <w:rPr>
        <w:rFonts w:hint="default"/>
        <w:lang w:val="en-US" w:eastAsia="en-US" w:bidi="ar-SA"/>
      </w:rPr>
    </w:lvl>
    <w:lvl w:ilvl="3" w:tplc="BEF8C1BE">
      <w:numFmt w:val="bullet"/>
      <w:lvlText w:val="•"/>
      <w:lvlJc w:val="left"/>
      <w:pPr>
        <w:ind w:left="3299" w:hanging="567"/>
      </w:pPr>
      <w:rPr>
        <w:rFonts w:hint="default"/>
        <w:lang w:val="en-US" w:eastAsia="en-US" w:bidi="ar-SA"/>
      </w:rPr>
    </w:lvl>
    <w:lvl w:ilvl="4" w:tplc="14BE1AB8">
      <w:numFmt w:val="bullet"/>
      <w:lvlText w:val="•"/>
      <w:lvlJc w:val="left"/>
      <w:pPr>
        <w:ind w:left="4166" w:hanging="567"/>
      </w:pPr>
      <w:rPr>
        <w:rFonts w:hint="default"/>
        <w:lang w:val="en-US" w:eastAsia="en-US" w:bidi="ar-SA"/>
      </w:rPr>
    </w:lvl>
    <w:lvl w:ilvl="5" w:tplc="856870C4">
      <w:numFmt w:val="bullet"/>
      <w:lvlText w:val="•"/>
      <w:lvlJc w:val="left"/>
      <w:pPr>
        <w:ind w:left="5033" w:hanging="567"/>
      </w:pPr>
      <w:rPr>
        <w:rFonts w:hint="default"/>
        <w:lang w:val="en-US" w:eastAsia="en-US" w:bidi="ar-SA"/>
      </w:rPr>
    </w:lvl>
    <w:lvl w:ilvl="6" w:tplc="AFE4636C">
      <w:numFmt w:val="bullet"/>
      <w:lvlText w:val="•"/>
      <w:lvlJc w:val="left"/>
      <w:pPr>
        <w:ind w:left="5899" w:hanging="567"/>
      </w:pPr>
      <w:rPr>
        <w:rFonts w:hint="default"/>
        <w:lang w:val="en-US" w:eastAsia="en-US" w:bidi="ar-SA"/>
      </w:rPr>
    </w:lvl>
    <w:lvl w:ilvl="7" w:tplc="BA5CD050">
      <w:numFmt w:val="bullet"/>
      <w:lvlText w:val="•"/>
      <w:lvlJc w:val="left"/>
      <w:pPr>
        <w:ind w:left="6766" w:hanging="567"/>
      </w:pPr>
      <w:rPr>
        <w:rFonts w:hint="default"/>
        <w:lang w:val="en-US" w:eastAsia="en-US" w:bidi="ar-SA"/>
      </w:rPr>
    </w:lvl>
    <w:lvl w:ilvl="8" w:tplc="3410CC88">
      <w:numFmt w:val="bullet"/>
      <w:lvlText w:val="•"/>
      <w:lvlJc w:val="left"/>
      <w:pPr>
        <w:ind w:left="7633" w:hanging="567"/>
      </w:pPr>
      <w:rPr>
        <w:rFonts w:hint="default"/>
        <w:lang w:val="en-US" w:eastAsia="en-US" w:bidi="ar-SA"/>
      </w:rPr>
    </w:lvl>
  </w:abstractNum>
  <w:abstractNum w:abstractNumId="331" w15:restartNumberingAfterBreak="0">
    <w:nsid w:val="5B4249CA"/>
    <w:multiLevelType w:val="hybridMultilevel"/>
    <w:tmpl w:val="0570EF9E"/>
    <w:lvl w:ilvl="0" w:tplc="3376C01C">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6AE8B828">
      <w:numFmt w:val="bullet"/>
      <w:lvlText w:val="•"/>
      <w:lvlJc w:val="left"/>
      <w:pPr>
        <w:ind w:left="1566" w:hanging="567"/>
      </w:pPr>
      <w:rPr>
        <w:rFonts w:hint="default"/>
        <w:lang w:val="en-US" w:eastAsia="en-US" w:bidi="ar-SA"/>
      </w:rPr>
    </w:lvl>
    <w:lvl w:ilvl="2" w:tplc="7B70F336">
      <w:numFmt w:val="bullet"/>
      <w:lvlText w:val="•"/>
      <w:lvlJc w:val="left"/>
      <w:pPr>
        <w:ind w:left="2433" w:hanging="567"/>
      </w:pPr>
      <w:rPr>
        <w:rFonts w:hint="default"/>
        <w:lang w:val="en-US" w:eastAsia="en-US" w:bidi="ar-SA"/>
      </w:rPr>
    </w:lvl>
    <w:lvl w:ilvl="3" w:tplc="1BB42562">
      <w:numFmt w:val="bullet"/>
      <w:lvlText w:val="•"/>
      <w:lvlJc w:val="left"/>
      <w:pPr>
        <w:ind w:left="3299" w:hanging="567"/>
      </w:pPr>
      <w:rPr>
        <w:rFonts w:hint="default"/>
        <w:lang w:val="en-US" w:eastAsia="en-US" w:bidi="ar-SA"/>
      </w:rPr>
    </w:lvl>
    <w:lvl w:ilvl="4" w:tplc="69346E40">
      <w:numFmt w:val="bullet"/>
      <w:lvlText w:val="•"/>
      <w:lvlJc w:val="left"/>
      <w:pPr>
        <w:ind w:left="4166" w:hanging="567"/>
      </w:pPr>
      <w:rPr>
        <w:rFonts w:hint="default"/>
        <w:lang w:val="en-US" w:eastAsia="en-US" w:bidi="ar-SA"/>
      </w:rPr>
    </w:lvl>
    <w:lvl w:ilvl="5" w:tplc="1FD45546">
      <w:numFmt w:val="bullet"/>
      <w:lvlText w:val="•"/>
      <w:lvlJc w:val="left"/>
      <w:pPr>
        <w:ind w:left="5033" w:hanging="567"/>
      </w:pPr>
      <w:rPr>
        <w:rFonts w:hint="default"/>
        <w:lang w:val="en-US" w:eastAsia="en-US" w:bidi="ar-SA"/>
      </w:rPr>
    </w:lvl>
    <w:lvl w:ilvl="6" w:tplc="C35AD366">
      <w:numFmt w:val="bullet"/>
      <w:lvlText w:val="•"/>
      <w:lvlJc w:val="left"/>
      <w:pPr>
        <w:ind w:left="5899" w:hanging="567"/>
      </w:pPr>
      <w:rPr>
        <w:rFonts w:hint="default"/>
        <w:lang w:val="en-US" w:eastAsia="en-US" w:bidi="ar-SA"/>
      </w:rPr>
    </w:lvl>
    <w:lvl w:ilvl="7" w:tplc="6E6E1252">
      <w:numFmt w:val="bullet"/>
      <w:lvlText w:val="•"/>
      <w:lvlJc w:val="left"/>
      <w:pPr>
        <w:ind w:left="6766" w:hanging="567"/>
      </w:pPr>
      <w:rPr>
        <w:rFonts w:hint="default"/>
        <w:lang w:val="en-US" w:eastAsia="en-US" w:bidi="ar-SA"/>
      </w:rPr>
    </w:lvl>
    <w:lvl w:ilvl="8" w:tplc="3CE4760E">
      <w:numFmt w:val="bullet"/>
      <w:lvlText w:val="•"/>
      <w:lvlJc w:val="left"/>
      <w:pPr>
        <w:ind w:left="7633" w:hanging="567"/>
      </w:pPr>
      <w:rPr>
        <w:rFonts w:hint="default"/>
        <w:lang w:val="en-US" w:eastAsia="en-US" w:bidi="ar-SA"/>
      </w:rPr>
    </w:lvl>
  </w:abstractNum>
  <w:abstractNum w:abstractNumId="332" w15:restartNumberingAfterBreak="0">
    <w:nsid w:val="5B854A3B"/>
    <w:multiLevelType w:val="hybridMultilevel"/>
    <w:tmpl w:val="68BC84F0"/>
    <w:lvl w:ilvl="0" w:tplc="C56A309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50B22B48">
      <w:start w:val="1"/>
      <w:numFmt w:val="decimal"/>
      <w:lvlText w:val="(%2)"/>
      <w:lvlJc w:val="left"/>
      <w:pPr>
        <w:ind w:left="1273" w:hanging="567"/>
      </w:pPr>
      <w:rPr>
        <w:rFonts w:ascii="Arial" w:eastAsia="Calibri" w:hAnsi="Arial" w:cs="Arial" w:hint="default"/>
        <w:b w:val="0"/>
        <w:spacing w:val="-1"/>
        <w:w w:val="100"/>
        <w:sz w:val="20"/>
        <w:szCs w:val="22"/>
        <w:lang w:val="en-US" w:eastAsia="en-US" w:bidi="ar-SA"/>
      </w:rPr>
    </w:lvl>
    <w:lvl w:ilvl="2" w:tplc="EE70DC64">
      <w:numFmt w:val="bullet"/>
      <w:lvlText w:val="•"/>
      <w:lvlJc w:val="left"/>
      <w:pPr>
        <w:ind w:left="2178" w:hanging="567"/>
      </w:pPr>
      <w:rPr>
        <w:lang w:val="en-US" w:eastAsia="en-US" w:bidi="ar-SA"/>
      </w:rPr>
    </w:lvl>
    <w:lvl w:ilvl="3" w:tplc="A14A165A">
      <w:numFmt w:val="bullet"/>
      <w:lvlText w:val="•"/>
      <w:lvlJc w:val="left"/>
      <w:pPr>
        <w:ind w:left="3076" w:hanging="567"/>
      </w:pPr>
      <w:rPr>
        <w:lang w:val="en-US" w:eastAsia="en-US" w:bidi="ar-SA"/>
      </w:rPr>
    </w:lvl>
    <w:lvl w:ilvl="4" w:tplc="E84EA244">
      <w:numFmt w:val="bullet"/>
      <w:lvlText w:val="•"/>
      <w:lvlJc w:val="left"/>
      <w:pPr>
        <w:ind w:left="3975" w:hanging="567"/>
      </w:pPr>
      <w:rPr>
        <w:lang w:val="en-US" w:eastAsia="en-US" w:bidi="ar-SA"/>
      </w:rPr>
    </w:lvl>
    <w:lvl w:ilvl="5" w:tplc="9BBE6E32">
      <w:numFmt w:val="bullet"/>
      <w:lvlText w:val="•"/>
      <w:lvlJc w:val="left"/>
      <w:pPr>
        <w:ind w:left="4873" w:hanging="567"/>
      </w:pPr>
      <w:rPr>
        <w:lang w:val="en-US" w:eastAsia="en-US" w:bidi="ar-SA"/>
      </w:rPr>
    </w:lvl>
    <w:lvl w:ilvl="6" w:tplc="D11A524C">
      <w:numFmt w:val="bullet"/>
      <w:lvlText w:val="•"/>
      <w:lvlJc w:val="left"/>
      <w:pPr>
        <w:ind w:left="5772" w:hanging="567"/>
      </w:pPr>
      <w:rPr>
        <w:lang w:val="en-US" w:eastAsia="en-US" w:bidi="ar-SA"/>
      </w:rPr>
    </w:lvl>
    <w:lvl w:ilvl="7" w:tplc="9FA052AC">
      <w:numFmt w:val="bullet"/>
      <w:lvlText w:val="•"/>
      <w:lvlJc w:val="left"/>
      <w:pPr>
        <w:ind w:left="6670" w:hanging="567"/>
      </w:pPr>
      <w:rPr>
        <w:lang w:val="en-US" w:eastAsia="en-US" w:bidi="ar-SA"/>
      </w:rPr>
    </w:lvl>
    <w:lvl w:ilvl="8" w:tplc="2AE63C1A">
      <w:numFmt w:val="bullet"/>
      <w:lvlText w:val="•"/>
      <w:lvlJc w:val="left"/>
      <w:pPr>
        <w:ind w:left="7569" w:hanging="567"/>
      </w:pPr>
      <w:rPr>
        <w:lang w:val="en-US" w:eastAsia="en-US" w:bidi="ar-SA"/>
      </w:rPr>
    </w:lvl>
  </w:abstractNum>
  <w:abstractNum w:abstractNumId="333" w15:restartNumberingAfterBreak="0">
    <w:nsid w:val="5B8D7227"/>
    <w:multiLevelType w:val="hybridMultilevel"/>
    <w:tmpl w:val="FB5A3FA6"/>
    <w:lvl w:ilvl="0" w:tplc="CD80582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ADC655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1B2266EE">
      <w:numFmt w:val="bullet"/>
      <w:lvlText w:val="•"/>
      <w:lvlJc w:val="left"/>
      <w:pPr>
        <w:ind w:left="2178" w:hanging="567"/>
      </w:pPr>
      <w:rPr>
        <w:lang w:val="en-US" w:eastAsia="en-US" w:bidi="ar-SA"/>
      </w:rPr>
    </w:lvl>
    <w:lvl w:ilvl="3" w:tplc="45BE0660">
      <w:numFmt w:val="bullet"/>
      <w:lvlText w:val="•"/>
      <w:lvlJc w:val="left"/>
      <w:pPr>
        <w:ind w:left="3076" w:hanging="567"/>
      </w:pPr>
      <w:rPr>
        <w:lang w:val="en-US" w:eastAsia="en-US" w:bidi="ar-SA"/>
      </w:rPr>
    </w:lvl>
    <w:lvl w:ilvl="4" w:tplc="EF4E30C8">
      <w:numFmt w:val="bullet"/>
      <w:lvlText w:val="•"/>
      <w:lvlJc w:val="left"/>
      <w:pPr>
        <w:ind w:left="3975" w:hanging="567"/>
      </w:pPr>
      <w:rPr>
        <w:lang w:val="en-US" w:eastAsia="en-US" w:bidi="ar-SA"/>
      </w:rPr>
    </w:lvl>
    <w:lvl w:ilvl="5" w:tplc="E8CECEAA">
      <w:numFmt w:val="bullet"/>
      <w:lvlText w:val="•"/>
      <w:lvlJc w:val="left"/>
      <w:pPr>
        <w:ind w:left="4873" w:hanging="567"/>
      </w:pPr>
      <w:rPr>
        <w:lang w:val="en-US" w:eastAsia="en-US" w:bidi="ar-SA"/>
      </w:rPr>
    </w:lvl>
    <w:lvl w:ilvl="6" w:tplc="D8024D6C">
      <w:numFmt w:val="bullet"/>
      <w:lvlText w:val="•"/>
      <w:lvlJc w:val="left"/>
      <w:pPr>
        <w:ind w:left="5772" w:hanging="567"/>
      </w:pPr>
      <w:rPr>
        <w:lang w:val="en-US" w:eastAsia="en-US" w:bidi="ar-SA"/>
      </w:rPr>
    </w:lvl>
    <w:lvl w:ilvl="7" w:tplc="7E1A1F06">
      <w:numFmt w:val="bullet"/>
      <w:lvlText w:val="•"/>
      <w:lvlJc w:val="left"/>
      <w:pPr>
        <w:ind w:left="6670" w:hanging="567"/>
      </w:pPr>
      <w:rPr>
        <w:lang w:val="en-US" w:eastAsia="en-US" w:bidi="ar-SA"/>
      </w:rPr>
    </w:lvl>
    <w:lvl w:ilvl="8" w:tplc="78D2843C">
      <w:numFmt w:val="bullet"/>
      <w:lvlText w:val="•"/>
      <w:lvlJc w:val="left"/>
      <w:pPr>
        <w:ind w:left="7569" w:hanging="567"/>
      </w:pPr>
      <w:rPr>
        <w:lang w:val="en-US" w:eastAsia="en-US" w:bidi="ar-SA"/>
      </w:rPr>
    </w:lvl>
  </w:abstractNum>
  <w:abstractNum w:abstractNumId="334" w15:restartNumberingAfterBreak="0">
    <w:nsid w:val="5BE1030E"/>
    <w:multiLevelType w:val="hybridMultilevel"/>
    <w:tmpl w:val="7A6033B6"/>
    <w:lvl w:ilvl="0" w:tplc="3F2E25BE">
      <w:start w:val="1"/>
      <w:numFmt w:val="decimal"/>
      <w:lvlText w:val="(%1)"/>
      <w:lvlJc w:val="left"/>
      <w:pPr>
        <w:ind w:left="1273" w:hanging="567"/>
      </w:pPr>
      <w:rPr>
        <w:rFonts w:ascii="Arial" w:eastAsia="Calibri" w:hAnsi="Arial" w:cs="Arial" w:hint="default"/>
        <w:spacing w:val="-1"/>
        <w:w w:val="100"/>
        <w:sz w:val="20"/>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5" w15:restartNumberingAfterBreak="0">
    <w:nsid w:val="5BF749A3"/>
    <w:multiLevelType w:val="hybridMultilevel"/>
    <w:tmpl w:val="660413D2"/>
    <w:lvl w:ilvl="0" w:tplc="CD80582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ADC655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1B2266EE">
      <w:numFmt w:val="bullet"/>
      <w:lvlText w:val="•"/>
      <w:lvlJc w:val="left"/>
      <w:pPr>
        <w:ind w:left="2178" w:hanging="567"/>
      </w:pPr>
      <w:rPr>
        <w:lang w:val="en-US" w:eastAsia="en-US" w:bidi="ar-SA"/>
      </w:rPr>
    </w:lvl>
    <w:lvl w:ilvl="3" w:tplc="45BE0660">
      <w:numFmt w:val="bullet"/>
      <w:lvlText w:val="•"/>
      <w:lvlJc w:val="left"/>
      <w:pPr>
        <w:ind w:left="3076" w:hanging="567"/>
      </w:pPr>
      <w:rPr>
        <w:lang w:val="en-US" w:eastAsia="en-US" w:bidi="ar-SA"/>
      </w:rPr>
    </w:lvl>
    <w:lvl w:ilvl="4" w:tplc="EF4E30C8">
      <w:numFmt w:val="bullet"/>
      <w:lvlText w:val="•"/>
      <w:lvlJc w:val="left"/>
      <w:pPr>
        <w:ind w:left="3975" w:hanging="567"/>
      </w:pPr>
      <w:rPr>
        <w:lang w:val="en-US" w:eastAsia="en-US" w:bidi="ar-SA"/>
      </w:rPr>
    </w:lvl>
    <w:lvl w:ilvl="5" w:tplc="E8CECEAA">
      <w:numFmt w:val="bullet"/>
      <w:lvlText w:val="•"/>
      <w:lvlJc w:val="left"/>
      <w:pPr>
        <w:ind w:left="4873" w:hanging="567"/>
      </w:pPr>
      <w:rPr>
        <w:lang w:val="en-US" w:eastAsia="en-US" w:bidi="ar-SA"/>
      </w:rPr>
    </w:lvl>
    <w:lvl w:ilvl="6" w:tplc="D8024D6C">
      <w:numFmt w:val="bullet"/>
      <w:lvlText w:val="•"/>
      <w:lvlJc w:val="left"/>
      <w:pPr>
        <w:ind w:left="5772" w:hanging="567"/>
      </w:pPr>
      <w:rPr>
        <w:lang w:val="en-US" w:eastAsia="en-US" w:bidi="ar-SA"/>
      </w:rPr>
    </w:lvl>
    <w:lvl w:ilvl="7" w:tplc="7E1A1F06">
      <w:numFmt w:val="bullet"/>
      <w:lvlText w:val="•"/>
      <w:lvlJc w:val="left"/>
      <w:pPr>
        <w:ind w:left="6670" w:hanging="567"/>
      </w:pPr>
      <w:rPr>
        <w:lang w:val="en-US" w:eastAsia="en-US" w:bidi="ar-SA"/>
      </w:rPr>
    </w:lvl>
    <w:lvl w:ilvl="8" w:tplc="78D2843C">
      <w:numFmt w:val="bullet"/>
      <w:lvlText w:val="•"/>
      <w:lvlJc w:val="left"/>
      <w:pPr>
        <w:ind w:left="7569" w:hanging="567"/>
      </w:pPr>
      <w:rPr>
        <w:lang w:val="en-US" w:eastAsia="en-US" w:bidi="ar-SA"/>
      </w:rPr>
    </w:lvl>
  </w:abstractNum>
  <w:abstractNum w:abstractNumId="336" w15:restartNumberingAfterBreak="0">
    <w:nsid w:val="5C0E40C2"/>
    <w:multiLevelType w:val="hybridMultilevel"/>
    <w:tmpl w:val="30384800"/>
    <w:lvl w:ilvl="0" w:tplc="A66ACFA0">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FFAAB7B0">
      <w:numFmt w:val="bullet"/>
      <w:lvlText w:val="•"/>
      <w:lvlJc w:val="left"/>
      <w:pPr>
        <w:ind w:left="1566" w:hanging="567"/>
      </w:pPr>
      <w:rPr>
        <w:rFonts w:hint="default"/>
        <w:lang w:val="en-US" w:eastAsia="en-US" w:bidi="ar-SA"/>
      </w:rPr>
    </w:lvl>
    <w:lvl w:ilvl="2" w:tplc="8DA21EA6">
      <w:numFmt w:val="bullet"/>
      <w:lvlText w:val="•"/>
      <w:lvlJc w:val="left"/>
      <w:pPr>
        <w:ind w:left="2433" w:hanging="567"/>
      </w:pPr>
      <w:rPr>
        <w:rFonts w:hint="default"/>
        <w:lang w:val="en-US" w:eastAsia="en-US" w:bidi="ar-SA"/>
      </w:rPr>
    </w:lvl>
    <w:lvl w:ilvl="3" w:tplc="3C6A09CC">
      <w:numFmt w:val="bullet"/>
      <w:lvlText w:val="•"/>
      <w:lvlJc w:val="left"/>
      <w:pPr>
        <w:ind w:left="3299" w:hanging="567"/>
      </w:pPr>
      <w:rPr>
        <w:rFonts w:hint="default"/>
        <w:lang w:val="en-US" w:eastAsia="en-US" w:bidi="ar-SA"/>
      </w:rPr>
    </w:lvl>
    <w:lvl w:ilvl="4" w:tplc="1C4CF864">
      <w:numFmt w:val="bullet"/>
      <w:lvlText w:val="•"/>
      <w:lvlJc w:val="left"/>
      <w:pPr>
        <w:ind w:left="4166" w:hanging="567"/>
      </w:pPr>
      <w:rPr>
        <w:rFonts w:hint="default"/>
        <w:lang w:val="en-US" w:eastAsia="en-US" w:bidi="ar-SA"/>
      </w:rPr>
    </w:lvl>
    <w:lvl w:ilvl="5" w:tplc="D67C13AA">
      <w:numFmt w:val="bullet"/>
      <w:lvlText w:val="•"/>
      <w:lvlJc w:val="left"/>
      <w:pPr>
        <w:ind w:left="5033" w:hanging="567"/>
      </w:pPr>
      <w:rPr>
        <w:rFonts w:hint="default"/>
        <w:lang w:val="en-US" w:eastAsia="en-US" w:bidi="ar-SA"/>
      </w:rPr>
    </w:lvl>
    <w:lvl w:ilvl="6" w:tplc="C348349C">
      <w:numFmt w:val="bullet"/>
      <w:lvlText w:val="•"/>
      <w:lvlJc w:val="left"/>
      <w:pPr>
        <w:ind w:left="5899" w:hanging="567"/>
      </w:pPr>
      <w:rPr>
        <w:rFonts w:hint="default"/>
        <w:lang w:val="en-US" w:eastAsia="en-US" w:bidi="ar-SA"/>
      </w:rPr>
    </w:lvl>
    <w:lvl w:ilvl="7" w:tplc="A1641EC0">
      <w:numFmt w:val="bullet"/>
      <w:lvlText w:val="•"/>
      <w:lvlJc w:val="left"/>
      <w:pPr>
        <w:ind w:left="6766" w:hanging="567"/>
      </w:pPr>
      <w:rPr>
        <w:rFonts w:hint="default"/>
        <w:lang w:val="en-US" w:eastAsia="en-US" w:bidi="ar-SA"/>
      </w:rPr>
    </w:lvl>
    <w:lvl w:ilvl="8" w:tplc="F6141F6A">
      <w:numFmt w:val="bullet"/>
      <w:lvlText w:val="•"/>
      <w:lvlJc w:val="left"/>
      <w:pPr>
        <w:ind w:left="7633" w:hanging="567"/>
      </w:pPr>
      <w:rPr>
        <w:rFonts w:hint="default"/>
        <w:lang w:val="en-US" w:eastAsia="en-US" w:bidi="ar-SA"/>
      </w:rPr>
    </w:lvl>
  </w:abstractNum>
  <w:abstractNum w:abstractNumId="337" w15:restartNumberingAfterBreak="0">
    <w:nsid w:val="5C11422B"/>
    <w:multiLevelType w:val="hybridMultilevel"/>
    <w:tmpl w:val="0A48D4E4"/>
    <w:lvl w:ilvl="0" w:tplc="EA183C24">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D3CE3DD0">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3842CD9A">
      <w:numFmt w:val="bullet"/>
      <w:lvlText w:val="•"/>
      <w:lvlJc w:val="left"/>
      <w:pPr>
        <w:ind w:left="2178" w:hanging="567"/>
      </w:pPr>
      <w:rPr>
        <w:rFonts w:hint="default"/>
        <w:lang w:val="en-US" w:eastAsia="en-US" w:bidi="ar-SA"/>
      </w:rPr>
    </w:lvl>
    <w:lvl w:ilvl="3" w:tplc="3E0233EA">
      <w:numFmt w:val="bullet"/>
      <w:lvlText w:val="•"/>
      <w:lvlJc w:val="left"/>
      <w:pPr>
        <w:ind w:left="3076" w:hanging="567"/>
      </w:pPr>
      <w:rPr>
        <w:rFonts w:hint="default"/>
        <w:lang w:val="en-US" w:eastAsia="en-US" w:bidi="ar-SA"/>
      </w:rPr>
    </w:lvl>
    <w:lvl w:ilvl="4" w:tplc="FA7863A4">
      <w:numFmt w:val="bullet"/>
      <w:lvlText w:val="•"/>
      <w:lvlJc w:val="left"/>
      <w:pPr>
        <w:ind w:left="3975" w:hanging="567"/>
      </w:pPr>
      <w:rPr>
        <w:rFonts w:hint="default"/>
        <w:lang w:val="en-US" w:eastAsia="en-US" w:bidi="ar-SA"/>
      </w:rPr>
    </w:lvl>
    <w:lvl w:ilvl="5" w:tplc="2A66EA4E">
      <w:numFmt w:val="bullet"/>
      <w:lvlText w:val="•"/>
      <w:lvlJc w:val="left"/>
      <w:pPr>
        <w:ind w:left="4873" w:hanging="567"/>
      </w:pPr>
      <w:rPr>
        <w:rFonts w:hint="default"/>
        <w:lang w:val="en-US" w:eastAsia="en-US" w:bidi="ar-SA"/>
      </w:rPr>
    </w:lvl>
    <w:lvl w:ilvl="6" w:tplc="49C0CC22">
      <w:numFmt w:val="bullet"/>
      <w:lvlText w:val="•"/>
      <w:lvlJc w:val="left"/>
      <w:pPr>
        <w:ind w:left="5772" w:hanging="567"/>
      </w:pPr>
      <w:rPr>
        <w:rFonts w:hint="default"/>
        <w:lang w:val="en-US" w:eastAsia="en-US" w:bidi="ar-SA"/>
      </w:rPr>
    </w:lvl>
    <w:lvl w:ilvl="7" w:tplc="D7882324">
      <w:numFmt w:val="bullet"/>
      <w:lvlText w:val="•"/>
      <w:lvlJc w:val="left"/>
      <w:pPr>
        <w:ind w:left="6670" w:hanging="567"/>
      </w:pPr>
      <w:rPr>
        <w:rFonts w:hint="default"/>
        <w:lang w:val="en-US" w:eastAsia="en-US" w:bidi="ar-SA"/>
      </w:rPr>
    </w:lvl>
    <w:lvl w:ilvl="8" w:tplc="6D9A3544">
      <w:numFmt w:val="bullet"/>
      <w:lvlText w:val="•"/>
      <w:lvlJc w:val="left"/>
      <w:pPr>
        <w:ind w:left="7569" w:hanging="567"/>
      </w:pPr>
      <w:rPr>
        <w:rFonts w:hint="default"/>
        <w:lang w:val="en-US" w:eastAsia="en-US" w:bidi="ar-SA"/>
      </w:rPr>
    </w:lvl>
  </w:abstractNum>
  <w:abstractNum w:abstractNumId="338" w15:restartNumberingAfterBreak="0">
    <w:nsid w:val="5C167701"/>
    <w:multiLevelType w:val="hybridMultilevel"/>
    <w:tmpl w:val="E7D461C4"/>
    <w:lvl w:ilvl="0" w:tplc="AB8455AA">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F08A675E">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0D0CE8A6">
      <w:start w:val="1"/>
      <w:numFmt w:val="lowerRoman"/>
      <w:lvlText w:val="(%3)"/>
      <w:lvlJc w:val="left"/>
      <w:pPr>
        <w:ind w:left="1842" w:hanging="569"/>
      </w:pPr>
      <w:rPr>
        <w:rFonts w:ascii="Arial" w:eastAsia="Calibri" w:hAnsi="Arial" w:cs="Arial" w:hint="default"/>
        <w:spacing w:val="-1"/>
        <w:w w:val="100"/>
        <w:sz w:val="20"/>
        <w:szCs w:val="22"/>
        <w:lang w:val="en-US" w:eastAsia="en-US" w:bidi="ar-SA"/>
      </w:rPr>
    </w:lvl>
    <w:lvl w:ilvl="3" w:tplc="961AD806">
      <w:numFmt w:val="bullet"/>
      <w:lvlText w:val="•"/>
      <w:lvlJc w:val="left"/>
      <w:pPr>
        <w:ind w:left="2780" w:hanging="569"/>
      </w:pPr>
      <w:rPr>
        <w:rFonts w:hint="default"/>
        <w:lang w:val="en-US" w:eastAsia="en-US" w:bidi="ar-SA"/>
      </w:rPr>
    </w:lvl>
    <w:lvl w:ilvl="4" w:tplc="17489EDE">
      <w:numFmt w:val="bullet"/>
      <w:lvlText w:val="•"/>
      <w:lvlJc w:val="left"/>
      <w:pPr>
        <w:ind w:left="3721" w:hanging="569"/>
      </w:pPr>
      <w:rPr>
        <w:rFonts w:hint="default"/>
        <w:lang w:val="en-US" w:eastAsia="en-US" w:bidi="ar-SA"/>
      </w:rPr>
    </w:lvl>
    <w:lvl w:ilvl="5" w:tplc="3EF4AB1C">
      <w:numFmt w:val="bullet"/>
      <w:lvlText w:val="•"/>
      <w:lvlJc w:val="left"/>
      <w:pPr>
        <w:ind w:left="4662" w:hanging="569"/>
      </w:pPr>
      <w:rPr>
        <w:rFonts w:hint="default"/>
        <w:lang w:val="en-US" w:eastAsia="en-US" w:bidi="ar-SA"/>
      </w:rPr>
    </w:lvl>
    <w:lvl w:ilvl="6" w:tplc="FF343342">
      <w:numFmt w:val="bullet"/>
      <w:lvlText w:val="•"/>
      <w:lvlJc w:val="left"/>
      <w:pPr>
        <w:ind w:left="5603" w:hanging="569"/>
      </w:pPr>
      <w:rPr>
        <w:rFonts w:hint="default"/>
        <w:lang w:val="en-US" w:eastAsia="en-US" w:bidi="ar-SA"/>
      </w:rPr>
    </w:lvl>
    <w:lvl w:ilvl="7" w:tplc="C8447C76">
      <w:numFmt w:val="bullet"/>
      <w:lvlText w:val="•"/>
      <w:lvlJc w:val="left"/>
      <w:pPr>
        <w:ind w:left="6544" w:hanging="569"/>
      </w:pPr>
      <w:rPr>
        <w:rFonts w:hint="default"/>
        <w:lang w:val="en-US" w:eastAsia="en-US" w:bidi="ar-SA"/>
      </w:rPr>
    </w:lvl>
    <w:lvl w:ilvl="8" w:tplc="41CA59A6">
      <w:numFmt w:val="bullet"/>
      <w:lvlText w:val="•"/>
      <w:lvlJc w:val="left"/>
      <w:pPr>
        <w:ind w:left="7484" w:hanging="569"/>
      </w:pPr>
      <w:rPr>
        <w:rFonts w:hint="default"/>
        <w:lang w:val="en-US" w:eastAsia="en-US" w:bidi="ar-SA"/>
      </w:rPr>
    </w:lvl>
  </w:abstractNum>
  <w:abstractNum w:abstractNumId="339" w15:restartNumberingAfterBreak="0">
    <w:nsid w:val="5C5327EC"/>
    <w:multiLevelType w:val="hybridMultilevel"/>
    <w:tmpl w:val="4AC27E4C"/>
    <w:lvl w:ilvl="0" w:tplc="96269F3E">
      <w:start w:val="1"/>
      <w:numFmt w:val="lowerRoman"/>
      <w:lvlText w:val="(%1)"/>
      <w:lvlJc w:val="left"/>
      <w:pPr>
        <w:ind w:left="706" w:hanging="567"/>
      </w:pPr>
      <w:rPr>
        <w:rFonts w:ascii="Arial" w:eastAsia="Calibri" w:hAnsi="Arial" w:cs="Arial" w:hint="default"/>
        <w:spacing w:val="-1"/>
        <w:w w:val="100"/>
        <w:sz w:val="20"/>
        <w:szCs w:val="22"/>
        <w:lang w:val="en-US" w:eastAsia="en-US" w:bidi="ar-SA"/>
      </w:rPr>
    </w:lvl>
    <w:lvl w:ilvl="1" w:tplc="4BBA6E1E">
      <w:numFmt w:val="bullet"/>
      <w:lvlText w:val="•"/>
      <w:lvlJc w:val="left"/>
      <w:pPr>
        <w:ind w:left="1566" w:hanging="567"/>
      </w:pPr>
      <w:rPr>
        <w:lang w:val="en-US" w:eastAsia="en-US" w:bidi="ar-SA"/>
      </w:rPr>
    </w:lvl>
    <w:lvl w:ilvl="2" w:tplc="15000044">
      <w:numFmt w:val="bullet"/>
      <w:lvlText w:val="•"/>
      <w:lvlJc w:val="left"/>
      <w:pPr>
        <w:ind w:left="2433" w:hanging="567"/>
      </w:pPr>
      <w:rPr>
        <w:lang w:val="en-US" w:eastAsia="en-US" w:bidi="ar-SA"/>
      </w:rPr>
    </w:lvl>
    <w:lvl w:ilvl="3" w:tplc="8422A6DA">
      <w:numFmt w:val="bullet"/>
      <w:lvlText w:val="•"/>
      <w:lvlJc w:val="left"/>
      <w:pPr>
        <w:ind w:left="3299" w:hanging="567"/>
      </w:pPr>
      <w:rPr>
        <w:lang w:val="en-US" w:eastAsia="en-US" w:bidi="ar-SA"/>
      </w:rPr>
    </w:lvl>
    <w:lvl w:ilvl="4" w:tplc="665EA9FC">
      <w:numFmt w:val="bullet"/>
      <w:lvlText w:val="•"/>
      <w:lvlJc w:val="left"/>
      <w:pPr>
        <w:ind w:left="4166" w:hanging="567"/>
      </w:pPr>
      <w:rPr>
        <w:lang w:val="en-US" w:eastAsia="en-US" w:bidi="ar-SA"/>
      </w:rPr>
    </w:lvl>
    <w:lvl w:ilvl="5" w:tplc="9A589C18">
      <w:numFmt w:val="bullet"/>
      <w:lvlText w:val="•"/>
      <w:lvlJc w:val="left"/>
      <w:pPr>
        <w:ind w:left="5033" w:hanging="567"/>
      </w:pPr>
      <w:rPr>
        <w:lang w:val="en-US" w:eastAsia="en-US" w:bidi="ar-SA"/>
      </w:rPr>
    </w:lvl>
    <w:lvl w:ilvl="6" w:tplc="C7B63B96">
      <w:numFmt w:val="bullet"/>
      <w:lvlText w:val="•"/>
      <w:lvlJc w:val="left"/>
      <w:pPr>
        <w:ind w:left="5899" w:hanging="567"/>
      </w:pPr>
      <w:rPr>
        <w:lang w:val="en-US" w:eastAsia="en-US" w:bidi="ar-SA"/>
      </w:rPr>
    </w:lvl>
    <w:lvl w:ilvl="7" w:tplc="59105068">
      <w:numFmt w:val="bullet"/>
      <w:lvlText w:val="•"/>
      <w:lvlJc w:val="left"/>
      <w:pPr>
        <w:ind w:left="6766" w:hanging="567"/>
      </w:pPr>
      <w:rPr>
        <w:lang w:val="en-US" w:eastAsia="en-US" w:bidi="ar-SA"/>
      </w:rPr>
    </w:lvl>
    <w:lvl w:ilvl="8" w:tplc="18BA0962">
      <w:numFmt w:val="bullet"/>
      <w:lvlText w:val="•"/>
      <w:lvlJc w:val="left"/>
      <w:pPr>
        <w:ind w:left="7633" w:hanging="567"/>
      </w:pPr>
      <w:rPr>
        <w:lang w:val="en-US" w:eastAsia="en-US" w:bidi="ar-SA"/>
      </w:rPr>
    </w:lvl>
  </w:abstractNum>
  <w:abstractNum w:abstractNumId="340" w15:restartNumberingAfterBreak="0">
    <w:nsid w:val="5D375685"/>
    <w:multiLevelType w:val="hybridMultilevel"/>
    <w:tmpl w:val="215C4244"/>
    <w:lvl w:ilvl="0" w:tplc="B9F683B0">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B7F48EC4">
      <w:numFmt w:val="bullet"/>
      <w:lvlText w:val="•"/>
      <w:lvlJc w:val="left"/>
      <w:pPr>
        <w:ind w:left="1566" w:hanging="567"/>
      </w:pPr>
      <w:rPr>
        <w:rFonts w:hint="default"/>
        <w:lang w:val="en-US" w:eastAsia="en-US" w:bidi="ar-SA"/>
      </w:rPr>
    </w:lvl>
    <w:lvl w:ilvl="2" w:tplc="6B86564E">
      <w:numFmt w:val="bullet"/>
      <w:lvlText w:val="•"/>
      <w:lvlJc w:val="left"/>
      <w:pPr>
        <w:ind w:left="2433" w:hanging="567"/>
      </w:pPr>
      <w:rPr>
        <w:rFonts w:hint="default"/>
        <w:lang w:val="en-US" w:eastAsia="en-US" w:bidi="ar-SA"/>
      </w:rPr>
    </w:lvl>
    <w:lvl w:ilvl="3" w:tplc="4EFEE5E0">
      <w:numFmt w:val="bullet"/>
      <w:lvlText w:val="•"/>
      <w:lvlJc w:val="left"/>
      <w:pPr>
        <w:ind w:left="3299" w:hanging="567"/>
      </w:pPr>
      <w:rPr>
        <w:rFonts w:hint="default"/>
        <w:lang w:val="en-US" w:eastAsia="en-US" w:bidi="ar-SA"/>
      </w:rPr>
    </w:lvl>
    <w:lvl w:ilvl="4" w:tplc="8578BE50">
      <w:numFmt w:val="bullet"/>
      <w:lvlText w:val="•"/>
      <w:lvlJc w:val="left"/>
      <w:pPr>
        <w:ind w:left="4166" w:hanging="567"/>
      </w:pPr>
      <w:rPr>
        <w:rFonts w:hint="default"/>
        <w:lang w:val="en-US" w:eastAsia="en-US" w:bidi="ar-SA"/>
      </w:rPr>
    </w:lvl>
    <w:lvl w:ilvl="5" w:tplc="A17A572C">
      <w:numFmt w:val="bullet"/>
      <w:lvlText w:val="•"/>
      <w:lvlJc w:val="left"/>
      <w:pPr>
        <w:ind w:left="5033" w:hanging="567"/>
      </w:pPr>
      <w:rPr>
        <w:rFonts w:hint="default"/>
        <w:lang w:val="en-US" w:eastAsia="en-US" w:bidi="ar-SA"/>
      </w:rPr>
    </w:lvl>
    <w:lvl w:ilvl="6" w:tplc="9D960D6E">
      <w:numFmt w:val="bullet"/>
      <w:lvlText w:val="•"/>
      <w:lvlJc w:val="left"/>
      <w:pPr>
        <w:ind w:left="5899" w:hanging="567"/>
      </w:pPr>
      <w:rPr>
        <w:rFonts w:hint="default"/>
        <w:lang w:val="en-US" w:eastAsia="en-US" w:bidi="ar-SA"/>
      </w:rPr>
    </w:lvl>
    <w:lvl w:ilvl="7" w:tplc="8AC63D16">
      <w:numFmt w:val="bullet"/>
      <w:lvlText w:val="•"/>
      <w:lvlJc w:val="left"/>
      <w:pPr>
        <w:ind w:left="6766" w:hanging="567"/>
      </w:pPr>
      <w:rPr>
        <w:rFonts w:hint="default"/>
        <w:lang w:val="en-US" w:eastAsia="en-US" w:bidi="ar-SA"/>
      </w:rPr>
    </w:lvl>
    <w:lvl w:ilvl="8" w:tplc="DC22C5C0">
      <w:numFmt w:val="bullet"/>
      <w:lvlText w:val="•"/>
      <w:lvlJc w:val="left"/>
      <w:pPr>
        <w:ind w:left="7633" w:hanging="567"/>
      </w:pPr>
      <w:rPr>
        <w:rFonts w:hint="default"/>
        <w:lang w:val="en-US" w:eastAsia="en-US" w:bidi="ar-SA"/>
      </w:rPr>
    </w:lvl>
  </w:abstractNum>
  <w:abstractNum w:abstractNumId="341" w15:restartNumberingAfterBreak="0">
    <w:nsid w:val="5D54372B"/>
    <w:multiLevelType w:val="hybridMultilevel"/>
    <w:tmpl w:val="88C8E1CC"/>
    <w:lvl w:ilvl="0" w:tplc="08B8FB50">
      <w:start w:val="1"/>
      <w:numFmt w:val="lowerRoman"/>
      <w:lvlText w:val="(%1)"/>
      <w:lvlJc w:val="left"/>
      <w:pPr>
        <w:ind w:left="2408" w:hanging="567"/>
      </w:pPr>
      <w:rPr>
        <w:rFonts w:ascii="Arial" w:eastAsia="Calibri" w:hAnsi="Arial" w:cs="Arial" w:hint="default"/>
        <w:spacing w:val="-1"/>
        <w:w w:val="100"/>
        <w:sz w:val="20"/>
        <w:szCs w:val="22"/>
        <w:lang w:val="en-US" w:eastAsia="en-US" w:bidi="ar-SA"/>
      </w:rPr>
    </w:lvl>
    <w:lvl w:ilvl="1" w:tplc="928EE72C">
      <w:numFmt w:val="bullet"/>
      <w:lvlText w:val="•"/>
      <w:lvlJc w:val="left"/>
      <w:pPr>
        <w:ind w:left="3096" w:hanging="567"/>
      </w:pPr>
      <w:rPr>
        <w:rFonts w:hint="default"/>
        <w:lang w:val="en-US" w:eastAsia="en-US" w:bidi="ar-SA"/>
      </w:rPr>
    </w:lvl>
    <w:lvl w:ilvl="2" w:tplc="04F22126">
      <w:numFmt w:val="bullet"/>
      <w:lvlText w:val="•"/>
      <w:lvlJc w:val="left"/>
      <w:pPr>
        <w:ind w:left="3793" w:hanging="567"/>
      </w:pPr>
      <w:rPr>
        <w:rFonts w:hint="default"/>
        <w:lang w:val="en-US" w:eastAsia="en-US" w:bidi="ar-SA"/>
      </w:rPr>
    </w:lvl>
    <w:lvl w:ilvl="3" w:tplc="35544096">
      <w:numFmt w:val="bullet"/>
      <w:lvlText w:val="•"/>
      <w:lvlJc w:val="left"/>
      <w:pPr>
        <w:ind w:left="4489" w:hanging="567"/>
      </w:pPr>
      <w:rPr>
        <w:rFonts w:hint="default"/>
        <w:lang w:val="en-US" w:eastAsia="en-US" w:bidi="ar-SA"/>
      </w:rPr>
    </w:lvl>
    <w:lvl w:ilvl="4" w:tplc="067C2754">
      <w:numFmt w:val="bullet"/>
      <w:lvlText w:val="•"/>
      <w:lvlJc w:val="left"/>
      <w:pPr>
        <w:ind w:left="5186" w:hanging="567"/>
      </w:pPr>
      <w:rPr>
        <w:rFonts w:hint="default"/>
        <w:lang w:val="en-US" w:eastAsia="en-US" w:bidi="ar-SA"/>
      </w:rPr>
    </w:lvl>
    <w:lvl w:ilvl="5" w:tplc="115410B8">
      <w:numFmt w:val="bullet"/>
      <w:lvlText w:val="•"/>
      <w:lvlJc w:val="left"/>
      <w:pPr>
        <w:ind w:left="5883" w:hanging="567"/>
      </w:pPr>
      <w:rPr>
        <w:rFonts w:hint="default"/>
        <w:lang w:val="en-US" w:eastAsia="en-US" w:bidi="ar-SA"/>
      </w:rPr>
    </w:lvl>
    <w:lvl w:ilvl="6" w:tplc="CD4A45E0">
      <w:numFmt w:val="bullet"/>
      <w:lvlText w:val="•"/>
      <w:lvlJc w:val="left"/>
      <w:pPr>
        <w:ind w:left="6579" w:hanging="567"/>
      </w:pPr>
      <w:rPr>
        <w:rFonts w:hint="default"/>
        <w:lang w:val="en-US" w:eastAsia="en-US" w:bidi="ar-SA"/>
      </w:rPr>
    </w:lvl>
    <w:lvl w:ilvl="7" w:tplc="33F0EEBE">
      <w:numFmt w:val="bullet"/>
      <w:lvlText w:val="•"/>
      <w:lvlJc w:val="left"/>
      <w:pPr>
        <w:ind w:left="7276" w:hanging="567"/>
      </w:pPr>
      <w:rPr>
        <w:rFonts w:hint="default"/>
        <w:lang w:val="en-US" w:eastAsia="en-US" w:bidi="ar-SA"/>
      </w:rPr>
    </w:lvl>
    <w:lvl w:ilvl="8" w:tplc="94086450">
      <w:numFmt w:val="bullet"/>
      <w:lvlText w:val="•"/>
      <w:lvlJc w:val="left"/>
      <w:pPr>
        <w:ind w:left="7973" w:hanging="567"/>
      </w:pPr>
      <w:rPr>
        <w:rFonts w:hint="default"/>
        <w:lang w:val="en-US" w:eastAsia="en-US" w:bidi="ar-SA"/>
      </w:rPr>
    </w:lvl>
  </w:abstractNum>
  <w:abstractNum w:abstractNumId="342" w15:restartNumberingAfterBreak="0">
    <w:nsid w:val="5D600639"/>
    <w:multiLevelType w:val="hybridMultilevel"/>
    <w:tmpl w:val="3D06697E"/>
    <w:lvl w:ilvl="0" w:tplc="FFFFFFFF">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FFFFFFFF">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FFFFFFFF">
      <w:numFmt w:val="bullet"/>
      <w:lvlText w:val="•"/>
      <w:lvlJc w:val="left"/>
      <w:pPr>
        <w:ind w:left="2178" w:hanging="567"/>
      </w:pPr>
      <w:rPr>
        <w:lang w:val="en-US" w:eastAsia="en-US" w:bidi="ar-SA"/>
      </w:rPr>
    </w:lvl>
    <w:lvl w:ilvl="3" w:tplc="FFFFFFFF">
      <w:numFmt w:val="bullet"/>
      <w:lvlText w:val="•"/>
      <w:lvlJc w:val="left"/>
      <w:pPr>
        <w:ind w:left="3076" w:hanging="567"/>
      </w:pPr>
      <w:rPr>
        <w:lang w:val="en-US" w:eastAsia="en-US" w:bidi="ar-SA"/>
      </w:rPr>
    </w:lvl>
    <w:lvl w:ilvl="4" w:tplc="FFFFFFFF">
      <w:numFmt w:val="bullet"/>
      <w:lvlText w:val="•"/>
      <w:lvlJc w:val="left"/>
      <w:pPr>
        <w:ind w:left="3975" w:hanging="567"/>
      </w:pPr>
      <w:rPr>
        <w:lang w:val="en-US" w:eastAsia="en-US" w:bidi="ar-SA"/>
      </w:rPr>
    </w:lvl>
    <w:lvl w:ilvl="5" w:tplc="FFFFFFFF">
      <w:numFmt w:val="bullet"/>
      <w:lvlText w:val="•"/>
      <w:lvlJc w:val="left"/>
      <w:pPr>
        <w:ind w:left="4873" w:hanging="567"/>
      </w:pPr>
      <w:rPr>
        <w:lang w:val="en-US" w:eastAsia="en-US" w:bidi="ar-SA"/>
      </w:rPr>
    </w:lvl>
    <w:lvl w:ilvl="6" w:tplc="FFFFFFFF">
      <w:numFmt w:val="bullet"/>
      <w:lvlText w:val="•"/>
      <w:lvlJc w:val="left"/>
      <w:pPr>
        <w:ind w:left="5772" w:hanging="567"/>
      </w:pPr>
      <w:rPr>
        <w:lang w:val="en-US" w:eastAsia="en-US" w:bidi="ar-SA"/>
      </w:rPr>
    </w:lvl>
    <w:lvl w:ilvl="7" w:tplc="FFFFFFFF">
      <w:numFmt w:val="bullet"/>
      <w:lvlText w:val="•"/>
      <w:lvlJc w:val="left"/>
      <w:pPr>
        <w:ind w:left="6670" w:hanging="567"/>
      </w:pPr>
      <w:rPr>
        <w:lang w:val="en-US" w:eastAsia="en-US" w:bidi="ar-SA"/>
      </w:rPr>
    </w:lvl>
    <w:lvl w:ilvl="8" w:tplc="FFFFFFFF">
      <w:numFmt w:val="bullet"/>
      <w:lvlText w:val="•"/>
      <w:lvlJc w:val="left"/>
      <w:pPr>
        <w:ind w:left="7569" w:hanging="567"/>
      </w:pPr>
      <w:rPr>
        <w:lang w:val="en-US" w:eastAsia="en-US" w:bidi="ar-SA"/>
      </w:rPr>
    </w:lvl>
  </w:abstractNum>
  <w:abstractNum w:abstractNumId="343" w15:restartNumberingAfterBreak="0">
    <w:nsid w:val="5D79224E"/>
    <w:multiLevelType w:val="hybridMultilevel"/>
    <w:tmpl w:val="D5584A06"/>
    <w:lvl w:ilvl="0" w:tplc="4BF8D752">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14D80C58">
      <w:numFmt w:val="bullet"/>
      <w:lvlText w:val="•"/>
      <w:lvlJc w:val="left"/>
      <w:pPr>
        <w:ind w:left="1566" w:hanging="567"/>
      </w:pPr>
      <w:rPr>
        <w:rFonts w:hint="default"/>
        <w:lang w:val="en-US" w:eastAsia="en-US" w:bidi="ar-SA"/>
      </w:rPr>
    </w:lvl>
    <w:lvl w:ilvl="2" w:tplc="00AE723C">
      <w:numFmt w:val="bullet"/>
      <w:lvlText w:val="•"/>
      <w:lvlJc w:val="left"/>
      <w:pPr>
        <w:ind w:left="2433" w:hanging="567"/>
      </w:pPr>
      <w:rPr>
        <w:rFonts w:hint="default"/>
        <w:lang w:val="en-US" w:eastAsia="en-US" w:bidi="ar-SA"/>
      </w:rPr>
    </w:lvl>
    <w:lvl w:ilvl="3" w:tplc="D2E4F086">
      <w:numFmt w:val="bullet"/>
      <w:lvlText w:val="•"/>
      <w:lvlJc w:val="left"/>
      <w:pPr>
        <w:ind w:left="3299" w:hanging="567"/>
      </w:pPr>
      <w:rPr>
        <w:rFonts w:hint="default"/>
        <w:lang w:val="en-US" w:eastAsia="en-US" w:bidi="ar-SA"/>
      </w:rPr>
    </w:lvl>
    <w:lvl w:ilvl="4" w:tplc="F1DAF5EC">
      <w:numFmt w:val="bullet"/>
      <w:lvlText w:val="•"/>
      <w:lvlJc w:val="left"/>
      <w:pPr>
        <w:ind w:left="4166" w:hanging="567"/>
      </w:pPr>
      <w:rPr>
        <w:rFonts w:hint="default"/>
        <w:lang w:val="en-US" w:eastAsia="en-US" w:bidi="ar-SA"/>
      </w:rPr>
    </w:lvl>
    <w:lvl w:ilvl="5" w:tplc="F80215D6">
      <w:numFmt w:val="bullet"/>
      <w:lvlText w:val="•"/>
      <w:lvlJc w:val="left"/>
      <w:pPr>
        <w:ind w:left="5033" w:hanging="567"/>
      </w:pPr>
      <w:rPr>
        <w:rFonts w:hint="default"/>
        <w:lang w:val="en-US" w:eastAsia="en-US" w:bidi="ar-SA"/>
      </w:rPr>
    </w:lvl>
    <w:lvl w:ilvl="6" w:tplc="3A46EABC">
      <w:numFmt w:val="bullet"/>
      <w:lvlText w:val="•"/>
      <w:lvlJc w:val="left"/>
      <w:pPr>
        <w:ind w:left="5899" w:hanging="567"/>
      </w:pPr>
      <w:rPr>
        <w:rFonts w:hint="default"/>
        <w:lang w:val="en-US" w:eastAsia="en-US" w:bidi="ar-SA"/>
      </w:rPr>
    </w:lvl>
    <w:lvl w:ilvl="7" w:tplc="E8DCC7FA">
      <w:numFmt w:val="bullet"/>
      <w:lvlText w:val="•"/>
      <w:lvlJc w:val="left"/>
      <w:pPr>
        <w:ind w:left="6766" w:hanging="567"/>
      </w:pPr>
      <w:rPr>
        <w:rFonts w:hint="default"/>
        <w:lang w:val="en-US" w:eastAsia="en-US" w:bidi="ar-SA"/>
      </w:rPr>
    </w:lvl>
    <w:lvl w:ilvl="8" w:tplc="5944072C">
      <w:numFmt w:val="bullet"/>
      <w:lvlText w:val="•"/>
      <w:lvlJc w:val="left"/>
      <w:pPr>
        <w:ind w:left="7633" w:hanging="567"/>
      </w:pPr>
      <w:rPr>
        <w:rFonts w:hint="default"/>
        <w:lang w:val="en-US" w:eastAsia="en-US" w:bidi="ar-SA"/>
      </w:rPr>
    </w:lvl>
  </w:abstractNum>
  <w:abstractNum w:abstractNumId="344" w15:restartNumberingAfterBreak="0">
    <w:nsid w:val="5D8A32F2"/>
    <w:multiLevelType w:val="hybridMultilevel"/>
    <w:tmpl w:val="868C4CEE"/>
    <w:lvl w:ilvl="0" w:tplc="304C474E">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B606A0B4">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DEFC2800">
      <w:numFmt w:val="bullet"/>
      <w:lvlText w:val="•"/>
      <w:lvlJc w:val="left"/>
      <w:pPr>
        <w:ind w:left="1299" w:hanging="567"/>
      </w:pPr>
      <w:rPr>
        <w:rFonts w:hint="default"/>
        <w:lang w:val="en-US" w:eastAsia="en-US" w:bidi="ar-SA"/>
      </w:rPr>
    </w:lvl>
    <w:lvl w:ilvl="3" w:tplc="EF7E50FC">
      <w:numFmt w:val="bullet"/>
      <w:lvlText w:val="•"/>
      <w:lvlJc w:val="left"/>
      <w:pPr>
        <w:ind w:left="1318" w:hanging="567"/>
      </w:pPr>
      <w:rPr>
        <w:rFonts w:hint="default"/>
        <w:lang w:val="en-US" w:eastAsia="en-US" w:bidi="ar-SA"/>
      </w:rPr>
    </w:lvl>
    <w:lvl w:ilvl="4" w:tplc="5BFEABDA">
      <w:numFmt w:val="bullet"/>
      <w:lvlText w:val="•"/>
      <w:lvlJc w:val="left"/>
      <w:pPr>
        <w:ind w:left="1338" w:hanging="567"/>
      </w:pPr>
      <w:rPr>
        <w:rFonts w:hint="default"/>
        <w:lang w:val="en-US" w:eastAsia="en-US" w:bidi="ar-SA"/>
      </w:rPr>
    </w:lvl>
    <w:lvl w:ilvl="5" w:tplc="3438CD46">
      <w:numFmt w:val="bullet"/>
      <w:lvlText w:val="•"/>
      <w:lvlJc w:val="left"/>
      <w:pPr>
        <w:ind w:left="1357" w:hanging="567"/>
      </w:pPr>
      <w:rPr>
        <w:rFonts w:hint="default"/>
        <w:lang w:val="en-US" w:eastAsia="en-US" w:bidi="ar-SA"/>
      </w:rPr>
    </w:lvl>
    <w:lvl w:ilvl="6" w:tplc="A92A2ABE">
      <w:numFmt w:val="bullet"/>
      <w:lvlText w:val="•"/>
      <w:lvlJc w:val="left"/>
      <w:pPr>
        <w:ind w:left="1377" w:hanging="567"/>
      </w:pPr>
      <w:rPr>
        <w:rFonts w:hint="default"/>
        <w:lang w:val="en-US" w:eastAsia="en-US" w:bidi="ar-SA"/>
      </w:rPr>
    </w:lvl>
    <w:lvl w:ilvl="7" w:tplc="2C4A840C">
      <w:numFmt w:val="bullet"/>
      <w:lvlText w:val="•"/>
      <w:lvlJc w:val="left"/>
      <w:pPr>
        <w:ind w:left="1396" w:hanging="567"/>
      </w:pPr>
      <w:rPr>
        <w:rFonts w:hint="default"/>
        <w:lang w:val="en-US" w:eastAsia="en-US" w:bidi="ar-SA"/>
      </w:rPr>
    </w:lvl>
    <w:lvl w:ilvl="8" w:tplc="2250D818">
      <w:numFmt w:val="bullet"/>
      <w:lvlText w:val="•"/>
      <w:lvlJc w:val="left"/>
      <w:pPr>
        <w:ind w:left="1416" w:hanging="567"/>
      </w:pPr>
      <w:rPr>
        <w:rFonts w:hint="default"/>
        <w:lang w:val="en-US" w:eastAsia="en-US" w:bidi="ar-SA"/>
      </w:rPr>
    </w:lvl>
  </w:abstractNum>
  <w:abstractNum w:abstractNumId="345" w15:restartNumberingAfterBreak="0">
    <w:nsid w:val="5DC10751"/>
    <w:multiLevelType w:val="hybridMultilevel"/>
    <w:tmpl w:val="348C688A"/>
    <w:lvl w:ilvl="0" w:tplc="23C6DADC">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D416042C">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A69659D0">
      <w:start w:val="1"/>
      <w:numFmt w:val="lowerRoman"/>
      <w:lvlText w:val="(%3)"/>
      <w:lvlJc w:val="left"/>
      <w:pPr>
        <w:ind w:left="1842" w:hanging="569"/>
      </w:pPr>
      <w:rPr>
        <w:rFonts w:ascii="Arial" w:eastAsia="Calibri" w:hAnsi="Arial" w:cs="Arial" w:hint="default"/>
        <w:spacing w:val="-1"/>
        <w:w w:val="100"/>
        <w:sz w:val="20"/>
        <w:szCs w:val="22"/>
        <w:lang w:val="en-US" w:eastAsia="en-US" w:bidi="ar-SA"/>
      </w:rPr>
    </w:lvl>
    <w:lvl w:ilvl="3" w:tplc="9A309F6A">
      <w:numFmt w:val="bullet"/>
      <w:lvlText w:val="•"/>
      <w:lvlJc w:val="left"/>
      <w:pPr>
        <w:ind w:left="2780" w:hanging="569"/>
      </w:pPr>
      <w:rPr>
        <w:rFonts w:hint="default"/>
        <w:lang w:val="en-US" w:eastAsia="en-US" w:bidi="ar-SA"/>
      </w:rPr>
    </w:lvl>
    <w:lvl w:ilvl="4" w:tplc="1320F70E">
      <w:numFmt w:val="bullet"/>
      <w:lvlText w:val="•"/>
      <w:lvlJc w:val="left"/>
      <w:pPr>
        <w:ind w:left="3721" w:hanging="569"/>
      </w:pPr>
      <w:rPr>
        <w:rFonts w:hint="default"/>
        <w:lang w:val="en-US" w:eastAsia="en-US" w:bidi="ar-SA"/>
      </w:rPr>
    </w:lvl>
    <w:lvl w:ilvl="5" w:tplc="864A58A0">
      <w:numFmt w:val="bullet"/>
      <w:lvlText w:val="•"/>
      <w:lvlJc w:val="left"/>
      <w:pPr>
        <w:ind w:left="4662" w:hanging="569"/>
      </w:pPr>
      <w:rPr>
        <w:rFonts w:hint="default"/>
        <w:lang w:val="en-US" w:eastAsia="en-US" w:bidi="ar-SA"/>
      </w:rPr>
    </w:lvl>
    <w:lvl w:ilvl="6" w:tplc="7A64A99A">
      <w:numFmt w:val="bullet"/>
      <w:lvlText w:val="•"/>
      <w:lvlJc w:val="left"/>
      <w:pPr>
        <w:ind w:left="5603" w:hanging="569"/>
      </w:pPr>
      <w:rPr>
        <w:rFonts w:hint="default"/>
        <w:lang w:val="en-US" w:eastAsia="en-US" w:bidi="ar-SA"/>
      </w:rPr>
    </w:lvl>
    <w:lvl w:ilvl="7" w:tplc="2A78B11E">
      <w:numFmt w:val="bullet"/>
      <w:lvlText w:val="•"/>
      <w:lvlJc w:val="left"/>
      <w:pPr>
        <w:ind w:left="6544" w:hanging="569"/>
      </w:pPr>
      <w:rPr>
        <w:rFonts w:hint="default"/>
        <w:lang w:val="en-US" w:eastAsia="en-US" w:bidi="ar-SA"/>
      </w:rPr>
    </w:lvl>
    <w:lvl w:ilvl="8" w:tplc="41D603A8">
      <w:numFmt w:val="bullet"/>
      <w:lvlText w:val="•"/>
      <w:lvlJc w:val="left"/>
      <w:pPr>
        <w:ind w:left="7484" w:hanging="569"/>
      </w:pPr>
      <w:rPr>
        <w:rFonts w:hint="default"/>
        <w:lang w:val="en-US" w:eastAsia="en-US" w:bidi="ar-SA"/>
      </w:rPr>
    </w:lvl>
  </w:abstractNum>
  <w:abstractNum w:abstractNumId="346" w15:restartNumberingAfterBreak="0">
    <w:nsid w:val="5E9D7FEC"/>
    <w:multiLevelType w:val="hybridMultilevel"/>
    <w:tmpl w:val="75EC5AE6"/>
    <w:lvl w:ilvl="0" w:tplc="9E801542">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534AAAC0">
      <w:numFmt w:val="bullet"/>
      <w:lvlText w:val="•"/>
      <w:lvlJc w:val="left"/>
      <w:pPr>
        <w:ind w:left="1566" w:hanging="567"/>
      </w:pPr>
      <w:rPr>
        <w:rFonts w:hint="default"/>
        <w:lang w:val="en-US" w:eastAsia="en-US" w:bidi="ar-SA"/>
      </w:rPr>
    </w:lvl>
    <w:lvl w:ilvl="2" w:tplc="32C4D2E8">
      <w:numFmt w:val="bullet"/>
      <w:lvlText w:val="•"/>
      <w:lvlJc w:val="left"/>
      <w:pPr>
        <w:ind w:left="2433" w:hanging="567"/>
      </w:pPr>
      <w:rPr>
        <w:rFonts w:hint="default"/>
        <w:lang w:val="en-US" w:eastAsia="en-US" w:bidi="ar-SA"/>
      </w:rPr>
    </w:lvl>
    <w:lvl w:ilvl="3" w:tplc="CCB26082">
      <w:numFmt w:val="bullet"/>
      <w:lvlText w:val="•"/>
      <w:lvlJc w:val="left"/>
      <w:pPr>
        <w:ind w:left="3299" w:hanging="567"/>
      </w:pPr>
      <w:rPr>
        <w:rFonts w:hint="default"/>
        <w:lang w:val="en-US" w:eastAsia="en-US" w:bidi="ar-SA"/>
      </w:rPr>
    </w:lvl>
    <w:lvl w:ilvl="4" w:tplc="E7740956">
      <w:numFmt w:val="bullet"/>
      <w:lvlText w:val="•"/>
      <w:lvlJc w:val="left"/>
      <w:pPr>
        <w:ind w:left="4166" w:hanging="567"/>
      </w:pPr>
      <w:rPr>
        <w:rFonts w:hint="default"/>
        <w:lang w:val="en-US" w:eastAsia="en-US" w:bidi="ar-SA"/>
      </w:rPr>
    </w:lvl>
    <w:lvl w:ilvl="5" w:tplc="9F783ADA">
      <w:numFmt w:val="bullet"/>
      <w:lvlText w:val="•"/>
      <w:lvlJc w:val="left"/>
      <w:pPr>
        <w:ind w:left="5033" w:hanging="567"/>
      </w:pPr>
      <w:rPr>
        <w:rFonts w:hint="default"/>
        <w:lang w:val="en-US" w:eastAsia="en-US" w:bidi="ar-SA"/>
      </w:rPr>
    </w:lvl>
    <w:lvl w:ilvl="6" w:tplc="110AFFF2">
      <w:numFmt w:val="bullet"/>
      <w:lvlText w:val="•"/>
      <w:lvlJc w:val="left"/>
      <w:pPr>
        <w:ind w:left="5899" w:hanging="567"/>
      </w:pPr>
      <w:rPr>
        <w:rFonts w:hint="default"/>
        <w:lang w:val="en-US" w:eastAsia="en-US" w:bidi="ar-SA"/>
      </w:rPr>
    </w:lvl>
    <w:lvl w:ilvl="7" w:tplc="70C0EDA4">
      <w:numFmt w:val="bullet"/>
      <w:lvlText w:val="•"/>
      <w:lvlJc w:val="left"/>
      <w:pPr>
        <w:ind w:left="6766" w:hanging="567"/>
      </w:pPr>
      <w:rPr>
        <w:rFonts w:hint="default"/>
        <w:lang w:val="en-US" w:eastAsia="en-US" w:bidi="ar-SA"/>
      </w:rPr>
    </w:lvl>
    <w:lvl w:ilvl="8" w:tplc="626EB61C">
      <w:numFmt w:val="bullet"/>
      <w:lvlText w:val="•"/>
      <w:lvlJc w:val="left"/>
      <w:pPr>
        <w:ind w:left="7633" w:hanging="567"/>
      </w:pPr>
      <w:rPr>
        <w:rFonts w:hint="default"/>
        <w:lang w:val="en-US" w:eastAsia="en-US" w:bidi="ar-SA"/>
      </w:rPr>
    </w:lvl>
  </w:abstractNum>
  <w:abstractNum w:abstractNumId="347" w15:restartNumberingAfterBreak="0">
    <w:nsid w:val="5EBA5E11"/>
    <w:multiLevelType w:val="hybridMultilevel"/>
    <w:tmpl w:val="A508D4E2"/>
    <w:lvl w:ilvl="0" w:tplc="B9BE4D92">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9060157C">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BCDE4578">
      <w:numFmt w:val="bullet"/>
      <w:lvlText w:val="•"/>
      <w:lvlJc w:val="left"/>
      <w:pPr>
        <w:ind w:left="2178" w:hanging="567"/>
      </w:pPr>
      <w:rPr>
        <w:rFonts w:hint="default"/>
        <w:lang w:val="en-US" w:eastAsia="en-US" w:bidi="ar-SA"/>
      </w:rPr>
    </w:lvl>
    <w:lvl w:ilvl="3" w:tplc="6282AB76">
      <w:numFmt w:val="bullet"/>
      <w:lvlText w:val="•"/>
      <w:lvlJc w:val="left"/>
      <w:pPr>
        <w:ind w:left="3076" w:hanging="567"/>
      </w:pPr>
      <w:rPr>
        <w:rFonts w:hint="default"/>
        <w:lang w:val="en-US" w:eastAsia="en-US" w:bidi="ar-SA"/>
      </w:rPr>
    </w:lvl>
    <w:lvl w:ilvl="4" w:tplc="430ED202">
      <w:numFmt w:val="bullet"/>
      <w:lvlText w:val="•"/>
      <w:lvlJc w:val="left"/>
      <w:pPr>
        <w:ind w:left="3975" w:hanging="567"/>
      </w:pPr>
      <w:rPr>
        <w:rFonts w:hint="default"/>
        <w:lang w:val="en-US" w:eastAsia="en-US" w:bidi="ar-SA"/>
      </w:rPr>
    </w:lvl>
    <w:lvl w:ilvl="5" w:tplc="46CA4A42">
      <w:numFmt w:val="bullet"/>
      <w:lvlText w:val="•"/>
      <w:lvlJc w:val="left"/>
      <w:pPr>
        <w:ind w:left="4873" w:hanging="567"/>
      </w:pPr>
      <w:rPr>
        <w:rFonts w:hint="default"/>
        <w:lang w:val="en-US" w:eastAsia="en-US" w:bidi="ar-SA"/>
      </w:rPr>
    </w:lvl>
    <w:lvl w:ilvl="6" w:tplc="4C7825F2">
      <w:numFmt w:val="bullet"/>
      <w:lvlText w:val="•"/>
      <w:lvlJc w:val="left"/>
      <w:pPr>
        <w:ind w:left="5772" w:hanging="567"/>
      </w:pPr>
      <w:rPr>
        <w:rFonts w:hint="default"/>
        <w:lang w:val="en-US" w:eastAsia="en-US" w:bidi="ar-SA"/>
      </w:rPr>
    </w:lvl>
    <w:lvl w:ilvl="7" w:tplc="388E245A">
      <w:numFmt w:val="bullet"/>
      <w:lvlText w:val="•"/>
      <w:lvlJc w:val="left"/>
      <w:pPr>
        <w:ind w:left="6670" w:hanging="567"/>
      </w:pPr>
      <w:rPr>
        <w:rFonts w:hint="default"/>
        <w:lang w:val="en-US" w:eastAsia="en-US" w:bidi="ar-SA"/>
      </w:rPr>
    </w:lvl>
    <w:lvl w:ilvl="8" w:tplc="10CE16E4">
      <w:numFmt w:val="bullet"/>
      <w:lvlText w:val="•"/>
      <w:lvlJc w:val="left"/>
      <w:pPr>
        <w:ind w:left="7569" w:hanging="567"/>
      </w:pPr>
      <w:rPr>
        <w:rFonts w:hint="default"/>
        <w:lang w:val="en-US" w:eastAsia="en-US" w:bidi="ar-SA"/>
      </w:rPr>
    </w:lvl>
  </w:abstractNum>
  <w:abstractNum w:abstractNumId="348" w15:restartNumberingAfterBreak="0">
    <w:nsid w:val="5F4C3B8F"/>
    <w:multiLevelType w:val="hybridMultilevel"/>
    <w:tmpl w:val="2D2AF6E2"/>
    <w:lvl w:ilvl="0" w:tplc="81B0DB78">
      <w:start w:val="1"/>
      <w:numFmt w:val="decimal"/>
      <w:lvlText w:val="(%1)"/>
      <w:lvlJc w:val="left"/>
      <w:pPr>
        <w:ind w:left="1273" w:hanging="567"/>
      </w:pPr>
      <w:rPr>
        <w:rFonts w:ascii="Arial" w:eastAsia="Calibri" w:hAnsi="Arial" w:cs="Arial" w:hint="default"/>
        <w:spacing w:val="-1"/>
        <w:w w:val="100"/>
        <w:sz w:val="20"/>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9" w15:restartNumberingAfterBreak="0">
    <w:nsid w:val="5F9B770F"/>
    <w:multiLevelType w:val="hybridMultilevel"/>
    <w:tmpl w:val="CDCEF3DE"/>
    <w:lvl w:ilvl="0" w:tplc="2FC864DA">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4F223120">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8BFCDAC0">
      <w:numFmt w:val="bullet"/>
      <w:lvlText w:val="•"/>
      <w:lvlJc w:val="left"/>
      <w:pPr>
        <w:ind w:left="2178" w:hanging="567"/>
      </w:pPr>
      <w:rPr>
        <w:rFonts w:hint="default"/>
        <w:lang w:val="en-US" w:eastAsia="en-US" w:bidi="ar-SA"/>
      </w:rPr>
    </w:lvl>
    <w:lvl w:ilvl="3" w:tplc="93141066">
      <w:numFmt w:val="bullet"/>
      <w:lvlText w:val="•"/>
      <w:lvlJc w:val="left"/>
      <w:pPr>
        <w:ind w:left="3076" w:hanging="567"/>
      </w:pPr>
      <w:rPr>
        <w:rFonts w:hint="default"/>
        <w:lang w:val="en-US" w:eastAsia="en-US" w:bidi="ar-SA"/>
      </w:rPr>
    </w:lvl>
    <w:lvl w:ilvl="4" w:tplc="6E5EAFD0">
      <w:numFmt w:val="bullet"/>
      <w:lvlText w:val="•"/>
      <w:lvlJc w:val="left"/>
      <w:pPr>
        <w:ind w:left="3975" w:hanging="567"/>
      </w:pPr>
      <w:rPr>
        <w:rFonts w:hint="default"/>
        <w:lang w:val="en-US" w:eastAsia="en-US" w:bidi="ar-SA"/>
      </w:rPr>
    </w:lvl>
    <w:lvl w:ilvl="5" w:tplc="61BE1660">
      <w:numFmt w:val="bullet"/>
      <w:lvlText w:val="•"/>
      <w:lvlJc w:val="left"/>
      <w:pPr>
        <w:ind w:left="4873" w:hanging="567"/>
      </w:pPr>
      <w:rPr>
        <w:rFonts w:hint="default"/>
        <w:lang w:val="en-US" w:eastAsia="en-US" w:bidi="ar-SA"/>
      </w:rPr>
    </w:lvl>
    <w:lvl w:ilvl="6" w:tplc="CBF657D0">
      <w:numFmt w:val="bullet"/>
      <w:lvlText w:val="•"/>
      <w:lvlJc w:val="left"/>
      <w:pPr>
        <w:ind w:left="5772" w:hanging="567"/>
      </w:pPr>
      <w:rPr>
        <w:rFonts w:hint="default"/>
        <w:lang w:val="en-US" w:eastAsia="en-US" w:bidi="ar-SA"/>
      </w:rPr>
    </w:lvl>
    <w:lvl w:ilvl="7" w:tplc="4C4A2518">
      <w:numFmt w:val="bullet"/>
      <w:lvlText w:val="•"/>
      <w:lvlJc w:val="left"/>
      <w:pPr>
        <w:ind w:left="6670" w:hanging="567"/>
      </w:pPr>
      <w:rPr>
        <w:rFonts w:hint="default"/>
        <w:lang w:val="en-US" w:eastAsia="en-US" w:bidi="ar-SA"/>
      </w:rPr>
    </w:lvl>
    <w:lvl w:ilvl="8" w:tplc="7C86C532">
      <w:numFmt w:val="bullet"/>
      <w:lvlText w:val="•"/>
      <w:lvlJc w:val="left"/>
      <w:pPr>
        <w:ind w:left="7569" w:hanging="567"/>
      </w:pPr>
      <w:rPr>
        <w:rFonts w:hint="default"/>
        <w:lang w:val="en-US" w:eastAsia="en-US" w:bidi="ar-SA"/>
      </w:rPr>
    </w:lvl>
  </w:abstractNum>
  <w:abstractNum w:abstractNumId="350" w15:restartNumberingAfterBreak="0">
    <w:nsid w:val="5FA177DC"/>
    <w:multiLevelType w:val="hybridMultilevel"/>
    <w:tmpl w:val="44F017D4"/>
    <w:lvl w:ilvl="0" w:tplc="620CF64C">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53D21A0A">
      <w:numFmt w:val="bullet"/>
      <w:lvlText w:val="•"/>
      <w:lvlJc w:val="left"/>
      <w:pPr>
        <w:ind w:left="1566" w:hanging="567"/>
      </w:pPr>
      <w:rPr>
        <w:rFonts w:hint="default"/>
        <w:lang w:val="en-US" w:eastAsia="en-US" w:bidi="ar-SA"/>
      </w:rPr>
    </w:lvl>
    <w:lvl w:ilvl="2" w:tplc="5AC82550">
      <w:numFmt w:val="bullet"/>
      <w:lvlText w:val="•"/>
      <w:lvlJc w:val="left"/>
      <w:pPr>
        <w:ind w:left="2433" w:hanging="567"/>
      </w:pPr>
      <w:rPr>
        <w:rFonts w:hint="default"/>
        <w:lang w:val="en-US" w:eastAsia="en-US" w:bidi="ar-SA"/>
      </w:rPr>
    </w:lvl>
    <w:lvl w:ilvl="3" w:tplc="E0F0E47E">
      <w:numFmt w:val="bullet"/>
      <w:lvlText w:val="•"/>
      <w:lvlJc w:val="left"/>
      <w:pPr>
        <w:ind w:left="3299" w:hanging="567"/>
      </w:pPr>
      <w:rPr>
        <w:rFonts w:hint="default"/>
        <w:lang w:val="en-US" w:eastAsia="en-US" w:bidi="ar-SA"/>
      </w:rPr>
    </w:lvl>
    <w:lvl w:ilvl="4" w:tplc="4C6C5824">
      <w:numFmt w:val="bullet"/>
      <w:lvlText w:val="•"/>
      <w:lvlJc w:val="left"/>
      <w:pPr>
        <w:ind w:left="4166" w:hanging="567"/>
      </w:pPr>
      <w:rPr>
        <w:rFonts w:hint="default"/>
        <w:lang w:val="en-US" w:eastAsia="en-US" w:bidi="ar-SA"/>
      </w:rPr>
    </w:lvl>
    <w:lvl w:ilvl="5" w:tplc="BE28A31E">
      <w:numFmt w:val="bullet"/>
      <w:lvlText w:val="•"/>
      <w:lvlJc w:val="left"/>
      <w:pPr>
        <w:ind w:left="5033" w:hanging="567"/>
      </w:pPr>
      <w:rPr>
        <w:rFonts w:hint="default"/>
        <w:lang w:val="en-US" w:eastAsia="en-US" w:bidi="ar-SA"/>
      </w:rPr>
    </w:lvl>
    <w:lvl w:ilvl="6" w:tplc="5A40B2DA">
      <w:numFmt w:val="bullet"/>
      <w:lvlText w:val="•"/>
      <w:lvlJc w:val="left"/>
      <w:pPr>
        <w:ind w:left="5899" w:hanging="567"/>
      </w:pPr>
      <w:rPr>
        <w:rFonts w:hint="default"/>
        <w:lang w:val="en-US" w:eastAsia="en-US" w:bidi="ar-SA"/>
      </w:rPr>
    </w:lvl>
    <w:lvl w:ilvl="7" w:tplc="CB3AFF6E">
      <w:numFmt w:val="bullet"/>
      <w:lvlText w:val="•"/>
      <w:lvlJc w:val="left"/>
      <w:pPr>
        <w:ind w:left="6766" w:hanging="567"/>
      </w:pPr>
      <w:rPr>
        <w:rFonts w:hint="default"/>
        <w:lang w:val="en-US" w:eastAsia="en-US" w:bidi="ar-SA"/>
      </w:rPr>
    </w:lvl>
    <w:lvl w:ilvl="8" w:tplc="AE104DC0">
      <w:numFmt w:val="bullet"/>
      <w:lvlText w:val="•"/>
      <w:lvlJc w:val="left"/>
      <w:pPr>
        <w:ind w:left="7633" w:hanging="567"/>
      </w:pPr>
      <w:rPr>
        <w:rFonts w:hint="default"/>
        <w:lang w:val="en-US" w:eastAsia="en-US" w:bidi="ar-SA"/>
      </w:rPr>
    </w:lvl>
  </w:abstractNum>
  <w:abstractNum w:abstractNumId="351" w15:restartNumberingAfterBreak="0">
    <w:nsid w:val="60376C36"/>
    <w:multiLevelType w:val="hybridMultilevel"/>
    <w:tmpl w:val="8EFCD738"/>
    <w:lvl w:ilvl="0" w:tplc="039CE82E">
      <w:start w:val="1"/>
      <w:numFmt w:val="lowerLetter"/>
      <w:lvlText w:val="(%1)"/>
      <w:lvlJc w:val="left"/>
      <w:pPr>
        <w:ind w:left="543" w:hanging="459"/>
      </w:pPr>
      <w:rPr>
        <w:rFonts w:ascii="Arial" w:eastAsia="Calibri" w:hAnsi="Arial" w:cs="Arial" w:hint="default"/>
        <w:spacing w:val="-1"/>
        <w:w w:val="99"/>
        <w:sz w:val="20"/>
        <w:szCs w:val="20"/>
        <w:lang w:val="en-US" w:eastAsia="en-US" w:bidi="ar-SA"/>
      </w:rPr>
    </w:lvl>
    <w:lvl w:ilvl="1" w:tplc="E368C060">
      <w:numFmt w:val="bullet"/>
      <w:lvlText w:val="•"/>
      <w:lvlJc w:val="left"/>
      <w:pPr>
        <w:ind w:left="811" w:hanging="459"/>
      </w:pPr>
      <w:rPr>
        <w:rFonts w:hint="default"/>
        <w:lang w:val="en-US" w:eastAsia="en-US" w:bidi="ar-SA"/>
      </w:rPr>
    </w:lvl>
    <w:lvl w:ilvl="2" w:tplc="D6E474AE">
      <w:numFmt w:val="bullet"/>
      <w:lvlText w:val="•"/>
      <w:lvlJc w:val="left"/>
      <w:pPr>
        <w:ind w:left="1082" w:hanging="459"/>
      </w:pPr>
      <w:rPr>
        <w:rFonts w:hint="default"/>
        <w:lang w:val="en-US" w:eastAsia="en-US" w:bidi="ar-SA"/>
      </w:rPr>
    </w:lvl>
    <w:lvl w:ilvl="3" w:tplc="D25EDE66">
      <w:numFmt w:val="bullet"/>
      <w:lvlText w:val="•"/>
      <w:lvlJc w:val="left"/>
      <w:pPr>
        <w:ind w:left="1353" w:hanging="459"/>
      </w:pPr>
      <w:rPr>
        <w:rFonts w:hint="default"/>
        <w:lang w:val="en-US" w:eastAsia="en-US" w:bidi="ar-SA"/>
      </w:rPr>
    </w:lvl>
    <w:lvl w:ilvl="4" w:tplc="84504FDC">
      <w:numFmt w:val="bullet"/>
      <w:lvlText w:val="•"/>
      <w:lvlJc w:val="left"/>
      <w:pPr>
        <w:ind w:left="1624" w:hanging="459"/>
      </w:pPr>
      <w:rPr>
        <w:rFonts w:hint="default"/>
        <w:lang w:val="en-US" w:eastAsia="en-US" w:bidi="ar-SA"/>
      </w:rPr>
    </w:lvl>
    <w:lvl w:ilvl="5" w:tplc="204A24FC">
      <w:numFmt w:val="bullet"/>
      <w:lvlText w:val="•"/>
      <w:lvlJc w:val="left"/>
      <w:pPr>
        <w:ind w:left="1895" w:hanging="459"/>
      </w:pPr>
      <w:rPr>
        <w:rFonts w:hint="default"/>
        <w:lang w:val="en-US" w:eastAsia="en-US" w:bidi="ar-SA"/>
      </w:rPr>
    </w:lvl>
    <w:lvl w:ilvl="6" w:tplc="636A4912">
      <w:numFmt w:val="bullet"/>
      <w:lvlText w:val="•"/>
      <w:lvlJc w:val="left"/>
      <w:pPr>
        <w:ind w:left="2166" w:hanging="459"/>
      </w:pPr>
      <w:rPr>
        <w:rFonts w:hint="default"/>
        <w:lang w:val="en-US" w:eastAsia="en-US" w:bidi="ar-SA"/>
      </w:rPr>
    </w:lvl>
    <w:lvl w:ilvl="7" w:tplc="B7F24168">
      <w:numFmt w:val="bullet"/>
      <w:lvlText w:val="•"/>
      <w:lvlJc w:val="left"/>
      <w:pPr>
        <w:ind w:left="2438" w:hanging="459"/>
      </w:pPr>
      <w:rPr>
        <w:rFonts w:hint="default"/>
        <w:lang w:val="en-US" w:eastAsia="en-US" w:bidi="ar-SA"/>
      </w:rPr>
    </w:lvl>
    <w:lvl w:ilvl="8" w:tplc="820A2A66">
      <w:numFmt w:val="bullet"/>
      <w:lvlText w:val="•"/>
      <w:lvlJc w:val="left"/>
      <w:pPr>
        <w:ind w:left="2709" w:hanging="459"/>
      </w:pPr>
      <w:rPr>
        <w:rFonts w:hint="default"/>
        <w:lang w:val="en-US" w:eastAsia="en-US" w:bidi="ar-SA"/>
      </w:rPr>
    </w:lvl>
  </w:abstractNum>
  <w:abstractNum w:abstractNumId="352" w15:restartNumberingAfterBreak="0">
    <w:nsid w:val="6098688A"/>
    <w:multiLevelType w:val="hybridMultilevel"/>
    <w:tmpl w:val="090430A0"/>
    <w:lvl w:ilvl="0" w:tplc="A8AEC742">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EA74E27E">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7F7417B8">
      <w:numFmt w:val="bullet"/>
      <w:lvlText w:val="•"/>
      <w:lvlJc w:val="left"/>
      <w:pPr>
        <w:ind w:left="2178" w:hanging="567"/>
      </w:pPr>
      <w:rPr>
        <w:rFonts w:hint="default"/>
        <w:lang w:val="en-US" w:eastAsia="en-US" w:bidi="ar-SA"/>
      </w:rPr>
    </w:lvl>
    <w:lvl w:ilvl="3" w:tplc="60C27FE6">
      <w:numFmt w:val="bullet"/>
      <w:lvlText w:val="•"/>
      <w:lvlJc w:val="left"/>
      <w:pPr>
        <w:ind w:left="3076" w:hanging="567"/>
      </w:pPr>
      <w:rPr>
        <w:rFonts w:hint="default"/>
        <w:lang w:val="en-US" w:eastAsia="en-US" w:bidi="ar-SA"/>
      </w:rPr>
    </w:lvl>
    <w:lvl w:ilvl="4" w:tplc="00AE62D8">
      <w:numFmt w:val="bullet"/>
      <w:lvlText w:val="•"/>
      <w:lvlJc w:val="left"/>
      <w:pPr>
        <w:ind w:left="3975" w:hanging="567"/>
      </w:pPr>
      <w:rPr>
        <w:rFonts w:hint="default"/>
        <w:lang w:val="en-US" w:eastAsia="en-US" w:bidi="ar-SA"/>
      </w:rPr>
    </w:lvl>
    <w:lvl w:ilvl="5" w:tplc="8C2E4006">
      <w:numFmt w:val="bullet"/>
      <w:lvlText w:val="•"/>
      <w:lvlJc w:val="left"/>
      <w:pPr>
        <w:ind w:left="4873" w:hanging="567"/>
      </w:pPr>
      <w:rPr>
        <w:rFonts w:hint="default"/>
        <w:lang w:val="en-US" w:eastAsia="en-US" w:bidi="ar-SA"/>
      </w:rPr>
    </w:lvl>
    <w:lvl w:ilvl="6" w:tplc="97725E80">
      <w:numFmt w:val="bullet"/>
      <w:lvlText w:val="•"/>
      <w:lvlJc w:val="left"/>
      <w:pPr>
        <w:ind w:left="5772" w:hanging="567"/>
      </w:pPr>
      <w:rPr>
        <w:rFonts w:hint="default"/>
        <w:lang w:val="en-US" w:eastAsia="en-US" w:bidi="ar-SA"/>
      </w:rPr>
    </w:lvl>
    <w:lvl w:ilvl="7" w:tplc="C55AA832">
      <w:numFmt w:val="bullet"/>
      <w:lvlText w:val="•"/>
      <w:lvlJc w:val="left"/>
      <w:pPr>
        <w:ind w:left="6670" w:hanging="567"/>
      </w:pPr>
      <w:rPr>
        <w:rFonts w:hint="default"/>
        <w:lang w:val="en-US" w:eastAsia="en-US" w:bidi="ar-SA"/>
      </w:rPr>
    </w:lvl>
    <w:lvl w:ilvl="8" w:tplc="0890CF9C">
      <w:numFmt w:val="bullet"/>
      <w:lvlText w:val="•"/>
      <w:lvlJc w:val="left"/>
      <w:pPr>
        <w:ind w:left="7569" w:hanging="567"/>
      </w:pPr>
      <w:rPr>
        <w:rFonts w:hint="default"/>
        <w:lang w:val="en-US" w:eastAsia="en-US" w:bidi="ar-SA"/>
      </w:rPr>
    </w:lvl>
  </w:abstractNum>
  <w:abstractNum w:abstractNumId="353" w15:restartNumberingAfterBreak="0">
    <w:nsid w:val="60E57A01"/>
    <w:multiLevelType w:val="hybridMultilevel"/>
    <w:tmpl w:val="42040E28"/>
    <w:lvl w:ilvl="0" w:tplc="83DCFCF8">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9A926718">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B9822E3A">
      <w:numFmt w:val="bullet"/>
      <w:lvlText w:val="•"/>
      <w:lvlJc w:val="left"/>
      <w:pPr>
        <w:ind w:left="2178" w:hanging="567"/>
      </w:pPr>
      <w:rPr>
        <w:rFonts w:hint="default"/>
        <w:lang w:val="en-US" w:eastAsia="en-US" w:bidi="ar-SA"/>
      </w:rPr>
    </w:lvl>
    <w:lvl w:ilvl="3" w:tplc="F078CD68">
      <w:numFmt w:val="bullet"/>
      <w:lvlText w:val="•"/>
      <w:lvlJc w:val="left"/>
      <w:pPr>
        <w:ind w:left="3076" w:hanging="567"/>
      </w:pPr>
      <w:rPr>
        <w:rFonts w:hint="default"/>
        <w:lang w:val="en-US" w:eastAsia="en-US" w:bidi="ar-SA"/>
      </w:rPr>
    </w:lvl>
    <w:lvl w:ilvl="4" w:tplc="A4FCD2FC">
      <w:numFmt w:val="bullet"/>
      <w:lvlText w:val="•"/>
      <w:lvlJc w:val="left"/>
      <w:pPr>
        <w:ind w:left="3975" w:hanging="567"/>
      </w:pPr>
      <w:rPr>
        <w:rFonts w:hint="default"/>
        <w:lang w:val="en-US" w:eastAsia="en-US" w:bidi="ar-SA"/>
      </w:rPr>
    </w:lvl>
    <w:lvl w:ilvl="5" w:tplc="83AE20AC">
      <w:numFmt w:val="bullet"/>
      <w:lvlText w:val="•"/>
      <w:lvlJc w:val="left"/>
      <w:pPr>
        <w:ind w:left="4873" w:hanging="567"/>
      </w:pPr>
      <w:rPr>
        <w:rFonts w:hint="default"/>
        <w:lang w:val="en-US" w:eastAsia="en-US" w:bidi="ar-SA"/>
      </w:rPr>
    </w:lvl>
    <w:lvl w:ilvl="6" w:tplc="E232150A">
      <w:numFmt w:val="bullet"/>
      <w:lvlText w:val="•"/>
      <w:lvlJc w:val="left"/>
      <w:pPr>
        <w:ind w:left="5772" w:hanging="567"/>
      </w:pPr>
      <w:rPr>
        <w:rFonts w:hint="default"/>
        <w:lang w:val="en-US" w:eastAsia="en-US" w:bidi="ar-SA"/>
      </w:rPr>
    </w:lvl>
    <w:lvl w:ilvl="7" w:tplc="626E93A6">
      <w:numFmt w:val="bullet"/>
      <w:lvlText w:val="•"/>
      <w:lvlJc w:val="left"/>
      <w:pPr>
        <w:ind w:left="6670" w:hanging="567"/>
      </w:pPr>
      <w:rPr>
        <w:rFonts w:hint="default"/>
        <w:lang w:val="en-US" w:eastAsia="en-US" w:bidi="ar-SA"/>
      </w:rPr>
    </w:lvl>
    <w:lvl w:ilvl="8" w:tplc="B224A590">
      <w:numFmt w:val="bullet"/>
      <w:lvlText w:val="•"/>
      <w:lvlJc w:val="left"/>
      <w:pPr>
        <w:ind w:left="7569" w:hanging="567"/>
      </w:pPr>
      <w:rPr>
        <w:rFonts w:hint="default"/>
        <w:lang w:val="en-US" w:eastAsia="en-US" w:bidi="ar-SA"/>
      </w:rPr>
    </w:lvl>
  </w:abstractNum>
  <w:abstractNum w:abstractNumId="354" w15:restartNumberingAfterBreak="0">
    <w:nsid w:val="6175141A"/>
    <w:multiLevelType w:val="hybridMultilevel"/>
    <w:tmpl w:val="7A6033B6"/>
    <w:lvl w:ilvl="0" w:tplc="3F2E25BE">
      <w:start w:val="1"/>
      <w:numFmt w:val="decimal"/>
      <w:lvlText w:val="(%1)"/>
      <w:lvlJc w:val="left"/>
      <w:pPr>
        <w:ind w:left="1273" w:hanging="567"/>
      </w:pPr>
      <w:rPr>
        <w:rFonts w:ascii="Arial" w:eastAsia="Calibri" w:hAnsi="Arial" w:cs="Arial" w:hint="default"/>
        <w:spacing w:val="-1"/>
        <w:w w:val="100"/>
        <w:sz w:val="20"/>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5" w15:restartNumberingAfterBreak="0">
    <w:nsid w:val="619C5B72"/>
    <w:multiLevelType w:val="hybridMultilevel"/>
    <w:tmpl w:val="8DD0ED10"/>
    <w:lvl w:ilvl="0" w:tplc="171260C8">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8122D6C">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03703DF8">
      <w:start w:val="1"/>
      <w:numFmt w:val="lowerRoman"/>
      <w:lvlText w:val="(%3)"/>
      <w:lvlJc w:val="left"/>
      <w:pPr>
        <w:ind w:left="1842" w:hanging="569"/>
      </w:pPr>
      <w:rPr>
        <w:rFonts w:ascii="Arial" w:eastAsia="Calibri" w:hAnsi="Arial" w:cs="Arial" w:hint="default"/>
        <w:spacing w:val="-1"/>
        <w:w w:val="100"/>
        <w:sz w:val="20"/>
        <w:szCs w:val="22"/>
        <w:lang w:val="en-US" w:eastAsia="en-US" w:bidi="ar-SA"/>
      </w:rPr>
    </w:lvl>
    <w:lvl w:ilvl="3" w:tplc="7B02881A">
      <w:numFmt w:val="bullet"/>
      <w:lvlText w:val="•"/>
      <w:lvlJc w:val="left"/>
      <w:pPr>
        <w:ind w:left="2780" w:hanging="569"/>
      </w:pPr>
      <w:rPr>
        <w:rFonts w:hint="default"/>
        <w:lang w:val="en-US" w:eastAsia="en-US" w:bidi="ar-SA"/>
      </w:rPr>
    </w:lvl>
    <w:lvl w:ilvl="4" w:tplc="AD60D24C">
      <w:numFmt w:val="bullet"/>
      <w:lvlText w:val="•"/>
      <w:lvlJc w:val="left"/>
      <w:pPr>
        <w:ind w:left="3721" w:hanging="569"/>
      </w:pPr>
      <w:rPr>
        <w:rFonts w:hint="default"/>
        <w:lang w:val="en-US" w:eastAsia="en-US" w:bidi="ar-SA"/>
      </w:rPr>
    </w:lvl>
    <w:lvl w:ilvl="5" w:tplc="24508964">
      <w:numFmt w:val="bullet"/>
      <w:lvlText w:val="•"/>
      <w:lvlJc w:val="left"/>
      <w:pPr>
        <w:ind w:left="4662" w:hanging="569"/>
      </w:pPr>
      <w:rPr>
        <w:rFonts w:hint="default"/>
        <w:lang w:val="en-US" w:eastAsia="en-US" w:bidi="ar-SA"/>
      </w:rPr>
    </w:lvl>
    <w:lvl w:ilvl="6" w:tplc="43964BAA">
      <w:numFmt w:val="bullet"/>
      <w:lvlText w:val="•"/>
      <w:lvlJc w:val="left"/>
      <w:pPr>
        <w:ind w:left="5603" w:hanging="569"/>
      </w:pPr>
      <w:rPr>
        <w:rFonts w:hint="default"/>
        <w:lang w:val="en-US" w:eastAsia="en-US" w:bidi="ar-SA"/>
      </w:rPr>
    </w:lvl>
    <w:lvl w:ilvl="7" w:tplc="38101036">
      <w:numFmt w:val="bullet"/>
      <w:lvlText w:val="•"/>
      <w:lvlJc w:val="left"/>
      <w:pPr>
        <w:ind w:left="6544" w:hanging="569"/>
      </w:pPr>
      <w:rPr>
        <w:rFonts w:hint="default"/>
        <w:lang w:val="en-US" w:eastAsia="en-US" w:bidi="ar-SA"/>
      </w:rPr>
    </w:lvl>
    <w:lvl w:ilvl="8" w:tplc="6C5C8B34">
      <w:numFmt w:val="bullet"/>
      <w:lvlText w:val="•"/>
      <w:lvlJc w:val="left"/>
      <w:pPr>
        <w:ind w:left="7484" w:hanging="569"/>
      </w:pPr>
      <w:rPr>
        <w:rFonts w:hint="default"/>
        <w:lang w:val="en-US" w:eastAsia="en-US" w:bidi="ar-SA"/>
      </w:rPr>
    </w:lvl>
  </w:abstractNum>
  <w:abstractNum w:abstractNumId="356" w15:restartNumberingAfterBreak="0">
    <w:nsid w:val="61A70532"/>
    <w:multiLevelType w:val="hybridMultilevel"/>
    <w:tmpl w:val="311E922A"/>
    <w:lvl w:ilvl="0" w:tplc="C5C0EA0E">
      <w:start w:val="1"/>
      <w:numFmt w:val="decimal"/>
      <w:lvlText w:val="%1."/>
      <w:lvlJc w:val="left"/>
      <w:pPr>
        <w:ind w:left="706" w:hanging="567"/>
      </w:pPr>
      <w:rPr>
        <w:rFonts w:ascii="Arial" w:eastAsia="Calibri" w:hAnsi="Arial" w:cs="Arial" w:hint="default"/>
        <w:w w:val="100"/>
        <w:sz w:val="20"/>
        <w:szCs w:val="22"/>
        <w:lang w:val="en-US" w:eastAsia="en-US" w:bidi="ar-SA"/>
      </w:rPr>
    </w:lvl>
    <w:lvl w:ilvl="1" w:tplc="32DEB5AE">
      <w:start w:val="1"/>
      <w:numFmt w:val="lowerLetter"/>
      <w:lvlText w:val="(%2)"/>
      <w:lvlJc w:val="left"/>
      <w:pPr>
        <w:ind w:left="1273" w:hanging="567"/>
      </w:pPr>
      <w:rPr>
        <w:rFonts w:ascii="Arial" w:eastAsia="Calibri" w:hAnsi="Arial" w:cs="Arial" w:hint="default"/>
        <w:spacing w:val="-1"/>
        <w:w w:val="100"/>
        <w:sz w:val="20"/>
        <w:szCs w:val="22"/>
        <w:lang w:val="en-US" w:eastAsia="en-US" w:bidi="ar-SA"/>
      </w:rPr>
    </w:lvl>
    <w:lvl w:ilvl="2" w:tplc="2076AB48">
      <w:numFmt w:val="bullet"/>
      <w:lvlText w:val="•"/>
      <w:lvlJc w:val="left"/>
      <w:pPr>
        <w:ind w:left="2178" w:hanging="567"/>
      </w:pPr>
      <w:rPr>
        <w:rFonts w:hint="default"/>
        <w:lang w:val="en-US" w:eastAsia="en-US" w:bidi="ar-SA"/>
      </w:rPr>
    </w:lvl>
    <w:lvl w:ilvl="3" w:tplc="8A28B0EC">
      <w:numFmt w:val="bullet"/>
      <w:lvlText w:val="•"/>
      <w:lvlJc w:val="left"/>
      <w:pPr>
        <w:ind w:left="3076" w:hanging="567"/>
      </w:pPr>
      <w:rPr>
        <w:rFonts w:hint="default"/>
        <w:lang w:val="en-US" w:eastAsia="en-US" w:bidi="ar-SA"/>
      </w:rPr>
    </w:lvl>
    <w:lvl w:ilvl="4" w:tplc="0366B604">
      <w:numFmt w:val="bullet"/>
      <w:lvlText w:val="•"/>
      <w:lvlJc w:val="left"/>
      <w:pPr>
        <w:ind w:left="3975" w:hanging="567"/>
      </w:pPr>
      <w:rPr>
        <w:rFonts w:hint="default"/>
        <w:lang w:val="en-US" w:eastAsia="en-US" w:bidi="ar-SA"/>
      </w:rPr>
    </w:lvl>
    <w:lvl w:ilvl="5" w:tplc="5E4AD06A">
      <w:numFmt w:val="bullet"/>
      <w:lvlText w:val="•"/>
      <w:lvlJc w:val="left"/>
      <w:pPr>
        <w:ind w:left="4873" w:hanging="567"/>
      </w:pPr>
      <w:rPr>
        <w:rFonts w:hint="default"/>
        <w:lang w:val="en-US" w:eastAsia="en-US" w:bidi="ar-SA"/>
      </w:rPr>
    </w:lvl>
    <w:lvl w:ilvl="6" w:tplc="EADA355C">
      <w:numFmt w:val="bullet"/>
      <w:lvlText w:val="•"/>
      <w:lvlJc w:val="left"/>
      <w:pPr>
        <w:ind w:left="5772" w:hanging="567"/>
      </w:pPr>
      <w:rPr>
        <w:rFonts w:hint="default"/>
        <w:lang w:val="en-US" w:eastAsia="en-US" w:bidi="ar-SA"/>
      </w:rPr>
    </w:lvl>
    <w:lvl w:ilvl="7" w:tplc="57BA05E8">
      <w:numFmt w:val="bullet"/>
      <w:lvlText w:val="•"/>
      <w:lvlJc w:val="left"/>
      <w:pPr>
        <w:ind w:left="6670" w:hanging="567"/>
      </w:pPr>
      <w:rPr>
        <w:rFonts w:hint="default"/>
        <w:lang w:val="en-US" w:eastAsia="en-US" w:bidi="ar-SA"/>
      </w:rPr>
    </w:lvl>
    <w:lvl w:ilvl="8" w:tplc="F0EA0004">
      <w:numFmt w:val="bullet"/>
      <w:lvlText w:val="•"/>
      <w:lvlJc w:val="left"/>
      <w:pPr>
        <w:ind w:left="7569" w:hanging="567"/>
      </w:pPr>
      <w:rPr>
        <w:rFonts w:hint="default"/>
        <w:lang w:val="en-US" w:eastAsia="en-US" w:bidi="ar-SA"/>
      </w:rPr>
    </w:lvl>
  </w:abstractNum>
  <w:abstractNum w:abstractNumId="357" w15:restartNumberingAfterBreak="0">
    <w:nsid w:val="61B23023"/>
    <w:multiLevelType w:val="hybridMultilevel"/>
    <w:tmpl w:val="03B0C78C"/>
    <w:lvl w:ilvl="0" w:tplc="D9F8B204">
      <w:start w:val="1"/>
      <w:numFmt w:val="decimal"/>
      <w:lvlText w:val="(%1)"/>
      <w:lvlJc w:val="left"/>
      <w:pPr>
        <w:ind w:left="1273" w:hanging="567"/>
      </w:pPr>
      <w:rPr>
        <w:rFonts w:ascii="Arial" w:eastAsia="Calibri" w:hAnsi="Arial" w:cs="Arial" w:hint="default"/>
        <w:spacing w:val="-1"/>
        <w:w w:val="100"/>
        <w:sz w:val="20"/>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8" w15:restartNumberingAfterBreak="0">
    <w:nsid w:val="61DD14CA"/>
    <w:multiLevelType w:val="hybridMultilevel"/>
    <w:tmpl w:val="202CA072"/>
    <w:lvl w:ilvl="0" w:tplc="2E7A76A2">
      <w:start w:val="1"/>
      <w:numFmt w:val="decimal"/>
      <w:lvlText w:val="%1."/>
      <w:lvlJc w:val="left"/>
      <w:pPr>
        <w:ind w:left="706" w:hanging="567"/>
      </w:pPr>
      <w:rPr>
        <w:rFonts w:ascii="Arial" w:eastAsia="Calibri" w:hAnsi="Arial" w:cs="Arial" w:hint="default"/>
        <w:w w:val="100"/>
        <w:sz w:val="20"/>
        <w:szCs w:val="22"/>
        <w:lang w:val="en-US" w:eastAsia="en-US" w:bidi="ar-SA"/>
      </w:rPr>
    </w:lvl>
    <w:lvl w:ilvl="1" w:tplc="BA3658AC">
      <w:start w:val="1"/>
      <w:numFmt w:val="lowerLetter"/>
      <w:lvlText w:val="(%2)"/>
      <w:lvlJc w:val="left"/>
      <w:pPr>
        <w:ind w:left="1273" w:hanging="567"/>
      </w:pPr>
      <w:rPr>
        <w:rFonts w:ascii="Arial" w:eastAsia="Calibri" w:hAnsi="Arial" w:cs="Arial" w:hint="default"/>
        <w:spacing w:val="-1"/>
        <w:w w:val="100"/>
        <w:sz w:val="20"/>
        <w:szCs w:val="22"/>
        <w:lang w:val="en-US" w:eastAsia="en-US" w:bidi="ar-SA"/>
      </w:rPr>
    </w:lvl>
    <w:lvl w:ilvl="2" w:tplc="E0F48ED4">
      <w:numFmt w:val="bullet"/>
      <w:lvlText w:val="•"/>
      <w:lvlJc w:val="left"/>
      <w:pPr>
        <w:ind w:left="2178" w:hanging="567"/>
      </w:pPr>
      <w:rPr>
        <w:rFonts w:hint="default"/>
        <w:lang w:val="en-US" w:eastAsia="en-US" w:bidi="ar-SA"/>
      </w:rPr>
    </w:lvl>
    <w:lvl w:ilvl="3" w:tplc="E60601E8">
      <w:numFmt w:val="bullet"/>
      <w:lvlText w:val="•"/>
      <w:lvlJc w:val="left"/>
      <w:pPr>
        <w:ind w:left="3076" w:hanging="567"/>
      </w:pPr>
      <w:rPr>
        <w:rFonts w:hint="default"/>
        <w:lang w:val="en-US" w:eastAsia="en-US" w:bidi="ar-SA"/>
      </w:rPr>
    </w:lvl>
    <w:lvl w:ilvl="4" w:tplc="7FA07EEE">
      <w:numFmt w:val="bullet"/>
      <w:lvlText w:val="•"/>
      <w:lvlJc w:val="left"/>
      <w:pPr>
        <w:ind w:left="3975" w:hanging="567"/>
      </w:pPr>
      <w:rPr>
        <w:rFonts w:hint="default"/>
        <w:lang w:val="en-US" w:eastAsia="en-US" w:bidi="ar-SA"/>
      </w:rPr>
    </w:lvl>
    <w:lvl w:ilvl="5" w:tplc="CF0CB45A">
      <w:numFmt w:val="bullet"/>
      <w:lvlText w:val="•"/>
      <w:lvlJc w:val="left"/>
      <w:pPr>
        <w:ind w:left="4873" w:hanging="567"/>
      </w:pPr>
      <w:rPr>
        <w:rFonts w:hint="default"/>
        <w:lang w:val="en-US" w:eastAsia="en-US" w:bidi="ar-SA"/>
      </w:rPr>
    </w:lvl>
    <w:lvl w:ilvl="6" w:tplc="524CA966">
      <w:numFmt w:val="bullet"/>
      <w:lvlText w:val="•"/>
      <w:lvlJc w:val="left"/>
      <w:pPr>
        <w:ind w:left="5772" w:hanging="567"/>
      </w:pPr>
      <w:rPr>
        <w:rFonts w:hint="default"/>
        <w:lang w:val="en-US" w:eastAsia="en-US" w:bidi="ar-SA"/>
      </w:rPr>
    </w:lvl>
    <w:lvl w:ilvl="7" w:tplc="1CEA963A">
      <w:numFmt w:val="bullet"/>
      <w:lvlText w:val="•"/>
      <w:lvlJc w:val="left"/>
      <w:pPr>
        <w:ind w:left="6670" w:hanging="567"/>
      </w:pPr>
      <w:rPr>
        <w:rFonts w:hint="default"/>
        <w:lang w:val="en-US" w:eastAsia="en-US" w:bidi="ar-SA"/>
      </w:rPr>
    </w:lvl>
    <w:lvl w:ilvl="8" w:tplc="B8EE0F3A">
      <w:numFmt w:val="bullet"/>
      <w:lvlText w:val="•"/>
      <w:lvlJc w:val="left"/>
      <w:pPr>
        <w:ind w:left="7569" w:hanging="567"/>
      </w:pPr>
      <w:rPr>
        <w:rFonts w:hint="default"/>
        <w:lang w:val="en-US" w:eastAsia="en-US" w:bidi="ar-SA"/>
      </w:rPr>
    </w:lvl>
  </w:abstractNum>
  <w:abstractNum w:abstractNumId="359" w15:restartNumberingAfterBreak="0">
    <w:nsid w:val="62150903"/>
    <w:multiLevelType w:val="hybridMultilevel"/>
    <w:tmpl w:val="BD4A5CA4"/>
    <w:lvl w:ilvl="0" w:tplc="4C326BF2">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703E7ACE">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67E42316">
      <w:numFmt w:val="bullet"/>
      <w:lvlText w:val="•"/>
      <w:lvlJc w:val="left"/>
      <w:pPr>
        <w:ind w:left="2178" w:hanging="567"/>
      </w:pPr>
      <w:rPr>
        <w:rFonts w:hint="default"/>
        <w:lang w:val="en-US" w:eastAsia="en-US" w:bidi="ar-SA"/>
      </w:rPr>
    </w:lvl>
    <w:lvl w:ilvl="3" w:tplc="4EB275FE">
      <w:numFmt w:val="bullet"/>
      <w:lvlText w:val="•"/>
      <w:lvlJc w:val="left"/>
      <w:pPr>
        <w:ind w:left="3076" w:hanging="567"/>
      </w:pPr>
      <w:rPr>
        <w:rFonts w:hint="default"/>
        <w:lang w:val="en-US" w:eastAsia="en-US" w:bidi="ar-SA"/>
      </w:rPr>
    </w:lvl>
    <w:lvl w:ilvl="4" w:tplc="093C82F2">
      <w:numFmt w:val="bullet"/>
      <w:lvlText w:val="•"/>
      <w:lvlJc w:val="left"/>
      <w:pPr>
        <w:ind w:left="3975" w:hanging="567"/>
      </w:pPr>
      <w:rPr>
        <w:rFonts w:hint="default"/>
        <w:lang w:val="en-US" w:eastAsia="en-US" w:bidi="ar-SA"/>
      </w:rPr>
    </w:lvl>
    <w:lvl w:ilvl="5" w:tplc="00727C80">
      <w:numFmt w:val="bullet"/>
      <w:lvlText w:val="•"/>
      <w:lvlJc w:val="left"/>
      <w:pPr>
        <w:ind w:left="4873" w:hanging="567"/>
      </w:pPr>
      <w:rPr>
        <w:rFonts w:hint="default"/>
        <w:lang w:val="en-US" w:eastAsia="en-US" w:bidi="ar-SA"/>
      </w:rPr>
    </w:lvl>
    <w:lvl w:ilvl="6" w:tplc="9E883448">
      <w:numFmt w:val="bullet"/>
      <w:lvlText w:val="•"/>
      <w:lvlJc w:val="left"/>
      <w:pPr>
        <w:ind w:left="5772" w:hanging="567"/>
      </w:pPr>
      <w:rPr>
        <w:rFonts w:hint="default"/>
        <w:lang w:val="en-US" w:eastAsia="en-US" w:bidi="ar-SA"/>
      </w:rPr>
    </w:lvl>
    <w:lvl w:ilvl="7" w:tplc="0F406BE4">
      <w:numFmt w:val="bullet"/>
      <w:lvlText w:val="•"/>
      <w:lvlJc w:val="left"/>
      <w:pPr>
        <w:ind w:left="6670" w:hanging="567"/>
      </w:pPr>
      <w:rPr>
        <w:rFonts w:hint="default"/>
        <w:lang w:val="en-US" w:eastAsia="en-US" w:bidi="ar-SA"/>
      </w:rPr>
    </w:lvl>
    <w:lvl w:ilvl="8" w:tplc="64D809FC">
      <w:numFmt w:val="bullet"/>
      <w:lvlText w:val="•"/>
      <w:lvlJc w:val="left"/>
      <w:pPr>
        <w:ind w:left="7569" w:hanging="567"/>
      </w:pPr>
      <w:rPr>
        <w:rFonts w:hint="default"/>
        <w:lang w:val="en-US" w:eastAsia="en-US" w:bidi="ar-SA"/>
      </w:rPr>
    </w:lvl>
  </w:abstractNum>
  <w:abstractNum w:abstractNumId="360" w15:restartNumberingAfterBreak="0">
    <w:nsid w:val="624833EE"/>
    <w:multiLevelType w:val="hybridMultilevel"/>
    <w:tmpl w:val="3D06697E"/>
    <w:lvl w:ilvl="0" w:tplc="CD80582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ADC655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1B2266EE">
      <w:numFmt w:val="bullet"/>
      <w:lvlText w:val="•"/>
      <w:lvlJc w:val="left"/>
      <w:pPr>
        <w:ind w:left="2178" w:hanging="567"/>
      </w:pPr>
      <w:rPr>
        <w:lang w:val="en-US" w:eastAsia="en-US" w:bidi="ar-SA"/>
      </w:rPr>
    </w:lvl>
    <w:lvl w:ilvl="3" w:tplc="45BE0660">
      <w:numFmt w:val="bullet"/>
      <w:lvlText w:val="•"/>
      <w:lvlJc w:val="left"/>
      <w:pPr>
        <w:ind w:left="3076" w:hanging="567"/>
      </w:pPr>
      <w:rPr>
        <w:lang w:val="en-US" w:eastAsia="en-US" w:bidi="ar-SA"/>
      </w:rPr>
    </w:lvl>
    <w:lvl w:ilvl="4" w:tplc="EF4E30C8">
      <w:numFmt w:val="bullet"/>
      <w:lvlText w:val="•"/>
      <w:lvlJc w:val="left"/>
      <w:pPr>
        <w:ind w:left="3975" w:hanging="567"/>
      </w:pPr>
      <w:rPr>
        <w:lang w:val="en-US" w:eastAsia="en-US" w:bidi="ar-SA"/>
      </w:rPr>
    </w:lvl>
    <w:lvl w:ilvl="5" w:tplc="E8CECEAA">
      <w:numFmt w:val="bullet"/>
      <w:lvlText w:val="•"/>
      <w:lvlJc w:val="left"/>
      <w:pPr>
        <w:ind w:left="4873" w:hanging="567"/>
      </w:pPr>
      <w:rPr>
        <w:lang w:val="en-US" w:eastAsia="en-US" w:bidi="ar-SA"/>
      </w:rPr>
    </w:lvl>
    <w:lvl w:ilvl="6" w:tplc="D8024D6C">
      <w:numFmt w:val="bullet"/>
      <w:lvlText w:val="•"/>
      <w:lvlJc w:val="left"/>
      <w:pPr>
        <w:ind w:left="5772" w:hanging="567"/>
      </w:pPr>
      <w:rPr>
        <w:lang w:val="en-US" w:eastAsia="en-US" w:bidi="ar-SA"/>
      </w:rPr>
    </w:lvl>
    <w:lvl w:ilvl="7" w:tplc="7E1A1F06">
      <w:numFmt w:val="bullet"/>
      <w:lvlText w:val="•"/>
      <w:lvlJc w:val="left"/>
      <w:pPr>
        <w:ind w:left="6670" w:hanging="567"/>
      </w:pPr>
      <w:rPr>
        <w:lang w:val="en-US" w:eastAsia="en-US" w:bidi="ar-SA"/>
      </w:rPr>
    </w:lvl>
    <w:lvl w:ilvl="8" w:tplc="78D2843C">
      <w:numFmt w:val="bullet"/>
      <w:lvlText w:val="•"/>
      <w:lvlJc w:val="left"/>
      <w:pPr>
        <w:ind w:left="7569" w:hanging="567"/>
      </w:pPr>
      <w:rPr>
        <w:lang w:val="en-US" w:eastAsia="en-US" w:bidi="ar-SA"/>
      </w:rPr>
    </w:lvl>
  </w:abstractNum>
  <w:abstractNum w:abstractNumId="361" w15:restartNumberingAfterBreak="0">
    <w:nsid w:val="62DC4F94"/>
    <w:multiLevelType w:val="hybridMultilevel"/>
    <w:tmpl w:val="B35C8616"/>
    <w:lvl w:ilvl="0" w:tplc="6E4A8034">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6972BED8">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A4D4C476">
      <w:numFmt w:val="bullet"/>
      <w:lvlText w:val="•"/>
      <w:lvlJc w:val="left"/>
      <w:pPr>
        <w:ind w:left="2178" w:hanging="567"/>
      </w:pPr>
      <w:rPr>
        <w:rFonts w:hint="default"/>
        <w:lang w:val="en-US" w:eastAsia="en-US" w:bidi="ar-SA"/>
      </w:rPr>
    </w:lvl>
    <w:lvl w:ilvl="3" w:tplc="8924D2BE">
      <w:numFmt w:val="bullet"/>
      <w:lvlText w:val="•"/>
      <w:lvlJc w:val="left"/>
      <w:pPr>
        <w:ind w:left="3076" w:hanging="567"/>
      </w:pPr>
      <w:rPr>
        <w:rFonts w:hint="default"/>
        <w:lang w:val="en-US" w:eastAsia="en-US" w:bidi="ar-SA"/>
      </w:rPr>
    </w:lvl>
    <w:lvl w:ilvl="4" w:tplc="5E6238F0">
      <w:numFmt w:val="bullet"/>
      <w:lvlText w:val="•"/>
      <w:lvlJc w:val="left"/>
      <w:pPr>
        <w:ind w:left="3975" w:hanging="567"/>
      </w:pPr>
      <w:rPr>
        <w:rFonts w:hint="default"/>
        <w:lang w:val="en-US" w:eastAsia="en-US" w:bidi="ar-SA"/>
      </w:rPr>
    </w:lvl>
    <w:lvl w:ilvl="5" w:tplc="C61A8782">
      <w:numFmt w:val="bullet"/>
      <w:lvlText w:val="•"/>
      <w:lvlJc w:val="left"/>
      <w:pPr>
        <w:ind w:left="4873" w:hanging="567"/>
      </w:pPr>
      <w:rPr>
        <w:rFonts w:hint="default"/>
        <w:lang w:val="en-US" w:eastAsia="en-US" w:bidi="ar-SA"/>
      </w:rPr>
    </w:lvl>
    <w:lvl w:ilvl="6" w:tplc="E64C837A">
      <w:numFmt w:val="bullet"/>
      <w:lvlText w:val="•"/>
      <w:lvlJc w:val="left"/>
      <w:pPr>
        <w:ind w:left="5772" w:hanging="567"/>
      </w:pPr>
      <w:rPr>
        <w:rFonts w:hint="default"/>
        <w:lang w:val="en-US" w:eastAsia="en-US" w:bidi="ar-SA"/>
      </w:rPr>
    </w:lvl>
    <w:lvl w:ilvl="7" w:tplc="58AC45DA">
      <w:numFmt w:val="bullet"/>
      <w:lvlText w:val="•"/>
      <w:lvlJc w:val="left"/>
      <w:pPr>
        <w:ind w:left="6670" w:hanging="567"/>
      </w:pPr>
      <w:rPr>
        <w:rFonts w:hint="default"/>
        <w:lang w:val="en-US" w:eastAsia="en-US" w:bidi="ar-SA"/>
      </w:rPr>
    </w:lvl>
    <w:lvl w:ilvl="8" w:tplc="124A0DD4">
      <w:numFmt w:val="bullet"/>
      <w:lvlText w:val="•"/>
      <w:lvlJc w:val="left"/>
      <w:pPr>
        <w:ind w:left="7569" w:hanging="567"/>
      </w:pPr>
      <w:rPr>
        <w:rFonts w:hint="default"/>
        <w:lang w:val="en-US" w:eastAsia="en-US" w:bidi="ar-SA"/>
      </w:rPr>
    </w:lvl>
  </w:abstractNum>
  <w:abstractNum w:abstractNumId="362" w15:restartNumberingAfterBreak="0">
    <w:nsid w:val="630337E6"/>
    <w:multiLevelType w:val="hybridMultilevel"/>
    <w:tmpl w:val="9762033E"/>
    <w:lvl w:ilvl="0" w:tplc="02DC2144">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41DE4492">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B88C77D2">
      <w:start w:val="1"/>
      <w:numFmt w:val="lowerRoman"/>
      <w:lvlText w:val="(%3)"/>
      <w:lvlJc w:val="left"/>
      <w:pPr>
        <w:ind w:left="1842" w:hanging="569"/>
      </w:pPr>
      <w:rPr>
        <w:rFonts w:ascii="Arial" w:eastAsia="Calibri" w:hAnsi="Arial" w:cs="Arial" w:hint="default"/>
        <w:spacing w:val="-1"/>
        <w:w w:val="100"/>
        <w:sz w:val="20"/>
        <w:szCs w:val="22"/>
        <w:lang w:val="en-US" w:eastAsia="en-US" w:bidi="ar-SA"/>
      </w:rPr>
    </w:lvl>
    <w:lvl w:ilvl="3" w:tplc="C9729C46">
      <w:numFmt w:val="bullet"/>
      <w:lvlText w:val="•"/>
      <w:lvlJc w:val="left"/>
      <w:pPr>
        <w:ind w:left="2780" w:hanging="569"/>
      </w:pPr>
      <w:rPr>
        <w:rFonts w:hint="default"/>
        <w:lang w:val="en-US" w:eastAsia="en-US" w:bidi="ar-SA"/>
      </w:rPr>
    </w:lvl>
    <w:lvl w:ilvl="4" w:tplc="CD7E106C">
      <w:numFmt w:val="bullet"/>
      <w:lvlText w:val="•"/>
      <w:lvlJc w:val="left"/>
      <w:pPr>
        <w:ind w:left="3721" w:hanging="569"/>
      </w:pPr>
      <w:rPr>
        <w:rFonts w:hint="default"/>
        <w:lang w:val="en-US" w:eastAsia="en-US" w:bidi="ar-SA"/>
      </w:rPr>
    </w:lvl>
    <w:lvl w:ilvl="5" w:tplc="5A828416">
      <w:numFmt w:val="bullet"/>
      <w:lvlText w:val="•"/>
      <w:lvlJc w:val="left"/>
      <w:pPr>
        <w:ind w:left="4662" w:hanging="569"/>
      </w:pPr>
      <w:rPr>
        <w:rFonts w:hint="default"/>
        <w:lang w:val="en-US" w:eastAsia="en-US" w:bidi="ar-SA"/>
      </w:rPr>
    </w:lvl>
    <w:lvl w:ilvl="6" w:tplc="E67EF182">
      <w:numFmt w:val="bullet"/>
      <w:lvlText w:val="•"/>
      <w:lvlJc w:val="left"/>
      <w:pPr>
        <w:ind w:left="5603" w:hanging="569"/>
      </w:pPr>
      <w:rPr>
        <w:rFonts w:hint="default"/>
        <w:lang w:val="en-US" w:eastAsia="en-US" w:bidi="ar-SA"/>
      </w:rPr>
    </w:lvl>
    <w:lvl w:ilvl="7" w:tplc="BC46593A">
      <w:numFmt w:val="bullet"/>
      <w:lvlText w:val="•"/>
      <w:lvlJc w:val="left"/>
      <w:pPr>
        <w:ind w:left="6544" w:hanging="569"/>
      </w:pPr>
      <w:rPr>
        <w:rFonts w:hint="default"/>
        <w:lang w:val="en-US" w:eastAsia="en-US" w:bidi="ar-SA"/>
      </w:rPr>
    </w:lvl>
    <w:lvl w:ilvl="8" w:tplc="8EA02E3C">
      <w:numFmt w:val="bullet"/>
      <w:lvlText w:val="•"/>
      <w:lvlJc w:val="left"/>
      <w:pPr>
        <w:ind w:left="7484" w:hanging="569"/>
      </w:pPr>
      <w:rPr>
        <w:rFonts w:hint="default"/>
        <w:lang w:val="en-US" w:eastAsia="en-US" w:bidi="ar-SA"/>
      </w:rPr>
    </w:lvl>
  </w:abstractNum>
  <w:abstractNum w:abstractNumId="363" w15:restartNumberingAfterBreak="0">
    <w:nsid w:val="633415C6"/>
    <w:multiLevelType w:val="hybridMultilevel"/>
    <w:tmpl w:val="E9EC91BE"/>
    <w:lvl w:ilvl="0" w:tplc="CBE0FB46">
      <w:start w:val="1"/>
      <w:numFmt w:val="lowerLetter"/>
      <w:lvlText w:val="(%1)"/>
      <w:lvlJc w:val="left"/>
      <w:pPr>
        <w:ind w:left="515" w:hanging="431"/>
      </w:pPr>
      <w:rPr>
        <w:rFonts w:ascii="Arial" w:eastAsia="Calibri" w:hAnsi="Arial" w:cs="Arial" w:hint="default"/>
        <w:spacing w:val="-1"/>
        <w:w w:val="99"/>
        <w:sz w:val="20"/>
        <w:szCs w:val="20"/>
        <w:lang w:val="en-US" w:eastAsia="en-US" w:bidi="ar-SA"/>
      </w:rPr>
    </w:lvl>
    <w:lvl w:ilvl="1" w:tplc="1952E1A2">
      <w:numFmt w:val="bullet"/>
      <w:lvlText w:val="•"/>
      <w:lvlJc w:val="left"/>
      <w:pPr>
        <w:ind w:left="829" w:hanging="431"/>
      </w:pPr>
      <w:rPr>
        <w:rFonts w:hint="default"/>
        <w:lang w:val="en-US" w:eastAsia="en-US" w:bidi="ar-SA"/>
      </w:rPr>
    </w:lvl>
    <w:lvl w:ilvl="2" w:tplc="9AE61132">
      <w:numFmt w:val="bullet"/>
      <w:lvlText w:val="•"/>
      <w:lvlJc w:val="left"/>
      <w:pPr>
        <w:ind w:left="1138" w:hanging="431"/>
      </w:pPr>
      <w:rPr>
        <w:rFonts w:hint="default"/>
        <w:lang w:val="en-US" w:eastAsia="en-US" w:bidi="ar-SA"/>
      </w:rPr>
    </w:lvl>
    <w:lvl w:ilvl="3" w:tplc="F8EC072E">
      <w:numFmt w:val="bullet"/>
      <w:lvlText w:val="•"/>
      <w:lvlJc w:val="left"/>
      <w:pPr>
        <w:ind w:left="1448" w:hanging="431"/>
      </w:pPr>
      <w:rPr>
        <w:rFonts w:hint="default"/>
        <w:lang w:val="en-US" w:eastAsia="en-US" w:bidi="ar-SA"/>
      </w:rPr>
    </w:lvl>
    <w:lvl w:ilvl="4" w:tplc="E87C8838">
      <w:numFmt w:val="bullet"/>
      <w:lvlText w:val="•"/>
      <w:lvlJc w:val="left"/>
      <w:pPr>
        <w:ind w:left="1757" w:hanging="431"/>
      </w:pPr>
      <w:rPr>
        <w:rFonts w:hint="default"/>
        <w:lang w:val="en-US" w:eastAsia="en-US" w:bidi="ar-SA"/>
      </w:rPr>
    </w:lvl>
    <w:lvl w:ilvl="5" w:tplc="2F589AAA">
      <w:numFmt w:val="bullet"/>
      <w:lvlText w:val="•"/>
      <w:lvlJc w:val="left"/>
      <w:pPr>
        <w:ind w:left="2067" w:hanging="431"/>
      </w:pPr>
      <w:rPr>
        <w:rFonts w:hint="default"/>
        <w:lang w:val="en-US" w:eastAsia="en-US" w:bidi="ar-SA"/>
      </w:rPr>
    </w:lvl>
    <w:lvl w:ilvl="6" w:tplc="19B0E584">
      <w:numFmt w:val="bullet"/>
      <w:lvlText w:val="•"/>
      <w:lvlJc w:val="left"/>
      <w:pPr>
        <w:ind w:left="2376" w:hanging="431"/>
      </w:pPr>
      <w:rPr>
        <w:rFonts w:hint="default"/>
        <w:lang w:val="en-US" w:eastAsia="en-US" w:bidi="ar-SA"/>
      </w:rPr>
    </w:lvl>
    <w:lvl w:ilvl="7" w:tplc="B3DC7C02">
      <w:numFmt w:val="bullet"/>
      <w:lvlText w:val="•"/>
      <w:lvlJc w:val="left"/>
      <w:pPr>
        <w:ind w:left="2685" w:hanging="431"/>
      </w:pPr>
      <w:rPr>
        <w:rFonts w:hint="default"/>
        <w:lang w:val="en-US" w:eastAsia="en-US" w:bidi="ar-SA"/>
      </w:rPr>
    </w:lvl>
    <w:lvl w:ilvl="8" w:tplc="F43A1FE0">
      <w:numFmt w:val="bullet"/>
      <w:lvlText w:val="•"/>
      <w:lvlJc w:val="left"/>
      <w:pPr>
        <w:ind w:left="2995" w:hanging="431"/>
      </w:pPr>
      <w:rPr>
        <w:rFonts w:hint="default"/>
        <w:lang w:val="en-US" w:eastAsia="en-US" w:bidi="ar-SA"/>
      </w:rPr>
    </w:lvl>
  </w:abstractNum>
  <w:abstractNum w:abstractNumId="364" w15:restartNumberingAfterBreak="0">
    <w:nsid w:val="636B563B"/>
    <w:multiLevelType w:val="hybridMultilevel"/>
    <w:tmpl w:val="D36449CA"/>
    <w:lvl w:ilvl="0" w:tplc="974CB600">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FB6C1034">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507038F4">
      <w:start w:val="1"/>
      <w:numFmt w:val="lowerRoman"/>
      <w:lvlText w:val="(%3)"/>
      <w:lvlJc w:val="left"/>
      <w:pPr>
        <w:ind w:left="1842" w:hanging="569"/>
      </w:pPr>
      <w:rPr>
        <w:rFonts w:ascii="Arial" w:eastAsia="Calibri" w:hAnsi="Arial" w:cs="Arial" w:hint="default"/>
        <w:spacing w:val="-1"/>
        <w:w w:val="100"/>
        <w:sz w:val="20"/>
        <w:szCs w:val="22"/>
        <w:lang w:val="en-US" w:eastAsia="en-US" w:bidi="ar-SA"/>
      </w:rPr>
    </w:lvl>
    <w:lvl w:ilvl="3" w:tplc="A1466568">
      <w:numFmt w:val="bullet"/>
      <w:lvlText w:val="•"/>
      <w:lvlJc w:val="left"/>
      <w:pPr>
        <w:ind w:left="2780" w:hanging="569"/>
      </w:pPr>
      <w:rPr>
        <w:rFonts w:hint="default"/>
        <w:lang w:val="en-US" w:eastAsia="en-US" w:bidi="ar-SA"/>
      </w:rPr>
    </w:lvl>
    <w:lvl w:ilvl="4" w:tplc="9DECDCC2">
      <w:numFmt w:val="bullet"/>
      <w:lvlText w:val="•"/>
      <w:lvlJc w:val="left"/>
      <w:pPr>
        <w:ind w:left="3721" w:hanging="569"/>
      </w:pPr>
      <w:rPr>
        <w:rFonts w:hint="default"/>
        <w:lang w:val="en-US" w:eastAsia="en-US" w:bidi="ar-SA"/>
      </w:rPr>
    </w:lvl>
    <w:lvl w:ilvl="5" w:tplc="8654C1F8">
      <w:numFmt w:val="bullet"/>
      <w:lvlText w:val="•"/>
      <w:lvlJc w:val="left"/>
      <w:pPr>
        <w:ind w:left="4662" w:hanging="569"/>
      </w:pPr>
      <w:rPr>
        <w:rFonts w:hint="default"/>
        <w:lang w:val="en-US" w:eastAsia="en-US" w:bidi="ar-SA"/>
      </w:rPr>
    </w:lvl>
    <w:lvl w:ilvl="6" w:tplc="CF1AAED4">
      <w:numFmt w:val="bullet"/>
      <w:lvlText w:val="•"/>
      <w:lvlJc w:val="left"/>
      <w:pPr>
        <w:ind w:left="5603" w:hanging="569"/>
      </w:pPr>
      <w:rPr>
        <w:rFonts w:hint="default"/>
        <w:lang w:val="en-US" w:eastAsia="en-US" w:bidi="ar-SA"/>
      </w:rPr>
    </w:lvl>
    <w:lvl w:ilvl="7" w:tplc="69A8CF10">
      <w:numFmt w:val="bullet"/>
      <w:lvlText w:val="•"/>
      <w:lvlJc w:val="left"/>
      <w:pPr>
        <w:ind w:left="6544" w:hanging="569"/>
      </w:pPr>
      <w:rPr>
        <w:rFonts w:hint="default"/>
        <w:lang w:val="en-US" w:eastAsia="en-US" w:bidi="ar-SA"/>
      </w:rPr>
    </w:lvl>
    <w:lvl w:ilvl="8" w:tplc="3790E7B8">
      <w:numFmt w:val="bullet"/>
      <w:lvlText w:val="•"/>
      <w:lvlJc w:val="left"/>
      <w:pPr>
        <w:ind w:left="7484" w:hanging="569"/>
      </w:pPr>
      <w:rPr>
        <w:rFonts w:hint="default"/>
        <w:lang w:val="en-US" w:eastAsia="en-US" w:bidi="ar-SA"/>
      </w:rPr>
    </w:lvl>
  </w:abstractNum>
  <w:abstractNum w:abstractNumId="365" w15:restartNumberingAfterBreak="0">
    <w:nsid w:val="63AE44D7"/>
    <w:multiLevelType w:val="hybridMultilevel"/>
    <w:tmpl w:val="601EDC66"/>
    <w:lvl w:ilvl="0" w:tplc="E80EF1DC">
      <w:start w:val="1"/>
      <w:numFmt w:val="lowerLetter"/>
      <w:lvlText w:val="(%1)"/>
      <w:lvlJc w:val="left"/>
      <w:pPr>
        <w:ind w:left="515" w:hanging="431"/>
      </w:pPr>
      <w:rPr>
        <w:rFonts w:ascii="Arial" w:eastAsia="Calibri" w:hAnsi="Arial" w:cs="Arial" w:hint="default"/>
        <w:spacing w:val="-1"/>
        <w:w w:val="99"/>
        <w:sz w:val="20"/>
        <w:szCs w:val="20"/>
        <w:lang w:val="en-US" w:eastAsia="en-US" w:bidi="ar-SA"/>
      </w:rPr>
    </w:lvl>
    <w:lvl w:ilvl="1" w:tplc="03EAA2CC">
      <w:numFmt w:val="bullet"/>
      <w:lvlText w:val="•"/>
      <w:lvlJc w:val="left"/>
      <w:pPr>
        <w:ind w:left="829" w:hanging="431"/>
      </w:pPr>
      <w:rPr>
        <w:rFonts w:hint="default"/>
        <w:lang w:val="en-US" w:eastAsia="en-US" w:bidi="ar-SA"/>
      </w:rPr>
    </w:lvl>
    <w:lvl w:ilvl="2" w:tplc="ECF8842A">
      <w:numFmt w:val="bullet"/>
      <w:lvlText w:val="•"/>
      <w:lvlJc w:val="left"/>
      <w:pPr>
        <w:ind w:left="1138" w:hanging="431"/>
      </w:pPr>
      <w:rPr>
        <w:rFonts w:hint="default"/>
        <w:lang w:val="en-US" w:eastAsia="en-US" w:bidi="ar-SA"/>
      </w:rPr>
    </w:lvl>
    <w:lvl w:ilvl="3" w:tplc="B3DA5496">
      <w:numFmt w:val="bullet"/>
      <w:lvlText w:val="•"/>
      <w:lvlJc w:val="left"/>
      <w:pPr>
        <w:ind w:left="1448" w:hanging="431"/>
      </w:pPr>
      <w:rPr>
        <w:rFonts w:hint="default"/>
        <w:lang w:val="en-US" w:eastAsia="en-US" w:bidi="ar-SA"/>
      </w:rPr>
    </w:lvl>
    <w:lvl w:ilvl="4" w:tplc="8FE60D0A">
      <w:numFmt w:val="bullet"/>
      <w:lvlText w:val="•"/>
      <w:lvlJc w:val="left"/>
      <w:pPr>
        <w:ind w:left="1757" w:hanging="431"/>
      </w:pPr>
      <w:rPr>
        <w:rFonts w:hint="default"/>
        <w:lang w:val="en-US" w:eastAsia="en-US" w:bidi="ar-SA"/>
      </w:rPr>
    </w:lvl>
    <w:lvl w:ilvl="5" w:tplc="92983CE0">
      <w:numFmt w:val="bullet"/>
      <w:lvlText w:val="•"/>
      <w:lvlJc w:val="left"/>
      <w:pPr>
        <w:ind w:left="2067" w:hanging="431"/>
      </w:pPr>
      <w:rPr>
        <w:rFonts w:hint="default"/>
        <w:lang w:val="en-US" w:eastAsia="en-US" w:bidi="ar-SA"/>
      </w:rPr>
    </w:lvl>
    <w:lvl w:ilvl="6" w:tplc="D3E2FBB8">
      <w:numFmt w:val="bullet"/>
      <w:lvlText w:val="•"/>
      <w:lvlJc w:val="left"/>
      <w:pPr>
        <w:ind w:left="2376" w:hanging="431"/>
      </w:pPr>
      <w:rPr>
        <w:rFonts w:hint="default"/>
        <w:lang w:val="en-US" w:eastAsia="en-US" w:bidi="ar-SA"/>
      </w:rPr>
    </w:lvl>
    <w:lvl w:ilvl="7" w:tplc="6F520EF8">
      <w:numFmt w:val="bullet"/>
      <w:lvlText w:val="•"/>
      <w:lvlJc w:val="left"/>
      <w:pPr>
        <w:ind w:left="2685" w:hanging="431"/>
      </w:pPr>
      <w:rPr>
        <w:rFonts w:hint="default"/>
        <w:lang w:val="en-US" w:eastAsia="en-US" w:bidi="ar-SA"/>
      </w:rPr>
    </w:lvl>
    <w:lvl w:ilvl="8" w:tplc="8D741904">
      <w:numFmt w:val="bullet"/>
      <w:lvlText w:val="•"/>
      <w:lvlJc w:val="left"/>
      <w:pPr>
        <w:ind w:left="2995" w:hanging="431"/>
      </w:pPr>
      <w:rPr>
        <w:rFonts w:hint="default"/>
        <w:lang w:val="en-US" w:eastAsia="en-US" w:bidi="ar-SA"/>
      </w:rPr>
    </w:lvl>
  </w:abstractNum>
  <w:abstractNum w:abstractNumId="366" w15:restartNumberingAfterBreak="0">
    <w:nsid w:val="63EF189E"/>
    <w:multiLevelType w:val="hybridMultilevel"/>
    <w:tmpl w:val="4552A94C"/>
    <w:lvl w:ilvl="0" w:tplc="8BAE3B3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24AC3646">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5724953E">
      <w:start w:val="1"/>
      <w:numFmt w:val="lowerRoman"/>
      <w:lvlText w:val="(%3)"/>
      <w:lvlJc w:val="left"/>
      <w:pPr>
        <w:ind w:left="1842" w:hanging="569"/>
      </w:pPr>
      <w:rPr>
        <w:rFonts w:ascii="Arial" w:eastAsia="Calibri" w:hAnsi="Arial" w:cs="Arial" w:hint="default"/>
        <w:spacing w:val="-1"/>
        <w:w w:val="100"/>
        <w:sz w:val="20"/>
        <w:szCs w:val="22"/>
        <w:lang w:val="en-US" w:eastAsia="en-US" w:bidi="ar-SA"/>
      </w:rPr>
    </w:lvl>
    <w:lvl w:ilvl="3" w:tplc="B01C8DB8">
      <w:numFmt w:val="bullet"/>
      <w:lvlText w:val="•"/>
      <w:lvlJc w:val="left"/>
      <w:pPr>
        <w:ind w:left="2780" w:hanging="569"/>
      </w:pPr>
      <w:rPr>
        <w:rFonts w:hint="default"/>
        <w:lang w:val="en-US" w:eastAsia="en-US" w:bidi="ar-SA"/>
      </w:rPr>
    </w:lvl>
    <w:lvl w:ilvl="4" w:tplc="470E5594">
      <w:numFmt w:val="bullet"/>
      <w:lvlText w:val="•"/>
      <w:lvlJc w:val="left"/>
      <w:pPr>
        <w:ind w:left="3721" w:hanging="569"/>
      </w:pPr>
      <w:rPr>
        <w:rFonts w:hint="default"/>
        <w:lang w:val="en-US" w:eastAsia="en-US" w:bidi="ar-SA"/>
      </w:rPr>
    </w:lvl>
    <w:lvl w:ilvl="5" w:tplc="915E3C6A">
      <w:numFmt w:val="bullet"/>
      <w:lvlText w:val="•"/>
      <w:lvlJc w:val="left"/>
      <w:pPr>
        <w:ind w:left="4662" w:hanging="569"/>
      </w:pPr>
      <w:rPr>
        <w:rFonts w:hint="default"/>
        <w:lang w:val="en-US" w:eastAsia="en-US" w:bidi="ar-SA"/>
      </w:rPr>
    </w:lvl>
    <w:lvl w:ilvl="6" w:tplc="208281F0">
      <w:numFmt w:val="bullet"/>
      <w:lvlText w:val="•"/>
      <w:lvlJc w:val="left"/>
      <w:pPr>
        <w:ind w:left="5603" w:hanging="569"/>
      </w:pPr>
      <w:rPr>
        <w:rFonts w:hint="default"/>
        <w:lang w:val="en-US" w:eastAsia="en-US" w:bidi="ar-SA"/>
      </w:rPr>
    </w:lvl>
    <w:lvl w:ilvl="7" w:tplc="3F16A11A">
      <w:numFmt w:val="bullet"/>
      <w:lvlText w:val="•"/>
      <w:lvlJc w:val="left"/>
      <w:pPr>
        <w:ind w:left="6544" w:hanging="569"/>
      </w:pPr>
      <w:rPr>
        <w:rFonts w:hint="default"/>
        <w:lang w:val="en-US" w:eastAsia="en-US" w:bidi="ar-SA"/>
      </w:rPr>
    </w:lvl>
    <w:lvl w:ilvl="8" w:tplc="EDD0F376">
      <w:numFmt w:val="bullet"/>
      <w:lvlText w:val="•"/>
      <w:lvlJc w:val="left"/>
      <w:pPr>
        <w:ind w:left="7484" w:hanging="569"/>
      </w:pPr>
      <w:rPr>
        <w:rFonts w:hint="default"/>
        <w:lang w:val="en-US" w:eastAsia="en-US" w:bidi="ar-SA"/>
      </w:rPr>
    </w:lvl>
  </w:abstractNum>
  <w:abstractNum w:abstractNumId="367" w15:restartNumberingAfterBreak="0">
    <w:nsid w:val="64211DF6"/>
    <w:multiLevelType w:val="hybridMultilevel"/>
    <w:tmpl w:val="D6B44CEE"/>
    <w:lvl w:ilvl="0" w:tplc="6378842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27344F7E">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DA3818F8">
      <w:start w:val="1"/>
      <w:numFmt w:val="lowerRoman"/>
      <w:lvlText w:val="(%3)"/>
      <w:lvlJc w:val="left"/>
      <w:pPr>
        <w:ind w:left="1842" w:hanging="569"/>
      </w:pPr>
      <w:rPr>
        <w:rFonts w:ascii="Arial" w:eastAsia="Calibri" w:hAnsi="Arial" w:cs="Arial" w:hint="default"/>
        <w:spacing w:val="-1"/>
        <w:w w:val="100"/>
        <w:sz w:val="20"/>
        <w:szCs w:val="22"/>
        <w:lang w:val="en-US" w:eastAsia="en-US" w:bidi="ar-SA"/>
      </w:rPr>
    </w:lvl>
    <w:lvl w:ilvl="3" w:tplc="512434F4">
      <w:numFmt w:val="bullet"/>
      <w:lvlText w:val="•"/>
      <w:lvlJc w:val="left"/>
      <w:pPr>
        <w:ind w:left="2780" w:hanging="569"/>
      </w:pPr>
      <w:rPr>
        <w:rFonts w:hint="default"/>
        <w:lang w:val="en-US" w:eastAsia="en-US" w:bidi="ar-SA"/>
      </w:rPr>
    </w:lvl>
    <w:lvl w:ilvl="4" w:tplc="F4BA37D0">
      <w:numFmt w:val="bullet"/>
      <w:lvlText w:val="•"/>
      <w:lvlJc w:val="left"/>
      <w:pPr>
        <w:ind w:left="3721" w:hanging="569"/>
      </w:pPr>
      <w:rPr>
        <w:rFonts w:hint="default"/>
        <w:lang w:val="en-US" w:eastAsia="en-US" w:bidi="ar-SA"/>
      </w:rPr>
    </w:lvl>
    <w:lvl w:ilvl="5" w:tplc="B104632C">
      <w:numFmt w:val="bullet"/>
      <w:lvlText w:val="•"/>
      <w:lvlJc w:val="left"/>
      <w:pPr>
        <w:ind w:left="4662" w:hanging="569"/>
      </w:pPr>
      <w:rPr>
        <w:rFonts w:hint="default"/>
        <w:lang w:val="en-US" w:eastAsia="en-US" w:bidi="ar-SA"/>
      </w:rPr>
    </w:lvl>
    <w:lvl w:ilvl="6" w:tplc="E7D2F446">
      <w:numFmt w:val="bullet"/>
      <w:lvlText w:val="•"/>
      <w:lvlJc w:val="left"/>
      <w:pPr>
        <w:ind w:left="5603" w:hanging="569"/>
      </w:pPr>
      <w:rPr>
        <w:rFonts w:hint="default"/>
        <w:lang w:val="en-US" w:eastAsia="en-US" w:bidi="ar-SA"/>
      </w:rPr>
    </w:lvl>
    <w:lvl w:ilvl="7" w:tplc="CDEAFF1A">
      <w:numFmt w:val="bullet"/>
      <w:lvlText w:val="•"/>
      <w:lvlJc w:val="left"/>
      <w:pPr>
        <w:ind w:left="6544" w:hanging="569"/>
      </w:pPr>
      <w:rPr>
        <w:rFonts w:hint="default"/>
        <w:lang w:val="en-US" w:eastAsia="en-US" w:bidi="ar-SA"/>
      </w:rPr>
    </w:lvl>
    <w:lvl w:ilvl="8" w:tplc="401E418C">
      <w:numFmt w:val="bullet"/>
      <w:lvlText w:val="•"/>
      <w:lvlJc w:val="left"/>
      <w:pPr>
        <w:ind w:left="7484" w:hanging="569"/>
      </w:pPr>
      <w:rPr>
        <w:rFonts w:hint="default"/>
        <w:lang w:val="en-US" w:eastAsia="en-US" w:bidi="ar-SA"/>
      </w:rPr>
    </w:lvl>
  </w:abstractNum>
  <w:abstractNum w:abstractNumId="368" w15:restartNumberingAfterBreak="0">
    <w:nsid w:val="645D2218"/>
    <w:multiLevelType w:val="hybridMultilevel"/>
    <w:tmpl w:val="B1465802"/>
    <w:lvl w:ilvl="0" w:tplc="C2CEFA44">
      <w:start w:val="1"/>
      <w:numFmt w:val="lowerRoman"/>
      <w:lvlText w:val="(%1)"/>
      <w:lvlJc w:val="left"/>
      <w:pPr>
        <w:ind w:left="1842" w:hanging="569"/>
      </w:pPr>
      <w:rPr>
        <w:rFonts w:ascii="Arial" w:eastAsia="Calibri" w:hAnsi="Arial" w:cs="Arial" w:hint="default"/>
        <w:spacing w:val="-1"/>
        <w:w w:val="100"/>
        <w:sz w:val="20"/>
        <w:szCs w:val="22"/>
        <w:lang w:val="en-US" w:eastAsia="en-US" w:bidi="ar-SA"/>
      </w:rPr>
    </w:lvl>
    <w:lvl w:ilvl="1" w:tplc="1528E8DE">
      <w:numFmt w:val="bullet"/>
      <w:lvlText w:val="•"/>
      <w:lvlJc w:val="left"/>
      <w:pPr>
        <w:ind w:left="2592" w:hanging="569"/>
      </w:pPr>
      <w:rPr>
        <w:rFonts w:hint="default"/>
        <w:lang w:val="en-US" w:eastAsia="en-US" w:bidi="ar-SA"/>
      </w:rPr>
    </w:lvl>
    <w:lvl w:ilvl="2" w:tplc="152EC41A">
      <w:numFmt w:val="bullet"/>
      <w:lvlText w:val="•"/>
      <w:lvlJc w:val="left"/>
      <w:pPr>
        <w:ind w:left="3345" w:hanging="569"/>
      </w:pPr>
      <w:rPr>
        <w:rFonts w:hint="default"/>
        <w:lang w:val="en-US" w:eastAsia="en-US" w:bidi="ar-SA"/>
      </w:rPr>
    </w:lvl>
    <w:lvl w:ilvl="3" w:tplc="8ED063B8">
      <w:numFmt w:val="bullet"/>
      <w:lvlText w:val="•"/>
      <w:lvlJc w:val="left"/>
      <w:pPr>
        <w:ind w:left="4097" w:hanging="569"/>
      </w:pPr>
      <w:rPr>
        <w:rFonts w:hint="default"/>
        <w:lang w:val="en-US" w:eastAsia="en-US" w:bidi="ar-SA"/>
      </w:rPr>
    </w:lvl>
    <w:lvl w:ilvl="4" w:tplc="1BC6DBAC">
      <w:numFmt w:val="bullet"/>
      <w:lvlText w:val="•"/>
      <w:lvlJc w:val="left"/>
      <w:pPr>
        <w:ind w:left="4850" w:hanging="569"/>
      </w:pPr>
      <w:rPr>
        <w:rFonts w:hint="default"/>
        <w:lang w:val="en-US" w:eastAsia="en-US" w:bidi="ar-SA"/>
      </w:rPr>
    </w:lvl>
    <w:lvl w:ilvl="5" w:tplc="E614175A">
      <w:numFmt w:val="bullet"/>
      <w:lvlText w:val="•"/>
      <w:lvlJc w:val="left"/>
      <w:pPr>
        <w:ind w:left="5603" w:hanging="569"/>
      </w:pPr>
      <w:rPr>
        <w:rFonts w:hint="default"/>
        <w:lang w:val="en-US" w:eastAsia="en-US" w:bidi="ar-SA"/>
      </w:rPr>
    </w:lvl>
    <w:lvl w:ilvl="6" w:tplc="18F49E62">
      <w:numFmt w:val="bullet"/>
      <w:lvlText w:val="•"/>
      <w:lvlJc w:val="left"/>
      <w:pPr>
        <w:ind w:left="6355" w:hanging="569"/>
      </w:pPr>
      <w:rPr>
        <w:rFonts w:hint="default"/>
        <w:lang w:val="en-US" w:eastAsia="en-US" w:bidi="ar-SA"/>
      </w:rPr>
    </w:lvl>
    <w:lvl w:ilvl="7" w:tplc="A63495A4">
      <w:numFmt w:val="bullet"/>
      <w:lvlText w:val="•"/>
      <w:lvlJc w:val="left"/>
      <w:pPr>
        <w:ind w:left="7108" w:hanging="569"/>
      </w:pPr>
      <w:rPr>
        <w:rFonts w:hint="default"/>
        <w:lang w:val="en-US" w:eastAsia="en-US" w:bidi="ar-SA"/>
      </w:rPr>
    </w:lvl>
    <w:lvl w:ilvl="8" w:tplc="2B6AD2EA">
      <w:numFmt w:val="bullet"/>
      <w:lvlText w:val="•"/>
      <w:lvlJc w:val="left"/>
      <w:pPr>
        <w:ind w:left="7861" w:hanging="569"/>
      </w:pPr>
      <w:rPr>
        <w:rFonts w:hint="default"/>
        <w:lang w:val="en-US" w:eastAsia="en-US" w:bidi="ar-SA"/>
      </w:rPr>
    </w:lvl>
  </w:abstractNum>
  <w:abstractNum w:abstractNumId="369" w15:restartNumberingAfterBreak="0">
    <w:nsid w:val="647234BB"/>
    <w:multiLevelType w:val="hybridMultilevel"/>
    <w:tmpl w:val="847884C2"/>
    <w:lvl w:ilvl="0" w:tplc="ADC61558">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958A3AF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7D4C67CE">
      <w:numFmt w:val="bullet"/>
      <w:lvlText w:val="•"/>
      <w:lvlJc w:val="left"/>
      <w:pPr>
        <w:ind w:left="2178" w:hanging="567"/>
      </w:pPr>
      <w:rPr>
        <w:rFonts w:hint="default"/>
        <w:lang w:val="en-US" w:eastAsia="en-US" w:bidi="ar-SA"/>
      </w:rPr>
    </w:lvl>
    <w:lvl w:ilvl="3" w:tplc="E45654E6">
      <w:numFmt w:val="bullet"/>
      <w:lvlText w:val="•"/>
      <w:lvlJc w:val="left"/>
      <w:pPr>
        <w:ind w:left="3076" w:hanging="567"/>
      </w:pPr>
      <w:rPr>
        <w:rFonts w:hint="default"/>
        <w:lang w:val="en-US" w:eastAsia="en-US" w:bidi="ar-SA"/>
      </w:rPr>
    </w:lvl>
    <w:lvl w:ilvl="4" w:tplc="7FB6E560">
      <w:numFmt w:val="bullet"/>
      <w:lvlText w:val="•"/>
      <w:lvlJc w:val="left"/>
      <w:pPr>
        <w:ind w:left="3975" w:hanging="567"/>
      </w:pPr>
      <w:rPr>
        <w:rFonts w:hint="default"/>
        <w:lang w:val="en-US" w:eastAsia="en-US" w:bidi="ar-SA"/>
      </w:rPr>
    </w:lvl>
    <w:lvl w:ilvl="5" w:tplc="45E60C4E">
      <w:numFmt w:val="bullet"/>
      <w:lvlText w:val="•"/>
      <w:lvlJc w:val="left"/>
      <w:pPr>
        <w:ind w:left="4873" w:hanging="567"/>
      </w:pPr>
      <w:rPr>
        <w:rFonts w:hint="default"/>
        <w:lang w:val="en-US" w:eastAsia="en-US" w:bidi="ar-SA"/>
      </w:rPr>
    </w:lvl>
    <w:lvl w:ilvl="6" w:tplc="85D819AA">
      <w:numFmt w:val="bullet"/>
      <w:lvlText w:val="•"/>
      <w:lvlJc w:val="left"/>
      <w:pPr>
        <w:ind w:left="5772" w:hanging="567"/>
      </w:pPr>
      <w:rPr>
        <w:rFonts w:hint="default"/>
        <w:lang w:val="en-US" w:eastAsia="en-US" w:bidi="ar-SA"/>
      </w:rPr>
    </w:lvl>
    <w:lvl w:ilvl="7" w:tplc="E5B841D0">
      <w:numFmt w:val="bullet"/>
      <w:lvlText w:val="•"/>
      <w:lvlJc w:val="left"/>
      <w:pPr>
        <w:ind w:left="6670" w:hanging="567"/>
      </w:pPr>
      <w:rPr>
        <w:rFonts w:hint="default"/>
        <w:lang w:val="en-US" w:eastAsia="en-US" w:bidi="ar-SA"/>
      </w:rPr>
    </w:lvl>
    <w:lvl w:ilvl="8" w:tplc="51E2D286">
      <w:numFmt w:val="bullet"/>
      <w:lvlText w:val="•"/>
      <w:lvlJc w:val="left"/>
      <w:pPr>
        <w:ind w:left="7569" w:hanging="567"/>
      </w:pPr>
      <w:rPr>
        <w:rFonts w:hint="default"/>
        <w:lang w:val="en-US" w:eastAsia="en-US" w:bidi="ar-SA"/>
      </w:rPr>
    </w:lvl>
  </w:abstractNum>
  <w:abstractNum w:abstractNumId="370" w15:restartNumberingAfterBreak="0">
    <w:nsid w:val="64C06123"/>
    <w:multiLevelType w:val="hybridMultilevel"/>
    <w:tmpl w:val="B1465802"/>
    <w:lvl w:ilvl="0" w:tplc="C2CEFA44">
      <w:start w:val="1"/>
      <w:numFmt w:val="lowerRoman"/>
      <w:lvlText w:val="(%1)"/>
      <w:lvlJc w:val="left"/>
      <w:pPr>
        <w:ind w:left="1842" w:hanging="569"/>
      </w:pPr>
      <w:rPr>
        <w:rFonts w:ascii="Arial" w:eastAsia="Calibri" w:hAnsi="Arial" w:cs="Arial" w:hint="default"/>
        <w:spacing w:val="-1"/>
        <w:w w:val="100"/>
        <w:sz w:val="20"/>
        <w:szCs w:val="22"/>
        <w:lang w:val="en-US" w:eastAsia="en-US" w:bidi="ar-SA"/>
      </w:rPr>
    </w:lvl>
    <w:lvl w:ilvl="1" w:tplc="1528E8DE">
      <w:numFmt w:val="bullet"/>
      <w:lvlText w:val="•"/>
      <w:lvlJc w:val="left"/>
      <w:pPr>
        <w:ind w:left="2592" w:hanging="569"/>
      </w:pPr>
      <w:rPr>
        <w:rFonts w:hint="default"/>
        <w:lang w:val="en-US" w:eastAsia="en-US" w:bidi="ar-SA"/>
      </w:rPr>
    </w:lvl>
    <w:lvl w:ilvl="2" w:tplc="152EC41A">
      <w:numFmt w:val="bullet"/>
      <w:lvlText w:val="•"/>
      <w:lvlJc w:val="left"/>
      <w:pPr>
        <w:ind w:left="3345" w:hanging="569"/>
      </w:pPr>
      <w:rPr>
        <w:rFonts w:hint="default"/>
        <w:lang w:val="en-US" w:eastAsia="en-US" w:bidi="ar-SA"/>
      </w:rPr>
    </w:lvl>
    <w:lvl w:ilvl="3" w:tplc="8ED063B8">
      <w:numFmt w:val="bullet"/>
      <w:lvlText w:val="•"/>
      <w:lvlJc w:val="left"/>
      <w:pPr>
        <w:ind w:left="4097" w:hanging="569"/>
      </w:pPr>
      <w:rPr>
        <w:rFonts w:hint="default"/>
        <w:lang w:val="en-US" w:eastAsia="en-US" w:bidi="ar-SA"/>
      </w:rPr>
    </w:lvl>
    <w:lvl w:ilvl="4" w:tplc="1BC6DBAC">
      <w:numFmt w:val="bullet"/>
      <w:lvlText w:val="•"/>
      <w:lvlJc w:val="left"/>
      <w:pPr>
        <w:ind w:left="4850" w:hanging="569"/>
      </w:pPr>
      <w:rPr>
        <w:rFonts w:hint="default"/>
        <w:lang w:val="en-US" w:eastAsia="en-US" w:bidi="ar-SA"/>
      </w:rPr>
    </w:lvl>
    <w:lvl w:ilvl="5" w:tplc="E614175A">
      <w:numFmt w:val="bullet"/>
      <w:lvlText w:val="•"/>
      <w:lvlJc w:val="left"/>
      <w:pPr>
        <w:ind w:left="5603" w:hanging="569"/>
      </w:pPr>
      <w:rPr>
        <w:rFonts w:hint="default"/>
        <w:lang w:val="en-US" w:eastAsia="en-US" w:bidi="ar-SA"/>
      </w:rPr>
    </w:lvl>
    <w:lvl w:ilvl="6" w:tplc="18F49E62">
      <w:numFmt w:val="bullet"/>
      <w:lvlText w:val="•"/>
      <w:lvlJc w:val="left"/>
      <w:pPr>
        <w:ind w:left="6355" w:hanging="569"/>
      </w:pPr>
      <w:rPr>
        <w:rFonts w:hint="default"/>
        <w:lang w:val="en-US" w:eastAsia="en-US" w:bidi="ar-SA"/>
      </w:rPr>
    </w:lvl>
    <w:lvl w:ilvl="7" w:tplc="A63495A4">
      <w:numFmt w:val="bullet"/>
      <w:lvlText w:val="•"/>
      <w:lvlJc w:val="left"/>
      <w:pPr>
        <w:ind w:left="7108" w:hanging="569"/>
      </w:pPr>
      <w:rPr>
        <w:rFonts w:hint="default"/>
        <w:lang w:val="en-US" w:eastAsia="en-US" w:bidi="ar-SA"/>
      </w:rPr>
    </w:lvl>
    <w:lvl w:ilvl="8" w:tplc="2B6AD2EA">
      <w:numFmt w:val="bullet"/>
      <w:lvlText w:val="•"/>
      <w:lvlJc w:val="left"/>
      <w:pPr>
        <w:ind w:left="7861" w:hanging="569"/>
      </w:pPr>
      <w:rPr>
        <w:rFonts w:hint="default"/>
        <w:lang w:val="en-US" w:eastAsia="en-US" w:bidi="ar-SA"/>
      </w:rPr>
    </w:lvl>
  </w:abstractNum>
  <w:abstractNum w:abstractNumId="371" w15:restartNumberingAfterBreak="0">
    <w:nsid w:val="65D44B61"/>
    <w:multiLevelType w:val="hybridMultilevel"/>
    <w:tmpl w:val="77D45FD0"/>
    <w:lvl w:ilvl="0" w:tplc="01B0226E">
      <w:start w:val="1"/>
      <w:numFmt w:val="lowerRoman"/>
      <w:lvlText w:val="(%1)"/>
      <w:lvlJc w:val="left"/>
      <w:pPr>
        <w:ind w:left="2408" w:hanging="567"/>
      </w:pPr>
      <w:rPr>
        <w:rFonts w:ascii="Arial" w:eastAsia="Calibri" w:hAnsi="Arial" w:cs="Arial" w:hint="default"/>
        <w:spacing w:val="-1"/>
        <w:w w:val="100"/>
        <w:sz w:val="20"/>
        <w:szCs w:val="22"/>
        <w:lang w:val="en-US" w:eastAsia="en-US" w:bidi="ar-SA"/>
      </w:rPr>
    </w:lvl>
    <w:lvl w:ilvl="1" w:tplc="41F244AA">
      <w:numFmt w:val="bullet"/>
      <w:lvlText w:val="•"/>
      <w:lvlJc w:val="left"/>
      <w:pPr>
        <w:ind w:left="3096" w:hanging="567"/>
      </w:pPr>
      <w:rPr>
        <w:rFonts w:hint="default"/>
        <w:lang w:val="en-US" w:eastAsia="en-US" w:bidi="ar-SA"/>
      </w:rPr>
    </w:lvl>
    <w:lvl w:ilvl="2" w:tplc="8E223E4E">
      <w:numFmt w:val="bullet"/>
      <w:lvlText w:val="•"/>
      <w:lvlJc w:val="left"/>
      <w:pPr>
        <w:ind w:left="3793" w:hanging="567"/>
      </w:pPr>
      <w:rPr>
        <w:rFonts w:hint="default"/>
        <w:lang w:val="en-US" w:eastAsia="en-US" w:bidi="ar-SA"/>
      </w:rPr>
    </w:lvl>
    <w:lvl w:ilvl="3" w:tplc="87BEE658">
      <w:numFmt w:val="bullet"/>
      <w:lvlText w:val="•"/>
      <w:lvlJc w:val="left"/>
      <w:pPr>
        <w:ind w:left="4489" w:hanging="567"/>
      </w:pPr>
      <w:rPr>
        <w:rFonts w:hint="default"/>
        <w:lang w:val="en-US" w:eastAsia="en-US" w:bidi="ar-SA"/>
      </w:rPr>
    </w:lvl>
    <w:lvl w:ilvl="4" w:tplc="4B7C317E">
      <w:numFmt w:val="bullet"/>
      <w:lvlText w:val="•"/>
      <w:lvlJc w:val="left"/>
      <w:pPr>
        <w:ind w:left="5186" w:hanging="567"/>
      </w:pPr>
      <w:rPr>
        <w:rFonts w:hint="default"/>
        <w:lang w:val="en-US" w:eastAsia="en-US" w:bidi="ar-SA"/>
      </w:rPr>
    </w:lvl>
    <w:lvl w:ilvl="5" w:tplc="404C221E">
      <w:numFmt w:val="bullet"/>
      <w:lvlText w:val="•"/>
      <w:lvlJc w:val="left"/>
      <w:pPr>
        <w:ind w:left="5883" w:hanging="567"/>
      </w:pPr>
      <w:rPr>
        <w:rFonts w:hint="default"/>
        <w:lang w:val="en-US" w:eastAsia="en-US" w:bidi="ar-SA"/>
      </w:rPr>
    </w:lvl>
    <w:lvl w:ilvl="6" w:tplc="364427B4">
      <w:numFmt w:val="bullet"/>
      <w:lvlText w:val="•"/>
      <w:lvlJc w:val="left"/>
      <w:pPr>
        <w:ind w:left="6579" w:hanging="567"/>
      </w:pPr>
      <w:rPr>
        <w:rFonts w:hint="default"/>
        <w:lang w:val="en-US" w:eastAsia="en-US" w:bidi="ar-SA"/>
      </w:rPr>
    </w:lvl>
    <w:lvl w:ilvl="7" w:tplc="9BB86E34">
      <w:numFmt w:val="bullet"/>
      <w:lvlText w:val="•"/>
      <w:lvlJc w:val="left"/>
      <w:pPr>
        <w:ind w:left="7276" w:hanging="567"/>
      </w:pPr>
      <w:rPr>
        <w:rFonts w:hint="default"/>
        <w:lang w:val="en-US" w:eastAsia="en-US" w:bidi="ar-SA"/>
      </w:rPr>
    </w:lvl>
    <w:lvl w:ilvl="8" w:tplc="40D486E0">
      <w:numFmt w:val="bullet"/>
      <w:lvlText w:val="•"/>
      <w:lvlJc w:val="left"/>
      <w:pPr>
        <w:ind w:left="7973" w:hanging="567"/>
      </w:pPr>
      <w:rPr>
        <w:rFonts w:hint="default"/>
        <w:lang w:val="en-US" w:eastAsia="en-US" w:bidi="ar-SA"/>
      </w:rPr>
    </w:lvl>
  </w:abstractNum>
  <w:abstractNum w:abstractNumId="372" w15:restartNumberingAfterBreak="0">
    <w:nsid w:val="66021F3C"/>
    <w:multiLevelType w:val="hybridMultilevel"/>
    <w:tmpl w:val="BBF641B8"/>
    <w:lvl w:ilvl="0" w:tplc="CD80582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ADC655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1B2266EE">
      <w:numFmt w:val="bullet"/>
      <w:lvlText w:val="•"/>
      <w:lvlJc w:val="left"/>
      <w:pPr>
        <w:ind w:left="2178" w:hanging="567"/>
      </w:pPr>
      <w:rPr>
        <w:lang w:val="en-US" w:eastAsia="en-US" w:bidi="ar-SA"/>
      </w:rPr>
    </w:lvl>
    <w:lvl w:ilvl="3" w:tplc="45BE0660">
      <w:numFmt w:val="bullet"/>
      <w:lvlText w:val="•"/>
      <w:lvlJc w:val="left"/>
      <w:pPr>
        <w:ind w:left="3076" w:hanging="567"/>
      </w:pPr>
      <w:rPr>
        <w:lang w:val="en-US" w:eastAsia="en-US" w:bidi="ar-SA"/>
      </w:rPr>
    </w:lvl>
    <w:lvl w:ilvl="4" w:tplc="EF4E30C8">
      <w:numFmt w:val="bullet"/>
      <w:lvlText w:val="•"/>
      <w:lvlJc w:val="left"/>
      <w:pPr>
        <w:ind w:left="3975" w:hanging="567"/>
      </w:pPr>
      <w:rPr>
        <w:lang w:val="en-US" w:eastAsia="en-US" w:bidi="ar-SA"/>
      </w:rPr>
    </w:lvl>
    <w:lvl w:ilvl="5" w:tplc="E8CECEAA">
      <w:numFmt w:val="bullet"/>
      <w:lvlText w:val="•"/>
      <w:lvlJc w:val="left"/>
      <w:pPr>
        <w:ind w:left="4873" w:hanging="567"/>
      </w:pPr>
      <w:rPr>
        <w:lang w:val="en-US" w:eastAsia="en-US" w:bidi="ar-SA"/>
      </w:rPr>
    </w:lvl>
    <w:lvl w:ilvl="6" w:tplc="D8024D6C">
      <w:numFmt w:val="bullet"/>
      <w:lvlText w:val="•"/>
      <w:lvlJc w:val="left"/>
      <w:pPr>
        <w:ind w:left="5772" w:hanging="567"/>
      </w:pPr>
      <w:rPr>
        <w:lang w:val="en-US" w:eastAsia="en-US" w:bidi="ar-SA"/>
      </w:rPr>
    </w:lvl>
    <w:lvl w:ilvl="7" w:tplc="7E1A1F06">
      <w:numFmt w:val="bullet"/>
      <w:lvlText w:val="•"/>
      <w:lvlJc w:val="left"/>
      <w:pPr>
        <w:ind w:left="6670" w:hanging="567"/>
      </w:pPr>
      <w:rPr>
        <w:lang w:val="en-US" w:eastAsia="en-US" w:bidi="ar-SA"/>
      </w:rPr>
    </w:lvl>
    <w:lvl w:ilvl="8" w:tplc="78D2843C">
      <w:numFmt w:val="bullet"/>
      <w:lvlText w:val="•"/>
      <w:lvlJc w:val="left"/>
      <w:pPr>
        <w:ind w:left="7569" w:hanging="567"/>
      </w:pPr>
      <w:rPr>
        <w:lang w:val="en-US" w:eastAsia="en-US" w:bidi="ar-SA"/>
      </w:rPr>
    </w:lvl>
  </w:abstractNum>
  <w:abstractNum w:abstractNumId="373" w15:restartNumberingAfterBreak="0">
    <w:nsid w:val="667F73E5"/>
    <w:multiLevelType w:val="hybridMultilevel"/>
    <w:tmpl w:val="98FA4BCA"/>
    <w:lvl w:ilvl="0" w:tplc="D19AA366">
      <w:start w:val="1"/>
      <w:numFmt w:val="lowerRoman"/>
      <w:lvlText w:val="(%1)"/>
      <w:lvlJc w:val="left"/>
      <w:pPr>
        <w:ind w:left="2408" w:hanging="567"/>
      </w:pPr>
      <w:rPr>
        <w:rFonts w:ascii="Arial" w:eastAsia="Calibri" w:hAnsi="Arial" w:cs="Arial" w:hint="default"/>
        <w:spacing w:val="-1"/>
        <w:w w:val="100"/>
        <w:sz w:val="20"/>
        <w:szCs w:val="22"/>
        <w:lang w:val="en-US" w:eastAsia="en-US" w:bidi="ar-SA"/>
      </w:rPr>
    </w:lvl>
    <w:lvl w:ilvl="1" w:tplc="4FA875CA">
      <w:numFmt w:val="bullet"/>
      <w:lvlText w:val="•"/>
      <w:lvlJc w:val="left"/>
      <w:pPr>
        <w:ind w:left="3096" w:hanging="567"/>
      </w:pPr>
      <w:rPr>
        <w:rFonts w:hint="default"/>
        <w:lang w:val="en-US" w:eastAsia="en-US" w:bidi="ar-SA"/>
      </w:rPr>
    </w:lvl>
    <w:lvl w:ilvl="2" w:tplc="6516538E">
      <w:numFmt w:val="bullet"/>
      <w:lvlText w:val="•"/>
      <w:lvlJc w:val="left"/>
      <w:pPr>
        <w:ind w:left="3793" w:hanging="567"/>
      </w:pPr>
      <w:rPr>
        <w:rFonts w:hint="default"/>
        <w:lang w:val="en-US" w:eastAsia="en-US" w:bidi="ar-SA"/>
      </w:rPr>
    </w:lvl>
    <w:lvl w:ilvl="3" w:tplc="C3DA23CA">
      <w:numFmt w:val="bullet"/>
      <w:lvlText w:val="•"/>
      <w:lvlJc w:val="left"/>
      <w:pPr>
        <w:ind w:left="4489" w:hanging="567"/>
      </w:pPr>
      <w:rPr>
        <w:rFonts w:hint="default"/>
        <w:lang w:val="en-US" w:eastAsia="en-US" w:bidi="ar-SA"/>
      </w:rPr>
    </w:lvl>
    <w:lvl w:ilvl="4" w:tplc="71BA6D20">
      <w:numFmt w:val="bullet"/>
      <w:lvlText w:val="•"/>
      <w:lvlJc w:val="left"/>
      <w:pPr>
        <w:ind w:left="5186" w:hanging="567"/>
      </w:pPr>
      <w:rPr>
        <w:rFonts w:hint="default"/>
        <w:lang w:val="en-US" w:eastAsia="en-US" w:bidi="ar-SA"/>
      </w:rPr>
    </w:lvl>
    <w:lvl w:ilvl="5" w:tplc="04A8236E">
      <w:numFmt w:val="bullet"/>
      <w:lvlText w:val="•"/>
      <w:lvlJc w:val="left"/>
      <w:pPr>
        <w:ind w:left="5883" w:hanging="567"/>
      </w:pPr>
      <w:rPr>
        <w:rFonts w:hint="default"/>
        <w:lang w:val="en-US" w:eastAsia="en-US" w:bidi="ar-SA"/>
      </w:rPr>
    </w:lvl>
    <w:lvl w:ilvl="6" w:tplc="7C50A774">
      <w:numFmt w:val="bullet"/>
      <w:lvlText w:val="•"/>
      <w:lvlJc w:val="left"/>
      <w:pPr>
        <w:ind w:left="6579" w:hanging="567"/>
      </w:pPr>
      <w:rPr>
        <w:rFonts w:hint="default"/>
        <w:lang w:val="en-US" w:eastAsia="en-US" w:bidi="ar-SA"/>
      </w:rPr>
    </w:lvl>
    <w:lvl w:ilvl="7" w:tplc="AD0A055E">
      <w:numFmt w:val="bullet"/>
      <w:lvlText w:val="•"/>
      <w:lvlJc w:val="left"/>
      <w:pPr>
        <w:ind w:left="7276" w:hanging="567"/>
      </w:pPr>
      <w:rPr>
        <w:rFonts w:hint="default"/>
        <w:lang w:val="en-US" w:eastAsia="en-US" w:bidi="ar-SA"/>
      </w:rPr>
    </w:lvl>
    <w:lvl w:ilvl="8" w:tplc="31A01386">
      <w:numFmt w:val="bullet"/>
      <w:lvlText w:val="•"/>
      <w:lvlJc w:val="left"/>
      <w:pPr>
        <w:ind w:left="7973" w:hanging="567"/>
      </w:pPr>
      <w:rPr>
        <w:rFonts w:hint="default"/>
        <w:lang w:val="en-US" w:eastAsia="en-US" w:bidi="ar-SA"/>
      </w:rPr>
    </w:lvl>
  </w:abstractNum>
  <w:abstractNum w:abstractNumId="374" w15:restartNumberingAfterBreak="0">
    <w:nsid w:val="66C723CC"/>
    <w:multiLevelType w:val="hybridMultilevel"/>
    <w:tmpl w:val="EB6AD470"/>
    <w:lvl w:ilvl="0" w:tplc="9A263FB2">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22EC351E">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6122C242">
      <w:start w:val="1"/>
      <w:numFmt w:val="lowerRoman"/>
      <w:lvlText w:val="(%3)"/>
      <w:lvlJc w:val="left"/>
      <w:pPr>
        <w:ind w:left="1842" w:hanging="569"/>
      </w:pPr>
      <w:rPr>
        <w:rFonts w:ascii="Arial" w:eastAsia="Calibri" w:hAnsi="Arial" w:cs="Arial" w:hint="default"/>
        <w:spacing w:val="-1"/>
        <w:w w:val="100"/>
        <w:sz w:val="20"/>
        <w:szCs w:val="22"/>
        <w:lang w:val="en-US" w:eastAsia="en-US" w:bidi="ar-SA"/>
      </w:rPr>
    </w:lvl>
    <w:lvl w:ilvl="3" w:tplc="11DCA858">
      <w:numFmt w:val="bullet"/>
      <w:lvlText w:val="•"/>
      <w:lvlJc w:val="left"/>
      <w:pPr>
        <w:ind w:left="2203" w:hanging="569"/>
      </w:pPr>
      <w:rPr>
        <w:rFonts w:hint="default"/>
        <w:lang w:val="en-US" w:eastAsia="en-US" w:bidi="ar-SA"/>
      </w:rPr>
    </w:lvl>
    <w:lvl w:ilvl="4" w:tplc="B41AFB30">
      <w:numFmt w:val="bullet"/>
      <w:lvlText w:val="•"/>
      <w:lvlJc w:val="left"/>
      <w:pPr>
        <w:ind w:left="2567" w:hanging="569"/>
      </w:pPr>
      <w:rPr>
        <w:rFonts w:hint="default"/>
        <w:lang w:val="en-US" w:eastAsia="en-US" w:bidi="ar-SA"/>
      </w:rPr>
    </w:lvl>
    <w:lvl w:ilvl="5" w:tplc="00C00530">
      <w:numFmt w:val="bullet"/>
      <w:lvlText w:val="•"/>
      <w:lvlJc w:val="left"/>
      <w:pPr>
        <w:ind w:left="2931" w:hanging="569"/>
      </w:pPr>
      <w:rPr>
        <w:rFonts w:hint="default"/>
        <w:lang w:val="en-US" w:eastAsia="en-US" w:bidi="ar-SA"/>
      </w:rPr>
    </w:lvl>
    <w:lvl w:ilvl="6" w:tplc="68422CE0">
      <w:numFmt w:val="bullet"/>
      <w:lvlText w:val="•"/>
      <w:lvlJc w:val="left"/>
      <w:pPr>
        <w:ind w:left="3295" w:hanging="569"/>
      </w:pPr>
      <w:rPr>
        <w:rFonts w:hint="default"/>
        <w:lang w:val="en-US" w:eastAsia="en-US" w:bidi="ar-SA"/>
      </w:rPr>
    </w:lvl>
    <w:lvl w:ilvl="7" w:tplc="D5465484">
      <w:numFmt w:val="bullet"/>
      <w:lvlText w:val="•"/>
      <w:lvlJc w:val="left"/>
      <w:pPr>
        <w:ind w:left="3659" w:hanging="569"/>
      </w:pPr>
      <w:rPr>
        <w:rFonts w:hint="default"/>
        <w:lang w:val="en-US" w:eastAsia="en-US" w:bidi="ar-SA"/>
      </w:rPr>
    </w:lvl>
    <w:lvl w:ilvl="8" w:tplc="D21C2346">
      <w:numFmt w:val="bullet"/>
      <w:lvlText w:val="•"/>
      <w:lvlJc w:val="left"/>
      <w:pPr>
        <w:ind w:left="4022" w:hanging="569"/>
      </w:pPr>
      <w:rPr>
        <w:rFonts w:hint="default"/>
        <w:lang w:val="en-US" w:eastAsia="en-US" w:bidi="ar-SA"/>
      </w:rPr>
    </w:lvl>
  </w:abstractNum>
  <w:abstractNum w:abstractNumId="375" w15:restartNumberingAfterBreak="0">
    <w:nsid w:val="66C9703B"/>
    <w:multiLevelType w:val="hybridMultilevel"/>
    <w:tmpl w:val="25EC276C"/>
    <w:lvl w:ilvl="0" w:tplc="A9E89D3C">
      <w:start w:val="1"/>
      <w:numFmt w:val="lowerRoman"/>
      <w:lvlText w:val="(%1)"/>
      <w:lvlJc w:val="left"/>
      <w:pPr>
        <w:ind w:left="2408" w:hanging="567"/>
      </w:pPr>
      <w:rPr>
        <w:rFonts w:ascii="Arial" w:eastAsia="Calibri" w:hAnsi="Arial" w:cs="Arial" w:hint="default"/>
        <w:spacing w:val="-1"/>
        <w:w w:val="100"/>
        <w:sz w:val="20"/>
        <w:szCs w:val="22"/>
        <w:lang w:val="en-US" w:eastAsia="en-US" w:bidi="ar-SA"/>
      </w:rPr>
    </w:lvl>
    <w:lvl w:ilvl="1" w:tplc="A51EECA2">
      <w:numFmt w:val="bullet"/>
      <w:lvlText w:val="•"/>
      <w:lvlJc w:val="left"/>
      <w:pPr>
        <w:ind w:left="3096" w:hanging="567"/>
      </w:pPr>
      <w:rPr>
        <w:rFonts w:hint="default"/>
        <w:lang w:val="en-US" w:eastAsia="en-US" w:bidi="ar-SA"/>
      </w:rPr>
    </w:lvl>
    <w:lvl w:ilvl="2" w:tplc="BD02ABD2">
      <w:numFmt w:val="bullet"/>
      <w:lvlText w:val="•"/>
      <w:lvlJc w:val="left"/>
      <w:pPr>
        <w:ind w:left="3793" w:hanging="567"/>
      </w:pPr>
      <w:rPr>
        <w:rFonts w:hint="default"/>
        <w:lang w:val="en-US" w:eastAsia="en-US" w:bidi="ar-SA"/>
      </w:rPr>
    </w:lvl>
    <w:lvl w:ilvl="3" w:tplc="48E25752">
      <w:numFmt w:val="bullet"/>
      <w:lvlText w:val="•"/>
      <w:lvlJc w:val="left"/>
      <w:pPr>
        <w:ind w:left="4489" w:hanging="567"/>
      </w:pPr>
      <w:rPr>
        <w:rFonts w:hint="default"/>
        <w:lang w:val="en-US" w:eastAsia="en-US" w:bidi="ar-SA"/>
      </w:rPr>
    </w:lvl>
    <w:lvl w:ilvl="4" w:tplc="80244D76">
      <w:numFmt w:val="bullet"/>
      <w:lvlText w:val="•"/>
      <w:lvlJc w:val="left"/>
      <w:pPr>
        <w:ind w:left="5186" w:hanging="567"/>
      </w:pPr>
      <w:rPr>
        <w:rFonts w:hint="default"/>
        <w:lang w:val="en-US" w:eastAsia="en-US" w:bidi="ar-SA"/>
      </w:rPr>
    </w:lvl>
    <w:lvl w:ilvl="5" w:tplc="01101146">
      <w:numFmt w:val="bullet"/>
      <w:lvlText w:val="•"/>
      <w:lvlJc w:val="left"/>
      <w:pPr>
        <w:ind w:left="5883" w:hanging="567"/>
      </w:pPr>
      <w:rPr>
        <w:rFonts w:hint="default"/>
        <w:lang w:val="en-US" w:eastAsia="en-US" w:bidi="ar-SA"/>
      </w:rPr>
    </w:lvl>
    <w:lvl w:ilvl="6" w:tplc="08563FCA">
      <w:numFmt w:val="bullet"/>
      <w:lvlText w:val="•"/>
      <w:lvlJc w:val="left"/>
      <w:pPr>
        <w:ind w:left="6579" w:hanging="567"/>
      </w:pPr>
      <w:rPr>
        <w:rFonts w:hint="default"/>
        <w:lang w:val="en-US" w:eastAsia="en-US" w:bidi="ar-SA"/>
      </w:rPr>
    </w:lvl>
    <w:lvl w:ilvl="7" w:tplc="92CAEE6E">
      <w:numFmt w:val="bullet"/>
      <w:lvlText w:val="•"/>
      <w:lvlJc w:val="left"/>
      <w:pPr>
        <w:ind w:left="7276" w:hanging="567"/>
      </w:pPr>
      <w:rPr>
        <w:rFonts w:hint="default"/>
        <w:lang w:val="en-US" w:eastAsia="en-US" w:bidi="ar-SA"/>
      </w:rPr>
    </w:lvl>
    <w:lvl w:ilvl="8" w:tplc="B9E29D98">
      <w:numFmt w:val="bullet"/>
      <w:lvlText w:val="•"/>
      <w:lvlJc w:val="left"/>
      <w:pPr>
        <w:ind w:left="7973" w:hanging="567"/>
      </w:pPr>
      <w:rPr>
        <w:rFonts w:hint="default"/>
        <w:lang w:val="en-US" w:eastAsia="en-US" w:bidi="ar-SA"/>
      </w:rPr>
    </w:lvl>
  </w:abstractNum>
  <w:abstractNum w:abstractNumId="376" w15:restartNumberingAfterBreak="0">
    <w:nsid w:val="676D0CDC"/>
    <w:multiLevelType w:val="hybridMultilevel"/>
    <w:tmpl w:val="A4746364"/>
    <w:lvl w:ilvl="0" w:tplc="6BF04148">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1F683B2E">
      <w:numFmt w:val="bullet"/>
      <w:lvlText w:val="•"/>
      <w:lvlJc w:val="left"/>
      <w:pPr>
        <w:ind w:left="1566" w:hanging="567"/>
      </w:pPr>
      <w:rPr>
        <w:rFonts w:hint="default"/>
        <w:lang w:val="en-US" w:eastAsia="en-US" w:bidi="ar-SA"/>
      </w:rPr>
    </w:lvl>
    <w:lvl w:ilvl="2" w:tplc="C6E61608">
      <w:numFmt w:val="bullet"/>
      <w:lvlText w:val="•"/>
      <w:lvlJc w:val="left"/>
      <w:pPr>
        <w:ind w:left="2433" w:hanging="567"/>
      </w:pPr>
      <w:rPr>
        <w:rFonts w:hint="default"/>
        <w:lang w:val="en-US" w:eastAsia="en-US" w:bidi="ar-SA"/>
      </w:rPr>
    </w:lvl>
    <w:lvl w:ilvl="3" w:tplc="9AFC34C0">
      <w:numFmt w:val="bullet"/>
      <w:lvlText w:val="•"/>
      <w:lvlJc w:val="left"/>
      <w:pPr>
        <w:ind w:left="3299" w:hanging="567"/>
      </w:pPr>
      <w:rPr>
        <w:rFonts w:hint="default"/>
        <w:lang w:val="en-US" w:eastAsia="en-US" w:bidi="ar-SA"/>
      </w:rPr>
    </w:lvl>
    <w:lvl w:ilvl="4" w:tplc="302204EE">
      <w:numFmt w:val="bullet"/>
      <w:lvlText w:val="•"/>
      <w:lvlJc w:val="left"/>
      <w:pPr>
        <w:ind w:left="4166" w:hanging="567"/>
      </w:pPr>
      <w:rPr>
        <w:rFonts w:hint="default"/>
        <w:lang w:val="en-US" w:eastAsia="en-US" w:bidi="ar-SA"/>
      </w:rPr>
    </w:lvl>
    <w:lvl w:ilvl="5" w:tplc="80A269B6">
      <w:numFmt w:val="bullet"/>
      <w:lvlText w:val="•"/>
      <w:lvlJc w:val="left"/>
      <w:pPr>
        <w:ind w:left="5033" w:hanging="567"/>
      </w:pPr>
      <w:rPr>
        <w:rFonts w:hint="default"/>
        <w:lang w:val="en-US" w:eastAsia="en-US" w:bidi="ar-SA"/>
      </w:rPr>
    </w:lvl>
    <w:lvl w:ilvl="6" w:tplc="C3DEA58E">
      <w:numFmt w:val="bullet"/>
      <w:lvlText w:val="•"/>
      <w:lvlJc w:val="left"/>
      <w:pPr>
        <w:ind w:left="5899" w:hanging="567"/>
      </w:pPr>
      <w:rPr>
        <w:rFonts w:hint="default"/>
        <w:lang w:val="en-US" w:eastAsia="en-US" w:bidi="ar-SA"/>
      </w:rPr>
    </w:lvl>
    <w:lvl w:ilvl="7" w:tplc="B6AC5D14">
      <w:numFmt w:val="bullet"/>
      <w:lvlText w:val="•"/>
      <w:lvlJc w:val="left"/>
      <w:pPr>
        <w:ind w:left="6766" w:hanging="567"/>
      </w:pPr>
      <w:rPr>
        <w:rFonts w:hint="default"/>
        <w:lang w:val="en-US" w:eastAsia="en-US" w:bidi="ar-SA"/>
      </w:rPr>
    </w:lvl>
    <w:lvl w:ilvl="8" w:tplc="28444320">
      <w:numFmt w:val="bullet"/>
      <w:lvlText w:val="•"/>
      <w:lvlJc w:val="left"/>
      <w:pPr>
        <w:ind w:left="7633" w:hanging="567"/>
      </w:pPr>
      <w:rPr>
        <w:rFonts w:hint="default"/>
        <w:lang w:val="en-US" w:eastAsia="en-US" w:bidi="ar-SA"/>
      </w:rPr>
    </w:lvl>
  </w:abstractNum>
  <w:abstractNum w:abstractNumId="377" w15:restartNumberingAfterBreak="0">
    <w:nsid w:val="67A918AA"/>
    <w:multiLevelType w:val="hybridMultilevel"/>
    <w:tmpl w:val="250CA23A"/>
    <w:lvl w:ilvl="0" w:tplc="346A3CDA">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113CA572">
      <w:numFmt w:val="bullet"/>
      <w:lvlText w:val="•"/>
      <w:lvlJc w:val="left"/>
      <w:pPr>
        <w:ind w:left="1566" w:hanging="567"/>
      </w:pPr>
      <w:rPr>
        <w:rFonts w:hint="default"/>
        <w:lang w:val="en-US" w:eastAsia="en-US" w:bidi="ar-SA"/>
      </w:rPr>
    </w:lvl>
    <w:lvl w:ilvl="2" w:tplc="98FEB9CC">
      <w:numFmt w:val="bullet"/>
      <w:lvlText w:val="•"/>
      <w:lvlJc w:val="left"/>
      <w:pPr>
        <w:ind w:left="2433" w:hanging="567"/>
      </w:pPr>
      <w:rPr>
        <w:rFonts w:hint="default"/>
        <w:lang w:val="en-US" w:eastAsia="en-US" w:bidi="ar-SA"/>
      </w:rPr>
    </w:lvl>
    <w:lvl w:ilvl="3" w:tplc="43C09E14">
      <w:numFmt w:val="bullet"/>
      <w:lvlText w:val="•"/>
      <w:lvlJc w:val="left"/>
      <w:pPr>
        <w:ind w:left="3299" w:hanging="567"/>
      </w:pPr>
      <w:rPr>
        <w:rFonts w:hint="default"/>
        <w:lang w:val="en-US" w:eastAsia="en-US" w:bidi="ar-SA"/>
      </w:rPr>
    </w:lvl>
    <w:lvl w:ilvl="4" w:tplc="E1169074">
      <w:numFmt w:val="bullet"/>
      <w:lvlText w:val="•"/>
      <w:lvlJc w:val="left"/>
      <w:pPr>
        <w:ind w:left="4166" w:hanging="567"/>
      </w:pPr>
      <w:rPr>
        <w:rFonts w:hint="default"/>
        <w:lang w:val="en-US" w:eastAsia="en-US" w:bidi="ar-SA"/>
      </w:rPr>
    </w:lvl>
    <w:lvl w:ilvl="5" w:tplc="21D06C48">
      <w:numFmt w:val="bullet"/>
      <w:lvlText w:val="•"/>
      <w:lvlJc w:val="left"/>
      <w:pPr>
        <w:ind w:left="5033" w:hanging="567"/>
      </w:pPr>
      <w:rPr>
        <w:rFonts w:hint="default"/>
        <w:lang w:val="en-US" w:eastAsia="en-US" w:bidi="ar-SA"/>
      </w:rPr>
    </w:lvl>
    <w:lvl w:ilvl="6" w:tplc="84E8239A">
      <w:numFmt w:val="bullet"/>
      <w:lvlText w:val="•"/>
      <w:lvlJc w:val="left"/>
      <w:pPr>
        <w:ind w:left="5899" w:hanging="567"/>
      </w:pPr>
      <w:rPr>
        <w:rFonts w:hint="default"/>
        <w:lang w:val="en-US" w:eastAsia="en-US" w:bidi="ar-SA"/>
      </w:rPr>
    </w:lvl>
    <w:lvl w:ilvl="7" w:tplc="31C6F4F6">
      <w:numFmt w:val="bullet"/>
      <w:lvlText w:val="•"/>
      <w:lvlJc w:val="left"/>
      <w:pPr>
        <w:ind w:left="6766" w:hanging="567"/>
      </w:pPr>
      <w:rPr>
        <w:rFonts w:hint="default"/>
        <w:lang w:val="en-US" w:eastAsia="en-US" w:bidi="ar-SA"/>
      </w:rPr>
    </w:lvl>
    <w:lvl w:ilvl="8" w:tplc="04B845D8">
      <w:numFmt w:val="bullet"/>
      <w:lvlText w:val="•"/>
      <w:lvlJc w:val="left"/>
      <w:pPr>
        <w:ind w:left="7633" w:hanging="567"/>
      </w:pPr>
      <w:rPr>
        <w:rFonts w:hint="default"/>
        <w:lang w:val="en-US" w:eastAsia="en-US" w:bidi="ar-SA"/>
      </w:rPr>
    </w:lvl>
  </w:abstractNum>
  <w:abstractNum w:abstractNumId="378" w15:restartNumberingAfterBreak="0">
    <w:nsid w:val="680A0421"/>
    <w:multiLevelType w:val="hybridMultilevel"/>
    <w:tmpl w:val="EFFAC990"/>
    <w:lvl w:ilvl="0" w:tplc="EDEE68C2">
      <w:start w:val="1"/>
      <w:numFmt w:val="lowerLetter"/>
      <w:lvlText w:val="(%1)"/>
      <w:lvlJc w:val="left"/>
      <w:pPr>
        <w:ind w:left="706" w:hanging="567"/>
      </w:pPr>
      <w:rPr>
        <w:rFonts w:ascii="Calibri" w:eastAsia="Calibri" w:hAnsi="Calibri" w:cs="Calibri" w:hint="default"/>
        <w:spacing w:val="-1"/>
        <w:w w:val="100"/>
        <w:sz w:val="22"/>
        <w:szCs w:val="22"/>
        <w:lang w:val="en-US" w:eastAsia="en-US" w:bidi="ar-SA"/>
      </w:rPr>
    </w:lvl>
    <w:lvl w:ilvl="1" w:tplc="3AEE160E">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D226A95C">
      <w:numFmt w:val="bullet"/>
      <w:lvlText w:val="•"/>
      <w:lvlJc w:val="left"/>
      <w:pPr>
        <w:ind w:left="2178" w:hanging="567"/>
      </w:pPr>
      <w:rPr>
        <w:rFonts w:hint="default"/>
        <w:lang w:val="en-US" w:eastAsia="en-US" w:bidi="ar-SA"/>
      </w:rPr>
    </w:lvl>
    <w:lvl w:ilvl="3" w:tplc="CDE43216">
      <w:numFmt w:val="bullet"/>
      <w:lvlText w:val="•"/>
      <w:lvlJc w:val="left"/>
      <w:pPr>
        <w:ind w:left="3076" w:hanging="567"/>
      </w:pPr>
      <w:rPr>
        <w:rFonts w:hint="default"/>
        <w:lang w:val="en-US" w:eastAsia="en-US" w:bidi="ar-SA"/>
      </w:rPr>
    </w:lvl>
    <w:lvl w:ilvl="4" w:tplc="DC7C2B9C">
      <w:numFmt w:val="bullet"/>
      <w:lvlText w:val="•"/>
      <w:lvlJc w:val="left"/>
      <w:pPr>
        <w:ind w:left="3975" w:hanging="567"/>
      </w:pPr>
      <w:rPr>
        <w:rFonts w:hint="default"/>
        <w:lang w:val="en-US" w:eastAsia="en-US" w:bidi="ar-SA"/>
      </w:rPr>
    </w:lvl>
    <w:lvl w:ilvl="5" w:tplc="569AEE9E">
      <w:numFmt w:val="bullet"/>
      <w:lvlText w:val="•"/>
      <w:lvlJc w:val="left"/>
      <w:pPr>
        <w:ind w:left="4873" w:hanging="567"/>
      </w:pPr>
      <w:rPr>
        <w:rFonts w:hint="default"/>
        <w:lang w:val="en-US" w:eastAsia="en-US" w:bidi="ar-SA"/>
      </w:rPr>
    </w:lvl>
    <w:lvl w:ilvl="6" w:tplc="D9D8F070">
      <w:numFmt w:val="bullet"/>
      <w:lvlText w:val="•"/>
      <w:lvlJc w:val="left"/>
      <w:pPr>
        <w:ind w:left="5772" w:hanging="567"/>
      </w:pPr>
      <w:rPr>
        <w:rFonts w:hint="default"/>
        <w:lang w:val="en-US" w:eastAsia="en-US" w:bidi="ar-SA"/>
      </w:rPr>
    </w:lvl>
    <w:lvl w:ilvl="7" w:tplc="AF8632F0">
      <w:numFmt w:val="bullet"/>
      <w:lvlText w:val="•"/>
      <w:lvlJc w:val="left"/>
      <w:pPr>
        <w:ind w:left="6670" w:hanging="567"/>
      </w:pPr>
      <w:rPr>
        <w:rFonts w:hint="default"/>
        <w:lang w:val="en-US" w:eastAsia="en-US" w:bidi="ar-SA"/>
      </w:rPr>
    </w:lvl>
    <w:lvl w:ilvl="8" w:tplc="7D64CDCE">
      <w:numFmt w:val="bullet"/>
      <w:lvlText w:val="•"/>
      <w:lvlJc w:val="left"/>
      <w:pPr>
        <w:ind w:left="7569" w:hanging="567"/>
      </w:pPr>
      <w:rPr>
        <w:rFonts w:hint="default"/>
        <w:lang w:val="en-US" w:eastAsia="en-US" w:bidi="ar-SA"/>
      </w:rPr>
    </w:lvl>
  </w:abstractNum>
  <w:abstractNum w:abstractNumId="379" w15:restartNumberingAfterBreak="0">
    <w:nsid w:val="680A053E"/>
    <w:multiLevelType w:val="hybridMultilevel"/>
    <w:tmpl w:val="7714A0DC"/>
    <w:lvl w:ilvl="0" w:tplc="A9327DAE">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44980828">
      <w:numFmt w:val="bullet"/>
      <w:lvlText w:val="•"/>
      <w:lvlJc w:val="left"/>
      <w:pPr>
        <w:ind w:left="1566" w:hanging="567"/>
      </w:pPr>
      <w:rPr>
        <w:rFonts w:hint="default"/>
        <w:lang w:val="en-US" w:eastAsia="en-US" w:bidi="ar-SA"/>
      </w:rPr>
    </w:lvl>
    <w:lvl w:ilvl="2" w:tplc="2F764E60">
      <w:numFmt w:val="bullet"/>
      <w:lvlText w:val="•"/>
      <w:lvlJc w:val="left"/>
      <w:pPr>
        <w:ind w:left="2433" w:hanging="567"/>
      </w:pPr>
      <w:rPr>
        <w:rFonts w:hint="default"/>
        <w:lang w:val="en-US" w:eastAsia="en-US" w:bidi="ar-SA"/>
      </w:rPr>
    </w:lvl>
    <w:lvl w:ilvl="3" w:tplc="16E6C516">
      <w:numFmt w:val="bullet"/>
      <w:lvlText w:val="•"/>
      <w:lvlJc w:val="left"/>
      <w:pPr>
        <w:ind w:left="3299" w:hanging="567"/>
      </w:pPr>
      <w:rPr>
        <w:rFonts w:hint="default"/>
        <w:lang w:val="en-US" w:eastAsia="en-US" w:bidi="ar-SA"/>
      </w:rPr>
    </w:lvl>
    <w:lvl w:ilvl="4" w:tplc="82B01238">
      <w:numFmt w:val="bullet"/>
      <w:lvlText w:val="•"/>
      <w:lvlJc w:val="left"/>
      <w:pPr>
        <w:ind w:left="4166" w:hanging="567"/>
      </w:pPr>
      <w:rPr>
        <w:rFonts w:hint="default"/>
        <w:lang w:val="en-US" w:eastAsia="en-US" w:bidi="ar-SA"/>
      </w:rPr>
    </w:lvl>
    <w:lvl w:ilvl="5" w:tplc="71B21D50">
      <w:numFmt w:val="bullet"/>
      <w:lvlText w:val="•"/>
      <w:lvlJc w:val="left"/>
      <w:pPr>
        <w:ind w:left="5033" w:hanging="567"/>
      </w:pPr>
      <w:rPr>
        <w:rFonts w:hint="default"/>
        <w:lang w:val="en-US" w:eastAsia="en-US" w:bidi="ar-SA"/>
      </w:rPr>
    </w:lvl>
    <w:lvl w:ilvl="6" w:tplc="F198E8EA">
      <w:numFmt w:val="bullet"/>
      <w:lvlText w:val="•"/>
      <w:lvlJc w:val="left"/>
      <w:pPr>
        <w:ind w:left="5899" w:hanging="567"/>
      </w:pPr>
      <w:rPr>
        <w:rFonts w:hint="default"/>
        <w:lang w:val="en-US" w:eastAsia="en-US" w:bidi="ar-SA"/>
      </w:rPr>
    </w:lvl>
    <w:lvl w:ilvl="7" w:tplc="2116D3BA">
      <w:numFmt w:val="bullet"/>
      <w:lvlText w:val="•"/>
      <w:lvlJc w:val="left"/>
      <w:pPr>
        <w:ind w:left="6766" w:hanging="567"/>
      </w:pPr>
      <w:rPr>
        <w:rFonts w:hint="default"/>
        <w:lang w:val="en-US" w:eastAsia="en-US" w:bidi="ar-SA"/>
      </w:rPr>
    </w:lvl>
    <w:lvl w:ilvl="8" w:tplc="2EBA0C1A">
      <w:numFmt w:val="bullet"/>
      <w:lvlText w:val="•"/>
      <w:lvlJc w:val="left"/>
      <w:pPr>
        <w:ind w:left="7633" w:hanging="567"/>
      </w:pPr>
      <w:rPr>
        <w:rFonts w:hint="default"/>
        <w:lang w:val="en-US" w:eastAsia="en-US" w:bidi="ar-SA"/>
      </w:rPr>
    </w:lvl>
  </w:abstractNum>
  <w:abstractNum w:abstractNumId="380" w15:restartNumberingAfterBreak="0">
    <w:nsid w:val="68195E41"/>
    <w:multiLevelType w:val="hybridMultilevel"/>
    <w:tmpl w:val="7800F6D6"/>
    <w:lvl w:ilvl="0" w:tplc="396AF9FE">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84820AD0">
      <w:numFmt w:val="bullet"/>
      <w:lvlText w:val="•"/>
      <w:lvlJc w:val="left"/>
      <w:pPr>
        <w:ind w:left="1566" w:hanging="567"/>
      </w:pPr>
      <w:rPr>
        <w:rFonts w:hint="default"/>
        <w:lang w:val="en-US" w:eastAsia="en-US" w:bidi="ar-SA"/>
      </w:rPr>
    </w:lvl>
    <w:lvl w:ilvl="2" w:tplc="0E9A7806">
      <w:numFmt w:val="bullet"/>
      <w:lvlText w:val="•"/>
      <w:lvlJc w:val="left"/>
      <w:pPr>
        <w:ind w:left="2433" w:hanging="567"/>
      </w:pPr>
      <w:rPr>
        <w:rFonts w:hint="default"/>
        <w:lang w:val="en-US" w:eastAsia="en-US" w:bidi="ar-SA"/>
      </w:rPr>
    </w:lvl>
    <w:lvl w:ilvl="3" w:tplc="21FC186E">
      <w:numFmt w:val="bullet"/>
      <w:lvlText w:val="•"/>
      <w:lvlJc w:val="left"/>
      <w:pPr>
        <w:ind w:left="3299" w:hanging="567"/>
      </w:pPr>
      <w:rPr>
        <w:rFonts w:hint="default"/>
        <w:lang w:val="en-US" w:eastAsia="en-US" w:bidi="ar-SA"/>
      </w:rPr>
    </w:lvl>
    <w:lvl w:ilvl="4" w:tplc="B1267CA0">
      <w:numFmt w:val="bullet"/>
      <w:lvlText w:val="•"/>
      <w:lvlJc w:val="left"/>
      <w:pPr>
        <w:ind w:left="4166" w:hanging="567"/>
      </w:pPr>
      <w:rPr>
        <w:rFonts w:hint="default"/>
        <w:lang w:val="en-US" w:eastAsia="en-US" w:bidi="ar-SA"/>
      </w:rPr>
    </w:lvl>
    <w:lvl w:ilvl="5" w:tplc="A9025384">
      <w:numFmt w:val="bullet"/>
      <w:lvlText w:val="•"/>
      <w:lvlJc w:val="left"/>
      <w:pPr>
        <w:ind w:left="5033" w:hanging="567"/>
      </w:pPr>
      <w:rPr>
        <w:rFonts w:hint="default"/>
        <w:lang w:val="en-US" w:eastAsia="en-US" w:bidi="ar-SA"/>
      </w:rPr>
    </w:lvl>
    <w:lvl w:ilvl="6" w:tplc="462A0C04">
      <w:numFmt w:val="bullet"/>
      <w:lvlText w:val="•"/>
      <w:lvlJc w:val="left"/>
      <w:pPr>
        <w:ind w:left="5899" w:hanging="567"/>
      </w:pPr>
      <w:rPr>
        <w:rFonts w:hint="default"/>
        <w:lang w:val="en-US" w:eastAsia="en-US" w:bidi="ar-SA"/>
      </w:rPr>
    </w:lvl>
    <w:lvl w:ilvl="7" w:tplc="746E4148">
      <w:numFmt w:val="bullet"/>
      <w:lvlText w:val="•"/>
      <w:lvlJc w:val="left"/>
      <w:pPr>
        <w:ind w:left="6766" w:hanging="567"/>
      </w:pPr>
      <w:rPr>
        <w:rFonts w:hint="default"/>
        <w:lang w:val="en-US" w:eastAsia="en-US" w:bidi="ar-SA"/>
      </w:rPr>
    </w:lvl>
    <w:lvl w:ilvl="8" w:tplc="CC8EEF26">
      <w:numFmt w:val="bullet"/>
      <w:lvlText w:val="•"/>
      <w:lvlJc w:val="left"/>
      <w:pPr>
        <w:ind w:left="7633" w:hanging="567"/>
      </w:pPr>
      <w:rPr>
        <w:rFonts w:hint="default"/>
        <w:lang w:val="en-US" w:eastAsia="en-US" w:bidi="ar-SA"/>
      </w:rPr>
    </w:lvl>
  </w:abstractNum>
  <w:abstractNum w:abstractNumId="381" w15:restartNumberingAfterBreak="0">
    <w:nsid w:val="687D4BC3"/>
    <w:multiLevelType w:val="hybridMultilevel"/>
    <w:tmpl w:val="2D2AF6E2"/>
    <w:lvl w:ilvl="0" w:tplc="81B0DB78">
      <w:start w:val="1"/>
      <w:numFmt w:val="decimal"/>
      <w:lvlText w:val="(%1)"/>
      <w:lvlJc w:val="left"/>
      <w:pPr>
        <w:ind w:left="1273" w:hanging="567"/>
      </w:pPr>
      <w:rPr>
        <w:rFonts w:ascii="Arial" w:eastAsia="Calibri" w:hAnsi="Arial" w:cs="Arial" w:hint="default"/>
        <w:spacing w:val="-1"/>
        <w:w w:val="100"/>
        <w:sz w:val="20"/>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2" w15:restartNumberingAfterBreak="0">
    <w:nsid w:val="68A7131B"/>
    <w:multiLevelType w:val="hybridMultilevel"/>
    <w:tmpl w:val="2D2AF6E2"/>
    <w:lvl w:ilvl="0" w:tplc="81B0DB78">
      <w:start w:val="1"/>
      <w:numFmt w:val="decimal"/>
      <w:lvlText w:val="(%1)"/>
      <w:lvlJc w:val="left"/>
      <w:pPr>
        <w:ind w:left="1273" w:hanging="567"/>
      </w:pPr>
      <w:rPr>
        <w:rFonts w:ascii="Arial" w:eastAsia="Calibri" w:hAnsi="Arial" w:cs="Arial" w:hint="default"/>
        <w:spacing w:val="-1"/>
        <w:w w:val="100"/>
        <w:sz w:val="20"/>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3" w15:restartNumberingAfterBreak="0">
    <w:nsid w:val="69037352"/>
    <w:multiLevelType w:val="hybridMultilevel"/>
    <w:tmpl w:val="03448158"/>
    <w:lvl w:ilvl="0" w:tplc="876A760A">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B224AAF8">
      <w:numFmt w:val="bullet"/>
      <w:lvlText w:val="•"/>
      <w:lvlJc w:val="left"/>
      <w:pPr>
        <w:ind w:left="1566" w:hanging="567"/>
      </w:pPr>
      <w:rPr>
        <w:rFonts w:hint="default"/>
        <w:lang w:val="en-US" w:eastAsia="en-US" w:bidi="ar-SA"/>
      </w:rPr>
    </w:lvl>
    <w:lvl w:ilvl="2" w:tplc="A0241DE2">
      <w:numFmt w:val="bullet"/>
      <w:lvlText w:val="•"/>
      <w:lvlJc w:val="left"/>
      <w:pPr>
        <w:ind w:left="2433" w:hanging="567"/>
      </w:pPr>
      <w:rPr>
        <w:rFonts w:hint="default"/>
        <w:lang w:val="en-US" w:eastAsia="en-US" w:bidi="ar-SA"/>
      </w:rPr>
    </w:lvl>
    <w:lvl w:ilvl="3" w:tplc="D6808A18">
      <w:numFmt w:val="bullet"/>
      <w:lvlText w:val="•"/>
      <w:lvlJc w:val="left"/>
      <w:pPr>
        <w:ind w:left="3299" w:hanging="567"/>
      </w:pPr>
      <w:rPr>
        <w:rFonts w:hint="default"/>
        <w:lang w:val="en-US" w:eastAsia="en-US" w:bidi="ar-SA"/>
      </w:rPr>
    </w:lvl>
    <w:lvl w:ilvl="4" w:tplc="274ACE80">
      <w:numFmt w:val="bullet"/>
      <w:lvlText w:val="•"/>
      <w:lvlJc w:val="left"/>
      <w:pPr>
        <w:ind w:left="4166" w:hanging="567"/>
      </w:pPr>
      <w:rPr>
        <w:rFonts w:hint="default"/>
        <w:lang w:val="en-US" w:eastAsia="en-US" w:bidi="ar-SA"/>
      </w:rPr>
    </w:lvl>
    <w:lvl w:ilvl="5" w:tplc="AFC2494C">
      <w:numFmt w:val="bullet"/>
      <w:lvlText w:val="•"/>
      <w:lvlJc w:val="left"/>
      <w:pPr>
        <w:ind w:left="5033" w:hanging="567"/>
      </w:pPr>
      <w:rPr>
        <w:rFonts w:hint="default"/>
        <w:lang w:val="en-US" w:eastAsia="en-US" w:bidi="ar-SA"/>
      </w:rPr>
    </w:lvl>
    <w:lvl w:ilvl="6" w:tplc="3B023C7A">
      <w:numFmt w:val="bullet"/>
      <w:lvlText w:val="•"/>
      <w:lvlJc w:val="left"/>
      <w:pPr>
        <w:ind w:left="5899" w:hanging="567"/>
      </w:pPr>
      <w:rPr>
        <w:rFonts w:hint="default"/>
        <w:lang w:val="en-US" w:eastAsia="en-US" w:bidi="ar-SA"/>
      </w:rPr>
    </w:lvl>
    <w:lvl w:ilvl="7" w:tplc="6776859E">
      <w:numFmt w:val="bullet"/>
      <w:lvlText w:val="•"/>
      <w:lvlJc w:val="left"/>
      <w:pPr>
        <w:ind w:left="6766" w:hanging="567"/>
      </w:pPr>
      <w:rPr>
        <w:rFonts w:hint="default"/>
        <w:lang w:val="en-US" w:eastAsia="en-US" w:bidi="ar-SA"/>
      </w:rPr>
    </w:lvl>
    <w:lvl w:ilvl="8" w:tplc="64F0A6C0">
      <w:numFmt w:val="bullet"/>
      <w:lvlText w:val="•"/>
      <w:lvlJc w:val="left"/>
      <w:pPr>
        <w:ind w:left="7633" w:hanging="567"/>
      </w:pPr>
      <w:rPr>
        <w:rFonts w:hint="default"/>
        <w:lang w:val="en-US" w:eastAsia="en-US" w:bidi="ar-SA"/>
      </w:rPr>
    </w:lvl>
  </w:abstractNum>
  <w:abstractNum w:abstractNumId="384" w15:restartNumberingAfterBreak="0">
    <w:nsid w:val="691F23A7"/>
    <w:multiLevelType w:val="hybridMultilevel"/>
    <w:tmpl w:val="83304BDE"/>
    <w:lvl w:ilvl="0" w:tplc="D5B626A6">
      <w:start w:val="1"/>
      <w:numFmt w:val="bullet"/>
      <w:lvlText w:val=""/>
      <w:lvlJc w:val="left"/>
      <w:pPr>
        <w:ind w:left="360" w:hanging="360"/>
      </w:pPr>
      <w:rPr>
        <w:rFonts w:ascii="Symbol" w:hAnsi="Symbol" w:hint="default"/>
        <w:sz w:val="28"/>
        <w:szCs w:val="28"/>
      </w:rPr>
    </w:lvl>
    <w:lvl w:ilvl="1" w:tplc="04090003" w:tentative="1">
      <w:start w:val="1"/>
      <w:numFmt w:val="bullet"/>
      <w:lvlText w:val="o"/>
      <w:lvlJc w:val="left"/>
      <w:pPr>
        <w:ind w:left="655" w:hanging="360"/>
      </w:pPr>
      <w:rPr>
        <w:rFonts w:ascii="Courier New" w:hAnsi="Courier New" w:cs="Courier New" w:hint="default"/>
      </w:rPr>
    </w:lvl>
    <w:lvl w:ilvl="2" w:tplc="04090005" w:tentative="1">
      <w:start w:val="1"/>
      <w:numFmt w:val="bullet"/>
      <w:lvlText w:val=""/>
      <w:lvlJc w:val="left"/>
      <w:pPr>
        <w:ind w:left="1375" w:hanging="360"/>
      </w:pPr>
      <w:rPr>
        <w:rFonts w:ascii="Wingdings" w:hAnsi="Wingdings" w:hint="default"/>
      </w:rPr>
    </w:lvl>
    <w:lvl w:ilvl="3" w:tplc="04090001" w:tentative="1">
      <w:start w:val="1"/>
      <w:numFmt w:val="bullet"/>
      <w:lvlText w:val=""/>
      <w:lvlJc w:val="left"/>
      <w:pPr>
        <w:ind w:left="2095" w:hanging="360"/>
      </w:pPr>
      <w:rPr>
        <w:rFonts w:ascii="Symbol" w:hAnsi="Symbol" w:hint="default"/>
      </w:rPr>
    </w:lvl>
    <w:lvl w:ilvl="4" w:tplc="04090003" w:tentative="1">
      <w:start w:val="1"/>
      <w:numFmt w:val="bullet"/>
      <w:lvlText w:val="o"/>
      <w:lvlJc w:val="left"/>
      <w:pPr>
        <w:ind w:left="2815" w:hanging="360"/>
      </w:pPr>
      <w:rPr>
        <w:rFonts w:ascii="Courier New" w:hAnsi="Courier New" w:cs="Courier New" w:hint="default"/>
      </w:rPr>
    </w:lvl>
    <w:lvl w:ilvl="5" w:tplc="04090005" w:tentative="1">
      <w:start w:val="1"/>
      <w:numFmt w:val="bullet"/>
      <w:lvlText w:val=""/>
      <w:lvlJc w:val="left"/>
      <w:pPr>
        <w:ind w:left="3535" w:hanging="360"/>
      </w:pPr>
      <w:rPr>
        <w:rFonts w:ascii="Wingdings" w:hAnsi="Wingdings" w:hint="default"/>
      </w:rPr>
    </w:lvl>
    <w:lvl w:ilvl="6" w:tplc="04090001" w:tentative="1">
      <w:start w:val="1"/>
      <w:numFmt w:val="bullet"/>
      <w:lvlText w:val=""/>
      <w:lvlJc w:val="left"/>
      <w:pPr>
        <w:ind w:left="4255" w:hanging="360"/>
      </w:pPr>
      <w:rPr>
        <w:rFonts w:ascii="Symbol" w:hAnsi="Symbol" w:hint="default"/>
      </w:rPr>
    </w:lvl>
    <w:lvl w:ilvl="7" w:tplc="04090003" w:tentative="1">
      <w:start w:val="1"/>
      <w:numFmt w:val="bullet"/>
      <w:lvlText w:val="o"/>
      <w:lvlJc w:val="left"/>
      <w:pPr>
        <w:ind w:left="4975" w:hanging="360"/>
      </w:pPr>
      <w:rPr>
        <w:rFonts w:ascii="Courier New" w:hAnsi="Courier New" w:cs="Courier New" w:hint="default"/>
      </w:rPr>
    </w:lvl>
    <w:lvl w:ilvl="8" w:tplc="04090005" w:tentative="1">
      <w:start w:val="1"/>
      <w:numFmt w:val="bullet"/>
      <w:lvlText w:val=""/>
      <w:lvlJc w:val="left"/>
      <w:pPr>
        <w:ind w:left="5695" w:hanging="360"/>
      </w:pPr>
      <w:rPr>
        <w:rFonts w:ascii="Wingdings" w:hAnsi="Wingdings" w:hint="default"/>
      </w:rPr>
    </w:lvl>
  </w:abstractNum>
  <w:abstractNum w:abstractNumId="385" w15:restartNumberingAfterBreak="0">
    <w:nsid w:val="69315AE8"/>
    <w:multiLevelType w:val="hybridMultilevel"/>
    <w:tmpl w:val="ED1A8E4E"/>
    <w:lvl w:ilvl="0" w:tplc="3F2E25BE">
      <w:start w:val="1"/>
      <w:numFmt w:val="decimal"/>
      <w:lvlText w:val="(%1)"/>
      <w:lvlJc w:val="left"/>
      <w:pPr>
        <w:ind w:left="1273" w:hanging="567"/>
      </w:pPr>
      <w:rPr>
        <w:rFonts w:ascii="Arial" w:eastAsia="Calibri" w:hAnsi="Arial" w:cs="Arial" w:hint="default"/>
        <w:spacing w:val="-1"/>
        <w:w w:val="100"/>
        <w:sz w:val="20"/>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6" w15:restartNumberingAfterBreak="0">
    <w:nsid w:val="696C146C"/>
    <w:multiLevelType w:val="hybridMultilevel"/>
    <w:tmpl w:val="AC4418C8"/>
    <w:lvl w:ilvl="0" w:tplc="3A8EEBD4">
      <w:start w:val="1"/>
      <w:numFmt w:val="lowerLetter"/>
      <w:lvlText w:val="(%1)"/>
      <w:lvlJc w:val="left"/>
      <w:pPr>
        <w:ind w:left="543" w:hanging="459"/>
      </w:pPr>
      <w:rPr>
        <w:rFonts w:ascii="Arial" w:eastAsia="Calibri" w:hAnsi="Arial" w:cs="Arial" w:hint="default"/>
        <w:spacing w:val="-1"/>
        <w:w w:val="99"/>
        <w:sz w:val="20"/>
        <w:szCs w:val="20"/>
        <w:lang w:val="en-US" w:eastAsia="en-US" w:bidi="ar-SA"/>
      </w:rPr>
    </w:lvl>
    <w:lvl w:ilvl="1" w:tplc="43741414">
      <w:numFmt w:val="bullet"/>
      <w:lvlText w:val="•"/>
      <w:lvlJc w:val="left"/>
      <w:pPr>
        <w:ind w:left="811" w:hanging="459"/>
      </w:pPr>
      <w:rPr>
        <w:rFonts w:hint="default"/>
        <w:lang w:val="en-US" w:eastAsia="en-US" w:bidi="ar-SA"/>
      </w:rPr>
    </w:lvl>
    <w:lvl w:ilvl="2" w:tplc="C1BCF5AE">
      <w:numFmt w:val="bullet"/>
      <w:lvlText w:val="•"/>
      <w:lvlJc w:val="left"/>
      <w:pPr>
        <w:ind w:left="1082" w:hanging="459"/>
      </w:pPr>
      <w:rPr>
        <w:rFonts w:hint="default"/>
        <w:lang w:val="en-US" w:eastAsia="en-US" w:bidi="ar-SA"/>
      </w:rPr>
    </w:lvl>
    <w:lvl w:ilvl="3" w:tplc="D4F67B2E">
      <w:numFmt w:val="bullet"/>
      <w:lvlText w:val="•"/>
      <w:lvlJc w:val="left"/>
      <w:pPr>
        <w:ind w:left="1353" w:hanging="459"/>
      </w:pPr>
      <w:rPr>
        <w:rFonts w:hint="default"/>
        <w:lang w:val="en-US" w:eastAsia="en-US" w:bidi="ar-SA"/>
      </w:rPr>
    </w:lvl>
    <w:lvl w:ilvl="4" w:tplc="FA3A3768">
      <w:numFmt w:val="bullet"/>
      <w:lvlText w:val="•"/>
      <w:lvlJc w:val="left"/>
      <w:pPr>
        <w:ind w:left="1624" w:hanging="459"/>
      </w:pPr>
      <w:rPr>
        <w:rFonts w:hint="default"/>
        <w:lang w:val="en-US" w:eastAsia="en-US" w:bidi="ar-SA"/>
      </w:rPr>
    </w:lvl>
    <w:lvl w:ilvl="5" w:tplc="E5F6939C">
      <w:numFmt w:val="bullet"/>
      <w:lvlText w:val="•"/>
      <w:lvlJc w:val="left"/>
      <w:pPr>
        <w:ind w:left="1895" w:hanging="459"/>
      </w:pPr>
      <w:rPr>
        <w:rFonts w:hint="default"/>
        <w:lang w:val="en-US" w:eastAsia="en-US" w:bidi="ar-SA"/>
      </w:rPr>
    </w:lvl>
    <w:lvl w:ilvl="6" w:tplc="501842D0">
      <w:numFmt w:val="bullet"/>
      <w:lvlText w:val="•"/>
      <w:lvlJc w:val="left"/>
      <w:pPr>
        <w:ind w:left="2166" w:hanging="459"/>
      </w:pPr>
      <w:rPr>
        <w:rFonts w:hint="default"/>
        <w:lang w:val="en-US" w:eastAsia="en-US" w:bidi="ar-SA"/>
      </w:rPr>
    </w:lvl>
    <w:lvl w:ilvl="7" w:tplc="85EAF9CA">
      <w:numFmt w:val="bullet"/>
      <w:lvlText w:val="•"/>
      <w:lvlJc w:val="left"/>
      <w:pPr>
        <w:ind w:left="2438" w:hanging="459"/>
      </w:pPr>
      <w:rPr>
        <w:rFonts w:hint="default"/>
        <w:lang w:val="en-US" w:eastAsia="en-US" w:bidi="ar-SA"/>
      </w:rPr>
    </w:lvl>
    <w:lvl w:ilvl="8" w:tplc="3BE0906A">
      <w:numFmt w:val="bullet"/>
      <w:lvlText w:val="•"/>
      <w:lvlJc w:val="left"/>
      <w:pPr>
        <w:ind w:left="2709" w:hanging="459"/>
      </w:pPr>
      <w:rPr>
        <w:rFonts w:hint="default"/>
        <w:lang w:val="en-US" w:eastAsia="en-US" w:bidi="ar-SA"/>
      </w:rPr>
    </w:lvl>
  </w:abstractNum>
  <w:abstractNum w:abstractNumId="387" w15:restartNumberingAfterBreak="0">
    <w:nsid w:val="69C033EB"/>
    <w:multiLevelType w:val="hybridMultilevel"/>
    <w:tmpl w:val="7D92F244"/>
    <w:lvl w:ilvl="0" w:tplc="CB28684E">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6C881FC2">
      <w:numFmt w:val="bullet"/>
      <w:lvlText w:val="•"/>
      <w:lvlJc w:val="left"/>
      <w:pPr>
        <w:ind w:left="775" w:hanging="567"/>
      </w:pPr>
      <w:rPr>
        <w:rFonts w:hint="default"/>
        <w:lang w:val="en-US" w:eastAsia="en-US" w:bidi="ar-SA"/>
      </w:rPr>
    </w:lvl>
    <w:lvl w:ilvl="2" w:tplc="9D5C71E4">
      <w:numFmt w:val="bullet"/>
      <w:lvlText w:val="•"/>
      <w:lvlJc w:val="left"/>
      <w:pPr>
        <w:ind w:left="851" w:hanging="567"/>
      </w:pPr>
      <w:rPr>
        <w:rFonts w:hint="default"/>
        <w:lang w:val="en-US" w:eastAsia="en-US" w:bidi="ar-SA"/>
      </w:rPr>
    </w:lvl>
    <w:lvl w:ilvl="3" w:tplc="B1384570">
      <w:numFmt w:val="bullet"/>
      <w:lvlText w:val="•"/>
      <w:lvlJc w:val="left"/>
      <w:pPr>
        <w:ind w:left="926" w:hanging="567"/>
      </w:pPr>
      <w:rPr>
        <w:rFonts w:hint="default"/>
        <w:lang w:val="en-US" w:eastAsia="en-US" w:bidi="ar-SA"/>
      </w:rPr>
    </w:lvl>
    <w:lvl w:ilvl="4" w:tplc="6FBC1F40">
      <w:numFmt w:val="bullet"/>
      <w:lvlText w:val="•"/>
      <w:lvlJc w:val="left"/>
      <w:pPr>
        <w:ind w:left="1002" w:hanging="567"/>
      </w:pPr>
      <w:rPr>
        <w:rFonts w:hint="default"/>
        <w:lang w:val="en-US" w:eastAsia="en-US" w:bidi="ar-SA"/>
      </w:rPr>
    </w:lvl>
    <w:lvl w:ilvl="5" w:tplc="4C6E913E">
      <w:numFmt w:val="bullet"/>
      <w:lvlText w:val="•"/>
      <w:lvlJc w:val="left"/>
      <w:pPr>
        <w:ind w:left="1077" w:hanging="567"/>
      </w:pPr>
      <w:rPr>
        <w:rFonts w:hint="default"/>
        <w:lang w:val="en-US" w:eastAsia="en-US" w:bidi="ar-SA"/>
      </w:rPr>
    </w:lvl>
    <w:lvl w:ilvl="6" w:tplc="9CAC0146">
      <w:numFmt w:val="bullet"/>
      <w:lvlText w:val="•"/>
      <w:lvlJc w:val="left"/>
      <w:pPr>
        <w:ind w:left="1153" w:hanging="567"/>
      </w:pPr>
      <w:rPr>
        <w:rFonts w:hint="default"/>
        <w:lang w:val="en-US" w:eastAsia="en-US" w:bidi="ar-SA"/>
      </w:rPr>
    </w:lvl>
    <w:lvl w:ilvl="7" w:tplc="291C5B8C">
      <w:numFmt w:val="bullet"/>
      <w:lvlText w:val="•"/>
      <w:lvlJc w:val="left"/>
      <w:pPr>
        <w:ind w:left="1228" w:hanging="567"/>
      </w:pPr>
      <w:rPr>
        <w:rFonts w:hint="default"/>
        <w:lang w:val="en-US" w:eastAsia="en-US" w:bidi="ar-SA"/>
      </w:rPr>
    </w:lvl>
    <w:lvl w:ilvl="8" w:tplc="91501E40">
      <w:numFmt w:val="bullet"/>
      <w:lvlText w:val="•"/>
      <w:lvlJc w:val="left"/>
      <w:pPr>
        <w:ind w:left="1304" w:hanging="567"/>
      </w:pPr>
      <w:rPr>
        <w:rFonts w:hint="default"/>
        <w:lang w:val="en-US" w:eastAsia="en-US" w:bidi="ar-SA"/>
      </w:rPr>
    </w:lvl>
  </w:abstractNum>
  <w:abstractNum w:abstractNumId="388" w15:restartNumberingAfterBreak="0">
    <w:nsid w:val="69C0388B"/>
    <w:multiLevelType w:val="hybridMultilevel"/>
    <w:tmpl w:val="F3D038E4"/>
    <w:lvl w:ilvl="0" w:tplc="A05C548E">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CDAA9F10">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EC4A9788">
      <w:start w:val="1"/>
      <w:numFmt w:val="lowerRoman"/>
      <w:lvlText w:val="(%3)"/>
      <w:lvlJc w:val="left"/>
      <w:pPr>
        <w:ind w:left="1842" w:hanging="569"/>
      </w:pPr>
      <w:rPr>
        <w:rFonts w:ascii="Arial" w:eastAsia="Calibri" w:hAnsi="Arial" w:cs="Arial" w:hint="default"/>
        <w:spacing w:val="-1"/>
        <w:w w:val="100"/>
        <w:sz w:val="20"/>
        <w:szCs w:val="22"/>
        <w:lang w:val="en-US" w:eastAsia="en-US" w:bidi="ar-SA"/>
      </w:rPr>
    </w:lvl>
    <w:lvl w:ilvl="3" w:tplc="CF020C4C">
      <w:numFmt w:val="bullet"/>
      <w:lvlText w:val="•"/>
      <w:lvlJc w:val="left"/>
      <w:pPr>
        <w:ind w:left="2780" w:hanging="569"/>
      </w:pPr>
      <w:rPr>
        <w:rFonts w:hint="default"/>
        <w:lang w:val="en-US" w:eastAsia="en-US" w:bidi="ar-SA"/>
      </w:rPr>
    </w:lvl>
    <w:lvl w:ilvl="4" w:tplc="03A8826A">
      <w:numFmt w:val="bullet"/>
      <w:lvlText w:val="•"/>
      <w:lvlJc w:val="left"/>
      <w:pPr>
        <w:ind w:left="3721" w:hanging="569"/>
      </w:pPr>
      <w:rPr>
        <w:rFonts w:hint="default"/>
        <w:lang w:val="en-US" w:eastAsia="en-US" w:bidi="ar-SA"/>
      </w:rPr>
    </w:lvl>
    <w:lvl w:ilvl="5" w:tplc="8E0E12E0">
      <w:numFmt w:val="bullet"/>
      <w:lvlText w:val="•"/>
      <w:lvlJc w:val="left"/>
      <w:pPr>
        <w:ind w:left="4662" w:hanging="569"/>
      </w:pPr>
      <w:rPr>
        <w:rFonts w:hint="default"/>
        <w:lang w:val="en-US" w:eastAsia="en-US" w:bidi="ar-SA"/>
      </w:rPr>
    </w:lvl>
    <w:lvl w:ilvl="6" w:tplc="7DB4F82C">
      <w:numFmt w:val="bullet"/>
      <w:lvlText w:val="•"/>
      <w:lvlJc w:val="left"/>
      <w:pPr>
        <w:ind w:left="5603" w:hanging="569"/>
      </w:pPr>
      <w:rPr>
        <w:rFonts w:hint="default"/>
        <w:lang w:val="en-US" w:eastAsia="en-US" w:bidi="ar-SA"/>
      </w:rPr>
    </w:lvl>
    <w:lvl w:ilvl="7" w:tplc="57500B9E">
      <w:numFmt w:val="bullet"/>
      <w:lvlText w:val="•"/>
      <w:lvlJc w:val="left"/>
      <w:pPr>
        <w:ind w:left="6544" w:hanging="569"/>
      </w:pPr>
      <w:rPr>
        <w:rFonts w:hint="default"/>
        <w:lang w:val="en-US" w:eastAsia="en-US" w:bidi="ar-SA"/>
      </w:rPr>
    </w:lvl>
    <w:lvl w:ilvl="8" w:tplc="2FAAF862">
      <w:numFmt w:val="bullet"/>
      <w:lvlText w:val="•"/>
      <w:lvlJc w:val="left"/>
      <w:pPr>
        <w:ind w:left="7484" w:hanging="569"/>
      </w:pPr>
      <w:rPr>
        <w:rFonts w:hint="default"/>
        <w:lang w:val="en-US" w:eastAsia="en-US" w:bidi="ar-SA"/>
      </w:rPr>
    </w:lvl>
  </w:abstractNum>
  <w:abstractNum w:abstractNumId="389" w15:restartNumberingAfterBreak="0">
    <w:nsid w:val="6A54555C"/>
    <w:multiLevelType w:val="hybridMultilevel"/>
    <w:tmpl w:val="801C3EEE"/>
    <w:lvl w:ilvl="0" w:tplc="BC76B2A6">
      <w:start w:val="1"/>
      <w:numFmt w:val="lowerRoman"/>
      <w:lvlText w:val="(%1)"/>
      <w:lvlJc w:val="left"/>
      <w:pPr>
        <w:ind w:left="1842" w:hanging="569"/>
      </w:pPr>
      <w:rPr>
        <w:rFonts w:ascii="Arial" w:eastAsia="Calibri" w:hAnsi="Arial" w:cs="Arial" w:hint="default"/>
        <w:spacing w:val="-1"/>
        <w:w w:val="100"/>
        <w:sz w:val="20"/>
        <w:szCs w:val="22"/>
        <w:lang w:val="en-US" w:eastAsia="en-US" w:bidi="ar-SA"/>
      </w:rPr>
    </w:lvl>
    <w:lvl w:ilvl="1" w:tplc="88767A44">
      <w:numFmt w:val="bullet"/>
      <w:lvlText w:val="•"/>
      <w:lvlJc w:val="left"/>
      <w:pPr>
        <w:ind w:left="2592" w:hanging="569"/>
      </w:pPr>
      <w:rPr>
        <w:rFonts w:hint="default"/>
        <w:lang w:val="en-US" w:eastAsia="en-US" w:bidi="ar-SA"/>
      </w:rPr>
    </w:lvl>
    <w:lvl w:ilvl="2" w:tplc="052CD4B6">
      <w:numFmt w:val="bullet"/>
      <w:lvlText w:val="•"/>
      <w:lvlJc w:val="left"/>
      <w:pPr>
        <w:ind w:left="3345" w:hanging="569"/>
      </w:pPr>
      <w:rPr>
        <w:rFonts w:hint="default"/>
        <w:lang w:val="en-US" w:eastAsia="en-US" w:bidi="ar-SA"/>
      </w:rPr>
    </w:lvl>
    <w:lvl w:ilvl="3" w:tplc="D0F02BC6">
      <w:numFmt w:val="bullet"/>
      <w:lvlText w:val="•"/>
      <w:lvlJc w:val="left"/>
      <w:pPr>
        <w:ind w:left="4097" w:hanging="569"/>
      </w:pPr>
      <w:rPr>
        <w:rFonts w:hint="default"/>
        <w:lang w:val="en-US" w:eastAsia="en-US" w:bidi="ar-SA"/>
      </w:rPr>
    </w:lvl>
    <w:lvl w:ilvl="4" w:tplc="92F43EBE">
      <w:numFmt w:val="bullet"/>
      <w:lvlText w:val="•"/>
      <w:lvlJc w:val="left"/>
      <w:pPr>
        <w:ind w:left="4850" w:hanging="569"/>
      </w:pPr>
      <w:rPr>
        <w:rFonts w:hint="default"/>
        <w:lang w:val="en-US" w:eastAsia="en-US" w:bidi="ar-SA"/>
      </w:rPr>
    </w:lvl>
    <w:lvl w:ilvl="5" w:tplc="61A09B14">
      <w:numFmt w:val="bullet"/>
      <w:lvlText w:val="•"/>
      <w:lvlJc w:val="left"/>
      <w:pPr>
        <w:ind w:left="5603" w:hanging="569"/>
      </w:pPr>
      <w:rPr>
        <w:rFonts w:hint="default"/>
        <w:lang w:val="en-US" w:eastAsia="en-US" w:bidi="ar-SA"/>
      </w:rPr>
    </w:lvl>
    <w:lvl w:ilvl="6" w:tplc="CC402CCE">
      <w:numFmt w:val="bullet"/>
      <w:lvlText w:val="•"/>
      <w:lvlJc w:val="left"/>
      <w:pPr>
        <w:ind w:left="6355" w:hanging="569"/>
      </w:pPr>
      <w:rPr>
        <w:rFonts w:hint="default"/>
        <w:lang w:val="en-US" w:eastAsia="en-US" w:bidi="ar-SA"/>
      </w:rPr>
    </w:lvl>
    <w:lvl w:ilvl="7" w:tplc="3E024A72">
      <w:numFmt w:val="bullet"/>
      <w:lvlText w:val="•"/>
      <w:lvlJc w:val="left"/>
      <w:pPr>
        <w:ind w:left="7108" w:hanging="569"/>
      </w:pPr>
      <w:rPr>
        <w:rFonts w:hint="default"/>
        <w:lang w:val="en-US" w:eastAsia="en-US" w:bidi="ar-SA"/>
      </w:rPr>
    </w:lvl>
    <w:lvl w:ilvl="8" w:tplc="79D4175A">
      <w:numFmt w:val="bullet"/>
      <w:lvlText w:val="•"/>
      <w:lvlJc w:val="left"/>
      <w:pPr>
        <w:ind w:left="7861" w:hanging="569"/>
      </w:pPr>
      <w:rPr>
        <w:rFonts w:hint="default"/>
        <w:lang w:val="en-US" w:eastAsia="en-US" w:bidi="ar-SA"/>
      </w:rPr>
    </w:lvl>
  </w:abstractNum>
  <w:abstractNum w:abstractNumId="390" w15:restartNumberingAfterBreak="0">
    <w:nsid w:val="6A5E5FA8"/>
    <w:multiLevelType w:val="hybridMultilevel"/>
    <w:tmpl w:val="4E0C8EC8"/>
    <w:lvl w:ilvl="0" w:tplc="5476C06E">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1774FF4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60F41042">
      <w:numFmt w:val="bullet"/>
      <w:lvlText w:val="•"/>
      <w:lvlJc w:val="left"/>
      <w:pPr>
        <w:ind w:left="2178" w:hanging="567"/>
      </w:pPr>
      <w:rPr>
        <w:rFonts w:hint="default"/>
        <w:lang w:val="en-US" w:eastAsia="en-US" w:bidi="ar-SA"/>
      </w:rPr>
    </w:lvl>
    <w:lvl w:ilvl="3" w:tplc="36D25D2C">
      <w:numFmt w:val="bullet"/>
      <w:lvlText w:val="•"/>
      <w:lvlJc w:val="left"/>
      <w:pPr>
        <w:ind w:left="3076" w:hanging="567"/>
      </w:pPr>
      <w:rPr>
        <w:rFonts w:hint="default"/>
        <w:lang w:val="en-US" w:eastAsia="en-US" w:bidi="ar-SA"/>
      </w:rPr>
    </w:lvl>
    <w:lvl w:ilvl="4" w:tplc="BFFE2664">
      <w:numFmt w:val="bullet"/>
      <w:lvlText w:val="•"/>
      <w:lvlJc w:val="left"/>
      <w:pPr>
        <w:ind w:left="3975" w:hanging="567"/>
      </w:pPr>
      <w:rPr>
        <w:rFonts w:hint="default"/>
        <w:lang w:val="en-US" w:eastAsia="en-US" w:bidi="ar-SA"/>
      </w:rPr>
    </w:lvl>
    <w:lvl w:ilvl="5" w:tplc="4C4EB49A">
      <w:numFmt w:val="bullet"/>
      <w:lvlText w:val="•"/>
      <w:lvlJc w:val="left"/>
      <w:pPr>
        <w:ind w:left="4873" w:hanging="567"/>
      </w:pPr>
      <w:rPr>
        <w:rFonts w:hint="default"/>
        <w:lang w:val="en-US" w:eastAsia="en-US" w:bidi="ar-SA"/>
      </w:rPr>
    </w:lvl>
    <w:lvl w:ilvl="6" w:tplc="F09E7CEE">
      <w:numFmt w:val="bullet"/>
      <w:lvlText w:val="•"/>
      <w:lvlJc w:val="left"/>
      <w:pPr>
        <w:ind w:left="5772" w:hanging="567"/>
      </w:pPr>
      <w:rPr>
        <w:rFonts w:hint="default"/>
        <w:lang w:val="en-US" w:eastAsia="en-US" w:bidi="ar-SA"/>
      </w:rPr>
    </w:lvl>
    <w:lvl w:ilvl="7" w:tplc="3BF6DA56">
      <w:numFmt w:val="bullet"/>
      <w:lvlText w:val="•"/>
      <w:lvlJc w:val="left"/>
      <w:pPr>
        <w:ind w:left="6670" w:hanging="567"/>
      </w:pPr>
      <w:rPr>
        <w:rFonts w:hint="default"/>
        <w:lang w:val="en-US" w:eastAsia="en-US" w:bidi="ar-SA"/>
      </w:rPr>
    </w:lvl>
    <w:lvl w:ilvl="8" w:tplc="D8F007BC">
      <w:numFmt w:val="bullet"/>
      <w:lvlText w:val="•"/>
      <w:lvlJc w:val="left"/>
      <w:pPr>
        <w:ind w:left="7569" w:hanging="567"/>
      </w:pPr>
      <w:rPr>
        <w:rFonts w:hint="default"/>
        <w:lang w:val="en-US" w:eastAsia="en-US" w:bidi="ar-SA"/>
      </w:rPr>
    </w:lvl>
  </w:abstractNum>
  <w:abstractNum w:abstractNumId="391" w15:restartNumberingAfterBreak="0">
    <w:nsid w:val="6A7D7EC4"/>
    <w:multiLevelType w:val="hybridMultilevel"/>
    <w:tmpl w:val="F90A8DCC"/>
    <w:lvl w:ilvl="0" w:tplc="DF762F92">
      <w:start w:val="1"/>
      <w:numFmt w:val="decimal"/>
      <w:lvlText w:val="(%1)"/>
      <w:lvlJc w:val="left"/>
      <w:pPr>
        <w:ind w:left="1273" w:hanging="567"/>
      </w:pPr>
      <w:rPr>
        <w:rFonts w:ascii="Arial" w:eastAsia="Calibri" w:hAnsi="Arial" w:cs="Arial" w:hint="default"/>
        <w:spacing w:val="-1"/>
        <w:w w:val="100"/>
        <w:sz w:val="20"/>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2" w15:restartNumberingAfterBreak="0">
    <w:nsid w:val="6AA628E0"/>
    <w:multiLevelType w:val="hybridMultilevel"/>
    <w:tmpl w:val="A6E2BE60"/>
    <w:lvl w:ilvl="0" w:tplc="F70AC446">
      <w:start w:val="1"/>
      <w:numFmt w:val="lowerRoman"/>
      <w:lvlText w:val="(%1)"/>
      <w:lvlJc w:val="left"/>
      <w:pPr>
        <w:ind w:left="2408" w:hanging="567"/>
      </w:pPr>
      <w:rPr>
        <w:rFonts w:ascii="Arial" w:eastAsia="Calibri" w:hAnsi="Arial" w:cs="Arial" w:hint="default"/>
        <w:spacing w:val="-1"/>
        <w:w w:val="100"/>
        <w:sz w:val="20"/>
        <w:szCs w:val="22"/>
        <w:lang w:val="en-US" w:eastAsia="en-US" w:bidi="ar-SA"/>
      </w:rPr>
    </w:lvl>
    <w:lvl w:ilvl="1" w:tplc="9AEA7BD8">
      <w:numFmt w:val="bullet"/>
      <w:lvlText w:val="•"/>
      <w:lvlJc w:val="left"/>
      <w:pPr>
        <w:ind w:left="3096" w:hanging="567"/>
      </w:pPr>
      <w:rPr>
        <w:rFonts w:hint="default"/>
        <w:lang w:val="en-US" w:eastAsia="en-US" w:bidi="ar-SA"/>
      </w:rPr>
    </w:lvl>
    <w:lvl w:ilvl="2" w:tplc="A9CC8274">
      <w:numFmt w:val="bullet"/>
      <w:lvlText w:val="•"/>
      <w:lvlJc w:val="left"/>
      <w:pPr>
        <w:ind w:left="3793" w:hanging="567"/>
      </w:pPr>
      <w:rPr>
        <w:rFonts w:hint="default"/>
        <w:lang w:val="en-US" w:eastAsia="en-US" w:bidi="ar-SA"/>
      </w:rPr>
    </w:lvl>
    <w:lvl w:ilvl="3" w:tplc="18F01A0A">
      <w:numFmt w:val="bullet"/>
      <w:lvlText w:val="•"/>
      <w:lvlJc w:val="left"/>
      <w:pPr>
        <w:ind w:left="4489" w:hanging="567"/>
      </w:pPr>
      <w:rPr>
        <w:rFonts w:hint="default"/>
        <w:lang w:val="en-US" w:eastAsia="en-US" w:bidi="ar-SA"/>
      </w:rPr>
    </w:lvl>
    <w:lvl w:ilvl="4" w:tplc="4F98DA30">
      <w:numFmt w:val="bullet"/>
      <w:lvlText w:val="•"/>
      <w:lvlJc w:val="left"/>
      <w:pPr>
        <w:ind w:left="5186" w:hanging="567"/>
      </w:pPr>
      <w:rPr>
        <w:rFonts w:hint="default"/>
        <w:lang w:val="en-US" w:eastAsia="en-US" w:bidi="ar-SA"/>
      </w:rPr>
    </w:lvl>
    <w:lvl w:ilvl="5" w:tplc="E79E548E">
      <w:numFmt w:val="bullet"/>
      <w:lvlText w:val="•"/>
      <w:lvlJc w:val="left"/>
      <w:pPr>
        <w:ind w:left="5883" w:hanging="567"/>
      </w:pPr>
      <w:rPr>
        <w:rFonts w:hint="default"/>
        <w:lang w:val="en-US" w:eastAsia="en-US" w:bidi="ar-SA"/>
      </w:rPr>
    </w:lvl>
    <w:lvl w:ilvl="6" w:tplc="5808C60C">
      <w:numFmt w:val="bullet"/>
      <w:lvlText w:val="•"/>
      <w:lvlJc w:val="left"/>
      <w:pPr>
        <w:ind w:left="6579" w:hanging="567"/>
      </w:pPr>
      <w:rPr>
        <w:rFonts w:hint="default"/>
        <w:lang w:val="en-US" w:eastAsia="en-US" w:bidi="ar-SA"/>
      </w:rPr>
    </w:lvl>
    <w:lvl w:ilvl="7" w:tplc="47E45044">
      <w:numFmt w:val="bullet"/>
      <w:lvlText w:val="•"/>
      <w:lvlJc w:val="left"/>
      <w:pPr>
        <w:ind w:left="7276" w:hanging="567"/>
      </w:pPr>
      <w:rPr>
        <w:rFonts w:hint="default"/>
        <w:lang w:val="en-US" w:eastAsia="en-US" w:bidi="ar-SA"/>
      </w:rPr>
    </w:lvl>
    <w:lvl w:ilvl="8" w:tplc="97EE12E6">
      <w:numFmt w:val="bullet"/>
      <w:lvlText w:val="•"/>
      <w:lvlJc w:val="left"/>
      <w:pPr>
        <w:ind w:left="7973" w:hanging="567"/>
      </w:pPr>
      <w:rPr>
        <w:rFonts w:hint="default"/>
        <w:lang w:val="en-US" w:eastAsia="en-US" w:bidi="ar-SA"/>
      </w:rPr>
    </w:lvl>
  </w:abstractNum>
  <w:abstractNum w:abstractNumId="393" w15:restartNumberingAfterBreak="0">
    <w:nsid w:val="6AE4794B"/>
    <w:multiLevelType w:val="hybridMultilevel"/>
    <w:tmpl w:val="6C9AECC6"/>
    <w:lvl w:ilvl="0" w:tplc="EDF0B5BE">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F2CE6AD6">
      <w:numFmt w:val="bullet"/>
      <w:lvlText w:val="•"/>
      <w:lvlJc w:val="left"/>
      <w:pPr>
        <w:ind w:left="1566" w:hanging="567"/>
      </w:pPr>
      <w:rPr>
        <w:rFonts w:hint="default"/>
        <w:lang w:val="en-US" w:eastAsia="en-US" w:bidi="ar-SA"/>
      </w:rPr>
    </w:lvl>
    <w:lvl w:ilvl="2" w:tplc="088657BE">
      <w:numFmt w:val="bullet"/>
      <w:lvlText w:val="•"/>
      <w:lvlJc w:val="left"/>
      <w:pPr>
        <w:ind w:left="2433" w:hanging="567"/>
      </w:pPr>
      <w:rPr>
        <w:rFonts w:hint="default"/>
        <w:lang w:val="en-US" w:eastAsia="en-US" w:bidi="ar-SA"/>
      </w:rPr>
    </w:lvl>
    <w:lvl w:ilvl="3" w:tplc="79C288F2">
      <w:numFmt w:val="bullet"/>
      <w:lvlText w:val="•"/>
      <w:lvlJc w:val="left"/>
      <w:pPr>
        <w:ind w:left="3299" w:hanging="567"/>
      </w:pPr>
      <w:rPr>
        <w:rFonts w:hint="default"/>
        <w:lang w:val="en-US" w:eastAsia="en-US" w:bidi="ar-SA"/>
      </w:rPr>
    </w:lvl>
    <w:lvl w:ilvl="4" w:tplc="1D64DFE4">
      <w:numFmt w:val="bullet"/>
      <w:lvlText w:val="•"/>
      <w:lvlJc w:val="left"/>
      <w:pPr>
        <w:ind w:left="4166" w:hanging="567"/>
      </w:pPr>
      <w:rPr>
        <w:rFonts w:hint="default"/>
        <w:lang w:val="en-US" w:eastAsia="en-US" w:bidi="ar-SA"/>
      </w:rPr>
    </w:lvl>
    <w:lvl w:ilvl="5" w:tplc="C226A6CE">
      <w:numFmt w:val="bullet"/>
      <w:lvlText w:val="•"/>
      <w:lvlJc w:val="left"/>
      <w:pPr>
        <w:ind w:left="5033" w:hanging="567"/>
      </w:pPr>
      <w:rPr>
        <w:rFonts w:hint="default"/>
        <w:lang w:val="en-US" w:eastAsia="en-US" w:bidi="ar-SA"/>
      </w:rPr>
    </w:lvl>
    <w:lvl w:ilvl="6" w:tplc="C768676E">
      <w:numFmt w:val="bullet"/>
      <w:lvlText w:val="•"/>
      <w:lvlJc w:val="left"/>
      <w:pPr>
        <w:ind w:left="5899" w:hanging="567"/>
      </w:pPr>
      <w:rPr>
        <w:rFonts w:hint="default"/>
        <w:lang w:val="en-US" w:eastAsia="en-US" w:bidi="ar-SA"/>
      </w:rPr>
    </w:lvl>
    <w:lvl w:ilvl="7" w:tplc="86A03C50">
      <w:numFmt w:val="bullet"/>
      <w:lvlText w:val="•"/>
      <w:lvlJc w:val="left"/>
      <w:pPr>
        <w:ind w:left="6766" w:hanging="567"/>
      </w:pPr>
      <w:rPr>
        <w:rFonts w:hint="default"/>
        <w:lang w:val="en-US" w:eastAsia="en-US" w:bidi="ar-SA"/>
      </w:rPr>
    </w:lvl>
    <w:lvl w:ilvl="8" w:tplc="236C39EA">
      <w:numFmt w:val="bullet"/>
      <w:lvlText w:val="•"/>
      <w:lvlJc w:val="left"/>
      <w:pPr>
        <w:ind w:left="7633" w:hanging="567"/>
      </w:pPr>
      <w:rPr>
        <w:rFonts w:hint="default"/>
        <w:lang w:val="en-US" w:eastAsia="en-US" w:bidi="ar-SA"/>
      </w:rPr>
    </w:lvl>
  </w:abstractNum>
  <w:abstractNum w:abstractNumId="394" w15:restartNumberingAfterBreak="0">
    <w:nsid w:val="6AE81D27"/>
    <w:multiLevelType w:val="hybridMultilevel"/>
    <w:tmpl w:val="713A3CB0"/>
    <w:lvl w:ilvl="0" w:tplc="59B27CF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7E32DD4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5356A1CA">
      <w:numFmt w:val="bullet"/>
      <w:lvlText w:val="•"/>
      <w:lvlJc w:val="left"/>
      <w:pPr>
        <w:ind w:left="2178" w:hanging="567"/>
      </w:pPr>
      <w:rPr>
        <w:rFonts w:hint="default"/>
        <w:lang w:val="en-US" w:eastAsia="en-US" w:bidi="ar-SA"/>
      </w:rPr>
    </w:lvl>
    <w:lvl w:ilvl="3" w:tplc="6038B8F0">
      <w:numFmt w:val="bullet"/>
      <w:lvlText w:val="•"/>
      <w:lvlJc w:val="left"/>
      <w:pPr>
        <w:ind w:left="3076" w:hanging="567"/>
      </w:pPr>
      <w:rPr>
        <w:rFonts w:hint="default"/>
        <w:lang w:val="en-US" w:eastAsia="en-US" w:bidi="ar-SA"/>
      </w:rPr>
    </w:lvl>
    <w:lvl w:ilvl="4" w:tplc="73DACFBC">
      <w:numFmt w:val="bullet"/>
      <w:lvlText w:val="•"/>
      <w:lvlJc w:val="left"/>
      <w:pPr>
        <w:ind w:left="3975" w:hanging="567"/>
      </w:pPr>
      <w:rPr>
        <w:rFonts w:hint="default"/>
        <w:lang w:val="en-US" w:eastAsia="en-US" w:bidi="ar-SA"/>
      </w:rPr>
    </w:lvl>
    <w:lvl w:ilvl="5" w:tplc="F0AECE76">
      <w:numFmt w:val="bullet"/>
      <w:lvlText w:val="•"/>
      <w:lvlJc w:val="left"/>
      <w:pPr>
        <w:ind w:left="4873" w:hanging="567"/>
      </w:pPr>
      <w:rPr>
        <w:rFonts w:hint="default"/>
        <w:lang w:val="en-US" w:eastAsia="en-US" w:bidi="ar-SA"/>
      </w:rPr>
    </w:lvl>
    <w:lvl w:ilvl="6" w:tplc="3AF05174">
      <w:numFmt w:val="bullet"/>
      <w:lvlText w:val="•"/>
      <w:lvlJc w:val="left"/>
      <w:pPr>
        <w:ind w:left="5772" w:hanging="567"/>
      </w:pPr>
      <w:rPr>
        <w:rFonts w:hint="default"/>
        <w:lang w:val="en-US" w:eastAsia="en-US" w:bidi="ar-SA"/>
      </w:rPr>
    </w:lvl>
    <w:lvl w:ilvl="7" w:tplc="240078A6">
      <w:numFmt w:val="bullet"/>
      <w:lvlText w:val="•"/>
      <w:lvlJc w:val="left"/>
      <w:pPr>
        <w:ind w:left="6670" w:hanging="567"/>
      </w:pPr>
      <w:rPr>
        <w:rFonts w:hint="default"/>
        <w:lang w:val="en-US" w:eastAsia="en-US" w:bidi="ar-SA"/>
      </w:rPr>
    </w:lvl>
    <w:lvl w:ilvl="8" w:tplc="00A89592">
      <w:numFmt w:val="bullet"/>
      <w:lvlText w:val="•"/>
      <w:lvlJc w:val="left"/>
      <w:pPr>
        <w:ind w:left="7569" w:hanging="567"/>
      </w:pPr>
      <w:rPr>
        <w:rFonts w:hint="default"/>
        <w:lang w:val="en-US" w:eastAsia="en-US" w:bidi="ar-SA"/>
      </w:rPr>
    </w:lvl>
  </w:abstractNum>
  <w:abstractNum w:abstractNumId="395" w15:restartNumberingAfterBreak="0">
    <w:nsid w:val="6AFA5917"/>
    <w:multiLevelType w:val="hybridMultilevel"/>
    <w:tmpl w:val="1CE6EC6A"/>
    <w:lvl w:ilvl="0" w:tplc="50B22B48">
      <w:start w:val="1"/>
      <w:numFmt w:val="decimal"/>
      <w:lvlText w:val="(%1)"/>
      <w:lvlJc w:val="left"/>
      <w:pPr>
        <w:ind w:left="1273" w:hanging="567"/>
      </w:pPr>
      <w:rPr>
        <w:rFonts w:ascii="Arial" w:eastAsia="Calibri" w:hAnsi="Arial" w:cs="Arial" w:hint="default"/>
        <w:b w:val="0"/>
        <w:spacing w:val="-1"/>
        <w:w w:val="100"/>
        <w:sz w:val="20"/>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6" w15:restartNumberingAfterBreak="0">
    <w:nsid w:val="6B0F6515"/>
    <w:multiLevelType w:val="hybridMultilevel"/>
    <w:tmpl w:val="B17A06A2"/>
    <w:lvl w:ilvl="0" w:tplc="0226B42E">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C296651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CA84DEC4">
      <w:start w:val="1"/>
      <w:numFmt w:val="lowerRoman"/>
      <w:lvlText w:val="(%3)"/>
      <w:lvlJc w:val="left"/>
      <w:pPr>
        <w:ind w:left="1842" w:hanging="569"/>
      </w:pPr>
      <w:rPr>
        <w:rFonts w:ascii="Arial" w:eastAsia="Calibri" w:hAnsi="Arial" w:cs="Arial" w:hint="default"/>
        <w:spacing w:val="-1"/>
        <w:w w:val="100"/>
        <w:sz w:val="20"/>
        <w:szCs w:val="22"/>
        <w:lang w:val="en-US" w:eastAsia="en-US" w:bidi="ar-SA"/>
      </w:rPr>
    </w:lvl>
    <w:lvl w:ilvl="3" w:tplc="C5F03072">
      <w:numFmt w:val="bullet"/>
      <w:lvlText w:val="•"/>
      <w:lvlJc w:val="left"/>
      <w:pPr>
        <w:ind w:left="2780" w:hanging="569"/>
      </w:pPr>
      <w:rPr>
        <w:rFonts w:hint="default"/>
        <w:lang w:val="en-US" w:eastAsia="en-US" w:bidi="ar-SA"/>
      </w:rPr>
    </w:lvl>
    <w:lvl w:ilvl="4" w:tplc="D174F85E">
      <w:numFmt w:val="bullet"/>
      <w:lvlText w:val="•"/>
      <w:lvlJc w:val="left"/>
      <w:pPr>
        <w:ind w:left="3721" w:hanging="569"/>
      </w:pPr>
      <w:rPr>
        <w:rFonts w:hint="default"/>
        <w:lang w:val="en-US" w:eastAsia="en-US" w:bidi="ar-SA"/>
      </w:rPr>
    </w:lvl>
    <w:lvl w:ilvl="5" w:tplc="BEA0B7B4">
      <w:numFmt w:val="bullet"/>
      <w:lvlText w:val="•"/>
      <w:lvlJc w:val="left"/>
      <w:pPr>
        <w:ind w:left="4662" w:hanging="569"/>
      </w:pPr>
      <w:rPr>
        <w:rFonts w:hint="default"/>
        <w:lang w:val="en-US" w:eastAsia="en-US" w:bidi="ar-SA"/>
      </w:rPr>
    </w:lvl>
    <w:lvl w:ilvl="6" w:tplc="EE828080">
      <w:numFmt w:val="bullet"/>
      <w:lvlText w:val="•"/>
      <w:lvlJc w:val="left"/>
      <w:pPr>
        <w:ind w:left="5603" w:hanging="569"/>
      </w:pPr>
      <w:rPr>
        <w:rFonts w:hint="default"/>
        <w:lang w:val="en-US" w:eastAsia="en-US" w:bidi="ar-SA"/>
      </w:rPr>
    </w:lvl>
    <w:lvl w:ilvl="7" w:tplc="1B94621C">
      <w:numFmt w:val="bullet"/>
      <w:lvlText w:val="•"/>
      <w:lvlJc w:val="left"/>
      <w:pPr>
        <w:ind w:left="6544" w:hanging="569"/>
      </w:pPr>
      <w:rPr>
        <w:rFonts w:hint="default"/>
        <w:lang w:val="en-US" w:eastAsia="en-US" w:bidi="ar-SA"/>
      </w:rPr>
    </w:lvl>
    <w:lvl w:ilvl="8" w:tplc="4CC4686A">
      <w:numFmt w:val="bullet"/>
      <w:lvlText w:val="•"/>
      <w:lvlJc w:val="left"/>
      <w:pPr>
        <w:ind w:left="7484" w:hanging="569"/>
      </w:pPr>
      <w:rPr>
        <w:rFonts w:hint="default"/>
        <w:lang w:val="en-US" w:eastAsia="en-US" w:bidi="ar-SA"/>
      </w:rPr>
    </w:lvl>
  </w:abstractNum>
  <w:abstractNum w:abstractNumId="397" w15:restartNumberingAfterBreak="0">
    <w:nsid w:val="6B200BD3"/>
    <w:multiLevelType w:val="hybridMultilevel"/>
    <w:tmpl w:val="493E33F4"/>
    <w:lvl w:ilvl="0" w:tplc="718C7038">
      <w:start w:val="1"/>
      <w:numFmt w:val="lowerRoman"/>
      <w:lvlText w:val="(%1)"/>
      <w:lvlJc w:val="left"/>
      <w:pPr>
        <w:ind w:left="1842" w:hanging="569"/>
      </w:pPr>
      <w:rPr>
        <w:rFonts w:ascii="Arial" w:eastAsia="Calibri" w:hAnsi="Arial" w:cs="Arial" w:hint="default"/>
        <w:spacing w:val="-1"/>
        <w:w w:val="100"/>
        <w:sz w:val="20"/>
        <w:szCs w:val="22"/>
        <w:lang w:val="en-US" w:eastAsia="en-US" w:bidi="ar-SA"/>
      </w:rPr>
    </w:lvl>
    <w:lvl w:ilvl="1" w:tplc="828CD51C">
      <w:start w:val="1"/>
      <w:numFmt w:val="upperLetter"/>
      <w:lvlText w:val="(%2)"/>
      <w:lvlJc w:val="left"/>
      <w:pPr>
        <w:ind w:left="2408" w:hanging="567"/>
      </w:pPr>
      <w:rPr>
        <w:rFonts w:ascii="Arial" w:eastAsia="Calibri" w:hAnsi="Arial" w:cs="Arial" w:hint="default"/>
        <w:spacing w:val="-1"/>
        <w:w w:val="100"/>
        <w:sz w:val="20"/>
        <w:szCs w:val="22"/>
        <w:lang w:val="en-US" w:eastAsia="en-US" w:bidi="ar-SA"/>
      </w:rPr>
    </w:lvl>
    <w:lvl w:ilvl="2" w:tplc="4C6E9EE8">
      <w:numFmt w:val="bullet"/>
      <w:lvlText w:val="•"/>
      <w:lvlJc w:val="left"/>
      <w:pPr>
        <w:ind w:left="3174" w:hanging="567"/>
      </w:pPr>
      <w:rPr>
        <w:rFonts w:hint="default"/>
        <w:lang w:val="en-US" w:eastAsia="en-US" w:bidi="ar-SA"/>
      </w:rPr>
    </w:lvl>
    <w:lvl w:ilvl="3" w:tplc="D8303B14">
      <w:numFmt w:val="bullet"/>
      <w:lvlText w:val="•"/>
      <w:lvlJc w:val="left"/>
      <w:pPr>
        <w:ind w:left="3948" w:hanging="567"/>
      </w:pPr>
      <w:rPr>
        <w:rFonts w:hint="default"/>
        <w:lang w:val="en-US" w:eastAsia="en-US" w:bidi="ar-SA"/>
      </w:rPr>
    </w:lvl>
    <w:lvl w:ilvl="4" w:tplc="C43CB740">
      <w:numFmt w:val="bullet"/>
      <w:lvlText w:val="•"/>
      <w:lvlJc w:val="left"/>
      <w:pPr>
        <w:ind w:left="4722" w:hanging="567"/>
      </w:pPr>
      <w:rPr>
        <w:rFonts w:hint="default"/>
        <w:lang w:val="en-US" w:eastAsia="en-US" w:bidi="ar-SA"/>
      </w:rPr>
    </w:lvl>
    <w:lvl w:ilvl="5" w:tplc="948415AE">
      <w:numFmt w:val="bullet"/>
      <w:lvlText w:val="•"/>
      <w:lvlJc w:val="left"/>
      <w:pPr>
        <w:ind w:left="5496" w:hanging="567"/>
      </w:pPr>
      <w:rPr>
        <w:rFonts w:hint="default"/>
        <w:lang w:val="en-US" w:eastAsia="en-US" w:bidi="ar-SA"/>
      </w:rPr>
    </w:lvl>
    <w:lvl w:ilvl="6" w:tplc="FDBEE498">
      <w:numFmt w:val="bullet"/>
      <w:lvlText w:val="•"/>
      <w:lvlJc w:val="left"/>
      <w:pPr>
        <w:ind w:left="6270" w:hanging="567"/>
      </w:pPr>
      <w:rPr>
        <w:rFonts w:hint="default"/>
        <w:lang w:val="en-US" w:eastAsia="en-US" w:bidi="ar-SA"/>
      </w:rPr>
    </w:lvl>
    <w:lvl w:ilvl="7" w:tplc="384AE87C">
      <w:numFmt w:val="bullet"/>
      <w:lvlText w:val="•"/>
      <w:lvlJc w:val="left"/>
      <w:pPr>
        <w:ind w:left="7044" w:hanging="567"/>
      </w:pPr>
      <w:rPr>
        <w:rFonts w:hint="default"/>
        <w:lang w:val="en-US" w:eastAsia="en-US" w:bidi="ar-SA"/>
      </w:rPr>
    </w:lvl>
    <w:lvl w:ilvl="8" w:tplc="5E0C8E5E">
      <w:numFmt w:val="bullet"/>
      <w:lvlText w:val="•"/>
      <w:lvlJc w:val="left"/>
      <w:pPr>
        <w:ind w:left="7818" w:hanging="567"/>
      </w:pPr>
      <w:rPr>
        <w:rFonts w:hint="default"/>
        <w:lang w:val="en-US" w:eastAsia="en-US" w:bidi="ar-SA"/>
      </w:rPr>
    </w:lvl>
  </w:abstractNum>
  <w:abstractNum w:abstractNumId="398" w15:restartNumberingAfterBreak="0">
    <w:nsid w:val="6B630782"/>
    <w:multiLevelType w:val="hybridMultilevel"/>
    <w:tmpl w:val="AF62BAF8"/>
    <w:lvl w:ilvl="0" w:tplc="28F816F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2C46F5A6">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C74E8DD6">
      <w:numFmt w:val="bullet"/>
      <w:lvlText w:val="•"/>
      <w:lvlJc w:val="left"/>
      <w:pPr>
        <w:ind w:left="2178" w:hanging="567"/>
      </w:pPr>
      <w:rPr>
        <w:rFonts w:hint="default"/>
        <w:lang w:val="en-US" w:eastAsia="en-US" w:bidi="ar-SA"/>
      </w:rPr>
    </w:lvl>
    <w:lvl w:ilvl="3" w:tplc="F6500422">
      <w:numFmt w:val="bullet"/>
      <w:lvlText w:val="•"/>
      <w:lvlJc w:val="left"/>
      <w:pPr>
        <w:ind w:left="3076" w:hanging="567"/>
      </w:pPr>
      <w:rPr>
        <w:rFonts w:hint="default"/>
        <w:lang w:val="en-US" w:eastAsia="en-US" w:bidi="ar-SA"/>
      </w:rPr>
    </w:lvl>
    <w:lvl w:ilvl="4" w:tplc="0C2C69FC">
      <w:numFmt w:val="bullet"/>
      <w:lvlText w:val="•"/>
      <w:lvlJc w:val="left"/>
      <w:pPr>
        <w:ind w:left="3975" w:hanging="567"/>
      </w:pPr>
      <w:rPr>
        <w:rFonts w:hint="default"/>
        <w:lang w:val="en-US" w:eastAsia="en-US" w:bidi="ar-SA"/>
      </w:rPr>
    </w:lvl>
    <w:lvl w:ilvl="5" w:tplc="79728336">
      <w:numFmt w:val="bullet"/>
      <w:lvlText w:val="•"/>
      <w:lvlJc w:val="left"/>
      <w:pPr>
        <w:ind w:left="4873" w:hanging="567"/>
      </w:pPr>
      <w:rPr>
        <w:rFonts w:hint="default"/>
        <w:lang w:val="en-US" w:eastAsia="en-US" w:bidi="ar-SA"/>
      </w:rPr>
    </w:lvl>
    <w:lvl w:ilvl="6" w:tplc="39EA3A60">
      <w:numFmt w:val="bullet"/>
      <w:lvlText w:val="•"/>
      <w:lvlJc w:val="left"/>
      <w:pPr>
        <w:ind w:left="5772" w:hanging="567"/>
      </w:pPr>
      <w:rPr>
        <w:rFonts w:hint="default"/>
        <w:lang w:val="en-US" w:eastAsia="en-US" w:bidi="ar-SA"/>
      </w:rPr>
    </w:lvl>
    <w:lvl w:ilvl="7" w:tplc="D9A29580">
      <w:numFmt w:val="bullet"/>
      <w:lvlText w:val="•"/>
      <w:lvlJc w:val="left"/>
      <w:pPr>
        <w:ind w:left="6670" w:hanging="567"/>
      </w:pPr>
      <w:rPr>
        <w:rFonts w:hint="default"/>
        <w:lang w:val="en-US" w:eastAsia="en-US" w:bidi="ar-SA"/>
      </w:rPr>
    </w:lvl>
    <w:lvl w:ilvl="8" w:tplc="FE5EED9A">
      <w:numFmt w:val="bullet"/>
      <w:lvlText w:val="•"/>
      <w:lvlJc w:val="left"/>
      <w:pPr>
        <w:ind w:left="7569" w:hanging="567"/>
      </w:pPr>
      <w:rPr>
        <w:rFonts w:hint="default"/>
        <w:lang w:val="en-US" w:eastAsia="en-US" w:bidi="ar-SA"/>
      </w:rPr>
    </w:lvl>
  </w:abstractNum>
  <w:abstractNum w:abstractNumId="399" w15:restartNumberingAfterBreak="0">
    <w:nsid w:val="6BA73BDB"/>
    <w:multiLevelType w:val="hybridMultilevel"/>
    <w:tmpl w:val="2D2AF6E2"/>
    <w:lvl w:ilvl="0" w:tplc="81B0DB78">
      <w:start w:val="1"/>
      <w:numFmt w:val="decimal"/>
      <w:lvlText w:val="(%1)"/>
      <w:lvlJc w:val="left"/>
      <w:pPr>
        <w:ind w:left="1273" w:hanging="567"/>
      </w:pPr>
      <w:rPr>
        <w:rFonts w:ascii="Arial" w:eastAsia="Calibri" w:hAnsi="Arial" w:cs="Arial" w:hint="default"/>
        <w:spacing w:val="-1"/>
        <w:w w:val="100"/>
        <w:sz w:val="20"/>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0" w15:restartNumberingAfterBreak="0">
    <w:nsid w:val="6C8274E5"/>
    <w:multiLevelType w:val="hybridMultilevel"/>
    <w:tmpl w:val="2D2AF6E2"/>
    <w:lvl w:ilvl="0" w:tplc="81B0DB78">
      <w:start w:val="1"/>
      <w:numFmt w:val="decimal"/>
      <w:lvlText w:val="(%1)"/>
      <w:lvlJc w:val="left"/>
      <w:pPr>
        <w:ind w:left="1273" w:hanging="567"/>
      </w:pPr>
      <w:rPr>
        <w:rFonts w:ascii="Arial" w:eastAsia="Calibri" w:hAnsi="Arial" w:cs="Arial" w:hint="default"/>
        <w:spacing w:val="-1"/>
        <w:w w:val="100"/>
        <w:sz w:val="20"/>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1" w15:restartNumberingAfterBreak="0">
    <w:nsid w:val="6C960E35"/>
    <w:multiLevelType w:val="hybridMultilevel"/>
    <w:tmpl w:val="B91CE498"/>
    <w:lvl w:ilvl="0" w:tplc="3EE64E72">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E452AC2E">
      <w:numFmt w:val="bullet"/>
      <w:lvlText w:val="•"/>
      <w:lvlJc w:val="left"/>
      <w:pPr>
        <w:ind w:left="1566" w:hanging="567"/>
      </w:pPr>
      <w:rPr>
        <w:rFonts w:hint="default"/>
        <w:lang w:val="en-US" w:eastAsia="en-US" w:bidi="ar-SA"/>
      </w:rPr>
    </w:lvl>
    <w:lvl w:ilvl="2" w:tplc="17046E2A">
      <w:numFmt w:val="bullet"/>
      <w:lvlText w:val="•"/>
      <w:lvlJc w:val="left"/>
      <w:pPr>
        <w:ind w:left="2433" w:hanging="567"/>
      </w:pPr>
      <w:rPr>
        <w:rFonts w:hint="default"/>
        <w:lang w:val="en-US" w:eastAsia="en-US" w:bidi="ar-SA"/>
      </w:rPr>
    </w:lvl>
    <w:lvl w:ilvl="3" w:tplc="C4BE41C2">
      <w:numFmt w:val="bullet"/>
      <w:lvlText w:val="•"/>
      <w:lvlJc w:val="left"/>
      <w:pPr>
        <w:ind w:left="3299" w:hanging="567"/>
      </w:pPr>
      <w:rPr>
        <w:rFonts w:hint="default"/>
        <w:lang w:val="en-US" w:eastAsia="en-US" w:bidi="ar-SA"/>
      </w:rPr>
    </w:lvl>
    <w:lvl w:ilvl="4" w:tplc="1F263B22">
      <w:numFmt w:val="bullet"/>
      <w:lvlText w:val="•"/>
      <w:lvlJc w:val="left"/>
      <w:pPr>
        <w:ind w:left="4166" w:hanging="567"/>
      </w:pPr>
      <w:rPr>
        <w:rFonts w:hint="default"/>
        <w:lang w:val="en-US" w:eastAsia="en-US" w:bidi="ar-SA"/>
      </w:rPr>
    </w:lvl>
    <w:lvl w:ilvl="5" w:tplc="DB3C4370">
      <w:numFmt w:val="bullet"/>
      <w:lvlText w:val="•"/>
      <w:lvlJc w:val="left"/>
      <w:pPr>
        <w:ind w:left="5033" w:hanging="567"/>
      </w:pPr>
      <w:rPr>
        <w:rFonts w:hint="default"/>
        <w:lang w:val="en-US" w:eastAsia="en-US" w:bidi="ar-SA"/>
      </w:rPr>
    </w:lvl>
    <w:lvl w:ilvl="6" w:tplc="A0BE4242">
      <w:numFmt w:val="bullet"/>
      <w:lvlText w:val="•"/>
      <w:lvlJc w:val="left"/>
      <w:pPr>
        <w:ind w:left="5899" w:hanging="567"/>
      </w:pPr>
      <w:rPr>
        <w:rFonts w:hint="default"/>
        <w:lang w:val="en-US" w:eastAsia="en-US" w:bidi="ar-SA"/>
      </w:rPr>
    </w:lvl>
    <w:lvl w:ilvl="7" w:tplc="2CEC9E1A">
      <w:numFmt w:val="bullet"/>
      <w:lvlText w:val="•"/>
      <w:lvlJc w:val="left"/>
      <w:pPr>
        <w:ind w:left="6766" w:hanging="567"/>
      </w:pPr>
      <w:rPr>
        <w:rFonts w:hint="default"/>
        <w:lang w:val="en-US" w:eastAsia="en-US" w:bidi="ar-SA"/>
      </w:rPr>
    </w:lvl>
    <w:lvl w:ilvl="8" w:tplc="C4CEAD3A">
      <w:numFmt w:val="bullet"/>
      <w:lvlText w:val="•"/>
      <w:lvlJc w:val="left"/>
      <w:pPr>
        <w:ind w:left="7633" w:hanging="567"/>
      </w:pPr>
      <w:rPr>
        <w:rFonts w:hint="default"/>
        <w:lang w:val="en-US" w:eastAsia="en-US" w:bidi="ar-SA"/>
      </w:rPr>
    </w:lvl>
  </w:abstractNum>
  <w:abstractNum w:abstractNumId="402" w15:restartNumberingAfterBreak="0">
    <w:nsid w:val="6CD90884"/>
    <w:multiLevelType w:val="hybridMultilevel"/>
    <w:tmpl w:val="A43E49FE"/>
    <w:lvl w:ilvl="0" w:tplc="23828D3E">
      <w:start w:val="1"/>
      <w:numFmt w:val="lowerLetter"/>
      <w:lvlText w:val="(%1)"/>
      <w:lvlJc w:val="left"/>
      <w:pPr>
        <w:ind w:left="706" w:hanging="567"/>
        <w:jc w:val="right"/>
      </w:pPr>
      <w:rPr>
        <w:rFonts w:ascii="Calibri" w:eastAsia="Calibri" w:hAnsi="Calibri" w:cs="Calibri" w:hint="default"/>
        <w:spacing w:val="-1"/>
        <w:w w:val="100"/>
        <w:sz w:val="22"/>
        <w:szCs w:val="22"/>
        <w:lang w:val="en-US" w:eastAsia="en-US" w:bidi="ar-SA"/>
      </w:rPr>
    </w:lvl>
    <w:lvl w:ilvl="1" w:tplc="0C6CD826">
      <w:start w:val="1"/>
      <w:numFmt w:val="decimal"/>
      <w:lvlText w:val="(%2)"/>
      <w:lvlJc w:val="left"/>
      <w:pPr>
        <w:ind w:left="1273" w:hanging="567"/>
      </w:pPr>
      <w:rPr>
        <w:rFonts w:ascii="Calibri" w:eastAsia="Calibri" w:hAnsi="Calibri" w:cs="Calibri" w:hint="default"/>
        <w:spacing w:val="-1"/>
        <w:w w:val="100"/>
        <w:sz w:val="22"/>
        <w:szCs w:val="22"/>
        <w:lang w:val="en-US" w:eastAsia="en-US" w:bidi="ar-SA"/>
      </w:rPr>
    </w:lvl>
    <w:lvl w:ilvl="2" w:tplc="ACB6733E">
      <w:numFmt w:val="bullet"/>
      <w:lvlText w:val="•"/>
      <w:lvlJc w:val="left"/>
      <w:pPr>
        <w:ind w:left="2178" w:hanging="567"/>
      </w:pPr>
      <w:rPr>
        <w:rFonts w:hint="default"/>
        <w:lang w:val="en-US" w:eastAsia="en-US" w:bidi="ar-SA"/>
      </w:rPr>
    </w:lvl>
    <w:lvl w:ilvl="3" w:tplc="AE161C90">
      <w:numFmt w:val="bullet"/>
      <w:lvlText w:val="•"/>
      <w:lvlJc w:val="left"/>
      <w:pPr>
        <w:ind w:left="3076" w:hanging="567"/>
      </w:pPr>
      <w:rPr>
        <w:rFonts w:hint="default"/>
        <w:lang w:val="en-US" w:eastAsia="en-US" w:bidi="ar-SA"/>
      </w:rPr>
    </w:lvl>
    <w:lvl w:ilvl="4" w:tplc="33B89798">
      <w:numFmt w:val="bullet"/>
      <w:lvlText w:val="•"/>
      <w:lvlJc w:val="left"/>
      <w:pPr>
        <w:ind w:left="3975" w:hanging="567"/>
      </w:pPr>
      <w:rPr>
        <w:rFonts w:hint="default"/>
        <w:lang w:val="en-US" w:eastAsia="en-US" w:bidi="ar-SA"/>
      </w:rPr>
    </w:lvl>
    <w:lvl w:ilvl="5" w:tplc="11266032">
      <w:numFmt w:val="bullet"/>
      <w:lvlText w:val="•"/>
      <w:lvlJc w:val="left"/>
      <w:pPr>
        <w:ind w:left="4873" w:hanging="567"/>
      </w:pPr>
      <w:rPr>
        <w:rFonts w:hint="default"/>
        <w:lang w:val="en-US" w:eastAsia="en-US" w:bidi="ar-SA"/>
      </w:rPr>
    </w:lvl>
    <w:lvl w:ilvl="6" w:tplc="B3460720">
      <w:numFmt w:val="bullet"/>
      <w:lvlText w:val="•"/>
      <w:lvlJc w:val="left"/>
      <w:pPr>
        <w:ind w:left="5772" w:hanging="567"/>
      </w:pPr>
      <w:rPr>
        <w:rFonts w:hint="default"/>
        <w:lang w:val="en-US" w:eastAsia="en-US" w:bidi="ar-SA"/>
      </w:rPr>
    </w:lvl>
    <w:lvl w:ilvl="7" w:tplc="B61A9B46">
      <w:numFmt w:val="bullet"/>
      <w:lvlText w:val="•"/>
      <w:lvlJc w:val="left"/>
      <w:pPr>
        <w:ind w:left="6670" w:hanging="567"/>
      </w:pPr>
      <w:rPr>
        <w:rFonts w:hint="default"/>
        <w:lang w:val="en-US" w:eastAsia="en-US" w:bidi="ar-SA"/>
      </w:rPr>
    </w:lvl>
    <w:lvl w:ilvl="8" w:tplc="6F54548C">
      <w:numFmt w:val="bullet"/>
      <w:lvlText w:val="•"/>
      <w:lvlJc w:val="left"/>
      <w:pPr>
        <w:ind w:left="7569" w:hanging="567"/>
      </w:pPr>
      <w:rPr>
        <w:rFonts w:hint="default"/>
        <w:lang w:val="en-US" w:eastAsia="en-US" w:bidi="ar-SA"/>
      </w:rPr>
    </w:lvl>
  </w:abstractNum>
  <w:abstractNum w:abstractNumId="403" w15:restartNumberingAfterBreak="0">
    <w:nsid w:val="6D024667"/>
    <w:multiLevelType w:val="hybridMultilevel"/>
    <w:tmpl w:val="5978DAFA"/>
    <w:lvl w:ilvl="0" w:tplc="5CB8947E">
      <w:start w:val="1"/>
      <w:numFmt w:val="lowerRoman"/>
      <w:lvlText w:val="(%1)"/>
      <w:lvlJc w:val="left"/>
      <w:pPr>
        <w:ind w:left="2408" w:hanging="567"/>
      </w:pPr>
      <w:rPr>
        <w:rFonts w:ascii="Arial" w:eastAsia="Calibri" w:hAnsi="Arial" w:cs="Arial" w:hint="default"/>
        <w:spacing w:val="-1"/>
        <w:w w:val="100"/>
        <w:sz w:val="20"/>
        <w:szCs w:val="22"/>
        <w:lang w:val="en-US" w:eastAsia="en-US" w:bidi="ar-SA"/>
      </w:rPr>
    </w:lvl>
    <w:lvl w:ilvl="1" w:tplc="6AE435E2">
      <w:numFmt w:val="bullet"/>
      <w:lvlText w:val="•"/>
      <w:lvlJc w:val="left"/>
      <w:pPr>
        <w:ind w:left="3096" w:hanging="567"/>
      </w:pPr>
      <w:rPr>
        <w:rFonts w:hint="default"/>
        <w:lang w:val="en-US" w:eastAsia="en-US" w:bidi="ar-SA"/>
      </w:rPr>
    </w:lvl>
    <w:lvl w:ilvl="2" w:tplc="7F3214A2">
      <w:numFmt w:val="bullet"/>
      <w:lvlText w:val="•"/>
      <w:lvlJc w:val="left"/>
      <w:pPr>
        <w:ind w:left="3793" w:hanging="567"/>
      </w:pPr>
      <w:rPr>
        <w:rFonts w:hint="default"/>
        <w:lang w:val="en-US" w:eastAsia="en-US" w:bidi="ar-SA"/>
      </w:rPr>
    </w:lvl>
    <w:lvl w:ilvl="3" w:tplc="DE4A79FA">
      <w:numFmt w:val="bullet"/>
      <w:lvlText w:val="•"/>
      <w:lvlJc w:val="left"/>
      <w:pPr>
        <w:ind w:left="4489" w:hanging="567"/>
      </w:pPr>
      <w:rPr>
        <w:rFonts w:hint="default"/>
        <w:lang w:val="en-US" w:eastAsia="en-US" w:bidi="ar-SA"/>
      </w:rPr>
    </w:lvl>
    <w:lvl w:ilvl="4" w:tplc="CF14D1C8">
      <w:numFmt w:val="bullet"/>
      <w:lvlText w:val="•"/>
      <w:lvlJc w:val="left"/>
      <w:pPr>
        <w:ind w:left="5186" w:hanging="567"/>
      </w:pPr>
      <w:rPr>
        <w:rFonts w:hint="default"/>
        <w:lang w:val="en-US" w:eastAsia="en-US" w:bidi="ar-SA"/>
      </w:rPr>
    </w:lvl>
    <w:lvl w:ilvl="5" w:tplc="A120D5A0">
      <w:numFmt w:val="bullet"/>
      <w:lvlText w:val="•"/>
      <w:lvlJc w:val="left"/>
      <w:pPr>
        <w:ind w:left="5883" w:hanging="567"/>
      </w:pPr>
      <w:rPr>
        <w:rFonts w:hint="default"/>
        <w:lang w:val="en-US" w:eastAsia="en-US" w:bidi="ar-SA"/>
      </w:rPr>
    </w:lvl>
    <w:lvl w:ilvl="6" w:tplc="13062F2C">
      <w:numFmt w:val="bullet"/>
      <w:lvlText w:val="•"/>
      <w:lvlJc w:val="left"/>
      <w:pPr>
        <w:ind w:left="6579" w:hanging="567"/>
      </w:pPr>
      <w:rPr>
        <w:rFonts w:hint="default"/>
        <w:lang w:val="en-US" w:eastAsia="en-US" w:bidi="ar-SA"/>
      </w:rPr>
    </w:lvl>
    <w:lvl w:ilvl="7" w:tplc="EFA06E2C">
      <w:numFmt w:val="bullet"/>
      <w:lvlText w:val="•"/>
      <w:lvlJc w:val="left"/>
      <w:pPr>
        <w:ind w:left="7276" w:hanging="567"/>
      </w:pPr>
      <w:rPr>
        <w:rFonts w:hint="default"/>
        <w:lang w:val="en-US" w:eastAsia="en-US" w:bidi="ar-SA"/>
      </w:rPr>
    </w:lvl>
    <w:lvl w:ilvl="8" w:tplc="EACE6ABA">
      <w:numFmt w:val="bullet"/>
      <w:lvlText w:val="•"/>
      <w:lvlJc w:val="left"/>
      <w:pPr>
        <w:ind w:left="7973" w:hanging="567"/>
      </w:pPr>
      <w:rPr>
        <w:rFonts w:hint="default"/>
        <w:lang w:val="en-US" w:eastAsia="en-US" w:bidi="ar-SA"/>
      </w:rPr>
    </w:lvl>
  </w:abstractNum>
  <w:abstractNum w:abstractNumId="404" w15:restartNumberingAfterBreak="0">
    <w:nsid w:val="6D0D661F"/>
    <w:multiLevelType w:val="hybridMultilevel"/>
    <w:tmpl w:val="14CC2DA8"/>
    <w:lvl w:ilvl="0" w:tplc="F480840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054A32AE">
      <w:numFmt w:val="bullet"/>
      <w:lvlText w:val="•"/>
      <w:lvlJc w:val="left"/>
      <w:pPr>
        <w:ind w:left="1566" w:hanging="567"/>
      </w:pPr>
      <w:rPr>
        <w:rFonts w:hint="default"/>
        <w:lang w:val="en-US" w:eastAsia="en-US" w:bidi="ar-SA"/>
      </w:rPr>
    </w:lvl>
    <w:lvl w:ilvl="2" w:tplc="B2E8190A">
      <w:numFmt w:val="bullet"/>
      <w:lvlText w:val="•"/>
      <w:lvlJc w:val="left"/>
      <w:pPr>
        <w:ind w:left="2433" w:hanging="567"/>
      </w:pPr>
      <w:rPr>
        <w:rFonts w:hint="default"/>
        <w:lang w:val="en-US" w:eastAsia="en-US" w:bidi="ar-SA"/>
      </w:rPr>
    </w:lvl>
    <w:lvl w:ilvl="3" w:tplc="F8E0704C">
      <w:numFmt w:val="bullet"/>
      <w:lvlText w:val="•"/>
      <w:lvlJc w:val="left"/>
      <w:pPr>
        <w:ind w:left="3299" w:hanging="567"/>
      </w:pPr>
      <w:rPr>
        <w:rFonts w:hint="default"/>
        <w:lang w:val="en-US" w:eastAsia="en-US" w:bidi="ar-SA"/>
      </w:rPr>
    </w:lvl>
    <w:lvl w:ilvl="4" w:tplc="79C88DC4">
      <w:numFmt w:val="bullet"/>
      <w:lvlText w:val="•"/>
      <w:lvlJc w:val="left"/>
      <w:pPr>
        <w:ind w:left="4166" w:hanging="567"/>
      </w:pPr>
      <w:rPr>
        <w:rFonts w:hint="default"/>
        <w:lang w:val="en-US" w:eastAsia="en-US" w:bidi="ar-SA"/>
      </w:rPr>
    </w:lvl>
    <w:lvl w:ilvl="5" w:tplc="02641586">
      <w:numFmt w:val="bullet"/>
      <w:lvlText w:val="•"/>
      <w:lvlJc w:val="left"/>
      <w:pPr>
        <w:ind w:left="5033" w:hanging="567"/>
      </w:pPr>
      <w:rPr>
        <w:rFonts w:hint="default"/>
        <w:lang w:val="en-US" w:eastAsia="en-US" w:bidi="ar-SA"/>
      </w:rPr>
    </w:lvl>
    <w:lvl w:ilvl="6" w:tplc="239A2728">
      <w:numFmt w:val="bullet"/>
      <w:lvlText w:val="•"/>
      <w:lvlJc w:val="left"/>
      <w:pPr>
        <w:ind w:left="5899" w:hanging="567"/>
      </w:pPr>
      <w:rPr>
        <w:rFonts w:hint="default"/>
        <w:lang w:val="en-US" w:eastAsia="en-US" w:bidi="ar-SA"/>
      </w:rPr>
    </w:lvl>
    <w:lvl w:ilvl="7" w:tplc="8AE4DCD6">
      <w:numFmt w:val="bullet"/>
      <w:lvlText w:val="•"/>
      <w:lvlJc w:val="left"/>
      <w:pPr>
        <w:ind w:left="6766" w:hanging="567"/>
      </w:pPr>
      <w:rPr>
        <w:rFonts w:hint="default"/>
        <w:lang w:val="en-US" w:eastAsia="en-US" w:bidi="ar-SA"/>
      </w:rPr>
    </w:lvl>
    <w:lvl w:ilvl="8" w:tplc="AC084BFC">
      <w:numFmt w:val="bullet"/>
      <w:lvlText w:val="•"/>
      <w:lvlJc w:val="left"/>
      <w:pPr>
        <w:ind w:left="7633" w:hanging="567"/>
      </w:pPr>
      <w:rPr>
        <w:rFonts w:hint="default"/>
        <w:lang w:val="en-US" w:eastAsia="en-US" w:bidi="ar-SA"/>
      </w:rPr>
    </w:lvl>
  </w:abstractNum>
  <w:abstractNum w:abstractNumId="405" w15:restartNumberingAfterBreak="0">
    <w:nsid w:val="6D2276F6"/>
    <w:multiLevelType w:val="hybridMultilevel"/>
    <w:tmpl w:val="CA2A3080"/>
    <w:lvl w:ilvl="0" w:tplc="AD80884A">
      <w:start w:val="1"/>
      <w:numFmt w:val="decimal"/>
      <w:lvlText w:val="%1."/>
      <w:lvlJc w:val="left"/>
      <w:pPr>
        <w:ind w:left="706" w:hanging="567"/>
      </w:pPr>
      <w:rPr>
        <w:rFonts w:ascii="Arial" w:eastAsia="Calibri" w:hAnsi="Arial" w:cs="Arial" w:hint="default"/>
        <w:w w:val="100"/>
        <w:sz w:val="20"/>
        <w:szCs w:val="22"/>
        <w:lang w:val="en-US" w:eastAsia="en-US" w:bidi="ar-SA"/>
      </w:rPr>
    </w:lvl>
    <w:lvl w:ilvl="1" w:tplc="5DA4CCC4">
      <w:start w:val="1"/>
      <w:numFmt w:val="lowerLetter"/>
      <w:lvlText w:val="(%2)"/>
      <w:lvlJc w:val="left"/>
      <w:pPr>
        <w:ind w:left="1273" w:hanging="567"/>
      </w:pPr>
      <w:rPr>
        <w:rFonts w:ascii="Arial" w:eastAsia="Calibri" w:hAnsi="Arial" w:cs="Arial" w:hint="default"/>
        <w:spacing w:val="-1"/>
        <w:w w:val="100"/>
        <w:sz w:val="20"/>
        <w:szCs w:val="22"/>
        <w:lang w:val="en-US" w:eastAsia="en-US" w:bidi="ar-SA"/>
      </w:rPr>
    </w:lvl>
    <w:lvl w:ilvl="2" w:tplc="F06A960A">
      <w:start w:val="1"/>
      <w:numFmt w:val="lowerRoman"/>
      <w:lvlText w:val="(%3)"/>
      <w:lvlJc w:val="left"/>
      <w:pPr>
        <w:ind w:left="1842" w:hanging="569"/>
      </w:pPr>
      <w:rPr>
        <w:rFonts w:ascii="Arial" w:eastAsia="Calibri" w:hAnsi="Arial" w:cs="Arial" w:hint="default"/>
        <w:spacing w:val="-1"/>
        <w:w w:val="100"/>
        <w:sz w:val="20"/>
        <w:szCs w:val="22"/>
        <w:lang w:val="en-US" w:eastAsia="en-US" w:bidi="ar-SA"/>
      </w:rPr>
    </w:lvl>
    <w:lvl w:ilvl="3" w:tplc="D262A0E0">
      <w:numFmt w:val="bullet"/>
      <w:lvlText w:val="•"/>
      <w:lvlJc w:val="left"/>
      <w:pPr>
        <w:ind w:left="2780" w:hanging="569"/>
      </w:pPr>
      <w:rPr>
        <w:rFonts w:hint="default"/>
        <w:lang w:val="en-US" w:eastAsia="en-US" w:bidi="ar-SA"/>
      </w:rPr>
    </w:lvl>
    <w:lvl w:ilvl="4" w:tplc="27182324">
      <w:numFmt w:val="bullet"/>
      <w:lvlText w:val="•"/>
      <w:lvlJc w:val="left"/>
      <w:pPr>
        <w:ind w:left="3721" w:hanging="569"/>
      </w:pPr>
      <w:rPr>
        <w:rFonts w:hint="default"/>
        <w:lang w:val="en-US" w:eastAsia="en-US" w:bidi="ar-SA"/>
      </w:rPr>
    </w:lvl>
    <w:lvl w:ilvl="5" w:tplc="5DF4B104">
      <w:numFmt w:val="bullet"/>
      <w:lvlText w:val="•"/>
      <w:lvlJc w:val="left"/>
      <w:pPr>
        <w:ind w:left="4662" w:hanging="569"/>
      </w:pPr>
      <w:rPr>
        <w:rFonts w:hint="default"/>
        <w:lang w:val="en-US" w:eastAsia="en-US" w:bidi="ar-SA"/>
      </w:rPr>
    </w:lvl>
    <w:lvl w:ilvl="6" w:tplc="591CFF5C">
      <w:numFmt w:val="bullet"/>
      <w:lvlText w:val="•"/>
      <w:lvlJc w:val="left"/>
      <w:pPr>
        <w:ind w:left="5603" w:hanging="569"/>
      </w:pPr>
      <w:rPr>
        <w:rFonts w:hint="default"/>
        <w:lang w:val="en-US" w:eastAsia="en-US" w:bidi="ar-SA"/>
      </w:rPr>
    </w:lvl>
    <w:lvl w:ilvl="7" w:tplc="23E6A866">
      <w:numFmt w:val="bullet"/>
      <w:lvlText w:val="•"/>
      <w:lvlJc w:val="left"/>
      <w:pPr>
        <w:ind w:left="6544" w:hanging="569"/>
      </w:pPr>
      <w:rPr>
        <w:rFonts w:hint="default"/>
        <w:lang w:val="en-US" w:eastAsia="en-US" w:bidi="ar-SA"/>
      </w:rPr>
    </w:lvl>
    <w:lvl w:ilvl="8" w:tplc="DC0EB5BE">
      <w:numFmt w:val="bullet"/>
      <w:lvlText w:val="•"/>
      <w:lvlJc w:val="left"/>
      <w:pPr>
        <w:ind w:left="7484" w:hanging="569"/>
      </w:pPr>
      <w:rPr>
        <w:rFonts w:hint="default"/>
        <w:lang w:val="en-US" w:eastAsia="en-US" w:bidi="ar-SA"/>
      </w:rPr>
    </w:lvl>
  </w:abstractNum>
  <w:abstractNum w:abstractNumId="406" w15:restartNumberingAfterBreak="0">
    <w:nsid w:val="6D505AD9"/>
    <w:multiLevelType w:val="hybridMultilevel"/>
    <w:tmpl w:val="2072F608"/>
    <w:lvl w:ilvl="0" w:tplc="7A267808">
      <w:start w:val="1"/>
      <w:numFmt w:val="lowerRoman"/>
      <w:lvlText w:val="(%1)"/>
      <w:lvlJc w:val="left"/>
      <w:pPr>
        <w:ind w:left="2408" w:hanging="567"/>
      </w:pPr>
      <w:rPr>
        <w:rFonts w:ascii="Arial" w:eastAsia="Calibri" w:hAnsi="Arial" w:cs="Arial" w:hint="default"/>
        <w:spacing w:val="-1"/>
        <w:w w:val="100"/>
        <w:sz w:val="20"/>
        <w:szCs w:val="22"/>
        <w:lang w:val="en-US" w:eastAsia="en-US" w:bidi="ar-SA"/>
      </w:rPr>
    </w:lvl>
    <w:lvl w:ilvl="1" w:tplc="5D46C2F0">
      <w:start w:val="1"/>
      <w:numFmt w:val="upperLetter"/>
      <w:lvlText w:val="(%2)"/>
      <w:lvlJc w:val="left"/>
      <w:pPr>
        <w:ind w:left="2975" w:hanging="567"/>
      </w:pPr>
      <w:rPr>
        <w:rFonts w:ascii="Arial" w:eastAsia="Calibri" w:hAnsi="Arial" w:cs="Arial" w:hint="default"/>
        <w:spacing w:val="-1"/>
        <w:w w:val="100"/>
        <w:sz w:val="20"/>
        <w:szCs w:val="22"/>
        <w:lang w:val="en-US" w:eastAsia="en-US" w:bidi="ar-SA"/>
      </w:rPr>
    </w:lvl>
    <w:lvl w:ilvl="2" w:tplc="2416DF92">
      <w:numFmt w:val="bullet"/>
      <w:lvlText w:val="•"/>
      <w:lvlJc w:val="left"/>
      <w:pPr>
        <w:ind w:left="3689" w:hanging="567"/>
      </w:pPr>
      <w:rPr>
        <w:rFonts w:hint="default"/>
        <w:lang w:val="en-US" w:eastAsia="en-US" w:bidi="ar-SA"/>
      </w:rPr>
    </w:lvl>
    <w:lvl w:ilvl="3" w:tplc="85F690B0">
      <w:numFmt w:val="bullet"/>
      <w:lvlText w:val="•"/>
      <w:lvlJc w:val="left"/>
      <w:pPr>
        <w:ind w:left="4399" w:hanging="567"/>
      </w:pPr>
      <w:rPr>
        <w:rFonts w:hint="default"/>
        <w:lang w:val="en-US" w:eastAsia="en-US" w:bidi="ar-SA"/>
      </w:rPr>
    </w:lvl>
    <w:lvl w:ilvl="4" w:tplc="18721E04">
      <w:numFmt w:val="bullet"/>
      <w:lvlText w:val="•"/>
      <w:lvlJc w:val="left"/>
      <w:pPr>
        <w:ind w:left="5108" w:hanging="567"/>
      </w:pPr>
      <w:rPr>
        <w:rFonts w:hint="default"/>
        <w:lang w:val="en-US" w:eastAsia="en-US" w:bidi="ar-SA"/>
      </w:rPr>
    </w:lvl>
    <w:lvl w:ilvl="5" w:tplc="DD708C06">
      <w:numFmt w:val="bullet"/>
      <w:lvlText w:val="•"/>
      <w:lvlJc w:val="left"/>
      <w:pPr>
        <w:ind w:left="5818" w:hanging="567"/>
      </w:pPr>
      <w:rPr>
        <w:rFonts w:hint="default"/>
        <w:lang w:val="en-US" w:eastAsia="en-US" w:bidi="ar-SA"/>
      </w:rPr>
    </w:lvl>
    <w:lvl w:ilvl="6" w:tplc="57EC84A4">
      <w:numFmt w:val="bullet"/>
      <w:lvlText w:val="•"/>
      <w:lvlJc w:val="left"/>
      <w:pPr>
        <w:ind w:left="6528" w:hanging="567"/>
      </w:pPr>
      <w:rPr>
        <w:rFonts w:hint="default"/>
        <w:lang w:val="en-US" w:eastAsia="en-US" w:bidi="ar-SA"/>
      </w:rPr>
    </w:lvl>
    <w:lvl w:ilvl="7" w:tplc="0E123DC4">
      <w:numFmt w:val="bullet"/>
      <w:lvlText w:val="•"/>
      <w:lvlJc w:val="left"/>
      <w:pPr>
        <w:ind w:left="7237" w:hanging="567"/>
      </w:pPr>
      <w:rPr>
        <w:rFonts w:hint="default"/>
        <w:lang w:val="en-US" w:eastAsia="en-US" w:bidi="ar-SA"/>
      </w:rPr>
    </w:lvl>
    <w:lvl w:ilvl="8" w:tplc="E0E66736">
      <w:numFmt w:val="bullet"/>
      <w:lvlText w:val="•"/>
      <w:lvlJc w:val="left"/>
      <w:pPr>
        <w:ind w:left="7947" w:hanging="567"/>
      </w:pPr>
      <w:rPr>
        <w:rFonts w:hint="default"/>
        <w:lang w:val="en-US" w:eastAsia="en-US" w:bidi="ar-SA"/>
      </w:rPr>
    </w:lvl>
  </w:abstractNum>
  <w:abstractNum w:abstractNumId="407" w15:restartNumberingAfterBreak="0">
    <w:nsid w:val="6D8846A5"/>
    <w:multiLevelType w:val="hybridMultilevel"/>
    <w:tmpl w:val="FB5A3FA6"/>
    <w:lvl w:ilvl="0" w:tplc="CD80582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ADC655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1B2266EE">
      <w:numFmt w:val="bullet"/>
      <w:lvlText w:val="•"/>
      <w:lvlJc w:val="left"/>
      <w:pPr>
        <w:ind w:left="2178" w:hanging="567"/>
      </w:pPr>
      <w:rPr>
        <w:lang w:val="en-US" w:eastAsia="en-US" w:bidi="ar-SA"/>
      </w:rPr>
    </w:lvl>
    <w:lvl w:ilvl="3" w:tplc="45BE0660">
      <w:numFmt w:val="bullet"/>
      <w:lvlText w:val="•"/>
      <w:lvlJc w:val="left"/>
      <w:pPr>
        <w:ind w:left="3076" w:hanging="567"/>
      </w:pPr>
      <w:rPr>
        <w:lang w:val="en-US" w:eastAsia="en-US" w:bidi="ar-SA"/>
      </w:rPr>
    </w:lvl>
    <w:lvl w:ilvl="4" w:tplc="EF4E30C8">
      <w:numFmt w:val="bullet"/>
      <w:lvlText w:val="•"/>
      <w:lvlJc w:val="left"/>
      <w:pPr>
        <w:ind w:left="3975" w:hanging="567"/>
      </w:pPr>
      <w:rPr>
        <w:lang w:val="en-US" w:eastAsia="en-US" w:bidi="ar-SA"/>
      </w:rPr>
    </w:lvl>
    <w:lvl w:ilvl="5" w:tplc="E8CECEAA">
      <w:numFmt w:val="bullet"/>
      <w:lvlText w:val="•"/>
      <w:lvlJc w:val="left"/>
      <w:pPr>
        <w:ind w:left="4873" w:hanging="567"/>
      </w:pPr>
      <w:rPr>
        <w:lang w:val="en-US" w:eastAsia="en-US" w:bidi="ar-SA"/>
      </w:rPr>
    </w:lvl>
    <w:lvl w:ilvl="6" w:tplc="D8024D6C">
      <w:numFmt w:val="bullet"/>
      <w:lvlText w:val="•"/>
      <w:lvlJc w:val="left"/>
      <w:pPr>
        <w:ind w:left="5772" w:hanging="567"/>
      </w:pPr>
      <w:rPr>
        <w:lang w:val="en-US" w:eastAsia="en-US" w:bidi="ar-SA"/>
      </w:rPr>
    </w:lvl>
    <w:lvl w:ilvl="7" w:tplc="7E1A1F06">
      <w:numFmt w:val="bullet"/>
      <w:lvlText w:val="•"/>
      <w:lvlJc w:val="left"/>
      <w:pPr>
        <w:ind w:left="6670" w:hanging="567"/>
      </w:pPr>
      <w:rPr>
        <w:lang w:val="en-US" w:eastAsia="en-US" w:bidi="ar-SA"/>
      </w:rPr>
    </w:lvl>
    <w:lvl w:ilvl="8" w:tplc="78D2843C">
      <w:numFmt w:val="bullet"/>
      <w:lvlText w:val="•"/>
      <w:lvlJc w:val="left"/>
      <w:pPr>
        <w:ind w:left="7569" w:hanging="567"/>
      </w:pPr>
      <w:rPr>
        <w:lang w:val="en-US" w:eastAsia="en-US" w:bidi="ar-SA"/>
      </w:rPr>
    </w:lvl>
  </w:abstractNum>
  <w:abstractNum w:abstractNumId="408" w15:restartNumberingAfterBreak="0">
    <w:nsid w:val="6DA40B78"/>
    <w:multiLevelType w:val="hybridMultilevel"/>
    <w:tmpl w:val="FF62FF66"/>
    <w:lvl w:ilvl="0" w:tplc="9660732C">
      <w:start w:val="1"/>
      <w:numFmt w:val="lowerLetter"/>
      <w:lvlText w:val="(%1)"/>
      <w:lvlJc w:val="left"/>
      <w:pPr>
        <w:ind w:left="543" w:hanging="459"/>
      </w:pPr>
      <w:rPr>
        <w:rFonts w:ascii="Arial" w:eastAsia="Calibri" w:hAnsi="Arial" w:cs="Arial" w:hint="default"/>
        <w:spacing w:val="-1"/>
        <w:w w:val="99"/>
        <w:sz w:val="20"/>
        <w:szCs w:val="20"/>
        <w:lang w:val="en-US" w:eastAsia="en-US" w:bidi="ar-SA"/>
      </w:rPr>
    </w:lvl>
    <w:lvl w:ilvl="1" w:tplc="6D945A6C">
      <w:numFmt w:val="bullet"/>
      <w:lvlText w:val="•"/>
      <w:lvlJc w:val="left"/>
      <w:pPr>
        <w:ind w:left="811" w:hanging="459"/>
      </w:pPr>
      <w:rPr>
        <w:rFonts w:hint="default"/>
        <w:lang w:val="en-US" w:eastAsia="en-US" w:bidi="ar-SA"/>
      </w:rPr>
    </w:lvl>
    <w:lvl w:ilvl="2" w:tplc="490493F2">
      <w:numFmt w:val="bullet"/>
      <w:lvlText w:val="•"/>
      <w:lvlJc w:val="left"/>
      <w:pPr>
        <w:ind w:left="1082" w:hanging="459"/>
      </w:pPr>
      <w:rPr>
        <w:rFonts w:hint="default"/>
        <w:lang w:val="en-US" w:eastAsia="en-US" w:bidi="ar-SA"/>
      </w:rPr>
    </w:lvl>
    <w:lvl w:ilvl="3" w:tplc="20E419DC">
      <w:numFmt w:val="bullet"/>
      <w:lvlText w:val="•"/>
      <w:lvlJc w:val="left"/>
      <w:pPr>
        <w:ind w:left="1353" w:hanging="459"/>
      </w:pPr>
      <w:rPr>
        <w:rFonts w:hint="default"/>
        <w:lang w:val="en-US" w:eastAsia="en-US" w:bidi="ar-SA"/>
      </w:rPr>
    </w:lvl>
    <w:lvl w:ilvl="4" w:tplc="5B22AD92">
      <w:numFmt w:val="bullet"/>
      <w:lvlText w:val="•"/>
      <w:lvlJc w:val="left"/>
      <w:pPr>
        <w:ind w:left="1624" w:hanging="459"/>
      </w:pPr>
      <w:rPr>
        <w:rFonts w:hint="default"/>
        <w:lang w:val="en-US" w:eastAsia="en-US" w:bidi="ar-SA"/>
      </w:rPr>
    </w:lvl>
    <w:lvl w:ilvl="5" w:tplc="47841130">
      <w:numFmt w:val="bullet"/>
      <w:lvlText w:val="•"/>
      <w:lvlJc w:val="left"/>
      <w:pPr>
        <w:ind w:left="1895" w:hanging="459"/>
      </w:pPr>
      <w:rPr>
        <w:rFonts w:hint="default"/>
        <w:lang w:val="en-US" w:eastAsia="en-US" w:bidi="ar-SA"/>
      </w:rPr>
    </w:lvl>
    <w:lvl w:ilvl="6" w:tplc="DE12D8F8">
      <w:numFmt w:val="bullet"/>
      <w:lvlText w:val="•"/>
      <w:lvlJc w:val="left"/>
      <w:pPr>
        <w:ind w:left="2166" w:hanging="459"/>
      </w:pPr>
      <w:rPr>
        <w:rFonts w:hint="default"/>
        <w:lang w:val="en-US" w:eastAsia="en-US" w:bidi="ar-SA"/>
      </w:rPr>
    </w:lvl>
    <w:lvl w:ilvl="7" w:tplc="2E56F060">
      <w:numFmt w:val="bullet"/>
      <w:lvlText w:val="•"/>
      <w:lvlJc w:val="left"/>
      <w:pPr>
        <w:ind w:left="2438" w:hanging="459"/>
      </w:pPr>
      <w:rPr>
        <w:rFonts w:hint="default"/>
        <w:lang w:val="en-US" w:eastAsia="en-US" w:bidi="ar-SA"/>
      </w:rPr>
    </w:lvl>
    <w:lvl w:ilvl="8" w:tplc="193206A4">
      <w:numFmt w:val="bullet"/>
      <w:lvlText w:val="•"/>
      <w:lvlJc w:val="left"/>
      <w:pPr>
        <w:ind w:left="2709" w:hanging="459"/>
      </w:pPr>
      <w:rPr>
        <w:rFonts w:hint="default"/>
        <w:lang w:val="en-US" w:eastAsia="en-US" w:bidi="ar-SA"/>
      </w:rPr>
    </w:lvl>
  </w:abstractNum>
  <w:abstractNum w:abstractNumId="409" w15:restartNumberingAfterBreak="0">
    <w:nsid w:val="6DAE7152"/>
    <w:multiLevelType w:val="hybridMultilevel"/>
    <w:tmpl w:val="2B468432"/>
    <w:lvl w:ilvl="0" w:tplc="DD083A12">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93AE0A30">
      <w:numFmt w:val="bullet"/>
      <w:lvlText w:val="•"/>
      <w:lvlJc w:val="left"/>
      <w:pPr>
        <w:ind w:left="1566" w:hanging="567"/>
      </w:pPr>
      <w:rPr>
        <w:rFonts w:hint="default"/>
        <w:lang w:val="en-US" w:eastAsia="en-US" w:bidi="ar-SA"/>
      </w:rPr>
    </w:lvl>
    <w:lvl w:ilvl="2" w:tplc="3F867E32">
      <w:numFmt w:val="bullet"/>
      <w:lvlText w:val="•"/>
      <w:lvlJc w:val="left"/>
      <w:pPr>
        <w:ind w:left="2433" w:hanging="567"/>
      </w:pPr>
      <w:rPr>
        <w:rFonts w:hint="default"/>
        <w:lang w:val="en-US" w:eastAsia="en-US" w:bidi="ar-SA"/>
      </w:rPr>
    </w:lvl>
    <w:lvl w:ilvl="3" w:tplc="DE1670C8">
      <w:numFmt w:val="bullet"/>
      <w:lvlText w:val="•"/>
      <w:lvlJc w:val="left"/>
      <w:pPr>
        <w:ind w:left="3299" w:hanging="567"/>
      </w:pPr>
      <w:rPr>
        <w:rFonts w:hint="default"/>
        <w:lang w:val="en-US" w:eastAsia="en-US" w:bidi="ar-SA"/>
      </w:rPr>
    </w:lvl>
    <w:lvl w:ilvl="4" w:tplc="1CF083C8">
      <w:numFmt w:val="bullet"/>
      <w:lvlText w:val="•"/>
      <w:lvlJc w:val="left"/>
      <w:pPr>
        <w:ind w:left="4166" w:hanging="567"/>
      </w:pPr>
      <w:rPr>
        <w:rFonts w:hint="default"/>
        <w:lang w:val="en-US" w:eastAsia="en-US" w:bidi="ar-SA"/>
      </w:rPr>
    </w:lvl>
    <w:lvl w:ilvl="5" w:tplc="0F6CF66A">
      <w:numFmt w:val="bullet"/>
      <w:lvlText w:val="•"/>
      <w:lvlJc w:val="left"/>
      <w:pPr>
        <w:ind w:left="5033" w:hanging="567"/>
      </w:pPr>
      <w:rPr>
        <w:rFonts w:hint="default"/>
        <w:lang w:val="en-US" w:eastAsia="en-US" w:bidi="ar-SA"/>
      </w:rPr>
    </w:lvl>
    <w:lvl w:ilvl="6" w:tplc="FEE07450">
      <w:numFmt w:val="bullet"/>
      <w:lvlText w:val="•"/>
      <w:lvlJc w:val="left"/>
      <w:pPr>
        <w:ind w:left="5899" w:hanging="567"/>
      </w:pPr>
      <w:rPr>
        <w:rFonts w:hint="default"/>
        <w:lang w:val="en-US" w:eastAsia="en-US" w:bidi="ar-SA"/>
      </w:rPr>
    </w:lvl>
    <w:lvl w:ilvl="7" w:tplc="7CB6D452">
      <w:numFmt w:val="bullet"/>
      <w:lvlText w:val="•"/>
      <w:lvlJc w:val="left"/>
      <w:pPr>
        <w:ind w:left="6766" w:hanging="567"/>
      </w:pPr>
      <w:rPr>
        <w:rFonts w:hint="default"/>
        <w:lang w:val="en-US" w:eastAsia="en-US" w:bidi="ar-SA"/>
      </w:rPr>
    </w:lvl>
    <w:lvl w:ilvl="8" w:tplc="0B7A91EE">
      <w:numFmt w:val="bullet"/>
      <w:lvlText w:val="•"/>
      <w:lvlJc w:val="left"/>
      <w:pPr>
        <w:ind w:left="7633" w:hanging="567"/>
      </w:pPr>
      <w:rPr>
        <w:rFonts w:hint="default"/>
        <w:lang w:val="en-US" w:eastAsia="en-US" w:bidi="ar-SA"/>
      </w:rPr>
    </w:lvl>
  </w:abstractNum>
  <w:abstractNum w:abstractNumId="410" w15:restartNumberingAfterBreak="0">
    <w:nsid w:val="6DC604E5"/>
    <w:multiLevelType w:val="hybridMultilevel"/>
    <w:tmpl w:val="C872323C"/>
    <w:lvl w:ilvl="0" w:tplc="93E64292">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85686EF0">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A086A9F6">
      <w:start w:val="1"/>
      <w:numFmt w:val="lowerRoman"/>
      <w:lvlText w:val="(%3)"/>
      <w:lvlJc w:val="left"/>
      <w:pPr>
        <w:ind w:left="1842" w:hanging="569"/>
      </w:pPr>
      <w:rPr>
        <w:rFonts w:ascii="Arial" w:eastAsia="Calibri" w:hAnsi="Arial" w:cs="Arial" w:hint="default"/>
        <w:spacing w:val="-1"/>
        <w:w w:val="100"/>
        <w:sz w:val="20"/>
        <w:szCs w:val="22"/>
        <w:lang w:val="en-US" w:eastAsia="en-US" w:bidi="ar-SA"/>
      </w:rPr>
    </w:lvl>
    <w:lvl w:ilvl="3" w:tplc="7A3EFF5C">
      <w:numFmt w:val="bullet"/>
      <w:lvlText w:val="•"/>
      <w:lvlJc w:val="left"/>
      <w:pPr>
        <w:ind w:left="2780" w:hanging="569"/>
      </w:pPr>
      <w:rPr>
        <w:rFonts w:hint="default"/>
        <w:lang w:val="en-US" w:eastAsia="en-US" w:bidi="ar-SA"/>
      </w:rPr>
    </w:lvl>
    <w:lvl w:ilvl="4" w:tplc="19623EF8">
      <w:numFmt w:val="bullet"/>
      <w:lvlText w:val="•"/>
      <w:lvlJc w:val="left"/>
      <w:pPr>
        <w:ind w:left="3721" w:hanging="569"/>
      </w:pPr>
      <w:rPr>
        <w:rFonts w:hint="default"/>
        <w:lang w:val="en-US" w:eastAsia="en-US" w:bidi="ar-SA"/>
      </w:rPr>
    </w:lvl>
    <w:lvl w:ilvl="5" w:tplc="05A619E6">
      <w:numFmt w:val="bullet"/>
      <w:lvlText w:val="•"/>
      <w:lvlJc w:val="left"/>
      <w:pPr>
        <w:ind w:left="4662" w:hanging="569"/>
      </w:pPr>
      <w:rPr>
        <w:rFonts w:hint="default"/>
        <w:lang w:val="en-US" w:eastAsia="en-US" w:bidi="ar-SA"/>
      </w:rPr>
    </w:lvl>
    <w:lvl w:ilvl="6" w:tplc="FBCA1B3E">
      <w:numFmt w:val="bullet"/>
      <w:lvlText w:val="•"/>
      <w:lvlJc w:val="left"/>
      <w:pPr>
        <w:ind w:left="5603" w:hanging="569"/>
      </w:pPr>
      <w:rPr>
        <w:rFonts w:hint="default"/>
        <w:lang w:val="en-US" w:eastAsia="en-US" w:bidi="ar-SA"/>
      </w:rPr>
    </w:lvl>
    <w:lvl w:ilvl="7" w:tplc="8FDC78C0">
      <w:numFmt w:val="bullet"/>
      <w:lvlText w:val="•"/>
      <w:lvlJc w:val="left"/>
      <w:pPr>
        <w:ind w:left="6544" w:hanging="569"/>
      </w:pPr>
      <w:rPr>
        <w:rFonts w:hint="default"/>
        <w:lang w:val="en-US" w:eastAsia="en-US" w:bidi="ar-SA"/>
      </w:rPr>
    </w:lvl>
    <w:lvl w:ilvl="8" w:tplc="BAA84E64">
      <w:numFmt w:val="bullet"/>
      <w:lvlText w:val="•"/>
      <w:lvlJc w:val="left"/>
      <w:pPr>
        <w:ind w:left="7484" w:hanging="569"/>
      </w:pPr>
      <w:rPr>
        <w:rFonts w:hint="default"/>
        <w:lang w:val="en-US" w:eastAsia="en-US" w:bidi="ar-SA"/>
      </w:rPr>
    </w:lvl>
  </w:abstractNum>
  <w:abstractNum w:abstractNumId="411" w15:restartNumberingAfterBreak="0">
    <w:nsid w:val="6DFE6852"/>
    <w:multiLevelType w:val="hybridMultilevel"/>
    <w:tmpl w:val="EE8E407A"/>
    <w:lvl w:ilvl="0" w:tplc="0BA0347A">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421CA51E">
      <w:numFmt w:val="bullet"/>
      <w:lvlText w:val="•"/>
      <w:lvlJc w:val="left"/>
      <w:pPr>
        <w:ind w:left="1566" w:hanging="567"/>
      </w:pPr>
      <w:rPr>
        <w:rFonts w:hint="default"/>
        <w:lang w:val="en-US" w:eastAsia="en-US" w:bidi="ar-SA"/>
      </w:rPr>
    </w:lvl>
    <w:lvl w:ilvl="2" w:tplc="23AAAD70">
      <w:numFmt w:val="bullet"/>
      <w:lvlText w:val="•"/>
      <w:lvlJc w:val="left"/>
      <w:pPr>
        <w:ind w:left="2433" w:hanging="567"/>
      </w:pPr>
      <w:rPr>
        <w:rFonts w:hint="default"/>
        <w:lang w:val="en-US" w:eastAsia="en-US" w:bidi="ar-SA"/>
      </w:rPr>
    </w:lvl>
    <w:lvl w:ilvl="3" w:tplc="12849390">
      <w:numFmt w:val="bullet"/>
      <w:lvlText w:val="•"/>
      <w:lvlJc w:val="left"/>
      <w:pPr>
        <w:ind w:left="3299" w:hanging="567"/>
      </w:pPr>
      <w:rPr>
        <w:rFonts w:hint="default"/>
        <w:lang w:val="en-US" w:eastAsia="en-US" w:bidi="ar-SA"/>
      </w:rPr>
    </w:lvl>
    <w:lvl w:ilvl="4" w:tplc="8B54BAC6">
      <w:numFmt w:val="bullet"/>
      <w:lvlText w:val="•"/>
      <w:lvlJc w:val="left"/>
      <w:pPr>
        <w:ind w:left="4166" w:hanging="567"/>
      </w:pPr>
      <w:rPr>
        <w:rFonts w:hint="default"/>
        <w:lang w:val="en-US" w:eastAsia="en-US" w:bidi="ar-SA"/>
      </w:rPr>
    </w:lvl>
    <w:lvl w:ilvl="5" w:tplc="E7A6785C">
      <w:numFmt w:val="bullet"/>
      <w:lvlText w:val="•"/>
      <w:lvlJc w:val="left"/>
      <w:pPr>
        <w:ind w:left="5033" w:hanging="567"/>
      </w:pPr>
      <w:rPr>
        <w:rFonts w:hint="default"/>
        <w:lang w:val="en-US" w:eastAsia="en-US" w:bidi="ar-SA"/>
      </w:rPr>
    </w:lvl>
    <w:lvl w:ilvl="6" w:tplc="C2444BF8">
      <w:numFmt w:val="bullet"/>
      <w:lvlText w:val="•"/>
      <w:lvlJc w:val="left"/>
      <w:pPr>
        <w:ind w:left="5899" w:hanging="567"/>
      </w:pPr>
      <w:rPr>
        <w:rFonts w:hint="default"/>
        <w:lang w:val="en-US" w:eastAsia="en-US" w:bidi="ar-SA"/>
      </w:rPr>
    </w:lvl>
    <w:lvl w:ilvl="7" w:tplc="C7FC9874">
      <w:numFmt w:val="bullet"/>
      <w:lvlText w:val="•"/>
      <w:lvlJc w:val="left"/>
      <w:pPr>
        <w:ind w:left="6766" w:hanging="567"/>
      </w:pPr>
      <w:rPr>
        <w:rFonts w:hint="default"/>
        <w:lang w:val="en-US" w:eastAsia="en-US" w:bidi="ar-SA"/>
      </w:rPr>
    </w:lvl>
    <w:lvl w:ilvl="8" w:tplc="3470F498">
      <w:numFmt w:val="bullet"/>
      <w:lvlText w:val="•"/>
      <w:lvlJc w:val="left"/>
      <w:pPr>
        <w:ind w:left="7633" w:hanging="567"/>
      </w:pPr>
      <w:rPr>
        <w:rFonts w:hint="default"/>
        <w:lang w:val="en-US" w:eastAsia="en-US" w:bidi="ar-SA"/>
      </w:rPr>
    </w:lvl>
  </w:abstractNum>
  <w:abstractNum w:abstractNumId="412" w15:restartNumberingAfterBreak="0">
    <w:nsid w:val="6DFE6D15"/>
    <w:multiLevelType w:val="hybridMultilevel"/>
    <w:tmpl w:val="FB5A3FA6"/>
    <w:lvl w:ilvl="0" w:tplc="CD80582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ADC655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1B2266EE">
      <w:numFmt w:val="bullet"/>
      <w:lvlText w:val="•"/>
      <w:lvlJc w:val="left"/>
      <w:pPr>
        <w:ind w:left="2178" w:hanging="567"/>
      </w:pPr>
      <w:rPr>
        <w:lang w:val="en-US" w:eastAsia="en-US" w:bidi="ar-SA"/>
      </w:rPr>
    </w:lvl>
    <w:lvl w:ilvl="3" w:tplc="45BE0660">
      <w:numFmt w:val="bullet"/>
      <w:lvlText w:val="•"/>
      <w:lvlJc w:val="left"/>
      <w:pPr>
        <w:ind w:left="3076" w:hanging="567"/>
      </w:pPr>
      <w:rPr>
        <w:lang w:val="en-US" w:eastAsia="en-US" w:bidi="ar-SA"/>
      </w:rPr>
    </w:lvl>
    <w:lvl w:ilvl="4" w:tplc="EF4E30C8">
      <w:numFmt w:val="bullet"/>
      <w:lvlText w:val="•"/>
      <w:lvlJc w:val="left"/>
      <w:pPr>
        <w:ind w:left="3975" w:hanging="567"/>
      </w:pPr>
      <w:rPr>
        <w:lang w:val="en-US" w:eastAsia="en-US" w:bidi="ar-SA"/>
      </w:rPr>
    </w:lvl>
    <w:lvl w:ilvl="5" w:tplc="E8CECEAA">
      <w:numFmt w:val="bullet"/>
      <w:lvlText w:val="•"/>
      <w:lvlJc w:val="left"/>
      <w:pPr>
        <w:ind w:left="4873" w:hanging="567"/>
      </w:pPr>
      <w:rPr>
        <w:lang w:val="en-US" w:eastAsia="en-US" w:bidi="ar-SA"/>
      </w:rPr>
    </w:lvl>
    <w:lvl w:ilvl="6" w:tplc="D8024D6C">
      <w:numFmt w:val="bullet"/>
      <w:lvlText w:val="•"/>
      <w:lvlJc w:val="left"/>
      <w:pPr>
        <w:ind w:left="5772" w:hanging="567"/>
      </w:pPr>
      <w:rPr>
        <w:lang w:val="en-US" w:eastAsia="en-US" w:bidi="ar-SA"/>
      </w:rPr>
    </w:lvl>
    <w:lvl w:ilvl="7" w:tplc="7E1A1F06">
      <w:numFmt w:val="bullet"/>
      <w:lvlText w:val="•"/>
      <w:lvlJc w:val="left"/>
      <w:pPr>
        <w:ind w:left="6670" w:hanging="567"/>
      </w:pPr>
      <w:rPr>
        <w:lang w:val="en-US" w:eastAsia="en-US" w:bidi="ar-SA"/>
      </w:rPr>
    </w:lvl>
    <w:lvl w:ilvl="8" w:tplc="78D2843C">
      <w:numFmt w:val="bullet"/>
      <w:lvlText w:val="•"/>
      <w:lvlJc w:val="left"/>
      <w:pPr>
        <w:ind w:left="7569" w:hanging="567"/>
      </w:pPr>
      <w:rPr>
        <w:lang w:val="en-US" w:eastAsia="en-US" w:bidi="ar-SA"/>
      </w:rPr>
    </w:lvl>
  </w:abstractNum>
  <w:abstractNum w:abstractNumId="413" w15:restartNumberingAfterBreak="0">
    <w:nsid w:val="6E8D5CC9"/>
    <w:multiLevelType w:val="hybridMultilevel"/>
    <w:tmpl w:val="13C270CE"/>
    <w:lvl w:ilvl="0" w:tplc="04CA001A">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5B2C15D0">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0E1209E8">
      <w:numFmt w:val="bullet"/>
      <w:lvlText w:val="•"/>
      <w:lvlJc w:val="left"/>
      <w:pPr>
        <w:ind w:left="2178" w:hanging="567"/>
      </w:pPr>
      <w:rPr>
        <w:rFonts w:hint="default"/>
        <w:lang w:val="en-US" w:eastAsia="en-US" w:bidi="ar-SA"/>
      </w:rPr>
    </w:lvl>
    <w:lvl w:ilvl="3" w:tplc="5C14C46C">
      <w:numFmt w:val="bullet"/>
      <w:lvlText w:val="•"/>
      <w:lvlJc w:val="left"/>
      <w:pPr>
        <w:ind w:left="3076" w:hanging="567"/>
      </w:pPr>
      <w:rPr>
        <w:rFonts w:hint="default"/>
        <w:lang w:val="en-US" w:eastAsia="en-US" w:bidi="ar-SA"/>
      </w:rPr>
    </w:lvl>
    <w:lvl w:ilvl="4" w:tplc="1F16D384">
      <w:numFmt w:val="bullet"/>
      <w:lvlText w:val="•"/>
      <w:lvlJc w:val="left"/>
      <w:pPr>
        <w:ind w:left="3975" w:hanging="567"/>
      </w:pPr>
      <w:rPr>
        <w:rFonts w:hint="default"/>
        <w:lang w:val="en-US" w:eastAsia="en-US" w:bidi="ar-SA"/>
      </w:rPr>
    </w:lvl>
    <w:lvl w:ilvl="5" w:tplc="1804BE5A">
      <w:numFmt w:val="bullet"/>
      <w:lvlText w:val="•"/>
      <w:lvlJc w:val="left"/>
      <w:pPr>
        <w:ind w:left="4873" w:hanging="567"/>
      </w:pPr>
      <w:rPr>
        <w:rFonts w:hint="default"/>
        <w:lang w:val="en-US" w:eastAsia="en-US" w:bidi="ar-SA"/>
      </w:rPr>
    </w:lvl>
    <w:lvl w:ilvl="6" w:tplc="210E8698">
      <w:numFmt w:val="bullet"/>
      <w:lvlText w:val="•"/>
      <w:lvlJc w:val="left"/>
      <w:pPr>
        <w:ind w:left="5772" w:hanging="567"/>
      </w:pPr>
      <w:rPr>
        <w:rFonts w:hint="default"/>
        <w:lang w:val="en-US" w:eastAsia="en-US" w:bidi="ar-SA"/>
      </w:rPr>
    </w:lvl>
    <w:lvl w:ilvl="7" w:tplc="DC869D92">
      <w:numFmt w:val="bullet"/>
      <w:lvlText w:val="•"/>
      <w:lvlJc w:val="left"/>
      <w:pPr>
        <w:ind w:left="6670" w:hanging="567"/>
      </w:pPr>
      <w:rPr>
        <w:rFonts w:hint="default"/>
        <w:lang w:val="en-US" w:eastAsia="en-US" w:bidi="ar-SA"/>
      </w:rPr>
    </w:lvl>
    <w:lvl w:ilvl="8" w:tplc="91D408D2">
      <w:numFmt w:val="bullet"/>
      <w:lvlText w:val="•"/>
      <w:lvlJc w:val="left"/>
      <w:pPr>
        <w:ind w:left="7569" w:hanging="567"/>
      </w:pPr>
      <w:rPr>
        <w:rFonts w:hint="default"/>
        <w:lang w:val="en-US" w:eastAsia="en-US" w:bidi="ar-SA"/>
      </w:rPr>
    </w:lvl>
  </w:abstractNum>
  <w:abstractNum w:abstractNumId="414" w15:restartNumberingAfterBreak="0">
    <w:nsid w:val="6EE87F81"/>
    <w:multiLevelType w:val="hybridMultilevel"/>
    <w:tmpl w:val="FB5A3FA6"/>
    <w:lvl w:ilvl="0" w:tplc="CD80582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ADC655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1B2266EE">
      <w:numFmt w:val="bullet"/>
      <w:lvlText w:val="•"/>
      <w:lvlJc w:val="left"/>
      <w:pPr>
        <w:ind w:left="2178" w:hanging="567"/>
      </w:pPr>
      <w:rPr>
        <w:lang w:val="en-US" w:eastAsia="en-US" w:bidi="ar-SA"/>
      </w:rPr>
    </w:lvl>
    <w:lvl w:ilvl="3" w:tplc="45BE0660">
      <w:numFmt w:val="bullet"/>
      <w:lvlText w:val="•"/>
      <w:lvlJc w:val="left"/>
      <w:pPr>
        <w:ind w:left="3076" w:hanging="567"/>
      </w:pPr>
      <w:rPr>
        <w:lang w:val="en-US" w:eastAsia="en-US" w:bidi="ar-SA"/>
      </w:rPr>
    </w:lvl>
    <w:lvl w:ilvl="4" w:tplc="EF4E30C8">
      <w:numFmt w:val="bullet"/>
      <w:lvlText w:val="•"/>
      <w:lvlJc w:val="left"/>
      <w:pPr>
        <w:ind w:left="3975" w:hanging="567"/>
      </w:pPr>
      <w:rPr>
        <w:lang w:val="en-US" w:eastAsia="en-US" w:bidi="ar-SA"/>
      </w:rPr>
    </w:lvl>
    <w:lvl w:ilvl="5" w:tplc="E8CECEAA">
      <w:numFmt w:val="bullet"/>
      <w:lvlText w:val="•"/>
      <w:lvlJc w:val="left"/>
      <w:pPr>
        <w:ind w:left="4873" w:hanging="567"/>
      </w:pPr>
      <w:rPr>
        <w:lang w:val="en-US" w:eastAsia="en-US" w:bidi="ar-SA"/>
      </w:rPr>
    </w:lvl>
    <w:lvl w:ilvl="6" w:tplc="D8024D6C">
      <w:numFmt w:val="bullet"/>
      <w:lvlText w:val="•"/>
      <w:lvlJc w:val="left"/>
      <w:pPr>
        <w:ind w:left="5772" w:hanging="567"/>
      </w:pPr>
      <w:rPr>
        <w:lang w:val="en-US" w:eastAsia="en-US" w:bidi="ar-SA"/>
      </w:rPr>
    </w:lvl>
    <w:lvl w:ilvl="7" w:tplc="7E1A1F06">
      <w:numFmt w:val="bullet"/>
      <w:lvlText w:val="•"/>
      <w:lvlJc w:val="left"/>
      <w:pPr>
        <w:ind w:left="6670" w:hanging="567"/>
      </w:pPr>
      <w:rPr>
        <w:lang w:val="en-US" w:eastAsia="en-US" w:bidi="ar-SA"/>
      </w:rPr>
    </w:lvl>
    <w:lvl w:ilvl="8" w:tplc="78D2843C">
      <w:numFmt w:val="bullet"/>
      <w:lvlText w:val="•"/>
      <w:lvlJc w:val="left"/>
      <w:pPr>
        <w:ind w:left="7569" w:hanging="567"/>
      </w:pPr>
      <w:rPr>
        <w:lang w:val="en-US" w:eastAsia="en-US" w:bidi="ar-SA"/>
      </w:rPr>
    </w:lvl>
  </w:abstractNum>
  <w:abstractNum w:abstractNumId="415" w15:restartNumberingAfterBreak="0">
    <w:nsid w:val="6F196F60"/>
    <w:multiLevelType w:val="hybridMultilevel"/>
    <w:tmpl w:val="FB5A3FA6"/>
    <w:lvl w:ilvl="0" w:tplc="CD80582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ADC655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1B2266EE">
      <w:numFmt w:val="bullet"/>
      <w:lvlText w:val="•"/>
      <w:lvlJc w:val="left"/>
      <w:pPr>
        <w:ind w:left="2178" w:hanging="567"/>
      </w:pPr>
      <w:rPr>
        <w:lang w:val="en-US" w:eastAsia="en-US" w:bidi="ar-SA"/>
      </w:rPr>
    </w:lvl>
    <w:lvl w:ilvl="3" w:tplc="45BE0660">
      <w:numFmt w:val="bullet"/>
      <w:lvlText w:val="•"/>
      <w:lvlJc w:val="left"/>
      <w:pPr>
        <w:ind w:left="3076" w:hanging="567"/>
      </w:pPr>
      <w:rPr>
        <w:lang w:val="en-US" w:eastAsia="en-US" w:bidi="ar-SA"/>
      </w:rPr>
    </w:lvl>
    <w:lvl w:ilvl="4" w:tplc="EF4E30C8">
      <w:numFmt w:val="bullet"/>
      <w:lvlText w:val="•"/>
      <w:lvlJc w:val="left"/>
      <w:pPr>
        <w:ind w:left="3975" w:hanging="567"/>
      </w:pPr>
      <w:rPr>
        <w:lang w:val="en-US" w:eastAsia="en-US" w:bidi="ar-SA"/>
      </w:rPr>
    </w:lvl>
    <w:lvl w:ilvl="5" w:tplc="E8CECEAA">
      <w:numFmt w:val="bullet"/>
      <w:lvlText w:val="•"/>
      <w:lvlJc w:val="left"/>
      <w:pPr>
        <w:ind w:left="4873" w:hanging="567"/>
      </w:pPr>
      <w:rPr>
        <w:lang w:val="en-US" w:eastAsia="en-US" w:bidi="ar-SA"/>
      </w:rPr>
    </w:lvl>
    <w:lvl w:ilvl="6" w:tplc="D8024D6C">
      <w:numFmt w:val="bullet"/>
      <w:lvlText w:val="•"/>
      <w:lvlJc w:val="left"/>
      <w:pPr>
        <w:ind w:left="5772" w:hanging="567"/>
      </w:pPr>
      <w:rPr>
        <w:lang w:val="en-US" w:eastAsia="en-US" w:bidi="ar-SA"/>
      </w:rPr>
    </w:lvl>
    <w:lvl w:ilvl="7" w:tplc="7E1A1F06">
      <w:numFmt w:val="bullet"/>
      <w:lvlText w:val="•"/>
      <w:lvlJc w:val="left"/>
      <w:pPr>
        <w:ind w:left="6670" w:hanging="567"/>
      </w:pPr>
      <w:rPr>
        <w:lang w:val="en-US" w:eastAsia="en-US" w:bidi="ar-SA"/>
      </w:rPr>
    </w:lvl>
    <w:lvl w:ilvl="8" w:tplc="78D2843C">
      <w:numFmt w:val="bullet"/>
      <w:lvlText w:val="•"/>
      <w:lvlJc w:val="left"/>
      <w:pPr>
        <w:ind w:left="7569" w:hanging="567"/>
      </w:pPr>
      <w:rPr>
        <w:lang w:val="en-US" w:eastAsia="en-US" w:bidi="ar-SA"/>
      </w:rPr>
    </w:lvl>
  </w:abstractNum>
  <w:abstractNum w:abstractNumId="416" w15:restartNumberingAfterBreak="0">
    <w:nsid w:val="6F1F3588"/>
    <w:multiLevelType w:val="hybridMultilevel"/>
    <w:tmpl w:val="2D2AF6E2"/>
    <w:lvl w:ilvl="0" w:tplc="81B0DB78">
      <w:start w:val="1"/>
      <w:numFmt w:val="decimal"/>
      <w:lvlText w:val="(%1)"/>
      <w:lvlJc w:val="left"/>
      <w:pPr>
        <w:ind w:left="1273" w:hanging="567"/>
      </w:pPr>
      <w:rPr>
        <w:rFonts w:ascii="Arial" w:eastAsia="Calibri" w:hAnsi="Arial" w:cs="Arial" w:hint="default"/>
        <w:spacing w:val="-1"/>
        <w:w w:val="100"/>
        <w:sz w:val="20"/>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7" w15:restartNumberingAfterBreak="0">
    <w:nsid w:val="6FE20A77"/>
    <w:multiLevelType w:val="hybridMultilevel"/>
    <w:tmpl w:val="5FC43A36"/>
    <w:lvl w:ilvl="0" w:tplc="A88A5804">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7D4C3E8E">
      <w:numFmt w:val="bullet"/>
      <w:lvlText w:val="•"/>
      <w:lvlJc w:val="left"/>
      <w:pPr>
        <w:ind w:left="1566" w:hanging="567"/>
      </w:pPr>
      <w:rPr>
        <w:rFonts w:hint="default"/>
        <w:lang w:val="en-US" w:eastAsia="en-US" w:bidi="ar-SA"/>
      </w:rPr>
    </w:lvl>
    <w:lvl w:ilvl="2" w:tplc="235E4860">
      <w:numFmt w:val="bullet"/>
      <w:lvlText w:val="•"/>
      <w:lvlJc w:val="left"/>
      <w:pPr>
        <w:ind w:left="2433" w:hanging="567"/>
      </w:pPr>
      <w:rPr>
        <w:rFonts w:hint="default"/>
        <w:lang w:val="en-US" w:eastAsia="en-US" w:bidi="ar-SA"/>
      </w:rPr>
    </w:lvl>
    <w:lvl w:ilvl="3" w:tplc="DF6A7766">
      <w:numFmt w:val="bullet"/>
      <w:lvlText w:val="•"/>
      <w:lvlJc w:val="left"/>
      <w:pPr>
        <w:ind w:left="3299" w:hanging="567"/>
      </w:pPr>
      <w:rPr>
        <w:rFonts w:hint="default"/>
        <w:lang w:val="en-US" w:eastAsia="en-US" w:bidi="ar-SA"/>
      </w:rPr>
    </w:lvl>
    <w:lvl w:ilvl="4" w:tplc="0C42A9AA">
      <w:numFmt w:val="bullet"/>
      <w:lvlText w:val="•"/>
      <w:lvlJc w:val="left"/>
      <w:pPr>
        <w:ind w:left="4166" w:hanging="567"/>
      </w:pPr>
      <w:rPr>
        <w:rFonts w:hint="default"/>
        <w:lang w:val="en-US" w:eastAsia="en-US" w:bidi="ar-SA"/>
      </w:rPr>
    </w:lvl>
    <w:lvl w:ilvl="5" w:tplc="8570BFA8">
      <w:numFmt w:val="bullet"/>
      <w:lvlText w:val="•"/>
      <w:lvlJc w:val="left"/>
      <w:pPr>
        <w:ind w:left="5033" w:hanging="567"/>
      </w:pPr>
      <w:rPr>
        <w:rFonts w:hint="default"/>
        <w:lang w:val="en-US" w:eastAsia="en-US" w:bidi="ar-SA"/>
      </w:rPr>
    </w:lvl>
    <w:lvl w:ilvl="6" w:tplc="FFF4E918">
      <w:numFmt w:val="bullet"/>
      <w:lvlText w:val="•"/>
      <w:lvlJc w:val="left"/>
      <w:pPr>
        <w:ind w:left="5899" w:hanging="567"/>
      </w:pPr>
      <w:rPr>
        <w:rFonts w:hint="default"/>
        <w:lang w:val="en-US" w:eastAsia="en-US" w:bidi="ar-SA"/>
      </w:rPr>
    </w:lvl>
    <w:lvl w:ilvl="7" w:tplc="F2E62BB8">
      <w:numFmt w:val="bullet"/>
      <w:lvlText w:val="•"/>
      <w:lvlJc w:val="left"/>
      <w:pPr>
        <w:ind w:left="6766" w:hanging="567"/>
      </w:pPr>
      <w:rPr>
        <w:rFonts w:hint="default"/>
        <w:lang w:val="en-US" w:eastAsia="en-US" w:bidi="ar-SA"/>
      </w:rPr>
    </w:lvl>
    <w:lvl w:ilvl="8" w:tplc="A0E87BB2">
      <w:numFmt w:val="bullet"/>
      <w:lvlText w:val="•"/>
      <w:lvlJc w:val="left"/>
      <w:pPr>
        <w:ind w:left="7633" w:hanging="567"/>
      </w:pPr>
      <w:rPr>
        <w:rFonts w:hint="default"/>
        <w:lang w:val="en-US" w:eastAsia="en-US" w:bidi="ar-SA"/>
      </w:rPr>
    </w:lvl>
  </w:abstractNum>
  <w:abstractNum w:abstractNumId="418" w15:restartNumberingAfterBreak="0">
    <w:nsid w:val="6FE44ACE"/>
    <w:multiLevelType w:val="hybridMultilevel"/>
    <w:tmpl w:val="461AE424"/>
    <w:lvl w:ilvl="0" w:tplc="CD80582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ADC655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1B2266EE">
      <w:numFmt w:val="bullet"/>
      <w:lvlText w:val="•"/>
      <w:lvlJc w:val="left"/>
      <w:pPr>
        <w:ind w:left="2178" w:hanging="567"/>
      </w:pPr>
      <w:rPr>
        <w:lang w:val="en-US" w:eastAsia="en-US" w:bidi="ar-SA"/>
      </w:rPr>
    </w:lvl>
    <w:lvl w:ilvl="3" w:tplc="45BE0660">
      <w:numFmt w:val="bullet"/>
      <w:lvlText w:val="•"/>
      <w:lvlJc w:val="left"/>
      <w:pPr>
        <w:ind w:left="3076" w:hanging="567"/>
      </w:pPr>
      <w:rPr>
        <w:lang w:val="en-US" w:eastAsia="en-US" w:bidi="ar-SA"/>
      </w:rPr>
    </w:lvl>
    <w:lvl w:ilvl="4" w:tplc="EF4E30C8">
      <w:numFmt w:val="bullet"/>
      <w:lvlText w:val="•"/>
      <w:lvlJc w:val="left"/>
      <w:pPr>
        <w:ind w:left="3975" w:hanging="567"/>
      </w:pPr>
      <w:rPr>
        <w:lang w:val="en-US" w:eastAsia="en-US" w:bidi="ar-SA"/>
      </w:rPr>
    </w:lvl>
    <w:lvl w:ilvl="5" w:tplc="E8CECEAA">
      <w:numFmt w:val="bullet"/>
      <w:lvlText w:val="•"/>
      <w:lvlJc w:val="left"/>
      <w:pPr>
        <w:ind w:left="4873" w:hanging="567"/>
      </w:pPr>
      <w:rPr>
        <w:lang w:val="en-US" w:eastAsia="en-US" w:bidi="ar-SA"/>
      </w:rPr>
    </w:lvl>
    <w:lvl w:ilvl="6" w:tplc="D8024D6C">
      <w:numFmt w:val="bullet"/>
      <w:lvlText w:val="•"/>
      <w:lvlJc w:val="left"/>
      <w:pPr>
        <w:ind w:left="5772" w:hanging="567"/>
      </w:pPr>
      <w:rPr>
        <w:lang w:val="en-US" w:eastAsia="en-US" w:bidi="ar-SA"/>
      </w:rPr>
    </w:lvl>
    <w:lvl w:ilvl="7" w:tplc="7E1A1F06">
      <w:numFmt w:val="bullet"/>
      <w:lvlText w:val="•"/>
      <w:lvlJc w:val="left"/>
      <w:pPr>
        <w:ind w:left="6670" w:hanging="567"/>
      </w:pPr>
      <w:rPr>
        <w:lang w:val="en-US" w:eastAsia="en-US" w:bidi="ar-SA"/>
      </w:rPr>
    </w:lvl>
    <w:lvl w:ilvl="8" w:tplc="78D2843C">
      <w:numFmt w:val="bullet"/>
      <w:lvlText w:val="•"/>
      <w:lvlJc w:val="left"/>
      <w:pPr>
        <w:ind w:left="7569" w:hanging="567"/>
      </w:pPr>
      <w:rPr>
        <w:lang w:val="en-US" w:eastAsia="en-US" w:bidi="ar-SA"/>
      </w:rPr>
    </w:lvl>
  </w:abstractNum>
  <w:abstractNum w:abstractNumId="419" w15:restartNumberingAfterBreak="0">
    <w:nsid w:val="6FF56884"/>
    <w:multiLevelType w:val="hybridMultilevel"/>
    <w:tmpl w:val="5F60413A"/>
    <w:lvl w:ilvl="0" w:tplc="8E3C32D4">
      <w:start w:val="1"/>
      <w:numFmt w:val="lowerLetter"/>
      <w:lvlText w:val="(%1)"/>
      <w:lvlJc w:val="left"/>
      <w:pPr>
        <w:ind w:left="2408" w:hanging="567"/>
      </w:pPr>
      <w:rPr>
        <w:rFonts w:ascii="Arial" w:eastAsia="Calibri" w:hAnsi="Arial" w:cs="Arial" w:hint="default"/>
        <w:spacing w:val="-1"/>
        <w:w w:val="100"/>
        <w:sz w:val="20"/>
        <w:szCs w:val="22"/>
        <w:lang w:val="en-US" w:eastAsia="en-US" w:bidi="ar-SA"/>
      </w:rPr>
    </w:lvl>
    <w:lvl w:ilvl="1" w:tplc="B5D89E6E">
      <w:start w:val="1"/>
      <w:numFmt w:val="decimal"/>
      <w:lvlText w:val="(%2)"/>
      <w:lvlJc w:val="left"/>
      <w:pPr>
        <w:ind w:left="2975" w:hanging="567"/>
      </w:pPr>
      <w:rPr>
        <w:rFonts w:ascii="Arial" w:eastAsia="Calibri" w:hAnsi="Arial" w:cs="Arial" w:hint="default"/>
        <w:spacing w:val="-1"/>
        <w:w w:val="100"/>
        <w:sz w:val="20"/>
        <w:szCs w:val="22"/>
        <w:lang w:val="en-US" w:eastAsia="en-US" w:bidi="ar-SA"/>
      </w:rPr>
    </w:lvl>
    <w:lvl w:ilvl="2" w:tplc="A54AB63C">
      <w:numFmt w:val="bullet"/>
      <w:lvlText w:val="•"/>
      <w:lvlJc w:val="left"/>
      <w:pPr>
        <w:ind w:left="3689" w:hanging="567"/>
      </w:pPr>
      <w:rPr>
        <w:rFonts w:hint="default"/>
        <w:lang w:val="en-US" w:eastAsia="en-US" w:bidi="ar-SA"/>
      </w:rPr>
    </w:lvl>
    <w:lvl w:ilvl="3" w:tplc="D4D6C0A2">
      <w:numFmt w:val="bullet"/>
      <w:lvlText w:val="•"/>
      <w:lvlJc w:val="left"/>
      <w:pPr>
        <w:ind w:left="4399" w:hanging="567"/>
      </w:pPr>
      <w:rPr>
        <w:rFonts w:hint="default"/>
        <w:lang w:val="en-US" w:eastAsia="en-US" w:bidi="ar-SA"/>
      </w:rPr>
    </w:lvl>
    <w:lvl w:ilvl="4" w:tplc="7AA23DE8">
      <w:numFmt w:val="bullet"/>
      <w:lvlText w:val="•"/>
      <w:lvlJc w:val="left"/>
      <w:pPr>
        <w:ind w:left="5108" w:hanging="567"/>
      </w:pPr>
      <w:rPr>
        <w:rFonts w:hint="default"/>
        <w:lang w:val="en-US" w:eastAsia="en-US" w:bidi="ar-SA"/>
      </w:rPr>
    </w:lvl>
    <w:lvl w:ilvl="5" w:tplc="540244DA">
      <w:numFmt w:val="bullet"/>
      <w:lvlText w:val="•"/>
      <w:lvlJc w:val="left"/>
      <w:pPr>
        <w:ind w:left="5818" w:hanging="567"/>
      </w:pPr>
      <w:rPr>
        <w:rFonts w:hint="default"/>
        <w:lang w:val="en-US" w:eastAsia="en-US" w:bidi="ar-SA"/>
      </w:rPr>
    </w:lvl>
    <w:lvl w:ilvl="6" w:tplc="C5109EF2">
      <w:numFmt w:val="bullet"/>
      <w:lvlText w:val="•"/>
      <w:lvlJc w:val="left"/>
      <w:pPr>
        <w:ind w:left="6528" w:hanging="567"/>
      </w:pPr>
      <w:rPr>
        <w:rFonts w:hint="default"/>
        <w:lang w:val="en-US" w:eastAsia="en-US" w:bidi="ar-SA"/>
      </w:rPr>
    </w:lvl>
    <w:lvl w:ilvl="7" w:tplc="3182A6C0">
      <w:numFmt w:val="bullet"/>
      <w:lvlText w:val="•"/>
      <w:lvlJc w:val="left"/>
      <w:pPr>
        <w:ind w:left="7237" w:hanging="567"/>
      </w:pPr>
      <w:rPr>
        <w:rFonts w:hint="default"/>
        <w:lang w:val="en-US" w:eastAsia="en-US" w:bidi="ar-SA"/>
      </w:rPr>
    </w:lvl>
    <w:lvl w:ilvl="8" w:tplc="B122F0F6">
      <w:numFmt w:val="bullet"/>
      <w:lvlText w:val="•"/>
      <w:lvlJc w:val="left"/>
      <w:pPr>
        <w:ind w:left="7947" w:hanging="567"/>
      </w:pPr>
      <w:rPr>
        <w:rFonts w:hint="default"/>
        <w:lang w:val="en-US" w:eastAsia="en-US" w:bidi="ar-SA"/>
      </w:rPr>
    </w:lvl>
  </w:abstractNum>
  <w:abstractNum w:abstractNumId="420" w15:restartNumberingAfterBreak="0">
    <w:nsid w:val="70A77F6D"/>
    <w:multiLevelType w:val="hybridMultilevel"/>
    <w:tmpl w:val="3C283384"/>
    <w:lvl w:ilvl="0" w:tplc="BDE6A754">
      <w:start w:val="1"/>
      <w:numFmt w:val="lowerRoman"/>
      <w:lvlText w:val="(%1)"/>
      <w:lvlJc w:val="left"/>
      <w:pPr>
        <w:ind w:left="2408" w:hanging="567"/>
      </w:pPr>
      <w:rPr>
        <w:rFonts w:ascii="Arial" w:eastAsia="Calibri" w:hAnsi="Arial" w:cs="Arial" w:hint="default"/>
        <w:spacing w:val="-1"/>
        <w:w w:val="100"/>
        <w:sz w:val="20"/>
        <w:szCs w:val="22"/>
        <w:lang w:val="en-US" w:eastAsia="en-US" w:bidi="ar-SA"/>
      </w:rPr>
    </w:lvl>
    <w:lvl w:ilvl="1" w:tplc="80F012B0">
      <w:numFmt w:val="bullet"/>
      <w:lvlText w:val="•"/>
      <w:lvlJc w:val="left"/>
      <w:pPr>
        <w:ind w:left="3096" w:hanging="567"/>
      </w:pPr>
      <w:rPr>
        <w:rFonts w:hint="default"/>
        <w:lang w:val="en-US" w:eastAsia="en-US" w:bidi="ar-SA"/>
      </w:rPr>
    </w:lvl>
    <w:lvl w:ilvl="2" w:tplc="6AEC4E3A">
      <w:numFmt w:val="bullet"/>
      <w:lvlText w:val="•"/>
      <w:lvlJc w:val="left"/>
      <w:pPr>
        <w:ind w:left="3793" w:hanging="567"/>
      </w:pPr>
      <w:rPr>
        <w:rFonts w:hint="default"/>
        <w:lang w:val="en-US" w:eastAsia="en-US" w:bidi="ar-SA"/>
      </w:rPr>
    </w:lvl>
    <w:lvl w:ilvl="3" w:tplc="7ADCDF38">
      <w:numFmt w:val="bullet"/>
      <w:lvlText w:val="•"/>
      <w:lvlJc w:val="left"/>
      <w:pPr>
        <w:ind w:left="4489" w:hanging="567"/>
      </w:pPr>
      <w:rPr>
        <w:rFonts w:hint="default"/>
        <w:lang w:val="en-US" w:eastAsia="en-US" w:bidi="ar-SA"/>
      </w:rPr>
    </w:lvl>
    <w:lvl w:ilvl="4" w:tplc="E182FA9E">
      <w:numFmt w:val="bullet"/>
      <w:lvlText w:val="•"/>
      <w:lvlJc w:val="left"/>
      <w:pPr>
        <w:ind w:left="5186" w:hanging="567"/>
      </w:pPr>
      <w:rPr>
        <w:rFonts w:hint="default"/>
        <w:lang w:val="en-US" w:eastAsia="en-US" w:bidi="ar-SA"/>
      </w:rPr>
    </w:lvl>
    <w:lvl w:ilvl="5" w:tplc="126E54FA">
      <w:numFmt w:val="bullet"/>
      <w:lvlText w:val="•"/>
      <w:lvlJc w:val="left"/>
      <w:pPr>
        <w:ind w:left="5883" w:hanging="567"/>
      </w:pPr>
      <w:rPr>
        <w:rFonts w:hint="default"/>
        <w:lang w:val="en-US" w:eastAsia="en-US" w:bidi="ar-SA"/>
      </w:rPr>
    </w:lvl>
    <w:lvl w:ilvl="6" w:tplc="4AE20F80">
      <w:numFmt w:val="bullet"/>
      <w:lvlText w:val="•"/>
      <w:lvlJc w:val="left"/>
      <w:pPr>
        <w:ind w:left="6579" w:hanging="567"/>
      </w:pPr>
      <w:rPr>
        <w:rFonts w:hint="default"/>
        <w:lang w:val="en-US" w:eastAsia="en-US" w:bidi="ar-SA"/>
      </w:rPr>
    </w:lvl>
    <w:lvl w:ilvl="7" w:tplc="0C406ED4">
      <w:numFmt w:val="bullet"/>
      <w:lvlText w:val="•"/>
      <w:lvlJc w:val="left"/>
      <w:pPr>
        <w:ind w:left="7276" w:hanging="567"/>
      </w:pPr>
      <w:rPr>
        <w:rFonts w:hint="default"/>
        <w:lang w:val="en-US" w:eastAsia="en-US" w:bidi="ar-SA"/>
      </w:rPr>
    </w:lvl>
    <w:lvl w:ilvl="8" w:tplc="1310AEDC">
      <w:numFmt w:val="bullet"/>
      <w:lvlText w:val="•"/>
      <w:lvlJc w:val="left"/>
      <w:pPr>
        <w:ind w:left="7973" w:hanging="567"/>
      </w:pPr>
      <w:rPr>
        <w:rFonts w:hint="default"/>
        <w:lang w:val="en-US" w:eastAsia="en-US" w:bidi="ar-SA"/>
      </w:rPr>
    </w:lvl>
  </w:abstractNum>
  <w:abstractNum w:abstractNumId="421" w15:restartNumberingAfterBreak="0">
    <w:nsid w:val="70D14CEA"/>
    <w:multiLevelType w:val="hybridMultilevel"/>
    <w:tmpl w:val="461AE424"/>
    <w:lvl w:ilvl="0" w:tplc="CD80582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ADC655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1B2266EE">
      <w:numFmt w:val="bullet"/>
      <w:lvlText w:val="•"/>
      <w:lvlJc w:val="left"/>
      <w:pPr>
        <w:ind w:left="2178" w:hanging="567"/>
      </w:pPr>
      <w:rPr>
        <w:lang w:val="en-US" w:eastAsia="en-US" w:bidi="ar-SA"/>
      </w:rPr>
    </w:lvl>
    <w:lvl w:ilvl="3" w:tplc="45BE0660">
      <w:numFmt w:val="bullet"/>
      <w:lvlText w:val="•"/>
      <w:lvlJc w:val="left"/>
      <w:pPr>
        <w:ind w:left="3076" w:hanging="567"/>
      </w:pPr>
      <w:rPr>
        <w:lang w:val="en-US" w:eastAsia="en-US" w:bidi="ar-SA"/>
      </w:rPr>
    </w:lvl>
    <w:lvl w:ilvl="4" w:tplc="EF4E30C8">
      <w:numFmt w:val="bullet"/>
      <w:lvlText w:val="•"/>
      <w:lvlJc w:val="left"/>
      <w:pPr>
        <w:ind w:left="3975" w:hanging="567"/>
      </w:pPr>
      <w:rPr>
        <w:lang w:val="en-US" w:eastAsia="en-US" w:bidi="ar-SA"/>
      </w:rPr>
    </w:lvl>
    <w:lvl w:ilvl="5" w:tplc="E8CECEAA">
      <w:numFmt w:val="bullet"/>
      <w:lvlText w:val="•"/>
      <w:lvlJc w:val="left"/>
      <w:pPr>
        <w:ind w:left="4873" w:hanging="567"/>
      </w:pPr>
      <w:rPr>
        <w:lang w:val="en-US" w:eastAsia="en-US" w:bidi="ar-SA"/>
      </w:rPr>
    </w:lvl>
    <w:lvl w:ilvl="6" w:tplc="D8024D6C">
      <w:numFmt w:val="bullet"/>
      <w:lvlText w:val="•"/>
      <w:lvlJc w:val="left"/>
      <w:pPr>
        <w:ind w:left="5772" w:hanging="567"/>
      </w:pPr>
      <w:rPr>
        <w:lang w:val="en-US" w:eastAsia="en-US" w:bidi="ar-SA"/>
      </w:rPr>
    </w:lvl>
    <w:lvl w:ilvl="7" w:tplc="7E1A1F06">
      <w:numFmt w:val="bullet"/>
      <w:lvlText w:val="•"/>
      <w:lvlJc w:val="left"/>
      <w:pPr>
        <w:ind w:left="6670" w:hanging="567"/>
      </w:pPr>
      <w:rPr>
        <w:lang w:val="en-US" w:eastAsia="en-US" w:bidi="ar-SA"/>
      </w:rPr>
    </w:lvl>
    <w:lvl w:ilvl="8" w:tplc="78D2843C">
      <w:numFmt w:val="bullet"/>
      <w:lvlText w:val="•"/>
      <w:lvlJc w:val="left"/>
      <w:pPr>
        <w:ind w:left="7569" w:hanging="567"/>
      </w:pPr>
      <w:rPr>
        <w:lang w:val="en-US" w:eastAsia="en-US" w:bidi="ar-SA"/>
      </w:rPr>
    </w:lvl>
  </w:abstractNum>
  <w:abstractNum w:abstractNumId="422" w15:restartNumberingAfterBreak="0">
    <w:nsid w:val="716C1BC0"/>
    <w:multiLevelType w:val="hybridMultilevel"/>
    <w:tmpl w:val="A240FC6E"/>
    <w:lvl w:ilvl="0" w:tplc="3F421FE4">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D45684F2">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F6FA870C">
      <w:start w:val="1"/>
      <w:numFmt w:val="lowerRoman"/>
      <w:lvlText w:val="(%3)"/>
      <w:lvlJc w:val="left"/>
      <w:pPr>
        <w:ind w:left="1842" w:hanging="569"/>
      </w:pPr>
      <w:rPr>
        <w:rFonts w:ascii="Arial" w:eastAsia="Calibri" w:hAnsi="Arial" w:cs="Arial" w:hint="default"/>
        <w:spacing w:val="-1"/>
        <w:w w:val="100"/>
        <w:sz w:val="20"/>
        <w:szCs w:val="22"/>
        <w:lang w:val="en-US" w:eastAsia="en-US" w:bidi="ar-SA"/>
      </w:rPr>
    </w:lvl>
    <w:lvl w:ilvl="3" w:tplc="B21C61EC">
      <w:start w:val="1"/>
      <w:numFmt w:val="upperLetter"/>
      <w:lvlText w:val="(%4)"/>
      <w:lvlJc w:val="left"/>
      <w:pPr>
        <w:ind w:left="2408" w:hanging="567"/>
      </w:pPr>
      <w:rPr>
        <w:rFonts w:ascii="Arial" w:eastAsia="Calibri" w:hAnsi="Arial" w:cs="Arial" w:hint="default"/>
        <w:spacing w:val="-1"/>
        <w:w w:val="100"/>
        <w:sz w:val="20"/>
        <w:szCs w:val="20"/>
        <w:lang w:val="en-US" w:eastAsia="en-US" w:bidi="ar-SA"/>
      </w:rPr>
    </w:lvl>
    <w:lvl w:ilvl="4" w:tplc="F5D0D662">
      <w:numFmt w:val="bullet"/>
      <w:lvlText w:val="•"/>
      <w:lvlJc w:val="left"/>
      <w:pPr>
        <w:ind w:left="3395" w:hanging="567"/>
      </w:pPr>
      <w:rPr>
        <w:rFonts w:hint="default"/>
        <w:lang w:val="en-US" w:eastAsia="en-US" w:bidi="ar-SA"/>
      </w:rPr>
    </w:lvl>
    <w:lvl w:ilvl="5" w:tplc="20F0F6C2">
      <w:numFmt w:val="bullet"/>
      <w:lvlText w:val="•"/>
      <w:lvlJc w:val="left"/>
      <w:pPr>
        <w:ind w:left="4390" w:hanging="567"/>
      </w:pPr>
      <w:rPr>
        <w:rFonts w:hint="default"/>
        <w:lang w:val="en-US" w:eastAsia="en-US" w:bidi="ar-SA"/>
      </w:rPr>
    </w:lvl>
    <w:lvl w:ilvl="6" w:tplc="17C2C8AE">
      <w:numFmt w:val="bullet"/>
      <w:lvlText w:val="•"/>
      <w:lvlJc w:val="left"/>
      <w:pPr>
        <w:ind w:left="5385" w:hanging="567"/>
      </w:pPr>
      <w:rPr>
        <w:rFonts w:hint="default"/>
        <w:lang w:val="en-US" w:eastAsia="en-US" w:bidi="ar-SA"/>
      </w:rPr>
    </w:lvl>
    <w:lvl w:ilvl="7" w:tplc="37180686">
      <w:numFmt w:val="bullet"/>
      <w:lvlText w:val="•"/>
      <w:lvlJc w:val="left"/>
      <w:pPr>
        <w:ind w:left="6380" w:hanging="567"/>
      </w:pPr>
      <w:rPr>
        <w:rFonts w:hint="default"/>
        <w:lang w:val="en-US" w:eastAsia="en-US" w:bidi="ar-SA"/>
      </w:rPr>
    </w:lvl>
    <w:lvl w:ilvl="8" w:tplc="B4C6BB60">
      <w:numFmt w:val="bullet"/>
      <w:lvlText w:val="•"/>
      <w:lvlJc w:val="left"/>
      <w:pPr>
        <w:ind w:left="7376" w:hanging="567"/>
      </w:pPr>
      <w:rPr>
        <w:rFonts w:hint="default"/>
        <w:lang w:val="en-US" w:eastAsia="en-US" w:bidi="ar-SA"/>
      </w:rPr>
    </w:lvl>
  </w:abstractNum>
  <w:abstractNum w:abstractNumId="423" w15:restartNumberingAfterBreak="0">
    <w:nsid w:val="71714BE7"/>
    <w:multiLevelType w:val="hybridMultilevel"/>
    <w:tmpl w:val="7CA2C8FC"/>
    <w:lvl w:ilvl="0" w:tplc="04C0A974">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53A8C5D2">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2CB0B972">
      <w:numFmt w:val="bullet"/>
      <w:lvlText w:val="•"/>
      <w:lvlJc w:val="left"/>
      <w:pPr>
        <w:ind w:left="2178" w:hanging="567"/>
      </w:pPr>
      <w:rPr>
        <w:rFonts w:hint="default"/>
        <w:lang w:val="en-US" w:eastAsia="en-US" w:bidi="ar-SA"/>
      </w:rPr>
    </w:lvl>
    <w:lvl w:ilvl="3" w:tplc="01C4FE90">
      <w:numFmt w:val="bullet"/>
      <w:lvlText w:val="•"/>
      <w:lvlJc w:val="left"/>
      <w:pPr>
        <w:ind w:left="3076" w:hanging="567"/>
      </w:pPr>
      <w:rPr>
        <w:rFonts w:hint="default"/>
        <w:lang w:val="en-US" w:eastAsia="en-US" w:bidi="ar-SA"/>
      </w:rPr>
    </w:lvl>
    <w:lvl w:ilvl="4" w:tplc="A7946ED0">
      <w:numFmt w:val="bullet"/>
      <w:lvlText w:val="•"/>
      <w:lvlJc w:val="left"/>
      <w:pPr>
        <w:ind w:left="3975" w:hanging="567"/>
      </w:pPr>
      <w:rPr>
        <w:rFonts w:hint="default"/>
        <w:lang w:val="en-US" w:eastAsia="en-US" w:bidi="ar-SA"/>
      </w:rPr>
    </w:lvl>
    <w:lvl w:ilvl="5" w:tplc="7B7262CC">
      <w:numFmt w:val="bullet"/>
      <w:lvlText w:val="•"/>
      <w:lvlJc w:val="left"/>
      <w:pPr>
        <w:ind w:left="4873" w:hanging="567"/>
      </w:pPr>
      <w:rPr>
        <w:rFonts w:hint="default"/>
        <w:lang w:val="en-US" w:eastAsia="en-US" w:bidi="ar-SA"/>
      </w:rPr>
    </w:lvl>
    <w:lvl w:ilvl="6" w:tplc="C8805780">
      <w:numFmt w:val="bullet"/>
      <w:lvlText w:val="•"/>
      <w:lvlJc w:val="left"/>
      <w:pPr>
        <w:ind w:left="5772" w:hanging="567"/>
      </w:pPr>
      <w:rPr>
        <w:rFonts w:hint="default"/>
        <w:lang w:val="en-US" w:eastAsia="en-US" w:bidi="ar-SA"/>
      </w:rPr>
    </w:lvl>
    <w:lvl w:ilvl="7" w:tplc="1A2A3844">
      <w:numFmt w:val="bullet"/>
      <w:lvlText w:val="•"/>
      <w:lvlJc w:val="left"/>
      <w:pPr>
        <w:ind w:left="6670" w:hanging="567"/>
      </w:pPr>
      <w:rPr>
        <w:rFonts w:hint="default"/>
        <w:lang w:val="en-US" w:eastAsia="en-US" w:bidi="ar-SA"/>
      </w:rPr>
    </w:lvl>
    <w:lvl w:ilvl="8" w:tplc="D6180484">
      <w:numFmt w:val="bullet"/>
      <w:lvlText w:val="•"/>
      <w:lvlJc w:val="left"/>
      <w:pPr>
        <w:ind w:left="7569" w:hanging="567"/>
      </w:pPr>
      <w:rPr>
        <w:rFonts w:hint="default"/>
        <w:lang w:val="en-US" w:eastAsia="en-US" w:bidi="ar-SA"/>
      </w:rPr>
    </w:lvl>
  </w:abstractNum>
  <w:abstractNum w:abstractNumId="424" w15:restartNumberingAfterBreak="0">
    <w:nsid w:val="72B15178"/>
    <w:multiLevelType w:val="hybridMultilevel"/>
    <w:tmpl w:val="2D2AF6E2"/>
    <w:lvl w:ilvl="0" w:tplc="81B0DB78">
      <w:start w:val="1"/>
      <w:numFmt w:val="decimal"/>
      <w:lvlText w:val="(%1)"/>
      <w:lvlJc w:val="left"/>
      <w:pPr>
        <w:ind w:left="1273" w:hanging="567"/>
      </w:pPr>
      <w:rPr>
        <w:rFonts w:ascii="Arial" w:eastAsia="Calibri" w:hAnsi="Arial" w:cs="Arial" w:hint="default"/>
        <w:spacing w:val="-1"/>
        <w:w w:val="100"/>
        <w:sz w:val="20"/>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5" w15:restartNumberingAfterBreak="0">
    <w:nsid w:val="72D81C1B"/>
    <w:multiLevelType w:val="hybridMultilevel"/>
    <w:tmpl w:val="1FD8EEE0"/>
    <w:lvl w:ilvl="0" w:tplc="BF64D2EA">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49082552">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C01A1946">
      <w:numFmt w:val="bullet"/>
      <w:lvlText w:val="•"/>
      <w:lvlJc w:val="left"/>
      <w:pPr>
        <w:ind w:left="2178" w:hanging="567"/>
      </w:pPr>
      <w:rPr>
        <w:rFonts w:hint="default"/>
        <w:lang w:val="en-US" w:eastAsia="en-US" w:bidi="ar-SA"/>
      </w:rPr>
    </w:lvl>
    <w:lvl w:ilvl="3" w:tplc="F48A1AAC">
      <w:numFmt w:val="bullet"/>
      <w:lvlText w:val="•"/>
      <w:lvlJc w:val="left"/>
      <w:pPr>
        <w:ind w:left="3076" w:hanging="567"/>
      </w:pPr>
      <w:rPr>
        <w:rFonts w:hint="default"/>
        <w:lang w:val="en-US" w:eastAsia="en-US" w:bidi="ar-SA"/>
      </w:rPr>
    </w:lvl>
    <w:lvl w:ilvl="4" w:tplc="849A991A">
      <w:numFmt w:val="bullet"/>
      <w:lvlText w:val="•"/>
      <w:lvlJc w:val="left"/>
      <w:pPr>
        <w:ind w:left="3975" w:hanging="567"/>
      </w:pPr>
      <w:rPr>
        <w:rFonts w:hint="default"/>
        <w:lang w:val="en-US" w:eastAsia="en-US" w:bidi="ar-SA"/>
      </w:rPr>
    </w:lvl>
    <w:lvl w:ilvl="5" w:tplc="E6FCFD9C">
      <w:numFmt w:val="bullet"/>
      <w:lvlText w:val="•"/>
      <w:lvlJc w:val="left"/>
      <w:pPr>
        <w:ind w:left="4873" w:hanging="567"/>
      </w:pPr>
      <w:rPr>
        <w:rFonts w:hint="default"/>
        <w:lang w:val="en-US" w:eastAsia="en-US" w:bidi="ar-SA"/>
      </w:rPr>
    </w:lvl>
    <w:lvl w:ilvl="6" w:tplc="17324AF8">
      <w:numFmt w:val="bullet"/>
      <w:lvlText w:val="•"/>
      <w:lvlJc w:val="left"/>
      <w:pPr>
        <w:ind w:left="5772" w:hanging="567"/>
      </w:pPr>
      <w:rPr>
        <w:rFonts w:hint="default"/>
        <w:lang w:val="en-US" w:eastAsia="en-US" w:bidi="ar-SA"/>
      </w:rPr>
    </w:lvl>
    <w:lvl w:ilvl="7" w:tplc="6AC448B4">
      <w:numFmt w:val="bullet"/>
      <w:lvlText w:val="•"/>
      <w:lvlJc w:val="left"/>
      <w:pPr>
        <w:ind w:left="6670" w:hanging="567"/>
      </w:pPr>
      <w:rPr>
        <w:rFonts w:hint="default"/>
        <w:lang w:val="en-US" w:eastAsia="en-US" w:bidi="ar-SA"/>
      </w:rPr>
    </w:lvl>
    <w:lvl w:ilvl="8" w:tplc="A6BAB8FA">
      <w:numFmt w:val="bullet"/>
      <w:lvlText w:val="•"/>
      <w:lvlJc w:val="left"/>
      <w:pPr>
        <w:ind w:left="7569" w:hanging="567"/>
      </w:pPr>
      <w:rPr>
        <w:rFonts w:hint="default"/>
        <w:lang w:val="en-US" w:eastAsia="en-US" w:bidi="ar-SA"/>
      </w:rPr>
    </w:lvl>
  </w:abstractNum>
  <w:abstractNum w:abstractNumId="426" w15:restartNumberingAfterBreak="0">
    <w:nsid w:val="72E04C07"/>
    <w:multiLevelType w:val="hybridMultilevel"/>
    <w:tmpl w:val="F83812F6"/>
    <w:lvl w:ilvl="0" w:tplc="0A5EFB20">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B68C86D0">
      <w:start w:val="1"/>
      <w:numFmt w:val="decimal"/>
      <w:lvlText w:val="(%2)"/>
      <w:lvlJc w:val="left"/>
      <w:pPr>
        <w:ind w:left="1273" w:hanging="567"/>
      </w:pPr>
      <w:rPr>
        <w:rFonts w:ascii="Arial" w:eastAsia="Calibri" w:hAnsi="Arial" w:cs="Arial" w:hint="default"/>
        <w:w w:val="100"/>
        <w:sz w:val="20"/>
        <w:szCs w:val="22"/>
        <w:lang w:val="en-US" w:eastAsia="en-US" w:bidi="ar-SA"/>
      </w:rPr>
    </w:lvl>
    <w:lvl w:ilvl="2" w:tplc="AFFAA5EC">
      <w:numFmt w:val="bullet"/>
      <w:lvlText w:val="•"/>
      <w:lvlJc w:val="left"/>
      <w:pPr>
        <w:ind w:left="2178" w:hanging="567"/>
      </w:pPr>
      <w:rPr>
        <w:rFonts w:hint="default"/>
        <w:lang w:val="en-US" w:eastAsia="en-US" w:bidi="ar-SA"/>
      </w:rPr>
    </w:lvl>
    <w:lvl w:ilvl="3" w:tplc="D9EE00A6">
      <w:numFmt w:val="bullet"/>
      <w:lvlText w:val="•"/>
      <w:lvlJc w:val="left"/>
      <w:pPr>
        <w:ind w:left="3076" w:hanging="567"/>
      </w:pPr>
      <w:rPr>
        <w:rFonts w:hint="default"/>
        <w:lang w:val="en-US" w:eastAsia="en-US" w:bidi="ar-SA"/>
      </w:rPr>
    </w:lvl>
    <w:lvl w:ilvl="4" w:tplc="33C46BDA">
      <w:numFmt w:val="bullet"/>
      <w:lvlText w:val="•"/>
      <w:lvlJc w:val="left"/>
      <w:pPr>
        <w:ind w:left="3975" w:hanging="567"/>
      </w:pPr>
      <w:rPr>
        <w:rFonts w:hint="default"/>
        <w:lang w:val="en-US" w:eastAsia="en-US" w:bidi="ar-SA"/>
      </w:rPr>
    </w:lvl>
    <w:lvl w:ilvl="5" w:tplc="0F8A9E5A">
      <w:numFmt w:val="bullet"/>
      <w:lvlText w:val="•"/>
      <w:lvlJc w:val="left"/>
      <w:pPr>
        <w:ind w:left="4873" w:hanging="567"/>
      </w:pPr>
      <w:rPr>
        <w:rFonts w:hint="default"/>
        <w:lang w:val="en-US" w:eastAsia="en-US" w:bidi="ar-SA"/>
      </w:rPr>
    </w:lvl>
    <w:lvl w:ilvl="6" w:tplc="54281BC2">
      <w:numFmt w:val="bullet"/>
      <w:lvlText w:val="•"/>
      <w:lvlJc w:val="left"/>
      <w:pPr>
        <w:ind w:left="5772" w:hanging="567"/>
      </w:pPr>
      <w:rPr>
        <w:rFonts w:hint="default"/>
        <w:lang w:val="en-US" w:eastAsia="en-US" w:bidi="ar-SA"/>
      </w:rPr>
    </w:lvl>
    <w:lvl w:ilvl="7" w:tplc="491ACC48">
      <w:numFmt w:val="bullet"/>
      <w:lvlText w:val="•"/>
      <w:lvlJc w:val="left"/>
      <w:pPr>
        <w:ind w:left="6670" w:hanging="567"/>
      </w:pPr>
      <w:rPr>
        <w:rFonts w:hint="default"/>
        <w:lang w:val="en-US" w:eastAsia="en-US" w:bidi="ar-SA"/>
      </w:rPr>
    </w:lvl>
    <w:lvl w:ilvl="8" w:tplc="9C585404">
      <w:numFmt w:val="bullet"/>
      <w:lvlText w:val="•"/>
      <w:lvlJc w:val="left"/>
      <w:pPr>
        <w:ind w:left="7569" w:hanging="567"/>
      </w:pPr>
      <w:rPr>
        <w:rFonts w:hint="default"/>
        <w:lang w:val="en-US" w:eastAsia="en-US" w:bidi="ar-SA"/>
      </w:rPr>
    </w:lvl>
  </w:abstractNum>
  <w:abstractNum w:abstractNumId="427" w15:restartNumberingAfterBreak="0">
    <w:nsid w:val="73085161"/>
    <w:multiLevelType w:val="hybridMultilevel"/>
    <w:tmpl w:val="FB5A3FA6"/>
    <w:lvl w:ilvl="0" w:tplc="CD80582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ADC655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1B2266EE">
      <w:numFmt w:val="bullet"/>
      <w:lvlText w:val="•"/>
      <w:lvlJc w:val="left"/>
      <w:pPr>
        <w:ind w:left="2178" w:hanging="567"/>
      </w:pPr>
      <w:rPr>
        <w:lang w:val="en-US" w:eastAsia="en-US" w:bidi="ar-SA"/>
      </w:rPr>
    </w:lvl>
    <w:lvl w:ilvl="3" w:tplc="45BE0660">
      <w:numFmt w:val="bullet"/>
      <w:lvlText w:val="•"/>
      <w:lvlJc w:val="left"/>
      <w:pPr>
        <w:ind w:left="3076" w:hanging="567"/>
      </w:pPr>
      <w:rPr>
        <w:lang w:val="en-US" w:eastAsia="en-US" w:bidi="ar-SA"/>
      </w:rPr>
    </w:lvl>
    <w:lvl w:ilvl="4" w:tplc="EF4E30C8">
      <w:numFmt w:val="bullet"/>
      <w:lvlText w:val="•"/>
      <w:lvlJc w:val="left"/>
      <w:pPr>
        <w:ind w:left="3975" w:hanging="567"/>
      </w:pPr>
      <w:rPr>
        <w:lang w:val="en-US" w:eastAsia="en-US" w:bidi="ar-SA"/>
      </w:rPr>
    </w:lvl>
    <w:lvl w:ilvl="5" w:tplc="E8CECEAA">
      <w:numFmt w:val="bullet"/>
      <w:lvlText w:val="•"/>
      <w:lvlJc w:val="left"/>
      <w:pPr>
        <w:ind w:left="4873" w:hanging="567"/>
      </w:pPr>
      <w:rPr>
        <w:lang w:val="en-US" w:eastAsia="en-US" w:bidi="ar-SA"/>
      </w:rPr>
    </w:lvl>
    <w:lvl w:ilvl="6" w:tplc="D8024D6C">
      <w:numFmt w:val="bullet"/>
      <w:lvlText w:val="•"/>
      <w:lvlJc w:val="left"/>
      <w:pPr>
        <w:ind w:left="5772" w:hanging="567"/>
      </w:pPr>
      <w:rPr>
        <w:lang w:val="en-US" w:eastAsia="en-US" w:bidi="ar-SA"/>
      </w:rPr>
    </w:lvl>
    <w:lvl w:ilvl="7" w:tplc="7E1A1F06">
      <w:numFmt w:val="bullet"/>
      <w:lvlText w:val="•"/>
      <w:lvlJc w:val="left"/>
      <w:pPr>
        <w:ind w:left="6670" w:hanging="567"/>
      </w:pPr>
      <w:rPr>
        <w:lang w:val="en-US" w:eastAsia="en-US" w:bidi="ar-SA"/>
      </w:rPr>
    </w:lvl>
    <w:lvl w:ilvl="8" w:tplc="78D2843C">
      <w:numFmt w:val="bullet"/>
      <w:lvlText w:val="•"/>
      <w:lvlJc w:val="left"/>
      <w:pPr>
        <w:ind w:left="7569" w:hanging="567"/>
      </w:pPr>
      <w:rPr>
        <w:lang w:val="en-US" w:eastAsia="en-US" w:bidi="ar-SA"/>
      </w:rPr>
    </w:lvl>
  </w:abstractNum>
  <w:abstractNum w:abstractNumId="428" w15:restartNumberingAfterBreak="0">
    <w:nsid w:val="730C5984"/>
    <w:multiLevelType w:val="hybridMultilevel"/>
    <w:tmpl w:val="6CA8DBEA"/>
    <w:lvl w:ilvl="0" w:tplc="0924E53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2D822942">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36A843A4">
      <w:numFmt w:val="bullet"/>
      <w:lvlText w:val="•"/>
      <w:lvlJc w:val="left"/>
      <w:pPr>
        <w:ind w:left="2178" w:hanging="567"/>
      </w:pPr>
      <w:rPr>
        <w:rFonts w:hint="default"/>
        <w:lang w:val="en-US" w:eastAsia="en-US" w:bidi="ar-SA"/>
      </w:rPr>
    </w:lvl>
    <w:lvl w:ilvl="3" w:tplc="516C31B6">
      <w:numFmt w:val="bullet"/>
      <w:lvlText w:val="•"/>
      <w:lvlJc w:val="left"/>
      <w:pPr>
        <w:ind w:left="3076" w:hanging="567"/>
      </w:pPr>
      <w:rPr>
        <w:rFonts w:hint="default"/>
        <w:lang w:val="en-US" w:eastAsia="en-US" w:bidi="ar-SA"/>
      </w:rPr>
    </w:lvl>
    <w:lvl w:ilvl="4" w:tplc="5B0EB550">
      <w:numFmt w:val="bullet"/>
      <w:lvlText w:val="•"/>
      <w:lvlJc w:val="left"/>
      <w:pPr>
        <w:ind w:left="3975" w:hanging="567"/>
      </w:pPr>
      <w:rPr>
        <w:rFonts w:hint="default"/>
        <w:lang w:val="en-US" w:eastAsia="en-US" w:bidi="ar-SA"/>
      </w:rPr>
    </w:lvl>
    <w:lvl w:ilvl="5" w:tplc="50A66832">
      <w:numFmt w:val="bullet"/>
      <w:lvlText w:val="•"/>
      <w:lvlJc w:val="left"/>
      <w:pPr>
        <w:ind w:left="4873" w:hanging="567"/>
      </w:pPr>
      <w:rPr>
        <w:rFonts w:hint="default"/>
        <w:lang w:val="en-US" w:eastAsia="en-US" w:bidi="ar-SA"/>
      </w:rPr>
    </w:lvl>
    <w:lvl w:ilvl="6" w:tplc="A67A3A40">
      <w:numFmt w:val="bullet"/>
      <w:lvlText w:val="•"/>
      <w:lvlJc w:val="left"/>
      <w:pPr>
        <w:ind w:left="5772" w:hanging="567"/>
      </w:pPr>
      <w:rPr>
        <w:rFonts w:hint="default"/>
        <w:lang w:val="en-US" w:eastAsia="en-US" w:bidi="ar-SA"/>
      </w:rPr>
    </w:lvl>
    <w:lvl w:ilvl="7" w:tplc="32EE4920">
      <w:numFmt w:val="bullet"/>
      <w:lvlText w:val="•"/>
      <w:lvlJc w:val="left"/>
      <w:pPr>
        <w:ind w:left="6670" w:hanging="567"/>
      </w:pPr>
      <w:rPr>
        <w:rFonts w:hint="default"/>
        <w:lang w:val="en-US" w:eastAsia="en-US" w:bidi="ar-SA"/>
      </w:rPr>
    </w:lvl>
    <w:lvl w:ilvl="8" w:tplc="C0D67404">
      <w:numFmt w:val="bullet"/>
      <w:lvlText w:val="•"/>
      <w:lvlJc w:val="left"/>
      <w:pPr>
        <w:ind w:left="7569" w:hanging="567"/>
      </w:pPr>
      <w:rPr>
        <w:rFonts w:hint="default"/>
        <w:lang w:val="en-US" w:eastAsia="en-US" w:bidi="ar-SA"/>
      </w:rPr>
    </w:lvl>
  </w:abstractNum>
  <w:abstractNum w:abstractNumId="429" w15:restartNumberingAfterBreak="0">
    <w:nsid w:val="73210479"/>
    <w:multiLevelType w:val="hybridMultilevel"/>
    <w:tmpl w:val="7A6033B6"/>
    <w:lvl w:ilvl="0" w:tplc="3F2E25BE">
      <w:start w:val="1"/>
      <w:numFmt w:val="decimal"/>
      <w:lvlText w:val="(%1)"/>
      <w:lvlJc w:val="left"/>
      <w:pPr>
        <w:ind w:left="1273" w:hanging="567"/>
      </w:pPr>
      <w:rPr>
        <w:rFonts w:ascii="Arial" w:eastAsia="Calibri" w:hAnsi="Arial" w:cs="Arial" w:hint="default"/>
        <w:spacing w:val="-1"/>
        <w:w w:val="100"/>
        <w:sz w:val="20"/>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0" w15:restartNumberingAfterBreak="0">
    <w:nsid w:val="737B0EA8"/>
    <w:multiLevelType w:val="hybridMultilevel"/>
    <w:tmpl w:val="BDE2FAA4"/>
    <w:lvl w:ilvl="0" w:tplc="3CFE5810">
      <w:start w:val="1"/>
      <w:numFmt w:val="lowerLetter"/>
      <w:lvlText w:val="(%1)"/>
      <w:lvlJc w:val="left"/>
      <w:pPr>
        <w:ind w:left="2408" w:hanging="567"/>
      </w:pPr>
      <w:rPr>
        <w:rFonts w:ascii="Arial" w:eastAsia="Calibri" w:hAnsi="Arial" w:cs="Arial" w:hint="default"/>
        <w:spacing w:val="-1"/>
        <w:w w:val="100"/>
        <w:sz w:val="20"/>
        <w:szCs w:val="22"/>
        <w:lang w:val="en-US" w:eastAsia="en-US" w:bidi="ar-SA"/>
      </w:rPr>
    </w:lvl>
    <w:lvl w:ilvl="1" w:tplc="2412186E">
      <w:start w:val="1"/>
      <w:numFmt w:val="decimal"/>
      <w:lvlText w:val="(%2)"/>
      <w:lvlJc w:val="left"/>
      <w:pPr>
        <w:ind w:left="2975" w:hanging="567"/>
      </w:pPr>
      <w:rPr>
        <w:rFonts w:ascii="Arial" w:eastAsia="Calibri" w:hAnsi="Arial" w:cs="Arial" w:hint="default"/>
        <w:spacing w:val="-1"/>
        <w:w w:val="100"/>
        <w:sz w:val="20"/>
        <w:szCs w:val="22"/>
        <w:lang w:val="en-US" w:eastAsia="en-US" w:bidi="ar-SA"/>
      </w:rPr>
    </w:lvl>
    <w:lvl w:ilvl="2" w:tplc="4F307C16">
      <w:numFmt w:val="bullet"/>
      <w:lvlText w:val="•"/>
      <w:lvlJc w:val="left"/>
      <w:pPr>
        <w:ind w:left="3689" w:hanging="567"/>
      </w:pPr>
      <w:rPr>
        <w:rFonts w:hint="default"/>
        <w:lang w:val="en-US" w:eastAsia="en-US" w:bidi="ar-SA"/>
      </w:rPr>
    </w:lvl>
    <w:lvl w:ilvl="3" w:tplc="DAD6D880">
      <w:numFmt w:val="bullet"/>
      <w:lvlText w:val="•"/>
      <w:lvlJc w:val="left"/>
      <w:pPr>
        <w:ind w:left="4399" w:hanging="567"/>
      </w:pPr>
      <w:rPr>
        <w:rFonts w:hint="default"/>
        <w:lang w:val="en-US" w:eastAsia="en-US" w:bidi="ar-SA"/>
      </w:rPr>
    </w:lvl>
    <w:lvl w:ilvl="4" w:tplc="3EE8D614">
      <w:numFmt w:val="bullet"/>
      <w:lvlText w:val="•"/>
      <w:lvlJc w:val="left"/>
      <w:pPr>
        <w:ind w:left="5108" w:hanging="567"/>
      </w:pPr>
      <w:rPr>
        <w:rFonts w:hint="default"/>
        <w:lang w:val="en-US" w:eastAsia="en-US" w:bidi="ar-SA"/>
      </w:rPr>
    </w:lvl>
    <w:lvl w:ilvl="5" w:tplc="6562EB7E">
      <w:numFmt w:val="bullet"/>
      <w:lvlText w:val="•"/>
      <w:lvlJc w:val="left"/>
      <w:pPr>
        <w:ind w:left="5818" w:hanging="567"/>
      </w:pPr>
      <w:rPr>
        <w:rFonts w:hint="default"/>
        <w:lang w:val="en-US" w:eastAsia="en-US" w:bidi="ar-SA"/>
      </w:rPr>
    </w:lvl>
    <w:lvl w:ilvl="6" w:tplc="F5DCA452">
      <w:numFmt w:val="bullet"/>
      <w:lvlText w:val="•"/>
      <w:lvlJc w:val="left"/>
      <w:pPr>
        <w:ind w:left="6528" w:hanging="567"/>
      </w:pPr>
      <w:rPr>
        <w:rFonts w:hint="default"/>
        <w:lang w:val="en-US" w:eastAsia="en-US" w:bidi="ar-SA"/>
      </w:rPr>
    </w:lvl>
    <w:lvl w:ilvl="7" w:tplc="7576A538">
      <w:numFmt w:val="bullet"/>
      <w:lvlText w:val="•"/>
      <w:lvlJc w:val="left"/>
      <w:pPr>
        <w:ind w:left="7237" w:hanging="567"/>
      </w:pPr>
      <w:rPr>
        <w:rFonts w:hint="default"/>
        <w:lang w:val="en-US" w:eastAsia="en-US" w:bidi="ar-SA"/>
      </w:rPr>
    </w:lvl>
    <w:lvl w:ilvl="8" w:tplc="EA240C62">
      <w:numFmt w:val="bullet"/>
      <w:lvlText w:val="•"/>
      <w:lvlJc w:val="left"/>
      <w:pPr>
        <w:ind w:left="7947" w:hanging="567"/>
      </w:pPr>
      <w:rPr>
        <w:rFonts w:hint="default"/>
        <w:lang w:val="en-US" w:eastAsia="en-US" w:bidi="ar-SA"/>
      </w:rPr>
    </w:lvl>
  </w:abstractNum>
  <w:abstractNum w:abstractNumId="431" w15:restartNumberingAfterBreak="0">
    <w:nsid w:val="739620F9"/>
    <w:multiLevelType w:val="hybridMultilevel"/>
    <w:tmpl w:val="9F1EAF8C"/>
    <w:lvl w:ilvl="0" w:tplc="11C0652A">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4DC843F6">
      <w:numFmt w:val="bullet"/>
      <w:lvlText w:val="•"/>
      <w:lvlJc w:val="left"/>
      <w:pPr>
        <w:ind w:left="1566" w:hanging="567"/>
      </w:pPr>
      <w:rPr>
        <w:rFonts w:hint="default"/>
        <w:lang w:val="en-US" w:eastAsia="en-US" w:bidi="ar-SA"/>
      </w:rPr>
    </w:lvl>
    <w:lvl w:ilvl="2" w:tplc="8520AC7C">
      <w:numFmt w:val="bullet"/>
      <w:lvlText w:val="•"/>
      <w:lvlJc w:val="left"/>
      <w:pPr>
        <w:ind w:left="2433" w:hanging="567"/>
      </w:pPr>
      <w:rPr>
        <w:rFonts w:hint="default"/>
        <w:lang w:val="en-US" w:eastAsia="en-US" w:bidi="ar-SA"/>
      </w:rPr>
    </w:lvl>
    <w:lvl w:ilvl="3" w:tplc="9D44E036">
      <w:numFmt w:val="bullet"/>
      <w:lvlText w:val="•"/>
      <w:lvlJc w:val="left"/>
      <w:pPr>
        <w:ind w:left="3299" w:hanging="567"/>
      </w:pPr>
      <w:rPr>
        <w:rFonts w:hint="default"/>
        <w:lang w:val="en-US" w:eastAsia="en-US" w:bidi="ar-SA"/>
      </w:rPr>
    </w:lvl>
    <w:lvl w:ilvl="4" w:tplc="38CAEF62">
      <w:numFmt w:val="bullet"/>
      <w:lvlText w:val="•"/>
      <w:lvlJc w:val="left"/>
      <w:pPr>
        <w:ind w:left="4166" w:hanging="567"/>
      </w:pPr>
      <w:rPr>
        <w:rFonts w:hint="default"/>
        <w:lang w:val="en-US" w:eastAsia="en-US" w:bidi="ar-SA"/>
      </w:rPr>
    </w:lvl>
    <w:lvl w:ilvl="5" w:tplc="38ACB102">
      <w:numFmt w:val="bullet"/>
      <w:lvlText w:val="•"/>
      <w:lvlJc w:val="left"/>
      <w:pPr>
        <w:ind w:left="5033" w:hanging="567"/>
      </w:pPr>
      <w:rPr>
        <w:rFonts w:hint="default"/>
        <w:lang w:val="en-US" w:eastAsia="en-US" w:bidi="ar-SA"/>
      </w:rPr>
    </w:lvl>
    <w:lvl w:ilvl="6" w:tplc="37DC3C0C">
      <w:numFmt w:val="bullet"/>
      <w:lvlText w:val="•"/>
      <w:lvlJc w:val="left"/>
      <w:pPr>
        <w:ind w:left="5899" w:hanging="567"/>
      </w:pPr>
      <w:rPr>
        <w:rFonts w:hint="default"/>
        <w:lang w:val="en-US" w:eastAsia="en-US" w:bidi="ar-SA"/>
      </w:rPr>
    </w:lvl>
    <w:lvl w:ilvl="7" w:tplc="17D22926">
      <w:numFmt w:val="bullet"/>
      <w:lvlText w:val="•"/>
      <w:lvlJc w:val="left"/>
      <w:pPr>
        <w:ind w:left="6766" w:hanging="567"/>
      </w:pPr>
      <w:rPr>
        <w:rFonts w:hint="default"/>
        <w:lang w:val="en-US" w:eastAsia="en-US" w:bidi="ar-SA"/>
      </w:rPr>
    </w:lvl>
    <w:lvl w:ilvl="8" w:tplc="00E0DC66">
      <w:numFmt w:val="bullet"/>
      <w:lvlText w:val="•"/>
      <w:lvlJc w:val="left"/>
      <w:pPr>
        <w:ind w:left="7633" w:hanging="567"/>
      </w:pPr>
      <w:rPr>
        <w:rFonts w:hint="default"/>
        <w:lang w:val="en-US" w:eastAsia="en-US" w:bidi="ar-SA"/>
      </w:rPr>
    </w:lvl>
  </w:abstractNum>
  <w:abstractNum w:abstractNumId="432" w15:restartNumberingAfterBreak="0">
    <w:nsid w:val="740B29B2"/>
    <w:multiLevelType w:val="hybridMultilevel"/>
    <w:tmpl w:val="F9083D72"/>
    <w:lvl w:ilvl="0" w:tplc="65F87A58">
      <w:start w:val="1"/>
      <w:numFmt w:val="lowerLetter"/>
      <w:lvlText w:val="(%1)"/>
      <w:lvlJc w:val="left"/>
      <w:pPr>
        <w:ind w:left="2408" w:hanging="567"/>
      </w:pPr>
      <w:rPr>
        <w:rFonts w:ascii="Arial" w:eastAsia="Calibri" w:hAnsi="Arial" w:cs="Arial" w:hint="default"/>
        <w:spacing w:val="-1"/>
        <w:w w:val="100"/>
        <w:sz w:val="20"/>
        <w:szCs w:val="22"/>
        <w:lang w:val="en-US" w:eastAsia="en-US" w:bidi="ar-SA"/>
      </w:rPr>
    </w:lvl>
    <w:lvl w:ilvl="1" w:tplc="B71088A6">
      <w:start w:val="1"/>
      <w:numFmt w:val="decimal"/>
      <w:lvlText w:val="(%2)"/>
      <w:lvlJc w:val="left"/>
      <w:pPr>
        <w:ind w:left="2975" w:hanging="567"/>
      </w:pPr>
      <w:rPr>
        <w:rFonts w:ascii="Arial" w:eastAsia="Calibri" w:hAnsi="Arial" w:cs="Arial" w:hint="default"/>
        <w:spacing w:val="-1"/>
        <w:w w:val="100"/>
        <w:sz w:val="20"/>
        <w:szCs w:val="22"/>
        <w:lang w:val="en-US" w:eastAsia="en-US" w:bidi="ar-SA"/>
      </w:rPr>
    </w:lvl>
    <w:lvl w:ilvl="2" w:tplc="8B666E24">
      <w:numFmt w:val="bullet"/>
      <w:lvlText w:val="•"/>
      <w:lvlJc w:val="left"/>
      <w:pPr>
        <w:ind w:left="3689" w:hanging="567"/>
      </w:pPr>
      <w:rPr>
        <w:rFonts w:hint="default"/>
        <w:lang w:val="en-US" w:eastAsia="en-US" w:bidi="ar-SA"/>
      </w:rPr>
    </w:lvl>
    <w:lvl w:ilvl="3" w:tplc="BF8C12C4">
      <w:numFmt w:val="bullet"/>
      <w:lvlText w:val="•"/>
      <w:lvlJc w:val="left"/>
      <w:pPr>
        <w:ind w:left="4399" w:hanging="567"/>
      </w:pPr>
      <w:rPr>
        <w:rFonts w:hint="default"/>
        <w:lang w:val="en-US" w:eastAsia="en-US" w:bidi="ar-SA"/>
      </w:rPr>
    </w:lvl>
    <w:lvl w:ilvl="4" w:tplc="2736C9A6">
      <w:numFmt w:val="bullet"/>
      <w:lvlText w:val="•"/>
      <w:lvlJc w:val="left"/>
      <w:pPr>
        <w:ind w:left="5108" w:hanging="567"/>
      </w:pPr>
      <w:rPr>
        <w:rFonts w:hint="default"/>
        <w:lang w:val="en-US" w:eastAsia="en-US" w:bidi="ar-SA"/>
      </w:rPr>
    </w:lvl>
    <w:lvl w:ilvl="5" w:tplc="650C1C9E">
      <w:numFmt w:val="bullet"/>
      <w:lvlText w:val="•"/>
      <w:lvlJc w:val="left"/>
      <w:pPr>
        <w:ind w:left="5818" w:hanging="567"/>
      </w:pPr>
      <w:rPr>
        <w:rFonts w:hint="default"/>
        <w:lang w:val="en-US" w:eastAsia="en-US" w:bidi="ar-SA"/>
      </w:rPr>
    </w:lvl>
    <w:lvl w:ilvl="6" w:tplc="40A2D89C">
      <w:numFmt w:val="bullet"/>
      <w:lvlText w:val="•"/>
      <w:lvlJc w:val="left"/>
      <w:pPr>
        <w:ind w:left="6528" w:hanging="567"/>
      </w:pPr>
      <w:rPr>
        <w:rFonts w:hint="default"/>
        <w:lang w:val="en-US" w:eastAsia="en-US" w:bidi="ar-SA"/>
      </w:rPr>
    </w:lvl>
    <w:lvl w:ilvl="7" w:tplc="88106C50">
      <w:numFmt w:val="bullet"/>
      <w:lvlText w:val="•"/>
      <w:lvlJc w:val="left"/>
      <w:pPr>
        <w:ind w:left="7237" w:hanging="567"/>
      </w:pPr>
      <w:rPr>
        <w:rFonts w:hint="default"/>
        <w:lang w:val="en-US" w:eastAsia="en-US" w:bidi="ar-SA"/>
      </w:rPr>
    </w:lvl>
    <w:lvl w:ilvl="8" w:tplc="D3DC17F0">
      <w:numFmt w:val="bullet"/>
      <w:lvlText w:val="•"/>
      <w:lvlJc w:val="left"/>
      <w:pPr>
        <w:ind w:left="7947" w:hanging="567"/>
      </w:pPr>
      <w:rPr>
        <w:rFonts w:hint="default"/>
        <w:lang w:val="en-US" w:eastAsia="en-US" w:bidi="ar-SA"/>
      </w:rPr>
    </w:lvl>
  </w:abstractNum>
  <w:abstractNum w:abstractNumId="433" w15:restartNumberingAfterBreak="0">
    <w:nsid w:val="74180253"/>
    <w:multiLevelType w:val="hybridMultilevel"/>
    <w:tmpl w:val="96BAF6DE"/>
    <w:lvl w:ilvl="0" w:tplc="6568E794">
      <w:start w:val="1"/>
      <w:numFmt w:val="lowerRoman"/>
      <w:lvlText w:val="(%1)"/>
      <w:lvlJc w:val="left"/>
      <w:pPr>
        <w:ind w:left="2408" w:hanging="567"/>
      </w:pPr>
      <w:rPr>
        <w:rFonts w:ascii="Arial" w:eastAsia="Calibri" w:hAnsi="Arial" w:cs="Arial" w:hint="default"/>
        <w:spacing w:val="-1"/>
        <w:w w:val="100"/>
        <w:sz w:val="20"/>
        <w:szCs w:val="22"/>
        <w:lang w:val="en-US" w:eastAsia="en-US" w:bidi="ar-SA"/>
      </w:rPr>
    </w:lvl>
    <w:lvl w:ilvl="1" w:tplc="6C6CE0E0">
      <w:start w:val="1"/>
      <w:numFmt w:val="upperLetter"/>
      <w:lvlText w:val="(%2)"/>
      <w:lvlJc w:val="left"/>
      <w:pPr>
        <w:ind w:left="2975" w:hanging="567"/>
      </w:pPr>
      <w:rPr>
        <w:rFonts w:ascii="Arial" w:eastAsia="Calibri" w:hAnsi="Arial" w:cs="Arial" w:hint="default"/>
        <w:spacing w:val="-1"/>
        <w:w w:val="100"/>
        <w:sz w:val="20"/>
        <w:szCs w:val="22"/>
        <w:lang w:val="en-US" w:eastAsia="en-US" w:bidi="ar-SA"/>
      </w:rPr>
    </w:lvl>
    <w:lvl w:ilvl="2" w:tplc="E0ACB92C">
      <w:numFmt w:val="bullet"/>
      <w:lvlText w:val="•"/>
      <w:lvlJc w:val="left"/>
      <w:pPr>
        <w:ind w:left="3689" w:hanging="567"/>
      </w:pPr>
      <w:rPr>
        <w:rFonts w:hint="default"/>
        <w:lang w:val="en-US" w:eastAsia="en-US" w:bidi="ar-SA"/>
      </w:rPr>
    </w:lvl>
    <w:lvl w:ilvl="3" w:tplc="45DEB908">
      <w:numFmt w:val="bullet"/>
      <w:lvlText w:val="•"/>
      <w:lvlJc w:val="left"/>
      <w:pPr>
        <w:ind w:left="4399" w:hanging="567"/>
      </w:pPr>
      <w:rPr>
        <w:rFonts w:hint="default"/>
        <w:lang w:val="en-US" w:eastAsia="en-US" w:bidi="ar-SA"/>
      </w:rPr>
    </w:lvl>
    <w:lvl w:ilvl="4" w:tplc="13DC38EA">
      <w:numFmt w:val="bullet"/>
      <w:lvlText w:val="•"/>
      <w:lvlJc w:val="left"/>
      <w:pPr>
        <w:ind w:left="5108" w:hanging="567"/>
      </w:pPr>
      <w:rPr>
        <w:rFonts w:hint="default"/>
        <w:lang w:val="en-US" w:eastAsia="en-US" w:bidi="ar-SA"/>
      </w:rPr>
    </w:lvl>
    <w:lvl w:ilvl="5" w:tplc="D234B3C6">
      <w:numFmt w:val="bullet"/>
      <w:lvlText w:val="•"/>
      <w:lvlJc w:val="left"/>
      <w:pPr>
        <w:ind w:left="5818" w:hanging="567"/>
      </w:pPr>
      <w:rPr>
        <w:rFonts w:hint="default"/>
        <w:lang w:val="en-US" w:eastAsia="en-US" w:bidi="ar-SA"/>
      </w:rPr>
    </w:lvl>
    <w:lvl w:ilvl="6" w:tplc="5BD2FF16">
      <w:numFmt w:val="bullet"/>
      <w:lvlText w:val="•"/>
      <w:lvlJc w:val="left"/>
      <w:pPr>
        <w:ind w:left="6528" w:hanging="567"/>
      </w:pPr>
      <w:rPr>
        <w:rFonts w:hint="default"/>
        <w:lang w:val="en-US" w:eastAsia="en-US" w:bidi="ar-SA"/>
      </w:rPr>
    </w:lvl>
    <w:lvl w:ilvl="7" w:tplc="7862EE70">
      <w:numFmt w:val="bullet"/>
      <w:lvlText w:val="•"/>
      <w:lvlJc w:val="left"/>
      <w:pPr>
        <w:ind w:left="7237" w:hanging="567"/>
      </w:pPr>
      <w:rPr>
        <w:rFonts w:hint="default"/>
        <w:lang w:val="en-US" w:eastAsia="en-US" w:bidi="ar-SA"/>
      </w:rPr>
    </w:lvl>
    <w:lvl w:ilvl="8" w:tplc="C0D07176">
      <w:numFmt w:val="bullet"/>
      <w:lvlText w:val="•"/>
      <w:lvlJc w:val="left"/>
      <w:pPr>
        <w:ind w:left="7947" w:hanging="567"/>
      </w:pPr>
      <w:rPr>
        <w:rFonts w:hint="default"/>
        <w:lang w:val="en-US" w:eastAsia="en-US" w:bidi="ar-SA"/>
      </w:rPr>
    </w:lvl>
  </w:abstractNum>
  <w:abstractNum w:abstractNumId="434" w15:restartNumberingAfterBreak="0">
    <w:nsid w:val="7509236F"/>
    <w:multiLevelType w:val="hybridMultilevel"/>
    <w:tmpl w:val="3A645DE4"/>
    <w:lvl w:ilvl="0" w:tplc="C03A1432">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88F4A0E0">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506CCDA0">
      <w:numFmt w:val="bullet"/>
      <w:lvlText w:val="•"/>
      <w:lvlJc w:val="left"/>
      <w:pPr>
        <w:ind w:left="2178" w:hanging="567"/>
      </w:pPr>
      <w:rPr>
        <w:rFonts w:hint="default"/>
        <w:lang w:val="en-US" w:eastAsia="en-US" w:bidi="ar-SA"/>
      </w:rPr>
    </w:lvl>
    <w:lvl w:ilvl="3" w:tplc="2F7E7728">
      <w:numFmt w:val="bullet"/>
      <w:lvlText w:val="•"/>
      <w:lvlJc w:val="left"/>
      <w:pPr>
        <w:ind w:left="3076" w:hanging="567"/>
      </w:pPr>
      <w:rPr>
        <w:rFonts w:hint="default"/>
        <w:lang w:val="en-US" w:eastAsia="en-US" w:bidi="ar-SA"/>
      </w:rPr>
    </w:lvl>
    <w:lvl w:ilvl="4" w:tplc="B7D85BE8">
      <w:numFmt w:val="bullet"/>
      <w:lvlText w:val="•"/>
      <w:lvlJc w:val="left"/>
      <w:pPr>
        <w:ind w:left="3975" w:hanging="567"/>
      </w:pPr>
      <w:rPr>
        <w:rFonts w:hint="default"/>
        <w:lang w:val="en-US" w:eastAsia="en-US" w:bidi="ar-SA"/>
      </w:rPr>
    </w:lvl>
    <w:lvl w:ilvl="5" w:tplc="6AE09D6E">
      <w:numFmt w:val="bullet"/>
      <w:lvlText w:val="•"/>
      <w:lvlJc w:val="left"/>
      <w:pPr>
        <w:ind w:left="4873" w:hanging="567"/>
      </w:pPr>
      <w:rPr>
        <w:rFonts w:hint="default"/>
        <w:lang w:val="en-US" w:eastAsia="en-US" w:bidi="ar-SA"/>
      </w:rPr>
    </w:lvl>
    <w:lvl w:ilvl="6" w:tplc="3056B3D8">
      <w:numFmt w:val="bullet"/>
      <w:lvlText w:val="•"/>
      <w:lvlJc w:val="left"/>
      <w:pPr>
        <w:ind w:left="5772" w:hanging="567"/>
      </w:pPr>
      <w:rPr>
        <w:rFonts w:hint="default"/>
        <w:lang w:val="en-US" w:eastAsia="en-US" w:bidi="ar-SA"/>
      </w:rPr>
    </w:lvl>
    <w:lvl w:ilvl="7" w:tplc="E79850E4">
      <w:numFmt w:val="bullet"/>
      <w:lvlText w:val="•"/>
      <w:lvlJc w:val="left"/>
      <w:pPr>
        <w:ind w:left="6670" w:hanging="567"/>
      </w:pPr>
      <w:rPr>
        <w:rFonts w:hint="default"/>
        <w:lang w:val="en-US" w:eastAsia="en-US" w:bidi="ar-SA"/>
      </w:rPr>
    </w:lvl>
    <w:lvl w:ilvl="8" w:tplc="9EF6B36E">
      <w:numFmt w:val="bullet"/>
      <w:lvlText w:val="•"/>
      <w:lvlJc w:val="left"/>
      <w:pPr>
        <w:ind w:left="7569" w:hanging="567"/>
      </w:pPr>
      <w:rPr>
        <w:rFonts w:hint="default"/>
        <w:lang w:val="en-US" w:eastAsia="en-US" w:bidi="ar-SA"/>
      </w:rPr>
    </w:lvl>
  </w:abstractNum>
  <w:abstractNum w:abstractNumId="435" w15:restartNumberingAfterBreak="0">
    <w:nsid w:val="75256111"/>
    <w:multiLevelType w:val="hybridMultilevel"/>
    <w:tmpl w:val="4EAC7B3C"/>
    <w:lvl w:ilvl="0" w:tplc="B88EB92C">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CC4AD60C">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A8485E4A">
      <w:numFmt w:val="bullet"/>
      <w:lvlText w:val="•"/>
      <w:lvlJc w:val="left"/>
      <w:pPr>
        <w:ind w:left="2178" w:hanging="567"/>
      </w:pPr>
      <w:rPr>
        <w:rFonts w:hint="default"/>
        <w:lang w:val="en-US" w:eastAsia="en-US" w:bidi="ar-SA"/>
      </w:rPr>
    </w:lvl>
    <w:lvl w:ilvl="3" w:tplc="A75C02B0">
      <w:numFmt w:val="bullet"/>
      <w:lvlText w:val="•"/>
      <w:lvlJc w:val="left"/>
      <w:pPr>
        <w:ind w:left="3076" w:hanging="567"/>
      </w:pPr>
      <w:rPr>
        <w:rFonts w:hint="default"/>
        <w:lang w:val="en-US" w:eastAsia="en-US" w:bidi="ar-SA"/>
      </w:rPr>
    </w:lvl>
    <w:lvl w:ilvl="4" w:tplc="54688BE8">
      <w:numFmt w:val="bullet"/>
      <w:lvlText w:val="•"/>
      <w:lvlJc w:val="left"/>
      <w:pPr>
        <w:ind w:left="3975" w:hanging="567"/>
      </w:pPr>
      <w:rPr>
        <w:rFonts w:hint="default"/>
        <w:lang w:val="en-US" w:eastAsia="en-US" w:bidi="ar-SA"/>
      </w:rPr>
    </w:lvl>
    <w:lvl w:ilvl="5" w:tplc="ADA2CBBC">
      <w:numFmt w:val="bullet"/>
      <w:lvlText w:val="•"/>
      <w:lvlJc w:val="left"/>
      <w:pPr>
        <w:ind w:left="4873" w:hanging="567"/>
      </w:pPr>
      <w:rPr>
        <w:rFonts w:hint="default"/>
        <w:lang w:val="en-US" w:eastAsia="en-US" w:bidi="ar-SA"/>
      </w:rPr>
    </w:lvl>
    <w:lvl w:ilvl="6" w:tplc="603EBE1E">
      <w:numFmt w:val="bullet"/>
      <w:lvlText w:val="•"/>
      <w:lvlJc w:val="left"/>
      <w:pPr>
        <w:ind w:left="5772" w:hanging="567"/>
      </w:pPr>
      <w:rPr>
        <w:rFonts w:hint="default"/>
        <w:lang w:val="en-US" w:eastAsia="en-US" w:bidi="ar-SA"/>
      </w:rPr>
    </w:lvl>
    <w:lvl w:ilvl="7" w:tplc="FC76BFEC">
      <w:numFmt w:val="bullet"/>
      <w:lvlText w:val="•"/>
      <w:lvlJc w:val="left"/>
      <w:pPr>
        <w:ind w:left="6670" w:hanging="567"/>
      </w:pPr>
      <w:rPr>
        <w:rFonts w:hint="default"/>
        <w:lang w:val="en-US" w:eastAsia="en-US" w:bidi="ar-SA"/>
      </w:rPr>
    </w:lvl>
    <w:lvl w:ilvl="8" w:tplc="7AEE9AC2">
      <w:numFmt w:val="bullet"/>
      <w:lvlText w:val="•"/>
      <w:lvlJc w:val="left"/>
      <w:pPr>
        <w:ind w:left="7569" w:hanging="567"/>
      </w:pPr>
      <w:rPr>
        <w:rFonts w:hint="default"/>
        <w:lang w:val="en-US" w:eastAsia="en-US" w:bidi="ar-SA"/>
      </w:rPr>
    </w:lvl>
  </w:abstractNum>
  <w:abstractNum w:abstractNumId="436" w15:restartNumberingAfterBreak="0">
    <w:nsid w:val="75521CFE"/>
    <w:multiLevelType w:val="hybridMultilevel"/>
    <w:tmpl w:val="3E8A8E84"/>
    <w:lvl w:ilvl="0" w:tplc="F2C888BA">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2B7A58E4">
      <w:numFmt w:val="bullet"/>
      <w:lvlText w:val="•"/>
      <w:lvlJc w:val="left"/>
      <w:pPr>
        <w:ind w:left="1566" w:hanging="567"/>
      </w:pPr>
      <w:rPr>
        <w:rFonts w:hint="default"/>
        <w:lang w:val="en-US" w:eastAsia="en-US" w:bidi="ar-SA"/>
      </w:rPr>
    </w:lvl>
    <w:lvl w:ilvl="2" w:tplc="7BAE52D0">
      <w:numFmt w:val="bullet"/>
      <w:lvlText w:val="•"/>
      <w:lvlJc w:val="left"/>
      <w:pPr>
        <w:ind w:left="2433" w:hanging="567"/>
      </w:pPr>
      <w:rPr>
        <w:rFonts w:hint="default"/>
        <w:lang w:val="en-US" w:eastAsia="en-US" w:bidi="ar-SA"/>
      </w:rPr>
    </w:lvl>
    <w:lvl w:ilvl="3" w:tplc="80084202">
      <w:numFmt w:val="bullet"/>
      <w:lvlText w:val="•"/>
      <w:lvlJc w:val="left"/>
      <w:pPr>
        <w:ind w:left="3299" w:hanging="567"/>
      </w:pPr>
      <w:rPr>
        <w:rFonts w:hint="default"/>
        <w:lang w:val="en-US" w:eastAsia="en-US" w:bidi="ar-SA"/>
      </w:rPr>
    </w:lvl>
    <w:lvl w:ilvl="4" w:tplc="D03C2962">
      <w:numFmt w:val="bullet"/>
      <w:lvlText w:val="•"/>
      <w:lvlJc w:val="left"/>
      <w:pPr>
        <w:ind w:left="4166" w:hanging="567"/>
      </w:pPr>
      <w:rPr>
        <w:rFonts w:hint="default"/>
        <w:lang w:val="en-US" w:eastAsia="en-US" w:bidi="ar-SA"/>
      </w:rPr>
    </w:lvl>
    <w:lvl w:ilvl="5" w:tplc="0C36C36A">
      <w:numFmt w:val="bullet"/>
      <w:lvlText w:val="•"/>
      <w:lvlJc w:val="left"/>
      <w:pPr>
        <w:ind w:left="5033" w:hanging="567"/>
      </w:pPr>
      <w:rPr>
        <w:rFonts w:hint="default"/>
        <w:lang w:val="en-US" w:eastAsia="en-US" w:bidi="ar-SA"/>
      </w:rPr>
    </w:lvl>
    <w:lvl w:ilvl="6" w:tplc="6798A118">
      <w:numFmt w:val="bullet"/>
      <w:lvlText w:val="•"/>
      <w:lvlJc w:val="left"/>
      <w:pPr>
        <w:ind w:left="5899" w:hanging="567"/>
      </w:pPr>
      <w:rPr>
        <w:rFonts w:hint="default"/>
        <w:lang w:val="en-US" w:eastAsia="en-US" w:bidi="ar-SA"/>
      </w:rPr>
    </w:lvl>
    <w:lvl w:ilvl="7" w:tplc="ABAEB6D2">
      <w:numFmt w:val="bullet"/>
      <w:lvlText w:val="•"/>
      <w:lvlJc w:val="left"/>
      <w:pPr>
        <w:ind w:left="6766" w:hanging="567"/>
      </w:pPr>
      <w:rPr>
        <w:rFonts w:hint="default"/>
        <w:lang w:val="en-US" w:eastAsia="en-US" w:bidi="ar-SA"/>
      </w:rPr>
    </w:lvl>
    <w:lvl w:ilvl="8" w:tplc="369440F0">
      <w:numFmt w:val="bullet"/>
      <w:lvlText w:val="•"/>
      <w:lvlJc w:val="left"/>
      <w:pPr>
        <w:ind w:left="7633" w:hanging="567"/>
      </w:pPr>
      <w:rPr>
        <w:rFonts w:hint="default"/>
        <w:lang w:val="en-US" w:eastAsia="en-US" w:bidi="ar-SA"/>
      </w:rPr>
    </w:lvl>
  </w:abstractNum>
  <w:abstractNum w:abstractNumId="437" w15:restartNumberingAfterBreak="0">
    <w:nsid w:val="755D4501"/>
    <w:multiLevelType w:val="hybridMultilevel"/>
    <w:tmpl w:val="737028DC"/>
    <w:lvl w:ilvl="0" w:tplc="CD80582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ADC655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1B2266EE">
      <w:numFmt w:val="bullet"/>
      <w:lvlText w:val="•"/>
      <w:lvlJc w:val="left"/>
      <w:pPr>
        <w:ind w:left="2178" w:hanging="567"/>
      </w:pPr>
      <w:rPr>
        <w:lang w:val="en-US" w:eastAsia="en-US" w:bidi="ar-SA"/>
      </w:rPr>
    </w:lvl>
    <w:lvl w:ilvl="3" w:tplc="45BE0660">
      <w:numFmt w:val="bullet"/>
      <w:lvlText w:val="•"/>
      <w:lvlJc w:val="left"/>
      <w:pPr>
        <w:ind w:left="3076" w:hanging="567"/>
      </w:pPr>
      <w:rPr>
        <w:lang w:val="en-US" w:eastAsia="en-US" w:bidi="ar-SA"/>
      </w:rPr>
    </w:lvl>
    <w:lvl w:ilvl="4" w:tplc="EF4E30C8">
      <w:numFmt w:val="bullet"/>
      <w:lvlText w:val="•"/>
      <w:lvlJc w:val="left"/>
      <w:pPr>
        <w:ind w:left="3975" w:hanging="567"/>
      </w:pPr>
      <w:rPr>
        <w:lang w:val="en-US" w:eastAsia="en-US" w:bidi="ar-SA"/>
      </w:rPr>
    </w:lvl>
    <w:lvl w:ilvl="5" w:tplc="E8CECEAA">
      <w:numFmt w:val="bullet"/>
      <w:lvlText w:val="•"/>
      <w:lvlJc w:val="left"/>
      <w:pPr>
        <w:ind w:left="4873" w:hanging="567"/>
      </w:pPr>
      <w:rPr>
        <w:lang w:val="en-US" w:eastAsia="en-US" w:bidi="ar-SA"/>
      </w:rPr>
    </w:lvl>
    <w:lvl w:ilvl="6" w:tplc="D8024D6C">
      <w:numFmt w:val="bullet"/>
      <w:lvlText w:val="•"/>
      <w:lvlJc w:val="left"/>
      <w:pPr>
        <w:ind w:left="5772" w:hanging="567"/>
      </w:pPr>
      <w:rPr>
        <w:lang w:val="en-US" w:eastAsia="en-US" w:bidi="ar-SA"/>
      </w:rPr>
    </w:lvl>
    <w:lvl w:ilvl="7" w:tplc="7E1A1F06">
      <w:numFmt w:val="bullet"/>
      <w:lvlText w:val="•"/>
      <w:lvlJc w:val="left"/>
      <w:pPr>
        <w:ind w:left="6670" w:hanging="567"/>
      </w:pPr>
      <w:rPr>
        <w:lang w:val="en-US" w:eastAsia="en-US" w:bidi="ar-SA"/>
      </w:rPr>
    </w:lvl>
    <w:lvl w:ilvl="8" w:tplc="78D2843C">
      <w:numFmt w:val="bullet"/>
      <w:lvlText w:val="•"/>
      <w:lvlJc w:val="left"/>
      <w:pPr>
        <w:ind w:left="7569" w:hanging="567"/>
      </w:pPr>
      <w:rPr>
        <w:lang w:val="en-US" w:eastAsia="en-US" w:bidi="ar-SA"/>
      </w:rPr>
    </w:lvl>
  </w:abstractNum>
  <w:abstractNum w:abstractNumId="438" w15:restartNumberingAfterBreak="0">
    <w:nsid w:val="76D50E2C"/>
    <w:multiLevelType w:val="hybridMultilevel"/>
    <w:tmpl w:val="BE8EFFAA"/>
    <w:lvl w:ilvl="0" w:tplc="E3F0100A">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C010CEAA">
      <w:numFmt w:val="bullet"/>
      <w:lvlText w:val="•"/>
      <w:lvlJc w:val="left"/>
      <w:pPr>
        <w:ind w:left="1392" w:hanging="567"/>
      </w:pPr>
      <w:rPr>
        <w:rFonts w:hint="default"/>
        <w:lang w:val="en-US" w:eastAsia="en-US" w:bidi="ar-SA"/>
      </w:rPr>
    </w:lvl>
    <w:lvl w:ilvl="2" w:tplc="0D221C98">
      <w:numFmt w:val="bullet"/>
      <w:lvlText w:val="•"/>
      <w:lvlJc w:val="left"/>
      <w:pPr>
        <w:ind w:left="2084" w:hanging="567"/>
      </w:pPr>
      <w:rPr>
        <w:rFonts w:hint="default"/>
        <w:lang w:val="en-US" w:eastAsia="en-US" w:bidi="ar-SA"/>
      </w:rPr>
    </w:lvl>
    <w:lvl w:ilvl="3" w:tplc="65084822">
      <w:numFmt w:val="bullet"/>
      <w:lvlText w:val="•"/>
      <w:lvlJc w:val="left"/>
      <w:pPr>
        <w:ind w:left="2776" w:hanging="567"/>
      </w:pPr>
      <w:rPr>
        <w:rFonts w:hint="default"/>
        <w:lang w:val="en-US" w:eastAsia="en-US" w:bidi="ar-SA"/>
      </w:rPr>
    </w:lvl>
    <w:lvl w:ilvl="4" w:tplc="B3488178">
      <w:numFmt w:val="bullet"/>
      <w:lvlText w:val="•"/>
      <w:lvlJc w:val="left"/>
      <w:pPr>
        <w:ind w:left="3468" w:hanging="567"/>
      </w:pPr>
      <w:rPr>
        <w:rFonts w:hint="default"/>
        <w:lang w:val="en-US" w:eastAsia="en-US" w:bidi="ar-SA"/>
      </w:rPr>
    </w:lvl>
    <w:lvl w:ilvl="5" w:tplc="5C7EA9B2">
      <w:numFmt w:val="bullet"/>
      <w:lvlText w:val="•"/>
      <w:lvlJc w:val="left"/>
      <w:pPr>
        <w:ind w:left="4160" w:hanging="567"/>
      </w:pPr>
      <w:rPr>
        <w:rFonts w:hint="default"/>
        <w:lang w:val="en-US" w:eastAsia="en-US" w:bidi="ar-SA"/>
      </w:rPr>
    </w:lvl>
    <w:lvl w:ilvl="6" w:tplc="8530F6E2">
      <w:numFmt w:val="bullet"/>
      <w:lvlText w:val="•"/>
      <w:lvlJc w:val="left"/>
      <w:pPr>
        <w:ind w:left="4853" w:hanging="567"/>
      </w:pPr>
      <w:rPr>
        <w:rFonts w:hint="default"/>
        <w:lang w:val="en-US" w:eastAsia="en-US" w:bidi="ar-SA"/>
      </w:rPr>
    </w:lvl>
    <w:lvl w:ilvl="7" w:tplc="F37A1CA8">
      <w:numFmt w:val="bullet"/>
      <w:lvlText w:val="•"/>
      <w:lvlJc w:val="left"/>
      <w:pPr>
        <w:ind w:left="5545" w:hanging="567"/>
      </w:pPr>
      <w:rPr>
        <w:rFonts w:hint="default"/>
        <w:lang w:val="en-US" w:eastAsia="en-US" w:bidi="ar-SA"/>
      </w:rPr>
    </w:lvl>
    <w:lvl w:ilvl="8" w:tplc="BDA2A0F4">
      <w:numFmt w:val="bullet"/>
      <w:lvlText w:val="•"/>
      <w:lvlJc w:val="left"/>
      <w:pPr>
        <w:ind w:left="6237" w:hanging="567"/>
      </w:pPr>
      <w:rPr>
        <w:rFonts w:hint="default"/>
        <w:lang w:val="en-US" w:eastAsia="en-US" w:bidi="ar-SA"/>
      </w:rPr>
    </w:lvl>
  </w:abstractNum>
  <w:abstractNum w:abstractNumId="439" w15:restartNumberingAfterBreak="0">
    <w:nsid w:val="7714194C"/>
    <w:multiLevelType w:val="hybridMultilevel"/>
    <w:tmpl w:val="B450E8AE"/>
    <w:lvl w:ilvl="0" w:tplc="952E9FC4">
      <w:start w:val="1"/>
      <w:numFmt w:val="decimal"/>
      <w:lvlText w:val="%1."/>
      <w:lvlJc w:val="left"/>
      <w:pPr>
        <w:ind w:left="706" w:hanging="567"/>
      </w:pPr>
      <w:rPr>
        <w:rFonts w:ascii="Arial" w:eastAsia="Calibri" w:hAnsi="Arial" w:cs="Arial" w:hint="default"/>
        <w:w w:val="100"/>
        <w:sz w:val="20"/>
        <w:szCs w:val="22"/>
        <w:lang w:val="en-US" w:eastAsia="en-US" w:bidi="ar-SA"/>
      </w:rPr>
    </w:lvl>
    <w:lvl w:ilvl="1" w:tplc="FA5EA1C4">
      <w:start w:val="1"/>
      <w:numFmt w:val="lowerLetter"/>
      <w:lvlText w:val="(%2)"/>
      <w:lvlJc w:val="left"/>
      <w:pPr>
        <w:ind w:left="1273" w:hanging="567"/>
      </w:pPr>
      <w:rPr>
        <w:rFonts w:ascii="Arial" w:eastAsia="Calibri" w:hAnsi="Arial" w:cs="Arial" w:hint="default"/>
        <w:spacing w:val="-1"/>
        <w:w w:val="100"/>
        <w:sz w:val="20"/>
        <w:szCs w:val="22"/>
        <w:lang w:val="en-US" w:eastAsia="en-US" w:bidi="ar-SA"/>
      </w:rPr>
    </w:lvl>
    <w:lvl w:ilvl="2" w:tplc="B216801C">
      <w:numFmt w:val="bullet"/>
      <w:lvlText w:val="•"/>
      <w:lvlJc w:val="left"/>
      <w:pPr>
        <w:ind w:left="2178" w:hanging="567"/>
      </w:pPr>
      <w:rPr>
        <w:rFonts w:hint="default"/>
        <w:lang w:val="en-US" w:eastAsia="en-US" w:bidi="ar-SA"/>
      </w:rPr>
    </w:lvl>
    <w:lvl w:ilvl="3" w:tplc="42CE3CCA">
      <w:numFmt w:val="bullet"/>
      <w:lvlText w:val="•"/>
      <w:lvlJc w:val="left"/>
      <w:pPr>
        <w:ind w:left="3076" w:hanging="567"/>
      </w:pPr>
      <w:rPr>
        <w:rFonts w:hint="default"/>
        <w:lang w:val="en-US" w:eastAsia="en-US" w:bidi="ar-SA"/>
      </w:rPr>
    </w:lvl>
    <w:lvl w:ilvl="4" w:tplc="5A7C9F32">
      <w:numFmt w:val="bullet"/>
      <w:lvlText w:val="•"/>
      <w:lvlJc w:val="left"/>
      <w:pPr>
        <w:ind w:left="3975" w:hanging="567"/>
      </w:pPr>
      <w:rPr>
        <w:rFonts w:hint="default"/>
        <w:lang w:val="en-US" w:eastAsia="en-US" w:bidi="ar-SA"/>
      </w:rPr>
    </w:lvl>
    <w:lvl w:ilvl="5" w:tplc="E88496CE">
      <w:numFmt w:val="bullet"/>
      <w:lvlText w:val="•"/>
      <w:lvlJc w:val="left"/>
      <w:pPr>
        <w:ind w:left="4873" w:hanging="567"/>
      </w:pPr>
      <w:rPr>
        <w:rFonts w:hint="default"/>
        <w:lang w:val="en-US" w:eastAsia="en-US" w:bidi="ar-SA"/>
      </w:rPr>
    </w:lvl>
    <w:lvl w:ilvl="6" w:tplc="CDDE4264">
      <w:numFmt w:val="bullet"/>
      <w:lvlText w:val="•"/>
      <w:lvlJc w:val="left"/>
      <w:pPr>
        <w:ind w:left="5772" w:hanging="567"/>
      </w:pPr>
      <w:rPr>
        <w:rFonts w:hint="default"/>
        <w:lang w:val="en-US" w:eastAsia="en-US" w:bidi="ar-SA"/>
      </w:rPr>
    </w:lvl>
    <w:lvl w:ilvl="7" w:tplc="8580F7FA">
      <w:numFmt w:val="bullet"/>
      <w:lvlText w:val="•"/>
      <w:lvlJc w:val="left"/>
      <w:pPr>
        <w:ind w:left="6670" w:hanging="567"/>
      </w:pPr>
      <w:rPr>
        <w:rFonts w:hint="default"/>
        <w:lang w:val="en-US" w:eastAsia="en-US" w:bidi="ar-SA"/>
      </w:rPr>
    </w:lvl>
    <w:lvl w:ilvl="8" w:tplc="CB6C7FE0">
      <w:numFmt w:val="bullet"/>
      <w:lvlText w:val="•"/>
      <w:lvlJc w:val="left"/>
      <w:pPr>
        <w:ind w:left="7569" w:hanging="567"/>
      </w:pPr>
      <w:rPr>
        <w:rFonts w:hint="default"/>
        <w:lang w:val="en-US" w:eastAsia="en-US" w:bidi="ar-SA"/>
      </w:rPr>
    </w:lvl>
  </w:abstractNum>
  <w:abstractNum w:abstractNumId="440" w15:restartNumberingAfterBreak="0">
    <w:nsid w:val="77652E0F"/>
    <w:multiLevelType w:val="hybridMultilevel"/>
    <w:tmpl w:val="A94EC0FE"/>
    <w:lvl w:ilvl="0" w:tplc="71BEEDAE">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68C25C02">
      <w:numFmt w:val="bullet"/>
      <w:lvlText w:val="•"/>
      <w:lvlJc w:val="left"/>
      <w:pPr>
        <w:ind w:left="1158" w:hanging="567"/>
      </w:pPr>
      <w:rPr>
        <w:rFonts w:hint="default"/>
        <w:lang w:val="en-US" w:eastAsia="en-US" w:bidi="ar-SA"/>
      </w:rPr>
    </w:lvl>
    <w:lvl w:ilvl="2" w:tplc="46E8A0E2">
      <w:numFmt w:val="bullet"/>
      <w:lvlText w:val="•"/>
      <w:lvlJc w:val="left"/>
      <w:pPr>
        <w:ind w:left="1616" w:hanging="567"/>
      </w:pPr>
      <w:rPr>
        <w:rFonts w:hint="default"/>
        <w:lang w:val="en-US" w:eastAsia="en-US" w:bidi="ar-SA"/>
      </w:rPr>
    </w:lvl>
    <w:lvl w:ilvl="3" w:tplc="91D666A4">
      <w:numFmt w:val="bullet"/>
      <w:lvlText w:val="•"/>
      <w:lvlJc w:val="left"/>
      <w:pPr>
        <w:ind w:left="2074" w:hanging="567"/>
      </w:pPr>
      <w:rPr>
        <w:rFonts w:hint="default"/>
        <w:lang w:val="en-US" w:eastAsia="en-US" w:bidi="ar-SA"/>
      </w:rPr>
    </w:lvl>
    <w:lvl w:ilvl="4" w:tplc="FDF64B66">
      <w:numFmt w:val="bullet"/>
      <w:lvlText w:val="•"/>
      <w:lvlJc w:val="left"/>
      <w:pPr>
        <w:ind w:left="2532" w:hanging="567"/>
      </w:pPr>
      <w:rPr>
        <w:rFonts w:hint="default"/>
        <w:lang w:val="en-US" w:eastAsia="en-US" w:bidi="ar-SA"/>
      </w:rPr>
    </w:lvl>
    <w:lvl w:ilvl="5" w:tplc="F4A29674">
      <w:numFmt w:val="bullet"/>
      <w:lvlText w:val="•"/>
      <w:lvlJc w:val="left"/>
      <w:pPr>
        <w:ind w:left="2990" w:hanging="567"/>
      </w:pPr>
      <w:rPr>
        <w:rFonts w:hint="default"/>
        <w:lang w:val="en-US" w:eastAsia="en-US" w:bidi="ar-SA"/>
      </w:rPr>
    </w:lvl>
    <w:lvl w:ilvl="6" w:tplc="44980F62">
      <w:numFmt w:val="bullet"/>
      <w:lvlText w:val="•"/>
      <w:lvlJc w:val="left"/>
      <w:pPr>
        <w:ind w:left="3448" w:hanging="567"/>
      </w:pPr>
      <w:rPr>
        <w:rFonts w:hint="default"/>
        <w:lang w:val="en-US" w:eastAsia="en-US" w:bidi="ar-SA"/>
      </w:rPr>
    </w:lvl>
    <w:lvl w:ilvl="7" w:tplc="8BD841E4">
      <w:numFmt w:val="bullet"/>
      <w:lvlText w:val="•"/>
      <w:lvlJc w:val="left"/>
      <w:pPr>
        <w:ind w:left="3906" w:hanging="567"/>
      </w:pPr>
      <w:rPr>
        <w:rFonts w:hint="default"/>
        <w:lang w:val="en-US" w:eastAsia="en-US" w:bidi="ar-SA"/>
      </w:rPr>
    </w:lvl>
    <w:lvl w:ilvl="8" w:tplc="20E07C9C">
      <w:numFmt w:val="bullet"/>
      <w:lvlText w:val="•"/>
      <w:lvlJc w:val="left"/>
      <w:pPr>
        <w:ind w:left="4364" w:hanging="567"/>
      </w:pPr>
      <w:rPr>
        <w:rFonts w:hint="default"/>
        <w:lang w:val="en-US" w:eastAsia="en-US" w:bidi="ar-SA"/>
      </w:rPr>
    </w:lvl>
  </w:abstractNum>
  <w:abstractNum w:abstractNumId="441" w15:restartNumberingAfterBreak="0">
    <w:nsid w:val="77745CF8"/>
    <w:multiLevelType w:val="hybridMultilevel"/>
    <w:tmpl w:val="9A2645D2"/>
    <w:lvl w:ilvl="0" w:tplc="F2A8E292">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0A884CA0">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54187168">
      <w:numFmt w:val="bullet"/>
      <w:lvlText w:val="•"/>
      <w:lvlJc w:val="left"/>
      <w:pPr>
        <w:ind w:left="2178" w:hanging="567"/>
      </w:pPr>
      <w:rPr>
        <w:rFonts w:hint="default"/>
        <w:lang w:val="en-US" w:eastAsia="en-US" w:bidi="ar-SA"/>
      </w:rPr>
    </w:lvl>
    <w:lvl w:ilvl="3" w:tplc="0BC60346">
      <w:numFmt w:val="bullet"/>
      <w:lvlText w:val="•"/>
      <w:lvlJc w:val="left"/>
      <w:pPr>
        <w:ind w:left="3076" w:hanging="567"/>
      </w:pPr>
      <w:rPr>
        <w:rFonts w:hint="default"/>
        <w:lang w:val="en-US" w:eastAsia="en-US" w:bidi="ar-SA"/>
      </w:rPr>
    </w:lvl>
    <w:lvl w:ilvl="4" w:tplc="F754FFDE">
      <w:numFmt w:val="bullet"/>
      <w:lvlText w:val="•"/>
      <w:lvlJc w:val="left"/>
      <w:pPr>
        <w:ind w:left="3975" w:hanging="567"/>
      </w:pPr>
      <w:rPr>
        <w:rFonts w:hint="default"/>
        <w:lang w:val="en-US" w:eastAsia="en-US" w:bidi="ar-SA"/>
      </w:rPr>
    </w:lvl>
    <w:lvl w:ilvl="5" w:tplc="9E4AFF72">
      <w:numFmt w:val="bullet"/>
      <w:lvlText w:val="•"/>
      <w:lvlJc w:val="left"/>
      <w:pPr>
        <w:ind w:left="4873" w:hanging="567"/>
      </w:pPr>
      <w:rPr>
        <w:rFonts w:hint="default"/>
        <w:lang w:val="en-US" w:eastAsia="en-US" w:bidi="ar-SA"/>
      </w:rPr>
    </w:lvl>
    <w:lvl w:ilvl="6" w:tplc="424CD9AA">
      <w:numFmt w:val="bullet"/>
      <w:lvlText w:val="•"/>
      <w:lvlJc w:val="left"/>
      <w:pPr>
        <w:ind w:left="5772" w:hanging="567"/>
      </w:pPr>
      <w:rPr>
        <w:rFonts w:hint="default"/>
        <w:lang w:val="en-US" w:eastAsia="en-US" w:bidi="ar-SA"/>
      </w:rPr>
    </w:lvl>
    <w:lvl w:ilvl="7" w:tplc="FEE8A482">
      <w:numFmt w:val="bullet"/>
      <w:lvlText w:val="•"/>
      <w:lvlJc w:val="left"/>
      <w:pPr>
        <w:ind w:left="6670" w:hanging="567"/>
      </w:pPr>
      <w:rPr>
        <w:rFonts w:hint="default"/>
        <w:lang w:val="en-US" w:eastAsia="en-US" w:bidi="ar-SA"/>
      </w:rPr>
    </w:lvl>
    <w:lvl w:ilvl="8" w:tplc="B76AEEF2">
      <w:numFmt w:val="bullet"/>
      <w:lvlText w:val="•"/>
      <w:lvlJc w:val="left"/>
      <w:pPr>
        <w:ind w:left="7569" w:hanging="567"/>
      </w:pPr>
      <w:rPr>
        <w:rFonts w:hint="default"/>
        <w:lang w:val="en-US" w:eastAsia="en-US" w:bidi="ar-SA"/>
      </w:rPr>
    </w:lvl>
  </w:abstractNum>
  <w:abstractNum w:abstractNumId="442" w15:restartNumberingAfterBreak="0">
    <w:nsid w:val="7795733F"/>
    <w:multiLevelType w:val="hybridMultilevel"/>
    <w:tmpl w:val="39E8C3C8"/>
    <w:lvl w:ilvl="0" w:tplc="7FB4865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56381060">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3C363AE8">
      <w:numFmt w:val="bullet"/>
      <w:lvlText w:val="•"/>
      <w:lvlJc w:val="left"/>
      <w:pPr>
        <w:ind w:left="2178" w:hanging="567"/>
      </w:pPr>
      <w:rPr>
        <w:rFonts w:hint="default"/>
        <w:lang w:val="en-US" w:eastAsia="en-US" w:bidi="ar-SA"/>
      </w:rPr>
    </w:lvl>
    <w:lvl w:ilvl="3" w:tplc="62142820">
      <w:numFmt w:val="bullet"/>
      <w:lvlText w:val="•"/>
      <w:lvlJc w:val="left"/>
      <w:pPr>
        <w:ind w:left="3076" w:hanging="567"/>
      </w:pPr>
      <w:rPr>
        <w:rFonts w:hint="default"/>
        <w:lang w:val="en-US" w:eastAsia="en-US" w:bidi="ar-SA"/>
      </w:rPr>
    </w:lvl>
    <w:lvl w:ilvl="4" w:tplc="A0A0B518">
      <w:numFmt w:val="bullet"/>
      <w:lvlText w:val="•"/>
      <w:lvlJc w:val="left"/>
      <w:pPr>
        <w:ind w:left="3975" w:hanging="567"/>
      </w:pPr>
      <w:rPr>
        <w:rFonts w:hint="default"/>
        <w:lang w:val="en-US" w:eastAsia="en-US" w:bidi="ar-SA"/>
      </w:rPr>
    </w:lvl>
    <w:lvl w:ilvl="5" w:tplc="F594B170">
      <w:numFmt w:val="bullet"/>
      <w:lvlText w:val="•"/>
      <w:lvlJc w:val="left"/>
      <w:pPr>
        <w:ind w:left="4873" w:hanging="567"/>
      </w:pPr>
      <w:rPr>
        <w:rFonts w:hint="default"/>
        <w:lang w:val="en-US" w:eastAsia="en-US" w:bidi="ar-SA"/>
      </w:rPr>
    </w:lvl>
    <w:lvl w:ilvl="6" w:tplc="B934A30E">
      <w:numFmt w:val="bullet"/>
      <w:lvlText w:val="•"/>
      <w:lvlJc w:val="left"/>
      <w:pPr>
        <w:ind w:left="5772" w:hanging="567"/>
      </w:pPr>
      <w:rPr>
        <w:rFonts w:hint="default"/>
        <w:lang w:val="en-US" w:eastAsia="en-US" w:bidi="ar-SA"/>
      </w:rPr>
    </w:lvl>
    <w:lvl w:ilvl="7" w:tplc="C70224E6">
      <w:numFmt w:val="bullet"/>
      <w:lvlText w:val="•"/>
      <w:lvlJc w:val="left"/>
      <w:pPr>
        <w:ind w:left="6670" w:hanging="567"/>
      </w:pPr>
      <w:rPr>
        <w:rFonts w:hint="default"/>
        <w:lang w:val="en-US" w:eastAsia="en-US" w:bidi="ar-SA"/>
      </w:rPr>
    </w:lvl>
    <w:lvl w:ilvl="8" w:tplc="13D2A290">
      <w:numFmt w:val="bullet"/>
      <w:lvlText w:val="•"/>
      <w:lvlJc w:val="left"/>
      <w:pPr>
        <w:ind w:left="7569" w:hanging="567"/>
      </w:pPr>
      <w:rPr>
        <w:rFonts w:hint="default"/>
        <w:lang w:val="en-US" w:eastAsia="en-US" w:bidi="ar-SA"/>
      </w:rPr>
    </w:lvl>
  </w:abstractNum>
  <w:abstractNum w:abstractNumId="443" w15:restartNumberingAfterBreak="0">
    <w:nsid w:val="77AB1C9E"/>
    <w:multiLevelType w:val="hybridMultilevel"/>
    <w:tmpl w:val="1B62F39A"/>
    <w:lvl w:ilvl="0" w:tplc="E5A2F62A">
      <w:start w:val="1"/>
      <w:numFmt w:val="lowerLetter"/>
      <w:lvlText w:val="(%1)"/>
      <w:lvlJc w:val="left"/>
      <w:pPr>
        <w:ind w:left="2408" w:hanging="567"/>
      </w:pPr>
      <w:rPr>
        <w:rFonts w:ascii="Arial" w:eastAsia="Calibri" w:hAnsi="Arial" w:cs="Arial" w:hint="default"/>
        <w:spacing w:val="-1"/>
        <w:w w:val="100"/>
        <w:sz w:val="20"/>
        <w:szCs w:val="22"/>
        <w:lang w:val="en-US" w:eastAsia="en-US" w:bidi="ar-SA"/>
      </w:rPr>
    </w:lvl>
    <w:lvl w:ilvl="1" w:tplc="24A8B4CE">
      <w:start w:val="1"/>
      <w:numFmt w:val="decimal"/>
      <w:lvlText w:val="(%2)"/>
      <w:lvlJc w:val="left"/>
      <w:pPr>
        <w:ind w:left="2975" w:hanging="567"/>
      </w:pPr>
      <w:rPr>
        <w:rFonts w:ascii="Arial" w:eastAsia="Calibri" w:hAnsi="Arial" w:cs="Arial" w:hint="default"/>
        <w:spacing w:val="-1"/>
        <w:w w:val="100"/>
        <w:sz w:val="20"/>
        <w:szCs w:val="22"/>
        <w:lang w:val="en-US" w:eastAsia="en-US" w:bidi="ar-SA"/>
      </w:rPr>
    </w:lvl>
    <w:lvl w:ilvl="2" w:tplc="BE6A62C8">
      <w:numFmt w:val="bullet"/>
      <w:lvlText w:val="•"/>
      <w:lvlJc w:val="left"/>
      <w:pPr>
        <w:ind w:left="3689" w:hanging="567"/>
      </w:pPr>
      <w:rPr>
        <w:rFonts w:hint="default"/>
        <w:lang w:val="en-US" w:eastAsia="en-US" w:bidi="ar-SA"/>
      </w:rPr>
    </w:lvl>
    <w:lvl w:ilvl="3" w:tplc="05026E78">
      <w:numFmt w:val="bullet"/>
      <w:lvlText w:val="•"/>
      <w:lvlJc w:val="left"/>
      <w:pPr>
        <w:ind w:left="4399" w:hanging="567"/>
      </w:pPr>
      <w:rPr>
        <w:rFonts w:hint="default"/>
        <w:lang w:val="en-US" w:eastAsia="en-US" w:bidi="ar-SA"/>
      </w:rPr>
    </w:lvl>
    <w:lvl w:ilvl="4" w:tplc="9224145C">
      <w:numFmt w:val="bullet"/>
      <w:lvlText w:val="•"/>
      <w:lvlJc w:val="left"/>
      <w:pPr>
        <w:ind w:left="5108" w:hanging="567"/>
      </w:pPr>
      <w:rPr>
        <w:rFonts w:hint="default"/>
        <w:lang w:val="en-US" w:eastAsia="en-US" w:bidi="ar-SA"/>
      </w:rPr>
    </w:lvl>
    <w:lvl w:ilvl="5" w:tplc="6B10E140">
      <w:numFmt w:val="bullet"/>
      <w:lvlText w:val="•"/>
      <w:lvlJc w:val="left"/>
      <w:pPr>
        <w:ind w:left="5818" w:hanging="567"/>
      </w:pPr>
      <w:rPr>
        <w:rFonts w:hint="default"/>
        <w:lang w:val="en-US" w:eastAsia="en-US" w:bidi="ar-SA"/>
      </w:rPr>
    </w:lvl>
    <w:lvl w:ilvl="6" w:tplc="D130B11A">
      <w:numFmt w:val="bullet"/>
      <w:lvlText w:val="•"/>
      <w:lvlJc w:val="left"/>
      <w:pPr>
        <w:ind w:left="6528" w:hanging="567"/>
      </w:pPr>
      <w:rPr>
        <w:rFonts w:hint="default"/>
        <w:lang w:val="en-US" w:eastAsia="en-US" w:bidi="ar-SA"/>
      </w:rPr>
    </w:lvl>
    <w:lvl w:ilvl="7" w:tplc="DFF45674">
      <w:numFmt w:val="bullet"/>
      <w:lvlText w:val="•"/>
      <w:lvlJc w:val="left"/>
      <w:pPr>
        <w:ind w:left="7237" w:hanging="567"/>
      </w:pPr>
      <w:rPr>
        <w:rFonts w:hint="default"/>
        <w:lang w:val="en-US" w:eastAsia="en-US" w:bidi="ar-SA"/>
      </w:rPr>
    </w:lvl>
    <w:lvl w:ilvl="8" w:tplc="F9886614">
      <w:numFmt w:val="bullet"/>
      <w:lvlText w:val="•"/>
      <w:lvlJc w:val="left"/>
      <w:pPr>
        <w:ind w:left="7947" w:hanging="567"/>
      </w:pPr>
      <w:rPr>
        <w:rFonts w:hint="default"/>
        <w:lang w:val="en-US" w:eastAsia="en-US" w:bidi="ar-SA"/>
      </w:rPr>
    </w:lvl>
  </w:abstractNum>
  <w:abstractNum w:abstractNumId="444" w15:restartNumberingAfterBreak="0">
    <w:nsid w:val="77D208BB"/>
    <w:multiLevelType w:val="hybridMultilevel"/>
    <w:tmpl w:val="2E82929A"/>
    <w:lvl w:ilvl="0" w:tplc="6D8AE5E2">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3C43832">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699E450C">
      <w:numFmt w:val="bullet"/>
      <w:lvlText w:val="•"/>
      <w:lvlJc w:val="left"/>
      <w:pPr>
        <w:ind w:left="2178" w:hanging="567"/>
      </w:pPr>
      <w:rPr>
        <w:rFonts w:hint="default"/>
        <w:lang w:val="en-US" w:eastAsia="en-US" w:bidi="ar-SA"/>
      </w:rPr>
    </w:lvl>
    <w:lvl w:ilvl="3" w:tplc="64A8096A">
      <w:numFmt w:val="bullet"/>
      <w:lvlText w:val="•"/>
      <w:lvlJc w:val="left"/>
      <w:pPr>
        <w:ind w:left="3076" w:hanging="567"/>
      </w:pPr>
      <w:rPr>
        <w:rFonts w:hint="default"/>
        <w:lang w:val="en-US" w:eastAsia="en-US" w:bidi="ar-SA"/>
      </w:rPr>
    </w:lvl>
    <w:lvl w:ilvl="4" w:tplc="A028C292">
      <w:numFmt w:val="bullet"/>
      <w:lvlText w:val="•"/>
      <w:lvlJc w:val="left"/>
      <w:pPr>
        <w:ind w:left="3975" w:hanging="567"/>
      </w:pPr>
      <w:rPr>
        <w:rFonts w:hint="default"/>
        <w:lang w:val="en-US" w:eastAsia="en-US" w:bidi="ar-SA"/>
      </w:rPr>
    </w:lvl>
    <w:lvl w:ilvl="5" w:tplc="F000DAEA">
      <w:numFmt w:val="bullet"/>
      <w:lvlText w:val="•"/>
      <w:lvlJc w:val="left"/>
      <w:pPr>
        <w:ind w:left="4873" w:hanging="567"/>
      </w:pPr>
      <w:rPr>
        <w:rFonts w:hint="default"/>
        <w:lang w:val="en-US" w:eastAsia="en-US" w:bidi="ar-SA"/>
      </w:rPr>
    </w:lvl>
    <w:lvl w:ilvl="6" w:tplc="051C5690">
      <w:numFmt w:val="bullet"/>
      <w:lvlText w:val="•"/>
      <w:lvlJc w:val="left"/>
      <w:pPr>
        <w:ind w:left="5772" w:hanging="567"/>
      </w:pPr>
      <w:rPr>
        <w:rFonts w:hint="default"/>
        <w:lang w:val="en-US" w:eastAsia="en-US" w:bidi="ar-SA"/>
      </w:rPr>
    </w:lvl>
    <w:lvl w:ilvl="7" w:tplc="37D67F6A">
      <w:numFmt w:val="bullet"/>
      <w:lvlText w:val="•"/>
      <w:lvlJc w:val="left"/>
      <w:pPr>
        <w:ind w:left="6670" w:hanging="567"/>
      </w:pPr>
      <w:rPr>
        <w:rFonts w:hint="default"/>
        <w:lang w:val="en-US" w:eastAsia="en-US" w:bidi="ar-SA"/>
      </w:rPr>
    </w:lvl>
    <w:lvl w:ilvl="8" w:tplc="95A2034C">
      <w:numFmt w:val="bullet"/>
      <w:lvlText w:val="•"/>
      <w:lvlJc w:val="left"/>
      <w:pPr>
        <w:ind w:left="7569" w:hanging="567"/>
      </w:pPr>
      <w:rPr>
        <w:rFonts w:hint="default"/>
        <w:lang w:val="en-US" w:eastAsia="en-US" w:bidi="ar-SA"/>
      </w:rPr>
    </w:lvl>
  </w:abstractNum>
  <w:abstractNum w:abstractNumId="445" w15:restartNumberingAfterBreak="0">
    <w:nsid w:val="78022CB1"/>
    <w:multiLevelType w:val="hybridMultilevel"/>
    <w:tmpl w:val="29DC485A"/>
    <w:lvl w:ilvl="0" w:tplc="37C26A22">
      <w:start w:val="1"/>
      <w:numFmt w:val="lowerRoman"/>
      <w:lvlText w:val="(%1)"/>
      <w:lvlJc w:val="left"/>
      <w:pPr>
        <w:ind w:left="1842" w:hanging="569"/>
      </w:pPr>
      <w:rPr>
        <w:rFonts w:ascii="Arial" w:eastAsia="Calibri" w:hAnsi="Arial" w:cs="Arial" w:hint="default"/>
        <w:spacing w:val="-1"/>
        <w:w w:val="100"/>
        <w:sz w:val="20"/>
        <w:szCs w:val="22"/>
        <w:lang w:val="en-US" w:eastAsia="en-US" w:bidi="ar-SA"/>
      </w:rPr>
    </w:lvl>
    <w:lvl w:ilvl="1" w:tplc="59E62EB0">
      <w:numFmt w:val="bullet"/>
      <w:lvlText w:val="•"/>
      <w:lvlJc w:val="left"/>
      <w:pPr>
        <w:ind w:left="2592" w:hanging="569"/>
      </w:pPr>
      <w:rPr>
        <w:rFonts w:hint="default"/>
        <w:lang w:val="en-US" w:eastAsia="en-US" w:bidi="ar-SA"/>
      </w:rPr>
    </w:lvl>
    <w:lvl w:ilvl="2" w:tplc="8CDE9F3C">
      <w:numFmt w:val="bullet"/>
      <w:lvlText w:val="•"/>
      <w:lvlJc w:val="left"/>
      <w:pPr>
        <w:ind w:left="3345" w:hanging="569"/>
      </w:pPr>
      <w:rPr>
        <w:rFonts w:hint="default"/>
        <w:lang w:val="en-US" w:eastAsia="en-US" w:bidi="ar-SA"/>
      </w:rPr>
    </w:lvl>
    <w:lvl w:ilvl="3" w:tplc="34201B80">
      <w:numFmt w:val="bullet"/>
      <w:lvlText w:val="•"/>
      <w:lvlJc w:val="left"/>
      <w:pPr>
        <w:ind w:left="4097" w:hanging="569"/>
      </w:pPr>
      <w:rPr>
        <w:rFonts w:hint="default"/>
        <w:lang w:val="en-US" w:eastAsia="en-US" w:bidi="ar-SA"/>
      </w:rPr>
    </w:lvl>
    <w:lvl w:ilvl="4" w:tplc="65B06A5A">
      <w:numFmt w:val="bullet"/>
      <w:lvlText w:val="•"/>
      <w:lvlJc w:val="left"/>
      <w:pPr>
        <w:ind w:left="4850" w:hanging="569"/>
      </w:pPr>
      <w:rPr>
        <w:rFonts w:hint="default"/>
        <w:lang w:val="en-US" w:eastAsia="en-US" w:bidi="ar-SA"/>
      </w:rPr>
    </w:lvl>
    <w:lvl w:ilvl="5" w:tplc="88384E30">
      <w:numFmt w:val="bullet"/>
      <w:lvlText w:val="•"/>
      <w:lvlJc w:val="left"/>
      <w:pPr>
        <w:ind w:left="5603" w:hanging="569"/>
      </w:pPr>
      <w:rPr>
        <w:rFonts w:hint="default"/>
        <w:lang w:val="en-US" w:eastAsia="en-US" w:bidi="ar-SA"/>
      </w:rPr>
    </w:lvl>
    <w:lvl w:ilvl="6" w:tplc="1262A3D6">
      <w:numFmt w:val="bullet"/>
      <w:lvlText w:val="•"/>
      <w:lvlJc w:val="left"/>
      <w:pPr>
        <w:ind w:left="6355" w:hanging="569"/>
      </w:pPr>
      <w:rPr>
        <w:rFonts w:hint="default"/>
        <w:lang w:val="en-US" w:eastAsia="en-US" w:bidi="ar-SA"/>
      </w:rPr>
    </w:lvl>
    <w:lvl w:ilvl="7" w:tplc="DF30C120">
      <w:numFmt w:val="bullet"/>
      <w:lvlText w:val="•"/>
      <w:lvlJc w:val="left"/>
      <w:pPr>
        <w:ind w:left="7108" w:hanging="569"/>
      </w:pPr>
      <w:rPr>
        <w:rFonts w:hint="default"/>
        <w:lang w:val="en-US" w:eastAsia="en-US" w:bidi="ar-SA"/>
      </w:rPr>
    </w:lvl>
    <w:lvl w:ilvl="8" w:tplc="96D848A6">
      <w:numFmt w:val="bullet"/>
      <w:lvlText w:val="•"/>
      <w:lvlJc w:val="left"/>
      <w:pPr>
        <w:ind w:left="7861" w:hanging="569"/>
      </w:pPr>
      <w:rPr>
        <w:rFonts w:hint="default"/>
        <w:lang w:val="en-US" w:eastAsia="en-US" w:bidi="ar-SA"/>
      </w:rPr>
    </w:lvl>
  </w:abstractNum>
  <w:abstractNum w:abstractNumId="446" w15:restartNumberingAfterBreak="0">
    <w:nsid w:val="789C5D3A"/>
    <w:multiLevelType w:val="hybridMultilevel"/>
    <w:tmpl w:val="B126AEF6"/>
    <w:lvl w:ilvl="0" w:tplc="5930FF4C">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8D6833A8">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C87486E6">
      <w:numFmt w:val="bullet"/>
      <w:lvlText w:val="•"/>
      <w:lvlJc w:val="left"/>
      <w:pPr>
        <w:ind w:left="2178" w:hanging="567"/>
      </w:pPr>
      <w:rPr>
        <w:rFonts w:hint="default"/>
        <w:lang w:val="en-US" w:eastAsia="en-US" w:bidi="ar-SA"/>
      </w:rPr>
    </w:lvl>
    <w:lvl w:ilvl="3" w:tplc="AB2C33DA">
      <w:numFmt w:val="bullet"/>
      <w:lvlText w:val="•"/>
      <w:lvlJc w:val="left"/>
      <w:pPr>
        <w:ind w:left="3076" w:hanging="567"/>
      </w:pPr>
      <w:rPr>
        <w:rFonts w:hint="default"/>
        <w:lang w:val="en-US" w:eastAsia="en-US" w:bidi="ar-SA"/>
      </w:rPr>
    </w:lvl>
    <w:lvl w:ilvl="4" w:tplc="8C02D16E">
      <w:numFmt w:val="bullet"/>
      <w:lvlText w:val="•"/>
      <w:lvlJc w:val="left"/>
      <w:pPr>
        <w:ind w:left="3975" w:hanging="567"/>
      </w:pPr>
      <w:rPr>
        <w:rFonts w:hint="default"/>
        <w:lang w:val="en-US" w:eastAsia="en-US" w:bidi="ar-SA"/>
      </w:rPr>
    </w:lvl>
    <w:lvl w:ilvl="5" w:tplc="E2F8C3D4">
      <w:numFmt w:val="bullet"/>
      <w:lvlText w:val="•"/>
      <w:lvlJc w:val="left"/>
      <w:pPr>
        <w:ind w:left="4873" w:hanging="567"/>
      </w:pPr>
      <w:rPr>
        <w:rFonts w:hint="default"/>
        <w:lang w:val="en-US" w:eastAsia="en-US" w:bidi="ar-SA"/>
      </w:rPr>
    </w:lvl>
    <w:lvl w:ilvl="6" w:tplc="56D8EF10">
      <w:numFmt w:val="bullet"/>
      <w:lvlText w:val="•"/>
      <w:lvlJc w:val="left"/>
      <w:pPr>
        <w:ind w:left="5772" w:hanging="567"/>
      </w:pPr>
      <w:rPr>
        <w:rFonts w:hint="default"/>
        <w:lang w:val="en-US" w:eastAsia="en-US" w:bidi="ar-SA"/>
      </w:rPr>
    </w:lvl>
    <w:lvl w:ilvl="7" w:tplc="F808DCF0">
      <w:numFmt w:val="bullet"/>
      <w:lvlText w:val="•"/>
      <w:lvlJc w:val="left"/>
      <w:pPr>
        <w:ind w:left="6670" w:hanging="567"/>
      </w:pPr>
      <w:rPr>
        <w:rFonts w:hint="default"/>
        <w:lang w:val="en-US" w:eastAsia="en-US" w:bidi="ar-SA"/>
      </w:rPr>
    </w:lvl>
    <w:lvl w:ilvl="8" w:tplc="6DC6C20A">
      <w:numFmt w:val="bullet"/>
      <w:lvlText w:val="•"/>
      <w:lvlJc w:val="left"/>
      <w:pPr>
        <w:ind w:left="7569" w:hanging="567"/>
      </w:pPr>
      <w:rPr>
        <w:rFonts w:hint="default"/>
        <w:lang w:val="en-US" w:eastAsia="en-US" w:bidi="ar-SA"/>
      </w:rPr>
    </w:lvl>
  </w:abstractNum>
  <w:abstractNum w:abstractNumId="447" w15:restartNumberingAfterBreak="0">
    <w:nsid w:val="78E71791"/>
    <w:multiLevelType w:val="hybridMultilevel"/>
    <w:tmpl w:val="E5F0E452"/>
    <w:lvl w:ilvl="0" w:tplc="84C880F4">
      <w:start w:val="1"/>
      <w:numFmt w:val="lowerLetter"/>
      <w:lvlText w:val="(%1)"/>
      <w:lvlJc w:val="left"/>
      <w:pPr>
        <w:ind w:left="706" w:hanging="567"/>
      </w:pPr>
      <w:rPr>
        <w:rFonts w:ascii="Calibri" w:eastAsia="Calibri" w:hAnsi="Calibri" w:cs="Calibri" w:hint="default"/>
        <w:spacing w:val="-1"/>
        <w:w w:val="100"/>
        <w:sz w:val="22"/>
        <w:szCs w:val="22"/>
        <w:lang w:val="en-US" w:eastAsia="en-US" w:bidi="ar-SA"/>
      </w:rPr>
    </w:lvl>
    <w:lvl w:ilvl="1" w:tplc="A11E67B8">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E6724E2A">
      <w:numFmt w:val="bullet"/>
      <w:lvlText w:val="•"/>
      <w:lvlJc w:val="left"/>
      <w:pPr>
        <w:ind w:left="2178" w:hanging="567"/>
      </w:pPr>
      <w:rPr>
        <w:rFonts w:hint="default"/>
        <w:lang w:val="en-US" w:eastAsia="en-US" w:bidi="ar-SA"/>
      </w:rPr>
    </w:lvl>
    <w:lvl w:ilvl="3" w:tplc="040A6E90">
      <w:numFmt w:val="bullet"/>
      <w:lvlText w:val="•"/>
      <w:lvlJc w:val="left"/>
      <w:pPr>
        <w:ind w:left="3076" w:hanging="567"/>
      </w:pPr>
      <w:rPr>
        <w:rFonts w:hint="default"/>
        <w:lang w:val="en-US" w:eastAsia="en-US" w:bidi="ar-SA"/>
      </w:rPr>
    </w:lvl>
    <w:lvl w:ilvl="4" w:tplc="14985A48">
      <w:numFmt w:val="bullet"/>
      <w:lvlText w:val="•"/>
      <w:lvlJc w:val="left"/>
      <w:pPr>
        <w:ind w:left="3975" w:hanging="567"/>
      </w:pPr>
      <w:rPr>
        <w:rFonts w:hint="default"/>
        <w:lang w:val="en-US" w:eastAsia="en-US" w:bidi="ar-SA"/>
      </w:rPr>
    </w:lvl>
    <w:lvl w:ilvl="5" w:tplc="155846A6">
      <w:numFmt w:val="bullet"/>
      <w:lvlText w:val="•"/>
      <w:lvlJc w:val="left"/>
      <w:pPr>
        <w:ind w:left="4873" w:hanging="567"/>
      </w:pPr>
      <w:rPr>
        <w:rFonts w:hint="default"/>
        <w:lang w:val="en-US" w:eastAsia="en-US" w:bidi="ar-SA"/>
      </w:rPr>
    </w:lvl>
    <w:lvl w:ilvl="6" w:tplc="D1CE72D8">
      <w:numFmt w:val="bullet"/>
      <w:lvlText w:val="•"/>
      <w:lvlJc w:val="left"/>
      <w:pPr>
        <w:ind w:left="5772" w:hanging="567"/>
      </w:pPr>
      <w:rPr>
        <w:rFonts w:hint="default"/>
        <w:lang w:val="en-US" w:eastAsia="en-US" w:bidi="ar-SA"/>
      </w:rPr>
    </w:lvl>
    <w:lvl w:ilvl="7" w:tplc="4C3AE57C">
      <w:numFmt w:val="bullet"/>
      <w:lvlText w:val="•"/>
      <w:lvlJc w:val="left"/>
      <w:pPr>
        <w:ind w:left="6670" w:hanging="567"/>
      </w:pPr>
      <w:rPr>
        <w:rFonts w:hint="default"/>
        <w:lang w:val="en-US" w:eastAsia="en-US" w:bidi="ar-SA"/>
      </w:rPr>
    </w:lvl>
    <w:lvl w:ilvl="8" w:tplc="530C74DE">
      <w:numFmt w:val="bullet"/>
      <w:lvlText w:val="•"/>
      <w:lvlJc w:val="left"/>
      <w:pPr>
        <w:ind w:left="7569" w:hanging="567"/>
      </w:pPr>
      <w:rPr>
        <w:rFonts w:hint="default"/>
        <w:lang w:val="en-US" w:eastAsia="en-US" w:bidi="ar-SA"/>
      </w:rPr>
    </w:lvl>
  </w:abstractNum>
  <w:abstractNum w:abstractNumId="448" w15:restartNumberingAfterBreak="0">
    <w:nsid w:val="79353234"/>
    <w:multiLevelType w:val="hybridMultilevel"/>
    <w:tmpl w:val="2D2AF6E2"/>
    <w:lvl w:ilvl="0" w:tplc="FFFFFFFF">
      <w:start w:val="1"/>
      <w:numFmt w:val="decimal"/>
      <w:lvlText w:val="(%1)"/>
      <w:lvlJc w:val="left"/>
      <w:pPr>
        <w:ind w:left="1273" w:hanging="567"/>
      </w:pPr>
      <w:rPr>
        <w:rFonts w:ascii="Arial" w:eastAsia="Calibri" w:hAnsi="Arial" w:cs="Arial" w:hint="default"/>
        <w:spacing w:val="-1"/>
        <w:w w:val="100"/>
        <w:sz w:val="20"/>
        <w:szCs w:val="22"/>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9" w15:restartNumberingAfterBreak="0">
    <w:nsid w:val="79550DE7"/>
    <w:multiLevelType w:val="hybridMultilevel"/>
    <w:tmpl w:val="020CF650"/>
    <w:lvl w:ilvl="0" w:tplc="0BA4DF44">
      <w:start w:val="1"/>
      <w:numFmt w:val="lowerLetter"/>
      <w:lvlText w:val="(%1)"/>
      <w:lvlJc w:val="left"/>
      <w:pPr>
        <w:ind w:left="2408" w:hanging="567"/>
      </w:pPr>
      <w:rPr>
        <w:rFonts w:ascii="Arial" w:eastAsia="Calibri" w:hAnsi="Arial" w:cs="Arial" w:hint="default"/>
        <w:spacing w:val="-1"/>
        <w:w w:val="100"/>
        <w:sz w:val="20"/>
        <w:szCs w:val="22"/>
        <w:lang w:val="en-US" w:eastAsia="en-US" w:bidi="ar-SA"/>
      </w:rPr>
    </w:lvl>
    <w:lvl w:ilvl="1" w:tplc="18E44DCE">
      <w:start w:val="1"/>
      <w:numFmt w:val="decimal"/>
      <w:lvlText w:val="(%2)"/>
      <w:lvlJc w:val="left"/>
      <w:pPr>
        <w:ind w:left="2975" w:hanging="567"/>
      </w:pPr>
      <w:rPr>
        <w:rFonts w:ascii="Arial" w:eastAsia="Calibri" w:hAnsi="Arial" w:cs="Arial" w:hint="default"/>
        <w:spacing w:val="-1"/>
        <w:w w:val="100"/>
        <w:sz w:val="20"/>
        <w:szCs w:val="22"/>
        <w:lang w:val="en-US" w:eastAsia="en-US" w:bidi="ar-SA"/>
      </w:rPr>
    </w:lvl>
    <w:lvl w:ilvl="2" w:tplc="E4B0B69E">
      <w:numFmt w:val="bullet"/>
      <w:lvlText w:val="•"/>
      <w:lvlJc w:val="left"/>
      <w:pPr>
        <w:ind w:left="3689" w:hanging="567"/>
      </w:pPr>
      <w:rPr>
        <w:rFonts w:hint="default"/>
        <w:lang w:val="en-US" w:eastAsia="en-US" w:bidi="ar-SA"/>
      </w:rPr>
    </w:lvl>
    <w:lvl w:ilvl="3" w:tplc="621437AE">
      <w:numFmt w:val="bullet"/>
      <w:lvlText w:val="•"/>
      <w:lvlJc w:val="left"/>
      <w:pPr>
        <w:ind w:left="4399" w:hanging="567"/>
      </w:pPr>
      <w:rPr>
        <w:rFonts w:hint="default"/>
        <w:lang w:val="en-US" w:eastAsia="en-US" w:bidi="ar-SA"/>
      </w:rPr>
    </w:lvl>
    <w:lvl w:ilvl="4" w:tplc="6B9A6B5E">
      <w:numFmt w:val="bullet"/>
      <w:lvlText w:val="•"/>
      <w:lvlJc w:val="left"/>
      <w:pPr>
        <w:ind w:left="5108" w:hanging="567"/>
      </w:pPr>
      <w:rPr>
        <w:rFonts w:hint="default"/>
        <w:lang w:val="en-US" w:eastAsia="en-US" w:bidi="ar-SA"/>
      </w:rPr>
    </w:lvl>
    <w:lvl w:ilvl="5" w:tplc="6BBA1FE0">
      <w:numFmt w:val="bullet"/>
      <w:lvlText w:val="•"/>
      <w:lvlJc w:val="left"/>
      <w:pPr>
        <w:ind w:left="5818" w:hanging="567"/>
      </w:pPr>
      <w:rPr>
        <w:rFonts w:hint="default"/>
        <w:lang w:val="en-US" w:eastAsia="en-US" w:bidi="ar-SA"/>
      </w:rPr>
    </w:lvl>
    <w:lvl w:ilvl="6" w:tplc="30F48C84">
      <w:numFmt w:val="bullet"/>
      <w:lvlText w:val="•"/>
      <w:lvlJc w:val="left"/>
      <w:pPr>
        <w:ind w:left="6528" w:hanging="567"/>
      </w:pPr>
      <w:rPr>
        <w:rFonts w:hint="default"/>
        <w:lang w:val="en-US" w:eastAsia="en-US" w:bidi="ar-SA"/>
      </w:rPr>
    </w:lvl>
    <w:lvl w:ilvl="7" w:tplc="45F2A67E">
      <w:numFmt w:val="bullet"/>
      <w:lvlText w:val="•"/>
      <w:lvlJc w:val="left"/>
      <w:pPr>
        <w:ind w:left="7237" w:hanging="567"/>
      </w:pPr>
      <w:rPr>
        <w:rFonts w:hint="default"/>
        <w:lang w:val="en-US" w:eastAsia="en-US" w:bidi="ar-SA"/>
      </w:rPr>
    </w:lvl>
    <w:lvl w:ilvl="8" w:tplc="B28AE958">
      <w:numFmt w:val="bullet"/>
      <w:lvlText w:val="•"/>
      <w:lvlJc w:val="left"/>
      <w:pPr>
        <w:ind w:left="7947" w:hanging="567"/>
      </w:pPr>
      <w:rPr>
        <w:rFonts w:hint="default"/>
        <w:lang w:val="en-US" w:eastAsia="en-US" w:bidi="ar-SA"/>
      </w:rPr>
    </w:lvl>
  </w:abstractNum>
  <w:abstractNum w:abstractNumId="450" w15:restartNumberingAfterBreak="0">
    <w:nsid w:val="798955F6"/>
    <w:multiLevelType w:val="hybridMultilevel"/>
    <w:tmpl w:val="3CB077E4"/>
    <w:lvl w:ilvl="0" w:tplc="1FD20728">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E0DA9D9E">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50D2EC2A">
      <w:numFmt w:val="bullet"/>
      <w:lvlText w:val="•"/>
      <w:lvlJc w:val="left"/>
      <w:pPr>
        <w:ind w:left="2178" w:hanging="567"/>
      </w:pPr>
      <w:rPr>
        <w:rFonts w:hint="default"/>
        <w:lang w:val="en-US" w:eastAsia="en-US" w:bidi="ar-SA"/>
      </w:rPr>
    </w:lvl>
    <w:lvl w:ilvl="3" w:tplc="94C84284">
      <w:numFmt w:val="bullet"/>
      <w:lvlText w:val="•"/>
      <w:lvlJc w:val="left"/>
      <w:pPr>
        <w:ind w:left="3076" w:hanging="567"/>
      </w:pPr>
      <w:rPr>
        <w:rFonts w:hint="default"/>
        <w:lang w:val="en-US" w:eastAsia="en-US" w:bidi="ar-SA"/>
      </w:rPr>
    </w:lvl>
    <w:lvl w:ilvl="4" w:tplc="22C2C652">
      <w:numFmt w:val="bullet"/>
      <w:lvlText w:val="•"/>
      <w:lvlJc w:val="left"/>
      <w:pPr>
        <w:ind w:left="3975" w:hanging="567"/>
      </w:pPr>
      <w:rPr>
        <w:rFonts w:hint="default"/>
        <w:lang w:val="en-US" w:eastAsia="en-US" w:bidi="ar-SA"/>
      </w:rPr>
    </w:lvl>
    <w:lvl w:ilvl="5" w:tplc="EBF4A05C">
      <w:numFmt w:val="bullet"/>
      <w:lvlText w:val="•"/>
      <w:lvlJc w:val="left"/>
      <w:pPr>
        <w:ind w:left="4873" w:hanging="567"/>
      </w:pPr>
      <w:rPr>
        <w:rFonts w:hint="default"/>
        <w:lang w:val="en-US" w:eastAsia="en-US" w:bidi="ar-SA"/>
      </w:rPr>
    </w:lvl>
    <w:lvl w:ilvl="6" w:tplc="71880614">
      <w:numFmt w:val="bullet"/>
      <w:lvlText w:val="•"/>
      <w:lvlJc w:val="left"/>
      <w:pPr>
        <w:ind w:left="5772" w:hanging="567"/>
      </w:pPr>
      <w:rPr>
        <w:rFonts w:hint="default"/>
        <w:lang w:val="en-US" w:eastAsia="en-US" w:bidi="ar-SA"/>
      </w:rPr>
    </w:lvl>
    <w:lvl w:ilvl="7" w:tplc="6E808366">
      <w:numFmt w:val="bullet"/>
      <w:lvlText w:val="•"/>
      <w:lvlJc w:val="left"/>
      <w:pPr>
        <w:ind w:left="6670" w:hanging="567"/>
      </w:pPr>
      <w:rPr>
        <w:rFonts w:hint="default"/>
        <w:lang w:val="en-US" w:eastAsia="en-US" w:bidi="ar-SA"/>
      </w:rPr>
    </w:lvl>
    <w:lvl w:ilvl="8" w:tplc="81B0C09C">
      <w:numFmt w:val="bullet"/>
      <w:lvlText w:val="•"/>
      <w:lvlJc w:val="left"/>
      <w:pPr>
        <w:ind w:left="7569" w:hanging="567"/>
      </w:pPr>
      <w:rPr>
        <w:rFonts w:hint="default"/>
        <w:lang w:val="en-US" w:eastAsia="en-US" w:bidi="ar-SA"/>
      </w:rPr>
    </w:lvl>
  </w:abstractNum>
  <w:abstractNum w:abstractNumId="451" w15:restartNumberingAfterBreak="0">
    <w:nsid w:val="79AD23E6"/>
    <w:multiLevelType w:val="hybridMultilevel"/>
    <w:tmpl w:val="A36A9364"/>
    <w:lvl w:ilvl="0" w:tplc="EE8E5A4C">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51441AA2">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CD4674F8">
      <w:numFmt w:val="bullet"/>
      <w:lvlText w:val="•"/>
      <w:lvlJc w:val="left"/>
      <w:pPr>
        <w:ind w:left="2178" w:hanging="567"/>
      </w:pPr>
      <w:rPr>
        <w:rFonts w:hint="default"/>
        <w:lang w:val="en-US" w:eastAsia="en-US" w:bidi="ar-SA"/>
      </w:rPr>
    </w:lvl>
    <w:lvl w:ilvl="3" w:tplc="F06E6844">
      <w:numFmt w:val="bullet"/>
      <w:lvlText w:val="•"/>
      <w:lvlJc w:val="left"/>
      <w:pPr>
        <w:ind w:left="3076" w:hanging="567"/>
      </w:pPr>
      <w:rPr>
        <w:rFonts w:hint="default"/>
        <w:lang w:val="en-US" w:eastAsia="en-US" w:bidi="ar-SA"/>
      </w:rPr>
    </w:lvl>
    <w:lvl w:ilvl="4" w:tplc="90FA4A2E">
      <w:numFmt w:val="bullet"/>
      <w:lvlText w:val="•"/>
      <w:lvlJc w:val="left"/>
      <w:pPr>
        <w:ind w:left="3975" w:hanging="567"/>
      </w:pPr>
      <w:rPr>
        <w:rFonts w:hint="default"/>
        <w:lang w:val="en-US" w:eastAsia="en-US" w:bidi="ar-SA"/>
      </w:rPr>
    </w:lvl>
    <w:lvl w:ilvl="5" w:tplc="5E100972">
      <w:numFmt w:val="bullet"/>
      <w:lvlText w:val="•"/>
      <w:lvlJc w:val="left"/>
      <w:pPr>
        <w:ind w:left="4873" w:hanging="567"/>
      </w:pPr>
      <w:rPr>
        <w:rFonts w:hint="default"/>
        <w:lang w:val="en-US" w:eastAsia="en-US" w:bidi="ar-SA"/>
      </w:rPr>
    </w:lvl>
    <w:lvl w:ilvl="6" w:tplc="CEF41908">
      <w:numFmt w:val="bullet"/>
      <w:lvlText w:val="•"/>
      <w:lvlJc w:val="left"/>
      <w:pPr>
        <w:ind w:left="5772" w:hanging="567"/>
      </w:pPr>
      <w:rPr>
        <w:rFonts w:hint="default"/>
        <w:lang w:val="en-US" w:eastAsia="en-US" w:bidi="ar-SA"/>
      </w:rPr>
    </w:lvl>
    <w:lvl w:ilvl="7" w:tplc="9DA2F2A4">
      <w:numFmt w:val="bullet"/>
      <w:lvlText w:val="•"/>
      <w:lvlJc w:val="left"/>
      <w:pPr>
        <w:ind w:left="6670" w:hanging="567"/>
      </w:pPr>
      <w:rPr>
        <w:rFonts w:hint="default"/>
        <w:lang w:val="en-US" w:eastAsia="en-US" w:bidi="ar-SA"/>
      </w:rPr>
    </w:lvl>
    <w:lvl w:ilvl="8" w:tplc="40BE16D8">
      <w:numFmt w:val="bullet"/>
      <w:lvlText w:val="•"/>
      <w:lvlJc w:val="left"/>
      <w:pPr>
        <w:ind w:left="7569" w:hanging="567"/>
      </w:pPr>
      <w:rPr>
        <w:rFonts w:hint="default"/>
        <w:lang w:val="en-US" w:eastAsia="en-US" w:bidi="ar-SA"/>
      </w:rPr>
    </w:lvl>
  </w:abstractNum>
  <w:abstractNum w:abstractNumId="452" w15:restartNumberingAfterBreak="0">
    <w:nsid w:val="79CA1294"/>
    <w:multiLevelType w:val="hybridMultilevel"/>
    <w:tmpl w:val="97F8B104"/>
    <w:lvl w:ilvl="0" w:tplc="78306480">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57FAA0DA">
      <w:numFmt w:val="bullet"/>
      <w:lvlText w:val="•"/>
      <w:lvlJc w:val="left"/>
      <w:pPr>
        <w:ind w:left="1566" w:hanging="567"/>
      </w:pPr>
      <w:rPr>
        <w:rFonts w:hint="default"/>
        <w:lang w:val="en-US" w:eastAsia="en-US" w:bidi="ar-SA"/>
      </w:rPr>
    </w:lvl>
    <w:lvl w:ilvl="2" w:tplc="6B04F022">
      <w:numFmt w:val="bullet"/>
      <w:lvlText w:val="•"/>
      <w:lvlJc w:val="left"/>
      <w:pPr>
        <w:ind w:left="2433" w:hanging="567"/>
      </w:pPr>
      <w:rPr>
        <w:rFonts w:hint="default"/>
        <w:lang w:val="en-US" w:eastAsia="en-US" w:bidi="ar-SA"/>
      </w:rPr>
    </w:lvl>
    <w:lvl w:ilvl="3" w:tplc="025487E2">
      <w:numFmt w:val="bullet"/>
      <w:lvlText w:val="•"/>
      <w:lvlJc w:val="left"/>
      <w:pPr>
        <w:ind w:left="3299" w:hanging="567"/>
      </w:pPr>
      <w:rPr>
        <w:rFonts w:hint="default"/>
        <w:lang w:val="en-US" w:eastAsia="en-US" w:bidi="ar-SA"/>
      </w:rPr>
    </w:lvl>
    <w:lvl w:ilvl="4" w:tplc="81AE62A2">
      <w:numFmt w:val="bullet"/>
      <w:lvlText w:val="•"/>
      <w:lvlJc w:val="left"/>
      <w:pPr>
        <w:ind w:left="4166" w:hanging="567"/>
      </w:pPr>
      <w:rPr>
        <w:rFonts w:hint="default"/>
        <w:lang w:val="en-US" w:eastAsia="en-US" w:bidi="ar-SA"/>
      </w:rPr>
    </w:lvl>
    <w:lvl w:ilvl="5" w:tplc="50DA199E">
      <w:numFmt w:val="bullet"/>
      <w:lvlText w:val="•"/>
      <w:lvlJc w:val="left"/>
      <w:pPr>
        <w:ind w:left="5033" w:hanging="567"/>
      </w:pPr>
      <w:rPr>
        <w:rFonts w:hint="default"/>
        <w:lang w:val="en-US" w:eastAsia="en-US" w:bidi="ar-SA"/>
      </w:rPr>
    </w:lvl>
    <w:lvl w:ilvl="6" w:tplc="0084469A">
      <w:numFmt w:val="bullet"/>
      <w:lvlText w:val="•"/>
      <w:lvlJc w:val="left"/>
      <w:pPr>
        <w:ind w:left="5899" w:hanging="567"/>
      </w:pPr>
      <w:rPr>
        <w:rFonts w:hint="default"/>
        <w:lang w:val="en-US" w:eastAsia="en-US" w:bidi="ar-SA"/>
      </w:rPr>
    </w:lvl>
    <w:lvl w:ilvl="7" w:tplc="E6D04388">
      <w:numFmt w:val="bullet"/>
      <w:lvlText w:val="•"/>
      <w:lvlJc w:val="left"/>
      <w:pPr>
        <w:ind w:left="6766" w:hanging="567"/>
      </w:pPr>
      <w:rPr>
        <w:rFonts w:hint="default"/>
        <w:lang w:val="en-US" w:eastAsia="en-US" w:bidi="ar-SA"/>
      </w:rPr>
    </w:lvl>
    <w:lvl w:ilvl="8" w:tplc="4C70D950">
      <w:numFmt w:val="bullet"/>
      <w:lvlText w:val="•"/>
      <w:lvlJc w:val="left"/>
      <w:pPr>
        <w:ind w:left="7633" w:hanging="567"/>
      </w:pPr>
      <w:rPr>
        <w:rFonts w:hint="default"/>
        <w:lang w:val="en-US" w:eastAsia="en-US" w:bidi="ar-SA"/>
      </w:rPr>
    </w:lvl>
  </w:abstractNum>
  <w:abstractNum w:abstractNumId="453" w15:restartNumberingAfterBreak="0">
    <w:nsid w:val="7A8F0CEA"/>
    <w:multiLevelType w:val="hybridMultilevel"/>
    <w:tmpl w:val="9C7EF8C8"/>
    <w:lvl w:ilvl="0" w:tplc="A940722C">
      <w:start w:val="1"/>
      <w:numFmt w:val="lowerLetter"/>
      <w:lvlText w:val="(%1)"/>
      <w:lvlJc w:val="left"/>
      <w:pPr>
        <w:ind w:left="706" w:hanging="567"/>
      </w:pPr>
      <w:rPr>
        <w:rFonts w:ascii="Arial" w:eastAsia="Calibri" w:hAnsi="Arial" w:cs="Arial" w:hint="default"/>
        <w:spacing w:val="-1"/>
        <w:w w:val="100"/>
        <w:sz w:val="20"/>
        <w:szCs w:val="20"/>
        <w:lang w:val="en-US" w:eastAsia="en-US" w:bidi="ar-SA"/>
      </w:rPr>
    </w:lvl>
    <w:lvl w:ilvl="1" w:tplc="26E46B0E">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EEFCD274">
      <w:start w:val="1"/>
      <w:numFmt w:val="lowerRoman"/>
      <w:lvlText w:val="(%3)"/>
      <w:lvlJc w:val="left"/>
      <w:pPr>
        <w:ind w:left="1842" w:hanging="569"/>
      </w:pPr>
      <w:rPr>
        <w:rFonts w:ascii="Arial" w:eastAsia="Calibri" w:hAnsi="Arial" w:cs="Arial" w:hint="default"/>
        <w:spacing w:val="-1"/>
        <w:w w:val="100"/>
        <w:sz w:val="20"/>
        <w:szCs w:val="22"/>
        <w:lang w:val="en-US" w:eastAsia="en-US" w:bidi="ar-SA"/>
      </w:rPr>
    </w:lvl>
    <w:lvl w:ilvl="3" w:tplc="67E2E758">
      <w:start w:val="1"/>
      <w:numFmt w:val="upperLetter"/>
      <w:lvlText w:val="(%4)"/>
      <w:lvlJc w:val="left"/>
      <w:pPr>
        <w:ind w:left="2408" w:hanging="567"/>
      </w:pPr>
      <w:rPr>
        <w:rFonts w:ascii="Arial" w:eastAsia="Calibri" w:hAnsi="Arial" w:cs="Arial" w:hint="default"/>
        <w:spacing w:val="-1"/>
        <w:w w:val="100"/>
        <w:sz w:val="20"/>
        <w:szCs w:val="22"/>
        <w:lang w:val="en-US" w:eastAsia="en-US" w:bidi="ar-SA"/>
      </w:rPr>
    </w:lvl>
    <w:lvl w:ilvl="4" w:tplc="8A625696">
      <w:numFmt w:val="bullet"/>
      <w:lvlText w:val="•"/>
      <w:lvlJc w:val="left"/>
      <w:pPr>
        <w:ind w:left="3395" w:hanging="567"/>
      </w:pPr>
      <w:rPr>
        <w:rFonts w:hint="default"/>
        <w:lang w:val="en-US" w:eastAsia="en-US" w:bidi="ar-SA"/>
      </w:rPr>
    </w:lvl>
    <w:lvl w:ilvl="5" w:tplc="4B66166A">
      <w:numFmt w:val="bullet"/>
      <w:lvlText w:val="•"/>
      <w:lvlJc w:val="left"/>
      <w:pPr>
        <w:ind w:left="4390" w:hanging="567"/>
      </w:pPr>
      <w:rPr>
        <w:rFonts w:hint="default"/>
        <w:lang w:val="en-US" w:eastAsia="en-US" w:bidi="ar-SA"/>
      </w:rPr>
    </w:lvl>
    <w:lvl w:ilvl="6" w:tplc="226E348E">
      <w:numFmt w:val="bullet"/>
      <w:lvlText w:val="•"/>
      <w:lvlJc w:val="left"/>
      <w:pPr>
        <w:ind w:left="5385" w:hanging="567"/>
      </w:pPr>
      <w:rPr>
        <w:rFonts w:hint="default"/>
        <w:lang w:val="en-US" w:eastAsia="en-US" w:bidi="ar-SA"/>
      </w:rPr>
    </w:lvl>
    <w:lvl w:ilvl="7" w:tplc="933E40F2">
      <w:numFmt w:val="bullet"/>
      <w:lvlText w:val="•"/>
      <w:lvlJc w:val="left"/>
      <w:pPr>
        <w:ind w:left="6380" w:hanging="567"/>
      </w:pPr>
      <w:rPr>
        <w:rFonts w:hint="default"/>
        <w:lang w:val="en-US" w:eastAsia="en-US" w:bidi="ar-SA"/>
      </w:rPr>
    </w:lvl>
    <w:lvl w:ilvl="8" w:tplc="F2CC147C">
      <w:numFmt w:val="bullet"/>
      <w:lvlText w:val="•"/>
      <w:lvlJc w:val="left"/>
      <w:pPr>
        <w:ind w:left="7376" w:hanging="567"/>
      </w:pPr>
      <w:rPr>
        <w:rFonts w:hint="default"/>
        <w:lang w:val="en-US" w:eastAsia="en-US" w:bidi="ar-SA"/>
      </w:rPr>
    </w:lvl>
  </w:abstractNum>
  <w:abstractNum w:abstractNumId="454" w15:restartNumberingAfterBreak="0">
    <w:nsid w:val="7B136AEF"/>
    <w:multiLevelType w:val="hybridMultilevel"/>
    <w:tmpl w:val="413865A4"/>
    <w:lvl w:ilvl="0" w:tplc="D9D41B4A">
      <w:start w:val="1"/>
      <w:numFmt w:val="lowerRoman"/>
      <w:lvlText w:val="(%1)"/>
      <w:lvlJc w:val="left"/>
      <w:pPr>
        <w:ind w:left="2578" w:hanging="569"/>
      </w:pPr>
      <w:rPr>
        <w:rFonts w:ascii="Arial" w:eastAsia="Calibri" w:hAnsi="Arial" w:cs="Arial" w:hint="default"/>
        <w:spacing w:val="-1"/>
        <w:w w:val="100"/>
        <w:sz w:val="20"/>
        <w:szCs w:val="22"/>
        <w:lang w:val="en-US" w:eastAsia="en-US" w:bidi="ar-SA"/>
      </w:rPr>
    </w:lvl>
    <w:lvl w:ilvl="1" w:tplc="04090019" w:tentative="1">
      <w:start w:val="1"/>
      <w:numFmt w:val="lowerLetter"/>
      <w:lvlText w:val="%2."/>
      <w:lvlJc w:val="left"/>
      <w:pPr>
        <w:ind w:left="2176" w:hanging="360"/>
      </w:pPr>
    </w:lvl>
    <w:lvl w:ilvl="2" w:tplc="0409001B" w:tentative="1">
      <w:start w:val="1"/>
      <w:numFmt w:val="lowerRoman"/>
      <w:lvlText w:val="%3."/>
      <w:lvlJc w:val="right"/>
      <w:pPr>
        <w:ind w:left="2896" w:hanging="180"/>
      </w:pPr>
    </w:lvl>
    <w:lvl w:ilvl="3" w:tplc="0409000F" w:tentative="1">
      <w:start w:val="1"/>
      <w:numFmt w:val="decimal"/>
      <w:lvlText w:val="%4."/>
      <w:lvlJc w:val="left"/>
      <w:pPr>
        <w:ind w:left="3616" w:hanging="360"/>
      </w:pPr>
    </w:lvl>
    <w:lvl w:ilvl="4" w:tplc="04090019" w:tentative="1">
      <w:start w:val="1"/>
      <w:numFmt w:val="lowerLetter"/>
      <w:lvlText w:val="%5."/>
      <w:lvlJc w:val="left"/>
      <w:pPr>
        <w:ind w:left="4336" w:hanging="360"/>
      </w:pPr>
    </w:lvl>
    <w:lvl w:ilvl="5" w:tplc="0409001B" w:tentative="1">
      <w:start w:val="1"/>
      <w:numFmt w:val="lowerRoman"/>
      <w:lvlText w:val="%6."/>
      <w:lvlJc w:val="right"/>
      <w:pPr>
        <w:ind w:left="5056" w:hanging="180"/>
      </w:pPr>
    </w:lvl>
    <w:lvl w:ilvl="6" w:tplc="0409000F" w:tentative="1">
      <w:start w:val="1"/>
      <w:numFmt w:val="decimal"/>
      <w:lvlText w:val="%7."/>
      <w:lvlJc w:val="left"/>
      <w:pPr>
        <w:ind w:left="5776" w:hanging="360"/>
      </w:pPr>
    </w:lvl>
    <w:lvl w:ilvl="7" w:tplc="04090019" w:tentative="1">
      <w:start w:val="1"/>
      <w:numFmt w:val="lowerLetter"/>
      <w:lvlText w:val="%8."/>
      <w:lvlJc w:val="left"/>
      <w:pPr>
        <w:ind w:left="6496" w:hanging="360"/>
      </w:pPr>
    </w:lvl>
    <w:lvl w:ilvl="8" w:tplc="0409001B" w:tentative="1">
      <w:start w:val="1"/>
      <w:numFmt w:val="lowerRoman"/>
      <w:lvlText w:val="%9."/>
      <w:lvlJc w:val="right"/>
      <w:pPr>
        <w:ind w:left="7216" w:hanging="180"/>
      </w:pPr>
    </w:lvl>
  </w:abstractNum>
  <w:abstractNum w:abstractNumId="455" w15:restartNumberingAfterBreak="0">
    <w:nsid w:val="7B176690"/>
    <w:multiLevelType w:val="hybridMultilevel"/>
    <w:tmpl w:val="660413D2"/>
    <w:lvl w:ilvl="0" w:tplc="CD805826">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AADC655A">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1B2266EE">
      <w:numFmt w:val="bullet"/>
      <w:lvlText w:val="•"/>
      <w:lvlJc w:val="left"/>
      <w:pPr>
        <w:ind w:left="2178" w:hanging="567"/>
      </w:pPr>
      <w:rPr>
        <w:lang w:val="en-US" w:eastAsia="en-US" w:bidi="ar-SA"/>
      </w:rPr>
    </w:lvl>
    <w:lvl w:ilvl="3" w:tplc="45BE0660">
      <w:numFmt w:val="bullet"/>
      <w:lvlText w:val="•"/>
      <w:lvlJc w:val="left"/>
      <w:pPr>
        <w:ind w:left="3076" w:hanging="567"/>
      </w:pPr>
      <w:rPr>
        <w:lang w:val="en-US" w:eastAsia="en-US" w:bidi="ar-SA"/>
      </w:rPr>
    </w:lvl>
    <w:lvl w:ilvl="4" w:tplc="EF4E30C8">
      <w:numFmt w:val="bullet"/>
      <w:lvlText w:val="•"/>
      <w:lvlJc w:val="left"/>
      <w:pPr>
        <w:ind w:left="3975" w:hanging="567"/>
      </w:pPr>
      <w:rPr>
        <w:lang w:val="en-US" w:eastAsia="en-US" w:bidi="ar-SA"/>
      </w:rPr>
    </w:lvl>
    <w:lvl w:ilvl="5" w:tplc="E8CECEAA">
      <w:numFmt w:val="bullet"/>
      <w:lvlText w:val="•"/>
      <w:lvlJc w:val="left"/>
      <w:pPr>
        <w:ind w:left="4873" w:hanging="567"/>
      </w:pPr>
      <w:rPr>
        <w:lang w:val="en-US" w:eastAsia="en-US" w:bidi="ar-SA"/>
      </w:rPr>
    </w:lvl>
    <w:lvl w:ilvl="6" w:tplc="D8024D6C">
      <w:numFmt w:val="bullet"/>
      <w:lvlText w:val="•"/>
      <w:lvlJc w:val="left"/>
      <w:pPr>
        <w:ind w:left="5772" w:hanging="567"/>
      </w:pPr>
      <w:rPr>
        <w:lang w:val="en-US" w:eastAsia="en-US" w:bidi="ar-SA"/>
      </w:rPr>
    </w:lvl>
    <w:lvl w:ilvl="7" w:tplc="7E1A1F06">
      <w:numFmt w:val="bullet"/>
      <w:lvlText w:val="•"/>
      <w:lvlJc w:val="left"/>
      <w:pPr>
        <w:ind w:left="6670" w:hanging="567"/>
      </w:pPr>
      <w:rPr>
        <w:lang w:val="en-US" w:eastAsia="en-US" w:bidi="ar-SA"/>
      </w:rPr>
    </w:lvl>
    <w:lvl w:ilvl="8" w:tplc="78D2843C">
      <w:numFmt w:val="bullet"/>
      <w:lvlText w:val="•"/>
      <w:lvlJc w:val="left"/>
      <w:pPr>
        <w:ind w:left="7569" w:hanging="567"/>
      </w:pPr>
      <w:rPr>
        <w:lang w:val="en-US" w:eastAsia="en-US" w:bidi="ar-SA"/>
      </w:rPr>
    </w:lvl>
  </w:abstractNum>
  <w:abstractNum w:abstractNumId="456" w15:restartNumberingAfterBreak="0">
    <w:nsid w:val="7B233D69"/>
    <w:multiLevelType w:val="hybridMultilevel"/>
    <w:tmpl w:val="FE989C30"/>
    <w:lvl w:ilvl="0" w:tplc="7B6AF412">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F70ACF44">
      <w:numFmt w:val="bullet"/>
      <w:lvlText w:val="•"/>
      <w:lvlJc w:val="left"/>
      <w:pPr>
        <w:ind w:left="1566" w:hanging="567"/>
      </w:pPr>
      <w:rPr>
        <w:rFonts w:hint="default"/>
        <w:lang w:val="en-US" w:eastAsia="en-US" w:bidi="ar-SA"/>
      </w:rPr>
    </w:lvl>
    <w:lvl w:ilvl="2" w:tplc="EC60E1F2">
      <w:numFmt w:val="bullet"/>
      <w:lvlText w:val="•"/>
      <w:lvlJc w:val="left"/>
      <w:pPr>
        <w:ind w:left="2433" w:hanging="567"/>
      </w:pPr>
      <w:rPr>
        <w:rFonts w:hint="default"/>
        <w:lang w:val="en-US" w:eastAsia="en-US" w:bidi="ar-SA"/>
      </w:rPr>
    </w:lvl>
    <w:lvl w:ilvl="3" w:tplc="7BD65CEE">
      <w:numFmt w:val="bullet"/>
      <w:lvlText w:val="•"/>
      <w:lvlJc w:val="left"/>
      <w:pPr>
        <w:ind w:left="3299" w:hanging="567"/>
      </w:pPr>
      <w:rPr>
        <w:rFonts w:hint="default"/>
        <w:lang w:val="en-US" w:eastAsia="en-US" w:bidi="ar-SA"/>
      </w:rPr>
    </w:lvl>
    <w:lvl w:ilvl="4" w:tplc="9B1CF1F6">
      <w:numFmt w:val="bullet"/>
      <w:lvlText w:val="•"/>
      <w:lvlJc w:val="left"/>
      <w:pPr>
        <w:ind w:left="4166" w:hanging="567"/>
      </w:pPr>
      <w:rPr>
        <w:rFonts w:hint="default"/>
        <w:lang w:val="en-US" w:eastAsia="en-US" w:bidi="ar-SA"/>
      </w:rPr>
    </w:lvl>
    <w:lvl w:ilvl="5" w:tplc="0130C552">
      <w:numFmt w:val="bullet"/>
      <w:lvlText w:val="•"/>
      <w:lvlJc w:val="left"/>
      <w:pPr>
        <w:ind w:left="5033" w:hanging="567"/>
      </w:pPr>
      <w:rPr>
        <w:rFonts w:hint="default"/>
        <w:lang w:val="en-US" w:eastAsia="en-US" w:bidi="ar-SA"/>
      </w:rPr>
    </w:lvl>
    <w:lvl w:ilvl="6" w:tplc="8F54194C">
      <w:numFmt w:val="bullet"/>
      <w:lvlText w:val="•"/>
      <w:lvlJc w:val="left"/>
      <w:pPr>
        <w:ind w:left="5899" w:hanging="567"/>
      </w:pPr>
      <w:rPr>
        <w:rFonts w:hint="default"/>
        <w:lang w:val="en-US" w:eastAsia="en-US" w:bidi="ar-SA"/>
      </w:rPr>
    </w:lvl>
    <w:lvl w:ilvl="7" w:tplc="E8C8D536">
      <w:numFmt w:val="bullet"/>
      <w:lvlText w:val="•"/>
      <w:lvlJc w:val="left"/>
      <w:pPr>
        <w:ind w:left="6766" w:hanging="567"/>
      </w:pPr>
      <w:rPr>
        <w:rFonts w:hint="default"/>
        <w:lang w:val="en-US" w:eastAsia="en-US" w:bidi="ar-SA"/>
      </w:rPr>
    </w:lvl>
    <w:lvl w:ilvl="8" w:tplc="F4E6A802">
      <w:numFmt w:val="bullet"/>
      <w:lvlText w:val="•"/>
      <w:lvlJc w:val="left"/>
      <w:pPr>
        <w:ind w:left="7633" w:hanging="567"/>
      </w:pPr>
      <w:rPr>
        <w:rFonts w:hint="default"/>
        <w:lang w:val="en-US" w:eastAsia="en-US" w:bidi="ar-SA"/>
      </w:rPr>
    </w:lvl>
  </w:abstractNum>
  <w:abstractNum w:abstractNumId="457" w15:restartNumberingAfterBreak="0">
    <w:nsid w:val="7B652A79"/>
    <w:multiLevelType w:val="hybridMultilevel"/>
    <w:tmpl w:val="65D8AFB0"/>
    <w:lvl w:ilvl="0" w:tplc="58FA030E">
      <w:start w:val="1"/>
      <w:numFmt w:val="lowerRoman"/>
      <w:lvlText w:val="(%1)"/>
      <w:lvlJc w:val="left"/>
      <w:pPr>
        <w:ind w:left="1842" w:hanging="569"/>
      </w:pPr>
      <w:rPr>
        <w:rFonts w:ascii="Arial" w:eastAsia="Calibri" w:hAnsi="Arial" w:cs="Arial" w:hint="default"/>
        <w:spacing w:val="-1"/>
        <w:w w:val="100"/>
        <w:sz w:val="20"/>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8" w15:restartNumberingAfterBreak="0">
    <w:nsid w:val="7BEF4657"/>
    <w:multiLevelType w:val="hybridMultilevel"/>
    <w:tmpl w:val="F2F8C6D6"/>
    <w:lvl w:ilvl="0" w:tplc="798A1774">
      <w:start w:val="1"/>
      <w:numFmt w:val="lowerLetter"/>
      <w:lvlText w:val="(%1)"/>
      <w:lvlJc w:val="left"/>
      <w:pPr>
        <w:ind w:left="543" w:hanging="459"/>
      </w:pPr>
      <w:rPr>
        <w:rFonts w:ascii="Arial" w:eastAsia="Calibri" w:hAnsi="Arial" w:cs="Arial" w:hint="default"/>
        <w:spacing w:val="-1"/>
        <w:w w:val="99"/>
        <w:sz w:val="20"/>
        <w:szCs w:val="20"/>
        <w:lang w:val="en-US" w:eastAsia="en-US" w:bidi="ar-SA"/>
      </w:rPr>
    </w:lvl>
    <w:lvl w:ilvl="1" w:tplc="C0588286">
      <w:numFmt w:val="bullet"/>
      <w:lvlText w:val="•"/>
      <w:lvlJc w:val="left"/>
      <w:pPr>
        <w:ind w:left="811" w:hanging="459"/>
      </w:pPr>
      <w:rPr>
        <w:rFonts w:hint="default"/>
        <w:lang w:val="en-US" w:eastAsia="en-US" w:bidi="ar-SA"/>
      </w:rPr>
    </w:lvl>
    <w:lvl w:ilvl="2" w:tplc="B36CA6A4">
      <w:numFmt w:val="bullet"/>
      <w:lvlText w:val="•"/>
      <w:lvlJc w:val="left"/>
      <w:pPr>
        <w:ind w:left="1082" w:hanging="459"/>
      </w:pPr>
      <w:rPr>
        <w:rFonts w:hint="default"/>
        <w:lang w:val="en-US" w:eastAsia="en-US" w:bidi="ar-SA"/>
      </w:rPr>
    </w:lvl>
    <w:lvl w:ilvl="3" w:tplc="59987128">
      <w:numFmt w:val="bullet"/>
      <w:lvlText w:val="•"/>
      <w:lvlJc w:val="left"/>
      <w:pPr>
        <w:ind w:left="1353" w:hanging="459"/>
      </w:pPr>
      <w:rPr>
        <w:rFonts w:hint="default"/>
        <w:lang w:val="en-US" w:eastAsia="en-US" w:bidi="ar-SA"/>
      </w:rPr>
    </w:lvl>
    <w:lvl w:ilvl="4" w:tplc="9D6E14C4">
      <w:numFmt w:val="bullet"/>
      <w:lvlText w:val="•"/>
      <w:lvlJc w:val="left"/>
      <w:pPr>
        <w:ind w:left="1624" w:hanging="459"/>
      </w:pPr>
      <w:rPr>
        <w:rFonts w:hint="default"/>
        <w:lang w:val="en-US" w:eastAsia="en-US" w:bidi="ar-SA"/>
      </w:rPr>
    </w:lvl>
    <w:lvl w:ilvl="5" w:tplc="F7FAFB2E">
      <w:numFmt w:val="bullet"/>
      <w:lvlText w:val="•"/>
      <w:lvlJc w:val="left"/>
      <w:pPr>
        <w:ind w:left="1895" w:hanging="459"/>
      </w:pPr>
      <w:rPr>
        <w:rFonts w:hint="default"/>
        <w:lang w:val="en-US" w:eastAsia="en-US" w:bidi="ar-SA"/>
      </w:rPr>
    </w:lvl>
    <w:lvl w:ilvl="6" w:tplc="99CA68FA">
      <w:numFmt w:val="bullet"/>
      <w:lvlText w:val="•"/>
      <w:lvlJc w:val="left"/>
      <w:pPr>
        <w:ind w:left="2166" w:hanging="459"/>
      </w:pPr>
      <w:rPr>
        <w:rFonts w:hint="default"/>
        <w:lang w:val="en-US" w:eastAsia="en-US" w:bidi="ar-SA"/>
      </w:rPr>
    </w:lvl>
    <w:lvl w:ilvl="7" w:tplc="C9F2E6AA">
      <w:numFmt w:val="bullet"/>
      <w:lvlText w:val="•"/>
      <w:lvlJc w:val="left"/>
      <w:pPr>
        <w:ind w:left="2438" w:hanging="459"/>
      </w:pPr>
      <w:rPr>
        <w:rFonts w:hint="default"/>
        <w:lang w:val="en-US" w:eastAsia="en-US" w:bidi="ar-SA"/>
      </w:rPr>
    </w:lvl>
    <w:lvl w:ilvl="8" w:tplc="CF8CC81E">
      <w:numFmt w:val="bullet"/>
      <w:lvlText w:val="•"/>
      <w:lvlJc w:val="left"/>
      <w:pPr>
        <w:ind w:left="2709" w:hanging="459"/>
      </w:pPr>
      <w:rPr>
        <w:rFonts w:hint="default"/>
        <w:lang w:val="en-US" w:eastAsia="en-US" w:bidi="ar-SA"/>
      </w:rPr>
    </w:lvl>
  </w:abstractNum>
  <w:abstractNum w:abstractNumId="459" w15:restartNumberingAfterBreak="0">
    <w:nsid w:val="7C702095"/>
    <w:multiLevelType w:val="hybridMultilevel"/>
    <w:tmpl w:val="52DC11DA"/>
    <w:lvl w:ilvl="0" w:tplc="3BD0E978">
      <w:start w:val="1"/>
      <w:numFmt w:val="lowerLetter"/>
      <w:lvlText w:val="(%1)"/>
      <w:lvlJc w:val="left"/>
      <w:pPr>
        <w:ind w:left="706" w:hanging="567"/>
      </w:pPr>
      <w:rPr>
        <w:rFonts w:ascii="Calibri" w:eastAsia="Calibri" w:hAnsi="Calibri" w:cs="Calibri" w:hint="default"/>
        <w:spacing w:val="-1"/>
        <w:w w:val="100"/>
        <w:sz w:val="22"/>
        <w:szCs w:val="22"/>
        <w:lang w:val="en-US" w:eastAsia="en-US" w:bidi="ar-SA"/>
      </w:rPr>
    </w:lvl>
    <w:lvl w:ilvl="1" w:tplc="4290FFF4">
      <w:numFmt w:val="bullet"/>
      <w:lvlText w:val="•"/>
      <w:lvlJc w:val="left"/>
      <w:pPr>
        <w:ind w:left="1566" w:hanging="567"/>
      </w:pPr>
      <w:rPr>
        <w:rFonts w:hint="default"/>
        <w:lang w:val="en-US" w:eastAsia="en-US" w:bidi="ar-SA"/>
      </w:rPr>
    </w:lvl>
    <w:lvl w:ilvl="2" w:tplc="C64A8572">
      <w:numFmt w:val="bullet"/>
      <w:lvlText w:val="•"/>
      <w:lvlJc w:val="left"/>
      <w:pPr>
        <w:ind w:left="2433" w:hanging="567"/>
      </w:pPr>
      <w:rPr>
        <w:rFonts w:hint="default"/>
        <w:lang w:val="en-US" w:eastAsia="en-US" w:bidi="ar-SA"/>
      </w:rPr>
    </w:lvl>
    <w:lvl w:ilvl="3" w:tplc="D0165E24">
      <w:numFmt w:val="bullet"/>
      <w:lvlText w:val="•"/>
      <w:lvlJc w:val="left"/>
      <w:pPr>
        <w:ind w:left="3299" w:hanging="567"/>
      </w:pPr>
      <w:rPr>
        <w:rFonts w:hint="default"/>
        <w:lang w:val="en-US" w:eastAsia="en-US" w:bidi="ar-SA"/>
      </w:rPr>
    </w:lvl>
    <w:lvl w:ilvl="4" w:tplc="1FB24450">
      <w:numFmt w:val="bullet"/>
      <w:lvlText w:val="•"/>
      <w:lvlJc w:val="left"/>
      <w:pPr>
        <w:ind w:left="4166" w:hanging="567"/>
      </w:pPr>
      <w:rPr>
        <w:rFonts w:hint="default"/>
        <w:lang w:val="en-US" w:eastAsia="en-US" w:bidi="ar-SA"/>
      </w:rPr>
    </w:lvl>
    <w:lvl w:ilvl="5" w:tplc="43F0A1C2">
      <w:numFmt w:val="bullet"/>
      <w:lvlText w:val="•"/>
      <w:lvlJc w:val="left"/>
      <w:pPr>
        <w:ind w:left="5033" w:hanging="567"/>
      </w:pPr>
      <w:rPr>
        <w:rFonts w:hint="default"/>
        <w:lang w:val="en-US" w:eastAsia="en-US" w:bidi="ar-SA"/>
      </w:rPr>
    </w:lvl>
    <w:lvl w:ilvl="6" w:tplc="09208AEC">
      <w:numFmt w:val="bullet"/>
      <w:lvlText w:val="•"/>
      <w:lvlJc w:val="left"/>
      <w:pPr>
        <w:ind w:left="5899" w:hanging="567"/>
      </w:pPr>
      <w:rPr>
        <w:rFonts w:hint="default"/>
        <w:lang w:val="en-US" w:eastAsia="en-US" w:bidi="ar-SA"/>
      </w:rPr>
    </w:lvl>
    <w:lvl w:ilvl="7" w:tplc="026A068C">
      <w:numFmt w:val="bullet"/>
      <w:lvlText w:val="•"/>
      <w:lvlJc w:val="left"/>
      <w:pPr>
        <w:ind w:left="6766" w:hanging="567"/>
      </w:pPr>
      <w:rPr>
        <w:rFonts w:hint="default"/>
        <w:lang w:val="en-US" w:eastAsia="en-US" w:bidi="ar-SA"/>
      </w:rPr>
    </w:lvl>
    <w:lvl w:ilvl="8" w:tplc="A130543E">
      <w:numFmt w:val="bullet"/>
      <w:lvlText w:val="•"/>
      <w:lvlJc w:val="left"/>
      <w:pPr>
        <w:ind w:left="7633" w:hanging="567"/>
      </w:pPr>
      <w:rPr>
        <w:rFonts w:hint="default"/>
        <w:lang w:val="en-US" w:eastAsia="en-US" w:bidi="ar-SA"/>
      </w:rPr>
    </w:lvl>
  </w:abstractNum>
  <w:abstractNum w:abstractNumId="460" w15:restartNumberingAfterBreak="0">
    <w:nsid w:val="7C801746"/>
    <w:multiLevelType w:val="hybridMultilevel"/>
    <w:tmpl w:val="9A1801D6"/>
    <w:lvl w:ilvl="0" w:tplc="C2ACC022">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C3A2A5E2">
      <w:numFmt w:val="bullet"/>
      <w:lvlText w:val="•"/>
      <w:lvlJc w:val="left"/>
      <w:pPr>
        <w:ind w:left="1566" w:hanging="567"/>
      </w:pPr>
      <w:rPr>
        <w:rFonts w:hint="default"/>
        <w:lang w:val="en-US" w:eastAsia="en-US" w:bidi="ar-SA"/>
      </w:rPr>
    </w:lvl>
    <w:lvl w:ilvl="2" w:tplc="66A8B410">
      <w:numFmt w:val="bullet"/>
      <w:lvlText w:val="•"/>
      <w:lvlJc w:val="left"/>
      <w:pPr>
        <w:ind w:left="2433" w:hanging="567"/>
      </w:pPr>
      <w:rPr>
        <w:rFonts w:hint="default"/>
        <w:lang w:val="en-US" w:eastAsia="en-US" w:bidi="ar-SA"/>
      </w:rPr>
    </w:lvl>
    <w:lvl w:ilvl="3" w:tplc="7FC4FC2E">
      <w:numFmt w:val="bullet"/>
      <w:lvlText w:val="•"/>
      <w:lvlJc w:val="left"/>
      <w:pPr>
        <w:ind w:left="3299" w:hanging="567"/>
      </w:pPr>
      <w:rPr>
        <w:rFonts w:hint="default"/>
        <w:lang w:val="en-US" w:eastAsia="en-US" w:bidi="ar-SA"/>
      </w:rPr>
    </w:lvl>
    <w:lvl w:ilvl="4" w:tplc="1D886CD4">
      <w:numFmt w:val="bullet"/>
      <w:lvlText w:val="•"/>
      <w:lvlJc w:val="left"/>
      <w:pPr>
        <w:ind w:left="4166" w:hanging="567"/>
      </w:pPr>
      <w:rPr>
        <w:rFonts w:hint="default"/>
        <w:lang w:val="en-US" w:eastAsia="en-US" w:bidi="ar-SA"/>
      </w:rPr>
    </w:lvl>
    <w:lvl w:ilvl="5" w:tplc="743CA3D2">
      <w:numFmt w:val="bullet"/>
      <w:lvlText w:val="•"/>
      <w:lvlJc w:val="left"/>
      <w:pPr>
        <w:ind w:left="5033" w:hanging="567"/>
      </w:pPr>
      <w:rPr>
        <w:rFonts w:hint="default"/>
        <w:lang w:val="en-US" w:eastAsia="en-US" w:bidi="ar-SA"/>
      </w:rPr>
    </w:lvl>
    <w:lvl w:ilvl="6" w:tplc="375E5DFA">
      <w:numFmt w:val="bullet"/>
      <w:lvlText w:val="•"/>
      <w:lvlJc w:val="left"/>
      <w:pPr>
        <w:ind w:left="5899" w:hanging="567"/>
      </w:pPr>
      <w:rPr>
        <w:rFonts w:hint="default"/>
        <w:lang w:val="en-US" w:eastAsia="en-US" w:bidi="ar-SA"/>
      </w:rPr>
    </w:lvl>
    <w:lvl w:ilvl="7" w:tplc="A48ACFF8">
      <w:numFmt w:val="bullet"/>
      <w:lvlText w:val="•"/>
      <w:lvlJc w:val="left"/>
      <w:pPr>
        <w:ind w:left="6766" w:hanging="567"/>
      </w:pPr>
      <w:rPr>
        <w:rFonts w:hint="default"/>
        <w:lang w:val="en-US" w:eastAsia="en-US" w:bidi="ar-SA"/>
      </w:rPr>
    </w:lvl>
    <w:lvl w:ilvl="8" w:tplc="1974F372">
      <w:numFmt w:val="bullet"/>
      <w:lvlText w:val="•"/>
      <w:lvlJc w:val="left"/>
      <w:pPr>
        <w:ind w:left="7633" w:hanging="567"/>
      </w:pPr>
      <w:rPr>
        <w:rFonts w:hint="default"/>
        <w:lang w:val="en-US" w:eastAsia="en-US" w:bidi="ar-SA"/>
      </w:rPr>
    </w:lvl>
  </w:abstractNum>
  <w:abstractNum w:abstractNumId="461" w15:restartNumberingAfterBreak="0">
    <w:nsid w:val="7CB86F22"/>
    <w:multiLevelType w:val="hybridMultilevel"/>
    <w:tmpl w:val="4A168584"/>
    <w:lvl w:ilvl="0" w:tplc="7FA6A98A">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B58C6414">
      <w:numFmt w:val="bullet"/>
      <w:lvlText w:val="•"/>
      <w:lvlJc w:val="left"/>
      <w:pPr>
        <w:ind w:left="1566" w:hanging="567"/>
      </w:pPr>
      <w:rPr>
        <w:rFonts w:hint="default"/>
        <w:lang w:val="en-US" w:eastAsia="en-US" w:bidi="ar-SA"/>
      </w:rPr>
    </w:lvl>
    <w:lvl w:ilvl="2" w:tplc="B0B0EEBA">
      <w:numFmt w:val="bullet"/>
      <w:lvlText w:val="•"/>
      <w:lvlJc w:val="left"/>
      <w:pPr>
        <w:ind w:left="2433" w:hanging="567"/>
      </w:pPr>
      <w:rPr>
        <w:rFonts w:hint="default"/>
        <w:lang w:val="en-US" w:eastAsia="en-US" w:bidi="ar-SA"/>
      </w:rPr>
    </w:lvl>
    <w:lvl w:ilvl="3" w:tplc="E79A91AE">
      <w:numFmt w:val="bullet"/>
      <w:lvlText w:val="•"/>
      <w:lvlJc w:val="left"/>
      <w:pPr>
        <w:ind w:left="3299" w:hanging="567"/>
      </w:pPr>
      <w:rPr>
        <w:rFonts w:hint="default"/>
        <w:lang w:val="en-US" w:eastAsia="en-US" w:bidi="ar-SA"/>
      </w:rPr>
    </w:lvl>
    <w:lvl w:ilvl="4" w:tplc="5F3CE6F2">
      <w:numFmt w:val="bullet"/>
      <w:lvlText w:val="•"/>
      <w:lvlJc w:val="left"/>
      <w:pPr>
        <w:ind w:left="4166" w:hanging="567"/>
      </w:pPr>
      <w:rPr>
        <w:rFonts w:hint="default"/>
        <w:lang w:val="en-US" w:eastAsia="en-US" w:bidi="ar-SA"/>
      </w:rPr>
    </w:lvl>
    <w:lvl w:ilvl="5" w:tplc="748EE8A4">
      <w:numFmt w:val="bullet"/>
      <w:lvlText w:val="•"/>
      <w:lvlJc w:val="left"/>
      <w:pPr>
        <w:ind w:left="5033" w:hanging="567"/>
      </w:pPr>
      <w:rPr>
        <w:rFonts w:hint="default"/>
        <w:lang w:val="en-US" w:eastAsia="en-US" w:bidi="ar-SA"/>
      </w:rPr>
    </w:lvl>
    <w:lvl w:ilvl="6" w:tplc="85D48676">
      <w:numFmt w:val="bullet"/>
      <w:lvlText w:val="•"/>
      <w:lvlJc w:val="left"/>
      <w:pPr>
        <w:ind w:left="5899" w:hanging="567"/>
      </w:pPr>
      <w:rPr>
        <w:rFonts w:hint="default"/>
        <w:lang w:val="en-US" w:eastAsia="en-US" w:bidi="ar-SA"/>
      </w:rPr>
    </w:lvl>
    <w:lvl w:ilvl="7" w:tplc="D090CD0A">
      <w:numFmt w:val="bullet"/>
      <w:lvlText w:val="•"/>
      <w:lvlJc w:val="left"/>
      <w:pPr>
        <w:ind w:left="6766" w:hanging="567"/>
      </w:pPr>
      <w:rPr>
        <w:rFonts w:hint="default"/>
        <w:lang w:val="en-US" w:eastAsia="en-US" w:bidi="ar-SA"/>
      </w:rPr>
    </w:lvl>
    <w:lvl w:ilvl="8" w:tplc="74B6EBCE">
      <w:numFmt w:val="bullet"/>
      <w:lvlText w:val="•"/>
      <w:lvlJc w:val="left"/>
      <w:pPr>
        <w:ind w:left="7633" w:hanging="567"/>
      </w:pPr>
      <w:rPr>
        <w:rFonts w:hint="default"/>
        <w:lang w:val="en-US" w:eastAsia="en-US" w:bidi="ar-SA"/>
      </w:rPr>
    </w:lvl>
  </w:abstractNum>
  <w:abstractNum w:abstractNumId="462" w15:restartNumberingAfterBreak="0">
    <w:nsid w:val="7D0E67E0"/>
    <w:multiLevelType w:val="hybridMultilevel"/>
    <w:tmpl w:val="A046093A"/>
    <w:lvl w:ilvl="0" w:tplc="593E2BCC">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770C8378">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AD38C48A">
      <w:numFmt w:val="bullet"/>
      <w:lvlText w:val="•"/>
      <w:lvlJc w:val="left"/>
      <w:pPr>
        <w:ind w:left="2178" w:hanging="567"/>
      </w:pPr>
      <w:rPr>
        <w:lang w:val="en-US" w:eastAsia="en-US" w:bidi="ar-SA"/>
      </w:rPr>
    </w:lvl>
    <w:lvl w:ilvl="3" w:tplc="61C098F2">
      <w:numFmt w:val="bullet"/>
      <w:lvlText w:val="•"/>
      <w:lvlJc w:val="left"/>
      <w:pPr>
        <w:ind w:left="3076" w:hanging="567"/>
      </w:pPr>
      <w:rPr>
        <w:lang w:val="en-US" w:eastAsia="en-US" w:bidi="ar-SA"/>
      </w:rPr>
    </w:lvl>
    <w:lvl w:ilvl="4" w:tplc="05447AC0">
      <w:numFmt w:val="bullet"/>
      <w:lvlText w:val="•"/>
      <w:lvlJc w:val="left"/>
      <w:pPr>
        <w:ind w:left="3975" w:hanging="567"/>
      </w:pPr>
      <w:rPr>
        <w:lang w:val="en-US" w:eastAsia="en-US" w:bidi="ar-SA"/>
      </w:rPr>
    </w:lvl>
    <w:lvl w:ilvl="5" w:tplc="92F40108">
      <w:numFmt w:val="bullet"/>
      <w:lvlText w:val="•"/>
      <w:lvlJc w:val="left"/>
      <w:pPr>
        <w:ind w:left="4873" w:hanging="567"/>
      </w:pPr>
      <w:rPr>
        <w:lang w:val="en-US" w:eastAsia="en-US" w:bidi="ar-SA"/>
      </w:rPr>
    </w:lvl>
    <w:lvl w:ilvl="6" w:tplc="0DF4AF18">
      <w:numFmt w:val="bullet"/>
      <w:lvlText w:val="•"/>
      <w:lvlJc w:val="left"/>
      <w:pPr>
        <w:ind w:left="5772" w:hanging="567"/>
      </w:pPr>
      <w:rPr>
        <w:lang w:val="en-US" w:eastAsia="en-US" w:bidi="ar-SA"/>
      </w:rPr>
    </w:lvl>
    <w:lvl w:ilvl="7" w:tplc="D37CEC5E">
      <w:numFmt w:val="bullet"/>
      <w:lvlText w:val="•"/>
      <w:lvlJc w:val="left"/>
      <w:pPr>
        <w:ind w:left="6670" w:hanging="567"/>
      </w:pPr>
      <w:rPr>
        <w:lang w:val="en-US" w:eastAsia="en-US" w:bidi="ar-SA"/>
      </w:rPr>
    </w:lvl>
    <w:lvl w:ilvl="8" w:tplc="586A3430">
      <w:numFmt w:val="bullet"/>
      <w:lvlText w:val="•"/>
      <w:lvlJc w:val="left"/>
      <w:pPr>
        <w:ind w:left="7569" w:hanging="567"/>
      </w:pPr>
      <w:rPr>
        <w:lang w:val="en-US" w:eastAsia="en-US" w:bidi="ar-SA"/>
      </w:rPr>
    </w:lvl>
  </w:abstractNum>
  <w:abstractNum w:abstractNumId="463" w15:restartNumberingAfterBreak="0">
    <w:nsid w:val="7D2B2218"/>
    <w:multiLevelType w:val="hybridMultilevel"/>
    <w:tmpl w:val="1CE6EC6A"/>
    <w:lvl w:ilvl="0" w:tplc="50B22B48">
      <w:start w:val="1"/>
      <w:numFmt w:val="decimal"/>
      <w:lvlText w:val="(%1)"/>
      <w:lvlJc w:val="left"/>
      <w:pPr>
        <w:ind w:left="1273" w:hanging="567"/>
      </w:pPr>
      <w:rPr>
        <w:rFonts w:ascii="Arial" w:eastAsia="Calibri" w:hAnsi="Arial" w:cs="Arial" w:hint="default"/>
        <w:b w:val="0"/>
        <w:spacing w:val="-1"/>
        <w:w w:val="100"/>
        <w:sz w:val="20"/>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4" w15:restartNumberingAfterBreak="0">
    <w:nsid w:val="7DB54AE3"/>
    <w:multiLevelType w:val="hybridMultilevel"/>
    <w:tmpl w:val="A64A1362"/>
    <w:lvl w:ilvl="0" w:tplc="9ED2581C">
      <w:start w:val="1"/>
      <w:numFmt w:val="lowerLetter"/>
      <w:lvlText w:val="(%1)"/>
      <w:lvlJc w:val="left"/>
      <w:pPr>
        <w:ind w:left="706" w:hanging="567"/>
        <w:jc w:val="right"/>
      </w:pPr>
      <w:rPr>
        <w:rFonts w:ascii="Arial" w:eastAsia="Calibri" w:hAnsi="Arial" w:cs="Arial" w:hint="default"/>
        <w:spacing w:val="-1"/>
        <w:w w:val="100"/>
        <w:sz w:val="20"/>
        <w:szCs w:val="22"/>
        <w:lang w:val="en-US" w:eastAsia="en-US" w:bidi="ar-SA"/>
      </w:rPr>
    </w:lvl>
    <w:lvl w:ilvl="1" w:tplc="F190AB66">
      <w:start w:val="1"/>
      <w:numFmt w:val="decimal"/>
      <w:lvlText w:val="(%2)"/>
      <w:lvlJc w:val="left"/>
      <w:pPr>
        <w:ind w:left="1273" w:hanging="567"/>
      </w:pPr>
      <w:rPr>
        <w:rFonts w:ascii="Arial" w:eastAsia="Calibri" w:hAnsi="Arial" w:cs="Arial" w:hint="default"/>
        <w:spacing w:val="-1"/>
        <w:w w:val="100"/>
        <w:sz w:val="20"/>
        <w:szCs w:val="22"/>
        <w:lang w:val="en-US" w:eastAsia="en-US" w:bidi="ar-SA"/>
      </w:rPr>
    </w:lvl>
    <w:lvl w:ilvl="2" w:tplc="6FFA29C2">
      <w:numFmt w:val="bullet"/>
      <w:lvlText w:val="•"/>
      <w:lvlJc w:val="left"/>
      <w:pPr>
        <w:ind w:left="2178" w:hanging="567"/>
      </w:pPr>
      <w:rPr>
        <w:rFonts w:hint="default"/>
        <w:lang w:val="en-US" w:eastAsia="en-US" w:bidi="ar-SA"/>
      </w:rPr>
    </w:lvl>
    <w:lvl w:ilvl="3" w:tplc="840090CE">
      <w:numFmt w:val="bullet"/>
      <w:lvlText w:val="•"/>
      <w:lvlJc w:val="left"/>
      <w:pPr>
        <w:ind w:left="3076" w:hanging="567"/>
      </w:pPr>
      <w:rPr>
        <w:rFonts w:hint="default"/>
        <w:lang w:val="en-US" w:eastAsia="en-US" w:bidi="ar-SA"/>
      </w:rPr>
    </w:lvl>
    <w:lvl w:ilvl="4" w:tplc="A58C8986">
      <w:numFmt w:val="bullet"/>
      <w:lvlText w:val="•"/>
      <w:lvlJc w:val="left"/>
      <w:pPr>
        <w:ind w:left="3975" w:hanging="567"/>
      </w:pPr>
      <w:rPr>
        <w:rFonts w:hint="default"/>
        <w:lang w:val="en-US" w:eastAsia="en-US" w:bidi="ar-SA"/>
      </w:rPr>
    </w:lvl>
    <w:lvl w:ilvl="5" w:tplc="3A1EFFE2">
      <w:numFmt w:val="bullet"/>
      <w:lvlText w:val="•"/>
      <w:lvlJc w:val="left"/>
      <w:pPr>
        <w:ind w:left="4873" w:hanging="567"/>
      </w:pPr>
      <w:rPr>
        <w:rFonts w:hint="default"/>
        <w:lang w:val="en-US" w:eastAsia="en-US" w:bidi="ar-SA"/>
      </w:rPr>
    </w:lvl>
    <w:lvl w:ilvl="6" w:tplc="108C149C">
      <w:numFmt w:val="bullet"/>
      <w:lvlText w:val="•"/>
      <w:lvlJc w:val="left"/>
      <w:pPr>
        <w:ind w:left="5772" w:hanging="567"/>
      </w:pPr>
      <w:rPr>
        <w:rFonts w:hint="default"/>
        <w:lang w:val="en-US" w:eastAsia="en-US" w:bidi="ar-SA"/>
      </w:rPr>
    </w:lvl>
    <w:lvl w:ilvl="7" w:tplc="FC6C4F84">
      <w:numFmt w:val="bullet"/>
      <w:lvlText w:val="•"/>
      <w:lvlJc w:val="left"/>
      <w:pPr>
        <w:ind w:left="6670" w:hanging="567"/>
      </w:pPr>
      <w:rPr>
        <w:rFonts w:hint="default"/>
        <w:lang w:val="en-US" w:eastAsia="en-US" w:bidi="ar-SA"/>
      </w:rPr>
    </w:lvl>
    <w:lvl w:ilvl="8" w:tplc="D7FA0A34">
      <w:numFmt w:val="bullet"/>
      <w:lvlText w:val="•"/>
      <w:lvlJc w:val="left"/>
      <w:pPr>
        <w:ind w:left="7569" w:hanging="567"/>
      </w:pPr>
      <w:rPr>
        <w:rFonts w:hint="default"/>
        <w:lang w:val="en-US" w:eastAsia="en-US" w:bidi="ar-SA"/>
      </w:rPr>
    </w:lvl>
  </w:abstractNum>
  <w:abstractNum w:abstractNumId="465" w15:restartNumberingAfterBreak="0">
    <w:nsid w:val="7E0F60EE"/>
    <w:multiLevelType w:val="hybridMultilevel"/>
    <w:tmpl w:val="8B0829B6"/>
    <w:lvl w:ilvl="0" w:tplc="E4CCF790">
      <w:start w:val="1"/>
      <w:numFmt w:val="decimal"/>
      <w:lvlText w:val="(%1)"/>
      <w:lvlJc w:val="left"/>
      <w:pPr>
        <w:ind w:left="1273" w:hanging="567"/>
      </w:pPr>
      <w:rPr>
        <w:rFonts w:ascii="Arial" w:eastAsia="Calibri" w:hAnsi="Arial" w:cs="Arial" w:hint="default"/>
        <w:spacing w:val="-1"/>
        <w:w w:val="100"/>
        <w:sz w:val="20"/>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6" w15:restartNumberingAfterBreak="0">
    <w:nsid w:val="7E136ED1"/>
    <w:multiLevelType w:val="hybridMultilevel"/>
    <w:tmpl w:val="4F6C7444"/>
    <w:lvl w:ilvl="0" w:tplc="F6D2777C">
      <w:start w:val="1"/>
      <w:numFmt w:val="lowerLetter"/>
      <w:lvlText w:val="(%1)"/>
      <w:lvlJc w:val="left"/>
      <w:pPr>
        <w:ind w:left="515" w:hanging="431"/>
      </w:pPr>
      <w:rPr>
        <w:rFonts w:ascii="Arial" w:eastAsia="Calibri" w:hAnsi="Arial" w:cs="Arial" w:hint="default"/>
        <w:spacing w:val="-1"/>
        <w:w w:val="99"/>
        <w:sz w:val="20"/>
        <w:szCs w:val="20"/>
        <w:lang w:val="en-US" w:eastAsia="en-US" w:bidi="ar-SA"/>
      </w:rPr>
    </w:lvl>
    <w:lvl w:ilvl="1" w:tplc="77789184">
      <w:numFmt w:val="bullet"/>
      <w:lvlText w:val="•"/>
      <w:lvlJc w:val="left"/>
      <w:pPr>
        <w:ind w:left="829" w:hanging="431"/>
      </w:pPr>
      <w:rPr>
        <w:rFonts w:hint="default"/>
        <w:lang w:val="en-US" w:eastAsia="en-US" w:bidi="ar-SA"/>
      </w:rPr>
    </w:lvl>
    <w:lvl w:ilvl="2" w:tplc="F84E4928">
      <w:numFmt w:val="bullet"/>
      <w:lvlText w:val="•"/>
      <w:lvlJc w:val="left"/>
      <w:pPr>
        <w:ind w:left="1138" w:hanging="431"/>
      </w:pPr>
      <w:rPr>
        <w:rFonts w:hint="default"/>
        <w:lang w:val="en-US" w:eastAsia="en-US" w:bidi="ar-SA"/>
      </w:rPr>
    </w:lvl>
    <w:lvl w:ilvl="3" w:tplc="ECAAE272">
      <w:numFmt w:val="bullet"/>
      <w:lvlText w:val="•"/>
      <w:lvlJc w:val="left"/>
      <w:pPr>
        <w:ind w:left="1448" w:hanging="431"/>
      </w:pPr>
      <w:rPr>
        <w:rFonts w:hint="default"/>
        <w:lang w:val="en-US" w:eastAsia="en-US" w:bidi="ar-SA"/>
      </w:rPr>
    </w:lvl>
    <w:lvl w:ilvl="4" w:tplc="EB48C68A">
      <w:numFmt w:val="bullet"/>
      <w:lvlText w:val="•"/>
      <w:lvlJc w:val="left"/>
      <w:pPr>
        <w:ind w:left="1757" w:hanging="431"/>
      </w:pPr>
      <w:rPr>
        <w:rFonts w:hint="default"/>
        <w:lang w:val="en-US" w:eastAsia="en-US" w:bidi="ar-SA"/>
      </w:rPr>
    </w:lvl>
    <w:lvl w:ilvl="5" w:tplc="35CE8CCC">
      <w:numFmt w:val="bullet"/>
      <w:lvlText w:val="•"/>
      <w:lvlJc w:val="left"/>
      <w:pPr>
        <w:ind w:left="2067" w:hanging="431"/>
      </w:pPr>
      <w:rPr>
        <w:rFonts w:hint="default"/>
        <w:lang w:val="en-US" w:eastAsia="en-US" w:bidi="ar-SA"/>
      </w:rPr>
    </w:lvl>
    <w:lvl w:ilvl="6" w:tplc="F62A7558">
      <w:numFmt w:val="bullet"/>
      <w:lvlText w:val="•"/>
      <w:lvlJc w:val="left"/>
      <w:pPr>
        <w:ind w:left="2376" w:hanging="431"/>
      </w:pPr>
      <w:rPr>
        <w:rFonts w:hint="default"/>
        <w:lang w:val="en-US" w:eastAsia="en-US" w:bidi="ar-SA"/>
      </w:rPr>
    </w:lvl>
    <w:lvl w:ilvl="7" w:tplc="244A83B4">
      <w:numFmt w:val="bullet"/>
      <w:lvlText w:val="•"/>
      <w:lvlJc w:val="left"/>
      <w:pPr>
        <w:ind w:left="2685" w:hanging="431"/>
      </w:pPr>
      <w:rPr>
        <w:rFonts w:hint="default"/>
        <w:lang w:val="en-US" w:eastAsia="en-US" w:bidi="ar-SA"/>
      </w:rPr>
    </w:lvl>
    <w:lvl w:ilvl="8" w:tplc="0E08966E">
      <w:numFmt w:val="bullet"/>
      <w:lvlText w:val="•"/>
      <w:lvlJc w:val="left"/>
      <w:pPr>
        <w:ind w:left="2995" w:hanging="431"/>
      </w:pPr>
      <w:rPr>
        <w:rFonts w:hint="default"/>
        <w:lang w:val="en-US" w:eastAsia="en-US" w:bidi="ar-SA"/>
      </w:rPr>
    </w:lvl>
  </w:abstractNum>
  <w:abstractNum w:abstractNumId="467" w15:restartNumberingAfterBreak="0">
    <w:nsid w:val="7E2D4911"/>
    <w:multiLevelType w:val="hybridMultilevel"/>
    <w:tmpl w:val="1ACC5DAA"/>
    <w:lvl w:ilvl="0" w:tplc="C0BEBFFA">
      <w:start w:val="1"/>
      <w:numFmt w:val="lowerLetter"/>
      <w:lvlText w:val="(%1)"/>
      <w:lvlJc w:val="left"/>
      <w:pPr>
        <w:ind w:left="567" w:hanging="567"/>
      </w:pPr>
      <w:rPr>
        <w:rFonts w:ascii="Arial" w:eastAsia="Calibri" w:hAnsi="Arial" w:cs="Arial" w:hint="default"/>
        <w:spacing w:val="-1"/>
        <w:w w:val="100"/>
        <w:sz w:val="20"/>
        <w:szCs w:val="22"/>
        <w:lang w:val="en-US" w:eastAsia="en-US" w:bidi="ar-SA"/>
      </w:rPr>
    </w:lvl>
    <w:lvl w:ilvl="1" w:tplc="35BA9FC2">
      <w:numFmt w:val="bullet"/>
      <w:lvlText w:val="•"/>
      <w:lvlJc w:val="left"/>
      <w:pPr>
        <w:ind w:left="1427" w:hanging="567"/>
      </w:pPr>
      <w:rPr>
        <w:rFonts w:hint="default"/>
        <w:lang w:val="en-US" w:eastAsia="en-US" w:bidi="ar-SA"/>
      </w:rPr>
    </w:lvl>
    <w:lvl w:ilvl="2" w:tplc="534E722C">
      <w:numFmt w:val="bullet"/>
      <w:lvlText w:val="•"/>
      <w:lvlJc w:val="left"/>
      <w:pPr>
        <w:ind w:left="2294" w:hanging="567"/>
      </w:pPr>
      <w:rPr>
        <w:rFonts w:hint="default"/>
        <w:lang w:val="en-US" w:eastAsia="en-US" w:bidi="ar-SA"/>
      </w:rPr>
    </w:lvl>
    <w:lvl w:ilvl="3" w:tplc="66C8A2B0">
      <w:numFmt w:val="bullet"/>
      <w:lvlText w:val="•"/>
      <w:lvlJc w:val="left"/>
      <w:pPr>
        <w:ind w:left="3160" w:hanging="567"/>
      </w:pPr>
      <w:rPr>
        <w:rFonts w:hint="default"/>
        <w:lang w:val="en-US" w:eastAsia="en-US" w:bidi="ar-SA"/>
      </w:rPr>
    </w:lvl>
    <w:lvl w:ilvl="4" w:tplc="DD082CC2">
      <w:numFmt w:val="bullet"/>
      <w:lvlText w:val="•"/>
      <w:lvlJc w:val="left"/>
      <w:pPr>
        <w:ind w:left="4027" w:hanging="567"/>
      </w:pPr>
      <w:rPr>
        <w:rFonts w:hint="default"/>
        <w:lang w:val="en-US" w:eastAsia="en-US" w:bidi="ar-SA"/>
      </w:rPr>
    </w:lvl>
    <w:lvl w:ilvl="5" w:tplc="73D2BF2E">
      <w:numFmt w:val="bullet"/>
      <w:lvlText w:val="•"/>
      <w:lvlJc w:val="left"/>
      <w:pPr>
        <w:ind w:left="4894" w:hanging="567"/>
      </w:pPr>
      <w:rPr>
        <w:rFonts w:hint="default"/>
        <w:lang w:val="en-US" w:eastAsia="en-US" w:bidi="ar-SA"/>
      </w:rPr>
    </w:lvl>
    <w:lvl w:ilvl="6" w:tplc="F942E9FC">
      <w:numFmt w:val="bullet"/>
      <w:lvlText w:val="•"/>
      <w:lvlJc w:val="left"/>
      <w:pPr>
        <w:ind w:left="5760" w:hanging="567"/>
      </w:pPr>
      <w:rPr>
        <w:rFonts w:hint="default"/>
        <w:lang w:val="en-US" w:eastAsia="en-US" w:bidi="ar-SA"/>
      </w:rPr>
    </w:lvl>
    <w:lvl w:ilvl="7" w:tplc="1A9C1D5C">
      <w:numFmt w:val="bullet"/>
      <w:lvlText w:val="•"/>
      <w:lvlJc w:val="left"/>
      <w:pPr>
        <w:ind w:left="6627" w:hanging="567"/>
      </w:pPr>
      <w:rPr>
        <w:rFonts w:hint="default"/>
        <w:lang w:val="en-US" w:eastAsia="en-US" w:bidi="ar-SA"/>
      </w:rPr>
    </w:lvl>
    <w:lvl w:ilvl="8" w:tplc="C48852EC">
      <w:numFmt w:val="bullet"/>
      <w:lvlText w:val="•"/>
      <w:lvlJc w:val="left"/>
      <w:pPr>
        <w:ind w:left="7494" w:hanging="567"/>
      </w:pPr>
      <w:rPr>
        <w:rFonts w:hint="default"/>
        <w:lang w:val="en-US" w:eastAsia="en-US" w:bidi="ar-SA"/>
      </w:rPr>
    </w:lvl>
  </w:abstractNum>
  <w:abstractNum w:abstractNumId="468" w15:restartNumberingAfterBreak="0">
    <w:nsid w:val="7ED92704"/>
    <w:multiLevelType w:val="hybridMultilevel"/>
    <w:tmpl w:val="A88457D2"/>
    <w:lvl w:ilvl="0" w:tplc="8A5C788A">
      <w:start w:val="1"/>
      <w:numFmt w:val="decimal"/>
      <w:lvlText w:val="%1."/>
      <w:lvlJc w:val="left"/>
      <w:pPr>
        <w:ind w:left="706" w:hanging="567"/>
      </w:pPr>
      <w:rPr>
        <w:rFonts w:ascii="Arial" w:eastAsia="Calibri" w:hAnsi="Arial" w:cs="Arial" w:hint="default"/>
        <w:w w:val="100"/>
        <w:sz w:val="20"/>
        <w:szCs w:val="22"/>
        <w:lang w:val="en-US" w:eastAsia="en-US" w:bidi="ar-SA"/>
      </w:rPr>
    </w:lvl>
    <w:lvl w:ilvl="1" w:tplc="AA446E06">
      <w:numFmt w:val="bullet"/>
      <w:lvlText w:val="•"/>
      <w:lvlJc w:val="left"/>
      <w:pPr>
        <w:ind w:left="1566" w:hanging="567"/>
      </w:pPr>
      <w:rPr>
        <w:rFonts w:hint="default"/>
        <w:lang w:val="en-US" w:eastAsia="en-US" w:bidi="ar-SA"/>
      </w:rPr>
    </w:lvl>
    <w:lvl w:ilvl="2" w:tplc="5712E34A">
      <w:numFmt w:val="bullet"/>
      <w:lvlText w:val="•"/>
      <w:lvlJc w:val="left"/>
      <w:pPr>
        <w:ind w:left="2433" w:hanging="567"/>
      </w:pPr>
      <w:rPr>
        <w:rFonts w:hint="default"/>
        <w:lang w:val="en-US" w:eastAsia="en-US" w:bidi="ar-SA"/>
      </w:rPr>
    </w:lvl>
    <w:lvl w:ilvl="3" w:tplc="1FD8F8FE">
      <w:numFmt w:val="bullet"/>
      <w:lvlText w:val="•"/>
      <w:lvlJc w:val="left"/>
      <w:pPr>
        <w:ind w:left="3299" w:hanging="567"/>
      </w:pPr>
      <w:rPr>
        <w:rFonts w:hint="default"/>
        <w:lang w:val="en-US" w:eastAsia="en-US" w:bidi="ar-SA"/>
      </w:rPr>
    </w:lvl>
    <w:lvl w:ilvl="4" w:tplc="D0248ABC">
      <w:numFmt w:val="bullet"/>
      <w:lvlText w:val="•"/>
      <w:lvlJc w:val="left"/>
      <w:pPr>
        <w:ind w:left="4166" w:hanging="567"/>
      </w:pPr>
      <w:rPr>
        <w:rFonts w:hint="default"/>
        <w:lang w:val="en-US" w:eastAsia="en-US" w:bidi="ar-SA"/>
      </w:rPr>
    </w:lvl>
    <w:lvl w:ilvl="5" w:tplc="DC3C9210">
      <w:numFmt w:val="bullet"/>
      <w:lvlText w:val="•"/>
      <w:lvlJc w:val="left"/>
      <w:pPr>
        <w:ind w:left="5033" w:hanging="567"/>
      </w:pPr>
      <w:rPr>
        <w:rFonts w:hint="default"/>
        <w:lang w:val="en-US" w:eastAsia="en-US" w:bidi="ar-SA"/>
      </w:rPr>
    </w:lvl>
    <w:lvl w:ilvl="6" w:tplc="E39C8148">
      <w:numFmt w:val="bullet"/>
      <w:lvlText w:val="•"/>
      <w:lvlJc w:val="left"/>
      <w:pPr>
        <w:ind w:left="5899" w:hanging="567"/>
      </w:pPr>
      <w:rPr>
        <w:rFonts w:hint="default"/>
        <w:lang w:val="en-US" w:eastAsia="en-US" w:bidi="ar-SA"/>
      </w:rPr>
    </w:lvl>
    <w:lvl w:ilvl="7" w:tplc="09B6CC80">
      <w:numFmt w:val="bullet"/>
      <w:lvlText w:val="•"/>
      <w:lvlJc w:val="left"/>
      <w:pPr>
        <w:ind w:left="6766" w:hanging="567"/>
      </w:pPr>
      <w:rPr>
        <w:rFonts w:hint="default"/>
        <w:lang w:val="en-US" w:eastAsia="en-US" w:bidi="ar-SA"/>
      </w:rPr>
    </w:lvl>
    <w:lvl w:ilvl="8" w:tplc="C92427DE">
      <w:numFmt w:val="bullet"/>
      <w:lvlText w:val="•"/>
      <w:lvlJc w:val="left"/>
      <w:pPr>
        <w:ind w:left="7633" w:hanging="567"/>
      </w:pPr>
      <w:rPr>
        <w:rFonts w:hint="default"/>
        <w:lang w:val="en-US" w:eastAsia="en-US" w:bidi="ar-SA"/>
      </w:rPr>
    </w:lvl>
  </w:abstractNum>
  <w:abstractNum w:abstractNumId="469" w15:restartNumberingAfterBreak="0">
    <w:nsid w:val="7F315238"/>
    <w:multiLevelType w:val="hybridMultilevel"/>
    <w:tmpl w:val="E54AE13A"/>
    <w:lvl w:ilvl="0" w:tplc="0A9451E2">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C8EA3712">
      <w:numFmt w:val="bullet"/>
      <w:lvlText w:val="•"/>
      <w:lvlJc w:val="left"/>
      <w:pPr>
        <w:ind w:left="1566" w:hanging="567"/>
      </w:pPr>
      <w:rPr>
        <w:lang w:val="en-US" w:eastAsia="en-US" w:bidi="ar-SA"/>
      </w:rPr>
    </w:lvl>
    <w:lvl w:ilvl="2" w:tplc="0660E89E">
      <w:numFmt w:val="bullet"/>
      <w:lvlText w:val="•"/>
      <w:lvlJc w:val="left"/>
      <w:pPr>
        <w:ind w:left="2433" w:hanging="567"/>
      </w:pPr>
      <w:rPr>
        <w:lang w:val="en-US" w:eastAsia="en-US" w:bidi="ar-SA"/>
      </w:rPr>
    </w:lvl>
    <w:lvl w:ilvl="3" w:tplc="9B2EDA2C">
      <w:numFmt w:val="bullet"/>
      <w:lvlText w:val="•"/>
      <w:lvlJc w:val="left"/>
      <w:pPr>
        <w:ind w:left="3299" w:hanging="567"/>
      </w:pPr>
      <w:rPr>
        <w:lang w:val="en-US" w:eastAsia="en-US" w:bidi="ar-SA"/>
      </w:rPr>
    </w:lvl>
    <w:lvl w:ilvl="4" w:tplc="5BF08B74">
      <w:numFmt w:val="bullet"/>
      <w:lvlText w:val="•"/>
      <w:lvlJc w:val="left"/>
      <w:pPr>
        <w:ind w:left="4166" w:hanging="567"/>
      </w:pPr>
      <w:rPr>
        <w:lang w:val="en-US" w:eastAsia="en-US" w:bidi="ar-SA"/>
      </w:rPr>
    </w:lvl>
    <w:lvl w:ilvl="5" w:tplc="4B6A787E">
      <w:numFmt w:val="bullet"/>
      <w:lvlText w:val="•"/>
      <w:lvlJc w:val="left"/>
      <w:pPr>
        <w:ind w:left="5033" w:hanging="567"/>
      </w:pPr>
      <w:rPr>
        <w:lang w:val="en-US" w:eastAsia="en-US" w:bidi="ar-SA"/>
      </w:rPr>
    </w:lvl>
    <w:lvl w:ilvl="6" w:tplc="ED580688">
      <w:numFmt w:val="bullet"/>
      <w:lvlText w:val="•"/>
      <w:lvlJc w:val="left"/>
      <w:pPr>
        <w:ind w:left="5899" w:hanging="567"/>
      </w:pPr>
      <w:rPr>
        <w:lang w:val="en-US" w:eastAsia="en-US" w:bidi="ar-SA"/>
      </w:rPr>
    </w:lvl>
    <w:lvl w:ilvl="7" w:tplc="DD3E19E6">
      <w:numFmt w:val="bullet"/>
      <w:lvlText w:val="•"/>
      <w:lvlJc w:val="left"/>
      <w:pPr>
        <w:ind w:left="6766" w:hanging="567"/>
      </w:pPr>
      <w:rPr>
        <w:lang w:val="en-US" w:eastAsia="en-US" w:bidi="ar-SA"/>
      </w:rPr>
    </w:lvl>
    <w:lvl w:ilvl="8" w:tplc="FAE61616">
      <w:numFmt w:val="bullet"/>
      <w:lvlText w:val="•"/>
      <w:lvlJc w:val="left"/>
      <w:pPr>
        <w:ind w:left="7633" w:hanging="567"/>
      </w:pPr>
      <w:rPr>
        <w:lang w:val="en-US" w:eastAsia="en-US" w:bidi="ar-SA"/>
      </w:rPr>
    </w:lvl>
  </w:abstractNum>
  <w:abstractNum w:abstractNumId="470" w15:restartNumberingAfterBreak="0">
    <w:nsid w:val="7F330E8A"/>
    <w:multiLevelType w:val="hybridMultilevel"/>
    <w:tmpl w:val="CF44DD4C"/>
    <w:lvl w:ilvl="0" w:tplc="D9D41B4A">
      <w:start w:val="1"/>
      <w:numFmt w:val="lowerRoman"/>
      <w:lvlText w:val="(%1)"/>
      <w:lvlJc w:val="left"/>
      <w:pPr>
        <w:ind w:left="2578" w:hanging="569"/>
      </w:pPr>
      <w:rPr>
        <w:rFonts w:ascii="Arial" w:eastAsia="Calibri" w:hAnsi="Arial" w:cs="Arial" w:hint="default"/>
        <w:spacing w:val="-1"/>
        <w:w w:val="100"/>
        <w:sz w:val="20"/>
        <w:szCs w:val="22"/>
        <w:lang w:val="en-US" w:eastAsia="en-US" w:bidi="ar-SA"/>
      </w:rPr>
    </w:lvl>
    <w:lvl w:ilvl="1" w:tplc="04090019" w:tentative="1">
      <w:start w:val="1"/>
      <w:numFmt w:val="lowerLetter"/>
      <w:lvlText w:val="%2."/>
      <w:lvlJc w:val="left"/>
      <w:pPr>
        <w:ind w:left="2176" w:hanging="360"/>
      </w:pPr>
    </w:lvl>
    <w:lvl w:ilvl="2" w:tplc="0409001B" w:tentative="1">
      <w:start w:val="1"/>
      <w:numFmt w:val="lowerRoman"/>
      <w:lvlText w:val="%3."/>
      <w:lvlJc w:val="right"/>
      <w:pPr>
        <w:ind w:left="2896" w:hanging="180"/>
      </w:pPr>
    </w:lvl>
    <w:lvl w:ilvl="3" w:tplc="0409000F" w:tentative="1">
      <w:start w:val="1"/>
      <w:numFmt w:val="decimal"/>
      <w:lvlText w:val="%4."/>
      <w:lvlJc w:val="left"/>
      <w:pPr>
        <w:ind w:left="3616" w:hanging="360"/>
      </w:pPr>
    </w:lvl>
    <w:lvl w:ilvl="4" w:tplc="04090019" w:tentative="1">
      <w:start w:val="1"/>
      <w:numFmt w:val="lowerLetter"/>
      <w:lvlText w:val="%5."/>
      <w:lvlJc w:val="left"/>
      <w:pPr>
        <w:ind w:left="4336" w:hanging="360"/>
      </w:pPr>
    </w:lvl>
    <w:lvl w:ilvl="5" w:tplc="0409001B" w:tentative="1">
      <w:start w:val="1"/>
      <w:numFmt w:val="lowerRoman"/>
      <w:lvlText w:val="%6."/>
      <w:lvlJc w:val="right"/>
      <w:pPr>
        <w:ind w:left="5056" w:hanging="180"/>
      </w:pPr>
    </w:lvl>
    <w:lvl w:ilvl="6" w:tplc="0409000F" w:tentative="1">
      <w:start w:val="1"/>
      <w:numFmt w:val="decimal"/>
      <w:lvlText w:val="%7."/>
      <w:lvlJc w:val="left"/>
      <w:pPr>
        <w:ind w:left="5776" w:hanging="360"/>
      </w:pPr>
    </w:lvl>
    <w:lvl w:ilvl="7" w:tplc="04090019" w:tentative="1">
      <w:start w:val="1"/>
      <w:numFmt w:val="lowerLetter"/>
      <w:lvlText w:val="%8."/>
      <w:lvlJc w:val="left"/>
      <w:pPr>
        <w:ind w:left="6496" w:hanging="360"/>
      </w:pPr>
    </w:lvl>
    <w:lvl w:ilvl="8" w:tplc="0409001B" w:tentative="1">
      <w:start w:val="1"/>
      <w:numFmt w:val="lowerRoman"/>
      <w:lvlText w:val="%9."/>
      <w:lvlJc w:val="right"/>
      <w:pPr>
        <w:ind w:left="7216" w:hanging="180"/>
      </w:pPr>
    </w:lvl>
  </w:abstractNum>
  <w:abstractNum w:abstractNumId="471" w15:restartNumberingAfterBreak="0">
    <w:nsid w:val="7F5C399C"/>
    <w:multiLevelType w:val="hybridMultilevel"/>
    <w:tmpl w:val="19845C6E"/>
    <w:lvl w:ilvl="0" w:tplc="57B6355E">
      <w:start w:val="1"/>
      <w:numFmt w:val="lowerLetter"/>
      <w:lvlText w:val="(%1)"/>
      <w:lvlJc w:val="left"/>
      <w:pPr>
        <w:ind w:left="706" w:hanging="567"/>
      </w:pPr>
      <w:rPr>
        <w:rFonts w:ascii="Arial" w:eastAsia="Calibri" w:hAnsi="Arial" w:cs="Arial" w:hint="default"/>
        <w:spacing w:val="-1"/>
        <w:w w:val="100"/>
        <w:sz w:val="20"/>
        <w:szCs w:val="22"/>
        <w:lang w:val="en-US" w:eastAsia="en-US" w:bidi="ar-SA"/>
      </w:rPr>
    </w:lvl>
    <w:lvl w:ilvl="1" w:tplc="3634E3AE">
      <w:numFmt w:val="bullet"/>
      <w:lvlText w:val="•"/>
      <w:lvlJc w:val="left"/>
      <w:pPr>
        <w:ind w:left="1566" w:hanging="567"/>
      </w:pPr>
      <w:rPr>
        <w:rFonts w:hint="default"/>
        <w:lang w:val="en-US" w:eastAsia="en-US" w:bidi="ar-SA"/>
      </w:rPr>
    </w:lvl>
    <w:lvl w:ilvl="2" w:tplc="456C8CC8">
      <w:numFmt w:val="bullet"/>
      <w:lvlText w:val="•"/>
      <w:lvlJc w:val="left"/>
      <w:pPr>
        <w:ind w:left="2433" w:hanging="567"/>
      </w:pPr>
      <w:rPr>
        <w:rFonts w:hint="default"/>
        <w:lang w:val="en-US" w:eastAsia="en-US" w:bidi="ar-SA"/>
      </w:rPr>
    </w:lvl>
    <w:lvl w:ilvl="3" w:tplc="72522352">
      <w:numFmt w:val="bullet"/>
      <w:lvlText w:val="•"/>
      <w:lvlJc w:val="left"/>
      <w:pPr>
        <w:ind w:left="3299" w:hanging="567"/>
      </w:pPr>
      <w:rPr>
        <w:rFonts w:hint="default"/>
        <w:lang w:val="en-US" w:eastAsia="en-US" w:bidi="ar-SA"/>
      </w:rPr>
    </w:lvl>
    <w:lvl w:ilvl="4" w:tplc="55BA4D2C">
      <w:numFmt w:val="bullet"/>
      <w:lvlText w:val="•"/>
      <w:lvlJc w:val="left"/>
      <w:pPr>
        <w:ind w:left="4166" w:hanging="567"/>
      </w:pPr>
      <w:rPr>
        <w:rFonts w:hint="default"/>
        <w:lang w:val="en-US" w:eastAsia="en-US" w:bidi="ar-SA"/>
      </w:rPr>
    </w:lvl>
    <w:lvl w:ilvl="5" w:tplc="03926A22">
      <w:numFmt w:val="bullet"/>
      <w:lvlText w:val="•"/>
      <w:lvlJc w:val="left"/>
      <w:pPr>
        <w:ind w:left="5033" w:hanging="567"/>
      </w:pPr>
      <w:rPr>
        <w:rFonts w:hint="default"/>
        <w:lang w:val="en-US" w:eastAsia="en-US" w:bidi="ar-SA"/>
      </w:rPr>
    </w:lvl>
    <w:lvl w:ilvl="6" w:tplc="1BD4F068">
      <w:numFmt w:val="bullet"/>
      <w:lvlText w:val="•"/>
      <w:lvlJc w:val="left"/>
      <w:pPr>
        <w:ind w:left="5899" w:hanging="567"/>
      </w:pPr>
      <w:rPr>
        <w:rFonts w:hint="default"/>
        <w:lang w:val="en-US" w:eastAsia="en-US" w:bidi="ar-SA"/>
      </w:rPr>
    </w:lvl>
    <w:lvl w:ilvl="7" w:tplc="73D4F6C8">
      <w:numFmt w:val="bullet"/>
      <w:lvlText w:val="•"/>
      <w:lvlJc w:val="left"/>
      <w:pPr>
        <w:ind w:left="6766" w:hanging="567"/>
      </w:pPr>
      <w:rPr>
        <w:rFonts w:hint="default"/>
        <w:lang w:val="en-US" w:eastAsia="en-US" w:bidi="ar-SA"/>
      </w:rPr>
    </w:lvl>
    <w:lvl w:ilvl="8" w:tplc="EA869ECA">
      <w:numFmt w:val="bullet"/>
      <w:lvlText w:val="•"/>
      <w:lvlJc w:val="left"/>
      <w:pPr>
        <w:ind w:left="7633" w:hanging="567"/>
      </w:pPr>
      <w:rPr>
        <w:rFonts w:hint="default"/>
        <w:lang w:val="en-US" w:eastAsia="en-US" w:bidi="ar-SA"/>
      </w:rPr>
    </w:lvl>
  </w:abstractNum>
  <w:abstractNum w:abstractNumId="472" w15:restartNumberingAfterBreak="0">
    <w:nsid w:val="7FD54FDB"/>
    <w:multiLevelType w:val="hybridMultilevel"/>
    <w:tmpl w:val="B1465802"/>
    <w:lvl w:ilvl="0" w:tplc="C2CEFA44">
      <w:start w:val="1"/>
      <w:numFmt w:val="lowerRoman"/>
      <w:lvlText w:val="(%1)"/>
      <w:lvlJc w:val="left"/>
      <w:pPr>
        <w:ind w:left="1842" w:hanging="569"/>
      </w:pPr>
      <w:rPr>
        <w:rFonts w:ascii="Arial" w:eastAsia="Calibri" w:hAnsi="Arial" w:cs="Arial" w:hint="default"/>
        <w:spacing w:val="-1"/>
        <w:w w:val="100"/>
        <w:sz w:val="20"/>
        <w:szCs w:val="22"/>
        <w:lang w:val="en-US" w:eastAsia="en-US" w:bidi="ar-SA"/>
      </w:rPr>
    </w:lvl>
    <w:lvl w:ilvl="1" w:tplc="1528E8DE">
      <w:numFmt w:val="bullet"/>
      <w:lvlText w:val="•"/>
      <w:lvlJc w:val="left"/>
      <w:pPr>
        <w:ind w:left="2592" w:hanging="569"/>
      </w:pPr>
      <w:rPr>
        <w:rFonts w:hint="default"/>
        <w:lang w:val="en-US" w:eastAsia="en-US" w:bidi="ar-SA"/>
      </w:rPr>
    </w:lvl>
    <w:lvl w:ilvl="2" w:tplc="152EC41A">
      <w:numFmt w:val="bullet"/>
      <w:lvlText w:val="•"/>
      <w:lvlJc w:val="left"/>
      <w:pPr>
        <w:ind w:left="3345" w:hanging="569"/>
      </w:pPr>
      <w:rPr>
        <w:rFonts w:hint="default"/>
        <w:lang w:val="en-US" w:eastAsia="en-US" w:bidi="ar-SA"/>
      </w:rPr>
    </w:lvl>
    <w:lvl w:ilvl="3" w:tplc="8ED063B8">
      <w:numFmt w:val="bullet"/>
      <w:lvlText w:val="•"/>
      <w:lvlJc w:val="left"/>
      <w:pPr>
        <w:ind w:left="4097" w:hanging="569"/>
      </w:pPr>
      <w:rPr>
        <w:rFonts w:hint="default"/>
        <w:lang w:val="en-US" w:eastAsia="en-US" w:bidi="ar-SA"/>
      </w:rPr>
    </w:lvl>
    <w:lvl w:ilvl="4" w:tplc="1BC6DBAC">
      <w:numFmt w:val="bullet"/>
      <w:lvlText w:val="•"/>
      <w:lvlJc w:val="left"/>
      <w:pPr>
        <w:ind w:left="4850" w:hanging="569"/>
      </w:pPr>
      <w:rPr>
        <w:rFonts w:hint="default"/>
        <w:lang w:val="en-US" w:eastAsia="en-US" w:bidi="ar-SA"/>
      </w:rPr>
    </w:lvl>
    <w:lvl w:ilvl="5" w:tplc="E614175A">
      <w:numFmt w:val="bullet"/>
      <w:lvlText w:val="•"/>
      <w:lvlJc w:val="left"/>
      <w:pPr>
        <w:ind w:left="5603" w:hanging="569"/>
      </w:pPr>
      <w:rPr>
        <w:rFonts w:hint="default"/>
        <w:lang w:val="en-US" w:eastAsia="en-US" w:bidi="ar-SA"/>
      </w:rPr>
    </w:lvl>
    <w:lvl w:ilvl="6" w:tplc="18F49E62">
      <w:numFmt w:val="bullet"/>
      <w:lvlText w:val="•"/>
      <w:lvlJc w:val="left"/>
      <w:pPr>
        <w:ind w:left="6355" w:hanging="569"/>
      </w:pPr>
      <w:rPr>
        <w:rFonts w:hint="default"/>
        <w:lang w:val="en-US" w:eastAsia="en-US" w:bidi="ar-SA"/>
      </w:rPr>
    </w:lvl>
    <w:lvl w:ilvl="7" w:tplc="A63495A4">
      <w:numFmt w:val="bullet"/>
      <w:lvlText w:val="•"/>
      <w:lvlJc w:val="left"/>
      <w:pPr>
        <w:ind w:left="7108" w:hanging="569"/>
      </w:pPr>
      <w:rPr>
        <w:rFonts w:hint="default"/>
        <w:lang w:val="en-US" w:eastAsia="en-US" w:bidi="ar-SA"/>
      </w:rPr>
    </w:lvl>
    <w:lvl w:ilvl="8" w:tplc="2B6AD2EA">
      <w:numFmt w:val="bullet"/>
      <w:lvlText w:val="•"/>
      <w:lvlJc w:val="left"/>
      <w:pPr>
        <w:ind w:left="7861" w:hanging="569"/>
      </w:pPr>
      <w:rPr>
        <w:rFonts w:hint="default"/>
        <w:lang w:val="en-US" w:eastAsia="en-US" w:bidi="ar-SA"/>
      </w:rPr>
    </w:lvl>
  </w:abstractNum>
  <w:abstractNum w:abstractNumId="473" w15:restartNumberingAfterBreak="0">
    <w:nsid w:val="7FD72714"/>
    <w:multiLevelType w:val="hybridMultilevel"/>
    <w:tmpl w:val="087E3F58"/>
    <w:lvl w:ilvl="0" w:tplc="6C3EF324">
      <w:start w:val="1"/>
      <w:numFmt w:val="lowerRoman"/>
      <w:lvlText w:val="(%1)"/>
      <w:lvlJc w:val="left"/>
      <w:pPr>
        <w:ind w:left="2408" w:hanging="567"/>
      </w:pPr>
      <w:rPr>
        <w:rFonts w:ascii="Arial" w:eastAsia="Calibri" w:hAnsi="Arial" w:cs="Arial" w:hint="default"/>
        <w:spacing w:val="-1"/>
        <w:w w:val="100"/>
        <w:sz w:val="20"/>
        <w:szCs w:val="22"/>
        <w:lang w:val="en-US" w:eastAsia="en-US" w:bidi="ar-SA"/>
      </w:rPr>
    </w:lvl>
    <w:lvl w:ilvl="1" w:tplc="10D65020">
      <w:numFmt w:val="bullet"/>
      <w:lvlText w:val="•"/>
      <w:lvlJc w:val="left"/>
      <w:pPr>
        <w:ind w:left="3096" w:hanging="567"/>
      </w:pPr>
      <w:rPr>
        <w:rFonts w:hint="default"/>
        <w:lang w:val="en-US" w:eastAsia="en-US" w:bidi="ar-SA"/>
      </w:rPr>
    </w:lvl>
    <w:lvl w:ilvl="2" w:tplc="6DE69A96">
      <w:numFmt w:val="bullet"/>
      <w:lvlText w:val="•"/>
      <w:lvlJc w:val="left"/>
      <w:pPr>
        <w:ind w:left="3793" w:hanging="567"/>
      </w:pPr>
      <w:rPr>
        <w:rFonts w:hint="default"/>
        <w:lang w:val="en-US" w:eastAsia="en-US" w:bidi="ar-SA"/>
      </w:rPr>
    </w:lvl>
    <w:lvl w:ilvl="3" w:tplc="FD44C90A">
      <w:numFmt w:val="bullet"/>
      <w:lvlText w:val="•"/>
      <w:lvlJc w:val="left"/>
      <w:pPr>
        <w:ind w:left="4489" w:hanging="567"/>
      </w:pPr>
      <w:rPr>
        <w:rFonts w:hint="default"/>
        <w:lang w:val="en-US" w:eastAsia="en-US" w:bidi="ar-SA"/>
      </w:rPr>
    </w:lvl>
    <w:lvl w:ilvl="4" w:tplc="2C946DD6">
      <w:numFmt w:val="bullet"/>
      <w:lvlText w:val="•"/>
      <w:lvlJc w:val="left"/>
      <w:pPr>
        <w:ind w:left="5186" w:hanging="567"/>
      </w:pPr>
      <w:rPr>
        <w:rFonts w:hint="default"/>
        <w:lang w:val="en-US" w:eastAsia="en-US" w:bidi="ar-SA"/>
      </w:rPr>
    </w:lvl>
    <w:lvl w:ilvl="5" w:tplc="34D64076">
      <w:numFmt w:val="bullet"/>
      <w:lvlText w:val="•"/>
      <w:lvlJc w:val="left"/>
      <w:pPr>
        <w:ind w:left="5883" w:hanging="567"/>
      </w:pPr>
      <w:rPr>
        <w:rFonts w:hint="default"/>
        <w:lang w:val="en-US" w:eastAsia="en-US" w:bidi="ar-SA"/>
      </w:rPr>
    </w:lvl>
    <w:lvl w:ilvl="6" w:tplc="5C76913E">
      <w:numFmt w:val="bullet"/>
      <w:lvlText w:val="•"/>
      <w:lvlJc w:val="left"/>
      <w:pPr>
        <w:ind w:left="6579" w:hanging="567"/>
      </w:pPr>
      <w:rPr>
        <w:rFonts w:hint="default"/>
        <w:lang w:val="en-US" w:eastAsia="en-US" w:bidi="ar-SA"/>
      </w:rPr>
    </w:lvl>
    <w:lvl w:ilvl="7" w:tplc="745EDA56">
      <w:numFmt w:val="bullet"/>
      <w:lvlText w:val="•"/>
      <w:lvlJc w:val="left"/>
      <w:pPr>
        <w:ind w:left="7276" w:hanging="567"/>
      </w:pPr>
      <w:rPr>
        <w:rFonts w:hint="default"/>
        <w:lang w:val="en-US" w:eastAsia="en-US" w:bidi="ar-SA"/>
      </w:rPr>
    </w:lvl>
    <w:lvl w:ilvl="8" w:tplc="C5389B1E">
      <w:numFmt w:val="bullet"/>
      <w:lvlText w:val="•"/>
      <w:lvlJc w:val="left"/>
      <w:pPr>
        <w:ind w:left="7973" w:hanging="567"/>
      </w:pPr>
      <w:rPr>
        <w:rFonts w:hint="default"/>
        <w:lang w:val="en-US" w:eastAsia="en-US" w:bidi="ar-SA"/>
      </w:rPr>
    </w:lvl>
  </w:abstractNum>
  <w:num w:numId="1" w16cid:durableId="721513901">
    <w:abstractNumId w:val="155"/>
  </w:num>
  <w:num w:numId="2" w16cid:durableId="1409304904">
    <w:abstractNumId w:val="165"/>
  </w:num>
  <w:num w:numId="3" w16cid:durableId="1351374198">
    <w:abstractNumId w:val="251"/>
  </w:num>
  <w:num w:numId="4" w16cid:durableId="1568415972">
    <w:abstractNumId w:val="358"/>
  </w:num>
  <w:num w:numId="5" w16cid:durableId="1365904884">
    <w:abstractNumId w:val="405"/>
  </w:num>
  <w:num w:numId="6" w16cid:durableId="855264992">
    <w:abstractNumId w:val="128"/>
  </w:num>
  <w:num w:numId="7" w16cid:durableId="1144396245">
    <w:abstractNumId w:val="439"/>
  </w:num>
  <w:num w:numId="8" w16cid:durableId="876891483">
    <w:abstractNumId w:val="468"/>
  </w:num>
  <w:num w:numId="9" w16cid:durableId="798767935">
    <w:abstractNumId w:val="356"/>
  </w:num>
  <w:num w:numId="10" w16cid:durableId="1350260601">
    <w:abstractNumId w:val="265"/>
  </w:num>
  <w:num w:numId="11" w16cid:durableId="1426420487">
    <w:abstractNumId w:val="121"/>
  </w:num>
  <w:num w:numId="12" w16cid:durableId="108814730">
    <w:abstractNumId w:val="447"/>
  </w:num>
  <w:num w:numId="13" w16cid:durableId="1760560495">
    <w:abstractNumId w:val="343"/>
  </w:num>
  <w:num w:numId="14" w16cid:durableId="495074022">
    <w:abstractNumId w:val="4"/>
  </w:num>
  <w:num w:numId="15" w16cid:durableId="482352855">
    <w:abstractNumId w:val="197"/>
  </w:num>
  <w:num w:numId="16" w16cid:durableId="106628869">
    <w:abstractNumId w:val="228"/>
  </w:num>
  <w:num w:numId="17" w16cid:durableId="855580006">
    <w:abstractNumId w:val="26"/>
  </w:num>
  <w:num w:numId="18" w16cid:durableId="2056151993">
    <w:abstractNumId w:val="452"/>
  </w:num>
  <w:num w:numId="19" w16cid:durableId="1940330379">
    <w:abstractNumId w:val="210"/>
  </w:num>
  <w:num w:numId="20" w16cid:durableId="916403608">
    <w:abstractNumId w:val="336"/>
  </w:num>
  <w:num w:numId="21" w16cid:durableId="1787383740">
    <w:abstractNumId w:val="411"/>
  </w:num>
  <w:num w:numId="22" w16cid:durableId="357774137">
    <w:abstractNumId w:val="27"/>
  </w:num>
  <w:num w:numId="23" w16cid:durableId="1093163144">
    <w:abstractNumId w:val="325"/>
  </w:num>
  <w:num w:numId="24" w16cid:durableId="625938955">
    <w:abstractNumId w:val="103"/>
  </w:num>
  <w:num w:numId="25" w16cid:durableId="1698119643">
    <w:abstractNumId w:val="70"/>
  </w:num>
  <w:num w:numId="26" w16cid:durableId="1578519694">
    <w:abstractNumId w:val="73"/>
  </w:num>
  <w:num w:numId="27" w16cid:durableId="1991861921">
    <w:abstractNumId w:val="151"/>
  </w:num>
  <w:num w:numId="28" w16cid:durableId="1173032327">
    <w:abstractNumId w:val="71"/>
  </w:num>
  <w:num w:numId="29" w16cid:durableId="1834906932">
    <w:abstractNumId w:val="76"/>
  </w:num>
  <w:num w:numId="30" w16cid:durableId="1260061580">
    <w:abstractNumId w:val="396"/>
  </w:num>
  <w:num w:numId="31" w16cid:durableId="474298434">
    <w:abstractNumId w:val="160"/>
  </w:num>
  <w:num w:numId="32" w16cid:durableId="1071856385">
    <w:abstractNumId w:val="239"/>
  </w:num>
  <w:num w:numId="33" w16cid:durableId="53823140">
    <w:abstractNumId w:val="18"/>
  </w:num>
  <w:num w:numId="34" w16cid:durableId="899947786">
    <w:abstractNumId w:val="57"/>
  </w:num>
  <w:num w:numId="35" w16cid:durableId="2015840102">
    <w:abstractNumId w:val="80"/>
  </w:num>
  <w:num w:numId="36" w16cid:durableId="1754474088">
    <w:abstractNumId w:val="146"/>
  </w:num>
  <w:num w:numId="37" w16cid:durableId="430667671">
    <w:abstractNumId w:val="229"/>
  </w:num>
  <w:num w:numId="38" w16cid:durableId="826285063">
    <w:abstractNumId w:val="349"/>
  </w:num>
  <w:num w:numId="39" w16cid:durableId="680199235">
    <w:abstractNumId w:val="444"/>
  </w:num>
  <w:num w:numId="40" w16cid:durableId="1769156816">
    <w:abstractNumId w:val="306"/>
  </w:num>
  <w:num w:numId="41" w16cid:durableId="804546572">
    <w:abstractNumId w:val="322"/>
  </w:num>
  <w:num w:numId="42" w16cid:durableId="1067340905">
    <w:abstractNumId w:val="286"/>
  </w:num>
  <w:num w:numId="43" w16cid:durableId="437918571">
    <w:abstractNumId w:val="295"/>
  </w:num>
  <w:num w:numId="44" w16cid:durableId="238174464">
    <w:abstractNumId w:val="436"/>
  </w:num>
  <w:num w:numId="45" w16cid:durableId="518542116">
    <w:abstractNumId w:val="461"/>
  </w:num>
  <w:num w:numId="46" w16cid:durableId="1571115661">
    <w:abstractNumId w:val="324"/>
  </w:num>
  <w:num w:numId="47" w16cid:durableId="368845619">
    <w:abstractNumId w:val="19"/>
  </w:num>
  <w:num w:numId="48" w16cid:durableId="838814646">
    <w:abstractNumId w:val="320"/>
  </w:num>
  <w:num w:numId="49" w16cid:durableId="1913468522">
    <w:abstractNumId w:val="451"/>
  </w:num>
  <w:num w:numId="50" w16cid:durableId="1061296417">
    <w:abstractNumId w:val="190"/>
  </w:num>
  <w:num w:numId="51" w16cid:durableId="204871477">
    <w:abstractNumId w:val="232"/>
  </w:num>
  <w:num w:numId="52" w16cid:durableId="2035493005">
    <w:abstractNumId w:val="226"/>
  </w:num>
  <w:num w:numId="53" w16cid:durableId="1649355572">
    <w:abstractNumId w:val="441"/>
  </w:num>
  <w:num w:numId="54" w16cid:durableId="1292519341">
    <w:abstractNumId w:val="220"/>
  </w:num>
  <w:num w:numId="55" w16cid:durableId="121533228">
    <w:abstractNumId w:val="423"/>
  </w:num>
  <w:num w:numId="56" w16cid:durableId="246695400">
    <w:abstractNumId w:val="180"/>
  </w:num>
  <w:num w:numId="57" w16cid:durableId="836967731">
    <w:abstractNumId w:val="459"/>
  </w:num>
  <w:num w:numId="58" w16cid:durableId="1398819499">
    <w:abstractNumId w:val="308"/>
  </w:num>
  <w:num w:numId="59" w16cid:durableId="1575511480">
    <w:abstractNumId w:val="37"/>
  </w:num>
  <w:num w:numId="60" w16cid:durableId="1118334626">
    <w:abstractNumId w:val="104"/>
  </w:num>
  <w:num w:numId="61" w16cid:durableId="1382248258">
    <w:abstractNumId w:val="164"/>
  </w:num>
  <w:num w:numId="62" w16cid:durableId="2032880401">
    <w:abstractNumId w:val="79"/>
  </w:num>
  <w:num w:numId="63" w16cid:durableId="763888788">
    <w:abstractNumId w:val="318"/>
  </w:num>
  <w:num w:numId="64" w16cid:durableId="991451681">
    <w:abstractNumId w:val="237"/>
  </w:num>
  <w:num w:numId="65" w16cid:durableId="1946576854">
    <w:abstractNumId w:val="347"/>
  </w:num>
  <w:num w:numId="66" w16cid:durableId="955866508">
    <w:abstractNumId w:val="85"/>
  </w:num>
  <w:num w:numId="67" w16cid:durableId="1574314278">
    <w:abstractNumId w:val="319"/>
  </w:num>
  <w:num w:numId="68" w16cid:durableId="851992557">
    <w:abstractNumId w:val="75"/>
  </w:num>
  <w:num w:numId="69" w16cid:durableId="730925709">
    <w:abstractNumId w:val="34"/>
  </w:num>
  <w:num w:numId="70" w16cid:durableId="466320985">
    <w:abstractNumId w:val="350"/>
  </w:num>
  <w:num w:numId="71" w16cid:durableId="1176266353">
    <w:abstractNumId w:val="282"/>
  </w:num>
  <w:num w:numId="72" w16cid:durableId="1726637308">
    <w:abstractNumId w:val="383"/>
  </w:num>
  <w:num w:numId="73" w16cid:durableId="1799950426">
    <w:abstractNumId w:val="96"/>
  </w:num>
  <w:num w:numId="74" w16cid:durableId="1244024540">
    <w:abstractNumId w:val="201"/>
  </w:num>
  <w:num w:numId="75" w16cid:durableId="1429618714">
    <w:abstractNumId w:val="144"/>
  </w:num>
  <w:num w:numId="76" w16cid:durableId="24797341">
    <w:abstractNumId w:val="359"/>
  </w:num>
  <w:num w:numId="77" w16cid:durableId="1067798980">
    <w:abstractNumId w:val="12"/>
  </w:num>
  <w:num w:numId="78" w16cid:durableId="1486167837">
    <w:abstractNumId w:val="39"/>
  </w:num>
  <w:num w:numId="79" w16cid:durableId="2032140948">
    <w:abstractNumId w:val="357"/>
  </w:num>
  <w:num w:numId="80" w16cid:durableId="1022248024">
    <w:abstractNumId w:val="116"/>
  </w:num>
  <w:num w:numId="81" w16cid:durableId="355666522">
    <w:abstractNumId w:val="393"/>
  </w:num>
  <w:num w:numId="82" w16cid:durableId="999498892">
    <w:abstractNumId w:val="59"/>
  </w:num>
  <w:num w:numId="83" w16cid:durableId="529612101">
    <w:abstractNumId w:val="401"/>
  </w:num>
  <w:num w:numId="84" w16cid:durableId="1118403795">
    <w:abstractNumId w:val="181"/>
  </w:num>
  <w:num w:numId="85" w16cid:durableId="516965611">
    <w:abstractNumId w:val="317"/>
  </w:num>
  <w:num w:numId="86" w16cid:durableId="1887329640">
    <w:abstractNumId w:val="131"/>
  </w:num>
  <w:num w:numId="87" w16cid:durableId="362634647">
    <w:abstractNumId w:val="316"/>
  </w:num>
  <w:num w:numId="88" w16cid:durableId="2112387243">
    <w:abstractNumId w:val="33"/>
  </w:num>
  <w:num w:numId="89" w16cid:durableId="1262109582">
    <w:abstractNumId w:val="364"/>
  </w:num>
  <w:num w:numId="90" w16cid:durableId="771170988">
    <w:abstractNumId w:val="417"/>
  </w:num>
  <w:num w:numId="91" w16cid:durableId="1063257707">
    <w:abstractNumId w:val="442"/>
  </w:num>
  <w:num w:numId="92" w16cid:durableId="1929537202">
    <w:abstractNumId w:val="340"/>
  </w:num>
  <w:num w:numId="93" w16cid:durableId="373621713">
    <w:abstractNumId w:val="6"/>
  </w:num>
  <w:num w:numId="94" w16cid:durableId="903446273">
    <w:abstractNumId w:val="346"/>
  </w:num>
  <w:num w:numId="95" w16cid:durableId="79833737">
    <w:abstractNumId w:val="174"/>
  </w:num>
  <w:num w:numId="96" w16cid:durableId="1037780485">
    <w:abstractNumId w:val="132"/>
  </w:num>
  <w:num w:numId="97" w16cid:durableId="491530852">
    <w:abstractNumId w:val="23"/>
  </w:num>
  <w:num w:numId="98" w16cid:durableId="192422351">
    <w:abstractNumId w:val="100"/>
  </w:num>
  <w:num w:numId="99" w16cid:durableId="903301113">
    <w:abstractNumId w:val="233"/>
  </w:num>
  <w:num w:numId="100" w16cid:durableId="2000690312">
    <w:abstractNumId w:val="110"/>
  </w:num>
  <w:num w:numId="101" w16cid:durableId="1211192327">
    <w:abstractNumId w:val="380"/>
  </w:num>
  <w:num w:numId="102" w16cid:durableId="1948079439">
    <w:abstractNumId w:val="413"/>
  </w:num>
  <w:num w:numId="103" w16cid:durableId="1071349351">
    <w:abstractNumId w:val="440"/>
  </w:num>
  <w:num w:numId="104" w16cid:durableId="963778396">
    <w:abstractNumId w:val="329"/>
  </w:num>
  <w:num w:numId="105" w16cid:durableId="965893093">
    <w:abstractNumId w:val="267"/>
  </w:num>
  <w:num w:numId="106" w16cid:durableId="850797446">
    <w:abstractNumId w:val="404"/>
  </w:num>
  <w:num w:numId="107" w16cid:durableId="642655965">
    <w:abstractNumId w:val="431"/>
  </w:num>
  <w:num w:numId="108" w16cid:durableId="2040083602">
    <w:abstractNumId w:val="236"/>
  </w:num>
  <w:num w:numId="109" w16cid:durableId="2001611641">
    <w:abstractNumId w:val="32"/>
  </w:num>
  <w:num w:numId="110" w16cid:durableId="1610308317">
    <w:abstractNumId w:val="204"/>
  </w:num>
  <w:num w:numId="111" w16cid:durableId="1071738268">
    <w:abstractNumId w:val="17"/>
  </w:num>
  <w:num w:numId="112" w16cid:durableId="2047364115">
    <w:abstractNumId w:val="78"/>
  </w:num>
  <w:num w:numId="113" w16cid:durableId="1406032385">
    <w:abstractNumId w:val="240"/>
  </w:num>
  <w:num w:numId="114" w16cid:durableId="753089732">
    <w:abstractNumId w:val="2"/>
  </w:num>
  <w:num w:numId="115" w16cid:durableId="87310880">
    <w:abstractNumId w:val="196"/>
  </w:num>
  <w:num w:numId="116" w16cid:durableId="468910554">
    <w:abstractNumId w:val="217"/>
  </w:num>
  <w:num w:numId="117" w16cid:durableId="1546330016">
    <w:abstractNumId w:val="289"/>
  </w:num>
  <w:num w:numId="118" w16cid:durableId="176429441">
    <w:abstractNumId w:val="170"/>
  </w:num>
  <w:num w:numId="119" w16cid:durableId="268047794">
    <w:abstractNumId w:val="456"/>
  </w:num>
  <w:num w:numId="120" w16cid:durableId="766509802">
    <w:abstractNumId w:val="242"/>
  </w:num>
  <w:num w:numId="121" w16cid:durableId="1564675337">
    <w:abstractNumId w:val="209"/>
  </w:num>
  <w:num w:numId="122" w16cid:durableId="1616599064">
    <w:abstractNumId w:val="305"/>
  </w:num>
  <w:num w:numId="123" w16cid:durableId="1955749297">
    <w:abstractNumId w:val="252"/>
  </w:num>
  <w:num w:numId="124" w16cid:durableId="1268082402">
    <w:abstractNumId w:val="366"/>
  </w:num>
  <w:num w:numId="125" w16cid:durableId="1977374964">
    <w:abstractNumId w:val="195"/>
  </w:num>
  <w:num w:numId="126" w16cid:durableId="107089487">
    <w:abstractNumId w:val="394"/>
  </w:num>
  <w:num w:numId="127" w16cid:durableId="2040620640">
    <w:abstractNumId w:val="184"/>
  </w:num>
  <w:num w:numId="128" w16cid:durableId="1665082033">
    <w:abstractNumId w:val="230"/>
  </w:num>
  <w:num w:numId="129" w16cid:durableId="1529485416">
    <w:abstractNumId w:val="254"/>
  </w:num>
  <w:num w:numId="130" w16cid:durableId="897324908">
    <w:abstractNumId w:val="388"/>
  </w:num>
  <w:num w:numId="131" w16cid:durableId="432825174">
    <w:abstractNumId w:val="471"/>
  </w:num>
  <w:num w:numId="132" w16cid:durableId="1966423288">
    <w:abstractNumId w:val="250"/>
  </w:num>
  <w:num w:numId="133" w16cid:durableId="1863544610">
    <w:abstractNumId w:val="41"/>
  </w:num>
  <w:num w:numId="134" w16cid:durableId="1860661398">
    <w:abstractNumId w:val="434"/>
  </w:num>
  <w:num w:numId="135" w16cid:durableId="707415930">
    <w:abstractNumId w:val="179"/>
  </w:num>
  <w:num w:numId="136" w16cid:durableId="1427113294">
    <w:abstractNumId w:val="108"/>
  </w:num>
  <w:num w:numId="137" w16cid:durableId="94247743">
    <w:abstractNumId w:val="433"/>
  </w:num>
  <w:num w:numId="138" w16cid:durableId="1538398015">
    <w:abstractNumId w:val="188"/>
  </w:num>
  <w:num w:numId="139" w16cid:durableId="549801744">
    <w:abstractNumId w:val="109"/>
  </w:num>
  <w:num w:numId="140" w16cid:durableId="440346146">
    <w:abstractNumId w:val="371"/>
  </w:num>
  <w:num w:numId="141" w16cid:durableId="1763719308">
    <w:abstractNumId w:val="341"/>
  </w:num>
  <w:num w:numId="142" w16cid:durableId="1663461919">
    <w:abstractNumId w:val="473"/>
  </w:num>
  <w:num w:numId="143" w16cid:durableId="1474984744">
    <w:abstractNumId w:val="223"/>
  </w:num>
  <w:num w:numId="144" w16cid:durableId="321323562">
    <w:abstractNumId w:val="269"/>
  </w:num>
  <w:num w:numId="145" w16cid:durableId="2005934261">
    <w:abstractNumId w:val="406"/>
  </w:num>
  <w:num w:numId="146" w16cid:durableId="1584102256">
    <w:abstractNumId w:val="61"/>
  </w:num>
  <w:num w:numId="147" w16cid:durableId="1020666684">
    <w:abstractNumId w:val="107"/>
  </w:num>
  <w:num w:numId="148" w16cid:durableId="1220481383">
    <w:abstractNumId w:val="392"/>
  </w:num>
  <w:num w:numId="149" w16cid:durableId="1512141431">
    <w:abstractNumId w:val="152"/>
  </w:num>
  <w:num w:numId="150" w16cid:durableId="1832788694">
    <w:abstractNumId w:val="234"/>
  </w:num>
  <w:num w:numId="151" w16cid:durableId="1355884125">
    <w:abstractNumId w:val="258"/>
  </w:num>
  <w:num w:numId="152" w16cid:durableId="1241057112">
    <w:abstractNumId w:val="373"/>
  </w:num>
  <w:num w:numId="153" w16cid:durableId="1310094637">
    <w:abstractNumId w:val="111"/>
  </w:num>
  <w:num w:numId="154" w16cid:durableId="1577087994">
    <w:abstractNumId w:val="178"/>
  </w:num>
  <w:num w:numId="155" w16cid:durableId="1707100420">
    <w:abstractNumId w:val="375"/>
  </w:num>
  <w:num w:numId="156" w16cid:durableId="1028068319">
    <w:abstractNumId w:val="124"/>
  </w:num>
  <w:num w:numId="157" w16cid:durableId="48921530">
    <w:abstractNumId w:val="186"/>
  </w:num>
  <w:num w:numId="158" w16cid:durableId="497037572">
    <w:abstractNumId w:val="255"/>
  </w:num>
  <w:num w:numId="159" w16cid:durableId="745227061">
    <w:abstractNumId w:val="454"/>
  </w:num>
  <w:num w:numId="160" w16cid:durableId="1472091350">
    <w:abstractNumId w:val="193"/>
  </w:num>
  <w:num w:numId="161" w16cid:durableId="770778095">
    <w:abstractNumId w:val="403"/>
  </w:num>
  <w:num w:numId="162" w16cid:durableId="1218276918">
    <w:abstractNumId w:val="163"/>
  </w:num>
  <w:num w:numId="163" w16cid:durableId="412363645">
    <w:abstractNumId w:val="185"/>
  </w:num>
  <w:num w:numId="164" w16cid:durableId="117723347">
    <w:abstractNumId w:val="175"/>
  </w:num>
  <w:num w:numId="165" w16cid:durableId="291904488">
    <w:abstractNumId w:val="470"/>
  </w:num>
  <w:num w:numId="166" w16cid:durableId="1635990082">
    <w:abstractNumId w:val="182"/>
  </w:num>
  <w:num w:numId="167" w16cid:durableId="1774934306">
    <w:abstractNumId w:val="246"/>
  </w:num>
  <w:num w:numId="168" w16cid:durableId="134422099">
    <w:abstractNumId w:val="420"/>
  </w:num>
  <w:num w:numId="169" w16cid:durableId="1893619543">
    <w:abstractNumId w:val="290"/>
  </w:num>
  <w:num w:numId="170" w16cid:durableId="1600874238">
    <w:abstractNumId w:val="84"/>
  </w:num>
  <w:num w:numId="171" w16cid:durableId="840195299">
    <w:abstractNumId w:val="140"/>
  </w:num>
  <w:num w:numId="172" w16cid:durableId="1969970058">
    <w:abstractNumId w:val="465"/>
  </w:num>
  <w:num w:numId="173" w16cid:durableId="1858619727">
    <w:abstractNumId w:val="268"/>
  </w:num>
  <w:num w:numId="174" w16cid:durableId="2086681765">
    <w:abstractNumId w:val="315"/>
  </w:num>
  <w:num w:numId="175" w16cid:durableId="1378120294">
    <w:abstractNumId w:val="238"/>
  </w:num>
  <w:num w:numId="176" w16cid:durableId="243614805">
    <w:abstractNumId w:val="191"/>
  </w:num>
  <w:num w:numId="177" w16cid:durableId="1236083787">
    <w:abstractNumId w:val="241"/>
  </w:num>
  <w:num w:numId="178" w16cid:durableId="1318806613">
    <w:abstractNumId w:val="435"/>
  </w:num>
  <w:num w:numId="179" w16cid:durableId="1350831248">
    <w:abstractNumId w:val="270"/>
  </w:num>
  <w:num w:numId="180" w16cid:durableId="832649599">
    <w:abstractNumId w:val="115"/>
  </w:num>
  <w:num w:numId="181" w16cid:durableId="315571088">
    <w:abstractNumId w:val="298"/>
  </w:num>
  <w:num w:numId="182" w16cid:durableId="67466081">
    <w:abstractNumId w:val="368"/>
  </w:num>
  <w:num w:numId="183" w16cid:durableId="1230309281">
    <w:abstractNumId w:val="397"/>
  </w:num>
  <w:num w:numId="184" w16cid:durableId="640616379">
    <w:abstractNumId w:val="60"/>
  </w:num>
  <w:num w:numId="185" w16cid:durableId="718213613">
    <w:abstractNumId w:val="65"/>
  </w:num>
  <w:num w:numId="186" w16cid:durableId="1474953896">
    <w:abstractNumId w:val="370"/>
  </w:num>
  <w:num w:numId="187" w16cid:durableId="1533297945">
    <w:abstractNumId w:val="214"/>
  </w:num>
  <w:num w:numId="188" w16cid:durableId="1102336183">
    <w:abstractNumId w:val="102"/>
  </w:num>
  <w:num w:numId="189" w16cid:durableId="1052073915">
    <w:abstractNumId w:val="139"/>
  </w:num>
  <w:num w:numId="190" w16cid:durableId="1719671211">
    <w:abstractNumId w:val="472"/>
  </w:num>
  <w:num w:numId="191" w16cid:durableId="864944854">
    <w:abstractNumId w:val="64"/>
  </w:num>
  <w:num w:numId="192" w16cid:durableId="278800260">
    <w:abstractNumId w:val="389"/>
  </w:num>
  <w:num w:numId="193" w16cid:durableId="716466692">
    <w:abstractNumId w:val="172"/>
  </w:num>
  <w:num w:numId="194" w16cid:durableId="2123569725">
    <w:abstractNumId w:val="326"/>
  </w:num>
  <w:num w:numId="195" w16cid:durableId="1760364424">
    <w:abstractNumId w:val="199"/>
  </w:num>
  <w:num w:numId="196" w16cid:durableId="2127583170">
    <w:abstractNumId w:val="207"/>
  </w:num>
  <w:num w:numId="197" w16cid:durableId="1310011113">
    <w:abstractNumId w:val="29"/>
  </w:num>
  <w:num w:numId="198" w16cid:durableId="1172795599">
    <w:abstractNumId w:val="150"/>
  </w:num>
  <w:num w:numId="199" w16cid:durableId="1101414797">
    <w:abstractNumId w:val="211"/>
  </w:num>
  <w:num w:numId="200" w16cid:durableId="1266234004">
    <w:abstractNumId w:val="273"/>
  </w:num>
  <w:num w:numId="201" w16cid:durableId="1787653023">
    <w:abstractNumId w:val="445"/>
  </w:num>
  <w:num w:numId="202" w16cid:durableId="2116248650">
    <w:abstractNumId w:val="299"/>
  </w:num>
  <w:num w:numId="203" w16cid:durableId="1201241095">
    <w:abstractNumId w:val="271"/>
  </w:num>
  <w:num w:numId="204" w16cid:durableId="435634161">
    <w:abstractNumId w:val="22"/>
  </w:num>
  <w:num w:numId="205" w16cid:durableId="447629724">
    <w:abstractNumId w:val="93"/>
  </w:num>
  <w:num w:numId="206" w16cid:durableId="1639725331">
    <w:abstractNumId w:val="362"/>
  </w:num>
  <w:num w:numId="207" w16cid:durableId="274213868">
    <w:abstractNumId w:val="136"/>
  </w:num>
  <w:num w:numId="208" w16cid:durableId="1679041167">
    <w:abstractNumId w:val="428"/>
  </w:num>
  <w:num w:numId="209" w16cid:durableId="1102801701">
    <w:abstractNumId w:val="9"/>
  </w:num>
  <w:num w:numId="210" w16cid:durableId="392890863">
    <w:abstractNumId w:val="54"/>
  </w:num>
  <w:num w:numId="211" w16cid:durableId="1763838269">
    <w:abstractNumId w:val="1"/>
  </w:num>
  <w:num w:numId="212" w16cid:durableId="482042739">
    <w:abstractNumId w:val="154"/>
  </w:num>
  <w:num w:numId="213" w16cid:durableId="1405446242">
    <w:abstractNumId w:val="256"/>
  </w:num>
  <w:num w:numId="214" w16cid:durableId="1596788596">
    <w:abstractNumId w:val="281"/>
  </w:num>
  <w:num w:numId="215" w16cid:durableId="1930842867">
    <w:abstractNumId w:val="169"/>
  </w:num>
  <w:num w:numId="216" w16cid:durableId="1328829023">
    <w:abstractNumId w:val="257"/>
  </w:num>
  <w:num w:numId="217" w16cid:durableId="1216165793">
    <w:abstractNumId w:val="376"/>
  </w:num>
  <w:num w:numId="218" w16cid:durableId="1086804704">
    <w:abstractNumId w:val="74"/>
  </w:num>
  <w:num w:numId="219" w16cid:durableId="1441797127">
    <w:abstractNumId w:val="288"/>
  </w:num>
  <w:num w:numId="220" w16cid:durableId="986856999">
    <w:abstractNumId w:val="300"/>
  </w:num>
  <w:num w:numId="221" w16cid:durableId="1894659537">
    <w:abstractNumId w:val="307"/>
  </w:num>
  <w:num w:numId="222" w16cid:durableId="1432311428">
    <w:abstractNumId w:val="95"/>
  </w:num>
  <w:num w:numId="223" w16cid:durableId="913466839">
    <w:abstractNumId w:val="202"/>
  </w:num>
  <w:num w:numId="224" w16cid:durableId="786392832">
    <w:abstractNumId w:val="206"/>
  </w:num>
  <w:num w:numId="225" w16cid:durableId="1549222960">
    <w:abstractNumId w:val="323"/>
  </w:num>
  <w:num w:numId="226" w16cid:durableId="1999455915">
    <w:abstractNumId w:val="386"/>
  </w:num>
  <w:num w:numId="227" w16cid:durableId="2137791418">
    <w:abstractNumId w:val="365"/>
  </w:num>
  <w:num w:numId="228" w16cid:durableId="1083650563">
    <w:abstractNumId w:val="88"/>
  </w:num>
  <w:num w:numId="229" w16cid:durableId="800148890">
    <w:abstractNumId w:val="466"/>
  </w:num>
  <w:num w:numId="230" w16cid:durableId="1652977604">
    <w:abstractNumId w:val="351"/>
  </w:num>
  <w:num w:numId="231" w16cid:durableId="81143560">
    <w:abstractNumId w:val="458"/>
  </w:num>
  <w:num w:numId="232" w16cid:durableId="1192575405">
    <w:abstractNumId w:val="363"/>
  </w:num>
  <w:num w:numId="233" w16cid:durableId="440734090">
    <w:abstractNumId w:val="46"/>
  </w:num>
  <w:num w:numId="234" w16cid:durableId="1244023551">
    <w:abstractNumId w:val="198"/>
  </w:num>
  <w:num w:numId="235" w16cid:durableId="1285581571">
    <w:abstractNumId w:val="15"/>
  </w:num>
  <w:num w:numId="236" w16cid:durableId="872812517">
    <w:abstractNumId w:val="147"/>
  </w:num>
  <w:num w:numId="237" w16cid:durableId="241762447">
    <w:abstractNumId w:val="408"/>
  </w:num>
  <w:num w:numId="238" w16cid:durableId="1921329948">
    <w:abstractNumId w:val="89"/>
  </w:num>
  <w:num w:numId="239" w16cid:durableId="489056366">
    <w:abstractNumId w:val="148"/>
  </w:num>
  <w:num w:numId="240" w16cid:durableId="1470853949">
    <w:abstractNumId w:val="117"/>
  </w:num>
  <w:num w:numId="241" w16cid:durableId="1256790813">
    <w:abstractNumId w:val="430"/>
  </w:num>
  <w:num w:numId="242" w16cid:durableId="1495682494">
    <w:abstractNumId w:val="247"/>
  </w:num>
  <w:num w:numId="243" w16cid:durableId="1133870519">
    <w:abstractNumId w:val="10"/>
  </w:num>
  <w:num w:numId="244" w16cid:durableId="109475046">
    <w:abstractNumId w:val="327"/>
  </w:num>
  <w:num w:numId="245" w16cid:durableId="728307144">
    <w:abstractNumId w:val="296"/>
  </w:num>
  <w:num w:numId="246" w16cid:durableId="622463306">
    <w:abstractNumId w:val="432"/>
  </w:num>
  <w:num w:numId="247" w16cid:durableId="1316185149">
    <w:abstractNumId w:val="264"/>
  </w:num>
  <w:num w:numId="248" w16cid:durableId="1410736629">
    <w:abstractNumId w:val="284"/>
  </w:num>
  <w:num w:numId="249" w16cid:durableId="481043612">
    <w:abstractNumId w:val="127"/>
  </w:num>
  <w:num w:numId="250" w16cid:durableId="112753271">
    <w:abstractNumId w:val="297"/>
  </w:num>
  <w:num w:numId="251" w16cid:durableId="615605500">
    <w:abstractNumId w:val="419"/>
  </w:num>
  <w:num w:numId="252" w16cid:durableId="436683492">
    <w:abstractNumId w:val="301"/>
  </w:num>
  <w:num w:numId="253" w16cid:durableId="768617968">
    <w:abstractNumId w:val="248"/>
  </w:num>
  <w:num w:numId="254" w16cid:durableId="303393606">
    <w:abstractNumId w:val="21"/>
  </w:num>
  <w:num w:numId="255" w16cid:durableId="734010248">
    <w:abstractNumId w:val="200"/>
  </w:num>
  <w:num w:numId="256" w16cid:durableId="922564876">
    <w:abstractNumId w:val="263"/>
  </w:num>
  <w:num w:numId="257" w16cid:durableId="1879395302">
    <w:abstractNumId w:val="443"/>
  </w:num>
  <w:num w:numId="258" w16cid:durableId="340813748">
    <w:abstractNumId w:val="294"/>
  </w:num>
  <w:num w:numId="259" w16cid:durableId="1059014837">
    <w:abstractNumId w:val="173"/>
  </w:num>
  <w:num w:numId="260" w16cid:durableId="1796093353">
    <w:abstractNumId w:val="449"/>
  </w:num>
  <w:num w:numId="261" w16cid:durableId="1441799149">
    <w:abstractNumId w:val="398"/>
  </w:num>
  <w:num w:numId="262" w16cid:durableId="1161656910">
    <w:abstractNumId w:val="20"/>
  </w:num>
  <w:num w:numId="263" w16cid:durableId="1739203532">
    <w:abstractNumId w:val="167"/>
  </w:num>
  <w:num w:numId="264" w16cid:durableId="394861777">
    <w:abstractNumId w:val="378"/>
  </w:num>
  <w:num w:numId="265" w16cid:durableId="250745919">
    <w:abstractNumId w:val="275"/>
  </w:num>
  <w:num w:numId="266" w16cid:durableId="449864828">
    <w:abstractNumId w:val="345"/>
  </w:num>
  <w:num w:numId="267" w16cid:durableId="776557627">
    <w:abstractNumId w:val="177"/>
  </w:num>
  <w:num w:numId="268" w16cid:durableId="956445207">
    <w:abstractNumId w:val="28"/>
  </w:num>
  <w:num w:numId="269" w16cid:durableId="77943086">
    <w:abstractNumId w:val="367"/>
  </w:num>
  <w:num w:numId="270" w16cid:durableId="1478839741">
    <w:abstractNumId w:val="101"/>
  </w:num>
  <w:num w:numId="271" w16cid:durableId="873152216">
    <w:abstractNumId w:val="50"/>
  </w:num>
  <w:num w:numId="272" w16cid:durableId="716901192">
    <w:abstractNumId w:val="77"/>
  </w:num>
  <w:num w:numId="273" w16cid:durableId="1382361630">
    <w:abstractNumId w:val="158"/>
  </w:num>
  <w:num w:numId="274" w16cid:durableId="973216856">
    <w:abstractNumId w:val="83"/>
  </w:num>
  <w:num w:numId="275" w16cid:durableId="1569143668">
    <w:abstractNumId w:val="302"/>
  </w:num>
  <w:num w:numId="276" w16cid:durableId="1924562610">
    <w:abstractNumId w:val="166"/>
  </w:num>
  <w:num w:numId="277" w16cid:durableId="1879391629">
    <w:abstractNumId w:val="24"/>
  </w:num>
  <w:num w:numId="278" w16cid:durableId="1616866883">
    <w:abstractNumId w:val="63"/>
  </w:num>
  <w:num w:numId="279" w16cid:durableId="1998731184">
    <w:abstractNumId w:val="192"/>
  </w:num>
  <w:num w:numId="280" w16cid:durableId="1601178655">
    <w:abstractNumId w:val="219"/>
  </w:num>
  <w:num w:numId="281" w16cid:durableId="1286082730">
    <w:abstractNumId w:val="45"/>
  </w:num>
  <w:num w:numId="282" w16cid:durableId="2085759414">
    <w:abstractNumId w:val="369"/>
  </w:num>
  <w:num w:numId="283" w16cid:durableId="73866962">
    <w:abstractNumId w:val="292"/>
  </w:num>
  <w:num w:numId="284" w16cid:durableId="490827331">
    <w:abstractNumId w:val="287"/>
  </w:num>
  <w:num w:numId="285" w16cid:durableId="1897008231">
    <w:abstractNumId w:val="274"/>
  </w:num>
  <w:num w:numId="286" w16cid:durableId="77677989">
    <w:abstractNumId w:val="450"/>
  </w:num>
  <w:num w:numId="287" w16cid:durableId="334383016">
    <w:abstractNumId w:val="221"/>
  </w:num>
  <w:num w:numId="288" w16cid:durableId="1358313357">
    <w:abstractNumId w:val="135"/>
  </w:num>
  <w:num w:numId="289" w16cid:durableId="959798618">
    <w:abstractNumId w:val="352"/>
  </w:num>
  <w:num w:numId="290" w16cid:durableId="754014648">
    <w:abstractNumId w:val="13"/>
  </w:num>
  <w:num w:numId="291" w16cid:durableId="1971127088">
    <w:abstractNumId w:val="213"/>
  </w:num>
  <w:num w:numId="292" w16cid:durableId="932710567">
    <w:abstractNumId w:val="310"/>
  </w:num>
  <w:num w:numId="293" w16cid:durableId="1479690946">
    <w:abstractNumId w:val="53"/>
  </w:num>
  <w:num w:numId="294" w16cid:durableId="1604068622">
    <w:abstractNumId w:val="215"/>
  </w:num>
  <w:num w:numId="295" w16cid:durableId="624433761">
    <w:abstractNumId w:val="278"/>
  </w:num>
  <w:num w:numId="296" w16cid:durableId="130482775">
    <w:abstractNumId w:val="379"/>
  </w:num>
  <w:num w:numId="297" w16cid:durableId="425734386">
    <w:abstractNumId w:val="312"/>
  </w:num>
  <w:num w:numId="298" w16cid:durableId="1018384950">
    <w:abstractNumId w:val="321"/>
  </w:num>
  <w:num w:numId="299" w16cid:durableId="429086463">
    <w:abstractNumId w:val="119"/>
  </w:num>
  <w:num w:numId="300" w16cid:durableId="2046447339">
    <w:abstractNumId w:val="309"/>
  </w:num>
  <w:num w:numId="301" w16cid:durableId="1969894682">
    <w:abstractNumId w:val="446"/>
  </w:num>
  <w:num w:numId="302" w16cid:durableId="1527714044">
    <w:abstractNumId w:val="30"/>
  </w:num>
  <w:num w:numId="303" w16cid:durableId="390420541">
    <w:abstractNumId w:val="460"/>
  </w:num>
  <w:num w:numId="304" w16cid:durableId="1886526132">
    <w:abstractNumId w:val="330"/>
  </w:num>
  <w:num w:numId="305" w16cid:durableId="1478064795">
    <w:abstractNumId w:val="338"/>
  </w:num>
  <w:num w:numId="306" w16cid:durableId="1831360131">
    <w:abstractNumId w:val="203"/>
  </w:num>
  <w:num w:numId="307" w16cid:durableId="1510949028">
    <w:abstractNumId w:val="138"/>
  </w:num>
  <w:num w:numId="308" w16cid:durableId="327833266">
    <w:abstractNumId w:val="123"/>
  </w:num>
  <w:num w:numId="309" w16cid:durableId="1067461997">
    <w:abstractNumId w:val="113"/>
  </w:num>
  <w:num w:numId="310" w16cid:durableId="1300921793">
    <w:abstractNumId w:val="189"/>
  </w:num>
  <w:num w:numId="311" w16cid:durableId="1411393628">
    <w:abstractNumId w:val="16"/>
  </w:num>
  <w:num w:numId="312" w16cid:durableId="1256941350">
    <w:abstractNumId w:val="293"/>
  </w:num>
  <w:num w:numId="313" w16cid:durableId="274337903">
    <w:abstractNumId w:val="25"/>
  </w:num>
  <w:num w:numId="314" w16cid:durableId="1944218354">
    <w:abstractNumId w:val="291"/>
  </w:num>
  <w:num w:numId="315" w16cid:durableId="1148591653">
    <w:abstractNumId w:val="208"/>
  </w:num>
  <w:num w:numId="316" w16cid:durableId="1695620065">
    <w:abstractNumId w:val="99"/>
  </w:num>
  <w:num w:numId="317" w16cid:durableId="1392650910">
    <w:abstractNumId w:val="410"/>
  </w:num>
  <w:num w:numId="318" w16cid:durableId="1536112091">
    <w:abstractNumId w:val="261"/>
  </w:num>
  <w:num w:numId="319" w16cid:durableId="1793792485">
    <w:abstractNumId w:val="66"/>
  </w:num>
  <w:num w:numId="320" w16cid:durableId="1372917551">
    <w:abstractNumId w:val="141"/>
  </w:num>
  <w:num w:numId="321" w16cid:durableId="1590119561">
    <w:abstractNumId w:val="216"/>
  </w:num>
  <w:num w:numId="322" w16cid:durableId="823278900">
    <w:abstractNumId w:val="212"/>
  </w:num>
  <w:num w:numId="323" w16cid:durableId="667362909">
    <w:abstractNumId w:val="374"/>
  </w:num>
  <w:num w:numId="324" w16cid:durableId="1382169596">
    <w:abstractNumId w:val="377"/>
  </w:num>
  <w:num w:numId="325" w16cid:durableId="1950162398">
    <w:abstractNumId w:val="422"/>
  </w:num>
  <w:num w:numId="326" w16cid:durableId="1741974287">
    <w:abstractNumId w:val="11"/>
  </w:num>
  <w:num w:numId="327" w16cid:durableId="2138258134">
    <w:abstractNumId w:val="337"/>
  </w:num>
  <w:num w:numId="328" w16cid:durableId="1518890301">
    <w:abstractNumId w:val="426"/>
  </w:num>
  <w:num w:numId="329" w16cid:durableId="1005938723">
    <w:abstractNumId w:val="355"/>
  </w:num>
  <w:num w:numId="330" w16cid:durableId="1390227745">
    <w:abstractNumId w:val="467"/>
  </w:num>
  <w:num w:numId="331" w16cid:durableId="406853039">
    <w:abstractNumId w:val="44"/>
  </w:num>
  <w:num w:numId="332" w16cid:durableId="1989433741">
    <w:abstractNumId w:val="353"/>
  </w:num>
  <w:num w:numId="333" w16cid:durableId="509099003">
    <w:abstractNumId w:val="361"/>
  </w:num>
  <w:num w:numId="334" w16cid:durableId="1549950849">
    <w:abstractNumId w:val="387"/>
  </w:num>
  <w:num w:numId="335" w16cid:durableId="1779057067">
    <w:abstractNumId w:val="425"/>
  </w:num>
  <w:num w:numId="336" w16cid:durableId="149713482">
    <w:abstractNumId w:val="153"/>
  </w:num>
  <w:num w:numId="337" w16cid:durableId="1286620162">
    <w:abstractNumId w:val="48"/>
  </w:num>
  <w:num w:numId="338" w16cid:durableId="974412369">
    <w:abstractNumId w:val="62"/>
  </w:num>
  <w:num w:numId="339" w16cid:durableId="1301111372">
    <w:abstractNumId w:val="390"/>
  </w:num>
  <w:num w:numId="340" w16cid:durableId="1862627418">
    <w:abstractNumId w:val="118"/>
  </w:num>
  <w:num w:numId="341" w16cid:durableId="984312045">
    <w:abstractNumId w:val="453"/>
  </w:num>
  <w:num w:numId="342" w16cid:durableId="481584496">
    <w:abstractNumId w:val="402"/>
  </w:num>
  <w:num w:numId="343" w16cid:durableId="1589385208">
    <w:abstractNumId w:val="464"/>
  </w:num>
  <w:num w:numId="344" w16cid:durableId="1353603590">
    <w:abstractNumId w:val="205"/>
  </w:num>
  <w:num w:numId="345" w16cid:durableId="1744722581">
    <w:abstractNumId w:val="276"/>
  </w:num>
  <w:num w:numId="346" w16cid:durableId="2094859710">
    <w:abstractNumId w:val="82"/>
  </w:num>
  <w:num w:numId="347" w16cid:durableId="100996138">
    <w:abstractNumId w:val="69"/>
  </w:num>
  <w:num w:numId="348" w16cid:durableId="292254666">
    <w:abstractNumId w:val="52"/>
  </w:num>
  <w:num w:numId="349" w16cid:durableId="318312585">
    <w:abstractNumId w:val="438"/>
  </w:num>
  <w:num w:numId="350" w16cid:durableId="1328896072">
    <w:abstractNumId w:val="409"/>
  </w:num>
  <w:num w:numId="351" w16cid:durableId="469783658">
    <w:abstractNumId w:val="105"/>
  </w:num>
  <w:num w:numId="352" w16cid:durableId="874854974">
    <w:abstractNumId w:val="47"/>
  </w:num>
  <w:num w:numId="353" w16cid:durableId="882446652">
    <w:abstractNumId w:val="97"/>
  </w:num>
  <w:num w:numId="354" w16cid:durableId="1548034077">
    <w:abstractNumId w:val="272"/>
  </w:num>
  <w:num w:numId="355" w16cid:durableId="563494540">
    <w:abstractNumId w:val="106"/>
  </w:num>
  <w:num w:numId="356" w16cid:durableId="469789315">
    <w:abstractNumId w:val="225"/>
  </w:num>
  <w:num w:numId="357" w16cid:durableId="653068097">
    <w:abstractNumId w:val="331"/>
  </w:num>
  <w:num w:numId="358" w16cid:durableId="1368021741">
    <w:abstractNumId w:val="253"/>
  </w:num>
  <w:num w:numId="359" w16cid:durableId="410468452">
    <w:abstractNumId w:val="344"/>
  </w:num>
  <w:num w:numId="360" w16cid:durableId="1347250695">
    <w:abstractNumId w:val="92"/>
  </w:num>
  <w:num w:numId="361" w16cid:durableId="1153763237">
    <w:abstractNumId w:val="218"/>
    <w:lvlOverride w:ilvl="0">
      <w:startOverride w:val="1"/>
    </w:lvlOverride>
    <w:lvlOverride w:ilvl="1"/>
    <w:lvlOverride w:ilvl="2"/>
    <w:lvlOverride w:ilvl="3"/>
    <w:lvlOverride w:ilvl="4"/>
    <w:lvlOverride w:ilvl="5"/>
    <w:lvlOverride w:ilvl="6"/>
    <w:lvlOverride w:ilvl="7"/>
    <w:lvlOverride w:ilvl="8"/>
  </w:num>
  <w:num w:numId="362" w16cid:durableId="1522084501">
    <w:abstractNumId w:val="462"/>
    <w:lvlOverride w:ilvl="0">
      <w:startOverride w:val="1"/>
    </w:lvlOverride>
    <w:lvlOverride w:ilvl="1">
      <w:startOverride w:val="1"/>
    </w:lvlOverride>
    <w:lvlOverride w:ilvl="2"/>
    <w:lvlOverride w:ilvl="3"/>
    <w:lvlOverride w:ilvl="4"/>
    <w:lvlOverride w:ilvl="5"/>
    <w:lvlOverride w:ilvl="6"/>
    <w:lvlOverride w:ilvl="7"/>
    <w:lvlOverride w:ilvl="8"/>
  </w:num>
  <w:num w:numId="363" w16cid:durableId="712736317">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364" w16cid:durableId="1021466881">
    <w:abstractNumId w:val="332"/>
    <w:lvlOverride w:ilvl="0">
      <w:startOverride w:val="1"/>
    </w:lvlOverride>
    <w:lvlOverride w:ilvl="1">
      <w:startOverride w:val="1"/>
    </w:lvlOverride>
    <w:lvlOverride w:ilvl="2"/>
    <w:lvlOverride w:ilvl="3"/>
    <w:lvlOverride w:ilvl="4"/>
    <w:lvlOverride w:ilvl="5"/>
    <w:lvlOverride w:ilvl="6"/>
    <w:lvlOverride w:ilvl="7"/>
    <w:lvlOverride w:ilvl="8"/>
  </w:num>
  <w:num w:numId="365" w16cid:durableId="572008190">
    <w:abstractNumId w:val="277"/>
  </w:num>
  <w:num w:numId="366" w16cid:durableId="663515158">
    <w:abstractNumId w:val="98"/>
  </w:num>
  <w:num w:numId="367" w16cid:durableId="1478760153">
    <w:abstractNumId w:val="395"/>
  </w:num>
  <w:num w:numId="368" w16cid:durableId="1611668665">
    <w:abstractNumId w:val="5"/>
    <w:lvlOverride w:ilvl="0">
      <w:startOverride w:val="3"/>
    </w:lvlOverride>
    <w:lvlOverride w:ilvl="1"/>
    <w:lvlOverride w:ilvl="2"/>
    <w:lvlOverride w:ilvl="3"/>
    <w:lvlOverride w:ilvl="4"/>
    <w:lvlOverride w:ilvl="5"/>
    <w:lvlOverride w:ilvl="6"/>
    <w:lvlOverride w:ilvl="7"/>
    <w:lvlOverride w:ilvl="8"/>
  </w:num>
  <w:num w:numId="369" w16cid:durableId="454981634">
    <w:abstractNumId w:val="49"/>
  </w:num>
  <w:num w:numId="370" w16cid:durableId="986977882">
    <w:abstractNumId w:val="55"/>
  </w:num>
  <w:num w:numId="371" w16cid:durableId="1254899345">
    <w:abstractNumId w:val="58"/>
    <w:lvlOverride w:ilvl="0">
      <w:startOverride w:val="1"/>
    </w:lvlOverride>
    <w:lvlOverride w:ilvl="1"/>
    <w:lvlOverride w:ilvl="2"/>
    <w:lvlOverride w:ilvl="3"/>
    <w:lvlOverride w:ilvl="4"/>
    <w:lvlOverride w:ilvl="5"/>
    <w:lvlOverride w:ilvl="6"/>
    <w:lvlOverride w:ilvl="7"/>
    <w:lvlOverride w:ilvl="8"/>
  </w:num>
  <w:num w:numId="372" w16cid:durableId="1832328465">
    <w:abstractNumId w:val="469"/>
  </w:num>
  <w:num w:numId="373" w16cid:durableId="1031682846">
    <w:abstractNumId w:val="463"/>
  </w:num>
  <w:num w:numId="374" w16cid:durableId="1484160596">
    <w:abstractNumId w:val="87"/>
    <w:lvlOverride w:ilvl="0">
      <w:startOverride w:val="1"/>
    </w:lvlOverride>
    <w:lvlOverride w:ilvl="1"/>
    <w:lvlOverride w:ilvl="2"/>
    <w:lvlOverride w:ilvl="3"/>
    <w:lvlOverride w:ilvl="4"/>
    <w:lvlOverride w:ilvl="5"/>
    <w:lvlOverride w:ilvl="6"/>
    <w:lvlOverride w:ilvl="7"/>
    <w:lvlOverride w:ilvl="8"/>
  </w:num>
  <w:num w:numId="375" w16cid:durableId="1687512170">
    <w:abstractNumId w:val="126"/>
    <w:lvlOverride w:ilvl="0">
      <w:startOverride w:val="1"/>
    </w:lvlOverride>
    <w:lvlOverride w:ilvl="1"/>
    <w:lvlOverride w:ilvl="2"/>
    <w:lvlOverride w:ilvl="3"/>
    <w:lvlOverride w:ilvl="4"/>
    <w:lvlOverride w:ilvl="5"/>
    <w:lvlOverride w:ilvl="6"/>
    <w:lvlOverride w:ilvl="7"/>
    <w:lvlOverride w:ilvl="8"/>
  </w:num>
  <w:num w:numId="376" w16cid:durableId="1753314751">
    <w:abstractNumId w:val="224"/>
    <w:lvlOverride w:ilvl="0">
      <w:startOverride w:val="1"/>
    </w:lvlOverride>
    <w:lvlOverride w:ilvl="1"/>
    <w:lvlOverride w:ilvl="2"/>
    <w:lvlOverride w:ilvl="3"/>
    <w:lvlOverride w:ilvl="4"/>
    <w:lvlOverride w:ilvl="5"/>
    <w:lvlOverride w:ilvl="6"/>
    <w:lvlOverride w:ilvl="7"/>
    <w:lvlOverride w:ilvl="8"/>
  </w:num>
  <w:num w:numId="377" w16cid:durableId="1706516989">
    <w:abstractNumId w:val="112"/>
    <w:lvlOverride w:ilvl="0">
      <w:startOverride w:val="1"/>
    </w:lvlOverride>
    <w:lvlOverride w:ilvl="1"/>
    <w:lvlOverride w:ilvl="2"/>
    <w:lvlOverride w:ilvl="3"/>
    <w:lvlOverride w:ilvl="4"/>
    <w:lvlOverride w:ilvl="5"/>
    <w:lvlOverride w:ilvl="6"/>
    <w:lvlOverride w:ilvl="7"/>
    <w:lvlOverride w:ilvl="8"/>
  </w:num>
  <w:num w:numId="378" w16cid:durableId="725377678">
    <w:abstractNumId w:val="227"/>
  </w:num>
  <w:num w:numId="379" w16cid:durableId="725641325">
    <w:abstractNumId w:val="162"/>
    <w:lvlOverride w:ilvl="0">
      <w:startOverride w:val="1"/>
    </w:lvlOverride>
    <w:lvlOverride w:ilvl="1">
      <w:startOverride w:val="1"/>
    </w:lvlOverride>
    <w:lvlOverride w:ilvl="2"/>
    <w:lvlOverride w:ilvl="3"/>
    <w:lvlOverride w:ilvl="4"/>
    <w:lvlOverride w:ilvl="5"/>
    <w:lvlOverride w:ilvl="6"/>
    <w:lvlOverride w:ilvl="7"/>
    <w:lvlOverride w:ilvl="8"/>
  </w:num>
  <w:num w:numId="380" w16cid:durableId="1649364034">
    <w:abstractNumId w:val="43"/>
    <w:lvlOverride w:ilvl="0">
      <w:startOverride w:val="1"/>
    </w:lvlOverride>
    <w:lvlOverride w:ilvl="1">
      <w:startOverride w:val="1"/>
    </w:lvlOverride>
    <w:lvlOverride w:ilvl="2"/>
    <w:lvlOverride w:ilvl="3"/>
    <w:lvlOverride w:ilvl="4"/>
    <w:lvlOverride w:ilvl="5"/>
    <w:lvlOverride w:ilvl="6"/>
    <w:lvlOverride w:ilvl="7"/>
    <w:lvlOverride w:ilvl="8"/>
  </w:num>
  <w:num w:numId="381" w16cid:durableId="2117166327">
    <w:abstractNumId w:val="86"/>
  </w:num>
  <w:num w:numId="382" w16cid:durableId="1122109644">
    <w:abstractNumId w:val="14"/>
  </w:num>
  <w:num w:numId="383" w16cid:durableId="2006012410">
    <w:abstractNumId w:val="215"/>
  </w:num>
  <w:num w:numId="384" w16cid:durableId="892346512">
    <w:abstractNumId w:val="266"/>
    <w:lvlOverride w:ilvl="0">
      <w:startOverride w:val="1"/>
    </w:lvlOverride>
    <w:lvlOverride w:ilvl="1">
      <w:startOverride w:val="1"/>
    </w:lvlOverride>
    <w:lvlOverride w:ilvl="2"/>
    <w:lvlOverride w:ilvl="3"/>
    <w:lvlOverride w:ilvl="4"/>
    <w:lvlOverride w:ilvl="5"/>
    <w:lvlOverride w:ilvl="6"/>
    <w:lvlOverride w:ilvl="7"/>
    <w:lvlOverride w:ilvl="8"/>
  </w:num>
  <w:num w:numId="385" w16cid:durableId="165364650">
    <w:abstractNumId w:val="372"/>
  </w:num>
  <w:num w:numId="386" w16cid:durableId="1554583611">
    <w:abstractNumId w:val="194"/>
  </w:num>
  <w:num w:numId="387" w16cid:durableId="838621704">
    <w:abstractNumId w:val="235"/>
  </w:num>
  <w:num w:numId="388" w16cid:durableId="1816214968">
    <w:abstractNumId w:val="149"/>
  </w:num>
  <w:num w:numId="389" w16cid:durableId="1780762219">
    <w:abstractNumId w:val="285"/>
  </w:num>
  <w:num w:numId="390" w16cid:durableId="131211837">
    <w:abstractNumId w:val="156"/>
  </w:num>
  <w:num w:numId="391" w16cid:durableId="1782414647">
    <w:abstractNumId w:val="90"/>
  </w:num>
  <w:num w:numId="392" w16cid:durableId="671421553">
    <w:abstractNumId w:val="304"/>
  </w:num>
  <w:num w:numId="393" w16cid:durableId="699890710">
    <w:abstractNumId w:val="42"/>
  </w:num>
  <w:num w:numId="394" w16cid:durableId="967785207">
    <w:abstractNumId w:val="114"/>
  </w:num>
  <w:num w:numId="395" w16cid:durableId="1923683905">
    <w:abstractNumId w:val="36"/>
  </w:num>
  <w:num w:numId="396" w16cid:durableId="1562210905">
    <w:abstractNumId w:val="385"/>
  </w:num>
  <w:num w:numId="397" w16cid:durableId="1045300001">
    <w:abstractNumId w:val="328"/>
  </w:num>
  <w:num w:numId="398" w16cid:durableId="1104693736">
    <w:abstractNumId w:val="94"/>
  </w:num>
  <w:num w:numId="399" w16cid:durableId="1366909827">
    <w:abstractNumId w:val="142"/>
  </w:num>
  <w:num w:numId="400" w16cid:durableId="1889875333">
    <w:abstractNumId w:val="134"/>
  </w:num>
  <w:num w:numId="401" w16cid:durableId="1439183717">
    <w:abstractNumId w:val="244"/>
  </w:num>
  <w:num w:numId="402" w16cid:durableId="1765031314">
    <w:abstractNumId w:val="418"/>
  </w:num>
  <w:num w:numId="403" w16cid:durableId="290281626">
    <w:abstractNumId w:val="334"/>
  </w:num>
  <w:num w:numId="404" w16cid:durableId="491721514">
    <w:abstractNumId w:val="421"/>
  </w:num>
  <w:num w:numId="405" w16cid:durableId="209926221">
    <w:abstractNumId w:val="354"/>
  </w:num>
  <w:num w:numId="406" w16cid:durableId="1537809722">
    <w:abstractNumId w:val="129"/>
    <w:lvlOverride w:ilvl="0">
      <w:startOverride w:val="1"/>
    </w:lvlOverride>
    <w:lvlOverride w:ilvl="1"/>
    <w:lvlOverride w:ilvl="2"/>
    <w:lvlOverride w:ilvl="3"/>
    <w:lvlOverride w:ilvl="4"/>
    <w:lvlOverride w:ilvl="5"/>
    <w:lvlOverride w:ilvl="6"/>
    <w:lvlOverride w:ilvl="7"/>
    <w:lvlOverride w:ilvl="8"/>
  </w:num>
  <w:num w:numId="407" w16cid:durableId="1209798899">
    <w:abstractNumId w:val="143"/>
  </w:num>
  <w:num w:numId="408" w16cid:durableId="224679996">
    <w:abstractNumId w:val="31"/>
  </w:num>
  <w:num w:numId="409" w16cid:durableId="21445733">
    <w:abstractNumId w:val="339"/>
  </w:num>
  <w:num w:numId="410" w16cid:durableId="13463981">
    <w:abstractNumId w:val="125"/>
  </w:num>
  <w:num w:numId="411" w16cid:durableId="139156853">
    <w:abstractNumId w:val="0"/>
  </w:num>
  <w:num w:numId="412" w16cid:durableId="2127963128">
    <w:abstractNumId w:val="81"/>
  </w:num>
  <w:num w:numId="413" w16cid:durableId="1788087773">
    <w:abstractNumId w:val="120"/>
  </w:num>
  <w:num w:numId="414" w16cid:durableId="1621033739">
    <w:abstractNumId w:val="159"/>
  </w:num>
  <w:num w:numId="415" w16cid:durableId="1088573012">
    <w:abstractNumId w:val="311"/>
  </w:num>
  <w:num w:numId="416" w16cid:durableId="926693643">
    <w:abstractNumId w:val="38"/>
  </w:num>
  <w:num w:numId="417" w16cid:durableId="86855917">
    <w:abstractNumId w:val="35"/>
  </w:num>
  <w:num w:numId="418" w16cid:durableId="1171337548">
    <w:abstractNumId w:val="145"/>
  </w:num>
  <w:num w:numId="419" w16cid:durableId="1122069882">
    <w:abstractNumId w:val="215"/>
  </w:num>
  <w:num w:numId="420" w16cid:durableId="2057075154">
    <w:abstractNumId w:val="67"/>
  </w:num>
  <w:num w:numId="421" w16cid:durableId="1597515984">
    <w:abstractNumId w:val="429"/>
  </w:num>
  <w:num w:numId="422" w16cid:durableId="1236016196">
    <w:abstractNumId w:val="303"/>
  </w:num>
  <w:num w:numId="423" w16cid:durableId="535772159">
    <w:abstractNumId w:val="427"/>
  </w:num>
  <w:num w:numId="424" w16cid:durableId="140465611">
    <w:abstractNumId w:val="245"/>
  </w:num>
  <w:num w:numId="425" w16cid:durableId="215749994">
    <w:abstractNumId w:val="412"/>
  </w:num>
  <w:num w:numId="426" w16cid:durableId="1429081229">
    <w:abstractNumId w:val="262"/>
  </w:num>
  <w:num w:numId="427" w16cid:durableId="1917278960">
    <w:abstractNumId w:val="249"/>
  </w:num>
  <w:num w:numId="428" w16cid:durableId="1871840952">
    <w:abstractNumId w:val="68"/>
  </w:num>
  <w:num w:numId="429" w16cid:durableId="1361933055">
    <w:abstractNumId w:val="407"/>
  </w:num>
  <w:num w:numId="430" w16cid:durableId="530807318">
    <w:abstractNumId w:val="187"/>
  </w:num>
  <w:num w:numId="431" w16cid:durableId="566109012">
    <w:abstractNumId w:val="414"/>
  </w:num>
  <w:num w:numId="432" w16cid:durableId="2134471791">
    <w:abstractNumId w:val="415"/>
  </w:num>
  <w:num w:numId="433" w16cid:durableId="985858806">
    <w:abstractNumId w:val="333"/>
  </w:num>
  <w:num w:numId="434" w16cid:durableId="912424055">
    <w:abstractNumId w:val="122"/>
  </w:num>
  <w:num w:numId="435" w16cid:durableId="1988851877">
    <w:abstractNumId w:val="176"/>
  </w:num>
  <w:num w:numId="436" w16cid:durableId="525825302">
    <w:abstractNumId w:val="72"/>
  </w:num>
  <w:num w:numId="437" w16cid:durableId="438992759">
    <w:abstractNumId w:val="157"/>
  </w:num>
  <w:num w:numId="438" w16cid:durableId="415713714">
    <w:abstractNumId w:val="381"/>
  </w:num>
  <w:num w:numId="439" w16cid:durableId="978343039">
    <w:abstractNumId w:val="283"/>
  </w:num>
  <w:num w:numId="440" w16cid:durableId="444082052">
    <w:abstractNumId w:val="161"/>
  </w:num>
  <w:num w:numId="441" w16cid:durableId="2104496140">
    <w:abstractNumId w:val="168"/>
  </w:num>
  <w:num w:numId="442" w16cid:durableId="841969983">
    <w:abstractNumId w:val="399"/>
  </w:num>
  <w:num w:numId="443" w16cid:durableId="2109689658">
    <w:abstractNumId w:val="416"/>
  </w:num>
  <w:num w:numId="444" w16cid:durableId="386730618">
    <w:abstractNumId w:val="400"/>
  </w:num>
  <w:num w:numId="445" w16cid:durableId="1205170336">
    <w:abstractNumId w:val="259"/>
  </w:num>
  <w:num w:numId="446" w16cid:durableId="1629432502">
    <w:abstractNumId w:val="130"/>
  </w:num>
  <w:num w:numId="447" w16cid:durableId="1623540129">
    <w:abstractNumId w:val="40"/>
  </w:num>
  <w:num w:numId="448" w16cid:durableId="1435898643">
    <w:abstractNumId w:val="457"/>
  </w:num>
  <w:num w:numId="449" w16cid:durableId="1523863088">
    <w:abstractNumId w:val="183"/>
  </w:num>
  <w:num w:numId="450" w16cid:durableId="1370450471">
    <w:abstractNumId w:val="137"/>
  </w:num>
  <w:num w:numId="451" w16cid:durableId="1250651731">
    <w:abstractNumId w:val="437"/>
  </w:num>
  <w:num w:numId="452" w16cid:durableId="251938674">
    <w:abstractNumId w:val="424"/>
  </w:num>
  <w:num w:numId="453" w16cid:durableId="718241500">
    <w:abstractNumId w:val="222"/>
  </w:num>
  <w:num w:numId="454" w16cid:durableId="1737388047">
    <w:abstractNumId w:val="133"/>
  </w:num>
  <w:num w:numId="455" w16cid:durableId="1088619158">
    <w:abstractNumId w:val="382"/>
  </w:num>
  <w:num w:numId="456" w16cid:durableId="781613758">
    <w:abstractNumId w:val="335"/>
  </w:num>
  <w:num w:numId="457" w16cid:durableId="1322392938">
    <w:abstractNumId w:val="91"/>
  </w:num>
  <w:num w:numId="458" w16cid:durableId="1776555006">
    <w:abstractNumId w:val="171"/>
  </w:num>
  <w:num w:numId="459" w16cid:durableId="564605721">
    <w:abstractNumId w:val="455"/>
  </w:num>
  <w:num w:numId="460" w16cid:durableId="1633513898">
    <w:abstractNumId w:val="231"/>
  </w:num>
  <w:num w:numId="461" w16cid:durableId="811599453">
    <w:abstractNumId w:val="260"/>
  </w:num>
  <w:num w:numId="462" w16cid:durableId="1168980556">
    <w:abstractNumId w:val="360"/>
  </w:num>
  <w:num w:numId="463" w16cid:durableId="778836072">
    <w:abstractNumId w:val="348"/>
  </w:num>
  <w:num w:numId="464" w16cid:durableId="396634507">
    <w:abstractNumId w:val="243"/>
    <w:lvlOverride w:ilvl="0">
      <w:startOverride w:val="3"/>
    </w:lvlOverride>
    <w:lvlOverride w:ilvl="1">
      <w:startOverride w:val="1"/>
    </w:lvlOverride>
    <w:lvlOverride w:ilvl="2"/>
    <w:lvlOverride w:ilvl="3"/>
    <w:lvlOverride w:ilvl="4"/>
    <w:lvlOverride w:ilvl="5"/>
    <w:lvlOverride w:ilvl="6"/>
    <w:lvlOverride w:ilvl="7"/>
    <w:lvlOverride w:ilvl="8"/>
  </w:num>
  <w:num w:numId="465" w16cid:durableId="1718970025">
    <w:abstractNumId w:val="3"/>
  </w:num>
  <w:num w:numId="466" w16cid:durableId="1092430515">
    <w:abstractNumId w:val="56"/>
  </w:num>
  <w:num w:numId="467" w16cid:durableId="1851721705">
    <w:abstractNumId w:val="313"/>
  </w:num>
  <w:num w:numId="468" w16cid:durableId="1084648449">
    <w:abstractNumId w:val="391"/>
  </w:num>
  <w:num w:numId="469" w16cid:durableId="1327628574">
    <w:abstractNumId w:val="380"/>
    <w:lvlOverride w:ilvl="0">
      <w:startOverride w:val="1"/>
    </w:lvlOverride>
    <w:lvlOverride w:ilvl="1"/>
    <w:lvlOverride w:ilvl="2"/>
    <w:lvlOverride w:ilvl="3"/>
    <w:lvlOverride w:ilvl="4"/>
    <w:lvlOverride w:ilvl="5"/>
    <w:lvlOverride w:ilvl="6"/>
    <w:lvlOverride w:ilvl="7"/>
    <w:lvlOverride w:ilvl="8"/>
  </w:num>
  <w:num w:numId="470" w16cid:durableId="69666896">
    <w:abstractNumId w:val="314"/>
  </w:num>
  <w:num w:numId="471" w16cid:durableId="1749182289">
    <w:abstractNumId w:val="8"/>
  </w:num>
  <w:num w:numId="472" w16cid:durableId="2093235012">
    <w:abstractNumId w:val="279"/>
  </w:num>
  <w:num w:numId="473" w16cid:durableId="1898466577">
    <w:abstractNumId w:val="384"/>
  </w:num>
  <w:num w:numId="474" w16cid:durableId="699824341">
    <w:abstractNumId w:val="51"/>
  </w:num>
  <w:num w:numId="475" w16cid:durableId="1208906945">
    <w:abstractNumId w:val="280"/>
  </w:num>
  <w:num w:numId="476" w16cid:durableId="621811010">
    <w:abstractNumId w:val="342"/>
  </w:num>
  <w:num w:numId="477" w16cid:durableId="1968508958">
    <w:abstractNumId w:val="448"/>
  </w:num>
  <w:numIdMacAtCleanup w:val="4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803"/>
    <w:rsid w:val="000013C0"/>
    <w:rsid w:val="00001FED"/>
    <w:rsid w:val="00002348"/>
    <w:rsid w:val="00002FFC"/>
    <w:rsid w:val="0000688D"/>
    <w:rsid w:val="000074E9"/>
    <w:rsid w:val="000076D6"/>
    <w:rsid w:val="00014C4D"/>
    <w:rsid w:val="000168AD"/>
    <w:rsid w:val="00017594"/>
    <w:rsid w:val="00030750"/>
    <w:rsid w:val="00031C05"/>
    <w:rsid w:val="00033430"/>
    <w:rsid w:val="00033A3A"/>
    <w:rsid w:val="00042884"/>
    <w:rsid w:val="0004655B"/>
    <w:rsid w:val="000537DA"/>
    <w:rsid w:val="0005415A"/>
    <w:rsid w:val="00054DA9"/>
    <w:rsid w:val="0006017F"/>
    <w:rsid w:val="00061309"/>
    <w:rsid w:val="00062224"/>
    <w:rsid w:val="00062F40"/>
    <w:rsid w:val="00063798"/>
    <w:rsid w:val="00070589"/>
    <w:rsid w:val="0007612E"/>
    <w:rsid w:val="00076DFC"/>
    <w:rsid w:val="0008054F"/>
    <w:rsid w:val="00081334"/>
    <w:rsid w:val="00082B56"/>
    <w:rsid w:val="000830FA"/>
    <w:rsid w:val="00083395"/>
    <w:rsid w:val="0008605D"/>
    <w:rsid w:val="000873F7"/>
    <w:rsid w:val="0009045D"/>
    <w:rsid w:val="00093AE1"/>
    <w:rsid w:val="00093EB0"/>
    <w:rsid w:val="000952F7"/>
    <w:rsid w:val="000A265D"/>
    <w:rsid w:val="000A32E0"/>
    <w:rsid w:val="000A3A45"/>
    <w:rsid w:val="000A45FF"/>
    <w:rsid w:val="000A6434"/>
    <w:rsid w:val="000B112D"/>
    <w:rsid w:val="000B3C18"/>
    <w:rsid w:val="000B61B6"/>
    <w:rsid w:val="000B69C7"/>
    <w:rsid w:val="000C00BE"/>
    <w:rsid w:val="000C153D"/>
    <w:rsid w:val="000C1B73"/>
    <w:rsid w:val="000C1D7E"/>
    <w:rsid w:val="000C3819"/>
    <w:rsid w:val="000C5A17"/>
    <w:rsid w:val="000C5DF5"/>
    <w:rsid w:val="000D010F"/>
    <w:rsid w:val="000D0180"/>
    <w:rsid w:val="000D1C0A"/>
    <w:rsid w:val="000E0302"/>
    <w:rsid w:val="000E10D7"/>
    <w:rsid w:val="000E360E"/>
    <w:rsid w:val="000E5F02"/>
    <w:rsid w:val="000F2382"/>
    <w:rsid w:val="000F4BA2"/>
    <w:rsid w:val="000F54C2"/>
    <w:rsid w:val="000F5C26"/>
    <w:rsid w:val="000F5D9A"/>
    <w:rsid w:val="00100A7D"/>
    <w:rsid w:val="0010139D"/>
    <w:rsid w:val="00101E95"/>
    <w:rsid w:val="00102612"/>
    <w:rsid w:val="00103364"/>
    <w:rsid w:val="001036B3"/>
    <w:rsid w:val="00111605"/>
    <w:rsid w:val="00113A7C"/>
    <w:rsid w:val="0012018A"/>
    <w:rsid w:val="001255B4"/>
    <w:rsid w:val="00136021"/>
    <w:rsid w:val="00136577"/>
    <w:rsid w:val="00136803"/>
    <w:rsid w:val="0013695C"/>
    <w:rsid w:val="00137C40"/>
    <w:rsid w:val="00140172"/>
    <w:rsid w:val="00145614"/>
    <w:rsid w:val="00154B96"/>
    <w:rsid w:val="001555E0"/>
    <w:rsid w:val="00155ADC"/>
    <w:rsid w:val="001560BF"/>
    <w:rsid w:val="0016243B"/>
    <w:rsid w:val="001646F9"/>
    <w:rsid w:val="00164B5B"/>
    <w:rsid w:val="00165954"/>
    <w:rsid w:val="00166960"/>
    <w:rsid w:val="001703B7"/>
    <w:rsid w:val="001711C0"/>
    <w:rsid w:val="001745BC"/>
    <w:rsid w:val="001749F1"/>
    <w:rsid w:val="00175779"/>
    <w:rsid w:val="00183D27"/>
    <w:rsid w:val="00186677"/>
    <w:rsid w:val="0019566F"/>
    <w:rsid w:val="001A2BEB"/>
    <w:rsid w:val="001A3EBB"/>
    <w:rsid w:val="001A53CA"/>
    <w:rsid w:val="001B52B9"/>
    <w:rsid w:val="001B5C0F"/>
    <w:rsid w:val="001B6882"/>
    <w:rsid w:val="001B7112"/>
    <w:rsid w:val="001C032E"/>
    <w:rsid w:val="001C0880"/>
    <w:rsid w:val="001C156F"/>
    <w:rsid w:val="001C193F"/>
    <w:rsid w:val="001C253B"/>
    <w:rsid w:val="001C3C08"/>
    <w:rsid w:val="001C54B1"/>
    <w:rsid w:val="001C570F"/>
    <w:rsid w:val="001D071F"/>
    <w:rsid w:val="001D0B51"/>
    <w:rsid w:val="001D1737"/>
    <w:rsid w:val="001D2568"/>
    <w:rsid w:val="001D3E6B"/>
    <w:rsid w:val="001D4E55"/>
    <w:rsid w:val="001D546F"/>
    <w:rsid w:val="001D5FA0"/>
    <w:rsid w:val="001D7490"/>
    <w:rsid w:val="001E1580"/>
    <w:rsid w:val="001E3F51"/>
    <w:rsid w:val="001E4617"/>
    <w:rsid w:val="001E5A67"/>
    <w:rsid w:val="001F1AC5"/>
    <w:rsid w:val="001F5E36"/>
    <w:rsid w:val="00201EF4"/>
    <w:rsid w:val="00202CD2"/>
    <w:rsid w:val="00204F7C"/>
    <w:rsid w:val="00207EFE"/>
    <w:rsid w:val="0021303B"/>
    <w:rsid w:val="00214379"/>
    <w:rsid w:val="002156FD"/>
    <w:rsid w:val="002163E5"/>
    <w:rsid w:val="00225493"/>
    <w:rsid w:val="0022587A"/>
    <w:rsid w:val="002314D6"/>
    <w:rsid w:val="00233B98"/>
    <w:rsid w:val="0023654E"/>
    <w:rsid w:val="0024167A"/>
    <w:rsid w:val="00241C2E"/>
    <w:rsid w:val="00244239"/>
    <w:rsid w:val="002447C3"/>
    <w:rsid w:val="00244E1F"/>
    <w:rsid w:val="00245873"/>
    <w:rsid w:val="00255874"/>
    <w:rsid w:val="002569E6"/>
    <w:rsid w:val="00260AFD"/>
    <w:rsid w:val="0026323F"/>
    <w:rsid w:val="00266492"/>
    <w:rsid w:val="002718B0"/>
    <w:rsid w:val="00273075"/>
    <w:rsid w:val="00274B70"/>
    <w:rsid w:val="00281D7F"/>
    <w:rsid w:val="00282C53"/>
    <w:rsid w:val="00290628"/>
    <w:rsid w:val="002919C6"/>
    <w:rsid w:val="0029705C"/>
    <w:rsid w:val="00297373"/>
    <w:rsid w:val="002A0714"/>
    <w:rsid w:val="002A1171"/>
    <w:rsid w:val="002A4A90"/>
    <w:rsid w:val="002A5905"/>
    <w:rsid w:val="002B15FC"/>
    <w:rsid w:val="002B64A0"/>
    <w:rsid w:val="002B7537"/>
    <w:rsid w:val="002C152F"/>
    <w:rsid w:val="002C2EB2"/>
    <w:rsid w:val="002C3ADC"/>
    <w:rsid w:val="002C3FB9"/>
    <w:rsid w:val="002C74C1"/>
    <w:rsid w:val="002C76C4"/>
    <w:rsid w:val="002D1024"/>
    <w:rsid w:val="002D3D62"/>
    <w:rsid w:val="002D5CEF"/>
    <w:rsid w:val="002D7AA7"/>
    <w:rsid w:val="002E05E7"/>
    <w:rsid w:val="002E06B0"/>
    <w:rsid w:val="002E1BF3"/>
    <w:rsid w:val="002E2D96"/>
    <w:rsid w:val="002E3FC6"/>
    <w:rsid w:val="002E47B9"/>
    <w:rsid w:val="002E6CCB"/>
    <w:rsid w:val="002E6D91"/>
    <w:rsid w:val="002E716A"/>
    <w:rsid w:val="002F0E71"/>
    <w:rsid w:val="002F2339"/>
    <w:rsid w:val="002F2701"/>
    <w:rsid w:val="002F35B4"/>
    <w:rsid w:val="002F7048"/>
    <w:rsid w:val="002F7366"/>
    <w:rsid w:val="003010D4"/>
    <w:rsid w:val="0030271C"/>
    <w:rsid w:val="003048AA"/>
    <w:rsid w:val="003075E4"/>
    <w:rsid w:val="00313278"/>
    <w:rsid w:val="00320593"/>
    <w:rsid w:val="003210EE"/>
    <w:rsid w:val="00321CE8"/>
    <w:rsid w:val="00324F6E"/>
    <w:rsid w:val="0033465A"/>
    <w:rsid w:val="00335A82"/>
    <w:rsid w:val="00336111"/>
    <w:rsid w:val="00337F8C"/>
    <w:rsid w:val="00341083"/>
    <w:rsid w:val="003418DA"/>
    <w:rsid w:val="0034593E"/>
    <w:rsid w:val="00347287"/>
    <w:rsid w:val="00350428"/>
    <w:rsid w:val="003512F1"/>
    <w:rsid w:val="00351336"/>
    <w:rsid w:val="00352B79"/>
    <w:rsid w:val="00353F1E"/>
    <w:rsid w:val="00354181"/>
    <w:rsid w:val="00357B15"/>
    <w:rsid w:val="0036323D"/>
    <w:rsid w:val="00363804"/>
    <w:rsid w:val="003710E2"/>
    <w:rsid w:val="00373601"/>
    <w:rsid w:val="00375259"/>
    <w:rsid w:val="00376621"/>
    <w:rsid w:val="00376E50"/>
    <w:rsid w:val="00380488"/>
    <w:rsid w:val="003832E4"/>
    <w:rsid w:val="00383B95"/>
    <w:rsid w:val="00383F92"/>
    <w:rsid w:val="003847D3"/>
    <w:rsid w:val="0038563B"/>
    <w:rsid w:val="003951B6"/>
    <w:rsid w:val="0039695E"/>
    <w:rsid w:val="003A2109"/>
    <w:rsid w:val="003A3066"/>
    <w:rsid w:val="003A430D"/>
    <w:rsid w:val="003A6AB3"/>
    <w:rsid w:val="003B00EB"/>
    <w:rsid w:val="003B1408"/>
    <w:rsid w:val="003B2EC1"/>
    <w:rsid w:val="003B53E3"/>
    <w:rsid w:val="003B5604"/>
    <w:rsid w:val="003B5A29"/>
    <w:rsid w:val="003B5EC1"/>
    <w:rsid w:val="003B7464"/>
    <w:rsid w:val="003C0CC8"/>
    <w:rsid w:val="003C3A4F"/>
    <w:rsid w:val="003C5706"/>
    <w:rsid w:val="003C5975"/>
    <w:rsid w:val="003C6906"/>
    <w:rsid w:val="003C7B31"/>
    <w:rsid w:val="003D1031"/>
    <w:rsid w:val="003D2F69"/>
    <w:rsid w:val="003D723D"/>
    <w:rsid w:val="003D79E8"/>
    <w:rsid w:val="003E26B5"/>
    <w:rsid w:val="003E452A"/>
    <w:rsid w:val="003E4D6A"/>
    <w:rsid w:val="003E6273"/>
    <w:rsid w:val="003E687E"/>
    <w:rsid w:val="003F016B"/>
    <w:rsid w:val="003F1578"/>
    <w:rsid w:val="003F1B3A"/>
    <w:rsid w:val="003F3508"/>
    <w:rsid w:val="003F35AB"/>
    <w:rsid w:val="003F3BE2"/>
    <w:rsid w:val="003F4878"/>
    <w:rsid w:val="003F59E3"/>
    <w:rsid w:val="003F6C42"/>
    <w:rsid w:val="004014DC"/>
    <w:rsid w:val="0040248E"/>
    <w:rsid w:val="004053A0"/>
    <w:rsid w:val="0040627F"/>
    <w:rsid w:val="004073D2"/>
    <w:rsid w:val="004127B5"/>
    <w:rsid w:val="00416030"/>
    <w:rsid w:val="004203A5"/>
    <w:rsid w:val="00420FA8"/>
    <w:rsid w:val="0042421E"/>
    <w:rsid w:val="0042484A"/>
    <w:rsid w:val="00427817"/>
    <w:rsid w:val="00432516"/>
    <w:rsid w:val="0043332B"/>
    <w:rsid w:val="00433678"/>
    <w:rsid w:val="00433CCB"/>
    <w:rsid w:val="00435AFB"/>
    <w:rsid w:val="0043744A"/>
    <w:rsid w:val="00441E26"/>
    <w:rsid w:val="004423F1"/>
    <w:rsid w:val="00443CD5"/>
    <w:rsid w:val="0044639E"/>
    <w:rsid w:val="0045060A"/>
    <w:rsid w:val="004517C0"/>
    <w:rsid w:val="00451903"/>
    <w:rsid w:val="00453619"/>
    <w:rsid w:val="00453B73"/>
    <w:rsid w:val="00453EF3"/>
    <w:rsid w:val="00454788"/>
    <w:rsid w:val="00455928"/>
    <w:rsid w:val="00455D53"/>
    <w:rsid w:val="00456F0A"/>
    <w:rsid w:val="00462890"/>
    <w:rsid w:val="0046444B"/>
    <w:rsid w:val="00465027"/>
    <w:rsid w:val="004660D2"/>
    <w:rsid w:val="004672F7"/>
    <w:rsid w:val="004712D3"/>
    <w:rsid w:val="004713C3"/>
    <w:rsid w:val="00472103"/>
    <w:rsid w:val="0047307C"/>
    <w:rsid w:val="0047554D"/>
    <w:rsid w:val="00476B24"/>
    <w:rsid w:val="00483F9C"/>
    <w:rsid w:val="0048772A"/>
    <w:rsid w:val="004906DC"/>
    <w:rsid w:val="004949A8"/>
    <w:rsid w:val="00495C0A"/>
    <w:rsid w:val="00496EFF"/>
    <w:rsid w:val="00497F94"/>
    <w:rsid w:val="004A1210"/>
    <w:rsid w:val="004A1B4A"/>
    <w:rsid w:val="004A51D5"/>
    <w:rsid w:val="004A676F"/>
    <w:rsid w:val="004B3B61"/>
    <w:rsid w:val="004B6E95"/>
    <w:rsid w:val="004C5666"/>
    <w:rsid w:val="004C7041"/>
    <w:rsid w:val="004D01F9"/>
    <w:rsid w:val="004D1368"/>
    <w:rsid w:val="004D38C2"/>
    <w:rsid w:val="004D41AC"/>
    <w:rsid w:val="004D6EE6"/>
    <w:rsid w:val="004D6F08"/>
    <w:rsid w:val="004E1CD8"/>
    <w:rsid w:val="004E22F1"/>
    <w:rsid w:val="004E506A"/>
    <w:rsid w:val="004E5319"/>
    <w:rsid w:val="004E579F"/>
    <w:rsid w:val="004F0CE5"/>
    <w:rsid w:val="004F3CAA"/>
    <w:rsid w:val="004F6505"/>
    <w:rsid w:val="004F781C"/>
    <w:rsid w:val="004F7844"/>
    <w:rsid w:val="005017CC"/>
    <w:rsid w:val="0050519E"/>
    <w:rsid w:val="00516C81"/>
    <w:rsid w:val="005175A4"/>
    <w:rsid w:val="005205E6"/>
    <w:rsid w:val="00523393"/>
    <w:rsid w:val="005245B1"/>
    <w:rsid w:val="0052488E"/>
    <w:rsid w:val="00526A89"/>
    <w:rsid w:val="005304F1"/>
    <w:rsid w:val="00531D1E"/>
    <w:rsid w:val="00534333"/>
    <w:rsid w:val="00534ACB"/>
    <w:rsid w:val="005350AE"/>
    <w:rsid w:val="005366B2"/>
    <w:rsid w:val="00543C3D"/>
    <w:rsid w:val="00543D7A"/>
    <w:rsid w:val="00543DA8"/>
    <w:rsid w:val="00545539"/>
    <w:rsid w:val="00545710"/>
    <w:rsid w:val="00547762"/>
    <w:rsid w:val="00550407"/>
    <w:rsid w:val="0055076D"/>
    <w:rsid w:val="00552DD1"/>
    <w:rsid w:val="00561A90"/>
    <w:rsid w:val="00567C6E"/>
    <w:rsid w:val="00574C47"/>
    <w:rsid w:val="00580D12"/>
    <w:rsid w:val="005827DA"/>
    <w:rsid w:val="00585BAB"/>
    <w:rsid w:val="00586A63"/>
    <w:rsid w:val="00587A27"/>
    <w:rsid w:val="00590921"/>
    <w:rsid w:val="00591BF4"/>
    <w:rsid w:val="00593014"/>
    <w:rsid w:val="00593B47"/>
    <w:rsid w:val="00596138"/>
    <w:rsid w:val="005968E2"/>
    <w:rsid w:val="005B06B4"/>
    <w:rsid w:val="005B7755"/>
    <w:rsid w:val="005C2384"/>
    <w:rsid w:val="005C23C6"/>
    <w:rsid w:val="005C2A3C"/>
    <w:rsid w:val="005C3273"/>
    <w:rsid w:val="005C3B26"/>
    <w:rsid w:val="005C72E6"/>
    <w:rsid w:val="005D02AB"/>
    <w:rsid w:val="005D0782"/>
    <w:rsid w:val="005D0DB1"/>
    <w:rsid w:val="005D2C93"/>
    <w:rsid w:val="005D3314"/>
    <w:rsid w:val="005D4F39"/>
    <w:rsid w:val="005D5F38"/>
    <w:rsid w:val="005D6708"/>
    <w:rsid w:val="005D6B44"/>
    <w:rsid w:val="005D6D10"/>
    <w:rsid w:val="005E15BF"/>
    <w:rsid w:val="005E6455"/>
    <w:rsid w:val="005E6689"/>
    <w:rsid w:val="005E7CBD"/>
    <w:rsid w:val="005E7CDD"/>
    <w:rsid w:val="005F1AA1"/>
    <w:rsid w:val="005F33C6"/>
    <w:rsid w:val="005F4CD2"/>
    <w:rsid w:val="005F4E8A"/>
    <w:rsid w:val="005F50BD"/>
    <w:rsid w:val="005F5690"/>
    <w:rsid w:val="005F6871"/>
    <w:rsid w:val="005F6C4D"/>
    <w:rsid w:val="00602DB9"/>
    <w:rsid w:val="0060383C"/>
    <w:rsid w:val="006059C2"/>
    <w:rsid w:val="006067C3"/>
    <w:rsid w:val="00606FCD"/>
    <w:rsid w:val="00612D3B"/>
    <w:rsid w:val="00612EC5"/>
    <w:rsid w:val="00613E70"/>
    <w:rsid w:val="00615BB5"/>
    <w:rsid w:val="00616F39"/>
    <w:rsid w:val="00617440"/>
    <w:rsid w:val="006177B3"/>
    <w:rsid w:val="00624F46"/>
    <w:rsid w:val="0062664B"/>
    <w:rsid w:val="006317C3"/>
    <w:rsid w:val="00636A11"/>
    <w:rsid w:val="00636C24"/>
    <w:rsid w:val="00637EE1"/>
    <w:rsid w:val="0064429B"/>
    <w:rsid w:val="00646483"/>
    <w:rsid w:val="00647294"/>
    <w:rsid w:val="0065014B"/>
    <w:rsid w:val="00650820"/>
    <w:rsid w:val="00651A20"/>
    <w:rsid w:val="00652725"/>
    <w:rsid w:val="00653959"/>
    <w:rsid w:val="00655244"/>
    <w:rsid w:val="00663933"/>
    <w:rsid w:val="0066508E"/>
    <w:rsid w:val="00666239"/>
    <w:rsid w:val="00666244"/>
    <w:rsid w:val="00666FA1"/>
    <w:rsid w:val="00670AAB"/>
    <w:rsid w:val="00670F7B"/>
    <w:rsid w:val="00677FA5"/>
    <w:rsid w:val="00680829"/>
    <w:rsid w:val="00680AFD"/>
    <w:rsid w:val="00682A54"/>
    <w:rsid w:val="00684157"/>
    <w:rsid w:val="00685CE2"/>
    <w:rsid w:val="00687649"/>
    <w:rsid w:val="00687F22"/>
    <w:rsid w:val="00690929"/>
    <w:rsid w:val="006969FC"/>
    <w:rsid w:val="006A0FB7"/>
    <w:rsid w:val="006A4EF4"/>
    <w:rsid w:val="006A7538"/>
    <w:rsid w:val="006A7C3C"/>
    <w:rsid w:val="006B03E3"/>
    <w:rsid w:val="006B0457"/>
    <w:rsid w:val="006B618F"/>
    <w:rsid w:val="006B7E41"/>
    <w:rsid w:val="006C136B"/>
    <w:rsid w:val="006C216A"/>
    <w:rsid w:val="006C5DA7"/>
    <w:rsid w:val="006D22AF"/>
    <w:rsid w:val="006D4619"/>
    <w:rsid w:val="006D6106"/>
    <w:rsid w:val="006E625D"/>
    <w:rsid w:val="006F047C"/>
    <w:rsid w:val="006F0D13"/>
    <w:rsid w:val="006F1C03"/>
    <w:rsid w:val="006F3028"/>
    <w:rsid w:val="006F48B0"/>
    <w:rsid w:val="006F527A"/>
    <w:rsid w:val="0070055D"/>
    <w:rsid w:val="007010C5"/>
    <w:rsid w:val="00701F8D"/>
    <w:rsid w:val="0070525B"/>
    <w:rsid w:val="0070620E"/>
    <w:rsid w:val="00711F07"/>
    <w:rsid w:val="00714002"/>
    <w:rsid w:val="00714547"/>
    <w:rsid w:val="0071542B"/>
    <w:rsid w:val="007179F8"/>
    <w:rsid w:val="00722524"/>
    <w:rsid w:val="00725016"/>
    <w:rsid w:val="007257D0"/>
    <w:rsid w:val="00725A43"/>
    <w:rsid w:val="00727768"/>
    <w:rsid w:val="00732FC8"/>
    <w:rsid w:val="00736327"/>
    <w:rsid w:val="00737CB3"/>
    <w:rsid w:val="0074189B"/>
    <w:rsid w:val="00744621"/>
    <w:rsid w:val="007451E3"/>
    <w:rsid w:val="007457AD"/>
    <w:rsid w:val="00746123"/>
    <w:rsid w:val="007471DE"/>
    <w:rsid w:val="00752022"/>
    <w:rsid w:val="00753E22"/>
    <w:rsid w:val="00754935"/>
    <w:rsid w:val="00754FDA"/>
    <w:rsid w:val="00755DAC"/>
    <w:rsid w:val="007566CD"/>
    <w:rsid w:val="00756D59"/>
    <w:rsid w:val="0075753F"/>
    <w:rsid w:val="00757889"/>
    <w:rsid w:val="00761442"/>
    <w:rsid w:val="007616B5"/>
    <w:rsid w:val="00761B98"/>
    <w:rsid w:val="00761C94"/>
    <w:rsid w:val="00767FC5"/>
    <w:rsid w:val="007710A0"/>
    <w:rsid w:val="00775F36"/>
    <w:rsid w:val="0078050C"/>
    <w:rsid w:val="00784077"/>
    <w:rsid w:val="0078423B"/>
    <w:rsid w:val="00786341"/>
    <w:rsid w:val="007865AC"/>
    <w:rsid w:val="00790762"/>
    <w:rsid w:val="0079393D"/>
    <w:rsid w:val="00794675"/>
    <w:rsid w:val="00796976"/>
    <w:rsid w:val="007A413E"/>
    <w:rsid w:val="007A4AF8"/>
    <w:rsid w:val="007A4CF1"/>
    <w:rsid w:val="007A764B"/>
    <w:rsid w:val="007B0343"/>
    <w:rsid w:val="007B03BC"/>
    <w:rsid w:val="007B4CE2"/>
    <w:rsid w:val="007B71A2"/>
    <w:rsid w:val="007B7745"/>
    <w:rsid w:val="007C116C"/>
    <w:rsid w:val="007C29B9"/>
    <w:rsid w:val="007C33E3"/>
    <w:rsid w:val="007C5937"/>
    <w:rsid w:val="007C6679"/>
    <w:rsid w:val="007C7612"/>
    <w:rsid w:val="007D5AC0"/>
    <w:rsid w:val="007D677B"/>
    <w:rsid w:val="007D7DB5"/>
    <w:rsid w:val="007E2A9D"/>
    <w:rsid w:val="007E2C33"/>
    <w:rsid w:val="007F03DB"/>
    <w:rsid w:val="007F0771"/>
    <w:rsid w:val="007F5327"/>
    <w:rsid w:val="007F6B99"/>
    <w:rsid w:val="007F784C"/>
    <w:rsid w:val="008002D2"/>
    <w:rsid w:val="0080155D"/>
    <w:rsid w:val="00801B87"/>
    <w:rsid w:val="00802AF7"/>
    <w:rsid w:val="0080379D"/>
    <w:rsid w:val="008037EB"/>
    <w:rsid w:val="00804E5A"/>
    <w:rsid w:val="00805C12"/>
    <w:rsid w:val="00805C9A"/>
    <w:rsid w:val="0081202F"/>
    <w:rsid w:val="0081251F"/>
    <w:rsid w:val="00817750"/>
    <w:rsid w:val="00820E80"/>
    <w:rsid w:val="00821380"/>
    <w:rsid w:val="008213FA"/>
    <w:rsid w:val="00823384"/>
    <w:rsid w:val="00823845"/>
    <w:rsid w:val="008272C3"/>
    <w:rsid w:val="008304B0"/>
    <w:rsid w:val="00832439"/>
    <w:rsid w:val="00836433"/>
    <w:rsid w:val="008401F5"/>
    <w:rsid w:val="00840666"/>
    <w:rsid w:val="0084584F"/>
    <w:rsid w:val="0084632B"/>
    <w:rsid w:val="008522CD"/>
    <w:rsid w:val="00853472"/>
    <w:rsid w:val="00863ED8"/>
    <w:rsid w:val="008653D3"/>
    <w:rsid w:val="00865A1C"/>
    <w:rsid w:val="00865B7D"/>
    <w:rsid w:val="0086622F"/>
    <w:rsid w:val="00870FA2"/>
    <w:rsid w:val="0087148B"/>
    <w:rsid w:val="00872196"/>
    <w:rsid w:val="00874E18"/>
    <w:rsid w:val="00880B32"/>
    <w:rsid w:val="00883500"/>
    <w:rsid w:val="00883532"/>
    <w:rsid w:val="008877E4"/>
    <w:rsid w:val="00887C6A"/>
    <w:rsid w:val="008901D5"/>
    <w:rsid w:val="008915B9"/>
    <w:rsid w:val="0089305A"/>
    <w:rsid w:val="00895742"/>
    <w:rsid w:val="00897077"/>
    <w:rsid w:val="008A00F3"/>
    <w:rsid w:val="008A3AFF"/>
    <w:rsid w:val="008A43CB"/>
    <w:rsid w:val="008A63A0"/>
    <w:rsid w:val="008A72B8"/>
    <w:rsid w:val="008A7658"/>
    <w:rsid w:val="008B51F3"/>
    <w:rsid w:val="008B65F8"/>
    <w:rsid w:val="008B728C"/>
    <w:rsid w:val="008C0239"/>
    <w:rsid w:val="008C14FE"/>
    <w:rsid w:val="008C2414"/>
    <w:rsid w:val="008C4736"/>
    <w:rsid w:val="008C49A8"/>
    <w:rsid w:val="008D10FC"/>
    <w:rsid w:val="008D147D"/>
    <w:rsid w:val="008D238F"/>
    <w:rsid w:val="008D7F65"/>
    <w:rsid w:val="008E02CF"/>
    <w:rsid w:val="008E0B60"/>
    <w:rsid w:val="008E11F7"/>
    <w:rsid w:val="008E1F7D"/>
    <w:rsid w:val="008E2616"/>
    <w:rsid w:val="008E4875"/>
    <w:rsid w:val="008E559F"/>
    <w:rsid w:val="008E5B20"/>
    <w:rsid w:val="008F0A86"/>
    <w:rsid w:val="008F3217"/>
    <w:rsid w:val="008F5522"/>
    <w:rsid w:val="00903E23"/>
    <w:rsid w:val="0090411E"/>
    <w:rsid w:val="0090698E"/>
    <w:rsid w:val="00906FFC"/>
    <w:rsid w:val="009131C0"/>
    <w:rsid w:val="009138D1"/>
    <w:rsid w:val="00913903"/>
    <w:rsid w:val="00913925"/>
    <w:rsid w:val="00913ED2"/>
    <w:rsid w:val="009163BF"/>
    <w:rsid w:val="00916716"/>
    <w:rsid w:val="00920C73"/>
    <w:rsid w:val="00923861"/>
    <w:rsid w:val="00926B3A"/>
    <w:rsid w:val="009320F2"/>
    <w:rsid w:val="009328D7"/>
    <w:rsid w:val="0093370C"/>
    <w:rsid w:val="00935599"/>
    <w:rsid w:val="00943926"/>
    <w:rsid w:val="00943DEA"/>
    <w:rsid w:val="00944817"/>
    <w:rsid w:val="00947834"/>
    <w:rsid w:val="009543AC"/>
    <w:rsid w:val="00955E26"/>
    <w:rsid w:val="00956BB8"/>
    <w:rsid w:val="009601C2"/>
    <w:rsid w:val="0096482E"/>
    <w:rsid w:val="009663CE"/>
    <w:rsid w:val="00973C18"/>
    <w:rsid w:val="00973DE4"/>
    <w:rsid w:val="00973F78"/>
    <w:rsid w:val="00974BFA"/>
    <w:rsid w:val="00977334"/>
    <w:rsid w:val="0097783F"/>
    <w:rsid w:val="00977BDA"/>
    <w:rsid w:val="00980219"/>
    <w:rsid w:val="00980819"/>
    <w:rsid w:val="009845BD"/>
    <w:rsid w:val="009858A9"/>
    <w:rsid w:val="00985DE9"/>
    <w:rsid w:val="00986869"/>
    <w:rsid w:val="009900F6"/>
    <w:rsid w:val="00991B9B"/>
    <w:rsid w:val="00992300"/>
    <w:rsid w:val="00992D19"/>
    <w:rsid w:val="00995584"/>
    <w:rsid w:val="00996947"/>
    <w:rsid w:val="00996D5E"/>
    <w:rsid w:val="009A32FE"/>
    <w:rsid w:val="009B00C9"/>
    <w:rsid w:val="009B2A30"/>
    <w:rsid w:val="009B2DD4"/>
    <w:rsid w:val="009B325B"/>
    <w:rsid w:val="009B6BA2"/>
    <w:rsid w:val="009C4E67"/>
    <w:rsid w:val="009C6236"/>
    <w:rsid w:val="009C70A8"/>
    <w:rsid w:val="009D18DA"/>
    <w:rsid w:val="009D3A59"/>
    <w:rsid w:val="009D4B90"/>
    <w:rsid w:val="009D52D8"/>
    <w:rsid w:val="009D57B0"/>
    <w:rsid w:val="009D6879"/>
    <w:rsid w:val="009E1635"/>
    <w:rsid w:val="009E3AE7"/>
    <w:rsid w:val="009E458A"/>
    <w:rsid w:val="009E6A32"/>
    <w:rsid w:val="009F288C"/>
    <w:rsid w:val="009F3706"/>
    <w:rsid w:val="009F6770"/>
    <w:rsid w:val="00A01CDF"/>
    <w:rsid w:val="00A021F2"/>
    <w:rsid w:val="00A06A35"/>
    <w:rsid w:val="00A10AC2"/>
    <w:rsid w:val="00A12436"/>
    <w:rsid w:val="00A13469"/>
    <w:rsid w:val="00A16E10"/>
    <w:rsid w:val="00A178A8"/>
    <w:rsid w:val="00A209BC"/>
    <w:rsid w:val="00A21F04"/>
    <w:rsid w:val="00A274D1"/>
    <w:rsid w:val="00A351FB"/>
    <w:rsid w:val="00A355E1"/>
    <w:rsid w:val="00A36E8B"/>
    <w:rsid w:val="00A37C89"/>
    <w:rsid w:val="00A407C0"/>
    <w:rsid w:val="00A41247"/>
    <w:rsid w:val="00A4207B"/>
    <w:rsid w:val="00A42794"/>
    <w:rsid w:val="00A4299B"/>
    <w:rsid w:val="00A46347"/>
    <w:rsid w:val="00A5038F"/>
    <w:rsid w:val="00A50D81"/>
    <w:rsid w:val="00A513FC"/>
    <w:rsid w:val="00A56703"/>
    <w:rsid w:val="00A56A31"/>
    <w:rsid w:val="00A662CF"/>
    <w:rsid w:val="00A6630E"/>
    <w:rsid w:val="00A70EA2"/>
    <w:rsid w:val="00A727CA"/>
    <w:rsid w:val="00A801A9"/>
    <w:rsid w:val="00A804D2"/>
    <w:rsid w:val="00A8735B"/>
    <w:rsid w:val="00A9153A"/>
    <w:rsid w:val="00A92450"/>
    <w:rsid w:val="00A96189"/>
    <w:rsid w:val="00AA18F6"/>
    <w:rsid w:val="00AA3FA1"/>
    <w:rsid w:val="00AA4424"/>
    <w:rsid w:val="00AB036E"/>
    <w:rsid w:val="00AB16A5"/>
    <w:rsid w:val="00AB31E4"/>
    <w:rsid w:val="00AB5728"/>
    <w:rsid w:val="00AC1001"/>
    <w:rsid w:val="00AC3011"/>
    <w:rsid w:val="00AC6D92"/>
    <w:rsid w:val="00AD2F17"/>
    <w:rsid w:val="00AD338D"/>
    <w:rsid w:val="00AD5054"/>
    <w:rsid w:val="00AD5723"/>
    <w:rsid w:val="00AD6DB4"/>
    <w:rsid w:val="00AE1EC3"/>
    <w:rsid w:val="00AE3F84"/>
    <w:rsid w:val="00AE4B21"/>
    <w:rsid w:val="00AE4BA7"/>
    <w:rsid w:val="00AE579F"/>
    <w:rsid w:val="00AE59F6"/>
    <w:rsid w:val="00AF0779"/>
    <w:rsid w:val="00AF471A"/>
    <w:rsid w:val="00AF5067"/>
    <w:rsid w:val="00B00F0A"/>
    <w:rsid w:val="00B0139E"/>
    <w:rsid w:val="00B02006"/>
    <w:rsid w:val="00B033B5"/>
    <w:rsid w:val="00B0685D"/>
    <w:rsid w:val="00B068AE"/>
    <w:rsid w:val="00B0719C"/>
    <w:rsid w:val="00B17410"/>
    <w:rsid w:val="00B2082E"/>
    <w:rsid w:val="00B229C2"/>
    <w:rsid w:val="00B22A0C"/>
    <w:rsid w:val="00B2309B"/>
    <w:rsid w:val="00B24A05"/>
    <w:rsid w:val="00B24EC4"/>
    <w:rsid w:val="00B25B70"/>
    <w:rsid w:val="00B2627A"/>
    <w:rsid w:val="00B26A35"/>
    <w:rsid w:val="00B30DE9"/>
    <w:rsid w:val="00B40B25"/>
    <w:rsid w:val="00B45007"/>
    <w:rsid w:val="00B472E5"/>
    <w:rsid w:val="00B479F6"/>
    <w:rsid w:val="00B51E69"/>
    <w:rsid w:val="00B543C4"/>
    <w:rsid w:val="00B54998"/>
    <w:rsid w:val="00B55151"/>
    <w:rsid w:val="00B57705"/>
    <w:rsid w:val="00B61A09"/>
    <w:rsid w:val="00B649C8"/>
    <w:rsid w:val="00B65727"/>
    <w:rsid w:val="00B65966"/>
    <w:rsid w:val="00B7132D"/>
    <w:rsid w:val="00B765B8"/>
    <w:rsid w:val="00B83CD5"/>
    <w:rsid w:val="00B84182"/>
    <w:rsid w:val="00B8585D"/>
    <w:rsid w:val="00B86F3B"/>
    <w:rsid w:val="00B91AFE"/>
    <w:rsid w:val="00B94180"/>
    <w:rsid w:val="00B9794D"/>
    <w:rsid w:val="00BA090D"/>
    <w:rsid w:val="00BA14C1"/>
    <w:rsid w:val="00BA1962"/>
    <w:rsid w:val="00BA2610"/>
    <w:rsid w:val="00BA2E35"/>
    <w:rsid w:val="00BA4624"/>
    <w:rsid w:val="00BB0518"/>
    <w:rsid w:val="00BB115F"/>
    <w:rsid w:val="00BB2CB4"/>
    <w:rsid w:val="00BB3803"/>
    <w:rsid w:val="00BB5DF6"/>
    <w:rsid w:val="00BC0366"/>
    <w:rsid w:val="00BC06CD"/>
    <w:rsid w:val="00BC2917"/>
    <w:rsid w:val="00BC2EBA"/>
    <w:rsid w:val="00BC4D1C"/>
    <w:rsid w:val="00BC6422"/>
    <w:rsid w:val="00BC6E39"/>
    <w:rsid w:val="00BC7B66"/>
    <w:rsid w:val="00BD0B24"/>
    <w:rsid w:val="00BD19CA"/>
    <w:rsid w:val="00BD304B"/>
    <w:rsid w:val="00BD3E17"/>
    <w:rsid w:val="00BD577F"/>
    <w:rsid w:val="00BD6E3A"/>
    <w:rsid w:val="00BD7C1A"/>
    <w:rsid w:val="00BE2446"/>
    <w:rsid w:val="00BE30E8"/>
    <w:rsid w:val="00BE332C"/>
    <w:rsid w:val="00BE3F4E"/>
    <w:rsid w:val="00BE47FC"/>
    <w:rsid w:val="00BE4A83"/>
    <w:rsid w:val="00BE4C53"/>
    <w:rsid w:val="00BE6D9E"/>
    <w:rsid w:val="00BE7484"/>
    <w:rsid w:val="00BF298D"/>
    <w:rsid w:val="00BF4141"/>
    <w:rsid w:val="00BF46DF"/>
    <w:rsid w:val="00BF60D8"/>
    <w:rsid w:val="00C04B4C"/>
    <w:rsid w:val="00C05F03"/>
    <w:rsid w:val="00C05F8B"/>
    <w:rsid w:val="00C06016"/>
    <w:rsid w:val="00C1366B"/>
    <w:rsid w:val="00C1427A"/>
    <w:rsid w:val="00C142FA"/>
    <w:rsid w:val="00C14555"/>
    <w:rsid w:val="00C206E9"/>
    <w:rsid w:val="00C20B70"/>
    <w:rsid w:val="00C25E4D"/>
    <w:rsid w:val="00C30C93"/>
    <w:rsid w:val="00C31427"/>
    <w:rsid w:val="00C316DB"/>
    <w:rsid w:val="00C31D61"/>
    <w:rsid w:val="00C34164"/>
    <w:rsid w:val="00C342B1"/>
    <w:rsid w:val="00C3671F"/>
    <w:rsid w:val="00C41A14"/>
    <w:rsid w:val="00C44240"/>
    <w:rsid w:val="00C47349"/>
    <w:rsid w:val="00C530D2"/>
    <w:rsid w:val="00C60608"/>
    <w:rsid w:val="00C60A58"/>
    <w:rsid w:val="00C630C9"/>
    <w:rsid w:val="00C642EF"/>
    <w:rsid w:val="00C6551A"/>
    <w:rsid w:val="00C71058"/>
    <w:rsid w:val="00C72C08"/>
    <w:rsid w:val="00C7377B"/>
    <w:rsid w:val="00C73993"/>
    <w:rsid w:val="00C746A8"/>
    <w:rsid w:val="00C77F2A"/>
    <w:rsid w:val="00C77FCD"/>
    <w:rsid w:val="00C8037E"/>
    <w:rsid w:val="00C80CBD"/>
    <w:rsid w:val="00C8369C"/>
    <w:rsid w:val="00C86BC1"/>
    <w:rsid w:val="00C871FC"/>
    <w:rsid w:val="00C934CD"/>
    <w:rsid w:val="00C9350E"/>
    <w:rsid w:val="00C95D02"/>
    <w:rsid w:val="00CA2894"/>
    <w:rsid w:val="00CA2D33"/>
    <w:rsid w:val="00CA7DE9"/>
    <w:rsid w:val="00CB3BA0"/>
    <w:rsid w:val="00CB4344"/>
    <w:rsid w:val="00CB49B6"/>
    <w:rsid w:val="00CB76B4"/>
    <w:rsid w:val="00CB779B"/>
    <w:rsid w:val="00CC00BB"/>
    <w:rsid w:val="00CC1475"/>
    <w:rsid w:val="00CC6159"/>
    <w:rsid w:val="00CC6B95"/>
    <w:rsid w:val="00CC7136"/>
    <w:rsid w:val="00CD1654"/>
    <w:rsid w:val="00CD20D5"/>
    <w:rsid w:val="00CD5CD5"/>
    <w:rsid w:val="00CD6D0B"/>
    <w:rsid w:val="00CE13DE"/>
    <w:rsid w:val="00CE2BF9"/>
    <w:rsid w:val="00CE2D54"/>
    <w:rsid w:val="00CE51BF"/>
    <w:rsid w:val="00CE60D5"/>
    <w:rsid w:val="00CE68A2"/>
    <w:rsid w:val="00CF0716"/>
    <w:rsid w:val="00CF092E"/>
    <w:rsid w:val="00CF0C4B"/>
    <w:rsid w:val="00CF634E"/>
    <w:rsid w:val="00D022F7"/>
    <w:rsid w:val="00D040D9"/>
    <w:rsid w:val="00D069FB"/>
    <w:rsid w:val="00D1147D"/>
    <w:rsid w:val="00D12D23"/>
    <w:rsid w:val="00D13283"/>
    <w:rsid w:val="00D206D1"/>
    <w:rsid w:val="00D21492"/>
    <w:rsid w:val="00D21C13"/>
    <w:rsid w:val="00D21D45"/>
    <w:rsid w:val="00D21E38"/>
    <w:rsid w:val="00D223D6"/>
    <w:rsid w:val="00D22D23"/>
    <w:rsid w:val="00D2333E"/>
    <w:rsid w:val="00D2577E"/>
    <w:rsid w:val="00D34658"/>
    <w:rsid w:val="00D4399A"/>
    <w:rsid w:val="00D44EB0"/>
    <w:rsid w:val="00D4577B"/>
    <w:rsid w:val="00D5226C"/>
    <w:rsid w:val="00D54D24"/>
    <w:rsid w:val="00D55116"/>
    <w:rsid w:val="00D5512A"/>
    <w:rsid w:val="00D56433"/>
    <w:rsid w:val="00D6223C"/>
    <w:rsid w:val="00D62A08"/>
    <w:rsid w:val="00D62E98"/>
    <w:rsid w:val="00D67D99"/>
    <w:rsid w:val="00D722AA"/>
    <w:rsid w:val="00D724E5"/>
    <w:rsid w:val="00D738CA"/>
    <w:rsid w:val="00D77037"/>
    <w:rsid w:val="00D77481"/>
    <w:rsid w:val="00D777F5"/>
    <w:rsid w:val="00D77840"/>
    <w:rsid w:val="00D77D70"/>
    <w:rsid w:val="00D82F1B"/>
    <w:rsid w:val="00D84832"/>
    <w:rsid w:val="00D861D9"/>
    <w:rsid w:val="00D87BCF"/>
    <w:rsid w:val="00D90342"/>
    <w:rsid w:val="00D91E6C"/>
    <w:rsid w:val="00D96B7D"/>
    <w:rsid w:val="00D96BC1"/>
    <w:rsid w:val="00D97443"/>
    <w:rsid w:val="00DA08FF"/>
    <w:rsid w:val="00DA3593"/>
    <w:rsid w:val="00DA71D9"/>
    <w:rsid w:val="00DB1431"/>
    <w:rsid w:val="00DB3D4A"/>
    <w:rsid w:val="00DB429F"/>
    <w:rsid w:val="00DB492C"/>
    <w:rsid w:val="00DB4A88"/>
    <w:rsid w:val="00DB5D1D"/>
    <w:rsid w:val="00DC1693"/>
    <w:rsid w:val="00DC65BA"/>
    <w:rsid w:val="00DD1C4B"/>
    <w:rsid w:val="00DD2BAA"/>
    <w:rsid w:val="00DD3398"/>
    <w:rsid w:val="00DE1B9E"/>
    <w:rsid w:val="00DE2653"/>
    <w:rsid w:val="00DE343A"/>
    <w:rsid w:val="00DE58AA"/>
    <w:rsid w:val="00DE6447"/>
    <w:rsid w:val="00DF314E"/>
    <w:rsid w:val="00DF5D25"/>
    <w:rsid w:val="00DF6C0F"/>
    <w:rsid w:val="00DF77DE"/>
    <w:rsid w:val="00E0010A"/>
    <w:rsid w:val="00E04146"/>
    <w:rsid w:val="00E0758F"/>
    <w:rsid w:val="00E13EE2"/>
    <w:rsid w:val="00E15BC1"/>
    <w:rsid w:val="00E16E08"/>
    <w:rsid w:val="00E17066"/>
    <w:rsid w:val="00E20610"/>
    <w:rsid w:val="00E3354C"/>
    <w:rsid w:val="00E3417B"/>
    <w:rsid w:val="00E371BE"/>
    <w:rsid w:val="00E41D94"/>
    <w:rsid w:val="00E42618"/>
    <w:rsid w:val="00E45F21"/>
    <w:rsid w:val="00E50667"/>
    <w:rsid w:val="00E532A6"/>
    <w:rsid w:val="00E60AEC"/>
    <w:rsid w:val="00E60CD5"/>
    <w:rsid w:val="00E60D05"/>
    <w:rsid w:val="00E611A3"/>
    <w:rsid w:val="00E61781"/>
    <w:rsid w:val="00E62284"/>
    <w:rsid w:val="00E62925"/>
    <w:rsid w:val="00E64FA7"/>
    <w:rsid w:val="00E7180E"/>
    <w:rsid w:val="00E733F5"/>
    <w:rsid w:val="00E74255"/>
    <w:rsid w:val="00E7557A"/>
    <w:rsid w:val="00E7638B"/>
    <w:rsid w:val="00E7782A"/>
    <w:rsid w:val="00E80F82"/>
    <w:rsid w:val="00E8213C"/>
    <w:rsid w:val="00E82BBC"/>
    <w:rsid w:val="00E83166"/>
    <w:rsid w:val="00E86684"/>
    <w:rsid w:val="00E9237F"/>
    <w:rsid w:val="00E943FB"/>
    <w:rsid w:val="00EA029C"/>
    <w:rsid w:val="00EA2D13"/>
    <w:rsid w:val="00EB4713"/>
    <w:rsid w:val="00EB6733"/>
    <w:rsid w:val="00EB705F"/>
    <w:rsid w:val="00EB7AAC"/>
    <w:rsid w:val="00EC08A5"/>
    <w:rsid w:val="00EC2AA3"/>
    <w:rsid w:val="00EC5410"/>
    <w:rsid w:val="00ED13FF"/>
    <w:rsid w:val="00ED1CFF"/>
    <w:rsid w:val="00ED31A1"/>
    <w:rsid w:val="00ED5243"/>
    <w:rsid w:val="00EE2815"/>
    <w:rsid w:val="00EE3A3E"/>
    <w:rsid w:val="00EF050E"/>
    <w:rsid w:val="00EF1869"/>
    <w:rsid w:val="00EF4B4C"/>
    <w:rsid w:val="00F0624C"/>
    <w:rsid w:val="00F07759"/>
    <w:rsid w:val="00F1155D"/>
    <w:rsid w:val="00F1559D"/>
    <w:rsid w:val="00F17244"/>
    <w:rsid w:val="00F17A49"/>
    <w:rsid w:val="00F17F8A"/>
    <w:rsid w:val="00F20810"/>
    <w:rsid w:val="00F236DB"/>
    <w:rsid w:val="00F261A3"/>
    <w:rsid w:val="00F301A3"/>
    <w:rsid w:val="00F31501"/>
    <w:rsid w:val="00F35098"/>
    <w:rsid w:val="00F371B5"/>
    <w:rsid w:val="00F4080B"/>
    <w:rsid w:val="00F40863"/>
    <w:rsid w:val="00F4288E"/>
    <w:rsid w:val="00F44A76"/>
    <w:rsid w:val="00F47428"/>
    <w:rsid w:val="00F474D3"/>
    <w:rsid w:val="00F70121"/>
    <w:rsid w:val="00F70AE3"/>
    <w:rsid w:val="00F74BA7"/>
    <w:rsid w:val="00F75A71"/>
    <w:rsid w:val="00F77BF1"/>
    <w:rsid w:val="00F80CA7"/>
    <w:rsid w:val="00F81AB4"/>
    <w:rsid w:val="00F82CF7"/>
    <w:rsid w:val="00F82E4C"/>
    <w:rsid w:val="00F9103D"/>
    <w:rsid w:val="00F92786"/>
    <w:rsid w:val="00F95819"/>
    <w:rsid w:val="00F97B24"/>
    <w:rsid w:val="00FA003C"/>
    <w:rsid w:val="00FA24C9"/>
    <w:rsid w:val="00FA330F"/>
    <w:rsid w:val="00FA37EF"/>
    <w:rsid w:val="00FA43A3"/>
    <w:rsid w:val="00FA5D2A"/>
    <w:rsid w:val="00FA7754"/>
    <w:rsid w:val="00FB5718"/>
    <w:rsid w:val="00FC1D2C"/>
    <w:rsid w:val="00FC2B2D"/>
    <w:rsid w:val="00FC4BAB"/>
    <w:rsid w:val="00FD1CB6"/>
    <w:rsid w:val="00FD6E29"/>
    <w:rsid w:val="00FE4079"/>
    <w:rsid w:val="00FE6A25"/>
    <w:rsid w:val="00FE7092"/>
    <w:rsid w:val="00FF06C4"/>
    <w:rsid w:val="00FF0E6F"/>
    <w:rsid w:val="00FF11D4"/>
    <w:rsid w:val="00FF27BD"/>
    <w:rsid w:val="00FF5374"/>
    <w:rsid w:val="00FF5E02"/>
    <w:rsid w:val="00FF5F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3FB74"/>
  <w15:chartTrackingRefBased/>
  <w15:docId w15:val="{F77545A2-1A06-4791-B7CF-148CE9735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B705F"/>
    <w:pPr>
      <w:widowControl w:val="0"/>
      <w:autoSpaceDE w:val="0"/>
      <w:autoSpaceDN w:val="0"/>
      <w:spacing w:after="0" w:line="240" w:lineRule="auto"/>
    </w:pPr>
    <w:rPr>
      <w:rFonts w:ascii="Calibri" w:eastAsia="Calibri" w:hAnsi="Calibri" w:cs="Calibri"/>
    </w:rPr>
  </w:style>
  <w:style w:type="paragraph" w:styleId="Heading1">
    <w:name w:val="heading 1"/>
    <w:basedOn w:val="Normal"/>
    <w:next w:val="Normal"/>
    <w:link w:val="Heading1Char"/>
    <w:uiPriority w:val="9"/>
    <w:qFormat/>
    <w:rsid w:val="001646F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36803"/>
    <w:pPr>
      <w:keepNext/>
      <w:keepLines/>
      <w:widowControl/>
      <w:autoSpaceDE/>
      <w:autoSpaceDN/>
      <w:spacing w:before="280" w:after="240" w:line="259" w:lineRule="auto"/>
      <w:outlineLvl w:val="1"/>
    </w:pPr>
    <w:rPr>
      <w:rFonts w:ascii="Arial" w:eastAsiaTheme="majorEastAsia" w:hAnsi="Arial" w:cstheme="majorBidi"/>
      <w:color w:val="2E74B5" w:themeColor="accent1" w:themeShade="BF"/>
      <w:sz w:val="28"/>
      <w:szCs w:val="26"/>
      <w:u w:val="single"/>
      <w14:textOutline w14:w="9525" w14:cap="rnd" w14:cmpd="sng" w14:algn="ctr">
        <w14:solidFill>
          <w14:schemeClr w14:val="accent1"/>
        </w14:solidFill>
        <w14:prstDash w14:val="solid"/>
        <w14:bevel/>
      </w14:textOutline>
    </w:rPr>
  </w:style>
  <w:style w:type="paragraph" w:styleId="Heading3">
    <w:name w:val="heading 3"/>
    <w:basedOn w:val="Normal"/>
    <w:next w:val="Normal"/>
    <w:link w:val="Heading3Char"/>
    <w:uiPriority w:val="9"/>
    <w:unhideWhenUsed/>
    <w:qFormat/>
    <w:rsid w:val="00136803"/>
    <w:pPr>
      <w:keepNext/>
      <w:keepLines/>
      <w:widowControl/>
      <w:autoSpaceDE/>
      <w:autoSpaceDN/>
      <w:spacing w:before="40" w:line="259" w:lineRule="auto"/>
      <w:outlineLvl w:val="2"/>
    </w:pPr>
    <w:rPr>
      <w:rFonts w:ascii="Arial" w:eastAsiaTheme="majorEastAsia" w:hAnsi="Arial" w:cstheme="majorBidi"/>
      <w:b/>
      <w:color w:val="00B0F0"/>
      <w:sz w:val="24"/>
      <w:szCs w:val="24"/>
      <w:u w:val="single"/>
    </w:rPr>
  </w:style>
  <w:style w:type="paragraph" w:styleId="Heading4">
    <w:name w:val="heading 4"/>
    <w:basedOn w:val="Normal"/>
    <w:next w:val="Normal"/>
    <w:link w:val="Heading4Char"/>
    <w:uiPriority w:val="9"/>
    <w:unhideWhenUsed/>
    <w:qFormat/>
    <w:rsid w:val="00B479F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46F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36803"/>
    <w:rPr>
      <w:rFonts w:ascii="Arial" w:eastAsiaTheme="majorEastAsia" w:hAnsi="Arial" w:cstheme="majorBidi"/>
      <w:color w:val="2E74B5" w:themeColor="accent1" w:themeShade="BF"/>
      <w:sz w:val="28"/>
      <w:szCs w:val="26"/>
      <w:u w:val="single"/>
      <w14:textOutline w14:w="9525" w14:cap="rnd" w14:cmpd="sng" w14:algn="ctr">
        <w14:solidFill>
          <w14:schemeClr w14:val="accent1"/>
        </w14:solidFill>
        <w14:prstDash w14:val="solid"/>
        <w14:bevel/>
      </w14:textOutline>
    </w:rPr>
  </w:style>
  <w:style w:type="character" w:customStyle="1" w:styleId="Heading3Char">
    <w:name w:val="Heading 3 Char"/>
    <w:basedOn w:val="DefaultParagraphFont"/>
    <w:link w:val="Heading3"/>
    <w:uiPriority w:val="9"/>
    <w:rsid w:val="00136803"/>
    <w:rPr>
      <w:rFonts w:ascii="Arial" w:eastAsiaTheme="majorEastAsia" w:hAnsi="Arial" w:cstheme="majorBidi"/>
      <w:b/>
      <w:color w:val="00B0F0"/>
      <w:sz w:val="24"/>
      <w:szCs w:val="24"/>
      <w:u w:val="single"/>
    </w:rPr>
  </w:style>
  <w:style w:type="character" w:customStyle="1" w:styleId="Heading4Char">
    <w:name w:val="Heading 4 Char"/>
    <w:basedOn w:val="DefaultParagraphFont"/>
    <w:link w:val="Heading4"/>
    <w:uiPriority w:val="9"/>
    <w:rsid w:val="00B479F6"/>
    <w:rPr>
      <w:rFonts w:asciiTheme="majorHAnsi" w:eastAsiaTheme="majorEastAsia" w:hAnsiTheme="majorHAnsi" w:cstheme="majorBidi"/>
      <w:i/>
      <w:iCs/>
      <w:color w:val="2E74B5" w:themeColor="accent1" w:themeShade="BF"/>
    </w:rPr>
  </w:style>
  <w:style w:type="paragraph" w:styleId="BodyText">
    <w:name w:val="Body Text"/>
    <w:basedOn w:val="Normal"/>
    <w:link w:val="BodyTextChar"/>
    <w:uiPriority w:val="1"/>
    <w:qFormat/>
    <w:rsid w:val="00136803"/>
    <w:pPr>
      <w:spacing w:before="120"/>
    </w:pPr>
  </w:style>
  <w:style w:type="character" w:customStyle="1" w:styleId="BodyTextChar">
    <w:name w:val="Body Text Char"/>
    <w:basedOn w:val="DefaultParagraphFont"/>
    <w:link w:val="BodyText"/>
    <w:uiPriority w:val="1"/>
    <w:rsid w:val="00136803"/>
    <w:rPr>
      <w:rFonts w:ascii="Calibri" w:eastAsia="Calibri" w:hAnsi="Calibri" w:cs="Calibri"/>
    </w:rPr>
  </w:style>
  <w:style w:type="paragraph" w:styleId="ListParagraph">
    <w:name w:val="List Paragraph"/>
    <w:basedOn w:val="Normal"/>
    <w:uiPriority w:val="1"/>
    <w:qFormat/>
    <w:rsid w:val="00136803"/>
    <w:pPr>
      <w:spacing w:before="120"/>
      <w:ind w:left="706" w:hanging="567"/>
    </w:pPr>
  </w:style>
  <w:style w:type="paragraph" w:styleId="FootnoteText">
    <w:name w:val="footnote text"/>
    <w:basedOn w:val="Normal"/>
    <w:link w:val="FootnoteTextChar"/>
    <w:uiPriority w:val="99"/>
    <w:semiHidden/>
    <w:unhideWhenUsed/>
    <w:rsid w:val="00136803"/>
    <w:rPr>
      <w:sz w:val="20"/>
      <w:szCs w:val="20"/>
    </w:rPr>
  </w:style>
  <w:style w:type="character" w:customStyle="1" w:styleId="FootnoteTextChar">
    <w:name w:val="Footnote Text Char"/>
    <w:basedOn w:val="DefaultParagraphFont"/>
    <w:link w:val="FootnoteText"/>
    <w:uiPriority w:val="99"/>
    <w:semiHidden/>
    <w:rsid w:val="00136803"/>
    <w:rPr>
      <w:rFonts w:ascii="Calibri" w:eastAsia="Calibri" w:hAnsi="Calibri" w:cs="Calibri"/>
      <w:sz w:val="20"/>
      <w:szCs w:val="20"/>
    </w:rPr>
  </w:style>
  <w:style w:type="character" w:styleId="FootnoteReference">
    <w:name w:val="footnote reference"/>
    <w:basedOn w:val="DefaultParagraphFont"/>
    <w:uiPriority w:val="99"/>
    <w:semiHidden/>
    <w:unhideWhenUsed/>
    <w:rsid w:val="00136803"/>
    <w:rPr>
      <w:vertAlign w:val="superscript"/>
    </w:rPr>
  </w:style>
  <w:style w:type="paragraph" w:styleId="Header">
    <w:name w:val="header"/>
    <w:basedOn w:val="Normal"/>
    <w:link w:val="HeaderChar"/>
    <w:uiPriority w:val="99"/>
    <w:unhideWhenUsed/>
    <w:rsid w:val="0084632B"/>
    <w:pPr>
      <w:tabs>
        <w:tab w:val="center" w:pos="4680"/>
        <w:tab w:val="right" w:pos="9360"/>
      </w:tabs>
    </w:pPr>
  </w:style>
  <w:style w:type="character" w:customStyle="1" w:styleId="HeaderChar">
    <w:name w:val="Header Char"/>
    <w:basedOn w:val="DefaultParagraphFont"/>
    <w:link w:val="Header"/>
    <w:uiPriority w:val="99"/>
    <w:rsid w:val="0084632B"/>
    <w:rPr>
      <w:rFonts w:ascii="Calibri" w:eastAsia="Calibri" w:hAnsi="Calibri" w:cs="Calibri"/>
    </w:rPr>
  </w:style>
  <w:style w:type="paragraph" w:styleId="Footer">
    <w:name w:val="footer"/>
    <w:basedOn w:val="Normal"/>
    <w:link w:val="FooterChar"/>
    <w:uiPriority w:val="99"/>
    <w:unhideWhenUsed/>
    <w:rsid w:val="0084632B"/>
    <w:pPr>
      <w:tabs>
        <w:tab w:val="center" w:pos="4680"/>
        <w:tab w:val="right" w:pos="9360"/>
      </w:tabs>
    </w:pPr>
  </w:style>
  <w:style w:type="character" w:customStyle="1" w:styleId="FooterChar">
    <w:name w:val="Footer Char"/>
    <w:basedOn w:val="DefaultParagraphFont"/>
    <w:link w:val="Footer"/>
    <w:uiPriority w:val="99"/>
    <w:rsid w:val="0084632B"/>
    <w:rPr>
      <w:rFonts w:ascii="Calibri" w:eastAsia="Calibri" w:hAnsi="Calibri" w:cs="Calibri"/>
    </w:rPr>
  </w:style>
  <w:style w:type="table" w:styleId="TableGrid">
    <w:name w:val="Table Grid"/>
    <w:basedOn w:val="TableNormal"/>
    <w:uiPriority w:val="39"/>
    <w:rsid w:val="008463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B479F6"/>
    <w:pPr>
      <w:spacing w:before="100"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uiPriority w:val="39"/>
    <w:qFormat/>
    <w:rsid w:val="00DC1693"/>
    <w:pPr>
      <w:spacing w:before="121" w:line="292" w:lineRule="exact"/>
      <w:ind w:left="1273"/>
    </w:pPr>
    <w:rPr>
      <w:b/>
      <w:bCs/>
      <w:sz w:val="24"/>
      <w:szCs w:val="24"/>
    </w:rPr>
  </w:style>
  <w:style w:type="character" w:styleId="Hyperlink">
    <w:name w:val="Hyperlink"/>
    <w:basedOn w:val="DefaultParagraphFont"/>
    <w:uiPriority w:val="99"/>
    <w:unhideWhenUsed/>
    <w:rsid w:val="003D1031"/>
    <w:rPr>
      <w:color w:val="0563C1" w:themeColor="hyperlink"/>
      <w:u w:val="single"/>
    </w:rPr>
  </w:style>
  <w:style w:type="paragraph" w:customStyle="1" w:styleId="TableParagraph">
    <w:name w:val="Table Paragraph"/>
    <w:basedOn w:val="Normal"/>
    <w:uiPriority w:val="1"/>
    <w:qFormat/>
    <w:rsid w:val="00E60D05"/>
    <w:pPr>
      <w:ind w:left="85"/>
    </w:pPr>
  </w:style>
  <w:style w:type="character" w:styleId="FollowedHyperlink">
    <w:name w:val="FollowedHyperlink"/>
    <w:basedOn w:val="DefaultParagraphFont"/>
    <w:uiPriority w:val="99"/>
    <w:semiHidden/>
    <w:unhideWhenUsed/>
    <w:rsid w:val="008A72B8"/>
    <w:rPr>
      <w:color w:val="954F72" w:themeColor="followedHyperlink"/>
      <w:u w:val="single"/>
    </w:rPr>
  </w:style>
  <w:style w:type="paragraph" w:styleId="TOCHeading">
    <w:name w:val="TOC Heading"/>
    <w:basedOn w:val="Heading1"/>
    <w:next w:val="Normal"/>
    <w:uiPriority w:val="39"/>
    <w:unhideWhenUsed/>
    <w:qFormat/>
    <w:rsid w:val="00DE6447"/>
    <w:pPr>
      <w:widowControl/>
      <w:autoSpaceDE/>
      <w:autoSpaceDN/>
      <w:spacing w:line="259" w:lineRule="auto"/>
      <w:outlineLvl w:val="9"/>
    </w:pPr>
  </w:style>
  <w:style w:type="paragraph" w:styleId="TOC2">
    <w:name w:val="toc 2"/>
    <w:basedOn w:val="Normal"/>
    <w:next w:val="Normal"/>
    <w:autoRedefine/>
    <w:uiPriority w:val="39"/>
    <w:unhideWhenUsed/>
    <w:rsid w:val="00DE6447"/>
    <w:pPr>
      <w:widowControl/>
      <w:autoSpaceDE/>
      <w:autoSpaceDN/>
      <w:spacing w:after="100" w:line="259" w:lineRule="auto"/>
      <w:ind w:left="220"/>
    </w:pPr>
    <w:rPr>
      <w:rFonts w:asciiTheme="minorHAnsi" w:eastAsiaTheme="minorEastAsia" w:hAnsiTheme="minorHAnsi" w:cs="Times New Roman"/>
    </w:rPr>
  </w:style>
  <w:style w:type="paragraph" w:styleId="TOC1">
    <w:name w:val="toc 1"/>
    <w:basedOn w:val="Normal"/>
    <w:next w:val="Normal"/>
    <w:autoRedefine/>
    <w:uiPriority w:val="39"/>
    <w:unhideWhenUsed/>
    <w:rsid w:val="00BE3F4E"/>
    <w:pPr>
      <w:widowControl/>
      <w:tabs>
        <w:tab w:val="right" w:leader="underscore" w:pos="9016"/>
      </w:tabs>
      <w:autoSpaceDE/>
      <w:autoSpaceDN/>
      <w:spacing w:after="100" w:line="259" w:lineRule="auto"/>
      <w:jc w:val="center"/>
    </w:pPr>
    <w:rPr>
      <w:rFonts w:ascii="Arial" w:eastAsiaTheme="majorEastAsia" w:hAnsi="Arial" w:cs="Arial"/>
      <w:b/>
      <w:bCs/>
      <w:sz w:val="24"/>
      <w:szCs w:val="24"/>
    </w:rPr>
  </w:style>
  <w:style w:type="paragraph" w:styleId="TOC4">
    <w:name w:val="toc 4"/>
    <w:basedOn w:val="Normal"/>
    <w:next w:val="Normal"/>
    <w:autoRedefine/>
    <w:uiPriority w:val="39"/>
    <w:unhideWhenUsed/>
    <w:rsid w:val="00DE6447"/>
    <w:pPr>
      <w:spacing w:after="100"/>
      <w:ind w:left="660"/>
    </w:pPr>
  </w:style>
  <w:style w:type="paragraph" w:styleId="TOC5">
    <w:name w:val="toc 5"/>
    <w:basedOn w:val="Normal"/>
    <w:next w:val="Normal"/>
    <w:autoRedefine/>
    <w:uiPriority w:val="39"/>
    <w:unhideWhenUsed/>
    <w:rsid w:val="00DE6447"/>
    <w:pPr>
      <w:spacing w:after="100"/>
      <w:ind w:left="880"/>
    </w:pPr>
  </w:style>
  <w:style w:type="paragraph" w:styleId="CommentText">
    <w:name w:val="annotation text"/>
    <w:basedOn w:val="Normal"/>
    <w:link w:val="CommentTextChar"/>
    <w:uiPriority w:val="99"/>
    <w:semiHidden/>
    <w:unhideWhenUsed/>
    <w:rsid w:val="004D6F08"/>
    <w:rPr>
      <w:sz w:val="20"/>
      <w:szCs w:val="20"/>
    </w:rPr>
  </w:style>
  <w:style w:type="character" w:customStyle="1" w:styleId="CommentTextChar">
    <w:name w:val="Comment Text Char"/>
    <w:basedOn w:val="DefaultParagraphFont"/>
    <w:link w:val="CommentText"/>
    <w:uiPriority w:val="99"/>
    <w:semiHidden/>
    <w:rsid w:val="004D6F08"/>
    <w:rPr>
      <w:rFonts w:ascii="Calibri" w:eastAsia="Calibri" w:hAnsi="Calibri" w:cs="Calibri"/>
      <w:sz w:val="20"/>
      <w:szCs w:val="20"/>
    </w:rPr>
  </w:style>
  <w:style w:type="character" w:styleId="CommentReference">
    <w:name w:val="annotation reference"/>
    <w:basedOn w:val="DefaultParagraphFont"/>
    <w:uiPriority w:val="99"/>
    <w:semiHidden/>
    <w:unhideWhenUsed/>
    <w:rsid w:val="003E26B5"/>
    <w:rPr>
      <w:sz w:val="16"/>
      <w:szCs w:val="16"/>
    </w:rPr>
  </w:style>
  <w:style w:type="paragraph" w:styleId="BalloonText">
    <w:name w:val="Balloon Text"/>
    <w:basedOn w:val="Normal"/>
    <w:link w:val="BalloonTextChar"/>
    <w:uiPriority w:val="99"/>
    <w:semiHidden/>
    <w:unhideWhenUsed/>
    <w:rsid w:val="003E26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26B5"/>
    <w:rPr>
      <w:rFonts w:ascii="Segoe UI" w:eastAsia="Calibri" w:hAnsi="Segoe UI" w:cs="Segoe UI"/>
      <w:sz w:val="18"/>
      <w:szCs w:val="18"/>
    </w:rPr>
  </w:style>
  <w:style w:type="character" w:customStyle="1" w:styleId="UnresolvedMention1">
    <w:name w:val="Unresolved Mention1"/>
    <w:basedOn w:val="DefaultParagraphFont"/>
    <w:uiPriority w:val="99"/>
    <w:semiHidden/>
    <w:unhideWhenUsed/>
    <w:rsid w:val="005175A4"/>
    <w:rPr>
      <w:color w:val="605E5C"/>
      <w:shd w:val="clear" w:color="auto" w:fill="E1DFDD"/>
    </w:rPr>
  </w:style>
  <w:style w:type="paragraph" w:styleId="TOC6">
    <w:name w:val="toc 6"/>
    <w:basedOn w:val="Normal"/>
    <w:next w:val="Normal"/>
    <w:autoRedefine/>
    <w:uiPriority w:val="39"/>
    <w:unhideWhenUsed/>
    <w:rsid w:val="00BE3F4E"/>
    <w:pPr>
      <w:widowControl/>
      <w:autoSpaceDE/>
      <w:autoSpaceDN/>
      <w:spacing w:after="100" w:line="259"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BE3F4E"/>
    <w:pPr>
      <w:widowControl/>
      <w:autoSpaceDE/>
      <w:autoSpaceDN/>
      <w:spacing w:after="100" w:line="259"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BE3F4E"/>
    <w:pPr>
      <w:widowControl/>
      <w:autoSpaceDE/>
      <w:autoSpaceDN/>
      <w:spacing w:after="100" w:line="259"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BE3F4E"/>
    <w:pPr>
      <w:widowControl/>
      <w:autoSpaceDE/>
      <w:autoSpaceDN/>
      <w:spacing w:after="100" w:line="259" w:lineRule="auto"/>
      <w:ind w:left="1760"/>
    </w:pPr>
    <w:rPr>
      <w:rFonts w:asciiTheme="minorHAnsi" w:eastAsiaTheme="minorEastAsia" w:hAnsiTheme="minorHAnsi" w:cstheme="minorBidi"/>
    </w:rPr>
  </w:style>
  <w:style w:type="paragraph" w:styleId="NormalWeb">
    <w:name w:val="Normal (Web)"/>
    <w:basedOn w:val="Normal"/>
    <w:uiPriority w:val="99"/>
    <w:semiHidden/>
    <w:unhideWhenUsed/>
    <w:rsid w:val="00986869"/>
    <w:rPr>
      <w:rFonts w:ascii="Times New Roman" w:hAnsi="Times New Roman" w:cs="Times New Roman"/>
      <w:sz w:val="24"/>
      <w:szCs w:val="24"/>
    </w:rPr>
  </w:style>
  <w:style w:type="paragraph" w:styleId="Revision">
    <w:name w:val="Revision"/>
    <w:hidden/>
    <w:uiPriority w:val="99"/>
    <w:semiHidden/>
    <w:rsid w:val="0070620E"/>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4129">
      <w:bodyDiv w:val="1"/>
      <w:marLeft w:val="0"/>
      <w:marRight w:val="0"/>
      <w:marTop w:val="0"/>
      <w:marBottom w:val="0"/>
      <w:divBdr>
        <w:top w:val="none" w:sz="0" w:space="0" w:color="auto"/>
        <w:left w:val="none" w:sz="0" w:space="0" w:color="auto"/>
        <w:bottom w:val="none" w:sz="0" w:space="0" w:color="auto"/>
        <w:right w:val="none" w:sz="0" w:space="0" w:color="auto"/>
      </w:divBdr>
    </w:div>
    <w:div w:id="17588391">
      <w:bodyDiv w:val="1"/>
      <w:marLeft w:val="0"/>
      <w:marRight w:val="0"/>
      <w:marTop w:val="0"/>
      <w:marBottom w:val="0"/>
      <w:divBdr>
        <w:top w:val="none" w:sz="0" w:space="0" w:color="auto"/>
        <w:left w:val="none" w:sz="0" w:space="0" w:color="auto"/>
        <w:bottom w:val="none" w:sz="0" w:space="0" w:color="auto"/>
        <w:right w:val="none" w:sz="0" w:space="0" w:color="auto"/>
      </w:divBdr>
    </w:div>
    <w:div w:id="23988766">
      <w:bodyDiv w:val="1"/>
      <w:marLeft w:val="0"/>
      <w:marRight w:val="0"/>
      <w:marTop w:val="0"/>
      <w:marBottom w:val="0"/>
      <w:divBdr>
        <w:top w:val="none" w:sz="0" w:space="0" w:color="auto"/>
        <w:left w:val="none" w:sz="0" w:space="0" w:color="auto"/>
        <w:bottom w:val="none" w:sz="0" w:space="0" w:color="auto"/>
        <w:right w:val="none" w:sz="0" w:space="0" w:color="auto"/>
      </w:divBdr>
    </w:div>
    <w:div w:id="24867160">
      <w:bodyDiv w:val="1"/>
      <w:marLeft w:val="0"/>
      <w:marRight w:val="0"/>
      <w:marTop w:val="0"/>
      <w:marBottom w:val="0"/>
      <w:divBdr>
        <w:top w:val="none" w:sz="0" w:space="0" w:color="auto"/>
        <w:left w:val="none" w:sz="0" w:space="0" w:color="auto"/>
        <w:bottom w:val="none" w:sz="0" w:space="0" w:color="auto"/>
        <w:right w:val="none" w:sz="0" w:space="0" w:color="auto"/>
      </w:divBdr>
    </w:div>
    <w:div w:id="29302384">
      <w:bodyDiv w:val="1"/>
      <w:marLeft w:val="0"/>
      <w:marRight w:val="0"/>
      <w:marTop w:val="0"/>
      <w:marBottom w:val="0"/>
      <w:divBdr>
        <w:top w:val="none" w:sz="0" w:space="0" w:color="auto"/>
        <w:left w:val="none" w:sz="0" w:space="0" w:color="auto"/>
        <w:bottom w:val="none" w:sz="0" w:space="0" w:color="auto"/>
        <w:right w:val="none" w:sz="0" w:space="0" w:color="auto"/>
      </w:divBdr>
    </w:div>
    <w:div w:id="29765826">
      <w:bodyDiv w:val="1"/>
      <w:marLeft w:val="0"/>
      <w:marRight w:val="0"/>
      <w:marTop w:val="0"/>
      <w:marBottom w:val="0"/>
      <w:divBdr>
        <w:top w:val="none" w:sz="0" w:space="0" w:color="auto"/>
        <w:left w:val="none" w:sz="0" w:space="0" w:color="auto"/>
        <w:bottom w:val="none" w:sz="0" w:space="0" w:color="auto"/>
        <w:right w:val="none" w:sz="0" w:space="0" w:color="auto"/>
      </w:divBdr>
    </w:div>
    <w:div w:id="29770577">
      <w:bodyDiv w:val="1"/>
      <w:marLeft w:val="0"/>
      <w:marRight w:val="0"/>
      <w:marTop w:val="0"/>
      <w:marBottom w:val="0"/>
      <w:divBdr>
        <w:top w:val="none" w:sz="0" w:space="0" w:color="auto"/>
        <w:left w:val="none" w:sz="0" w:space="0" w:color="auto"/>
        <w:bottom w:val="none" w:sz="0" w:space="0" w:color="auto"/>
        <w:right w:val="none" w:sz="0" w:space="0" w:color="auto"/>
      </w:divBdr>
    </w:div>
    <w:div w:id="40180738">
      <w:bodyDiv w:val="1"/>
      <w:marLeft w:val="0"/>
      <w:marRight w:val="0"/>
      <w:marTop w:val="0"/>
      <w:marBottom w:val="0"/>
      <w:divBdr>
        <w:top w:val="none" w:sz="0" w:space="0" w:color="auto"/>
        <w:left w:val="none" w:sz="0" w:space="0" w:color="auto"/>
        <w:bottom w:val="none" w:sz="0" w:space="0" w:color="auto"/>
        <w:right w:val="none" w:sz="0" w:space="0" w:color="auto"/>
      </w:divBdr>
    </w:div>
    <w:div w:id="63114072">
      <w:bodyDiv w:val="1"/>
      <w:marLeft w:val="0"/>
      <w:marRight w:val="0"/>
      <w:marTop w:val="0"/>
      <w:marBottom w:val="0"/>
      <w:divBdr>
        <w:top w:val="none" w:sz="0" w:space="0" w:color="auto"/>
        <w:left w:val="none" w:sz="0" w:space="0" w:color="auto"/>
        <w:bottom w:val="none" w:sz="0" w:space="0" w:color="auto"/>
        <w:right w:val="none" w:sz="0" w:space="0" w:color="auto"/>
      </w:divBdr>
    </w:div>
    <w:div w:id="63191151">
      <w:bodyDiv w:val="1"/>
      <w:marLeft w:val="0"/>
      <w:marRight w:val="0"/>
      <w:marTop w:val="0"/>
      <w:marBottom w:val="0"/>
      <w:divBdr>
        <w:top w:val="none" w:sz="0" w:space="0" w:color="auto"/>
        <w:left w:val="none" w:sz="0" w:space="0" w:color="auto"/>
        <w:bottom w:val="none" w:sz="0" w:space="0" w:color="auto"/>
        <w:right w:val="none" w:sz="0" w:space="0" w:color="auto"/>
      </w:divBdr>
    </w:div>
    <w:div w:id="63264044">
      <w:bodyDiv w:val="1"/>
      <w:marLeft w:val="0"/>
      <w:marRight w:val="0"/>
      <w:marTop w:val="0"/>
      <w:marBottom w:val="0"/>
      <w:divBdr>
        <w:top w:val="none" w:sz="0" w:space="0" w:color="auto"/>
        <w:left w:val="none" w:sz="0" w:space="0" w:color="auto"/>
        <w:bottom w:val="none" w:sz="0" w:space="0" w:color="auto"/>
        <w:right w:val="none" w:sz="0" w:space="0" w:color="auto"/>
      </w:divBdr>
    </w:div>
    <w:div w:id="70809713">
      <w:bodyDiv w:val="1"/>
      <w:marLeft w:val="0"/>
      <w:marRight w:val="0"/>
      <w:marTop w:val="0"/>
      <w:marBottom w:val="0"/>
      <w:divBdr>
        <w:top w:val="none" w:sz="0" w:space="0" w:color="auto"/>
        <w:left w:val="none" w:sz="0" w:space="0" w:color="auto"/>
        <w:bottom w:val="none" w:sz="0" w:space="0" w:color="auto"/>
        <w:right w:val="none" w:sz="0" w:space="0" w:color="auto"/>
      </w:divBdr>
    </w:div>
    <w:div w:id="73281785">
      <w:bodyDiv w:val="1"/>
      <w:marLeft w:val="0"/>
      <w:marRight w:val="0"/>
      <w:marTop w:val="0"/>
      <w:marBottom w:val="0"/>
      <w:divBdr>
        <w:top w:val="none" w:sz="0" w:space="0" w:color="auto"/>
        <w:left w:val="none" w:sz="0" w:space="0" w:color="auto"/>
        <w:bottom w:val="none" w:sz="0" w:space="0" w:color="auto"/>
        <w:right w:val="none" w:sz="0" w:space="0" w:color="auto"/>
      </w:divBdr>
    </w:div>
    <w:div w:id="87772105">
      <w:bodyDiv w:val="1"/>
      <w:marLeft w:val="0"/>
      <w:marRight w:val="0"/>
      <w:marTop w:val="0"/>
      <w:marBottom w:val="0"/>
      <w:divBdr>
        <w:top w:val="none" w:sz="0" w:space="0" w:color="auto"/>
        <w:left w:val="none" w:sz="0" w:space="0" w:color="auto"/>
        <w:bottom w:val="none" w:sz="0" w:space="0" w:color="auto"/>
        <w:right w:val="none" w:sz="0" w:space="0" w:color="auto"/>
      </w:divBdr>
    </w:div>
    <w:div w:id="90706072">
      <w:bodyDiv w:val="1"/>
      <w:marLeft w:val="0"/>
      <w:marRight w:val="0"/>
      <w:marTop w:val="0"/>
      <w:marBottom w:val="0"/>
      <w:divBdr>
        <w:top w:val="none" w:sz="0" w:space="0" w:color="auto"/>
        <w:left w:val="none" w:sz="0" w:space="0" w:color="auto"/>
        <w:bottom w:val="none" w:sz="0" w:space="0" w:color="auto"/>
        <w:right w:val="none" w:sz="0" w:space="0" w:color="auto"/>
      </w:divBdr>
    </w:div>
    <w:div w:id="98571263">
      <w:bodyDiv w:val="1"/>
      <w:marLeft w:val="0"/>
      <w:marRight w:val="0"/>
      <w:marTop w:val="0"/>
      <w:marBottom w:val="0"/>
      <w:divBdr>
        <w:top w:val="none" w:sz="0" w:space="0" w:color="auto"/>
        <w:left w:val="none" w:sz="0" w:space="0" w:color="auto"/>
        <w:bottom w:val="none" w:sz="0" w:space="0" w:color="auto"/>
        <w:right w:val="none" w:sz="0" w:space="0" w:color="auto"/>
      </w:divBdr>
    </w:div>
    <w:div w:id="98960844">
      <w:bodyDiv w:val="1"/>
      <w:marLeft w:val="0"/>
      <w:marRight w:val="0"/>
      <w:marTop w:val="0"/>
      <w:marBottom w:val="0"/>
      <w:divBdr>
        <w:top w:val="none" w:sz="0" w:space="0" w:color="auto"/>
        <w:left w:val="none" w:sz="0" w:space="0" w:color="auto"/>
        <w:bottom w:val="none" w:sz="0" w:space="0" w:color="auto"/>
        <w:right w:val="none" w:sz="0" w:space="0" w:color="auto"/>
      </w:divBdr>
    </w:div>
    <w:div w:id="100876599">
      <w:bodyDiv w:val="1"/>
      <w:marLeft w:val="0"/>
      <w:marRight w:val="0"/>
      <w:marTop w:val="0"/>
      <w:marBottom w:val="0"/>
      <w:divBdr>
        <w:top w:val="none" w:sz="0" w:space="0" w:color="auto"/>
        <w:left w:val="none" w:sz="0" w:space="0" w:color="auto"/>
        <w:bottom w:val="none" w:sz="0" w:space="0" w:color="auto"/>
        <w:right w:val="none" w:sz="0" w:space="0" w:color="auto"/>
      </w:divBdr>
    </w:div>
    <w:div w:id="113643512">
      <w:bodyDiv w:val="1"/>
      <w:marLeft w:val="0"/>
      <w:marRight w:val="0"/>
      <w:marTop w:val="0"/>
      <w:marBottom w:val="0"/>
      <w:divBdr>
        <w:top w:val="none" w:sz="0" w:space="0" w:color="auto"/>
        <w:left w:val="none" w:sz="0" w:space="0" w:color="auto"/>
        <w:bottom w:val="none" w:sz="0" w:space="0" w:color="auto"/>
        <w:right w:val="none" w:sz="0" w:space="0" w:color="auto"/>
      </w:divBdr>
    </w:div>
    <w:div w:id="119540743">
      <w:bodyDiv w:val="1"/>
      <w:marLeft w:val="0"/>
      <w:marRight w:val="0"/>
      <w:marTop w:val="0"/>
      <w:marBottom w:val="0"/>
      <w:divBdr>
        <w:top w:val="none" w:sz="0" w:space="0" w:color="auto"/>
        <w:left w:val="none" w:sz="0" w:space="0" w:color="auto"/>
        <w:bottom w:val="none" w:sz="0" w:space="0" w:color="auto"/>
        <w:right w:val="none" w:sz="0" w:space="0" w:color="auto"/>
      </w:divBdr>
    </w:div>
    <w:div w:id="122769611">
      <w:bodyDiv w:val="1"/>
      <w:marLeft w:val="0"/>
      <w:marRight w:val="0"/>
      <w:marTop w:val="0"/>
      <w:marBottom w:val="0"/>
      <w:divBdr>
        <w:top w:val="none" w:sz="0" w:space="0" w:color="auto"/>
        <w:left w:val="none" w:sz="0" w:space="0" w:color="auto"/>
        <w:bottom w:val="none" w:sz="0" w:space="0" w:color="auto"/>
        <w:right w:val="none" w:sz="0" w:space="0" w:color="auto"/>
      </w:divBdr>
    </w:div>
    <w:div w:id="126550181">
      <w:bodyDiv w:val="1"/>
      <w:marLeft w:val="0"/>
      <w:marRight w:val="0"/>
      <w:marTop w:val="0"/>
      <w:marBottom w:val="0"/>
      <w:divBdr>
        <w:top w:val="none" w:sz="0" w:space="0" w:color="auto"/>
        <w:left w:val="none" w:sz="0" w:space="0" w:color="auto"/>
        <w:bottom w:val="none" w:sz="0" w:space="0" w:color="auto"/>
        <w:right w:val="none" w:sz="0" w:space="0" w:color="auto"/>
      </w:divBdr>
    </w:div>
    <w:div w:id="132716574">
      <w:bodyDiv w:val="1"/>
      <w:marLeft w:val="0"/>
      <w:marRight w:val="0"/>
      <w:marTop w:val="0"/>
      <w:marBottom w:val="0"/>
      <w:divBdr>
        <w:top w:val="none" w:sz="0" w:space="0" w:color="auto"/>
        <w:left w:val="none" w:sz="0" w:space="0" w:color="auto"/>
        <w:bottom w:val="none" w:sz="0" w:space="0" w:color="auto"/>
        <w:right w:val="none" w:sz="0" w:space="0" w:color="auto"/>
      </w:divBdr>
    </w:div>
    <w:div w:id="140002222">
      <w:bodyDiv w:val="1"/>
      <w:marLeft w:val="0"/>
      <w:marRight w:val="0"/>
      <w:marTop w:val="0"/>
      <w:marBottom w:val="0"/>
      <w:divBdr>
        <w:top w:val="none" w:sz="0" w:space="0" w:color="auto"/>
        <w:left w:val="none" w:sz="0" w:space="0" w:color="auto"/>
        <w:bottom w:val="none" w:sz="0" w:space="0" w:color="auto"/>
        <w:right w:val="none" w:sz="0" w:space="0" w:color="auto"/>
      </w:divBdr>
    </w:div>
    <w:div w:id="140387853">
      <w:bodyDiv w:val="1"/>
      <w:marLeft w:val="0"/>
      <w:marRight w:val="0"/>
      <w:marTop w:val="0"/>
      <w:marBottom w:val="0"/>
      <w:divBdr>
        <w:top w:val="none" w:sz="0" w:space="0" w:color="auto"/>
        <w:left w:val="none" w:sz="0" w:space="0" w:color="auto"/>
        <w:bottom w:val="none" w:sz="0" w:space="0" w:color="auto"/>
        <w:right w:val="none" w:sz="0" w:space="0" w:color="auto"/>
      </w:divBdr>
    </w:div>
    <w:div w:id="147989037">
      <w:bodyDiv w:val="1"/>
      <w:marLeft w:val="0"/>
      <w:marRight w:val="0"/>
      <w:marTop w:val="0"/>
      <w:marBottom w:val="0"/>
      <w:divBdr>
        <w:top w:val="none" w:sz="0" w:space="0" w:color="auto"/>
        <w:left w:val="none" w:sz="0" w:space="0" w:color="auto"/>
        <w:bottom w:val="none" w:sz="0" w:space="0" w:color="auto"/>
        <w:right w:val="none" w:sz="0" w:space="0" w:color="auto"/>
      </w:divBdr>
    </w:div>
    <w:div w:id="149292276">
      <w:bodyDiv w:val="1"/>
      <w:marLeft w:val="0"/>
      <w:marRight w:val="0"/>
      <w:marTop w:val="0"/>
      <w:marBottom w:val="0"/>
      <w:divBdr>
        <w:top w:val="none" w:sz="0" w:space="0" w:color="auto"/>
        <w:left w:val="none" w:sz="0" w:space="0" w:color="auto"/>
        <w:bottom w:val="none" w:sz="0" w:space="0" w:color="auto"/>
        <w:right w:val="none" w:sz="0" w:space="0" w:color="auto"/>
      </w:divBdr>
    </w:div>
    <w:div w:id="162669628">
      <w:bodyDiv w:val="1"/>
      <w:marLeft w:val="0"/>
      <w:marRight w:val="0"/>
      <w:marTop w:val="0"/>
      <w:marBottom w:val="0"/>
      <w:divBdr>
        <w:top w:val="none" w:sz="0" w:space="0" w:color="auto"/>
        <w:left w:val="none" w:sz="0" w:space="0" w:color="auto"/>
        <w:bottom w:val="none" w:sz="0" w:space="0" w:color="auto"/>
        <w:right w:val="none" w:sz="0" w:space="0" w:color="auto"/>
      </w:divBdr>
    </w:div>
    <w:div w:id="163520933">
      <w:bodyDiv w:val="1"/>
      <w:marLeft w:val="0"/>
      <w:marRight w:val="0"/>
      <w:marTop w:val="0"/>
      <w:marBottom w:val="0"/>
      <w:divBdr>
        <w:top w:val="none" w:sz="0" w:space="0" w:color="auto"/>
        <w:left w:val="none" w:sz="0" w:space="0" w:color="auto"/>
        <w:bottom w:val="none" w:sz="0" w:space="0" w:color="auto"/>
        <w:right w:val="none" w:sz="0" w:space="0" w:color="auto"/>
      </w:divBdr>
    </w:div>
    <w:div w:id="171334394">
      <w:bodyDiv w:val="1"/>
      <w:marLeft w:val="0"/>
      <w:marRight w:val="0"/>
      <w:marTop w:val="0"/>
      <w:marBottom w:val="0"/>
      <w:divBdr>
        <w:top w:val="none" w:sz="0" w:space="0" w:color="auto"/>
        <w:left w:val="none" w:sz="0" w:space="0" w:color="auto"/>
        <w:bottom w:val="none" w:sz="0" w:space="0" w:color="auto"/>
        <w:right w:val="none" w:sz="0" w:space="0" w:color="auto"/>
      </w:divBdr>
    </w:div>
    <w:div w:id="176774564">
      <w:bodyDiv w:val="1"/>
      <w:marLeft w:val="0"/>
      <w:marRight w:val="0"/>
      <w:marTop w:val="0"/>
      <w:marBottom w:val="0"/>
      <w:divBdr>
        <w:top w:val="none" w:sz="0" w:space="0" w:color="auto"/>
        <w:left w:val="none" w:sz="0" w:space="0" w:color="auto"/>
        <w:bottom w:val="none" w:sz="0" w:space="0" w:color="auto"/>
        <w:right w:val="none" w:sz="0" w:space="0" w:color="auto"/>
      </w:divBdr>
    </w:div>
    <w:div w:id="178086211">
      <w:bodyDiv w:val="1"/>
      <w:marLeft w:val="0"/>
      <w:marRight w:val="0"/>
      <w:marTop w:val="0"/>
      <w:marBottom w:val="0"/>
      <w:divBdr>
        <w:top w:val="none" w:sz="0" w:space="0" w:color="auto"/>
        <w:left w:val="none" w:sz="0" w:space="0" w:color="auto"/>
        <w:bottom w:val="none" w:sz="0" w:space="0" w:color="auto"/>
        <w:right w:val="none" w:sz="0" w:space="0" w:color="auto"/>
      </w:divBdr>
    </w:div>
    <w:div w:id="185948485">
      <w:bodyDiv w:val="1"/>
      <w:marLeft w:val="0"/>
      <w:marRight w:val="0"/>
      <w:marTop w:val="0"/>
      <w:marBottom w:val="0"/>
      <w:divBdr>
        <w:top w:val="none" w:sz="0" w:space="0" w:color="auto"/>
        <w:left w:val="none" w:sz="0" w:space="0" w:color="auto"/>
        <w:bottom w:val="none" w:sz="0" w:space="0" w:color="auto"/>
        <w:right w:val="none" w:sz="0" w:space="0" w:color="auto"/>
      </w:divBdr>
    </w:div>
    <w:div w:id="189608077">
      <w:bodyDiv w:val="1"/>
      <w:marLeft w:val="0"/>
      <w:marRight w:val="0"/>
      <w:marTop w:val="0"/>
      <w:marBottom w:val="0"/>
      <w:divBdr>
        <w:top w:val="none" w:sz="0" w:space="0" w:color="auto"/>
        <w:left w:val="none" w:sz="0" w:space="0" w:color="auto"/>
        <w:bottom w:val="none" w:sz="0" w:space="0" w:color="auto"/>
        <w:right w:val="none" w:sz="0" w:space="0" w:color="auto"/>
      </w:divBdr>
    </w:div>
    <w:div w:id="192764695">
      <w:bodyDiv w:val="1"/>
      <w:marLeft w:val="0"/>
      <w:marRight w:val="0"/>
      <w:marTop w:val="0"/>
      <w:marBottom w:val="0"/>
      <w:divBdr>
        <w:top w:val="none" w:sz="0" w:space="0" w:color="auto"/>
        <w:left w:val="none" w:sz="0" w:space="0" w:color="auto"/>
        <w:bottom w:val="none" w:sz="0" w:space="0" w:color="auto"/>
        <w:right w:val="none" w:sz="0" w:space="0" w:color="auto"/>
      </w:divBdr>
    </w:div>
    <w:div w:id="197008481">
      <w:bodyDiv w:val="1"/>
      <w:marLeft w:val="0"/>
      <w:marRight w:val="0"/>
      <w:marTop w:val="0"/>
      <w:marBottom w:val="0"/>
      <w:divBdr>
        <w:top w:val="none" w:sz="0" w:space="0" w:color="auto"/>
        <w:left w:val="none" w:sz="0" w:space="0" w:color="auto"/>
        <w:bottom w:val="none" w:sz="0" w:space="0" w:color="auto"/>
        <w:right w:val="none" w:sz="0" w:space="0" w:color="auto"/>
      </w:divBdr>
    </w:div>
    <w:div w:id="202252927">
      <w:bodyDiv w:val="1"/>
      <w:marLeft w:val="0"/>
      <w:marRight w:val="0"/>
      <w:marTop w:val="0"/>
      <w:marBottom w:val="0"/>
      <w:divBdr>
        <w:top w:val="none" w:sz="0" w:space="0" w:color="auto"/>
        <w:left w:val="none" w:sz="0" w:space="0" w:color="auto"/>
        <w:bottom w:val="none" w:sz="0" w:space="0" w:color="auto"/>
        <w:right w:val="none" w:sz="0" w:space="0" w:color="auto"/>
      </w:divBdr>
    </w:div>
    <w:div w:id="204030106">
      <w:bodyDiv w:val="1"/>
      <w:marLeft w:val="0"/>
      <w:marRight w:val="0"/>
      <w:marTop w:val="0"/>
      <w:marBottom w:val="0"/>
      <w:divBdr>
        <w:top w:val="none" w:sz="0" w:space="0" w:color="auto"/>
        <w:left w:val="none" w:sz="0" w:space="0" w:color="auto"/>
        <w:bottom w:val="none" w:sz="0" w:space="0" w:color="auto"/>
        <w:right w:val="none" w:sz="0" w:space="0" w:color="auto"/>
      </w:divBdr>
    </w:div>
    <w:div w:id="204685856">
      <w:bodyDiv w:val="1"/>
      <w:marLeft w:val="0"/>
      <w:marRight w:val="0"/>
      <w:marTop w:val="0"/>
      <w:marBottom w:val="0"/>
      <w:divBdr>
        <w:top w:val="none" w:sz="0" w:space="0" w:color="auto"/>
        <w:left w:val="none" w:sz="0" w:space="0" w:color="auto"/>
        <w:bottom w:val="none" w:sz="0" w:space="0" w:color="auto"/>
        <w:right w:val="none" w:sz="0" w:space="0" w:color="auto"/>
      </w:divBdr>
    </w:div>
    <w:div w:id="213392591">
      <w:bodyDiv w:val="1"/>
      <w:marLeft w:val="0"/>
      <w:marRight w:val="0"/>
      <w:marTop w:val="0"/>
      <w:marBottom w:val="0"/>
      <w:divBdr>
        <w:top w:val="none" w:sz="0" w:space="0" w:color="auto"/>
        <w:left w:val="none" w:sz="0" w:space="0" w:color="auto"/>
        <w:bottom w:val="none" w:sz="0" w:space="0" w:color="auto"/>
        <w:right w:val="none" w:sz="0" w:space="0" w:color="auto"/>
      </w:divBdr>
    </w:div>
    <w:div w:id="214001975">
      <w:bodyDiv w:val="1"/>
      <w:marLeft w:val="0"/>
      <w:marRight w:val="0"/>
      <w:marTop w:val="0"/>
      <w:marBottom w:val="0"/>
      <w:divBdr>
        <w:top w:val="none" w:sz="0" w:space="0" w:color="auto"/>
        <w:left w:val="none" w:sz="0" w:space="0" w:color="auto"/>
        <w:bottom w:val="none" w:sz="0" w:space="0" w:color="auto"/>
        <w:right w:val="none" w:sz="0" w:space="0" w:color="auto"/>
      </w:divBdr>
    </w:div>
    <w:div w:id="214707738">
      <w:bodyDiv w:val="1"/>
      <w:marLeft w:val="0"/>
      <w:marRight w:val="0"/>
      <w:marTop w:val="0"/>
      <w:marBottom w:val="0"/>
      <w:divBdr>
        <w:top w:val="none" w:sz="0" w:space="0" w:color="auto"/>
        <w:left w:val="none" w:sz="0" w:space="0" w:color="auto"/>
        <w:bottom w:val="none" w:sz="0" w:space="0" w:color="auto"/>
        <w:right w:val="none" w:sz="0" w:space="0" w:color="auto"/>
      </w:divBdr>
    </w:div>
    <w:div w:id="217472503">
      <w:bodyDiv w:val="1"/>
      <w:marLeft w:val="0"/>
      <w:marRight w:val="0"/>
      <w:marTop w:val="0"/>
      <w:marBottom w:val="0"/>
      <w:divBdr>
        <w:top w:val="none" w:sz="0" w:space="0" w:color="auto"/>
        <w:left w:val="none" w:sz="0" w:space="0" w:color="auto"/>
        <w:bottom w:val="none" w:sz="0" w:space="0" w:color="auto"/>
        <w:right w:val="none" w:sz="0" w:space="0" w:color="auto"/>
      </w:divBdr>
    </w:div>
    <w:div w:id="218440485">
      <w:bodyDiv w:val="1"/>
      <w:marLeft w:val="0"/>
      <w:marRight w:val="0"/>
      <w:marTop w:val="0"/>
      <w:marBottom w:val="0"/>
      <w:divBdr>
        <w:top w:val="none" w:sz="0" w:space="0" w:color="auto"/>
        <w:left w:val="none" w:sz="0" w:space="0" w:color="auto"/>
        <w:bottom w:val="none" w:sz="0" w:space="0" w:color="auto"/>
        <w:right w:val="none" w:sz="0" w:space="0" w:color="auto"/>
      </w:divBdr>
    </w:div>
    <w:div w:id="220485479">
      <w:bodyDiv w:val="1"/>
      <w:marLeft w:val="0"/>
      <w:marRight w:val="0"/>
      <w:marTop w:val="0"/>
      <w:marBottom w:val="0"/>
      <w:divBdr>
        <w:top w:val="none" w:sz="0" w:space="0" w:color="auto"/>
        <w:left w:val="none" w:sz="0" w:space="0" w:color="auto"/>
        <w:bottom w:val="none" w:sz="0" w:space="0" w:color="auto"/>
        <w:right w:val="none" w:sz="0" w:space="0" w:color="auto"/>
      </w:divBdr>
    </w:div>
    <w:div w:id="221453596">
      <w:bodyDiv w:val="1"/>
      <w:marLeft w:val="0"/>
      <w:marRight w:val="0"/>
      <w:marTop w:val="0"/>
      <w:marBottom w:val="0"/>
      <w:divBdr>
        <w:top w:val="none" w:sz="0" w:space="0" w:color="auto"/>
        <w:left w:val="none" w:sz="0" w:space="0" w:color="auto"/>
        <w:bottom w:val="none" w:sz="0" w:space="0" w:color="auto"/>
        <w:right w:val="none" w:sz="0" w:space="0" w:color="auto"/>
      </w:divBdr>
    </w:div>
    <w:div w:id="240141945">
      <w:bodyDiv w:val="1"/>
      <w:marLeft w:val="0"/>
      <w:marRight w:val="0"/>
      <w:marTop w:val="0"/>
      <w:marBottom w:val="0"/>
      <w:divBdr>
        <w:top w:val="none" w:sz="0" w:space="0" w:color="auto"/>
        <w:left w:val="none" w:sz="0" w:space="0" w:color="auto"/>
        <w:bottom w:val="none" w:sz="0" w:space="0" w:color="auto"/>
        <w:right w:val="none" w:sz="0" w:space="0" w:color="auto"/>
      </w:divBdr>
    </w:div>
    <w:div w:id="243614329">
      <w:bodyDiv w:val="1"/>
      <w:marLeft w:val="0"/>
      <w:marRight w:val="0"/>
      <w:marTop w:val="0"/>
      <w:marBottom w:val="0"/>
      <w:divBdr>
        <w:top w:val="none" w:sz="0" w:space="0" w:color="auto"/>
        <w:left w:val="none" w:sz="0" w:space="0" w:color="auto"/>
        <w:bottom w:val="none" w:sz="0" w:space="0" w:color="auto"/>
        <w:right w:val="none" w:sz="0" w:space="0" w:color="auto"/>
      </w:divBdr>
    </w:div>
    <w:div w:id="258101368">
      <w:bodyDiv w:val="1"/>
      <w:marLeft w:val="0"/>
      <w:marRight w:val="0"/>
      <w:marTop w:val="0"/>
      <w:marBottom w:val="0"/>
      <w:divBdr>
        <w:top w:val="none" w:sz="0" w:space="0" w:color="auto"/>
        <w:left w:val="none" w:sz="0" w:space="0" w:color="auto"/>
        <w:bottom w:val="none" w:sz="0" w:space="0" w:color="auto"/>
        <w:right w:val="none" w:sz="0" w:space="0" w:color="auto"/>
      </w:divBdr>
    </w:div>
    <w:div w:id="259606984">
      <w:bodyDiv w:val="1"/>
      <w:marLeft w:val="0"/>
      <w:marRight w:val="0"/>
      <w:marTop w:val="0"/>
      <w:marBottom w:val="0"/>
      <w:divBdr>
        <w:top w:val="none" w:sz="0" w:space="0" w:color="auto"/>
        <w:left w:val="none" w:sz="0" w:space="0" w:color="auto"/>
        <w:bottom w:val="none" w:sz="0" w:space="0" w:color="auto"/>
        <w:right w:val="none" w:sz="0" w:space="0" w:color="auto"/>
      </w:divBdr>
    </w:div>
    <w:div w:id="270555656">
      <w:bodyDiv w:val="1"/>
      <w:marLeft w:val="0"/>
      <w:marRight w:val="0"/>
      <w:marTop w:val="0"/>
      <w:marBottom w:val="0"/>
      <w:divBdr>
        <w:top w:val="none" w:sz="0" w:space="0" w:color="auto"/>
        <w:left w:val="none" w:sz="0" w:space="0" w:color="auto"/>
        <w:bottom w:val="none" w:sz="0" w:space="0" w:color="auto"/>
        <w:right w:val="none" w:sz="0" w:space="0" w:color="auto"/>
      </w:divBdr>
    </w:div>
    <w:div w:id="271597748">
      <w:bodyDiv w:val="1"/>
      <w:marLeft w:val="0"/>
      <w:marRight w:val="0"/>
      <w:marTop w:val="0"/>
      <w:marBottom w:val="0"/>
      <w:divBdr>
        <w:top w:val="none" w:sz="0" w:space="0" w:color="auto"/>
        <w:left w:val="none" w:sz="0" w:space="0" w:color="auto"/>
        <w:bottom w:val="none" w:sz="0" w:space="0" w:color="auto"/>
        <w:right w:val="none" w:sz="0" w:space="0" w:color="auto"/>
      </w:divBdr>
    </w:div>
    <w:div w:id="277762127">
      <w:bodyDiv w:val="1"/>
      <w:marLeft w:val="0"/>
      <w:marRight w:val="0"/>
      <w:marTop w:val="0"/>
      <w:marBottom w:val="0"/>
      <w:divBdr>
        <w:top w:val="none" w:sz="0" w:space="0" w:color="auto"/>
        <w:left w:val="none" w:sz="0" w:space="0" w:color="auto"/>
        <w:bottom w:val="none" w:sz="0" w:space="0" w:color="auto"/>
        <w:right w:val="none" w:sz="0" w:space="0" w:color="auto"/>
      </w:divBdr>
    </w:div>
    <w:div w:id="279841220">
      <w:bodyDiv w:val="1"/>
      <w:marLeft w:val="0"/>
      <w:marRight w:val="0"/>
      <w:marTop w:val="0"/>
      <w:marBottom w:val="0"/>
      <w:divBdr>
        <w:top w:val="none" w:sz="0" w:space="0" w:color="auto"/>
        <w:left w:val="none" w:sz="0" w:space="0" w:color="auto"/>
        <w:bottom w:val="none" w:sz="0" w:space="0" w:color="auto"/>
        <w:right w:val="none" w:sz="0" w:space="0" w:color="auto"/>
      </w:divBdr>
    </w:div>
    <w:div w:id="284964418">
      <w:bodyDiv w:val="1"/>
      <w:marLeft w:val="0"/>
      <w:marRight w:val="0"/>
      <w:marTop w:val="0"/>
      <w:marBottom w:val="0"/>
      <w:divBdr>
        <w:top w:val="none" w:sz="0" w:space="0" w:color="auto"/>
        <w:left w:val="none" w:sz="0" w:space="0" w:color="auto"/>
        <w:bottom w:val="none" w:sz="0" w:space="0" w:color="auto"/>
        <w:right w:val="none" w:sz="0" w:space="0" w:color="auto"/>
      </w:divBdr>
    </w:div>
    <w:div w:id="286086189">
      <w:bodyDiv w:val="1"/>
      <w:marLeft w:val="0"/>
      <w:marRight w:val="0"/>
      <w:marTop w:val="0"/>
      <w:marBottom w:val="0"/>
      <w:divBdr>
        <w:top w:val="none" w:sz="0" w:space="0" w:color="auto"/>
        <w:left w:val="none" w:sz="0" w:space="0" w:color="auto"/>
        <w:bottom w:val="none" w:sz="0" w:space="0" w:color="auto"/>
        <w:right w:val="none" w:sz="0" w:space="0" w:color="auto"/>
      </w:divBdr>
    </w:div>
    <w:div w:id="288438098">
      <w:bodyDiv w:val="1"/>
      <w:marLeft w:val="0"/>
      <w:marRight w:val="0"/>
      <w:marTop w:val="0"/>
      <w:marBottom w:val="0"/>
      <w:divBdr>
        <w:top w:val="none" w:sz="0" w:space="0" w:color="auto"/>
        <w:left w:val="none" w:sz="0" w:space="0" w:color="auto"/>
        <w:bottom w:val="none" w:sz="0" w:space="0" w:color="auto"/>
        <w:right w:val="none" w:sz="0" w:space="0" w:color="auto"/>
      </w:divBdr>
    </w:div>
    <w:div w:id="294065669">
      <w:bodyDiv w:val="1"/>
      <w:marLeft w:val="0"/>
      <w:marRight w:val="0"/>
      <w:marTop w:val="0"/>
      <w:marBottom w:val="0"/>
      <w:divBdr>
        <w:top w:val="none" w:sz="0" w:space="0" w:color="auto"/>
        <w:left w:val="none" w:sz="0" w:space="0" w:color="auto"/>
        <w:bottom w:val="none" w:sz="0" w:space="0" w:color="auto"/>
        <w:right w:val="none" w:sz="0" w:space="0" w:color="auto"/>
      </w:divBdr>
    </w:div>
    <w:div w:id="309336450">
      <w:bodyDiv w:val="1"/>
      <w:marLeft w:val="0"/>
      <w:marRight w:val="0"/>
      <w:marTop w:val="0"/>
      <w:marBottom w:val="0"/>
      <w:divBdr>
        <w:top w:val="none" w:sz="0" w:space="0" w:color="auto"/>
        <w:left w:val="none" w:sz="0" w:space="0" w:color="auto"/>
        <w:bottom w:val="none" w:sz="0" w:space="0" w:color="auto"/>
        <w:right w:val="none" w:sz="0" w:space="0" w:color="auto"/>
      </w:divBdr>
    </w:div>
    <w:div w:id="314647384">
      <w:bodyDiv w:val="1"/>
      <w:marLeft w:val="0"/>
      <w:marRight w:val="0"/>
      <w:marTop w:val="0"/>
      <w:marBottom w:val="0"/>
      <w:divBdr>
        <w:top w:val="none" w:sz="0" w:space="0" w:color="auto"/>
        <w:left w:val="none" w:sz="0" w:space="0" w:color="auto"/>
        <w:bottom w:val="none" w:sz="0" w:space="0" w:color="auto"/>
        <w:right w:val="none" w:sz="0" w:space="0" w:color="auto"/>
      </w:divBdr>
    </w:div>
    <w:div w:id="317271447">
      <w:bodyDiv w:val="1"/>
      <w:marLeft w:val="0"/>
      <w:marRight w:val="0"/>
      <w:marTop w:val="0"/>
      <w:marBottom w:val="0"/>
      <w:divBdr>
        <w:top w:val="none" w:sz="0" w:space="0" w:color="auto"/>
        <w:left w:val="none" w:sz="0" w:space="0" w:color="auto"/>
        <w:bottom w:val="none" w:sz="0" w:space="0" w:color="auto"/>
        <w:right w:val="none" w:sz="0" w:space="0" w:color="auto"/>
      </w:divBdr>
    </w:div>
    <w:div w:id="317618012">
      <w:bodyDiv w:val="1"/>
      <w:marLeft w:val="0"/>
      <w:marRight w:val="0"/>
      <w:marTop w:val="0"/>
      <w:marBottom w:val="0"/>
      <w:divBdr>
        <w:top w:val="none" w:sz="0" w:space="0" w:color="auto"/>
        <w:left w:val="none" w:sz="0" w:space="0" w:color="auto"/>
        <w:bottom w:val="none" w:sz="0" w:space="0" w:color="auto"/>
        <w:right w:val="none" w:sz="0" w:space="0" w:color="auto"/>
      </w:divBdr>
    </w:div>
    <w:div w:id="319430315">
      <w:bodyDiv w:val="1"/>
      <w:marLeft w:val="0"/>
      <w:marRight w:val="0"/>
      <w:marTop w:val="0"/>
      <w:marBottom w:val="0"/>
      <w:divBdr>
        <w:top w:val="none" w:sz="0" w:space="0" w:color="auto"/>
        <w:left w:val="none" w:sz="0" w:space="0" w:color="auto"/>
        <w:bottom w:val="none" w:sz="0" w:space="0" w:color="auto"/>
        <w:right w:val="none" w:sz="0" w:space="0" w:color="auto"/>
      </w:divBdr>
    </w:div>
    <w:div w:id="331371188">
      <w:bodyDiv w:val="1"/>
      <w:marLeft w:val="0"/>
      <w:marRight w:val="0"/>
      <w:marTop w:val="0"/>
      <w:marBottom w:val="0"/>
      <w:divBdr>
        <w:top w:val="none" w:sz="0" w:space="0" w:color="auto"/>
        <w:left w:val="none" w:sz="0" w:space="0" w:color="auto"/>
        <w:bottom w:val="none" w:sz="0" w:space="0" w:color="auto"/>
        <w:right w:val="none" w:sz="0" w:space="0" w:color="auto"/>
      </w:divBdr>
    </w:div>
    <w:div w:id="333726784">
      <w:bodyDiv w:val="1"/>
      <w:marLeft w:val="0"/>
      <w:marRight w:val="0"/>
      <w:marTop w:val="0"/>
      <w:marBottom w:val="0"/>
      <w:divBdr>
        <w:top w:val="none" w:sz="0" w:space="0" w:color="auto"/>
        <w:left w:val="none" w:sz="0" w:space="0" w:color="auto"/>
        <w:bottom w:val="none" w:sz="0" w:space="0" w:color="auto"/>
        <w:right w:val="none" w:sz="0" w:space="0" w:color="auto"/>
      </w:divBdr>
    </w:div>
    <w:div w:id="342055538">
      <w:bodyDiv w:val="1"/>
      <w:marLeft w:val="0"/>
      <w:marRight w:val="0"/>
      <w:marTop w:val="0"/>
      <w:marBottom w:val="0"/>
      <w:divBdr>
        <w:top w:val="none" w:sz="0" w:space="0" w:color="auto"/>
        <w:left w:val="none" w:sz="0" w:space="0" w:color="auto"/>
        <w:bottom w:val="none" w:sz="0" w:space="0" w:color="auto"/>
        <w:right w:val="none" w:sz="0" w:space="0" w:color="auto"/>
      </w:divBdr>
    </w:div>
    <w:div w:id="346642441">
      <w:bodyDiv w:val="1"/>
      <w:marLeft w:val="0"/>
      <w:marRight w:val="0"/>
      <w:marTop w:val="0"/>
      <w:marBottom w:val="0"/>
      <w:divBdr>
        <w:top w:val="none" w:sz="0" w:space="0" w:color="auto"/>
        <w:left w:val="none" w:sz="0" w:space="0" w:color="auto"/>
        <w:bottom w:val="none" w:sz="0" w:space="0" w:color="auto"/>
        <w:right w:val="none" w:sz="0" w:space="0" w:color="auto"/>
      </w:divBdr>
    </w:div>
    <w:div w:id="357971459">
      <w:bodyDiv w:val="1"/>
      <w:marLeft w:val="0"/>
      <w:marRight w:val="0"/>
      <w:marTop w:val="0"/>
      <w:marBottom w:val="0"/>
      <w:divBdr>
        <w:top w:val="none" w:sz="0" w:space="0" w:color="auto"/>
        <w:left w:val="none" w:sz="0" w:space="0" w:color="auto"/>
        <w:bottom w:val="none" w:sz="0" w:space="0" w:color="auto"/>
        <w:right w:val="none" w:sz="0" w:space="0" w:color="auto"/>
      </w:divBdr>
    </w:div>
    <w:div w:id="358816311">
      <w:bodyDiv w:val="1"/>
      <w:marLeft w:val="0"/>
      <w:marRight w:val="0"/>
      <w:marTop w:val="0"/>
      <w:marBottom w:val="0"/>
      <w:divBdr>
        <w:top w:val="none" w:sz="0" w:space="0" w:color="auto"/>
        <w:left w:val="none" w:sz="0" w:space="0" w:color="auto"/>
        <w:bottom w:val="none" w:sz="0" w:space="0" w:color="auto"/>
        <w:right w:val="none" w:sz="0" w:space="0" w:color="auto"/>
      </w:divBdr>
    </w:div>
    <w:div w:id="360865075">
      <w:bodyDiv w:val="1"/>
      <w:marLeft w:val="0"/>
      <w:marRight w:val="0"/>
      <w:marTop w:val="0"/>
      <w:marBottom w:val="0"/>
      <w:divBdr>
        <w:top w:val="none" w:sz="0" w:space="0" w:color="auto"/>
        <w:left w:val="none" w:sz="0" w:space="0" w:color="auto"/>
        <w:bottom w:val="none" w:sz="0" w:space="0" w:color="auto"/>
        <w:right w:val="none" w:sz="0" w:space="0" w:color="auto"/>
      </w:divBdr>
    </w:div>
    <w:div w:id="361326714">
      <w:bodyDiv w:val="1"/>
      <w:marLeft w:val="0"/>
      <w:marRight w:val="0"/>
      <w:marTop w:val="0"/>
      <w:marBottom w:val="0"/>
      <w:divBdr>
        <w:top w:val="none" w:sz="0" w:space="0" w:color="auto"/>
        <w:left w:val="none" w:sz="0" w:space="0" w:color="auto"/>
        <w:bottom w:val="none" w:sz="0" w:space="0" w:color="auto"/>
        <w:right w:val="none" w:sz="0" w:space="0" w:color="auto"/>
      </w:divBdr>
    </w:div>
    <w:div w:id="366681638">
      <w:bodyDiv w:val="1"/>
      <w:marLeft w:val="0"/>
      <w:marRight w:val="0"/>
      <w:marTop w:val="0"/>
      <w:marBottom w:val="0"/>
      <w:divBdr>
        <w:top w:val="none" w:sz="0" w:space="0" w:color="auto"/>
        <w:left w:val="none" w:sz="0" w:space="0" w:color="auto"/>
        <w:bottom w:val="none" w:sz="0" w:space="0" w:color="auto"/>
        <w:right w:val="none" w:sz="0" w:space="0" w:color="auto"/>
      </w:divBdr>
    </w:div>
    <w:div w:id="370888036">
      <w:bodyDiv w:val="1"/>
      <w:marLeft w:val="0"/>
      <w:marRight w:val="0"/>
      <w:marTop w:val="0"/>
      <w:marBottom w:val="0"/>
      <w:divBdr>
        <w:top w:val="none" w:sz="0" w:space="0" w:color="auto"/>
        <w:left w:val="none" w:sz="0" w:space="0" w:color="auto"/>
        <w:bottom w:val="none" w:sz="0" w:space="0" w:color="auto"/>
        <w:right w:val="none" w:sz="0" w:space="0" w:color="auto"/>
      </w:divBdr>
    </w:div>
    <w:div w:id="374937617">
      <w:bodyDiv w:val="1"/>
      <w:marLeft w:val="0"/>
      <w:marRight w:val="0"/>
      <w:marTop w:val="0"/>
      <w:marBottom w:val="0"/>
      <w:divBdr>
        <w:top w:val="none" w:sz="0" w:space="0" w:color="auto"/>
        <w:left w:val="none" w:sz="0" w:space="0" w:color="auto"/>
        <w:bottom w:val="none" w:sz="0" w:space="0" w:color="auto"/>
        <w:right w:val="none" w:sz="0" w:space="0" w:color="auto"/>
      </w:divBdr>
    </w:div>
    <w:div w:id="383068844">
      <w:bodyDiv w:val="1"/>
      <w:marLeft w:val="0"/>
      <w:marRight w:val="0"/>
      <w:marTop w:val="0"/>
      <w:marBottom w:val="0"/>
      <w:divBdr>
        <w:top w:val="none" w:sz="0" w:space="0" w:color="auto"/>
        <w:left w:val="none" w:sz="0" w:space="0" w:color="auto"/>
        <w:bottom w:val="none" w:sz="0" w:space="0" w:color="auto"/>
        <w:right w:val="none" w:sz="0" w:space="0" w:color="auto"/>
      </w:divBdr>
    </w:div>
    <w:div w:id="404844699">
      <w:bodyDiv w:val="1"/>
      <w:marLeft w:val="0"/>
      <w:marRight w:val="0"/>
      <w:marTop w:val="0"/>
      <w:marBottom w:val="0"/>
      <w:divBdr>
        <w:top w:val="none" w:sz="0" w:space="0" w:color="auto"/>
        <w:left w:val="none" w:sz="0" w:space="0" w:color="auto"/>
        <w:bottom w:val="none" w:sz="0" w:space="0" w:color="auto"/>
        <w:right w:val="none" w:sz="0" w:space="0" w:color="auto"/>
      </w:divBdr>
    </w:div>
    <w:div w:id="412046137">
      <w:bodyDiv w:val="1"/>
      <w:marLeft w:val="0"/>
      <w:marRight w:val="0"/>
      <w:marTop w:val="0"/>
      <w:marBottom w:val="0"/>
      <w:divBdr>
        <w:top w:val="none" w:sz="0" w:space="0" w:color="auto"/>
        <w:left w:val="none" w:sz="0" w:space="0" w:color="auto"/>
        <w:bottom w:val="none" w:sz="0" w:space="0" w:color="auto"/>
        <w:right w:val="none" w:sz="0" w:space="0" w:color="auto"/>
      </w:divBdr>
    </w:div>
    <w:div w:id="412973845">
      <w:bodyDiv w:val="1"/>
      <w:marLeft w:val="0"/>
      <w:marRight w:val="0"/>
      <w:marTop w:val="0"/>
      <w:marBottom w:val="0"/>
      <w:divBdr>
        <w:top w:val="none" w:sz="0" w:space="0" w:color="auto"/>
        <w:left w:val="none" w:sz="0" w:space="0" w:color="auto"/>
        <w:bottom w:val="none" w:sz="0" w:space="0" w:color="auto"/>
        <w:right w:val="none" w:sz="0" w:space="0" w:color="auto"/>
      </w:divBdr>
    </w:div>
    <w:div w:id="413555703">
      <w:bodyDiv w:val="1"/>
      <w:marLeft w:val="0"/>
      <w:marRight w:val="0"/>
      <w:marTop w:val="0"/>
      <w:marBottom w:val="0"/>
      <w:divBdr>
        <w:top w:val="none" w:sz="0" w:space="0" w:color="auto"/>
        <w:left w:val="none" w:sz="0" w:space="0" w:color="auto"/>
        <w:bottom w:val="none" w:sz="0" w:space="0" w:color="auto"/>
        <w:right w:val="none" w:sz="0" w:space="0" w:color="auto"/>
      </w:divBdr>
    </w:div>
    <w:div w:id="414711873">
      <w:bodyDiv w:val="1"/>
      <w:marLeft w:val="0"/>
      <w:marRight w:val="0"/>
      <w:marTop w:val="0"/>
      <w:marBottom w:val="0"/>
      <w:divBdr>
        <w:top w:val="none" w:sz="0" w:space="0" w:color="auto"/>
        <w:left w:val="none" w:sz="0" w:space="0" w:color="auto"/>
        <w:bottom w:val="none" w:sz="0" w:space="0" w:color="auto"/>
        <w:right w:val="none" w:sz="0" w:space="0" w:color="auto"/>
      </w:divBdr>
    </w:div>
    <w:div w:id="425002789">
      <w:bodyDiv w:val="1"/>
      <w:marLeft w:val="0"/>
      <w:marRight w:val="0"/>
      <w:marTop w:val="0"/>
      <w:marBottom w:val="0"/>
      <w:divBdr>
        <w:top w:val="none" w:sz="0" w:space="0" w:color="auto"/>
        <w:left w:val="none" w:sz="0" w:space="0" w:color="auto"/>
        <w:bottom w:val="none" w:sz="0" w:space="0" w:color="auto"/>
        <w:right w:val="none" w:sz="0" w:space="0" w:color="auto"/>
      </w:divBdr>
    </w:div>
    <w:div w:id="427506065">
      <w:bodyDiv w:val="1"/>
      <w:marLeft w:val="0"/>
      <w:marRight w:val="0"/>
      <w:marTop w:val="0"/>
      <w:marBottom w:val="0"/>
      <w:divBdr>
        <w:top w:val="none" w:sz="0" w:space="0" w:color="auto"/>
        <w:left w:val="none" w:sz="0" w:space="0" w:color="auto"/>
        <w:bottom w:val="none" w:sz="0" w:space="0" w:color="auto"/>
        <w:right w:val="none" w:sz="0" w:space="0" w:color="auto"/>
      </w:divBdr>
    </w:div>
    <w:div w:id="432093799">
      <w:bodyDiv w:val="1"/>
      <w:marLeft w:val="0"/>
      <w:marRight w:val="0"/>
      <w:marTop w:val="0"/>
      <w:marBottom w:val="0"/>
      <w:divBdr>
        <w:top w:val="none" w:sz="0" w:space="0" w:color="auto"/>
        <w:left w:val="none" w:sz="0" w:space="0" w:color="auto"/>
        <w:bottom w:val="none" w:sz="0" w:space="0" w:color="auto"/>
        <w:right w:val="none" w:sz="0" w:space="0" w:color="auto"/>
      </w:divBdr>
    </w:div>
    <w:div w:id="437218866">
      <w:bodyDiv w:val="1"/>
      <w:marLeft w:val="0"/>
      <w:marRight w:val="0"/>
      <w:marTop w:val="0"/>
      <w:marBottom w:val="0"/>
      <w:divBdr>
        <w:top w:val="none" w:sz="0" w:space="0" w:color="auto"/>
        <w:left w:val="none" w:sz="0" w:space="0" w:color="auto"/>
        <w:bottom w:val="none" w:sz="0" w:space="0" w:color="auto"/>
        <w:right w:val="none" w:sz="0" w:space="0" w:color="auto"/>
      </w:divBdr>
    </w:div>
    <w:div w:id="440421797">
      <w:bodyDiv w:val="1"/>
      <w:marLeft w:val="0"/>
      <w:marRight w:val="0"/>
      <w:marTop w:val="0"/>
      <w:marBottom w:val="0"/>
      <w:divBdr>
        <w:top w:val="none" w:sz="0" w:space="0" w:color="auto"/>
        <w:left w:val="none" w:sz="0" w:space="0" w:color="auto"/>
        <w:bottom w:val="none" w:sz="0" w:space="0" w:color="auto"/>
        <w:right w:val="none" w:sz="0" w:space="0" w:color="auto"/>
      </w:divBdr>
    </w:div>
    <w:div w:id="443308225">
      <w:bodyDiv w:val="1"/>
      <w:marLeft w:val="0"/>
      <w:marRight w:val="0"/>
      <w:marTop w:val="0"/>
      <w:marBottom w:val="0"/>
      <w:divBdr>
        <w:top w:val="none" w:sz="0" w:space="0" w:color="auto"/>
        <w:left w:val="none" w:sz="0" w:space="0" w:color="auto"/>
        <w:bottom w:val="none" w:sz="0" w:space="0" w:color="auto"/>
        <w:right w:val="none" w:sz="0" w:space="0" w:color="auto"/>
      </w:divBdr>
    </w:div>
    <w:div w:id="455563247">
      <w:bodyDiv w:val="1"/>
      <w:marLeft w:val="0"/>
      <w:marRight w:val="0"/>
      <w:marTop w:val="0"/>
      <w:marBottom w:val="0"/>
      <w:divBdr>
        <w:top w:val="none" w:sz="0" w:space="0" w:color="auto"/>
        <w:left w:val="none" w:sz="0" w:space="0" w:color="auto"/>
        <w:bottom w:val="none" w:sz="0" w:space="0" w:color="auto"/>
        <w:right w:val="none" w:sz="0" w:space="0" w:color="auto"/>
      </w:divBdr>
    </w:div>
    <w:div w:id="460657951">
      <w:bodyDiv w:val="1"/>
      <w:marLeft w:val="0"/>
      <w:marRight w:val="0"/>
      <w:marTop w:val="0"/>
      <w:marBottom w:val="0"/>
      <w:divBdr>
        <w:top w:val="none" w:sz="0" w:space="0" w:color="auto"/>
        <w:left w:val="none" w:sz="0" w:space="0" w:color="auto"/>
        <w:bottom w:val="none" w:sz="0" w:space="0" w:color="auto"/>
        <w:right w:val="none" w:sz="0" w:space="0" w:color="auto"/>
      </w:divBdr>
    </w:div>
    <w:div w:id="471604399">
      <w:bodyDiv w:val="1"/>
      <w:marLeft w:val="0"/>
      <w:marRight w:val="0"/>
      <w:marTop w:val="0"/>
      <w:marBottom w:val="0"/>
      <w:divBdr>
        <w:top w:val="none" w:sz="0" w:space="0" w:color="auto"/>
        <w:left w:val="none" w:sz="0" w:space="0" w:color="auto"/>
        <w:bottom w:val="none" w:sz="0" w:space="0" w:color="auto"/>
        <w:right w:val="none" w:sz="0" w:space="0" w:color="auto"/>
      </w:divBdr>
    </w:div>
    <w:div w:id="476649622">
      <w:bodyDiv w:val="1"/>
      <w:marLeft w:val="0"/>
      <w:marRight w:val="0"/>
      <w:marTop w:val="0"/>
      <w:marBottom w:val="0"/>
      <w:divBdr>
        <w:top w:val="none" w:sz="0" w:space="0" w:color="auto"/>
        <w:left w:val="none" w:sz="0" w:space="0" w:color="auto"/>
        <w:bottom w:val="none" w:sz="0" w:space="0" w:color="auto"/>
        <w:right w:val="none" w:sz="0" w:space="0" w:color="auto"/>
      </w:divBdr>
    </w:div>
    <w:div w:id="480851245">
      <w:bodyDiv w:val="1"/>
      <w:marLeft w:val="0"/>
      <w:marRight w:val="0"/>
      <w:marTop w:val="0"/>
      <w:marBottom w:val="0"/>
      <w:divBdr>
        <w:top w:val="none" w:sz="0" w:space="0" w:color="auto"/>
        <w:left w:val="none" w:sz="0" w:space="0" w:color="auto"/>
        <w:bottom w:val="none" w:sz="0" w:space="0" w:color="auto"/>
        <w:right w:val="none" w:sz="0" w:space="0" w:color="auto"/>
      </w:divBdr>
    </w:div>
    <w:div w:id="484468229">
      <w:bodyDiv w:val="1"/>
      <w:marLeft w:val="0"/>
      <w:marRight w:val="0"/>
      <w:marTop w:val="0"/>
      <w:marBottom w:val="0"/>
      <w:divBdr>
        <w:top w:val="none" w:sz="0" w:space="0" w:color="auto"/>
        <w:left w:val="none" w:sz="0" w:space="0" w:color="auto"/>
        <w:bottom w:val="none" w:sz="0" w:space="0" w:color="auto"/>
        <w:right w:val="none" w:sz="0" w:space="0" w:color="auto"/>
      </w:divBdr>
    </w:div>
    <w:div w:id="485241410">
      <w:bodyDiv w:val="1"/>
      <w:marLeft w:val="0"/>
      <w:marRight w:val="0"/>
      <w:marTop w:val="0"/>
      <w:marBottom w:val="0"/>
      <w:divBdr>
        <w:top w:val="none" w:sz="0" w:space="0" w:color="auto"/>
        <w:left w:val="none" w:sz="0" w:space="0" w:color="auto"/>
        <w:bottom w:val="none" w:sz="0" w:space="0" w:color="auto"/>
        <w:right w:val="none" w:sz="0" w:space="0" w:color="auto"/>
      </w:divBdr>
    </w:div>
    <w:div w:id="490996228">
      <w:bodyDiv w:val="1"/>
      <w:marLeft w:val="0"/>
      <w:marRight w:val="0"/>
      <w:marTop w:val="0"/>
      <w:marBottom w:val="0"/>
      <w:divBdr>
        <w:top w:val="none" w:sz="0" w:space="0" w:color="auto"/>
        <w:left w:val="none" w:sz="0" w:space="0" w:color="auto"/>
        <w:bottom w:val="none" w:sz="0" w:space="0" w:color="auto"/>
        <w:right w:val="none" w:sz="0" w:space="0" w:color="auto"/>
      </w:divBdr>
    </w:div>
    <w:div w:id="491220912">
      <w:bodyDiv w:val="1"/>
      <w:marLeft w:val="0"/>
      <w:marRight w:val="0"/>
      <w:marTop w:val="0"/>
      <w:marBottom w:val="0"/>
      <w:divBdr>
        <w:top w:val="none" w:sz="0" w:space="0" w:color="auto"/>
        <w:left w:val="none" w:sz="0" w:space="0" w:color="auto"/>
        <w:bottom w:val="none" w:sz="0" w:space="0" w:color="auto"/>
        <w:right w:val="none" w:sz="0" w:space="0" w:color="auto"/>
      </w:divBdr>
    </w:div>
    <w:div w:id="492526771">
      <w:bodyDiv w:val="1"/>
      <w:marLeft w:val="0"/>
      <w:marRight w:val="0"/>
      <w:marTop w:val="0"/>
      <w:marBottom w:val="0"/>
      <w:divBdr>
        <w:top w:val="none" w:sz="0" w:space="0" w:color="auto"/>
        <w:left w:val="none" w:sz="0" w:space="0" w:color="auto"/>
        <w:bottom w:val="none" w:sz="0" w:space="0" w:color="auto"/>
        <w:right w:val="none" w:sz="0" w:space="0" w:color="auto"/>
      </w:divBdr>
    </w:div>
    <w:div w:id="494346146">
      <w:bodyDiv w:val="1"/>
      <w:marLeft w:val="0"/>
      <w:marRight w:val="0"/>
      <w:marTop w:val="0"/>
      <w:marBottom w:val="0"/>
      <w:divBdr>
        <w:top w:val="none" w:sz="0" w:space="0" w:color="auto"/>
        <w:left w:val="none" w:sz="0" w:space="0" w:color="auto"/>
        <w:bottom w:val="none" w:sz="0" w:space="0" w:color="auto"/>
        <w:right w:val="none" w:sz="0" w:space="0" w:color="auto"/>
      </w:divBdr>
    </w:div>
    <w:div w:id="500774296">
      <w:bodyDiv w:val="1"/>
      <w:marLeft w:val="0"/>
      <w:marRight w:val="0"/>
      <w:marTop w:val="0"/>
      <w:marBottom w:val="0"/>
      <w:divBdr>
        <w:top w:val="none" w:sz="0" w:space="0" w:color="auto"/>
        <w:left w:val="none" w:sz="0" w:space="0" w:color="auto"/>
        <w:bottom w:val="none" w:sz="0" w:space="0" w:color="auto"/>
        <w:right w:val="none" w:sz="0" w:space="0" w:color="auto"/>
      </w:divBdr>
    </w:div>
    <w:div w:id="507404934">
      <w:bodyDiv w:val="1"/>
      <w:marLeft w:val="0"/>
      <w:marRight w:val="0"/>
      <w:marTop w:val="0"/>
      <w:marBottom w:val="0"/>
      <w:divBdr>
        <w:top w:val="none" w:sz="0" w:space="0" w:color="auto"/>
        <w:left w:val="none" w:sz="0" w:space="0" w:color="auto"/>
        <w:bottom w:val="none" w:sz="0" w:space="0" w:color="auto"/>
        <w:right w:val="none" w:sz="0" w:space="0" w:color="auto"/>
      </w:divBdr>
    </w:div>
    <w:div w:id="511065351">
      <w:bodyDiv w:val="1"/>
      <w:marLeft w:val="0"/>
      <w:marRight w:val="0"/>
      <w:marTop w:val="0"/>
      <w:marBottom w:val="0"/>
      <w:divBdr>
        <w:top w:val="none" w:sz="0" w:space="0" w:color="auto"/>
        <w:left w:val="none" w:sz="0" w:space="0" w:color="auto"/>
        <w:bottom w:val="none" w:sz="0" w:space="0" w:color="auto"/>
        <w:right w:val="none" w:sz="0" w:space="0" w:color="auto"/>
      </w:divBdr>
    </w:div>
    <w:div w:id="513766137">
      <w:bodyDiv w:val="1"/>
      <w:marLeft w:val="0"/>
      <w:marRight w:val="0"/>
      <w:marTop w:val="0"/>
      <w:marBottom w:val="0"/>
      <w:divBdr>
        <w:top w:val="none" w:sz="0" w:space="0" w:color="auto"/>
        <w:left w:val="none" w:sz="0" w:space="0" w:color="auto"/>
        <w:bottom w:val="none" w:sz="0" w:space="0" w:color="auto"/>
        <w:right w:val="none" w:sz="0" w:space="0" w:color="auto"/>
      </w:divBdr>
    </w:div>
    <w:div w:id="518549629">
      <w:bodyDiv w:val="1"/>
      <w:marLeft w:val="0"/>
      <w:marRight w:val="0"/>
      <w:marTop w:val="0"/>
      <w:marBottom w:val="0"/>
      <w:divBdr>
        <w:top w:val="none" w:sz="0" w:space="0" w:color="auto"/>
        <w:left w:val="none" w:sz="0" w:space="0" w:color="auto"/>
        <w:bottom w:val="none" w:sz="0" w:space="0" w:color="auto"/>
        <w:right w:val="none" w:sz="0" w:space="0" w:color="auto"/>
      </w:divBdr>
    </w:div>
    <w:div w:id="522204900">
      <w:bodyDiv w:val="1"/>
      <w:marLeft w:val="0"/>
      <w:marRight w:val="0"/>
      <w:marTop w:val="0"/>
      <w:marBottom w:val="0"/>
      <w:divBdr>
        <w:top w:val="none" w:sz="0" w:space="0" w:color="auto"/>
        <w:left w:val="none" w:sz="0" w:space="0" w:color="auto"/>
        <w:bottom w:val="none" w:sz="0" w:space="0" w:color="auto"/>
        <w:right w:val="none" w:sz="0" w:space="0" w:color="auto"/>
      </w:divBdr>
    </w:div>
    <w:div w:id="522716468">
      <w:bodyDiv w:val="1"/>
      <w:marLeft w:val="0"/>
      <w:marRight w:val="0"/>
      <w:marTop w:val="0"/>
      <w:marBottom w:val="0"/>
      <w:divBdr>
        <w:top w:val="none" w:sz="0" w:space="0" w:color="auto"/>
        <w:left w:val="none" w:sz="0" w:space="0" w:color="auto"/>
        <w:bottom w:val="none" w:sz="0" w:space="0" w:color="auto"/>
        <w:right w:val="none" w:sz="0" w:space="0" w:color="auto"/>
      </w:divBdr>
    </w:div>
    <w:div w:id="524563228">
      <w:bodyDiv w:val="1"/>
      <w:marLeft w:val="0"/>
      <w:marRight w:val="0"/>
      <w:marTop w:val="0"/>
      <w:marBottom w:val="0"/>
      <w:divBdr>
        <w:top w:val="none" w:sz="0" w:space="0" w:color="auto"/>
        <w:left w:val="none" w:sz="0" w:space="0" w:color="auto"/>
        <w:bottom w:val="none" w:sz="0" w:space="0" w:color="auto"/>
        <w:right w:val="none" w:sz="0" w:space="0" w:color="auto"/>
      </w:divBdr>
    </w:div>
    <w:div w:id="531960422">
      <w:bodyDiv w:val="1"/>
      <w:marLeft w:val="0"/>
      <w:marRight w:val="0"/>
      <w:marTop w:val="0"/>
      <w:marBottom w:val="0"/>
      <w:divBdr>
        <w:top w:val="none" w:sz="0" w:space="0" w:color="auto"/>
        <w:left w:val="none" w:sz="0" w:space="0" w:color="auto"/>
        <w:bottom w:val="none" w:sz="0" w:space="0" w:color="auto"/>
        <w:right w:val="none" w:sz="0" w:space="0" w:color="auto"/>
      </w:divBdr>
    </w:div>
    <w:div w:id="540097330">
      <w:bodyDiv w:val="1"/>
      <w:marLeft w:val="0"/>
      <w:marRight w:val="0"/>
      <w:marTop w:val="0"/>
      <w:marBottom w:val="0"/>
      <w:divBdr>
        <w:top w:val="none" w:sz="0" w:space="0" w:color="auto"/>
        <w:left w:val="none" w:sz="0" w:space="0" w:color="auto"/>
        <w:bottom w:val="none" w:sz="0" w:space="0" w:color="auto"/>
        <w:right w:val="none" w:sz="0" w:space="0" w:color="auto"/>
      </w:divBdr>
    </w:div>
    <w:div w:id="542599661">
      <w:bodyDiv w:val="1"/>
      <w:marLeft w:val="0"/>
      <w:marRight w:val="0"/>
      <w:marTop w:val="0"/>
      <w:marBottom w:val="0"/>
      <w:divBdr>
        <w:top w:val="none" w:sz="0" w:space="0" w:color="auto"/>
        <w:left w:val="none" w:sz="0" w:space="0" w:color="auto"/>
        <w:bottom w:val="none" w:sz="0" w:space="0" w:color="auto"/>
        <w:right w:val="none" w:sz="0" w:space="0" w:color="auto"/>
      </w:divBdr>
    </w:div>
    <w:div w:id="545676917">
      <w:bodyDiv w:val="1"/>
      <w:marLeft w:val="0"/>
      <w:marRight w:val="0"/>
      <w:marTop w:val="0"/>
      <w:marBottom w:val="0"/>
      <w:divBdr>
        <w:top w:val="none" w:sz="0" w:space="0" w:color="auto"/>
        <w:left w:val="none" w:sz="0" w:space="0" w:color="auto"/>
        <w:bottom w:val="none" w:sz="0" w:space="0" w:color="auto"/>
        <w:right w:val="none" w:sz="0" w:space="0" w:color="auto"/>
      </w:divBdr>
    </w:div>
    <w:div w:id="561716729">
      <w:bodyDiv w:val="1"/>
      <w:marLeft w:val="0"/>
      <w:marRight w:val="0"/>
      <w:marTop w:val="0"/>
      <w:marBottom w:val="0"/>
      <w:divBdr>
        <w:top w:val="none" w:sz="0" w:space="0" w:color="auto"/>
        <w:left w:val="none" w:sz="0" w:space="0" w:color="auto"/>
        <w:bottom w:val="none" w:sz="0" w:space="0" w:color="auto"/>
        <w:right w:val="none" w:sz="0" w:space="0" w:color="auto"/>
      </w:divBdr>
    </w:div>
    <w:div w:id="583296631">
      <w:bodyDiv w:val="1"/>
      <w:marLeft w:val="0"/>
      <w:marRight w:val="0"/>
      <w:marTop w:val="0"/>
      <w:marBottom w:val="0"/>
      <w:divBdr>
        <w:top w:val="none" w:sz="0" w:space="0" w:color="auto"/>
        <w:left w:val="none" w:sz="0" w:space="0" w:color="auto"/>
        <w:bottom w:val="none" w:sz="0" w:space="0" w:color="auto"/>
        <w:right w:val="none" w:sz="0" w:space="0" w:color="auto"/>
      </w:divBdr>
    </w:div>
    <w:div w:id="588583951">
      <w:bodyDiv w:val="1"/>
      <w:marLeft w:val="0"/>
      <w:marRight w:val="0"/>
      <w:marTop w:val="0"/>
      <w:marBottom w:val="0"/>
      <w:divBdr>
        <w:top w:val="none" w:sz="0" w:space="0" w:color="auto"/>
        <w:left w:val="none" w:sz="0" w:space="0" w:color="auto"/>
        <w:bottom w:val="none" w:sz="0" w:space="0" w:color="auto"/>
        <w:right w:val="none" w:sz="0" w:space="0" w:color="auto"/>
      </w:divBdr>
    </w:div>
    <w:div w:id="592982359">
      <w:bodyDiv w:val="1"/>
      <w:marLeft w:val="0"/>
      <w:marRight w:val="0"/>
      <w:marTop w:val="0"/>
      <w:marBottom w:val="0"/>
      <w:divBdr>
        <w:top w:val="none" w:sz="0" w:space="0" w:color="auto"/>
        <w:left w:val="none" w:sz="0" w:space="0" w:color="auto"/>
        <w:bottom w:val="none" w:sz="0" w:space="0" w:color="auto"/>
        <w:right w:val="none" w:sz="0" w:space="0" w:color="auto"/>
      </w:divBdr>
    </w:div>
    <w:div w:id="596642914">
      <w:bodyDiv w:val="1"/>
      <w:marLeft w:val="0"/>
      <w:marRight w:val="0"/>
      <w:marTop w:val="0"/>
      <w:marBottom w:val="0"/>
      <w:divBdr>
        <w:top w:val="none" w:sz="0" w:space="0" w:color="auto"/>
        <w:left w:val="none" w:sz="0" w:space="0" w:color="auto"/>
        <w:bottom w:val="none" w:sz="0" w:space="0" w:color="auto"/>
        <w:right w:val="none" w:sz="0" w:space="0" w:color="auto"/>
      </w:divBdr>
    </w:div>
    <w:div w:id="597448534">
      <w:bodyDiv w:val="1"/>
      <w:marLeft w:val="0"/>
      <w:marRight w:val="0"/>
      <w:marTop w:val="0"/>
      <w:marBottom w:val="0"/>
      <w:divBdr>
        <w:top w:val="none" w:sz="0" w:space="0" w:color="auto"/>
        <w:left w:val="none" w:sz="0" w:space="0" w:color="auto"/>
        <w:bottom w:val="none" w:sz="0" w:space="0" w:color="auto"/>
        <w:right w:val="none" w:sz="0" w:space="0" w:color="auto"/>
      </w:divBdr>
    </w:div>
    <w:div w:id="602156027">
      <w:bodyDiv w:val="1"/>
      <w:marLeft w:val="0"/>
      <w:marRight w:val="0"/>
      <w:marTop w:val="0"/>
      <w:marBottom w:val="0"/>
      <w:divBdr>
        <w:top w:val="none" w:sz="0" w:space="0" w:color="auto"/>
        <w:left w:val="none" w:sz="0" w:space="0" w:color="auto"/>
        <w:bottom w:val="none" w:sz="0" w:space="0" w:color="auto"/>
        <w:right w:val="none" w:sz="0" w:space="0" w:color="auto"/>
      </w:divBdr>
    </w:div>
    <w:div w:id="608123265">
      <w:bodyDiv w:val="1"/>
      <w:marLeft w:val="0"/>
      <w:marRight w:val="0"/>
      <w:marTop w:val="0"/>
      <w:marBottom w:val="0"/>
      <w:divBdr>
        <w:top w:val="none" w:sz="0" w:space="0" w:color="auto"/>
        <w:left w:val="none" w:sz="0" w:space="0" w:color="auto"/>
        <w:bottom w:val="none" w:sz="0" w:space="0" w:color="auto"/>
        <w:right w:val="none" w:sz="0" w:space="0" w:color="auto"/>
      </w:divBdr>
    </w:div>
    <w:div w:id="608859928">
      <w:bodyDiv w:val="1"/>
      <w:marLeft w:val="0"/>
      <w:marRight w:val="0"/>
      <w:marTop w:val="0"/>
      <w:marBottom w:val="0"/>
      <w:divBdr>
        <w:top w:val="none" w:sz="0" w:space="0" w:color="auto"/>
        <w:left w:val="none" w:sz="0" w:space="0" w:color="auto"/>
        <w:bottom w:val="none" w:sz="0" w:space="0" w:color="auto"/>
        <w:right w:val="none" w:sz="0" w:space="0" w:color="auto"/>
      </w:divBdr>
    </w:div>
    <w:div w:id="619609248">
      <w:bodyDiv w:val="1"/>
      <w:marLeft w:val="0"/>
      <w:marRight w:val="0"/>
      <w:marTop w:val="0"/>
      <w:marBottom w:val="0"/>
      <w:divBdr>
        <w:top w:val="none" w:sz="0" w:space="0" w:color="auto"/>
        <w:left w:val="none" w:sz="0" w:space="0" w:color="auto"/>
        <w:bottom w:val="none" w:sz="0" w:space="0" w:color="auto"/>
        <w:right w:val="none" w:sz="0" w:space="0" w:color="auto"/>
      </w:divBdr>
    </w:div>
    <w:div w:id="620697019">
      <w:bodyDiv w:val="1"/>
      <w:marLeft w:val="0"/>
      <w:marRight w:val="0"/>
      <w:marTop w:val="0"/>
      <w:marBottom w:val="0"/>
      <w:divBdr>
        <w:top w:val="none" w:sz="0" w:space="0" w:color="auto"/>
        <w:left w:val="none" w:sz="0" w:space="0" w:color="auto"/>
        <w:bottom w:val="none" w:sz="0" w:space="0" w:color="auto"/>
        <w:right w:val="none" w:sz="0" w:space="0" w:color="auto"/>
      </w:divBdr>
    </w:div>
    <w:div w:id="623269627">
      <w:bodyDiv w:val="1"/>
      <w:marLeft w:val="0"/>
      <w:marRight w:val="0"/>
      <w:marTop w:val="0"/>
      <w:marBottom w:val="0"/>
      <w:divBdr>
        <w:top w:val="none" w:sz="0" w:space="0" w:color="auto"/>
        <w:left w:val="none" w:sz="0" w:space="0" w:color="auto"/>
        <w:bottom w:val="none" w:sz="0" w:space="0" w:color="auto"/>
        <w:right w:val="none" w:sz="0" w:space="0" w:color="auto"/>
      </w:divBdr>
    </w:div>
    <w:div w:id="639843002">
      <w:bodyDiv w:val="1"/>
      <w:marLeft w:val="0"/>
      <w:marRight w:val="0"/>
      <w:marTop w:val="0"/>
      <w:marBottom w:val="0"/>
      <w:divBdr>
        <w:top w:val="none" w:sz="0" w:space="0" w:color="auto"/>
        <w:left w:val="none" w:sz="0" w:space="0" w:color="auto"/>
        <w:bottom w:val="none" w:sz="0" w:space="0" w:color="auto"/>
        <w:right w:val="none" w:sz="0" w:space="0" w:color="auto"/>
      </w:divBdr>
    </w:div>
    <w:div w:id="640497172">
      <w:bodyDiv w:val="1"/>
      <w:marLeft w:val="0"/>
      <w:marRight w:val="0"/>
      <w:marTop w:val="0"/>
      <w:marBottom w:val="0"/>
      <w:divBdr>
        <w:top w:val="none" w:sz="0" w:space="0" w:color="auto"/>
        <w:left w:val="none" w:sz="0" w:space="0" w:color="auto"/>
        <w:bottom w:val="none" w:sz="0" w:space="0" w:color="auto"/>
        <w:right w:val="none" w:sz="0" w:space="0" w:color="auto"/>
      </w:divBdr>
    </w:div>
    <w:div w:id="653876103">
      <w:bodyDiv w:val="1"/>
      <w:marLeft w:val="0"/>
      <w:marRight w:val="0"/>
      <w:marTop w:val="0"/>
      <w:marBottom w:val="0"/>
      <w:divBdr>
        <w:top w:val="none" w:sz="0" w:space="0" w:color="auto"/>
        <w:left w:val="none" w:sz="0" w:space="0" w:color="auto"/>
        <w:bottom w:val="none" w:sz="0" w:space="0" w:color="auto"/>
        <w:right w:val="none" w:sz="0" w:space="0" w:color="auto"/>
      </w:divBdr>
    </w:div>
    <w:div w:id="667052457">
      <w:bodyDiv w:val="1"/>
      <w:marLeft w:val="0"/>
      <w:marRight w:val="0"/>
      <w:marTop w:val="0"/>
      <w:marBottom w:val="0"/>
      <w:divBdr>
        <w:top w:val="none" w:sz="0" w:space="0" w:color="auto"/>
        <w:left w:val="none" w:sz="0" w:space="0" w:color="auto"/>
        <w:bottom w:val="none" w:sz="0" w:space="0" w:color="auto"/>
        <w:right w:val="none" w:sz="0" w:space="0" w:color="auto"/>
      </w:divBdr>
    </w:div>
    <w:div w:id="673651139">
      <w:bodyDiv w:val="1"/>
      <w:marLeft w:val="0"/>
      <w:marRight w:val="0"/>
      <w:marTop w:val="0"/>
      <w:marBottom w:val="0"/>
      <w:divBdr>
        <w:top w:val="none" w:sz="0" w:space="0" w:color="auto"/>
        <w:left w:val="none" w:sz="0" w:space="0" w:color="auto"/>
        <w:bottom w:val="none" w:sz="0" w:space="0" w:color="auto"/>
        <w:right w:val="none" w:sz="0" w:space="0" w:color="auto"/>
      </w:divBdr>
    </w:div>
    <w:div w:id="674696114">
      <w:bodyDiv w:val="1"/>
      <w:marLeft w:val="0"/>
      <w:marRight w:val="0"/>
      <w:marTop w:val="0"/>
      <w:marBottom w:val="0"/>
      <w:divBdr>
        <w:top w:val="none" w:sz="0" w:space="0" w:color="auto"/>
        <w:left w:val="none" w:sz="0" w:space="0" w:color="auto"/>
        <w:bottom w:val="none" w:sz="0" w:space="0" w:color="auto"/>
        <w:right w:val="none" w:sz="0" w:space="0" w:color="auto"/>
      </w:divBdr>
    </w:div>
    <w:div w:id="675110209">
      <w:bodyDiv w:val="1"/>
      <w:marLeft w:val="0"/>
      <w:marRight w:val="0"/>
      <w:marTop w:val="0"/>
      <w:marBottom w:val="0"/>
      <w:divBdr>
        <w:top w:val="none" w:sz="0" w:space="0" w:color="auto"/>
        <w:left w:val="none" w:sz="0" w:space="0" w:color="auto"/>
        <w:bottom w:val="none" w:sz="0" w:space="0" w:color="auto"/>
        <w:right w:val="none" w:sz="0" w:space="0" w:color="auto"/>
      </w:divBdr>
    </w:div>
    <w:div w:id="675572456">
      <w:bodyDiv w:val="1"/>
      <w:marLeft w:val="0"/>
      <w:marRight w:val="0"/>
      <w:marTop w:val="0"/>
      <w:marBottom w:val="0"/>
      <w:divBdr>
        <w:top w:val="none" w:sz="0" w:space="0" w:color="auto"/>
        <w:left w:val="none" w:sz="0" w:space="0" w:color="auto"/>
        <w:bottom w:val="none" w:sz="0" w:space="0" w:color="auto"/>
        <w:right w:val="none" w:sz="0" w:space="0" w:color="auto"/>
      </w:divBdr>
    </w:div>
    <w:div w:id="680396965">
      <w:bodyDiv w:val="1"/>
      <w:marLeft w:val="0"/>
      <w:marRight w:val="0"/>
      <w:marTop w:val="0"/>
      <w:marBottom w:val="0"/>
      <w:divBdr>
        <w:top w:val="none" w:sz="0" w:space="0" w:color="auto"/>
        <w:left w:val="none" w:sz="0" w:space="0" w:color="auto"/>
        <w:bottom w:val="none" w:sz="0" w:space="0" w:color="auto"/>
        <w:right w:val="none" w:sz="0" w:space="0" w:color="auto"/>
      </w:divBdr>
    </w:div>
    <w:div w:id="684674109">
      <w:bodyDiv w:val="1"/>
      <w:marLeft w:val="0"/>
      <w:marRight w:val="0"/>
      <w:marTop w:val="0"/>
      <w:marBottom w:val="0"/>
      <w:divBdr>
        <w:top w:val="none" w:sz="0" w:space="0" w:color="auto"/>
        <w:left w:val="none" w:sz="0" w:space="0" w:color="auto"/>
        <w:bottom w:val="none" w:sz="0" w:space="0" w:color="auto"/>
        <w:right w:val="none" w:sz="0" w:space="0" w:color="auto"/>
      </w:divBdr>
    </w:div>
    <w:div w:id="684746076">
      <w:bodyDiv w:val="1"/>
      <w:marLeft w:val="0"/>
      <w:marRight w:val="0"/>
      <w:marTop w:val="0"/>
      <w:marBottom w:val="0"/>
      <w:divBdr>
        <w:top w:val="none" w:sz="0" w:space="0" w:color="auto"/>
        <w:left w:val="none" w:sz="0" w:space="0" w:color="auto"/>
        <w:bottom w:val="none" w:sz="0" w:space="0" w:color="auto"/>
        <w:right w:val="none" w:sz="0" w:space="0" w:color="auto"/>
      </w:divBdr>
    </w:div>
    <w:div w:id="685980665">
      <w:bodyDiv w:val="1"/>
      <w:marLeft w:val="0"/>
      <w:marRight w:val="0"/>
      <w:marTop w:val="0"/>
      <w:marBottom w:val="0"/>
      <w:divBdr>
        <w:top w:val="none" w:sz="0" w:space="0" w:color="auto"/>
        <w:left w:val="none" w:sz="0" w:space="0" w:color="auto"/>
        <w:bottom w:val="none" w:sz="0" w:space="0" w:color="auto"/>
        <w:right w:val="none" w:sz="0" w:space="0" w:color="auto"/>
      </w:divBdr>
    </w:div>
    <w:div w:id="692807867">
      <w:bodyDiv w:val="1"/>
      <w:marLeft w:val="0"/>
      <w:marRight w:val="0"/>
      <w:marTop w:val="0"/>
      <w:marBottom w:val="0"/>
      <w:divBdr>
        <w:top w:val="none" w:sz="0" w:space="0" w:color="auto"/>
        <w:left w:val="none" w:sz="0" w:space="0" w:color="auto"/>
        <w:bottom w:val="none" w:sz="0" w:space="0" w:color="auto"/>
        <w:right w:val="none" w:sz="0" w:space="0" w:color="auto"/>
      </w:divBdr>
    </w:div>
    <w:div w:id="697780296">
      <w:bodyDiv w:val="1"/>
      <w:marLeft w:val="0"/>
      <w:marRight w:val="0"/>
      <w:marTop w:val="0"/>
      <w:marBottom w:val="0"/>
      <w:divBdr>
        <w:top w:val="none" w:sz="0" w:space="0" w:color="auto"/>
        <w:left w:val="none" w:sz="0" w:space="0" w:color="auto"/>
        <w:bottom w:val="none" w:sz="0" w:space="0" w:color="auto"/>
        <w:right w:val="none" w:sz="0" w:space="0" w:color="auto"/>
      </w:divBdr>
    </w:div>
    <w:div w:id="700253434">
      <w:bodyDiv w:val="1"/>
      <w:marLeft w:val="0"/>
      <w:marRight w:val="0"/>
      <w:marTop w:val="0"/>
      <w:marBottom w:val="0"/>
      <w:divBdr>
        <w:top w:val="none" w:sz="0" w:space="0" w:color="auto"/>
        <w:left w:val="none" w:sz="0" w:space="0" w:color="auto"/>
        <w:bottom w:val="none" w:sz="0" w:space="0" w:color="auto"/>
        <w:right w:val="none" w:sz="0" w:space="0" w:color="auto"/>
      </w:divBdr>
    </w:div>
    <w:div w:id="711537225">
      <w:bodyDiv w:val="1"/>
      <w:marLeft w:val="0"/>
      <w:marRight w:val="0"/>
      <w:marTop w:val="0"/>
      <w:marBottom w:val="0"/>
      <w:divBdr>
        <w:top w:val="none" w:sz="0" w:space="0" w:color="auto"/>
        <w:left w:val="none" w:sz="0" w:space="0" w:color="auto"/>
        <w:bottom w:val="none" w:sz="0" w:space="0" w:color="auto"/>
        <w:right w:val="none" w:sz="0" w:space="0" w:color="auto"/>
      </w:divBdr>
    </w:div>
    <w:div w:id="715617348">
      <w:bodyDiv w:val="1"/>
      <w:marLeft w:val="0"/>
      <w:marRight w:val="0"/>
      <w:marTop w:val="0"/>
      <w:marBottom w:val="0"/>
      <w:divBdr>
        <w:top w:val="none" w:sz="0" w:space="0" w:color="auto"/>
        <w:left w:val="none" w:sz="0" w:space="0" w:color="auto"/>
        <w:bottom w:val="none" w:sz="0" w:space="0" w:color="auto"/>
        <w:right w:val="none" w:sz="0" w:space="0" w:color="auto"/>
      </w:divBdr>
    </w:div>
    <w:div w:id="715852443">
      <w:bodyDiv w:val="1"/>
      <w:marLeft w:val="0"/>
      <w:marRight w:val="0"/>
      <w:marTop w:val="0"/>
      <w:marBottom w:val="0"/>
      <w:divBdr>
        <w:top w:val="none" w:sz="0" w:space="0" w:color="auto"/>
        <w:left w:val="none" w:sz="0" w:space="0" w:color="auto"/>
        <w:bottom w:val="none" w:sz="0" w:space="0" w:color="auto"/>
        <w:right w:val="none" w:sz="0" w:space="0" w:color="auto"/>
      </w:divBdr>
    </w:div>
    <w:div w:id="716591319">
      <w:bodyDiv w:val="1"/>
      <w:marLeft w:val="0"/>
      <w:marRight w:val="0"/>
      <w:marTop w:val="0"/>
      <w:marBottom w:val="0"/>
      <w:divBdr>
        <w:top w:val="none" w:sz="0" w:space="0" w:color="auto"/>
        <w:left w:val="none" w:sz="0" w:space="0" w:color="auto"/>
        <w:bottom w:val="none" w:sz="0" w:space="0" w:color="auto"/>
        <w:right w:val="none" w:sz="0" w:space="0" w:color="auto"/>
      </w:divBdr>
    </w:div>
    <w:div w:id="720784426">
      <w:bodyDiv w:val="1"/>
      <w:marLeft w:val="0"/>
      <w:marRight w:val="0"/>
      <w:marTop w:val="0"/>
      <w:marBottom w:val="0"/>
      <w:divBdr>
        <w:top w:val="none" w:sz="0" w:space="0" w:color="auto"/>
        <w:left w:val="none" w:sz="0" w:space="0" w:color="auto"/>
        <w:bottom w:val="none" w:sz="0" w:space="0" w:color="auto"/>
        <w:right w:val="none" w:sz="0" w:space="0" w:color="auto"/>
      </w:divBdr>
    </w:div>
    <w:div w:id="723601252">
      <w:bodyDiv w:val="1"/>
      <w:marLeft w:val="0"/>
      <w:marRight w:val="0"/>
      <w:marTop w:val="0"/>
      <w:marBottom w:val="0"/>
      <w:divBdr>
        <w:top w:val="none" w:sz="0" w:space="0" w:color="auto"/>
        <w:left w:val="none" w:sz="0" w:space="0" w:color="auto"/>
        <w:bottom w:val="none" w:sz="0" w:space="0" w:color="auto"/>
        <w:right w:val="none" w:sz="0" w:space="0" w:color="auto"/>
      </w:divBdr>
    </w:div>
    <w:div w:id="729234560">
      <w:bodyDiv w:val="1"/>
      <w:marLeft w:val="0"/>
      <w:marRight w:val="0"/>
      <w:marTop w:val="0"/>
      <w:marBottom w:val="0"/>
      <w:divBdr>
        <w:top w:val="none" w:sz="0" w:space="0" w:color="auto"/>
        <w:left w:val="none" w:sz="0" w:space="0" w:color="auto"/>
        <w:bottom w:val="none" w:sz="0" w:space="0" w:color="auto"/>
        <w:right w:val="none" w:sz="0" w:space="0" w:color="auto"/>
      </w:divBdr>
    </w:div>
    <w:div w:id="735710924">
      <w:bodyDiv w:val="1"/>
      <w:marLeft w:val="0"/>
      <w:marRight w:val="0"/>
      <w:marTop w:val="0"/>
      <w:marBottom w:val="0"/>
      <w:divBdr>
        <w:top w:val="none" w:sz="0" w:space="0" w:color="auto"/>
        <w:left w:val="none" w:sz="0" w:space="0" w:color="auto"/>
        <w:bottom w:val="none" w:sz="0" w:space="0" w:color="auto"/>
        <w:right w:val="none" w:sz="0" w:space="0" w:color="auto"/>
      </w:divBdr>
    </w:div>
    <w:div w:id="748427547">
      <w:bodyDiv w:val="1"/>
      <w:marLeft w:val="0"/>
      <w:marRight w:val="0"/>
      <w:marTop w:val="0"/>
      <w:marBottom w:val="0"/>
      <w:divBdr>
        <w:top w:val="none" w:sz="0" w:space="0" w:color="auto"/>
        <w:left w:val="none" w:sz="0" w:space="0" w:color="auto"/>
        <w:bottom w:val="none" w:sz="0" w:space="0" w:color="auto"/>
        <w:right w:val="none" w:sz="0" w:space="0" w:color="auto"/>
      </w:divBdr>
    </w:div>
    <w:div w:id="749544949">
      <w:bodyDiv w:val="1"/>
      <w:marLeft w:val="0"/>
      <w:marRight w:val="0"/>
      <w:marTop w:val="0"/>
      <w:marBottom w:val="0"/>
      <w:divBdr>
        <w:top w:val="none" w:sz="0" w:space="0" w:color="auto"/>
        <w:left w:val="none" w:sz="0" w:space="0" w:color="auto"/>
        <w:bottom w:val="none" w:sz="0" w:space="0" w:color="auto"/>
        <w:right w:val="none" w:sz="0" w:space="0" w:color="auto"/>
      </w:divBdr>
    </w:div>
    <w:div w:id="762266607">
      <w:bodyDiv w:val="1"/>
      <w:marLeft w:val="0"/>
      <w:marRight w:val="0"/>
      <w:marTop w:val="0"/>
      <w:marBottom w:val="0"/>
      <w:divBdr>
        <w:top w:val="none" w:sz="0" w:space="0" w:color="auto"/>
        <w:left w:val="none" w:sz="0" w:space="0" w:color="auto"/>
        <w:bottom w:val="none" w:sz="0" w:space="0" w:color="auto"/>
        <w:right w:val="none" w:sz="0" w:space="0" w:color="auto"/>
      </w:divBdr>
    </w:div>
    <w:div w:id="789859088">
      <w:bodyDiv w:val="1"/>
      <w:marLeft w:val="0"/>
      <w:marRight w:val="0"/>
      <w:marTop w:val="0"/>
      <w:marBottom w:val="0"/>
      <w:divBdr>
        <w:top w:val="none" w:sz="0" w:space="0" w:color="auto"/>
        <w:left w:val="none" w:sz="0" w:space="0" w:color="auto"/>
        <w:bottom w:val="none" w:sz="0" w:space="0" w:color="auto"/>
        <w:right w:val="none" w:sz="0" w:space="0" w:color="auto"/>
      </w:divBdr>
    </w:div>
    <w:div w:id="793719206">
      <w:bodyDiv w:val="1"/>
      <w:marLeft w:val="0"/>
      <w:marRight w:val="0"/>
      <w:marTop w:val="0"/>
      <w:marBottom w:val="0"/>
      <w:divBdr>
        <w:top w:val="none" w:sz="0" w:space="0" w:color="auto"/>
        <w:left w:val="none" w:sz="0" w:space="0" w:color="auto"/>
        <w:bottom w:val="none" w:sz="0" w:space="0" w:color="auto"/>
        <w:right w:val="none" w:sz="0" w:space="0" w:color="auto"/>
      </w:divBdr>
    </w:div>
    <w:div w:id="795293424">
      <w:bodyDiv w:val="1"/>
      <w:marLeft w:val="0"/>
      <w:marRight w:val="0"/>
      <w:marTop w:val="0"/>
      <w:marBottom w:val="0"/>
      <w:divBdr>
        <w:top w:val="none" w:sz="0" w:space="0" w:color="auto"/>
        <w:left w:val="none" w:sz="0" w:space="0" w:color="auto"/>
        <w:bottom w:val="none" w:sz="0" w:space="0" w:color="auto"/>
        <w:right w:val="none" w:sz="0" w:space="0" w:color="auto"/>
      </w:divBdr>
    </w:div>
    <w:div w:id="803040771">
      <w:bodyDiv w:val="1"/>
      <w:marLeft w:val="0"/>
      <w:marRight w:val="0"/>
      <w:marTop w:val="0"/>
      <w:marBottom w:val="0"/>
      <w:divBdr>
        <w:top w:val="none" w:sz="0" w:space="0" w:color="auto"/>
        <w:left w:val="none" w:sz="0" w:space="0" w:color="auto"/>
        <w:bottom w:val="none" w:sz="0" w:space="0" w:color="auto"/>
        <w:right w:val="none" w:sz="0" w:space="0" w:color="auto"/>
      </w:divBdr>
    </w:div>
    <w:div w:id="803162103">
      <w:bodyDiv w:val="1"/>
      <w:marLeft w:val="0"/>
      <w:marRight w:val="0"/>
      <w:marTop w:val="0"/>
      <w:marBottom w:val="0"/>
      <w:divBdr>
        <w:top w:val="none" w:sz="0" w:space="0" w:color="auto"/>
        <w:left w:val="none" w:sz="0" w:space="0" w:color="auto"/>
        <w:bottom w:val="none" w:sz="0" w:space="0" w:color="auto"/>
        <w:right w:val="none" w:sz="0" w:space="0" w:color="auto"/>
      </w:divBdr>
    </w:div>
    <w:div w:id="805658022">
      <w:bodyDiv w:val="1"/>
      <w:marLeft w:val="0"/>
      <w:marRight w:val="0"/>
      <w:marTop w:val="0"/>
      <w:marBottom w:val="0"/>
      <w:divBdr>
        <w:top w:val="none" w:sz="0" w:space="0" w:color="auto"/>
        <w:left w:val="none" w:sz="0" w:space="0" w:color="auto"/>
        <w:bottom w:val="none" w:sz="0" w:space="0" w:color="auto"/>
        <w:right w:val="none" w:sz="0" w:space="0" w:color="auto"/>
      </w:divBdr>
    </w:div>
    <w:div w:id="807749685">
      <w:bodyDiv w:val="1"/>
      <w:marLeft w:val="0"/>
      <w:marRight w:val="0"/>
      <w:marTop w:val="0"/>
      <w:marBottom w:val="0"/>
      <w:divBdr>
        <w:top w:val="none" w:sz="0" w:space="0" w:color="auto"/>
        <w:left w:val="none" w:sz="0" w:space="0" w:color="auto"/>
        <w:bottom w:val="none" w:sz="0" w:space="0" w:color="auto"/>
        <w:right w:val="none" w:sz="0" w:space="0" w:color="auto"/>
      </w:divBdr>
    </w:div>
    <w:div w:id="812600197">
      <w:bodyDiv w:val="1"/>
      <w:marLeft w:val="0"/>
      <w:marRight w:val="0"/>
      <w:marTop w:val="0"/>
      <w:marBottom w:val="0"/>
      <w:divBdr>
        <w:top w:val="none" w:sz="0" w:space="0" w:color="auto"/>
        <w:left w:val="none" w:sz="0" w:space="0" w:color="auto"/>
        <w:bottom w:val="none" w:sz="0" w:space="0" w:color="auto"/>
        <w:right w:val="none" w:sz="0" w:space="0" w:color="auto"/>
      </w:divBdr>
    </w:div>
    <w:div w:id="821393170">
      <w:bodyDiv w:val="1"/>
      <w:marLeft w:val="0"/>
      <w:marRight w:val="0"/>
      <w:marTop w:val="0"/>
      <w:marBottom w:val="0"/>
      <w:divBdr>
        <w:top w:val="none" w:sz="0" w:space="0" w:color="auto"/>
        <w:left w:val="none" w:sz="0" w:space="0" w:color="auto"/>
        <w:bottom w:val="none" w:sz="0" w:space="0" w:color="auto"/>
        <w:right w:val="none" w:sz="0" w:space="0" w:color="auto"/>
      </w:divBdr>
    </w:div>
    <w:div w:id="827790487">
      <w:bodyDiv w:val="1"/>
      <w:marLeft w:val="0"/>
      <w:marRight w:val="0"/>
      <w:marTop w:val="0"/>
      <w:marBottom w:val="0"/>
      <w:divBdr>
        <w:top w:val="none" w:sz="0" w:space="0" w:color="auto"/>
        <w:left w:val="none" w:sz="0" w:space="0" w:color="auto"/>
        <w:bottom w:val="none" w:sz="0" w:space="0" w:color="auto"/>
        <w:right w:val="none" w:sz="0" w:space="0" w:color="auto"/>
      </w:divBdr>
    </w:div>
    <w:div w:id="828594330">
      <w:bodyDiv w:val="1"/>
      <w:marLeft w:val="0"/>
      <w:marRight w:val="0"/>
      <w:marTop w:val="0"/>
      <w:marBottom w:val="0"/>
      <w:divBdr>
        <w:top w:val="none" w:sz="0" w:space="0" w:color="auto"/>
        <w:left w:val="none" w:sz="0" w:space="0" w:color="auto"/>
        <w:bottom w:val="none" w:sz="0" w:space="0" w:color="auto"/>
        <w:right w:val="none" w:sz="0" w:space="0" w:color="auto"/>
      </w:divBdr>
    </w:div>
    <w:div w:id="831680727">
      <w:bodyDiv w:val="1"/>
      <w:marLeft w:val="0"/>
      <w:marRight w:val="0"/>
      <w:marTop w:val="0"/>
      <w:marBottom w:val="0"/>
      <w:divBdr>
        <w:top w:val="none" w:sz="0" w:space="0" w:color="auto"/>
        <w:left w:val="none" w:sz="0" w:space="0" w:color="auto"/>
        <w:bottom w:val="none" w:sz="0" w:space="0" w:color="auto"/>
        <w:right w:val="none" w:sz="0" w:space="0" w:color="auto"/>
      </w:divBdr>
    </w:div>
    <w:div w:id="836923209">
      <w:bodyDiv w:val="1"/>
      <w:marLeft w:val="0"/>
      <w:marRight w:val="0"/>
      <w:marTop w:val="0"/>
      <w:marBottom w:val="0"/>
      <w:divBdr>
        <w:top w:val="none" w:sz="0" w:space="0" w:color="auto"/>
        <w:left w:val="none" w:sz="0" w:space="0" w:color="auto"/>
        <w:bottom w:val="none" w:sz="0" w:space="0" w:color="auto"/>
        <w:right w:val="none" w:sz="0" w:space="0" w:color="auto"/>
      </w:divBdr>
    </w:div>
    <w:div w:id="837385743">
      <w:bodyDiv w:val="1"/>
      <w:marLeft w:val="0"/>
      <w:marRight w:val="0"/>
      <w:marTop w:val="0"/>
      <w:marBottom w:val="0"/>
      <w:divBdr>
        <w:top w:val="none" w:sz="0" w:space="0" w:color="auto"/>
        <w:left w:val="none" w:sz="0" w:space="0" w:color="auto"/>
        <w:bottom w:val="none" w:sz="0" w:space="0" w:color="auto"/>
        <w:right w:val="none" w:sz="0" w:space="0" w:color="auto"/>
      </w:divBdr>
    </w:div>
    <w:div w:id="839975278">
      <w:bodyDiv w:val="1"/>
      <w:marLeft w:val="0"/>
      <w:marRight w:val="0"/>
      <w:marTop w:val="0"/>
      <w:marBottom w:val="0"/>
      <w:divBdr>
        <w:top w:val="none" w:sz="0" w:space="0" w:color="auto"/>
        <w:left w:val="none" w:sz="0" w:space="0" w:color="auto"/>
        <w:bottom w:val="none" w:sz="0" w:space="0" w:color="auto"/>
        <w:right w:val="none" w:sz="0" w:space="0" w:color="auto"/>
      </w:divBdr>
    </w:div>
    <w:div w:id="848789459">
      <w:bodyDiv w:val="1"/>
      <w:marLeft w:val="0"/>
      <w:marRight w:val="0"/>
      <w:marTop w:val="0"/>
      <w:marBottom w:val="0"/>
      <w:divBdr>
        <w:top w:val="none" w:sz="0" w:space="0" w:color="auto"/>
        <w:left w:val="none" w:sz="0" w:space="0" w:color="auto"/>
        <w:bottom w:val="none" w:sz="0" w:space="0" w:color="auto"/>
        <w:right w:val="none" w:sz="0" w:space="0" w:color="auto"/>
      </w:divBdr>
    </w:div>
    <w:div w:id="854341589">
      <w:bodyDiv w:val="1"/>
      <w:marLeft w:val="0"/>
      <w:marRight w:val="0"/>
      <w:marTop w:val="0"/>
      <w:marBottom w:val="0"/>
      <w:divBdr>
        <w:top w:val="none" w:sz="0" w:space="0" w:color="auto"/>
        <w:left w:val="none" w:sz="0" w:space="0" w:color="auto"/>
        <w:bottom w:val="none" w:sz="0" w:space="0" w:color="auto"/>
        <w:right w:val="none" w:sz="0" w:space="0" w:color="auto"/>
      </w:divBdr>
    </w:div>
    <w:div w:id="857042862">
      <w:bodyDiv w:val="1"/>
      <w:marLeft w:val="0"/>
      <w:marRight w:val="0"/>
      <w:marTop w:val="0"/>
      <w:marBottom w:val="0"/>
      <w:divBdr>
        <w:top w:val="none" w:sz="0" w:space="0" w:color="auto"/>
        <w:left w:val="none" w:sz="0" w:space="0" w:color="auto"/>
        <w:bottom w:val="none" w:sz="0" w:space="0" w:color="auto"/>
        <w:right w:val="none" w:sz="0" w:space="0" w:color="auto"/>
      </w:divBdr>
    </w:div>
    <w:div w:id="859389802">
      <w:bodyDiv w:val="1"/>
      <w:marLeft w:val="0"/>
      <w:marRight w:val="0"/>
      <w:marTop w:val="0"/>
      <w:marBottom w:val="0"/>
      <w:divBdr>
        <w:top w:val="none" w:sz="0" w:space="0" w:color="auto"/>
        <w:left w:val="none" w:sz="0" w:space="0" w:color="auto"/>
        <w:bottom w:val="none" w:sz="0" w:space="0" w:color="auto"/>
        <w:right w:val="none" w:sz="0" w:space="0" w:color="auto"/>
      </w:divBdr>
    </w:div>
    <w:div w:id="864950538">
      <w:bodyDiv w:val="1"/>
      <w:marLeft w:val="0"/>
      <w:marRight w:val="0"/>
      <w:marTop w:val="0"/>
      <w:marBottom w:val="0"/>
      <w:divBdr>
        <w:top w:val="none" w:sz="0" w:space="0" w:color="auto"/>
        <w:left w:val="none" w:sz="0" w:space="0" w:color="auto"/>
        <w:bottom w:val="none" w:sz="0" w:space="0" w:color="auto"/>
        <w:right w:val="none" w:sz="0" w:space="0" w:color="auto"/>
      </w:divBdr>
    </w:div>
    <w:div w:id="865564686">
      <w:bodyDiv w:val="1"/>
      <w:marLeft w:val="0"/>
      <w:marRight w:val="0"/>
      <w:marTop w:val="0"/>
      <w:marBottom w:val="0"/>
      <w:divBdr>
        <w:top w:val="none" w:sz="0" w:space="0" w:color="auto"/>
        <w:left w:val="none" w:sz="0" w:space="0" w:color="auto"/>
        <w:bottom w:val="none" w:sz="0" w:space="0" w:color="auto"/>
        <w:right w:val="none" w:sz="0" w:space="0" w:color="auto"/>
      </w:divBdr>
    </w:div>
    <w:div w:id="866411026">
      <w:bodyDiv w:val="1"/>
      <w:marLeft w:val="0"/>
      <w:marRight w:val="0"/>
      <w:marTop w:val="0"/>
      <w:marBottom w:val="0"/>
      <w:divBdr>
        <w:top w:val="none" w:sz="0" w:space="0" w:color="auto"/>
        <w:left w:val="none" w:sz="0" w:space="0" w:color="auto"/>
        <w:bottom w:val="none" w:sz="0" w:space="0" w:color="auto"/>
        <w:right w:val="none" w:sz="0" w:space="0" w:color="auto"/>
      </w:divBdr>
    </w:div>
    <w:div w:id="868446471">
      <w:bodyDiv w:val="1"/>
      <w:marLeft w:val="0"/>
      <w:marRight w:val="0"/>
      <w:marTop w:val="0"/>
      <w:marBottom w:val="0"/>
      <w:divBdr>
        <w:top w:val="none" w:sz="0" w:space="0" w:color="auto"/>
        <w:left w:val="none" w:sz="0" w:space="0" w:color="auto"/>
        <w:bottom w:val="none" w:sz="0" w:space="0" w:color="auto"/>
        <w:right w:val="none" w:sz="0" w:space="0" w:color="auto"/>
      </w:divBdr>
    </w:div>
    <w:div w:id="870071000">
      <w:bodyDiv w:val="1"/>
      <w:marLeft w:val="0"/>
      <w:marRight w:val="0"/>
      <w:marTop w:val="0"/>
      <w:marBottom w:val="0"/>
      <w:divBdr>
        <w:top w:val="none" w:sz="0" w:space="0" w:color="auto"/>
        <w:left w:val="none" w:sz="0" w:space="0" w:color="auto"/>
        <w:bottom w:val="none" w:sz="0" w:space="0" w:color="auto"/>
        <w:right w:val="none" w:sz="0" w:space="0" w:color="auto"/>
      </w:divBdr>
    </w:div>
    <w:div w:id="873277314">
      <w:bodyDiv w:val="1"/>
      <w:marLeft w:val="0"/>
      <w:marRight w:val="0"/>
      <w:marTop w:val="0"/>
      <w:marBottom w:val="0"/>
      <w:divBdr>
        <w:top w:val="none" w:sz="0" w:space="0" w:color="auto"/>
        <w:left w:val="none" w:sz="0" w:space="0" w:color="auto"/>
        <w:bottom w:val="none" w:sz="0" w:space="0" w:color="auto"/>
        <w:right w:val="none" w:sz="0" w:space="0" w:color="auto"/>
      </w:divBdr>
    </w:div>
    <w:div w:id="874806927">
      <w:bodyDiv w:val="1"/>
      <w:marLeft w:val="0"/>
      <w:marRight w:val="0"/>
      <w:marTop w:val="0"/>
      <w:marBottom w:val="0"/>
      <w:divBdr>
        <w:top w:val="none" w:sz="0" w:space="0" w:color="auto"/>
        <w:left w:val="none" w:sz="0" w:space="0" w:color="auto"/>
        <w:bottom w:val="none" w:sz="0" w:space="0" w:color="auto"/>
        <w:right w:val="none" w:sz="0" w:space="0" w:color="auto"/>
      </w:divBdr>
    </w:div>
    <w:div w:id="879242477">
      <w:bodyDiv w:val="1"/>
      <w:marLeft w:val="0"/>
      <w:marRight w:val="0"/>
      <w:marTop w:val="0"/>
      <w:marBottom w:val="0"/>
      <w:divBdr>
        <w:top w:val="none" w:sz="0" w:space="0" w:color="auto"/>
        <w:left w:val="none" w:sz="0" w:space="0" w:color="auto"/>
        <w:bottom w:val="none" w:sz="0" w:space="0" w:color="auto"/>
        <w:right w:val="none" w:sz="0" w:space="0" w:color="auto"/>
      </w:divBdr>
    </w:div>
    <w:div w:id="882596054">
      <w:bodyDiv w:val="1"/>
      <w:marLeft w:val="0"/>
      <w:marRight w:val="0"/>
      <w:marTop w:val="0"/>
      <w:marBottom w:val="0"/>
      <w:divBdr>
        <w:top w:val="none" w:sz="0" w:space="0" w:color="auto"/>
        <w:left w:val="none" w:sz="0" w:space="0" w:color="auto"/>
        <w:bottom w:val="none" w:sz="0" w:space="0" w:color="auto"/>
        <w:right w:val="none" w:sz="0" w:space="0" w:color="auto"/>
      </w:divBdr>
    </w:div>
    <w:div w:id="887378002">
      <w:bodyDiv w:val="1"/>
      <w:marLeft w:val="0"/>
      <w:marRight w:val="0"/>
      <w:marTop w:val="0"/>
      <w:marBottom w:val="0"/>
      <w:divBdr>
        <w:top w:val="none" w:sz="0" w:space="0" w:color="auto"/>
        <w:left w:val="none" w:sz="0" w:space="0" w:color="auto"/>
        <w:bottom w:val="none" w:sz="0" w:space="0" w:color="auto"/>
        <w:right w:val="none" w:sz="0" w:space="0" w:color="auto"/>
      </w:divBdr>
    </w:div>
    <w:div w:id="888952860">
      <w:bodyDiv w:val="1"/>
      <w:marLeft w:val="0"/>
      <w:marRight w:val="0"/>
      <w:marTop w:val="0"/>
      <w:marBottom w:val="0"/>
      <w:divBdr>
        <w:top w:val="none" w:sz="0" w:space="0" w:color="auto"/>
        <w:left w:val="none" w:sz="0" w:space="0" w:color="auto"/>
        <w:bottom w:val="none" w:sz="0" w:space="0" w:color="auto"/>
        <w:right w:val="none" w:sz="0" w:space="0" w:color="auto"/>
      </w:divBdr>
    </w:div>
    <w:div w:id="892425373">
      <w:bodyDiv w:val="1"/>
      <w:marLeft w:val="0"/>
      <w:marRight w:val="0"/>
      <w:marTop w:val="0"/>
      <w:marBottom w:val="0"/>
      <w:divBdr>
        <w:top w:val="none" w:sz="0" w:space="0" w:color="auto"/>
        <w:left w:val="none" w:sz="0" w:space="0" w:color="auto"/>
        <w:bottom w:val="none" w:sz="0" w:space="0" w:color="auto"/>
        <w:right w:val="none" w:sz="0" w:space="0" w:color="auto"/>
      </w:divBdr>
    </w:div>
    <w:div w:id="892933819">
      <w:bodyDiv w:val="1"/>
      <w:marLeft w:val="0"/>
      <w:marRight w:val="0"/>
      <w:marTop w:val="0"/>
      <w:marBottom w:val="0"/>
      <w:divBdr>
        <w:top w:val="none" w:sz="0" w:space="0" w:color="auto"/>
        <w:left w:val="none" w:sz="0" w:space="0" w:color="auto"/>
        <w:bottom w:val="none" w:sz="0" w:space="0" w:color="auto"/>
        <w:right w:val="none" w:sz="0" w:space="0" w:color="auto"/>
      </w:divBdr>
    </w:div>
    <w:div w:id="898591880">
      <w:bodyDiv w:val="1"/>
      <w:marLeft w:val="0"/>
      <w:marRight w:val="0"/>
      <w:marTop w:val="0"/>
      <w:marBottom w:val="0"/>
      <w:divBdr>
        <w:top w:val="none" w:sz="0" w:space="0" w:color="auto"/>
        <w:left w:val="none" w:sz="0" w:space="0" w:color="auto"/>
        <w:bottom w:val="none" w:sz="0" w:space="0" w:color="auto"/>
        <w:right w:val="none" w:sz="0" w:space="0" w:color="auto"/>
      </w:divBdr>
    </w:div>
    <w:div w:id="904608782">
      <w:bodyDiv w:val="1"/>
      <w:marLeft w:val="0"/>
      <w:marRight w:val="0"/>
      <w:marTop w:val="0"/>
      <w:marBottom w:val="0"/>
      <w:divBdr>
        <w:top w:val="none" w:sz="0" w:space="0" w:color="auto"/>
        <w:left w:val="none" w:sz="0" w:space="0" w:color="auto"/>
        <w:bottom w:val="none" w:sz="0" w:space="0" w:color="auto"/>
        <w:right w:val="none" w:sz="0" w:space="0" w:color="auto"/>
      </w:divBdr>
    </w:div>
    <w:div w:id="912130121">
      <w:bodyDiv w:val="1"/>
      <w:marLeft w:val="0"/>
      <w:marRight w:val="0"/>
      <w:marTop w:val="0"/>
      <w:marBottom w:val="0"/>
      <w:divBdr>
        <w:top w:val="none" w:sz="0" w:space="0" w:color="auto"/>
        <w:left w:val="none" w:sz="0" w:space="0" w:color="auto"/>
        <w:bottom w:val="none" w:sz="0" w:space="0" w:color="auto"/>
        <w:right w:val="none" w:sz="0" w:space="0" w:color="auto"/>
      </w:divBdr>
    </w:div>
    <w:div w:id="921715829">
      <w:bodyDiv w:val="1"/>
      <w:marLeft w:val="0"/>
      <w:marRight w:val="0"/>
      <w:marTop w:val="0"/>
      <w:marBottom w:val="0"/>
      <w:divBdr>
        <w:top w:val="none" w:sz="0" w:space="0" w:color="auto"/>
        <w:left w:val="none" w:sz="0" w:space="0" w:color="auto"/>
        <w:bottom w:val="none" w:sz="0" w:space="0" w:color="auto"/>
        <w:right w:val="none" w:sz="0" w:space="0" w:color="auto"/>
      </w:divBdr>
    </w:div>
    <w:div w:id="925574972">
      <w:bodyDiv w:val="1"/>
      <w:marLeft w:val="0"/>
      <w:marRight w:val="0"/>
      <w:marTop w:val="0"/>
      <w:marBottom w:val="0"/>
      <w:divBdr>
        <w:top w:val="none" w:sz="0" w:space="0" w:color="auto"/>
        <w:left w:val="none" w:sz="0" w:space="0" w:color="auto"/>
        <w:bottom w:val="none" w:sz="0" w:space="0" w:color="auto"/>
        <w:right w:val="none" w:sz="0" w:space="0" w:color="auto"/>
      </w:divBdr>
    </w:div>
    <w:div w:id="929003130">
      <w:bodyDiv w:val="1"/>
      <w:marLeft w:val="0"/>
      <w:marRight w:val="0"/>
      <w:marTop w:val="0"/>
      <w:marBottom w:val="0"/>
      <w:divBdr>
        <w:top w:val="none" w:sz="0" w:space="0" w:color="auto"/>
        <w:left w:val="none" w:sz="0" w:space="0" w:color="auto"/>
        <w:bottom w:val="none" w:sz="0" w:space="0" w:color="auto"/>
        <w:right w:val="none" w:sz="0" w:space="0" w:color="auto"/>
      </w:divBdr>
    </w:div>
    <w:div w:id="932323955">
      <w:bodyDiv w:val="1"/>
      <w:marLeft w:val="0"/>
      <w:marRight w:val="0"/>
      <w:marTop w:val="0"/>
      <w:marBottom w:val="0"/>
      <w:divBdr>
        <w:top w:val="none" w:sz="0" w:space="0" w:color="auto"/>
        <w:left w:val="none" w:sz="0" w:space="0" w:color="auto"/>
        <w:bottom w:val="none" w:sz="0" w:space="0" w:color="auto"/>
        <w:right w:val="none" w:sz="0" w:space="0" w:color="auto"/>
      </w:divBdr>
    </w:div>
    <w:div w:id="933781717">
      <w:bodyDiv w:val="1"/>
      <w:marLeft w:val="0"/>
      <w:marRight w:val="0"/>
      <w:marTop w:val="0"/>
      <w:marBottom w:val="0"/>
      <w:divBdr>
        <w:top w:val="none" w:sz="0" w:space="0" w:color="auto"/>
        <w:left w:val="none" w:sz="0" w:space="0" w:color="auto"/>
        <w:bottom w:val="none" w:sz="0" w:space="0" w:color="auto"/>
        <w:right w:val="none" w:sz="0" w:space="0" w:color="auto"/>
      </w:divBdr>
    </w:div>
    <w:div w:id="934482998">
      <w:bodyDiv w:val="1"/>
      <w:marLeft w:val="0"/>
      <w:marRight w:val="0"/>
      <w:marTop w:val="0"/>
      <w:marBottom w:val="0"/>
      <w:divBdr>
        <w:top w:val="none" w:sz="0" w:space="0" w:color="auto"/>
        <w:left w:val="none" w:sz="0" w:space="0" w:color="auto"/>
        <w:bottom w:val="none" w:sz="0" w:space="0" w:color="auto"/>
        <w:right w:val="none" w:sz="0" w:space="0" w:color="auto"/>
      </w:divBdr>
    </w:div>
    <w:div w:id="935671924">
      <w:bodyDiv w:val="1"/>
      <w:marLeft w:val="0"/>
      <w:marRight w:val="0"/>
      <w:marTop w:val="0"/>
      <w:marBottom w:val="0"/>
      <w:divBdr>
        <w:top w:val="none" w:sz="0" w:space="0" w:color="auto"/>
        <w:left w:val="none" w:sz="0" w:space="0" w:color="auto"/>
        <w:bottom w:val="none" w:sz="0" w:space="0" w:color="auto"/>
        <w:right w:val="none" w:sz="0" w:space="0" w:color="auto"/>
      </w:divBdr>
    </w:div>
    <w:div w:id="941494035">
      <w:bodyDiv w:val="1"/>
      <w:marLeft w:val="0"/>
      <w:marRight w:val="0"/>
      <w:marTop w:val="0"/>
      <w:marBottom w:val="0"/>
      <w:divBdr>
        <w:top w:val="none" w:sz="0" w:space="0" w:color="auto"/>
        <w:left w:val="none" w:sz="0" w:space="0" w:color="auto"/>
        <w:bottom w:val="none" w:sz="0" w:space="0" w:color="auto"/>
        <w:right w:val="none" w:sz="0" w:space="0" w:color="auto"/>
      </w:divBdr>
    </w:div>
    <w:div w:id="956330603">
      <w:bodyDiv w:val="1"/>
      <w:marLeft w:val="0"/>
      <w:marRight w:val="0"/>
      <w:marTop w:val="0"/>
      <w:marBottom w:val="0"/>
      <w:divBdr>
        <w:top w:val="none" w:sz="0" w:space="0" w:color="auto"/>
        <w:left w:val="none" w:sz="0" w:space="0" w:color="auto"/>
        <w:bottom w:val="none" w:sz="0" w:space="0" w:color="auto"/>
        <w:right w:val="none" w:sz="0" w:space="0" w:color="auto"/>
      </w:divBdr>
    </w:div>
    <w:div w:id="960958533">
      <w:bodyDiv w:val="1"/>
      <w:marLeft w:val="0"/>
      <w:marRight w:val="0"/>
      <w:marTop w:val="0"/>
      <w:marBottom w:val="0"/>
      <w:divBdr>
        <w:top w:val="none" w:sz="0" w:space="0" w:color="auto"/>
        <w:left w:val="none" w:sz="0" w:space="0" w:color="auto"/>
        <w:bottom w:val="none" w:sz="0" w:space="0" w:color="auto"/>
        <w:right w:val="none" w:sz="0" w:space="0" w:color="auto"/>
      </w:divBdr>
    </w:div>
    <w:div w:id="962806554">
      <w:bodyDiv w:val="1"/>
      <w:marLeft w:val="0"/>
      <w:marRight w:val="0"/>
      <w:marTop w:val="0"/>
      <w:marBottom w:val="0"/>
      <w:divBdr>
        <w:top w:val="none" w:sz="0" w:space="0" w:color="auto"/>
        <w:left w:val="none" w:sz="0" w:space="0" w:color="auto"/>
        <w:bottom w:val="none" w:sz="0" w:space="0" w:color="auto"/>
        <w:right w:val="none" w:sz="0" w:space="0" w:color="auto"/>
      </w:divBdr>
    </w:div>
    <w:div w:id="964625363">
      <w:bodyDiv w:val="1"/>
      <w:marLeft w:val="0"/>
      <w:marRight w:val="0"/>
      <w:marTop w:val="0"/>
      <w:marBottom w:val="0"/>
      <w:divBdr>
        <w:top w:val="none" w:sz="0" w:space="0" w:color="auto"/>
        <w:left w:val="none" w:sz="0" w:space="0" w:color="auto"/>
        <w:bottom w:val="none" w:sz="0" w:space="0" w:color="auto"/>
        <w:right w:val="none" w:sz="0" w:space="0" w:color="auto"/>
      </w:divBdr>
    </w:div>
    <w:div w:id="964655002">
      <w:bodyDiv w:val="1"/>
      <w:marLeft w:val="0"/>
      <w:marRight w:val="0"/>
      <w:marTop w:val="0"/>
      <w:marBottom w:val="0"/>
      <w:divBdr>
        <w:top w:val="none" w:sz="0" w:space="0" w:color="auto"/>
        <w:left w:val="none" w:sz="0" w:space="0" w:color="auto"/>
        <w:bottom w:val="none" w:sz="0" w:space="0" w:color="auto"/>
        <w:right w:val="none" w:sz="0" w:space="0" w:color="auto"/>
      </w:divBdr>
    </w:div>
    <w:div w:id="965811454">
      <w:bodyDiv w:val="1"/>
      <w:marLeft w:val="0"/>
      <w:marRight w:val="0"/>
      <w:marTop w:val="0"/>
      <w:marBottom w:val="0"/>
      <w:divBdr>
        <w:top w:val="none" w:sz="0" w:space="0" w:color="auto"/>
        <w:left w:val="none" w:sz="0" w:space="0" w:color="auto"/>
        <w:bottom w:val="none" w:sz="0" w:space="0" w:color="auto"/>
        <w:right w:val="none" w:sz="0" w:space="0" w:color="auto"/>
      </w:divBdr>
    </w:div>
    <w:div w:id="967323151">
      <w:bodyDiv w:val="1"/>
      <w:marLeft w:val="0"/>
      <w:marRight w:val="0"/>
      <w:marTop w:val="0"/>
      <w:marBottom w:val="0"/>
      <w:divBdr>
        <w:top w:val="none" w:sz="0" w:space="0" w:color="auto"/>
        <w:left w:val="none" w:sz="0" w:space="0" w:color="auto"/>
        <w:bottom w:val="none" w:sz="0" w:space="0" w:color="auto"/>
        <w:right w:val="none" w:sz="0" w:space="0" w:color="auto"/>
      </w:divBdr>
    </w:div>
    <w:div w:id="968585361">
      <w:bodyDiv w:val="1"/>
      <w:marLeft w:val="0"/>
      <w:marRight w:val="0"/>
      <w:marTop w:val="0"/>
      <w:marBottom w:val="0"/>
      <w:divBdr>
        <w:top w:val="none" w:sz="0" w:space="0" w:color="auto"/>
        <w:left w:val="none" w:sz="0" w:space="0" w:color="auto"/>
        <w:bottom w:val="none" w:sz="0" w:space="0" w:color="auto"/>
        <w:right w:val="none" w:sz="0" w:space="0" w:color="auto"/>
      </w:divBdr>
    </w:div>
    <w:div w:id="969093553">
      <w:bodyDiv w:val="1"/>
      <w:marLeft w:val="0"/>
      <w:marRight w:val="0"/>
      <w:marTop w:val="0"/>
      <w:marBottom w:val="0"/>
      <w:divBdr>
        <w:top w:val="none" w:sz="0" w:space="0" w:color="auto"/>
        <w:left w:val="none" w:sz="0" w:space="0" w:color="auto"/>
        <w:bottom w:val="none" w:sz="0" w:space="0" w:color="auto"/>
        <w:right w:val="none" w:sz="0" w:space="0" w:color="auto"/>
      </w:divBdr>
    </w:div>
    <w:div w:id="969942984">
      <w:bodyDiv w:val="1"/>
      <w:marLeft w:val="0"/>
      <w:marRight w:val="0"/>
      <w:marTop w:val="0"/>
      <w:marBottom w:val="0"/>
      <w:divBdr>
        <w:top w:val="none" w:sz="0" w:space="0" w:color="auto"/>
        <w:left w:val="none" w:sz="0" w:space="0" w:color="auto"/>
        <w:bottom w:val="none" w:sz="0" w:space="0" w:color="auto"/>
        <w:right w:val="none" w:sz="0" w:space="0" w:color="auto"/>
      </w:divBdr>
    </w:div>
    <w:div w:id="982351763">
      <w:bodyDiv w:val="1"/>
      <w:marLeft w:val="0"/>
      <w:marRight w:val="0"/>
      <w:marTop w:val="0"/>
      <w:marBottom w:val="0"/>
      <w:divBdr>
        <w:top w:val="none" w:sz="0" w:space="0" w:color="auto"/>
        <w:left w:val="none" w:sz="0" w:space="0" w:color="auto"/>
        <w:bottom w:val="none" w:sz="0" w:space="0" w:color="auto"/>
        <w:right w:val="none" w:sz="0" w:space="0" w:color="auto"/>
      </w:divBdr>
    </w:div>
    <w:div w:id="984552020">
      <w:bodyDiv w:val="1"/>
      <w:marLeft w:val="0"/>
      <w:marRight w:val="0"/>
      <w:marTop w:val="0"/>
      <w:marBottom w:val="0"/>
      <w:divBdr>
        <w:top w:val="none" w:sz="0" w:space="0" w:color="auto"/>
        <w:left w:val="none" w:sz="0" w:space="0" w:color="auto"/>
        <w:bottom w:val="none" w:sz="0" w:space="0" w:color="auto"/>
        <w:right w:val="none" w:sz="0" w:space="0" w:color="auto"/>
      </w:divBdr>
    </w:div>
    <w:div w:id="986713538">
      <w:bodyDiv w:val="1"/>
      <w:marLeft w:val="0"/>
      <w:marRight w:val="0"/>
      <w:marTop w:val="0"/>
      <w:marBottom w:val="0"/>
      <w:divBdr>
        <w:top w:val="none" w:sz="0" w:space="0" w:color="auto"/>
        <w:left w:val="none" w:sz="0" w:space="0" w:color="auto"/>
        <w:bottom w:val="none" w:sz="0" w:space="0" w:color="auto"/>
        <w:right w:val="none" w:sz="0" w:space="0" w:color="auto"/>
      </w:divBdr>
    </w:div>
    <w:div w:id="992488652">
      <w:bodyDiv w:val="1"/>
      <w:marLeft w:val="0"/>
      <w:marRight w:val="0"/>
      <w:marTop w:val="0"/>
      <w:marBottom w:val="0"/>
      <w:divBdr>
        <w:top w:val="none" w:sz="0" w:space="0" w:color="auto"/>
        <w:left w:val="none" w:sz="0" w:space="0" w:color="auto"/>
        <w:bottom w:val="none" w:sz="0" w:space="0" w:color="auto"/>
        <w:right w:val="none" w:sz="0" w:space="0" w:color="auto"/>
      </w:divBdr>
    </w:div>
    <w:div w:id="996345034">
      <w:bodyDiv w:val="1"/>
      <w:marLeft w:val="0"/>
      <w:marRight w:val="0"/>
      <w:marTop w:val="0"/>
      <w:marBottom w:val="0"/>
      <w:divBdr>
        <w:top w:val="none" w:sz="0" w:space="0" w:color="auto"/>
        <w:left w:val="none" w:sz="0" w:space="0" w:color="auto"/>
        <w:bottom w:val="none" w:sz="0" w:space="0" w:color="auto"/>
        <w:right w:val="none" w:sz="0" w:space="0" w:color="auto"/>
      </w:divBdr>
    </w:div>
    <w:div w:id="997030106">
      <w:bodyDiv w:val="1"/>
      <w:marLeft w:val="0"/>
      <w:marRight w:val="0"/>
      <w:marTop w:val="0"/>
      <w:marBottom w:val="0"/>
      <w:divBdr>
        <w:top w:val="none" w:sz="0" w:space="0" w:color="auto"/>
        <w:left w:val="none" w:sz="0" w:space="0" w:color="auto"/>
        <w:bottom w:val="none" w:sz="0" w:space="0" w:color="auto"/>
        <w:right w:val="none" w:sz="0" w:space="0" w:color="auto"/>
      </w:divBdr>
    </w:div>
    <w:div w:id="997611509">
      <w:bodyDiv w:val="1"/>
      <w:marLeft w:val="0"/>
      <w:marRight w:val="0"/>
      <w:marTop w:val="0"/>
      <w:marBottom w:val="0"/>
      <w:divBdr>
        <w:top w:val="none" w:sz="0" w:space="0" w:color="auto"/>
        <w:left w:val="none" w:sz="0" w:space="0" w:color="auto"/>
        <w:bottom w:val="none" w:sz="0" w:space="0" w:color="auto"/>
        <w:right w:val="none" w:sz="0" w:space="0" w:color="auto"/>
      </w:divBdr>
    </w:div>
    <w:div w:id="1001003077">
      <w:bodyDiv w:val="1"/>
      <w:marLeft w:val="0"/>
      <w:marRight w:val="0"/>
      <w:marTop w:val="0"/>
      <w:marBottom w:val="0"/>
      <w:divBdr>
        <w:top w:val="none" w:sz="0" w:space="0" w:color="auto"/>
        <w:left w:val="none" w:sz="0" w:space="0" w:color="auto"/>
        <w:bottom w:val="none" w:sz="0" w:space="0" w:color="auto"/>
        <w:right w:val="none" w:sz="0" w:space="0" w:color="auto"/>
      </w:divBdr>
    </w:div>
    <w:div w:id="1003120896">
      <w:bodyDiv w:val="1"/>
      <w:marLeft w:val="0"/>
      <w:marRight w:val="0"/>
      <w:marTop w:val="0"/>
      <w:marBottom w:val="0"/>
      <w:divBdr>
        <w:top w:val="none" w:sz="0" w:space="0" w:color="auto"/>
        <w:left w:val="none" w:sz="0" w:space="0" w:color="auto"/>
        <w:bottom w:val="none" w:sz="0" w:space="0" w:color="auto"/>
        <w:right w:val="none" w:sz="0" w:space="0" w:color="auto"/>
      </w:divBdr>
    </w:div>
    <w:div w:id="1004824545">
      <w:bodyDiv w:val="1"/>
      <w:marLeft w:val="0"/>
      <w:marRight w:val="0"/>
      <w:marTop w:val="0"/>
      <w:marBottom w:val="0"/>
      <w:divBdr>
        <w:top w:val="none" w:sz="0" w:space="0" w:color="auto"/>
        <w:left w:val="none" w:sz="0" w:space="0" w:color="auto"/>
        <w:bottom w:val="none" w:sz="0" w:space="0" w:color="auto"/>
        <w:right w:val="none" w:sz="0" w:space="0" w:color="auto"/>
      </w:divBdr>
    </w:div>
    <w:div w:id="1009789776">
      <w:bodyDiv w:val="1"/>
      <w:marLeft w:val="0"/>
      <w:marRight w:val="0"/>
      <w:marTop w:val="0"/>
      <w:marBottom w:val="0"/>
      <w:divBdr>
        <w:top w:val="none" w:sz="0" w:space="0" w:color="auto"/>
        <w:left w:val="none" w:sz="0" w:space="0" w:color="auto"/>
        <w:bottom w:val="none" w:sz="0" w:space="0" w:color="auto"/>
        <w:right w:val="none" w:sz="0" w:space="0" w:color="auto"/>
      </w:divBdr>
    </w:div>
    <w:div w:id="1009916301">
      <w:bodyDiv w:val="1"/>
      <w:marLeft w:val="0"/>
      <w:marRight w:val="0"/>
      <w:marTop w:val="0"/>
      <w:marBottom w:val="0"/>
      <w:divBdr>
        <w:top w:val="none" w:sz="0" w:space="0" w:color="auto"/>
        <w:left w:val="none" w:sz="0" w:space="0" w:color="auto"/>
        <w:bottom w:val="none" w:sz="0" w:space="0" w:color="auto"/>
        <w:right w:val="none" w:sz="0" w:space="0" w:color="auto"/>
      </w:divBdr>
    </w:div>
    <w:div w:id="1016736304">
      <w:bodyDiv w:val="1"/>
      <w:marLeft w:val="0"/>
      <w:marRight w:val="0"/>
      <w:marTop w:val="0"/>
      <w:marBottom w:val="0"/>
      <w:divBdr>
        <w:top w:val="none" w:sz="0" w:space="0" w:color="auto"/>
        <w:left w:val="none" w:sz="0" w:space="0" w:color="auto"/>
        <w:bottom w:val="none" w:sz="0" w:space="0" w:color="auto"/>
        <w:right w:val="none" w:sz="0" w:space="0" w:color="auto"/>
      </w:divBdr>
    </w:div>
    <w:div w:id="1039740089">
      <w:bodyDiv w:val="1"/>
      <w:marLeft w:val="0"/>
      <w:marRight w:val="0"/>
      <w:marTop w:val="0"/>
      <w:marBottom w:val="0"/>
      <w:divBdr>
        <w:top w:val="none" w:sz="0" w:space="0" w:color="auto"/>
        <w:left w:val="none" w:sz="0" w:space="0" w:color="auto"/>
        <w:bottom w:val="none" w:sz="0" w:space="0" w:color="auto"/>
        <w:right w:val="none" w:sz="0" w:space="0" w:color="auto"/>
      </w:divBdr>
    </w:div>
    <w:div w:id="1044524021">
      <w:bodyDiv w:val="1"/>
      <w:marLeft w:val="0"/>
      <w:marRight w:val="0"/>
      <w:marTop w:val="0"/>
      <w:marBottom w:val="0"/>
      <w:divBdr>
        <w:top w:val="none" w:sz="0" w:space="0" w:color="auto"/>
        <w:left w:val="none" w:sz="0" w:space="0" w:color="auto"/>
        <w:bottom w:val="none" w:sz="0" w:space="0" w:color="auto"/>
        <w:right w:val="none" w:sz="0" w:space="0" w:color="auto"/>
      </w:divBdr>
    </w:div>
    <w:div w:id="1044984568">
      <w:bodyDiv w:val="1"/>
      <w:marLeft w:val="0"/>
      <w:marRight w:val="0"/>
      <w:marTop w:val="0"/>
      <w:marBottom w:val="0"/>
      <w:divBdr>
        <w:top w:val="none" w:sz="0" w:space="0" w:color="auto"/>
        <w:left w:val="none" w:sz="0" w:space="0" w:color="auto"/>
        <w:bottom w:val="none" w:sz="0" w:space="0" w:color="auto"/>
        <w:right w:val="none" w:sz="0" w:space="0" w:color="auto"/>
      </w:divBdr>
    </w:div>
    <w:div w:id="1047876138">
      <w:bodyDiv w:val="1"/>
      <w:marLeft w:val="0"/>
      <w:marRight w:val="0"/>
      <w:marTop w:val="0"/>
      <w:marBottom w:val="0"/>
      <w:divBdr>
        <w:top w:val="none" w:sz="0" w:space="0" w:color="auto"/>
        <w:left w:val="none" w:sz="0" w:space="0" w:color="auto"/>
        <w:bottom w:val="none" w:sz="0" w:space="0" w:color="auto"/>
        <w:right w:val="none" w:sz="0" w:space="0" w:color="auto"/>
      </w:divBdr>
    </w:div>
    <w:div w:id="1051609924">
      <w:bodyDiv w:val="1"/>
      <w:marLeft w:val="0"/>
      <w:marRight w:val="0"/>
      <w:marTop w:val="0"/>
      <w:marBottom w:val="0"/>
      <w:divBdr>
        <w:top w:val="none" w:sz="0" w:space="0" w:color="auto"/>
        <w:left w:val="none" w:sz="0" w:space="0" w:color="auto"/>
        <w:bottom w:val="none" w:sz="0" w:space="0" w:color="auto"/>
        <w:right w:val="none" w:sz="0" w:space="0" w:color="auto"/>
      </w:divBdr>
    </w:div>
    <w:div w:id="1064256395">
      <w:bodyDiv w:val="1"/>
      <w:marLeft w:val="0"/>
      <w:marRight w:val="0"/>
      <w:marTop w:val="0"/>
      <w:marBottom w:val="0"/>
      <w:divBdr>
        <w:top w:val="none" w:sz="0" w:space="0" w:color="auto"/>
        <w:left w:val="none" w:sz="0" w:space="0" w:color="auto"/>
        <w:bottom w:val="none" w:sz="0" w:space="0" w:color="auto"/>
        <w:right w:val="none" w:sz="0" w:space="0" w:color="auto"/>
      </w:divBdr>
    </w:div>
    <w:div w:id="1074888303">
      <w:bodyDiv w:val="1"/>
      <w:marLeft w:val="0"/>
      <w:marRight w:val="0"/>
      <w:marTop w:val="0"/>
      <w:marBottom w:val="0"/>
      <w:divBdr>
        <w:top w:val="none" w:sz="0" w:space="0" w:color="auto"/>
        <w:left w:val="none" w:sz="0" w:space="0" w:color="auto"/>
        <w:bottom w:val="none" w:sz="0" w:space="0" w:color="auto"/>
        <w:right w:val="none" w:sz="0" w:space="0" w:color="auto"/>
      </w:divBdr>
    </w:div>
    <w:div w:id="1079209250">
      <w:bodyDiv w:val="1"/>
      <w:marLeft w:val="0"/>
      <w:marRight w:val="0"/>
      <w:marTop w:val="0"/>
      <w:marBottom w:val="0"/>
      <w:divBdr>
        <w:top w:val="none" w:sz="0" w:space="0" w:color="auto"/>
        <w:left w:val="none" w:sz="0" w:space="0" w:color="auto"/>
        <w:bottom w:val="none" w:sz="0" w:space="0" w:color="auto"/>
        <w:right w:val="none" w:sz="0" w:space="0" w:color="auto"/>
      </w:divBdr>
    </w:div>
    <w:div w:id="1086221362">
      <w:bodyDiv w:val="1"/>
      <w:marLeft w:val="0"/>
      <w:marRight w:val="0"/>
      <w:marTop w:val="0"/>
      <w:marBottom w:val="0"/>
      <w:divBdr>
        <w:top w:val="none" w:sz="0" w:space="0" w:color="auto"/>
        <w:left w:val="none" w:sz="0" w:space="0" w:color="auto"/>
        <w:bottom w:val="none" w:sz="0" w:space="0" w:color="auto"/>
        <w:right w:val="none" w:sz="0" w:space="0" w:color="auto"/>
      </w:divBdr>
    </w:div>
    <w:div w:id="1089737523">
      <w:bodyDiv w:val="1"/>
      <w:marLeft w:val="0"/>
      <w:marRight w:val="0"/>
      <w:marTop w:val="0"/>
      <w:marBottom w:val="0"/>
      <w:divBdr>
        <w:top w:val="none" w:sz="0" w:space="0" w:color="auto"/>
        <w:left w:val="none" w:sz="0" w:space="0" w:color="auto"/>
        <w:bottom w:val="none" w:sz="0" w:space="0" w:color="auto"/>
        <w:right w:val="none" w:sz="0" w:space="0" w:color="auto"/>
      </w:divBdr>
    </w:div>
    <w:div w:id="1091393878">
      <w:bodyDiv w:val="1"/>
      <w:marLeft w:val="0"/>
      <w:marRight w:val="0"/>
      <w:marTop w:val="0"/>
      <w:marBottom w:val="0"/>
      <w:divBdr>
        <w:top w:val="none" w:sz="0" w:space="0" w:color="auto"/>
        <w:left w:val="none" w:sz="0" w:space="0" w:color="auto"/>
        <w:bottom w:val="none" w:sz="0" w:space="0" w:color="auto"/>
        <w:right w:val="none" w:sz="0" w:space="0" w:color="auto"/>
      </w:divBdr>
    </w:div>
    <w:div w:id="1096946931">
      <w:bodyDiv w:val="1"/>
      <w:marLeft w:val="0"/>
      <w:marRight w:val="0"/>
      <w:marTop w:val="0"/>
      <w:marBottom w:val="0"/>
      <w:divBdr>
        <w:top w:val="none" w:sz="0" w:space="0" w:color="auto"/>
        <w:left w:val="none" w:sz="0" w:space="0" w:color="auto"/>
        <w:bottom w:val="none" w:sz="0" w:space="0" w:color="auto"/>
        <w:right w:val="none" w:sz="0" w:space="0" w:color="auto"/>
      </w:divBdr>
    </w:div>
    <w:div w:id="1111972126">
      <w:bodyDiv w:val="1"/>
      <w:marLeft w:val="0"/>
      <w:marRight w:val="0"/>
      <w:marTop w:val="0"/>
      <w:marBottom w:val="0"/>
      <w:divBdr>
        <w:top w:val="none" w:sz="0" w:space="0" w:color="auto"/>
        <w:left w:val="none" w:sz="0" w:space="0" w:color="auto"/>
        <w:bottom w:val="none" w:sz="0" w:space="0" w:color="auto"/>
        <w:right w:val="none" w:sz="0" w:space="0" w:color="auto"/>
      </w:divBdr>
    </w:div>
    <w:div w:id="1121151281">
      <w:bodyDiv w:val="1"/>
      <w:marLeft w:val="0"/>
      <w:marRight w:val="0"/>
      <w:marTop w:val="0"/>
      <w:marBottom w:val="0"/>
      <w:divBdr>
        <w:top w:val="none" w:sz="0" w:space="0" w:color="auto"/>
        <w:left w:val="none" w:sz="0" w:space="0" w:color="auto"/>
        <w:bottom w:val="none" w:sz="0" w:space="0" w:color="auto"/>
        <w:right w:val="none" w:sz="0" w:space="0" w:color="auto"/>
      </w:divBdr>
    </w:div>
    <w:div w:id="1123042810">
      <w:bodyDiv w:val="1"/>
      <w:marLeft w:val="0"/>
      <w:marRight w:val="0"/>
      <w:marTop w:val="0"/>
      <w:marBottom w:val="0"/>
      <w:divBdr>
        <w:top w:val="none" w:sz="0" w:space="0" w:color="auto"/>
        <w:left w:val="none" w:sz="0" w:space="0" w:color="auto"/>
        <w:bottom w:val="none" w:sz="0" w:space="0" w:color="auto"/>
        <w:right w:val="none" w:sz="0" w:space="0" w:color="auto"/>
      </w:divBdr>
    </w:div>
    <w:div w:id="1131480784">
      <w:bodyDiv w:val="1"/>
      <w:marLeft w:val="0"/>
      <w:marRight w:val="0"/>
      <w:marTop w:val="0"/>
      <w:marBottom w:val="0"/>
      <w:divBdr>
        <w:top w:val="none" w:sz="0" w:space="0" w:color="auto"/>
        <w:left w:val="none" w:sz="0" w:space="0" w:color="auto"/>
        <w:bottom w:val="none" w:sz="0" w:space="0" w:color="auto"/>
        <w:right w:val="none" w:sz="0" w:space="0" w:color="auto"/>
      </w:divBdr>
    </w:div>
    <w:div w:id="1139762644">
      <w:bodyDiv w:val="1"/>
      <w:marLeft w:val="0"/>
      <w:marRight w:val="0"/>
      <w:marTop w:val="0"/>
      <w:marBottom w:val="0"/>
      <w:divBdr>
        <w:top w:val="none" w:sz="0" w:space="0" w:color="auto"/>
        <w:left w:val="none" w:sz="0" w:space="0" w:color="auto"/>
        <w:bottom w:val="none" w:sz="0" w:space="0" w:color="auto"/>
        <w:right w:val="none" w:sz="0" w:space="0" w:color="auto"/>
      </w:divBdr>
    </w:div>
    <w:div w:id="1142235418">
      <w:bodyDiv w:val="1"/>
      <w:marLeft w:val="0"/>
      <w:marRight w:val="0"/>
      <w:marTop w:val="0"/>
      <w:marBottom w:val="0"/>
      <w:divBdr>
        <w:top w:val="none" w:sz="0" w:space="0" w:color="auto"/>
        <w:left w:val="none" w:sz="0" w:space="0" w:color="auto"/>
        <w:bottom w:val="none" w:sz="0" w:space="0" w:color="auto"/>
        <w:right w:val="none" w:sz="0" w:space="0" w:color="auto"/>
      </w:divBdr>
    </w:div>
    <w:div w:id="1143350568">
      <w:bodyDiv w:val="1"/>
      <w:marLeft w:val="0"/>
      <w:marRight w:val="0"/>
      <w:marTop w:val="0"/>
      <w:marBottom w:val="0"/>
      <w:divBdr>
        <w:top w:val="none" w:sz="0" w:space="0" w:color="auto"/>
        <w:left w:val="none" w:sz="0" w:space="0" w:color="auto"/>
        <w:bottom w:val="none" w:sz="0" w:space="0" w:color="auto"/>
        <w:right w:val="none" w:sz="0" w:space="0" w:color="auto"/>
      </w:divBdr>
    </w:div>
    <w:div w:id="1145246264">
      <w:bodyDiv w:val="1"/>
      <w:marLeft w:val="0"/>
      <w:marRight w:val="0"/>
      <w:marTop w:val="0"/>
      <w:marBottom w:val="0"/>
      <w:divBdr>
        <w:top w:val="none" w:sz="0" w:space="0" w:color="auto"/>
        <w:left w:val="none" w:sz="0" w:space="0" w:color="auto"/>
        <w:bottom w:val="none" w:sz="0" w:space="0" w:color="auto"/>
        <w:right w:val="none" w:sz="0" w:space="0" w:color="auto"/>
      </w:divBdr>
    </w:div>
    <w:div w:id="1147671172">
      <w:bodyDiv w:val="1"/>
      <w:marLeft w:val="0"/>
      <w:marRight w:val="0"/>
      <w:marTop w:val="0"/>
      <w:marBottom w:val="0"/>
      <w:divBdr>
        <w:top w:val="none" w:sz="0" w:space="0" w:color="auto"/>
        <w:left w:val="none" w:sz="0" w:space="0" w:color="auto"/>
        <w:bottom w:val="none" w:sz="0" w:space="0" w:color="auto"/>
        <w:right w:val="none" w:sz="0" w:space="0" w:color="auto"/>
      </w:divBdr>
    </w:div>
    <w:div w:id="1148477529">
      <w:bodyDiv w:val="1"/>
      <w:marLeft w:val="0"/>
      <w:marRight w:val="0"/>
      <w:marTop w:val="0"/>
      <w:marBottom w:val="0"/>
      <w:divBdr>
        <w:top w:val="none" w:sz="0" w:space="0" w:color="auto"/>
        <w:left w:val="none" w:sz="0" w:space="0" w:color="auto"/>
        <w:bottom w:val="none" w:sz="0" w:space="0" w:color="auto"/>
        <w:right w:val="none" w:sz="0" w:space="0" w:color="auto"/>
      </w:divBdr>
    </w:div>
    <w:div w:id="1150906598">
      <w:bodyDiv w:val="1"/>
      <w:marLeft w:val="0"/>
      <w:marRight w:val="0"/>
      <w:marTop w:val="0"/>
      <w:marBottom w:val="0"/>
      <w:divBdr>
        <w:top w:val="none" w:sz="0" w:space="0" w:color="auto"/>
        <w:left w:val="none" w:sz="0" w:space="0" w:color="auto"/>
        <w:bottom w:val="none" w:sz="0" w:space="0" w:color="auto"/>
        <w:right w:val="none" w:sz="0" w:space="0" w:color="auto"/>
      </w:divBdr>
    </w:div>
    <w:div w:id="1168250373">
      <w:bodyDiv w:val="1"/>
      <w:marLeft w:val="0"/>
      <w:marRight w:val="0"/>
      <w:marTop w:val="0"/>
      <w:marBottom w:val="0"/>
      <w:divBdr>
        <w:top w:val="none" w:sz="0" w:space="0" w:color="auto"/>
        <w:left w:val="none" w:sz="0" w:space="0" w:color="auto"/>
        <w:bottom w:val="none" w:sz="0" w:space="0" w:color="auto"/>
        <w:right w:val="none" w:sz="0" w:space="0" w:color="auto"/>
      </w:divBdr>
    </w:div>
    <w:div w:id="1176503860">
      <w:bodyDiv w:val="1"/>
      <w:marLeft w:val="0"/>
      <w:marRight w:val="0"/>
      <w:marTop w:val="0"/>
      <w:marBottom w:val="0"/>
      <w:divBdr>
        <w:top w:val="none" w:sz="0" w:space="0" w:color="auto"/>
        <w:left w:val="none" w:sz="0" w:space="0" w:color="auto"/>
        <w:bottom w:val="none" w:sz="0" w:space="0" w:color="auto"/>
        <w:right w:val="none" w:sz="0" w:space="0" w:color="auto"/>
      </w:divBdr>
    </w:div>
    <w:div w:id="1178156578">
      <w:bodyDiv w:val="1"/>
      <w:marLeft w:val="0"/>
      <w:marRight w:val="0"/>
      <w:marTop w:val="0"/>
      <w:marBottom w:val="0"/>
      <w:divBdr>
        <w:top w:val="none" w:sz="0" w:space="0" w:color="auto"/>
        <w:left w:val="none" w:sz="0" w:space="0" w:color="auto"/>
        <w:bottom w:val="none" w:sz="0" w:space="0" w:color="auto"/>
        <w:right w:val="none" w:sz="0" w:space="0" w:color="auto"/>
      </w:divBdr>
    </w:div>
    <w:div w:id="1178469485">
      <w:bodyDiv w:val="1"/>
      <w:marLeft w:val="0"/>
      <w:marRight w:val="0"/>
      <w:marTop w:val="0"/>
      <w:marBottom w:val="0"/>
      <w:divBdr>
        <w:top w:val="none" w:sz="0" w:space="0" w:color="auto"/>
        <w:left w:val="none" w:sz="0" w:space="0" w:color="auto"/>
        <w:bottom w:val="none" w:sz="0" w:space="0" w:color="auto"/>
        <w:right w:val="none" w:sz="0" w:space="0" w:color="auto"/>
      </w:divBdr>
    </w:div>
    <w:div w:id="1179614542">
      <w:bodyDiv w:val="1"/>
      <w:marLeft w:val="0"/>
      <w:marRight w:val="0"/>
      <w:marTop w:val="0"/>
      <w:marBottom w:val="0"/>
      <w:divBdr>
        <w:top w:val="none" w:sz="0" w:space="0" w:color="auto"/>
        <w:left w:val="none" w:sz="0" w:space="0" w:color="auto"/>
        <w:bottom w:val="none" w:sz="0" w:space="0" w:color="auto"/>
        <w:right w:val="none" w:sz="0" w:space="0" w:color="auto"/>
      </w:divBdr>
    </w:div>
    <w:div w:id="1180776573">
      <w:bodyDiv w:val="1"/>
      <w:marLeft w:val="0"/>
      <w:marRight w:val="0"/>
      <w:marTop w:val="0"/>
      <w:marBottom w:val="0"/>
      <w:divBdr>
        <w:top w:val="none" w:sz="0" w:space="0" w:color="auto"/>
        <w:left w:val="none" w:sz="0" w:space="0" w:color="auto"/>
        <w:bottom w:val="none" w:sz="0" w:space="0" w:color="auto"/>
        <w:right w:val="none" w:sz="0" w:space="0" w:color="auto"/>
      </w:divBdr>
    </w:div>
    <w:div w:id="1181242777">
      <w:bodyDiv w:val="1"/>
      <w:marLeft w:val="0"/>
      <w:marRight w:val="0"/>
      <w:marTop w:val="0"/>
      <w:marBottom w:val="0"/>
      <w:divBdr>
        <w:top w:val="none" w:sz="0" w:space="0" w:color="auto"/>
        <w:left w:val="none" w:sz="0" w:space="0" w:color="auto"/>
        <w:bottom w:val="none" w:sz="0" w:space="0" w:color="auto"/>
        <w:right w:val="none" w:sz="0" w:space="0" w:color="auto"/>
      </w:divBdr>
    </w:div>
    <w:div w:id="1187137136">
      <w:bodyDiv w:val="1"/>
      <w:marLeft w:val="0"/>
      <w:marRight w:val="0"/>
      <w:marTop w:val="0"/>
      <w:marBottom w:val="0"/>
      <w:divBdr>
        <w:top w:val="none" w:sz="0" w:space="0" w:color="auto"/>
        <w:left w:val="none" w:sz="0" w:space="0" w:color="auto"/>
        <w:bottom w:val="none" w:sz="0" w:space="0" w:color="auto"/>
        <w:right w:val="none" w:sz="0" w:space="0" w:color="auto"/>
      </w:divBdr>
    </w:div>
    <w:div w:id="1187868404">
      <w:bodyDiv w:val="1"/>
      <w:marLeft w:val="0"/>
      <w:marRight w:val="0"/>
      <w:marTop w:val="0"/>
      <w:marBottom w:val="0"/>
      <w:divBdr>
        <w:top w:val="none" w:sz="0" w:space="0" w:color="auto"/>
        <w:left w:val="none" w:sz="0" w:space="0" w:color="auto"/>
        <w:bottom w:val="none" w:sz="0" w:space="0" w:color="auto"/>
        <w:right w:val="none" w:sz="0" w:space="0" w:color="auto"/>
      </w:divBdr>
    </w:div>
    <w:div w:id="1189290956">
      <w:bodyDiv w:val="1"/>
      <w:marLeft w:val="0"/>
      <w:marRight w:val="0"/>
      <w:marTop w:val="0"/>
      <w:marBottom w:val="0"/>
      <w:divBdr>
        <w:top w:val="none" w:sz="0" w:space="0" w:color="auto"/>
        <w:left w:val="none" w:sz="0" w:space="0" w:color="auto"/>
        <w:bottom w:val="none" w:sz="0" w:space="0" w:color="auto"/>
        <w:right w:val="none" w:sz="0" w:space="0" w:color="auto"/>
      </w:divBdr>
    </w:div>
    <w:div w:id="1191991712">
      <w:bodyDiv w:val="1"/>
      <w:marLeft w:val="0"/>
      <w:marRight w:val="0"/>
      <w:marTop w:val="0"/>
      <w:marBottom w:val="0"/>
      <w:divBdr>
        <w:top w:val="none" w:sz="0" w:space="0" w:color="auto"/>
        <w:left w:val="none" w:sz="0" w:space="0" w:color="auto"/>
        <w:bottom w:val="none" w:sz="0" w:space="0" w:color="auto"/>
        <w:right w:val="none" w:sz="0" w:space="0" w:color="auto"/>
      </w:divBdr>
    </w:div>
    <w:div w:id="1192955351">
      <w:bodyDiv w:val="1"/>
      <w:marLeft w:val="0"/>
      <w:marRight w:val="0"/>
      <w:marTop w:val="0"/>
      <w:marBottom w:val="0"/>
      <w:divBdr>
        <w:top w:val="none" w:sz="0" w:space="0" w:color="auto"/>
        <w:left w:val="none" w:sz="0" w:space="0" w:color="auto"/>
        <w:bottom w:val="none" w:sz="0" w:space="0" w:color="auto"/>
        <w:right w:val="none" w:sz="0" w:space="0" w:color="auto"/>
      </w:divBdr>
    </w:div>
    <w:div w:id="1193763421">
      <w:bodyDiv w:val="1"/>
      <w:marLeft w:val="0"/>
      <w:marRight w:val="0"/>
      <w:marTop w:val="0"/>
      <w:marBottom w:val="0"/>
      <w:divBdr>
        <w:top w:val="none" w:sz="0" w:space="0" w:color="auto"/>
        <w:left w:val="none" w:sz="0" w:space="0" w:color="auto"/>
        <w:bottom w:val="none" w:sz="0" w:space="0" w:color="auto"/>
        <w:right w:val="none" w:sz="0" w:space="0" w:color="auto"/>
      </w:divBdr>
    </w:div>
    <w:div w:id="1194463947">
      <w:bodyDiv w:val="1"/>
      <w:marLeft w:val="0"/>
      <w:marRight w:val="0"/>
      <w:marTop w:val="0"/>
      <w:marBottom w:val="0"/>
      <w:divBdr>
        <w:top w:val="none" w:sz="0" w:space="0" w:color="auto"/>
        <w:left w:val="none" w:sz="0" w:space="0" w:color="auto"/>
        <w:bottom w:val="none" w:sz="0" w:space="0" w:color="auto"/>
        <w:right w:val="none" w:sz="0" w:space="0" w:color="auto"/>
      </w:divBdr>
    </w:div>
    <w:div w:id="1195729898">
      <w:bodyDiv w:val="1"/>
      <w:marLeft w:val="0"/>
      <w:marRight w:val="0"/>
      <w:marTop w:val="0"/>
      <w:marBottom w:val="0"/>
      <w:divBdr>
        <w:top w:val="none" w:sz="0" w:space="0" w:color="auto"/>
        <w:left w:val="none" w:sz="0" w:space="0" w:color="auto"/>
        <w:bottom w:val="none" w:sz="0" w:space="0" w:color="auto"/>
        <w:right w:val="none" w:sz="0" w:space="0" w:color="auto"/>
      </w:divBdr>
    </w:div>
    <w:div w:id="1196306639">
      <w:bodyDiv w:val="1"/>
      <w:marLeft w:val="0"/>
      <w:marRight w:val="0"/>
      <w:marTop w:val="0"/>
      <w:marBottom w:val="0"/>
      <w:divBdr>
        <w:top w:val="none" w:sz="0" w:space="0" w:color="auto"/>
        <w:left w:val="none" w:sz="0" w:space="0" w:color="auto"/>
        <w:bottom w:val="none" w:sz="0" w:space="0" w:color="auto"/>
        <w:right w:val="none" w:sz="0" w:space="0" w:color="auto"/>
      </w:divBdr>
    </w:div>
    <w:div w:id="1202666684">
      <w:bodyDiv w:val="1"/>
      <w:marLeft w:val="0"/>
      <w:marRight w:val="0"/>
      <w:marTop w:val="0"/>
      <w:marBottom w:val="0"/>
      <w:divBdr>
        <w:top w:val="none" w:sz="0" w:space="0" w:color="auto"/>
        <w:left w:val="none" w:sz="0" w:space="0" w:color="auto"/>
        <w:bottom w:val="none" w:sz="0" w:space="0" w:color="auto"/>
        <w:right w:val="none" w:sz="0" w:space="0" w:color="auto"/>
      </w:divBdr>
    </w:div>
    <w:div w:id="1211192368">
      <w:bodyDiv w:val="1"/>
      <w:marLeft w:val="0"/>
      <w:marRight w:val="0"/>
      <w:marTop w:val="0"/>
      <w:marBottom w:val="0"/>
      <w:divBdr>
        <w:top w:val="none" w:sz="0" w:space="0" w:color="auto"/>
        <w:left w:val="none" w:sz="0" w:space="0" w:color="auto"/>
        <w:bottom w:val="none" w:sz="0" w:space="0" w:color="auto"/>
        <w:right w:val="none" w:sz="0" w:space="0" w:color="auto"/>
      </w:divBdr>
    </w:div>
    <w:div w:id="1221094311">
      <w:bodyDiv w:val="1"/>
      <w:marLeft w:val="0"/>
      <w:marRight w:val="0"/>
      <w:marTop w:val="0"/>
      <w:marBottom w:val="0"/>
      <w:divBdr>
        <w:top w:val="none" w:sz="0" w:space="0" w:color="auto"/>
        <w:left w:val="none" w:sz="0" w:space="0" w:color="auto"/>
        <w:bottom w:val="none" w:sz="0" w:space="0" w:color="auto"/>
        <w:right w:val="none" w:sz="0" w:space="0" w:color="auto"/>
      </w:divBdr>
    </w:div>
    <w:div w:id="1224029337">
      <w:bodyDiv w:val="1"/>
      <w:marLeft w:val="0"/>
      <w:marRight w:val="0"/>
      <w:marTop w:val="0"/>
      <w:marBottom w:val="0"/>
      <w:divBdr>
        <w:top w:val="none" w:sz="0" w:space="0" w:color="auto"/>
        <w:left w:val="none" w:sz="0" w:space="0" w:color="auto"/>
        <w:bottom w:val="none" w:sz="0" w:space="0" w:color="auto"/>
        <w:right w:val="none" w:sz="0" w:space="0" w:color="auto"/>
      </w:divBdr>
    </w:div>
    <w:div w:id="1227952599">
      <w:bodyDiv w:val="1"/>
      <w:marLeft w:val="0"/>
      <w:marRight w:val="0"/>
      <w:marTop w:val="0"/>
      <w:marBottom w:val="0"/>
      <w:divBdr>
        <w:top w:val="none" w:sz="0" w:space="0" w:color="auto"/>
        <w:left w:val="none" w:sz="0" w:space="0" w:color="auto"/>
        <w:bottom w:val="none" w:sz="0" w:space="0" w:color="auto"/>
        <w:right w:val="none" w:sz="0" w:space="0" w:color="auto"/>
      </w:divBdr>
    </w:div>
    <w:div w:id="1233541176">
      <w:bodyDiv w:val="1"/>
      <w:marLeft w:val="0"/>
      <w:marRight w:val="0"/>
      <w:marTop w:val="0"/>
      <w:marBottom w:val="0"/>
      <w:divBdr>
        <w:top w:val="none" w:sz="0" w:space="0" w:color="auto"/>
        <w:left w:val="none" w:sz="0" w:space="0" w:color="auto"/>
        <w:bottom w:val="none" w:sz="0" w:space="0" w:color="auto"/>
        <w:right w:val="none" w:sz="0" w:space="0" w:color="auto"/>
      </w:divBdr>
    </w:div>
    <w:div w:id="1234924947">
      <w:bodyDiv w:val="1"/>
      <w:marLeft w:val="0"/>
      <w:marRight w:val="0"/>
      <w:marTop w:val="0"/>
      <w:marBottom w:val="0"/>
      <w:divBdr>
        <w:top w:val="none" w:sz="0" w:space="0" w:color="auto"/>
        <w:left w:val="none" w:sz="0" w:space="0" w:color="auto"/>
        <w:bottom w:val="none" w:sz="0" w:space="0" w:color="auto"/>
        <w:right w:val="none" w:sz="0" w:space="0" w:color="auto"/>
      </w:divBdr>
    </w:div>
    <w:div w:id="1235237767">
      <w:bodyDiv w:val="1"/>
      <w:marLeft w:val="0"/>
      <w:marRight w:val="0"/>
      <w:marTop w:val="0"/>
      <w:marBottom w:val="0"/>
      <w:divBdr>
        <w:top w:val="none" w:sz="0" w:space="0" w:color="auto"/>
        <w:left w:val="none" w:sz="0" w:space="0" w:color="auto"/>
        <w:bottom w:val="none" w:sz="0" w:space="0" w:color="auto"/>
        <w:right w:val="none" w:sz="0" w:space="0" w:color="auto"/>
      </w:divBdr>
    </w:div>
    <w:div w:id="1245259680">
      <w:bodyDiv w:val="1"/>
      <w:marLeft w:val="0"/>
      <w:marRight w:val="0"/>
      <w:marTop w:val="0"/>
      <w:marBottom w:val="0"/>
      <w:divBdr>
        <w:top w:val="none" w:sz="0" w:space="0" w:color="auto"/>
        <w:left w:val="none" w:sz="0" w:space="0" w:color="auto"/>
        <w:bottom w:val="none" w:sz="0" w:space="0" w:color="auto"/>
        <w:right w:val="none" w:sz="0" w:space="0" w:color="auto"/>
      </w:divBdr>
    </w:div>
    <w:div w:id="1248809032">
      <w:bodyDiv w:val="1"/>
      <w:marLeft w:val="0"/>
      <w:marRight w:val="0"/>
      <w:marTop w:val="0"/>
      <w:marBottom w:val="0"/>
      <w:divBdr>
        <w:top w:val="none" w:sz="0" w:space="0" w:color="auto"/>
        <w:left w:val="none" w:sz="0" w:space="0" w:color="auto"/>
        <w:bottom w:val="none" w:sz="0" w:space="0" w:color="auto"/>
        <w:right w:val="none" w:sz="0" w:space="0" w:color="auto"/>
      </w:divBdr>
    </w:div>
    <w:div w:id="1252085709">
      <w:bodyDiv w:val="1"/>
      <w:marLeft w:val="0"/>
      <w:marRight w:val="0"/>
      <w:marTop w:val="0"/>
      <w:marBottom w:val="0"/>
      <w:divBdr>
        <w:top w:val="none" w:sz="0" w:space="0" w:color="auto"/>
        <w:left w:val="none" w:sz="0" w:space="0" w:color="auto"/>
        <w:bottom w:val="none" w:sz="0" w:space="0" w:color="auto"/>
        <w:right w:val="none" w:sz="0" w:space="0" w:color="auto"/>
      </w:divBdr>
    </w:div>
    <w:div w:id="1256402987">
      <w:bodyDiv w:val="1"/>
      <w:marLeft w:val="0"/>
      <w:marRight w:val="0"/>
      <w:marTop w:val="0"/>
      <w:marBottom w:val="0"/>
      <w:divBdr>
        <w:top w:val="none" w:sz="0" w:space="0" w:color="auto"/>
        <w:left w:val="none" w:sz="0" w:space="0" w:color="auto"/>
        <w:bottom w:val="none" w:sz="0" w:space="0" w:color="auto"/>
        <w:right w:val="none" w:sz="0" w:space="0" w:color="auto"/>
      </w:divBdr>
    </w:div>
    <w:div w:id="1260865893">
      <w:bodyDiv w:val="1"/>
      <w:marLeft w:val="0"/>
      <w:marRight w:val="0"/>
      <w:marTop w:val="0"/>
      <w:marBottom w:val="0"/>
      <w:divBdr>
        <w:top w:val="none" w:sz="0" w:space="0" w:color="auto"/>
        <w:left w:val="none" w:sz="0" w:space="0" w:color="auto"/>
        <w:bottom w:val="none" w:sz="0" w:space="0" w:color="auto"/>
        <w:right w:val="none" w:sz="0" w:space="0" w:color="auto"/>
      </w:divBdr>
    </w:div>
    <w:div w:id="1264848850">
      <w:bodyDiv w:val="1"/>
      <w:marLeft w:val="0"/>
      <w:marRight w:val="0"/>
      <w:marTop w:val="0"/>
      <w:marBottom w:val="0"/>
      <w:divBdr>
        <w:top w:val="none" w:sz="0" w:space="0" w:color="auto"/>
        <w:left w:val="none" w:sz="0" w:space="0" w:color="auto"/>
        <w:bottom w:val="none" w:sz="0" w:space="0" w:color="auto"/>
        <w:right w:val="none" w:sz="0" w:space="0" w:color="auto"/>
      </w:divBdr>
    </w:div>
    <w:div w:id="1265193001">
      <w:bodyDiv w:val="1"/>
      <w:marLeft w:val="0"/>
      <w:marRight w:val="0"/>
      <w:marTop w:val="0"/>
      <w:marBottom w:val="0"/>
      <w:divBdr>
        <w:top w:val="none" w:sz="0" w:space="0" w:color="auto"/>
        <w:left w:val="none" w:sz="0" w:space="0" w:color="auto"/>
        <w:bottom w:val="none" w:sz="0" w:space="0" w:color="auto"/>
        <w:right w:val="none" w:sz="0" w:space="0" w:color="auto"/>
      </w:divBdr>
    </w:div>
    <w:div w:id="1269237295">
      <w:bodyDiv w:val="1"/>
      <w:marLeft w:val="0"/>
      <w:marRight w:val="0"/>
      <w:marTop w:val="0"/>
      <w:marBottom w:val="0"/>
      <w:divBdr>
        <w:top w:val="none" w:sz="0" w:space="0" w:color="auto"/>
        <w:left w:val="none" w:sz="0" w:space="0" w:color="auto"/>
        <w:bottom w:val="none" w:sz="0" w:space="0" w:color="auto"/>
        <w:right w:val="none" w:sz="0" w:space="0" w:color="auto"/>
      </w:divBdr>
    </w:div>
    <w:div w:id="1278946293">
      <w:bodyDiv w:val="1"/>
      <w:marLeft w:val="0"/>
      <w:marRight w:val="0"/>
      <w:marTop w:val="0"/>
      <w:marBottom w:val="0"/>
      <w:divBdr>
        <w:top w:val="none" w:sz="0" w:space="0" w:color="auto"/>
        <w:left w:val="none" w:sz="0" w:space="0" w:color="auto"/>
        <w:bottom w:val="none" w:sz="0" w:space="0" w:color="auto"/>
        <w:right w:val="none" w:sz="0" w:space="0" w:color="auto"/>
      </w:divBdr>
    </w:div>
    <w:div w:id="1285574177">
      <w:bodyDiv w:val="1"/>
      <w:marLeft w:val="0"/>
      <w:marRight w:val="0"/>
      <w:marTop w:val="0"/>
      <w:marBottom w:val="0"/>
      <w:divBdr>
        <w:top w:val="none" w:sz="0" w:space="0" w:color="auto"/>
        <w:left w:val="none" w:sz="0" w:space="0" w:color="auto"/>
        <w:bottom w:val="none" w:sz="0" w:space="0" w:color="auto"/>
        <w:right w:val="none" w:sz="0" w:space="0" w:color="auto"/>
      </w:divBdr>
    </w:div>
    <w:div w:id="1285697365">
      <w:bodyDiv w:val="1"/>
      <w:marLeft w:val="0"/>
      <w:marRight w:val="0"/>
      <w:marTop w:val="0"/>
      <w:marBottom w:val="0"/>
      <w:divBdr>
        <w:top w:val="none" w:sz="0" w:space="0" w:color="auto"/>
        <w:left w:val="none" w:sz="0" w:space="0" w:color="auto"/>
        <w:bottom w:val="none" w:sz="0" w:space="0" w:color="auto"/>
        <w:right w:val="none" w:sz="0" w:space="0" w:color="auto"/>
      </w:divBdr>
    </w:div>
    <w:div w:id="1286351490">
      <w:bodyDiv w:val="1"/>
      <w:marLeft w:val="0"/>
      <w:marRight w:val="0"/>
      <w:marTop w:val="0"/>
      <w:marBottom w:val="0"/>
      <w:divBdr>
        <w:top w:val="none" w:sz="0" w:space="0" w:color="auto"/>
        <w:left w:val="none" w:sz="0" w:space="0" w:color="auto"/>
        <w:bottom w:val="none" w:sz="0" w:space="0" w:color="auto"/>
        <w:right w:val="none" w:sz="0" w:space="0" w:color="auto"/>
      </w:divBdr>
    </w:div>
    <w:div w:id="1287081999">
      <w:bodyDiv w:val="1"/>
      <w:marLeft w:val="0"/>
      <w:marRight w:val="0"/>
      <w:marTop w:val="0"/>
      <w:marBottom w:val="0"/>
      <w:divBdr>
        <w:top w:val="none" w:sz="0" w:space="0" w:color="auto"/>
        <w:left w:val="none" w:sz="0" w:space="0" w:color="auto"/>
        <w:bottom w:val="none" w:sz="0" w:space="0" w:color="auto"/>
        <w:right w:val="none" w:sz="0" w:space="0" w:color="auto"/>
      </w:divBdr>
    </w:div>
    <w:div w:id="1288202361">
      <w:bodyDiv w:val="1"/>
      <w:marLeft w:val="0"/>
      <w:marRight w:val="0"/>
      <w:marTop w:val="0"/>
      <w:marBottom w:val="0"/>
      <w:divBdr>
        <w:top w:val="none" w:sz="0" w:space="0" w:color="auto"/>
        <w:left w:val="none" w:sz="0" w:space="0" w:color="auto"/>
        <w:bottom w:val="none" w:sz="0" w:space="0" w:color="auto"/>
        <w:right w:val="none" w:sz="0" w:space="0" w:color="auto"/>
      </w:divBdr>
    </w:div>
    <w:div w:id="1288270872">
      <w:bodyDiv w:val="1"/>
      <w:marLeft w:val="0"/>
      <w:marRight w:val="0"/>
      <w:marTop w:val="0"/>
      <w:marBottom w:val="0"/>
      <w:divBdr>
        <w:top w:val="none" w:sz="0" w:space="0" w:color="auto"/>
        <w:left w:val="none" w:sz="0" w:space="0" w:color="auto"/>
        <w:bottom w:val="none" w:sz="0" w:space="0" w:color="auto"/>
        <w:right w:val="none" w:sz="0" w:space="0" w:color="auto"/>
      </w:divBdr>
    </w:div>
    <w:div w:id="1293056727">
      <w:bodyDiv w:val="1"/>
      <w:marLeft w:val="0"/>
      <w:marRight w:val="0"/>
      <w:marTop w:val="0"/>
      <w:marBottom w:val="0"/>
      <w:divBdr>
        <w:top w:val="none" w:sz="0" w:space="0" w:color="auto"/>
        <w:left w:val="none" w:sz="0" w:space="0" w:color="auto"/>
        <w:bottom w:val="none" w:sz="0" w:space="0" w:color="auto"/>
        <w:right w:val="none" w:sz="0" w:space="0" w:color="auto"/>
      </w:divBdr>
    </w:div>
    <w:div w:id="1293636892">
      <w:bodyDiv w:val="1"/>
      <w:marLeft w:val="0"/>
      <w:marRight w:val="0"/>
      <w:marTop w:val="0"/>
      <w:marBottom w:val="0"/>
      <w:divBdr>
        <w:top w:val="none" w:sz="0" w:space="0" w:color="auto"/>
        <w:left w:val="none" w:sz="0" w:space="0" w:color="auto"/>
        <w:bottom w:val="none" w:sz="0" w:space="0" w:color="auto"/>
        <w:right w:val="none" w:sz="0" w:space="0" w:color="auto"/>
      </w:divBdr>
    </w:div>
    <w:div w:id="1293902111">
      <w:bodyDiv w:val="1"/>
      <w:marLeft w:val="0"/>
      <w:marRight w:val="0"/>
      <w:marTop w:val="0"/>
      <w:marBottom w:val="0"/>
      <w:divBdr>
        <w:top w:val="none" w:sz="0" w:space="0" w:color="auto"/>
        <w:left w:val="none" w:sz="0" w:space="0" w:color="auto"/>
        <w:bottom w:val="none" w:sz="0" w:space="0" w:color="auto"/>
        <w:right w:val="none" w:sz="0" w:space="0" w:color="auto"/>
      </w:divBdr>
    </w:div>
    <w:div w:id="1295283776">
      <w:bodyDiv w:val="1"/>
      <w:marLeft w:val="0"/>
      <w:marRight w:val="0"/>
      <w:marTop w:val="0"/>
      <w:marBottom w:val="0"/>
      <w:divBdr>
        <w:top w:val="none" w:sz="0" w:space="0" w:color="auto"/>
        <w:left w:val="none" w:sz="0" w:space="0" w:color="auto"/>
        <w:bottom w:val="none" w:sz="0" w:space="0" w:color="auto"/>
        <w:right w:val="none" w:sz="0" w:space="0" w:color="auto"/>
      </w:divBdr>
    </w:div>
    <w:div w:id="1295674942">
      <w:bodyDiv w:val="1"/>
      <w:marLeft w:val="0"/>
      <w:marRight w:val="0"/>
      <w:marTop w:val="0"/>
      <w:marBottom w:val="0"/>
      <w:divBdr>
        <w:top w:val="none" w:sz="0" w:space="0" w:color="auto"/>
        <w:left w:val="none" w:sz="0" w:space="0" w:color="auto"/>
        <w:bottom w:val="none" w:sz="0" w:space="0" w:color="auto"/>
        <w:right w:val="none" w:sz="0" w:space="0" w:color="auto"/>
      </w:divBdr>
    </w:div>
    <w:div w:id="1299218150">
      <w:bodyDiv w:val="1"/>
      <w:marLeft w:val="0"/>
      <w:marRight w:val="0"/>
      <w:marTop w:val="0"/>
      <w:marBottom w:val="0"/>
      <w:divBdr>
        <w:top w:val="none" w:sz="0" w:space="0" w:color="auto"/>
        <w:left w:val="none" w:sz="0" w:space="0" w:color="auto"/>
        <w:bottom w:val="none" w:sz="0" w:space="0" w:color="auto"/>
        <w:right w:val="none" w:sz="0" w:space="0" w:color="auto"/>
      </w:divBdr>
    </w:div>
    <w:div w:id="1313294503">
      <w:bodyDiv w:val="1"/>
      <w:marLeft w:val="0"/>
      <w:marRight w:val="0"/>
      <w:marTop w:val="0"/>
      <w:marBottom w:val="0"/>
      <w:divBdr>
        <w:top w:val="none" w:sz="0" w:space="0" w:color="auto"/>
        <w:left w:val="none" w:sz="0" w:space="0" w:color="auto"/>
        <w:bottom w:val="none" w:sz="0" w:space="0" w:color="auto"/>
        <w:right w:val="none" w:sz="0" w:space="0" w:color="auto"/>
      </w:divBdr>
    </w:div>
    <w:div w:id="1316296407">
      <w:bodyDiv w:val="1"/>
      <w:marLeft w:val="0"/>
      <w:marRight w:val="0"/>
      <w:marTop w:val="0"/>
      <w:marBottom w:val="0"/>
      <w:divBdr>
        <w:top w:val="none" w:sz="0" w:space="0" w:color="auto"/>
        <w:left w:val="none" w:sz="0" w:space="0" w:color="auto"/>
        <w:bottom w:val="none" w:sz="0" w:space="0" w:color="auto"/>
        <w:right w:val="none" w:sz="0" w:space="0" w:color="auto"/>
      </w:divBdr>
    </w:div>
    <w:div w:id="1318995408">
      <w:bodyDiv w:val="1"/>
      <w:marLeft w:val="0"/>
      <w:marRight w:val="0"/>
      <w:marTop w:val="0"/>
      <w:marBottom w:val="0"/>
      <w:divBdr>
        <w:top w:val="none" w:sz="0" w:space="0" w:color="auto"/>
        <w:left w:val="none" w:sz="0" w:space="0" w:color="auto"/>
        <w:bottom w:val="none" w:sz="0" w:space="0" w:color="auto"/>
        <w:right w:val="none" w:sz="0" w:space="0" w:color="auto"/>
      </w:divBdr>
    </w:div>
    <w:div w:id="1320112725">
      <w:bodyDiv w:val="1"/>
      <w:marLeft w:val="0"/>
      <w:marRight w:val="0"/>
      <w:marTop w:val="0"/>
      <w:marBottom w:val="0"/>
      <w:divBdr>
        <w:top w:val="none" w:sz="0" w:space="0" w:color="auto"/>
        <w:left w:val="none" w:sz="0" w:space="0" w:color="auto"/>
        <w:bottom w:val="none" w:sz="0" w:space="0" w:color="auto"/>
        <w:right w:val="none" w:sz="0" w:space="0" w:color="auto"/>
      </w:divBdr>
    </w:div>
    <w:div w:id="1321035175">
      <w:bodyDiv w:val="1"/>
      <w:marLeft w:val="0"/>
      <w:marRight w:val="0"/>
      <w:marTop w:val="0"/>
      <w:marBottom w:val="0"/>
      <w:divBdr>
        <w:top w:val="none" w:sz="0" w:space="0" w:color="auto"/>
        <w:left w:val="none" w:sz="0" w:space="0" w:color="auto"/>
        <w:bottom w:val="none" w:sz="0" w:space="0" w:color="auto"/>
        <w:right w:val="none" w:sz="0" w:space="0" w:color="auto"/>
      </w:divBdr>
    </w:div>
    <w:div w:id="1323847588">
      <w:bodyDiv w:val="1"/>
      <w:marLeft w:val="0"/>
      <w:marRight w:val="0"/>
      <w:marTop w:val="0"/>
      <w:marBottom w:val="0"/>
      <w:divBdr>
        <w:top w:val="none" w:sz="0" w:space="0" w:color="auto"/>
        <w:left w:val="none" w:sz="0" w:space="0" w:color="auto"/>
        <w:bottom w:val="none" w:sz="0" w:space="0" w:color="auto"/>
        <w:right w:val="none" w:sz="0" w:space="0" w:color="auto"/>
      </w:divBdr>
    </w:div>
    <w:div w:id="1330404633">
      <w:bodyDiv w:val="1"/>
      <w:marLeft w:val="0"/>
      <w:marRight w:val="0"/>
      <w:marTop w:val="0"/>
      <w:marBottom w:val="0"/>
      <w:divBdr>
        <w:top w:val="none" w:sz="0" w:space="0" w:color="auto"/>
        <w:left w:val="none" w:sz="0" w:space="0" w:color="auto"/>
        <w:bottom w:val="none" w:sz="0" w:space="0" w:color="auto"/>
        <w:right w:val="none" w:sz="0" w:space="0" w:color="auto"/>
      </w:divBdr>
    </w:div>
    <w:div w:id="1338387392">
      <w:bodyDiv w:val="1"/>
      <w:marLeft w:val="0"/>
      <w:marRight w:val="0"/>
      <w:marTop w:val="0"/>
      <w:marBottom w:val="0"/>
      <w:divBdr>
        <w:top w:val="none" w:sz="0" w:space="0" w:color="auto"/>
        <w:left w:val="none" w:sz="0" w:space="0" w:color="auto"/>
        <w:bottom w:val="none" w:sz="0" w:space="0" w:color="auto"/>
        <w:right w:val="none" w:sz="0" w:space="0" w:color="auto"/>
      </w:divBdr>
    </w:div>
    <w:div w:id="1339311762">
      <w:bodyDiv w:val="1"/>
      <w:marLeft w:val="0"/>
      <w:marRight w:val="0"/>
      <w:marTop w:val="0"/>
      <w:marBottom w:val="0"/>
      <w:divBdr>
        <w:top w:val="none" w:sz="0" w:space="0" w:color="auto"/>
        <w:left w:val="none" w:sz="0" w:space="0" w:color="auto"/>
        <w:bottom w:val="none" w:sz="0" w:space="0" w:color="auto"/>
        <w:right w:val="none" w:sz="0" w:space="0" w:color="auto"/>
      </w:divBdr>
    </w:div>
    <w:div w:id="1345134650">
      <w:bodyDiv w:val="1"/>
      <w:marLeft w:val="0"/>
      <w:marRight w:val="0"/>
      <w:marTop w:val="0"/>
      <w:marBottom w:val="0"/>
      <w:divBdr>
        <w:top w:val="none" w:sz="0" w:space="0" w:color="auto"/>
        <w:left w:val="none" w:sz="0" w:space="0" w:color="auto"/>
        <w:bottom w:val="none" w:sz="0" w:space="0" w:color="auto"/>
        <w:right w:val="none" w:sz="0" w:space="0" w:color="auto"/>
      </w:divBdr>
    </w:div>
    <w:div w:id="1350253485">
      <w:bodyDiv w:val="1"/>
      <w:marLeft w:val="0"/>
      <w:marRight w:val="0"/>
      <w:marTop w:val="0"/>
      <w:marBottom w:val="0"/>
      <w:divBdr>
        <w:top w:val="none" w:sz="0" w:space="0" w:color="auto"/>
        <w:left w:val="none" w:sz="0" w:space="0" w:color="auto"/>
        <w:bottom w:val="none" w:sz="0" w:space="0" w:color="auto"/>
        <w:right w:val="none" w:sz="0" w:space="0" w:color="auto"/>
      </w:divBdr>
    </w:div>
    <w:div w:id="1350982833">
      <w:bodyDiv w:val="1"/>
      <w:marLeft w:val="0"/>
      <w:marRight w:val="0"/>
      <w:marTop w:val="0"/>
      <w:marBottom w:val="0"/>
      <w:divBdr>
        <w:top w:val="none" w:sz="0" w:space="0" w:color="auto"/>
        <w:left w:val="none" w:sz="0" w:space="0" w:color="auto"/>
        <w:bottom w:val="none" w:sz="0" w:space="0" w:color="auto"/>
        <w:right w:val="none" w:sz="0" w:space="0" w:color="auto"/>
      </w:divBdr>
    </w:div>
    <w:div w:id="1354192401">
      <w:bodyDiv w:val="1"/>
      <w:marLeft w:val="0"/>
      <w:marRight w:val="0"/>
      <w:marTop w:val="0"/>
      <w:marBottom w:val="0"/>
      <w:divBdr>
        <w:top w:val="none" w:sz="0" w:space="0" w:color="auto"/>
        <w:left w:val="none" w:sz="0" w:space="0" w:color="auto"/>
        <w:bottom w:val="none" w:sz="0" w:space="0" w:color="auto"/>
        <w:right w:val="none" w:sz="0" w:space="0" w:color="auto"/>
      </w:divBdr>
    </w:div>
    <w:div w:id="1356157133">
      <w:bodyDiv w:val="1"/>
      <w:marLeft w:val="0"/>
      <w:marRight w:val="0"/>
      <w:marTop w:val="0"/>
      <w:marBottom w:val="0"/>
      <w:divBdr>
        <w:top w:val="none" w:sz="0" w:space="0" w:color="auto"/>
        <w:left w:val="none" w:sz="0" w:space="0" w:color="auto"/>
        <w:bottom w:val="none" w:sz="0" w:space="0" w:color="auto"/>
        <w:right w:val="none" w:sz="0" w:space="0" w:color="auto"/>
      </w:divBdr>
    </w:div>
    <w:div w:id="1357390536">
      <w:bodyDiv w:val="1"/>
      <w:marLeft w:val="0"/>
      <w:marRight w:val="0"/>
      <w:marTop w:val="0"/>
      <w:marBottom w:val="0"/>
      <w:divBdr>
        <w:top w:val="none" w:sz="0" w:space="0" w:color="auto"/>
        <w:left w:val="none" w:sz="0" w:space="0" w:color="auto"/>
        <w:bottom w:val="none" w:sz="0" w:space="0" w:color="auto"/>
        <w:right w:val="none" w:sz="0" w:space="0" w:color="auto"/>
      </w:divBdr>
    </w:div>
    <w:div w:id="1361126048">
      <w:bodyDiv w:val="1"/>
      <w:marLeft w:val="0"/>
      <w:marRight w:val="0"/>
      <w:marTop w:val="0"/>
      <w:marBottom w:val="0"/>
      <w:divBdr>
        <w:top w:val="none" w:sz="0" w:space="0" w:color="auto"/>
        <w:left w:val="none" w:sz="0" w:space="0" w:color="auto"/>
        <w:bottom w:val="none" w:sz="0" w:space="0" w:color="auto"/>
        <w:right w:val="none" w:sz="0" w:space="0" w:color="auto"/>
      </w:divBdr>
    </w:div>
    <w:div w:id="1364598724">
      <w:bodyDiv w:val="1"/>
      <w:marLeft w:val="0"/>
      <w:marRight w:val="0"/>
      <w:marTop w:val="0"/>
      <w:marBottom w:val="0"/>
      <w:divBdr>
        <w:top w:val="none" w:sz="0" w:space="0" w:color="auto"/>
        <w:left w:val="none" w:sz="0" w:space="0" w:color="auto"/>
        <w:bottom w:val="none" w:sz="0" w:space="0" w:color="auto"/>
        <w:right w:val="none" w:sz="0" w:space="0" w:color="auto"/>
      </w:divBdr>
    </w:div>
    <w:div w:id="1365256065">
      <w:bodyDiv w:val="1"/>
      <w:marLeft w:val="0"/>
      <w:marRight w:val="0"/>
      <w:marTop w:val="0"/>
      <w:marBottom w:val="0"/>
      <w:divBdr>
        <w:top w:val="none" w:sz="0" w:space="0" w:color="auto"/>
        <w:left w:val="none" w:sz="0" w:space="0" w:color="auto"/>
        <w:bottom w:val="none" w:sz="0" w:space="0" w:color="auto"/>
        <w:right w:val="none" w:sz="0" w:space="0" w:color="auto"/>
      </w:divBdr>
    </w:div>
    <w:div w:id="1386489801">
      <w:bodyDiv w:val="1"/>
      <w:marLeft w:val="0"/>
      <w:marRight w:val="0"/>
      <w:marTop w:val="0"/>
      <w:marBottom w:val="0"/>
      <w:divBdr>
        <w:top w:val="none" w:sz="0" w:space="0" w:color="auto"/>
        <w:left w:val="none" w:sz="0" w:space="0" w:color="auto"/>
        <w:bottom w:val="none" w:sz="0" w:space="0" w:color="auto"/>
        <w:right w:val="none" w:sz="0" w:space="0" w:color="auto"/>
      </w:divBdr>
    </w:div>
    <w:div w:id="1397044242">
      <w:bodyDiv w:val="1"/>
      <w:marLeft w:val="0"/>
      <w:marRight w:val="0"/>
      <w:marTop w:val="0"/>
      <w:marBottom w:val="0"/>
      <w:divBdr>
        <w:top w:val="none" w:sz="0" w:space="0" w:color="auto"/>
        <w:left w:val="none" w:sz="0" w:space="0" w:color="auto"/>
        <w:bottom w:val="none" w:sz="0" w:space="0" w:color="auto"/>
        <w:right w:val="none" w:sz="0" w:space="0" w:color="auto"/>
      </w:divBdr>
    </w:div>
    <w:div w:id="1400901062">
      <w:bodyDiv w:val="1"/>
      <w:marLeft w:val="0"/>
      <w:marRight w:val="0"/>
      <w:marTop w:val="0"/>
      <w:marBottom w:val="0"/>
      <w:divBdr>
        <w:top w:val="none" w:sz="0" w:space="0" w:color="auto"/>
        <w:left w:val="none" w:sz="0" w:space="0" w:color="auto"/>
        <w:bottom w:val="none" w:sz="0" w:space="0" w:color="auto"/>
        <w:right w:val="none" w:sz="0" w:space="0" w:color="auto"/>
      </w:divBdr>
    </w:div>
    <w:div w:id="1404526944">
      <w:bodyDiv w:val="1"/>
      <w:marLeft w:val="0"/>
      <w:marRight w:val="0"/>
      <w:marTop w:val="0"/>
      <w:marBottom w:val="0"/>
      <w:divBdr>
        <w:top w:val="none" w:sz="0" w:space="0" w:color="auto"/>
        <w:left w:val="none" w:sz="0" w:space="0" w:color="auto"/>
        <w:bottom w:val="none" w:sz="0" w:space="0" w:color="auto"/>
        <w:right w:val="none" w:sz="0" w:space="0" w:color="auto"/>
      </w:divBdr>
    </w:div>
    <w:div w:id="1406414802">
      <w:bodyDiv w:val="1"/>
      <w:marLeft w:val="0"/>
      <w:marRight w:val="0"/>
      <w:marTop w:val="0"/>
      <w:marBottom w:val="0"/>
      <w:divBdr>
        <w:top w:val="none" w:sz="0" w:space="0" w:color="auto"/>
        <w:left w:val="none" w:sz="0" w:space="0" w:color="auto"/>
        <w:bottom w:val="none" w:sz="0" w:space="0" w:color="auto"/>
        <w:right w:val="none" w:sz="0" w:space="0" w:color="auto"/>
      </w:divBdr>
    </w:div>
    <w:div w:id="1424574642">
      <w:bodyDiv w:val="1"/>
      <w:marLeft w:val="0"/>
      <w:marRight w:val="0"/>
      <w:marTop w:val="0"/>
      <w:marBottom w:val="0"/>
      <w:divBdr>
        <w:top w:val="none" w:sz="0" w:space="0" w:color="auto"/>
        <w:left w:val="none" w:sz="0" w:space="0" w:color="auto"/>
        <w:bottom w:val="none" w:sz="0" w:space="0" w:color="auto"/>
        <w:right w:val="none" w:sz="0" w:space="0" w:color="auto"/>
      </w:divBdr>
    </w:div>
    <w:div w:id="1428577308">
      <w:bodyDiv w:val="1"/>
      <w:marLeft w:val="0"/>
      <w:marRight w:val="0"/>
      <w:marTop w:val="0"/>
      <w:marBottom w:val="0"/>
      <w:divBdr>
        <w:top w:val="none" w:sz="0" w:space="0" w:color="auto"/>
        <w:left w:val="none" w:sz="0" w:space="0" w:color="auto"/>
        <w:bottom w:val="none" w:sz="0" w:space="0" w:color="auto"/>
        <w:right w:val="none" w:sz="0" w:space="0" w:color="auto"/>
      </w:divBdr>
    </w:div>
    <w:div w:id="1440222904">
      <w:bodyDiv w:val="1"/>
      <w:marLeft w:val="0"/>
      <w:marRight w:val="0"/>
      <w:marTop w:val="0"/>
      <w:marBottom w:val="0"/>
      <w:divBdr>
        <w:top w:val="none" w:sz="0" w:space="0" w:color="auto"/>
        <w:left w:val="none" w:sz="0" w:space="0" w:color="auto"/>
        <w:bottom w:val="none" w:sz="0" w:space="0" w:color="auto"/>
        <w:right w:val="none" w:sz="0" w:space="0" w:color="auto"/>
      </w:divBdr>
    </w:div>
    <w:div w:id="1441072835">
      <w:bodyDiv w:val="1"/>
      <w:marLeft w:val="0"/>
      <w:marRight w:val="0"/>
      <w:marTop w:val="0"/>
      <w:marBottom w:val="0"/>
      <w:divBdr>
        <w:top w:val="none" w:sz="0" w:space="0" w:color="auto"/>
        <w:left w:val="none" w:sz="0" w:space="0" w:color="auto"/>
        <w:bottom w:val="none" w:sz="0" w:space="0" w:color="auto"/>
        <w:right w:val="none" w:sz="0" w:space="0" w:color="auto"/>
      </w:divBdr>
    </w:div>
    <w:div w:id="1453667091">
      <w:bodyDiv w:val="1"/>
      <w:marLeft w:val="0"/>
      <w:marRight w:val="0"/>
      <w:marTop w:val="0"/>
      <w:marBottom w:val="0"/>
      <w:divBdr>
        <w:top w:val="none" w:sz="0" w:space="0" w:color="auto"/>
        <w:left w:val="none" w:sz="0" w:space="0" w:color="auto"/>
        <w:bottom w:val="none" w:sz="0" w:space="0" w:color="auto"/>
        <w:right w:val="none" w:sz="0" w:space="0" w:color="auto"/>
      </w:divBdr>
    </w:div>
    <w:div w:id="1454666109">
      <w:bodyDiv w:val="1"/>
      <w:marLeft w:val="0"/>
      <w:marRight w:val="0"/>
      <w:marTop w:val="0"/>
      <w:marBottom w:val="0"/>
      <w:divBdr>
        <w:top w:val="none" w:sz="0" w:space="0" w:color="auto"/>
        <w:left w:val="none" w:sz="0" w:space="0" w:color="auto"/>
        <w:bottom w:val="none" w:sz="0" w:space="0" w:color="auto"/>
        <w:right w:val="none" w:sz="0" w:space="0" w:color="auto"/>
      </w:divBdr>
    </w:div>
    <w:div w:id="1455517039">
      <w:bodyDiv w:val="1"/>
      <w:marLeft w:val="0"/>
      <w:marRight w:val="0"/>
      <w:marTop w:val="0"/>
      <w:marBottom w:val="0"/>
      <w:divBdr>
        <w:top w:val="none" w:sz="0" w:space="0" w:color="auto"/>
        <w:left w:val="none" w:sz="0" w:space="0" w:color="auto"/>
        <w:bottom w:val="none" w:sz="0" w:space="0" w:color="auto"/>
        <w:right w:val="none" w:sz="0" w:space="0" w:color="auto"/>
      </w:divBdr>
    </w:div>
    <w:div w:id="1470829886">
      <w:bodyDiv w:val="1"/>
      <w:marLeft w:val="0"/>
      <w:marRight w:val="0"/>
      <w:marTop w:val="0"/>
      <w:marBottom w:val="0"/>
      <w:divBdr>
        <w:top w:val="none" w:sz="0" w:space="0" w:color="auto"/>
        <w:left w:val="none" w:sz="0" w:space="0" w:color="auto"/>
        <w:bottom w:val="none" w:sz="0" w:space="0" w:color="auto"/>
        <w:right w:val="none" w:sz="0" w:space="0" w:color="auto"/>
      </w:divBdr>
    </w:div>
    <w:div w:id="1470896210">
      <w:bodyDiv w:val="1"/>
      <w:marLeft w:val="0"/>
      <w:marRight w:val="0"/>
      <w:marTop w:val="0"/>
      <w:marBottom w:val="0"/>
      <w:divBdr>
        <w:top w:val="none" w:sz="0" w:space="0" w:color="auto"/>
        <w:left w:val="none" w:sz="0" w:space="0" w:color="auto"/>
        <w:bottom w:val="none" w:sz="0" w:space="0" w:color="auto"/>
        <w:right w:val="none" w:sz="0" w:space="0" w:color="auto"/>
      </w:divBdr>
    </w:div>
    <w:div w:id="1480657715">
      <w:bodyDiv w:val="1"/>
      <w:marLeft w:val="0"/>
      <w:marRight w:val="0"/>
      <w:marTop w:val="0"/>
      <w:marBottom w:val="0"/>
      <w:divBdr>
        <w:top w:val="none" w:sz="0" w:space="0" w:color="auto"/>
        <w:left w:val="none" w:sz="0" w:space="0" w:color="auto"/>
        <w:bottom w:val="none" w:sz="0" w:space="0" w:color="auto"/>
        <w:right w:val="none" w:sz="0" w:space="0" w:color="auto"/>
      </w:divBdr>
    </w:div>
    <w:div w:id="1490560313">
      <w:bodyDiv w:val="1"/>
      <w:marLeft w:val="0"/>
      <w:marRight w:val="0"/>
      <w:marTop w:val="0"/>
      <w:marBottom w:val="0"/>
      <w:divBdr>
        <w:top w:val="none" w:sz="0" w:space="0" w:color="auto"/>
        <w:left w:val="none" w:sz="0" w:space="0" w:color="auto"/>
        <w:bottom w:val="none" w:sz="0" w:space="0" w:color="auto"/>
        <w:right w:val="none" w:sz="0" w:space="0" w:color="auto"/>
      </w:divBdr>
    </w:div>
    <w:div w:id="1499228864">
      <w:bodyDiv w:val="1"/>
      <w:marLeft w:val="0"/>
      <w:marRight w:val="0"/>
      <w:marTop w:val="0"/>
      <w:marBottom w:val="0"/>
      <w:divBdr>
        <w:top w:val="none" w:sz="0" w:space="0" w:color="auto"/>
        <w:left w:val="none" w:sz="0" w:space="0" w:color="auto"/>
        <w:bottom w:val="none" w:sz="0" w:space="0" w:color="auto"/>
        <w:right w:val="none" w:sz="0" w:space="0" w:color="auto"/>
      </w:divBdr>
    </w:div>
    <w:div w:id="1517964192">
      <w:bodyDiv w:val="1"/>
      <w:marLeft w:val="0"/>
      <w:marRight w:val="0"/>
      <w:marTop w:val="0"/>
      <w:marBottom w:val="0"/>
      <w:divBdr>
        <w:top w:val="none" w:sz="0" w:space="0" w:color="auto"/>
        <w:left w:val="none" w:sz="0" w:space="0" w:color="auto"/>
        <w:bottom w:val="none" w:sz="0" w:space="0" w:color="auto"/>
        <w:right w:val="none" w:sz="0" w:space="0" w:color="auto"/>
      </w:divBdr>
    </w:div>
    <w:div w:id="1520437113">
      <w:bodyDiv w:val="1"/>
      <w:marLeft w:val="0"/>
      <w:marRight w:val="0"/>
      <w:marTop w:val="0"/>
      <w:marBottom w:val="0"/>
      <w:divBdr>
        <w:top w:val="none" w:sz="0" w:space="0" w:color="auto"/>
        <w:left w:val="none" w:sz="0" w:space="0" w:color="auto"/>
        <w:bottom w:val="none" w:sz="0" w:space="0" w:color="auto"/>
        <w:right w:val="none" w:sz="0" w:space="0" w:color="auto"/>
      </w:divBdr>
    </w:div>
    <w:div w:id="1528983247">
      <w:bodyDiv w:val="1"/>
      <w:marLeft w:val="0"/>
      <w:marRight w:val="0"/>
      <w:marTop w:val="0"/>
      <w:marBottom w:val="0"/>
      <w:divBdr>
        <w:top w:val="none" w:sz="0" w:space="0" w:color="auto"/>
        <w:left w:val="none" w:sz="0" w:space="0" w:color="auto"/>
        <w:bottom w:val="none" w:sz="0" w:space="0" w:color="auto"/>
        <w:right w:val="none" w:sz="0" w:space="0" w:color="auto"/>
      </w:divBdr>
    </w:div>
    <w:div w:id="1530028270">
      <w:bodyDiv w:val="1"/>
      <w:marLeft w:val="0"/>
      <w:marRight w:val="0"/>
      <w:marTop w:val="0"/>
      <w:marBottom w:val="0"/>
      <w:divBdr>
        <w:top w:val="none" w:sz="0" w:space="0" w:color="auto"/>
        <w:left w:val="none" w:sz="0" w:space="0" w:color="auto"/>
        <w:bottom w:val="none" w:sz="0" w:space="0" w:color="auto"/>
        <w:right w:val="none" w:sz="0" w:space="0" w:color="auto"/>
      </w:divBdr>
    </w:div>
    <w:div w:id="1532038916">
      <w:bodyDiv w:val="1"/>
      <w:marLeft w:val="0"/>
      <w:marRight w:val="0"/>
      <w:marTop w:val="0"/>
      <w:marBottom w:val="0"/>
      <w:divBdr>
        <w:top w:val="none" w:sz="0" w:space="0" w:color="auto"/>
        <w:left w:val="none" w:sz="0" w:space="0" w:color="auto"/>
        <w:bottom w:val="none" w:sz="0" w:space="0" w:color="auto"/>
        <w:right w:val="none" w:sz="0" w:space="0" w:color="auto"/>
      </w:divBdr>
    </w:div>
    <w:div w:id="1557739113">
      <w:bodyDiv w:val="1"/>
      <w:marLeft w:val="0"/>
      <w:marRight w:val="0"/>
      <w:marTop w:val="0"/>
      <w:marBottom w:val="0"/>
      <w:divBdr>
        <w:top w:val="none" w:sz="0" w:space="0" w:color="auto"/>
        <w:left w:val="none" w:sz="0" w:space="0" w:color="auto"/>
        <w:bottom w:val="none" w:sz="0" w:space="0" w:color="auto"/>
        <w:right w:val="none" w:sz="0" w:space="0" w:color="auto"/>
      </w:divBdr>
    </w:div>
    <w:div w:id="1566259213">
      <w:bodyDiv w:val="1"/>
      <w:marLeft w:val="0"/>
      <w:marRight w:val="0"/>
      <w:marTop w:val="0"/>
      <w:marBottom w:val="0"/>
      <w:divBdr>
        <w:top w:val="none" w:sz="0" w:space="0" w:color="auto"/>
        <w:left w:val="none" w:sz="0" w:space="0" w:color="auto"/>
        <w:bottom w:val="none" w:sz="0" w:space="0" w:color="auto"/>
        <w:right w:val="none" w:sz="0" w:space="0" w:color="auto"/>
      </w:divBdr>
    </w:div>
    <w:div w:id="1568880289">
      <w:bodyDiv w:val="1"/>
      <w:marLeft w:val="0"/>
      <w:marRight w:val="0"/>
      <w:marTop w:val="0"/>
      <w:marBottom w:val="0"/>
      <w:divBdr>
        <w:top w:val="none" w:sz="0" w:space="0" w:color="auto"/>
        <w:left w:val="none" w:sz="0" w:space="0" w:color="auto"/>
        <w:bottom w:val="none" w:sz="0" w:space="0" w:color="auto"/>
        <w:right w:val="none" w:sz="0" w:space="0" w:color="auto"/>
      </w:divBdr>
    </w:div>
    <w:div w:id="1569195828">
      <w:bodyDiv w:val="1"/>
      <w:marLeft w:val="0"/>
      <w:marRight w:val="0"/>
      <w:marTop w:val="0"/>
      <w:marBottom w:val="0"/>
      <w:divBdr>
        <w:top w:val="none" w:sz="0" w:space="0" w:color="auto"/>
        <w:left w:val="none" w:sz="0" w:space="0" w:color="auto"/>
        <w:bottom w:val="none" w:sz="0" w:space="0" w:color="auto"/>
        <w:right w:val="none" w:sz="0" w:space="0" w:color="auto"/>
      </w:divBdr>
    </w:div>
    <w:div w:id="1580561288">
      <w:bodyDiv w:val="1"/>
      <w:marLeft w:val="0"/>
      <w:marRight w:val="0"/>
      <w:marTop w:val="0"/>
      <w:marBottom w:val="0"/>
      <w:divBdr>
        <w:top w:val="none" w:sz="0" w:space="0" w:color="auto"/>
        <w:left w:val="none" w:sz="0" w:space="0" w:color="auto"/>
        <w:bottom w:val="none" w:sz="0" w:space="0" w:color="auto"/>
        <w:right w:val="none" w:sz="0" w:space="0" w:color="auto"/>
      </w:divBdr>
    </w:div>
    <w:div w:id="1589271164">
      <w:bodyDiv w:val="1"/>
      <w:marLeft w:val="0"/>
      <w:marRight w:val="0"/>
      <w:marTop w:val="0"/>
      <w:marBottom w:val="0"/>
      <w:divBdr>
        <w:top w:val="none" w:sz="0" w:space="0" w:color="auto"/>
        <w:left w:val="none" w:sz="0" w:space="0" w:color="auto"/>
        <w:bottom w:val="none" w:sz="0" w:space="0" w:color="auto"/>
        <w:right w:val="none" w:sz="0" w:space="0" w:color="auto"/>
      </w:divBdr>
    </w:div>
    <w:div w:id="1591041570">
      <w:bodyDiv w:val="1"/>
      <w:marLeft w:val="0"/>
      <w:marRight w:val="0"/>
      <w:marTop w:val="0"/>
      <w:marBottom w:val="0"/>
      <w:divBdr>
        <w:top w:val="none" w:sz="0" w:space="0" w:color="auto"/>
        <w:left w:val="none" w:sz="0" w:space="0" w:color="auto"/>
        <w:bottom w:val="none" w:sz="0" w:space="0" w:color="auto"/>
        <w:right w:val="none" w:sz="0" w:space="0" w:color="auto"/>
      </w:divBdr>
    </w:div>
    <w:div w:id="1597245065">
      <w:bodyDiv w:val="1"/>
      <w:marLeft w:val="0"/>
      <w:marRight w:val="0"/>
      <w:marTop w:val="0"/>
      <w:marBottom w:val="0"/>
      <w:divBdr>
        <w:top w:val="none" w:sz="0" w:space="0" w:color="auto"/>
        <w:left w:val="none" w:sz="0" w:space="0" w:color="auto"/>
        <w:bottom w:val="none" w:sz="0" w:space="0" w:color="auto"/>
        <w:right w:val="none" w:sz="0" w:space="0" w:color="auto"/>
      </w:divBdr>
    </w:div>
    <w:div w:id="1598060125">
      <w:bodyDiv w:val="1"/>
      <w:marLeft w:val="0"/>
      <w:marRight w:val="0"/>
      <w:marTop w:val="0"/>
      <w:marBottom w:val="0"/>
      <w:divBdr>
        <w:top w:val="none" w:sz="0" w:space="0" w:color="auto"/>
        <w:left w:val="none" w:sz="0" w:space="0" w:color="auto"/>
        <w:bottom w:val="none" w:sz="0" w:space="0" w:color="auto"/>
        <w:right w:val="none" w:sz="0" w:space="0" w:color="auto"/>
      </w:divBdr>
    </w:div>
    <w:div w:id="1613054961">
      <w:bodyDiv w:val="1"/>
      <w:marLeft w:val="0"/>
      <w:marRight w:val="0"/>
      <w:marTop w:val="0"/>
      <w:marBottom w:val="0"/>
      <w:divBdr>
        <w:top w:val="none" w:sz="0" w:space="0" w:color="auto"/>
        <w:left w:val="none" w:sz="0" w:space="0" w:color="auto"/>
        <w:bottom w:val="none" w:sz="0" w:space="0" w:color="auto"/>
        <w:right w:val="none" w:sz="0" w:space="0" w:color="auto"/>
      </w:divBdr>
    </w:div>
    <w:div w:id="1618680354">
      <w:bodyDiv w:val="1"/>
      <w:marLeft w:val="0"/>
      <w:marRight w:val="0"/>
      <w:marTop w:val="0"/>
      <w:marBottom w:val="0"/>
      <w:divBdr>
        <w:top w:val="none" w:sz="0" w:space="0" w:color="auto"/>
        <w:left w:val="none" w:sz="0" w:space="0" w:color="auto"/>
        <w:bottom w:val="none" w:sz="0" w:space="0" w:color="auto"/>
        <w:right w:val="none" w:sz="0" w:space="0" w:color="auto"/>
      </w:divBdr>
    </w:div>
    <w:div w:id="1619678126">
      <w:bodyDiv w:val="1"/>
      <w:marLeft w:val="0"/>
      <w:marRight w:val="0"/>
      <w:marTop w:val="0"/>
      <w:marBottom w:val="0"/>
      <w:divBdr>
        <w:top w:val="none" w:sz="0" w:space="0" w:color="auto"/>
        <w:left w:val="none" w:sz="0" w:space="0" w:color="auto"/>
        <w:bottom w:val="none" w:sz="0" w:space="0" w:color="auto"/>
        <w:right w:val="none" w:sz="0" w:space="0" w:color="auto"/>
      </w:divBdr>
    </w:div>
    <w:div w:id="1619799225">
      <w:bodyDiv w:val="1"/>
      <w:marLeft w:val="0"/>
      <w:marRight w:val="0"/>
      <w:marTop w:val="0"/>
      <w:marBottom w:val="0"/>
      <w:divBdr>
        <w:top w:val="none" w:sz="0" w:space="0" w:color="auto"/>
        <w:left w:val="none" w:sz="0" w:space="0" w:color="auto"/>
        <w:bottom w:val="none" w:sz="0" w:space="0" w:color="auto"/>
        <w:right w:val="none" w:sz="0" w:space="0" w:color="auto"/>
      </w:divBdr>
    </w:div>
    <w:div w:id="1628900116">
      <w:bodyDiv w:val="1"/>
      <w:marLeft w:val="0"/>
      <w:marRight w:val="0"/>
      <w:marTop w:val="0"/>
      <w:marBottom w:val="0"/>
      <w:divBdr>
        <w:top w:val="none" w:sz="0" w:space="0" w:color="auto"/>
        <w:left w:val="none" w:sz="0" w:space="0" w:color="auto"/>
        <w:bottom w:val="none" w:sz="0" w:space="0" w:color="auto"/>
        <w:right w:val="none" w:sz="0" w:space="0" w:color="auto"/>
      </w:divBdr>
    </w:div>
    <w:div w:id="1629429772">
      <w:bodyDiv w:val="1"/>
      <w:marLeft w:val="0"/>
      <w:marRight w:val="0"/>
      <w:marTop w:val="0"/>
      <w:marBottom w:val="0"/>
      <w:divBdr>
        <w:top w:val="none" w:sz="0" w:space="0" w:color="auto"/>
        <w:left w:val="none" w:sz="0" w:space="0" w:color="auto"/>
        <w:bottom w:val="none" w:sz="0" w:space="0" w:color="auto"/>
        <w:right w:val="none" w:sz="0" w:space="0" w:color="auto"/>
      </w:divBdr>
    </w:div>
    <w:div w:id="1641492616">
      <w:bodyDiv w:val="1"/>
      <w:marLeft w:val="0"/>
      <w:marRight w:val="0"/>
      <w:marTop w:val="0"/>
      <w:marBottom w:val="0"/>
      <w:divBdr>
        <w:top w:val="none" w:sz="0" w:space="0" w:color="auto"/>
        <w:left w:val="none" w:sz="0" w:space="0" w:color="auto"/>
        <w:bottom w:val="none" w:sz="0" w:space="0" w:color="auto"/>
        <w:right w:val="none" w:sz="0" w:space="0" w:color="auto"/>
      </w:divBdr>
    </w:div>
    <w:div w:id="1647780239">
      <w:bodyDiv w:val="1"/>
      <w:marLeft w:val="0"/>
      <w:marRight w:val="0"/>
      <w:marTop w:val="0"/>
      <w:marBottom w:val="0"/>
      <w:divBdr>
        <w:top w:val="none" w:sz="0" w:space="0" w:color="auto"/>
        <w:left w:val="none" w:sz="0" w:space="0" w:color="auto"/>
        <w:bottom w:val="none" w:sz="0" w:space="0" w:color="auto"/>
        <w:right w:val="none" w:sz="0" w:space="0" w:color="auto"/>
      </w:divBdr>
    </w:div>
    <w:div w:id="1648902783">
      <w:bodyDiv w:val="1"/>
      <w:marLeft w:val="0"/>
      <w:marRight w:val="0"/>
      <w:marTop w:val="0"/>
      <w:marBottom w:val="0"/>
      <w:divBdr>
        <w:top w:val="none" w:sz="0" w:space="0" w:color="auto"/>
        <w:left w:val="none" w:sz="0" w:space="0" w:color="auto"/>
        <w:bottom w:val="none" w:sz="0" w:space="0" w:color="auto"/>
        <w:right w:val="none" w:sz="0" w:space="0" w:color="auto"/>
      </w:divBdr>
    </w:div>
    <w:div w:id="1656952327">
      <w:bodyDiv w:val="1"/>
      <w:marLeft w:val="0"/>
      <w:marRight w:val="0"/>
      <w:marTop w:val="0"/>
      <w:marBottom w:val="0"/>
      <w:divBdr>
        <w:top w:val="none" w:sz="0" w:space="0" w:color="auto"/>
        <w:left w:val="none" w:sz="0" w:space="0" w:color="auto"/>
        <w:bottom w:val="none" w:sz="0" w:space="0" w:color="auto"/>
        <w:right w:val="none" w:sz="0" w:space="0" w:color="auto"/>
      </w:divBdr>
    </w:div>
    <w:div w:id="1672949212">
      <w:bodyDiv w:val="1"/>
      <w:marLeft w:val="0"/>
      <w:marRight w:val="0"/>
      <w:marTop w:val="0"/>
      <w:marBottom w:val="0"/>
      <w:divBdr>
        <w:top w:val="none" w:sz="0" w:space="0" w:color="auto"/>
        <w:left w:val="none" w:sz="0" w:space="0" w:color="auto"/>
        <w:bottom w:val="none" w:sz="0" w:space="0" w:color="auto"/>
        <w:right w:val="none" w:sz="0" w:space="0" w:color="auto"/>
      </w:divBdr>
    </w:div>
    <w:div w:id="1675374341">
      <w:bodyDiv w:val="1"/>
      <w:marLeft w:val="0"/>
      <w:marRight w:val="0"/>
      <w:marTop w:val="0"/>
      <w:marBottom w:val="0"/>
      <w:divBdr>
        <w:top w:val="none" w:sz="0" w:space="0" w:color="auto"/>
        <w:left w:val="none" w:sz="0" w:space="0" w:color="auto"/>
        <w:bottom w:val="none" w:sz="0" w:space="0" w:color="auto"/>
        <w:right w:val="none" w:sz="0" w:space="0" w:color="auto"/>
      </w:divBdr>
    </w:div>
    <w:div w:id="1677420149">
      <w:bodyDiv w:val="1"/>
      <w:marLeft w:val="0"/>
      <w:marRight w:val="0"/>
      <w:marTop w:val="0"/>
      <w:marBottom w:val="0"/>
      <w:divBdr>
        <w:top w:val="none" w:sz="0" w:space="0" w:color="auto"/>
        <w:left w:val="none" w:sz="0" w:space="0" w:color="auto"/>
        <w:bottom w:val="none" w:sz="0" w:space="0" w:color="auto"/>
        <w:right w:val="none" w:sz="0" w:space="0" w:color="auto"/>
      </w:divBdr>
    </w:div>
    <w:div w:id="1682585852">
      <w:bodyDiv w:val="1"/>
      <w:marLeft w:val="0"/>
      <w:marRight w:val="0"/>
      <w:marTop w:val="0"/>
      <w:marBottom w:val="0"/>
      <w:divBdr>
        <w:top w:val="none" w:sz="0" w:space="0" w:color="auto"/>
        <w:left w:val="none" w:sz="0" w:space="0" w:color="auto"/>
        <w:bottom w:val="none" w:sz="0" w:space="0" w:color="auto"/>
        <w:right w:val="none" w:sz="0" w:space="0" w:color="auto"/>
      </w:divBdr>
    </w:div>
    <w:div w:id="1687101225">
      <w:bodyDiv w:val="1"/>
      <w:marLeft w:val="0"/>
      <w:marRight w:val="0"/>
      <w:marTop w:val="0"/>
      <w:marBottom w:val="0"/>
      <w:divBdr>
        <w:top w:val="none" w:sz="0" w:space="0" w:color="auto"/>
        <w:left w:val="none" w:sz="0" w:space="0" w:color="auto"/>
        <w:bottom w:val="none" w:sz="0" w:space="0" w:color="auto"/>
        <w:right w:val="none" w:sz="0" w:space="0" w:color="auto"/>
      </w:divBdr>
    </w:div>
    <w:div w:id="1691832764">
      <w:bodyDiv w:val="1"/>
      <w:marLeft w:val="0"/>
      <w:marRight w:val="0"/>
      <w:marTop w:val="0"/>
      <w:marBottom w:val="0"/>
      <w:divBdr>
        <w:top w:val="none" w:sz="0" w:space="0" w:color="auto"/>
        <w:left w:val="none" w:sz="0" w:space="0" w:color="auto"/>
        <w:bottom w:val="none" w:sz="0" w:space="0" w:color="auto"/>
        <w:right w:val="none" w:sz="0" w:space="0" w:color="auto"/>
      </w:divBdr>
    </w:div>
    <w:div w:id="1692368477">
      <w:bodyDiv w:val="1"/>
      <w:marLeft w:val="0"/>
      <w:marRight w:val="0"/>
      <w:marTop w:val="0"/>
      <w:marBottom w:val="0"/>
      <w:divBdr>
        <w:top w:val="none" w:sz="0" w:space="0" w:color="auto"/>
        <w:left w:val="none" w:sz="0" w:space="0" w:color="auto"/>
        <w:bottom w:val="none" w:sz="0" w:space="0" w:color="auto"/>
        <w:right w:val="none" w:sz="0" w:space="0" w:color="auto"/>
      </w:divBdr>
    </w:div>
    <w:div w:id="1718432223">
      <w:bodyDiv w:val="1"/>
      <w:marLeft w:val="0"/>
      <w:marRight w:val="0"/>
      <w:marTop w:val="0"/>
      <w:marBottom w:val="0"/>
      <w:divBdr>
        <w:top w:val="none" w:sz="0" w:space="0" w:color="auto"/>
        <w:left w:val="none" w:sz="0" w:space="0" w:color="auto"/>
        <w:bottom w:val="none" w:sz="0" w:space="0" w:color="auto"/>
        <w:right w:val="none" w:sz="0" w:space="0" w:color="auto"/>
      </w:divBdr>
    </w:div>
    <w:div w:id="1720545432">
      <w:bodyDiv w:val="1"/>
      <w:marLeft w:val="0"/>
      <w:marRight w:val="0"/>
      <w:marTop w:val="0"/>
      <w:marBottom w:val="0"/>
      <w:divBdr>
        <w:top w:val="none" w:sz="0" w:space="0" w:color="auto"/>
        <w:left w:val="none" w:sz="0" w:space="0" w:color="auto"/>
        <w:bottom w:val="none" w:sz="0" w:space="0" w:color="auto"/>
        <w:right w:val="none" w:sz="0" w:space="0" w:color="auto"/>
      </w:divBdr>
    </w:div>
    <w:div w:id="1721634349">
      <w:bodyDiv w:val="1"/>
      <w:marLeft w:val="0"/>
      <w:marRight w:val="0"/>
      <w:marTop w:val="0"/>
      <w:marBottom w:val="0"/>
      <w:divBdr>
        <w:top w:val="none" w:sz="0" w:space="0" w:color="auto"/>
        <w:left w:val="none" w:sz="0" w:space="0" w:color="auto"/>
        <w:bottom w:val="none" w:sz="0" w:space="0" w:color="auto"/>
        <w:right w:val="none" w:sz="0" w:space="0" w:color="auto"/>
      </w:divBdr>
    </w:div>
    <w:div w:id="1739816588">
      <w:bodyDiv w:val="1"/>
      <w:marLeft w:val="0"/>
      <w:marRight w:val="0"/>
      <w:marTop w:val="0"/>
      <w:marBottom w:val="0"/>
      <w:divBdr>
        <w:top w:val="none" w:sz="0" w:space="0" w:color="auto"/>
        <w:left w:val="none" w:sz="0" w:space="0" w:color="auto"/>
        <w:bottom w:val="none" w:sz="0" w:space="0" w:color="auto"/>
        <w:right w:val="none" w:sz="0" w:space="0" w:color="auto"/>
      </w:divBdr>
    </w:div>
    <w:div w:id="1742285926">
      <w:bodyDiv w:val="1"/>
      <w:marLeft w:val="0"/>
      <w:marRight w:val="0"/>
      <w:marTop w:val="0"/>
      <w:marBottom w:val="0"/>
      <w:divBdr>
        <w:top w:val="none" w:sz="0" w:space="0" w:color="auto"/>
        <w:left w:val="none" w:sz="0" w:space="0" w:color="auto"/>
        <w:bottom w:val="none" w:sz="0" w:space="0" w:color="auto"/>
        <w:right w:val="none" w:sz="0" w:space="0" w:color="auto"/>
      </w:divBdr>
    </w:div>
    <w:div w:id="1747923460">
      <w:bodyDiv w:val="1"/>
      <w:marLeft w:val="0"/>
      <w:marRight w:val="0"/>
      <w:marTop w:val="0"/>
      <w:marBottom w:val="0"/>
      <w:divBdr>
        <w:top w:val="none" w:sz="0" w:space="0" w:color="auto"/>
        <w:left w:val="none" w:sz="0" w:space="0" w:color="auto"/>
        <w:bottom w:val="none" w:sz="0" w:space="0" w:color="auto"/>
        <w:right w:val="none" w:sz="0" w:space="0" w:color="auto"/>
      </w:divBdr>
    </w:div>
    <w:div w:id="1752964605">
      <w:bodyDiv w:val="1"/>
      <w:marLeft w:val="0"/>
      <w:marRight w:val="0"/>
      <w:marTop w:val="0"/>
      <w:marBottom w:val="0"/>
      <w:divBdr>
        <w:top w:val="none" w:sz="0" w:space="0" w:color="auto"/>
        <w:left w:val="none" w:sz="0" w:space="0" w:color="auto"/>
        <w:bottom w:val="none" w:sz="0" w:space="0" w:color="auto"/>
        <w:right w:val="none" w:sz="0" w:space="0" w:color="auto"/>
      </w:divBdr>
    </w:div>
    <w:div w:id="1759407299">
      <w:bodyDiv w:val="1"/>
      <w:marLeft w:val="0"/>
      <w:marRight w:val="0"/>
      <w:marTop w:val="0"/>
      <w:marBottom w:val="0"/>
      <w:divBdr>
        <w:top w:val="none" w:sz="0" w:space="0" w:color="auto"/>
        <w:left w:val="none" w:sz="0" w:space="0" w:color="auto"/>
        <w:bottom w:val="none" w:sz="0" w:space="0" w:color="auto"/>
        <w:right w:val="none" w:sz="0" w:space="0" w:color="auto"/>
      </w:divBdr>
    </w:div>
    <w:div w:id="1768965053">
      <w:bodyDiv w:val="1"/>
      <w:marLeft w:val="0"/>
      <w:marRight w:val="0"/>
      <w:marTop w:val="0"/>
      <w:marBottom w:val="0"/>
      <w:divBdr>
        <w:top w:val="none" w:sz="0" w:space="0" w:color="auto"/>
        <w:left w:val="none" w:sz="0" w:space="0" w:color="auto"/>
        <w:bottom w:val="none" w:sz="0" w:space="0" w:color="auto"/>
        <w:right w:val="none" w:sz="0" w:space="0" w:color="auto"/>
      </w:divBdr>
    </w:div>
    <w:div w:id="1778134967">
      <w:bodyDiv w:val="1"/>
      <w:marLeft w:val="0"/>
      <w:marRight w:val="0"/>
      <w:marTop w:val="0"/>
      <w:marBottom w:val="0"/>
      <w:divBdr>
        <w:top w:val="none" w:sz="0" w:space="0" w:color="auto"/>
        <w:left w:val="none" w:sz="0" w:space="0" w:color="auto"/>
        <w:bottom w:val="none" w:sz="0" w:space="0" w:color="auto"/>
        <w:right w:val="none" w:sz="0" w:space="0" w:color="auto"/>
      </w:divBdr>
    </w:div>
    <w:div w:id="1780759913">
      <w:bodyDiv w:val="1"/>
      <w:marLeft w:val="0"/>
      <w:marRight w:val="0"/>
      <w:marTop w:val="0"/>
      <w:marBottom w:val="0"/>
      <w:divBdr>
        <w:top w:val="none" w:sz="0" w:space="0" w:color="auto"/>
        <w:left w:val="none" w:sz="0" w:space="0" w:color="auto"/>
        <w:bottom w:val="none" w:sz="0" w:space="0" w:color="auto"/>
        <w:right w:val="none" w:sz="0" w:space="0" w:color="auto"/>
      </w:divBdr>
    </w:div>
    <w:div w:id="1784181736">
      <w:bodyDiv w:val="1"/>
      <w:marLeft w:val="0"/>
      <w:marRight w:val="0"/>
      <w:marTop w:val="0"/>
      <w:marBottom w:val="0"/>
      <w:divBdr>
        <w:top w:val="none" w:sz="0" w:space="0" w:color="auto"/>
        <w:left w:val="none" w:sz="0" w:space="0" w:color="auto"/>
        <w:bottom w:val="none" w:sz="0" w:space="0" w:color="auto"/>
        <w:right w:val="none" w:sz="0" w:space="0" w:color="auto"/>
      </w:divBdr>
    </w:div>
    <w:div w:id="1790126751">
      <w:bodyDiv w:val="1"/>
      <w:marLeft w:val="0"/>
      <w:marRight w:val="0"/>
      <w:marTop w:val="0"/>
      <w:marBottom w:val="0"/>
      <w:divBdr>
        <w:top w:val="none" w:sz="0" w:space="0" w:color="auto"/>
        <w:left w:val="none" w:sz="0" w:space="0" w:color="auto"/>
        <w:bottom w:val="none" w:sz="0" w:space="0" w:color="auto"/>
        <w:right w:val="none" w:sz="0" w:space="0" w:color="auto"/>
      </w:divBdr>
    </w:div>
    <w:div w:id="1797211173">
      <w:bodyDiv w:val="1"/>
      <w:marLeft w:val="0"/>
      <w:marRight w:val="0"/>
      <w:marTop w:val="0"/>
      <w:marBottom w:val="0"/>
      <w:divBdr>
        <w:top w:val="none" w:sz="0" w:space="0" w:color="auto"/>
        <w:left w:val="none" w:sz="0" w:space="0" w:color="auto"/>
        <w:bottom w:val="none" w:sz="0" w:space="0" w:color="auto"/>
        <w:right w:val="none" w:sz="0" w:space="0" w:color="auto"/>
      </w:divBdr>
    </w:div>
    <w:div w:id="1798797269">
      <w:bodyDiv w:val="1"/>
      <w:marLeft w:val="0"/>
      <w:marRight w:val="0"/>
      <w:marTop w:val="0"/>
      <w:marBottom w:val="0"/>
      <w:divBdr>
        <w:top w:val="none" w:sz="0" w:space="0" w:color="auto"/>
        <w:left w:val="none" w:sz="0" w:space="0" w:color="auto"/>
        <w:bottom w:val="none" w:sz="0" w:space="0" w:color="auto"/>
        <w:right w:val="none" w:sz="0" w:space="0" w:color="auto"/>
      </w:divBdr>
    </w:div>
    <w:div w:id="1798987052">
      <w:bodyDiv w:val="1"/>
      <w:marLeft w:val="0"/>
      <w:marRight w:val="0"/>
      <w:marTop w:val="0"/>
      <w:marBottom w:val="0"/>
      <w:divBdr>
        <w:top w:val="none" w:sz="0" w:space="0" w:color="auto"/>
        <w:left w:val="none" w:sz="0" w:space="0" w:color="auto"/>
        <w:bottom w:val="none" w:sz="0" w:space="0" w:color="auto"/>
        <w:right w:val="none" w:sz="0" w:space="0" w:color="auto"/>
      </w:divBdr>
    </w:div>
    <w:div w:id="1802260870">
      <w:bodyDiv w:val="1"/>
      <w:marLeft w:val="0"/>
      <w:marRight w:val="0"/>
      <w:marTop w:val="0"/>
      <w:marBottom w:val="0"/>
      <w:divBdr>
        <w:top w:val="none" w:sz="0" w:space="0" w:color="auto"/>
        <w:left w:val="none" w:sz="0" w:space="0" w:color="auto"/>
        <w:bottom w:val="none" w:sz="0" w:space="0" w:color="auto"/>
        <w:right w:val="none" w:sz="0" w:space="0" w:color="auto"/>
      </w:divBdr>
    </w:div>
    <w:div w:id="1803646630">
      <w:bodyDiv w:val="1"/>
      <w:marLeft w:val="0"/>
      <w:marRight w:val="0"/>
      <w:marTop w:val="0"/>
      <w:marBottom w:val="0"/>
      <w:divBdr>
        <w:top w:val="none" w:sz="0" w:space="0" w:color="auto"/>
        <w:left w:val="none" w:sz="0" w:space="0" w:color="auto"/>
        <w:bottom w:val="none" w:sz="0" w:space="0" w:color="auto"/>
        <w:right w:val="none" w:sz="0" w:space="0" w:color="auto"/>
      </w:divBdr>
    </w:div>
    <w:div w:id="1809397487">
      <w:bodyDiv w:val="1"/>
      <w:marLeft w:val="0"/>
      <w:marRight w:val="0"/>
      <w:marTop w:val="0"/>
      <w:marBottom w:val="0"/>
      <w:divBdr>
        <w:top w:val="none" w:sz="0" w:space="0" w:color="auto"/>
        <w:left w:val="none" w:sz="0" w:space="0" w:color="auto"/>
        <w:bottom w:val="none" w:sz="0" w:space="0" w:color="auto"/>
        <w:right w:val="none" w:sz="0" w:space="0" w:color="auto"/>
      </w:divBdr>
    </w:div>
    <w:div w:id="1815684734">
      <w:bodyDiv w:val="1"/>
      <w:marLeft w:val="0"/>
      <w:marRight w:val="0"/>
      <w:marTop w:val="0"/>
      <w:marBottom w:val="0"/>
      <w:divBdr>
        <w:top w:val="none" w:sz="0" w:space="0" w:color="auto"/>
        <w:left w:val="none" w:sz="0" w:space="0" w:color="auto"/>
        <w:bottom w:val="none" w:sz="0" w:space="0" w:color="auto"/>
        <w:right w:val="none" w:sz="0" w:space="0" w:color="auto"/>
      </w:divBdr>
    </w:div>
    <w:div w:id="1836916679">
      <w:bodyDiv w:val="1"/>
      <w:marLeft w:val="0"/>
      <w:marRight w:val="0"/>
      <w:marTop w:val="0"/>
      <w:marBottom w:val="0"/>
      <w:divBdr>
        <w:top w:val="none" w:sz="0" w:space="0" w:color="auto"/>
        <w:left w:val="none" w:sz="0" w:space="0" w:color="auto"/>
        <w:bottom w:val="none" w:sz="0" w:space="0" w:color="auto"/>
        <w:right w:val="none" w:sz="0" w:space="0" w:color="auto"/>
      </w:divBdr>
    </w:div>
    <w:div w:id="1845167792">
      <w:bodyDiv w:val="1"/>
      <w:marLeft w:val="0"/>
      <w:marRight w:val="0"/>
      <w:marTop w:val="0"/>
      <w:marBottom w:val="0"/>
      <w:divBdr>
        <w:top w:val="none" w:sz="0" w:space="0" w:color="auto"/>
        <w:left w:val="none" w:sz="0" w:space="0" w:color="auto"/>
        <w:bottom w:val="none" w:sz="0" w:space="0" w:color="auto"/>
        <w:right w:val="none" w:sz="0" w:space="0" w:color="auto"/>
      </w:divBdr>
    </w:div>
    <w:div w:id="1845704881">
      <w:bodyDiv w:val="1"/>
      <w:marLeft w:val="0"/>
      <w:marRight w:val="0"/>
      <w:marTop w:val="0"/>
      <w:marBottom w:val="0"/>
      <w:divBdr>
        <w:top w:val="none" w:sz="0" w:space="0" w:color="auto"/>
        <w:left w:val="none" w:sz="0" w:space="0" w:color="auto"/>
        <w:bottom w:val="none" w:sz="0" w:space="0" w:color="auto"/>
        <w:right w:val="none" w:sz="0" w:space="0" w:color="auto"/>
      </w:divBdr>
    </w:div>
    <w:div w:id="1845853661">
      <w:bodyDiv w:val="1"/>
      <w:marLeft w:val="0"/>
      <w:marRight w:val="0"/>
      <w:marTop w:val="0"/>
      <w:marBottom w:val="0"/>
      <w:divBdr>
        <w:top w:val="none" w:sz="0" w:space="0" w:color="auto"/>
        <w:left w:val="none" w:sz="0" w:space="0" w:color="auto"/>
        <w:bottom w:val="none" w:sz="0" w:space="0" w:color="auto"/>
        <w:right w:val="none" w:sz="0" w:space="0" w:color="auto"/>
      </w:divBdr>
    </w:div>
    <w:div w:id="1854148123">
      <w:bodyDiv w:val="1"/>
      <w:marLeft w:val="0"/>
      <w:marRight w:val="0"/>
      <w:marTop w:val="0"/>
      <w:marBottom w:val="0"/>
      <w:divBdr>
        <w:top w:val="none" w:sz="0" w:space="0" w:color="auto"/>
        <w:left w:val="none" w:sz="0" w:space="0" w:color="auto"/>
        <w:bottom w:val="none" w:sz="0" w:space="0" w:color="auto"/>
        <w:right w:val="none" w:sz="0" w:space="0" w:color="auto"/>
      </w:divBdr>
    </w:div>
    <w:div w:id="1856922205">
      <w:bodyDiv w:val="1"/>
      <w:marLeft w:val="0"/>
      <w:marRight w:val="0"/>
      <w:marTop w:val="0"/>
      <w:marBottom w:val="0"/>
      <w:divBdr>
        <w:top w:val="none" w:sz="0" w:space="0" w:color="auto"/>
        <w:left w:val="none" w:sz="0" w:space="0" w:color="auto"/>
        <w:bottom w:val="none" w:sz="0" w:space="0" w:color="auto"/>
        <w:right w:val="none" w:sz="0" w:space="0" w:color="auto"/>
      </w:divBdr>
    </w:div>
    <w:div w:id="1860042918">
      <w:bodyDiv w:val="1"/>
      <w:marLeft w:val="0"/>
      <w:marRight w:val="0"/>
      <w:marTop w:val="0"/>
      <w:marBottom w:val="0"/>
      <w:divBdr>
        <w:top w:val="none" w:sz="0" w:space="0" w:color="auto"/>
        <w:left w:val="none" w:sz="0" w:space="0" w:color="auto"/>
        <w:bottom w:val="none" w:sz="0" w:space="0" w:color="auto"/>
        <w:right w:val="none" w:sz="0" w:space="0" w:color="auto"/>
      </w:divBdr>
    </w:div>
    <w:div w:id="1867791106">
      <w:bodyDiv w:val="1"/>
      <w:marLeft w:val="0"/>
      <w:marRight w:val="0"/>
      <w:marTop w:val="0"/>
      <w:marBottom w:val="0"/>
      <w:divBdr>
        <w:top w:val="none" w:sz="0" w:space="0" w:color="auto"/>
        <w:left w:val="none" w:sz="0" w:space="0" w:color="auto"/>
        <w:bottom w:val="none" w:sz="0" w:space="0" w:color="auto"/>
        <w:right w:val="none" w:sz="0" w:space="0" w:color="auto"/>
      </w:divBdr>
    </w:div>
    <w:div w:id="1873608719">
      <w:bodyDiv w:val="1"/>
      <w:marLeft w:val="0"/>
      <w:marRight w:val="0"/>
      <w:marTop w:val="0"/>
      <w:marBottom w:val="0"/>
      <w:divBdr>
        <w:top w:val="none" w:sz="0" w:space="0" w:color="auto"/>
        <w:left w:val="none" w:sz="0" w:space="0" w:color="auto"/>
        <w:bottom w:val="none" w:sz="0" w:space="0" w:color="auto"/>
        <w:right w:val="none" w:sz="0" w:space="0" w:color="auto"/>
      </w:divBdr>
    </w:div>
    <w:div w:id="1876043182">
      <w:bodyDiv w:val="1"/>
      <w:marLeft w:val="0"/>
      <w:marRight w:val="0"/>
      <w:marTop w:val="0"/>
      <w:marBottom w:val="0"/>
      <w:divBdr>
        <w:top w:val="none" w:sz="0" w:space="0" w:color="auto"/>
        <w:left w:val="none" w:sz="0" w:space="0" w:color="auto"/>
        <w:bottom w:val="none" w:sz="0" w:space="0" w:color="auto"/>
        <w:right w:val="none" w:sz="0" w:space="0" w:color="auto"/>
      </w:divBdr>
    </w:div>
    <w:div w:id="1888949947">
      <w:bodyDiv w:val="1"/>
      <w:marLeft w:val="0"/>
      <w:marRight w:val="0"/>
      <w:marTop w:val="0"/>
      <w:marBottom w:val="0"/>
      <w:divBdr>
        <w:top w:val="none" w:sz="0" w:space="0" w:color="auto"/>
        <w:left w:val="none" w:sz="0" w:space="0" w:color="auto"/>
        <w:bottom w:val="none" w:sz="0" w:space="0" w:color="auto"/>
        <w:right w:val="none" w:sz="0" w:space="0" w:color="auto"/>
      </w:divBdr>
    </w:div>
    <w:div w:id="1900632601">
      <w:bodyDiv w:val="1"/>
      <w:marLeft w:val="0"/>
      <w:marRight w:val="0"/>
      <w:marTop w:val="0"/>
      <w:marBottom w:val="0"/>
      <w:divBdr>
        <w:top w:val="none" w:sz="0" w:space="0" w:color="auto"/>
        <w:left w:val="none" w:sz="0" w:space="0" w:color="auto"/>
        <w:bottom w:val="none" w:sz="0" w:space="0" w:color="auto"/>
        <w:right w:val="none" w:sz="0" w:space="0" w:color="auto"/>
      </w:divBdr>
    </w:div>
    <w:div w:id="1903100485">
      <w:bodyDiv w:val="1"/>
      <w:marLeft w:val="0"/>
      <w:marRight w:val="0"/>
      <w:marTop w:val="0"/>
      <w:marBottom w:val="0"/>
      <w:divBdr>
        <w:top w:val="none" w:sz="0" w:space="0" w:color="auto"/>
        <w:left w:val="none" w:sz="0" w:space="0" w:color="auto"/>
        <w:bottom w:val="none" w:sz="0" w:space="0" w:color="auto"/>
        <w:right w:val="none" w:sz="0" w:space="0" w:color="auto"/>
      </w:divBdr>
    </w:div>
    <w:div w:id="1903104487">
      <w:bodyDiv w:val="1"/>
      <w:marLeft w:val="0"/>
      <w:marRight w:val="0"/>
      <w:marTop w:val="0"/>
      <w:marBottom w:val="0"/>
      <w:divBdr>
        <w:top w:val="none" w:sz="0" w:space="0" w:color="auto"/>
        <w:left w:val="none" w:sz="0" w:space="0" w:color="auto"/>
        <w:bottom w:val="none" w:sz="0" w:space="0" w:color="auto"/>
        <w:right w:val="none" w:sz="0" w:space="0" w:color="auto"/>
      </w:divBdr>
    </w:div>
    <w:div w:id="1904902056">
      <w:bodyDiv w:val="1"/>
      <w:marLeft w:val="0"/>
      <w:marRight w:val="0"/>
      <w:marTop w:val="0"/>
      <w:marBottom w:val="0"/>
      <w:divBdr>
        <w:top w:val="none" w:sz="0" w:space="0" w:color="auto"/>
        <w:left w:val="none" w:sz="0" w:space="0" w:color="auto"/>
        <w:bottom w:val="none" w:sz="0" w:space="0" w:color="auto"/>
        <w:right w:val="none" w:sz="0" w:space="0" w:color="auto"/>
      </w:divBdr>
    </w:div>
    <w:div w:id="1913926267">
      <w:bodyDiv w:val="1"/>
      <w:marLeft w:val="0"/>
      <w:marRight w:val="0"/>
      <w:marTop w:val="0"/>
      <w:marBottom w:val="0"/>
      <w:divBdr>
        <w:top w:val="none" w:sz="0" w:space="0" w:color="auto"/>
        <w:left w:val="none" w:sz="0" w:space="0" w:color="auto"/>
        <w:bottom w:val="none" w:sz="0" w:space="0" w:color="auto"/>
        <w:right w:val="none" w:sz="0" w:space="0" w:color="auto"/>
      </w:divBdr>
    </w:div>
    <w:div w:id="1914656587">
      <w:bodyDiv w:val="1"/>
      <w:marLeft w:val="0"/>
      <w:marRight w:val="0"/>
      <w:marTop w:val="0"/>
      <w:marBottom w:val="0"/>
      <w:divBdr>
        <w:top w:val="none" w:sz="0" w:space="0" w:color="auto"/>
        <w:left w:val="none" w:sz="0" w:space="0" w:color="auto"/>
        <w:bottom w:val="none" w:sz="0" w:space="0" w:color="auto"/>
        <w:right w:val="none" w:sz="0" w:space="0" w:color="auto"/>
      </w:divBdr>
    </w:div>
    <w:div w:id="1915234538">
      <w:bodyDiv w:val="1"/>
      <w:marLeft w:val="0"/>
      <w:marRight w:val="0"/>
      <w:marTop w:val="0"/>
      <w:marBottom w:val="0"/>
      <w:divBdr>
        <w:top w:val="none" w:sz="0" w:space="0" w:color="auto"/>
        <w:left w:val="none" w:sz="0" w:space="0" w:color="auto"/>
        <w:bottom w:val="none" w:sz="0" w:space="0" w:color="auto"/>
        <w:right w:val="none" w:sz="0" w:space="0" w:color="auto"/>
      </w:divBdr>
    </w:div>
    <w:div w:id="1919047638">
      <w:bodyDiv w:val="1"/>
      <w:marLeft w:val="0"/>
      <w:marRight w:val="0"/>
      <w:marTop w:val="0"/>
      <w:marBottom w:val="0"/>
      <w:divBdr>
        <w:top w:val="none" w:sz="0" w:space="0" w:color="auto"/>
        <w:left w:val="none" w:sz="0" w:space="0" w:color="auto"/>
        <w:bottom w:val="none" w:sz="0" w:space="0" w:color="auto"/>
        <w:right w:val="none" w:sz="0" w:space="0" w:color="auto"/>
      </w:divBdr>
    </w:div>
    <w:div w:id="1935626181">
      <w:bodyDiv w:val="1"/>
      <w:marLeft w:val="0"/>
      <w:marRight w:val="0"/>
      <w:marTop w:val="0"/>
      <w:marBottom w:val="0"/>
      <w:divBdr>
        <w:top w:val="none" w:sz="0" w:space="0" w:color="auto"/>
        <w:left w:val="none" w:sz="0" w:space="0" w:color="auto"/>
        <w:bottom w:val="none" w:sz="0" w:space="0" w:color="auto"/>
        <w:right w:val="none" w:sz="0" w:space="0" w:color="auto"/>
      </w:divBdr>
    </w:div>
    <w:div w:id="1937906292">
      <w:bodyDiv w:val="1"/>
      <w:marLeft w:val="0"/>
      <w:marRight w:val="0"/>
      <w:marTop w:val="0"/>
      <w:marBottom w:val="0"/>
      <w:divBdr>
        <w:top w:val="none" w:sz="0" w:space="0" w:color="auto"/>
        <w:left w:val="none" w:sz="0" w:space="0" w:color="auto"/>
        <w:bottom w:val="none" w:sz="0" w:space="0" w:color="auto"/>
        <w:right w:val="none" w:sz="0" w:space="0" w:color="auto"/>
      </w:divBdr>
    </w:div>
    <w:div w:id="1939211965">
      <w:bodyDiv w:val="1"/>
      <w:marLeft w:val="0"/>
      <w:marRight w:val="0"/>
      <w:marTop w:val="0"/>
      <w:marBottom w:val="0"/>
      <w:divBdr>
        <w:top w:val="none" w:sz="0" w:space="0" w:color="auto"/>
        <w:left w:val="none" w:sz="0" w:space="0" w:color="auto"/>
        <w:bottom w:val="none" w:sz="0" w:space="0" w:color="auto"/>
        <w:right w:val="none" w:sz="0" w:space="0" w:color="auto"/>
      </w:divBdr>
    </w:div>
    <w:div w:id="1941376701">
      <w:bodyDiv w:val="1"/>
      <w:marLeft w:val="0"/>
      <w:marRight w:val="0"/>
      <w:marTop w:val="0"/>
      <w:marBottom w:val="0"/>
      <w:divBdr>
        <w:top w:val="none" w:sz="0" w:space="0" w:color="auto"/>
        <w:left w:val="none" w:sz="0" w:space="0" w:color="auto"/>
        <w:bottom w:val="none" w:sz="0" w:space="0" w:color="auto"/>
        <w:right w:val="none" w:sz="0" w:space="0" w:color="auto"/>
      </w:divBdr>
    </w:div>
    <w:div w:id="1942376412">
      <w:bodyDiv w:val="1"/>
      <w:marLeft w:val="0"/>
      <w:marRight w:val="0"/>
      <w:marTop w:val="0"/>
      <w:marBottom w:val="0"/>
      <w:divBdr>
        <w:top w:val="none" w:sz="0" w:space="0" w:color="auto"/>
        <w:left w:val="none" w:sz="0" w:space="0" w:color="auto"/>
        <w:bottom w:val="none" w:sz="0" w:space="0" w:color="auto"/>
        <w:right w:val="none" w:sz="0" w:space="0" w:color="auto"/>
      </w:divBdr>
    </w:div>
    <w:div w:id="1945916332">
      <w:bodyDiv w:val="1"/>
      <w:marLeft w:val="0"/>
      <w:marRight w:val="0"/>
      <w:marTop w:val="0"/>
      <w:marBottom w:val="0"/>
      <w:divBdr>
        <w:top w:val="none" w:sz="0" w:space="0" w:color="auto"/>
        <w:left w:val="none" w:sz="0" w:space="0" w:color="auto"/>
        <w:bottom w:val="none" w:sz="0" w:space="0" w:color="auto"/>
        <w:right w:val="none" w:sz="0" w:space="0" w:color="auto"/>
      </w:divBdr>
    </w:div>
    <w:div w:id="1950887476">
      <w:bodyDiv w:val="1"/>
      <w:marLeft w:val="0"/>
      <w:marRight w:val="0"/>
      <w:marTop w:val="0"/>
      <w:marBottom w:val="0"/>
      <w:divBdr>
        <w:top w:val="none" w:sz="0" w:space="0" w:color="auto"/>
        <w:left w:val="none" w:sz="0" w:space="0" w:color="auto"/>
        <w:bottom w:val="none" w:sz="0" w:space="0" w:color="auto"/>
        <w:right w:val="none" w:sz="0" w:space="0" w:color="auto"/>
      </w:divBdr>
    </w:div>
    <w:div w:id="1952668006">
      <w:bodyDiv w:val="1"/>
      <w:marLeft w:val="0"/>
      <w:marRight w:val="0"/>
      <w:marTop w:val="0"/>
      <w:marBottom w:val="0"/>
      <w:divBdr>
        <w:top w:val="none" w:sz="0" w:space="0" w:color="auto"/>
        <w:left w:val="none" w:sz="0" w:space="0" w:color="auto"/>
        <w:bottom w:val="none" w:sz="0" w:space="0" w:color="auto"/>
        <w:right w:val="none" w:sz="0" w:space="0" w:color="auto"/>
      </w:divBdr>
    </w:div>
    <w:div w:id="1953970021">
      <w:bodyDiv w:val="1"/>
      <w:marLeft w:val="0"/>
      <w:marRight w:val="0"/>
      <w:marTop w:val="0"/>
      <w:marBottom w:val="0"/>
      <w:divBdr>
        <w:top w:val="none" w:sz="0" w:space="0" w:color="auto"/>
        <w:left w:val="none" w:sz="0" w:space="0" w:color="auto"/>
        <w:bottom w:val="none" w:sz="0" w:space="0" w:color="auto"/>
        <w:right w:val="none" w:sz="0" w:space="0" w:color="auto"/>
      </w:divBdr>
    </w:div>
    <w:div w:id="1961566415">
      <w:bodyDiv w:val="1"/>
      <w:marLeft w:val="0"/>
      <w:marRight w:val="0"/>
      <w:marTop w:val="0"/>
      <w:marBottom w:val="0"/>
      <w:divBdr>
        <w:top w:val="none" w:sz="0" w:space="0" w:color="auto"/>
        <w:left w:val="none" w:sz="0" w:space="0" w:color="auto"/>
        <w:bottom w:val="none" w:sz="0" w:space="0" w:color="auto"/>
        <w:right w:val="none" w:sz="0" w:space="0" w:color="auto"/>
      </w:divBdr>
    </w:div>
    <w:div w:id="1961841444">
      <w:bodyDiv w:val="1"/>
      <w:marLeft w:val="0"/>
      <w:marRight w:val="0"/>
      <w:marTop w:val="0"/>
      <w:marBottom w:val="0"/>
      <w:divBdr>
        <w:top w:val="none" w:sz="0" w:space="0" w:color="auto"/>
        <w:left w:val="none" w:sz="0" w:space="0" w:color="auto"/>
        <w:bottom w:val="none" w:sz="0" w:space="0" w:color="auto"/>
        <w:right w:val="none" w:sz="0" w:space="0" w:color="auto"/>
      </w:divBdr>
    </w:div>
    <w:div w:id="1964657100">
      <w:bodyDiv w:val="1"/>
      <w:marLeft w:val="0"/>
      <w:marRight w:val="0"/>
      <w:marTop w:val="0"/>
      <w:marBottom w:val="0"/>
      <w:divBdr>
        <w:top w:val="none" w:sz="0" w:space="0" w:color="auto"/>
        <w:left w:val="none" w:sz="0" w:space="0" w:color="auto"/>
        <w:bottom w:val="none" w:sz="0" w:space="0" w:color="auto"/>
        <w:right w:val="none" w:sz="0" w:space="0" w:color="auto"/>
      </w:divBdr>
    </w:div>
    <w:div w:id="1979601921">
      <w:bodyDiv w:val="1"/>
      <w:marLeft w:val="0"/>
      <w:marRight w:val="0"/>
      <w:marTop w:val="0"/>
      <w:marBottom w:val="0"/>
      <w:divBdr>
        <w:top w:val="none" w:sz="0" w:space="0" w:color="auto"/>
        <w:left w:val="none" w:sz="0" w:space="0" w:color="auto"/>
        <w:bottom w:val="none" w:sz="0" w:space="0" w:color="auto"/>
        <w:right w:val="none" w:sz="0" w:space="0" w:color="auto"/>
      </w:divBdr>
    </w:div>
    <w:div w:id="1983802056">
      <w:bodyDiv w:val="1"/>
      <w:marLeft w:val="0"/>
      <w:marRight w:val="0"/>
      <w:marTop w:val="0"/>
      <w:marBottom w:val="0"/>
      <w:divBdr>
        <w:top w:val="none" w:sz="0" w:space="0" w:color="auto"/>
        <w:left w:val="none" w:sz="0" w:space="0" w:color="auto"/>
        <w:bottom w:val="none" w:sz="0" w:space="0" w:color="auto"/>
        <w:right w:val="none" w:sz="0" w:space="0" w:color="auto"/>
      </w:divBdr>
    </w:div>
    <w:div w:id="1985965764">
      <w:bodyDiv w:val="1"/>
      <w:marLeft w:val="0"/>
      <w:marRight w:val="0"/>
      <w:marTop w:val="0"/>
      <w:marBottom w:val="0"/>
      <w:divBdr>
        <w:top w:val="none" w:sz="0" w:space="0" w:color="auto"/>
        <w:left w:val="none" w:sz="0" w:space="0" w:color="auto"/>
        <w:bottom w:val="none" w:sz="0" w:space="0" w:color="auto"/>
        <w:right w:val="none" w:sz="0" w:space="0" w:color="auto"/>
      </w:divBdr>
    </w:div>
    <w:div w:id="1988973026">
      <w:bodyDiv w:val="1"/>
      <w:marLeft w:val="0"/>
      <w:marRight w:val="0"/>
      <w:marTop w:val="0"/>
      <w:marBottom w:val="0"/>
      <w:divBdr>
        <w:top w:val="none" w:sz="0" w:space="0" w:color="auto"/>
        <w:left w:val="none" w:sz="0" w:space="0" w:color="auto"/>
        <w:bottom w:val="none" w:sz="0" w:space="0" w:color="auto"/>
        <w:right w:val="none" w:sz="0" w:space="0" w:color="auto"/>
      </w:divBdr>
    </w:div>
    <w:div w:id="2000814427">
      <w:bodyDiv w:val="1"/>
      <w:marLeft w:val="0"/>
      <w:marRight w:val="0"/>
      <w:marTop w:val="0"/>
      <w:marBottom w:val="0"/>
      <w:divBdr>
        <w:top w:val="none" w:sz="0" w:space="0" w:color="auto"/>
        <w:left w:val="none" w:sz="0" w:space="0" w:color="auto"/>
        <w:bottom w:val="none" w:sz="0" w:space="0" w:color="auto"/>
        <w:right w:val="none" w:sz="0" w:space="0" w:color="auto"/>
      </w:divBdr>
    </w:div>
    <w:div w:id="2001687506">
      <w:bodyDiv w:val="1"/>
      <w:marLeft w:val="0"/>
      <w:marRight w:val="0"/>
      <w:marTop w:val="0"/>
      <w:marBottom w:val="0"/>
      <w:divBdr>
        <w:top w:val="none" w:sz="0" w:space="0" w:color="auto"/>
        <w:left w:val="none" w:sz="0" w:space="0" w:color="auto"/>
        <w:bottom w:val="none" w:sz="0" w:space="0" w:color="auto"/>
        <w:right w:val="none" w:sz="0" w:space="0" w:color="auto"/>
      </w:divBdr>
    </w:div>
    <w:div w:id="2003118055">
      <w:bodyDiv w:val="1"/>
      <w:marLeft w:val="0"/>
      <w:marRight w:val="0"/>
      <w:marTop w:val="0"/>
      <w:marBottom w:val="0"/>
      <w:divBdr>
        <w:top w:val="none" w:sz="0" w:space="0" w:color="auto"/>
        <w:left w:val="none" w:sz="0" w:space="0" w:color="auto"/>
        <w:bottom w:val="none" w:sz="0" w:space="0" w:color="auto"/>
        <w:right w:val="none" w:sz="0" w:space="0" w:color="auto"/>
      </w:divBdr>
    </w:div>
    <w:div w:id="2003775479">
      <w:bodyDiv w:val="1"/>
      <w:marLeft w:val="0"/>
      <w:marRight w:val="0"/>
      <w:marTop w:val="0"/>
      <w:marBottom w:val="0"/>
      <w:divBdr>
        <w:top w:val="none" w:sz="0" w:space="0" w:color="auto"/>
        <w:left w:val="none" w:sz="0" w:space="0" w:color="auto"/>
        <w:bottom w:val="none" w:sz="0" w:space="0" w:color="auto"/>
        <w:right w:val="none" w:sz="0" w:space="0" w:color="auto"/>
      </w:divBdr>
    </w:div>
    <w:div w:id="2013675918">
      <w:bodyDiv w:val="1"/>
      <w:marLeft w:val="0"/>
      <w:marRight w:val="0"/>
      <w:marTop w:val="0"/>
      <w:marBottom w:val="0"/>
      <w:divBdr>
        <w:top w:val="none" w:sz="0" w:space="0" w:color="auto"/>
        <w:left w:val="none" w:sz="0" w:space="0" w:color="auto"/>
        <w:bottom w:val="none" w:sz="0" w:space="0" w:color="auto"/>
        <w:right w:val="none" w:sz="0" w:space="0" w:color="auto"/>
      </w:divBdr>
    </w:div>
    <w:div w:id="2030258672">
      <w:bodyDiv w:val="1"/>
      <w:marLeft w:val="0"/>
      <w:marRight w:val="0"/>
      <w:marTop w:val="0"/>
      <w:marBottom w:val="0"/>
      <w:divBdr>
        <w:top w:val="none" w:sz="0" w:space="0" w:color="auto"/>
        <w:left w:val="none" w:sz="0" w:space="0" w:color="auto"/>
        <w:bottom w:val="none" w:sz="0" w:space="0" w:color="auto"/>
        <w:right w:val="none" w:sz="0" w:space="0" w:color="auto"/>
      </w:divBdr>
    </w:div>
    <w:div w:id="2033678516">
      <w:bodyDiv w:val="1"/>
      <w:marLeft w:val="0"/>
      <w:marRight w:val="0"/>
      <w:marTop w:val="0"/>
      <w:marBottom w:val="0"/>
      <w:divBdr>
        <w:top w:val="none" w:sz="0" w:space="0" w:color="auto"/>
        <w:left w:val="none" w:sz="0" w:space="0" w:color="auto"/>
        <w:bottom w:val="none" w:sz="0" w:space="0" w:color="auto"/>
        <w:right w:val="none" w:sz="0" w:space="0" w:color="auto"/>
      </w:divBdr>
    </w:div>
    <w:div w:id="2040272715">
      <w:bodyDiv w:val="1"/>
      <w:marLeft w:val="0"/>
      <w:marRight w:val="0"/>
      <w:marTop w:val="0"/>
      <w:marBottom w:val="0"/>
      <w:divBdr>
        <w:top w:val="none" w:sz="0" w:space="0" w:color="auto"/>
        <w:left w:val="none" w:sz="0" w:space="0" w:color="auto"/>
        <w:bottom w:val="none" w:sz="0" w:space="0" w:color="auto"/>
        <w:right w:val="none" w:sz="0" w:space="0" w:color="auto"/>
      </w:divBdr>
    </w:div>
    <w:div w:id="2057583875">
      <w:bodyDiv w:val="1"/>
      <w:marLeft w:val="0"/>
      <w:marRight w:val="0"/>
      <w:marTop w:val="0"/>
      <w:marBottom w:val="0"/>
      <w:divBdr>
        <w:top w:val="none" w:sz="0" w:space="0" w:color="auto"/>
        <w:left w:val="none" w:sz="0" w:space="0" w:color="auto"/>
        <w:bottom w:val="none" w:sz="0" w:space="0" w:color="auto"/>
        <w:right w:val="none" w:sz="0" w:space="0" w:color="auto"/>
      </w:divBdr>
    </w:div>
    <w:div w:id="2062440897">
      <w:bodyDiv w:val="1"/>
      <w:marLeft w:val="0"/>
      <w:marRight w:val="0"/>
      <w:marTop w:val="0"/>
      <w:marBottom w:val="0"/>
      <w:divBdr>
        <w:top w:val="none" w:sz="0" w:space="0" w:color="auto"/>
        <w:left w:val="none" w:sz="0" w:space="0" w:color="auto"/>
        <w:bottom w:val="none" w:sz="0" w:space="0" w:color="auto"/>
        <w:right w:val="none" w:sz="0" w:space="0" w:color="auto"/>
      </w:divBdr>
    </w:div>
    <w:div w:id="2063629145">
      <w:bodyDiv w:val="1"/>
      <w:marLeft w:val="0"/>
      <w:marRight w:val="0"/>
      <w:marTop w:val="0"/>
      <w:marBottom w:val="0"/>
      <w:divBdr>
        <w:top w:val="none" w:sz="0" w:space="0" w:color="auto"/>
        <w:left w:val="none" w:sz="0" w:space="0" w:color="auto"/>
        <w:bottom w:val="none" w:sz="0" w:space="0" w:color="auto"/>
        <w:right w:val="none" w:sz="0" w:space="0" w:color="auto"/>
      </w:divBdr>
    </w:div>
    <w:div w:id="2069188200">
      <w:bodyDiv w:val="1"/>
      <w:marLeft w:val="0"/>
      <w:marRight w:val="0"/>
      <w:marTop w:val="0"/>
      <w:marBottom w:val="0"/>
      <w:divBdr>
        <w:top w:val="none" w:sz="0" w:space="0" w:color="auto"/>
        <w:left w:val="none" w:sz="0" w:space="0" w:color="auto"/>
        <w:bottom w:val="none" w:sz="0" w:space="0" w:color="auto"/>
        <w:right w:val="none" w:sz="0" w:space="0" w:color="auto"/>
      </w:divBdr>
    </w:div>
    <w:div w:id="2082677218">
      <w:bodyDiv w:val="1"/>
      <w:marLeft w:val="0"/>
      <w:marRight w:val="0"/>
      <w:marTop w:val="0"/>
      <w:marBottom w:val="0"/>
      <w:divBdr>
        <w:top w:val="none" w:sz="0" w:space="0" w:color="auto"/>
        <w:left w:val="none" w:sz="0" w:space="0" w:color="auto"/>
        <w:bottom w:val="none" w:sz="0" w:space="0" w:color="auto"/>
        <w:right w:val="none" w:sz="0" w:space="0" w:color="auto"/>
      </w:divBdr>
    </w:div>
    <w:div w:id="2084789896">
      <w:bodyDiv w:val="1"/>
      <w:marLeft w:val="0"/>
      <w:marRight w:val="0"/>
      <w:marTop w:val="0"/>
      <w:marBottom w:val="0"/>
      <w:divBdr>
        <w:top w:val="none" w:sz="0" w:space="0" w:color="auto"/>
        <w:left w:val="none" w:sz="0" w:space="0" w:color="auto"/>
        <w:bottom w:val="none" w:sz="0" w:space="0" w:color="auto"/>
        <w:right w:val="none" w:sz="0" w:space="0" w:color="auto"/>
      </w:divBdr>
    </w:div>
    <w:div w:id="2098205659">
      <w:bodyDiv w:val="1"/>
      <w:marLeft w:val="0"/>
      <w:marRight w:val="0"/>
      <w:marTop w:val="0"/>
      <w:marBottom w:val="0"/>
      <w:divBdr>
        <w:top w:val="none" w:sz="0" w:space="0" w:color="auto"/>
        <w:left w:val="none" w:sz="0" w:space="0" w:color="auto"/>
        <w:bottom w:val="none" w:sz="0" w:space="0" w:color="auto"/>
        <w:right w:val="none" w:sz="0" w:space="0" w:color="auto"/>
      </w:divBdr>
    </w:div>
    <w:div w:id="2104258838">
      <w:bodyDiv w:val="1"/>
      <w:marLeft w:val="0"/>
      <w:marRight w:val="0"/>
      <w:marTop w:val="0"/>
      <w:marBottom w:val="0"/>
      <w:divBdr>
        <w:top w:val="none" w:sz="0" w:space="0" w:color="auto"/>
        <w:left w:val="none" w:sz="0" w:space="0" w:color="auto"/>
        <w:bottom w:val="none" w:sz="0" w:space="0" w:color="auto"/>
        <w:right w:val="none" w:sz="0" w:space="0" w:color="auto"/>
      </w:divBdr>
    </w:div>
    <w:div w:id="2104303582">
      <w:bodyDiv w:val="1"/>
      <w:marLeft w:val="0"/>
      <w:marRight w:val="0"/>
      <w:marTop w:val="0"/>
      <w:marBottom w:val="0"/>
      <w:divBdr>
        <w:top w:val="none" w:sz="0" w:space="0" w:color="auto"/>
        <w:left w:val="none" w:sz="0" w:space="0" w:color="auto"/>
        <w:bottom w:val="none" w:sz="0" w:space="0" w:color="auto"/>
        <w:right w:val="none" w:sz="0" w:space="0" w:color="auto"/>
      </w:divBdr>
    </w:div>
    <w:div w:id="2107072236">
      <w:bodyDiv w:val="1"/>
      <w:marLeft w:val="0"/>
      <w:marRight w:val="0"/>
      <w:marTop w:val="0"/>
      <w:marBottom w:val="0"/>
      <w:divBdr>
        <w:top w:val="none" w:sz="0" w:space="0" w:color="auto"/>
        <w:left w:val="none" w:sz="0" w:space="0" w:color="auto"/>
        <w:bottom w:val="none" w:sz="0" w:space="0" w:color="auto"/>
        <w:right w:val="none" w:sz="0" w:space="0" w:color="auto"/>
      </w:divBdr>
    </w:div>
    <w:div w:id="2107731417">
      <w:bodyDiv w:val="1"/>
      <w:marLeft w:val="0"/>
      <w:marRight w:val="0"/>
      <w:marTop w:val="0"/>
      <w:marBottom w:val="0"/>
      <w:divBdr>
        <w:top w:val="none" w:sz="0" w:space="0" w:color="auto"/>
        <w:left w:val="none" w:sz="0" w:space="0" w:color="auto"/>
        <w:bottom w:val="none" w:sz="0" w:space="0" w:color="auto"/>
        <w:right w:val="none" w:sz="0" w:space="0" w:color="auto"/>
      </w:divBdr>
    </w:div>
    <w:div w:id="2113746022">
      <w:bodyDiv w:val="1"/>
      <w:marLeft w:val="0"/>
      <w:marRight w:val="0"/>
      <w:marTop w:val="0"/>
      <w:marBottom w:val="0"/>
      <w:divBdr>
        <w:top w:val="none" w:sz="0" w:space="0" w:color="auto"/>
        <w:left w:val="none" w:sz="0" w:space="0" w:color="auto"/>
        <w:bottom w:val="none" w:sz="0" w:space="0" w:color="auto"/>
        <w:right w:val="none" w:sz="0" w:space="0" w:color="auto"/>
      </w:divBdr>
    </w:div>
    <w:div w:id="2118598251">
      <w:bodyDiv w:val="1"/>
      <w:marLeft w:val="0"/>
      <w:marRight w:val="0"/>
      <w:marTop w:val="0"/>
      <w:marBottom w:val="0"/>
      <w:divBdr>
        <w:top w:val="none" w:sz="0" w:space="0" w:color="auto"/>
        <w:left w:val="none" w:sz="0" w:space="0" w:color="auto"/>
        <w:bottom w:val="none" w:sz="0" w:space="0" w:color="auto"/>
        <w:right w:val="none" w:sz="0" w:space="0" w:color="auto"/>
      </w:divBdr>
    </w:div>
    <w:div w:id="2119788572">
      <w:bodyDiv w:val="1"/>
      <w:marLeft w:val="0"/>
      <w:marRight w:val="0"/>
      <w:marTop w:val="0"/>
      <w:marBottom w:val="0"/>
      <w:divBdr>
        <w:top w:val="none" w:sz="0" w:space="0" w:color="auto"/>
        <w:left w:val="none" w:sz="0" w:space="0" w:color="auto"/>
        <w:bottom w:val="none" w:sz="0" w:space="0" w:color="auto"/>
        <w:right w:val="none" w:sz="0" w:space="0" w:color="auto"/>
      </w:divBdr>
    </w:div>
    <w:div w:id="2119789812">
      <w:bodyDiv w:val="1"/>
      <w:marLeft w:val="0"/>
      <w:marRight w:val="0"/>
      <w:marTop w:val="0"/>
      <w:marBottom w:val="0"/>
      <w:divBdr>
        <w:top w:val="none" w:sz="0" w:space="0" w:color="auto"/>
        <w:left w:val="none" w:sz="0" w:space="0" w:color="auto"/>
        <w:bottom w:val="none" w:sz="0" w:space="0" w:color="auto"/>
        <w:right w:val="none" w:sz="0" w:space="0" w:color="auto"/>
      </w:divBdr>
    </w:div>
    <w:div w:id="2129010317">
      <w:bodyDiv w:val="1"/>
      <w:marLeft w:val="0"/>
      <w:marRight w:val="0"/>
      <w:marTop w:val="0"/>
      <w:marBottom w:val="0"/>
      <w:divBdr>
        <w:top w:val="none" w:sz="0" w:space="0" w:color="auto"/>
        <w:left w:val="none" w:sz="0" w:space="0" w:color="auto"/>
        <w:bottom w:val="none" w:sz="0" w:space="0" w:color="auto"/>
        <w:right w:val="none" w:sz="0" w:space="0" w:color="auto"/>
      </w:divBdr>
    </w:div>
    <w:div w:id="2140874403">
      <w:bodyDiv w:val="1"/>
      <w:marLeft w:val="0"/>
      <w:marRight w:val="0"/>
      <w:marTop w:val="0"/>
      <w:marBottom w:val="0"/>
      <w:divBdr>
        <w:top w:val="none" w:sz="0" w:space="0" w:color="auto"/>
        <w:left w:val="none" w:sz="0" w:space="0" w:color="auto"/>
        <w:bottom w:val="none" w:sz="0" w:space="0" w:color="auto"/>
        <w:right w:val="none" w:sz="0" w:space="0" w:color="auto"/>
      </w:divBdr>
    </w:div>
    <w:div w:id="2141265041">
      <w:bodyDiv w:val="1"/>
      <w:marLeft w:val="0"/>
      <w:marRight w:val="0"/>
      <w:marTop w:val="0"/>
      <w:marBottom w:val="0"/>
      <w:divBdr>
        <w:top w:val="none" w:sz="0" w:space="0" w:color="auto"/>
        <w:left w:val="none" w:sz="0" w:space="0" w:color="auto"/>
        <w:bottom w:val="none" w:sz="0" w:space="0" w:color="auto"/>
        <w:right w:val="none" w:sz="0" w:space="0" w:color="auto"/>
      </w:divBdr>
    </w:div>
    <w:div w:id="2145808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rlis.am/DocumentView.aspx?DocID=160481" TargetMode="External"/><Relationship Id="rId117" Type="http://schemas.openxmlformats.org/officeDocument/2006/relationships/hyperlink" Target="https://www.arlis.am/DocumentView.aspx?DocID=170789" TargetMode="External"/><Relationship Id="rId21" Type="http://schemas.openxmlformats.org/officeDocument/2006/relationships/hyperlink" Target="https://www.arlis.am/DocumentView.aspx?DocID=160481" TargetMode="External"/><Relationship Id="rId42" Type="http://schemas.openxmlformats.org/officeDocument/2006/relationships/hyperlink" Target="https://www.arlis.am/DocumentView.aspx?DocID=160481" TargetMode="External"/><Relationship Id="rId47" Type="http://schemas.openxmlformats.org/officeDocument/2006/relationships/hyperlink" Target="https://www.arlis.am/DocumentView.aspx?DocID=178711" TargetMode="External"/><Relationship Id="rId63" Type="http://schemas.openxmlformats.org/officeDocument/2006/relationships/hyperlink" Target="https://www.arlis.am/DocumentView.aspx?DocID=175727" TargetMode="External"/><Relationship Id="rId68" Type="http://schemas.openxmlformats.org/officeDocument/2006/relationships/hyperlink" Target="https://www.arlis.am/DocumentView.aspx?DocID=175727" TargetMode="External"/><Relationship Id="rId84" Type="http://schemas.openxmlformats.org/officeDocument/2006/relationships/hyperlink" Target="https://www.arlis.am/DocumentView.aspx?DocID=160481" TargetMode="External"/><Relationship Id="rId89" Type="http://schemas.openxmlformats.org/officeDocument/2006/relationships/hyperlink" Target="https://www.arlis.am/DocumentView.aspx?DocID=160481" TargetMode="External"/><Relationship Id="rId112" Type="http://schemas.openxmlformats.org/officeDocument/2006/relationships/hyperlink" Target="https://www.arlis.am/DocumentView.aspx?DocID=170789" TargetMode="External"/><Relationship Id="rId133" Type="http://schemas.openxmlformats.org/officeDocument/2006/relationships/hyperlink" Target="https://www.arlis.am/DocumentView.aspx?DocID=170789" TargetMode="External"/><Relationship Id="rId138" Type="http://schemas.openxmlformats.org/officeDocument/2006/relationships/hyperlink" Target="https://www.arlis.am/DocumentView.aspx?DocID=170789" TargetMode="External"/><Relationship Id="rId154" Type="http://schemas.openxmlformats.org/officeDocument/2006/relationships/image" Target="media/image6.jpeg"/><Relationship Id="rId16" Type="http://schemas.openxmlformats.org/officeDocument/2006/relationships/hyperlink" Target="https://www.arlis.am/DocumentView.aspx?DocID=170789" TargetMode="External"/><Relationship Id="rId107" Type="http://schemas.openxmlformats.org/officeDocument/2006/relationships/hyperlink" Target="https://www.arlis.am/DocumentView.aspx?DocID=160481" TargetMode="External"/><Relationship Id="rId11" Type="http://schemas.openxmlformats.org/officeDocument/2006/relationships/footer" Target="footer2.xml"/><Relationship Id="rId32" Type="http://schemas.openxmlformats.org/officeDocument/2006/relationships/hyperlink" Target="https://www.arlis.am/DocumentView.aspx?DocID=175727" TargetMode="External"/><Relationship Id="rId37" Type="http://schemas.openxmlformats.org/officeDocument/2006/relationships/hyperlink" Target="https://www.arlis.am/DocumentView.aspx?DocID=175727" TargetMode="External"/><Relationship Id="rId53" Type="http://schemas.openxmlformats.org/officeDocument/2006/relationships/hyperlink" Target="https://www.arlis.am/DocumentView.aspx?DocID=109070" TargetMode="External"/><Relationship Id="rId58" Type="http://schemas.openxmlformats.org/officeDocument/2006/relationships/hyperlink" Target="https://www.arlis.am/DocumentView.aspx?DocID=160480" TargetMode="External"/><Relationship Id="rId74" Type="http://schemas.openxmlformats.org/officeDocument/2006/relationships/hyperlink" Target="https://www.arlis.am/DocumentView.aspx?DocID=175727" TargetMode="External"/><Relationship Id="rId79" Type="http://schemas.openxmlformats.org/officeDocument/2006/relationships/hyperlink" Target="https://www.arlis.am/DocumentView.aspx?DocID=160481" TargetMode="External"/><Relationship Id="rId102" Type="http://schemas.openxmlformats.org/officeDocument/2006/relationships/hyperlink" Target="https://www.arlis.am/DocumentView.aspx?DocID=170789" TargetMode="External"/><Relationship Id="rId123" Type="http://schemas.openxmlformats.org/officeDocument/2006/relationships/hyperlink" Target="https://www.arlis.am/DocumentView.aspx?DocID=170789" TargetMode="External"/><Relationship Id="rId128" Type="http://schemas.openxmlformats.org/officeDocument/2006/relationships/hyperlink" Target="https://www.arlis.am/DocumentView.aspx?DocID=170789" TargetMode="External"/><Relationship Id="rId144" Type="http://schemas.openxmlformats.org/officeDocument/2006/relationships/image" Target="media/image2.jpeg"/><Relationship Id="rId149" Type="http://schemas.openxmlformats.org/officeDocument/2006/relationships/hyperlink" Target="file:///C:\Users\mariam.sargsyan\Desktop\Ballllllll\Balloon%20Rule%20Book.docx" TargetMode="External"/><Relationship Id="rId5" Type="http://schemas.openxmlformats.org/officeDocument/2006/relationships/webSettings" Target="webSettings.xml"/><Relationship Id="rId90" Type="http://schemas.openxmlformats.org/officeDocument/2006/relationships/hyperlink" Target="https://www.arlis.am/DocumentView.aspx?DocID=160481" TargetMode="External"/><Relationship Id="rId95" Type="http://schemas.openxmlformats.org/officeDocument/2006/relationships/hyperlink" Target="https://www.arlis.am/DocumentView.aspx?DocID=160481" TargetMode="External"/><Relationship Id="rId22" Type="http://schemas.openxmlformats.org/officeDocument/2006/relationships/hyperlink" Target="https://www.arlis.am/DocumentView.aspx?DocID=160481" TargetMode="External"/><Relationship Id="rId27" Type="http://schemas.openxmlformats.org/officeDocument/2006/relationships/hyperlink" Target="https://www.arlis.am/DocumentView.aspx?DocID=160481" TargetMode="External"/><Relationship Id="rId43" Type="http://schemas.openxmlformats.org/officeDocument/2006/relationships/hyperlink" Target="https://www.arlis.am/DocumentView.aspx?DocID=109070" TargetMode="External"/><Relationship Id="rId48" Type="http://schemas.openxmlformats.org/officeDocument/2006/relationships/hyperlink" Target="https://www.arlis.am/DocumentView.aspx?DocID=109070" TargetMode="External"/><Relationship Id="rId64" Type="http://schemas.openxmlformats.org/officeDocument/2006/relationships/hyperlink" Target="https://www.arlis.am/DocumentView.aspx?DocID=175727" TargetMode="External"/><Relationship Id="rId69" Type="http://schemas.openxmlformats.org/officeDocument/2006/relationships/hyperlink" Target="https://www.arlis.am/DocumentView.aspx?DocID=175727" TargetMode="External"/><Relationship Id="rId113" Type="http://schemas.openxmlformats.org/officeDocument/2006/relationships/hyperlink" Target="https://www.arlis.am/DocumentView.aspx?DocID=170789" TargetMode="External"/><Relationship Id="rId118" Type="http://schemas.openxmlformats.org/officeDocument/2006/relationships/hyperlink" Target="https://www.arlis.am/DocumentView.aspx?DocID=170789" TargetMode="External"/><Relationship Id="rId134" Type="http://schemas.openxmlformats.org/officeDocument/2006/relationships/hyperlink" Target="https://www.arlis.am/DocumentView.aspx?DocID=160480" TargetMode="External"/><Relationship Id="rId139" Type="http://schemas.openxmlformats.org/officeDocument/2006/relationships/hyperlink" Target="https://www.arlis.am/DocumentView.aspx?DocID=170789" TargetMode="External"/><Relationship Id="rId80" Type="http://schemas.openxmlformats.org/officeDocument/2006/relationships/hyperlink" Target="https://www.arlis.am/DocumentView.aspx?DocID=160481" TargetMode="External"/><Relationship Id="rId85" Type="http://schemas.openxmlformats.org/officeDocument/2006/relationships/hyperlink" Target="https://www.arlis.am/DocumentView.aspx?DocID=109070" TargetMode="External"/><Relationship Id="rId150" Type="http://schemas.openxmlformats.org/officeDocument/2006/relationships/hyperlink" Target="file:///C:\Users\mariam.sargsyan\Desktop\Ballllllll\Balloon%20Rule%20Book.docx" TargetMode="External"/><Relationship Id="rId155" Type="http://schemas.openxmlformats.org/officeDocument/2006/relationships/image" Target="media/image7.jpeg"/><Relationship Id="rId12" Type="http://schemas.openxmlformats.org/officeDocument/2006/relationships/hyperlink" Target="https://www.arlis.am/DocumentView.aspx?DocID=175727" TargetMode="External"/><Relationship Id="rId17" Type="http://schemas.openxmlformats.org/officeDocument/2006/relationships/hyperlink" Target="https://www.arlis.am/DocumentView.aspx?DocID=160481" TargetMode="External"/><Relationship Id="rId33" Type="http://schemas.openxmlformats.org/officeDocument/2006/relationships/hyperlink" Target="https://www.arlis.am/DocumentView.aspx?DocID=175727" TargetMode="External"/><Relationship Id="rId38" Type="http://schemas.openxmlformats.org/officeDocument/2006/relationships/hyperlink" Target="https://www.arlis.am/DocumentView.aspx?DocID=160480" TargetMode="External"/><Relationship Id="rId59" Type="http://schemas.openxmlformats.org/officeDocument/2006/relationships/hyperlink" Target="http://aviation.am/storage/files/editor/689.pdf" TargetMode="External"/><Relationship Id="rId103" Type="http://schemas.openxmlformats.org/officeDocument/2006/relationships/hyperlink" Target="https://www.arlis.am/DocumentView.aspx?DocID=170789" TargetMode="External"/><Relationship Id="rId108" Type="http://schemas.openxmlformats.org/officeDocument/2006/relationships/hyperlink" Target="https://www.arlis.am/DocumentView.aspx?DocID=170789" TargetMode="External"/><Relationship Id="rId124" Type="http://schemas.openxmlformats.org/officeDocument/2006/relationships/hyperlink" Target="https://www.arlis.am/DocumentView.aspx?DocID=170789" TargetMode="External"/><Relationship Id="rId129" Type="http://schemas.openxmlformats.org/officeDocument/2006/relationships/hyperlink" Target="https://www.arlis.am/DocumentView.aspx?DocID=170789" TargetMode="External"/><Relationship Id="rId20" Type="http://schemas.openxmlformats.org/officeDocument/2006/relationships/hyperlink" Target="https://www.arlis.am/DocumentView.aspx?DocID=160481" TargetMode="External"/><Relationship Id="rId41" Type="http://schemas.openxmlformats.org/officeDocument/2006/relationships/hyperlink" Target="https://www.arlis.am/DocumentView.aspx?DocID=175727" TargetMode="External"/><Relationship Id="rId54" Type="http://schemas.openxmlformats.org/officeDocument/2006/relationships/hyperlink" Target="https://www.arlis.am/DocumentView.aspx?DocID=109070" TargetMode="External"/><Relationship Id="rId62" Type="http://schemas.openxmlformats.org/officeDocument/2006/relationships/hyperlink" Target="http://aviation.am/storage/files/editor/451.pdf" TargetMode="External"/><Relationship Id="rId70" Type="http://schemas.openxmlformats.org/officeDocument/2006/relationships/hyperlink" Target="https://www.arlis.am/DocumentView.aspx?DocID=170789" TargetMode="External"/><Relationship Id="rId75" Type="http://schemas.openxmlformats.org/officeDocument/2006/relationships/hyperlink" Target="https://www.arlis.am/DocumentView.aspx?DocID=170789" TargetMode="External"/><Relationship Id="rId83" Type="http://schemas.openxmlformats.org/officeDocument/2006/relationships/hyperlink" Target="https://www.arlis.am/DocumentView.aspx?DocID=160481" TargetMode="External"/><Relationship Id="rId88" Type="http://schemas.openxmlformats.org/officeDocument/2006/relationships/hyperlink" Target="https://www.arlis.am/DocumentView.aspx?DocID=175727" TargetMode="External"/><Relationship Id="rId91" Type="http://schemas.openxmlformats.org/officeDocument/2006/relationships/header" Target="header6.xml"/><Relationship Id="rId96" Type="http://schemas.openxmlformats.org/officeDocument/2006/relationships/hyperlink" Target="https://www.arlis.am/DocumentView.aspx?DocID=160480" TargetMode="External"/><Relationship Id="rId111" Type="http://schemas.openxmlformats.org/officeDocument/2006/relationships/hyperlink" Target="https://www.arlis.am/DocumentView.aspx?DocID=170789" TargetMode="External"/><Relationship Id="rId132" Type="http://schemas.openxmlformats.org/officeDocument/2006/relationships/hyperlink" Target="https://www.arlis.am/DocumentView.aspx?DocID=170789" TargetMode="External"/><Relationship Id="rId140" Type="http://schemas.openxmlformats.org/officeDocument/2006/relationships/hyperlink" Target="https://www.arlis.am/DocumentView.aspx?DocID=175727" TargetMode="External"/><Relationship Id="rId145" Type="http://schemas.openxmlformats.org/officeDocument/2006/relationships/image" Target="media/image3.jpeg"/><Relationship Id="rId153"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arlis.am/DocumentView.aspx?DocID=160481" TargetMode="External"/><Relationship Id="rId23" Type="http://schemas.openxmlformats.org/officeDocument/2006/relationships/hyperlink" Target="https://www.arlis.am/DocumentView.aspx?DocID=160481" TargetMode="External"/><Relationship Id="rId28" Type="http://schemas.openxmlformats.org/officeDocument/2006/relationships/hyperlink" Target="https://www.arlis.am/DocumentView.aspx?DocID=160480" TargetMode="External"/><Relationship Id="rId36" Type="http://schemas.openxmlformats.org/officeDocument/2006/relationships/hyperlink" Target="https://www.arlis.am/DocumentView.aspx?DocID=160480" TargetMode="External"/><Relationship Id="rId49" Type="http://schemas.openxmlformats.org/officeDocument/2006/relationships/hyperlink" Target="https://www.arlis.am/DocumentView.aspx?DocID=170789" TargetMode="External"/><Relationship Id="rId57" Type="http://schemas.openxmlformats.org/officeDocument/2006/relationships/hyperlink" Target="https://www.arlis.am/DocumentView.aspx?DocID=160480" TargetMode="External"/><Relationship Id="rId106" Type="http://schemas.openxmlformats.org/officeDocument/2006/relationships/hyperlink" Target="https://www.arlis.am/DocumentView.aspx?DocID=170789" TargetMode="External"/><Relationship Id="rId114" Type="http://schemas.openxmlformats.org/officeDocument/2006/relationships/hyperlink" Target="https://www.arlis.am/DocumentView.aspx?DocID=178711" TargetMode="External"/><Relationship Id="rId119" Type="http://schemas.openxmlformats.org/officeDocument/2006/relationships/hyperlink" Target="https://www.arlis.am/DocumentView.aspx?DocID=170789" TargetMode="External"/><Relationship Id="rId127" Type="http://schemas.openxmlformats.org/officeDocument/2006/relationships/hyperlink" Target="https://www.arlis.am/DocumentView.aspx?DocID=170789" TargetMode="External"/><Relationship Id="rId10" Type="http://schemas.openxmlformats.org/officeDocument/2006/relationships/header" Target="header2.xml"/><Relationship Id="rId31" Type="http://schemas.openxmlformats.org/officeDocument/2006/relationships/hyperlink" Target="https://www.arlis.am/DocumentView.aspx?DocID=160481" TargetMode="External"/><Relationship Id="rId44" Type="http://schemas.openxmlformats.org/officeDocument/2006/relationships/hyperlink" Target="https://www.arlis.am/DocumentView.aspx?DocID=109070" TargetMode="External"/><Relationship Id="rId52" Type="http://schemas.openxmlformats.org/officeDocument/2006/relationships/hyperlink" Target="https://www.arlis.am/DocumentView.aspx?DocID=109070" TargetMode="External"/><Relationship Id="rId60" Type="http://schemas.openxmlformats.org/officeDocument/2006/relationships/hyperlink" Target="https://www.arlis.am/DocumentView.aspx?DocID=170789" TargetMode="External"/><Relationship Id="rId65" Type="http://schemas.openxmlformats.org/officeDocument/2006/relationships/hyperlink" Target="https://www.arlis.am/DocumentView.aspx?DocID=178711" TargetMode="External"/><Relationship Id="rId73" Type="http://schemas.openxmlformats.org/officeDocument/2006/relationships/hyperlink" Target="https://www.arlis.am/DocumentView.aspx?DocID=170789" TargetMode="External"/><Relationship Id="rId78" Type="http://schemas.openxmlformats.org/officeDocument/2006/relationships/hyperlink" Target="https://www.arlis.am/DocumentView.aspx?DocID=160481" TargetMode="External"/><Relationship Id="rId81" Type="http://schemas.openxmlformats.org/officeDocument/2006/relationships/hyperlink" Target="https://www.arlis.am/DocumentView.aspx?DocID=175727" TargetMode="External"/><Relationship Id="rId86" Type="http://schemas.openxmlformats.org/officeDocument/2006/relationships/hyperlink" Target="https://www.arlis.am/DocumentView.aspx?DocID=160481" TargetMode="External"/><Relationship Id="rId94" Type="http://schemas.openxmlformats.org/officeDocument/2006/relationships/hyperlink" Target="https://www.arlis.am/DocumentView.aspx?DocID=110706" TargetMode="External"/><Relationship Id="rId99" Type="http://schemas.openxmlformats.org/officeDocument/2006/relationships/hyperlink" Target="https://www.arlis.am/DocumentView.aspx?DocID=170789" TargetMode="External"/><Relationship Id="rId101" Type="http://schemas.openxmlformats.org/officeDocument/2006/relationships/hyperlink" Target="https://www.arlis.am/DocumentView.aspx?DocID=178711" TargetMode="External"/><Relationship Id="rId122" Type="http://schemas.openxmlformats.org/officeDocument/2006/relationships/hyperlink" Target="https://www.arlis.am/DocumentView.aspx?DocID=170789" TargetMode="External"/><Relationship Id="rId130" Type="http://schemas.openxmlformats.org/officeDocument/2006/relationships/hyperlink" Target="https://www.arlis.am/DocumentView.aspx?DocID=170789" TargetMode="External"/><Relationship Id="rId135" Type="http://schemas.openxmlformats.org/officeDocument/2006/relationships/hyperlink" Target="https://www.arlis.am/DocumentView.aspx?DocID=175727" TargetMode="External"/><Relationship Id="rId143" Type="http://schemas.openxmlformats.org/officeDocument/2006/relationships/hyperlink" Target="https://www.arlis.am/DocumentView.aspx?DocID=170789" TargetMode="External"/><Relationship Id="rId148" Type="http://schemas.openxmlformats.org/officeDocument/2006/relationships/hyperlink" Target="file:///C:\Users\mariam.sargsyan\Desktop\Ballllllll\Balloon%20Rule%20Book.docx" TargetMode="External"/><Relationship Id="rId151" Type="http://schemas.openxmlformats.org/officeDocument/2006/relationships/image" Target="media/image5.jpeg"/><Relationship Id="rId156"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www.arlis.am/DocumentView.aspx?DocID=160481" TargetMode="External"/><Relationship Id="rId18" Type="http://schemas.openxmlformats.org/officeDocument/2006/relationships/hyperlink" Target="https://www.arlis.am/DocumentView.aspx?DocID=160481" TargetMode="External"/><Relationship Id="rId39" Type="http://schemas.openxmlformats.org/officeDocument/2006/relationships/hyperlink" Target="https://www.arlis.am/DocumentView.aspx?DocID=175727" TargetMode="External"/><Relationship Id="rId109" Type="http://schemas.openxmlformats.org/officeDocument/2006/relationships/hyperlink" Target="https://www.arlis.am/DocumentView.aspx?DocID=170789" TargetMode="External"/><Relationship Id="rId34" Type="http://schemas.openxmlformats.org/officeDocument/2006/relationships/header" Target="header4.xml"/><Relationship Id="rId50" Type="http://schemas.openxmlformats.org/officeDocument/2006/relationships/hyperlink" Target="https://www.arlis.am/DocumentView.aspx?DocID=175727" TargetMode="External"/><Relationship Id="rId55" Type="http://schemas.openxmlformats.org/officeDocument/2006/relationships/hyperlink" Target="https://www.arlis.am/DocumentView.aspx?DocID=175727" TargetMode="External"/><Relationship Id="rId76" Type="http://schemas.openxmlformats.org/officeDocument/2006/relationships/hyperlink" Target="https://www.arlis.am/DocumentView.aspx?DocID=175727" TargetMode="External"/><Relationship Id="rId97" Type="http://schemas.openxmlformats.org/officeDocument/2006/relationships/hyperlink" Target="https://www.arlis.am/DocumentView.aspx?DocID=160480" TargetMode="External"/><Relationship Id="rId104" Type="http://schemas.openxmlformats.org/officeDocument/2006/relationships/hyperlink" Target="https://www.arlis.am/DocumentView.aspx?DocID=170789" TargetMode="External"/><Relationship Id="rId120" Type="http://schemas.openxmlformats.org/officeDocument/2006/relationships/hyperlink" Target="https://www.arlis.am/DocumentView.aspx?DocID=160480" TargetMode="External"/><Relationship Id="rId125" Type="http://schemas.openxmlformats.org/officeDocument/2006/relationships/hyperlink" Target="https://www.arlis.am/DocumentView.aspx?DocID=160480" TargetMode="External"/><Relationship Id="rId141" Type="http://schemas.openxmlformats.org/officeDocument/2006/relationships/hyperlink" Target="https://www.arlis.am/DocumentView.aspx?DocID=178711" TargetMode="External"/><Relationship Id="rId146" Type="http://schemas.openxmlformats.org/officeDocument/2006/relationships/header" Target="header10.xml"/><Relationship Id="rId7" Type="http://schemas.openxmlformats.org/officeDocument/2006/relationships/endnotes" Target="endnotes.xml"/><Relationship Id="rId71" Type="http://schemas.openxmlformats.org/officeDocument/2006/relationships/hyperlink" Target="https://www.arlis.am/DocumentView.aspx?DocID=178711" TargetMode="External"/><Relationship Id="rId92" Type="http://schemas.openxmlformats.org/officeDocument/2006/relationships/hyperlink" Target="https://www.arlis.am/DocumentView.aspx?DocID=178711" TargetMode="External"/><Relationship Id="rId2" Type="http://schemas.openxmlformats.org/officeDocument/2006/relationships/numbering" Target="numbering.xml"/><Relationship Id="rId29" Type="http://schemas.openxmlformats.org/officeDocument/2006/relationships/hyperlink" Target="https://www.arlis.am/DocumentView.aspx?DocID=160480" TargetMode="External"/><Relationship Id="rId24" Type="http://schemas.openxmlformats.org/officeDocument/2006/relationships/hyperlink" Target="https://www.arlis.am/DocumentView.aspx?DocID=160481" TargetMode="External"/><Relationship Id="rId40" Type="http://schemas.openxmlformats.org/officeDocument/2006/relationships/hyperlink" Target="https://www.arlis.am/DocumentView.aspx?DocID=178711" TargetMode="External"/><Relationship Id="rId45" Type="http://schemas.openxmlformats.org/officeDocument/2006/relationships/hyperlink" Target="https://www.arlis.am/DocumentView.aspx?DocID=109070" TargetMode="External"/><Relationship Id="rId66" Type="http://schemas.openxmlformats.org/officeDocument/2006/relationships/hyperlink" Target="https://www.arlis.am/DocumentView.aspx?DocID=178711" TargetMode="External"/><Relationship Id="rId87" Type="http://schemas.openxmlformats.org/officeDocument/2006/relationships/hyperlink" Target="https://www.arlis.am/DocumentView.aspx?DocID=160481" TargetMode="External"/><Relationship Id="rId110" Type="http://schemas.openxmlformats.org/officeDocument/2006/relationships/hyperlink" Target="https://www.arlis.am/DocumentView.aspx?DocID=170789" TargetMode="External"/><Relationship Id="rId115" Type="http://schemas.openxmlformats.org/officeDocument/2006/relationships/hyperlink" Target="https://www.arlis.am/DocumentView.aspx?DocID=170789" TargetMode="External"/><Relationship Id="rId131" Type="http://schemas.openxmlformats.org/officeDocument/2006/relationships/hyperlink" Target="https://www.arlis.am/DocumentView.aspx?DocID=170789" TargetMode="External"/><Relationship Id="rId136" Type="http://schemas.openxmlformats.org/officeDocument/2006/relationships/hyperlink" Target="https://www.arlis.am/DocumentView.aspx?DocID=175727" TargetMode="External"/><Relationship Id="rId157" Type="http://schemas.openxmlformats.org/officeDocument/2006/relationships/fontTable" Target="fontTable.xml"/><Relationship Id="rId61" Type="http://schemas.openxmlformats.org/officeDocument/2006/relationships/hyperlink" Target="https://www.arlis.am/DocumentView.aspx?DocID=69612" TargetMode="External"/><Relationship Id="rId82" Type="http://schemas.openxmlformats.org/officeDocument/2006/relationships/hyperlink" Target="https://www.arlis.am/DocumentView.aspx?DocID=160481" TargetMode="External"/><Relationship Id="rId152" Type="http://schemas.openxmlformats.org/officeDocument/2006/relationships/hyperlink" Target="file:///C:\Users\mariam.sargsyan\Desktop\Ballllllll\Balloon%20Rule%20Book.docx" TargetMode="External"/><Relationship Id="rId19" Type="http://schemas.openxmlformats.org/officeDocument/2006/relationships/hyperlink" Target="https://www.arlis.am/DocumentView.aspx?DocID=160481" TargetMode="External"/><Relationship Id="rId14" Type="http://schemas.openxmlformats.org/officeDocument/2006/relationships/hyperlink" Target="https://www.arlis.am/DocumentView.aspx?DocID=160481" TargetMode="External"/><Relationship Id="rId30" Type="http://schemas.openxmlformats.org/officeDocument/2006/relationships/header" Target="header3.xml"/><Relationship Id="rId35" Type="http://schemas.openxmlformats.org/officeDocument/2006/relationships/hyperlink" Target="https://www.arlis.am/DocumentView.aspx?DocID=160480" TargetMode="External"/><Relationship Id="rId56" Type="http://schemas.openxmlformats.org/officeDocument/2006/relationships/hyperlink" Target="https://www.arlis.am/DocumentView.aspx?DocID=175727" TargetMode="External"/><Relationship Id="rId77" Type="http://schemas.openxmlformats.org/officeDocument/2006/relationships/header" Target="header5.xml"/><Relationship Id="rId100" Type="http://schemas.openxmlformats.org/officeDocument/2006/relationships/hyperlink" Target="https://www.arlis.am/DocumentView.aspx?DocID=160480" TargetMode="External"/><Relationship Id="rId105" Type="http://schemas.openxmlformats.org/officeDocument/2006/relationships/header" Target="header8.xml"/><Relationship Id="rId126" Type="http://schemas.openxmlformats.org/officeDocument/2006/relationships/hyperlink" Target="https://www.arlis.am/DocumentView.aspx?DocID=160480" TargetMode="External"/><Relationship Id="rId147" Type="http://schemas.openxmlformats.org/officeDocument/2006/relationships/image" Target="media/image4.jpeg"/><Relationship Id="rId8" Type="http://schemas.openxmlformats.org/officeDocument/2006/relationships/header" Target="header1.xml"/><Relationship Id="rId51" Type="http://schemas.openxmlformats.org/officeDocument/2006/relationships/hyperlink" Target="https://www.arlis.am/DocumentView.aspx?DocID=170789" TargetMode="External"/><Relationship Id="rId72" Type="http://schemas.openxmlformats.org/officeDocument/2006/relationships/hyperlink" Target="https://www.arlis.am/DocumentView.aspx?DocID=175727" TargetMode="External"/><Relationship Id="rId93" Type="http://schemas.openxmlformats.org/officeDocument/2006/relationships/hyperlink" Target="https://www.arlis.am/DocumentView.aspx?DocID=178711" TargetMode="External"/><Relationship Id="rId98" Type="http://schemas.openxmlformats.org/officeDocument/2006/relationships/header" Target="header7.xml"/><Relationship Id="rId121" Type="http://schemas.openxmlformats.org/officeDocument/2006/relationships/hyperlink" Target="https://www.arlis.am/DocumentView.aspx?DocID=170789" TargetMode="External"/><Relationship Id="rId142" Type="http://schemas.openxmlformats.org/officeDocument/2006/relationships/header" Target="header9.xml"/><Relationship Id="rId3" Type="http://schemas.openxmlformats.org/officeDocument/2006/relationships/styles" Target="styles.xml"/><Relationship Id="rId25" Type="http://schemas.openxmlformats.org/officeDocument/2006/relationships/hyperlink" Target="https://www.arlis.am/DocumentView.aspx?DocID=160481" TargetMode="External"/><Relationship Id="rId46" Type="http://schemas.openxmlformats.org/officeDocument/2006/relationships/hyperlink" Target="http://eur-lex.europa.eu/LexUriServ/LexUriServ.do?uri=OJ%3AL%3A2012%3A281%3A0001%3A0066%3AEN%3APDF" TargetMode="External"/><Relationship Id="rId67" Type="http://schemas.openxmlformats.org/officeDocument/2006/relationships/hyperlink" Target="https://www.arlis.am/DocumentView.aspx?DocID=175727" TargetMode="External"/><Relationship Id="rId116" Type="http://schemas.openxmlformats.org/officeDocument/2006/relationships/hyperlink" Target="https://www.arlis.am/DocumentView.aspx?DocID=170789" TargetMode="External"/><Relationship Id="rId137" Type="http://schemas.openxmlformats.org/officeDocument/2006/relationships/hyperlink" Target="https://www.arlis.am/DocumentView.aspx?DocID=178711" TargetMode="External"/><Relationship Id="rId15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F920C-8A16-44C1-867C-CF9F2468C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275</Pages>
  <Words>101552</Words>
  <Characters>578847</Characters>
  <Application>Microsoft Office Word</Application>
  <DocSecurity>0</DocSecurity>
  <Lines>4823</Lines>
  <Paragraphs>1358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Մարիամ Սարգսյան</dc:creator>
  <cp:keywords/>
  <dc:description/>
  <cp:lastModifiedBy>Tatevik</cp:lastModifiedBy>
  <cp:revision>29</cp:revision>
  <cp:lastPrinted>2024-02-16T05:39:00Z</cp:lastPrinted>
  <dcterms:created xsi:type="dcterms:W3CDTF">2024-02-16T05:12:00Z</dcterms:created>
  <dcterms:modified xsi:type="dcterms:W3CDTF">2024-04-19T12:56:00Z</dcterms:modified>
</cp:coreProperties>
</file>